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A4C407" w14:textId="1EC79F81" w:rsidR="00150C90" w:rsidRPr="00B004EE" w:rsidRDefault="00150C90" w:rsidP="00B004EE">
      <w:pPr>
        <w:rPr>
          <w:sz w:val="20"/>
          <w:szCs w:val="20"/>
        </w:rPr>
      </w:pPr>
    </w:p>
    <w:p w14:paraId="0333D960" w14:textId="01C177E6" w:rsidR="00FB255C" w:rsidRPr="00B004EE" w:rsidRDefault="00FB255C" w:rsidP="00B004EE">
      <w:pPr>
        <w:pStyle w:val="Lgende"/>
        <w:jc w:val="center"/>
        <w:rPr>
          <w:rFonts w:ascii="Tahoma" w:hAnsi="Tahoma" w:cs="Tahoma"/>
          <w:bCs w:val="0"/>
          <w:iCs/>
          <w:color w:val="008000"/>
          <w:spacing w:val="13"/>
        </w:rPr>
      </w:pPr>
    </w:p>
    <w:p w14:paraId="46B5088C" w14:textId="74EB1F0F" w:rsidR="00B004EE" w:rsidRPr="003C23E5" w:rsidRDefault="00B004EE" w:rsidP="00B004EE">
      <w:pPr>
        <w:pStyle w:val="Lgende"/>
        <w:jc w:val="center"/>
        <w:rPr>
          <w:rFonts w:ascii="Tahoma" w:hAnsi="Tahoma" w:cs="Tahoma"/>
          <w:bCs w:val="0"/>
          <w:iCs/>
          <w:color w:val="008000"/>
          <w:spacing w:val="13"/>
          <w:sz w:val="24"/>
          <w:szCs w:val="24"/>
        </w:rPr>
      </w:pPr>
    </w:p>
    <w:p w14:paraId="1E2673CF" w14:textId="6C2BEF06" w:rsidR="002F24E1" w:rsidRPr="003C23E5" w:rsidRDefault="002F24E1" w:rsidP="00B004EE">
      <w:pPr>
        <w:pStyle w:val="Lgende"/>
        <w:jc w:val="both"/>
        <w:rPr>
          <w:rFonts w:ascii="Tahoma" w:hAnsi="Tahoma" w:cs="Tahoma"/>
          <w:b w:val="0"/>
          <w:bCs w:val="0"/>
        </w:rPr>
      </w:pPr>
    </w:p>
    <w:p w14:paraId="536741E8" w14:textId="74E2814A" w:rsidR="002F24E1" w:rsidRPr="003C23E5" w:rsidRDefault="002F24E1" w:rsidP="00B004EE">
      <w:pPr>
        <w:pStyle w:val="Lgende"/>
        <w:jc w:val="both"/>
        <w:rPr>
          <w:rFonts w:ascii="Tahoma" w:hAnsi="Tahoma" w:cs="Tahoma"/>
          <w:b w:val="0"/>
          <w:bCs w:val="0"/>
        </w:rPr>
      </w:pPr>
    </w:p>
    <w:p w14:paraId="45F3AA77" w14:textId="42464A67" w:rsidR="005E42EF" w:rsidRPr="003C23E5" w:rsidRDefault="005E42EF" w:rsidP="00B004EE">
      <w:pPr>
        <w:rPr>
          <w:sz w:val="20"/>
          <w:szCs w:val="20"/>
        </w:rPr>
      </w:pPr>
    </w:p>
    <w:p w14:paraId="3A022BA2" w14:textId="2DB02CF5" w:rsidR="005E42EF" w:rsidRPr="003C23E5" w:rsidRDefault="005E42EF" w:rsidP="00B004EE">
      <w:pPr>
        <w:rPr>
          <w:sz w:val="20"/>
          <w:szCs w:val="20"/>
        </w:rPr>
      </w:pPr>
    </w:p>
    <w:p w14:paraId="3C0C0440" w14:textId="6ACF7BCB" w:rsidR="00FA0779" w:rsidRPr="003C23E5" w:rsidRDefault="00FA0779" w:rsidP="00B004EE">
      <w:pPr>
        <w:rPr>
          <w:sz w:val="20"/>
          <w:szCs w:val="20"/>
        </w:rPr>
      </w:pPr>
    </w:p>
    <w:p w14:paraId="04CECF46" w14:textId="44C8F4E1" w:rsidR="00FA0779" w:rsidRPr="003C23E5" w:rsidRDefault="00FA0779" w:rsidP="00B004EE">
      <w:pPr>
        <w:rPr>
          <w:sz w:val="20"/>
          <w:szCs w:val="20"/>
        </w:rPr>
      </w:pPr>
    </w:p>
    <w:p w14:paraId="4B84DAB8" w14:textId="6860447B" w:rsidR="00FA0779" w:rsidRPr="003C23E5" w:rsidRDefault="00FA0779" w:rsidP="00B004EE">
      <w:pPr>
        <w:rPr>
          <w:sz w:val="20"/>
          <w:szCs w:val="20"/>
        </w:rPr>
      </w:pPr>
    </w:p>
    <w:p w14:paraId="7E369BB8" w14:textId="6E69F8C1" w:rsidR="00FA0779" w:rsidRPr="003C23E5" w:rsidRDefault="009F2B92" w:rsidP="00B004EE">
      <w:pPr>
        <w:rPr>
          <w:sz w:val="20"/>
          <w:szCs w:val="20"/>
        </w:rPr>
      </w:pPr>
      <w:r w:rsidRPr="00B004EE">
        <w:rPr>
          <w:rFonts w:ascii="Tahoma" w:hAnsi="Tahoma" w:cs="Tahoma"/>
          <w:noProof/>
          <w:sz w:val="20"/>
          <w:szCs w:val="20"/>
        </w:rPr>
        <mc:AlternateContent>
          <mc:Choice Requires="wps">
            <w:drawing>
              <wp:anchor distT="0" distB="0" distL="114300" distR="114300" simplePos="0" relativeHeight="251658239" behindDoc="0" locked="0" layoutInCell="1" allowOverlap="1" wp14:anchorId="46425AF7" wp14:editId="0FF0CE95">
                <wp:simplePos x="0" y="0"/>
                <wp:positionH relativeFrom="margin">
                  <wp:align>center</wp:align>
                </wp:positionH>
                <wp:positionV relativeFrom="page">
                  <wp:align>center</wp:align>
                </wp:positionV>
                <wp:extent cx="5972175" cy="1655445"/>
                <wp:effectExtent l="38100" t="38100" r="34925" b="33655"/>
                <wp:wrapSquare wrapText="bothSides"/>
                <wp:docPr id="3" name="Rectangle à coins arrondis 3"/>
                <wp:cNvGraphicFramePr/>
                <a:graphic xmlns:a="http://schemas.openxmlformats.org/drawingml/2006/main">
                  <a:graphicData uri="http://schemas.microsoft.com/office/word/2010/wordprocessingShape">
                    <wps:wsp>
                      <wps:cNvSpPr/>
                      <wps:spPr>
                        <a:xfrm>
                          <a:off x="0" y="0"/>
                          <a:ext cx="5972175" cy="1655445"/>
                        </a:xfrm>
                        <a:prstGeom prst="roundRect">
                          <a:avLst>
                            <a:gd name="adj" fmla="val 9048"/>
                          </a:avLst>
                        </a:prstGeom>
                        <a:noFill/>
                        <a:ln w="76200" cap="rnd" cmpd="thinThick">
                          <a:solidFill>
                            <a:schemeClr val="accent6">
                              <a:lumMod val="75000"/>
                            </a:schemeClr>
                          </a:solidFill>
                          <a:bevel/>
                        </a:ln>
                      </wps:spPr>
                      <wps:style>
                        <a:lnRef idx="1">
                          <a:schemeClr val="accent4"/>
                        </a:lnRef>
                        <a:fillRef idx="2">
                          <a:schemeClr val="accent4"/>
                        </a:fillRef>
                        <a:effectRef idx="1">
                          <a:schemeClr val="accent4"/>
                        </a:effectRef>
                        <a:fontRef idx="minor">
                          <a:schemeClr val="dk1"/>
                        </a:fontRef>
                      </wps:style>
                      <wps:txbx>
                        <w:txbxContent>
                          <w:p w14:paraId="1A3FCDC4" w14:textId="2CBF81D7" w:rsidR="00B004EE" w:rsidRPr="00C323AB" w:rsidRDefault="00B004EE" w:rsidP="00950225">
                            <w:pPr>
                              <w:pStyle w:val="Lgende"/>
                              <w:ind w:right="43"/>
                              <w:jc w:val="center"/>
                              <w:rPr>
                                <w:rFonts w:ascii="Tahoma" w:hAnsi="Tahoma" w:cs="Tahoma"/>
                                <w:color w:val="538135" w:themeColor="accent6" w:themeShade="BF"/>
                                <w:sz w:val="42"/>
                                <w:szCs w:val="42"/>
                                <w:rtl/>
                              </w:rPr>
                            </w:pPr>
                            <w:r w:rsidRPr="00C323AB">
                              <w:rPr>
                                <w:rFonts w:ascii="Tahoma" w:hAnsi="Tahoma" w:cs="Tahoma"/>
                                <w:color w:val="538135" w:themeColor="accent6" w:themeShade="BF"/>
                                <w:sz w:val="42"/>
                                <w:szCs w:val="42"/>
                              </w:rPr>
                              <w:t>RECUEIL DES TEXTES REGLEMENTAIRES REGISSANT L’INSPECTION SANITAIRE DES PRODUITS DE LA PECHE EN MAURITANIE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425AF7" id="Rectangle à coins arrondis 3" o:spid="_x0000_s1026" style="position:absolute;margin-left:0;margin-top:0;width:470.25pt;height:130.35pt;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page;mso-width-percent:0;mso-height-percent:0;mso-width-relative:margin;mso-height-relative:margin;v-text-anchor:middle" arcsize="5928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" filled="f" strokecolor="#538135 [2409]" strokeweight="6pt">
                <v:stroke linestyle="thinThick" joinstyle="bevel" endcap="round"/>
                <v:textbox>
                  <w:txbxContent>
                    <w:p w14:paraId="1A3FCDC4" w14:textId="2CBF81D7" w:rsidR="00B004EE" w:rsidRPr="00C323AB" w:rsidRDefault="00B004EE" w:rsidP="00950225">
                      <w:pPr>
                        <w:pStyle w:val="Lgende"/>
                        <w:ind w:right="43"/>
                        <w:jc w:val="center"/>
                        <w:rPr>
                          <w:rFonts w:ascii="Tahoma" w:hAnsi="Tahoma" w:cs="Tahoma"/>
                          <w:color w:val="538135" w:themeColor="accent6" w:themeShade="BF"/>
                          <w:sz w:val="42"/>
                          <w:szCs w:val="42"/>
                          <w:rtl/>
                        </w:rPr>
                      </w:pPr>
                      <w:r w:rsidRPr="00C323AB">
                        <w:rPr>
                          <w:rFonts w:ascii="Tahoma" w:hAnsi="Tahoma" w:cs="Tahoma"/>
                          <w:color w:val="538135" w:themeColor="accent6" w:themeShade="BF"/>
                          <w:sz w:val="42"/>
                          <w:szCs w:val="42"/>
                        </w:rPr>
                        <w:t>RECUEIL DES TEXTES REGLEMENTAIRES REGISSANT L’INSPECTION SANITAIRE DES PRODUITS DE LA PECHE EN MAURITANIE</w:t>
                      </w:r>
                    </w:p>
                  </w:txbxContent>
                </v:textbox>
                <w10:wrap type="square" anchorx="margin" anchory="page"/>
              </v:roundrect>
            </w:pict>
          </mc:Fallback>
        </mc:AlternateContent>
      </w:r>
    </w:p>
    <w:p w14:paraId="090ECA8C" w14:textId="1EB157A3" w:rsidR="009D391E" w:rsidRPr="00F23171" w:rsidRDefault="004B7CB2" w:rsidP="00B004EE">
      <w:pPr>
        <w:ind w:right="50"/>
        <w:jc w:val="center"/>
        <w:rPr>
          <w:rFonts w:ascii="Tahoma" w:hAnsi="Tahoma" w:cs="Tahoma"/>
          <w:b/>
          <w:bCs/>
          <w:iCs/>
          <w:color w:val="000000" w:themeColor="text1"/>
        </w:rPr>
      </w:pPr>
      <w:r w:rsidRPr="00F23171">
        <w:rPr>
          <w:rFonts w:ascii="Tahoma" w:hAnsi="Tahoma" w:cs="Tahoma"/>
          <w:noProof/>
          <w:color w:val="000000" w:themeColor="text1"/>
        </w:rPr>
        <mc:AlternateContent>
          <mc:Choice Requires="wps">
            <w:drawing>
              <wp:anchor distT="0" distB="0" distL="114300" distR="114300" simplePos="0" relativeHeight="251675648" behindDoc="0" locked="0" layoutInCell="1" allowOverlap="1" wp14:anchorId="308438D8" wp14:editId="0117128F">
                <wp:simplePos x="0" y="0"/>
                <wp:positionH relativeFrom="margin">
                  <wp:align>center</wp:align>
                </wp:positionH>
                <wp:positionV relativeFrom="paragraph">
                  <wp:posOffset>2025661</wp:posOffset>
                </wp:positionV>
                <wp:extent cx="5995987" cy="347345"/>
                <wp:effectExtent l="12700" t="12700" r="11430" b="8255"/>
                <wp:wrapNone/>
                <wp:docPr id="2" name="مستطيل: زوايا مستديرة 2"/>
                <wp:cNvGraphicFramePr/>
                <a:graphic xmlns:a="http://schemas.openxmlformats.org/drawingml/2006/main">
                  <a:graphicData uri="http://schemas.microsoft.com/office/word/2010/wordprocessingShape">
                    <wps:wsp>
                      <wps:cNvSpPr/>
                      <wps:spPr>
                        <a:xfrm>
                          <a:off x="0" y="0"/>
                          <a:ext cx="5995987" cy="347345"/>
                        </a:xfrm>
                        <a:prstGeom prst="roundRect">
                          <a:avLst/>
                        </a:prstGeom>
                        <a:ln w="28575">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14:paraId="51BCADE3" w14:textId="511FFFCC" w:rsidR="009F2B92" w:rsidRPr="00F23171" w:rsidRDefault="009F2B92" w:rsidP="009F2B92">
                            <w:pPr>
                              <w:jc w:val="center"/>
                              <w:rPr>
                                <w:rFonts w:ascii="Tahoma" w:hAnsi="Tahoma" w:cs="Tahoma"/>
                                <w:b/>
                                <w:bCs/>
                                <w:color w:val="000000" w:themeColor="text1"/>
                              </w:rPr>
                            </w:pPr>
                            <w:r w:rsidRPr="00F23171">
                              <w:rPr>
                                <w:rFonts w:ascii="Tahoma" w:hAnsi="Tahoma" w:cs="Tahoma"/>
                                <w:b/>
                                <w:bCs/>
                                <w:color w:val="000000" w:themeColor="text1"/>
                                <w:sz w:val="22"/>
                                <w:szCs w:val="22"/>
                              </w:rPr>
                              <w:t>Code : RTR.ONISPA             Révision : 01          Date d’application :</w:t>
                            </w:r>
                            <w:r w:rsidRPr="00F23171">
                              <w:rPr>
                                <w:rFonts w:ascii="Tahoma" w:hAnsi="Tahoma" w:cs="Tahoma"/>
                                <w:b/>
                                <w:bCs/>
                                <w:color w:val="000000" w:themeColor="text1"/>
                              </w:rPr>
                              <w:t xml:space="preserve"> </w:t>
                            </w:r>
                            <w:r w:rsidR="006F132B" w:rsidRPr="00F23171">
                              <w:rPr>
                                <w:rFonts w:ascii="Tahoma" w:hAnsi="Tahoma" w:cs="Tahoma"/>
                                <w:b/>
                                <w:bCs/>
                                <w:color w:val="000000" w:themeColor="text1"/>
                              </w:rPr>
                              <w:t>01</w:t>
                            </w:r>
                            <w:r w:rsidRPr="00F23171">
                              <w:rPr>
                                <w:rFonts w:ascii="Tahoma" w:hAnsi="Tahoma" w:cs="Tahoma"/>
                                <w:b/>
                                <w:bCs/>
                                <w:color w:val="000000" w:themeColor="text1"/>
                              </w:rPr>
                              <w:t>/0</w:t>
                            </w:r>
                            <w:r w:rsidR="006F132B" w:rsidRPr="00F23171">
                              <w:rPr>
                                <w:rFonts w:ascii="Tahoma" w:hAnsi="Tahoma" w:cs="Tahoma"/>
                                <w:b/>
                                <w:bCs/>
                                <w:color w:val="000000" w:themeColor="text1"/>
                              </w:rPr>
                              <w:t>7</w:t>
                            </w:r>
                            <w:r w:rsidRPr="00F23171">
                              <w:rPr>
                                <w:rFonts w:ascii="Tahoma" w:hAnsi="Tahoma" w:cs="Tahoma"/>
                                <w:b/>
                                <w:bCs/>
                                <w:color w:val="000000" w:themeColor="text1"/>
                              </w:rPr>
                              <w:t>/2025</w:t>
                            </w:r>
                          </w:p>
                          <w:p w14:paraId="4E67BA86" w14:textId="77777777" w:rsidR="009F2B92" w:rsidRPr="00F23171" w:rsidRDefault="009F2B92" w:rsidP="009F2B9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08438D8" id="مستطيل: زوايا مستديرة 2" o:spid="_x0000_s1027" style="position:absolute;left:0;text-align:left;margin-left:0;margin-top:159.5pt;width:472.1pt;height:27.35pt;z-index:25167564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" fillcolor="white [3201]" strokecolor="#538135 [2409]" strokeweight="2.25pt">
                <v:stroke joinstyle="miter"/>
                <v:textbox>
                  <w:txbxContent>
                    <w:p w14:paraId="51BCADE3" w14:textId="511FFFCC" w:rsidR="009F2B92" w:rsidRPr="00F23171" w:rsidRDefault="009F2B92" w:rsidP="009F2B92">
                      <w:pPr>
                        <w:jc w:val="center"/>
                        <w:rPr>
                          <w:rFonts w:ascii="Tahoma" w:hAnsi="Tahoma" w:cs="Tahoma"/>
                          <w:b/>
                          <w:bCs/>
                          <w:color w:val="000000" w:themeColor="text1"/>
                        </w:rPr>
                      </w:pPr>
                      <w:r w:rsidRPr="00F23171">
                        <w:rPr>
                          <w:rFonts w:ascii="Tahoma" w:hAnsi="Tahoma" w:cs="Tahoma"/>
                          <w:b/>
                          <w:bCs/>
                          <w:color w:val="000000" w:themeColor="text1"/>
                          <w:sz w:val="22"/>
                          <w:szCs w:val="22"/>
                        </w:rPr>
                        <w:t>Code : RTR.ONISPA             Révision : 01          Date d’application :</w:t>
                      </w:r>
                      <w:r w:rsidRPr="00F23171">
                        <w:rPr>
                          <w:rFonts w:ascii="Tahoma" w:hAnsi="Tahoma" w:cs="Tahoma"/>
                          <w:b/>
                          <w:bCs/>
                          <w:color w:val="000000" w:themeColor="text1"/>
                        </w:rPr>
                        <w:t xml:space="preserve"> </w:t>
                      </w:r>
                      <w:r w:rsidR="006F132B" w:rsidRPr="00F23171">
                        <w:rPr>
                          <w:rFonts w:ascii="Tahoma" w:hAnsi="Tahoma" w:cs="Tahoma"/>
                          <w:b/>
                          <w:bCs/>
                          <w:color w:val="000000" w:themeColor="text1"/>
                        </w:rPr>
                        <w:t>01</w:t>
                      </w:r>
                      <w:r w:rsidRPr="00F23171">
                        <w:rPr>
                          <w:rFonts w:ascii="Tahoma" w:hAnsi="Tahoma" w:cs="Tahoma"/>
                          <w:b/>
                          <w:bCs/>
                          <w:color w:val="000000" w:themeColor="text1"/>
                        </w:rPr>
                        <w:t>/0</w:t>
                      </w:r>
                      <w:r w:rsidR="006F132B" w:rsidRPr="00F23171">
                        <w:rPr>
                          <w:rFonts w:ascii="Tahoma" w:hAnsi="Tahoma" w:cs="Tahoma"/>
                          <w:b/>
                          <w:bCs/>
                          <w:color w:val="000000" w:themeColor="text1"/>
                        </w:rPr>
                        <w:t>7</w:t>
                      </w:r>
                      <w:r w:rsidRPr="00F23171">
                        <w:rPr>
                          <w:rFonts w:ascii="Tahoma" w:hAnsi="Tahoma" w:cs="Tahoma"/>
                          <w:b/>
                          <w:bCs/>
                          <w:color w:val="000000" w:themeColor="text1"/>
                        </w:rPr>
                        <w:t>/2025</w:t>
                      </w:r>
                    </w:p>
                    <w:p w14:paraId="4E67BA86" w14:textId="77777777" w:rsidR="009F2B92" w:rsidRPr="00F23171" w:rsidRDefault="009F2B92" w:rsidP="009F2B92">
                      <w:pPr>
                        <w:jc w:val="center"/>
                        <w:rPr>
                          <w:color w:val="000000" w:themeColor="text1"/>
                        </w:rPr>
                      </w:pPr>
                    </w:p>
                  </w:txbxContent>
                </v:textbox>
                <w10:wrap anchorx="margin"/>
              </v:roundrect>
            </w:pict>
          </mc:Fallback>
        </mc:AlternateContent>
      </w:r>
    </w:p>
    <w:p w14:paraId="6CDEE3DE" w14:textId="2BF3997B" w:rsidR="0083718B" w:rsidRPr="00F23171" w:rsidRDefault="0083718B" w:rsidP="0083718B">
      <w:pPr>
        <w:ind w:right="50"/>
        <w:jc w:val="center"/>
        <w:rPr>
          <w:rFonts w:ascii="Tahoma" w:hAnsi="Tahoma" w:cs="Tahoma"/>
          <w:b/>
          <w:bCs/>
          <w:iCs/>
          <w:color w:val="000000" w:themeColor="text1"/>
        </w:rPr>
      </w:pPr>
    </w:p>
    <w:p w14:paraId="1558AAF4" w14:textId="7B158E40" w:rsidR="009D391E" w:rsidRPr="00F23171" w:rsidRDefault="009D391E" w:rsidP="009D391E">
      <w:pPr>
        <w:rPr>
          <w:color w:val="000000" w:themeColor="text1"/>
        </w:rPr>
      </w:pPr>
    </w:p>
    <w:tbl>
      <w:tblPr>
        <w:tblStyle w:val="Grilledutableau"/>
        <w:tblpPr w:leftFromText="141" w:rightFromText="141" w:vertAnchor="text" w:horzAnchor="margin" w:tblpY="896"/>
        <w:tblW w:w="9573" w:type="dxa"/>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ayout w:type="fixed"/>
        <w:tblLook w:val="0000" w:firstRow="0" w:lastRow="0" w:firstColumn="0" w:lastColumn="0" w:noHBand="0" w:noVBand="0"/>
      </w:tblPr>
      <w:tblGrid>
        <w:gridCol w:w="1838"/>
        <w:gridCol w:w="2578"/>
        <w:gridCol w:w="2578"/>
        <w:gridCol w:w="2579"/>
      </w:tblGrid>
      <w:tr w:rsidR="00F23171" w:rsidRPr="00F23171" w14:paraId="31198A6A" w14:textId="77777777" w:rsidTr="00C323AB">
        <w:trPr>
          <w:trHeight w:val="264"/>
        </w:trPr>
        <w:tc>
          <w:tcPr>
            <w:tcW w:w="1838" w:type="dxa"/>
          </w:tcPr>
          <w:p w14:paraId="29BC2697" w14:textId="30D5E543" w:rsidR="00F26B14" w:rsidRPr="00F23171" w:rsidRDefault="00F26B14" w:rsidP="000868D2">
            <w:pPr>
              <w:spacing w:line="276" w:lineRule="auto"/>
              <w:rPr>
                <w:rFonts w:ascii="Tahoma" w:hAnsi="Tahoma" w:cs="Tahoma"/>
                <w:color w:val="000000" w:themeColor="text1"/>
              </w:rPr>
            </w:pPr>
          </w:p>
        </w:tc>
        <w:tc>
          <w:tcPr>
            <w:tcW w:w="2578" w:type="dxa"/>
          </w:tcPr>
          <w:p w14:paraId="32212674" w14:textId="5D1986DC" w:rsidR="00F26B14" w:rsidRPr="00F23171" w:rsidRDefault="00F26B14" w:rsidP="000868D2">
            <w:pPr>
              <w:spacing w:line="276" w:lineRule="auto"/>
              <w:jc w:val="center"/>
              <w:rPr>
                <w:rFonts w:ascii="Tahoma" w:hAnsi="Tahoma" w:cs="Tahoma"/>
                <w:b/>
                <w:color w:val="000000" w:themeColor="text1"/>
              </w:rPr>
            </w:pPr>
            <w:r w:rsidRPr="00F23171">
              <w:rPr>
                <w:rFonts w:ascii="Tahoma" w:hAnsi="Tahoma" w:cs="Tahoma"/>
                <w:b/>
                <w:color w:val="000000" w:themeColor="text1"/>
              </w:rPr>
              <w:t>Rédigé par</w:t>
            </w:r>
          </w:p>
        </w:tc>
        <w:tc>
          <w:tcPr>
            <w:tcW w:w="2578" w:type="dxa"/>
          </w:tcPr>
          <w:p w14:paraId="3CCD0170" w14:textId="77777777" w:rsidR="00F26B14" w:rsidRPr="00F23171" w:rsidRDefault="00F26B14" w:rsidP="000868D2">
            <w:pPr>
              <w:spacing w:line="276" w:lineRule="auto"/>
              <w:jc w:val="center"/>
              <w:rPr>
                <w:rFonts w:ascii="Tahoma" w:hAnsi="Tahoma" w:cs="Tahoma"/>
                <w:b/>
                <w:color w:val="000000" w:themeColor="text1"/>
              </w:rPr>
            </w:pPr>
            <w:r w:rsidRPr="00F23171">
              <w:rPr>
                <w:rFonts w:ascii="Tahoma" w:hAnsi="Tahoma" w:cs="Tahoma"/>
                <w:b/>
                <w:color w:val="000000" w:themeColor="text1"/>
              </w:rPr>
              <w:t>Vérifié par</w:t>
            </w:r>
          </w:p>
        </w:tc>
        <w:tc>
          <w:tcPr>
            <w:tcW w:w="2579" w:type="dxa"/>
          </w:tcPr>
          <w:p w14:paraId="1FBD029A" w14:textId="75E84082" w:rsidR="00F26B14" w:rsidRPr="00F23171" w:rsidRDefault="00F26B14" w:rsidP="000868D2">
            <w:pPr>
              <w:spacing w:line="276" w:lineRule="auto"/>
              <w:jc w:val="center"/>
              <w:rPr>
                <w:rFonts w:ascii="Tahoma" w:hAnsi="Tahoma" w:cs="Tahoma"/>
                <w:b/>
                <w:color w:val="000000" w:themeColor="text1"/>
              </w:rPr>
            </w:pPr>
            <w:r w:rsidRPr="00F23171">
              <w:rPr>
                <w:rFonts w:ascii="Tahoma" w:hAnsi="Tahoma" w:cs="Tahoma"/>
                <w:b/>
                <w:color w:val="000000" w:themeColor="text1"/>
              </w:rPr>
              <w:t>Approuvé par</w:t>
            </w:r>
          </w:p>
        </w:tc>
      </w:tr>
      <w:tr w:rsidR="00F23171" w:rsidRPr="00F23171" w14:paraId="2F4E89D5" w14:textId="77777777" w:rsidTr="00C323AB">
        <w:trPr>
          <w:trHeight w:val="510"/>
        </w:trPr>
        <w:tc>
          <w:tcPr>
            <w:tcW w:w="1838" w:type="dxa"/>
            <w:vAlign w:val="center"/>
          </w:tcPr>
          <w:p w14:paraId="3BDFCE63" w14:textId="6AB5302E" w:rsidR="00F26B14" w:rsidRPr="00F23171" w:rsidRDefault="00F26B14" w:rsidP="00C323AB">
            <w:pPr>
              <w:spacing w:line="276" w:lineRule="auto"/>
              <w:jc w:val="center"/>
              <w:rPr>
                <w:rFonts w:ascii="Tahoma" w:hAnsi="Tahoma" w:cs="Tahoma"/>
                <w:b/>
                <w:bCs/>
                <w:color w:val="000000" w:themeColor="text1"/>
              </w:rPr>
            </w:pPr>
            <w:r w:rsidRPr="00F23171">
              <w:rPr>
                <w:rFonts w:ascii="Tahoma" w:hAnsi="Tahoma" w:cs="Tahoma"/>
                <w:b/>
                <w:bCs/>
                <w:color w:val="000000" w:themeColor="text1"/>
              </w:rPr>
              <w:t>Nom</w:t>
            </w:r>
          </w:p>
        </w:tc>
        <w:tc>
          <w:tcPr>
            <w:tcW w:w="2578" w:type="dxa"/>
            <w:vAlign w:val="center"/>
          </w:tcPr>
          <w:p w14:paraId="0092BB0C" w14:textId="77777777" w:rsidR="00F26B14" w:rsidRPr="00F23171" w:rsidRDefault="00F26B14" w:rsidP="00C323AB">
            <w:pPr>
              <w:spacing w:line="276" w:lineRule="auto"/>
              <w:jc w:val="center"/>
              <w:rPr>
                <w:rFonts w:ascii="Tahoma" w:hAnsi="Tahoma" w:cs="Tahoma"/>
                <w:color w:val="000000" w:themeColor="text1"/>
              </w:rPr>
            </w:pPr>
            <w:r w:rsidRPr="00F23171">
              <w:rPr>
                <w:rFonts w:ascii="Tahoma" w:hAnsi="Tahoma" w:cs="Tahoma"/>
                <w:color w:val="000000" w:themeColor="text1"/>
              </w:rPr>
              <w:t>Dr Mohamed Lemine BILAL</w:t>
            </w:r>
          </w:p>
        </w:tc>
        <w:tc>
          <w:tcPr>
            <w:tcW w:w="2578" w:type="dxa"/>
            <w:vAlign w:val="center"/>
          </w:tcPr>
          <w:p w14:paraId="181E6027" w14:textId="77777777" w:rsidR="00F26B14" w:rsidRPr="00F23171" w:rsidRDefault="00F26B14" w:rsidP="00C323AB">
            <w:pPr>
              <w:spacing w:line="276" w:lineRule="auto"/>
              <w:jc w:val="center"/>
              <w:rPr>
                <w:rFonts w:ascii="Tahoma" w:hAnsi="Tahoma" w:cs="Tahoma"/>
                <w:color w:val="000000" w:themeColor="text1"/>
              </w:rPr>
            </w:pPr>
            <w:r w:rsidRPr="00F23171">
              <w:rPr>
                <w:rFonts w:ascii="Tahoma" w:hAnsi="Tahoma" w:cs="Tahoma"/>
                <w:color w:val="000000" w:themeColor="text1"/>
              </w:rPr>
              <w:t>Dr Mohamed VALL Cheikh</w:t>
            </w:r>
          </w:p>
        </w:tc>
        <w:tc>
          <w:tcPr>
            <w:tcW w:w="2579" w:type="dxa"/>
            <w:vAlign w:val="center"/>
          </w:tcPr>
          <w:p w14:paraId="605B72C3" w14:textId="7C9F0649" w:rsidR="00F26B14" w:rsidRPr="00F23171" w:rsidRDefault="00F26B14" w:rsidP="00C323AB">
            <w:pPr>
              <w:spacing w:line="276" w:lineRule="auto"/>
              <w:jc w:val="center"/>
              <w:rPr>
                <w:rFonts w:ascii="Tahoma" w:hAnsi="Tahoma" w:cs="Tahoma"/>
                <w:color w:val="000000" w:themeColor="text1"/>
                <w:lang w:val="en-US"/>
              </w:rPr>
            </w:pPr>
            <w:r w:rsidRPr="00F23171">
              <w:rPr>
                <w:rFonts w:ascii="Tahoma" w:hAnsi="Tahoma" w:cs="Tahoma"/>
                <w:color w:val="000000" w:themeColor="text1"/>
                <w:lang w:val="en-US"/>
              </w:rPr>
              <w:t>Dr Aly Yahya DARTIGE</w:t>
            </w:r>
          </w:p>
        </w:tc>
      </w:tr>
      <w:tr w:rsidR="00F23171" w:rsidRPr="00F23171" w14:paraId="74B02BE4" w14:textId="77777777" w:rsidTr="00C323AB">
        <w:trPr>
          <w:trHeight w:val="213"/>
        </w:trPr>
        <w:tc>
          <w:tcPr>
            <w:tcW w:w="1838" w:type="dxa"/>
            <w:vAlign w:val="center"/>
          </w:tcPr>
          <w:p w14:paraId="730A6A39" w14:textId="55D3768B" w:rsidR="00F26B14" w:rsidRPr="00F23171" w:rsidRDefault="00F26B14" w:rsidP="00C323AB">
            <w:pPr>
              <w:spacing w:line="276" w:lineRule="auto"/>
              <w:jc w:val="center"/>
              <w:rPr>
                <w:rFonts w:ascii="Tahoma" w:hAnsi="Tahoma" w:cs="Tahoma"/>
                <w:b/>
                <w:bCs/>
                <w:color w:val="000000" w:themeColor="text1"/>
              </w:rPr>
            </w:pPr>
            <w:r w:rsidRPr="00F23171">
              <w:rPr>
                <w:rFonts w:ascii="Tahoma" w:hAnsi="Tahoma" w:cs="Tahoma"/>
                <w:b/>
                <w:bCs/>
                <w:color w:val="000000" w:themeColor="text1"/>
              </w:rPr>
              <w:t>Fonction</w:t>
            </w:r>
          </w:p>
        </w:tc>
        <w:tc>
          <w:tcPr>
            <w:tcW w:w="2578" w:type="dxa"/>
            <w:vAlign w:val="center"/>
          </w:tcPr>
          <w:p w14:paraId="397BCB9B" w14:textId="4406428E" w:rsidR="00F26B14" w:rsidRPr="00F23171" w:rsidRDefault="00242F01" w:rsidP="00C323AB">
            <w:pPr>
              <w:spacing w:line="276" w:lineRule="auto"/>
              <w:jc w:val="center"/>
              <w:rPr>
                <w:rFonts w:ascii="Tahoma" w:hAnsi="Tahoma" w:cs="Tahoma"/>
                <w:color w:val="000000" w:themeColor="text1"/>
              </w:rPr>
            </w:pPr>
            <w:r w:rsidRPr="00F23171">
              <w:rPr>
                <w:rFonts w:ascii="Tahoma" w:hAnsi="Tahoma" w:cs="Tahoma"/>
                <w:color w:val="000000" w:themeColor="text1"/>
              </w:rPr>
              <w:t>Conseilleur Directeur</w:t>
            </w:r>
          </w:p>
        </w:tc>
        <w:tc>
          <w:tcPr>
            <w:tcW w:w="2578" w:type="dxa"/>
            <w:vAlign w:val="center"/>
          </w:tcPr>
          <w:p w14:paraId="5D3EC80F" w14:textId="53DA562C" w:rsidR="00F26B14" w:rsidRPr="00F23171" w:rsidRDefault="00242F01" w:rsidP="00C323AB">
            <w:pPr>
              <w:spacing w:line="276" w:lineRule="auto"/>
              <w:jc w:val="center"/>
              <w:rPr>
                <w:rFonts w:ascii="Tahoma" w:hAnsi="Tahoma" w:cs="Tahoma"/>
                <w:color w:val="000000" w:themeColor="text1"/>
              </w:rPr>
            </w:pPr>
            <w:r w:rsidRPr="00F23171">
              <w:rPr>
                <w:rFonts w:ascii="Tahoma" w:hAnsi="Tahoma" w:cs="Tahoma"/>
                <w:color w:val="000000" w:themeColor="text1"/>
              </w:rPr>
              <w:t xml:space="preserve">Chef du </w:t>
            </w:r>
            <w:r w:rsidR="00CC016D" w:rsidRPr="00F23171">
              <w:rPr>
                <w:rFonts w:ascii="Tahoma" w:hAnsi="Tahoma" w:cs="Tahoma"/>
                <w:color w:val="000000" w:themeColor="text1"/>
              </w:rPr>
              <w:t>DIS</w:t>
            </w:r>
          </w:p>
        </w:tc>
        <w:tc>
          <w:tcPr>
            <w:tcW w:w="2579" w:type="dxa"/>
            <w:vAlign w:val="center"/>
          </w:tcPr>
          <w:p w14:paraId="4C8DBD9E" w14:textId="0A7F200D" w:rsidR="00F26B14" w:rsidRPr="00F23171" w:rsidRDefault="00CC016D" w:rsidP="00C323AB">
            <w:pPr>
              <w:spacing w:line="276" w:lineRule="auto"/>
              <w:jc w:val="center"/>
              <w:rPr>
                <w:rFonts w:ascii="Tahoma" w:hAnsi="Tahoma" w:cs="Tahoma"/>
                <w:color w:val="000000" w:themeColor="text1"/>
              </w:rPr>
            </w:pPr>
            <w:r w:rsidRPr="00F23171">
              <w:rPr>
                <w:rFonts w:ascii="Tahoma" w:hAnsi="Tahoma" w:cs="Tahoma"/>
                <w:color w:val="000000" w:themeColor="text1"/>
              </w:rPr>
              <w:t>Directeur de l’ONISPA</w:t>
            </w:r>
          </w:p>
        </w:tc>
      </w:tr>
      <w:tr w:rsidR="00F23171" w:rsidRPr="00F23171" w14:paraId="0136C540" w14:textId="77777777" w:rsidTr="00C323AB">
        <w:trPr>
          <w:trHeight w:val="302"/>
        </w:trPr>
        <w:tc>
          <w:tcPr>
            <w:tcW w:w="1838" w:type="dxa"/>
            <w:vAlign w:val="center"/>
          </w:tcPr>
          <w:p w14:paraId="2590AD56" w14:textId="77777777" w:rsidR="00F26B14" w:rsidRPr="00F23171" w:rsidRDefault="00F26B14" w:rsidP="00C323AB">
            <w:pPr>
              <w:spacing w:line="276" w:lineRule="auto"/>
              <w:jc w:val="center"/>
              <w:rPr>
                <w:rFonts w:ascii="Tahoma" w:hAnsi="Tahoma" w:cs="Tahoma"/>
                <w:b/>
                <w:bCs/>
                <w:color w:val="000000" w:themeColor="text1"/>
              </w:rPr>
            </w:pPr>
            <w:r w:rsidRPr="00F23171">
              <w:rPr>
                <w:rFonts w:ascii="Tahoma" w:hAnsi="Tahoma" w:cs="Tahoma"/>
                <w:b/>
                <w:bCs/>
                <w:color w:val="000000" w:themeColor="text1"/>
              </w:rPr>
              <w:t>Visa</w:t>
            </w:r>
          </w:p>
        </w:tc>
        <w:tc>
          <w:tcPr>
            <w:tcW w:w="2578" w:type="dxa"/>
            <w:vAlign w:val="center"/>
          </w:tcPr>
          <w:p w14:paraId="3A56781C" w14:textId="18C8F76F" w:rsidR="00F26B14" w:rsidRPr="00F23171" w:rsidRDefault="003455E5" w:rsidP="00C323AB">
            <w:pPr>
              <w:spacing w:before="120" w:after="120" w:line="276" w:lineRule="auto"/>
              <w:jc w:val="center"/>
              <w:rPr>
                <w:rFonts w:ascii="Tahoma" w:hAnsi="Tahoma" w:cs="Tahoma"/>
                <w:color w:val="000000" w:themeColor="text1"/>
              </w:rPr>
            </w:pPr>
            <w:r w:rsidRPr="003455E5">
              <w:rPr>
                <w:color w:val="000000" w:themeColor="text1"/>
              </w:rPr>
              <w:drawing>
                <wp:anchor distT="0" distB="0" distL="114300" distR="114300" simplePos="0" relativeHeight="251678720" behindDoc="1" locked="0" layoutInCell="1" allowOverlap="1" wp14:anchorId="256BBB32" wp14:editId="0DD3B0D9">
                  <wp:simplePos x="0" y="0"/>
                  <wp:positionH relativeFrom="column">
                    <wp:posOffset>254887</wp:posOffset>
                  </wp:positionH>
                  <wp:positionV relativeFrom="paragraph">
                    <wp:posOffset>-48711</wp:posOffset>
                  </wp:positionV>
                  <wp:extent cx="972164" cy="708127"/>
                  <wp:effectExtent l="63500" t="88900" r="57150" b="92075"/>
                  <wp:wrapNone/>
                  <wp:docPr id="17769480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948097" name=""/>
                          <pic:cNvPicPr/>
                        </pic:nvPicPr>
                        <pic:blipFill>
                          <a:blip r:embed="rId8">
                            <a:extLst>
                              <a:ext uri="{28A0092B-C50C-407E-A947-70E740481C1C}">
                                <a14:useLocalDpi xmlns:a14="http://schemas.microsoft.com/office/drawing/2010/main" val="0"/>
                              </a:ext>
                            </a:extLst>
                          </a:blip>
                          <a:stretch>
                            <a:fillRect/>
                          </a:stretch>
                        </pic:blipFill>
                        <pic:spPr>
                          <a:xfrm rot="635824">
                            <a:off x="0" y="0"/>
                            <a:ext cx="972164" cy="708127"/>
                          </a:xfrm>
                          <a:prstGeom prst="rect">
                            <a:avLst/>
                          </a:prstGeom>
                        </pic:spPr>
                      </pic:pic>
                    </a:graphicData>
                  </a:graphic>
                  <wp14:sizeRelH relativeFrom="page">
                    <wp14:pctWidth>0</wp14:pctWidth>
                  </wp14:sizeRelH>
                  <wp14:sizeRelV relativeFrom="page">
                    <wp14:pctHeight>0</wp14:pctHeight>
                  </wp14:sizeRelV>
                </wp:anchor>
              </w:drawing>
            </w:r>
          </w:p>
          <w:p w14:paraId="224AA909" w14:textId="22BD00F8" w:rsidR="00295770" w:rsidRPr="00F23171" w:rsidRDefault="00295770" w:rsidP="00C323AB">
            <w:pPr>
              <w:spacing w:before="120" w:after="120" w:line="276" w:lineRule="auto"/>
              <w:jc w:val="center"/>
              <w:rPr>
                <w:rFonts w:ascii="Tahoma" w:hAnsi="Tahoma" w:cs="Tahoma"/>
                <w:color w:val="000000" w:themeColor="text1"/>
              </w:rPr>
            </w:pPr>
          </w:p>
        </w:tc>
        <w:tc>
          <w:tcPr>
            <w:tcW w:w="2578" w:type="dxa"/>
            <w:vAlign w:val="center"/>
          </w:tcPr>
          <w:p w14:paraId="25437019" w14:textId="77777777" w:rsidR="00F26B14" w:rsidRPr="00F23171" w:rsidRDefault="00F26B14" w:rsidP="00C323AB">
            <w:pPr>
              <w:spacing w:before="120" w:after="120" w:line="276" w:lineRule="auto"/>
              <w:jc w:val="center"/>
              <w:rPr>
                <w:rFonts w:ascii="Tahoma" w:hAnsi="Tahoma" w:cs="Tahoma"/>
                <w:color w:val="000000" w:themeColor="text1"/>
              </w:rPr>
            </w:pPr>
          </w:p>
        </w:tc>
        <w:tc>
          <w:tcPr>
            <w:tcW w:w="2579" w:type="dxa"/>
            <w:vAlign w:val="center"/>
          </w:tcPr>
          <w:p w14:paraId="273040E8" w14:textId="6B3ECA4A" w:rsidR="00F26B14" w:rsidRPr="00F23171" w:rsidRDefault="003455E5" w:rsidP="00C323AB">
            <w:pPr>
              <w:spacing w:before="120" w:after="120" w:line="276" w:lineRule="auto"/>
              <w:jc w:val="center"/>
              <w:rPr>
                <w:rFonts w:ascii="Tahoma" w:hAnsi="Tahoma" w:cs="Tahoma"/>
                <w:color w:val="000000" w:themeColor="text1"/>
              </w:rPr>
            </w:pPr>
            <w:r w:rsidRPr="000F1F42">
              <w:rPr>
                <w:rFonts w:cs="Arial"/>
                <w:noProof/>
              </w:rPr>
              <w:drawing>
                <wp:anchor distT="0" distB="0" distL="114300" distR="114300" simplePos="0" relativeHeight="251677696" behindDoc="1" locked="0" layoutInCell="1" allowOverlap="1" wp14:anchorId="6B3395FA" wp14:editId="1DF287FA">
                  <wp:simplePos x="0" y="0"/>
                  <wp:positionH relativeFrom="column">
                    <wp:posOffset>160427</wp:posOffset>
                  </wp:positionH>
                  <wp:positionV relativeFrom="paragraph">
                    <wp:posOffset>11677</wp:posOffset>
                  </wp:positionV>
                  <wp:extent cx="1178041" cy="630614"/>
                  <wp:effectExtent l="0" t="0" r="3175" b="4445"/>
                  <wp:wrapNone/>
                  <wp:docPr id="17781781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178150" name=""/>
                          <pic:cNvPicPr/>
                        </pic:nvPicPr>
                        <pic:blipFill>
                          <a:blip r:embed="rId9">
                            <a:alphaModFix/>
                            <a:lum contrast="40000"/>
                          </a:blip>
                          <a:stretch>
                            <a:fillRect/>
                          </a:stretch>
                        </pic:blipFill>
                        <pic:spPr>
                          <a:xfrm>
                            <a:off x="0" y="0"/>
                            <a:ext cx="1250743" cy="669532"/>
                          </a:xfrm>
                          <a:prstGeom prst="rect">
                            <a:avLst/>
                          </a:prstGeom>
                        </pic:spPr>
                      </pic:pic>
                    </a:graphicData>
                  </a:graphic>
                  <wp14:sizeRelH relativeFrom="page">
                    <wp14:pctWidth>0</wp14:pctWidth>
                  </wp14:sizeRelH>
                  <wp14:sizeRelV relativeFrom="page">
                    <wp14:pctHeight>0</wp14:pctHeight>
                  </wp14:sizeRelV>
                </wp:anchor>
              </w:drawing>
            </w:r>
          </w:p>
        </w:tc>
      </w:tr>
      <w:tr w:rsidR="00F23171" w:rsidRPr="00F23171" w14:paraId="5AF21518" w14:textId="77777777" w:rsidTr="00C323AB">
        <w:trPr>
          <w:trHeight w:val="302"/>
        </w:trPr>
        <w:tc>
          <w:tcPr>
            <w:tcW w:w="1838" w:type="dxa"/>
            <w:vAlign w:val="center"/>
          </w:tcPr>
          <w:p w14:paraId="2D39C7DF" w14:textId="77777777" w:rsidR="00F26B14" w:rsidRPr="00F23171" w:rsidRDefault="00F26B14" w:rsidP="00C323AB">
            <w:pPr>
              <w:spacing w:line="276" w:lineRule="auto"/>
              <w:jc w:val="center"/>
              <w:rPr>
                <w:rFonts w:ascii="Tahoma" w:hAnsi="Tahoma" w:cs="Tahoma"/>
                <w:b/>
                <w:bCs/>
                <w:color w:val="000000" w:themeColor="text1"/>
              </w:rPr>
            </w:pPr>
            <w:r w:rsidRPr="00F23171">
              <w:rPr>
                <w:rFonts w:ascii="Tahoma" w:hAnsi="Tahoma" w:cs="Tahoma"/>
                <w:b/>
                <w:bCs/>
                <w:color w:val="000000" w:themeColor="text1"/>
              </w:rPr>
              <w:t>Date</w:t>
            </w:r>
          </w:p>
        </w:tc>
        <w:tc>
          <w:tcPr>
            <w:tcW w:w="2578" w:type="dxa"/>
            <w:vAlign w:val="center"/>
          </w:tcPr>
          <w:p w14:paraId="1CB58284" w14:textId="3A84C882" w:rsidR="00F26B14" w:rsidRPr="00F23171" w:rsidRDefault="00F26B14" w:rsidP="00C323AB">
            <w:pPr>
              <w:spacing w:before="120" w:after="120" w:line="276" w:lineRule="auto"/>
              <w:jc w:val="center"/>
              <w:rPr>
                <w:rFonts w:ascii="Tahoma" w:hAnsi="Tahoma" w:cs="Tahoma"/>
                <w:b/>
                <w:color w:val="000000" w:themeColor="text1"/>
              </w:rPr>
            </w:pPr>
            <w:r w:rsidRPr="00F23171">
              <w:rPr>
                <w:rFonts w:ascii="Tahoma" w:hAnsi="Tahoma" w:cs="Tahoma"/>
                <w:b/>
                <w:bCs/>
                <w:color w:val="000000" w:themeColor="text1"/>
              </w:rPr>
              <w:t>29/05/202</w:t>
            </w:r>
            <w:r w:rsidR="00242F01" w:rsidRPr="00F23171">
              <w:rPr>
                <w:rFonts w:ascii="Tahoma" w:hAnsi="Tahoma" w:cs="Tahoma"/>
                <w:b/>
                <w:bCs/>
                <w:color w:val="000000" w:themeColor="text1"/>
              </w:rPr>
              <w:t>5</w:t>
            </w:r>
          </w:p>
        </w:tc>
        <w:tc>
          <w:tcPr>
            <w:tcW w:w="2578" w:type="dxa"/>
            <w:vAlign w:val="center"/>
          </w:tcPr>
          <w:p w14:paraId="7A5CD263" w14:textId="72D9D7EA" w:rsidR="00F26B14" w:rsidRPr="00F23171" w:rsidRDefault="00F26B14" w:rsidP="00C323AB">
            <w:pPr>
              <w:spacing w:before="120" w:after="120" w:line="276" w:lineRule="auto"/>
              <w:jc w:val="center"/>
              <w:rPr>
                <w:rFonts w:ascii="Tahoma" w:hAnsi="Tahoma" w:cs="Tahoma"/>
                <w:b/>
                <w:color w:val="000000" w:themeColor="text1"/>
              </w:rPr>
            </w:pPr>
            <w:r w:rsidRPr="00F23171">
              <w:rPr>
                <w:rFonts w:ascii="Tahoma" w:hAnsi="Tahoma" w:cs="Tahoma"/>
                <w:b/>
                <w:bCs/>
                <w:color w:val="000000" w:themeColor="text1"/>
              </w:rPr>
              <w:t>27/06/202</w:t>
            </w:r>
            <w:r w:rsidR="00242F01" w:rsidRPr="00F23171">
              <w:rPr>
                <w:rFonts w:ascii="Tahoma" w:hAnsi="Tahoma" w:cs="Tahoma"/>
                <w:b/>
                <w:bCs/>
                <w:color w:val="000000" w:themeColor="text1"/>
              </w:rPr>
              <w:t>5</w:t>
            </w:r>
          </w:p>
        </w:tc>
        <w:tc>
          <w:tcPr>
            <w:tcW w:w="2579" w:type="dxa"/>
            <w:vAlign w:val="center"/>
          </w:tcPr>
          <w:p w14:paraId="56000CA6" w14:textId="08CD1A3F" w:rsidR="00F26B14" w:rsidRPr="00F23171" w:rsidRDefault="00F26B14" w:rsidP="00C323AB">
            <w:pPr>
              <w:spacing w:before="120" w:after="120" w:line="276" w:lineRule="auto"/>
              <w:jc w:val="center"/>
              <w:rPr>
                <w:rFonts w:ascii="Tahoma" w:hAnsi="Tahoma" w:cs="Tahoma"/>
                <w:b/>
                <w:color w:val="000000" w:themeColor="text1"/>
              </w:rPr>
            </w:pPr>
            <w:r w:rsidRPr="00F23171">
              <w:rPr>
                <w:rFonts w:ascii="Tahoma" w:hAnsi="Tahoma" w:cs="Tahoma"/>
                <w:b/>
                <w:bCs/>
                <w:color w:val="000000" w:themeColor="text1"/>
              </w:rPr>
              <w:t>01/07/202</w:t>
            </w:r>
            <w:r w:rsidR="00242F01" w:rsidRPr="00F23171">
              <w:rPr>
                <w:rFonts w:ascii="Tahoma" w:hAnsi="Tahoma" w:cs="Tahoma"/>
                <w:b/>
                <w:bCs/>
                <w:color w:val="000000" w:themeColor="text1"/>
              </w:rPr>
              <w:t>5</w:t>
            </w:r>
          </w:p>
        </w:tc>
      </w:tr>
    </w:tbl>
    <w:p w14:paraId="5B427227" w14:textId="77777777" w:rsidR="009D391E" w:rsidRPr="00F23171" w:rsidRDefault="009D391E" w:rsidP="009D391E">
      <w:pPr>
        <w:rPr>
          <w:color w:val="000000" w:themeColor="text1"/>
        </w:rPr>
      </w:pPr>
    </w:p>
    <w:p w14:paraId="7E7BDDA6" w14:textId="52D3B6F7" w:rsidR="009D391E" w:rsidRPr="00F23171" w:rsidRDefault="009D391E" w:rsidP="009D391E">
      <w:pPr>
        <w:rPr>
          <w:color w:val="000000" w:themeColor="text1"/>
        </w:rPr>
      </w:pPr>
    </w:p>
    <w:p w14:paraId="3A83BDDF" w14:textId="54B27102" w:rsidR="009D391E" w:rsidRPr="00F23171" w:rsidRDefault="009D391E" w:rsidP="009D391E">
      <w:pPr>
        <w:rPr>
          <w:color w:val="000000" w:themeColor="text1"/>
        </w:rPr>
      </w:pPr>
    </w:p>
    <w:p w14:paraId="0E75F6A0" w14:textId="15EBDEB9" w:rsidR="00917406" w:rsidRPr="00F23171" w:rsidRDefault="00917406" w:rsidP="00B004EE">
      <w:pPr>
        <w:pStyle w:val="Lgende"/>
        <w:jc w:val="both"/>
        <w:rPr>
          <w:rFonts w:ascii="Tahoma" w:hAnsi="Tahoma" w:cs="Tahoma"/>
          <w:color w:val="000000" w:themeColor="text1"/>
          <w:sz w:val="24"/>
          <w:szCs w:val="24"/>
        </w:rPr>
      </w:pPr>
    </w:p>
    <w:p w14:paraId="020A4984" w14:textId="1AA598E6" w:rsidR="00781AC7" w:rsidRPr="00F23171" w:rsidRDefault="00781AC7" w:rsidP="006B4E20">
      <w:pPr>
        <w:pStyle w:val="Lgende"/>
        <w:rPr>
          <w:rFonts w:ascii="Tahoma" w:hAnsi="Tahoma" w:cs="Tahoma"/>
          <w:b w:val="0"/>
          <w:bCs w:val="0"/>
          <w:i/>
          <w:iCs/>
          <w:color w:val="000000" w:themeColor="text1"/>
          <w:sz w:val="24"/>
          <w:szCs w:val="24"/>
        </w:rPr>
        <w:sectPr w:rsidR="00781AC7" w:rsidRPr="00F23171" w:rsidSect="00860410">
          <w:headerReference w:type="even" r:id="rId10"/>
          <w:footerReference w:type="even" r:id="rId11"/>
          <w:footerReference w:type="default" r:id="rId12"/>
          <w:headerReference w:type="first" r:id="rId13"/>
          <w:footerReference w:type="first" r:id="rId14"/>
          <w:pgSz w:w="12240" w:h="15840"/>
          <w:pgMar w:top="3740" w:right="1417" w:bottom="1417" w:left="1417" w:header="720" w:footer="720" w:gutter="0"/>
          <w:cols w:space="720"/>
          <w:noEndnote/>
          <w:titlePg/>
          <w:docGrid w:linePitch="326"/>
        </w:sectPr>
      </w:pPr>
    </w:p>
    <w:sdt>
      <w:sdtPr>
        <w:rPr>
          <w:rFonts w:ascii="Tahoma" w:hAnsi="Tahoma" w:cs="Tahoma"/>
          <w:bCs w:val="0"/>
          <w:color w:val="0070C0"/>
          <w:sz w:val="40"/>
          <w:szCs w:val="40"/>
          <w:lang w:eastAsia="fr-FR"/>
        </w:rPr>
        <w:id w:val="-1895892804"/>
        <w:docPartObj>
          <w:docPartGallery w:val="Table of Contents"/>
          <w:docPartUnique/>
        </w:docPartObj>
      </w:sdtPr>
      <w:sdtEndPr>
        <w:rPr>
          <w:b w:val="0"/>
          <w:noProof/>
          <w:color w:val="auto"/>
          <w:sz w:val="20"/>
          <w:szCs w:val="20"/>
        </w:rPr>
      </w:sdtEndPr>
      <w:sdtContent>
        <w:p w14:paraId="5ED15783" w14:textId="3BA8CA4B" w:rsidR="004A0283" w:rsidRPr="00576B08" w:rsidRDefault="004A0283" w:rsidP="00B004EE">
          <w:pPr>
            <w:pStyle w:val="En-ttedetabledesmatires"/>
            <w:spacing w:before="0" w:line="240" w:lineRule="auto"/>
            <w:jc w:val="center"/>
            <w:rPr>
              <w:rFonts w:ascii="Tahoma" w:hAnsi="Tahoma" w:cs="Tahoma"/>
              <w:bCs w:val="0"/>
              <w:color w:val="0070C0"/>
            </w:rPr>
          </w:pPr>
          <w:r w:rsidRPr="00576B08">
            <w:rPr>
              <w:rFonts w:ascii="Tahoma" w:hAnsi="Tahoma" w:cs="Tahoma"/>
              <w:bCs w:val="0"/>
              <w:color w:val="0070C0"/>
            </w:rPr>
            <w:t>TABLE</w:t>
          </w:r>
          <w:r w:rsidR="00DB1635" w:rsidRPr="00576B08">
            <w:rPr>
              <w:rFonts w:ascii="Tahoma" w:hAnsi="Tahoma" w:cs="Tahoma"/>
              <w:bCs w:val="0"/>
              <w:color w:val="0070C0"/>
            </w:rPr>
            <w:t xml:space="preserve"> </w:t>
          </w:r>
          <w:r w:rsidRPr="00576B08">
            <w:rPr>
              <w:rFonts w:ascii="Tahoma" w:hAnsi="Tahoma" w:cs="Tahoma"/>
              <w:bCs w:val="0"/>
              <w:color w:val="0070C0"/>
            </w:rPr>
            <w:t>DES</w:t>
          </w:r>
          <w:r w:rsidR="00DB1635" w:rsidRPr="00576B08">
            <w:rPr>
              <w:rFonts w:ascii="Tahoma" w:hAnsi="Tahoma" w:cs="Tahoma"/>
              <w:bCs w:val="0"/>
              <w:color w:val="0070C0"/>
            </w:rPr>
            <w:t xml:space="preserve"> </w:t>
          </w:r>
          <w:r w:rsidRPr="00576B08">
            <w:rPr>
              <w:rFonts w:ascii="Tahoma" w:hAnsi="Tahoma" w:cs="Tahoma"/>
              <w:bCs w:val="0"/>
              <w:color w:val="0070C0"/>
            </w:rPr>
            <w:t>MATIERES</w:t>
          </w:r>
        </w:p>
        <w:p w14:paraId="4B46E377" w14:textId="0AE165B2" w:rsidR="00576B08" w:rsidRPr="00576B08" w:rsidRDefault="004A0283">
          <w:pPr>
            <w:pStyle w:val="TM1"/>
            <w:rPr>
              <w:rFonts w:ascii="Tahoma" w:eastAsiaTheme="minorEastAsia" w:hAnsi="Tahoma" w:cs="Tahoma"/>
              <w:b w:val="0"/>
              <w:bCs w:val="0"/>
              <w:noProof/>
              <w:kern w:val="2"/>
              <w:sz w:val="20"/>
              <w:szCs w:val="20"/>
              <w:lang w:val="fr-MR"/>
              <w14:ligatures w14:val="standardContextual"/>
            </w:rPr>
          </w:pPr>
          <w:r w:rsidRPr="00576B08">
            <w:rPr>
              <w:rFonts w:ascii="Tahoma" w:hAnsi="Tahoma" w:cs="Tahoma"/>
              <w:b w:val="0"/>
              <w:bCs w:val="0"/>
              <w:sz w:val="20"/>
              <w:szCs w:val="20"/>
            </w:rPr>
            <w:fldChar w:fldCharType="begin"/>
          </w:r>
          <w:r w:rsidRPr="00576B08">
            <w:rPr>
              <w:rFonts w:ascii="Tahoma" w:hAnsi="Tahoma" w:cs="Tahoma"/>
              <w:b w:val="0"/>
              <w:bCs w:val="0"/>
              <w:sz w:val="20"/>
              <w:szCs w:val="20"/>
            </w:rPr>
            <w:instrText>TOC \o "1-3" \h \z \u</w:instrText>
          </w:r>
          <w:r w:rsidRPr="00576B08">
            <w:rPr>
              <w:rFonts w:ascii="Tahoma" w:hAnsi="Tahoma" w:cs="Tahoma"/>
              <w:b w:val="0"/>
              <w:bCs w:val="0"/>
              <w:sz w:val="20"/>
              <w:szCs w:val="20"/>
            </w:rPr>
            <w:fldChar w:fldCharType="separate"/>
          </w:r>
          <w:hyperlink w:anchor="_Toc202214668" w:history="1">
            <w:r w:rsidR="00576B08" w:rsidRPr="00576B08">
              <w:rPr>
                <w:rStyle w:val="Lienhypertexte"/>
                <w:rFonts w:ascii="Tahoma" w:hAnsi="Tahoma" w:cs="Tahoma"/>
                <w:b w:val="0"/>
                <w:bCs w:val="0"/>
                <w:noProof/>
                <w:sz w:val="20"/>
                <w:szCs w:val="20"/>
              </w:rPr>
              <w:t>HISTORIQUE DES REVISIONS</w:t>
            </w:r>
            <w:r w:rsidR="00576B08" w:rsidRPr="00576B08">
              <w:rPr>
                <w:rFonts w:ascii="Tahoma" w:hAnsi="Tahoma" w:cs="Tahoma"/>
                <w:b w:val="0"/>
                <w:bCs w:val="0"/>
                <w:noProof/>
                <w:webHidden/>
                <w:sz w:val="20"/>
                <w:szCs w:val="20"/>
              </w:rPr>
              <w:tab/>
            </w:r>
            <w:r w:rsidR="00576B08" w:rsidRPr="00576B08">
              <w:rPr>
                <w:rFonts w:ascii="Tahoma" w:hAnsi="Tahoma" w:cs="Tahoma"/>
                <w:b w:val="0"/>
                <w:bCs w:val="0"/>
                <w:noProof/>
                <w:webHidden/>
                <w:sz w:val="20"/>
                <w:szCs w:val="20"/>
              </w:rPr>
              <w:fldChar w:fldCharType="begin"/>
            </w:r>
            <w:r w:rsidR="00576B08" w:rsidRPr="00576B08">
              <w:rPr>
                <w:rFonts w:ascii="Tahoma" w:hAnsi="Tahoma" w:cs="Tahoma"/>
                <w:b w:val="0"/>
                <w:bCs w:val="0"/>
                <w:noProof/>
                <w:webHidden/>
                <w:sz w:val="20"/>
                <w:szCs w:val="20"/>
              </w:rPr>
              <w:instrText xml:space="preserve"> PAGEREF _Toc202214668 \h </w:instrText>
            </w:r>
            <w:r w:rsidR="00576B08" w:rsidRPr="00576B08">
              <w:rPr>
                <w:rFonts w:ascii="Tahoma" w:hAnsi="Tahoma" w:cs="Tahoma"/>
                <w:b w:val="0"/>
                <w:bCs w:val="0"/>
                <w:noProof/>
                <w:webHidden/>
                <w:sz w:val="20"/>
                <w:szCs w:val="20"/>
              </w:rPr>
            </w:r>
            <w:r w:rsidR="00576B08" w:rsidRPr="00576B08">
              <w:rPr>
                <w:rFonts w:ascii="Tahoma" w:hAnsi="Tahoma" w:cs="Tahoma"/>
                <w:b w:val="0"/>
                <w:bCs w:val="0"/>
                <w:noProof/>
                <w:webHidden/>
                <w:sz w:val="20"/>
                <w:szCs w:val="20"/>
              </w:rPr>
              <w:fldChar w:fldCharType="separate"/>
            </w:r>
            <w:r w:rsidR="00576B08" w:rsidRPr="00576B08">
              <w:rPr>
                <w:rFonts w:ascii="Tahoma" w:hAnsi="Tahoma" w:cs="Tahoma"/>
                <w:b w:val="0"/>
                <w:bCs w:val="0"/>
                <w:noProof/>
                <w:webHidden/>
                <w:sz w:val="20"/>
                <w:szCs w:val="20"/>
              </w:rPr>
              <w:t>5</w:t>
            </w:r>
            <w:r w:rsidR="00576B08" w:rsidRPr="00576B08">
              <w:rPr>
                <w:rFonts w:ascii="Tahoma" w:hAnsi="Tahoma" w:cs="Tahoma"/>
                <w:b w:val="0"/>
                <w:bCs w:val="0"/>
                <w:noProof/>
                <w:webHidden/>
                <w:sz w:val="20"/>
                <w:szCs w:val="20"/>
              </w:rPr>
              <w:fldChar w:fldCharType="end"/>
            </w:r>
          </w:hyperlink>
        </w:p>
        <w:p w14:paraId="7991222C" w14:textId="3C61094A" w:rsidR="00576B08" w:rsidRPr="00576B08" w:rsidRDefault="00576B08">
          <w:pPr>
            <w:pStyle w:val="TM1"/>
            <w:rPr>
              <w:rFonts w:ascii="Tahoma" w:eastAsiaTheme="minorEastAsia" w:hAnsi="Tahoma" w:cs="Tahoma"/>
              <w:b w:val="0"/>
              <w:bCs w:val="0"/>
              <w:noProof/>
              <w:kern w:val="2"/>
              <w:sz w:val="20"/>
              <w:szCs w:val="20"/>
              <w:lang w:val="fr-MR"/>
              <w14:ligatures w14:val="standardContextual"/>
            </w:rPr>
          </w:pPr>
          <w:hyperlink w:anchor="_Toc202214669" w:history="1">
            <w:r w:rsidRPr="00576B08">
              <w:rPr>
                <w:rStyle w:val="Lienhypertexte"/>
                <w:rFonts w:ascii="Tahoma" w:hAnsi="Tahoma" w:cs="Tahoma"/>
                <w:b w:val="0"/>
                <w:bCs w:val="0"/>
                <w:noProof/>
                <w:sz w:val="20"/>
                <w:szCs w:val="20"/>
              </w:rPr>
              <w:t>AVANT-PROPOS</w:t>
            </w:r>
            <w:r w:rsidRPr="00576B08">
              <w:rPr>
                <w:rFonts w:ascii="Tahoma" w:hAnsi="Tahoma" w:cs="Tahoma"/>
                <w:b w:val="0"/>
                <w:bCs w:val="0"/>
                <w:noProof/>
                <w:webHidden/>
                <w:sz w:val="20"/>
                <w:szCs w:val="20"/>
              </w:rPr>
              <w:tab/>
            </w:r>
            <w:r w:rsidRPr="00576B08">
              <w:rPr>
                <w:rFonts w:ascii="Tahoma" w:hAnsi="Tahoma" w:cs="Tahoma"/>
                <w:b w:val="0"/>
                <w:bCs w:val="0"/>
                <w:noProof/>
                <w:webHidden/>
                <w:sz w:val="20"/>
                <w:szCs w:val="20"/>
              </w:rPr>
              <w:fldChar w:fldCharType="begin"/>
            </w:r>
            <w:r w:rsidRPr="00576B08">
              <w:rPr>
                <w:rFonts w:ascii="Tahoma" w:hAnsi="Tahoma" w:cs="Tahoma"/>
                <w:b w:val="0"/>
                <w:bCs w:val="0"/>
                <w:noProof/>
                <w:webHidden/>
                <w:sz w:val="20"/>
                <w:szCs w:val="20"/>
              </w:rPr>
              <w:instrText xml:space="preserve"> PAGEREF _Toc202214669 \h </w:instrText>
            </w:r>
            <w:r w:rsidRPr="00576B08">
              <w:rPr>
                <w:rFonts w:ascii="Tahoma" w:hAnsi="Tahoma" w:cs="Tahoma"/>
                <w:b w:val="0"/>
                <w:bCs w:val="0"/>
                <w:noProof/>
                <w:webHidden/>
                <w:sz w:val="20"/>
                <w:szCs w:val="20"/>
              </w:rPr>
            </w:r>
            <w:r w:rsidRPr="00576B08">
              <w:rPr>
                <w:rFonts w:ascii="Tahoma" w:hAnsi="Tahoma" w:cs="Tahoma"/>
                <w:b w:val="0"/>
                <w:bCs w:val="0"/>
                <w:noProof/>
                <w:webHidden/>
                <w:sz w:val="20"/>
                <w:szCs w:val="20"/>
              </w:rPr>
              <w:fldChar w:fldCharType="separate"/>
            </w:r>
            <w:r w:rsidRPr="00576B08">
              <w:rPr>
                <w:rFonts w:ascii="Tahoma" w:hAnsi="Tahoma" w:cs="Tahoma"/>
                <w:b w:val="0"/>
                <w:bCs w:val="0"/>
                <w:noProof/>
                <w:webHidden/>
                <w:sz w:val="20"/>
                <w:szCs w:val="20"/>
              </w:rPr>
              <w:t>6</w:t>
            </w:r>
            <w:r w:rsidRPr="00576B08">
              <w:rPr>
                <w:rFonts w:ascii="Tahoma" w:hAnsi="Tahoma" w:cs="Tahoma"/>
                <w:b w:val="0"/>
                <w:bCs w:val="0"/>
                <w:noProof/>
                <w:webHidden/>
                <w:sz w:val="20"/>
                <w:szCs w:val="20"/>
              </w:rPr>
              <w:fldChar w:fldCharType="end"/>
            </w:r>
          </w:hyperlink>
        </w:p>
        <w:p w14:paraId="4FD8D8EF" w14:textId="2E71E2C8" w:rsidR="00576B08" w:rsidRPr="00576B08" w:rsidRDefault="00576B08">
          <w:pPr>
            <w:pStyle w:val="TM1"/>
            <w:rPr>
              <w:rFonts w:ascii="Tahoma" w:eastAsiaTheme="minorEastAsia" w:hAnsi="Tahoma" w:cs="Tahoma"/>
              <w:b w:val="0"/>
              <w:bCs w:val="0"/>
              <w:noProof/>
              <w:kern w:val="2"/>
              <w:sz w:val="20"/>
              <w:szCs w:val="20"/>
              <w:lang w:val="fr-MR"/>
              <w14:ligatures w14:val="standardContextual"/>
            </w:rPr>
          </w:pPr>
          <w:hyperlink w:anchor="_Toc202214670" w:history="1">
            <w:r w:rsidRPr="00576B08">
              <w:rPr>
                <w:rStyle w:val="Lienhypertexte"/>
                <w:rFonts w:ascii="Tahoma" w:hAnsi="Tahoma" w:cs="Tahoma"/>
                <w:b w:val="0"/>
                <w:bCs w:val="0"/>
                <w:i/>
                <w:iCs/>
                <w:noProof/>
                <w:sz w:val="20"/>
                <w:szCs w:val="20"/>
              </w:rPr>
              <w:t>Les lo</w:t>
            </w:r>
            <w:r w:rsidRPr="00576B08">
              <w:rPr>
                <w:rStyle w:val="Lienhypertexte"/>
                <w:rFonts w:ascii="Tahoma" w:hAnsi="Tahoma" w:cs="Tahoma"/>
                <w:b w:val="0"/>
                <w:bCs w:val="0"/>
                <w:i/>
                <w:iCs/>
                <w:noProof/>
                <w:sz w:val="20"/>
                <w:szCs w:val="20"/>
              </w:rPr>
              <w:t>i</w:t>
            </w:r>
            <w:r w:rsidRPr="00576B08">
              <w:rPr>
                <w:rStyle w:val="Lienhypertexte"/>
                <w:rFonts w:ascii="Tahoma" w:hAnsi="Tahoma" w:cs="Tahoma"/>
                <w:b w:val="0"/>
                <w:bCs w:val="0"/>
                <w:i/>
                <w:iCs/>
                <w:noProof/>
                <w:sz w:val="20"/>
                <w:szCs w:val="20"/>
              </w:rPr>
              <w:t>s</w:t>
            </w:r>
            <w:r w:rsidRPr="00576B08">
              <w:rPr>
                <w:rFonts w:ascii="Tahoma" w:hAnsi="Tahoma" w:cs="Tahoma"/>
                <w:b w:val="0"/>
                <w:bCs w:val="0"/>
                <w:noProof/>
                <w:webHidden/>
                <w:sz w:val="20"/>
                <w:szCs w:val="20"/>
              </w:rPr>
              <w:tab/>
            </w:r>
            <w:r w:rsidRPr="00576B08">
              <w:rPr>
                <w:rFonts w:ascii="Tahoma" w:hAnsi="Tahoma" w:cs="Tahoma"/>
                <w:b w:val="0"/>
                <w:bCs w:val="0"/>
                <w:noProof/>
                <w:webHidden/>
                <w:sz w:val="20"/>
                <w:szCs w:val="20"/>
              </w:rPr>
              <w:fldChar w:fldCharType="begin"/>
            </w:r>
            <w:r w:rsidRPr="00576B08">
              <w:rPr>
                <w:rFonts w:ascii="Tahoma" w:hAnsi="Tahoma" w:cs="Tahoma"/>
                <w:b w:val="0"/>
                <w:bCs w:val="0"/>
                <w:noProof/>
                <w:webHidden/>
                <w:sz w:val="20"/>
                <w:szCs w:val="20"/>
              </w:rPr>
              <w:instrText xml:space="preserve"> PAGEREF _Toc202214670 \h </w:instrText>
            </w:r>
            <w:r w:rsidRPr="00576B08">
              <w:rPr>
                <w:rFonts w:ascii="Tahoma" w:hAnsi="Tahoma" w:cs="Tahoma"/>
                <w:b w:val="0"/>
                <w:bCs w:val="0"/>
                <w:noProof/>
                <w:webHidden/>
                <w:sz w:val="20"/>
                <w:szCs w:val="20"/>
              </w:rPr>
            </w:r>
            <w:r w:rsidRPr="00576B08">
              <w:rPr>
                <w:rFonts w:ascii="Tahoma" w:hAnsi="Tahoma" w:cs="Tahoma"/>
                <w:b w:val="0"/>
                <w:bCs w:val="0"/>
                <w:noProof/>
                <w:webHidden/>
                <w:sz w:val="20"/>
                <w:szCs w:val="20"/>
              </w:rPr>
              <w:fldChar w:fldCharType="separate"/>
            </w:r>
            <w:r w:rsidRPr="00576B08">
              <w:rPr>
                <w:rFonts w:ascii="Tahoma" w:hAnsi="Tahoma" w:cs="Tahoma"/>
                <w:b w:val="0"/>
                <w:bCs w:val="0"/>
                <w:noProof/>
                <w:webHidden/>
                <w:sz w:val="20"/>
                <w:szCs w:val="20"/>
              </w:rPr>
              <w:t>7</w:t>
            </w:r>
            <w:r w:rsidRPr="00576B08">
              <w:rPr>
                <w:rFonts w:ascii="Tahoma" w:hAnsi="Tahoma" w:cs="Tahoma"/>
                <w:b w:val="0"/>
                <w:bCs w:val="0"/>
                <w:noProof/>
                <w:webHidden/>
                <w:sz w:val="20"/>
                <w:szCs w:val="20"/>
              </w:rPr>
              <w:fldChar w:fldCharType="end"/>
            </w:r>
          </w:hyperlink>
        </w:p>
        <w:p w14:paraId="4D0738B1" w14:textId="224E87D0" w:rsidR="00576B08" w:rsidRPr="00576B08" w:rsidRDefault="00576B08">
          <w:pPr>
            <w:pStyle w:val="TM1"/>
            <w:rPr>
              <w:rFonts w:ascii="Tahoma" w:eastAsiaTheme="minorEastAsia" w:hAnsi="Tahoma" w:cs="Tahoma"/>
              <w:b w:val="0"/>
              <w:bCs w:val="0"/>
              <w:noProof/>
              <w:kern w:val="2"/>
              <w:sz w:val="20"/>
              <w:szCs w:val="20"/>
              <w:lang w:val="fr-MR"/>
              <w14:ligatures w14:val="standardContextual"/>
            </w:rPr>
          </w:pPr>
          <w:hyperlink w:anchor="_Toc202214671" w:history="1">
            <w:r w:rsidRPr="00576B08">
              <w:rPr>
                <w:rStyle w:val="Lienhypertexte"/>
                <w:rFonts w:ascii="Tahoma" w:hAnsi="Tahoma" w:cs="Tahoma"/>
                <w:b w:val="0"/>
                <w:bCs w:val="0"/>
                <w:noProof/>
                <w:sz w:val="20"/>
                <w:szCs w:val="20"/>
              </w:rPr>
              <w:t>Loi n° 2005-030 du 02 Février 2005 portant Code de l'eau</w:t>
            </w:r>
            <w:r w:rsidRPr="00576B08">
              <w:rPr>
                <w:rFonts w:ascii="Tahoma" w:hAnsi="Tahoma" w:cs="Tahoma"/>
                <w:b w:val="0"/>
                <w:bCs w:val="0"/>
                <w:noProof/>
                <w:webHidden/>
                <w:sz w:val="20"/>
                <w:szCs w:val="20"/>
              </w:rPr>
              <w:tab/>
            </w:r>
            <w:r w:rsidRPr="00576B08">
              <w:rPr>
                <w:rFonts w:ascii="Tahoma" w:hAnsi="Tahoma" w:cs="Tahoma"/>
                <w:b w:val="0"/>
                <w:bCs w:val="0"/>
                <w:noProof/>
                <w:webHidden/>
                <w:sz w:val="20"/>
                <w:szCs w:val="20"/>
              </w:rPr>
              <w:fldChar w:fldCharType="begin"/>
            </w:r>
            <w:r w:rsidRPr="00576B08">
              <w:rPr>
                <w:rFonts w:ascii="Tahoma" w:hAnsi="Tahoma" w:cs="Tahoma"/>
                <w:b w:val="0"/>
                <w:bCs w:val="0"/>
                <w:noProof/>
                <w:webHidden/>
                <w:sz w:val="20"/>
                <w:szCs w:val="20"/>
              </w:rPr>
              <w:instrText xml:space="preserve"> PAGEREF _Toc202214671 \h </w:instrText>
            </w:r>
            <w:r w:rsidRPr="00576B08">
              <w:rPr>
                <w:rFonts w:ascii="Tahoma" w:hAnsi="Tahoma" w:cs="Tahoma"/>
                <w:b w:val="0"/>
                <w:bCs w:val="0"/>
                <w:noProof/>
                <w:webHidden/>
                <w:sz w:val="20"/>
                <w:szCs w:val="20"/>
              </w:rPr>
            </w:r>
            <w:r w:rsidRPr="00576B08">
              <w:rPr>
                <w:rFonts w:ascii="Tahoma" w:hAnsi="Tahoma" w:cs="Tahoma"/>
                <w:b w:val="0"/>
                <w:bCs w:val="0"/>
                <w:noProof/>
                <w:webHidden/>
                <w:sz w:val="20"/>
                <w:szCs w:val="20"/>
              </w:rPr>
              <w:fldChar w:fldCharType="separate"/>
            </w:r>
            <w:r w:rsidRPr="00576B08">
              <w:rPr>
                <w:rFonts w:ascii="Tahoma" w:hAnsi="Tahoma" w:cs="Tahoma"/>
                <w:b w:val="0"/>
                <w:bCs w:val="0"/>
                <w:noProof/>
                <w:webHidden/>
                <w:sz w:val="20"/>
                <w:szCs w:val="20"/>
              </w:rPr>
              <w:t>8</w:t>
            </w:r>
            <w:r w:rsidRPr="00576B08">
              <w:rPr>
                <w:rFonts w:ascii="Tahoma" w:hAnsi="Tahoma" w:cs="Tahoma"/>
                <w:b w:val="0"/>
                <w:bCs w:val="0"/>
                <w:noProof/>
                <w:webHidden/>
                <w:sz w:val="20"/>
                <w:szCs w:val="20"/>
              </w:rPr>
              <w:fldChar w:fldCharType="end"/>
            </w:r>
          </w:hyperlink>
        </w:p>
        <w:p w14:paraId="2916BF69" w14:textId="3D9F5CDD" w:rsidR="00576B08" w:rsidRPr="00576B08" w:rsidRDefault="00576B08">
          <w:pPr>
            <w:pStyle w:val="TM1"/>
            <w:rPr>
              <w:rFonts w:ascii="Tahoma" w:eastAsiaTheme="minorEastAsia" w:hAnsi="Tahoma" w:cs="Tahoma"/>
              <w:b w:val="0"/>
              <w:bCs w:val="0"/>
              <w:noProof/>
              <w:kern w:val="2"/>
              <w:sz w:val="20"/>
              <w:szCs w:val="20"/>
              <w:lang w:val="fr-MR"/>
              <w14:ligatures w14:val="standardContextual"/>
            </w:rPr>
          </w:pPr>
          <w:hyperlink w:anchor="_Toc202214672" w:history="1">
            <w:r w:rsidRPr="00576B08">
              <w:rPr>
                <w:rStyle w:val="Lienhypertexte"/>
                <w:rFonts w:ascii="Tahoma" w:hAnsi="Tahoma" w:cs="Tahoma"/>
                <w:b w:val="0"/>
                <w:bCs w:val="0"/>
                <w:noProof/>
                <w:sz w:val="20"/>
                <w:szCs w:val="20"/>
              </w:rPr>
              <w:t>Loi n° 2010-042 du 21 juillet 2010 relative au Code d’hygiène.</w:t>
            </w:r>
            <w:r w:rsidRPr="00576B08">
              <w:rPr>
                <w:rFonts w:ascii="Tahoma" w:hAnsi="Tahoma" w:cs="Tahoma"/>
                <w:b w:val="0"/>
                <w:bCs w:val="0"/>
                <w:noProof/>
                <w:webHidden/>
                <w:sz w:val="20"/>
                <w:szCs w:val="20"/>
              </w:rPr>
              <w:tab/>
            </w:r>
            <w:r w:rsidRPr="00576B08">
              <w:rPr>
                <w:rFonts w:ascii="Tahoma" w:hAnsi="Tahoma" w:cs="Tahoma"/>
                <w:b w:val="0"/>
                <w:bCs w:val="0"/>
                <w:noProof/>
                <w:webHidden/>
                <w:sz w:val="20"/>
                <w:szCs w:val="20"/>
              </w:rPr>
              <w:fldChar w:fldCharType="begin"/>
            </w:r>
            <w:r w:rsidRPr="00576B08">
              <w:rPr>
                <w:rFonts w:ascii="Tahoma" w:hAnsi="Tahoma" w:cs="Tahoma"/>
                <w:b w:val="0"/>
                <w:bCs w:val="0"/>
                <w:noProof/>
                <w:webHidden/>
                <w:sz w:val="20"/>
                <w:szCs w:val="20"/>
              </w:rPr>
              <w:instrText xml:space="preserve"> PAGEREF _Toc202214672 \h </w:instrText>
            </w:r>
            <w:r w:rsidRPr="00576B08">
              <w:rPr>
                <w:rFonts w:ascii="Tahoma" w:hAnsi="Tahoma" w:cs="Tahoma"/>
                <w:b w:val="0"/>
                <w:bCs w:val="0"/>
                <w:noProof/>
                <w:webHidden/>
                <w:sz w:val="20"/>
                <w:szCs w:val="20"/>
              </w:rPr>
            </w:r>
            <w:r w:rsidRPr="00576B08">
              <w:rPr>
                <w:rFonts w:ascii="Tahoma" w:hAnsi="Tahoma" w:cs="Tahoma"/>
                <w:b w:val="0"/>
                <w:bCs w:val="0"/>
                <w:noProof/>
                <w:webHidden/>
                <w:sz w:val="20"/>
                <w:szCs w:val="20"/>
              </w:rPr>
              <w:fldChar w:fldCharType="separate"/>
            </w:r>
            <w:r w:rsidRPr="00576B08">
              <w:rPr>
                <w:rFonts w:ascii="Tahoma" w:hAnsi="Tahoma" w:cs="Tahoma"/>
                <w:b w:val="0"/>
                <w:bCs w:val="0"/>
                <w:noProof/>
                <w:webHidden/>
                <w:sz w:val="20"/>
                <w:szCs w:val="20"/>
              </w:rPr>
              <w:t>21</w:t>
            </w:r>
            <w:r w:rsidRPr="00576B08">
              <w:rPr>
                <w:rFonts w:ascii="Tahoma" w:hAnsi="Tahoma" w:cs="Tahoma"/>
                <w:b w:val="0"/>
                <w:bCs w:val="0"/>
                <w:noProof/>
                <w:webHidden/>
                <w:sz w:val="20"/>
                <w:szCs w:val="20"/>
              </w:rPr>
              <w:fldChar w:fldCharType="end"/>
            </w:r>
          </w:hyperlink>
        </w:p>
        <w:p w14:paraId="68B9E234" w14:textId="6CF1B193" w:rsidR="00576B08" w:rsidRPr="00576B08" w:rsidRDefault="00576B08">
          <w:pPr>
            <w:pStyle w:val="TM1"/>
            <w:rPr>
              <w:rFonts w:ascii="Tahoma" w:eastAsiaTheme="minorEastAsia" w:hAnsi="Tahoma" w:cs="Tahoma"/>
              <w:b w:val="0"/>
              <w:bCs w:val="0"/>
              <w:noProof/>
              <w:kern w:val="2"/>
              <w:sz w:val="20"/>
              <w:szCs w:val="20"/>
              <w:lang w:val="fr-MR"/>
              <w14:ligatures w14:val="standardContextual"/>
            </w:rPr>
          </w:pPr>
          <w:hyperlink w:anchor="_Toc202214673" w:history="1">
            <w:r w:rsidRPr="00576B08">
              <w:rPr>
                <w:rStyle w:val="Lienhypertexte"/>
                <w:rFonts w:ascii="Tahoma" w:hAnsi="Tahoma" w:cs="Tahoma"/>
                <w:b w:val="0"/>
                <w:bCs w:val="0"/>
                <w:noProof/>
                <w:sz w:val="20"/>
                <w:szCs w:val="20"/>
              </w:rPr>
              <w:t>Loi n° 2015-017 du 29 juillet 2015 portant Code des pê</w:t>
            </w:r>
            <w:r w:rsidRPr="00576B08">
              <w:rPr>
                <w:rStyle w:val="Lienhypertexte"/>
                <w:rFonts w:ascii="Tahoma" w:hAnsi="Tahoma" w:cs="Tahoma"/>
                <w:b w:val="0"/>
                <w:bCs w:val="0"/>
                <w:noProof/>
                <w:sz w:val="20"/>
                <w:szCs w:val="20"/>
              </w:rPr>
              <w:t>c</w:t>
            </w:r>
            <w:r w:rsidRPr="00576B08">
              <w:rPr>
                <w:rStyle w:val="Lienhypertexte"/>
                <w:rFonts w:ascii="Tahoma" w:hAnsi="Tahoma" w:cs="Tahoma"/>
                <w:b w:val="0"/>
                <w:bCs w:val="0"/>
                <w:noProof/>
                <w:sz w:val="20"/>
                <w:szCs w:val="20"/>
              </w:rPr>
              <w:t>hes.</w:t>
            </w:r>
            <w:r w:rsidRPr="00576B08">
              <w:rPr>
                <w:rFonts w:ascii="Tahoma" w:hAnsi="Tahoma" w:cs="Tahoma"/>
                <w:b w:val="0"/>
                <w:bCs w:val="0"/>
                <w:noProof/>
                <w:webHidden/>
                <w:sz w:val="20"/>
                <w:szCs w:val="20"/>
              </w:rPr>
              <w:tab/>
            </w:r>
            <w:r w:rsidRPr="00576B08">
              <w:rPr>
                <w:rFonts w:ascii="Tahoma" w:hAnsi="Tahoma" w:cs="Tahoma"/>
                <w:b w:val="0"/>
                <w:bCs w:val="0"/>
                <w:noProof/>
                <w:webHidden/>
                <w:sz w:val="20"/>
                <w:szCs w:val="20"/>
              </w:rPr>
              <w:fldChar w:fldCharType="begin"/>
            </w:r>
            <w:r w:rsidRPr="00576B08">
              <w:rPr>
                <w:rFonts w:ascii="Tahoma" w:hAnsi="Tahoma" w:cs="Tahoma"/>
                <w:b w:val="0"/>
                <w:bCs w:val="0"/>
                <w:noProof/>
                <w:webHidden/>
                <w:sz w:val="20"/>
                <w:szCs w:val="20"/>
              </w:rPr>
              <w:instrText xml:space="preserve"> PAGEREF _Toc202214673 \h </w:instrText>
            </w:r>
            <w:r w:rsidRPr="00576B08">
              <w:rPr>
                <w:rFonts w:ascii="Tahoma" w:hAnsi="Tahoma" w:cs="Tahoma"/>
                <w:b w:val="0"/>
                <w:bCs w:val="0"/>
                <w:noProof/>
                <w:webHidden/>
                <w:sz w:val="20"/>
                <w:szCs w:val="20"/>
              </w:rPr>
            </w:r>
            <w:r w:rsidRPr="00576B08">
              <w:rPr>
                <w:rFonts w:ascii="Tahoma" w:hAnsi="Tahoma" w:cs="Tahoma"/>
                <w:b w:val="0"/>
                <w:bCs w:val="0"/>
                <w:noProof/>
                <w:webHidden/>
                <w:sz w:val="20"/>
                <w:szCs w:val="20"/>
              </w:rPr>
              <w:fldChar w:fldCharType="separate"/>
            </w:r>
            <w:r w:rsidRPr="00576B08">
              <w:rPr>
                <w:rFonts w:ascii="Tahoma" w:hAnsi="Tahoma" w:cs="Tahoma"/>
                <w:b w:val="0"/>
                <w:bCs w:val="0"/>
                <w:noProof/>
                <w:webHidden/>
                <w:sz w:val="20"/>
                <w:szCs w:val="20"/>
              </w:rPr>
              <w:t>36</w:t>
            </w:r>
            <w:r w:rsidRPr="00576B08">
              <w:rPr>
                <w:rFonts w:ascii="Tahoma" w:hAnsi="Tahoma" w:cs="Tahoma"/>
                <w:b w:val="0"/>
                <w:bCs w:val="0"/>
                <w:noProof/>
                <w:webHidden/>
                <w:sz w:val="20"/>
                <w:szCs w:val="20"/>
              </w:rPr>
              <w:fldChar w:fldCharType="end"/>
            </w:r>
          </w:hyperlink>
        </w:p>
        <w:p w14:paraId="3E27D489" w14:textId="6DD5B245" w:rsidR="00576B08" w:rsidRPr="00576B08" w:rsidRDefault="00576B08">
          <w:pPr>
            <w:pStyle w:val="TM1"/>
            <w:rPr>
              <w:rFonts w:ascii="Tahoma" w:eastAsiaTheme="minorEastAsia" w:hAnsi="Tahoma" w:cs="Tahoma"/>
              <w:b w:val="0"/>
              <w:bCs w:val="0"/>
              <w:noProof/>
              <w:kern w:val="2"/>
              <w:sz w:val="20"/>
              <w:szCs w:val="20"/>
              <w:lang w:val="fr-MR"/>
              <w14:ligatures w14:val="standardContextual"/>
            </w:rPr>
          </w:pPr>
          <w:hyperlink w:anchor="_Toc202214674" w:history="1">
            <w:r w:rsidRPr="00576B08">
              <w:rPr>
                <w:rStyle w:val="Lienhypertexte"/>
                <w:rFonts w:ascii="Tahoma" w:hAnsi="Tahoma" w:cs="Tahoma"/>
                <w:b w:val="0"/>
                <w:bCs w:val="0"/>
                <w:i/>
                <w:iCs/>
                <w:noProof/>
                <w:sz w:val="20"/>
                <w:szCs w:val="20"/>
              </w:rPr>
              <w:t>Les décr</w:t>
            </w:r>
            <w:r w:rsidRPr="00576B08">
              <w:rPr>
                <w:rStyle w:val="Lienhypertexte"/>
                <w:rFonts w:ascii="Tahoma" w:hAnsi="Tahoma" w:cs="Tahoma"/>
                <w:b w:val="0"/>
                <w:bCs w:val="0"/>
                <w:i/>
                <w:iCs/>
                <w:noProof/>
                <w:sz w:val="20"/>
                <w:szCs w:val="20"/>
              </w:rPr>
              <w:t>e</w:t>
            </w:r>
            <w:r w:rsidRPr="00576B08">
              <w:rPr>
                <w:rStyle w:val="Lienhypertexte"/>
                <w:rFonts w:ascii="Tahoma" w:hAnsi="Tahoma" w:cs="Tahoma"/>
                <w:b w:val="0"/>
                <w:bCs w:val="0"/>
                <w:i/>
                <w:iCs/>
                <w:noProof/>
                <w:sz w:val="20"/>
                <w:szCs w:val="20"/>
              </w:rPr>
              <w:t>ts</w:t>
            </w:r>
            <w:r w:rsidRPr="00576B08">
              <w:rPr>
                <w:rFonts w:ascii="Tahoma" w:hAnsi="Tahoma" w:cs="Tahoma"/>
                <w:b w:val="0"/>
                <w:bCs w:val="0"/>
                <w:noProof/>
                <w:webHidden/>
                <w:sz w:val="20"/>
                <w:szCs w:val="20"/>
              </w:rPr>
              <w:tab/>
            </w:r>
            <w:r w:rsidRPr="00576B08">
              <w:rPr>
                <w:rFonts w:ascii="Tahoma" w:hAnsi="Tahoma" w:cs="Tahoma"/>
                <w:b w:val="0"/>
                <w:bCs w:val="0"/>
                <w:noProof/>
                <w:webHidden/>
                <w:sz w:val="20"/>
                <w:szCs w:val="20"/>
              </w:rPr>
              <w:fldChar w:fldCharType="begin"/>
            </w:r>
            <w:r w:rsidRPr="00576B08">
              <w:rPr>
                <w:rFonts w:ascii="Tahoma" w:hAnsi="Tahoma" w:cs="Tahoma"/>
                <w:b w:val="0"/>
                <w:bCs w:val="0"/>
                <w:noProof/>
                <w:webHidden/>
                <w:sz w:val="20"/>
                <w:szCs w:val="20"/>
              </w:rPr>
              <w:instrText xml:space="preserve"> PAGEREF _Toc202214674 \h </w:instrText>
            </w:r>
            <w:r w:rsidRPr="00576B08">
              <w:rPr>
                <w:rFonts w:ascii="Tahoma" w:hAnsi="Tahoma" w:cs="Tahoma"/>
                <w:b w:val="0"/>
                <w:bCs w:val="0"/>
                <w:noProof/>
                <w:webHidden/>
                <w:sz w:val="20"/>
                <w:szCs w:val="20"/>
              </w:rPr>
            </w:r>
            <w:r w:rsidRPr="00576B08">
              <w:rPr>
                <w:rFonts w:ascii="Tahoma" w:hAnsi="Tahoma" w:cs="Tahoma"/>
                <w:b w:val="0"/>
                <w:bCs w:val="0"/>
                <w:noProof/>
                <w:webHidden/>
                <w:sz w:val="20"/>
                <w:szCs w:val="20"/>
              </w:rPr>
              <w:fldChar w:fldCharType="separate"/>
            </w:r>
            <w:r w:rsidRPr="00576B08">
              <w:rPr>
                <w:rFonts w:ascii="Tahoma" w:hAnsi="Tahoma" w:cs="Tahoma"/>
                <w:b w:val="0"/>
                <w:bCs w:val="0"/>
                <w:noProof/>
                <w:webHidden/>
                <w:sz w:val="20"/>
                <w:szCs w:val="20"/>
              </w:rPr>
              <w:t>59</w:t>
            </w:r>
            <w:r w:rsidRPr="00576B08">
              <w:rPr>
                <w:rFonts w:ascii="Tahoma" w:hAnsi="Tahoma" w:cs="Tahoma"/>
                <w:b w:val="0"/>
                <w:bCs w:val="0"/>
                <w:noProof/>
                <w:webHidden/>
                <w:sz w:val="20"/>
                <w:szCs w:val="20"/>
              </w:rPr>
              <w:fldChar w:fldCharType="end"/>
            </w:r>
          </w:hyperlink>
        </w:p>
        <w:p w14:paraId="191157F9" w14:textId="4800AC19" w:rsidR="00576B08" w:rsidRPr="00576B08" w:rsidRDefault="00576B08">
          <w:pPr>
            <w:pStyle w:val="TM1"/>
            <w:rPr>
              <w:rFonts w:ascii="Tahoma" w:eastAsiaTheme="minorEastAsia" w:hAnsi="Tahoma" w:cs="Tahoma"/>
              <w:b w:val="0"/>
              <w:bCs w:val="0"/>
              <w:noProof/>
              <w:kern w:val="2"/>
              <w:sz w:val="20"/>
              <w:szCs w:val="20"/>
              <w:lang w:val="fr-MR"/>
              <w14:ligatures w14:val="standardContextual"/>
            </w:rPr>
          </w:pPr>
          <w:hyperlink w:anchor="_Toc202214675" w:history="1">
            <w:r w:rsidRPr="00576B08">
              <w:rPr>
                <w:rStyle w:val="Lienhypertexte"/>
                <w:rFonts w:ascii="Tahoma" w:hAnsi="Tahoma" w:cs="Tahoma"/>
                <w:b w:val="0"/>
                <w:bCs w:val="0"/>
                <w:noProof/>
                <w:sz w:val="20"/>
                <w:szCs w:val="20"/>
              </w:rPr>
              <w:t>Décret n° 81.062 du 02 avril 1981, portant règlementation de l'inspection sanitaire et du contrôle de salubrité des produits de la pêche destinent à l'alimentation humaine</w:t>
            </w:r>
            <w:r w:rsidRPr="00576B08">
              <w:rPr>
                <w:rFonts w:ascii="Tahoma" w:hAnsi="Tahoma" w:cs="Tahoma"/>
                <w:b w:val="0"/>
                <w:bCs w:val="0"/>
                <w:noProof/>
                <w:webHidden/>
                <w:sz w:val="20"/>
                <w:szCs w:val="20"/>
              </w:rPr>
              <w:tab/>
            </w:r>
            <w:r w:rsidRPr="00576B08">
              <w:rPr>
                <w:rFonts w:ascii="Tahoma" w:hAnsi="Tahoma" w:cs="Tahoma"/>
                <w:b w:val="0"/>
                <w:bCs w:val="0"/>
                <w:noProof/>
                <w:webHidden/>
                <w:sz w:val="20"/>
                <w:szCs w:val="20"/>
              </w:rPr>
              <w:fldChar w:fldCharType="begin"/>
            </w:r>
            <w:r w:rsidRPr="00576B08">
              <w:rPr>
                <w:rFonts w:ascii="Tahoma" w:hAnsi="Tahoma" w:cs="Tahoma"/>
                <w:b w:val="0"/>
                <w:bCs w:val="0"/>
                <w:noProof/>
                <w:webHidden/>
                <w:sz w:val="20"/>
                <w:szCs w:val="20"/>
              </w:rPr>
              <w:instrText xml:space="preserve"> PAGEREF _Toc202214675 \h </w:instrText>
            </w:r>
            <w:r w:rsidRPr="00576B08">
              <w:rPr>
                <w:rFonts w:ascii="Tahoma" w:hAnsi="Tahoma" w:cs="Tahoma"/>
                <w:b w:val="0"/>
                <w:bCs w:val="0"/>
                <w:noProof/>
                <w:webHidden/>
                <w:sz w:val="20"/>
                <w:szCs w:val="20"/>
              </w:rPr>
            </w:r>
            <w:r w:rsidRPr="00576B08">
              <w:rPr>
                <w:rFonts w:ascii="Tahoma" w:hAnsi="Tahoma" w:cs="Tahoma"/>
                <w:b w:val="0"/>
                <w:bCs w:val="0"/>
                <w:noProof/>
                <w:webHidden/>
                <w:sz w:val="20"/>
                <w:szCs w:val="20"/>
              </w:rPr>
              <w:fldChar w:fldCharType="separate"/>
            </w:r>
            <w:r w:rsidRPr="00576B08">
              <w:rPr>
                <w:rFonts w:ascii="Tahoma" w:hAnsi="Tahoma" w:cs="Tahoma"/>
                <w:b w:val="0"/>
                <w:bCs w:val="0"/>
                <w:noProof/>
                <w:webHidden/>
                <w:sz w:val="20"/>
                <w:szCs w:val="20"/>
              </w:rPr>
              <w:t>60</w:t>
            </w:r>
            <w:r w:rsidRPr="00576B08">
              <w:rPr>
                <w:rFonts w:ascii="Tahoma" w:hAnsi="Tahoma" w:cs="Tahoma"/>
                <w:b w:val="0"/>
                <w:bCs w:val="0"/>
                <w:noProof/>
                <w:webHidden/>
                <w:sz w:val="20"/>
                <w:szCs w:val="20"/>
              </w:rPr>
              <w:fldChar w:fldCharType="end"/>
            </w:r>
          </w:hyperlink>
        </w:p>
        <w:p w14:paraId="4968BAE1" w14:textId="52643D16" w:rsidR="00576B08" w:rsidRPr="00576B08" w:rsidRDefault="00576B08">
          <w:pPr>
            <w:pStyle w:val="TM1"/>
            <w:rPr>
              <w:rFonts w:ascii="Tahoma" w:eastAsiaTheme="minorEastAsia" w:hAnsi="Tahoma" w:cs="Tahoma"/>
              <w:b w:val="0"/>
              <w:bCs w:val="0"/>
              <w:noProof/>
              <w:kern w:val="2"/>
              <w:sz w:val="20"/>
              <w:szCs w:val="20"/>
              <w:lang w:val="fr-MR"/>
              <w14:ligatures w14:val="standardContextual"/>
            </w:rPr>
          </w:pPr>
          <w:hyperlink w:anchor="_Toc202214676" w:history="1">
            <w:r w:rsidRPr="00576B08">
              <w:rPr>
                <w:rStyle w:val="Lienhypertexte"/>
                <w:rFonts w:ascii="Tahoma" w:hAnsi="Tahoma" w:cs="Tahoma"/>
                <w:b w:val="0"/>
                <w:bCs w:val="0"/>
                <w:noProof/>
                <w:sz w:val="20"/>
                <w:szCs w:val="20"/>
              </w:rPr>
              <w:t>Décret n° 94.030 du 8 mars 1994, relatif aux normes d'hygiène et de salubrité et aux conditions d'inspection sanitaire et de contrôle régissant la production et la mise sur le marché des produits de la pêche</w:t>
            </w:r>
            <w:r w:rsidRPr="00576B08">
              <w:rPr>
                <w:rFonts w:ascii="Tahoma" w:hAnsi="Tahoma" w:cs="Tahoma"/>
                <w:b w:val="0"/>
                <w:bCs w:val="0"/>
                <w:noProof/>
                <w:webHidden/>
                <w:sz w:val="20"/>
                <w:szCs w:val="20"/>
              </w:rPr>
              <w:tab/>
            </w:r>
            <w:r w:rsidRPr="00576B08">
              <w:rPr>
                <w:rFonts w:ascii="Tahoma" w:hAnsi="Tahoma" w:cs="Tahoma"/>
                <w:b w:val="0"/>
                <w:bCs w:val="0"/>
                <w:noProof/>
                <w:webHidden/>
                <w:sz w:val="20"/>
                <w:szCs w:val="20"/>
              </w:rPr>
              <w:fldChar w:fldCharType="begin"/>
            </w:r>
            <w:r w:rsidRPr="00576B08">
              <w:rPr>
                <w:rFonts w:ascii="Tahoma" w:hAnsi="Tahoma" w:cs="Tahoma"/>
                <w:b w:val="0"/>
                <w:bCs w:val="0"/>
                <w:noProof/>
                <w:webHidden/>
                <w:sz w:val="20"/>
                <w:szCs w:val="20"/>
              </w:rPr>
              <w:instrText xml:space="preserve"> PAGEREF _Toc202214676 \h </w:instrText>
            </w:r>
            <w:r w:rsidRPr="00576B08">
              <w:rPr>
                <w:rFonts w:ascii="Tahoma" w:hAnsi="Tahoma" w:cs="Tahoma"/>
                <w:b w:val="0"/>
                <w:bCs w:val="0"/>
                <w:noProof/>
                <w:webHidden/>
                <w:sz w:val="20"/>
                <w:szCs w:val="20"/>
              </w:rPr>
            </w:r>
            <w:r w:rsidRPr="00576B08">
              <w:rPr>
                <w:rFonts w:ascii="Tahoma" w:hAnsi="Tahoma" w:cs="Tahoma"/>
                <w:b w:val="0"/>
                <w:bCs w:val="0"/>
                <w:noProof/>
                <w:webHidden/>
                <w:sz w:val="20"/>
                <w:szCs w:val="20"/>
              </w:rPr>
              <w:fldChar w:fldCharType="separate"/>
            </w:r>
            <w:r w:rsidRPr="00576B08">
              <w:rPr>
                <w:rFonts w:ascii="Tahoma" w:hAnsi="Tahoma" w:cs="Tahoma"/>
                <w:b w:val="0"/>
                <w:bCs w:val="0"/>
                <w:noProof/>
                <w:webHidden/>
                <w:sz w:val="20"/>
                <w:szCs w:val="20"/>
              </w:rPr>
              <w:t>63</w:t>
            </w:r>
            <w:r w:rsidRPr="00576B08">
              <w:rPr>
                <w:rFonts w:ascii="Tahoma" w:hAnsi="Tahoma" w:cs="Tahoma"/>
                <w:b w:val="0"/>
                <w:bCs w:val="0"/>
                <w:noProof/>
                <w:webHidden/>
                <w:sz w:val="20"/>
                <w:szCs w:val="20"/>
              </w:rPr>
              <w:fldChar w:fldCharType="end"/>
            </w:r>
          </w:hyperlink>
        </w:p>
        <w:p w14:paraId="51D63842" w14:textId="2281289B" w:rsidR="00576B08" w:rsidRPr="00576B08" w:rsidRDefault="00576B08">
          <w:pPr>
            <w:pStyle w:val="TM1"/>
            <w:rPr>
              <w:rFonts w:ascii="Tahoma" w:eastAsiaTheme="minorEastAsia" w:hAnsi="Tahoma" w:cs="Tahoma"/>
              <w:b w:val="0"/>
              <w:bCs w:val="0"/>
              <w:noProof/>
              <w:kern w:val="2"/>
              <w:sz w:val="20"/>
              <w:szCs w:val="20"/>
              <w:lang w:val="fr-MR"/>
              <w14:ligatures w14:val="standardContextual"/>
            </w:rPr>
          </w:pPr>
          <w:hyperlink w:anchor="_Toc202214677" w:history="1">
            <w:r w:rsidRPr="00576B08">
              <w:rPr>
                <w:rStyle w:val="Lienhypertexte"/>
                <w:rFonts w:ascii="Tahoma" w:hAnsi="Tahoma" w:cs="Tahoma"/>
                <w:b w:val="0"/>
                <w:bCs w:val="0"/>
                <w:noProof/>
                <w:sz w:val="20"/>
                <w:szCs w:val="20"/>
              </w:rPr>
              <w:t>Décret n° 066-2007 portant création d'un Office National d'Inspection Sanitaire des Produits de la Pêche et de l'Aquaculture et fixant ses règles d'organisation et de fonctionnement.</w:t>
            </w:r>
            <w:r w:rsidRPr="00576B08">
              <w:rPr>
                <w:rFonts w:ascii="Tahoma" w:hAnsi="Tahoma" w:cs="Tahoma"/>
                <w:b w:val="0"/>
                <w:bCs w:val="0"/>
                <w:noProof/>
                <w:webHidden/>
                <w:sz w:val="20"/>
                <w:szCs w:val="20"/>
              </w:rPr>
              <w:tab/>
            </w:r>
            <w:r w:rsidRPr="00576B08">
              <w:rPr>
                <w:rFonts w:ascii="Tahoma" w:hAnsi="Tahoma" w:cs="Tahoma"/>
                <w:b w:val="0"/>
                <w:bCs w:val="0"/>
                <w:noProof/>
                <w:webHidden/>
                <w:sz w:val="20"/>
                <w:szCs w:val="20"/>
              </w:rPr>
              <w:fldChar w:fldCharType="begin"/>
            </w:r>
            <w:r w:rsidRPr="00576B08">
              <w:rPr>
                <w:rFonts w:ascii="Tahoma" w:hAnsi="Tahoma" w:cs="Tahoma"/>
                <w:b w:val="0"/>
                <w:bCs w:val="0"/>
                <w:noProof/>
                <w:webHidden/>
                <w:sz w:val="20"/>
                <w:szCs w:val="20"/>
              </w:rPr>
              <w:instrText xml:space="preserve"> PAGEREF _Toc202214677 \h </w:instrText>
            </w:r>
            <w:r w:rsidRPr="00576B08">
              <w:rPr>
                <w:rFonts w:ascii="Tahoma" w:hAnsi="Tahoma" w:cs="Tahoma"/>
                <w:b w:val="0"/>
                <w:bCs w:val="0"/>
                <w:noProof/>
                <w:webHidden/>
                <w:sz w:val="20"/>
                <w:szCs w:val="20"/>
              </w:rPr>
            </w:r>
            <w:r w:rsidRPr="00576B08">
              <w:rPr>
                <w:rFonts w:ascii="Tahoma" w:hAnsi="Tahoma" w:cs="Tahoma"/>
                <w:b w:val="0"/>
                <w:bCs w:val="0"/>
                <w:noProof/>
                <w:webHidden/>
                <w:sz w:val="20"/>
                <w:szCs w:val="20"/>
              </w:rPr>
              <w:fldChar w:fldCharType="separate"/>
            </w:r>
            <w:r w:rsidRPr="00576B08">
              <w:rPr>
                <w:rFonts w:ascii="Tahoma" w:hAnsi="Tahoma" w:cs="Tahoma"/>
                <w:b w:val="0"/>
                <w:bCs w:val="0"/>
                <w:noProof/>
                <w:webHidden/>
                <w:sz w:val="20"/>
                <w:szCs w:val="20"/>
              </w:rPr>
              <w:t>64</w:t>
            </w:r>
            <w:r w:rsidRPr="00576B08">
              <w:rPr>
                <w:rFonts w:ascii="Tahoma" w:hAnsi="Tahoma" w:cs="Tahoma"/>
                <w:b w:val="0"/>
                <w:bCs w:val="0"/>
                <w:noProof/>
                <w:webHidden/>
                <w:sz w:val="20"/>
                <w:szCs w:val="20"/>
              </w:rPr>
              <w:fldChar w:fldCharType="end"/>
            </w:r>
          </w:hyperlink>
        </w:p>
        <w:p w14:paraId="223912BF" w14:textId="7588D311" w:rsidR="00576B08" w:rsidRPr="00576B08" w:rsidRDefault="00576B08">
          <w:pPr>
            <w:pStyle w:val="TM1"/>
            <w:rPr>
              <w:rFonts w:ascii="Tahoma" w:eastAsiaTheme="minorEastAsia" w:hAnsi="Tahoma" w:cs="Tahoma"/>
              <w:b w:val="0"/>
              <w:bCs w:val="0"/>
              <w:noProof/>
              <w:kern w:val="2"/>
              <w:sz w:val="20"/>
              <w:szCs w:val="20"/>
              <w:lang w:val="fr-MR"/>
              <w14:ligatures w14:val="standardContextual"/>
            </w:rPr>
          </w:pPr>
          <w:hyperlink w:anchor="_Toc202214678" w:history="1">
            <w:r w:rsidRPr="00576B08">
              <w:rPr>
                <w:rStyle w:val="Lienhypertexte"/>
                <w:rFonts w:ascii="Tahoma" w:hAnsi="Tahoma" w:cs="Tahoma"/>
                <w:b w:val="0"/>
                <w:bCs w:val="0"/>
                <w:noProof/>
                <w:sz w:val="20"/>
                <w:szCs w:val="20"/>
              </w:rPr>
              <w:t>Décret n° 2008-177 du 07 mai 2008 portant modification de disposition du décret n° 2007-066 du 13 mars 2007 portant création d’un Office National d’Inspection Sanitaire des produits de la pêche et de l’Aquaculture et fixant ses règles d’organisation et de fonctionnement.</w:t>
            </w:r>
            <w:r w:rsidRPr="00576B08">
              <w:rPr>
                <w:rFonts w:ascii="Tahoma" w:hAnsi="Tahoma" w:cs="Tahoma"/>
                <w:b w:val="0"/>
                <w:bCs w:val="0"/>
                <w:noProof/>
                <w:webHidden/>
                <w:sz w:val="20"/>
                <w:szCs w:val="20"/>
              </w:rPr>
              <w:tab/>
            </w:r>
            <w:r w:rsidRPr="00576B08">
              <w:rPr>
                <w:rFonts w:ascii="Tahoma" w:hAnsi="Tahoma" w:cs="Tahoma"/>
                <w:b w:val="0"/>
                <w:bCs w:val="0"/>
                <w:noProof/>
                <w:webHidden/>
                <w:sz w:val="20"/>
                <w:szCs w:val="20"/>
              </w:rPr>
              <w:fldChar w:fldCharType="begin"/>
            </w:r>
            <w:r w:rsidRPr="00576B08">
              <w:rPr>
                <w:rFonts w:ascii="Tahoma" w:hAnsi="Tahoma" w:cs="Tahoma"/>
                <w:b w:val="0"/>
                <w:bCs w:val="0"/>
                <w:noProof/>
                <w:webHidden/>
                <w:sz w:val="20"/>
                <w:szCs w:val="20"/>
              </w:rPr>
              <w:instrText xml:space="preserve"> PAGEREF _Toc202214678 \h </w:instrText>
            </w:r>
            <w:r w:rsidRPr="00576B08">
              <w:rPr>
                <w:rFonts w:ascii="Tahoma" w:hAnsi="Tahoma" w:cs="Tahoma"/>
                <w:b w:val="0"/>
                <w:bCs w:val="0"/>
                <w:noProof/>
                <w:webHidden/>
                <w:sz w:val="20"/>
                <w:szCs w:val="20"/>
              </w:rPr>
            </w:r>
            <w:r w:rsidRPr="00576B08">
              <w:rPr>
                <w:rFonts w:ascii="Tahoma" w:hAnsi="Tahoma" w:cs="Tahoma"/>
                <w:b w:val="0"/>
                <w:bCs w:val="0"/>
                <w:noProof/>
                <w:webHidden/>
                <w:sz w:val="20"/>
                <w:szCs w:val="20"/>
              </w:rPr>
              <w:fldChar w:fldCharType="separate"/>
            </w:r>
            <w:r w:rsidRPr="00576B08">
              <w:rPr>
                <w:rFonts w:ascii="Tahoma" w:hAnsi="Tahoma" w:cs="Tahoma"/>
                <w:b w:val="0"/>
                <w:bCs w:val="0"/>
                <w:noProof/>
                <w:webHidden/>
                <w:sz w:val="20"/>
                <w:szCs w:val="20"/>
              </w:rPr>
              <w:t>70</w:t>
            </w:r>
            <w:r w:rsidRPr="00576B08">
              <w:rPr>
                <w:rFonts w:ascii="Tahoma" w:hAnsi="Tahoma" w:cs="Tahoma"/>
                <w:b w:val="0"/>
                <w:bCs w:val="0"/>
                <w:noProof/>
                <w:webHidden/>
                <w:sz w:val="20"/>
                <w:szCs w:val="20"/>
              </w:rPr>
              <w:fldChar w:fldCharType="end"/>
            </w:r>
          </w:hyperlink>
        </w:p>
        <w:p w14:paraId="0290E9E7" w14:textId="02209BDC" w:rsidR="00576B08" w:rsidRPr="00576B08" w:rsidRDefault="00576B08">
          <w:pPr>
            <w:pStyle w:val="TM1"/>
            <w:rPr>
              <w:rFonts w:ascii="Tahoma" w:eastAsiaTheme="minorEastAsia" w:hAnsi="Tahoma" w:cs="Tahoma"/>
              <w:b w:val="0"/>
              <w:bCs w:val="0"/>
              <w:noProof/>
              <w:kern w:val="2"/>
              <w:sz w:val="20"/>
              <w:szCs w:val="20"/>
              <w:lang w:val="fr-MR"/>
              <w14:ligatures w14:val="standardContextual"/>
            </w:rPr>
          </w:pPr>
          <w:hyperlink w:anchor="_Toc202214679" w:history="1">
            <w:r w:rsidRPr="00576B08">
              <w:rPr>
                <w:rStyle w:val="Lienhypertexte"/>
                <w:rFonts w:ascii="Tahoma" w:hAnsi="Tahoma" w:cs="Tahoma"/>
                <w:b w:val="0"/>
                <w:bCs w:val="0"/>
                <w:noProof/>
                <w:sz w:val="20"/>
                <w:szCs w:val="20"/>
              </w:rPr>
              <w:t>Décret n° 2009-172 du 02 avril 2009, abrogeant et remplaçant le décret n°2002-065 du 05 Août 2002 relatif à l’exercice de la profession de mareyeur.</w:t>
            </w:r>
            <w:r w:rsidRPr="00576B08">
              <w:rPr>
                <w:rFonts w:ascii="Tahoma" w:hAnsi="Tahoma" w:cs="Tahoma"/>
                <w:b w:val="0"/>
                <w:bCs w:val="0"/>
                <w:noProof/>
                <w:webHidden/>
                <w:sz w:val="20"/>
                <w:szCs w:val="20"/>
              </w:rPr>
              <w:tab/>
            </w:r>
            <w:r w:rsidRPr="00576B08">
              <w:rPr>
                <w:rFonts w:ascii="Tahoma" w:hAnsi="Tahoma" w:cs="Tahoma"/>
                <w:b w:val="0"/>
                <w:bCs w:val="0"/>
                <w:noProof/>
                <w:webHidden/>
                <w:sz w:val="20"/>
                <w:szCs w:val="20"/>
              </w:rPr>
              <w:fldChar w:fldCharType="begin"/>
            </w:r>
            <w:r w:rsidRPr="00576B08">
              <w:rPr>
                <w:rFonts w:ascii="Tahoma" w:hAnsi="Tahoma" w:cs="Tahoma"/>
                <w:b w:val="0"/>
                <w:bCs w:val="0"/>
                <w:noProof/>
                <w:webHidden/>
                <w:sz w:val="20"/>
                <w:szCs w:val="20"/>
              </w:rPr>
              <w:instrText xml:space="preserve"> PAGEREF _Toc202214679 \h </w:instrText>
            </w:r>
            <w:r w:rsidRPr="00576B08">
              <w:rPr>
                <w:rFonts w:ascii="Tahoma" w:hAnsi="Tahoma" w:cs="Tahoma"/>
                <w:b w:val="0"/>
                <w:bCs w:val="0"/>
                <w:noProof/>
                <w:webHidden/>
                <w:sz w:val="20"/>
                <w:szCs w:val="20"/>
              </w:rPr>
            </w:r>
            <w:r w:rsidRPr="00576B08">
              <w:rPr>
                <w:rFonts w:ascii="Tahoma" w:hAnsi="Tahoma" w:cs="Tahoma"/>
                <w:b w:val="0"/>
                <w:bCs w:val="0"/>
                <w:noProof/>
                <w:webHidden/>
                <w:sz w:val="20"/>
                <w:szCs w:val="20"/>
              </w:rPr>
              <w:fldChar w:fldCharType="separate"/>
            </w:r>
            <w:r w:rsidRPr="00576B08">
              <w:rPr>
                <w:rFonts w:ascii="Tahoma" w:hAnsi="Tahoma" w:cs="Tahoma"/>
                <w:b w:val="0"/>
                <w:bCs w:val="0"/>
                <w:noProof/>
                <w:webHidden/>
                <w:sz w:val="20"/>
                <w:szCs w:val="20"/>
              </w:rPr>
              <w:t>73</w:t>
            </w:r>
            <w:r w:rsidRPr="00576B08">
              <w:rPr>
                <w:rFonts w:ascii="Tahoma" w:hAnsi="Tahoma" w:cs="Tahoma"/>
                <w:b w:val="0"/>
                <w:bCs w:val="0"/>
                <w:noProof/>
                <w:webHidden/>
                <w:sz w:val="20"/>
                <w:szCs w:val="20"/>
              </w:rPr>
              <w:fldChar w:fldCharType="end"/>
            </w:r>
          </w:hyperlink>
        </w:p>
        <w:p w14:paraId="0C6A0575" w14:textId="72E5850B" w:rsidR="00576B08" w:rsidRPr="00576B08" w:rsidRDefault="00576B08">
          <w:pPr>
            <w:pStyle w:val="TM1"/>
            <w:rPr>
              <w:rFonts w:ascii="Tahoma" w:eastAsiaTheme="minorEastAsia" w:hAnsi="Tahoma" w:cs="Tahoma"/>
              <w:b w:val="0"/>
              <w:bCs w:val="0"/>
              <w:noProof/>
              <w:kern w:val="2"/>
              <w:sz w:val="20"/>
              <w:szCs w:val="20"/>
              <w:lang w:val="fr-MR"/>
              <w14:ligatures w14:val="standardContextual"/>
            </w:rPr>
          </w:pPr>
          <w:hyperlink w:anchor="_Toc202214680" w:history="1">
            <w:r w:rsidRPr="00576B08">
              <w:rPr>
                <w:rStyle w:val="Lienhypertexte"/>
                <w:rFonts w:ascii="Tahoma" w:hAnsi="Tahoma" w:cs="Tahoma"/>
                <w:b w:val="0"/>
                <w:bCs w:val="0"/>
                <w:noProof/>
                <w:sz w:val="20"/>
                <w:szCs w:val="20"/>
              </w:rPr>
              <w:t>Décret n° 072-2012 PM du 12 mars 2012, portant règlementation des règles sanitaires applicables aux sous-produits de pêche et produits dérives non destines à la consommation humaine</w:t>
            </w:r>
            <w:r w:rsidRPr="00576B08">
              <w:rPr>
                <w:rFonts w:ascii="Tahoma" w:hAnsi="Tahoma" w:cs="Tahoma"/>
                <w:b w:val="0"/>
                <w:bCs w:val="0"/>
                <w:noProof/>
                <w:webHidden/>
                <w:sz w:val="20"/>
                <w:szCs w:val="20"/>
              </w:rPr>
              <w:tab/>
            </w:r>
            <w:r w:rsidRPr="00576B08">
              <w:rPr>
                <w:rFonts w:ascii="Tahoma" w:hAnsi="Tahoma" w:cs="Tahoma"/>
                <w:b w:val="0"/>
                <w:bCs w:val="0"/>
                <w:noProof/>
                <w:webHidden/>
                <w:sz w:val="20"/>
                <w:szCs w:val="20"/>
              </w:rPr>
              <w:fldChar w:fldCharType="begin"/>
            </w:r>
            <w:r w:rsidRPr="00576B08">
              <w:rPr>
                <w:rFonts w:ascii="Tahoma" w:hAnsi="Tahoma" w:cs="Tahoma"/>
                <w:b w:val="0"/>
                <w:bCs w:val="0"/>
                <w:noProof/>
                <w:webHidden/>
                <w:sz w:val="20"/>
                <w:szCs w:val="20"/>
              </w:rPr>
              <w:instrText xml:space="preserve"> PAGEREF _Toc202214680 \h </w:instrText>
            </w:r>
            <w:r w:rsidRPr="00576B08">
              <w:rPr>
                <w:rFonts w:ascii="Tahoma" w:hAnsi="Tahoma" w:cs="Tahoma"/>
                <w:b w:val="0"/>
                <w:bCs w:val="0"/>
                <w:noProof/>
                <w:webHidden/>
                <w:sz w:val="20"/>
                <w:szCs w:val="20"/>
              </w:rPr>
            </w:r>
            <w:r w:rsidRPr="00576B08">
              <w:rPr>
                <w:rFonts w:ascii="Tahoma" w:hAnsi="Tahoma" w:cs="Tahoma"/>
                <w:b w:val="0"/>
                <w:bCs w:val="0"/>
                <w:noProof/>
                <w:webHidden/>
                <w:sz w:val="20"/>
                <w:szCs w:val="20"/>
              </w:rPr>
              <w:fldChar w:fldCharType="separate"/>
            </w:r>
            <w:r w:rsidRPr="00576B08">
              <w:rPr>
                <w:rFonts w:ascii="Tahoma" w:hAnsi="Tahoma" w:cs="Tahoma"/>
                <w:b w:val="0"/>
                <w:bCs w:val="0"/>
                <w:noProof/>
                <w:webHidden/>
                <w:sz w:val="20"/>
                <w:szCs w:val="20"/>
              </w:rPr>
              <w:t>77</w:t>
            </w:r>
            <w:r w:rsidRPr="00576B08">
              <w:rPr>
                <w:rFonts w:ascii="Tahoma" w:hAnsi="Tahoma" w:cs="Tahoma"/>
                <w:b w:val="0"/>
                <w:bCs w:val="0"/>
                <w:noProof/>
                <w:webHidden/>
                <w:sz w:val="20"/>
                <w:szCs w:val="20"/>
              </w:rPr>
              <w:fldChar w:fldCharType="end"/>
            </w:r>
          </w:hyperlink>
        </w:p>
        <w:p w14:paraId="5A60185F" w14:textId="6A3B3670" w:rsidR="00576B08" w:rsidRPr="00576B08" w:rsidRDefault="00576B08">
          <w:pPr>
            <w:pStyle w:val="TM1"/>
            <w:rPr>
              <w:rFonts w:ascii="Tahoma" w:eastAsiaTheme="minorEastAsia" w:hAnsi="Tahoma" w:cs="Tahoma"/>
              <w:b w:val="0"/>
              <w:bCs w:val="0"/>
              <w:noProof/>
              <w:kern w:val="2"/>
              <w:sz w:val="20"/>
              <w:szCs w:val="20"/>
              <w:lang w:val="fr-MR"/>
              <w14:ligatures w14:val="standardContextual"/>
            </w:rPr>
          </w:pPr>
          <w:hyperlink w:anchor="_Toc202214681" w:history="1">
            <w:r w:rsidRPr="00576B08">
              <w:rPr>
                <w:rStyle w:val="Lienhypertexte"/>
                <w:rFonts w:ascii="Tahoma" w:hAnsi="Tahoma" w:cs="Tahoma"/>
                <w:b w:val="0"/>
                <w:bCs w:val="0"/>
                <w:noProof/>
                <w:sz w:val="20"/>
                <w:szCs w:val="20"/>
              </w:rPr>
              <w:t>Décret n° 2015-159 du 01 octobre 2015, portant application de la loi n° 017-2015 du 29/07/2015 portant Code des pèches</w:t>
            </w:r>
            <w:r w:rsidRPr="00576B08">
              <w:rPr>
                <w:rFonts w:ascii="Tahoma" w:hAnsi="Tahoma" w:cs="Tahoma"/>
                <w:b w:val="0"/>
                <w:bCs w:val="0"/>
                <w:noProof/>
                <w:webHidden/>
                <w:sz w:val="20"/>
                <w:szCs w:val="20"/>
              </w:rPr>
              <w:tab/>
            </w:r>
            <w:r w:rsidRPr="00576B08">
              <w:rPr>
                <w:rFonts w:ascii="Tahoma" w:hAnsi="Tahoma" w:cs="Tahoma"/>
                <w:b w:val="0"/>
                <w:bCs w:val="0"/>
                <w:noProof/>
                <w:webHidden/>
                <w:sz w:val="20"/>
                <w:szCs w:val="20"/>
              </w:rPr>
              <w:fldChar w:fldCharType="begin"/>
            </w:r>
            <w:r w:rsidRPr="00576B08">
              <w:rPr>
                <w:rFonts w:ascii="Tahoma" w:hAnsi="Tahoma" w:cs="Tahoma"/>
                <w:b w:val="0"/>
                <w:bCs w:val="0"/>
                <w:noProof/>
                <w:webHidden/>
                <w:sz w:val="20"/>
                <w:szCs w:val="20"/>
              </w:rPr>
              <w:instrText xml:space="preserve"> PAGEREF _Toc202214681 \h </w:instrText>
            </w:r>
            <w:r w:rsidRPr="00576B08">
              <w:rPr>
                <w:rFonts w:ascii="Tahoma" w:hAnsi="Tahoma" w:cs="Tahoma"/>
                <w:b w:val="0"/>
                <w:bCs w:val="0"/>
                <w:noProof/>
                <w:webHidden/>
                <w:sz w:val="20"/>
                <w:szCs w:val="20"/>
              </w:rPr>
            </w:r>
            <w:r w:rsidRPr="00576B08">
              <w:rPr>
                <w:rFonts w:ascii="Tahoma" w:hAnsi="Tahoma" w:cs="Tahoma"/>
                <w:b w:val="0"/>
                <w:bCs w:val="0"/>
                <w:noProof/>
                <w:webHidden/>
                <w:sz w:val="20"/>
                <w:szCs w:val="20"/>
              </w:rPr>
              <w:fldChar w:fldCharType="separate"/>
            </w:r>
            <w:r w:rsidRPr="00576B08">
              <w:rPr>
                <w:rFonts w:ascii="Tahoma" w:hAnsi="Tahoma" w:cs="Tahoma"/>
                <w:b w:val="0"/>
                <w:bCs w:val="0"/>
                <w:noProof/>
                <w:webHidden/>
                <w:sz w:val="20"/>
                <w:szCs w:val="20"/>
              </w:rPr>
              <w:t>79</w:t>
            </w:r>
            <w:r w:rsidRPr="00576B08">
              <w:rPr>
                <w:rFonts w:ascii="Tahoma" w:hAnsi="Tahoma" w:cs="Tahoma"/>
                <w:b w:val="0"/>
                <w:bCs w:val="0"/>
                <w:noProof/>
                <w:webHidden/>
                <w:sz w:val="20"/>
                <w:szCs w:val="20"/>
              </w:rPr>
              <w:fldChar w:fldCharType="end"/>
            </w:r>
          </w:hyperlink>
        </w:p>
        <w:p w14:paraId="3393CE31" w14:textId="1DC7CF24" w:rsidR="00576B08" w:rsidRPr="00576B08" w:rsidRDefault="00576B08">
          <w:pPr>
            <w:pStyle w:val="TM1"/>
            <w:rPr>
              <w:rFonts w:ascii="Tahoma" w:eastAsiaTheme="minorEastAsia" w:hAnsi="Tahoma" w:cs="Tahoma"/>
              <w:b w:val="0"/>
              <w:bCs w:val="0"/>
              <w:noProof/>
              <w:kern w:val="2"/>
              <w:sz w:val="20"/>
              <w:szCs w:val="20"/>
              <w:lang w:val="fr-MR"/>
              <w14:ligatures w14:val="standardContextual"/>
            </w:rPr>
          </w:pPr>
          <w:hyperlink w:anchor="_Toc202214682" w:history="1">
            <w:r w:rsidRPr="00576B08">
              <w:rPr>
                <w:rStyle w:val="Lienhypertexte"/>
                <w:rFonts w:ascii="Tahoma" w:hAnsi="Tahoma" w:cs="Tahoma"/>
                <w:b w:val="0"/>
                <w:bCs w:val="0"/>
                <w:i/>
                <w:iCs/>
                <w:noProof/>
                <w:sz w:val="20"/>
                <w:szCs w:val="20"/>
              </w:rPr>
              <w:t>Les arrêtés</w:t>
            </w:r>
            <w:r w:rsidRPr="00576B08">
              <w:rPr>
                <w:rFonts w:ascii="Tahoma" w:hAnsi="Tahoma" w:cs="Tahoma"/>
                <w:b w:val="0"/>
                <w:bCs w:val="0"/>
                <w:noProof/>
                <w:webHidden/>
                <w:sz w:val="20"/>
                <w:szCs w:val="20"/>
              </w:rPr>
              <w:tab/>
            </w:r>
            <w:r w:rsidRPr="00576B08">
              <w:rPr>
                <w:rFonts w:ascii="Tahoma" w:hAnsi="Tahoma" w:cs="Tahoma"/>
                <w:b w:val="0"/>
                <w:bCs w:val="0"/>
                <w:noProof/>
                <w:webHidden/>
                <w:sz w:val="20"/>
                <w:szCs w:val="20"/>
              </w:rPr>
              <w:fldChar w:fldCharType="begin"/>
            </w:r>
            <w:r w:rsidRPr="00576B08">
              <w:rPr>
                <w:rFonts w:ascii="Tahoma" w:hAnsi="Tahoma" w:cs="Tahoma"/>
                <w:b w:val="0"/>
                <w:bCs w:val="0"/>
                <w:noProof/>
                <w:webHidden/>
                <w:sz w:val="20"/>
                <w:szCs w:val="20"/>
              </w:rPr>
              <w:instrText xml:space="preserve"> PAGEREF _Toc202214682 \h </w:instrText>
            </w:r>
            <w:r w:rsidRPr="00576B08">
              <w:rPr>
                <w:rFonts w:ascii="Tahoma" w:hAnsi="Tahoma" w:cs="Tahoma"/>
                <w:b w:val="0"/>
                <w:bCs w:val="0"/>
                <w:noProof/>
                <w:webHidden/>
                <w:sz w:val="20"/>
                <w:szCs w:val="20"/>
              </w:rPr>
            </w:r>
            <w:r w:rsidRPr="00576B08">
              <w:rPr>
                <w:rFonts w:ascii="Tahoma" w:hAnsi="Tahoma" w:cs="Tahoma"/>
                <w:b w:val="0"/>
                <w:bCs w:val="0"/>
                <w:noProof/>
                <w:webHidden/>
                <w:sz w:val="20"/>
                <w:szCs w:val="20"/>
              </w:rPr>
              <w:fldChar w:fldCharType="separate"/>
            </w:r>
            <w:r w:rsidRPr="00576B08">
              <w:rPr>
                <w:rFonts w:ascii="Tahoma" w:hAnsi="Tahoma" w:cs="Tahoma"/>
                <w:b w:val="0"/>
                <w:bCs w:val="0"/>
                <w:noProof/>
                <w:webHidden/>
                <w:sz w:val="20"/>
                <w:szCs w:val="20"/>
              </w:rPr>
              <w:t>101</w:t>
            </w:r>
            <w:r w:rsidRPr="00576B08">
              <w:rPr>
                <w:rFonts w:ascii="Tahoma" w:hAnsi="Tahoma" w:cs="Tahoma"/>
                <w:b w:val="0"/>
                <w:bCs w:val="0"/>
                <w:noProof/>
                <w:webHidden/>
                <w:sz w:val="20"/>
                <w:szCs w:val="20"/>
              </w:rPr>
              <w:fldChar w:fldCharType="end"/>
            </w:r>
          </w:hyperlink>
        </w:p>
        <w:p w14:paraId="485A089D" w14:textId="3CEA1A93" w:rsidR="00576B08" w:rsidRPr="00576B08" w:rsidRDefault="00576B08">
          <w:pPr>
            <w:pStyle w:val="TM1"/>
            <w:rPr>
              <w:rFonts w:ascii="Tahoma" w:eastAsiaTheme="minorEastAsia" w:hAnsi="Tahoma" w:cs="Tahoma"/>
              <w:b w:val="0"/>
              <w:bCs w:val="0"/>
              <w:noProof/>
              <w:kern w:val="2"/>
              <w:sz w:val="20"/>
              <w:szCs w:val="20"/>
              <w:lang w:val="fr-MR"/>
              <w14:ligatures w14:val="standardContextual"/>
            </w:rPr>
          </w:pPr>
          <w:hyperlink w:anchor="_Toc202214683" w:history="1">
            <w:r w:rsidRPr="00576B08">
              <w:rPr>
                <w:rStyle w:val="Lienhypertexte"/>
                <w:rFonts w:ascii="Tahoma" w:hAnsi="Tahoma" w:cs="Tahoma"/>
                <w:b w:val="0"/>
                <w:bCs w:val="0"/>
                <w:noProof/>
                <w:sz w:val="20"/>
                <w:szCs w:val="20"/>
              </w:rPr>
              <w:t>Arrêté n° R 0212 du 09 juin 1996 relatif aux conditions d'hygiène et de salubrité applicables à bord des navires de navires-usines</w:t>
            </w:r>
            <w:r w:rsidRPr="00576B08">
              <w:rPr>
                <w:rFonts w:ascii="Tahoma" w:hAnsi="Tahoma" w:cs="Tahoma"/>
                <w:b w:val="0"/>
                <w:bCs w:val="0"/>
                <w:noProof/>
                <w:webHidden/>
                <w:sz w:val="20"/>
                <w:szCs w:val="20"/>
              </w:rPr>
              <w:tab/>
            </w:r>
            <w:r w:rsidRPr="00576B08">
              <w:rPr>
                <w:rFonts w:ascii="Tahoma" w:hAnsi="Tahoma" w:cs="Tahoma"/>
                <w:b w:val="0"/>
                <w:bCs w:val="0"/>
                <w:noProof/>
                <w:webHidden/>
                <w:sz w:val="20"/>
                <w:szCs w:val="20"/>
              </w:rPr>
              <w:fldChar w:fldCharType="begin"/>
            </w:r>
            <w:r w:rsidRPr="00576B08">
              <w:rPr>
                <w:rFonts w:ascii="Tahoma" w:hAnsi="Tahoma" w:cs="Tahoma"/>
                <w:b w:val="0"/>
                <w:bCs w:val="0"/>
                <w:noProof/>
                <w:webHidden/>
                <w:sz w:val="20"/>
                <w:szCs w:val="20"/>
              </w:rPr>
              <w:instrText xml:space="preserve"> PAGEREF _Toc202214683 \h </w:instrText>
            </w:r>
            <w:r w:rsidRPr="00576B08">
              <w:rPr>
                <w:rFonts w:ascii="Tahoma" w:hAnsi="Tahoma" w:cs="Tahoma"/>
                <w:b w:val="0"/>
                <w:bCs w:val="0"/>
                <w:noProof/>
                <w:webHidden/>
                <w:sz w:val="20"/>
                <w:szCs w:val="20"/>
              </w:rPr>
            </w:r>
            <w:r w:rsidRPr="00576B08">
              <w:rPr>
                <w:rFonts w:ascii="Tahoma" w:hAnsi="Tahoma" w:cs="Tahoma"/>
                <w:b w:val="0"/>
                <w:bCs w:val="0"/>
                <w:noProof/>
                <w:webHidden/>
                <w:sz w:val="20"/>
                <w:szCs w:val="20"/>
              </w:rPr>
              <w:fldChar w:fldCharType="separate"/>
            </w:r>
            <w:r w:rsidRPr="00576B08">
              <w:rPr>
                <w:rFonts w:ascii="Tahoma" w:hAnsi="Tahoma" w:cs="Tahoma"/>
                <w:b w:val="0"/>
                <w:bCs w:val="0"/>
                <w:noProof/>
                <w:webHidden/>
                <w:sz w:val="20"/>
                <w:szCs w:val="20"/>
              </w:rPr>
              <w:t>102</w:t>
            </w:r>
            <w:r w:rsidRPr="00576B08">
              <w:rPr>
                <w:rFonts w:ascii="Tahoma" w:hAnsi="Tahoma" w:cs="Tahoma"/>
                <w:b w:val="0"/>
                <w:bCs w:val="0"/>
                <w:noProof/>
                <w:webHidden/>
                <w:sz w:val="20"/>
                <w:szCs w:val="20"/>
              </w:rPr>
              <w:fldChar w:fldCharType="end"/>
            </w:r>
          </w:hyperlink>
        </w:p>
        <w:p w14:paraId="41094E92" w14:textId="5818C385" w:rsidR="00576B08" w:rsidRPr="00576B08" w:rsidRDefault="00576B08">
          <w:pPr>
            <w:pStyle w:val="TM1"/>
            <w:rPr>
              <w:rFonts w:ascii="Tahoma" w:eastAsiaTheme="minorEastAsia" w:hAnsi="Tahoma" w:cs="Tahoma"/>
              <w:b w:val="0"/>
              <w:bCs w:val="0"/>
              <w:noProof/>
              <w:kern w:val="2"/>
              <w:sz w:val="20"/>
              <w:szCs w:val="20"/>
              <w:lang w:val="fr-MR"/>
              <w14:ligatures w14:val="standardContextual"/>
            </w:rPr>
          </w:pPr>
          <w:hyperlink w:anchor="_Toc202214684" w:history="1">
            <w:r w:rsidRPr="00576B08">
              <w:rPr>
                <w:rStyle w:val="Lienhypertexte"/>
                <w:rFonts w:ascii="Tahoma" w:hAnsi="Tahoma" w:cs="Tahoma"/>
                <w:b w:val="0"/>
                <w:bCs w:val="0"/>
                <w:noProof/>
                <w:sz w:val="20"/>
                <w:szCs w:val="20"/>
              </w:rPr>
              <w:t>Arrêté conjoint n° 2859 du 16 novembre 2006, portant désignation du laboratoire de l’IMROP comme laboratoire national de référence de chimie et microbiologie</w:t>
            </w:r>
            <w:r w:rsidRPr="00576B08">
              <w:rPr>
                <w:rFonts w:ascii="Tahoma" w:hAnsi="Tahoma" w:cs="Tahoma"/>
                <w:b w:val="0"/>
                <w:bCs w:val="0"/>
                <w:noProof/>
                <w:webHidden/>
                <w:sz w:val="20"/>
                <w:szCs w:val="20"/>
              </w:rPr>
              <w:tab/>
            </w:r>
            <w:r w:rsidRPr="00576B08">
              <w:rPr>
                <w:rFonts w:ascii="Tahoma" w:hAnsi="Tahoma" w:cs="Tahoma"/>
                <w:b w:val="0"/>
                <w:bCs w:val="0"/>
                <w:noProof/>
                <w:webHidden/>
                <w:sz w:val="20"/>
                <w:szCs w:val="20"/>
              </w:rPr>
              <w:fldChar w:fldCharType="begin"/>
            </w:r>
            <w:r w:rsidRPr="00576B08">
              <w:rPr>
                <w:rFonts w:ascii="Tahoma" w:hAnsi="Tahoma" w:cs="Tahoma"/>
                <w:b w:val="0"/>
                <w:bCs w:val="0"/>
                <w:noProof/>
                <w:webHidden/>
                <w:sz w:val="20"/>
                <w:szCs w:val="20"/>
              </w:rPr>
              <w:instrText xml:space="preserve"> PAGEREF _Toc202214684 \h </w:instrText>
            </w:r>
            <w:r w:rsidRPr="00576B08">
              <w:rPr>
                <w:rFonts w:ascii="Tahoma" w:hAnsi="Tahoma" w:cs="Tahoma"/>
                <w:b w:val="0"/>
                <w:bCs w:val="0"/>
                <w:noProof/>
                <w:webHidden/>
                <w:sz w:val="20"/>
                <w:szCs w:val="20"/>
              </w:rPr>
            </w:r>
            <w:r w:rsidRPr="00576B08">
              <w:rPr>
                <w:rFonts w:ascii="Tahoma" w:hAnsi="Tahoma" w:cs="Tahoma"/>
                <w:b w:val="0"/>
                <w:bCs w:val="0"/>
                <w:noProof/>
                <w:webHidden/>
                <w:sz w:val="20"/>
                <w:szCs w:val="20"/>
              </w:rPr>
              <w:fldChar w:fldCharType="separate"/>
            </w:r>
            <w:r w:rsidRPr="00576B08">
              <w:rPr>
                <w:rFonts w:ascii="Tahoma" w:hAnsi="Tahoma" w:cs="Tahoma"/>
                <w:b w:val="0"/>
                <w:bCs w:val="0"/>
                <w:noProof/>
                <w:webHidden/>
                <w:sz w:val="20"/>
                <w:szCs w:val="20"/>
              </w:rPr>
              <w:t>110</w:t>
            </w:r>
            <w:r w:rsidRPr="00576B08">
              <w:rPr>
                <w:rFonts w:ascii="Tahoma" w:hAnsi="Tahoma" w:cs="Tahoma"/>
                <w:b w:val="0"/>
                <w:bCs w:val="0"/>
                <w:noProof/>
                <w:webHidden/>
                <w:sz w:val="20"/>
                <w:szCs w:val="20"/>
              </w:rPr>
              <w:fldChar w:fldCharType="end"/>
            </w:r>
          </w:hyperlink>
        </w:p>
        <w:p w14:paraId="1D180138" w14:textId="696F1F13" w:rsidR="00576B08" w:rsidRPr="00576B08" w:rsidRDefault="00576B08">
          <w:pPr>
            <w:pStyle w:val="TM1"/>
            <w:rPr>
              <w:rFonts w:ascii="Tahoma" w:eastAsiaTheme="minorEastAsia" w:hAnsi="Tahoma" w:cs="Tahoma"/>
              <w:b w:val="0"/>
              <w:bCs w:val="0"/>
              <w:noProof/>
              <w:kern w:val="2"/>
              <w:sz w:val="20"/>
              <w:szCs w:val="20"/>
              <w:lang w:val="fr-MR"/>
              <w14:ligatures w14:val="standardContextual"/>
            </w:rPr>
          </w:pPr>
          <w:hyperlink w:anchor="_Toc202214685" w:history="1">
            <w:r w:rsidRPr="00576B08">
              <w:rPr>
                <w:rStyle w:val="Lienhypertexte"/>
                <w:rFonts w:ascii="Tahoma" w:hAnsi="Tahoma" w:cs="Tahoma"/>
                <w:b w:val="0"/>
                <w:bCs w:val="0"/>
                <w:noProof/>
                <w:sz w:val="20"/>
                <w:szCs w:val="20"/>
              </w:rPr>
              <w:t>Arrêté conjoint n° 2861 du 16 novembre 2006, relatif aux conditions d'hygiène et de salubrité applicables aux embarcations de pêche artisanale et côtière</w:t>
            </w:r>
            <w:r w:rsidRPr="00576B08">
              <w:rPr>
                <w:rFonts w:ascii="Tahoma" w:hAnsi="Tahoma" w:cs="Tahoma"/>
                <w:b w:val="0"/>
                <w:bCs w:val="0"/>
                <w:noProof/>
                <w:webHidden/>
                <w:sz w:val="20"/>
                <w:szCs w:val="20"/>
              </w:rPr>
              <w:tab/>
            </w:r>
            <w:r w:rsidRPr="00576B08">
              <w:rPr>
                <w:rFonts w:ascii="Tahoma" w:hAnsi="Tahoma" w:cs="Tahoma"/>
                <w:b w:val="0"/>
                <w:bCs w:val="0"/>
                <w:noProof/>
                <w:webHidden/>
                <w:sz w:val="20"/>
                <w:szCs w:val="20"/>
              </w:rPr>
              <w:fldChar w:fldCharType="begin"/>
            </w:r>
            <w:r w:rsidRPr="00576B08">
              <w:rPr>
                <w:rFonts w:ascii="Tahoma" w:hAnsi="Tahoma" w:cs="Tahoma"/>
                <w:b w:val="0"/>
                <w:bCs w:val="0"/>
                <w:noProof/>
                <w:webHidden/>
                <w:sz w:val="20"/>
                <w:szCs w:val="20"/>
              </w:rPr>
              <w:instrText xml:space="preserve"> PAGEREF _Toc202214685 \h </w:instrText>
            </w:r>
            <w:r w:rsidRPr="00576B08">
              <w:rPr>
                <w:rFonts w:ascii="Tahoma" w:hAnsi="Tahoma" w:cs="Tahoma"/>
                <w:b w:val="0"/>
                <w:bCs w:val="0"/>
                <w:noProof/>
                <w:webHidden/>
                <w:sz w:val="20"/>
                <w:szCs w:val="20"/>
              </w:rPr>
            </w:r>
            <w:r w:rsidRPr="00576B08">
              <w:rPr>
                <w:rFonts w:ascii="Tahoma" w:hAnsi="Tahoma" w:cs="Tahoma"/>
                <w:b w:val="0"/>
                <w:bCs w:val="0"/>
                <w:noProof/>
                <w:webHidden/>
                <w:sz w:val="20"/>
                <w:szCs w:val="20"/>
              </w:rPr>
              <w:fldChar w:fldCharType="separate"/>
            </w:r>
            <w:r w:rsidRPr="00576B08">
              <w:rPr>
                <w:rFonts w:ascii="Tahoma" w:hAnsi="Tahoma" w:cs="Tahoma"/>
                <w:b w:val="0"/>
                <w:bCs w:val="0"/>
                <w:noProof/>
                <w:webHidden/>
                <w:sz w:val="20"/>
                <w:szCs w:val="20"/>
              </w:rPr>
              <w:t>115</w:t>
            </w:r>
            <w:r w:rsidRPr="00576B08">
              <w:rPr>
                <w:rFonts w:ascii="Tahoma" w:hAnsi="Tahoma" w:cs="Tahoma"/>
                <w:b w:val="0"/>
                <w:bCs w:val="0"/>
                <w:noProof/>
                <w:webHidden/>
                <w:sz w:val="20"/>
                <w:szCs w:val="20"/>
              </w:rPr>
              <w:fldChar w:fldCharType="end"/>
            </w:r>
          </w:hyperlink>
        </w:p>
        <w:p w14:paraId="3CF39471" w14:textId="4B91D2FF" w:rsidR="00576B08" w:rsidRPr="00576B08" w:rsidRDefault="00576B08">
          <w:pPr>
            <w:pStyle w:val="TM1"/>
            <w:rPr>
              <w:rFonts w:ascii="Tahoma" w:eastAsiaTheme="minorEastAsia" w:hAnsi="Tahoma" w:cs="Tahoma"/>
              <w:b w:val="0"/>
              <w:bCs w:val="0"/>
              <w:noProof/>
              <w:kern w:val="2"/>
              <w:sz w:val="20"/>
              <w:szCs w:val="20"/>
              <w:lang w:val="fr-MR"/>
              <w14:ligatures w14:val="standardContextual"/>
            </w:rPr>
          </w:pPr>
          <w:hyperlink w:anchor="_Toc202214686" w:history="1">
            <w:r w:rsidRPr="00576B08">
              <w:rPr>
                <w:rStyle w:val="Lienhypertexte"/>
                <w:rFonts w:ascii="Tahoma" w:hAnsi="Tahoma" w:cs="Tahoma"/>
                <w:b w:val="0"/>
                <w:bCs w:val="0"/>
                <w:noProof/>
                <w:sz w:val="20"/>
                <w:szCs w:val="20"/>
              </w:rPr>
              <w:t>Arrêté conjoint n° 2862 du 16 novembre 2006, portant définition des critères de qualité des eaux utilisées dans l'industrie de traitement des produits de la pêche et de l'aquaculture.</w:t>
            </w:r>
            <w:r w:rsidRPr="00576B08">
              <w:rPr>
                <w:rFonts w:ascii="Tahoma" w:hAnsi="Tahoma" w:cs="Tahoma"/>
                <w:b w:val="0"/>
                <w:bCs w:val="0"/>
                <w:noProof/>
                <w:webHidden/>
                <w:sz w:val="20"/>
                <w:szCs w:val="20"/>
              </w:rPr>
              <w:tab/>
            </w:r>
            <w:r w:rsidRPr="00576B08">
              <w:rPr>
                <w:rFonts w:ascii="Tahoma" w:hAnsi="Tahoma" w:cs="Tahoma"/>
                <w:b w:val="0"/>
                <w:bCs w:val="0"/>
                <w:noProof/>
                <w:webHidden/>
                <w:sz w:val="20"/>
                <w:szCs w:val="20"/>
              </w:rPr>
              <w:fldChar w:fldCharType="begin"/>
            </w:r>
            <w:r w:rsidRPr="00576B08">
              <w:rPr>
                <w:rFonts w:ascii="Tahoma" w:hAnsi="Tahoma" w:cs="Tahoma"/>
                <w:b w:val="0"/>
                <w:bCs w:val="0"/>
                <w:noProof/>
                <w:webHidden/>
                <w:sz w:val="20"/>
                <w:szCs w:val="20"/>
              </w:rPr>
              <w:instrText xml:space="preserve"> PAGEREF _Toc202214686 \h </w:instrText>
            </w:r>
            <w:r w:rsidRPr="00576B08">
              <w:rPr>
                <w:rFonts w:ascii="Tahoma" w:hAnsi="Tahoma" w:cs="Tahoma"/>
                <w:b w:val="0"/>
                <w:bCs w:val="0"/>
                <w:noProof/>
                <w:webHidden/>
                <w:sz w:val="20"/>
                <w:szCs w:val="20"/>
              </w:rPr>
            </w:r>
            <w:r w:rsidRPr="00576B08">
              <w:rPr>
                <w:rFonts w:ascii="Tahoma" w:hAnsi="Tahoma" w:cs="Tahoma"/>
                <w:b w:val="0"/>
                <w:bCs w:val="0"/>
                <w:noProof/>
                <w:webHidden/>
                <w:sz w:val="20"/>
                <w:szCs w:val="20"/>
              </w:rPr>
              <w:fldChar w:fldCharType="separate"/>
            </w:r>
            <w:r w:rsidRPr="00576B08">
              <w:rPr>
                <w:rFonts w:ascii="Tahoma" w:hAnsi="Tahoma" w:cs="Tahoma"/>
                <w:b w:val="0"/>
                <w:bCs w:val="0"/>
                <w:noProof/>
                <w:webHidden/>
                <w:sz w:val="20"/>
                <w:szCs w:val="20"/>
              </w:rPr>
              <w:t>119</w:t>
            </w:r>
            <w:r w:rsidRPr="00576B08">
              <w:rPr>
                <w:rFonts w:ascii="Tahoma" w:hAnsi="Tahoma" w:cs="Tahoma"/>
                <w:b w:val="0"/>
                <w:bCs w:val="0"/>
                <w:noProof/>
                <w:webHidden/>
                <w:sz w:val="20"/>
                <w:szCs w:val="20"/>
              </w:rPr>
              <w:fldChar w:fldCharType="end"/>
            </w:r>
          </w:hyperlink>
        </w:p>
        <w:p w14:paraId="67927762" w14:textId="6216094B" w:rsidR="00576B08" w:rsidRPr="00576B08" w:rsidRDefault="00576B08">
          <w:pPr>
            <w:pStyle w:val="TM1"/>
            <w:rPr>
              <w:rFonts w:ascii="Tahoma" w:eastAsiaTheme="minorEastAsia" w:hAnsi="Tahoma" w:cs="Tahoma"/>
              <w:b w:val="0"/>
              <w:bCs w:val="0"/>
              <w:noProof/>
              <w:kern w:val="2"/>
              <w:sz w:val="20"/>
              <w:szCs w:val="20"/>
              <w:lang w:val="fr-MR"/>
              <w14:ligatures w14:val="standardContextual"/>
            </w:rPr>
          </w:pPr>
          <w:hyperlink w:anchor="_Toc202214687" w:history="1">
            <w:r w:rsidRPr="00576B08">
              <w:rPr>
                <w:rStyle w:val="Lienhypertexte"/>
                <w:rFonts w:ascii="Tahoma" w:hAnsi="Tahoma" w:cs="Tahoma"/>
                <w:b w:val="0"/>
                <w:bCs w:val="0"/>
                <w:noProof/>
                <w:sz w:val="20"/>
                <w:szCs w:val="20"/>
              </w:rPr>
              <w:t>Arrêté N° 1254 /MPEM du 19 mai 2010 définissant les conditions minimales d’hygiène, de salubrité, de qualité, de traçabilité et les moyens exigés pour l’octroi des cartes professionnelles de mareyeur</w:t>
            </w:r>
            <w:r w:rsidRPr="00576B08">
              <w:rPr>
                <w:rFonts w:ascii="Tahoma" w:hAnsi="Tahoma" w:cs="Tahoma"/>
                <w:b w:val="0"/>
                <w:bCs w:val="0"/>
                <w:noProof/>
                <w:webHidden/>
                <w:sz w:val="20"/>
                <w:szCs w:val="20"/>
              </w:rPr>
              <w:tab/>
            </w:r>
            <w:r w:rsidRPr="00576B08">
              <w:rPr>
                <w:rFonts w:ascii="Tahoma" w:hAnsi="Tahoma" w:cs="Tahoma"/>
                <w:b w:val="0"/>
                <w:bCs w:val="0"/>
                <w:noProof/>
                <w:webHidden/>
                <w:sz w:val="20"/>
                <w:szCs w:val="20"/>
              </w:rPr>
              <w:fldChar w:fldCharType="begin"/>
            </w:r>
            <w:r w:rsidRPr="00576B08">
              <w:rPr>
                <w:rFonts w:ascii="Tahoma" w:hAnsi="Tahoma" w:cs="Tahoma"/>
                <w:b w:val="0"/>
                <w:bCs w:val="0"/>
                <w:noProof/>
                <w:webHidden/>
                <w:sz w:val="20"/>
                <w:szCs w:val="20"/>
              </w:rPr>
              <w:instrText xml:space="preserve"> PAGEREF _Toc202214687 \h </w:instrText>
            </w:r>
            <w:r w:rsidRPr="00576B08">
              <w:rPr>
                <w:rFonts w:ascii="Tahoma" w:hAnsi="Tahoma" w:cs="Tahoma"/>
                <w:b w:val="0"/>
                <w:bCs w:val="0"/>
                <w:noProof/>
                <w:webHidden/>
                <w:sz w:val="20"/>
                <w:szCs w:val="20"/>
              </w:rPr>
            </w:r>
            <w:r w:rsidRPr="00576B08">
              <w:rPr>
                <w:rFonts w:ascii="Tahoma" w:hAnsi="Tahoma" w:cs="Tahoma"/>
                <w:b w:val="0"/>
                <w:bCs w:val="0"/>
                <w:noProof/>
                <w:webHidden/>
                <w:sz w:val="20"/>
                <w:szCs w:val="20"/>
              </w:rPr>
              <w:fldChar w:fldCharType="separate"/>
            </w:r>
            <w:r w:rsidRPr="00576B08">
              <w:rPr>
                <w:rFonts w:ascii="Tahoma" w:hAnsi="Tahoma" w:cs="Tahoma"/>
                <w:b w:val="0"/>
                <w:bCs w:val="0"/>
                <w:noProof/>
                <w:webHidden/>
                <w:sz w:val="20"/>
                <w:szCs w:val="20"/>
              </w:rPr>
              <w:t>129</w:t>
            </w:r>
            <w:r w:rsidRPr="00576B08">
              <w:rPr>
                <w:rFonts w:ascii="Tahoma" w:hAnsi="Tahoma" w:cs="Tahoma"/>
                <w:b w:val="0"/>
                <w:bCs w:val="0"/>
                <w:noProof/>
                <w:webHidden/>
                <w:sz w:val="20"/>
                <w:szCs w:val="20"/>
              </w:rPr>
              <w:fldChar w:fldCharType="end"/>
            </w:r>
          </w:hyperlink>
        </w:p>
        <w:p w14:paraId="78FADD9D" w14:textId="23D53652" w:rsidR="00576B08" w:rsidRPr="00576B08" w:rsidRDefault="00576B08">
          <w:pPr>
            <w:pStyle w:val="TM1"/>
            <w:rPr>
              <w:rFonts w:ascii="Tahoma" w:eastAsiaTheme="minorEastAsia" w:hAnsi="Tahoma" w:cs="Tahoma"/>
              <w:b w:val="0"/>
              <w:bCs w:val="0"/>
              <w:noProof/>
              <w:kern w:val="2"/>
              <w:sz w:val="20"/>
              <w:szCs w:val="20"/>
              <w:lang w:val="fr-MR"/>
              <w14:ligatures w14:val="standardContextual"/>
            </w:rPr>
          </w:pPr>
          <w:hyperlink w:anchor="_Toc202214688" w:history="1">
            <w:r w:rsidRPr="00576B08">
              <w:rPr>
                <w:rStyle w:val="Lienhypertexte"/>
                <w:rFonts w:ascii="Tahoma" w:hAnsi="Tahoma" w:cs="Tahoma"/>
                <w:b w:val="0"/>
                <w:bCs w:val="0"/>
                <w:noProof/>
                <w:sz w:val="20"/>
                <w:szCs w:val="20"/>
              </w:rPr>
              <w:t>Arrête n° 2466 du 28 octobre 2010, portant classement de salubrité des zones de production de coquillage de Dakhlet Nouadhibou.</w:t>
            </w:r>
            <w:r w:rsidRPr="00576B08">
              <w:rPr>
                <w:rFonts w:ascii="Tahoma" w:hAnsi="Tahoma" w:cs="Tahoma"/>
                <w:b w:val="0"/>
                <w:bCs w:val="0"/>
                <w:noProof/>
                <w:webHidden/>
                <w:sz w:val="20"/>
                <w:szCs w:val="20"/>
              </w:rPr>
              <w:tab/>
            </w:r>
            <w:r w:rsidRPr="00576B08">
              <w:rPr>
                <w:rFonts w:ascii="Tahoma" w:hAnsi="Tahoma" w:cs="Tahoma"/>
                <w:b w:val="0"/>
                <w:bCs w:val="0"/>
                <w:noProof/>
                <w:webHidden/>
                <w:sz w:val="20"/>
                <w:szCs w:val="20"/>
              </w:rPr>
              <w:fldChar w:fldCharType="begin"/>
            </w:r>
            <w:r w:rsidRPr="00576B08">
              <w:rPr>
                <w:rFonts w:ascii="Tahoma" w:hAnsi="Tahoma" w:cs="Tahoma"/>
                <w:b w:val="0"/>
                <w:bCs w:val="0"/>
                <w:noProof/>
                <w:webHidden/>
                <w:sz w:val="20"/>
                <w:szCs w:val="20"/>
              </w:rPr>
              <w:instrText xml:space="preserve"> PAGEREF _Toc202214688 \h </w:instrText>
            </w:r>
            <w:r w:rsidRPr="00576B08">
              <w:rPr>
                <w:rFonts w:ascii="Tahoma" w:hAnsi="Tahoma" w:cs="Tahoma"/>
                <w:b w:val="0"/>
                <w:bCs w:val="0"/>
                <w:noProof/>
                <w:webHidden/>
                <w:sz w:val="20"/>
                <w:szCs w:val="20"/>
              </w:rPr>
            </w:r>
            <w:r w:rsidRPr="00576B08">
              <w:rPr>
                <w:rFonts w:ascii="Tahoma" w:hAnsi="Tahoma" w:cs="Tahoma"/>
                <w:b w:val="0"/>
                <w:bCs w:val="0"/>
                <w:noProof/>
                <w:webHidden/>
                <w:sz w:val="20"/>
                <w:szCs w:val="20"/>
              </w:rPr>
              <w:fldChar w:fldCharType="separate"/>
            </w:r>
            <w:r w:rsidRPr="00576B08">
              <w:rPr>
                <w:rFonts w:ascii="Tahoma" w:hAnsi="Tahoma" w:cs="Tahoma"/>
                <w:b w:val="0"/>
                <w:bCs w:val="0"/>
                <w:noProof/>
                <w:webHidden/>
                <w:sz w:val="20"/>
                <w:szCs w:val="20"/>
              </w:rPr>
              <w:t>132</w:t>
            </w:r>
            <w:r w:rsidRPr="00576B08">
              <w:rPr>
                <w:rFonts w:ascii="Tahoma" w:hAnsi="Tahoma" w:cs="Tahoma"/>
                <w:b w:val="0"/>
                <w:bCs w:val="0"/>
                <w:noProof/>
                <w:webHidden/>
                <w:sz w:val="20"/>
                <w:szCs w:val="20"/>
              </w:rPr>
              <w:fldChar w:fldCharType="end"/>
            </w:r>
          </w:hyperlink>
        </w:p>
        <w:p w14:paraId="4B14C945" w14:textId="1DE75639" w:rsidR="00576B08" w:rsidRPr="00576B08" w:rsidRDefault="00576B08">
          <w:pPr>
            <w:pStyle w:val="TM1"/>
            <w:rPr>
              <w:rFonts w:ascii="Tahoma" w:eastAsiaTheme="minorEastAsia" w:hAnsi="Tahoma" w:cs="Tahoma"/>
              <w:b w:val="0"/>
              <w:bCs w:val="0"/>
              <w:noProof/>
              <w:kern w:val="2"/>
              <w:sz w:val="20"/>
              <w:szCs w:val="20"/>
              <w:lang w:val="fr-MR"/>
              <w14:ligatures w14:val="standardContextual"/>
            </w:rPr>
          </w:pPr>
          <w:hyperlink w:anchor="_Toc202214689" w:history="1">
            <w:r w:rsidRPr="00576B08">
              <w:rPr>
                <w:rStyle w:val="Lienhypertexte"/>
                <w:rFonts w:ascii="Tahoma" w:hAnsi="Tahoma" w:cs="Tahoma"/>
                <w:b w:val="0"/>
                <w:bCs w:val="0"/>
                <w:noProof/>
                <w:sz w:val="20"/>
                <w:szCs w:val="20"/>
              </w:rPr>
              <w:t>Arrêté conjoint n° 2503 du 14 novembre 2010, modifiant certaines dispositions de l’arrêté conjoint n° 2859 du 16 novembre 2006 portant désignation du laboratoire de l’IMROP comme laboratoire national de référence de chimie et de microbiologie</w:t>
            </w:r>
            <w:r w:rsidRPr="00576B08">
              <w:rPr>
                <w:rFonts w:ascii="Tahoma" w:hAnsi="Tahoma" w:cs="Tahoma"/>
                <w:b w:val="0"/>
                <w:bCs w:val="0"/>
                <w:noProof/>
                <w:webHidden/>
                <w:sz w:val="20"/>
                <w:szCs w:val="20"/>
              </w:rPr>
              <w:tab/>
            </w:r>
            <w:r w:rsidRPr="00576B08">
              <w:rPr>
                <w:rFonts w:ascii="Tahoma" w:hAnsi="Tahoma" w:cs="Tahoma"/>
                <w:b w:val="0"/>
                <w:bCs w:val="0"/>
                <w:noProof/>
                <w:webHidden/>
                <w:sz w:val="20"/>
                <w:szCs w:val="20"/>
              </w:rPr>
              <w:fldChar w:fldCharType="begin"/>
            </w:r>
            <w:r w:rsidRPr="00576B08">
              <w:rPr>
                <w:rFonts w:ascii="Tahoma" w:hAnsi="Tahoma" w:cs="Tahoma"/>
                <w:b w:val="0"/>
                <w:bCs w:val="0"/>
                <w:noProof/>
                <w:webHidden/>
                <w:sz w:val="20"/>
                <w:szCs w:val="20"/>
              </w:rPr>
              <w:instrText xml:space="preserve"> PAGEREF _Toc202214689 \h </w:instrText>
            </w:r>
            <w:r w:rsidRPr="00576B08">
              <w:rPr>
                <w:rFonts w:ascii="Tahoma" w:hAnsi="Tahoma" w:cs="Tahoma"/>
                <w:b w:val="0"/>
                <w:bCs w:val="0"/>
                <w:noProof/>
                <w:webHidden/>
                <w:sz w:val="20"/>
                <w:szCs w:val="20"/>
              </w:rPr>
            </w:r>
            <w:r w:rsidRPr="00576B08">
              <w:rPr>
                <w:rFonts w:ascii="Tahoma" w:hAnsi="Tahoma" w:cs="Tahoma"/>
                <w:b w:val="0"/>
                <w:bCs w:val="0"/>
                <w:noProof/>
                <w:webHidden/>
                <w:sz w:val="20"/>
                <w:szCs w:val="20"/>
              </w:rPr>
              <w:fldChar w:fldCharType="separate"/>
            </w:r>
            <w:r w:rsidRPr="00576B08">
              <w:rPr>
                <w:rFonts w:ascii="Tahoma" w:hAnsi="Tahoma" w:cs="Tahoma"/>
                <w:b w:val="0"/>
                <w:bCs w:val="0"/>
                <w:noProof/>
                <w:webHidden/>
                <w:sz w:val="20"/>
                <w:szCs w:val="20"/>
              </w:rPr>
              <w:t>135</w:t>
            </w:r>
            <w:r w:rsidRPr="00576B08">
              <w:rPr>
                <w:rFonts w:ascii="Tahoma" w:hAnsi="Tahoma" w:cs="Tahoma"/>
                <w:b w:val="0"/>
                <w:bCs w:val="0"/>
                <w:noProof/>
                <w:webHidden/>
                <w:sz w:val="20"/>
                <w:szCs w:val="20"/>
              </w:rPr>
              <w:fldChar w:fldCharType="end"/>
            </w:r>
          </w:hyperlink>
        </w:p>
        <w:p w14:paraId="777A31DB" w14:textId="567D038B" w:rsidR="00576B08" w:rsidRPr="00576B08" w:rsidRDefault="00576B08">
          <w:pPr>
            <w:pStyle w:val="TM1"/>
            <w:rPr>
              <w:rFonts w:ascii="Tahoma" w:eastAsiaTheme="minorEastAsia" w:hAnsi="Tahoma" w:cs="Tahoma"/>
              <w:b w:val="0"/>
              <w:bCs w:val="0"/>
              <w:noProof/>
              <w:kern w:val="2"/>
              <w:sz w:val="20"/>
              <w:szCs w:val="20"/>
              <w:lang w:val="fr-MR"/>
              <w14:ligatures w14:val="standardContextual"/>
            </w:rPr>
          </w:pPr>
          <w:hyperlink w:anchor="_Toc202214690" w:history="1">
            <w:r w:rsidRPr="00576B08">
              <w:rPr>
                <w:rStyle w:val="Lienhypertexte"/>
                <w:rFonts w:ascii="Tahoma" w:hAnsi="Tahoma" w:cs="Tahoma"/>
                <w:b w:val="0"/>
                <w:bCs w:val="0"/>
                <w:noProof/>
                <w:sz w:val="20"/>
                <w:szCs w:val="20"/>
              </w:rPr>
              <w:t>Arrêté conjoint n° 979 du 04 juin 2012, portant application du décret n° 072-2012 du 12 mars 2012, portant règlementation des règles sanitaires applicables aux sous-produits de pêche et produits dérivés non destinés à la consommation humaine</w:t>
            </w:r>
            <w:r w:rsidRPr="00576B08">
              <w:rPr>
                <w:rFonts w:ascii="Tahoma" w:hAnsi="Tahoma" w:cs="Tahoma"/>
                <w:b w:val="0"/>
                <w:bCs w:val="0"/>
                <w:noProof/>
                <w:webHidden/>
                <w:sz w:val="20"/>
                <w:szCs w:val="20"/>
              </w:rPr>
              <w:tab/>
            </w:r>
            <w:r w:rsidRPr="00576B08">
              <w:rPr>
                <w:rFonts w:ascii="Tahoma" w:hAnsi="Tahoma" w:cs="Tahoma"/>
                <w:b w:val="0"/>
                <w:bCs w:val="0"/>
                <w:noProof/>
                <w:webHidden/>
                <w:sz w:val="20"/>
                <w:szCs w:val="20"/>
              </w:rPr>
              <w:fldChar w:fldCharType="begin"/>
            </w:r>
            <w:r w:rsidRPr="00576B08">
              <w:rPr>
                <w:rFonts w:ascii="Tahoma" w:hAnsi="Tahoma" w:cs="Tahoma"/>
                <w:b w:val="0"/>
                <w:bCs w:val="0"/>
                <w:noProof/>
                <w:webHidden/>
                <w:sz w:val="20"/>
                <w:szCs w:val="20"/>
              </w:rPr>
              <w:instrText xml:space="preserve"> PAGEREF _Toc202214690 \h </w:instrText>
            </w:r>
            <w:r w:rsidRPr="00576B08">
              <w:rPr>
                <w:rFonts w:ascii="Tahoma" w:hAnsi="Tahoma" w:cs="Tahoma"/>
                <w:b w:val="0"/>
                <w:bCs w:val="0"/>
                <w:noProof/>
                <w:webHidden/>
                <w:sz w:val="20"/>
                <w:szCs w:val="20"/>
              </w:rPr>
            </w:r>
            <w:r w:rsidRPr="00576B08">
              <w:rPr>
                <w:rFonts w:ascii="Tahoma" w:hAnsi="Tahoma" w:cs="Tahoma"/>
                <w:b w:val="0"/>
                <w:bCs w:val="0"/>
                <w:noProof/>
                <w:webHidden/>
                <w:sz w:val="20"/>
                <w:szCs w:val="20"/>
              </w:rPr>
              <w:fldChar w:fldCharType="separate"/>
            </w:r>
            <w:r w:rsidRPr="00576B08">
              <w:rPr>
                <w:rFonts w:ascii="Tahoma" w:hAnsi="Tahoma" w:cs="Tahoma"/>
                <w:b w:val="0"/>
                <w:bCs w:val="0"/>
                <w:noProof/>
                <w:webHidden/>
                <w:sz w:val="20"/>
                <w:szCs w:val="20"/>
              </w:rPr>
              <w:t>136</w:t>
            </w:r>
            <w:r w:rsidRPr="00576B08">
              <w:rPr>
                <w:rFonts w:ascii="Tahoma" w:hAnsi="Tahoma" w:cs="Tahoma"/>
                <w:b w:val="0"/>
                <w:bCs w:val="0"/>
                <w:noProof/>
                <w:webHidden/>
                <w:sz w:val="20"/>
                <w:szCs w:val="20"/>
              </w:rPr>
              <w:fldChar w:fldCharType="end"/>
            </w:r>
          </w:hyperlink>
        </w:p>
        <w:p w14:paraId="25D79DF0" w14:textId="34945F7D" w:rsidR="00576B08" w:rsidRPr="00576B08" w:rsidRDefault="00576B08">
          <w:pPr>
            <w:pStyle w:val="TM1"/>
            <w:rPr>
              <w:rFonts w:ascii="Tahoma" w:eastAsiaTheme="minorEastAsia" w:hAnsi="Tahoma" w:cs="Tahoma"/>
              <w:b w:val="0"/>
              <w:bCs w:val="0"/>
              <w:noProof/>
              <w:kern w:val="2"/>
              <w:sz w:val="20"/>
              <w:szCs w:val="20"/>
              <w:lang w:val="fr-MR"/>
              <w14:ligatures w14:val="standardContextual"/>
            </w:rPr>
          </w:pPr>
          <w:hyperlink w:anchor="_Toc202214691" w:history="1">
            <w:r w:rsidRPr="00576B08">
              <w:rPr>
                <w:rStyle w:val="Lienhypertexte"/>
                <w:rFonts w:ascii="Tahoma" w:hAnsi="Tahoma" w:cs="Tahoma"/>
                <w:b w:val="0"/>
                <w:bCs w:val="0"/>
                <w:noProof/>
                <w:sz w:val="20"/>
                <w:szCs w:val="20"/>
              </w:rPr>
              <w:t>Arrêté conjoint N° 264 du 22 mars 2016, relatif aux exigences sanitaires applicables à l’huile de poisson destinée à la consommation humaine</w:t>
            </w:r>
            <w:r w:rsidRPr="00576B08">
              <w:rPr>
                <w:rFonts w:ascii="Tahoma" w:hAnsi="Tahoma" w:cs="Tahoma"/>
                <w:b w:val="0"/>
                <w:bCs w:val="0"/>
                <w:noProof/>
                <w:webHidden/>
                <w:sz w:val="20"/>
                <w:szCs w:val="20"/>
              </w:rPr>
              <w:tab/>
            </w:r>
            <w:r w:rsidRPr="00576B08">
              <w:rPr>
                <w:rFonts w:ascii="Tahoma" w:hAnsi="Tahoma" w:cs="Tahoma"/>
                <w:b w:val="0"/>
                <w:bCs w:val="0"/>
                <w:noProof/>
                <w:webHidden/>
                <w:sz w:val="20"/>
                <w:szCs w:val="20"/>
              </w:rPr>
              <w:fldChar w:fldCharType="begin"/>
            </w:r>
            <w:r w:rsidRPr="00576B08">
              <w:rPr>
                <w:rFonts w:ascii="Tahoma" w:hAnsi="Tahoma" w:cs="Tahoma"/>
                <w:b w:val="0"/>
                <w:bCs w:val="0"/>
                <w:noProof/>
                <w:webHidden/>
                <w:sz w:val="20"/>
                <w:szCs w:val="20"/>
              </w:rPr>
              <w:instrText xml:space="preserve"> PAGEREF _Toc202214691 \h </w:instrText>
            </w:r>
            <w:r w:rsidRPr="00576B08">
              <w:rPr>
                <w:rFonts w:ascii="Tahoma" w:hAnsi="Tahoma" w:cs="Tahoma"/>
                <w:b w:val="0"/>
                <w:bCs w:val="0"/>
                <w:noProof/>
                <w:webHidden/>
                <w:sz w:val="20"/>
                <w:szCs w:val="20"/>
              </w:rPr>
            </w:r>
            <w:r w:rsidRPr="00576B08">
              <w:rPr>
                <w:rFonts w:ascii="Tahoma" w:hAnsi="Tahoma" w:cs="Tahoma"/>
                <w:b w:val="0"/>
                <w:bCs w:val="0"/>
                <w:noProof/>
                <w:webHidden/>
                <w:sz w:val="20"/>
                <w:szCs w:val="20"/>
              </w:rPr>
              <w:fldChar w:fldCharType="separate"/>
            </w:r>
            <w:r w:rsidRPr="00576B08">
              <w:rPr>
                <w:rFonts w:ascii="Tahoma" w:hAnsi="Tahoma" w:cs="Tahoma"/>
                <w:b w:val="0"/>
                <w:bCs w:val="0"/>
                <w:noProof/>
                <w:webHidden/>
                <w:sz w:val="20"/>
                <w:szCs w:val="20"/>
              </w:rPr>
              <w:t>143</w:t>
            </w:r>
            <w:r w:rsidRPr="00576B08">
              <w:rPr>
                <w:rFonts w:ascii="Tahoma" w:hAnsi="Tahoma" w:cs="Tahoma"/>
                <w:b w:val="0"/>
                <w:bCs w:val="0"/>
                <w:noProof/>
                <w:webHidden/>
                <w:sz w:val="20"/>
                <w:szCs w:val="20"/>
              </w:rPr>
              <w:fldChar w:fldCharType="end"/>
            </w:r>
          </w:hyperlink>
        </w:p>
        <w:p w14:paraId="5BD2D1EF" w14:textId="321B768C" w:rsidR="00576B08" w:rsidRPr="00576B08" w:rsidRDefault="00576B08">
          <w:pPr>
            <w:pStyle w:val="TM1"/>
            <w:rPr>
              <w:rFonts w:ascii="Tahoma" w:eastAsiaTheme="minorEastAsia" w:hAnsi="Tahoma" w:cs="Tahoma"/>
              <w:b w:val="0"/>
              <w:bCs w:val="0"/>
              <w:noProof/>
              <w:kern w:val="2"/>
              <w:sz w:val="20"/>
              <w:szCs w:val="20"/>
              <w:lang w:val="fr-MR"/>
              <w14:ligatures w14:val="standardContextual"/>
            </w:rPr>
          </w:pPr>
          <w:hyperlink w:anchor="_Toc202214692" w:history="1">
            <w:r w:rsidRPr="00576B08">
              <w:rPr>
                <w:rStyle w:val="Lienhypertexte"/>
                <w:rFonts w:ascii="Tahoma" w:hAnsi="Tahoma" w:cs="Tahoma"/>
                <w:b w:val="0"/>
                <w:bCs w:val="0"/>
                <w:noProof/>
                <w:sz w:val="20"/>
                <w:szCs w:val="20"/>
              </w:rPr>
              <w:t>Arrêté conjoint n°511/MPEM/MEF du 26 juin 2018, fixant la tarification des prestations de services de l’ONISPA</w:t>
            </w:r>
            <w:r w:rsidRPr="00576B08">
              <w:rPr>
                <w:rFonts w:ascii="Tahoma" w:hAnsi="Tahoma" w:cs="Tahoma"/>
                <w:b w:val="0"/>
                <w:bCs w:val="0"/>
                <w:noProof/>
                <w:webHidden/>
                <w:sz w:val="20"/>
                <w:szCs w:val="20"/>
              </w:rPr>
              <w:tab/>
            </w:r>
            <w:r w:rsidRPr="00576B08">
              <w:rPr>
                <w:rFonts w:ascii="Tahoma" w:hAnsi="Tahoma" w:cs="Tahoma"/>
                <w:b w:val="0"/>
                <w:bCs w:val="0"/>
                <w:noProof/>
                <w:webHidden/>
                <w:sz w:val="20"/>
                <w:szCs w:val="20"/>
              </w:rPr>
              <w:fldChar w:fldCharType="begin"/>
            </w:r>
            <w:r w:rsidRPr="00576B08">
              <w:rPr>
                <w:rFonts w:ascii="Tahoma" w:hAnsi="Tahoma" w:cs="Tahoma"/>
                <w:b w:val="0"/>
                <w:bCs w:val="0"/>
                <w:noProof/>
                <w:webHidden/>
                <w:sz w:val="20"/>
                <w:szCs w:val="20"/>
              </w:rPr>
              <w:instrText xml:space="preserve"> PAGEREF _Toc202214692 \h </w:instrText>
            </w:r>
            <w:r w:rsidRPr="00576B08">
              <w:rPr>
                <w:rFonts w:ascii="Tahoma" w:hAnsi="Tahoma" w:cs="Tahoma"/>
                <w:b w:val="0"/>
                <w:bCs w:val="0"/>
                <w:noProof/>
                <w:webHidden/>
                <w:sz w:val="20"/>
                <w:szCs w:val="20"/>
              </w:rPr>
            </w:r>
            <w:r w:rsidRPr="00576B08">
              <w:rPr>
                <w:rFonts w:ascii="Tahoma" w:hAnsi="Tahoma" w:cs="Tahoma"/>
                <w:b w:val="0"/>
                <w:bCs w:val="0"/>
                <w:noProof/>
                <w:webHidden/>
                <w:sz w:val="20"/>
                <w:szCs w:val="20"/>
              </w:rPr>
              <w:fldChar w:fldCharType="separate"/>
            </w:r>
            <w:r w:rsidRPr="00576B08">
              <w:rPr>
                <w:rFonts w:ascii="Tahoma" w:hAnsi="Tahoma" w:cs="Tahoma"/>
                <w:b w:val="0"/>
                <w:bCs w:val="0"/>
                <w:noProof/>
                <w:webHidden/>
                <w:sz w:val="20"/>
                <w:szCs w:val="20"/>
              </w:rPr>
              <w:t>145</w:t>
            </w:r>
            <w:r w:rsidRPr="00576B08">
              <w:rPr>
                <w:rFonts w:ascii="Tahoma" w:hAnsi="Tahoma" w:cs="Tahoma"/>
                <w:b w:val="0"/>
                <w:bCs w:val="0"/>
                <w:noProof/>
                <w:webHidden/>
                <w:sz w:val="20"/>
                <w:szCs w:val="20"/>
              </w:rPr>
              <w:fldChar w:fldCharType="end"/>
            </w:r>
          </w:hyperlink>
        </w:p>
        <w:p w14:paraId="41CC9E2F" w14:textId="3A300279" w:rsidR="00576B08" w:rsidRPr="00576B08" w:rsidRDefault="00576B08">
          <w:pPr>
            <w:pStyle w:val="TM1"/>
            <w:rPr>
              <w:rFonts w:ascii="Tahoma" w:eastAsiaTheme="minorEastAsia" w:hAnsi="Tahoma" w:cs="Tahoma"/>
              <w:b w:val="0"/>
              <w:bCs w:val="0"/>
              <w:noProof/>
              <w:kern w:val="2"/>
              <w:sz w:val="20"/>
              <w:szCs w:val="20"/>
              <w:lang w:val="fr-MR"/>
              <w14:ligatures w14:val="standardContextual"/>
            </w:rPr>
          </w:pPr>
          <w:hyperlink w:anchor="_Toc202214693" w:history="1">
            <w:r w:rsidRPr="00576B08">
              <w:rPr>
                <w:rStyle w:val="Lienhypertexte"/>
                <w:rFonts w:ascii="Tahoma" w:hAnsi="Tahoma" w:cs="Tahoma"/>
                <w:b w:val="0"/>
                <w:bCs w:val="0"/>
                <w:noProof/>
                <w:sz w:val="20"/>
                <w:szCs w:val="20"/>
              </w:rPr>
              <w:t>Arrêté n° 0913 du 27 décembre 2018, portant modification de certaines dispositions de l’arrêté n° 2466 du 28 octobre 2010 portant classement de salubrité des zones de production de coquillages de Dakhlet Nouadhibou</w:t>
            </w:r>
            <w:r w:rsidRPr="00576B08">
              <w:rPr>
                <w:rFonts w:ascii="Tahoma" w:hAnsi="Tahoma" w:cs="Tahoma"/>
                <w:b w:val="0"/>
                <w:bCs w:val="0"/>
                <w:noProof/>
                <w:webHidden/>
                <w:sz w:val="20"/>
                <w:szCs w:val="20"/>
              </w:rPr>
              <w:tab/>
            </w:r>
            <w:r w:rsidRPr="00576B08">
              <w:rPr>
                <w:rFonts w:ascii="Tahoma" w:hAnsi="Tahoma" w:cs="Tahoma"/>
                <w:b w:val="0"/>
                <w:bCs w:val="0"/>
                <w:noProof/>
                <w:webHidden/>
                <w:sz w:val="20"/>
                <w:szCs w:val="20"/>
              </w:rPr>
              <w:fldChar w:fldCharType="begin"/>
            </w:r>
            <w:r w:rsidRPr="00576B08">
              <w:rPr>
                <w:rFonts w:ascii="Tahoma" w:hAnsi="Tahoma" w:cs="Tahoma"/>
                <w:b w:val="0"/>
                <w:bCs w:val="0"/>
                <w:noProof/>
                <w:webHidden/>
                <w:sz w:val="20"/>
                <w:szCs w:val="20"/>
              </w:rPr>
              <w:instrText xml:space="preserve"> PAGEREF _Toc202214693 \h </w:instrText>
            </w:r>
            <w:r w:rsidRPr="00576B08">
              <w:rPr>
                <w:rFonts w:ascii="Tahoma" w:hAnsi="Tahoma" w:cs="Tahoma"/>
                <w:b w:val="0"/>
                <w:bCs w:val="0"/>
                <w:noProof/>
                <w:webHidden/>
                <w:sz w:val="20"/>
                <w:szCs w:val="20"/>
              </w:rPr>
            </w:r>
            <w:r w:rsidRPr="00576B08">
              <w:rPr>
                <w:rFonts w:ascii="Tahoma" w:hAnsi="Tahoma" w:cs="Tahoma"/>
                <w:b w:val="0"/>
                <w:bCs w:val="0"/>
                <w:noProof/>
                <w:webHidden/>
                <w:sz w:val="20"/>
                <w:szCs w:val="20"/>
              </w:rPr>
              <w:fldChar w:fldCharType="separate"/>
            </w:r>
            <w:r w:rsidRPr="00576B08">
              <w:rPr>
                <w:rFonts w:ascii="Tahoma" w:hAnsi="Tahoma" w:cs="Tahoma"/>
                <w:b w:val="0"/>
                <w:bCs w:val="0"/>
                <w:noProof/>
                <w:webHidden/>
                <w:sz w:val="20"/>
                <w:szCs w:val="20"/>
              </w:rPr>
              <w:t>149</w:t>
            </w:r>
            <w:r w:rsidRPr="00576B08">
              <w:rPr>
                <w:rFonts w:ascii="Tahoma" w:hAnsi="Tahoma" w:cs="Tahoma"/>
                <w:b w:val="0"/>
                <w:bCs w:val="0"/>
                <w:noProof/>
                <w:webHidden/>
                <w:sz w:val="20"/>
                <w:szCs w:val="20"/>
              </w:rPr>
              <w:fldChar w:fldCharType="end"/>
            </w:r>
          </w:hyperlink>
        </w:p>
        <w:p w14:paraId="61DD3B2D" w14:textId="2338594E" w:rsidR="00576B08" w:rsidRPr="00576B08" w:rsidRDefault="00576B08">
          <w:pPr>
            <w:pStyle w:val="TM1"/>
            <w:rPr>
              <w:rFonts w:ascii="Tahoma" w:eastAsiaTheme="minorEastAsia" w:hAnsi="Tahoma" w:cs="Tahoma"/>
              <w:b w:val="0"/>
              <w:bCs w:val="0"/>
              <w:noProof/>
              <w:kern w:val="2"/>
              <w:sz w:val="20"/>
              <w:szCs w:val="20"/>
              <w:lang w:val="fr-MR"/>
              <w14:ligatures w14:val="standardContextual"/>
            </w:rPr>
          </w:pPr>
          <w:hyperlink w:anchor="_Toc202214694" w:history="1">
            <w:r w:rsidRPr="00576B08">
              <w:rPr>
                <w:rStyle w:val="Lienhypertexte"/>
                <w:rFonts w:ascii="Tahoma" w:hAnsi="Tahoma" w:cs="Tahoma"/>
                <w:b w:val="0"/>
                <w:bCs w:val="0"/>
                <w:noProof/>
                <w:sz w:val="20"/>
                <w:szCs w:val="20"/>
              </w:rPr>
              <w:t>Arrêté conjoint n° 016 du 14 janvier 2019, modifiant et complétant certaines dispositions de l’arrêté 979- 2012 portant règlementation des règles sanitaires applicables aux sous-produits de pêche et produits dérivés non destinés à la consommation humaine</w:t>
            </w:r>
            <w:r w:rsidRPr="00576B08">
              <w:rPr>
                <w:rFonts w:ascii="Tahoma" w:hAnsi="Tahoma" w:cs="Tahoma"/>
                <w:b w:val="0"/>
                <w:bCs w:val="0"/>
                <w:noProof/>
                <w:webHidden/>
                <w:sz w:val="20"/>
                <w:szCs w:val="20"/>
              </w:rPr>
              <w:tab/>
            </w:r>
            <w:r w:rsidRPr="00576B08">
              <w:rPr>
                <w:rFonts w:ascii="Tahoma" w:hAnsi="Tahoma" w:cs="Tahoma"/>
                <w:b w:val="0"/>
                <w:bCs w:val="0"/>
                <w:noProof/>
                <w:webHidden/>
                <w:sz w:val="20"/>
                <w:szCs w:val="20"/>
              </w:rPr>
              <w:fldChar w:fldCharType="begin"/>
            </w:r>
            <w:r w:rsidRPr="00576B08">
              <w:rPr>
                <w:rFonts w:ascii="Tahoma" w:hAnsi="Tahoma" w:cs="Tahoma"/>
                <w:b w:val="0"/>
                <w:bCs w:val="0"/>
                <w:noProof/>
                <w:webHidden/>
                <w:sz w:val="20"/>
                <w:szCs w:val="20"/>
              </w:rPr>
              <w:instrText xml:space="preserve"> PAGEREF _Toc202214694 \h </w:instrText>
            </w:r>
            <w:r w:rsidRPr="00576B08">
              <w:rPr>
                <w:rFonts w:ascii="Tahoma" w:hAnsi="Tahoma" w:cs="Tahoma"/>
                <w:b w:val="0"/>
                <w:bCs w:val="0"/>
                <w:noProof/>
                <w:webHidden/>
                <w:sz w:val="20"/>
                <w:szCs w:val="20"/>
              </w:rPr>
            </w:r>
            <w:r w:rsidRPr="00576B08">
              <w:rPr>
                <w:rFonts w:ascii="Tahoma" w:hAnsi="Tahoma" w:cs="Tahoma"/>
                <w:b w:val="0"/>
                <w:bCs w:val="0"/>
                <w:noProof/>
                <w:webHidden/>
                <w:sz w:val="20"/>
                <w:szCs w:val="20"/>
              </w:rPr>
              <w:fldChar w:fldCharType="separate"/>
            </w:r>
            <w:r w:rsidRPr="00576B08">
              <w:rPr>
                <w:rFonts w:ascii="Tahoma" w:hAnsi="Tahoma" w:cs="Tahoma"/>
                <w:b w:val="0"/>
                <w:bCs w:val="0"/>
                <w:noProof/>
                <w:webHidden/>
                <w:sz w:val="20"/>
                <w:szCs w:val="20"/>
              </w:rPr>
              <w:t>151</w:t>
            </w:r>
            <w:r w:rsidRPr="00576B08">
              <w:rPr>
                <w:rFonts w:ascii="Tahoma" w:hAnsi="Tahoma" w:cs="Tahoma"/>
                <w:b w:val="0"/>
                <w:bCs w:val="0"/>
                <w:noProof/>
                <w:webHidden/>
                <w:sz w:val="20"/>
                <w:szCs w:val="20"/>
              </w:rPr>
              <w:fldChar w:fldCharType="end"/>
            </w:r>
          </w:hyperlink>
        </w:p>
        <w:p w14:paraId="7F341FD6" w14:textId="10A6B37B" w:rsidR="00576B08" w:rsidRPr="00576B08" w:rsidRDefault="00576B08">
          <w:pPr>
            <w:pStyle w:val="TM1"/>
            <w:rPr>
              <w:rFonts w:ascii="Tahoma" w:eastAsiaTheme="minorEastAsia" w:hAnsi="Tahoma" w:cs="Tahoma"/>
              <w:b w:val="0"/>
              <w:bCs w:val="0"/>
              <w:noProof/>
              <w:kern w:val="2"/>
              <w:sz w:val="20"/>
              <w:szCs w:val="20"/>
              <w:lang w:val="fr-MR"/>
              <w14:ligatures w14:val="standardContextual"/>
            </w:rPr>
          </w:pPr>
          <w:hyperlink w:anchor="_Toc202214695" w:history="1">
            <w:r w:rsidRPr="00576B08">
              <w:rPr>
                <w:rStyle w:val="Lienhypertexte"/>
                <w:rFonts w:ascii="Tahoma" w:hAnsi="Tahoma" w:cs="Tahoma"/>
                <w:b w:val="0"/>
                <w:bCs w:val="0"/>
                <w:noProof/>
                <w:sz w:val="20"/>
                <w:szCs w:val="20"/>
              </w:rPr>
              <w:t>Arrêté N° 293/MPEM du 19 mars 2021, portant réglementation des conditions de transport des produits de la pêche et de l’aquaculture</w:t>
            </w:r>
            <w:r w:rsidRPr="00576B08">
              <w:rPr>
                <w:rFonts w:ascii="Tahoma" w:hAnsi="Tahoma" w:cs="Tahoma"/>
                <w:b w:val="0"/>
                <w:bCs w:val="0"/>
                <w:noProof/>
                <w:webHidden/>
                <w:sz w:val="20"/>
                <w:szCs w:val="20"/>
              </w:rPr>
              <w:tab/>
            </w:r>
            <w:r w:rsidRPr="00576B08">
              <w:rPr>
                <w:rFonts w:ascii="Tahoma" w:hAnsi="Tahoma" w:cs="Tahoma"/>
                <w:b w:val="0"/>
                <w:bCs w:val="0"/>
                <w:noProof/>
                <w:webHidden/>
                <w:sz w:val="20"/>
                <w:szCs w:val="20"/>
              </w:rPr>
              <w:fldChar w:fldCharType="begin"/>
            </w:r>
            <w:r w:rsidRPr="00576B08">
              <w:rPr>
                <w:rFonts w:ascii="Tahoma" w:hAnsi="Tahoma" w:cs="Tahoma"/>
                <w:b w:val="0"/>
                <w:bCs w:val="0"/>
                <w:noProof/>
                <w:webHidden/>
                <w:sz w:val="20"/>
                <w:szCs w:val="20"/>
              </w:rPr>
              <w:instrText xml:space="preserve"> PAGEREF _Toc202214695 \h </w:instrText>
            </w:r>
            <w:r w:rsidRPr="00576B08">
              <w:rPr>
                <w:rFonts w:ascii="Tahoma" w:hAnsi="Tahoma" w:cs="Tahoma"/>
                <w:b w:val="0"/>
                <w:bCs w:val="0"/>
                <w:noProof/>
                <w:webHidden/>
                <w:sz w:val="20"/>
                <w:szCs w:val="20"/>
              </w:rPr>
            </w:r>
            <w:r w:rsidRPr="00576B08">
              <w:rPr>
                <w:rFonts w:ascii="Tahoma" w:hAnsi="Tahoma" w:cs="Tahoma"/>
                <w:b w:val="0"/>
                <w:bCs w:val="0"/>
                <w:noProof/>
                <w:webHidden/>
                <w:sz w:val="20"/>
                <w:szCs w:val="20"/>
              </w:rPr>
              <w:fldChar w:fldCharType="separate"/>
            </w:r>
            <w:r w:rsidRPr="00576B08">
              <w:rPr>
                <w:rFonts w:ascii="Tahoma" w:hAnsi="Tahoma" w:cs="Tahoma"/>
                <w:b w:val="0"/>
                <w:bCs w:val="0"/>
                <w:noProof/>
                <w:webHidden/>
                <w:sz w:val="20"/>
                <w:szCs w:val="20"/>
              </w:rPr>
              <w:t>153</w:t>
            </w:r>
            <w:r w:rsidRPr="00576B08">
              <w:rPr>
                <w:rFonts w:ascii="Tahoma" w:hAnsi="Tahoma" w:cs="Tahoma"/>
                <w:b w:val="0"/>
                <w:bCs w:val="0"/>
                <w:noProof/>
                <w:webHidden/>
                <w:sz w:val="20"/>
                <w:szCs w:val="20"/>
              </w:rPr>
              <w:fldChar w:fldCharType="end"/>
            </w:r>
          </w:hyperlink>
        </w:p>
        <w:p w14:paraId="0DB64391" w14:textId="63B4DE6C" w:rsidR="00576B08" w:rsidRPr="00576B08" w:rsidRDefault="00576B08">
          <w:pPr>
            <w:pStyle w:val="TM1"/>
            <w:rPr>
              <w:rFonts w:ascii="Tahoma" w:eastAsiaTheme="minorEastAsia" w:hAnsi="Tahoma" w:cs="Tahoma"/>
              <w:b w:val="0"/>
              <w:bCs w:val="0"/>
              <w:noProof/>
              <w:kern w:val="2"/>
              <w:sz w:val="20"/>
              <w:szCs w:val="20"/>
              <w:lang w:val="fr-MR"/>
              <w14:ligatures w14:val="standardContextual"/>
            </w:rPr>
          </w:pPr>
          <w:hyperlink w:anchor="_Toc202214696" w:history="1">
            <w:r w:rsidRPr="00576B08">
              <w:rPr>
                <w:rStyle w:val="Lienhypertexte"/>
                <w:rFonts w:ascii="Tahoma" w:hAnsi="Tahoma" w:cs="Tahoma"/>
                <w:b w:val="0"/>
                <w:bCs w:val="0"/>
                <w:noProof/>
                <w:sz w:val="20"/>
                <w:szCs w:val="20"/>
              </w:rPr>
              <w:t>Arrêté conjoint n° 000734 du 30 juin 2025, relatif aux règles d’hygiène applicables aux mollusques bivalves vivants, aux produits de la pêche et aux</w:t>
            </w:r>
            <w:r w:rsidRPr="00576B08">
              <w:rPr>
                <w:rStyle w:val="Lienhypertexte"/>
                <w:rFonts w:ascii="Tahoma" w:hAnsi="Tahoma" w:cs="Tahoma"/>
                <w:b w:val="0"/>
                <w:bCs w:val="0"/>
                <w:noProof/>
                <w:sz w:val="20"/>
                <w:szCs w:val="20"/>
              </w:rPr>
              <w:t xml:space="preserve"> </w:t>
            </w:r>
            <w:r w:rsidRPr="00576B08">
              <w:rPr>
                <w:rStyle w:val="Lienhypertexte"/>
                <w:rFonts w:ascii="Tahoma" w:hAnsi="Tahoma" w:cs="Tahoma"/>
                <w:b w:val="0"/>
                <w:bCs w:val="0"/>
                <w:noProof/>
                <w:sz w:val="20"/>
                <w:szCs w:val="20"/>
              </w:rPr>
              <w:t>exploitants du secteur halieutique</w:t>
            </w:r>
            <w:r w:rsidRPr="00576B08">
              <w:rPr>
                <w:rFonts w:ascii="Tahoma" w:hAnsi="Tahoma" w:cs="Tahoma"/>
                <w:b w:val="0"/>
                <w:bCs w:val="0"/>
                <w:noProof/>
                <w:webHidden/>
                <w:sz w:val="20"/>
                <w:szCs w:val="20"/>
              </w:rPr>
              <w:tab/>
            </w:r>
            <w:r w:rsidRPr="00576B08">
              <w:rPr>
                <w:rFonts w:ascii="Tahoma" w:hAnsi="Tahoma" w:cs="Tahoma"/>
                <w:b w:val="0"/>
                <w:bCs w:val="0"/>
                <w:noProof/>
                <w:webHidden/>
                <w:sz w:val="20"/>
                <w:szCs w:val="20"/>
              </w:rPr>
              <w:fldChar w:fldCharType="begin"/>
            </w:r>
            <w:r w:rsidRPr="00576B08">
              <w:rPr>
                <w:rFonts w:ascii="Tahoma" w:hAnsi="Tahoma" w:cs="Tahoma"/>
                <w:b w:val="0"/>
                <w:bCs w:val="0"/>
                <w:noProof/>
                <w:webHidden/>
                <w:sz w:val="20"/>
                <w:szCs w:val="20"/>
              </w:rPr>
              <w:instrText xml:space="preserve"> PAGEREF _Toc202214696 \h </w:instrText>
            </w:r>
            <w:r w:rsidRPr="00576B08">
              <w:rPr>
                <w:rFonts w:ascii="Tahoma" w:hAnsi="Tahoma" w:cs="Tahoma"/>
                <w:b w:val="0"/>
                <w:bCs w:val="0"/>
                <w:noProof/>
                <w:webHidden/>
                <w:sz w:val="20"/>
                <w:szCs w:val="20"/>
              </w:rPr>
            </w:r>
            <w:r w:rsidRPr="00576B08">
              <w:rPr>
                <w:rFonts w:ascii="Tahoma" w:hAnsi="Tahoma" w:cs="Tahoma"/>
                <w:b w:val="0"/>
                <w:bCs w:val="0"/>
                <w:noProof/>
                <w:webHidden/>
                <w:sz w:val="20"/>
                <w:szCs w:val="20"/>
              </w:rPr>
              <w:fldChar w:fldCharType="separate"/>
            </w:r>
            <w:r w:rsidRPr="00576B08">
              <w:rPr>
                <w:rFonts w:ascii="Tahoma" w:hAnsi="Tahoma" w:cs="Tahoma"/>
                <w:b w:val="0"/>
                <w:bCs w:val="0"/>
                <w:noProof/>
                <w:webHidden/>
                <w:sz w:val="20"/>
                <w:szCs w:val="20"/>
              </w:rPr>
              <w:t>159</w:t>
            </w:r>
            <w:r w:rsidRPr="00576B08">
              <w:rPr>
                <w:rFonts w:ascii="Tahoma" w:hAnsi="Tahoma" w:cs="Tahoma"/>
                <w:b w:val="0"/>
                <w:bCs w:val="0"/>
                <w:noProof/>
                <w:webHidden/>
                <w:sz w:val="20"/>
                <w:szCs w:val="20"/>
              </w:rPr>
              <w:fldChar w:fldCharType="end"/>
            </w:r>
          </w:hyperlink>
        </w:p>
        <w:p w14:paraId="244AB7AB" w14:textId="2C475D8C" w:rsidR="00576B08" w:rsidRPr="00576B08" w:rsidRDefault="00576B08">
          <w:pPr>
            <w:pStyle w:val="TM1"/>
            <w:rPr>
              <w:rFonts w:ascii="Tahoma" w:eastAsiaTheme="minorEastAsia" w:hAnsi="Tahoma" w:cs="Tahoma"/>
              <w:b w:val="0"/>
              <w:bCs w:val="0"/>
              <w:noProof/>
              <w:kern w:val="2"/>
              <w:sz w:val="20"/>
              <w:szCs w:val="20"/>
              <w:lang w:val="fr-MR"/>
              <w14:ligatures w14:val="standardContextual"/>
            </w:rPr>
          </w:pPr>
          <w:hyperlink w:anchor="_Toc202214697" w:history="1">
            <w:r w:rsidRPr="00576B08">
              <w:rPr>
                <w:rStyle w:val="Lienhypertexte"/>
                <w:rFonts w:ascii="Tahoma" w:hAnsi="Tahoma" w:cs="Tahoma"/>
                <w:b w:val="0"/>
                <w:bCs w:val="0"/>
                <w:noProof/>
                <w:sz w:val="20"/>
                <w:szCs w:val="20"/>
              </w:rPr>
              <w:t>Arrêté n° 000735 du 30 Juin 2025 fixant les conditions techniques et sanitaires des sites de débarquement des produits de la pêche</w:t>
            </w:r>
            <w:r w:rsidRPr="00576B08">
              <w:rPr>
                <w:rFonts w:ascii="Tahoma" w:hAnsi="Tahoma" w:cs="Tahoma"/>
                <w:b w:val="0"/>
                <w:bCs w:val="0"/>
                <w:noProof/>
                <w:webHidden/>
                <w:sz w:val="20"/>
                <w:szCs w:val="20"/>
              </w:rPr>
              <w:tab/>
            </w:r>
            <w:r w:rsidRPr="00576B08">
              <w:rPr>
                <w:rFonts w:ascii="Tahoma" w:hAnsi="Tahoma" w:cs="Tahoma"/>
                <w:b w:val="0"/>
                <w:bCs w:val="0"/>
                <w:noProof/>
                <w:webHidden/>
                <w:sz w:val="20"/>
                <w:szCs w:val="20"/>
              </w:rPr>
              <w:fldChar w:fldCharType="begin"/>
            </w:r>
            <w:r w:rsidRPr="00576B08">
              <w:rPr>
                <w:rFonts w:ascii="Tahoma" w:hAnsi="Tahoma" w:cs="Tahoma"/>
                <w:b w:val="0"/>
                <w:bCs w:val="0"/>
                <w:noProof/>
                <w:webHidden/>
                <w:sz w:val="20"/>
                <w:szCs w:val="20"/>
              </w:rPr>
              <w:instrText xml:space="preserve"> PAGEREF _Toc202214697 \h </w:instrText>
            </w:r>
            <w:r w:rsidRPr="00576B08">
              <w:rPr>
                <w:rFonts w:ascii="Tahoma" w:hAnsi="Tahoma" w:cs="Tahoma"/>
                <w:b w:val="0"/>
                <w:bCs w:val="0"/>
                <w:noProof/>
                <w:webHidden/>
                <w:sz w:val="20"/>
                <w:szCs w:val="20"/>
              </w:rPr>
            </w:r>
            <w:r w:rsidRPr="00576B08">
              <w:rPr>
                <w:rFonts w:ascii="Tahoma" w:hAnsi="Tahoma" w:cs="Tahoma"/>
                <w:b w:val="0"/>
                <w:bCs w:val="0"/>
                <w:noProof/>
                <w:webHidden/>
                <w:sz w:val="20"/>
                <w:szCs w:val="20"/>
              </w:rPr>
              <w:fldChar w:fldCharType="separate"/>
            </w:r>
            <w:r w:rsidRPr="00576B08">
              <w:rPr>
                <w:rFonts w:ascii="Tahoma" w:hAnsi="Tahoma" w:cs="Tahoma"/>
                <w:b w:val="0"/>
                <w:bCs w:val="0"/>
                <w:noProof/>
                <w:webHidden/>
                <w:sz w:val="20"/>
                <w:szCs w:val="20"/>
              </w:rPr>
              <w:t>191</w:t>
            </w:r>
            <w:r w:rsidRPr="00576B08">
              <w:rPr>
                <w:rFonts w:ascii="Tahoma" w:hAnsi="Tahoma" w:cs="Tahoma"/>
                <w:b w:val="0"/>
                <w:bCs w:val="0"/>
                <w:noProof/>
                <w:webHidden/>
                <w:sz w:val="20"/>
                <w:szCs w:val="20"/>
              </w:rPr>
              <w:fldChar w:fldCharType="end"/>
            </w:r>
          </w:hyperlink>
        </w:p>
        <w:p w14:paraId="6174D21E" w14:textId="7B98431D" w:rsidR="00576B08" w:rsidRPr="00576B08" w:rsidRDefault="00576B08">
          <w:pPr>
            <w:pStyle w:val="TM1"/>
            <w:rPr>
              <w:rFonts w:ascii="Tahoma" w:eastAsiaTheme="minorEastAsia" w:hAnsi="Tahoma" w:cs="Tahoma"/>
              <w:b w:val="0"/>
              <w:bCs w:val="0"/>
              <w:noProof/>
              <w:kern w:val="2"/>
              <w:sz w:val="20"/>
              <w:szCs w:val="20"/>
              <w:lang w:val="fr-MR"/>
              <w14:ligatures w14:val="standardContextual"/>
            </w:rPr>
          </w:pPr>
          <w:hyperlink w:anchor="_Toc202214698" w:history="1">
            <w:r w:rsidRPr="00576B08">
              <w:rPr>
                <w:rStyle w:val="Lienhypertexte"/>
                <w:rFonts w:ascii="Tahoma" w:hAnsi="Tahoma" w:cs="Tahoma"/>
                <w:b w:val="0"/>
                <w:bCs w:val="0"/>
                <w:noProof/>
                <w:sz w:val="20"/>
                <w:szCs w:val="20"/>
              </w:rPr>
              <w:t>Arrêté conjoint n° 000736 du 30 juin 2025 portant réglementation des conditions technico-sanitaires d’autorisation des unités de production de la glace desti</w:t>
            </w:r>
            <w:r w:rsidRPr="00576B08">
              <w:rPr>
                <w:rStyle w:val="Lienhypertexte"/>
                <w:rFonts w:ascii="Tahoma" w:hAnsi="Tahoma" w:cs="Tahoma"/>
                <w:b w:val="0"/>
                <w:bCs w:val="0"/>
                <w:noProof/>
                <w:sz w:val="20"/>
                <w:szCs w:val="20"/>
              </w:rPr>
              <w:t>n</w:t>
            </w:r>
            <w:r w:rsidRPr="00576B08">
              <w:rPr>
                <w:rStyle w:val="Lienhypertexte"/>
                <w:rFonts w:ascii="Tahoma" w:hAnsi="Tahoma" w:cs="Tahoma"/>
                <w:b w:val="0"/>
                <w:bCs w:val="0"/>
                <w:noProof/>
                <w:sz w:val="20"/>
                <w:szCs w:val="20"/>
              </w:rPr>
              <w:t>ée à la réfrigération des produits halieutiques et leur fonctionnement</w:t>
            </w:r>
            <w:r w:rsidRPr="00576B08">
              <w:rPr>
                <w:rFonts w:ascii="Tahoma" w:hAnsi="Tahoma" w:cs="Tahoma"/>
                <w:b w:val="0"/>
                <w:bCs w:val="0"/>
                <w:noProof/>
                <w:webHidden/>
                <w:sz w:val="20"/>
                <w:szCs w:val="20"/>
              </w:rPr>
              <w:tab/>
            </w:r>
            <w:r w:rsidRPr="00576B08">
              <w:rPr>
                <w:rFonts w:ascii="Tahoma" w:hAnsi="Tahoma" w:cs="Tahoma"/>
                <w:b w:val="0"/>
                <w:bCs w:val="0"/>
                <w:noProof/>
                <w:webHidden/>
                <w:sz w:val="20"/>
                <w:szCs w:val="20"/>
              </w:rPr>
              <w:fldChar w:fldCharType="begin"/>
            </w:r>
            <w:r w:rsidRPr="00576B08">
              <w:rPr>
                <w:rFonts w:ascii="Tahoma" w:hAnsi="Tahoma" w:cs="Tahoma"/>
                <w:b w:val="0"/>
                <w:bCs w:val="0"/>
                <w:noProof/>
                <w:webHidden/>
                <w:sz w:val="20"/>
                <w:szCs w:val="20"/>
              </w:rPr>
              <w:instrText xml:space="preserve"> PAGEREF _Toc202214698 \h </w:instrText>
            </w:r>
            <w:r w:rsidRPr="00576B08">
              <w:rPr>
                <w:rFonts w:ascii="Tahoma" w:hAnsi="Tahoma" w:cs="Tahoma"/>
                <w:b w:val="0"/>
                <w:bCs w:val="0"/>
                <w:noProof/>
                <w:webHidden/>
                <w:sz w:val="20"/>
                <w:szCs w:val="20"/>
              </w:rPr>
            </w:r>
            <w:r w:rsidRPr="00576B08">
              <w:rPr>
                <w:rFonts w:ascii="Tahoma" w:hAnsi="Tahoma" w:cs="Tahoma"/>
                <w:b w:val="0"/>
                <w:bCs w:val="0"/>
                <w:noProof/>
                <w:webHidden/>
                <w:sz w:val="20"/>
                <w:szCs w:val="20"/>
              </w:rPr>
              <w:fldChar w:fldCharType="separate"/>
            </w:r>
            <w:r w:rsidRPr="00576B08">
              <w:rPr>
                <w:rFonts w:ascii="Tahoma" w:hAnsi="Tahoma" w:cs="Tahoma"/>
                <w:b w:val="0"/>
                <w:bCs w:val="0"/>
                <w:noProof/>
                <w:webHidden/>
                <w:sz w:val="20"/>
                <w:szCs w:val="20"/>
              </w:rPr>
              <w:t>194</w:t>
            </w:r>
            <w:r w:rsidRPr="00576B08">
              <w:rPr>
                <w:rFonts w:ascii="Tahoma" w:hAnsi="Tahoma" w:cs="Tahoma"/>
                <w:b w:val="0"/>
                <w:bCs w:val="0"/>
                <w:noProof/>
                <w:webHidden/>
                <w:sz w:val="20"/>
                <w:szCs w:val="20"/>
              </w:rPr>
              <w:fldChar w:fldCharType="end"/>
            </w:r>
          </w:hyperlink>
        </w:p>
        <w:p w14:paraId="59ADAF2D" w14:textId="3558509A" w:rsidR="00576B08" w:rsidRPr="00576B08" w:rsidRDefault="00576B08">
          <w:pPr>
            <w:pStyle w:val="TM1"/>
            <w:rPr>
              <w:rFonts w:ascii="Tahoma" w:eastAsiaTheme="minorEastAsia" w:hAnsi="Tahoma" w:cs="Tahoma"/>
              <w:b w:val="0"/>
              <w:bCs w:val="0"/>
              <w:noProof/>
              <w:kern w:val="2"/>
              <w:sz w:val="20"/>
              <w:szCs w:val="20"/>
              <w:lang w:val="fr-MR"/>
              <w14:ligatures w14:val="standardContextual"/>
            </w:rPr>
          </w:pPr>
          <w:hyperlink w:anchor="_Toc202214699" w:history="1">
            <w:r w:rsidRPr="00576B08">
              <w:rPr>
                <w:rStyle w:val="Lienhypertexte"/>
                <w:rFonts w:ascii="Tahoma" w:hAnsi="Tahoma" w:cs="Tahoma"/>
                <w:b w:val="0"/>
                <w:bCs w:val="0"/>
                <w:noProof/>
                <w:sz w:val="20"/>
                <w:szCs w:val="20"/>
              </w:rPr>
              <w:t>Arrêté conjoint n°000737 du 30 juin 2025 relatif aux contrôles officiels applicables aux produits de la pêche</w:t>
            </w:r>
            <w:r w:rsidRPr="00576B08">
              <w:rPr>
                <w:rFonts w:ascii="Tahoma" w:hAnsi="Tahoma" w:cs="Tahoma"/>
                <w:b w:val="0"/>
                <w:bCs w:val="0"/>
                <w:noProof/>
                <w:webHidden/>
                <w:sz w:val="20"/>
                <w:szCs w:val="20"/>
              </w:rPr>
              <w:tab/>
            </w:r>
            <w:r w:rsidRPr="00576B08">
              <w:rPr>
                <w:rFonts w:ascii="Tahoma" w:hAnsi="Tahoma" w:cs="Tahoma"/>
                <w:b w:val="0"/>
                <w:bCs w:val="0"/>
                <w:noProof/>
                <w:webHidden/>
                <w:sz w:val="20"/>
                <w:szCs w:val="20"/>
              </w:rPr>
              <w:fldChar w:fldCharType="begin"/>
            </w:r>
            <w:r w:rsidRPr="00576B08">
              <w:rPr>
                <w:rFonts w:ascii="Tahoma" w:hAnsi="Tahoma" w:cs="Tahoma"/>
                <w:b w:val="0"/>
                <w:bCs w:val="0"/>
                <w:noProof/>
                <w:webHidden/>
                <w:sz w:val="20"/>
                <w:szCs w:val="20"/>
              </w:rPr>
              <w:instrText xml:space="preserve"> PAGEREF _Toc202214699 \h </w:instrText>
            </w:r>
            <w:r w:rsidRPr="00576B08">
              <w:rPr>
                <w:rFonts w:ascii="Tahoma" w:hAnsi="Tahoma" w:cs="Tahoma"/>
                <w:b w:val="0"/>
                <w:bCs w:val="0"/>
                <w:noProof/>
                <w:webHidden/>
                <w:sz w:val="20"/>
                <w:szCs w:val="20"/>
              </w:rPr>
            </w:r>
            <w:r w:rsidRPr="00576B08">
              <w:rPr>
                <w:rFonts w:ascii="Tahoma" w:hAnsi="Tahoma" w:cs="Tahoma"/>
                <w:b w:val="0"/>
                <w:bCs w:val="0"/>
                <w:noProof/>
                <w:webHidden/>
                <w:sz w:val="20"/>
                <w:szCs w:val="20"/>
              </w:rPr>
              <w:fldChar w:fldCharType="separate"/>
            </w:r>
            <w:r w:rsidRPr="00576B08">
              <w:rPr>
                <w:rFonts w:ascii="Tahoma" w:hAnsi="Tahoma" w:cs="Tahoma"/>
                <w:b w:val="0"/>
                <w:bCs w:val="0"/>
                <w:noProof/>
                <w:webHidden/>
                <w:sz w:val="20"/>
                <w:szCs w:val="20"/>
              </w:rPr>
              <w:t>197</w:t>
            </w:r>
            <w:r w:rsidRPr="00576B08">
              <w:rPr>
                <w:rFonts w:ascii="Tahoma" w:hAnsi="Tahoma" w:cs="Tahoma"/>
                <w:b w:val="0"/>
                <w:bCs w:val="0"/>
                <w:noProof/>
                <w:webHidden/>
                <w:sz w:val="20"/>
                <w:szCs w:val="20"/>
              </w:rPr>
              <w:fldChar w:fldCharType="end"/>
            </w:r>
          </w:hyperlink>
        </w:p>
        <w:p w14:paraId="772628DC" w14:textId="3DE0C500" w:rsidR="00576B08" w:rsidRPr="00576B08" w:rsidRDefault="00576B08">
          <w:pPr>
            <w:pStyle w:val="TM1"/>
            <w:rPr>
              <w:rFonts w:ascii="Tahoma" w:eastAsiaTheme="minorEastAsia" w:hAnsi="Tahoma" w:cs="Tahoma"/>
              <w:b w:val="0"/>
              <w:bCs w:val="0"/>
              <w:noProof/>
              <w:kern w:val="2"/>
              <w:sz w:val="20"/>
              <w:szCs w:val="20"/>
              <w:lang w:val="fr-MR"/>
              <w14:ligatures w14:val="standardContextual"/>
            </w:rPr>
          </w:pPr>
          <w:hyperlink w:anchor="_Toc202214700" w:history="1">
            <w:r w:rsidRPr="00576B08">
              <w:rPr>
                <w:rStyle w:val="Lienhypertexte"/>
                <w:rFonts w:ascii="Tahoma" w:hAnsi="Tahoma" w:cs="Tahoma"/>
                <w:b w:val="0"/>
                <w:bCs w:val="0"/>
                <w:noProof/>
                <w:sz w:val="20"/>
                <w:szCs w:val="20"/>
              </w:rPr>
              <w:t xml:space="preserve">Arrête conjoint n° 000738 du 30 juin 2025, portant critères microbiologiques, chimiques et biotoxines marines applicables aux produits de la pêche et de l’aquaculture et les </w:t>
            </w:r>
            <w:r w:rsidRPr="00576B08">
              <w:rPr>
                <w:rStyle w:val="Lienhypertexte"/>
                <w:rFonts w:ascii="Tahoma" w:hAnsi="Tahoma" w:cs="Tahoma"/>
                <w:b w:val="0"/>
                <w:bCs w:val="0"/>
                <w:noProof/>
                <w:sz w:val="20"/>
                <w:szCs w:val="20"/>
              </w:rPr>
              <w:t>m</w:t>
            </w:r>
            <w:r w:rsidRPr="00576B08">
              <w:rPr>
                <w:rStyle w:val="Lienhypertexte"/>
                <w:rFonts w:ascii="Tahoma" w:hAnsi="Tahoma" w:cs="Tahoma"/>
                <w:b w:val="0"/>
                <w:bCs w:val="0"/>
                <w:noProof/>
                <w:sz w:val="20"/>
                <w:szCs w:val="20"/>
              </w:rPr>
              <w:t>éthodes d’analyse à utiliser</w:t>
            </w:r>
            <w:r w:rsidRPr="00576B08">
              <w:rPr>
                <w:rFonts w:ascii="Tahoma" w:hAnsi="Tahoma" w:cs="Tahoma"/>
                <w:b w:val="0"/>
                <w:bCs w:val="0"/>
                <w:noProof/>
                <w:webHidden/>
                <w:sz w:val="20"/>
                <w:szCs w:val="20"/>
              </w:rPr>
              <w:tab/>
            </w:r>
            <w:r w:rsidRPr="00576B08">
              <w:rPr>
                <w:rFonts w:ascii="Tahoma" w:hAnsi="Tahoma" w:cs="Tahoma"/>
                <w:b w:val="0"/>
                <w:bCs w:val="0"/>
                <w:noProof/>
                <w:webHidden/>
                <w:sz w:val="20"/>
                <w:szCs w:val="20"/>
              </w:rPr>
              <w:fldChar w:fldCharType="begin"/>
            </w:r>
            <w:r w:rsidRPr="00576B08">
              <w:rPr>
                <w:rFonts w:ascii="Tahoma" w:hAnsi="Tahoma" w:cs="Tahoma"/>
                <w:b w:val="0"/>
                <w:bCs w:val="0"/>
                <w:noProof/>
                <w:webHidden/>
                <w:sz w:val="20"/>
                <w:szCs w:val="20"/>
              </w:rPr>
              <w:instrText xml:space="preserve"> PAGEREF _Toc202214700 \h </w:instrText>
            </w:r>
            <w:r w:rsidRPr="00576B08">
              <w:rPr>
                <w:rFonts w:ascii="Tahoma" w:hAnsi="Tahoma" w:cs="Tahoma"/>
                <w:b w:val="0"/>
                <w:bCs w:val="0"/>
                <w:noProof/>
                <w:webHidden/>
                <w:sz w:val="20"/>
                <w:szCs w:val="20"/>
              </w:rPr>
            </w:r>
            <w:r w:rsidRPr="00576B08">
              <w:rPr>
                <w:rFonts w:ascii="Tahoma" w:hAnsi="Tahoma" w:cs="Tahoma"/>
                <w:b w:val="0"/>
                <w:bCs w:val="0"/>
                <w:noProof/>
                <w:webHidden/>
                <w:sz w:val="20"/>
                <w:szCs w:val="20"/>
              </w:rPr>
              <w:fldChar w:fldCharType="separate"/>
            </w:r>
            <w:r w:rsidRPr="00576B08">
              <w:rPr>
                <w:rFonts w:ascii="Tahoma" w:hAnsi="Tahoma" w:cs="Tahoma"/>
                <w:b w:val="0"/>
                <w:bCs w:val="0"/>
                <w:noProof/>
                <w:webHidden/>
                <w:sz w:val="20"/>
                <w:szCs w:val="20"/>
              </w:rPr>
              <w:t>221</w:t>
            </w:r>
            <w:r w:rsidRPr="00576B08">
              <w:rPr>
                <w:rFonts w:ascii="Tahoma" w:hAnsi="Tahoma" w:cs="Tahoma"/>
                <w:b w:val="0"/>
                <w:bCs w:val="0"/>
                <w:noProof/>
                <w:webHidden/>
                <w:sz w:val="20"/>
                <w:szCs w:val="20"/>
              </w:rPr>
              <w:fldChar w:fldCharType="end"/>
            </w:r>
          </w:hyperlink>
        </w:p>
        <w:p w14:paraId="201712D6" w14:textId="0DFA861F" w:rsidR="004A0283" w:rsidRPr="00E34453" w:rsidRDefault="004A0283" w:rsidP="00B004EE">
          <w:pPr>
            <w:spacing w:before="120" w:after="120"/>
            <w:jc w:val="both"/>
            <w:rPr>
              <w:rFonts w:ascii="Tahoma" w:hAnsi="Tahoma" w:cs="Tahoma"/>
              <w:sz w:val="20"/>
              <w:szCs w:val="20"/>
            </w:rPr>
          </w:pPr>
          <w:r w:rsidRPr="00576B08">
            <w:rPr>
              <w:rFonts w:ascii="Tahoma" w:hAnsi="Tahoma" w:cs="Tahoma"/>
              <w:noProof/>
              <w:sz w:val="20"/>
              <w:szCs w:val="20"/>
            </w:rPr>
            <w:fldChar w:fldCharType="end"/>
          </w:r>
        </w:p>
      </w:sdtContent>
    </w:sdt>
    <w:p w14:paraId="027DFB07" w14:textId="77777777" w:rsidR="00781AC7" w:rsidRPr="00E34453" w:rsidRDefault="00781AC7" w:rsidP="00B004EE">
      <w:pPr>
        <w:jc w:val="both"/>
        <w:rPr>
          <w:rFonts w:ascii="Tahoma" w:hAnsi="Tahoma" w:cs="Tahoma"/>
          <w:sz w:val="20"/>
          <w:szCs w:val="20"/>
        </w:rPr>
      </w:pPr>
    </w:p>
    <w:p w14:paraId="64F70AF0" w14:textId="77777777" w:rsidR="00097751" w:rsidRPr="00E34453" w:rsidRDefault="00097751" w:rsidP="00B004EE">
      <w:pPr>
        <w:jc w:val="both"/>
        <w:rPr>
          <w:rFonts w:ascii="Tahoma" w:hAnsi="Tahoma" w:cs="Tahoma"/>
          <w:sz w:val="20"/>
          <w:szCs w:val="20"/>
        </w:rPr>
      </w:pPr>
    </w:p>
    <w:p w14:paraId="5D8C92A6" w14:textId="77777777" w:rsidR="00097751" w:rsidRDefault="00097751" w:rsidP="00B004EE">
      <w:pPr>
        <w:jc w:val="both"/>
        <w:rPr>
          <w:rFonts w:ascii="Tahoma" w:hAnsi="Tahoma" w:cs="Tahoma"/>
          <w:sz w:val="20"/>
          <w:szCs w:val="20"/>
        </w:rPr>
      </w:pPr>
    </w:p>
    <w:p w14:paraId="3A7A51E4" w14:textId="77777777" w:rsidR="00097751" w:rsidRDefault="00097751" w:rsidP="00B004EE">
      <w:pPr>
        <w:jc w:val="both"/>
        <w:rPr>
          <w:rFonts w:ascii="Tahoma" w:hAnsi="Tahoma" w:cs="Tahoma"/>
          <w:sz w:val="20"/>
          <w:szCs w:val="20"/>
        </w:rPr>
      </w:pPr>
    </w:p>
    <w:p w14:paraId="1A8D171C" w14:textId="77777777" w:rsidR="00097751" w:rsidRDefault="00097751" w:rsidP="00B004EE">
      <w:pPr>
        <w:jc w:val="both"/>
        <w:rPr>
          <w:rFonts w:ascii="Tahoma" w:hAnsi="Tahoma" w:cs="Tahoma"/>
          <w:sz w:val="20"/>
          <w:szCs w:val="20"/>
        </w:rPr>
      </w:pPr>
    </w:p>
    <w:p w14:paraId="4D488AE3" w14:textId="05238B7E" w:rsidR="00F23171" w:rsidRDefault="00F23171">
      <w:pPr>
        <w:rPr>
          <w:rFonts w:ascii="Tahoma" w:hAnsi="Tahoma" w:cs="Tahoma"/>
          <w:sz w:val="20"/>
          <w:szCs w:val="20"/>
        </w:rPr>
      </w:pPr>
      <w:r>
        <w:rPr>
          <w:rFonts w:ascii="Tahoma" w:hAnsi="Tahoma" w:cs="Tahoma"/>
          <w:sz w:val="20"/>
          <w:szCs w:val="20"/>
        </w:rPr>
        <w:br w:type="page"/>
      </w:r>
    </w:p>
    <w:p w14:paraId="3FAB1154" w14:textId="77777777" w:rsidR="00097751" w:rsidRPr="00F23171" w:rsidRDefault="00097751" w:rsidP="00B004EE">
      <w:pPr>
        <w:jc w:val="both"/>
        <w:rPr>
          <w:rFonts w:ascii="Tahoma" w:hAnsi="Tahoma" w:cs="Tahoma"/>
          <w:color w:val="000000" w:themeColor="text1"/>
          <w:sz w:val="20"/>
          <w:szCs w:val="20"/>
        </w:rPr>
      </w:pPr>
    </w:p>
    <w:p w14:paraId="633B90A2" w14:textId="77777777" w:rsidR="00097751" w:rsidRPr="00F23171" w:rsidRDefault="00097751" w:rsidP="00F23171">
      <w:pPr>
        <w:pStyle w:val="En-tte"/>
        <w:tabs>
          <w:tab w:val="clear" w:pos="4536"/>
          <w:tab w:val="clear" w:pos="9072"/>
        </w:tabs>
        <w:jc w:val="center"/>
        <w:outlineLvl w:val="0"/>
        <w:rPr>
          <w:rFonts w:ascii="Tahoma" w:hAnsi="Tahoma" w:cs="Tahoma"/>
          <w:b/>
          <w:color w:val="000000" w:themeColor="text1"/>
        </w:rPr>
      </w:pPr>
      <w:bookmarkStart w:id="0" w:name="_Toc202214668"/>
      <w:r w:rsidRPr="00F23171">
        <w:rPr>
          <w:rFonts w:ascii="Tahoma" w:hAnsi="Tahoma" w:cs="Tahoma"/>
          <w:b/>
          <w:color w:val="000000" w:themeColor="text1"/>
        </w:rPr>
        <w:t>HISTORIQUE DES REVISIONS</w:t>
      </w:r>
      <w:bookmarkEnd w:id="0"/>
    </w:p>
    <w:p w14:paraId="7F2880CC" w14:textId="77777777" w:rsidR="00097751" w:rsidRPr="00F23171" w:rsidRDefault="00097751" w:rsidP="00097751">
      <w:pPr>
        <w:pStyle w:val="En-tte"/>
        <w:tabs>
          <w:tab w:val="clear" w:pos="4536"/>
          <w:tab w:val="clear" w:pos="9072"/>
        </w:tabs>
        <w:jc w:val="center"/>
        <w:rPr>
          <w:rFonts w:ascii="Tahoma" w:hAnsi="Tahoma" w:cs="Tahoma"/>
          <w:b/>
          <w:color w:val="000000" w:themeColor="text1"/>
          <w:u w:val="single"/>
        </w:rPr>
      </w:pPr>
    </w:p>
    <w:tbl>
      <w:tblPr>
        <w:tblW w:w="10349" w:type="dxa"/>
        <w:jc w:val="center"/>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ook w:val="01E0" w:firstRow="1" w:lastRow="1" w:firstColumn="1" w:lastColumn="1" w:noHBand="0" w:noVBand="0"/>
      </w:tblPr>
      <w:tblGrid>
        <w:gridCol w:w="1794"/>
        <w:gridCol w:w="1794"/>
        <w:gridCol w:w="1794"/>
        <w:gridCol w:w="4967"/>
      </w:tblGrid>
      <w:tr w:rsidR="00F23171" w:rsidRPr="00F23171" w14:paraId="6F59121B" w14:textId="77777777" w:rsidTr="00C323AB">
        <w:trPr>
          <w:trHeight w:val="279"/>
          <w:jc w:val="center"/>
        </w:trPr>
        <w:tc>
          <w:tcPr>
            <w:tcW w:w="1794" w:type="dxa"/>
          </w:tcPr>
          <w:p w14:paraId="4FE20C2B" w14:textId="77777777" w:rsidR="00097751" w:rsidRPr="00F23171" w:rsidRDefault="00097751" w:rsidP="00592E79">
            <w:pPr>
              <w:pStyle w:val="Sansinterligne"/>
              <w:jc w:val="center"/>
              <w:rPr>
                <w:rFonts w:ascii="Tahoma" w:hAnsi="Tahoma" w:cs="Tahoma"/>
                <w:b/>
                <w:color w:val="000000" w:themeColor="text1"/>
                <w:sz w:val="24"/>
                <w:szCs w:val="24"/>
              </w:rPr>
            </w:pPr>
            <w:r w:rsidRPr="00F23171">
              <w:rPr>
                <w:rFonts w:ascii="Tahoma" w:hAnsi="Tahoma" w:cs="Tahoma"/>
                <w:b/>
                <w:color w:val="000000" w:themeColor="text1"/>
                <w:sz w:val="24"/>
                <w:szCs w:val="24"/>
              </w:rPr>
              <w:t>Indice de révision</w:t>
            </w:r>
          </w:p>
        </w:tc>
        <w:tc>
          <w:tcPr>
            <w:tcW w:w="1794" w:type="dxa"/>
          </w:tcPr>
          <w:p w14:paraId="5CFEF285" w14:textId="418202BD" w:rsidR="00097751" w:rsidRPr="00F23171" w:rsidRDefault="00097751" w:rsidP="00F23171">
            <w:pPr>
              <w:pStyle w:val="Sansinterligne"/>
              <w:jc w:val="center"/>
              <w:rPr>
                <w:rFonts w:ascii="Tahoma" w:hAnsi="Tahoma" w:cs="Tahoma"/>
                <w:b/>
                <w:color w:val="000000" w:themeColor="text1"/>
                <w:sz w:val="24"/>
                <w:szCs w:val="24"/>
              </w:rPr>
            </w:pPr>
            <w:r w:rsidRPr="00F23171">
              <w:rPr>
                <w:rFonts w:ascii="Tahoma" w:hAnsi="Tahoma" w:cs="Tahoma"/>
                <w:b/>
                <w:color w:val="000000" w:themeColor="text1"/>
                <w:sz w:val="24"/>
                <w:szCs w:val="24"/>
              </w:rPr>
              <w:t>Date</w:t>
            </w:r>
            <w:r w:rsidR="00F23171" w:rsidRPr="00F23171">
              <w:rPr>
                <w:rFonts w:ascii="Tahoma" w:hAnsi="Tahoma" w:cs="Tahoma"/>
                <w:b/>
                <w:color w:val="000000" w:themeColor="text1"/>
                <w:sz w:val="24"/>
                <w:szCs w:val="24"/>
              </w:rPr>
              <w:t xml:space="preserve"> </w:t>
            </w:r>
            <w:r w:rsidRPr="00F23171">
              <w:rPr>
                <w:rFonts w:ascii="Tahoma" w:hAnsi="Tahoma" w:cs="Tahoma"/>
                <w:b/>
                <w:color w:val="000000" w:themeColor="text1"/>
                <w:sz w:val="24"/>
                <w:szCs w:val="24"/>
              </w:rPr>
              <w:t>d’application</w:t>
            </w:r>
          </w:p>
        </w:tc>
        <w:tc>
          <w:tcPr>
            <w:tcW w:w="1794" w:type="dxa"/>
          </w:tcPr>
          <w:p w14:paraId="3BAAD06D" w14:textId="77777777" w:rsidR="00097751" w:rsidRPr="00F23171" w:rsidRDefault="00097751" w:rsidP="00592E79">
            <w:pPr>
              <w:pStyle w:val="Sansinterligne"/>
              <w:jc w:val="center"/>
              <w:rPr>
                <w:rFonts w:ascii="Tahoma" w:hAnsi="Tahoma" w:cs="Tahoma"/>
                <w:b/>
                <w:color w:val="000000" w:themeColor="text1"/>
                <w:sz w:val="24"/>
                <w:szCs w:val="24"/>
              </w:rPr>
            </w:pPr>
            <w:r w:rsidRPr="00F23171">
              <w:rPr>
                <w:rFonts w:ascii="Tahoma" w:hAnsi="Tahoma" w:cs="Tahoma"/>
                <w:b/>
                <w:color w:val="000000" w:themeColor="text1"/>
                <w:sz w:val="24"/>
                <w:szCs w:val="24"/>
              </w:rPr>
              <w:t>Rédacteur</w:t>
            </w:r>
          </w:p>
        </w:tc>
        <w:tc>
          <w:tcPr>
            <w:tcW w:w="4967" w:type="dxa"/>
          </w:tcPr>
          <w:p w14:paraId="230AC5F5" w14:textId="77777777" w:rsidR="00097751" w:rsidRPr="00F23171" w:rsidRDefault="00097751" w:rsidP="00592E79">
            <w:pPr>
              <w:pStyle w:val="Sansinterligne"/>
              <w:jc w:val="center"/>
              <w:rPr>
                <w:rFonts w:ascii="Tahoma" w:hAnsi="Tahoma" w:cs="Tahoma"/>
                <w:b/>
                <w:color w:val="000000" w:themeColor="text1"/>
                <w:sz w:val="24"/>
                <w:szCs w:val="24"/>
              </w:rPr>
            </w:pPr>
            <w:r w:rsidRPr="00F23171">
              <w:rPr>
                <w:rFonts w:ascii="Tahoma" w:hAnsi="Tahoma" w:cs="Tahoma"/>
                <w:b/>
                <w:color w:val="000000" w:themeColor="text1"/>
                <w:sz w:val="24"/>
                <w:szCs w:val="24"/>
              </w:rPr>
              <w:t>Motif de la révision</w:t>
            </w:r>
          </w:p>
        </w:tc>
      </w:tr>
      <w:tr w:rsidR="00F23171" w:rsidRPr="00F23171" w14:paraId="5CA807B2" w14:textId="77777777" w:rsidTr="00C323AB">
        <w:trPr>
          <w:trHeight w:val="279"/>
          <w:jc w:val="center"/>
        </w:trPr>
        <w:tc>
          <w:tcPr>
            <w:tcW w:w="1794" w:type="dxa"/>
          </w:tcPr>
          <w:p w14:paraId="4718884D" w14:textId="77777777" w:rsidR="00097751" w:rsidRPr="00F23171" w:rsidRDefault="00097751" w:rsidP="00592E79">
            <w:pPr>
              <w:pStyle w:val="Sansinterligne"/>
              <w:jc w:val="center"/>
              <w:rPr>
                <w:rFonts w:ascii="Tahoma" w:hAnsi="Tahoma" w:cs="Tahoma"/>
                <w:bCs/>
                <w:color w:val="000000" w:themeColor="text1"/>
                <w:sz w:val="24"/>
                <w:szCs w:val="24"/>
              </w:rPr>
            </w:pPr>
            <w:r w:rsidRPr="00F23171">
              <w:rPr>
                <w:rFonts w:ascii="Tahoma" w:hAnsi="Tahoma" w:cs="Tahoma"/>
                <w:bCs/>
                <w:color w:val="000000" w:themeColor="text1"/>
                <w:sz w:val="24"/>
                <w:szCs w:val="24"/>
              </w:rPr>
              <w:t>00</w:t>
            </w:r>
          </w:p>
        </w:tc>
        <w:tc>
          <w:tcPr>
            <w:tcW w:w="1794" w:type="dxa"/>
          </w:tcPr>
          <w:p w14:paraId="1331BA6E" w14:textId="77777777" w:rsidR="00097751" w:rsidRPr="00F23171" w:rsidRDefault="00097751" w:rsidP="00592E79">
            <w:pPr>
              <w:pStyle w:val="Sansinterligne"/>
              <w:jc w:val="center"/>
              <w:rPr>
                <w:rFonts w:ascii="Tahoma" w:hAnsi="Tahoma" w:cs="Tahoma"/>
                <w:bCs/>
                <w:color w:val="000000" w:themeColor="text1"/>
                <w:sz w:val="24"/>
                <w:szCs w:val="24"/>
              </w:rPr>
            </w:pPr>
            <w:r w:rsidRPr="00F23171">
              <w:rPr>
                <w:rFonts w:ascii="Tahoma" w:hAnsi="Tahoma" w:cs="Tahoma"/>
                <w:bCs/>
                <w:color w:val="000000" w:themeColor="text1"/>
                <w:sz w:val="24"/>
                <w:szCs w:val="24"/>
              </w:rPr>
              <w:t>Août 2019</w:t>
            </w:r>
          </w:p>
        </w:tc>
        <w:tc>
          <w:tcPr>
            <w:tcW w:w="1794" w:type="dxa"/>
          </w:tcPr>
          <w:p w14:paraId="75C9DA3C" w14:textId="71359AD7" w:rsidR="00097751" w:rsidRPr="00F23171" w:rsidRDefault="00097751" w:rsidP="00C40FE8">
            <w:pPr>
              <w:pStyle w:val="Sansinterligne"/>
              <w:jc w:val="center"/>
              <w:rPr>
                <w:rFonts w:ascii="Tahoma" w:hAnsi="Tahoma" w:cs="Tahoma"/>
                <w:bCs/>
                <w:color w:val="000000" w:themeColor="text1"/>
                <w:sz w:val="24"/>
                <w:szCs w:val="24"/>
                <w:lang w:val="de-DE"/>
              </w:rPr>
            </w:pPr>
            <w:r w:rsidRPr="00F23171">
              <w:rPr>
                <w:rFonts w:ascii="Tahoma" w:hAnsi="Tahoma" w:cs="Tahoma"/>
                <w:bCs/>
                <w:color w:val="000000" w:themeColor="text1"/>
                <w:sz w:val="24"/>
                <w:szCs w:val="24"/>
                <w:lang w:val="de-DE"/>
              </w:rPr>
              <w:t>Dr Mohamed Lemine Bilal</w:t>
            </w:r>
          </w:p>
        </w:tc>
        <w:tc>
          <w:tcPr>
            <w:tcW w:w="4967" w:type="dxa"/>
          </w:tcPr>
          <w:p w14:paraId="5BC62C8D" w14:textId="77777777" w:rsidR="00097751" w:rsidRPr="00F23171" w:rsidRDefault="00097751" w:rsidP="00592E79">
            <w:pPr>
              <w:pStyle w:val="Sansinterligne"/>
              <w:rPr>
                <w:rFonts w:ascii="Tahoma" w:hAnsi="Tahoma" w:cs="Tahoma"/>
                <w:bCs/>
                <w:color w:val="000000" w:themeColor="text1"/>
                <w:sz w:val="24"/>
                <w:szCs w:val="24"/>
              </w:rPr>
            </w:pPr>
            <w:r w:rsidRPr="00F23171">
              <w:rPr>
                <w:rFonts w:ascii="Tahoma" w:hAnsi="Tahoma" w:cs="Tahoma"/>
                <w:bCs/>
                <w:color w:val="000000" w:themeColor="text1"/>
                <w:sz w:val="24"/>
                <w:szCs w:val="24"/>
              </w:rPr>
              <w:t xml:space="preserve">Création </w:t>
            </w:r>
          </w:p>
        </w:tc>
      </w:tr>
      <w:tr w:rsidR="00F23171" w:rsidRPr="00F23171" w14:paraId="0845CB1A" w14:textId="77777777" w:rsidTr="00C323AB">
        <w:trPr>
          <w:trHeight w:val="279"/>
          <w:jc w:val="center"/>
        </w:trPr>
        <w:tc>
          <w:tcPr>
            <w:tcW w:w="1794" w:type="dxa"/>
          </w:tcPr>
          <w:p w14:paraId="353C15C6" w14:textId="77777777" w:rsidR="00097751" w:rsidRPr="00F23171" w:rsidRDefault="00097751" w:rsidP="00592E79">
            <w:pPr>
              <w:pStyle w:val="Sansinterligne"/>
              <w:jc w:val="center"/>
              <w:rPr>
                <w:rFonts w:ascii="Tahoma" w:hAnsi="Tahoma" w:cs="Tahoma"/>
                <w:bCs/>
                <w:color w:val="000000" w:themeColor="text1"/>
                <w:sz w:val="24"/>
                <w:szCs w:val="24"/>
              </w:rPr>
            </w:pPr>
            <w:r w:rsidRPr="00F23171">
              <w:rPr>
                <w:rFonts w:ascii="Tahoma" w:hAnsi="Tahoma" w:cs="Tahoma"/>
                <w:bCs/>
                <w:color w:val="000000" w:themeColor="text1"/>
                <w:sz w:val="24"/>
                <w:szCs w:val="24"/>
              </w:rPr>
              <w:t>01</w:t>
            </w:r>
          </w:p>
        </w:tc>
        <w:tc>
          <w:tcPr>
            <w:tcW w:w="1794" w:type="dxa"/>
          </w:tcPr>
          <w:p w14:paraId="5D1C2C29" w14:textId="65888DBA" w:rsidR="00097751" w:rsidRPr="00F23171" w:rsidRDefault="00F23171" w:rsidP="00592E79">
            <w:pPr>
              <w:pStyle w:val="Sansinterligne"/>
              <w:jc w:val="center"/>
              <w:rPr>
                <w:rFonts w:ascii="Tahoma" w:hAnsi="Tahoma" w:cs="Tahoma"/>
                <w:bCs/>
                <w:color w:val="000000" w:themeColor="text1"/>
                <w:sz w:val="24"/>
                <w:szCs w:val="24"/>
              </w:rPr>
            </w:pPr>
            <w:r w:rsidRPr="00F23171">
              <w:rPr>
                <w:rFonts w:ascii="Tahoma" w:hAnsi="Tahoma" w:cs="Tahoma"/>
                <w:bCs/>
                <w:color w:val="000000" w:themeColor="text1"/>
                <w:sz w:val="24"/>
                <w:szCs w:val="24"/>
              </w:rPr>
              <w:t>03</w:t>
            </w:r>
            <w:r w:rsidR="00097751" w:rsidRPr="00F23171">
              <w:rPr>
                <w:rFonts w:ascii="Tahoma" w:hAnsi="Tahoma" w:cs="Tahoma"/>
                <w:bCs/>
                <w:color w:val="000000" w:themeColor="text1"/>
                <w:sz w:val="24"/>
                <w:szCs w:val="24"/>
              </w:rPr>
              <w:t>/0</w:t>
            </w:r>
            <w:r w:rsidRPr="00F23171">
              <w:rPr>
                <w:rFonts w:ascii="Tahoma" w:hAnsi="Tahoma" w:cs="Tahoma"/>
                <w:bCs/>
                <w:color w:val="000000" w:themeColor="text1"/>
                <w:sz w:val="24"/>
                <w:szCs w:val="24"/>
              </w:rPr>
              <w:t>6</w:t>
            </w:r>
            <w:r w:rsidR="00097751" w:rsidRPr="00F23171">
              <w:rPr>
                <w:rFonts w:ascii="Tahoma" w:hAnsi="Tahoma" w:cs="Tahoma"/>
                <w:bCs/>
                <w:color w:val="000000" w:themeColor="text1"/>
                <w:sz w:val="24"/>
                <w:szCs w:val="24"/>
              </w:rPr>
              <w:t>/2025</w:t>
            </w:r>
          </w:p>
        </w:tc>
        <w:tc>
          <w:tcPr>
            <w:tcW w:w="1794" w:type="dxa"/>
          </w:tcPr>
          <w:p w14:paraId="1CD71BEE" w14:textId="2E6D7898" w:rsidR="00097751" w:rsidRPr="00F23171" w:rsidRDefault="00097751" w:rsidP="00C40FE8">
            <w:pPr>
              <w:pStyle w:val="Sansinterligne"/>
              <w:jc w:val="center"/>
              <w:rPr>
                <w:rFonts w:ascii="Tahoma" w:hAnsi="Tahoma" w:cs="Tahoma"/>
                <w:bCs/>
                <w:color w:val="000000" w:themeColor="text1"/>
                <w:sz w:val="24"/>
                <w:szCs w:val="24"/>
                <w:lang w:val="de-DE"/>
              </w:rPr>
            </w:pPr>
            <w:r w:rsidRPr="00F23171">
              <w:rPr>
                <w:rFonts w:ascii="Tahoma" w:hAnsi="Tahoma" w:cs="Tahoma"/>
                <w:bCs/>
                <w:color w:val="000000" w:themeColor="text1"/>
                <w:sz w:val="24"/>
                <w:szCs w:val="24"/>
                <w:lang w:val="de-DE"/>
              </w:rPr>
              <w:t>Dr Mohamed Lemine Bilal</w:t>
            </w:r>
          </w:p>
        </w:tc>
        <w:tc>
          <w:tcPr>
            <w:tcW w:w="4967" w:type="dxa"/>
          </w:tcPr>
          <w:p w14:paraId="035736AE" w14:textId="77777777" w:rsidR="00097751" w:rsidRPr="00F23171" w:rsidRDefault="00097751" w:rsidP="00592E79">
            <w:pPr>
              <w:pStyle w:val="Sansinterligne"/>
              <w:jc w:val="both"/>
              <w:rPr>
                <w:rFonts w:ascii="Tahoma" w:hAnsi="Tahoma" w:cs="Tahoma"/>
                <w:b/>
                <w:color w:val="000000" w:themeColor="text1"/>
                <w:sz w:val="24"/>
                <w:szCs w:val="24"/>
              </w:rPr>
            </w:pPr>
            <w:r w:rsidRPr="00F23171">
              <w:rPr>
                <w:rFonts w:ascii="Tahoma" w:hAnsi="Tahoma" w:cs="Tahoma"/>
                <w:bCs/>
                <w:color w:val="000000" w:themeColor="text1"/>
                <w:sz w:val="24"/>
                <w:szCs w:val="24"/>
              </w:rPr>
              <w:t xml:space="preserve">Gestion du document dans le cadre du système qualité </w:t>
            </w:r>
            <w:r w:rsidRPr="00F23171">
              <w:rPr>
                <w:rFonts w:ascii="Tahoma" w:hAnsi="Tahoma" w:cs="Tahoma"/>
                <w:b/>
                <w:color w:val="000000" w:themeColor="text1"/>
                <w:sz w:val="24"/>
                <w:szCs w:val="24"/>
              </w:rPr>
              <w:t>(</w:t>
            </w:r>
            <w:r w:rsidRPr="00F23171">
              <w:rPr>
                <w:rFonts w:ascii="Tahoma" w:hAnsi="Tahoma" w:cs="Tahoma"/>
                <w:bCs/>
                <w:color w:val="000000" w:themeColor="text1"/>
                <w:sz w:val="24"/>
                <w:szCs w:val="24"/>
              </w:rPr>
              <w:t>toutes les pages</w:t>
            </w:r>
            <w:r w:rsidRPr="00F23171">
              <w:rPr>
                <w:rFonts w:ascii="Tahoma" w:hAnsi="Tahoma" w:cs="Tahoma"/>
                <w:b/>
                <w:color w:val="000000" w:themeColor="text1"/>
                <w:sz w:val="24"/>
                <w:szCs w:val="24"/>
              </w:rPr>
              <w:t>)</w:t>
            </w:r>
          </w:p>
          <w:p w14:paraId="43D9740C" w14:textId="4060E09D" w:rsidR="00097751" w:rsidRPr="00F23171" w:rsidRDefault="00097751" w:rsidP="00592E79">
            <w:pPr>
              <w:pStyle w:val="Sansinterligne"/>
              <w:jc w:val="both"/>
              <w:rPr>
                <w:rFonts w:ascii="Tahoma" w:hAnsi="Tahoma" w:cs="Tahoma"/>
                <w:bCs/>
                <w:color w:val="000000" w:themeColor="text1"/>
                <w:sz w:val="24"/>
                <w:szCs w:val="24"/>
              </w:rPr>
            </w:pPr>
            <w:r w:rsidRPr="00F23171">
              <w:rPr>
                <w:rFonts w:ascii="Tahoma" w:hAnsi="Tahoma" w:cs="Tahoma"/>
                <w:bCs/>
                <w:color w:val="000000" w:themeColor="text1"/>
                <w:sz w:val="24"/>
                <w:szCs w:val="24"/>
              </w:rPr>
              <w:t>Ajout de nouveaux textes règlementaires</w:t>
            </w:r>
            <w:r w:rsidRPr="00F23171">
              <w:rPr>
                <w:rFonts w:ascii="Tahoma" w:hAnsi="Tahoma" w:cs="Tahoma"/>
                <w:b/>
                <w:color w:val="000000" w:themeColor="text1"/>
                <w:sz w:val="24"/>
                <w:szCs w:val="24"/>
              </w:rPr>
              <w:t>.</w:t>
            </w:r>
          </w:p>
        </w:tc>
      </w:tr>
    </w:tbl>
    <w:p w14:paraId="1169A358" w14:textId="77777777" w:rsidR="00097751" w:rsidRPr="00F23171" w:rsidRDefault="00097751" w:rsidP="00B004EE">
      <w:pPr>
        <w:jc w:val="both"/>
        <w:rPr>
          <w:rFonts w:ascii="Tahoma" w:hAnsi="Tahoma" w:cs="Tahoma"/>
          <w:color w:val="000000" w:themeColor="text1"/>
          <w:sz w:val="20"/>
          <w:szCs w:val="20"/>
        </w:rPr>
      </w:pPr>
    </w:p>
    <w:p w14:paraId="11CA15BA" w14:textId="77777777" w:rsidR="00097751" w:rsidRPr="00F23171" w:rsidRDefault="00097751" w:rsidP="00B004EE">
      <w:pPr>
        <w:jc w:val="both"/>
        <w:rPr>
          <w:rFonts w:ascii="Tahoma" w:hAnsi="Tahoma" w:cs="Tahoma"/>
          <w:color w:val="000000" w:themeColor="text1"/>
          <w:sz w:val="20"/>
          <w:szCs w:val="20"/>
        </w:rPr>
      </w:pPr>
    </w:p>
    <w:p w14:paraId="53E8F519" w14:textId="77777777" w:rsidR="00097751" w:rsidRPr="00F23171" w:rsidRDefault="00097751" w:rsidP="00B004EE">
      <w:pPr>
        <w:jc w:val="both"/>
        <w:rPr>
          <w:rFonts w:ascii="Tahoma" w:hAnsi="Tahoma" w:cs="Tahoma"/>
          <w:color w:val="000000" w:themeColor="text1"/>
          <w:sz w:val="20"/>
          <w:szCs w:val="20"/>
        </w:rPr>
      </w:pPr>
    </w:p>
    <w:p w14:paraId="11FAF41D" w14:textId="77777777" w:rsidR="00097751" w:rsidRPr="00F23171" w:rsidRDefault="00097751" w:rsidP="00B004EE">
      <w:pPr>
        <w:jc w:val="both"/>
        <w:rPr>
          <w:rFonts w:ascii="Tahoma" w:hAnsi="Tahoma" w:cs="Tahoma"/>
          <w:color w:val="000000" w:themeColor="text1"/>
          <w:sz w:val="20"/>
          <w:szCs w:val="20"/>
        </w:rPr>
      </w:pPr>
    </w:p>
    <w:p w14:paraId="6ACF16C1" w14:textId="77777777" w:rsidR="00097751" w:rsidRPr="00F23171" w:rsidRDefault="00097751" w:rsidP="00B004EE">
      <w:pPr>
        <w:jc w:val="both"/>
        <w:rPr>
          <w:rFonts w:ascii="Tahoma" w:hAnsi="Tahoma" w:cs="Tahoma"/>
          <w:color w:val="000000" w:themeColor="text1"/>
          <w:sz w:val="20"/>
          <w:szCs w:val="20"/>
        </w:rPr>
      </w:pPr>
    </w:p>
    <w:p w14:paraId="5C93B2C6" w14:textId="77777777" w:rsidR="00097751" w:rsidRPr="00F23171" w:rsidRDefault="00097751" w:rsidP="00B004EE">
      <w:pPr>
        <w:jc w:val="both"/>
        <w:rPr>
          <w:rFonts w:ascii="Tahoma" w:hAnsi="Tahoma" w:cs="Tahoma"/>
          <w:color w:val="000000" w:themeColor="text1"/>
          <w:sz w:val="20"/>
          <w:szCs w:val="20"/>
        </w:rPr>
      </w:pPr>
    </w:p>
    <w:p w14:paraId="54B527F7" w14:textId="77777777" w:rsidR="00097751" w:rsidRDefault="00097751" w:rsidP="00B004EE">
      <w:pPr>
        <w:jc w:val="both"/>
        <w:rPr>
          <w:rFonts w:ascii="Tahoma" w:hAnsi="Tahoma" w:cs="Tahoma"/>
          <w:sz w:val="20"/>
          <w:szCs w:val="20"/>
        </w:rPr>
      </w:pPr>
    </w:p>
    <w:p w14:paraId="3F14182E" w14:textId="77777777" w:rsidR="00097751" w:rsidRDefault="00097751" w:rsidP="00B004EE">
      <w:pPr>
        <w:jc w:val="both"/>
        <w:rPr>
          <w:rFonts w:ascii="Tahoma" w:hAnsi="Tahoma" w:cs="Tahoma"/>
          <w:sz w:val="20"/>
          <w:szCs w:val="20"/>
        </w:rPr>
      </w:pPr>
    </w:p>
    <w:p w14:paraId="25C41C98" w14:textId="77777777" w:rsidR="00097751" w:rsidRDefault="00097751" w:rsidP="00B004EE">
      <w:pPr>
        <w:jc w:val="both"/>
        <w:rPr>
          <w:rFonts w:ascii="Tahoma" w:hAnsi="Tahoma" w:cs="Tahoma"/>
          <w:sz w:val="20"/>
          <w:szCs w:val="20"/>
        </w:rPr>
      </w:pPr>
    </w:p>
    <w:p w14:paraId="0F81EFB1" w14:textId="77777777" w:rsidR="00097751" w:rsidRDefault="00097751" w:rsidP="00B004EE">
      <w:pPr>
        <w:jc w:val="both"/>
        <w:rPr>
          <w:rFonts w:ascii="Tahoma" w:hAnsi="Tahoma" w:cs="Tahoma"/>
          <w:sz w:val="20"/>
          <w:szCs w:val="20"/>
        </w:rPr>
      </w:pPr>
    </w:p>
    <w:p w14:paraId="39D317E0" w14:textId="77777777" w:rsidR="00097751" w:rsidRDefault="00097751" w:rsidP="00B004EE">
      <w:pPr>
        <w:jc w:val="both"/>
        <w:rPr>
          <w:rFonts w:ascii="Tahoma" w:hAnsi="Tahoma" w:cs="Tahoma"/>
          <w:sz w:val="20"/>
          <w:szCs w:val="20"/>
        </w:rPr>
      </w:pPr>
    </w:p>
    <w:p w14:paraId="44C01258" w14:textId="77777777" w:rsidR="00097751" w:rsidRDefault="00097751" w:rsidP="00B004EE">
      <w:pPr>
        <w:jc w:val="both"/>
        <w:rPr>
          <w:rFonts w:ascii="Tahoma" w:hAnsi="Tahoma" w:cs="Tahoma"/>
          <w:sz w:val="20"/>
          <w:szCs w:val="20"/>
        </w:rPr>
      </w:pPr>
    </w:p>
    <w:p w14:paraId="0817B1FA" w14:textId="77777777" w:rsidR="00097751" w:rsidRDefault="00097751" w:rsidP="00B004EE">
      <w:pPr>
        <w:jc w:val="both"/>
        <w:rPr>
          <w:rFonts w:ascii="Tahoma" w:hAnsi="Tahoma" w:cs="Tahoma"/>
          <w:sz w:val="20"/>
          <w:szCs w:val="20"/>
        </w:rPr>
      </w:pPr>
    </w:p>
    <w:p w14:paraId="566FA94C" w14:textId="77777777" w:rsidR="00097751" w:rsidRDefault="00097751" w:rsidP="00B004EE">
      <w:pPr>
        <w:jc w:val="both"/>
        <w:rPr>
          <w:rFonts w:ascii="Tahoma" w:hAnsi="Tahoma" w:cs="Tahoma"/>
          <w:sz w:val="20"/>
          <w:szCs w:val="20"/>
        </w:rPr>
      </w:pPr>
    </w:p>
    <w:p w14:paraId="717EDB08" w14:textId="77777777" w:rsidR="00097751" w:rsidRDefault="00097751" w:rsidP="00B004EE">
      <w:pPr>
        <w:jc w:val="both"/>
        <w:rPr>
          <w:rFonts w:ascii="Tahoma" w:hAnsi="Tahoma" w:cs="Tahoma"/>
          <w:sz w:val="20"/>
          <w:szCs w:val="20"/>
        </w:rPr>
      </w:pPr>
    </w:p>
    <w:p w14:paraId="32375363" w14:textId="77777777" w:rsidR="00097751" w:rsidRDefault="00097751" w:rsidP="00B004EE">
      <w:pPr>
        <w:jc w:val="both"/>
        <w:rPr>
          <w:rFonts w:ascii="Tahoma" w:hAnsi="Tahoma" w:cs="Tahoma"/>
          <w:sz w:val="20"/>
          <w:szCs w:val="20"/>
        </w:rPr>
      </w:pPr>
    </w:p>
    <w:p w14:paraId="42EE4E61" w14:textId="77777777" w:rsidR="00097751" w:rsidRDefault="00097751" w:rsidP="00B004EE">
      <w:pPr>
        <w:jc w:val="both"/>
        <w:rPr>
          <w:rFonts w:ascii="Tahoma" w:hAnsi="Tahoma" w:cs="Tahoma"/>
          <w:sz w:val="20"/>
          <w:szCs w:val="20"/>
        </w:rPr>
      </w:pPr>
    </w:p>
    <w:p w14:paraId="32B6ADD4" w14:textId="77777777" w:rsidR="00097751" w:rsidRDefault="00097751" w:rsidP="00B004EE">
      <w:pPr>
        <w:jc w:val="both"/>
        <w:rPr>
          <w:rFonts w:ascii="Tahoma" w:hAnsi="Tahoma" w:cs="Tahoma"/>
          <w:sz w:val="20"/>
          <w:szCs w:val="20"/>
        </w:rPr>
      </w:pPr>
    </w:p>
    <w:p w14:paraId="595A5C9F" w14:textId="77777777" w:rsidR="00097751" w:rsidRDefault="00097751" w:rsidP="00B004EE">
      <w:pPr>
        <w:jc w:val="both"/>
        <w:rPr>
          <w:rFonts w:ascii="Tahoma" w:hAnsi="Tahoma" w:cs="Tahoma"/>
          <w:sz w:val="20"/>
          <w:szCs w:val="20"/>
        </w:rPr>
      </w:pPr>
    </w:p>
    <w:p w14:paraId="6C590B3A" w14:textId="77777777" w:rsidR="00097751" w:rsidRDefault="00097751" w:rsidP="00B004EE">
      <w:pPr>
        <w:jc w:val="both"/>
        <w:rPr>
          <w:rFonts w:ascii="Tahoma" w:hAnsi="Tahoma" w:cs="Tahoma"/>
          <w:sz w:val="20"/>
          <w:szCs w:val="20"/>
        </w:rPr>
      </w:pPr>
    </w:p>
    <w:p w14:paraId="29B833AF" w14:textId="77777777" w:rsidR="00097751" w:rsidRDefault="00097751" w:rsidP="00B004EE">
      <w:pPr>
        <w:jc w:val="both"/>
        <w:rPr>
          <w:rFonts w:ascii="Tahoma" w:hAnsi="Tahoma" w:cs="Tahoma"/>
          <w:sz w:val="20"/>
          <w:szCs w:val="20"/>
        </w:rPr>
      </w:pPr>
    </w:p>
    <w:p w14:paraId="1028948A" w14:textId="77777777" w:rsidR="00097751" w:rsidRDefault="00097751" w:rsidP="00B004EE">
      <w:pPr>
        <w:jc w:val="both"/>
        <w:rPr>
          <w:rFonts w:ascii="Tahoma" w:hAnsi="Tahoma" w:cs="Tahoma"/>
          <w:sz w:val="20"/>
          <w:szCs w:val="20"/>
        </w:rPr>
      </w:pPr>
    </w:p>
    <w:p w14:paraId="7B494929" w14:textId="77777777" w:rsidR="00097751" w:rsidRDefault="00097751" w:rsidP="00B004EE">
      <w:pPr>
        <w:jc w:val="both"/>
        <w:rPr>
          <w:rFonts w:ascii="Tahoma" w:hAnsi="Tahoma" w:cs="Tahoma"/>
          <w:sz w:val="20"/>
          <w:szCs w:val="20"/>
        </w:rPr>
      </w:pPr>
    </w:p>
    <w:p w14:paraId="25EF9E78" w14:textId="77777777" w:rsidR="00097751" w:rsidRDefault="00097751" w:rsidP="00B004EE">
      <w:pPr>
        <w:jc w:val="both"/>
        <w:rPr>
          <w:rFonts w:ascii="Tahoma" w:hAnsi="Tahoma" w:cs="Tahoma"/>
          <w:sz w:val="20"/>
          <w:szCs w:val="20"/>
        </w:rPr>
      </w:pPr>
    </w:p>
    <w:p w14:paraId="1AC94DBC" w14:textId="77777777" w:rsidR="00097751" w:rsidRDefault="00097751" w:rsidP="00B004EE">
      <w:pPr>
        <w:jc w:val="both"/>
        <w:rPr>
          <w:rFonts w:ascii="Tahoma" w:hAnsi="Tahoma" w:cs="Tahoma"/>
          <w:sz w:val="20"/>
          <w:szCs w:val="20"/>
        </w:rPr>
      </w:pPr>
    </w:p>
    <w:p w14:paraId="2279FBD0" w14:textId="77777777" w:rsidR="00097751" w:rsidRDefault="00097751" w:rsidP="00B004EE">
      <w:pPr>
        <w:jc w:val="both"/>
        <w:rPr>
          <w:rFonts w:ascii="Tahoma" w:hAnsi="Tahoma" w:cs="Tahoma"/>
          <w:sz w:val="20"/>
          <w:szCs w:val="20"/>
        </w:rPr>
      </w:pPr>
    </w:p>
    <w:p w14:paraId="63021DBC" w14:textId="77777777" w:rsidR="00097751" w:rsidRDefault="00097751" w:rsidP="00B004EE">
      <w:pPr>
        <w:jc w:val="both"/>
        <w:rPr>
          <w:rFonts w:ascii="Tahoma" w:hAnsi="Tahoma" w:cs="Tahoma"/>
          <w:sz w:val="20"/>
          <w:szCs w:val="20"/>
        </w:rPr>
      </w:pPr>
    </w:p>
    <w:p w14:paraId="6E900459" w14:textId="3CBE1395" w:rsidR="00097751" w:rsidRPr="00B004EE" w:rsidRDefault="00097751" w:rsidP="00B004EE">
      <w:pPr>
        <w:jc w:val="both"/>
        <w:rPr>
          <w:rFonts w:ascii="Tahoma" w:hAnsi="Tahoma" w:cs="Tahoma"/>
          <w:sz w:val="20"/>
          <w:szCs w:val="20"/>
        </w:rPr>
        <w:sectPr w:rsidR="00097751" w:rsidRPr="00B004EE" w:rsidSect="00D775BB">
          <w:headerReference w:type="default" r:id="rId15"/>
          <w:footerReference w:type="default" r:id="rId16"/>
          <w:headerReference w:type="first" r:id="rId17"/>
          <w:footerReference w:type="first" r:id="rId18"/>
          <w:pgSz w:w="12240" w:h="15840"/>
          <w:pgMar w:top="1417" w:right="1417" w:bottom="1417" w:left="1417" w:header="720" w:footer="720" w:gutter="0"/>
          <w:cols w:space="720"/>
          <w:noEndnote/>
          <w:docGrid w:linePitch="326"/>
        </w:sectPr>
      </w:pPr>
    </w:p>
    <w:p w14:paraId="2D4E4436" w14:textId="77777777" w:rsidR="00C40CA4" w:rsidRPr="00B004EE" w:rsidRDefault="00C40CA4" w:rsidP="00B004EE">
      <w:pPr>
        <w:pStyle w:val="Titre1"/>
        <w:rPr>
          <w:rFonts w:ascii="Tahoma" w:hAnsi="Tahoma" w:cs="Tahoma"/>
          <w:sz w:val="20"/>
          <w:szCs w:val="20"/>
        </w:rPr>
      </w:pPr>
      <w:bookmarkStart w:id="1" w:name="_Toc317340022"/>
      <w:bookmarkStart w:id="2" w:name="_Toc16288661"/>
      <w:bookmarkStart w:id="3" w:name="_Toc17022003"/>
      <w:bookmarkStart w:id="4" w:name="_Toc202214669"/>
      <w:r w:rsidRPr="00B004EE">
        <w:rPr>
          <w:rFonts w:ascii="Tahoma" w:hAnsi="Tahoma" w:cs="Tahoma"/>
          <w:sz w:val="20"/>
          <w:szCs w:val="20"/>
        </w:rPr>
        <w:lastRenderedPageBreak/>
        <w:t>AVANT-PROPOS</w:t>
      </w:r>
      <w:bookmarkEnd w:id="4"/>
    </w:p>
    <w:p w14:paraId="2E9BA2AF" w14:textId="77777777" w:rsidR="00C40CA4" w:rsidRPr="00B004EE" w:rsidRDefault="00C40CA4" w:rsidP="00B004EE">
      <w:pPr>
        <w:rPr>
          <w:rFonts w:ascii="Tahoma" w:hAnsi="Tahoma" w:cs="Tahoma"/>
          <w:sz w:val="20"/>
          <w:szCs w:val="20"/>
        </w:rPr>
      </w:pPr>
    </w:p>
    <w:p w14:paraId="23BCEFF6" w14:textId="695B2860" w:rsidR="00C40CA4" w:rsidRPr="00B004EE" w:rsidRDefault="00C40CA4" w:rsidP="00B004EE">
      <w:pPr>
        <w:jc w:val="both"/>
        <w:rPr>
          <w:rFonts w:ascii="Tahoma" w:hAnsi="Tahoma" w:cs="Tahoma"/>
          <w:sz w:val="20"/>
          <w:szCs w:val="20"/>
        </w:rPr>
      </w:pPr>
      <w:r w:rsidRPr="00B004EE">
        <w:rPr>
          <w:rFonts w:ascii="Tahoma" w:hAnsi="Tahoma" w:cs="Tahoma"/>
          <w:sz w:val="20"/>
          <w:szCs w:val="20"/>
        </w:rPr>
        <w:t xml:space="preserve">Le recueil des textes règlementaires que vous tenez entre les mains est le fruit d’un long travail entrepris par le Département Inspection Sanitaire de l’ONISPA. Il est destiné avant tout à l’ensemble des inspecteurs de l’ONISPA, aux services techniques des laboratoires de l’ONISPA, mais également aux autres structures d'appui, aux professionnels </w:t>
      </w:r>
      <w:r w:rsidR="00F12ECF" w:rsidRPr="00B004EE">
        <w:rPr>
          <w:rFonts w:ascii="Tahoma" w:hAnsi="Tahoma" w:cs="Tahoma"/>
          <w:sz w:val="20"/>
          <w:szCs w:val="20"/>
        </w:rPr>
        <w:t xml:space="preserve">et </w:t>
      </w:r>
      <w:r w:rsidRPr="00B004EE">
        <w:rPr>
          <w:rFonts w:ascii="Tahoma" w:hAnsi="Tahoma" w:cs="Tahoma"/>
          <w:sz w:val="20"/>
          <w:szCs w:val="20"/>
        </w:rPr>
        <w:t xml:space="preserve">privés du secteur de la pêche </w:t>
      </w:r>
      <w:r w:rsidR="002266FD" w:rsidRPr="00B004EE">
        <w:rPr>
          <w:rFonts w:ascii="Tahoma" w:hAnsi="Tahoma" w:cs="Tahoma"/>
          <w:sz w:val="20"/>
          <w:szCs w:val="20"/>
        </w:rPr>
        <w:t xml:space="preserve">et enfin </w:t>
      </w:r>
      <w:r w:rsidRPr="00B004EE">
        <w:rPr>
          <w:rFonts w:ascii="Tahoma" w:hAnsi="Tahoma" w:cs="Tahoma"/>
          <w:sz w:val="20"/>
          <w:szCs w:val="20"/>
        </w:rPr>
        <w:t xml:space="preserve">à toutes les personnes intéressées par la législation sanitaire relatives aux produits de la pêche. </w:t>
      </w:r>
    </w:p>
    <w:p w14:paraId="224E88C9" w14:textId="77777777" w:rsidR="00C40CA4" w:rsidRPr="00B004EE" w:rsidRDefault="00C40CA4" w:rsidP="00B004EE">
      <w:pPr>
        <w:jc w:val="both"/>
        <w:rPr>
          <w:rFonts w:ascii="Tahoma" w:hAnsi="Tahoma" w:cs="Tahoma"/>
          <w:sz w:val="20"/>
          <w:szCs w:val="20"/>
        </w:rPr>
      </w:pPr>
    </w:p>
    <w:p w14:paraId="39E24762" w14:textId="6928DB44" w:rsidR="00C40CA4" w:rsidRPr="00B004EE" w:rsidRDefault="00C40CA4" w:rsidP="00B004EE">
      <w:pPr>
        <w:jc w:val="both"/>
        <w:rPr>
          <w:rFonts w:ascii="Tahoma" w:hAnsi="Tahoma" w:cs="Tahoma"/>
          <w:sz w:val="20"/>
          <w:szCs w:val="20"/>
        </w:rPr>
      </w:pPr>
      <w:r w:rsidRPr="00B004EE">
        <w:rPr>
          <w:rFonts w:ascii="Tahoma" w:hAnsi="Tahoma" w:cs="Tahoma"/>
          <w:sz w:val="20"/>
          <w:szCs w:val="20"/>
        </w:rPr>
        <w:t>En effet, suite aux évaluations et audits réalisés par les auditeurs de l’organisme d’accréditation et les inspecteurs de l’UE, nous nous sommes rendus compte, que les agents d’inspection et de contrôle travaillaient parfois sans avoir à portée de main la base législative et réglementaire qui sous-tend leurs actions au quotidien. C’est pourquoi l’idée d’un recueil de cette nature a germé. Cela permettra, dans un contexte de plus en plus exigeant, à tous les agents d’inspection et de contrôle de l’ONISPA de pouvoir disposer d’une documentation permettant, d’une part, d’appliquer au plus juste la réglementation en vigueur et, d’autre part, de pouvoir justifier les décisions qu’ils prennent après l’exécution d’une inspection ou d’un contrôle</w:t>
      </w:r>
      <w:r w:rsidR="00ED0DEB" w:rsidRPr="00B004EE">
        <w:rPr>
          <w:rFonts w:ascii="Tahoma" w:hAnsi="Tahoma" w:cs="Tahoma"/>
          <w:sz w:val="20"/>
          <w:szCs w:val="20"/>
        </w:rPr>
        <w:t>.</w:t>
      </w:r>
      <w:r w:rsidRPr="00B004EE">
        <w:rPr>
          <w:rFonts w:ascii="Tahoma" w:hAnsi="Tahoma" w:cs="Tahoma"/>
          <w:sz w:val="20"/>
          <w:szCs w:val="20"/>
        </w:rPr>
        <w:t xml:space="preserve"> </w:t>
      </w:r>
    </w:p>
    <w:p w14:paraId="38D95591" w14:textId="77777777" w:rsidR="00C40CA4" w:rsidRPr="00B004EE" w:rsidRDefault="00C40CA4" w:rsidP="00B004EE">
      <w:pPr>
        <w:jc w:val="both"/>
        <w:rPr>
          <w:rFonts w:ascii="Tahoma" w:hAnsi="Tahoma" w:cs="Tahoma"/>
          <w:sz w:val="20"/>
          <w:szCs w:val="20"/>
        </w:rPr>
      </w:pPr>
    </w:p>
    <w:p w14:paraId="04B462C9" w14:textId="473FC32B" w:rsidR="00C40CA4" w:rsidRPr="00B004EE" w:rsidRDefault="00C40CA4" w:rsidP="00B004EE">
      <w:pPr>
        <w:jc w:val="both"/>
        <w:rPr>
          <w:rFonts w:ascii="Tahoma" w:hAnsi="Tahoma" w:cs="Tahoma"/>
          <w:sz w:val="20"/>
          <w:szCs w:val="20"/>
        </w:rPr>
      </w:pPr>
      <w:r w:rsidRPr="00B004EE">
        <w:rPr>
          <w:rFonts w:ascii="Tahoma" w:hAnsi="Tahoma" w:cs="Tahoma"/>
          <w:sz w:val="20"/>
          <w:szCs w:val="20"/>
        </w:rPr>
        <w:t xml:space="preserve">La confection de ce document n’a pas été aisée. En effet, il n’existait nulle part de liste exhaustive de la réglementation et il a donc fallu faire une recherche </w:t>
      </w:r>
      <w:r w:rsidR="00ED0DEB" w:rsidRPr="00B004EE">
        <w:rPr>
          <w:rFonts w:ascii="Tahoma" w:hAnsi="Tahoma" w:cs="Tahoma"/>
          <w:sz w:val="20"/>
          <w:szCs w:val="20"/>
        </w:rPr>
        <w:t xml:space="preserve">bibliographique </w:t>
      </w:r>
      <w:r w:rsidRPr="00B004EE">
        <w:rPr>
          <w:rFonts w:ascii="Tahoma" w:hAnsi="Tahoma" w:cs="Tahoma"/>
          <w:sz w:val="20"/>
          <w:szCs w:val="20"/>
        </w:rPr>
        <w:t>aussi exhaustive que possible des textes qui concernent les aspects relatifs à la sécurité sanitaire des produits de la pêche. De longues investigations ont permis de dénombrer près d</w:t>
      </w:r>
      <w:r w:rsidR="00ED0DEB" w:rsidRPr="00B004EE">
        <w:rPr>
          <w:rFonts w:ascii="Tahoma" w:hAnsi="Tahoma" w:cs="Tahoma"/>
          <w:sz w:val="20"/>
          <w:szCs w:val="20"/>
        </w:rPr>
        <w:t>’un</w:t>
      </w:r>
      <w:r w:rsidRPr="00B004EE">
        <w:rPr>
          <w:rFonts w:ascii="Tahoma" w:hAnsi="Tahoma" w:cs="Tahoma"/>
          <w:sz w:val="20"/>
          <w:szCs w:val="20"/>
        </w:rPr>
        <w:t xml:space="preserve">e </w:t>
      </w:r>
      <w:r w:rsidR="00ED0DEB" w:rsidRPr="00B004EE">
        <w:rPr>
          <w:rFonts w:ascii="Tahoma" w:hAnsi="Tahoma" w:cs="Tahoma"/>
          <w:sz w:val="20"/>
          <w:szCs w:val="20"/>
        </w:rPr>
        <w:t xml:space="preserve">trentaine de </w:t>
      </w:r>
      <w:r w:rsidRPr="00B004EE">
        <w:rPr>
          <w:rFonts w:ascii="Tahoma" w:hAnsi="Tahoma" w:cs="Tahoma"/>
          <w:sz w:val="20"/>
          <w:szCs w:val="20"/>
        </w:rPr>
        <w:t>textes. Une fois les documents en notre possession, nous avons fait procéder à la saisie informatique, puis à la vérification de chaque texte saisi. C’est cette dernière étape qui aura été la plus longue et, de loin, la plus fastidieuse.</w:t>
      </w:r>
    </w:p>
    <w:p w14:paraId="173E7AF6" w14:textId="77777777" w:rsidR="00C40CA4" w:rsidRPr="00B004EE" w:rsidRDefault="00C40CA4" w:rsidP="00B004EE">
      <w:pPr>
        <w:jc w:val="both"/>
        <w:rPr>
          <w:rFonts w:ascii="Tahoma" w:hAnsi="Tahoma" w:cs="Tahoma"/>
          <w:sz w:val="20"/>
          <w:szCs w:val="20"/>
        </w:rPr>
      </w:pPr>
    </w:p>
    <w:p w14:paraId="52FFDCD9" w14:textId="768DCFC1" w:rsidR="00C40CA4" w:rsidRPr="00B004EE" w:rsidRDefault="00C40CA4" w:rsidP="00B004EE">
      <w:pPr>
        <w:jc w:val="both"/>
        <w:rPr>
          <w:rFonts w:ascii="Tahoma" w:hAnsi="Tahoma" w:cs="Tahoma"/>
          <w:sz w:val="20"/>
          <w:szCs w:val="20"/>
        </w:rPr>
      </w:pPr>
      <w:r w:rsidRPr="00B004EE">
        <w:rPr>
          <w:rFonts w:ascii="Tahoma" w:hAnsi="Tahoma" w:cs="Tahoma"/>
          <w:sz w:val="20"/>
          <w:szCs w:val="20"/>
        </w:rPr>
        <w:t xml:space="preserve">Vous pourrez le constater que les thèmes retenus pour figurer dans ce recueil débordent </w:t>
      </w:r>
      <w:r w:rsidR="0042214F" w:rsidRPr="00B004EE">
        <w:rPr>
          <w:rFonts w:ascii="Tahoma" w:hAnsi="Tahoma" w:cs="Tahoma"/>
          <w:sz w:val="20"/>
          <w:szCs w:val="20"/>
        </w:rPr>
        <w:t xml:space="preserve">parfois des aspects </w:t>
      </w:r>
      <w:r w:rsidRPr="00B004EE">
        <w:rPr>
          <w:rFonts w:ascii="Tahoma" w:hAnsi="Tahoma" w:cs="Tahoma"/>
          <w:sz w:val="20"/>
          <w:szCs w:val="20"/>
        </w:rPr>
        <w:t>exclusivement l’inspection sanitaire et le contrôle de la qualité des produits de la pêche qu’ils soient destin</w:t>
      </w:r>
      <w:r w:rsidR="0042214F" w:rsidRPr="00B004EE">
        <w:rPr>
          <w:rFonts w:ascii="Tahoma" w:hAnsi="Tahoma" w:cs="Tahoma"/>
          <w:sz w:val="20"/>
          <w:szCs w:val="20"/>
        </w:rPr>
        <w:t>és</w:t>
      </w:r>
      <w:r w:rsidRPr="00B004EE">
        <w:rPr>
          <w:rFonts w:ascii="Tahoma" w:hAnsi="Tahoma" w:cs="Tahoma"/>
          <w:sz w:val="20"/>
          <w:szCs w:val="20"/>
        </w:rPr>
        <w:t xml:space="preserve"> à la consommation humaine </w:t>
      </w:r>
      <w:r w:rsidR="0042214F" w:rsidRPr="00B004EE">
        <w:rPr>
          <w:rFonts w:ascii="Tahoma" w:hAnsi="Tahoma" w:cs="Tahoma"/>
          <w:sz w:val="20"/>
          <w:szCs w:val="20"/>
        </w:rPr>
        <w:t>ou non humaine</w:t>
      </w:r>
      <w:r w:rsidRPr="00B004EE">
        <w:rPr>
          <w:rFonts w:ascii="Tahoma" w:hAnsi="Tahoma" w:cs="Tahoma"/>
          <w:sz w:val="20"/>
          <w:szCs w:val="20"/>
        </w:rPr>
        <w:t>.</w:t>
      </w:r>
    </w:p>
    <w:p w14:paraId="3CC8547D" w14:textId="77777777" w:rsidR="00C40CA4" w:rsidRPr="00B004EE" w:rsidRDefault="00C40CA4" w:rsidP="00B004EE">
      <w:pPr>
        <w:jc w:val="both"/>
        <w:rPr>
          <w:rFonts w:ascii="Tahoma" w:hAnsi="Tahoma" w:cs="Tahoma"/>
          <w:sz w:val="20"/>
          <w:szCs w:val="20"/>
        </w:rPr>
      </w:pPr>
    </w:p>
    <w:p w14:paraId="6C5E0936" w14:textId="3FD07D83" w:rsidR="00C40CA4" w:rsidRPr="00B004EE" w:rsidRDefault="00C40CA4" w:rsidP="00B004EE">
      <w:pPr>
        <w:jc w:val="both"/>
        <w:rPr>
          <w:rFonts w:ascii="Tahoma" w:hAnsi="Tahoma" w:cs="Tahoma"/>
          <w:sz w:val="20"/>
          <w:szCs w:val="20"/>
        </w:rPr>
      </w:pPr>
      <w:r w:rsidRPr="00B004EE">
        <w:rPr>
          <w:rFonts w:ascii="Tahoma" w:hAnsi="Tahoma" w:cs="Tahoma"/>
          <w:sz w:val="20"/>
          <w:szCs w:val="20"/>
        </w:rPr>
        <w:t>La maj</w:t>
      </w:r>
      <w:r w:rsidR="0042214F" w:rsidRPr="00B004EE">
        <w:rPr>
          <w:rFonts w:ascii="Tahoma" w:hAnsi="Tahoma" w:cs="Tahoma"/>
          <w:sz w:val="20"/>
          <w:szCs w:val="20"/>
        </w:rPr>
        <w:t>eu</w:t>
      </w:r>
      <w:r w:rsidRPr="00B004EE">
        <w:rPr>
          <w:rFonts w:ascii="Tahoma" w:hAnsi="Tahoma" w:cs="Tahoma"/>
          <w:sz w:val="20"/>
          <w:szCs w:val="20"/>
        </w:rPr>
        <w:t>re partie des textes réglementaires en vigueur en Mauritanie relatifs au contrôle sanitaires des produits de la pêche et de l’aquaculture tire son origine des lois, des décrets, des arrêtés pris par les pouvoirs publics depuis l’a</w:t>
      </w:r>
      <w:r w:rsidR="005660B8" w:rsidRPr="00B004EE">
        <w:rPr>
          <w:rFonts w:ascii="Tahoma" w:hAnsi="Tahoma" w:cs="Tahoma"/>
          <w:sz w:val="20"/>
          <w:szCs w:val="20"/>
        </w:rPr>
        <w:t>vènement</w:t>
      </w:r>
      <w:r w:rsidRPr="00B004EE">
        <w:rPr>
          <w:rFonts w:ascii="Tahoma" w:hAnsi="Tahoma" w:cs="Tahoma"/>
          <w:sz w:val="20"/>
          <w:szCs w:val="20"/>
        </w:rPr>
        <w:t xml:space="preserve"> des normes sanitaires européenne</w:t>
      </w:r>
      <w:r w:rsidR="005660B8" w:rsidRPr="00B004EE">
        <w:rPr>
          <w:rFonts w:ascii="Tahoma" w:hAnsi="Tahoma" w:cs="Tahoma"/>
          <w:sz w:val="20"/>
          <w:szCs w:val="20"/>
        </w:rPr>
        <w:t>s</w:t>
      </w:r>
      <w:r w:rsidRPr="00B004EE">
        <w:rPr>
          <w:rFonts w:ascii="Tahoma" w:hAnsi="Tahoma" w:cs="Tahoma"/>
          <w:sz w:val="20"/>
          <w:szCs w:val="20"/>
        </w:rPr>
        <w:t xml:space="preserve"> pour l’harmonisation.</w:t>
      </w:r>
    </w:p>
    <w:p w14:paraId="6E945998" w14:textId="77777777" w:rsidR="00C40CA4" w:rsidRPr="00B004EE" w:rsidRDefault="00C40CA4" w:rsidP="00B004EE">
      <w:pPr>
        <w:rPr>
          <w:rFonts w:ascii="Tahoma" w:hAnsi="Tahoma" w:cs="Tahoma"/>
          <w:sz w:val="20"/>
          <w:szCs w:val="20"/>
        </w:rPr>
      </w:pPr>
    </w:p>
    <w:p w14:paraId="4C3E1B86" w14:textId="78625199" w:rsidR="00C40CA4" w:rsidRPr="00B004EE" w:rsidRDefault="005660B8" w:rsidP="00B004EE">
      <w:pPr>
        <w:jc w:val="both"/>
        <w:rPr>
          <w:rFonts w:ascii="Tahoma" w:hAnsi="Tahoma" w:cs="Tahoma"/>
          <w:sz w:val="20"/>
          <w:szCs w:val="20"/>
        </w:rPr>
      </w:pPr>
      <w:r w:rsidRPr="00B004EE">
        <w:rPr>
          <w:rFonts w:ascii="Tahoma" w:hAnsi="Tahoma" w:cs="Tahoma"/>
          <w:sz w:val="20"/>
          <w:szCs w:val="20"/>
        </w:rPr>
        <w:t>L</w:t>
      </w:r>
      <w:r w:rsidR="00C40CA4" w:rsidRPr="00B004EE">
        <w:rPr>
          <w:rFonts w:ascii="Tahoma" w:hAnsi="Tahoma" w:cs="Tahoma"/>
          <w:sz w:val="20"/>
          <w:szCs w:val="20"/>
        </w:rPr>
        <w:t>es textes qui figurent dans ce recueil sont en vigueur à la date de l’édition (</w:t>
      </w:r>
      <w:r w:rsidR="008F6E98" w:rsidRPr="00B004EE">
        <w:rPr>
          <w:rFonts w:ascii="Tahoma" w:hAnsi="Tahoma" w:cs="Tahoma"/>
          <w:sz w:val="20"/>
          <w:szCs w:val="20"/>
        </w:rPr>
        <w:t xml:space="preserve">novembre </w:t>
      </w:r>
      <w:r w:rsidR="00C40CA4" w:rsidRPr="00B004EE">
        <w:rPr>
          <w:rFonts w:ascii="Tahoma" w:hAnsi="Tahoma" w:cs="Tahoma"/>
          <w:sz w:val="20"/>
          <w:szCs w:val="20"/>
        </w:rPr>
        <w:t xml:space="preserve">2020). Il faut bien préciser que les textes figurant dans ce recueil sont présentés uniquement pour faciliter l’accès des agents d’inspection et de contrôle de l’ONISPA à l’information juridique. Aux fins d’interprétation et d’application de la loi, seules font foi les publications sur papier du Journal officiel de la République Islamique de Mauritanie. </w:t>
      </w:r>
    </w:p>
    <w:p w14:paraId="05B2AE89" w14:textId="77777777" w:rsidR="00C40CA4" w:rsidRPr="00B004EE" w:rsidRDefault="00C40CA4" w:rsidP="00B004EE">
      <w:pPr>
        <w:jc w:val="both"/>
        <w:rPr>
          <w:rFonts w:ascii="Tahoma" w:hAnsi="Tahoma" w:cs="Tahoma"/>
          <w:sz w:val="20"/>
          <w:szCs w:val="20"/>
        </w:rPr>
      </w:pPr>
    </w:p>
    <w:p w14:paraId="32DE82DB" w14:textId="6EE154CA" w:rsidR="00C40CA4" w:rsidRPr="00B004EE" w:rsidRDefault="00C40CA4" w:rsidP="00B004EE">
      <w:pPr>
        <w:jc w:val="both"/>
        <w:rPr>
          <w:rFonts w:ascii="Tahoma" w:hAnsi="Tahoma" w:cs="Tahoma"/>
          <w:sz w:val="20"/>
          <w:szCs w:val="20"/>
        </w:rPr>
      </w:pPr>
      <w:r w:rsidRPr="00B004EE">
        <w:rPr>
          <w:rFonts w:ascii="Tahoma" w:hAnsi="Tahoma" w:cs="Tahoma"/>
          <w:sz w:val="20"/>
          <w:szCs w:val="20"/>
        </w:rPr>
        <w:t xml:space="preserve">Nous n’avons pas intégré dans le corps des textes le visas qui figurent dans les versions originales des textes en inspirant de ce qui figure dans le Journal Officiel, mais nous avons toujours essayé d’afficher les noms des Ministres signataires de ces textes. </w:t>
      </w:r>
    </w:p>
    <w:p w14:paraId="1D4ED12B" w14:textId="77777777" w:rsidR="00C40CA4" w:rsidRPr="00B004EE" w:rsidRDefault="00C40CA4" w:rsidP="00B004EE">
      <w:pPr>
        <w:rPr>
          <w:rFonts w:ascii="Tahoma" w:hAnsi="Tahoma" w:cs="Tahoma"/>
          <w:sz w:val="20"/>
          <w:szCs w:val="20"/>
        </w:rPr>
      </w:pPr>
    </w:p>
    <w:p w14:paraId="73BB2EA4" w14:textId="557EAD1D" w:rsidR="00C40CA4" w:rsidRPr="00B004EE" w:rsidRDefault="00C40CA4" w:rsidP="00B004EE">
      <w:pPr>
        <w:jc w:val="both"/>
        <w:rPr>
          <w:rFonts w:ascii="Tahoma" w:hAnsi="Tahoma" w:cs="Tahoma"/>
          <w:sz w:val="20"/>
          <w:szCs w:val="20"/>
        </w:rPr>
      </w:pPr>
      <w:r w:rsidRPr="00B004EE">
        <w:rPr>
          <w:rFonts w:ascii="Tahoma" w:hAnsi="Tahoma" w:cs="Tahoma"/>
          <w:sz w:val="20"/>
          <w:szCs w:val="20"/>
        </w:rPr>
        <w:t>Un travail forcément imparfait et devant faire l’objet de mises à jour en continue</w:t>
      </w:r>
      <w:r w:rsidR="007E751D" w:rsidRPr="00B004EE">
        <w:rPr>
          <w:rFonts w:ascii="Tahoma" w:hAnsi="Tahoma" w:cs="Tahoma"/>
          <w:sz w:val="20"/>
          <w:szCs w:val="20"/>
        </w:rPr>
        <w:t>.</w:t>
      </w:r>
      <w:r w:rsidRPr="00B004EE">
        <w:rPr>
          <w:rFonts w:ascii="Tahoma" w:hAnsi="Tahoma" w:cs="Tahoma"/>
          <w:sz w:val="20"/>
          <w:szCs w:val="20"/>
        </w:rPr>
        <w:t xml:space="preserve"> </w:t>
      </w:r>
      <w:r w:rsidR="007E751D" w:rsidRPr="00B004EE">
        <w:rPr>
          <w:rFonts w:ascii="Tahoma" w:hAnsi="Tahoma" w:cs="Tahoma"/>
          <w:sz w:val="20"/>
          <w:szCs w:val="20"/>
        </w:rPr>
        <w:t>M</w:t>
      </w:r>
      <w:r w:rsidRPr="00B004EE">
        <w:rPr>
          <w:rFonts w:ascii="Tahoma" w:hAnsi="Tahoma" w:cs="Tahoma"/>
          <w:sz w:val="20"/>
          <w:szCs w:val="20"/>
        </w:rPr>
        <w:t xml:space="preserve">algré tout le soin que nous avons apporté à ce travail, il présente très probablement des lacunes et </w:t>
      </w:r>
      <w:r w:rsidR="007E751D" w:rsidRPr="00B004EE">
        <w:rPr>
          <w:rFonts w:ascii="Tahoma" w:hAnsi="Tahoma" w:cs="Tahoma"/>
          <w:sz w:val="20"/>
          <w:szCs w:val="20"/>
        </w:rPr>
        <w:t xml:space="preserve">des </w:t>
      </w:r>
      <w:r w:rsidRPr="00B004EE">
        <w:rPr>
          <w:rFonts w:ascii="Tahoma" w:hAnsi="Tahoma" w:cs="Tahoma"/>
          <w:sz w:val="20"/>
          <w:szCs w:val="20"/>
        </w:rPr>
        <w:t xml:space="preserve">imperfections. Nous espérons que cela ne vous gênera pas dans votre mission et nous formons le vœu que vous nous ferez part des erreurs que vous aurez relevées, ceci dans un souci d’amélioration. </w:t>
      </w:r>
    </w:p>
    <w:p w14:paraId="6EF9497A" w14:textId="77777777" w:rsidR="00C40CA4" w:rsidRPr="00B004EE" w:rsidRDefault="00C40CA4" w:rsidP="00B004EE">
      <w:pPr>
        <w:jc w:val="both"/>
        <w:rPr>
          <w:rFonts w:ascii="Tahoma" w:hAnsi="Tahoma" w:cs="Tahoma"/>
          <w:sz w:val="20"/>
          <w:szCs w:val="20"/>
        </w:rPr>
      </w:pPr>
    </w:p>
    <w:p w14:paraId="6C84CFEB" w14:textId="77777777" w:rsidR="00C40CA4" w:rsidRPr="00B004EE" w:rsidRDefault="00C40CA4" w:rsidP="00B004EE">
      <w:pPr>
        <w:jc w:val="both"/>
        <w:rPr>
          <w:rFonts w:ascii="Tahoma" w:hAnsi="Tahoma" w:cs="Tahoma"/>
          <w:sz w:val="20"/>
          <w:szCs w:val="20"/>
        </w:rPr>
      </w:pPr>
      <w:r w:rsidRPr="00B004EE">
        <w:rPr>
          <w:rFonts w:ascii="Tahoma" w:hAnsi="Tahoma" w:cs="Tahoma"/>
          <w:sz w:val="20"/>
          <w:szCs w:val="20"/>
        </w:rPr>
        <w:t xml:space="preserve">Outre les erreurs, vous ne manquerez pas de nous signaler les textes abrogés ou modifiés après la parution du présent recueil, de même que toute nouvelle réglementation pour maintenir à jour notre base de données. Nous vous souhaitons une bonne lecture et un bon usage de ce recueil. </w:t>
      </w:r>
    </w:p>
    <w:p w14:paraId="2FAB330D" w14:textId="77777777" w:rsidR="00C40CA4" w:rsidRPr="00B004EE" w:rsidRDefault="00C40CA4" w:rsidP="00B004EE">
      <w:pPr>
        <w:jc w:val="both"/>
        <w:rPr>
          <w:rFonts w:ascii="Tahoma" w:hAnsi="Tahoma" w:cs="Tahoma"/>
          <w:sz w:val="20"/>
          <w:szCs w:val="20"/>
        </w:rPr>
      </w:pPr>
    </w:p>
    <w:p w14:paraId="55D2464D" w14:textId="77777777" w:rsidR="00C40CA4" w:rsidRPr="00B004EE" w:rsidRDefault="00C40CA4" w:rsidP="00B004EE">
      <w:pPr>
        <w:jc w:val="both"/>
        <w:rPr>
          <w:rFonts w:ascii="Tahoma" w:hAnsi="Tahoma" w:cs="Tahoma"/>
          <w:sz w:val="20"/>
          <w:szCs w:val="20"/>
        </w:rPr>
        <w:sectPr w:rsidR="00C40CA4" w:rsidRPr="00B004EE" w:rsidSect="00F23171">
          <w:footerReference w:type="first" r:id="rId19"/>
          <w:pgSz w:w="12240" w:h="15840"/>
          <w:pgMar w:top="1417" w:right="1417" w:bottom="1417" w:left="1417" w:header="720" w:footer="720" w:gutter="0"/>
          <w:cols w:space="720"/>
          <w:noEndnote/>
          <w:titlePg/>
          <w:docGrid w:linePitch="326"/>
        </w:sectPr>
      </w:pPr>
    </w:p>
    <w:p w14:paraId="3E295B4A" w14:textId="01E0FF35" w:rsidR="00C40CA4" w:rsidRPr="00B004EE" w:rsidRDefault="00C40CA4" w:rsidP="00B004EE">
      <w:pPr>
        <w:jc w:val="both"/>
        <w:rPr>
          <w:rFonts w:ascii="Tahoma" w:hAnsi="Tahoma" w:cs="Tahoma"/>
          <w:sz w:val="20"/>
          <w:szCs w:val="20"/>
        </w:rPr>
      </w:pPr>
    </w:p>
    <w:p w14:paraId="539FF588" w14:textId="77777777" w:rsidR="00C40CA4" w:rsidRPr="00B004EE" w:rsidRDefault="00C40CA4" w:rsidP="00B004EE">
      <w:pPr>
        <w:rPr>
          <w:rFonts w:ascii="Tahoma" w:hAnsi="Tahoma" w:cs="Tahoma"/>
          <w:sz w:val="20"/>
          <w:szCs w:val="20"/>
        </w:rPr>
      </w:pPr>
    </w:p>
    <w:p w14:paraId="3A9B3F78" w14:textId="77777777" w:rsidR="00C40CA4" w:rsidRPr="00B004EE" w:rsidRDefault="00C40CA4" w:rsidP="00B004EE">
      <w:pPr>
        <w:rPr>
          <w:rFonts w:ascii="Tahoma" w:hAnsi="Tahoma" w:cs="Tahoma"/>
          <w:sz w:val="20"/>
          <w:szCs w:val="20"/>
        </w:rPr>
      </w:pPr>
    </w:p>
    <w:p w14:paraId="5B2254FB" w14:textId="77777777" w:rsidR="00781AC7" w:rsidRPr="00B004EE" w:rsidRDefault="00781AC7" w:rsidP="00B004EE">
      <w:pPr>
        <w:rPr>
          <w:sz w:val="20"/>
          <w:szCs w:val="20"/>
        </w:rPr>
      </w:pPr>
    </w:p>
    <w:p w14:paraId="4F230C8E" w14:textId="77777777" w:rsidR="00781AC7" w:rsidRPr="00B004EE" w:rsidRDefault="00781AC7" w:rsidP="00B004EE">
      <w:pPr>
        <w:rPr>
          <w:sz w:val="20"/>
          <w:szCs w:val="20"/>
        </w:rPr>
      </w:pPr>
    </w:p>
    <w:p w14:paraId="52B5E3AA" w14:textId="77777777" w:rsidR="00781AC7" w:rsidRPr="00B004EE" w:rsidRDefault="00781AC7" w:rsidP="00B004EE">
      <w:pPr>
        <w:rPr>
          <w:sz w:val="20"/>
          <w:szCs w:val="20"/>
        </w:rPr>
      </w:pPr>
    </w:p>
    <w:p w14:paraId="26EBCE0C" w14:textId="77777777" w:rsidR="00781AC7" w:rsidRPr="00B004EE" w:rsidRDefault="00781AC7" w:rsidP="00B004EE">
      <w:pPr>
        <w:rPr>
          <w:sz w:val="20"/>
          <w:szCs w:val="20"/>
        </w:rPr>
      </w:pPr>
    </w:p>
    <w:p w14:paraId="3F4C5B4E" w14:textId="77777777" w:rsidR="00781AC7" w:rsidRPr="00B004EE" w:rsidRDefault="00781AC7" w:rsidP="00B004EE">
      <w:pPr>
        <w:rPr>
          <w:sz w:val="20"/>
          <w:szCs w:val="20"/>
        </w:rPr>
      </w:pPr>
    </w:p>
    <w:p w14:paraId="6F579AF8" w14:textId="77777777" w:rsidR="00781AC7" w:rsidRPr="00B004EE" w:rsidRDefault="00781AC7" w:rsidP="00B004EE">
      <w:pPr>
        <w:rPr>
          <w:sz w:val="20"/>
          <w:szCs w:val="20"/>
        </w:rPr>
      </w:pPr>
    </w:p>
    <w:p w14:paraId="0EE121EB" w14:textId="77777777" w:rsidR="00781AC7" w:rsidRPr="00B004EE" w:rsidRDefault="00781AC7" w:rsidP="00B004EE">
      <w:pPr>
        <w:rPr>
          <w:sz w:val="20"/>
          <w:szCs w:val="20"/>
        </w:rPr>
      </w:pPr>
    </w:p>
    <w:p w14:paraId="6DDEF7BB" w14:textId="77777777" w:rsidR="00781AC7" w:rsidRPr="00B004EE" w:rsidRDefault="00781AC7" w:rsidP="00B004EE">
      <w:pPr>
        <w:rPr>
          <w:sz w:val="20"/>
          <w:szCs w:val="20"/>
        </w:rPr>
      </w:pPr>
    </w:p>
    <w:p w14:paraId="1DD2A617" w14:textId="77777777" w:rsidR="00781AC7" w:rsidRPr="00B004EE" w:rsidRDefault="00781AC7" w:rsidP="00B004EE">
      <w:pPr>
        <w:rPr>
          <w:sz w:val="20"/>
          <w:szCs w:val="20"/>
        </w:rPr>
      </w:pPr>
    </w:p>
    <w:p w14:paraId="1BF713DE" w14:textId="77777777" w:rsidR="00781AC7" w:rsidRPr="00B004EE" w:rsidRDefault="00781AC7" w:rsidP="00B004EE">
      <w:pPr>
        <w:rPr>
          <w:sz w:val="20"/>
          <w:szCs w:val="20"/>
        </w:rPr>
      </w:pPr>
    </w:p>
    <w:p w14:paraId="70C1FD78" w14:textId="77777777" w:rsidR="00781AC7" w:rsidRPr="00B004EE" w:rsidRDefault="00781AC7" w:rsidP="00B004EE">
      <w:pPr>
        <w:rPr>
          <w:sz w:val="20"/>
          <w:szCs w:val="20"/>
        </w:rPr>
      </w:pPr>
    </w:p>
    <w:p w14:paraId="5D25CBEB" w14:textId="5C18981C" w:rsidR="00781AC7" w:rsidRPr="00B004EE" w:rsidRDefault="00781AC7" w:rsidP="00B004EE">
      <w:pPr>
        <w:rPr>
          <w:sz w:val="20"/>
          <w:szCs w:val="20"/>
        </w:rPr>
      </w:pPr>
    </w:p>
    <w:p w14:paraId="369052EC" w14:textId="77777777" w:rsidR="008F6E98" w:rsidRPr="00B004EE" w:rsidRDefault="008F6E98" w:rsidP="00B004EE">
      <w:pPr>
        <w:rPr>
          <w:sz w:val="20"/>
          <w:szCs w:val="20"/>
        </w:rPr>
      </w:pPr>
    </w:p>
    <w:p w14:paraId="67AC222A" w14:textId="1550A8E9" w:rsidR="00781AC7" w:rsidRPr="00C323AB" w:rsidRDefault="001938BD" w:rsidP="00B004EE">
      <w:pPr>
        <w:jc w:val="center"/>
        <w:rPr>
          <w:color w:val="538135" w:themeColor="accent6" w:themeShade="BF"/>
          <w:sz w:val="96"/>
          <w:szCs w:val="96"/>
        </w:rPr>
      </w:pPr>
      <w:r w:rsidRPr="00C323AB">
        <w:rPr>
          <w:b/>
          <w:bCs/>
          <w:color w:val="538135" w:themeColor="accent6" w:themeShade="BF"/>
          <w:sz w:val="96"/>
          <w:szCs w:val="96"/>
        </w:rPr>
        <w:t>PREMIERE PARTIE</w:t>
      </w:r>
    </w:p>
    <w:p w14:paraId="0DAD7F9B" w14:textId="63B2BDA5" w:rsidR="00781AC7" w:rsidRPr="00B004EE" w:rsidRDefault="00781AC7" w:rsidP="00C323AB">
      <w:pPr>
        <w:pStyle w:val="Lgende"/>
        <w:shd w:val="clear" w:color="auto" w:fill="A8D08D" w:themeFill="accent6" w:themeFillTint="99"/>
        <w:jc w:val="center"/>
        <w:outlineLvl w:val="0"/>
        <w:rPr>
          <w:rFonts w:ascii="Lucida Calligraphy" w:hAnsi="Lucida Calligraphy" w:cs="Tahoma"/>
          <w:i/>
          <w:iCs/>
          <w:color w:val="FFFFFF" w:themeColor="background1"/>
          <w:sz w:val="160"/>
          <w:szCs w:val="160"/>
        </w:rPr>
      </w:pPr>
      <w:bookmarkStart w:id="5" w:name="_Toc202214670"/>
      <w:r w:rsidRPr="00B004EE">
        <w:rPr>
          <w:rFonts w:ascii="Lucida Calligraphy" w:hAnsi="Lucida Calligraphy" w:cs="Tahoma"/>
          <w:i/>
          <w:iCs/>
          <w:color w:val="FFFFFF" w:themeColor="background1"/>
          <w:sz w:val="160"/>
          <w:szCs w:val="160"/>
        </w:rPr>
        <w:t>Les lois</w:t>
      </w:r>
      <w:bookmarkEnd w:id="5"/>
    </w:p>
    <w:p w14:paraId="540518E0" w14:textId="77777777" w:rsidR="00781AC7" w:rsidRPr="00B004EE" w:rsidRDefault="00781AC7" w:rsidP="00B004EE">
      <w:pPr>
        <w:rPr>
          <w:sz w:val="20"/>
          <w:szCs w:val="20"/>
        </w:rPr>
      </w:pPr>
    </w:p>
    <w:p w14:paraId="759DB0D0" w14:textId="77777777" w:rsidR="0049647F" w:rsidRPr="00B004EE" w:rsidRDefault="0049647F" w:rsidP="00B004EE">
      <w:pPr>
        <w:rPr>
          <w:rFonts w:ascii="Tahoma" w:hAnsi="Tahoma" w:cs="Tahoma"/>
          <w:b/>
          <w:bCs/>
          <w:sz w:val="20"/>
          <w:szCs w:val="20"/>
        </w:rPr>
        <w:sectPr w:rsidR="0049647F" w:rsidRPr="00B004EE" w:rsidSect="00C40CA4">
          <w:pgSz w:w="12240" w:h="15840"/>
          <w:pgMar w:top="1417" w:right="1417" w:bottom="1417" w:left="1417" w:header="720" w:footer="720" w:gutter="0"/>
          <w:cols w:space="720"/>
          <w:noEndnote/>
          <w:titlePg/>
          <w:docGrid w:linePitch="326"/>
        </w:sectPr>
      </w:pPr>
    </w:p>
    <w:p w14:paraId="20799224" w14:textId="77777777" w:rsidR="0049647F" w:rsidRPr="00FA0779" w:rsidRDefault="0049647F" w:rsidP="00B004EE">
      <w:pPr>
        <w:pStyle w:val="Titre1"/>
        <w:pBdr>
          <w:top w:val="thinThickMediumGap" w:sz="24" w:space="1" w:color="70AD47" w:themeColor="accent6"/>
          <w:left w:val="thinThickMediumGap" w:sz="24" w:space="4" w:color="70AD47" w:themeColor="accent6"/>
          <w:bottom w:val="thickThinMediumGap" w:sz="24" w:space="1" w:color="70AD47" w:themeColor="accent6"/>
          <w:right w:val="thickThinMediumGap" w:sz="24" w:space="4" w:color="70AD47" w:themeColor="accent6"/>
        </w:pBdr>
        <w:jc w:val="both"/>
        <w:rPr>
          <w:rFonts w:ascii="Tahoma" w:hAnsi="Tahoma" w:cs="Tahoma"/>
          <w:szCs w:val="22"/>
        </w:rPr>
      </w:pPr>
      <w:bookmarkStart w:id="6" w:name="_Toc202214671"/>
      <w:r w:rsidRPr="00FA0779">
        <w:rPr>
          <w:rFonts w:ascii="Tahoma" w:hAnsi="Tahoma" w:cs="Tahoma"/>
          <w:szCs w:val="22"/>
        </w:rPr>
        <w:lastRenderedPageBreak/>
        <w:t>Loi n° 2005-030 du 02 Février 2005 portant Code de l'eau</w:t>
      </w:r>
      <w:bookmarkEnd w:id="6"/>
    </w:p>
    <w:p w14:paraId="72E83EE0" w14:textId="77777777" w:rsidR="0049647F" w:rsidRPr="00B004EE" w:rsidRDefault="0049647F" w:rsidP="00B004EE">
      <w:pPr>
        <w:pStyle w:val="Corpsdetexte"/>
        <w:spacing w:line="20" w:lineRule="atLeast"/>
        <w:ind w:right="319" w:firstLine="20"/>
        <w:rPr>
          <w:rFonts w:ascii="Tahoma" w:eastAsia="American Typewriter" w:hAnsi="Tahoma" w:cs="Tahoma"/>
          <w:b/>
          <w:bCs/>
          <w:sz w:val="20"/>
          <w:szCs w:val="20"/>
        </w:rPr>
      </w:pPr>
    </w:p>
    <w:p w14:paraId="52C1025F" w14:textId="77777777" w:rsidR="0049647F" w:rsidRPr="00B004EE" w:rsidRDefault="0049647F" w:rsidP="00B004EE">
      <w:pPr>
        <w:pStyle w:val="Corpsdetexte"/>
        <w:tabs>
          <w:tab w:val="left" w:pos="6342"/>
          <w:tab w:val="center" w:pos="8900"/>
        </w:tabs>
        <w:spacing w:line="20" w:lineRule="atLeast"/>
        <w:ind w:right="319" w:firstLine="20"/>
        <w:rPr>
          <w:rFonts w:ascii="Tahoma" w:hAnsi="Tahoma" w:cs="Tahoma"/>
          <w:sz w:val="20"/>
          <w:szCs w:val="20"/>
        </w:rPr>
      </w:pPr>
      <w:r w:rsidRPr="00B004EE">
        <w:rPr>
          <w:rFonts w:ascii="Tahoma" w:hAnsi="Tahoma" w:cs="Tahoma"/>
          <w:sz w:val="20"/>
          <w:szCs w:val="20"/>
        </w:rPr>
        <w:t>L'Assemblée Nationale et le Sénat ont adopté ;</w:t>
      </w:r>
    </w:p>
    <w:p w14:paraId="5184DF09" w14:textId="77777777" w:rsidR="0049647F" w:rsidRPr="00B004EE" w:rsidRDefault="0049647F" w:rsidP="00B004EE">
      <w:pPr>
        <w:pStyle w:val="Corpsdetexte"/>
        <w:spacing w:line="20" w:lineRule="atLeast"/>
        <w:ind w:right="319" w:firstLine="20"/>
        <w:rPr>
          <w:rFonts w:ascii="Tahoma" w:eastAsia="American Typewriter" w:hAnsi="Tahoma" w:cs="Tahoma"/>
          <w:b/>
          <w:bCs/>
          <w:sz w:val="20"/>
          <w:szCs w:val="20"/>
        </w:rPr>
      </w:pPr>
      <w:r w:rsidRPr="00B004EE">
        <w:rPr>
          <w:rFonts w:ascii="Tahoma" w:hAnsi="Tahoma" w:cs="Tahoma"/>
          <w:sz w:val="20"/>
          <w:szCs w:val="20"/>
        </w:rPr>
        <w:t>Le Président de la République promulgue la loi dont la teneur suit :</w:t>
      </w:r>
    </w:p>
    <w:p w14:paraId="716D4504" w14:textId="77777777" w:rsidR="0049647F" w:rsidRPr="00B004EE" w:rsidRDefault="0049647F" w:rsidP="00B004EE">
      <w:pPr>
        <w:spacing w:line="20" w:lineRule="atLeast"/>
        <w:jc w:val="both"/>
        <w:rPr>
          <w:rFonts w:ascii="Tahoma" w:eastAsia="American Typewriter" w:hAnsi="Tahoma" w:cs="Tahoma"/>
          <w:b/>
          <w:bCs/>
          <w:sz w:val="20"/>
          <w:szCs w:val="20"/>
        </w:rPr>
      </w:pPr>
    </w:p>
    <w:p w14:paraId="07FDA81D" w14:textId="77777777" w:rsidR="0049647F" w:rsidRPr="00B004EE" w:rsidRDefault="0049647F" w:rsidP="00B004EE">
      <w:pPr>
        <w:spacing w:line="20" w:lineRule="atLeast"/>
        <w:jc w:val="center"/>
        <w:rPr>
          <w:rFonts w:ascii="Tahoma" w:eastAsia="American Typewriter" w:hAnsi="Tahoma" w:cs="Tahoma"/>
          <w:b/>
          <w:bCs/>
          <w:sz w:val="20"/>
          <w:szCs w:val="20"/>
        </w:rPr>
      </w:pPr>
      <w:r w:rsidRPr="00B004EE">
        <w:rPr>
          <w:rFonts w:ascii="Tahoma" w:eastAsia="American Typewriter" w:hAnsi="Tahoma" w:cs="Tahoma"/>
          <w:b/>
          <w:bCs/>
          <w:sz w:val="20"/>
          <w:szCs w:val="20"/>
        </w:rPr>
        <w:t>TITRE I-DISPOSITIONS GENERALES</w:t>
      </w:r>
    </w:p>
    <w:p w14:paraId="2927052D" w14:textId="77777777" w:rsidR="0049647F" w:rsidRPr="00B004EE" w:rsidRDefault="0049647F" w:rsidP="00B004EE">
      <w:pPr>
        <w:spacing w:line="20" w:lineRule="atLeast"/>
        <w:jc w:val="center"/>
        <w:rPr>
          <w:rFonts w:ascii="Tahoma" w:eastAsia="American Typewriter" w:hAnsi="Tahoma" w:cs="Tahoma"/>
          <w:b/>
          <w:bCs/>
          <w:sz w:val="20"/>
          <w:szCs w:val="20"/>
        </w:rPr>
      </w:pPr>
      <w:r w:rsidRPr="00B004EE">
        <w:rPr>
          <w:rFonts w:ascii="Tahoma" w:eastAsia="American Typewriter" w:hAnsi="Tahoma" w:cs="Tahoma"/>
          <w:b/>
          <w:bCs/>
          <w:sz w:val="20"/>
          <w:szCs w:val="20"/>
        </w:rPr>
        <w:t>Section 1-Objet</w:t>
      </w:r>
    </w:p>
    <w:p w14:paraId="58FE625E" w14:textId="77777777" w:rsidR="0049647F" w:rsidRPr="00B004EE" w:rsidRDefault="0049647F" w:rsidP="00B004EE">
      <w:pPr>
        <w:pStyle w:val="Corpsdetexte"/>
        <w:spacing w:line="20" w:lineRule="atLeast"/>
        <w:ind w:right="319" w:firstLine="20"/>
        <w:rPr>
          <w:rFonts w:ascii="Tahoma" w:hAnsi="Tahoma" w:cs="Tahoma"/>
          <w:sz w:val="20"/>
          <w:szCs w:val="20"/>
        </w:rPr>
      </w:pPr>
    </w:p>
    <w:p w14:paraId="321093E1" w14:textId="77777777" w:rsidR="0049647F" w:rsidRPr="00B004EE" w:rsidRDefault="0049647F" w:rsidP="00B004EE">
      <w:pPr>
        <w:pStyle w:val="Corpsdetexte"/>
        <w:spacing w:line="20" w:lineRule="atLeast"/>
        <w:ind w:right="319" w:firstLine="20"/>
        <w:rPr>
          <w:rFonts w:ascii="Tahoma" w:hAnsi="Tahoma" w:cs="Tahoma"/>
          <w:sz w:val="20"/>
          <w:szCs w:val="20"/>
        </w:rPr>
      </w:pPr>
      <w:r w:rsidRPr="00B004EE">
        <w:rPr>
          <w:rFonts w:ascii="Tahoma" w:hAnsi="Tahoma" w:cs="Tahoma"/>
          <w:sz w:val="20"/>
          <w:szCs w:val="20"/>
        </w:rPr>
        <w:t>Article 1er : Le présent code a pour objet de définir le régime juridique des eaux continentales, de surface et souterraines, à l'exclusion des eaux de la mer, et notamment les règles relatives à la planification, à l'utilisation et à la préservation des eaux, et celles relatives à l'organisation et au fonctionnement du service public de l'eau.</w:t>
      </w:r>
    </w:p>
    <w:p w14:paraId="4105EF83" w14:textId="77777777" w:rsidR="0049647F" w:rsidRPr="00B004EE" w:rsidRDefault="0049647F" w:rsidP="00B004EE">
      <w:pPr>
        <w:spacing w:line="20" w:lineRule="atLeast"/>
        <w:jc w:val="both"/>
        <w:rPr>
          <w:rFonts w:ascii="Tahoma" w:eastAsia="American Typewriter" w:hAnsi="Tahoma" w:cs="Tahoma"/>
          <w:b/>
          <w:bCs/>
          <w:sz w:val="20"/>
          <w:szCs w:val="20"/>
        </w:rPr>
      </w:pPr>
    </w:p>
    <w:p w14:paraId="1BC24717" w14:textId="77777777" w:rsidR="0049647F" w:rsidRPr="00B004EE" w:rsidRDefault="0049647F" w:rsidP="00B004EE">
      <w:pPr>
        <w:spacing w:line="20" w:lineRule="atLeast"/>
        <w:jc w:val="center"/>
        <w:rPr>
          <w:rFonts w:ascii="Tahoma" w:eastAsia="American Typewriter" w:hAnsi="Tahoma" w:cs="Tahoma"/>
          <w:b/>
          <w:bCs/>
          <w:sz w:val="20"/>
          <w:szCs w:val="20"/>
        </w:rPr>
      </w:pPr>
      <w:r w:rsidRPr="00B004EE">
        <w:rPr>
          <w:rFonts w:ascii="Tahoma" w:eastAsia="American Typewriter" w:hAnsi="Tahoma" w:cs="Tahoma"/>
          <w:b/>
          <w:bCs/>
          <w:sz w:val="20"/>
          <w:szCs w:val="20"/>
        </w:rPr>
        <w:t>Section 2 - Principes généraux</w:t>
      </w:r>
    </w:p>
    <w:p w14:paraId="072DF04F" w14:textId="77777777" w:rsidR="0049647F" w:rsidRPr="00B004EE" w:rsidRDefault="0049647F" w:rsidP="00B004EE">
      <w:pPr>
        <w:spacing w:line="20" w:lineRule="atLeast"/>
        <w:jc w:val="both"/>
        <w:rPr>
          <w:rFonts w:ascii="Tahoma" w:eastAsia="American Typewriter" w:hAnsi="Tahoma" w:cs="Tahoma"/>
          <w:b/>
          <w:bCs/>
          <w:sz w:val="20"/>
          <w:szCs w:val="20"/>
        </w:rPr>
      </w:pPr>
    </w:p>
    <w:p w14:paraId="0868CDF6" w14:textId="77777777" w:rsidR="0049647F" w:rsidRPr="00B004EE" w:rsidRDefault="0049647F" w:rsidP="00B004EE">
      <w:pPr>
        <w:pStyle w:val="Corpsdetexte"/>
        <w:spacing w:line="20" w:lineRule="atLeast"/>
        <w:ind w:right="319" w:firstLine="20"/>
        <w:rPr>
          <w:rFonts w:ascii="Tahoma" w:hAnsi="Tahoma" w:cs="Tahoma"/>
          <w:sz w:val="20"/>
          <w:szCs w:val="20"/>
        </w:rPr>
      </w:pPr>
      <w:r w:rsidRPr="00B004EE">
        <w:rPr>
          <w:rFonts w:ascii="Tahoma" w:hAnsi="Tahoma" w:cs="Tahoma"/>
          <w:sz w:val="20"/>
          <w:szCs w:val="20"/>
        </w:rPr>
        <w:t>Article 2 : L’eau fait partie du patrimoine de la Nation</w:t>
      </w:r>
    </w:p>
    <w:p w14:paraId="37B1FFE1" w14:textId="77777777" w:rsidR="0049647F" w:rsidRPr="00B004EE" w:rsidRDefault="0049647F" w:rsidP="00B004EE">
      <w:pPr>
        <w:pStyle w:val="Corpsdetexte"/>
        <w:spacing w:line="20" w:lineRule="atLeast"/>
        <w:ind w:right="319" w:firstLine="20"/>
        <w:rPr>
          <w:rFonts w:ascii="Tahoma" w:hAnsi="Tahoma" w:cs="Tahoma"/>
          <w:sz w:val="20"/>
          <w:szCs w:val="20"/>
        </w:rPr>
      </w:pPr>
      <w:r w:rsidRPr="00B004EE">
        <w:rPr>
          <w:rFonts w:ascii="Tahoma" w:hAnsi="Tahoma" w:cs="Tahoma"/>
          <w:sz w:val="20"/>
          <w:szCs w:val="20"/>
        </w:rPr>
        <w:t>L'usage de l'eau constitue un droit reconnu à tous, dans Je cadre des lois et règlements en vigueur.</w:t>
      </w:r>
    </w:p>
    <w:p w14:paraId="42B22657" w14:textId="77777777" w:rsidR="0049647F" w:rsidRPr="00B004EE" w:rsidRDefault="0049647F" w:rsidP="00B004EE">
      <w:pPr>
        <w:pStyle w:val="Corpsdetexte"/>
        <w:spacing w:line="20" w:lineRule="atLeast"/>
        <w:ind w:right="319" w:firstLine="20"/>
        <w:rPr>
          <w:rFonts w:ascii="Tahoma" w:hAnsi="Tahoma" w:cs="Tahoma"/>
          <w:sz w:val="20"/>
          <w:szCs w:val="20"/>
        </w:rPr>
      </w:pPr>
      <w:r w:rsidRPr="00B004EE">
        <w:rPr>
          <w:rFonts w:ascii="Tahoma" w:hAnsi="Tahoma" w:cs="Tahoma"/>
          <w:sz w:val="20"/>
          <w:szCs w:val="20"/>
        </w:rPr>
        <w:t>La protection et la mise en valeur des ressources en eau, dans le respect des équilibres naturels, sont d'intérêt général et constituent un impératif national qui implique l'Etat, les collectivités locales, les personnes morales de droit privé et l'ensemble de la population.</w:t>
      </w:r>
    </w:p>
    <w:p w14:paraId="4775BC02" w14:textId="77777777" w:rsidR="0049647F" w:rsidRPr="00B004EE" w:rsidRDefault="0049647F" w:rsidP="00B004EE">
      <w:pPr>
        <w:pStyle w:val="Corpsdetexte"/>
        <w:spacing w:line="20" w:lineRule="atLeast"/>
        <w:ind w:right="319" w:firstLine="20"/>
        <w:rPr>
          <w:rFonts w:ascii="Tahoma" w:hAnsi="Tahoma" w:cs="Tahoma"/>
          <w:sz w:val="20"/>
          <w:szCs w:val="20"/>
        </w:rPr>
      </w:pPr>
      <w:r w:rsidRPr="00B004EE">
        <w:rPr>
          <w:rFonts w:ascii="Tahoma" w:hAnsi="Tahoma" w:cs="Tahoma"/>
          <w:sz w:val="20"/>
          <w:szCs w:val="20"/>
        </w:rPr>
        <w:t>La politique de l'Etat vise à garantir l'accès des populations à</w:t>
      </w:r>
      <w:r w:rsidRPr="00B004EE">
        <w:rPr>
          <w:rFonts w:ascii="Tahoma" w:hAnsi="Tahoma" w:cs="Tahoma"/>
          <w:sz w:val="20"/>
          <w:szCs w:val="20"/>
        </w:rPr>
        <w:tab/>
        <w:t>l'eau</w:t>
      </w:r>
      <w:r w:rsidRPr="00B004EE">
        <w:rPr>
          <w:rFonts w:ascii="Tahoma" w:hAnsi="Tahoma" w:cs="Tahoma"/>
          <w:sz w:val="20"/>
          <w:szCs w:val="20"/>
        </w:rPr>
        <w:tab/>
        <w:t>potable. Elle privilégie le partenariat entre l'Etat, les collectivités locales et les opérateurs privés, comme cadre de financement et de gestion des infrastructures· de production et de distribution d'eau potable.</w:t>
      </w:r>
    </w:p>
    <w:p w14:paraId="0ABA81DB" w14:textId="77777777" w:rsidR="0049647F" w:rsidRPr="00B004EE" w:rsidRDefault="0049647F" w:rsidP="00B004EE">
      <w:pPr>
        <w:pStyle w:val="Corpsdetexte"/>
        <w:spacing w:line="20" w:lineRule="atLeast"/>
        <w:ind w:right="319" w:firstLine="20"/>
        <w:rPr>
          <w:rFonts w:ascii="Tahoma" w:hAnsi="Tahoma" w:cs="Tahoma"/>
          <w:sz w:val="20"/>
          <w:szCs w:val="20"/>
        </w:rPr>
      </w:pPr>
    </w:p>
    <w:p w14:paraId="30145BF7" w14:textId="7E48B0B4" w:rsidR="0049647F" w:rsidRPr="00B004EE" w:rsidRDefault="0049647F" w:rsidP="00B004EE">
      <w:pPr>
        <w:pStyle w:val="Corpsdetexte"/>
        <w:spacing w:line="20" w:lineRule="atLeast"/>
        <w:ind w:right="319" w:firstLine="20"/>
        <w:rPr>
          <w:rFonts w:ascii="Tahoma" w:hAnsi="Tahoma" w:cs="Tahoma"/>
          <w:sz w:val="20"/>
          <w:szCs w:val="20"/>
        </w:rPr>
      </w:pPr>
      <w:r w:rsidRPr="00B004EE">
        <w:rPr>
          <w:rFonts w:ascii="Tahoma" w:hAnsi="Tahoma" w:cs="Tahoma"/>
          <w:sz w:val="20"/>
          <w:szCs w:val="20"/>
        </w:rPr>
        <w:t xml:space="preserve">Article 3 : La gestion de l'eau doit être globale, durable et équilibrée. Elle vise à </w:t>
      </w:r>
      <w:r w:rsidR="00FA0779" w:rsidRPr="00B004EE">
        <w:rPr>
          <w:rFonts w:ascii="Tahoma" w:hAnsi="Tahoma" w:cs="Tahoma"/>
          <w:sz w:val="20"/>
          <w:szCs w:val="20"/>
        </w:rPr>
        <w:t>assurer :</w:t>
      </w:r>
    </w:p>
    <w:p w14:paraId="1818EF6B" w14:textId="77777777" w:rsidR="0049647F" w:rsidRPr="00B004EE" w:rsidRDefault="0049647F" w:rsidP="00420DDA">
      <w:pPr>
        <w:pStyle w:val="Paragraphedeliste"/>
        <w:widowControl w:val="0"/>
        <w:numPr>
          <w:ilvl w:val="0"/>
          <w:numId w:val="104"/>
        </w:numPr>
        <w:tabs>
          <w:tab w:val="left" w:pos="1540"/>
        </w:tabs>
        <w:spacing w:line="20" w:lineRule="atLeast"/>
        <w:ind w:left="740" w:right="125"/>
        <w:jc w:val="both"/>
        <w:rPr>
          <w:rFonts w:ascii="Tahoma" w:hAnsi="Tahoma" w:cs="Tahoma"/>
          <w:sz w:val="20"/>
          <w:szCs w:val="20"/>
        </w:rPr>
      </w:pPr>
      <w:r w:rsidRPr="00B004EE">
        <w:rPr>
          <w:rFonts w:ascii="Tahoma" w:hAnsi="Tahoma" w:cs="Tahoma"/>
          <w:sz w:val="20"/>
          <w:szCs w:val="20"/>
        </w:rPr>
        <w:t>La protection quantitative des ressources existantes et la recherche des ressources nouvelles</w:t>
      </w:r>
    </w:p>
    <w:p w14:paraId="0FA5A9CD" w14:textId="77777777" w:rsidR="0049647F" w:rsidRPr="00B004EE" w:rsidRDefault="0049647F" w:rsidP="00420DDA">
      <w:pPr>
        <w:pStyle w:val="Paragraphedeliste"/>
        <w:widowControl w:val="0"/>
        <w:numPr>
          <w:ilvl w:val="0"/>
          <w:numId w:val="104"/>
        </w:numPr>
        <w:tabs>
          <w:tab w:val="left" w:pos="1540"/>
        </w:tabs>
        <w:spacing w:line="20" w:lineRule="atLeast"/>
        <w:ind w:left="740" w:right="125"/>
        <w:jc w:val="both"/>
        <w:rPr>
          <w:rFonts w:ascii="Tahoma" w:hAnsi="Tahoma" w:cs="Tahoma"/>
          <w:sz w:val="20"/>
          <w:szCs w:val="20"/>
        </w:rPr>
      </w:pPr>
      <w:r w:rsidRPr="00B004EE">
        <w:rPr>
          <w:rFonts w:ascii="Tahoma" w:hAnsi="Tahoma" w:cs="Tahoma"/>
          <w:sz w:val="20"/>
          <w:szCs w:val="20"/>
        </w:rPr>
        <w:t>La protection contre toute forme de pollution</w:t>
      </w:r>
    </w:p>
    <w:p w14:paraId="616FCD5A" w14:textId="77777777" w:rsidR="0049647F" w:rsidRPr="00B004EE" w:rsidRDefault="0049647F" w:rsidP="00420DDA">
      <w:pPr>
        <w:pStyle w:val="Paragraphedeliste"/>
        <w:widowControl w:val="0"/>
        <w:numPr>
          <w:ilvl w:val="0"/>
          <w:numId w:val="104"/>
        </w:numPr>
        <w:tabs>
          <w:tab w:val="left" w:pos="1540"/>
        </w:tabs>
        <w:spacing w:line="20" w:lineRule="atLeast"/>
        <w:ind w:left="740" w:right="125"/>
        <w:jc w:val="both"/>
        <w:rPr>
          <w:rFonts w:ascii="Tahoma" w:hAnsi="Tahoma" w:cs="Tahoma"/>
          <w:sz w:val="20"/>
          <w:szCs w:val="20"/>
        </w:rPr>
      </w:pPr>
      <w:r w:rsidRPr="00B004EE">
        <w:rPr>
          <w:rFonts w:ascii="Tahoma" w:hAnsi="Tahoma" w:cs="Tahoma"/>
          <w:sz w:val="20"/>
          <w:szCs w:val="20"/>
        </w:rPr>
        <w:t>La préservation des écosystèmes aquatiques ; ·</w:t>
      </w:r>
    </w:p>
    <w:p w14:paraId="1925D229" w14:textId="77777777" w:rsidR="0049647F" w:rsidRPr="00B004EE" w:rsidRDefault="0049647F" w:rsidP="00420DDA">
      <w:pPr>
        <w:pStyle w:val="Paragraphedeliste"/>
        <w:widowControl w:val="0"/>
        <w:numPr>
          <w:ilvl w:val="0"/>
          <w:numId w:val="104"/>
        </w:numPr>
        <w:tabs>
          <w:tab w:val="left" w:pos="1520"/>
        </w:tabs>
        <w:spacing w:line="20" w:lineRule="atLeast"/>
        <w:ind w:left="740" w:right="125"/>
        <w:jc w:val="both"/>
        <w:rPr>
          <w:rFonts w:ascii="Tahoma" w:hAnsi="Tahoma" w:cs="Tahoma"/>
          <w:sz w:val="20"/>
          <w:szCs w:val="20"/>
        </w:rPr>
      </w:pPr>
      <w:r w:rsidRPr="00B004EE">
        <w:rPr>
          <w:rFonts w:ascii="Tahoma" w:hAnsi="Tahoma" w:cs="Tahoma"/>
          <w:sz w:val="20"/>
          <w:szCs w:val="20"/>
        </w:rPr>
        <w:t>La lutte contre le gaspillage et la surexploitation ;</w:t>
      </w:r>
    </w:p>
    <w:p w14:paraId="5AFC27EA" w14:textId="77777777" w:rsidR="0049647F" w:rsidRPr="00B004EE" w:rsidRDefault="0049647F" w:rsidP="00420DDA">
      <w:pPr>
        <w:pStyle w:val="Paragraphedeliste"/>
        <w:widowControl w:val="0"/>
        <w:numPr>
          <w:ilvl w:val="0"/>
          <w:numId w:val="104"/>
        </w:numPr>
        <w:tabs>
          <w:tab w:val="left" w:pos="1520"/>
        </w:tabs>
        <w:spacing w:line="20" w:lineRule="atLeast"/>
        <w:ind w:left="740" w:right="125"/>
        <w:jc w:val="both"/>
        <w:rPr>
          <w:rFonts w:ascii="Tahoma" w:hAnsi="Tahoma" w:cs="Tahoma"/>
          <w:sz w:val="20"/>
          <w:szCs w:val="20"/>
        </w:rPr>
      </w:pPr>
      <w:r w:rsidRPr="00B004EE">
        <w:rPr>
          <w:rFonts w:ascii="Tahoma" w:hAnsi="Tahoma" w:cs="Tahoma"/>
          <w:sz w:val="20"/>
          <w:szCs w:val="20"/>
        </w:rPr>
        <w:t>La répartition équitable de cette ressource, de manière à satisfaire ou à concilier, lors des différents usages les exigences :</w:t>
      </w:r>
    </w:p>
    <w:p w14:paraId="16941E9E" w14:textId="77777777" w:rsidR="0049647F" w:rsidRPr="00B004EE" w:rsidRDefault="0049647F" w:rsidP="00420DDA">
      <w:pPr>
        <w:pStyle w:val="Paragraphedeliste"/>
        <w:widowControl w:val="0"/>
        <w:numPr>
          <w:ilvl w:val="0"/>
          <w:numId w:val="103"/>
        </w:numPr>
        <w:tabs>
          <w:tab w:val="left" w:pos="1540"/>
        </w:tabs>
        <w:spacing w:line="20" w:lineRule="atLeast"/>
        <w:ind w:left="1134" w:right="125"/>
        <w:jc w:val="both"/>
        <w:rPr>
          <w:rFonts w:ascii="Tahoma" w:hAnsi="Tahoma" w:cs="Tahoma"/>
          <w:sz w:val="20"/>
          <w:szCs w:val="20"/>
        </w:rPr>
      </w:pPr>
      <w:proofErr w:type="gramStart"/>
      <w:r w:rsidRPr="00B004EE">
        <w:rPr>
          <w:rFonts w:ascii="Tahoma" w:hAnsi="Tahoma" w:cs="Tahoma"/>
          <w:sz w:val="20"/>
          <w:szCs w:val="20"/>
        </w:rPr>
        <w:t>de</w:t>
      </w:r>
      <w:proofErr w:type="gramEnd"/>
      <w:r w:rsidRPr="00B004EE">
        <w:rPr>
          <w:rFonts w:ascii="Tahoma" w:hAnsi="Tahoma" w:cs="Tahoma"/>
          <w:sz w:val="20"/>
          <w:szCs w:val="20"/>
        </w:rPr>
        <w:t xml:space="preserve"> l'alimentation en eau potable et, d 'une manière générale, de la santé et de la salubrité;</w:t>
      </w:r>
    </w:p>
    <w:p w14:paraId="4B67485F" w14:textId="77777777" w:rsidR="0049647F" w:rsidRPr="00B004EE" w:rsidRDefault="0049647F" w:rsidP="00420DDA">
      <w:pPr>
        <w:pStyle w:val="Paragraphedeliste"/>
        <w:widowControl w:val="0"/>
        <w:numPr>
          <w:ilvl w:val="0"/>
          <w:numId w:val="103"/>
        </w:numPr>
        <w:tabs>
          <w:tab w:val="left" w:pos="560"/>
        </w:tabs>
        <w:spacing w:line="20" w:lineRule="atLeast"/>
        <w:ind w:left="1134" w:right="123"/>
        <w:jc w:val="both"/>
        <w:rPr>
          <w:rFonts w:ascii="Tahoma" w:hAnsi="Tahoma" w:cs="Tahoma"/>
          <w:sz w:val="20"/>
          <w:szCs w:val="20"/>
        </w:rPr>
      </w:pPr>
      <w:proofErr w:type="gramStart"/>
      <w:r w:rsidRPr="00B004EE">
        <w:rPr>
          <w:rFonts w:ascii="Tahoma" w:hAnsi="Tahoma" w:cs="Tahoma"/>
          <w:sz w:val="20"/>
          <w:szCs w:val="20"/>
        </w:rPr>
        <w:t>de</w:t>
      </w:r>
      <w:proofErr w:type="gramEnd"/>
      <w:r w:rsidRPr="00B004EE">
        <w:rPr>
          <w:rFonts w:ascii="Tahoma" w:hAnsi="Tahoma" w:cs="Tahoma"/>
          <w:sz w:val="20"/>
          <w:szCs w:val="20"/>
        </w:rPr>
        <w:t xml:space="preserve"> l'élevage, de l'agriculture, de la pisciculture, de la sylviculture, de l'industrie et des mines, de la production d'énergie, de la navigation, du tourisme, de la pêche continentale, ainsi que de ·toutes autres activités humaines· légalement exercées.</w:t>
      </w:r>
    </w:p>
    <w:p w14:paraId="54504E76" w14:textId="77777777" w:rsidR="0049647F" w:rsidRPr="00B004EE" w:rsidRDefault="0049647F" w:rsidP="00B004EE">
      <w:pPr>
        <w:tabs>
          <w:tab w:val="left" w:pos="560"/>
        </w:tabs>
        <w:spacing w:line="20" w:lineRule="atLeast"/>
        <w:ind w:right="123"/>
        <w:jc w:val="both"/>
        <w:rPr>
          <w:rFonts w:ascii="Tahoma" w:hAnsi="Tahoma" w:cs="Tahoma"/>
          <w:sz w:val="20"/>
          <w:szCs w:val="20"/>
        </w:rPr>
      </w:pPr>
    </w:p>
    <w:p w14:paraId="27DED890" w14:textId="77777777" w:rsidR="0049647F" w:rsidRPr="00B004EE" w:rsidRDefault="0049647F" w:rsidP="00B004EE">
      <w:pPr>
        <w:tabs>
          <w:tab w:val="left" w:pos="560"/>
        </w:tabs>
        <w:spacing w:line="20" w:lineRule="atLeast"/>
        <w:ind w:right="123"/>
        <w:jc w:val="both"/>
        <w:rPr>
          <w:rFonts w:ascii="Tahoma" w:hAnsi="Tahoma" w:cs="Tahoma"/>
          <w:sz w:val="20"/>
          <w:szCs w:val="20"/>
        </w:rPr>
      </w:pPr>
      <w:r w:rsidRPr="00B004EE">
        <w:rPr>
          <w:rFonts w:ascii="Tahoma" w:hAnsi="Tahoma" w:cs="Tahoma"/>
          <w:sz w:val="20"/>
          <w:szCs w:val="20"/>
        </w:rPr>
        <w:t>La gestion des ressources en eau est soumise au respect des principes suivants :</w:t>
      </w:r>
    </w:p>
    <w:p w14:paraId="2B26E208" w14:textId="77777777" w:rsidR="0049647F" w:rsidRPr="00B004EE" w:rsidRDefault="0049647F" w:rsidP="00420DDA">
      <w:pPr>
        <w:pStyle w:val="Paragraphedeliste"/>
        <w:widowControl w:val="0"/>
        <w:numPr>
          <w:ilvl w:val="0"/>
          <w:numId w:val="107"/>
        </w:numPr>
        <w:tabs>
          <w:tab w:val="left" w:pos="1540"/>
        </w:tabs>
        <w:spacing w:line="20" w:lineRule="atLeast"/>
        <w:ind w:left="709" w:right="125"/>
        <w:jc w:val="both"/>
        <w:rPr>
          <w:rFonts w:ascii="Tahoma" w:hAnsi="Tahoma" w:cs="Tahoma"/>
          <w:sz w:val="20"/>
          <w:szCs w:val="20"/>
        </w:rPr>
      </w:pPr>
      <w:proofErr w:type="gramStart"/>
      <w:r w:rsidRPr="00B004EE">
        <w:rPr>
          <w:rFonts w:ascii="Tahoma" w:hAnsi="Tahoma" w:cs="Tahoma"/>
          <w:sz w:val="20"/>
          <w:szCs w:val="20"/>
        </w:rPr>
        <w:t>le</w:t>
      </w:r>
      <w:proofErr w:type="gramEnd"/>
      <w:r w:rsidRPr="00B004EE">
        <w:rPr>
          <w:rFonts w:ascii="Tahoma" w:hAnsi="Tahoma" w:cs="Tahoma"/>
          <w:sz w:val="20"/>
          <w:szCs w:val="20"/>
        </w:rPr>
        <w:t xml:space="preserve"> principe de précaution visant à prévenir, par l'adoption ·de mesures effectives, les risques graves et irréversibles pour les ressources en eau ; </w:t>
      </w:r>
    </w:p>
    <w:p w14:paraId="0DBA1EF5" w14:textId="77777777" w:rsidR="0049647F" w:rsidRPr="00B004EE" w:rsidRDefault="0049647F" w:rsidP="00420DDA">
      <w:pPr>
        <w:pStyle w:val="Paragraphedeliste"/>
        <w:widowControl w:val="0"/>
        <w:numPr>
          <w:ilvl w:val="0"/>
          <w:numId w:val="107"/>
        </w:numPr>
        <w:tabs>
          <w:tab w:val="left" w:pos="1540"/>
        </w:tabs>
        <w:spacing w:line="20" w:lineRule="atLeast"/>
        <w:ind w:left="709" w:right="125"/>
        <w:jc w:val="both"/>
        <w:rPr>
          <w:rFonts w:ascii="Tahoma" w:hAnsi="Tahoma" w:cs="Tahoma"/>
          <w:sz w:val="20"/>
          <w:szCs w:val="20"/>
        </w:rPr>
      </w:pPr>
      <w:proofErr w:type="gramStart"/>
      <w:r w:rsidRPr="00B004EE">
        <w:rPr>
          <w:rFonts w:ascii="Tahoma" w:hAnsi="Tahoma" w:cs="Tahoma"/>
          <w:sz w:val="20"/>
          <w:szCs w:val="20"/>
        </w:rPr>
        <w:t>le</w:t>
      </w:r>
      <w:proofErr w:type="gramEnd"/>
      <w:r w:rsidRPr="00B004EE">
        <w:rPr>
          <w:rFonts w:ascii="Tahoma" w:hAnsi="Tahoma" w:cs="Tahoma"/>
          <w:sz w:val="20"/>
          <w:szCs w:val="20"/>
        </w:rPr>
        <w:t xml:space="preserve"> principe de prévention de la pollution, en priorité à la source ;</w:t>
      </w:r>
    </w:p>
    <w:p w14:paraId="38424C82" w14:textId="77777777" w:rsidR="0049647F" w:rsidRPr="00B004EE" w:rsidRDefault="0049647F" w:rsidP="00420DDA">
      <w:pPr>
        <w:pStyle w:val="Paragraphedeliste"/>
        <w:widowControl w:val="0"/>
        <w:numPr>
          <w:ilvl w:val="0"/>
          <w:numId w:val="107"/>
        </w:numPr>
        <w:tabs>
          <w:tab w:val="left" w:pos="1540"/>
        </w:tabs>
        <w:spacing w:line="20" w:lineRule="atLeast"/>
        <w:ind w:left="709" w:right="125"/>
        <w:jc w:val="both"/>
        <w:rPr>
          <w:rFonts w:ascii="Tahoma" w:hAnsi="Tahoma" w:cs="Tahoma"/>
          <w:sz w:val="20"/>
          <w:szCs w:val="20"/>
        </w:rPr>
      </w:pPr>
      <w:proofErr w:type="gramStart"/>
      <w:r w:rsidRPr="00B004EE">
        <w:rPr>
          <w:rFonts w:ascii="Tahoma" w:hAnsi="Tahoma" w:cs="Tahoma"/>
          <w:sz w:val="20"/>
          <w:szCs w:val="20"/>
        </w:rPr>
        <w:t>le</w:t>
      </w:r>
      <w:proofErr w:type="gramEnd"/>
      <w:r w:rsidRPr="00B004EE">
        <w:rPr>
          <w:rFonts w:ascii="Tahoma" w:hAnsi="Tahoma" w:cs="Tahoma"/>
          <w:sz w:val="20"/>
          <w:szCs w:val="20"/>
        </w:rPr>
        <w:t xml:space="preserve"> principe utilisateur ·payeur selon lequel l'utilisateur de l'eau supporte une partie significative des frais résultant des mesures de prévention, de réduction de la pollution et de restauration de la ressource en qualité et en quantité :</w:t>
      </w:r>
    </w:p>
    <w:p w14:paraId="627DF735" w14:textId="77777777" w:rsidR="0049647F" w:rsidRPr="00B004EE" w:rsidRDefault="0049647F" w:rsidP="00420DDA">
      <w:pPr>
        <w:pStyle w:val="Paragraphedeliste"/>
        <w:widowControl w:val="0"/>
        <w:numPr>
          <w:ilvl w:val="0"/>
          <w:numId w:val="107"/>
        </w:numPr>
        <w:tabs>
          <w:tab w:val="left" w:pos="1540"/>
        </w:tabs>
        <w:spacing w:line="20" w:lineRule="atLeast"/>
        <w:ind w:left="709" w:right="125"/>
        <w:jc w:val="both"/>
        <w:rPr>
          <w:rFonts w:ascii="Tahoma" w:hAnsi="Tahoma" w:cs="Tahoma"/>
          <w:sz w:val="20"/>
          <w:szCs w:val="20"/>
        </w:rPr>
      </w:pPr>
      <w:proofErr w:type="gramStart"/>
      <w:r w:rsidRPr="00B004EE">
        <w:rPr>
          <w:rFonts w:ascii="Tahoma" w:hAnsi="Tahoma" w:cs="Tahoma"/>
          <w:sz w:val="20"/>
          <w:szCs w:val="20"/>
        </w:rPr>
        <w:t>le</w:t>
      </w:r>
      <w:proofErr w:type="gramEnd"/>
      <w:r w:rsidRPr="00B004EE">
        <w:rPr>
          <w:rFonts w:ascii="Tahoma" w:hAnsi="Tahoma" w:cs="Tahoma"/>
          <w:sz w:val="20"/>
          <w:szCs w:val="20"/>
        </w:rPr>
        <w:t xml:space="preserve"> principe d'association des utilisateurs à la gestion administrative de l'eau ;</w:t>
      </w:r>
    </w:p>
    <w:p w14:paraId="1581A03F" w14:textId="77777777" w:rsidR="0049647F" w:rsidRPr="00B004EE" w:rsidRDefault="0049647F" w:rsidP="00420DDA">
      <w:pPr>
        <w:pStyle w:val="Paragraphedeliste"/>
        <w:widowControl w:val="0"/>
        <w:numPr>
          <w:ilvl w:val="0"/>
          <w:numId w:val="107"/>
        </w:numPr>
        <w:tabs>
          <w:tab w:val="left" w:pos="1540"/>
        </w:tabs>
        <w:spacing w:line="20" w:lineRule="atLeast"/>
        <w:ind w:left="709" w:right="125"/>
        <w:jc w:val="both"/>
        <w:rPr>
          <w:rFonts w:ascii="Tahoma" w:hAnsi="Tahoma" w:cs="Tahoma"/>
          <w:sz w:val="20"/>
          <w:szCs w:val="20"/>
        </w:rPr>
      </w:pPr>
      <w:proofErr w:type="gramStart"/>
      <w:r w:rsidRPr="00B004EE">
        <w:rPr>
          <w:rFonts w:ascii="Tahoma" w:hAnsi="Tahoma" w:cs="Tahoma"/>
          <w:sz w:val="20"/>
          <w:szCs w:val="20"/>
        </w:rPr>
        <w:t>le</w:t>
      </w:r>
      <w:proofErr w:type="gramEnd"/>
      <w:r w:rsidRPr="00B004EE">
        <w:rPr>
          <w:rFonts w:ascii="Tahoma" w:hAnsi="Tahoma" w:cs="Tahoma"/>
          <w:sz w:val="20"/>
          <w:szCs w:val="20"/>
        </w:rPr>
        <w:t xml:space="preserve"> principe de couverture par les usagers des services publics de distribution d'eau potable et' d 'assainissement, d'une partie significative des coûts engendrés par ces services, en fonction de la capacité contributive des usagers.</w:t>
      </w:r>
    </w:p>
    <w:p w14:paraId="28ED4B42" w14:textId="77777777" w:rsidR="0049647F" w:rsidRPr="00B004EE" w:rsidRDefault="0049647F" w:rsidP="00B004EE">
      <w:pPr>
        <w:tabs>
          <w:tab w:val="left" w:pos="820"/>
        </w:tabs>
        <w:spacing w:line="20" w:lineRule="atLeast"/>
        <w:ind w:left="709" w:right="123"/>
        <w:jc w:val="both"/>
        <w:rPr>
          <w:rFonts w:ascii="Tahoma" w:hAnsi="Tahoma" w:cs="Tahoma"/>
          <w:sz w:val="20"/>
          <w:szCs w:val="20"/>
        </w:rPr>
      </w:pPr>
    </w:p>
    <w:p w14:paraId="326CE98F" w14:textId="77777777" w:rsidR="0049647F" w:rsidRPr="00B004EE" w:rsidRDefault="0049647F" w:rsidP="00B004EE">
      <w:pPr>
        <w:tabs>
          <w:tab w:val="left" w:pos="820"/>
        </w:tabs>
        <w:spacing w:line="20" w:lineRule="atLeast"/>
        <w:ind w:right="123"/>
        <w:jc w:val="both"/>
        <w:rPr>
          <w:rFonts w:ascii="Tahoma" w:hAnsi="Tahoma" w:cs="Tahoma"/>
          <w:sz w:val="20"/>
          <w:szCs w:val="20"/>
        </w:rPr>
      </w:pPr>
      <w:r w:rsidRPr="00B004EE">
        <w:rPr>
          <w:rFonts w:ascii="Tahoma" w:hAnsi="Tahoma" w:cs="Tahoma"/>
          <w:sz w:val="20"/>
          <w:szCs w:val="20"/>
        </w:rPr>
        <w:t>Toute consommation abusive ou anarchique des eaux superficielles ou souterraines à quelque fin que ce soit, est interdite.</w:t>
      </w:r>
    </w:p>
    <w:p w14:paraId="1748F0D6" w14:textId="77777777" w:rsidR="0049647F" w:rsidRPr="00B004EE" w:rsidRDefault="0049647F" w:rsidP="00B004EE">
      <w:pPr>
        <w:pStyle w:val="Corpsdetexte"/>
        <w:spacing w:line="20" w:lineRule="atLeast"/>
        <w:ind w:right="148"/>
        <w:rPr>
          <w:rFonts w:ascii="Tahoma" w:hAnsi="Tahoma" w:cs="Tahoma"/>
          <w:w w:val="89"/>
          <w:sz w:val="20"/>
          <w:szCs w:val="20"/>
        </w:rPr>
      </w:pPr>
    </w:p>
    <w:p w14:paraId="644C0C12" w14:textId="77777777" w:rsidR="0049647F" w:rsidRPr="00B004EE" w:rsidRDefault="0049647F" w:rsidP="00B004EE">
      <w:pPr>
        <w:pStyle w:val="Corpsdetexte"/>
        <w:tabs>
          <w:tab w:val="left" w:pos="2379"/>
          <w:tab w:val="left" w:pos="4559"/>
          <w:tab w:val="left" w:pos="5959"/>
          <w:tab w:val="left" w:pos="7859"/>
        </w:tabs>
        <w:spacing w:line="20" w:lineRule="atLeast"/>
        <w:ind w:right="154" w:hanging="20"/>
        <w:rPr>
          <w:rFonts w:ascii="Tahoma" w:hAnsi="Tahoma" w:cs="Tahoma"/>
          <w:sz w:val="20"/>
          <w:szCs w:val="20"/>
        </w:rPr>
      </w:pPr>
      <w:r w:rsidRPr="00B004EE">
        <w:rPr>
          <w:rFonts w:ascii="Tahoma" w:hAnsi="Tahoma" w:cs="Tahoma"/>
          <w:sz w:val="20"/>
          <w:szCs w:val="20"/>
        </w:rPr>
        <w:lastRenderedPageBreak/>
        <w:t>Article 4 : Les eaux relevant de l'Organisation pour la mise en valeur du Fleuve Sénégal sont gérées conformément aux principes et normes prévus par la Charte des eaux du fleuve Sénégal telle que ratifiée par la République islamique de Mauritanie.</w:t>
      </w:r>
    </w:p>
    <w:p w14:paraId="5477EF92" w14:textId="77777777" w:rsidR="0049647F" w:rsidRPr="00B004EE" w:rsidRDefault="0049647F" w:rsidP="00B004EE">
      <w:pPr>
        <w:spacing w:line="20" w:lineRule="atLeast"/>
        <w:jc w:val="both"/>
        <w:rPr>
          <w:rFonts w:ascii="Tahoma" w:hAnsi="Tahoma" w:cs="Tahoma"/>
          <w:sz w:val="20"/>
          <w:szCs w:val="20"/>
        </w:rPr>
      </w:pPr>
    </w:p>
    <w:p w14:paraId="182E967F" w14:textId="77777777" w:rsidR="0049647F" w:rsidRPr="00B004EE" w:rsidRDefault="0049647F" w:rsidP="00B004EE">
      <w:pPr>
        <w:spacing w:line="20" w:lineRule="atLeast"/>
        <w:jc w:val="center"/>
        <w:rPr>
          <w:rFonts w:ascii="Tahoma" w:eastAsia="American Typewriter" w:hAnsi="Tahoma" w:cs="Tahoma"/>
          <w:b/>
          <w:bCs/>
          <w:sz w:val="20"/>
          <w:szCs w:val="20"/>
        </w:rPr>
      </w:pPr>
      <w:r w:rsidRPr="00B004EE">
        <w:rPr>
          <w:rFonts w:ascii="Tahoma" w:eastAsia="American Typewriter" w:hAnsi="Tahoma" w:cs="Tahoma"/>
          <w:b/>
          <w:bCs/>
          <w:sz w:val="20"/>
          <w:szCs w:val="20"/>
        </w:rPr>
        <w:t>Section 3-Priorités d'usages</w:t>
      </w:r>
    </w:p>
    <w:p w14:paraId="4E505389" w14:textId="77777777" w:rsidR="0049647F" w:rsidRPr="00B004EE" w:rsidRDefault="0049647F" w:rsidP="00B004EE">
      <w:pPr>
        <w:pStyle w:val="Corpsdetexte"/>
        <w:spacing w:line="20" w:lineRule="atLeast"/>
        <w:ind w:right="85"/>
        <w:rPr>
          <w:rFonts w:ascii="Tahoma" w:hAnsi="Tahoma" w:cs="Tahoma"/>
          <w:b/>
          <w:bCs/>
          <w:sz w:val="20"/>
          <w:szCs w:val="20"/>
        </w:rPr>
      </w:pPr>
    </w:p>
    <w:p w14:paraId="7AA1A0F5" w14:textId="77777777" w:rsidR="0049647F" w:rsidRPr="00B004EE" w:rsidRDefault="0049647F" w:rsidP="00B004EE">
      <w:pPr>
        <w:pStyle w:val="Corpsdetexte"/>
        <w:spacing w:line="20" w:lineRule="atLeast"/>
        <w:ind w:right="85"/>
        <w:rPr>
          <w:rFonts w:ascii="Tahoma" w:hAnsi="Tahoma" w:cs="Tahoma"/>
          <w:sz w:val="20"/>
          <w:szCs w:val="20"/>
        </w:rPr>
      </w:pPr>
      <w:r w:rsidRPr="00B004EE">
        <w:rPr>
          <w:rFonts w:ascii="Tahoma" w:hAnsi="Tahoma" w:cs="Tahoma"/>
          <w:sz w:val="20"/>
          <w:szCs w:val="20"/>
        </w:rPr>
        <w:t>Article 5 : Les ressources en eau sont allouées en priorité à l'alimentation en eau</w:t>
      </w:r>
      <w:r w:rsidRPr="00B004EE">
        <w:rPr>
          <w:rFonts w:ascii="Tahoma" w:hAnsi="Tahoma" w:cs="Tahoma"/>
          <w:w w:val="83"/>
          <w:sz w:val="20"/>
          <w:szCs w:val="20"/>
        </w:rPr>
        <w:t xml:space="preserve"> </w:t>
      </w:r>
      <w:r w:rsidRPr="00B004EE">
        <w:rPr>
          <w:rFonts w:ascii="Tahoma" w:hAnsi="Tahoma" w:cs="Tahoma"/>
          <w:sz w:val="20"/>
          <w:szCs w:val="20"/>
        </w:rPr>
        <w:t>des populations.</w:t>
      </w:r>
    </w:p>
    <w:p w14:paraId="25A8D051" w14:textId="77777777" w:rsidR="0049647F" w:rsidRPr="00B004EE" w:rsidRDefault="0049647F" w:rsidP="00B004EE">
      <w:pPr>
        <w:pStyle w:val="Corpsdetexte"/>
        <w:spacing w:line="20" w:lineRule="atLeast"/>
        <w:ind w:right="49" w:firstLine="20"/>
        <w:rPr>
          <w:rFonts w:ascii="Tahoma" w:hAnsi="Tahoma" w:cs="Tahoma"/>
          <w:sz w:val="20"/>
          <w:szCs w:val="20"/>
        </w:rPr>
      </w:pPr>
      <w:r w:rsidRPr="00B004EE">
        <w:rPr>
          <w:rFonts w:ascii="Tahoma" w:hAnsi="Tahoma" w:cs="Tahoma"/>
          <w:sz w:val="20"/>
          <w:szCs w:val="20"/>
        </w:rPr>
        <w:t>Lorsqu'il a pu être satisfait à l'alimentation en eau des populations et que la sécurité de leur</w:t>
      </w:r>
      <w:r w:rsidRPr="00B004EE">
        <w:rPr>
          <w:rFonts w:ascii="Tahoma" w:hAnsi="Tahoma" w:cs="Tahoma"/>
          <w:spacing w:val="-145"/>
          <w:sz w:val="20"/>
          <w:szCs w:val="20"/>
        </w:rPr>
        <w:t xml:space="preserve"> </w:t>
      </w:r>
      <w:r w:rsidRPr="00B004EE">
        <w:rPr>
          <w:rFonts w:ascii="Tahoma" w:hAnsi="Tahoma" w:cs="Tahoma"/>
          <w:sz w:val="20"/>
          <w:szCs w:val="20"/>
        </w:rPr>
        <w:t>approvisionnement n'est pas remise en cause, la priorité revient, dans l’ordre et en fonction des priorités locales, à la satisfaction des besoins de l'élevage, de l'agriculture, de la sylviculture, de la pisciculture, de la pêche continentale, des projets de reboisement et, enfin, des complexes industriels, miniers et agro­industriels.</w:t>
      </w:r>
    </w:p>
    <w:p w14:paraId="584C69E6" w14:textId="77777777" w:rsidR="0049647F" w:rsidRPr="00B004EE" w:rsidRDefault="0049647F" w:rsidP="00B004EE">
      <w:pPr>
        <w:pStyle w:val="Corpsdetexte"/>
        <w:spacing w:line="20" w:lineRule="atLeast"/>
        <w:rPr>
          <w:rFonts w:ascii="Tahoma" w:hAnsi="Tahoma" w:cs="Tahoma"/>
          <w:sz w:val="20"/>
          <w:szCs w:val="20"/>
        </w:rPr>
      </w:pPr>
      <w:r w:rsidRPr="00B004EE">
        <w:rPr>
          <w:rFonts w:ascii="Tahoma" w:hAnsi="Tahoma" w:cs="Tahoma"/>
          <w:sz w:val="20"/>
          <w:szCs w:val="20"/>
        </w:rPr>
        <w:t>Les autres besoins sont satisfaits en fonction de leur intérêt économique et de priorités locales.</w:t>
      </w:r>
    </w:p>
    <w:p w14:paraId="0687786C" w14:textId="77777777" w:rsidR="0049647F" w:rsidRPr="00B004EE" w:rsidRDefault="0049647F" w:rsidP="00B004EE">
      <w:pPr>
        <w:spacing w:line="20" w:lineRule="atLeast"/>
        <w:jc w:val="both"/>
        <w:rPr>
          <w:rFonts w:ascii="Tahoma" w:eastAsia="Courier New" w:hAnsi="Tahoma" w:cs="Tahoma"/>
          <w:sz w:val="20"/>
          <w:szCs w:val="20"/>
        </w:rPr>
      </w:pPr>
    </w:p>
    <w:p w14:paraId="16236EE0" w14:textId="77777777" w:rsidR="0049647F" w:rsidRPr="00B004EE" w:rsidRDefault="0049647F" w:rsidP="00B004EE">
      <w:pPr>
        <w:spacing w:line="20" w:lineRule="atLeast"/>
        <w:jc w:val="center"/>
        <w:rPr>
          <w:rFonts w:ascii="Tahoma" w:eastAsia="American Typewriter" w:hAnsi="Tahoma" w:cs="Tahoma"/>
          <w:b/>
          <w:bCs/>
          <w:sz w:val="20"/>
          <w:szCs w:val="20"/>
        </w:rPr>
      </w:pPr>
      <w:r w:rsidRPr="00B004EE">
        <w:rPr>
          <w:rFonts w:ascii="Tahoma" w:eastAsia="American Typewriter" w:hAnsi="Tahoma" w:cs="Tahoma"/>
          <w:b/>
          <w:bCs/>
          <w:sz w:val="20"/>
          <w:szCs w:val="20"/>
        </w:rPr>
        <w:t>TITRE II-DOMAINE PUBLIC HYDRAULIQUE</w:t>
      </w:r>
    </w:p>
    <w:p w14:paraId="68613E38" w14:textId="77777777" w:rsidR="0049647F" w:rsidRPr="00B004EE" w:rsidRDefault="0049647F" w:rsidP="00B004EE">
      <w:pPr>
        <w:spacing w:line="20" w:lineRule="atLeast"/>
        <w:jc w:val="center"/>
        <w:rPr>
          <w:rFonts w:ascii="Tahoma" w:eastAsia="American Typewriter" w:hAnsi="Tahoma" w:cs="Tahoma"/>
          <w:b/>
          <w:bCs/>
          <w:sz w:val="20"/>
          <w:szCs w:val="20"/>
        </w:rPr>
      </w:pPr>
      <w:r w:rsidRPr="00B004EE">
        <w:rPr>
          <w:rFonts w:ascii="Tahoma" w:eastAsia="American Typewriter" w:hAnsi="Tahoma" w:cs="Tahoma"/>
          <w:b/>
          <w:bCs/>
          <w:sz w:val="20"/>
          <w:szCs w:val="20"/>
        </w:rPr>
        <w:t>Section 1.- Domanialité publique des eaux</w:t>
      </w:r>
    </w:p>
    <w:p w14:paraId="759CE90B" w14:textId="77777777" w:rsidR="0049647F" w:rsidRPr="00B004EE" w:rsidRDefault="0049647F" w:rsidP="00B004EE">
      <w:pPr>
        <w:spacing w:line="20" w:lineRule="atLeast"/>
        <w:jc w:val="center"/>
        <w:rPr>
          <w:rFonts w:ascii="Tahoma" w:eastAsia="American Typewriter" w:hAnsi="Tahoma" w:cs="Tahoma"/>
          <w:b/>
          <w:bCs/>
          <w:sz w:val="20"/>
          <w:szCs w:val="20"/>
        </w:rPr>
      </w:pPr>
    </w:p>
    <w:p w14:paraId="1FA5511F" w14:textId="77777777" w:rsidR="0049647F" w:rsidRPr="00B004EE" w:rsidRDefault="0049647F" w:rsidP="00B004EE">
      <w:pPr>
        <w:pStyle w:val="Corpsdetexte"/>
        <w:spacing w:line="20" w:lineRule="atLeast"/>
        <w:rPr>
          <w:rFonts w:ascii="Tahoma" w:hAnsi="Tahoma" w:cs="Tahoma"/>
          <w:sz w:val="20"/>
          <w:szCs w:val="20"/>
        </w:rPr>
      </w:pPr>
      <w:r w:rsidRPr="00B004EE">
        <w:rPr>
          <w:rFonts w:ascii="Tahoma" w:hAnsi="Tahoma" w:cs="Tahoma"/>
          <w:sz w:val="20"/>
          <w:szCs w:val="20"/>
        </w:rPr>
        <w:t>Article 6 :</w:t>
      </w:r>
      <w:r w:rsidRPr="00B004EE">
        <w:rPr>
          <w:rFonts w:ascii="Tahoma" w:hAnsi="Tahoma" w:cs="Tahoma"/>
          <w:b/>
          <w:bCs/>
          <w:sz w:val="20"/>
          <w:szCs w:val="20"/>
        </w:rPr>
        <w:t xml:space="preserve"> </w:t>
      </w:r>
      <w:r w:rsidRPr="00B004EE">
        <w:rPr>
          <w:rFonts w:ascii="Tahoma" w:hAnsi="Tahoma" w:cs="Tahoma"/>
          <w:sz w:val="20"/>
          <w:szCs w:val="20"/>
        </w:rPr>
        <w:t>Les ressources en eaux superficielles, souterraines ou atmosphériques, où qu'elles soient situées dans les limites du territoire national, sont un bien collectif et, à ce titre, font partie intégrante du domaine public de l'Etat qui est inaliénable et imprescriptible</w:t>
      </w:r>
      <w:r w:rsidRPr="00B004EE">
        <w:rPr>
          <w:rFonts w:ascii="Tahoma" w:hAnsi="Tahoma" w:cs="Tahoma"/>
          <w:w w:val="89"/>
          <w:sz w:val="20"/>
          <w:szCs w:val="20"/>
        </w:rPr>
        <w:t>.</w:t>
      </w:r>
    </w:p>
    <w:p w14:paraId="2425CB22" w14:textId="77777777" w:rsidR="0049647F" w:rsidRPr="00B004EE" w:rsidRDefault="0049647F" w:rsidP="00B004EE">
      <w:pPr>
        <w:spacing w:line="20" w:lineRule="atLeast"/>
        <w:jc w:val="both"/>
        <w:rPr>
          <w:rFonts w:ascii="Tahoma" w:eastAsia="Courier New" w:hAnsi="Tahoma" w:cs="Tahoma"/>
          <w:sz w:val="20"/>
          <w:szCs w:val="20"/>
        </w:rPr>
      </w:pPr>
    </w:p>
    <w:p w14:paraId="58EEAC05" w14:textId="77777777" w:rsidR="0049647F" w:rsidRPr="00B004EE" w:rsidRDefault="0049647F" w:rsidP="00B004EE">
      <w:pPr>
        <w:spacing w:line="20" w:lineRule="atLeast"/>
        <w:jc w:val="center"/>
        <w:rPr>
          <w:rFonts w:ascii="Tahoma" w:eastAsia="American Typewriter" w:hAnsi="Tahoma" w:cs="Tahoma"/>
          <w:b/>
          <w:bCs/>
          <w:sz w:val="20"/>
          <w:szCs w:val="20"/>
        </w:rPr>
      </w:pPr>
      <w:r w:rsidRPr="00B004EE">
        <w:rPr>
          <w:rFonts w:ascii="Tahoma" w:eastAsia="American Typewriter" w:hAnsi="Tahoma" w:cs="Tahoma"/>
          <w:b/>
          <w:bCs/>
          <w:sz w:val="20"/>
          <w:szCs w:val="20"/>
        </w:rPr>
        <w:t>Section 2-Consistance</w:t>
      </w:r>
    </w:p>
    <w:p w14:paraId="574A1F65" w14:textId="77777777" w:rsidR="0049647F" w:rsidRPr="00B004EE" w:rsidRDefault="0049647F" w:rsidP="00B004EE">
      <w:pPr>
        <w:spacing w:line="20" w:lineRule="atLeast"/>
        <w:jc w:val="center"/>
        <w:rPr>
          <w:rFonts w:ascii="Tahoma" w:eastAsia="American Typewriter" w:hAnsi="Tahoma" w:cs="Tahoma"/>
          <w:b/>
          <w:bCs/>
          <w:sz w:val="20"/>
          <w:szCs w:val="20"/>
        </w:rPr>
      </w:pPr>
      <w:r w:rsidRPr="00B004EE">
        <w:rPr>
          <w:rFonts w:ascii="Tahoma" w:eastAsia="American Typewriter" w:hAnsi="Tahoma" w:cs="Tahoma"/>
          <w:b/>
          <w:bCs/>
          <w:sz w:val="20"/>
          <w:szCs w:val="20"/>
        </w:rPr>
        <w:t>Sous-section 1- Domaine public hydraulique naturel de l'Etat</w:t>
      </w:r>
    </w:p>
    <w:p w14:paraId="51A34EE4" w14:textId="77777777" w:rsidR="0049647F" w:rsidRPr="00B004EE" w:rsidRDefault="0049647F" w:rsidP="00B004EE">
      <w:pPr>
        <w:spacing w:line="20" w:lineRule="atLeast"/>
        <w:jc w:val="both"/>
        <w:rPr>
          <w:rFonts w:ascii="Tahoma" w:eastAsia="American Typewriter" w:hAnsi="Tahoma" w:cs="Tahoma"/>
          <w:b/>
          <w:bCs/>
          <w:sz w:val="20"/>
          <w:szCs w:val="20"/>
        </w:rPr>
      </w:pPr>
    </w:p>
    <w:p w14:paraId="01165B92" w14:textId="77777777" w:rsidR="0049647F" w:rsidRPr="00B004EE" w:rsidRDefault="0049647F" w:rsidP="00B004EE">
      <w:pPr>
        <w:pStyle w:val="Corpsdetexte"/>
        <w:spacing w:line="20" w:lineRule="atLeast"/>
        <w:rPr>
          <w:rFonts w:ascii="Tahoma" w:hAnsi="Tahoma" w:cs="Tahoma"/>
          <w:sz w:val="20"/>
          <w:szCs w:val="20"/>
        </w:rPr>
      </w:pPr>
      <w:r w:rsidRPr="00B004EE">
        <w:rPr>
          <w:rFonts w:ascii="Tahoma" w:hAnsi="Tahoma" w:cs="Tahoma"/>
          <w:sz w:val="20"/>
          <w:szCs w:val="20"/>
        </w:rPr>
        <w:t xml:space="preserve">Article 7 : Sous réserve des droits des tiers dûment établis, font partie du domaine public hydraulique naturel de l'Etat : </w:t>
      </w:r>
    </w:p>
    <w:p w14:paraId="51C3A23E" w14:textId="77777777" w:rsidR="0049647F" w:rsidRPr="00B004EE" w:rsidRDefault="0049647F" w:rsidP="00420DDA">
      <w:pPr>
        <w:pStyle w:val="Corpsdetexte"/>
        <w:widowControl w:val="0"/>
        <w:numPr>
          <w:ilvl w:val="0"/>
          <w:numId w:val="110"/>
        </w:numPr>
        <w:autoSpaceDE/>
        <w:autoSpaceDN/>
        <w:adjustRightInd/>
        <w:spacing w:line="20" w:lineRule="atLeast"/>
        <w:rPr>
          <w:rFonts w:ascii="Tahoma" w:hAnsi="Tahoma" w:cs="Tahoma"/>
          <w:sz w:val="20"/>
          <w:szCs w:val="20"/>
        </w:rPr>
      </w:pPr>
      <w:proofErr w:type="gramStart"/>
      <w:r w:rsidRPr="00B004EE">
        <w:rPr>
          <w:rFonts w:ascii="Tahoma" w:hAnsi="Tahoma" w:cs="Tahoma"/>
          <w:sz w:val="20"/>
          <w:szCs w:val="20"/>
        </w:rPr>
        <w:t>les</w:t>
      </w:r>
      <w:proofErr w:type="gramEnd"/>
      <w:r w:rsidRPr="00B004EE">
        <w:rPr>
          <w:rFonts w:ascii="Tahoma" w:hAnsi="Tahoma" w:cs="Tahoma"/>
          <w:sz w:val="20"/>
          <w:szCs w:val="20"/>
        </w:rPr>
        <w:t xml:space="preserve"> lits des cours d'eau, permanents ou non, navigables ou non, flottables ou non, ainsi que les lits des lacs ou des étangs dans les limites déterminées à l'article 10 ci-dessous ; </w:t>
      </w:r>
    </w:p>
    <w:p w14:paraId="5933F2D3" w14:textId="77777777" w:rsidR="0049647F" w:rsidRPr="00B004EE" w:rsidRDefault="0049647F" w:rsidP="00420DDA">
      <w:pPr>
        <w:pStyle w:val="Corpsdetexte"/>
        <w:widowControl w:val="0"/>
        <w:numPr>
          <w:ilvl w:val="0"/>
          <w:numId w:val="110"/>
        </w:numPr>
        <w:autoSpaceDE/>
        <w:autoSpaceDN/>
        <w:adjustRightInd/>
        <w:spacing w:line="20" w:lineRule="atLeast"/>
        <w:rPr>
          <w:rFonts w:ascii="Tahoma" w:hAnsi="Tahoma" w:cs="Tahoma"/>
          <w:sz w:val="20"/>
          <w:szCs w:val="20"/>
        </w:rPr>
      </w:pPr>
      <w:proofErr w:type="gramStart"/>
      <w:r w:rsidRPr="00B004EE">
        <w:rPr>
          <w:rFonts w:ascii="Tahoma" w:hAnsi="Tahoma" w:cs="Tahoma"/>
          <w:sz w:val="20"/>
          <w:szCs w:val="20"/>
        </w:rPr>
        <w:t>les</w:t>
      </w:r>
      <w:proofErr w:type="gramEnd"/>
      <w:r w:rsidRPr="00B004EE">
        <w:rPr>
          <w:rFonts w:ascii="Tahoma" w:hAnsi="Tahoma" w:cs="Tahoma"/>
          <w:spacing w:val="-10"/>
          <w:w w:val="95"/>
          <w:sz w:val="20"/>
          <w:szCs w:val="20"/>
        </w:rPr>
        <w:t xml:space="preserve"> </w:t>
      </w:r>
      <w:r w:rsidRPr="00B004EE">
        <w:rPr>
          <w:rFonts w:ascii="Tahoma" w:hAnsi="Tahoma" w:cs="Tahoma"/>
          <w:sz w:val="20"/>
          <w:szCs w:val="20"/>
        </w:rPr>
        <w:t>aquifères.</w:t>
      </w:r>
    </w:p>
    <w:p w14:paraId="38F766D7" w14:textId="77777777" w:rsidR="0049647F" w:rsidRPr="00B004EE" w:rsidRDefault="0049647F" w:rsidP="00B004EE">
      <w:pPr>
        <w:spacing w:line="20" w:lineRule="atLeast"/>
        <w:jc w:val="both"/>
        <w:rPr>
          <w:rFonts w:ascii="Tahoma" w:eastAsia="Arial Narrow" w:hAnsi="Tahoma" w:cs="Tahoma"/>
          <w:sz w:val="20"/>
          <w:szCs w:val="20"/>
        </w:rPr>
      </w:pPr>
    </w:p>
    <w:p w14:paraId="063105F3" w14:textId="77777777" w:rsidR="0049647F" w:rsidRPr="00B004EE" w:rsidRDefault="0049647F" w:rsidP="00B004EE">
      <w:pPr>
        <w:pStyle w:val="Corpsdetexte"/>
        <w:spacing w:line="20" w:lineRule="atLeast"/>
        <w:rPr>
          <w:rFonts w:ascii="Tahoma" w:hAnsi="Tahoma" w:cs="Tahoma"/>
          <w:sz w:val="20"/>
          <w:szCs w:val="20"/>
        </w:rPr>
      </w:pPr>
      <w:r w:rsidRPr="00B004EE">
        <w:rPr>
          <w:rFonts w:ascii="Tahoma" w:hAnsi="Tahoma" w:cs="Tahoma"/>
          <w:sz w:val="20"/>
          <w:szCs w:val="20"/>
        </w:rPr>
        <w:t>Article 8 :</w:t>
      </w:r>
      <w:r w:rsidRPr="00B004EE">
        <w:rPr>
          <w:rFonts w:ascii="Tahoma" w:hAnsi="Tahoma" w:cs="Tahoma"/>
          <w:b/>
          <w:bCs/>
          <w:sz w:val="20"/>
          <w:szCs w:val="20"/>
        </w:rPr>
        <w:t xml:space="preserve"> </w:t>
      </w:r>
      <w:r w:rsidRPr="00B004EE">
        <w:rPr>
          <w:rFonts w:ascii="Tahoma" w:hAnsi="Tahoma" w:cs="Tahoma"/>
          <w:sz w:val="20"/>
          <w:szCs w:val="20"/>
        </w:rPr>
        <w:t>Les limites du domaine public d'eau, lacs ou étangs, constituées par la ligne atteinte par les plus hautes eaux avant le débordement.</w:t>
      </w:r>
    </w:p>
    <w:p w14:paraId="21BDE577" w14:textId="77777777" w:rsidR="0049647F" w:rsidRPr="00B004EE" w:rsidRDefault="0049647F" w:rsidP="00B004EE">
      <w:pPr>
        <w:pStyle w:val="Corpsdetexte"/>
        <w:spacing w:line="20" w:lineRule="atLeast"/>
        <w:ind w:right="348"/>
        <w:rPr>
          <w:rFonts w:ascii="Tahoma" w:hAnsi="Tahoma" w:cs="Tahoma"/>
          <w:sz w:val="20"/>
          <w:szCs w:val="20"/>
        </w:rPr>
      </w:pPr>
      <w:r w:rsidRPr="00B004EE">
        <w:rPr>
          <w:rFonts w:ascii="Tahoma" w:hAnsi="Tahoma" w:cs="Tahoma"/>
          <w:sz w:val="20"/>
          <w:szCs w:val="20"/>
        </w:rPr>
        <w:t>Elles sont déterminées, en concertation avec le ministre concerné, par arrêté du ministre chargé de l'eau, à son initiative, le cas échéant, ou à la demande des riverains, après enquête publique et sous réserve des droits des tiers.</w:t>
      </w:r>
    </w:p>
    <w:p w14:paraId="0D18C3D3" w14:textId="77777777" w:rsidR="0049647F" w:rsidRPr="00B004EE" w:rsidRDefault="0049647F" w:rsidP="00B004EE">
      <w:pPr>
        <w:spacing w:line="20" w:lineRule="atLeast"/>
        <w:jc w:val="both"/>
        <w:rPr>
          <w:rFonts w:ascii="Tahoma" w:hAnsi="Tahoma" w:cs="Tahoma"/>
          <w:sz w:val="20"/>
          <w:szCs w:val="20"/>
        </w:rPr>
      </w:pPr>
    </w:p>
    <w:p w14:paraId="0A1D34F8" w14:textId="77777777" w:rsidR="0049647F" w:rsidRPr="00B004EE" w:rsidRDefault="0049647F" w:rsidP="00B004EE">
      <w:pPr>
        <w:pStyle w:val="Corpsdetexte"/>
        <w:spacing w:line="20" w:lineRule="atLeast"/>
        <w:rPr>
          <w:rFonts w:ascii="Tahoma" w:hAnsi="Tahoma" w:cs="Tahoma"/>
          <w:sz w:val="20"/>
          <w:szCs w:val="20"/>
        </w:rPr>
      </w:pPr>
      <w:r w:rsidRPr="00B004EE">
        <w:rPr>
          <w:rFonts w:ascii="Tahoma" w:hAnsi="Tahoma" w:cs="Tahoma"/>
          <w:sz w:val="20"/>
          <w:szCs w:val="20"/>
        </w:rPr>
        <w:t>Article 9 : Les actions en reconnaissance de droits acquis sur les terrains inclus par délimitation dans le domaine public hydraulique naturel sont intentées, sous peine de forclusion, dans le délai d'un an à compter de la date de publication de l'arrêté de délimitation.</w:t>
      </w:r>
    </w:p>
    <w:p w14:paraId="1D85D43B" w14:textId="77777777" w:rsidR="0049647F" w:rsidRPr="00B004EE" w:rsidRDefault="0049647F" w:rsidP="00B004EE">
      <w:pPr>
        <w:pStyle w:val="Corpsdetexte"/>
        <w:spacing w:line="20" w:lineRule="atLeast"/>
        <w:rPr>
          <w:rFonts w:ascii="Tahoma" w:hAnsi="Tahoma" w:cs="Tahoma"/>
          <w:sz w:val="20"/>
          <w:szCs w:val="20"/>
        </w:rPr>
      </w:pPr>
    </w:p>
    <w:p w14:paraId="322B8F83" w14:textId="77777777" w:rsidR="0049647F" w:rsidRPr="00B004EE" w:rsidRDefault="0049647F" w:rsidP="00B004EE">
      <w:pPr>
        <w:pStyle w:val="Corpsdetexte"/>
        <w:spacing w:line="20" w:lineRule="atLeast"/>
        <w:rPr>
          <w:rFonts w:ascii="Tahoma" w:hAnsi="Tahoma" w:cs="Tahoma"/>
          <w:sz w:val="20"/>
          <w:szCs w:val="20"/>
        </w:rPr>
      </w:pPr>
      <w:r w:rsidRPr="00B004EE">
        <w:rPr>
          <w:rFonts w:ascii="Tahoma" w:hAnsi="Tahoma" w:cs="Tahoma"/>
          <w:sz w:val="20"/>
          <w:szCs w:val="20"/>
        </w:rPr>
        <w:t>Article 10 : En cas de changement des limites du domaine public hydraulique dû à une cause naturelle, les riverains peuvent adresser une demande de nouvelle délimitation au ministre chargé de l'eau qui statue dans un délai d'un an.</w:t>
      </w:r>
    </w:p>
    <w:p w14:paraId="4C2D5148" w14:textId="77777777" w:rsidR="0049647F" w:rsidRPr="00B004EE" w:rsidRDefault="0049647F" w:rsidP="00B004EE">
      <w:pPr>
        <w:pStyle w:val="Corpsdetexte"/>
        <w:spacing w:line="20" w:lineRule="atLeast"/>
        <w:rPr>
          <w:rFonts w:ascii="Tahoma" w:hAnsi="Tahoma" w:cs="Tahoma"/>
          <w:sz w:val="20"/>
          <w:szCs w:val="20"/>
        </w:rPr>
      </w:pPr>
      <w:r w:rsidRPr="00B004EE">
        <w:rPr>
          <w:rFonts w:ascii="Tahoma" w:hAnsi="Tahoma" w:cs="Tahoma"/>
          <w:sz w:val="20"/>
          <w:szCs w:val="20"/>
        </w:rPr>
        <w:t>Passé ce délai, les riverains sont habilités à saisir la juridiction compétente.</w:t>
      </w:r>
    </w:p>
    <w:p w14:paraId="019415F2" w14:textId="77777777" w:rsidR="0049647F" w:rsidRPr="00B004EE" w:rsidRDefault="0049647F" w:rsidP="00B004EE">
      <w:pPr>
        <w:pStyle w:val="Corpsdetexte"/>
        <w:spacing w:line="20" w:lineRule="atLeast"/>
        <w:rPr>
          <w:rFonts w:ascii="Tahoma" w:hAnsi="Tahoma" w:cs="Tahoma"/>
          <w:sz w:val="20"/>
          <w:szCs w:val="20"/>
        </w:rPr>
      </w:pPr>
    </w:p>
    <w:p w14:paraId="291A8FC6" w14:textId="77777777" w:rsidR="0049647F" w:rsidRPr="00B004EE" w:rsidRDefault="0049647F" w:rsidP="00B004EE">
      <w:pPr>
        <w:spacing w:line="20" w:lineRule="atLeast"/>
        <w:jc w:val="center"/>
        <w:rPr>
          <w:rFonts w:ascii="Tahoma" w:eastAsia="American Typewriter" w:hAnsi="Tahoma" w:cs="Tahoma"/>
          <w:b/>
          <w:bCs/>
          <w:sz w:val="20"/>
          <w:szCs w:val="20"/>
        </w:rPr>
      </w:pPr>
      <w:r w:rsidRPr="00B004EE">
        <w:rPr>
          <w:rFonts w:ascii="Tahoma" w:eastAsia="American Typewriter" w:hAnsi="Tahoma" w:cs="Tahoma"/>
          <w:b/>
          <w:bCs/>
          <w:sz w:val="20"/>
          <w:szCs w:val="20"/>
        </w:rPr>
        <w:t>Sous-section 2 - Domaine public hydraulique artificiel de l'Etat</w:t>
      </w:r>
    </w:p>
    <w:p w14:paraId="7B0A74DF" w14:textId="77777777" w:rsidR="0049647F" w:rsidRPr="00B004EE" w:rsidRDefault="0049647F" w:rsidP="00B004EE">
      <w:pPr>
        <w:spacing w:line="20" w:lineRule="atLeast"/>
        <w:jc w:val="both"/>
        <w:rPr>
          <w:rFonts w:ascii="Tahoma" w:eastAsia="American Typewriter" w:hAnsi="Tahoma" w:cs="Tahoma"/>
          <w:b/>
          <w:bCs/>
          <w:sz w:val="20"/>
          <w:szCs w:val="20"/>
        </w:rPr>
      </w:pPr>
    </w:p>
    <w:p w14:paraId="5B328177" w14:textId="77777777" w:rsidR="0049647F" w:rsidRPr="00B004EE" w:rsidRDefault="0049647F" w:rsidP="00B004EE">
      <w:pPr>
        <w:pStyle w:val="Corpsdetexte"/>
        <w:spacing w:line="20" w:lineRule="atLeast"/>
        <w:rPr>
          <w:rFonts w:ascii="Tahoma" w:hAnsi="Tahoma" w:cs="Tahoma"/>
          <w:sz w:val="20"/>
          <w:szCs w:val="20"/>
        </w:rPr>
      </w:pPr>
      <w:r w:rsidRPr="00B004EE">
        <w:rPr>
          <w:rFonts w:ascii="Tahoma" w:hAnsi="Tahoma" w:cs="Tahoma"/>
          <w:sz w:val="20"/>
          <w:szCs w:val="20"/>
        </w:rPr>
        <w:t>Article 11 :</w:t>
      </w:r>
      <w:r w:rsidRPr="00B004EE">
        <w:rPr>
          <w:rFonts w:ascii="Tahoma" w:hAnsi="Tahoma" w:cs="Tahoma"/>
          <w:b/>
          <w:bCs/>
          <w:sz w:val="20"/>
          <w:szCs w:val="20"/>
        </w:rPr>
        <w:t xml:space="preserve"> </w:t>
      </w:r>
      <w:r w:rsidRPr="00B004EE">
        <w:rPr>
          <w:rFonts w:ascii="Tahoma" w:hAnsi="Tahoma" w:cs="Tahoma"/>
          <w:sz w:val="20"/>
          <w:szCs w:val="20"/>
        </w:rPr>
        <w:t>Font partie du domaine public hydraulique artificiel de l'Etat, lorsqu'ils ont été réalisés par celui-ci et pour son compte, les aménagements et équipements, énumérés ci-après, ainsi que les ouvrages· annexes, dans la limite des terrains occupés :</w:t>
      </w:r>
    </w:p>
    <w:p w14:paraId="25D4230F" w14:textId="77777777" w:rsidR="0049647F" w:rsidRPr="00B004EE" w:rsidRDefault="0049647F" w:rsidP="00420DDA">
      <w:pPr>
        <w:pStyle w:val="Paragraphedeliste"/>
        <w:widowControl w:val="0"/>
        <w:numPr>
          <w:ilvl w:val="0"/>
          <w:numId w:val="111"/>
        </w:numPr>
        <w:tabs>
          <w:tab w:val="left" w:pos="1760"/>
        </w:tabs>
        <w:spacing w:line="20" w:lineRule="atLeast"/>
        <w:ind w:left="567" w:right="361" w:hanging="425"/>
        <w:jc w:val="both"/>
        <w:rPr>
          <w:rFonts w:ascii="Tahoma" w:hAnsi="Tahoma" w:cs="Tahoma"/>
          <w:sz w:val="20"/>
          <w:szCs w:val="20"/>
        </w:rPr>
      </w:pPr>
      <w:proofErr w:type="gramStart"/>
      <w:r w:rsidRPr="00B004EE">
        <w:rPr>
          <w:rFonts w:ascii="Tahoma" w:hAnsi="Tahoma" w:cs="Tahoma"/>
          <w:sz w:val="20"/>
          <w:szCs w:val="20"/>
        </w:rPr>
        <w:t>les</w:t>
      </w:r>
      <w:proofErr w:type="gramEnd"/>
      <w:r w:rsidRPr="00B004EE">
        <w:rPr>
          <w:rFonts w:ascii="Tahoma" w:hAnsi="Tahoma" w:cs="Tahoma"/>
          <w:sz w:val="20"/>
          <w:szCs w:val="20"/>
        </w:rPr>
        <w:t xml:space="preserve"> ouvrages exécutés pour faciliter la retenue ou le stockage des eaux ;</w:t>
      </w:r>
    </w:p>
    <w:p w14:paraId="5651B769" w14:textId="77777777" w:rsidR="0049647F" w:rsidRPr="00B004EE" w:rsidRDefault="0049647F" w:rsidP="00420DDA">
      <w:pPr>
        <w:pStyle w:val="Paragraphedeliste"/>
        <w:widowControl w:val="0"/>
        <w:numPr>
          <w:ilvl w:val="0"/>
          <w:numId w:val="111"/>
        </w:numPr>
        <w:tabs>
          <w:tab w:val="left" w:pos="1760"/>
        </w:tabs>
        <w:spacing w:line="20" w:lineRule="atLeast"/>
        <w:ind w:left="567" w:right="361" w:hanging="425"/>
        <w:jc w:val="both"/>
        <w:rPr>
          <w:rFonts w:ascii="Tahoma" w:hAnsi="Tahoma" w:cs="Tahoma"/>
          <w:sz w:val="20"/>
          <w:szCs w:val="20"/>
        </w:rPr>
      </w:pPr>
      <w:proofErr w:type="gramStart"/>
      <w:r w:rsidRPr="00B004EE">
        <w:rPr>
          <w:rFonts w:ascii="Tahoma" w:hAnsi="Tahoma" w:cs="Tahoma"/>
          <w:sz w:val="20"/>
          <w:szCs w:val="20"/>
        </w:rPr>
        <w:t>les</w:t>
      </w:r>
      <w:proofErr w:type="gramEnd"/>
      <w:r w:rsidRPr="00B004EE">
        <w:rPr>
          <w:rFonts w:ascii="Tahoma" w:hAnsi="Tahoma" w:cs="Tahoma"/>
          <w:sz w:val="20"/>
          <w:szCs w:val="20"/>
        </w:rPr>
        <w:t xml:space="preserve"> canaux de navigation et leurs dépendances;</w:t>
      </w:r>
    </w:p>
    <w:p w14:paraId="17F6237E" w14:textId="77777777" w:rsidR="0049647F" w:rsidRPr="00B004EE" w:rsidRDefault="0049647F" w:rsidP="00420DDA">
      <w:pPr>
        <w:pStyle w:val="Paragraphedeliste"/>
        <w:widowControl w:val="0"/>
        <w:numPr>
          <w:ilvl w:val="0"/>
          <w:numId w:val="111"/>
        </w:numPr>
        <w:tabs>
          <w:tab w:val="left" w:pos="1760"/>
        </w:tabs>
        <w:spacing w:line="20" w:lineRule="atLeast"/>
        <w:ind w:left="567" w:right="361" w:hanging="425"/>
        <w:jc w:val="both"/>
        <w:rPr>
          <w:rFonts w:ascii="Tahoma" w:hAnsi="Tahoma" w:cs="Tahoma"/>
          <w:sz w:val="20"/>
          <w:szCs w:val="20"/>
        </w:rPr>
      </w:pPr>
      <w:proofErr w:type="gramStart"/>
      <w:r w:rsidRPr="00B004EE">
        <w:rPr>
          <w:rFonts w:ascii="Tahoma" w:hAnsi="Tahoma" w:cs="Tahoma"/>
          <w:sz w:val="20"/>
          <w:szCs w:val="20"/>
        </w:rPr>
        <w:t>les</w:t>
      </w:r>
      <w:proofErr w:type="gramEnd"/>
      <w:r w:rsidRPr="00B004EE">
        <w:rPr>
          <w:rFonts w:ascii="Tahoma" w:hAnsi="Tahoma" w:cs="Tahoma"/>
          <w:sz w:val="20"/>
          <w:szCs w:val="20"/>
        </w:rPr>
        <w:t xml:space="preserve"> ports fluviaux et leurs dépendances ;</w:t>
      </w:r>
    </w:p>
    <w:p w14:paraId="58BC6546" w14:textId="77777777" w:rsidR="0049647F" w:rsidRPr="00B004EE" w:rsidRDefault="0049647F" w:rsidP="00420DDA">
      <w:pPr>
        <w:pStyle w:val="Paragraphedeliste"/>
        <w:widowControl w:val="0"/>
        <w:numPr>
          <w:ilvl w:val="0"/>
          <w:numId w:val="111"/>
        </w:numPr>
        <w:tabs>
          <w:tab w:val="left" w:pos="1760"/>
        </w:tabs>
        <w:spacing w:line="20" w:lineRule="atLeast"/>
        <w:ind w:left="567" w:right="361" w:hanging="425"/>
        <w:jc w:val="both"/>
        <w:rPr>
          <w:rFonts w:ascii="Tahoma" w:hAnsi="Tahoma" w:cs="Tahoma"/>
          <w:sz w:val="20"/>
          <w:szCs w:val="20"/>
        </w:rPr>
      </w:pPr>
      <w:proofErr w:type="gramStart"/>
      <w:r w:rsidRPr="00B004EE">
        <w:rPr>
          <w:rFonts w:ascii="Tahoma" w:hAnsi="Tahoma" w:cs="Tahoma"/>
          <w:sz w:val="20"/>
          <w:szCs w:val="20"/>
        </w:rPr>
        <w:lastRenderedPageBreak/>
        <w:t>les</w:t>
      </w:r>
      <w:proofErr w:type="gramEnd"/>
      <w:r w:rsidRPr="00B004EE">
        <w:rPr>
          <w:rFonts w:ascii="Tahoma" w:hAnsi="Tahoma" w:cs="Tahoma"/>
          <w:sz w:val="20"/>
          <w:szCs w:val="20"/>
        </w:rPr>
        <w:t xml:space="preserve"> ouvrages hydrauliques destinés au captage en vue de l'adduction en eau potable et au transport des eaux usées ainsi que leurs dépendances ;</w:t>
      </w:r>
    </w:p>
    <w:p w14:paraId="4E8619BA" w14:textId="77777777" w:rsidR="0049647F" w:rsidRPr="00B004EE" w:rsidRDefault="0049647F" w:rsidP="00420DDA">
      <w:pPr>
        <w:pStyle w:val="Paragraphedeliste"/>
        <w:widowControl w:val="0"/>
        <w:numPr>
          <w:ilvl w:val="0"/>
          <w:numId w:val="111"/>
        </w:numPr>
        <w:tabs>
          <w:tab w:val="left" w:pos="1760"/>
        </w:tabs>
        <w:spacing w:line="20" w:lineRule="atLeast"/>
        <w:ind w:left="567" w:right="361" w:hanging="425"/>
        <w:jc w:val="both"/>
        <w:rPr>
          <w:rFonts w:ascii="Tahoma" w:hAnsi="Tahoma" w:cs="Tahoma"/>
          <w:sz w:val="20"/>
          <w:szCs w:val="20"/>
        </w:rPr>
      </w:pPr>
      <w:bookmarkStart w:id="7" w:name="293.gif"/>
      <w:bookmarkEnd w:id="7"/>
      <w:proofErr w:type="gramStart"/>
      <w:r w:rsidRPr="00B004EE">
        <w:rPr>
          <w:rFonts w:ascii="Tahoma" w:hAnsi="Tahoma" w:cs="Tahoma"/>
          <w:sz w:val="20"/>
          <w:szCs w:val="20"/>
        </w:rPr>
        <w:t>les</w:t>
      </w:r>
      <w:proofErr w:type="gramEnd"/>
      <w:r w:rsidRPr="00B004EE">
        <w:rPr>
          <w:rFonts w:ascii="Tahoma" w:hAnsi="Tahoma" w:cs="Tahoma"/>
          <w:sz w:val="20"/>
          <w:szCs w:val="20"/>
        </w:rPr>
        <w:t xml:space="preserve"> ouvrages hydrauliques destinés à l'irrigation et au drainage ainsi que leurs dépendances;</w:t>
      </w:r>
    </w:p>
    <w:p w14:paraId="0995D29C" w14:textId="77777777" w:rsidR="0049647F" w:rsidRPr="00B004EE" w:rsidRDefault="0049647F" w:rsidP="00420DDA">
      <w:pPr>
        <w:pStyle w:val="Paragraphedeliste"/>
        <w:widowControl w:val="0"/>
        <w:numPr>
          <w:ilvl w:val="0"/>
          <w:numId w:val="111"/>
        </w:numPr>
        <w:tabs>
          <w:tab w:val="left" w:pos="1760"/>
        </w:tabs>
        <w:spacing w:line="20" w:lineRule="atLeast"/>
        <w:ind w:left="567" w:right="361" w:hanging="425"/>
        <w:jc w:val="both"/>
        <w:rPr>
          <w:rFonts w:ascii="Tahoma" w:hAnsi="Tahoma" w:cs="Tahoma"/>
          <w:sz w:val="20"/>
          <w:szCs w:val="20"/>
        </w:rPr>
      </w:pPr>
      <w:proofErr w:type="gramStart"/>
      <w:r w:rsidRPr="00B004EE">
        <w:rPr>
          <w:rFonts w:ascii="Tahoma" w:hAnsi="Tahoma" w:cs="Tahoma"/>
          <w:sz w:val="20"/>
          <w:szCs w:val="20"/>
        </w:rPr>
        <w:t>les</w:t>
      </w:r>
      <w:proofErr w:type="gramEnd"/>
      <w:r w:rsidRPr="00B004EE">
        <w:rPr>
          <w:rFonts w:ascii="Tahoma" w:hAnsi="Tahoma" w:cs="Tahoma"/>
          <w:sz w:val="20"/>
          <w:szCs w:val="20"/>
        </w:rPr>
        <w:t xml:space="preserve"> périmètres de protection immédiate des captages d'eau destinée à la consommation humaine mentionnés à l'article 40 ci-dessous ;</w:t>
      </w:r>
    </w:p>
    <w:p w14:paraId="53BD5C93" w14:textId="77777777" w:rsidR="0049647F" w:rsidRPr="00B004EE" w:rsidRDefault="0049647F" w:rsidP="00420DDA">
      <w:pPr>
        <w:pStyle w:val="Paragraphedeliste"/>
        <w:widowControl w:val="0"/>
        <w:numPr>
          <w:ilvl w:val="0"/>
          <w:numId w:val="111"/>
        </w:numPr>
        <w:tabs>
          <w:tab w:val="left" w:pos="1760"/>
        </w:tabs>
        <w:spacing w:line="20" w:lineRule="atLeast"/>
        <w:ind w:left="567" w:right="361" w:hanging="425"/>
        <w:jc w:val="both"/>
        <w:rPr>
          <w:rFonts w:ascii="Tahoma" w:hAnsi="Tahoma" w:cs="Tahoma"/>
          <w:sz w:val="20"/>
          <w:szCs w:val="20"/>
        </w:rPr>
      </w:pPr>
      <w:proofErr w:type="gramStart"/>
      <w:r w:rsidRPr="00B004EE">
        <w:rPr>
          <w:rFonts w:ascii="Tahoma" w:hAnsi="Tahoma" w:cs="Tahoma"/>
          <w:sz w:val="20"/>
          <w:szCs w:val="20"/>
        </w:rPr>
        <w:t>les</w:t>
      </w:r>
      <w:proofErr w:type="gramEnd"/>
      <w:r w:rsidRPr="00B004EE">
        <w:rPr>
          <w:rFonts w:ascii="Tahoma" w:hAnsi="Tahoma" w:cs="Tahoma"/>
          <w:sz w:val="20"/>
          <w:szCs w:val="20"/>
        </w:rPr>
        <w:t xml:space="preserve"> ouvrages de mise en valeur des forces hydrauliques;</w:t>
      </w:r>
    </w:p>
    <w:p w14:paraId="22954C32" w14:textId="77777777" w:rsidR="0049647F" w:rsidRPr="00B004EE" w:rsidRDefault="0049647F" w:rsidP="00420DDA">
      <w:pPr>
        <w:pStyle w:val="Paragraphedeliste"/>
        <w:widowControl w:val="0"/>
        <w:numPr>
          <w:ilvl w:val="0"/>
          <w:numId w:val="111"/>
        </w:numPr>
        <w:tabs>
          <w:tab w:val="left" w:pos="1760"/>
        </w:tabs>
        <w:spacing w:line="20" w:lineRule="atLeast"/>
        <w:ind w:left="567" w:right="361" w:hanging="425"/>
        <w:jc w:val="both"/>
        <w:rPr>
          <w:rFonts w:ascii="Tahoma" w:hAnsi="Tahoma" w:cs="Tahoma"/>
          <w:sz w:val="20"/>
          <w:szCs w:val="20"/>
        </w:rPr>
      </w:pPr>
      <w:proofErr w:type="gramStart"/>
      <w:r w:rsidRPr="00B004EE">
        <w:rPr>
          <w:rFonts w:ascii="Tahoma" w:hAnsi="Tahoma" w:cs="Tahoma"/>
          <w:sz w:val="20"/>
          <w:szCs w:val="20"/>
        </w:rPr>
        <w:t>les</w:t>
      </w:r>
      <w:proofErr w:type="gramEnd"/>
      <w:r w:rsidRPr="00B004EE">
        <w:rPr>
          <w:rFonts w:ascii="Tahoma" w:hAnsi="Tahoma" w:cs="Tahoma"/>
          <w:sz w:val="20"/>
          <w:szCs w:val="20"/>
        </w:rPr>
        <w:t xml:space="preserve"> ouvrages de défense contre les eaux et leurs dépendances ou de maîtrise de ces eaux.</w:t>
      </w:r>
    </w:p>
    <w:p w14:paraId="5498D701" w14:textId="77777777" w:rsidR="0049647F" w:rsidRPr="00B004EE" w:rsidRDefault="0049647F" w:rsidP="00B004EE">
      <w:pPr>
        <w:tabs>
          <w:tab w:val="left" w:pos="1760"/>
        </w:tabs>
        <w:spacing w:line="20" w:lineRule="atLeast"/>
        <w:ind w:right="361"/>
        <w:jc w:val="both"/>
        <w:rPr>
          <w:rFonts w:ascii="Tahoma" w:hAnsi="Tahoma" w:cs="Tahoma"/>
          <w:sz w:val="20"/>
          <w:szCs w:val="20"/>
        </w:rPr>
      </w:pPr>
    </w:p>
    <w:p w14:paraId="067D2E17" w14:textId="77777777" w:rsidR="0049647F" w:rsidRPr="00B004EE" w:rsidRDefault="0049647F" w:rsidP="00B004EE">
      <w:pPr>
        <w:spacing w:line="20" w:lineRule="atLeast"/>
        <w:jc w:val="center"/>
        <w:rPr>
          <w:rFonts w:ascii="Tahoma" w:eastAsia="American Typewriter" w:hAnsi="Tahoma" w:cs="Tahoma"/>
          <w:b/>
          <w:bCs/>
          <w:sz w:val="20"/>
          <w:szCs w:val="20"/>
        </w:rPr>
      </w:pPr>
      <w:r w:rsidRPr="00B004EE">
        <w:rPr>
          <w:rFonts w:ascii="Tahoma" w:eastAsia="American Typewriter" w:hAnsi="Tahoma" w:cs="Tahoma"/>
          <w:b/>
          <w:bCs/>
          <w:sz w:val="20"/>
          <w:szCs w:val="20"/>
        </w:rPr>
        <w:t>Sous-section 3 - Domaine public hydraulique artificiel des collectivités locales</w:t>
      </w:r>
    </w:p>
    <w:p w14:paraId="0B5DCAFA" w14:textId="77777777" w:rsidR="0049647F" w:rsidRPr="00B004EE" w:rsidRDefault="0049647F" w:rsidP="00B004EE">
      <w:pPr>
        <w:spacing w:line="20" w:lineRule="atLeast"/>
        <w:jc w:val="both"/>
        <w:rPr>
          <w:rFonts w:ascii="Tahoma" w:hAnsi="Tahoma" w:cs="Tahoma"/>
          <w:b/>
          <w:bCs/>
          <w:sz w:val="20"/>
          <w:szCs w:val="20"/>
        </w:rPr>
      </w:pPr>
    </w:p>
    <w:p w14:paraId="28408927"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 12 :</w:t>
      </w:r>
      <w:r w:rsidRPr="00B004EE">
        <w:rPr>
          <w:rFonts w:ascii="Tahoma" w:hAnsi="Tahoma" w:cs="Tahoma"/>
          <w:b/>
          <w:bCs/>
          <w:sz w:val="20"/>
          <w:szCs w:val="20"/>
        </w:rPr>
        <w:t xml:space="preserve"> </w:t>
      </w:r>
      <w:r w:rsidRPr="00B004EE">
        <w:rPr>
          <w:rFonts w:ascii="Tahoma" w:hAnsi="Tahoma" w:cs="Tahoma"/>
          <w:sz w:val="20"/>
          <w:szCs w:val="20"/>
        </w:rPr>
        <w:t>Font partie du domaine public hydraulique</w:t>
      </w:r>
      <w:r w:rsidRPr="00B004EE">
        <w:rPr>
          <w:rFonts w:ascii="Tahoma" w:hAnsi="Tahoma" w:cs="Tahoma"/>
          <w:sz w:val="20"/>
          <w:szCs w:val="20"/>
        </w:rPr>
        <w:tab/>
        <w:t>artificiel des collectivités</w:t>
      </w:r>
      <w:r w:rsidRPr="00B004EE">
        <w:rPr>
          <w:rFonts w:ascii="Tahoma" w:hAnsi="Tahoma" w:cs="Tahoma"/>
          <w:w w:val="87"/>
          <w:sz w:val="20"/>
          <w:szCs w:val="20"/>
        </w:rPr>
        <w:t xml:space="preserve"> </w:t>
      </w:r>
      <w:r w:rsidRPr="00B004EE">
        <w:rPr>
          <w:rFonts w:ascii="Tahoma" w:hAnsi="Tahoma" w:cs="Tahoma"/>
          <w:sz w:val="20"/>
          <w:szCs w:val="20"/>
        </w:rPr>
        <w:t>locales, dans la limite de l'occupation effective ·des terrains concernés, les aménagements et équipements destinés à l'alimentation en eau potable lorsqu'ils ont été acquis ou réalisés par les collectivités locales, directement ou par l'intermédiaire d'un maître d'ouvrage délégué, ou qu'ils leur ont été transférés par l'Etat.</w:t>
      </w:r>
    </w:p>
    <w:p w14:paraId="4EDA56B6" w14:textId="77777777" w:rsidR="0049647F" w:rsidRPr="00B004EE" w:rsidRDefault="0049647F" w:rsidP="00B004EE">
      <w:pPr>
        <w:spacing w:line="20" w:lineRule="atLeast"/>
        <w:ind w:right="50"/>
        <w:jc w:val="both"/>
        <w:rPr>
          <w:rFonts w:ascii="Tahoma" w:eastAsia="Arial Narrow" w:hAnsi="Tahoma" w:cs="Tahoma"/>
          <w:w w:val="180"/>
          <w:sz w:val="20"/>
          <w:szCs w:val="20"/>
        </w:rPr>
      </w:pPr>
    </w:p>
    <w:p w14:paraId="293D7124" w14:textId="77777777" w:rsidR="0049647F" w:rsidRPr="00B004EE" w:rsidRDefault="0049647F" w:rsidP="00B004EE">
      <w:pPr>
        <w:spacing w:line="20" w:lineRule="atLeast"/>
        <w:ind w:right="50"/>
        <w:jc w:val="center"/>
        <w:rPr>
          <w:rFonts w:ascii="Tahoma" w:eastAsia="American Typewriter" w:hAnsi="Tahoma" w:cs="Tahoma"/>
          <w:b/>
          <w:bCs/>
          <w:sz w:val="20"/>
          <w:szCs w:val="20"/>
        </w:rPr>
      </w:pPr>
      <w:r w:rsidRPr="00B004EE">
        <w:rPr>
          <w:rFonts w:ascii="Tahoma" w:eastAsia="American Typewriter" w:hAnsi="Tahoma" w:cs="Tahoma"/>
          <w:b/>
          <w:bCs/>
          <w:sz w:val="20"/>
          <w:szCs w:val="20"/>
        </w:rPr>
        <w:t>TITRE III-INSTITUTIONSDANSLE DOMAIN.E DE L'EAU</w:t>
      </w:r>
    </w:p>
    <w:p w14:paraId="352A3092" w14:textId="77777777" w:rsidR="0049647F" w:rsidRPr="00B004EE" w:rsidRDefault="0049647F" w:rsidP="00B004EE">
      <w:pPr>
        <w:spacing w:line="20" w:lineRule="atLeast"/>
        <w:ind w:right="50"/>
        <w:jc w:val="center"/>
        <w:rPr>
          <w:rFonts w:ascii="Tahoma" w:eastAsia="American Typewriter" w:hAnsi="Tahoma" w:cs="Tahoma"/>
          <w:b/>
          <w:bCs/>
          <w:sz w:val="20"/>
          <w:szCs w:val="20"/>
        </w:rPr>
      </w:pPr>
      <w:r w:rsidRPr="00B004EE">
        <w:rPr>
          <w:rFonts w:ascii="Tahoma" w:eastAsia="American Typewriter" w:hAnsi="Tahoma" w:cs="Tahoma"/>
          <w:b/>
          <w:bCs/>
          <w:sz w:val="20"/>
          <w:szCs w:val="20"/>
        </w:rPr>
        <w:t>Section 1 - Ministre chargé de l'eau</w:t>
      </w:r>
    </w:p>
    <w:p w14:paraId="2E961740" w14:textId="77777777" w:rsidR="0049647F" w:rsidRPr="00B004EE" w:rsidRDefault="0049647F" w:rsidP="00B004EE">
      <w:pPr>
        <w:spacing w:line="20" w:lineRule="atLeast"/>
        <w:ind w:right="50" w:firstLine="20"/>
        <w:jc w:val="both"/>
        <w:rPr>
          <w:rFonts w:ascii="Tahoma" w:hAnsi="Tahoma" w:cs="Tahoma"/>
          <w:b/>
          <w:bCs/>
          <w:spacing w:val="12"/>
          <w:w w:val="114"/>
          <w:sz w:val="20"/>
          <w:szCs w:val="20"/>
        </w:rPr>
      </w:pPr>
    </w:p>
    <w:p w14:paraId="4F06AD4B" w14:textId="77777777" w:rsidR="0049647F" w:rsidRPr="00B004EE" w:rsidRDefault="0049647F" w:rsidP="00B004EE">
      <w:pPr>
        <w:spacing w:line="20" w:lineRule="atLeast"/>
        <w:ind w:right="50" w:firstLine="20"/>
        <w:jc w:val="both"/>
        <w:rPr>
          <w:rFonts w:ascii="Tahoma" w:hAnsi="Tahoma" w:cs="Tahoma"/>
          <w:sz w:val="20"/>
          <w:szCs w:val="20"/>
        </w:rPr>
      </w:pPr>
      <w:r w:rsidRPr="00B004EE">
        <w:rPr>
          <w:rFonts w:ascii="Tahoma" w:hAnsi="Tahoma" w:cs="Tahoma"/>
          <w:sz w:val="20"/>
          <w:szCs w:val="20"/>
        </w:rPr>
        <w:t>Article 13 :</w:t>
      </w:r>
      <w:r w:rsidRPr="00B004EE">
        <w:rPr>
          <w:rFonts w:ascii="Tahoma" w:hAnsi="Tahoma" w:cs="Tahoma"/>
          <w:b/>
          <w:bCs/>
          <w:sz w:val="20"/>
          <w:szCs w:val="20"/>
        </w:rPr>
        <w:t xml:space="preserve"> </w:t>
      </w:r>
      <w:r w:rsidRPr="00B004EE">
        <w:rPr>
          <w:rFonts w:ascii="Tahoma" w:hAnsi="Tahoma" w:cs="Tahoma"/>
          <w:sz w:val="20"/>
          <w:szCs w:val="20"/>
        </w:rPr>
        <w:t>Le ministre chargé de l'eau définit et met en œuvre la politique nationale dans le secteur de l'eau, dans le respect des dispositions du présent code, en concertation avec les départements ministériels et institutions concernés.</w:t>
      </w:r>
    </w:p>
    <w:p w14:paraId="4E32F52E" w14:textId="77777777" w:rsidR="0049647F" w:rsidRPr="00B004EE" w:rsidRDefault="0049647F" w:rsidP="00B004EE">
      <w:pPr>
        <w:spacing w:line="20" w:lineRule="atLeast"/>
        <w:ind w:right="50" w:firstLine="20"/>
        <w:jc w:val="both"/>
        <w:rPr>
          <w:rFonts w:ascii="Tahoma" w:hAnsi="Tahoma" w:cs="Tahoma"/>
          <w:sz w:val="20"/>
          <w:szCs w:val="20"/>
        </w:rPr>
      </w:pPr>
      <w:r w:rsidRPr="00B004EE">
        <w:rPr>
          <w:rFonts w:ascii="Tahoma" w:hAnsi="Tahoma" w:cs="Tahoma"/>
          <w:sz w:val="20"/>
          <w:szCs w:val="20"/>
        </w:rPr>
        <w:t>Dans ce cadre, il assure notamment le suivi et le contrôle de l'approvisionnement régulier des populations en eau potable et veille à la continuité du service public d'eau potable.</w:t>
      </w:r>
    </w:p>
    <w:p w14:paraId="13F4C4DF" w14:textId="77777777" w:rsidR="0049647F" w:rsidRPr="00B004EE" w:rsidRDefault="0049647F" w:rsidP="00B004EE">
      <w:pPr>
        <w:ind w:right="50"/>
        <w:jc w:val="both"/>
        <w:rPr>
          <w:rFonts w:ascii="Tahoma" w:hAnsi="Tahoma" w:cs="Tahoma"/>
          <w:sz w:val="20"/>
          <w:szCs w:val="20"/>
        </w:rPr>
      </w:pPr>
      <w:r w:rsidRPr="00B004EE">
        <w:rPr>
          <w:rFonts w:ascii="Tahoma" w:hAnsi="Tahoma" w:cs="Tahoma"/>
          <w:sz w:val="20"/>
          <w:szCs w:val="20"/>
        </w:rPr>
        <w:t>Le ministre chargé de l'eau représente la République islamique de Mauritanie auprès des organisations intergouvernementales à caractère international et régional, spécialisées dans les questions relatives à l'eau et favorise la coopération internationale et régionale.</w:t>
      </w:r>
    </w:p>
    <w:p w14:paraId="30316CB7" w14:textId="77777777" w:rsidR="0049647F" w:rsidRPr="00B004EE" w:rsidRDefault="0049647F" w:rsidP="00B004EE">
      <w:pPr>
        <w:ind w:right="50"/>
        <w:jc w:val="both"/>
        <w:rPr>
          <w:rFonts w:ascii="Tahoma" w:hAnsi="Tahoma" w:cs="Tahoma"/>
          <w:sz w:val="20"/>
          <w:szCs w:val="20"/>
        </w:rPr>
      </w:pPr>
      <w:r w:rsidRPr="00B004EE">
        <w:rPr>
          <w:rFonts w:ascii="Tahoma" w:hAnsi="Tahoma" w:cs="Tahoma"/>
          <w:sz w:val="20"/>
          <w:szCs w:val="20"/>
        </w:rPr>
        <w:t>Il veille à l'exécution des accords conventions et traités internationaux ou régionaux relatifs à l'eau, auxquels la République Islamique de Mauritanie est partie.</w:t>
      </w:r>
    </w:p>
    <w:p w14:paraId="732469D1" w14:textId="77777777" w:rsidR="0049647F" w:rsidRPr="00B004EE" w:rsidRDefault="0049647F" w:rsidP="00B004EE">
      <w:pPr>
        <w:ind w:right="50"/>
        <w:jc w:val="both"/>
        <w:rPr>
          <w:rFonts w:ascii="Tahoma" w:hAnsi="Tahoma" w:cs="Tahoma"/>
          <w:sz w:val="20"/>
          <w:szCs w:val="20"/>
        </w:rPr>
      </w:pPr>
      <w:r w:rsidRPr="00B004EE">
        <w:rPr>
          <w:rFonts w:ascii="Tahoma" w:hAnsi="Tahoma" w:cs="Tahoma"/>
          <w:sz w:val="20"/>
          <w:szCs w:val="20"/>
        </w:rPr>
        <w:t>Les attributions du ministre chargé de l'eau sont précisées par décret.</w:t>
      </w:r>
    </w:p>
    <w:p w14:paraId="56FC5FC0" w14:textId="77777777" w:rsidR="0049647F" w:rsidRPr="00B004EE" w:rsidRDefault="0049647F" w:rsidP="00B004EE">
      <w:pPr>
        <w:ind w:right="50"/>
        <w:jc w:val="both"/>
        <w:rPr>
          <w:rFonts w:ascii="Tahoma" w:hAnsi="Tahoma" w:cs="Tahoma"/>
          <w:sz w:val="20"/>
          <w:szCs w:val="20"/>
        </w:rPr>
      </w:pPr>
    </w:p>
    <w:p w14:paraId="2AF22716" w14:textId="77777777" w:rsidR="0049647F" w:rsidRPr="00B004EE" w:rsidRDefault="0049647F" w:rsidP="00B004EE">
      <w:pPr>
        <w:ind w:right="50"/>
        <w:jc w:val="both"/>
        <w:rPr>
          <w:rFonts w:ascii="Tahoma" w:hAnsi="Tahoma" w:cs="Tahoma"/>
          <w:sz w:val="20"/>
          <w:szCs w:val="20"/>
        </w:rPr>
      </w:pPr>
      <w:r w:rsidRPr="00B004EE">
        <w:rPr>
          <w:rFonts w:ascii="Tahoma" w:hAnsi="Tahoma" w:cs="Tahoma"/>
          <w:sz w:val="20"/>
          <w:szCs w:val="20"/>
        </w:rPr>
        <w:t>Article 14 : Le ministre chargé de l'eau assure l'organisation générale et permanente des réseaux de collecte·, traitement et exploitation des mesures et données sur l'eau qui portent sur les aspects quantitatifs et qualitatifs des eaux superficielles et des eaux souterraines.</w:t>
      </w:r>
    </w:p>
    <w:p w14:paraId="26D244C5" w14:textId="77777777" w:rsidR="0049647F" w:rsidRPr="00B004EE" w:rsidRDefault="0049647F" w:rsidP="00B004EE">
      <w:pPr>
        <w:ind w:right="50"/>
        <w:jc w:val="both"/>
        <w:rPr>
          <w:rFonts w:ascii="Tahoma" w:hAnsi="Tahoma" w:cs="Tahoma"/>
          <w:sz w:val="20"/>
          <w:szCs w:val="20"/>
        </w:rPr>
      </w:pPr>
    </w:p>
    <w:p w14:paraId="6BA501DF" w14:textId="77777777" w:rsidR="0049647F" w:rsidRPr="00B004EE" w:rsidRDefault="0049647F" w:rsidP="00B004EE">
      <w:pPr>
        <w:ind w:right="50"/>
        <w:jc w:val="both"/>
        <w:rPr>
          <w:rFonts w:ascii="Tahoma" w:hAnsi="Tahoma" w:cs="Tahoma"/>
          <w:sz w:val="20"/>
          <w:szCs w:val="20"/>
        </w:rPr>
      </w:pPr>
      <w:r w:rsidRPr="00B004EE">
        <w:rPr>
          <w:rFonts w:ascii="Tahoma" w:hAnsi="Tahoma" w:cs="Tahoma"/>
          <w:sz w:val="20"/>
          <w:szCs w:val="20"/>
        </w:rPr>
        <w:t>Il assure le suivi global et à long terme de l'évaluation des ressources en eau par l'intermédiaire du réseau primaire de collecte des mesures et données sur l'eau, constitué des points de surveillance permanente répartis sur le territoire national.</w:t>
      </w:r>
    </w:p>
    <w:p w14:paraId="3445ACB7" w14:textId="77777777" w:rsidR="0049647F" w:rsidRPr="00B004EE" w:rsidRDefault="0049647F" w:rsidP="00B004EE">
      <w:pPr>
        <w:ind w:right="50"/>
        <w:jc w:val="both"/>
        <w:rPr>
          <w:rFonts w:ascii="Tahoma" w:hAnsi="Tahoma" w:cs="Tahoma"/>
          <w:sz w:val="20"/>
          <w:szCs w:val="20"/>
        </w:rPr>
      </w:pPr>
    </w:p>
    <w:p w14:paraId="6FFFC71D" w14:textId="77777777" w:rsidR="0049647F" w:rsidRPr="00B004EE" w:rsidRDefault="0049647F" w:rsidP="00B004EE">
      <w:pPr>
        <w:ind w:right="50"/>
        <w:jc w:val="both"/>
        <w:rPr>
          <w:rFonts w:ascii="Tahoma" w:hAnsi="Tahoma" w:cs="Tahoma"/>
          <w:sz w:val="20"/>
          <w:szCs w:val="20"/>
        </w:rPr>
      </w:pPr>
      <w:r w:rsidRPr="00B004EE">
        <w:rPr>
          <w:rFonts w:ascii="Tahoma" w:hAnsi="Tahoma" w:cs="Tahoma"/>
          <w:sz w:val="20"/>
          <w:szCs w:val="20"/>
        </w:rPr>
        <w:t>Il établit un registre national des eaux à partir des évaluations et comptages fournis par les titulaires d'autorisation ou de concession sur les quantités d'eau prélevées et les quantités de pollution rejetées.</w:t>
      </w:r>
    </w:p>
    <w:p w14:paraId="42868D2F" w14:textId="77777777" w:rsidR="0049647F" w:rsidRPr="00B004EE" w:rsidRDefault="0049647F" w:rsidP="00B004EE">
      <w:pPr>
        <w:ind w:right="50"/>
        <w:jc w:val="both"/>
        <w:rPr>
          <w:rFonts w:ascii="Tahoma" w:hAnsi="Tahoma" w:cs="Tahoma"/>
          <w:sz w:val="20"/>
          <w:szCs w:val="20"/>
        </w:rPr>
      </w:pPr>
    </w:p>
    <w:p w14:paraId="3EE32269" w14:textId="77777777" w:rsidR="0049647F" w:rsidRPr="00B004EE" w:rsidRDefault="0049647F" w:rsidP="00B004EE">
      <w:pPr>
        <w:ind w:right="50"/>
        <w:jc w:val="both"/>
        <w:rPr>
          <w:rFonts w:ascii="Tahoma" w:hAnsi="Tahoma" w:cs="Tahoma"/>
          <w:sz w:val="20"/>
          <w:szCs w:val="20"/>
        </w:rPr>
      </w:pPr>
      <w:r w:rsidRPr="00B004EE">
        <w:rPr>
          <w:rFonts w:ascii="Tahoma" w:hAnsi="Tahoma" w:cs="Tahoma"/>
          <w:sz w:val="20"/>
          <w:szCs w:val="20"/>
        </w:rPr>
        <w:t>Il réalise un inventaire périodique du degré de pollution des eaux superficielles et souterraines.</w:t>
      </w:r>
    </w:p>
    <w:p w14:paraId="2AABE3EC" w14:textId="77777777" w:rsidR="0049647F" w:rsidRPr="00B004EE" w:rsidRDefault="0049647F" w:rsidP="00B004EE">
      <w:pPr>
        <w:ind w:right="50"/>
        <w:jc w:val="both"/>
        <w:rPr>
          <w:rFonts w:ascii="Tahoma" w:hAnsi="Tahoma" w:cs="Tahoma"/>
          <w:sz w:val="20"/>
          <w:szCs w:val="20"/>
        </w:rPr>
      </w:pPr>
    </w:p>
    <w:p w14:paraId="1F539D0B" w14:textId="77777777" w:rsidR="0049647F" w:rsidRPr="00B004EE" w:rsidRDefault="0049647F" w:rsidP="00B004EE">
      <w:pPr>
        <w:ind w:right="50"/>
        <w:jc w:val="both"/>
        <w:rPr>
          <w:rFonts w:ascii="Tahoma" w:hAnsi="Tahoma" w:cs="Tahoma"/>
          <w:sz w:val="20"/>
          <w:szCs w:val="20"/>
        </w:rPr>
      </w:pPr>
      <w:r w:rsidRPr="00B004EE">
        <w:rPr>
          <w:rFonts w:ascii="Tahoma" w:hAnsi="Tahoma" w:cs="Tahoma"/>
          <w:sz w:val="20"/>
          <w:szCs w:val="20"/>
        </w:rPr>
        <w:t>Article 15 : Le ministre chargé de l'eau élabore un plan directeur national d'aménagement et de gestion intégrée l'eau.</w:t>
      </w:r>
    </w:p>
    <w:p w14:paraId="65BC6D56" w14:textId="77777777" w:rsidR="0049647F" w:rsidRPr="00B004EE" w:rsidRDefault="0049647F" w:rsidP="00B004EE">
      <w:pPr>
        <w:spacing w:line="20" w:lineRule="atLeast"/>
        <w:ind w:right="50" w:firstLine="20"/>
        <w:jc w:val="both"/>
        <w:rPr>
          <w:rFonts w:ascii="Tahoma" w:hAnsi="Tahoma" w:cs="Tahoma"/>
          <w:sz w:val="20"/>
          <w:szCs w:val="20"/>
        </w:rPr>
      </w:pPr>
      <w:r w:rsidRPr="00B004EE">
        <w:rPr>
          <w:rFonts w:ascii="Tahoma" w:hAnsi="Tahoma" w:cs="Tahoma"/>
          <w:sz w:val="20"/>
          <w:szCs w:val="20"/>
        </w:rPr>
        <w:t>Le plan directeur national d'aménagement et de gestion de l'eau, établi à parti des résultats de l'inventaire mentionné à l’article 14 ci-dessus, vise à assurer la disponibilité des ressources en eau au regard des besoins constatés.</w:t>
      </w:r>
    </w:p>
    <w:p w14:paraId="08BB5AE1" w14:textId="77777777" w:rsidR="0049647F" w:rsidRPr="00B004EE" w:rsidRDefault="0049647F" w:rsidP="00B004EE">
      <w:pPr>
        <w:spacing w:line="20" w:lineRule="atLeast"/>
        <w:ind w:right="50"/>
        <w:jc w:val="both"/>
        <w:rPr>
          <w:rFonts w:ascii="Tahoma" w:hAnsi="Tahoma" w:cs="Tahoma"/>
          <w:sz w:val="20"/>
          <w:szCs w:val="20"/>
        </w:rPr>
      </w:pPr>
      <w:r w:rsidRPr="00B004EE">
        <w:rPr>
          <w:rFonts w:ascii="Tahoma" w:hAnsi="Tahoma" w:cs="Tahoma"/>
          <w:sz w:val="20"/>
          <w:szCs w:val="20"/>
        </w:rPr>
        <w:t>Il définit notamment :</w:t>
      </w:r>
    </w:p>
    <w:p w14:paraId="169A2D07" w14:textId="77777777" w:rsidR="0049647F" w:rsidRPr="00B004EE" w:rsidRDefault="0049647F" w:rsidP="00420DDA">
      <w:pPr>
        <w:pStyle w:val="Paragraphedeliste"/>
        <w:widowControl w:val="0"/>
        <w:numPr>
          <w:ilvl w:val="0"/>
          <w:numId w:val="103"/>
        </w:numPr>
        <w:spacing w:line="20" w:lineRule="atLeast"/>
        <w:ind w:left="567" w:right="50"/>
        <w:jc w:val="both"/>
        <w:rPr>
          <w:rFonts w:ascii="Tahoma" w:hAnsi="Tahoma" w:cs="Tahoma"/>
          <w:sz w:val="20"/>
          <w:szCs w:val="20"/>
        </w:rPr>
      </w:pPr>
      <w:proofErr w:type="gramStart"/>
      <w:r w:rsidRPr="00B004EE">
        <w:rPr>
          <w:rFonts w:ascii="Tahoma" w:hAnsi="Tahoma" w:cs="Tahoma"/>
          <w:sz w:val="20"/>
          <w:szCs w:val="20"/>
        </w:rPr>
        <w:t>la</w:t>
      </w:r>
      <w:proofErr w:type="gramEnd"/>
      <w:r w:rsidRPr="00B004EE">
        <w:rPr>
          <w:rFonts w:ascii="Tahoma" w:hAnsi="Tahoma" w:cs="Tahoma"/>
          <w:sz w:val="20"/>
          <w:szCs w:val="20"/>
        </w:rPr>
        <w:t xml:space="preserve"> programmation des opérations nationales nécessaires à la mobilisation et à la protection de la ressource en eau ;</w:t>
      </w:r>
    </w:p>
    <w:p w14:paraId="33BE1D5E" w14:textId="77777777" w:rsidR="0049647F" w:rsidRPr="00B004EE" w:rsidRDefault="0049647F" w:rsidP="00420DDA">
      <w:pPr>
        <w:pStyle w:val="Paragraphedeliste"/>
        <w:widowControl w:val="0"/>
        <w:numPr>
          <w:ilvl w:val="0"/>
          <w:numId w:val="103"/>
        </w:numPr>
        <w:spacing w:line="20" w:lineRule="atLeast"/>
        <w:ind w:left="567"/>
        <w:jc w:val="both"/>
        <w:rPr>
          <w:rFonts w:ascii="Tahoma" w:hAnsi="Tahoma" w:cs="Tahoma"/>
          <w:sz w:val="20"/>
          <w:szCs w:val="20"/>
        </w:rPr>
      </w:pPr>
      <w:proofErr w:type="gramStart"/>
      <w:r w:rsidRPr="00B004EE">
        <w:rPr>
          <w:rFonts w:ascii="Tahoma" w:hAnsi="Tahoma" w:cs="Tahoma"/>
          <w:sz w:val="20"/>
          <w:szCs w:val="20"/>
        </w:rPr>
        <w:t>le</w:t>
      </w:r>
      <w:proofErr w:type="gramEnd"/>
      <w:r w:rsidRPr="00B004EE">
        <w:rPr>
          <w:rFonts w:ascii="Tahoma" w:hAnsi="Tahoma" w:cs="Tahoma"/>
          <w:sz w:val="20"/>
          <w:szCs w:val="20"/>
        </w:rPr>
        <w:t xml:space="preserve"> classement des eaux superficielles ou souterraines en fonction des utilisations auxquelles elles sont destinées de façon préférentielle ;</w:t>
      </w:r>
    </w:p>
    <w:p w14:paraId="1F795EFD" w14:textId="77777777" w:rsidR="0049647F" w:rsidRPr="00B004EE" w:rsidRDefault="0049647F" w:rsidP="00420DDA">
      <w:pPr>
        <w:pStyle w:val="Paragraphedeliste"/>
        <w:widowControl w:val="0"/>
        <w:numPr>
          <w:ilvl w:val="0"/>
          <w:numId w:val="103"/>
        </w:numPr>
        <w:spacing w:line="20" w:lineRule="atLeast"/>
        <w:ind w:left="567"/>
        <w:jc w:val="both"/>
        <w:rPr>
          <w:rFonts w:ascii="Tahoma" w:hAnsi="Tahoma" w:cs="Tahoma"/>
          <w:sz w:val="20"/>
          <w:szCs w:val="20"/>
        </w:rPr>
      </w:pPr>
      <w:proofErr w:type="gramStart"/>
      <w:r w:rsidRPr="00B004EE">
        <w:rPr>
          <w:rFonts w:ascii="Tahoma" w:hAnsi="Tahoma" w:cs="Tahoma"/>
          <w:sz w:val="20"/>
          <w:szCs w:val="20"/>
        </w:rPr>
        <w:lastRenderedPageBreak/>
        <w:t>les</w:t>
      </w:r>
      <w:proofErr w:type="gramEnd"/>
      <w:r w:rsidRPr="00B004EE">
        <w:rPr>
          <w:rFonts w:ascii="Tahoma" w:hAnsi="Tahoma" w:cs="Tahoma"/>
          <w:sz w:val="20"/>
          <w:szCs w:val="20"/>
        </w:rPr>
        <w:t xml:space="preserve"> objectifs de quantité et de qualité ainsi que les mesures et délais appropriés pour les atteindre ;</w:t>
      </w:r>
    </w:p>
    <w:p w14:paraId="0E3DE076" w14:textId="77777777" w:rsidR="0049647F" w:rsidRPr="00B004EE" w:rsidRDefault="0049647F" w:rsidP="00420DDA">
      <w:pPr>
        <w:pStyle w:val="Paragraphedeliste"/>
        <w:widowControl w:val="0"/>
        <w:numPr>
          <w:ilvl w:val="0"/>
          <w:numId w:val="103"/>
        </w:numPr>
        <w:spacing w:line="20" w:lineRule="atLeast"/>
        <w:ind w:left="567"/>
        <w:jc w:val="both"/>
        <w:rPr>
          <w:rFonts w:ascii="Tahoma" w:hAnsi="Tahoma" w:cs="Tahoma"/>
          <w:sz w:val="20"/>
          <w:szCs w:val="20"/>
        </w:rPr>
      </w:pPr>
      <w:proofErr w:type="gramStart"/>
      <w:r w:rsidRPr="00B004EE">
        <w:rPr>
          <w:rFonts w:ascii="Tahoma" w:hAnsi="Tahoma" w:cs="Tahoma"/>
          <w:sz w:val="20"/>
          <w:szCs w:val="20"/>
        </w:rPr>
        <w:t>la</w:t>
      </w:r>
      <w:proofErr w:type="gramEnd"/>
      <w:r w:rsidRPr="00B004EE">
        <w:rPr>
          <w:rFonts w:ascii="Tahoma" w:hAnsi="Tahoma" w:cs="Tahoma"/>
          <w:sz w:val="20"/>
          <w:szCs w:val="20"/>
        </w:rPr>
        <w:t xml:space="preserve"> localisation de zones de sauvegarde de la ressource en eau mentionnées à l'article 32ci-dessous ;</w:t>
      </w:r>
    </w:p>
    <w:p w14:paraId="76D8CC75" w14:textId="77777777" w:rsidR="0049647F" w:rsidRPr="00B004EE" w:rsidRDefault="0049647F" w:rsidP="00420DDA">
      <w:pPr>
        <w:pStyle w:val="Paragraphedeliste"/>
        <w:widowControl w:val="0"/>
        <w:numPr>
          <w:ilvl w:val="0"/>
          <w:numId w:val="103"/>
        </w:numPr>
        <w:spacing w:line="20" w:lineRule="atLeast"/>
        <w:ind w:left="567"/>
        <w:jc w:val="both"/>
        <w:rPr>
          <w:rFonts w:ascii="Tahoma" w:hAnsi="Tahoma" w:cs="Tahoma"/>
          <w:sz w:val="20"/>
          <w:szCs w:val="20"/>
        </w:rPr>
      </w:pPr>
      <w:proofErr w:type="gramStart"/>
      <w:r w:rsidRPr="00B004EE">
        <w:rPr>
          <w:rFonts w:ascii="Tahoma" w:hAnsi="Tahoma" w:cs="Tahoma"/>
          <w:sz w:val="20"/>
          <w:szCs w:val="20"/>
        </w:rPr>
        <w:t>les</w:t>
      </w:r>
      <w:proofErr w:type="gramEnd"/>
      <w:r w:rsidRPr="00B004EE">
        <w:rPr>
          <w:rFonts w:ascii="Tahoma" w:hAnsi="Tahoma" w:cs="Tahoma"/>
          <w:sz w:val="20"/>
          <w:szCs w:val="20"/>
        </w:rPr>
        <w:t xml:space="preserve"> mesures d'accompagnement d'ordre réglementaire, institutionnel, économique et financier ainsi que de sensibilisation et d'éducation, nécessaire à sa mise en œuvre.</w:t>
      </w:r>
    </w:p>
    <w:p w14:paraId="76288A2E" w14:textId="77777777" w:rsidR="0049647F" w:rsidRPr="00B004EE" w:rsidRDefault="0049647F" w:rsidP="00B004EE">
      <w:pPr>
        <w:pStyle w:val="Corpsdetexte"/>
        <w:spacing w:line="20" w:lineRule="atLeast"/>
        <w:ind w:right="72" w:firstLine="20"/>
        <w:rPr>
          <w:rFonts w:ascii="Tahoma" w:hAnsi="Tahoma" w:cs="Tahoma"/>
          <w:sz w:val="20"/>
          <w:szCs w:val="20"/>
        </w:rPr>
      </w:pPr>
    </w:p>
    <w:p w14:paraId="0C49F349" w14:textId="77777777" w:rsidR="0049647F" w:rsidRPr="00B004EE" w:rsidRDefault="0049647F" w:rsidP="00B004EE">
      <w:pPr>
        <w:pStyle w:val="Corpsdetexte"/>
        <w:spacing w:line="20" w:lineRule="atLeast"/>
        <w:ind w:right="72" w:firstLine="20"/>
        <w:rPr>
          <w:rFonts w:ascii="Tahoma" w:hAnsi="Tahoma" w:cs="Tahoma"/>
          <w:sz w:val="20"/>
          <w:szCs w:val="20"/>
        </w:rPr>
      </w:pPr>
      <w:r w:rsidRPr="00B004EE">
        <w:rPr>
          <w:rFonts w:ascii="Tahoma" w:hAnsi="Tahoma" w:cs="Tahoma"/>
          <w:sz w:val="20"/>
          <w:szCs w:val="20"/>
        </w:rPr>
        <w:t>Le plan directeur national d'aménagement et de gestion de l'eau est établi pour une durée d'au moins dix ans et peut être révisé tous les cinq ans, sauf circonstances exceptionnelles exigeant une modification de son contenu avant l'échéance. Il est approuvé par décret pris après avis du Conseil national de l’eau.</w:t>
      </w:r>
    </w:p>
    <w:p w14:paraId="0C06F2A4" w14:textId="77777777" w:rsidR="0049647F" w:rsidRPr="00B004EE" w:rsidRDefault="0049647F" w:rsidP="00B004EE">
      <w:pPr>
        <w:spacing w:line="20" w:lineRule="atLeast"/>
        <w:jc w:val="both"/>
        <w:rPr>
          <w:rFonts w:ascii="Tahoma" w:hAnsi="Tahoma" w:cs="Tahoma"/>
          <w:sz w:val="20"/>
          <w:szCs w:val="20"/>
        </w:rPr>
      </w:pPr>
    </w:p>
    <w:p w14:paraId="01973D1F" w14:textId="77777777" w:rsidR="0049647F" w:rsidRPr="00B004EE" w:rsidRDefault="0049647F" w:rsidP="00B004EE">
      <w:pPr>
        <w:pStyle w:val="Corpsdetexte"/>
        <w:spacing w:line="20" w:lineRule="atLeast"/>
        <w:ind w:right="92" w:firstLine="20"/>
        <w:rPr>
          <w:rFonts w:ascii="Tahoma" w:hAnsi="Tahoma" w:cs="Tahoma"/>
          <w:sz w:val="20"/>
          <w:szCs w:val="20"/>
        </w:rPr>
      </w:pPr>
      <w:r w:rsidRPr="00B004EE">
        <w:rPr>
          <w:rFonts w:ascii="Tahoma" w:hAnsi="Tahoma" w:cs="Tahoma"/>
          <w:sz w:val="20"/>
          <w:szCs w:val="20"/>
        </w:rPr>
        <w:t>Article 16 :</w:t>
      </w:r>
      <w:r w:rsidRPr="00B004EE">
        <w:rPr>
          <w:rFonts w:ascii="Tahoma" w:hAnsi="Tahoma" w:cs="Tahoma"/>
          <w:b/>
          <w:bCs/>
          <w:sz w:val="20"/>
          <w:szCs w:val="20"/>
        </w:rPr>
        <w:t xml:space="preserve"> </w:t>
      </w:r>
      <w:r w:rsidRPr="00B004EE">
        <w:rPr>
          <w:rFonts w:ascii="Tahoma" w:hAnsi="Tahoma" w:cs="Tahoma"/>
          <w:sz w:val="20"/>
          <w:szCs w:val="20"/>
        </w:rPr>
        <w:t>Le ministre chargé de l'eau est assisté par un Conseil national de l’eau composé, à parts égales, de représentants de l'Etat, de représentants des élus nationaux et de représentants des ·différentes catégories d'utilisateurs publics et privés de l’eau et de personnes compétentes.</w:t>
      </w:r>
    </w:p>
    <w:p w14:paraId="221082F0" w14:textId="77777777" w:rsidR="0049647F" w:rsidRPr="00B004EE" w:rsidRDefault="0049647F" w:rsidP="00B004EE">
      <w:pPr>
        <w:pStyle w:val="Corpsdetexte"/>
        <w:spacing w:line="20" w:lineRule="atLeast"/>
        <w:ind w:right="112" w:firstLine="40"/>
        <w:rPr>
          <w:rFonts w:ascii="Tahoma" w:hAnsi="Tahoma" w:cs="Tahoma"/>
          <w:sz w:val="20"/>
          <w:szCs w:val="20"/>
        </w:rPr>
      </w:pPr>
      <w:r w:rsidRPr="00B004EE">
        <w:rPr>
          <w:rFonts w:ascii="Tahoma" w:hAnsi="Tahoma" w:cs="Tahoma"/>
          <w:sz w:val="20"/>
          <w:szCs w:val="20"/>
        </w:rPr>
        <w:t>Le Conseil national de l'eau est consulté sur la planification nationale dans le domaine de l’eau, sur les projets d'approvisionnement en eau et d’aménagement et de gestion des eaux ayant -un caractère national et sur les grandes opérations régionales, ainsi que sur toute question relative à l'eau que le ministre chargé de l’eau juge utile de lui soumettre.</w:t>
      </w:r>
    </w:p>
    <w:p w14:paraId="6E7BFF43" w14:textId="77777777" w:rsidR="0049647F" w:rsidRPr="00B004EE" w:rsidRDefault="0049647F" w:rsidP="00B004EE">
      <w:pPr>
        <w:spacing w:line="20" w:lineRule="atLeast"/>
        <w:jc w:val="both"/>
        <w:rPr>
          <w:rFonts w:ascii="Tahoma" w:hAnsi="Tahoma" w:cs="Tahoma"/>
          <w:sz w:val="20"/>
          <w:szCs w:val="20"/>
        </w:rPr>
      </w:pPr>
    </w:p>
    <w:p w14:paraId="25FC9D06" w14:textId="77777777" w:rsidR="0049647F" w:rsidRPr="00B004EE" w:rsidRDefault="0049647F" w:rsidP="00B004EE">
      <w:pPr>
        <w:pStyle w:val="Corpsdetexte"/>
        <w:spacing w:line="20" w:lineRule="atLeast"/>
        <w:ind w:right="78" w:firstLine="20"/>
        <w:rPr>
          <w:rFonts w:ascii="Tahoma" w:hAnsi="Tahoma" w:cs="Tahoma"/>
          <w:sz w:val="20"/>
          <w:szCs w:val="20"/>
        </w:rPr>
      </w:pPr>
      <w:r w:rsidRPr="00B004EE">
        <w:rPr>
          <w:rFonts w:ascii="Tahoma" w:hAnsi="Tahoma" w:cs="Tahoma"/>
          <w:sz w:val="20"/>
          <w:szCs w:val="20"/>
        </w:rPr>
        <w:t>Il donne un avis sur les projets de textes législatifs ou réglementaires portant, en tout ou partie, sur des questions relatives à l'eau, sur tout projet de planification nationale dans le domaine de l'eau, ainsi que, en tant que de besoin, sur toute question ou document à caractère national ou international intéressant l'eau.</w:t>
      </w:r>
    </w:p>
    <w:p w14:paraId="6720ABCB" w14:textId="77777777" w:rsidR="0049647F" w:rsidRPr="00B004EE" w:rsidRDefault="0049647F" w:rsidP="00B004EE">
      <w:pPr>
        <w:pStyle w:val="Corpsdetexte"/>
        <w:spacing w:line="20" w:lineRule="atLeast"/>
        <w:ind w:right="204"/>
        <w:rPr>
          <w:rFonts w:ascii="Tahoma" w:hAnsi="Tahoma" w:cs="Tahoma"/>
          <w:sz w:val="20"/>
          <w:szCs w:val="20"/>
        </w:rPr>
      </w:pPr>
      <w:r w:rsidRPr="00B004EE">
        <w:rPr>
          <w:rFonts w:ascii="Tahoma" w:hAnsi="Tahoma" w:cs="Tahoma"/>
          <w:sz w:val="20"/>
          <w:szCs w:val="20"/>
        </w:rPr>
        <w:t>Les modalités d'organisation et de fonctionnement du Conseil national de l'eau sont définies par décret.</w:t>
      </w:r>
    </w:p>
    <w:p w14:paraId="6B6B88EC" w14:textId="77777777" w:rsidR="0049647F" w:rsidRPr="00B004EE" w:rsidRDefault="0049647F" w:rsidP="00B004EE">
      <w:pPr>
        <w:spacing w:line="20" w:lineRule="atLeast"/>
        <w:jc w:val="both"/>
        <w:rPr>
          <w:rFonts w:ascii="Tahoma" w:eastAsia="Courier New" w:hAnsi="Tahoma" w:cs="Tahoma"/>
          <w:sz w:val="20"/>
          <w:szCs w:val="20"/>
        </w:rPr>
      </w:pPr>
    </w:p>
    <w:p w14:paraId="1770C172" w14:textId="77777777" w:rsidR="0049647F" w:rsidRPr="00B004EE" w:rsidRDefault="0049647F" w:rsidP="00B004EE">
      <w:pPr>
        <w:spacing w:line="20" w:lineRule="atLeast"/>
        <w:jc w:val="center"/>
        <w:rPr>
          <w:rFonts w:ascii="Tahoma" w:eastAsia="American Typewriter" w:hAnsi="Tahoma" w:cs="Tahoma"/>
          <w:b/>
          <w:bCs/>
          <w:sz w:val="20"/>
          <w:szCs w:val="20"/>
        </w:rPr>
      </w:pPr>
      <w:r w:rsidRPr="00B004EE">
        <w:rPr>
          <w:rFonts w:ascii="Tahoma" w:eastAsia="American Typewriter" w:hAnsi="Tahoma" w:cs="Tahoma"/>
          <w:b/>
          <w:bCs/>
          <w:sz w:val="20"/>
          <w:szCs w:val="20"/>
        </w:rPr>
        <w:t>Section - Autorité de Régulation</w:t>
      </w:r>
    </w:p>
    <w:p w14:paraId="5BB9E1B1" w14:textId="77777777" w:rsidR="0049647F" w:rsidRPr="00B004EE" w:rsidRDefault="0049647F" w:rsidP="00B004EE">
      <w:pPr>
        <w:spacing w:line="20" w:lineRule="atLeast"/>
        <w:jc w:val="center"/>
        <w:rPr>
          <w:rFonts w:ascii="Tahoma" w:eastAsia="American Typewriter" w:hAnsi="Tahoma" w:cs="Tahoma"/>
          <w:b/>
          <w:bCs/>
          <w:sz w:val="20"/>
          <w:szCs w:val="20"/>
        </w:rPr>
      </w:pPr>
    </w:p>
    <w:p w14:paraId="051434BF" w14:textId="77777777" w:rsidR="0049647F" w:rsidRPr="00B004EE" w:rsidRDefault="0049647F" w:rsidP="00B004EE">
      <w:pPr>
        <w:pStyle w:val="Corpsdetexte"/>
        <w:spacing w:line="20" w:lineRule="atLeast"/>
        <w:ind w:right="343"/>
        <w:rPr>
          <w:rFonts w:ascii="Tahoma" w:hAnsi="Tahoma" w:cs="Tahoma"/>
          <w:sz w:val="20"/>
          <w:szCs w:val="20"/>
        </w:rPr>
      </w:pPr>
      <w:r w:rsidRPr="00B004EE">
        <w:rPr>
          <w:rFonts w:ascii="Tahoma" w:hAnsi="Tahoma" w:cs="Tahoma"/>
          <w:sz w:val="20"/>
          <w:szCs w:val="20"/>
        </w:rPr>
        <w:t>Article 17 : L'Autorité de Régulation assure, dans le domaine de l'eau, les attributions qui lui sont dévolues par la loi n°2001-18 du 25 janvier 2001, et par le présent code.</w:t>
      </w:r>
    </w:p>
    <w:p w14:paraId="73383702" w14:textId="77777777" w:rsidR="0049647F" w:rsidRPr="00B004EE" w:rsidRDefault="0049647F" w:rsidP="00B004EE">
      <w:pPr>
        <w:pStyle w:val="Corpsdetexte"/>
        <w:spacing w:line="20" w:lineRule="atLeast"/>
        <w:ind w:right="343"/>
        <w:rPr>
          <w:rFonts w:ascii="Tahoma" w:hAnsi="Tahoma" w:cs="Tahoma"/>
          <w:sz w:val="20"/>
          <w:szCs w:val="20"/>
        </w:rPr>
      </w:pPr>
    </w:p>
    <w:p w14:paraId="4EA34DB3"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r w:rsidRPr="00B004EE">
        <w:rPr>
          <w:rFonts w:ascii="Tahoma" w:hAnsi="Tahoma" w:cs="Tahoma"/>
          <w:sz w:val="20"/>
          <w:szCs w:val="20"/>
        </w:rPr>
        <w:t>Dans ce cadre cette veille à la mise en œuvre des procédures de délégations de service public en matière de distribution de l'eau potable et d'assainissement, dans des conditions objectives, transparentes et non discriminatoires.</w:t>
      </w:r>
    </w:p>
    <w:p w14:paraId="69E89D2C"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r w:rsidRPr="00B004EE">
        <w:rPr>
          <w:rFonts w:ascii="Tahoma" w:hAnsi="Tahoma" w:cs="Tahoma"/>
          <w:sz w:val="20"/>
          <w:szCs w:val="20"/>
        </w:rPr>
        <w:t>L’Autorité peut déléguer par convention et sous sa responsabilité, des activités liées à sa mission générale de régulation à toute entité publique ou privée qu'elle juge qualifiée à cet effet.</w:t>
      </w:r>
    </w:p>
    <w:p w14:paraId="1BE29653"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p>
    <w:p w14:paraId="5EADB2DC"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r w:rsidRPr="00B004EE">
        <w:rPr>
          <w:rFonts w:ascii="Tahoma" w:hAnsi="Tahoma" w:cs="Tahoma"/>
          <w:sz w:val="20"/>
          <w:szCs w:val="20"/>
        </w:rPr>
        <w:t>L'Autorité est consultée sur les projets de textes législatifs et réglementaires relatifs au secteur de l’eau ainsi que sur la préparation et la négociation des conventions et accords internationaux ou régionaux dans le domaine de l'eau.</w:t>
      </w:r>
    </w:p>
    <w:p w14:paraId="48B3916A" w14:textId="77777777" w:rsidR="0049647F" w:rsidRPr="00B004EE" w:rsidRDefault="0049647F" w:rsidP="00B004EE">
      <w:pPr>
        <w:spacing w:line="20" w:lineRule="atLeast"/>
        <w:jc w:val="both"/>
        <w:rPr>
          <w:rFonts w:ascii="Tahoma" w:hAnsi="Tahoma" w:cs="Tahoma"/>
          <w:w w:val="155"/>
          <w:sz w:val="20"/>
          <w:szCs w:val="20"/>
        </w:rPr>
      </w:pPr>
    </w:p>
    <w:p w14:paraId="2BDE7423" w14:textId="77777777" w:rsidR="0049647F" w:rsidRPr="00B004EE" w:rsidRDefault="0049647F" w:rsidP="00B004EE">
      <w:pPr>
        <w:spacing w:line="20" w:lineRule="atLeast"/>
        <w:jc w:val="center"/>
        <w:rPr>
          <w:rFonts w:ascii="Tahoma" w:eastAsia="American Typewriter" w:hAnsi="Tahoma" w:cs="Tahoma"/>
          <w:b/>
          <w:bCs/>
          <w:sz w:val="20"/>
          <w:szCs w:val="20"/>
        </w:rPr>
      </w:pPr>
      <w:r w:rsidRPr="00B004EE">
        <w:rPr>
          <w:rFonts w:ascii="Tahoma" w:eastAsia="American Typewriter" w:hAnsi="Tahoma" w:cs="Tahoma"/>
          <w:b/>
          <w:bCs/>
          <w:sz w:val="20"/>
          <w:szCs w:val="20"/>
        </w:rPr>
        <w:t>TITRE IV - REGIMES - D'UTILISATION DE L'EAU</w:t>
      </w:r>
    </w:p>
    <w:p w14:paraId="101A3A62" w14:textId="77777777" w:rsidR="0049647F" w:rsidRPr="00B004EE" w:rsidRDefault="0049647F" w:rsidP="00B004EE">
      <w:pPr>
        <w:spacing w:line="20" w:lineRule="atLeast"/>
        <w:jc w:val="center"/>
        <w:rPr>
          <w:rFonts w:ascii="Tahoma" w:eastAsia="American Typewriter" w:hAnsi="Tahoma" w:cs="Tahoma"/>
          <w:b/>
          <w:bCs/>
          <w:sz w:val="20"/>
          <w:szCs w:val="20"/>
        </w:rPr>
      </w:pPr>
      <w:r w:rsidRPr="00B004EE">
        <w:rPr>
          <w:rFonts w:ascii="Tahoma" w:eastAsia="American Typewriter" w:hAnsi="Tahoma" w:cs="Tahoma"/>
          <w:b/>
          <w:bCs/>
          <w:sz w:val="20"/>
          <w:szCs w:val="20"/>
        </w:rPr>
        <w:t>SOUS-TITRE I-PROCEDURES DE PROTECTION QUANTITATIVE ET QUALITATIVE</w:t>
      </w:r>
    </w:p>
    <w:p w14:paraId="593E8902" w14:textId="77777777" w:rsidR="0049647F" w:rsidRPr="00B004EE" w:rsidRDefault="0049647F" w:rsidP="00B004EE">
      <w:pPr>
        <w:spacing w:line="20" w:lineRule="atLeast"/>
        <w:jc w:val="center"/>
        <w:rPr>
          <w:rFonts w:ascii="Tahoma" w:eastAsia="American Typewriter" w:hAnsi="Tahoma" w:cs="Tahoma"/>
          <w:b/>
          <w:bCs/>
          <w:sz w:val="20"/>
          <w:szCs w:val="20"/>
        </w:rPr>
      </w:pPr>
      <w:r w:rsidRPr="00B004EE">
        <w:rPr>
          <w:rFonts w:ascii="Tahoma" w:eastAsia="American Typewriter" w:hAnsi="Tahoma" w:cs="Tahoma"/>
          <w:b/>
          <w:bCs/>
          <w:sz w:val="20"/>
          <w:szCs w:val="20"/>
        </w:rPr>
        <w:t>Section 1- Principe général</w:t>
      </w:r>
    </w:p>
    <w:p w14:paraId="4F1AEF89" w14:textId="77777777" w:rsidR="0049647F" w:rsidRPr="00B004EE" w:rsidRDefault="0049647F" w:rsidP="00B004EE">
      <w:pPr>
        <w:pStyle w:val="Corpsdetexte"/>
        <w:spacing w:line="20" w:lineRule="atLeast"/>
        <w:ind w:right="388"/>
        <w:jc w:val="center"/>
        <w:rPr>
          <w:rFonts w:ascii="Tahoma" w:hAnsi="Tahoma" w:cs="Tahoma"/>
          <w:sz w:val="20"/>
          <w:szCs w:val="20"/>
        </w:rPr>
      </w:pPr>
    </w:p>
    <w:p w14:paraId="5764447E" w14:textId="77777777" w:rsidR="0049647F" w:rsidRPr="00B004EE" w:rsidRDefault="0049647F" w:rsidP="00B004EE">
      <w:pPr>
        <w:pStyle w:val="Corpsdetexte"/>
        <w:spacing w:line="20" w:lineRule="atLeast"/>
        <w:ind w:right="388"/>
        <w:rPr>
          <w:rFonts w:ascii="Tahoma" w:hAnsi="Tahoma" w:cs="Tahoma"/>
          <w:sz w:val="20"/>
          <w:szCs w:val="20"/>
        </w:rPr>
      </w:pPr>
      <w:r w:rsidRPr="00B004EE">
        <w:rPr>
          <w:rFonts w:ascii="Tahoma" w:hAnsi="Tahoma" w:cs="Tahoma"/>
          <w:sz w:val="20"/>
          <w:szCs w:val="20"/>
        </w:rPr>
        <w:t>Article 18 : L'usage de l'eau, prélevée à des fins domestiques ou assimilées, à partir de sources disponibles, pérennes ou saisonnières ; est exempté de toute formalité. Un décret définira le critère de la domesticité de l'usage de l'eau.</w:t>
      </w:r>
    </w:p>
    <w:p w14:paraId="3CA47AED" w14:textId="77777777" w:rsidR="0049647F" w:rsidRPr="00B004EE" w:rsidRDefault="0049647F" w:rsidP="00B004EE">
      <w:pPr>
        <w:pStyle w:val="Corpsdetexte"/>
        <w:spacing w:line="20" w:lineRule="atLeast"/>
        <w:ind w:right="388"/>
        <w:rPr>
          <w:rFonts w:ascii="Tahoma" w:hAnsi="Tahoma" w:cs="Tahoma"/>
          <w:sz w:val="20"/>
          <w:szCs w:val="20"/>
        </w:rPr>
      </w:pPr>
    </w:p>
    <w:p w14:paraId="0D0CB82F" w14:textId="77777777" w:rsidR="0049647F" w:rsidRPr="00B004EE" w:rsidRDefault="0049647F" w:rsidP="00B004EE">
      <w:pPr>
        <w:pStyle w:val="Corpsdetexte"/>
        <w:spacing w:line="20" w:lineRule="atLeast"/>
        <w:ind w:right="388"/>
        <w:rPr>
          <w:rFonts w:ascii="Tahoma" w:hAnsi="Tahoma" w:cs="Tahoma"/>
          <w:sz w:val="20"/>
          <w:szCs w:val="20"/>
        </w:rPr>
      </w:pPr>
      <w:r w:rsidRPr="00B004EE">
        <w:rPr>
          <w:rFonts w:ascii="Tahoma" w:hAnsi="Tahoma" w:cs="Tahoma"/>
          <w:sz w:val="20"/>
          <w:szCs w:val="20"/>
        </w:rPr>
        <w:t>Les opérations, installations,· ouvrages, travaux, activités diverses, déversements, captages, prélèvements réalisés à des fins non domestiques sur les eaux superficielles ou souterraines, entraînant une modification du niveau où du mode d'écoulement de ces eaux ou une atteinte à leur qualité, sont soumises, dans les conditions prévues par décret, à déclaration, autorisation ou concession, selon des seuils tenant compte de la gravité de leurs effets sur la ressource en eau et les écosystèmes aquatiques, des dangers pour la santé et la sécurité publiques ainsi que l’intérêt général présenté par ces opération</w:t>
      </w:r>
    </w:p>
    <w:p w14:paraId="3C028DA2" w14:textId="77777777" w:rsidR="0049647F" w:rsidRPr="00B004EE" w:rsidRDefault="0049647F" w:rsidP="00B004EE">
      <w:pPr>
        <w:pStyle w:val="Corpsdetexte"/>
        <w:spacing w:line="20" w:lineRule="atLeast"/>
        <w:ind w:right="388"/>
        <w:rPr>
          <w:rFonts w:ascii="Tahoma" w:hAnsi="Tahoma" w:cs="Tahoma"/>
          <w:sz w:val="20"/>
          <w:szCs w:val="20"/>
        </w:rPr>
      </w:pPr>
    </w:p>
    <w:p w14:paraId="49006049" w14:textId="77777777" w:rsidR="0049647F" w:rsidRPr="00B004EE" w:rsidRDefault="0049647F" w:rsidP="00B004EE">
      <w:pPr>
        <w:spacing w:line="20" w:lineRule="atLeast"/>
        <w:jc w:val="center"/>
        <w:rPr>
          <w:rFonts w:ascii="Tahoma" w:eastAsia="American Typewriter" w:hAnsi="Tahoma" w:cs="Tahoma"/>
          <w:b/>
          <w:bCs/>
          <w:sz w:val="20"/>
          <w:szCs w:val="20"/>
        </w:rPr>
      </w:pPr>
      <w:r w:rsidRPr="00B004EE">
        <w:rPr>
          <w:rFonts w:ascii="Tahoma" w:eastAsia="American Typewriter" w:hAnsi="Tahoma" w:cs="Tahoma"/>
          <w:b/>
          <w:bCs/>
          <w:sz w:val="20"/>
          <w:szCs w:val="20"/>
        </w:rPr>
        <w:lastRenderedPageBreak/>
        <w:t>Section 2-Rimngime d’utilisation de à des fins non domestiques</w:t>
      </w:r>
    </w:p>
    <w:p w14:paraId="2E7AA198" w14:textId="77777777" w:rsidR="0049647F" w:rsidRPr="00B004EE" w:rsidRDefault="0049647F" w:rsidP="00B004EE">
      <w:pPr>
        <w:spacing w:line="20" w:lineRule="atLeast"/>
        <w:jc w:val="center"/>
        <w:rPr>
          <w:rFonts w:ascii="Tahoma" w:eastAsia="American Typewriter" w:hAnsi="Tahoma" w:cs="Tahoma"/>
          <w:b/>
          <w:bCs/>
          <w:sz w:val="20"/>
          <w:szCs w:val="20"/>
        </w:rPr>
      </w:pPr>
      <w:r w:rsidRPr="00B004EE">
        <w:rPr>
          <w:rFonts w:ascii="Tahoma" w:eastAsia="American Typewriter" w:hAnsi="Tahoma" w:cs="Tahoma"/>
          <w:b/>
          <w:bCs/>
          <w:sz w:val="20"/>
          <w:szCs w:val="20"/>
        </w:rPr>
        <w:t>Sous-section 1 - Régime de la déclaration</w:t>
      </w:r>
    </w:p>
    <w:p w14:paraId="31960C3A" w14:textId="77777777" w:rsidR="0049647F" w:rsidRPr="00B004EE" w:rsidRDefault="0049647F" w:rsidP="00B004EE">
      <w:pPr>
        <w:spacing w:line="20" w:lineRule="atLeast"/>
        <w:jc w:val="both"/>
        <w:rPr>
          <w:rFonts w:ascii="Tahoma" w:eastAsia="American Typewriter" w:hAnsi="Tahoma" w:cs="Tahoma"/>
          <w:b/>
          <w:bCs/>
          <w:sz w:val="20"/>
          <w:szCs w:val="20"/>
        </w:rPr>
      </w:pPr>
    </w:p>
    <w:p w14:paraId="645FD5E6" w14:textId="77777777" w:rsidR="0049647F" w:rsidRPr="00B004EE" w:rsidRDefault="0049647F" w:rsidP="00B004EE">
      <w:pPr>
        <w:pStyle w:val="Corpsdetexte"/>
        <w:spacing w:line="20" w:lineRule="atLeast"/>
        <w:ind w:right="388"/>
        <w:rPr>
          <w:rFonts w:ascii="Tahoma" w:hAnsi="Tahoma" w:cs="Tahoma"/>
          <w:sz w:val="20"/>
          <w:szCs w:val="20"/>
        </w:rPr>
      </w:pPr>
      <w:r w:rsidRPr="00B004EE">
        <w:rPr>
          <w:rFonts w:ascii="Tahoma" w:hAnsi="Tahoma" w:cs="Tahoma"/>
          <w:sz w:val="20"/>
          <w:szCs w:val="20"/>
        </w:rPr>
        <w:t xml:space="preserve">Article 19 : Sont soumises au régime de la déclaration les opérations énumérées à l'alinéa 2 de l’article 18 ci-dessus. Susceptibles de ne ·présenter que des dangers faibles pour la santé et ·la sécurité publiques et des incidences limitées sur l’écoulement des eaux. </w:t>
      </w:r>
      <w:proofErr w:type="gramStart"/>
      <w:r w:rsidRPr="00B004EE">
        <w:rPr>
          <w:rFonts w:ascii="Tahoma" w:hAnsi="Tahoma" w:cs="Tahoma"/>
          <w:sz w:val="20"/>
          <w:szCs w:val="20"/>
        </w:rPr>
        <w:t>sur</w:t>
      </w:r>
      <w:proofErr w:type="gramEnd"/>
      <w:r w:rsidRPr="00B004EE">
        <w:rPr>
          <w:rFonts w:ascii="Tahoma" w:hAnsi="Tahoma" w:cs="Tahoma"/>
          <w:sz w:val="20"/>
          <w:szCs w:val="20"/>
        </w:rPr>
        <w:t xml:space="preserve"> la ressource; du point de vue tant quantitatif que qualitatif ainsi que sur la diversité du milieu aquatique.</w:t>
      </w:r>
    </w:p>
    <w:p w14:paraId="4B9DC7AC" w14:textId="77777777" w:rsidR="0049647F" w:rsidRPr="00B004EE" w:rsidRDefault="0049647F" w:rsidP="00B004EE">
      <w:pPr>
        <w:pStyle w:val="Corpsdetexte"/>
        <w:spacing w:line="20" w:lineRule="atLeast"/>
        <w:ind w:right="388"/>
        <w:rPr>
          <w:rFonts w:ascii="Tahoma" w:hAnsi="Tahoma" w:cs="Tahoma"/>
          <w:sz w:val="20"/>
          <w:szCs w:val="20"/>
        </w:rPr>
      </w:pPr>
    </w:p>
    <w:p w14:paraId="7F01F9A2" w14:textId="77777777" w:rsidR="0049647F" w:rsidRPr="00B004EE" w:rsidRDefault="0049647F" w:rsidP="00B004EE">
      <w:pPr>
        <w:spacing w:line="20" w:lineRule="atLeast"/>
        <w:jc w:val="center"/>
        <w:rPr>
          <w:rFonts w:ascii="Tahoma" w:eastAsia="American Typewriter" w:hAnsi="Tahoma" w:cs="Tahoma"/>
          <w:b/>
          <w:bCs/>
          <w:sz w:val="20"/>
          <w:szCs w:val="20"/>
        </w:rPr>
      </w:pPr>
      <w:r w:rsidRPr="00B004EE">
        <w:rPr>
          <w:rFonts w:ascii="Tahoma" w:eastAsia="American Typewriter" w:hAnsi="Tahoma" w:cs="Tahoma"/>
          <w:b/>
          <w:bCs/>
          <w:sz w:val="20"/>
          <w:szCs w:val="20"/>
        </w:rPr>
        <w:t>Sous-Section 2 - Régime de l’autorisation</w:t>
      </w:r>
    </w:p>
    <w:p w14:paraId="09D2A820" w14:textId="77777777" w:rsidR="0049647F" w:rsidRPr="00B004EE" w:rsidRDefault="0049647F" w:rsidP="00B004EE">
      <w:pPr>
        <w:spacing w:line="20" w:lineRule="atLeast"/>
        <w:jc w:val="center"/>
        <w:rPr>
          <w:rFonts w:ascii="Tahoma" w:eastAsia="American Typewriter" w:hAnsi="Tahoma" w:cs="Tahoma"/>
          <w:b/>
          <w:bCs/>
          <w:sz w:val="20"/>
          <w:szCs w:val="20"/>
        </w:rPr>
      </w:pPr>
    </w:p>
    <w:p w14:paraId="7188993B" w14:textId="77777777" w:rsidR="0049647F" w:rsidRPr="00B004EE" w:rsidRDefault="0049647F" w:rsidP="00B004EE">
      <w:pPr>
        <w:pStyle w:val="Corpsdetexte"/>
        <w:spacing w:line="20" w:lineRule="atLeast"/>
        <w:ind w:right="388"/>
        <w:rPr>
          <w:rFonts w:ascii="Tahoma" w:hAnsi="Tahoma" w:cs="Tahoma"/>
          <w:sz w:val="20"/>
          <w:szCs w:val="20"/>
        </w:rPr>
      </w:pPr>
      <w:r w:rsidRPr="00B004EE">
        <w:rPr>
          <w:rFonts w:ascii="Tahoma" w:hAnsi="Tahoma" w:cs="Tahoma"/>
          <w:sz w:val="20"/>
          <w:szCs w:val="20"/>
        </w:rPr>
        <w:t>Article 20 : Sont soumis au régime de l’autorisation les opérations énumérées à l'alinéa 2 de l’article 18 ci-dessus susceptibles de présenter des dangers pour la santé et la sécurité publiques de nuire au libre écoulement des eaux, de porter atteinte à la qualité ou à la diversité du milieu aquatique.</w:t>
      </w:r>
    </w:p>
    <w:p w14:paraId="206B62D3" w14:textId="77777777" w:rsidR="0049647F" w:rsidRPr="00B004EE" w:rsidRDefault="0049647F" w:rsidP="00B004EE">
      <w:pPr>
        <w:pStyle w:val="Corpsdetexte"/>
        <w:spacing w:line="20" w:lineRule="atLeast"/>
        <w:ind w:right="388"/>
        <w:rPr>
          <w:rFonts w:ascii="Tahoma" w:hAnsi="Tahoma" w:cs="Tahoma"/>
          <w:sz w:val="20"/>
          <w:szCs w:val="20"/>
        </w:rPr>
      </w:pPr>
    </w:p>
    <w:p w14:paraId="52BAEBD4" w14:textId="77777777" w:rsidR="0049647F" w:rsidRPr="00B004EE" w:rsidRDefault="0049647F" w:rsidP="00B004EE">
      <w:pPr>
        <w:spacing w:line="20" w:lineRule="atLeast"/>
        <w:jc w:val="center"/>
        <w:rPr>
          <w:rFonts w:ascii="Tahoma" w:eastAsia="American Typewriter" w:hAnsi="Tahoma" w:cs="Tahoma"/>
          <w:b/>
          <w:bCs/>
          <w:sz w:val="20"/>
          <w:szCs w:val="20"/>
        </w:rPr>
      </w:pPr>
      <w:r w:rsidRPr="00B004EE">
        <w:rPr>
          <w:rFonts w:ascii="Tahoma" w:eastAsia="American Typewriter" w:hAnsi="Tahoma" w:cs="Tahoma"/>
          <w:b/>
          <w:bCs/>
          <w:sz w:val="20"/>
          <w:szCs w:val="20"/>
        </w:rPr>
        <w:t>Sous-section 3-Régime de la concession</w:t>
      </w:r>
    </w:p>
    <w:p w14:paraId="67F6002D" w14:textId="77777777" w:rsidR="0049647F" w:rsidRPr="00B004EE" w:rsidRDefault="0049647F" w:rsidP="00B004EE">
      <w:pPr>
        <w:spacing w:line="20" w:lineRule="atLeast"/>
        <w:jc w:val="both"/>
        <w:rPr>
          <w:rFonts w:ascii="Tahoma" w:hAnsi="Tahoma" w:cs="Tahoma"/>
          <w:sz w:val="20"/>
          <w:szCs w:val="20"/>
        </w:rPr>
      </w:pPr>
      <w:r w:rsidRPr="00B004EE">
        <w:rPr>
          <w:rFonts w:ascii="Tahoma" w:hAnsi="Tahoma" w:cs="Tahoma"/>
          <w:sz w:val="20"/>
          <w:szCs w:val="20"/>
        </w:rPr>
        <w:t xml:space="preserve">Article 21 : Sont soumises au régime des concessions : </w:t>
      </w:r>
    </w:p>
    <w:p w14:paraId="6371A838" w14:textId="77777777" w:rsidR="0049647F" w:rsidRPr="00B004EE" w:rsidRDefault="0049647F" w:rsidP="00420DDA">
      <w:pPr>
        <w:pStyle w:val="Paragraphedeliste"/>
        <w:widowControl w:val="0"/>
        <w:numPr>
          <w:ilvl w:val="0"/>
          <w:numId w:val="112"/>
        </w:numPr>
        <w:spacing w:line="20" w:lineRule="atLeast"/>
        <w:jc w:val="both"/>
        <w:rPr>
          <w:rFonts w:ascii="Tahoma" w:hAnsi="Tahoma" w:cs="Tahoma"/>
          <w:sz w:val="20"/>
          <w:szCs w:val="20"/>
        </w:rPr>
      </w:pPr>
      <w:proofErr w:type="gramStart"/>
      <w:r w:rsidRPr="00B004EE">
        <w:rPr>
          <w:rFonts w:ascii="Tahoma" w:hAnsi="Tahoma" w:cs="Tahoma"/>
          <w:sz w:val="20"/>
          <w:szCs w:val="20"/>
        </w:rPr>
        <w:t>les</w:t>
      </w:r>
      <w:proofErr w:type="gramEnd"/>
      <w:r w:rsidRPr="00B004EE">
        <w:rPr>
          <w:rFonts w:ascii="Tahoma" w:hAnsi="Tahoma" w:cs="Tahoma"/>
          <w:sz w:val="20"/>
          <w:szCs w:val="20"/>
        </w:rPr>
        <w:t xml:space="preserve"> opérations énumérées à l’alinéa 2 de l'article 18 ci-dessus d’un importance telle qu’elles sont susceptibles de présenter de graves dangers pour la santé et la sécurité publiques, de nuire de façon très significative au libre écoulement des eaux, de réduire la ressource en eau, d’accroitre notablement le risque d’inondation, de porter gravent atteinte à la qualité ou à la diversité du milieu aquatique.</w:t>
      </w:r>
    </w:p>
    <w:p w14:paraId="1A4F5F70" w14:textId="77777777" w:rsidR="0049647F" w:rsidRPr="00B004EE" w:rsidRDefault="0049647F" w:rsidP="00420DDA">
      <w:pPr>
        <w:pStyle w:val="Paragraphedeliste"/>
        <w:widowControl w:val="0"/>
        <w:numPr>
          <w:ilvl w:val="0"/>
          <w:numId w:val="112"/>
        </w:numPr>
        <w:spacing w:line="20" w:lineRule="atLeast"/>
        <w:jc w:val="both"/>
        <w:rPr>
          <w:rFonts w:ascii="Tahoma" w:hAnsi="Tahoma" w:cs="Tahoma"/>
          <w:sz w:val="20"/>
          <w:szCs w:val="20"/>
        </w:rPr>
      </w:pPr>
      <w:proofErr w:type="gramStart"/>
      <w:r w:rsidRPr="00B004EE">
        <w:rPr>
          <w:rFonts w:ascii="Tahoma" w:hAnsi="Tahoma" w:cs="Tahoma"/>
          <w:sz w:val="20"/>
          <w:szCs w:val="20"/>
        </w:rPr>
        <w:t>les</w:t>
      </w:r>
      <w:proofErr w:type="gramEnd"/>
      <w:r w:rsidRPr="00B004EE">
        <w:rPr>
          <w:rFonts w:ascii="Tahoma" w:hAnsi="Tahoma" w:cs="Tahoma"/>
          <w:sz w:val="20"/>
          <w:szCs w:val="20"/>
        </w:rPr>
        <w:t xml:space="preserve"> opération d’utilisation des eaux présentant un caractère d’intérêt général ou ayant bénéficié d’une déclaration d'utilité publique.</w:t>
      </w:r>
    </w:p>
    <w:p w14:paraId="720CFF29" w14:textId="77777777" w:rsidR="0049647F" w:rsidRPr="00B004EE" w:rsidRDefault="0049647F" w:rsidP="00B004EE">
      <w:pPr>
        <w:spacing w:line="20" w:lineRule="atLeast"/>
        <w:jc w:val="both"/>
        <w:rPr>
          <w:rFonts w:ascii="Tahoma" w:hAnsi="Tahoma" w:cs="Tahoma"/>
          <w:sz w:val="20"/>
          <w:szCs w:val="20"/>
        </w:rPr>
      </w:pPr>
    </w:p>
    <w:p w14:paraId="77A5BFED" w14:textId="77777777" w:rsidR="0049647F" w:rsidRPr="00B004EE" w:rsidRDefault="0049647F" w:rsidP="00B004EE">
      <w:pPr>
        <w:spacing w:line="20" w:lineRule="atLeast"/>
        <w:jc w:val="center"/>
        <w:rPr>
          <w:rFonts w:ascii="Tahoma" w:hAnsi="Tahoma" w:cs="Tahoma"/>
          <w:sz w:val="20"/>
          <w:szCs w:val="20"/>
        </w:rPr>
      </w:pPr>
      <w:r w:rsidRPr="00B004EE">
        <w:rPr>
          <w:rFonts w:ascii="Tahoma" w:eastAsia="American Typewriter" w:hAnsi="Tahoma" w:cs="Tahoma"/>
          <w:b/>
          <w:bCs/>
          <w:sz w:val="20"/>
          <w:szCs w:val="20"/>
        </w:rPr>
        <w:t>Section 3- Procédures</w:t>
      </w:r>
    </w:p>
    <w:p w14:paraId="2CC0E700" w14:textId="77777777" w:rsidR="0049647F" w:rsidRPr="00B004EE" w:rsidRDefault="0049647F" w:rsidP="00B004EE">
      <w:pPr>
        <w:spacing w:line="20" w:lineRule="atLeast"/>
        <w:jc w:val="center"/>
        <w:rPr>
          <w:rFonts w:ascii="Tahoma" w:eastAsia="American Typewriter" w:hAnsi="Tahoma" w:cs="Tahoma"/>
          <w:b/>
          <w:bCs/>
          <w:sz w:val="20"/>
          <w:szCs w:val="20"/>
        </w:rPr>
      </w:pPr>
      <w:r w:rsidRPr="00B004EE">
        <w:rPr>
          <w:rFonts w:ascii="Tahoma" w:eastAsia="American Typewriter" w:hAnsi="Tahoma" w:cs="Tahoma"/>
          <w:b/>
          <w:bCs/>
          <w:sz w:val="20"/>
          <w:szCs w:val="20"/>
        </w:rPr>
        <w:t>Sous-section</w:t>
      </w:r>
      <w:r w:rsidRPr="00B004EE">
        <w:rPr>
          <w:rFonts w:ascii="Tahoma" w:hAnsi="Tahoma" w:cs="Tahoma"/>
          <w:sz w:val="20"/>
          <w:szCs w:val="20"/>
        </w:rPr>
        <w:t xml:space="preserve"> </w:t>
      </w:r>
      <w:r w:rsidRPr="00B004EE">
        <w:rPr>
          <w:rFonts w:ascii="Tahoma" w:eastAsia="American Typewriter" w:hAnsi="Tahoma" w:cs="Tahoma"/>
          <w:b/>
          <w:bCs/>
          <w:sz w:val="20"/>
          <w:szCs w:val="20"/>
        </w:rPr>
        <w:t>1-Dispositions relatives à la déclaration</w:t>
      </w:r>
    </w:p>
    <w:p w14:paraId="7F6AC73C" w14:textId="77777777" w:rsidR="0049647F" w:rsidRPr="00B004EE" w:rsidRDefault="0049647F" w:rsidP="00B004EE">
      <w:pPr>
        <w:pStyle w:val="Corpsdetexte"/>
        <w:spacing w:line="20" w:lineRule="atLeast"/>
        <w:ind w:right="388"/>
        <w:rPr>
          <w:rFonts w:ascii="Tahoma" w:eastAsia="Arial Narrow" w:hAnsi="Tahoma" w:cs="Tahoma"/>
          <w:sz w:val="20"/>
          <w:szCs w:val="20"/>
        </w:rPr>
      </w:pPr>
    </w:p>
    <w:p w14:paraId="3E6A39A4" w14:textId="77777777" w:rsidR="0049647F" w:rsidRPr="00B004EE" w:rsidRDefault="0049647F" w:rsidP="00B004EE">
      <w:pPr>
        <w:pStyle w:val="Corpsdetexte"/>
        <w:spacing w:line="20" w:lineRule="atLeast"/>
        <w:ind w:right="388"/>
        <w:rPr>
          <w:rFonts w:ascii="Tahoma" w:hAnsi="Tahoma" w:cs="Tahoma"/>
          <w:sz w:val="20"/>
          <w:szCs w:val="20"/>
        </w:rPr>
      </w:pPr>
      <w:r w:rsidRPr="00B004EE">
        <w:rPr>
          <w:rFonts w:ascii="Tahoma" w:hAnsi="Tahoma" w:cs="Tahoma"/>
          <w:sz w:val="20"/>
          <w:szCs w:val="20"/>
        </w:rPr>
        <w:t>Article 22 :</w:t>
      </w:r>
      <w:r w:rsidRPr="00B004EE">
        <w:rPr>
          <w:rFonts w:ascii="Tahoma" w:eastAsia="Arial Narrow" w:hAnsi="Tahoma" w:cs="Tahoma"/>
          <w:sz w:val="20"/>
          <w:szCs w:val="20"/>
        </w:rPr>
        <w:t xml:space="preserve"> le ministre chargé de l'eau </w:t>
      </w:r>
      <w:r w:rsidRPr="00B004EE">
        <w:rPr>
          <w:rFonts w:ascii="Tahoma" w:hAnsi="Tahoma" w:cs="Tahoma"/>
          <w:sz w:val="20"/>
          <w:szCs w:val="20"/>
        </w:rPr>
        <w:t>instruit le dossier de déclaration et en délivre récépissé s'il estime que celui-ci est complet et que les incidences de l’opération sur la ressource sont li1nitécs.</w:t>
      </w:r>
    </w:p>
    <w:p w14:paraId="0C321156" w14:textId="77777777" w:rsidR="0049647F" w:rsidRPr="00B004EE" w:rsidRDefault="0049647F" w:rsidP="00B004EE">
      <w:pPr>
        <w:spacing w:line="20" w:lineRule="atLeast"/>
        <w:ind w:right="834" w:firstLine="20"/>
        <w:jc w:val="both"/>
        <w:rPr>
          <w:rFonts w:ascii="Tahoma" w:hAnsi="Tahoma" w:cs="Tahoma"/>
          <w:sz w:val="20"/>
          <w:szCs w:val="20"/>
        </w:rPr>
      </w:pPr>
      <w:r w:rsidRPr="00B004EE">
        <w:rPr>
          <w:rFonts w:ascii="Tahoma" w:hAnsi="Tahoma" w:cs="Tahoma"/>
          <w:sz w:val="20"/>
          <w:szCs w:val="20"/>
        </w:rPr>
        <w:t>Le récépissé de déclaration est assorti de toutes prescriptions spécifiques de nature à en limiter les incidences.</w:t>
      </w:r>
    </w:p>
    <w:p w14:paraId="77CFD207" w14:textId="77777777" w:rsidR="0049647F" w:rsidRPr="00B004EE" w:rsidRDefault="0049647F" w:rsidP="00B004EE">
      <w:pPr>
        <w:spacing w:line="20" w:lineRule="atLeast"/>
        <w:jc w:val="both"/>
        <w:rPr>
          <w:rFonts w:ascii="Tahoma" w:eastAsia="Courier New" w:hAnsi="Tahoma" w:cs="Tahoma"/>
          <w:sz w:val="20"/>
          <w:szCs w:val="20"/>
        </w:rPr>
      </w:pPr>
    </w:p>
    <w:p w14:paraId="7AB942D0" w14:textId="77777777" w:rsidR="0049647F" w:rsidRPr="00B004EE" w:rsidRDefault="0049647F" w:rsidP="00B004EE">
      <w:pPr>
        <w:spacing w:line="20" w:lineRule="atLeast"/>
        <w:jc w:val="center"/>
        <w:rPr>
          <w:rFonts w:ascii="Tahoma" w:eastAsia="Courier New" w:hAnsi="Tahoma" w:cs="Tahoma"/>
          <w:sz w:val="20"/>
          <w:szCs w:val="20"/>
        </w:rPr>
      </w:pPr>
      <w:r w:rsidRPr="00B004EE">
        <w:rPr>
          <w:rFonts w:ascii="Tahoma" w:eastAsia="American Typewriter" w:hAnsi="Tahoma" w:cs="Tahoma"/>
          <w:b/>
          <w:bCs/>
          <w:sz w:val="20"/>
          <w:szCs w:val="20"/>
        </w:rPr>
        <w:t>Sous-section 2-Dispositions relatives à l’autorisation</w:t>
      </w:r>
    </w:p>
    <w:p w14:paraId="30451189" w14:textId="77777777" w:rsidR="0049647F" w:rsidRPr="00B004EE" w:rsidRDefault="0049647F" w:rsidP="00B004EE">
      <w:pPr>
        <w:spacing w:line="20" w:lineRule="atLeast"/>
        <w:ind w:firstLine="40"/>
        <w:jc w:val="both"/>
        <w:rPr>
          <w:rFonts w:ascii="Tahoma" w:hAnsi="Tahoma" w:cs="Tahoma"/>
          <w:sz w:val="20"/>
          <w:szCs w:val="20"/>
        </w:rPr>
      </w:pPr>
    </w:p>
    <w:p w14:paraId="64BE84DE" w14:textId="77777777" w:rsidR="0049647F" w:rsidRPr="00B004EE" w:rsidRDefault="0049647F" w:rsidP="00B004EE">
      <w:pPr>
        <w:spacing w:line="20" w:lineRule="atLeast"/>
        <w:ind w:firstLine="40"/>
        <w:jc w:val="both"/>
        <w:rPr>
          <w:rFonts w:ascii="Tahoma" w:hAnsi="Tahoma" w:cs="Tahoma"/>
          <w:sz w:val="20"/>
          <w:szCs w:val="20"/>
        </w:rPr>
      </w:pPr>
      <w:r w:rsidRPr="00B004EE">
        <w:rPr>
          <w:rFonts w:ascii="Tahoma" w:hAnsi="Tahoma" w:cs="Tahoma"/>
          <w:sz w:val="20"/>
          <w:szCs w:val="20"/>
        </w:rPr>
        <w:t>Article 23 : Le ministre chargé de l’eau instruit le dossier de demande d’autorisation, qui comporte en particulier une étude technique détaillée et une étude d’impact, et accorde ou refuse l’autorisation, par arrêté au vu des résultats d'une enquête publique préalable.</w:t>
      </w:r>
    </w:p>
    <w:p w14:paraId="7BFC1927" w14:textId="77777777" w:rsidR="0049647F" w:rsidRPr="00B004EE" w:rsidRDefault="0049647F" w:rsidP="00B004EE">
      <w:pPr>
        <w:spacing w:line="20" w:lineRule="atLeast"/>
        <w:jc w:val="both"/>
        <w:rPr>
          <w:rFonts w:ascii="Tahoma" w:eastAsia="American Typewriter" w:hAnsi="Tahoma" w:cs="Tahoma"/>
          <w:b/>
          <w:bCs/>
          <w:sz w:val="20"/>
          <w:szCs w:val="20"/>
        </w:rPr>
      </w:pPr>
    </w:p>
    <w:p w14:paraId="115DEB93" w14:textId="77777777" w:rsidR="0049647F" w:rsidRPr="00B004EE" w:rsidRDefault="0049647F" w:rsidP="00B004EE">
      <w:pPr>
        <w:spacing w:line="20" w:lineRule="atLeast"/>
        <w:jc w:val="center"/>
        <w:rPr>
          <w:rFonts w:ascii="Tahoma" w:eastAsia="American Typewriter" w:hAnsi="Tahoma" w:cs="Tahoma"/>
          <w:b/>
          <w:bCs/>
          <w:sz w:val="20"/>
          <w:szCs w:val="20"/>
        </w:rPr>
      </w:pPr>
      <w:r w:rsidRPr="00B004EE">
        <w:rPr>
          <w:rFonts w:ascii="Tahoma" w:eastAsia="American Typewriter" w:hAnsi="Tahoma" w:cs="Tahoma"/>
          <w:b/>
          <w:bCs/>
          <w:sz w:val="20"/>
          <w:szCs w:val="20"/>
        </w:rPr>
        <w:t>Sous-section 3 - Dispositions relatives à la concession</w:t>
      </w:r>
    </w:p>
    <w:p w14:paraId="5B232A5C" w14:textId="77777777" w:rsidR="0049647F" w:rsidRPr="00B004EE" w:rsidRDefault="0049647F" w:rsidP="00B004EE">
      <w:pPr>
        <w:spacing w:line="20" w:lineRule="atLeast"/>
        <w:jc w:val="center"/>
        <w:rPr>
          <w:rFonts w:ascii="Tahoma" w:eastAsia="American Typewriter" w:hAnsi="Tahoma" w:cs="Tahoma"/>
          <w:b/>
          <w:bCs/>
          <w:sz w:val="20"/>
          <w:szCs w:val="20"/>
        </w:rPr>
      </w:pPr>
    </w:p>
    <w:p w14:paraId="6F1D01F5"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r w:rsidRPr="00B004EE">
        <w:rPr>
          <w:rFonts w:ascii="Tahoma" w:hAnsi="Tahoma" w:cs="Tahoma"/>
          <w:sz w:val="20"/>
          <w:szCs w:val="20"/>
        </w:rPr>
        <w:t>Article 24 : Le ministre chargé de l’eau instruit le dossier de demande de concession conjointement avec le ministre dont relève l’activité de la concession.</w:t>
      </w:r>
    </w:p>
    <w:p w14:paraId="46E0FB7B"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p>
    <w:p w14:paraId="401C71AE"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r w:rsidRPr="00B004EE">
        <w:rPr>
          <w:rFonts w:ascii="Tahoma" w:hAnsi="Tahoma" w:cs="Tahoma"/>
          <w:sz w:val="20"/>
          <w:szCs w:val="20"/>
        </w:rPr>
        <w:t>Le dossier comporte en particulier une étude d’avant-projet détaillée et une étude d’impact.</w:t>
      </w:r>
    </w:p>
    <w:p w14:paraId="1E41EB71"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r w:rsidRPr="00B004EE">
        <w:rPr>
          <w:rFonts w:ascii="Tahoma" w:hAnsi="Tahoma" w:cs="Tahoma"/>
          <w:sz w:val="20"/>
          <w:szCs w:val="20"/>
        </w:rPr>
        <w:t>La concession est accordée ou refusée, par arrêté conjoint des ministres mentionnées au premier alinéa du présent article au vu des résultats d'une enquête publique préalable</w:t>
      </w:r>
    </w:p>
    <w:p w14:paraId="61F20F9C" w14:textId="77777777" w:rsidR="0049647F" w:rsidRPr="00B004EE" w:rsidRDefault="0049647F" w:rsidP="00B004EE">
      <w:pPr>
        <w:spacing w:line="20" w:lineRule="atLeast"/>
        <w:jc w:val="both"/>
        <w:rPr>
          <w:rFonts w:ascii="Tahoma" w:eastAsia="American Typewriter" w:hAnsi="Tahoma" w:cs="Tahoma"/>
          <w:b/>
          <w:bCs/>
          <w:sz w:val="20"/>
          <w:szCs w:val="20"/>
        </w:rPr>
      </w:pPr>
    </w:p>
    <w:p w14:paraId="1E4DD167" w14:textId="77777777" w:rsidR="0049647F" w:rsidRPr="00B004EE" w:rsidRDefault="0049647F" w:rsidP="00B004EE">
      <w:pPr>
        <w:spacing w:line="20" w:lineRule="atLeast"/>
        <w:jc w:val="center"/>
        <w:rPr>
          <w:rFonts w:ascii="Tahoma" w:eastAsia="American Typewriter" w:hAnsi="Tahoma" w:cs="Tahoma"/>
          <w:b/>
          <w:bCs/>
          <w:sz w:val="20"/>
          <w:szCs w:val="20"/>
        </w:rPr>
      </w:pPr>
      <w:r w:rsidRPr="00B004EE">
        <w:rPr>
          <w:rFonts w:ascii="Tahoma" w:eastAsia="American Typewriter" w:hAnsi="Tahoma" w:cs="Tahoma"/>
          <w:b/>
          <w:bCs/>
          <w:sz w:val="20"/>
          <w:szCs w:val="20"/>
        </w:rPr>
        <w:t>Sous-section 4- Dispositions communes à l’autorisation et la concession.</w:t>
      </w:r>
    </w:p>
    <w:p w14:paraId="2A672E51" w14:textId="77777777" w:rsidR="0049647F" w:rsidRPr="00B004EE" w:rsidRDefault="0049647F" w:rsidP="00B004EE">
      <w:pPr>
        <w:pStyle w:val="Corpsdetexte"/>
        <w:tabs>
          <w:tab w:val="left" w:pos="7859"/>
        </w:tabs>
        <w:spacing w:line="20" w:lineRule="atLeast"/>
        <w:ind w:right="112"/>
        <w:rPr>
          <w:rFonts w:ascii="Tahoma" w:hAnsi="Tahoma" w:cs="Tahoma"/>
          <w:b/>
          <w:bCs/>
          <w:sz w:val="20"/>
          <w:szCs w:val="20"/>
        </w:rPr>
      </w:pPr>
    </w:p>
    <w:p w14:paraId="5368A15B"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r w:rsidRPr="00B004EE">
        <w:rPr>
          <w:rFonts w:ascii="Tahoma" w:hAnsi="Tahoma" w:cs="Tahoma"/>
          <w:sz w:val="20"/>
          <w:szCs w:val="20"/>
        </w:rPr>
        <w:t>Article 25</w:t>
      </w:r>
      <w:r w:rsidRPr="00B004EE">
        <w:rPr>
          <w:rFonts w:ascii="Tahoma" w:hAnsi="Tahoma" w:cs="Tahoma"/>
          <w:b/>
          <w:bCs/>
          <w:sz w:val="20"/>
          <w:szCs w:val="20"/>
        </w:rPr>
        <w:t xml:space="preserve"> : </w:t>
      </w:r>
      <w:r w:rsidRPr="00B004EE">
        <w:rPr>
          <w:rFonts w:ascii="Tahoma" w:hAnsi="Tahoma" w:cs="Tahoma"/>
          <w:sz w:val="20"/>
          <w:szCs w:val="20"/>
        </w:rPr>
        <w:t>les autorisations ou concessions sont accordées à titre précaire et révocable, hormis le cas où l'opération faisant l’objet de la concession présente un caractère d’intérêt général ou bénéficie d’une déclaration d'utilité publique.</w:t>
      </w:r>
    </w:p>
    <w:p w14:paraId="70030848"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r w:rsidRPr="00B004EE">
        <w:rPr>
          <w:rFonts w:ascii="Tahoma" w:hAnsi="Tahoma" w:cs="Tahoma"/>
          <w:sz w:val="20"/>
          <w:szCs w:val="20"/>
        </w:rPr>
        <w:lastRenderedPageBreak/>
        <w:t>Dans les autres cas, la modification ou la révocation sans indemnité de l’acte d 'autorisation ou de concession est prononcées de plein droit, à tout moment par. Le ministre chargé de l’eau en particulier lorsque cette modification ou révocation rendue nécessaire pour l’alimentation en­ eau des populations soit pour prévenir ou faire cesser un trouble de dommageable causé par les eaux soit de raison d’inobservation des clauses quelle comporte.</w:t>
      </w:r>
    </w:p>
    <w:p w14:paraId="3F61A565"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p>
    <w:p w14:paraId="2012FB9F"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r w:rsidRPr="00B004EE">
        <w:rPr>
          <w:rFonts w:ascii="Tahoma" w:hAnsi="Tahoma" w:cs="Tahoma"/>
          <w:sz w:val="20"/>
          <w:szCs w:val="20"/>
        </w:rPr>
        <w:t>Article 26 :</w:t>
      </w:r>
      <w:r w:rsidRPr="00B004EE">
        <w:rPr>
          <w:rFonts w:ascii="Tahoma" w:hAnsi="Tahoma" w:cs="Tahoma"/>
          <w:b/>
          <w:bCs/>
          <w:sz w:val="20"/>
          <w:szCs w:val="20"/>
        </w:rPr>
        <w:t xml:space="preserve"> </w:t>
      </w:r>
      <w:r w:rsidRPr="00B004EE">
        <w:rPr>
          <w:rFonts w:ascii="Tahoma" w:hAnsi="Tahoma" w:cs="Tahoma"/>
          <w:sz w:val="20"/>
          <w:szCs w:val="20"/>
        </w:rPr>
        <w:t xml:space="preserve">tout transfert partiel ou total d’autorisation ou de concession ne peut se faire qu’après accord préalable du Ministre chargé de l’eau </w:t>
      </w:r>
    </w:p>
    <w:p w14:paraId="134BB3C5" w14:textId="77777777" w:rsidR="0049647F" w:rsidRPr="00B004EE" w:rsidRDefault="0049647F" w:rsidP="00B004EE">
      <w:pPr>
        <w:pStyle w:val="Corpsdetexte"/>
        <w:tabs>
          <w:tab w:val="left" w:pos="7859"/>
        </w:tabs>
        <w:spacing w:line="20" w:lineRule="atLeast"/>
        <w:ind w:right="112"/>
        <w:rPr>
          <w:rFonts w:ascii="Tahoma" w:hAnsi="Tahoma" w:cs="Tahoma"/>
          <w:b/>
          <w:bCs/>
          <w:sz w:val="20"/>
          <w:szCs w:val="20"/>
        </w:rPr>
      </w:pPr>
    </w:p>
    <w:p w14:paraId="5A3C3819"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r w:rsidRPr="00B004EE">
        <w:rPr>
          <w:rFonts w:ascii="Tahoma" w:hAnsi="Tahoma" w:cs="Tahoma"/>
          <w:sz w:val="20"/>
          <w:szCs w:val="20"/>
        </w:rPr>
        <w:t>Article 27 : En cas de demandes concurrentes d’autorisation ou de concession le ministre chargé de l’eau statut au regard des priorités d’usages définies dans l’article5 ci-dessous.</w:t>
      </w:r>
    </w:p>
    <w:p w14:paraId="53410560"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r w:rsidRPr="00B004EE">
        <w:rPr>
          <w:rFonts w:ascii="Tahoma" w:hAnsi="Tahoma" w:cs="Tahoma"/>
          <w:sz w:val="20"/>
          <w:szCs w:val="20"/>
        </w:rPr>
        <w:t>Lorsque aucune demande ne revêt un caractère de priorité par rapport à une autre le ministre chargé de l’eau décide s’il y a lieu d’accorder la préférence à la première en date</w:t>
      </w:r>
    </w:p>
    <w:p w14:paraId="00781C1B" w14:textId="77777777" w:rsidR="0049647F" w:rsidRPr="00B004EE" w:rsidRDefault="0049647F" w:rsidP="00B004EE">
      <w:pPr>
        <w:pStyle w:val="Corpsdetexte"/>
        <w:tabs>
          <w:tab w:val="left" w:pos="7859"/>
        </w:tabs>
        <w:spacing w:line="20" w:lineRule="atLeast"/>
        <w:ind w:right="112"/>
        <w:rPr>
          <w:rFonts w:ascii="Tahoma" w:hAnsi="Tahoma" w:cs="Tahoma"/>
          <w:b/>
          <w:bCs/>
          <w:sz w:val="20"/>
          <w:szCs w:val="20"/>
        </w:rPr>
      </w:pPr>
    </w:p>
    <w:p w14:paraId="1ADADE53"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r w:rsidRPr="00B004EE">
        <w:rPr>
          <w:rFonts w:ascii="Tahoma" w:hAnsi="Tahoma" w:cs="Tahoma"/>
          <w:sz w:val="20"/>
          <w:szCs w:val="20"/>
        </w:rPr>
        <w:t>Article 28 : les frais d’instruction sur les lieux de demande d’autorisation ou de concession, que celles-ci soient accordées ou refusées sont à la charge du demandeur. Il en est de même pour les frais de récolement des travaux.</w:t>
      </w:r>
    </w:p>
    <w:p w14:paraId="598FD791" w14:textId="77777777" w:rsidR="0049647F" w:rsidRPr="00B004EE" w:rsidRDefault="0049647F" w:rsidP="00B004EE">
      <w:pPr>
        <w:pStyle w:val="Corpsdetexte"/>
        <w:tabs>
          <w:tab w:val="left" w:pos="7859"/>
        </w:tabs>
        <w:spacing w:line="20" w:lineRule="atLeast"/>
        <w:ind w:right="112"/>
        <w:rPr>
          <w:rFonts w:ascii="Tahoma" w:hAnsi="Tahoma" w:cs="Tahoma"/>
          <w:b/>
          <w:bCs/>
          <w:sz w:val="20"/>
          <w:szCs w:val="20"/>
        </w:rPr>
      </w:pPr>
    </w:p>
    <w:p w14:paraId="7E4DAA9B"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r w:rsidRPr="00B004EE">
        <w:rPr>
          <w:rFonts w:ascii="Tahoma" w:hAnsi="Tahoma" w:cs="Tahoma"/>
          <w:sz w:val="20"/>
          <w:szCs w:val="20"/>
        </w:rPr>
        <w:t>Article 29 : les autorisations et concessions sont accordés sous réserves des droits des tierces.</w:t>
      </w:r>
    </w:p>
    <w:p w14:paraId="0496E510"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p>
    <w:p w14:paraId="2BDE47E4"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r w:rsidRPr="00B004EE">
        <w:rPr>
          <w:rFonts w:ascii="Tahoma" w:hAnsi="Tahoma" w:cs="Tahoma"/>
          <w:sz w:val="20"/>
          <w:szCs w:val="20"/>
        </w:rPr>
        <w:t>Article 30 : L’autorisation et la concession donnent lieu à la perception d'une redevance fixée par décret pris sur rapport conjoint du Ministre 'chargé des finances et du Ministre chargé de l'eau.</w:t>
      </w:r>
    </w:p>
    <w:p w14:paraId="0978CEB2"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r w:rsidRPr="00B004EE">
        <w:rPr>
          <w:rFonts w:ascii="Tahoma" w:hAnsi="Tahoma" w:cs="Tahoma"/>
          <w:sz w:val="20"/>
          <w:szCs w:val="20"/>
        </w:rPr>
        <w:t>La redevance est calculée en fonction de la quantité d’eau prélevée ou de la quantité de pollution rejetée dans le domaine public hydraulique à partir de dispositifs d’évaluation ou de comptage installés aux frais du bénéficiaire de l'autorisation ou de la concession.</w:t>
      </w:r>
    </w:p>
    <w:p w14:paraId="7A9E4679"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r w:rsidRPr="00B004EE">
        <w:rPr>
          <w:rFonts w:ascii="Tahoma" w:hAnsi="Tahoma" w:cs="Tahoma"/>
          <w:sz w:val="20"/>
          <w:szCs w:val="20"/>
        </w:rPr>
        <w:t>Les installations existantes disposent d’un délai de deux ans à compter de la publication du présent code au Journal officiel pour se mettre en conformité.</w:t>
      </w:r>
    </w:p>
    <w:p w14:paraId="2502788F"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p>
    <w:p w14:paraId="6AD7CF4D"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r w:rsidRPr="00B004EE">
        <w:rPr>
          <w:rFonts w:ascii="Tahoma" w:hAnsi="Tahoma" w:cs="Tahoma"/>
          <w:sz w:val="20"/>
          <w:szCs w:val="20"/>
        </w:rPr>
        <w:t xml:space="preserve">Article 31 : Les 1modalités d’application des articles 1 8 à 30 ci-dessus sont fixées par décret. Notamment en ce qui concerne : </w:t>
      </w:r>
    </w:p>
    <w:p w14:paraId="7438B681" w14:textId="77777777" w:rsidR="0049647F" w:rsidRPr="00B004EE" w:rsidRDefault="0049647F" w:rsidP="00420DDA">
      <w:pPr>
        <w:pStyle w:val="Corpsdetexte"/>
        <w:widowControl w:val="0"/>
        <w:numPr>
          <w:ilvl w:val="1"/>
          <w:numId w:val="113"/>
        </w:numPr>
        <w:tabs>
          <w:tab w:val="left" w:pos="7859"/>
        </w:tabs>
        <w:autoSpaceDE/>
        <w:autoSpaceDN/>
        <w:adjustRightInd/>
        <w:spacing w:line="20" w:lineRule="atLeast"/>
        <w:ind w:left="567" w:right="112"/>
        <w:rPr>
          <w:rFonts w:ascii="Tahoma" w:hAnsi="Tahoma" w:cs="Tahoma"/>
          <w:sz w:val="20"/>
          <w:szCs w:val="20"/>
        </w:rPr>
      </w:pPr>
      <w:r w:rsidRPr="00B004EE">
        <w:rPr>
          <w:rFonts w:ascii="Tahoma" w:hAnsi="Tahoma" w:cs="Tahoma"/>
          <w:sz w:val="20"/>
          <w:szCs w:val="20"/>
        </w:rPr>
        <w:t>Les seuils de soumission aux procédures de déclaration autorisation et concessions :</w:t>
      </w:r>
    </w:p>
    <w:p w14:paraId="3EBE64AE" w14:textId="77777777" w:rsidR="0049647F" w:rsidRPr="00B004EE" w:rsidRDefault="0049647F" w:rsidP="00420DDA">
      <w:pPr>
        <w:pStyle w:val="Corpsdetexte"/>
        <w:widowControl w:val="0"/>
        <w:numPr>
          <w:ilvl w:val="1"/>
          <w:numId w:val="113"/>
        </w:numPr>
        <w:tabs>
          <w:tab w:val="left" w:pos="7859"/>
        </w:tabs>
        <w:autoSpaceDE/>
        <w:autoSpaceDN/>
        <w:adjustRightInd/>
        <w:spacing w:line="20" w:lineRule="atLeast"/>
        <w:ind w:left="567" w:right="112"/>
        <w:rPr>
          <w:rFonts w:ascii="Tahoma" w:hAnsi="Tahoma" w:cs="Tahoma"/>
          <w:sz w:val="20"/>
          <w:szCs w:val="20"/>
        </w:rPr>
      </w:pPr>
      <w:proofErr w:type="gramStart"/>
      <w:r w:rsidRPr="00B004EE">
        <w:rPr>
          <w:rFonts w:ascii="Tahoma" w:hAnsi="Tahoma" w:cs="Tahoma"/>
          <w:sz w:val="20"/>
          <w:szCs w:val="20"/>
        </w:rPr>
        <w:t>la</w:t>
      </w:r>
      <w:proofErr w:type="gramEnd"/>
      <w:r w:rsidRPr="00B004EE">
        <w:rPr>
          <w:rFonts w:ascii="Tahoma" w:hAnsi="Tahoma" w:cs="Tahoma"/>
          <w:sz w:val="20"/>
          <w:szCs w:val="20"/>
        </w:rPr>
        <w:t xml:space="preserve"> définition de l’usage domestique de l’eau</w:t>
      </w:r>
    </w:p>
    <w:p w14:paraId="29293DC1" w14:textId="77777777" w:rsidR="0049647F" w:rsidRPr="00B004EE" w:rsidRDefault="0049647F" w:rsidP="00420DDA">
      <w:pPr>
        <w:pStyle w:val="Corpsdetexte"/>
        <w:widowControl w:val="0"/>
        <w:numPr>
          <w:ilvl w:val="1"/>
          <w:numId w:val="113"/>
        </w:numPr>
        <w:tabs>
          <w:tab w:val="left" w:pos="7859"/>
        </w:tabs>
        <w:autoSpaceDE/>
        <w:autoSpaceDN/>
        <w:adjustRightInd/>
        <w:spacing w:line="20" w:lineRule="atLeast"/>
        <w:ind w:left="567" w:right="112"/>
        <w:rPr>
          <w:rFonts w:ascii="Tahoma" w:hAnsi="Tahoma" w:cs="Tahoma"/>
          <w:sz w:val="20"/>
          <w:szCs w:val="20"/>
        </w:rPr>
      </w:pPr>
      <w:proofErr w:type="gramStart"/>
      <w:r w:rsidRPr="00B004EE">
        <w:rPr>
          <w:rFonts w:ascii="Tahoma" w:hAnsi="Tahoma" w:cs="Tahoma"/>
          <w:sz w:val="20"/>
          <w:szCs w:val="20"/>
        </w:rPr>
        <w:t>les</w:t>
      </w:r>
      <w:proofErr w:type="gramEnd"/>
      <w:r w:rsidRPr="00B004EE">
        <w:rPr>
          <w:rFonts w:ascii="Tahoma" w:hAnsi="Tahoma" w:cs="Tahoma"/>
          <w:sz w:val="20"/>
          <w:szCs w:val="20"/>
        </w:rPr>
        <w:t xml:space="preserve"> procédures de déclaration, autorisation et concession</w:t>
      </w:r>
    </w:p>
    <w:p w14:paraId="2E32E716" w14:textId="77777777" w:rsidR="0049647F" w:rsidRPr="00B004EE" w:rsidRDefault="0049647F" w:rsidP="00420DDA">
      <w:pPr>
        <w:pStyle w:val="Corpsdetexte"/>
        <w:widowControl w:val="0"/>
        <w:numPr>
          <w:ilvl w:val="1"/>
          <w:numId w:val="113"/>
        </w:numPr>
        <w:tabs>
          <w:tab w:val="left" w:pos="7859"/>
        </w:tabs>
        <w:autoSpaceDE/>
        <w:autoSpaceDN/>
        <w:adjustRightInd/>
        <w:spacing w:line="20" w:lineRule="atLeast"/>
        <w:ind w:left="567" w:right="112"/>
        <w:rPr>
          <w:rFonts w:ascii="Tahoma" w:hAnsi="Tahoma" w:cs="Tahoma"/>
          <w:sz w:val="20"/>
          <w:szCs w:val="20"/>
        </w:rPr>
      </w:pPr>
      <w:proofErr w:type="gramStart"/>
      <w:r w:rsidRPr="00B004EE">
        <w:rPr>
          <w:rFonts w:ascii="Tahoma" w:hAnsi="Tahoma" w:cs="Tahoma"/>
          <w:sz w:val="20"/>
          <w:szCs w:val="20"/>
        </w:rPr>
        <w:t>les</w:t>
      </w:r>
      <w:proofErr w:type="gramEnd"/>
      <w:r w:rsidRPr="00B004EE">
        <w:rPr>
          <w:rFonts w:ascii="Tahoma" w:hAnsi="Tahoma" w:cs="Tahoma"/>
          <w:sz w:val="20"/>
          <w:szCs w:val="20"/>
        </w:rPr>
        <w:t xml:space="preserve"> conditions dans lesquelles sont effectuées les contrôles du respect des prescriptions ;</w:t>
      </w:r>
    </w:p>
    <w:p w14:paraId="71D805E4" w14:textId="77777777" w:rsidR="0049647F" w:rsidRPr="00B004EE" w:rsidRDefault="0049647F" w:rsidP="00420DDA">
      <w:pPr>
        <w:pStyle w:val="Corpsdetexte"/>
        <w:widowControl w:val="0"/>
        <w:numPr>
          <w:ilvl w:val="1"/>
          <w:numId w:val="113"/>
        </w:numPr>
        <w:tabs>
          <w:tab w:val="left" w:pos="7859"/>
        </w:tabs>
        <w:autoSpaceDE/>
        <w:autoSpaceDN/>
        <w:adjustRightInd/>
        <w:spacing w:line="20" w:lineRule="atLeast"/>
        <w:ind w:left="567" w:right="112"/>
        <w:rPr>
          <w:rFonts w:ascii="Tahoma" w:hAnsi="Tahoma" w:cs="Tahoma"/>
          <w:sz w:val="20"/>
          <w:szCs w:val="20"/>
        </w:rPr>
      </w:pPr>
      <w:proofErr w:type="gramStart"/>
      <w:r w:rsidRPr="00B004EE">
        <w:rPr>
          <w:rFonts w:ascii="Tahoma" w:hAnsi="Tahoma" w:cs="Tahoma"/>
          <w:sz w:val="20"/>
          <w:szCs w:val="20"/>
        </w:rPr>
        <w:t>les</w:t>
      </w:r>
      <w:proofErr w:type="gramEnd"/>
      <w:r w:rsidRPr="00B004EE">
        <w:rPr>
          <w:rFonts w:ascii="Tahoma" w:hAnsi="Tahoma" w:cs="Tahoma"/>
          <w:sz w:val="20"/>
          <w:szCs w:val="20"/>
        </w:rPr>
        <w:t xml:space="preserve"> condition de détermination de l’assiette et du taux de la redevance due pour prélèvement ou pollution.</w:t>
      </w:r>
    </w:p>
    <w:p w14:paraId="0766DFF0" w14:textId="77777777" w:rsidR="0049647F" w:rsidRPr="00B004EE" w:rsidRDefault="0049647F" w:rsidP="00B004EE">
      <w:pPr>
        <w:spacing w:line="20" w:lineRule="atLeast"/>
        <w:jc w:val="both"/>
        <w:rPr>
          <w:rFonts w:ascii="Tahoma" w:eastAsia="American Typewriter" w:hAnsi="Tahoma" w:cs="Tahoma"/>
          <w:b/>
          <w:bCs/>
          <w:sz w:val="20"/>
          <w:szCs w:val="20"/>
        </w:rPr>
      </w:pPr>
    </w:p>
    <w:p w14:paraId="10A9A114" w14:textId="77777777" w:rsidR="0049647F" w:rsidRPr="00B004EE" w:rsidRDefault="0049647F" w:rsidP="00B004EE">
      <w:pPr>
        <w:spacing w:line="20" w:lineRule="atLeast"/>
        <w:jc w:val="center"/>
        <w:rPr>
          <w:rFonts w:ascii="Tahoma" w:eastAsia="American Typewriter" w:hAnsi="Tahoma" w:cs="Tahoma"/>
          <w:b/>
          <w:bCs/>
          <w:sz w:val="20"/>
          <w:szCs w:val="20"/>
        </w:rPr>
      </w:pPr>
      <w:r w:rsidRPr="00B004EE">
        <w:rPr>
          <w:rFonts w:ascii="Tahoma" w:eastAsia="American Typewriter" w:hAnsi="Tahoma" w:cs="Tahoma"/>
          <w:b/>
          <w:bCs/>
          <w:sz w:val="20"/>
          <w:szCs w:val="20"/>
        </w:rPr>
        <w:t>SOUS-TITRE II - NORMES DE PROTECION</w:t>
      </w:r>
    </w:p>
    <w:p w14:paraId="56953A28" w14:textId="77777777" w:rsidR="0049647F" w:rsidRPr="00B004EE" w:rsidRDefault="0049647F" w:rsidP="00B004EE">
      <w:pPr>
        <w:spacing w:line="20" w:lineRule="atLeast"/>
        <w:jc w:val="both"/>
        <w:rPr>
          <w:rFonts w:ascii="Tahoma" w:eastAsia="American Typewriter" w:hAnsi="Tahoma" w:cs="Tahoma"/>
          <w:b/>
          <w:bCs/>
          <w:sz w:val="20"/>
          <w:szCs w:val="20"/>
        </w:rPr>
      </w:pPr>
    </w:p>
    <w:p w14:paraId="35E4EBB8"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r w:rsidRPr="00B004EE">
        <w:rPr>
          <w:rFonts w:ascii="Tahoma" w:hAnsi="Tahoma" w:cs="Tahoma"/>
          <w:sz w:val="20"/>
          <w:szCs w:val="20"/>
        </w:rPr>
        <w:t>Article 32 : Pour faire face à une menace ou aux conséquences d’accidents de sécheresse, d’une pollution accidentelle d'inondations ou à un risque de pénurie, le ministre chargé de l'eau peut de plein droit et sans indemnité ordonner des mesurés de limitation ou de suspension provisoire ou définitive des usages de l’eau.</w:t>
      </w:r>
    </w:p>
    <w:p w14:paraId="2A33CDDB"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r w:rsidRPr="00B004EE">
        <w:rPr>
          <w:rFonts w:ascii="Tahoma" w:hAnsi="Tahoma" w:cs="Tahoma"/>
          <w:sz w:val="20"/>
          <w:szCs w:val="20"/>
        </w:rPr>
        <w:t>Au cas où la ressource en eau est menacée au plan quantitatif ou qualitatif des zones de sauvegarde stratégique peuvent être instaurées sur les eaux superficielles ou souterraines, à l'initiative du ministre chargé de l’eau</w:t>
      </w:r>
    </w:p>
    <w:p w14:paraId="206D267F" w14:textId="77777777" w:rsidR="0049647F" w:rsidRPr="00B004EE" w:rsidRDefault="0049647F" w:rsidP="00B004EE">
      <w:pPr>
        <w:pStyle w:val="Corpsdetexte"/>
        <w:tabs>
          <w:tab w:val="left" w:pos="7859"/>
        </w:tabs>
        <w:spacing w:line="20" w:lineRule="atLeast"/>
        <w:ind w:right="112"/>
        <w:rPr>
          <w:rFonts w:ascii="Tahoma" w:hAnsi="Tahoma" w:cs="Tahoma"/>
          <w:b/>
          <w:bCs/>
          <w:sz w:val="20"/>
          <w:szCs w:val="20"/>
        </w:rPr>
      </w:pPr>
    </w:p>
    <w:p w14:paraId="166AAB1C"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r w:rsidRPr="00B004EE">
        <w:rPr>
          <w:rFonts w:ascii="Tahoma" w:hAnsi="Tahoma" w:cs="Tahoma"/>
          <w:sz w:val="20"/>
          <w:szCs w:val="20"/>
        </w:rPr>
        <w:t>Article 33 : Les modalités d'application de !"article 32 ci-dessus sont fixées par décret notamment en ce qui concerne :</w:t>
      </w:r>
    </w:p>
    <w:p w14:paraId="153303E7" w14:textId="77777777" w:rsidR="0049647F" w:rsidRPr="00B004EE" w:rsidRDefault="0049647F" w:rsidP="00420DDA">
      <w:pPr>
        <w:pStyle w:val="Corpsdetexte"/>
        <w:widowControl w:val="0"/>
        <w:numPr>
          <w:ilvl w:val="0"/>
          <w:numId w:val="103"/>
        </w:numPr>
        <w:tabs>
          <w:tab w:val="left" w:pos="7859"/>
        </w:tabs>
        <w:autoSpaceDE/>
        <w:autoSpaceDN/>
        <w:adjustRightInd/>
        <w:spacing w:line="20" w:lineRule="atLeast"/>
        <w:ind w:left="567" w:right="112"/>
        <w:rPr>
          <w:rFonts w:ascii="Tahoma" w:hAnsi="Tahoma" w:cs="Tahoma"/>
          <w:sz w:val="20"/>
          <w:szCs w:val="20"/>
        </w:rPr>
      </w:pPr>
      <w:proofErr w:type="gramStart"/>
      <w:r w:rsidRPr="00B004EE">
        <w:rPr>
          <w:rFonts w:ascii="Tahoma" w:hAnsi="Tahoma" w:cs="Tahoma"/>
          <w:sz w:val="20"/>
          <w:szCs w:val="20"/>
        </w:rPr>
        <w:t>les</w:t>
      </w:r>
      <w:proofErr w:type="gramEnd"/>
      <w:r w:rsidRPr="00B004EE">
        <w:rPr>
          <w:rFonts w:ascii="Tahoma" w:hAnsi="Tahoma" w:cs="Tahoma"/>
          <w:sz w:val="20"/>
          <w:szCs w:val="20"/>
        </w:rPr>
        <w:t xml:space="preserve"> conditions de mise en œuvre des mesures de limitation ou de suspension provisoire ou définitive des usages de l'eau ;</w:t>
      </w:r>
    </w:p>
    <w:p w14:paraId="61296745" w14:textId="77777777" w:rsidR="0049647F" w:rsidRPr="00B004EE" w:rsidRDefault="0049647F" w:rsidP="00420DDA">
      <w:pPr>
        <w:pStyle w:val="Corpsdetexte"/>
        <w:widowControl w:val="0"/>
        <w:numPr>
          <w:ilvl w:val="0"/>
          <w:numId w:val="103"/>
        </w:numPr>
        <w:tabs>
          <w:tab w:val="left" w:pos="7859"/>
        </w:tabs>
        <w:autoSpaceDE/>
        <w:autoSpaceDN/>
        <w:adjustRightInd/>
        <w:spacing w:line="20" w:lineRule="atLeast"/>
        <w:ind w:left="567" w:right="112"/>
        <w:rPr>
          <w:rFonts w:ascii="Tahoma" w:hAnsi="Tahoma" w:cs="Tahoma"/>
          <w:sz w:val="20"/>
          <w:szCs w:val="20"/>
        </w:rPr>
      </w:pPr>
      <w:proofErr w:type="gramStart"/>
      <w:r w:rsidRPr="00B004EE">
        <w:rPr>
          <w:rFonts w:ascii="Tahoma" w:hAnsi="Tahoma" w:cs="Tahoma"/>
          <w:sz w:val="20"/>
          <w:szCs w:val="20"/>
        </w:rPr>
        <w:t>les</w:t>
      </w:r>
      <w:proofErr w:type="gramEnd"/>
      <w:r w:rsidRPr="00B004EE">
        <w:rPr>
          <w:rFonts w:ascii="Tahoma" w:hAnsi="Tahoma" w:cs="Tahoma"/>
          <w:sz w:val="20"/>
          <w:szCs w:val="20"/>
        </w:rPr>
        <w:t xml:space="preserve"> conditions d’instauration des zones de sauvegarde stratégique de la ressource en eau.</w:t>
      </w:r>
    </w:p>
    <w:p w14:paraId="0C6B9E4E" w14:textId="77777777" w:rsidR="0049647F" w:rsidRPr="00B004EE" w:rsidRDefault="0049647F" w:rsidP="00B004EE">
      <w:pPr>
        <w:spacing w:line="20" w:lineRule="atLeast"/>
        <w:jc w:val="both"/>
        <w:rPr>
          <w:rFonts w:ascii="Tahoma" w:eastAsia="American Typewriter" w:hAnsi="Tahoma" w:cs="Tahoma"/>
          <w:b/>
          <w:bCs/>
          <w:sz w:val="20"/>
          <w:szCs w:val="20"/>
        </w:rPr>
      </w:pPr>
    </w:p>
    <w:p w14:paraId="17A4E0D1" w14:textId="77777777" w:rsidR="0049647F" w:rsidRPr="00B004EE" w:rsidRDefault="0049647F" w:rsidP="00B004EE">
      <w:pPr>
        <w:spacing w:line="20" w:lineRule="atLeast"/>
        <w:jc w:val="center"/>
        <w:rPr>
          <w:rFonts w:ascii="Tahoma" w:eastAsia="American Typewriter" w:hAnsi="Tahoma" w:cs="Tahoma"/>
          <w:b/>
          <w:bCs/>
          <w:sz w:val="20"/>
          <w:szCs w:val="20"/>
        </w:rPr>
      </w:pPr>
      <w:r w:rsidRPr="00B004EE">
        <w:rPr>
          <w:rFonts w:ascii="Tahoma" w:eastAsia="American Typewriter" w:hAnsi="Tahoma" w:cs="Tahoma"/>
          <w:b/>
          <w:bCs/>
          <w:sz w:val="20"/>
          <w:szCs w:val="20"/>
        </w:rPr>
        <w:lastRenderedPageBreak/>
        <w:t>SOUS-TITRE III QUALITE DE L’EAU OFFERTE A LA CONSOMMATION HUMAINE</w:t>
      </w:r>
    </w:p>
    <w:p w14:paraId="2B517A88" w14:textId="77777777" w:rsidR="0049647F" w:rsidRPr="00B004EE" w:rsidRDefault="0049647F" w:rsidP="00B004EE">
      <w:pPr>
        <w:spacing w:line="20" w:lineRule="atLeast"/>
        <w:jc w:val="center"/>
        <w:rPr>
          <w:rFonts w:ascii="Tahoma" w:eastAsia="American Typewriter" w:hAnsi="Tahoma" w:cs="Tahoma"/>
          <w:b/>
          <w:bCs/>
          <w:sz w:val="20"/>
          <w:szCs w:val="20"/>
        </w:rPr>
      </w:pPr>
    </w:p>
    <w:p w14:paraId="6FD68D9E"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r w:rsidRPr="00B004EE">
        <w:rPr>
          <w:rFonts w:ascii="Tahoma" w:hAnsi="Tahoma" w:cs="Tahoma"/>
          <w:sz w:val="20"/>
          <w:szCs w:val="20"/>
        </w:rPr>
        <w:t>Article 34 : Quiconque offre au public de l'eau en vue de l’alimentation hun1aine.à titre onéreux ou gratuit sous quelque forme que ce soit, y compris de l'eau minérale ou naturelle et de la glace alimentaire est tenu de s'assurer que cette eau est conforme aux normes de potabilité définies par la législation et la réglementation en vigueur.</w:t>
      </w:r>
    </w:p>
    <w:p w14:paraId="1503DAEA"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p>
    <w:p w14:paraId="4FF207DE"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r w:rsidRPr="00B004EE">
        <w:rPr>
          <w:rFonts w:ascii="Tahoma" w:hAnsi="Tahoma" w:cs="Tahoma"/>
          <w:sz w:val="20"/>
          <w:szCs w:val="20"/>
        </w:rPr>
        <w:t>En cas de distribution publique d'eau potable le service distributeur de l'eau est tenu de s'assurer de la conformité de l'eau distribuée aux nonnes mentionnées à l'alinéa précédent.</w:t>
      </w:r>
    </w:p>
    <w:p w14:paraId="1324A6B8"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p>
    <w:p w14:paraId="001C96DF"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r w:rsidRPr="00B004EE">
        <w:rPr>
          <w:rFonts w:ascii="Tahoma" w:hAnsi="Tahoma" w:cs="Tahoma"/>
          <w:sz w:val="20"/>
          <w:szCs w:val="20"/>
        </w:rPr>
        <w:t>Article 35 : Le service distributeur de l’eau est tenu de faire analyser périodiquement l'eau distribuée et autant de fois qu'il le jugera utile dans les cas d'épidémie ou de forte présomption d'épidémie, sous le contrôle des agents du ministère chargé de la santé publique qui à cette fin ont libre accès à toute installation et documentation.·. ·</w:t>
      </w:r>
    </w:p>
    <w:p w14:paraId="63D49B10"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r w:rsidRPr="00B004EE">
        <w:rPr>
          <w:rFonts w:ascii="Tahoma" w:hAnsi="Tahoma" w:cs="Tahoma"/>
          <w:sz w:val="20"/>
          <w:szCs w:val="20"/>
        </w:rPr>
        <w:t>Les frais d'analysé sont à la charge du service distributeur ou du délégataire. Pour le contrôle périodique de la qualité de l'eau offerte à la consommation humaine, il est obligatoirement fait appel à un laboratoire agréé par le ministre chargé de la santé publique.</w:t>
      </w:r>
    </w:p>
    <w:p w14:paraId="6E4D9B8A"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p>
    <w:p w14:paraId="3254E67C"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r w:rsidRPr="00B004EE">
        <w:rPr>
          <w:rFonts w:ascii="Tahoma" w:hAnsi="Tahoma" w:cs="Tahoma"/>
          <w:sz w:val="20"/>
          <w:szCs w:val="20"/>
        </w:rPr>
        <w:t>Article 36 : Le service distributeur de l’eau est présumé ·responsable des dommages résultant d'un défaut de conformité de l'eau aux nonnes de potabilité mentionné article 34 ci-dessus à charge pour celui-ci d’apporter la preuve de l’existence d’une cause exonératoire de sa responsabilité</w:t>
      </w:r>
    </w:p>
    <w:p w14:paraId="7E1AE581" w14:textId="77777777" w:rsidR="0049647F" w:rsidRPr="00B004EE" w:rsidRDefault="0049647F" w:rsidP="00B004EE">
      <w:pPr>
        <w:spacing w:line="20" w:lineRule="atLeast"/>
        <w:jc w:val="both"/>
        <w:rPr>
          <w:rFonts w:ascii="Tahoma" w:hAnsi="Tahoma" w:cs="Tahoma"/>
          <w:b/>
          <w:bCs/>
          <w:sz w:val="20"/>
          <w:szCs w:val="20"/>
        </w:rPr>
      </w:pPr>
    </w:p>
    <w:p w14:paraId="68E38A7C" w14:textId="77777777" w:rsidR="0049647F" w:rsidRPr="00B004EE" w:rsidRDefault="0049647F" w:rsidP="00B004EE">
      <w:pPr>
        <w:spacing w:line="20" w:lineRule="atLeast"/>
        <w:jc w:val="center"/>
        <w:rPr>
          <w:rFonts w:ascii="Tahoma" w:hAnsi="Tahoma" w:cs="Tahoma"/>
          <w:b/>
          <w:bCs/>
          <w:sz w:val="20"/>
          <w:szCs w:val="20"/>
        </w:rPr>
      </w:pPr>
      <w:r w:rsidRPr="00B004EE">
        <w:rPr>
          <w:rFonts w:ascii="Tahoma" w:hAnsi="Tahoma" w:cs="Tahoma"/>
          <w:b/>
          <w:bCs/>
          <w:sz w:val="20"/>
          <w:szCs w:val="20"/>
        </w:rPr>
        <w:t>TITRE V : ASSAINISSEMENT·DES.EAUX USEES DOMESTIQUES ET INDUSRTIELLES RACCORDEES</w:t>
      </w:r>
    </w:p>
    <w:p w14:paraId="7C44A45D" w14:textId="77777777" w:rsidR="0049647F" w:rsidRPr="00B004EE" w:rsidRDefault="0049647F" w:rsidP="00B004EE">
      <w:pPr>
        <w:spacing w:line="20" w:lineRule="atLeast"/>
        <w:jc w:val="both"/>
        <w:rPr>
          <w:rFonts w:ascii="Tahoma" w:hAnsi="Tahoma" w:cs="Tahoma"/>
          <w:b/>
          <w:bCs/>
          <w:sz w:val="20"/>
          <w:szCs w:val="20"/>
        </w:rPr>
      </w:pPr>
    </w:p>
    <w:p w14:paraId="70628482" w14:textId="77777777" w:rsidR="0049647F" w:rsidRPr="00B004EE" w:rsidRDefault="0049647F" w:rsidP="00B004EE">
      <w:pPr>
        <w:spacing w:line="20" w:lineRule="atLeast"/>
        <w:jc w:val="both"/>
        <w:rPr>
          <w:rFonts w:ascii="Tahoma" w:hAnsi="Tahoma" w:cs="Tahoma"/>
          <w:sz w:val="20"/>
          <w:szCs w:val="20"/>
        </w:rPr>
      </w:pPr>
      <w:r w:rsidRPr="00B004EE">
        <w:rPr>
          <w:rFonts w:ascii="Tahoma" w:hAnsi="Tahoma" w:cs="Tahoma"/>
          <w:sz w:val="20"/>
          <w:szCs w:val="20"/>
        </w:rPr>
        <w:t>Article 37 : les agglomérations disposant· d'un schéma directeur d'urbanisme doivent être· dotées d’un assainissement collectif permettant d'assurer une évacuation rapide des eaux usées domestiques et industrielle raccordée ainsi que leur traitement dans des conditions conformes aux exigences de la santé publique et de la protection de l’environnement.</w:t>
      </w:r>
    </w:p>
    <w:p w14:paraId="0E8271D4" w14:textId="77777777" w:rsidR="0049647F" w:rsidRPr="00B004EE" w:rsidRDefault="0049647F" w:rsidP="00B004EE">
      <w:pPr>
        <w:spacing w:line="20" w:lineRule="atLeast"/>
        <w:jc w:val="both"/>
        <w:rPr>
          <w:rFonts w:ascii="Tahoma" w:hAnsi="Tahoma" w:cs="Tahoma"/>
          <w:sz w:val="20"/>
          <w:szCs w:val="20"/>
        </w:rPr>
      </w:pPr>
      <w:r w:rsidRPr="00B004EE">
        <w:rPr>
          <w:rFonts w:ascii="Tahoma" w:hAnsi="Tahoma" w:cs="Tahoma"/>
          <w:sz w:val="20"/>
          <w:szCs w:val="20"/>
        </w:rPr>
        <w:t>Dans un délai fixé par arrêté conjoint des ministres chargés de l’eau, des collectivités locales et de la santé publique, à compter de la mise en service du réseau d’assainissement collectif, le raccordement à l’égout de toute habitation ou établissement rejetant des eaux usées est obligatoire.</w:t>
      </w:r>
    </w:p>
    <w:p w14:paraId="3D559C92" w14:textId="77777777" w:rsidR="0049647F" w:rsidRPr="00B004EE" w:rsidRDefault="0049647F" w:rsidP="00B004EE">
      <w:pPr>
        <w:spacing w:line="20" w:lineRule="atLeast"/>
        <w:jc w:val="center"/>
        <w:rPr>
          <w:rFonts w:ascii="Tahoma" w:hAnsi="Tahoma" w:cs="Tahoma"/>
          <w:b/>
          <w:bCs/>
          <w:sz w:val="20"/>
          <w:szCs w:val="20"/>
        </w:rPr>
      </w:pPr>
      <w:r w:rsidRPr="00B004EE">
        <w:rPr>
          <w:rFonts w:ascii="Tahoma" w:hAnsi="Tahoma" w:cs="Tahoma"/>
          <w:b/>
          <w:bCs/>
          <w:sz w:val="20"/>
          <w:szCs w:val="20"/>
        </w:rPr>
        <w:t>TITRE VI - SERVITUDES</w:t>
      </w:r>
    </w:p>
    <w:p w14:paraId="18645C9E" w14:textId="77777777" w:rsidR="0049647F" w:rsidRPr="00B004EE" w:rsidRDefault="0049647F" w:rsidP="00B004EE">
      <w:pPr>
        <w:spacing w:line="20" w:lineRule="atLeast"/>
        <w:jc w:val="center"/>
        <w:rPr>
          <w:rFonts w:ascii="Tahoma" w:hAnsi="Tahoma" w:cs="Tahoma"/>
          <w:b/>
          <w:bCs/>
          <w:sz w:val="20"/>
          <w:szCs w:val="20"/>
        </w:rPr>
      </w:pPr>
      <w:r w:rsidRPr="00B004EE">
        <w:rPr>
          <w:rFonts w:ascii="Tahoma" w:hAnsi="Tahoma" w:cs="Tahoma"/>
          <w:b/>
          <w:bCs/>
          <w:sz w:val="20"/>
          <w:szCs w:val="20"/>
        </w:rPr>
        <w:t>SOUS-TITRE 1 SERVITUDES LEGALES</w:t>
      </w:r>
    </w:p>
    <w:p w14:paraId="5D41C920" w14:textId="77777777" w:rsidR="0049647F" w:rsidRPr="00B004EE" w:rsidRDefault="0049647F" w:rsidP="00B004EE">
      <w:pPr>
        <w:spacing w:line="20" w:lineRule="atLeast"/>
        <w:jc w:val="center"/>
        <w:rPr>
          <w:rFonts w:ascii="Tahoma" w:hAnsi="Tahoma" w:cs="Tahoma"/>
          <w:b/>
          <w:bCs/>
          <w:sz w:val="20"/>
          <w:szCs w:val="20"/>
        </w:rPr>
      </w:pPr>
    </w:p>
    <w:p w14:paraId="3FCDC583" w14:textId="77777777" w:rsidR="0049647F" w:rsidRPr="00B004EE" w:rsidRDefault="0049647F" w:rsidP="00B004EE">
      <w:pPr>
        <w:spacing w:line="20" w:lineRule="atLeast"/>
        <w:jc w:val="center"/>
        <w:rPr>
          <w:rFonts w:ascii="Tahoma" w:hAnsi="Tahoma" w:cs="Tahoma"/>
          <w:b/>
          <w:bCs/>
          <w:sz w:val="20"/>
          <w:szCs w:val="20"/>
        </w:rPr>
      </w:pPr>
      <w:r w:rsidRPr="00B004EE">
        <w:rPr>
          <w:rFonts w:ascii="Tahoma" w:hAnsi="Tahoma" w:cs="Tahoma"/>
          <w:b/>
          <w:bCs/>
          <w:sz w:val="20"/>
          <w:szCs w:val="20"/>
        </w:rPr>
        <w:t>Section 1 : Périmètres de protection des captages d’eau destines à l’alimentation humaine</w:t>
      </w:r>
    </w:p>
    <w:p w14:paraId="541F1A37" w14:textId="77777777" w:rsidR="0049647F" w:rsidRPr="00B004EE" w:rsidRDefault="0049647F" w:rsidP="00B004EE">
      <w:pPr>
        <w:spacing w:line="20" w:lineRule="atLeast"/>
        <w:jc w:val="center"/>
        <w:rPr>
          <w:rFonts w:ascii="Tahoma" w:hAnsi="Tahoma" w:cs="Tahoma"/>
          <w:b/>
          <w:bCs/>
          <w:sz w:val="20"/>
          <w:szCs w:val="20"/>
        </w:rPr>
      </w:pPr>
    </w:p>
    <w:p w14:paraId="483D91D6"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r w:rsidRPr="00B004EE">
        <w:rPr>
          <w:rFonts w:ascii="Tahoma" w:hAnsi="Tahoma" w:cs="Tahoma"/>
          <w:sz w:val="20"/>
          <w:szCs w:val="20"/>
        </w:rPr>
        <w:t>Article 39 : Les périmètres de protection des captages d’eaux ont pour objet d’assurer la protection qualitative et quantitative des eaux destinées à l’alimentation humaine, quelles proviennent des eaux souterraines ou des eaux superficielles.</w:t>
      </w:r>
    </w:p>
    <w:p w14:paraId="7D10A11F"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p>
    <w:p w14:paraId="02020F10"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r w:rsidRPr="00B004EE">
        <w:rPr>
          <w:rFonts w:ascii="Tahoma" w:hAnsi="Tahoma" w:cs="Tahoma"/>
          <w:sz w:val="20"/>
          <w:szCs w:val="20"/>
        </w:rPr>
        <w:t xml:space="preserve">Article 40 : il est institué par arrêté du Ministre chargé de l’eau, autour de tout point de captage d’eau destinée à la consommation humaine </w:t>
      </w:r>
    </w:p>
    <w:p w14:paraId="24088266" w14:textId="77777777" w:rsidR="0049647F" w:rsidRPr="00B004EE" w:rsidRDefault="0049647F" w:rsidP="00420DDA">
      <w:pPr>
        <w:pStyle w:val="Corpsdetexte"/>
        <w:widowControl w:val="0"/>
        <w:numPr>
          <w:ilvl w:val="0"/>
          <w:numId w:val="108"/>
        </w:numPr>
        <w:tabs>
          <w:tab w:val="left" w:pos="7859"/>
        </w:tabs>
        <w:autoSpaceDE/>
        <w:autoSpaceDN/>
        <w:adjustRightInd/>
        <w:spacing w:line="20" w:lineRule="atLeast"/>
        <w:ind w:left="567" w:right="112"/>
        <w:rPr>
          <w:rFonts w:ascii="Tahoma" w:hAnsi="Tahoma" w:cs="Tahoma"/>
          <w:sz w:val="20"/>
          <w:szCs w:val="20"/>
        </w:rPr>
      </w:pPr>
      <w:r w:rsidRPr="00B004EE">
        <w:rPr>
          <w:rFonts w:ascii="Tahoma" w:hAnsi="Tahoma" w:cs="Tahoma"/>
          <w:sz w:val="20"/>
          <w:szCs w:val="20"/>
        </w:rPr>
        <w:t>Un périmètre de protection immédiate, dont les terrains sont acquis en pleine propriété et clôturés par l’institution responsable de prélèvement ou de la distribution de l’eau potable, au terme d’une procédure d’exploitation pour cause d’utilité publique</w:t>
      </w:r>
    </w:p>
    <w:p w14:paraId="757F55A0" w14:textId="77777777" w:rsidR="0049647F" w:rsidRPr="00B004EE" w:rsidRDefault="0049647F" w:rsidP="00420DDA">
      <w:pPr>
        <w:pStyle w:val="Corpsdetexte"/>
        <w:widowControl w:val="0"/>
        <w:numPr>
          <w:ilvl w:val="0"/>
          <w:numId w:val="108"/>
        </w:numPr>
        <w:tabs>
          <w:tab w:val="left" w:pos="7859"/>
        </w:tabs>
        <w:autoSpaceDE/>
        <w:autoSpaceDN/>
        <w:adjustRightInd/>
        <w:spacing w:line="20" w:lineRule="atLeast"/>
        <w:ind w:left="567" w:right="112"/>
        <w:rPr>
          <w:rFonts w:ascii="Tahoma" w:hAnsi="Tahoma" w:cs="Tahoma"/>
          <w:sz w:val="20"/>
          <w:szCs w:val="20"/>
        </w:rPr>
      </w:pPr>
      <w:r w:rsidRPr="00B004EE">
        <w:rPr>
          <w:rFonts w:ascii="Tahoma" w:hAnsi="Tahoma" w:cs="Tahoma"/>
          <w:sz w:val="20"/>
          <w:szCs w:val="20"/>
        </w:rPr>
        <w:t>Un périmètre de protection rapprochée, à l’intérieur duquel sont interdits :</w:t>
      </w:r>
    </w:p>
    <w:p w14:paraId="3104D269" w14:textId="77777777" w:rsidR="0049647F" w:rsidRPr="00B004EE" w:rsidRDefault="0049647F" w:rsidP="00420DDA">
      <w:pPr>
        <w:pStyle w:val="Corpsdetexte"/>
        <w:widowControl w:val="0"/>
        <w:numPr>
          <w:ilvl w:val="1"/>
          <w:numId w:val="109"/>
        </w:numPr>
        <w:tabs>
          <w:tab w:val="left" w:pos="7859"/>
        </w:tabs>
        <w:autoSpaceDE/>
        <w:autoSpaceDN/>
        <w:adjustRightInd/>
        <w:spacing w:line="20" w:lineRule="atLeast"/>
        <w:ind w:left="993" w:right="112"/>
        <w:rPr>
          <w:rFonts w:ascii="Tahoma" w:hAnsi="Tahoma" w:cs="Tahoma"/>
          <w:sz w:val="20"/>
          <w:szCs w:val="20"/>
        </w:rPr>
      </w:pPr>
      <w:proofErr w:type="gramStart"/>
      <w:r w:rsidRPr="00B004EE">
        <w:rPr>
          <w:rFonts w:ascii="Tahoma" w:hAnsi="Tahoma" w:cs="Tahoma"/>
          <w:sz w:val="20"/>
          <w:szCs w:val="20"/>
        </w:rPr>
        <w:t>l’implantation</w:t>
      </w:r>
      <w:proofErr w:type="gramEnd"/>
      <w:r w:rsidRPr="00B004EE">
        <w:rPr>
          <w:rFonts w:ascii="Tahoma" w:hAnsi="Tahoma" w:cs="Tahoma"/>
          <w:sz w:val="20"/>
          <w:szCs w:val="20"/>
        </w:rPr>
        <w:t>, sans étude d’impact préalable, d’ouvrage de prélèvement supplémentaires ;</w:t>
      </w:r>
    </w:p>
    <w:p w14:paraId="2108E694" w14:textId="77777777" w:rsidR="0049647F" w:rsidRPr="00B004EE" w:rsidRDefault="0049647F" w:rsidP="00420DDA">
      <w:pPr>
        <w:pStyle w:val="Corpsdetexte"/>
        <w:widowControl w:val="0"/>
        <w:numPr>
          <w:ilvl w:val="1"/>
          <w:numId w:val="109"/>
        </w:numPr>
        <w:tabs>
          <w:tab w:val="left" w:pos="7859"/>
        </w:tabs>
        <w:autoSpaceDE/>
        <w:autoSpaceDN/>
        <w:adjustRightInd/>
        <w:spacing w:line="20" w:lineRule="atLeast"/>
        <w:ind w:left="993" w:right="112"/>
        <w:rPr>
          <w:rFonts w:ascii="Tahoma" w:hAnsi="Tahoma" w:cs="Tahoma"/>
          <w:sz w:val="20"/>
          <w:szCs w:val="20"/>
        </w:rPr>
      </w:pPr>
      <w:proofErr w:type="gramStart"/>
      <w:r w:rsidRPr="00B004EE">
        <w:rPr>
          <w:rFonts w:ascii="Tahoma" w:hAnsi="Tahoma" w:cs="Tahoma"/>
          <w:sz w:val="20"/>
          <w:szCs w:val="20"/>
        </w:rPr>
        <w:t>le</w:t>
      </w:r>
      <w:proofErr w:type="gramEnd"/>
      <w:r w:rsidRPr="00B004EE">
        <w:rPr>
          <w:rFonts w:ascii="Tahoma" w:hAnsi="Tahoma" w:cs="Tahoma"/>
          <w:sz w:val="20"/>
          <w:szCs w:val="20"/>
        </w:rPr>
        <w:t xml:space="preserve"> dépôt d'ordures, immondices, détritus, cadavres d'animaux et tous produits et matières susceptibles d'altérer la qualité de l'eau ;</w:t>
      </w:r>
    </w:p>
    <w:p w14:paraId="6D828CD6" w14:textId="77777777" w:rsidR="0049647F" w:rsidRPr="00B004EE" w:rsidRDefault="0049647F" w:rsidP="00420DDA">
      <w:pPr>
        <w:pStyle w:val="Corpsdetexte"/>
        <w:widowControl w:val="0"/>
        <w:numPr>
          <w:ilvl w:val="1"/>
          <w:numId w:val="109"/>
        </w:numPr>
        <w:tabs>
          <w:tab w:val="left" w:pos="7859"/>
        </w:tabs>
        <w:autoSpaceDE/>
        <w:autoSpaceDN/>
        <w:adjustRightInd/>
        <w:spacing w:line="20" w:lineRule="atLeast"/>
        <w:ind w:left="993" w:right="112"/>
        <w:rPr>
          <w:rFonts w:ascii="Tahoma" w:hAnsi="Tahoma" w:cs="Tahoma"/>
          <w:sz w:val="20"/>
          <w:szCs w:val="20"/>
        </w:rPr>
      </w:pPr>
      <w:proofErr w:type="gramStart"/>
      <w:r w:rsidRPr="00B004EE">
        <w:rPr>
          <w:rFonts w:ascii="Tahoma" w:hAnsi="Tahoma" w:cs="Tahoma"/>
          <w:sz w:val="20"/>
          <w:szCs w:val="20"/>
        </w:rPr>
        <w:t>l'installation</w:t>
      </w:r>
      <w:proofErr w:type="gramEnd"/>
      <w:r w:rsidRPr="00B004EE">
        <w:rPr>
          <w:rFonts w:ascii="Tahoma" w:hAnsi="Tahoma" w:cs="Tahoma"/>
          <w:sz w:val="20"/>
          <w:szCs w:val="20"/>
        </w:rPr>
        <w:t xml:space="preserve"> de canalisations, réservoirs ou dépôts d'hydrocarbures, de produits chimiques ou de substances toxiques ;</w:t>
      </w:r>
    </w:p>
    <w:p w14:paraId="4461DC1D" w14:textId="77777777" w:rsidR="0049647F" w:rsidRPr="00B004EE" w:rsidRDefault="0049647F" w:rsidP="00420DDA">
      <w:pPr>
        <w:pStyle w:val="Corpsdetexte"/>
        <w:widowControl w:val="0"/>
        <w:numPr>
          <w:ilvl w:val="1"/>
          <w:numId w:val="109"/>
        </w:numPr>
        <w:tabs>
          <w:tab w:val="left" w:pos="7859"/>
        </w:tabs>
        <w:autoSpaceDE/>
        <w:autoSpaceDN/>
        <w:adjustRightInd/>
        <w:spacing w:line="20" w:lineRule="atLeast"/>
        <w:ind w:left="993" w:right="112"/>
        <w:rPr>
          <w:rFonts w:ascii="Tahoma" w:hAnsi="Tahoma" w:cs="Tahoma"/>
          <w:sz w:val="20"/>
          <w:szCs w:val="20"/>
        </w:rPr>
      </w:pPr>
      <w:proofErr w:type="gramStart"/>
      <w:r w:rsidRPr="00B004EE">
        <w:rPr>
          <w:rFonts w:ascii="Tahoma" w:hAnsi="Tahoma" w:cs="Tahoma"/>
          <w:sz w:val="20"/>
          <w:szCs w:val="20"/>
        </w:rPr>
        <w:t>l'épandage</w:t>
      </w:r>
      <w:proofErr w:type="gramEnd"/>
      <w:r w:rsidRPr="00B004EE">
        <w:rPr>
          <w:rFonts w:ascii="Tahoma" w:hAnsi="Tahoma" w:cs="Tahoma"/>
          <w:sz w:val="20"/>
          <w:szCs w:val="20"/>
        </w:rPr>
        <w:t xml:space="preserve"> de fumier, l'abreuvage et le pacage d'animaux ;</w:t>
      </w:r>
    </w:p>
    <w:p w14:paraId="79460D70" w14:textId="77777777" w:rsidR="0049647F" w:rsidRPr="00B004EE" w:rsidRDefault="0049647F" w:rsidP="00420DDA">
      <w:pPr>
        <w:pStyle w:val="Corpsdetexte"/>
        <w:widowControl w:val="0"/>
        <w:numPr>
          <w:ilvl w:val="1"/>
          <w:numId w:val="109"/>
        </w:numPr>
        <w:tabs>
          <w:tab w:val="left" w:pos="7859"/>
        </w:tabs>
        <w:autoSpaceDE/>
        <w:autoSpaceDN/>
        <w:adjustRightInd/>
        <w:spacing w:line="20" w:lineRule="atLeast"/>
        <w:ind w:left="993" w:right="112"/>
        <w:rPr>
          <w:rFonts w:ascii="Tahoma" w:hAnsi="Tahoma" w:cs="Tahoma"/>
          <w:sz w:val="20"/>
          <w:szCs w:val="20"/>
        </w:rPr>
      </w:pPr>
      <w:proofErr w:type="gramStart"/>
      <w:r w:rsidRPr="00B004EE">
        <w:rPr>
          <w:rFonts w:ascii="Tahoma" w:hAnsi="Tahoma" w:cs="Tahoma"/>
          <w:sz w:val="20"/>
          <w:szCs w:val="20"/>
        </w:rPr>
        <w:lastRenderedPageBreak/>
        <w:t>l'exploitation</w:t>
      </w:r>
      <w:proofErr w:type="gramEnd"/>
      <w:r w:rsidRPr="00B004EE">
        <w:rPr>
          <w:rFonts w:ascii="Tahoma" w:hAnsi="Tahoma" w:cs="Tahoma"/>
          <w:sz w:val="20"/>
          <w:szCs w:val="20"/>
        </w:rPr>
        <w:t xml:space="preserve"> de carrières à ciel ouvert ;</w:t>
      </w:r>
    </w:p>
    <w:p w14:paraId="0F7E77C7" w14:textId="77777777" w:rsidR="0049647F" w:rsidRPr="00B004EE" w:rsidRDefault="0049647F" w:rsidP="00420DDA">
      <w:pPr>
        <w:pStyle w:val="Corpsdetexte"/>
        <w:widowControl w:val="0"/>
        <w:numPr>
          <w:ilvl w:val="1"/>
          <w:numId w:val="109"/>
        </w:numPr>
        <w:tabs>
          <w:tab w:val="left" w:pos="7859"/>
        </w:tabs>
        <w:autoSpaceDE/>
        <w:autoSpaceDN/>
        <w:adjustRightInd/>
        <w:spacing w:line="20" w:lineRule="atLeast"/>
        <w:ind w:left="993" w:right="112"/>
        <w:rPr>
          <w:rFonts w:ascii="Tahoma" w:hAnsi="Tahoma" w:cs="Tahoma"/>
          <w:sz w:val="20"/>
          <w:szCs w:val="20"/>
        </w:rPr>
      </w:pPr>
      <w:proofErr w:type="gramStart"/>
      <w:r w:rsidRPr="00B004EE">
        <w:rPr>
          <w:rFonts w:ascii="Tahoma" w:hAnsi="Tahoma" w:cs="Tahoma"/>
          <w:sz w:val="20"/>
          <w:szCs w:val="20"/>
        </w:rPr>
        <w:t>l'établissement</w:t>
      </w:r>
      <w:proofErr w:type="gramEnd"/>
      <w:r w:rsidRPr="00B004EE">
        <w:rPr>
          <w:rFonts w:ascii="Tahoma" w:hAnsi="Tahoma" w:cs="Tahoma"/>
          <w:sz w:val="20"/>
          <w:szCs w:val="20"/>
        </w:rPr>
        <w:t xml:space="preserve"> de quelque construction que ce soit.</w:t>
      </w:r>
    </w:p>
    <w:p w14:paraId="01C5CAF7"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p>
    <w:p w14:paraId="1C0805A7"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r w:rsidRPr="00B004EE">
        <w:rPr>
          <w:rFonts w:ascii="Tahoma" w:hAnsi="Tahoma" w:cs="Tahoma"/>
          <w:sz w:val="20"/>
          <w:szCs w:val="20"/>
        </w:rPr>
        <w:t>Article 41 : Les indemnités qui peuvent être dues aux propriétaires et aux occupants des terrains à acquérir soit pour constituer le périmètre de protection immédiate, soit pour la mise en œuvre des servitudes dans le périmètre de protection rapprochée, sont fixées selon les règles applicables en matière d'expropriation pour causes d’utilités publique.</w:t>
      </w:r>
    </w:p>
    <w:p w14:paraId="7ACD99AE"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r w:rsidRPr="00B004EE">
        <w:rPr>
          <w:rFonts w:ascii="Tahoma" w:hAnsi="Tahoma" w:cs="Tahoma"/>
          <w:sz w:val="20"/>
          <w:szCs w:val="20"/>
        </w:rPr>
        <w:t>Si du fait de l’application des interdictions énumérées au 2) de l'article 40 ci-dessus, un propriétaire vient à perdre la jouissance de terres mises en valeur, il est en droit d'exiger une juste indemnisation.</w:t>
      </w:r>
    </w:p>
    <w:p w14:paraId="3C8D9A07"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p>
    <w:p w14:paraId="1F5AD516" w14:textId="77777777" w:rsidR="0049647F" w:rsidRPr="00B004EE" w:rsidRDefault="0049647F" w:rsidP="00B004EE">
      <w:pPr>
        <w:pStyle w:val="Corpsdetexte"/>
        <w:tabs>
          <w:tab w:val="left" w:pos="7859"/>
        </w:tabs>
        <w:spacing w:line="20" w:lineRule="atLeast"/>
        <w:ind w:right="112"/>
        <w:jc w:val="center"/>
        <w:rPr>
          <w:rFonts w:ascii="Tahoma" w:hAnsi="Tahoma" w:cs="Tahoma"/>
          <w:b/>
          <w:bCs/>
          <w:sz w:val="20"/>
          <w:szCs w:val="20"/>
        </w:rPr>
      </w:pPr>
      <w:r w:rsidRPr="00B004EE">
        <w:rPr>
          <w:rFonts w:ascii="Tahoma" w:hAnsi="Tahoma" w:cs="Tahoma"/>
          <w:b/>
          <w:bCs/>
          <w:sz w:val="20"/>
          <w:szCs w:val="20"/>
        </w:rPr>
        <w:t>Section 2 : Servitude de protection du domaine public hydraulique</w:t>
      </w:r>
    </w:p>
    <w:p w14:paraId="7AAD7EF6" w14:textId="77777777" w:rsidR="0049647F" w:rsidRPr="00B004EE" w:rsidRDefault="0049647F" w:rsidP="00B004EE">
      <w:pPr>
        <w:pStyle w:val="Corpsdetexte"/>
        <w:tabs>
          <w:tab w:val="left" w:pos="7859"/>
        </w:tabs>
        <w:spacing w:line="20" w:lineRule="atLeast"/>
        <w:ind w:right="112"/>
        <w:rPr>
          <w:rFonts w:ascii="Tahoma" w:hAnsi="Tahoma" w:cs="Tahoma"/>
          <w:b/>
          <w:bCs/>
          <w:sz w:val="20"/>
          <w:szCs w:val="20"/>
        </w:rPr>
      </w:pPr>
    </w:p>
    <w:p w14:paraId="6CEC98A1"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r w:rsidRPr="00B004EE">
        <w:rPr>
          <w:rFonts w:ascii="Tahoma" w:hAnsi="Tahoma" w:cs="Tahoma"/>
          <w:sz w:val="20"/>
          <w:szCs w:val="20"/>
        </w:rPr>
        <w:t>Article 42 : Les fonds riverains d'un cours d 'eau ou d'un lac sont grevés, à partir des limites du domaine public hydraulique naturel déterminées conformément à l’article 8 ci-dessous d’une servitude d’utilité publique d 'une largeur de six mètres, dite servitude de marchepied et de libre accès, au profit des agents du ministre chargé de l'eau, sur l’espace de laquelle il ne peut être fait aucune construction ou clôture. Le ministre chargé de l'eau peut exiger la démolition de tout construction ou l'enlèvement de toute clôture.</w:t>
      </w:r>
    </w:p>
    <w:p w14:paraId="4BA83CAB"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r w:rsidRPr="00B004EE">
        <w:rPr>
          <w:rFonts w:ascii="Tahoma" w:hAnsi="Tahoma" w:cs="Tahoma"/>
          <w:sz w:val="20"/>
          <w:szCs w:val="20"/>
        </w:rPr>
        <w:t>Les mêmes fonds sont également gravés d’une servitude permettant aux agent du ministère chargé de l’eau d’y installer les instruments de mesure qui nécessite le recueil des données sur l’eau prévues à l’article 14 ci-dessus.</w:t>
      </w:r>
    </w:p>
    <w:p w14:paraId="102C406B"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p>
    <w:p w14:paraId="0CB0099D"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r w:rsidRPr="00B004EE">
        <w:rPr>
          <w:rFonts w:ascii="Tahoma" w:hAnsi="Tahoma" w:cs="Tahoma"/>
          <w:sz w:val="20"/>
          <w:szCs w:val="20"/>
        </w:rPr>
        <w:t>Article 43 : Les fonds supportant un ou plusieurs éléments du domaine public hydraulique artificiel de l'Etat ou des collectivités locales sont grevés d'une servitude d'accès à ces éléments, au profit des agents du ministère chargé de l’eau.</w:t>
      </w:r>
    </w:p>
    <w:p w14:paraId="586D7D1D"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p>
    <w:p w14:paraId="7B659A66" w14:textId="77777777" w:rsidR="0049647F" w:rsidRPr="00B004EE" w:rsidRDefault="0049647F" w:rsidP="00B004EE">
      <w:pPr>
        <w:pStyle w:val="Corpsdetexte"/>
        <w:tabs>
          <w:tab w:val="left" w:pos="7859"/>
        </w:tabs>
        <w:spacing w:line="20" w:lineRule="atLeast"/>
        <w:ind w:right="112"/>
        <w:jc w:val="center"/>
        <w:rPr>
          <w:rFonts w:ascii="Tahoma" w:hAnsi="Tahoma" w:cs="Tahoma"/>
          <w:b/>
          <w:bCs/>
          <w:sz w:val="20"/>
          <w:szCs w:val="20"/>
        </w:rPr>
      </w:pPr>
      <w:r w:rsidRPr="00B004EE">
        <w:rPr>
          <w:rFonts w:ascii="Tahoma" w:hAnsi="Tahoma" w:cs="Tahoma"/>
          <w:b/>
          <w:bCs/>
          <w:sz w:val="20"/>
          <w:szCs w:val="20"/>
        </w:rPr>
        <w:t>Section 3 : Servitudes de canalisation</w:t>
      </w:r>
    </w:p>
    <w:p w14:paraId="03E1253B" w14:textId="77777777" w:rsidR="0049647F" w:rsidRPr="00B004EE" w:rsidRDefault="0049647F" w:rsidP="00B004EE">
      <w:pPr>
        <w:pStyle w:val="Corpsdetexte"/>
        <w:tabs>
          <w:tab w:val="left" w:pos="7859"/>
        </w:tabs>
        <w:spacing w:line="20" w:lineRule="atLeast"/>
        <w:ind w:right="112"/>
        <w:rPr>
          <w:rFonts w:ascii="Tahoma" w:hAnsi="Tahoma" w:cs="Tahoma"/>
          <w:b/>
          <w:bCs/>
          <w:sz w:val="20"/>
          <w:szCs w:val="20"/>
        </w:rPr>
      </w:pPr>
    </w:p>
    <w:p w14:paraId="6F5E0ABE"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r w:rsidRPr="00B004EE">
        <w:rPr>
          <w:rFonts w:ascii="Tahoma" w:hAnsi="Tahoma" w:cs="Tahoma"/>
          <w:sz w:val="20"/>
          <w:szCs w:val="20"/>
        </w:rPr>
        <w:t>Article 44 :</w:t>
      </w:r>
      <w:r w:rsidRPr="00B004EE">
        <w:rPr>
          <w:rFonts w:ascii="Tahoma" w:hAnsi="Tahoma" w:cs="Tahoma"/>
          <w:b/>
          <w:bCs/>
          <w:sz w:val="20"/>
          <w:szCs w:val="20"/>
        </w:rPr>
        <w:t xml:space="preserve"> </w:t>
      </w:r>
      <w:r w:rsidRPr="00B004EE">
        <w:rPr>
          <w:rFonts w:ascii="Tahoma" w:hAnsi="Tahoma" w:cs="Tahoma"/>
          <w:sz w:val="20"/>
          <w:szCs w:val="20"/>
        </w:rPr>
        <w:t>Les fonds intermédiaires sont grevés d'une servitude de canalisation permettant à tout exploitant de la ressource en eau effectuée dans un but d’utilité publique d'y faire transiter des conduites d'eau potable ou d'eaux usées, des canaux d'amenée d'eau, d'irrigation ou de drainage.</w:t>
      </w:r>
    </w:p>
    <w:p w14:paraId="05CF11B7"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r w:rsidRPr="00B004EE">
        <w:rPr>
          <w:rFonts w:ascii="Tahoma" w:hAnsi="Tahoma" w:cs="Tahoma"/>
          <w:sz w:val="20"/>
          <w:szCs w:val="20"/>
        </w:rPr>
        <w:t xml:space="preserve">L'instauration de cette servitude ouvre droit à une juste indemnité et ne s'applique pas aux habitation cours, jardins et dépendances </w:t>
      </w:r>
    </w:p>
    <w:p w14:paraId="73E7422A"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p>
    <w:p w14:paraId="09E2374D" w14:textId="77777777" w:rsidR="0049647F" w:rsidRPr="00B004EE" w:rsidRDefault="0049647F" w:rsidP="00B004EE">
      <w:pPr>
        <w:pStyle w:val="Corpsdetexte"/>
        <w:tabs>
          <w:tab w:val="left" w:pos="7859"/>
        </w:tabs>
        <w:spacing w:line="20" w:lineRule="atLeast"/>
        <w:ind w:right="112"/>
        <w:jc w:val="center"/>
        <w:rPr>
          <w:rFonts w:ascii="Tahoma" w:hAnsi="Tahoma" w:cs="Tahoma"/>
          <w:b/>
          <w:bCs/>
          <w:sz w:val="20"/>
          <w:szCs w:val="20"/>
        </w:rPr>
      </w:pPr>
      <w:r w:rsidRPr="00B004EE">
        <w:rPr>
          <w:rFonts w:ascii="Tahoma" w:hAnsi="Tahoma" w:cs="Tahoma"/>
          <w:b/>
          <w:bCs/>
          <w:sz w:val="20"/>
          <w:szCs w:val="20"/>
        </w:rPr>
        <w:t>SOUS TITRE II - SERVITUDES D'INTERET PRIVE</w:t>
      </w:r>
    </w:p>
    <w:p w14:paraId="46704A22" w14:textId="77777777" w:rsidR="0049647F" w:rsidRPr="00B004EE" w:rsidRDefault="0049647F" w:rsidP="00B004EE">
      <w:pPr>
        <w:pStyle w:val="Corpsdetexte"/>
        <w:tabs>
          <w:tab w:val="left" w:pos="7859"/>
        </w:tabs>
        <w:spacing w:line="20" w:lineRule="atLeast"/>
        <w:ind w:right="112"/>
        <w:jc w:val="center"/>
        <w:rPr>
          <w:rFonts w:ascii="Tahoma" w:hAnsi="Tahoma" w:cs="Tahoma"/>
          <w:b/>
          <w:bCs/>
          <w:sz w:val="20"/>
          <w:szCs w:val="20"/>
        </w:rPr>
      </w:pPr>
    </w:p>
    <w:p w14:paraId="5CD8C6ED" w14:textId="77777777" w:rsidR="0049647F" w:rsidRPr="00B004EE" w:rsidRDefault="0049647F" w:rsidP="00B004EE">
      <w:pPr>
        <w:pStyle w:val="Corpsdetexte"/>
        <w:tabs>
          <w:tab w:val="left" w:pos="7859"/>
        </w:tabs>
        <w:spacing w:line="20" w:lineRule="atLeast"/>
        <w:ind w:right="113"/>
        <w:rPr>
          <w:rFonts w:ascii="Tahoma" w:hAnsi="Tahoma" w:cs="Tahoma"/>
          <w:sz w:val="20"/>
          <w:szCs w:val="20"/>
        </w:rPr>
      </w:pPr>
      <w:r w:rsidRPr="00B004EE">
        <w:rPr>
          <w:rFonts w:ascii="Tahoma" w:hAnsi="Tahoma" w:cs="Tahoma"/>
          <w:sz w:val="20"/>
          <w:szCs w:val="20"/>
        </w:rPr>
        <w:t>Article 45 : les fonds inférieurs sont tenus, envers ceux qui sont plus élevés, à recevoir les eaux qui en découlent naturellement sans que la main de l’homme y ait contribué.</w:t>
      </w:r>
    </w:p>
    <w:p w14:paraId="0354645E" w14:textId="77777777" w:rsidR="0049647F" w:rsidRPr="00B004EE" w:rsidRDefault="0049647F" w:rsidP="00B004EE">
      <w:pPr>
        <w:pStyle w:val="Corpsdetexte"/>
        <w:tabs>
          <w:tab w:val="left" w:pos="7859"/>
        </w:tabs>
        <w:spacing w:line="20" w:lineRule="atLeast"/>
        <w:ind w:right="113"/>
        <w:rPr>
          <w:rFonts w:ascii="Tahoma" w:hAnsi="Tahoma" w:cs="Tahoma"/>
          <w:sz w:val="20"/>
          <w:szCs w:val="20"/>
        </w:rPr>
      </w:pPr>
      <w:r w:rsidRPr="00B004EE">
        <w:rPr>
          <w:rFonts w:ascii="Tahoma" w:hAnsi="Tahoma" w:cs="Tahoma"/>
          <w:sz w:val="20"/>
          <w:szCs w:val="20"/>
        </w:rPr>
        <w:t>Le propriétaire du fonds inférieur ne peut élever aucun obstacle qui empêche cet écoulement.</w:t>
      </w:r>
    </w:p>
    <w:p w14:paraId="579B1DB3" w14:textId="77777777" w:rsidR="0049647F" w:rsidRPr="00B004EE" w:rsidRDefault="0049647F" w:rsidP="00B004EE">
      <w:pPr>
        <w:pStyle w:val="Corpsdetexte"/>
        <w:tabs>
          <w:tab w:val="left" w:pos="7859"/>
        </w:tabs>
        <w:spacing w:line="20" w:lineRule="atLeast"/>
        <w:ind w:right="113"/>
        <w:rPr>
          <w:rFonts w:ascii="Tahoma" w:hAnsi="Tahoma" w:cs="Tahoma"/>
          <w:sz w:val="20"/>
          <w:szCs w:val="20"/>
        </w:rPr>
      </w:pPr>
      <w:r w:rsidRPr="00B004EE">
        <w:rPr>
          <w:rFonts w:ascii="Tahoma" w:hAnsi="Tahoma" w:cs="Tahoma"/>
          <w:sz w:val="20"/>
          <w:szCs w:val="20"/>
        </w:rPr>
        <w:t>Le propriétaire du fonds supérieur ne peut rien faire qui aggrave la servitude du fonds inférieur.</w:t>
      </w:r>
    </w:p>
    <w:p w14:paraId="74CF34AB" w14:textId="77777777" w:rsidR="0049647F" w:rsidRPr="00B004EE" w:rsidRDefault="0049647F" w:rsidP="00B004EE">
      <w:pPr>
        <w:pStyle w:val="Corpsdetexte"/>
        <w:tabs>
          <w:tab w:val="left" w:pos="7859"/>
        </w:tabs>
        <w:spacing w:line="20" w:lineRule="atLeast"/>
        <w:ind w:right="113"/>
        <w:rPr>
          <w:rFonts w:ascii="Tahoma" w:hAnsi="Tahoma" w:cs="Tahoma"/>
          <w:sz w:val="20"/>
          <w:szCs w:val="20"/>
        </w:rPr>
      </w:pPr>
    </w:p>
    <w:p w14:paraId="4C247064" w14:textId="77777777" w:rsidR="0049647F" w:rsidRPr="00B004EE" w:rsidRDefault="0049647F" w:rsidP="00B004EE">
      <w:pPr>
        <w:pStyle w:val="Corpsdetexte"/>
        <w:tabs>
          <w:tab w:val="left" w:pos="7859"/>
        </w:tabs>
        <w:spacing w:line="20" w:lineRule="atLeast"/>
        <w:ind w:right="112"/>
        <w:jc w:val="center"/>
        <w:rPr>
          <w:rFonts w:ascii="Tahoma" w:hAnsi="Tahoma" w:cs="Tahoma"/>
          <w:b/>
          <w:bCs/>
          <w:sz w:val="20"/>
          <w:szCs w:val="20"/>
        </w:rPr>
      </w:pPr>
      <w:r w:rsidRPr="00B004EE">
        <w:rPr>
          <w:rFonts w:ascii="Tahoma" w:hAnsi="Tahoma" w:cs="Tahoma"/>
          <w:b/>
          <w:bCs/>
          <w:sz w:val="20"/>
          <w:szCs w:val="20"/>
        </w:rPr>
        <w:t>TITRE VII : MAITRISE D’OUVRAGE PUBLIQUE</w:t>
      </w:r>
    </w:p>
    <w:p w14:paraId="2CF8984D"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p>
    <w:p w14:paraId="57F791FF" w14:textId="77777777" w:rsidR="0049647F" w:rsidRPr="00B004EE" w:rsidRDefault="0049647F" w:rsidP="00B004EE">
      <w:pPr>
        <w:pStyle w:val="Corpsdetexte"/>
        <w:tabs>
          <w:tab w:val="left" w:pos="7859"/>
        </w:tabs>
        <w:spacing w:line="20" w:lineRule="atLeast"/>
        <w:ind w:right="113"/>
        <w:rPr>
          <w:rFonts w:ascii="Tahoma" w:hAnsi="Tahoma" w:cs="Tahoma"/>
          <w:sz w:val="20"/>
          <w:szCs w:val="20"/>
        </w:rPr>
      </w:pPr>
      <w:r w:rsidRPr="00B004EE">
        <w:rPr>
          <w:rFonts w:ascii="Tahoma" w:hAnsi="Tahoma" w:cs="Tahoma"/>
          <w:sz w:val="20"/>
          <w:szCs w:val="20"/>
        </w:rPr>
        <w:t>Article 46 : Le ministre chargé de l’eau est maitre d'ouvrage pour les opérations relatives à la mise en valeur des ressources en eau et à la mise en œuvre des programmes nationaux d’investissement public dans le secteur de l’eau.</w:t>
      </w:r>
    </w:p>
    <w:p w14:paraId="4FA8BD2D" w14:textId="77777777" w:rsidR="0049647F" w:rsidRPr="00B004EE" w:rsidRDefault="0049647F" w:rsidP="00B004EE">
      <w:pPr>
        <w:pStyle w:val="Corpsdetexte"/>
        <w:tabs>
          <w:tab w:val="left" w:pos="7859"/>
        </w:tabs>
        <w:spacing w:line="20" w:lineRule="atLeast"/>
        <w:ind w:right="113"/>
        <w:rPr>
          <w:rFonts w:ascii="Tahoma" w:hAnsi="Tahoma" w:cs="Tahoma"/>
          <w:sz w:val="20"/>
          <w:szCs w:val="20"/>
        </w:rPr>
      </w:pPr>
    </w:p>
    <w:p w14:paraId="176E4383" w14:textId="77777777" w:rsidR="0049647F" w:rsidRPr="00B004EE" w:rsidRDefault="0049647F" w:rsidP="00B004EE">
      <w:pPr>
        <w:pStyle w:val="Corpsdetexte"/>
        <w:tabs>
          <w:tab w:val="left" w:pos="7859"/>
        </w:tabs>
        <w:spacing w:line="20" w:lineRule="atLeast"/>
        <w:ind w:right="113"/>
        <w:rPr>
          <w:rFonts w:ascii="Tahoma" w:hAnsi="Tahoma" w:cs="Tahoma"/>
          <w:sz w:val="20"/>
          <w:szCs w:val="20"/>
        </w:rPr>
      </w:pPr>
      <w:r w:rsidRPr="00B004EE">
        <w:rPr>
          <w:rFonts w:ascii="Tahoma" w:hAnsi="Tahoma" w:cs="Tahoma"/>
          <w:sz w:val="20"/>
          <w:szCs w:val="20"/>
        </w:rPr>
        <w:t>Article 47 : Les communes exercent la maîtrise d’ouvrage publique à l’égard des aménagements, installations et équipements relevant de leur compétence dans le domaine de l'eau qu'elles tiennent des dispositions de l'article 2 de l’ordonnance n°87-289 du 20 octobre 1987, lorsque ces aménagements, installations ou équipements ont été acquis ou réalisés par les communes directement ou par l’intermédiaire d 'un maître d'ouvrage délégué ou lorsqu’ils leur ont été transférés par l'Etat.</w:t>
      </w:r>
    </w:p>
    <w:p w14:paraId="7C20BC19" w14:textId="77777777" w:rsidR="0049647F" w:rsidRPr="00B004EE" w:rsidRDefault="0049647F" w:rsidP="00B004EE">
      <w:pPr>
        <w:pStyle w:val="Corpsdetexte"/>
        <w:tabs>
          <w:tab w:val="left" w:pos="7859"/>
        </w:tabs>
        <w:spacing w:line="20" w:lineRule="atLeast"/>
        <w:ind w:right="113"/>
        <w:rPr>
          <w:rFonts w:ascii="Tahoma" w:hAnsi="Tahoma" w:cs="Tahoma"/>
          <w:sz w:val="20"/>
          <w:szCs w:val="20"/>
        </w:rPr>
      </w:pPr>
      <w:r w:rsidRPr="00B004EE">
        <w:rPr>
          <w:rFonts w:ascii="Tahoma" w:hAnsi="Tahoma" w:cs="Tahoma"/>
          <w:sz w:val="20"/>
          <w:szCs w:val="20"/>
        </w:rPr>
        <w:lastRenderedPageBreak/>
        <w:t>Les communes peuvent déléguer la gestion des ouvrages dont elles ont la maîtrise à des personnes publiques ou privées, conformément à la législation en vigueur et dans le respect de la procédure prévue au Titre VIII ci-après.</w:t>
      </w:r>
    </w:p>
    <w:p w14:paraId="0EDCFE2D" w14:textId="77777777" w:rsidR="0049647F" w:rsidRPr="00B004EE" w:rsidRDefault="0049647F" w:rsidP="00B004EE">
      <w:pPr>
        <w:pStyle w:val="Corpsdetexte"/>
        <w:tabs>
          <w:tab w:val="left" w:pos="7859"/>
        </w:tabs>
        <w:spacing w:line="20" w:lineRule="atLeast"/>
        <w:ind w:right="113"/>
        <w:rPr>
          <w:rFonts w:ascii="Tahoma" w:hAnsi="Tahoma" w:cs="Tahoma"/>
          <w:sz w:val="20"/>
          <w:szCs w:val="20"/>
        </w:rPr>
      </w:pPr>
    </w:p>
    <w:p w14:paraId="4F0FB7D3" w14:textId="77777777" w:rsidR="0049647F" w:rsidRPr="00B004EE" w:rsidRDefault="0049647F" w:rsidP="00B004EE">
      <w:pPr>
        <w:pStyle w:val="Corpsdetexte"/>
        <w:tabs>
          <w:tab w:val="left" w:pos="7859"/>
        </w:tabs>
        <w:spacing w:line="20" w:lineRule="atLeast"/>
        <w:ind w:right="112"/>
        <w:jc w:val="center"/>
        <w:rPr>
          <w:rFonts w:ascii="Tahoma" w:hAnsi="Tahoma" w:cs="Tahoma"/>
          <w:b/>
          <w:bCs/>
          <w:sz w:val="20"/>
          <w:szCs w:val="20"/>
        </w:rPr>
      </w:pPr>
      <w:r w:rsidRPr="00B004EE">
        <w:rPr>
          <w:rFonts w:ascii="Tahoma" w:hAnsi="Tahoma" w:cs="Tahoma"/>
          <w:b/>
          <w:bCs/>
          <w:sz w:val="20"/>
          <w:szCs w:val="20"/>
        </w:rPr>
        <w:t>TITRE VII - SERVICE PUBLIC DE L'EAU</w:t>
      </w:r>
    </w:p>
    <w:p w14:paraId="290BEB53" w14:textId="77777777" w:rsidR="0049647F" w:rsidRPr="00B004EE" w:rsidRDefault="0049647F" w:rsidP="00B004EE">
      <w:pPr>
        <w:pStyle w:val="Corpsdetexte"/>
        <w:tabs>
          <w:tab w:val="left" w:pos="7859"/>
        </w:tabs>
        <w:spacing w:line="20" w:lineRule="atLeast"/>
        <w:ind w:right="112"/>
        <w:jc w:val="center"/>
        <w:rPr>
          <w:rFonts w:ascii="Tahoma" w:hAnsi="Tahoma" w:cs="Tahoma"/>
          <w:b/>
          <w:bCs/>
          <w:sz w:val="20"/>
          <w:szCs w:val="20"/>
        </w:rPr>
      </w:pPr>
      <w:r w:rsidRPr="00B004EE">
        <w:rPr>
          <w:rFonts w:ascii="Tahoma" w:hAnsi="Tahoma" w:cs="Tahoma"/>
          <w:b/>
          <w:bCs/>
          <w:sz w:val="20"/>
          <w:szCs w:val="20"/>
        </w:rPr>
        <w:t>SOUS -TITRE 1- DEFINITION.</w:t>
      </w:r>
    </w:p>
    <w:p w14:paraId="494FA88B" w14:textId="77777777" w:rsidR="0049647F" w:rsidRPr="00B004EE" w:rsidRDefault="0049647F" w:rsidP="00B004EE">
      <w:pPr>
        <w:pStyle w:val="Corpsdetexte"/>
        <w:tabs>
          <w:tab w:val="left" w:pos="7859"/>
        </w:tabs>
        <w:spacing w:line="20" w:lineRule="atLeast"/>
        <w:ind w:right="112"/>
        <w:rPr>
          <w:rFonts w:ascii="Tahoma" w:hAnsi="Tahoma" w:cs="Tahoma"/>
          <w:b/>
          <w:bCs/>
          <w:sz w:val="20"/>
          <w:szCs w:val="20"/>
        </w:rPr>
      </w:pPr>
    </w:p>
    <w:p w14:paraId="1001AAB9" w14:textId="77777777" w:rsidR="0049647F" w:rsidRPr="00B004EE" w:rsidRDefault="0049647F" w:rsidP="00B004EE">
      <w:pPr>
        <w:pStyle w:val="Corpsdetexte"/>
        <w:tabs>
          <w:tab w:val="left" w:pos="7859"/>
        </w:tabs>
        <w:spacing w:line="20" w:lineRule="atLeast"/>
        <w:ind w:right="113"/>
        <w:rPr>
          <w:rFonts w:ascii="Tahoma" w:hAnsi="Tahoma" w:cs="Tahoma"/>
          <w:sz w:val="20"/>
          <w:szCs w:val="20"/>
        </w:rPr>
      </w:pPr>
      <w:r w:rsidRPr="00B004EE">
        <w:rPr>
          <w:rFonts w:ascii="Tahoma" w:hAnsi="Tahoma" w:cs="Tahoma"/>
          <w:sz w:val="20"/>
          <w:szCs w:val="20"/>
        </w:rPr>
        <w:t>Article 48 :</w:t>
      </w:r>
      <w:r w:rsidRPr="00B004EE">
        <w:rPr>
          <w:rFonts w:ascii="Tahoma" w:hAnsi="Tahoma" w:cs="Tahoma"/>
          <w:b/>
          <w:bCs/>
          <w:sz w:val="20"/>
          <w:szCs w:val="20"/>
        </w:rPr>
        <w:t xml:space="preserve"> </w:t>
      </w:r>
      <w:r w:rsidRPr="00B004EE">
        <w:rPr>
          <w:rFonts w:ascii="Tahoma" w:hAnsi="Tahoma" w:cs="Tahoma"/>
          <w:sz w:val="20"/>
          <w:szCs w:val="20"/>
        </w:rPr>
        <w:t>Le service public de l'eau recouvre l'ensemble des activités visant l'approvisionnement en eau potable des populations, y compris l'exploitation de l'eau minérale et l'assainissement des eaux usées domestiques.</w:t>
      </w:r>
    </w:p>
    <w:p w14:paraId="2AFF46F6" w14:textId="77777777" w:rsidR="0049647F" w:rsidRPr="00B004EE" w:rsidRDefault="0049647F" w:rsidP="00B004EE">
      <w:pPr>
        <w:pStyle w:val="Corpsdetexte"/>
        <w:tabs>
          <w:tab w:val="left" w:pos="7859"/>
        </w:tabs>
        <w:spacing w:line="20" w:lineRule="atLeast"/>
        <w:ind w:right="113"/>
        <w:rPr>
          <w:rFonts w:ascii="Tahoma" w:hAnsi="Tahoma" w:cs="Tahoma"/>
          <w:sz w:val="20"/>
          <w:szCs w:val="20"/>
        </w:rPr>
      </w:pPr>
      <w:r w:rsidRPr="00B004EE">
        <w:rPr>
          <w:rFonts w:ascii="Tahoma" w:hAnsi="Tahoma" w:cs="Tahoma"/>
          <w:sz w:val="20"/>
          <w:szCs w:val="20"/>
        </w:rPr>
        <w:t xml:space="preserve">Le service public de l'eau peut faire l’objet d'une délégation à une entité publique ou privé </w:t>
      </w:r>
    </w:p>
    <w:p w14:paraId="1E521759"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p>
    <w:p w14:paraId="4E566BDA" w14:textId="77777777" w:rsidR="0049647F" w:rsidRPr="00B004EE" w:rsidRDefault="0049647F" w:rsidP="00B004EE">
      <w:pPr>
        <w:pStyle w:val="Corpsdetexte"/>
        <w:tabs>
          <w:tab w:val="left" w:pos="7859"/>
        </w:tabs>
        <w:spacing w:line="20" w:lineRule="atLeast"/>
        <w:ind w:right="112"/>
        <w:jc w:val="center"/>
        <w:rPr>
          <w:rFonts w:ascii="Tahoma" w:hAnsi="Tahoma" w:cs="Tahoma"/>
          <w:b/>
          <w:bCs/>
          <w:sz w:val="20"/>
          <w:szCs w:val="20"/>
        </w:rPr>
      </w:pPr>
      <w:r w:rsidRPr="00B004EE">
        <w:rPr>
          <w:rFonts w:ascii="Tahoma" w:hAnsi="Tahoma" w:cs="Tahoma"/>
          <w:b/>
          <w:bCs/>
          <w:sz w:val="20"/>
          <w:szCs w:val="20"/>
        </w:rPr>
        <w:t>SOUS-TITRE II DELEGATION DU SERVICE PUBLIC DE L'EAU</w:t>
      </w:r>
    </w:p>
    <w:p w14:paraId="64745EB6" w14:textId="77777777" w:rsidR="0049647F" w:rsidRPr="00B004EE" w:rsidRDefault="0049647F" w:rsidP="00B004EE">
      <w:pPr>
        <w:pStyle w:val="Corpsdetexte"/>
        <w:tabs>
          <w:tab w:val="left" w:pos="7859"/>
        </w:tabs>
        <w:spacing w:line="20" w:lineRule="atLeast"/>
        <w:ind w:right="113"/>
        <w:rPr>
          <w:rFonts w:ascii="Tahoma" w:hAnsi="Tahoma" w:cs="Tahoma"/>
          <w:b/>
          <w:bCs/>
          <w:sz w:val="20"/>
          <w:szCs w:val="20"/>
        </w:rPr>
      </w:pPr>
    </w:p>
    <w:p w14:paraId="5F62681F" w14:textId="77777777" w:rsidR="0049647F" w:rsidRPr="00B004EE" w:rsidRDefault="0049647F" w:rsidP="00B004EE">
      <w:pPr>
        <w:pStyle w:val="Corpsdetexte"/>
        <w:tabs>
          <w:tab w:val="left" w:pos="7859"/>
        </w:tabs>
        <w:spacing w:line="20" w:lineRule="atLeast"/>
        <w:ind w:right="113"/>
        <w:jc w:val="center"/>
        <w:rPr>
          <w:rFonts w:ascii="Tahoma" w:hAnsi="Tahoma" w:cs="Tahoma"/>
          <w:b/>
          <w:bCs/>
          <w:sz w:val="20"/>
          <w:szCs w:val="20"/>
        </w:rPr>
      </w:pPr>
      <w:r w:rsidRPr="00B004EE">
        <w:rPr>
          <w:rFonts w:ascii="Tahoma" w:hAnsi="Tahoma" w:cs="Tahoma"/>
          <w:b/>
          <w:bCs/>
          <w:sz w:val="20"/>
          <w:szCs w:val="20"/>
        </w:rPr>
        <w:t>Section 1 - Champ d'application</w:t>
      </w:r>
    </w:p>
    <w:p w14:paraId="5D415EB4" w14:textId="77777777" w:rsidR="0049647F" w:rsidRPr="00B004EE" w:rsidRDefault="0049647F" w:rsidP="00B004EE">
      <w:pPr>
        <w:pStyle w:val="Corpsdetexte"/>
        <w:tabs>
          <w:tab w:val="left" w:pos="7859"/>
        </w:tabs>
        <w:spacing w:line="20" w:lineRule="atLeast"/>
        <w:ind w:right="113"/>
        <w:rPr>
          <w:rFonts w:ascii="Tahoma" w:hAnsi="Tahoma" w:cs="Tahoma"/>
          <w:b/>
          <w:bCs/>
          <w:sz w:val="20"/>
          <w:szCs w:val="20"/>
        </w:rPr>
      </w:pPr>
    </w:p>
    <w:p w14:paraId="2FDAF961" w14:textId="77777777" w:rsidR="0049647F" w:rsidRPr="00B004EE" w:rsidRDefault="0049647F" w:rsidP="00B004EE">
      <w:pPr>
        <w:pStyle w:val="Corpsdetexte"/>
        <w:tabs>
          <w:tab w:val="left" w:pos="7859"/>
        </w:tabs>
        <w:spacing w:line="20" w:lineRule="atLeast"/>
        <w:ind w:right="113"/>
        <w:rPr>
          <w:rFonts w:ascii="Tahoma" w:hAnsi="Tahoma" w:cs="Tahoma"/>
          <w:sz w:val="20"/>
          <w:szCs w:val="20"/>
        </w:rPr>
      </w:pPr>
      <w:r w:rsidRPr="00B004EE">
        <w:rPr>
          <w:rFonts w:ascii="Tahoma" w:hAnsi="Tahoma" w:cs="Tahoma"/>
          <w:noProof/>
          <w:sz w:val="20"/>
          <w:szCs w:val="20"/>
        </w:rPr>
        <mc:AlternateContent>
          <mc:Choice Requires="wps">
            <w:drawing>
              <wp:anchor distT="0" distB="0" distL="114300" distR="114300" simplePos="0" relativeHeight="251669504" behindDoc="1" locked="0" layoutInCell="1" allowOverlap="1" wp14:anchorId="31A8E358" wp14:editId="4E0D19A2">
                <wp:simplePos x="0" y="0"/>
                <wp:positionH relativeFrom="page">
                  <wp:posOffset>4483100</wp:posOffset>
                </wp:positionH>
                <wp:positionV relativeFrom="paragraph">
                  <wp:posOffset>1925320</wp:posOffset>
                </wp:positionV>
                <wp:extent cx="21590" cy="546100"/>
                <wp:effectExtent l="0" t="0" r="3810" b="5080"/>
                <wp:wrapNone/>
                <wp:docPr id="5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9C362" w14:textId="77777777" w:rsidR="00B004EE" w:rsidRDefault="00B004EE" w:rsidP="0049647F">
                            <w:pPr>
                              <w:spacing w:line="860" w:lineRule="exact"/>
                              <w:rPr>
                                <w:rFonts w:ascii="Arial Narrow" w:eastAsia="Arial Narrow" w:hAnsi="Arial Narrow" w:cs="Arial Narrow"/>
                                <w:sz w:val="86"/>
                                <w:szCs w:val="86"/>
                              </w:rPr>
                            </w:pPr>
                            <w:r>
                              <w:rPr>
                                <w:rFonts w:ascii="Arial Narrow"/>
                                <w:color w:val="333333"/>
                                <w:spacing w:val="-184"/>
                                <w:w w:val="92"/>
                                <w:sz w:val="8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8E358" id="_x0000_t202" coordsize="21600,21600" o:spt="202" path="m,l,21600r21600,l21600,xe">
                <v:stroke joinstyle="miter"/>
                <v:path gradientshapeok="t" o:connecttype="rect"/>
              </v:shapetype>
              <v:shape id="Text Box 59" o:spid="_x0000_s1028" type="#_x0000_t202" style="position:absolute;left:0;text-align:left;margin-left:353pt;margin-top:151.6pt;width:1.7pt;height:43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" filled="f" stroked="f">
                <v:textbox inset="0,0,0,0">
                  <w:txbxContent>
                    <w:p w14:paraId="14B9C362" w14:textId="77777777" w:rsidR="00B004EE" w:rsidRDefault="00B004EE" w:rsidP="0049647F">
                      <w:pPr>
                        <w:spacing w:line="860" w:lineRule="exact"/>
                        <w:rPr>
                          <w:rFonts w:ascii="Arial Narrow" w:eastAsia="Arial Narrow" w:hAnsi="Arial Narrow" w:cs="Arial Narrow"/>
                          <w:sz w:val="86"/>
                          <w:szCs w:val="86"/>
                        </w:rPr>
                      </w:pPr>
                      <w:r>
                        <w:rPr>
                          <w:rFonts w:ascii="Arial Narrow"/>
                          <w:color w:val="333333"/>
                          <w:spacing w:val="-184"/>
                          <w:w w:val="92"/>
                          <w:sz w:val="86"/>
                        </w:rPr>
                        <w:t>-</w:t>
                      </w:r>
                    </w:p>
                  </w:txbxContent>
                </v:textbox>
                <w10:wrap anchorx="page"/>
              </v:shape>
            </w:pict>
          </mc:Fallback>
        </mc:AlternateContent>
      </w:r>
      <w:r w:rsidRPr="00B004EE">
        <w:rPr>
          <w:rFonts w:ascii="Tahoma" w:hAnsi="Tahoma" w:cs="Tahoma"/>
          <w:sz w:val="20"/>
          <w:szCs w:val="20"/>
        </w:rPr>
        <w:t>Article 49 : Au-delà d'un seuil fixé par décret pris sur proposition du ministre chargé de l'eau la distribution publique d'eau potable fait l'objet d’une délégation de service dans les conditions prévues par le présent code</w:t>
      </w:r>
    </w:p>
    <w:p w14:paraId="7E9DDDD8" w14:textId="77777777" w:rsidR="0049647F" w:rsidRPr="00B004EE" w:rsidRDefault="0049647F" w:rsidP="00B004EE">
      <w:pPr>
        <w:pStyle w:val="Corpsdetexte"/>
        <w:tabs>
          <w:tab w:val="left" w:pos="7859"/>
        </w:tabs>
        <w:spacing w:line="20" w:lineRule="atLeast"/>
        <w:ind w:right="113"/>
        <w:rPr>
          <w:rFonts w:ascii="Tahoma" w:hAnsi="Tahoma" w:cs="Tahoma"/>
          <w:sz w:val="20"/>
          <w:szCs w:val="20"/>
        </w:rPr>
      </w:pPr>
      <w:r w:rsidRPr="00B004EE">
        <w:rPr>
          <w:rFonts w:ascii="Tahoma" w:hAnsi="Tahoma" w:cs="Tahoma"/>
          <w:sz w:val="20"/>
          <w:szCs w:val="20"/>
        </w:rPr>
        <w:t>Dans les zones non soumises au régime de la délégation, les conditions de distribution d'eau potable sont fixées par arrêté conjoint du ministre chargé de l'eau et du ministre chargé des collectivités locales.</w:t>
      </w:r>
    </w:p>
    <w:p w14:paraId="09549EFC"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p>
    <w:p w14:paraId="0E63D23C" w14:textId="77777777" w:rsidR="0049647F" w:rsidRPr="00B004EE" w:rsidRDefault="0049647F" w:rsidP="00B004EE">
      <w:pPr>
        <w:pStyle w:val="Corpsdetexte"/>
        <w:tabs>
          <w:tab w:val="left" w:pos="7859"/>
        </w:tabs>
        <w:spacing w:line="20" w:lineRule="atLeast"/>
        <w:ind w:right="112"/>
        <w:jc w:val="center"/>
        <w:rPr>
          <w:rFonts w:ascii="Tahoma" w:hAnsi="Tahoma" w:cs="Tahoma"/>
          <w:b/>
          <w:bCs/>
          <w:sz w:val="20"/>
          <w:szCs w:val="20"/>
        </w:rPr>
      </w:pPr>
      <w:r w:rsidRPr="00B004EE">
        <w:rPr>
          <w:rFonts w:ascii="Tahoma" w:hAnsi="Tahoma" w:cs="Tahoma"/>
          <w:b/>
          <w:bCs/>
          <w:sz w:val="20"/>
          <w:szCs w:val="20"/>
        </w:rPr>
        <w:t>SECTION 2 - MODALITES DE LA DELEGATION</w:t>
      </w:r>
    </w:p>
    <w:p w14:paraId="2685137A" w14:textId="77777777" w:rsidR="0049647F" w:rsidRPr="00B004EE" w:rsidRDefault="0049647F" w:rsidP="00B004EE">
      <w:pPr>
        <w:pStyle w:val="Corpsdetexte"/>
        <w:tabs>
          <w:tab w:val="left" w:pos="7859"/>
        </w:tabs>
        <w:spacing w:line="20" w:lineRule="atLeast"/>
        <w:ind w:right="112"/>
        <w:jc w:val="center"/>
        <w:rPr>
          <w:rFonts w:ascii="Tahoma" w:hAnsi="Tahoma" w:cs="Tahoma"/>
          <w:b/>
          <w:bCs/>
          <w:sz w:val="20"/>
          <w:szCs w:val="20"/>
        </w:rPr>
      </w:pPr>
      <w:r w:rsidRPr="00B004EE">
        <w:rPr>
          <w:rFonts w:ascii="Tahoma" w:hAnsi="Tahoma" w:cs="Tahoma"/>
          <w:b/>
          <w:bCs/>
          <w:sz w:val="20"/>
          <w:szCs w:val="20"/>
        </w:rPr>
        <w:t>Sous-section 1 - Octroi, transfert, révocation</w:t>
      </w:r>
    </w:p>
    <w:p w14:paraId="5A48F454" w14:textId="77777777" w:rsidR="0049647F" w:rsidRPr="00B004EE" w:rsidRDefault="0049647F" w:rsidP="00B004EE">
      <w:pPr>
        <w:pStyle w:val="Corpsdetexte"/>
        <w:tabs>
          <w:tab w:val="left" w:pos="7859"/>
        </w:tabs>
        <w:spacing w:line="20" w:lineRule="atLeast"/>
        <w:ind w:right="112"/>
        <w:rPr>
          <w:rFonts w:ascii="Tahoma" w:hAnsi="Tahoma" w:cs="Tahoma"/>
          <w:b/>
          <w:bCs/>
          <w:sz w:val="20"/>
          <w:szCs w:val="20"/>
        </w:rPr>
      </w:pPr>
    </w:p>
    <w:p w14:paraId="3BD21F85"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r w:rsidRPr="00B004EE">
        <w:rPr>
          <w:rFonts w:ascii="Tahoma" w:hAnsi="Tahoma" w:cs="Tahoma"/>
          <w:sz w:val="20"/>
          <w:szCs w:val="20"/>
        </w:rPr>
        <w:t>Article 50 : les délégations de service public de l’eau potable sont accordées par le maîtrise d’ouvrage sur proposition de l’autorité chargée de la régulation</w:t>
      </w:r>
    </w:p>
    <w:p w14:paraId="07100577"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r w:rsidRPr="00B004EE">
        <w:rPr>
          <w:rFonts w:ascii="Tahoma" w:hAnsi="Tahoma" w:cs="Tahoma"/>
          <w:sz w:val="20"/>
          <w:szCs w:val="20"/>
        </w:rPr>
        <w:t>Ces délégations sont accordées pour une durée déterminée aux personnes morales publiques ou privées et dans certains cas à des personnes physiques exerçant une activité d’intérêt général.</w:t>
      </w:r>
    </w:p>
    <w:p w14:paraId="0CAE5909"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r w:rsidRPr="00B004EE">
        <w:rPr>
          <w:rFonts w:ascii="Tahoma" w:hAnsi="Tahoma" w:cs="Tahoma"/>
          <w:sz w:val="20"/>
          <w:szCs w:val="20"/>
        </w:rPr>
        <w:t>La durée de délégation doit être suffisante pour permettre la rentabilisation des investissements du délégataire.</w:t>
      </w:r>
    </w:p>
    <w:p w14:paraId="179A6798"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r w:rsidRPr="00B004EE">
        <w:rPr>
          <w:rFonts w:ascii="Tahoma" w:hAnsi="Tahoma" w:cs="Tahoma"/>
          <w:sz w:val="20"/>
          <w:szCs w:val="20"/>
        </w:rPr>
        <w:t>Par l’effet de la délégation, le délégataire se trouve soumis de plein droit à l’ensemble des normes applicables aux services de distribution de l’eau potable, et notamment aux règles prévues aux article 34 à 36 ci-dessus.</w:t>
      </w:r>
    </w:p>
    <w:p w14:paraId="1984E3F9"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p>
    <w:p w14:paraId="1A2A9250"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r w:rsidRPr="00B004EE">
        <w:rPr>
          <w:rFonts w:ascii="Tahoma" w:hAnsi="Tahoma" w:cs="Tahoma"/>
          <w:sz w:val="20"/>
          <w:szCs w:val="20"/>
        </w:rPr>
        <w:t>Article 51 : Les délégations sont accordées sur la base ·d'un appel public à candidatures assorti d'un cahier des charges. La procédure d'attribution des délégations est mise en œuvre par voie d 'appels d’offre, par l'autorité chargée de la régulation, dans le respect strict des principes d 'équité. De transparence et de non-discrimination.</w:t>
      </w:r>
    </w:p>
    <w:p w14:paraId="6E3BCC25"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p>
    <w:p w14:paraId="0713936B"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r w:rsidRPr="00B004EE">
        <w:rPr>
          <w:rFonts w:ascii="Tahoma" w:hAnsi="Tahoma" w:cs="Tahoma"/>
          <w:sz w:val="20"/>
          <w:szCs w:val="20"/>
        </w:rPr>
        <w:t>Article 52 : Les délégations donnent lieu au paiement d’une redevance dans les conditions prévues au cahier des charges. Les modalités d’affectation du produit de cette redevance seront définies par décret pris sur rapport conjoint du ministre chargé des finances t du ministre chargé de l'eau.</w:t>
      </w:r>
    </w:p>
    <w:p w14:paraId="150B199C"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p>
    <w:p w14:paraId="65E22FD0"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r w:rsidRPr="00B004EE">
        <w:rPr>
          <w:rFonts w:ascii="Tahoma" w:hAnsi="Tahoma" w:cs="Tahoma"/>
          <w:sz w:val="20"/>
          <w:szCs w:val="20"/>
        </w:rPr>
        <w:t>Article 53 : Des modification aux délégations ou aux cahiers des charges des opérateurs peuvent être apportées. Après approbation du maître d'ouvrage sur avis de l’autorité chargée de la régulation. Les raisons de ces modifications doivent être objectives et non discriminatoires. L'avis prévu à l'alinéa ci-dessus est motivé. Il est publié au bulletin officiel de l’autorité chargée de la régulation.</w:t>
      </w:r>
    </w:p>
    <w:p w14:paraId="31513CF8"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r w:rsidRPr="00B004EE">
        <w:rPr>
          <w:rFonts w:ascii="Tahoma" w:hAnsi="Tahoma" w:cs="Tahoma"/>
          <w:sz w:val="20"/>
          <w:szCs w:val="20"/>
        </w:rPr>
        <w:t>L'autorité chargée de la régulation indique le délai qui ne pourra être inférieur à 30 jours pendant lequel le titulaire de la délégation pourra exprimer son avis sur la modification envisagée et demander à être entendu. L’autorité chargée de la régulation devra entendre chaque opérateur qui en aura fait la demande.</w:t>
      </w:r>
    </w:p>
    <w:p w14:paraId="149CB9FB"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p>
    <w:p w14:paraId="5B979B63"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r w:rsidRPr="00B004EE">
        <w:rPr>
          <w:rFonts w:ascii="Tahoma" w:hAnsi="Tahoma" w:cs="Tahoma"/>
          <w:sz w:val="20"/>
          <w:szCs w:val="20"/>
        </w:rPr>
        <w:lastRenderedPageBreak/>
        <w:t>Article 54 : Toute modification de la délégation ou du cahier des charges qui affecte les obligations de son titulaire devra prendre en compte l'équilibre économique et financière de la délégation. Les décisions concernant la modification des délégations sont susceptibles des recours prévus par les lois et règlements en vigueur.</w:t>
      </w:r>
    </w:p>
    <w:p w14:paraId="6231108F"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p>
    <w:p w14:paraId="0F5537DC"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r w:rsidRPr="00B004EE">
        <w:rPr>
          <w:rFonts w:ascii="Tahoma" w:hAnsi="Tahoma" w:cs="Tahoma"/>
          <w:sz w:val="20"/>
          <w:szCs w:val="20"/>
        </w:rPr>
        <w:t>Article 55 :</w:t>
      </w:r>
      <w:r w:rsidRPr="00B004EE">
        <w:rPr>
          <w:rFonts w:ascii="Tahoma" w:hAnsi="Tahoma" w:cs="Tahoma"/>
          <w:b/>
          <w:bCs/>
          <w:sz w:val="20"/>
          <w:szCs w:val="20"/>
        </w:rPr>
        <w:t xml:space="preserve"> </w:t>
      </w:r>
      <w:r w:rsidRPr="00B004EE">
        <w:rPr>
          <w:rFonts w:ascii="Tahoma" w:hAnsi="Tahoma" w:cs="Tahoma"/>
          <w:sz w:val="20"/>
          <w:szCs w:val="20"/>
        </w:rPr>
        <w:t>Les délégations délivrées en application du présent code sont personnelles. Elles ne peuvent être transférées à un tiers qu’avec l'accord du maître d'ouvrage et sur proposition de l’autorité chargée de la régulation. L’autorisation ou le refus du transfert est notifié par écrit dans un délai maximal de deux (2) mois à compter de la date de saisine de l’autorité chargée de la régulation. Le refus doit être motivé.</w:t>
      </w:r>
    </w:p>
    <w:p w14:paraId="534CBAB4"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p>
    <w:p w14:paraId="41A365AE"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r w:rsidRPr="00B004EE">
        <w:rPr>
          <w:rFonts w:ascii="Tahoma" w:hAnsi="Tahoma" w:cs="Tahoma"/>
          <w:sz w:val="20"/>
          <w:szCs w:val="20"/>
        </w:rPr>
        <w:t xml:space="preserve">Article 56: Tout transfert implique la poursuite du respect de l'ensemble des </w:t>
      </w:r>
      <w:r w:rsidRPr="00B004EE">
        <w:rPr>
          <w:rFonts w:ascii="Tahoma" w:hAnsi="Tahoma" w:cs="Tahoma"/>
          <w:noProof/>
          <w:sz w:val="20"/>
          <w:szCs w:val="20"/>
        </w:rPr>
        <mc:AlternateContent>
          <mc:Choice Requires="wps">
            <w:drawing>
              <wp:anchor distT="0" distB="0" distL="114300" distR="114300" simplePos="0" relativeHeight="251670528" behindDoc="1" locked="0" layoutInCell="1" allowOverlap="1" wp14:anchorId="583A18A0" wp14:editId="679D364A">
                <wp:simplePos x="0" y="0"/>
                <wp:positionH relativeFrom="page">
                  <wp:posOffset>4191000</wp:posOffset>
                </wp:positionH>
                <wp:positionV relativeFrom="paragraph">
                  <wp:posOffset>313690</wp:posOffset>
                </wp:positionV>
                <wp:extent cx="24130" cy="647700"/>
                <wp:effectExtent l="0" t="0" r="1270" b="3810"/>
                <wp:wrapNone/>
                <wp:docPr id="4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93A61" w14:textId="77777777" w:rsidR="00B004EE" w:rsidRDefault="00B004EE" w:rsidP="0049647F">
                            <w:pPr>
                              <w:spacing w:line="1020" w:lineRule="exact"/>
                              <w:rPr>
                                <w:rFonts w:ascii="Courier New" w:eastAsia="Courier New" w:hAnsi="Courier New" w:cs="Courier New"/>
                                <w:sz w:val="102"/>
                                <w:szCs w:val="102"/>
                              </w:rPr>
                            </w:pPr>
                            <w:r>
                              <w:rPr>
                                <w:rFonts w:ascii="Courier New"/>
                                <w:color w:val="363636"/>
                                <w:spacing w:val="-208"/>
                                <w:w w:val="40"/>
                                <w:sz w:val="10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A18A0" id="Text Box 41" o:spid="_x0000_s1029" type="#_x0000_t202" style="position:absolute;left:0;text-align:left;margin-left:330pt;margin-top:24.7pt;width:1.9pt;height:51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" filled="f" stroked="f">
                <v:textbox inset="0,0,0,0">
                  <w:txbxContent>
                    <w:p w14:paraId="35893A61" w14:textId="77777777" w:rsidR="00B004EE" w:rsidRDefault="00B004EE" w:rsidP="0049647F">
                      <w:pPr>
                        <w:spacing w:line="1020" w:lineRule="exact"/>
                        <w:rPr>
                          <w:rFonts w:ascii="Courier New" w:eastAsia="Courier New" w:hAnsi="Courier New" w:cs="Courier New"/>
                          <w:sz w:val="102"/>
                          <w:szCs w:val="102"/>
                        </w:rPr>
                      </w:pPr>
                      <w:r>
                        <w:rPr>
                          <w:rFonts w:ascii="Courier New"/>
                          <w:color w:val="363636"/>
                          <w:spacing w:val="-208"/>
                          <w:w w:val="40"/>
                          <w:sz w:val="102"/>
                        </w:rPr>
                        <w:t>-</w:t>
                      </w:r>
                    </w:p>
                  </w:txbxContent>
                </v:textbox>
                <w10:wrap anchorx="page"/>
              </v:shape>
            </w:pict>
          </mc:Fallback>
        </mc:AlternateContent>
      </w:r>
      <w:r w:rsidRPr="00B004EE">
        <w:rPr>
          <w:rFonts w:ascii="Tahoma" w:hAnsi="Tahoma" w:cs="Tahoma"/>
          <w:sz w:val="20"/>
          <w:szCs w:val="20"/>
        </w:rPr>
        <w:t>obligations liées à la délégation.</w:t>
      </w:r>
      <w:r w:rsidRPr="00B004EE">
        <w:rPr>
          <w:rFonts w:ascii="Tahoma" w:hAnsi="Tahoma" w:cs="Tahoma"/>
          <w:noProof/>
          <w:sz w:val="20"/>
          <w:szCs w:val="20"/>
        </w:rPr>
        <mc:AlternateContent>
          <mc:Choice Requires="wps">
            <w:drawing>
              <wp:anchor distT="0" distB="0" distL="114300" distR="114300" simplePos="0" relativeHeight="251671552" behindDoc="1" locked="0" layoutInCell="1" allowOverlap="1" wp14:anchorId="005EB2BA" wp14:editId="153897F1">
                <wp:simplePos x="0" y="0"/>
                <wp:positionH relativeFrom="page">
                  <wp:posOffset>5308600</wp:posOffset>
                </wp:positionH>
                <wp:positionV relativeFrom="paragraph">
                  <wp:posOffset>263525</wp:posOffset>
                </wp:positionV>
                <wp:extent cx="48895" cy="120650"/>
                <wp:effectExtent l="0" t="0" r="1905" b="0"/>
                <wp:wrapNone/>
                <wp:docPr id="3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1626B" w14:textId="77777777" w:rsidR="00B004EE" w:rsidRDefault="00B004EE" w:rsidP="0049647F">
                            <w:pPr>
                              <w:spacing w:line="190" w:lineRule="exact"/>
                              <w:rPr>
                                <w:rFonts w:ascii="Arial Narrow" w:eastAsia="Arial Narrow" w:hAnsi="Arial Narrow" w:cs="Arial Narrow"/>
                                <w:sz w:val="19"/>
                                <w:szCs w:val="19"/>
                              </w:rPr>
                            </w:pPr>
                            <w:r>
                              <w:rPr>
                                <w:rFonts w:ascii="Arial Narrow"/>
                                <w:color w:val="B6B6B6"/>
                                <w:w w:val="255"/>
                                <w:sz w:val="1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EB2BA" id="Text Box 40" o:spid="_x0000_s1030" type="#_x0000_t202" style="position:absolute;left:0;text-align:left;margin-left:418pt;margin-top:20.75pt;width:3.85pt;height:9.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" filled="f" stroked="f">
                <v:textbox inset="0,0,0,0">
                  <w:txbxContent>
                    <w:p w14:paraId="6C91626B" w14:textId="77777777" w:rsidR="00B004EE" w:rsidRDefault="00B004EE" w:rsidP="0049647F">
                      <w:pPr>
                        <w:spacing w:line="190" w:lineRule="exact"/>
                        <w:rPr>
                          <w:rFonts w:ascii="Arial Narrow" w:eastAsia="Arial Narrow" w:hAnsi="Arial Narrow" w:cs="Arial Narrow"/>
                          <w:sz w:val="19"/>
                          <w:szCs w:val="19"/>
                        </w:rPr>
                      </w:pPr>
                      <w:r>
                        <w:rPr>
                          <w:rFonts w:ascii="Arial Narrow"/>
                          <w:color w:val="B6B6B6"/>
                          <w:w w:val="255"/>
                          <w:sz w:val="19"/>
                        </w:rPr>
                        <w:t>'</w:t>
                      </w:r>
                    </w:p>
                  </w:txbxContent>
                </v:textbox>
                <w10:wrap anchorx="page"/>
              </v:shape>
            </w:pict>
          </mc:Fallback>
        </mc:AlternateContent>
      </w:r>
      <w:r w:rsidRPr="00B004EE">
        <w:rPr>
          <w:rFonts w:ascii="Tahoma" w:hAnsi="Tahoma" w:cs="Tahoma"/>
          <w:sz w:val="20"/>
          <w:szCs w:val="20"/>
        </w:rPr>
        <w:t xml:space="preserve"> En cas de transfert d'une délégation les parties sont tenues d’en informer l'autorité chargée de la régulation quinze jours au moins avant la conclusion de la convention de transfert et d'accomplir les formalités prévues à cet effet.</w:t>
      </w:r>
    </w:p>
    <w:p w14:paraId="34809955"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r w:rsidRPr="00B004EE">
        <w:rPr>
          <w:rFonts w:ascii="Tahoma" w:hAnsi="Tahoma" w:cs="Tahoma"/>
          <w:sz w:val="20"/>
          <w:szCs w:val="20"/>
        </w:rPr>
        <w:t>Le non-respect de ces procédures est sanctionné conformément aux dispositions du présent code.</w:t>
      </w:r>
    </w:p>
    <w:p w14:paraId="4487128B"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p>
    <w:p w14:paraId="0CDF2EF9"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r w:rsidRPr="00B004EE">
        <w:rPr>
          <w:rFonts w:ascii="Tahoma" w:hAnsi="Tahoma" w:cs="Tahoma"/>
          <w:sz w:val="20"/>
          <w:szCs w:val="20"/>
        </w:rPr>
        <w:t>Article 57 : Les délégations de service- public de l’eau potable sont retirées par le maître d’ouvrage sur rapport de l'autorité chargée de la régulation lorsque le titulaire a violé de· façon grave et/ou répétée les obligations légales, réglementaire et contractuelles qui s’imposaient à lui.</w:t>
      </w:r>
    </w:p>
    <w:p w14:paraId="6919BD14"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r w:rsidRPr="00B004EE">
        <w:rPr>
          <w:rFonts w:ascii="Tahoma" w:hAnsi="Tahoma" w:cs="Tahoma"/>
          <w:sz w:val="20"/>
          <w:szCs w:val="20"/>
        </w:rPr>
        <w:t>La décision de retrait d’une délégation est motivée. Elle est prise pour des raisons objectives et non discriminatoires.</w:t>
      </w:r>
    </w:p>
    <w:p w14:paraId="1B779211"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p>
    <w:p w14:paraId="552B5BEF"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r w:rsidRPr="00B004EE">
        <w:rPr>
          <w:rFonts w:ascii="Tahoma" w:hAnsi="Tahoma" w:cs="Tahoma"/>
          <w:sz w:val="20"/>
          <w:szCs w:val="20"/>
        </w:rPr>
        <w:t>Article 58 : Le retrait est prononcé après que l’intéressé ait reçu notification des griefs et ait été mis en mesure de consulter le dossier et de présenter des observation écrites et verbales. L'intéressé peut exercer' toutes les voies de recours prévues par les lois et règlements en vigueur. ·.</w:t>
      </w:r>
    </w:p>
    <w:p w14:paraId="7B72BDC8"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p>
    <w:p w14:paraId="7BE79950" w14:textId="77777777" w:rsidR="0049647F" w:rsidRPr="00B004EE" w:rsidRDefault="0049647F" w:rsidP="00B004EE">
      <w:pPr>
        <w:pStyle w:val="Corpsdetexte"/>
        <w:tabs>
          <w:tab w:val="left" w:pos="7859"/>
        </w:tabs>
        <w:spacing w:line="20" w:lineRule="atLeast"/>
        <w:ind w:right="112"/>
        <w:jc w:val="center"/>
        <w:rPr>
          <w:rFonts w:ascii="Tahoma" w:hAnsi="Tahoma" w:cs="Tahoma"/>
          <w:b/>
          <w:bCs/>
          <w:sz w:val="20"/>
          <w:szCs w:val="20"/>
        </w:rPr>
      </w:pPr>
      <w:r w:rsidRPr="00B004EE">
        <w:rPr>
          <w:rFonts w:ascii="Tahoma" w:hAnsi="Tahoma" w:cs="Tahoma"/>
          <w:b/>
          <w:bCs/>
          <w:sz w:val="20"/>
          <w:szCs w:val="20"/>
        </w:rPr>
        <w:t>Sous-section 2 - Sanctions</w:t>
      </w:r>
    </w:p>
    <w:p w14:paraId="7EF19569" w14:textId="77777777" w:rsidR="0049647F" w:rsidRPr="00B004EE" w:rsidRDefault="0049647F" w:rsidP="00B004EE">
      <w:pPr>
        <w:pStyle w:val="Corpsdetexte"/>
        <w:tabs>
          <w:tab w:val="left" w:pos="7859"/>
        </w:tabs>
        <w:spacing w:line="20" w:lineRule="atLeast"/>
        <w:ind w:right="112"/>
        <w:rPr>
          <w:rFonts w:ascii="Tahoma" w:hAnsi="Tahoma" w:cs="Tahoma"/>
          <w:b/>
          <w:bCs/>
          <w:sz w:val="20"/>
          <w:szCs w:val="20"/>
        </w:rPr>
      </w:pPr>
    </w:p>
    <w:p w14:paraId="14FDC705"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r w:rsidRPr="00B004EE">
        <w:rPr>
          <w:rFonts w:ascii="Tahoma" w:hAnsi="Tahoma" w:cs="Tahoma"/>
          <w:sz w:val="20"/>
          <w:szCs w:val="20"/>
        </w:rPr>
        <w:t>Article 59 : L’autorité chargé de la régulation sanctionne, soit d'office soit à la demande du maître d'ouvrage d'une organisation professionnelle d’une association d'utilisateurs ou d'une personne physique ou morale ayant intérêt à agir. Les manquements qu'elle constate de la part des opérateurs bénéficiant d'une délégation de service public.</w:t>
      </w:r>
    </w:p>
    <w:p w14:paraId="66C8D79E"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p>
    <w:p w14:paraId="4204A935"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r w:rsidRPr="00B004EE">
        <w:rPr>
          <w:rFonts w:ascii="Tahoma" w:hAnsi="Tahoma" w:cs="Tahoma"/>
          <w:sz w:val="20"/>
          <w:szCs w:val="20"/>
        </w:rPr>
        <w:t>Article 60 : Quand elle est saisie d’une demande de sanction, l'autorité chargée de la régulation met en demeure l’auteur du manquement de se conformer aux règles applicables à son activité dans un délai déterminé.</w:t>
      </w:r>
    </w:p>
    <w:p w14:paraId="47DC23CE"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r w:rsidRPr="00B004EE">
        <w:rPr>
          <w:rFonts w:ascii="Tahoma" w:hAnsi="Tahoma" w:cs="Tahoma"/>
          <w:sz w:val="20"/>
          <w:szCs w:val="20"/>
        </w:rPr>
        <w:t>L'autorité chargée de la régulation rend cette mise en demeure publique par tout moyen approprié.</w:t>
      </w:r>
    </w:p>
    <w:p w14:paraId="63566F99"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p>
    <w:p w14:paraId="060431A7"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r w:rsidRPr="00B004EE">
        <w:rPr>
          <w:rFonts w:ascii="Tahoma" w:hAnsi="Tahoma" w:cs="Tahoma"/>
          <w:sz w:val="20"/>
          <w:szCs w:val="20"/>
        </w:rPr>
        <w:t>Article 61 :</w:t>
      </w:r>
      <w:r w:rsidRPr="00B004EE">
        <w:rPr>
          <w:rFonts w:ascii="Tahoma" w:hAnsi="Tahoma" w:cs="Tahoma"/>
          <w:b/>
          <w:bCs/>
          <w:sz w:val="20"/>
          <w:szCs w:val="20"/>
        </w:rPr>
        <w:t xml:space="preserve"> </w:t>
      </w:r>
      <w:r w:rsidRPr="00B004EE">
        <w:rPr>
          <w:rFonts w:ascii="Tahoma" w:hAnsi="Tahoma" w:cs="Tahoma"/>
          <w:sz w:val="20"/>
          <w:szCs w:val="20"/>
        </w:rPr>
        <w:t>L’autorité chargée de la régulation informe l’opérateur susceptible d’être sanctionné des griefs qui sont relevés à son encontre. Elle lui accorde un délai pour lui permettre de consulter le dossier le concernant et présenter ses observations écrites et verbales.</w:t>
      </w:r>
    </w:p>
    <w:p w14:paraId="69F18AD0"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p>
    <w:p w14:paraId="726741C6"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r w:rsidRPr="00B004EE">
        <w:rPr>
          <w:rFonts w:ascii="Tahoma" w:hAnsi="Tahoma" w:cs="Tahoma"/>
          <w:sz w:val="20"/>
          <w:szCs w:val="20"/>
        </w:rPr>
        <w:t>Article 62 : Lorsque l’auteur du manquen1ent ne se conforme pas dans le délai fixé par l’autorité chargée de la régulation. Celle-ci prononce à son encontre sans préjudice des sanctions pénales éventuelles, l'une ou l’autre des sanctions suivantes :</w:t>
      </w:r>
    </w:p>
    <w:p w14:paraId="7E533E90" w14:textId="77777777" w:rsidR="0049647F" w:rsidRPr="00B004EE" w:rsidRDefault="0049647F" w:rsidP="00420DDA">
      <w:pPr>
        <w:pStyle w:val="Corpsdetexte"/>
        <w:widowControl w:val="0"/>
        <w:numPr>
          <w:ilvl w:val="0"/>
          <w:numId w:val="106"/>
        </w:numPr>
        <w:tabs>
          <w:tab w:val="left" w:pos="7859"/>
        </w:tabs>
        <w:autoSpaceDE/>
        <w:autoSpaceDN/>
        <w:adjustRightInd/>
        <w:spacing w:line="20" w:lineRule="atLeast"/>
        <w:ind w:left="567" w:right="112"/>
        <w:rPr>
          <w:rFonts w:ascii="Tahoma" w:hAnsi="Tahoma" w:cs="Tahoma"/>
          <w:sz w:val="20"/>
          <w:szCs w:val="20"/>
        </w:rPr>
      </w:pPr>
      <w:r w:rsidRPr="00B004EE">
        <w:rPr>
          <w:rFonts w:ascii="Tahoma" w:hAnsi="Tahoma" w:cs="Tahoma"/>
          <w:sz w:val="20"/>
          <w:szCs w:val="20"/>
        </w:rPr>
        <w:t>Suspension total ou partielle de l’activités déléguée ;</w:t>
      </w:r>
    </w:p>
    <w:p w14:paraId="5A942168" w14:textId="77777777" w:rsidR="0049647F" w:rsidRPr="00B004EE" w:rsidRDefault="0049647F" w:rsidP="00420DDA">
      <w:pPr>
        <w:pStyle w:val="Corpsdetexte"/>
        <w:widowControl w:val="0"/>
        <w:numPr>
          <w:ilvl w:val="0"/>
          <w:numId w:val="106"/>
        </w:numPr>
        <w:tabs>
          <w:tab w:val="left" w:pos="7859"/>
        </w:tabs>
        <w:autoSpaceDE/>
        <w:autoSpaceDN/>
        <w:adjustRightInd/>
        <w:spacing w:line="20" w:lineRule="atLeast"/>
        <w:ind w:left="567" w:right="112"/>
        <w:rPr>
          <w:rFonts w:ascii="Tahoma" w:hAnsi="Tahoma" w:cs="Tahoma"/>
          <w:sz w:val="20"/>
          <w:szCs w:val="20"/>
        </w:rPr>
      </w:pPr>
      <w:r w:rsidRPr="00B004EE">
        <w:rPr>
          <w:rFonts w:ascii="Tahoma" w:hAnsi="Tahoma" w:cs="Tahoma"/>
          <w:sz w:val="20"/>
          <w:szCs w:val="20"/>
        </w:rPr>
        <w:t>Une sanction pécuniaire proportionnelle à l’activité du manquement constaté.</w:t>
      </w:r>
    </w:p>
    <w:p w14:paraId="7FD27FCC" w14:textId="77777777" w:rsidR="0049647F" w:rsidRPr="00B004EE" w:rsidRDefault="0049647F" w:rsidP="00B004EE">
      <w:pPr>
        <w:pStyle w:val="Corpsdetexte"/>
        <w:tabs>
          <w:tab w:val="left" w:pos="7859"/>
        </w:tabs>
        <w:spacing w:line="20" w:lineRule="atLeast"/>
        <w:ind w:right="112"/>
        <w:rPr>
          <w:rFonts w:ascii="Tahoma" w:hAnsi="Tahoma" w:cs="Tahoma"/>
          <w:b/>
          <w:bCs/>
          <w:sz w:val="20"/>
          <w:szCs w:val="20"/>
        </w:rPr>
      </w:pPr>
    </w:p>
    <w:p w14:paraId="497DC053"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r w:rsidRPr="00B004EE">
        <w:rPr>
          <w:rFonts w:ascii="Tahoma" w:hAnsi="Tahoma" w:cs="Tahoma"/>
          <w:sz w:val="20"/>
          <w:szCs w:val="20"/>
        </w:rPr>
        <w:t>Article 63 : Les sanctions pécuniaire prononcées à l’encontre d’un opérateur du secteur ne peuvent excéder, par manquement constaté 2% du chiffre d’affaire hors taxe du dernier exercice écoulé de l’auteur du manquement.</w:t>
      </w:r>
    </w:p>
    <w:p w14:paraId="78481CDF"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r w:rsidRPr="00B004EE">
        <w:rPr>
          <w:rFonts w:ascii="Tahoma" w:hAnsi="Tahoma" w:cs="Tahoma"/>
          <w:sz w:val="20"/>
          <w:szCs w:val="20"/>
        </w:rPr>
        <w:t>A défaut d’activité permettant de déterminer ce montant, la sanction ne peut excéder 20 million d’Ouguiya.</w:t>
      </w:r>
    </w:p>
    <w:p w14:paraId="0188865C"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r w:rsidRPr="00B004EE">
        <w:rPr>
          <w:rFonts w:ascii="Tahoma" w:hAnsi="Tahoma" w:cs="Tahoma"/>
          <w:sz w:val="20"/>
          <w:szCs w:val="20"/>
        </w:rPr>
        <w:t>Tout récidive entraînera le doublement des sanctions pécuniaires</w:t>
      </w:r>
    </w:p>
    <w:p w14:paraId="6D9727E6" w14:textId="77777777" w:rsidR="0049647F" w:rsidRPr="00B004EE" w:rsidRDefault="0049647F" w:rsidP="00B004EE">
      <w:pPr>
        <w:pStyle w:val="Corpsdetexte"/>
        <w:tabs>
          <w:tab w:val="left" w:pos="7859"/>
        </w:tabs>
        <w:spacing w:line="20" w:lineRule="atLeast"/>
        <w:ind w:right="112"/>
        <w:rPr>
          <w:rFonts w:ascii="Tahoma" w:hAnsi="Tahoma" w:cs="Tahoma"/>
          <w:b/>
          <w:bCs/>
          <w:sz w:val="20"/>
          <w:szCs w:val="20"/>
        </w:rPr>
      </w:pPr>
    </w:p>
    <w:p w14:paraId="5AE29066"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r w:rsidRPr="00B004EE">
        <w:rPr>
          <w:rFonts w:ascii="Tahoma" w:hAnsi="Tahoma" w:cs="Tahoma"/>
          <w:sz w:val="20"/>
          <w:szCs w:val="20"/>
        </w:rPr>
        <w:t>Article 64 : La décision par laquelle l'autorité chargée de la régulation inflige une sanction à l'opérateur est motivée. Elle est susceptible d'un recours devant la Chambre administrative de la Cour suprême, dans le délai d'un mois à compter-de la notification qui est faite par l'autorité chargée de la régulation.</w:t>
      </w:r>
    </w:p>
    <w:p w14:paraId="40CA895F"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r w:rsidRPr="00B004EE">
        <w:rPr>
          <w:rFonts w:ascii="Tahoma" w:hAnsi="Tahoma" w:cs="Tahoma"/>
          <w:sz w:val="20"/>
          <w:szCs w:val="20"/>
        </w:rPr>
        <w:t>La sanction est publiée au bulletin officiel de l'autorité chargée de la régulation.</w:t>
      </w:r>
    </w:p>
    <w:p w14:paraId="3504E611" w14:textId="77777777" w:rsidR="0049647F" w:rsidRPr="00B004EE" w:rsidRDefault="0049647F" w:rsidP="00B004EE">
      <w:pPr>
        <w:pStyle w:val="Corpsdetexte"/>
        <w:tabs>
          <w:tab w:val="left" w:pos="7859"/>
        </w:tabs>
        <w:spacing w:line="20" w:lineRule="atLeast"/>
        <w:ind w:right="112"/>
        <w:rPr>
          <w:rFonts w:ascii="Tahoma" w:hAnsi="Tahoma" w:cs="Tahoma"/>
          <w:b/>
          <w:bCs/>
          <w:sz w:val="20"/>
          <w:szCs w:val="20"/>
        </w:rPr>
      </w:pPr>
    </w:p>
    <w:p w14:paraId="17FAEAE0" w14:textId="77777777" w:rsidR="0049647F" w:rsidRPr="00B004EE" w:rsidRDefault="0049647F" w:rsidP="00B004EE">
      <w:pPr>
        <w:pStyle w:val="Corpsdetexte"/>
        <w:tabs>
          <w:tab w:val="left" w:pos="7859"/>
        </w:tabs>
        <w:spacing w:line="20" w:lineRule="atLeast"/>
        <w:ind w:right="112"/>
        <w:jc w:val="center"/>
        <w:rPr>
          <w:rFonts w:ascii="Tahoma" w:hAnsi="Tahoma" w:cs="Tahoma"/>
          <w:b/>
          <w:bCs/>
          <w:sz w:val="20"/>
          <w:szCs w:val="20"/>
        </w:rPr>
      </w:pPr>
      <w:r w:rsidRPr="00B004EE">
        <w:rPr>
          <w:rFonts w:ascii="Tahoma" w:hAnsi="Tahoma" w:cs="Tahoma"/>
          <w:b/>
          <w:bCs/>
          <w:sz w:val="20"/>
          <w:szCs w:val="20"/>
        </w:rPr>
        <w:t>Sous-section 3-Tarifs</w:t>
      </w:r>
    </w:p>
    <w:p w14:paraId="10115EE8" w14:textId="77777777" w:rsidR="0049647F" w:rsidRPr="00B004EE" w:rsidRDefault="0049647F" w:rsidP="00B004EE">
      <w:pPr>
        <w:pStyle w:val="Corpsdetexte"/>
        <w:tabs>
          <w:tab w:val="left" w:pos="7859"/>
        </w:tabs>
        <w:spacing w:line="20" w:lineRule="atLeast"/>
        <w:ind w:right="112"/>
        <w:rPr>
          <w:rFonts w:ascii="Tahoma" w:hAnsi="Tahoma" w:cs="Tahoma"/>
          <w:b/>
          <w:bCs/>
          <w:sz w:val="20"/>
          <w:szCs w:val="20"/>
        </w:rPr>
      </w:pPr>
    </w:p>
    <w:p w14:paraId="0572A15C"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r w:rsidRPr="00B004EE">
        <w:rPr>
          <w:rFonts w:ascii="Tahoma" w:hAnsi="Tahoma" w:cs="Tahoma"/>
          <w:sz w:val="20"/>
          <w:szCs w:val="20"/>
        </w:rPr>
        <w:t>Article 65 : Les tarifs de l'eau sont homologués par le ministre chargé de l’eau, sur avis de l’autorité chargée de la régulation.</w:t>
      </w:r>
    </w:p>
    <w:p w14:paraId="19A4E6F2" w14:textId="77777777" w:rsidR="0049647F" w:rsidRPr="00B004EE" w:rsidRDefault="0049647F" w:rsidP="00B004EE">
      <w:pPr>
        <w:pStyle w:val="Corpsdetexte"/>
        <w:tabs>
          <w:tab w:val="left" w:pos="7859"/>
        </w:tabs>
        <w:spacing w:line="20" w:lineRule="atLeast"/>
        <w:ind w:right="112"/>
        <w:rPr>
          <w:rFonts w:ascii="Tahoma" w:hAnsi="Tahoma" w:cs="Tahoma"/>
          <w:b/>
          <w:bCs/>
          <w:sz w:val="20"/>
          <w:szCs w:val="20"/>
        </w:rPr>
      </w:pPr>
    </w:p>
    <w:p w14:paraId="663C7EF2"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r w:rsidRPr="00B004EE">
        <w:rPr>
          <w:rFonts w:ascii="Tahoma" w:hAnsi="Tahoma" w:cs="Tahoma"/>
          <w:sz w:val="20"/>
          <w:szCs w:val="20"/>
        </w:rPr>
        <w:t xml:space="preserve">Article 66 : Les principes de la tarification de l'eau sont fixés par l’autorité chargée de la régulation. </w:t>
      </w:r>
    </w:p>
    <w:p w14:paraId="39DEEA1F"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r w:rsidRPr="00B004EE">
        <w:rPr>
          <w:rFonts w:ascii="Tahoma" w:hAnsi="Tahoma" w:cs="Tahoma"/>
          <w:sz w:val="20"/>
          <w:szCs w:val="20"/>
        </w:rPr>
        <w:t>Ces principes devront prendre en compte les exigences de l'équilibre économique et financier des délégataires.</w:t>
      </w:r>
    </w:p>
    <w:p w14:paraId="37C889CB"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r w:rsidRPr="00B004EE">
        <w:rPr>
          <w:rFonts w:ascii="Tahoma" w:hAnsi="Tahoma" w:cs="Tahoma"/>
          <w:sz w:val="20"/>
          <w:szCs w:val="20"/>
        </w:rPr>
        <w:t>Les délégataires ont l'obligation de tenir une comptabilité analytique.</w:t>
      </w:r>
    </w:p>
    <w:p w14:paraId="235B051E"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r w:rsidRPr="00B004EE">
        <w:rPr>
          <w:rFonts w:ascii="Tahoma" w:hAnsi="Tahoma" w:cs="Tahoma"/>
          <w:sz w:val="20"/>
          <w:szCs w:val="20"/>
        </w:rPr>
        <w:t>Les conditions tarifaires resteront en vigueur pendant une période déterminée qui sera définie au préalable dans le cahier des charges du titulaire de la délégation.</w:t>
      </w:r>
    </w:p>
    <w:p w14:paraId="75E0179A" w14:textId="77777777" w:rsidR="0049647F" w:rsidRPr="00B004EE" w:rsidRDefault="0049647F" w:rsidP="00B004EE">
      <w:pPr>
        <w:pStyle w:val="Corpsdetexte"/>
        <w:tabs>
          <w:tab w:val="left" w:pos="7859"/>
        </w:tabs>
        <w:spacing w:line="20" w:lineRule="atLeast"/>
        <w:ind w:right="112"/>
        <w:jc w:val="center"/>
        <w:rPr>
          <w:rFonts w:ascii="Tahoma" w:hAnsi="Tahoma" w:cs="Tahoma"/>
          <w:b/>
          <w:bCs/>
          <w:sz w:val="20"/>
          <w:szCs w:val="20"/>
        </w:rPr>
      </w:pPr>
    </w:p>
    <w:p w14:paraId="30F668A1" w14:textId="77777777" w:rsidR="0049647F" w:rsidRPr="00B004EE" w:rsidRDefault="0049647F" w:rsidP="00B004EE">
      <w:pPr>
        <w:pStyle w:val="Corpsdetexte"/>
        <w:tabs>
          <w:tab w:val="left" w:pos="7859"/>
        </w:tabs>
        <w:spacing w:line="20" w:lineRule="atLeast"/>
        <w:ind w:right="112"/>
        <w:jc w:val="center"/>
        <w:rPr>
          <w:rFonts w:ascii="Tahoma" w:hAnsi="Tahoma" w:cs="Tahoma"/>
          <w:b/>
          <w:bCs/>
          <w:sz w:val="20"/>
          <w:szCs w:val="20"/>
        </w:rPr>
      </w:pPr>
    </w:p>
    <w:p w14:paraId="7818C1BA" w14:textId="77777777" w:rsidR="0049647F" w:rsidRPr="00B004EE" w:rsidRDefault="0049647F" w:rsidP="00B004EE">
      <w:pPr>
        <w:pStyle w:val="Corpsdetexte"/>
        <w:tabs>
          <w:tab w:val="left" w:pos="7859"/>
        </w:tabs>
        <w:spacing w:line="20" w:lineRule="atLeast"/>
        <w:ind w:right="112"/>
        <w:jc w:val="center"/>
        <w:rPr>
          <w:rFonts w:ascii="Tahoma" w:hAnsi="Tahoma" w:cs="Tahoma"/>
          <w:b/>
          <w:bCs/>
          <w:sz w:val="20"/>
          <w:szCs w:val="20"/>
        </w:rPr>
      </w:pPr>
      <w:r w:rsidRPr="00B004EE">
        <w:rPr>
          <w:rFonts w:ascii="Tahoma" w:hAnsi="Tahoma" w:cs="Tahoma"/>
          <w:b/>
          <w:bCs/>
          <w:sz w:val="20"/>
          <w:szCs w:val="20"/>
        </w:rPr>
        <w:t>TITRE IX -DISPOSITIONS PENALES</w:t>
      </w:r>
    </w:p>
    <w:p w14:paraId="68CCE338" w14:textId="77777777" w:rsidR="0049647F" w:rsidRPr="00B004EE" w:rsidRDefault="0049647F" w:rsidP="00B004EE">
      <w:pPr>
        <w:pStyle w:val="Corpsdetexte"/>
        <w:tabs>
          <w:tab w:val="left" w:pos="7859"/>
        </w:tabs>
        <w:spacing w:line="20" w:lineRule="atLeast"/>
        <w:ind w:right="112"/>
        <w:jc w:val="center"/>
        <w:rPr>
          <w:rFonts w:ascii="Tahoma" w:hAnsi="Tahoma" w:cs="Tahoma"/>
          <w:b/>
          <w:bCs/>
          <w:sz w:val="20"/>
          <w:szCs w:val="20"/>
        </w:rPr>
      </w:pPr>
      <w:r w:rsidRPr="00B004EE">
        <w:rPr>
          <w:rFonts w:ascii="Tahoma" w:hAnsi="Tahoma" w:cs="Tahoma"/>
          <w:b/>
          <w:bCs/>
          <w:sz w:val="20"/>
          <w:szCs w:val="20"/>
        </w:rPr>
        <w:t>Section 1-Constatation des infractions et poursuites pénales</w:t>
      </w:r>
    </w:p>
    <w:p w14:paraId="1735D5DB" w14:textId="77777777" w:rsidR="0049647F" w:rsidRPr="00B004EE" w:rsidRDefault="0049647F" w:rsidP="00B004EE">
      <w:pPr>
        <w:pStyle w:val="Corpsdetexte"/>
        <w:tabs>
          <w:tab w:val="left" w:pos="7859"/>
        </w:tabs>
        <w:spacing w:line="20" w:lineRule="atLeast"/>
        <w:ind w:right="112"/>
        <w:rPr>
          <w:rFonts w:ascii="Tahoma" w:hAnsi="Tahoma" w:cs="Tahoma"/>
          <w:b/>
          <w:bCs/>
          <w:sz w:val="20"/>
          <w:szCs w:val="20"/>
        </w:rPr>
      </w:pPr>
    </w:p>
    <w:p w14:paraId="0759E55D"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r w:rsidRPr="00B004EE">
        <w:rPr>
          <w:rFonts w:ascii="Tahoma" w:hAnsi="Tahoma" w:cs="Tahoma"/>
          <w:sz w:val="20"/>
          <w:szCs w:val="20"/>
        </w:rPr>
        <w:t>Article 67 : Outre les officiers et agents de police judiciaire, sont habilités à rechercher et à constater les infractions au présent code et aux règlements pris pour son application, les agents de contrôle relevant du ministre</w:t>
      </w:r>
    </w:p>
    <w:p w14:paraId="1EC0DA1C"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p>
    <w:p w14:paraId="677C15EC"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r w:rsidRPr="00B004EE">
        <w:rPr>
          <w:rFonts w:ascii="Tahoma" w:hAnsi="Tahoma" w:cs="Tahoma"/>
          <w:sz w:val="20"/>
          <w:szCs w:val="20"/>
        </w:rPr>
        <w:t>Article 68 : En vue de rechercher et de constater les infractions mentionnées à l'article 67 ci-dessus, les agents énumérés au même article ont le droit de pénétrer à l'intérieur d'une propriété bâtie ou non bâtie clôturée ou non aux fin de contrôler le respect des dispositions du présent code et des règlements et décisions pris pour son application.</w:t>
      </w:r>
    </w:p>
    <w:p w14:paraId="1E61EFF4"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r w:rsidRPr="00B004EE">
        <w:rPr>
          <w:rFonts w:ascii="Tahoma" w:hAnsi="Tahoma" w:cs="Tahoma"/>
          <w:sz w:val="20"/>
          <w:szCs w:val="20"/>
        </w:rPr>
        <w:t>Ils sont en droit de se faire produire tous renseignements et documents utiles à l'exécution de leur mission.</w:t>
      </w:r>
    </w:p>
    <w:p w14:paraId="2E3F28BA"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r w:rsidRPr="00B004EE">
        <w:rPr>
          <w:rFonts w:ascii="Tahoma" w:hAnsi="Tahoma" w:cs="Tahoma"/>
          <w:sz w:val="20"/>
          <w:szCs w:val="20"/>
        </w:rPr>
        <w:t>Au cas où l’accès leur serait indûment refusé par l'occupant, ils peuvent y pénétrer de force, soit sur réquisition du procureur de la République, du juge d'instruction ou de toute autorité judiciaire, soit sur mandat de cette dernière, soit encore accompagnés par un officier de police judiciaire</w:t>
      </w:r>
    </w:p>
    <w:p w14:paraId="480A2D2E"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r w:rsidRPr="00B004EE">
        <w:rPr>
          <w:rFonts w:ascii="Tahoma" w:hAnsi="Tahoma" w:cs="Tahoma"/>
          <w:sz w:val="20"/>
          <w:szCs w:val="20"/>
        </w:rPr>
        <w:t>Toutefois, l’accès des locaux à usage d'habitation ne leur est permis que sous réserve de l'assentiment exprès de l'occupant.</w:t>
      </w:r>
    </w:p>
    <w:p w14:paraId="49740DBC"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p>
    <w:p w14:paraId="043FBED7"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r w:rsidRPr="00B004EE">
        <w:rPr>
          <w:rFonts w:ascii="Tahoma" w:hAnsi="Tahoma" w:cs="Tahoma"/>
          <w:sz w:val="20"/>
          <w:szCs w:val="20"/>
        </w:rPr>
        <w:t>Article 69 : Les infractions aux dispositions du présent code et aux règlements et décisions pris pour son application sont constatées par des procès-verbaux dûment notifiés au contrevenant et transmis au procureur de la République.</w:t>
      </w:r>
    </w:p>
    <w:p w14:paraId="1C88F3E8"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r w:rsidRPr="00B004EE">
        <w:rPr>
          <w:rFonts w:ascii="Tahoma" w:hAnsi="Tahoma" w:cs="Tahoma"/>
          <w:sz w:val="20"/>
          <w:szCs w:val="20"/>
        </w:rPr>
        <w:t>En cas de ·flagrant délit et dans les conditions prévues par la législation en vigueur, les agents chargés du contrôle peuvent demander au : procureur de la République le déféré des délinquants et les conduire devant lui ou devant l'autorité judiciaire compétente.</w:t>
      </w:r>
    </w:p>
    <w:p w14:paraId="4D01CECB" w14:textId="77777777" w:rsidR="0049647F" w:rsidRPr="00B004EE" w:rsidRDefault="0049647F" w:rsidP="00B004EE">
      <w:pPr>
        <w:pStyle w:val="Corpsdetexte"/>
        <w:tabs>
          <w:tab w:val="left" w:pos="7859"/>
        </w:tabs>
        <w:spacing w:line="20" w:lineRule="atLeast"/>
        <w:ind w:right="112"/>
        <w:rPr>
          <w:rFonts w:ascii="Tahoma" w:hAnsi="Tahoma" w:cs="Tahoma"/>
          <w:b/>
          <w:bCs/>
          <w:sz w:val="20"/>
          <w:szCs w:val="20"/>
        </w:rPr>
      </w:pPr>
    </w:p>
    <w:p w14:paraId="59670E79" w14:textId="77777777" w:rsidR="0049647F" w:rsidRPr="00B004EE" w:rsidRDefault="0049647F" w:rsidP="00B004EE">
      <w:pPr>
        <w:pStyle w:val="Corpsdetexte"/>
        <w:tabs>
          <w:tab w:val="left" w:pos="7859"/>
        </w:tabs>
        <w:spacing w:line="20" w:lineRule="atLeast"/>
        <w:ind w:right="112"/>
        <w:jc w:val="center"/>
        <w:rPr>
          <w:rFonts w:ascii="Tahoma" w:hAnsi="Tahoma" w:cs="Tahoma"/>
          <w:b/>
          <w:bCs/>
          <w:sz w:val="20"/>
          <w:szCs w:val="20"/>
        </w:rPr>
      </w:pPr>
      <w:r w:rsidRPr="00B004EE">
        <w:rPr>
          <w:rFonts w:ascii="Tahoma" w:hAnsi="Tahoma" w:cs="Tahoma"/>
          <w:b/>
          <w:bCs/>
          <w:sz w:val="20"/>
          <w:szCs w:val="20"/>
        </w:rPr>
        <w:t>Section a·2 –Sanctions pénales</w:t>
      </w:r>
    </w:p>
    <w:p w14:paraId="61A311CB" w14:textId="77777777" w:rsidR="0049647F" w:rsidRPr="00B004EE" w:rsidRDefault="0049647F" w:rsidP="00B004EE">
      <w:pPr>
        <w:pStyle w:val="Corpsdetexte"/>
        <w:tabs>
          <w:tab w:val="left" w:pos="7859"/>
        </w:tabs>
        <w:spacing w:line="20" w:lineRule="atLeast"/>
        <w:ind w:right="112"/>
        <w:rPr>
          <w:rFonts w:ascii="Tahoma" w:hAnsi="Tahoma" w:cs="Tahoma"/>
          <w:b/>
          <w:bCs/>
          <w:sz w:val="20"/>
          <w:szCs w:val="20"/>
        </w:rPr>
      </w:pPr>
    </w:p>
    <w:p w14:paraId="47EE90C8" w14:textId="77777777" w:rsidR="0049647F" w:rsidRPr="00B004EE" w:rsidRDefault="0049647F" w:rsidP="00B004EE">
      <w:pPr>
        <w:pStyle w:val="Corpsdetexte"/>
        <w:tabs>
          <w:tab w:val="left" w:pos="7859"/>
        </w:tabs>
        <w:spacing w:line="20" w:lineRule="atLeast"/>
        <w:ind w:right="113"/>
        <w:rPr>
          <w:rFonts w:ascii="Tahoma" w:hAnsi="Tahoma" w:cs="Tahoma"/>
          <w:sz w:val="20"/>
          <w:szCs w:val="20"/>
        </w:rPr>
      </w:pPr>
      <w:r w:rsidRPr="00B004EE">
        <w:rPr>
          <w:rFonts w:ascii="Tahoma" w:hAnsi="Tahoma" w:cs="Tahoma"/>
          <w:sz w:val="20"/>
          <w:szCs w:val="20"/>
        </w:rPr>
        <w:t>Article 70 : Toute personne qui a réalisé, exploité ou participé à la réalisation d'une opération mentionnée à l'alinéa 2 de l'article 18 ci-dessus sans avoir satisfait aux formalités procédurales mentionnées aux articles 19 à 21 ci-dessus, est passible :</w:t>
      </w:r>
    </w:p>
    <w:p w14:paraId="2635220C" w14:textId="77777777" w:rsidR="0049647F" w:rsidRPr="00B004EE" w:rsidRDefault="0049647F" w:rsidP="00420DDA">
      <w:pPr>
        <w:pStyle w:val="Corpsdetexte"/>
        <w:widowControl w:val="0"/>
        <w:numPr>
          <w:ilvl w:val="0"/>
          <w:numId w:val="105"/>
        </w:numPr>
        <w:tabs>
          <w:tab w:val="left" w:pos="7859"/>
        </w:tabs>
        <w:autoSpaceDE/>
        <w:autoSpaceDN/>
        <w:adjustRightInd/>
        <w:spacing w:line="20" w:lineRule="atLeast"/>
        <w:ind w:left="567" w:right="113"/>
        <w:rPr>
          <w:rFonts w:ascii="Tahoma" w:hAnsi="Tahoma" w:cs="Tahoma"/>
          <w:sz w:val="20"/>
          <w:szCs w:val="20"/>
        </w:rPr>
      </w:pPr>
      <w:r w:rsidRPr="00B004EE">
        <w:rPr>
          <w:rFonts w:ascii="Tahoma" w:hAnsi="Tahoma" w:cs="Tahoma"/>
          <w:sz w:val="20"/>
          <w:szCs w:val="20"/>
        </w:rPr>
        <w:t>D'une peine d'amende de 50 000 à 100 000 ouguiyas, s'il s'agit du récépissé de déclaration ;</w:t>
      </w:r>
    </w:p>
    <w:p w14:paraId="5F67F495" w14:textId="77777777" w:rsidR="0049647F" w:rsidRPr="00B004EE" w:rsidRDefault="0049647F" w:rsidP="00420DDA">
      <w:pPr>
        <w:pStyle w:val="Corpsdetexte"/>
        <w:widowControl w:val="0"/>
        <w:numPr>
          <w:ilvl w:val="0"/>
          <w:numId w:val="105"/>
        </w:numPr>
        <w:tabs>
          <w:tab w:val="left" w:pos="7859"/>
        </w:tabs>
        <w:autoSpaceDE/>
        <w:autoSpaceDN/>
        <w:adjustRightInd/>
        <w:spacing w:line="20" w:lineRule="atLeast"/>
        <w:ind w:left="567" w:right="113"/>
        <w:rPr>
          <w:rFonts w:ascii="Tahoma" w:hAnsi="Tahoma" w:cs="Tahoma"/>
          <w:sz w:val="20"/>
          <w:szCs w:val="20"/>
        </w:rPr>
      </w:pPr>
      <w:r w:rsidRPr="00B004EE">
        <w:rPr>
          <w:rFonts w:ascii="Tahoma" w:hAnsi="Tahoma" w:cs="Tahoma"/>
          <w:sz w:val="20"/>
          <w:szCs w:val="20"/>
        </w:rPr>
        <w:t>D'une peine d'emprisonnement d'un à dix jours et d’une peine d'amende de 100 000à 300.000 ouguiyas, ou de l'une de ces deux peines seulement s'il s'agit d’une autorisation ;</w:t>
      </w:r>
    </w:p>
    <w:p w14:paraId="321EEA3F" w14:textId="77777777" w:rsidR="0049647F" w:rsidRPr="00B004EE" w:rsidRDefault="0049647F" w:rsidP="00420DDA">
      <w:pPr>
        <w:pStyle w:val="Corpsdetexte"/>
        <w:widowControl w:val="0"/>
        <w:numPr>
          <w:ilvl w:val="0"/>
          <w:numId w:val="105"/>
        </w:numPr>
        <w:tabs>
          <w:tab w:val="left" w:pos="7859"/>
        </w:tabs>
        <w:autoSpaceDE/>
        <w:autoSpaceDN/>
        <w:adjustRightInd/>
        <w:spacing w:line="20" w:lineRule="atLeast"/>
        <w:ind w:left="567" w:right="113"/>
        <w:rPr>
          <w:rFonts w:ascii="Tahoma" w:hAnsi="Tahoma" w:cs="Tahoma"/>
          <w:sz w:val="20"/>
          <w:szCs w:val="20"/>
        </w:rPr>
      </w:pPr>
      <w:r w:rsidRPr="00B004EE">
        <w:rPr>
          <w:rFonts w:ascii="Tahoma" w:hAnsi="Tahoma" w:cs="Tahoma"/>
          <w:sz w:val="20"/>
          <w:szCs w:val="20"/>
        </w:rPr>
        <w:t xml:space="preserve">D’une peine d'emprisonnement de dix à trente jours et d'une peine d’amende de 200 000à 500 000 </w:t>
      </w:r>
      <w:r w:rsidRPr="00B004EE">
        <w:rPr>
          <w:rFonts w:ascii="Tahoma" w:hAnsi="Tahoma" w:cs="Tahoma"/>
          <w:sz w:val="20"/>
          <w:szCs w:val="20"/>
        </w:rPr>
        <w:lastRenderedPageBreak/>
        <w:t xml:space="preserve">ouguiyas, ou de l'une de ces deux peines seulement, s'il s'agit d’une concession. </w:t>
      </w:r>
    </w:p>
    <w:p w14:paraId="670D3EDD" w14:textId="77777777" w:rsidR="0049647F" w:rsidRPr="00B004EE" w:rsidRDefault="0049647F" w:rsidP="00B004EE">
      <w:pPr>
        <w:pStyle w:val="Corpsdetexte"/>
        <w:tabs>
          <w:tab w:val="left" w:pos="7859"/>
        </w:tabs>
        <w:spacing w:line="20" w:lineRule="atLeast"/>
        <w:ind w:right="113"/>
        <w:rPr>
          <w:rFonts w:ascii="Tahoma" w:hAnsi="Tahoma" w:cs="Tahoma"/>
          <w:sz w:val="20"/>
          <w:szCs w:val="20"/>
        </w:rPr>
      </w:pPr>
      <w:r w:rsidRPr="00B004EE">
        <w:rPr>
          <w:rFonts w:ascii="Tahoma" w:hAnsi="Tahoma" w:cs="Tahoma"/>
          <w:sz w:val="20"/>
          <w:szCs w:val="20"/>
        </w:rPr>
        <w:t>Le juge peut en outre prononcer la suspension du fonctionnement de l'installation, voire sa suppression aux frais du contrevenant.</w:t>
      </w:r>
    </w:p>
    <w:p w14:paraId="0231852C" w14:textId="77777777" w:rsidR="0049647F" w:rsidRPr="00B004EE" w:rsidRDefault="0049647F" w:rsidP="00B004EE">
      <w:pPr>
        <w:pStyle w:val="Corpsdetexte"/>
        <w:tabs>
          <w:tab w:val="left" w:pos="7859"/>
        </w:tabs>
        <w:spacing w:line="20" w:lineRule="atLeast"/>
        <w:ind w:right="113"/>
        <w:rPr>
          <w:rFonts w:ascii="Tahoma" w:hAnsi="Tahoma" w:cs="Tahoma"/>
          <w:sz w:val="20"/>
          <w:szCs w:val="20"/>
        </w:rPr>
      </w:pPr>
    </w:p>
    <w:p w14:paraId="40CE9724"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r w:rsidRPr="00B004EE">
        <w:rPr>
          <w:rFonts w:ascii="Tahoma" w:hAnsi="Tahoma" w:cs="Tahoma"/>
          <w:sz w:val="20"/>
          <w:szCs w:val="20"/>
        </w:rPr>
        <w:t>Article 71 : Toute personne qui a jeté, déversé ou laissé s'écouler dans les eaux superficielles ou souterraines, directement ou indirectement, une ou plusieurs substances dont l'action ou les réactions ont entraîné des effets nuisibles à la santé et à l'environnement, est passible d'une peine d'emprisonnement de dix à trente jours et d'une peine d'amende de 100 000 à 300. 000 ouguiyas ou de l'une de ces deux peines seulement.</w:t>
      </w:r>
    </w:p>
    <w:p w14:paraId="508915B9" w14:textId="77777777" w:rsidR="0049647F" w:rsidRPr="00B004EE" w:rsidRDefault="0049647F" w:rsidP="00B004EE">
      <w:pPr>
        <w:pStyle w:val="Corpsdetexte"/>
        <w:tabs>
          <w:tab w:val="left" w:pos="7859"/>
        </w:tabs>
        <w:spacing w:line="20" w:lineRule="atLeast"/>
        <w:ind w:right="113"/>
        <w:rPr>
          <w:rFonts w:ascii="Tahoma" w:hAnsi="Tahoma" w:cs="Tahoma"/>
          <w:sz w:val="20"/>
          <w:szCs w:val="20"/>
        </w:rPr>
      </w:pPr>
    </w:p>
    <w:p w14:paraId="36133C4A" w14:textId="77777777" w:rsidR="0049647F" w:rsidRPr="00B004EE" w:rsidRDefault="0049647F" w:rsidP="00B004EE">
      <w:pPr>
        <w:pStyle w:val="Corpsdetexte"/>
        <w:tabs>
          <w:tab w:val="left" w:pos="7859"/>
        </w:tabs>
        <w:spacing w:line="20" w:lineRule="atLeast"/>
        <w:ind w:right="113"/>
        <w:rPr>
          <w:rFonts w:ascii="Tahoma" w:hAnsi="Tahoma" w:cs="Tahoma"/>
          <w:sz w:val="20"/>
          <w:szCs w:val="20"/>
        </w:rPr>
      </w:pPr>
      <w:r w:rsidRPr="00B004EE">
        <w:rPr>
          <w:rFonts w:ascii="Tahoma" w:hAnsi="Tahoma" w:cs="Tahoma"/>
          <w:sz w:val="20"/>
          <w:szCs w:val="20"/>
        </w:rPr>
        <w:t xml:space="preserve">Article 72 : Toute personne qui ne respecte pas les prescriptions édictées par le ministre chargé de l'eau au titre des procédures prévues aux articles 19 à 21 ci-dessus, est passible </w:t>
      </w:r>
    </w:p>
    <w:p w14:paraId="1AFCB3CF" w14:textId="77777777" w:rsidR="0049647F" w:rsidRPr="00B004EE" w:rsidRDefault="0049647F" w:rsidP="00420DDA">
      <w:pPr>
        <w:pStyle w:val="Corpsdetexte"/>
        <w:widowControl w:val="0"/>
        <w:numPr>
          <w:ilvl w:val="0"/>
          <w:numId w:val="105"/>
        </w:numPr>
        <w:tabs>
          <w:tab w:val="left" w:pos="7859"/>
        </w:tabs>
        <w:autoSpaceDE/>
        <w:autoSpaceDN/>
        <w:adjustRightInd/>
        <w:spacing w:line="20" w:lineRule="atLeast"/>
        <w:ind w:left="567" w:right="113"/>
        <w:rPr>
          <w:rFonts w:ascii="Tahoma" w:hAnsi="Tahoma" w:cs="Tahoma"/>
          <w:sz w:val="20"/>
          <w:szCs w:val="20"/>
        </w:rPr>
      </w:pPr>
      <w:r w:rsidRPr="00B004EE">
        <w:rPr>
          <w:rFonts w:ascii="Tahoma" w:hAnsi="Tahoma" w:cs="Tahoma"/>
          <w:sz w:val="20"/>
          <w:szCs w:val="20"/>
        </w:rPr>
        <w:t>D'une peine d’amende de 30 000 à 50 000 ouguiyas, s'il s'agit de prescriptions annexées au récépissé de déclaration ;</w:t>
      </w:r>
    </w:p>
    <w:p w14:paraId="6B8AC644" w14:textId="77777777" w:rsidR="0049647F" w:rsidRPr="00B004EE" w:rsidRDefault="0049647F" w:rsidP="00420DDA">
      <w:pPr>
        <w:pStyle w:val="Corpsdetexte"/>
        <w:widowControl w:val="0"/>
        <w:numPr>
          <w:ilvl w:val="0"/>
          <w:numId w:val="105"/>
        </w:numPr>
        <w:tabs>
          <w:tab w:val="left" w:pos="7859"/>
        </w:tabs>
        <w:autoSpaceDE/>
        <w:autoSpaceDN/>
        <w:adjustRightInd/>
        <w:spacing w:line="20" w:lineRule="atLeast"/>
        <w:ind w:left="567" w:right="113"/>
        <w:rPr>
          <w:rFonts w:ascii="Tahoma" w:hAnsi="Tahoma" w:cs="Tahoma"/>
          <w:sz w:val="20"/>
          <w:szCs w:val="20"/>
        </w:rPr>
      </w:pPr>
      <w:r w:rsidRPr="00B004EE">
        <w:rPr>
          <w:rFonts w:ascii="Tahoma" w:hAnsi="Tahoma" w:cs="Tahoma"/>
          <w:sz w:val="20"/>
          <w:szCs w:val="20"/>
        </w:rPr>
        <w:t>D 'une peine d'amende de 50 000à ·150000 ouguiyas, s'il s'agit d'une autorisation ;</w:t>
      </w:r>
    </w:p>
    <w:p w14:paraId="45E51624" w14:textId="77777777" w:rsidR="0049647F" w:rsidRPr="00B004EE" w:rsidRDefault="0049647F" w:rsidP="00B004EE">
      <w:pPr>
        <w:pStyle w:val="Corpsdetexte"/>
        <w:tabs>
          <w:tab w:val="left" w:pos="7859"/>
        </w:tabs>
        <w:spacing w:line="20" w:lineRule="atLeast"/>
        <w:ind w:right="112"/>
        <w:rPr>
          <w:rFonts w:ascii="Tahoma" w:hAnsi="Tahoma" w:cs="Tahoma"/>
          <w:b/>
          <w:bCs/>
          <w:sz w:val="20"/>
          <w:szCs w:val="20"/>
        </w:rPr>
      </w:pPr>
    </w:p>
    <w:p w14:paraId="008F2B3D"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r w:rsidRPr="00B004EE">
        <w:rPr>
          <w:rFonts w:ascii="Tahoma" w:hAnsi="Tahoma" w:cs="Tahoma"/>
          <w:sz w:val="20"/>
          <w:szCs w:val="20"/>
        </w:rPr>
        <w:t xml:space="preserve">Article 73 : Toute personne qui ne respecte pas les interdictions, et servitudes instaurés dans un périmètre de protection de captage d’eau destinée à la consommation humaine, mentionnée à l’article39 ci-dessus est passible d'une peine d’emprisonnement d’un à dix jours et d’une peine d’amende de 50 000 500 000 ouguiyas. </w:t>
      </w:r>
      <w:proofErr w:type="gramStart"/>
      <w:r w:rsidRPr="00B004EE">
        <w:rPr>
          <w:rFonts w:ascii="Tahoma" w:hAnsi="Tahoma" w:cs="Tahoma"/>
          <w:sz w:val="20"/>
          <w:szCs w:val="20"/>
        </w:rPr>
        <w:t>ou</w:t>
      </w:r>
      <w:proofErr w:type="gramEnd"/>
      <w:r w:rsidRPr="00B004EE">
        <w:rPr>
          <w:rFonts w:ascii="Tahoma" w:hAnsi="Tahoma" w:cs="Tahoma"/>
          <w:sz w:val="20"/>
          <w:szCs w:val="20"/>
        </w:rPr>
        <w:t xml:space="preserve"> de l’une de ces deux peines seulement:</w:t>
      </w:r>
    </w:p>
    <w:p w14:paraId="0F7A7391" w14:textId="77777777" w:rsidR="0049647F" w:rsidRPr="00B004EE" w:rsidRDefault="0049647F" w:rsidP="00B004EE">
      <w:pPr>
        <w:pStyle w:val="Corpsdetexte"/>
        <w:tabs>
          <w:tab w:val="left" w:pos="7859"/>
        </w:tabs>
        <w:spacing w:line="20" w:lineRule="atLeast"/>
        <w:ind w:right="112"/>
        <w:rPr>
          <w:rFonts w:ascii="Tahoma" w:hAnsi="Tahoma" w:cs="Tahoma"/>
          <w:b/>
          <w:bCs/>
          <w:sz w:val="20"/>
          <w:szCs w:val="20"/>
        </w:rPr>
      </w:pPr>
    </w:p>
    <w:p w14:paraId="67B04230"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r w:rsidRPr="00B004EE">
        <w:rPr>
          <w:rFonts w:ascii="Tahoma" w:hAnsi="Tahoma" w:cs="Tahoma"/>
          <w:sz w:val="20"/>
          <w:szCs w:val="20"/>
        </w:rPr>
        <w:t>Article 74 : Toute personne qui ne respecte pas les mesures de limitation ou de suspension provisoire ou définitive des usages mentionnées à l’article 31 ci-dessus est passible d'une peine d'emprisonnement d'un à dix jours et d'une peine de 100 000 à 300 000 ouguiyas, ou de l'une de deux peines seulement.</w:t>
      </w:r>
    </w:p>
    <w:p w14:paraId="6FE81FD6" w14:textId="77777777" w:rsidR="0049647F" w:rsidRPr="00B004EE" w:rsidRDefault="0049647F" w:rsidP="00B004EE">
      <w:pPr>
        <w:pStyle w:val="Corpsdetexte"/>
        <w:tabs>
          <w:tab w:val="left" w:pos="7859"/>
        </w:tabs>
        <w:spacing w:line="20" w:lineRule="atLeast"/>
        <w:ind w:right="112"/>
        <w:rPr>
          <w:rFonts w:ascii="Tahoma" w:hAnsi="Tahoma" w:cs="Tahoma"/>
          <w:b/>
          <w:bCs/>
          <w:sz w:val="20"/>
          <w:szCs w:val="20"/>
        </w:rPr>
      </w:pPr>
    </w:p>
    <w:p w14:paraId="371A4895"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r w:rsidRPr="00B004EE">
        <w:rPr>
          <w:rFonts w:ascii="Tahoma" w:hAnsi="Tahoma" w:cs="Tahoma"/>
          <w:sz w:val="20"/>
          <w:szCs w:val="20"/>
        </w:rPr>
        <w:t>Article 75 : Le défaut de raccordement l’égout dans le délai prescrit à l’article 37 ci-dessus est passible d'une peine d'amende de 50 000 à 200 000 ouguiyas. La même peine est applicable en cas de défaut de conformité ou d’entretien des installations d'assainissement individuel prévues à1'article 38ci-dessus.</w:t>
      </w:r>
    </w:p>
    <w:p w14:paraId="065F4F14" w14:textId="77777777" w:rsidR="0049647F" w:rsidRPr="00B004EE" w:rsidRDefault="0049647F" w:rsidP="00B004EE">
      <w:pPr>
        <w:pStyle w:val="Corpsdetexte"/>
        <w:tabs>
          <w:tab w:val="left" w:pos="7859"/>
        </w:tabs>
        <w:spacing w:line="20" w:lineRule="atLeast"/>
        <w:ind w:right="112"/>
        <w:rPr>
          <w:rFonts w:ascii="Tahoma" w:hAnsi="Tahoma" w:cs="Tahoma"/>
          <w:b/>
          <w:bCs/>
          <w:sz w:val="20"/>
          <w:szCs w:val="20"/>
        </w:rPr>
      </w:pPr>
    </w:p>
    <w:p w14:paraId="116968AB"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r w:rsidRPr="00B004EE">
        <w:rPr>
          <w:rFonts w:ascii="Tahoma" w:hAnsi="Tahoma" w:cs="Tahoma"/>
          <w:sz w:val="20"/>
          <w:szCs w:val="20"/>
        </w:rPr>
        <w:t>Article 76 :</w:t>
      </w:r>
      <w:r w:rsidRPr="00B004EE">
        <w:rPr>
          <w:rFonts w:ascii="Tahoma" w:hAnsi="Tahoma" w:cs="Tahoma"/>
          <w:b/>
          <w:bCs/>
          <w:sz w:val="20"/>
          <w:szCs w:val="20"/>
        </w:rPr>
        <w:t xml:space="preserve"> </w:t>
      </w:r>
      <w:r w:rsidRPr="00B004EE">
        <w:rPr>
          <w:rFonts w:ascii="Tahoma" w:hAnsi="Tahoma" w:cs="Tahoma"/>
          <w:sz w:val="20"/>
          <w:szCs w:val="20"/>
        </w:rPr>
        <w:t>Tout maître d'ouvrage ou délégataire du service public de l'eau qui offre de l'eau à la consommation humaine non conforme aux normes de potabilité prescrites ou qui ne procède pas aux contrôles de qualité requis, est passible d'une peine d'emprisonnement de dix à 30 jours et d'une peine d'amende de 300 000 à un million d'ouguiyas, ou de l'une de ces deux peines seulement.</w:t>
      </w:r>
    </w:p>
    <w:p w14:paraId="13E116A8" w14:textId="77777777" w:rsidR="0049647F" w:rsidRPr="00B004EE" w:rsidRDefault="0049647F" w:rsidP="00B004EE">
      <w:pPr>
        <w:pStyle w:val="Corpsdetexte"/>
        <w:tabs>
          <w:tab w:val="left" w:pos="7859"/>
        </w:tabs>
        <w:spacing w:line="20" w:lineRule="atLeast"/>
        <w:ind w:right="112"/>
        <w:rPr>
          <w:rFonts w:ascii="Tahoma" w:hAnsi="Tahoma" w:cs="Tahoma"/>
          <w:b/>
          <w:bCs/>
          <w:sz w:val="20"/>
          <w:szCs w:val="20"/>
        </w:rPr>
      </w:pPr>
    </w:p>
    <w:p w14:paraId="3D2ED6CA"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r w:rsidRPr="00B004EE">
        <w:rPr>
          <w:rFonts w:ascii="Tahoma" w:hAnsi="Tahoma" w:cs="Tahoma"/>
          <w:sz w:val="20"/>
          <w:szCs w:val="20"/>
        </w:rPr>
        <w:t>Article 77 : Toute personne qui consomme de l'eau obtenue directement ou indirectement par l'intermédiaire de raccordements clandestins ou frauduleux, est passible des peines d'emprisonnement et d'amende, ou de l'une de ces peines seulement, prévues pour le vol par la législation pénale en vigueur.</w:t>
      </w:r>
    </w:p>
    <w:p w14:paraId="48F2E038" w14:textId="77777777" w:rsidR="0049647F" w:rsidRPr="00B004EE" w:rsidRDefault="0049647F" w:rsidP="00B004EE">
      <w:pPr>
        <w:pStyle w:val="Corpsdetexte"/>
        <w:tabs>
          <w:tab w:val="left" w:pos="7859"/>
        </w:tabs>
        <w:spacing w:line="20" w:lineRule="atLeast"/>
        <w:ind w:right="112"/>
        <w:rPr>
          <w:rFonts w:ascii="Tahoma" w:hAnsi="Tahoma" w:cs="Tahoma"/>
          <w:b/>
          <w:bCs/>
          <w:sz w:val="20"/>
          <w:szCs w:val="20"/>
        </w:rPr>
      </w:pPr>
    </w:p>
    <w:p w14:paraId="2890A035"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r w:rsidRPr="00B004EE">
        <w:rPr>
          <w:rFonts w:ascii="Tahoma" w:hAnsi="Tahoma" w:cs="Tahoma"/>
          <w:sz w:val="20"/>
          <w:szCs w:val="20"/>
        </w:rPr>
        <w:t xml:space="preserve">Article 78 : Toute personne qui est confondue d'utilisation abusive d'eau entraînant un gaspillage ou une surexploitation, volontairement ou par négligence et à quelque fin que ce soit, est passible d'une peine d'amende de 3 000 à 30 000 ouguiyas. </w:t>
      </w:r>
    </w:p>
    <w:p w14:paraId="4F5EDF41"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r w:rsidRPr="00B004EE">
        <w:rPr>
          <w:rFonts w:ascii="Tahoma" w:hAnsi="Tahoma" w:cs="Tahoma"/>
          <w:sz w:val="20"/>
          <w:szCs w:val="20"/>
        </w:rPr>
        <w:t>La même peine est applicable à l'encontre de toute personne qui aura omis de porter à : la connaissance de l'administration en charge de l'eau tout fait susceptible de porter atteinte à la ressource en eau.</w:t>
      </w:r>
    </w:p>
    <w:p w14:paraId="05A79DD4" w14:textId="77777777" w:rsidR="0049647F" w:rsidRPr="00B004EE" w:rsidRDefault="0049647F" w:rsidP="00B004EE">
      <w:pPr>
        <w:pStyle w:val="Corpsdetexte"/>
        <w:tabs>
          <w:tab w:val="left" w:pos="7859"/>
        </w:tabs>
        <w:spacing w:line="20" w:lineRule="atLeast"/>
        <w:ind w:right="112"/>
        <w:rPr>
          <w:rFonts w:ascii="Tahoma" w:hAnsi="Tahoma" w:cs="Tahoma"/>
          <w:b/>
          <w:bCs/>
          <w:sz w:val="20"/>
          <w:szCs w:val="20"/>
        </w:rPr>
      </w:pPr>
    </w:p>
    <w:p w14:paraId="0A5E7FFF" w14:textId="77777777" w:rsidR="0049647F" w:rsidRPr="00B004EE" w:rsidRDefault="0049647F" w:rsidP="00B004EE">
      <w:pPr>
        <w:pStyle w:val="Corpsdetexte"/>
        <w:tabs>
          <w:tab w:val="left" w:pos="7859"/>
        </w:tabs>
        <w:spacing w:line="20" w:lineRule="atLeast"/>
        <w:ind w:right="112"/>
        <w:jc w:val="center"/>
        <w:rPr>
          <w:rFonts w:ascii="Tahoma" w:hAnsi="Tahoma" w:cs="Tahoma"/>
          <w:b/>
          <w:bCs/>
          <w:sz w:val="20"/>
          <w:szCs w:val="20"/>
        </w:rPr>
      </w:pPr>
      <w:r w:rsidRPr="00B004EE">
        <w:rPr>
          <w:rFonts w:ascii="Tahoma" w:hAnsi="Tahoma" w:cs="Tahoma"/>
          <w:b/>
          <w:bCs/>
          <w:sz w:val="20"/>
          <w:szCs w:val="20"/>
        </w:rPr>
        <w:t>TITRE X-DISPOSITIONS TRANSITOIRES</w:t>
      </w:r>
    </w:p>
    <w:p w14:paraId="66611308" w14:textId="77777777" w:rsidR="0049647F" w:rsidRPr="00B004EE" w:rsidRDefault="0049647F" w:rsidP="00B004EE">
      <w:pPr>
        <w:pStyle w:val="Corpsdetexte"/>
        <w:tabs>
          <w:tab w:val="left" w:pos="7859"/>
        </w:tabs>
        <w:spacing w:line="20" w:lineRule="atLeast"/>
        <w:ind w:right="112"/>
        <w:rPr>
          <w:rFonts w:ascii="Tahoma" w:hAnsi="Tahoma" w:cs="Tahoma"/>
          <w:b/>
          <w:bCs/>
          <w:sz w:val="20"/>
          <w:szCs w:val="20"/>
        </w:rPr>
      </w:pPr>
    </w:p>
    <w:p w14:paraId="3523F8FE"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r w:rsidRPr="00B004EE">
        <w:rPr>
          <w:rFonts w:ascii="Tahoma" w:hAnsi="Tahoma" w:cs="Tahoma"/>
          <w:sz w:val="20"/>
          <w:szCs w:val="20"/>
        </w:rPr>
        <w:t>Article 79 : Les déclarations déposés les autorisations ou concessions accordées au titre de l'ordonnance n°85-144du 4 juillet 1985 portant code de l'eau valent déclaration, autorisation ou concession au titre du présent code.</w:t>
      </w:r>
    </w:p>
    <w:p w14:paraId="4013EF02"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r w:rsidRPr="00B004EE">
        <w:rPr>
          <w:rFonts w:ascii="Tahoma" w:hAnsi="Tahoma" w:cs="Tahoma"/>
          <w:sz w:val="20"/>
          <w:szCs w:val="20"/>
        </w:rPr>
        <w:t xml:space="preserve">Lorsque des opérations légalement réalisées sans qu'il y ait eu lieu à application de l'ordonnance précitée du 4 juillet I985 viennent à être soumises à déclaration, autorisation ou concession au titre du présent code, ces opérations peuvent se poursuivre sans cette déclaration, cette autorisation ou cette concession à la condition que l'exploitant, le propriétaire ou le responsable informe le ministre chargé de l'eau dans </w:t>
      </w:r>
      <w:r w:rsidRPr="00B004EE">
        <w:rPr>
          <w:rFonts w:ascii="Tahoma" w:hAnsi="Tahoma" w:cs="Tahoma"/>
          <w:sz w:val="20"/>
          <w:szCs w:val="20"/>
        </w:rPr>
        <w:lastRenderedPageBreak/>
        <w:t>le délai de deux ans à compter de la publication du présent code au Journal officiel de la République islamique de Mauritanie.</w:t>
      </w:r>
    </w:p>
    <w:p w14:paraId="57C4E52F"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r w:rsidRPr="00B004EE">
        <w:rPr>
          <w:rFonts w:ascii="Tahoma" w:hAnsi="Tahoma" w:cs="Tahoma"/>
          <w:sz w:val="20"/>
          <w:szCs w:val="20"/>
        </w:rPr>
        <w:t xml:space="preserve">Le manquement à l'obligation d'information dans le délai prescrit entache de nullité les récépissés de déclaration obtenus, les autorisations et concessions accordées. </w:t>
      </w:r>
    </w:p>
    <w:p w14:paraId="37992486"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p>
    <w:p w14:paraId="091B0A77"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r w:rsidRPr="00B004EE">
        <w:rPr>
          <w:rFonts w:ascii="Tahoma" w:hAnsi="Tahoma" w:cs="Tahoma"/>
          <w:sz w:val="20"/>
          <w:szCs w:val="20"/>
        </w:rPr>
        <w:t>Article ·80 : Est réputée bénéficier d'une délégation, au sens du présent code, la Société nationale des eaux(SNDE), telle que créée par le décret n°88-2001/PM du 29juillet 2001 portant scission de la Société Nationale d’Eau et d’Electricité en deux sociétés nationales</w:t>
      </w:r>
    </w:p>
    <w:p w14:paraId="6D6D2C47" w14:textId="77777777" w:rsidR="0049647F" w:rsidRPr="00B004EE" w:rsidRDefault="0049647F" w:rsidP="00B004EE">
      <w:pPr>
        <w:pStyle w:val="Corpsdetexte"/>
        <w:tabs>
          <w:tab w:val="left" w:pos="7859"/>
        </w:tabs>
        <w:spacing w:line="20" w:lineRule="atLeast"/>
        <w:ind w:right="112"/>
        <w:rPr>
          <w:rFonts w:ascii="Tahoma" w:hAnsi="Tahoma" w:cs="Tahoma"/>
          <w:b/>
          <w:bCs/>
          <w:sz w:val="20"/>
          <w:szCs w:val="20"/>
        </w:rPr>
      </w:pPr>
    </w:p>
    <w:p w14:paraId="104890B7"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r w:rsidRPr="00B004EE">
        <w:rPr>
          <w:rFonts w:ascii="Tahoma" w:hAnsi="Tahoma" w:cs="Tahoma"/>
          <w:sz w:val="20"/>
          <w:szCs w:val="20"/>
        </w:rPr>
        <w:t>Article 81 : Est réputée bénéficier de délégations, au sens du présent code, l'Agence nationale d'eau potable et d'assainissement (ANEPA), reconnue d'utilité publique par le décret n°2002-19 du 31 mars 2002, dans les centres urbains ou ruraux gérés sous sa supervision et qui, a la date de publication du décret prévu à l'article 49 ci-dessous, atteignent le seuil prévu à ce même article. La délégation prévue à l'alinéa ci-dessus est accordée pour une durée de trois ans et exercée dans les conditions définies dans un cahier des charges approuvé par l'autorité chargée de la régulation. Pendant la durée prévue à l'alinéa ci­ dessus, l'autorité chargée de la régulation met en œuvre la procédure prévue aux articles 50 et suivants ci-dessus afin de sélectionner des délégataires de service.</w:t>
      </w:r>
    </w:p>
    <w:p w14:paraId="4AE465C4"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r w:rsidRPr="00B004EE">
        <w:rPr>
          <w:rFonts w:ascii="Tahoma" w:hAnsi="Tahoma" w:cs="Tahoma"/>
          <w:sz w:val="20"/>
          <w:szCs w:val="20"/>
        </w:rPr>
        <w:t>Dans le cas où la procédure de sélection d'un délégataire serait infructueuse, le ministre chargé de l'eau peut proroger par arrêté la durée de la délégation consentie à I'ANEPA, sur demande de l'autorité chargée de la régulation.</w:t>
      </w:r>
    </w:p>
    <w:p w14:paraId="3720ED44"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p>
    <w:p w14:paraId="053B141C" w14:textId="77777777" w:rsidR="0049647F" w:rsidRPr="00B004EE" w:rsidRDefault="0049647F" w:rsidP="00B004EE">
      <w:pPr>
        <w:pStyle w:val="Corpsdetexte"/>
        <w:tabs>
          <w:tab w:val="left" w:pos="7859"/>
        </w:tabs>
        <w:spacing w:line="20" w:lineRule="atLeast"/>
        <w:ind w:right="112"/>
        <w:jc w:val="center"/>
        <w:rPr>
          <w:rFonts w:ascii="Tahoma" w:hAnsi="Tahoma" w:cs="Tahoma"/>
          <w:b/>
          <w:bCs/>
          <w:sz w:val="20"/>
          <w:szCs w:val="20"/>
        </w:rPr>
      </w:pPr>
      <w:r w:rsidRPr="00B004EE">
        <w:rPr>
          <w:rFonts w:ascii="Tahoma" w:hAnsi="Tahoma" w:cs="Tahoma"/>
          <w:b/>
          <w:bCs/>
          <w:sz w:val="20"/>
          <w:szCs w:val="20"/>
        </w:rPr>
        <w:t>TITRE XI-DISPOSITIONSFINALES</w:t>
      </w:r>
    </w:p>
    <w:p w14:paraId="467F37CF" w14:textId="77777777" w:rsidR="0049647F" w:rsidRPr="00B004EE" w:rsidRDefault="0049647F" w:rsidP="00B004EE">
      <w:pPr>
        <w:pStyle w:val="Corpsdetexte"/>
        <w:tabs>
          <w:tab w:val="left" w:pos="7859"/>
        </w:tabs>
        <w:spacing w:line="20" w:lineRule="atLeast"/>
        <w:ind w:right="112"/>
        <w:rPr>
          <w:rFonts w:ascii="Tahoma" w:hAnsi="Tahoma" w:cs="Tahoma"/>
          <w:b/>
          <w:bCs/>
          <w:sz w:val="20"/>
          <w:szCs w:val="20"/>
        </w:rPr>
      </w:pPr>
    </w:p>
    <w:p w14:paraId="198CDE89"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r w:rsidRPr="00B004EE">
        <w:rPr>
          <w:rFonts w:ascii="Tahoma" w:hAnsi="Tahoma" w:cs="Tahoma"/>
          <w:sz w:val="20"/>
          <w:szCs w:val="20"/>
        </w:rPr>
        <w:t>Article 82 : Les dispositions du présent code sont précisées, en tant que de besoin, par voie réglementaire.</w:t>
      </w:r>
    </w:p>
    <w:p w14:paraId="4C41FB8B" w14:textId="77777777" w:rsidR="0049647F" w:rsidRPr="00B004EE" w:rsidRDefault="0049647F" w:rsidP="00B004EE">
      <w:pPr>
        <w:pStyle w:val="Corpsdetexte"/>
        <w:tabs>
          <w:tab w:val="left" w:pos="7859"/>
        </w:tabs>
        <w:spacing w:line="20" w:lineRule="atLeast"/>
        <w:ind w:right="112"/>
        <w:rPr>
          <w:rFonts w:ascii="Tahoma" w:hAnsi="Tahoma" w:cs="Tahoma"/>
          <w:b/>
          <w:bCs/>
          <w:sz w:val="20"/>
          <w:szCs w:val="20"/>
        </w:rPr>
      </w:pPr>
    </w:p>
    <w:p w14:paraId="1A5BF22B"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r w:rsidRPr="00B004EE">
        <w:rPr>
          <w:rFonts w:ascii="Tahoma" w:hAnsi="Tahoma" w:cs="Tahoma"/>
          <w:sz w:val="20"/>
          <w:szCs w:val="20"/>
        </w:rPr>
        <w:t>Article 83 : Sont abrogées toutes dispositions antérieures contraires aux dispositions de la présente loi et notamment celles de l’ordonnance n° 85-144 du 04 juillet 1984 portant code de l’eau.</w:t>
      </w:r>
    </w:p>
    <w:p w14:paraId="546619F6"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p>
    <w:p w14:paraId="6BFED100"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r w:rsidRPr="00B004EE">
        <w:rPr>
          <w:rFonts w:ascii="Tahoma" w:hAnsi="Tahoma" w:cs="Tahoma"/>
          <w:sz w:val="20"/>
          <w:szCs w:val="20"/>
        </w:rPr>
        <w:t>Article 84 : La présente loi sera publiée suivant la procédure d'urgence et exécutée comme loi de l'Etat.</w:t>
      </w:r>
    </w:p>
    <w:p w14:paraId="29A4D6A7" w14:textId="77777777" w:rsidR="0049647F" w:rsidRPr="00B004EE" w:rsidRDefault="0049647F" w:rsidP="00B004EE">
      <w:pPr>
        <w:pStyle w:val="Corpsdetexte"/>
        <w:tabs>
          <w:tab w:val="left" w:pos="7859"/>
        </w:tabs>
        <w:spacing w:line="20" w:lineRule="atLeast"/>
        <w:ind w:right="112"/>
        <w:rPr>
          <w:rFonts w:ascii="Tahoma" w:hAnsi="Tahoma" w:cs="Tahoma"/>
          <w:sz w:val="20"/>
          <w:szCs w:val="20"/>
        </w:rPr>
      </w:pPr>
    </w:p>
    <w:p w14:paraId="33CB7CA4" w14:textId="603EA054" w:rsidR="0049647F" w:rsidRDefault="0049647F" w:rsidP="00B004EE">
      <w:pPr>
        <w:pStyle w:val="Corpsdetexte"/>
        <w:tabs>
          <w:tab w:val="left" w:pos="7859"/>
        </w:tabs>
        <w:spacing w:line="20" w:lineRule="atLeast"/>
        <w:ind w:right="112"/>
        <w:rPr>
          <w:rFonts w:ascii="Tahoma" w:hAnsi="Tahoma" w:cs="Tahoma"/>
          <w:sz w:val="20"/>
          <w:szCs w:val="20"/>
        </w:rPr>
      </w:pPr>
    </w:p>
    <w:p w14:paraId="5D99A7A8" w14:textId="63AA9470" w:rsidR="00B004EE" w:rsidRDefault="00B004EE" w:rsidP="00B004EE">
      <w:pPr>
        <w:pStyle w:val="Corpsdetexte"/>
        <w:tabs>
          <w:tab w:val="left" w:pos="7859"/>
        </w:tabs>
        <w:spacing w:line="20" w:lineRule="atLeast"/>
        <w:ind w:right="112"/>
        <w:rPr>
          <w:rFonts w:ascii="Tahoma" w:hAnsi="Tahoma" w:cs="Tahoma"/>
          <w:sz w:val="20"/>
          <w:szCs w:val="20"/>
        </w:rPr>
      </w:pPr>
    </w:p>
    <w:p w14:paraId="220D69C0" w14:textId="77777777" w:rsidR="00B004EE" w:rsidRPr="00B004EE" w:rsidRDefault="00B004EE" w:rsidP="00B004EE">
      <w:pPr>
        <w:pStyle w:val="Corpsdetexte"/>
        <w:tabs>
          <w:tab w:val="left" w:pos="7859"/>
        </w:tabs>
        <w:spacing w:line="20" w:lineRule="atLeast"/>
        <w:ind w:right="112"/>
        <w:rPr>
          <w:rFonts w:ascii="Tahoma" w:hAnsi="Tahoma" w:cs="Tahoma"/>
          <w:sz w:val="20"/>
          <w:szCs w:val="20"/>
        </w:rPr>
      </w:pPr>
    </w:p>
    <w:p w14:paraId="20796D5B" w14:textId="77777777" w:rsidR="0049647F" w:rsidRPr="00B004EE" w:rsidRDefault="0049647F" w:rsidP="00B004EE">
      <w:pPr>
        <w:pStyle w:val="Corpsdetexte"/>
        <w:tabs>
          <w:tab w:val="left" w:pos="7859"/>
        </w:tabs>
        <w:spacing w:line="20" w:lineRule="atLeast"/>
        <w:ind w:left="142" w:right="112"/>
        <w:jc w:val="center"/>
        <w:rPr>
          <w:rFonts w:ascii="Tahoma" w:hAnsi="Tahoma" w:cs="Tahoma"/>
          <w:b/>
          <w:bCs/>
          <w:sz w:val="20"/>
          <w:szCs w:val="20"/>
        </w:rPr>
      </w:pPr>
      <w:r w:rsidRPr="00B004EE">
        <w:rPr>
          <w:rFonts w:ascii="Tahoma" w:hAnsi="Tahoma" w:cs="Tahoma"/>
          <w:b/>
          <w:bCs/>
          <w:sz w:val="20"/>
          <w:szCs w:val="20"/>
        </w:rPr>
        <w:t>Le Président de la République</w:t>
      </w:r>
    </w:p>
    <w:p w14:paraId="6D65045D" w14:textId="77777777" w:rsidR="0049647F" w:rsidRPr="00B004EE" w:rsidRDefault="0049647F" w:rsidP="00B004EE">
      <w:pPr>
        <w:pStyle w:val="Corpsdetexte"/>
        <w:tabs>
          <w:tab w:val="left" w:pos="7859"/>
        </w:tabs>
        <w:spacing w:line="20" w:lineRule="atLeast"/>
        <w:ind w:left="142" w:right="112"/>
        <w:jc w:val="center"/>
        <w:rPr>
          <w:rFonts w:ascii="Tahoma" w:hAnsi="Tahoma" w:cs="Tahoma"/>
          <w:b/>
          <w:bCs/>
          <w:sz w:val="20"/>
          <w:szCs w:val="20"/>
        </w:rPr>
      </w:pPr>
      <w:r w:rsidRPr="00B004EE">
        <w:rPr>
          <w:rFonts w:ascii="Tahoma" w:hAnsi="Tahoma" w:cs="Tahoma"/>
          <w:b/>
          <w:bCs/>
          <w:sz w:val="20"/>
          <w:szCs w:val="20"/>
        </w:rPr>
        <w:t>Maaouya Ould Sid'Ahmed Taya</w:t>
      </w:r>
    </w:p>
    <w:p w14:paraId="5765487D" w14:textId="5AFE40F6" w:rsidR="0049647F" w:rsidRDefault="0049647F" w:rsidP="00B004EE">
      <w:pPr>
        <w:pStyle w:val="Corpsdetexte"/>
        <w:tabs>
          <w:tab w:val="left" w:pos="7859"/>
        </w:tabs>
        <w:spacing w:line="20" w:lineRule="atLeast"/>
        <w:ind w:left="142" w:right="112"/>
        <w:jc w:val="center"/>
        <w:rPr>
          <w:rFonts w:ascii="Tahoma" w:hAnsi="Tahoma" w:cs="Tahoma"/>
          <w:b/>
          <w:bCs/>
          <w:sz w:val="20"/>
          <w:szCs w:val="20"/>
        </w:rPr>
      </w:pPr>
    </w:p>
    <w:p w14:paraId="670F0212" w14:textId="77777777" w:rsidR="00B004EE" w:rsidRPr="00B004EE" w:rsidRDefault="00B004EE" w:rsidP="00B004EE">
      <w:pPr>
        <w:pStyle w:val="Corpsdetexte"/>
        <w:tabs>
          <w:tab w:val="left" w:pos="7859"/>
        </w:tabs>
        <w:spacing w:line="20" w:lineRule="atLeast"/>
        <w:ind w:left="142" w:right="112"/>
        <w:jc w:val="center"/>
        <w:rPr>
          <w:rFonts w:ascii="Tahoma" w:hAnsi="Tahoma" w:cs="Tahoma"/>
          <w:b/>
          <w:bCs/>
          <w:sz w:val="20"/>
          <w:szCs w:val="20"/>
        </w:rPr>
      </w:pPr>
    </w:p>
    <w:p w14:paraId="639AC20B" w14:textId="77777777" w:rsidR="0049647F" w:rsidRPr="00B004EE" w:rsidRDefault="0049647F" w:rsidP="00B004EE">
      <w:pPr>
        <w:pStyle w:val="Corpsdetexte"/>
        <w:tabs>
          <w:tab w:val="left" w:pos="7859"/>
        </w:tabs>
        <w:spacing w:line="20" w:lineRule="atLeast"/>
        <w:ind w:left="142" w:right="112"/>
        <w:jc w:val="center"/>
        <w:rPr>
          <w:rFonts w:ascii="Tahoma" w:hAnsi="Tahoma" w:cs="Tahoma"/>
          <w:b/>
          <w:bCs/>
          <w:sz w:val="20"/>
          <w:szCs w:val="20"/>
        </w:rPr>
      </w:pPr>
      <w:r w:rsidRPr="00B004EE">
        <w:rPr>
          <w:rFonts w:ascii="Tahoma" w:hAnsi="Tahoma" w:cs="Tahoma"/>
          <w:b/>
          <w:bCs/>
          <w:sz w:val="20"/>
          <w:szCs w:val="20"/>
        </w:rPr>
        <w:t>Le Premier Ministre</w:t>
      </w:r>
    </w:p>
    <w:p w14:paraId="431309A5" w14:textId="3FC6B4AC" w:rsidR="0049647F" w:rsidRDefault="0049647F" w:rsidP="00B004EE">
      <w:pPr>
        <w:pStyle w:val="Corpsdetexte"/>
        <w:tabs>
          <w:tab w:val="left" w:pos="7859"/>
        </w:tabs>
        <w:spacing w:line="20" w:lineRule="atLeast"/>
        <w:ind w:left="142" w:right="112"/>
        <w:jc w:val="center"/>
        <w:rPr>
          <w:rFonts w:ascii="Tahoma" w:hAnsi="Tahoma" w:cs="Tahoma"/>
          <w:b/>
          <w:bCs/>
          <w:sz w:val="20"/>
          <w:szCs w:val="20"/>
        </w:rPr>
      </w:pPr>
      <w:r w:rsidRPr="00B004EE">
        <w:rPr>
          <w:rFonts w:ascii="Tahoma" w:hAnsi="Tahoma" w:cs="Tahoma"/>
          <w:b/>
          <w:bCs/>
          <w:sz w:val="20"/>
          <w:szCs w:val="20"/>
        </w:rPr>
        <w:t>Me Sghair Ould M'Bareck</w:t>
      </w:r>
    </w:p>
    <w:p w14:paraId="450E134F" w14:textId="29D12F22" w:rsidR="00B004EE" w:rsidRDefault="00B004EE" w:rsidP="00B004EE">
      <w:pPr>
        <w:pStyle w:val="Corpsdetexte"/>
        <w:tabs>
          <w:tab w:val="left" w:pos="7859"/>
        </w:tabs>
        <w:spacing w:line="20" w:lineRule="atLeast"/>
        <w:ind w:left="142" w:right="112"/>
        <w:jc w:val="center"/>
        <w:rPr>
          <w:rFonts w:ascii="Tahoma" w:hAnsi="Tahoma" w:cs="Tahoma"/>
          <w:b/>
          <w:bCs/>
          <w:sz w:val="20"/>
          <w:szCs w:val="20"/>
        </w:rPr>
      </w:pPr>
    </w:p>
    <w:p w14:paraId="590A033E" w14:textId="77777777" w:rsidR="00B004EE" w:rsidRPr="00B004EE" w:rsidRDefault="00B004EE" w:rsidP="00B004EE">
      <w:pPr>
        <w:pStyle w:val="Corpsdetexte"/>
        <w:tabs>
          <w:tab w:val="left" w:pos="7859"/>
        </w:tabs>
        <w:spacing w:line="20" w:lineRule="atLeast"/>
        <w:ind w:left="142" w:right="112"/>
        <w:jc w:val="center"/>
        <w:rPr>
          <w:rFonts w:ascii="Tahoma" w:hAnsi="Tahoma" w:cs="Tahoma"/>
          <w:b/>
          <w:bCs/>
          <w:sz w:val="20"/>
          <w:szCs w:val="20"/>
        </w:rPr>
      </w:pPr>
    </w:p>
    <w:p w14:paraId="4C65DD20" w14:textId="0D0002D4" w:rsidR="0049647F" w:rsidRPr="00B004EE" w:rsidRDefault="0049647F" w:rsidP="00B004EE">
      <w:pPr>
        <w:pStyle w:val="Corpsdetexte"/>
        <w:tabs>
          <w:tab w:val="left" w:pos="7859"/>
        </w:tabs>
        <w:spacing w:line="20" w:lineRule="atLeast"/>
        <w:ind w:left="142" w:right="112"/>
        <w:rPr>
          <w:rFonts w:ascii="Tahoma" w:hAnsi="Tahoma" w:cs="Tahoma"/>
          <w:sz w:val="20"/>
          <w:szCs w:val="20"/>
        </w:rPr>
      </w:pPr>
    </w:p>
    <w:p w14:paraId="367F4C08" w14:textId="77777777" w:rsidR="0049647F" w:rsidRPr="00B004EE" w:rsidRDefault="0049647F" w:rsidP="00B004EE">
      <w:pPr>
        <w:pStyle w:val="Corpsdetexte"/>
        <w:tabs>
          <w:tab w:val="left" w:pos="7859"/>
        </w:tabs>
        <w:spacing w:line="20" w:lineRule="atLeast"/>
        <w:ind w:left="142" w:right="112"/>
        <w:rPr>
          <w:rFonts w:ascii="Tahoma" w:hAnsi="Tahoma" w:cs="Tahoma"/>
          <w:sz w:val="20"/>
          <w:szCs w:val="20"/>
        </w:rPr>
        <w:sectPr w:rsidR="0049647F" w:rsidRPr="00B004EE" w:rsidSect="00F23171">
          <w:footerReference w:type="first" r:id="rId20"/>
          <w:pgSz w:w="12240" w:h="15840"/>
          <w:pgMar w:top="1417" w:right="1417" w:bottom="1417" w:left="1417" w:header="720" w:footer="720" w:gutter="0"/>
          <w:cols w:space="720"/>
          <w:noEndnote/>
          <w:docGrid w:linePitch="326"/>
        </w:sectPr>
      </w:pPr>
    </w:p>
    <w:p w14:paraId="469E3C14" w14:textId="77777777" w:rsidR="0049647F" w:rsidRPr="00B004EE" w:rsidRDefault="0049647F" w:rsidP="00B004EE">
      <w:pPr>
        <w:pStyle w:val="Titre1"/>
        <w:pBdr>
          <w:top w:val="thinThickMediumGap" w:sz="24" w:space="1" w:color="70AD47" w:themeColor="accent6"/>
          <w:left w:val="thinThickMediumGap" w:sz="24" w:space="4" w:color="70AD47" w:themeColor="accent6"/>
          <w:bottom w:val="thickThinMediumGap" w:sz="24" w:space="1" w:color="70AD47" w:themeColor="accent6"/>
          <w:right w:val="thickThinMediumGap" w:sz="24" w:space="4" w:color="70AD47" w:themeColor="accent6"/>
        </w:pBdr>
        <w:jc w:val="both"/>
        <w:rPr>
          <w:rFonts w:ascii="Tahoma" w:hAnsi="Tahoma" w:cs="Tahoma"/>
          <w:sz w:val="24"/>
          <w:szCs w:val="24"/>
        </w:rPr>
      </w:pPr>
      <w:bookmarkStart w:id="8" w:name="_Toc317340024"/>
      <w:bookmarkStart w:id="9" w:name="_Toc16288662"/>
      <w:bookmarkStart w:id="10" w:name="_Toc17022004"/>
      <w:bookmarkStart w:id="11" w:name="_Toc202214672"/>
      <w:r w:rsidRPr="00B004EE">
        <w:rPr>
          <w:rFonts w:ascii="Tahoma" w:hAnsi="Tahoma" w:cs="Tahoma"/>
          <w:sz w:val="24"/>
          <w:szCs w:val="24"/>
        </w:rPr>
        <w:lastRenderedPageBreak/>
        <w:t>Loi n° 2010-042 du 21 juillet 2010 relative au Code d’hygiène.</w:t>
      </w:r>
      <w:bookmarkEnd w:id="8"/>
      <w:bookmarkEnd w:id="9"/>
      <w:bookmarkEnd w:id="10"/>
      <w:bookmarkEnd w:id="11"/>
    </w:p>
    <w:p w14:paraId="3F73A050" w14:textId="77777777" w:rsidR="0049647F" w:rsidRPr="00B004EE" w:rsidRDefault="0049647F" w:rsidP="00B004EE">
      <w:pPr>
        <w:pStyle w:val="Lgende"/>
        <w:jc w:val="both"/>
        <w:rPr>
          <w:rFonts w:ascii="Tahoma" w:hAnsi="Tahoma" w:cs="Tahoma"/>
          <w:b w:val="0"/>
          <w:bCs w:val="0"/>
        </w:rPr>
      </w:pPr>
    </w:p>
    <w:p w14:paraId="51D9E238" w14:textId="77777777" w:rsidR="0049647F" w:rsidRPr="00B004EE" w:rsidRDefault="0049647F" w:rsidP="00B004EE">
      <w:pPr>
        <w:pStyle w:val="Corpsdetexte"/>
        <w:tabs>
          <w:tab w:val="left" w:pos="6342"/>
          <w:tab w:val="center" w:pos="8900"/>
        </w:tabs>
        <w:spacing w:line="20" w:lineRule="atLeast"/>
        <w:ind w:right="319" w:firstLine="20"/>
        <w:rPr>
          <w:rFonts w:ascii="Tahoma" w:hAnsi="Tahoma" w:cs="Tahoma"/>
          <w:i/>
          <w:iCs/>
          <w:sz w:val="20"/>
          <w:szCs w:val="20"/>
        </w:rPr>
      </w:pPr>
      <w:r w:rsidRPr="00B004EE">
        <w:rPr>
          <w:rFonts w:ascii="Tahoma" w:hAnsi="Tahoma" w:cs="Tahoma"/>
          <w:i/>
          <w:iCs/>
          <w:sz w:val="20"/>
          <w:szCs w:val="20"/>
        </w:rPr>
        <w:t>L'Assemblée Nationale et le Sénat ont adopté ;</w:t>
      </w:r>
    </w:p>
    <w:p w14:paraId="2EC87149" w14:textId="77777777" w:rsidR="0049647F" w:rsidRPr="00B004EE" w:rsidRDefault="0049647F" w:rsidP="00B004EE">
      <w:pPr>
        <w:pStyle w:val="Corpsdetexte"/>
        <w:spacing w:line="20" w:lineRule="atLeast"/>
        <w:ind w:right="319" w:firstLine="20"/>
        <w:rPr>
          <w:rFonts w:ascii="Tahoma" w:eastAsia="American Typewriter" w:hAnsi="Tahoma" w:cs="Tahoma"/>
          <w:b/>
          <w:bCs/>
          <w:i/>
          <w:iCs/>
          <w:sz w:val="20"/>
          <w:szCs w:val="20"/>
        </w:rPr>
      </w:pPr>
      <w:r w:rsidRPr="00B004EE">
        <w:rPr>
          <w:rFonts w:ascii="Tahoma" w:hAnsi="Tahoma" w:cs="Tahoma"/>
          <w:i/>
          <w:iCs/>
          <w:sz w:val="20"/>
          <w:szCs w:val="20"/>
        </w:rPr>
        <w:t>Le Président de la République promulgue la loi dont la teneur suit :</w:t>
      </w:r>
    </w:p>
    <w:p w14:paraId="5AAEC96C" w14:textId="77777777" w:rsidR="0049647F" w:rsidRPr="00B004EE" w:rsidRDefault="0049647F" w:rsidP="00B004EE">
      <w:pPr>
        <w:rPr>
          <w:rFonts w:ascii="Tahoma" w:hAnsi="Tahoma" w:cs="Tahoma"/>
          <w:sz w:val="20"/>
          <w:szCs w:val="20"/>
        </w:rPr>
      </w:pPr>
    </w:p>
    <w:p w14:paraId="7E720E25" w14:textId="77777777" w:rsidR="0049647F" w:rsidRPr="00B004EE" w:rsidRDefault="0049647F" w:rsidP="00B004EE">
      <w:pPr>
        <w:pStyle w:val="Lgende"/>
        <w:jc w:val="center"/>
        <w:rPr>
          <w:rFonts w:ascii="Tahoma" w:eastAsia="American Typewriter" w:hAnsi="Tahoma" w:cs="Tahoma"/>
        </w:rPr>
      </w:pPr>
      <w:r w:rsidRPr="00B004EE">
        <w:rPr>
          <w:rFonts w:ascii="Tahoma" w:eastAsia="American Typewriter" w:hAnsi="Tahoma" w:cs="Tahoma"/>
        </w:rPr>
        <w:t>TITRE PREMIER : DE L'OBJET ET DU CHAMP D'APPLICATION.</w:t>
      </w:r>
    </w:p>
    <w:p w14:paraId="7895A071" w14:textId="77777777" w:rsidR="0049647F" w:rsidRPr="00B004EE" w:rsidRDefault="0049647F" w:rsidP="00B004EE">
      <w:pPr>
        <w:ind w:right="-6"/>
        <w:rPr>
          <w:rFonts w:ascii="Tahoma" w:eastAsia="Arial Narrow" w:hAnsi="Tahoma" w:cs="Tahoma"/>
          <w:sz w:val="20"/>
          <w:szCs w:val="20"/>
        </w:rPr>
      </w:pPr>
    </w:p>
    <w:p w14:paraId="1F390AC2"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w:t>
      </w:r>
      <w:r w:rsidRPr="00B004EE">
        <w:rPr>
          <w:rFonts w:ascii="Tahoma" w:hAnsi="Tahoma" w:cs="Tahoma"/>
          <w:b/>
          <w:bCs/>
          <w:sz w:val="20"/>
          <w:szCs w:val="20"/>
        </w:rPr>
        <w:t xml:space="preserve"> </w:t>
      </w:r>
      <w:r w:rsidRPr="00B004EE">
        <w:rPr>
          <w:rFonts w:ascii="Tahoma" w:hAnsi="Tahoma" w:cs="Tahoma"/>
          <w:sz w:val="20"/>
          <w:szCs w:val="20"/>
        </w:rPr>
        <w:t>premier :</w:t>
      </w:r>
      <w:r w:rsidRPr="00B004EE">
        <w:rPr>
          <w:rFonts w:ascii="Tahoma" w:hAnsi="Tahoma" w:cs="Tahoma"/>
          <w:b/>
          <w:bCs/>
          <w:sz w:val="20"/>
          <w:szCs w:val="20"/>
        </w:rPr>
        <w:t xml:space="preserve"> </w:t>
      </w:r>
      <w:r w:rsidRPr="00B004EE">
        <w:rPr>
          <w:rFonts w:ascii="Tahoma" w:hAnsi="Tahoma" w:cs="Tahoma"/>
          <w:sz w:val="20"/>
          <w:szCs w:val="20"/>
        </w:rPr>
        <w:t>Les dispositions de la présente loi définissent les règles de santé et d'hygiène publiques en République Islamique de Mauritanie notamment sur les espaces publiques, les habitations, les denrées et produits alimentaires et non alimentaires, l'eau, les installations et industries commerciales, les établissements scolaires et sanitaires, les bâtiments publics et le milieu naturel. Son objectif principal est de préserver et de promouvoir la santé publique.</w:t>
      </w:r>
    </w:p>
    <w:p w14:paraId="6A5E8A1E" w14:textId="77777777" w:rsidR="0049647F" w:rsidRPr="00B004EE" w:rsidRDefault="0049647F" w:rsidP="00B004EE">
      <w:pPr>
        <w:ind w:right="-6"/>
        <w:rPr>
          <w:rFonts w:ascii="Tahoma" w:eastAsia="Arial Narrow" w:hAnsi="Tahoma" w:cs="Tahoma"/>
          <w:sz w:val="20"/>
          <w:szCs w:val="20"/>
        </w:rPr>
      </w:pPr>
    </w:p>
    <w:p w14:paraId="47E59257" w14:textId="77777777" w:rsidR="0049647F" w:rsidRPr="00B004EE" w:rsidRDefault="0049647F" w:rsidP="00B004EE">
      <w:pPr>
        <w:pStyle w:val="Lgende"/>
        <w:jc w:val="center"/>
        <w:rPr>
          <w:rFonts w:ascii="Tahoma" w:eastAsia="American Typewriter" w:hAnsi="Tahoma" w:cs="Tahoma"/>
        </w:rPr>
      </w:pPr>
      <w:r w:rsidRPr="00B004EE">
        <w:rPr>
          <w:rFonts w:ascii="Tahoma" w:eastAsia="American Typewriter" w:hAnsi="Tahoma" w:cs="Tahoma"/>
        </w:rPr>
        <w:t>TITRE II : DISPOSITIONS GENERALES</w:t>
      </w:r>
    </w:p>
    <w:p w14:paraId="4D2BED98" w14:textId="77777777" w:rsidR="0049647F" w:rsidRPr="00B004EE" w:rsidRDefault="0049647F" w:rsidP="00B004EE">
      <w:pPr>
        <w:pStyle w:val="Lgende"/>
        <w:jc w:val="center"/>
        <w:rPr>
          <w:rFonts w:ascii="Tahoma" w:eastAsia="American Typewriter" w:hAnsi="Tahoma" w:cs="Tahoma"/>
        </w:rPr>
      </w:pPr>
    </w:p>
    <w:p w14:paraId="2946BFD4" w14:textId="77777777" w:rsidR="0049647F" w:rsidRPr="00B004EE" w:rsidRDefault="0049647F" w:rsidP="00B004EE">
      <w:pPr>
        <w:pStyle w:val="Lgende"/>
        <w:rPr>
          <w:rFonts w:ascii="Tahoma" w:eastAsia="American Typewriter" w:hAnsi="Tahoma" w:cs="Tahoma"/>
        </w:rPr>
      </w:pPr>
      <w:r w:rsidRPr="00B004EE">
        <w:rPr>
          <w:rFonts w:ascii="Tahoma" w:eastAsia="American Typewriter" w:hAnsi="Tahoma" w:cs="Tahoma"/>
        </w:rPr>
        <w:t>CHAPITRE I : REGLEMENTS SANITAIRES</w:t>
      </w:r>
    </w:p>
    <w:p w14:paraId="1A39F92A" w14:textId="77777777" w:rsidR="0049647F" w:rsidRPr="00B004EE" w:rsidRDefault="0049647F" w:rsidP="00B004EE">
      <w:pPr>
        <w:ind w:right="-6"/>
        <w:rPr>
          <w:rFonts w:ascii="Tahoma" w:eastAsia="Courier New" w:hAnsi="Tahoma" w:cs="Tahoma"/>
          <w:b/>
          <w:bCs/>
          <w:sz w:val="20"/>
          <w:szCs w:val="20"/>
        </w:rPr>
      </w:pPr>
    </w:p>
    <w:p w14:paraId="3D188F3C"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w:t>
      </w:r>
      <w:r w:rsidRPr="00B004EE">
        <w:rPr>
          <w:rFonts w:ascii="Tahoma" w:hAnsi="Tahoma" w:cs="Tahoma"/>
          <w:b/>
          <w:bCs/>
          <w:sz w:val="20"/>
          <w:szCs w:val="20"/>
        </w:rPr>
        <w:t xml:space="preserve"> </w:t>
      </w:r>
      <w:r w:rsidRPr="00B004EE">
        <w:rPr>
          <w:rFonts w:ascii="Tahoma" w:hAnsi="Tahoma" w:cs="Tahoma"/>
          <w:sz w:val="20"/>
          <w:szCs w:val="20"/>
        </w:rPr>
        <w:t>2</w:t>
      </w:r>
      <w:r w:rsidRPr="00B004EE">
        <w:rPr>
          <w:rFonts w:ascii="Tahoma" w:hAnsi="Tahoma" w:cs="Tahoma"/>
          <w:b/>
          <w:bCs/>
          <w:sz w:val="20"/>
          <w:szCs w:val="20"/>
        </w:rPr>
        <w:t xml:space="preserve"> </w:t>
      </w:r>
      <w:r w:rsidRPr="00B004EE">
        <w:rPr>
          <w:rFonts w:ascii="Tahoma" w:hAnsi="Tahoma" w:cs="Tahoma"/>
          <w:sz w:val="20"/>
          <w:szCs w:val="20"/>
        </w:rPr>
        <w:t>: Dans chaque Wilaya, l'autorité administrative compétente est tenue d'appliquer le code d'hygiène publique et d'établir les dispositions sanitaires applicables à l'ensemble de la Wilaya. Ce règlement est établi sur la proposition des autorités sanitaires locales et après avis des services compétents du ministre chargé de la santé.</w:t>
      </w:r>
    </w:p>
    <w:p w14:paraId="723BB581" w14:textId="77777777" w:rsidR="0049647F" w:rsidRPr="00B004EE" w:rsidRDefault="0049647F" w:rsidP="00B004EE">
      <w:pPr>
        <w:ind w:right="-6"/>
        <w:rPr>
          <w:rFonts w:ascii="Tahoma" w:eastAsia="Arial Narrow" w:hAnsi="Tahoma" w:cs="Tahoma"/>
          <w:sz w:val="20"/>
          <w:szCs w:val="20"/>
        </w:rPr>
      </w:pPr>
    </w:p>
    <w:p w14:paraId="77AF055A"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w:t>
      </w:r>
      <w:r w:rsidRPr="00B004EE">
        <w:rPr>
          <w:rFonts w:ascii="Tahoma" w:hAnsi="Tahoma" w:cs="Tahoma"/>
          <w:b/>
          <w:bCs/>
          <w:sz w:val="20"/>
          <w:szCs w:val="20"/>
        </w:rPr>
        <w:t xml:space="preserve"> </w:t>
      </w:r>
      <w:r w:rsidRPr="00B004EE">
        <w:rPr>
          <w:rFonts w:ascii="Tahoma" w:hAnsi="Tahoma" w:cs="Tahoma"/>
          <w:sz w:val="20"/>
          <w:szCs w:val="20"/>
        </w:rPr>
        <w:t>3</w:t>
      </w:r>
      <w:r w:rsidRPr="00B004EE">
        <w:rPr>
          <w:rFonts w:ascii="Tahoma" w:hAnsi="Tahoma" w:cs="Tahoma"/>
          <w:b/>
          <w:bCs/>
          <w:sz w:val="20"/>
          <w:szCs w:val="20"/>
        </w:rPr>
        <w:t xml:space="preserve"> </w:t>
      </w:r>
      <w:r w:rsidRPr="00B004EE">
        <w:rPr>
          <w:rFonts w:ascii="Tahoma" w:hAnsi="Tahoma" w:cs="Tahoma"/>
          <w:sz w:val="20"/>
          <w:szCs w:val="20"/>
        </w:rPr>
        <w:t>: Le règlement sanitaire détermine :</w:t>
      </w:r>
    </w:p>
    <w:p w14:paraId="106D58B1" w14:textId="77777777" w:rsidR="0049647F" w:rsidRPr="00B004EE" w:rsidRDefault="0049647F" w:rsidP="00420DDA">
      <w:pPr>
        <w:pStyle w:val="Paragraphedeliste"/>
        <w:widowControl w:val="0"/>
        <w:numPr>
          <w:ilvl w:val="0"/>
          <w:numId w:val="46"/>
        </w:numPr>
        <w:ind w:right="-6"/>
        <w:jc w:val="both"/>
        <w:rPr>
          <w:rFonts w:ascii="Tahoma" w:eastAsia="American Typewriter" w:hAnsi="Tahoma" w:cs="Tahoma"/>
          <w:sz w:val="20"/>
          <w:szCs w:val="20"/>
        </w:rPr>
      </w:pPr>
      <w:r w:rsidRPr="00B004EE">
        <w:rPr>
          <w:rFonts w:ascii="Tahoma" w:eastAsia="American Typewriter" w:hAnsi="Tahoma" w:cs="Tahoma"/>
          <w:sz w:val="20"/>
          <w:szCs w:val="20"/>
        </w:rPr>
        <w:t>Les précautions à prendre par les autorités sanitaires compétentes et par les autorités administratives locales pour prévenir ou faire cesser les maladies transmissibles et spécialement les mesures propres à assurer la protection des denrées alimentaires et les produits non alimentaires mises en vente, la désinfection ou la destruction des objets à l'usage des malades ou qui ont été souillés par eux et généralement des objets quelconques pouvant servir de véhicule à la contagion ;</w:t>
      </w:r>
    </w:p>
    <w:p w14:paraId="4DF02FAE" w14:textId="77777777" w:rsidR="0049647F" w:rsidRPr="00B004EE" w:rsidRDefault="0049647F" w:rsidP="00420DDA">
      <w:pPr>
        <w:pStyle w:val="Paragraphedeliste"/>
        <w:widowControl w:val="0"/>
        <w:numPr>
          <w:ilvl w:val="0"/>
          <w:numId w:val="46"/>
        </w:numPr>
        <w:ind w:right="-6"/>
        <w:jc w:val="both"/>
        <w:rPr>
          <w:rFonts w:ascii="Tahoma" w:eastAsia="American Typewriter" w:hAnsi="Tahoma" w:cs="Tahoma"/>
          <w:sz w:val="20"/>
          <w:szCs w:val="20"/>
        </w:rPr>
      </w:pPr>
      <w:r w:rsidRPr="00B004EE">
        <w:rPr>
          <w:rFonts w:ascii="Tahoma" w:eastAsia="American Typewriter" w:hAnsi="Tahoma" w:cs="Tahoma"/>
          <w:sz w:val="20"/>
          <w:szCs w:val="20"/>
        </w:rPr>
        <w:t>Les prescriptions destinées à assurer la salubrité des habitations et de leur dépendance, des voies privées, closes ou à leur proximité, des logements loués en garni et des centres et agglomérations quelle qu'en soit la nature ;</w:t>
      </w:r>
    </w:p>
    <w:p w14:paraId="1261F497" w14:textId="77777777" w:rsidR="0049647F" w:rsidRPr="00B004EE" w:rsidRDefault="0049647F" w:rsidP="00420DDA">
      <w:pPr>
        <w:pStyle w:val="Corpsdetexte"/>
        <w:widowControl w:val="0"/>
        <w:numPr>
          <w:ilvl w:val="0"/>
          <w:numId w:val="46"/>
        </w:numPr>
        <w:autoSpaceDE/>
        <w:autoSpaceDN/>
        <w:adjustRightInd/>
        <w:ind w:right="-6"/>
        <w:rPr>
          <w:rFonts w:ascii="Tahoma" w:eastAsia="American Typewriter" w:hAnsi="Tahoma" w:cs="Tahoma"/>
          <w:sz w:val="20"/>
          <w:szCs w:val="20"/>
        </w:rPr>
      </w:pPr>
      <w:r w:rsidRPr="00B004EE">
        <w:rPr>
          <w:rFonts w:ascii="Tahoma" w:eastAsia="American Typewriter" w:hAnsi="Tahoma" w:cs="Tahoma"/>
          <w:sz w:val="20"/>
          <w:szCs w:val="20"/>
        </w:rPr>
        <w:t>Les prescriptions relatives à l'alimentation en eau potable et à la surveillance des puits, à l'évacuation des matières usées et aux conditions auxquelles doivent satisfaire les fosses d'aisance.</w:t>
      </w:r>
    </w:p>
    <w:p w14:paraId="52F0F82E" w14:textId="77777777" w:rsidR="0049647F" w:rsidRPr="00B004EE" w:rsidRDefault="0049647F" w:rsidP="00B004EE">
      <w:pPr>
        <w:ind w:right="-6"/>
        <w:rPr>
          <w:rFonts w:ascii="Tahoma" w:eastAsia="Arial Narrow" w:hAnsi="Tahoma" w:cs="Tahoma"/>
          <w:sz w:val="20"/>
          <w:szCs w:val="20"/>
        </w:rPr>
      </w:pPr>
    </w:p>
    <w:p w14:paraId="016DE6D0"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w:t>
      </w:r>
      <w:r w:rsidRPr="00B004EE">
        <w:rPr>
          <w:rFonts w:ascii="Tahoma" w:hAnsi="Tahoma" w:cs="Tahoma"/>
          <w:b/>
          <w:bCs/>
          <w:sz w:val="20"/>
          <w:szCs w:val="20"/>
        </w:rPr>
        <w:t xml:space="preserve"> </w:t>
      </w:r>
      <w:r w:rsidRPr="00B004EE">
        <w:rPr>
          <w:rFonts w:ascii="Tahoma" w:hAnsi="Tahoma" w:cs="Tahoma"/>
          <w:sz w:val="20"/>
          <w:szCs w:val="20"/>
        </w:rPr>
        <w:t>4 : Les dispositions des articles 2 et 3 ne font pas obstacle aux droits des autorités administratives locales de prescrire, par voie réglementaire, des dispositions particulières, en vue d'assurer la protection de la santé publique. Ces dispositions sont approuvées conjointement par les ministres chargés de la Santé publique et/ou le(s) ministre(s) concerné(s).</w:t>
      </w:r>
    </w:p>
    <w:p w14:paraId="703C74D4" w14:textId="77777777" w:rsidR="0049647F" w:rsidRPr="00B004EE" w:rsidRDefault="0049647F" w:rsidP="00B004EE">
      <w:pPr>
        <w:ind w:right="-6"/>
        <w:rPr>
          <w:rFonts w:ascii="Tahoma" w:eastAsia="Arial Narrow" w:hAnsi="Tahoma" w:cs="Tahoma"/>
          <w:w w:val="130"/>
          <w:sz w:val="20"/>
          <w:szCs w:val="20"/>
        </w:rPr>
      </w:pPr>
    </w:p>
    <w:p w14:paraId="5A5ADCDB" w14:textId="77777777" w:rsidR="0049647F" w:rsidRPr="00B004EE" w:rsidRDefault="0049647F" w:rsidP="00B004EE">
      <w:pPr>
        <w:ind w:right="-6"/>
        <w:jc w:val="center"/>
        <w:rPr>
          <w:rFonts w:ascii="Tahoma" w:eastAsia="American Typewriter" w:hAnsi="Tahoma" w:cs="Tahoma"/>
          <w:b/>
          <w:bCs/>
          <w:sz w:val="20"/>
          <w:szCs w:val="20"/>
        </w:rPr>
      </w:pPr>
      <w:r w:rsidRPr="00B004EE">
        <w:rPr>
          <w:rFonts w:ascii="Tahoma" w:eastAsia="American Typewriter" w:hAnsi="Tahoma" w:cs="Tahoma"/>
          <w:b/>
          <w:bCs/>
          <w:sz w:val="20"/>
          <w:szCs w:val="20"/>
        </w:rPr>
        <w:t>CHAPITRE II : LUTTE CONTRE LES EPIDEMIES ET VACCINATION CONTRE CERTAINS MALADIES TRANSMISSIBLES</w:t>
      </w:r>
    </w:p>
    <w:p w14:paraId="6AD79BE4" w14:textId="77777777" w:rsidR="0049647F" w:rsidRPr="00B004EE" w:rsidRDefault="0049647F" w:rsidP="00B004EE">
      <w:pPr>
        <w:ind w:right="-6"/>
        <w:rPr>
          <w:rFonts w:ascii="Tahoma" w:eastAsia="Courier New" w:hAnsi="Tahoma" w:cs="Tahoma"/>
          <w:b/>
          <w:bCs/>
          <w:sz w:val="20"/>
          <w:szCs w:val="20"/>
        </w:rPr>
      </w:pPr>
    </w:p>
    <w:p w14:paraId="6C846DF7"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w:t>
      </w:r>
      <w:r w:rsidRPr="00B004EE">
        <w:rPr>
          <w:rFonts w:ascii="Tahoma" w:hAnsi="Tahoma" w:cs="Tahoma"/>
          <w:b/>
          <w:bCs/>
          <w:sz w:val="20"/>
          <w:szCs w:val="20"/>
        </w:rPr>
        <w:t xml:space="preserve"> </w:t>
      </w:r>
      <w:r w:rsidRPr="00B004EE">
        <w:rPr>
          <w:rFonts w:ascii="Tahoma" w:hAnsi="Tahoma" w:cs="Tahoma"/>
          <w:sz w:val="20"/>
          <w:szCs w:val="20"/>
        </w:rPr>
        <w:t>5 : La lutte contre les épidémies et les vaccinations contre certaines maladies transmissibles s'effectueront conformément à la réglementation en vigueur.</w:t>
      </w:r>
    </w:p>
    <w:p w14:paraId="2F7B8B8D" w14:textId="77777777" w:rsidR="0049647F" w:rsidRPr="00B004EE" w:rsidRDefault="0049647F" w:rsidP="00B004EE">
      <w:pPr>
        <w:jc w:val="both"/>
        <w:rPr>
          <w:rFonts w:ascii="Tahoma" w:hAnsi="Tahoma" w:cs="Tahoma"/>
          <w:sz w:val="20"/>
          <w:szCs w:val="20"/>
        </w:rPr>
      </w:pPr>
    </w:p>
    <w:p w14:paraId="31A56C93"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w:t>
      </w:r>
      <w:r w:rsidRPr="00B004EE">
        <w:rPr>
          <w:rFonts w:ascii="Tahoma" w:hAnsi="Tahoma" w:cs="Tahoma"/>
          <w:b/>
          <w:bCs/>
          <w:sz w:val="20"/>
          <w:szCs w:val="20"/>
        </w:rPr>
        <w:t xml:space="preserve"> </w:t>
      </w:r>
      <w:r w:rsidRPr="00B004EE">
        <w:rPr>
          <w:rFonts w:ascii="Tahoma" w:hAnsi="Tahoma" w:cs="Tahoma"/>
          <w:sz w:val="20"/>
          <w:szCs w:val="20"/>
        </w:rPr>
        <w:t>6 : Toute personne qui exerce, dans un établissement ou organisme public ou privé de prévention ou de soins appartenant aux catégories dont la liste est établie par arrêté conjoint du ministre chargé de la Santé publique et du ministre chargé du Travail, une activité professionnelle l'exposant à des risques de contamination ,doit être vaccinée contre l'hépatite B, la tuberculose, la diphtérie, le tétanos ,la fièvre typhoïde et la poliomyélite L'introduction de la vaccination pour toute autre pathologie émergente sera fixée par voie réglementaire.</w:t>
      </w:r>
    </w:p>
    <w:p w14:paraId="544CBF1E"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lastRenderedPageBreak/>
        <w:t>Les conditions de cette vaccination sont fixées par arrêté conjoint des ministres chargés de la Santé publique et du Travail.</w:t>
      </w:r>
    </w:p>
    <w:p w14:paraId="1F4CB96B" w14:textId="77777777" w:rsidR="0049647F" w:rsidRPr="00B004EE" w:rsidRDefault="0049647F" w:rsidP="00B004EE">
      <w:pPr>
        <w:jc w:val="both"/>
        <w:rPr>
          <w:rFonts w:ascii="Tahoma" w:hAnsi="Tahoma" w:cs="Tahoma"/>
          <w:sz w:val="20"/>
          <w:szCs w:val="20"/>
        </w:rPr>
      </w:pPr>
    </w:p>
    <w:p w14:paraId="5D71F757"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w:t>
      </w:r>
      <w:r w:rsidRPr="00B004EE">
        <w:rPr>
          <w:rFonts w:ascii="Tahoma" w:hAnsi="Tahoma" w:cs="Tahoma"/>
          <w:b/>
          <w:bCs/>
          <w:sz w:val="20"/>
          <w:szCs w:val="20"/>
        </w:rPr>
        <w:t xml:space="preserve"> </w:t>
      </w:r>
      <w:r w:rsidRPr="00B004EE">
        <w:rPr>
          <w:rFonts w:ascii="Tahoma" w:hAnsi="Tahoma" w:cs="Tahoma"/>
          <w:sz w:val="20"/>
          <w:szCs w:val="20"/>
        </w:rPr>
        <w:t>7 : Tout élève ou étudiant d'un établissement préparant à l'exercice des professions médicales et des autres professions de santé dont la liste est déterminée par arrêté du ministre chargé de la santé, qui est soumis à l'obligation d'effectuer une part de ses études dans un établissement ou organisme public ou privé de prévention ou de soins, doit être vacciné contre les maladies mentionnées à l'article 6.</w:t>
      </w:r>
    </w:p>
    <w:p w14:paraId="782AAAA8" w14:textId="77777777" w:rsidR="0049647F" w:rsidRPr="00B004EE" w:rsidRDefault="0049647F" w:rsidP="00B004EE">
      <w:pPr>
        <w:jc w:val="both"/>
        <w:rPr>
          <w:rFonts w:ascii="Tahoma" w:hAnsi="Tahoma" w:cs="Tahoma"/>
          <w:sz w:val="20"/>
          <w:szCs w:val="20"/>
        </w:rPr>
      </w:pPr>
    </w:p>
    <w:p w14:paraId="17E1D802"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w:t>
      </w:r>
      <w:r w:rsidRPr="00B004EE">
        <w:rPr>
          <w:rFonts w:ascii="Tahoma" w:hAnsi="Tahoma" w:cs="Tahoma"/>
          <w:b/>
          <w:bCs/>
          <w:sz w:val="20"/>
          <w:szCs w:val="20"/>
        </w:rPr>
        <w:t xml:space="preserve"> </w:t>
      </w:r>
      <w:r w:rsidRPr="00B004EE">
        <w:rPr>
          <w:rFonts w:ascii="Tahoma" w:hAnsi="Tahoma" w:cs="Tahoma"/>
          <w:sz w:val="20"/>
          <w:szCs w:val="20"/>
        </w:rPr>
        <w:t>8 : Les établissements ou organismes employeurs ou, pour les élèves et étudiants, les établissements d'enseignement, prennent à leur charge les dépenses entraînées par ces vaccinations.</w:t>
      </w:r>
    </w:p>
    <w:p w14:paraId="4E288AA2"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Les conditions de l'immunisation prévue au présent article sont fixées par arrêté du ministre chargé de la santé.</w:t>
      </w:r>
    </w:p>
    <w:p w14:paraId="045B54C1" w14:textId="77777777" w:rsidR="0049647F" w:rsidRPr="00B004EE" w:rsidRDefault="0049647F" w:rsidP="00B004EE">
      <w:pPr>
        <w:jc w:val="both"/>
        <w:rPr>
          <w:rFonts w:ascii="Tahoma" w:hAnsi="Tahoma" w:cs="Tahoma"/>
          <w:sz w:val="20"/>
          <w:szCs w:val="20"/>
        </w:rPr>
      </w:pPr>
    </w:p>
    <w:p w14:paraId="3ECF12CE"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w:t>
      </w:r>
      <w:r w:rsidRPr="00B004EE">
        <w:rPr>
          <w:rFonts w:ascii="Tahoma" w:hAnsi="Tahoma" w:cs="Tahoma"/>
          <w:b/>
          <w:bCs/>
          <w:sz w:val="20"/>
          <w:szCs w:val="20"/>
        </w:rPr>
        <w:t xml:space="preserve"> </w:t>
      </w:r>
      <w:r w:rsidRPr="00B004EE">
        <w:rPr>
          <w:rFonts w:ascii="Tahoma" w:hAnsi="Tahoma" w:cs="Tahoma"/>
          <w:sz w:val="20"/>
          <w:szCs w:val="20"/>
        </w:rPr>
        <w:t>9 : La déclaration à l'autorité sanitaire de tout cas de maladie à déclaration obligatoire est impérative, d'une part pour tout médecin ou autre agent des services de santé qui en a constaté l'existence, d'autre part pour le principal occupant, chef de famille ou d'établissement, des locaux où se trouve la maladie et, à son défaut, dans l'ordre ci-après ; pour le conjoint, l’ascendant le plus proche du malade ou toute autre personne résidant avec lui ou lui donnant des soins.</w:t>
      </w:r>
    </w:p>
    <w:p w14:paraId="2911467F" w14:textId="77777777" w:rsidR="0049647F" w:rsidRPr="00B004EE" w:rsidRDefault="0049647F" w:rsidP="00B004EE">
      <w:pPr>
        <w:jc w:val="both"/>
        <w:rPr>
          <w:rFonts w:ascii="Tahoma" w:hAnsi="Tahoma" w:cs="Tahoma"/>
          <w:sz w:val="20"/>
          <w:szCs w:val="20"/>
        </w:rPr>
      </w:pPr>
    </w:p>
    <w:p w14:paraId="16CA51ED"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w:t>
      </w:r>
      <w:r w:rsidRPr="00B004EE">
        <w:rPr>
          <w:rFonts w:ascii="Tahoma" w:hAnsi="Tahoma" w:cs="Tahoma"/>
          <w:b/>
          <w:bCs/>
          <w:sz w:val="20"/>
          <w:szCs w:val="20"/>
        </w:rPr>
        <w:t xml:space="preserve"> </w:t>
      </w:r>
      <w:r w:rsidRPr="00B004EE">
        <w:rPr>
          <w:rFonts w:ascii="Tahoma" w:hAnsi="Tahoma" w:cs="Tahoma"/>
          <w:sz w:val="20"/>
          <w:szCs w:val="20"/>
        </w:rPr>
        <w:t>10 : Les maladies auxquelles sont applicables les dispositions de l'article ci­ dessus concernant la déclaration des maladies contagieuses sont définies par décret pris sur le rapport du ministre charge de la Santé publique.</w:t>
      </w:r>
    </w:p>
    <w:p w14:paraId="6AB5B821" w14:textId="77777777" w:rsidR="0049647F" w:rsidRPr="00B004EE" w:rsidRDefault="0049647F" w:rsidP="00B004EE">
      <w:pPr>
        <w:jc w:val="both"/>
        <w:rPr>
          <w:rFonts w:ascii="Tahoma" w:hAnsi="Tahoma" w:cs="Tahoma"/>
          <w:sz w:val="20"/>
          <w:szCs w:val="20"/>
        </w:rPr>
      </w:pPr>
    </w:p>
    <w:p w14:paraId="5865AB52"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w:t>
      </w:r>
      <w:r w:rsidRPr="00B004EE">
        <w:rPr>
          <w:rFonts w:ascii="Tahoma" w:hAnsi="Tahoma" w:cs="Tahoma"/>
          <w:b/>
          <w:bCs/>
          <w:sz w:val="20"/>
          <w:szCs w:val="20"/>
        </w:rPr>
        <w:t xml:space="preserve"> </w:t>
      </w:r>
      <w:r w:rsidRPr="00B004EE">
        <w:rPr>
          <w:rFonts w:ascii="Tahoma" w:hAnsi="Tahoma" w:cs="Tahoma"/>
          <w:sz w:val="20"/>
          <w:szCs w:val="20"/>
        </w:rPr>
        <w:t>11 : La désinfection est obligatoire pour tous les cas prévus à l'article 9. Les mesures de désinfection sont décidées par le ministre chargé de la Santé publique.</w:t>
      </w:r>
    </w:p>
    <w:p w14:paraId="4F6A40C1" w14:textId="77777777" w:rsidR="0049647F" w:rsidRPr="00B004EE" w:rsidRDefault="0049647F" w:rsidP="00B004EE">
      <w:pPr>
        <w:jc w:val="both"/>
        <w:rPr>
          <w:rFonts w:ascii="Tahoma" w:hAnsi="Tahoma" w:cs="Tahoma"/>
          <w:sz w:val="20"/>
          <w:szCs w:val="20"/>
        </w:rPr>
      </w:pPr>
    </w:p>
    <w:p w14:paraId="3A430F65"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w:t>
      </w:r>
      <w:r w:rsidRPr="00B004EE">
        <w:rPr>
          <w:rFonts w:ascii="Tahoma" w:hAnsi="Tahoma" w:cs="Tahoma"/>
          <w:b/>
          <w:bCs/>
          <w:sz w:val="20"/>
          <w:szCs w:val="20"/>
        </w:rPr>
        <w:t xml:space="preserve"> </w:t>
      </w:r>
      <w:r w:rsidRPr="00B004EE">
        <w:rPr>
          <w:rFonts w:ascii="Tahoma" w:hAnsi="Tahoma" w:cs="Tahoma"/>
          <w:sz w:val="20"/>
          <w:szCs w:val="20"/>
        </w:rPr>
        <w:t>12: Le contrôle sanitaire aux frontières est régi sur le territoire national par les dispositions des règlements sanitaires internationaux de l’organisation mondiale de la santé, conformément aux article 21 et 22 de sa constitution, de l’Organisation Mondiale de la Santé Animale, des arrangements internationaux et des lois et règlement nationaux intervenues ou à intervenir en cette matière, en vue de prévenir la propagation par la voie terrestre, maritime ou aérienne des maladies transmissibles.</w:t>
      </w:r>
    </w:p>
    <w:p w14:paraId="39B26305" w14:textId="77777777" w:rsidR="0049647F" w:rsidRPr="00B004EE" w:rsidRDefault="0049647F" w:rsidP="00B004EE">
      <w:pPr>
        <w:jc w:val="both"/>
        <w:rPr>
          <w:rFonts w:ascii="Tahoma" w:hAnsi="Tahoma" w:cs="Tahoma"/>
          <w:sz w:val="20"/>
          <w:szCs w:val="20"/>
        </w:rPr>
      </w:pPr>
    </w:p>
    <w:p w14:paraId="0B8D7BAE"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w:t>
      </w:r>
      <w:r w:rsidRPr="00B004EE">
        <w:rPr>
          <w:rFonts w:ascii="Tahoma" w:hAnsi="Tahoma" w:cs="Tahoma"/>
          <w:b/>
          <w:bCs/>
          <w:sz w:val="20"/>
          <w:szCs w:val="20"/>
        </w:rPr>
        <w:t xml:space="preserve"> </w:t>
      </w:r>
      <w:r w:rsidRPr="00B004EE">
        <w:rPr>
          <w:rFonts w:ascii="Tahoma" w:hAnsi="Tahoma" w:cs="Tahoma"/>
          <w:sz w:val="20"/>
          <w:szCs w:val="20"/>
        </w:rPr>
        <w:t>13 : ont qualité pour constater les infractions en matière de contrôle sanitaire aux frontières, les médecins de santé pulques et agents chargés du contrôle sanitaire aux frontières commissionnés et assermentés dans les conditions fixées par arrêté du Ministre chargé de la santé publique.</w:t>
      </w:r>
    </w:p>
    <w:p w14:paraId="4DCE72EA" w14:textId="77777777" w:rsidR="0049647F" w:rsidRPr="00B004EE" w:rsidRDefault="0049647F" w:rsidP="00B004EE">
      <w:pPr>
        <w:jc w:val="both"/>
        <w:rPr>
          <w:rFonts w:ascii="Tahoma" w:hAnsi="Tahoma" w:cs="Tahoma"/>
          <w:sz w:val="20"/>
          <w:szCs w:val="20"/>
        </w:rPr>
      </w:pPr>
    </w:p>
    <w:p w14:paraId="041B5766"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w:t>
      </w:r>
      <w:r w:rsidRPr="00B004EE">
        <w:rPr>
          <w:rFonts w:ascii="Tahoma" w:hAnsi="Tahoma" w:cs="Tahoma"/>
          <w:b/>
          <w:bCs/>
          <w:sz w:val="20"/>
          <w:szCs w:val="20"/>
        </w:rPr>
        <w:t xml:space="preserve"> </w:t>
      </w:r>
      <w:r w:rsidRPr="00B004EE">
        <w:rPr>
          <w:rFonts w:ascii="Tahoma" w:hAnsi="Tahoma" w:cs="Tahoma"/>
          <w:sz w:val="20"/>
          <w:szCs w:val="20"/>
        </w:rPr>
        <w:t>14 : il est interdit à tout fonctionnaire ou agent public, commandant ou officier d’un navire ou d’un aéronef, tout médecin d’atelier, de dissimuler sciemment dans un document ou une déclaration, des faits sanitaires de nature à compromettre la santé publique.</w:t>
      </w:r>
    </w:p>
    <w:p w14:paraId="27F4961C" w14:textId="77777777" w:rsidR="0049647F" w:rsidRPr="00B004EE" w:rsidRDefault="0049647F" w:rsidP="00B004EE">
      <w:pPr>
        <w:pStyle w:val="Corpsdetexte"/>
        <w:ind w:right="-6" w:hanging="8"/>
        <w:rPr>
          <w:rFonts w:ascii="Tahoma" w:hAnsi="Tahoma" w:cs="Tahoma"/>
          <w:w w:val="125"/>
          <w:sz w:val="20"/>
          <w:szCs w:val="20"/>
        </w:rPr>
      </w:pPr>
    </w:p>
    <w:p w14:paraId="6D2F7088" w14:textId="77777777" w:rsidR="0049647F" w:rsidRPr="00B004EE" w:rsidRDefault="0049647F" w:rsidP="00B004EE">
      <w:pPr>
        <w:pStyle w:val="Corpsdetexte"/>
        <w:ind w:right="-6" w:hanging="8"/>
        <w:jc w:val="center"/>
        <w:rPr>
          <w:rFonts w:ascii="Tahoma" w:eastAsia="American Typewriter" w:hAnsi="Tahoma" w:cs="Tahoma"/>
          <w:b/>
          <w:bCs/>
          <w:sz w:val="20"/>
          <w:szCs w:val="20"/>
        </w:rPr>
      </w:pPr>
      <w:r w:rsidRPr="00B004EE">
        <w:rPr>
          <w:rFonts w:ascii="Tahoma" w:eastAsia="American Typewriter" w:hAnsi="Tahoma" w:cs="Tahoma"/>
          <w:b/>
          <w:bCs/>
          <w:sz w:val="20"/>
          <w:szCs w:val="20"/>
        </w:rPr>
        <w:t>TITRE III : REGLES D’HYGIENE PUBLIQUE</w:t>
      </w:r>
    </w:p>
    <w:p w14:paraId="4FFD12BB" w14:textId="77777777" w:rsidR="0049647F" w:rsidRPr="00B004EE" w:rsidRDefault="0049647F" w:rsidP="00B004EE">
      <w:pPr>
        <w:pStyle w:val="Corpsdetexte"/>
        <w:ind w:right="-6" w:hanging="8"/>
        <w:jc w:val="center"/>
        <w:rPr>
          <w:rFonts w:ascii="Tahoma" w:hAnsi="Tahoma" w:cs="Tahoma"/>
          <w:b/>
          <w:bCs/>
          <w:w w:val="125"/>
          <w:sz w:val="20"/>
          <w:szCs w:val="20"/>
        </w:rPr>
      </w:pPr>
    </w:p>
    <w:p w14:paraId="3AC47D8E" w14:textId="77777777" w:rsidR="0049647F" w:rsidRPr="00B004EE" w:rsidRDefault="0049647F" w:rsidP="00B004EE">
      <w:pPr>
        <w:pStyle w:val="Corpsdetexte"/>
        <w:ind w:right="-6" w:hanging="8"/>
        <w:jc w:val="center"/>
        <w:rPr>
          <w:rFonts w:ascii="Tahoma" w:eastAsia="American Typewriter" w:hAnsi="Tahoma" w:cs="Tahoma"/>
          <w:b/>
          <w:bCs/>
          <w:sz w:val="20"/>
          <w:szCs w:val="20"/>
        </w:rPr>
      </w:pPr>
      <w:r w:rsidRPr="00B004EE">
        <w:rPr>
          <w:rFonts w:ascii="Tahoma" w:eastAsia="American Typewriter" w:hAnsi="Tahoma" w:cs="Tahoma"/>
          <w:b/>
          <w:bCs/>
          <w:sz w:val="20"/>
          <w:szCs w:val="20"/>
        </w:rPr>
        <w:t>CHAPITRE I MESURES D’ASSAINISSEMENTS DE BASE</w:t>
      </w:r>
    </w:p>
    <w:p w14:paraId="1F118076" w14:textId="77777777" w:rsidR="0049647F" w:rsidRPr="00B004EE" w:rsidRDefault="0049647F" w:rsidP="00B004EE">
      <w:pPr>
        <w:pStyle w:val="Corpsdetexte"/>
        <w:ind w:right="-6" w:hanging="8"/>
        <w:jc w:val="center"/>
        <w:rPr>
          <w:rFonts w:ascii="Tahoma" w:eastAsia="American Typewriter" w:hAnsi="Tahoma" w:cs="Tahoma"/>
          <w:b/>
          <w:bCs/>
          <w:sz w:val="20"/>
          <w:szCs w:val="20"/>
        </w:rPr>
      </w:pPr>
    </w:p>
    <w:p w14:paraId="7D79FA77" w14:textId="77777777" w:rsidR="0049647F" w:rsidRPr="00B004EE" w:rsidRDefault="0049647F" w:rsidP="00B004EE">
      <w:pPr>
        <w:pStyle w:val="Corpsdetexte"/>
        <w:ind w:right="-6" w:hanging="8"/>
        <w:jc w:val="center"/>
        <w:rPr>
          <w:rFonts w:ascii="Tahoma" w:eastAsia="American Typewriter" w:hAnsi="Tahoma" w:cs="Tahoma"/>
          <w:b/>
          <w:bCs/>
          <w:sz w:val="20"/>
          <w:szCs w:val="20"/>
        </w:rPr>
      </w:pPr>
      <w:r w:rsidRPr="00B004EE">
        <w:rPr>
          <w:rFonts w:ascii="Tahoma" w:eastAsia="American Typewriter" w:hAnsi="Tahoma" w:cs="Tahoma"/>
          <w:b/>
          <w:bCs/>
          <w:sz w:val="20"/>
          <w:szCs w:val="20"/>
        </w:rPr>
        <w:t>Section 1 L’eau potable :</w:t>
      </w:r>
    </w:p>
    <w:p w14:paraId="4B8AB1FF" w14:textId="77777777" w:rsidR="0049647F" w:rsidRPr="00B004EE" w:rsidRDefault="0049647F" w:rsidP="00B004EE">
      <w:pPr>
        <w:pStyle w:val="Corpsdetexte"/>
        <w:ind w:right="-6" w:hanging="8"/>
        <w:rPr>
          <w:rFonts w:ascii="Tahoma" w:hAnsi="Tahoma" w:cs="Tahoma"/>
          <w:b/>
          <w:bCs/>
          <w:w w:val="125"/>
          <w:sz w:val="20"/>
          <w:szCs w:val="20"/>
        </w:rPr>
      </w:pPr>
    </w:p>
    <w:p w14:paraId="22DB6CC3"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w:t>
      </w:r>
      <w:r w:rsidRPr="00B004EE">
        <w:rPr>
          <w:rFonts w:ascii="Tahoma" w:hAnsi="Tahoma" w:cs="Tahoma"/>
          <w:b/>
          <w:bCs/>
          <w:sz w:val="20"/>
          <w:szCs w:val="20"/>
        </w:rPr>
        <w:t xml:space="preserve"> </w:t>
      </w:r>
      <w:r w:rsidRPr="00B004EE">
        <w:rPr>
          <w:rFonts w:ascii="Tahoma" w:hAnsi="Tahoma" w:cs="Tahoma"/>
          <w:sz w:val="20"/>
          <w:szCs w:val="20"/>
        </w:rPr>
        <w:t>15 : quiconque offre au public de l’eau en vue de l’alimentation humaine, à titre onéreux ou gratuit et sous quelque forme que ce soit, y compris de l’eau minérale ou naturelle et de la glace alimentaire, est tenu de s’assurer que cette eau est conforme aux normes de potabilité définies par la législation et la réglementation en vigueur.</w:t>
      </w:r>
    </w:p>
    <w:p w14:paraId="56E8489C" w14:textId="77777777" w:rsidR="0049647F" w:rsidRPr="00B004EE" w:rsidRDefault="0049647F" w:rsidP="00B004EE">
      <w:pPr>
        <w:jc w:val="both"/>
        <w:rPr>
          <w:rFonts w:ascii="Tahoma" w:hAnsi="Tahoma" w:cs="Tahoma"/>
          <w:sz w:val="20"/>
          <w:szCs w:val="20"/>
        </w:rPr>
      </w:pPr>
    </w:p>
    <w:p w14:paraId="2836655C"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En cas de distribution publique d’eau potable, le service distributeur de l’eau est tenue de s’assurer de la conformité de l’eau distribuée aux normes mentionnées à l’alinéa précédente.</w:t>
      </w:r>
    </w:p>
    <w:p w14:paraId="7C735492"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lastRenderedPageBreak/>
        <w:t>Les normes et les conditions que doivent respecter les eaux minérales ou autres, mise en bouteilles, en sachets, préemballées, ou sous d’autres conditionnements pour être consommées comme eau de boisson, sont fixés par voie règlementaire</w:t>
      </w:r>
    </w:p>
    <w:p w14:paraId="6F8067DC" w14:textId="77777777" w:rsidR="0049647F" w:rsidRPr="00B004EE" w:rsidRDefault="0049647F" w:rsidP="00B004EE">
      <w:pPr>
        <w:jc w:val="both"/>
        <w:rPr>
          <w:rFonts w:ascii="Tahoma" w:hAnsi="Tahoma" w:cs="Tahoma"/>
          <w:sz w:val="20"/>
          <w:szCs w:val="20"/>
        </w:rPr>
      </w:pPr>
    </w:p>
    <w:p w14:paraId="2C1D68D2" w14:textId="77777777" w:rsidR="0049647F" w:rsidRPr="00B004EE" w:rsidRDefault="0049647F" w:rsidP="00B004EE">
      <w:pPr>
        <w:jc w:val="both"/>
        <w:rPr>
          <w:rFonts w:ascii="Tahoma" w:hAnsi="Tahoma" w:cs="Tahoma"/>
          <w:sz w:val="20"/>
          <w:szCs w:val="20"/>
        </w:rPr>
      </w:pPr>
    </w:p>
    <w:p w14:paraId="7F4B0A8A"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w:t>
      </w:r>
      <w:r w:rsidRPr="00B004EE">
        <w:rPr>
          <w:rFonts w:ascii="Tahoma" w:hAnsi="Tahoma" w:cs="Tahoma"/>
          <w:b/>
          <w:bCs/>
          <w:sz w:val="20"/>
          <w:szCs w:val="20"/>
        </w:rPr>
        <w:t xml:space="preserve"> </w:t>
      </w:r>
      <w:r w:rsidRPr="00B004EE">
        <w:rPr>
          <w:rFonts w:ascii="Tahoma" w:hAnsi="Tahoma" w:cs="Tahoma"/>
          <w:sz w:val="20"/>
          <w:szCs w:val="20"/>
        </w:rPr>
        <w:t>16 : le service distributeur de l’eau est tenue de faire analyser périodiquement l’eau distribuée et autant de fois qu’il jugera utile dans les cas d’épidémie ou de fort présomption d’épidémie, sou le contrôle des agents du Ministère chargé de la santé publique, qui a cette fin ont libre accès à toute installation ou documentation.</w:t>
      </w:r>
    </w:p>
    <w:p w14:paraId="7CE0508E" w14:textId="77777777" w:rsidR="0049647F" w:rsidRPr="00B004EE" w:rsidRDefault="0049647F" w:rsidP="00B004EE">
      <w:pPr>
        <w:jc w:val="both"/>
        <w:rPr>
          <w:rFonts w:ascii="Tahoma" w:hAnsi="Tahoma" w:cs="Tahoma"/>
          <w:sz w:val="20"/>
          <w:szCs w:val="20"/>
        </w:rPr>
      </w:pPr>
    </w:p>
    <w:p w14:paraId="447F64AD"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Les frais d’analyse sont à la charge du service distributeur ou du délégataire.</w:t>
      </w:r>
    </w:p>
    <w:p w14:paraId="66461BE2" w14:textId="77777777" w:rsidR="0049647F" w:rsidRPr="00B004EE" w:rsidRDefault="0049647F" w:rsidP="00B004EE">
      <w:pPr>
        <w:jc w:val="both"/>
        <w:rPr>
          <w:rFonts w:ascii="Tahoma" w:hAnsi="Tahoma" w:cs="Tahoma"/>
          <w:sz w:val="20"/>
          <w:szCs w:val="20"/>
        </w:rPr>
      </w:pPr>
    </w:p>
    <w:p w14:paraId="2AA8A18B"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Pour le contrôle périodique la qualité de l’eau offerte à la consommation humaine, il est obligatoirement fait appel à un laboratoire agréé par le Ministère chargé de la santé publique.</w:t>
      </w:r>
    </w:p>
    <w:p w14:paraId="224A0F50" w14:textId="77777777" w:rsidR="0049647F" w:rsidRPr="00B004EE" w:rsidRDefault="0049647F" w:rsidP="00B004EE">
      <w:pPr>
        <w:jc w:val="both"/>
        <w:rPr>
          <w:rFonts w:ascii="Tahoma" w:hAnsi="Tahoma" w:cs="Tahoma"/>
          <w:sz w:val="20"/>
          <w:szCs w:val="20"/>
        </w:rPr>
      </w:pPr>
    </w:p>
    <w:p w14:paraId="0E3A4449"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La surveillance et le contrôle de la qualité des eaux destinées à la consommation humaine sont assurées par les services compétents du Ministère chargé de la santé publique ou par un laboratoire agréé par le Ministère chargé de la santé publique</w:t>
      </w:r>
    </w:p>
    <w:p w14:paraId="6C5A5E49" w14:textId="77777777" w:rsidR="0049647F" w:rsidRPr="00B004EE" w:rsidRDefault="0049647F" w:rsidP="00B004EE">
      <w:pPr>
        <w:jc w:val="both"/>
        <w:rPr>
          <w:rFonts w:ascii="Tahoma" w:hAnsi="Tahoma" w:cs="Tahoma"/>
          <w:sz w:val="20"/>
          <w:szCs w:val="20"/>
        </w:rPr>
      </w:pPr>
    </w:p>
    <w:p w14:paraId="61E01872"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 17 : Lorsqu'il est constaté qu'une eau destinée à la consommation directe ou indirecte n'est pas potable ou qu'elle est mal protégée, son usage est immédiatement suspendu pour l'alimentation humaine. Son utilisation ultérieure est subordonnée à une autorisation spéciale de l'autorité sanitaire compétente.</w:t>
      </w:r>
    </w:p>
    <w:p w14:paraId="6D16A60D" w14:textId="77777777" w:rsidR="0049647F" w:rsidRPr="00B004EE" w:rsidRDefault="0049647F" w:rsidP="00B004EE">
      <w:pPr>
        <w:jc w:val="both"/>
        <w:rPr>
          <w:rFonts w:ascii="Tahoma" w:hAnsi="Tahoma" w:cs="Tahoma"/>
          <w:sz w:val="20"/>
          <w:szCs w:val="20"/>
        </w:rPr>
      </w:pPr>
    </w:p>
    <w:p w14:paraId="18ED3C5B"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 18 : Le service distributeur de l'eau est présumé responsable des dommages résultant d'un défaut de conformité de l'eau aux normes de potabilité mentionnées à l'article 15 ci-dessus, à charge pour celui-ci d'apporter la preuve de l'existence d'une cause exonératoire de sa responsabilité.</w:t>
      </w:r>
    </w:p>
    <w:p w14:paraId="60313DCE" w14:textId="77777777" w:rsidR="0049647F" w:rsidRPr="00B004EE" w:rsidRDefault="0049647F" w:rsidP="00B004EE">
      <w:pPr>
        <w:jc w:val="both"/>
        <w:rPr>
          <w:rFonts w:ascii="Tahoma" w:hAnsi="Tahoma" w:cs="Tahoma"/>
          <w:sz w:val="20"/>
          <w:szCs w:val="20"/>
        </w:rPr>
      </w:pPr>
    </w:p>
    <w:p w14:paraId="5C1D045E"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 19 : En vue d'assurer la protection de la qualité des eaux, l'acte portant déclaration d'utilité publique des travaux de prélèvement d'eau destinée à l'alimentation des collectivités humaines, détermine, autour du point de prélèvement, un périmètre de protection.</w:t>
      </w:r>
    </w:p>
    <w:p w14:paraId="603D5FA4" w14:textId="77777777" w:rsidR="0049647F" w:rsidRPr="00B004EE" w:rsidRDefault="0049647F" w:rsidP="00B004EE">
      <w:pPr>
        <w:jc w:val="both"/>
        <w:rPr>
          <w:rFonts w:ascii="Tahoma" w:hAnsi="Tahoma" w:cs="Tahoma"/>
          <w:sz w:val="20"/>
          <w:szCs w:val="20"/>
        </w:rPr>
      </w:pPr>
    </w:p>
    <w:p w14:paraId="2D8AFA16"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 20 : Ouvrages d'alimentation et de distribution d'eau.</w:t>
      </w:r>
    </w:p>
    <w:p w14:paraId="47A8D9DC" w14:textId="77777777" w:rsidR="0049647F" w:rsidRPr="00B004EE" w:rsidRDefault="0049647F" w:rsidP="00B004EE">
      <w:pPr>
        <w:jc w:val="both"/>
        <w:rPr>
          <w:rFonts w:ascii="Tahoma" w:hAnsi="Tahoma" w:cs="Tahoma"/>
          <w:sz w:val="20"/>
          <w:szCs w:val="20"/>
        </w:rPr>
      </w:pPr>
    </w:p>
    <w:p w14:paraId="33BAABC8" w14:textId="77777777" w:rsidR="0049647F" w:rsidRPr="00B004EE" w:rsidRDefault="0049647F" w:rsidP="00420DDA">
      <w:pPr>
        <w:pStyle w:val="Paragraphedeliste"/>
        <w:widowControl w:val="0"/>
        <w:numPr>
          <w:ilvl w:val="0"/>
          <w:numId w:val="47"/>
        </w:numPr>
        <w:ind w:right="-6"/>
        <w:rPr>
          <w:rFonts w:ascii="Tahoma" w:eastAsia="Arial Narrow" w:hAnsi="Tahoma" w:cs="Tahoma"/>
          <w:b/>
          <w:bCs/>
          <w:sz w:val="20"/>
          <w:szCs w:val="20"/>
        </w:rPr>
      </w:pPr>
      <w:r w:rsidRPr="00B004EE">
        <w:rPr>
          <w:rFonts w:ascii="Tahoma" w:eastAsia="American Typewriter" w:hAnsi="Tahoma" w:cs="Tahoma"/>
          <w:b/>
          <w:bCs/>
          <w:sz w:val="20"/>
          <w:szCs w:val="20"/>
        </w:rPr>
        <w:t>Protection</w:t>
      </w:r>
      <w:r w:rsidRPr="00B004EE">
        <w:rPr>
          <w:rFonts w:ascii="Tahoma" w:eastAsia="Arial Narrow" w:hAnsi="Tahoma" w:cs="Tahoma"/>
          <w:b/>
          <w:bCs/>
          <w:spacing w:val="-19"/>
          <w:w w:val="125"/>
          <w:sz w:val="20"/>
          <w:szCs w:val="20"/>
        </w:rPr>
        <w:t xml:space="preserve"> </w:t>
      </w:r>
      <w:r w:rsidRPr="00B004EE">
        <w:rPr>
          <w:rFonts w:ascii="Tahoma" w:eastAsia="American Typewriter" w:hAnsi="Tahoma" w:cs="Tahoma"/>
          <w:b/>
          <w:bCs/>
          <w:sz w:val="20"/>
          <w:szCs w:val="20"/>
        </w:rPr>
        <w:t>des</w:t>
      </w:r>
      <w:r w:rsidRPr="00B004EE">
        <w:rPr>
          <w:rFonts w:ascii="Tahoma" w:eastAsia="Arial Narrow" w:hAnsi="Tahoma" w:cs="Tahoma"/>
          <w:b/>
          <w:bCs/>
          <w:spacing w:val="-16"/>
          <w:w w:val="125"/>
          <w:sz w:val="20"/>
          <w:szCs w:val="20"/>
        </w:rPr>
        <w:t xml:space="preserve"> </w:t>
      </w:r>
      <w:r w:rsidRPr="00B004EE">
        <w:rPr>
          <w:rFonts w:ascii="Tahoma" w:eastAsia="American Typewriter" w:hAnsi="Tahoma" w:cs="Tahoma"/>
          <w:b/>
          <w:bCs/>
          <w:sz w:val="20"/>
          <w:szCs w:val="20"/>
        </w:rPr>
        <w:t>ouvrages</w:t>
      </w:r>
    </w:p>
    <w:p w14:paraId="1B5CEFD9" w14:textId="77777777" w:rsidR="0049647F" w:rsidRPr="00B004EE" w:rsidRDefault="0049647F" w:rsidP="00B004EE">
      <w:pPr>
        <w:ind w:right="-6"/>
        <w:rPr>
          <w:rFonts w:ascii="Tahoma" w:eastAsia="Arial Narrow" w:hAnsi="Tahoma" w:cs="Tahoma"/>
          <w:sz w:val="20"/>
          <w:szCs w:val="20"/>
        </w:rPr>
      </w:pPr>
    </w:p>
    <w:p w14:paraId="576A29A7" w14:textId="77777777" w:rsidR="0049647F" w:rsidRPr="00B004EE" w:rsidRDefault="0049647F" w:rsidP="00B004EE">
      <w:pPr>
        <w:pStyle w:val="Corpsdetexte"/>
        <w:ind w:right="-6" w:hanging="8"/>
        <w:rPr>
          <w:rFonts w:ascii="Tahoma" w:eastAsia="American Typewriter" w:hAnsi="Tahoma" w:cs="Tahoma"/>
          <w:sz w:val="20"/>
          <w:szCs w:val="20"/>
        </w:rPr>
      </w:pPr>
      <w:r w:rsidRPr="00B004EE">
        <w:rPr>
          <w:rFonts w:ascii="Tahoma" w:eastAsia="American Typewriter" w:hAnsi="Tahoma" w:cs="Tahoma"/>
          <w:sz w:val="20"/>
          <w:szCs w:val="20"/>
        </w:rPr>
        <w:t>Toutes les dispositions doivent être prises pour assurer la protection des ouvrages d'alimentation et de distribution d'eau potable contre les contaminations extérieures, conformément à la réglementation et aux instructions techniques du ministère chargé de la Santé publique.</w:t>
      </w:r>
    </w:p>
    <w:p w14:paraId="1ECCD2FF" w14:textId="77777777" w:rsidR="0049647F" w:rsidRPr="00B004EE" w:rsidRDefault="0049647F" w:rsidP="00B004EE">
      <w:pPr>
        <w:pStyle w:val="Corpsdetexte"/>
        <w:ind w:right="-6" w:hanging="8"/>
        <w:rPr>
          <w:rFonts w:ascii="Tahoma" w:eastAsia="American Typewriter" w:hAnsi="Tahoma" w:cs="Tahoma"/>
          <w:sz w:val="20"/>
          <w:szCs w:val="20"/>
        </w:rPr>
      </w:pPr>
    </w:p>
    <w:p w14:paraId="32C7469F" w14:textId="77777777" w:rsidR="0049647F" w:rsidRPr="00B004EE" w:rsidRDefault="0049647F" w:rsidP="00B004EE">
      <w:pPr>
        <w:pStyle w:val="Corpsdetexte"/>
        <w:ind w:right="-6" w:hanging="8"/>
        <w:rPr>
          <w:rFonts w:ascii="Tahoma" w:eastAsia="American Typewriter" w:hAnsi="Tahoma" w:cs="Tahoma"/>
          <w:sz w:val="20"/>
          <w:szCs w:val="20"/>
        </w:rPr>
      </w:pPr>
      <w:r w:rsidRPr="00B004EE">
        <w:rPr>
          <w:rFonts w:ascii="Tahoma" w:eastAsia="American Typewriter" w:hAnsi="Tahoma" w:cs="Tahoma"/>
          <w:sz w:val="20"/>
          <w:szCs w:val="20"/>
        </w:rPr>
        <w:t>Les ouvrages de captage, de traitement, de stockage et d'élévation des eaux, doivent être protégés des crues et installés de manière à éviter tout risque de pollution.</w:t>
      </w:r>
    </w:p>
    <w:p w14:paraId="21ED0E44" w14:textId="77777777" w:rsidR="0049647F" w:rsidRPr="00B004EE" w:rsidRDefault="0049647F" w:rsidP="00B004EE">
      <w:pPr>
        <w:ind w:right="-6"/>
        <w:rPr>
          <w:rFonts w:ascii="Tahoma" w:eastAsia="Arial Narrow" w:hAnsi="Tahoma" w:cs="Tahoma"/>
          <w:sz w:val="20"/>
          <w:szCs w:val="20"/>
        </w:rPr>
      </w:pPr>
    </w:p>
    <w:p w14:paraId="1E490BA4" w14:textId="77777777" w:rsidR="0049647F" w:rsidRPr="00B004EE" w:rsidRDefault="0049647F" w:rsidP="00420DDA">
      <w:pPr>
        <w:pStyle w:val="Paragraphedeliste"/>
        <w:widowControl w:val="0"/>
        <w:numPr>
          <w:ilvl w:val="0"/>
          <w:numId w:val="47"/>
        </w:numPr>
        <w:ind w:right="-6"/>
        <w:rPr>
          <w:rFonts w:ascii="Tahoma" w:eastAsia="American Typewriter" w:hAnsi="Tahoma" w:cs="Tahoma"/>
          <w:b/>
          <w:bCs/>
          <w:sz w:val="20"/>
          <w:szCs w:val="20"/>
        </w:rPr>
      </w:pPr>
      <w:r w:rsidRPr="00B004EE">
        <w:rPr>
          <w:rFonts w:ascii="Tahoma" w:eastAsia="American Typewriter" w:hAnsi="Tahoma" w:cs="Tahoma"/>
          <w:b/>
          <w:bCs/>
          <w:sz w:val="20"/>
          <w:szCs w:val="20"/>
        </w:rPr>
        <w:t>Réservoirs de distribution</w:t>
      </w:r>
    </w:p>
    <w:p w14:paraId="73504A3F" w14:textId="77777777" w:rsidR="0049647F" w:rsidRPr="00B004EE" w:rsidRDefault="0049647F" w:rsidP="00B004EE">
      <w:pPr>
        <w:pStyle w:val="Paragraphedeliste"/>
        <w:ind w:right="-6"/>
        <w:rPr>
          <w:rFonts w:ascii="Tahoma" w:eastAsia="Arial Narrow" w:hAnsi="Tahoma" w:cs="Tahoma"/>
          <w:b/>
          <w:bCs/>
          <w:w w:val="125"/>
          <w:sz w:val="20"/>
          <w:szCs w:val="20"/>
        </w:rPr>
      </w:pPr>
    </w:p>
    <w:p w14:paraId="6A3D5183" w14:textId="77777777" w:rsidR="0049647F" w:rsidRPr="00B004EE" w:rsidRDefault="0049647F" w:rsidP="00B004EE">
      <w:pPr>
        <w:pStyle w:val="Corpsdetexte"/>
        <w:ind w:right="-6" w:hanging="8"/>
        <w:rPr>
          <w:rFonts w:ascii="Tahoma" w:eastAsia="American Typewriter" w:hAnsi="Tahoma" w:cs="Tahoma"/>
          <w:sz w:val="20"/>
          <w:szCs w:val="20"/>
        </w:rPr>
      </w:pPr>
      <w:r w:rsidRPr="00B004EE">
        <w:rPr>
          <w:rFonts w:ascii="Tahoma" w:eastAsia="American Typewriter" w:hAnsi="Tahoma" w:cs="Tahoma"/>
          <w:sz w:val="20"/>
          <w:szCs w:val="20"/>
        </w:rPr>
        <w:t>Les réservoirs de distribution sont couverts et établis de manière à permettre leur vidange totale et leur nettoyage périodique. Ce nettoyage doit pouvoir être effectué sans coupure d'eau.</w:t>
      </w:r>
    </w:p>
    <w:p w14:paraId="4D6D0DE4" w14:textId="77777777" w:rsidR="0049647F" w:rsidRPr="00B004EE" w:rsidRDefault="0049647F" w:rsidP="00B004EE">
      <w:pPr>
        <w:pStyle w:val="Corpsdetexte"/>
        <w:ind w:right="-6" w:hanging="8"/>
        <w:rPr>
          <w:rFonts w:ascii="Tahoma" w:eastAsia="American Typewriter" w:hAnsi="Tahoma" w:cs="Tahoma"/>
          <w:sz w:val="20"/>
          <w:szCs w:val="20"/>
        </w:rPr>
      </w:pPr>
      <w:r w:rsidRPr="00B004EE">
        <w:rPr>
          <w:rFonts w:ascii="Tahoma" w:eastAsia="American Typewriter" w:hAnsi="Tahoma" w:cs="Tahoma"/>
          <w:sz w:val="20"/>
          <w:szCs w:val="20"/>
        </w:rPr>
        <w:t>Les réservoirs ne doivent être alimentés qu'en eau potable et par surverse, sauf exception justifiée.</w:t>
      </w:r>
    </w:p>
    <w:p w14:paraId="6BBAD4F8" w14:textId="77777777" w:rsidR="0049647F" w:rsidRPr="00B004EE" w:rsidRDefault="0049647F" w:rsidP="00B004EE">
      <w:pPr>
        <w:pStyle w:val="Corpsdetexte"/>
        <w:ind w:right="-6" w:hanging="8"/>
        <w:rPr>
          <w:rFonts w:ascii="Tahoma" w:eastAsia="American Typewriter" w:hAnsi="Tahoma" w:cs="Tahoma"/>
          <w:sz w:val="20"/>
          <w:szCs w:val="20"/>
        </w:rPr>
      </w:pPr>
      <w:r w:rsidRPr="00B004EE">
        <w:rPr>
          <w:rFonts w:ascii="Tahoma" w:eastAsia="American Typewriter" w:hAnsi="Tahoma" w:cs="Tahoma"/>
          <w:sz w:val="20"/>
          <w:szCs w:val="20"/>
        </w:rPr>
        <w:t>Une aire circulaire étanche de deux mètres de rayon au minimum et légèrement inclinée vers l'extérieur assure leur protection contre les infiltrations superficielles ; un caniveau doit éloigner les eaux s'échappant du dispositif de pompage.</w:t>
      </w:r>
    </w:p>
    <w:p w14:paraId="79891292" w14:textId="77777777" w:rsidR="0049647F" w:rsidRPr="00B004EE" w:rsidRDefault="0049647F" w:rsidP="00B004EE">
      <w:pPr>
        <w:pStyle w:val="Corpsdetexte"/>
        <w:ind w:right="-6" w:hanging="8"/>
        <w:rPr>
          <w:rFonts w:ascii="Tahoma" w:eastAsia="American Typewriter" w:hAnsi="Tahoma" w:cs="Tahoma"/>
          <w:sz w:val="20"/>
          <w:szCs w:val="20"/>
        </w:rPr>
      </w:pPr>
    </w:p>
    <w:p w14:paraId="1A9A5B36" w14:textId="77777777" w:rsidR="0049647F" w:rsidRPr="00B004EE" w:rsidRDefault="0049647F" w:rsidP="00B004EE">
      <w:pPr>
        <w:pStyle w:val="Corpsdetexte"/>
        <w:ind w:right="-6" w:hanging="8"/>
        <w:rPr>
          <w:rFonts w:ascii="Tahoma" w:eastAsia="American Typewriter" w:hAnsi="Tahoma" w:cs="Tahoma"/>
          <w:sz w:val="20"/>
          <w:szCs w:val="20"/>
        </w:rPr>
      </w:pPr>
      <w:r w:rsidRPr="00B004EE">
        <w:rPr>
          <w:rFonts w:ascii="Tahoma" w:eastAsia="American Typewriter" w:hAnsi="Tahoma" w:cs="Tahoma"/>
          <w:sz w:val="20"/>
          <w:szCs w:val="20"/>
        </w:rPr>
        <w:lastRenderedPageBreak/>
        <w:t>L'ensemble de l'ouvrage doit être maintenu en bon état d'entretien et en état constant de propreté. Il doit être procédé à son nettoyage et à sa désinfection sur injonction des autorités administratives compétentes, à la diligence de l'autorité sanitaire.</w:t>
      </w:r>
    </w:p>
    <w:p w14:paraId="2EA9D6F3" w14:textId="77777777" w:rsidR="0049647F" w:rsidRPr="00B004EE" w:rsidRDefault="0049647F" w:rsidP="00B004EE">
      <w:pPr>
        <w:ind w:right="-6"/>
        <w:rPr>
          <w:rFonts w:ascii="Tahoma" w:eastAsia="Arial Narrow" w:hAnsi="Tahoma" w:cs="Tahoma"/>
          <w:sz w:val="20"/>
          <w:szCs w:val="20"/>
        </w:rPr>
      </w:pPr>
    </w:p>
    <w:p w14:paraId="44A7E1D3" w14:textId="77777777" w:rsidR="0049647F" w:rsidRPr="00B004EE" w:rsidRDefault="0049647F" w:rsidP="00420DDA">
      <w:pPr>
        <w:pStyle w:val="Paragraphedeliste"/>
        <w:widowControl w:val="0"/>
        <w:numPr>
          <w:ilvl w:val="0"/>
          <w:numId w:val="47"/>
        </w:numPr>
        <w:ind w:right="-6"/>
        <w:rPr>
          <w:rFonts w:ascii="Tahoma" w:eastAsia="Arial Narrow" w:hAnsi="Tahoma" w:cs="Tahoma"/>
          <w:b/>
          <w:bCs/>
          <w:w w:val="125"/>
          <w:sz w:val="20"/>
          <w:szCs w:val="20"/>
        </w:rPr>
      </w:pPr>
      <w:r w:rsidRPr="00B004EE">
        <w:rPr>
          <w:rFonts w:ascii="Tahoma" w:eastAsia="American Typewriter" w:hAnsi="Tahoma" w:cs="Tahoma"/>
          <w:b/>
          <w:bCs/>
          <w:sz w:val="20"/>
          <w:szCs w:val="20"/>
        </w:rPr>
        <w:t>Désinfection</w:t>
      </w:r>
    </w:p>
    <w:p w14:paraId="778F224F" w14:textId="77777777" w:rsidR="0049647F" w:rsidRPr="00B004EE" w:rsidRDefault="0049647F" w:rsidP="00B004EE">
      <w:pPr>
        <w:ind w:right="-6"/>
        <w:rPr>
          <w:rFonts w:ascii="Tahoma" w:eastAsia="Arial Narrow" w:hAnsi="Tahoma" w:cs="Tahoma"/>
          <w:sz w:val="20"/>
          <w:szCs w:val="20"/>
        </w:rPr>
      </w:pPr>
    </w:p>
    <w:p w14:paraId="4924158D" w14:textId="77777777" w:rsidR="0049647F" w:rsidRPr="00B004EE" w:rsidRDefault="0049647F" w:rsidP="00B004EE">
      <w:pPr>
        <w:pStyle w:val="Corpsdetexte"/>
        <w:ind w:right="-6" w:hanging="8"/>
        <w:rPr>
          <w:rFonts w:ascii="Tahoma" w:eastAsia="American Typewriter" w:hAnsi="Tahoma" w:cs="Tahoma"/>
          <w:sz w:val="20"/>
          <w:szCs w:val="20"/>
        </w:rPr>
      </w:pPr>
      <w:r w:rsidRPr="00B004EE">
        <w:rPr>
          <w:rFonts w:ascii="Tahoma" w:eastAsia="American Typewriter" w:hAnsi="Tahoma" w:cs="Tahoma"/>
          <w:sz w:val="20"/>
          <w:szCs w:val="20"/>
        </w:rPr>
        <w:t>La désinfection du réseau d'adduction collective et des réservoirs est obligatoire avant leur mise en service et s'effectuera dans les conditions fixées par les instructions techniques du ministère chargé de la Santé.</w:t>
      </w:r>
    </w:p>
    <w:p w14:paraId="085BAEF3" w14:textId="77777777" w:rsidR="0049647F" w:rsidRPr="00B004EE" w:rsidRDefault="0049647F" w:rsidP="00B004EE">
      <w:pPr>
        <w:pStyle w:val="Corpsdetexte"/>
        <w:ind w:right="-6" w:hanging="8"/>
        <w:rPr>
          <w:rFonts w:ascii="Tahoma" w:eastAsia="American Typewriter" w:hAnsi="Tahoma" w:cs="Tahoma"/>
          <w:sz w:val="20"/>
          <w:szCs w:val="20"/>
        </w:rPr>
      </w:pPr>
    </w:p>
    <w:p w14:paraId="405342E5" w14:textId="77777777" w:rsidR="0049647F" w:rsidRPr="00B004EE" w:rsidRDefault="0049647F" w:rsidP="00B004EE">
      <w:pPr>
        <w:pStyle w:val="Corpsdetexte"/>
        <w:ind w:right="-6" w:hanging="8"/>
        <w:rPr>
          <w:rFonts w:ascii="Tahoma" w:eastAsia="American Typewriter" w:hAnsi="Tahoma" w:cs="Tahoma"/>
          <w:sz w:val="20"/>
          <w:szCs w:val="20"/>
        </w:rPr>
      </w:pPr>
      <w:r w:rsidRPr="00B004EE">
        <w:rPr>
          <w:rFonts w:ascii="Tahoma" w:eastAsia="American Typewriter" w:hAnsi="Tahoma" w:cs="Tahoma"/>
          <w:sz w:val="20"/>
          <w:szCs w:val="20"/>
        </w:rPr>
        <w:t>En outre, des mesures de désinfection complémentaires peuvent être prescrites en cours d'exploitation là où les contaminations seraient observées ou à craindre.</w:t>
      </w:r>
    </w:p>
    <w:p w14:paraId="553A21E2" w14:textId="77777777" w:rsidR="0049647F" w:rsidRPr="00B004EE" w:rsidRDefault="0049647F" w:rsidP="00B004EE">
      <w:pPr>
        <w:pStyle w:val="Corpsdetexte"/>
        <w:ind w:right="-6" w:hanging="8"/>
        <w:rPr>
          <w:rFonts w:ascii="Tahoma" w:eastAsia="American Typewriter" w:hAnsi="Tahoma" w:cs="Tahoma"/>
          <w:sz w:val="20"/>
          <w:szCs w:val="20"/>
        </w:rPr>
      </w:pPr>
    </w:p>
    <w:p w14:paraId="3232BB03" w14:textId="77777777" w:rsidR="0049647F" w:rsidRPr="00B004EE" w:rsidRDefault="0049647F" w:rsidP="00420DDA">
      <w:pPr>
        <w:pStyle w:val="Paragraphedeliste"/>
        <w:widowControl w:val="0"/>
        <w:numPr>
          <w:ilvl w:val="0"/>
          <w:numId w:val="47"/>
        </w:numPr>
        <w:ind w:right="-6"/>
        <w:rPr>
          <w:rFonts w:ascii="Tahoma" w:eastAsia="Arial Narrow" w:hAnsi="Tahoma" w:cs="Tahoma"/>
          <w:b/>
          <w:bCs/>
          <w:w w:val="125"/>
          <w:sz w:val="20"/>
          <w:szCs w:val="20"/>
        </w:rPr>
      </w:pPr>
      <w:r w:rsidRPr="00B004EE">
        <w:rPr>
          <w:rFonts w:ascii="Tahoma" w:eastAsia="American Typewriter" w:hAnsi="Tahoma" w:cs="Tahoma"/>
          <w:b/>
          <w:bCs/>
          <w:sz w:val="20"/>
          <w:szCs w:val="20"/>
        </w:rPr>
        <w:t>Desserte des immeubles</w:t>
      </w:r>
      <w:r w:rsidRPr="00B004EE">
        <w:rPr>
          <w:rFonts w:ascii="Tahoma" w:eastAsia="Arial Narrow" w:hAnsi="Tahoma" w:cs="Tahoma"/>
          <w:b/>
          <w:bCs/>
          <w:w w:val="125"/>
          <w:sz w:val="20"/>
          <w:szCs w:val="20"/>
        </w:rPr>
        <w:t>.</w:t>
      </w:r>
    </w:p>
    <w:p w14:paraId="5F3D28BF" w14:textId="77777777" w:rsidR="0049647F" w:rsidRPr="00B004EE" w:rsidRDefault="0049647F" w:rsidP="00B004EE">
      <w:pPr>
        <w:ind w:right="-6"/>
        <w:rPr>
          <w:rFonts w:ascii="Tahoma" w:eastAsia="Arial Narrow" w:hAnsi="Tahoma" w:cs="Tahoma"/>
          <w:sz w:val="20"/>
          <w:szCs w:val="20"/>
        </w:rPr>
      </w:pPr>
    </w:p>
    <w:p w14:paraId="48510C3D" w14:textId="77777777" w:rsidR="0049647F" w:rsidRPr="00B004EE" w:rsidRDefault="0049647F" w:rsidP="00B004EE">
      <w:pPr>
        <w:pStyle w:val="Corpsdetexte"/>
        <w:ind w:right="-6" w:hanging="8"/>
        <w:rPr>
          <w:rFonts w:ascii="Tahoma" w:eastAsia="American Typewriter" w:hAnsi="Tahoma" w:cs="Tahoma"/>
          <w:sz w:val="20"/>
          <w:szCs w:val="20"/>
        </w:rPr>
      </w:pPr>
      <w:r w:rsidRPr="00B004EE">
        <w:rPr>
          <w:rFonts w:ascii="Tahoma" w:eastAsia="American Typewriter" w:hAnsi="Tahoma" w:cs="Tahoma"/>
          <w:sz w:val="20"/>
          <w:szCs w:val="20"/>
        </w:rPr>
        <w:t>Dans toutes les agglomérations ou parties d'agglomération possédant un réseau de distribution publique d'eau potable, toutes les voies publiques ou privées doivent, dans tous les cas où cette mesure est techniquement réalisable, comporter au moins une conduite de distribution.</w:t>
      </w:r>
    </w:p>
    <w:p w14:paraId="684F6CBB" w14:textId="77777777" w:rsidR="0049647F" w:rsidRPr="00B004EE" w:rsidRDefault="0049647F" w:rsidP="00B004EE">
      <w:pPr>
        <w:pStyle w:val="Corpsdetexte"/>
        <w:ind w:right="-6" w:hanging="8"/>
        <w:rPr>
          <w:rFonts w:ascii="Tahoma" w:eastAsia="American Typewriter" w:hAnsi="Tahoma" w:cs="Tahoma"/>
          <w:sz w:val="20"/>
          <w:szCs w:val="20"/>
        </w:rPr>
      </w:pPr>
    </w:p>
    <w:p w14:paraId="4A0B2357" w14:textId="77777777" w:rsidR="0049647F" w:rsidRPr="00B004EE" w:rsidRDefault="0049647F" w:rsidP="00B004EE">
      <w:pPr>
        <w:pStyle w:val="Corpsdetexte"/>
        <w:ind w:right="-6" w:hanging="8"/>
        <w:rPr>
          <w:rFonts w:ascii="Tahoma" w:eastAsia="American Typewriter" w:hAnsi="Tahoma" w:cs="Tahoma"/>
          <w:sz w:val="20"/>
          <w:szCs w:val="20"/>
        </w:rPr>
      </w:pPr>
      <w:r w:rsidRPr="00B004EE">
        <w:rPr>
          <w:rFonts w:ascii="Tahoma" w:eastAsia="American Typewriter" w:hAnsi="Tahoma" w:cs="Tahoma"/>
          <w:sz w:val="20"/>
          <w:szCs w:val="20"/>
        </w:rPr>
        <w:t>Tout immeuble desservi par l'une ou l'autre de ces voies est relié à cette conduite par un branchement. Ce branchement est suivi d'un réseau de canalisations intérieures qui met cette eau à la disposition de tous les habitants de I' immeuble, à tous les étages et à toute heure du jour et de la nuit.</w:t>
      </w:r>
    </w:p>
    <w:p w14:paraId="28579F8B" w14:textId="77777777" w:rsidR="0049647F" w:rsidRPr="00B004EE" w:rsidRDefault="0049647F" w:rsidP="00B004EE">
      <w:pPr>
        <w:ind w:right="-6"/>
        <w:rPr>
          <w:rFonts w:ascii="Tahoma" w:eastAsia="Arial Narrow" w:hAnsi="Tahoma" w:cs="Tahoma"/>
          <w:sz w:val="20"/>
          <w:szCs w:val="20"/>
        </w:rPr>
      </w:pPr>
    </w:p>
    <w:p w14:paraId="4490504B" w14:textId="77777777" w:rsidR="0049647F" w:rsidRPr="00B004EE" w:rsidRDefault="0049647F" w:rsidP="00420DDA">
      <w:pPr>
        <w:pStyle w:val="Paragraphedeliste"/>
        <w:widowControl w:val="0"/>
        <w:numPr>
          <w:ilvl w:val="0"/>
          <w:numId w:val="47"/>
        </w:numPr>
        <w:ind w:right="-6"/>
        <w:rPr>
          <w:rFonts w:ascii="Tahoma" w:eastAsia="Arial Narrow" w:hAnsi="Tahoma" w:cs="Tahoma"/>
          <w:b/>
          <w:bCs/>
          <w:w w:val="125"/>
          <w:sz w:val="20"/>
          <w:szCs w:val="20"/>
        </w:rPr>
      </w:pPr>
      <w:r w:rsidRPr="00B004EE">
        <w:rPr>
          <w:rFonts w:ascii="Tahoma" w:eastAsia="American Typewriter" w:hAnsi="Tahoma" w:cs="Tahoma"/>
          <w:b/>
          <w:bCs/>
          <w:sz w:val="20"/>
          <w:szCs w:val="20"/>
        </w:rPr>
        <w:t>Précautions concernant d'autres réseaux de distribution d'eau.</w:t>
      </w:r>
    </w:p>
    <w:p w14:paraId="6F651AF2" w14:textId="77777777" w:rsidR="0049647F" w:rsidRPr="00B004EE" w:rsidRDefault="0049647F" w:rsidP="00B004EE">
      <w:pPr>
        <w:ind w:right="-6"/>
        <w:rPr>
          <w:rFonts w:ascii="Tahoma" w:eastAsia="Arial Narrow" w:hAnsi="Tahoma" w:cs="Tahoma"/>
          <w:sz w:val="20"/>
          <w:szCs w:val="20"/>
        </w:rPr>
      </w:pPr>
    </w:p>
    <w:p w14:paraId="14C79D9E" w14:textId="77777777" w:rsidR="0049647F" w:rsidRPr="00B004EE" w:rsidRDefault="0049647F" w:rsidP="00B004EE">
      <w:pPr>
        <w:pStyle w:val="Corpsdetexte"/>
        <w:ind w:right="-6" w:hanging="8"/>
        <w:rPr>
          <w:rFonts w:ascii="Tahoma" w:eastAsia="American Typewriter" w:hAnsi="Tahoma" w:cs="Tahoma"/>
          <w:sz w:val="20"/>
          <w:szCs w:val="20"/>
        </w:rPr>
      </w:pPr>
      <w:r w:rsidRPr="00B004EE">
        <w:rPr>
          <w:rFonts w:ascii="Tahoma" w:eastAsia="American Typewriter" w:hAnsi="Tahoma" w:cs="Tahoma"/>
          <w:sz w:val="20"/>
          <w:szCs w:val="20"/>
        </w:rPr>
        <w:t>En dehors de l'eau potable, provenant de la distribution publique, toutes les eaux d'autres origines sont considérées à priori comme non potables et ne peuvent être utilisées qu'à certains usages industriels, commerciaux ou agricoles non en rapport avec l'alimentation et la toilette, dans les conditions de distribution et d'emploi ci-après.</w:t>
      </w:r>
    </w:p>
    <w:p w14:paraId="48F678DC" w14:textId="77777777" w:rsidR="0049647F" w:rsidRPr="00B004EE" w:rsidRDefault="0049647F" w:rsidP="00B004EE">
      <w:pPr>
        <w:pStyle w:val="Corpsdetexte"/>
        <w:ind w:right="-6" w:hanging="8"/>
        <w:rPr>
          <w:rFonts w:ascii="Tahoma" w:eastAsia="American Typewriter" w:hAnsi="Tahoma" w:cs="Tahoma"/>
          <w:sz w:val="20"/>
          <w:szCs w:val="20"/>
        </w:rPr>
      </w:pPr>
    </w:p>
    <w:p w14:paraId="32876E2F"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Dans le cas où un immeuble est desservi, à l'exclusion des parties réservées à l’habitation, par une canalisation d'eau non potable, celle-ci doit être entièrement distinguée de la première et recouverte d'une peinture ou de tout autre signe distinctif conforme aux normes fixées par arrêté. Tout robinet de puisage d'eau non potable est surmonté d'une plaque apparente et scellée à demeure, portant d'une manière visible "Eau dangereuse A boire".</w:t>
      </w:r>
    </w:p>
    <w:p w14:paraId="109AC7E2" w14:textId="77777777" w:rsidR="0049647F" w:rsidRPr="00B004EE" w:rsidRDefault="0049647F" w:rsidP="00B004EE">
      <w:pPr>
        <w:ind w:right="-6" w:firstLine="7"/>
        <w:jc w:val="both"/>
        <w:rPr>
          <w:rFonts w:ascii="Tahoma" w:hAnsi="Tahoma" w:cs="Tahoma"/>
          <w:w w:val="125"/>
          <w:sz w:val="20"/>
          <w:szCs w:val="20"/>
        </w:rPr>
      </w:pPr>
    </w:p>
    <w:p w14:paraId="1CF2F588" w14:textId="77777777" w:rsidR="0049647F" w:rsidRPr="00B004EE" w:rsidRDefault="0049647F" w:rsidP="00420DDA">
      <w:pPr>
        <w:pStyle w:val="Paragraphedeliste"/>
        <w:widowControl w:val="0"/>
        <w:numPr>
          <w:ilvl w:val="0"/>
          <w:numId w:val="47"/>
        </w:numPr>
        <w:ind w:right="-6"/>
        <w:rPr>
          <w:rFonts w:ascii="Tahoma" w:eastAsia="American Typewriter" w:hAnsi="Tahoma" w:cs="Tahoma"/>
          <w:b/>
          <w:bCs/>
          <w:sz w:val="20"/>
          <w:szCs w:val="20"/>
        </w:rPr>
      </w:pPr>
      <w:r w:rsidRPr="00B004EE">
        <w:rPr>
          <w:rFonts w:ascii="Tahoma" w:eastAsia="American Typewriter" w:hAnsi="Tahoma" w:cs="Tahoma"/>
          <w:b/>
          <w:bCs/>
          <w:sz w:val="20"/>
          <w:szCs w:val="20"/>
        </w:rPr>
        <w:t>Entretien des installations en vue d'éviter le gaspillage de l'eau.</w:t>
      </w:r>
    </w:p>
    <w:p w14:paraId="2FC22060" w14:textId="77777777" w:rsidR="0049647F" w:rsidRPr="00B004EE" w:rsidRDefault="0049647F" w:rsidP="00B004EE">
      <w:pPr>
        <w:ind w:right="-6"/>
        <w:rPr>
          <w:rFonts w:ascii="Tahoma" w:eastAsia="Arial Narrow" w:hAnsi="Tahoma" w:cs="Tahoma"/>
          <w:sz w:val="20"/>
          <w:szCs w:val="20"/>
        </w:rPr>
      </w:pPr>
    </w:p>
    <w:p w14:paraId="4560BEAB"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Les propriétaires, locataires et occupants doivent maintenir les installations intérieures en bon état d'entretien et de fonctionnement et supprimer toute fuite dès qu'elle est déclarée.</w:t>
      </w:r>
    </w:p>
    <w:p w14:paraId="2B7F7E03" w14:textId="77777777" w:rsidR="0049647F" w:rsidRPr="00B004EE" w:rsidRDefault="0049647F" w:rsidP="00B004EE">
      <w:pPr>
        <w:ind w:right="-6"/>
        <w:rPr>
          <w:rFonts w:ascii="Tahoma" w:eastAsia="Arial Narrow" w:hAnsi="Tahoma" w:cs="Tahoma"/>
          <w:sz w:val="20"/>
          <w:szCs w:val="20"/>
        </w:rPr>
      </w:pPr>
    </w:p>
    <w:p w14:paraId="55121567"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 21 : En l'absence d'une distribution publique d'eau potable, l'usage de l'eau des sources et des puits publics ou particuliers n'est autorisé pour l'alimentation humaine que si elle est potable et si toutes les précautions sont prises pour la mettre à l'abri de toutes contaminations.</w:t>
      </w:r>
    </w:p>
    <w:p w14:paraId="75A4C621" w14:textId="77777777" w:rsidR="0049647F" w:rsidRPr="00B004EE" w:rsidRDefault="0049647F" w:rsidP="00420DDA">
      <w:pPr>
        <w:pStyle w:val="Corpsdetexte"/>
        <w:numPr>
          <w:ilvl w:val="0"/>
          <w:numId w:val="73"/>
        </w:numPr>
        <w:ind w:right="-6"/>
        <w:rPr>
          <w:rFonts w:ascii="Tahoma" w:eastAsia="American Typewriter" w:hAnsi="Tahoma" w:cs="Tahoma"/>
          <w:sz w:val="20"/>
          <w:szCs w:val="20"/>
        </w:rPr>
      </w:pPr>
      <w:proofErr w:type="gramStart"/>
      <w:r w:rsidRPr="00B004EE">
        <w:rPr>
          <w:rFonts w:ascii="Tahoma" w:eastAsia="American Typewriter" w:hAnsi="Tahoma" w:cs="Tahoma"/>
          <w:sz w:val="20"/>
          <w:szCs w:val="20"/>
        </w:rPr>
        <w:t>Puits:</w:t>
      </w:r>
      <w:proofErr w:type="gramEnd"/>
      <w:r w:rsidRPr="00B004EE">
        <w:rPr>
          <w:rFonts w:ascii="Tahoma" w:eastAsia="American Typewriter" w:hAnsi="Tahoma" w:cs="Tahoma"/>
          <w:sz w:val="20"/>
          <w:szCs w:val="20"/>
        </w:rPr>
        <w:t xml:space="preserve"> L'orifice des puits est protégé par une margelle surélevée destinée à limiter la pénétration des animaux et des corps étrangers . Leur paroi doit être étanche dans la partie non captante et la margelle doit s'élever à 50 cm au minimum au-dessus du sol.</w:t>
      </w:r>
    </w:p>
    <w:p w14:paraId="4D51E0F0" w14:textId="77777777" w:rsidR="0049647F" w:rsidRPr="00B004EE" w:rsidRDefault="0049647F" w:rsidP="00420DDA">
      <w:pPr>
        <w:pStyle w:val="Corpsdetexte"/>
        <w:numPr>
          <w:ilvl w:val="0"/>
          <w:numId w:val="73"/>
        </w:numPr>
        <w:ind w:right="-6"/>
        <w:rPr>
          <w:rFonts w:ascii="Tahoma" w:eastAsia="American Typewriter" w:hAnsi="Tahoma" w:cs="Tahoma"/>
          <w:sz w:val="20"/>
          <w:szCs w:val="20"/>
        </w:rPr>
      </w:pPr>
      <w:proofErr w:type="gramStart"/>
      <w:r w:rsidRPr="00B004EE">
        <w:rPr>
          <w:rFonts w:ascii="Tahoma" w:eastAsia="American Typewriter" w:hAnsi="Tahoma" w:cs="Tahoma"/>
          <w:sz w:val="20"/>
          <w:szCs w:val="20"/>
        </w:rPr>
        <w:t>Sources:</w:t>
      </w:r>
      <w:proofErr w:type="gramEnd"/>
      <w:r w:rsidRPr="00B004EE">
        <w:rPr>
          <w:rFonts w:ascii="Tahoma" w:eastAsia="American Typewriter" w:hAnsi="Tahoma" w:cs="Tahoma"/>
          <w:sz w:val="20"/>
          <w:szCs w:val="20"/>
        </w:rPr>
        <w:t xml:space="preserve"> L'ensemble de ces dispositions s'applique aux sources et à leurs ouvrages de captage, en ce qui concerne leur entretien et leur protection au regard des contaminations .</w:t>
      </w:r>
    </w:p>
    <w:p w14:paraId="592F4841" w14:textId="77777777" w:rsidR="0049647F" w:rsidRPr="00B004EE" w:rsidRDefault="0049647F" w:rsidP="00B004EE">
      <w:pPr>
        <w:pStyle w:val="Corpsdetexte"/>
        <w:ind w:right="-6"/>
        <w:rPr>
          <w:rFonts w:ascii="Tahoma" w:eastAsia="American Typewriter" w:hAnsi="Tahoma" w:cs="Tahoma"/>
          <w:sz w:val="20"/>
          <w:szCs w:val="20"/>
        </w:rPr>
      </w:pPr>
    </w:p>
    <w:p w14:paraId="05F3C321" w14:textId="77777777" w:rsidR="0049647F" w:rsidRPr="00B004EE" w:rsidRDefault="0049647F" w:rsidP="00B004EE">
      <w:pPr>
        <w:pStyle w:val="Corpsdetexte"/>
        <w:ind w:right="-6"/>
        <w:rPr>
          <w:rFonts w:ascii="Tahoma" w:eastAsia="American Typewriter" w:hAnsi="Tahoma" w:cs="Tahoma"/>
          <w:sz w:val="20"/>
          <w:szCs w:val="20"/>
        </w:rPr>
      </w:pPr>
      <w:r w:rsidRPr="00B004EE">
        <w:rPr>
          <w:rFonts w:ascii="Tahoma" w:eastAsia="American Typewriter" w:hAnsi="Tahoma" w:cs="Tahoma"/>
          <w:sz w:val="20"/>
          <w:szCs w:val="20"/>
        </w:rPr>
        <w:t>Les autorités administratives et sanitaires veilleront à l'application des mesures prévues au présent article dans la limite des possibilités techniques et des disponibilités économiques.</w:t>
      </w:r>
    </w:p>
    <w:p w14:paraId="2D94C799" w14:textId="77777777" w:rsidR="0049647F" w:rsidRPr="00B004EE" w:rsidRDefault="0049647F" w:rsidP="00B004EE">
      <w:pPr>
        <w:pStyle w:val="Corpsdetexte"/>
        <w:ind w:right="-6"/>
        <w:rPr>
          <w:rFonts w:ascii="Tahoma" w:eastAsia="American Typewriter" w:hAnsi="Tahoma" w:cs="Tahoma"/>
          <w:sz w:val="20"/>
          <w:szCs w:val="20"/>
        </w:rPr>
      </w:pPr>
      <w:r w:rsidRPr="00B004EE">
        <w:rPr>
          <w:rFonts w:ascii="Tahoma" w:eastAsia="American Typewriter" w:hAnsi="Tahoma" w:cs="Tahoma"/>
          <w:sz w:val="20"/>
          <w:szCs w:val="20"/>
        </w:rPr>
        <w:t>Un arrêté du ministre chargé de la Santé publique déterminera les conditions d'application du présent article.</w:t>
      </w:r>
    </w:p>
    <w:p w14:paraId="3FB9F2F4" w14:textId="77777777" w:rsidR="0049647F" w:rsidRPr="00B004EE" w:rsidRDefault="0049647F" w:rsidP="00B004EE">
      <w:pPr>
        <w:ind w:right="-6"/>
        <w:rPr>
          <w:rFonts w:ascii="Tahoma" w:eastAsia="Arial Narrow" w:hAnsi="Tahoma" w:cs="Tahoma"/>
          <w:sz w:val="20"/>
          <w:szCs w:val="20"/>
        </w:rPr>
      </w:pPr>
    </w:p>
    <w:p w14:paraId="5BAA4139" w14:textId="77777777" w:rsidR="0049647F" w:rsidRPr="00B004EE" w:rsidRDefault="0049647F" w:rsidP="00B004EE">
      <w:pPr>
        <w:pStyle w:val="Corpsdetexte"/>
        <w:ind w:right="-6"/>
        <w:rPr>
          <w:rFonts w:ascii="Tahoma" w:eastAsia="American Typewriter" w:hAnsi="Tahoma" w:cs="Tahoma"/>
          <w:sz w:val="20"/>
          <w:szCs w:val="20"/>
        </w:rPr>
      </w:pPr>
      <w:r w:rsidRPr="00B004EE">
        <w:rPr>
          <w:rFonts w:ascii="Tahoma" w:hAnsi="Tahoma" w:cs="Tahoma"/>
          <w:sz w:val="20"/>
          <w:szCs w:val="20"/>
        </w:rPr>
        <w:lastRenderedPageBreak/>
        <w:t xml:space="preserve">Article </w:t>
      </w:r>
      <w:r w:rsidRPr="00B004EE">
        <w:rPr>
          <w:rFonts w:ascii="Tahoma" w:eastAsia="American Typewriter" w:hAnsi="Tahoma" w:cs="Tahoma"/>
          <w:sz w:val="20"/>
          <w:szCs w:val="20"/>
        </w:rPr>
        <w:t>22</w:t>
      </w:r>
      <w:r w:rsidRPr="00B004EE">
        <w:rPr>
          <w:rFonts w:ascii="Tahoma" w:eastAsia="Arial Narrow" w:hAnsi="Tahoma" w:cs="Tahoma"/>
          <w:b/>
          <w:bCs/>
          <w:w w:val="130"/>
          <w:sz w:val="20"/>
          <w:szCs w:val="20"/>
        </w:rPr>
        <w:t xml:space="preserve"> :</w:t>
      </w:r>
      <w:r w:rsidRPr="00B004EE">
        <w:rPr>
          <w:rFonts w:ascii="Tahoma" w:hAnsi="Tahoma" w:cs="Tahoma"/>
          <w:spacing w:val="3"/>
          <w:w w:val="120"/>
          <w:sz w:val="20"/>
          <w:szCs w:val="20"/>
        </w:rPr>
        <w:t xml:space="preserve"> </w:t>
      </w:r>
      <w:r w:rsidRPr="00B004EE">
        <w:rPr>
          <w:rFonts w:ascii="Tahoma" w:eastAsia="American Typewriter" w:hAnsi="Tahoma" w:cs="Tahoma"/>
          <w:sz w:val="20"/>
          <w:szCs w:val="20"/>
        </w:rPr>
        <w:t>Les citernes destinées à recueillir l'eau de pluie ou au transport de l'eau destinée à la consommation doivent être étanches et protégées des pollutions externes. Elles comportent un dispositif d'aération muni d'un treillage métallique inoxydable et de la taille d'un millimètre au maximum, pour empêcher les insectes et petits animaux d'y pénétrer. Les parois intérieures doivent être en matériaux inertes vis-à-vis de l'eau de pluie.</w:t>
      </w:r>
    </w:p>
    <w:p w14:paraId="2D950598" w14:textId="77777777" w:rsidR="0049647F" w:rsidRPr="00B004EE" w:rsidRDefault="0049647F" w:rsidP="00B004EE">
      <w:pPr>
        <w:pStyle w:val="Corpsdetexte"/>
        <w:ind w:right="-6"/>
        <w:rPr>
          <w:rFonts w:ascii="Tahoma" w:eastAsia="American Typewriter" w:hAnsi="Tahoma" w:cs="Tahoma"/>
          <w:sz w:val="20"/>
          <w:szCs w:val="20"/>
        </w:rPr>
      </w:pPr>
    </w:p>
    <w:p w14:paraId="4904628C" w14:textId="77777777" w:rsidR="0049647F" w:rsidRPr="00B004EE" w:rsidRDefault="0049647F" w:rsidP="00B004EE">
      <w:pPr>
        <w:pStyle w:val="Corpsdetexte"/>
        <w:ind w:right="-6"/>
        <w:rPr>
          <w:rFonts w:ascii="Tahoma" w:eastAsia="American Typewriter" w:hAnsi="Tahoma" w:cs="Tahoma"/>
          <w:sz w:val="20"/>
          <w:szCs w:val="20"/>
        </w:rPr>
      </w:pPr>
      <w:r w:rsidRPr="00B004EE">
        <w:rPr>
          <w:rFonts w:ascii="Tahoma" w:eastAsia="American Typewriter" w:hAnsi="Tahoma" w:cs="Tahoma"/>
          <w:sz w:val="20"/>
          <w:szCs w:val="20"/>
        </w:rPr>
        <w:t>Elles seront munies de dispositifs spéciaux destinés à écarter les premières eaux de lavage des toitures. Un filtre à gros éléments doit arrêter les corps étrangers, tels que terre, gravier, feuilles, détritus et déchets de toutes sortes.</w:t>
      </w:r>
    </w:p>
    <w:p w14:paraId="484575E4" w14:textId="77777777" w:rsidR="0049647F" w:rsidRPr="00B004EE" w:rsidRDefault="0049647F" w:rsidP="00B004EE">
      <w:pPr>
        <w:pStyle w:val="Corpsdetexte"/>
        <w:ind w:right="-6"/>
        <w:rPr>
          <w:rFonts w:ascii="Tahoma" w:eastAsia="American Typewriter" w:hAnsi="Tahoma" w:cs="Tahoma"/>
          <w:sz w:val="20"/>
          <w:szCs w:val="20"/>
        </w:rPr>
      </w:pPr>
    </w:p>
    <w:p w14:paraId="2BC88E49" w14:textId="77777777" w:rsidR="0049647F" w:rsidRPr="00B004EE" w:rsidRDefault="0049647F" w:rsidP="00B004EE">
      <w:pPr>
        <w:pStyle w:val="Corpsdetexte"/>
        <w:ind w:right="-6"/>
        <w:rPr>
          <w:rFonts w:ascii="Tahoma" w:eastAsia="American Typewriter" w:hAnsi="Tahoma" w:cs="Tahoma"/>
          <w:sz w:val="20"/>
          <w:szCs w:val="20"/>
        </w:rPr>
      </w:pPr>
      <w:r w:rsidRPr="00B004EE">
        <w:rPr>
          <w:rFonts w:ascii="Tahoma" w:eastAsia="American Typewriter" w:hAnsi="Tahoma" w:cs="Tahoma"/>
          <w:sz w:val="20"/>
          <w:szCs w:val="20"/>
        </w:rPr>
        <w:t>Elles doivent être soigneusement nettoyées et désinfectées une fois par an. Sur la couverture des citernes enterrées, un revêtement de gazon est seul toléré, à l'exclusion de toute autre culture. L'usage des pesticides, des fumiers organiques ou autres y est interdit. Les conditions de protection des citernes sont conformes à celles prescrites pour les puits et les sources.</w:t>
      </w:r>
    </w:p>
    <w:p w14:paraId="480753EC" w14:textId="77777777" w:rsidR="0049647F" w:rsidRPr="00B004EE" w:rsidRDefault="0049647F" w:rsidP="00B004EE">
      <w:pPr>
        <w:pStyle w:val="Corpsdetexte"/>
        <w:ind w:right="-6"/>
        <w:rPr>
          <w:rFonts w:ascii="Tahoma" w:eastAsia="American Typewriter" w:hAnsi="Tahoma" w:cs="Tahoma"/>
          <w:sz w:val="20"/>
          <w:szCs w:val="20"/>
        </w:rPr>
      </w:pPr>
    </w:p>
    <w:p w14:paraId="5C2B508F" w14:textId="77777777" w:rsidR="0049647F" w:rsidRPr="00B004EE" w:rsidRDefault="0049647F" w:rsidP="00B004EE">
      <w:pPr>
        <w:pStyle w:val="Corpsdetexte"/>
        <w:ind w:right="-6"/>
        <w:rPr>
          <w:rFonts w:ascii="Tahoma" w:eastAsia="American Typewriter" w:hAnsi="Tahoma" w:cs="Tahoma"/>
          <w:sz w:val="20"/>
          <w:szCs w:val="20"/>
        </w:rPr>
      </w:pPr>
      <w:r w:rsidRPr="00B004EE">
        <w:rPr>
          <w:rFonts w:ascii="Tahoma" w:eastAsia="American Typewriter" w:hAnsi="Tahoma" w:cs="Tahoma"/>
          <w:sz w:val="20"/>
          <w:szCs w:val="20"/>
        </w:rPr>
        <w:t>L'utilisation des canalisations en plomb pour le transport et la distribution de l'eau de citernes est interdite.</w:t>
      </w:r>
    </w:p>
    <w:p w14:paraId="04BE7743" w14:textId="77777777" w:rsidR="0049647F" w:rsidRPr="00B004EE" w:rsidRDefault="0049647F" w:rsidP="00B004EE">
      <w:pPr>
        <w:pStyle w:val="Corpsdetexte"/>
        <w:ind w:right="-6"/>
        <w:rPr>
          <w:rFonts w:ascii="Tahoma" w:eastAsia="American Typewriter" w:hAnsi="Tahoma" w:cs="Tahoma"/>
          <w:sz w:val="20"/>
          <w:szCs w:val="20"/>
        </w:rPr>
      </w:pPr>
    </w:p>
    <w:p w14:paraId="19F1FBBE" w14:textId="77777777" w:rsidR="0049647F" w:rsidRPr="00B004EE" w:rsidRDefault="0049647F" w:rsidP="00B004EE">
      <w:pPr>
        <w:pStyle w:val="Corpsdetexte"/>
        <w:ind w:right="-6"/>
        <w:rPr>
          <w:rFonts w:ascii="Tahoma" w:eastAsia="American Typewriter" w:hAnsi="Tahoma" w:cs="Tahoma"/>
          <w:sz w:val="20"/>
          <w:szCs w:val="20"/>
        </w:rPr>
      </w:pPr>
      <w:r w:rsidRPr="00B004EE">
        <w:rPr>
          <w:rFonts w:ascii="Tahoma" w:eastAsia="American Typewriter" w:hAnsi="Tahoma" w:cs="Tahoma"/>
          <w:sz w:val="20"/>
          <w:szCs w:val="20"/>
        </w:rPr>
        <w:t>L'eau des citernes doit être à priori considérée comme suspecte. Elle ne peut être utilisée pour l'alimentation que lorsque sa potabilité a été établie.</w:t>
      </w:r>
    </w:p>
    <w:p w14:paraId="7353568D" w14:textId="77777777" w:rsidR="0049647F" w:rsidRPr="00B004EE" w:rsidRDefault="0049647F" w:rsidP="00B004EE">
      <w:pPr>
        <w:pStyle w:val="Corpsdetexte"/>
        <w:ind w:right="-6"/>
        <w:rPr>
          <w:rFonts w:ascii="Tahoma" w:eastAsia="American Typewriter" w:hAnsi="Tahoma" w:cs="Tahoma"/>
          <w:sz w:val="20"/>
          <w:szCs w:val="20"/>
        </w:rPr>
      </w:pPr>
    </w:p>
    <w:p w14:paraId="5F2C57B5" w14:textId="77777777" w:rsidR="0049647F" w:rsidRPr="00B004EE" w:rsidRDefault="0049647F" w:rsidP="00B004EE">
      <w:pPr>
        <w:pStyle w:val="Corpsdetexte"/>
        <w:ind w:right="-6"/>
        <w:rPr>
          <w:rFonts w:ascii="Tahoma" w:eastAsia="American Typewriter" w:hAnsi="Tahoma" w:cs="Tahoma"/>
          <w:sz w:val="20"/>
          <w:szCs w:val="20"/>
        </w:rPr>
      </w:pPr>
      <w:r w:rsidRPr="00B004EE">
        <w:rPr>
          <w:rFonts w:ascii="Tahoma" w:eastAsia="American Typewriter" w:hAnsi="Tahoma" w:cs="Tahoma"/>
          <w:sz w:val="20"/>
          <w:szCs w:val="20"/>
        </w:rPr>
        <w:t>Une protection doit être assurée contre toute pollution d'origine extérieure, contre la pénétration d'animaux, d'insectes et contre les variations de températures, lorsqu'il s'agit d'une eau naturellement potable.</w:t>
      </w:r>
    </w:p>
    <w:p w14:paraId="432D9797" w14:textId="77777777" w:rsidR="0049647F" w:rsidRPr="00B004EE" w:rsidRDefault="0049647F" w:rsidP="00B004EE">
      <w:pPr>
        <w:pStyle w:val="Corpsdetexte"/>
        <w:ind w:right="-6"/>
        <w:rPr>
          <w:rFonts w:ascii="Tahoma" w:eastAsia="American Typewriter" w:hAnsi="Tahoma" w:cs="Tahoma"/>
          <w:sz w:val="20"/>
          <w:szCs w:val="20"/>
        </w:rPr>
      </w:pPr>
    </w:p>
    <w:p w14:paraId="471D57B8" w14:textId="77777777" w:rsidR="0049647F" w:rsidRPr="00B004EE" w:rsidRDefault="0049647F" w:rsidP="00B004EE">
      <w:pPr>
        <w:pStyle w:val="Corpsdetexte"/>
        <w:ind w:right="-6"/>
        <w:rPr>
          <w:rFonts w:ascii="Tahoma" w:eastAsia="American Typewriter" w:hAnsi="Tahoma" w:cs="Tahoma"/>
          <w:sz w:val="20"/>
          <w:szCs w:val="20"/>
        </w:rPr>
      </w:pPr>
      <w:r w:rsidRPr="00B004EE">
        <w:rPr>
          <w:rFonts w:ascii="Tahoma" w:eastAsia="American Typewriter" w:hAnsi="Tahoma" w:cs="Tahoma"/>
          <w:sz w:val="20"/>
          <w:szCs w:val="20"/>
        </w:rPr>
        <w:t>Des dispositions sont prises pour assurer la continuité de l'alimentation en eau potable pendant la mise hors circuit des réservoirs et pour permettre, aux fins de contrôle, des prélèvements de l'eau à l'arrivée et à la sortie.</w:t>
      </w:r>
    </w:p>
    <w:p w14:paraId="4BBAFBD8" w14:textId="77777777" w:rsidR="0049647F" w:rsidRPr="00B004EE" w:rsidRDefault="0049647F" w:rsidP="00B004EE">
      <w:pPr>
        <w:pStyle w:val="Corpsdetexte"/>
        <w:ind w:right="-6"/>
        <w:rPr>
          <w:rFonts w:ascii="Tahoma" w:eastAsia="American Typewriter" w:hAnsi="Tahoma" w:cs="Tahoma"/>
          <w:sz w:val="20"/>
          <w:szCs w:val="20"/>
        </w:rPr>
      </w:pPr>
    </w:p>
    <w:p w14:paraId="5F5C6AAE" w14:textId="77777777" w:rsidR="0049647F" w:rsidRPr="00B004EE" w:rsidRDefault="0049647F" w:rsidP="00B004EE">
      <w:pPr>
        <w:ind w:right="-6"/>
        <w:jc w:val="both"/>
        <w:rPr>
          <w:rFonts w:ascii="Tahoma" w:eastAsia="American Typewriter" w:hAnsi="Tahoma" w:cs="Tahoma"/>
          <w:b/>
          <w:bCs/>
          <w:sz w:val="20"/>
          <w:szCs w:val="20"/>
        </w:rPr>
      </w:pPr>
      <w:r w:rsidRPr="00B004EE">
        <w:rPr>
          <w:rFonts w:ascii="Tahoma" w:eastAsia="American Typewriter" w:hAnsi="Tahoma" w:cs="Tahoma"/>
          <w:b/>
          <w:bCs/>
          <w:sz w:val="20"/>
          <w:szCs w:val="20"/>
        </w:rPr>
        <w:t>Section 2 : Assainissement du milieu</w:t>
      </w:r>
    </w:p>
    <w:p w14:paraId="77756D8C" w14:textId="77777777" w:rsidR="0049647F" w:rsidRPr="00B004EE" w:rsidRDefault="0049647F" w:rsidP="00B004EE">
      <w:pPr>
        <w:ind w:right="-6" w:firstLine="20"/>
        <w:rPr>
          <w:rFonts w:ascii="Tahoma" w:eastAsia="American Typewriter" w:hAnsi="Tahoma" w:cs="Tahoma"/>
          <w:b/>
          <w:bCs/>
          <w:sz w:val="20"/>
          <w:szCs w:val="20"/>
        </w:rPr>
      </w:pPr>
    </w:p>
    <w:p w14:paraId="6EF899FA"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 23 : Elimination des matières usées, solides et liquides.</w:t>
      </w:r>
    </w:p>
    <w:p w14:paraId="5238116B"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La collecte et l'élimination des matières usées solides sont à la charge des autorités administratives ou des collectivités locales.</w:t>
      </w:r>
    </w:p>
    <w:p w14:paraId="4C010A9D" w14:textId="77777777" w:rsidR="0049647F" w:rsidRPr="00B004EE" w:rsidRDefault="0049647F" w:rsidP="00B004EE">
      <w:pPr>
        <w:jc w:val="both"/>
        <w:rPr>
          <w:rFonts w:ascii="Tahoma" w:hAnsi="Tahoma" w:cs="Tahoma"/>
          <w:sz w:val="20"/>
          <w:szCs w:val="20"/>
        </w:rPr>
      </w:pPr>
    </w:p>
    <w:p w14:paraId="5F011395"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Les matières usées liquides doivent être éliminées par les réseaux d'égouts publics, installés et entretenus par les services compétents. Les propriétaires d'immeubles sont tenus de brancher leurs installations sanitaires à ces réseaux.</w:t>
      </w:r>
    </w:p>
    <w:p w14:paraId="47592035" w14:textId="77777777" w:rsidR="0049647F" w:rsidRPr="00B004EE" w:rsidRDefault="0049647F" w:rsidP="00B004EE">
      <w:pPr>
        <w:jc w:val="both"/>
        <w:rPr>
          <w:rFonts w:ascii="Tahoma" w:hAnsi="Tahoma" w:cs="Tahoma"/>
          <w:sz w:val="20"/>
          <w:szCs w:val="20"/>
        </w:rPr>
      </w:pPr>
    </w:p>
    <w:p w14:paraId="41356C5E"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En l'absence de tels réseaux, tout immeuble disposera d'installations sanitaires convenables et sera doté d'un système d'assainissement particulier de type fosse septique, latrine et puisard, conformément aux normes réglementaires.</w:t>
      </w:r>
    </w:p>
    <w:p w14:paraId="398B2731" w14:textId="77777777" w:rsidR="0049647F" w:rsidRPr="00B004EE" w:rsidRDefault="0049647F" w:rsidP="00B004EE">
      <w:pPr>
        <w:jc w:val="both"/>
        <w:rPr>
          <w:rFonts w:ascii="Tahoma" w:hAnsi="Tahoma" w:cs="Tahoma"/>
          <w:sz w:val="20"/>
          <w:szCs w:val="20"/>
        </w:rPr>
      </w:pPr>
    </w:p>
    <w:p w14:paraId="2A6B62DC"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La responsabilité d'installation des ouvrages est à la charge du propriétaire et l'entretien à la charge de l'occupant.</w:t>
      </w:r>
    </w:p>
    <w:p w14:paraId="74BC6683" w14:textId="77777777" w:rsidR="0049647F" w:rsidRPr="00B004EE" w:rsidRDefault="0049647F" w:rsidP="00B004EE">
      <w:pPr>
        <w:jc w:val="both"/>
        <w:rPr>
          <w:rFonts w:ascii="Tahoma" w:hAnsi="Tahoma" w:cs="Tahoma"/>
          <w:sz w:val="20"/>
          <w:szCs w:val="20"/>
        </w:rPr>
      </w:pPr>
    </w:p>
    <w:p w14:paraId="7AB5B290"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 24 : Propreté du milieu :</w:t>
      </w:r>
    </w:p>
    <w:p w14:paraId="27902BA2" w14:textId="77777777" w:rsidR="0049647F" w:rsidRPr="00B004EE" w:rsidRDefault="0049647F" w:rsidP="00B004EE">
      <w:pPr>
        <w:jc w:val="both"/>
        <w:rPr>
          <w:rFonts w:ascii="Tahoma" w:hAnsi="Tahoma" w:cs="Tahoma"/>
          <w:sz w:val="20"/>
          <w:szCs w:val="20"/>
        </w:rPr>
      </w:pPr>
    </w:p>
    <w:p w14:paraId="60E6C04A"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Les mesures de propreté concernant les habitations et leurs alentours, les voies publiques, les terrains clos ou non, les plages, doivent être assurées régulièrement, suivant le cas, soit par les usagers, soit par les autorités immobilières responsables, en vertu du cahier des charges.</w:t>
      </w:r>
    </w:p>
    <w:p w14:paraId="0F6BB9F1" w14:textId="2A2693D6" w:rsidR="0049647F" w:rsidRDefault="0049647F" w:rsidP="00B004EE">
      <w:pPr>
        <w:jc w:val="both"/>
        <w:rPr>
          <w:rFonts w:ascii="Tahoma" w:hAnsi="Tahoma" w:cs="Tahoma"/>
          <w:sz w:val="20"/>
          <w:szCs w:val="20"/>
        </w:rPr>
      </w:pPr>
    </w:p>
    <w:p w14:paraId="25023104" w14:textId="09CA4A73" w:rsidR="00B004EE" w:rsidRDefault="00B004EE" w:rsidP="00B004EE">
      <w:pPr>
        <w:jc w:val="both"/>
        <w:rPr>
          <w:rFonts w:ascii="Tahoma" w:hAnsi="Tahoma" w:cs="Tahoma"/>
          <w:sz w:val="20"/>
          <w:szCs w:val="20"/>
        </w:rPr>
      </w:pPr>
    </w:p>
    <w:p w14:paraId="3096D633" w14:textId="6ED4269D" w:rsidR="00B004EE" w:rsidRDefault="00B004EE" w:rsidP="00B004EE">
      <w:pPr>
        <w:jc w:val="both"/>
        <w:rPr>
          <w:rFonts w:ascii="Tahoma" w:hAnsi="Tahoma" w:cs="Tahoma"/>
          <w:sz w:val="20"/>
          <w:szCs w:val="20"/>
        </w:rPr>
      </w:pPr>
    </w:p>
    <w:p w14:paraId="5BDA44C0" w14:textId="77777777" w:rsidR="00B004EE" w:rsidRPr="00B004EE" w:rsidRDefault="00B004EE" w:rsidP="00B004EE">
      <w:pPr>
        <w:jc w:val="both"/>
        <w:rPr>
          <w:rFonts w:ascii="Tahoma" w:hAnsi="Tahoma" w:cs="Tahoma"/>
          <w:sz w:val="20"/>
          <w:szCs w:val="20"/>
        </w:rPr>
      </w:pPr>
    </w:p>
    <w:p w14:paraId="32C90AF9" w14:textId="77777777" w:rsidR="0049647F" w:rsidRPr="00B004EE" w:rsidRDefault="0049647F" w:rsidP="00B004EE">
      <w:pPr>
        <w:ind w:right="-6" w:firstLine="20"/>
        <w:jc w:val="center"/>
        <w:rPr>
          <w:rFonts w:ascii="Tahoma" w:eastAsia="American Typewriter" w:hAnsi="Tahoma" w:cs="Tahoma"/>
          <w:b/>
          <w:bCs/>
          <w:sz w:val="20"/>
          <w:szCs w:val="20"/>
        </w:rPr>
      </w:pPr>
      <w:r w:rsidRPr="00B004EE">
        <w:rPr>
          <w:rFonts w:ascii="Tahoma" w:eastAsia="American Typewriter" w:hAnsi="Tahoma" w:cs="Tahoma"/>
          <w:b/>
          <w:bCs/>
          <w:sz w:val="20"/>
          <w:szCs w:val="20"/>
        </w:rPr>
        <w:lastRenderedPageBreak/>
        <w:t>Section 3 : Gestion des déchets</w:t>
      </w:r>
    </w:p>
    <w:p w14:paraId="65B6C3AD" w14:textId="77777777" w:rsidR="0049647F" w:rsidRPr="00B004EE" w:rsidRDefault="0049647F" w:rsidP="00B004EE">
      <w:pPr>
        <w:ind w:right="-6"/>
        <w:rPr>
          <w:rFonts w:ascii="Tahoma" w:eastAsia="Courier New" w:hAnsi="Tahoma" w:cs="Tahoma"/>
          <w:b/>
          <w:bCs/>
          <w:sz w:val="20"/>
          <w:szCs w:val="20"/>
        </w:rPr>
      </w:pPr>
    </w:p>
    <w:p w14:paraId="2F7DC028"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 25 : Les déchets doivent être éliminés ou recyclés de manière écologiquement rationnelle afin de supprimer ou de réduire leurs effets nocifs sur la santé de l'homme, sur les ressources naturelles, la faune et la flore ou la qualité de l'environnement.</w:t>
      </w:r>
    </w:p>
    <w:p w14:paraId="06417F20" w14:textId="77777777" w:rsidR="0049647F" w:rsidRPr="00B004EE" w:rsidRDefault="0049647F" w:rsidP="00B004EE">
      <w:pPr>
        <w:jc w:val="both"/>
        <w:rPr>
          <w:rFonts w:ascii="Tahoma" w:hAnsi="Tahoma" w:cs="Tahoma"/>
          <w:sz w:val="20"/>
          <w:szCs w:val="20"/>
        </w:rPr>
      </w:pPr>
    </w:p>
    <w:p w14:paraId="19B691C5"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Les dispositions de la présente section s'appliquent à toutes les catégories de déchets, y compris les déchets biomédicaux, physico-chimiques et microbiologiques.</w:t>
      </w:r>
    </w:p>
    <w:p w14:paraId="0C02ED50" w14:textId="77777777" w:rsidR="0049647F" w:rsidRPr="00B004EE" w:rsidRDefault="0049647F" w:rsidP="00B004EE">
      <w:pPr>
        <w:jc w:val="both"/>
        <w:rPr>
          <w:rFonts w:ascii="Tahoma" w:hAnsi="Tahoma" w:cs="Tahoma"/>
          <w:sz w:val="20"/>
          <w:szCs w:val="20"/>
        </w:rPr>
      </w:pPr>
    </w:p>
    <w:p w14:paraId="6756D91F"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 26 : Toute personne, qui produit ou détient des déchets, doit en assurer elle-même l'élimination ou le recyclage ou les faire éliminer ou recycler auprès des entreprises agréées conformément à la réglementation en vigueur. A défaut, elle doit remettre ces déchets à la collectivité locale ou à toute société agréée par l'Etat en vue de la gestion des déchets.</w:t>
      </w:r>
    </w:p>
    <w:p w14:paraId="09D469E9"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Les collectivités locales veillent à enrayer tous les dépôts sauvages.</w:t>
      </w:r>
    </w:p>
    <w:p w14:paraId="34EFB57C" w14:textId="77777777" w:rsidR="0049647F" w:rsidRPr="00B004EE" w:rsidRDefault="0049647F" w:rsidP="00B004EE">
      <w:pPr>
        <w:jc w:val="both"/>
        <w:rPr>
          <w:rFonts w:ascii="Tahoma" w:hAnsi="Tahoma" w:cs="Tahoma"/>
          <w:sz w:val="20"/>
          <w:szCs w:val="20"/>
        </w:rPr>
      </w:pPr>
    </w:p>
    <w:p w14:paraId="6B122578"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L’Etat et les collectivités locales peuvent faire appel aux associations des consommateurs pour des actions de sensibilisation et d'éducation.</w:t>
      </w:r>
    </w:p>
    <w:p w14:paraId="32345B1D" w14:textId="77777777" w:rsidR="0049647F" w:rsidRPr="00B004EE" w:rsidRDefault="0049647F" w:rsidP="00B004EE">
      <w:pPr>
        <w:ind w:right="-6"/>
        <w:rPr>
          <w:rFonts w:ascii="Tahoma" w:eastAsia="Arial Narrow" w:hAnsi="Tahoma" w:cs="Tahoma"/>
          <w:b/>
          <w:bCs/>
          <w:w w:val="123"/>
          <w:sz w:val="20"/>
          <w:szCs w:val="20"/>
        </w:rPr>
      </w:pPr>
    </w:p>
    <w:p w14:paraId="1D983E61" w14:textId="77777777" w:rsidR="0049647F" w:rsidRPr="00B004EE" w:rsidRDefault="0049647F" w:rsidP="00B004EE">
      <w:pPr>
        <w:pStyle w:val="Lgende"/>
        <w:jc w:val="center"/>
        <w:rPr>
          <w:rFonts w:ascii="Tahoma" w:eastAsia="American Typewriter" w:hAnsi="Tahoma" w:cs="Tahoma"/>
        </w:rPr>
      </w:pPr>
      <w:r w:rsidRPr="00B004EE">
        <w:rPr>
          <w:rFonts w:ascii="Tahoma" w:eastAsia="American Typewriter" w:hAnsi="Tahoma" w:cs="Tahoma"/>
        </w:rPr>
        <w:t>CHAPITRE II : DISPOSITIONS SPECIALES RELA TIVESA UX DENREES ALIM ENTAIRES</w:t>
      </w:r>
    </w:p>
    <w:p w14:paraId="749DD6B8" w14:textId="77777777" w:rsidR="0049647F" w:rsidRPr="00B004EE" w:rsidRDefault="0049647F" w:rsidP="00B004EE">
      <w:pPr>
        <w:pStyle w:val="Lgende"/>
        <w:jc w:val="center"/>
        <w:rPr>
          <w:rFonts w:ascii="Tahoma" w:eastAsia="American Typewriter" w:hAnsi="Tahoma" w:cs="Tahoma"/>
        </w:rPr>
      </w:pPr>
    </w:p>
    <w:p w14:paraId="6643359F" w14:textId="77777777" w:rsidR="0049647F" w:rsidRPr="00B004EE" w:rsidRDefault="0049647F" w:rsidP="00B004EE">
      <w:pPr>
        <w:pStyle w:val="Lgende"/>
        <w:jc w:val="center"/>
        <w:rPr>
          <w:rFonts w:ascii="Tahoma" w:eastAsia="American Typewriter" w:hAnsi="Tahoma" w:cs="Tahoma"/>
        </w:rPr>
      </w:pPr>
      <w:bookmarkStart w:id="12" w:name="_Toc16279103"/>
      <w:bookmarkStart w:id="13" w:name="_Toc16279473"/>
      <w:r w:rsidRPr="00B004EE">
        <w:rPr>
          <w:rFonts w:ascii="Tahoma" w:eastAsia="American Typewriter" w:hAnsi="Tahoma" w:cs="Tahoma"/>
        </w:rPr>
        <w:t>Section 1 : L’hygiène des lieux</w:t>
      </w:r>
      <w:bookmarkEnd w:id="12"/>
      <w:bookmarkEnd w:id="13"/>
    </w:p>
    <w:p w14:paraId="3B6CFA71" w14:textId="77777777" w:rsidR="0049647F" w:rsidRPr="00B004EE" w:rsidRDefault="0049647F" w:rsidP="00B004EE">
      <w:pPr>
        <w:pStyle w:val="Lgende"/>
        <w:jc w:val="center"/>
        <w:rPr>
          <w:rFonts w:ascii="Tahoma" w:eastAsia="American Typewriter" w:hAnsi="Tahoma" w:cs="Tahoma"/>
        </w:rPr>
      </w:pPr>
    </w:p>
    <w:p w14:paraId="5ED0872F"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 27 : Les exigences pour les magasins, ateliers de préparation, de stockage, de vente ou de distribution des produits alimentaires destinés à la consommation humaine seront fixées par arrêté des Ministres compétents conformément aux normes nationales et internationales dans le domaine de la santé et d'hygiène publiques.</w:t>
      </w:r>
    </w:p>
    <w:p w14:paraId="00DEF084" w14:textId="77777777" w:rsidR="0049647F" w:rsidRPr="00B004EE" w:rsidRDefault="0049647F" w:rsidP="00B004EE">
      <w:pPr>
        <w:jc w:val="both"/>
        <w:rPr>
          <w:rFonts w:ascii="Tahoma" w:hAnsi="Tahoma" w:cs="Tahoma"/>
          <w:sz w:val="20"/>
          <w:szCs w:val="20"/>
        </w:rPr>
      </w:pPr>
    </w:p>
    <w:p w14:paraId="03BDB4A6"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 28 : Les denrées alimentaires vendues sur la voie publique, les marchés et autres lieux publics de vente sont soumises aux conditions générales ou particulières définies par arrêté du Ministre charge de la Santé Publique.</w:t>
      </w:r>
    </w:p>
    <w:p w14:paraId="1FC7FCBB" w14:textId="77777777" w:rsidR="0049647F" w:rsidRPr="00B004EE" w:rsidRDefault="0049647F" w:rsidP="00B004EE">
      <w:pPr>
        <w:jc w:val="both"/>
        <w:rPr>
          <w:rFonts w:ascii="Tahoma" w:hAnsi="Tahoma" w:cs="Tahoma"/>
          <w:sz w:val="20"/>
          <w:szCs w:val="20"/>
        </w:rPr>
      </w:pPr>
    </w:p>
    <w:p w14:paraId="5637484A" w14:textId="77777777" w:rsidR="0049647F" w:rsidRPr="00B004EE" w:rsidRDefault="0049647F" w:rsidP="00B004EE">
      <w:pPr>
        <w:jc w:val="both"/>
        <w:rPr>
          <w:rFonts w:ascii="Tahoma" w:eastAsia="American Typewriter" w:hAnsi="Tahoma" w:cs="Tahoma"/>
          <w:sz w:val="20"/>
          <w:szCs w:val="20"/>
        </w:rPr>
      </w:pPr>
      <w:r w:rsidRPr="00B004EE">
        <w:rPr>
          <w:rFonts w:ascii="Tahoma" w:hAnsi="Tahoma" w:cs="Tahoma"/>
          <w:sz w:val="20"/>
          <w:szCs w:val="20"/>
        </w:rPr>
        <w:t>Article 29 : Toute demande d'ouverture d'un établissement destiné à la production, à la manipulation ou au stockage des denrées alimentaires doit obligatoirement comporter</w:t>
      </w:r>
      <w:r w:rsidRPr="00B004EE">
        <w:rPr>
          <w:rFonts w:ascii="Tahoma" w:eastAsia="American Typewriter" w:hAnsi="Tahoma" w:cs="Tahoma"/>
          <w:sz w:val="20"/>
          <w:szCs w:val="20"/>
        </w:rPr>
        <w:t xml:space="preserve"> un certificat de conformité aux normes d'hygiène des locaux, équipements et installations dûment établi par les services compétents. Ces normes d'hygiène seront fixées par arrêté du(des) Ministre(s) concerné(s) </w:t>
      </w:r>
    </w:p>
    <w:p w14:paraId="21DD1BD5" w14:textId="77777777" w:rsidR="0049647F" w:rsidRPr="00B004EE" w:rsidRDefault="0049647F" w:rsidP="00B004EE">
      <w:pPr>
        <w:pStyle w:val="Corpsdetexte"/>
        <w:ind w:right="-6"/>
        <w:rPr>
          <w:rFonts w:ascii="Tahoma" w:eastAsia="American Typewriter" w:hAnsi="Tahoma" w:cs="Tahoma"/>
          <w:sz w:val="20"/>
          <w:szCs w:val="20"/>
        </w:rPr>
      </w:pPr>
      <w:r w:rsidRPr="00B004EE">
        <w:rPr>
          <w:rFonts w:ascii="Tahoma" w:eastAsia="American Typewriter" w:hAnsi="Tahoma" w:cs="Tahoma"/>
          <w:sz w:val="20"/>
          <w:szCs w:val="20"/>
        </w:rPr>
        <w:t>Les établissements déjà existants doivent se conformer à la réglementation en vigueur.</w:t>
      </w:r>
    </w:p>
    <w:p w14:paraId="3A818D8D" w14:textId="77777777" w:rsidR="0049647F" w:rsidRPr="00B004EE" w:rsidRDefault="0049647F" w:rsidP="00B004EE">
      <w:pPr>
        <w:pStyle w:val="Corpsdetexte"/>
        <w:ind w:right="-6"/>
        <w:rPr>
          <w:rFonts w:ascii="Tahoma" w:eastAsia="American Typewriter" w:hAnsi="Tahoma" w:cs="Tahoma"/>
          <w:sz w:val="20"/>
          <w:szCs w:val="20"/>
        </w:rPr>
      </w:pPr>
    </w:p>
    <w:p w14:paraId="17202587" w14:textId="77777777" w:rsidR="0049647F" w:rsidRPr="00B004EE" w:rsidRDefault="0049647F" w:rsidP="00B004EE">
      <w:pPr>
        <w:ind w:right="-6" w:hanging="5"/>
        <w:jc w:val="center"/>
        <w:rPr>
          <w:rFonts w:ascii="Tahoma" w:eastAsia="American Typewriter" w:hAnsi="Tahoma" w:cs="Tahoma"/>
          <w:b/>
          <w:bCs/>
          <w:sz w:val="20"/>
          <w:szCs w:val="20"/>
        </w:rPr>
      </w:pPr>
      <w:r w:rsidRPr="00B004EE">
        <w:rPr>
          <w:rFonts w:ascii="Tahoma" w:eastAsia="American Typewriter" w:hAnsi="Tahoma" w:cs="Tahoma"/>
          <w:b/>
          <w:bCs/>
          <w:sz w:val="20"/>
          <w:szCs w:val="20"/>
        </w:rPr>
        <w:t>Section 2 : Hygiène des manipulations</w:t>
      </w:r>
    </w:p>
    <w:p w14:paraId="474C7493" w14:textId="77777777" w:rsidR="0049647F" w:rsidRPr="00B004EE" w:rsidRDefault="0049647F" w:rsidP="00B004EE">
      <w:pPr>
        <w:jc w:val="both"/>
        <w:rPr>
          <w:rFonts w:ascii="Tahoma" w:hAnsi="Tahoma" w:cs="Tahoma"/>
          <w:sz w:val="20"/>
          <w:szCs w:val="20"/>
        </w:rPr>
      </w:pPr>
    </w:p>
    <w:p w14:paraId="5B20FEA5"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 30 : Sans préjudice de l'application de la réglementation en vigueur, les personnes appelées, en raison de leur emploi, à manipuler les denrées alimentaires, tant au cours de leur collecte, préparation, traitement, transformation, conditionnement, emballage, transport, entreposage, que pendant leur exposition, mise en vente et distribution, sont astreintes à la plus grande propreté corporelle et vestimentaire, sous la responsabilité de l'employeur. Le personnel doit disposer d'un certificat de santé établi par les autorités de santé publique compétentes du Ministère chargé de la santé.</w:t>
      </w:r>
    </w:p>
    <w:p w14:paraId="1BD5F894" w14:textId="77777777" w:rsidR="0049647F" w:rsidRPr="00B004EE" w:rsidRDefault="0049647F" w:rsidP="00B004EE">
      <w:pPr>
        <w:jc w:val="both"/>
        <w:rPr>
          <w:rFonts w:ascii="Tahoma" w:hAnsi="Tahoma" w:cs="Tahoma"/>
          <w:sz w:val="20"/>
          <w:szCs w:val="20"/>
        </w:rPr>
      </w:pPr>
    </w:p>
    <w:p w14:paraId="7AAE0A2C" w14:textId="77777777" w:rsidR="0049647F" w:rsidRPr="00B004EE" w:rsidRDefault="0049647F" w:rsidP="00B004EE">
      <w:pPr>
        <w:jc w:val="both"/>
        <w:rPr>
          <w:rFonts w:ascii="Tahoma" w:eastAsia="American Typewriter" w:hAnsi="Tahoma" w:cs="Tahoma"/>
          <w:sz w:val="20"/>
          <w:szCs w:val="20"/>
        </w:rPr>
      </w:pPr>
      <w:r w:rsidRPr="00B004EE">
        <w:rPr>
          <w:rFonts w:ascii="Tahoma" w:hAnsi="Tahoma" w:cs="Tahoma"/>
          <w:sz w:val="20"/>
          <w:szCs w:val="20"/>
        </w:rPr>
        <w:t>La manipulation des denrées alimentaires est interdite aux personnes susceptibles de les</w:t>
      </w:r>
      <w:r w:rsidRPr="00B004EE">
        <w:rPr>
          <w:rFonts w:ascii="Tahoma" w:eastAsia="American Typewriter" w:hAnsi="Tahoma" w:cs="Tahoma"/>
          <w:sz w:val="20"/>
          <w:szCs w:val="20"/>
        </w:rPr>
        <w:t xml:space="preserve"> contaminer, notamment celles qui sont atteintes d'infections cutanéomuqueuses, respiratoires ou intestinales, conformément aux exigences des directives internationales.</w:t>
      </w:r>
    </w:p>
    <w:p w14:paraId="01C933F9" w14:textId="77777777" w:rsidR="0049647F" w:rsidRPr="00B004EE" w:rsidRDefault="0049647F" w:rsidP="00B004EE">
      <w:pPr>
        <w:ind w:right="-6"/>
        <w:rPr>
          <w:rFonts w:ascii="Tahoma" w:eastAsia="American Typewriter" w:hAnsi="Tahoma" w:cs="Tahoma"/>
          <w:sz w:val="20"/>
          <w:szCs w:val="20"/>
        </w:rPr>
      </w:pPr>
    </w:p>
    <w:p w14:paraId="1EDB7FD9"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 31 : Les exigences liées aux équipements et matériaux de conditionnement et d'emballages utilisés pour les denrées alimentaires destinées à la consommation humaine, seront fixées par arrêté(s) de(s) Ministre(s) compétent(s).</w:t>
      </w:r>
    </w:p>
    <w:p w14:paraId="3862F4B6"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lastRenderedPageBreak/>
        <w:t>Article 32 : Les moyens de transport utilisés pour les denrées alimentaires doivent répondre aux exigences nationales et internationales relatives aux conditions d'hygiène.</w:t>
      </w:r>
    </w:p>
    <w:p w14:paraId="4752C48E" w14:textId="77777777" w:rsidR="0049647F" w:rsidRPr="00B004EE" w:rsidRDefault="0049647F" w:rsidP="00B004EE">
      <w:pPr>
        <w:ind w:right="-6" w:hanging="9"/>
        <w:jc w:val="both"/>
        <w:rPr>
          <w:rFonts w:ascii="Tahoma" w:eastAsia="Arial Narrow" w:hAnsi="Tahoma" w:cs="Tahoma"/>
          <w:sz w:val="20"/>
          <w:szCs w:val="20"/>
        </w:rPr>
      </w:pPr>
    </w:p>
    <w:p w14:paraId="4D4B5EA4" w14:textId="77777777" w:rsidR="0049647F" w:rsidRPr="00B004EE" w:rsidRDefault="0049647F" w:rsidP="00B004EE">
      <w:pPr>
        <w:pStyle w:val="Titre6"/>
        <w:spacing w:before="0" w:after="0"/>
        <w:ind w:right="-6"/>
        <w:jc w:val="center"/>
        <w:rPr>
          <w:rFonts w:ascii="Tahoma" w:eastAsia="American Typewriter" w:hAnsi="Tahoma" w:cs="Tahoma"/>
          <w:b/>
          <w:bCs/>
          <w:i w:val="0"/>
          <w:iCs w:val="0"/>
          <w:sz w:val="20"/>
          <w:szCs w:val="20"/>
        </w:rPr>
      </w:pPr>
      <w:r w:rsidRPr="00B004EE">
        <w:rPr>
          <w:rFonts w:ascii="Tahoma" w:eastAsia="American Typewriter" w:hAnsi="Tahoma" w:cs="Tahoma"/>
          <w:b/>
          <w:bCs/>
          <w:i w:val="0"/>
          <w:iCs w:val="0"/>
          <w:sz w:val="20"/>
          <w:szCs w:val="20"/>
        </w:rPr>
        <w:t>Section 3 : Les boissons.</w:t>
      </w:r>
    </w:p>
    <w:p w14:paraId="5F7A985C" w14:textId="77777777" w:rsidR="0049647F" w:rsidRPr="00B004EE" w:rsidRDefault="0049647F" w:rsidP="00B004EE">
      <w:pPr>
        <w:ind w:right="-6"/>
        <w:jc w:val="center"/>
        <w:rPr>
          <w:rFonts w:ascii="Tahoma" w:eastAsia="American Typewriter" w:hAnsi="Tahoma" w:cs="Tahoma"/>
          <w:b/>
          <w:bCs/>
          <w:sz w:val="20"/>
          <w:szCs w:val="20"/>
        </w:rPr>
      </w:pPr>
    </w:p>
    <w:p w14:paraId="7D33F901" w14:textId="77777777" w:rsidR="0049647F" w:rsidRPr="00B004EE" w:rsidRDefault="0049647F" w:rsidP="00B004EE">
      <w:pPr>
        <w:pStyle w:val="Titre6"/>
        <w:spacing w:before="0" w:after="0"/>
        <w:ind w:right="-6"/>
        <w:jc w:val="center"/>
        <w:rPr>
          <w:rFonts w:ascii="Tahoma" w:eastAsia="American Typewriter" w:hAnsi="Tahoma" w:cs="Tahoma"/>
          <w:b/>
          <w:bCs/>
          <w:i w:val="0"/>
          <w:iCs w:val="0"/>
          <w:sz w:val="20"/>
          <w:szCs w:val="20"/>
        </w:rPr>
      </w:pPr>
      <w:r w:rsidRPr="00B004EE">
        <w:rPr>
          <w:rFonts w:ascii="Tahoma" w:eastAsia="American Typewriter" w:hAnsi="Tahoma" w:cs="Tahoma"/>
          <w:b/>
          <w:bCs/>
          <w:i w:val="0"/>
          <w:iCs w:val="0"/>
          <w:sz w:val="20"/>
          <w:szCs w:val="20"/>
        </w:rPr>
        <w:t>Sous-section 1 : Boissons autres que le lait</w:t>
      </w:r>
    </w:p>
    <w:p w14:paraId="4DE497AB" w14:textId="77777777" w:rsidR="0049647F" w:rsidRPr="00B004EE" w:rsidRDefault="0049647F" w:rsidP="00B004EE">
      <w:pPr>
        <w:ind w:right="-6"/>
        <w:jc w:val="center"/>
        <w:rPr>
          <w:rFonts w:ascii="Tahoma" w:eastAsia="Arial Narrow" w:hAnsi="Tahoma" w:cs="Tahoma"/>
          <w:sz w:val="20"/>
          <w:szCs w:val="20"/>
        </w:rPr>
      </w:pPr>
    </w:p>
    <w:p w14:paraId="559B6226" w14:textId="77777777" w:rsidR="0049647F" w:rsidRPr="00B004EE" w:rsidRDefault="0049647F" w:rsidP="00B004EE">
      <w:pPr>
        <w:pStyle w:val="Corpsdetexte"/>
        <w:ind w:right="-6"/>
        <w:rPr>
          <w:rFonts w:ascii="Tahoma" w:hAnsi="Tahoma" w:cs="Tahoma"/>
          <w:sz w:val="20"/>
          <w:szCs w:val="20"/>
        </w:rPr>
      </w:pPr>
      <w:r w:rsidRPr="00B004EE">
        <w:rPr>
          <w:rFonts w:ascii="Tahoma" w:hAnsi="Tahoma" w:cs="Tahoma"/>
          <w:sz w:val="20"/>
          <w:szCs w:val="20"/>
        </w:rPr>
        <w:t>Article 33 : Les dispositions suivantes concernant les établissements de fabrication,</w:t>
      </w:r>
      <w:r w:rsidRPr="00B004EE">
        <w:rPr>
          <w:rFonts w:ascii="Tahoma" w:eastAsia="American Typewriter" w:hAnsi="Tahoma" w:cs="Tahoma"/>
          <w:sz w:val="20"/>
          <w:szCs w:val="20"/>
        </w:rPr>
        <w:t xml:space="preserve"> de conditionnement et de vente des denrées alimentaires liquides tels que fabriques de sodas et limonades, d'eaux gazeuses, de sirop, brasseries, cidreries doivent être respectées.</w:t>
      </w:r>
    </w:p>
    <w:p w14:paraId="45111C47" w14:textId="77777777" w:rsidR="0049647F" w:rsidRPr="00B004EE" w:rsidRDefault="0049647F" w:rsidP="00B004EE">
      <w:pPr>
        <w:pStyle w:val="Corpsdetexte"/>
        <w:ind w:left="426" w:right="-6" w:hanging="426"/>
        <w:rPr>
          <w:rFonts w:ascii="Tahoma" w:eastAsia="American Typewriter" w:hAnsi="Tahoma" w:cs="Tahoma"/>
          <w:sz w:val="20"/>
          <w:szCs w:val="20"/>
        </w:rPr>
      </w:pPr>
      <w:r w:rsidRPr="00B004EE">
        <w:rPr>
          <w:rFonts w:ascii="Tahoma" w:hAnsi="Tahoma" w:cs="Tahoma"/>
          <w:spacing w:val="-4"/>
          <w:w w:val="120"/>
          <w:sz w:val="20"/>
          <w:szCs w:val="20"/>
        </w:rPr>
        <w:t xml:space="preserve">1° </w:t>
      </w:r>
      <w:r w:rsidRPr="00B004EE">
        <w:rPr>
          <w:rFonts w:ascii="Tahoma" w:eastAsia="American Typewriter" w:hAnsi="Tahoma" w:cs="Tahoma"/>
          <w:sz w:val="20"/>
          <w:szCs w:val="20"/>
        </w:rPr>
        <w:t>Les locaux doivent satisfaire aux prescriptions relatives aux ateliers de préparation des aliments.</w:t>
      </w:r>
    </w:p>
    <w:p w14:paraId="3C76ACC8" w14:textId="77777777" w:rsidR="0049647F" w:rsidRPr="00B004EE" w:rsidRDefault="0049647F" w:rsidP="00B004EE">
      <w:pPr>
        <w:pStyle w:val="Corpsdetexte"/>
        <w:ind w:left="426" w:right="-6" w:hanging="426"/>
        <w:rPr>
          <w:rFonts w:ascii="Tahoma" w:eastAsia="American Typewriter" w:hAnsi="Tahoma" w:cs="Tahoma"/>
          <w:sz w:val="20"/>
          <w:szCs w:val="20"/>
        </w:rPr>
      </w:pPr>
      <w:r w:rsidRPr="00B004EE">
        <w:rPr>
          <w:rFonts w:ascii="Tahoma" w:eastAsia="American Typewriter" w:hAnsi="Tahoma" w:cs="Tahoma"/>
          <w:sz w:val="20"/>
          <w:szCs w:val="20"/>
        </w:rPr>
        <w:t>2° Seule, une eau reconnue potable distribuée en tous points par des canalisations distinctes peut être utilisée pour la fabrication des limonades et sodas, des eaux gazeuses ainsi qu'en brasserie et en cidrerie.</w:t>
      </w:r>
    </w:p>
    <w:p w14:paraId="2FCF3818" w14:textId="77777777" w:rsidR="0049647F" w:rsidRPr="00B004EE" w:rsidRDefault="0049647F" w:rsidP="00B004EE">
      <w:pPr>
        <w:pStyle w:val="Corpsdetexte"/>
        <w:ind w:left="426" w:right="-6" w:hanging="426"/>
        <w:rPr>
          <w:rFonts w:ascii="Tahoma" w:hAnsi="Tahoma" w:cs="Tahoma"/>
          <w:sz w:val="20"/>
          <w:szCs w:val="20"/>
        </w:rPr>
      </w:pPr>
    </w:p>
    <w:p w14:paraId="3BA7B67A" w14:textId="77777777" w:rsidR="0049647F" w:rsidRPr="00B004EE" w:rsidRDefault="0049647F" w:rsidP="00B004EE">
      <w:pPr>
        <w:pStyle w:val="Corpsdetexte"/>
        <w:ind w:right="-6" w:firstLine="3"/>
        <w:rPr>
          <w:rFonts w:ascii="Tahoma" w:eastAsia="American Typewriter" w:hAnsi="Tahoma" w:cs="Tahoma"/>
          <w:sz w:val="20"/>
          <w:szCs w:val="20"/>
        </w:rPr>
      </w:pPr>
      <w:r w:rsidRPr="00B004EE">
        <w:rPr>
          <w:rFonts w:ascii="Tahoma" w:eastAsia="American Typewriter" w:hAnsi="Tahoma" w:cs="Tahoma"/>
          <w:sz w:val="20"/>
          <w:szCs w:val="20"/>
        </w:rPr>
        <w:t>Les machines et appareils de toutes sortes utilisées pour la fabrication et le conditionnement de ces denrées liquides doivent être conçus pour permettre, si nécessaire, un montage facile de leurs différents éléments en vue de leur entretien. Ils sont nettoyés à l'eau potable additionnée de produits autorisés, rincés et égouttés.</w:t>
      </w:r>
    </w:p>
    <w:p w14:paraId="2C104448" w14:textId="77777777" w:rsidR="0049647F" w:rsidRPr="00B004EE" w:rsidRDefault="0049647F" w:rsidP="00B004EE">
      <w:pPr>
        <w:pStyle w:val="Corpsdetexte"/>
        <w:ind w:right="-6" w:firstLine="3"/>
        <w:rPr>
          <w:rFonts w:ascii="Tahoma" w:eastAsia="American Typewriter" w:hAnsi="Tahoma" w:cs="Tahoma"/>
          <w:sz w:val="20"/>
          <w:szCs w:val="20"/>
        </w:rPr>
      </w:pPr>
    </w:p>
    <w:p w14:paraId="07184F75" w14:textId="77777777" w:rsidR="0049647F" w:rsidRPr="00B004EE" w:rsidRDefault="0049647F" w:rsidP="00B004EE">
      <w:pPr>
        <w:pStyle w:val="Corpsdetexte"/>
        <w:ind w:right="-6" w:firstLine="3"/>
        <w:rPr>
          <w:rFonts w:ascii="Tahoma" w:eastAsia="American Typewriter" w:hAnsi="Tahoma" w:cs="Tahoma"/>
          <w:sz w:val="20"/>
          <w:szCs w:val="20"/>
        </w:rPr>
      </w:pPr>
      <w:r w:rsidRPr="00B004EE">
        <w:rPr>
          <w:rFonts w:ascii="Tahoma" w:eastAsia="American Typewriter" w:hAnsi="Tahoma" w:cs="Tahoma"/>
          <w:sz w:val="20"/>
          <w:szCs w:val="20"/>
        </w:rPr>
        <w:t>Les récipients divers destinés au stockage de ces denrées sont nettoyés de la même façon. Les matériaux de conditionnement et les matériaux de bouchage : capsules, rondelles, lièges doivent être neufs et dans un état de propreté excluant toute contamination.</w:t>
      </w:r>
    </w:p>
    <w:p w14:paraId="4AACF20D" w14:textId="77777777" w:rsidR="0049647F" w:rsidRPr="00B004EE" w:rsidRDefault="0049647F" w:rsidP="00B004EE">
      <w:pPr>
        <w:ind w:right="-6"/>
        <w:rPr>
          <w:rFonts w:ascii="Tahoma" w:eastAsia="American Typewriter" w:hAnsi="Tahoma" w:cs="Tahoma"/>
          <w:sz w:val="20"/>
          <w:szCs w:val="20"/>
        </w:rPr>
      </w:pPr>
    </w:p>
    <w:p w14:paraId="67CEBF8D" w14:textId="77777777" w:rsidR="0049647F" w:rsidRPr="00B004EE" w:rsidRDefault="0049647F" w:rsidP="00B004EE">
      <w:pPr>
        <w:pStyle w:val="Corpsdetexte"/>
        <w:ind w:right="-6"/>
        <w:rPr>
          <w:rFonts w:ascii="Tahoma" w:eastAsia="American Typewriter" w:hAnsi="Tahoma" w:cs="Tahoma"/>
          <w:sz w:val="20"/>
          <w:szCs w:val="20"/>
        </w:rPr>
      </w:pPr>
      <w:r w:rsidRPr="00B004EE">
        <w:rPr>
          <w:rFonts w:ascii="Tahoma" w:hAnsi="Tahoma" w:cs="Tahoma"/>
          <w:sz w:val="20"/>
          <w:szCs w:val="20"/>
        </w:rPr>
        <w:t>Article 34 : Hygiène des débits de boissons. Les cafés et buvettes, les salons de thé,</w:t>
      </w:r>
      <w:r w:rsidRPr="00B004EE">
        <w:rPr>
          <w:rFonts w:ascii="Tahoma" w:eastAsia="American Typewriter" w:hAnsi="Tahoma" w:cs="Tahoma"/>
          <w:sz w:val="20"/>
          <w:szCs w:val="20"/>
        </w:rPr>
        <w:t xml:space="preserve"> les débits de boissons, quel que soit leur emplacement, sont soumis aux dispositions de l'article ci­ dessus en ce qui concerne l'hygiène de la vaisselle et de la verrerie.</w:t>
      </w:r>
    </w:p>
    <w:p w14:paraId="01977478" w14:textId="77777777" w:rsidR="0049647F" w:rsidRPr="00B004EE" w:rsidRDefault="0049647F" w:rsidP="00B004EE">
      <w:pPr>
        <w:pStyle w:val="Corpsdetexte"/>
        <w:ind w:right="-6" w:firstLine="3"/>
        <w:rPr>
          <w:rFonts w:ascii="Tahoma" w:eastAsia="American Typewriter" w:hAnsi="Tahoma" w:cs="Tahoma"/>
          <w:sz w:val="20"/>
          <w:szCs w:val="20"/>
        </w:rPr>
      </w:pPr>
      <w:r w:rsidRPr="00B004EE">
        <w:rPr>
          <w:rFonts w:ascii="Tahoma" w:eastAsia="American Typewriter" w:hAnsi="Tahoma" w:cs="Tahoma"/>
          <w:sz w:val="20"/>
          <w:szCs w:val="20"/>
        </w:rPr>
        <w:t>Par ailleurs, la vente ambulante des boissons doit être faite de telle sorte que les véhicules soient aménagés de façon à protéger les produits débités contre toute souillure ou altération.</w:t>
      </w:r>
    </w:p>
    <w:p w14:paraId="2A5BD6D1" w14:textId="77777777" w:rsidR="0049647F" w:rsidRPr="00B004EE" w:rsidRDefault="0049647F" w:rsidP="00B004EE">
      <w:pPr>
        <w:ind w:right="-6"/>
        <w:rPr>
          <w:rFonts w:ascii="Tahoma" w:eastAsia="Arial Narrow" w:hAnsi="Tahoma" w:cs="Tahoma"/>
          <w:b/>
          <w:bCs/>
          <w:sz w:val="20"/>
          <w:szCs w:val="20"/>
        </w:rPr>
      </w:pPr>
    </w:p>
    <w:p w14:paraId="204CE4BF" w14:textId="77777777" w:rsidR="0049647F" w:rsidRPr="00B004EE" w:rsidRDefault="0049647F" w:rsidP="00B004EE">
      <w:pPr>
        <w:ind w:right="-6" w:firstLine="3"/>
        <w:jc w:val="both"/>
        <w:rPr>
          <w:rFonts w:ascii="Tahoma" w:eastAsia="American Typewriter" w:hAnsi="Tahoma" w:cs="Tahoma"/>
          <w:sz w:val="20"/>
          <w:szCs w:val="20"/>
        </w:rPr>
      </w:pPr>
      <w:r w:rsidRPr="00B004EE">
        <w:rPr>
          <w:rFonts w:ascii="Tahoma" w:hAnsi="Tahoma" w:cs="Tahoma"/>
          <w:sz w:val="20"/>
          <w:szCs w:val="20"/>
        </w:rPr>
        <w:t>Article 35 : Dispositions spéciales relatives à la fabrication de certaines boissons. La</w:t>
      </w:r>
      <w:r w:rsidRPr="00B004EE">
        <w:rPr>
          <w:rFonts w:ascii="Tahoma" w:eastAsia="American Typewriter" w:hAnsi="Tahoma" w:cs="Tahoma"/>
          <w:sz w:val="20"/>
          <w:szCs w:val="20"/>
        </w:rPr>
        <w:t xml:space="preserve"> fabrication et la vente de toute boisson dans laquelle interviennent des plantes, parties de plantes, extraits de végétaux ou tout autre produit, sont soumises à une réglementation.</w:t>
      </w:r>
    </w:p>
    <w:p w14:paraId="40F04A0B" w14:textId="77777777" w:rsidR="0049647F" w:rsidRPr="00B004EE" w:rsidRDefault="0049647F" w:rsidP="00B004EE">
      <w:pPr>
        <w:ind w:right="-6" w:firstLine="3"/>
        <w:jc w:val="both"/>
        <w:rPr>
          <w:rFonts w:ascii="Tahoma" w:eastAsia="American Typewriter" w:hAnsi="Tahoma" w:cs="Tahoma"/>
          <w:sz w:val="20"/>
          <w:szCs w:val="20"/>
        </w:rPr>
      </w:pPr>
    </w:p>
    <w:p w14:paraId="5D55513D" w14:textId="77777777" w:rsidR="0049647F" w:rsidRPr="00B004EE" w:rsidRDefault="0049647F" w:rsidP="00B004EE">
      <w:pPr>
        <w:pStyle w:val="Titre6"/>
        <w:spacing w:before="0" w:after="0"/>
        <w:ind w:right="-6" w:firstLine="3"/>
        <w:jc w:val="center"/>
        <w:rPr>
          <w:rFonts w:ascii="Tahoma" w:eastAsia="American Typewriter" w:hAnsi="Tahoma" w:cs="Tahoma"/>
          <w:b/>
          <w:bCs/>
          <w:i w:val="0"/>
          <w:iCs w:val="0"/>
          <w:sz w:val="20"/>
          <w:szCs w:val="20"/>
        </w:rPr>
      </w:pPr>
      <w:r w:rsidRPr="00B004EE">
        <w:rPr>
          <w:rFonts w:ascii="Tahoma" w:eastAsia="American Typewriter" w:hAnsi="Tahoma" w:cs="Tahoma"/>
          <w:b/>
          <w:bCs/>
          <w:i w:val="0"/>
          <w:iCs w:val="0"/>
          <w:sz w:val="20"/>
          <w:szCs w:val="20"/>
        </w:rPr>
        <w:t>Sous-section 2 : Lait et produits laitiers</w:t>
      </w:r>
    </w:p>
    <w:p w14:paraId="2D1A6D06" w14:textId="77777777" w:rsidR="0049647F" w:rsidRPr="00B004EE" w:rsidRDefault="0049647F" w:rsidP="00B004EE">
      <w:pPr>
        <w:ind w:right="-6"/>
        <w:rPr>
          <w:rFonts w:ascii="Tahoma" w:eastAsia="Arial Narrow" w:hAnsi="Tahoma" w:cs="Tahoma"/>
          <w:b/>
          <w:bCs/>
          <w:sz w:val="20"/>
          <w:szCs w:val="20"/>
        </w:rPr>
      </w:pPr>
    </w:p>
    <w:p w14:paraId="69D54D2E"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 36 : La production, le traitement, la distribution et la vente du lait et des produits laitiers doivent répondre aux normes nationales et internationales d'hygiène et de santé publiques.</w:t>
      </w:r>
    </w:p>
    <w:p w14:paraId="36FEBAEC"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 xml:space="preserve">Les conditions exigées en matière d'hygiène et de santé publique et d'octroi des agréments pour l'exercice des activités liées à l'industrie laitières, seront définies par arrêté(s) du (des) Ministre(s) concerné(s) </w:t>
      </w:r>
    </w:p>
    <w:p w14:paraId="6555C813" w14:textId="77777777" w:rsidR="0049647F" w:rsidRPr="00B004EE" w:rsidRDefault="0049647F" w:rsidP="00B004EE">
      <w:pPr>
        <w:jc w:val="both"/>
        <w:rPr>
          <w:rFonts w:ascii="Tahoma" w:hAnsi="Tahoma" w:cs="Tahoma"/>
          <w:sz w:val="20"/>
          <w:szCs w:val="20"/>
        </w:rPr>
      </w:pPr>
    </w:p>
    <w:p w14:paraId="26E960AA" w14:textId="77777777" w:rsidR="0049647F" w:rsidRPr="00B004EE" w:rsidRDefault="0049647F" w:rsidP="00B004EE">
      <w:pPr>
        <w:jc w:val="both"/>
        <w:rPr>
          <w:rFonts w:ascii="Tahoma" w:eastAsia="American Typewriter" w:hAnsi="Tahoma" w:cs="Tahoma"/>
          <w:sz w:val="20"/>
          <w:szCs w:val="20"/>
        </w:rPr>
      </w:pPr>
      <w:r w:rsidRPr="00B004EE">
        <w:rPr>
          <w:rFonts w:ascii="Tahoma" w:hAnsi="Tahoma" w:cs="Tahoma"/>
          <w:sz w:val="20"/>
          <w:szCs w:val="20"/>
        </w:rPr>
        <w:t>Article 37 : Fabrication et vente des glaces et crèmes glacées. Ces denrées doivent</w:t>
      </w:r>
      <w:r w:rsidRPr="00B004EE">
        <w:rPr>
          <w:rFonts w:ascii="Tahoma" w:eastAsia="American Typewriter" w:hAnsi="Tahoma" w:cs="Tahoma"/>
          <w:sz w:val="20"/>
          <w:szCs w:val="20"/>
        </w:rPr>
        <w:t xml:space="preserve"> répondre aux dispositions réglementaires définies par arrêté du Ministre chargé de la santé publique, notamment en ce qui concerne :</w:t>
      </w:r>
    </w:p>
    <w:p w14:paraId="622E127A" w14:textId="77777777" w:rsidR="0049647F" w:rsidRPr="00B004EE" w:rsidRDefault="0049647F" w:rsidP="00420DDA">
      <w:pPr>
        <w:pStyle w:val="Corpsdetexte"/>
        <w:widowControl w:val="0"/>
        <w:numPr>
          <w:ilvl w:val="0"/>
          <w:numId w:val="48"/>
        </w:numPr>
        <w:autoSpaceDE/>
        <w:autoSpaceDN/>
        <w:adjustRightInd/>
        <w:ind w:right="-6"/>
        <w:jc w:val="left"/>
        <w:rPr>
          <w:rFonts w:ascii="Tahoma" w:eastAsia="American Typewriter" w:hAnsi="Tahoma" w:cs="Tahoma"/>
          <w:sz w:val="20"/>
          <w:szCs w:val="20"/>
        </w:rPr>
      </w:pPr>
      <w:proofErr w:type="gramStart"/>
      <w:r w:rsidRPr="00B004EE">
        <w:rPr>
          <w:rFonts w:ascii="Tahoma" w:eastAsia="American Typewriter" w:hAnsi="Tahoma" w:cs="Tahoma"/>
          <w:sz w:val="20"/>
          <w:szCs w:val="20"/>
        </w:rPr>
        <w:t>le</w:t>
      </w:r>
      <w:proofErr w:type="gramEnd"/>
      <w:r w:rsidRPr="00B004EE">
        <w:rPr>
          <w:rFonts w:ascii="Tahoma" w:eastAsia="American Typewriter" w:hAnsi="Tahoma" w:cs="Tahoma"/>
          <w:sz w:val="20"/>
          <w:szCs w:val="20"/>
        </w:rPr>
        <w:t xml:space="preserve"> matériel servant à la fabrication;</w:t>
      </w:r>
    </w:p>
    <w:p w14:paraId="1C87BF6B" w14:textId="77777777" w:rsidR="0049647F" w:rsidRPr="00B004EE" w:rsidRDefault="0049647F" w:rsidP="00420DDA">
      <w:pPr>
        <w:pStyle w:val="Corpsdetexte"/>
        <w:widowControl w:val="0"/>
        <w:numPr>
          <w:ilvl w:val="0"/>
          <w:numId w:val="48"/>
        </w:numPr>
        <w:autoSpaceDE/>
        <w:autoSpaceDN/>
        <w:adjustRightInd/>
        <w:ind w:right="-6"/>
        <w:jc w:val="left"/>
        <w:rPr>
          <w:rFonts w:ascii="Tahoma" w:eastAsia="American Typewriter" w:hAnsi="Tahoma" w:cs="Tahoma"/>
          <w:sz w:val="20"/>
          <w:szCs w:val="20"/>
        </w:rPr>
      </w:pPr>
      <w:proofErr w:type="gramStart"/>
      <w:r w:rsidRPr="00B004EE">
        <w:rPr>
          <w:rFonts w:ascii="Tahoma" w:eastAsia="American Typewriter" w:hAnsi="Tahoma" w:cs="Tahoma"/>
          <w:sz w:val="20"/>
          <w:szCs w:val="20"/>
        </w:rPr>
        <w:t>la</w:t>
      </w:r>
      <w:proofErr w:type="gramEnd"/>
      <w:r w:rsidRPr="00B004EE">
        <w:rPr>
          <w:rFonts w:ascii="Tahoma" w:eastAsia="American Typewriter" w:hAnsi="Tahoma" w:cs="Tahoma"/>
          <w:sz w:val="20"/>
          <w:szCs w:val="20"/>
        </w:rPr>
        <w:t xml:space="preserve"> température des produits mis en vente; </w:t>
      </w:r>
    </w:p>
    <w:p w14:paraId="1EC73155" w14:textId="77777777" w:rsidR="0049647F" w:rsidRPr="00B004EE" w:rsidRDefault="0049647F" w:rsidP="00420DDA">
      <w:pPr>
        <w:pStyle w:val="Corpsdetexte"/>
        <w:widowControl w:val="0"/>
        <w:numPr>
          <w:ilvl w:val="0"/>
          <w:numId w:val="48"/>
        </w:numPr>
        <w:autoSpaceDE/>
        <w:autoSpaceDN/>
        <w:adjustRightInd/>
        <w:ind w:right="-6"/>
        <w:jc w:val="left"/>
        <w:rPr>
          <w:rFonts w:ascii="Tahoma" w:eastAsia="American Typewriter" w:hAnsi="Tahoma" w:cs="Tahoma"/>
          <w:sz w:val="20"/>
          <w:szCs w:val="20"/>
        </w:rPr>
      </w:pPr>
      <w:proofErr w:type="gramStart"/>
      <w:r w:rsidRPr="00B004EE">
        <w:rPr>
          <w:rFonts w:ascii="Tahoma" w:eastAsia="American Typewriter" w:hAnsi="Tahoma" w:cs="Tahoma"/>
          <w:sz w:val="20"/>
          <w:szCs w:val="20"/>
        </w:rPr>
        <w:t>leur</w:t>
      </w:r>
      <w:proofErr w:type="gramEnd"/>
      <w:r w:rsidRPr="00B004EE">
        <w:rPr>
          <w:rFonts w:ascii="Tahoma" w:eastAsia="American Typewriter" w:hAnsi="Tahoma" w:cs="Tahoma"/>
          <w:sz w:val="20"/>
          <w:szCs w:val="20"/>
        </w:rPr>
        <w:t xml:space="preserve"> fabrication .</w:t>
      </w:r>
    </w:p>
    <w:p w14:paraId="5ABC4BF7" w14:textId="77777777" w:rsidR="0049647F" w:rsidRPr="00B004EE" w:rsidRDefault="0049647F" w:rsidP="00B004EE">
      <w:pPr>
        <w:pStyle w:val="Corpsdetexte"/>
        <w:widowControl w:val="0"/>
        <w:autoSpaceDE/>
        <w:autoSpaceDN/>
        <w:adjustRightInd/>
        <w:ind w:left="720" w:right="-6"/>
        <w:jc w:val="left"/>
        <w:rPr>
          <w:rFonts w:ascii="Tahoma" w:eastAsia="American Typewriter" w:hAnsi="Tahoma" w:cs="Tahoma"/>
          <w:sz w:val="20"/>
          <w:szCs w:val="20"/>
        </w:rPr>
      </w:pPr>
    </w:p>
    <w:p w14:paraId="04BB2484" w14:textId="77777777" w:rsidR="0049647F" w:rsidRPr="00B004EE" w:rsidRDefault="0049647F" w:rsidP="00B004EE">
      <w:pPr>
        <w:pStyle w:val="Corpsdetexte"/>
        <w:ind w:right="-6"/>
        <w:rPr>
          <w:rFonts w:ascii="Tahoma" w:eastAsia="American Typewriter" w:hAnsi="Tahoma" w:cs="Tahoma"/>
          <w:sz w:val="20"/>
          <w:szCs w:val="20"/>
        </w:rPr>
      </w:pPr>
      <w:r w:rsidRPr="00B004EE">
        <w:rPr>
          <w:rFonts w:ascii="Tahoma" w:eastAsia="American Typewriter" w:hAnsi="Tahoma" w:cs="Tahoma"/>
          <w:sz w:val="20"/>
          <w:szCs w:val="20"/>
        </w:rPr>
        <w:t>Ces prescriptions s'appliquent aussi bien à la vente ambulante que celle pratiquée en magasin.</w:t>
      </w:r>
    </w:p>
    <w:p w14:paraId="1A749101" w14:textId="77777777" w:rsidR="0049647F" w:rsidRPr="00B004EE" w:rsidRDefault="0049647F" w:rsidP="00B004EE">
      <w:pPr>
        <w:pStyle w:val="Corpsdetexte"/>
        <w:ind w:right="-6"/>
        <w:rPr>
          <w:rFonts w:ascii="Tahoma" w:eastAsia="American Typewriter" w:hAnsi="Tahoma" w:cs="Tahoma"/>
          <w:sz w:val="20"/>
          <w:szCs w:val="20"/>
        </w:rPr>
      </w:pPr>
      <w:r w:rsidRPr="00B004EE">
        <w:rPr>
          <w:rFonts w:ascii="Tahoma" w:eastAsia="American Typewriter" w:hAnsi="Tahoma" w:cs="Tahoma"/>
          <w:sz w:val="20"/>
          <w:szCs w:val="20"/>
        </w:rPr>
        <w:t xml:space="preserve">Les crèmes glacées pourront renfermer, outre des produits laitiers, du sucre, des œufs et de l'eau ainsi que des matières aromatisants, des colorants, des stérilisateurs admis pour la préparation des denrées alimentaires </w:t>
      </w:r>
    </w:p>
    <w:p w14:paraId="04EB9DEC" w14:textId="77777777" w:rsidR="0049647F" w:rsidRPr="00B004EE" w:rsidRDefault="0049647F" w:rsidP="00B004EE">
      <w:pPr>
        <w:ind w:right="-6"/>
        <w:rPr>
          <w:rFonts w:ascii="Tahoma" w:eastAsia="Arial Narrow" w:hAnsi="Tahoma" w:cs="Tahoma"/>
          <w:sz w:val="20"/>
          <w:szCs w:val="20"/>
        </w:rPr>
      </w:pPr>
    </w:p>
    <w:p w14:paraId="5E160FF2" w14:textId="77777777" w:rsidR="0049647F" w:rsidRPr="00B004EE" w:rsidRDefault="0049647F" w:rsidP="00B004EE">
      <w:pPr>
        <w:pStyle w:val="Corpsdetexte"/>
        <w:ind w:right="-6"/>
        <w:jc w:val="center"/>
        <w:rPr>
          <w:rFonts w:ascii="Tahoma" w:eastAsia="American Typewriter" w:hAnsi="Tahoma" w:cs="Tahoma"/>
          <w:b/>
          <w:bCs/>
          <w:sz w:val="20"/>
          <w:szCs w:val="20"/>
        </w:rPr>
      </w:pPr>
      <w:r w:rsidRPr="00B004EE">
        <w:rPr>
          <w:rFonts w:ascii="Tahoma" w:eastAsia="American Typewriter" w:hAnsi="Tahoma" w:cs="Tahoma"/>
          <w:b/>
          <w:bCs/>
          <w:sz w:val="20"/>
          <w:szCs w:val="20"/>
        </w:rPr>
        <w:lastRenderedPageBreak/>
        <w:t>Section 4 : Aliments d'origine végétale</w:t>
      </w:r>
    </w:p>
    <w:p w14:paraId="1F245441"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 xml:space="preserve">Article 38 : </w:t>
      </w:r>
    </w:p>
    <w:p w14:paraId="4FC102E0" w14:textId="77777777" w:rsidR="0049647F" w:rsidRPr="00B004EE" w:rsidRDefault="0049647F" w:rsidP="00420DDA">
      <w:pPr>
        <w:pStyle w:val="Paragraphedeliste"/>
        <w:widowControl w:val="0"/>
        <w:numPr>
          <w:ilvl w:val="0"/>
          <w:numId w:val="45"/>
        </w:numPr>
        <w:tabs>
          <w:tab w:val="left" w:pos="853"/>
        </w:tabs>
        <w:ind w:left="567" w:right="-6" w:hanging="425"/>
        <w:jc w:val="both"/>
        <w:rPr>
          <w:rFonts w:ascii="Tahoma" w:eastAsia="American Typewriter" w:hAnsi="Tahoma" w:cs="Tahoma"/>
          <w:sz w:val="20"/>
          <w:szCs w:val="20"/>
        </w:rPr>
      </w:pPr>
      <w:r w:rsidRPr="00B004EE">
        <w:rPr>
          <w:rFonts w:ascii="Tahoma" w:eastAsia="American Typewriter" w:hAnsi="Tahoma" w:cs="Tahoma"/>
          <w:sz w:val="20"/>
          <w:szCs w:val="20"/>
        </w:rPr>
        <w:t>Le déversement ou le dépôt de déchets, vidanges, ordures ménagères, gadoues, matières fécales sont interdits sur tous les terrains où sont cultivés des fruits et légumes susceptibles d'être consommés crus et dont la partie comestible peut se trouver au contact de ces déchets. Les engrais organiques, fumiers composes ne doivent être répandus qu'un mois au plus tard avant les récoltes.</w:t>
      </w:r>
    </w:p>
    <w:p w14:paraId="3A982D3B" w14:textId="77777777" w:rsidR="0049647F" w:rsidRPr="00B004EE" w:rsidRDefault="0049647F" w:rsidP="00420DDA">
      <w:pPr>
        <w:pStyle w:val="Paragraphedeliste"/>
        <w:widowControl w:val="0"/>
        <w:numPr>
          <w:ilvl w:val="0"/>
          <w:numId w:val="45"/>
        </w:numPr>
        <w:tabs>
          <w:tab w:val="left" w:pos="865"/>
        </w:tabs>
        <w:ind w:left="567" w:right="-6" w:hanging="425"/>
        <w:jc w:val="both"/>
        <w:rPr>
          <w:rFonts w:ascii="Tahoma" w:eastAsia="American Typewriter" w:hAnsi="Tahoma" w:cs="Tahoma"/>
          <w:sz w:val="20"/>
          <w:szCs w:val="20"/>
        </w:rPr>
      </w:pPr>
      <w:r w:rsidRPr="00B004EE">
        <w:rPr>
          <w:rFonts w:ascii="Tahoma" w:eastAsia="American Typewriter" w:hAnsi="Tahoma" w:cs="Tahoma"/>
          <w:sz w:val="20"/>
          <w:szCs w:val="20"/>
        </w:rPr>
        <w:t>Les fruits et légumes doivent être conformes aux prescriptions en vigueur en matière d'hygiène, notamment en ce qui concerne les résidus de pesticides. Les produits jugés nuisibles à la santé humaine doivent être éliminés de la vente.</w:t>
      </w:r>
    </w:p>
    <w:p w14:paraId="7B0C12D0" w14:textId="77777777" w:rsidR="0049647F" w:rsidRPr="00B004EE" w:rsidRDefault="0049647F" w:rsidP="00420DDA">
      <w:pPr>
        <w:pStyle w:val="Paragraphedeliste"/>
        <w:widowControl w:val="0"/>
        <w:numPr>
          <w:ilvl w:val="0"/>
          <w:numId w:val="45"/>
        </w:numPr>
        <w:tabs>
          <w:tab w:val="left" w:pos="923"/>
        </w:tabs>
        <w:ind w:left="567" w:right="-6" w:hanging="425"/>
        <w:rPr>
          <w:rFonts w:ascii="Tahoma" w:eastAsia="American Typewriter" w:hAnsi="Tahoma" w:cs="Tahoma"/>
          <w:sz w:val="20"/>
          <w:szCs w:val="20"/>
        </w:rPr>
      </w:pPr>
      <w:r w:rsidRPr="00B004EE">
        <w:rPr>
          <w:rFonts w:ascii="Tahoma" w:eastAsia="American Typewriter" w:hAnsi="Tahoma" w:cs="Tahoma"/>
          <w:sz w:val="20"/>
          <w:szCs w:val="20"/>
        </w:rPr>
        <w:t>Les fruits et légumes doivent respecter les conditions de qualité en ce qui concerne le degré de développement, de maturité naturelle, de goût et d'odeur.</w:t>
      </w:r>
    </w:p>
    <w:p w14:paraId="193AA25C" w14:textId="77777777" w:rsidR="0049647F" w:rsidRPr="00B004EE" w:rsidRDefault="0049647F" w:rsidP="00420DDA">
      <w:pPr>
        <w:pStyle w:val="Paragraphedeliste"/>
        <w:widowControl w:val="0"/>
        <w:numPr>
          <w:ilvl w:val="0"/>
          <w:numId w:val="45"/>
        </w:numPr>
        <w:tabs>
          <w:tab w:val="left" w:pos="850"/>
        </w:tabs>
        <w:ind w:left="567" w:right="-6" w:hanging="425"/>
        <w:jc w:val="both"/>
        <w:rPr>
          <w:rFonts w:ascii="Tahoma" w:eastAsia="American Typewriter" w:hAnsi="Tahoma" w:cs="Tahoma"/>
          <w:sz w:val="20"/>
          <w:szCs w:val="20"/>
        </w:rPr>
      </w:pPr>
      <w:r w:rsidRPr="00B004EE">
        <w:rPr>
          <w:rFonts w:ascii="Tahoma" w:eastAsia="American Typewriter" w:hAnsi="Tahoma" w:cs="Tahoma"/>
          <w:sz w:val="20"/>
          <w:szCs w:val="20"/>
        </w:rPr>
        <w:t>Les fruits doivent être exempts de terre, de même que les légumes. Si le lavage des fruits ou de légumes s'avère nécessaire, de l'eau potable de qualité sera utilisée et l'opération sera suivie d'un égouttage approprié.</w:t>
      </w:r>
    </w:p>
    <w:p w14:paraId="7973735E" w14:textId="77777777" w:rsidR="0049647F" w:rsidRPr="00B004EE" w:rsidRDefault="0049647F" w:rsidP="00B004EE">
      <w:pPr>
        <w:ind w:right="-6"/>
        <w:rPr>
          <w:rFonts w:ascii="Tahoma" w:eastAsia="Arial Narrow" w:hAnsi="Tahoma" w:cs="Tahoma"/>
          <w:sz w:val="20"/>
          <w:szCs w:val="20"/>
        </w:rPr>
      </w:pPr>
    </w:p>
    <w:p w14:paraId="5D1DD615" w14:textId="77777777" w:rsidR="0049647F" w:rsidRPr="00B004EE" w:rsidRDefault="0049647F" w:rsidP="00B004EE">
      <w:pPr>
        <w:pStyle w:val="Titre6"/>
        <w:spacing w:before="0" w:after="0"/>
        <w:ind w:right="-6" w:firstLine="3"/>
        <w:jc w:val="center"/>
        <w:rPr>
          <w:rFonts w:ascii="Tahoma" w:eastAsia="American Typewriter" w:hAnsi="Tahoma" w:cs="Tahoma"/>
          <w:b/>
          <w:bCs/>
          <w:i w:val="0"/>
          <w:iCs w:val="0"/>
          <w:sz w:val="20"/>
          <w:szCs w:val="20"/>
        </w:rPr>
      </w:pPr>
      <w:r w:rsidRPr="00B004EE">
        <w:rPr>
          <w:rFonts w:ascii="Tahoma" w:eastAsia="American Typewriter" w:hAnsi="Tahoma" w:cs="Tahoma"/>
          <w:b/>
          <w:bCs/>
          <w:i w:val="0"/>
          <w:iCs w:val="0"/>
          <w:sz w:val="20"/>
          <w:szCs w:val="20"/>
        </w:rPr>
        <w:t>Section 5 : Aliments d'origine animale</w:t>
      </w:r>
    </w:p>
    <w:p w14:paraId="5CAAC40F" w14:textId="77777777" w:rsidR="0049647F" w:rsidRPr="00B004EE" w:rsidRDefault="0049647F" w:rsidP="00B004EE">
      <w:pPr>
        <w:pStyle w:val="Corpsdetexte"/>
        <w:ind w:right="-6"/>
        <w:jc w:val="center"/>
        <w:rPr>
          <w:rFonts w:ascii="Tahoma" w:hAnsi="Tahoma" w:cs="Tahoma"/>
          <w:b/>
          <w:bCs/>
          <w:w w:val="120"/>
          <w:sz w:val="20"/>
          <w:szCs w:val="20"/>
        </w:rPr>
      </w:pPr>
    </w:p>
    <w:p w14:paraId="1E306AE3" w14:textId="77777777" w:rsidR="0049647F" w:rsidRPr="00B004EE" w:rsidRDefault="0049647F" w:rsidP="00B004EE">
      <w:pPr>
        <w:pStyle w:val="Corpsdetexte"/>
        <w:ind w:right="-6" w:hanging="8"/>
        <w:rPr>
          <w:rFonts w:ascii="Tahoma" w:hAnsi="Tahoma" w:cs="Tahoma"/>
          <w:sz w:val="20"/>
          <w:szCs w:val="20"/>
        </w:rPr>
      </w:pPr>
      <w:r w:rsidRPr="00B004EE">
        <w:rPr>
          <w:rFonts w:ascii="Tahoma" w:hAnsi="Tahoma" w:cs="Tahoma"/>
          <w:sz w:val="20"/>
          <w:szCs w:val="20"/>
        </w:rPr>
        <w:t>Article 39 : Viande. La vente des produits carnés est soumise à une législation</w:t>
      </w:r>
      <w:r w:rsidRPr="00B004EE">
        <w:rPr>
          <w:rFonts w:ascii="Tahoma" w:eastAsia="American Typewriter" w:hAnsi="Tahoma" w:cs="Tahoma"/>
          <w:sz w:val="20"/>
          <w:szCs w:val="20"/>
        </w:rPr>
        <w:t xml:space="preserve"> </w:t>
      </w:r>
      <w:r w:rsidRPr="00B004EE">
        <w:rPr>
          <w:rFonts w:ascii="Tahoma" w:hAnsi="Tahoma" w:cs="Tahoma"/>
          <w:sz w:val="20"/>
          <w:szCs w:val="20"/>
        </w:rPr>
        <w:t>particulière et contrôlée par le service de l'inspection vétérinaire.</w:t>
      </w:r>
    </w:p>
    <w:p w14:paraId="42814E79" w14:textId="77777777" w:rsidR="0049647F" w:rsidRPr="00B004EE" w:rsidRDefault="0049647F" w:rsidP="00B004EE">
      <w:pPr>
        <w:pStyle w:val="Corpsdetexte"/>
        <w:ind w:right="-6"/>
        <w:rPr>
          <w:rFonts w:ascii="Tahoma" w:eastAsia="American Typewriter" w:hAnsi="Tahoma" w:cs="Tahoma"/>
          <w:sz w:val="20"/>
          <w:szCs w:val="20"/>
        </w:rPr>
      </w:pPr>
      <w:r w:rsidRPr="00B004EE">
        <w:rPr>
          <w:rFonts w:ascii="Tahoma" w:eastAsia="American Typewriter" w:hAnsi="Tahoma" w:cs="Tahoma"/>
          <w:sz w:val="20"/>
          <w:szCs w:val="20"/>
        </w:rPr>
        <w:t>La vente des viandes et produits dérivés en dehors des locaux de vente appropriés (boucheries, marchés, charcuteries) doit être proscrite.</w:t>
      </w:r>
    </w:p>
    <w:p w14:paraId="75AC40C9" w14:textId="77777777" w:rsidR="0049647F" w:rsidRPr="00B004EE" w:rsidRDefault="0049647F" w:rsidP="00B004EE">
      <w:pPr>
        <w:jc w:val="both"/>
        <w:rPr>
          <w:rFonts w:ascii="Tahoma" w:hAnsi="Tahoma" w:cs="Tahoma"/>
          <w:sz w:val="20"/>
          <w:szCs w:val="20"/>
        </w:rPr>
      </w:pPr>
      <w:r w:rsidRPr="00B004EE">
        <w:rPr>
          <w:rFonts w:ascii="Tahoma" w:eastAsia="American Typewriter" w:hAnsi="Tahoma" w:cs="Tahoma"/>
          <w:sz w:val="20"/>
          <w:szCs w:val="20"/>
        </w:rPr>
        <w:t xml:space="preserve">Les prescriptions générales concernant l'hygiène des denrées alimentaires leur sont </w:t>
      </w:r>
      <w:r w:rsidRPr="00B004EE">
        <w:rPr>
          <w:rFonts w:ascii="Tahoma" w:hAnsi="Tahoma" w:cs="Tahoma"/>
          <w:sz w:val="20"/>
          <w:szCs w:val="20"/>
        </w:rPr>
        <w:t>applicables. Des mesures renforcées peuvent être prises par décret.</w:t>
      </w:r>
    </w:p>
    <w:p w14:paraId="6C3E4E23" w14:textId="77777777" w:rsidR="0049647F" w:rsidRPr="00B004EE" w:rsidRDefault="0049647F" w:rsidP="00B004EE">
      <w:pPr>
        <w:jc w:val="both"/>
        <w:rPr>
          <w:rFonts w:ascii="Tahoma" w:hAnsi="Tahoma" w:cs="Tahoma"/>
          <w:sz w:val="20"/>
          <w:szCs w:val="20"/>
        </w:rPr>
      </w:pPr>
    </w:p>
    <w:p w14:paraId="2D487CF1"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 40 : Poissons et produits de pêche. La vente des poissons et produits de pêche est soumise à une législation particulière et contrôlée par le service de l'inspection des pêches. Les poissons ne seront vendus que dans les établissements et les marchés publics autorisés.</w:t>
      </w:r>
    </w:p>
    <w:p w14:paraId="50EDF680" w14:textId="77777777" w:rsidR="0049647F" w:rsidRPr="00B004EE" w:rsidRDefault="0049647F" w:rsidP="00B004EE">
      <w:pPr>
        <w:jc w:val="both"/>
        <w:rPr>
          <w:rFonts w:ascii="Tahoma" w:hAnsi="Tahoma" w:cs="Tahoma"/>
          <w:sz w:val="20"/>
          <w:szCs w:val="20"/>
        </w:rPr>
      </w:pPr>
    </w:p>
    <w:p w14:paraId="54167B3E" w14:textId="77777777" w:rsidR="0049647F" w:rsidRPr="00B004EE" w:rsidRDefault="0049647F" w:rsidP="00B004EE">
      <w:pPr>
        <w:pStyle w:val="Corpsdetexte"/>
        <w:ind w:right="-6"/>
        <w:rPr>
          <w:rFonts w:ascii="Tahoma" w:eastAsia="American Typewriter" w:hAnsi="Tahoma" w:cs="Tahoma"/>
          <w:sz w:val="20"/>
          <w:szCs w:val="20"/>
        </w:rPr>
      </w:pPr>
      <w:r w:rsidRPr="00B004EE">
        <w:rPr>
          <w:rFonts w:ascii="Tahoma" w:eastAsia="American Typewriter" w:hAnsi="Tahoma" w:cs="Tahoma"/>
          <w:sz w:val="20"/>
          <w:szCs w:val="20"/>
        </w:rPr>
        <w:t>Les coquillages, qui peuvent être le siège de toutes sortes de microbes pathogènes (bacilles typhiques en particulier), devront faire l'objet d'une réglementation spéciale par décret.</w:t>
      </w:r>
    </w:p>
    <w:p w14:paraId="7D82E531" w14:textId="77777777" w:rsidR="0049647F" w:rsidRPr="00B004EE" w:rsidRDefault="0049647F" w:rsidP="00B004EE">
      <w:pPr>
        <w:pStyle w:val="Corpsdetexte"/>
        <w:ind w:right="-6"/>
        <w:rPr>
          <w:rFonts w:ascii="Tahoma" w:eastAsia="American Typewriter" w:hAnsi="Tahoma" w:cs="Tahoma"/>
          <w:sz w:val="20"/>
          <w:szCs w:val="20"/>
        </w:rPr>
      </w:pPr>
    </w:p>
    <w:p w14:paraId="219F89AE" w14:textId="77777777" w:rsidR="0049647F" w:rsidRPr="00B004EE" w:rsidRDefault="0049647F" w:rsidP="00B004EE">
      <w:pPr>
        <w:pStyle w:val="Titre6"/>
        <w:spacing w:before="0" w:after="0"/>
        <w:ind w:right="-6" w:firstLine="3"/>
        <w:jc w:val="center"/>
        <w:rPr>
          <w:rFonts w:ascii="Tahoma" w:eastAsia="American Typewriter" w:hAnsi="Tahoma" w:cs="Tahoma"/>
          <w:b/>
          <w:bCs/>
          <w:i w:val="0"/>
          <w:iCs w:val="0"/>
          <w:sz w:val="20"/>
          <w:szCs w:val="20"/>
        </w:rPr>
      </w:pPr>
      <w:r w:rsidRPr="00B004EE">
        <w:rPr>
          <w:rFonts w:ascii="Tahoma" w:eastAsia="American Typewriter" w:hAnsi="Tahoma" w:cs="Tahoma"/>
          <w:b/>
          <w:bCs/>
          <w:i w:val="0"/>
          <w:iCs w:val="0"/>
          <w:sz w:val="20"/>
          <w:szCs w:val="20"/>
        </w:rPr>
        <w:t>Section 6 : La restauration collective</w:t>
      </w:r>
    </w:p>
    <w:p w14:paraId="00719BE0" w14:textId="77777777" w:rsidR="0049647F" w:rsidRPr="00B004EE" w:rsidRDefault="0049647F" w:rsidP="00B004EE">
      <w:pPr>
        <w:ind w:right="-6"/>
        <w:rPr>
          <w:rFonts w:ascii="Tahoma" w:eastAsia="Courier New" w:hAnsi="Tahoma" w:cs="Tahoma"/>
          <w:b/>
          <w:bCs/>
          <w:sz w:val="20"/>
          <w:szCs w:val="20"/>
        </w:rPr>
      </w:pPr>
    </w:p>
    <w:p w14:paraId="217594AD"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 41 : Hygiène des restaurants et locaux similaires. Les dispositions suivantes s'appliquent aux salles à manger et annexes des restaurants, buffets et brasseries servant des repas, ainsi qu'aux établissements de restauration collective.</w:t>
      </w:r>
    </w:p>
    <w:p w14:paraId="36D58272" w14:textId="77777777" w:rsidR="0049647F" w:rsidRPr="00B004EE" w:rsidRDefault="0049647F" w:rsidP="00420DDA">
      <w:pPr>
        <w:pStyle w:val="Corpsdetexte"/>
        <w:numPr>
          <w:ilvl w:val="0"/>
          <w:numId w:val="74"/>
        </w:numPr>
        <w:ind w:right="-6"/>
        <w:rPr>
          <w:rFonts w:ascii="Tahoma" w:eastAsia="American Typewriter" w:hAnsi="Tahoma" w:cs="Tahoma"/>
          <w:sz w:val="20"/>
          <w:szCs w:val="20"/>
        </w:rPr>
      </w:pPr>
      <w:r w:rsidRPr="00B004EE">
        <w:rPr>
          <w:rFonts w:ascii="Tahoma" w:eastAsia="American Typewriter" w:hAnsi="Tahoma" w:cs="Tahoma"/>
          <w:sz w:val="20"/>
          <w:szCs w:val="20"/>
        </w:rPr>
        <w:t>1° l'ouverture d'un restaurant est soumise à une autorisation préalable du(des) Ministère(s) concerné(s).</w:t>
      </w:r>
    </w:p>
    <w:p w14:paraId="37FA2D56" w14:textId="77777777" w:rsidR="0049647F" w:rsidRPr="00B004EE" w:rsidRDefault="0049647F" w:rsidP="00420DDA">
      <w:pPr>
        <w:pStyle w:val="Corpsdetexte"/>
        <w:numPr>
          <w:ilvl w:val="0"/>
          <w:numId w:val="74"/>
        </w:numPr>
        <w:ind w:right="-6"/>
        <w:rPr>
          <w:rFonts w:ascii="Tahoma" w:eastAsia="American Typewriter" w:hAnsi="Tahoma" w:cs="Tahoma"/>
          <w:sz w:val="20"/>
          <w:szCs w:val="20"/>
        </w:rPr>
      </w:pPr>
      <w:r w:rsidRPr="00B004EE">
        <w:rPr>
          <w:rFonts w:ascii="Tahoma" w:eastAsia="American Typewriter" w:hAnsi="Tahoma" w:cs="Tahoma"/>
          <w:sz w:val="20"/>
          <w:szCs w:val="20"/>
        </w:rPr>
        <w:t>2° Les locaux, les équipements et les produits doivent répondre aux exigences requises en matière d'hygiène et de santé publiques.</w:t>
      </w:r>
    </w:p>
    <w:p w14:paraId="13AA1D34" w14:textId="77777777" w:rsidR="0049647F" w:rsidRPr="00B004EE" w:rsidRDefault="0049647F" w:rsidP="00420DDA">
      <w:pPr>
        <w:pStyle w:val="Corpsdetexte"/>
        <w:numPr>
          <w:ilvl w:val="0"/>
          <w:numId w:val="74"/>
        </w:numPr>
        <w:ind w:right="-6"/>
        <w:rPr>
          <w:rFonts w:ascii="Tahoma" w:eastAsia="American Typewriter" w:hAnsi="Tahoma" w:cs="Tahoma"/>
          <w:sz w:val="20"/>
          <w:szCs w:val="20"/>
        </w:rPr>
      </w:pPr>
      <w:r w:rsidRPr="00B004EE">
        <w:rPr>
          <w:rFonts w:ascii="Tahoma" w:eastAsia="American Typewriter" w:hAnsi="Tahoma" w:cs="Tahoma"/>
          <w:sz w:val="20"/>
          <w:szCs w:val="20"/>
        </w:rPr>
        <w:t>3° Le personnel de la restauration est soumis au respect des règles d'hygiène et de santé publiques individuelles qui seront définies par arrêté du Ministère chargé de la santé.</w:t>
      </w:r>
    </w:p>
    <w:p w14:paraId="002F0905" w14:textId="77777777" w:rsidR="0049647F" w:rsidRPr="00B004EE" w:rsidRDefault="0049647F" w:rsidP="00B004EE">
      <w:pPr>
        <w:pStyle w:val="Titre6"/>
        <w:spacing w:before="0" w:after="0"/>
        <w:ind w:right="-6" w:firstLine="3"/>
        <w:jc w:val="center"/>
        <w:rPr>
          <w:rFonts w:ascii="Tahoma" w:eastAsia="American Typewriter" w:hAnsi="Tahoma" w:cs="Tahoma"/>
          <w:b/>
          <w:bCs/>
          <w:i w:val="0"/>
          <w:iCs w:val="0"/>
          <w:sz w:val="20"/>
          <w:szCs w:val="20"/>
        </w:rPr>
      </w:pPr>
    </w:p>
    <w:p w14:paraId="2779AFFA" w14:textId="77777777" w:rsidR="0049647F" w:rsidRPr="00B004EE" w:rsidRDefault="0049647F" w:rsidP="00B004EE">
      <w:pPr>
        <w:pStyle w:val="Titre6"/>
        <w:spacing w:before="0" w:after="0"/>
        <w:ind w:right="-6" w:firstLine="3"/>
        <w:jc w:val="center"/>
        <w:rPr>
          <w:rFonts w:ascii="Tahoma" w:eastAsia="American Typewriter" w:hAnsi="Tahoma" w:cs="Tahoma"/>
          <w:b/>
          <w:bCs/>
          <w:i w:val="0"/>
          <w:iCs w:val="0"/>
          <w:sz w:val="20"/>
          <w:szCs w:val="20"/>
        </w:rPr>
      </w:pPr>
      <w:r w:rsidRPr="00B004EE">
        <w:rPr>
          <w:rFonts w:ascii="Tahoma" w:eastAsia="American Typewriter" w:hAnsi="Tahoma" w:cs="Tahoma"/>
          <w:b/>
          <w:bCs/>
          <w:i w:val="0"/>
          <w:iCs w:val="0"/>
          <w:sz w:val="20"/>
          <w:szCs w:val="20"/>
        </w:rPr>
        <w:t>CHAPITRE III : DE L’HYGIENE DES BATIMENTS PUBLICS ET DES ETABLISSEMENTS SCOLAIRES ET PRESCOLAIRES</w:t>
      </w:r>
    </w:p>
    <w:p w14:paraId="0260D547" w14:textId="77777777" w:rsidR="0049647F" w:rsidRPr="00B004EE" w:rsidRDefault="0049647F" w:rsidP="00B004EE">
      <w:pPr>
        <w:ind w:right="-6"/>
        <w:jc w:val="center"/>
        <w:rPr>
          <w:rFonts w:ascii="Tahoma" w:eastAsia="Courier New" w:hAnsi="Tahoma" w:cs="Tahoma"/>
          <w:b/>
          <w:bCs/>
          <w:sz w:val="20"/>
          <w:szCs w:val="20"/>
        </w:rPr>
      </w:pPr>
    </w:p>
    <w:p w14:paraId="57E2C348"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 42 : L'installation des bâtiments publics et des établissements scolaires et préscolaires doit se faire conformément à la réglementation en vigueur.</w:t>
      </w:r>
    </w:p>
    <w:p w14:paraId="316A8DBB" w14:textId="77777777" w:rsidR="0049647F" w:rsidRPr="00B004EE" w:rsidRDefault="0049647F" w:rsidP="00B004EE">
      <w:pPr>
        <w:jc w:val="both"/>
        <w:rPr>
          <w:rFonts w:ascii="Tahoma" w:hAnsi="Tahoma" w:cs="Tahoma"/>
          <w:sz w:val="20"/>
          <w:szCs w:val="20"/>
        </w:rPr>
      </w:pPr>
    </w:p>
    <w:p w14:paraId="5FCC10FA"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 43 : La conception, les matériels et matériaux de construction des bâtiments publics, doivent assurer le maximum de sécurité sanitaire et le confort au personnel.</w:t>
      </w:r>
    </w:p>
    <w:p w14:paraId="32B4430D" w14:textId="77777777" w:rsidR="0049647F" w:rsidRPr="00B004EE" w:rsidRDefault="0049647F" w:rsidP="00B004EE">
      <w:pPr>
        <w:jc w:val="both"/>
        <w:rPr>
          <w:rFonts w:ascii="Tahoma" w:hAnsi="Tahoma" w:cs="Tahoma"/>
          <w:sz w:val="20"/>
          <w:szCs w:val="20"/>
        </w:rPr>
      </w:pPr>
    </w:p>
    <w:p w14:paraId="487D29B5"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lastRenderedPageBreak/>
        <w:t>Chaque bâtiment public doit disposer d'une source d'approvisionnement en eau potable de qualité et d'installations sanitaires assurant l'hygiène et la santé publiques du personnel et des visiteurs.</w:t>
      </w:r>
    </w:p>
    <w:p w14:paraId="04B5D262" w14:textId="77777777" w:rsidR="0049647F" w:rsidRPr="00B004EE" w:rsidRDefault="0049647F" w:rsidP="00B004EE">
      <w:pPr>
        <w:jc w:val="both"/>
        <w:rPr>
          <w:rFonts w:ascii="Tahoma" w:hAnsi="Tahoma" w:cs="Tahoma"/>
          <w:sz w:val="20"/>
          <w:szCs w:val="20"/>
        </w:rPr>
      </w:pPr>
    </w:p>
    <w:p w14:paraId="4E54B3F8"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Tout bâtiment public doit posséder un système d'évacuation approprié des déchets liquides et solides et des équipements anti-incendie.</w:t>
      </w:r>
    </w:p>
    <w:p w14:paraId="22891E0B" w14:textId="77777777" w:rsidR="0049647F" w:rsidRPr="00B004EE" w:rsidRDefault="0049647F" w:rsidP="00B004EE">
      <w:pPr>
        <w:jc w:val="both"/>
        <w:rPr>
          <w:rFonts w:ascii="Tahoma" w:hAnsi="Tahoma" w:cs="Tahoma"/>
          <w:sz w:val="20"/>
          <w:szCs w:val="20"/>
        </w:rPr>
      </w:pPr>
    </w:p>
    <w:p w14:paraId="01524386"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 44 : L'emplacement des établissements scolaires et préscolaires doit être choisi de façon à assurer le maximum d'éclairage naturel et d'aération aux salles de cours et de façon à éviter aux élèves les poussières, les odeurs, les bruits et autres nuisances.</w:t>
      </w:r>
    </w:p>
    <w:p w14:paraId="4BF50FA5"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Le terrain doit permettre le drainage des eaux usées et les abords immédiats dépourvus d'immondices.</w:t>
      </w:r>
    </w:p>
    <w:p w14:paraId="13660DFA" w14:textId="77777777" w:rsidR="0049647F" w:rsidRPr="00B004EE" w:rsidRDefault="0049647F" w:rsidP="00B004EE">
      <w:pPr>
        <w:jc w:val="both"/>
        <w:rPr>
          <w:rFonts w:ascii="Tahoma" w:hAnsi="Tahoma" w:cs="Tahoma"/>
          <w:sz w:val="20"/>
          <w:szCs w:val="20"/>
        </w:rPr>
      </w:pPr>
    </w:p>
    <w:p w14:paraId="4D32F760"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La superficie de la cour, des salles de classe et des espaces de jeux aménagés, ainsi que l'éclairage artificiel, le cas échéant, doivent être conformes aux normes d'hygiène et de santé publiques.</w:t>
      </w:r>
    </w:p>
    <w:p w14:paraId="3749099F" w14:textId="77777777" w:rsidR="0049647F" w:rsidRPr="00B004EE" w:rsidRDefault="0049647F" w:rsidP="00B004EE">
      <w:pPr>
        <w:jc w:val="both"/>
        <w:rPr>
          <w:rFonts w:ascii="Tahoma" w:hAnsi="Tahoma" w:cs="Tahoma"/>
          <w:sz w:val="20"/>
          <w:szCs w:val="20"/>
        </w:rPr>
      </w:pPr>
    </w:p>
    <w:p w14:paraId="0802FA3F"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 45 : La vente des denrées alimentaires aux abords des établissements scolaires et préscolaires doit s'effectuer dans les conditions d'hygiène et de santé publiques prévues à l'article 41.</w:t>
      </w:r>
    </w:p>
    <w:p w14:paraId="7547026C" w14:textId="77777777" w:rsidR="0049647F" w:rsidRPr="00B004EE" w:rsidRDefault="0049647F" w:rsidP="00B004EE">
      <w:pPr>
        <w:pStyle w:val="Lgende"/>
        <w:jc w:val="center"/>
        <w:rPr>
          <w:rFonts w:ascii="Tahoma" w:hAnsi="Tahoma" w:cs="Tahoma"/>
          <w:w w:val="130"/>
        </w:rPr>
      </w:pPr>
    </w:p>
    <w:p w14:paraId="4034EAA3" w14:textId="77777777" w:rsidR="0049647F" w:rsidRPr="00B004EE" w:rsidRDefault="0049647F" w:rsidP="00B004EE">
      <w:pPr>
        <w:pStyle w:val="Lgende"/>
        <w:jc w:val="center"/>
        <w:rPr>
          <w:rFonts w:ascii="Tahoma" w:eastAsia="American Typewriter" w:hAnsi="Tahoma" w:cs="Tahoma"/>
        </w:rPr>
      </w:pPr>
      <w:r w:rsidRPr="00B004EE">
        <w:rPr>
          <w:rFonts w:ascii="Tahoma" w:eastAsia="American Typewriter" w:hAnsi="Tahoma" w:cs="Tahoma"/>
        </w:rPr>
        <w:t>CHAPITRE IV : DE L’HYGIENE DES ETABLISSEMENTS SANITAIRES</w:t>
      </w:r>
    </w:p>
    <w:p w14:paraId="491A3D5D" w14:textId="77777777" w:rsidR="0049647F" w:rsidRPr="00B004EE" w:rsidRDefault="0049647F" w:rsidP="00B004EE">
      <w:pPr>
        <w:pStyle w:val="Lgende"/>
        <w:jc w:val="center"/>
        <w:rPr>
          <w:rFonts w:ascii="Tahoma" w:hAnsi="Tahoma" w:cs="Tahoma"/>
          <w:w w:val="130"/>
        </w:rPr>
      </w:pPr>
    </w:p>
    <w:p w14:paraId="0EB103F0"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 46 : L'installation des établissements sanitaires est soumise à la réglementation en vigueur.</w:t>
      </w:r>
    </w:p>
    <w:p w14:paraId="37F0B7EC" w14:textId="77777777" w:rsidR="0049647F" w:rsidRPr="00B004EE" w:rsidRDefault="0049647F" w:rsidP="00B004EE">
      <w:pPr>
        <w:jc w:val="both"/>
        <w:rPr>
          <w:rFonts w:ascii="Tahoma" w:hAnsi="Tahoma" w:cs="Tahoma"/>
          <w:sz w:val="20"/>
          <w:szCs w:val="20"/>
        </w:rPr>
      </w:pPr>
    </w:p>
    <w:p w14:paraId="28CCB93E"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 47 : Chaque établissement sanitaire doit disposer d'une source d'approvisionnement en eau potable et d'installations sanitaires appropriées.</w:t>
      </w:r>
    </w:p>
    <w:p w14:paraId="50EB5790" w14:textId="77777777" w:rsidR="0049647F" w:rsidRPr="00B004EE" w:rsidRDefault="0049647F" w:rsidP="00B004EE">
      <w:pPr>
        <w:jc w:val="both"/>
        <w:rPr>
          <w:rFonts w:ascii="Tahoma" w:hAnsi="Tahoma" w:cs="Tahoma"/>
          <w:sz w:val="20"/>
          <w:szCs w:val="20"/>
        </w:rPr>
      </w:pPr>
    </w:p>
    <w:p w14:paraId="6F8B198F"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 48 : Tout établissement sanitaire public et privé doit assurer l'élimination immédiate et correcte des déchets générés conformément aux dispositions et règlement en vigueur dans les différentes étapes de collecte, de tri, de transport, de stockage et de traitement.</w:t>
      </w:r>
    </w:p>
    <w:p w14:paraId="46607284" w14:textId="77777777" w:rsidR="0049647F" w:rsidRPr="00B004EE" w:rsidRDefault="0049647F" w:rsidP="00B004EE">
      <w:pPr>
        <w:jc w:val="both"/>
        <w:rPr>
          <w:rFonts w:ascii="Tahoma" w:hAnsi="Tahoma" w:cs="Tahoma"/>
          <w:sz w:val="20"/>
          <w:szCs w:val="20"/>
        </w:rPr>
      </w:pPr>
    </w:p>
    <w:p w14:paraId="7D161D9F"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L'établissement doit posséder son propre système d'évacuation approprié et de traitement des déchets liquides. Les installations d'élimination des déchets biomédicaux doivent être conformes aux règles et normes en vigueur.</w:t>
      </w:r>
    </w:p>
    <w:p w14:paraId="547B5DA3" w14:textId="77777777" w:rsidR="0049647F" w:rsidRPr="00B004EE" w:rsidRDefault="0049647F" w:rsidP="00B004EE">
      <w:pPr>
        <w:jc w:val="both"/>
        <w:rPr>
          <w:rFonts w:ascii="Tahoma" w:hAnsi="Tahoma" w:cs="Tahoma"/>
          <w:sz w:val="20"/>
          <w:szCs w:val="20"/>
        </w:rPr>
      </w:pPr>
    </w:p>
    <w:p w14:paraId="1BC4203E"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Ces déchets doivent faire l'objet de désinfection préalable avant rejet dans les ouvrages d'assainissement.</w:t>
      </w:r>
    </w:p>
    <w:p w14:paraId="4E159ED3" w14:textId="77777777" w:rsidR="0049647F" w:rsidRPr="00B004EE" w:rsidRDefault="0049647F" w:rsidP="00B004EE">
      <w:pPr>
        <w:jc w:val="both"/>
        <w:rPr>
          <w:rFonts w:ascii="Tahoma" w:hAnsi="Tahoma" w:cs="Tahoma"/>
          <w:sz w:val="20"/>
          <w:szCs w:val="20"/>
        </w:rPr>
      </w:pPr>
    </w:p>
    <w:p w14:paraId="2E7AD640"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En l'absence d'un réseau d'égouts public, ces déchets peuvent être évacués dans des fosses septiques ou dans des latrines.</w:t>
      </w:r>
    </w:p>
    <w:p w14:paraId="397A27AC"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Les déchets biomédicaux anatomiques, doivent être désinfectés avant enfouissement. Les déchets non anatomiques doivent être désinfectés avant leurs éliminations finales.</w:t>
      </w:r>
    </w:p>
    <w:p w14:paraId="1E50C3D5" w14:textId="77777777" w:rsidR="0049647F" w:rsidRPr="00B004EE" w:rsidRDefault="0049647F" w:rsidP="00B004EE">
      <w:pPr>
        <w:jc w:val="both"/>
        <w:rPr>
          <w:rFonts w:ascii="Tahoma" w:hAnsi="Tahoma" w:cs="Tahoma"/>
          <w:sz w:val="20"/>
          <w:szCs w:val="20"/>
        </w:rPr>
      </w:pPr>
    </w:p>
    <w:p w14:paraId="1B758DC2"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L'organisation, les procédures de gestion des déchets biomédicaux et les contrôles des établissements seront fixés par voie réglementaire.</w:t>
      </w:r>
    </w:p>
    <w:p w14:paraId="07CC1AFB" w14:textId="77777777" w:rsidR="0049647F" w:rsidRPr="00B004EE" w:rsidRDefault="0049647F" w:rsidP="00B004EE">
      <w:pPr>
        <w:jc w:val="both"/>
        <w:rPr>
          <w:rFonts w:ascii="Tahoma" w:hAnsi="Tahoma" w:cs="Tahoma"/>
          <w:sz w:val="20"/>
          <w:szCs w:val="20"/>
        </w:rPr>
      </w:pPr>
    </w:p>
    <w:p w14:paraId="3C33B7F2" w14:textId="77777777" w:rsidR="0049647F" w:rsidRPr="00B004EE" w:rsidRDefault="0049647F" w:rsidP="00B004EE">
      <w:pPr>
        <w:jc w:val="both"/>
        <w:rPr>
          <w:rFonts w:ascii="Tahoma" w:eastAsia="American Typewriter" w:hAnsi="Tahoma" w:cs="Tahoma"/>
          <w:sz w:val="20"/>
          <w:szCs w:val="20"/>
        </w:rPr>
      </w:pPr>
      <w:r w:rsidRPr="00B004EE">
        <w:rPr>
          <w:rFonts w:ascii="Tahoma" w:hAnsi="Tahoma" w:cs="Tahoma"/>
          <w:sz w:val="20"/>
          <w:szCs w:val="20"/>
        </w:rPr>
        <w:t>Article 49 : Dans le cadre du contrôle des maladies contagieuses, notamment celles à potentiel épidémique, tout cas de l'une de ces maladies doit faire l'objet d'une</w:t>
      </w:r>
      <w:r w:rsidRPr="00B004EE">
        <w:rPr>
          <w:rFonts w:ascii="Tahoma" w:eastAsia="American Typewriter" w:hAnsi="Tahoma" w:cs="Tahoma"/>
          <w:sz w:val="20"/>
          <w:szCs w:val="20"/>
        </w:rPr>
        <w:t xml:space="preserve"> déclaration à l'autorité sanitaire par tout médecin, tout(e) infirmier(e) et en général tout personnel de santé responsable d'une formation sanitaire publique ou privée, qui en a constaté l'existence ou en a été informé.</w:t>
      </w:r>
    </w:p>
    <w:p w14:paraId="27249190" w14:textId="77777777" w:rsidR="0049647F" w:rsidRPr="00B004EE" w:rsidRDefault="0049647F" w:rsidP="00B004EE">
      <w:pPr>
        <w:ind w:right="-6"/>
        <w:rPr>
          <w:rFonts w:ascii="Tahoma" w:eastAsia="American Typewriter" w:hAnsi="Tahoma" w:cs="Tahoma"/>
          <w:sz w:val="20"/>
          <w:szCs w:val="20"/>
        </w:rPr>
      </w:pPr>
    </w:p>
    <w:p w14:paraId="40F10233" w14:textId="77777777" w:rsidR="0049647F" w:rsidRPr="00B004EE" w:rsidRDefault="0049647F" w:rsidP="00B004EE">
      <w:pPr>
        <w:ind w:right="-6" w:hanging="5"/>
        <w:jc w:val="both"/>
        <w:rPr>
          <w:rFonts w:ascii="Tahoma" w:eastAsia="American Typewriter" w:hAnsi="Tahoma" w:cs="Tahoma"/>
          <w:sz w:val="20"/>
          <w:szCs w:val="20"/>
        </w:rPr>
      </w:pPr>
      <w:r w:rsidRPr="00B004EE">
        <w:rPr>
          <w:rFonts w:ascii="Tahoma" w:eastAsia="American Typewriter" w:hAnsi="Tahoma" w:cs="Tahoma"/>
          <w:sz w:val="20"/>
          <w:szCs w:val="20"/>
        </w:rPr>
        <w:t>Tout décès dû à l'une de ces maladies doit être déclaré à l'autorité sanitaire dans les conditions prévues à l'alinéa précédent.</w:t>
      </w:r>
    </w:p>
    <w:p w14:paraId="78EE43E7" w14:textId="77777777" w:rsidR="0049647F" w:rsidRPr="00B004EE" w:rsidRDefault="0049647F" w:rsidP="00B004EE">
      <w:pPr>
        <w:ind w:right="-6"/>
        <w:jc w:val="both"/>
        <w:rPr>
          <w:rFonts w:ascii="Tahoma" w:eastAsia="American Typewriter" w:hAnsi="Tahoma" w:cs="Tahoma"/>
          <w:sz w:val="20"/>
          <w:szCs w:val="20"/>
        </w:rPr>
      </w:pPr>
      <w:r w:rsidRPr="00B004EE">
        <w:rPr>
          <w:rFonts w:ascii="Tahoma" w:eastAsia="American Typewriter" w:hAnsi="Tahoma" w:cs="Tahoma"/>
          <w:sz w:val="20"/>
          <w:szCs w:val="20"/>
        </w:rPr>
        <w:t>La liste des maladies à déclaration obligatoire est dressée par voie réglementaire.</w:t>
      </w:r>
    </w:p>
    <w:p w14:paraId="67AFEBE7" w14:textId="77777777" w:rsidR="0049647F" w:rsidRPr="00B004EE" w:rsidRDefault="0049647F" w:rsidP="00B004EE">
      <w:pPr>
        <w:ind w:right="-6"/>
        <w:rPr>
          <w:rFonts w:ascii="Tahoma" w:eastAsia="American Typewriter" w:hAnsi="Tahoma" w:cs="Tahoma"/>
          <w:sz w:val="20"/>
          <w:szCs w:val="20"/>
        </w:rPr>
      </w:pPr>
    </w:p>
    <w:p w14:paraId="62F9E7D7"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 50 : La non déclaration à l'autorité sanitaire de tout cas de l'une des maladies visées à l'article précédent constitue une infraction punie conformément aux dispositions en vigueur.</w:t>
      </w:r>
    </w:p>
    <w:p w14:paraId="3AFFB444"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lastRenderedPageBreak/>
        <w:t>Article 51 : La manipulation des corps des victimes de maladies contagieuses doit obéir à des règles strictes édictées par les agents chargés de l'hygiène et de l'assainissement.</w:t>
      </w:r>
    </w:p>
    <w:p w14:paraId="7EB36B9E" w14:textId="77777777" w:rsidR="0049647F" w:rsidRPr="00B004EE" w:rsidRDefault="0049647F" w:rsidP="00B004EE">
      <w:pPr>
        <w:jc w:val="both"/>
        <w:rPr>
          <w:rFonts w:ascii="Tahoma" w:hAnsi="Tahoma" w:cs="Tahoma"/>
          <w:sz w:val="20"/>
          <w:szCs w:val="20"/>
        </w:rPr>
      </w:pPr>
    </w:p>
    <w:p w14:paraId="44348136"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 52 : Les morgues doivent être construites de manière à être étanches. Les murs, le plancher et les banquettes doivent être en matériaux permettant un lavage et une désinfection facile.</w:t>
      </w:r>
    </w:p>
    <w:p w14:paraId="2D4DD55A" w14:textId="77777777" w:rsidR="0049647F" w:rsidRPr="00B004EE" w:rsidRDefault="0049647F" w:rsidP="00B004EE">
      <w:pPr>
        <w:jc w:val="both"/>
        <w:rPr>
          <w:rFonts w:ascii="Tahoma" w:hAnsi="Tahoma" w:cs="Tahoma"/>
          <w:sz w:val="20"/>
          <w:szCs w:val="20"/>
        </w:rPr>
      </w:pPr>
    </w:p>
    <w:p w14:paraId="1DFEA448"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Elles doivent être dotées d'installations permettant de conserver et de préparer les corps à l'enterrement et d'un système de traitement et d'évacuation des eaux usées.</w:t>
      </w:r>
    </w:p>
    <w:p w14:paraId="4CF115AD" w14:textId="77777777" w:rsidR="0049647F" w:rsidRPr="00B004EE" w:rsidRDefault="0049647F" w:rsidP="00B004EE">
      <w:pPr>
        <w:ind w:right="-6"/>
        <w:rPr>
          <w:rFonts w:ascii="Tahoma" w:eastAsia="American Typewriter" w:hAnsi="Tahoma" w:cs="Tahoma"/>
          <w:sz w:val="20"/>
          <w:szCs w:val="20"/>
        </w:rPr>
      </w:pPr>
    </w:p>
    <w:p w14:paraId="57D97E8A" w14:textId="77777777" w:rsidR="0049647F" w:rsidRPr="00B004EE" w:rsidRDefault="0049647F" w:rsidP="00B004EE">
      <w:pPr>
        <w:pStyle w:val="Lgende"/>
        <w:jc w:val="center"/>
        <w:rPr>
          <w:rFonts w:ascii="Tahoma" w:eastAsia="American Typewriter" w:hAnsi="Tahoma" w:cs="Tahoma"/>
        </w:rPr>
      </w:pPr>
      <w:r w:rsidRPr="00B004EE">
        <w:rPr>
          <w:rFonts w:ascii="Tahoma" w:eastAsia="American Typewriter" w:hAnsi="Tahoma" w:cs="Tahoma"/>
        </w:rPr>
        <w:t xml:space="preserve">TITRE IV : ORGANES </w:t>
      </w:r>
    </w:p>
    <w:p w14:paraId="4DD8552A" w14:textId="77777777" w:rsidR="0049647F" w:rsidRPr="00B004EE" w:rsidRDefault="0049647F" w:rsidP="00B004EE">
      <w:pPr>
        <w:jc w:val="center"/>
        <w:rPr>
          <w:rFonts w:ascii="Tahoma" w:eastAsia="American Typewriter" w:hAnsi="Tahoma" w:cs="Tahoma"/>
          <w:b/>
          <w:bCs/>
          <w:sz w:val="20"/>
          <w:szCs w:val="20"/>
        </w:rPr>
      </w:pPr>
      <w:r w:rsidRPr="00B004EE">
        <w:rPr>
          <w:rFonts w:ascii="Tahoma" w:eastAsia="American Typewriter" w:hAnsi="Tahoma" w:cs="Tahoma"/>
          <w:b/>
          <w:bCs/>
          <w:sz w:val="20"/>
          <w:szCs w:val="20"/>
        </w:rPr>
        <w:t>CHAPITREII : ORGANES DE COORDINATION ET DE CONCERTATION EN MATIER D’HYGIENE</w:t>
      </w:r>
    </w:p>
    <w:p w14:paraId="7F480EB6" w14:textId="77777777" w:rsidR="0049647F" w:rsidRPr="00B004EE" w:rsidRDefault="0049647F" w:rsidP="00B004EE">
      <w:pPr>
        <w:jc w:val="both"/>
        <w:rPr>
          <w:rFonts w:ascii="Tahoma" w:hAnsi="Tahoma" w:cs="Tahoma"/>
          <w:sz w:val="20"/>
          <w:szCs w:val="20"/>
        </w:rPr>
      </w:pPr>
    </w:p>
    <w:p w14:paraId="0A694FE3"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 53 : Il est créé, auprès du premier Ministre, un cadre de concertation, d'orientation, de promotion et d'aide à la décision en matière d'hygiène publique, dénommé Conseil National de l'Hygiène Publique, en abrégé CNHP.</w:t>
      </w:r>
    </w:p>
    <w:p w14:paraId="052A5D02" w14:textId="77777777" w:rsidR="0049647F" w:rsidRPr="00B004EE" w:rsidRDefault="0049647F" w:rsidP="00B004EE">
      <w:pPr>
        <w:jc w:val="both"/>
        <w:rPr>
          <w:rFonts w:ascii="Tahoma" w:hAnsi="Tahoma" w:cs="Tahoma"/>
          <w:sz w:val="20"/>
          <w:szCs w:val="20"/>
        </w:rPr>
      </w:pPr>
    </w:p>
    <w:p w14:paraId="453EC947"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 54 : La composition, l’organisation, les attributions et le fonctionnement du Conseil National de !'Hygiène Publique sont fixés par Décret.</w:t>
      </w:r>
    </w:p>
    <w:p w14:paraId="14BC8170" w14:textId="77777777" w:rsidR="0049647F" w:rsidRPr="00B004EE" w:rsidRDefault="0049647F" w:rsidP="00B004EE">
      <w:pPr>
        <w:ind w:right="-6"/>
        <w:rPr>
          <w:rFonts w:ascii="Tahoma" w:eastAsia="Arial Narrow" w:hAnsi="Tahoma" w:cs="Tahoma"/>
          <w:sz w:val="20"/>
          <w:szCs w:val="20"/>
        </w:rPr>
      </w:pPr>
    </w:p>
    <w:p w14:paraId="1EBE5498" w14:textId="77777777" w:rsidR="0049647F" w:rsidRPr="00B004EE" w:rsidRDefault="0049647F" w:rsidP="00B004EE">
      <w:pPr>
        <w:pStyle w:val="Lgende"/>
        <w:jc w:val="center"/>
        <w:rPr>
          <w:rFonts w:ascii="Tahoma" w:eastAsia="American Typewriter" w:hAnsi="Tahoma" w:cs="Tahoma"/>
        </w:rPr>
      </w:pPr>
      <w:bookmarkStart w:id="14" w:name="_Toc16279104"/>
      <w:bookmarkStart w:id="15" w:name="_Toc16279474"/>
      <w:r w:rsidRPr="00B004EE">
        <w:rPr>
          <w:rFonts w:ascii="Tahoma" w:eastAsia="American Typewriter" w:hAnsi="Tahoma" w:cs="Tahoma"/>
        </w:rPr>
        <w:t>CHAPITRE II : ORGANE TECHNIQUE DE NORMALISATION</w:t>
      </w:r>
      <w:bookmarkEnd w:id="14"/>
      <w:bookmarkEnd w:id="15"/>
    </w:p>
    <w:p w14:paraId="06C019D3" w14:textId="77777777" w:rsidR="0049647F" w:rsidRPr="00B004EE" w:rsidRDefault="0049647F" w:rsidP="00B004EE">
      <w:pPr>
        <w:pStyle w:val="Lgende"/>
        <w:jc w:val="center"/>
        <w:rPr>
          <w:rFonts w:ascii="Tahoma" w:eastAsia="American Typewriter" w:hAnsi="Tahoma" w:cs="Tahoma"/>
        </w:rPr>
      </w:pPr>
    </w:p>
    <w:p w14:paraId="12AB5586"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 xml:space="preserve">Article 55 : Il est créé un Comité national du </w:t>
      </w:r>
      <w:r w:rsidRPr="00B004EE">
        <w:rPr>
          <w:rFonts w:ascii="Tahoma" w:hAnsi="Tahoma" w:cs="Tahoma"/>
          <w:i/>
          <w:iCs/>
          <w:sz w:val="20"/>
          <w:szCs w:val="20"/>
        </w:rPr>
        <w:t>Codex Alimentarius</w:t>
      </w:r>
      <w:r w:rsidRPr="00B004EE">
        <w:rPr>
          <w:rFonts w:ascii="Tahoma" w:hAnsi="Tahoma" w:cs="Tahoma"/>
          <w:sz w:val="20"/>
          <w:szCs w:val="20"/>
        </w:rPr>
        <w:t xml:space="preserve"> correspondant de la Commission mixte Organisation des Nations Unies pour l'alimentation et l'agriculture - Organisation mondiale de la Santé (FAO-OMS) sur les normes alimentaires, ayant pour mission de protéger la santé des consommateurs et d'assurer des pratiques loyales dans le commerce des produits alimentaires.</w:t>
      </w:r>
    </w:p>
    <w:p w14:paraId="51FCAD0D" w14:textId="77777777" w:rsidR="0049647F" w:rsidRPr="00B004EE" w:rsidRDefault="0049647F" w:rsidP="00B004EE">
      <w:pPr>
        <w:jc w:val="both"/>
        <w:rPr>
          <w:rFonts w:ascii="Tahoma" w:hAnsi="Tahoma" w:cs="Tahoma"/>
          <w:sz w:val="20"/>
          <w:szCs w:val="20"/>
        </w:rPr>
      </w:pPr>
    </w:p>
    <w:p w14:paraId="6587AE7A"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 xml:space="preserve">Article 56 : La composition, l'organisation, les attributions et le fonctionnement du Comité national du </w:t>
      </w:r>
      <w:r w:rsidRPr="00B004EE">
        <w:rPr>
          <w:rFonts w:ascii="Tahoma" w:hAnsi="Tahoma" w:cs="Tahoma"/>
          <w:i/>
          <w:iCs/>
          <w:sz w:val="20"/>
          <w:szCs w:val="20"/>
        </w:rPr>
        <w:t>Codex Alimentarius</w:t>
      </w:r>
      <w:r w:rsidRPr="00B004EE">
        <w:rPr>
          <w:rFonts w:ascii="Tahoma" w:hAnsi="Tahoma" w:cs="Tahoma"/>
          <w:sz w:val="20"/>
          <w:szCs w:val="20"/>
        </w:rPr>
        <w:t xml:space="preserve"> sont fixés par un Décret.</w:t>
      </w:r>
    </w:p>
    <w:p w14:paraId="213D6799" w14:textId="77777777" w:rsidR="0049647F" w:rsidRPr="00B004EE" w:rsidRDefault="0049647F" w:rsidP="00B004EE">
      <w:pPr>
        <w:jc w:val="both"/>
        <w:rPr>
          <w:rFonts w:ascii="Tahoma" w:hAnsi="Tahoma" w:cs="Tahoma"/>
          <w:sz w:val="20"/>
          <w:szCs w:val="20"/>
        </w:rPr>
      </w:pPr>
    </w:p>
    <w:p w14:paraId="4BBC13ED" w14:textId="77777777" w:rsidR="0049647F" w:rsidRPr="00B004EE" w:rsidRDefault="0049647F" w:rsidP="00B004EE">
      <w:pPr>
        <w:pStyle w:val="Lgende"/>
        <w:jc w:val="center"/>
        <w:rPr>
          <w:rFonts w:ascii="Tahoma" w:eastAsia="American Typewriter" w:hAnsi="Tahoma" w:cs="Tahoma"/>
        </w:rPr>
      </w:pPr>
      <w:bookmarkStart w:id="16" w:name="_Toc16279105"/>
      <w:bookmarkStart w:id="17" w:name="_Toc16279475"/>
      <w:r w:rsidRPr="00B004EE">
        <w:rPr>
          <w:rFonts w:ascii="Tahoma" w:eastAsia="American Typewriter" w:hAnsi="Tahoma" w:cs="Tahoma"/>
        </w:rPr>
        <w:t>CHAPITRE III : ORGANES DE CONTROLE DE SURVEILLANCE ET D’INSPECTION SANITAIRE DES DENREES ALIMENTAIRES</w:t>
      </w:r>
      <w:bookmarkEnd w:id="16"/>
      <w:bookmarkEnd w:id="17"/>
      <w:r w:rsidRPr="00B004EE">
        <w:rPr>
          <w:rFonts w:ascii="Tahoma" w:eastAsia="American Typewriter" w:hAnsi="Tahoma" w:cs="Tahoma"/>
        </w:rPr>
        <w:t xml:space="preserve"> </w:t>
      </w:r>
    </w:p>
    <w:p w14:paraId="09553F8C" w14:textId="77777777" w:rsidR="0049647F" w:rsidRPr="00B004EE" w:rsidRDefault="0049647F" w:rsidP="00B004EE">
      <w:pPr>
        <w:pStyle w:val="Corpsdetexte"/>
        <w:ind w:right="-6"/>
        <w:rPr>
          <w:rFonts w:ascii="Tahoma" w:eastAsiaTheme="minorHAnsi" w:hAnsi="Tahoma" w:cs="Tahoma"/>
          <w:b/>
          <w:bCs/>
          <w:w w:val="120"/>
          <w:sz w:val="20"/>
          <w:szCs w:val="20"/>
        </w:rPr>
      </w:pPr>
    </w:p>
    <w:p w14:paraId="2673862C"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 57 : La surveillance, le contrôle et l'inspection sanitaire des denrées alimentaires sont assurés par les services compétents relevant des ministères concernés.</w:t>
      </w:r>
    </w:p>
    <w:p w14:paraId="38EF152F"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Des décrets préciseront les champs des compétences de chaque Ministère notamment dans les domaines de la santé publique, des pêches, de l'agriculture, de l'élevage, du commerce, de !'Industrie et de l'environnement.</w:t>
      </w:r>
    </w:p>
    <w:p w14:paraId="470C85B0" w14:textId="77777777" w:rsidR="0049647F" w:rsidRPr="00B004EE" w:rsidRDefault="0049647F" w:rsidP="00B004EE">
      <w:pPr>
        <w:jc w:val="both"/>
        <w:rPr>
          <w:rFonts w:ascii="Tahoma" w:hAnsi="Tahoma" w:cs="Tahoma"/>
          <w:sz w:val="20"/>
          <w:szCs w:val="20"/>
        </w:rPr>
      </w:pPr>
    </w:p>
    <w:p w14:paraId="46719411"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 xml:space="preserve">Article 58 : Il est interdit de produire, d'importer, d'exporter, de commercialiser ou de distribuer les denrées alimentaires avariées, périmées, falsifiées ou contenant des substances pouvant nuire à la santé humaine. Il est également interdit d'introduire sur le marché tout additif alimentaire non conforme aux directives du </w:t>
      </w:r>
      <w:r w:rsidRPr="00B004EE">
        <w:rPr>
          <w:rFonts w:ascii="Tahoma" w:hAnsi="Tahoma" w:cs="Tahoma"/>
          <w:i/>
          <w:iCs/>
          <w:sz w:val="20"/>
          <w:szCs w:val="20"/>
        </w:rPr>
        <w:t>Codex Alimentarius</w:t>
      </w:r>
      <w:r w:rsidRPr="00B004EE">
        <w:rPr>
          <w:rFonts w:ascii="Tahoma" w:hAnsi="Tahoma" w:cs="Tahoma"/>
          <w:sz w:val="20"/>
          <w:szCs w:val="20"/>
        </w:rPr>
        <w:t xml:space="preserve"> FAO/OMS et de l'OIE.</w:t>
      </w:r>
    </w:p>
    <w:p w14:paraId="0E4A35EF" w14:textId="77777777" w:rsidR="0049647F" w:rsidRPr="00B004EE" w:rsidRDefault="0049647F" w:rsidP="00B004EE">
      <w:pPr>
        <w:jc w:val="both"/>
        <w:rPr>
          <w:rFonts w:ascii="Tahoma" w:hAnsi="Tahoma" w:cs="Tahoma"/>
          <w:sz w:val="20"/>
          <w:szCs w:val="20"/>
        </w:rPr>
      </w:pPr>
    </w:p>
    <w:p w14:paraId="5003B890"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Toute denrée alimentaire suspecte destinée à la consommation humaine doit faire l'objet d'une déclaration aux services techniques compétents en vue de son analyse ou destruction conformément à la réglementation en vigueur.</w:t>
      </w:r>
    </w:p>
    <w:p w14:paraId="39CC42A1" w14:textId="77777777" w:rsidR="0049647F" w:rsidRPr="00B004EE" w:rsidRDefault="0049647F" w:rsidP="00B004EE">
      <w:pPr>
        <w:jc w:val="both"/>
        <w:rPr>
          <w:rFonts w:ascii="Tahoma" w:hAnsi="Tahoma" w:cs="Tahoma"/>
          <w:sz w:val="20"/>
          <w:szCs w:val="20"/>
        </w:rPr>
      </w:pPr>
    </w:p>
    <w:p w14:paraId="6C24FDEA"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 xml:space="preserve">Article 59 : Les denrées alimentaires sont contrôlées à l'entrée et à la sortie du pays par les services techniques habiletés selon les compétences de chaque ministère concerné et conformément à la réglementation en vigueur et aux directives du </w:t>
      </w:r>
      <w:r w:rsidRPr="00B004EE">
        <w:rPr>
          <w:rFonts w:ascii="Tahoma" w:hAnsi="Tahoma" w:cs="Tahoma"/>
          <w:i/>
          <w:iCs/>
          <w:sz w:val="20"/>
          <w:szCs w:val="20"/>
        </w:rPr>
        <w:t>Codex Alimentarius</w:t>
      </w:r>
      <w:r w:rsidRPr="00B004EE">
        <w:rPr>
          <w:rFonts w:ascii="Tahoma" w:hAnsi="Tahoma" w:cs="Tahoma"/>
          <w:sz w:val="20"/>
          <w:szCs w:val="20"/>
        </w:rPr>
        <w:t xml:space="preserve"> FAO/OMS/OIE.</w:t>
      </w:r>
    </w:p>
    <w:p w14:paraId="622DFBA2" w14:textId="77777777" w:rsidR="0049647F" w:rsidRPr="00B004EE" w:rsidRDefault="0049647F" w:rsidP="00B004EE">
      <w:pPr>
        <w:jc w:val="both"/>
        <w:rPr>
          <w:rFonts w:ascii="Tahoma" w:hAnsi="Tahoma" w:cs="Tahoma"/>
          <w:sz w:val="20"/>
          <w:szCs w:val="20"/>
        </w:rPr>
      </w:pPr>
    </w:p>
    <w:p w14:paraId="191B58FC"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 60 : Les frais d'analyse, de destruction ou de refoulement et autres charges récurrentes aux opérations de contrôle, sont intégralement à la charge du propriétaire de la denrée.</w:t>
      </w:r>
    </w:p>
    <w:p w14:paraId="49317AF0" w14:textId="77777777" w:rsidR="0049647F" w:rsidRPr="00B004EE" w:rsidRDefault="0049647F" w:rsidP="00B004EE">
      <w:pPr>
        <w:ind w:right="-6"/>
        <w:rPr>
          <w:rFonts w:ascii="Tahoma" w:eastAsia="Arial Narrow" w:hAnsi="Tahoma" w:cs="Tahoma"/>
          <w:b/>
          <w:bCs/>
          <w:sz w:val="20"/>
          <w:szCs w:val="20"/>
        </w:rPr>
      </w:pPr>
    </w:p>
    <w:p w14:paraId="0A46164B" w14:textId="77777777" w:rsidR="0049647F" w:rsidRPr="00B004EE" w:rsidRDefault="0049647F" w:rsidP="00B004EE">
      <w:pPr>
        <w:ind w:right="-6"/>
        <w:jc w:val="center"/>
        <w:rPr>
          <w:rFonts w:ascii="Tahoma" w:eastAsia="Arial Narrow" w:hAnsi="Tahoma" w:cs="Tahoma"/>
          <w:b/>
          <w:bCs/>
          <w:sz w:val="20"/>
          <w:szCs w:val="20"/>
        </w:rPr>
      </w:pPr>
      <w:r w:rsidRPr="00B004EE">
        <w:rPr>
          <w:rFonts w:ascii="Tahoma" w:eastAsia="Arial Narrow" w:hAnsi="Tahoma" w:cs="Tahoma"/>
          <w:b/>
          <w:bCs/>
          <w:sz w:val="20"/>
          <w:szCs w:val="20"/>
        </w:rPr>
        <w:t xml:space="preserve">TITRE V : POLICE D’HYGIENE </w:t>
      </w:r>
    </w:p>
    <w:p w14:paraId="3DD1EB33" w14:textId="77777777" w:rsidR="0049647F" w:rsidRPr="00B004EE" w:rsidRDefault="0049647F" w:rsidP="00B004EE">
      <w:pPr>
        <w:ind w:right="-6"/>
        <w:jc w:val="center"/>
        <w:rPr>
          <w:rFonts w:ascii="Tahoma" w:eastAsia="Arial Narrow" w:hAnsi="Tahoma" w:cs="Tahoma"/>
          <w:b/>
          <w:bCs/>
          <w:sz w:val="20"/>
          <w:szCs w:val="20"/>
        </w:rPr>
      </w:pPr>
      <w:bookmarkStart w:id="18" w:name="_Toc16279106"/>
      <w:bookmarkStart w:id="19" w:name="_Toc16279476"/>
      <w:r w:rsidRPr="00B004EE">
        <w:rPr>
          <w:rFonts w:ascii="Tahoma" w:eastAsia="Arial Narrow" w:hAnsi="Tahoma" w:cs="Tahoma"/>
          <w:b/>
          <w:bCs/>
          <w:sz w:val="20"/>
          <w:szCs w:val="20"/>
        </w:rPr>
        <w:t>CHAPITRE 1 : ORGANE D’EXECUTION :</w:t>
      </w:r>
      <w:bookmarkEnd w:id="18"/>
      <w:bookmarkEnd w:id="19"/>
    </w:p>
    <w:p w14:paraId="3938E6F5" w14:textId="77777777" w:rsidR="0049647F" w:rsidRPr="00B004EE" w:rsidRDefault="0049647F" w:rsidP="00B004EE">
      <w:pPr>
        <w:jc w:val="both"/>
        <w:rPr>
          <w:rFonts w:ascii="Tahoma" w:hAnsi="Tahoma" w:cs="Tahoma"/>
          <w:sz w:val="20"/>
          <w:szCs w:val="20"/>
        </w:rPr>
      </w:pPr>
    </w:p>
    <w:p w14:paraId="57012044"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 61 : Il est créé une police de l'hygiène publique rattachée au ministère chargé de la santé dont les agents sont chargés entre autres, de rechercher et de constater les infractions à la législation de l'hygiène. Ses attributions, son organisation et son fonctionnement ainsi que le statut du corps des personnels d'hygiène sont définis par décret.</w:t>
      </w:r>
    </w:p>
    <w:p w14:paraId="613FB3AF" w14:textId="77777777" w:rsidR="0049647F" w:rsidRPr="00B004EE" w:rsidRDefault="0049647F" w:rsidP="00B004EE">
      <w:pPr>
        <w:jc w:val="both"/>
        <w:rPr>
          <w:rFonts w:ascii="Tahoma" w:hAnsi="Tahoma" w:cs="Tahoma"/>
          <w:sz w:val="20"/>
          <w:szCs w:val="20"/>
        </w:rPr>
      </w:pPr>
    </w:p>
    <w:p w14:paraId="63DD1863"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Dans le cadre de la prévention de la population contre les maladies, le corps de police d'hygiène publique exercera ses missions en collaboration avec les inspecteurs d'hygiène des autres Ministères concernés. Chaque Ministère garde ses prérogatives d'inspection et de contrôle en fonction de son domaine de spécialisation.</w:t>
      </w:r>
    </w:p>
    <w:p w14:paraId="33FD89AC" w14:textId="77777777" w:rsidR="0049647F" w:rsidRPr="00B004EE" w:rsidRDefault="0049647F" w:rsidP="00B004EE">
      <w:pPr>
        <w:ind w:right="-6"/>
        <w:rPr>
          <w:rFonts w:ascii="Tahoma" w:eastAsia="Arial Narrow" w:hAnsi="Tahoma" w:cs="Tahoma"/>
          <w:sz w:val="20"/>
          <w:szCs w:val="20"/>
        </w:rPr>
      </w:pPr>
    </w:p>
    <w:p w14:paraId="2097610E" w14:textId="77777777" w:rsidR="0049647F" w:rsidRPr="00B004EE" w:rsidRDefault="0049647F" w:rsidP="00B004EE">
      <w:pPr>
        <w:ind w:right="-6"/>
        <w:jc w:val="center"/>
        <w:rPr>
          <w:rFonts w:ascii="Tahoma" w:eastAsia="Arial Narrow" w:hAnsi="Tahoma" w:cs="Tahoma"/>
          <w:b/>
          <w:bCs/>
          <w:sz w:val="20"/>
          <w:szCs w:val="20"/>
        </w:rPr>
      </w:pPr>
      <w:bookmarkStart w:id="20" w:name="_Toc16279107"/>
      <w:bookmarkStart w:id="21" w:name="_Toc16279477"/>
      <w:r w:rsidRPr="00B004EE">
        <w:rPr>
          <w:rFonts w:ascii="Tahoma" w:eastAsia="Arial Narrow" w:hAnsi="Tahoma" w:cs="Tahoma"/>
          <w:b/>
          <w:bCs/>
          <w:sz w:val="20"/>
          <w:szCs w:val="20"/>
        </w:rPr>
        <w:t>CHAPITRE II : PROCEDURES</w:t>
      </w:r>
      <w:bookmarkEnd w:id="20"/>
      <w:bookmarkEnd w:id="21"/>
    </w:p>
    <w:p w14:paraId="6A731A32" w14:textId="77777777" w:rsidR="0049647F" w:rsidRPr="00B004EE" w:rsidRDefault="0049647F" w:rsidP="00B004EE">
      <w:pPr>
        <w:ind w:right="-6"/>
        <w:jc w:val="center"/>
        <w:rPr>
          <w:rFonts w:ascii="Tahoma" w:eastAsia="Arial Narrow" w:hAnsi="Tahoma" w:cs="Tahoma"/>
          <w:b/>
          <w:bCs/>
          <w:sz w:val="20"/>
          <w:szCs w:val="20"/>
        </w:rPr>
      </w:pPr>
      <w:bookmarkStart w:id="22" w:name="_Toc16279108"/>
      <w:bookmarkStart w:id="23" w:name="_Toc16279478"/>
      <w:r w:rsidRPr="00B004EE">
        <w:rPr>
          <w:rFonts w:ascii="Tahoma" w:eastAsia="Arial Narrow" w:hAnsi="Tahoma" w:cs="Tahoma"/>
          <w:b/>
          <w:bCs/>
          <w:sz w:val="20"/>
          <w:szCs w:val="20"/>
        </w:rPr>
        <w:t>Section 1 : Des pouvoirs du personnel d'hygiène</w:t>
      </w:r>
      <w:bookmarkEnd w:id="22"/>
      <w:bookmarkEnd w:id="23"/>
    </w:p>
    <w:p w14:paraId="5CC0CE46" w14:textId="77777777" w:rsidR="0049647F" w:rsidRPr="00B004EE" w:rsidRDefault="0049647F" w:rsidP="00B004EE">
      <w:pPr>
        <w:ind w:right="-6"/>
        <w:jc w:val="center"/>
        <w:rPr>
          <w:rFonts w:ascii="Tahoma" w:eastAsia="Arial Narrow" w:hAnsi="Tahoma" w:cs="Tahoma"/>
          <w:b/>
          <w:bCs/>
          <w:sz w:val="20"/>
          <w:szCs w:val="20"/>
        </w:rPr>
      </w:pPr>
    </w:p>
    <w:p w14:paraId="6BB632A9"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 62 : Les personnels d'hygiène ainsi que les agents comm1ss1onnés du service d'hygiène du Ministère chargé de la santé et/ou des départements concernés sont chargés de rechercher et de constater les infractions à la législation de l'hygiène et de la salubrité des habitations, voies publiques, plages, installations industrielles et tous autres établissements publics et privés. A cet effet, ils opèrent sur l'ensemble du territoire national.</w:t>
      </w:r>
    </w:p>
    <w:p w14:paraId="47C2786D" w14:textId="77777777" w:rsidR="0049647F" w:rsidRPr="00B004EE" w:rsidRDefault="0049647F" w:rsidP="00B004EE">
      <w:pPr>
        <w:jc w:val="both"/>
        <w:rPr>
          <w:rFonts w:ascii="Tahoma" w:hAnsi="Tahoma" w:cs="Tahoma"/>
          <w:sz w:val="20"/>
          <w:szCs w:val="20"/>
        </w:rPr>
      </w:pPr>
    </w:p>
    <w:p w14:paraId="0A92D155"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 63 : On entend par "personnels d'hygiène" le personnel médical et paramédical affecté à cet effet, les ingénieurs sanitaires, les inspecteurs sanitaires, les contrôleurs et agents d'hygiène.</w:t>
      </w:r>
    </w:p>
    <w:p w14:paraId="3D75544A"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Sont "agents d'hygiène commissionnés du service d'hygiène" les agents appartenant à des administrations autres que celle du service d'hygiène et qui ont été commissionnés par le ministre chargé de la Santé pour remplir les fonctions prévues par le présent code ou autres départements concernés en fonction de leur domaine d’intervention.</w:t>
      </w:r>
    </w:p>
    <w:p w14:paraId="592F6D61" w14:textId="77777777" w:rsidR="0049647F" w:rsidRPr="00B004EE" w:rsidRDefault="0049647F" w:rsidP="00B004EE">
      <w:pPr>
        <w:jc w:val="both"/>
        <w:rPr>
          <w:rFonts w:ascii="Tahoma" w:hAnsi="Tahoma" w:cs="Tahoma"/>
          <w:sz w:val="20"/>
          <w:szCs w:val="20"/>
        </w:rPr>
      </w:pPr>
    </w:p>
    <w:p w14:paraId="0B83FB8E"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 64 : Les personnels d'hygiène et les agents commissionnés prêtent serment devant le tribunal régional de la circonscription administrative où ils sont appelés à servir. Le serment est enregistré sans frais au greffe de la juridiction et n'est pas renouvelé en cas de changement de résidence dans le ressort d'une autre juridiction.</w:t>
      </w:r>
    </w:p>
    <w:p w14:paraId="61563DD7" w14:textId="77777777" w:rsidR="0049647F" w:rsidRPr="00B004EE" w:rsidRDefault="0049647F" w:rsidP="00B004EE">
      <w:pPr>
        <w:jc w:val="both"/>
        <w:rPr>
          <w:rFonts w:ascii="Tahoma" w:hAnsi="Tahoma" w:cs="Tahoma"/>
          <w:sz w:val="20"/>
          <w:szCs w:val="20"/>
        </w:rPr>
      </w:pPr>
    </w:p>
    <w:p w14:paraId="448F5758"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 65 : Le chef du service d’hygiène, les ingénieurs sanitaires et les inspecteurs sanitaires peuvent, en cas de flagrant délit, faire procéder à l'arrestation des auteurs d'infraction et les conduire devant le Procureur de la République ou toute autre autorité judiciaire compétente.</w:t>
      </w:r>
    </w:p>
    <w:p w14:paraId="4A169692"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Les agents visés au paragraphe précédent conduisent tout individu surpris en flagrant délit devant le personnel d'hygiène compétent ou l'officier de police judiciaire le plus proche qui dresse un procès-verbal et instrumente dans les conditions prévues par le Code de procédure pénale. Ils ont le droit de requérir la force publique dans l'accomplissement de leur mission.</w:t>
      </w:r>
    </w:p>
    <w:p w14:paraId="5F9B4371" w14:textId="77777777" w:rsidR="0049647F" w:rsidRPr="00B004EE" w:rsidRDefault="0049647F" w:rsidP="00B004EE">
      <w:pPr>
        <w:jc w:val="both"/>
        <w:rPr>
          <w:rFonts w:ascii="Tahoma" w:hAnsi="Tahoma" w:cs="Tahoma"/>
          <w:sz w:val="20"/>
          <w:szCs w:val="20"/>
        </w:rPr>
      </w:pPr>
    </w:p>
    <w:p w14:paraId="62772F2C"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 66 : Le produit des amendes et transactions prononcées en application du présent code sera réparti dans des conditions déterminées par décret.</w:t>
      </w:r>
    </w:p>
    <w:p w14:paraId="1159A51F" w14:textId="77777777" w:rsidR="0049647F" w:rsidRPr="00B004EE" w:rsidRDefault="0049647F" w:rsidP="00B004EE">
      <w:pPr>
        <w:ind w:right="-6"/>
        <w:rPr>
          <w:rFonts w:ascii="Tahoma" w:eastAsia="Courier New" w:hAnsi="Tahoma" w:cs="Tahoma"/>
          <w:sz w:val="20"/>
          <w:szCs w:val="20"/>
        </w:rPr>
      </w:pPr>
    </w:p>
    <w:p w14:paraId="695E64E4" w14:textId="77777777" w:rsidR="0049647F" w:rsidRPr="00B004EE" w:rsidRDefault="0049647F" w:rsidP="00B004EE">
      <w:pPr>
        <w:ind w:right="-6"/>
        <w:jc w:val="center"/>
        <w:rPr>
          <w:rFonts w:ascii="Tahoma" w:eastAsia="Arial Narrow" w:hAnsi="Tahoma" w:cs="Tahoma"/>
          <w:b/>
          <w:bCs/>
          <w:sz w:val="20"/>
          <w:szCs w:val="20"/>
        </w:rPr>
      </w:pPr>
      <w:r w:rsidRPr="00B004EE">
        <w:rPr>
          <w:rFonts w:ascii="Tahoma" w:eastAsia="Arial Narrow" w:hAnsi="Tahoma" w:cs="Tahoma"/>
          <w:b/>
          <w:bCs/>
          <w:sz w:val="20"/>
          <w:szCs w:val="20"/>
        </w:rPr>
        <w:t>Section 2 : Recherche et constations des infractions d'hygiène</w:t>
      </w:r>
    </w:p>
    <w:p w14:paraId="65515D50" w14:textId="77777777" w:rsidR="0049647F" w:rsidRPr="00B004EE" w:rsidRDefault="0049647F" w:rsidP="00B004EE">
      <w:pPr>
        <w:jc w:val="both"/>
        <w:rPr>
          <w:rFonts w:ascii="Tahoma" w:hAnsi="Tahoma" w:cs="Tahoma"/>
          <w:sz w:val="20"/>
          <w:szCs w:val="20"/>
        </w:rPr>
      </w:pPr>
    </w:p>
    <w:p w14:paraId="7D75A1C5"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 67 : Les infractions en matière d'hygiène sont constatées par procès-verbaux établis par les officiers de police judiciaire, les personnels d'hygiène et les agents commissionnés du service d'hygiène assermentés.</w:t>
      </w:r>
    </w:p>
    <w:p w14:paraId="24CC0F5C" w14:textId="77777777" w:rsidR="0049647F" w:rsidRPr="00B004EE" w:rsidRDefault="0049647F" w:rsidP="00B004EE">
      <w:pPr>
        <w:jc w:val="both"/>
        <w:rPr>
          <w:rFonts w:ascii="Tahoma" w:hAnsi="Tahoma" w:cs="Tahoma"/>
          <w:sz w:val="20"/>
          <w:szCs w:val="20"/>
        </w:rPr>
      </w:pPr>
    </w:p>
    <w:p w14:paraId="4375FB96"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lastRenderedPageBreak/>
        <w:t>Article 68 : Les agents d'hygiène doivent procéder à des visites de terrain afin de constater les infractions en matière d'hygiène. Les modalités pratiques de ces visites et des infractions seront fixées par arrêté du Ministre chargé de la santé et/ou du (des) ministre(s) concerné(s).</w:t>
      </w:r>
    </w:p>
    <w:p w14:paraId="2041880E" w14:textId="77777777" w:rsidR="0049647F" w:rsidRPr="00B004EE" w:rsidRDefault="0049647F" w:rsidP="00B004EE">
      <w:pPr>
        <w:jc w:val="both"/>
        <w:rPr>
          <w:rFonts w:ascii="Tahoma" w:hAnsi="Tahoma" w:cs="Tahoma"/>
          <w:sz w:val="20"/>
          <w:szCs w:val="20"/>
        </w:rPr>
      </w:pPr>
    </w:p>
    <w:p w14:paraId="0D0D3D68" w14:textId="77777777" w:rsidR="0049647F" w:rsidRPr="00B004EE" w:rsidRDefault="0049647F" w:rsidP="00B004EE">
      <w:pPr>
        <w:ind w:right="-6"/>
        <w:jc w:val="center"/>
        <w:rPr>
          <w:rFonts w:ascii="Tahoma" w:eastAsia="Arial Narrow" w:hAnsi="Tahoma" w:cs="Tahoma"/>
          <w:b/>
          <w:bCs/>
          <w:sz w:val="20"/>
          <w:szCs w:val="20"/>
        </w:rPr>
      </w:pPr>
      <w:r w:rsidRPr="00B004EE">
        <w:rPr>
          <w:rFonts w:ascii="Tahoma" w:eastAsia="Arial Narrow" w:hAnsi="Tahoma" w:cs="Tahoma"/>
          <w:b/>
          <w:bCs/>
          <w:sz w:val="20"/>
          <w:szCs w:val="20"/>
        </w:rPr>
        <w:t>Section 3 : Actions et poursuites</w:t>
      </w:r>
    </w:p>
    <w:p w14:paraId="4FF97AB9" w14:textId="77777777" w:rsidR="0049647F" w:rsidRPr="00B004EE" w:rsidRDefault="0049647F" w:rsidP="00B004EE">
      <w:pPr>
        <w:ind w:right="-6"/>
        <w:rPr>
          <w:rFonts w:ascii="Tahoma" w:eastAsia="Courier New" w:hAnsi="Tahoma" w:cs="Tahoma"/>
          <w:b/>
          <w:bCs/>
          <w:sz w:val="20"/>
          <w:szCs w:val="20"/>
        </w:rPr>
      </w:pPr>
    </w:p>
    <w:p w14:paraId="30E5F109"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 69 : Les actions et poursuites sont exercées directement par le(s) ministère(s) concerné(s), le recours peut être fait également par les organisations agréées de défense du consommateur, devant les juridictions compétentes sans préjudice du droit qui appartient au ministère public.</w:t>
      </w:r>
    </w:p>
    <w:p w14:paraId="005CBA58" w14:textId="77777777" w:rsidR="0049647F" w:rsidRPr="00B004EE" w:rsidRDefault="0049647F" w:rsidP="00B004EE">
      <w:pPr>
        <w:jc w:val="both"/>
        <w:rPr>
          <w:rFonts w:ascii="Tahoma" w:hAnsi="Tahoma" w:cs="Tahoma"/>
          <w:sz w:val="20"/>
          <w:szCs w:val="20"/>
        </w:rPr>
      </w:pPr>
    </w:p>
    <w:p w14:paraId="00656DCE"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 70 : L'action publique en matière d'infraction à la réglementation d'hygiène sera définie par décret.</w:t>
      </w:r>
    </w:p>
    <w:p w14:paraId="4E323547" w14:textId="77777777" w:rsidR="0049647F" w:rsidRPr="00B004EE" w:rsidRDefault="0049647F" w:rsidP="00B004EE">
      <w:pPr>
        <w:jc w:val="both"/>
        <w:rPr>
          <w:rFonts w:ascii="Tahoma" w:hAnsi="Tahoma" w:cs="Tahoma"/>
          <w:sz w:val="20"/>
          <w:szCs w:val="20"/>
        </w:rPr>
      </w:pPr>
    </w:p>
    <w:p w14:paraId="7732CAE8"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 71 : Les dispositions réglant la procédure en matière répressive devant les tribunaux sont applicables à la poursuite des délits et contraventions d'hygiène. Les infractions en matière d'hygiène relèvent des juridictions territorialement compétentes.</w:t>
      </w:r>
    </w:p>
    <w:p w14:paraId="729F109A" w14:textId="77777777" w:rsidR="0049647F" w:rsidRPr="00B004EE" w:rsidRDefault="0049647F" w:rsidP="00B004EE">
      <w:pPr>
        <w:ind w:right="-6"/>
        <w:rPr>
          <w:rFonts w:ascii="Tahoma" w:eastAsia="American Typewriter" w:hAnsi="Tahoma" w:cs="Tahoma"/>
          <w:sz w:val="20"/>
          <w:szCs w:val="20"/>
        </w:rPr>
      </w:pPr>
    </w:p>
    <w:p w14:paraId="5B4CDA8E" w14:textId="77777777" w:rsidR="0049647F" w:rsidRPr="00B004EE" w:rsidRDefault="0049647F" w:rsidP="00B004EE">
      <w:pPr>
        <w:ind w:right="-6"/>
        <w:jc w:val="center"/>
        <w:rPr>
          <w:rFonts w:ascii="Tahoma" w:eastAsia="Arial Narrow" w:hAnsi="Tahoma" w:cs="Tahoma"/>
          <w:b/>
          <w:bCs/>
          <w:sz w:val="20"/>
          <w:szCs w:val="20"/>
        </w:rPr>
      </w:pPr>
      <w:r w:rsidRPr="00B004EE">
        <w:rPr>
          <w:rFonts w:ascii="Tahoma" w:eastAsia="Arial Narrow" w:hAnsi="Tahoma" w:cs="Tahoma"/>
          <w:b/>
          <w:bCs/>
          <w:sz w:val="20"/>
          <w:szCs w:val="20"/>
        </w:rPr>
        <w:t>Section 4 : Transaction</w:t>
      </w:r>
    </w:p>
    <w:p w14:paraId="2E69681B" w14:textId="77777777" w:rsidR="0049647F" w:rsidRPr="00B004EE" w:rsidRDefault="0049647F" w:rsidP="00B004EE">
      <w:pPr>
        <w:ind w:right="-6"/>
        <w:jc w:val="center"/>
        <w:rPr>
          <w:rFonts w:ascii="Tahoma" w:eastAsia="Arial Narrow" w:hAnsi="Tahoma" w:cs="Tahoma"/>
          <w:b/>
          <w:bCs/>
          <w:sz w:val="20"/>
          <w:szCs w:val="20"/>
        </w:rPr>
      </w:pPr>
    </w:p>
    <w:p w14:paraId="1CCBAA94"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 72 : Le ministre chargé de la Santé ou les Ministres concernés sont autorisés à transiger au nom de l'Etat avant le jugement, pour les infractions visées aux articles 96 ,98, 99, 100. L'action publique est éteinte par la transaction.</w:t>
      </w:r>
    </w:p>
    <w:p w14:paraId="4C5BB047" w14:textId="77777777" w:rsidR="0049647F" w:rsidRPr="00B004EE" w:rsidRDefault="0049647F" w:rsidP="00B004EE">
      <w:pPr>
        <w:ind w:right="-6"/>
        <w:rPr>
          <w:rFonts w:ascii="Tahoma" w:eastAsia="Arial Narrow" w:hAnsi="Tahoma" w:cs="Tahoma"/>
          <w:sz w:val="20"/>
          <w:szCs w:val="20"/>
        </w:rPr>
      </w:pPr>
    </w:p>
    <w:p w14:paraId="74867CB1" w14:textId="77777777" w:rsidR="0049647F" w:rsidRPr="00B004EE" w:rsidRDefault="0049647F" w:rsidP="00B004EE">
      <w:pPr>
        <w:ind w:right="-6"/>
        <w:jc w:val="center"/>
        <w:rPr>
          <w:rFonts w:ascii="Tahoma" w:eastAsia="Arial Narrow" w:hAnsi="Tahoma" w:cs="Tahoma"/>
          <w:b/>
          <w:bCs/>
          <w:sz w:val="20"/>
          <w:szCs w:val="20"/>
        </w:rPr>
      </w:pPr>
      <w:r w:rsidRPr="00B004EE">
        <w:rPr>
          <w:rFonts w:ascii="Tahoma" w:eastAsia="Arial Narrow" w:hAnsi="Tahoma" w:cs="Tahoma"/>
          <w:b/>
          <w:bCs/>
          <w:sz w:val="20"/>
          <w:szCs w:val="20"/>
        </w:rPr>
        <w:t>Section 5 : Action administrative</w:t>
      </w:r>
    </w:p>
    <w:p w14:paraId="666A7787" w14:textId="77777777" w:rsidR="0049647F" w:rsidRPr="00B004EE" w:rsidRDefault="0049647F" w:rsidP="00B004EE">
      <w:pPr>
        <w:ind w:right="-6"/>
        <w:jc w:val="both"/>
        <w:rPr>
          <w:rFonts w:ascii="Tahoma" w:eastAsiaTheme="minorHAnsi" w:hAnsi="Tahoma" w:cs="Tahoma"/>
          <w:b/>
          <w:bCs/>
          <w:w w:val="120"/>
          <w:sz w:val="20"/>
          <w:szCs w:val="20"/>
        </w:rPr>
      </w:pPr>
    </w:p>
    <w:p w14:paraId="1D785F2B"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 73 : Est sanctionné par les mesures administratives lorsque l'Etat est seul en cause le non-respect des articles 15, 16, 17, 18, 19 et 20.</w:t>
      </w:r>
    </w:p>
    <w:p w14:paraId="2DE7C864" w14:textId="77777777" w:rsidR="0049647F" w:rsidRPr="00B004EE" w:rsidRDefault="0049647F" w:rsidP="00B004EE">
      <w:pPr>
        <w:jc w:val="both"/>
        <w:rPr>
          <w:rFonts w:ascii="Tahoma" w:hAnsi="Tahoma" w:cs="Tahoma"/>
          <w:sz w:val="20"/>
          <w:szCs w:val="20"/>
        </w:rPr>
      </w:pPr>
    </w:p>
    <w:p w14:paraId="2FFF8104"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 74 : Les dispositions des articles 456 et suivants du Code de procédure pénale sont applicables aux infractions prévues aux articles 106 à 107.</w:t>
      </w:r>
    </w:p>
    <w:p w14:paraId="78054460" w14:textId="77777777" w:rsidR="0049647F" w:rsidRPr="00B004EE" w:rsidRDefault="0049647F" w:rsidP="00B004EE">
      <w:pPr>
        <w:ind w:right="-6"/>
        <w:jc w:val="both"/>
        <w:rPr>
          <w:rFonts w:ascii="Tahoma" w:eastAsia="Arial Narrow" w:hAnsi="Tahoma" w:cs="Tahoma"/>
          <w:sz w:val="20"/>
          <w:szCs w:val="20"/>
        </w:rPr>
      </w:pPr>
    </w:p>
    <w:p w14:paraId="7D1D137A" w14:textId="77777777" w:rsidR="0049647F" w:rsidRPr="00B004EE" w:rsidRDefault="0049647F" w:rsidP="00B004EE">
      <w:pPr>
        <w:ind w:right="-6"/>
        <w:jc w:val="center"/>
        <w:rPr>
          <w:rFonts w:ascii="Tahoma" w:eastAsia="Arial Narrow" w:hAnsi="Tahoma" w:cs="Tahoma"/>
          <w:b/>
          <w:bCs/>
          <w:sz w:val="20"/>
          <w:szCs w:val="20"/>
        </w:rPr>
      </w:pPr>
      <w:r w:rsidRPr="00B004EE">
        <w:rPr>
          <w:rFonts w:ascii="Tahoma" w:eastAsia="Arial Narrow" w:hAnsi="Tahoma" w:cs="Tahoma"/>
          <w:b/>
          <w:bCs/>
          <w:sz w:val="20"/>
          <w:szCs w:val="20"/>
        </w:rPr>
        <w:t>CHAPITRE III : INFRACTIONS ET PENALITES</w:t>
      </w:r>
    </w:p>
    <w:p w14:paraId="5F813238" w14:textId="77777777" w:rsidR="0049647F" w:rsidRPr="00B004EE" w:rsidRDefault="0049647F" w:rsidP="00B004EE">
      <w:pPr>
        <w:ind w:right="-6"/>
        <w:rPr>
          <w:rFonts w:ascii="Tahoma" w:eastAsia="Arial Narrow" w:hAnsi="Tahoma" w:cs="Tahoma"/>
          <w:b/>
          <w:bCs/>
          <w:sz w:val="20"/>
          <w:szCs w:val="20"/>
        </w:rPr>
      </w:pPr>
    </w:p>
    <w:p w14:paraId="7A7074C4" w14:textId="77777777" w:rsidR="0049647F" w:rsidRPr="00B004EE" w:rsidRDefault="0049647F" w:rsidP="00B004EE">
      <w:pPr>
        <w:ind w:right="-6"/>
        <w:jc w:val="center"/>
        <w:rPr>
          <w:rFonts w:ascii="Tahoma" w:eastAsia="Arial Narrow" w:hAnsi="Tahoma" w:cs="Tahoma"/>
          <w:b/>
          <w:bCs/>
          <w:sz w:val="20"/>
          <w:szCs w:val="20"/>
        </w:rPr>
      </w:pPr>
      <w:r w:rsidRPr="00B004EE">
        <w:rPr>
          <w:rFonts w:ascii="Tahoma" w:eastAsia="Arial Narrow" w:hAnsi="Tahoma" w:cs="Tahoma"/>
          <w:b/>
          <w:bCs/>
          <w:sz w:val="20"/>
          <w:szCs w:val="20"/>
        </w:rPr>
        <w:t>Section 1 : Infractions.</w:t>
      </w:r>
    </w:p>
    <w:p w14:paraId="473C8F05" w14:textId="77777777" w:rsidR="0049647F" w:rsidRPr="00B004EE" w:rsidRDefault="0049647F" w:rsidP="00B004EE">
      <w:pPr>
        <w:ind w:right="-6"/>
        <w:rPr>
          <w:rFonts w:ascii="Tahoma" w:eastAsia="Courier New" w:hAnsi="Tahoma" w:cs="Tahoma"/>
          <w:b/>
          <w:bCs/>
          <w:sz w:val="20"/>
          <w:szCs w:val="20"/>
        </w:rPr>
      </w:pPr>
    </w:p>
    <w:p w14:paraId="79478A8E" w14:textId="77777777" w:rsidR="0049647F" w:rsidRPr="00B004EE" w:rsidRDefault="0049647F" w:rsidP="00B004EE">
      <w:pPr>
        <w:ind w:right="-6"/>
        <w:jc w:val="center"/>
        <w:rPr>
          <w:rFonts w:ascii="Tahoma" w:eastAsia="Arial Narrow" w:hAnsi="Tahoma" w:cs="Tahoma"/>
          <w:b/>
          <w:bCs/>
          <w:sz w:val="20"/>
          <w:szCs w:val="20"/>
        </w:rPr>
      </w:pPr>
      <w:r w:rsidRPr="00B004EE">
        <w:rPr>
          <w:rFonts w:ascii="Tahoma" w:eastAsia="Arial Narrow" w:hAnsi="Tahoma" w:cs="Tahoma"/>
          <w:b/>
          <w:bCs/>
          <w:sz w:val="20"/>
          <w:szCs w:val="20"/>
        </w:rPr>
        <w:t>Sub-Section 1 : Les infractions relatives à l'hygiène et la propreté des habitations</w:t>
      </w:r>
    </w:p>
    <w:p w14:paraId="489B5E53" w14:textId="77777777" w:rsidR="0049647F" w:rsidRPr="00B004EE" w:rsidRDefault="0049647F" w:rsidP="00B004EE">
      <w:pPr>
        <w:ind w:right="-6" w:firstLine="4"/>
        <w:jc w:val="both"/>
        <w:rPr>
          <w:rFonts w:ascii="Tahoma" w:eastAsiaTheme="minorHAnsi" w:hAnsi="Tahoma" w:cs="Tahoma"/>
          <w:b/>
          <w:bCs/>
          <w:w w:val="120"/>
          <w:sz w:val="20"/>
          <w:szCs w:val="20"/>
        </w:rPr>
      </w:pPr>
    </w:p>
    <w:p w14:paraId="0B7E6FFF"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 75 : Dans chaque immeuble, les ordures ménagères doivent être conservées dans les poubelles réglementaires ou dans des containers. Tout dépôt d'ordure à l'intérieur, comme à l'extérieur des habitations, non conforme à la réglementation en vigueur, est interdit.</w:t>
      </w:r>
    </w:p>
    <w:p w14:paraId="0C9B34F3" w14:textId="77777777" w:rsidR="0049647F" w:rsidRPr="00B004EE" w:rsidRDefault="0049647F" w:rsidP="00B004EE">
      <w:pPr>
        <w:jc w:val="both"/>
        <w:rPr>
          <w:rFonts w:ascii="Tahoma" w:hAnsi="Tahoma" w:cs="Tahoma"/>
          <w:sz w:val="20"/>
          <w:szCs w:val="20"/>
        </w:rPr>
      </w:pPr>
    </w:p>
    <w:p w14:paraId="394B014E"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 76 : Sont interdits :</w:t>
      </w:r>
    </w:p>
    <w:p w14:paraId="0D7DDB91" w14:textId="77777777" w:rsidR="0049647F" w:rsidRPr="00B004EE" w:rsidRDefault="0049647F" w:rsidP="00420DDA">
      <w:pPr>
        <w:pStyle w:val="Paragraphedeliste"/>
        <w:numPr>
          <w:ilvl w:val="0"/>
          <w:numId w:val="75"/>
        </w:numPr>
        <w:ind w:right="-6"/>
        <w:jc w:val="both"/>
        <w:rPr>
          <w:rFonts w:ascii="Tahoma" w:eastAsia="American Typewriter" w:hAnsi="Tahoma" w:cs="Tahoma"/>
          <w:sz w:val="20"/>
          <w:szCs w:val="20"/>
        </w:rPr>
      </w:pPr>
      <w:r w:rsidRPr="00B004EE">
        <w:rPr>
          <w:rFonts w:ascii="Tahoma" w:eastAsia="American Typewriter" w:hAnsi="Tahoma" w:cs="Tahoma"/>
          <w:sz w:val="20"/>
          <w:szCs w:val="20"/>
        </w:rPr>
        <w:t>Le mélange des matières fécales ou urinaires aux ordures ménagères.</w:t>
      </w:r>
    </w:p>
    <w:p w14:paraId="305CEF11" w14:textId="77777777" w:rsidR="0049647F" w:rsidRPr="00B004EE" w:rsidRDefault="0049647F" w:rsidP="00420DDA">
      <w:pPr>
        <w:pStyle w:val="Paragraphedeliste"/>
        <w:numPr>
          <w:ilvl w:val="0"/>
          <w:numId w:val="75"/>
        </w:numPr>
        <w:ind w:right="-6"/>
        <w:jc w:val="both"/>
        <w:rPr>
          <w:rFonts w:ascii="Tahoma" w:eastAsia="American Typewriter" w:hAnsi="Tahoma" w:cs="Tahoma"/>
          <w:sz w:val="20"/>
          <w:szCs w:val="20"/>
        </w:rPr>
      </w:pPr>
      <w:r w:rsidRPr="00B004EE">
        <w:rPr>
          <w:rFonts w:ascii="Tahoma" w:eastAsia="American Typewriter" w:hAnsi="Tahoma" w:cs="Tahoma"/>
          <w:sz w:val="20"/>
          <w:szCs w:val="20"/>
        </w:rPr>
        <w:t>Tout branchement d'égout sur collecteur d'eau pluviale.</w:t>
      </w:r>
    </w:p>
    <w:p w14:paraId="784C2B26" w14:textId="77777777" w:rsidR="0049647F" w:rsidRPr="00B004EE" w:rsidRDefault="0049647F" w:rsidP="00420DDA">
      <w:pPr>
        <w:pStyle w:val="Paragraphedeliste"/>
        <w:numPr>
          <w:ilvl w:val="0"/>
          <w:numId w:val="75"/>
        </w:numPr>
        <w:ind w:right="-6"/>
        <w:jc w:val="both"/>
        <w:rPr>
          <w:rFonts w:ascii="Tahoma" w:eastAsia="American Typewriter" w:hAnsi="Tahoma" w:cs="Tahoma"/>
          <w:sz w:val="20"/>
          <w:szCs w:val="20"/>
        </w:rPr>
      </w:pPr>
      <w:r w:rsidRPr="00B004EE">
        <w:rPr>
          <w:rFonts w:ascii="Tahoma" w:eastAsia="American Typewriter" w:hAnsi="Tahoma" w:cs="Tahoma"/>
          <w:sz w:val="20"/>
          <w:szCs w:val="20"/>
        </w:rPr>
        <w:t>La culture des plantes dites à larves dans les agglomérations urbaines.</w:t>
      </w:r>
    </w:p>
    <w:p w14:paraId="1D20580D" w14:textId="77777777" w:rsidR="0049647F" w:rsidRPr="00B004EE" w:rsidRDefault="0049647F" w:rsidP="00420DDA">
      <w:pPr>
        <w:pStyle w:val="Paragraphedeliste"/>
        <w:numPr>
          <w:ilvl w:val="0"/>
          <w:numId w:val="75"/>
        </w:numPr>
        <w:ind w:right="-6"/>
        <w:jc w:val="both"/>
        <w:rPr>
          <w:rFonts w:ascii="Tahoma" w:eastAsia="American Typewriter" w:hAnsi="Tahoma" w:cs="Tahoma"/>
          <w:sz w:val="20"/>
          <w:szCs w:val="20"/>
        </w:rPr>
      </w:pPr>
      <w:r w:rsidRPr="00B004EE">
        <w:rPr>
          <w:rFonts w:ascii="Tahoma" w:eastAsia="American Typewriter" w:hAnsi="Tahoma" w:cs="Tahoma"/>
          <w:sz w:val="20"/>
          <w:szCs w:val="20"/>
        </w:rPr>
        <w:t>La conservation dans les habitations des objets ou récipients de toute nature, boites vides, canaris, épaves de voiture susceptibles de constituer des gîtes à larves de moustiques.</w:t>
      </w:r>
    </w:p>
    <w:p w14:paraId="7CDEBF50" w14:textId="77777777" w:rsidR="0049647F" w:rsidRPr="00B004EE" w:rsidRDefault="0049647F" w:rsidP="00420DDA">
      <w:pPr>
        <w:pStyle w:val="Paragraphedeliste"/>
        <w:numPr>
          <w:ilvl w:val="0"/>
          <w:numId w:val="75"/>
        </w:numPr>
        <w:ind w:right="-6"/>
        <w:jc w:val="both"/>
        <w:rPr>
          <w:rFonts w:ascii="Tahoma" w:eastAsia="American Typewriter" w:hAnsi="Tahoma" w:cs="Tahoma"/>
          <w:sz w:val="20"/>
          <w:szCs w:val="20"/>
        </w:rPr>
      </w:pPr>
      <w:r w:rsidRPr="00B004EE">
        <w:rPr>
          <w:rFonts w:ascii="Tahoma" w:eastAsia="American Typewriter" w:hAnsi="Tahoma" w:cs="Tahoma"/>
          <w:sz w:val="20"/>
          <w:szCs w:val="20"/>
        </w:rPr>
        <w:t>L'élevage des moutons et volailles à l'intérieur des habitations</w:t>
      </w:r>
    </w:p>
    <w:p w14:paraId="085E630A" w14:textId="77777777" w:rsidR="0049647F" w:rsidRPr="00B004EE" w:rsidRDefault="0049647F" w:rsidP="00420DDA">
      <w:pPr>
        <w:pStyle w:val="Paragraphedeliste"/>
        <w:numPr>
          <w:ilvl w:val="0"/>
          <w:numId w:val="75"/>
        </w:numPr>
        <w:ind w:right="-6"/>
        <w:jc w:val="both"/>
        <w:rPr>
          <w:rFonts w:ascii="Tahoma" w:eastAsia="American Typewriter" w:hAnsi="Tahoma" w:cs="Tahoma"/>
          <w:sz w:val="20"/>
          <w:szCs w:val="20"/>
        </w:rPr>
      </w:pPr>
      <w:r w:rsidRPr="00B004EE">
        <w:rPr>
          <w:rFonts w:ascii="Tahoma" w:eastAsia="American Typewriter" w:hAnsi="Tahoma" w:cs="Tahoma"/>
          <w:sz w:val="20"/>
          <w:szCs w:val="20"/>
        </w:rPr>
        <w:t>Toute installation d'urinoir et de latrine dans les habitations non conformes aux normes prescrites par la réglementation en vigueur.</w:t>
      </w:r>
    </w:p>
    <w:p w14:paraId="280A3D97" w14:textId="77777777" w:rsidR="0049647F" w:rsidRPr="00B004EE" w:rsidRDefault="0049647F" w:rsidP="00B004EE">
      <w:pPr>
        <w:ind w:right="-6" w:hanging="4"/>
        <w:jc w:val="both"/>
        <w:rPr>
          <w:rFonts w:ascii="Tahoma" w:eastAsia="American Typewriter" w:hAnsi="Tahoma" w:cs="Tahoma"/>
          <w:sz w:val="20"/>
          <w:szCs w:val="20"/>
        </w:rPr>
      </w:pPr>
    </w:p>
    <w:p w14:paraId="2BE9A438"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 77 : Les terrains, clos ou non, les tours des habitations doivent être tenus en bon état de propreté constante par balayage ou désherbage.</w:t>
      </w:r>
    </w:p>
    <w:p w14:paraId="3D4DD46E" w14:textId="77777777" w:rsidR="0049647F" w:rsidRPr="00B004EE" w:rsidRDefault="0049647F" w:rsidP="00B004EE">
      <w:pPr>
        <w:ind w:right="-6" w:hanging="4"/>
        <w:jc w:val="both"/>
        <w:rPr>
          <w:rFonts w:ascii="Tahoma" w:eastAsia="American Typewriter" w:hAnsi="Tahoma" w:cs="Tahoma"/>
          <w:sz w:val="20"/>
          <w:szCs w:val="20"/>
        </w:rPr>
      </w:pPr>
    </w:p>
    <w:p w14:paraId="6DDB62DD" w14:textId="77777777" w:rsidR="0049647F" w:rsidRPr="00B004EE" w:rsidRDefault="0049647F" w:rsidP="00B004EE">
      <w:pPr>
        <w:ind w:right="-6"/>
        <w:jc w:val="center"/>
        <w:rPr>
          <w:rFonts w:ascii="Tahoma" w:eastAsia="Arial Narrow" w:hAnsi="Tahoma" w:cs="Tahoma"/>
          <w:b/>
          <w:bCs/>
          <w:sz w:val="20"/>
          <w:szCs w:val="20"/>
        </w:rPr>
      </w:pPr>
      <w:r w:rsidRPr="00B004EE">
        <w:rPr>
          <w:rFonts w:ascii="Tahoma" w:eastAsia="Arial Narrow" w:hAnsi="Tahoma" w:cs="Tahoma"/>
          <w:b/>
          <w:bCs/>
          <w:sz w:val="20"/>
          <w:szCs w:val="20"/>
        </w:rPr>
        <w:lastRenderedPageBreak/>
        <w:t>Sub-Section 2 : Infractions relatives à l'hygiène des voies publiques</w:t>
      </w:r>
    </w:p>
    <w:p w14:paraId="146CAF80" w14:textId="77777777" w:rsidR="0049647F" w:rsidRPr="00B004EE" w:rsidRDefault="0049647F" w:rsidP="00B004EE">
      <w:pPr>
        <w:ind w:right="-6"/>
        <w:rPr>
          <w:rFonts w:ascii="Tahoma" w:eastAsia="Arial Narrow" w:hAnsi="Tahoma" w:cs="Tahoma"/>
          <w:sz w:val="20"/>
          <w:szCs w:val="20"/>
        </w:rPr>
      </w:pPr>
    </w:p>
    <w:p w14:paraId="289574AE"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 78 : Il est interdit :</w:t>
      </w:r>
    </w:p>
    <w:p w14:paraId="08A9ED03" w14:textId="77777777" w:rsidR="0049647F" w:rsidRPr="00B004EE" w:rsidRDefault="0049647F" w:rsidP="00420DDA">
      <w:pPr>
        <w:pStyle w:val="Paragraphedeliste"/>
        <w:numPr>
          <w:ilvl w:val="0"/>
          <w:numId w:val="76"/>
        </w:numPr>
        <w:ind w:right="-6"/>
        <w:jc w:val="both"/>
        <w:rPr>
          <w:rFonts w:ascii="Tahoma" w:eastAsia="American Typewriter" w:hAnsi="Tahoma" w:cs="Tahoma"/>
          <w:sz w:val="20"/>
          <w:szCs w:val="20"/>
        </w:rPr>
      </w:pPr>
      <w:proofErr w:type="gramStart"/>
      <w:r w:rsidRPr="00B004EE">
        <w:rPr>
          <w:rFonts w:ascii="Tahoma" w:eastAsia="American Typewriter" w:hAnsi="Tahoma" w:cs="Tahoma"/>
          <w:sz w:val="20"/>
          <w:szCs w:val="20"/>
        </w:rPr>
        <w:t>de</w:t>
      </w:r>
      <w:proofErr w:type="gramEnd"/>
      <w:r w:rsidRPr="00B004EE">
        <w:rPr>
          <w:rFonts w:ascii="Tahoma" w:eastAsia="American Typewriter" w:hAnsi="Tahoma" w:cs="Tahoma"/>
          <w:sz w:val="20"/>
          <w:szCs w:val="20"/>
        </w:rPr>
        <w:t xml:space="preserve"> déposer sur la voie publique,</w:t>
      </w:r>
    </w:p>
    <w:p w14:paraId="79F64F99" w14:textId="77777777" w:rsidR="0049647F" w:rsidRPr="00B004EE" w:rsidRDefault="0049647F" w:rsidP="00420DDA">
      <w:pPr>
        <w:pStyle w:val="Paragraphedeliste"/>
        <w:numPr>
          <w:ilvl w:val="0"/>
          <w:numId w:val="76"/>
        </w:numPr>
        <w:ind w:right="-6"/>
        <w:jc w:val="both"/>
        <w:rPr>
          <w:rFonts w:ascii="Tahoma" w:eastAsia="American Typewriter" w:hAnsi="Tahoma" w:cs="Tahoma"/>
          <w:sz w:val="20"/>
          <w:szCs w:val="20"/>
        </w:rPr>
      </w:pPr>
      <w:proofErr w:type="gramStart"/>
      <w:r w:rsidRPr="00B004EE">
        <w:rPr>
          <w:rFonts w:ascii="Tahoma" w:eastAsia="American Typewriter" w:hAnsi="Tahoma" w:cs="Tahoma"/>
          <w:sz w:val="20"/>
          <w:szCs w:val="20"/>
        </w:rPr>
        <w:t>de</w:t>
      </w:r>
      <w:proofErr w:type="gramEnd"/>
      <w:r w:rsidRPr="00B004EE">
        <w:rPr>
          <w:rFonts w:ascii="Tahoma" w:eastAsia="American Typewriter" w:hAnsi="Tahoma" w:cs="Tahoma"/>
          <w:sz w:val="20"/>
          <w:szCs w:val="20"/>
        </w:rPr>
        <w:t xml:space="preserve"> jeter dans les mares, fleuves ,rivières, lacs, étangs ,mers ou sur les rives,</w:t>
      </w:r>
    </w:p>
    <w:p w14:paraId="795893AB" w14:textId="77777777" w:rsidR="0049647F" w:rsidRPr="00B004EE" w:rsidRDefault="0049647F" w:rsidP="00420DDA">
      <w:pPr>
        <w:pStyle w:val="Paragraphedeliste"/>
        <w:numPr>
          <w:ilvl w:val="0"/>
          <w:numId w:val="76"/>
        </w:numPr>
        <w:ind w:right="-6"/>
        <w:jc w:val="both"/>
        <w:rPr>
          <w:rFonts w:ascii="Tahoma" w:eastAsia="American Typewriter" w:hAnsi="Tahoma" w:cs="Tahoma"/>
          <w:sz w:val="20"/>
          <w:szCs w:val="20"/>
        </w:rPr>
      </w:pPr>
      <w:proofErr w:type="gramStart"/>
      <w:r w:rsidRPr="00B004EE">
        <w:rPr>
          <w:rFonts w:ascii="Tahoma" w:eastAsia="American Typewriter" w:hAnsi="Tahoma" w:cs="Tahoma"/>
          <w:sz w:val="20"/>
          <w:szCs w:val="20"/>
        </w:rPr>
        <w:t>d’enfouir</w:t>
      </w:r>
      <w:proofErr w:type="gramEnd"/>
      <w:r w:rsidRPr="00B004EE">
        <w:rPr>
          <w:rFonts w:ascii="Tahoma" w:eastAsia="American Typewriter" w:hAnsi="Tahoma" w:cs="Tahoma"/>
          <w:sz w:val="20"/>
          <w:szCs w:val="20"/>
        </w:rPr>
        <w:t>, d’une façon générale à moins de 35 mètres des habitations ,des puits, des sources ou dans les périmètres de protection des sources ainsi que des ouvrages de captage et d'adduction d'eau ,les cadavres d'animaux et les ordures ménagères.</w:t>
      </w:r>
    </w:p>
    <w:p w14:paraId="56260753" w14:textId="77777777" w:rsidR="0049647F" w:rsidRPr="00B004EE" w:rsidRDefault="0049647F" w:rsidP="00B004EE">
      <w:pPr>
        <w:jc w:val="both"/>
        <w:rPr>
          <w:rFonts w:ascii="Tahoma" w:hAnsi="Tahoma" w:cs="Tahoma"/>
          <w:sz w:val="20"/>
          <w:szCs w:val="20"/>
        </w:rPr>
      </w:pPr>
    </w:p>
    <w:p w14:paraId="0BF3CCE7"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 79 : 11 est formellement interdit de jeter ou de déposer des détritus sur les trottoirs, chaussées, squares et jardins publics.</w:t>
      </w:r>
    </w:p>
    <w:p w14:paraId="230873EA" w14:textId="77777777" w:rsidR="0049647F" w:rsidRPr="00B004EE" w:rsidRDefault="0049647F" w:rsidP="00B004EE">
      <w:pPr>
        <w:jc w:val="both"/>
        <w:rPr>
          <w:rFonts w:ascii="Tahoma" w:hAnsi="Tahoma" w:cs="Tahoma"/>
          <w:sz w:val="20"/>
          <w:szCs w:val="20"/>
        </w:rPr>
      </w:pPr>
    </w:p>
    <w:p w14:paraId="1653A21D"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 80 : Il est interdit de jeter les eaux usées, de déposer des urines et des excréments sur la voie publique.</w:t>
      </w:r>
    </w:p>
    <w:p w14:paraId="217EFEAA" w14:textId="77777777" w:rsidR="0049647F" w:rsidRPr="00B004EE" w:rsidRDefault="0049647F" w:rsidP="00B004EE">
      <w:pPr>
        <w:jc w:val="both"/>
        <w:rPr>
          <w:rFonts w:ascii="Tahoma" w:hAnsi="Tahoma" w:cs="Tahoma"/>
          <w:sz w:val="20"/>
          <w:szCs w:val="20"/>
        </w:rPr>
      </w:pPr>
    </w:p>
    <w:p w14:paraId="1FFC8837"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 81 : Il est interdit de laver les voitures sur les voies et dans les lieux publics ainsi que de laver le linge et les ustensiles ménagers aux bornes fontaines.</w:t>
      </w:r>
    </w:p>
    <w:p w14:paraId="36027242" w14:textId="77777777" w:rsidR="0049647F" w:rsidRPr="00B004EE" w:rsidRDefault="0049647F" w:rsidP="00B004EE">
      <w:pPr>
        <w:jc w:val="both"/>
        <w:rPr>
          <w:rFonts w:ascii="Tahoma" w:hAnsi="Tahoma" w:cs="Tahoma"/>
          <w:sz w:val="20"/>
          <w:szCs w:val="20"/>
        </w:rPr>
      </w:pPr>
    </w:p>
    <w:p w14:paraId="16E6245F"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 82 : Il est interdit de déposer sur la voie publique ainsi qu'à ciel ouvert les ferrailles et les épaves de toutes sortes.</w:t>
      </w:r>
    </w:p>
    <w:p w14:paraId="160E148D" w14:textId="77777777" w:rsidR="0049647F" w:rsidRPr="00B004EE" w:rsidRDefault="0049647F" w:rsidP="00B004EE">
      <w:pPr>
        <w:jc w:val="both"/>
        <w:rPr>
          <w:rFonts w:ascii="Tahoma" w:hAnsi="Tahoma" w:cs="Tahoma"/>
          <w:sz w:val="20"/>
          <w:szCs w:val="20"/>
        </w:rPr>
      </w:pPr>
    </w:p>
    <w:p w14:paraId="35371601"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 83 : Il est interdit de verser ou de déposer des ordures ou des déchets de cuisine dans les canaux d'assainissement ou dans les bouches à eaux grasses.</w:t>
      </w:r>
    </w:p>
    <w:p w14:paraId="1D53E15B" w14:textId="77777777" w:rsidR="0049647F" w:rsidRPr="00B004EE" w:rsidRDefault="0049647F" w:rsidP="00B004EE">
      <w:pPr>
        <w:jc w:val="both"/>
        <w:rPr>
          <w:rFonts w:ascii="Tahoma" w:hAnsi="Tahoma" w:cs="Tahoma"/>
          <w:sz w:val="20"/>
          <w:szCs w:val="20"/>
        </w:rPr>
      </w:pPr>
    </w:p>
    <w:p w14:paraId="35F9345B"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 84 : Dans les communes ou dans les communautés rurales où le balayage n'est pas assuré par un service de nettoiement, les propriétaires riverains des voies livrées à la circulation publique sont tenus de balayer, chacun au-devant de sa façade, sur une largeur égale à celle de la moitié de ladite voie.</w:t>
      </w:r>
    </w:p>
    <w:p w14:paraId="345A47CC" w14:textId="77777777" w:rsidR="0049647F" w:rsidRPr="00B004EE" w:rsidRDefault="0049647F" w:rsidP="00B004EE">
      <w:pPr>
        <w:jc w:val="both"/>
        <w:rPr>
          <w:rFonts w:ascii="Tahoma" w:eastAsia="American Typewriter" w:hAnsi="Tahoma" w:cs="Tahoma"/>
          <w:sz w:val="20"/>
          <w:szCs w:val="20"/>
        </w:rPr>
      </w:pPr>
      <w:r w:rsidRPr="00B004EE">
        <w:rPr>
          <w:rFonts w:ascii="Tahoma" w:hAnsi="Tahoma" w:cs="Tahoma"/>
          <w:sz w:val="20"/>
          <w:szCs w:val="20"/>
        </w:rPr>
        <w:t>Lorsque le balayage est assuré par les soins de la collectivité, les riverains ont la</w:t>
      </w:r>
      <w:r w:rsidRPr="00B004EE">
        <w:rPr>
          <w:rFonts w:ascii="Tahoma" w:eastAsia="American Typewriter" w:hAnsi="Tahoma" w:cs="Tahoma"/>
          <w:sz w:val="20"/>
          <w:szCs w:val="20"/>
        </w:rPr>
        <w:t xml:space="preserve"> responsabilité de la propreté du terrain qui les concerne.</w:t>
      </w:r>
    </w:p>
    <w:p w14:paraId="0681348E" w14:textId="77777777" w:rsidR="0049647F" w:rsidRPr="00B004EE" w:rsidRDefault="0049647F" w:rsidP="00B004EE">
      <w:pPr>
        <w:ind w:right="-6" w:hanging="4"/>
        <w:jc w:val="both"/>
        <w:rPr>
          <w:rFonts w:ascii="Tahoma" w:eastAsia="American Typewriter" w:hAnsi="Tahoma" w:cs="Tahoma"/>
          <w:sz w:val="20"/>
          <w:szCs w:val="20"/>
        </w:rPr>
      </w:pPr>
    </w:p>
    <w:p w14:paraId="25C9DE17" w14:textId="77777777" w:rsidR="0049647F" w:rsidRPr="00B004EE" w:rsidRDefault="0049647F" w:rsidP="00B004EE">
      <w:pPr>
        <w:ind w:right="-6"/>
        <w:jc w:val="center"/>
        <w:rPr>
          <w:rFonts w:ascii="Tahoma" w:eastAsia="Arial Narrow" w:hAnsi="Tahoma" w:cs="Tahoma"/>
          <w:b/>
          <w:bCs/>
          <w:sz w:val="20"/>
          <w:szCs w:val="20"/>
        </w:rPr>
      </w:pPr>
      <w:r w:rsidRPr="00B004EE">
        <w:rPr>
          <w:rFonts w:ascii="Tahoma" w:eastAsia="Arial Narrow" w:hAnsi="Tahoma" w:cs="Tahoma"/>
          <w:b/>
          <w:bCs/>
          <w:sz w:val="20"/>
          <w:szCs w:val="20"/>
        </w:rPr>
        <w:t>Sub-Section 3 : Infractions relatives à l'hygiène des plages</w:t>
      </w:r>
    </w:p>
    <w:p w14:paraId="4C59DC2A" w14:textId="77777777" w:rsidR="0049647F" w:rsidRPr="00B004EE" w:rsidRDefault="0049647F" w:rsidP="00B004EE">
      <w:pPr>
        <w:ind w:right="-6"/>
        <w:rPr>
          <w:rFonts w:ascii="Tahoma" w:eastAsia="Arial Narrow" w:hAnsi="Tahoma" w:cs="Tahoma"/>
          <w:sz w:val="20"/>
          <w:szCs w:val="20"/>
        </w:rPr>
      </w:pPr>
    </w:p>
    <w:p w14:paraId="2E601FDC"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 85 : Il est interdit d'abandonner sur les plages tout objet susceptible d'altérer la propreté des lieux, notamment des boites de conserve, des poissons ou des détritus.</w:t>
      </w:r>
    </w:p>
    <w:p w14:paraId="38B30447" w14:textId="77777777" w:rsidR="0049647F" w:rsidRPr="00B004EE" w:rsidRDefault="0049647F" w:rsidP="00B004EE">
      <w:pPr>
        <w:jc w:val="both"/>
        <w:rPr>
          <w:rFonts w:ascii="Tahoma" w:hAnsi="Tahoma" w:cs="Tahoma"/>
          <w:sz w:val="20"/>
          <w:szCs w:val="20"/>
        </w:rPr>
      </w:pPr>
    </w:p>
    <w:p w14:paraId="46B7EAF7"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 86 : L'accès des plages est interdit aux chiens, aux chats et à tous autres animaux.</w:t>
      </w:r>
    </w:p>
    <w:p w14:paraId="18BDD109" w14:textId="77777777" w:rsidR="0049647F" w:rsidRPr="00B004EE" w:rsidRDefault="0049647F" w:rsidP="00B004EE">
      <w:pPr>
        <w:jc w:val="both"/>
        <w:rPr>
          <w:rFonts w:ascii="Tahoma" w:hAnsi="Tahoma" w:cs="Tahoma"/>
          <w:sz w:val="20"/>
          <w:szCs w:val="20"/>
        </w:rPr>
      </w:pPr>
    </w:p>
    <w:p w14:paraId="45090ECD"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 87 : La circulation des animaux, des voitures à chevaux, des automobiles, motocyclettes et bicyclettes est formellement interdite sur les plages.</w:t>
      </w:r>
    </w:p>
    <w:p w14:paraId="0789A1B9" w14:textId="77777777" w:rsidR="0049647F" w:rsidRPr="00B004EE" w:rsidRDefault="0049647F" w:rsidP="00B004EE">
      <w:pPr>
        <w:ind w:right="-6" w:hanging="4"/>
        <w:jc w:val="both"/>
        <w:rPr>
          <w:rFonts w:ascii="Tahoma" w:eastAsia="American Typewriter" w:hAnsi="Tahoma" w:cs="Tahoma"/>
          <w:sz w:val="20"/>
          <w:szCs w:val="20"/>
        </w:rPr>
      </w:pPr>
    </w:p>
    <w:p w14:paraId="460DE21D" w14:textId="77777777" w:rsidR="0049647F" w:rsidRPr="00B004EE" w:rsidRDefault="0049647F" w:rsidP="00B004EE">
      <w:pPr>
        <w:ind w:right="-6"/>
        <w:jc w:val="center"/>
        <w:rPr>
          <w:rFonts w:ascii="Tahoma" w:eastAsia="Arial Narrow" w:hAnsi="Tahoma" w:cs="Tahoma"/>
          <w:b/>
          <w:bCs/>
          <w:sz w:val="20"/>
          <w:szCs w:val="20"/>
        </w:rPr>
      </w:pPr>
      <w:r w:rsidRPr="00B004EE">
        <w:rPr>
          <w:rFonts w:ascii="Tahoma" w:eastAsia="Arial Narrow" w:hAnsi="Tahoma" w:cs="Tahoma"/>
          <w:b/>
          <w:bCs/>
          <w:sz w:val="20"/>
          <w:szCs w:val="20"/>
        </w:rPr>
        <w:t>Sub-Section 4 : Infractions relatives à l'hygiène des installations industrielles</w:t>
      </w:r>
    </w:p>
    <w:p w14:paraId="1DA85D4F" w14:textId="77777777" w:rsidR="0049647F" w:rsidRPr="00B004EE" w:rsidRDefault="0049647F" w:rsidP="00B004EE">
      <w:pPr>
        <w:ind w:right="-6"/>
        <w:rPr>
          <w:rFonts w:ascii="Tahoma" w:eastAsia="Arial Narrow" w:hAnsi="Tahoma" w:cs="Tahoma"/>
          <w:sz w:val="20"/>
          <w:szCs w:val="20"/>
        </w:rPr>
      </w:pPr>
    </w:p>
    <w:p w14:paraId="5F107351"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 88 : Les locaux et alentours des établissements industriels et commerciaux ne doivent pas être insalubres. L'élimination des eaux résiduaires doit se faire selon la réglementation en vigueur et spécifique à chaque industrie.</w:t>
      </w:r>
    </w:p>
    <w:p w14:paraId="1524DF8B" w14:textId="77777777" w:rsidR="0049647F" w:rsidRPr="00B004EE" w:rsidRDefault="0049647F" w:rsidP="00B004EE">
      <w:pPr>
        <w:jc w:val="both"/>
        <w:rPr>
          <w:rFonts w:ascii="Tahoma" w:hAnsi="Tahoma" w:cs="Tahoma"/>
          <w:sz w:val="20"/>
          <w:szCs w:val="20"/>
        </w:rPr>
      </w:pPr>
    </w:p>
    <w:p w14:paraId="42A0874D"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 89 : Les hôpitaux et les formations sanitaires publiques ou privées sont tenus de détruire par voie d'incinération ou enfouissement après désinfection les déchets anatomiques ou contagieux.</w:t>
      </w:r>
    </w:p>
    <w:p w14:paraId="23736A78" w14:textId="77777777" w:rsidR="0049647F" w:rsidRPr="00B004EE" w:rsidRDefault="0049647F" w:rsidP="00B004EE">
      <w:pPr>
        <w:jc w:val="both"/>
        <w:rPr>
          <w:rFonts w:ascii="Tahoma" w:hAnsi="Tahoma" w:cs="Tahoma"/>
          <w:sz w:val="20"/>
          <w:szCs w:val="20"/>
        </w:rPr>
      </w:pPr>
    </w:p>
    <w:p w14:paraId="1DC83ABD"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 90 : Le personnel des usines et autres entreprises industrielles doit être soumis à des visites médicales périodiques.</w:t>
      </w:r>
    </w:p>
    <w:p w14:paraId="25822088" w14:textId="77777777" w:rsidR="0049647F" w:rsidRPr="00B004EE" w:rsidRDefault="0049647F" w:rsidP="00B004EE">
      <w:pPr>
        <w:jc w:val="both"/>
        <w:rPr>
          <w:rFonts w:ascii="Tahoma" w:hAnsi="Tahoma" w:cs="Tahoma"/>
          <w:sz w:val="20"/>
          <w:szCs w:val="20"/>
        </w:rPr>
      </w:pPr>
    </w:p>
    <w:p w14:paraId="0C26B9E8"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lastRenderedPageBreak/>
        <w:t>Article 91 : Le personnel travaillant dans les industries alimentaires doit observer, en plus des visites périodiques, une hygiène individuelle corporelle et vestimentaire permanente selon la nature de l'industrie et conformément à la réglementation en vigueur.</w:t>
      </w:r>
    </w:p>
    <w:p w14:paraId="44B6AB1C" w14:textId="77777777" w:rsidR="0049647F" w:rsidRPr="00B004EE" w:rsidRDefault="0049647F" w:rsidP="00B004EE">
      <w:pPr>
        <w:jc w:val="both"/>
        <w:rPr>
          <w:rFonts w:ascii="Tahoma" w:hAnsi="Tahoma" w:cs="Tahoma"/>
          <w:sz w:val="20"/>
          <w:szCs w:val="20"/>
        </w:rPr>
      </w:pPr>
    </w:p>
    <w:p w14:paraId="2ECF22FF" w14:textId="77777777" w:rsidR="0049647F" w:rsidRPr="00B004EE" w:rsidRDefault="0049647F" w:rsidP="00B004EE">
      <w:pPr>
        <w:jc w:val="both"/>
        <w:rPr>
          <w:rFonts w:ascii="Tahoma" w:eastAsia="American Typewriter" w:hAnsi="Tahoma" w:cs="Tahoma"/>
          <w:sz w:val="20"/>
          <w:szCs w:val="20"/>
        </w:rPr>
      </w:pPr>
      <w:r w:rsidRPr="00B004EE">
        <w:rPr>
          <w:rFonts w:ascii="Tahoma" w:hAnsi="Tahoma" w:cs="Tahoma"/>
          <w:sz w:val="20"/>
          <w:szCs w:val="20"/>
        </w:rPr>
        <w:t>Article 92 :</w:t>
      </w:r>
      <w:r w:rsidRPr="00B004EE">
        <w:rPr>
          <w:rFonts w:ascii="Tahoma" w:hAnsi="Tahoma" w:cs="Tahoma"/>
          <w:spacing w:val="9"/>
          <w:sz w:val="20"/>
          <w:szCs w:val="20"/>
        </w:rPr>
        <w:t xml:space="preserve"> </w:t>
      </w:r>
      <w:r w:rsidRPr="00B004EE">
        <w:rPr>
          <w:rFonts w:ascii="Tahoma" w:eastAsia="American Typewriter" w:hAnsi="Tahoma" w:cs="Tahoma"/>
          <w:sz w:val="20"/>
          <w:szCs w:val="20"/>
        </w:rPr>
        <w:t>L'utilisation éventuelle des ordures ménagères à des fins agricoles ou autres est formellement interdite.</w:t>
      </w:r>
    </w:p>
    <w:p w14:paraId="5B7E5199" w14:textId="77777777" w:rsidR="0049647F" w:rsidRPr="00B004EE" w:rsidRDefault="0049647F" w:rsidP="00B004EE">
      <w:pPr>
        <w:ind w:right="-6" w:hanging="4"/>
        <w:jc w:val="both"/>
        <w:rPr>
          <w:rFonts w:ascii="Tahoma" w:eastAsia="American Typewriter" w:hAnsi="Tahoma" w:cs="Tahoma"/>
          <w:sz w:val="20"/>
          <w:szCs w:val="20"/>
        </w:rPr>
      </w:pPr>
    </w:p>
    <w:p w14:paraId="180D46EE" w14:textId="77777777" w:rsidR="0049647F" w:rsidRPr="00B004EE" w:rsidRDefault="0049647F" w:rsidP="00B004EE">
      <w:pPr>
        <w:ind w:right="-6"/>
        <w:jc w:val="center"/>
        <w:rPr>
          <w:rFonts w:ascii="Tahoma" w:eastAsia="Arial Narrow" w:hAnsi="Tahoma" w:cs="Tahoma"/>
          <w:b/>
          <w:bCs/>
          <w:sz w:val="20"/>
          <w:szCs w:val="20"/>
        </w:rPr>
      </w:pPr>
      <w:r w:rsidRPr="00B004EE">
        <w:rPr>
          <w:rFonts w:ascii="Tahoma" w:eastAsia="Arial Narrow" w:hAnsi="Tahoma" w:cs="Tahoma"/>
          <w:b/>
          <w:bCs/>
          <w:sz w:val="20"/>
          <w:szCs w:val="20"/>
        </w:rPr>
        <w:t>Sub-Section 5 : Infractions relatives à l'hygiène de l'eau</w:t>
      </w:r>
    </w:p>
    <w:p w14:paraId="5066E4F6" w14:textId="77777777" w:rsidR="0049647F" w:rsidRPr="00B004EE" w:rsidRDefault="0049647F" w:rsidP="00B004EE">
      <w:pPr>
        <w:jc w:val="both"/>
        <w:rPr>
          <w:rFonts w:ascii="Tahoma" w:hAnsi="Tahoma" w:cs="Tahoma"/>
          <w:sz w:val="20"/>
          <w:szCs w:val="20"/>
        </w:rPr>
      </w:pPr>
    </w:p>
    <w:p w14:paraId="166A9CAB"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 93 : Les ouvrages ainsi que les réservoirs de distribution d'eau potable doivent être protégés contre les contaminations extérieures.</w:t>
      </w:r>
    </w:p>
    <w:p w14:paraId="130903CC" w14:textId="77777777" w:rsidR="0049647F" w:rsidRPr="00B004EE" w:rsidRDefault="0049647F" w:rsidP="00B004EE">
      <w:pPr>
        <w:jc w:val="both"/>
        <w:rPr>
          <w:rFonts w:ascii="Tahoma" w:hAnsi="Tahoma" w:cs="Tahoma"/>
          <w:sz w:val="20"/>
          <w:szCs w:val="20"/>
        </w:rPr>
      </w:pPr>
    </w:p>
    <w:p w14:paraId="5BE35B03"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 94 : Tout concessionnaire de distribution d'eau potable est tenu, clans les conditions fixées par décret, de faire vérifier la qualité de l'eau qui fait l'objet de cette distribution.</w:t>
      </w:r>
    </w:p>
    <w:p w14:paraId="3C275AE1" w14:textId="77777777" w:rsidR="0049647F" w:rsidRPr="00B004EE" w:rsidRDefault="0049647F" w:rsidP="00B004EE">
      <w:pPr>
        <w:jc w:val="both"/>
        <w:rPr>
          <w:rFonts w:ascii="Tahoma" w:hAnsi="Tahoma" w:cs="Tahoma"/>
          <w:sz w:val="20"/>
          <w:szCs w:val="20"/>
        </w:rPr>
      </w:pPr>
    </w:p>
    <w:p w14:paraId="4CD64CF1"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 95 : Est interdite, pour la préparation et la conservation de toutes denrées et marchandises destinées à l'alimentation humaine, l'utilisation d'eau non potable.</w:t>
      </w:r>
    </w:p>
    <w:p w14:paraId="5452A645" w14:textId="77777777" w:rsidR="0049647F" w:rsidRPr="00B004EE" w:rsidRDefault="0049647F" w:rsidP="00B004EE">
      <w:pPr>
        <w:ind w:right="-6"/>
        <w:rPr>
          <w:rFonts w:ascii="Tahoma" w:eastAsia="Arial Narrow" w:hAnsi="Tahoma" w:cs="Tahoma"/>
          <w:sz w:val="20"/>
          <w:szCs w:val="20"/>
        </w:rPr>
      </w:pPr>
    </w:p>
    <w:p w14:paraId="01C1946A" w14:textId="77777777" w:rsidR="0049647F" w:rsidRPr="00B004EE" w:rsidRDefault="0049647F" w:rsidP="00B004EE">
      <w:pPr>
        <w:ind w:right="-6"/>
        <w:jc w:val="center"/>
        <w:rPr>
          <w:rFonts w:ascii="Tahoma" w:eastAsia="Arial Narrow" w:hAnsi="Tahoma" w:cs="Tahoma"/>
          <w:b/>
          <w:bCs/>
          <w:sz w:val="20"/>
          <w:szCs w:val="20"/>
        </w:rPr>
      </w:pPr>
      <w:r w:rsidRPr="00B004EE">
        <w:rPr>
          <w:rFonts w:ascii="Tahoma" w:eastAsia="Arial Narrow" w:hAnsi="Tahoma" w:cs="Tahoma"/>
          <w:b/>
          <w:bCs/>
          <w:sz w:val="20"/>
          <w:szCs w:val="20"/>
        </w:rPr>
        <w:t>Sub-Section 6 : Infractions relatives à l'hygiène des denrées alimentaires</w:t>
      </w:r>
    </w:p>
    <w:p w14:paraId="7A6756D5"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 96 : Les ateliers, magasins de préparation, de stockage et de vente des denrées alimentaires ne doivent pas être insalubres. Ils doivent être aménagés et entretenus de manière à soustraire ces denrées à toute contamination, altération ou souillure.</w:t>
      </w:r>
    </w:p>
    <w:p w14:paraId="697B2FA7" w14:textId="77777777" w:rsidR="0049647F" w:rsidRPr="00B004EE" w:rsidRDefault="0049647F" w:rsidP="00B004EE">
      <w:pPr>
        <w:jc w:val="both"/>
        <w:rPr>
          <w:rFonts w:ascii="Tahoma" w:hAnsi="Tahoma" w:cs="Tahoma"/>
          <w:sz w:val="20"/>
          <w:szCs w:val="20"/>
        </w:rPr>
      </w:pPr>
    </w:p>
    <w:p w14:paraId="35DFF767"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 97 : La manipulation des denrées alimentaires est interdite aux personnels susceptibles de les contaminer, notamment celles qui sont atteintes d'infections cutanées, muqueuses respiratoires ou intestinales.</w:t>
      </w:r>
    </w:p>
    <w:p w14:paraId="6C230D2C" w14:textId="77777777" w:rsidR="0049647F" w:rsidRPr="00B004EE" w:rsidRDefault="0049647F" w:rsidP="00B004EE">
      <w:pPr>
        <w:jc w:val="both"/>
        <w:rPr>
          <w:rFonts w:ascii="Tahoma" w:hAnsi="Tahoma" w:cs="Tahoma"/>
          <w:sz w:val="20"/>
          <w:szCs w:val="20"/>
        </w:rPr>
      </w:pPr>
    </w:p>
    <w:p w14:paraId="17BD3A43"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 98 : Il est interdit d’utiliser, dans la fabrication des boissons, glaces, crème glacées, pâtisseries, des matières aromatisants et des colorants non admis pour la préparation des denrées alimentaires.</w:t>
      </w:r>
    </w:p>
    <w:p w14:paraId="5170D7C2" w14:textId="77777777" w:rsidR="0049647F" w:rsidRPr="00B004EE" w:rsidRDefault="0049647F" w:rsidP="00B004EE">
      <w:pPr>
        <w:jc w:val="both"/>
        <w:rPr>
          <w:rFonts w:ascii="Tahoma" w:hAnsi="Tahoma" w:cs="Tahoma"/>
          <w:sz w:val="20"/>
          <w:szCs w:val="20"/>
        </w:rPr>
      </w:pPr>
    </w:p>
    <w:p w14:paraId="711208E3"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 99 : Les bouteilles de conditionnement des boissons sodas et limonades, eaux gazeuses, doivent être dans un état de propreté excluant toute contamination.</w:t>
      </w:r>
    </w:p>
    <w:p w14:paraId="5BEBDD61" w14:textId="77777777" w:rsidR="0049647F" w:rsidRPr="00B004EE" w:rsidRDefault="0049647F" w:rsidP="00B004EE">
      <w:pPr>
        <w:jc w:val="both"/>
        <w:rPr>
          <w:rFonts w:ascii="Tahoma" w:hAnsi="Tahoma" w:cs="Tahoma"/>
          <w:sz w:val="20"/>
          <w:szCs w:val="20"/>
        </w:rPr>
      </w:pPr>
    </w:p>
    <w:p w14:paraId="0298C841"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 100 : Il est interdit de vendre des fruits n'ayant pas atteint un degré de développement et de maturité convenables ou des fruits traités à des substances non autorisées.</w:t>
      </w:r>
    </w:p>
    <w:p w14:paraId="3A471C50" w14:textId="77777777" w:rsidR="0049647F" w:rsidRPr="00B004EE" w:rsidRDefault="0049647F" w:rsidP="00B004EE">
      <w:pPr>
        <w:jc w:val="both"/>
        <w:rPr>
          <w:rFonts w:ascii="Tahoma" w:hAnsi="Tahoma" w:cs="Tahoma"/>
          <w:sz w:val="20"/>
          <w:szCs w:val="20"/>
        </w:rPr>
      </w:pPr>
    </w:p>
    <w:p w14:paraId="5515F378"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 101 : La viande et les produits dérivés exposés à la vente doivent être protégés contre les poussières, les mouches et toutes autres pollutions.</w:t>
      </w:r>
    </w:p>
    <w:p w14:paraId="462A1B3C" w14:textId="77777777" w:rsidR="0049647F" w:rsidRPr="00B004EE" w:rsidRDefault="0049647F" w:rsidP="00B004EE">
      <w:pPr>
        <w:ind w:right="-6" w:hanging="4"/>
        <w:jc w:val="both"/>
        <w:rPr>
          <w:rFonts w:ascii="Tahoma" w:eastAsia="American Typewriter" w:hAnsi="Tahoma" w:cs="Tahoma"/>
          <w:sz w:val="20"/>
          <w:szCs w:val="20"/>
        </w:rPr>
      </w:pPr>
    </w:p>
    <w:p w14:paraId="5863A210" w14:textId="77777777" w:rsidR="0049647F" w:rsidRPr="00B004EE" w:rsidRDefault="0049647F" w:rsidP="00B004EE">
      <w:pPr>
        <w:ind w:right="-6" w:hanging="4"/>
        <w:jc w:val="center"/>
        <w:rPr>
          <w:rFonts w:ascii="Tahoma" w:eastAsia="American Typewriter" w:hAnsi="Tahoma" w:cs="Tahoma"/>
          <w:b/>
          <w:bCs/>
          <w:sz w:val="20"/>
          <w:szCs w:val="20"/>
        </w:rPr>
      </w:pPr>
      <w:r w:rsidRPr="00B004EE">
        <w:rPr>
          <w:rFonts w:ascii="Tahoma" w:eastAsia="American Typewriter" w:hAnsi="Tahoma" w:cs="Tahoma"/>
          <w:b/>
          <w:bCs/>
          <w:sz w:val="20"/>
          <w:szCs w:val="20"/>
        </w:rPr>
        <w:t>Sub-Section 7 : Infractions relatives à l'hygiène des restaurants et des locaux similaires.</w:t>
      </w:r>
    </w:p>
    <w:p w14:paraId="014D34C8" w14:textId="77777777" w:rsidR="0049647F" w:rsidRPr="00B004EE" w:rsidRDefault="0049647F" w:rsidP="00B004EE">
      <w:pPr>
        <w:ind w:right="-6" w:hanging="4"/>
        <w:jc w:val="center"/>
        <w:rPr>
          <w:rFonts w:ascii="Tahoma" w:eastAsia="American Typewriter" w:hAnsi="Tahoma" w:cs="Tahoma"/>
          <w:b/>
          <w:bCs/>
          <w:sz w:val="20"/>
          <w:szCs w:val="20"/>
        </w:rPr>
      </w:pPr>
    </w:p>
    <w:p w14:paraId="09EE7E87"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 102 : Les locaux et les abords des restaurants et autres établissements similaires doivent être toujours tenus en bon état d'entretien et de salubrité.</w:t>
      </w:r>
    </w:p>
    <w:p w14:paraId="1D78B86B" w14:textId="77777777" w:rsidR="0049647F" w:rsidRPr="00B004EE" w:rsidRDefault="0049647F" w:rsidP="00B004EE">
      <w:pPr>
        <w:ind w:right="-6"/>
        <w:rPr>
          <w:rFonts w:ascii="Tahoma" w:eastAsia="Arial Narrow" w:hAnsi="Tahoma" w:cs="Tahoma"/>
          <w:sz w:val="20"/>
          <w:szCs w:val="20"/>
        </w:rPr>
      </w:pPr>
    </w:p>
    <w:p w14:paraId="3B47A8C4"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 xml:space="preserve">Article 103 : Dans les restaurants et locaux similaires : </w:t>
      </w:r>
    </w:p>
    <w:p w14:paraId="472238C3" w14:textId="77777777" w:rsidR="0049647F" w:rsidRPr="00B004EE" w:rsidRDefault="0049647F" w:rsidP="00420DDA">
      <w:pPr>
        <w:pStyle w:val="Paragraphedeliste"/>
        <w:numPr>
          <w:ilvl w:val="0"/>
          <w:numId w:val="77"/>
        </w:numPr>
        <w:ind w:right="-6"/>
        <w:jc w:val="both"/>
        <w:rPr>
          <w:rFonts w:ascii="Tahoma" w:eastAsia="American Typewriter" w:hAnsi="Tahoma" w:cs="Tahoma"/>
          <w:sz w:val="20"/>
          <w:szCs w:val="20"/>
        </w:rPr>
      </w:pPr>
      <w:r w:rsidRPr="00B004EE">
        <w:rPr>
          <w:rFonts w:ascii="Tahoma" w:eastAsia="American Typewriter" w:hAnsi="Tahoma" w:cs="Tahoma"/>
          <w:sz w:val="20"/>
          <w:szCs w:val="20"/>
        </w:rPr>
        <w:t>L'utilisation de l'eau non potable est interdite ;</w:t>
      </w:r>
    </w:p>
    <w:p w14:paraId="06E87300" w14:textId="77777777" w:rsidR="0049647F" w:rsidRPr="00B004EE" w:rsidRDefault="0049647F" w:rsidP="00420DDA">
      <w:pPr>
        <w:pStyle w:val="Paragraphedeliste"/>
        <w:numPr>
          <w:ilvl w:val="0"/>
          <w:numId w:val="77"/>
        </w:numPr>
        <w:ind w:right="-6"/>
        <w:jc w:val="both"/>
        <w:rPr>
          <w:rFonts w:ascii="Tahoma" w:eastAsia="American Typewriter" w:hAnsi="Tahoma" w:cs="Tahoma"/>
          <w:sz w:val="20"/>
          <w:szCs w:val="20"/>
        </w:rPr>
      </w:pPr>
      <w:r w:rsidRPr="00B004EE">
        <w:rPr>
          <w:rFonts w:ascii="Tahoma" w:eastAsia="American Typewriter" w:hAnsi="Tahoma" w:cs="Tahoma"/>
          <w:sz w:val="20"/>
          <w:szCs w:val="20"/>
        </w:rPr>
        <w:t>Les mets servis doivent être protégés contre toute pollution ;</w:t>
      </w:r>
    </w:p>
    <w:p w14:paraId="1E907888" w14:textId="77777777" w:rsidR="0049647F" w:rsidRPr="00B004EE" w:rsidRDefault="0049647F" w:rsidP="00420DDA">
      <w:pPr>
        <w:pStyle w:val="Paragraphedeliste"/>
        <w:numPr>
          <w:ilvl w:val="0"/>
          <w:numId w:val="77"/>
        </w:numPr>
        <w:ind w:right="-6"/>
        <w:jc w:val="both"/>
        <w:rPr>
          <w:rFonts w:ascii="Tahoma" w:eastAsia="American Typewriter" w:hAnsi="Tahoma" w:cs="Tahoma"/>
          <w:sz w:val="20"/>
          <w:szCs w:val="20"/>
        </w:rPr>
      </w:pPr>
      <w:r w:rsidRPr="00B004EE">
        <w:rPr>
          <w:rFonts w:ascii="Tahoma" w:eastAsia="American Typewriter" w:hAnsi="Tahoma" w:cs="Tahoma"/>
          <w:sz w:val="20"/>
          <w:szCs w:val="20"/>
        </w:rPr>
        <w:t>Le personnel employé doit servir dans les conditions de propreté et de salubrité requises par la réglementation.</w:t>
      </w:r>
    </w:p>
    <w:p w14:paraId="276CAF5B" w14:textId="51D0A60D" w:rsidR="0049647F" w:rsidRDefault="0049647F" w:rsidP="00B004EE">
      <w:pPr>
        <w:ind w:right="-6" w:hanging="4"/>
        <w:jc w:val="both"/>
        <w:rPr>
          <w:rFonts w:ascii="Tahoma" w:eastAsia="American Typewriter" w:hAnsi="Tahoma" w:cs="Tahoma"/>
          <w:sz w:val="20"/>
          <w:szCs w:val="20"/>
        </w:rPr>
      </w:pPr>
    </w:p>
    <w:p w14:paraId="4C7F3131" w14:textId="4B797FB8" w:rsidR="00B004EE" w:rsidRDefault="00B004EE" w:rsidP="00B004EE">
      <w:pPr>
        <w:ind w:right="-6" w:hanging="4"/>
        <w:jc w:val="both"/>
        <w:rPr>
          <w:rFonts w:ascii="Tahoma" w:eastAsia="American Typewriter" w:hAnsi="Tahoma" w:cs="Tahoma"/>
          <w:sz w:val="20"/>
          <w:szCs w:val="20"/>
        </w:rPr>
      </w:pPr>
    </w:p>
    <w:p w14:paraId="0F259215" w14:textId="2790E5E3" w:rsidR="00B004EE" w:rsidRDefault="00B004EE" w:rsidP="00B004EE">
      <w:pPr>
        <w:ind w:right="-6" w:hanging="4"/>
        <w:jc w:val="both"/>
        <w:rPr>
          <w:rFonts w:ascii="Tahoma" w:eastAsia="American Typewriter" w:hAnsi="Tahoma" w:cs="Tahoma"/>
          <w:sz w:val="20"/>
          <w:szCs w:val="20"/>
        </w:rPr>
      </w:pPr>
    </w:p>
    <w:p w14:paraId="7CCFFD65" w14:textId="77777777" w:rsidR="00B004EE" w:rsidRPr="00B004EE" w:rsidRDefault="00B004EE" w:rsidP="00B004EE">
      <w:pPr>
        <w:ind w:right="-6" w:hanging="4"/>
        <w:jc w:val="both"/>
        <w:rPr>
          <w:rFonts w:ascii="Tahoma" w:eastAsia="American Typewriter" w:hAnsi="Tahoma" w:cs="Tahoma"/>
          <w:sz w:val="20"/>
          <w:szCs w:val="20"/>
        </w:rPr>
      </w:pPr>
    </w:p>
    <w:p w14:paraId="0F900782" w14:textId="77777777" w:rsidR="0049647F" w:rsidRPr="00B004EE" w:rsidRDefault="0049647F" w:rsidP="00B004EE">
      <w:pPr>
        <w:pStyle w:val="Lgende"/>
        <w:jc w:val="center"/>
        <w:rPr>
          <w:rFonts w:ascii="Tahoma" w:eastAsia="Arial Narrow" w:hAnsi="Tahoma" w:cs="Tahoma"/>
        </w:rPr>
      </w:pPr>
      <w:r w:rsidRPr="00B004EE">
        <w:rPr>
          <w:rFonts w:ascii="Tahoma" w:eastAsia="Arial Narrow" w:hAnsi="Tahoma" w:cs="Tahoma"/>
        </w:rPr>
        <w:lastRenderedPageBreak/>
        <w:t>Sub-Section 8 : Protection des agents d'hygiène dans l'exercice de leur fonction.</w:t>
      </w:r>
    </w:p>
    <w:p w14:paraId="237CCAB7" w14:textId="77777777" w:rsidR="0049647F" w:rsidRPr="00B004EE" w:rsidRDefault="0049647F" w:rsidP="00B004EE">
      <w:pPr>
        <w:jc w:val="both"/>
        <w:rPr>
          <w:rFonts w:ascii="Tahoma" w:hAnsi="Tahoma" w:cs="Tahoma"/>
          <w:sz w:val="20"/>
          <w:szCs w:val="20"/>
        </w:rPr>
      </w:pPr>
    </w:p>
    <w:p w14:paraId="057982B6"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 104 : Il est formellement interdit de s'opposer aux visites des agents verbalisateurs dans les maisons, conformément à la loi.</w:t>
      </w:r>
    </w:p>
    <w:p w14:paraId="21982462" w14:textId="77777777" w:rsidR="0049647F" w:rsidRPr="00B004EE" w:rsidRDefault="0049647F" w:rsidP="00B004EE">
      <w:pPr>
        <w:jc w:val="both"/>
        <w:rPr>
          <w:rFonts w:ascii="Tahoma" w:hAnsi="Tahoma" w:cs="Tahoma"/>
          <w:sz w:val="20"/>
          <w:szCs w:val="20"/>
        </w:rPr>
      </w:pPr>
    </w:p>
    <w:p w14:paraId="64B89A24"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 105 : Il est interdit de s'opposer à la désinfection, à la désinsectisation et à la dératisation domiciliaires.</w:t>
      </w:r>
    </w:p>
    <w:p w14:paraId="18FE4F6A" w14:textId="77777777" w:rsidR="0049647F" w:rsidRPr="00B004EE" w:rsidRDefault="0049647F" w:rsidP="00B004EE">
      <w:pPr>
        <w:jc w:val="both"/>
        <w:rPr>
          <w:rFonts w:ascii="Tahoma" w:hAnsi="Tahoma" w:cs="Tahoma"/>
          <w:sz w:val="20"/>
          <w:szCs w:val="20"/>
        </w:rPr>
      </w:pPr>
    </w:p>
    <w:p w14:paraId="6F396468" w14:textId="77777777" w:rsidR="0049647F" w:rsidRPr="00B004EE" w:rsidRDefault="0049647F" w:rsidP="00B004EE">
      <w:pPr>
        <w:pStyle w:val="Lgende"/>
        <w:jc w:val="center"/>
        <w:rPr>
          <w:rFonts w:ascii="Tahoma" w:eastAsia="Arial Narrow" w:hAnsi="Tahoma" w:cs="Tahoma"/>
        </w:rPr>
      </w:pPr>
      <w:bookmarkStart w:id="24" w:name="_Toc16279109"/>
      <w:bookmarkStart w:id="25" w:name="_Toc16279479"/>
      <w:r w:rsidRPr="00B004EE">
        <w:rPr>
          <w:rFonts w:ascii="Tahoma" w:eastAsia="Arial Narrow" w:hAnsi="Tahoma" w:cs="Tahoma"/>
        </w:rPr>
        <w:t>Section 2 : Pénalités</w:t>
      </w:r>
      <w:bookmarkEnd w:id="24"/>
      <w:bookmarkEnd w:id="25"/>
    </w:p>
    <w:p w14:paraId="07CDCDE4" w14:textId="77777777" w:rsidR="0049647F" w:rsidRPr="00B004EE" w:rsidRDefault="0049647F" w:rsidP="00B004EE">
      <w:pPr>
        <w:ind w:right="-6"/>
        <w:rPr>
          <w:rFonts w:ascii="Tahoma" w:eastAsia="Courier New" w:hAnsi="Tahoma" w:cs="Tahoma"/>
          <w:b/>
          <w:bCs/>
          <w:sz w:val="20"/>
          <w:szCs w:val="20"/>
        </w:rPr>
      </w:pPr>
    </w:p>
    <w:p w14:paraId="7D604AB6"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 106 : Sont punis d'une amende de 3000 à 9000 ouguiyas les infractions aux dispositions des articles 75, 76, 77, 79, 80, 81, 83 et 84.</w:t>
      </w:r>
    </w:p>
    <w:p w14:paraId="721F32BB" w14:textId="77777777" w:rsidR="0049647F" w:rsidRPr="00B004EE" w:rsidRDefault="0049647F" w:rsidP="00B004EE">
      <w:pPr>
        <w:jc w:val="both"/>
        <w:rPr>
          <w:rFonts w:ascii="Tahoma" w:hAnsi="Tahoma" w:cs="Tahoma"/>
          <w:sz w:val="20"/>
          <w:szCs w:val="20"/>
        </w:rPr>
      </w:pPr>
    </w:p>
    <w:p w14:paraId="31EA31A3"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 107 : Sont punis d'une amende de 10000 à 20000 ouguiyas les infractions aux dispositions des articles 78, 82, 85, 86, 87, 100 et 101.</w:t>
      </w:r>
    </w:p>
    <w:p w14:paraId="007EFDE1" w14:textId="77777777" w:rsidR="0049647F" w:rsidRPr="00B004EE" w:rsidRDefault="0049647F" w:rsidP="00B004EE">
      <w:pPr>
        <w:jc w:val="both"/>
        <w:rPr>
          <w:rFonts w:ascii="Tahoma" w:hAnsi="Tahoma" w:cs="Tahoma"/>
          <w:sz w:val="20"/>
          <w:szCs w:val="20"/>
        </w:rPr>
      </w:pPr>
    </w:p>
    <w:p w14:paraId="22DE550A"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 108 : Sont punis d'une amende de 50000 à 200000 ouguiyas et d'un emprisonnement de 5 à 8 jours ou de l'une de ces peines seulement, les infractions aux dispositions des articles 88, 89, 90, 91, 92, 93, 94, 95, 96 et 97.</w:t>
      </w:r>
    </w:p>
    <w:p w14:paraId="4671323B" w14:textId="77777777" w:rsidR="0049647F" w:rsidRPr="00B004EE" w:rsidRDefault="0049647F" w:rsidP="00B004EE">
      <w:pPr>
        <w:jc w:val="both"/>
        <w:rPr>
          <w:rFonts w:ascii="Tahoma" w:hAnsi="Tahoma" w:cs="Tahoma"/>
          <w:sz w:val="20"/>
          <w:szCs w:val="20"/>
        </w:rPr>
      </w:pPr>
    </w:p>
    <w:p w14:paraId="7FA0DF5A"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 109 : Sont punis d'une amende de 200000 à 1000000 d'ouguiyas et d'une peine d'emprisonnement de deux à cinq années, les infractions aux dispositions des articles 98, 99, 103, 104 et 105.</w:t>
      </w:r>
    </w:p>
    <w:p w14:paraId="59A58704" w14:textId="77777777" w:rsidR="0049647F" w:rsidRPr="00B004EE" w:rsidRDefault="0049647F" w:rsidP="00B004EE">
      <w:pPr>
        <w:jc w:val="both"/>
        <w:rPr>
          <w:rFonts w:ascii="Tahoma" w:hAnsi="Tahoma" w:cs="Tahoma"/>
          <w:sz w:val="20"/>
          <w:szCs w:val="20"/>
        </w:rPr>
      </w:pPr>
    </w:p>
    <w:p w14:paraId="3E398017" w14:textId="77777777" w:rsidR="0049647F" w:rsidRPr="00B004EE" w:rsidRDefault="0049647F" w:rsidP="00B004EE">
      <w:pPr>
        <w:pStyle w:val="Lgende"/>
        <w:jc w:val="center"/>
        <w:rPr>
          <w:rFonts w:ascii="Tahoma" w:eastAsia="Arial Narrow" w:hAnsi="Tahoma" w:cs="Tahoma"/>
        </w:rPr>
      </w:pPr>
      <w:r w:rsidRPr="00B004EE">
        <w:rPr>
          <w:rFonts w:ascii="Tahoma" w:eastAsia="Arial Narrow" w:hAnsi="Tahoma" w:cs="Tahoma"/>
        </w:rPr>
        <w:t>TITRE VI : DIPOSITIONS FINALES</w:t>
      </w:r>
    </w:p>
    <w:p w14:paraId="3EF3D1D1" w14:textId="77777777" w:rsidR="0049647F" w:rsidRPr="00B004EE" w:rsidRDefault="0049647F" w:rsidP="00B004EE">
      <w:pPr>
        <w:ind w:right="-6"/>
        <w:rPr>
          <w:rFonts w:ascii="Tahoma" w:eastAsia="Arial Narrow" w:hAnsi="Tahoma" w:cs="Tahoma"/>
          <w:b/>
          <w:bCs/>
          <w:w w:val="130"/>
          <w:sz w:val="20"/>
          <w:szCs w:val="20"/>
        </w:rPr>
      </w:pPr>
    </w:p>
    <w:p w14:paraId="2AC50223"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 110 : des décrets préciseront, en cas de besoin, les modalités d’application de la présente loi</w:t>
      </w:r>
    </w:p>
    <w:p w14:paraId="62EFCFEE" w14:textId="77777777" w:rsidR="0049647F" w:rsidRPr="00B004EE" w:rsidRDefault="0049647F" w:rsidP="00B004EE">
      <w:pPr>
        <w:jc w:val="both"/>
        <w:rPr>
          <w:rFonts w:ascii="Tahoma" w:hAnsi="Tahoma" w:cs="Tahoma"/>
          <w:sz w:val="20"/>
          <w:szCs w:val="20"/>
        </w:rPr>
      </w:pPr>
    </w:p>
    <w:p w14:paraId="2508C7C9"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 111 : les dispositions qui précèdes ne font pas obstacle au droit des autorités administratives compétentes de prescrire, par arrêtés, toutes mesures de protection non prévues dans le présent code en vue d’assurer la salubrité publique.</w:t>
      </w:r>
    </w:p>
    <w:p w14:paraId="5CE53A31" w14:textId="77777777" w:rsidR="0049647F" w:rsidRPr="00B004EE" w:rsidRDefault="0049647F" w:rsidP="00B004EE">
      <w:pPr>
        <w:jc w:val="both"/>
        <w:rPr>
          <w:rFonts w:ascii="Tahoma" w:hAnsi="Tahoma" w:cs="Tahoma"/>
          <w:sz w:val="20"/>
          <w:szCs w:val="20"/>
        </w:rPr>
      </w:pPr>
    </w:p>
    <w:p w14:paraId="60F65146"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 112 ; sont abrogés toutes les dispositions antérieures contraires à la présente loi.</w:t>
      </w:r>
    </w:p>
    <w:p w14:paraId="6498E4B6" w14:textId="77777777" w:rsidR="0049647F" w:rsidRPr="00B004EE" w:rsidRDefault="0049647F" w:rsidP="00B004EE">
      <w:pPr>
        <w:jc w:val="both"/>
        <w:rPr>
          <w:rFonts w:ascii="Tahoma" w:hAnsi="Tahoma" w:cs="Tahoma"/>
          <w:sz w:val="20"/>
          <w:szCs w:val="20"/>
        </w:rPr>
      </w:pPr>
    </w:p>
    <w:p w14:paraId="588B04BD"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 113 : la présente loi prendre effet six mois après son adoption.</w:t>
      </w:r>
    </w:p>
    <w:p w14:paraId="6841B2B4" w14:textId="77777777" w:rsidR="0049647F" w:rsidRPr="00B004EE" w:rsidRDefault="0049647F" w:rsidP="00B004EE">
      <w:pPr>
        <w:jc w:val="both"/>
        <w:rPr>
          <w:rFonts w:ascii="Tahoma" w:hAnsi="Tahoma" w:cs="Tahoma"/>
          <w:sz w:val="20"/>
          <w:szCs w:val="20"/>
        </w:rPr>
      </w:pPr>
    </w:p>
    <w:p w14:paraId="3B71A0BF" w14:textId="77777777" w:rsidR="0049647F" w:rsidRPr="00B004EE" w:rsidRDefault="0049647F" w:rsidP="00B004EE">
      <w:pPr>
        <w:jc w:val="both"/>
        <w:rPr>
          <w:rFonts w:ascii="Tahoma" w:hAnsi="Tahoma" w:cs="Tahoma"/>
          <w:sz w:val="20"/>
          <w:szCs w:val="20"/>
        </w:rPr>
      </w:pPr>
      <w:r w:rsidRPr="00B004EE">
        <w:rPr>
          <w:rFonts w:ascii="Tahoma" w:hAnsi="Tahoma" w:cs="Tahoma"/>
          <w:sz w:val="20"/>
          <w:szCs w:val="20"/>
        </w:rPr>
        <w:t>ARTICLE 114 : la présente loi sera publiée dans le Journal Officiel de la République Islamique de Mauritanie et exécutée comme loi de l’Etat.</w:t>
      </w:r>
    </w:p>
    <w:p w14:paraId="113094CF" w14:textId="77777777" w:rsidR="0049647F" w:rsidRPr="00B004EE" w:rsidRDefault="0049647F" w:rsidP="00B004EE">
      <w:pPr>
        <w:pStyle w:val="Corpsdetexte"/>
        <w:ind w:right="-6"/>
        <w:rPr>
          <w:rFonts w:ascii="Tahoma" w:hAnsi="Tahoma" w:cs="Tahoma"/>
          <w:w w:val="120"/>
          <w:sz w:val="20"/>
          <w:szCs w:val="20"/>
        </w:rPr>
      </w:pPr>
    </w:p>
    <w:p w14:paraId="56FB822E" w14:textId="77777777" w:rsidR="00B004EE" w:rsidRDefault="00B004EE" w:rsidP="00B004EE">
      <w:pPr>
        <w:pStyle w:val="Corpsdetexte"/>
        <w:ind w:right="-6"/>
        <w:jc w:val="right"/>
        <w:rPr>
          <w:rFonts w:ascii="Tahoma" w:hAnsi="Tahoma" w:cs="Tahoma"/>
          <w:w w:val="120"/>
          <w:sz w:val="20"/>
          <w:szCs w:val="20"/>
        </w:rPr>
      </w:pPr>
    </w:p>
    <w:p w14:paraId="0CE8E7B4" w14:textId="77777777" w:rsidR="00B004EE" w:rsidRPr="00B004EE" w:rsidRDefault="00B004EE" w:rsidP="00B004EE">
      <w:pPr>
        <w:pStyle w:val="Corpsdetexte"/>
        <w:ind w:right="-6"/>
        <w:jc w:val="right"/>
        <w:rPr>
          <w:rFonts w:ascii="Tahoma" w:hAnsi="Tahoma" w:cs="Tahoma"/>
          <w:w w:val="120"/>
          <w:sz w:val="20"/>
          <w:szCs w:val="20"/>
        </w:rPr>
      </w:pPr>
      <w:r w:rsidRPr="00B004EE">
        <w:rPr>
          <w:rFonts w:ascii="Tahoma" w:hAnsi="Tahoma" w:cs="Tahoma"/>
          <w:w w:val="120"/>
          <w:sz w:val="20"/>
          <w:szCs w:val="20"/>
        </w:rPr>
        <w:t>Fait à Nouakchott, le 21 juillet 2010</w:t>
      </w:r>
    </w:p>
    <w:p w14:paraId="415E0A98" w14:textId="72ECCCF6" w:rsidR="00B004EE" w:rsidRDefault="00B004EE" w:rsidP="00B004EE">
      <w:pPr>
        <w:pStyle w:val="Corpsdetexte"/>
        <w:ind w:right="-6"/>
        <w:jc w:val="right"/>
        <w:rPr>
          <w:rFonts w:ascii="Tahoma" w:hAnsi="Tahoma" w:cs="Tahoma"/>
          <w:w w:val="120"/>
          <w:sz w:val="20"/>
          <w:szCs w:val="20"/>
        </w:rPr>
      </w:pPr>
    </w:p>
    <w:p w14:paraId="017FFAFF" w14:textId="77777777" w:rsidR="00B004EE" w:rsidRDefault="00B004EE" w:rsidP="00B004EE">
      <w:pPr>
        <w:pStyle w:val="Corpsdetexte"/>
        <w:ind w:right="-6"/>
        <w:jc w:val="right"/>
        <w:rPr>
          <w:rFonts w:ascii="Tahoma" w:hAnsi="Tahoma" w:cs="Tahoma"/>
          <w:w w:val="120"/>
          <w:sz w:val="20"/>
          <w:szCs w:val="20"/>
        </w:rPr>
      </w:pPr>
    </w:p>
    <w:p w14:paraId="402845DD" w14:textId="77777777" w:rsidR="0049647F" w:rsidRPr="00B004EE" w:rsidRDefault="0049647F" w:rsidP="00B004EE">
      <w:pPr>
        <w:pStyle w:val="Corpsdetexte"/>
        <w:tabs>
          <w:tab w:val="left" w:pos="7859"/>
        </w:tabs>
        <w:spacing w:line="20" w:lineRule="atLeast"/>
        <w:ind w:left="142" w:right="112"/>
        <w:jc w:val="center"/>
        <w:rPr>
          <w:rFonts w:ascii="Tahoma" w:hAnsi="Tahoma" w:cs="Tahoma"/>
          <w:b/>
          <w:bCs/>
          <w:sz w:val="20"/>
          <w:szCs w:val="20"/>
        </w:rPr>
      </w:pPr>
    </w:p>
    <w:p w14:paraId="640D0DC5" w14:textId="77777777" w:rsidR="0049647F" w:rsidRPr="00B004EE" w:rsidRDefault="0049647F" w:rsidP="00B004EE">
      <w:pPr>
        <w:pStyle w:val="Corpsdetexte"/>
        <w:tabs>
          <w:tab w:val="left" w:pos="7859"/>
        </w:tabs>
        <w:spacing w:line="20" w:lineRule="atLeast"/>
        <w:ind w:left="142" w:right="112"/>
        <w:jc w:val="center"/>
        <w:rPr>
          <w:rFonts w:ascii="Tahoma" w:hAnsi="Tahoma" w:cs="Tahoma"/>
          <w:sz w:val="20"/>
          <w:szCs w:val="20"/>
        </w:rPr>
      </w:pPr>
      <w:r w:rsidRPr="00B004EE">
        <w:rPr>
          <w:rFonts w:ascii="Tahoma" w:hAnsi="Tahoma" w:cs="Tahoma"/>
          <w:sz w:val="20"/>
          <w:szCs w:val="20"/>
        </w:rPr>
        <w:t>MOHAMED OULD ABDEL AZIZ</w:t>
      </w:r>
    </w:p>
    <w:p w14:paraId="63D61A47" w14:textId="02508259" w:rsidR="0049647F" w:rsidRDefault="0049647F" w:rsidP="00B004EE">
      <w:pPr>
        <w:pStyle w:val="Corpsdetexte"/>
        <w:tabs>
          <w:tab w:val="left" w:pos="7859"/>
        </w:tabs>
        <w:spacing w:line="20" w:lineRule="atLeast"/>
        <w:ind w:left="142" w:right="112"/>
        <w:jc w:val="center"/>
        <w:rPr>
          <w:rFonts w:ascii="Tahoma" w:hAnsi="Tahoma" w:cs="Tahoma"/>
          <w:sz w:val="20"/>
          <w:szCs w:val="20"/>
        </w:rPr>
      </w:pPr>
    </w:p>
    <w:p w14:paraId="65A54561" w14:textId="77777777" w:rsidR="00B004EE" w:rsidRPr="00B004EE" w:rsidRDefault="00B004EE" w:rsidP="00B004EE">
      <w:pPr>
        <w:pStyle w:val="Corpsdetexte"/>
        <w:tabs>
          <w:tab w:val="left" w:pos="7859"/>
        </w:tabs>
        <w:spacing w:line="20" w:lineRule="atLeast"/>
        <w:ind w:left="142" w:right="112"/>
        <w:jc w:val="center"/>
        <w:rPr>
          <w:rFonts w:ascii="Tahoma" w:hAnsi="Tahoma" w:cs="Tahoma"/>
          <w:sz w:val="20"/>
          <w:szCs w:val="20"/>
        </w:rPr>
      </w:pPr>
    </w:p>
    <w:p w14:paraId="27BAFC39" w14:textId="77777777" w:rsidR="0049647F" w:rsidRPr="00B004EE" w:rsidRDefault="0049647F" w:rsidP="00B004EE">
      <w:pPr>
        <w:pStyle w:val="Corpsdetexte"/>
        <w:tabs>
          <w:tab w:val="left" w:pos="7859"/>
        </w:tabs>
        <w:spacing w:line="20" w:lineRule="atLeast"/>
        <w:ind w:left="142" w:right="112"/>
        <w:jc w:val="center"/>
        <w:rPr>
          <w:rFonts w:ascii="Tahoma" w:hAnsi="Tahoma" w:cs="Tahoma"/>
          <w:sz w:val="20"/>
          <w:szCs w:val="20"/>
        </w:rPr>
      </w:pPr>
      <w:r w:rsidRPr="00B004EE">
        <w:rPr>
          <w:rFonts w:ascii="Tahoma" w:hAnsi="Tahoma" w:cs="Tahoma"/>
          <w:sz w:val="20"/>
          <w:szCs w:val="20"/>
        </w:rPr>
        <w:t>Le Premier Ministre</w:t>
      </w:r>
    </w:p>
    <w:p w14:paraId="4B6AD5CC" w14:textId="77777777" w:rsidR="0049647F" w:rsidRPr="00B004EE" w:rsidRDefault="0049647F" w:rsidP="00B004EE">
      <w:pPr>
        <w:pStyle w:val="Corpsdetexte"/>
        <w:tabs>
          <w:tab w:val="left" w:pos="7859"/>
        </w:tabs>
        <w:spacing w:line="20" w:lineRule="atLeast"/>
        <w:ind w:left="142" w:right="112"/>
        <w:jc w:val="center"/>
        <w:rPr>
          <w:rFonts w:ascii="Tahoma" w:hAnsi="Tahoma" w:cs="Tahoma"/>
          <w:sz w:val="20"/>
          <w:szCs w:val="20"/>
        </w:rPr>
      </w:pPr>
      <w:r w:rsidRPr="00B004EE">
        <w:rPr>
          <w:rFonts w:ascii="Tahoma" w:hAnsi="Tahoma" w:cs="Tahoma"/>
          <w:sz w:val="20"/>
          <w:szCs w:val="20"/>
        </w:rPr>
        <w:t>Dr MOULAYE OULD MOHAMDE LAGHDAF</w:t>
      </w:r>
    </w:p>
    <w:p w14:paraId="5C98CAB3" w14:textId="77777777" w:rsidR="0049647F" w:rsidRPr="00B004EE" w:rsidRDefault="0049647F" w:rsidP="00B004EE">
      <w:pPr>
        <w:rPr>
          <w:rFonts w:ascii="Tahoma" w:hAnsi="Tahoma" w:cs="Tahoma"/>
          <w:sz w:val="20"/>
          <w:szCs w:val="20"/>
        </w:rPr>
      </w:pPr>
    </w:p>
    <w:p w14:paraId="6CA51BD4" w14:textId="77777777" w:rsidR="0049647F" w:rsidRPr="00B004EE" w:rsidRDefault="0049647F" w:rsidP="00B004EE">
      <w:pPr>
        <w:rPr>
          <w:rFonts w:ascii="Tahoma" w:hAnsi="Tahoma" w:cs="Tahoma"/>
          <w:sz w:val="20"/>
          <w:szCs w:val="20"/>
        </w:rPr>
      </w:pPr>
    </w:p>
    <w:p w14:paraId="152975F3" w14:textId="77777777" w:rsidR="0049647F" w:rsidRPr="00B004EE" w:rsidRDefault="0049647F" w:rsidP="00B004EE">
      <w:pPr>
        <w:pStyle w:val="Corpsdetexte"/>
        <w:tabs>
          <w:tab w:val="left" w:pos="7859"/>
        </w:tabs>
        <w:spacing w:line="20" w:lineRule="atLeast"/>
        <w:ind w:left="142" w:right="112"/>
        <w:jc w:val="center"/>
        <w:rPr>
          <w:rFonts w:ascii="Tahoma" w:hAnsi="Tahoma" w:cs="Tahoma"/>
          <w:sz w:val="20"/>
          <w:szCs w:val="20"/>
        </w:rPr>
      </w:pPr>
      <w:r w:rsidRPr="00B004EE">
        <w:rPr>
          <w:rFonts w:ascii="Tahoma" w:hAnsi="Tahoma" w:cs="Tahoma"/>
          <w:sz w:val="20"/>
          <w:szCs w:val="20"/>
        </w:rPr>
        <w:t xml:space="preserve">Le Ministre de la Santé </w:t>
      </w:r>
    </w:p>
    <w:p w14:paraId="729EAE56" w14:textId="77777777" w:rsidR="0049647F" w:rsidRPr="00B004EE" w:rsidRDefault="0049647F" w:rsidP="00B004EE">
      <w:pPr>
        <w:pStyle w:val="Corpsdetexte"/>
        <w:tabs>
          <w:tab w:val="left" w:pos="7859"/>
        </w:tabs>
        <w:spacing w:line="20" w:lineRule="atLeast"/>
        <w:ind w:left="142" w:right="112"/>
        <w:jc w:val="center"/>
        <w:rPr>
          <w:rFonts w:ascii="Tahoma" w:hAnsi="Tahoma" w:cs="Tahoma"/>
          <w:sz w:val="20"/>
          <w:szCs w:val="20"/>
          <w:lang w:val="en-US"/>
        </w:rPr>
      </w:pPr>
      <w:r w:rsidRPr="00B004EE">
        <w:rPr>
          <w:rFonts w:ascii="Tahoma" w:hAnsi="Tahoma" w:cs="Tahoma"/>
          <w:sz w:val="20"/>
          <w:szCs w:val="20"/>
          <w:lang w:val="en-US"/>
        </w:rPr>
        <w:t>Dr CHEIKH EL MOCTAR OULD HOURMA OULD BABANA</w:t>
      </w:r>
    </w:p>
    <w:p w14:paraId="4C9308E3" w14:textId="77777777" w:rsidR="0049647F" w:rsidRPr="00B004EE" w:rsidRDefault="0049647F" w:rsidP="00B004EE">
      <w:pPr>
        <w:pStyle w:val="Corpsdetexte"/>
        <w:ind w:right="-6"/>
        <w:jc w:val="left"/>
        <w:rPr>
          <w:rFonts w:ascii="Tahoma" w:hAnsi="Tahoma" w:cs="Tahoma"/>
          <w:w w:val="120"/>
          <w:sz w:val="20"/>
          <w:szCs w:val="20"/>
          <w:lang w:val="en-US"/>
        </w:rPr>
      </w:pPr>
    </w:p>
    <w:p w14:paraId="3FC8B8D1" w14:textId="77777777" w:rsidR="0049647F" w:rsidRPr="00B004EE" w:rsidRDefault="0049647F" w:rsidP="00B004EE">
      <w:pPr>
        <w:pStyle w:val="Corpsdetexte"/>
        <w:tabs>
          <w:tab w:val="left" w:pos="6342"/>
          <w:tab w:val="center" w:pos="8900"/>
        </w:tabs>
        <w:spacing w:line="20" w:lineRule="atLeast"/>
        <w:ind w:left="4536" w:right="50" w:firstLine="20"/>
        <w:rPr>
          <w:rFonts w:ascii="Tahoma" w:hAnsi="Tahoma" w:cs="Tahoma"/>
          <w:b/>
          <w:bCs/>
          <w:sz w:val="20"/>
          <w:szCs w:val="20"/>
          <w:lang w:val="en-US"/>
        </w:rPr>
        <w:sectPr w:rsidR="0049647F" w:rsidRPr="00B004EE" w:rsidSect="00DB1635">
          <w:headerReference w:type="default" r:id="rId21"/>
          <w:footerReference w:type="first" r:id="rId22"/>
          <w:pgSz w:w="12240" w:h="15840"/>
          <w:pgMar w:top="1417" w:right="1417" w:bottom="1417" w:left="1417" w:header="720" w:footer="720" w:gutter="0"/>
          <w:cols w:space="720"/>
          <w:noEndnote/>
          <w:docGrid w:linePitch="326"/>
        </w:sectPr>
      </w:pPr>
    </w:p>
    <w:p w14:paraId="24F0F8F8" w14:textId="629832B9" w:rsidR="002F24E1" w:rsidRPr="00B004EE" w:rsidRDefault="004A0283" w:rsidP="00B004EE">
      <w:pPr>
        <w:pStyle w:val="Titre1"/>
        <w:pBdr>
          <w:top w:val="thinThickMediumGap" w:sz="24" w:space="1" w:color="70AD47" w:themeColor="accent6"/>
          <w:left w:val="thinThickMediumGap" w:sz="24" w:space="4" w:color="70AD47" w:themeColor="accent6"/>
          <w:bottom w:val="thickThinMediumGap" w:sz="24" w:space="1" w:color="70AD47" w:themeColor="accent6"/>
          <w:right w:val="thickThinMediumGap" w:sz="24" w:space="4" w:color="70AD47" w:themeColor="accent6"/>
        </w:pBdr>
        <w:spacing w:line="276" w:lineRule="auto"/>
        <w:jc w:val="both"/>
        <w:rPr>
          <w:rFonts w:ascii="Tahoma" w:hAnsi="Tahoma" w:cs="Tahoma"/>
          <w:sz w:val="24"/>
          <w:szCs w:val="24"/>
        </w:rPr>
      </w:pPr>
      <w:bookmarkStart w:id="26" w:name="_Toc202214673"/>
      <w:r w:rsidRPr="00B004EE">
        <w:rPr>
          <w:rFonts w:ascii="Tahoma" w:hAnsi="Tahoma" w:cs="Tahoma"/>
          <w:sz w:val="24"/>
          <w:szCs w:val="24"/>
        </w:rPr>
        <w:lastRenderedPageBreak/>
        <w:t>Loi</w:t>
      </w:r>
      <w:r w:rsidR="00DB1635" w:rsidRPr="00B004EE">
        <w:rPr>
          <w:rFonts w:ascii="Tahoma" w:hAnsi="Tahoma" w:cs="Tahoma"/>
          <w:sz w:val="24"/>
          <w:szCs w:val="24"/>
        </w:rPr>
        <w:t xml:space="preserve"> </w:t>
      </w:r>
      <w:r w:rsidRPr="00B004EE">
        <w:rPr>
          <w:rFonts w:ascii="Tahoma" w:hAnsi="Tahoma" w:cs="Tahoma"/>
          <w:sz w:val="24"/>
          <w:szCs w:val="24"/>
        </w:rPr>
        <w:t>n°</w:t>
      </w:r>
      <w:r w:rsidR="00DB1635" w:rsidRPr="00B004EE">
        <w:rPr>
          <w:rFonts w:ascii="Tahoma" w:hAnsi="Tahoma" w:cs="Tahoma"/>
          <w:sz w:val="24"/>
          <w:szCs w:val="24"/>
        </w:rPr>
        <w:t xml:space="preserve"> </w:t>
      </w:r>
      <w:r w:rsidRPr="00B004EE">
        <w:rPr>
          <w:rFonts w:ascii="Tahoma" w:hAnsi="Tahoma" w:cs="Tahoma"/>
          <w:sz w:val="24"/>
          <w:szCs w:val="24"/>
        </w:rPr>
        <w:t>2</w:t>
      </w:r>
      <w:r w:rsidR="001E7C3C" w:rsidRPr="00B004EE">
        <w:rPr>
          <w:rFonts w:ascii="Tahoma" w:hAnsi="Tahoma" w:cs="Tahoma"/>
          <w:sz w:val="24"/>
          <w:szCs w:val="24"/>
        </w:rPr>
        <w:t>015</w:t>
      </w:r>
      <w:r w:rsidR="002F24E1" w:rsidRPr="00B004EE">
        <w:rPr>
          <w:rFonts w:ascii="Tahoma" w:hAnsi="Tahoma" w:cs="Tahoma"/>
          <w:sz w:val="24"/>
          <w:szCs w:val="24"/>
        </w:rPr>
        <w:t>-0</w:t>
      </w:r>
      <w:r w:rsidR="001E7C3C" w:rsidRPr="00B004EE">
        <w:rPr>
          <w:rFonts w:ascii="Tahoma" w:hAnsi="Tahoma" w:cs="Tahoma"/>
          <w:sz w:val="24"/>
          <w:szCs w:val="24"/>
        </w:rPr>
        <w:t>17</w:t>
      </w:r>
      <w:r w:rsidR="00DB1635" w:rsidRPr="00B004EE">
        <w:rPr>
          <w:rFonts w:ascii="Tahoma" w:hAnsi="Tahoma" w:cs="Tahoma"/>
          <w:sz w:val="24"/>
          <w:szCs w:val="24"/>
        </w:rPr>
        <w:t xml:space="preserve"> </w:t>
      </w:r>
      <w:r w:rsidRPr="00B004EE">
        <w:rPr>
          <w:rFonts w:ascii="Tahoma" w:hAnsi="Tahoma" w:cs="Tahoma"/>
          <w:sz w:val="24"/>
          <w:szCs w:val="24"/>
        </w:rPr>
        <w:t>du</w:t>
      </w:r>
      <w:r w:rsidR="00DB1635" w:rsidRPr="00B004EE">
        <w:rPr>
          <w:rFonts w:ascii="Tahoma" w:hAnsi="Tahoma" w:cs="Tahoma"/>
          <w:sz w:val="24"/>
          <w:szCs w:val="24"/>
        </w:rPr>
        <w:t xml:space="preserve"> </w:t>
      </w:r>
      <w:r w:rsidR="00266E26" w:rsidRPr="00B004EE">
        <w:rPr>
          <w:rFonts w:ascii="Tahoma" w:hAnsi="Tahoma" w:cs="Tahoma"/>
          <w:sz w:val="24"/>
          <w:szCs w:val="24"/>
        </w:rPr>
        <w:t>29</w:t>
      </w:r>
      <w:r w:rsidR="00DB1635" w:rsidRPr="00B004EE">
        <w:rPr>
          <w:rFonts w:ascii="Tahoma" w:hAnsi="Tahoma" w:cs="Tahoma"/>
          <w:sz w:val="24"/>
          <w:szCs w:val="24"/>
        </w:rPr>
        <w:t xml:space="preserve"> </w:t>
      </w:r>
      <w:r w:rsidRPr="00B004EE">
        <w:rPr>
          <w:rFonts w:ascii="Tahoma" w:hAnsi="Tahoma" w:cs="Tahoma"/>
          <w:sz w:val="24"/>
          <w:szCs w:val="24"/>
        </w:rPr>
        <w:t>juillet</w:t>
      </w:r>
      <w:r w:rsidR="00DB1635" w:rsidRPr="00B004EE">
        <w:rPr>
          <w:rFonts w:ascii="Tahoma" w:hAnsi="Tahoma" w:cs="Tahoma"/>
          <w:sz w:val="24"/>
          <w:szCs w:val="24"/>
        </w:rPr>
        <w:t xml:space="preserve"> </w:t>
      </w:r>
      <w:r w:rsidRPr="00B004EE">
        <w:rPr>
          <w:rFonts w:ascii="Tahoma" w:hAnsi="Tahoma" w:cs="Tahoma"/>
          <w:sz w:val="24"/>
          <w:szCs w:val="24"/>
        </w:rPr>
        <w:t>2</w:t>
      </w:r>
      <w:r w:rsidR="002F24E1" w:rsidRPr="00B004EE">
        <w:rPr>
          <w:rFonts w:ascii="Tahoma" w:hAnsi="Tahoma" w:cs="Tahoma"/>
          <w:sz w:val="24"/>
          <w:szCs w:val="24"/>
        </w:rPr>
        <w:t>0</w:t>
      </w:r>
      <w:r w:rsidR="001E7C3C" w:rsidRPr="00B004EE">
        <w:rPr>
          <w:rFonts w:ascii="Tahoma" w:hAnsi="Tahoma" w:cs="Tahoma"/>
          <w:sz w:val="24"/>
          <w:szCs w:val="24"/>
        </w:rPr>
        <w:t>15</w:t>
      </w:r>
      <w:r w:rsidR="00DB1635" w:rsidRPr="00B004EE">
        <w:rPr>
          <w:rFonts w:ascii="Tahoma" w:hAnsi="Tahoma" w:cs="Tahoma"/>
          <w:sz w:val="24"/>
          <w:szCs w:val="24"/>
        </w:rPr>
        <w:t xml:space="preserve"> </w:t>
      </w:r>
      <w:r w:rsidRPr="00B004EE">
        <w:rPr>
          <w:rFonts w:ascii="Tahoma" w:hAnsi="Tahoma" w:cs="Tahoma"/>
          <w:sz w:val="24"/>
          <w:szCs w:val="24"/>
        </w:rPr>
        <w:t>portant</w:t>
      </w:r>
      <w:r w:rsidR="00DB1635" w:rsidRPr="00B004EE">
        <w:rPr>
          <w:rFonts w:ascii="Tahoma" w:hAnsi="Tahoma" w:cs="Tahoma"/>
          <w:sz w:val="24"/>
          <w:szCs w:val="24"/>
        </w:rPr>
        <w:t xml:space="preserve"> </w:t>
      </w:r>
      <w:r w:rsidR="00461EC9" w:rsidRPr="00B004EE">
        <w:rPr>
          <w:rFonts w:ascii="Tahoma" w:hAnsi="Tahoma" w:cs="Tahoma"/>
          <w:sz w:val="24"/>
          <w:szCs w:val="24"/>
        </w:rPr>
        <w:t>C</w:t>
      </w:r>
      <w:r w:rsidRPr="00B004EE">
        <w:rPr>
          <w:rFonts w:ascii="Tahoma" w:hAnsi="Tahoma" w:cs="Tahoma"/>
          <w:sz w:val="24"/>
          <w:szCs w:val="24"/>
        </w:rPr>
        <w:t>ode</w:t>
      </w:r>
      <w:r w:rsidR="00DB1635" w:rsidRPr="00B004EE">
        <w:rPr>
          <w:rFonts w:ascii="Tahoma" w:hAnsi="Tahoma" w:cs="Tahoma"/>
          <w:sz w:val="24"/>
          <w:szCs w:val="24"/>
        </w:rPr>
        <w:t xml:space="preserve"> </w:t>
      </w:r>
      <w:r w:rsidRPr="00B004EE">
        <w:rPr>
          <w:rFonts w:ascii="Tahoma" w:hAnsi="Tahoma" w:cs="Tahoma"/>
          <w:sz w:val="24"/>
          <w:szCs w:val="24"/>
        </w:rPr>
        <w:t>des</w:t>
      </w:r>
      <w:r w:rsidR="00DB1635" w:rsidRPr="00B004EE">
        <w:rPr>
          <w:rFonts w:ascii="Tahoma" w:hAnsi="Tahoma" w:cs="Tahoma"/>
          <w:sz w:val="24"/>
          <w:szCs w:val="24"/>
        </w:rPr>
        <w:t xml:space="preserve"> </w:t>
      </w:r>
      <w:r w:rsidRPr="00B004EE">
        <w:rPr>
          <w:rFonts w:ascii="Tahoma" w:hAnsi="Tahoma" w:cs="Tahoma"/>
          <w:sz w:val="24"/>
          <w:szCs w:val="24"/>
        </w:rPr>
        <w:t>pêches.</w:t>
      </w:r>
      <w:bookmarkEnd w:id="1"/>
      <w:bookmarkEnd w:id="2"/>
      <w:bookmarkEnd w:id="3"/>
      <w:bookmarkEnd w:id="26"/>
    </w:p>
    <w:p w14:paraId="14F40E73" w14:textId="77777777" w:rsidR="001E7C3C" w:rsidRPr="00B004EE" w:rsidRDefault="001E7C3C" w:rsidP="00B004EE">
      <w:pPr>
        <w:rPr>
          <w:rFonts w:ascii="Tahoma" w:eastAsia="American Typewriter" w:hAnsi="Tahoma" w:cs="Tahoma"/>
          <w:b/>
          <w:bCs/>
          <w:sz w:val="20"/>
          <w:szCs w:val="20"/>
        </w:rPr>
      </w:pPr>
    </w:p>
    <w:p w14:paraId="198789E7" w14:textId="7A059D18" w:rsidR="00D64C43" w:rsidRPr="00B004EE" w:rsidRDefault="00D64C43" w:rsidP="00B004EE">
      <w:pPr>
        <w:pStyle w:val="Corpsdetexte"/>
        <w:tabs>
          <w:tab w:val="left" w:pos="6342"/>
          <w:tab w:val="center" w:pos="8900"/>
        </w:tabs>
        <w:spacing w:line="20" w:lineRule="atLeast"/>
        <w:ind w:right="319" w:firstLine="20"/>
        <w:rPr>
          <w:rFonts w:ascii="Tahoma" w:hAnsi="Tahoma" w:cs="Tahoma"/>
          <w:sz w:val="20"/>
          <w:szCs w:val="20"/>
        </w:rPr>
      </w:pPr>
      <w:r w:rsidRPr="00B004EE">
        <w:rPr>
          <w:rFonts w:ascii="Tahoma" w:hAnsi="Tahoma" w:cs="Tahoma"/>
          <w:sz w:val="20"/>
          <w:szCs w:val="20"/>
        </w:rPr>
        <w:t>L'Assemblée</w:t>
      </w:r>
      <w:r w:rsidR="00DB1635" w:rsidRPr="00B004EE">
        <w:rPr>
          <w:rFonts w:ascii="Tahoma" w:hAnsi="Tahoma" w:cs="Tahoma"/>
          <w:sz w:val="20"/>
          <w:szCs w:val="20"/>
        </w:rPr>
        <w:t xml:space="preserve"> </w:t>
      </w:r>
      <w:r w:rsidRPr="00B004EE">
        <w:rPr>
          <w:rFonts w:ascii="Tahoma" w:hAnsi="Tahoma" w:cs="Tahoma"/>
          <w:sz w:val="20"/>
          <w:szCs w:val="20"/>
        </w:rPr>
        <w:t>Nationale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Sénat</w:t>
      </w:r>
      <w:r w:rsidR="00DB1635" w:rsidRPr="00B004EE">
        <w:rPr>
          <w:rFonts w:ascii="Tahoma" w:hAnsi="Tahoma" w:cs="Tahoma"/>
          <w:sz w:val="20"/>
          <w:szCs w:val="20"/>
        </w:rPr>
        <w:t xml:space="preserve"> </w:t>
      </w:r>
      <w:r w:rsidRPr="00B004EE">
        <w:rPr>
          <w:rFonts w:ascii="Tahoma" w:hAnsi="Tahoma" w:cs="Tahoma"/>
          <w:sz w:val="20"/>
          <w:szCs w:val="20"/>
        </w:rPr>
        <w:t>ont</w:t>
      </w:r>
      <w:r w:rsidR="00DB1635" w:rsidRPr="00B004EE">
        <w:rPr>
          <w:rFonts w:ascii="Tahoma" w:hAnsi="Tahoma" w:cs="Tahoma"/>
          <w:sz w:val="20"/>
          <w:szCs w:val="20"/>
        </w:rPr>
        <w:t xml:space="preserve"> </w:t>
      </w:r>
      <w:r w:rsidRPr="00B004EE">
        <w:rPr>
          <w:rFonts w:ascii="Tahoma" w:hAnsi="Tahoma" w:cs="Tahoma"/>
          <w:sz w:val="20"/>
          <w:szCs w:val="20"/>
        </w:rPr>
        <w:t>adopté</w:t>
      </w:r>
      <w:r w:rsidR="00DB1635" w:rsidRPr="00B004EE">
        <w:rPr>
          <w:rFonts w:ascii="Tahoma" w:hAnsi="Tahoma" w:cs="Tahoma"/>
          <w:sz w:val="20"/>
          <w:szCs w:val="20"/>
        </w:rPr>
        <w:t xml:space="preserve"> </w:t>
      </w:r>
      <w:r w:rsidRPr="00B004EE">
        <w:rPr>
          <w:rFonts w:ascii="Tahoma" w:hAnsi="Tahoma" w:cs="Tahoma"/>
          <w:sz w:val="20"/>
          <w:szCs w:val="20"/>
        </w:rPr>
        <w:t>;</w:t>
      </w:r>
    </w:p>
    <w:p w14:paraId="7FC21B1C" w14:textId="07A47CBE" w:rsidR="00D64C43" w:rsidRPr="00B004EE" w:rsidRDefault="00D64C43" w:rsidP="00B004EE">
      <w:pPr>
        <w:pStyle w:val="Corpsdetexte"/>
        <w:spacing w:line="20" w:lineRule="atLeast"/>
        <w:ind w:right="319" w:firstLine="20"/>
        <w:rPr>
          <w:rFonts w:ascii="Tahoma" w:eastAsia="American Typewriter" w:hAnsi="Tahoma" w:cs="Tahoma"/>
          <w:b/>
          <w:bCs/>
          <w:sz w:val="20"/>
          <w:szCs w:val="20"/>
        </w:rPr>
      </w:pP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Président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République</w:t>
      </w:r>
      <w:r w:rsidR="00DB1635" w:rsidRPr="00B004EE">
        <w:rPr>
          <w:rFonts w:ascii="Tahoma" w:hAnsi="Tahoma" w:cs="Tahoma"/>
          <w:sz w:val="20"/>
          <w:szCs w:val="20"/>
        </w:rPr>
        <w:t xml:space="preserve"> </w:t>
      </w:r>
      <w:r w:rsidRPr="00B004EE">
        <w:rPr>
          <w:rFonts w:ascii="Tahoma" w:hAnsi="Tahoma" w:cs="Tahoma"/>
          <w:sz w:val="20"/>
          <w:szCs w:val="20"/>
        </w:rPr>
        <w:t>promulgue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loi</w:t>
      </w:r>
      <w:r w:rsidR="00DB1635" w:rsidRPr="00B004EE">
        <w:rPr>
          <w:rFonts w:ascii="Tahoma" w:hAnsi="Tahoma" w:cs="Tahoma"/>
          <w:sz w:val="20"/>
          <w:szCs w:val="20"/>
        </w:rPr>
        <w:t xml:space="preserve"> </w:t>
      </w:r>
      <w:r w:rsidRPr="00B004EE">
        <w:rPr>
          <w:rFonts w:ascii="Tahoma" w:hAnsi="Tahoma" w:cs="Tahoma"/>
          <w:sz w:val="20"/>
          <w:szCs w:val="20"/>
        </w:rPr>
        <w:t>dont</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teneur</w:t>
      </w:r>
      <w:r w:rsidR="00DB1635" w:rsidRPr="00B004EE">
        <w:rPr>
          <w:rFonts w:ascii="Tahoma" w:hAnsi="Tahoma" w:cs="Tahoma"/>
          <w:sz w:val="20"/>
          <w:szCs w:val="20"/>
        </w:rPr>
        <w:t xml:space="preserve"> </w:t>
      </w:r>
      <w:r w:rsidRPr="00B004EE">
        <w:rPr>
          <w:rFonts w:ascii="Tahoma" w:hAnsi="Tahoma" w:cs="Tahoma"/>
          <w:sz w:val="20"/>
          <w:szCs w:val="20"/>
        </w:rPr>
        <w:t>suit</w:t>
      </w:r>
      <w:r w:rsidR="00DB1635" w:rsidRPr="00B004EE">
        <w:rPr>
          <w:rFonts w:ascii="Tahoma" w:hAnsi="Tahoma" w:cs="Tahoma"/>
          <w:sz w:val="20"/>
          <w:szCs w:val="20"/>
        </w:rPr>
        <w:t xml:space="preserve"> </w:t>
      </w:r>
      <w:r w:rsidRPr="00B004EE">
        <w:rPr>
          <w:rFonts w:ascii="Tahoma" w:hAnsi="Tahoma" w:cs="Tahoma"/>
          <w:sz w:val="20"/>
          <w:szCs w:val="20"/>
        </w:rPr>
        <w:t>:</w:t>
      </w:r>
    </w:p>
    <w:p w14:paraId="54970A37" w14:textId="77777777" w:rsidR="00D64C43" w:rsidRPr="00B004EE" w:rsidRDefault="00D64C43" w:rsidP="00B004EE">
      <w:pPr>
        <w:pStyle w:val="Corpsdetexte"/>
        <w:ind w:right="160"/>
        <w:rPr>
          <w:rFonts w:ascii="Tahoma" w:hAnsi="Tahoma" w:cs="Tahoma"/>
          <w:b/>
          <w:sz w:val="20"/>
          <w:szCs w:val="20"/>
          <w:u w:val="single" w:color="000000"/>
        </w:rPr>
      </w:pPr>
    </w:p>
    <w:p w14:paraId="71DB0C85" w14:textId="04A699C0" w:rsidR="001E7C3C" w:rsidRPr="00B004EE" w:rsidRDefault="001E7C3C" w:rsidP="00B004EE">
      <w:pPr>
        <w:pStyle w:val="Corpsdetexte"/>
        <w:ind w:right="160"/>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pacing w:val="-20"/>
          <w:sz w:val="20"/>
          <w:szCs w:val="20"/>
        </w:rPr>
        <w:t xml:space="preserve"> </w:t>
      </w:r>
      <w:r w:rsidRPr="00B004EE">
        <w:rPr>
          <w:rFonts w:ascii="Tahoma" w:hAnsi="Tahoma" w:cs="Tahoma"/>
          <w:bCs/>
          <w:sz w:val="20"/>
          <w:szCs w:val="20"/>
        </w:rPr>
        <w:t>Premier</w:t>
      </w:r>
      <w:r w:rsidR="00DB1635" w:rsidRPr="00B004EE">
        <w:rPr>
          <w:rFonts w:ascii="Tahoma" w:hAnsi="Tahoma" w:cs="Tahoma"/>
          <w:bCs/>
          <w:spacing w:val="-21"/>
          <w:sz w:val="20"/>
          <w:szCs w:val="20"/>
        </w:rPr>
        <w:t xml:space="preserve"> </w:t>
      </w:r>
      <w:r w:rsidRPr="00B004EE">
        <w:rPr>
          <w:rFonts w:ascii="Tahoma" w:hAnsi="Tahoma" w:cs="Tahoma"/>
          <w:bCs/>
          <w:sz w:val="20"/>
          <w:szCs w:val="20"/>
        </w:rPr>
        <w:t>:</w:t>
      </w:r>
      <w:r w:rsidR="00DB1635" w:rsidRPr="00B004EE">
        <w:rPr>
          <w:rFonts w:ascii="Tahoma" w:hAnsi="Tahoma" w:cs="Tahoma"/>
          <w:b/>
          <w:spacing w:val="-21"/>
          <w:sz w:val="20"/>
          <w:szCs w:val="20"/>
        </w:rPr>
        <w:t xml:space="preserve"> </w:t>
      </w:r>
      <w:r w:rsidRPr="00B004EE">
        <w:rPr>
          <w:rFonts w:ascii="Tahoma" w:hAnsi="Tahoma" w:cs="Tahoma"/>
          <w:sz w:val="20"/>
          <w:szCs w:val="20"/>
        </w:rPr>
        <w:t>La</w:t>
      </w:r>
      <w:r w:rsidR="00DB1635" w:rsidRPr="00B004EE">
        <w:rPr>
          <w:rFonts w:ascii="Tahoma" w:hAnsi="Tahoma" w:cs="Tahoma"/>
          <w:spacing w:val="-22"/>
          <w:sz w:val="20"/>
          <w:szCs w:val="20"/>
        </w:rPr>
        <w:t xml:space="preserve"> </w:t>
      </w:r>
      <w:r w:rsidRPr="00B004EE">
        <w:rPr>
          <w:rFonts w:ascii="Tahoma" w:hAnsi="Tahoma" w:cs="Tahoma"/>
          <w:sz w:val="20"/>
          <w:szCs w:val="20"/>
        </w:rPr>
        <w:t>présente</w:t>
      </w:r>
      <w:r w:rsidR="00DB1635" w:rsidRPr="00B004EE">
        <w:rPr>
          <w:rFonts w:ascii="Tahoma" w:hAnsi="Tahoma" w:cs="Tahoma"/>
          <w:spacing w:val="-22"/>
          <w:sz w:val="20"/>
          <w:szCs w:val="20"/>
        </w:rPr>
        <w:t xml:space="preserve"> </w:t>
      </w:r>
      <w:r w:rsidRPr="00B004EE">
        <w:rPr>
          <w:rFonts w:ascii="Tahoma" w:hAnsi="Tahoma" w:cs="Tahoma"/>
          <w:sz w:val="20"/>
          <w:szCs w:val="20"/>
        </w:rPr>
        <w:t>loi</w:t>
      </w:r>
      <w:r w:rsidR="00DB1635" w:rsidRPr="00B004EE">
        <w:rPr>
          <w:rFonts w:ascii="Tahoma" w:hAnsi="Tahoma" w:cs="Tahoma"/>
          <w:spacing w:val="-23"/>
          <w:sz w:val="20"/>
          <w:szCs w:val="20"/>
        </w:rPr>
        <w:t xml:space="preserve"> </w:t>
      </w:r>
      <w:r w:rsidRPr="00B004EE">
        <w:rPr>
          <w:rFonts w:ascii="Tahoma" w:hAnsi="Tahoma" w:cs="Tahoma"/>
          <w:sz w:val="20"/>
          <w:szCs w:val="20"/>
        </w:rPr>
        <w:t>portant</w:t>
      </w:r>
      <w:r w:rsidR="00DB1635" w:rsidRPr="00B004EE">
        <w:rPr>
          <w:rFonts w:ascii="Tahoma" w:hAnsi="Tahoma" w:cs="Tahoma"/>
          <w:spacing w:val="-24"/>
          <w:sz w:val="20"/>
          <w:szCs w:val="20"/>
        </w:rPr>
        <w:t xml:space="preserve"> </w:t>
      </w:r>
      <w:r w:rsidRPr="00B004EE">
        <w:rPr>
          <w:rFonts w:ascii="Tahoma" w:hAnsi="Tahoma" w:cs="Tahoma"/>
          <w:sz w:val="20"/>
          <w:szCs w:val="20"/>
        </w:rPr>
        <w:t>code</w:t>
      </w:r>
      <w:r w:rsidR="00DB1635" w:rsidRPr="00B004EE">
        <w:rPr>
          <w:rFonts w:ascii="Tahoma" w:hAnsi="Tahoma" w:cs="Tahoma"/>
          <w:spacing w:val="-24"/>
          <w:sz w:val="20"/>
          <w:szCs w:val="20"/>
        </w:rPr>
        <w:t xml:space="preserve"> </w:t>
      </w:r>
      <w:r w:rsidRPr="00B004EE">
        <w:rPr>
          <w:rFonts w:ascii="Tahoma" w:hAnsi="Tahoma" w:cs="Tahoma"/>
          <w:sz w:val="20"/>
          <w:szCs w:val="20"/>
        </w:rPr>
        <w:t>des</w:t>
      </w:r>
      <w:r w:rsidR="00DB1635" w:rsidRPr="00B004EE">
        <w:rPr>
          <w:rFonts w:ascii="Tahoma" w:hAnsi="Tahoma" w:cs="Tahoma"/>
          <w:spacing w:val="-24"/>
          <w:sz w:val="20"/>
          <w:szCs w:val="20"/>
        </w:rPr>
        <w:t xml:space="preserve"> </w:t>
      </w:r>
      <w:r w:rsidRPr="00B004EE">
        <w:rPr>
          <w:rFonts w:ascii="Tahoma" w:hAnsi="Tahoma" w:cs="Tahoma"/>
          <w:sz w:val="20"/>
          <w:szCs w:val="20"/>
        </w:rPr>
        <w:t>pêches</w:t>
      </w:r>
      <w:r w:rsidR="00DB1635" w:rsidRPr="00B004EE">
        <w:rPr>
          <w:rFonts w:ascii="Tahoma" w:hAnsi="Tahoma" w:cs="Tahoma"/>
          <w:spacing w:val="-23"/>
          <w:sz w:val="20"/>
          <w:szCs w:val="20"/>
        </w:rPr>
        <w:t xml:space="preserve"> </w:t>
      </w:r>
      <w:r w:rsidRPr="00B004EE">
        <w:rPr>
          <w:rFonts w:ascii="Tahoma" w:hAnsi="Tahoma" w:cs="Tahoma"/>
          <w:sz w:val="20"/>
          <w:szCs w:val="20"/>
        </w:rPr>
        <w:t>a</w:t>
      </w:r>
      <w:r w:rsidR="00DB1635" w:rsidRPr="00B004EE">
        <w:rPr>
          <w:rFonts w:ascii="Tahoma" w:hAnsi="Tahoma" w:cs="Tahoma"/>
          <w:spacing w:val="-23"/>
          <w:sz w:val="20"/>
          <w:szCs w:val="20"/>
        </w:rPr>
        <w:t xml:space="preserve"> </w:t>
      </w:r>
      <w:r w:rsidRPr="00B004EE">
        <w:rPr>
          <w:rFonts w:ascii="Tahoma" w:hAnsi="Tahoma" w:cs="Tahoma"/>
          <w:sz w:val="20"/>
          <w:szCs w:val="20"/>
        </w:rPr>
        <w:t>pour</w:t>
      </w:r>
      <w:r w:rsidR="00DB1635" w:rsidRPr="00B004EE">
        <w:rPr>
          <w:rFonts w:ascii="Tahoma" w:hAnsi="Tahoma" w:cs="Tahoma"/>
          <w:spacing w:val="-24"/>
          <w:sz w:val="20"/>
          <w:szCs w:val="20"/>
        </w:rPr>
        <w:t xml:space="preserve"> </w:t>
      </w:r>
      <w:r w:rsidRPr="00B004EE">
        <w:rPr>
          <w:rFonts w:ascii="Tahoma" w:hAnsi="Tahoma" w:cs="Tahoma"/>
          <w:sz w:val="20"/>
          <w:szCs w:val="20"/>
        </w:rPr>
        <w:t>objet</w:t>
      </w:r>
      <w:r w:rsidR="00DB1635" w:rsidRPr="00B004EE">
        <w:rPr>
          <w:rFonts w:ascii="Tahoma" w:hAnsi="Tahoma" w:cs="Tahoma"/>
          <w:spacing w:val="-24"/>
          <w:sz w:val="20"/>
          <w:szCs w:val="20"/>
        </w:rPr>
        <w:t xml:space="preserve"> </w:t>
      </w:r>
      <w:r w:rsidRPr="00B004EE">
        <w:rPr>
          <w:rFonts w:ascii="Tahoma" w:hAnsi="Tahoma" w:cs="Tahoma"/>
          <w:sz w:val="20"/>
          <w:szCs w:val="20"/>
        </w:rPr>
        <w:t>de</w:t>
      </w:r>
      <w:r w:rsidR="00DB1635" w:rsidRPr="00B004EE">
        <w:rPr>
          <w:rFonts w:ascii="Tahoma" w:hAnsi="Tahoma" w:cs="Tahoma"/>
          <w:spacing w:val="-24"/>
          <w:sz w:val="20"/>
          <w:szCs w:val="20"/>
        </w:rPr>
        <w:t xml:space="preserve"> </w:t>
      </w:r>
      <w:r w:rsidRPr="00B004EE">
        <w:rPr>
          <w:rFonts w:ascii="Tahoma" w:hAnsi="Tahoma" w:cs="Tahoma"/>
          <w:sz w:val="20"/>
          <w:szCs w:val="20"/>
        </w:rPr>
        <w:t>définir</w:t>
      </w:r>
      <w:r w:rsidR="00DB1635" w:rsidRPr="00B004EE">
        <w:rPr>
          <w:rFonts w:ascii="Tahoma" w:hAnsi="Tahoma" w:cs="Tahoma"/>
          <w:spacing w:val="-24"/>
          <w:sz w:val="20"/>
          <w:szCs w:val="20"/>
        </w:rPr>
        <w:t xml:space="preserve"> </w:t>
      </w:r>
      <w:r w:rsidRPr="00B004EE">
        <w:rPr>
          <w:rFonts w:ascii="Tahoma" w:hAnsi="Tahoma" w:cs="Tahoma"/>
          <w:sz w:val="20"/>
          <w:szCs w:val="20"/>
        </w:rPr>
        <w:t>les</w:t>
      </w:r>
      <w:r w:rsidR="00DB1635" w:rsidRPr="00B004EE">
        <w:rPr>
          <w:rFonts w:ascii="Tahoma" w:hAnsi="Tahoma" w:cs="Tahoma"/>
          <w:w w:val="94"/>
          <w:sz w:val="20"/>
          <w:szCs w:val="20"/>
        </w:rPr>
        <w:t xml:space="preserve"> </w:t>
      </w:r>
      <w:r w:rsidRPr="00B004EE">
        <w:rPr>
          <w:rFonts w:ascii="Tahoma" w:hAnsi="Tahoma" w:cs="Tahoma"/>
          <w:sz w:val="20"/>
          <w:szCs w:val="20"/>
        </w:rPr>
        <w:t>règles</w:t>
      </w:r>
      <w:r w:rsidR="00DB1635" w:rsidRPr="00B004EE">
        <w:rPr>
          <w:rFonts w:ascii="Tahoma" w:hAnsi="Tahoma" w:cs="Tahoma"/>
          <w:spacing w:val="-28"/>
          <w:sz w:val="20"/>
          <w:szCs w:val="20"/>
        </w:rPr>
        <w:t xml:space="preserve"> </w:t>
      </w:r>
      <w:r w:rsidRPr="00B004EE">
        <w:rPr>
          <w:rFonts w:ascii="Tahoma" w:hAnsi="Tahoma" w:cs="Tahoma"/>
          <w:sz w:val="20"/>
          <w:szCs w:val="20"/>
        </w:rPr>
        <w:t>applicables</w:t>
      </w:r>
      <w:r w:rsidR="00DB1635" w:rsidRPr="00B004EE">
        <w:rPr>
          <w:rFonts w:ascii="Tahoma" w:hAnsi="Tahoma" w:cs="Tahoma"/>
          <w:spacing w:val="-28"/>
          <w:sz w:val="20"/>
          <w:szCs w:val="20"/>
        </w:rPr>
        <w:t xml:space="preserve"> </w:t>
      </w:r>
      <w:r w:rsidRPr="00B004EE">
        <w:rPr>
          <w:rFonts w:ascii="Tahoma" w:hAnsi="Tahoma" w:cs="Tahoma"/>
          <w:sz w:val="20"/>
          <w:szCs w:val="20"/>
        </w:rPr>
        <w:t>à</w:t>
      </w:r>
      <w:r w:rsidR="00DB1635" w:rsidRPr="00B004EE">
        <w:rPr>
          <w:rFonts w:ascii="Tahoma" w:hAnsi="Tahoma" w:cs="Tahoma"/>
          <w:spacing w:val="-27"/>
          <w:sz w:val="20"/>
          <w:szCs w:val="20"/>
        </w:rPr>
        <w:t xml:space="preserve"> </w:t>
      </w:r>
      <w:r w:rsidRPr="00B004EE">
        <w:rPr>
          <w:rFonts w:ascii="Tahoma" w:hAnsi="Tahoma" w:cs="Tahoma"/>
          <w:sz w:val="20"/>
          <w:szCs w:val="20"/>
        </w:rPr>
        <w:t>la</w:t>
      </w:r>
      <w:r w:rsidR="00DB1635" w:rsidRPr="00B004EE">
        <w:rPr>
          <w:rFonts w:ascii="Tahoma" w:hAnsi="Tahoma" w:cs="Tahoma"/>
          <w:spacing w:val="-27"/>
          <w:sz w:val="20"/>
          <w:szCs w:val="20"/>
        </w:rPr>
        <w:t xml:space="preserve"> </w:t>
      </w:r>
      <w:r w:rsidRPr="00B004EE">
        <w:rPr>
          <w:rFonts w:ascii="Tahoma" w:hAnsi="Tahoma" w:cs="Tahoma"/>
          <w:sz w:val="20"/>
          <w:szCs w:val="20"/>
        </w:rPr>
        <w:t>pêche</w:t>
      </w:r>
      <w:r w:rsidR="00DB1635" w:rsidRPr="00B004EE">
        <w:rPr>
          <w:rFonts w:ascii="Tahoma" w:hAnsi="Tahoma" w:cs="Tahoma"/>
          <w:spacing w:val="-26"/>
          <w:sz w:val="20"/>
          <w:szCs w:val="20"/>
        </w:rPr>
        <w:t xml:space="preserve"> </w:t>
      </w:r>
      <w:r w:rsidRPr="00B004EE">
        <w:rPr>
          <w:rFonts w:ascii="Tahoma" w:hAnsi="Tahoma" w:cs="Tahoma"/>
          <w:sz w:val="20"/>
          <w:szCs w:val="20"/>
        </w:rPr>
        <w:t>dans</w:t>
      </w:r>
      <w:r w:rsidR="00DB1635" w:rsidRPr="00B004EE">
        <w:rPr>
          <w:rFonts w:ascii="Tahoma" w:hAnsi="Tahoma" w:cs="Tahoma"/>
          <w:spacing w:val="-28"/>
          <w:sz w:val="20"/>
          <w:szCs w:val="20"/>
        </w:rPr>
        <w:t xml:space="preserve"> </w:t>
      </w:r>
      <w:r w:rsidRPr="00B004EE">
        <w:rPr>
          <w:rFonts w:ascii="Tahoma" w:hAnsi="Tahoma" w:cs="Tahoma"/>
          <w:sz w:val="20"/>
          <w:szCs w:val="20"/>
        </w:rPr>
        <w:t>les</w:t>
      </w:r>
      <w:r w:rsidR="00DB1635" w:rsidRPr="00B004EE">
        <w:rPr>
          <w:rFonts w:ascii="Tahoma" w:hAnsi="Tahoma" w:cs="Tahoma"/>
          <w:spacing w:val="-28"/>
          <w:sz w:val="20"/>
          <w:szCs w:val="20"/>
        </w:rPr>
        <w:t xml:space="preserve"> </w:t>
      </w:r>
      <w:r w:rsidRPr="00B004EE">
        <w:rPr>
          <w:rFonts w:ascii="Tahoma" w:hAnsi="Tahoma" w:cs="Tahoma"/>
          <w:sz w:val="20"/>
          <w:szCs w:val="20"/>
        </w:rPr>
        <w:t>eaux</w:t>
      </w:r>
      <w:r w:rsidR="00DB1635" w:rsidRPr="00B004EE">
        <w:rPr>
          <w:rFonts w:ascii="Tahoma" w:hAnsi="Tahoma" w:cs="Tahoma"/>
          <w:spacing w:val="-27"/>
          <w:sz w:val="20"/>
          <w:szCs w:val="20"/>
        </w:rPr>
        <w:t xml:space="preserve"> </w:t>
      </w:r>
      <w:r w:rsidRPr="00B004EE">
        <w:rPr>
          <w:rFonts w:ascii="Tahoma" w:hAnsi="Tahoma" w:cs="Tahoma"/>
          <w:sz w:val="20"/>
          <w:szCs w:val="20"/>
        </w:rPr>
        <w:t>sous</w:t>
      </w:r>
      <w:r w:rsidR="00DB1635" w:rsidRPr="00B004EE">
        <w:rPr>
          <w:rFonts w:ascii="Tahoma" w:hAnsi="Tahoma" w:cs="Tahoma"/>
          <w:spacing w:val="-28"/>
          <w:sz w:val="20"/>
          <w:szCs w:val="20"/>
        </w:rPr>
        <w:t xml:space="preserve"> </w:t>
      </w:r>
      <w:r w:rsidRPr="00B004EE">
        <w:rPr>
          <w:rFonts w:ascii="Tahoma" w:hAnsi="Tahoma" w:cs="Tahoma"/>
          <w:sz w:val="20"/>
          <w:szCs w:val="20"/>
        </w:rPr>
        <w:t>juridiction</w:t>
      </w:r>
      <w:r w:rsidR="00DB1635" w:rsidRPr="00B004EE">
        <w:rPr>
          <w:rFonts w:ascii="Tahoma" w:hAnsi="Tahoma" w:cs="Tahoma"/>
          <w:spacing w:val="-28"/>
          <w:sz w:val="20"/>
          <w:szCs w:val="20"/>
        </w:rPr>
        <w:t xml:space="preserve"> </w:t>
      </w:r>
      <w:r w:rsidRPr="00B004EE">
        <w:rPr>
          <w:rFonts w:ascii="Tahoma" w:hAnsi="Tahoma" w:cs="Tahoma"/>
          <w:sz w:val="20"/>
          <w:szCs w:val="20"/>
        </w:rPr>
        <w:t>mauritanienne.</w:t>
      </w:r>
    </w:p>
    <w:p w14:paraId="7B7C33BD" w14:textId="77777777" w:rsidR="001E7C3C" w:rsidRPr="00B004EE" w:rsidRDefault="001E7C3C" w:rsidP="00B004EE">
      <w:pPr>
        <w:jc w:val="center"/>
        <w:rPr>
          <w:rFonts w:ascii="Tahoma" w:eastAsia="American Typewriter" w:hAnsi="Tahoma" w:cs="Tahoma"/>
          <w:b/>
          <w:bCs/>
          <w:sz w:val="20"/>
          <w:szCs w:val="20"/>
        </w:rPr>
      </w:pPr>
    </w:p>
    <w:p w14:paraId="66D9C960" w14:textId="1AB14B10" w:rsidR="001E7C3C" w:rsidRPr="00B004EE" w:rsidRDefault="00A621C8" w:rsidP="00B004EE">
      <w:pPr>
        <w:jc w:val="center"/>
        <w:rPr>
          <w:rFonts w:ascii="Tahoma" w:eastAsia="American Typewriter" w:hAnsi="Tahoma" w:cs="Tahoma"/>
          <w:b/>
          <w:bCs/>
          <w:sz w:val="20"/>
          <w:szCs w:val="20"/>
        </w:rPr>
      </w:pPr>
      <w:bookmarkStart w:id="27" w:name="_Toc16279046"/>
      <w:bookmarkStart w:id="28" w:name="_Toc16279415"/>
      <w:r w:rsidRPr="00B004EE">
        <w:rPr>
          <w:rFonts w:ascii="Tahoma" w:eastAsia="American Typewriter" w:hAnsi="Tahoma" w:cs="Tahoma"/>
          <w:b/>
          <w:bCs/>
          <w:sz w:val="20"/>
          <w:szCs w:val="20"/>
        </w:rPr>
        <w:t>CHAPITRE</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PRELIMINAIRE</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w:t>
      </w:r>
      <w:r w:rsidR="00DB1635" w:rsidRPr="00B004EE">
        <w:rPr>
          <w:rFonts w:ascii="Tahoma" w:eastAsia="American Typewriter" w:hAnsi="Tahoma" w:cs="Tahoma"/>
          <w:b/>
          <w:bCs/>
          <w:sz w:val="20"/>
          <w:szCs w:val="20"/>
        </w:rPr>
        <w:t xml:space="preserve"> </w:t>
      </w:r>
      <w:r w:rsidR="001E7C3C" w:rsidRPr="00B004EE">
        <w:rPr>
          <w:rFonts w:ascii="Tahoma" w:eastAsia="American Typewriter" w:hAnsi="Tahoma" w:cs="Tahoma"/>
          <w:b/>
          <w:bCs/>
          <w:sz w:val="20"/>
          <w:szCs w:val="20"/>
        </w:rPr>
        <w:t>DISPOSISITIONS</w:t>
      </w:r>
      <w:r w:rsidR="00DB1635" w:rsidRPr="00B004EE">
        <w:rPr>
          <w:rFonts w:ascii="Tahoma" w:eastAsia="American Typewriter" w:hAnsi="Tahoma" w:cs="Tahoma"/>
          <w:b/>
          <w:bCs/>
          <w:sz w:val="20"/>
          <w:szCs w:val="20"/>
        </w:rPr>
        <w:t xml:space="preserve"> </w:t>
      </w:r>
      <w:r w:rsidR="001E7C3C" w:rsidRPr="00B004EE">
        <w:rPr>
          <w:rFonts w:ascii="Tahoma" w:eastAsia="American Typewriter" w:hAnsi="Tahoma" w:cs="Tahoma"/>
          <w:b/>
          <w:bCs/>
          <w:sz w:val="20"/>
          <w:szCs w:val="20"/>
        </w:rPr>
        <w:t>GENERALES</w:t>
      </w:r>
      <w:bookmarkEnd w:id="27"/>
      <w:bookmarkEnd w:id="28"/>
    </w:p>
    <w:p w14:paraId="051BA452" w14:textId="21EB84C4" w:rsidR="001E7C3C" w:rsidRPr="00B004EE" w:rsidRDefault="001E7C3C" w:rsidP="00B004EE">
      <w:pPr>
        <w:jc w:val="center"/>
        <w:rPr>
          <w:rFonts w:ascii="Tahoma" w:eastAsia="American Typewriter" w:hAnsi="Tahoma" w:cs="Tahoma"/>
          <w:b/>
          <w:bCs/>
          <w:sz w:val="20"/>
          <w:szCs w:val="20"/>
        </w:rPr>
      </w:pPr>
      <w:bookmarkStart w:id="29" w:name="_Toc16279047"/>
      <w:bookmarkStart w:id="30" w:name="_Toc16279416"/>
      <w:r w:rsidRPr="00B004EE">
        <w:rPr>
          <w:rFonts w:ascii="Tahoma" w:eastAsia="American Typewriter" w:hAnsi="Tahoma" w:cs="Tahoma"/>
          <w:b/>
          <w:bCs/>
          <w:sz w:val="20"/>
          <w:szCs w:val="20"/>
        </w:rPr>
        <w:t>Section</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première</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Champ</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d’application</w:t>
      </w:r>
      <w:bookmarkEnd w:id="29"/>
      <w:bookmarkEnd w:id="30"/>
    </w:p>
    <w:p w14:paraId="107BA234" w14:textId="77777777" w:rsidR="001E7C3C" w:rsidRPr="00B004EE" w:rsidRDefault="001E7C3C" w:rsidP="00B004EE">
      <w:pPr>
        <w:rPr>
          <w:rFonts w:ascii="Tahoma" w:eastAsia="American Typewriter" w:hAnsi="Tahoma" w:cs="Tahoma"/>
          <w:b/>
          <w:bCs/>
          <w:sz w:val="20"/>
          <w:szCs w:val="20"/>
        </w:rPr>
      </w:pPr>
    </w:p>
    <w:p w14:paraId="720A5225" w14:textId="729F4651" w:rsidR="001E7C3C" w:rsidRPr="00B004EE" w:rsidRDefault="001E7C3C" w:rsidP="00B004EE">
      <w:pPr>
        <w:pStyle w:val="Corpsdetexte"/>
        <w:ind w:right="157"/>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2</w:t>
      </w:r>
      <w:r w:rsidR="00DB1635" w:rsidRPr="00B004EE">
        <w:rPr>
          <w:rFonts w:ascii="Tahoma" w:hAnsi="Tahoma" w:cs="Tahoma"/>
          <w:bCs/>
          <w:sz w:val="20"/>
          <w:szCs w:val="20"/>
        </w:rPr>
        <w:t xml:space="preserve"> </w:t>
      </w:r>
      <w:r w:rsidRPr="00B004EE">
        <w:rPr>
          <w:rFonts w:ascii="Tahoma" w:hAnsi="Tahoma" w:cs="Tahoma"/>
          <w:bCs/>
          <w:sz w:val="20"/>
          <w:szCs w:val="20"/>
        </w:rPr>
        <w:t>:</w:t>
      </w:r>
      <w:r w:rsidR="00DB1635" w:rsidRPr="00B004EE">
        <w:rPr>
          <w:rFonts w:ascii="Tahoma" w:hAnsi="Tahoma" w:cs="Tahoma"/>
          <w:b/>
          <w:spacing w:val="-15"/>
          <w:sz w:val="20"/>
          <w:szCs w:val="20"/>
        </w:rPr>
        <w:t xml:space="preserve"> </w:t>
      </w:r>
      <w:r w:rsidRPr="00B004EE">
        <w:rPr>
          <w:rFonts w:ascii="Tahoma" w:hAnsi="Tahoma" w:cs="Tahoma"/>
          <w:sz w:val="20"/>
          <w:szCs w:val="20"/>
        </w:rPr>
        <w:t>Les</w:t>
      </w:r>
      <w:r w:rsidR="00DB1635" w:rsidRPr="00B004EE">
        <w:rPr>
          <w:rFonts w:ascii="Tahoma" w:hAnsi="Tahoma" w:cs="Tahoma"/>
          <w:spacing w:val="-19"/>
          <w:sz w:val="20"/>
          <w:szCs w:val="20"/>
        </w:rPr>
        <w:t xml:space="preserve"> </w:t>
      </w:r>
      <w:r w:rsidRPr="00B004EE">
        <w:rPr>
          <w:rFonts w:ascii="Tahoma" w:hAnsi="Tahoma" w:cs="Tahoma"/>
          <w:sz w:val="20"/>
          <w:szCs w:val="20"/>
        </w:rPr>
        <w:t>dispositions</w:t>
      </w:r>
      <w:r w:rsidR="00DB1635" w:rsidRPr="00B004EE">
        <w:rPr>
          <w:rFonts w:ascii="Tahoma" w:hAnsi="Tahoma" w:cs="Tahoma"/>
          <w:spacing w:val="-19"/>
          <w:sz w:val="20"/>
          <w:szCs w:val="20"/>
        </w:rPr>
        <w:t xml:space="preserve"> </w:t>
      </w:r>
      <w:r w:rsidRPr="00B004EE">
        <w:rPr>
          <w:rFonts w:ascii="Tahoma" w:hAnsi="Tahoma" w:cs="Tahoma"/>
          <w:sz w:val="20"/>
          <w:szCs w:val="20"/>
        </w:rPr>
        <w:t>de</w:t>
      </w:r>
      <w:r w:rsidR="00DB1635" w:rsidRPr="00B004EE">
        <w:rPr>
          <w:rFonts w:ascii="Tahoma" w:hAnsi="Tahoma" w:cs="Tahoma"/>
          <w:spacing w:val="-18"/>
          <w:sz w:val="20"/>
          <w:szCs w:val="20"/>
        </w:rPr>
        <w:t xml:space="preserve"> </w:t>
      </w:r>
      <w:r w:rsidRPr="00B004EE">
        <w:rPr>
          <w:rFonts w:ascii="Tahoma" w:hAnsi="Tahoma" w:cs="Tahoma"/>
          <w:sz w:val="20"/>
          <w:szCs w:val="20"/>
        </w:rPr>
        <w:t>la</w:t>
      </w:r>
      <w:r w:rsidR="00DB1635" w:rsidRPr="00B004EE">
        <w:rPr>
          <w:rFonts w:ascii="Tahoma" w:hAnsi="Tahoma" w:cs="Tahoma"/>
          <w:spacing w:val="-18"/>
          <w:sz w:val="20"/>
          <w:szCs w:val="20"/>
        </w:rPr>
        <w:t xml:space="preserve"> </w:t>
      </w:r>
      <w:r w:rsidRPr="00B004EE">
        <w:rPr>
          <w:rFonts w:ascii="Tahoma" w:hAnsi="Tahoma" w:cs="Tahoma"/>
          <w:sz w:val="20"/>
          <w:szCs w:val="20"/>
        </w:rPr>
        <w:t>présente</w:t>
      </w:r>
      <w:r w:rsidR="00DB1635" w:rsidRPr="00B004EE">
        <w:rPr>
          <w:rFonts w:ascii="Tahoma" w:hAnsi="Tahoma" w:cs="Tahoma"/>
          <w:spacing w:val="-18"/>
          <w:sz w:val="20"/>
          <w:szCs w:val="20"/>
        </w:rPr>
        <w:t xml:space="preserve"> </w:t>
      </w:r>
      <w:r w:rsidRPr="00B004EE">
        <w:rPr>
          <w:rFonts w:ascii="Tahoma" w:hAnsi="Tahoma" w:cs="Tahoma"/>
          <w:sz w:val="20"/>
          <w:szCs w:val="20"/>
        </w:rPr>
        <w:t>Loi</w:t>
      </w:r>
      <w:r w:rsidR="00DB1635" w:rsidRPr="00B004EE">
        <w:rPr>
          <w:rFonts w:ascii="Tahoma" w:hAnsi="Tahoma" w:cs="Tahoma"/>
          <w:spacing w:val="-19"/>
          <w:sz w:val="20"/>
          <w:szCs w:val="20"/>
        </w:rPr>
        <w:t xml:space="preserve"> </w:t>
      </w:r>
      <w:r w:rsidRPr="00B004EE">
        <w:rPr>
          <w:rFonts w:ascii="Tahoma" w:hAnsi="Tahoma" w:cs="Tahoma"/>
          <w:sz w:val="20"/>
          <w:szCs w:val="20"/>
        </w:rPr>
        <w:t>sont</w:t>
      </w:r>
      <w:r w:rsidR="00DB1635" w:rsidRPr="00B004EE">
        <w:rPr>
          <w:rFonts w:ascii="Tahoma" w:hAnsi="Tahoma" w:cs="Tahoma"/>
          <w:spacing w:val="-19"/>
          <w:sz w:val="20"/>
          <w:szCs w:val="20"/>
        </w:rPr>
        <w:t xml:space="preserve"> </w:t>
      </w:r>
      <w:r w:rsidRPr="00B004EE">
        <w:rPr>
          <w:rFonts w:ascii="Tahoma" w:hAnsi="Tahoma" w:cs="Tahoma"/>
          <w:sz w:val="20"/>
          <w:szCs w:val="20"/>
        </w:rPr>
        <w:t>applicables</w:t>
      </w:r>
      <w:r w:rsidR="00DB1635" w:rsidRPr="00B004EE">
        <w:rPr>
          <w:rFonts w:ascii="Tahoma" w:hAnsi="Tahoma" w:cs="Tahoma"/>
          <w:spacing w:val="-17"/>
          <w:sz w:val="20"/>
          <w:szCs w:val="20"/>
        </w:rPr>
        <w:t xml:space="preserve"> </w:t>
      </w:r>
      <w:r w:rsidRPr="00B004EE">
        <w:rPr>
          <w:rFonts w:ascii="Tahoma" w:hAnsi="Tahoma" w:cs="Tahoma"/>
          <w:sz w:val="20"/>
          <w:szCs w:val="20"/>
        </w:rPr>
        <w:t>aux</w:t>
      </w:r>
      <w:r w:rsidR="00DB1635" w:rsidRPr="00B004EE">
        <w:rPr>
          <w:rFonts w:ascii="Tahoma" w:hAnsi="Tahoma" w:cs="Tahoma"/>
          <w:spacing w:val="-19"/>
          <w:sz w:val="20"/>
          <w:szCs w:val="20"/>
        </w:rPr>
        <w:t xml:space="preserve"> </w:t>
      </w:r>
      <w:r w:rsidRPr="00B004EE">
        <w:rPr>
          <w:rFonts w:ascii="Tahoma" w:hAnsi="Tahoma" w:cs="Tahoma"/>
          <w:sz w:val="20"/>
          <w:szCs w:val="20"/>
        </w:rPr>
        <w:t>eaux</w:t>
      </w:r>
      <w:r w:rsidR="00DB1635" w:rsidRPr="00B004EE">
        <w:rPr>
          <w:rFonts w:ascii="Tahoma" w:hAnsi="Tahoma" w:cs="Tahoma"/>
          <w:spacing w:val="-18"/>
          <w:sz w:val="20"/>
          <w:szCs w:val="20"/>
        </w:rPr>
        <w:t xml:space="preserve"> </w:t>
      </w:r>
      <w:r w:rsidRPr="00B004EE">
        <w:rPr>
          <w:rFonts w:ascii="Tahoma" w:hAnsi="Tahoma" w:cs="Tahoma"/>
          <w:sz w:val="20"/>
          <w:szCs w:val="20"/>
        </w:rPr>
        <w:t>maritimes</w:t>
      </w:r>
      <w:r w:rsidR="00DB1635" w:rsidRPr="00B004EE">
        <w:rPr>
          <w:rFonts w:ascii="Tahoma" w:hAnsi="Tahoma" w:cs="Tahoma"/>
          <w:spacing w:val="-1"/>
          <w:w w:val="95"/>
          <w:sz w:val="20"/>
          <w:szCs w:val="20"/>
        </w:rPr>
        <w:t xml:space="preserve"> </w:t>
      </w:r>
      <w:r w:rsidRPr="00B004EE">
        <w:rPr>
          <w:rFonts w:ascii="Tahoma" w:hAnsi="Tahoma" w:cs="Tahoma"/>
          <w:sz w:val="20"/>
          <w:szCs w:val="20"/>
        </w:rPr>
        <w:t>intérieures,</w:t>
      </w:r>
      <w:r w:rsidR="00DB1635" w:rsidRPr="00B004EE">
        <w:rPr>
          <w:rFonts w:ascii="Tahoma" w:hAnsi="Tahoma" w:cs="Tahoma"/>
          <w:spacing w:val="32"/>
          <w:sz w:val="20"/>
          <w:szCs w:val="20"/>
        </w:rPr>
        <w:t xml:space="preserve"> </w:t>
      </w:r>
      <w:r w:rsidRPr="00B004EE">
        <w:rPr>
          <w:rFonts w:ascii="Tahoma" w:hAnsi="Tahoma" w:cs="Tahoma"/>
          <w:sz w:val="20"/>
          <w:szCs w:val="20"/>
        </w:rPr>
        <w:t>à</w:t>
      </w:r>
      <w:r w:rsidR="00DB1635" w:rsidRPr="00B004EE">
        <w:rPr>
          <w:rFonts w:ascii="Tahoma" w:hAnsi="Tahoma" w:cs="Tahoma"/>
          <w:spacing w:val="33"/>
          <w:sz w:val="20"/>
          <w:szCs w:val="20"/>
        </w:rPr>
        <w:t xml:space="preserve"> </w:t>
      </w:r>
      <w:r w:rsidRPr="00B004EE">
        <w:rPr>
          <w:rFonts w:ascii="Tahoma" w:hAnsi="Tahoma" w:cs="Tahoma"/>
          <w:sz w:val="20"/>
          <w:szCs w:val="20"/>
        </w:rPr>
        <w:t>la</w:t>
      </w:r>
      <w:r w:rsidR="00DB1635" w:rsidRPr="00B004EE">
        <w:rPr>
          <w:rFonts w:ascii="Tahoma" w:hAnsi="Tahoma" w:cs="Tahoma"/>
          <w:spacing w:val="33"/>
          <w:sz w:val="20"/>
          <w:szCs w:val="20"/>
        </w:rPr>
        <w:t xml:space="preserve"> </w:t>
      </w:r>
      <w:r w:rsidRPr="00B004EE">
        <w:rPr>
          <w:rFonts w:ascii="Tahoma" w:hAnsi="Tahoma" w:cs="Tahoma"/>
          <w:sz w:val="20"/>
          <w:szCs w:val="20"/>
        </w:rPr>
        <w:t>mer</w:t>
      </w:r>
      <w:r w:rsidR="00DB1635" w:rsidRPr="00B004EE">
        <w:rPr>
          <w:rFonts w:ascii="Tahoma" w:hAnsi="Tahoma" w:cs="Tahoma"/>
          <w:spacing w:val="32"/>
          <w:sz w:val="20"/>
          <w:szCs w:val="20"/>
        </w:rPr>
        <w:t xml:space="preserve"> </w:t>
      </w:r>
      <w:r w:rsidRPr="00B004EE">
        <w:rPr>
          <w:rFonts w:ascii="Tahoma" w:hAnsi="Tahoma" w:cs="Tahoma"/>
          <w:sz w:val="20"/>
          <w:szCs w:val="20"/>
        </w:rPr>
        <w:t>territoriale</w:t>
      </w:r>
      <w:r w:rsidR="00DB1635" w:rsidRPr="00B004EE">
        <w:rPr>
          <w:rFonts w:ascii="Tahoma" w:hAnsi="Tahoma" w:cs="Tahoma"/>
          <w:spacing w:val="32"/>
          <w:sz w:val="20"/>
          <w:szCs w:val="20"/>
        </w:rPr>
        <w:t xml:space="preserve"> </w:t>
      </w:r>
      <w:r w:rsidRPr="00B004EE">
        <w:rPr>
          <w:rFonts w:ascii="Tahoma" w:hAnsi="Tahoma" w:cs="Tahoma"/>
          <w:sz w:val="20"/>
          <w:szCs w:val="20"/>
        </w:rPr>
        <w:t>et</w:t>
      </w:r>
      <w:r w:rsidR="00DB1635" w:rsidRPr="00B004EE">
        <w:rPr>
          <w:rFonts w:ascii="Tahoma" w:hAnsi="Tahoma" w:cs="Tahoma"/>
          <w:spacing w:val="32"/>
          <w:sz w:val="20"/>
          <w:szCs w:val="20"/>
        </w:rPr>
        <w:t xml:space="preserve"> </w:t>
      </w:r>
      <w:r w:rsidRPr="00B004EE">
        <w:rPr>
          <w:rFonts w:ascii="Tahoma" w:hAnsi="Tahoma" w:cs="Tahoma"/>
          <w:sz w:val="20"/>
          <w:szCs w:val="20"/>
        </w:rPr>
        <w:t>à</w:t>
      </w:r>
      <w:r w:rsidR="00DB1635" w:rsidRPr="00B004EE">
        <w:rPr>
          <w:rFonts w:ascii="Tahoma" w:hAnsi="Tahoma" w:cs="Tahoma"/>
          <w:spacing w:val="33"/>
          <w:sz w:val="20"/>
          <w:szCs w:val="20"/>
        </w:rPr>
        <w:t xml:space="preserve"> </w:t>
      </w:r>
      <w:r w:rsidRPr="00B004EE">
        <w:rPr>
          <w:rFonts w:ascii="Tahoma" w:hAnsi="Tahoma" w:cs="Tahoma"/>
          <w:sz w:val="20"/>
          <w:szCs w:val="20"/>
        </w:rPr>
        <w:t>la</w:t>
      </w:r>
      <w:r w:rsidR="00DB1635" w:rsidRPr="00B004EE">
        <w:rPr>
          <w:rFonts w:ascii="Tahoma" w:hAnsi="Tahoma" w:cs="Tahoma"/>
          <w:spacing w:val="33"/>
          <w:sz w:val="20"/>
          <w:szCs w:val="20"/>
        </w:rPr>
        <w:t xml:space="preserve"> </w:t>
      </w:r>
      <w:r w:rsidRPr="00B004EE">
        <w:rPr>
          <w:rFonts w:ascii="Tahoma" w:hAnsi="Tahoma" w:cs="Tahoma"/>
          <w:sz w:val="20"/>
          <w:szCs w:val="20"/>
        </w:rPr>
        <w:t>zone</w:t>
      </w:r>
      <w:r w:rsidR="00DB1635" w:rsidRPr="00B004EE">
        <w:rPr>
          <w:rFonts w:ascii="Tahoma" w:hAnsi="Tahoma" w:cs="Tahoma"/>
          <w:spacing w:val="32"/>
          <w:sz w:val="20"/>
          <w:szCs w:val="20"/>
        </w:rPr>
        <w:t xml:space="preserve"> </w:t>
      </w:r>
      <w:r w:rsidRPr="00B004EE">
        <w:rPr>
          <w:rFonts w:ascii="Tahoma" w:hAnsi="Tahoma" w:cs="Tahoma"/>
          <w:sz w:val="20"/>
          <w:szCs w:val="20"/>
        </w:rPr>
        <w:t>économique</w:t>
      </w:r>
      <w:r w:rsidR="00DB1635" w:rsidRPr="00B004EE">
        <w:rPr>
          <w:rFonts w:ascii="Tahoma" w:hAnsi="Tahoma" w:cs="Tahoma"/>
          <w:spacing w:val="32"/>
          <w:sz w:val="20"/>
          <w:szCs w:val="20"/>
        </w:rPr>
        <w:t xml:space="preserve"> </w:t>
      </w:r>
      <w:r w:rsidRPr="00B004EE">
        <w:rPr>
          <w:rFonts w:ascii="Tahoma" w:hAnsi="Tahoma" w:cs="Tahoma"/>
          <w:sz w:val="20"/>
          <w:szCs w:val="20"/>
        </w:rPr>
        <w:t>exclusive,</w:t>
      </w:r>
      <w:r w:rsidR="00DB1635" w:rsidRPr="00B004EE">
        <w:rPr>
          <w:rFonts w:ascii="Tahoma" w:hAnsi="Tahoma" w:cs="Tahoma"/>
          <w:spacing w:val="33"/>
          <w:sz w:val="20"/>
          <w:szCs w:val="20"/>
        </w:rPr>
        <w:t xml:space="preserve"> </w:t>
      </w:r>
      <w:r w:rsidRPr="00B004EE">
        <w:rPr>
          <w:rFonts w:ascii="Tahoma" w:hAnsi="Tahoma" w:cs="Tahoma"/>
          <w:sz w:val="20"/>
          <w:szCs w:val="20"/>
        </w:rPr>
        <w:t>telles</w:t>
      </w:r>
      <w:r w:rsidR="00DB1635" w:rsidRPr="00B004EE">
        <w:rPr>
          <w:rFonts w:ascii="Tahoma" w:hAnsi="Tahoma" w:cs="Tahoma"/>
          <w:spacing w:val="30"/>
          <w:sz w:val="20"/>
          <w:szCs w:val="20"/>
        </w:rPr>
        <w:t xml:space="preserve"> </w:t>
      </w:r>
      <w:r w:rsidRPr="00B004EE">
        <w:rPr>
          <w:rFonts w:ascii="Tahoma" w:hAnsi="Tahoma" w:cs="Tahoma"/>
          <w:sz w:val="20"/>
          <w:szCs w:val="20"/>
        </w:rPr>
        <w:t>que</w:t>
      </w:r>
      <w:r w:rsidR="00DB1635" w:rsidRPr="00B004EE">
        <w:rPr>
          <w:rFonts w:ascii="Tahoma" w:hAnsi="Tahoma" w:cs="Tahoma"/>
          <w:w w:val="96"/>
          <w:sz w:val="20"/>
          <w:szCs w:val="20"/>
        </w:rPr>
        <w:t xml:space="preserve"> </w:t>
      </w:r>
      <w:r w:rsidRPr="00B004EE">
        <w:rPr>
          <w:rFonts w:ascii="Tahoma" w:hAnsi="Tahoma" w:cs="Tahoma"/>
          <w:sz w:val="20"/>
          <w:szCs w:val="20"/>
        </w:rPr>
        <w:t>définies</w:t>
      </w:r>
      <w:r w:rsidR="00DB1635" w:rsidRPr="00B004EE">
        <w:rPr>
          <w:rFonts w:ascii="Tahoma" w:hAnsi="Tahoma" w:cs="Tahoma"/>
          <w:spacing w:val="-21"/>
          <w:sz w:val="20"/>
          <w:szCs w:val="20"/>
        </w:rPr>
        <w:t xml:space="preserve"> </w:t>
      </w:r>
      <w:r w:rsidRPr="00B004EE">
        <w:rPr>
          <w:rFonts w:ascii="Tahoma" w:hAnsi="Tahoma" w:cs="Tahoma"/>
          <w:sz w:val="20"/>
          <w:szCs w:val="20"/>
        </w:rPr>
        <w:t>par</w:t>
      </w:r>
      <w:r w:rsidR="00DB1635" w:rsidRPr="00B004EE">
        <w:rPr>
          <w:rFonts w:ascii="Tahoma" w:hAnsi="Tahoma" w:cs="Tahoma"/>
          <w:spacing w:val="-21"/>
          <w:sz w:val="20"/>
          <w:szCs w:val="20"/>
        </w:rPr>
        <w:t xml:space="preserve"> </w:t>
      </w:r>
      <w:r w:rsidRPr="00B004EE">
        <w:rPr>
          <w:rFonts w:ascii="Tahoma" w:hAnsi="Tahoma" w:cs="Tahoma"/>
          <w:sz w:val="20"/>
          <w:szCs w:val="20"/>
        </w:rPr>
        <w:t>les</w:t>
      </w:r>
      <w:r w:rsidR="00DB1635" w:rsidRPr="00B004EE">
        <w:rPr>
          <w:rFonts w:ascii="Tahoma" w:hAnsi="Tahoma" w:cs="Tahoma"/>
          <w:spacing w:val="-21"/>
          <w:sz w:val="20"/>
          <w:szCs w:val="20"/>
        </w:rPr>
        <w:t xml:space="preserve"> </w:t>
      </w:r>
      <w:r w:rsidRPr="00B004EE">
        <w:rPr>
          <w:rFonts w:ascii="Tahoma" w:hAnsi="Tahoma" w:cs="Tahoma"/>
          <w:sz w:val="20"/>
          <w:szCs w:val="20"/>
        </w:rPr>
        <w:t>textes</w:t>
      </w:r>
      <w:r w:rsidR="00DB1635" w:rsidRPr="00B004EE">
        <w:rPr>
          <w:rFonts w:ascii="Tahoma" w:hAnsi="Tahoma" w:cs="Tahoma"/>
          <w:spacing w:val="-20"/>
          <w:sz w:val="20"/>
          <w:szCs w:val="20"/>
        </w:rPr>
        <w:t xml:space="preserve"> </w:t>
      </w:r>
      <w:r w:rsidRPr="00B004EE">
        <w:rPr>
          <w:rFonts w:ascii="Tahoma" w:hAnsi="Tahoma" w:cs="Tahoma"/>
          <w:sz w:val="20"/>
          <w:szCs w:val="20"/>
        </w:rPr>
        <w:t>législatifs</w:t>
      </w:r>
      <w:r w:rsidR="00DB1635" w:rsidRPr="00B004EE">
        <w:rPr>
          <w:rFonts w:ascii="Tahoma" w:hAnsi="Tahoma" w:cs="Tahoma"/>
          <w:spacing w:val="-22"/>
          <w:sz w:val="20"/>
          <w:szCs w:val="20"/>
        </w:rPr>
        <w:t xml:space="preserve"> </w:t>
      </w:r>
      <w:r w:rsidRPr="00B004EE">
        <w:rPr>
          <w:rFonts w:ascii="Tahoma" w:hAnsi="Tahoma" w:cs="Tahoma"/>
          <w:sz w:val="20"/>
          <w:szCs w:val="20"/>
        </w:rPr>
        <w:t>en</w:t>
      </w:r>
      <w:r w:rsidR="00DB1635" w:rsidRPr="00B004EE">
        <w:rPr>
          <w:rFonts w:ascii="Tahoma" w:hAnsi="Tahoma" w:cs="Tahoma"/>
          <w:spacing w:val="-20"/>
          <w:sz w:val="20"/>
          <w:szCs w:val="20"/>
        </w:rPr>
        <w:t xml:space="preserve"> </w:t>
      </w:r>
      <w:r w:rsidRPr="00B004EE">
        <w:rPr>
          <w:rFonts w:ascii="Tahoma" w:hAnsi="Tahoma" w:cs="Tahoma"/>
          <w:sz w:val="20"/>
          <w:szCs w:val="20"/>
        </w:rPr>
        <w:t>vigueur,</w:t>
      </w:r>
      <w:r w:rsidR="00DB1635" w:rsidRPr="00B004EE">
        <w:rPr>
          <w:rFonts w:ascii="Tahoma" w:hAnsi="Tahoma" w:cs="Tahoma"/>
          <w:spacing w:val="-20"/>
          <w:sz w:val="20"/>
          <w:szCs w:val="20"/>
        </w:rPr>
        <w:t xml:space="preserve"> </w:t>
      </w:r>
      <w:r w:rsidRPr="00B004EE">
        <w:rPr>
          <w:rFonts w:ascii="Tahoma" w:hAnsi="Tahoma" w:cs="Tahoma"/>
          <w:sz w:val="20"/>
          <w:szCs w:val="20"/>
        </w:rPr>
        <w:t>ainsi</w:t>
      </w:r>
      <w:r w:rsidR="00DB1635" w:rsidRPr="00B004EE">
        <w:rPr>
          <w:rFonts w:ascii="Tahoma" w:hAnsi="Tahoma" w:cs="Tahoma"/>
          <w:spacing w:val="-20"/>
          <w:sz w:val="20"/>
          <w:szCs w:val="20"/>
        </w:rPr>
        <w:t xml:space="preserve"> </w:t>
      </w:r>
      <w:r w:rsidRPr="00B004EE">
        <w:rPr>
          <w:rFonts w:ascii="Tahoma" w:hAnsi="Tahoma" w:cs="Tahoma"/>
          <w:sz w:val="20"/>
          <w:szCs w:val="20"/>
        </w:rPr>
        <w:t>qu'aux</w:t>
      </w:r>
      <w:r w:rsidR="00DB1635" w:rsidRPr="00B004EE">
        <w:rPr>
          <w:rFonts w:ascii="Tahoma" w:hAnsi="Tahoma" w:cs="Tahoma"/>
          <w:spacing w:val="-20"/>
          <w:sz w:val="20"/>
          <w:szCs w:val="20"/>
        </w:rPr>
        <w:t xml:space="preserve"> </w:t>
      </w:r>
      <w:r w:rsidRPr="00B004EE">
        <w:rPr>
          <w:rFonts w:ascii="Tahoma" w:hAnsi="Tahoma" w:cs="Tahoma"/>
          <w:sz w:val="20"/>
          <w:szCs w:val="20"/>
        </w:rPr>
        <w:t>eaux</w:t>
      </w:r>
      <w:r w:rsidR="00DB1635" w:rsidRPr="00B004EE">
        <w:rPr>
          <w:rFonts w:ascii="Tahoma" w:hAnsi="Tahoma" w:cs="Tahoma"/>
          <w:spacing w:val="-20"/>
          <w:sz w:val="20"/>
          <w:szCs w:val="20"/>
        </w:rPr>
        <w:t xml:space="preserve"> </w:t>
      </w:r>
      <w:r w:rsidRPr="00B004EE">
        <w:rPr>
          <w:rFonts w:ascii="Tahoma" w:hAnsi="Tahoma" w:cs="Tahoma"/>
          <w:sz w:val="20"/>
          <w:szCs w:val="20"/>
        </w:rPr>
        <w:t>salées</w:t>
      </w:r>
      <w:r w:rsidR="00DB1635" w:rsidRPr="00B004EE">
        <w:rPr>
          <w:rFonts w:ascii="Tahoma" w:hAnsi="Tahoma" w:cs="Tahoma"/>
          <w:spacing w:val="-22"/>
          <w:sz w:val="20"/>
          <w:szCs w:val="20"/>
        </w:rPr>
        <w:t xml:space="preserve"> </w:t>
      </w:r>
      <w:r w:rsidRPr="00B004EE">
        <w:rPr>
          <w:rFonts w:ascii="Tahoma" w:hAnsi="Tahoma" w:cs="Tahoma"/>
          <w:sz w:val="20"/>
          <w:szCs w:val="20"/>
        </w:rPr>
        <w:t>ou</w:t>
      </w:r>
      <w:r w:rsidR="00DB1635" w:rsidRPr="00B004EE">
        <w:rPr>
          <w:rFonts w:ascii="Tahoma" w:hAnsi="Tahoma" w:cs="Tahoma"/>
          <w:spacing w:val="-22"/>
          <w:sz w:val="20"/>
          <w:szCs w:val="20"/>
        </w:rPr>
        <w:t xml:space="preserve"> </w:t>
      </w:r>
      <w:r w:rsidRPr="00B004EE">
        <w:rPr>
          <w:rFonts w:ascii="Tahoma" w:hAnsi="Tahoma" w:cs="Tahoma"/>
          <w:sz w:val="20"/>
          <w:szCs w:val="20"/>
        </w:rPr>
        <w:t>saumâtres</w:t>
      </w:r>
      <w:r w:rsidR="00DB1635" w:rsidRPr="00B004EE">
        <w:rPr>
          <w:rFonts w:ascii="Tahoma" w:hAnsi="Tahoma" w:cs="Tahoma"/>
          <w:w w:val="94"/>
          <w:sz w:val="20"/>
          <w:szCs w:val="20"/>
        </w:rPr>
        <w:t xml:space="preserve"> </w:t>
      </w:r>
      <w:r w:rsidRPr="00B004EE">
        <w:rPr>
          <w:rFonts w:ascii="Tahoma" w:hAnsi="Tahoma" w:cs="Tahoma"/>
          <w:sz w:val="20"/>
          <w:szCs w:val="20"/>
        </w:rPr>
        <w:t>des</w:t>
      </w:r>
      <w:r w:rsidR="00DB1635" w:rsidRPr="00B004EE">
        <w:rPr>
          <w:rFonts w:ascii="Tahoma" w:hAnsi="Tahoma" w:cs="Tahoma"/>
          <w:spacing w:val="-15"/>
          <w:sz w:val="20"/>
          <w:szCs w:val="20"/>
        </w:rPr>
        <w:t xml:space="preserve"> </w:t>
      </w:r>
      <w:r w:rsidRPr="00B004EE">
        <w:rPr>
          <w:rFonts w:ascii="Tahoma" w:hAnsi="Tahoma" w:cs="Tahoma"/>
          <w:sz w:val="20"/>
          <w:szCs w:val="20"/>
        </w:rPr>
        <w:t>estuaires</w:t>
      </w:r>
      <w:r w:rsidR="00DB1635" w:rsidRPr="00B004EE">
        <w:rPr>
          <w:rFonts w:ascii="Tahoma" w:hAnsi="Tahoma" w:cs="Tahoma"/>
          <w:spacing w:val="-15"/>
          <w:sz w:val="20"/>
          <w:szCs w:val="20"/>
        </w:rPr>
        <w:t xml:space="preserve"> </w:t>
      </w:r>
      <w:r w:rsidRPr="00B004EE">
        <w:rPr>
          <w:rFonts w:ascii="Tahoma" w:hAnsi="Tahoma" w:cs="Tahoma"/>
          <w:sz w:val="20"/>
          <w:szCs w:val="20"/>
        </w:rPr>
        <w:t>et</w:t>
      </w:r>
      <w:r w:rsidR="00DB1635" w:rsidRPr="00B004EE">
        <w:rPr>
          <w:rFonts w:ascii="Tahoma" w:hAnsi="Tahoma" w:cs="Tahoma"/>
          <w:spacing w:val="-16"/>
          <w:sz w:val="20"/>
          <w:szCs w:val="20"/>
        </w:rPr>
        <w:t xml:space="preserve"> </w:t>
      </w:r>
      <w:r w:rsidRPr="00B004EE">
        <w:rPr>
          <w:rFonts w:ascii="Tahoma" w:hAnsi="Tahoma" w:cs="Tahoma"/>
          <w:sz w:val="20"/>
          <w:szCs w:val="20"/>
        </w:rPr>
        <w:t>embouchures</w:t>
      </w:r>
      <w:r w:rsidR="00DB1635" w:rsidRPr="00B004EE">
        <w:rPr>
          <w:rFonts w:ascii="Tahoma" w:hAnsi="Tahoma" w:cs="Tahoma"/>
          <w:spacing w:val="-15"/>
          <w:sz w:val="20"/>
          <w:szCs w:val="20"/>
        </w:rPr>
        <w:t xml:space="preserve"> </w:t>
      </w:r>
      <w:r w:rsidRPr="00B004EE">
        <w:rPr>
          <w:rFonts w:ascii="Tahoma" w:hAnsi="Tahoma" w:cs="Tahoma"/>
          <w:sz w:val="20"/>
          <w:szCs w:val="20"/>
        </w:rPr>
        <w:t>du</w:t>
      </w:r>
      <w:r w:rsidR="00DB1635" w:rsidRPr="00B004EE">
        <w:rPr>
          <w:rFonts w:ascii="Tahoma" w:hAnsi="Tahoma" w:cs="Tahoma"/>
          <w:spacing w:val="-16"/>
          <w:sz w:val="20"/>
          <w:szCs w:val="20"/>
        </w:rPr>
        <w:t xml:space="preserve"> </w:t>
      </w:r>
      <w:r w:rsidRPr="00B004EE">
        <w:rPr>
          <w:rFonts w:ascii="Tahoma" w:hAnsi="Tahoma" w:cs="Tahoma"/>
          <w:sz w:val="20"/>
          <w:szCs w:val="20"/>
        </w:rPr>
        <w:t>Fleuve</w:t>
      </w:r>
      <w:r w:rsidR="00DB1635" w:rsidRPr="00B004EE">
        <w:rPr>
          <w:rFonts w:ascii="Tahoma" w:hAnsi="Tahoma" w:cs="Tahoma"/>
          <w:spacing w:val="-15"/>
          <w:sz w:val="20"/>
          <w:szCs w:val="20"/>
        </w:rPr>
        <w:t xml:space="preserve"> </w:t>
      </w:r>
      <w:r w:rsidRPr="00B004EE">
        <w:rPr>
          <w:rFonts w:ascii="Tahoma" w:hAnsi="Tahoma" w:cs="Tahoma"/>
          <w:sz w:val="20"/>
          <w:szCs w:val="20"/>
        </w:rPr>
        <w:t>Sénégal,</w:t>
      </w:r>
      <w:r w:rsidR="00DB1635" w:rsidRPr="00B004EE">
        <w:rPr>
          <w:rFonts w:ascii="Tahoma" w:hAnsi="Tahoma" w:cs="Tahoma"/>
          <w:spacing w:val="-16"/>
          <w:sz w:val="20"/>
          <w:szCs w:val="20"/>
        </w:rPr>
        <w:t xml:space="preserve"> </w:t>
      </w:r>
      <w:r w:rsidRPr="00B004EE">
        <w:rPr>
          <w:rFonts w:ascii="Tahoma" w:hAnsi="Tahoma" w:cs="Tahoma"/>
          <w:sz w:val="20"/>
          <w:szCs w:val="20"/>
        </w:rPr>
        <w:t>désignées</w:t>
      </w:r>
      <w:r w:rsidR="00DB1635" w:rsidRPr="00B004EE">
        <w:rPr>
          <w:rFonts w:ascii="Tahoma" w:hAnsi="Tahoma" w:cs="Tahoma"/>
          <w:spacing w:val="-17"/>
          <w:sz w:val="20"/>
          <w:szCs w:val="20"/>
        </w:rPr>
        <w:t xml:space="preserve"> </w:t>
      </w:r>
      <w:r w:rsidRPr="00B004EE">
        <w:rPr>
          <w:rFonts w:ascii="Tahoma" w:hAnsi="Tahoma" w:cs="Tahoma"/>
          <w:sz w:val="20"/>
          <w:szCs w:val="20"/>
        </w:rPr>
        <w:t>par</w:t>
      </w:r>
      <w:r w:rsidR="00DB1635" w:rsidRPr="00B004EE">
        <w:rPr>
          <w:rFonts w:ascii="Tahoma" w:hAnsi="Tahoma" w:cs="Tahoma"/>
          <w:spacing w:val="-17"/>
          <w:sz w:val="20"/>
          <w:szCs w:val="20"/>
        </w:rPr>
        <w:t xml:space="preserve"> </w:t>
      </w:r>
      <w:r w:rsidRPr="00B004EE">
        <w:rPr>
          <w:rFonts w:ascii="Tahoma" w:hAnsi="Tahoma" w:cs="Tahoma"/>
          <w:sz w:val="20"/>
          <w:szCs w:val="20"/>
        </w:rPr>
        <w:t>l'expression</w:t>
      </w:r>
      <w:r w:rsidR="00DB1635" w:rsidRPr="00B004EE">
        <w:rPr>
          <w:rFonts w:ascii="Tahoma" w:hAnsi="Tahoma" w:cs="Tahoma"/>
          <w:spacing w:val="-16"/>
          <w:sz w:val="20"/>
          <w:szCs w:val="20"/>
        </w:rPr>
        <w:t xml:space="preserve"> </w:t>
      </w:r>
      <w:r w:rsidRPr="00B004EE">
        <w:rPr>
          <w:rFonts w:ascii="Tahoma" w:hAnsi="Tahoma" w:cs="Tahoma"/>
          <w:sz w:val="20"/>
          <w:szCs w:val="20"/>
        </w:rPr>
        <w:t>"eaux</w:t>
      </w:r>
      <w:r w:rsidR="00DB1635" w:rsidRPr="00B004EE">
        <w:rPr>
          <w:rFonts w:ascii="Tahoma" w:hAnsi="Tahoma" w:cs="Tahoma"/>
          <w:w w:val="91"/>
          <w:sz w:val="20"/>
          <w:szCs w:val="20"/>
        </w:rPr>
        <w:t xml:space="preserve"> </w:t>
      </w:r>
      <w:r w:rsidRPr="00B004EE">
        <w:rPr>
          <w:rFonts w:ascii="Tahoma" w:hAnsi="Tahoma" w:cs="Tahoma"/>
          <w:w w:val="95"/>
          <w:sz w:val="20"/>
          <w:szCs w:val="20"/>
        </w:rPr>
        <w:t>sous</w:t>
      </w:r>
      <w:r w:rsidR="00DB1635" w:rsidRPr="00B004EE">
        <w:rPr>
          <w:rFonts w:ascii="Tahoma" w:hAnsi="Tahoma" w:cs="Tahoma"/>
          <w:w w:val="95"/>
          <w:sz w:val="20"/>
          <w:szCs w:val="20"/>
        </w:rPr>
        <w:t xml:space="preserve"> </w:t>
      </w:r>
      <w:r w:rsidRPr="00B004EE">
        <w:rPr>
          <w:rFonts w:ascii="Tahoma" w:hAnsi="Tahoma" w:cs="Tahoma"/>
          <w:w w:val="95"/>
          <w:sz w:val="20"/>
          <w:szCs w:val="20"/>
        </w:rPr>
        <w:t>juridiction</w:t>
      </w:r>
      <w:r w:rsidR="00DB1635" w:rsidRPr="00B004EE">
        <w:rPr>
          <w:rFonts w:ascii="Tahoma" w:hAnsi="Tahoma" w:cs="Tahoma"/>
          <w:spacing w:val="11"/>
          <w:w w:val="95"/>
          <w:sz w:val="20"/>
          <w:szCs w:val="20"/>
        </w:rPr>
        <w:t xml:space="preserve"> </w:t>
      </w:r>
      <w:r w:rsidRPr="00B004EE">
        <w:rPr>
          <w:rFonts w:ascii="Tahoma" w:hAnsi="Tahoma" w:cs="Tahoma"/>
          <w:w w:val="95"/>
          <w:sz w:val="20"/>
          <w:szCs w:val="20"/>
        </w:rPr>
        <w:t>mauritanienne".</w:t>
      </w:r>
    </w:p>
    <w:p w14:paraId="10FE4A8F" w14:textId="77777777" w:rsidR="001E7C3C" w:rsidRPr="00B004EE" w:rsidRDefault="001E7C3C" w:rsidP="00B004EE">
      <w:pPr>
        <w:jc w:val="center"/>
        <w:rPr>
          <w:rFonts w:ascii="Tahoma" w:eastAsia="American Typewriter" w:hAnsi="Tahoma" w:cs="Tahoma"/>
          <w:b/>
          <w:bCs/>
          <w:sz w:val="20"/>
          <w:szCs w:val="20"/>
        </w:rPr>
      </w:pPr>
    </w:p>
    <w:p w14:paraId="067EFFD5" w14:textId="59D1DAC1" w:rsidR="001E7C3C" w:rsidRPr="00B004EE" w:rsidRDefault="001E7C3C" w:rsidP="00B004EE">
      <w:pPr>
        <w:jc w:val="center"/>
        <w:rPr>
          <w:rFonts w:ascii="Tahoma" w:eastAsia="American Typewriter" w:hAnsi="Tahoma" w:cs="Tahoma"/>
          <w:b/>
          <w:bCs/>
          <w:sz w:val="20"/>
          <w:szCs w:val="20"/>
        </w:rPr>
      </w:pPr>
      <w:bookmarkStart w:id="31" w:name="_Toc16279048"/>
      <w:bookmarkStart w:id="32" w:name="_Toc16279417"/>
      <w:r w:rsidRPr="00B004EE">
        <w:rPr>
          <w:rFonts w:ascii="Tahoma" w:eastAsia="American Typewriter" w:hAnsi="Tahoma" w:cs="Tahoma"/>
          <w:b/>
          <w:bCs/>
          <w:sz w:val="20"/>
          <w:szCs w:val="20"/>
        </w:rPr>
        <w:t>Section</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2</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Du</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patrimoine</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halieutique</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de</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la</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République</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Islamique</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de</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Mauritanie</w:t>
      </w:r>
      <w:bookmarkEnd w:id="31"/>
      <w:bookmarkEnd w:id="32"/>
    </w:p>
    <w:p w14:paraId="5129447A" w14:textId="77777777" w:rsidR="001E7C3C" w:rsidRPr="00B004EE" w:rsidRDefault="001E7C3C" w:rsidP="00B004EE">
      <w:pPr>
        <w:rPr>
          <w:rFonts w:ascii="Tahoma" w:eastAsia="American Typewriter" w:hAnsi="Tahoma" w:cs="Tahoma"/>
          <w:b/>
          <w:bCs/>
          <w:sz w:val="20"/>
          <w:szCs w:val="20"/>
        </w:rPr>
      </w:pPr>
    </w:p>
    <w:p w14:paraId="3734DBB4" w14:textId="3CC141BA" w:rsidR="001E7C3C" w:rsidRPr="00B004EE" w:rsidRDefault="001E7C3C" w:rsidP="00B004EE">
      <w:pPr>
        <w:pStyle w:val="Corpsdetexte"/>
        <w:ind w:right="160"/>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3</w:t>
      </w:r>
      <w:r w:rsidR="00DB1635" w:rsidRPr="00B004EE">
        <w:rPr>
          <w:rFonts w:ascii="Tahoma" w:hAnsi="Tahoma" w:cs="Tahoma"/>
          <w:bCs/>
          <w:sz w:val="20"/>
          <w:szCs w:val="20"/>
        </w:rPr>
        <w:t xml:space="preserve"> </w:t>
      </w:r>
      <w:r w:rsidRPr="00B004EE">
        <w:rPr>
          <w:rFonts w:ascii="Tahoma" w:hAnsi="Tahoma" w:cs="Tahoma"/>
          <w:bCs/>
          <w:sz w:val="20"/>
          <w:szCs w:val="20"/>
        </w:rPr>
        <w:t>:</w:t>
      </w:r>
      <w:r w:rsidR="00DB1635" w:rsidRPr="00B004EE">
        <w:rPr>
          <w:rFonts w:ascii="Tahoma" w:eastAsia="American Typewriter" w:hAnsi="Tahoma" w:cs="Tahoma"/>
          <w:b/>
          <w:bCs/>
          <w:spacing w:val="-15"/>
          <w:sz w:val="20"/>
          <w:szCs w:val="20"/>
        </w:rPr>
        <w:t xml:space="preserve"> </w:t>
      </w:r>
      <w:r w:rsidRPr="00B004EE">
        <w:rPr>
          <w:rFonts w:ascii="Tahoma" w:hAnsi="Tahoma" w:cs="Tahoma"/>
          <w:sz w:val="20"/>
          <w:szCs w:val="20"/>
        </w:rPr>
        <w:t>Les</w:t>
      </w:r>
      <w:r w:rsidR="00DB1635" w:rsidRPr="00B004EE">
        <w:rPr>
          <w:rFonts w:ascii="Tahoma" w:hAnsi="Tahoma" w:cs="Tahoma"/>
          <w:spacing w:val="-17"/>
          <w:sz w:val="20"/>
          <w:szCs w:val="20"/>
        </w:rPr>
        <w:t xml:space="preserve"> </w:t>
      </w:r>
      <w:r w:rsidRPr="00B004EE">
        <w:rPr>
          <w:rFonts w:ascii="Tahoma" w:hAnsi="Tahoma" w:cs="Tahoma"/>
          <w:sz w:val="20"/>
          <w:szCs w:val="20"/>
        </w:rPr>
        <w:t>ressources</w:t>
      </w:r>
      <w:r w:rsidR="00DB1635" w:rsidRPr="00B004EE">
        <w:rPr>
          <w:rFonts w:ascii="Tahoma" w:hAnsi="Tahoma" w:cs="Tahoma"/>
          <w:spacing w:val="-17"/>
          <w:sz w:val="20"/>
          <w:szCs w:val="20"/>
        </w:rPr>
        <w:t xml:space="preserve"> </w:t>
      </w:r>
      <w:r w:rsidRPr="00B004EE">
        <w:rPr>
          <w:rFonts w:ascii="Tahoma" w:hAnsi="Tahoma" w:cs="Tahoma"/>
          <w:sz w:val="20"/>
          <w:szCs w:val="20"/>
        </w:rPr>
        <w:t>halieutiques</w:t>
      </w:r>
      <w:r w:rsidR="00DB1635" w:rsidRPr="00B004EE">
        <w:rPr>
          <w:rFonts w:ascii="Tahoma" w:hAnsi="Tahoma" w:cs="Tahoma"/>
          <w:spacing w:val="-17"/>
          <w:sz w:val="20"/>
          <w:szCs w:val="20"/>
        </w:rPr>
        <w:t xml:space="preserve"> </w:t>
      </w:r>
      <w:r w:rsidRPr="00B004EE">
        <w:rPr>
          <w:rFonts w:ascii="Tahoma" w:hAnsi="Tahoma" w:cs="Tahoma"/>
          <w:sz w:val="20"/>
          <w:szCs w:val="20"/>
        </w:rPr>
        <w:t>des</w:t>
      </w:r>
      <w:r w:rsidR="00DB1635" w:rsidRPr="00B004EE">
        <w:rPr>
          <w:rFonts w:ascii="Tahoma" w:hAnsi="Tahoma" w:cs="Tahoma"/>
          <w:spacing w:val="-18"/>
          <w:sz w:val="20"/>
          <w:szCs w:val="20"/>
        </w:rPr>
        <w:t xml:space="preserve"> </w:t>
      </w:r>
      <w:r w:rsidRPr="00B004EE">
        <w:rPr>
          <w:rFonts w:ascii="Tahoma" w:hAnsi="Tahoma" w:cs="Tahoma"/>
          <w:sz w:val="20"/>
          <w:szCs w:val="20"/>
        </w:rPr>
        <w:t>eaux</w:t>
      </w:r>
      <w:r w:rsidR="00DB1635" w:rsidRPr="00B004EE">
        <w:rPr>
          <w:rFonts w:ascii="Tahoma" w:hAnsi="Tahoma" w:cs="Tahoma"/>
          <w:spacing w:val="-17"/>
          <w:sz w:val="20"/>
          <w:szCs w:val="20"/>
        </w:rPr>
        <w:t xml:space="preserve"> </w:t>
      </w:r>
      <w:r w:rsidRPr="00B004EE">
        <w:rPr>
          <w:rFonts w:ascii="Tahoma" w:hAnsi="Tahoma" w:cs="Tahoma"/>
          <w:sz w:val="20"/>
          <w:szCs w:val="20"/>
        </w:rPr>
        <w:t>sous</w:t>
      </w:r>
      <w:r w:rsidR="00DB1635" w:rsidRPr="00B004EE">
        <w:rPr>
          <w:rFonts w:ascii="Tahoma" w:hAnsi="Tahoma" w:cs="Tahoma"/>
          <w:spacing w:val="-18"/>
          <w:sz w:val="20"/>
          <w:szCs w:val="20"/>
        </w:rPr>
        <w:t xml:space="preserve"> </w:t>
      </w:r>
      <w:r w:rsidRPr="00B004EE">
        <w:rPr>
          <w:rFonts w:ascii="Tahoma" w:hAnsi="Tahoma" w:cs="Tahoma"/>
          <w:sz w:val="20"/>
          <w:szCs w:val="20"/>
        </w:rPr>
        <w:t>juridiction</w:t>
      </w:r>
      <w:r w:rsidR="00DB1635" w:rsidRPr="00B004EE">
        <w:rPr>
          <w:rFonts w:ascii="Tahoma" w:hAnsi="Tahoma" w:cs="Tahoma"/>
          <w:spacing w:val="-18"/>
          <w:sz w:val="20"/>
          <w:szCs w:val="20"/>
        </w:rPr>
        <w:t xml:space="preserve"> </w:t>
      </w:r>
      <w:r w:rsidRPr="00B004EE">
        <w:rPr>
          <w:rFonts w:ascii="Tahoma" w:hAnsi="Tahoma" w:cs="Tahoma"/>
          <w:sz w:val="20"/>
          <w:szCs w:val="20"/>
        </w:rPr>
        <w:t>mauritanienne</w:t>
      </w:r>
      <w:r w:rsidR="00DB1635" w:rsidRPr="00B004EE">
        <w:rPr>
          <w:rFonts w:ascii="Tahoma" w:hAnsi="Tahoma" w:cs="Tahoma"/>
          <w:spacing w:val="-18"/>
          <w:sz w:val="20"/>
          <w:szCs w:val="20"/>
        </w:rPr>
        <w:t xml:space="preserve"> </w:t>
      </w:r>
      <w:r w:rsidRPr="00B004EE">
        <w:rPr>
          <w:rFonts w:ascii="Tahoma" w:hAnsi="Tahoma" w:cs="Tahoma"/>
          <w:sz w:val="20"/>
          <w:szCs w:val="20"/>
        </w:rPr>
        <w:t>et</w:t>
      </w:r>
      <w:r w:rsidR="00DB1635" w:rsidRPr="00B004EE">
        <w:rPr>
          <w:rFonts w:ascii="Tahoma" w:hAnsi="Tahoma" w:cs="Tahoma"/>
          <w:w w:val="95"/>
          <w:sz w:val="20"/>
          <w:szCs w:val="20"/>
        </w:rPr>
        <w:t xml:space="preserve"> </w:t>
      </w:r>
      <w:r w:rsidRPr="00B004EE">
        <w:rPr>
          <w:rFonts w:ascii="Tahoma" w:hAnsi="Tahoma" w:cs="Tahoma"/>
          <w:sz w:val="20"/>
          <w:szCs w:val="20"/>
        </w:rPr>
        <w:t>leur</w:t>
      </w:r>
      <w:r w:rsidR="00DB1635" w:rsidRPr="00B004EE">
        <w:rPr>
          <w:rFonts w:ascii="Tahoma" w:hAnsi="Tahoma" w:cs="Tahoma"/>
          <w:sz w:val="20"/>
          <w:szCs w:val="20"/>
        </w:rPr>
        <w:t xml:space="preserve"> </w:t>
      </w:r>
      <w:r w:rsidRPr="00B004EE">
        <w:rPr>
          <w:rFonts w:ascii="Tahoma" w:hAnsi="Tahoma" w:cs="Tahoma"/>
          <w:sz w:val="20"/>
          <w:szCs w:val="20"/>
        </w:rPr>
        <w:t>écosystème</w:t>
      </w:r>
      <w:r w:rsidR="00DB1635" w:rsidRPr="00B004EE">
        <w:rPr>
          <w:rFonts w:ascii="Tahoma" w:hAnsi="Tahoma" w:cs="Tahoma"/>
          <w:sz w:val="20"/>
          <w:szCs w:val="20"/>
        </w:rPr>
        <w:t xml:space="preserve"> </w:t>
      </w:r>
      <w:r w:rsidRPr="00B004EE">
        <w:rPr>
          <w:rFonts w:ascii="Tahoma" w:eastAsia="American Typewriter" w:hAnsi="Tahoma" w:cs="Tahoma"/>
          <w:sz w:val="20"/>
          <w:szCs w:val="20"/>
        </w:rPr>
        <w:t>constituent</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un</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patrimoine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national</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que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l’État</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a</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l'obligation</w:t>
      </w:r>
      <w:r w:rsidR="00DB1635" w:rsidRPr="00B004EE">
        <w:rPr>
          <w:rFonts w:ascii="Tahoma" w:eastAsia="American Typewriter" w:hAnsi="Tahoma" w:cs="Tahoma"/>
          <w:spacing w:val="45"/>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w w:val="94"/>
          <w:sz w:val="20"/>
          <w:szCs w:val="20"/>
        </w:rPr>
        <w:t xml:space="preserve"> </w:t>
      </w:r>
      <w:r w:rsidRPr="00B004EE">
        <w:rPr>
          <w:rFonts w:ascii="Tahoma" w:hAnsi="Tahoma" w:cs="Tahoma"/>
          <w:sz w:val="20"/>
          <w:szCs w:val="20"/>
        </w:rPr>
        <w:t>gérer</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l'intérêt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collectivité</w:t>
      </w:r>
      <w:r w:rsidR="00DB1635" w:rsidRPr="00B004EE">
        <w:rPr>
          <w:rFonts w:ascii="Tahoma" w:hAnsi="Tahoma" w:cs="Tahoma"/>
          <w:sz w:val="20"/>
          <w:szCs w:val="20"/>
        </w:rPr>
        <w:t xml:space="preserve"> </w:t>
      </w:r>
      <w:r w:rsidRPr="00B004EE">
        <w:rPr>
          <w:rFonts w:ascii="Tahoma" w:hAnsi="Tahoma" w:cs="Tahoma"/>
          <w:sz w:val="20"/>
          <w:szCs w:val="20"/>
        </w:rPr>
        <w:t>nationale,</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cadre</w:t>
      </w:r>
      <w:r w:rsidR="00DB1635" w:rsidRPr="00B004EE">
        <w:rPr>
          <w:rFonts w:ascii="Tahoma" w:hAnsi="Tahoma" w:cs="Tahoma"/>
          <w:sz w:val="20"/>
          <w:szCs w:val="20"/>
        </w:rPr>
        <w:t xml:space="preserve"> </w:t>
      </w:r>
      <w:r w:rsidRPr="00B004EE">
        <w:rPr>
          <w:rFonts w:ascii="Tahoma" w:hAnsi="Tahoma" w:cs="Tahoma"/>
          <w:sz w:val="20"/>
          <w:szCs w:val="20"/>
        </w:rPr>
        <w:t>défini</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pacing w:val="42"/>
          <w:sz w:val="20"/>
          <w:szCs w:val="20"/>
        </w:rPr>
        <w:t xml:space="preserve"> </w:t>
      </w:r>
      <w:r w:rsidRPr="00B004EE">
        <w:rPr>
          <w:rFonts w:ascii="Tahoma" w:hAnsi="Tahoma" w:cs="Tahoma"/>
          <w:sz w:val="20"/>
          <w:szCs w:val="20"/>
        </w:rPr>
        <w:t>les</w:t>
      </w:r>
      <w:r w:rsidR="00DB1635" w:rsidRPr="00B004EE">
        <w:rPr>
          <w:rFonts w:ascii="Tahoma" w:hAnsi="Tahoma" w:cs="Tahoma"/>
          <w:w w:val="94"/>
          <w:sz w:val="20"/>
          <w:szCs w:val="20"/>
        </w:rPr>
        <w:t xml:space="preserve"> </w:t>
      </w:r>
      <w:r w:rsidRPr="00B004EE">
        <w:rPr>
          <w:rFonts w:ascii="Tahoma" w:hAnsi="Tahoma" w:cs="Tahoma"/>
          <w:sz w:val="20"/>
          <w:szCs w:val="20"/>
        </w:rPr>
        <w:t>dispositions</w:t>
      </w:r>
      <w:r w:rsidR="00DB1635" w:rsidRPr="00B004EE">
        <w:rPr>
          <w:rFonts w:ascii="Tahoma" w:hAnsi="Tahoma" w:cs="Tahoma"/>
          <w:spacing w:val="-7"/>
          <w:sz w:val="20"/>
          <w:szCs w:val="20"/>
        </w:rPr>
        <w:t xml:space="preserve"> </w:t>
      </w:r>
      <w:r w:rsidRPr="00B004EE">
        <w:rPr>
          <w:rFonts w:ascii="Tahoma" w:hAnsi="Tahoma" w:cs="Tahoma"/>
          <w:sz w:val="20"/>
          <w:szCs w:val="20"/>
        </w:rPr>
        <w:t>de</w:t>
      </w:r>
      <w:r w:rsidR="00DB1635" w:rsidRPr="00B004EE">
        <w:rPr>
          <w:rFonts w:ascii="Tahoma" w:hAnsi="Tahoma" w:cs="Tahoma"/>
          <w:spacing w:val="-9"/>
          <w:sz w:val="20"/>
          <w:szCs w:val="20"/>
        </w:rPr>
        <w:t xml:space="preserve"> </w:t>
      </w:r>
      <w:r w:rsidRPr="00B004EE">
        <w:rPr>
          <w:rFonts w:ascii="Tahoma" w:hAnsi="Tahoma" w:cs="Tahoma"/>
          <w:sz w:val="20"/>
          <w:szCs w:val="20"/>
        </w:rPr>
        <w:t>la</w:t>
      </w:r>
      <w:r w:rsidR="00DB1635" w:rsidRPr="00B004EE">
        <w:rPr>
          <w:rFonts w:ascii="Tahoma" w:hAnsi="Tahoma" w:cs="Tahoma"/>
          <w:spacing w:val="-8"/>
          <w:sz w:val="20"/>
          <w:szCs w:val="20"/>
        </w:rPr>
        <w:t xml:space="preserve"> </w:t>
      </w:r>
      <w:r w:rsidRPr="00B004EE">
        <w:rPr>
          <w:rFonts w:ascii="Tahoma" w:hAnsi="Tahoma" w:cs="Tahoma"/>
          <w:sz w:val="20"/>
          <w:szCs w:val="20"/>
        </w:rPr>
        <w:t>présente</w:t>
      </w:r>
      <w:r w:rsidR="00DB1635" w:rsidRPr="00B004EE">
        <w:rPr>
          <w:rFonts w:ascii="Tahoma" w:hAnsi="Tahoma" w:cs="Tahoma"/>
          <w:spacing w:val="-9"/>
          <w:sz w:val="20"/>
          <w:szCs w:val="20"/>
        </w:rPr>
        <w:t xml:space="preserve"> </w:t>
      </w:r>
      <w:r w:rsidRPr="00B004EE">
        <w:rPr>
          <w:rFonts w:ascii="Tahoma" w:hAnsi="Tahoma" w:cs="Tahoma"/>
          <w:sz w:val="20"/>
          <w:szCs w:val="20"/>
        </w:rPr>
        <w:t>Loi.</w:t>
      </w:r>
      <w:r w:rsidR="00DB1635" w:rsidRPr="00B004EE">
        <w:rPr>
          <w:rFonts w:ascii="Tahoma" w:hAnsi="Tahoma" w:cs="Tahoma"/>
          <w:spacing w:val="-8"/>
          <w:sz w:val="20"/>
          <w:szCs w:val="20"/>
        </w:rPr>
        <w:t xml:space="preserve"> </w:t>
      </w:r>
      <w:r w:rsidRPr="00B004EE">
        <w:rPr>
          <w:rFonts w:ascii="Tahoma" w:hAnsi="Tahoma" w:cs="Tahoma"/>
          <w:sz w:val="20"/>
          <w:szCs w:val="20"/>
        </w:rPr>
        <w:t>Il</w:t>
      </w:r>
      <w:r w:rsidR="00DB1635" w:rsidRPr="00B004EE">
        <w:rPr>
          <w:rFonts w:ascii="Tahoma" w:hAnsi="Tahoma" w:cs="Tahoma"/>
          <w:spacing w:val="-7"/>
          <w:sz w:val="20"/>
          <w:szCs w:val="20"/>
        </w:rPr>
        <w:t xml:space="preserve"> </w:t>
      </w:r>
      <w:r w:rsidRPr="00B004EE">
        <w:rPr>
          <w:rFonts w:ascii="Tahoma" w:hAnsi="Tahoma" w:cs="Tahoma"/>
          <w:sz w:val="20"/>
          <w:szCs w:val="20"/>
        </w:rPr>
        <w:t>définit</w:t>
      </w:r>
      <w:r w:rsidR="00DB1635" w:rsidRPr="00B004EE">
        <w:rPr>
          <w:rFonts w:ascii="Tahoma" w:hAnsi="Tahoma" w:cs="Tahoma"/>
          <w:spacing w:val="-9"/>
          <w:sz w:val="20"/>
          <w:szCs w:val="20"/>
        </w:rPr>
        <w:t xml:space="preserve"> </w:t>
      </w:r>
      <w:r w:rsidRPr="00B004EE">
        <w:rPr>
          <w:rFonts w:ascii="Tahoma" w:hAnsi="Tahoma" w:cs="Tahoma"/>
          <w:sz w:val="20"/>
          <w:szCs w:val="20"/>
        </w:rPr>
        <w:t>à</w:t>
      </w:r>
      <w:r w:rsidR="00DB1635" w:rsidRPr="00B004EE">
        <w:rPr>
          <w:rFonts w:ascii="Tahoma" w:hAnsi="Tahoma" w:cs="Tahoma"/>
          <w:spacing w:val="-8"/>
          <w:sz w:val="20"/>
          <w:szCs w:val="20"/>
        </w:rPr>
        <w:t xml:space="preserve"> </w:t>
      </w:r>
      <w:r w:rsidRPr="00B004EE">
        <w:rPr>
          <w:rFonts w:ascii="Tahoma" w:hAnsi="Tahoma" w:cs="Tahoma"/>
          <w:sz w:val="20"/>
          <w:szCs w:val="20"/>
        </w:rPr>
        <w:t>cet</w:t>
      </w:r>
      <w:r w:rsidR="00DB1635" w:rsidRPr="00B004EE">
        <w:rPr>
          <w:rFonts w:ascii="Tahoma" w:hAnsi="Tahoma" w:cs="Tahoma"/>
          <w:spacing w:val="-9"/>
          <w:sz w:val="20"/>
          <w:szCs w:val="20"/>
        </w:rPr>
        <w:t xml:space="preserve"> </w:t>
      </w:r>
      <w:r w:rsidRPr="00B004EE">
        <w:rPr>
          <w:rFonts w:ascii="Tahoma" w:hAnsi="Tahoma" w:cs="Tahoma"/>
          <w:sz w:val="20"/>
          <w:szCs w:val="20"/>
        </w:rPr>
        <w:t>effet</w:t>
      </w:r>
      <w:r w:rsidR="00DB1635" w:rsidRPr="00B004EE">
        <w:rPr>
          <w:rFonts w:ascii="Tahoma" w:hAnsi="Tahoma" w:cs="Tahoma"/>
          <w:spacing w:val="-9"/>
          <w:sz w:val="20"/>
          <w:szCs w:val="20"/>
        </w:rPr>
        <w:t xml:space="preserve"> </w:t>
      </w:r>
      <w:r w:rsidRPr="00B004EE">
        <w:rPr>
          <w:rFonts w:ascii="Tahoma" w:hAnsi="Tahoma" w:cs="Tahoma"/>
          <w:sz w:val="20"/>
          <w:szCs w:val="20"/>
        </w:rPr>
        <w:t>une</w:t>
      </w:r>
      <w:r w:rsidR="00DB1635" w:rsidRPr="00B004EE">
        <w:rPr>
          <w:rFonts w:ascii="Tahoma" w:hAnsi="Tahoma" w:cs="Tahoma"/>
          <w:spacing w:val="-9"/>
          <w:sz w:val="20"/>
          <w:szCs w:val="20"/>
        </w:rPr>
        <w:t xml:space="preserve"> </w:t>
      </w:r>
      <w:r w:rsidRPr="00B004EE">
        <w:rPr>
          <w:rFonts w:ascii="Tahoma" w:hAnsi="Tahoma" w:cs="Tahoma"/>
          <w:sz w:val="20"/>
          <w:szCs w:val="20"/>
        </w:rPr>
        <w:t>stratégie</w:t>
      </w:r>
      <w:r w:rsidR="00DB1635" w:rsidRPr="00B004EE">
        <w:rPr>
          <w:rFonts w:ascii="Tahoma" w:hAnsi="Tahoma" w:cs="Tahoma"/>
          <w:spacing w:val="-9"/>
          <w:sz w:val="20"/>
          <w:szCs w:val="20"/>
        </w:rPr>
        <w:t xml:space="preserve"> </w:t>
      </w:r>
      <w:r w:rsidRPr="00B004EE">
        <w:rPr>
          <w:rFonts w:ascii="Tahoma" w:hAnsi="Tahoma" w:cs="Tahoma"/>
          <w:sz w:val="20"/>
          <w:szCs w:val="20"/>
        </w:rPr>
        <w:t>visant</w:t>
      </w:r>
      <w:r w:rsidR="00DB1635" w:rsidRPr="00B004EE">
        <w:rPr>
          <w:rFonts w:ascii="Tahoma" w:hAnsi="Tahoma" w:cs="Tahoma"/>
          <w:spacing w:val="-9"/>
          <w:sz w:val="20"/>
          <w:szCs w:val="20"/>
        </w:rPr>
        <w:t xml:space="preserve"> </w:t>
      </w:r>
      <w:r w:rsidRPr="00B004EE">
        <w:rPr>
          <w:rFonts w:ascii="Tahoma" w:hAnsi="Tahoma" w:cs="Tahoma"/>
          <w:sz w:val="20"/>
          <w:szCs w:val="20"/>
        </w:rPr>
        <w:t>à</w:t>
      </w:r>
      <w:r w:rsidR="00DB1635" w:rsidRPr="00B004EE">
        <w:rPr>
          <w:rFonts w:ascii="Tahoma" w:hAnsi="Tahoma" w:cs="Tahoma"/>
          <w:spacing w:val="-8"/>
          <w:sz w:val="20"/>
          <w:szCs w:val="20"/>
        </w:rPr>
        <w:t xml:space="preserve"> </w:t>
      </w:r>
      <w:r w:rsidRPr="00B004EE">
        <w:rPr>
          <w:rFonts w:ascii="Tahoma" w:hAnsi="Tahoma" w:cs="Tahoma"/>
          <w:sz w:val="20"/>
          <w:szCs w:val="20"/>
        </w:rPr>
        <w:t>protéger</w:t>
      </w:r>
      <w:r w:rsidR="00DB1635" w:rsidRPr="00B004EE">
        <w:rPr>
          <w:rFonts w:ascii="Tahoma" w:hAnsi="Tahoma" w:cs="Tahoma"/>
          <w:w w:val="92"/>
          <w:sz w:val="20"/>
          <w:szCs w:val="20"/>
        </w:rPr>
        <w:t xml:space="preserve"> </w:t>
      </w:r>
      <w:r w:rsidRPr="00B004EE">
        <w:rPr>
          <w:rFonts w:ascii="Tahoma" w:hAnsi="Tahoma" w:cs="Tahoma"/>
          <w:sz w:val="20"/>
          <w:szCs w:val="20"/>
        </w:rPr>
        <w:t>ces</w:t>
      </w:r>
      <w:r w:rsidR="00DB1635" w:rsidRPr="00B004EE">
        <w:rPr>
          <w:rFonts w:ascii="Tahoma" w:hAnsi="Tahoma" w:cs="Tahoma"/>
          <w:sz w:val="20"/>
          <w:szCs w:val="20"/>
        </w:rPr>
        <w:t xml:space="preserve"> </w:t>
      </w:r>
      <w:r w:rsidRPr="00B004EE">
        <w:rPr>
          <w:rFonts w:ascii="Tahoma" w:hAnsi="Tahoma" w:cs="Tahoma"/>
          <w:sz w:val="20"/>
          <w:szCs w:val="20"/>
        </w:rPr>
        <w:t>ressources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permettre</w:t>
      </w:r>
      <w:r w:rsidR="00DB1635" w:rsidRPr="00B004EE">
        <w:rPr>
          <w:rFonts w:ascii="Tahoma" w:hAnsi="Tahoma" w:cs="Tahoma"/>
          <w:sz w:val="20"/>
          <w:szCs w:val="20"/>
        </w:rPr>
        <w:t xml:space="preserve"> </w:t>
      </w:r>
      <w:r w:rsidRPr="00B004EE">
        <w:rPr>
          <w:rFonts w:ascii="Tahoma" w:hAnsi="Tahoma" w:cs="Tahoma"/>
          <w:sz w:val="20"/>
          <w:szCs w:val="20"/>
        </w:rPr>
        <w:t>leur</w:t>
      </w:r>
      <w:r w:rsidR="00DB1635" w:rsidRPr="00B004EE">
        <w:rPr>
          <w:rFonts w:ascii="Tahoma" w:hAnsi="Tahoma" w:cs="Tahoma"/>
          <w:sz w:val="20"/>
          <w:szCs w:val="20"/>
        </w:rPr>
        <w:t xml:space="preserve"> </w:t>
      </w:r>
      <w:r w:rsidRPr="00B004EE">
        <w:rPr>
          <w:rFonts w:ascii="Tahoma" w:hAnsi="Tahoma" w:cs="Tahoma"/>
          <w:sz w:val="20"/>
          <w:szCs w:val="20"/>
        </w:rPr>
        <w:t>exploitation</w:t>
      </w:r>
      <w:r w:rsidR="00DB1635" w:rsidRPr="00B004EE">
        <w:rPr>
          <w:rFonts w:ascii="Tahoma" w:hAnsi="Tahoma" w:cs="Tahoma"/>
          <w:sz w:val="20"/>
          <w:szCs w:val="20"/>
        </w:rPr>
        <w:t xml:space="preserve"> </w:t>
      </w:r>
      <w:r w:rsidRPr="00B004EE">
        <w:rPr>
          <w:rFonts w:ascii="Tahoma" w:hAnsi="Tahoma" w:cs="Tahoma"/>
          <w:sz w:val="20"/>
          <w:szCs w:val="20"/>
        </w:rPr>
        <w:t>durable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manière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préserver</w:t>
      </w:r>
      <w:r w:rsidR="00DB1635" w:rsidRPr="00B004EE">
        <w:rPr>
          <w:rFonts w:ascii="Tahoma" w:hAnsi="Tahoma" w:cs="Tahoma"/>
          <w:w w:val="92"/>
          <w:sz w:val="20"/>
          <w:szCs w:val="20"/>
        </w:rPr>
        <w:t xml:space="preserve"> </w:t>
      </w:r>
      <w:r w:rsidRPr="00B004EE">
        <w:rPr>
          <w:rFonts w:ascii="Tahoma" w:hAnsi="Tahoma" w:cs="Tahoma"/>
          <w:sz w:val="20"/>
          <w:szCs w:val="20"/>
        </w:rPr>
        <w:t>l'équilibre</w:t>
      </w:r>
      <w:r w:rsidR="00DB1635" w:rsidRPr="00B004EE">
        <w:rPr>
          <w:rFonts w:ascii="Tahoma" w:hAnsi="Tahoma" w:cs="Tahoma"/>
          <w:spacing w:val="-27"/>
          <w:sz w:val="20"/>
          <w:szCs w:val="20"/>
        </w:rPr>
        <w:t xml:space="preserve"> </w:t>
      </w:r>
      <w:r w:rsidRPr="00B004EE">
        <w:rPr>
          <w:rFonts w:ascii="Tahoma" w:hAnsi="Tahoma" w:cs="Tahoma"/>
          <w:sz w:val="20"/>
          <w:szCs w:val="20"/>
        </w:rPr>
        <w:t>des</w:t>
      </w:r>
      <w:r w:rsidR="00DB1635" w:rsidRPr="00B004EE">
        <w:rPr>
          <w:rFonts w:ascii="Tahoma" w:hAnsi="Tahoma" w:cs="Tahoma"/>
          <w:spacing w:val="-27"/>
          <w:sz w:val="20"/>
          <w:szCs w:val="20"/>
        </w:rPr>
        <w:t xml:space="preserve"> </w:t>
      </w:r>
      <w:r w:rsidRPr="00B004EE">
        <w:rPr>
          <w:rFonts w:ascii="Tahoma" w:hAnsi="Tahoma" w:cs="Tahoma"/>
          <w:sz w:val="20"/>
          <w:szCs w:val="20"/>
        </w:rPr>
        <w:t>écosystèmes</w:t>
      </w:r>
      <w:r w:rsidR="00DB1635" w:rsidRPr="00B004EE">
        <w:rPr>
          <w:rFonts w:ascii="Tahoma" w:hAnsi="Tahoma" w:cs="Tahoma"/>
          <w:spacing w:val="-27"/>
          <w:sz w:val="20"/>
          <w:szCs w:val="20"/>
        </w:rPr>
        <w:t xml:space="preserve"> </w:t>
      </w:r>
      <w:r w:rsidRPr="00B004EE">
        <w:rPr>
          <w:rFonts w:ascii="Tahoma" w:hAnsi="Tahoma" w:cs="Tahoma"/>
          <w:sz w:val="20"/>
          <w:szCs w:val="20"/>
        </w:rPr>
        <w:t>et</w:t>
      </w:r>
      <w:r w:rsidR="00DB1635" w:rsidRPr="00B004EE">
        <w:rPr>
          <w:rFonts w:ascii="Tahoma" w:hAnsi="Tahoma" w:cs="Tahoma"/>
          <w:spacing w:val="-27"/>
          <w:sz w:val="20"/>
          <w:szCs w:val="20"/>
        </w:rPr>
        <w:t xml:space="preserve"> </w:t>
      </w:r>
      <w:r w:rsidRPr="00B004EE">
        <w:rPr>
          <w:rFonts w:ascii="Tahoma" w:hAnsi="Tahoma" w:cs="Tahoma"/>
          <w:sz w:val="20"/>
          <w:szCs w:val="20"/>
        </w:rPr>
        <w:t>de</w:t>
      </w:r>
      <w:r w:rsidR="00DB1635" w:rsidRPr="00B004EE">
        <w:rPr>
          <w:rFonts w:ascii="Tahoma" w:hAnsi="Tahoma" w:cs="Tahoma"/>
          <w:spacing w:val="-27"/>
          <w:sz w:val="20"/>
          <w:szCs w:val="20"/>
        </w:rPr>
        <w:t xml:space="preserve"> </w:t>
      </w:r>
      <w:r w:rsidRPr="00B004EE">
        <w:rPr>
          <w:rFonts w:ascii="Tahoma" w:hAnsi="Tahoma" w:cs="Tahoma"/>
          <w:sz w:val="20"/>
          <w:szCs w:val="20"/>
        </w:rPr>
        <w:t>l'habitat</w:t>
      </w:r>
      <w:r w:rsidR="00DB1635" w:rsidRPr="00B004EE">
        <w:rPr>
          <w:rFonts w:ascii="Tahoma" w:hAnsi="Tahoma" w:cs="Tahoma"/>
          <w:spacing w:val="-27"/>
          <w:sz w:val="20"/>
          <w:szCs w:val="20"/>
        </w:rPr>
        <w:t xml:space="preserve"> </w:t>
      </w:r>
      <w:r w:rsidRPr="00B004EE">
        <w:rPr>
          <w:rFonts w:ascii="Tahoma" w:hAnsi="Tahoma" w:cs="Tahoma"/>
          <w:sz w:val="20"/>
          <w:szCs w:val="20"/>
        </w:rPr>
        <w:t>aquatique</w:t>
      </w:r>
      <w:r w:rsidR="00DB1635" w:rsidRPr="00B004EE">
        <w:rPr>
          <w:rFonts w:ascii="Tahoma" w:hAnsi="Tahoma" w:cs="Tahoma"/>
          <w:spacing w:val="-27"/>
          <w:sz w:val="20"/>
          <w:szCs w:val="20"/>
        </w:rPr>
        <w:t xml:space="preserve"> </w:t>
      </w:r>
      <w:r w:rsidRPr="00B004EE">
        <w:rPr>
          <w:rFonts w:ascii="Tahoma" w:hAnsi="Tahoma" w:cs="Tahoma"/>
          <w:sz w:val="20"/>
          <w:szCs w:val="20"/>
        </w:rPr>
        <w:t>pour</w:t>
      </w:r>
      <w:r w:rsidR="00DB1635" w:rsidRPr="00B004EE">
        <w:rPr>
          <w:rFonts w:ascii="Tahoma" w:hAnsi="Tahoma" w:cs="Tahoma"/>
          <w:spacing w:val="-27"/>
          <w:sz w:val="20"/>
          <w:szCs w:val="20"/>
        </w:rPr>
        <w:t xml:space="preserve"> </w:t>
      </w:r>
      <w:r w:rsidRPr="00B004EE">
        <w:rPr>
          <w:rFonts w:ascii="Tahoma" w:hAnsi="Tahoma" w:cs="Tahoma"/>
          <w:sz w:val="20"/>
          <w:szCs w:val="20"/>
        </w:rPr>
        <w:t>les</w:t>
      </w:r>
      <w:r w:rsidR="00DB1635" w:rsidRPr="00B004EE">
        <w:rPr>
          <w:rFonts w:ascii="Tahoma" w:hAnsi="Tahoma" w:cs="Tahoma"/>
          <w:spacing w:val="-27"/>
          <w:sz w:val="20"/>
          <w:szCs w:val="20"/>
        </w:rPr>
        <w:t xml:space="preserve"> </w:t>
      </w:r>
      <w:r w:rsidRPr="00B004EE">
        <w:rPr>
          <w:rFonts w:ascii="Tahoma" w:hAnsi="Tahoma" w:cs="Tahoma"/>
          <w:sz w:val="20"/>
          <w:szCs w:val="20"/>
        </w:rPr>
        <w:t>générations</w:t>
      </w:r>
      <w:r w:rsidR="00DB1635" w:rsidRPr="00B004EE">
        <w:rPr>
          <w:rFonts w:ascii="Tahoma" w:hAnsi="Tahoma" w:cs="Tahoma"/>
          <w:spacing w:val="-29"/>
          <w:sz w:val="20"/>
          <w:szCs w:val="20"/>
        </w:rPr>
        <w:t xml:space="preserve"> </w:t>
      </w:r>
      <w:r w:rsidRPr="00B004EE">
        <w:rPr>
          <w:rFonts w:ascii="Tahoma" w:hAnsi="Tahoma" w:cs="Tahoma"/>
          <w:sz w:val="20"/>
          <w:szCs w:val="20"/>
        </w:rPr>
        <w:t>présentes</w:t>
      </w:r>
      <w:r w:rsidR="00DB1635" w:rsidRPr="00B004EE">
        <w:rPr>
          <w:rFonts w:ascii="Tahoma" w:hAnsi="Tahoma" w:cs="Tahoma"/>
          <w:w w:val="95"/>
          <w:sz w:val="20"/>
          <w:szCs w:val="20"/>
        </w:rPr>
        <w:t xml:space="preserve"> </w:t>
      </w:r>
      <w:r w:rsidRPr="00B004EE">
        <w:rPr>
          <w:rFonts w:ascii="Tahoma" w:hAnsi="Tahoma" w:cs="Tahoma"/>
          <w:w w:val="95"/>
          <w:sz w:val="20"/>
          <w:szCs w:val="20"/>
        </w:rPr>
        <w:t>et</w:t>
      </w:r>
      <w:r w:rsidR="00DB1635" w:rsidRPr="00B004EE">
        <w:rPr>
          <w:rFonts w:ascii="Tahoma" w:hAnsi="Tahoma" w:cs="Tahoma"/>
          <w:spacing w:val="20"/>
          <w:w w:val="95"/>
          <w:sz w:val="20"/>
          <w:szCs w:val="20"/>
        </w:rPr>
        <w:t xml:space="preserve"> </w:t>
      </w:r>
      <w:r w:rsidRPr="00B004EE">
        <w:rPr>
          <w:rFonts w:ascii="Tahoma" w:hAnsi="Tahoma" w:cs="Tahoma"/>
          <w:w w:val="95"/>
          <w:sz w:val="20"/>
          <w:szCs w:val="20"/>
        </w:rPr>
        <w:t>futures.</w:t>
      </w:r>
    </w:p>
    <w:p w14:paraId="01DD6B00" w14:textId="77777777" w:rsidR="001E7C3C" w:rsidRPr="00B004EE" w:rsidRDefault="001E7C3C" w:rsidP="00B004EE">
      <w:pPr>
        <w:rPr>
          <w:rFonts w:ascii="Tahoma" w:eastAsia="American Typewriter" w:hAnsi="Tahoma" w:cs="Tahoma"/>
          <w:sz w:val="20"/>
          <w:szCs w:val="20"/>
        </w:rPr>
      </w:pPr>
    </w:p>
    <w:p w14:paraId="265E93FA" w14:textId="0AC108B7" w:rsidR="001E7C3C" w:rsidRPr="00B004EE" w:rsidRDefault="001E7C3C" w:rsidP="00B004EE">
      <w:pPr>
        <w:jc w:val="center"/>
        <w:rPr>
          <w:rFonts w:ascii="Tahoma" w:eastAsia="American Typewriter" w:hAnsi="Tahoma" w:cs="Tahoma"/>
          <w:b/>
          <w:bCs/>
          <w:sz w:val="20"/>
          <w:szCs w:val="20"/>
        </w:rPr>
      </w:pPr>
      <w:bookmarkStart w:id="33" w:name="_Toc16279049"/>
      <w:bookmarkStart w:id="34" w:name="_Toc16279418"/>
      <w:r w:rsidRPr="00B004EE">
        <w:rPr>
          <w:rFonts w:ascii="Tahoma" w:eastAsia="American Typewriter" w:hAnsi="Tahoma" w:cs="Tahoma"/>
          <w:b/>
          <w:bCs/>
          <w:sz w:val="20"/>
          <w:szCs w:val="20"/>
        </w:rPr>
        <w:t>Section</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3</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Définition</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de</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la</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pêche</w:t>
      </w:r>
      <w:bookmarkEnd w:id="33"/>
      <w:bookmarkEnd w:id="34"/>
    </w:p>
    <w:p w14:paraId="155FA169" w14:textId="77777777" w:rsidR="001E7C3C" w:rsidRPr="00B004EE" w:rsidRDefault="001E7C3C" w:rsidP="00B004EE">
      <w:pPr>
        <w:rPr>
          <w:rFonts w:ascii="Tahoma" w:eastAsia="American Typewriter" w:hAnsi="Tahoma" w:cs="Tahoma"/>
          <w:b/>
          <w:bCs/>
          <w:sz w:val="20"/>
          <w:szCs w:val="20"/>
        </w:rPr>
      </w:pPr>
    </w:p>
    <w:p w14:paraId="10BFFD7B" w14:textId="35BBA439" w:rsidR="001E7C3C" w:rsidRPr="00B004EE" w:rsidRDefault="001E7C3C" w:rsidP="00B004EE">
      <w:pPr>
        <w:pStyle w:val="Corpsdetexte"/>
        <w:ind w:right="162"/>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4</w:t>
      </w:r>
      <w:r w:rsidR="00DB1635" w:rsidRPr="00B004EE">
        <w:rPr>
          <w:rFonts w:ascii="Tahoma" w:hAnsi="Tahoma" w:cs="Tahoma"/>
          <w:bCs/>
          <w:sz w:val="20"/>
          <w:szCs w:val="20"/>
        </w:rPr>
        <w:t xml:space="preserve"> </w:t>
      </w:r>
      <w:r w:rsidRPr="00B004EE">
        <w:rPr>
          <w:rFonts w:ascii="Tahoma" w:hAnsi="Tahoma" w:cs="Tahoma"/>
          <w:bCs/>
          <w:sz w:val="20"/>
          <w:szCs w:val="20"/>
        </w:rPr>
        <w:t>:</w:t>
      </w:r>
      <w:r w:rsidR="00DB1635" w:rsidRPr="00B004EE">
        <w:rPr>
          <w:rFonts w:ascii="Tahoma" w:hAnsi="Tahoma" w:cs="Tahoma"/>
          <w:spacing w:val="-11"/>
          <w:sz w:val="20"/>
          <w:szCs w:val="20"/>
        </w:rPr>
        <w:t xml:space="preserve"> </w:t>
      </w:r>
      <w:r w:rsidRPr="00B004EE">
        <w:rPr>
          <w:rFonts w:ascii="Tahoma" w:hAnsi="Tahoma" w:cs="Tahoma"/>
          <w:sz w:val="20"/>
          <w:szCs w:val="20"/>
        </w:rPr>
        <w:t>La</w:t>
      </w:r>
      <w:r w:rsidR="00DB1635" w:rsidRPr="00B004EE">
        <w:rPr>
          <w:rFonts w:ascii="Tahoma" w:hAnsi="Tahoma" w:cs="Tahoma"/>
          <w:spacing w:val="-11"/>
          <w:sz w:val="20"/>
          <w:szCs w:val="20"/>
        </w:rPr>
        <w:t xml:space="preserve"> </w:t>
      </w:r>
      <w:r w:rsidRPr="00B004EE">
        <w:rPr>
          <w:rFonts w:ascii="Tahoma" w:hAnsi="Tahoma" w:cs="Tahoma"/>
          <w:sz w:val="20"/>
          <w:szCs w:val="20"/>
        </w:rPr>
        <w:t>pêche</w:t>
      </w:r>
      <w:r w:rsidR="00DB1635" w:rsidRPr="00B004EE">
        <w:rPr>
          <w:rFonts w:ascii="Tahoma" w:hAnsi="Tahoma" w:cs="Tahoma"/>
          <w:spacing w:val="-10"/>
          <w:sz w:val="20"/>
          <w:szCs w:val="20"/>
        </w:rPr>
        <w:t xml:space="preserve"> </w:t>
      </w:r>
      <w:r w:rsidRPr="00B004EE">
        <w:rPr>
          <w:rFonts w:ascii="Tahoma" w:hAnsi="Tahoma" w:cs="Tahoma"/>
          <w:sz w:val="20"/>
          <w:szCs w:val="20"/>
        </w:rPr>
        <w:t>désigne,</w:t>
      </w:r>
      <w:r w:rsidR="00DB1635" w:rsidRPr="00B004EE">
        <w:rPr>
          <w:rFonts w:ascii="Tahoma" w:hAnsi="Tahoma" w:cs="Tahoma"/>
          <w:spacing w:val="-11"/>
          <w:sz w:val="20"/>
          <w:szCs w:val="20"/>
        </w:rPr>
        <w:t xml:space="preserve"> </w:t>
      </w:r>
      <w:r w:rsidRPr="00B004EE">
        <w:rPr>
          <w:rFonts w:ascii="Tahoma" w:hAnsi="Tahoma" w:cs="Tahoma"/>
          <w:sz w:val="20"/>
          <w:szCs w:val="20"/>
        </w:rPr>
        <w:t>au</w:t>
      </w:r>
      <w:r w:rsidR="00DB1635" w:rsidRPr="00B004EE">
        <w:rPr>
          <w:rFonts w:ascii="Tahoma" w:hAnsi="Tahoma" w:cs="Tahoma"/>
          <w:spacing w:val="-11"/>
          <w:sz w:val="20"/>
          <w:szCs w:val="20"/>
        </w:rPr>
        <w:t xml:space="preserve"> </w:t>
      </w:r>
      <w:r w:rsidRPr="00B004EE">
        <w:rPr>
          <w:rFonts w:ascii="Tahoma" w:hAnsi="Tahoma" w:cs="Tahoma"/>
          <w:sz w:val="20"/>
          <w:szCs w:val="20"/>
        </w:rPr>
        <w:t>sens</w:t>
      </w:r>
      <w:r w:rsidR="00DB1635" w:rsidRPr="00B004EE">
        <w:rPr>
          <w:rFonts w:ascii="Tahoma" w:hAnsi="Tahoma" w:cs="Tahoma"/>
          <w:spacing w:val="-12"/>
          <w:sz w:val="20"/>
          <w:szCs w:val="20"/>
        </w:rPr>
        <w:t xml:space="preserve"> </w:t>
      </w:r>
      <w:r w:rsidRPr="00B004EE">
        <w:rPr>
          <w:rFonts w:ascii="Tahoma" w:hAnsi="Tahoma" w:cs="Tahoma"/>
          <w:sz w:val="20"/>
          <w:szCs w:val="20"/>
        </w:rPr>
        <w:t>de</w:t>
      </w:r>
      <w:r w:rsidR="00DB1635" w:rsidRPr="00B004EE">
        <w:rPr>
          <w:rFonts w:ascii="Tahoma" w:hAnsi="Tahoma" w:cs="Tahoma"/>
          <w:spacing w:val="-11"/>
          <w:sz w:val="20"/>
          <w:szCs w:val="20"/>
        </w:rPr>
        <w:t xml:space="preserve"> </w:t>
      </w:r>
      <w:r w:rsidRPr="00B004EE">
        <w:rPr>
          <w:rFonts w:ascii="Tahoma" w:hAnsi="Tahoma" w:cs="Tahoma"/>
          <w:sz w:val="20"/>
          <w:szCs w:val="20"/>
        </w:rPr>
        <w:t>la</w:t>
      </w:r>
      <w:r w:rsidR="00DB1635" w:rsidRPr="00B004EE">
        <w:rPr>
          <w:rFonts w:ascii="Tahoma" w:hAnsi="Tahoma" w:cs="Tahoma"/>
          <w:spacing w:val="-11"/>
          <w:sz w:val="20"/>
          <w:szCs w:val="20"/>
        </w:rPr>
        <w:t xml:space="preserve"> </w:t>
      </w:r>
      <w:r w:rsidRPr="00B004EE">
        <w:rPr>
          <w:rFonts w:ascii="Tahoma" w:hAnsi="Tahoma" w:cs="Tahoma"/>
          <w:sz w:val="20"/>
          <w:szCs w:val="20"/>
        </w:rPr>
        <w:t>présente</w:t>
      </w:r>
      <w:r w:rsidR="00DB1635" w:rsidRPr="00B004EE">
        <w:rPr>
          <w:rFonts w:ascii="Tahoma" w:hAnsi="Tahoma" w:cs="Tahoma"/>
          <w:spacing w:val="-11"/>
          <w:sz w:val="20"/>
          <w:szCs w:val="20"/>
        </w:rPr>
        <w:t xml:space="preserve"> </w:t>
      </w:r>
      <w:r w:rsidRPr="00B004EE">
        <w:rPr>
          <w:rFonts w:ascii="Tahoma" w:hAnsi="Tahoma" w:cs="Tahoma"/>
          <w:sz w:val="20"/>
          <w:szCs w:val="20"/>
        </w:rPr>
        <w:t>loi</w:t>
      </w:r>
      <w:r w:rsidR="00DB1635" w:rsidRPr="00B004EE">
        <w:rPr>
          <w:rFonts w:ascii="Tahoma" w:hAnsi="Tahoma" w:cs="Tahoma"/>
          <w:spacing w:val="-12"/>
          <w:sz w:val="20"/>
          <w:szCs w:val="20"/>
        </w:rPr>
        <w:t xml:space="preserve"> </w:t>
      </w:r>
      <w:r w:rsidRPr="00B004EE">
        <w:rPr>
          <w:rFonts w:ascii="Tahoma" w:hAnsi="Tahoma" w:cs="Tahoma"/>
          <w:sz w:val="20"/>
          <w:szCs w:val="20"/>
        </w:rPr>
        <w:t>et</w:t>
      </w:r>
      <w:r w:rsidR="00DB1635" w:rsidRPr="00B004EE">
        <w:rPr>
          <w:rFonts w:ascii="Tahoma" w:hAnsi="Tahoma" w:cs="Tahoma"/>
          <w:spacing w:val="-13"/>
          <w:sz w:val="20"/>
          <w:szCs w:val="20"/>
        </w:rPr>
        <w:t xml:space="preserve"> </w:t>
      </w:r>
      <w:r w:rsidRPr="00B004EE">
        <w:rPr>
          <w:rFonts w:ascii="Tahoma" w:hAnsi="Tahoma" w:cs="Tahoma"/>
          <w:sz w:val="20"/>
          <w:szCs w:val="20"/>
        </w:rPr>
        <w:t>des</w:t>
      </w:r>
      <w:r w:rsidR="00DB1635" w:rsidRPr="00B004EE">
        <w:rPr>
          <w:rFonts w:ascii="Tahoma" w:hAnsi="Tahoma" w:cs="Tahoma"/>
          <w:spacing w:val="-13"/>
          <w:sz w:val="20"/>
          <w:szCs w:val="20"/>
        </w:rPr>
        <w:t xml:space="preserve"> </w:t>
      </w:r>
      <w:r w:rsidRPr="00B004EE">
        <w:rPr>
          <w:rFonts w:ascii="Tahoma" w:hAnsi="Tahoma" w:cs="Tahoma"/>
          <w:sz w:val="20"/>
          <w:szCs w:val="20"/>
        </w:rPr>
        <w:t>règlements</w:t>
      </w:r>
      <w:r w:rsidR="00DB1635" w:rsidRPr="00B004EE">
        <w:rPr>
          <w:rFonts w:ascii="Tahoma" w:hAnsi="Tahoma" w:cs="Tahoma"/>
          <w:spacing w:val="-13"/>
          <w:sz w:val="20"/>
          <w:szCs w:val="20"/>
        </w:rPr>
        <w:t xml:space="preserve"> </w:t>
      </w:r>
      <w:r w:rsidRPr="00B004EE">
        <w:rPr>
          <w:rFonts w:ascii="Tahoma" w:hAnsi="Tahoma" w:cs="Tahoma"/>
          <w:sz w:val="20"/>
          <w:szCs w:val="20"/>
        </w:rPr>
        <w:t>pris</w:t>
      </w:r>
      <w:r w:rsidR="00DB1635" w:rsidRPr="00B004EE">
        <w:rPr>
          <w:rFonts w:ascii="Tahoma" w:hAnsi="Tahoma" w:cs="Tahoma"/>
          <w:spacing w:val="-13"/>
          <w:sz w:val="20"/>
          <w:szCs w:val="20"/>
        </w:rPr>
        <w:t xml:space="preserve"> </w:t>
      </w:r>
      <w:r w:rsidRPr="00B004EE">
        <w:rPr>
          <w:rFonts w:ascii="Tahoma" w:hAnsi="Tahoma" w:cs="Tahoma"/>
          <w:sz w:val="20"/>
          <w:szCs w:val="20"/>
        </w:rPr>
        <w:t>pour</w:t>
      </w:r>
      <w:r w:rsidR="00DB1635" w:rsidRPr="00B004EE">
        <w:rPr>
          <w:rFonts w:ascii="Tahoma" w:hAnsi="Tahoma" w:cs="Tahoma"/>
          <w:w w:val="93"/>
          <w:sz w:val="20"/>
          <w:szCs w:val="20"/>
        </w:rPr>
        <w:t xml:space="preserve"> </w:t>
      </w:r>
      <w:r w:rsidRPr="00B004EE">
        <w:rPr>
          <w:rFonts w:ascii="Tahoma" w:hAnsi="Tahoma" w:cs="Tahoma"/>
          <w:sz w:val="20"/>
          <w:szCs w:val="20"/>
        </w:rPr>
        <w:t>son</w:t>
      </w:r>
      <w:r w:rsidR="00DB1635" w:rsidRPr="00B004EE">
        <w:rPr>
          <w:rFonts w:ascii="Tahoma" w:hAnsi="Tahoma" w:cs="Tahoma"/>
          <w:spacing w:val="15"/>
          <w:sz w:val="20"/>
          <w:szCs w:val="20"/>
        </w:rPr>
        <w:t xml:space="preserve"> </w:t>
      </w:r>
      <w:r w:rsidRPr="00B004EE">
        <w:rPr>
          <w:rFonts w:ascii="Tahoma" w:hAnsi="Tahoma" w:cs="Tahoma"/>
          <w:sz w:val="20"/>
          <w:szCs w:val="20"/>
        </w:rPr>
        <w:t>application,</w:t>
      </w:r>
      <w:r w:rsidR="00DB1635" w:rsidRPr="00B004EE">
        <w:rPr>
          <w:rFonts w:ascii="Tahoma" w:hAnsi="Tahoma" w:cs="Tahoma"/>
          <w:spacing w:val="16"/>
          <w:sz w:val="20"/>
          <w:szCs w:val="20"/>
        </w:rPr>
        <w:t xml:space="preserve"> </w:t>
      </w:r>
      <w:r w:rsidRPr="00B004EE">
        <w:rPr>
          <w:rFonts w:ascii="Tahoma" w:hAnsi="Tahoma" w:cs="Tahoma"/>
          <w:sz w:val="20"/>
          <w:szCs w:val="20"/>
        </w:rPr>
        <w:t>l'acte</w:t>
      </w:r>
      <w:r w:rsidR="00DB1635" w:rsidRPr="00B004EE">
        <w:rPr>
          <w:rFonts w:ascii="Tahoma" w:hAnsi="Tahoma" w:cs="Tahoma"/>
          <w:spacing w:val="16"/>
          <w:sz w:val="20"/>
          <w:szCs w:val="20"/>
        </w:rPr>
        <w:t xml:space="preserve"> </w:t>
      </w:r>
      <w:r w:rsidRPr="00B004EE">
        <w:rPr>
          <w:rFonts w:ascii="Tahoma" w:hAnsi="Tahoma" w:cs="Tahoma"/>
          <w:sz w:val="20"/>
          <w:szCs w:val="20"/>
        </w:rPr>
        <w:t>ou</w:t>
      </w:r>
      <w:r w:rsidR="00DB1635" w:rsidRPr="00B004EE">
        <w:rPr>
          <w:rFonts w:ascii="Tahoma" w:hAnsi="Tahoma" w:cs="Tahoma"/>
          <w:spacing w:val="16"/>
          <w:sz w:val="20"/>
          <w:szCs w:val="20"/>
        </w:rPr>
        <w:t xml:space="preserve"> </w:t>
      </w:r>
      <w:r w:rsidRPr="00B004EE">
        <w:rPr>
          <w:rFonts w:ascii="Tahoma" w:hAnsi="Tahoma" w:cs="Tahoma"/>
          <w:sz w:val="20"/>
          <w:szCs w:val="20"/>
        </w:rPr>
        <w:t>la</w:t>
      </w:r>
      <w:r w:rsidR="00DB1635" w:rsidRPr="00B004EE">
        <w:rPr>
          <w:rFonts w:ascii="Tahoma" w:hAnsi="Tahoma" w:cs="Tahoma"/>
          <w:spacing w:val="16"/>
          <w:sz w:val="20"/>
          <w:szCs w:val="20"/>
        </w:rPr>
        <w:t xml:space="preserve"> </w:t>
      </w:r>
      <w:r w:rsidRPr="00B004EE">
        <w:rPr>
          <w:rFonts w:ascii="Tahoma" w:hAnsi="Tahoma" w:cs="Tahoma"/>
          <w:sz w:val="20"/>
          <w:szCs w:val="20"/>
        </w:rPr>
        <w:t>tentative</w:t>
      </w:r>
      <w:r w:rsidR="00DB1635" w:rsidRPr="00B004EE">
        <w:rPr>
          <w:rFonts w:ascii="Tahoma" w:hAnsi="Tahoma" w:cs="Tahoma"/>
          <w:spacing w:val="16"/>
          <w:sz w:val="20"/>
          <w:szCs w:val="20"/>
        </w:rPr>
        <w:t xml:space="preserve"> </w:t>
      </w:r>
      <w:r w:rsidRPr="00B004EE">
        <w:rPr>
          <w:rFonts w:ascii="Tahoma" w:hAnsi="Tahoma" w:cs="Tahoma"/>
          <w:sz w:val="20"/>
          <w:szCs w:val="20"/>
        </w:rPr>
        <w:t>de</w:t>
      </w:r>
      <w:r w:rsidR="00DB1635" w:rsidRPr="00B004EE">
        <w:rPr>
          <w:rFonts w:ascii="Tahoma" w:hAnsi="Tahoma" w:cs="Tahoma"/>
          <w:spacing w:val="16"/>
          <w:sz w:val="20"/>
          <w:szCs w:val="20"/>
        </w:rPr>
        <w:t xml:space="preserve"> </w:t>
      </w:r>
      <w:r w:rsidRPr="00B004EE">
        <w:rPr>
          <w:rFonts w:ascii="Tahoma" w:hAnsi="Tahoma" w:cs="Tahoma"/>
          <w:sz w:val="20"/>
          <w:szCs w:val="20"/>
        </w:rPr>
        <w:t>capturer,</w:t>
      </w:r>
      <w:r w:rsidR="00DB1635" w:rsidRPr="00B004EE">
        <w:rPr>
          <w:rFonts w:ascii="Tahoma" w:hAnsi="Tahoma" w:cs="Tahoma"/>
          <w:spacing w:val="14"/>
          <w:sz w:val="20"/>
          <w:szCs w:val="20"/>
        </w:rPr>
        <w:t xml:space="preserve"> </w:t>
      </w:r>
      <w:r w:rsidRPr="00B004EE">
        <w:rPr>
          <w:rFonts w:ascii="Tahoma" w:hAnsi="Tahoma" w:cs="Tahoma"/>
          <w:sz w:val="20"/>
          <w:szCs w:val="20"/>
        </w:rPr>
        <w:t>extraire</w:t>
      </w:r>
      <w:r w:rsidR="00DB1635" w:rsidRPr="00B004EE">
        <w:rPr>
          <w:rFonts w:ascii="Tahoma" w:hAnsi="Tahoma" w:cs="Tahoma"/>
          <w:spacing w:val="14"/>
          <w:sz w:val="20"/>
          <w:szCs w:val="20"/>
        </w:rPr>
        <w:t xml:space="preserve"> </w:t>
      </w:r>
      <w:r w:rsidRPr="00B004EE">
        <w:rPr>
          <w:rFonts w:ascii="Tahoma" w:hAnsi="Tahoma" w:cs="Tahoma"/>
          <w:sz w:val="20"/>
          <w:szCs w:val="20"/>
        </w:rPr>
        <w:t>ou</w:t>
      </w:r>
      <w:r w:rsidR="00DB1635" w:rsidRPr="00B004EE">
        <w:rPr>
          <w:rFonts w:ascii="Tahoma" w:hAnsi="Tahoma" w:cs="Tahoma"/>
          <w:spacing w:val="14"/>
          <w:sz w:val="20"/>
          <w:szCs w:val="20"/>
        </w:rPr>
        <w:t xml:space="preserve"> </w:t>
      </w:r>
      <w:r w:rsidRPr="00B004EE">
        <w:rPr>
          <w:rFonts w:ascii="Tahoma" w:hAnsi="Tahoma" w:cs="Tahoma"/>
          <w:sz w:val="20"/>
          <w:szCs w:val="20"/>
        </w:rPr>
        <w:t>tuer,</w:t>
      </w:r>
      <w:r w:rsidR="00DB1635" w:rsidRPr="00B004EE">
        <w:rPr>
          <w:rFonts w:ascii="Tahoma" w:hAnsi="Tahoma" w:cs="Tahoma"/>
          <w:spacing w:val="14"/>
          <w:sz w:val="20"/>
          <w:szCs w:val="20"/>
        </w:rPr>
        <w:t xml:space="preserve"> </w:t>
      </w:r>
      <w:r w:rsidRPr="00B004EE">
        <w:rPr>
          <w:rFonts w:ascii="Tahoma" w:hAnsi="Tahoma" w:cs="Tahoma"/>
          <w:sz w:val="20"/>
          <w:szCs w:val="20"/>
        </w:rPr>
        <w:t>par</w:t>
      </w:r>
      <w:r w:rsidR="00DB1635" w:rsidRPr="00B004EE">
        <w:rPr>
          <w:rFonts w:ascii="Tahoma" w:hAnsi="Tahoma" w:cs="Tahoma"/>
          <w:spacing w:val="14"/>
          <w:sz w:val="20"/>
          <w:szCs w:val="20"/>
        </w:rPr>
        <w:t xml:space="preserve"> </w:t>
      </w:r>
      <w:r w:rsidRPr="00B004EE">
        <w:rPr>
          <w:rFonts w:ascii="Tahoma" w:hAnsi="Tahoma" w:cs="Tahoma"/>
          <w:sz w:val="20"/>
          <w:szCs w:val="20"/>
        </w:rPr>
        <w:t>quelque</w:t>
      </w:r>
      <w:r w:rsidR="00DB1635" w:rsidRPr="00B004EE">
        <w:rPr>
          <w:rFonts w:ascii="Tahoma" w:hAnsi="Tahoma" w:cs="Tahoma"/>
          <w:w w:val="96"/>
          <w:sz w:val="20"/>
          <w:szCs w:val="20"/>
        </w:rPr>
        <w:t xml:space="preserve"> </w:t>
      </w:r>
      <w:r w:rsidRPr="00B004EE">
        <w:rPr>
          <w:rFonts w:ascii="Tahoma" w:hAnsi="Tahoma" w:cs="Tahoma"/>
          <w:sz w:val="20"/>
          <w:szCs w:val="20"/>
        </w:rPr>
        <w:t>procédé</w:t>
      </w:r>
      <w:r w:rsidR="00DB1635" w:rsidRPr="00B004EE">
        <w:rPr>
          <w:rFonts w:ascii="Tahoma" w:hAnsi="Tahoma" w:cs="Tahoma"/>
          <w:sz w:val="20"/>
          <w:szCs w:val="20"/>
        </w:rPr>
        <w:t xml:space="preserve"> </w:t>
      </w:r>
      <w:r w:rsidRPr="00B004EE">
        <w:rPr>
          <w:rFonts w:ascii="Tahoma" w:hAnsi="Tahoma" w:cs="Tahoma"/>
          <w:sz w:val="20"/>
          <w:szCs w:val="20"/>
        </w:rPr>
        <w:t>que</w:t>
      </w:r>
      <w:r w:rsidR="00DB1635" w:rsidRPr="00B004EE">
        <w:rPr>
          <w:rFonts w:ascii="Tahoma" w:hAnsi="Tahoma" w:cs="Tahoma"/>
          <w:sz w:val="20"/>
          <w:szCs w:val="20"/>
        </w:rPr>
        <w:t xml:space="preserve"> </w:t>
      </w:r>
      <w:r w:rsidRPr="00B004EE">
        <w:rPr>
          <w:rFonts w:ascii="Tahoma" w:hAnsi="Tahoma" w:cs="Tahoma"/>
          <w:sz w:val="20"/>
          <w:szCs w:val="20"/>
        </w:rPr>
        <w:t>ce</w:t>
      </w:r>
      <w:r w:rsidR="00DB1635" w:rsidRPr="00B004EE">
        <w:rPr>
          <w:rFonts w:ascii="Tahoma" w:hAnsi="Tahoma" w:cs="Tahoma"/>
          <w:sz w:val="20"/>
          <w:szCs w:val="20"/>
        </w:rPr>
        <w:t xml:space="preserve"> </w:t>
      </w:r>
      <w:r w:rsidRPr="00B004EE">
        <w:rPr>
          <w:rFonts w:ascii="Tahoma" w:hAnsi="Tahoma" w:cs="Tahoma"/>
          <w:sz w:val="20"/>
          <w:szCs w:val="20"/>
        </w:rPr>
        <w:t>soit,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espèces</w:t>
      </w:r>
      <w:r w:rsidR="00DB1635" w:rsidRPr="00B004EE">
        <w:rPr>
          <w:rFonts w:ascii="Tahoma" w:hAnsi="Tahoma" w:cs="Tahoma"/>
          <w:sz w:val="20"/>
          <w:szCs w:val="20"/>
        </w:rPr>
        <w:t xml:space="preserve"> </w:t>
      </w:r>
      <w:r w:rsidRPr="00B004EE">
        <w:rPr>
          <w:rFonts w:ascii="Tahoma" w:hAnsi="Tahoma" w:cs="Tahoma"/>
          <w:sz w:val="20"/>
          <w:szCs w:val="20"/>
        </w:rPr>
        <w:t>vivantes</w:t>
      </w:r>
      <w:r w:rsidR="00DB1635" w:rsidRPr="00B004EE">
        <w:rPr>
          <w:rFonts w:ascii="Tahoma" w:hAnsi="Tahoma" w:cs="Tahoma"/>
          <w:sz w:val="20"/>
          <w:szCs w:val="20"/>
        </w:rPr>
        <w:t xml:space="preserve"> </w:t>
      </w:r>
      <w:r w:rsidRPr="00B004EE">
        <w:rPr>
          <w:rFonts w:ascii="Tahoma" w:hAnsi="Tahoma" w:cs="Tahoma"/>
          <w:sz w:val="20"/>
          <w:szCs w:val="20"/>
        </w:rPr>
        <w:t>dont</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milieu</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vie</w:t>
      </w:r>
      <w:r w:rsidR="00DB1635" w:rsidRPr="00B004EE">
        <w:rPr>
          <w:rFonts w:ascii="Tahoma" w:hAnsi="Tahoma" w:cs="Tahoma"/>
          <w:sz w:val="20"/>
          <w:szCs w:val="20"/>
        </w:rPr>
        <w:t xml:space="preserve"> </w:t>
      </w:r>
      <w:r w:rsidRPr="00B004EE">
        <w:rPr>
          <w:rFonts w:ascii="Tahoma" w:hAnsi="Tahoma" w:cs="Tahoma"/>
          <w:sz w:val="20"/>
          <w:szCs w:val="20"/>
        </w:rPr>
        <w:t>normal</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pacing w:val="22"/>
          <w:sz w:val="20"/>
          <w:szCs w:val="20"/>
        </w:rPr>
        <w:t xml:space="preserve"> </w:t>
      </w:r>
      <w:r w:rsidRPr="00B004EE">
        <w:rPr>
          <w:rFonts w:ascii="Tahoma" w:hAnsi="Tahoma" w:cs="Tahoma"/>
          <w:sz w:val="20"/>
          <w:szCs w:val="20"/>
        </w:rPr>
        <w:t>plus</w:t>
      </w:r>
      <w:r w:rsidR="00DB1635" w:rsidRPr="00B004EE">
        <w:rPr>
          <w:rFonts w:ascii="Tahoma" w:hAnsi="Tahoma" w:cs="Tahoma"/>
          <w:w w:val="96"/>
          <w:sz w:val="20"/>
          <w:szCs w:val="20"/>
        </w:rPr>
        <w:t xml:space="preserve"> </w:t>
      </w:r>
      <w:r w:rsidRPr="00B004EE">
        <w:rPr>
          <w:rFonts w:ascii="Tahoma" w:hAnsi="Tahoma" w:cs="Tahoma"/>
          <w:sz w:val="20"/>
          <w:szCs w:val="20"/>
        </w:rPr>
        <w:t>fréquent</w:t>
      </w:r>
      <w:r w:rsidR="00DB1635" w:rsidRPr="00B004EE">
        <w:rPr>
          <w:rFonts w:ascii="Tahoma" w:hAnsi="Tahoma" w:cs="Tahoma"/>
          <w:spacing w:val="-26"/>
          <w:sz w:val="20"/>
          <w:szCs w:val="20"/>
        </w:rPr>
        <w:t xml:space="preserve"> </w:t>
      </w:r>
      <w:r w:rsidRPr="00B004EE">
        <w:rPr>
          <w:rFonts w:ascii="Tahoma" w:hAnsi="Tahoma" w:cs="Tahoma"/>
          <w:sz w:val="20"/>
          <w:szCs w:val="20"/>
        </w:rPr>
        <w:t>est</w:t>
      </w:r>
      <w:r w:rsidR="00DB1635" w:rsidRPr="00B004EE">
        <w:rPr>
          <w:rFonts w:ascii="Tahoma" w:hAnsi="Tahoma" w:cs="Tahoma"/>
          <w:spacing w:val="-26"/>
          <w:sz w:val="20"/>
          <w:szCs w:val="20"/>
        </w:rPr>
        <w:t xml:space="preserve"> </w:t>
      </w:r>
      <w:r w:rsidRPr="00B004EE">
        <w:rPr>
          <w:rFonts w:ascii="Tahoma" w:hAnsi="Tahoma" w:cs="Tahoma"/>
          <w:sz w:val="20"/>
          <w:szCs w:val="20"/>
        </w:rPr>
        <w:t>l'eau.</w:t>
      </w:r>
    </w:p>
    <w:p w14:paraId="306C2456" w14:textId="62DF9629" w:rsidR="001E7C3C" w:rsidRPr="00B004EE" w:rsidRDefault="001E7C3C" w:rsidP="00B004EE">
      <w:pPr>
        <w:pStyle w:val="Corpsdetexte"/>
        <w:ind w:right="167"/>
        <w:rPr>
          <w:rFonts w:ascii="Tahoma" w:hAnsi="Tahoma" w:cs="Tahoma"/>
          <w:sz w:val="20"/>
          <w:szCs w:val="20"/>
        </w:rPr>
      </w:pPr>
      <w:r w:rsidRPr="00B004EE">
        <w:rPr>
          <w:rFonts w:ascii="Tahoma" w:hAnsi="Tahoma" w:cs="Tahoma"/>
          <w:sz w:val="20"/>
          <w:szCs w:val="20"/>
        </w:rPr>
        <w:t>Sont</w:t>
      </w:r>
      <w:r w:rsidR="00DB1635" w:rsidRPr="00B004EE">
        <w:rPr>
          <w:rFonts w:ascii="Tahoma" w:hAnsi="Tahoma" w:cs="Tahoma"/>
          <w:spacing w:val="-12"/>
          <w:sz w:val="20"/>
          <w:szCs w:val="20"/>
        </w:rPr>
        <w:t xml:space="preserve"> </w:t>
      </w:r>
      <w:r w:rsidRPr="00B004EE">
        <w:rPr>
          <w:rFonts w:ascii="Tahoma" w:hAnsi="Tahoma" w:cs="Tahoma"/>
          <w:sz w:val="20"/>
          <w:szCs w:val="20"/>
        </w:rPr>
        <w:t>assimilées</w:t>
      </w:r>
      <w:r w:rsidR="00DB1635" w:rsidRPr="00B004EE">
        <w:rPr>
          <w:rFonts w:ascii="Tahoma" w:hAnsi="Tahoma" w:cs="Tahoma"/>
          <w:spacing w:val="-14"/>
          <w:sz w:val="20"/>
          <w:szCs w:val="20"/>
        </w:rPr>
        <w:t xml:space="preserve"> </w:t>
      </w:r>
      <w:r w:rsidRPr="00B004EE">
        <w:rPr>
          <w:rFonts w:ascii="Tahoma" w:hAnsi="Tahoma" w:cs="Tahoma"/>
          <w:sz w:val="20"/>
          <w:szCs w:val="20"/>
        </w:rPr>
        <w:t>à</w:t>
      </w:r>
      <w:r w:rsidR="00DB1635" w:rsidRPr="00B004EE">
        <w:rPr>
          <w:rFonts w:ascii="Tahoma" w:hAnsi="Tahoma" w:cs="Tahoma"/>
          <w:spacing w:val="-14"/>
          <w:sz w:val="20"/>
          <w:szCs w:val="20"/>
        </w:rPr>
        <w:t xml:space="preserve"> </w:t>
      </w:r>
      <w:r w:rsidRPr="00B004EE">
        <w:rPr>
          <w:rFonts w:ascii="Tahoma" w:hAnsi="Tahoma" w:cs="Tahoma"/>
          <w:sz w:val="20"/>
          <w:szCs w:val="20"/>
        </w:rPr>
        <w:t>la</w:t>
      </w:r>
      <w:r w:rsidR="00DB1635" w:rsidRPr="00B004EE">
        <w:rPr>
          <w:rFonts w:ascii="Tahoma" w:hAnsi="Tahoma" w:cs="Tahoma"/>
          <w:spacing w:val="-14"/>
          <w:sz w:val="20"/>
          <w:szCs w:val="20"/>
        </w:rPr>
        <w:t xml:space="preserve"> </w:t>
      </w:r>
      <w:r w:rsidRPr="00B004EE">
        <w:rPr>
          <w:rFonts w:ascii="Tahoma" w:hAnsi="Tahoma" w:cs="Tahoma"/>
          <w:sz w:val="20"/>
          <w:szCs w:val="20"/>
        </w:rPr>
        <w:t>pêche</w:t>
      </w:r>
      <w:r w:rsidR="00DB1635" w:rsidRPr="00B004EE">
        <w:rPr>
          <w:rFonts w:ascii="Tahoma" w:hAnsi="Tahoma" w:cs="Tahoma"/>
          <w:spacing w:val="-14"/>
          <w:sz w:val="20"/>
          <w:szCs w:val="20"/>
        </w:rPr>
        <w:t xml:space="preserve"> </w:t>
      </w:r>
      <w:r w:rsidRPr="00B004EE">
        <w:rPr>
          <w:rFonts w:ascii="Tahoma" w:hAnsi="Tahoma" w:cs="Tahoma"/>
          <w:sz w:val="20"/>
          <w:szCs w:val="20"/>
        </w:rPr>
        <w:t>les</w:t>
      </w:r>
      <w:r w:rsidR="00DB1635" w:rsidRPr="00B004EE">
        <w:rPr>
          <w:rFonts w:ascii="Tahoma" w:hAnsi="Tahoma" w:cs="Tahoma"/>
          <w:spacing w:val="-14"/>
          <w:sz w:val="20"/>
          <w:szCs w:val="20"/>
        </w:rPr>
        <w:t xml:space="preserve"> </w:t>
      </w:r>
      <w:r w:rsidRPr="00B004EE">
        <w:rPr>
          <w:rFonts w:ascii="Tahoma" w:hAnsi="Tahoma" w:cs="Tahoma"/>
          <w:sz w:val="20"/>
          <w:szCs w:val="20"/>
        </w:rPr>
        <w:t>activités</w:t>
      </w:r>
      <w:r w:rsidR="00DB1635" w:rsidRPr="00B004EE">
        <w:rPr>
          <w:rFonts w:ascii="Tahoma" w:hAnsi="Tahoma" w:cs="Tahoma"/>
          <w:spacing w:val="-14"/>
          <w:sz w:val="20"/>
          <w:szCs w:val="20"/>
        </w:rPr>
        <w:t xml:space="preserve"> </w:t>
      </w:r>
      <w:r w:rsidRPr="00B004EE">
        <w:rPr>
          <w:rFonts w:ascii="Tahoma" w:hAnsi="Tahoma" w:cs="Tahoma"/>
          <w:sz w:val="20"/>
          <w:szCs w:val="20"/>
        </w:rPr>
        <w:t>suivantes</w:t>
      </w:r>
      <w:r w:rsidR="00DB1635" w:rsidRPr="00B004EE">
        <w:rPr>
          <w:rFonts w:ascii="Tahoma" w:hAnsi="Tahoma" w:cs="Tahoma"/>
          <w:spacing w:val="-14"/>
          <w:sz w:val="20"/>
          <w:szCs w:val="20"/>
        </w:rPr>
        <w:t xml:space="preserve"> </w:t>
      </w:r>
      <w:r w:rsidRPr="00B004EE">
        <w:rPr>
          <w:rFonts w:ascii="Tahoma" w:hAnsi="Tahoma" w:cs="Tahoma"/>
          <w:sz w:val="20"/>
          <w:szCs w:val="20"/>
        </w:rPr>
        <w:t>et</w:t>
      </w:r>
      <w:r w:rsidR="00DB1635" w:rsidRPr="00B004EE">
        <w:rPr>
          <w:rFonts w:ascii="Tahoma" w:hAnsi="Tahoma" w:cs="Tahoma"/>
          <w:spacing w:val="-14"/>
          <w:sz w:val="20"/>
          <w:szCs w:val="20"/>
        </w:rPr>
        <w:t xml:space="preserve"> </w:t>
      </w:r>
      <w:r w:rsidRPr="00B004EE">
        <w:rPr>
          <w:rFonts w:ascii="Tahoma" w:hAnsi="Tahoma" w:cs="Tahoma"/>
          <w:sz w:val="20"/>
          <w:szCs w:val="20"/>
        </w:rPr>
        <w:t>celles</w:t>
      </w:r>
      <w:r w:rsidR="00DB1635" w:rsidRPr="00B004EE">
        <w:rPr>
          <w:rFonts w:ascii="Tahoma" w:hAnsi="Tahoma" w:cs="Tahoma"/>
          <w:spacing w:val="-14"/>
          <w:sz w:val="20"/>
          <w:szCs w:val="20"/>
        </w:rPr>
        <w:t xml:space="preserve"> </w:t>
      </w:r>
      <w:r w:rsidRPr="00B004EE">
        <w:rPr>
          <w:rFonts w:ascii="Tahoma" w:hAnsi="Tahoma" w:cs="Tahoma"/>
          <w:sz w:val="20"/>
          <w:szCs w:val="20"/>
        </w:rPr>
        <w:t>entrant</w:t>
      </w:r>
      <w:r w:rsidR="00DB1635" w:rsidRPr="00B004EE">
        <w:rPr>
          <w:rFonts w:ascii="Tahoma" w:hAnsi="Tahoma" w:cs="Tahoma"/>
          <w:spacing w:val="-14"/>
          <w:sz w:val="20"/>
          <w:szCs w:val="20"/>
        </w:rPr>
        <w:t xml:space="preserve"> </w:t>
      </w:r>
      <w:r w:rsidRPr="00B004EE">
        <w:rPr>
          <w:rFonts w:ascii="Tahoma" w:hAnsi="Tahoma" w:cs="Tahoma"/>
          <w:sz w:val="20"/>
          <w:szCs w:val="20"/>
        </w:rPr>
        <w:t>dans</w:t>
      </w:r>
      <w:r w:rsidR="00DB1635" w:rsidRPr="00B004EE">
        <w:rPr>
          <w:rFonts w:ascii="Tahoma" w:hAnsi="Tahoma" w:cs="Tahoma"/>
          <w:spacing w:val="-14"/>
          <w:sz w:val="20"/>
          <w:szCs w:val="20"/>
        </w:rPr>
        <w:t xml:space="preserve"> </w:t>
      </w:r>
      <w:r w:rsidRPr="00B004EE">
        <w:rPr>
          <w:rFonts w:ascii="Tahoma" w:hAnsi="Tahoma" w:cs="Tahoma"/>
          <w:sz w:val="20"/>
          <w:szCs w:val="20"/>
        </w:rPr>
        <w:t>le</w:t>
      </w:r>
      <w:r w:rsidR="00DB1635" w:rsidRPr="00B004EE">
        <w:rPr>
          <w:rFonts w:ascii="Tahoma" w:hAnsi="Tahoma" w:cs="Tahoma"/>
          <w:spacing w:val="-14"/>
          <w:sz w:val="20"/>
          <w:szCs w:val="20"/>
        </w:rPr>
        <w:t xml:space="preserve"> </w:t>
      </w:r>
      <w:r w:rsidRPr="00B004EE">
        <w:rPr>
          <w:rFonts w:ascii="Tahoma" w:hAnsi="Tahoma" w:cs="Tahoma"/>
          <w:sz w:val="20"/>
          <w:szCs w:val="20"/>
        </w:rPr>
        <w:t>cadre</w:t>
      </w:r>
      <w:r w:rsidR="00DB1635" w:rsidRPr="00B004EE">
        <w:rPr>
          <w:rFonts w:ascii="Tahoma" w:hAnsi="Tahoma" w:cs="Tahoma"/>
          <w:spacing w:val="-14"/>
          <w:sz w:val="20"/>
          <w:szCs w:val="20"/>
        </w:rPr>
        <w:t xml:space="preserve"> </w:t>
      </w:r>
      <w:r w:rsidRPr="00B004EE">
        <w:rPr>
          <w:rFonts w:ascii="Tahoma" w:hAnsi="Tahoma" w:cs="Tahoma"/>
          <w:sz w:val="20"/>
          <w:szCs w:val="20"/>
        </w:rPr>
        <w:t>de</w:t>
      </w:r>
      <w:r w:rsidR="00DB1635" w:rsidRPr="00B004EE">
        <w:rPr>
          <w:rFonts w:ascii="Tahoma" w:hAnsi="Tahoma" w:cs="Tahoma"/>
          <w:w w:val="94"/>
          <w:sz w:val="20"/>
          <w:szCs w:val="20"/>
        </w:rPr>
        <w:t xml:space="preserve"> </w:t>
      </w:r>
      <w:r w:rsidRPr="00B004EE">
        <w:rPr>
          <w:rFonts w:ascii="Tahoma" w:hAnsi="Tahoma" w:cs="Tahoma"/>
          <w:sz w:val="20"/>
          <w:szCs w:val="20"/>
        </w:rPr>
        <w:t>leur</w:t>
      </w:r>
      <w:r w:rsidR="00DB1635" w:rsidRPr="00B004EE">
        <w:rPr>
          <w:rFonts w:ascii="Tahoma" w:hAnsi="Tahoma" w:cs="Tahoma"/>
          <w:spacing w:val="-38"/>
          <w:sz w:val="20"/>
          <w:szCs w:val="20"/>
        </w:rPr>
        <w:t xml:space="preserve"> </w:t>
      </w:r>
      <w:r w:rsidRPr="00B004EE">
        <w:rPr>
          <w:rFonts w:ascii="Tahoma" w:hAnsi="Tahoma" w:cs="Tahoma"/>
          <w:sz w:val="20"/>
          <w:szCs w:val="20"/>
        </w:rPr>
        <w:t>préparation</w:t>
      </w:r>
      <w:r w:rsidR="00DB1635" w:rsidRPr="00B004EE">
        <w:rPr>
          <w:rFonts w:ascii="Tahoma" w:hAnsi="Tahoma" w:cs="Tahoma"/>
          <w:spacing w:val="-37"/>
          <w:sz w:val="20"/>
          <w:szCs w:val="20"/>
        </w:rPr>
        <w:t xml:space="preserve"> </w:t>
      </w:r>
      <w:r w:rsidRPr="00B004EE">
        <w:rPr>
          <w:rFonts w:ascii="Tahoma" w:hAnsi="Tahoma" w:cs="Tahoma"/>
          <w:sz w:val="20"/>
          <w:szCs w:val="20"/>
        </w:rPr>
        <w:t>:</w:t>
      </w:r>
    </w:p>
    <w:p w14:paraId="52BBEA31" w14:textId="12CF1835" w:rsidR="00337E3A" w:rsidRPr="00B004EE" w:rsidRDefault="001E7C3C" w:rsidP="00420DDA">
      <w:pPr>
        <w:pStyle w:val="Paragraphedeliste"/>
        <w:widowControl w:val="0"/>
        <w:numPr>
          <w:ilvl w:val="0"/>
          <w:numId w:val="44"/>
        </w:numPr>
        <w:tabs>
          <w:tab w:val="left" w:pos="1154"/>
        </w:tabs>
        <w:ind w:left="567" w:right="50"/>
        <w:jc w:val="both"/>
        <w:rPr>
          <w:rFonts w:ascii="Tahoma" w:eastAsia="American Typewriter" w:hAnsi="Tahoma" w:cs="Tahoma"/>
          <w:sz w:val="20"/>
          <w:szCs w:val="20"/>
        </w:rPr>
      </w:pPr>
      <w:proofErr w:type="gramStart"/>
      <w:r w:rsidRPr="00B004EE">
        <w:rPr>
          <w:rFonts w:ascii="Tahoma" w:hAnsi="Tahoma" w:cs="Tahoma"/>
          <w:sz w:val="20"/>
          <w:szCs w:val="20"/>
        </w:rPr>
        <w:t>les</w:t>
      </w:r>
      <w:proofErr w:type="gramEnd"/>
      <w:r w:rsidR="00DB1635" w:rsidRPr="00B004EE">
        <w:rPr>
          <w:rFonts w:ascii="Tahoma" w:hAnsi="Tahoma" w:cs="Tahoma"/>
          <w:spacing w:val="-26"/>
          <w:sz w:val="20"/>
          <w:szCs w:val="20"/>
        </w:rPr>
        <w:t xml:space="preserve"> </w:t>
      </w:r>
      <w:r w:rsidRPr="00B004EE">
        <w:rPr>
          <w:rFonts w:ascii="Tahoma" w:hAnsi="Tahoma" w:cs="Tahoma"/>
          <w:sz w:val="20"/>
          <w:szCs w:val="20"/>
        </w:rPr>
        <w:t>activités</w:t>
      </w:r>
      <w:r w:rsidR="00DB1635" w:rsidRPr="00B004EE">
        <w:rPr>
          <w:rFonts w:ascii="Tahoma" w:hAnsi="Tahoma" w:cs="Tahoma"/>
          <w:spacing w:val="-26"/>
          <w:sz w:val="20"/>
          <w:szCs w:val="20"/>
        </w:rPr>
        <w:t xml:space="preserve"> </w:t>
      </w:r>
      <w:r w:rsidRPr="00B004EE">
        <w:rPr>
          <w:rFonts w:ascii="Tahoma" w:hAnsi="Tahoma" w:cs="Tahoma"/>
          <w:sz w:val="20"/>
          <w:szCs w:val="20"/>
        </w:rPr>
        <w:t>préalables</w:t>
      </w:r>
      <w:r w:rsidR="00DB1635" w:rsidRPr="00B004EE">
        <w:rPr>
          <w:rFonts w:ascii="Tahoma" w:hAnsi="Tahoma" w:cs="Tahoma"/>
          <w:spacing w:val="-26"/>
          <w:sz w:val="20"/>
          <w:szCs w:val="20"/>
        </w:rPr>
        <w:t xml:space="preserve"> </w:t>
      </w:r>
      <w:r w:rsidRPr="00B004EE">
        <w:rPr>
          <w:rFonts w:ascii="Tahoma" w:hAnsi="Tahoma" w:cs="Tahoma"/>
          <w:sz w:val="20"/>
          <w:szCs w:val="20"/>
        </w:rPr>
        <w:t>ayant</w:t>
      </w:r>
      <w:r w:rsidR="00DB1635" w:rsidRPr="00B004EE">
        <w:rPr>
          <w:rFonts w:ascii="Tahoma" w:hAnsi="Tahoma" w:cs="Tahoma"/>
          <w:spacing w:val="-27"/>
          <w:sz w:val="20"/>
          <w:szCs w:val="20"/>
        </w:rPr>
        <w:t xml:space="preserve"> </w:t>
      </w:r>
      <w:r w:rsidRPr="00B004EE">
        <w:rPr>
          <w:rFonts w:ascii="Tahoma" w:hAnsi="Tahoma" w:cs="Tahoma"/>
          <w:sz w:val="20"/>
          <w:szCs w:val="20"/>
        </w:rPr>
        <w:t>pour</w:t>
      </w:r>
      <w:r w:rsidR="00DB1635" w:rsidRPr="00B004EE">
        <w:rPr>
          <w:rFonts w:ascii="Tahoma" w:hAnsi="Tahoma" w:cs="Tahoma"/>
          <w:spacing w:val="-28"/>
          <w:sz w:val="20"/>
          <w:szCs w:val="20"/>
        </w:rPr>
        <w:t xml:space="preserve"> </w:t>
      </w:r>
      <w:r w:rsidRPr="00B004EE">
        <w:rPr>
          <w:rFonts w:ascii="Tahoma" w:hAnsi="Tahoma" w:cs="Tahoma"/>
          <w:sz w:val="20"/>
          <w:szCs w:val="20"/>
        </w:rPr>
        <w:t>finalité</w:t>
      </w:r>
      <w:r w:rsidR="00DB1635" w:rsidRPr="00B004EE">
        <w:rPr>
          <w:rFonts w:ascii="Tahoma" w:hAnsi="Tahoma" w:cs="Tahoma"/>
          <w:spacing w:val="-27"/>
          <w:sz w:val="20"/>
          <w:szCs w:val="20"/>
        </w:rPr>
        <w:t xml:space="preserve"> </w:t>
      </w:r>
      <w:r w:rsidRPr="00B004EE">
        <w:rPr>
          <w:rFonts w:ascii="Tahoma" w:hAnsi="Tahoma" w:cs="Tahoma"/>
          <w:sz w:val="20"/>
          <w:szCs w:val="20"/>
        </w:rPr>
        <w:t>directe</w:t>
      </w:r>
      <w:r w:rsidR="00DB1635" w:rsidRPr="00B004EE">
        <w:rPr>
          <w:rFonts w:ascii="Tahoma" w:hAnsi="Tahoma" w:cs="Tahoma"/>
          <w:spacing w:val="-27"/>
          <w:sz w:val="20"/>
          <w:szCs w:val="20"/>
        </w:rPr>
        <w:t xml:space="preserve"> </w:t>
      </w:r>
      <w:r w:rsidRPr="00B004EE">
        <w:rPr>
          <w:rFonts w:ascii="Tahoma" w:hAnsi="Tahoma" w:cs="Tahoma"/>
          <w:sz w:val="20"/>
          <w:szCs w:val="20"/>
        </w:rPr>
        <w:t>la</w:t>
      </w:r>
      <w:r w:rsidR="00DB1635" w:rsidRPr="00B004EE">
        <w:rPr>
          <w:rFonts w:ascii="Tahoma" w:hAnsi="Tahoma" w:cs="Tahoma"/>
          <w:spacing w:val="-27"/>
          <w:sz w:val="20"/>
          <w:szCs w:val="20"/>
        </w:rPr>
        <w:t xml:space="preserve"> </w:t>
      </w:r>
      <w:r w:rsidRPr="00B004EE">
        <w:rPr>
          <w:rFonts w:ascii="Tahoma" w:hAnsi="Tahoma" w:cs="Tahoma"/>
          <w:sz w:val="20"/>
          <w:szCs w:val="20"/>
        </w:rPr>
        <w:t>pêche,</w:t>
      </w:r>
      <w:r w:rsidR="00DB1635" w:rsidRPr="00B004EE">
        <w:rPr>
          <w:rFonts w:ascii="Tahoma" w:hAnsi="Tahoma" w:cs="Tahoma"/>
          <w:spacing w:val="-27"/>
          <w:sz w:val="20"/>
          <w:szCs w:val="20"/>
        </w:rPr>
        <w:t xml:space="preserve"> </w:t>
      </w:r>
      <w:r w:rsidRPr="00B004EE">
        <w:rPr>
          <w:rFonts w:ascii="Tahoma" w:hAnsi="Tahoma" w:cs="Tahoma"/>
          <w:sz w:val="20"/>
          <w:szCs w:val="20"/>
        </w:rPr>
        <w:t>le</w:t>
      </w:r>
      <w:r w:rsidR="00DB1635" w:rsidRPr="00B004EE">
        <w:rPr>
          <w:rFonts w:ascii="Tahoma" w:hAnsi="Tahoma" w:cs="Tahoma"/>
          <w:spacing w:val="-27"/>
          <w:sz w:val="20"/>
          <w:szCs w:val="20"/>
        </w:rPr>
        <w:t xml:space="preserve"> </w:t>
      </w:r>
      <w:r w:rsidRPr="00B004EE">
        <w:rPr>
          <w:rFonts w:ascii="Tahoma" w:hAnsi="Tahoma" w:cs="Tahoma"/>
          <w:sz w:val="20"/>
          <w:szCs w:val="20"/>
        </w:rPr>
        <w:t>déploiement</w:t>
      </w:r>
      <w:r w:rsidR="00DB1635" w:rsidRPr="00B004EE">
        <w:rPr>
          <w:rFonts w:ascii="Tahoma" w:hAnsi="Tahoma" w:cs="Tahoma"/>
          <w:w w:val="95"/>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retrait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dispositifs</w:t>
      </w:r>
      <w:r w:rsidR="00DB1635" w:rsidRPr="00B004EE">
        <w:rPr>
          <w:rFonts w:ascii="Tahoma" w:hAnsi="Tahoma" w:cs="Tahoma"/>
          <w:sz w:val="20"/>
          <w:szCs w:val="20"/>
        </w:rPr>
        <w:t xml:space="preserve"> </w:t>
      </w:r>
      <w:r w:rsidRPr="00B004EE">
        <w:rPr>
          <w:rFonts w:ascii="Tahoma" w:hAnsi="Tahoma" w:cs="Tahoma"/>
          <w:sz w:val="20"/>
          <w:szCs w:val="20"/>
        </w:rPr>
        <w:t>destinés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attirer</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poisson</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pacing w:val="30"/>
          <w:sz w:val="20"/>
          <w:szCs w:val="20"/>
        </w:rPr>
        <w:t xml:space="preserve"> </w:t>
      </w:r>
      <w:r w:rsidRPr="00B004EE">
        <w:rPr>
          <w:rFonts w:ascii="Tahoma" w:hAnsi="Tahoma" w:cs="Tahoma"/>
          <w:sz w:val="20"/>
          <w:szCs w:val="20"/>
        </w:rPr>
        <w:t>autres</w:t>
      </w:r>
      <w:r w:rsidR="00DB1635" w:rsidRPr="00B004EE">
        <w:rPr>
          <w:rFonts w:ascii="Tahoma" w:hAnsi="Tahoma" w:cs="Tahoma"/>
          <w:w w:val="94"/>
          <w:sz w:val="20"/>
          <w:szCs w:val="20"/>
        </w:rPr>
        <w:t xml:space="preserve"> </w:t>
      </w:r>
      <w:r w:rsidRPr="00B004EE">
        <w:rPr>
          <w:rFonts w:ascii="Tahoma" w:hAnsi="Tahoma" w:cs="Tahoma"/>
          <w:sz w:val="20"/>
          <w:szCs w:val="20"/>
        </w:rPr>
        <w:t>organismes</w:t>
      </w:r>
      <w:r w:rsidR="00DB1635" w:rsidRPr="00B004EE">
        <w:rPr>
          <w:rFonts w:ascii="Tahoma" w:hAnsi="Tahoma" w:cs="Tahoma"/>
          <w:sz w:val="20"/>
          <w:szCs w:val="20"/>
        </w:rPr>
        <w:t xml:space="preserve"> </w:t>
      </w:r>
      <w:r w:rsidRPr="00B004EE">
        <w:rPr>
          <w:rFonts w:ascii="Tahoma" w:hAnsi="Tahoma" w:cs="Tahoma"/>
          <w:sz w:val="20"/>
          <w:szCs w:val="20"/>
        </w:rPr>
        <w:t>aquatiques</w:t>
      </w:r>
      <w:r w:rsidR="00DB1635" w:rsidRPr="00B004EE">
        <w:rPr>
          <w:rFonts w:ascii="Tahoma" w:hAnsi="Tahoma" w:cs="Tahoma"/>
          <w:spacing w:val="11"/>
          <w:sz w:val="20"/>
          <w:szCs w:val="20"/>
        </w:rPr>
        <w:t xml:space="preserve"> </w:t>
      </w:r>
      <w:r w:rsidRPr="00B004EE">
        <w:rPr>
          <w:rFonts w:ascii="Tahoma" w:hAnsi="Tahoma" w:cs="Tahoma"/>
          <w:sz w:val="20"/>
          <w:szCs w:val="20"/>
        </w:rPr>
        <w:t>;</w:t>
      </w:r>
    </w:p>
    <w:p w14:paraId="23F5BF88" w14:textId="1FE485B3" w:rsidR="001E7C3C" w:rsidRPr="00B004EE" w:rsidRDefault="001E7C3C" w:rsidP="00420DDA">
      <w:pPr>
        <w:pStyle w:val="Paragraphedeliste"/>
        <w:widowControl w:val="0"/>
        <w:numPr>
          <w:ilvl w:val="0"/>
          <w:numId w:val="44"/>
        </w:numPr>
        <w:tabs>
          <w:tab w:val="left" w:pos="1154"/>
        </w:tabs>
        <w:ind w:left="567" w:right="50"/>
        <w:jc w:val="both"/>
        <w:rPr>
          <w:rFonts w:ascii="Tahoma" w:eastAsia="American Typewriter" w:hAnsi="Tahoma" w:cs="Tahoma"/>
          <w:sz w:val="20"/>
          <w:szCs w:val="20"/>
        </w:rPr>
      </w:pP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activités</w:t>
      </w:r>
      <w:r w:rsidR="00DB1635" w:rsidRPr="00B004EE">
        <w:rPr>
          <w:rFonts w:ascii="Tahoma" w:hAnsi="Tahoma" w:cs="Tahoma"/>
          <w:sz w:val="20"/>
          <w:szCs w:val="20"/>
        </w:rPr>
        <w:t xml:space="preserve"> </w:t>
      </w:r>
      <w:r w:rsidRPr="00B004EE">
        <w:rPr>
          <w:rFonts w:ascii="Tahoma" w:hAnsi="Tahoma" w:cs="Tahoma"/>
          <w:sz w:val="20"/>
          <w:szCs w:val="20"/>
        </w:rPr>
        <w:t>ultérieures</w:t>
      </w:r>
      <w:r w:rsidR="00DB1635" w:rsidRPr="00B004EE">
        <w:rPr>
          <w:rFonts w:ascii="Tahoma" w:hAnsi="Tahoma" w:cs="Tahoma"/>
          <w:sz w:val="20"/>
          <w:szCs w:val="20"/>
        </w:rPr>
        <w:t xml:space="preserve"> </w:t>
      </w:r>
      <w:r w:rsidRPr="00B004EE">
        <w:rPr>
          <w:rFonts w:ascii="Tahoma" w:hAnsi="Tahoma" w:cs="Tahoma"/>
          <w:sz w:val="20"/>
          <w:szCs w:val="20"/>
        </w:rPr>
        <w:t>exercées</w:t>
      </w:r>
      <w:r w:rsidR="00DB1635" w:rsidRPr="00B004EE">
        <w:rPr>
          <w:rFonts w:ascii="Tahoma" w:hAnsi="Tahoma" w:cs="Tahoma"/>
          <w:sz w:val="20"/>
          <w:szCs w:val="20"/>
        </w:rPr>
        <w:t xml:space="preserve"> </w:t>
      </w:r>
      <w:r w:rsidRPr="00B004EE">
        <w:rPr>
          <w:rFonts w:ascii="Tahoma" w:hAnsi="Tahoma" w:cs="Tahoma"/>
          <w:sz w:val="20"/>
          <w:szCs w:val="20"/>
        </w:rPr>
        <w:t>directement</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immédiatement</w:t>
      </w:r>
      <w:r w:rsidR="00DB1635" w:rsidRPr="00B004EE">
        <w:rPr>
          <w:rFonts w:ascii="Tahoma" w:hAnsi="Tahoma" w:cs="Tahoma"/>
          <w:sz w:val="20"/>
          <w:szCs w:val="20"/>
        </w:rPr>
        <w:t xml:space="preserve"> </w:t>
      </w:r>
      <w:r w:rsidRPr="00B004EE">
        <w:rPr>
          <w:rFonts w:ascii="Tahoma" w:hAnsi="Tahoma" w:cs="Tahoma"/>
          <w:sz w:val="20"/>
          <w:szCs w:val="20"/>
        </w:rPr>
        <w:t>sur</w:t>
      </w:r>
      <w:r w:rsidR="00DB1635" w:rsidRPr="00B004EE">
        <w:rPr>
          <w:rFonts w:ascii="Tahoma" w:hAnsi="Tahoma" w:cs="Tahoma"/>
          <w:spacing w:val="-1"/>
          <w:sz w:val="20"/>
          <w:szCs w:val="20"/>
        </w:rPr>
        <w:t xml:space="preserve"> </w:t>
      </w:r>
      <w:r w:rsidRPr="00B004EE">
        <w:rPr>
          <w:rFonts w:ascii="Tahoma" w:hAnsi="Tahoma" w:cs="Tahoma"/>
          <w:sz w:val="20"/>
          <w:szCs w:val="20"/>
        </w:rPr>
        <w:t>les</w:t>
      </w:r>
      <w:r w:rsidR="00DB1635" w:rsidRPr="00B004EE">
        <w:rPr>
          <w:rFonts w:ascii="Tahoma" w:hAnsi="Tahoma" w:cs="Tahoma"/>
          <w:w w:val="94"/>
          <w:sz w:val="20"/>
          <w:szCs w:val="20"/>
        </w:rPr>
        <w:t xml:space="preserve"> </w:t>
      </w:r>
      <w:r w:rsidRPr="00B004EE">
        <w:rPr>
          <w:rFonts w:ascii="Tahoma" w:hAnsi="Tahoma" w:cs="Tahoma"/>
          <w:sz w:val="20"/>
          <w:szCs w:val="20"/>
        </w:rPr>
        <w:t>espèces</w:t>
      </w:r>
      <w:r w:rsidR="00DB1635" w:rsidRPr="00B004EE">
        <w:rPr>
          <w:rFonts w:ascii="Tahoma" w:hAnsi="Tahoma" w:cs="Tahoma"/>
          <w:sz w:val="20"/>
          <w:szCs w:val="20"/>
        </w:rPr>
        <w:t xml:space="preserve"> </w:t>
      </w:r>
      <w:r w:rsidRPr="00B004EE">
        <w:rPr>
          <w:rFonts w:ascii="Tahoma" w:hAnsi="Tahoma" w:cs="Tahoma"/>
          <w:sz w:val="20"/>
          <w:szCs w:val="20"/>
        </w:rPr>
        <w:t>extraites,</w:t>
      </w:r>
      <w:r w:rsidR="00DB1635" w:rsidRPr="00B004EE">
        <w:rPr>
          <w:rFonts w:ascii="Tahoma" w:hAnsi="Tahoma" w:cs="Tahoma"/>
          <w:sz w:val="20"/>
          <w:szCs w:val="20"/>
        </w:rPr>
        <w:t xml:space="preserve"> </w:t>
      </w:r>
      <w:r w:rsidRPr="00B004EE">
        <w:rPr>
          <w:rFonts w:ascii="Tahoma" w:hAnsi="Tahoma" w:cs="Tahoma"/>
          <w:sz w:val="20"/>
          <w:szCs w:val="20"/>
        </w:rPr>
        <w:t>capturées</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mortes,</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transbordement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pacing w:val="2"/>
          <w:sz w:val="20"/>
          <w:szCs w:val="20"/>
        </w:rPr>
        <w:t xml:space="preserve"> </w:t>
      </w:r>
      <w:r w:rsidRPr="00B004EE">
        <w:rPr>
          <w:rFonts w:ascii="Tahoma" w:hAnsi="Tahoma" w:cs="Tahoma"/>
          <w:sz w:val="20"/>
          <w:szCs w:val="20"/>
        </w:rPr>
        <w:t>captures</w:t>
      </w:r>
      <w:r w:rsidR="00DB1635" w:rsidRPr="00B004EE">
        <w:rPr>
          <w:rFonts w:ascii="Tahoma" w:hAnsi="Tahoma" w:cs="Tahoma"/>
          <w:w w:val="94"/>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eaux</w:t>
      </w:r>
      <w:r w:rsidR="00DB1635" w:rsidRPr="00B004EE">
        <w:rPr>
          <w:rFonts w:ascii="Tahoma" w:hAnsi="Tahoma" w:cs="Tahoma"/>
          <w:sz w:val="20"/>
          <w:szCs w:val="20"/>
        </w:rPr>
        <w:t xml:space="preserve"> </w:t>
      </w:r>
      <w:r w:rsidRPr="00B004EE">
        <w:rPr>
          <w:rFonts w:ascii="Tahoma" w:hAnsi="Tahoma" w:cs="Tahoma"/>
          <w:sz w:val="20"/>
          <w:szCs w:val="20"/>
        </w:rPr>
        <w:t>sous</w:t>
      </w:r>
      <w:r w:rsidR="00DB1635" w:rsidRPr="00B004EE">
        <w:rPr>
          <w:rFonts w:ascii="Tahoma" w:hAnsi="Tahoma" w:cs="Tahoma"/>
          <w:sz w:val="20"/>
          <w:szCs w:val="20"/>
        </w:rPr>
        <w:t xml:space="preserve"> </w:t>
      </w:r>
      <w:r w:rsidRPr="00B004EE">
        <w:rPr>
          <w:rFonts w:ascii="Tahoma" w:hAnsi="Tahoma" w:cs="Tahoma"/>
          <w:sz w:val="20"/>
          <w:szCs w:val="20"/>
        </w:rPr>
        <w:t>juridiction</w:t>
      </w:r>
      <w:r w:rsidR="00DB1635" w:rsidRPr="00B004EE">
        <w:rPr>
          <w:rFonts w:ascii="Tahoma" w:hAnsi="Tahoma" w:cs="Tahoma"/>
          <w:sz w:val="20"/>
          <w:szCs w:val="20"/>
        </w:rPr>
        <w:t xml:space="preserve"> </w:t>
      </w:r>
      <w:r w:rsidRPr="00B004EE">
        <w:rPr>
          <w:rFonts w:ascii="Tahoma" w:hAnsi="Tahoma" w:cs="Tahoma"/>
          <w:sz w:val="20"/>
          <w:szCs w:val="20"/>
        </w:rPr>
        <w:t>mauritanienne,</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débarquement</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pacing w:val="-19"/>
          <w:sz w:val="20"/>
          <w:szCs w:val="20"/>
        </w:rPr>
        <w:t xml:space="preserve"> </w:t>
      </w:r>
      <w:r w:rsidRPr="00B004EE">
        <w:rPr>
          <w:rFonts w:ascii="Tahoma" w:hAnsi="Tahoma" w:cs="Tahoma"/>
          <w:sz w:val="20"/>
          <w:szCs w:val="20"/>
        </w:rPr>
        <w:t>le</w:t>
      </w:r>
      <w:r w:rsidR="00DB1635" w:rsidRPr="00B004EE">
        <w:rPr>
          <w:rFonts w:ascii="Tahoma" w:hAnsi="Tahoma" w:cs="Tahoma"/>
          <w:w w:val="94"/>
          <w:sz w:val="20"/>
          <w:szCs w:val="20"/>
        </w:rPr>
        <w:t xml:space="preserve"> </w:t>
      </w:r>
      <w:r w:rsidRPr="00B004EE">
        <w:rPr>
          <w:rFonts w:ascii="Tahoma" w:hAnsi="Tahoma" w:cs="Tahoma"/>
          <w:sz w:val="20"/>
          <w:szCs w:val="20"/>
        </w:rPr>
        <w:t>transport</w:t>
      </w:r>
      <w:r w:rsidR="00DB1635" w:rsidRPr="00B004EE">
        <w:rPr>
          <w:rFonts w:ascii="Tahoma" w:hAnsi="Tahoma" w:cs="Tahoma"/>
          <w:spacing w:val="51"/>
          <w:sz w:val="20"/>
          <w:szCs w:val="20"/>
        </w:rPr>
        <w:t xml:space="preserve"> </w:t>
      </w:r>
      <w:r w:rsidRPr="00B004EE">
        <w:rPr>
          <w:rFonts w:ascii="Tahoma" w:hAnsi="Tahoma" w:cs="Tahoma"/>
          <w:sz w:val="20"/>
          <w:szCs w:val="20"/>
        </w:rPr>
        <w:t>des</w:t>
      </w:r>
      <w:r w:rsidR="00DB1635" w:rsidRPr="00B004EE">
        <w:rPr>
          <w:rFonts w:ascii="Tahoma" w:hAnsi="Tahoma" w:cs="Tahoma"/>
          <w:spacing w:val="49"/>
          <w:sz w:val="20"/>
          <w:szCs w:val="20"/>
        </w:rPr>
        <w:t xml:space="preserve"> </w:t>
      </w:r>
      <w:r w:rsidRPr="00B004EE">
        <w:rPr>
          <w:rFonts w:ascii="Tahoma" w:hAnsi="Tahoma" w:cs="Tahoma"/>
          <w:sz w:val="20"/>
          <w:szCs w:val="20"/>
        </w:rPr>
        <w:t>produits</w:t>
      </w:r>
      <w:r w:rsidR="00DB1635" w:rsidRPr="00B004EE">
        <w:rPr>
          <w:rFonts w:ascii="Tahoma" w:hAnsi="Tahoma" w:cs="Tahoma"/>
          <w:spacing w:val="49"/>
          <w:sz w:val="20"/>
          <w:szCs w:val="20"/>
        </w:rPr>
        <w:t xml:space="preserve"> </w:t>
      </w:r>
      <w:r w:rsidRPr="00B004EE">
        <w:rPr>
          <w:rFonts w:ascii="Tahoma" w:hAnsi="Tahoma" w:cs="Tahoma"/>
          <w:sz w:val="20"/>
          <w:szCs w:val="20"/>
        </w:rPr>
        <w:t>dans</w:t>
      </w:r>
      <w:r w:rsidR="00DB1635" w:rsidRPr="00B004EE">
        <w:rPr>
          <w:rFonts w:ascii="Tahoma" w:hAnsi="Tahoma" w:cs="Tahoma"/>
          <w:spacing w:val="49"/>
          <w:sz w:val="20"/>
          <w:szCs w:val="20"/>
        </w:rPr>
        <w:t xml:space="preserve"> </w:t>
      </w:r>
      <w:r w:rsidRPr="00B004EE">
        <w:rPr>
          <w:rFonts w:ascii="Tahoma" w:hAnsi="Tahoma" w:cs="Tahoma"/>
          <w:sz w:val="20"/>
          <w:szCs w:val="20"/>
        </w:rPr>
        <w:t>les</w:t>
      </w:r>
      <w:r w:rsidR="00DB1635" w:rsidRPr="00B004EE">
        <w:rPr>
          <w:rFonts w:ascii="Tahoma" w:hAnsi="Tahoma" w:cs="Tahoma"/>
          <w:spacing w:val="49"/>
          <w:sz w:val="20"/>
          <w:szCs w:val="20"/>
        </w:rPr>
        <w:t xml:space="preserve"> </w:t>
      </w:r>
      <w:r w:rsidRPr="00B004EE">
        <w:rPr>
          <w:rFonts w:ascii="Tahoma" w:hAnsi="Tahoma" w:cs="Tahoma"/>
          <w:sz w:val="20"/>
          <w:szCs w:val="20"/>
        </w:rPr>
        <w:t>ports</w:t>
      </w:r>
      <w:r w:rsidR="00DB1635" w:rsidRPr="00B004EE">
        <w:rPr>
          <w:rFonts w:ascii="Tahoma" w:hAnsi="Tahoma" w:cs="Tahoma"/>
          <w:spacing w:val="49"/>
          <w:sz w:val="20"/>
          <w:szCs w:val="20"/>
        </w:rPr>
        <w:t xml:space="preserve"> </w:t>
      </w:r>
      <w:r w:rsidRPr="00B004EE">
        <w:rPr>
          <w:rFonts w:ascii="Tahoma" w:hAnsi="Tahoma" w:cs="Tahoma"/>
          <w:sz w:val="20"/>
          <w:szCs w:val="20"/>
        </w:rPr>
        <w:t>mauritaniens,</w:t>
      </w:r>
      <w:r w:rsidR="00DB1635" w:rsidRPr="00B004EE">
        <w:rPr>
          <w:rFonts w:ascii="Tahoma" w:hAnsi="Tahoma" w:cs="Tahoma"/>
          <w:spacing w:val="49"/>
          <w:sz w:val="20"/>
          <w:szCs w:val="20"/>
        </w:rPr>
        <w:t xml:space="preserve"> </w:t>
      </w:r>
      <w:r w:rsidRPr="00B004EE">
        <w:rPr>
          <w:rFonts w:ascii="Tahoma" w:hAnsi="Tahoma" w:cs="Tahoma"/>
          <w:sz w:val="20"/>
          <w:szCs w:val="20"/>
        </w:rPr>
        <w:t>l'entreposage,</w:t>
      </w:r>
      <w:r w:rsidR="00DB1635" w:rsidRPr="00B004EE">
        <w:rPr>
          <w:rFonts w:ascii="Tahoma" w:hAnsi="Tahoma" w:cs="Tahoma"/>
          <w:spacing w:val="49"/>
          <w:sz w:val="20"/>
          <w:szCs w:val="20"/>
        </w:rPr>
        <w:t xml:space="preserve"> </w:t>
      </w:r>
      <w:r w:rsidRPr="00B004EE">
        <w:rPr>
          <w:rFonts w:ascii="Tahoma" w:hAnsi="Tahoma" w:cs="Tahoma"/>
          <w:sz w:val="20"/>
          <w:szCs w:val="20"/>
        </w:rPr>
        <w:t>le</w:t>
      </w:r>
      <w:r w:rsidR="00DB1635" w:rsidRPr="00B004EE">
        <w:rPr>
          <w:rFonts w:ascii="Tahoma" w:hAnsi="Tahoma" w:cs="Tahoma"/>
          <w:w w:val="94"/>
          <w:sz w:val="20"/>
          <w:szCs w:val="20"/>
        </w:rPr>
        <w:t xml:space="preserve"> </w:t>
      </w:r>
      <w:r w:rsidRPr="00B004EE">
        <w:rPr>
          <w:rFonts w:ascii="Tahoma" w:hAnsi="Tahoma" w:cs="Tahoma"/>
          <w:sz w:val="20"/>
          <w:szCs w:val="20"/>
        </w:rPr>
        <w:t>traitement,</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transformation</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transport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pacing w:val="44"/>
          <w:sz w:val="20"/>
          <w:szCs w:val="20"/>
        </w:rPr>
        <w:t xml:space="preserve"> </w:t>
      </w:r>
      <w:r w:rsidRPr="00B004EE">
        <w:rPr>
          <w:rFonts w:ascii="Tahoma" w:hAnsi="Tahoma" w:cs="Tahoma"/>
          <w:sz w:val="20"/>
          <w:szCs w:val="20"/>
        </w:rPr>
        <w:t>halieutiques</w:t>
      </w:r>
      <w:r w:rsidR="00DB1635" w:rsidRPr="00B004EE">
        <w:rPr>
          <w:rFonts w:ascii="Tahoma" w:hAnsi="Tahoma" w:cs="Tahoma"/>
          <w:w w:val="96"/>
          <w:sz w:val="20"/>
          <w:szCs w:val="20"/>
        </w:rPr>
        <w:t xml:space="preserve"> </w:t>
      </w:r>
      <w:r w:rsidRPr="00B004EE">
        <w:rPr>
          <w:rFonts w:ascii="Tahoma" w:hAnsi="Tahoma" w:cs="Tahoma"/>
          <w:sz w:val="20"/>
          <w:szCs w:val="20"/>
        </w:rPr>
        <w:t>capturés</w:t>
      </w:r>
      <w:r w:rsidR="00DB1635" w:rsidRPr="00B004EE">
        <w:rPr>
          <w:rFonts w:ascii="Tahoma" w:hAnsi="Tahoma" w:cs="Tahoma"/>
          <w:spacing w:val="-17"/>
          <w:sz w:val="20"/>
          <w:szCs w:val="20"/>
        </w:rPr>
        <w:t xml:space="preserve"> </w:t>
      </w:r>
      <w:r w:rsidRPr="00B004EE">
        <w:rPr>
          <w:rFonts w:ascii="Tahoma" w:hAnsi="Tahoma" w:cs="Tahoma"/>
          <w:sz w:val="20"/>
          <w:szCs w:val="20"/>
        </w:rPr>
        <w:t>dans</w:t>
      </w:r>
      <w:r w:rsidR="00DB1635" w:rsidRPr="00B004EE">
        <w:rPr>
          <w:rFonts w:ascii="Tahoma" w:hAnsi="Tahoma" w:cs="Tahoma"/>
          <w:spacing w:val="-17"/>
          <w:sz w:val="20"/>
          <w:szCs w:val="20"/>
        </w:rPr>
        <w:t xml:space="preserve"> </w:t>
      </w:r>
      <w:r w:rsidRPr="00B004EE">
        <w:rPr>
          <w:rFonts w:ascii="Tahoma" w:hAnsi="Tahoma" w:cs="Tahoma"/>
          <w:sz w:val="20"/>
          <w:szCs w:val="20"/>
        </w:rPr>
        <w:t>les</w:t>
      </w:r>
      <w:r w:rsidR="00DB1635" w:rsidRPr="00B004EE">
        <w:rPr>
          <w:rFonts w:ascii="Tahoma" w:hAnsi="Tahoma" w:cs="Tahoma"/>
          <w:spacing w:val="-17"/>
          <w:sz w:val="20"/>
          <w:szCs w:val="20"/>
        </w:rPr>
        <w:t xml:space="preserve"> </w:t>
      </w:r>
      <w:r w:rsidRPr="00B004EE">
        <w:rPr>
          <w:rFonts w:ascii="Tahoma" w:hAnsi="Tahoma" w:cs="Tahoma"/>
          <w:sz w:val="20"/>
          <w:szCs w:val="20"/>
        </w:rPr>
        <w:t>eaux</w:t>
      </w:r>
      <w:r w:rsidR="00DB1635" w:rsidRPr="00B004EE">
        <w:rPr>
          <w:rFonts w:ascii="Tahoma" w:hAnsi="Tahoma" w:cs="Tahoma"/>
          <w:spacing w:val="-16"/>
          <w:sz w:val="20"/>
          <w:szCs w:val="20"/>
        </w:rPr>
        <w:t xml:space="preserve"> </w:t>
      </w:r>
      <w:r w:rsidRPr="00B004EE">
        <w:rPr>
          <w:rFonts w:ascii="Tahoma" w:hAnsi="Tahoma" w:cs="Tahoma"/>
          <w:sz w:val="20"/>
          <w:szCs w:val="20"/>
        </w:rPr>
        <w:t>sous</w:t>
      </w:r>
      <w:r w:rsidR="00DB1635" w:rsidRPr="00B004EE">
        <w:rPr>
          <w:rFonts w:ascii="Tahoma" w:hAnsi="Tahoma" w:cs="Tahoma"/>
          <w:spacing w:val="-17"/>
          <w:sz w:val="20"/>
          <w:szCs w:val="20"/>
        </w:rPr>
        <w:t xml:space="preserve"> </w:t>
      </w:r>
      <w:r w:rsidRPr="00B004EE">
        <w:rPr>
          <w:rFonts w:ascii="Tahoma" w:hAnsi="Tahoma" w:cs="Tahoma"/>
          <w:sz w:val="20"/>
          <w:szCs w:val="20"/>
        </w:rPr>
        <w:t>juridiction</w:t>
      </w:r>
      <w:r w:rsidR="00DB1635" w:rsidRPr="00B004EE">
        <w:rPr>
          <w:rFonts w:ascii="Tahoma" w:hAnsi="Tahoma" w:cs="Tahoma"/>
          <w:spacing w:val="-16"/>
          <w:sz w:val="20"/>
          <w:szCs w:val="20"/>
        </w:rPr>
        <w:t xml:space="preserve"> </w:t>
      </w:r>
      <w:r w:rsidRPr="00B004EE">
        <w:rPr>
          <w:rFonts w:ascii="Tahoma" w:hAnsi="Tahoma" w:cs="Tahoma"/>
          <w:sz w:val="20"/>
          <w:szCs w:val="20"/>
        </w:rPr>
        <w:t>mauritanienne</w:t>
      </w:r>
      <w:r w:rsidR="00DB1635" w:rsidRPr="00B004EE">
        <w:rPr>
          <w:rFonts w:ascii="Tahoma" w:hAnsi="Tahoma" w:cs="Tahoma"/>
          <w:spacing w:val="-18"/>
          <w:sz w:val="20"/>
          <w:szCs w:val="20"/>
        </w:rPr>
        <w:t xml:space="preserve"> </w:t>
      </w:r>
      <w:r w:rsidRPr="00B004EE">
        <w:rPr>
          <w:rFonts w:ascii="Tahoma" w:hAnsi="Tahoma" w:cs="Tahoma"/>
          <w:sz w:val="20"/>
          <w:szCs w:val="20"/>
        </w:rPr>
        <w:t>à</w:t>
      </w:r>
      <w:r w:rsidR="00DB1635" w:rsidRPr="00B004EE">
        <w:rPr>
          <w:rFonts w:ascii="Tahoma" w:hAnsi="Tahoma" w:cs="Tahoma"/>
          <w:spacing w:val="-17"/>
          <w:sz w:val="20"/>
          <w:szCs w:val="20"/>
        </w:rPr>
        <w:t xml:space="preserve"> </w:t>
      </w:r>
      <w:r w:rsidRPr="00B004EE">
        <w:rPr>
          <w:rFonts w:ascii="Tahoma" w:hAnsi="Tahoma" w:cs="Tahoma"/>
          <w:sz w:val="20"/>
          <w:szCs w:val="20"/>
        </w:rPr>
        <w:t>bord</w:t>
      </w:r>
      <w:r w:rsidR="00DB1635" w:rsidRPr="00B004EE">
        <w:rPr>
          <w:rFonts w:ascii="Tahoma" w:hAnsi="Tahoma" w:cs="Tahoma"/>
          <w:spacing w:val="-18"/>
          <w:sz w:val="20"/>
          <w:szCs w:val="20"/>
        </w:rPr>
        <w:t xml:space="preserve"> </w:t>
      </w:r>
      <w:r w:rsidRPr="00B004EE">
        <w:rPr>
          <w:rFonts w:ascii="Tahoma" w:hAnsi="Tahoma" w:cs="Tahoma"/>
          <w:sz w:val="20"/>
          <w:szCs w:val="20"/>
        </w:rPr>
        <w:t>des</w:t>
      </w:r>
      <w:r w:rsidR="00DB1635" w:rsidRPr="00B004EE">
        <w:rPr>
          <w:rFonts w:ascii="Tahoma" w:hAnsi="Tahoma" w:cs="Tahoma"/>
          <w:spacing w:val="-18"/>
          <w:sz w:val="20"/>
          <w:szCs w:val="20"/>
        </w:rPr>
        <w:t xml:space="preserve"> </w:t>
      </w:r>
      <w:r w:rsidRPr="00B004EE">
        <w:rPr>
          <w:rFonts w:ascii="Tahoma" w:hAnsi="Tahoma" w:cs="Tahoma"/>
          <w:sz w:val="20"/>
          <w:szCs w:val="20"/>
        </w:rPr>
        <w:t>navires</w:t>
      </w:r>
      <w:r w:rsidR="00DB1635" w:rsidRPr="00B004EE">
        <w:rPr>
          <w:rFonts w:ascii="Tahoma" w:hAnsi="Tahoma" w:cs="Tahoma"/>
          <w:w w:val="94"/>
          <w:sz w:val="20"/>
          <w:szCs w:val="20"/>
        </w:rPr>
        <w:t xml:space="preserve"> </w:t>
      </w:r>
      <w:r w:rsidRPr="00B004EE">
        <w:rPr>
          <w:rFonts w:ascii="Tahoma" w:hAnsi="Tahoma" w:cs="Tahoma"/>
          <w:sz w:val="20"/>
          <w:szCs w:val="20"/>
        </w:rPr>
        <w:t>jusqu'à</w:t>
      </w:r>
      <w:r w:rsidR="00DB1635" w:rsidRPr="00B004EE">
        <w:rPr>
          <w:rFonts w:ascii="Tahoma" w:hAnsi="Tahoma" w:cs="Tahoma"/>
          <w:spacing w:val="-13"/>
          <w:sz w:val="20"/>
          <w:szCs w:val="20"/>
        </w:rPr>
        <w:t xml:space="preserve"> </w:t>
      </w:r>
      <w:r w:rsidRPr="00B004EE">
        <w:rPr>
          <w:rFonts w:ascii="Tahoma" w:hAnsi="Tahoma" w:cs="Tahoma"/>
          <w:sz w:val="20"/>
          <w:szCs w:val="20"/>
        </w:rPr>
        <w:t>leur</w:t>
      </w:r>
      <w:r w:rsidR="00DB1635" w:rsidRPr="00B004EE">
        <w:rPr>
          <w:rFonts w:ascii="Tahoma" w:hAnsi="Tahoma" w:cs="Tahoma"/>
          <w:spacing w:val="-13"/>
          <w:sz w:val="20"/>
          <w:szCs w:val="20"/>
        </w:rPr>
        <w:t xml:space="preserve"> </w:t>
      </w:r>
      <w:r w:rsidRPr="00B004EE">
        <w:rPr>
          <w:rFonts w:ascii="Tahoma" w:hAnsi="Tahoma" w:cs="Tahoma"/>
          <w:sz w:val="20"/>
          <w:szCs w:val="20"/>
        </w:rPr>
        <w:t>première</w:t>
      </w:r>
      <w:r w:rsidR="00DB1635" w:rsidRPr="00B004EE">
        <w:rPr>
          <w:rFonts w:ascii="Tahoma" w:hAnsi="Tahoma" w:cs="Tahoma"/>
          <w:spacing w:val="-13"/>
          <w:sz w:val="20"/>
          <w:szCs w:val="20"/>
        </w:rPr>
        <w:t xml:space="preserve"> </w:t>
      </w:r>
      <w:r w:rsidRPr="00B004EE">
        <w:rPr>
          <w:rFonts w:ascii="Tahoma" w:hAnsi="Tahoma" w:cs="Tahoma"/>
          <w:sz w:val="20"/>
          <w:szCs w:val="20"/>
        </w:rPr>
        <w:t>mise</w:t>
      </w:r>
      <w:r w:rsidR="00DB1635" w:rsidRPr="00B004EE">
        <w:rPr>
          <w:rFonts w:ascii="Tahoma" w:hAnsi="Tahoma" w:cs="Tahoma"/>
          <w:spacing w:val="-13"/>
          <w:sz w:val="20"/>
          <w:szCs w:val="20"/>
        </w:rPr>
        <w:t xml:space="preserve"> </w:t>
      </w:r>
      <w:r w:rsidRPr="00B004EE">
        <w:rPr>
          <w:rFonts w:ascii="Tahoma" w:hAnsi="Tahoma" w:cs="Tahoma"/>
          <w:sz w:val="20"/>
          <w:szCs w:val="20"/>
        </w:rPr>
        <w:t>à</w:t>
      </w:r>
      <w:r w:rsidR="00DB1635" w:rsidRPr="00B004EE">
        <w:rPr>
          <w:rFonts w:ascii="Tahoma" w:hAnsi="Tahoma" w:cs="Tahoma"/>
          <w:spacing w:val="-13"/>
          <w:sz w:val="20"/>
          <w:szCs w:val="20"/>
        </w:rPr>
        <w:t xml:space="preserve"> </w:t>
      </w:r>
      <w:r w:rsidRPr="00B004EE">
        <w:rPr>
          <w:rFonts w:ascii="Tahoma" w:hAnsi="Tahoma" w:cs="Tahoma"/>
          <w:sz w:val="20"/>
          <w:szCs w:val="20"/>
        </w:rPr>
        <w:t>terre</w:t>
      </w:r>
      <w:r w:rsidR="00DB1635" w:rsidRPr="00B004EE">
        <w:rPr>
          <w:rFonts w:ascii="Tahoma" w:hAnsi="Tahoma" w:cs="Tahoma"/>
          <w:spacing w:val="-15"/>
          <w:sz w:val="20"/>
          <w:szCs w:val="20"/>
        </w:rPr>
        <w:t xml:space="preserve"> </w:t>
      </w:r>
      <w:r w:rsidRPr="00B004EE">
        <w:rPr>
          <w:rFonts w:ascii="Tahoma" w:hAnsi="Tahoma" w:cs="Tahoma"/>
          <w:sz w:val="20"/>
          <w:szCs w:val="20"/>
        </w:rPr>
        <w:t>ainsi</w:t>
      </w:r>
      <w:r w:rsidR="00DB1635" w:rsidRPr="00B004EE">
        <w:rPr>
          <w:rFonts w:ascii="Tahoma" w:hAnsi="Tahoma" w:cs="Tahoma"/>
          <w:spacing w:val="-14"/>
          <w:sz w:val="20"/>
          <w:szCs w:val="20"/>
        </w:rPr>
        <w:t xml:space="preserve"> </w:t>
      </w:r>
      <w:r w:rsidRPr="00B004EE">
        <w:rPr>
          <w:rFonts w:ascii="Tahoma" w:hAnsi="Tahoma" w:cs="Tahoma"/>
          <w:sz w:val="20"/>
          <w:szCs w:val="20"/>
        </w:rPr>
        <w:t>que</w:t>
      </w:r>
      <w:r w:rsidR="00DB1635" w:rsidRPr="00B004EE">
        <w:rPr>
          <w:rFonts w:ascii="Tahoma" w:hAnsi="Tahoma" w:cs="Tahoma"/>
          <w:spacing w:val="-15"/>
          <w:sz w:val="20"/>
          <w:szCs w:val="20"/>
        </w:rPr>
        <w:t xml:space="preserve"> </w:t>
      </w:r>
      <w:r w:rsidRPr="00B004EE">
        <w:rPr>
          <w:rFonts w:ascii="Tahoma" w:hAnsi="Tahoma" w:cs="Tahoma"/>
          <w:sz w:val="20"/>
          <w:szCs w:val="20"/>
        </w:rPr>
        <w:t>la</w:t>
      </w:r>
      <w:r w:rsidR="00DB1635" w:rsidRPr="00B004EE">
        <w:rPr>
          <w:rFonts w:ascii="Tahoma" w:hAnsi="Tahoma" w:cs="Tahoma"/>
          <w:spacing w:val="-14"/>
          <w:sz w:val="20"/>
          <w:szCs w:val="20"/>
        </w:rPr>
        <w:t xml:space="preserve"> </w:t>
      </w:r>
      <w:r w:rsidRPr="00B004EE">
        <w:rPr>
          <w:rFonts w:ascii="Tahoma" w:hAnsi="Tahoma" w:cs="Tahoma"/>
          <w:sz w:val="20"/>
          <w:szCs w:val="20"/>
        </w:rPr>
        <w:t>collecte</w:t>
      </w:r>
      <w:r w:rsidR="00DB1635" w:rsidRPr="00B004EE">
        <w:rPr>
          <w:rFonts w:ascii="Tahoma" w:hAnsi="Tahoma" w:cs="Tahoma"/>
          <w:spacing w:val="-14"/>
          <w:sz w:val="20"/>
          <w:szCs w:val="20"/>
        </w:rPr>
        <w:t xml:space="preserve"> </w:t>
      </w:r>
      <w:r w:rsidRPr="00B004EE">
        <w:rPr>
          <w:rFonts w:ascii="Tahoma" w:hAnsi="Tahoma" w:cs="Tahoma"/>
          <w:sz w:val="20"/>
          <w:szCs w:val="20"/>
        </w:rPr>
        <w:t>en</w:t>
      </w:r>
      <w:r w:rsidR="00DB1635" w:rsidRPr="00B004EE">
        <w:rPr>
          <w:rFonts w:ascii="Tahoma" w:hAnsi="Tahoma" w:cs="Tahoma"/>
          <w:spacing w:val="-15"/>
          <w:sz w:val="20"/>
          <w:szCs w:val="20"/>
        </w:rPr>
        <w:t xml:space="preserve"> </w:t>
      </w:r>
      <w:r w:rsidRPr="00B004EE">
        <w:rPr>
          <w:rFonts w:ascii="Tahoma" w:hAnsi="Tahoma" w:cs="Tahoma"/>
          <w:sz w:val="20"/>
          <w:szCs w:val="20"/>
        </w:rPr>
        <w:t>mer</w:t>
      </w:r>
      <w:r w:rsidR="00DB1635" w:rsidRPr="00B004EE">
        <w:rPr>
          <w:rFonts w:ascii="Tahoma" w:hAnsi="Tahoma" w:cs="Tahoma"/>
          <w:spacing w:val="-15"/>
          <w:sz w:val="20"/>
          <w:szCs w:val="20"/>
        </w:rPr>
        <w:t xml:space="preserve"> </w:t>
      </w:r>
      <w:r w:rsidRPr="00B004EE">
        <w:rPr>
          <w:rFonts w:ascii="Tahoma" w:hAnsi="Tahoma" w:cs="Tahoma"/>
          <w:spacing w:val="3"/>
          <w:sz w:val="20"/>
          <w:szCs w:val="20"/>
        </w:rPr>
        <w:t>de</w:t>
      </w:r>
      <w:r w:rsidR="00DB1635" w:rsidRPr="00B004EE">
        <w:rPr>
          <w:rFonts w:ascii="Tahoma" w:hAnsi="Tahoma" w:cs="Tahoma"/>
          <w:spacing w:val="-15"/>
          <w:sz w:val="20"/>
          <w:szCs w:val="20"/>
        </w:rPr>
        <w:t xml:space="preserve"> </w:t>
      </w:r>
      <w:r w:rsidRPr="00B004EE">
        <w:rPr>
          <w:rFonts w:ascii="Tahoma" w:hAnsi="Tahoma" w:cs="Tahoma"/>
          <w:sz w:val="20"/>
          <w:szCs w:val="20"/>
        </w:rPr>
        <w:t>produits</w:t>
      </w:r>
      <w:r w:rsidR="00DB1635" w:rsidRPr="00B004EE">
        <w:rPr>
          <w:rFonts w:ascii="Tahoma" w:hAnsi="Tahoma" w:cs="Tahoma"/>
          <w:spacing w:val="-1"/>
          <w:w w:val="95"/>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pacing w:val="10"/>
          <w:sz w:val="20"/>
          <w:szCs w:val="20"/>
        </w:rPr>
        <w:t xml:space="preserve"> </w:t>
      </w:r>
      <w:r w:rsidRPr="00B004EE">
        <w:rPr>
          <w:rFonts w:ascii="Tahoma" w:hAnsi="Tahoma" w:cs="Tahoma"/>
          <w:sz w:val="20"/>
          <w:szCs w:val="20"/>
        </w:rPr>
        <w:t>;</w:t>
      </w:r>
    </w:p>
    <w:p w14:paraId="25C19628" w14:textId="324FBBB4" w:rsidR="001E7C3C" w:rsidRPr="00B004EE" w:rsidRDefault="001E7C3C" w:rsidP="00420DDA">
      <w:pPr>
        <w:pStyle w:val="Paragraphedeliste"/>
        <w:widowControl w:val="0"/>
        <w:numPr>
          <w:ilvl w:val="0"/>
          <w:numId w:val="44"/>
        </w:numPr>
        <w:tabs>
          <w:tab w:val="left" w:pos="1154"/>
        </w:tabs>
        <w:ind w:left="567" w:right="50"/>
        <w:jc w:val="both"/>
        <w:rPr>
          <w:rFonts w:ascii="Tahoma" w:eastAsia="American Typewriter" w:hAnsi="Tahoma" w:cs="Tahoma"/>
          <w:sz w:val="20"/>
          <w:szCs w:val="20"/>
        </w:rPr>
      </w:pPr>
      <w:proofErr w:type="gramStart"/>
      <w:r w:rsidRPr="00B004EE">
        <w:rPr>
          <w:rFonts w:ascii="Tahoma" w:hAnsi="Tahoma" w:cs="Tahoma"/>
          <w:sz w:val="20"/>
          <w:szCs w:val="20"/>
        </w:rPr>
        <w:t>le</w:t>
      </w:r>
      <w:proofErr w:type="gramEnd"/>
      <w:r w:rsidR="00DB1635" w:rsidRPr="00B004EE">
        <w:rPr>
          <w:rFonts w:ascii="Tahoma" w:hAnsi="Tahoma" w:cs="Tahoma"/>
          <w:spacing w:val="27"/>
          <w:sz w:val="20"/>
          <w:szCs w:val="20"/>
        </w:rPr>
        <w:t xml:space="preserve"> </w:t>
      </w:r>
      <w:r w:rsidRPr="00B004EE">
        <w:rPr>
          <w:rFonts w:ascii="Tahoma" w:hAnsi="Tahoma" w:cs="Tahoma"/>
          <w:sz w:val="20"/>
          <w:szCs w:val="20"/>
        </w:rPr>
        <w:t>ravitaillement</w:t>
      </w:r>
      <w:r w:rsidR="00DB1635" w:rsidRPr="00B004EE">
        <w:rPr>
          <w:rFonts w:ascii="Tahoma" w:hAnsi="Tahoma" w:cs="Tahoma"/>
          <w:spacing w:val="25"/>
          <w:sz w:val="20"/>
          <w:szCs w:val="20"/>
        </w:rPr>
        <w:t xml:space="preserve"> </w:t>
      </w:r>
      <w:r w:rsidRPr="00B004EE">
        <w:rPr>
          <w:rFonts w:ascii="Tahoma" w:hAnsi="Tahoma" w:cs="Tahoma"/>
          <w:sz w:val="20"/>
          <w:szCs w:val="20"/>
        </w:rPr>
        <w:t>ou</w:t>
      </w:r>
      <w:r w:rsidR="00DB1635" w:rsidRPr="00B004EE">
        <w:rPr>
          <w:rFonts w:ascii="Tahoma" w:hAnsi="Tahoma" w:cs="Tahoma"/>
          <w:spacing w:val="25"/>
          <w:sz w:val="20"/>
          <w:szCs w:val="20"/>
        </w:rPr>
        <w:t xml:space="preserve"> </w:t>
      </w:r>
      <w:r w:rsidRPr="00B004EE">
        <w:rPr>
          <w:rFonts w:ascii="Tahoma" w:hAnsi="Tahoma" w:cs="Tahoma"/>
          <w:sz w:val="20"/>
          <w:szCs w:val="20"/>
        </w:rPr>
        <w:t>l'approvisionnement</w:t>
      </w:r>
      <w:r w:rsidR="00DB1635" w:rsidRPr="00B004EE">
        <w:rPr>
          <w:rFonts w:ascii="Tahoma" w:hAnsi="Tahoma" w:cs="Tahoma"/>
          <w:spacing w:val="25"/>
          <w:sz w:val="20"/>
          <w:szCs w:val="20"/>
        </w:rPr>
        <w:t xml:space="preserve"> </w:t>
      </w:r>
      <w:r w:rsidRPr="00B004EE">
        <w:rPr>
          <w:rFonts w:ascii="Tahoma" w:hAnsi="Tahoma" w:cs="Tahoma"/>
          <w:sz w:val="20"/>
          <w:szCs w:val="20"/>
        </w:rPr>
        <w:t>de</w:t>
      </w:r>
      <w:r w:rsidR="00DB1635" w:rsidRPr="00B004EE">
        <w:rPr>
          <w:rFonts w:ascii="Tahoma" w:hAnsi="Tahoma" w:cs="Tahoma"/>
          <w:spacing w:val="25"/>
          <w:sz w:val="20"/>
          <w:szCs w:val="20"/>
        </w:rPr>
        <w:t xml:space="preserve"> </w:t>
      </w:r>
      <w:r w:rsidRPr="00B004EE">
        <w:rPr>
          <w:rFonts w:ascii="Tahoma" w:hAnsi="Tahoma" w:cs="Tahoma"/>
          <w:sz w:val="20"/>
          <w:szCs w:val="20"/>
        </w:rPr>
        <w:t>navires</w:t>
      </w:r>
      <w:r w:rsidR="00DB1635" w:rsidRPr="00B004EE">
        <w:rPr>
          <w:rFonts w:ascii="Tahoma" w:hAnsi="Tahoma" w:cs="Tahoma"/>
          <w:spacing w:val="25"/>
          <w:sz w:val="20"/>
          <w:szCs w:val="20"/>
        </w:rPr>
        <w:t xml:space="preserve"> </w:t>
      </w:r>
      <w:r w:rsidRPr="00B004EE">
        <w:rPr>
          <w:rFonts w:ascii="Tahoma" w:hAnsi="Tahoma" w:cs="Tahoma"/>
          <w:sz w:val="20"/>
          <w:szCs w:val="20"/>
        </w:rPr>
        <w:t>de</w:t>
      </w:r>
      <w:r w:rsidR="00DB1635" w:rsidRPr="00B004EE">
        <w:rPr>
          <w:rFonts w:ascii="Tahoma" w:hAnsi="Tahoma" w:cs="Tahoma"/>
          <w:spacing w:val="25"/>
          <w:sz w:val="20"/>
          <w:szCs w:val="20"/>
        </w:rPr>
        <w:t xml:space="preserve"> </w:t>
      </w:r>
      <w:r w:rsidRPr="00B004EE">
        <w:rPr>
          <w:rFonts w:ascii="Tahoma" w:hAnsi="Tahoma" w:cs="Tahoma"/>
          <w:sz w:val="20"/>
          <w:szCs w:val="20"/>
        </w:rPr>
        <w:t>pêche</w:t>
      </w:r>
      <w:r w:rsidR="00DB1635" w:rsidRPr="00B004EE">
        <w:rPr>
          <w:rFonts w:ascii="Tahoma" w:hAnsi="Tahoma" w:cs="Tahoma"/>
          <w:spacing w:val="25"/>
          <w:sz w:val="20"/>
          <w:szCs w:val="20"/>
        </w:rPr>
        <w:t xml:space="preserve"> </w:t>
      </w:r>
      <w:r w:rsidRPr="00B004EE">
        <w:rPr>
          <w:rFonts w:ascii="Tahoma" w:hAnsi="Tahoma" w:cs="Tahoma"/>
          <w:sz w:val="20"/>
          <w:szCs w:val="20"/>
        </w:rPr>
        <w:t>ou</w:t>
      </w:r>
      <w:r w:rsidR="00DB1635" w:rsidRPr="00B004EE">
        <w:rPr>
          <w:rFonts w:ascii="Tahoma" w:hAnsi="Tahoma" w:cs="Tahoma"/>
          <w:spacing w:val="25"/>
          <w:sz w:val="20"/>
          <w:szCs w:val="20"/>
        </w:rPr>
        <w:t xml:space="preserve"> </w:t>
      </w:r>
      <w:r w:rsidRPr="00B004EE">
        <w:rPr>
          <w:rFonts w:ascii="Tahoma" w:hAnsi="Tahoma" w:cs="Tahoma"/>
          <w:sz w:val="20"/>
          <w:szCs w:val="20"/>
        </w:rPr>
        <w:t>toute</w:t>
      </w:r>
      <w:r w:rsidR="00DB1635" w:rsidRPr="00B004EE">
        <w:rPr>
          <w:rFonts w:ascii="Tahoma" w:hAnsi="Tahoma" w:cs="Tahoma"/>
          <w:spacing w:val="-1"/>
          <w:w w:val="95"/>
          <w:sz w:val="20"/>
          <w:szCs w:val="20"/>
        </w:rPr>
        <w:t xml:space="preserve"> </w:t>
      </w:r>
      <w:r w:rsidRPr="00B004EE">
        <w:rPr>
          <w:rFonts w:ascii="Tahoma" w:hAnsi="Tahoma" w:cs="Tahoma"/>
          <w:sz w:val="20"/>
          <w:szCs w:val="20"/>
        </w:rPr>
        <w:t>autre</w:t>
      </w:r>
      <w:r w:rsidR="00DB1635" w:rsidRPr="00B004EE">
        <w:rPr>
          <w:rFonts w:ascii="Tahoma" w:hAnsi="Tahoma" w:cs="Tahoma"/>
          <w:spacing w:val="-7"/>
          <w:sz w:val="20"/>
          <w:szCs w:val="20"/>
        </w:rPr>
        <w:t xml:space="preserve"> </w:t>
      </w:r>
      <w:r w:rsidRPr="00B004EE">
        <w:rPr>
          <w:rFonts w:ascii="Tahoma" w:hAnsi="Tahoma" w:cs="Tahoma"/>
          <w:sz w:val="20"/>
          <w:szCs w:val="20"/>
        </w:rPr>
        <w:t>activité</w:t>
      </w:r>
      <w:r w:rsidR="00DB1635" w:rsidRPr="00B004EE">
        <w:rPr>
          <w:rFonts w:ascii="Tahoma" w:hAnsi="Tahoma" w:cs="Tahoma"/>
          <w:spacing w:val="-7"/>
          <w:sz w:val="20"/>
          <w:szCs w:val="20"/>
        </w:rPr>
        <w:t xml:space="preserve"> </w:t>
      </w:r>
      <w:r w:rsidRPr="00B004EE">
        <w:rPr>
          <w:rFonts w:ascii="Tahoma" w:hAnsi="Tahoma" w:cs="Tahoma"/>
          <w:sz w:val="20"/>
          <w:szCs w:val="20"/>
        </w:rPr>
        <w:t>de</w:t>
      </w:r>
      <w:r w:rsidR="00DB1635" w:rsidRPr="00B004EE">
        <w:rPr>
          <w:rFonts w:ascii="Tahoma" w:hAnsi="Tahoma" w:cs="Tahoma"/>
          <w:spacing w:val="-7"/>
          <w:sz w:val="20"/>
          <w:szCs w:val="20"/>
        </w:rPr>
        <w:t xml:space="preserve"> </w:t>
      </w:r>
      <w:r w:rsidRPr="00B004EE">
        <w:rPr>
          <w:rFonts w:ascii="Tahoma" w:hAnsi="Tahoma" w:cs="Tahoma"/>
          <w:sz w:val="20"/>
          <w:szCs w:val="20"/>
        </w:rPr>
        <w:t>soutien</w:t>
      </w:r>
      <w:r w:rsidR="00DB1635" w:rsidRPr="00B004EE">
        <w:rPr>
          <w:rFonts w:ascii="Tahoma" w:hAnsi="Tahoma" w:cs="Tahoma"/>
          <w:spacing w:val="-7"/>
          <w:sz w:val="20"/>
          <w:szCs w:val="20"/>
        </w:rPr>
        <w:t xml:space="preserve"> </w:t>
      </w:r>
      <w:r w:rsidRPr="00B004EE">
        <w:rPr>
          <w:rFonts w:ascii="Tahoma" w:hAnsi="Tahoma" w:cs="Tahoma"/>
          <w:sz w:val="20"/>
          <w:szCs w:val="20"/>
        </w:rPr>
        <w:t>logistique</w:t>
      </w:r>
      <w:r w:rsidR="00DB1635" w:rsidRPr="00B004EE">
        <w:rPr>
          <w:rFonts w:ascii="Tahoma" w:hAnsi="Tahoma" w:cs="Tahoma"/>
          <w:spacing w:val="-7"/>
          <w:sz w:val="20"/>
          <w:szCs w:val="20"/>
        </w:rPr>
        <w:t xml:space="preserve"> </w:t>
      </w:r>
      <w:r w:rsidRPr="00B004EE">
        <w:rPr>
          <w:rFonts w:ascii="Tahoma" w:hAnsi="Tahoma" w:cs="Tahoma"/>
          <w:sz w:val="20"/>
          <w:szCs w:val="20"/>
        </w:rPr>
        <w:t>à</w:t>
      </w:r>
      <w:r w:rsidR="00DB1635" w:rsidRPr="00B004EE">
        <w:rPr>
          <w:rFonts w:ascii="Tahoma" w:hAnsi="Tahoma" w:cs="Tahoma"/>
          <w:spacing w:val="-6"/>
          <w:sz w:val="20"/>
          <w:szCs w:val="20"/>
        </w:rPr>
        <w:t xml:space="preserve"> </w:t>
      </w:r>
      <w:r w:rsidRPr="00B004EE">
        <w:rPr>
          <w:rFonts w:ascii="Tahoma" w:hAnsi="Tahoma" w:cs="Tahoma"/>
          <w:sz w:val="20"/>
          <w:szCs w:val="20"/>
        </w:rPr>
        <w:t>des</w:t>
      </w:r>
      <w:r w:rsidR="00DB1635" w:rsidRPr="00B004EE">
        <w:rPr>
          <w:rFonts w:ascii="Tahoma" w:hAnsi="Tahoma" w:cs="Tahoma"/>
          <w:spacing w:val="-8"/>
          <w:sz w:val="20"/>
          <w:szCs w:val="20"/>
        </w:rPr>
        <w:t xml:space="preserve"> </w:t>
      </w:r>
      <w:r w:rsidRPr="00B004EE">
        <w:rPr>
          <w:rFonts w:ascii="Tahoma" w:hAnsi="Tahoma" w:cs="Tahoma"/>
          <w:sz w:val="20"/>
          <w:szCs w:val="20"/>
        </w:rPr>
        <w:t>navires</w:t>
      </w:r>
      <w:r w:rsidR="00DB1635" w:rsidRPr="00B004EE">
        <w:rPr>
          <w:rFonts w:ascii="Tahoma" w:hAnsi="Tahoma" w:cs="Tahoma"/>
          <w:spacing w:val="-7"/>
          <w:sz w:val="20"/>
          <w:szCs w:val="20"/>
        </w:rPr>
        <w:t xml:space="preserve"> </w:t>
      </w:r>
      <w:r w:rsidRPr="00B004EE">
        <w:rPr>
          <w:rFonts w:ascii="Tahoma" w:hAnsi="Tahoma" w:cs="Tahoma"/>
          <w:sz w:val="20"/>
          <w:szCs w:val="20"/>
        </w:rPr>
        <w:t>de</w:t>
      </w:r>
      <w:r w:rsidR="00DB1635" w:rsidRPr="00B004EE">
        <w:rPr>
          <w:rFonts w:ascii="Tahoma" w:hAnsi="Tahoma" w:cs="Tahoma"/>
          <w:spacing w:val="-7"/>
          <w:sz w:val="20"/>
          <w:szCs w:val="20"/>
        </w:rPr>
        <w:t xml:space="preserve"> </w:t>
      </w:r>
      <w:r w:rsidRPr="00B004EE">
        <w:rPr>
          <w:rFonts w:ascii="Tahoma" w:hAnsi="Tahoma" w:cs="Tahoma"/>
          <w:sz w:val="20"/>
          <w:szCs w:val="20"/>
        </w:rPr>
        <w:t>pêche</w:t>
      </w:r>
      <w:r w:rsidR="00DB1635" w:rsidRPr="00B004EE">
        <w:rPr>
          <w:rFonts w:ascii="Tahoma" w:hAnsi="Tahoma" w:cs="Tahoma"/>
          <w:spacing w:val="-7"/>
          <w:sz w:val="20"/>
          <w:szCs w:val="20"/>
        </w:rPr>
        <w:t xml:space="preserve"> </w:t>
      </w:r>
      <w:r w:rsidRPr="00B004EE">
        <w:rPr>
          <w:rFonts w:ascii="Tahoma" w:hAnsi="Tahoma" w:cs="Tahoma"/>
          <w:sz w:val="20"/>
          <w:szCs w:val="20"/>
        </w:rPr>
        <w:t>en</w:t>
      </w:r>
      <w:r w:rsidR="00DB1635" w:rsidRPr="00B004EE">
        <w:rPr>
          <w:rFonts w:ascii="Tahoma" w:hAnsi="Tahoma" w:cs="Tahoma"/>
          <w:spacing w:val="-7"/>
          <w:sz w:val="20"/>
          <w:szCs w:val="20"/>
        </w:rPr>
        <w:t xml:space="preserve"> </w:t>
      </w:r>
      <w:r w:rsidRPr="00B004EE">
        <w:rPr>
          <w:rFonts w:ascii="Tahoma" w:hAnsi="Tahoma" w:cs="Tahoma"/>
          <w:sz w:val="20"/>
          <w:szCs w:val="20"/>
        </w:rPr>
        <w:t>mer.</w:t>
      </w:r>
    </w:p>
    <w:p w14:paraId="0EAA3687" w14:textId="45993E49" w:rsidR="001E7C3C" w:rsidRPr="00B004EE" w:rsidRDefault="001E7C3C" w:rsidP="00420DDA">
      <w:pPr>
        <w:pStyle w:val="Paragraphedeliste"/>
        <w:widowControl w:val="0"/>
        <w:numPr>
          <w:ilvl w:val="0"/>
          <w:numId w:val="44"/>
        </w:numPr>
        <w:tabs>
          <w:tab w:val="left" w:pos="1053"/>
        </w:tabs>
        <w:ind w:left="567" w:right="50"/>
        <w:jc w:val="both"/>
        <w:rPr>
          <w:rFonts w:ascii="Tahoma" w:eastAsia="American Typewriter" w:hAnsi="Tahoma" w:cs="Tahoma"/>
          <w:sz w:val="20"/>
          <w:szCs w:val="20"/>
        </w:rPr>
      </w:pPr>
      <w:proofErr w:type="gramStart"/>
      <w:r w:rsidRPr="00B004EE">
        <w:rPr>
          <w:rFonts w:ascii="Tahoma" w:eastAsia="American Typewriter" w:hAnsi="Tahoma" w:cs="Tahoma"/>
          <w:sz w:val="20"/>
          <w:szCs w:val="20"/>
        </w:rPr>
        <w:t>les</w:t>
      </w:r>
      <w:proofErr w:type="gramEnd"/>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activités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cultures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d’organismes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aquatiques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et</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pêche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fondée</w:t>
      </w:r>
      <w:r w:rsidR="00DB1635" w:rsidRPr="00B004EE">
        <w:rPr>
          <w:rFonts w:ascii="Tahoma" w:eastAsia="American Typewriter" w:hAnsi="Tahoma" w:cs="Tahoma"/>
          <w:spacing w:val="48"/>
          <w:sz w:val="20"/>
          <w:szCs w:val="20"/>
        </w:rPr>
        <w:t xml:space="preserve"> </w:t>
      </w:r>
      <w:r w:rsidRPr="00B004EE">
        <w:rPr>
          <w:rFonts w:ascii="Tahoma" w:eastAsia="American Typewriter" w:hAnsi="Tahoma" w:cs="Tahoma"/>
          <w:sz w:val="20"/>
          <w:szCs w:val="20"/>
        </w:rPr>
        <w:t>sur</w:t>
      </w:r>
      <w:r w:rsidR="00DB1635" w:rsidRPr="00B004EE">
        <w:rPr>
          <w:rFonts w:ascii="Tahoma" w:eastAsia="American Typewriter" w:hAnsi="Tahoma" w:cs="Tahoma"/>
          <w:w w:val="90"/>
          <w:sz w:val="20"/>
          <w:szCs w:val="20"/>
        </w:rPr>
        <w:t xml:space="preserve"> </w:t>
      </w:r>
      <w:r w:rsidRPr="00B004EE">
        <w:rPr>
          <w:rFonts w:ascii="Tahoma" w:eastAsia="American Typewriter" w:hAnsi="Tahoma" w:cs="Tahoma"/>
          <w:sz w:val="20"/>
          <w:szCs w:val="20"/>
        </w:rPr>
        <w:t>l’amélioration</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rendements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écosystèmes</w:t>
      </w:r>
      <w:r w:rsidR="00DB1635" w:rsidRPr="00B004EE">
        <w:rPr>
          <w:rFonts w:ascii="Tahoma" w:eastAsia="American Typewriter" w:hAnsi="Tahoma" w:cs="Tahoma"/>
          <w:spacing w:val="-21"/>
          <w:sz w:val="20"/>
          <w:szCs w:val="20"/>
        </w:rPr>
        <w:t xml:space="preserve"> </w:t>
      </w:r>
      <w:r w:rsidRPr="00B004EE">
        <w:rPr>
          <w:rFonts w:ascii="Tahoma" w:eastAsia="American Typewriter" w:hAnsi="Tahoma" w:cs="Tahoma"/>
          <w:sz w:val="20"/>
          <w:szCs w:val="20"/>
        </w:rPr>
        <w:t>aquatiques.</w:t>
      </w:r>
    </w:p>
    <w:p w14:paraId="32FAA326" w14:textId="77777777" w:rsidR="001E7C3C" w:rsidRPr="00B004EE" w:rsidRDefault="001E7C3C" w:rsidP="00B004EE">
      <w:pPr>
        <w:rPr>
          <w:rFonts w:ascii="Tahoma" w:eastAsia="American Typewriter" w:hAnsi="Tahoma" w:cs="Tahoma"/>
          <w:sz w:val="20"/>
          <w:szCs w:val="20"/>
        </w:rPr>
      </w:pPr>
    </w:p>
    <w:p w14:paraId="5451B4EE" w14:textId="08692D24" w:rsidR="001E7C3C" w:rsidRPr="00B004EE" w:rsidRDefault="001E7C3C" w:rsidP="00B004EE">
      <w:pPr>
        <w:jc w:val="center"/>
        <w:rPr>
          <w:rFonts w:ascii="Tahoma" w:eastAsia="American Typewriter" w:hAnsi="Tahoma" w:cs="Tahoma"/>
          <w:b/>
          <w:bCs/>
          <w:sz w:val="20"/>
          <w:szCs w:val="20"/>
        </w:rPr>
      </w:pPr>
      <w:bookmarkStart w:id="35" w:name="_Toc16279050"/>
      <w:bookmarkStart w:id="36" w:name="_Toc16279419"/>
      <w:r w:rsidRPr="00B004EE">
        <w:rPr>
          <w:rFonts w:ascii="Tahoma" w:eastAsia="American Typewriter" w:hAnsi="Tahoma" w:cs="Tahoma"/>
          <w:b/>
          <w:bCs/>
          <w:sz w:val="20"/>
          <w:szCs w:val="20"/>
        </w:rPr>
        <w:t>Section</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4</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Du</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droit</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de</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pêche</w:t>
      </w:r>
      <w:bookmarkEnd w:id="35"/>
      <w:bookmarkEnd w:id="36"/>
    </w:p>
    <w:p w14:paraId="45F57E11" w14:textId="77777777" w:rsidR="00BB060F" w:rsidRPr="00B004EE" w:rsidRDefault="00BB060F" w:rsidP="00B004EE">
      <w:pPr>
        <w:jc w:val="center"/>
        <w:rPr>
          <w:rFonts w:ascii="Tahoma" w:eastAsia="American Typewriter" w:hAnsi="Tahoma" w:cs="Tahoma"/>
          <w:b/>
          <w:bCs/>
          <w:sz w:val="20"/>
          <w:szCs w:val="20"/>
        </w:rPr>
      </w:pPr>
    </w:p>
    <w:p w14:paraId="047F7F70" w14:textId="4B0CD366" w:rsidR="001E7C3C" w:rsidRPr="00B004EE" w:rsidRDefault="001E7C3C" w:rsidP="00B004EE">
      <w:pPr>
        <w:pStyle w:val="Corpsdetexte"/>
        <w:ind w:right="164"/>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5</w:t>
      </w:r>
      <w:r w:rsidR="00DB1635" w:rsidRPr="00B004EE">
        <w:rPr>
          <w:rFonts w:ascii="Tahoma" w:hAnsi="Tahoma" w:cs="Tahoma"/>
          <w:bCs/>
          <w:sz w:val="20"/>
          <w:szCs w:val="20"/>
        </w:rPr>
        <w:t xml:space="preserve"> </w:t>
      </w:r>
      <w:r w:rsidRPr="00B004EE">
        <w:rPr>
          <w:rFonts w:ascii="Tahoma" w:hAnsi="Tahoma" w:cs="Tahoma"/>
          <w:bCs/>
          <w:sz w:val="20"/>
          <w:szCs w:val="20"/>
        </w:rPr>
        <w:t>:</w:t>
      </w:r>
      <w:r w:rsidR="00DB1635" w:rsidRPr="00B004EE">
        <w:rPr>
          <w:rFonts w:ascii="Tahoma" w:eastAsia="American Typewriter" w:hAnsi="Tahoma" w:cs="Tahoma"/>
          <w:b/>
          <w:bCs/>
          <w:spacing w:val="42"/>
          <w:sz w:val="20"/>
          <w:szCs w:val="20"/>
        </w:rPr>
        <w:t xml:space="preserve"> </w:t>
      </w:r>
      <w:r w:rsidRPr="00B004EE">
        <w:rPr>
          <w:rFonts w:ascii="Tahoma" w:eastAsia="American Typewriter" w:hAnsi="Tahoma" w:cs="Tahoma"/>
          <w:sz w:val="20"/>
          <w:szCs w:val="20"/>
        </w:rPr>
        <w:t>Le</w:t>
      </w:r>
      <w:r w:rsidR="00DB1635" w:rsidRPr="00B004EE">
        <w:rPr>
          <w:rFonts w:ascii="Tahoma" w:eastAsia="American Typewriter" w:hAnsi="Tahoma" w:cs="Tahoma"/>
          <w:spacing w:val="40"/>
          <w:sz w:val="20"/>
          <w:szCs w:val="20"/>
        </w:rPr>
        <w:t xml:space="preserve"> </w:t>
      </w:r>
      <w:r w:rsidRPr="00B004EE">
        <w:rPr>
          <w:rFonts w:ascii="Tahoma" w:eastAsia="American Typewriter" w:hAnsi="Tahoma" w:cs="Tahoma"/>
          <w:sz w:val="20"/>
          <w:szCs w:val="20"/>
        </w:rPr>
        <w:t>droit</w:t>
      </w:r>
      <w:r w:rsidR="00DB1635" w:rsidRPr="00B004EE">
        <w:rPr>
          <w:rFonts w:ascii="Tahoma" w:eastAsia="American Typewriter" w:hAnsi="Tahoma" w:cs="Tahoma"/>
          <w:spacing w:val="41"/>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pacing w:val="40"/>
          <w:sz w:val="20"/>
          <w:szCs w:val="20"/>
        </w:rPr>
        <w:t xml:space="preserve"> </w:t>
      </w:r>
      <w:r w:rsidRPr="00B004EE">
        <w:rPr>
          <w:rFonts w:ascii="Tahoma" w:eastAsia="American Typewriter" w:hAnsi="Tahoma" w:cs="Tahoma"/>
          <w:sz w:val="20"/>
          <w:szCs w:val="20"/>
        </w:rPr>
        <w:t>pêche</w:t>
      </w:r>
      <w:r w:rsidR="00DB1635" w:rsidRPr="00B004EE">
        <w:rPr>
          <w:rFonts w:ascii="Tahoma" w:eastAsia="American Typewriter" w:hAnsi="Tahoma" w:cs="Tahoma"/>
          <w:spacing w:val="40"/>
          <w:sz w:val="20"/>
          <w:szCs w:val="20"/>
        </w:rPr>
        <w:t xml:space="preserve"> </w:t>
      </w:r>
      <w:r w:rsidRPr="00B004EE">
        <w:rPr>
          <w:rFonts w:ascii="Tahoma" w:eastAsia="American Typewriter" w:hAnsi="Tahoma" w:cs="Tahoma"/>
          <w:sz w:val="20"/>
          <w:szCs w:val="20"/>
        </w:rPr>
        <w:t>appartient</w:t>
      </w:r>
      <w:r w:rsidR="00DB1635" w:rsidRPr="00B004EE">
        <w:rPr>
          <w:rFonts w:ascii="Tahoma" w:eastAsia="American Typewriter" w:hAnsi="Tahoma" w:cs="Tahoma"/>
          <w:spacing w:val="40"/>
          <w:sz w:val="20"/>
          <w:szCs w:val="20"/>
        </w:rPr>
        <w:t xml:space="preserve"> </w:t>
      </w:r>
      <w:r w:rsidRPr="00B004EE">
        <w:rPr>
          <w:rFonts w:ascii="Tahoma" w:eastAsia="American Typewriter" w:hAnsi="Tahoma" w:cs="Tahoma"/>
          <w:sz w:val="20"/>
          <w:szCs w:val="20"/>
        </w:rPr>
        <w:t>à</w:t>
      </w:r>
      <w:r w:rsidR="00DB1635" w:rsidRPr="00B004EE">
        <w:rPr>
          <w:rFonts w:ascii="Tahoma" w:eastAsia="American Typewriter" w:hAnsi="Tahoma" w:cs="Tahoma"/>
          <w:spacing w:val="41"/>
          <w:sz w:val="20"/>
          <w:szCs w:val="20"/>
        </w:rPr>
        <w:t xml:space="preserve"> </w:t>
      </w:r>
      <w:r w:rsidRPr="00B004EE">
        <w:rPr>
          <w:rFonts w:ascii="Tahoma" w:eastAsia="American Typewriter" w:hAnsi="Tahoma" w:cs="Tahoma"/>
          <w:sz w:val="20"/>
          <w:szCs w:val="20"/>
        </w:rPr>
        <w:t>l’État</w:t>
      </w:r>
      <w:r w:rsidR="00DB1635" w:rsidRPr="00B004EE">
        <w:rPr>
          <w:rFonts w:ascii="Tahoma" w:eastAsia="American Typewriter" w:hAnsi="Tahoma" w:cs="Tahoma"/>
          <w:spacing w:val="41"/>
          <w:sz w:val="20"/>
          <w:szCs w:val="20"/>
        </w:rPr>
        <w:t xml:space="preserve"> </w:t>
      </w:r>
      <w:r w:rsidRPr="00B004EE">
        <w:rPr>
          <w:rFonts w:ascii="Tahoma" w:eastAsia="American Typewriter" w:hAnsi="Tahoma" w:cs="Tahoma"/>
          <w:sz w:val="20"/>
          <w:szCs w:val="20"/>
        </w:rPr>
        <w:t>qui</w:t>
      </w:r>
      <w:r w:rsidR="00DB1635" w:rsidRPr="00B004EE">
        <w:rPr>
          <w:rFonts w:ascii="Tahoma" w:eastAsia="American Typewriter" w:hAnsi="Tahoma" w:cs="Tahoma"/>
          <w:spacing w:val="41"/>
          <w:sz w:val="20"/>
          <w:szCs w:val="20"/>
        </w:rPr>
        <w:t xml:space="preserve"> </w:t>
      </w:r>
      <w:r w:rsidRPr="00B004EE">
        <w:rPr>
          <w:rFonts w:ascii="Tahoma" w:eastAsia="American Typewriter" w:hAnsi="Tahoma" w:cs="Tahoma"/>
          <w:sz w:val="20"/>
          <w:szCs w:val="20"/>
        </w:rPr>
        <w:t>peut</w:t>
      </w:r>
      <w:r w:rsidR="00DB1635" w:rsidRPr="00B004EE">
        <w:rPr>
          <w:rFonts w:ascii="Tahoma" w:eastAsia="American Typewriter" w:hAnsi="Tahoma" w:cs="Tahoma"/>
          <w:spacing w:val="40"/>
          <w:sz w:val="20"/>
          <w:szCs w:val="20"/>
        </w:rPr>
        <w:t xml:space="preserve"> </w:t>
      </w:r>
      <w:r w:rsidRPr="00B004EE">
        <w:rPr>
          <w:rFonts w:ascii="Tahoma" w:eastAsia="American Typewriter" w:hAnsi="Tahoma" w:cs="Tahoma"/>
          <w:sz w:val="20"/>
          <w:szCs w:val="20"/>
        </w:rPr>
        <w:t>en</w:t>
      </w:r>
      <w:r w:rsidR="00DB1635" w:rsidRPr="00B004EE">
        <w:rPr>
          <w:rFonts w:ascii="Tahoma" w:eastAsia="American Typewriter" w:hAnsi="Tahoma" w:cs="Tahoma"/>
          <w:spacing w:val="40"/>
          <w:sz w:val="20"/>
          <w:szCs w:val="20"/>
        </w:rPr>
        <w:t xml:space="preserve"> </w:t>
      </w:r>
      <w:r w:rsidRPr="00B004EE">
        <w:rPr>
          <w:rFonts w:ascii="Tahoma" w:eastAsia="American Typewriter" w:hAnsi="Tahoma" w:cs="Tahoma"/>
          <w:sz w:val="20"/>
          <w:szCs w:val="20"/>
        </w:rPr>
        <w:t>concéder</w:t>
      </w:r>
      <w:r w:rsidR="00DB1635" w:rsidRPr="00B004EE">
        <w:rPr>
          <w:rFonts w:ascii="Tahoma" w:eastAsia="American Typewriter" w:hAnsi="Tahoma" w:cs="Tahoma"/>
          <w:spacing w:val="39"/>
          <w:sz w:val="20"/>
          <w:szCs w:val="20"/>
        </w:rPr>
        <w:t xml:space="preserve"> </w:t>
      </w:r>
      <w:r w:rsidRPr="00B004EE">
        <w:rPr>
          <w:rFonts w:ascii="Tahoma" w:eastAsia="American Typewriter" w:hAnsi="Tahoma" w:cs="Tahoma"/>
          <w:sz w:val="20"/>
          <w:szCs w:val="20"/>
        </w:rPr>
        <w:t>l’usage</w:t>
      </w:r>
      <w:r w:rsidR="00DB1635" w:rsidRPr="00B004EE">
        <w:rPr>
          <w:rFonts w:ascii="Tahoma" w:eastAsia="American Typewriter" w:hAnsi="Tahoma" w:cs="Tahoma"/>
          <w:w w:val="94"/>
          <w:sz w:val="20"/>
          <w:szCs w:val="20"/>
        </w:rPr>
        <w:t xml:space="preserve"> </w:t>
      </w:r>
      <w:r w:rsidRPr="00B004EE">
        <w:rPr>
          <w:rFonts w:ascii="Tahoma" w:hAnsi="Tahoma" w:cs="Tahoma"/>
          <w:sz w:val="20"/>
          <w:szCs w:val="20"/>
        </w:rPr>
        <w:t>conformément</w:t>
      </w:r>
      <w:r w:rsidR="00DB1635" w:rsidRPr="00B004EE">
        <w:rPr>
          <w:rFonts w:ascii="Tahoma" w:hAnsi="Tahoma" w:cs="Tahoma"/>
          <w:spacing w:val="-11"/>
          <w:sz w:val="20"/>
          <w:szCs w:val="20"/>
        </w:rPr>
        <w:t xml:space="preserve"> </w:t>
      </w:r>
      <w:r w:rsidRPr="00B004EE">
        <w:rPr>
          <w:rFonts w:ascii="Tahoma" w:hAnsi="Tahoma" w:cs="Tahoma"/>
          <w:sz w:val="20"/>
          <w:szCs w:val="20"/>
        </w:rPr>
        <w:t>aux</w:t>
      </w:r>
      <w:r w:rsidR="00DB1635" w:rsidRPr="00B004EE">
        <w:rPr>
          <w:rFonts w:ascii="Tahoma" w:hAnsi="Tahoma" w:cs="Tahoma"/>
          <w:spacing w:val="-11"/>
          <w:sz w:val="20"/>
          <w:szCs w:val="20"/>
        </w:rPr>
        <w:t xml:space="preserve"> </w:t>
      </w:r>
      <w:r w:rsidRPr="00B004EE">
        <w:rPr>
          <w:rFonts w:ascii="Tahoma" w:hAnsi="Tahoma" w:cs="Tahoma"/>
          <w:sz w:val="20"/>
          <w:szCs w:val="20"/>
        </w:rPr>
        <w:t>dispositions</w:t>
      </w:r>
      <w:r w:rsidR="00DB1635" w:rsidRPr="00B004EE">
        <w:rPr>
          <w:rFonts w:ascii="Tahoma" w:hAnsi="Tahoma" w:cs="Tahoma"/>
          <w:spacing w:val="-12"/>
          <w:sz w:val="20"/>
          <w:szCs w:val="20"/>
        </w:rPr>
        <w:t xml:space="preserve"> </w:t>
      </w:r>
      <w:r w:rsidRPr="00B004EE">
        <w:rPr>
          <w:rFonts w:ascii="Tahoma" w:hAnsi="Tahoma" w:cs="Tahoma"/>
          <w:sz w:val="20"/>
          <w:szCs w:val="20"/>
        </w:rPr>
        <w:t>de</w:t>
      </w:r>
      <w:r w:rsidR="00DB1635" w:rsidRPr="00B004EE">
        <w:rPr>
          <w:rFonts w:ascii="Tahoma" w:hAnsi="Tahoma" w:cs="Tahoma"/>
          <w:spacing w:val="-11"/>
          <w:sz w:val="20"/>
          <w:szCs w:val="20"/>
        </w:rPr>
        <w:t xml:space="preserve"> </w:t>
      </w:r>
      <w:r w:rsidRPr="00B004EE">
        <w:rPr>
          <w:rFonts w:ascii="Tahoma" w:hAnsi="Tahoma" w:cs="Tahoma"/>
          <w:sz w:val="20"/>
          <w:szCs w:val="20"/>
        </w:rPr>
        <w:t>la</w:t>
      </w:r>
      <w:r w:rsidR="00DB1635" w:rsidRPr="00B004EE">
        <w:rPr>
          <w:rFonts w:ascii="Tahoma" w:hAnsi="Tahoma" w:cs="Tahoma"/>
          <w:spacing w:val="-11"/>
          <w:sz w:val="20"/>
          <w:szCs w:val="20"/>
        </w:rPr>
        <w:t xml:space="preserve"> </w:t>
      </w:r>
      <w:r w:rsidRPr="00B004EE">
        <w:rPr>
          <w:rFonts w:ascii="Tahoma" w:hAnsi="Tahoma" w:cs="Tahoma"/>
          <w:sz w:val="20"/>
          <w:szCs w:val="20"/>
        </w:rPr>
        <w:t>présente</w:t>
      </w:r>
      <w:r w:rsidR="00DB1635" w:rsidRPr="00B004EE">
        <w:rPr>
          <w:rFonts w:ascii="Tahoma" w:hAnsi="Tahoma" w:cs="Tahoma"/>
          <w:spacing w:val="-11"/>
          <w:sz w:val="20"/>
          <w:szCs w:val="20"/>
        </w:rPr>
        <w:t xml:space="preserve"> </w:t>
      </w:r>
      <w:r w:rsidRPr="00B004EE">
        <w:rPr>
          <w:rFonts w:ascii="Tahoma" w:hAnsi="Tahoma" w:cs="Tahoma"/>
          <w:sz w:val="20"/>
          <w:szCs w:val="20"/>
        </w:rPr>
        <w:t>Loi</w:t>
      </w:r>
      <w:r w:rsidR="00DB1635" w:rsidRPr="00B004EE">
        <w:rPr>
          <w:rFonts w:ascii="Tahoma" w:hAnsi="Tahoma" w:cs="Tahoma"/>
          <w:spacing w:val="-12"/>
          <w:sz w:val="20"/>
          <w:szCs w:val="20"/>
        </w:rPr>
        <w:t xml:space="preserve"> </w:t>
      </w:r>
      <w:r w:rsidRPr="00B004EE">
        <w:rPr>
          <w:rFonts w:ascii="Tahoma" w:hAnsi="Tahoma" w:cs="Tahoma"/>
          <w:sz w:val="20"/>
          <w:szCs w:val="20"/>
        </w:rPr>
        <w:t>et</w:t>
      </w:r>
      <w:r w:rsidR="00DB1635" w:rsidRPr="00B004EE">
        <w:rPr>
          <w:rFonts w:ascii="Tahoma" w:hAnsi="Tahoma" w:cs="Tahoma"/>
          <w:spacing w:val="-13"/>
          <w:sz w:val="20"/>
          <w:szCs w:val="20"/>
        </w:rPr>
        <w:t xml:space="preserve"> </w:t>
      </w:r>
      <w:r w:rsidRPr="00B004EE">
        <w:rPr>
          <w:rFonts w:ascii="Tahoma" w:hAnsi="Tahoma" w:cs="Tahoma"/>
          <w:sz w:val="20"/>
          <w:szCs w:val="20"/>
        </w:rPr>
        <w:t>des</w:t>
      </w:r>
      <w:r w:rsidR="00DB1635" w:rsidRPr="00B004EE">
        <w:rPr>
          <w:rFonts w:ascii="Tahoma" w:hAnsi="Tahoma" w:cs="Tahoma"/>
          <w:spacing w:val="-13"/>
          <w:sz w:val="20"/>
          <w:szCs w:val="20"/>
        </w:rPr>
        <w:t xml:space="preserve"> </w:t>
      </w:r>
      <w:r w:rsidRPr="00B004EE">
        <w:rPr>
          <w:rFonts w:ascii="Tahoma" w:hAnsi="Tahoma" w:cs="Tahoma"/>
          <w:sz w:val="20"/>
          <w:szCs w:val="20"/>
        </w:rPr>
        <w:t>règlements</w:t>
      </w:r>
      <w:r w:rsidR="00DB1635" w:rsidRPr="00B004EE">
        <w:rPr>
          <w:rFonts w:ascii="Tahoma" w:hAnsi="Tahoma" w:cs="Tahoma"/>
          <w:spacing w:val="-13"/>
          <w:sz w:val="20"/>
          <w:szCs w:val="20"/>
        </w:rPr>
        <w:t xml:space="preserve"> </w:t>
      </w:r>
      <w:r w:rsidRPr="00B004EE">
        <w:rPr>
          <w:rFonts w:ascii="Tahoma" w:hAnsi="Tahoma" w:cs="Tahoma"/>
          <w:sz w:val="20"/>
          <w:szCs w:val="20"/>
        </w:rPr>
        <w:t>pris</w:t>
      </w:r>
      <w:r w:rsidR="00DB1635" w:rsidRPr="00B004EE">
        <w:rPr>
          <w:rFonts w:ascii="Tahoma" w:hAnsi="Tahoma" w:cs="Tahoma"/>
          <w:spacing w:val="-13"/>
          <w:sz w:val="20"/>
          <w:szCs w:val="20"/>
        </w:rPr>
        <w:t xml:space="preserve"> </w:t>
      </w:r>
      <w:r w:rsidRPr="00B004EE">
        <w:rPr>
          <w:rFonts w:ascii="Tahoma" w:hAnsi="Tahoma" w:cs="Tahoma"/>
          <w:sz w:val="20"/>
          <w:szCs w:val="20"/>
        </w:rPr>
        <w:t>pour</w:t>
      </w:r>
      <w:r w:rsidR="00DB1635" w:rsidRPr="00B004EE">
        <w:rPr>
          <w:rFonts w:ascii="Tahoma" w:hAnsi="Tahoma" w:cs="Tahoma"/>
          <w:spacing w:val="-13"/>
          <w:sz w:val="20"/>
          <w:szCs w:val="20"/>
        </w:rPr>
        <w:t xml:space="preserve"> </w:t>
      </w:r>
      <w:r w:rsidRPr="00B004EE">
        <w:rPr>
          <w:rFonts w:ascii="Tahoma" w:hAnsi="Tahoma" w:cs="Tahoma"/>
          <w:sz w:val="20"/>
          <w:szCs w:val="20"/>
        </w:rPr>
        <w:t>son</w:t>
      </w:r>
      <w:r w:rsidR="00DB1635" w:rsidRPr="00B004EE">
        <w:rPr>
          <w:rFonts w:ascii="Tahoma" w:hAnsi="Tahoma" w:cs="Tahoma"/>
          <w:w w:val="93"/>
          <w:sz w:val="20"/>
          <w:szCs w:val="20"/>
        </w:rPr>
        <w:t xml:space="preserve"> </w:t>
      </w:r>
      <w:r w:rsidRPr="00B004EE">
        <w:rPr>
          <w:rFonts w:ascii="Tahoma" w:hAnsi="Tahoma" w:cs="Tahoma"/>
          <w:sz w:val="20"/>
          <w:szCs w:val="20"/>
        </w:rPr>
        <w:t>application.</w:t>
      </w:r>
    </w:p>
    <w:p w14:paraId="440DA1D8" w14:textId="77777777" w:rsidR="00337E3A" w:rsidRPr="00B004EE" w:rsidRDefault="00337E3A" w:rsidP="00B004EE">
      <w:pPr>
        <w:ind w:right="982"/>
        <w:jc w:val="center"/>
        <w:rPr>
          <w:rFonts w:ascii="Tahoma" w:hAnsi="Tahoma" w:cs="Tahoma"/>
          <w:b/>
          <w:sz w:val="20"/>
          <w:szCs w:val="20"/>
        </w:rPr>
      </w:pPr>
    </w:p>
    <w:p w14:paraId="09469675" w14:textId="5AB9828B" w:rsidR="00337E3A" w:rsidRPr="00B004EE" w:rsidRDefault="001E7C3C" w:rsidP="00B004EE">
      <w:pPr>
        <w:jc w:val="center"/>
        <w:rPr>
          <w:rFonts w:ascii="Tahoma" w:eastAsia="American Typewriter" w:hAnsi="Tahoma" w:cs="Tahoma"/>
          <w:b/>
          <w:bCs/>
          <w:sz w:val="20"/>
          <w:szCs w:val="20"/>
        </w:rPr>
      </w:pPr>
      <w:r w:rsidRPr="00B004EE">
        <w:rPr>
          <w:rFonts w:ascii="Tahoma" w:eastAsia="American Typewriter" w:hAnsi="Tahoma" w:cs="Tahoma"/>
          <w:b/>
          <w:bCs/>
          <w:sz w:val="20"/>
          <w:szCs w:val="20"/>
        </w:rPr>
        <w:t>Section</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5</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Des</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différents</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types</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de</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pêche</w:t>
      </w:r>
    </w:p>
    <w:p w14:paraId="5A06AB44" w14:textId="77777777" w:rsidR="00337E3A" w:rsidRPr="00B004EE" w:rsidRDefault="00337E3A" w:rsidP="00B004EE">
      <w:pPr>
        <w:jc w:val="center"/>
        <w:rPr>
          <w:rFonts w:ascii="Tahoma" w:hAnsi="Tahoma" w:cs="Tahoma"/>
          <w:bCs/>
          <w:sz w:val="20"/>
          <w:szCs w:val="20"/>
        </w:rPr>
      </w:pPr>
    </w:p>
    <w:p w14:paraId="2A489BB8" w14:textId="0A988294" w:rsidR="001E7C3C" w:rsidRPr="00B004EE" w:rsidRDefault="001E7C3C" w:rsidP="00B004EE">
      <w:pPr>
        <w:ind w:right="982"/>
        <w:rPr>
          <w:rFonts w:ascii="Tahoma" w:eastAsia="American Typewriter"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6</w:t>
      </w:r>
      <w:r w:rsidR="00DB1635" w:rsidRPr="00B004EE">
        <w:rPr>
          <w:rFonts w:ascii="Tahoma" w:hAnsi="Tahoma" w:cs="Tahoma"/>
          <w:bCs/>
          <w:sz w:val="20"/>
          <w:szCs w:val="20"/>
        </w:rPr>
        <w:t xml:space="preserve"> </w:t>
      </w:r>
      <w:r w:rsidRPr="00B004EE">
        <w:rPr>
          <w:rFonts w:ascii="Tahoma" w:hAnsi="Tahoma" w:cs="Tahoma"/>
          <w:bCs/>
          <w:sz w:val="20"/>
          <w:szCs w:val="20"/>
        </w:rPr>
        <w:t>:</w:t>
      </w:r>
      <w:r w:rsidR="00DB1635" w:rsidRPr="00B004EE">
        <w:rPr>
          <w:rFonts w:ascii="Tahoma" w:hAnsi="Tahoma" w:cs="Tahoma"/>
          <w:b/>
          <w:spacing w:val="-21"/>
          <w:sz w:val="20"/>
          <w:szCs w:val="20"/>
        </w:rPr>
        <w:t xml:space="preserve"> </w:t>
      </w:r>
      <w:r w:rsidRPr="00B004EE">
        <w:rPr>
          <w:rFonts w:ascii="Tahoma" w:hAnsi="Tahoma" w:cs="Tahoma"/>
          <w:sz w:val="20"/>
          <w:szCs w:val="20"/>
        </w:rPr>
        <w:t>La</w:t>
      </w:r>
      <w:r w:rsidR="00DB1635" w:rsidRPr="00B004EE">
        <w:rPr>
          <w:rFonts w:ascii="Tahoma" w:hAnsi="Tahoma" w:cs="Tahoma"/>
          <w:spacing w:val="-23"/>
          <w:sz w:val="20"/>
          <w:szCs w:val="20"/>
        </w:rPr>
        <w:t xml:space="preserve"> </w:t>
      </w:r>
      <w:r w:rsidRPr="00B004EE">
        <w:rPr>
          <w:rFonts w:ascii="Tahoma" w:hAnsi="Tahoma" w:cs="Tahoma"/>
          <w:sz w:val="20"/>
          <w:szCs w:val="20"/>
        </w:rPr>
        <w:t>pêche</w:t>
      </w:r>
      <w:r w:rsidR="00DB1635" w:rsidRPr="00B004EE">
        <w:rPr>
          <w:rFonts w:ascii="Tahoma" w:hAnsi="Tahoma" w:cs="Tahoma"/>
          <w:spacing w:val="-24"/>
          <w:sz w:val="20"/>
          <w:szCs w:val="20"/>
        </w:rPr>
        <w:t xml:space="preserve"> </w:t>
      </w:r>
      <w:r w:rsidRPr="00B004EE">
        <w:rPr>
          <w:rFonts w:ascii="Tahoma" w:hAnsi="Tahoma" w:cs="Tahoma"/>
          <w:sz w:val="20"/>
          <w:szCs w:val="20"/>
        </w:rPr>
        <w:t>peut</w:t>
      </w:r>
      <w:r w:rsidR="00DB1635" w:rsidRPr="00B004EE">
        <w:rPr>
          <w:rFonts w:ascii="Tahoma" w:hAnsi="Tahoma" w:cs="Tahoma"/>
          <w:spacing w:val="-24"/>
          <w:sz w:val="20"/>
          <w:szCs w:val="20"/>
        </w:rPr>
        <w:t xml:space="preserve"> </w:t>
      </w:r>
      <w:r w:rsidRPr="00B004EE">
        <w:rPr>
          <w:rFonts w:ascii="Tahoma" w:hAnsi="Tahoma" w:cs="Tahoma"/>
          <w:sz w:val="20"/>
          <w:szCs w:val="20"/>
        </w:rPr>
        <w:t>avoir</w:t>
      </w:r>
      <w:r w:rsidR="00DB1635" w:rsidRPr="00B004EE">
        <w:rPr>
          <w:rFonts w:ascii="Tahoma" w:hAnsi="Tahoma" w:cs="Tahoma"/>
          <w:spacing w:val="-24"/>
          <w:sz w:val="20"/>
          <w:szCs w:val="20"/>
        </w:rPr>
        <w:t xml:space="preserve"> </w:t>
      </w:r>
      <w:r w:rsidRPr="00B004EE">
        <w:rPr>
          <w:rFonts w:ascii="Tahoma" w:hAnsi="Tahoma" w:cs="Tahoma"/>
          <w:sz w:val="20"/>
          <w:szCs w:val="20"/>
        </w:rPr>
        <w:t>pour</w:t>
      </w:r>
      <w:r w:rsidR="00DB1635" w:rsidRPr="00B004EE">
        <w:rPr>
          <w:rFonts w:ascii="Tahoma" w:hAnsi="Tahoma" w:cs="Tahoma"/>
          <w:spacing w:val="-24"/>
          <w:sz w:val="20"/>
          <w:szCs w:val="20"/>
        </w:rPr>
        <w:t xml:space="preserve"> </w:t>
      </w:r>
      <w:r w:rsidRPr="00B004EE">
        <w:rPr>
          <w:rFonts w:ascii="Tahoma" w:hAnsi="Tahoma" w:cs="Tahoma"/>
          <w:sz w:val="20"/>
          <w:szCs w:val="20"/>
        </w:rPr>
        <w:t>finalité</w:t>
      </w:r>
      <w:r w:rsidR="00DB1635" w:rsidRPr="00B004EE">
        <w:rPr>
          <w:rFonts w:ascii="Tahoma" w:hAnsi="Tahoma" w:cs="Tahoma"/>
          <w:spacing w:val="-24"/>
          <w:sz w:val="20"/>
          <w:szCs w:val="20"/>
        </w:rPr>
        <w:t xml:space="preserve"> </w:t>
      </w:r>
      <w:r w:rsidRPr="00B004EE">
        <w:rPr>
          <w:rFonts w:ascii="Tahoma" w:hAnsi="Tahoma" w:cs="Tahoma"/>
          <w:sz w:val="20"/>
          <w:szCs w:val="20"/>
        </w:rPr>
        <w:t>:</w:t>
      </w:r>
    </w:p>
    <w:p w14:paraId="3E8AA5E1" w14:textId="77777777" w:rsidR="001E7C3C" w:rsidRPr="00B004EE" w:rsidRDefault="001E7C3C" w:rsidP="00B004EE">
      <w:pPr>
        <w:rPr>
          <w:rFonts w:ascii="Tahoma" w:eastAsia="American Typewriter" w:hAnsi="Tahoma" w:cs="Tahoma"/>
          <w:sz w:val="20"/>
          <w:szCs w:val="20"/>
        </w:rPr>
      </w:pPr>
    </w:p>
    <w:p w14:paraId="680A7FE1" w14:textId="7B9ECC27" w:rsidR="001E7C3C" w:rsidRPr="00B004EE" w:rsidRDefault="00150C90" w:rsidP="00420DDA">
      <w:pPr>
        <w:pStyle w:val="Paragraphedeliste"/>
        <w:widowControl w:val="0"/>
        <w:numPr>
          <w:ilvl w:val="0"/>
          <w:numId w:val="43"/>
        </w:numPr>
        <w:tabs>
          <w:tab w:val="left" w:pos="870"/>
        </w:tabs>
        <w:ind w:right="168"/>
        <w:rPr>
          <w:rFonts w:ascii="Tahoma" w:eastAsia="American Typewriter" w:hAnsi="Tahoma" w:cs="Tahoma"/>
          <w:sz w:val="20"/>
          <w:szCs w:val="20"/>
        </w:rPr>
      </w:pPr>
      <w:r w:rsidRPr="00B004EE">
        <w:rPr>
          <w:rFonts w:ascii="Tahoma" w:hAnsi="Tahoma" w:cs="Tahoma"/>
          <w:sz w:val="20"/>
          <w:szCs w:val="20"/>
        </w:rPr>
        <w:t>La</w:t>
      </w:r>
      <w:r w:rsidR="00DB1635" w:rsidRPr="00B004EE">
        <w:rPr>
          <w:rFonts w:ascii="Tahoma" w:hAnsi="Tahoma" w:cs="Tahoma"/>
          <w:sz w:val="20"/>
          <w:szCs w:val="20"/>
        </w:rPr>
        <w:t xml:space="preserve"> </w:t>
      </w:r>
      <w:r w:rsidR="001E7C3C" w:rsidRPr="00B004EE">
        <w:rPr>
          <w:rFonts w:ascii="Tahoma" w:hAnsi="Tahoma" w:cs="Tahoma"/>
          <w:sz w:val="20"/>
          <w:szCs w:val="20"/>
        </w:rPr>
        <w:t>subsistance</w:t>
      </w:r>
      <w:r w:rsidR="00DB1635" w:rsidRPr="00B004EE">
        <w:rPr>
          <w:rFonts w:ascii="Tahoma" w:hAnsi="Tahoma" w:cs="Tahoma"/>
          <w:spacing w:val="11"/>
          <w:sz w:val="20"/>
          <w:szCs w:val="20"/>
        </w:rPr>
        <w:t xml:space="preserve"> </w:t>
      </w:r>
      <w:r w:rsidR="001E7C3C" w:rsidRPr="00B004EE">
        <w:rPr>
          <w:rFonts w:ascii="Tahoma" w:hAnsi="Tahoma" w:cs="Tahoma"/>
          <w:sz w:val="20"/>
          <w:szCs w:val="20"/>
        </w:rPr>
        <w:t>;</w:t>
      </w:r>
    </w:p>
    <w:p w14:paraId="75D8BE17" w14:textId="7966790C" w:rsidR="001E7C3C" w:rsidRPr="00B004EE" w:rsidRDefault="00150C90" w:rsidP="00420DDA">
      <w:pPr>
        <w:pStyle w:val="Paragraphedeliste"/>
        <w:widowControl w:val="0"/>
        <w:numPr>
          <w:ilvl w:val="0"/>
          <w:numId w:val="43"/>
        </w:numPr>
        <w:tabs>
          <w:tab w:val="left" w:pos="870"/>
        </w:tabs>
        <w:ind w:right="168"/>
        <w:rPr>
          <w:rFonts w:ascii="Tahoma" w:eastAsia="American Typewriter" w:hAnsi="Tahoma" w:cs="Tahoma"/>
          <w:sz w:val="20"/>
          <w:szCs w:val="20"/>
        </w:rPr>
      </w:pPr>
      <w:r w:rsidRPr="00B004EE">
        <w:rPr>
          <w:rFonts w:ascii="Tahoma" w:hAnsi="Tahoma" w:cs="Tahoma"/>
          <w:sz w:val="20"/>
          <w:szCs w:val="20"/>
        </w:rPr>
        <w:t>Le</w:t>
      </w:r>
      <w:r w:rsidR="00DB1635" w:rsidRPr="00B004EE">
        <w:rPr>
          <w:rFonts w:ascii="Tahoma" w:hAnsi="Tahoma" w:cs="Tahoma"/>
          <w:sz w:val="20"/>
          <w:szCs w:val="20"/>
        </w:rPr>
        <w:t xml:space="preserve"> </w:t>
      </w:r>
      <w:r w:rsidR="001E7C3C" w:rsidRPr="00B004EE">
        <w:rPr>
          <w:rFonts w:ascii="Tahoma" w:hAnsi="Tahoma" w:cs="Tahoma"/>
          <w:sz w:val="20"/>
          <w:szCs w:val="20"/>
        </w:rPr>
        <w:t>commerce</w:t>
      </w:r>
      <w:r w:rsidR="00DB1635" w:rsidRPr="00B004EE">
        <w:rPr>
          <w:rFonts w:ascii="Tahoma" w:hAnsi="Tahoma" w:cs="Tahoma"/>
          <w:spacing w:val="10"/>
          <w:sz w:val="20"/>
          <w:szCs w:val="20"/>
        </w:rPr>
        <w:t xml:space="preserve"> </w:t>
      </w:r>
      <w:r w:rsidR="001E7C3C" w:rsidRPr="00B004EE">
        <w:rPr>
          <w:rFonts w:ascii="Tahoma" w:hAnsi="Tahoma" w:cs="Tahoma"/>
          <w:sz w:val="20"/>
          <w:szCs w:val="20"/>
        </w:rPr>
        <w:t>;</w:t>
      </w:r>
    </w:p>
    <w:p w14:paraId="17017304" w14:textId="2CE6FE1C" w:rsidR="001E7C3C" w:rsidRPr="00B004EE" w:rsidRDefault="00150C90" w:rsidP="00420DDA">
      <w:pPr>
        <w:pStyle w:val="Paragraphedeliste"/>
        <w:widowControl w:val="0"/>
        <w:numPr>
          <w:ilvl w:val="0"/>
          <w:numId w:val="43"/>
        </w:numPr>
        <w:tabs>
          <w:tab w:val="left" w:pos="870"/>
        </w:tabs>
        <w:ind w:right="168"/>
        <w:rPr>
          <w:rFonts w:ascii="Tahoma" w:eastAsia="American Typewriter" w:hAnsi="Tahoma" w:cs="Tahoma"/>
          <w:sz w:val="20"/>
          <w:szCs w:val="20"/>
        </w:rPr>
      </w:pPr>
      <w:r w:rsidRPr="00B004EE">
        <w:rPr>
          <w:rFonts w:ascii="Tahoma" w:eastAsia="American Typewriter" w:hAnsi="Tahoma" w:cs="Tahoma"/>
          <w:sz w:val="20"/>
          <w:szCs w:val="20"/>
        </w:rPr>
        <w:t>L’exploration</w:t>
      </w:r>
      <w:r w:rsidR="00920598" w:rsidRPr="00B004EE">
        <w:rPr>
          <w:rFonts w:ascii="Tahoma" w:eastAsia="American Typewriter" w:hAnsi="Tahoma" w:cs="Tahoma"/>
          <w:sz w:val="20"/>
          <w:szCs w:val="20"/>
        </w:rPr>
        <w:t xml:space="preserve"> ;</w:t>
      </w:r>
    </w:p>
    <w:p w14:paraId="2DA62144" w14:textId="0A9E34AF" w:rsidR="001E7C3C" w:rsidRPr="00B004EE" w:rsidRDefault="00150C90" w:rsidP="00420DDA">
      <w:pPr>
        <w:pStyle w:val="Paragraphedeliste"/>
        <w:widowControl w:val="0"/>
        <w:numPr>
          <w:ilvl w:val="0"/>
          <w:numId w:val="43"/>
        </w:numPr>
        <w:tabs>
          <w:tab w:val="left" w:pos="870"/>
        </w:tabs>
        <w:ind w:right="168"/>
        <w:rPr>
          <w:rFonts w:ascii="Tahoma" w:eastAsia="American Typewriter" w:hAnsi="Tahoma" w:cs="Tahoma"/>
          <w:sz w:val="20"/>
          <w:szCs w:val="20"/>
        </w:rPr>
      </w:pPr>
      <w:r w:rsidRPr="00B004EE">
        <w:rPr>
          <w:rFonts w:ascii="Tahoma" w:hAnsi="Tahoma" w:cs="Tahoma"/>
          <w:sz w:val="20"/>
          <w:szCs w:val="20"/>
        </w:rPr>
        <w:t>L</w:t>
      </w:r>
      <w:r w:rsidR="001E7C3C" w:rsidRPr="00B004EE">
        <w:rPr>
          <w:rFonts w:ascii="Tahoma" w:hAnsi="Tahoma" w:cs="Tahoma"/>
          <w:sz w:val="20"/>
          <w:szCs w:val="20"/>
        </w:rPr>
        <w:t>a</w:t>
      </w:r>
      <w:r w:rsidR="00DB1635" w:rsidRPr="00B004EE">
        <w:rPr>
          <w:rFonts w:ascii="Tahoma" w:hAnsi="Tahoma" w:cs="Tahoma"/>
          <w:sz w:val="20"/>
          <w:szCs w:val="20"/>
        </w:rPr>
        <w:t xml:space="preserve"> </w:t>
      </w:r>
      <w:r w:rsidR="001E7C3C" w:rsidRPr="00B004EE">
        <w:rPr>
          <w:rFonts w:ascii="Tahoma" w:hAnsi="Tahoma" w:cs="Tahoma"/>
          <w:sz w:val="20"/>
          <w:szCs w:val="20"/>
        </w:rPr>
        <w:t>recherche</w:t>
      </w:r>
      <w:r w:rsidR="00DB1635" w:rsidRPr="00B004EE">
        <w:rPr>
          <w:rFonts w:ascii="Tahoma" w:hAnsi="Tahoma" w:cs="Tahoma"/>
          <w:sz w:val="20"/>
          <w:szCs w:val="20"/>
        </w:rPr>
        <w:t xml:space="preserve"> </w:t>
      </w:r>
      <w:r w:rsidR="001E7C3C" w:rsidRPr="00B004EE">
        <w:rPr>
          <w:rFonts w:ascii="Tahoma" w:hAnsi="Tahoma" w:cs="Tahoma"/>
          <w:sz w:val="20"/>
          <w:szCs w:val="20"/>
        </w:rPr>
        <w:t>scientifique</w:t>
      </w:r>
      <w:r w:rsidR="00DB1635" w:rsidRPr="00B004EE">
        <w:rPr>
          <w:rFonts w:ascii="Tahoma" w:hAnsi="Tahoma" w:cs="Tahoma"/>
          <w:sz w:val="20"/>
          <w:szCs w:val="20"/>
        </w:rPr>
        <w:t xml:space="preserve"> </w:t>
      </w:r>
      <w:r w:rsidR="001E7C3C" w:rsidRPr="00B004EE">
        <w:rPr>
          <w:rFonts w:ascii="Tahoma" w:hAnsi="Tahoma" w:cs="Tahoma"/>
          <w:sz w:val="20"/>
          <w:szCs w:val="20"/>
        </w:rPr>
        <w:t>ou</w:t>
      </w:r>
      <w:r w:rsidR="00DB1635" w:rsidRPr="00B004EE">
        <w:rPr>
          <w:rFonts w:ascii="Tahoma" w:hAnsi="Tahoma" w:cs="Tahoma"/>
          <w:spacing w:val="13"/>
          <w:sz w:val="20"/>
          <w:szCs w:val="20"/>
        </w:rPr>
        <w:t xml:space="preserve"> </w:t>
      </w:r>
      <w:r w:rsidRPr="00B004EE">
        <w:rPr>
          <w:rFonts w:ascii="Tahoma" w:hAnsi="Tahoma" w:cs="Tahoma"/>
          <w:sz w:val="20"/>
          <w:szCs w:val="20"/>
        </w:rPr>
        <w:t>technique ;</w:t>
      </w:r>
    </w:p>
    <w:p w14:paraId="59570C1D" w14:textId="177412DA" w:rsidR="001E7C3C" w:rsidRPr="00B004EE" w:rsidRDefault="00150C90" w:rsidP="00420DDA">
      <w:pPr>
        <w:pStyle w:val="Paragraphedeliste"/>
        <w:widowControl w:val="0"/>
        <w:numPr>
          <w:ilvl w:val="0"/>
          <w:numId w:val="43"/>
        </w:numPr>
        <w:tabs>
          <w:tab w:val="left" w:pos="870"/>
        </w:tabs>
        <w:ind w:right="168"/>
        <w:rPr>
          <w:rFonts w:ascii="Tahoma" w:eastAsia="American Typewriter" w:hAnsi="Tahoma" w:cs="Tahoma"/>
          <w:sz w:val="20"/>
          <w:szCs w:val="20"/>
        </w:rPr>
      </w:pPr>
      <w:r w:rsidRPr="00B004EE">
        <w:rPr>
          <w:rFonts w:ascii="Tahoma" w:hAnsi="Tahoma" w:cs="Tahoma"/>
          <w:sz w:val="20"/>
          <w:szCs w:val="20"/>
        </w:rPr>
        <w:t>L</w:t>
      </w:r>
      <w:r w:rsidR="001E7C3C" w:rsidRPr="00B004EE">
        <w:rPr>
          <w:rFonts w:ascii="Tahoma" w:hAnsi="Tahoma" w:cs="Tahoma"/>
          <w:sz w:val="20"/>
          <w:szCs w:val="20"/>
        </w:rPr>
        <w:t>e</w:t>
      </w:r>
      <w:r w:rsidRPr="00B004EE">
        <w:rPr>
          <w:rFonts w:ascii="Tahoma" w:hAnsi="Tahoma" w:cs="Tahoma"/>
          <w:sz w:val="20"/>
          <w:szCs w:val="20"/>
        </w:rPr>
        <w:t xml:space="preserve"> </w:t>
      </w:r>
      <w:r w:rsidR="001E7C3C" w:rsidRPr="00B004EE">
        <w:rPr>
          <w:rFonts w:ascii="Tahoma" w:hAnsi="Tahoma" w:cs="Tahoma"/>
          <w:sz w:val="20"/>
          <w:szCs w:val="20"/>
        </w:rPr>
        <w:t>sport.</w:t>
      </w:r>
    </w:p>
    <w:p w14:paraId="5B03FCFA" w14:textId="77777777" w:rsidR="00150C90" w:rsidRPr="00B004EE" w:rsidRDefault="00150C90" w:rsidP="00B004EE">
      <w:pPr>
        <w:pStyle w:val="Paragraphedeliste"/>
        <w:widowControl w:val="0"/>
        <w:tabs>
          <w:tab w:val="left" w:pos="870"/>
        </w:tabs>
        <w:ind w:left="870" w:right="168"/>
        <w:rPr>
          <w:rFonts w:ascii="Tahoma" w:eastAsia="American Typewriter" w:hAnsi="Tahoma" w:cs="Tahoma"/>
          <w:sz w:val="20"/>
          <w:szCs w:val="20"/>
        </w:rPr>
      </w:pPr>
    </w:p>
    <w:p w14:paraId="7B788947" w14:textId="09A981E1" w:rsidR="001E7C3C" w:rsidRPr="00B004EE" w:rsidRDefault="001E7C3C" w:rsidP="00420DDA">
      <w:pPr>
        <w:pStyle w:val="Corpsdetexte"/>
        <w:numPr>
          <w:ilvl w:val="0"/>
          <w:numId w:val="128"/>
        </w:numPr>
        <w:ind w:left="284" w:right="159"/>
        <w:rPr>
          <w:rFonts w:ascii="Tahoma" w:hAnsi="Tahoma" w:cs="Tahoma"/>
          <w:sz w:val="20"/>
          <w:szCs w:val="20"/>
        </w:rPr>
      </w:pPr>
      <w:r w:rsidRPr="00B004EE">
        <w:rPr>
          <w:rFonts w:ascii="Tahoma" w:hAnsi="Tahoma" w:cs="Tahoma"/>
          <w:sz w:val="20"/>
          <w:szCs w:val="20"/>
        </w:rPr>
        <w:t>La</w:t>
      </w:r>
      <w:r w:rsidR="00DB1635" w:rsidRPr="00B004EE">
        <w:rPr>
          <w:rFonts w:ascii="Tahoma" w:hAnsi="Tahoma" w:cs="Tahoma"/>
          <w:spacing w:val="-16"/>
          <w:sz w:val="20"/>
          <w:szCs w:val="20"/>
        </w:rPr>
        <w:t xml:space="preserve"> </w:t>
      </w:r>
      <w:r w:rsidRPr="00B004EE">
        <w:rPr>
          <w:rFonts w:ascii="Tahoma" w:hAnsi="Tahoma" w:cs="Tahoma"/>
          <w:sz w:val="20"/>
          <w:szCs w:val="20"/>
        </w:rPr>
        <w:t>pêche</w:t>
      </w:r>
      <w:r w:rsidR="00DB1635" w:rsidRPr="00B004EE">
        <w:rPr>
          <w:rFonts w:ascii="Tahoma" w:hAnsi="Tahoma" w:cs="Tahoma"/>
          <w:spacing w:val="-17"/>
          <w:sz w:val="20"/>
          <w:szCs w:val="20"/>
        </w:rPr>
        <w:t xml:space="preserve"> </w:t>
      </w:r>
      <w:r w:rsidRPr="00B004EE">
        <w:rPr>
          <w:rFonts w:ascii="Tahoma" w:hAnsi="Tahoma" w:cs="Tahoma"/>
          <w:sz w:val="20"/>
          <w:szCs w:val="20"/>
        </w:rPr>
        <w:t>de</w:t>
      </w:r>
      <w:r w:rsidR="00DB1635" w:rsidRPr="00B004EE">
        <w:rPr>
          <w:rFonts w:ascii="Tahoma" w:hAnsi="Tahoma" w:cs="Tahoma"/>
          <w:spacing w:val="-17"/>
          <w:sz w:val="20"/>
          <w:szCs w:val="20"/>
        </w:rPr>
        <w:t xml:space="preserve"> </w:t>
      </w:r>
      <w:r w:rsidRPr="00B004EE">
        <w:rPr>
          <w:rFonts w:ascii="Tahoma" w:hAnsi="Tahoma" w:cs="Tahoma"/>
          <w:sz w:val="20"/>
          <w:szCs w:val="20"/>
        </w:rPr>
        <w:t>subsistance</w:t>
      </w:r>
      <w:r w:rsidR="00DB1635" w:rsidRPr="00B004EE">
        <w:rPr>
          <w:rFonts w:ascii="Tahoma" w:hAnsi="Tahoma" w:cs="Tahoma"/>
          <w:spacing w:val="-17"/>
          <w:sz w:val="20"/>
          <w:szCs w:val="20"/>
        </w:rPr>
        <w:t xml:space="preserve"> </w:t>
      </w:r>
      <w:r w:rsidRPr="00B004EE">
        <w:rPr>
          <w:rFonts w:ascii="Tahoma" w:hAnsi="Tahoma" w:cs="Tahoma"/>
          <w:sz w:val="20"/>
          <w:szCs w:val="20"/>
        </w:rPr>
        <w:t>est</w:t>
      </w:r>
      <w:r w:rsidR="00DB1635" w:rsidRPr="00B004EE">
        <w:rPr>
          <w:rFonts w:ascii="Tahoma" w:hAnsi="Tahoma" w:cs="Tahoma"/>
          <w:spacing w:val="-17"/>
          <w:sz w:val="20"/>
          <w:szCs w:val="20"/>
        </w:rPr>
        <w:t xml:space="preserve"> </w:t>
      </w:r>
      <w:r w:rsidRPr="00B004EE">
        <w:rPr>
          <w:rFonts w:ascii="Tahoma" w:hAnsi="Tahoma" w:cs="Tahoma"/>
          <w:sz w:val="20"/>
          <w:szCs w:val="20"/>
        </w:rPr>
        <w:t>celle</w:t>
      </w:r>
      <w:r w:rsidR="00DB1635" w:rsidRPr="00B004EE">
        <w:rPr>
          <w:rFonts w:ascii="Tahoma" w:hAnsi="Tahoma" w:cs="Tahoma"/>
          <w:spacing w:val="-18"/>
          <w:sz w:val="20"/>
          <w:szCs w:val="20"/>
        </w:rPr>
        <w:t xml:space="preserve"> </w:t>
      </w:r>
      <w:r w:rsidRPr="00B004EE">
        <w:rPr>
          <w:rFonts w:ascii="Tahoma" w:hAnsi="Tahoma" w:cs="Tahoma"/>
          <w:sz w:val="20"/>
          <w:szCs w:val="20"/>
        </w:rPr>
        <w:t>pratiquée</w:t>
      </w:r>
      <w:r w:rsidR="00DB1635" w:rsidRPr="00B004EE">
        <w:rPr>
          <w:rFonts w:ascii="Tahoma" w:hAnsi="Tahoma" w:cs="Tahoma"/>
          <w:spacing w:val="-18"/>
          <w:sz w:val="20"/>
          <w:szCs w:val="20"/>
        </w:rPr>
        <w:t xml:space="preserve"> </w:t>
      </w:r>
      <w:r w:rsidRPr="00B004EE">
        <w:rPr>
          <w:rFonts w:ascii="Tahoma" w:hAnsi="Tahoma" w:cs="Tahoma"/>
          <w:sz w:val="20"/>
          <w:szCs w:val="20"/>
        </w:rPr>
        <w:t>sous</w:t>
      </w:r>
      <w:r w:rsidR="00DB1635" w:rsidRPr="00B004EE">
        <w:rPr>
          <w:rFonts w:ascii="Tahoma" w:hAnsi="Tahoma" w:cs="Tahoma"/>
          <w:spacing w:val="-19"/>
          <w:sz w:val="20"/>
          <w:szCs w:val="20"/>
        </w:rPr>
        <w:t xml:space="preserve"> </w:t>
      </w:r>
      <w:r w:rsidRPr="00B004EE">
        <w:rPr>
          <w:rFonts w:ascii="Tahoma" w:hAnsi="Tahoma" w:cs="Tahoma"/>
          <w:sz w:val="20"/>
          <w:szCs w:val="20"/>
        </w:rPr>
        <w:t>la</w:t>
      </w:r>
      <w:r w:rsidR="00DB1635" w:rsidRPr="00B004EE">
        <w:rPr>
          <w:rFonts w:ascii="Tahoma" w:hAnsi="Tahoma" w:cs="Tahoma"/>
          <w:spacing w:val="-18"/>
          <w:sz w:val="20"/>
          <w:szCs w:val="20"/>
        </w:rPr>
        <w:t xml:space="preserve"> </w:t>
      </w:r>
      <w:r w:rsidRPr="00B004EE">
        <w:rPr>
          <w:rFonts w:ascii="Tahoma" w:hAnsi="Tahoma" w:cs="Tahoma"/>
          <w:sz w:val="20"/>
          <w:szCs w:val="20"/>
        </w:rPr>
        <w:t>forme</w:t>
      </w:r>
      <w:r w:rsidR="00DB1635" w:rsidRPr="00B004EE">
        <w:rPr>
          <w:rFonts w:ascii="Tahoma" w:hAnsi="Tahoma" w:cs="Tahoma"/>
          <w:spacing w:val="-18"/>
          <w:sz w:val="20"/>
          <w:szCs w:val="20"/>
        </w:rPr>
        <w:t xml:space="preserve"> </w:t>
      </w:r>
      <w:r w:rsidRPr="00B004EE">
        <w:rPr>
          <w:rFonts w:ascii="Tahoma" w:hAnsi="Tahoma" w:cs="Tahoma"/>
          <w:sz w:val="20"/>
          <w:szCs w:val="20"/>
        </w:rPr>
        <w:t>traditionnelle,</w:t>
      </w:r>
      <w:r w:rsidR="00DB1635" w:rsidRPr="00B004EE">
        <w:rPr>
          <w:rFonts w:ascii="Tahoma" w:hAnsi="Tahoma" w:cs="Tahoma"/>
          <w:spacing w:val="-18"/>
          <w:sz w:val="20"/>
          <w:szCs w:val="20"/>
        </w:rPr>
        <w:t xml:space="preserve"> </w:t>
      </w:r>
      <w:r w:rsidRPr="00B004EE">
        <w:rPr>
          <w:rFonts w:ascii="Tahoma" w:hAnsi="Tahoma" w:cs="Tahoma"/>
          <w:sz w:val="20"/>
          <w:szCs w:val="20"/>
        </w:rPr>
        <w:t>elle</w:t>
      </w:r>
      <w:r w:rsidR="00DB1635" w:rsidRPr="00B004EE">
        <w:rPr>
          <w:rFonts w:ascii="Tahoma" w:hAnsi="Tahoma" w:cs="Tahoma"/>
          <w:spacing w:val="-18"/>
          <w:sz w:val="20"/>
          <w:szCs w:val="20"/>
        </w:rPr>
        <w:t xml:space="preserve"> </w:t>
      </w:r>
      <w:r w:rsidRPr="00B004EE">
        <w:rPr>
          <w:rFonts w:ascii="Tahoma" w:hAnsi="Tahoma" w:cs="Tahoma"/>
          <w:sz w:val="20"/>
          <w:szCs w:val="20"/>
        </w:rPr>
        <w:t>a</w:t>
      </w:r>
      <w:r w:rsidR="00DB1635" w:rsidRPr="00B004EE">
        <w:rPr>
          <w:rFonts w:ascii="Tahoma" w:hAnsi="Tahoma" w:cs="Tahoma"/>
          <w:spacing w:val="-18"/>
          <w:sz w:val="20"/>
          <w:szCs w:val="20"/>
        </w:rPr>
        <w:t xml:space="preserve"> </w:t>
      </w:r>
      <w:r w:rsidRPr="00B004EE">
        <w:rPr>
          <w:rFonts w:ascii="Tahoma" w:hAnsi="Tahoma" w:cs="Tahoma"/>
          <w:sz w:val="20"/>
          <w:szCs w:val="20"/>
        </w:rPr>
        <w:t>pour</w:t>
      </w:r>
      <w:r w:rsidR="00DB1635" w:rsidRPr="00B004EE">
        <w:rPr>
          <w:rFonts w:ascii="Tahoma" w:hAnsi="Tahoma" w:cs="Tahoma"/>
          <w:w w:val="93"/>
          <w:sz w:val="20"/>
          <w:szCs w:val="20"/>
        </w:rPr>
        <w:t xml:space="preserve"> </w:t>
      </w:r>
      <w:r w:rsidRPr="00B004EE">
        <w:rPr>
          <w:rFonts w:ascii="Tahoma" w:hAnsi="Tahoma" w:cs="Tahoma"/>
          <w:sz w:val="20"/>
          <w:szCs w:val="20"/>
        </w:rPr>
        <w:t>but</w:t>
      </w:r>
      <w:r w:rsidR="00DB1635" w:rsidRPr="00B004EE">
        <w:rPr>
          <w:rFonts w:ascii="Tahoma" w:hAnsi="Tahoma" w:cs="Tahoma"/>
          <w:spacing w:val="-28"/>
          <w:sz w:val="20"/>
          <w:szCs w:val="20"/>
        </w:rPr>
        <w:t xml:space="preserve"> </w:t>
      </w:r>
      <w:r w:rsidRPr="00B004EE">
        <w:rPr>
          <w:rFonts w:ascii="Tahoma" w:hAnsi="Tahoma" w:cs="Tahoma"/>
          <w:sz w:val="20"/>
          <w:szCs w:val="20"/>
        </w:rPr>
        <w:t>principal</w:t>
      </w:r>
      <w:r w:rsidR="00DB1635" w:rsidRPr="00B004EE">
        <w:rPr>
          <w:rFonts w:ascii="Tahoma" w:hAnsi="Tahoma" w:cs="Tahoma"/>
          <w:spacing w:val="-27"/>
          <w:sz w:val="20"/>
          <w:szCs w:val="20"/>
        </w:rPr>
        <w:t xml:space="preserve"> </w:t>
      </w:r>
      <w:r w:rsidRPr="00B004EE">
        <w:rPr>
          <w:rFonts w:ascii="Tahoma" w:hAnsi="Tahoma" w:cs="Tahoma"/>
          <w:sz w:val="20"/>
          <w:szCs w:val="20"/>
        </w:rPr>
        <w:t>l'obtention</w:t>
      </w:r>
      <w:r w:rsidR="00DB1635" w:rsidRPr="00B004EE">
        <w:rPr>
          <w:rFonts w:ascii="Tahoma" w:hAnsi="Tahoma" w:cs="Tahoma"/>
          <w:spacing w:val="-28"/>
          <w:sz w:val="20"/>
          <w:szCs w:val="20"/>
        </w:rPr>
        <w:t xml:space="preserve"> </w:t>
      </w:r>
      <w:r w:rsidRPr="00B004EE">
        <w:rPr>
          <w:rFonts w:ascii="Tahoma" w:hAnsi="Tahoma" w:cs="Tahoma"/>
          <w:sz w:val="20"/>
          <w:szCs w:val="20"/>
        </w:rPr>
        <w:t>d'espèces</w:t>
      </w:r>
      <w:r w:rsidR="00DB1635" w:rsidRPr="00B004EE">
        <w:rPr>
          <w:rFonts w:ascii="Tahoma" w:hAnsi="Tahoma" w:cs="Tahoma"/>
          <w:spacing w:val="-28"/>
          <w:sz w:val="20"/>
          <w:szCs w:val="20"/>
        </w:rPr>
        <w:t xml:space="preserve"> </w:t>
      </w:r>
      <w:r w:rsidRPr="00B004EE">
        <w:rPr>
          <w:rFonts w:ascii="Tahoma" w:hAnsi="Tahoma" w:cs="Tahoma"/>
          <w:sz w:val="20"/>
          <w:szCs w:val="20"/>
        </w:rPr>
        <w:t>comestibles</w:t>
      </w:r>
      <w:r w:rsidR="00DB1635" w:rsidRPr="00B004EE">
        <w:rPr>
          <w:rFonts w:ascii="Tahoma" w:hAnsi="Tahoma" w:cs="Tahoma"/>
          <w:spacing w:val="-28"/>
          <w:sz w:val="20"/>
          <w:szCs w:val="20"/>
        </w:rPr>
        <w:t xml:space="preserve"> </w:t>
      </w:r>
      <w:r w:rsidRPr="00B004EE">
        <w:rPr>
          <w:rFonts w:ascii="Tahoma" w:hAnsi="Tahoma" w:cs="Tahoma"/>
          <w:sz w:val="20"/>
          <w:szCs w:val="20"/>
        </w:rPr>
        <w:t>pour</w:t>
      </w:r>
      <w:r w:rsidR="00DB1635" w:rsidRPr="00B004EE">
        <w:rPr>
          <w:rFonts w:ascii="Tahoma" w:hAnsi="Tahoma" w:cs="Tahoma"/>
          <w:spacing w:val="-28"/>
          <w:sz w:val="20"/>
          <w:szCs w:val="20"/>
        </w:rPr>
        <w:t xml:space="preserve"> </w:t>
      </w:r>
      <w:r w:rsidRPr="00B004EE">
        <w:rPr>
          <w:rFonts w:ascii="Tahoma" w:hAnsi="Tahoma" w:cs="Tahoma"/>
          <w:sz w:val="20"/>
          <w:szCs w:val="20"/>
        </w:rPr>
        <w:t>la</w:t>
      </w:r>
      <w:r w:rsidR="00DB1635" w:rsidRPr="00B004EE">
        <w:rPr>
          <w:rFonts w:ascii="Tahoma" w:hAnsi="Tahoma" w:cs="Tahoma"/>
          <w:spacing w:val="-27"/>
          <w:sz w:val="20"/>
          <w:szCs w:val="20"/>
        </w:rPr>
        <w:t xml:space="preserve"> </w:t>
      </w:r>
      <w:r w:rsidRPr="00B004EE">
        <w:rPr>
          <w:rFonts w:ascii="Tahoma" w:hAnsi="Tahoma" w:cs="Tahoma"/>
          <w:sz w:val="20"/>
          <w:szCs w:val="20"/>
        </w:rPr>
        <w:t>subsistance</w:t>
      </w:r>
      <w:r w:rsidR="00DB1635" w:rsidRPr="00B004EE">
        <w:rPr>
          <w:rFonts w:ascii="Tahoma" w:hAnsi="Tahoma" w:cs="Tahoma"/>
          <w:spacing w:val="-28"/>
          <w:sz w:val="20"/>
          <w:szCs w:val="20"/>
        </w:rPr>
        <w:t xml:space="preserve"> </w:t>
      </w:r>
      <w:r w:rsidRPr="00B004EE">
        <w:rPr>
          <w:rFonts w:ascii="Tahoma" w:hAnsi="Tahoma" w:cs="Tahoma"/>
          <w:sz w:val="20"/>
          <w:szCs w:val="20"/>
        </w:rPr>
        <w:t>du</w:t>
      </w:r>
      <w:r w:rsidR="00DB1635" w:rsidRPr="00B004EE">
        <w:rPr>
          <w:rFonts w:ascii="Tahoma" w:hAnsi="Tahoma" w:cs="Tahoma"/>
          <w:spacing w:val="-28"/>
          <w:sz w:val="20"/>
          <w:szCs w:val="20"/>
        </w:rPr>
        <w:t xml:space="preserve"> </w:t>
      </w:r>
      <w:r w:rsidRPr="00B004EE">
        <w:rPr>
          <w:rFonts w:ascii="Tahoma" w:hAnsi="Tahoma" w:cs="Tahoma"/>
          <w:sz w:val="20"/>
          <w:szCs w:val="20"/>
        </w:rPr>
        <w:t>pêcheur</w:t>
      </w:r>
      <w:r w:rsidR="00DB1635" w:rsidRPr="00B004EE">
        <w:rPr>
          <w:rFonts w:ascii="Tahoma" w:hAnsi="Tahoma" w:cs="Tahoma"/>
          <w:spacing w:val="-29"/>
          <w:sz w:val="20"/>
          <w:szCs w:val="20"/>
        </w:rPr>
        <w:t xml:space="preserve"> </w:t>
      </w:r>
      <w:r w:rsidRPr="00B004EE">
        <w:rPr>
          <w:rFonts w:ascii="Tahoma" w:hAnsi="Tahoma" w:cs="Tahoma"/>
          <w:sz w:val="20"/>
          <w:szCs w:val="20"/>
        </w:rPr>
        <w:t>et</w:t>
      </w:r>
      <w:r w:rsidR="00DB1635" w:rsidRPr="00B004EE">
        <w:rPr>
          <w:rFonts w:ascii="Tahoma" w:hAnsi="Tahoma" w:cs="Tahoma"/>
          <w:spacing w:val="-29"/>
          <w:sz w:val="20"/>
          <w:szCs w:val="20"/>
        </w:rPr>
        <w:t xml:space="preserve"> </w:t>
      </w:r>
      <w:r w:rsidRPr="00B004EE">
        <w:rPr>
          <w:rFonts w:ascii="Tahoma" w:hAnsi="Tahoma" w:cs="Tahoma"/>
          <w:sz w:val="20"/>
          <w:szCs w:val="20"/>
        </w:rPr>
        <w:t>de</w:t>
      </w:r>
      <w:r w:rsidR="00DB1635" w:rsidRPr="00B004EE">
        <w:rPr>
          <w:rFonts w:ascii="Tahoma" w:hAnsi="Tahoma" w:cs="Tahoma"/>
          <w:spacing w:val="-1"/>
          <w:w w:val="95"/>
          <w:sz w:val="20"/>
          <w:szCs w:val="20"/>
        </w:rPr>
        <w:t xml:space="preserve"> </w:t>
      </w:r>
      <w:r w:rsidRPr="00B004EE">
        <w:rPr>
          <w:rFonts w:ascii="Tahoma" w:hAnsi="Tahoma" w:cs="Tahoma"/>
          <w:sz w:val="20"/>
          <w:szCs w:val="20"/>
        </w:rPr>
        <w:t>sa</w:t>
      </w:r>
      <w:r w:rsidR="00DB1635" w:rsidRPr="00B004EE">
        <w:rPr>
          <w:rFonts w:ascii="Tahoma" w:hAnsi="Tahoma" w:cs="Tahoma"/>
          <w:spacing w:val="-15"/>
          <w:sz w:val="20"/>
          <w:szCs w:val="20"/>
        </w:rPr>
        <w:t xml:space="preserve"> </w:t>
      </w:r>
      <w:r w:rsidRPr="00B004EE">
        <w:rPr>
          <w:rFonts w:ascii="Tahoma" w:hAnsi="Tahoma" w:cs="Tahoma"/>
          <w:sz w:val="20"/>
          <w:szCs w:val="20"/>
        </w:rPr>
        <w:t>famille</w:t>
      </w:r>
      <w:r w:rsidR="00DB1635" w:rsidRPr="00B004EE">
        <w:rPr>
          <w:rFonts w:ascii="Tahoma" w:hAnsi="Tahoma" w:cs="Tahoma"/>
          <w:spacing w:val="-15"/>
          <w:sz w:val="20"/>
          <w:szCs w:val="20"/>
        </w:rPr>
        <w:t xml:space="preserve"> </w:t>
      </w:r>
      <w:r w:rsidRPr="00B004EE">
        <w:rPr>
          <w:rFonts w:ascii="Tahoma" w:hAnsi="Tahoma" w:cs="Tahoma"/>
          <w:sz w:val="20"/>
          <w:szCs w:val="20"/>
        </w:rPr>
        <w:t>et</w:t>
      </w:r>
      <w:r w:rsidR="00DB1635" w:rsidRPr="00B004EE">
        <w:rPr>
          <w:rFonts w:ascii="Tahoma" w:hAnsi="Tahoma" w:cs="Tahoma"/>
          <w:spacing w:val="-14"/>
          <w:sz w:val="20"/>
          <w:szCs w:val="20"/>
        </w:rPr>
        <w:t xml:space="preserve"> </w:t>
      </w:r>
      <w:r w:rsidRPr="00B004EE">
        <w:rPr>
          <w:rFonts w:ascii="Tahoma" w:hAnsi="Tahoma" w:cs="Tahoma"/>
          <w:sz w:val="20"/>
          <w:szCs w:val="20"/>
        </w:rPr>
        <w:t>ne</w:t>
      </w:r>
      <w:r w:rsidR="00DB1635" w:rsidRPr="00B004EE">
        <w:rPr>
          <w:rFonts w:ascii="Tahoma" w:hAnsi="Tahoma" w:cs="Tahoma"/>
          <w:spacing w:val="-15"/>
          <w:sz w:val="20"/>
          <w:szCs w:val="20"/>
        </w:rPr>
        <w:t xml:space="preserve"> </w:t>
      </w:r>
      <w:r w:rsidRPr="00B004EE">
        <w:rPr>
          <w:rFonts w:ascii="Tahoma" w:hAnsi="Tahoma" w:cs="Tahoma"/>
          <w:sz w:val="20"/>
          <w:szCs w:val="20"/>
        </w:rPr>
        <w:t>donne</w:t>
      </w:r>
      <w:r w:rsidR="00DB1635" w:rsidRPr="00B004EE">
        <w:rPr>
          <w:rFonts w:ascii="Tahoma" w:hAnsi="Tahoma" w:cs="Tahoma"/>
          <w:spacing w:val="-15"/>
          <w:sz w:val="20"/>
          <w:szCs w:val="20"/>
        </w:rPr>
        <w:t xml:space="preserve"> </w:t>
      </w:r>
      <w:r w:rsidRPr="00B004EE">
        <w:rPr>
          <w:rFonts w:ascii="Tahoma" w:hAnsi="Tahoma" w:cs="Tahoma"/>
          <w:sz w:val="20"/>
          <w:szCs w:val="20"/>
        </w:rPr>
        <w:t>pas</w:t>
      </w:r>
      <w:r w:rsidR="00DB1635" w:rsidRPr="00B004EE">
        <w:rPr>
          <w:rFonts w:ascii="Tahoma" w:hAnsi="Tahoma" w:cs="Tahoma"/>
          <w:spacing w:val="-15"/>
          <w:sz w:val="20"/>
          <w:szCs w:val="20"/>
        </w:rPr>
        <w:t xml:space="preserve"> </w:t>
      </w:r>
      <w:r w:rsidRPr="00B004EE">
        <w:rPr>
          <w:rFonts w:ascii="Tahoma" w:hAnsi="Tahoma" w:cs="Tahoma"/>
          <w:sz w:val="20"/>
          <w:szCs w:val="20"/>
        </w:rPr>
        <w:t>lieu</w:t>
      </w:r>
      <w:r w:rsidR="00DB1635" w:rsidRPr="00B004EE">
        <w:rPr>
          <w:rFonts w:ascii="Tahoma" w:hAnsi="Tahoma" w:cs="Tahoma"/>
          <w:spacing w:val="-15"/>
          <w:sz w:val="20"/>
          <w:szCs w:val="20"/>
        </w:rPr>
        <w:t xml:space="preserve"> </w:t>
      </w:r>
      <w:r w:rsidRPr="00B004EE">
        <w:rPr>
          <w:rFonts w:ascii="Tahoma" w:hAnsi="Tahoma" w:cs="Tahoma"/>
          <w:sz w:val="20"/>
          <w:szCs w:val="20"/>
        </w:rPr>
        <w:t>à</w:t>
      </w:r>
      <w:r w:rsidR="00DB1635" w:rsidRPr="00B004EE">
        <w:rPr>
          <w:rFonts w:ascii="Tahoma" w:hAnsi="Tahoma" w:cs="Tahoma"/>
          <w:spacing w:val="-14"/>
          <w:sz w:val="20"/>
          <w:szCs w:val="20"/>
        </w:rPr>
        <w:t xml:space="preserve"> </w:t>
      </w:r>
      <w:r w:rsidRPr="00B004EE">
        <w:rPr>
          <w:rFonts w:ascii="Tahoma" w:hAnsi="Tahoma" w:cs="Tahoma"/>
          <w:sz w:val="20"/>
          <w:szCs w:val="20"/>
        </w:rPr>
        <w:t>la</w:t>
      </w:r>
      <w:r w:rsidR="00DB1635" w:rsidRPr="00B004EE">
        <w:rPr>
          <w:rFonts w:ascii="Tahoma" w:hAnsi="Tahoma" w:cs="Tahoma"/>
          <w:spacing w:val="-14"/>
          <w:sz w:val="20"/>
          <w:szCs w:val="20"/>
        </w:rPr>
        <w:t xml:space="preserve"> </w:t>
      </w:r>
      <w:r w:rsidRPr="00B004EE">
        <w:rPr>
          <w:rFonts w:ascii="Tahoma" w:hAnsi="Tahoma" w:cs="Tahoma"/>
          <w:sz w:val="20"/>
          <w:szCs w:val="20"/>
        </w:rPr>
        <w:t>vente</w:t>
      </w:r>
      <w:r w:rsidR="00DB1635" w:rsidRPr="00B004EE">
        <w:rPr>
          <w:rFonts w:ascii="Tahoma" w:hAnsi="Tahoma" w:cs="Tahoma"/>
          <w:spacing w:val="-15"/>
          <w:sz w:val="20"/>
          <w:szCs w:val="20"/>
        </w:rPr>
        <w:t xml:space="preserve"> </w:t>
      </w:r>
      <w:r w:rsidRPr="00B004EE">
        <w:rPr>
          <w:rFonts w:ascii="Tahoma" w:hAnsi="Tahoma" w:cs="Tahoma"/>
          <w:sz w:val="20"/>
          <w:szCs w:val="20"/>
        </w:rPr>
        <w:t>de</w:t>
      </w:r>
      <w:r w:rsidR="00DB1635" w:rsidRPr="00B004EE">
        <w:rPr>
          <w:rFonts w:ascii="Tahoma" w:hAnsi="Tahoma" w:cs="Tahoma"/>
          <w:spacing w:val="-15"/>
          <w:sz w:val="20"/>
          <w:szCs w:val="20"/>
        </w:rPr>
        <w:t xml:space="preserve"> </w:t>
      </w:r>
      <w:r w:rsidRPr="00B004EE">
        <w:rPr>
          <w:rFonts w:ascii="Tahoma" w:hAnsi="Tahoma" w:cs="Tahoma"/>
          <w:sz w:val="20"/>
          <w:szCs w:val="20"/>
        </w:rPr>
        <w:t>la</w:t>
      </w:r>
      <w:r w:rsidR="00DB1635" w:rsidRPr="00B004EE">
        <w:rPr>
          <w:rFonts w:ascii="Tahoma" w:hAnsi="Tahoma" w:cs="Tahoma"/>
          <w:spacing w:val="-14"/>
          <w:sz w:val="20"/>
          <w:szCs w:val="20"/>
        </w:rPr>
        <w:t xml:space="preserve"> </w:t>
      </w:r>
      <w:r w:rsidRPr="00B004EE">
        <w:rPr>
          <w:rFonts w:ascii="Tahoma" w:hAnsi="Tahoma" w:cs="Tahoma"/>
          <w:sz w:val="20"/>
          <w:szCs w:val="20"/>
        </w:rPr>
        <w:t>majeure</w:t>
      </w:r>
      <w:r w:rsidR="00DB1635" w:rsidRPr="00B004EE">
        <w:rPr>
          <w:rFonts w:ascii="Tahoma" w:hAnsi="Tahoma" w:cs="Tahoma"/>
          <w:spacing w:val="-15"/>
          <w:sz w:val="20"/>
          <w:szCs w:val="20"/>
        </w:rPr>
        <w:t xml:space="preserve"> </w:t>
      </w:r>
      <w:r w:rsidRPr="00B004EE">
        <w:rPr>
          <w:rFonts w:ascii="Tahoma" w:hAnsi="Tahoma" w:cs="Tahoma"/>
          <w:sz w:val="20"/>
          <w:szCs w:val="20"/>
        </w:rPr>
        <w:t>partie</w:t>
      </w:r>
      <w:r w:rsidR="00DB1635" w:rsidRPr="00B004EE">
        <w:rPr>
          <w:rFonts w:ascii="Tahoma" w:hAnsi="Tahoma" w:cs="Tahoma"/>
          <w:spacing w:val="-15"/>
          <w:sz w:val="20"/>
          <w:szCs w:val="20"/>
        </w:rPr>
        <w:t xml:space="preserve"> </w:t>
      </w:r>
      <w:r w:rsidRPr="00B004EE">
        <w:rPr>
          <w:rFonts w:ascii="Tahoma" w:hAnsi="Tahoma" w:cs="Tahoma"/>
          <w:sz w:val="20"/>
          <w:szCs w:val="20"/>
        </w:rPr>
        <w:t>des</w:t>
      </w:r>
      <w:r w:rsidR="00DB1635" w:rsidRPr="00B004EE">
        <w:rPr>
          <w:rFonts w:ascii="Tahoma" w:hAnsi="Tahoma" w:cs="Tahoma"/>
          <w:spacing w:val="-16"/>
          <w:sz w:val="20"/>
          <w:szCs w:val="20"/>
        </w:rPr>
        <w:t xml:space="preserve"> </w:t>
      </w:r>
      <w:r w:rsidRPr="00B004EE">
        <w:rPr>
          <w:rFonts w:ascii="Tahoma" w:hAnsi="Tahoma" w:cs="Tahoma"/>
          <w:sz w:val="20"/>
          <w:szCs w:val="20"/>
        </w:rPr>
        <w:t>captures.</w:t>
      </w:r>
    </w:p>
    <w:p w14:paraId="5A375357" w14:textId="260423D4" w:rsidR="001E7C3C" w:rsidRPr="00B004EE" w:rsidRDefault="001E7C3C" w:rsidP="00420DDA">
      <w:pPr>
        <w:pStyle w:val="Corpsdetexte"/>
        <w:numPr>
          <w:ilvl w:val="0"/>
          <w:numId w:val="128"/>
        </w:numPr>
        <w:ind w:left="284"/>
        <w:rPr>
          <w:rFonts w:ascii="Tahoma" w:hAnsi="Tahoma" w:cs="Tahoma"/>
          <w:sz w:val="20"/>
          <w:szCs w:val="20"/>
        </w:rPr>
      </w:pPr>
      <w:r w:rsidRPr="00B004EE">
        <w:rPr>
          <w:rFonts w:ascii="Tahoma" w:hAnsi="Tahoma" w:cs="Tahoma"/>
          <w:sz w:val="20"/>
          <w:szCs w:val="20"/>
        </w:rPr>
        <w:t>La</w:t>
      </w:r>
      <w:r w:rsidR="00DB1635" w:rsidRPr="00B004EE">
        <w:rPr>
          <w:rFonts w:ascii="Tahoma" w:hAnsi="Tahoma" w:cs="Tahoma"/>
          <w:spacing w:val="-26"/>
          <w:sz w:val="20"/>
          <w:szCs w:val="20"/>
        </w:rPr>
        <w:t xml:space="preserve"> </w:t>
      </w:r>
      <w:r w:rsidRPr="00B004EE">
        <w:rPr>
          <w:rFonts w:ascii="Tahoma" w:hAnsi="Tahoma" w:cs="Tahoma"/>
          <w:sz w:val="20"/>
          <w:szCs w:val="20"/>
        </w:rPr>
        <w:t>pêche</w:t>
      </w:r>
      <w:r w:rsidR="00DB1635" w:rsidRPr="00B004EE">
        <w:rPr>
          <w:rFonts w:ascii="Tahoma" w:hAnsi="Tahoma" w:cs="Tahoma"/>
          <w:spacing w:val="-27"/>
          <w:sz w:val="20"/>
          <w:szCs w:val="20"/>
        </w:rPr>
        <w:t xml:space="preserve"> </w:t>
      </w:r>
      <w:r w:rsidRPr="00B004EE">
        <w:rPr>
          <w:rFonts w:ascii="Tahoma" w:hAnsi="Tahoma" w:cs="Tahoma"/>
          <w:sz w:val="20"/>
          <w:szCs w:val="20"/>
        </w:rPr>
        <w:t>commerciale</w:t>
      </w:r>
      <w:r w:rsidR="00DB1635" w:rsidRPr="00B004EE">
        <w:rPr>
          <w:rFonts w:ascii="Tahoma" w:hAnsi="Tahoma" w:cs="Tahoma"/>
          <w:spacing w:val="-27"/>
          <w:sz w:val="20"/>
          <w:szCs w:val="20"/>
        </w:rPr>
        <w:t xml:space="preserve"> </w:t>
      </w:r>
      <w:r w:rsidRPr="00B004EE">
        <w:rPr>
          <w:rFonts w:ascii="Tahoma" w:hAnsi="Tahoma" w:cs="Tahoma"/>
          <w:sz w:val="20"/>
          <w:szCs w:val="20"/>
        </w:rPr>
        <w:t>est</w:t>
      </w:r>
      <w:r w:rsidR="00DB1635" w:rsidRPr="00B004EE">
        <w:rPr>
          <w:rFonts w:ascii="Tahoma" w:hAnsi="Tahoma" w:cs="Tahoma"/>
          <w:spacing w:val="-27"/>
          <w:sz w:val="20"/>
          <w:szCs w:val="20"/>
        </w:rPr>
        <w:t xml:space="preserve"> </w:t>
      </w:r>
      <w:r w:rsidRPr="00B004EE">
        <w:rPr>
          <w:rFonts w:ascii="Tahoma" w:hAnsi="Tahoma" w:cs="Tahoma"/>
          <w:sz w:val="20"/>
          <w:szCs w:val="20"/>
        </w:rPr>
        <w:t>pratiquée</w:t>
      </w:r>
      <w:r w:rsidR="00DB1635" w:rsidRPr="00B004EE">
        <w:rPr>
          <w:rFonts w:ascii="Tahoma" w:hAnsi="Tahoma" w:cs="Tahoma"/>
          <w:spacing w:val="-27"/>
          <w:sz w:val="20"/>
          <w:szCs w:val="20"/>
        </w:rPr>
        <w:t xml:space="preserve"> </w:t>
      </w:r>
      <w:r w:rsidRPr="00B004EE">
        <w:rPr>
          <w:rFonts w:ascii="Tahoma" w:hAnsi="Tahoma" w:cs="Tahoma"/>
          <w:sz w:val="20"/>
          <w:szCs w:val="20"/>
        </w:rPr>
        <w:t>dans</w:t>
      </w:r>
      <w:r w:rsidR="00DB1635" w:rsidRPr="00B004EE">
        <w:rPr>
          <w:rFonts w:ascii="Tahoma" w:hAnsi="Tahoma" w:cs="Tahoma"/>
          <w:spacing w:val="-27"/>
          <w:sz w:val="20"/>
          <w:szCs w:val="20"/>
        </w:rPr>
        <w:t xml:space="preserve"> </w:t>
      </w:r>
      <w:r w:rsidRPr="00B004EE">
        <w:rPr>
          <w:rFonts w:ascii="Tahoma" w:hAnsi="Tahoma" w:cs="Tahoma"/>
          <w:sz w:val="20"/>
          <w:szCs w:val="20"/>
        </w:rPr>
        <w:t>un</w:t>
      </w:r>
      <w:r w:rsidR="00DB1635" w:rsidRPr="00B004EE">
        <w:rPr>
          <w:rFonts w:ascii="Tahoma" w:hAnsi="Tahoma" w:cs="Tahoma"/>
          <w:spacing w:val="-27"/>
          <w:sz w:val="20"/>
          <w:szCs w:val="20"/>
        </w:rPr>
        <w:t xml:space="preserve"> </w:t>
      </w:r>
      <w:r w:rsidRPr="00B004EE">
        <w:rPr>
          <w:rFonts w:ascii="Tahoma" w:hAnsi="Tahoma" w:cs="Tahoma"/>
          <w:sz w:val="20"/>
          <w:szCs w:val="20"/>
        </w:rPr>
        <w:t>but</w:t>
      </w:r>
      <w:r w:rsidR="00DB1635" w:rsidRPr="00B004EE">
        <w:rPr>
          <w:rFonts w:ascii="Tahoma" w:hAnsi="Tahoma" w:cs="Tahoma"/>
          <w:spacing w:val="-27"/>
          <w:sz w:val="20"/>
          <w:szCs w:val="20"/>
        </w:rPr>
        <w:t xml:space="preserve"> </w:t>
      </w:r>
      <w:r w:rsidRPr="00B004EE">
        <w:rPr>
          <w:rFonts w:ascii="Tahoma" w:hAnsi="Tahoma" w:cs="Tahoma"/>
          <w:sz w:val="20"/>
          <w:szCs w:val="20"/>
        </w:rPr>
        <w:t>lucratif.</w:t>
      </w:r>
    </w:p>
    <w:p w14:paraId="178515D6" w14:textId="0AB3E412" w:rsidR="001E7C3C" w:rsidRPr="00B004EE" w:rsidRDefault="001E7C3C" w:rsidP="00420DDA">
      <w:pPr>
        <w:pStyle w:val="Corpsdetexte"/>
        <w:numPr>
          <w:ilvl w:val="0"/>
          <w:numId w:val="128"/>
        </w:numPr>
        <w:ind w:left="284" w:right="163"/>
        <w:rPr>
          <w:rFonts w:ascii="Tahoma" w:hAnsi="Tahoma" w:cs="Tahoma"/>
          <w:sz w:val="20"/>
          <w:szCs w:val="20"/>
        </w:rPr>
      </w:pPr>
      <w:r w:rsidRPr="00B004EE">
        <w:rPr>
          <w:rFonts w:ascii="Tahoma" w:hAnsi="Tahoma" w:cs="Tahoma"/>
          <w:sz w:val="20"/>
          <w:szCs w:val="20"/>
        </w:rPr>
        <w:t>La</w:t>
      </w:r>
      <w:r w:rsidR="00DB1635" w:rsidRPr="00B004EE">
        <w:rPr>
          <w:rFonts w:ascii="Tahoma" w:hAnsi="Tahoma" w:cs="Tahoma"/>
          <w:spacing w:val="-18"/>
          <w:sz w:val="20"/>
          <w:szCs w:val="20"/>
        </w:rPr>
        <w:t xml:space="preserve"> </w:t>
      </w:r>
      <w:r w:rsidRPr="00B004EE">
        <w:rPr>
          <w:rFonts w:ascii="Tahoma" w:hAnsi="Tahoma" w:cs="Tahoma"/>
          <w:sz w:val="20"/>
          <w:szCs w:val="20"/>
        </w:rPr>
        <w:t>pêche</w:t>
      </w:r>
      <w:r w:rsidR="00DB1635" w:rsidRPr="00B004EE">
        <w:rPr>
          <w:rFonts w:ascii="Tahoma" w:hAnsi="Tahoma" w:cs="Tahoma"/>
          <w:spacing w:val="-19"/>
          <w:sz w:val="20"/>
          <w:szCs w:val="20"/>
        </w:rPr>
        <w:t xml:space="preserve"> </w:t>
      </w:r>
      <w:r w:rsidRPr="00B004EE">
        <w:rPr>
          <w:rFonts w:ascii="Tahoma" w:hAnsi="Tahoma" w:cs="Tahoma"/>
          <w:sz w:val="20"/>
          <w:szCs w:val="20"/>
        </w:rPr>
        <w:t>exploratoire</w:t>
      </w:r>
      <w:r w:rsidR="00DB1635" w:rsidRPr="00B004EE">
        <w:rPr>
          <w:rFonts w:ascii="Tahoma" w:hAnsi="Tahoma" w:cs="Tahoma"/>
          <w:spacing w:val="-19"/>
          <w:sz w:val="20"/>
          <w:szCs w:val="20"/>
        </w:rPr>
        <w:t xml:space="preserve"> </w:t>
      </w:r>
      <w:r w:rsidRPr="00B004EE">
        <w:rPr>
          <w:rFonts w:ascii="Tahoma" w:hAnsi="Tahoma" w:cs="Tahoma"/>
          <w:sz w:val="20"/>
          <w:szCs w:val="20"/>
        </w:rPr>
        <w:t>est</w:t>
      </w:r>
      <w:r w:rsidR="00DB1635" w:rsidRPr="00B004EE">
        <w:rPr>
          <w:rFonts w:ascii="Tahoma" w:hAnsi="Tahoma" w:cs="Tahoma"/>
          <w:spacing w:val="-19"/>
          <w:sz w:val="20"/>
          <w:szCs w:val="20"/>
        </w:rPr>
        <w:t xml:space="preserve"> </w:t>
      </w:r>
      <w:r w:rsidRPr="00B004EE">
        <w:rPr>
          <w:rFonts w:ascii="Tahoma" w:hAnsi="Tahoma" w:cs="Tahoma"/>
          <w:sz w:val="20"/>
          <w:szCs w:val="20"/>
        </w:rPr>
        <w:t>pratiquée</w:t>
      </w:r>
      <w:r w:rsidR="00DB1635" w:rsidRPr="00B004EE">
        <w:rPr>
          <w:rFonts w:ascii="Tahoma" w:hAnsi="Tahoma" w:cs="Tahoma"/>
          <w:spacing w:val="-18"/>
          <w:sz w:val="20"/>
          <w:szCs w:val="20"/>
        </w:rPr>
        <w:t xml:space="preserve"> </w:t>
      </w:r>
      <w:r w:rsidRPr="00B004EE">
        <w:rPr>
          <w:rFonts w:ascii="Tahoma" w:hAnsi="Tahoma" w:cs="Tahoma"/>
          <w:sz w:val="20"/>
          <w:szCs w:val="20"/>
        </w:rPr>
        <w:t>dans</w:t>
      </w:r>
      <w:r w:rsidR="00DB1635" w:rsidRPr="00B004EE">
        <w:rPr>
          <w:rFonts w:ascii="Tahoma" w:hAnsi="Tahoma" w:cs="Tahoma"/>
          <w:spacing w:val="-19"/>
          <w:sz w:val="20"/>
          <w:szCs w:val="20"/>
        </w:rPr>
        <w:t xml:space="preserve"> </w:t>
      </w:r>
      <w:r w:rsidRPr="00B004EE">
        <w:rPr>
          <w:rFonts w:ascii="Tahoma" w:hAnsi="Tahoma" w:cs="Tahoma"/>
          <w:sz w:val="20"/>
          <w:szCs w:val="20"/>
        </w:rPr>
        <w:t>le</w:t>
      </w:r>
      <w:r w:rsidR="00DB1635" w:rsidRPr="00B004EE">
        <w:rPr>
          <w:rFonts w:ascii="Tahoma" w:hAnsi="Tahoma" w:cs="Tahoma"/>
          <w:spacing w:val="-19"/>
          <w:sz w:val="20"/>
          <w:szCs w:val="20"/>
        </w:rPr>
        <w:t xml:space="preserve"> </w:t>
      </w:r>
      <w:r w:rsidRPr="00B004EE">
        <w:rPr>
          <w:rFonts w:ascii="Tahoma" w:hAnsi="Tahoma" w:cs="Tahoma"/>
          <w:sz w:val="20"/>
          <w:szCs w:val="20"/>
        </w:rPr>
        <w:t>but</w:t>
      </w:r>
      <w:r w:rsidR="00DB1635" w:rsidRPr="00B004EE">
        <w:rPr>
          <w:rFonts w:ascii="Tahoma" w:hAnsi="Tahoma" w:cs="Tahoma"/>
          <w:spacing w:val="-18"/>
          <w:sz w:val="20"/>
          <w:szCs w:val="20"/>
        </w:rPr>
        <w:t xml:space="preserve"> </w:t>
      </w:r>
      <w:r w:rsidRPr="00B004EE">
        <w:rPr>
          <w:rFonts w:ascii="Tahoma" w:hAnsi="Tahoma" w:cs="Tahoma"/>
          <w:sz w:val="20"/>
          <w:szCs w:val="20"/>
        </w:rPr>
        <w:t>d'explorer</w:t>
      </w:r>
      <w:r w:rsidR="00DB1635" w:rsidRPr="00B004EE">
        <w:rPr>
          <w:rFonts w:ascii="Tahoma" w:hAnsi="Tahoma" w:cs="Tahoma"/>
          <w:spacing w:val="-19"/>
          <w:sz w:val="20"/>
          <w:szCs w:val="20"/>
        </w:rPr>
        <w:t xml:space="preserve"> </w:t>
      </w:r>
      <w:r w:rsidRPr="00B004EE">
        <w:rPr>
          <w:rFonts w:ascii="Tahoma" w:hAnsi="Tahoma" w:cs="Tahoma"/>
          <w:sz w:val="20"/>
          <w:szCs w:val="20"/>
        </w:rPr>
        <w:t>la</w:t>
      </w:r>
      <w:r w:rsidR="00DB1635" w:rsidRPr="00B004EE">
        <w:rPr>
          <w:rFonts w:ascii="Tahoma" w:hAnsi="Tahoma" w:cs="Tahoma"/>
          <w:spacing w:val="-19"/>
          <w:sz w:val="20"/>
          <w:szCs w:val="20"/>
        </w:rPr>
        <w:t xml:space="preserve"> </w:t>
      </w:r>
      <w:r w:rsidRPr="00B004EE">
        <w:rPr>
          <w:rFonts w:ascii="Tahoma" w:hAnsi="Tahoma" w:cs="Tahoma"/>
          <w:sz w:val="20"/>
          <w:szCs w:val="20"/>
        </w:rPr>
        <w:t>viabilité</w:t>
      </w:r>
      <w:r w:rsidR="00DB1635" w:rsidRPr="00B004EE">
        <w:rPr>
          <w:rFonts w:ascii="Tahoma" w:hAnsi="Tahoma" w:cs="Tahoma"/>
          <w:spacing w:val="-20"/>
          <w:sz w:val="20"/>
          <w:szCs w:val="20"/>
        </w:rPr>
        <w:t xml:space="preserve"> </w:t>
      </w:r>
      <w:r w:rsidRPr="00B004EE">
        <w:rPr>
          <w:rFonts w:ascii="Tahoma" w:hAnsi="Tahoma" w:cs="Tahoma"/>
          <w:sz w:val="20"/>
          <w:szCs w:val="20"/>
        </w:rPr>
        <w:t>commerciale</w:t>
      </w:r>
      <w:r w:rsidR="00DB1635" w:rsidRPr="00B004EE">
        <w:rPr>
          <w:rFonts w:ascii="Tahoma" w:hAnsi="Tahoma" w:cs="Tahoma"/>
          <w:w w:val="94"/>
          <w:sz w:val="20"/>
          <w:szCs w:val="20"/>
        </w:rPr>
        <w:t xml:space="preserve"> </w:t>
      </w:r>
      <w:r w:rsidRPr="00B004EE">
        <w:rPr>
          <w:rFonts w:ascii="Tahoma" w:eastAsia="American Typewriter" w:hAnsi="Tahoma" w:cs="Tahoma"/>
          <w:sz w:val="20"/>
          <w:szCs w:val="20"/>
        </w:rPr>
        <w:t>et</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la</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durabilité</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biologique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l’exploitation</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d’une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ressource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halieutique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qui</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ne</w:t>
      </w:r>
      <w:r w:rsidR="00DB1635" w:rsidRPr="00B004EE">
        <w:rPr>
          <w:rFonts w:ascii="Tahoma" w:eastAsia="American Typewriter" w:hAnsi="Tahoma" w:cs="Tahoma"/>
          <w:spacing w:val="-40"/>
          <w:sz w:val="20"/>
          <w:szCs w:val="20"/>
        </w:rPr>
        <w:t xml:space="preserve"> </w:t>
      </w:r>
      <w:r w:rsidRPr="00B004EE">
        <w:rPr>
          <w:rFonts w:ascii="Tahoma" w:eastAsia="American Typewriter" w:hAnsi="Tahoma" w:cs="Tahoma"/>
          <w:sz w:val="20"/>
          <w:szCs w:val="20"/>
        </w:rPr>
        <w:t>fait</w:t>
      </w:r>
      <w:r w:rsidR="00DB1635" w:rsidRPr="00B004EE">
        <w:rPr>
          <w:rFonts w:ascii="Tahoma" w:eastAsia="American Typewriter" w:hAnsi="Tahoma" w:cs="Tahoma"/>
          <w:w w:val="97"/>
          <w:sz w:val="20"/>
          <w:szCs w:val="20"/>
        </w:rPr>
        <w:t xml:space="preserve"> </w:t>
      </w:r>
      <w:r w:rsidRPr="00B004EE">
        <w:rPr>
          <w:rFonts w:ascii="Tahoma" w:eastAsia="American Typewriter" w:hAnsi="Tahoma" w:cs="Tahoma"/>
          <w:sz w:val="20"/>
          <w:szCs w:val="20"/>
        </w:rPr>
        <w:t>pas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l’objet</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d’une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pêche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commerciale.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La</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pêche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exploratoire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fait</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l’objet</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d’un</w:t>
      </w:r>
      <w:r w:rsidR="00DB1635" w:rsidRPr="00B004EE">
        <w:rPr>
          <w:rFonts w:ascii="Tahoma" w:eastAsia="American Typewriter" w:hAnsi="Tahoma" w:cs="Tahoma"/>
          <w:spacing w:val="26"/>
          <w:sz w:val="20"/>
          <w:szCs w:val="20"/>
        </w:rPr>
        <w:t xml:space="preserve"> </w:t>
      </w:r>
      <w:r w:rsidRPr="00B004EE">
        <w:rPr>
          <w:rFonts w:ascii="Tahoma" w:eastAsia="American Typewriter" w:hAnsi="Tahoma" w:cs="Tahoma"/>
          <w:sz w:val="20"/>
          <w:szCs w:val="20"/>
        </w:rPr>
        <w:t>suivi</w:t>
      </w:r>
      <w:r w:rsidR="00DB1635" w:rsidRPr="00B004EE">
        <w:rPr>
          <w:rFonts w:ascii="Tahoma" w:eastAsia="American Typewriter" w:hAnsi="Tahoma" w:cs="Tahoma"/>
          <w:w w:val="101"/>
          <w:sz w:val="20"/>
          <w:szCs w:val="20"/>
        </w:rPr>
        <w:t xml:space="preserve"> </w:t>
      </w:r>
      <w:r w:rsidRPr="00B004EE">
        <w:rPr>
          <w:rFonts w:ascii="Tahoma" w:eastAsia="American Typewriter" w:hAnsi="Tahoma" w:cs="Tahoma"/>
          <w:w w:val="95"/>
          <w:sz w:val="20"/>
          <w:szCs w:val="20"/>
        </w:rPr>
        <w:t>assuré</w:t>
      </w:r>
      <w:r w:rsidR="00DB1635" w:rsidRPr="00B004EE">
        <w:rPr>
          <w:rFonts w:ascii="Tahoma" w:eastAsia="American Typewriter" w:hAnsi="Tahoma" w:cs="Tahoma"/>
          <w:w w:val="95"/>
          <w:sz w:val="20"/>
          <w:szCs w:val="20"/>
        </w:rPr>
        <w:t xml:space="preserve"> </w:t>
      </w:r>
      <w:r w:rsidRPr="00B004EE">
        <w:rPr>
          <w:rFonts w:ascii="Tahoma" w:eastAsia="American Typewriter" w:hAnsi="Tahoma" w:cs="Tahoma"/>
          <w:w w:val="95"/>
          <w:sz w:val="20"/>
          <w:szCs w:val="20"/>
        </w:rPr>
        <w:t>par</w:t>
      </w:r>
      <w:r w:rsidR="00DB1635" w:rsidRPr="00B004EE">
        <w:rPr>
          <w:rFonts w:ascii="Tahoma" w:eastAsia="American Typewriter" w:hAnsi="Tahoma" w:cs="Tahoma"/>
          <w:w w:val="95"/>
          <w:sz w:val="20"/>
          <w:szCs w:val="20"/>
        </w:rPr>
        <w:t xml:space="preserve"> </w:t>
      </w:r>
      <w:r w:rsidRPr="00B004EE">
        <w:rPr>
          <w:rFonts w:ascii="Tahoma" w:eastAsia="American Typewriter" w:hAnsi="Tahoma" w:cs="Tahoma"/>
          <w:w w:val="95"/>
          <w:sz w:val="20"/>
          <w:szCs w:val="20"/>
        </w:rPr>
        <w:t>l’institution</w:t>
      </w:r>
      <w:r w:rsidR="00DB1635" w:rsidRPr="00B004EE">
        <w:rPr>
          <w:rFonts w:ascii="Tahoma" w:eastAsia="American Typewriter" w:hAnsi="Tahoma" w:cs="Tahoma"/>
          <w:w w:val="95"/>
          <w:sz w:val="20"/>
          <w:szCs w:val="20"/>
        </w:rPr>
        <w:t xml:space="preserve"> </w:t>
      </w:r>
      <w:r w:rsidRPr="00B004EE">
        <w:rPr>
          <w:rFonts w:ascii="Tahoma" w:hAnsi="Tahoma" w:cs="Tahoma"/>
          <w:w w:val="95"/>
          <w:sz w:val="20"/>
          <w:szCs w:val="20"/>
        </w:rPr>
        <w:t>chargée</w:t>
      </w:r>
      <w:r w:rsidR="00DB1635" w:rsidRPr="00B004EE">
        <w:rPr>
          <w:rFonts w:ascii="Tahoma" w:hAnsi="Tahoma" w:cs="Tahoma"/>
          <w:w w:val="95"/>
          <w:sz w:val="20"/>
          <w:szCs w:val="20"/>
        </w:rPr>
        <w:t xml:space="preserve"> </w:t>
      </w:r>
      <w:r w:rsidRPr="00B004EE">
        <w:rPr>
          <w:rFonts w:ascii="Tahoma" w:hAnsi="Tahoma" w:cs="Tahoma"/>
          <w:w w:val="95"/>
          <w:sz w:val="20"/>
          <w:szCs w:val="20"/>
        </w:rPr>
        <w:t>des</w:t>
      </w:r>
      <w:r w:rsidR="00DB1635" w:rsidRPr="00B004EE">
        <w:rPr>
          <w:rFonts w:ascii="Tahoma" w:hAnsi="Tahoma" w:cs="Tahoma"/>
          <w:w w:val="95"/>
          <w:sz w:val="20"/>
          <w:szCs w:val="20"/>
        </w:rPr>
        <w:t xml:space="preserve"> </w:t>
      </w:r>
      <w:r w:rsidRPr="00B004EE">
        <w:rPr>
          <w:rFonts w:ascii="Tahoma" w:hAnsi="Tahoma" w:cs="Tahoma"/>
          <w:w w:val="95"/>
          <w:sz w:val="20"/>
          <w:szCs w:val="20"/>
        </w:rPr>
        <w:t>recherches</w:t>
      </w:r>
      <w:r w:rsidR="00DB1635" w:rsidRPr="00B004EE">
        <w:rPr>
          <w:rFonts w:ascii="Tahoma" w:hAnsi="Tahoma" w:cs="Tahoma"/>
          <w:w w:val="95"/>
          <w:sz w:val="20"/>
          <w:szCs w:val="20"/>
        </w:rPr>
        <w:t xml:space="preserve"> </w:t>
      </w:r>
      <w:r w:rsidRPr="00B004EE">
        <w:rPr>
          <w:rFonts w:ascii="Tahoma" w:hAnsi="Tahoma" w:cs="Tahoma"/>
          <w:w w:val="95"/>
          <w:sz w:val="20"/>
          <w:szCs w:val="20"/>
        </w:rPr>
        <w:t>océanographiques</w:t>
      </w:r>
      <w:r w:rsidR="00DB1635" w:rsidRPr="00B004EE">
        <w:rPr>
          <w:rFonts w:ascii="Tahoma" w:hAnsi="Tahoma" w:cs="Tahoma"/>
          <w:w w:val="95"/>
          <w:sz w:val="20"/>
          <w:szCs w:val="20"/>
        </w:rPr>
        <w:t xml:space="preserve"> </w:t>
      </w:r>
      <w:r w:rsidRPr="00B004EE">
        <w:rPr>
          <w:rFonts w:ascii="Tahoma" w:hAnsi="Tahoma" w:cs="Tahoma"/>
          <w:w w:val="95"/>
          <w:sz w:val="20"/>
          <w:szCs w:val="20"/>
        </w:rPr>
        <w:t>et</w:t>
      </w:r>
      <w:r w:rsidR="00DB1635" w:rsidRPr="00B004EE">
        <w:rPr>
          <w:rFonts w:ascii="Tahoma" w:hAnsi="Tahoma" w:cs="Tahoma"/>
          <w:w w:val="95"/>
          <w:sz w:val="20"/>
          <w:szCs w:val="20"/>
        </w:rPr>
        <w:t xml:space="preserve"> </w:t>
      </w:r>
      <w:r w:rsidRPr="00B004EE">
        <w:rPr>
          <w:rFonts w:ascii="Tahoma" w:hAnsi="Tahoma" w:cs="Tahoma"/>
          <w:w w:val="95"/>
          <w:sz w:val="20"/>
          <w:szCs w:val="20"/>
        </w:rPr>
        <w:t>des</w:t>
      </w:r>
      <w:r w:rsidR="00DB1635" w:rsidRPr="00B004EE">
        <w:rPr>
          <w:rFonts w:ascii="Tahoma" w:hAnsi="Tahoma" w:cs="Tahoma"/>
          <w:spacing w:val="56"/>
          <w:w w:val="95"/>
          <w:sz w:val="20"/>
          <w:szCs w:val="20"/>
        </w:rPr>
        <w:t xml:space="preserve"> </w:t>
      </w:r>
      <w:r w:rsidRPr="00B004EE">
        <w:rPr>
          <w:rFonts w:ascii="Tahoma" w:hAnsi="Tahoma" w:cs="Tahoma"/>
          <w:w w:val="95"/>
          <w:sz w:val="20"/>
          <w:szCs w:val="20"/>
        </w:rPr>
        <w:t>pêches.</w:t>
      </w:r>
    </w:p>
    <w:p w14:paraId="67A3756D" w14:textId="707E5778" w:rsidR="001E7C3C" w:rsidRPr="00B004EE" w:rsidRDefault="001E7C3C" w:rsidP="00420DDA">
      <w:pPr>
        <w:pStyle w:val="Corpsdetexte"/>
        <w:numPr>
          <w:ilvl w:val="0"/>
          <w:numId w:val="128"/>
        </w:numPr>
        <w:ind w:left="284" w:right="159"/>
        <w:rPr>
          <w:rFonts w:ascii="Tahoma" w:hAnsi="Tahoma" w:cs="Tahoma"/>
          <w:sz w:val="20"/>
          <w:szCs w:val="20"/>
        </w:rPr>
      </w:pP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fins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recherche</w:t>
      </w:r>
      <w:r w:rsidR="00DB1635" w:rsidRPr="00B004EE">
        <w:rPr>
          <w:rFonts w:ascii="Tahoma" w:hAnsi="Tahoma" w:cs="Tahoma"/>
          <w:sz w:val="20"/>
          <w:szCs w:val="20"/>
        </w:rPr>
        <w:t xml:space="preserve"> </w:t>
      </w:r>
      <w:r w:rsidRPr="00B004EE">
        <w:rPr>
          <w:rFonts w:ascii="Tahoma" w:hAnsi="Tahoma" w:cs="Tahoma"/>
          <w:sz w:val="20"/>
          <w:szCs w:val="20"/>
        </w:rPr>
        <w:t>scientifique</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technique</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pratiquée</w:t>
      </w:r>
      <w:r w:rsidR="00DB1635" w:rsidRPr="00B004EE">
        <w:rPr>
          <w:rFonts w:ascii="Tahoma" w:hAnsi="Tahoma" w:cs="Tahoma"/>
          <w:spacing w:val="5"/>
          <w:sz w:val="20"/>
          <w:szCs w:val="20"/>
        </w:rPr>
        <w:t xml:space="preserve"> </w:t>
      </w:r>
      <w:r w:rsidRPr="00B004EE">
        <w:rPr>
          <w:rFonts w:ascii="Tahoma" w:hAnsi="Tahoma" w:cs="Tahoma"/>
          <w:sz w:val="20"/>
          <w:szCs w:val="20"/>
        </w:rPr>
        <w:t>pour</w:t>
      </w:r>
      <w:r w:rsidR="00DB1635" w:rsidRPr="00B004EE">
        <w:rPr>
          <w:rFonts w:ascii="Tahoma" w:hAnsi="Tahoma" w:cs="Tahoma"/>
          <w:w w:val="93"/>
          <w:sz w:val="20"/>
          <w:szCs w:val="20"/>
        </w:rPr>
        <w:t xml:space="preserve"> </w:t>
      </w:r>
      <w:r w:rsidRPr="00B004EE">
        <w:rPr>
          <w:rFonts w:ascii="Tahoma" w:hAnsi="Tahoma" w:cs="Tahoma"/>
          <w:sz w:val="20"/>
          <w:szCs w:val="20"/>
        </w:rPr>
        <w:t>l'étude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connaissance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ressources</w:t>
      </w:r>
      <w:r w:rsidR="00DB1635" w:rsidRPr="00B004EE">
        <w:rPr>
          <w:rFonts w:ascii="Tahoma" w:hAnsi="Tahoma" w:cs="Tahoma"/>
          <w:sz w:val="20"/>
          <w:szCs w:val="20"/>
        </w:rPr>
        <w:t xml:space="preserve"> </w:t>
      </w:r>
      <w:r w:rsidRPr="00B004EE">
        <w:rPr>
          <w:rFonts w:ascii="Tahoma" w:hAnsi="Tahoma" w:cs="Tahoma"/>
          <w:sz w:val="20"/>
          <w:szCs w:val="20"/>
        </w:rPr>
        <w:t>halieutiques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leur</w:t>
      </w:r>
      <w:r w:rsidR="00DB1635" w:rsidRPr="00B004EE">
        <w:rPr>
          <w:rFonts w:ascii="Tahoma" w:hAnsi="Tahoma" w:cs="Tahoma"/>
          <w:spacing w:val="46"/>
          <w:sz w:val="20"/>
          <w:szCs w:val="20"/>
        </w:rPr>
        <w:t xml:space="preserve"> </w:t>
      </w:r>
      <w:r w:rsidRPr="00B004EE">
        <w:rPr>
          <w:rFonts w:ascii="Tahoma" w:hAnsi="Tahoma" w:cs="Tahoma"/>
          <w:sz w:val="20"/>
          <w:szCs w:val="20"/>
        </w:rPr>
        <w:t>environnement,</w:t>
      </w:r>
      <w:r w:rsidR="00DB1635" w:rsidRPr="00B004EE">
        <w:rPr>
          <w:rFonts w:ascii="Tahoma" w:hAnsi="Tahoma" w:cs="Tahoma"/>
          <w:w w:val="95"/>
          <w:sz w:val="20"/>
          <w:szCs w:val="20"/>
        </w:rPr>
        <w:t xml:space="preserve"> </w:t>
      </w:r>
      <w:r w:rsidRPr="00B004EE">
        <w:rPr>
          <w:rFonts w:ascii="Tahoma" w:hAnsi="Tahoma" w:cs="Tahoma"/>
          <w:sz w:val="20"/>
          <w:szCs w:val="20"/>
        </w:rPr>
        <w:t>des</w:t>
      </w:r>
      <w:r w:rsidR="00DB1635" w:rsidRPr="00B004EE">
        <w:rPr>
          <w:rFonts w:ascii="Tahoma" w:hAnsi="Tahoma" w:cs="Tahoma"/>
          <w:spacing w:val="-27"/>
          <w:sz w:val="20"/>
          <w:szCs w:val="20"/>
        </w:rPr>
        <w:t xml:space="preserve"> </w:t>
      </w:r>
      <w:r w:rsidRPr="00B004EE">
        <w:rPr>
          <w:rFonts w:ascii="Tahoma" w:hAnsi="Tahoma" w:cs="Tahoma"/>
          <w:sz w:val="20"/>
          <w:szCs w:val="20"/>
        </w:rPr>
        <w:t>navires,</w:t>
      </w:r>
      <w:r w:rsidR="00DB1635" w:rsidRPr="00B004EE">
        <w:rPr>
          <w:rFonts w:ascii="Tahoma" w:hAnsi="Tahoma" w:cs="Tahoma"/>
          <w:spacing w:val="-27"/>
          <w:sz w:val="20"/>
          <w:szCs w:val="20"/>
        </w:rPr>
        <w:t xml:space="preserve"> </w:t>
      </w:r>
      <w:r w:rsidRPr="00B004EE">
        <w:rPr>
          <w:rFonts w:ascii="Tahoma" w:hAnsi="Tahoma" w:cs="Tahoma"/>
          <w:sz w:val="20"/>
          <w:szCs w:val="20"/>
        </w:rPr>
        <w:t>des</w:t>
      </w:r>
      <w:r w:rsidR="00DB1635" w:rsidRPr="00B004EE">
        <w:rPr>
          <w:rFonts w:ascii="Tahoma" w:hAnsi="Tahoma" w:cs="Tahoma"/>
          <w:spacing w:val="-27"/>
          <w:sz w:val="20"/>
          <w:szCs w:val="20"/>
        </w:rPr>
        <w:t xml:space="preserve"> </w:t>
      </w:r>
      <w:r w:rsidRPr="00B004EE">
        <w:rPr>
          <w:rFonts w:ascii="Tahoma" w:hAnsi="Tahoma" w:cs="Tahoma"/>
          <w:sz w:val="20"/>
          <w:szCs w:val="20"/>
        </w:rPr>
        <w:t>engins</w:t>
      </w:r>
      <w:r w:rsidR="00DB1635" w:rsidRPr="00B004EE">
        <w:rPr>
          <w:rFonts w:ascii="Tahoma" w:hAnsi="Tahoma" w:cs="Tahoma"/>
          <w:spacing w:val="-28"/>
          <w:sz w:val="20"/>
          <w:szCs w:val="20"/>
        </w:rPr>
        <w:t xml:space="preserve"> </w:t>
      </w:r>
      <w:r w:rsidRPr="00B004EE">
        <w:rPr>
          <w:rFonts w:ascii="Tahoma" w:hAnsi="Tahoma" w:cs="Tahoma"/>
          <w:sz w:val="20"/>
          <w:szCs w:val="20"/>
        </w:rPr>
        <w:t>et</w:t>
      </w:r>
      <w:r w:rsidR="00DB1635" w:rsidRPr="00B004EE">
        <w:rPr>
          <w:rFonts w:ascii="Tahoma" w:hAnsi="Tahoma" w:cs="Tahoma"/>
          <w:spacing w:val="-27"/>
          <w:sz w:val="20"/>
          <w:szCs w:val="20"/>
        </w:rPr>
        <w:t xml:space="preserve"> </w:t>
      </w:r>
      <w:r w:rsidRPr="00B004EE">
        <w:rPr>
          <w:rFonts w:ascii="Tahoma" w:hAnsi="Tahoma" w:cs="Tahoma"/>
          <w:sz w:val="20"/>
          <w:szCs w:val="20"/>
        </w:rPr>
        <w:t>autres</w:t>
      </w:r>
      <w:r w:rsidR="00DB1635" w:rsidRPr="00B004EE">
        <w:rPr>
          <w:rFonts w:ascii="Tahoma" w:hAnsi="Tahoma" w:cs="Tahoma"/>
          <w:spacing w:val="-27"/>
          <w:sz w:val="20"/>
          <w:szCs w:val="20"/>
        </w:rPr>
        <w:t xml:space="preserve"> </w:t>
      </w:r>
      <w:r w:rsidRPr="00B004EE">
        <w:rPr>
          <w:rFonts w:ascii="Tahoma" w:hAnsi="Tahoma" w:cs="Tahoma"/>
          <w:sz w:val="20"/>
          <w:szCs w:val="20"/>
        </w:rPr>
        <w:t>matériels</w:t>
      </w:r>
      <w:r w:rsidR="00DB1635" w:rsidRPr="00B004EE">
        <w:rPr>
          <w:rFonts w:ascii="Tahoma" w:hAnsi="Tahoma" w:cs="Tahoma"/>
          <w:spacing w:val="-27"/>
          <w:sz w:val="20"/>
          <w:szCs w:val="20"/>
        </w:rPr>
        <w:t xml:space="preserve"> </w:t>
      </w:r>
      <w:r w:rsidRPr="00B004EE">
        <w:rPr>
          <w:rFonts w:ascii="Tahoma" w:hAnsi="Tahoma" w:cs="Tahoma"/>
          <w:sz w:val="20"/>
          <w:szCs w:val="20"/>
        </w:rPr>
        <w:t>et</w:t>
      </w:r>
      <w:r w:rsidR="00DB1635" w:rsidRPr="00B004EE">
        <w:rPr>
          <w:rFonts w:ascii="Tahoma" w:hAnsi="Tahoma" w:cs="Tahoma"/>
          <w:spacing w:val="-25"/>
          <w:sz w:val="20"/>
          <w:szCs w:val="20"/>
        </w:rPr>
        <w:t xml:space="preserve"> </w:t>
      </w:r>
      <w:r w:rsidRPr="00B004EE">
        <w:rPr>
          <w:rFonts w:ascii="Tahoma" w:hAnsi="Tahoma" w:cs="Tahoma"/>
          <w:sz w:val="20"/>
          <w:szCs w:val="20"/>
        </w:rPr>
        <w:t>techniques</w:t>
      </w:r>
      <w:r w:rsidR="00DB1635" w:rsidRPr="00B004EE">
        <w:rPr>
          <w:rFonts w:ascii="Tahoma" w:hAnsi="Tahoma" w:cs="Tahoma"/>
          <w:spacing w:val="-28"/>
          <w:sz w:val="20"/>
          <w:szCs w:val="20"/>
        </w:rPr>
        <w:t xml:space="preserve"> </w:t>
      </w:r>
      <w:r w:rsidRPr="00B004EE">
        <w:rPr>
          <w:rFonts w:ascii="Tahoma" w:hAnsi="Tahoma" w:cs="Tahoma"/>
          <w:sz w:val="20"/>
          <w:szCs w:val="20"/>
        </w:rPr>
        <w:t>de</w:t>
      </w:r>
      <w:r w:rsidR="00DB1635" w:rsidRPr="00B004EE">
        <w:rPr>
          <w:rFonts w:ascii="Tahoma" w:hAnsi="Tahoma" w:cs="Tahoma"/>
          <w:spacing w:val="-27"/>
          <w:sz w:val="20"/>
          <w:szCs w:val="20"/>
        </w:rPr>
        <w:t xml:space="preserve"> </w:t>
      </w:r>
      <w:r w:rsidRPr="00B004EE">
        <w:rPr>
          <w:rFonts w:ascii="Tahoma" w:hAnsi="Tahoma" w:cs="Tahoma"/>
          <w:sz w:val="20"/>
          <w:szCs w:val="20"/>
        </w:rPr>
        <w:t>pêche.</w:t>
      </w:r>
    </w:p>
    <w:p w14:paraId="04DCC9C4" w14:textId="5C476F4F" w:rsidR="001E7C3C" w:rsidRPr="00B004EE" w:rsidRDefault="001E7C3C" w:rsidP="00420DDA">
      <w:pPr>
        <w:pStyle w:val="Corpsdetexte"/>
        <w:numPr>
          <w:ilvl w:val="0"/>
          <w:numId w:val="128"/>
        </w:numPr>
        <w:ind w:left="284" w:right="166"/>
        <w:rPr>
          <w:rFonts w:ascii="Tahoma" w:hAnsi="Tahoma" w:cs="Tahoma"/>
          <w:sz w:val="20"/>
          <w:szCs w:val="20"/>
        </w:rPr>
      </w:pPr>
      <w:r w:rsidRPr="00B004EE">
        <w:rPr>
          <w:rFonts w:ascii="Tahoma" w:hAnsi="Tahoma" w:cs="Tahoma"/>
          <w:sz w:val="20"/>
          <w:szCs w:val="20"/>
        </w:rPr>
        <w:t>La</w:t>
      </w:r>
      <w:r w:rsidR="00DB1635" w:rsidRPr="00B004EE">
        <w:rPr>
          <w:rFonts w:ascii="Tahoma" w:hAnsi="Tahoma" w:cs="Tahoma"/>
          <w:spacing w:val="19"/>
          <w:sz w:val="20"/>
          <w:szCs w:val="20"/>
        </w:rPr>
        <w:t xml:space="preserve"> </w:t>
      </w:r>
      <w:r w:rsidRPr="00B004EE">
        <w:rPr>
          <w:rFonts w:ascii="Tahoma" w:hAnsi="Tahoma" w:cs="Tahoma"/>
          <w:sz w:val="20"/>
          <w:szCs w:val="20"/>
        </w:rPr>
        <w:t>pêche</w:t>
      </w:r>
      <w:r w:rsidR="00DB1635" w:rsidRPr="00B004EE">
        <w:rPr>
          <w:rFonts w:ascii="Tahoma" w:hAnsi="Tahoma" w:cs="Tahoma"/>
          <w:spacing w:val="18"/>
          <w:sz w:val="20"/>
          <w:szCs w:val="20"/>
        </w:rPr>
        <w:t xml:space="preserve"> </w:t>
      </w:r>
      <w:r w:rsidRPr="00B004EE">
        <w:rPr>
          <w:rFonts w:ascii="Tahoma" w:hAnsi="Tahoma" w:cs="Tahoma"/>
          <w:sz w:val="20"/>
          <w:szCs w:val="20"/>
        </w:rPr>
        <w:t>sportive</w:t>
      </w:r>
      <w:r w:rsidR="00DB1635" w:rsidRPr="00B004EE">
        <w:rPr>
          <w:rFonts w:ascii="Tahoma" w:hAnsi="Tahoma" w:cs="Tahoma"/>
          <w:spacing w:val="19"/>
          <w:sz w:val="20"/>
          <w:szCs w:val="20"/>
        </w:rPr>
        <w:t xml:space="preserve"> </w:t>
      </w:r>
      <w:r w:rsidRPr="00B004EE">
        <w:rPr>
          <w:rFonts w:ascii="Tahoma" w:hAnsi="Tahoma" w:cs="Tahoma"/>
          <w:sz w:val="20"/>
          <w:szCs w:val="20"/>
        </w:rPr>
        <w:t>est</w:t>
      </w:r>
      <w:r w:rsidR="00DB1635" w:rsidRPr="00B004EE">
        <w:rPr>
          <w:rFonts w:ascii="Tahoma" w:hAnsi="Tahoma" w:cs="Tahoma"/>
          <w:spacing w:val="18"/>
          <w:sz w:val="20"/>
          <w:szCs w:val="20"/>
        </w:rPr>
        <w:t xml:space="preserve"> </w:t>
      </w:r>
      <w:r w:rsidRPr="00B004EE">
        <w:rPr>
          <w:rFonts w:ascii="Tahoma" w:hAnsi="Tahoma" w:cs="Tahoma"/>
          <w:sz w:val="20"/>
          <w:szCs w:val="20"/>
        </w:rPr>
        <w:t>pratiquée</w:t>
      </w:r>
      <w:r w:rsidR="00DB1635" w:rsidRPr="00B004EE">
        <w:rPr>
          <w:rFonts w:ascii="Tahoma" w:hAnsi="Tahoma" w:cs="Tahoma"/>
          <w:spacing w:val="18"/>
          <w:sz w:val="20"/>
          <w:szCs w:val="20"/>
        </w:rPr>
        <w:t xml:space="preserve"> </w:t>
      </w:r>
      <w:r w:rsidRPr="00B004EE">
        <w:rPr>
          <w:rFonts w:ascii="Tahoma" w:hAnsi="Tahoma" w:cs="Tahoma"/>
          <w:sz w:val="20"/>
          <w:szCs w:val="20"/>
        </w:rPr>
        <w:t>sans</w:t>
      </w:r>
      <w:r w:rsidR="00DB1635" w:rsidRPr="00B004EE">
        <w:rPr>
          <w:rFonts w:ascii="Tahoma" w:hAnsi="Tahoma" w:cs="Tahoma"/>
          <w:spacing w:val="18"/>
          <w:sz w:val="20"/>
          <w:szCs w:val="20"/>
        </w:rPr>
        <w:t xml:space="preserve"> </w:t>
      </w:r>
      <w:r w:rsidRPr="00B004EE">
        <w:rPr>
          <w:rFonts w:ascii="Tahoma" w:hAnsi="Tahoma" w:cs="Tahoma"/>
          <w:sz w:val="20"/>
          <w:szCs w:val="20"/>
        </w:rPr>
        <w:t>but</w:t>
      </w:r>
      <w:r w:rsidR="00DB1635" w:rsidRPr="00B004EE">
        <w:rPr>
          <w:rFonts w:ascii="Tahoma" w:hAnsi="Tahoma" w:cs="Tahoma"/>
          <w:spacing w:val="19"/>
          <w:sz w:val="20"/>
          <w:szCs w:val="20"/>
        </w:rPr>
        <w:t xml:space="preserve"> </w:t>
      </w:r>
      <w:r w:rsidRPr="00B004EE">
        <w:rPr>
          <w:rFonts w:ascii="Tahoma" w:hAnsi="Tahoma" w:cs="Tahoma"/>
          <w:sz w:val="20"/>
          <w:szCs w:val="20"/>
        </w:rPr>
        <w:t>lucratif</w:t>
      </w:r>
      <w:r w:rsidR="00DB1635" w:rsidRPr="00B004EE">
        <w:rPr>
          <w:rFonts w:ascii="Tahoma" w:hAnsi="Tahoma" w:cs="Tahoma"/>
          <w:spacing w:val="17"/>
          <w:sz w:val="20"/>
          <w:szCs w:val="20"/>
        </w:rPr>
        <w:t xml:space="preserve"> </w:t>
      </w:r>
      <w:r w:rsidRPr="00B004EE">
        <w:rPr>
          <w:rFonts w:ascii="Tahoma" w:hAnsi="Tahoma" w:cs="Tahoma"/>
          <w:sz w:val="20"/>
          <w:szCs w:val="20"/>
        </w:rPr>
        <w:t>à</w:t>
      </w:r>
      <w:r w:rsidR="00DB1635" w:rsidRPr="00B004EE">
        <w:rPr>
          <w:rFonts w:ascii="Tahoma" w:hAnsi="Tahoma" w:cs="Tahoma"/>
          <w:spacing w:val="18"/>
          <w:sz w:val="20"/>
          <w:szCs w:val="20"/>
        </w:rPr>
        <w:t xml:space="preserve"> </w:t>
      </w:r>
      <w:r w:rsidRPr="00B004EE">
        <w:rPr>
          <w:rFonts w:ascii="Tahoma" w:hAnsi="Tahoma" w:cs="Tahoma"/>
          <w:sz w:val="20"/>
          <w:szCs w:val="20"/>
        </w:rPr>
        <w:t>des</w:t>
      </w:r>
      <w:r w:rsidR="00DB1635" w:rsidRPr="00B004EE">
        <w:rPr>
          <w:rFonts w:ascii="Tahoma" w:hAnsi="Tahoma" w:cs="Tahoma"/>
          <w:spacing w:val="17"/>
          <w:sz w:val="20"/>
          <w:szCs w:val="20"/>
        </w:rPr>
        <w:t xml:space="preserve"> </w:t>
      </w:r>
      <w:r w:rsidRPr="00B004EE">
        <w:rPr>
          <w:rFonts w:ascii="Tahoma" w:hAnsi="Tahoma" w:cs="Tahoma"/>
          <w:sz w:val="20"/>
          <w:szCs w:val="20"/>
        </w:rPr>
        <w:t>fins</w:t>
      </w:r>
      <w:r w:rsidR="00DB1635" w:rsidRPr="00B004EE">
        <w:rPr>
          <w:rFonts w:ascii="Tahoma" w:hAnsi="Tahoma" w:cs="Tahoma"/>
          <w:spacing w:val="17"/>
          <w:sz w:val="20"/>
          <w:szCs w:val="20"/>
        </w:rPr>
        <w:t xml:space="preserve"> </w:t>
      </w:r>
      <w:r w:rsidRPr="00B004EE">
        <w:rPr>
          <w:rFonts w:ascii="Tahoma" w:hAnsi="Tahoma" w:cs="Tahoma"/>
          <w:sz w:val="20"/>
          <w:szCs w:val="20"/>
        </w:rPr>
        <w:t>récréatives</w:t>
      </w:r>
      <w:r w:rsidR="00DB1635" w:rsidRPr="00B004EE">
        <w:rPr>
          <w:rFonts w:ascii="Tahoma" w:hAnsi="Tahoma" w:cs="Tahoma"/>
          <w:spacing w:val="17"/>
          <w:sz w:val="20"/>
          <w:szCs w:val="20"/>
        </w:rPr>
        <w:t xml:space="preserve"> </w:t>
      </w:r>
      <w:r w:rsidRPr="00B004EE">
        <w:rPr>
          <w:rFonts w:ascii="Tahoma" w:hAnsi="Tahoma" w:cs="Tahoma"/>
          <w:sz w:val="20"/>
          <w:szCs w:val="20"/>
        </w:rPr>
        <w:t>avec</w:t>
      </w:r>
      <w:r w:rsidR="00DB1635" w:rsidRPr="00B004EE">
        <w:rPr>
          <w:rFonts w:ascii="Tahoma" w:hAnsi="Tahoma" w:cs="Tahoma"/>
          <w:spacing w:val="16"/>
          <w:sz w:val="20"/>
          <w:szCs w:val="20"/>
        </w:rPr>
        <w:t xml:space="preserve"> </w:t>
      </w:r>
      <w:r w:rsidRPr="00B004EE">
        <w:rPr>
          <w:rFonts w:ascii="Tahoma" w:hAnsi="Tahoma" w:cs="Tahoma"/>
          <w:sz w:val="20"/>
          <w:szCs w:val="20"/>
        </w:rPr>
        <w:t>un</w:t>
      </w:r>
      <w:r w:rsidR="00DB1635" w:rsidRPr="00B004EE">
        <w:rPr>
          <w:rFonts w:ascii="Tahoma" w:hAnsi="Tahoma" w:cs="Tahoma"/>
          <w:w w:val="97"/>
          <w:sz w:val="20"/>
          <w:szCs w:val="20"/>
        </w:rPr>
        <w:t xml:space="preserve"> </w:t>
      </w:r>
      <w:r w:rsidRPr="00B004EE">
        <w:rPr>
          <w:rFonts w:ascii="Tahoma" w:hAnsi="Tahoma" w:cs="Tahoma"/>
          <w:sz w:val="20"/>
          <w:szCs w:val="20"/>
        </w:rPr>
        <w:t>matériel</w:t>
      </w:r>
      <w:r w:rsidR="00DB1635" w:rsidRPr="00B004EE">
        <w:rPr>
          <w:rFonts w:ascii="Tahoma" w:hAnsi="Tahoma" w:cs="Tahoma"/>
          <w:spacing w:val="-7"/>
          <w:sz w:val="20"/>
          <w:szCs w:val="20"/>
        </w:rPr>
        <w:t xml:space="preserve"> </w:t>
      </w:r>
      <w:r w:rsidRPr="00B004EE">
        <w:rPr>
          <w:rFonts w:ascii="Tahoma" w:hAnsi="Tahoma" w:cs="Tahoma"/>
          <w:sz w:val="20"/>
          <w:szCs w:val="20"/>
        </w:rPr>
        <w:t>dont</w:t>
      </w:r>
      <w:r w:rsidR="00DB1635" w:rsidRPr="00B004EE">
        <w:rPr>
          <w:rFonts w:ascii="Tahoma" w:hAnsi="Tahoma" w:cs="Tahoma"/>
          <w:spacing w:val="-8"/>
          <w:sz w:val="20"/>
          <w:szCs w:val="20"/>
        </w:rPr>
        <w:t xml:space="preserve"> </w:t>
      </w:r>
      <w:r w:rsidRPr="00B004EE">
        <w:rPr>
          <w:rFonts w:ascii="Tahoma" w:hAnsi="Tahoma" w:cs="Tahoma"/>
          <w:sz w:val="20"/>
          <w:szCs w:val="20"/>
        </w:rPr>
        <w:t>la</w:t>
      </w:r>
      <w:r w:rsidR="00DB1635" w:rsidRPr="00B004EE">
        <w:rPr>
          <w:rFonts w:ascii="Tahoma" w:hAnsi="Tahoma" w:cs="Tahoma"/>
          <w:spacing w:val="-8"/>
          <w:sz w:val="20"/>
          <w:szCs w:val="20"/>
        </w:rPr>
        <w:t xml:space="preserve"> </w:t>
      </w:r>
      <w:r w:rsidRPr="00B004EE">
        <w:rPr>
          <w:rFonts w:ascii="Tahoma" w:hAnsi="Tahoma" w:cs="Tahoma"/>
          <w:sz w:val="20"/>
          <w:szCs w:val="20"/>
        </w:rPr>
        <w:t>composition</w:t>
      </w:r>
      <w:r w:rsidR="00DB1635" w:rsidRPr="00B004EE">
        <w:rPr>
          <w:rFonts w:ascii="Tahoma" w:hAnsi="Tahoma" w:cs="Tahoma"/>
          <w:spacing w:val="-8"/>
          <w:sz w:val="20"/>
          <w:szCs w:val="20"/>
        </w:rPr>
        <w:t xml:space="preserve"> </w:t>
      </w:r>
      <w:r w:rsidRPr="00B004EE">
        <w:rPr>
          <w:rFonts w:ascii="Tahoma" w:hAnsi="Tahoma" w:cs="Tahoma"/>
          <w:sz w:val="20"/>
          <w:szCs w:val="20"/>
        </w:rPr>
        <w:t>et</w:t>
      </w:r>
      <w:r w:rsidR="00DB1635" w:rsidRPr="00B004EE">
        <w:rPr>
          <w:rFonts w:ascii="Tahoma" w:hAnsi="Tahoma" w:cs="Tahoma"/>
          <w:spacing w:val="-8"/>
          <w:sz w:val="20"/>
          <w:szCs w:val="20"/>
        </w:rPr>
        <w:t xml:space="preserve"> </w:t>
      </w:r>
      <w:r w:rsidRPr="00B004EE">
        <w:rPr>
          <w:rFonts w:ascii="Tahoma" w:hAnsi="Tahoma" w:cs="Tahoma"/>
          <w:sz w:val="20"/>
          <w:szCs w:val="20"/>
        </w:rPr>
        <w:t>les</w:t>
      </w:r>
      <w:r w:rsidR="00DB1635" w:rsidRPr="00B004EE">
        <w:rPr>
          <w:rFonts w:ascii="Tahoma" w:hAnsi="Tahoma" w:cs="Tahoma"/>
          <w:spacing w:val="-8"/>
          <w:sz w:val="20"/>
          <w:szCs w:val="20"/>
        </w:rPr>
        <w:t xml:space="preserve"> </w:t>
      </w:r>
      <w:r w:rsidRPr="00B004EE">
        <w:rPr>
          <w:rFonts w:ascii="Tahoma" w:hAnsi="Tahoma" w:cs="Tahoma"/>
          <w:sz w:val="20"/>
          <w:szCs w:val="20"/>
        </w:rPr>
        <w:t>modalités</w:t>
      </w:r>
      <w:r w:rsidR="00DB1635" w:rsidRPr="00B004EE">
        <w:rPr>
          <w:rFonts w:ascii="Tahoma" w:hAnsi="Tahoma" w:cs="Tahoma"/>
          <w:spacing w:val="-8"/>
          <w:sz w:val="20"/>
          <w:szCs w:val="20"/>
        </w:rPr>
        <w:t xml:space="preserve"> </w:t>
      </w:r>
      <w:r w:rsidRPr="00B004EE">
        <w:rPr>
          <w:rFonts w:ascii="Tahoma" w:hAnsi="Tahoma" w:cs="Tahoma"/>
          <w:sz w:val="20"/>
          <w:szCs w:val="20"/>
        </w:rPr>
        <w:t>d'utilisation</w:t>
      </w:r>
      <w:r w:rsidR="00DB1635" w:rsidRPr="00B004EE">
        <w:rPr>
          <w:rFonts w:ascii="Tahoma" w:hAnsi="Tahoma" w:cs="Tahoma"/>
          <w:spacing w:val="-10"/>
          <w:sz w:val="20"/>
          <w:szCs w:val="20"/>
        </w:rPr>
        <w:t xml:space="preserve"> </w:t>
      </w:r>
      <w:r w:rsidRPr="00B004EE">
        <w:rPr>
          <w:rFonts w:ascii="Tahoma" w:hAnsi="Tahoma" w:cs="Tahoma"/>
          <w:sz w:val="20"/>
          <w:szCs w:val="20"/>
        </w:rPr>
        <w:t>sont</w:t>
      </w:r>
      <w:r w:rsidR="00DB1635" w:rsidRPr="00B004EE">
        <w:rPr>
          <w:rFonts w:ascii="Tahoma" w:hAnsi="Tahoma" w:cs="Tahoma"/>
          <w:spacing w:val="-10"/>
          <w:sz w:val="20"/>
          <w:szCs w:val="20"/>
        </w:rPr>
        <w:t xml:space="preserve"> </w:t>
      </w:r>
      <w:r w:rsidRPr="00B004EE">
        <w:rPr>
          <w:rFonts w:ascii="Tahoma" w:hAnsi="Tahoma" w:cs="Tahoma"/>
          <w:sz w:val="20"/>
          <w:szCs w:val="20"/>
        </w:rPr>
        <w:t>définies</w:t>
      </w:r>
      <w:r w:rsidR="00DB1635" w:rsidRPr="00B004EE">
        <w:rPr>
          <w:rFonts w:ascii="Tahoma" w:hAnsi="Tahoma" w:cs="Tahoma"/>
          <w:spacing w:val="-10"/>
          <w:sz w:val="20"/>
          <w:szCs w:val="20"/>
        </w:rPr>
        <w:t xml:space="preserve"> </w:t>
      </w:r>
      <w:r w:rsidRPr="00B004EE">
        <w:rPr>
          <w:rFonts w:ascii="Tahoma" w:hAnsi="Tahoma" w:cs="Tahoma"/>
          <w:sz w:val="20"/>
          <w:szCs w:val="20"/>
        </w:rPr>
        <w:t>par</w:t>
      </w:r>
      <w:r w:rsidR="00DB1635" w:rsidRPr="00B004EE">
        <w:rPr>
          <w:rFonts w:ascii="Tahoma" w:hAnsi="Tahoma" w:cs="Tahoma"/>
          <w:spacing w:val="-10"/>
          <w:sz w:val="20"/>
          <w:szCs w:val="20"/>
        </w:rPr>
        <w:t xml:space="preserve"> </w:t>
      </w:r>
      <w:r w:rsidRPr="00B004EE">
        <w:rPr>
          <w:rFonts w:ascii="Tahoma" w:hAnsi="Tahoma" w:cs="Tahoma"/>
          <w:sz w:val="20"/>
          <w:szCs w:val="20"/>
        </w:rPr>
        <w:t>arrêté</w:t>
      </w:r>
      <w:r w:rsidR="00DB1635" w:rsidRPr="00B004EE">
        <w:rPr>
          <w:rFonts w:ascii="Tahoma" w:hAnsi="Tahoma" w:cs="Tahoma"/>
          <w:w w:val="95"/>
          <w:sz w:val="20"/>
          <w:szCs w:val="20"/>
        </w:rPr>
        <w:t xml:space="preserve"> </w:t>
      </w:r>
      <w:r w:rsidRPr="00B004EE">
        <w:rPr>
          <w:rFonts w:ascii="Tahoma" w:hAnsi="Tahoma" w:cs="Tahoma"/>
          <w:sz w:val="20"/>
          <w:szCs w:val="20"/>
        </w:rPr>
        <w:t>du</w:t>
      </w:r>
      <w:r w:rsidR="00DB1635" w:rsidRPr="00B004EE">
        <w:rPr>
          <w:rFonts w:ascii="Tahoma" w:hAnsi="Tahoma" w:cs="Tahoma"/>
          <w:spacing w:val="-26"/>
          <w:sz w:val="20"/>
          <w:szCs w:val="20"/>
        </w:rPr>
        <w:t xml:space="preserve"> </w:t>
      </w:r>
      <w:r w:rsidRPr="00B004EE">
        <w:rPr>
          <w:rFonts w:ascii="Tahoma" w:hAnsi="Tahoma" w:cs="Tahoma"/>
          <w:sz w:val="20"/>
          <w:szCs w:val="20"/>
        </w:rPr>
        <w:t>ministre</w:t>
      </w:r>
      <w:r w:rsidR="00DB1635" w:rsidRPr="00B004EE">
        <w:rPr>
          <w:rFonts w:ascii="Tahoma" w:hAnsi="Tahoma" w:cs="Tahoma"/>
          <w:spacing w:val="-26"/>
          <w:sz w:val="20"/>
          <w:szCs w:val="20"/>
        </w:rPr>
        <w:t xml:space="preserve"> </w:t>
      </w:r>
      <w:r w:rsidRPr="00B004EE">
        <w:rPr>
          <w:rFonts w:ascii="Tahoma" w:hAnsi="Tahoma" w:cs="Tahoma"/>
          <w:sz w:val="20"/>
          <w:szCs w:val="20"/>
        </w:rPr>
        <w:t>chargé</w:t>
      </w:r>
      <w:r w:rsidR="00DB1635" w:rsidRPr="00B004EE">
        <w:rPr>
          <w:rFonts w:ascii="Tahoma" w:hAnsi="Tahoma" w:cs="Tahoma"/>
          <w:spacing w:val="-26"/>
          <w:sz w:val="20"/>
          <w:szCs w:val="20"/>
        </w:rPr>
        <w:t xml:space="preserve"> </w:t>
      </w:r>
      <w:r w:rsidRPr="00B004EE">
        <w:rPr>
          <w:rFonts w:ascii="Tahoma" w:hAnsi="Tahoma" w:cs="Tahoma"/>
          <w:sz w:val="20"/>
          <w:szCs w:val="20"/>
        </w:rPr>
        <w:t>des</w:t>
      </w:r>
      <w:r w:rsidR="00DB1635" w:rsidRPr="00B004EE">
        <w:rPr>
          <w:rFonts w:ascii="Tahoma" w:hAnsi="Tahoma" w:cs="Tahoma"/>
          <w:spacing w:val="-26"/>
          <w:sz w:val="20"/>
          <w:szCs w:val="20"/>
        </w:rPr>
        <w:t xml:space="preserve"> </w:t>
      </w:r>
      <w:r w:rsidRPr="00B004EE">
        <w:rPr>
          <w:rFonts w:ascii="Tahoma" w:hAnsi="Tahoma" w:cs="Tahoma"/>
          <w:sz w:val="20"/>
          <w:szCs w:val="20"/>
        </w:rPr>
        <w:t>pêches,</w:t>
      </w:r>
      <w:r w:rsidR="00DB1635" w:rsidRPr="00B004EE">
        <w:rPr>
          <w:rFonts w:ascii="Tahoma" w:hAnsi="Tahoma" w:cs="Tahoma"/>
          <w:spacing w:val="-25"/>
          <w:sz w:val="20"/>
          <w:szCs w:val="20"/>
        </w:rPr>
        <w:t xml:space="preserve"> </w:t>
      </w:r>
      <w:r w:rsidRPr="00B004EE">
        <w:rPr>
          <w:rFonts w:ascii="Tahoma" w:hAnsi="Tahoma" w:cs="Tahoma"/>
          <w:sz w:val="20"/>
          <w:szCs w:val="20"/>
        </w:rPr>
        <w:t>dans</w:t>
      </w:r>
      <w:r w:rsidR="00DB1635" w:rsidRPr="00B004EE">
        <w:rPr>
          <w:rFonts w:ascii="Tahoma" w:hAnsi="Tahoma" w:cs="Tahoma"/>
          <w:spacing w:val="-26"/>
          <w:sz w:val="20"/>
          <w:szCs w:val="20"/>
        </w:rPr>
        <w:t xml:space="preserve"> </w:t>
      </w:r>
      <w:r w:rsidRPr="00B004EE">
        <w:rPr>
          <w:rFonts w:ascii="Tahoma" w:hAnsi="Tahoma" w:cs="Tahoma"/>
          <w:sz w:val="20"/>
          <w:szCs w:val="20"/>
        </w:rPr>
        <w:t>les</w:t>
      </w:r>
      <w:r w:rsidR="00DB1635" w:rsidRPr="00B004EE">
        <w:rPr>
          <w:rFonts w:ascii="Tahoma" w:hAnsi="Tahoma" w:cs="Tahoma"/>
          <w:spacing w:val="-26"/>
          <w:sz w:val="20"/>
          <w:szCs w:val="20"/>
        </w:rPr>
        <w:t xml:space="preserve"> </w:t>
      </w:r>
      <w:r w:rsidRPr="00B004EE">
        <w:rPr>
          <w:rFonts w:ascii="Tahoma" w:hAnsi="Tahoma" w:cs="Tahoma"/>
          <w:sz w:val="20"/>
          <w:szCs w:val="20"/>
        </w:rPr>
        <w:t>zones</w:t>
      </w:r>
      <w:r w:rsidR="00DB1635" w:rsidRPr="00B004EE">
        <w:rPr>
          <w:rFonts w:ascii="Tahoma" w:hAnsi="Tahoma" w:cs="Tahoma"/>
          <w:spacing w:val="-26"/>
          <w:sz w:val="20"/>
          <w:szCs w:val="20"/>
        </w:rPr>
        <w:t xml:space="preserve"> </w:t>
      </w:r>
      <w:r w:rsidRPr="00B004EE">
        <w:rPr>
          <w:rFonts w:ascii="Tahoma" w:hAnsi="Tahoma" w:cs="Tahoma"/>
          <w:sz w:val="20"/>
          <w:szCs w:val="20"/>
        </w:rPr>
        <w:t>qu'il</w:t>
      </w:r>
      <w:r w:rsidR="00DB1635" w:rsidRPr="00B004EE">
        <w:rPr>
          <w:rFonts w:ascii="Tahoma" w:hAnsi="Tahoma" w:cs="Tahoma"/>
          <w:spacing w:val="-25"/>
          <w:sz w:val="20"/>
          <w:szCs w:val="20"/>
        </w:rPr>
        <w:t xml:space="preserve"> </w:t>
      </w:r>
      <w:r w:rsidRPr="00B004EE">
        <w:rPr>
          <w:rFonts w:ascii="Tahoma" w:hAnsi="Tahoma" w:cs="Tahoma"/>
          <w:sz w:val="20"/>
          <w:szCs w:val="20"/>
        </w:rPr>
        <w:t>aura</w:t>
      </w:r>
      <w:r w:rsidR="00DB1635" w:rsidRPr="00B004EE">
        <w:rPr>
          <w:rFonts w:ascii="Tahoma" w:hAnsi="Tahoma" w:cs="Tahoma"/>
          <w:spacing w:val="-25"/>
          <w:sz w:val="20"/>
          <w:szCs w:val="20"/>
        </w:rPr>
        <w:t xml:space="preserve"> </w:t>
      </w:r>
      <w:r w:rsidRPr="00B004EE">
        <w:rPr>
          <w:rFonts w:ascii="Tahoma" w:hAnsi="Tahoma" w:cs="Tahoma"/>
          <w:sz w:val="20"/>
          <w:szCs w:val="20"/>
        </w:rPr>
        <w:t>fixées.</w:t>
      </w:r>
    </w:p>
    <w:p w14:paraId="25351EA6" w14:textId="77777777" w:rsidR="001E7C3C" w:rsidRPr="00B004EE" w:rsidRDefault="001E7C3C" w:rsidP="00B004EE">
      <w:pPr>
        <w:rPr>
          <w:rFonts w:ascii="Tahoma" w:eastAsia="American Typewriter" w:hAnsi="Tahoma" w:cs="Tahoma"/>
          <w:sz w:val="20"/>
          <w:szCs w:val="20"/>
        </w:rPr>
      </w:pPr>
    </w:p>
    <w:p w14:paraId="01E593DC" w14:textId="37EE5EEC" w:rsidR="001E7C3C" w:rsidRPr="00B004EE" w:rsidRDefault="001E7C3C" w:rsidP="00B004EE">
      <w:pPr>
        <w:pStyle w:val="Corpsdetexte"/>
        <w:ind w:right="157"/>
        <w:rPr>
          <w:rFonts w:ascii="Tahoma" w:hAnsi="Tahoma" w:cs="Tahoma"/>
          <w:sz w:val="20"/>
          <w:szCs w:val="20"/>
        </w:rPr>
      </w:pPr>
      <w:r w:rsidRPr="00B004EE">
        <w:rPr>
          <w:rFonts w:ascii="Tahoma" w:hAnsi="Tahoma" w:cs="Tahoma"/>
          <w:sz w:val="20"/>
          <w:szCs w:val="20"/>
        </w:rPr>
        <w:t>Les</w:t>
      </w:r>
      <w:r w:rsidR="00DB1635" w:rsidRPr="00B004EE">
        <w:rPr>
          <w:rFonts w:ascii="Tahoma" w:hAnsi="Tahoma" w:cs="Tahoma"/>
          <w:spacing w:val="-26"/>
          <w:sz w:val="20"/>
          <w:szCs w:val="20"/>
        </w:rPr>
        <w:t xml:space="preserve"> </w:t>
      </w:r>
      <w:r w:rsidRPr="00B004EE">
        <w:rPr>
          <w:rFonts w:ascii="Tahoma" w:hAnsi="Tahoma" w:cs="Tahoma"/>
          <w:sz w:val="20"/>
          <w:szCs w:val="20"/>
        </w:rPr>
        <w:t>types</w:t>
      </w:r>
      <w:r w:rsidR="00DB1635" w:rsidRPr="00B004EE">
        <w:rPr>
          <w:rFonts w:ascii="Tahoma" w:hAnsi="Tahoma" w:cs="Tahoma"/>
          <w:spacing w:val="-28"/>
          <w:sz w:val="20"/>
          <w:szCs w:val="20"/>
        </w:rPr>
        <w:t xml:space="preserve"> </w:t>
      </w:r>
      <w:r w:rsidRPr="00B004EE">
        <w:rPr>
          <w:rFonts w:ascii="Tahoma" w:hAnsi="Tahoma" w:cs="Tahoma"/>
          <w:sz w:val="20"/>
          <w:szCs w:val="20"/>
        </w:rPr>
        <w:t>de</w:t>
      </w:r>
      <w:r w:rsidR="00DB1635" w:rsidRPr="00B004EE">
        <w:rPr>
          <w:rFonts w:ascii="Tahoma" w:hAnsi="Tahoma" w:cs="Tahoma"/>
          <w:spacing w:val="-28"/>
          <w:sz w:val="20"/>
          <w:szCs w:val="20"/>
        </w:rPr>
        <w:t xml:space="preserve"> </w:t>
      </w:r>
      <w:r w:rsidRPr="00B004EE">
        <w:rPr>
          <w:rFonts w:ascii="Tahoma" w:hAnsi="Tahoma" w:cs="Tahoma"/>
          <w:sz w:val="20"/>
          <w:szCs w:val="20"/>
        </w:rPr>
        <w:t>pêche</w:t>
      </w:r>
      <w:r w:rsidR="00DB1635" w:rsidRPr="00B004EE">
        <w:rPr>
          <w:rFonts w:ascii="Tahoma" w:hAnsi="Tahoma" w:cs="Tahoma"/>
          <w:spacing w:val="-28"/>
          <w:sz w:val="20"/>
          <w:szCs w:val="20"/>
        </w:rPr>
        <w:t xml:space="preserve"> </w:t>
      </w:r>
      <w:r w:rsidRPr="00B004EE">
        <w:rPr>
          <w:rFonts w:ascii="Tahoma" w:hAnsi="Tahoma" w:cs="Tahoma"/>
          <w:sz w:val="20"/>
          <w:szCs w:val="20"/>
        </w:rPr>
        <w:t>peuvent</w:t>
      </w:r>
      <w:r w:rsidR="00DB1635" w:rsidRPr="00B004EE">
        <w:rPr>
          <w:rFonts w:ascii="Tahoma" w:hAnsi="Tahoma" w:cs="Tahoma"/>
          <w:spacing w:val="-27"/>
          <w:sz w:val="20"/>
          <w:szCs w:val="20"/>
        </w:rPr>
        <w:t xml:space="preserve"> </w:t>
      </w:r>
      <w:r w:rsidRPr="00B004EE">
        <w:rPr>
          <w:rFonts w:ascii="Tahoma" w:hAnsi="Tahoma" w:cs="Tahoma"/>
          <w:sz w:val="20"/>
          <w:szCs w:val="20"/>
        </w:rPr>
        <w:t>être</w:t>
      </w:r>
      <w:r w:rsidR="00DB1635" w:rsidRPr="00B004EE">
        <w:rPr>
          <w:rFonts w:ascii="Tahoma" w:hAnsi="Tahoma" w:cs="Tahoma"/>
          <w:spacing w:val="-28"/>
          <w:sz w:val="20"/>
          <w:szCs w:val="20"/>
        </w:rPr>
        <w:t xml:space="preserve"> </w:t>
      </w:r>
      <w:r w:rsidRPr="00B004EE">
        <w:rPr>
          <w:rFonts w:ascii="Tahoma" w:hAnsi="Tahoma" w:cs="Tahoma"/>
          <w:sz w:val="20"/>
          <w:szCs w:val="20"/>
        </w:rPr>
        <w:t>distingués</w:t>
      </w:r>
      <w:r w:rsidR="00DB1635" w:rsidRPr="00B004EE">
        <w:rPr>
          <w:rFonts w:ascii="Tahoma" w:hAnsi="Tahoma" w:cs="Tahoma"/>
          <w:spacing w:val="-28"/>
          <w:sz w:val="20"/>
          <w:szCs w:val="20"/>
        </w:rPr>
        <w:t xml:space="preserve"> </w:t>
      </w:r>
      <w:r w:rsidRPr="00B004EE">
        <w:rPr>
          <w:rFonts w:ascii="Tahoma" w:hAnsi="Tahoma" w:cs="Tahoma"/>
          <w:sz w:val="20"/>
          <w:szCs w:val="20"/>
        </w:rPr>
        <w:t>en</w:t>
      </w:r>
      <w:r w:rsidR="00DB1635" w:rsidRPr="00B004EE">
        <w:rPr>
          <w:rFonts w:ascii="Tahoma" w:hAnsi="Tahoma" w:cs="Tahoma"/>
          <w:spacing w:val="-28"/>
          <w:sz w:val="20"/>
          <w:szCs w:val="20"/>
        </w:rPr>
        <w:t xml:space="preserve"> </w:t>
      </w:r>
      <w:r w:rsidRPr="00B004EE">
        <w:rPr>
          <w:rFonts w:ascii="Tahoma" w:hAnsi="Tahoma" w:cs="Tahoma"/>
          <w:sz w:val="20"/>
          <w:szCs w:val="20"/>
        </w:rPr>
        <w:t>fonction</w:t>
      </w:r>
      <w:r w:rsidR="00DB1635" w:rsidRPr="00B004EE">
        <w:rPr>
          <w:rFonts w:ascii="Tahoma" w:hAnsi="Tahoma" w:cs="Tahoma"/>
          <w:spacing w:val="-28"/>
          <w:sz w:val="20"/>
          <w:szCs w:val="20"/>
        </w:rPr>
        <w:t xml:space="preserve"> </w:t>
      </w:r>
      <w:r w:rsidRPr="00B004EE">
        <w:rPr>
          <w:rFonts w:ascii="Tahoma" w:hAnsi="Tahoma" w:cs="Tahoma"/>
          <w:sz w:val="20"/>
          <w:szCs w:val="20"/>
        </w:rPr>
        <w:t>des</w:t>
      </w:r>
      <w:r w:rsidR="00DB1635" w:rsidRPr="00B004EE">
        <w:rPr>
          <w:rFonts w:ascii="Tahoma" w:hAnsi="Tahoma" w:cs="Tahoma"/>
          <w:spacing w:val="-28"/>
          <w:sz w:val="20"/>
          <w:szCs w:val="20"/>
        </w:rPr>
        <w:t xml:space="preserve"> </w:t>
      </w:r>
      <w:r w:rsidRPr="00B004EE">
        <w:rPr>
          <w:rFonts w:ascii="Tahoma" w:hAnsi="Tahoma" w:cs="Tahoma"/>
          <w:sz w:val="20"/>
          <w:szCs w:val="20"/>
        </w:rPr>
        <w:t>techniques</w:t>
      </w:r>
      <w:r w:rsidR="00DB1635" w:rsidRPr="00B004EE">
        <w:rPr>
          <w:rFonts w:ascii="Tahoma" w:hAnsi="Tahoma" w:cs="Tahoma"/>
          <w:spacing w:val="-28"/>
          <w:sz w:val="20"/>
          <w:szCs w:val="20"/>
        </w:rPr>
        <w:t xml:space="preserve"> </w:t>
      </w:r>
      <w:r w:rsidRPr="00B004EE">
        <w:rPr>
          <w:rFonts w:ascii="Tahoma" w:hAnsi="Tahoma" w:cs="Tahoma"/>
          <w:sz w:val="20"/>
          <w:szCs w:val="20"/>
        </w:rPr>
        <w:t>utilisées,</w:t>
      </w:r>
      <w:r w:rsidR="00DB1635" w:rsidRPr="00B004EE">
        <w:rPr>
          <w:rFonts w:ascii="Tahoma" w:hAnsi="Tahoma" w:cs="Tahoma"/>
          <w:spacing w:val="-27"/>
          <w:sz w:val="20"/>
          <w:szCs w:val="20"/>
        </w:rPr>
        <w:t xml:space="preserve"> </w:t>
      </w:r>
      <w:r w:rsidRPr="00B004EE">
        <w:rPr>
          <w:rFonts w:ascii="Tahoma" w:hAnsi="Tahoma" w:cs="Tahoma"/>
          <w:sz w:val="20"/>
          <w:szCs w:val="20"/>
        </w:rPr>
        <w:t>des</w:t>
      </w:r>
      <w:r w:rsidR="00DB1635" w:rsidRPr="00B004EE">
        <w:rPr>
          <w:rFonts w:ascii="Tahoma" w:hAnsi="Tahoma" w:cs="Tahoma"/>
          <w:w w:val="94"/>
          <w:sz w:val="20"/>
          <w:szCs w:val="20"/>
        </w:rPr>
        <w:t xml:space="preserve"> </w:t>
      </w:r>
      <w:r w:rsidRPr="00B004EE">
        <w:rPr>
          <w:rFonts w:ascii="Tahoma" w:hAnsi="Tahoma" w:cs="Tahoma"/>
          <w:sz w:val="20"/>
          <w:szCs w:val="20"/>
        </w:rPr>
        <w:t>espèces</w:t>
      </w:r>
      <w:r w:rsidR="00DB1635" w:rsidRPr="00B004EE">
        <w:rPr>
          <w:rFonts w:ascii="Tahoma" w:hAnsi="Tahoma" w:cs="Tahoma"/>
          <w:spacing w:val="-26"/>
          <w:sz w:val="20"/>
          <w:szCs w:val="20"/>
        </w:rPr>
        <w:t xml:space="preserve"> </w:t>
      </w:r>
      <w:r w:rsidRPr="00B004EE">
        <w:rPr>
          <w:rFonts w:ascii="Tahoma" w:hAnsi="Tahoma" w:cs="Tahoma"/>
          <w:sz w:val="20"/>
          <w:szCs w:val="20"/>
        </w:rPr>
        <w:t>ciblées</w:t>
      </w:r>
      <w:r w:rsidR="00DB1635" w:rsidRPr="00B004EE">
        <w:rPr>
          <w:rFonts w:ascii="Tahoma" w:hAnsi="Tahoma" w:cs="Tahoma"/>
          <w:spacing w:val="-26"/>
          <w:sz w:val="20"/>
          <w:szCs w:val="20"/>
        </w:rPr>
        <w:t xml:space="preserve"> </w:t>
      </w:r>
      <w:r w:rsidRPr="00B004EE">
        <w:rPr>
          <w:rFonts w:ascii="Tahoma" w:hAnsi="Tahoma" w:cs="Tahoma"/>
          <w:sz w:val="20"/>
          <w:szCs w:val="20"/>
        </w:rPr>
        <w:t>ou</w:t>
      </w:r>
      <w:r w:rsidR="00DB1635" w:rsidRPr="00B004EE">
        <w:rPr>
          <w:rFonts w:ascii="Tahoma" w:hAnsi="Tahoma" w:cs="Tahoma"/>
          <w:spacing w:val="-26"/>
          <w:sz w:val="20"/>
          <w:szCs w:val="20"/>
        </w:rPr>
        <w:t xml:space="preserve"> </w:t>
      </w:r>
      <w:r w:rsidRPr="00B004EE">
        <w:rPr>
          <w:rFonts w:ascii="Tahoma" w:hAnsi="Tahoma" w:cs="Tahoma"/>
          <w:sz w:val="20"/>
          <w:szCs w:val="20"/>
        </w:rPr>
        <w:t>des</w:t>
      </w:r>
      <w:r w:rsidR="00DB1635" w:rsidRPr="00B004EE">
        <w:rPr>
          <w:rFonts w:ascii="Tahoma" w:hAnsi="Tahoma" w:cs="Tahoma"/>
          <w:spacing w:val="-26"/>
          <w:sz w:val="20"/>
          <w:szCs w:val="20"/>
        </w:rPr>
        <w:t xml:space="preserve"> </w:t>
      </w:r>
      <w:r w:rsidRPr="00B004EE">
        <w:rPr>
          <w:rFonts w:ascii="Tahoma" w:hAnsi="Tahoma" w:cs="Tahoma"/>
          <w:sz w:val="20"/>
          <w:szCs w:val="20"/>
        </w:rPr>
        <w:t>zones</w:t>
      </w:r>
      <w:r w:rsidR="00DB1635" w:rsidRPr="00B004EE">
        <w:rPr>
          <w:rFonts w:ascii="Tahoma" w:hAnsi="Tahoma" w:cs="Tahoma"/>
          <w:spacing w:val="-26"/>
          <w:sz w:val="20"/>
          <w:szCs w:val="20"/>
        </w:rPr>
        <w:t xml:space="preserve"> </w:t>
      </w:r>
      <w:r w:rsidRPr="00B004EE">
        <w:rPr>
          <w:rFonts w:ascii="Tahoma" w:hAnsi="Tahoma" w:cs="Tahoma"/>
          <w:sz w:val="20"/>
          <w:szCs w:val="20"/>
        </w:rPr>
        <w:t>où</w:t>
      </w:r>
      <w:r w:rsidR="00DB1635" w:rsidRPr="00B004EE">
        <w:rPr>
          <w:rFonts w:ascii="Tahoma" w:hAnsi="Tahoma" w:cs="Tahoma"/>
          <w:spacing w:val="-26"/>
          <w:sz w:val="20"/>
          <w:szCs w:val="20"/>
        </w:rPr>
        <w:t xml:space="preserve"> </w:t>
      </w:r>
      <w:r w:rsidRPr="00B004EE">
        <w:rPr>
          <w:rFonts w:ascii="Tahoma" w:hAnsi="Tahoma" w:cs="Tahoma"/>
          <w:sz w:val="20"/>
          <w:szCs w:val="20"/>
        </w:rPr>
        <w:t>la</w:t>
      </w:r>
      <w:r w:rsidR="00DB1635" w:rsidRPr="00B004EE">
        <w:rPr>
          <w:rFonts w:ascii="Tahoma" w:hAnsi="Tahoma" w:cs="Tahoma"/>
          <w:spacing w:val="-26"/>
          <w:sz w:val="20"/>
          <w:szCs w:val="20"/>
        </w:rPr>
        <w:t xml:space="preserve"> </w:t>
      </w:r>
      <w:r w:rsidRPr="00B004EE">
        <w:rPr>
          <w:rFonts w:ascii="Tahoma" w:hAnsi="Tahoma" w:cs="Tahoma"/>
          <w:sz w:val="20"/>
          <w:szCs w:val="20"/>
        </w:rPr>
        <w:t>pêche</w:t>
      </w:r>
      <w:r w:rsidR="00DB1635" w:rsidRPr="00B004EE">
        <w:rPr>
          <w:rFonts w:ascii="Tahoma" w:hAnsi="Tahoma" w:cs="Tahoma"/>
          <w:spacing w:val="-26"/>
          <w:sz w:val="20"/>
          <w:szCs w:val="20"/>
        </w:rPr>
        <w:t xml:space="preserve"> </w:t>
      </w:r>
      <w:r w:rsidRPr="00B004EE">
        <w:rPr>
          <w:rFonts w:ascii="Tahoma" w:hAnsi="Tahoma" w:cs="Tahoma"/>
          <w:sz w:val="20"/>
          <w:szCs w:val="20"/>
        </w:rPr>
        <w:t>est</w:t>
      </w:r>
      <w:r w:rsidR="00DB1635" w:rsidRPr="00B004EE">
        <w:rPr>
          <w:rFonts w:ascii="Tahoma" w:hAnsi="Tahoma" w:cs="Tahoma"/>
          <w:spacing w:val="-26"/>
          <w:sz w:val="20"/>
          <w:szCs w:val="20"/>
        </w:rPr>
        <w:t xml:space="preserve"> </w:t>
      </w:r>
      <w:r w:rsidRPr="00B004EE">
        <w:rPr>
          <w:rFonts w:ascii="Tahoma" w:hAnsi="Tahoma" w:cs="Tahoma"/>
          <w:sz w:val="20"/>
          <w:szCs w:val="20"/>
        </w:rPr>
        <w:t>pratiquée.</w:t>
      </w:r>
    </w:p>
    <w:p w14:paraId="492AA878" w14:textId="01EBB9DE" w:rsidR="00337E3A" w:rsidRPr="00B004EE" w:rsidRDefault="001E7C3C" w:rsidP="00B004EE">
      <w:pPr>
        <w:pStyle w:val="Corpsdetexte"/>
        <w:ind w:right="159"/>
        <w:rPr>
          <w:rFonts w:ascii="Tahoma" w:hAnsi="Tahoma" w:cs="Tahoma"/>
          <w:sz w:val="20"/>
          <w:szCs w:val="20"/>
        </w:rPr>
      </w:pPr>
      <w:r w:rsidRPr="00B004EE">
        <w:rPr>
          <w:rFonts w:ascii="Tahoma" w:hAnsi="Tahoma" w:cs="Tahoma"/>
          <w:sz w:val="20"/>
          <w:szCs w:val="20"/>
        </w:rPr>
        <w:t>Les</w:t>
      </w:r>
      <w:r w:rsidR="00DB1635" w:rsidRPr="00B004EE">
        <w:rPr>
          <w:rFonts w:ascii="Tahoma" w:hAnsi="Tahoma" w:cs="Tahoma"/>
          <w:spacing w:val="25"/>
          <w:sz w:val="20"/>
          <w:szCs w:val="20"/>
        </w:rPr>
        <w:t xml:space="preserve"> </w:t>
      </w:r>
      <w:r w:rsidRPr="00B004EE">
        <w:rPr>
          <w:rFonts w:ascii="Tahoma" w:hAnsi="Tahoma" w:cs="Tahoma"/>
          <w:sz w:val="20"/>
          <w:szCs w:val="20"/>
        </w:rPr>
        <w:t>types</w:t>
      </w:r>
      <w:r w:rsidR="00DB1635" w:rsidRPr="00B004EE">
        <w:rPr>
          <w:rFonts w:ascii="Tahoma" w:hAnsi="Tahoma" w:cs="Tahoma"/>
          <w:spacing w:val="40"/>
          <w:sz w:val="20"/>
          <w:szCs w:val="20"/>
        </w:rPr>
        <w:t xml:space="preserve"> </w:t>
      </w:r>
      <w:r w:rsidRPr="00B004EE">
        <w:rPr>
          <w:rFonts w:ascii="Tahoma" w:hAnsi="Tahoma" w:cs="Tahoma"/>
          <w:sz w:val="20"/>
          <w:szCs w:val="20"/>
        </w:rPr>
        <w:t>de</w:t>
      </w:r>
      <w:r w:rsidR="00DB1635" w:rsidRPr="00B004EE">
        <w:rPr>
          <w:rFonts w:ascii="Tahoma" w:hAnsi="Tahoma" w:cs="Tahoma"/>
          <w:spacing w:val="40"/>
          <w:sz w:val="20"/>
          <w:szCs w:val="20"/>
        </w:rPr>
        <w:t xml:space="preserve"> </w:t>
      </w:r>
      <w:r w:rsidRPr="00B004EE">
        <w:rPr>
          <w:rFonts w:ascii="Tahoma" w:hAnsi="Tahoma" w:cs="Tahoma"/>
          <w:sz w:val="20"/>
          <w:szCs w:val="20"/>
        </w:rPr>
        <w:t>pêche</w:t>
      </w:r>
      <w:r w:rsidR="00DB1635" w:rsidRPr="00B004EE">
        <w:rPr>
          <w:rFonts w:ascii="Tahoma" w:hAnsi="Tahoma" w:cs="Tahoma"/>
          <w:spacing w:val="40"/>
          <w:sz w:val="20"/>
          <w:szCs w:val="20"/>
        </w:rPr>
        <w:t xml:space="preserve"> </w:t>
      </w:r>
      <w:r w:rsidRPr="00B004EE">
        <w:rPr>
          <w:rFonts w:ascii="Tahoma" w:hAnsi="Tahoma" w:cs="Tahoma"/>
          <w:sz w:val="20"/>
          <w:szCs w:val="20"/>
        </w:rPr>
        <w:t>sont</w:t>
      </w:r>
      <w:r w:rsidR="00DB1635" w:rsidRPr="00B004EE">
        <w:rPr>
          <w:rFonts w:ascii="Tahoma" w:hAnsi="Tahoma" w:cs="Tahoma"/>
          <w:spacing w:val="41"/>
          <w:sz w:val="20"/>
          <w:szCs w:val="20"/>
        </w:rPr>
        <w:t xml:space="preserve"> </w:t>
      </w:r>
      <w:r w:rsidRPr="00B004EE">
        <w:rPr>
          <w:rFonts w:ascii="Tahoma" w:hAnsi="Tahoma" w:cs="Tahoma"/>
          <w:sz w:val="20"/>
          <w:szCs w:val="20"/>
        </w:rPr>
        <w:t>définis</w:t>
      </w:r>
      <w:r w:rsidR="00DB1635" w:rsidRPr="00B004EE">
        <w:rPr>
          <w:rFonts w:ascii="Tahoma" w:hAnsi="Tahoma" w:cs="Tahoma"/>
          <w:spacing w:val="40"/>
          <w:sz w:val="20"/>
          <w:szCs w:val="20"/>
        </w:rPr>
        <w:t xml:space="preserve"> </w:t>
      </w:r>
      <w:r w:rsidRPr="00B004EE">
        <w:rPr>
          <w:rFonts w:ascii="Tahoma" w:hAnsi="Tahoma" w:cs="Tahoma"/>
          <w:sz w:val="20"/>
          <w:szCs w:val="20"/>
        </w:rPr>
        <w:t>par</w:t>
      </w:r>
      <w:r w:rsidR="00DB1635" w:rsidRPr="00B004EE">
        <w:rPr>
          <w:rFonts w:ascii="Tahoma" w:hAnsi="Tahoma" w:cs="Tahoma"/>
          <w:spacing w:val="40"/>
          <w:sz w:val="20"/>
          <w:szCs w:val="20"/>
        </w:rPr>
        <w:t xml:space="preserve"> </w:t>
      </w:r>
      <w:r w:rsidRPr="00B004EE">
        <w:rPr>
          <w:rFonts w:ascii="Tahoma" w:hAnsi="Tahoma" w:cs="Tahoma"/>
          <w:sz w:val="20"/>
          <w:szCs w:val="20"/>
        </w:rPr>
        <w:t>décret</w:t>
      </w:r>
      <w:r w:rsidR="00DB1635" w:rsidRPr="00B004EE">
        <w:rPr>
          <w:rFonts w:ascii="Tahoma" w:hAnsi="Tahoma" w:cs="Tahoma"/>
          <w:spacing w:val="41"/>
          <w:sz w:val="20"/>
          <w:szCs w:val="20"/>
        </w:rPr>
        <w:t xml:space="preserve"> </w:t>
      </w:r>
      <w:r w:rsidRPr="00B004EE">
        <w:rPr>
          <w:rFonts w:ascii="Tahoma" w:hAnsi="Tahoma" w:cs="Tahoma"/>
          <w:sz w:val="20"/>
          <w:szCs w:val="20"/>
        </w:rPr>
        <w:t>pris</w:t>
      </w:r>
      <w:r w:rsidR="00DB1635" w:rsidRPr="00B004EE">
        <w:rPr>
          <w:rFonts w:ascii="Tahoma" w:hAnsi="Tahoma" w:cs="Tahoma"/>
          <w:spacing w:val="40"/>
          <w:sz w:val="20"/>
          <w:szCs w:val="20"/>
        </w:rPr>
        <w:t xml:space="preserve"> </w:t>
      </w:r>
      <w:r w:rsidRPr="00B004EE">
        <w:rPr>
          <w:rFonts w:ascii="Tahoma" w:hAnsi="Tahoma" w:cs="Tahoma"/>
          <w:sz w:val="20"/>
          <w:szCs w:val="20"/>
        </w:rPr>
        <w:t>en</w:t>
      </w:r>
      <w:r w:rsidR="00DB1635" w:rsidRPr="00B004EE">
        <w:rPr>
          <w:rFonts w:ascii="Tahoma" w:hAnsi="Tahoma" w:cs="Tahoma"/>
          <w:spacing w:val="43"/>
          <w:sz w:val="20"/>
          <w:szCs w:val="20"/>
        </w:rPr>
        <w:t xml:space="preserve"> </w:t>
      </w:r>
      <w:r w:rsidRPr="00B004EE">
        <w:rPr>
          <w:rFonts w:ascii="Tahoma" w:hAnsi="Tahoma" w:cs="Tahoma"/>
          <w:sz w:val="20"/>
          <w:szCs w:val="20"/>
        </w:rPr>
        <w:t>Conseil</w:t>
      </w:r>
      <w:r w:rsidR="00DB1635" w:rsidRPr="00B004EE">
        <w:rPr>
          <w:rFonts w:ascii="Tahoma" w:hAnsi="Tahoma" w:cs="Tahoma"/>
          <w:spacing w:val="41"/>
          <w:sz w:val="20"/>
          <w:szCs w:val="20"/>
        </w:rPr>
        <w:t xml:space="preserve"> </w:t>
      </w:r>
      <w:r w:rsidRPr="00B004EE">
        <w:rPr>
          <w:rFonts w:ascii="Tahoma" w:hAnsi="Tahoma" w:cs="Tahoma"/>
          <w:sz w:val="20"/>
          <w:szCs w:val="20"/>
        </w:rPr>
        <w:t>des</w:t>
      </w:r>
      <w:r w:rsidR="00DB1635" w:rsidRPr="00B004EE">
        <w:rPr>
          <w:rFonts w:ascii="Tahoma" w:hAnsi="Tahoma" w:cs="Tahoma"/>
          <w:spacing w:val="40"/>
          <w:sz w:val="20"/>
          <w:szCs w:val="20"/>
        </w:rPr>
        <w:t xml:space="preserve"> </w:t>
      </w:r>
      <w:r w:rsidRPr="00B004EE">
        <w:rPr>
          <w:rFonts w:ascii="Tahoma" w:hAnsi="Tahoma" w:cs="Tahoma"/>
          <w:sz w:val="20"/>
          <w:szCs w:val="20"/>
        </w:rPr>
        <w:t>Ministres</w:t>
      </w:r>
      <w:r w:rsidR="00DB1635" w:rsidRPr="00B004EE">
        <w:rPr>
          <w:rFonts w:ascii="Tahoma" w:hAnsi="Tahoma" w:cs="Tahoma"/>
          <w:spacing w:val="40"/>
          <w:sz w:val="20"/>
          <w:szCs w:val="20"/>
        </w:rPr>
        <w:t xml:space="preserve"> </w:t>
      </w:r>
      <w:r w:rsidRPr="00B004EE">
        <w:rPr>
          <w:rFonts w:ascii="Tahoma" w:hAnsi="Tahoma" w:cs="Tahoma"/>
          <w:sz w:val="20"/>
          <w:szCs w:val="20"/>
        </w:rPr>
        <w:t>sur</w:t>
      </w:r>
      <w:r w:rsidR="00DB1635" w:rsidRPr="00B004EE">
        <w:rPr>
          <w:rFonts w:ascii="Tahoma" w:hAnsi="Tahoma" w:cs="Tahoma"/>
          <w:w w:val="90"/>
          <w:sz w:val="20"/>
          <w:szCs w:val="20"/>
        </w:rPr>
        <w:t xml:space="preserve"> </w:t>
      </w:r>
      <w:r w:rsidRPr="00B004EE">
        <w:rPr>
          <w:rFonts w:ascii="Tahoma" w:hAnsi="Tahoma" w:cs="Tahoma"/>
          <w:sz w:val="20"/>
          <w:szCs w:val="20"/>
        </w:rPr>
        <w:t>rapport</w:t>
      </w:r>
      <w:r w:rsidR="00DB1635" w:rsidRPr="00B004EE">
        <w:rPr>
          <w:rFonts w:ascii="Tahoma" w:hAnsi="Tahoma" w:cs="Tahoma"/>
          <w:spacing w:val="-38"/>
          <w:sz w:val="20"/>
          <w:szCs w:val="20"/>
        </w:rPr>
        <w:t xml:space="preserve"> </w:t>
      </w:r>
      <w:r w:rsidRPr="00B004EE">
        <w:rPr>
          <w:rFonts w:ascii="Tahoma" w:hAnsi="Tahoma" w:cs="Tahoma"/>
          <w:sz w:val="20"/>
          <w:szCs w:val="20"/>
        </w:rPr>
        <w:t>du</w:t>
      </w:r>
      <w:r w:rsidR="00DB1635" w:rsidRPr="00B004EE">
        <w:rPr>
          <w:rFonts w:ascii="Tahoma" w:hAnsi="Tahoma" w:cs="Tahoma"/>
          <w:spacing w:val="-38"/>
          <w:sz w:val="20"/>
          <w:szCs w:val="20"/>
        </w:rPr>
        <w:t xml:space="preserve"> </w:t>
      </w:r>
      <w:r w:rsidRPr="00B004EE">
        <w:rPr>
          <w:rFonts w:ascii="Tahoma" w:hAnsi="Tahoma" w:cs="Tahoma"/>
          <w:sz w:val="20"/>
          <w:szCs w:val="20"/>
        </w:rPr>
        <w:t>Ministre</w:t>
      </w:r>
      <w:r w:rsidR="00DB1635" w:rsidRPr="00B004EE">
        <w:rPr>
          <w:rFonts w:ascii="Tahoma" w:hAnsi="Tahoma" w:cs="Tahoma"/>
          <w:spacing w:val="-38"/>
          <w:sz w:val="20"/>
          <w:szCs w:val="20"/>
        </w:rPr>
        <w:t xml:space="preserve"> </w:t>
      </w:r>
      <w:r w:rsidRPr="00B004EE">
        <w:rPr>
          <w:rFonts w:ascii="Tahoma" w:hAnsi="Tahoma" w:cs="Tahoma"/>
          <w:sz w:val="20"/>
          <w:szCs w:val="20"/>
        </w:rPr>
        <w:t>chargé</w:t>
      </w:r>
      <w:r w:rsidR="00DB1635" w:rsidRPr="00B004EE">
        <w:rPr>
          <w:rFonts w:ascii="Tahoma" w:hAnsi="Tahoma" w:cs="Tahoma"/>
          <w:spacing w:val="-38"/>
          <w:sz w:val="20"/>
          <w:szCs w:val="20"/>
        </w:rPr>
        <w:t xml:space="preserve"> </w:t>
      </w:r>
      <w:r w:rsidRPr="00B004EE">
        <w:rPr>
          <w:rFonts w:ascii="Tahoma" w:hAnsi="Tahoma" w:cs="Tahoma"/>
          <w:sz w:val="20"/>
          <w:szCs w:val="20"/>
        </w:rPr>
        <w:t>des</w:t>
      </w:r>
      <w:r w:rsidR="00DB1635" w:rsidRPr="00B004EE">
        <w:rPr>
          <w:rFonts w:ascii="Tahoma" w:hAnsi="Tahoma" w:cs="Tahoma"/>
          <w:spacing w:val="-39"/>
          <w:sz w:val="20"/>
          <w:szCs w:val="20"/>
        </w:rPr>
        <w:t xml:space="preserve"> </w:t>
      </w:r>
      <w:r w:rsidRPr="00B004EE">
        <w:rPr>
          <w:rFonts w:ascii="Tahoma" w:hAnsi="Tahoma" w:cs="Tahoma"/>
          <w:sz w:val="20"/>
          <w:szCs w:val="20"/>
        </w:rPr>
        <w:t>pêches.</w:t>
      </w:r>
    </w:p>
    <w:p w14:paraId="507208A2" w14:textId="77777777" w:rsidR="00337E3A" w:rsidRPr="00B004EE" w:rsidRDefault="00337E3A" w:rsidP="00B004EE">
      <w:pPr>
        <w:jc w:val="center"/>
        <w:rPr>
          <w:rFonts w:ascii="Tahoma" w:eastAsia="American Typewriter" w:hAnsi="Tahoma" w:cs="Tahoma"/>
          <w:b/>
          <w:bCs/>
          <w:sz w:val="20"/>
          <w:szCs w:val="20"/>
        </w:rPr>
      </w:pPr>
    </w:p>
    <w:p w14:paraId="6261FA12" w14:textId="152195E3" w:rsidR="001E7C3C" w:rsidRPr="00B004EE" w:rsidRDefault="001E7C3C" w:rsidP="00B004EE">
      <w:pPr>
        <w:jc w:val="center"/>
        <w:rPr>
          <w:rFonts w:ascii="Tahoma" w:eastAsia="American Typewriter" w:hAnsi="Tahoma" w:cs="Tahoma"/>
          <w:b/>
          <w:bCs/>
          <w:sz w:val="20"/>
          <w:szCs w:val="20"/>
        </w:rPr>
      </w:pPr>
      <w:r w:rsidRPr="00B004EE">
        <w:rPr>
          <w:rFonts w:ascii="Tahoma" w:eastAsia="American Typewriter" w:hAnsi="Tahoma" w:cs="Tahoma"/>
          <w:b/>
          <w:bCs/>
          <w:sz w:val="20"/>
          <w:szCs w:val="20"/>
        </w:rPr>
        <w:t>Section</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6</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Des</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navires</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de</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pêche</w:t>
      </w:r>
    </w:p>
    <w:p w14:paraId="63C36FAF" w14:textId="77777777" w:rsidR="001E7C3C" w:rsidRPr="00B004EE" w:rsidRDefault="001E7C3C" w:rsidP="00B004EE">
      <w:pPr>
        <w:jc w:val="center"/>
        <w:rPr>
          <w:rFonts w:ascii="Tahoma" w:eastAsia="American Typewriter" w:hAnsi="Tahoma" w:cs="Tahoma"/>
          <w:b/>
          <w:bCs/>
          <w:sz w:val="20"/>
          <w:szCs w:val="20"/>
        </w:rPr>
      </w:pPr>
    </w:p>
    <w:p w14:paraId="5BA08309" w14:textId="6262F8F3" w:rsidR="001E7C3C" w:rsidRPr="00B004EE" w:rsidRDefault="001E7C3C" w:rsidP="00B004EE">
      <w:pPr>
        <w:pStyle w:val="Corpsdetexte"/>
        <w:ind w:right="158"/>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7</w:t>
      </w:r>
      <w:r w:rsidR="00DB1635" w:rsidRPr="00B004EE">
        <w:rPr>
          <w:rFonts w:ascii="Tahoma" w:hAnsi="Tahoma" w:cs="Tahoma"/>
          <w:bCs/>
          <w:sz w:val="20"/>
          <w:szCs w:val="20"/>
        </w:rPr>
        <w:t xml:space="preserve"> </w:t>
      </w:r>
      <w:r w:rsidRPr="00B004EE">
        <w:rPr>
          <w:rFonts w:ascii="Tahoma" w:hAnsi="Tahoma" w:cs="Tahoma"/>
          <w:bCs/>
          <w:sz w:val="20"/>
          <w:szCs w:val="20"/>
        </w:rPr>
        <w:t>:</w:t>
      </w:r>
      <w:r w:rsidR="00DB1635" w:rsidRPr="00B004EE">
        <w:rPr>
          <w:rFonts w:ascii="Tahoma" w:eastAsia="American Typewriter" w:hAnsi="Tahoma" w:cs="Tahoma"/>
          <w:b/>
          <w:bCs/>
          <w:spacing w:val="-12"/>
          <w:sz w:val="20"/>
          <w:szCs w:val="20"/>
        </w:rPr>
        <w:t xml:space="preserve"> </w:t>
      </w:r>
      <w:r w:rsidRPr="00B004EE">
        <w:rPr>
          <w:rFonts w:ascii="Tahoma" w:hAnsi="Tahoma" w:cs="Tahoma"/>
          <w:sz w:val="20"/>
          <w:szCs w:val="20"/>
        </w:rPr>
        <w:t>Sont</w:t>
      </w:r>
      <w:r w:rsidR="00DB1635" w:rsidRPr="00B004EE">
        <w:rPr>
          <w:rFonts w:ascii="Tahoma" w:hAnsi="Tahoma" w:cs="Tahoma"/>
          <w:spacing w:val="-15"/>
          <w:sz w:val="20"/>
          <w:szCs w:val="20"/>
        </w:rPr>
        <w:t xml:space="preserve"> </w:t>
      </w:r>
      <w:r w:rsidRPr="00B004EE">
        <w:rPr>
          <w:rFonts w:ascii="Tahoma" w:hAnsi="Tahoma" w:cs="Tahoma"/>
          <w:sz w:val="20"/>
          <w:szCs w:val="20"/>
        </w:rPr>
        <w:t>considérés</w:t>
      </w:r>
      <w:r w:rsidR="00DB1635" w:rsidRPr="00B004EE">
        <w:rPr>
          <w:rFonts w:ascii="Tahoma" w:hAnsi="Tahoma" w:cs="Tahoma"/>
          <w:spacing w:val="-16"/>
          <w:sz w:val="20"/>
          <w:szCs w:val="20"/>
        </w:rPr>
        <w:t xml:space="preserve"> </w:t>
      </w:r>
      <w:r w:rsidRPr="00B004EE">
        <w:rPr>
          <w:rFonts w:ascii="Tahoma" w:hAnsi="Tahoma" w:cs="Tahoma"/>
          <w:sz w:val="20"/>
          <w:szCs w:val="20"/>
        </w:rPr>
        <w:t>comme</w:t>
      </w:r>
      <w:r w:rsidR="00DB1635" w:rsidRPr="00B004EE">
        <w:rPr>
          <w:rFonts w:ascii="Tahoma" w:hAnsi="Tahoma" w:cs="Tahoma"/>
          <w:spacing w:val="-15"/>
          <w:sz w:val="20"/>
          <w:szCs w:val="20"/>
        </w:rPr>
        <w:t xml:space="preserve"> </w:t>
      </w:r>
      <w:r w:rsidRPr="00B004EE">
        <w:rPr>
          <w:rFonts w:ascii="Tahoma" w:hAnsi="Tahoma" w:cs="Tahoma"/>
          <w:sz w:val="20"/>
          <w:szCs w:val="20"/>
        </w:rPr>
        <w:t>navires</w:t>
      </w:r>
      <w:r w:rsidR="00DB1635" w:rsidRPr="00B004EE">
        <w:rPr>
          <w:rFonts w:ascii="Tahoma" w:hAnsi="Tahoma" w:cs="Tahoma"/>
          <w:spacing w:val="-16"/>
          <w:sz w:val="20"/>
          <w:szCs w:val="20"/>
        </w:rPr>
        <w:t xml:space="preserve"> </w:t>
      </w:r>
      <w:r w:rsidRPr="00B004EE">
        <w:rPr>
          <w:rFonts w:ascii="Tahoma" w:hAnsi="Tahoma" w:cs="Tahoma"/>
          <w:sz w:val="20"/>
          <w:szCs w:val="20"/>
        </w:rPr>
        <w:t>de</w:t>
      </w:r>
      <w:r w:rsidR="00DB1635" w:rsidRPr="00B004EE">
        <w:rPr>
          <w:rFonts w:ascii="Tahoma" w:hAnsi="Tahoma" w:cs="Tahoma"/>
          <w:spacing w:val="-15"/>
          <w:sz w:val="20"/>
          <w:szCs w:val="20"/>
        </w:rPr>
        <w:t xml:space="preserve"> </w:t>
      </w:r>
      <w:r w:rsidRPr="00B004EE">
        <w:rPr>
          <w:rFonts w:ascii="Tahoma" w:hAnsi="Tahoma" w:cs="Tahoma"/>
          <w:sz w:val="20"/>
          <w:szCs w:val="20"/>
        </w:rPr>
        <w:t>pêche</w:t>
      </w:r>
      <w:r w:rsidR="00DB1635" w:rsidRPr="00B004EE">
        <w:rPr>
          <w:rFonts w:ascii="Tahoma" w:hAnsi="Tahoma" w:cs="Tahoma"/>
          <w:spacing w:val="-15"/>
          <w:sz w:val="20"/>
          <w:szCs w:val="20"/>
        </w:rPr>
        <w:t xml:space="preserve"> </w:t>
      </w:r>
      <w:r w:rsidRPr="00B004EE">
        <w:rPr>
          <w:rFonts w:ascii="Tahoma" w:hAnsi="Tahoma" w:cs="Tahoma"/>
          <w:sz w:val="20"/>
          <w:szCs w:val="20"/>
        </w:rPr>
        <w:t>au</w:t>
      </w:r>
      <w:r w:rsidR="00DB1635" w:rsidRPr="00B004EE">
        <w:rPr>
          <w:rFonts w:ascii="Tahoma" w:hAnsi="Tahoma" w:cs="Tahoma"/>
          <w:spacing w:val="-15"/>
          <w:sz w:val="20"/>
          <w:szCs w:val="20"/>
        </w:rPr>
        <w:t xml:space="preserve"> </w:t>
      </w:r>
      <w:r w:rsidRPr="00B004EE">
        <w:rPr>
          <w:rFonts w:ascii="Tahoma" w:hAnsi="Tahoma" w:cs="Tahoma"/>
          <w:sz w:val="20"/>
          <w:szCs w:val="20"/>
        </w:rPr>
        <w:t>sens</w:t>
      </w:r>
      <w:r w:rsidR="00DB1635" w:rsidRPr="00B004EE">
        <w:rPr>
          <w:rFonts w:ascii="Tahoma" w:hAnsi="Tahoma" w:cs="Tahoma"/>
          <w:spacing w:val="-16"/>
          <w:sz w:val="20"/>
          <w:szCs w:val="20"/>
        </w:rPr>
        <w:t xml:space="preserve"> </w:t>
      </w:r>
      <w:r w:rsidRPr="00B004EE">
        <w:rPr>
          <w:rFonts w:ascii="Tahoma" w:hAnsi="Tahoma" w:cs="Tahoma"/>
          <w:sz w:val="20"/>
          <w:szCs w:val="20"/>
        </w:rPr>
        <w:t>de</w:t>
      </w:r>
      <w:r w:rsidR="00DB1635" w:rsidRPr="00B004EE">
        <w:rPr>
          <w:rFonts w:ascii="Tahoma" w:hAnsi="Tahoma" w:cs="Tahoma"/>
          <w:spacing w:val="-15"/>
          <w:sz w:val="20"/>
          <w:szCs w:val="20"/>
        </w:rPr>
        <w:t xml:space="preserve"> </w:t>
      </w:r>
      <w:r w:rsidRPr="00B004EE">
        <w:rPr>
          <w:rFonts w:ascii="Tahoma" w:hAnsi="Tahoma" w:cs="Tahoma"/>
          <w:sz w:val="20"/>
          <w:szCs w:val="20"/>
        </w:rPr>
        <w:t>la</w:t>
      </w:r>
      <w:r w:rsidR="00DB1635" w:rsidRPr="00B004EE">
        <w:rPr>
          <w:rFonts w:ascii="Tahoma" w:hAnsi="Tahoma" w:cs="Tahoma"/>
          <w:spacing w:val="-15"/>
          <w:sz w:val="20"/>
          <w:szCs w:val="20"/>
        </w:rPr>
        <w:t xml:space="preserve"> </w:t>
      </w:r>
      <w:r w:rsidRPr="00B004EE">
        <w:rPr>
          <w:rFonts w:ascii="Tahoma" w:hAnsi="Tahoma" w:cs="Tahoma"/>
          <w:sz w:val="20"/>
          <w:szCs w:val="20"/>
        </w:rPr>
        <w:t>législation</w:t>
      </w:r>
      <w:r w:rsidR="00DB1635" w:rsidRPr="00B004EE">
        <w:rPr>
          <w:rFonts w:ascii="Tahoma" w:hAnsi="Tahoma" w:cs="Tahoma"/>
          <w:spacing w:val="-15"/>
          <w:sz w:val="20"/>
          <w:szCs w:val="20"/>
        </w:rPr>
        <w:t xml:space="preserve"> </w:t>
      </w:r>
      <w:r w:rsidRPr="00B004EE">
        <w:rPr>
          <w:rFonts w:ascii="Tahoma" w:hAnsi="Tahoma" w:cs="Tahoma"/>
          <w:sz w:val="20"/>
          <w:szCs w:val="20"/>
        </w:rPr>
        <w:t>sur</w:t>
      </w:r>
      <w:r w:rsidR="00DB1635" w:rsidRPr="00B004EE">
        <w:rPr>
          <w:rFonts w:ascii="Tahoma" w:hAnsi="Tahoma" w:cs="Tahoma"/>
          <w:spacing w:val="-16"/>
          <w:sz w:val="20"/>
          <w:szCs w:val="20"/>
        </w:rPr>
        <w:t xml:space="preserve"> </w:t>
      </w:r>
      <w:r w:rsidRPr="00B004EE">
        <w:rPr>
          <w:rFonts w:ascii="Tahoma" w:hAnsi="Tahoma" w:cs="Tahoma"/>
          <w:sz w:val="20"/>
          <w:szCs w:val="20"/>
        </w:rPr>
        <w:t>la</w:t>
      </w:r>
      <w:r w:rsidR="00DB1635" w:rsidRPr="00B004EE">
        <w:rPr>
          <w:rFonts w:ascii="Tahoma" w:hAnsi="Tahoma" w:cs="Tahoma"/>
          <w:w w:val="98"/>
          <w:sz w:val="20"/>
          <w:szCs w:val="20"/>
        </w:rPr>
        <w:t xml:space="preserve"> </w:t>
      </w:r>
      <w:r w:rsidRPr="00B004EE">
        <w:rPr>
          <w:rFonts w:ascii="Tahoma" w:eastAsia="American Typewriter" w:hAnsi="Tahoma" w:cs="Tahoma"/>
          <w:sz w:val="20"/>
          <w:szCs w:val="20"/>
        </w:rPr>
        <w:t>pêche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et</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ses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règlements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d’application,</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tout</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navire</w:t>
      </w:r>
      <w:r w:rsidR="00DB1635" w:rsidRPr="00B004EE">
        <w:rPr>
          <w:rFonts w:ascii="Tahoma" w:eastAsia="American Typewriter"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mer</w:t>
      </w:r>
      <w:r w:rsidR="00DB1635" w:rsidRPr="00B004EE">
        <w:rPr>
          <w:rFonts w:ascii="Tahoma" w:hAnsi="Tahoma" w:cs="Tahoma"/>
          <w:sz w:val="20"/>
          <w:szCs w:val="20"/>
        </w:rPr>
        <w:t xml:space="preserve"> </w:t>
      </w:r>
      <w:r w:rsidRPr="00B004EE">
        <w:rPr>
          <w:rFonts w:ascii="Tahoma" w:hAnsi="Tahoma" w:cs="Tahoma"/>
          <w:sz w:val="20"/>
          <w:szCs w:val="20"/>
        </w:rPr>
        <w:t>y</w:t>
      </w:r>
      <w:r w:rsidR="00DB1635" w:rsidRPr="00B004EE">
        <w:rPr>
          <w:rFonts w:ascii="Tahoma" w:hAnsi="Tahoma" w:cs="Tahoma"/>
          <w:sz w:val="20"/>
          <w:szCs w:val="20"/>
        </w:rPr>
        <w:t xml:space="preserve"> </w:t>
      </w:r>
      <w:r w:rsidRPr="00B004EE">
        <w:rPr>
          <w:rFonts w:ascii="Tahoma" w:hAnsi="Tahoma" w:cs="Tahoma"/>
          <w:sz w:val="20"/>
          <w:szCs w:val="20"/>
        </w:rPr>
        <w:t>compris</w:t>
      </w:r>
      <w:r w:rsidR="00DB1635" w:rsidRPr="00B004EE">
        <w:rPr>
          <w:rFonts w:ascii="Tahoma" w:hAnsi="Tahoma" w:cs="Tahoma"/>
          <w:spacing w:val="30"/>
          <w:sz w:val="20"/>
          <w:szCs w:val="20"/>
        </w:rPr>
        <w:t xml:space="preserve"> </w:t>
      </w:r>
      <w:r w:rsidRPr="00B004EE">
        <w:rPr>
          <w:rFonts w:ascii="Tahoma" w:hAnsi="Tahoma" w:cs="Tahoma"/>
          <w:sz w:val="20"/>
          <w:szCs w:val="20"/>
        </w:rPr>
        <w:t>les</w:t>
      </w:r>
      <w:r w:rsidR="00DB1635" w:rsidRPr="00B004EE">
        <w:rPr>
          <w:rFonts w:ascii="Tahoma" w:hAnsi="Tahoma" w:cs="Tahoma"/>
          <w:w w:val="94"/>
          <w:sz w:val="20"/>
          <w:szCs w:val="20"/>
        </w:rPr>
        <w:t xml:space="preserve"> </w:t>
      </w:r>
      <w:r w:rsidRPr="00B004EE">
        <w:rPr>
          <w:rFonts w:ascii="Tahoma" w:hAnsi="Tahoma" w:cs="Tahoma"/>
          <w:sz w:val="20"/>
          <w:szCs w:val="20"/>
        </w:rPr>
        <w:t>embarcations</w:t>
      </w:r>
      <w:r w:rsidR="00DB1635" w:rsidRPr="00B004EE">
        <w:rPr>
          <w:rFonts w:ascii="Tahoma" w:hAnsi="Tahoma" w:cs="Tahoma"/>
          <w:spacing w:val="37"/>
          <w:sz w:val="20"/>
          <w:szCs w:val="20"/>
        </w:rPr>
        <w:t xml:space="preserve"> </w:t>
      </w:r>
      <w:r w:rsidRPr="00B004EE">
        <w:rPr>
          <w:rFonts w:ascii="Tahoma" w:hAnsi="Tahoma" w:cs="Tahoma"/>
          <w:sz w:val="20"/>
          <w:szCs w:val="20"/>
        </w:rPr>
        <w:t>et</w:t>
      </w:r>
      <w:r w:rsidR="00DB1635" w:rsidRPr="00B004EE">
        <w:rPr>
          <w:rFonts w:ascii="Tahoma" w:hAnsi="Tahoma" w:cs="Tahoma"/>
          <w:spacing w:val="38"/>
          <w:sz w:val="20"/>
          <w:szCs w:val="20"/>
        </w:rPr>
        <w:t xml:space="preserve"> </w:t>
      </w:r>
      <w:r w:rsidRPr="00B004EE">
        <w:rPr>
          <w:rFonts w:ascii="Tahoma" w:hAnsi="Tahoma" w:cs="Tahoma"/>
          <w:sz w:val="20"/>
          <w:szCs w:val="20"/>
        </w:rPr>
        <w:t>pirogues,</w:t>
      </w:r>
      <w:r w:rsidR="00DB1635" w:rsidRPr="00B004EE">
        <w:rPr>
          <w:rFonts w:ascii="Tahoma" w:hAnsi="Tahoma" w:cs="Tahoma"/>
          <w:spacing w:val="38"/>
          <w:sz w:val="20"/>
          <w:szCs w:val="20"/>
        </w:rPr>
        <w:t xml:space="preserve"> </w:t>
      </w:r>
      <w:r w:rsidRPr="00B004EE">
        <w:rPr>
          <w:rFonts w:ascii="Tahoma" w:hAnsi="Tahoma" w:cs="Tahoma"/>
          <w:sz w:val="20"/>
          <w:szCs w:val="20"/>
        </w:rPr>
        <w:t>soumis</w:t>
      </w:r>
      <w:r w:rsidR="00DB1635" w:rsidRPr="00B004EE">
        <w:rPr>
          <w:rFonts w:ascii="Tahoma" w:hAnsi="Tahoma" w:cs="Tahoma"/>
          <w:spacing w:val="40"/>
          <w:sz w:val="20"/>
          <w:szCs w:val="20"/>
        </w:rPr>
        <w:t xml:space="preserve"> </w:t>
      </w:r>
      <w:r w:rsidRPr="00B004EE">
        <w:rPr>
          <w:rFonts w:ascii="Tahoma" w:hAnsi="Tahoma" w:cs="Tahoma"/>
          <w:sz w:val="20"/>
          <w:szCs w:val="20"/>
        </w:rPr>
        <w:t>au</w:t>
      </w:r>
      <w:r w:rsidR="00DB1635" w:rsidRPr="00B004EE">
        <w:rPr>
          <w:rFonts w:ascii="Tahoma" w:hAnsi="Tahoma" w:cs="Tahoma"/>
          <w:spacing w:val="37"/>
          <w:sz w:val="20"/>
          <w:szCs w:val="20"/>
        </w:rPr>
        <w:t xml:space="preserve"> </w:t>
      </w:r>
      <w:r w:rsidRPr="00B004EE">
        <w:rPr>
          <w:rFonts w:ascii="Tahoma" w:hAnsi="Tahoma" w:cs="Tahoma"/>
          <w:sz w:val="20"/>
          <w:szCs w:val="20"/>
        </w:rPr>
        <w:t>code</w:t>
      </w:r>
      <w:r w:rsidR="00DB1635" w:rsidRPr="00B004EE">
        <w:rPr>
          <w:rFonts w:ascii="Tahoma" w:hAnsi="Tahoma" w:cs="Tahoma"/>
          <w:spacing w:val="38"/>
          <w:sz w:val="20"/>
          <w:szCs w:val="20"/>
        </w:rPr>
        <w:t xml:space="preserve"> </w:t>
      </w:r>
      <w:r w:rsidRPr="00B004EE">
        <w:rPr>
          <w:rFonts w:ascii="Tahoma" w:hAnsi="Tahoma" w:cs="Tahoma"/>
          <w:sz w:val="20"/>
          <w:szCs w:val="20"/>
        </w:rPr>
        <w:t>de</w:t>
      </w:r>
      <w:r w:rsidR="00DB1635" w:rsidRPr="00B004EE">
        <w:rPr>
          <w:rFonts w:ascii="Tahoma" w:hAnsi="Tahoma" w:cs="Tahoma"/>
          <w:spacing w:val="38"/>
          <w:sz w:val="20"/>
          <w:szCs w:val="20"/>
        </w:rPr>
        <w:t xml:space="preserve"> </w:t>
      </w:r>
      <w:r w:rsidRPr="00B004EE">
        <w:rPr>
          <w:rFonts w:ascii="Tahoma" w:hAnsi="Tahoma" w:cs="Tahoma"/>
          <w:sz w:val="20"/>
          <w:szCs w:val="20"/>
        </w:rPr>
        <w:t>la</w:t>
      </w:r>
      <w:r w:rsidR="00DB1635" w:rsidRPr="00B004EE">
        <w:rPr>
          <w:rFonts w:ascii="Tahoma" w:hAnsi="Tahoma" w:cs="Tahoma"/>
          <w:spacing w:val="38"/>
          <w:sz w:val="20"/>
          <w:szCs w:val="20"/>
        </w:rPr>
        <w:t xml:space="preserve"> </w:t>
      </w:r>
      <w:r w:rsidRPr="00B004EE">
        <w:rPr>
          <w:rFonts w:ascii="Tahoma" w:hAnsi="Tahoma" w:cs="Tahoma"/>
          <w:sz w:val="20"/>
          <w:szCs w:val="20"/>
        </w:rPr>
        <w:t>marine</w:t>
      </w:r>
      <w:r w:rsidR="00DB1635" w:rsidRPr="00B004EE">
        <w:rPr>
          <w:rFonts w:ascii="Tahoma" w:hAnsi="Tahoma" w:cs="Tahoma"/>
          <w:spacing w:val="37"/>
          <w:sz w:val="20"/>
          <w:szCs w:val="20"/>
        </w:rPr>
        <w:t xml:space="preserve"> </w:t>
      </w:r>
      <w:r w:rsidRPr="00B004EE">
        <w:rPr>
          <w:rFonts w:ascii="Tahoma" w:hAnsi="Tahoma" w:cs="Tahoma"/>
          <w:sz w:val="20"/>
          <w:szCs w:val="20"/>
        </w:rPr>
        <w:t>marchande</w:t>
      </w:r>
      <w:r w:rsidR="00DB1635" w:rsidRPr="00B004EE">
        <w:rPr>
          <w:rFonts w:ascii="Tahoma" w:hAnsi="Tahoma" w:cs="Tahoma"/>
          <w:spacing w:val="39"/>
          <w:sz w:val="20"/>
          <w:szCs w:val="20"/>
        </w:rPr>
        <w:t xml:space="preserve"> </w:t>
      </w:r>
      <w:r w:rsidRPr="00B004EE">
        <w:rPr>
          <w:rFonts w:ascii="Tahoma" w:hAnsi="Tahoma" w:cs="Tahoma"/>
          <w:sz w:val="20"/>
          <w:szCs w:val="20"/>
        </w:rPr>
        <w:t>et</w:t>
      </w:r>
      <w:r w:rsidR="00DB1635" w:rsidRPr="00B004EE">
        <w:rPr>
          <w:rFonts w:ascii="Tahoma" w:hAnsi="Tahoma" w:cs="Tahoma"/>
          <w:spacing w:val="36"/>
          <w:sz w:val="20"/>
          <w:szCs w:val="20"/>
        </w:rPr>
        <w:t xml:space="preserve"> </w:t>
      </w:r>
      <w:r w:rsidRPr="00B004EE">
        <w:rPr>
          <w:rFonts w:ascii="Tahoma" w:hAnsi="Tahoma" w:cs="Tahoma"/>
          <w:sz w:val="20"/>
          <w:szCs w:val="20"/>
        </w:rPr>
        <w:t>pourvu</w:t>
      </w:r>
      <w:r w:rsidR="00DB1635" w:rsidRPr="00B004EE">
        <w:rPr>
          <w:rFonts w:ascii="Tahoma" w:hAnsi="Tahoma" w:cs="Tahoma"/>
          <w:w w:val="98"/>
          <w:sz w:val="20"/>
          <w:szCs w:val="20"/>
        </w:rPr>
        <w:t xml:space="preserve"> </w:t>
      </w:r>
      <w:r w:rsidRPr="00B004EE">
        <w:rPr>
          <w:rFonts w:ascii="Tahoma" w:hAnsi="Tahoma" w:cs="Tahoma"/>
          <w:sz w:val="20"/>
          <w:szCs w:val="20"/>
        </w:rPr>
        <w:t>d'équipements</w:t>
      </w:r>
      <w:r w:rsidR="00DB1635" w:rsidRPr="00B004EE">
        <w:rPr>
          <w:rFonts w:ascii="Tahoma" w:hAnsi="Tahoma" w:cs="Tahoma"/>
          <w:spacing w:val="-5"/>
          <w:sz w:val="20"/>
          <w:szCs w:val="20"/>
        </w:rPr>
        <w:t xml:space="preserve"> </w:t>
      </w:r>
      <w:r w:rsidRPr="00B004EE">
        <w:rPr>
          <w:rFonts w:ascii="Tahoma" w:hAnsi="Tahoma" w:cs="Tahoma"/>
          <w:sz w:val="20"/>
          <w:szCs w:val="20"/>
        </w:rPr>
        <w:t>et</w:t>
      </w:r>
      <w:r w:rsidR="00DB1635" w:rsidRPr="00B004EE">
        <w:rPr>
          <w:rFonts w:ascii="Tahoma" w:hAnsi="Tahoma" w:cs="Tahoma"/>
          <w:spacing w:val="-6"/>
          <w:sz w:val="20"/>
          <w:szCs w:val="20"/>
        </w:rPr>
        <w:t xml:space="preserve"> </w:t>
      </w:r>
      <w:r w:rsidRPr="00B004EE">
        <w:rPr>
          <w:rFonts w:ascii="Tahoma" w:hAnsi="Tahoma" w:cs="Tahoma"/>
          <w:sz w:val="20"/>
          <w:szCs w:val="20"/>
        </w:rPr>
        <w:t>d'installations</w:t>
      </w:r>
      <w:r w:rsidR="00DB1635" w:rsidRPr="00B004EE">
        <w:rPr>
          <w:rFonts w:ascii="Tahoma" w:hAnsi="Tahoma" w:cs="Tahoma"/>
          <w:spacing w:val="-7"/>
          <w:sz w:val="20"/>
          <w:szCs w:val="20"/>
        </w:rPr>
        <w:t xml:space="preserve"> </w:t>
      </w:r>
      <w:r w:rsidRPr="00B004EE">
        <w:rPr>
          <w:rFonts w:ascii="Tahoma" w:hAnsi="Tahoma" w:cs="Tahoma"/>
          <w:sz w:val="20"/>
          <w:szCs w:val="20"/>
        </w:rPr>
        <w:t>conçus</w:t>
      </w:r>
      <w:r w:rsidR="00DB1635" w:rsidRPr="00B004EE">
        <w:rPr>
          <w:rFonts w:ascii="Tahoma" w:hAnsi="Tahoma" w:cs="Tahoma"/>
          <w:spacing w:val="-7"/>
          <w:sz w:val="20"/>
          <w:szCs w:val="20"/>
        </w:rPr>
        <w:t xml:space="preserve"> </w:t>
      </w:r>
      <w:r w:rsidRPr="00B004EE">
        <w:rPr>
          <w:rFonts w:ascii="Tahoma" w:hAnsi="Tahoma" w:cs="Tahoma"/>
          <w:sz w:val="20"/>
          <w:szCs w:val="20"/>
        </w:rPr>
        <w:t>pour</w:t>
      </w:r>
      <w:r w:rsidR="00DB1635" w:rsidRPr="00B004EE">
        <w:rPr>
          <w:rFonts w:ascii="Tahoma" w:hAnsi="Tahoma" w:cs="Tahoma"/>
          <w:spacing w:val="-7"/>
          <w:sz w:val="20"/>
          <w:szCs w:val="20"/>
        </w:rPr>
        <w:t xml:space="preserve"> </w:t>
      </w:r>
      <w:r w:rsidRPr="00B004EE">
        <w:rPr>
          <w:rFonts w:ascii="Tahoma" w:hAnsi="Tahoma" w:cs="Tahoma"/>
          <w:sz w:val="20"/>
          <w:szCs w:val="20"/>
        </w:rPr>
        <w:t>la</w:t>
      </w:r>
      <w:r w:rsidR="00DB1635" w:rsidRPr="00B004EE">
        <w:rPr>
          <w:rFonts w:ascii="Tahoma" w:hAnsi="Tahoma" w:cs="Tahoma"/>
          <w:spacing w:val="-5"/>
          <w:sz w:val="20"/>
          <w:szCs w:val="20"/>
        </w:rPr>
        <w:t xml:space="preserve"> </w:t>
      </w:r>
      <w:r w:rsidRPr="00B004EE">
        <w:rPr>
          <w:rFonts w:ascii="Tahoma" w:hAnsi="Tahoma" w:cs="Tahoma"/>
          <w:sz w:val="20"/>
          <w:szCs w:val="20"/>
        </w:rPr>
        <w:t>pêche</w:t>
      </w:r>
      <w:r w:rsidR="00DB1635" w:rsidRPr="00B004EE">
        <w:rPr>
          <w:rFonts w:ascii="Tahoma" w:hAnsi="Tahoma" w:cs="Tahoma"/>
          <w:spacing w:val="-6"/>
          <w:sz w:val="20"/>
          <w:szCs w:val="20"/>
        </w:rPr>
        <w:t xml:space="preserve"> </w:t>
      </w:r>
      <w:r w:rsidRPr="00B004EE">
        <w:rPr>
          <w:rFonts w:ascii="Tahoma" w:hAnsi="Tahoma" w:cs="Tahoma"/>
          <w:sz w:val="20"/>
          <w:szCs w:val="20"/>
        </w:rPr>
        <w:t>telle</w:t>
      </w:r>
      <w:r w:rsidR="00DB1635" w:rsidRPr="00B004EE">
        <w:rPr>
          <w:rFonts w:ascii="Tahoma" w:hAnsi="Tahoma" w:cs="Tahoma"/>
          <w:spacing w:val="-6"/>
          <w:sz w:val="20"/>
          <w:szCs w:val="20"/>
        </w:rPr>
        <w:t xml:space="preserve"> </w:t>
      </w:r>
      <w:r w:rsidRPr="00B004EE">
        <w:rPr>
          <w:rFonts w:ascii="Tahoma" w:hAnsi="Tahoma" w:cs="Tahoma"/>
          <w:sz w:val="20"/>
          <w:szCs w:val="20"/>
        </w:rPr>
        <w:t>que</w:t>
      </w:r>
      <w:r w:rsidR="00DB1635" w:rsidRPr="00B004EE">
        <w:rPr>
          <w:rFonts w:ascii="Tahoma" w:hAnsi="Tahoma" w:cs="Tahoma"/>
          <w:spacing w:val="-6"/>
          <w:sz w:val="20"/>
          <w:szCs w:val="20"/>
        </w:rPr>
        <w:t xml:space="preserve"> </w:t>
      </w:r>
      <w:r w:rsidRPr="00B004EE">
        <w:rPr>
          <w:rFonts w:ascii="Tahoma" w:hAnsi="Tahoma" w:cs="Tahoma"/>
          <w:sz w:val="20"/>
          <w:szCs w:val="20"/>
        </w:rPr>
        <w:t>définie</w:t>
      </w:r>
      <w:r w:rsidR="00DB1635" w:rsidRPr="00B004EE">
        <w:rPr>
          <w:rFonts w:ascii="Tahoma" w:hAnsi="Tahoma" w:cs="Tahoma"/>
          <w:spacing w:val="-6"/>
          <w:sz w:val="20"/>
          <w:szCs w:val="20"/>
        </w:rPr>
        <w:t xml:space="preserve"> </w:t>
      </w:r>
      <w:r w:rsidRPr="00B004EE">
        <w:rPr>
          <w:rFonts w:ascii="Tahoma" w:hAnsi="Tahoma" w:cs="Tahoma"/>
          <w:sz w:val="20"/>
          <w:szCs w:val="20"/>
        </w:rPr>
        <w:t>à</w:t>
      </w:r>
      <w:r w:rsidR="00DB1635" w:rsidRPr="00B004EE">
        <w:rPr>
          <w:rFonts w:ascii="Tahoma" w:hAnsi="Tahoma" w:cs="Tahoma"/>
          <w:spacing w:val="-5"/>
          <w:sz w:val="20"/>
          <w:szCs w:val="20"/>
        </w:rPr>
        <w:t xml:space="preserve"> </w:t>
      </w:r>
      <w:r w:rsidRPr="00B004EE">
        <w:rPr>
          <w:rFonts w:ascii="Tahoma" w:hAnsi="Tahoma" w:cs="Tahoma"/>
          <w:sz w:val="20"/>
          <w:szCs w:val="20"/>
        </w:rPr>
        <w:t>l'article</w:t>
      </w:r>
      <w:r w:rsidR="00DB1635" w:rsidRPr="00B004EE">
        <w:rPr>
          <w:rFonts w:ascii="Tahoma" w:hAnsi="Tahoma" w:cs="Tahoma"/>
          <w:spacing w:val="-6"/>
          <w:sz w:val="20"/>
          <w:szCs w:val="20"/>
        </w:rPr>
        <w:t xml:space="preserve"> </w:t>
      </w:r>
      <w:r w:rsidRPr="00B004EE">
        <w:rPr>
          <w:rFonts w:ascii="Tahoma" w:hAnsi="Tahoma" w:cs="Tahoma"/>
          <w:sz w:val="20"/>
          <w:szCs w:val="20"/>
        </w:rPr>
        <w:t>4</w:t>
      </w:r>
      <w:r w:rsidR="00DB1635" w:rsidRPr="00B004EE">
        <w:rPr>
          <w:rFonts w:ascii="Tahoma" w:hAnsi="Tahoma" w:cs="Tahoma"/>
          <w:w w:val="87"/>
          <w:sz w:val="20"/>
          <w:szCs w:val="20"/>
        </w:rPr>
        <w:t xml:space="preserve"> </w:t>
      </w:r>
      <w:r w:rsidRPr="00B004EE">
        <w:rPr>
          <w:rFonts w:ascii="Tahoma" w:hAnsi="Tahoma" w:cs="Tahoma"/>
          <w:sz w:val="20"/>
          <w:szCs w:val="20"/>
        </w:rPr>
        <w:t>ci-dessus.</w:t>
      </w:r>
    </w:p>
    <w:p w14:paraId="37CFD0C7" w14:textId="62CC6D1D" w:rsidR="001E7C3C" w:rsidRPr="00B004EE" w:rsidRDefault="001E7C3C" w:rsidP="00B004EE">
      <w:pPr>
        <w:pStyle w:val="Corpsdetexte"/>
        <w:ind w:right="166"/>
        <w:rPr>
          <w:rFonts w:ascii="Tahoma" w:hAnsi="Tahoma" w:cs="Tahoma"/>
          <w:sz w:val="20"/>
          <w:szCs w:val="20"/>
        </w:rPr>
      </w:pP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navires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opérant</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eaux</w:t>
      </w:r>
      <w:r w:rsidR="00DB1635" w:rsidRPr="00B004EE">
        <w:rPr>
          <w:rFonts w:ascii="Tahoma" w:hAnsi="Tahoma" w:cs="Tahoma"/>
          <w:sz w:val="20"/>
          <w:szCs w:val="20"/>
        </w:rPr>
        <w:t xml:space="preserve"> </w:t>
      </w:r>
      <w:r w:rsidRPr="00B004EE">
        <w:rPr>
          <w:rFonts w:ascii="Tahoma" w:hAnsi="Tahoma" w:cs="Tahoma"/>
          <w:sz w:val="20"/>
          <w:szCs w:val="20"/>
        </w:rPr>
        <w:t>sous</w:t>
      </w:r>
      <w:r w:rsidR="00DB1635" w:rsidRPr="00B004EE">
        <w:rPr>
          <w:rFonts w:ascii="Tahoma" w:hAnsi="Tahoma" w:cs="Tahoma"/>
          <w:sz w:val="20"/>
          <w:szCs w:val="20"/>
        </w:rPr>
        <w:t xml:space="preserve"> </w:t>
      </w:r>
      <w:r w:rsidRPr="00B004EE">
        <w:rPr>
          <w:rFonts w:ascii="Tahoma" w:hAnsi="Tahoma" w:cs="Tahoma"/>
          <w:sz w:val="20"/>
          <w:szCs w:val="20"/>
        </w:rPr>
        <w:t>juridiction</w:t>
      </w:r>
      <w:r w:rsidR="00DB1635" w:rsidRPr="00B004EE">
        <w:rPr>
          <w:rFonts w:ascii="Tahoma" w:hAnsi="Tahoma" w:cs="Tahoma"/>
          <w:sz w:val="20"/>
          <w:szCs w:val="20"/>
        </w:rPr>
        <w:t xml:space="preserve"> </w:t>
      </w:r>
      <w:r w:rsidRPr="00B004EE">
        <w:rPr>
          <w:rFonts w:ascii="Tahoma" w:hAnsi="Tahoma" w:cs="Tahoma"/>
          <w:sz w:val="20"/>
          <w:szCs w:val="20"/>
        </w:rPr>
        <w:t>mauritanienne</w:t>
      </w:r>
      <w:r w:rsidR="00DB1635" w:rsidRPr="00B004EE">
        <w:rPr>
          <w:rFonts w:ascii="Tahoma" w:hAnsi="Tahoma" w:cs="Tahoma"/>
          <w:spacing w:val="19"/>
          <w:sz w:val="20"/>
          <w:szCs w:val="20"/>
        </w:rPr>
        <w:t xml:space="preserve"> </w:t>
      </w:r>
      <w:r w:rsidRPr="00B004EE">
        <w:rPr>
          <w:rFonts w:ascii="Tahoma" w:hAnsi="Tahoma" w:cs="Tahoma"/>
          <w:sz w:val="20"/>
          <w:szCs w:val="20"/>
        </w:rPr>
        <w:t>sont</w:t>
      </w:r>
      <w:r w:rsidR="00DB1635" w:rsidRPr="00B004EE">
        <w:rPr>
          <w:rFonts w:ascii="Tahoma" w:hAnsi="Tahoma" w:cs="Tahoma"/>
          <w:w w:val="97"/>
          <w:sz w:val="20"/>
          <w:szCs w:val="20"/>
        </w:rPr>
        <w:t xml:space="preserve"> </w:t>
      </w:r>
      <w:r w:rsidRPr="00B004EE">
        <w:rPr>
          <w:rFonts w:ascii="Tahoma" w:hAnsi="Tahoma" w:cs="Tahoma"/>
          <w:sz w:val="20"/>
          <w:szCs w:val="20"/>
        </w:rPr>
        <w:t>soit</w:t>
      </w:r>
      <w:r w:rsidR="00DB1635" w:rsidRPr="00B004EE">
        <w:rPr>
          <w:rFonts w:ascii="Tahoma" w:hAnsi="Tahoma" w:cs="Tahoma"/>
          <w:spacing w:val="-32"/>
          <w:sz w:val="20"/>
          <w:szCs w:val="20"/>
        </w:rPr>
        <w:t xml:space="preserve"> </w:t>
      </w:r>
      <w:r w:rsidRPr="00B004EE">
        <w:rPr>
          <w:rFonts w:ascii="Tahoma" w:hAnsi="Tahoma" w:cs="Tahoma"/>
          <w:sz w:val="20"/>
          <w:szCs w:val="20"/>
        </w:rPr>
        <w:t>des</w:t>
      </w:r>
      <w:r w:rsidR="00DB1635" w:rsidRPr="00B004EE">
        <w:rPr>
          <w:rFonts w:ascii="Tahoma" w:hAnsi="Tahoma" w:cs="Tahoma"/>
          <w:spacing w:val="-32"/>
          <w:sz w:val="20"/>
          <w:szCs w:val="20"/>
        </w:rPr>
        <w:t xml:space="preserve"> </w:t>
      </w:r>
      <w:r w:rsidRPr="00B004EE">
        <w:rPr>
          <w:rFonts w:ascii="Tahoma" w:hAnsi="Tahoma" w:cs="Tahoma"/>
          <w:sz w:val="20"/>
          <w:szCs w:val="20"/>
        </w:rPr>
        <w:t>navires</w:t>
      </w:r>
      <w:r w:rsidR="00DB1635" w:rsidRPr="00B004EE">
        <w:rPr>
          <w:rFonts w:ascii="Tahoma" w:hAnsi="Tahoma" w:cs="Tahoma"/>
          <w:spacing w:val="-32"/>
          <w:sz w:val="20"/>
          <w:szCs w:val="20"/>
        </w:rPr>
        <w:t xml:space="preserve"> </w:t>
      </w:r>
      <w:r w:rsidRPr="00B004EE">
        <w:rPr>
          <w:rFonts w:ascii="Tahoma" w:hAnsi="Tahoma" w:cs="Tahoma"/>
          <w:sz w:val="20"/>
          <w:szCs w:val="20"/>
        </w:rPr>
        <w:t>de</w:t>
      </w:r>
      <w:r w:rsidR="00DB1635" w:rsidRPr="00B004EE">
        <w:rPr>
          <w:rFonts w:ascii="Tahoma" w:hAnsi="Tahoma" w:cs="Tahoma"/>
          <w:spacing w:val="-32"/>
          <w:sz w:val="20"/>
          <w:szCs w:val="20"/>
        </w:rPr>
        <w:t xml:space="preserve"> </w:t>
      </w:r>
      <w:r w:rsidRPr="00B004EE">
        <w:rPr>
          <w:rFonts w:ascii="Tahoma" w:hAnsi="Tahoma" w:cs="Tahoma"/>
          <w:sz w:val="20"/>
          <w:szCs w:val="20"/>
        </w:rPr>
        <w:t>pêche</w:t>
      </w:r>
      <w:r w:rsidR="00DB1635" w:rsidRPr="00B004EE">
        <w:rPr>
          <w:rFonts w:ascii="Tahoma" w:hAnsi="Tahoma" w:cs="Tahoma"/>
          <w:spacing w:val="-32"/>
          <w:sz w:val="20"/>
          <w:szCs w:val="20"/>
        </w:rPr>
        <w:t xml:space="preserve"> </w:t>
      </w:r>
      <w:r w:rsidRPr="00B004EE">
        <w:rPr>
          <w:rFonts w:ascii="Tahoma" w:hAnsi="Tahoma" w:cs="Tahoma"/>
          <w:sz w:val="20"/>
          <w:szCs w:val="20"/>
        </w:rPr>
        <w:t>mauritaniens</w:t>
      </w:r>
      <w:r w:rsidR="00DB1635" w:rsidRPr="00B004EE">
        <w:rPr>
          <w:rFonts w:ascii="Tahoma" w:hAnsi="Tahoma" w:cs="Tahoma"/>
          <w:spacing w:val="-32"/>
          <w:sz w:val="20"/>
          <w:szCs w:val="20"/>
        </w:rPr>
        <w:t xml:space="preserve"> </w:t>
      </w:r>
      <w:r w:rsidRPr="00B004EE">
        <w:rPr>
          <w:rFonts w:ascii="Tahoma" w:hAnsi="Tahoma" w:cs="Tahoma"/>
          <w:sz w:val="20"/>
          <w:szCs w:val="20"/>
        </w:rPr>
        <w:t>soit</w:t>
      </w:r>
      <w:r w:rsidR="00DB1635" w:rsidRPr="00B004EE">
        <w:rPr>
          <w:rFonts w:ascii="Tahoma" w:hAnsi="Tahoma" w:cs="Tahoma"/>
          <w:spacing w:val="-32"/>
          <w:sz w:val="20"/>
          <w:szCs w:val="20"/>
        </w:rPr>
        <w:t xml:space="preserve"> </w:t>
      </w:r>
      <w:r w:rsidRPr="00B004EE">
        <w:rPr>
          <w:rFonts w:ascii="Tahoma" w:hAnsi="Tahoma" w:cs="Tahoma"/>
          <w:sz w:val="20"/>
          <w:szCs w:val="20"/>
        </w:rPr>
        <w:t>des</w:t>
      </w:r>
      <w:r w:rsidR="00DB1635" w:rsidRPr="00B004EE">
        <w:rPr>
          <w:rFonts w:ascii="Tahoma" w:hAnsi="Tahoma" w:cs="Tahoma"/>
          <w:spacing w:val="-32"/>
          <w:sz w:val="20"/>
          <w:szCs w:val="20"/>
        </w:rPr>
        <w:t xml:space="preserve"> </w:t>
      </w:r>
      <w:r w:rsidRPr="00B004EE">
        <w:rPr>
          <w:rFonts w:ascii="Tahoma" w:hAnsi="Tahoma" w:cs="Tahoma"/>
          <w:sz w:val="20"/>
          <w:szCs w:val="20"/>
        </w:rPr>
        <w:t>navires</w:t>
      </w:r>
      <w:r w:rsidR="00DB1635" w:rsidRPr="00B004EE">
        <w:rPr>
          <w:rFonts w:ascii="Tahoma" w:hAnsi="Tahoma" w:cs="Tahoma"/>
          <w:spacing w:val="-32"/>
          <w:sz w:val="20"/>
          <w:szCs w:val="20"/>
        </w:rPr>
        <w:t xml:space="preserve"> </w:t>
      </w:r>
      <w:r w:rsidRPr="00B004EE">
        <w:rPr>
          <w:rFonts w:ascii="Tahoma" w:hAnsi="Tahoma" w:cs="Tahoma"/>
          <w:sz w:val="20"/>
          <w:szCs w:val="20"/>
        </w:rPr>
        <w:t>de</w:t>
      </w:r>
      <w:r w:rsidR="00DB1635" w:rsidRPr="00B004EE">
        <w:rPr>
          <w:rFonts w:ascii="Tahoma" w:hAnsi="Tahoma" w:cs="Tahoma"/>
          <w:spacing w:val="-32"/>
          <w:sz w:val="20"/>
          <w:szCs w:val="20"/>
        </w:rPr>
        <w:t xml:space="preserve"> </w:t>
      </w:r>
      <w:r w:rsidRPr="00B004EE">
        <w:rPr>
          <w:rFonts w:ascii="Tahoma" w:hAnsi="Tahoma" w:cs="Tahoma"/>
          <w:sz w:val="20"/>
          <w:szCs w:val="20"/>
        </w:rPr>
        <w:t>pêche</w:t>
      </w:r>
      <w:r w:rsidR="00DB1635" w:rsidRPr="00B004EE">
        <w:rPr>
          <w:rFonts w:ascii="Tahoma" w:hAnsi="Tahoma" w:cs="Tahoma"/>
          <w:spacing w:val="-32"/>
          <w:sz w:val="20"/>
          <w:szCs w:val="20"/>
        </w:rPr>
        <w:t xml:space="preserve"> </w:t>
      </w:r>
      <w:r w:rsidRPr="00B004EE">
        <w:rPr>
          <w:rFonts w:ascii="Tahoma" w:hAnsi="Tahoma" w:cs="Tahoma"/>
          <w:sz w:val="20"/>
          <w:szCs w:val="20"/>
        </w:rPr>
        <w:t>étrangers.</w:t>
      </w:r>
    </w:p>
    <w:p w14:paraId="3A893A56" w14:textId="4169482D" w:rsidR="001E7C3C" w:rsidRPr="00B004EE" w:rsidRDefault="001E7C3C" w:rsidP="00B004EE">
      <w:pPr>
        <w:pStyle w:val="Corpsdetexte"/>
        <w:ind w:right="158"/>
        <w:rPr>
          <w:rFonts w:ascii="Tahoma" w:hAnsi="Tahoma" w:cs="Tahoma"/>
          <w:sz w:val="20"/>
          <w:szCs w:val="20"/>
        </w:rPr>
      </w:pP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navires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mauritaniens,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navires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immatriculés</w:t>
      </w:r>
      <w:r w:rsidR="00DB1635" w:rsidRPr="00B004EE">
        <w:rPr>
          <w:rFonts w:ascii="Tahoma" w:hAnsi="Tahoma" w:cs="Tahoma"/>
          <w:spacing w:val="23"/>
          <w:sz w:val="20"/>
          <w:szCs w:val="20"/>
        </w:rPr>
        <w:t xml:space="preserve"> </w:t>
      </w:r>
      <w:r w:rsidRPr="00B004EE">
        <w:rPr>
          <w:rFonts w:ascii="Tahoma" w:hAnsi="Tahoma" w:cs="Tahoma"/>
          <w:sz w:val="20"/>
          <w:szCs w:val="20"/>
        </w:rPr>
        <w:t>et</w:t>
      </w:r>
      <w:r w:rsidR="00DB1635" w:rsidRPr="00B004EE">
        <w:rPr>
          <w:rFonts w:ascii="Tahoma" w:hAnsi="Tahoma" w:cs="Tahoma"/>
          <w:w w:val="95"/>
          <w:sz w:val="20"/>
          <w:szCs w:val="20"/>
        </w:rPr>
        <w:t xml:space="preserve"> </w:t>
      </w:r>
      <w:r w:rsidRPr="00B004EE">
        <w:rPr>
          <w:rFonts w:ascii="Tahoma" w:hAnsi="Tahoma" w:cs="Tahoma"/>
          <w:sz w:val="20"/>
          <w:szCs w:val="20"/>
        </w:rPr>
        <w:t>naturalisés</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Mauritanie</w:t>
      </w:r>
      <w:r w:rsidR="00DB1635" w:rsidRPr="00B004EE">
        <w:rPr>
          <w:rFonts w:ascii="Tahoma" w:hAnsi="Tahoma" w:cs="Tahoma"/>
          <w:sz w:val="20"/>
          <w:szCs w:val="20"/>
        </w:rPr>
        <w:t xml:space="preserve"> </w:t>
      </w:r>
      <w:r w:rsidRPr="00B004EE">
        <w:rPr>
          <w:rFonts w:ascii="Tahoma" w:hAnsi="Tahoma" w:cs="Tahoma"/>
          <w:sz w:val="20"/>
          <w:szCs w:val="20"/>
        </w:rPr>
        <w:t>conformément</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dispositions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Loi</w:t>
      </w:r>
      <w:r w:rsidR="00DB1635" w:rsidRPr="00B004EE">
        <w:rPr>
          <w:rFonts w:ascii="Tahoma" w:hAnsi="Tahoma" w:cs="Tahoma"/>
          <w:sz w:val="20"/>
          <w:szCs w:val="20"/>
        </w:rPr>
        <w:t xml:space="preserve"> </w:t>
      </w:r>
      <w:r w:rsidRPr="00B004EE">
        <w:rPr>
          <w:rFonts w:ascii="Tahoma" w:hAnsi="Tahoma" w:cs="Tahoma"/>
          <w:sz w:val="20"/>
          <w:szCs w:val="20"/>
        </w:rPr>
        <w:t>portant</w:t>
      </w:r>
      <w:r w:rsidR="00DB1635" w:rsidRPr="00B004EE">
        <w:rPr>
          <w:rFonts w:ascii="Tahoma" w:hAnsi="Tahoma" w:cs="Tahoma"/>
          <w:spacing w:val="-3"/>
          <w:sz w:val="20"/>
          <w:szCs w:val="20"/>
        </w:rPr>
        <w:t xml:space="preserve"> </w:t>
      </w:r>
      <w:r w:rsidRPr="00B004EE">
        <w:rPr>
          <w:rFonts w:ascii="Tahoma" w:hAnsi="Tahoma" w:cs="Tahoma"/>
          <w:sz w:val="20"/>
          <w:szCs w:val="20"/>
        </w:rPr>
        <w:t>Code</w:t>
      </w:r>
      <w:r w:rsidR="00DB1635" w:rsidRPr="00B004EE">
        <w:rPr>
          <w:rFonts w:ascii="Tahoma" w:hAnsi="Tahoma" w:cs="Tahoma"/>
          <w:w w:val="94"/>
          <w:sz w:val="20"/>
          <w:szCs w:val="20"/>
        </w:rPr>
        <w:t xml:space="preserve"> </w:t>
      </w:r>
      <w:r w:rsidRPr="00B004EE">
        <w:rPr>
          <w:rFonts w:ascii="Tahoma" w:hAnsi="Tahoma" w:cs="Tahoma"/>
          <w:sz w:val="20"/>
          <w:szCs w:val="20"/>
        </w:rPr>
        <w:t>de</w:t>
      </w:r>
      <w:r w:rsidR="00DB1635" w:rsidRPr="00B004EE">
        <w:rPr>
          <w:rFonts w:ascii="Tahoma" w:hAnsi="Tahoma" w:cs="Tahoma"/>
          <w:spacing w:val="-28"/>
          <w:sz w:val="20"/>
          <w:szCs w:val="20"/>
        </w:rPr>
        <w:t xml:space="preserve"> </w:t>
      </w:r>
      <w:r w:rsidRPr="00B004EE">
        <w:rPr>
          <w:rFonts w:ascii="Tahoma" w:hAnsi="Tahoma" w:cs="Tahoma"/>
          <w:sz w:val="20"/>
          <w:szCs w:val="20"/>
        </w:rPr>
        <w:t>la</w:t>
      </w:r>
      <w:r w:rsidR="00DB1635" w:rsidRPr="00B004EE">
        <w:rPr>
          <w:rFonts w:ascii="Tahoma" w:hAnsi="Tahoma" w:cs="Tahoma"/>
          <w:spacing w:val="-27"/>
          <w:sz w:val="20"/>
          <w:szCs w:val="20"/>
        </w:rPr>
        <w:t xml:space="preserve"> </w:t>
      </w:r>
      <w:r w:rsidRPr="00B004EE">
        <w:rPr>
          <w:rFonts w:ascii="Tahoma" w:hAnsi="Tahoma" w:cs="Tahoma"/>
          <w:sz w:val="20"/>
          <w:szCs w:val="20"/>
        </w:rPr>
        <w:t>Marine</w:t>
      </w:r>
      <w:r w:rsidR="00DB1635" w:rsidRPr="00B004EE">
        <w:rPr>
          <w:rFonts w:ascii="Tahoma" w:hAnsi="Tahoma" w:cs="Tahoma"/>
          <w:spacing w:val="-28"/>
          <w:sz w:val="20"/>
          <w:szCs w:val="20"/>
        </w:rPr>
        <w:t xml:space="preserve"> </w:t>
      </w:r>
      <w:r w:rsidRPr="00B004EE">
        <w:rPr>
          <w:rFonts w:ascii="Tahoma" w:hAnsi="Tahoma" w:cs="Tahoma"/>
          <w:sz w:val="20"/>
          <w:szCs w:val="20"/>
        </w:rPr>
        <w:t>Marchande.</w:t>
      </w:r>
    </w:p>
    <w:p w14:paraId="3D8FB921" w14:textId="5E0C58D9" w:rsidR="001E7C3C" w:rsidRPr="00B004EE" w:rsidRDefault="001E7C3C" w:rsidP="00B004EE">
      <w:pPr>
        <w:pStyle w:val="Corpsdetexte"/>
        <w:ind w:right="157"/>
        <w:rPr>
          <w:rFonts w:ascii="Tahoma" w:hAnsi="Tahoma" w:cs="Tahoma"/>
          <w:sz w:val="20"/>
          <w:szCs w:val="20"/>
        </w:rPr>
      </w:pPr>
      <w:r w:rsidRPr="00B004EE">
        <w:rPr>
          <w:rFonts w:ascii="Tahoma" w:hAnsi="Tahoma" w:cs="Tahoma"/>
          <w:sz w:val="20"/>
          <w:szCs w:val="20"/>
        </w:rPr>
        <w:t>Sont</w:t>
      </w:r>
      <w:r w:rsidR="00DB1635" w:rsidRPr="00B004EE">
        <w:rPr>
          <w:rFonts w:ascii="Tahoma" w:hAnsi="Tahoma" w:cs="Tahoma"/>
          <w:spacing w:val="31"/>
          <w:sz w:val="20"/>
          <w:szCs w:val="20"/>
        </w:rPr>
        <w:t xml:space="preserve"> </w:t>
      </w:r>
      <w:r w:rsidRPr="00B004EE">
        <w:rPr>
          <w:rFonts w:ascii="Tahoma" w:hAnsi="Tahoma" w:cs="Tahoma"/>
          <w:sz w:val="20"/>
          <w:szCs w:val="20"/>
        </w:rPr>
        <w:t>des</w:t>
      </w:r>
      <w:r w:rsidR="00DB1635" w:rsidRPr="00B004EE">
        <w:rPr>
          <w:rFonts w:ascii="Tahoma" w:hAnsi="Tahoma" w:cs="Tahoma"/>
          <w:spacing w:val="31"/>
          <w:sz w:val="20"/>
          <w:szCs w:val="20"/>
        </w:rPr>
        <w:t xml:space="preserve"> </w:t>
      </w:r>
      <w:r w:rsidRPr="00B004EE">
        <w:rPr>
          <w:rFonts w:ascii="Tahoma" w:hAnsi="Tahoma" w:cs="Tahoma"/>
          <w:sz w:val="20"/>
          <w:szCs w:val="20"/>
        </w:rPr>
        <w:t>navires</w:t>
      </w:r>
      <w:r w:rsidR="00DB1635" w:rsidRPr="00B004EE">
        <w:rPr>
          <w:rFonts w:ascii="Tahoma" w:hAnsi="Tahoma" w:cs="Tahoma"/>
          <w:spacing w:val="31"/>
          <w:sz w:val="20"/>
          <w:szCs w:val="20"/>
        </w:rPr>
        <w:t xml:space="preserve"> </w:t>
      </w:r>
      <w:r w:rsidRPr="00B004EE">
        <w:rPr>
          <w:rFonts w:ascii="Tahoma" w:hAnsi="Tahoma" w:cs="Tahoma"/>
          <w:sz w:val="20"/>
          <w:szCs w:val="20"/>
        </w:rPr>
        <w:t>de</w:t>
      </w:r>
      <w:r w:rsidR="00DB1635" w:rsidRPr="00B004EE">
        <w:rPr>
          <w:rFonts w:ascii="Tahoma" w:hAnsi="Tahoma" w:cs="Tahoma"/>
          <w:spacing w:val="31"/>
          <w:sz w:val="20"/>
          <w:szCs w:val="20"/>
        </w:rPr>
        <w:t xml:space="preserve"> </w:t>
      </w:r>
      <w:r w:rsidRPr="00B004EE">
        <w:rPr>
          <w:rFonts w:ascii="Tahoma" w:hAnsi="Tahoma" w:cs="Tahoma"/>
          <w:sz w:val="20"/>
          <w:szCs w:val="20"/>
        </w:rPr>
        <w:t>pêche</w:t>
      </w:r>
      <w:r w:rsidR="00DB1635" w:rsidRPr="00B004EE">
        <w:rPr>
          <w:rFonts w:ascii="Tahoma" w:hAnsi="Tahoma" w:cs="Tahoma"/>
          <w:spacing w:val="31"/>
          <w:sz w:val="20"/>
          <w:szCs w:val="20"/>
        </w:rPr>
        <w:t xml:space="preserve"> </w:t>
      </w:r>
      <w:r w:rsidRPr="00B004EE">
        <w:rPr>
          <w:rFonts w:ascii="Tahoma" w:hAnsi="Tahoma" w:cs="Tahoma"/>
          <w:sz w:val="20"/>
          <w:szCs w:val="20"/>
        </w:rPr>
        <w:t>étrangers,</w:t>
      </w:r>
      <w:r w:rsidR="00DB1635" w:rsidRPr="00B004EE">
        <w:rPr>
          <w:rFonts w:ascii="Tahoma" w:hAnsi="Tahoma" w:cs="Tahoma"/>
          <w:spacing w:val="31"/>
          <w:sz w:val="20"/>
          <w:szCs w:val="20"/>
        </w:rPr>
        <w:t xml:space="preserve"> </w:t>
      </w:r>
      <w:r w:rsidRPr="00B004EE">
        <w:rPr>
          <w:rFonts w:ascii="Tahoma" w:hAnsi="Tahoma" w:cs="Tahoma"/>
          <w:sz w:val="20"/>
          <w:szCs w:val="20"/>
        </w:rPr>
        <w:t>les</w:t>
      </w:r>
      <w:r w:rsidR="00DB1635" w:rsidRPr="00B004EE">
        <w:rPr>
          <w:rFonts w:ascii="Tahoma" w:hAnsi="Tahoma" w:cs="Tahoma"/>
          <w:spacing w:val="31"/>
          <w:sz w:val="20"/>
          <w:szCs w:val="20"/>
        </w:rPr>
        <w:t xml:space="preserve"> </w:t>
      </w:r>
      <w:r w:rsidRPr="00B004EE">
        <w:rPr>
          <w:rFonts w:ascii="Tahoma" w:hAnsi="Tahoma" w:cs="Tahoma"/>
          <w:sz w:val="20"/>
          <w:szCs w:val="20"/>
        </w:rPr>
        <w:t>navires</w:t>
      </w:r>
      <w:r w:rsidR="00DB1635" w:rsidRPr="00B004EE">
        <w:rPr>
          <w:rFonts w:ascii="Tahoma" w:hAnsi="Tahoma" w:cs="Tahoma"/>
          <w:spacing w:val="28"/>
          <w:sz w:val="20"/>
          <w:szCs w:val="20"/>
        </w:rPr>
        <w:t xml:space="preserve"> </w:t>
      </w:r>
      <w:r w:rsidRPr="00B004EE">
        <w:rPr>
          <w:rFonts w:ascii="Tahoma" w:hAnsi="Tahoma" w:cs="Tahoma"/>
          <w:sz w:val="20"/>
          <w:szCs w:val="20"/>
        </w:rPr>
        <w:t>de</w:t>
      </w:r>
      <w:r w:rsidR="00DB1635" w:rsidRPr="00B004EE">
        <w:rPr>
          <w:rFonts w:ascii="Tahoma" w:hAnsi="Tahoma" w:cs="Tahoma"/>
          <w:spacing w:val="29"/>
          <w:sz w:val="20"/>
          <w:szCs w:val="20"/>
        </w:rPr>
        <w:t xml:space="preserve"> </w:t>
      </w:r>
      <w:r w:rsidRPr="00B004EE">
        <w:rPr>
          <w:rFonts w:ascii="Tahoma" w:hAnsi="Tahoma" w:cs="Tahoma"/>
          <w:sz w:val="20"/>
          <w:szCs w:val="20"/>
        </w:rPr>
        <w:t>pêche</w:t>
      </w:r>
      <w:r w:rsidR="00DB1635" w:rsidRPr="00B004EE">
        <w:rPr>
          <w:rFonts w:ascii="Tahoma" w:hAnsi="Tahoma" w:cs="Tahoma"/>
          <w:spacing w:val="29"/>
          <w:sz w:val="20"/>
          <w:szCs w:val="20"/>
        </w:rPr>
        <w:t xml:space="preserve"> </w:t>
      </w:r>
      <w:r w:rsidRPr="00B004EE">
        <w:rPr>
          <w:rFonts w:ascii="Tahoma" w:hAnsi="Tahoma" w:cs="Tahoma"/>
          <w:sz w:val="20"/>
          <w:szCs w:val="20"/>
        </w:rPr>
        <w:t>qui</w:t>
      </w:r>
      <w:r w:rsidR="00DB1635" w:rsidRPr="00B004EE">
        <w:rPr>
          <w:rFonts w:ascii="Tahoma" w:hAnsi="Tahoma" w:cs="Tahoma"/>
          <w:spacing w:val="30"/>
          <w:sz w:val="20"/>
          <w:szCs w:val="20"/>
        </w:rPr>
        <w:t xml:space="preserve"> </w:t>
      </w:r>
      <w:r w:rsidRPr="00B004EE">
        <w:rPr>
          <w:rFonts w:ascii="Tahoma" w:hAnsi="Tahoma" w:cs="Tahoma"/>
          <w:sz w:val="20"/>
          <w:szCs w:val="20"/>
        </w:rPr>
        <w:t>ne</w:t>
      </w:r>
      <w:r w:rsidR="00DB1635" w:rsidRPr="00B004EE">
        <w:rPr>
          <w:rFonts w:ascii="Tahoma" w:hAnsi="Tahoma" w:cs="Tahoma"/>
          <w:spacing w:val="29"/>
          <w:sz w:val="20"/>
          <w:szCs w:val="20"/>
        </w:rPr>
        <w:t xml:space="preserve"> </w:t>
      </w:r>
      <w:r w:rsidRPr="00B004EE">
        <w:rPr>
          <w:rFonts w:ascii="Tahoma" w:hAnsi="Tahoma" w:cs="Tahoma"/>
          <w:sz w:val="20"/>
          <w:szCs w:val="20"/>
        </w:rPr>
        <w:t>sont</w:t>
      </w:r>
      <w:r w:rsidR="00DB1635" w:rsidRPr="00B004EE">
        <w:rPr>
          <w:rFonts w:ascii="Tahoma" w:hAnsi="Tahoma" w:cs="Tahoma"/>
          <w:spacing w:val="29"/>
          <w:sz w:val="20"/>
          <w:szCs w:val="20"/>
        </w:rPr>
        <w:t xml:space="preserve"> </w:t>
      </w:r>
      <w:r w:rsidRPr="00B004EE">
        <w:rPr>
          <w:rFonts w:ascii="Tahoma" w:hAnsi="Tahoma" w:cs="Tahoma"/>
          <w:sz w:val="20"/>
          <w:szCs w:val="20"/>
        </w:rPr>
        <w:t>pas</w:t>
      </w:r>
      <w:r w:rsidR="00DB1635" w:rsidRPr="00B004EE">
        <w:rPr>
          <w:rFonts w:ascii="Tahoma" w:hAnsi="Tahoma" w:cs="Tahoma"/>
          <w:spacing w:val="28"/>
          <w:sz w:val="20"/>
          <w:szCs w:val="20"/>
        </w:rPr>
        <w:t xml:space="preserve"> </w:t>
      </w:r>
      <w:r w:rsidRPr="00B004EE">
        <w:rPr>
          <w:rFonts w:ascii="Tahoma" w:hAnsi="Tahoma" w:cs="Tahoma"/>
          <w:sz w:val="20"/>
          <w:szCs w:val="20"/>
        </w:rPr>
        <w:t>des</w:t>
      </w:r>
      <w:r w:rsidR="00DB1635" w:rsidRPr="00B004EE">
        <w:rPr>
          <w:rFonts w:ascii="Tahoma" w:hAnsi="Tahoma" w:cs="Tahoma"/>
          <w:w w:val="94"/>
          <w:sz w:val="20"/>
          <w:szCs w:val="20"/>
        </w:rPr>
        <w:t xml:space="preserve"> </w:t>
      </w:r>
      <w:r w:rsidRPr="00B004EE">
        <w:rPr>
          <w:rFonts w:ascii="Tahoma" w:hAnsi="Tahoma" w:cs="Tahoma"/>
          <w:sz w:val="20"/>
          <w:szCs w:val="20"/>
        </w:rPr>
        <w:t>navires</w:t>
      </w:r>
      <w:r w:rsidR="00DB1635" w:rsidRPr="00B004EE">
        <w:rPr>
          <w:rFonts w:ascii="Tahoma" w:hAnsi="Tahoma" w:cs="Tahoma"/>
          <w:spacing w:val="-31"/>
          <w:sz w:val="20"/>
          <w:szCs w:val="20"/>
        </w:rPr>
        <w:t xml:space="preserve"> </w:t>
      </w:r>
      <w:r w:rsidRPr="00B004EE">
        <w:rPr>
          <w:rFonts w:ascii="Tahoma" w:hAnsi="Tahoma" w:cs="Tahoma"/>
          <w:sz w:val="20"/>
          <w:szCs w:val="20"/>
        </w:rPr>
        <w:t>de</w:t>
      </w:r>
      <w:r w:rsidR="00DB1635" w:rsidRPr="00B004EE">
        <w:rPr>
          <w:rFonts w:ascii="Tahoma" w:hAnsi="Tahoma" w:cs="Tahoma"/>
          <w:spacing w:val="-31"/>
          <w:sz w:val="20"/>
          <w:szCs w:val="20"/>
        </w:rPr>
        <w:t xml:space="preserve"> </w:t>
      </w:r>
      <w:r w:rsidRPr="00B004EE">
        <w:rPr>
          <w:rFonts w:ascii="Tahoma" w:hAnsi="Tahoma" w:cs="Tahoma"/>
          <w:sz w:val="20"/>
          <w:szCs w:val="20"/>
        </w:rPr>
        <w:t>pêche</w:t>
      </w:r>
      <w:r w:rsidR="00DB1635" w:rsidRPr="00B004EE">
        <w:rPr>
          <w:rFonts w:ascii="Tahoma" w:hAnsi="Tahoma" w:cs="Tahoma"/>
          <w:spacing w:val="-31"/>
          <w:sz w:val="20"/>
          <w:szCs w:val="20"/>
        </w:rPr>
        <w:t xml:space="preserve"> </w:t>
      </w:r>
      <w:r w:rsidRPr="00B004EE">
        <w:rPr>
          <w:rFonts w:ascii="Tahoma" w:hAnsi="Tahoma" w:cs="Tahoma"/>
          <w:sz w:val="20"/>
          <w:szCs w:val="20"/>
        </w:rPr>
        <w:t>mauritaniens</w:t>
      </w:r>
      <w:r w:rsidR="00DB1635" w:rsidRPr="00B004EE">
        <w:rPr>
          <w:rFonts w:ascii="Tahoma" w:hAnsi="Tahoma" w:cs="Tahoma"/>
          <w:spacing w:val="-31"/>
          <w:sz w:val="20"/>
          <w:szCs w:val="20"/>
        </w:rPr>
        <w:t xml:space="preserve"> </w:t>
      </w:r>
      <w:r w:rsidRPr="00B004EE">
        <w:rPr>
          <w:rFonts w:ascii="Tahoma" w:hAnsi="Tahoma" w:cs="Tahoma"/>
          <w:sz w:val="20"/>
          <w:szCs w:val="20"/>
        </w:rPr>
        <w:t>au</w:t>
      </w:r>
      <w:r w:rsidR="00DB1635" w:rsidRPr="00B004EE">
        <w:rPr>
          <w:rFonts w:ascii="Tahoma" w:hAnsi="Tahoma" w:cs="Tahoma"/>
          <w:spacing w:val="-31"/>
          <w:sz w:val="20"/>
          <w:szCs w:val="20"/>
        </w:rPr>
        <w:t xml:space="preserve"> </w:t>
      </w:r>
      <w:r w:rsidRPr="00B004EE">
        <w:rPr>
          <w:rFonts w:ascii="Tahoma" w:hAnsi="Tahoma" w:cs="Tahoma"/>
          <w:sz w:val="20"/>
          <w:szCs w:val="20"/>
        </w:rPr>
        <w:t>sens</w:t>
      </w:r>
      <w:r w:rsidR="00DB1635" w:rsidRPr="00B004EE">
        <w:rPr>
          <w:rFonts w:ascii="Tahoma" w:hAnsi="Tahoma" w:cs="Tahoma"/>
          <w:spacing w:val="-31"/>
          <w:sz w:val="20"/>
          <w:szCs w:val="20"/>
        </w:rPr>
        <w:t xml:space="preserve"> </w:t>
      </w:r>
      <w:r w:rsidRPr="00B004EE">
        <w:rPr>
          <w:rFonts w:ascii="Tahoma" w:hAnsi="Tahoma" w:cs="Tahoma"/>
          <w:sz w:val="20"/>
          <w:szCs w:val="20"/>
        </w:rPr>
        <w:t>de</w:t>
      </w:r>
      <w:r w:rsidR="00DB1635" w:rsidRPr="00B004EE">
        <w:rPr>
          <w:rFonts w:ascii="Tahoma" w:hAnsi="Tahoma" w:cs="Tahoma"/>
          <w:spacing w:val="-31"/>
          <w:sz w:val="20"/>
          <w:szCs w:val="20"/>
        </w:rPr>
        <w:t xml:space="preserve"> </w:t>
      </w:r>
      <w:r w:rsidRPr="00B004EE">
        <w:rPr>
          <w:rFonts w:ascii="Tahoma" w:hAnsi="Tahoma" w:cs="Tahoma"/>
          <w:sz w:val="20"/>
          <w:szCs w:val="20"/>
        </w:rPr>
        <w:t>l'alinéa</w:t>
      </w:r>
      <w:r w:rsidR="00DB1635" w:rsidRPr="00B004EE">
        <w:rPr>
          <w:rFonts w:ascii="Tahoma" w:hAnsi="Tahoma" w:cs="Tahoma"/>
          <w:spacing w:val="-30"/>
          <w:sz w:val="20"/>
          <w:szCs w:val="20"/>
        </w:rPr>
        <w:t xml:space="preserve"> </w:t>
      </w:r>
      <w:r w:rsidRPr="00B004EE">
        <w:rPr>
          <w:rFonts w:ascii="Tahoma" w:hAnsi="Tahoma" w:cs="Tahoma"/>
          <w:sz w:val="20"/>
          <w:szCs w:val="20"/>
        </w:rPr>
        <w:t>précédent.</w:t>
      </w:r>
    </w:p>
    <w:p w14:paraId="4DBDF031" w14:textId="77777777" w:rsidR="001E7C3C" w:rsidRPr="00B004EE" w:rsidRDefault="001E7C3C" w:rsidP="00B004EE">
      <w:pPr>
        <w:rPr>
          <w:rFonts w:ascii="Tahoma" w:eastAsia="American Typewriter" w:hAnsi="Tahoma" w:cs="Tahoma"/>
          <w:sz w:val="20"/>
          <w:szCs w:val="20"/>
        </w:rPr>
      </w:pPr>
    </w:p>
    <w:p w14:paraId="47BBE399" w14:textId="5EB4F10E" w:rsidR="001E7C3C" w:rsidRPr="00B004EE" w:rsidRDefault="001E7C3C" w:rsidP="00B004EE">
      <w:pPr>
        <w:pStyle w:val="Corpsdetexte"/>
        <w:ind w:right="158"/>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8</w:t>
      </w:r>
      <w:r w:rsidR="00DB1635" w:rsidRPr="00B004EE">
        <w:rPr>
          <w:rFonts w:ascii="Tahoma" w:hAnsi="Tahoma" w:cs="Tahoma"/>
          <w:bCs/>
          <w:sz w:val="20"/>
          <w:szCs w:val="20"/>
        </w:rPr>
        <w:t xml:space="preserve"> </w:t>
      </w:r>
      <w:r w:rsidRPr="00B004EE">
        <w:rPr>
          <w:rFonts w:ascii="Tahoma" w:hAnsi="Tahoma" w:cs="Tahoma"/>
          <w:bCs/>
          <w:sz w:val="20"/>
          <w:szCs w:val="20"/>
        </w:rPr>
        <w: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opérations</w:t>
      </w:r>
      <w:r w:rsidR="00DB1635" w:rsidRPr="00B004EE">
        <w:rPr>
          <w:rFonts w:ascii="Tahoma" w:hAnsi="Tahoma" w:cs="Tahoma"/>
          <w:sz w:val="20"/>
          <w:szCs w:val="20"/>
        </w:rPr>
        <w:t xml:space="preserve"> </w:t>
      </w:r>
      <w:r w:rsidRPr="00B004EE">
        <w:rPr>
          <w:rFonts w:ascii="Tahoma" w:hAnsi="Tahoma" w:cs="Tahoma"/>
          <w:sz w:val="20"/>
          <w:szCs w:val="20"/>
        </w:rPr>
        <w:t>d'importation,</w:t>
      </w:r>
      <w:r w:rsidR="00DB1635" w:rsidRPr="00B004EE">
        <w:rPr>
          <w:rFonts w:ascii="Tahoma" w:hAnsi="Tahoma" w:cs="Tahoma"/>
          <w:sz w:val="20"/>
          <w:szCs w:val="20"/>
        </w:rPr>
        <w:t xml:space="preserve"> </w:t>
      </w:r>
      <w:r w:rsidRPr="00B004EE">
        <w:rPr>
          <w:rFonts w:ascii="Tahoma" w:hAnsi="Tahoma" w:cs="Tahoma"/>
          <w:sz w:val="20"/>
          <w:szCs w:val="20"/>
        </w:rPr>
        <w:t>d'exportation,</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construction,</w:t>
      </w:r>
      <w:r w:rsidR="00DB1635" w:rsidRPr="00B004EE">
        <w:rPr>
          <w:rFonts w:ascii="Tahoma" w:hAnsi="Tahoma" w:cs="Tahoma"/>
          <w:spacing w:val="13"/>
          <w:sz w:val="20"/>
          <w:szCs w:val="20"/>
        </w:rPr>
        <w:t xml:space="preserve"> </w:t>
      </w:r>
      <w:r w:rsidRPr="00B004EE">
        <w:rPr>
          <w:rFonts w:ascii="Tahoma" w:hAnsi="Tahoma" w:cs="Tahoma"/>
          <w:sz w:val="20"/>
          <w:szCs w:val="20"/>
        </w:rPr>
        <w:t>de</w:t>
      </w:r>
      <w:r w:rsidR="00DB1635" w:rsidRPr="00B004EE">
        <w:rPr>
          <w:rFonts w:ascii="Tahoma" w:hAnsi="Tahoma" w:cs="Tahoma"/>
          <w:w w:val="94"/>
          <w:sz w:val="20"/>
          <w:szCs w:val="20"/>
        </w:rPr>
        <w:t xml:space="preserve"> </w:t>
      </w:r>
      <w:r w:rsidRPr="00B004EE">
        <w:rPr>
          <w:rFonts w:ascii="Tahoma" w:hAnsi="Tahoma" w:cs="Tahoma"/>
          <w:sz w:val="20"/>
          <w:szCs w:val="20"/>
        </w:rPr>
        <w:t>transformation</w:t>
      </w:r>
      <w:r w:rsidR="00DB1635" w:rsidRPr="00B004EE">
        <w:rPr>
          <w:rFonts w:ascii="Tahoma" w:hAnsi="Tahoma" w:cs="Tahoma"/>
          <w:sz w:val="20"/>
          <w:szCs w:val="20"/>
        </w:rPr>
        <w:t xml:space="preserve"> </w:t>
      </w:r>
      <w:r w:rsidRPr="00B004EE">
        <w:rPr>
          <w:rFonts w:ascii="Tahoma" w:hAnsi="Tahoma" w:cs="Tahoma"/>
          <w:sz w:val="20"/>
          <w:szCs w:val="20"/>
        </w:rPr>
        <w:t>ainsi</w:t>
      </w:r>
      <w:r w:rsidR="00DB1635" w:rsidRPr="00B004EE">
        <w:rPr>
          <w:rFonts w:ascii="Tahoma" w:hAnsi="Tahoma" w:cs="Tahoma"/>
          <w:sz w:val="20"/>
          <w:szCs w:val="20"/>
        </w:rPr>
        <w:t xml:space="preserve"> </w:t>
      </w:r>
      <w:r w:rsidRPr="00B004EE">
        <w:rPr>
          <w:rFonts w:ascii="Tahoma" w:hAnsi="Tahoma" w:cs="Tahoma"/>
          <w:sz w:val="20"/>
          <w:szCs w:val="20"/>
        </w:rPr>
        <w:t>que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modification</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l'une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caractéristiques</w:t>
      </w:r>
      <w:r w:rsidR="00DB1635" w:rsidRPr="00B004EE">
        <w:rPr>
          <w:rFonts w:ascii="Tahoma" w:hAnsi="Tahoma" w:cs="Tahoma"/>
          <w:spacing w:val="-23"/>
          <w:sz w:val="20"/>
          <w:szCs w:val="20"/>
        </w:rPr>
        <w:t xml:space="preserve"> </w:t>
      </w:r>
      <w:r w:rsidRPr="00B004EE">
        <w:rPr>
          <w:rFonts w:ascii="Tahoma" w:hAnsi="Tahoma" w:cs="Tahoma"/>
          <w:sz w:val="20"/>
          <w:szCs w:val="20"/>
        </w:rPr>
        <w:t>techniques</w:t>
      </w:r>
      <w:r w:rsidR="00DB1635" w:rsidRPr="00B004EE">
        <w:rPr>
          <w:rFonts w:ascii="Tahoma" w:hAnsi="Tahoma" w:cs="Tahoma"/>
          <w:w w:val="96"/>
          <w:sz w:val="20"/>
          <w:szCs w:val="20"/>
        </w:rPr>
        <w:t xml:space="preserve"> </w:t>
      </w:r>
      <w:r w:rsidRPr="00B004EE">
        <w:rPr>
          <w:rFonts w:ascii="Tahoma" w:hAnsi="Tahoma" w:cs="Tahoma"/>
          <w:sz w:val="20"/>
          <w:szCs w:val="20"/>
        </w:rPr>
        <w:t>du</w:t>
      </w:r>
      <w:r w:rsidR="00DB1635" w:rsidRPr="00B004EE">
        <w:rPr>
          <w:rFonts w:ascii="Tahoma" w:hAnsi="Tahoma" w:cs="Tahoma"/>
          <w:spacing w:val="-19"/>
          <w:sz w:val="20"/>
          <w:szCs w:val="20"/>
        </w:rPr>
        <w:t xml:space="preserve"> </w:t>
      </w:r>
      <w:r w:rsidRPr="00B004EE">
        <w:rPr>
          <w:rFonts w:ascii="Tahoma" w:hAnsi="Tahoma" w:cs="Tahoma"/>
          <w:sz w:val="20"/>
          <w:szCs w:val="20"/>
        </w:rPr>
        <w:t>navire</w:t>
      </w:r>
      <w:r w:rsidR="00DB1635" w:rsidRPr="00B004EE">
        <w:rPr>
          <w:rFonts w:ascii="Tahoma" w:hAnsi="Tahoma" w:cs="Tahoma"/>
          <w:spacing w:val="-18"/>
          <w:sz w:val="20"/>
          <w:szCs w:val="20"/>
        </w:rPr>
        <w:t xml:space="preserve"> </w:t>
      </w:r>
      <w:r w:rsidRPr="00B004EE">
        <w:rPr>
          <w:rFonts w:ascii="Tahoma" w:hAnsi="Tahoma" w:cs="Tahoma"/>
          <w:sz w:val="20"/>
          <w:szCs w:val="20"/>
        </w:rPr>
        <w:t>de</w:t>
      </w:r>
      <w:r w:rsidR="00DB1635" w:rsidRPr="00B004EE">
        <w:rPr>
          <w:rFonts w:ascii="Tahoma" w:hAnsi="Tahoma" w:cs="Tahoma"/>
          <w:spacing w:val="-18"/>
          <w:sz w:val="20"/>
          <w:szCs w:val="20"/>
        </w:rPr>
        <w:t xml:space="preserve"> </w:t>
      </w:r>
      <w:r w:rsidRPr="00B004EE">
        <w:rPr>
          <w:rFonts w:ascii="Tahoma" w:hAnsi="Tahoma" w:cs="Tahoma"/>
          <w:sz w:val="20"/>
          <w:szCs w:val="20"/>
        </w:rPr>
        <w:t>pêche</w:t>
      </w:r>
      <w:r w:rsidR="00DB1635" w:rsidRPr="00B004EE">
        <w:rPr>
          <w:rFonts w:ascii="Tahoma" w:hAnsi="Tahoma" w:cs="Tahoma"/>
          <w:spacing w:val="-19"/>
          <w:sz w:val="20"/>
          <w:szCs w:val="20"/>
        </w:rPr>
        <w:t xml:space="preserve"> </w:t>
      </w:r>
      <w:r w:rsidRPr="00B004EE">
        <w:rPr>
          <w:rFonts w:ascii="Tahoma" w:hAnsi="Tahoma" w:cs="Tahoma"/>
          <w:sz w:val="20"/>
          <w:szCs w:val="20"/>
        </w:rPr>
        <w:t>sont</w:t>
      </w:r>
      <w:r w:rsidR="00DB1635" w:rsidRPr="00B004EE">
        <w:rPr>
          <w:rFonts w:ascii="Tahoma" w:hAnsi="Tahoma" w:cs="Tahoma"/>
          <w:spacing w:val="-18"/>
          <w:sz w:val="20"/>
          <w:szCs w:val="20"/>
        </w:rPr>
        <w:t xml:space="preserve"> </w:t>
      </w:r>
      <w:r w:rsidRPr="00B004EE">
        <w:rPr>
          <w:rFonts w:ascii="Tahoma" w:hAnsi="Tahoma" w:cs="Tahoma"/>
          <w:sz w:val="20"/>
          <w:szCs w:val="20"/>
        </w:rPr>
        <w:t>soumises</w:t>
      </w:r>
      <w:r w:rsidR="00DB1635" w:rsidRPr="00B004EE">
        <w:rPr>
          <w:rFonts w:ascii="Tahoma" w:hAnsi="Tahoma" w:cs="Tahoma"/>
          <w:spacing w:val="-18"/>
          <w:sz w:val="20"/>
          <w:szCs w:val="20"/>
        </w:rPr>
        <w:t xml:space="preserve"> </w:t>
      </w:r>
      <w:r w:rsidRPr="00B004EE">
        <w:rPr>
          <w:rFonts w:ascii="Tahoma" w:hAnsi="Tahoma" w:cs="Tahoma"/>
          <w:sz w:val="20"/>
          <w:szCs w:val="20"/>
        </w:rPr>
        <w:t>à</w:t>
      </w:r>
      <w:r w:rsidR="00DB1635" w:rsidRPr="00B004EE">
        <w:rPr>
          <w:rFonts w:ascii="Tahoma" w:hAnsi="Tahoma" w:cs="Tahoma"/>
          <w:spacing w:val="-18"/>
          <w:sz w:val="20"/>
          <w:szCs w:val="20"/>
        </w:rPr>
        <w:t xml:space="preserve"> </w:t>
      </w:r>
      <w:r w:rsidRPr="00B004EE">
        <w:rPr>
          <w:rFonts w:ascii="Tahoma" w:hAnsi="Tahoma" w:cs="Tahoma"/>
          <w:sz w:val="20"/>
          <w:szCs w:val="20"/>
        </w:rPr>
        <w:t>l'autorisation</w:t>
      </w:r>
      <w:r w:rsidR="00DB1635" w:rsidRPr="00B004EE">
        <w:rPr>
          <w:rFonts w:ascii="Tahoma" w:hAnsi="Tahoma" w:cs="Tahoma"/>
          <w:spacing w:val="-19"/>
          <w:sz w:val="20"/>
          <w:szCs w:val="20"/>
        </w:rPr>
        <w:t xml:space="preserve"> </w:t>
      </w:r>
      <w:r w:rsidRPr="00B004EE">
        <w:rPr>
          <w:rFonts w:ascii="Tahoma" w:hAnsi="Tahoma" w:cs="Tahoma"/>
          <w:sz w:val="20"/>
          <w:szCs w:val="20"/>
        </w:rPr>
        <w:t>préalable</w:t>
      </w:r>
      <w:r w:rsidR="00DB1635" w:rsidRPr="00B004EE">
        <w:rPr>
          <w:rFonts w:ascii="Tahoma" w:hAnsi="Tahoma" w:cs="Tahoma"/>
          <w:spacing w:val="-18"/>
          <w:sz w:val="20"/>
          <w:szCs w:val="20"/>
        </w:rPr>
        <w:t xml:space="preserve"> </w:t>
      </w:r>
      <w:r w:rsidRPr="00B004EE">
        <w:rPr>
          <w:rFonts w:ascii="Tahoma" w:hAnsi="Tahoma" w:cs="Tahoma"/>
          <w:sz w:val="20"/>
          <w:szCs w:val="20"/>
        </w:rPr>
        <w:t>du</w:t>
      </w:r>
      <w:r w:rsidR="00DB1635" w:rsidRPr="00B004EE">
        <w:rPr>
          <w:rFonts w:ascii="Tahoma" w:hAnsi="Tahoma" w:cs="Tahoma"/>
          <w:spacing w:val="-17"/>
          <w:sz w:val="20"/>
          <w:szCs w:val="20"/>
        </w:rPr>
        <w:t xml:space="preserve"> </w:t>
      </w:r>
      <w:r w:rsidRPr="00B004EE">
        <w:rPr>
          <w:rFonts w:ascii="Tahoma" w:hAnsi="Tahoma" w:cs="Tahoma"/>
          <w:sz w:val="20"/>
          <w:szCs w:val="20"/>
        </w:rPr>
        <w:t>ministre</w:t>
      </w:r>
      <w:r w:rsidR="00DB1635" w:rsidRPr="00B004EE">
        <w:rPr>
          <w:rFonts w:ascii="Tahoma" w:hAnsi="Tahoma" w:cs="Tahoma"/>
          <w:spacing w:val="-18"/>
          <w:sz w:val="20"/>
          <w:szCs w:val="20"/>
        </w:rPr>
        <w:t xml:space="preserve"> </w:t>
      </w:r>
      <w:r w:rsidRPr="00B004EE">
        <w:rPr>
          <w:rFonts w:ascii="Tahoma" w:hAnsi="Tahoma" w:cs="Tahoma"/>
          <w:sz w:val="20"/>
          <w:szCs w:val="20"/>
        </w:rPr>
        <w:t>chargé</w:t>
      </w:r>
      <w:r w:rsidR="00DB1635" w:rsidRPr="00B004EE">
        <w:rPr>
          <w:rFonts w:ascii="Tahoma" w:hAnsi="Tahoma" w:cs="Tahoma"/>
          <w:spacing w:val="-20"/>
          <w:sz w:val="20"/>
          <w:szCs w:val="20"/>
        </w:rPr>
        <w:t xml:space="preserve"> </w:t>
      </w:r>
      <w:r w:rsidRPr="00B004EE">
        <w:rPr>
          <w:rFonts w:ascii="Tahoma" w:hAnsi="Tahoma" w:cs="Tahoma"/>
          <w:sz w:val="20"/>
          <w:szCs w:val="20"/>
        </w:rPr>
        <w:t>des</w:t>
      </w:r>
      <w:r w:rsidR="00DB1635" w:rsidRPr="00B004EE">
        <w:rPr>
          <w:rFonts w:ascii="Tahoma" w:hAnsi="Tahoma" w:cs="Tahoma"/>
          <w:w w:val="94"/>
          <w:sz w:val="20"/>
          <w:szCs w:val="20"/>
        </w:rPr>
        <w:t xml:space="preserve"> </w:t>
      </w:r>
      <w:r w:rsidRPr="00B004EE">
        <w:rPr>
          <w:rFonts w:ascii="Tahoma" w:hAnsi="Tahoma" w:cs="Tahoma"/>
          <w:sz w:val="20"/>
          <w:szCs w:val="20"/>
        </w:rPr>
        <w:t>pêches.</w:t>
      </w:r>
      <w:r w:rsidR="00DB1635" w:rsidRPr="00B004EE">
        <w:rPr>
          <w:rFonts w:ascii="Tahoma" w:hAnsi="Tahoma" w:cs="Tahoma"/>
          <w:spacing w:val="-6"/>
          <w:sz w:val="20"/>
          <w:szCs w:val="20"/>
        </w:rPr>
        <w:t xml:space="preserve"> </w:t>
      </w:r>
      <w:r w:rsidRPr="00B004EE">
        <w:rPr>
          <w:rFonts w:ascii="Tahoma" w:hAnsi="Tahoma" w:cs="Tahoma"/>
          <w:sz w:val="20"/>
          <w:szCs w:val="20"/>
        </w:rPr>
        <w:t>Un</w:t>
      </w:r>
      <w:r w:rsidR="00DB1635" w:rsidRPr="00B004EE">
        <w:rPr>
          <w:rFonts w:ascii="Tahoma" w:hAnsi="Tahoma" w:cs="Tahoma"/>
          <w:spacing w:val="-6"/>
          <w:sz w:val="20"/>
          <w:szCs w:val="20"/>
        </w:rPr>
        <w:t xml:space="preserve"> </w:t>
      </w:r>
      <w:r w:rsidRPr="00B004EE">
        <w:rPr>
          <w:rFonts w:ascii="Tahoma" w:hAnsi="Tahoma" w:cs="Tahoma"/>
          <w:sz w:val="20"/>
          <w:szCs w:val="20"/>
        </w:rPr>
        <w:t>arrêté</w:t>
      </w:r>
      <w:r w:rsidR="00DB1635" w:rsidRPr="00B004EE">
        <w:rPr>
          <w:rFonts w:ascii="Tahoma" w:hAnsi="Tahoma" w:cs="Tahoma"/>
          <w:spacing w:val="-6"/>
          <w:sz w:val="20"/>
          <w:szCs w:val="20"/>
        </w:rPr>
        <w:t xml:space="preserve"> </w:t>
      </w:r>
      <w:r w:rsidRPr="00B004EE">
        <w:rPr>
          <w:rFonts w:ascii="Tahoma" w:hAnsi="Tahoma" w:cs="Tahoma"/>
          <w:sz w:val="20"/>
          <w:szCs w:val="20"/>
        </w:rPr>
        <w:t>du</w:t>
      </w:r>
      <w:r w:rsidR="00DB1635" w:rsidRPr="00B004EE">
        <w:rPr>
          <w:rFonts w:ascii="Tahoma" w:hAnsi="Tahoma" w:cs="Tahoma"/>
          <w:spacing w:val="-5"/>
          <w:sz w:val="20"/>
          <w:szCs w:val="20"/>
        </w:rPr>
        <w:t xml:space="preserve"> </w:t>
      </w:r>
      <w:r w:rsidRPr="00B004EE">
        <w:rPr>
          <w:rFonts w:ascii="Tahoma" w:hAnsi="Tahoma" w:cs="Tahoma"/>
          <w:sz w:val="20"/>
          <w:szCs w:val="20"/>
        </w:rPr>
        <w:t>ministre</w:t>
      </w:r>
      <w:r w:rsidR="00DB1635" w:rsidRPr="00B004EE">
        <w:rPr>
          <w:rFonts w:ascii="Tahoma" w:hAnsi="Tahoma" w:cs="Tahoma"/>
          <w:spacing w:val="-6"/>
          <w:sz w:val="20"/>
          <w:szCs w:val="20"/>
        </w:rPr>
        <w:t xml:space="preserve"> </w:t>
      </w:r>
      <w:r w:rsidRPr="00B004EE">
        <w:rPr>
          <w:rFonts w:ascii="Tahoma" w:hAnsi="Tahoma" w:cs="Tahoma"/>
          <w:sz w:val="20"/>
          <w:szCs w:val="20"/>
        </w:rPr>
        <w:t>chargé</w:t>
      </w:r>
      <w:r w:rsidR="00DB1635" w:rsidRPr="00B004EE">
        <w:rPr>
          <w:rFonts w:ascii="Tahoma" w:hAnsi="Tahoma" w:cs="Tahoma"/>
          <w:spacing w:val="-6"/>
          <w:sz w:val="20"/>
          <w:szCs w:val="20"/>
        </w:rPr>
        <w:t xml:space="preserve"> </w:t>
      </w:r>
      <w:r w:rsidRPr="00B004EE">
        <w:rPr>
          <w:rFonts w:ascii="Tahoma" w:hAnsi="Tahoma" w:cs="Tahoma"/>
          <w:sz w:val="20"/>
          <w:szCs w:val="20"/>
        </w:rPr>
        <w:t>des</w:t>
      </w:r>
      <w:r w:rsidR="00DB1635" w:rsidRPr="00B004EE">
        <w:rPr>
          <w:rFonts w:ascii="Tahoma" w:hAnsi="Tahoma" w:cs="Tahoma"/>
          <w:spacing w:val="-6"/>
          <w:sz w:val="20"/>
          <w:szCs w:val="20"/>
        </w:rPr>
        <w:t xml:space="preserve"> </w:t>
      </w:r>
      <w:r w:rsidRPr="00B004EE">
        <w:rPr>
          <w:rFonts w:ascii="Tahoma" w:hAnsi="Tahoma" w:cs="Tahoma"/>
          <w:sz w:val="20"/>
          <w:szCs w:val="20"/>
        </w:rPr>
        <w:t>pêches</w:t>
      </w:r>
      <w:r w:rsidR="00DB1635" w:rsidRPr="00B004EE">
        <w:rPr>
          <w:rFonts w:ascii="Tahoma" w:hAnsi="Tahoma" w:cs="Tahoma"/>
          <w:spacing w:val="-6"/>
          <w:sz w:val="20"/>
          <w:szCs w:val="20"/>
        </w:rPr>
        <w:t xml:space="preserve"> </w:t>
      </w:r>
      <w:r w:rsidRPr="00B004EE">
        <w:rPr>
          <w:rFonts w:ascii="Tahoma" w:hAnsi="Tahoma" w:cs="Tahoma"/>
          <w:sz w:val="20"/>
          <w:szCs w:val="20"/>
        </w:rPr>
        <w:t>précisera</w:t>
      </w:r>
      <w:r w:rsidR="00DB1635" w:rsidRPr="00B004EE">
        <w:rPr>
          <w:rFonts w:ascii="Tahoma" w:hAnsi="Tahoma" w:cs="Tahoma"/>
          <w:spacing w:val="-6"/>
          <w:sz w:val="20"/>
          <w:szCs w:val="20"/>
        </w:rPr>
        <w:t xml:space="preserve"> </w:t>
      </w:r>
      <w:r w:rsidRPr="00B004EE">
        <w:rPr>
          <w:rFonts w:ascii="Tahoma" w:hAnsi="Tahoma" w:cs="Tahoma"/>
          <w:sz w:val="20"/>
          <w:szCs w:val="20"/>
        </w:rPr>
        <w:t>les</w:t>
      </w:r>
      <w:r w:rsidR="00DB1635" w:rsidRPr="00B004EE">
        <w:rPr>
          <w:rFonts w:ascii="Tahoma" w:hAnsi="Tahoma" w:cs="Tahoma"/>
          <w:spacing w:val="-6"/>
          <w:sz w:val="20"/>
          <w:szCs w:val="20"/>
        </w:rPr>
        <w:t xml:space="preserve"> </w:t>
      </w:r>
      <w:r w:rsidRPr="00B004EE">
        <w:rPr>
          <w:rFonts w:ascii="Tahoma" w:hAnsi="Tahoma" w:cs="Tahoma"/>
          <w:sz w:val="20"/>
          <w:szCs w:val="20"/>
        </w:rPr>
        <w:t>conditions</w:t>
      </w:r>
      <w:r w:rsidR="00DB1635" w:rsidRPr="00B004EE">
        <w:rPr>
          <w:rFonts w:ascii="Tahoma" w:hAnsi="Tahoma" w:cs="Tahoma"/>
          <w:spacing w:val="-6"/>
          <w:sz w:val="20"/>
          <w:szCs w:val="20"/>
        </w:rPr>
        <w:t xml:space="preserve"> </w:t>
      </w:r>
      <w:r w:rsidRPr="00B004EE">
        <w:rPr>
          <w:rFonts w:ascii="Tahoma" w:hAnsi="Tahoma" w:cs="Tahoma"/>
          <w:sz w:val="20"/>
          <w:szCs w:val="20"/>
        </w:rPr>
        <w:t>de</w:t>
      </w:r>
      <w:r w:rsidR="00DB1635" w:rsidRPr="00B004EE">
        <w:rPr>
          <w:rFonts w:ascii="Tahoma" w:hAnsi="Tahoma" w:cs="Tahoma"/>
          <w:spacing w:val="-6"/>
          <w:sz w:val="20"/>
          <w:szCs w:val="20"/>
        </w:rPr>
        <w:t xml:space="preserve"> </w:t>
      </w:r>
      <w:r w:rsidRPr="00B004EE">
        <w:rPr>
          <w:rFonts w:ascii="Tahoma" w:hAnsi="Tahoma" w:cs="Tahoma"/>
          <w:sz w:val="20"/>
          <w:szCs w:val="20"/>
        </w:rPr>
        <w:t>cette</w:t>
      </w:r>
      <w:r w:rsidR="00DB1635" w:rsidRPr="00B004EE">
        <w:rPr>
          <w:rFonts w:ascii="Tahoma" w:hAnsi="Tahoma" w:cs="Tahoma"/>
          <w:w w:val="95"/>
          <w:sz w:val="20"/>
          <w:szCs w:val="20"/>
        </w:rPr>
        <w:t xml:space="preserve"> </w:t>
      </w:r>
      <w:r w:rsidRPr="00B004EE">
        <w:rPr>
          <w:rFonts w:ascii="Tahoma" w:hAnsi="Tahoma" w:cs="Tahoma"/>
          <w:sz w:val="20"/>
          <w:szCs w:val="20"/>
        </w:rPr>
        <w:t>autorisation.</w:t>
      </w:r>
    </w:p>
    <w:p w14:paraId="0E1752BB" w14:textId="77777777" w:rsidR="001E7C3C" w:rsidRPr="00B004EE" w:rsidRDefault="001E7C3C" w:rsidP="00B004EE">
      <w:pPr>
        <w:rPr>
          <w:rFonts w:ascii="Tahoma" w:eastAsia="American Typewriter" w:hAnsi="Tahoma" w:cs="Tahoma"/>
          <w:sz w:val="20"/>
          <w:szCs w:val="20"/>
        </w:rPr>
      </w:pPr>
    </w:p>
    <w:p w14:paraId="2FCD83DC" w14:textId="4F0F39F4" w:rsidR="001E7C3C" w:rsidRPr="00B004EE" w:rsidRDefault="001E7C3C" w:rsidP="00B004EE">
      <w:pPr>
        <w:pStyle w:val="Corpsdetexte"/>
        <w:ind w:right="158"/>
        <w:rPr>
          <w:rFonts w:ascii="Tahoma" w:hAnsi="Tahoma" w:cs="Tahoma"/>
          <w:sz w:val="20"/>
          <w:szCs w:val="20"/>
        </w:rPr>
      </w:pPr>
      <w:r w:rsidRPr="00B004EE">
        <w:rPr>
          <w:rFonts w:ascii="Tahoma" w:hAnsi="Tahoma" w:cs="Tahoma"/>
          <w:sz w:val="20"/>
          <w:szCs w:val="20"/>
        </w:rPr>
        <w:t>La</w:t>
      </w:r>
      <w:r w:rsidR="00DB1635" w:rsidRPr="00B004EE">
        <w:rPr>
          <w:rFonts w:ascii="Tahoma" w:hAnsi="Tahoma" w:cs="Tahoma"/>
          <w:spacing w:val="-17"/>
          <w:sz w:val="20"/>
          <w:szCs w:val="20"/>
        </w:rPr>
        <w:t xml:space="preserve"> </w:t>
      </w:r>
      <w:r w:rsidRPr="00B004EE">
        <w:rPr>
          <w:rFonts w:ascii="Tahoma" w:hAnsi="Tahoma" w:cs="Tahoma"/>
          <w:sz w:val="20"/>
          <w:szCs w:val="20"/>
        </w:rPr>
        <w:t>décision</w:t>
      </w:r>
      <w:r w:rsidR="00DB1635" w:rsidRPr="00B004EE">
        <w:rPr>
          <w:rFonts w:ascii="Tahoma" w:hAnsi="Tahoma" w:cs="Tahoma"/>
          <w:spacing w:val="-18"/>
          <w:sz w:val="20"/>
          <w:szCs w:val="20"/>
        </w:rPr>
        <w:t xml:space="preserve"> </w:t>
      </w:r>
      <w:r w:rsidRPr="00B004EE">
        <w:rPr>
          <w:rFonts w:ascii="Tahoma" w:hAnsi="Tahoma" w:cs="Tahoma"/>
          <w:sz w:val="20"/>
          <w:szCs w:val="20"/>
        </w:rPr>
        <w:t>du</w:t>
      </w:r>
      <w:r w:rsidR="00DB1635" w:rsidRPr="00B004EE">
        <w:rPr>
          <w:rFonts w:ascii="Tahoma" w:hAnsi="Tahoma" w:cs="Tahoma"/>
          <w:spacing w:val="-17"/>
          <w:sz w:val="20"/>
          <w:szCs w:val="20"/>
        </w:rPr>
        <w:t xml:space="preserve"> </w:t>
      </w:r>
      <w:r w:rsidRPr="00B004EE">
        <w:rPr>
          <w:rFonts w:ascii="Tahoma" w:hAnsi="Tahoma" w:cs="Tahoma"/>
          <w:sz w:val="20"/>
          <w:szCs w:val="20"/>
        </w:rPr>
        <w:t>ministre</w:t>
      </w:r>
      <w:r w:rsidR="00DB1635" w:rsidRPr="00B004EE">
        <w:rPr>
          <w:rFonts w:ascii="Tahoma" w:hAnsi="Tahoma" w:cs="Tahoma"/>
          <w:spacing w:val="-17"/>
          <w:sz w:val="20"/>
          <w:szCs w:val="20"/>
        </w:rPr>
        <w:t xml:space="preserve"> </w:t>
      </w:r>
      <w:r w:rsidRPr="00B004EE">
        <w:rPr>
          <w:rFonts w:ascii="Tahoma" w:hAnsi="Tahoma" w:cs="Tahoma"/>
          <w:sz w:val="20"/>
          <w:szCs w:val="20"/>
        </w:rPr>
        <w:t>tient</w:t>
      </w:r>
      <w:r w:rsidR="00DB1635" w:rsidRPr="00B004EE">
        <w:rPr>
          <w:rFonts w:ascii="Tahoma" w:hAnsi="Tahoma" w:cs="Tahoma"/>
          <w:spacing w:val="-18"/>
          <w:sz w:val="20"/>
          <w:szCs w:val="20"/>
        </w:rPr>
        <w:t xml:space="preserve"> </w:t>
      </w:r>
      <w:r w:rsidRPr="00B004EE">
        <w:rPr>
          <w:rFonts w:ascii="Tahoma" w:hAnsi="Tahoma" w:cs="Tahoma"/>
          <w:sz w:val="20"/>
          <w:szCs w:val="20"/>
        </w:rPr>
        <w:t>compte</w:t>
      </w:r>
      <w:r w:rsidR="00DB1635" w:rsidRPr="00B004EE">
        <w:rPr>
          <w:rFonts w:ascii="Tahoma" w:hAnsi="Tahoma" w:cs="Tahoma"/>
          <w:spacing w:val="-19"/>
          <w:sz w:val="20"/>
          <w:szCs w:val="20"/>
        </w:rPr>
        <w:t xml:space="preserve"> </w:t>
      </w:r>
      <w:r w:rsidRPr="00B004EE">
        <w:rPr>
          <w:rFonts w:ascii="Tahoma" w:hAnsi="Tahoma" w:cs="Tahoma"/>
          <w:sz w:val="20"/>
          <w:szCs w:val="20"/>
        </w:rPr>
        <w:t>des</w:t>
      </w:r>
      <w:r w:rsidR="00DB1635" w:rsidRPr="00B004EE">
        <w:rPr>
          <w:rFonts w:ascii="Tahoma" w:hAnsi="Tahoma" w:cs="Tahoma"/>
          <w:spacing w:val="-20"/>
          <w:sz w:val="20"/>
          <w:szCs w:val="20"/>
        </w:rPr>
        <w:t xml:space="preserve"> </w:t>
      </w:r>
      <w:r w:rsidRPr="00B004EE">
        <w:rPr>
          <w:rFonts w:ascii="Tahoma" w:hAnsi="Tahoma" w:cs="Tahoma"/>
          <w:sz w:val="20"/>
          <w:szCs w:val="20"/>
        </w:rPr>
        <w:t>dispositions</w:t>
      </w:r>
      <w:r w:rsidR="00DB1635" w:rsidRPr="00B004EE">
        <w:rPr>
          <w:rFonts w:ascii="Tahoma" w:hAnsi="Tahoma" w:cs="Tahoma"/>
          <w:spacing w:val="-20"/>
          <w:sz w:val="20"/>
          <w:szCs w:val="20"/>
        </w:rPr>
        <w:t xml:space="preserve"> </w:t>
      </w:r>
      <w:r w:rsidRPr="00B004EE">
        <w:rPr>
          <w:rFonts w:ascii="Tahoma" w:hAnsi="Tahoma" w:cs="Tahoma"/>
          <w:sz w:val="20"/>
          <w:szCs w:val="20"/>
        </w:rPr>
        <w:t>des</w:t>
      </w:r>
      <w:r w:rsidR="00DB1635" w:rsidRPr="00B004EE">
        <w:rPr>
          <w:rFonts w:ascii="Tahoma" w:hAnsi="Tahoma" w:cs="Tahoma"/>
          <w:spacing w:val="-20"/>
          <w:sz w:val="20"/>
          <w:szCs w:val="20"/>
        </w:rPr>
        <w:t xml:space="preserve"> </w:t>
      </w:r>
      <w:r w:rsidRPr="00B004EE">
        <w:rPr>
          <w:rFonts w:ascii="Tahoma" w:hAnsi="Tahoma" w:cs="Tahoma"/>
          <w:sz w:val="20"/>
          <w:szCs w:val="20"/>
        </w:rPr>
        <w:t>plans</w:t>
      </w:r>
      <w:r w:rsidR="00DB1635" w:rsidRPr="00B004EE">
        <w:rPr>
          <w:rFonts w:ascii="Tahoma" w:hAnsi="Tahoma" w:cs="Tahoma"/>
          <w:spacing w:val="-20"/>
          <w:sz w:val="20"/>
          <w:szCs w:val="20"/>
        </w:rPr>
        <w:t xml:space="preserve"> </w:t>
      </w:r>
      <w:r w:rsidRPr="00B004EE">
        <w:rPr>
          <w:rFonts w:ascii="Tahoma" w:hAnsi="Tahoma" w:cs="Tahoma"/>
          <w:sz w:val="20"/>
          <w:szCs w:val="20"/>
        </w:rPr>
        <w:t>d'aménagement</w:t>
      </w:r>
      <w:r w:rsidR="00DB1635" w:rsidRPr="00B004EE">
        <w:rPr>
          <w:rFonts w:ascii="Tahoma" w:hAnsi="Tahoma" w:cs="Tahoma"/>
          <w:spacing w:val="-16"/>
          <w:sz w:val="20"/>
          <w:szCs w:val="20"/>
        </w:rPr>
        <w:t xml:space="preserve"> </w:t>
      </w:r>
      <w:r w:rsidRPr="00B004EE">
        <w:rPr>
          <w:rFonts w:ascii="Tahoma" w:hAnsi="Tahoma" w:cs="Tahoma"/>
          <w:sz w:val="20"/>
          <w:szCs w:val="20"/>
        </w:rPr>
        <w:t>ou</w:t>
      </w:r>
      <w:r w:rsidR="00DB1635" w:rsidRPr="00B004EE">
        <w:rPr>
          <w:rFonts w:ascii="Tahoma" w:hAnsi="Tahoma" w:cs="Tahoma"/>
          <w:w w:val="95"/>
          <w:sz w:val="20"/>
          <w:szCs w:val="20"/>
        </w:rPr>
        <w:t xml:space="preserve"> </w:t>
      </w:r>
      <w:r w:rsidRPr="00B004EE">
        <w:rPr>
          <w:rFonts w:ascii="Tahoma" w:hAnsi="Tahoma" w:cs="Tahoma"/>
          <w:sz w:val="20"/>
          <w:szCs w:val="20"/>
        </w:rPr>
        <w:t>de</w:t>
      </w:r>
      <w:r w:rsidR="00DB1635" w:rsidRPr="00B004EE">
        <w:rPr>
          <w:rFonts w:ascii="Tahoma" w:hAnsi="Tahoma" w:cs="Tahoma"/>
          <w:spacing w:val="23"/>
          <w:sz w:val="20"/>
          <w:szCs w:val="20"/>
        </w:rPr>
        <w:t xml:space="preserve"> </w:t>
      </w:r>
      <w:r w:rsidRPr="00B004EE">
        <w:rPr>
          <w:rFonts w:ascii="Tahoma" w:hAnsi="Tahoma" w:cs="Tahoma"/>
          <w:sz w:val="20"/>
          <w:szCs w:val="20"/>
        </w:rPr>
        <w:t>gestion</w:t>
      </w:r>
      <w:r w:rsidR="00DB1635" w:rsidRPr="00B004EE">
        <w:rPr>
          <w:rFonts w:ascii="Tahoma" w:hAnsi="Tahoma" w:cs="Tahoma"/>
          <w:spacing w:val="21"/>
          <w:sz w:val="20"/>
          <w:szCs w:val="20"/>
        </w:rPr>
        <w:t xml:space="preserve"> </w:t>
      </w:r>
      <w:r w:rsidRPr="00B004EE">
        <w:rPr>
          <w:rFonts w:ascii="Tahoma" w:hAnsi="Tahoma" w:cs="Tahoma"/>
          <w:sz w:val="20"/>
          <w:szCs w:val="20"/>
        </w:rPr>
        <w:t>des</w:t>
      </w:r>
      <w:r w:rsidR="00DB1635" w:rsidRPr="00B004EE">
        <w:rPr>
          <w:rFonts w:ascii="Tahoma" w:hAnsi="Tahoma" w:cs="Tahoma"/>
          <w:spacing w:val="20"/>
          <w:sz w:val="20"/>
          <w:szCs w:val="20"/>
        </w:rPr>
        <w:t xml:space="preserve"> </w:t>
      </w:r>
      <w:r w:rsidRPr="00B004EE">
        <w:rPr>
          <w:rFonts w:ascii="Tahoma" w:hAnsi="Tahoma" w:cs="Tahoma"/>
          <w:sz w:val="20"/>
          <w:szCs w:val="20"/>
        </w:rPr>
        <w:t>pêcheries</w:t>
      </w:r>
      <w:r w:rsidR="00DB1635" w:rsidRPr="00B004EE">
        <w:rPr>
          <w:rFonts w:ascii="Tahoma" w:hAnsi="Tahoma" w:cs="Tahoma"/>
          <w:spacing w:val="20"/>
          <w:sz w:val="20"/>
          <w:szCs w:val="20"/>
        </w:rPr>
        <w:t xml:space="preserve"> </w:t>
      </w:r>
      <w:r w:rsidRPr="00B004EE">
        <w:rPr>
          <w:rFonts w:ascii="Tahoma" w:hAnsi="Tahoma" w:cs="Tahoma"/>
          <w:sz w:val="20"/>
          <w:szCs w:val="20"/>
        </w:rPr>
        <w:t>et</w:t>
      </w:r>
      <w:r w:rsidR="00DB1635" w:rsidRPr="00B004EE">
        <w:rPr>
          <w:rFonts w:ascii="Tahoma" w:hAnsi="Tahoma" w:cs="Tahoma"/>
          <w:spacing w:val="23"/>
          <w:sz w:val="20"/>
          <w:szCs w:val="20"/>
        </w:rPr>
        <w:t xml:space="preserve"> </w:t>
      </w:r>
      <w:r w:rsidRPr="00B004EE">
        <w:rPr>
          <w:rFonts w:ascii="Tahoma" w:hAnsi="Tahoma" w:cs="Tahoma"/>
          <w:sz w:val="20"/>
          <w:szCs w:val="20"/>
        </w:rPr>
        <w:t>notamment</w:t>
      </w:r>
      <w:r w:rsidR="00DB1635" w:rsidRPr="00B004EE">
        <w:rPr>
          <w:rFonts w:ascii="Tahoma" w:hAnsi="Tahoma" w:cs="Tahoma"/>
          <w:spacing w:val="22"/>
          <w:sz w:val="20"/>
          <w:szCs w:val="20"/>
        </w:rPr>
        <w:t xml:space="preserve"> </w:t>
      </w:r>
      <w:r w:rsidRPr="00B004EE">
        <w:rPr>
          <w:rFonts w:ascii="Tahoma" w:hAnsi="Tahoma" w:cs="Tahoma"/>
          <w:sz w:val="20"/>
          <w:szCs w:val="20"/>
        </w:rPr>
        <w:t>de</w:t>
      </w:r>
      <w:r w:rsidR="00DB1635" w:rsidRPr="00B004EE">
        <w:rPr>
          <w:rFonts w:ascii="Tahoma" w:hAnsi="Tahoma" w:cs="Tahoma"/>
          <w:spacing w:val="21"/>
          <w:sz w:val="20"/>
          <w:szCs w:val="20"/>
        </w:rPr>
        <w:t xml:space="preserve"> </w:t>
      </w:r>
      <w:r w:rsidRPr="00B004EE">
        <w:rPr>
          <w:rFonts w:ascii="Tahoma" w:hAnsi="Tahoma" w:cs="Tahoma"/>
          <w:sz w:val="20"/>
          <w:szCs w:val="20"/>
        </w:rPr>
        <w:t>celles</w:t>
      </w:r>
      <w:r w:rsidR="00DB1635" w:rsidRPr="00B004EE">
        <w:rPr>
          <w:rFonts w:ascii="Tahoma" w:hAnsi="Tahoma" w:cs="Tahoma"/>
          <w:spacing w:val="20"/>
          <w:sz w:val="20"/>
          <w:szCs w:val="20"/>
        </w:rPr>
        <w:t xml:space="preserve"> </w:t>
      </w:r>
      <w:r w:rsidRPr="00B004EE">
        <w:rPr>
          <w:rFonts w:ascii="Tahoma" w:hAnsi="Tahoma" w:cs="Tahoma"/>
          <w:sz w:val="20"/>
          <w:szCs w:val="20"/>
        </w:rPr>
        <w:t>relatives</w:t>
      </w:r>
      <w:r w:rsidR="00DB1635" w:rsidRPr="00B004EE">
        <w:rPr>
          <w:rFonts w:ascii="Tahoma" w:hAnsi="Tahoma" w:cs="Tahoma"/>
          <w:spacing w:val="20"/>
          <w:sz w:val="20"/>
          <w:szCs w:val="20"/>
        </w:rPr>
        <w:t xml:space="preserve"> </w:t>
      </w:r>
      <w:r w:rsidRPr="00B004EE">
        <w:rPr>
          <w:rFonts w:ascii="Tahoma" w:hAnsi="Tahoma" w:cs="Tahoma"/>
          <w:sz w:val="20"/>
          <w:szCs w:val="20"/>
        </w:rPr>
        <w:t>à</w:t>
      </w:r>
      <w:r w:rsidR="00DB1635" w:rsidRPr="00B004EE">
        <w:rPr>
          <w:rFonts w:ascii="Tahoma" w:hAnsi="Tahoma" w:cs="Tahoma"/>
          <w:spacing w:val="22"/>
          <w:sz w:val="20"/>
          <w:szCs w:val="20"/>
        </w:rPr>
        <w:t xml:space="preserve"> </w:t>
      </w:r>
      <w:r w:rsidRPr="00B004EE">
        <w:rPr>
          <w:rFonts w:ascii="Tahoma" w:hAnsi="Tahoma" w:cs="Tahoma"/>
          <w:sz w:val="20"/>
          <w:szCs w:val="20"/>
        </w:rPr>
        <w:t>la</w:t>
      </w:r>
      <w:r w:rsidR="00DB1635" w:rsidRPr="00B004EE">
        <w:rPr>
          <w:rFonts w:ascii="Tahoma" w:hAnsi="Tahoma" w:cs="Tahoma"/>
          <w:spacing w:val="22"/>
          <w:sz w:val="20"/>
          <w:szCs w:val="20"/>
        </w:rPr>
        <w:t xml:space="preserve"> </w:t>
      </w:r>
      <w:r w:rsidRPr="00B004EE">
        <w:rPr>
          <w:rFonts w:ascii="Tahoma" w:hAnsi="Tahoma" w:cs="Tahoma"/>
          <w:sz w:val="20"/>
          <w:szCs w:val="20"/>
        </w:rPr>
        <w:t>disponibilité</w:t>
      </w:r>
      <w:r w:rsidR="00DB1635" w:rsidRPr="00B004EE">
        <w:rPr>
          <w:rFonts w:ascii="Tahoma" w:hAnsi="Tahoma" w:cs="Tahoma"/>
          <w:spacing w:val="21"/>
          <w:sz w:val="20"/>
          <w:szCs w:val="20"/>
        </w:rPr>
        <w:t xml:space="preserve"> </w:t>
      </w:r>
      <w:r w:rsidRPr="00B004EE">
        <w:rPr>
          <w:rFonts w:ascii="Tahoma" w:hAnsi="Tahoma" w:cs="Tahoma"/>
          <w:sz w:val="20"/>
          <w:szCs w:val="20"/>
        </w:rPr>
        <w:t>des</w:t>
      </w:r>
      <w:r w:rsidR="00DB1635" w:rsidRPr="00B004EE">
        <w:rPr>
          <w:rFonts w:ascii="Tahoma" w:hAnsi="Tahoma" w:cs="Tahoma"/>
          <w:w w:val="94"/>
          <w:sz w:val="20"/>
          <w:szCs w:val="20"/>
        </w:rPr>
        <w:t xml:space="preserve"> </w:t>
      </w:r>
      <w:r w:rsidRPr="00B004EE">
        <w:rPr>
          <w:rFonts w:ascii="Tahoma" w:hAnsi="Tahoma" w:cs="Tahoma"/>
          <w:w w:val="95"/>
          <w:sz w:val="20"/>
          <w:szCs w:val="20"/>
        </w:rPr>
        <w:t>ressources</w:t>
      </w:r>
      <w:r w:rsidR="00DB1635" w:rsidRPr="00B004EE">
        <w:rPr>
          <w:rFonts w:ascii="Tahoma" w:hAnsi="Tahoma" w:cs="Tahoma"/>
          <w:w w:val="95"/>
          <w:sz w:val="20"/>
          <w:szCs w:val="20"/>
        </w:rPr>
        <w:t xml:space="preserve"> </w:t>
      </w:r>
      <w:r w:rsidRPr="00B004EE">
        <w:rPr>
          <w:rFonts w:ascii="Tahoma" w:hAnsi="Tahoma" w:cs="Tahoma"/>
          <w:w w:val="95"/>
          <w:sz w:val="20"/>
          <w:szCs w:val="20"/>
        </w:rPr>
        <w:t>halieutiques</w:t>
      </w:r>
      <w:r w:rsidR="00DB1635" w:rsidRPr="00B004EE">
        <w:rPr>
          <w:rFonts w:ascii="Tahoma" w:hAnsi="Tahoma" w:cs="Tahoma"/>
          <w:spacing w:val="33"/>
          <w:w w:val="95"/>
          <w:sz w:val="20"/>
          <w:szCs w:val="20"/>
        </w:rPr>
        <w:t xml:space="preserve"> </w:t>
      </w:r>
      <w:r w:rsidRPr="00B004EE">
        <w:rPr>
          <w:rFonts w:ascii="Tahoma" w:hAnsi="Tahoma" w:cs="Tahoma"/>
          <w:w w:val="95"/>
          <w:sz w:val="20"/>
          <w:szCs w:val="20"/>
        </w:rPr>
        <w:t>exploitables.</w:t>
      </w:r>
    </w:p>
    <w:p w14:paraId="7A48640A" w14:textId="77777777" w:rsidR="001E7C3C" w:rsidRPr="00B004EE" w:rsidRDefault="001E7C3C" w:rsidP="00B004EE">
      <w:pPr>
        <w:rPr>
          <w:rFonts w:ascii="Tahoma" w:eastAsia="American Typewriter" w:hAnsi="Tahoma" w:cs="Tahoma"/>
          <w:sz w:val="20"/>
          <w:szCs w:val="20"/>
        </w:rPr>
      </w:pPr>
    </w:p>
    <w:p w14:paraId="4632BAA9" w14:textId="2491EAA2" w:rsidR="001E7C3C" w:rsidRPr="00B004EE" w:rsidRDefault="001E7C3C" w:rsidP="00B004EE">
      <w:pPr>
        <w:pStyle w:val="Corpsdetexte"/>
        <w:ind w:right="165"/>
        <w:rPr>
          <w:rFonts w:ascii="Tahoma" w:hAnsi="Tahoma" w:cs="Tahoma"/>
          <w:sz w:val="20"/>
          <w:szCs w:val="20"/>
        </w:rPr>
      </w:pPr>
      <w:r w:rsidRPr="00B004EE">
        <w:rPr>
          <w:rFonts w:ascii="Tahoma" w:hAnsi="Tahoma" w:cs="Tahoma"/>
          <w:sz w:val="20"/>
          <w:szCs w:val="20"/>
        </w:rPr>
        <w:t>La</w:t>
      </w:r>
      <w:r w:rsidR="00DB1635" w:rsidRPr="00B004EE">
        <w:rPr>
          <w:rFonts w:ascii="Tahoma" w:hAnsi="Tahoma" w:cs="Tahoma"/>
          <w:spacing w:val="30"/>
          <w:sz w:val="20"/>
          <w:szCs w:val="20"/>
        </w:rPr>
        <w:t xml:space="preserve"> </w:t>
      </w:r>
      <w:r w:rsidRPr="00B004EE">
        <w:rPr>
          <w:rFonts w:ascii="Tahoma" w:hAnsi="Tahoma" w:cs="Tahoma"/>
          <w:sz w:val="20"/>
          <w:szCs w:val="20"/>
        </w:rPr>
        <w:t>vente</w:t>
      </w:r>
      <w:r w:rsidR="00DB1635" w:rsidRPr="00B004EE">
        <w:rPr>
          <w:rFonts w:ascii="Tahoma" w:hAnsi="Tahoma" w:cs="Tahoma"/>
          <w:spacing w:val="29"/>
          <w:sz w:val="20"/>
          <w:szCs w:val="20"/>
        </w:rPr>
        <w:t xml:space="preserve"> </w:t>
      </w:r>
      <w:r w:rsidRPr="00B004EE">
        <w:rPr>
          <w:rFonts w:ascii="Tahoma" w:hAnsi="Tahoma" w:cs="Tahoma"/>
          <w:sz w:val="20"/>
          <w:szCs w:val="20"/>
        </w:rPr>
        <w:t>des</w:t>
      </w:r>
      <w:r w:rsidR="00DB1635" w:rsidRPr="00B004EE">
        <w:rPr>
          <w:rFonts w:ascii="Tahoma" w:hAnsi="Tahoma" w:cs="Tahoma"/>
          <w:spacing w:val="28"/>
          <w:sz w:val="20"/>
          <w:szCs w:val="20"/>
        </w:rPr>
        <w:t xml:space="preserve"> </w:t>
      </w:r>
      <w:r w:rsidRPr="00B004EE">
        <w:rPr>
          <w:rFonts w:ascii="Tahoma" w:hAnsi="Tahoma" w:cs="Tahoma"/>
          <w:sz w:val="20"/>
          <w:szCs w:val="20"/>
        </w:rPr>
        <w:t>navires</w:t>
      </w:r>
      <w:r w:rsidR="00DB1635" w:rsidRPr="00B004EE">
        <w:rPr>
          <w:rFonts w:ascii="Tahoma" w:hAnsi="Tahoma" w:cs="Tahoma"/>
          <w:spacing w:val="28"/>
          <w:sz w:val="20"/>
          <w:szCs w:val="20"/>
        </w:rPr>
        <w:t xml:space="preserve"> </w:t>
      </w:r>
      <w:r w:rsidRPr="00B004EE">
        <w:rPr>
          <w:rFonts w:ascii="Tahoma" w:hAnsi="Tahoma" w:cs="Tahoma"/>
          <w:sz w:val="20"/>
          <w:szCs w:val="20"/>
        </w:rPr>
        <w:t>entre</w:t>
      </w:r>
      <w:r w:rsidR="00DB1635" w:rsidRPr="00B004EE">
        <w:rPr>
          <w:rFonts w:ascii="Tahoma" w:hAnsi="Tahoma" w:cs="Tahoma"/>
          <w:spacing w:val="28"/>
          <w:sz w:val="20"/>
          <w:szCs w:val="20"/>
        </w:rPr>
        <w:t xml:space="preserve"> </w:t>
      </w:r>
      <w:r w:rsidRPr="00B004EE">
        <w:rPr>
          <w:rFonts w:ascii="Tahoma" w:hAnsi="Tahoma" w:cs="Tahoma"/>
          <w:sz w:val="20"/>
          <w:szCs w:val="20"/>
        </w:rPr>
        <w:t>mauritaniens</w:t>
      </w:r>
      <w:r w:rsidR="00DB1635" w:rsidRPr="00B004EE">
        <w:rPr>
          <w:rFonts w:ascii="Tahoma" w:hAnsi="Tahoma" w:cs="Tahoma"/>
          <w:spacing w:val="27"/>
          <w:sz w:val="20"/>
          <w:szCs w:val="20"/>
        </w:rPr>
        <w:t xml:space="preserve"> </w:t>
      </w:r>
      <w:r w:rsidRPr="00B004EE">
        <w:rPr>
          <w:rFonts w:ascii="Tahoma" w:hAnsi="Tahoma" w:cs="Tahoma"/>
          <w:sz w:val="20"/>
          <w:szCs w:val="20"/>
        </w:rPr>
        <w:t>est</w:t>
      </w:r>
      <w:r w:rsidR="00DB1635" w:rsidRPr="00B004EE">
        <w:rPr>
          <w:rFonts w:ascii="Tahoma" w:hAnsi="Tahoma" w:cs="Tahoma"/>
          <w:spacing w:val="27"/>
          <w:sz w:val="20"/>
          <w:szCs w:val="20"/>
        </w:rPr>
        <w:t xml:space="preserve"> </w:t>
      </w:r>
      <w:r w:rsidRPr="00B004EE">
        <w:rPr>
          <w:rFonts w:ascii="Tahoma" w:hAnsi="Tahoma" w:cs="Tahoma"/>
          <w:sz w:val="20"/>
          <w:szCs w:val="20"/>
        </w:rPr>
        <w:t>libre</w:t>
      </w:r>
      <w:r w:rsidR="00DB1635" w:rsidRPr="00B004EE">
        <w:rPr>
          <w:rFonts w:ascii="Tahoma" w:hAnsi="Tahoma" w:cs="Tahoma"/>
          <w:spacing w:val="28"/>
          <w:sz w:val="20"/>
          <w:szCs w:val="20"/>
        </w:rPr>
        <w:t xml:space="preserve"> </w:t>
      </w:r>
      <w:r w:rsidRPr="00B004EE">
        <w:rPr>
          <w:rFonts w:ascii="Tahoma" w:hAnsi="Tahoma" w:cs="Tahoma"/>
          <w:sz w:val="20"/>
          <w:szCs w:val="20"/>
        </w:rPr>
        <w:t>sous</w:t>
      </w:r>
      <w:r w:rsidR="00DB1635" w:rsidRPr="00B004EE">
        <w:rPr>
          <w:rFonts w:ascii="Tahoma" w:hAnsi="Tahoma" w:cs="Tahoma"/>
          <w:spacing w:val="27"/>
          <w:sz w:val="20"/>
          <w:szCs w:val="20"/>
        </w:rPr>
        <w:t xml:space="preserve"> </w:t>
      </w:r>
      <w:r w:rsidRPr="00B004EE">
        <w:rPr>
          <w:rFonts w:ascii="Tahoma" w:hAnsi="Tahoma" w:cs="Tahoma"/>
          <w:sz w:val="20"/>
          <w:szCs w:val="20"/>
        </w:rPr>
        <w:t>réserve</w:t>
      </w:r>
      <w:r w:rsidR="00DB1635" w:rsidRPr="00B004EE">
        <w:rPr>
          <w:rFonts w:ascii="Tahoma" w:hAnsi="Tahoma" w:cs="Tahoma"/>
          <w:spacing w:val="28"/>
          <w:sz w:val="20"/>
          <w:szCs w:val="20"/>
        </w:rPr>
        <w:t xml:space="preserve"> </w:t>
      </w:r>
      <w:r w:rsidRPr="00B004EE">
        <w:rPr>
          <w:rFonts w:ascii="Tahoma" w:hAnsi="Tahoma" w:cs="Tahoma"/>
          <w:sz w:val="20"/>
          <w:szCs w:val="20"/>
        </w:rPr>
        <w:t>du</w:t>
      </w:r>
      <w:r w:rsidR="00DB1635" w:rsidRPr="00B004EE">
        <w:rPr>
          <w:rFonts w:ascii="Tahoma" w:hAnsi="Tahoma" w:cs="Tahoma"/>
          <w:spacing w:val="27"/>
          <w:sz w:val="20"/>
          <w:szCs w:val="20"/>
        </w:rPr>
        <w:t xml:space="preserve"> </w:t>
      </w:r>
      <w:r w:rsidRPr="00B004EE">
        <w:rPr>
          <w:rFonts w:ascii="Tahoma" w:hAnsi="Tahoma" w:cs="Tahoma"/>
          <w:sz w:val="20"/>
          <w:szCs w:val="20"/>
        </w:rPr>
        <w:t>respect</w:t>
      </w:r>
      <w:r w:rsidR="00DB1635" w:rsidRPr="00B004EE">
        <w:rPr>
          <w:rFonts w:ascii="Tahoma" w:hAnsi="Tahoma" w:cs="Tahoma"/>
          <w:spacing w:val="28"/>
          <w:sz w:val="20"/>
          <w:szCs w:val="20"/>
        </w:rPr>
        <w:t xml:space="preserve"> </w:t>
      </w:r>
      <w:r w:rsidRPr="00B004EE">
        <w:rPr>
          <w:rFonts w:ascii="Tahoma" w:hAnsi="Tahoma" w:cs="Tahoma"/>
          <w:sz w:val="20"/>
          <w:szCs w:val="20"/>
        </w:rPr>
        <w:t>des</w:t>
      </w:r>
      <w:r w:rsidR="00DB1635" w:rsidRPr="00B004EE">
        <w:rPr>
          <w:rFonts w:ascii="Tahoma" w:hAnsi="Tahoma" w:cs="Tahoma"/>
          <w:w w:val="94"/>
          <w:sz w:val="20"/>
          <w:szCs w:val="20"/>
        </w:rPr>
        <w:t xml:space="preserve"> </w:t>
      </w:r>
      <w:r w:rsidRPr="00B004EE">
        <w:rPr>
          <w:rFonts w:ascii="Tahoma" w:hAnsi="Tahoma" w:cs="Tahoma"/>
          <w:w w:val="95"/>
          <w:sz w:val="20"/>
          <w:szCs w:val="20"/>
        </w:rPr>
        <w:t>dispositions</w:t>
      </w:r>
      <w:r w:rsidR="00DB1635" w:rsidRPr="00B004EE">
        <w:rPr>
          <w:rFonts w:ascii="Tahoma" w:hAnsi="Tahoma" w:cs="Tahoma"/>
          <w:w w:val="95"/>
          <w:sz w:val="20"/>
          <w:szCs w:val="20"/>
        </w:rPr>
        <w:t xml:space="preserve"> </w:t>
      </w:r>
      <w:r w:rsidRPr="00B004EE">
        <w:rPr>
          <w:rFonts w:ascii="Tahoma" w:hAnsi="Tahoma" w:cs="Tahoma"/>
          <w:w w:val="95"/>
          <w:sz w:val="20"/>
          <w:szCs w:val="20"/>
        </w:rPr>
        <w:t>législatives</w:t>
      </w:r>
      <w:r w:rsidR="00DB1635" w:rsidRPr="00B004EE">
        <w:rPr>
          <w:rFonts w:ascii="Tahoma" w:hAnsi="Tahoma" w:cs="Tahoma"/>
          <w:w w:val="95"/>
          <w:sz w:val="20"/>
          <w:szCs w:val="20"/>
        </w:rPr>
        <w:t xml:space="preserve"> </w:t>
      </w:r>
      <w:r w:rsidRPr="00B004EE">
        <w:rPr>
          <w:rFonts w:ascii="Tahoma" w:hAnsi="Tahoma" w:cs="Tahoma"/>
          <w:w w:val="95"/>
          <w:sz w:val="20"/>
          <w:szCs w:val="20"/>
        </w:rPr>
        <w:t>ou</w:t>
      </w:r>
      <w:r w:rsidR="00DB1635" w:rsidRPr="00B004EE">
        <w:rPr>
          <w:rFonts w:ascii="Tahoma" w:hAnsi="Tahoma" w:cs="Tahoma"/>
          <w:w w:val="95"/>
          <w:sz w:val="20"/>
          <w:szCs w:val="20"/>
        </w:rPr>
        <w:t xml:space="preserve"> </w:t>
      </w:r>
      <w:r w:rsidRPr="00B004EE">
        <w:rPr>
          <w:rFonts w:ascii="Tahoma" w:hAnsi="Tahoma" w:cs="Tahoma"/>
          <w:w w:val="95"/>
          <w:sz w:val="20"/>
          <w:szCs w:val="20"/>
        </w:rPr>
        <w:t>réglementaires</w:t>
      </w:r>
      <w:r w:rsidR="00DB1635" w:rsidRPr="00B004EE">
        <w:rPr>
          <w:rFonts w:ascii="Tahoma" w:hAnsi="Tahoma" w:cs="Tahoma"/>
          <w:spacing w:val="37"/>
          <w:w w:val="95"/>
          <w:sz w:val="20"/>
          <w:szCs w:val="20"/>
        </w:rPr>
        <w:t xml:space="preserve"> </w:t>
      </w:r>
      <w:r w:rsidRPr="00B004EE">
        <w:rPr>
          <w:rFonts w:ascii="Tahoma" w:hAnsi="Tahoma" w:cs="Tahoma"/>
          <w:w w:val="95"/>
          <w:sz w:val="20"/>
          <w:szCs w:val="20"/>
        </w:rPr>
        <w:t>applicables.</w:t>
      </w:r>
    </w:p>
    <w:p w14:paraId="7863C281" w14:textId="22A81E84" w:rsidR="001E7C3C" w:rsidRDefault="001E7C3C" w:rsidP="00B004EE">
      <w:pPr>
        <w:jc w:val="center"/>
        <w:rPr>
          <w:rFonts w:ascii="Tahoma" w:eastAsia="American Typewriter" w:hAnsi="Tahoma" w:cs="Tahoma"/>
          <w:b/>
          <w:bCs/>
          <w:sz w:val="20"/>
          <w:szCs w:val="20"/>
        </w:rPr>
      </w:pPr>
    </w:p>
    <w:p w14:paraId="26A7713E" w14:textId="462BE81B" w:rsidR="00B004EE" w:rsidRDefault="00B004EE" w:rsidP="00B004EE">
      <w:pPr>
        <w:jc w:val="center"/>
        <w:rPr>
          <w:rFonts w:ascii="Tahoma" w:eastAsia="American Typewriter" w:hAnsi="Tahoma" w:cs="Tahoma"/>
          <w:b/>
          <w:bCs/>
          <w:sz w:val="20"/>
          <w:szCs w:val="20"/>
        </w:rPr>
      </w:pPr>
    </w:p>
    <w:p w14:paraId="1D742568" w14:textId="77777777" w:rsidR="00B004EE" w:rsidRPr="00B004EE" w:rsidRDefault="00B004EE" w:rsidP="00B004EE">
      <w:pPr>
        <w:jc w:val="center"/>
        <w:rPr>
          <w:rFonts w:ascii="Tahoma" w:eastAsia="American Typewriter" w:hAnsi="Tahoma" w:cs="Tahoma"/>
          <w:b/>
          <w:bCs/>
          <w:sz w:val="20"/>
          <w:szCs w:val="20"/>
        </w:rPr>
      </w:pPr>
    </w:p>
    <w:p w14:paraId="2629B48B" w14:textId="7EF0648A" w:rsidR="001E7C3C" w:rsidRPr="00B004EE" w:rsidRDefault="001E7C3C" w:rsidP="00B004EE">
      <w:pPr>
        <w:jc w:val="center"/>
        <w:rPr>
          <w:rFonts w:ascii="Tahoma" w:eastAsia="American Typewriter" w:hAnsi="Tahoma" w:cs="Tahoma"/>
          <w:b/>
          <w:bCs/>
          <w:sz w:val="20"/>
          <w:szCs w:val="20"/>
        </w:rPr>
      </w:pPr>
      <w:bookmarkStart w:id="37" w:name="_Toc16279051"/>
      <w:bookmarkStart w:id="38" w:name="_Toc16279420"/>
      <w:r w:rsidRPr="00B004EE">
        <w:rPr>
          <w:rFonts w:ascii="Tahoma" w:eastAsia="American Typewriter" w:hAnsi="Tahoma" w:cs="Tahoma"/>
          <w:b/>
          <w:bCs/>
          <w:sz w:val="20"/>
          <w:szCs w:val="20"/>
        </w:rPr>
        <w:lastRenderedPageBreak/>
        <w:t>Section</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7</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Du</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principe</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de</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précaution</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appliqué</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à</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la</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gestion</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des</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pêcheries</w:t>
      </w:r>
      <w:bookmarkEnd w:id="37"/>
      <w:bookmarkEnd w:id="38"/>
    </w:p>
    <w:p w14:paraId="28FFFEB5" w14:textId="77777777" w:rsidR="001E7C3C" w:rsidRPr="00B004EE" w:rsidRDefault="001E7C3C" w:rsidP="00B004EE">
      <w:pPr>
        <w:jc w:val="center"/>
        <w:rPr>
          <w:rFonts w:ascii="Tahoma" w:eastAsia="American Typewriter" w:hAnsi="Tahoma" w:cs="Tahoma"/>
          <w:b/>
          <w:bCs/>
          <w:sz w:val="20"/>
          <w:szCs w:val="20"/>
        </w:rPr>
      </w:pPr>
    </w:p>
    <w:p w14:paraId="7FDB20CB" w14:textId="027308CE" w:rsidR="001E7C3C" w:rsidRPr="00B004EE" w:rsidRDefault="001E7C3C" w:rsidP="00B004EE">
      <w:pPr>
        <w:pStyle w:val="Corpsdetexte"/>
        <w:ind w:right="158"/>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9</w:t>
      </w:r>
      <w:r w:rsidR="00DB1635" w:rsidRPr="00B004EE">
        <w:rPr>
          <w:rFonts w:ascii="Tahoma" w:hAnsi="Tahoma" w:cs="Tahoma"/>
          <w:bCs/>
          <w:sz w:val="20"/>
          <w:szCs w:val="20"/>
        </w:rPr>
        <w:t xml:space="preserve"> </w:t>
      </w:r>
      <w:r w:rsidRPr="00B004EE">
        <w:rPr>
          <w:rFonts w:ascii="Tahoma" w:hAnsi="Tahoma" w:cs="Tahoma"/>
          <w:bCs/>
          <w:sz w:val="20"/>
          <w:szCs w:val="20"/>
        </w:rPr>
        <w:t>:</w:t>
      </w:r>
      <w:r w:rsidR="00DB1635" w:rsidRPr="00B004EE">
        <w:rPr>
          <w:rFonts w:ascii="Tahoma" w:eastAsia="American Typewriter" w:hAnsi="Tahoma" w:cs="Tahoma"/>
          <w:b/>
          <w:bCs/>
          <w:sz w:val="20"/>
          <w:szCs w:val="20"/>
        </w:rPr>
        <w:t xml:space="preserve"> </w:t>
      </w:r>
      <w:r w:rsidRPr="00B004EE">
        <w:rPr>
          <w:rFonts w:ascii="Tahoma" w:hAnsi="Tahoma" w:cs="Tahoma"/>
          <w:sz w:val="20"/>
          <w:szCs w:val="20"/>
        </w:rPr>
        <w:t>Conformément</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principe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précaution</w:t>
      </w:r>
      <w:r w:rsidR="00DB1635" w:rsidRPr="00B004EE">
        <w:rPr>
          <w:rFonts w:ascii="Tahoma" w:hAnsi="Tahoma" w:cs="Tahoma"/>
          <w:sz w:val="20"/>
          <w:szCs w:val="20"/>
        </w:rPr>
        <w:t xml:space="preserve"> </w:t>
      </w:r>
      <w:r w:rsidRPr="00B004EE">
        <w:rPr>
          <w:rFonts w:ascii="Tahoma" w:hAnsi="Tahoma" w:cs="Tahoma"/>
          <w:sz w:val="20"/>
          <w:szCs w:val="20"/>
        </w:rPr>
        <w:t>reconnu</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pacing w:val="46"/>
          <w:sz w:val="20"/>
          <w:szCs w:val="20"/>
        </w:rPr>
        <w:t xml:space="preserve"> </w:t>
      </w:r>
      <w:r w:rsidRPr="00B004EE">
        <w:rPr>
          <w:rFonts w:ascii="Tahoma" w:hAnsi="Tahoma" w:cs="Tahoma"/>
          <w:sz w:val="20"/>
          <w:szCs w:val="20"/>
        </w:rPr>
        <w:t>droit</w:t>
      </w:r>
      <w:r w:rsidR="00DB1635" w:rsidRPr="00B004EE">
        <w:rPr>
          <w:rFonts w:ascii="Tahoma" w:hAnsi="Tahoma" w:cs="Tahoma"/>
          <w:w w:val="97"/>
          <w:sz w:val="20"/>
          <w:szCs w:val="20"/>
        </w:rPr>
        <w:t xml:space="preserve"> </w:t>
      </w:r>
      <w:r w:rsidRPr="00B004EE">
        <w:rPr>
          <w:rFonts w:ascii="Tahoma" w:hAnsi="Tahoma" w:cs="Tahoma"/>
          <w:sz w:val="20"/>
          <w:szCs w:val="20"/>
        </w:rPr>
        <w:t>international,</w:t>
      </w:r>
      <w:r w:rsidR="00DB1635" w:rsidRPr="00B004EE">
        <w:rPr>
          <w:rFonts w:ascii="Tahoma" w:hAnsi="Tahoma" w:cs="Tahoma"/>
          <w:spacing w:val="35"/>
          <w:sz w:val="20"/>
          <w:szCs w:val="20"/>
        </w:rPr>
        <w:t xml:space="preserve"> </w:t>
      </w:r>
      <w:r w:rsidRPr="00B004EE">
        <w:rPr>
          <w:rFonts w:ascii="Tahoma" w:hAnsi="Tahoma" w:cs="Tahoma"/>
          <w:sz w:val="20"/>
          <w:szCs w:val="20"/>
        </w:rPr>
        <w:t>des</w:t>
      </w:r>
      <w:r w:rsidR="00DB1635" w:rsidRPr="00B004EE">
        <w:rPr>
          <w:rFonts w:ascii="Tahoma" w:hAnsi="Tahoma" w:cs="Tahoma"/>
          <w:spacing w:val="35"/>
          <w:sz w:val="20"/>
          <w:szCs w:val="20"/>
        </w:rPr>
        <w:t xml:space="preserve"> </w:t>
      </w:r>
      <w:r w:rsidRPr="00B004EE">
        <w:rPr>
          <w:rFonts w:ascii="Tahoma" w:hAnsi="Tahoma" w:cs="Tahoma"/>
          <w:sz w:val="20"/>
          <w:szCs w:val="20"/>
        </w:rPr>
        <w:t>mesures</w:t>
      </w:r>
      <w:r w:rsidR="00DB1635" w:rsidRPr="00B004EE">
        <w:rPr>
          <w:rFonts w:ascii="Tahoma" w:hAnsi="Tahoma" w:cs="Tahoma"/>
          <w:spacing w:val="34"/>
          <w:sz w:val="20"/>
          <w:szCs w:val="20"/>
        </w:rPr>
        <w:t xml:space="preserve"> </w:t>
      </w:r>
      <w:r w:rsidRPr="00B004EE">
        <w:rPr>
          <w:rFonts w:ascii="Tahoma" w:hAnsi="Tahoma" w:cs="Tahoma"/>
          <w:sz w:val="20"/>
          <w:szCs w:val="20"/>
        </w:rPr>
        <w:t>effectives</w:t>
      </w:r>
      <w:r w:rsidR="00DB1635" w:rsidRPr="00B004EE">
        <w:rPr>
          <w:rFonts w:ascii="Tahoma" w:hAnsi="Tahoma" w:cs="Tahoma"/>
          <w:spacing w:val="34"/>
          <w:sz w:val="20"/>
          <w:szCs w:val="20"/>
        </w:rPr>
        <w:t xml:space="preserve"> </w:t>
      </w:r>
      <w:r w:rsidRPr="00B004EE">
        <w:rPr>
          <w:rFonts w:ascii="Tahoma" w:hAnsi="Tahoma" w:cs="Tahoma"/>
          <w:sz w:val="20"/>
          <w:szCs w:val="20"/>
        </w:rPr>
        <w:t>de</w:t>
      </w:r>
      <w:r w:rsidR="00DB1635" w:rsidRPr="00B004EE">
        <w:rPr>
          <w:rFonts w:ascii="Tahoma" w:hAnsi="Tahoma" w:cs="Tahoma"/>
          <w:spacing w:val="35"/>
          <w:sz w:val="20"/>
          <w:szCs w:val="20"/>
        </w:rPr>
        <w:t xml:space="preserve"> </w:t>
      </w:r>
      <w:r w:rsidRPr="00B004EE">
        <w:rPr>
          <w:rFonts w:ascii="Tahoma" w:hAnsi="Tahoma" w:cs="Tahoma"/>
          <w:sz w:val="20"/>
          <w:szCs w:val="20"/>
        </w:rPr>
        <w:t>gestion</w:t>
      </w:r>
      <w:r w:rsidR="00DB1635" w:rsidRPr="00B004EE">
        <w:rPr>
          <w:rFonts w:ascii="Tahoma" w:hAnsi="Tahoma" w:cs="Tahoma"/>
          <w:spacing w:val="34"/>
          <w:sz w:val="20"/>
          <w:szCs w:val="20"/>
        </w:rPr>
        <w:t xml:space="preserve"> </w:t>
      </w:r>
      <w:r w:rsidRPr="00B004EE">
        <w:rPr>
          <w:rFonts w:ascii="Tahoma" w:hAnsi="Tahoma" w:cs="Tahoma"/>
          <w:sz w:val="20"/>
          <w:szCs w:val="20"/>
        </w:rPr>
        <w:t>prudente</w:t>
      </w:r>
      <w:r w:rsidR="00DB1635" w:rsidRPr="00B004EE">
        <w:rPr>
          <w:rFonts w:ascii="Tahoma" w:hAnsi="Tahoma" w:cs="Tahoma"/>
          <w:spacing w:val="35"/>
          <w:sz w:val="20"/>
          <w:szCs w:val="20"/>
        </w:rPr>
        <w:t xml:space="preserve"> </w:t>
      </w:r>
      <w:r w:rsidRPr="00B004EE">
        <w:rPr>
          <w:rFonts w:ascii="Tahoma" w:hAnsi="Tahoma" w:cs="Tahoma"/>
          <w:sz w:val="20"/>
          <w:szCs w:val="20"/>
        </w:rPr>
        <w:t>visant</w:t>
      </w:r>
      <w:r w:rsidR="00DB1635" w:rsidRPr="00B004EE">
        <w:rPr>
          <w:rFonts w:ascii="Tahoma" w:hAnsi="Tahoma" w:cs="Tahoma"/>
          <w:spacing w:val="35"/>
          <w:sz w:val="20"/>
          <w:szCs w:val="20"/>
        </w:rPr>
        <w:t xml:space="preserve"> </w:t>
      </w:r>
      <w:r w:rsidRPr="00B004EE">
        <w:rPr>
          <w:rFonts w:ascii="Tahoma" w:hAnsi="Tahoma" w:cs="Tahoma"/>
          <w:sz w:val="20"/>
          <w:szCs w:val="20"/>
        </w:rPr>
        <w:t>à</w:t>
      </w:r>
      <w:r w:rsidR="00DB1635" w:rsidRPr="00B004EE">
        <w:rPr>
          <w:rFonts w:ascii="Tahoma" w:hAnsi="Tahoma" w:cs="Tahoma"/>
          <w:spacing w:val="33"/>
          <w:sz w:val="20"/>
          <w:szCs w:val="20"/>
        </w:rPr>
        <w:t xml:space="preserve"> </w:t>
      </w:r>
      <w:r w:rsidRPr="00B004EE">
        <w:rPr>
          <w:rFonts w:ascii="Tahoma" w:hAnsi="Tahoma" w:cs="Tahoma"/>
          <w:sz w:val="20"/>
          <w:szCs w:val="20"/>
        </w:rPr>
        <w:t>prévenir</w:t>
      </w:r>
      <w:r w:rsidR="00DB1635" w:rsidRPr="00B004EE">
        <w:rPr>
          <w:rFonts w:ascii="Tahoma" w:hAnsi="Tahoma" w:cs="Tahoma"/>
          <w:spacing w:val="32"/>
          <w:sz w:val="20"/>
          <w:szCs w:val="20"/>
        </w:rPr>
        <w:t xml:space="preserve"> </w:t>
      </w:r>
      <w:r w:rsidRPr="00B004EE">
        <w:rPr>
          <w:rFonts w:ascii="Tahoma" w:hAnsi="Tahoma" w:cs="Tahoma"/>
          <w:sz w:val="20"/>
          <w:szCs w:val="20"/>
        </w:rPr>
        <w:t>la</w:t>
      </w:r>
      <w:r w:rsidR="00DB1635" w:rsidRPr="00B004EE">
        <w:rPr>
          <w:rFonts w:ascii="Tahoma" w:hAnsi="Tahoma" w:cs="Tahoma"/>
          <w:w w:val="98"/>
          <w:sz w:val="20"/>
          <w:szCs w:val="20"/>
        </w:rPr>
        <w:t xml:space="preserve"> </w:t>
      </w:r>
      <w:r w:rsidRPr="00B004EE">
        <w:rPr>
          <w:rFonts w:ascii="Tahoma" w:eastAsia="American Typewriter" w:hAnsi="Tahoma" w:cs="Tahoma"/>
          <w:sz w:val="20"/>
          <w:szCs w:val="20"/>
        </w:rPr>
        <w:t>dégradation</w:t>
      </w:r>
      <w:r w:rsidR="00DB1635" w:rsidRPr="00B004EE">
        <w:rPr>
          <w:rFonts w:ascii="Tahoma" w:eastAsia="American Typewriter" w:hAnsi="Tahoma" w:cs="Tahoma"/>
          <w:spacing w:val="-15"/>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pacing w:val="-15"/>
          <w:sz w:val="20"/>
          <w:szCs w:val="20"/>
        </w:rPr>
        <w:t xml:space="preserve"> </w:t>
      </w:r>
      <w:r w:rsidRPr="00B004EE">
        <w:rPr>
          <w:rFonts w:ascii="Tahoma" w:eastAsia="American Typewriter" w:hAnsi="Tahoma" w:cs="Tahoma"/>
          <w:sz w:val="20"/>
          <w:szCs w:val="20"/>
        </w:rPr>
        <w:t>l’environnement</w:t>
      </w:r>
      <w:r w:rsidR="00DB1635" w:rsidRPr="00B004EE">
        <w:rPr>
          <w:rFonts w:ascii="Tahoma" w:eastAsia="American Typewriter" w:hAnsi="Tahoma" w:cs="Tahoma"/>
          <w:spacing w:val="-15"/>
          <w:sz w:val="20"/>
          <w:szCs w:val="20"/>
        </w:rPr>
        <w:t xml:space="preserve"> </w:t>
      </w:r>
      <w:r w:rsidRPr="00B004EE">
        <w:rPr>
          <w:rFonts w:ascii="Tahoma" w:eastAsia="American Typewriter" w:hAnsi="Tahoma" w:cs="Tahoma"/>
          <w:sz w:val="20"/>
          <w:szCs w:val="20"/>
        </w:rPr>
        <w:t>et</w:t>
      </w:r>
      <w:r w:rsidR="00DB1635" w:rsidRPr="00B004EE">
        <w:rPr>
          <w:rFonts w:ascii="Tahoma" w:eastAsia="American Typewriter" w:hAnsi="Tahoma" w:cs="Tahoma"/>
          <w:spacing w:val="-14"/>
          <w:sz w:val="20"/>
          <w:szCs w:val="20"/>
        </w:rPr>
        <w:t xml:space="preserve"> </w:t>
      </w:r>
      <w:r w:rsidRPr="00B004EE">
        <w:rPr>
          <w:rFonts w:ascii="Tahoma" w:eastAsia="American Typewriter" w:hAnsi="Tahoma" w:cs="Tahoma"/>
          <w:sz w:val="20"/>
          <w:szCs w:val="20"/>
        </w:rPr>
        <w:t>des</w:t>
      </w:r>
      <w:r w:rsidR="00DB1635" w:rsidRPr="00B004EE">
        <w:rPr>
          <w:rFonts w:ascii="Tahoma" w:eastAsia="American Typewriter" w:hAnsi="Tahoma" w:cs="Tahoma"/>
          <w:spacing w:val="-15"/>
          <w:sz w:val="20"/>
          <w:szCs w:val="20"/>
        </w:rPr>
        <w:t xml:space="preserve"> </w:t>
      </w:r>
      <w:r w:rsidRPr="00B004EE">
        <w:rPr>
          <w:rFonts w:ascii="Tahoma" w:eastAsia="American Typewriter" w:hAnsi="Tahoma" w:cs="Tahoma"/>
          <w:sz w:val="20"/>
          <w:szCs w:val="20"/>
        </w:rPr>
        <w:t>ressources</w:t>
      </w:r>
      <w:r w:rsidR="00DB1635" w:rsidRPr="00B004EE">
        <w:rPr>
          <w:rFonts w:ascii="Tahoma" w:eastAsia="American Typewriter" w:hAnsi="Tahoma" w:cs="Tahoma"/>
          <w:spacing w:val="-17"/>
          <w:sz w:val="20"/>
          <w:szCs w:val="20"/>
        </w:rPr>
        <w:t xml:space="preserve"> </w:t>
      </w:r>
      <w:r w:rsidRPr="00B004EE">
        <w:rPr>
          <w:rFonts w:ascii="Tahoma" w:eastAsia="American Typewriter" w:hAnsi="Tahoma" w:cs="Tahoma"/>
          <w:sz w:val="20"/>
          <w:szCs w:val="20"/>
        </w:rPr>
        <w:t>sont</w:t>
      </w:r>
      <w:r w:rsidR="00DB1635" w:rsidRPr="00B004EE">
        <w:rPr>
          <w:rFonts w:ascii="Tahoma" w:eastAsia="American Typewriter" w:hAnsi="Tahoma" w:cs="Tahoma"/>
          <w:spacing w:val="-16"/>
          <w:sz w:val="20"/>
          <w:szCs w:val="20"/>
        </w:rPr>
        <w:t xml:space="preserve"> </w:t>
      </w:r>
      <w:r w:rsidRPr="00B004EE">
        <w:rPr>
          <w:rFonts w:ascii="Tahoma" w:eastAsia="American Typewriter" w:hAnsi="Tahoma" w:cs="Tahoma"/>
          <w:sz w:val="20"/>
          <w:szCs w:val="20"/>
        </w:rPr>
        <w:t>pri</w:t>
      </w:r>
      <w:r w:rsidRPr="00B004EE">
        <w:rPr>
          <w:rFonts w:ascii="Tahoma" w:hAnsi="Tahoma" w:cs="Tahoma"/>
          <w:sz w:val="20"/>
          <w:szCs w:val="20"/>
        </w:rPr>
        <w:t>ses</w:t>
      </w:r>
      <w:r w:rsidR="00DB1635" w:rsidRPr="00B004EE">
        <w:rPr>
          <w:rFonts w:ascii="Tahoma" w:hAnsi="Tahoma" w:cs="Tahoma"/>
          <w:spacing w:val="-17"/>
          <w:sz w:val="20"/>
          <w:szCs w:val="20"/>
        </w:rPr>
        <w:t xml:space="preserve"> </w:t>
      </w:r>
      <w:r w:rsidRPr="00B004EE">
        <w:rPr>
          <w:rFonts w:ascii="Tahoma" w:hAnsi="Tahoma" w:cs="Tahoma"/>
          <w:sz w:val="20"/>
          <w:szCs w:val="20"/>
        </w:rPr>
        <w:t>à</w:t>
      </w:r>
      <w:r w:rsidR="00DB1635" w:rsidRPr="00B004EE">
        <w:rPr>
          <w:rFonts w:ascii="Tahoma" w:hAnsi="Tahoma" w:cs="Tahoma"/>
          <w:spacing w:val="-16"/>
          <w:sz w:val="20"/>
          <w:szCs w:val="20"/>
        </w:rPr>
        <w:t xml:space="preserve"> </w:t>
      </w:r>
      <w:r w:rsidRPr="00B004EE">
        <w:rPr>
          <w:rFonts w:ascii="Tahoma" w:hAnsi="Tahoma" w:cs="Tahoma"/>
          <w:sz w:val="20"/>
          <w:szCs w:val="20"/>
        </w:rPr>
        <w:t>tous</w:t>
      </w:r>
      <w:r w:rsidR="00DB1635" w:rsidRPr="00B004EE">
        <w:rPr>
          <w:rFonts w:ascii="Tahoma" w:hAnsi="Tahoma" w:cs="Tahoma"/>
          <w:spacing w:val="-17"/>
          <w:sz w:val="20"/>
          <w:szCs w:val="20"/>
        </w:rPr>
        <w:t xml:space="preserve"> </w:t>
      </w:r>
      <w:r w:rsidRPr="00B004EE">
        <w:rPr>
          <w:rFonts w:ascii="Tahoma" w:hAnsi="Tahoma" w:cs="Tahoma"/>
          <w:sz w:val="20"/>
          <w:szCs w:val="20"/>
        </w:rPr>
        <w:t>les</w:t>
      </w:r>
      <w:r w:rsidR="00DB1635" w:rsidRPr="00B004EE">
        <w:rPr>
          <w:rFonts w:ascii="Tahoma" w:hAnsi="Tahoma" w:cs="Tahoma"/>
          <w:spacing w:val="-17"/>
          <w:sz w:val="20"/>
          <w:szCs w:val="20"/>
        </w:rPr>
        <w:t xml:space="preserve"> </w:t>
      </w:r>
      <w:r w:rsidRPr="00B004EE">
        <w:rPr>
          <w:rFonts w:ascii="Tahoma" w:hAnsi="Tahoma" w:cs="Tahoma"/>
          <w:sz w:val="20"/>
          <w:szCs w:val="20"/>
        </w:rPr>
        <w:t>stades</w:t>
      </w:r>
      <w:r w:rsidR="00DB1635" w:rsidRPr="00B004EE">
        <w:rPr>
          <w:rFonts w:ascii="Tahoma" w:hAnsi="Tahoma" w:cs="Tahoma"/>
          <w:spacing w:val="-17"/>
          <w:sz w:val="20"/>
          <w:szCs w:val="20"/>
        </w:rPr>
        <w:t xml:space="preserve"> </w:t>
      </w:r>
      <w:r w:rsidRPr="00B004EE">
        <w:rPr>
          <w:rFonts w:ascii="Tahoma" w:hAnsi="Tahoma" w:cs="Tahoma"/>
          <w:sz w:val="20"/>
          <w:szCs w:val="20"/>
        </w:rPr>
        <w:t>des</w:t>
      </w:r>
      <w:r w:rsidR="00DB1635" w:rsidRPr="00B004EE">
        <w:rPr>
          <w:rFonts w:ascii="Tahoma" w:hAnsi="Tahoma" w:cs="Tahoma"/>
          <w:w w:val="94"/>
          <w:sz w:val="20"/>
          <w:szCs w:val="20"/>
        </w:rPr>
        <w:t xml:space="preserve"> </w:t>
      </w:r>
      <w:r w:rsidRPr="00B004EE">
        <w:rPr>
          <w:rFonts w:ascii="Tahoma" w:hAnsi="Tahoma" w:cs="Tahoma"/>
          <w:sz w:val="20"/>
          <w:szCs w:val="20"/>
        </w:rPr>
        <w:t>processus</w:t>
      </w:r>
      <w:r w:rsidR="00DB1635" w:rsidRPr="00B004EE">
        <w:rPr>
          <w:rFonts w:ascii="Tahoma" w:hAnsi="Tahoma" w:cs="Tahoma"/>
          <w:spacing w:val="-6"/>
          <w:sz w:val="20"/>
          <w:szCs w:val="20"/>
        </w:rPr>
        <w:t xml:space="preserve"> </w:t>
      </w:r>
      <w:r w:rsidRPr="00B004EE">
        <w:rPr>
          <w:rFonts w:ascii="Tahoma" w:hAnsi="Tahoma" w:cs="Tahoma"/>
          <w:sz w:val="20"/>
          <w:szCs w:val="20"/>
        </w:rPr>
        <w:t>de</w:t>
      </w:r>
      <w:r w:rsidR="00DB1635" w:rsidRPr="00B004EE">
        <w:rPr>
          <w:rFonts w:ascii="Tahoma" w:hAnsi="Tahoma" w:cs="Tahoma"/>
          <w:spacing w:val="-5"/>
          <w:sz w:val="20"/>
          <w:szCs w:val="20"/>
        </w:rPr>
        <w:t xml:space="preserve"> </w:t>
      </w:r>
      <w:r w:rsidRPr="00B004EE">
        <w:rPr>
          <w:rFonts w:ascii="Tahoma" w:hAnsi="Tahoma" w:cs="Tahoma"/>
          <w:sz w:val="20"/>
          <w:szCs w:val="20"/>
        </w:rPr>
        <w:t>gestion</w:t>
      </w:r>
      <w:r w:rsidR="00DB1635" w:rsidRPr="00B004EE">
        <w:rPr>
          <w:rFonts w:ascii="Tahoma" w:hAnsi="Tahoma" w:cs="Tahoma"/>
          <w:spacing w:val="-5"/>
          <w:sz w:val="20"/>
          <w:szCs w:val="20"/>
        </w:rPr>
        <w:t xml:space="preserve"> </w:t>
      </w:r>
      <w:r w:rsidRPr="00B004EE">
        <w:rPr>
          <w:rFonts w:ascii="Tahoma" w:hAnsi="Tahoma" w:cs="Tahoma"/>
          <w:sz w:val="20"/>
          <w:szCs w:val="20"/>
        </w:rPr>
        <w:t>des</w:t>
      </w:r>
      <w:r w:rsidR="00DB1635" w:rsidRPr="00B004EE">
        <w:rPr>
          <w:rFonts w:ascii="Tahoma" w:hAnsi="Tahoma" w:cs="Tahoma"/>
          <w:spacing w:val="-6"/>
          <w:sz w:val="20"/>
          <w:szCs w:val="20"/>
        </w:rPr>
        <w:t xml:space="preserve"> </w:t>
      </w:r>
      <w:r w:rsidRPr="00B004EE">
        <w:rPr>
          <w:rFonts w:ascii="Tahoma" w:hAnsi="Tahoma" w:cs="Tahoma"/>
          <w:sz w:val="20"/>
          <w:szCs w:val="20"/>
        </w:rPr>
        <w:t>pêcheries,</w:t>
      </w:r>
      <w:r w:rsidR="00DB1635" w:rsidRPr="00B004EE">
        <w:rPr>
          <w:rFonts w:ascii="Tahoma" w:hAnsi="Tahoma" w:cs="Tahoma"/>
          <w:spacing w:val="-5"/>
          <w:sz w:val="20"/>
          <w:szCs w:val="20"/>
        </w:rPr>
        <w:t xml:space="preserve"> </w:t>
      </w:r>
      <w:r w:rsidRPr="00B004EE">
        <w:rPr>
          <w:rFonts w:ascii="Tahoma" w:hAnsi="Tahoma" w:cs="Tahoma"/>
          <w:sz w:val="20"/>
          <w:szCs w:val="20"/>
        </w:rPr>
        <w:t>notamment</w:t>
      </w:r>
      <w:r w:rsidR="00DB1635" w:rsidRPr="00B004EE">
        <w:rPr>
          <w:rFonts w:ascii="Tahoma" w:hAnsi="Tahoma" w:cs="Tahoma"/>
          <w:spacing w:val="-7"/>
          <w:sz w:val="20"/>
          <w:szCs w:val="20"/>
        </w:rPr>
        <w:t xml:space="preserve"> </w:t>
      </w:r>
      <w:r w:rsidRPr="00B004EE">
        <w:rPr>
          <w:rFonts w:ascii="Tahoma" w:hAnsi="Tahoma" w:cs="Tahoma"/>
          <w:sz w:val="20"/>
          <w:szCs w:val="20"/>
        </w:rPr>
        <w:t>dans</w:t>
      </w:r>
      <w:r w:rsidR="00DB1635" w:rsidRPr="00B004EE">
        <w:rPr>
          <w:rFonts w:ascii="Tahoma" w:hAnsi="Tahoma" w:cs="Tahoma"/>
          <w:spacing w:val="-7"/>
          <w:sz w:val="20"/>
          <w:szCs w:val="20"/>
        </w:rPr>
        <w:t xml:space="preserve"> </w:t>
      </w:r>
      <w:r w:rsidRPr="00B004EE">
        <w:rPr>
          <w:rFonts w:ascii="Tahoma" w:hAnsi="Tahoma" w:cs="Tahoma"/>
          <w:sz w:val="20"/>
          <w:szCs w:val="20"/>
        </w:rPr>
        <w:t>les</w:t>
      </w:r>
      <w:r w:rsidR="00DB1635" w:rsidRPr="00B004EE">
        <w:rPr>
          <w:rFonts w:ascii="Tahoma" w:hAnsi="Tahoma" w:cs="Tahoma"/>
          <w:spacing w:val="-7"/>
          <w:sz w:val="20"/>
          <w:szCs w:val="20"/>
        </w:rPr>
        <w:t xml:space="preserve"> </w:t>
      </w:r>
      <w:r w:rsidRPr="00B004EE">
        <w:rPr>
          <w:rFonts w:ascii="Tahoma" w:hAnsi="Tahoma" w:cs="Tahoma"/>
          <w:sz w:val="20"/>
          <w:szCs w:val="20"/>
        </w:rPr>
        <w:t>pêcheries</w:t>
      </w:r>
      <w:r w:rsidR="00DB1635" w:rsidRPr="00B004EE">
        <w:rPr>
          <w:rFonts w:ascii="Tahoma" w:hAnsi="Tahoma" w:cs="Tahoma"/>
          <w:spacing w:val="-7"/>
          <w:sz w:val="20"/>
          <w:szCs w:val="20"/>
        </w:rPr>
        <w:t xml:space="preserve"> </w:t>
      </w:r>
      <w:r w:rsidRPr="00B004EE">
        <w:rPr>
          <w:rFonts w:ascii="Tahoma" w:hAnsi="Tahoma" w:cs="Tahoma"/>
          <w:sz w:val="20"/>
          <w:szCs w:val="20"/>
        </w:rPr>
        <w:t>émergentes</w:t>
      </w:r>
      <w:r w:rsidR="00DB1635" w:rsidRPr="00B004EE">
        <w:rPr>
          <w:rFonts w:ascii="Tahoma" w:hAnsi="Tahoma" w:cs="Tahoma"/>
          <w:spacing w:val="-7"/>
          <w:sz w:val="20"/>
          <w:szCs w:val="20"/>
        </w:rPr>
        <w:t xml:space="preserve"> </w:t>
      </w:r>
      <w:r w:rsidRPr="00B004EE">
        <w:rPr>
          <w:rFonts w:ascii="Tahoma" w:hAnsi="Tahoma" w:cs="Tahoma"/>
          <w:sz w:val="20"/>
          <w:szCs w:val="20"/>
        </w:rPr>
        <w:t>et</w:t>
      </w:r>
      <w:r w:rsidR="00DB1635" w:rsidRPr="00B004EE">
        <w:rPr>
          <w:rFonts w:ascii="Tahoma" w:hAnsi="Tahoma" w:cs="Tahoma"/>
          <w:w w:val="95"/>
          <w:sz w:val="20"/>
          <w:szCs w:val="20"/>
        </w:rPr>
        <w:t xml:space="preserve"> </w:t>
      </w:r>
      <w:r w:rsidRPr="00B004EE">
        <w:rPr>
          <w:rFonts w:ascii="Tahoma" w:hAnsi="Tahoma" w:cs="Tahoma"/>
          <w:sz w:val="20"/>
          <w:szCs w:val="20"/>
        </w:rPr>
        <w:t>sur</w:t>
      </w:r>
      <w:r w:rsidR="00DB1635" w:rsidRPr="00B004EE">
        <w:rPr>
          <w:rFonts w:ascii="Tahoma" w:hAnsi="Tahoma" w:cs="Tahoma"/>
          <w:spacing w:val="-19"/>
          <w:sz w:val="20"/>
          <w:szCs w:val="20"/>
        </w:rPr>
        <w:t xml:space="preserve"> </w:t>
      </w:r>
      <w:r w:rsidRPr="00B004EE">
        <w:rPr>
          <w:rFonts w:ascii="Tahoma" w:hAnsi="Tahoma" w:cs="Tahoma"/>
          <w:sz w:val="20"/>
          <w:szCs w:val="20"/>
        </w:rPr>
        <w:t>les</w:t>
      </w:r>
      <w:r w:rsidR="00DB1635" w:rsidRPr="00B004EE">
        <w:rPr>
          <w:rFonts w:ascii="Tahoma" w:hAnsi="Tahoma" w:cs="Tahoma"/>
          <w:spacing w:val="-19"/>
          <w:sz w:val="20"/>
          <w:szCs w:val="20"/>
        </w:rPr>
        <w:t xml:space="preserve"> </w:t>
      </w:r>
      <w:r w:rsidRPr="00B004EE">
        <w:rPr>
          <w:rFonts w:ascii="Tahoma" w:hAnsi="Tahoma" w:cs="Tahoma"/>
          <w:sz w:val="20"/>
          <w:szCs w:val="20"/>
        </w:rPr>
        <w:t>ressources</w:t>
      </w:r>
      <w:r w:rsidR="00DB1635" w:rsidRPr="00B004EE">
        <w:rPr>
          <w:rFonts w:ascii="Tahoma" w:hAnsi="Tahoma" w:cs="Tahoma"/>
          <w:spacing w:val="-19"/>
          <w:sz w:val="20"/>
          <w:szCs w:val="20"/>
        </w:rPr>
        <w:t xml:space="preserve"> </w:t>
      </w:r>
      <w:r w:rsidRPr="00B004EE">
        <w:rPr>
          <w:rFonts w:ascii="Tahoma" w:hAnsi="Tahoma" w:cs="Tahoma"/>
          <w:sz w:val="20"/>
          <w:szCs w:val="20"/>
        </w:rPr>
        <w:t>sensibles</w:t>
      </w:r>
      <w:r w:rsidR="00DB1635" w:rsidRPr="00B004EE">
        <w:rPr>
          <w:rFonts w:ascii="Tahoma" w:hAnsi="Tahoma" w:cs="Tahoma"/>
          <w:spacing w:val="-19"/>
          <w:sz w:val="20"/>
          <w:szCs w:val="20"/>
        </w:rPr>
        <w:t xml:space="preserve"> </w:t>
      </w:r>
      <w:r w:rsidRPr="00B004EE">
        <w:rPr>
          <w:rFonts w:ascii="Tahoma" w:hAnsi="Tahoma" w:cs="Tahoma"/>
          <w:sz w:val="20"/>
          <w:szCs w:val="20"/>
        </w:rPr>
        <w:t>pour</w:t>
      </w:r>
      <w:r w:rsidR="00DB1635" w:rsidRPr="00B004EE">
        <w:rPr>
          <w:rFonts w:ascii="Tahoma" w:hAnsi="Tahoma" w:cs="Tahoma"/>
          <w:spacing w:val="-19"/>
          <w:sz w:val="20"/>
          <w:szCs w:val="20"/>
        </w:rPr>
        <w:t xml:space="preserve"> </w:t>
      </w:r>
      <w:r w:rsidRPr="00B004EE">
        <w:rPr>
          <w:rFonts w:ascii="Tahoma" w:hAnsi="Tahoma" w:cs="Tahoma"/>
          <w:sz w:val="20"/>
          <w:szCs w:val="20"/>
        </w:rPr>
        <w:t>lesquels</w:t>
      </w:r>
      <w:r w:rsidR="00DB1635" w:rsidRPr="00B004EE">
        <w:rPr>
          <w:rFonts w:ascii="Tahoma" w:hAnsi="Tahoma" w:cs="Tahoma"/>
          <w:spacing w:val="-19"/>
          <w:sz w:val="20"/>
          <w:szCs w:val="20"/>
        </w:rPr>
        <w:t xml:space="preserve"> </w:t>
      </w:r>
      <w:r w:rsidRPr="00B004EE">
        <w:rPr>
          <w:rFonts w:ascii="Tahoma" w:hAnsi="Tahoma" w:cs="Tahoma"/>
          <w:sz w:val="20"/>
          <w:szCs w:val="20"/>
        </w:rPr>
        <w:t>le</w:t>
      </w:r>
      <w:r w:rsidR="00DB1635" w:rsidRPr="00B004EE">
        <w:rPr>
          <w:rFonts w:ascii="Tahoma" w:hAnsi="Tahoma" w:cs="Tahoma"/>
          <w:spacing w:val="-19"/>
          <w:sz w:val="20"/>
          <w:szCs w:val="20"/>
        </w:rPr>
        <w:t xml:space="preserve"> </w:t>
      </w:r>
      <w:r w:rsidRPr="00B004EE">
        <w:rPr>
          <w:rFonts w:ascii="Tahoma" w:hAnsi="Tahoma" w:cs="Tahoma"/>
          <w:sz w:val="20"/>
          <w:szCs w:val="20"/>
        </w:rPr>
        <w:t>niveau</w:t>
      </w:r>
      <w:r w:rsidR="00DB1635" w:rsidRPr="00B004EE">
        <w:rPr>
          <w:rFonts w:ascii="Tahoma" w:hAnsi="Tahoma" w:cs="Tahoma"/>
          <w:spacing w:val="-19"/>
          <w:sz w:val="20"/>
          <w:szCs w:val="20"/>
        </w:rPr>
        <w:t xml:space="preserve"> </w:t>
      </w:r>
      <w:r w:rsidRPr="00B004EE">
        <w:rPr>
          <w:rFonts w:ascii="Tahoma" w:hAnsi="Tahoma" w:cs="Tahoma"/>
          <w:sz w:val="20"/>
          <w:szCs w:val="20"/>
        </w:rPr>
        <w:t>de</w:t>
      </w:r>
      <w:r w:rsidR="00DB1635" w:rsidRPr="00B004EE">
        <w:rPr>
          <w:rFonts w:ascii="Tahoma" w:hAnsi="Tahoma" w:cs="Tahoma"/>
          <w:spacing w:val="-19"/>
          <w:sz w:val="20"/>
          <w:szCs w:val="20"/>
        </w:rPr>
        <w:t xml:space="preserve"> </w:t>
      </w:r>
      <w:r w:rsidRPr="00B004EE">
        <w:rPr>
          <w:rFonts w:ascii="Tahoma" w:hAnsi="Tahoma" w:cs="Tahoma"/>
          <w:sz w:val="20"/>
          <w:szCs w:val="20"/>
        </w:rPr>
        <w:t>connaissances</w:t>
      </w:r>
      <w:r w:rsidR="00DB1635" w:rsidRPr="00B004EE">
        <w:rPr>
          <w:rFonts w:ascii="Tahoma" w:hAnsi="Tahoma" w:cs="Tahoma"/>
          <w:spacing w:val="-20"/>
          <w:sz w:val="20"/>
          <w:szCs w:val="20"/>
        </w:rPr>
        <w:t xml:space="preserve"> </w:t>
      </w:r>
      <w:r w:rsidRPr="00B004EE">
        <w:rPr>
          <w:rFonts w:ascii="Tahoma" w:hAnsi="Tahoma" w:cs="Tahoma"/>
          <w:sz w:val="20"/>
          <w:szCs w:val="20"/>
        </w:rPr>
        <w:t>scientifiques</w:t>
      </w:r>
      <w:r w:rsidR="00DB1635" w:rsidRPr="00B004EE">
        <w:rPr>
          <w:rFonts w:ascii="Tahoma" w:hAnsi="Tahoma" w:cs="Tahoma"/>
          <w:w w:val="96"/>
          <w:sz w:val="20"/>
          <w:szCs w:val="20"/>
        </w:rPr>
        <w:t xml:space="preserve"> </w:t>
      </w:r>
      <w:r w:rsidRPr="00B004EE">
        <w:rPr>
          <w:rFonts w:ascii="Tahoma" w:hAnsi="Tahoma" w:cs="Tahoma"/>
          <w:sz w:val="20"/>
          <w:szCs w:val="20"/>
        </w:rPr>
        <w:t>et</w:t>
      </w:r>
      <w:r w:rsidR="00DB1635" w:rsidRPr="00B004EE">
        <w:rPr>
          <w:rFonts w:ascii="Tahoma" w:hAnsi="Tahoma" w:cs="Tahoma"/>
          <w:spacing w:val="-26"/>
          <w:sz w:val="20"/>
          <w:szCs w:val="20"/>
        </w:rPr>
        <w:t xml:space="preserve"> </w:t>
      </w:r>
      <w:r w:rsidRPr="00B004EE">
        <w:rPr>
          <w:rFonts w:ascii="Tahoma" w:hAnsi="Tahoma" w:cs="Tahoma"/>
          <w:sz w:val="20"/>
          <w:szCs w:val="20"/>
        </w:rPr>
        <w:t>techniques</w:t>
      </w:r>
      <w:r w:rsidR="00DB1635" w:rsidRPr="00B004EE">
        <w:rPr>
          <w:rFonts w:ascii="Tahoma" w:hAnsi="Tahoma" w:cs="Tahoma"/>
          <w:spacing w:val="-27"/>
          <w:sz w:val="20"/>
          <w:szCs w:val="20"/>
        </w:rPr>
        <w:t xml:space="preserve"> </w:t>
      </w:r>
      <w:r w:rsidRPr="00B004EE">
        <w:rPr>
          <w:rFonts w:ascii="Tahoma" w:hAnsi="Tahoma" w:cs="Tahoma"/>
          <w:sz w:val="20"/>
          <w:szCs w:val="20"/>
        </w:rPr>
        <w:t>est</w:t>
      </w:r>
      <w:r w:rsidR="00DB1635" w:rsidRPr="00B004EE">
        <w:rPr>
          <w:rFonts w:ascii="Tahoma" w:hAnsi="Tahoma" w:cs="Tahoma"/>
          <w:spacing w:val="-26"/>
          <w:sz w:val="20"/>
          <w:szCs w:val="20"/>
        </w:rPr>
        <w:t xml:space="preserve"> </w:t>
      </w:r>
      <w:r w:rsidRPr="00B004EE">
        <w:rPr>
          <w:rFonts w:ascii="Tahoma" w:hAnsi="Tahoma" w:cs="Tahoma"/>
          <w:sz w:val="20"/>
          <w:szCs w:val="20"/>
        </w:rPr>
        <w:t>faible</w:t>
      </w:r>
      <w:r w:rsidR="00DB1635" w:rsidRPr="00B004EE">
        <w:rPr>
          <w:rFonts w:ascii="Tahoma" w:hAnsi="Tahoma" w:cs="Tahoma"/>
          <w:spacing w:val="-26"/>
          <w:sz w:val="20"/>
          <w:szCs w:val="20"/>
        </w:rPr>
        <w:t xml:space="preserve"> </w:t>
      </w:r>
      <w:r w:rsidRPr="00B004EE">
        <w:rPr>
          <w:rFonts w:ascii="Tahoma" w:hAnsi="Tahoma" w:cs="Tahoma"/>
          <w:sz w:val="20"/>
          <w:szCs w:val="20"/>
        </w:rPr>
        <w:t>ou</w:t>
      </w:r>
      <w:r w:rsidR="00DB1635" w:rsidRPr="00B004EE">
        <w:rPr>
          <w:rFonts w:ascii="Tahoma" w:hAnsi="Tahoma" w:cs="Tahoma"/>
          <w:spacing w:val="-25"/>
          <w:sz w:val="20"/>
          <w:szCs w:val="20"/>
        </w:rPr>
        <w:t xml:space="preserve"> </w:t>
      </w:r>
      <w:r w:rsidRPr="00B004EE">
        <w:rPr>
          <w:rFonts w:ascii="Tahoma" w:hAnsi="Tahoma" w:cs="Tahoma"/>
          <w:sz w:val="20"/>
          <w:szCs w:val="20"/>
        </w:rPr>
        <w:t>inexistant.</w:t>
      </w:r>
    </w:p>
    <w:p w14:paraId="777CDA92" w14:textId="77777777" w:rsidR="00337E3A" w:rsidRPr="00B004EE" w:rsidRDefault="00337E3A" w:rsidP="00B004EE">
      <w:pPr>
        <w:jc w:val="center"/>
        <w:rPr>
          <w:rFonts w:ascii="Tahoma" w:eastAsia="American Typewriter" w:hAnsi="Tahoma" w:cs="Tahoma"/>
          <w:b/>
          <w:bCs/>
          <w:sz w:val="20"/>
          <w:szCs w:val="20"/>
        </w:rPr>
      </w:pPr>
    </w:p>
    <w:p w14:paraId="5DEA561A" w14:textId="6E0DCF21" w:rsidR="001E7C3C" w:rsidRPr="00B004EE" w:rsidRDefault="001E7C3C" w:rsidP="00B004EE">
      <w:pPr>
        <w:jc w:val="center"/>
        <w:rPr>
          <w:rFonts w:ascii="Tahoma" w:eastAsia="American Typewriter" w:hAnsi="Tahoma" w:cs="Tahoma"/>
          <w:b/>
          <w:bCs/>
          <w:sz w:val="20"/>
          <w:szCs w:val="20"/>
        </w:rPr>
      </w:pPr>
      <w:bookmarkStart w:id="39" w:name="_Toc16279052"/>
      <w:bookmarkStart w:id="40" w:name="_Toc16279421"/>
      <w:r w:rsidRPr="00B004EE">
        <w:rPr>
          <w:rFonts w:ascii="Tahoma" w:eastAsia="American Typewriter" w:hAnsi="Tahoma" w:cs="Tahoma"/>
          <w:b/>
          <w:bCs/>
          <w:sz w:val="20"/>
          <w:szCs w:val="20"/>
        </w:rPr>
        <w:t>Section</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8</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Du</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mécanisme</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de</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gestion</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adaptative</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des</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pêcheries</w:t>
      </w:r>
      <w:bookmarkEnd w:id="39"/>
      <w:bookmarkEnd w:id="40"/>
    </w:p>
    <w:p w14:paraId="01F6072E" w14:textId="77777777" w:rsidR="001E7C3C" w:rsidRPr="00B004EE" w:rsidRDefault="001E7C3C" w:rsidP="00B004EE">
      <w:pPr>
        <w:jc w:val="center"/>
        <w:rPr>
          <w:rFonts w:ascii="Tahoma" w:eastAsia="American Typewriter" w:hAnsi="Tahoma" w:cs="Tahoma"/>
          <w:b/>
          <w:bCs/>
          <w:sz w:val="20"/>
          <w:szCs w:val="20"/>
        </w:rPr>
      </w:pPr>
    </w:p>
    <w:p w14:paraId="567E1A1F" w14:textId="4262AC02" w:rsidR="001E7C3C" w:rsidRPr="00B004EE" w:rsidRDefault="001E7C3C" w:rsidP="00B004EE">
      <w:pPr>
        <w:pStyle w:val="Corpsdetexte"/>
        <w:ind w:right="158"/>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10</w:t>
      </w:r>
      <w:r w:rsidR="00DB1635" w:rsidRPr="00B004EE">
        <w:rPr>
          <w:rFonts w:ascii="Tahoma" w:hAnsi="Tahoma" w:cs="Tahoma"/>
          <w:bCs/>
          <w:sz w:val="20"/>
          <w:szCs w:val="20"/>
        </w:rPr>
        <w:t xml:space="preserve"> </w:t>
      </w:r>
      <w:r w:rsidRPr="00B004EE">
        <w:rPr>
          <w:rFonts w:ascii="Tahoma" w:hAnsi="Tahoma" w:cs="Tahoma"/>
          <w:bCs/>
          <w:sz w:val="20"/>
          <w:szCs w:val="20"/>
        </w:rPr>
        <w:t>:</w:t>
      </w:r>
      <w:r w:rsidR="00DB1635" w:rsidRPr="00B004EE">
        <w:rPr>
          <w:rFonts w:ascii="Tahoma" w:eastAsia="American Typewriter" w:hAnsi="Tahoma" w:cs="Tahoma"/>
          <w:b/>
          <w:bCs/>
          <w:spacing w:val="-15"/>
          <w:sz w:val="20"/>
          <w:szCs w:val="20"/>
        </w:rPr>
        <w:t xml:space="preserve"> </w:t>
      </w:r>
      <w:r w:rsidRPr="00B004EE">
        <w:rPr>
          <w:rFonts w:ascii="Tahoma" w:hAnsi="Tahoma" w:cs="Tahoma"/>
          <w:sz w:val="20"/>
          <w:szCs w:val="20"/>
        </w:rPr>
        <w:t>Les</w:t>
      </w:r>
      <w:r w:rsidR="00DB1635" w:rsidRPr="00B004EE">
        <w:rPr>
          <w:rFonts w:ascii="Tahoma" w:hAnsi="Tahoma" w:cs="Tahoma"/>
          <w:spacing w:val="-18"/>
          <w:sz w:val="20"/>
          <w:szCs w:val="20"/>
        </w:rPr>
        <w:t xml:space="preserve"> </w:t>
      </w:r>
      <w:r w:rsidRPr="00B004EE">
        <w:rPr>
          <w:rFonts w:ascii="Tahoma" w:hAnsi="Tahoma" w:cs="Tahoma"/>
          <w:sz w:val="20"/>
          <w:szCs w:val="20"/>
        </w:rPr>
        <w:t>mécanismes</w:t>
      </w:r>
      <w:r w:rsidR="00DB1635" w:rsidRPr="00B004EE">
        <w:rPr>
          <w:rFonts w:ascii="Tahoma" w:hAnsi="Tahoma" w:cs="Tahoma"/>
          <w:spacing w:val="-18"/>
          <w:sz w:val="20"/>
          <w:szCs w:val="20"/>
        </w:rPr>
        <w:t xml:space="preserve"> </w:t>
      </w:r>
      <w:r w:rsidRPr="00B004EE">
        <w:rPr>
          <w:rFonts w:ascii="Tahoma" w:hAnsi="Tahoma" w:cs="Tahoma"/>
          <w:sz w:val="20"/>
          <w:szCs w:val="20"/>
        </w:rPr>
        <w:t>de</w:t>
      </w:r>
      <w:r w:rsidR="00DB1635" w:rsidRPr="00B004EE">
        <w:rPr>
          <w:rFonts w:ascii="Tahoma" w:hAnsi="Tahoma" w:cs="Tahoma"/>
          <w:spacing w:val="-17"/>
          <w:sz w:val="20"/>
          <w:szCs w:val="20"/>
        </w:rPr>
        <w:t xml:space="preserve"> </w:t>
      </w:r>
      <w:r w:rsidRPr="00B004EE">
        <w:rPr>
          <w:rFonts w:ascii="Tahoma" w:hAnsi="Tahoma" w:cs="Tahoma"/>
          <w:sz w:val="20"/>
          <w:szCs w:val="20"/>
        </w:rPr>
        <w:t>gestion</w:t>
      </w:r>
      <w:r w:rsidR="00DB1635" w:rsidRPr="00B004EE">
        <w:rPr>
          <w:rFonts w:ascii="Tahoma" w:hAnsi="Tahoma" w:cs="Tahoma"/>
          <w:spacing w:val="-17"/>
          <w:sz w:val="20"/>
          <w:szCs w:val="20"/>
        </w:rPr>
        <w:t xml:space="preserve"> </w:t>
      </w:r>
      <w:r w:rsidRPr="00B004EE">
        <w:rPr>
          <w:rFonts w:ascii="Tahoma" w:hAnsi="Tahoma" w:cs="Tahoma"/>
          <w:sz w:val="20"/>
          <w:szCs w:val="20"/>
        </w:rPr>
        <w:t>de</w:t>
      </w:r>
      <w:r w:rsidR="00DB1635" w:rsidRPr="00B004EE">
        <w:rPr>
          <w:rFonts w:ascii="Tahoma" w:hAnsi="Tahoma" w:cs="Tahoma"/>
          <w:spacing w:val="-18"/>
          <w:sz w:val="20"/>
          <w:szCs w:val="20"/>
        </w:rPr>
        <w:t xml:space="preserve"> </w:t>
      </w:r>
      <w:r w:rsidRPr="00B004EE">
        <w:rPr>
          <w:rFonts w:ascii="Tahoma" w:hAnsi="Tahoma" w:cs="Tahoma"/>
          <w:sz w:val="20"/>
          <w:szCs w:val="20"/>
        </w:rPr>
        <w:t>pêcheries</w:t>
      </w:r>
      <w:r w:rsidR="00DB1635" w:rsidRPr="00B004EE">
        <w:rPr>
          <w:rFonts w:ascii="Tahoma" w:hAnsi="Tahoma" w:cs="Tahoma"/>
          <w:spacing w:val="-17"/>
          <w:sz w:val="20"/>
          <w:szCs w:val="20"/>
        </w:rPr>
        <w:t xml:space="preserve"> </w:t>
      </w:r>
      <w:r w:rsidRPr="00B004EE">
        <w:rPr>
          <w:rFonts w:ascii="Tahoma" w:hAnsi="Tahoma" w:cs="Tahoma"/>
          <w:sz w:val="20"/>
          <w:szCs w:val="20"/>
        </w:rPr>
        <w:t>seront</w:t>
      </w:r>
      <w:r w:rsidR="00DB1635" w:rsidRPr="00B004EE">
        <w:rPr>
          <w:rFonts w:ascii="Tahoma" w:hAnsi="Tahoma" w:cs="Tahoma"/>
          <w:spacing w:val="-19"/>
          <w:sz w:val="20"/>
          <w:szCs w:val="20"/>
        </w:rPr>
        <w:t xml:space="preserve"> </w:t>
      </w:r>
      <w:r w:rsidRPr="00B004EE">
        <w:rPr>
          <w:rFonts w:ascii="Tahoma" w:hAnsi="Tahoma" w:cs="Tahoma"/>
          <w:sz w:val="20"/>
          <w:szCs w:val="20"/>
        </w:rPr>
        <w:t>adaptés,</w:t>
      </w:r>
      <w:r w:rsidR="00DB1635" w:rsidRPr="00B004EE">
        <w:rPr>
          <w:rFonts w:ascii="Tahoma" w:hAnsi="Tahoma" w:cs="Tahoma"/>
          <w:spacing w:val="-19"/>
          <w:sz w:val="20"/>
          <w:szCs w:val="20"/>
        </w:rPr>
        <w:t xml:space="preserve"> </w:t>
      </w:r>
      <w:r w:rsidRPr="00B004EE">
        <w:rPr>
          <w:rFonts w:ascii="Tahoma" w:hAnsi="Tahoma" w:cs="Tahoma"/>
          <w:sz w:val="20"/>
          <w:szCs w:val="20"/>
        </w:rPr>
        <w:t>notamment</w:t>
      </w:r>
      <w:r w:rsidR="00DB1635" w:rsidRPr="00B004EE">
        <w:rPr>
          <w:rFonts w:ascii="Tahoma" w:hAnsi="Tahoma" w:cs="Tahoma"/>
          <w:spacing w:val="-19"/>
          <w:sz w:val="20"/>
          <w:szCs w:val="20"/>
        </w:rPr>
        <w:t xml:space="preserve"> </w:t>
      </w:r>
      <w:r w:rsidRPr="00B004EE">
        <w:rPr>
          <w:rFonts w:ascii="Tahoma" w:hAnsi="Tahoma" w:cs="Tahoma"/>
          <w:sz w:val="20"/>
          <w:szCs w:val="20"/>
        </w:rPr>
        <w:t>à</w:t>
      </w:r>
      <w:r w:rsidR="00DB1635" w:rsidRPr="00B004EE">
        <w:rPr>
          <w:rFonts w:ascii="Tahoma" w:hAnsi="Tahoma" w:cs="Tahoma"/>
          <w:w w:val="98"/>
          <w:sz w:val="20"/>
          <w:szCs w:val="20"/>
        </w:rPr>
        <w:t xml:space="preserve"> </w:t>
      </w:r>
      <w:r w:rsidRPr="00B004EE">
        <w:rPr>
          <w:rFonts w:ascii="Tahoma" w:eastAsia="American Typewriter" w:hAnsi="Tahoma" w:cs="Tahoma"/>
          <w:sz w:val="20"/>
          <w:szCs w:val="20"/>
        </w:rPr>
        <w:t>la</w:t>
      </w:r>
      <w:r w:rsidR="00DB1635" w:rsidRPr="00B004EE">
        <w:rPr>
          <w:rFonts w:ascii="Tahoma" w:eastAsia="American Typewriter" w:hAnsi="Tahoma" w:cs="Tahoma"/>
          <w:spacing w:val="-22"/>
          <w:sz w:val="20"/>
          <w:szCs w:val="20"/>
        </w:rPr>
        <w:t xml:space="preserve"> </w:t>
      </w:r>
      <w:r w:rsidRPr="00B004EE">
        <w:rPr>
          <w:rFonts w:ascii="Tahoma" w:eastAsia="American Typewriter" w:hAnsi="Tahoma" w:cs="Tahoma"/>
          <w:sz w:val="20"/>
          <w:szCs w:val="20"/>
        </w:rPr>
        <w:t>lumière</w:t>
      </w:r>
      <w:r w:rsidR="00DB1635" w:rsidRPr="00B004EE">
        <w:rPr>
          <w:rFonts w:ascii="Tahoma" w:eastAsia="American Typewriter" w:hAnsi="Tahoma" w:cs="Tahoma"/>
          <w:spacing w:val="-22"/>
          <w:sz w:val="20"/>
          <w:szCs w:val="20"/>
        </w:rPr>
        <w:t xml:space="preserve"> </w:t>
      </w:r>
      <w:r w:rsidRPr="00B004EE">
        <w:rPr>
          <w:rFonts w:ascii="Tahoma" w:eastAsia="American Typewriter" w:hAnsi="Tahoma" w:cs="Tahoma"/>
          <w:sz w:val="20"/>
          <w:szCs w:val="20"/>
        </w:rPr>
        <w:t>des</w:t>
      </w:r>
      <w:r w:rsidR="00DB1635" w:rsidRPr="00B004EE">
        <w:rPr>
          <w:rFonts w:ascii="Tahoma" w:eastAsia="American Typewriter" w:hAnsi="Tahoma" w:cs="Tahoma"/>
          <w:spacing w:val="-22"/>
          <w:sz w:val="20"/>
          <w:szCs w:val="20"/>
        </w:rPr>
        <w:t xml:space="preserve"> </w:t>
      </w:r>
      <w:r w:rsidRPr="00B004EE">
        <w:rPr>
          <w:rFonts w:ascii="Tahoma" w:eastAsia="American Typewriter" w:hAnsi="Tahoma" w:cs="Tahoma"/>
          <w:sz w:val="20"/>
          <w:szCs w:val="20"/>
        </w:rPr>
        <w:t>nouvelles</w:t>
      </w:r>
      <w:r w:rsidR="00DB1635" w:rsidRPr="00B004EE">
        <w:rPr>
          <w:rFonts w:ascii="Tahoma" w:eastAsia="American Typewriter" w:hAnsi="Tahoma" w:cs="Tahoma"/>
          <w:spacing w:val="-22"/>
          <w:sz w:val="20"/>
          <w:szCs w:val="20"/>
        </w:rPr>
        <w:t xml:space="preserve"> </w:t>
      </w:r>
      <w:r w:rsidRPr="00B004EE">
        <w:rPr>
          <w:rFonts w:ascii="Tahoma" w:eastAsia="American Typewriter" w:hAnsi="Tahoma" w:cs="Tahoma"/>
          <w:sz w:val="20"/>
          <w:szCs w:val="20"/>
        </w:rPr>
        <w:t>connaissances</w:t>
      </w:r>
      <w:r w:rsidR="00DB1635" w:rsidRPr="00B004EE">
        <w:rPr>
          <w:rFonts w:ascii="Tahoma" w:eastAsia="American Typewriter" w:hAnsi="Tahoma" w:cs="Tahoma"/>
          <w:spacing w:val="-22"/>
          <w:sz w:val="20"/>
          <w:szCs w:val="20"/>
        </w:rPr>
        <w:t xml:space="preserve"> </w:t>
      </w:r>
      <w:r w:rsidRPr="00B004EE">
        <w:rPr>
          <w:rFonts w:ascii="Tahoma" w:eastAsia="American Typewriter" w:hAnsi="Tahoma" w:cs="Tahoma"/>
          <w:sz w:val="20"/>
          <w:szCs w:val="20"/>
        </w:rPr>
        <w:t>disponibles</w:t>
      </w:r>
      <w:r w:rsidR="00DB1635" w:rsidRPr="00B004EE">
        <w:rPr>
          <w:rFonts w:ascii="Tahoma" w:eastAsia="American Typewriter" w:hAnsi="Tahoma" w:cs="Tahoma"/>
          <w:spacing w:val="-22"/>
          <w:sz w:val="20"/>
          <w:szCs w:val="20"/>
        </w:rPr>
        <w:t xml:space="preserve"> </w:t>
      </w:r>
      <w:r w:rsidRPr="00B004EE">
        <w:rPr>
          <w:rFonts w:ascii="Tahoma" w:eastAsia="American Typewriter" w:hAnsi="Tahoma" w:cs="Tahoma"/>
          <w:sz w:val="20"/>
          <w:szCs w:val="20"/>
        </w:rPr>
        <w:t>pour</w:t>
      </w:r>
      <w:r w:rsidR="00DB1635" w:rsidRPr="00B004EE">
        <w:rPr>
          <w:rFonts w:ascii="Tahoma" w:eastAsia="American Typewriter" w:hAnsi="Tahoma" w:cs="Tahoma"/>
          <w:spacing w:val="-23"/>
          <w:sz w:val="20"/>
          <w:szCs w:val="20"/>
        </w:rPr>
        <w:t xml:space="preserve"> </w:t>
      </w:r>
      <w:r w:rsidRPr="00B004EE">
        <w:rPr>
          <w:rFonts w:ascii="Tahoma" w:eastAsia="American Typewriter" w:hAnsi="Tahoma" w:cs="Tahoma"/>
          <w:sz w:val="20"/>
          <w:szCs w:val="20"/>
        </w:rPr>
        <w:t>l’atteinte</w:t>
      </w:r>
      <w:r w:rsidR="00DB1635" w:rsidRPr="00B004EE">
        <w:rPr>
          <w:rFonts w:ascii="Tahoma" w:eastAsia="American Typewriter" w:hAnsi="Tahoma" w:cs="Tahoma"/>
          <w:spacing w:val="-22"/>
          <w:sz w:val="20"/>
          <w:szCs w:val="20"/>
        </w:rPr>
        <w:t xml:space="preserve"> </w:t>
      </w:r>
      <w:r w:rsidRPr="00B004EE">
        <w:rPr>
          <w:rFonts w:ascii="Tahoma" w:eastAsia="American Typewriter" w:hAnsi="Tahoma" w:cs="Tahoma"/>
          <w:sz w:val="20"/>
          <w:szCs w:val="20"/>
        </w:rPr>
        <w:t>des</w:t>
      </w:r>
      <w:r w:rsidR="00DB1635" w:rsidRPr="00B004EE">
        <w:rPr>
          <w:rFonts w:ascii="Tahoma" w:eastAsia="American Typewriter" w:hAnsi="Tahoma" w:cs="Tahoma"/>
          <w:spacing w:val="-24"/>
          <w:sz w:val="20"/>
          <w:szCs w:val="20"/>
        </w:rPr>
        <w:t xml:space="preserve"> </w:t>
      </w:r>
      <w:r w:rsidRPr="00B004EE">
        <w:rPr>
          <w:rFonts w:ascii="Tahoma" w:eastAsia="American Typewriter" w:hAnsi="Tahoma" w:cs="Tahoma"/>
          <w:sz w:val="20"/>
          <w:szCs w:val="20"/>
        </w:rPr>
        <w:t>objectifs</w:t>
      </w:r>
      <w:r w:rsidR="00DB1635" w:rsidRPr="00B004EE">
        <w:rPr>
          <w:rFonts w:ascii="Tahoma" w:eastAsia="American Typewriter" w:hAnsi="Tahoma" w:cs="Tahoma"/>
          <w:spacing w:val="-24"/>
          <w:sz w:val="20"/>
          <w:szCs w:val="20"/>
        </w:rPr>
        <w:t xml:space="preserve"> </w:t>
      </w:r>
      <w:r w:rsidRPr="00B004EE">
        <w:rPr>
          <w:rFonts w:ascii="Tahoma" w:eastAsia="American Typewriter" w:hAnsi="Tahoma" w:cs="Tahoma"/>
          <w:sz w:val="20"/>
          <w:szCs w:val="20"/>
        </w:rPr>
        <w:t>des</w:t>
      </w:r>
      <w:r w:rsidR="00DB1635" w:rsidRPr="00B004EE">
        <w:rPr>
          <w:rFonts w:ascii="Tahoma" w:eastAsia="American Typewriter" w:hAnsi="Tahoma" w:cs="Tahoma"/>
          <w:w w:val="94"/>
          <w:sz w:val="20"/>
          <w:szCs w:val="20"/>
        </w:rPr>
        <w:t xml:space="preserve"> </w:t>
      </w:r>
      <w:r w:rsidRPr="00B004EE">
        <w:rPr>
          <w:rFonts w:ascii="Tahoma" w:hAnsi="Tahoma" w:cs="Tahoma"/>
          <w:sz w:val="20"/>
          <w:szCs w:val="20"/>
        </w:rPr>
        <w:t>politiques</w:t>
      </w:r>
      <w:r w:rsidR="00DB1635" w:rsidRPr="00B004EE">
        <w:rPr>
          <w:rFonts w:ascii="Tahoma" w:hAnsi="Tahoma" w:cs="Tahoma"/>
          <w:spacing w:val="-10"/>
          <w:sz w:val="20"/>
          <w:szCs w:val="20"/>
        </w:rPr>
        <w:t xml:space="preserve"> </w:t>
      </w:r>
      <w:r w:rsidRPr="00B004EE">
        <w:rPr>
          <w:rFonts w:ascii="Tahoma" w:hAnsi="Tahoma" w:cs="Tahoma"/>
          <w:sz w:val="20"/>
          <w:szCs w:val="20"/>
        </w:rPr>
        <w:t>publiques</w:t>
      </w:r>
      <w:r w:rsidR="00DB1635" w:rsidRPr="00B004EE">
        <w:rPr>
          <w:rFonts w:ascii="Tahoma" w:hAnsi="Tahoma" w:cs="Tahoma"/>
          <w:spacing w:val="-10"/>
          <w:sz w:val="20"/>
          <w:szCs w:val="20"/>
        </w:rPr>
        <w:t xml:space="preserve"> </w:t>
      </w:r>
      <w:r w:rsidRPr="00B004EE">
        <w:rPr>
          <w:rFonts w:ascii="Tahoma" w:hAnsi="Tahoma" w:cs="Tahoma"/>
          <w:sz w:val="20"/>
          <w:szCs w:val="20"/>
        </w:rPr>
        <w:t>de</w:t>
      </w:r>
      <w:r w:rsidR="00DB1635" w:rsidRPr="00B004EE">
        <w:rPr>
          <w:rFonts w:ascii="Tahoma" w:hAnsi="Tahoma" w:cs="Tahoma"/>
          <w:spacing w:val="-9"/>
          <w:sz w:val="20"/>
          <w:szCs w:val="20"/>
        </w:rPr>
        <w:t xml:space="preserve"> </w:t>
      </w:r>
      <w:r w:rsidRPr="00B004EE">
        <w:rPr>
          <w:rFonts w:ascii="Tahoma" w:hAnsi="Tahoma" w:cs="Tahoma"/>
          <w:sz w:val="20"/>
          <w:szCs w:val="20"/>
        </w:rPr>
        <w:t>gestion</w:t>
      </w:r>
      <w:r w:rsidR="00DB1635" w:rsidRPr="00B004EE">
        <w:rPr>
          <w:rFonts w:ascii="Tahoma" w:hAnsi="Tahoma" w:cs="Tahoma"/>
          <w:spacing w:val="-9"/>
          <w:sz w:val="20"/>
          <w:szCs w:val="20"/>
        </w:rPr>
        <w:t xml:space="preserve"> </w:t>
      </w:r>
      <w:r w:rsidRPr="00B004EE">
        <w:rPr>
          <w:rFonts w:ascii="Tahoma" w:hAnsi="Tahoma" w:cs="Tahoma"/>
          <w:sz w:val="20"/>
          <w:szCs w:val="20"/>
        </w:rPr>
        <w:t>des</w:t>
      </w:r>
      <w:r w:rsidR="00DB1635" w:rsidRPr="00B004EE">
        <w:rPr>
          <w:rFonts w:ascii="Tahoma" w:hAnsi="Tahoma" w:cs="Tahoma"/>
          <w:spacing w:val="-11"/>
          <w:sz w:val="20"/>
          <w:szCs w:val="20"/>
        </w:rPr>
        <w:t xml:space="preserve"> </w:t>
      </w:r>
      <w:r w:rsidRPr="00B004EE">
        <w:rPr>
          <w:rFonts w:ascii="Tahoma" w:hAnsi="Tahoma" w:cs="Tahoma"/>
          <w:sz w:val="20"/>
          <w:szCs w:val="20"/>
        </w:rPr>
        <w:t>ressources</w:t>
      </w:r>
      <w:r w:rsidR="00DB1635" w:rsidRPr="00B004EE">
        <w:rPr>
          <w:rFonts w:ascii="Tahoma" w:hAnsi="Tahoma" w:cs="Tahoma"/>
          <w:spacing w:val="-11"/>
          <w:sz w:val="20"/>
          <w:szCs w:val="20"/>
        </w:rPr>
        <w:t xml:space="preserve"> </w:t>
      </w:r>
      <w:r w:rsidRPr="00B004EE">
        <w:rPr>
          <w:rFonts w:ascii="Tahoma" w:hAnsi="Tahoma" w:cs="Tahoma"/>
          <w:sz w:val="20"/>
          <w:szCs w:val="20"/>
        </w:rPr>
        <w:t>halieutiques</w:t>
      </w:r>
      <w:r w:rsidR="00DB1635" w:rsidRPr="00B004EE">
        <w:rPr>
          <w:rFonts w:ascii="Tahoma" w:hAnsi="Tahoma" w:cs="Tahoma"/>
          <w:spacing w:val="-11"/>
          <w:sz w:val="20"/>
          <w:szCs w:val="20"/>
        </w:rPr>
        <w:t xml:space="preserve"> </w:t>
      </w:r>
      <w:r w:rsidRPr="00B004EE">
        <w:rPr>
          <w:rFonts w:ascii="Tahoma" w:eastAsia="American Typewriter" w:hAnsi="Tahoma" w:cs="Tahoma"/>
          <w:sz w:val="20"/>
          <w:szCs w:val="20"/>
        </w:rPr>
        <w:t>et</w:t>
      </w:r>
      <w:r w:rsidR="00DB1635" w:rsidRPr="00B004EE">
        <w:rPr>
          <w:rFonts w:ascii="Tahoma" w:eastAsia="American Typewriter" w:hAnsi="Tahoma" w:cs="Tahoma"/>
          <w:spacing w:val="-10"/>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pacing w:val="-11"/>
          <w:sz w:val="20"/>
          <w:szCs w:val="20"/>
        </w:rPr>
        <w:t xml:space="preserve"> </w:t>
      </w:r>
      <w:r w:rsidRPr="00B004EE">
        <w:rPr>
          <w:rFonts w:ascii="Tahoma" w:eastAsia="American Typewriter" w:hAnsi="Tahoma" w:cs="Tahoma"/>
          <w:sz w:val="20"/>
          <w:szCs w:val="20"/>
        </w:rPr>
        <w:t>l’environnement</w:t>
      </w:r>
      <w:r w:rsidR="00DB1635" w:rsidRPr="00B004EE">
        <w:rPr>
          <w:rFonts w:ascii="Tahoma" w:eastAsia="American Typewriter" w:hAnsi="Tahoma" w:cs="Tahoma"/>
          <w:w w:val="95"/>
          <w:sz w:val="20"/>
          <w:szCs w:val="20"/>
        </w:rPr>
        <w:t xml:space="preserve"> </w:t>
      </w:r>
      <w:r w:rsidRPr="00B004EE">
        <w:rPr>
          <w:rFonts w:ascii="Tahoma" w:eastAsia="American Typewriter" w:hAnsi="Tahoma" w:cs="Tahoma"/>
          <w:sz w:val="20"/>
          <w:szCs w:val="20"/>
        </w:rPr>
        <w:t>marin.</w:t>
      </w:r>
      <w:r w:rsidR="00DB1635" w:rsidRPr="00B004EE">
        <w:rPr>
          <w:rFonts w:ascii="Tahoma" w:eastAsia="American Typewriter" w:hAnsi="Tahoma" w:cs="Tahoma"/>
          <w:spacing w:val="-16"/>
          <w:sz w:val="20"/>
          <w:szCs w:val="20"/>
        </w:rPr>
        <w:t xml:space="preserve"> </w:t>
      </w:r>
      <w:r w:rsidRPr="00B004EE">
        <w:rPr>
          <w:rFonts w:ascii="Tahoma" w:eastAsia="American Typewriter" w:hAnsi="Tahoma" w:cs="Tahoma"/>
          <w:sz w:val="20"/>
          <w:szCs w:val="20"/>
        </w:rPr>
        <w:t>L’adaptation</w:t>
      </w:r>
      <w:r w:rsidR="00DB1635" w:rsidRPr="00B004EE">
        <w:rPr>
          <w:rFonts w:ascii="Tahoma" w:eastAsia="American Typewriter" w:hAnsi="Tahoma" w:cs="Tahoma"/>
          <w:spacing w:val="-14"/>
          <w:sz w:val="20"/>
          <w:szCs w:val="20"/>
        </w:rPr>
        <w:t xml:space="preserve"> </w:t>
      </w:r>
      <w:r w:rsidRPr="00B004EE">
        <w:rPr>
          <w:rFonts w:ascii="Tahoma" w:hAnsi="Tahoma" w:cs="Tahoma"/>
          <w:sz w:val="20"/>
          <w:szCs w:val="20"/>
        </w:rPr>
        <w:t>tiendra</w:t>
      </w:r>
      <w:r w:rsidR="00DB1635" w:rsidRPr="00B004EE">
        <w:rPr>
          <w:rFonts w:ascii="Tahoma" w:hAnsi="Tahoma" w:cs="Tahoma"/>
          <w:spacing w:val="-16"/>
          <w:sz w:val="20"/>
          <w:szCs w:val="20"/>
        </w:rPr>
        <w:t xml:space="preserve"> </w:t>
      </w:r>
      <w:r w:rsidRPr="00B004EE">
        <w:rPr>
          <w:rFonts w:ascii="Tahoma" w:hAnsi="Tahoma" w:cs="Tahoma"/>
          <w:sz w:val="20"/>
          <w:szCs w:val="20"/>
        </w:rPr>
        <w:t>compte</w:t>
      </w:r>
      <w:r w:rsidR="00DB1635" w:rsidRPr="00B004EE">
        <w:rPr>
          <w:rFonts w:ascii="Tahoma" w:hAnsi="Tahoma" w:cs="Tahoma"/>
          <w:spacing w:val="-15"/>
          <w:sz w:val="20"/>
          <w:szCs w:val="20"/>
        </w:rPr>
        <w:t xml:space="preserve"> </w:t>
      </w:r>
      <w:r w:rsidRPr="00B004EE">
        <w:rPr>
          <w:rFonts w:ascii="Tahoma" w:hAnsi="Tahoma" w:cs="Tahoma"/>
          <w:sz w:val="20"/>
          <w:szCs w:val="20"/>
        </w:rPr>
        <w:t>du</w:t>
      </w:r>
      <w:r w:rsidR="00DB1635" w:rsidRPr="00B004EE">
        <w:rPr>
          <w:rFonts w:ascii="Tahoma" w:hAnsi="Tahoma" w:cs="Tahoma"/>
          <w:spacing w:val="-16"/>
          <w:sz w:val="20"/>
          <w:szCs w:val="20"/>
        </w:rPr>
        <w:t xml:space="preserve"> </w:t>
      </w:r>
      <w:r w:rsidRPr="00B004EE">
        <w:rPr>
          <w:rFonts w:ascii="Tahoma" w:hAnsi="Tahoma" w:cs="Tahoma"/>
          <w:sz w:val="20"/>
          <w:szCs w:val="20"/>
        </w:rPr>
        <w:t>suivi</w:t>
      </w:r>
      <w:r w:rsidR="00DB1635" w:rsidRPr="00B004EE">
        <w:rPr>
          <w:rFonts w:ascii="Tahoma" w:hAnsi="Tahoma" w:cs="Tahoma"/>
          <w:spacing w:val="-16"/>
          <w:sz w:val="20"/>
          <w:szCs w:val="20"/>
        </w:rPr>
        <w:t xml:space="preserve"> </w:t>
      </w:r>
      <w:r w:rsidRPr="00B004EE">
        <w:rPr>
          <w:rFonts w:ascii="Tahoma" w:hAnsi="Tahoma" w:cs="Tahoma"/>
          <w:sz w:val="20"/>
          <w:szCs w:val="20"/>
        </w:rPr>
        <w:t>de</w:t>
      </w:r>
      <w:r w:rsidR="00DB1635" w:rsidRPr="00B004EE">
        <w:rPr>
          <w:rFonts w:ascii="Tahoma" w:hAnsi="Tahoma" w:cs="Tahoma"/>
          <w:spacing w:val="-17"/>
          <w:sz w:val="20"/>
          <w:szCs w:val="20"/>
        </w:rPr>
        <w:t xml:space="preserve"> </w:t>
      </w:r>
      <w:r w:rsidRPr="00B004EE">
        <w:rPr>
          <w:rFonts w:ascii="Tahoma" w:hAnsi="Tahoma" w:cs="Tahoma"/>
          <w:sz w:val="20"/>
          <w:szCs w:val="20"/>
        </w:rPr>
        <w:t>gestion</w:t>
      </w:r>
      <w:r w:rsidR="00DB1635" w:rsidRPr="00B004EE">
        <w:rPr>
          <w:rFonts w:ascii="Tahoma" w:hAnsi="Tahoma" w:cs="Tahoma"/>
          <w:spacing w:val="-17"/>
          <w:sz w:val="20"/>
          <w:szCs w:val="20"/>
        </w:rPr>
        <w:t xml:space="preserve"> </w:t>
      </w:r>
      <w:r w:rsidRPr="00B004EE">
        <w:rPr>
          <w:rFonts w:ascii="Tahoma" w:hAnsi="Tahoma" w:cs="Tahoma"/>
          <w:sz w:val="20"/>
          <w:szCs w:val="20"/>
        </w:rPr>
        <w:t>des</w:t>
      </w:r>
      <w:r w:rsidR="00DB1635" w:rsidRPr="00B004EE">
        <w:rPr>
          <w:rFonts w:ascii="Tahoma" w:hAnsi="Tahoma" w:cs="Tahoma"/>
          <w:spacing w:val="-18"/>
          <w:sz w:val="20"/>
          <w:szCs w:val="20"/>
        </w:rPr>
        <w:t xml:space="preserve"> </w:t>
      </w:r>
      <w:r w:rsidRPr="00B004EE">
        <w:rPr>
          <w:rFonts w:ascii="Tahoma" w:hAnsi="Tahoma" w:cs="Tahoma"/>
          <w:sz w:val="20"/>
          <w:szCs w:val="20"/>
        </w:rPr>
        <w:t>pêcheries</w:t>
      </w:r>
      <w:r w:rsidR="00DB1635" w:rsidRPr="00B004EE">
        <w:rPr>
          <w:rFonts w:ascii="Tahoma" w:hAnsi="Tahoma" w:cs="Tahoma"/>
          <w:spacing w:val="-16"/>
          <w:sz w:val="20"/>
          <w:szCs w:val="20"/>
        </w:rPr>
        <w:t xml:space="preserve"> </w:t>
      </w:r>
      <w:r w:rsidRPr="00B004EE">
        <w:rPr>
          <w:rFonts w:ascii="Tahoma" w:hAnsi="Tahoma" w:cs="Tahoma"/>
          <w:sz w:val="20"/>
          <w:szCs w:val="20"/>
        </w:rPr>
        <w:t>et</w:t>
      </w:r>
      <w:r w:rsidR="00DB1635" w:rsidRPr="00B004EE">
        <w:rPr>
          <w:rFonts w:ascii="Tahoma" w:hAnsi="Tahoma" w:cs="Tahoma"/>
          <w:spacing w:val="-17"/>
          <w:sz w:val="20"/>
          <w:szCs w:val="20"/>
        </w:rPr>
        <w:t xml:space="preserve"> </w:t>
      </w:r>
      <w:r w:rsidRPr="00B004EE">
        <w:rPr>
          <w:rFonts w:ascii="Tahoma" w:hAnsi="Tahoma" w:cs="Tahoma"/>
          <w:sz w:val="20"/>
          <w:szCs w:val="20"/>
        </w:rPr>
        <w:t>des</w:t>
      </w:r>
      <w:r w:rsidR="00DB1635" w:rsidRPr="00B004EE">
        <w:rPr>
          <w:rFonts w:ascii="Tahoma" w:hAnsi="Tahoma" w:cs="Tahoma"/>
          <w:spacing w:val="-18"/>
          <w:sz w:val="20"/>
          <w:szCs w:val="20"/>
        </w:rPr>
        <w:t xml:space="preserve"> </w:t>
      </w:r>
      <w:r w:rsidRPr="00B004EE">
        <w:rPr>
          <w:rFonts w:ascii="Tahoma" w:hAnsi="Tahoma" w:cs="Tahoma"/>
          <w:sz w:val="20"/>
          <w:szCs w:val="20"/>
        </w:rPr>
        <w:t>leçons</w:t>
      </w:r>
      <w:r w:rsidR="00DB1635" w:rsidRPr="00B004EE">
        <w:rPr>
          <w:rFonts w:ascii="Tahoma" w:hAnsi="Tahoma" w:cs="Tahoma"/>
          <w:w w:val="93"/>
          <w:sz w:val="20"/>
          <w:szCs w:val="20"/>
        </w:rPr>
        <w:t xml:space="preserve"> </w:t>
      </w:r>
      <w:r w:rsidRPr="00B004EE">
        <w:rPr>
          <w:rFonts w:ascii="Tahoma" w:eastAsia="American Typewriter" w:hAnsi="Tahoma" w:cs="Tahoma"/>
          <w:w w:val="95"/>
          <w:sz w:val="20"/>
          <w:szCs w:val="20"/>
        </w:rPr>
        <w:t>apprises</w:t>
      </w:r>
      <w:r w:rsidR="00DB1635" w:rsidRPr="00B004EE">
        <w:rPr>
          <w:rFonts w:ascii="Tahoma" w:eastAsia="American Typewriter" w:hAnsi="Tahoma" w:cs="Tahoma"/>
          <w:w w:val="95"/>
          <w:sz w:val="20"/>
          <w:szCs w:val="20"/>
        </w:rPr>
        <w:t xml:space="preserve"> </w:t>
      </w:r>
      <w:r w:rsidRPr="00B004EE">
        <w:rPr>
          <w:rFonts w:ascii="Tahoma" w:eastAsia="American Typewriter" w:hAnsi="Tahoma" w:cs="Tahoma"/>
          <w:w w:val="95"/>
          <w:sz w:val="20"/>
          <w:szCs w:val="20"/>
        </w:rPr>
        <w:t>de</w:t>
      </w:r>
      <w:r w:rsidR="00DB1635" w:rsidRPr="00B004EE">
        <w:rPr>
          <w:rFonts w:ascii="Tahoma" w:eastAsia="American Typewriter" w:hAnsi="Tahoma" w:cs="Tahoma"/>
          <w:spacing w:val="16"/>
          <w:w w:val="95"/>
          <w:sz w:val="20"/>
          <w:szCs w:val="20"/>
        </w:rPr>
        <w:t xml:space="preserve"> </w:t>
      </w:r>
      <w:r w:rsidRPr="00B004EE">
        <w:rPr>
          <w:rFonts w:ascii="Tahoma" w:eastAsia="American Typewriter" w:hAnsi="Tahoma" w:cs="Tahoma"/>
          <w:w w:val="95"/>
          <w:sz w:val="20"/>
          <w:szCs w:val="20"/>
        </w:rPr>
        <w:t>l’action.</w:t>
      </w:r>
    </w:p>
    <w:p w14:paraId="333EBB5C" w14:textId="77777777" w:rsidR="00337E3A" w:rsidRPr="00B004EE" w:rsidRDefault="00337E3A" w:rsidP="00B004EE">
      <w:pPr>
        <w:jc w:val="center"/>
        <w:rPr>
          <w:rFonts w:ascii="Tahoma" w:eastAsia="American Typewriter" w:hAnsi="Tahoma" w:cs="Tahoma"/>
          <w:b/>
          <w:bCs/>
          <w:sz w:val="20"/>
          <w:szCs w:val="20"/>
        </w:rPr>
      </w:pPr>
    </w:p>
    <w:p w14:paraId="7060A7CB" w14:textId="6DA36E6C" w:rsidR="001E7C3C" w:rsidRPr="00B004EE" w:rsidRDefault="001E7C3C" w:rsidP="00B004EE">
      <w:pPr>
        <w:jc w:val="center"/>
        <w:rPr>
          <w:rFonts w:ascii="Tahoma" w:eastAsia="American Typewriter" w:hAnsi="Tahoma" w:cs="Tahoma"/>
          <w:b/>
          <w:bCs/>
          <w:sz w:val="20"/>
          <w:szCs w:val="20"/>
        </w:rPr>
      </w:pPr>
      <w:bookmarkStart w:id="41" w:name="_Toc16279053"/>
      <w:bookmarkStart w:id="42" w:name="_Toc16279422"/>
      <w:r w:rsidRPr="00B004EE">
        <w:rPr>
          <w:rFonts w:ascii="Tahoma" w:eastAsia="American Typewriter" w:hAnsi="Tahoma" w:cs="Tahoma"/>
          <w:b/>
          <w:bCs/>
          <w:sz w:val="20"/>
          <w:szCs w:val="20"/>
        </w:rPr>
        <w:t>Section</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9</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Du</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principe</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d’évaluation</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régulière</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appliqué</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à</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l’aménagement</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et</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à</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la</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gestion</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des</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pêcheries</w:t>
      </w:r>
      <w:bookmarkEnd w:id="41"/>
      <w:bookmarkEnd w:id="42"/>
    </w:p>
    <w:p w14:paraId="4711FB4D" w14:textId="77777777" w:rsidR="001E7C3C" w:rsidRPr="00B004EE" w:rsidRDefault="001E7C3C" w:rsidP="00B004EE">
      <w:pPr>
        <w:jc w:val="center"/>
        <w:rPr>
          <w:rFonts w:ascii="Tahoma" w:eastAsia="American Typewriter" w:hAnsi="Tahoma" w:cs="Tahoma"/>
          <w:b/>
          <w:bCs/>
          <w:sz w:val="20"/>
          <w:szCs w:val="20"/>
        </w:rPr>
      </w:pPr>
    </w:p>
    <w:p w14:paraId="17E289D3" w14:textId="7CB21283" w:rsidR="001E7C3C" w:rsidRPr="00B004EE" w:rsidRDefault="001E7C3C" w:rsidP="00B004EE">
      <w:pPr>
        <w:pStyle w:val="Corpsdetexte"/>
        <w:ind w:right="158"/>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11</w:t>
      </w:r>
      <w:r w:rsidR="00DB1635" w:rsidRPr="00B004EE">
        <w:rPr>
          <w:rFonts w:ascii="Tahoma" w:hAnsi="Tahoma" w:cs="Tahoma"/>
          <w:bCs/>
          <w:sz w:val="20"/>
          <w:szCs w:val="20"/>
        </w:rPr>
        <w:t xml:space="preserve"> </w:t>
      </w:r>
      <w:r w:rsidRPr="00B004EE">
        <w:rPr>
          <w:rFonts w:ascii="Tahoma" w:hAnsi="Tahoma" w:cs="Tahoma"/>
          <w:bCs/>
          <w:sz w:val="20"/>
          <w:szCs w:val="20"/>
        </w:rPr>
        <w:t>:</w:t>
      </w:r>
      <w:r w:rsidR="00DB1635" w:rsidRPr="00B004EE">
        <w:rPr>
          <w:rFonts w:ascii="Tahoma" w:eastAsia="American Typewriter" w:hAnsi="Tahoma" w:cs="Tahoma"/>
          <w:b/>
          <w:bCs/>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eastAsia="American Typewriter" w:hAnsi="Tahoma" w:cs="Tahoma"/>
          <w:sz w:val="20"/>
          <w:szCs w:val="20"/>
        </w:rPr>
        <w:t>mise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en</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œuvre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politiques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et</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stratégies</w:t>
      </w:r>
      <w:r w:rsidR="00DB1635" w:rsidRPr="00B004EE">
        <w:rPr>
          <w:rFonts w:ascii="Tahoma" w:eastAsia="American Typewriter" w:hAnsi="Tahoma" w:cs="Tahoma"/>
          <w:sz w:val="20"/>
          <w:szCs w:val="20"/>
        </w:rPr>
        <w:t xml:space="preserve"> </w:t>
      </w:r>
      <w:r w:rsidRPr="00B004EE">
        <w:rPr>
          <w:rFonts w:ascii="Tahoma" w:hAnsi="Tahoma" w:cs="Tahoma"/>
          <w:sz w:val="20"/>
          <w:szCs w:val="20"/>
        </w:rPr>
        <w:t>d'aménagement</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pacing w:val="38"/>
          <w:sz w:val="20"/>
          <w:szCs w:val="20"/>
        </w:rPr>
        <w:t xml:space="preserve"> </w:t>
      </w:r>
      <w:r w:rsidRPr="00B004EE">
        <w:rPr>
          <w:rFonts w:ascii="Tahoma" w:hAnsi="Tahoma" w:cs="Tahoma"/>
          <w:sz w:val="20"/>
          <w:szCs w:val="20"/>
        </w:rPr>
        <w:t>de</w:t>
      </w:r>
      <w:r w:rsidR="00DB1635" w:rsidRPr="00B004EE">
        <w:rPr>
          <w:rFonts w:ascii="Tahoma" w:hAnsi="Tahoma" w:cs="Tahoma"/>
          <w:w w:val="94"/>
          <w:sz w:val="20"/>
          <w:szCs w:val="20"/>
        </w:rPr>
        <w:t xml:space="preserve"> </w:t>
      </w:r>
      <w:r w:rsidRPr="00B004EE">
        <w:rPr>
          <w:rFonts w:ascii="Tahoma" w:hAnsi="Tahoma" w:cs="Tahoma"/>
          <w:sz w:val="20"/>
          <w:szCs w:val="20"/>
        </w:rPr>
        <w:t>gestion</w:t>
      </w:r>
      <w:r w:rsidR="00DB1635" w:rsidRPr="00B004EE">
        <w:rPr>
          <w:rFonts w:ascii="Tahoma" w:hAnsi="Tahoma" w:cs="Tahoma"/>
          <w:spacing w:val="22"/>
          <w:sz w:val="20"/>
          <w:szCs w:val="20"/>
        </w:rPr>
        <w:t xml:space="preserve"> </w:t>
      </w:r>
      <w:r w:rsidRPr="00B004EE">
        <w:rPr>
          <w:rFonts w:ascii="Tahoma" w:hAnsi="Tahoma" w:cs="Tahoma"/>
          <w:sz w:val="20"/>
          <w:szCs w:val="20"/>
        </w:rPr>
        <w:t>des</w:t>
      </w:r>
      <w:r w:rsidR="00DB1635" w:rsidRPr="00B004EE">
        <w:rPr>
          <w:rFonts w:ascii="Tahoma" w:hAnsi="Tahoma" w:cs="Tahoma"/>
          <w:spacing w:val="21"/>
          <w:sz w:val="20"/>
          <w:szCs w:val="20"/>
        </w:rPr>
        <w:t xml:space="preserve"> </w:t>
      </w:r>
      <w:r w:rsidRPr="00B004EE">
        <w:rPr>
          <w:rFonts w:ascii="Tahoma" w:eastAsia="American Typewriter" w:hAnsi="Tahoma" w:cs="Tahoma"/>
          <w:sz w:val="20"/>
          <w:szCs w:val="20"/>
        </w:rPr>
        <w:t>ressources</w:t>
      </w:r>
      <w:r w:rsidR="00DB1635" w:rsidRPr="00B004EE">
        <w:rPr>
          <w:rFonts w:ascii="Tahoma" w:eastAsia="American Typewriter" w:hAnsi="Tahoma" w:cs="Tahoma"/>
          <w:spacing w:val="20"/>
          <w:sz w:val="20"/>
          <w:szCs w:val="20"/>
        </w:rPr>
        <w:t xml:space="preserve"> </w:t>
      </w:r>
      <w:r w:rsidRPr="00B004EE">
        <w:rPr>
          <w:rFonts w:ascii="Tahoma" w:eastAsia="American Typewriter" w:hAnsi="Tahoma" w:cs="Tahoma"/>
          <w:sz w:val="20"/>
          <w:szCs w:val="20"/>
        </w:rPr>
        <w:t>halieutiques</w:t>
      </w:r>
      <w:r w:rsidR="00DB1635" w:rsidRPr="00B004EE">
        <w:rPr>
          <w:rFonts w:ascii="Tahoma" w:eastAsia="American Typewriter" w:hAnsi="Tahoma" w:cs="Tahoma"/>
          <w:spacing w:val="19"/>
          <w:sz w:val="20"/>
          <w:szCs w:val="20"/>
        </w:rPr>
        <w:t xml:space="preserve"> </w:t>
      </w:r>
      <w:r w:rsidRPr="00B004EE">
        <w:rPr>
          <w:rFonts w:ascii="Tahoma" w:eastAsia="American Typewriter" w:hAnsi="Tahoma" w:cs="Tahoma"/>
          <w:sz w:val="20"/>
          <w:szCs w:val="20"/>
        </w:rPr>
        <w:t>fait</w:t>
      </w:r>
      <w:r w:rsidR="00DB1635" w:rsidRPr="00B004EE">
        <w:rPr>
          <w:rFonts w:ascii="Tahoma" w:eastAsia="American Typewriter" w:hAnsi="Tahoma" w:cs="Tahoma"/>
          <w:spacing w:val="20"/>
          <w:sz w:val="20"/>
          <w:szCs w:val="20"/>
        </w:rPr>
        <w:t xml:space="preserve"> </w:t>
      </w:r>
      <w:r w:rsidRPr="00B004EE">
        <w:rPr>
          <w:rFonts w:ascii="Tahoma" w:eastAsia="American Typewriter" w:hAnsi="Tahoma" w:cs="Tahoma"/>
          <w:sz w:val="20"/>
          <w:szCs w:val="20"/>
        </w:rPr>
        <w:t>l’objet</w:t>
      </w:r>
      <w:r w:rsidR="00DB1635" w:rsidRPr="00B004EE">
        <w:rPr>
          <w:rFonts w:ascii="Tahoma" w:eastAsia="American Typewriter" w:hAnsi="Tahoma" w:cs="Tahoma"/>
          <w:spacing w:val="20"/>
          <w:sz w:val="20"/>
          <w:szCs w:val="20"/>
        </w:rPr>
        <w:t xml:space="preserve"> </w:t>
      </w:r>
      <w:r w:rsidRPr="00B004EE">
        <w:rPr>
          <w:rFonts w:ascii="Tahoma" w:eastAsia="American Typewriter" w:hAnsi="Tahoma" w:cs="Tahoma"/>
          <w:sz w:val="20"/>
          <w:szCs w:val="20"/>
        </w:rPr>
        <w:t>d’un</w:t>
      </w:r>
      <w:r w:rsidR="00DB1635" w:rsidRPr="00B004EE">
        <w:rPr>
          <w:rFonts w:ascii="Tahoma" w:eastAsia="American Typewriter" w:hAnsi="Tahoma" w:cs="Tahoma"/>
          <w:spacing w:val="20"/>
          <w:sz w:val="20"/>
          <w:szCs w:val="20"/>
        </w:rPr>
        <w:t xml:space="preserve"> </w:t>
      </w:r>
      <w:r w:rsidRPr="00B004EE">
        <w:rPr>
          <w:rFonts w:ascii="Tahoma" w:eastAsia="American Typewriter" w:hAnsi="Tahoma" w:cs="Tahoma"/>
          <w:sz w:val="20"/>
          <w:szCs w:val="20"/>
        </w:rPr>
        <w:t>processus</w:t>
      </w:r>
      <w:r w:rsidR="00DB1635" w:rsidRPr="00B004EE">
        <w:rPr>
          <w:rFonts w:ascii="Tahoma" w:eastAsia="American Typewriter" w:hAnsi="Tahoma" w:cs="Tahoma"/>
          <w:spacing w:val="23"/>
          <w:sz w:val="20"/>
          <w:szCs w:val="20"/>
        </w:rPr>
        <w:t xml:space="preserve"> </w:t>
      </w:r>
      <w:r w:rsidRPr="00B004EE">
        <w:rPr>
          <w:rFonts w:ascii="Tahoma" w:hAnsi="Tahoma" w:cs="Tahoma"/>
          <w:sz w:val="20"/>
          <w:szCs w:val="20"/>
        </w:rPr>
        <w:t>régulier</w:t>
      </w:r>
      <w:r w:rsidR="00DB1635" w:rsidRPr="00B004EE">
        <w:rPr>
          <w:rFonts w:ascii="Tahoma" w:hAnsi="Tahoma" w:cs="Tahoma"/>
          <w:spacing w:val="20"/>
          <w:sz w:val="20"/>
          <w:szCs w:val="20"/>
        </w:rPr>
        <w:t xml:space="preserve"> </w:t>
      </w:r>
      <w:r w:rsidRPr="00B004EE">
        <w:rPr>
          <w:rFonts w:ascii="Tahoma" w:hAnsi="Tahoma" w:cs="Tahoma"/>
          <w:sz w:val="20"/>
          <w:szCs w:val="20"/>
        </w:rPr>
        <w:t>de</w:t>
      </w:r>
      <w:r w:rsidR="00DB1635" w:rsidRPr="00B004EE">
        <w:rPr>
          <w:rFonts w:ascii="Tahoma" w:hAnsi="Tahoma" w:cs="Tahoma"/>
          <w:spacing w:val="20"/>
          <w:sz w:val="20"/>
          <w:szCs w:val="20"/>
        </w:rPr>
        <w:t xml:space="preserve"> </w:t>
      </w:r>
      <w:r w:rsidRPr="00B004EE">
        <w:rPr>
          <w:rFonts w:ascii="Tahoma" w:hAnsi="Tahoma" w:cs="Tahoma"/>
          <w:sz w:val="20"/>
          <w:szCs w:val="20"/>
        </w:rPr>
        <w:t>suivi,</w:t>
      </w:r>
      <w:r w:rsidR="00DB1635" w:rsidRPr="00B004EE">
        <w:rPr>
          <w:rFonts w:ascii="Tahoma" w:hAnsi="Tahoma" w:cs="Tahoma"/>
          <w:w w:val="101"/>
          <w:sz w:val="20"/>
          <w:szCs w:val="20"/>
        </w:rPr>
        <w:t xml:space="preserve"> </w:t>
      </w:r>
      <w:r w:rsidRPr="00B004EE">
        <w:rPr>
          <w:rFonts w:ascii="Tahoma" w:hAnsi="Tahoma" w:cs="Tahoma"/>
          <w:sz w:val="20"/>
          <w:szCs w:val="20"/>
        </w:rPr>
        <w:t>évaluation</w:t>
      </w:r>
      <w:r w:rsidR="00DB1635" w:rsidRPr="00B004EE">
        <w:rPr>
          <w:rFonts w:ascii="Tahoma" w:hAnsi="Tahoma" w:cs="Tahoma"/>
          <w:spacing w:val="-37"/>
          <w:sz w:val="20"/>
          <w:szCs w:val="20"/>
        </w:rPr>
        <w:t xml:space="preserve"> </w:t>
      </w:r>
      <w:r w:rsidRPr="00B004EE">
        <w:rPr>
          <w:rFonts w:ascii="Tahoma" w:hAnsi="Tahoma" w:cs="Tahoma"/>
          <w:sz w:val="20"/>
          <w:szCs w:val="20"/>
        </w:rPr>
        <w:t>et</w:t>
      </w:r>
      <w:r w:rsidR="00DB1635" w:rsidRPr="00B004EE">
        <w:rPr>
          <w:rFonts w:ascii="Tahoma" w:hAnsi="Tahoma" w:cs="Tahoma"/>
          <w:spacing w:val="-37"/>
          <w:sz w:val="20"/>
          <w:szCs w:val="20"/>
        </w:rPr>
        <w:t xml:space="preserve"> </w:t>
      </w:r>
      <w:r w:rsidRPr="00B004EE">
        <w:rPr>
          <w:rFonts w:ascii="Tahoma" w:hAnsi="Tahoma" w:cs="Tahoma"/>
          <w:sz w:val="20"/>
          <w:szCs w:val="20"/>
        </w:rPr>
        <w:t>de</w:t>
      </w:r>
      <w:r w:rsidR="00DB1635" w:rsidRPr="00B004EE">
        <w:rPr>
          <w:rFonts w:ascii="Tahoma" w:hAnsi="Tahoma" w:cs="Tahoma"/>
          <w:spacing w:val="-37"/>
          <w:sz w:val="20"/>
          <w:szCs w:val="20"/>
        </w:rPr>
        <w:t xml:space="preserve"> </w:t>
      </w:r>
      <w:r w:rsidRPr="00B004EE">
        <w:rPr>
          <w:rFonts w:ascii="Tahoma" w:hAnsi="Tahoma" w:cs="Tahoma"/>
          <w:sz w:val="20"/>
          <w:szCs w:val="20"/>
        </w:rPr>
        <w:t>révision</w:t>
      </w:r>
      <w:r w:rsidR="00DB1635" w:rsidRPr="00B004EE">
        <w:rPr>
          <w:rFonts w:ascii="Tahoma" w:hAnsi="Tahoma" w:cs="Tahoma"/>
          <w:spacing w:val="-37"/>
          <w:sz w:val="20"/>
          <w:szCs w:val="20"/>
        </w:rPr>
        <w:t xml:space="preserve"> </w:t>
      </w:r>
      <w:r w:rsidRPr="00B004EE">
        <w:rPr>
          <w:rFonts w:ascii="Tahoma" w:hAnsi="Tahoma" w:cs="Tahoma"/>
          <w:sz w:val="20"/>
          <w:szCs w:val="20"/>
        </w:rPr>
        <w:t>pour</w:t>
      </w:r>
      <w:r w:rsidR="00DB1635" w:rsidRPr="00B004EE">
        <w:rPr>
          <w:rFonts w:ascii="Tahoma" w:hAnsi="Tahoma" w:cs="Tahoma"/>
          <w:spacing w:val="-38"/>
          <w:sz w:val="20"/>
          <w:szCs w:val="20"/>
        </w:rPr>
        <w:t xml:space="preserve"> </w:t>
      </w:r>
      <w:r w:rsidRPr="00B004EE">
        <w:rPr>
          <w:rFonts w:ascii="Tahoma" w:hAnsi="Tahoma" w:cs="Tahoma"/>
          <w:sz w:val="20"/>
          <w:szCs w:val="20"/>
        </w:rPr>
        <w:t>en</w:t>
      </w:r>
      <w:r w:rsidR="00DB1635" w:rsidRPr="00B004EE">
        <w:rPr>
          <w:rFonts w:ascii="Tahoma" w:hAnsi="Tahoma" w:cs="Tahoma"/>
          <w:spacing w:val="-37"/>
          <w:sz w:val="20"/>
          <w:szCs w:val="20"/>
        </w:rPr>
        <w:t xml:space="preserve"> </w:t>
      </w:r>
      <w:r w:rsidRPr="00B004EE">
        <w:rPr>
          <w:rFonts w:ascii="Tahoma" w:hAnsi="Tahoma" w:cs="Tahoma"/>
          <w:sz w:val="20"/>
          <w:szCs w:val="20"/>
        </w:rPr>
        <w:t>permettre</w:t>
      </w:r>
      <w:r w:rsidR="00DB1635" w:rsidRPr="00B004EE">
        <w:rPr>
          <w:rFonts w:ascii="Tahoma" w:hAnsi="Tahoma" w:cs="Tahoma"/>
          <w:spacing w:val="-36"/>
          <w:sz w:val="20"/>
          <w:szCs w:val="20"/>
        </w:rPr>
        <w:t xml:space="preserve"> </w:t>
      </w:r>
      <w:r w:rsidRPr="00B004EE">
        <w:rPr>
          <w:rFonts w:ascii="Tahoma" w:eastAsia="American Typewriter" w:hAnsi="Tahoma" w:cs="Tahoma"/>
          <w:sz w:val="20"/>
          <w:szCs w:val="20"/>
        </w:rPr>
        <w:t>l’amélioration</w:t>
      </w:r>
      <w:r w:rsidRPr="00B004EE">
        <w:rPr>
          <w:rFonts w:ascii="Tahoma" w:hAnsi="Tahoma" w:cs="Tahoma"/>
          <w:sz w:val="20"/>
          <w:szCs w:val="20"/>
        </w:rPr>
        <w:t>.</w:t>
      </w:r>
    </w:p>
    <w:p w14:paraId="454BBF4F" w14:textId="77777777" w:rsidR="001E7C3C" w:rsidRPr="00B004EE" w:rsidRDefault="001E7C3C" w:rsidP="00B004EE">
      <w:pPr>
        <w:rPr>
          <w:rFonts w:ascii="Tahoma" w:eastAsia="American Typewriter" w:hAnsi="Tahoma" w:cs="Tahoma"/>
          <w:b/>
          <w:bCs/>
          <w:sz w:val="20"/>
          <w:szCs w:val="20"/>
        </w:rPr>
      </w:pPr>
    </w:p>
    <w:p w14:paraId="05F70156" w14:textId="7ECFE512" w:rsidR="001E7C3C" w:rsidRPr="00B004EE" w:rsidRDefault="001E7C3C" w:rsidP="00B004EE">
      <w:pPr>
        <w:jc w:val="center"/>
        <w:rPr>
          <w:rFonts w:ascii="Tahoma" w:eastAsia="American Typewriter" w:hAnsi="Tahoma" w:cs="Tahoma"/>
          <w:b/>
          <w:bCs/>
          <w:sz w:val="20"/>
          <w:szCs w:val="20"/>
        </w:rPr>
      </w:pPr>
      <w:bookmarkStart w:id="43" w:name="_Toc16279054"/>
      <w:bookmarkStart w:id="44" w:name="_Toc16279423"/>
      <w:r w:rsidRPr="00B004EE">
        <w:rPr>
          <w:rFonts w:ascii="Tahoma" w:eastAsia="American Typewriter" w:hAnsi="Tahoma" w:cs="Tahoma"/>
          <w:b/>
          <w:bCs/>
          <w:sz w:val="20"/>
          <w:szCs w:val="20"/>
        </w:rPr>
        <w:t>TITRE</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Ier</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DE</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L’AMENAEMENT</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ET</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DE</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LA</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GESTION</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DURABLE</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DES</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PÊCHERIES</w:t>
      </w:r>
      <w:bookmarkEnd w:id="43"/>
      <w:bookmarkEnd w:id="44"/>
    </w:p>
    <w:p w14:paraId="6FFAE63A" w14:textId="77777777" w:rsidR="001E7C3C" w:rsidRPr="00B004EE" w:rsidRDefault="001E7C3C" w:rsidP="00B004EE">
      <w:pPr>
        <w:jc w:val="center"/>
        <w:rPr>
          <w:rFonts w:ascii="Tahoma" w:eastAsia="American Typewriter" w:hAnsi="Tahoma" w:cs="Tahoma"/>
          <w:b/>
          <w:bCs/>
          <w:sz w:val="20"/>
          <w:szCs w:val="20"/>
        </w:rPr>
      </w:pPr>
    </w:p>
    <w:p w14:paraId="134C191B" w14:textId="3D081723" w:rsidR="00337E3A" w:rsidRPr="00B004EE" w:rsidRDefault="001E7C3C" w:rsidP="00B004EE">
      <w:pPr>
        <w:ind w:right="164" w:hanging="4"/>
        <w:jc w:val="center"/>
        <w:rPr>
          <w:rFonts w:ascii="Tahoma" w:hAnsi="Tahoma" w:cs="Tahoma"/>
          <w:b/>
          <w:w w:val="101"/>
          <w:sz w:val="20"/>
          <w:szCs w:val="20"/>
        </w:rPr>
      </w:pPr>
      <w:r w:rsidRPr="00B004EE">
        <w:rPr>
          <w:rFonts w:ascii="Tahoma" w:hAnsi="Tahoma" w:cs="Tahoma"/>
          <w:b/>
          <w:spacing w:val="1"/>
          <w:w w:val="113"/>
          <w:sz w:val="20"/>
          <w:szCs w:val="20"/>
        </w:rPr>
        <w:t>C</w:t>
      </w:r>
      <w:r w:rsidRPr="00B004EE">
        <w:rPr>
          <w:rFonts w:ascii="Tahoma" w:hAnsi="Tahoma" w:cs="Tahoma"/>
          <w:b/>
          <w:spacing w:val="1"/>
          <w:w w:val="97"/>
          <w:sz w:val="20"/>
          <w:szCs w:val="20"/>
        </w:rPr>
        <w:t>H</w:t>
      </w:r>
      <w:r w:rsidRPr="00B004EE">
        <w:rPr>
          <w:rFonts w:ascii="Tahoma" w:hAnsi="Tahoma" w:cs="Tahoma"/>
          <w:b/>
          <w:spacing w:val="1"/>
          <w:w w:val="90"/>
          <w:sz w:val="20"/>
          <w:szCs w:val="20"/>
        </w:rPr>
        <w:t>A</w:t>
      </w:r>
      <w:r w:rsidRPr="00B004EE">
        <w:rPr>
          <w:rFonts w:ascii="Tahoma" w:hAnsi="Tahoma" w:cs="Tahoma"/>
          <w:b/>
          <w:spacing w:val="2"/>
          <w:w w:val="96"/>
          <w:sz w:val="20"/>
          <w:szCs w:val="20"/>
        </w:rPr>
        <w:t>P</w:t>
      </w:r>
      <w:r w:rsidRPr="00B004EE">
        <w:rPr>
          <w:rFonts w:ascii="Tahoma" w:hAnsi="Tahoma" w:cs="Tahoma"/>
          <w:b/>
          <w:spacing w:val="2"/>
          <w:w w:val="86"/>
          <w:sz w:val="20"/>
          <w:szCs w:val="20"/>
        </w:rPr>
        <w:t>I</w:t>
      </w:r>
      <w:r w:rsidRPr="00B004EE">
        <w:rPr>
          <w:rFonts w:ascii="Tahoma" w:hAnsi="Tahoma" w:cs="Tahoma"/>
          <w:b/>
          <w:spacing w:val="2"/>
          <w:w w:val="96"/>
          <w:sz w:val="20"/>
          <w:szCs w:val="20"/>
        </w:rPr>
        <w:t>T</w:t>
      </w:r>
      <w:r w:rsidRPr="00B004EE">
        <w:rPr>
          <w:rFonts w:ascii="Tahoma" w:hAnsi="Tahoma" w:cs="Tahoma"/>
          <w:b/>
          <w:spacing w:val="1"/>
          <w:w w:val="94"/>
          <w:sz w:val="20"/>
          <w:szCs w:val="20"/>
        </w:rPr>
        <w:t>R</w:t>
      </w:r>
      <w:r w:rsidRPr="00B004EE">
        <w:rPr>
          <w:rFonts w:ascii="Tahoma" w:hAnsi="Tahoma" w:cs="Tahoma"/>
          <w:b/>
          <w:w w:val="96"/>
          <w:sz w:val="20"/>
          <w:szCs w:val="20"/>
        </w:rPr>
        <w:t>E</w:t>
      </w:r>
      <w:r w:rsidR="00DB1635" w:rsidRPr="00B004EE">
        <w:rPr>
          <w:rFonts w:ascii="Tahoma" w:hAnsi="Tahoma" w:cs="Tahoma"/>
          <w:b/>
          <w:spacing w:val="11"/>
          <w:sz w:val="20"/>
          <w:szCs w:val="20"/>
        </w:rPr>
        <w:t xml:space="preserve"> </w:t>
      </w:r>
      <w:r w:rsidRPr="00B004EE">
        <w:rPr>
          <w:rFonts w:ascii="Tahoma" w:hAnsi="Tahoma" w:cs="Tahoma"/>
          <w:b/>
          <w:spacing w:val="2"/>
          <w:w w:val="96"/>
          <w:sz w:val="20"/>
          <w:szCs w:val="20"/>
        </w:rPr>
        <w:t>P</w:t>
      </w:r>
      <w:r w:rsidRPr="00B004EE">
        <w:rPr>
          <w:rFonts w:ascii="Tahoma" w:hAnsi="Tahoma" w:cs="Tahoma"/>
          <w:b/>
          <w:spacing w:val="1"/>
          <w:w w:val="94"/>
          <w:sz w:val="20"/>
          <w:szCs w:val="20"/>
        </w:rPr>
        <w:t>R</w:t>
      </w:r>
      <w:r w:rsidRPr="00B004EE">
        <w:rPr>
          <w:rFonts w:ascii="Tahoma" w:hAnsi="Tahoma" w:cs="Tahoma"/>
          <w:b/>
          <w:spacing w:val="1"/>
          <w:w w:val="96"/>
          <w:sz w:val="20"/>
          <w:szCs w:val="20"/>
        </w:rPr>
        <w:t>E</w:t>
      </w:r>
      <w:r w:rsidRPr="00B004EE">
        <w:rPr>
          <w:rFonts w:ascii="Tahoma" w:hAnsi="Tahoma" w:cs="Tahoma"/>
          <w:b/>
          <w:spacing w:val="1"/>
          <w:w w:val="87"/>
          <w:sz w:val="20"/>
          <w:szCs w:val="20"/>
        </w:rPr>
        <w:t>M</w:t>
      </w:r>
      <w:r w:rsidRPr="00B004EE">
        <w:rPr>
          <w:rFonts w:ascii="Tahoma" w:hAnsi="Tahoma" w:cs="Tahoma"/>
          <w:b/>
          <w:spacing w:val="2"/>
          <w:w w:val="86"/>
          <w:sz w:val="20"/>
          <w:szCs w:val="20"/>
        </w:rPr>
        <w:t>I</w:t>
      </w:r>
      <w:r w:rsidRPr="00B004EE">
        <w:rPr>
          <w:rFonts w:ascii="Tahoma" w:hAnsi="Tahoma" w:cs="Tahoma"/>
          <w:b/>
          <w:spacing w:val="1"/>
          <w:w w:val="96"/>
          <w:sz w:val="20"/>
          <w:szCs w:val="20"/>
        </w:rPr>
        <w:t>E</w:t>
      </w:r>
      <w:r w:rsidRPr="00B004EE">
        <w:rPr>
          <w:rFonts w:ascii="Tahoma" w:hAnsi="Tahoma" w:cs="Tahoma"/>
          <w:b/>
          <w:w w:val="94"/>
          <w:sz w:val="20"/>
          <w:szCs w:val="20"/>
        </w:rPr>
        <w:t>R</w:t>
      </w:r>
      <w:r w:rsidR="00DB1635" w:rsidRPr="00B004EE">
        <w:rPr>
          <w:rFonts w:ascii="Tahoma" w:hAnsi="Tahoma" w:cs="Tahoma"/>
          <w:b/>
          <w:spacing w:val="11"/>
          <w:sz w:val="20"/>
          <w:szCs w:val="20"/>
        </w:rPr>
        <w:t xml:space="preserve"> </w:t>
      </w:r>
      <w:r w:rsidRPr="00B004EE">
        <w:rPr>
          <w:rFonts w:ascii="Tahoma" w:hAnsi="Tahoma" w:cs="Tahoma"/>
          <w:b/>
          <w:w w:val="84"/>
          <w:sz w:val="20"/>
          <w:szCs w:val="20"/>
        </w:rPr>
        <w:t>:</w:t>
      </w:r>
      <w:r w:rsidR="00DB1635" w:rsidRPr="00B004EE">
        <w:rPr>
          <w:rFonts w:ascii="Tahoma" w:hAnsi="Tahoma" w:cs="Tahoma"/>
          <w:b/>
          <w:spacing w:val="17"/>
          <w:sz w:val="20"/>
          <w:szCs w:val="20"/>
        </w:rPr>
        <w:t xml:space="preserve"> </w:t>
      </w:r>
      <w:r w:rsidRPr="00B004EE">
        <w:rPr>
          <w:rFonts w:ascii="Tahoma" w:hAnsi="Tahoma" w:cs="Tahoma"/>
          <w:b/>
          <w:spacing w:val="2"/>
          <w:w w:val="104"/>
          <w:sz w:val="20"/>
          <w:szCs w:val="20"/>
        </w:rPr>
        <w:t>D</w:t>
      </w:r>
      <w:r w:rsidRPr="00B004EE">
        <w:rPr>
          <w:rFonts w:ascii="Tahoma" w:hAnsi="Tahoma" w:cs="Tahoma"/>
          <w:b/>
          <w:spacing w:val="1"/>
          <w:w w:val="96"/>
          <w:sz w:val="20"/>
          <w:szCs w:val="20"/>
        </w:rPr>
        <w:t>E</w:t>
      </w:r>
      <w:r w:rsidRPr="00B004EE">
        <w:rPr>
          <w:rFonts w:ascii="Tahoma" w:hAnsi="Tahoma" w:cs="Tahoma"/>
          <w:b/>
          <w:w w:val="101"/>
          <w:sz w:val="20"/>
          <w:szCs w:val="20"/>
        </w:rPr>
        <w:t>S</w:t>
      </w:r>
      <w:r w:rsidR="00DB1635" w:rsidRPr="00B004EE">
        <w:rPr>
          <w:rFonts w:ascii="Tahoma" w:hAnsi="Tahoma" w:cs="Tahoma"/>
          <w:b/>
          <w:spacing w:val="11"/>
          <w:sz w:val="20"/>
          <w:szCs w:val="20"/>
        </w:rPr>
        <w:t xml:space="preserve"> </w:t>
      </w:r>
      <w:r w:rsidRPr="00B004EE">
        <w:rPr>
          <w:rFonts w:ascii="Tahoma" w:hAnsi="Tahoma" w:cs="Tahoma"/>
          <w:b/>
          <w:spacing w:val="2"/>
          <w:w w:val="96"/>
          <w:sz w:val="20"/>
          <w:szCs w:val="20"/>
        </w:rPr>
        <w:t>P</w:t>
      </w:r>
      <w:r w:rsidRPr="00B004EE">
        <w:rPr>
          <w:rFonts w:ascii="Tahoma" w:hAnsi="Tahoma" w:cs="Tahoma"/>
          <w:b/>
          <w:spacing w:val="2"/>
          <w:w w:val="112"/>
          <w:sz w:val="20"/>
          <w:szCs w:val="20"/>
        </w:rPr>
        <w:t>O</w:t>
      </w:r>
      <w:r w:rsidRPr="00B004EE">
        <w:rPr>
          <w:rFonts w:ascii="Tahoma" w:hAnsi="Tahoma" w:cs="Tahoma"/>
          <w:b/>
          <w:spacing w:val="2"/>
          <w:w w:val="101"/>
          <w:sz w:val="20"/>
          <w:szCs w:val="20"/>
        </w:rPr>
        <w:t>SS</w:t>
      </w:r>
      <w:r w:rsidRPr="00B004EE">
        <w:rPr>
          <w:rFonts w:ascii="Tahoma" w:hAnsi="Tahoma" w:cs="Tahoma"/>
          <w:b/>
          <w:spacing w:val="2"/>
          <w:w w:val="86"/>
          <w:sz w:val="20"/>
          <w:szCs w:val="20"/>
        </w:rPr>
        <w:t>I</w:t>
      </w:r>
      <w:r w:rsidRPr="00B004EE">
        <w:rPr>
          <w:rFonts w:ascii="Tahoma" w:hAnsi="Tahoma" w:cs="Tahoma"/>
          <w:b/>
          <w:spacing w:val="1"/>
          <w:w w:val="96"/>
          <w:sz w:val="20"/>
          <w:szCs w:val="20"/>
        </w:rPr>
        <w:t>B</w:t>
      </w:r>
      <w:r w:rsidRPr="00B004EE">
        <w:rPr>
          <w:rFonts w:ascii="Tahoma" w:hAnsi="Tahoma" w:cs="Tahoma"/>
          <w:b/>
          <w:spacing w:val="2"/>
          <w:w w:val="86"/>
          <w:sz w:val="20"/>
          <w:szCs w:val="20"/>
        </w:rPr>
        <w:t>I</w:t>
      </w:r>
      <w:r w:rsidRPr="00B004EE">
        <w:rPr>
          <w:rFonts w:ascii="Tahoma" w:hAnsi="Tahoma" w:cs="Tahoma"/>
          <w:b/>
          <w:spacing w:val="2"/>
          <w:w w:val="96"/>
          <w:sz w:val="20"/>
          <w:szCs w:val="20"/>
        </w:rPr>
        <w:t>LT</w:t>
      </w:r>
      <w:r w:rsidRPr="00B004EE">
        <w:rPr>
          <w:rFonts w:ascii="Tahoma" w:hAnsi="Tahoma" w:cs="Tahoma"/>
          <w:b/>
          <w:spacing w:val="1"/>
          <w:w w:val="96"/>
          <w:sz w:val="20"/>
          <w:szCs w:val="20"/>
        </w:rPr>
        <w:t>E</w:t>
      </w:r>
      <w:r w:rsidRPr="00B004EE">
        <w:rPr>
          <w:rFonts w:ascii="Tahoma" w:hAnsi="Tahoma" w:cs="Tahoma"/>
          <w:b/>
          <w:w w:val="101"/>
          <w:sz w:val="20"/>
          <w:szCs w:val="20"/>
        </w:rPr>
        <w:t>S</w:t>
      </w:r>
      <w:r w:rsidR="00DB1635" w:rsidRPr="00B004EE">
        <w:rPr>
          <w:rFonts w:ascii="Tahoma" w:hAnsi="Tahoma" w:cs="Tahoma"/>
          <w:b/>
          <w:spacing w:val="11"/>
          <w:sz w:val="20"/>
          <w:szCs w:val="20"/>
        </w:rPr>
        <w:t xml:space="preserve"> </w:t>
      </w:r>
      <w:r w:rsidRPr="00B004EE">
        <w:rPr>
          <w:rFonts w:ascii="Tahoma" w:hAnsi="Tahoma" w:cs="Tahoma"/>
          <w:b/>
          <w:spacing w:val="2"/>
          <w:w w:val="104"/>
          <w:sz w:val="20"/>
          <w:szCs w:val="20"/>
        </w:rPr>
        <w:t>D</w:t>
      </w:r>
      <w:r w:rsidRPr="00B004EE">
        <w:rPr>
          <w:rFonts w:ascii="Tahoma" w:hAnsi="Tahoma" w:cs="Tahoma"/>
          <w:b/>
          <w:w w:val="96"/>
          <w:sz w:val="20"/>
          <w:szCs w:val="20"/>
        </w:rPr>
        <w:t>E</w:t>
      </w:r>
      <w:r w:rsidR="00DB1635" w:rsidRPr="00B004EE">
        <w:rPr>
          <w:rFonts w:ascii="Tahoma" w:hAnsi="Tahoma" w:cs="Tahoma"/>
          <w:b/>
          <w:spacing w:val="16"/>
          <w:sz w:val="20"/>
          <w:szCs w:val="20"/>
        </w:rPr>
        <w:t xml:space="preserve"> </w:t>
      </w:r>
      <w:r w:rsidRPr="00B004EE">
        <w:rPr>
          <w:rFonts w:ascii="Tahoma" w:hAnsi="Tahoma" w:cs="Tahoma"/>
          <w:b/>
          <w:spacing w:val="1"/>
          <w:w w:val="113"/>
          <w:sz w:val="20"/>
          <w:szCs w:val="20"/>
        </w:rPr>
        <w:t>C</w:t>
      </w:r>
      <w:r w:rsidRPr="00B004EE">
        <w:rPr>
          <w:rFonts w:ascii="Tahoma" w:hAnsi="Tahoma" w:cs="Tahoma"/>
          <w:b/>
          <w:spacing w:val="1"/>
          <w:w w:val="90"/>
          <w:sz w:val="20"/>
          <w:szCs w:val="20"/>
        </w:rPr>
        <w:t>A</w:t>
      </w:r>
      <w:r w:rsidRPr="00B004EE">
        <w:rPr>
          <w:rFonts w:ascii="Tahoma" w:hAnsi="Tahoma" w:cs="Tahoma"/>
          <w:b/>
          <w:spacing w:val="2"/>
          <w:w w:val="96"/>
          <w:sz w:val="20"/>
          <w:szCs w:val="20"/>
        </w:rPr>
        <w:t>PT</w:t>
      </w:r>
      <w:r w:rsidRPr="00B004EE">
        <w:rPr>
          <w:rFonts w:ascii="Tahoma" w:hAnsi="Tahoma" w:cs="Tahoma"/>
          <w:b/>
          <w:spacing w:val="3"/>
          <w:w w:val="97"/>
          <w:sz w:val="20"/>
          <w:szCs w:val="20"/>
        </w:rPr>
        <w:t>U</w:t>
      </w:r>
      <w:r w:rsidRPr="00B004EE">
        <w:rPr>
          <w:rFonts w:ascii="Tahoma" w:hAnsi="Tahoma" w:cs="Tahoma"/>
          <w:b/>
          <w:spacing w:val="1"/>
          <w:w w:val="94"/>
          <w:sz w:val="20"/>
          <w:szCs w:val="20"/>
        </w:rPr>
        <w:t>R</w:t>
      </w:r>
      <w:r w:rsidRPr="00B004EE">
        <w:rPr>
          <w:rFonts w:ascii="Tahoma" w:hAnsi="Tahoma" w:cs="Tahoma"/>
          <w:b/>
          <w:spacing w:val="1"/>
          <w:w w:val="96"/>
          <w:sz w:val="20"/>
          <w:szCs w:val="20"/>
        </w:rPr>
        <w:t>E</w:t>
      </w:r>
      <w:r w:rsidRPr="00B004EE">
        <w:rPr>
          <w:rFonts w:ascii="Tahoma" w:hAnsi="Tahoma" w:cs="Tahoma"/>
          <w:b/>
          <w:w w:val="101"/>
          <w:sz w:val="20"/>
          <w:szCs w:val="20"/>
        </w:rPr>
        <w:t>S</w:t>
      </w:r>
      <w:r w:rsidR="00DB1635" w:rsidRPr="00B004EE">
        <w:rPr>
          <w:rFonts w:ascii="Tahoma" w:hAnsi="Tahoma" w:cs="Tahoma"/>
          <w:b/>
          <w:w w:val="101"/>
          <w:sz w:val="20"/>
          <w:szCs w:val="20"/>
        </w:rPr>
        <w:t xml:space="preserve"> </w:t>
      </w:r>
      <w:r w:rsidRPr="00B004EE">
        <w:rPr>
          <w:rFonts w:ascii="Tahoma" w:hAnsi="Tahoma" w:cs="Tahoma"/>
          <w:b/>
          <w:spacing w:val="1"/>
          <w:w w:val="90"/>
          <w:sz w:val="20"/>
          <w:szCs w:val="20"/>
        </w:rPr>
        <w:t>A</w:t>
      </w:r>
      <w:r w:rsidRPr="00B004EE">
        <w:rPr>
          <w:rFonts w:ascii="Tahoma" w:hAnsi="Tahoma" w:cs="Tahoma"/>
          <w:b/>
          <w:spacing w:val="3"/>
          <w:w w:val="97"/>
          <w:sz w:val="20"/>
          <w:szCs w:val="20"/>
        </w:rPr>
        <w:t>U</w:t>
      </w:r>
      <w:r w:rsidRPr="00B004EE">
        <w:rPr>
          <w:rFonts w:ascii="Tahoma" w:hAnsi="Tahoma" w:cs="Tahoma"/>
          <w:b/>
          <w:spacing w:val="2"/>
          <w:w w:val="96"/>
          <w:sz w:val="20"/>
          <w:szCs w:val="20"/>
        </w:rPr>
        <w:t>T</w:t>
      </w:r>
      <w:r w:rsidRPr="00B004EE">
        <w:rPr>
          <w:rFonts w:ascii="Tahoma" w:hAnsi="Tahoma" w:cs="Tahoma"/>
          <w:b/>
          <w:spacing w:val="2"/>
          <w:w w:val="112"/>
          <w:sz w:val="20"/>
          <w:szCs w:val="20"/>
        </w:rPr>
        <w:t>O</w:t>
      </w:r>
      <w:r w:rsidRPr="00B004EE">
        <w:rPr>
          <w:rFonts w:ascii="Tahoma" w:hAnsi="Tahoma" w:cs="Tahoma"/>
          <w:b/>
          <w:spacing w:val="1"/>
          <w:w w:val="94"/>
          <w:sz w:val="20"/>
          <w:szCs w:val="20"/>
        </w:rPr>
        <w:t>R</w:t>
      </w:r>
      <w:r w:rsidRPr="00B004EE">
        <w:rPr>
          <w:rFonts w:ascii="Tahoma" w:hAnsi="Tahoma" w:cs="Tahoma"/>
          <w:b/>
          <w:spacing w:val="2"/>
          <w:w w:val="86"/>
          <w:sz w:val="20"/>
          <w:szCs w:val="20"/>
        </w:rPr>
        <w:t>I</w:t>
      </w:r>
      <w:r w:rsidRPr="00B004EE">
        <w:rPr>
          <w:rFonts w:ascii="Tahoma" w:hAnsi="Tahoma" w:cs="Tahoma"/>
          <w:b/>
          <w:spacing w:val="2"/>
          <w:w w:val="101"/>
          <w:sz w:val="20"/>
          <w:szCs w:val="20"/>
        </w:rPr>
        <w:t>S</w:t>
      </w:r>
      <w:r w:rsidRPr="00B004EE">
        <w:rPr>
          <w:rFonts w:ascii="Tahoma" w:hAnsi="Tahoma" w:cs="Tahoma"/>
          <w:b/>
          <w:spacing w:val="1"/>
          <w:w w:val="96"/>
          <w:sz w:val="20"/>
          <w:szCs w:val="20"/>
        </w:rPr>
        <w:t>EE</w:t>
      </w:r>
      <w:r w:rsidRPr="00B004EE">
        <w:rPr>
          <w:rFonts w:ascii="Tahoma" w:hAnsi="Tahoma" w:cs="Tahoma"/>
          <w:b/>
          <w:w w:val="101"/>
          <w:sz w:val="20"/>
          <w:szCs w:val="20"/>
        </w:rPr>
        <w:t>S</w:t>
      </w:r>
    </w:p>
    <w:p w14:paraId="5D8247DA" w14:textId="6D58B90E" w:rsidR="00337E3A" w:rsidRPr="00B004EE" w:rsidRDefault="001E7C3C" w:rsidP="00B004EE">
      <w:pPr>
        <w:ind w:right="164" w:hanging="4"/>
        <w:jc w:val="center"/>
        <w:rPr>
          <w:rFonts w:ascii="Tahoma" w:hAnsi="Tahoma" w:cs="Tahoma"/>
          <w:b/>
          <w:spacing w:val="1"/>
          <w:w w:val="113"/>
          <w:sz w:val="20"/>
          <w:szCs w:val="20"/>
        </w:rPr>
      </w:pPr>
      <w:r w:rsidRPr="00B004EE">
        <w:rPr>
          <w:rFonts w:ascii="Tahoma" w:hAnsi="Tahoma" w:cs="Tahoma"/>
          <w:b/>
          <w:spacing w:val="1"/>
          <w:w w:val="52"/>
          <w:sz w:val="20"/>
          <w:szCs w:val="20"/>
        </w:rPr>
        <w:t>(</w:t>
      </w:r>
      <w:r w:rsidRPr="00B004EE">
        <w:rPr>
          <w:rFonts w:ascii="Tahoma" w:hAnsi="Tahoma" w:cs="Tahoma"/>
          <w:b/>
          <w:spacing w:val="2"/>
          <w:w w:val="96"/>
          <w:sz w:val="20"/>
          <w:szCs w:val="20"/>
        </w:rPr>
        <w:t>T</w:t>
      </w:r>
      <w:r w:rsidRPr="00B004EE">
        <w:rPr>
          <w:rFonts w:ascii="Tahoma" w:hAnsi="Tahoma" w:cs="Tahoma"/>
          <w:b/>
          <w:spacing w:val="2"/>
          <w:w w:val="112"/>
          <w:sz w:val="20"/>
          <w:szCs w:val="20"/>
        </w:rPr>
        <w:t>O</w:t>
      </w:r>
      <w:r w:rsidRPr="00B004EE">
        <w:rPr>
          <w:rFonts w:ascii="Tahoma" w:hAnsi="Tahoma" w:cs="Tahoma"/>
          <w:b/>
          <w:spacing w:val="1"/>
          <w:w w:val="96"/>
          <w:sz w:val="20"/>
          <w:szCs w:val="20"/>
        </w:rPr>
        <w:t>T</w:t>
      </w:r>
      <w:r w:rsidRPr="00B004EE">
        <w:rPr>
          <w:rFonts w:ascii="Tahoma" w:hAnsi="Tahoma" w:cs="Tahoma"/>
          <w:b/>
          <w:w w:val="90"/>
          <w:sz w:val="20"/>
          <w:szCs w:val="20"/>
        </w:rPr>
        <w:t>A</w:t>
      </w:r>
      <w:r w:rsidRPr="00B004EE">
        <w:rPr>
          <w:rFonts w:ascii="Tahoma" w:hAnsi="Tahoma" w:cs="Tahoma"/>
          <w:b/>
          <w:w w:val="96"/>
          <w:sz w:val="20"/>
          <w:szCs w:val="20"/>
        </w:rPr>
        <w:t>L</w:t>
      </w:r>
      <w:r w:rsidR="00DB1635" w:rsidRPr="00B004EE">
        <w:rPr>
          <w:rFonts w:ascii="Tahoma" w:hAnsi="Tahoma" w:cs="Tahoma"/>
          <w:b/>
          <w:sz w:val="20"/>
          <w:szCs w:val="20"/>
        </w:rPr>
        <w:t xml:space="preserve"> </w:t>
      </w:r>
      <w:r w:rsidRPr="00B004EE">
        <w:rPr>
          <w:rFonts w:ascii="Tahoma" w:hAnsi="Tahoma" w:cs="Tahoma"/>
          <w:b/>
          <w:spacing w:val="1"/>
          <w:w w:val="113"/>
          <w:sz w:val="20"/>
          <w:szCs w:val="20"/>
        </w:rPr>
        <w:t>ADMISSIBLE</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DE</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CAPTURES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(TAC))</w:t>
      </w:r>
    </w:p>
    <w:p w14:paraId="2A032E4E" w14:textId="77777777" w:rsidR="00337E3A" w:rsidRPr="00B004EE" w:rsidRDefault="00337E3A" w:rsidP="00B004EE">
      <w:pPr>
        <w:ind w:right="164" w:hanging="4"/>
        <w:jc w:val="center"/>
        <w:rPr>
          <w:rFonts w:ascii="Tahoma" w:hAnsi="Tahoma" w:cs="Tahoma"/>
          <w:b/>
          <w:spacing w:val="1"/>
          <w:w w:val="113"/>
          <w:sz w:val="20"/>
          <w:szCs w:val="20"/>
        </w:rPr>
      </w:pPr>
    </w:p>
    <w:p w14:paraId="6C924C2C" w14:textId="6D293C23" w:rsidR="001E7C3C" w:rsidRPr="00B004EE" w:rsidRDefault="001E7C3C" w:rsidP="00B004EE">
      <w:pPr>
        <w:ind w:right="164" w:hanging="4"/>
        <w:jc w:val="center"/>
        <w:rPr>
          <w:rFonts w:ascii="Tahoma" w:hAnsi="Tahoma" w:cs="Tahoma"/>
          <w:b/>
          <w:spacing w:val="1"/>
          <w:w w:val="113"/>
          <w:sz w:val="20"/>
          <w:szCs w:val="20"/>
        </w:rPr>
      </w:pPr>
      <w:r w:rsidRPr="00B004EE">
        <w:rPr>
          <w:rFonts w:ascii="Tahoma" w:hAnsi="Tahoma" w:cs="Tahoma"/>
          <w:b/>
          <w:spacing w:val="1"/>
          <w:w w:val="113"/>
          <w:sz w:val="20"/>
          <w:szCs w:val="20"/>
        </w:rPr>
        <w:t>Section</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première</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Du</w:t>
      </w:r>
      <w:r w:rsidR="00DB1635" w:rsidRPr="00B004EE">
        <w:rPr>
          <w:rFonts w:ascii="Tahoma" w:hAnsi="Tahoma" w:cs="Tahoma"/>
          <w:b/>
          <w:spacing w:val="1"/>
          <w:w w:val="113"/>
          <w:sz w:val="20"/>
          <w:szCs w:val="20"/>
        </w:rPr>
        <w:t xml:space="preserve"> </w:t>
      </w:r>
      <w:r w:rsidR="00A621C8" w:rsidRPr="00B004EE">
        <w:rPr>
          <w:rFonts w:ascii="Tahoma" w:hAnsi="Tahoma" w:cs="Tahoma"/>
          <w:b/>
          <w:spacing w:val="1"/>
          <w:w w:val="113"/>
          <w:sz w:val="20"/>
          <w:szCs w:val="20"/>
        </w:rPr>
        <w:t>Total</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Admissible</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de</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Captures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(TAC)</w:t>
      </w:r>
    </w:p>
    <w:p w14:paraId="61F509CB" w14:textId="77777777" w:rsidR="00BB060F" w:rsidRPr="00B004EE" w:rsidRDefault="00BB060F" w:rsidP="00B004EE">
      <w:pPr>
        <w:ind w:right="164" w:hanging="4"/>
        <w:jc w:val="center"/>
        <w:rPr>
          <w:rFonts w:ascii="Tahoma" w:hAnsi="Tahoma" w:cs="Tahoma"/>
          <w:b/>
          <w:spacing w:val="1"/>
          <w:w w:val="113"/>
          <w:sz w:val="20"/>
          <w:szCs w:val="20"/>
        </w:rPr>
      </w:pPr>
    </w:p>
    <w:p w14:paraId="43811970" w14:textId="620B0B02" w:rsidR="001E7C3C" w:rsidRPr="00B004EE" w:rsidRDefault="001E7C3C" w:rsidP="00B004EE">
      <w:pPr>
        <w:pStyle w:val="Corpsdetexte"/>
        <w:ind w:right="158"/>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002A7758" w:rsidRPr="00B004EE">
        <w:rPr>
          <w:rFonts w:ascii="Tahoma" w:hAnsi="Tahoma" w:cs="Tahoma"/>
          <w:bCs/>
          <w:sz w:val="20"/>
          <w:szCs w:val="20"/>
        </w:rPr>
        <w:t>12 :</w:t>
      </w:r>
      <w:r w:rsidR="00DB1635" w:rsidRPr="00B004EE">
        <w:rPr>
          <w:rFonts w:ascii="Tahoma" w:hAnsi="Tahoma" w:cs="Tahoma"/>
          <w:bCs/>
          <w:sz w:val="20"/>
          <w:szCs w:val="20"/>
        </w:rPr>
        <w:t xml:space="preserve"> </w:t>
      </w:r>
      <w:r w:rsidRPr="00B004EE">
        <w:rPr>
          <w:rFonts w:ascii="Tahoma" w:hAnsi="Tahoma" w:cs="Tahoma"/>
          <w:sz w:val="20"/>
          <w:szCs w:val="20"/>
        </w:rPr>
        <w:t>Afin</w:t>
      </w:r>
      <w:r w:rsidR="00DB1635" w:rsidRPr="00B004EE">
        <w:rPr>
          <w:rFonts w:ascii="Tahoma" w:hAnsi="Tahoma" w:cs="Tahoma"/>
          <w:spacing w:val="-23"/>
          <w:sz w:val="20"/>
          <w:szCs w:val="20"/>
        </w:rPr>
        <w:t xml:space="preserve"> </w:t>
      </w:r>
      <w:r w:rsidRPr="00B004EE">
        <w:rPr>
          <w:rFonts w:ascii="Tahoma" w:hAnsi="Tahoma" w:cs="Tahoma"/>
          <w:sz w:val="20"/>
          <w:szCs w:val="20"/>
        </w:rPr>
        <w:t>de</w:t>
      </w:r>
      <w:r w:rsidR="00DB1635" w:rsidRPr="00B004EE">
        <w:rPr>
          <w:rFonts w:ascii="Tahoma" w:hAnsi="Tahoma" w:cs="Tahoma"/>
          <w:spacing w:val="-22"/>
          <w:sz w:val="20"/>
          <w:szCs w:val="20"/>
        </w:rPr>
        <w:t xml:space="preserve"> </w:t>
      </w:r>
      <w:r w:rsidRPr="00B004EE">
        <w:rPr>
          <w:rFonts w:ascii="Tahoma" w:hAnsi="Tahoma" w:cs="Tahoma"/>
          <w:sz w:val="20"/>
          <w:szCs w:val="20"/>
        </w:rPr>
        <w:t>limiter</w:t>
      </w:r>
      <w:r w:rsidR="00DB1635" w:rsidRPr="00B004EE">
        <w:rPr>
          <w:rFonts w:ascii="Tahoma" w:hAnsi="Tahoma" w:cs="Tahoma"/>
          <w:spacing w:val="-23"/>
          <w:sz w:val="20"/>
          <w:szCs w:val="20"/>
        </w:rPr>
        <w:t xml:space="preserve"> </w:t>
      </w:r>
      <w:r w:rsidRPr="00B004EE">
        <w:rPr>
          <w:rFonts w:ascii="Tahoma" w:hAnsi="Tahoma" w:cs="Tahoma"/>
          <w:sz w:val="20"/>
          <w:szCs w:val="20"/>
        </w:rPr>
        <w:t>la</w:t>
      </w:r>
      <w:r w:rsidR="00DB1635" w:rsidRPr="00B004EE">
        <w:rPr>
          <w:rFonts w:ascii="Tahoma" w:hAnsi="Tahoma" w:cs="Tahoma"/>
          <w:spacing w:val="-22"/>
          <w:sz w:val="20"/>
          <w:szCs w:val="20"/>
        </w:rPr>
        <w:t xml:space="preserve"> </w:t>
      </w:r>
      <w:r w:rsidRPr="00B004EE">
        <w:rPr>
          <w:rFonts w:ascii="Tahoma" w:hAnsi="Tahoma" w:cs="Tahoma"/>
          <w:sz w:val="20"/>
          <w:szCs w:val="20"/>
        </w:rPr>
        <w:t>quantité</w:t>
      </w:r>
      <w:r w:rsidR="00DB1635" w:rsidRPr="00B004EE">
        <w:rPr>
          <w:rFonts w:ascii="Tahoma" w:hAnsi="Tahoma" w:cs="Tahoma"/>
          <w:spacing w:val="-22"/>
          <w:sz w:val="20"/>
          <w:szCs w:val="20"/>
        </w:rPr>
        <w:t xml:space="preserve"> </w:t>
      </w:r>
      <w:r w:rsidRPr="00B004EE">
        <w:rPr>
          <w:rFonts w:ascii="Tahoma" w:hAnsi="Tahoma" w:cs="Tahoma"/>
          <w:sz w:val="20"/>
          <w:szCs w:val="20"/>
        </w:rPr>
        <w:t>des</w:t>
      </w:r>
      <w:r w:rsidR="00DB1635" w:rsidRPr="00B004EE">
        <w:rPr>
          <w:rFonts w:ascii="Tahoma" w:hAnsi="Tahoma" w:cs="Tahoma"/>
          <w:spacing w:val="-23"/>
          <w:sz w:val="20"/>
          <w:szCs w:val="20"/>
        </w:rPr>
        <w:t xml:space="preserve"> </w:t>
      </w:r>
      <w:r w:rsidRPr="00B004EE">
        <w:rPr>
          <w:rFonts w:ascii="Tahoma" w:hAnsi="Tahoma" w:cs="Tahoma"/>
          <w:sz w:val="20"/>
          <w:szCs w:val="20"/>
        </w:rPr>
        <w:t>ressources</w:t>
      </w:r>
      <w:r w:rsidR="00DB1635" w:rsidRPr="00B004EE">
        <w:rPr>
          <w:rFonts w:ascii="Tahoma" w:hAnsi="Tahoma" w:cs="Tahoma"/>
          <w:spacing w:val="-24"/>
          <w:sz w:val="20"/>
          <w:szCs w:val="20"/>
        </w:rPr>
        <w:t xml:space="preserve"> </w:t>
      </w:r>
      <w:r w:rsidRPr="00B004EE">
        <w:rPr>
          <w:rFonts w:ascii="Tahoma" w:hAnsi="Tahoma" w:cs="Tahoma"/>
          <w:sz w:val="20"/>
          <w:szCs w:val="20"/>
        </w:rPr>
        <w:t>halieutiques</w:t>
      </w:r>
      <w:r w:rsidR="00DB1635" w:rsidRPr="00B004EE">
        <w:rPr>
          <w:rFonts w:ascii="Tahoma" w:hAnsi="Tahoma" w:cs="Tahoma"/>
          <w:spacing w:val="-24"/>
          <w:sz w:val="20"/>
          <w:szCs w:val="20"/>
        </w:rPr>
        <w:t xml:space="preserve"> </w:t>
      </w:r>
      <w:r w:rsidRPr="00B004EE">
        <w:rPr>
          <w:rFonts w:ascii="Tahoma" w:hAnsi="Tahoma" w:cs="Tahoma"/>
          <w:sz w:val="20"/>
          <w:szCs w:val="20"/>
        </w:rPr>
        <w:t>qui</w:t>
      </w:r>
      <w:r w:rsidR="00DB1635" w:rsidRPr="00B004EE">
        <w:rPr>
          <w:rFonts w:ascii="Tahoma" w:hAnsi="Tahoma" w:cs="Tahoma"/>
          <w:spacing w:val="-23"/>
          <w:sz w:val="20"/>
          <w:szCs w:val="20"/>
        </w:rPr>
        <w:t xml:space="preserve"> </w:t>
      </w:r>
      <w:r w:rsidRPr="00B004EE">
        <w:rPr>
          <w:rFonts w:ascii="Tahoma" w:hAnsi="Tahoma" w:cs="Tahoma"/>
          <w:sz w:val="20"/>
          <w:szCs w:val="20"/>
        </w:rPr>
        <w:t>peuvent</w:t>
      </w:r>
      <w:r w:rsidR="00DB1635" w:rsidRPr="00B004EE">
        <w:rPr>
          <w:rFonts w:ascii="Tahoma" w:hAnsi="Tahoma" w:cs="Tahoma"/>
          <w:spacing w:val="-23"/>
          <w:sz w:val="20"/>
          <w:szCs w:val="20"/>
        </w:rPr>
        <w:t xml:space="preserve"> </w:t>
      </w:r>
      <w:r w:rsidRPr="00B004EE">
        <w:rPr>
          <w:rFonts w:ascii="Tahoma" w:hAnsi="Tahoma" w:cs="Tahoma"/>
          <w:sz w:val="20"/>
          <w:szCs w:val="20"/>
        </w:rPr>
        <w:t>être</w:t>
      </w:r>
      <w:r w:rsidR="00DB1635" w:rsidRPr="00B004EE">
        <w:rPr>
          <w:rFonts w:ascii="Tahoma" w:hAnsi="Tahoma" w:cs="Tahoma"/>
          <w:w w:val="94"/>
          <w:sz w:val="20"/>
          <w:szCs w:val="20"/>
        </w:rPr>
        <w:t xml:space="preserve"> </w:t>
      </w:r>
      <w:r w:rsidRPr="00B004EE">
        <w:rPr>
          <w:rFonts w:ascii="Tahoma" w:hAnsi="Tahoma" w:cs="Tahoma"/>
          <w:sz w:val="20"/>
          <w:szCs w:val="20"/>
        </w:rPr>
        <w:t>capturées</w:t>
      </w:r>
      <w:r w:rsidR="00DB1635" w:rsidRPr="00B004EE">
        <w:rPr>
          <w:rFonts w:ascii="Tahoma" w:hAnsi="Tahoma" w:cs="Tahoma"/>
          <w:spacing w:val="-22"/>
          <w:sz w:val="20"/>
          <w:szCs w:val="20"/>
        </w:rPr>
        <w:t xml:space="preserve"> </w:t>
      </w:r>
      <w:r w:rsidRPr="00B004EE">
        <w:rPr>
          <w:rFonts w:ascii="Tahoma" w:hAnsi="Tahoma" w:cs="Tahoma"/>
          <w:sz w:val="20"/>
          <w:szCs w:val="20"/>
        </w:rPr>
        <w:t>pendant</w:t>
      </w:r>
      <w:r w:rsidR="00DB1635" w:rsidRPr="00B004EE">
        <w:rPr>
          <w:rFonts w:ascii="Tahoma" w:hAnsi="Tahoma" w:cs="Tahoma"/>
          <w:spacing w:val="-22"/>
          <w:sz w:val="20"/>
          <w:szCs w:val="20"/>
        </w:rPr>
        <w:t xml:space="preserve"> </w:t>
      </w:r>
      <w:r w:rsidRPr="00B004EE">
        <w:rPr>
          <w:rFonts w:ascii="Tahoma" w:hAnsi="Tahoma" w:cs="Tahoma"/>
          <w:sz w:val="20"/>
          <w:szCs w:val="20"/>
        </w:rPr>
        <w:t>une</w:t>
      </w:r>
      <w:r w:rsidR="00DB1635" w:rsidRPr="00B004EE">
        <w:rPr>
          <w:rFonts w:ascii="Tahoma" w:hAnsi="Tahoma" w:cs="Tahoma"/>
          <w:spacing w:val="-22"/>
          <w:sz w:val="20"/>
          <w:szCs w:val="20"/>
        </w:rPr>
        <w:t xml:space="preserve"> </w:t>
      </w:r>
      <w:r w:rsidRPr="00B004EE">
        <w:rPr>
          <w:rFonts w:ascii="Tahoma" w:hAnsi="Tahoma" w:cs="Tahoma"/>
          <w:sz w:val="20"/>
          <w:szCs w:val="20"/>
        </w:rPr>
        <w:t>période</w:t>
      </w:r>
      <w:r w:rsidR="00DB1635" w:rsidRPr="00B004EE">
        <w:rPr>
          <w:rFonts w:ascii="Tahoma" w:hAnsi="Tahoma" w:cs="Tahoma"/>
          <w:spacing w:val="-22"/>
          <w:sz w:val="20"/>
          <w:szCs w:val="20"/>
        </w:rPr>
        <w:t xml:space="preserve"> </w:t>
      </w:r>
      <w:r w:rsidRPr="00B004EE">
        <w:rPr>
          <w:rFonts w:ascii="Tahoma" w:hAnsi="Tahoma" w:cs="Tahoma"/>
          <w:sz w:val="20"/>
          <w:szCs w:val="20"/>
        </w:rPr>
        <w:t>donnée,</w:t>
      </w:r>
      <w:r w:rsidR="00DB1635" w:rsidRPr="00B004EE">
        <w:rPr>
          <w:rFonts w:ascii="Tahoma" w:hAnsi="Tahoma" w:cs="Tahoma"/>
          <w:spacing w:val="-21"/>
          <w:sz w:val="20"/>
          <w:szCs w:val="20"/>
        </w:rPr>
        <w:t xml:space="preserve"> </w:t>
      </w:r>
      <w:r w:rsidRPr="00B004EE">
        <w:rPr>
          <w:rFonts w:ascii="Tahoma" w:hAnsi="Tahoma" w:cs="Tahoma"/>
          <w:sz w:val="20"/>
          <w:szCs w:val="20"/>
        </w:rPr>
        <w:t>aux</w:t>
      </w:r>
      <w:r w:rsidR="00DB1635" w:rsidRPr="00B004EE">
        <w:rPr>
          <w:rFonts w:ascii="Tahoma" w:hAnsi="Tahoma" w:cs="Tahoma"/>
          <w:spacing w:val="-22"/>
          <w:sz w:val="20"/>
          <w:szCs w:val="20"/>
        </w:rPr>
        <w:t xml:space="preserve"> </w:t>
      </w:r>
      <w:r w:rsidRPr="00B004EE">
        <w:rPr>
          <w:rFonts w:ascii="Tahoma" w:hAnsi="Tahoma" w:cs="Tahoma"/>
          <w:sz w:val="20"/>
          <w:szCs w:val="20"/>
        </w:rPr>
        <w:t>capacités</w:t>
      </w:r>
      <w:r w:rsidR="00DB1635" w:rsidRPr="00B004EE">
        <w:rPr>
          <w:rFonts w:ascii="Tahoma" w:hAnsi="Tahoma" w:cs="Tahoma"/>
          <w:spacing w:val="-22"/>
          <w:sz w:val="20"/>
          <w:szCs w:val="20"/>
        </w:rPr>
        <w:t xml:space="preserve"> </w:t>
      </w:r>
      <w:r w:rsidRPr="00B004EE">
        <w:rPr>
          <w:rFonts w:ascii="Tahoma" w:hAnsi="Tahoma" w:cs="Tahoma"/>
          <w:sz w:val="20"/>
          <w:szCs w:val="20"/>
        </w:rPr>
        <w:t>de</w:t>
      </w:r>
      <w:r w:rsidR="00DB1635" w:rsidRPr="00B004EE">
        <w:rPr>
          <w:rFonts w:ascii="Tahoma" w:hAnsi="Tahoma" w:cs="Tahoma"/>
          <w:spacing w:val="-23"/>
          <w:sz w:val="20"/>
          <w:szCs w:val="20"/>
        </w:rPr>
        <w:t xml:space="preserve"> </w:t>
      </w:r>
      <w:r w:rsidRPr="00B004EE">
        <w:rPr>
          <w:rFonts w:ascii="Tahoma" w:hAnsi="Tahoma" w:cs="Tahoma"/>
          <w:sz w:val="20"/>
          <w:szCs w:val="20"/>
        </w:rPr>
        <w:t>production</w:t>
      </w:r>
      <w:r w:rsidR="00DB1635" w:rsidRPr="00B004EE">
        <w:rPr>
          <w:rFonts w:ascii="Tahoma" w:hAnsi="Tahoma" w:cs="Tahoma"/>
          <w:spacing w:val="-23"/>
          <w:sz w:val="20"/>
          <w:szCs w:val="20"/>
        </w:rPr>
        <w:t xml:space="preserve"> </w:t>
      </w:r>
      <w:r w:rsidRPr="00B004EE">
        <w:rPr>
          <w:rFonts w:ascii="Tahoma" w:hAnsi="Tahoma" w:cs="Tahoma"/>
          <w:sz w:val="20"/>
          <w:szCs w:val="20"/>
        </w:rPr>
        <w:t>des</w:t>
      </w:r>
      <w:r w:rsidR="00DB1635" w:rsidRPr="00B004EE">
        <w:rPr>
          <w:rFonts w:ascii="Tahoma" w:hAnsi="Tahoma" w:cs="Tahoma"/>
          <w:spacing w:val="-23"/>
          <w:sz w:val="20"/>
          <w:szCs w:val="20"/>
        </w:rPr>
        <w:t xml:space="preserve"> </w:t>
      </w:r>
      <w:r w:rsidRPr="00B004EE">
        <w:rPr>
          <w:rFonts w:ascii="Tahoma" w:hAnsi="Tahoma" w:cs="Tahoma"/>
          <w:sz w:val="20"/>
          <w:szCs w:val="20"/>
        </w:rPr>
        <w:t>stocks,</w:t>
      </w:r>
      <w:r w:rsidR="00DB1635" w:rsidRPr="00B004EE">
        <w:rPr>
          <w:rFonts w:ascii="Tahoma" w:hAnsi="Tahoma" w:cs="Tahoma"/>
          <w:spacing w:val="-21"/>
          <w:sz w:val="20"/>
          <w:szCs w:val="20"/>
        </w:rPr>
        <w:t xml:space="preserve"> </w:t>
      </w:r>
      <w:r w:rsidRPr="00B004EE">
        <w:rPr>
          <w:rFonts w:ascii="Tahoma" w:hAnsi="Tahoma" w:cs="Tahoma"/>
          <w:sz w:val="20"/>
          <w:szCs w:val="20"/>
        </w:rPr>
        <w:t>un</w:t>
      </w:r>
      <w:r w:rsidR="00DB1635" w:rsidRPr="00B004EE">
        <w:rPr>
          <w:rFonts w:ascii="Tahoma" w:hAnsi="Tahoma" w:cs="Tahoma"/>
          <w:spacing w:val="-1"/>
          <w:w w:val="97"/>
          <w:sz w:val="20"/>
          <w:szCs w:val="20"/>
        </w:rPr>
        <w:t xml:space="preserve"> </w:t>
      </w:r>
      <w:r w:rsidRPr="00B004EE">
        <w:rPr>
          <w:rFonts w:ascii="Tahoma" w:hAnsi="Tahoma" w:cs="Tahoma"/>
          <w:sz w:val="20"/>
          <w:szCs w:val="20"/>
        </w:rPr>
        <w:t>Total</w:t>
      </w:r>
      <w:r w:rsidR="00DB1635" w:rsidRPr="00B004EE">
        <w:rPr>
          <w:rFonts w:ascii="Tahoma" w:hAnsi="Tahoma" w:cs="Tahoma"/>
          <w:spacing w:val="-11"/>
          <w:sz w:val="20"/>
          <w:szCs w:val="20"/>
        </w:rPr>
        <w:t xml:space="preserve"> </w:t>
      </w:r>
      <w:r w:rsidRPr="00B004EE">
        <w:rPr>
          <w:rFonts w:ascii="Tahoma" w:hAnsi="Tahoma" w:cs="Tahoma"/>
          <w:sz w:val="20"/>
          <w:szCs w:val="20"/>
        </w:rPr>
        <w:t>Admissible</w:t>
      </w:r>
      <w:r w:rsidR="00DB1635" w:rsidRPr="00B004EE">
        <w:rPr>
          <w:rFonts w:ascii="Tahoma" w:hAnsi="Tahoma" w:cs="Tahoma"/>
          <w:spacing w:val="-11"/>
          <w:sz w:val="20"/>
          <w:szCs w:val="20"/>
        </w:rPr>
        <w:t xml:space="preserve"> </w:t>
      </w:r>
      <w:r w:rsidRPr="00B004EE">
        <w:rPr>
          <w:rFonts w:ascii="Tahoma" w:hAnsi="Tahoma" w:cs="Tahoma"/>
          <w:sz w:val="20"/>
          <w:szCs w:val="20"/>
        </w:rPr>
        <w:t>des</w:t>
      </w:r>
      <w:r w:rsidR="00DB1635" w:rsidRPr="00B004EE">
        <w:rPr>
          <w:rFonts w:ascii="Tahoma" w:hAnsi="Tahoma" w:cs="Tahoma"/>
          <w:spacing w:val="-11"/>
          <w:sz w:val="20"/>
          <w:szCs w:val="20"/>
        </w:rPr>
        <w:t xml:space="preserve"> </w:t>
      </w:r>
      <w:r w:rsidRPr="00B004EE">
        <w:rPr>
          <w:rFonts w:ascii="Tahoma" w:hAnsi="Tahoma" w:cs="Tahoma"/>
          <w:sz w:val="20"/>
          <w:szCs w:val="20"/>
        </w:rPr>
        <w:t>Captures</w:t>
      </w:r>
      <w:r w:rsidR="00DB1635" w:rsidRPr="00B004EE">
        <w:rPr>
          <w:rFonts w:ascii="Tahoma" w:hAnsi="Tahoma" w:cs="Tahoma"/>
          <w:spacing w:val="-9"/>
          <w:sz w:val="20"/>
          <w:szCs w:val="20"/>
        </w:rPr>
        <w:t xml:space="preserve"> </w:t>
      </w:r>
      <w:r w:rsidRPr="00B004EE">
        <w:rPr>
          <w:rFonts w:ascii="Tahoma" w:hAnsi="Tahoma" w:cs="Tahoma"/>
          <w:sz w:val="20"/>
          <w:szCs w:val="20"/>
        </w:rPr>
        <w:t>(TAC)</w:t>
      </w:r>
      <w:r w:rsidR="00DB1635" w:rsidRPr="00B004EE">
        <w:rPr>
          <w:rFonts w:ascii="Tahoma" w:hAnsi="Tahoma" w:cs="Tahoma"/>
          <w:spacing w:val="-11"/>
          <w:sz w:val="20"/>
          <w:szCs w:val="20"/>
        </w:rPr>
        <w:t xml:space="preserve"> </w:t>
      </w:r>
      <w:r w:rsidRPr="00B004EE">
        <w:rPr>
          <w:rFonts w:ascii="Tahoma" w:hAnsi="Tahoma" w:cs="Tahoma"/>
          <w:sz w:val="20"/>
          <w:szCs w:val="20"/>
        </w:rPr>
        <w:t>est</w:t>
      </w:r>
      <w:r w:rsidR="00DB1635" w:rsidRPr="00B004EE">
        <w:rPr>
          <w:rFonts w:ascii="Tahoma" w:hAnsi="Tahoma" w:cs="Tahoma"/>
          <w:spacing w:val="-11"/>
          <w:sz w:val="20"/>
          <w:szCs w:val="20"/>
        </w:rPr>
        <w:t xml:space="preserve"> </w:t>
      </w:r>
      <w:r w:rsidRPr="00B004EE">
        <w:rPr>
          <w:rFonts w:ascii="Tahoma" w:hAnsi="Tahoma" w:cs="Tahoma"/>
          <w:sz w:val="20"/>
          <w:szCs w:val="20"/>
        </w:rPr>
        <w:t>fixé</w:t>
      </w:r>
      <w:r w:rsidR="00DB1635" w:rsidRPr="00B004EE">
        <w:rPr>
          <w:rFonts w:ascii="Tahoma" w:hAnsi="Tahoma" w:cs="Tahoma"/>
          <w:spacing w:val="-10"/>
          <w:sz w:val="20"/>
          <w:szCs w:val="20"/>
        </w:rPr>
        <w:t xml:space="preserve"> </w:t>
      </w:r>
      <w:r w:rsidRPr="00B004EE">
        <w:rPr>
          <w:rFonts w:ascii="Tahoma" w:hAnsi="Tahoma" w:cs="Tahoma"/>
          <w:sz w:val="20"/>
          <w:szCs w:val="20"/>
        </w:rPr>
        <w:t>pour</w:t>
      </w:r>
      <w:r w:rsidR="00DB1635" w:rsidRPr="00B004EE">
        <w:rPr>
          <w:rFonts w:ascii="Tahoma" w:hAnsi="Tahoma" w:cs="Tahoma"/>
          <w:spacing w:val="-12"/>
          <w:sz w:val="20"/>
          <w:szCs w:val="20"/>
        </w:rPr>
        <w:t xml:space="preserve"> </w:t>
      </w:r>
      <w:r w:rsidRPr="00B004EE">
        <w:rPr>
          <w:rFonts w:ascii="Tahoma" w:hAnsi="Tahoma" w:cs="Tahoma"/>
          <w:sz w:val="20"/>
          <w:szCs w:val="20"/>
        </w:rPr>
        <w:t>les</w:t>
      </w:r>
      <w:r w:rsidR="00DB1635" w:rsidRPr="00B004EE">
        <w:rPr>
          <w:rFonts w:ascii="Tahoma" w:hAnsi="Tahoma" w:cs="Tahoma"/>
          <w:spacing w:val="-11"/>
          <w:sz w:val="20"/>
          <w:szCs w:val="20"/>
        </w:rPr>
        <w:t xml:space="preserve"> </w:t>
      </w:r>
      <w:r w:rsidRPr="00B004EE">
        <w:rPr>
          <w:rFonts w:ascii="Tahoma" w:hAnsi="Tahoma" w:cs="Tahoma"/>
          <w:sz w:val="20"/>
          <w:szCs w:val="20"/>
        </w:rPr>
        <w:t>différentes</w:t>
      </w:r>
      <w:r w:rsidR="00DB1635" w:rsidRPr="00B004EE">
        <w:rPr>
          <w:rFonts w:ascii="Tahoma" w:hAnsi="Tahoma" w:cs="Tahoma"/>
          <w:spacing w:val="39"/>
          <w:sz w:val="20"/>
          <w:szCs w:val="20"/>
        </w:rPr>
        <w:t xml:space="preserve"> </w:t>
      </w:r>
      <w:r w:rsidRPr="00B004EE">
        <w:rPr>
          <w:rFonts w:ascii="Tahoma" w:hAnsi="Tahoma" w:cs="Tahoma"/>
          <w:sz w:val="20"/>
          <w:szCs w:val="20"/>
        </w:rPr>
        <w:t>pêcheries</w:t>
      </w:r>
      <w:r w:rsidR="00DB1635" w:rsidRPr="00B004EE">
        <w:rPr>
          <w:rFonts w:ascii="Tahoma" w:hAnsi="Tahoma" w:cs="Tahoma"/>
          <w:spacing w:val="-11"/>
          <w:sz w:val="20"/>
          <w:szCs w:val="20"/>
        </w:rPr>
        <w:t xml:space="preserve"> </w:t>
      </w:r>
      <w:r w:rsidRPr="00B004EE">
        <w:rPr>
          <w:rFonts w:ascii="Tahoma" w:hAnsi="Tahoma" w:cs="Tahoma"/>
          <w:sz w:val="20"/>
          <w:szCs w:val="20"/>
        </w:rPr>
        <w:t>par</w:t>
      </w:r>
      <w:r w:rsidR="00DB1635" w:rsidRPr="00B004EE">
        <w:rPr>
          <w:rFonts w:ascii="Tahoma" w:hAnsi="Tahoma" w:cs="Tahoma"/>
          <w:spacing w:val="-13"/>
          <w:sz w:val="20"/>
          <w:szCs w:val="20"/>
        </w:rPr>
        <w:t xml:space="preserve"> </w:t>
      </w:r>
      <w:r w:rsidRPr="00B004EE">
        <w:rPr>
          <w:rFonts w:ascii="Tahoma" w:hAnsi="Tahoma" w:cs="Tahoma"/>
          <w:sz w:val="20"/>
          <w:szCs w:val="20"/>
        </w:rPr>
        <w:t>le</w:t>
      </w:r>
      <w:r w:rsidR="00DB1635" w:rsidRPr="00B004EE">
        <w:rPr>
          <w:rFonts w:ascii="Tahoma" w:hAnsi="Tahoma" w:cs="Tahoma"/>
          <w:w w:val="94"/>
          <w:sz w:val="20"/>
          <w:szCs w:val="20"/>
        </w:rPr>
        <w:t xml:space="preserve"> </w:t>
      </w:r>
      <w:r w:rsidRPr="00B004EE">
        <w:rPr>
          <w:rFonts w:ascii="Tahoma" w:hAnsi="Tahoma" w:cs="Tahoma"/>
          <w:w w:val="95"/>
          <w:sz w:val="20"/>
          <w:szCs w:val="20"/>
        </w:rPr>
        <w:t>Ministre</w:t>
      </w:r>
      <w:r w:rsidR="00DB1635" w:rsidRPr="00B004EE">
        <w:rPr>
          <w:rFonts w:ascii="Tahoma" w:hAnsi="Tahoma" w:cs="Tahoma"/>
          <w:w w:val="95"/>
          <w:sz w:val="20"/>
          <w:szCs w:val="20"/>
        </w:rPr>
        <w:t xml:space="preserve"> </w:t>
      </w:r>
      <w:r w:rsidRPr="00B004EE">
        <w:rPr>
          <w:rFonts w:ascii="Tahoma" w:hAnsi="Tahoma" w:cs="Tahoma"/>
          <w:w w:val="95"/>
          <w:sz w:val="20"/>
          <w:szCs w:val="20"/>
        </w:rPr>
        <w:t>chargé</w:t>
      </w:r>
      <w:r w:rsidR="00DB1635" w:rsidRPr="00B004EE">
        <w:rPr>
          <w:rFonts w:ascii="Tahoma" w:hAnsi="Tahoma" w:cs="Tahoma"/>
          <w:w w:val="95"/>
          <w:sz w:val="20"/>
          <w:szCs w:val="20"/>
        </w:rPr>
        <w:t xml:space="preserve"> </w:t>
      </w:r>
      <w:r w:rsidRPr="00B004EE">
        <w:rPr>
          <w:rFonts w:ascii="Tahoma" w:hAnsi="Tahoma" w:cs="Tahoma"/>
          <w:w w:val="95"/>
          <w:sz w:val="20"/>
          <w:szCs w:val="20"/>
        </w:rPr>
        <w:t>des</w:t>
      </w:r>
      <w:r w:rsidR="00DB1635" w:rsidRPr="00B004EE">
        <w:rPr>
          <w:rFonts w:ascii="Tahoma" w:hAnsi="Tahoma" w:cs="Tahoma"/>
          <w:spacing w:val="38"/>
          <w:w w:val="95"/>
          <w:sz w:val="20"/>
          <w:szCs w:val="20"/>
        </w:rPr>
        <w:t xml:space="preserve"> </w:t>
      </w:r>
      <w:r w:rsidRPr="00B004EE">
        <w:rPr>
          <w:rFonts w:ascii="Tahoma" w:hAnsi="Tahoma" w:cs="Tahoma"/>
          <w:w w:val="95"/>
          <w:sz w:val="20"/>
          <w:szCs w:val="20"/>
        </w:rPr>
        <w:t>Pêches.</w:t>
      </w:r>
    </w:p>
    <w:p w14:paraId="4AB9B56E" w14:textId="77777777" w:rsidR="001E7C3C" w:rsidRPr="00B004EE" w:rsidRDefault="001E7C3C" w:rsidP="00B004EE">
      <w:pPr>
        <w:rPr>
          <w:rFonts w:ascii="Tahoma" w:eastAsia="American Typewriter" w:hAnsi="Tahoma" w:cs="Tahoma"/>
          <w:sz w:val="20"/>
          <w:szCs w:val="20"/>
        </w:rPr>
      </w:pPr>
    </w:p>
    <w:p w14:paraId="51720B56" w14:textId="2F1F53B5" w:rsidR="001E7C3C" w:rsidRPr="00B004EE" w:rsidRDefault="001E7C3C" w:rsidP="00B004EE">
      <w:pPr>
        <w:ind w:right="164" w:hanging="4"/>
        <w:jc w:val="center"/>
        <w:rPr>
          <w:rFonts w:ascii="Tahoma" w:hAnsi="Tahoma" w:cs="Tahoma"/>
          <w:b/>
          <w:spacing w:val="1"/>
          <w:w w:val="113"/>
          <w:sz w:val="20"/>
          <w:szCs w:val="20"/>
        </w:rPr>
      </w:pPr>
      <w:bookmarkStart w:id="45" w:name="_Toc16279055"/>
      <w:bookmarkStart w:id="46" w:name="_Toc16279424"/>
      <w:r w:rsidRPr="00B004EE">
        <w:rPr>
          <w:rFonts w:ascii="Tahoma" w:hAnsi="Tahoma" w:cs="Tahoma"/>
          <w:b/>
          <w:spacing w:val="1"/>
          <w:w w:val="113"/>
          <w:sz w:val="20"/>
          <w:szCs w:val="20"/>
        </w:rPr>
        <w:t>Section</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2</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De</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la</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détermination</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du</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TAC</w:t>
      </w:r>
      <w:bookmarkEnd w:id="45"/>
      <w:bookmarkEnd w:id="46"/>
    </w:p>
    <w:p w14:paraId="5FDB028C" w14:textId="77777777" w:rsidR="00BB060F" w:rsidRPr="00B004EE" w:rsidRDefault="00BB060F" w:rsidP="00B004EE">
      <w:pPr>
        <w:ind w:right="164" w:hanging="4"/>
        <w:jc w:val="center"/>
        <w:rPr>
          <w:rFonts w:ascii="Tahoma" w:hAnsi="Tahoma" w:cs="Tahoma"/>
          <w:b/>
          <w:spacing w:val="1"/>
          <w:w w:val="113"/>
          <w:sz w:val="20"/>
          <w:szCs w:val="20"/>
        </w:rPr>
      </w:pPr>
    </w:p>
    <w:p w14:paraId="1F29BBEF" w14:textId="57FEB21F" w:rsidR="001E7C3C" w:rsidRPr="00B004EE" w:rsidRDefault="001E7C3C" w:rsidP="00B004EE">
      <w:pPr>
        <w:pStyle w:val="Corpsdetexte"/>
        <w:ind w:right="158"/>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13</w:t>
      </w:r>
      <w:r w:rsidR="00DB1635" w:rsidRPr="00B004EE">
        <w:rPr>
          <w:rFonts w:ascii="Tahoma" w:hAnsi="Tahoma" w:cs="Tahoma"/>
          <w:bCs/>
          <w:sz w:val="20"/>
          <w:szCs w:val="20"/>
        </w:rPr>
        <w:t xml:space="preserve"> </w:t>
      </w:r>
      <w:r w:rsidRPr="00B004EE">
        <w:rPr>
          <w:rFonts w:ascii="Tahoma" w:hAnsi="Tahoma" w:cs="Tahoma"/>
          <w:bCs/>
          <w:sz w:val="20"/>
          <w:szCs w:val="20"/>
        </w:rPr>
        <w:t>:</w:t>
      </w:r>
      <w:r w:rsidR="00DB1635" w:rsidRPr="00B004EE">
        <w:rPr>
          <w:rFonts w:ascii="Tahoma" w:eastAsia="American Typewriter" w:hAnsi="Tahoma" w:cs="Tahoma"/>
          <w:b/>
          <w:bCs/>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TAC</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déterminé</w:t>
      </w:r>
      <w:r w:rsidR="00DB1635" w:rsidRPr="00B004EE">
        <w:rPr>
          <w:rFonts w:ascii="Tahoma" w:hAnsi="Tahoma" w:cs="Tahoma"/>
          <w:sz w:val="20"/>
          <w:szCs w:val="20"/>
        </w:rPr>
        <w:t xml:space="preserve"> </w:t>
      </w:r>
      <w:r w:rsidRPr="00B004EE">
        <w:rPr>
          <w:rFonts w:ascii="Tahoma" w:hAnsi="Tahoma" w:cs="Tahoma"/>
          <w:sz w:val="20"/>
          <w:szCs w:val="20"/>
        </w:rPr>
        <w:t>sur</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base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meilleures</w:t>
      </w:r>
      <w:r w:rsidR="00DB1635" w:rsidRPr="00B004EE">
        <w:rPr>
          <w:rFonts w:ascii="Tahoma" w:hAnsi="Tahoma" w:cs="Tahoma"/>
          <w:sz w:val="20"/>
          <w:szCs w:val="20"/>
        </w:rPr>
        <w:t xml:space="preserve"> </w:t>
      </w:r>
      <w:r w:rsidRPr="00B004EE">
        <w:rPr>
          <w:rFonts w:ascii="Tahoma" w:hAnsi="Tahoma" w:cs="Tahoma"/>
          <w:sz w:val="20"/>
          <w:szCs w:val="20"/>
        </w:rPr>
        <w:t>connaissances</w:t>
      </w:r>
      <w:r w:rsidR="00DB1635" w:rsidRPr="00B004EE">
        <w:rPr>
          <w:rFonts w:ascii="Tahoma" w:hAnsi="Tahoma" w:cs="Tahoma"/>
          <w:w w:val="94"/>
          <w:sz w:val="20"/>
          <w:szCs w:val="20"/>
        </w:rPr>
        <w:t xml:space="preserve"> </w:t>
      </w:r>
      <w:r w:rsidRPr="00B004EE">
        <w:rPr>
          <w:rFonts w:ascii="Tahoma" w:hAnsi="Tahoma" w:cs="Tahoma"/>
          <w:sz w:val="20"/>
          <w:szCs w:val="20"/>
        </w:rPr>
        <w:t>scientifiques,</w:t>
      </w:r>
      <w:r w:rsidR="00DB1635" w:rsidRPr="00B004EE">
        <w:rPr>
          <w:rFonts w:ascii="Tahoma" w:hAnsi="Tahoma" w:cs="Tahoma"/>
          <w:sz w:val="20"/>
          <w:szCs w:val="20"/>
        </w:rPr>
        <w:t xml:space="preserve"> </w:t>
      </w:r>
      <w:r w:rsidRPr="00B004EE">
        <w:rPr>
          <w:rFonts w:ascii="Tahoma" w:hAnsi="Tahoma" w:cs="Tahoma"/>
          <w:sz w:val="20"/>
          <w:szCs w:val="20"/>
        </w:rPr>
        <w:t>techniques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économiques,</w:t>
      </w:r>
      <w:r w:rsidR="00DB1635" w:rsidRPr="00B004EE">
        <w:rPr>
          <w:rFonts w:ascii="Tahoma" w:hAnsi="Tahoma" w:cs="Tahoma"/>
          <w:sz w:val="20"/>
          <w:szCs w:val="20"/>
        </w:rPr>
        <w:t xml:space="preserve"> </w:t>
      </w:r>
      <w:r w:rsidRPr="00B004EE">
        <w:rPr>
          <w:rFonts w:ascii="Tahoma" w:hAnsi="Tahoma" w:cs="Tahoma"/>
          <w:sz w:val="20"/>
          <w:szCs w:val="20"/>
        </w:rPr>
        <w:t>fournies</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eastAsia="American Typewriter" w:hAnsi="Tahoma" w:cs="Tahoma"/>
          <w:sz w:val="20"/>
          <w:szCs w:val="20"/>
        </w:rPr>
        <w:t>l’institution</w:t>
      </w:r>
      <w:r w:rsidR="00DB1635" w:rsidRPr="00B004EE">
        <w:rPr>
          <w:rFonts w:ascii="Tahoma" w:eastAsia="American Typewriter" w:hAnsi="Tahoma" w:cs="Tahoma"/>
          <w:spacing w:val="3"/>
          <w:sz w:val="20"/>
          <w:szCs w:val="20"/>
        </w:rPr>
        <w:t xml:space="preserve"> </w:t>
      </w:r>
      <w:r w:rsidRPr="00B004EE">
        <w:rPr>
          <w:rFonts w:ascii="Tahoma" w:eastAsia="American Typewriter" w:hAnsi="Tahoma" w:cs="Tahoma"/>
          <w:sz w:val="20"/>
          <w:szCs w:val="20"/>
        </w:rPr>
        <w:t>nationale</w:t>
      </w:r>
      <w:r w:rsidR="00DB1635" w:rsidRPr="00B004EE">
        <w:rPr>
          <w:rFonts w:ascii="Tahoma" w:eastAsia="American Typewriter" w:hAnsi="Tahoma" w:cs="Tahoma"/>
          <w:w w:val="94"/>
          <w:sz w:val="20"/>
          <w:szCs w:val="20"/>
        </w:rPr>
        <w:t xml:space="preserve"> </w:t>
      </w:r>
      <w:r w:rsidRPr="00B004EE">
        <w:rPr>
          <w:rFonts w:ascii="Tahoma" w:hAnsi="Tahoma" w:cs="Tahoma"/>
          <w:sz w:val="20"/>
          <w:szCs w:val="20"/>
        </w:rPr>
        <w:t>chargée</w:t>
      </w:r>
      <w:r w:rsidR="00DB1635" w:rsidRPr="00B004EE">
        <w:rPr>
          <w:rFonts w:ascii="Tahoma" w:hAnsi="Tahoma" w:cs="Tahoma"/>
          <w:spacing w:val="-10"/>
          <w:sz w:val="20"/>
          <w:szCs w:val="20"/>
        </w:rPr>
        <w:t xml:space="preserve"> </w:t>
      </w:r>
      <w:r w:rsidRPr="00B004EE">
        <w:rPr>
          <w:rFonts w:ascii="Tahoma" w:hAnsi="Tahoma" w:cs="Tahoma"/>
          <w:sz w:val="20"/>
          <w:szCs w:val="20"/>
        </w:rPr>
        <w:t>de</w:t>
      </w:r>
      <w:r w:rsidR="00DB1635" w:rsidRPr="00B004EE">
        <w:rPr>
          <w:rFonts w:ascii="Tahoma" w:hAnsi="Tahoma" w:cs="Tahoma"/>
          <w:spacing w:val="-10"/>
          <w:sz w:val="20"/>
          <w:szCs w:val="20"/>
        </w:rPr>
        <w:t xml:space="preserve"> </w:t>
      </w:r>
      <w:r w:rsidRPr="00B004EE">
        <w:rPr>
          <w:rFonts w:ascii="Tahoma" w:hAnsi="Tahoma" w:cs="Tahoma"/>
          <w:sz w:val="20"/>
          <w:szCs w:val="20"/>
        </w:rPr>
        <w:t>la</w:t>
      </w:r>
      <w:r w:rsidR="00DB1635" w:rsidRPr="00B004EE">
        <w:rPr>
          <w:rFonts w:ascii="Tahoma" w:hAnsi="Tahoma" w:cs="Tahoma"/>
          <w:spacing w:val="-10"/>
          <w:sz w:val="20"/>
          <w:szCs w:val="20"/>
        </w:rPr>
        <w:t xml:space="preserve"> </w:t>
      </w:r>
      <w:r w:rsidRPr="00B004EE">
        <w:rPr>
          <w:rFonts w:ascii="Tahoma" w:hAnsi="Tahoma" w:cs="Tahoma"/>
          <w:sz w:val="20"/>
          <w:szCs w:val="20"/>
        </w:rPr>
        <w:t>recherche</w:t>
      </w:r>
      <w:r w:rsidR="00DB1635" w:rsidRPr="00B004EE">
        <w:rPr>
          <w:rFonts w:ascii="Tahoma" w:hAnsi="Tahoma" w:cs="Tahoma"/>
          <w:spacing w:val="-10"/>
          <w:sz w:val="20"/>
          <w:szCs w:val="20"/>
        </w:rPr>
        <w:t xml:space="preserve"> </w:t>
      </w:r>
      <w:r w:rsidRPr="00B004EE">
        <w:rPr>
          <w:rFonts w:ascii="Tahoma" w:hAnsi="Tahoma" w:cs="Tahoma"/>
          <w:sz w:val="20"/>
          <w:szCs w:val="20"/>
        </w:rPr>
        <w:t>océanographique</w:t>
      </w:r>
      <w:r w:rsidR="00DB1635" w:rsidRPr="00B004EE">
        <w:rPr>
          <w:rFonts w:ascii="Tahoma" w:hAnsi="Tahoma" w:cs="Tahoma"/>
          <w:spacing w:val="-10"/>
          <w:sz w:val="20"/>
          <w:szCs w:val="20"/>
        </w:rPr>
        <w:t xml:space="preserve"> </w:t>
      </w:r>
      <w:r w:rsidRPr="00B004EE">
        <w:rPr>
          <w:rFonts w:ascii="Tahoma" w:hAnsi="Tahoma" w:cs="Tahoma"/>
          <w:sz w:val="20"/>
          <w:szCs w:val="20"/>
        </w:rPr>
        <w:t>et</w:t>
      </w:r>
      <w:r w:rsidR="00DB1635" w:rsidRPr="00B004EE">
        <w:rPr>
          <w:rFonts w:ascii="Tahoma" w:hAnsi="Tahoma" w:cs="Tahoma"/>
          <w:spacing w:val="-11"/>
          <w:sz w:val="20"/>
          <w:szCs w:val="20"/>
        </w:rPr>
        <w:t xml:space="preserve"> </w:t>
      </w:r>
      <w:r w:rsidRPr="00B004EE">
        <w:rPr>
          <w:rFonts w:ascii="Tahoma" w:hAnsi="Tahoma" w:cs="Tahoma"/>
          <w:sz w:val="20"/>
          <w:szCs w:val="20"/>
        </w:rPr>
        <w:t>des</w:t>
      </w:r>
      <w:r w:rsidR="00DB1635" w:rsidRPr="00B004EE">
        <w:rPr>
          <w:rFonts w:ascii="Tahoma" w:hAnsi="Tahoma" w:cs="Tahoma"/>
          <w:spacing w:val="-12"/>
          <w:sz w:val="20"/>
          <w:szCs w:val="20"/>
        </w:rPr>
        <w:t xml:space="preserve"> </w:t>
      </w:r>
      <w:r w:rsidRPr="00B004EE">
        <w:rPr>
          <w:rFonts w:ascii="Tahoma" w:hAnsi="Tahoma" w:cs="Tahoma"/>
          <w:sz w:val="20"/>
          <w:szCs w:val="20"/>
        </w:rPr>
        <w:t>pêches.</w:t>
      </w:r>
      <w:r w:rsidR="00DB1635" w:rsidRPr="00B004EE">
        <w:rPr>
          <w:rFonts w:ascii="Tahoma" w:hAnsi="Tahoma" w:cs="Tahoma"/>
          <w:spacing w:val="-11"/>
          <w:sz w:val="20"/>
          <w:szCs w:val="20"/>
        </w:rPr>
        <w:t xml:space="preserve"> </w:t>
      </w:r>
      <w:r w:rsidRPr="00B004EE">
        <w:rPr>
          <w:rFonts w:ascii="Tahoma" w:hAnsi="Tahoma" w:cs="Tahoma"/>
          <w:sz w:val="20"/>
          <w:szCs w:val="20"/>
        </w:rPr>
        <w:t>Il</w:t>
      </w:r>
      <w:r w:rsidR="00DB1635" w:rsidRPr="00B004EE">
        <w:rPr>
          <w:rFonts w:ascii="Tahoma" w:hAnsi="Tahoma" w:cs="Tahoma"/>
          <w:spacing w:val="-11"/>
          <w:sz w:val="20"/>
          <w:szCs w:val="20"/>
        </w:rPr>
        <w:t xml:space="preserve"> </w:t>
      </w:r>
      <w:r w:rsidRPr="00B004EE">
        <w:rPr>
          <w:rFonts w:ascii="Tahoma" w:hAnsi="Tahoma" w:cs="Tahoma"/>
          <w:sz w:val="20"/>
          <w:szCs w:val="20"/>
        </w:rPr>
        <w:t>est</w:t>
      </w:r>
      <w:r w:rsidR="00DB1635" w:rsidRPr="00B004EE">
        <w:rPr>
          <w:rFonts w:ascii="Tahoma" w:hAnsi="Tahoma" w:cs="Tahoma"/>
          <w:spacing w:val="-12"/>
          <w:sz w:val="20"/>
          <w:szCs w:val="20"/>
        </w:rPr>
        <w:t xml:space="preserve"> </w:t>
      </w:r>
      <w:r w:rsidRPr="00B004EE">
        <w:rPr>
          <w:rFonts w:ascii="Tahoma" w:hAnsi="Tahoma" w:cs="Tahoma"/>
          <w:sz w:val="20"/>
          <w:szCs w:val="20"/>
        </w:rPr>
        <w:t>géré</w:t>
      </w:r>
      <w:r w:rsidR="00DB1635" w:rsidRPr="00B004EE">
        <w:rPr>
          <w:rFonts w:ascii="Tahoma" w:hAnsi="Tahoma" w:cs="Tahoma"/>
          <w:spacing w:val="-12"/>
          <w:sz w:val="20"/>
          <w:szCs w:val="20"/>
        </w:rPr>
        <w:t xml:space="preserve"> </w:t>
      </w:r>
      <w:r w:rsidRPr="00B004EE">
        <w:rPr>
          <w:rFonts w:ascii="Tahoma" w:hAnsi="Tahoma" w:cs="Tahoma"/>
          <w:sz w:val="20"/>
          <w:szCs w:val="20"/>
        </w:rPr>
        <w:t>conformément</w:t>
      </w:r>
      <w:r w:rsidR="00DB1635" w:rsidRPr="00B004EE">
        <w:rPr>
          <w:rFonts w:ascii="Tahoma" w:hAnsi="Tahoma" w:cs="Tahoma"/>
          <w:spacing w:val="-1"/>
          <w:w w:val="95"/>
          <w:sz w:val="20"/>
          <w:szCs w:val="20"/>
        </w:rPr>
        <w:t xml:space="preserve"> </w:t>
      </w:r>
      <w:r w:rsidRPr="00B004EE">
        <w:rPr>
          <w:rFonts w:ascii="Tahoma" w:hAnsi="Tahoma" w:cs="Tahoma"/>
          <w:sz w:val="20"/>
          <w:szCs w:val="20"/>
        </w:rPr>
        <w:t>aux</w:t>
      </w:r>
      <w:r w:rsidR="00DB1635" w:rsidRPr="00B004EE">
        <w:rPr>
          <w:rFonts w:ascii="Tahoma" w:hAnsi="Tahoma" w:cs="Tahoma"/>
          <w:spacing w:val="-32"/>
          <w:sz w:val="20"/>
          <w:szCs w:val="20"/>
        </w:rPr>
        <w:t xml:space="preserve"> </w:t>
      </w:r>
      <w:r w:rsidRPr="00B004EE">
        <w:rPr>
          <w:rFonts w:ascii="Tahoma" w:hAnsi="Tahoma" w:cs="Tahoma"/>
          <w:sz w:val="20"/>
          <w:szCs w:val="20"/>
        </w:rPr>
        <w:t>plans</w:t>
      </w:r>
      <w:r w:rsidR="00DB1635" w:rsidRPr="00B004EE">
        <w:rPr>
          <w:rFonts w:ascii="Tahoma" w:hAnsi="Tahoma" w:cs="Tahoma"/>
          <w:spacing w:val="-33"/>
          <w:sz w:val="20"/>
          <w:szCs w:val="20"/>
        </w:rPr>
        <w:t xml:space="preserve"> </w:t>
      </w:r>
      <w:r w:rsidRPr="00B004EE">
        <w:rPr>
          <w:rFonts w:ascii="Tahoma" w:hAnsi="Tahoma" w:cs="Tahoma"/>
          <w:sz w:val="20"/>
          <w:szCs w:val="20"/>
        </w:rPr>
        <w:t>d'aménagement</w:t>
      </w:r>
      <w:r w:rsidR="00DB1635" w:rsidRPr="00B004EE">
        <w:rPr>
          <w:rFonts w:ascii="Tahoma" w:hAnsi="Tahoma" w:cs="Tahoma"/>
          <w:spacing w:val="-32"/>
          <w:sz w:val="20"/>
          <w:szCs w:val="20"/>
        </w:rPr>
        <w:t xml:space="preserve"> </w:t>
      </w:r>
      <w:r w:rsidRPr="00B004EE">
        <w:rPr>
          <w:rFonts w:ascii="Tahoma" w:hAnsi="Tahoma" w:cs="Tahoma"/>
          <w:sz w:val="20"/>
          <w:szCs w:val="20"/>
        </w:rPr>
        <w:t>ou</w:t>
      </w:r>
      <w:r w:rsidR="00DB1635" w:rsidRPr="00B004EE">
        <w:rPr>
          <w:rFonts w:ascii="Tahoma" w:hAnsi="Tahoma" w:cs="Tahoma"/>
          <w:spacing w:val="-32"/>
          <w:sz w:val="20"/>
          <w:szCs w:val="20"/>
        </w:rPr>
        <w:t xml:space="preserve"> </w:t>
      </w:r>
      <w:r w:rsidRPr="00B004EE">
        <w:rPr>
          <w:rFonts w:ascii="Tahoma" w:hAnsi="Tahoma" w:cs="Tahoma"/>
          <w:sz w:val="20"/>
          <w:szCs w:val="20"/>
        </w:rPr>
        <w:t>de</w:t>
      </w:r>
      <w:r w:rsidR="00DB1635" w:rsidRPr="00B004EE">
        <w:rPr>
          <w:rFonts w:ascii="Tahoma" w:hAnsi="Tahoma" w:cs="Tahoma"/>
          <w:spacing w:val="-32"/>
          <w:sz w:val="20"/>
          <w:szCs w:val="20"/>
        </w:rPr>
        <w:t xml:space="preserve"> </w:t>
      </w:r>
      <w:r w:rsidRPr="00B004EE">
        <w:rPr>
          <w:rFonts w:ascii="Tahoma" w:hAnsi="Tahoma" w:cs="Tahoma"/>
          <w:sz w:val="20"/>
          <w:szCs w:val="20"/>
        </w:rPr>
        <w:t>gestion</w:t>
      </w:r>
      <w:r w:rsidR="00DB1635" w:rsidRPr="00B004EE">
        <w:rPr>
          <w:rFonts w:ascii="Tahoma" w:hAnsi="Tahoma" w:cs="Tahoma"/>
          <w:spacing w:val="-32"/>
          <w:sz w:val="20"/>
          <w:szCs w:val="20"/>
        </w:rPr>
        <w:t xml:space="preserve"> </w:t>
      </w:r>
      <w:r w:rsidRPr="00B004EE">
        <w:rPr>
          <w:rFonts w:ascii="Tahoma" w:hAnsi="Tahoma" w:cs="Tahoma"/>
          <w:sz w:val="20"/>
          <w:szCs w:val="20"/>
        </w:rPr>
        <w:t>des</w:t>
      </w:r>
      <w:r w:rsidR="00DB1635" w:rsidRPr="00B004EE">
        <w:rPr>
          <w:rFonts w:ascii="Tahoma" w:hAnsi="Tahoma" w:cs="Tahoma"/>
          <w:spacing w:val="-32"/>
          <w:sz w:val="20"/>
          <w:szCs w:val="20"/>
        </w:rPr>
        <w:t xml:space="preserve"> </w:t>
      </w:r>
      <w:r w:rsidRPr="00B004EE">
        <w:rPr>
          <w:rFonts w:ascii="Tahoma" w:hAnsi="Tahoma" w:cs="Tahoma"/>
          <w:sz w:val="20"/>
          <w:szCs w:val="20"/>
        </w:rPr>
        <w:t>pêcheries</w:t>
      </w:r>
    </w:p>
    <w:p w14:paraId="1F1B8390" w14:textId="77777777" w:rsidR="001E7C3C" w:rsidRPr="00B004EE" w:rsidRDefault="001E7C3C" w:rsidP="00B004EE">
      <w:pPr>
        <w:rPr>
          <w:rFonts w:ascii="Tahoma" w:eastAsia="American Typewriter" w:hAnsi="Tahoma" w:cs="Tahoma"/>
          <w:sz w:val="20"/>
          <w:szCs w:val="20"/>
        </w:rPr>
      </w:pPr>
    </w:p>
    <w:p w14:paraId="07A4AF9C" w14:textId="0CD4D574" w:rsidR="001E7C3C" w:rsidRPr="00B004EE" w:rsidRDefault="001E7C3C" w:rsidP="00B004EE">
      <w:pPr>
        <w:ind w:right="164" w:hanging="4"/>
        <w:jc w:val="center"/>
        <w:rPr>
          <w:rFonts w:ascii="Tahoma" w:hAnsi="Tahoma" w:cs="Tahoma"/>
          <w:b/>
          <w:spacing w:val="1"/>
          <w:w w:val="113"/>
          <w:sz w:val="20"/>
          <w:szCs w:val="20"/>
        </w:rPr>
      </w:pPr>
      <w:bookmarkStart w:id="47" w:name="_Toc16279056"/>
      <w:bookmarkStart w:id="48" w:name="_Toc16279425"/>
      <w:r w:rsidRPr="00B004EE">
        <w:rPr>
          <w:rFonts w:ascii="Tahoma" w:hAnsi="Tahoma" w:cs="Tahoma"/>
          <w:b/>
          <w:spacing w:val="1"/>
          <w:w w:val="113"/>
          <w:sz w:val="20"/>
          <w:szCs w:val="20"/>
        </w:rPr>
        <w:t>CHAPITRE</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II</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DU</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CADRE</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JURIDIQUE</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ET</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INSTITIONNEL</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DE</w:t>
      </w:r>
      <w:r w:rsidR="00DB1635" w:rsidRPr="00B004EE">
        <w:rPr>
          <w:rFonts w:ascii="Tahoma" w:hAnsi="Tahoma" w:cs="Tahoma"/>
          <w:b/>
          <w:spacing w:val="1"/>
          <w:w w:val="113"/>
          <w:sz w:val="20"/>
          <w:szCs w:val="20"/>
        </w:rPr>
        <w:t xml:space="preserve"> </w:t>
      </w:r>
      <w:r w:rsidR="001F04F2" w:rsidRPr="00B004EE">
        <w:rPr>
          <w:rFonts w:ascii="Tahoma" w:hAnsi="Tahoma" w:cs="Tahoma"/>
          <w:b/>
          <w:spacing w:val="1"/>
          <w:w w:val="113"/>
          <w:sz w:val="20"/>
          <w:szCs w:val="20"/>
        </w:rPr>
        <w:t>L’AMENAGEMENT</w:t>
      </w:r>
      <w:r w:rsidR="00DB1635" w:rsidRPr="00B004EE">
        <w:rPr>
          <w:rFonts w:ascii="Tahoma" w:hAnsi="Tahoma" w:cs="Tahoma"/>
          <w:b/>
          <w:spacing w:val="1"/>
          <w:w w:val="113"/>
          <w:sz w:val="20"/>
          <w:szCs w:val="20"/>
        </w:rPr>
        <w:t xml:space="preserve"> </w:t>
      </w:r>
      <w:r w:rsidR="001F04F2" w:rsidRPr="00B004EE">
        <w:rPr>
          <w:rFonts w:ascii="Tahoma" w:hAnsi="Tahoma" w:cs="Tahoma"/>
          <w:b/>
          <w:spacing w:val="1"/>
          <w:w w:val="113"/>
          <w:sz w:val="20"/>
          <w:szCs w:val="20"/>
        </w:rPr>
        <w:t>DES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PECHES</w:t>
      </w:r>
      <w:bookmarkEnd w:id="47"/>
      <w:bookmarkEnd w:id="48"/>
    </w:p>
    <w:p w14:paraId="53F1A041" w14:textId="77777777" w:rsidR="001E7C3C" w:rsidRPr="00B004EE" w:rsidRDefault="001E7C3C" w:rsidP="00B004EE">
      <w:pPr>
        <w:ind w:right="164" w:hanging="4"/>
        <w:jc w:val="center"/>
        <w:rPr>
          <w:rFonts w:ascii="Tahoma" w:hAnsi="Tahoma" w:cs="Tahoma"/>
          <w:b/>
          <w:spacing w:val="1"/>
          <w:w w:val="113"/>
          <w:sz w:val="20"/>
          <w:szCs w:val="20"/>
        </w:rPr>
      </w:pPr>
    </w:p>
    <w:p w14:paraId="779DBA5F" w14:textId="6684E7FE" w:rsidR="001E7C3C" w:rsidRPr="00B004EE" w:rsidRDefault="001E7C3C" w:rsidP="00B004EE">
      <w:pPr>
        <w:ind w:right="164" w:hanging="4"/>
        <w:jc w:val="center"/>
        <w:rPr>
          <w:rFonts w:ascii="Tahoma" w:hAnsi="Tahoma" w:cs="Tahoma"/>
          <w:b/>
          <w:spacing w:val="1"/>
          <w:w w:val="113"/>
          <w:sz w:val="20"/>
          <w:szCs w:val="20"/>
        </w:rPr>
      </w:pPr>
      <w:r w:rsidRPr="00B004EE">
        <w:rPr>
          <w:rFonts w:ascii="Tahoma" w:hAnsi="Tahoma" w:cs="Tahoma"/>
          <w:b/>
          <w:spacing w:val="1"/>
          <w:w w:val="113"/>
          <w:sz w:val="20"/>
          <w:szCs w:val="20"/>
        </w:rPr>
        <w:t>Section</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première</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Des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plans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d’aménagement</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ou</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de</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gestion</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des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pêcheries</w:t>
      </w:r>
    </w:p>
    <w:p w14:paraId="7903C9C4" w14:textId="77777777" w:rsidR="001E7C3C" w:rsidRPr="00B004EE" w:rsidRDefault="001E7C3C" w:rsidP="00B004EE">
      <w:pPr>
        <w:rPr>
          <w:rFonts w:ascii="Tahoma" w:eastAsia="American Typewriter" w:hAnsi="Tahoma" w:cs="Tahoma"/>
          <w:b/>
          <w:bCs/>
          <w:sz w:val="20"/>
          <w:szCs w:val="20"/>
        </w:rPr>
      </w:pPr>
    </w:p>
    <w:p w14:paraId="21605CC4" w14:textId="25B823CA" w:rsidR="001E7C3C" w:rsidRPr="00B004EE" w:rsidRDefault="001E7C3C" w:rsidP="00B004EE">
      <w:pPr>
        <w:pStyle w:val="Corpsdetexte"/>
        <w:ind w:right="158"/>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pacing w:val="-7"/>
          <w:sz w:val="20"/>
          <w:szCs w:val="20"/>
        </w:rPr>
        <w:t xml:space="preserve"> </w:t>
      </w:r>
      <w:r w:rsidRPr="00B004EE">
        <w:rPr>
          <w:rFonts w:ascii="Tahoma" w:hAnsi="Tahoma" w:cs="Tahoma"/>
          <w:bCs/>
          <w:sz w:val="20"/>
          <w:szCs w:val="20"/>
        </w:rPr>
        <w:t>14</w:t>
      </w:r>
      <w:r w:rsidR="00DB1635" w:rsidRPr="00B004EE">
        <w:rPr>
          <w:rFonts w:ascii="Tahoma" w:hAnsi="Tahoma" w:cs="Tahoma"/>
          <w:bCs/>
          <w:spacing w:val="-8"/>
          <w:sz w:val="20"/>
          <w:szCs w:val="20"/>
        </w:rPr>
        <w:t xml:space="preserve"> </w:t>
      </w:r>
      <w:r w:rsidRPr="00B004EE">
        <w:rPr>
          <w:rFonts w:ascii="Tahoma" w:hAnsi="Tahoma" w:cs="Tahoma"/>
          <w:bCs/>
          <w:sz w:val="20"/>
          <w:szCs w:val="20"/>
        </w:rPr>
        <w:t>:</w:t>
      </w:r>
      <w:r w:rsidR="00DB1635" w:rsidRPr="00B004EE">
        <w:rPr>
          <w:rFonts w:ascii="Tahoma" w:hAnsi="Tahoma" w:cs="Tahoma"/>
          <w:b/>
          <w:spacing w:val="-8"/>
          <w:sz w:val="20"/>
          <w:szCs w:val="20"/>
        </w:rPr>
        <w:t xml:space="preserve"> </w:t>
      </w:r>
      <w:r w:rsidRPr="00B004EE">
        <w:rPr>
          <w:rFonts w:ascii="Tahoma" w:hAnsi="Tahoma" w:cs="Tahoma"/>
          <w:sz w:val="20"/>
          <w:szCs w:val="20"/>
        </w:rPr>
        <w:t>Le</w:t>
      </w:r>
      <w:r w:rsidR="00DB1635" w:rsidRPr="00B004EE">
        <w:rPr>
          <w:rFonts w:ascii="Tahoma" w:hAnsi="Tahoma" w:cs="Tahoma"/>
          <w:spacing w:val="-11"/>
          <w:sz w:val="20"/>
          <w:szCs w:val="20"/>
        </w:rPr>
        <w:t xml:space="preserve"> </w:t>
      </w:r>
      <w:r w:rsidRPr="00B004EE">
        <w:rPr>
          <w:rFonts w:ascii="Tahoma" w:hAnsi="Tahoma" w:cs="Tahoma"/>
          <w:sz w:val="20"/>
          <w:szCs w:val="20"/>
        </w:rPr>
        <w:t>ministre</w:t>
      </w:r>
      <w:r w:rsidR="00DB1635" w:rsidRPr="00B004EE">
        <w:rPr>
          <w:rFonts w:ascii="Tahoma" w:hAnsi="Tahoma" w:cs="Tahoma"/>
          <w:spacing w:val="-13"/>
          <w:sz w:val="20"/>
          <w:szCs w:val="20"/>
        </w:rPr>
        <w:t xml:space="preserve"> </w:t>
      </w:r>
      <w:r w:rsidRPr="00B004EE">
        <w:rPr>
          <w:rFonts w:ascii="Tahoma" w:hAnsi="Tahoma" w:cs="Tahoma"/>
          <w:sz w:val="20"/>
          <w:szCs w:val="20"/>
        </w:rPr>
        <w:t>chargé</w:t>
      </w:r>
      <w:r w:rsidR="00DB1635" w:rsidRPr="00B004EE">
        <w:rPr>
          <w:rFonts w:ascii="Tahoma" w:hAnsi="Tahoma" w:cs="Tahoma"/>
          <w:spacing w:val="-13"/>
          <w:sz w:val="20"/>
          <w:szCs w:val="20"/>
        </w:rPr>
        <w:t xml:space="preserve"> </w:t>
      </w:r>
      <w:r w:rsidRPr="00B004EE">
        <w:rPr>
          <w:rFonts w:ascii="Tahoma" w:hAnsi="Tahoma" w:cs="Tahoma"/>
          <w:sz w:val="20"/>
          <w:szCs w:val="20"/>
        </w:rPr>
        <w:t>des</w:t>
      </w:r>
      <w:r w:rsidR="00DB1635" w:rsidRPr="00B004EE">
        <w:rPr>
          <w:rFonts w:ascii="Tahoma" w:hAnsi="Tahoma" w:cs="Tahoma"/>
          <w:spacing w:val="-13"/>
          <w:sz w:val="20"/>
          <w:szCs w:val="20"/>
        </w:rPr>
        <w:t xml:space="preserve"> </w:t>
      </w:r>
      <w:r w:rsidRPr="00B004EE">
        <w:rPr>
          <w:rFonts w:ascii="Tahoma" w:hAnsi="Tahoma" w:cs="Tahoma"/>
          <w:sz w:val="20"/>
          <w:szCs w:val="20"/>
        </w:rPr>
        <w:t>pêches</w:t>
      </w:r>
      <w:r w:rsidR="00DB1635" w:rsidRPr="00B004EE">
        <w:rPr>
          <w:rFonts w:ascii="Tahoma" w:hAnsi="Tahoma" w:cs="Tahoma"/>
          <w:spacing w:val="-13"/>
          <w:sz w:val="20"/>
          <w:szCs w:val="20"/>
        </w:rPr>
        <w:t xml:space="preserve"> </w:t>
      </w:r>
      <w:r w:rsidRPr="00B004EE">
        <w:rPr>
          <w:rFonts w:ascii="Tahoma" w:hAnsi="Tahoma" w:cs="Tahoma"/>
          <w:sz w:val="20"/>
          <w:szCs w:val="20"/>
        </w:rPr>
        <w:t>établit</w:t>
      </w:r>
      <w:r w:rsidR="00DB1635" w:rsidRPr="00B004EE">
        <w:rPr>
          <w:rFonts w:ascii="Tahoma" w:hAnsi="Tahoma" w:cs="Tahoma"/>
          <w:spacing w:val="-13"/>
          <w:sz w:val="20"/>
          <w:szCs w:val="20"/>
        </w:rPr>
        <w:t xml:space="preserve"> </w:t>
      </w:r>
      <w:r w:rsidRPr="00B004EE">
        <w:rPr>
          <w:rFonts w:ascii="Tahoma" w:hAnsi="Tahoma" w:cs="Tahoma"/>
          <w:sz w:val="20"/>
          <w:szCs w:val="20"/>
        </w:rPr>
        <w:t>des</w:t>
      </w:r>
      <w:r w:rsidR="00DB1635" w:rsidRPr="00B004EE">
        <w:rPr>
          <w:rFonts w:ascii="Tahoma" w:hAnsi="Tahoma" w:cs="Tahoma"/>
          <w:spacing w:val="-13"/>
          <w:sz w:val="20"/>
          <w:szCs w:val="20"/>
        </w:rPr>
        <w:t xml:space="preserve"> </w:t>
      </w:r>
      <w:r w:rsidRPr="00B004EE">
        <w:rPr>
          <w:rFonts w:ascii="Tahoma" w:hAnsi="Tahoma" w:cs="Tahoma"/>
          <w:sz w:val="20"/>
          <w:szCs w:val="20"/>
        </w:rPr>
        <w:t>plans</w:t>
      </w:r>
      <w:r w:rsidR="00DB1635" w:rsidRPr="00B004EE">
        <w:rPr>
          <w:rFonts w:ascii="Tahoma" w:hAnsi="Tahoma" w:cs="Tahoma"/>
          <w:spacing w:val="-13"/>
          <w:sz w:val="20"/>
          <w:szCs w:val="20"/>
        </w:rPr>
        <w:t xml:space="preserve"> </w:t>
      </w:r>
      <w:r w:rsidRPr="00B004EE">
        <w:rPr>
          <w:rFonts w:ascii="Tahoma" w:hAnsi="Tahoma" w:cs="Tahoma"/>
          <w:sz w:val="20"/>
          <w:szCs w:val="20"/>
        </w:rPr>
        <w:t>d'aménagement</w:t>
      </w:r>
      <w:r w:rsidR="00DB1635" w:rsidRPr="00B004EE">
        <w:rPr>
          <w:rFonts w:ascii="Tahoma" w:hAnsi="Tahoma" w:cs="Tahoma"/>
          <w:spacing w:val="-13"/>
          <w:sz w:val="20"/>
          <w:szCs w:val="20"/>
        </w:rPr>
        <w:t xml:space="preserve"> </w:t>
      </w:r>
      <w:r w:rsidRPr="00B004EE">
        <w:rPr>
          <w:rFonts w:ascii="Tahoma" w:hAnsi="Tahoma" w:cs="Tahoma"/>
          <w:sz w:val="20"/>
          <w:szCs w:val="20"/>
        </w:rPr>
        <w:t>ou</w:t>
      </w:r>
      <w:r w:rsidR="00DB1635" w:rsidRPr="00B004EE">
        <w:rPr>
          <w:rFonts w:ascii="Tahoma" w:hAnsi="Tahoma" w:cs="Tahoma"/>
          <w:spacing w:val="-10"/>
          <w:sz w:val="20"/>
          <w:szCs w:val="20"/>
        </w:rPr>
        <w:t xml:space="preserve"> </w:t>
      </w:r>
      <w:r w:rsidRPr="00B004EE">
        <w:rPr>
          <w:rFonts w:ascii="Tahoma" w:hAnsi="Tahoma" w:cs="Tahoma"/>
          <w:sz w:val="20"/>
          <w:szCs w:val="20"/>
        </w:rPr>
        <w:t>de</w:t>
      </w:r>
      <w:r w:rsidR="00DB1635" w:rsidRPr="00B004EE">
        <w:rPr>
          <w:rFonts w:ascii="Tahoma" w:hAnsi="Tahoma" w:cs="Tahoma"/>
          <w:w w:val="94"/>
          <w:sz w:val="20"/>
          <w:szCs w:val="20"/>
        </w:rPr>
        <w:t xml:space="preserve"> </w:t>
      </w:r>
      <w:r w:rsidRPr="00B004EE">
        <w:rPr>
          <w:rFonts w:ascii="Tahoma" w:hAnsi="Tahoma" w:cs="Tahoma"/>
          <w:sz w:val="20"/>
          <w:szCs w:val="20"/>
        </w:rPr>
        <w:t>gestion</w:t>
      </w:r>
      <w:r w:rsidR="00DB1635" w:rsidRPr="00B004EE">
        <w:rPr>
          <w:rFonts w:ascii="Tahoma" w:hAnsi="Tahoma" w:cs="Tahoma"/>
          <w:spacing w:val="-37"/>
          <w:sz w:val="20"/>
          <w:szCs w:val="20"/>
        </w:rPr>
        <w:t xml:space="preserve"> </w:t>
      </w:r>
      <w:r w:rsidRPr="00B004EE">
        <w:rPr>
          <w:rFonts w:ascii="Tahoma" w:hAnsi="Tahoma" w:cs="Tahoma"/>
          <w:sz w:val="20"/>
          <w:szCs w:val="20"/>
        </w:rPr>
        <w:t>des</w:t>
      </w:r>
      <w:r w:rsidR="00DB1635" w:rsidRPr="00B004EE">
        <w:rPr>
          <w:rFonts w:ascii="Tahoma" w:hAnsi="Tahoma" w:cs="Tahoma"/>
          <w:spacing w:val="-37"/>
          <w:sz w:val="20"/>
          <w:szCs w:val="20"/>
        </w:rPr>
        <w:t xml:space="preserve"> </w:t>
      </w:r>
      <w:r w:rsidRPr="00B004EE">
        <w:rPr>
          <w:rFonts w:ascii="Tahoma" w:hAnsi="Tahoma" w:cs="Tahoma"/>
          <w:sz w:val="20"/>
          <w:szCs w:val="20"/>
        </w:rPr>
        <w:t>pêcheries,</w:t>
      </w:r>
      <w:r w:rsidR="00DB1635" w:rsidRPr="00B004EE">
        <w:rPr>
          <w:rFonts w:ascii="Tahoma" w:hAnsi="Tahoma" w:cs="Tahoma"/>
          <w:spacing w:val="-37"/>
          <w:sz w:val="20"/>
          <w:szCs w:val="20"/>
        </w:rPr>
        <w:t xml:space="preserve"> </w:t>
      </w:r>
      <w:r w:rsidRPr="00B004EE">
        <w:rPr>
          <w:rFonts w:ascii="Tahoma" w:hAnsi="Tahoma" w:cs="Tahoma"/>
          <w:sz w:val="20"/>
          <w:szCs w:val="20"/>
        </w:rPr>
        <w:t>annuels</w:t>
      </w:r>
      <w:r w:rsidR="00DB1635" w:rsidRPr="00B004EE">
        <w:rPr>
          <w:rFonts w:ascii="Tahoma" w:hAnsi="Tahoma" w:cs="Tahoma"/>
          <w:spacing w:val="-37"/>
          <w:sz w:val="20"/>
          <w:szCs w:val="20"/>
        </w:rPr>
        <w:t xml:space="preserve"> </w:t>
      </w:r>
      <w:r w:rsidRPr="00B004EE">
        <w:rPr>
          <w:rFonts w:ascii="Tahoma" w:hAnsi="Tahoma" w:cs="Tahoma"/>
          <w:sz w:val="20"/>
          <w:szCs w:val="20"/>
        </w:rPr>
        <w:t>ou</w:t>
      </w:r>
      <w:r w:rsidR="00DB1635" w:rsidRPr="00B004EE">
        <w:rPr>
          <w:rFonts w:ascii="Tahoma" w:hAnsi="Tahoma" w:cs="Tahoma"/>
          <w:spacing w:val="-37"/>
          <w:sz w:val="20"/>
          <w:szCs w:val="20"/>
        </w:rPr>
        <w:t xml:space="preserve"> </w:t>
      </w:r>
      <w:r w:rsidRPr="00B004EE">
        <w:rPr>
          <w:rFonts w:ascii="Tahoma" w:hAnsi="Tahoma" w:cs="Tahoma"/>
          <w:sz w:val="20"/>
          <w:szCs w:val="20"/>
        </w:rPr>
        <w:t>pluriannuels.</w:t>
      </w:r>
    </w:p>
    <w:p w14:paraId="08D388B9" w14:textId="77777777" w:rsidR="001E7C3C" w:rsidRPr="00B004EE" w:rsidRDefault="001E7C3C" w:rsidP="00B004EE">
      <w:pPr>
        <w:rPr>
          <w:rFonts w:ascii="Tahoma" w:eastAsia="American Typewriter" w:hAnsi="Tahoma" w:cs="Tahoma"/>
          <w:sz w:val="20"/>
          <w:szCs w:val="20"/>
        </w:rPr>
      </w:pPr>
    </w:p>
    <w:p w14:paraId="3630D98E" w14:textId="25CEEFF9" w:rsidR="001E7C3C" w:rsidRPr="00B004EE" w:rsidRDefault="001E7C3C" w:rsidP="00B004EE">
      <w:pPr>
        <w:pStyle w:val="Corpsdetexte"/>
        <w:ind w:right="159"/>
        <w:rPr>
          <w:rFonts w:ascii="Tahoma" w:hAnsi="Tahoma" w:cs="Tahoma"/>
          <w:sz w:val="20"/>
          <w:szCs w:val="20"/>
        </w:rPr>
      </w:pP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sens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présente</w:t>
      </w:r>
      <w:r w:rsidR="00DB1635" w:rsidRPr="00B004EE">
        <w:rPr>
          <w:rFonts w:ascii="Tahoma" w:hAnsi="Tahoma" w:cs="Tahoma"/>
          <w:sz w:val="20"/>
          <w:szCs w:val="20"/>
        </w:rPr>
        <w:t xml:space="preserve"> </w:t>
      </w:r>
      <w:r w:rsidRPr="00B004EE">
        <w:rPr>
          <w:rFonts w:ascii="Tahoma" w:hAnsi="Tahoma" w:cs="Tahoma"/>
          <w:sz w:val="20"/>
          <w:szCs w:val="20"/>
        </w:rPr>
        <w:t>loi</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règlements</w:t>
      </w:r>
      <w:r w:rsidR="00DB1635" w:rsidRPr="00B004EE">
        <w:rPr>
          <w:rFonts w:ascii="Tahoma" w:hAnsi="Tahoma" w:cs="Tahoma"/>
          <w:sz w:val="20"/>
          <w:szCs w:val="20"/>
        </w:rPr>
        <w:t xml:space="preserve"> </w:t>
      </w:r>
      <w:r w:rsidRPr="00B004EE">
        <w:rPr>
          <w:rFonts w:ascii="Tahoma" w:hAnsi="Tahoma" w:cs="Tahoma"/>
          <w:sz w:val="20"/>
          <w:szCs w:val="20"/>
        </w:rPr>
        <w:t>pris</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son</w:t>
      </w:r>
      <w:r w:rsidR="00DB1635" w:rsidRPr="00B004EE">
        <w:rPr>
          <w:rFonts w:ascii="Tahoma" w:hAnsi="Tahoma" w:cs="Tahoma"/>
          <w:sz w:val="20"/>
          <w:szCs w:val="20"/>
        </w:rPr>
        <w:t xml:space="preserve"> </w:t>
      </w:r>
      <w:r w:rsidRPr="00B004EE">
        <w:rPr>
          <w:rFonts w:ascii="Tahoma" w:hAnsi="Tahoma" w:cs="Tahoma"/>
          <w:sz w:val="20"/>
          <w:szCs w:val="20"/>
        </w:rPr>
        <w:t>application,</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pacing w:val="51"/>
          <w:sz w:val="20"/>
          <w:szCs w:val="20"/>
        </w:rPr>
        <w:t xml:space="preserve"> </w:t>
      </w:r>
      <w:r w:rsidRPr="00B004EE">
        <w:rPr>
          <w:rFonts w:ascii="Tahoma" w:hAnsi="Tahoma" w:cs="Tahoma"/>
          <w:sz w:val="20"/>
          <w:szCs w:val="20"/>
        </w:rPr>
        <w:t>plan</w:t>
      </w:r>
      <w:r w:rsidR="00DB1635" w:rsidRPr="00B004EE">
        <w:rPr>
          <w:rFonts w:ascii="Tahoma" w:hAnsi="Tahoma" w:cs="Tahoma"/>
          <w:w w:val="95"/>
          <w:sz w:val="20"/>
          <w:szCs w:val="20"/>
        </w:rPr>
        <w:t xml:space="preserve"> </w:t>
      </w:r>
      <w:r w:rsidRPr="00B004EE">
        <w:rPr>
          <w:rFonts w:ascii="Tahoma" w:eastAsia="American Typewriter" w:hAnsi="Tahoma" w:cs="Tahoma"/>
          <w:sz w:val="20"/>
          <w:szCs w:val="20"/>
        </w:rPr>
        <w:t>d’aménagement</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pêcherie</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ensemble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mesures</w:t>
      </w:r>
      <w:r w:rsidR="00DB1635" w:rsidRPr="00B004EE">
        <w:rPr>
          <w:rFonts w:ascii="Tahoma" w:hAnsi="Tahoma" w:cs="Tahoma"/>
          <w:sz w:val="20"/>
          <w:szCs w:val="20"/>
        </w:rPr>
        <w:t xml:space="preserve"> </w:t>
      </w:r>
      <w:r w:rsidRPr="00B004EE">
        <w:rPr>
          <w:rFonts w:ascii="Tahoma" w:hAnsi="Tahoma" w:cs="Tahoma"/>
          <w:sz w:val="20"/>
          <w:szCs w:val="20"/>
        </w:rPr>
        <w:t>porté</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pacing w:val="56"/>
          <w:sz w:val="20"/>
          <w:szCs w:val="20"/>
        </w:rPr>
        <w:t xml:space="preserve"> </w:t>
      </w:r>
      <w:r w:rsidRPr="00B004EE">
        <w:rPr>
          <w:rFonts w:ascii="Tahoma" w:hAnsi="Tahoma" w:cs="Tahoma"/>
          <w:sz w:val="20"/>
          <w:szCs w:val="20"/>
        </w:rPr>
        <w:t>un</w:t>
      </w:r>
      <w:r w:rsidR="00DB1635" w:rsidRPr="00B004EE">
        <w:rPr>
          <w:rFonts w:ascii="Tahoma" w:hAnsi="Tahoma" w:cs="Tahoma"/>
          <w:w w:val="97"/>
          <w:sz w:val="20"/>
          <w:szCs w:val="20"/>
        </w:rPr>
        <w:t xml:space="preserve"> </w:t>
      </w:r>
      <w:r w:rsidRPr="00B004EE">
        <w:rPr>
          <w:rFonts w:ascii="Tahoma" w:hAnsi="Tahoma" w:cs="Tahoma"/>
          <w:sz w:val="20"/>
          <w:szCs w:val="20"/>
        </w:rPr>
        <w:t>arrangement</w:t>
      </w:r>
      <w:r w:rsidR="00DB1635" w:rsidRPr="00B004EE">
        <w:rPr>
          <w:rFonts w:ascii="Tahoma" w:hAnsi="Tahoma" w:cs="Tahoma"/>
          <w:sz w:val="20"/>
          <w:szCs w:val="20"/>
        </w:rPr>
        <w:t xml:space="preserve"> </w:t>
      </w:r>
      <w:r w:rsidRPr="00B004EE">
        <w:rPr>
          <w:rFonts w:ascii="Tahoma" w:hAnsi="Tahoma" w:cs="Tahoma"/>
          <w:sz w:val="20"/>
          <w:szCs w:val="20"/>
        </w:rPr>
        <w:t>entre</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ministère</w:t>
      </w:r>
      <w:r w:rsidR="00DB1635" w:rsidRPr="00B004EE">
        <w:rPr>
          <w:rFonts w:ascii="Tahoma" w:hAnsi="Tahoma" w:cs="Tahoma"/>
          <w:sz w:val="20"/>
          <w:szCs w:val="20"/>
        </w:rPr>
        <w:t xml:space="preserve"> </w:t>
      </w:r>
      <w:r w:rsidRPr="00B004EE">
        <w:rPr>
          <w:rFonts w:ascii="Tahoma" w:hAnsi="Tahoma" w:cs="Tahoma"/>
          <w:sz w:val="20"/>
          <w:szCs w:val="20"/>
        </w:rPr>
        <w:t>chargé</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parties</w:t>
      </w:r>
      <w:r w:rsidR="00DB1635" w:rsidRPr="00B004EE">
        <w:rPr>
          <w:rFonts w:ascii="Tahoma" w:hAnsi="Tahoma" w:cs="Tahoma"/>
          <w:sz w:val="20"/>
          <w:szCs w:val="20"/>
        </w:rPr>
        <w:t xml:space="preserve"> </w:t>
      </w:r>
      <w:r w:rsidRPr="00B004EE">
        <w:rPr>
          <w:rFonts w:ascii="Tahoma" w:hAnsi="Tahoma" w:cs="Tahoma"/>
          <w:sz w:val="20"/>
          <w:szCs w:val="20"/>
        </w:rPr>
        <w:t>intéressées,</w:t>
      </w:r>
      <w:r w:rsidR="00DB1635" w:rsidRPr="00B004EE">
        <w:rPr>
          <w:rFonts w:ascii="Tahoma" w:hAnsi="Tahoma" w:cs="Tahoma"/>
          <w:spacing w:val="20"/>
          <w:sz w:val="20"/>
          <w:szCs w:val="20"/>
        </w:rPr>
        <w:t xml:space="preserve"> </w:t>
      </w:r>
      <w:r w:rsidRPr="00B004EE">
        <w:rPr>
          <w:rFonts w:ascii="Tahoma" w:hAnsi="Tahoma" w:cs="Tahoma"/>
          <w:sz w:val="20"/>
          <w:szCs w:val="20"/>
        </w:rPr>
        <w:t>qui</w:t>
      </w:r>
      <w:r w:rsidR="00DB1635" w:rsidRPr="00B004EE">
        <w:rPr>
          <w:rFonts w:ascii="Tahoma" w:hAnsi="Tahoma" w:cs="Tahoma"/>
          <w:w w:val="99"/>
          <w:sz w:val="20"/>
          <w:szCs w:val="20"/>
        </w:rPr>
        <w:t xml:space="preserve"> </w:t>
      </w:r>
      <w:r w:rsidRPr="00B004EE">
        <w:rPr>
          <w:rFonts w:ascii="Tahoma" w:hAnsi="Tahoma" w:cs="Tahoma"/>
          <w:sz w:val="20"/>
          <w:szCs w:val="20"/>
        </w:rPr>
        <w:t>définit</w:t>
      </w:r>
      <w:r w:rsidR="00DB1635" w:rsidRPr="00B004EE">
        <w:rPr>
          <w:rFonts w:ascii="Tahoma" w:hAnsi="Tahoma" w:cs="Tahoma"/>
          <w:spacing w:val="38"/>
          <w:sz w:val="20"/>
          <w:szCs w:val="20"/>
        </w:rPr>
        <w:t xml:space="preserve"> </w:t>
      </w:r>
      <w:r w:rsidRPr="00B004EE">
        <w:rPr>
          <w:rFonts w:ascii="Tahoma" w:hAnsi="Tahoma" w:cs="Tahoma"/>
          <w:sz w:val="20"/>
          <w:szCs w:val="20"/>
        </w:rPr>
        <w:t>notamment</w:t>
      </w:r>
      <w:r w:rsidR="00DB1635" w:rsidRPr="00B004EE">
        <w:rPr>
          <w:rFonts w:ascii="Tahoma" w:hAnsi="Tahoma" w:cs="Tahoma"/>
          <w:spacing w:val="39"/>
          <w:sz w:val="20"/>
          <w:szCs w:val="20"/>
        </w:rPr>
        <w:t xml:space="preserve"> </w:t>
      </w:r>
      <w:r w:rsidRPr="00B004EE">
        <w:rPr>
          <w:rFonts w:ascii="Tahoma" w:hAnsi="Tahoma" w:cs="Tahoma"/>
          <w:sz w:val="20"/>
          <w:szCs w:val="20"/>
        </w:rPr>
        <w:t>les</w:t>
      </w:r>
      <w:r w:rsidR="00DB1635" w:rsidRPr="00B004EE">
        <w:rPr>
          <w:rFonts w:ascii="Tahoma" w:hAnsi="Tahoma" w:cs="Tahoma"/>
          <w:spacing w:val="37"/>
          <w:sz w:val="20"/>
          <w:szCs w:val="20"/>
        </w:rPr>
        <w:t xml:space="preserve"> </w:t>
      </w:r>
      <w:r w:rsidRPr="00B004EE">
        <w:rPr>
          <w:rFonts w:ascii="Tahoma" w:hAnsi="Tahoma" w:cs="Tahoma"/>
          <w:sz w:val="20"/>
          <w:szCs w:val="20"/>
        </w:rPr>
        <w:t>partenaires</w:t>
      </w:r>
      <w:r w:rsidR="00DB1635" w:rsidRPr="00B004EE">
        <w:rPr>
          <w:rFonts w:ascii="Tahoma" w:hAnsi="Tahoma" w:cs="Tahoma"/>
          <w:spacing w:val="35"/>
          <w:sz w:val="20"/>
          <w:szCs w:val="20"/>
        </w:rPr>
        <w:t xml:space="preserve"> </w:t>
      </w:r>
      <w:r w:rsidRPr="00B004EE">
        <w:rPr>
          <w:rFonts w:ascii="Tahoma" w:hAnsi="Tahoma" w:cs="Tahoma"/>
          <w:sz w:val="20"/>
          <w:szCs w:val="20"/>
        </w:rPr>
        <w:t>intervenant</w:t>
      </w:r>
      <w:r w:rsidR="00DB1635" w:rsidRPr="00B004EE">
        <w:rPr>
          <w:rFonts w:ascii="Tahoma" w:hAnsi="Tahoma" w:cs="Tahoma"/>
          <w:spacing w:val="36"/>
          <w:sz w:val="20"/>
          <w:szCs w:val="20"/>
        </w:rPr>
        <w:t xml:space="preserve"> </w:t>
      </w:r>
      <w:r w:rsidRPr="00B004EE">
        <w:rPr>
          <w:rFonts w:ascii="Tahoma" w:hAnsi="Tahoma" w:cs="Tahoma"/>
          <w:sz w:val="20"/>
          <w:szCs w:val="20"/>
        </w:rPr>
        <w:t>dans</w:t>
      </w:r>
      <w:r w:rsidR="00DB1635" w:rsidRPr="00B004EE">
        <w:rPr>
          <w:rFonts w:ascii="Tahoma" w:hAnsi="Tahoma" w:cs="Tahoma"/>
          <w:spacing w:val="35"/>
          <w:sz w:val="20"/>
          <w:szCs w:val="20"/>
        </w:rPr>
        <w:t xml:space="preserve"> </w:t>
      </w:r>
      <w:r w:rsidRPr="00B004EE">
        <w:rPr>
          <w:rFonts w:ascii="Tahoma" w:hAnsi="Tahoma" w:cs="Tahoma"/>
          <w:sz w:val="20"/>
          <w:szCs w:val="20"/>
        </w:rPr>
        <w:t>la</w:t>
      </w:r>
      <w:r w:rsidR="00DB1635" w:rsidRPr="00B004EE">
        <w:rPr>
          <w:rFonts w:ascii="Tahoma" w:hAnsi="Tahoma" w:cs="Tahoma"/>
          <w:spacing w:val="36"/>
          <w:sz w:val="20"/>
          <w:szCs w:val="20"/>
        </w:rPr>
        <w:t xml:space="preserve"> </w:t>
      </w:r>
      <w:r w:rsidRPr="00B004EE">
        <w:rPr>
          <w:rFonts w:ascii="Tahoma" w:hAnsi="Tahoma" w:cs="Tahoma"/>
          <w:sz w:val="20"/>
          <w:szCs w:val="20"/>
        </w:rPr>
        <w:t>pêcherie</w:t>
      </w:r>
      <w:r w:rsidR="00DB1635" w:rsidRPr="00B004EE">
        <w:rPr>
          <w:rFonts w:ascii="Tahoma" w:hAnsi="Tahoma" w:cs="Tahoma"/>
          <w:spacing w:val="36"/>
          <w:sz w:val="20"/>
          <w:szCs w:val="20"/>
        </w:rPr>
        <w:t xml:space="preserve"> </w:t>
      </w:r>
      <w:r w:rsidRPr="00B004EE">
        <w:rPr>
          <w:rFonts w:ascii="Tahoma" w:hAnsi="Tahoma" w:cs="Tahoma"/>
          <w:sz w:val="20"/>
          <w:szCs w:val="20"/>
        </w:rPr>
        <w:t>et</w:t>
      </w:r>
      <w:r w:rsidR="00DB1635" w:rsidRPr="00B004EE">
        <w:rPr>
          <w:rFonts w:ascii="Tahoma" w:hAnsi="Tahoma" w:cs="Tahoma"/>
          <w:spacing w:val="36"/>
          <w:sz w:val="20"/>
          <w:szCs w:val="20"/>
        </w:rPr>
        <w:t xml:space="preserve"> </w:t>
      </w:r>
      <w:r w:rsidRPr="00B004EE">
        <w:rPr>
          <w:rFonts w:ascii="Tahoma" w:hAnsi="Tahoma" w:cs="Tahoma"/>
          <w:sz w:val="20"/>
          <w:szCs w:val="20"/>
        </w:rPr>
        <w:t>leurs</w:t>
      </w:r>
      <w:r w:rsidR="00DB1635" w:rsidRPr="00B004EE">
        <w:rPr>
          <w:rFonts w:ascii="Tahoma" w:hAnsi="Tahoma" w:cs="Tahoma"/>
          <w:spacing w:val="35"/>
          <w:sz w:val="20"/>
          <w:szCs w:val="20"/>
        </w:rPr>
        <w:t xml:space="preserve"> </w:t>
      </w:r>
      <w:r w:rsidRPr="00B004EE">
        <w:rPr>
          <w:rFonts w:ascii="Tahoma" w:hAnsi="Tahoma" w:cs="Tahoma"/>
          <w:sz w:val="20"/>
          <w:szCs w:val="20"/>
        </w:rPr>
        <w:t>rôles</w:t>
      </w:r>
      <w:r w:rsidR="00DB1635" w:rsidRPr="00B004EE">
        <w:rPr>
          <w:rFonts w:ascii="Tahoma" w:hAnsi="Tahoma" w:cs="Tahoma"/>
          <w:w w:val="94"/>
          <w:sz w:val="20"/>
          <w:szCs w:val="20"/>
        </w:rPr>
        <w:t xml:space="preserve"> </w:t>
      </w:r>
      <w:r w:rsidRPr="00B004EE">
        <w:rPr>
          <w:rFonts w:ascii="Tahoma" w:hAnsi="Tahoma" w:cs="Tahoma"/>
          <w:sz w:val="20"/>
          <w:szCs w:val="20"/>
        </w:rPr>
        <w:t>respectifs,</w:t>
      </w:r>
      <w:r w:rsidR="00DB1635" w:rsidRPr="00B004EE">
        <w:rPr>
          <w:rFonts w:ascii="Tahoma" w:hAnsi="Tahoma" w:cs="Tahoma"/>
          <w:sz w:val="20"/>
          <w:szCs w:val="20"/>
        </w:rPr>
        <w:t xml:space="preserve"> </w:t>
      </w:r>
      <w:r w:rsidRPr="00B004EE">
        <w:rPr>
          <w:rFonts w:ascii="Tahoma" w:hAnsi="Tahoma" w:cs="Tahoma"/>
          <w:sz w:val="20"/>
          <w:szCs w:val="20"/>
        </w:rPr>
        <w:t>énonce,</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détail,</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objectifs</w:t>
      </w:r>
      <w:r w:rsidR="00DB1635" w:rsidRPr="00B004EE">
        <w:rPr>
          <w:rFonts w:ascii="Tahoma" w:hAnsi="Tahoma" w:cs="Tahoma"/>
          <w:sz w:val="20"/>
          <w:szCs w:val="20"/>
        </w:rPr>
        <w:t xml:space="preserve"> </w:t>
      </w:r>
      <w:r w:rsidRPr="00B004EE">
        <w:rPr>
          <w:rFonts w:ascii="Tahoma" w:hAnsi="Tahoma" w:cs="Tahoma"/>
          <w:sz w:val="20"/>
          <w:szCs w:val="20"/>
        </w:rPr>
        <w:t>concertés</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pêcherie,</w:t>
      </w:r>
      <w:r w:rsidR="00DB1635" w:rsidRPr="00B004EE">
        <w:rPr>
          <w:rFonts w:ascii="Tahoma" w:hAnsi="Tahoma" w:cs="Tahoma"/>
          <w:sz w:val="20"/>
          <w:szCs w:val="20"/>
        </w:rPr>
        <w:t xml:space="preserve"> </w:t>
      </w:r>
      <w:r w:rsidRPr="00B004EE">
        <w:rPr>
          <w:rFonts w:ascii="Tahoma" w:hAnsi="Tahoma" w:cs="Tahoma"/>
          <w:sz w:val="20"/>
          <w:szCs w:val="20"/>
        </w:rPr>
        <w:t>précise</w:t>
      </w:r>
      <w:r w:rsidR="00DB1635" w:rsidRPr="00B004EE">
        <w:rPr>
          <w:rFonts w:ascii="Tahoma" w:hAnsi="Tahoma" w:cs="Tahoma"/>
          <w:spacing w:val="34"/>
          <w:sz w:val="20"/>
          <w:szCs w:val="20"/>
        </w:rPr>
        <w:t xml:space="preserve"> </w:t>
      </w:r>
      <w:r w:rsidRPr="00B004EE">
        <w:rPr>
          <w:rFonts w:ascii="Tahoma" w:hAnsi="Tahoma" w:cs="Tahoma"/>
          <w:sz w:val="20"/>
          <w:szCs w:val="20"/>
        </w:rPr>
        <w:t>les</w:t>
      </w:r>
      <w:r w:rsidR="00DB1635" w:rsidRPr="00B004EE">
        <w:rPr>
          <w:rFonts w:ascii="Tahoma" w:hAnsi="Tahoma" w:cs="Tahoma"/>
          <w:w w:val="94"/>
          <w:sz w:val="20"/>
          <w:szCs w:val="20"/>
        </w:rPr>
        <w:t xml:space="preserve"> </w:t>
      </w:r>
      <w:r w:rsidRPr="00B004EE">
        <w:rPr>
          <w:rFonts w:ascii="Tahoma" w:hAnsi="Tahoma" w:cs="Tahoma"/>
          <w:sz w:val="20"/>
          <w:szCs w:val="20"/>
        </w:rPr>
        <w:t>règles</w:t>
      </w:r>
      <w:r w:rsidR="00DB1635" w:rsidRPr="00B004EE">
        <w:rPr>
          <w:rFonts w:ascii="Tahoma" w:hAnsi="Tahoma" w:cs="Tahoma"/>
          <w:spacing w:val="-27"/>
          <w:sz w:val="20"/>
          <w:szCs w:val="20"/>
        </w:rPr>
        <w:t xml:space="preserve"> </w:t>
      </w:r>
      <w:r w:rsidRPr="00B004EE">
        <w:rPr>
          <w:rFonts w:ascii="Tahoma" w:hAnsi="Tahoma" w:cs="Tahoma"/>
          <w:sz w:val="20"/>
          <w:szCs w:val="20"/>
        </w:rPr>
        <w:t>et</w:t>
      </w:r>
      <w:r w:rsidR="00DB1635" w:rsidRPr="00B004EE">
        <w:rPr>
          <w:rFonts w:ascii="Tahoma" w:hAnsi="Tahoma" w:cs="Tahoma"/>
          <w:spacing w:val="-27"/>
          <w:sz w:val="20"/>
          <w:szCs w:val="20"/>
        </w:rPr>
        <w:t xml:space="preserve"> </w:t>
      </w:r>
      <w:r w:rsidRPr="00B004EE">
        <w:rPr>
          <w:rFonts w:ascii="Tahoma" w:hAnsi="Tahoma" w:cs="Tahoma"/>
          <w:sz w:val="20"/>
          <w:szCs w:val="20"/>
        </w:rPr>
        <w:t>règlements</w:t>
      </w:r>
      <w:r w:rsidR="00DB1635" w:rsidRPr="00B004EE">
        <w:rPr>
          <w:rFonts w:ascii="Tahoma" w:hAnsi="Tahoma" w:cs="Tahoma"/>
          <w:spacing w:val="-27"/>
          <w:sz w:val="20"/>
          <w:szCs w:val="20"/>
        </w:rPr>
        <w:t xml:space="preserve"> </w:t>
      </w:r>
      <w:r w:rsidRPr="00B004EE">
        <w:rPr>
          <w:rFonts w:ascii="Tahoma" w:hAnsi="Tahoma" w:cs="Tahoma"/>
          <w:sz w:val="20"/>
          <w:szCs w:val="20"/>
        </w:rPr>
        <w:t>de</w:t>
      </w:r>
      <w:r w:rsidR="00DB1635" w:rsidRPr="00B004EE">
        <w:rPr>
          <w:rFonts w:ascii="Tahoma" w:hAnsi="Tahoma" w:cs="Tahoma"/>
          <w:spacing w:val="-27"/>
          <w:sz w:val="20"/>
          <w:szCs w:val="20"/>
        </w:rPr>
        <w:t xml:space="preserve"> </w:t>
      </w:r>
      <w:r w:rsidRPr="00B004EE">
        <w:rPr>
          <w:rFonts w:ascii="Tahoma" w:hAnsi="Tahoma" w:cs="Tahoma"/>
          <w:sz w:val="20"/>
          <w:szCs w:val="20"/>
        </w:rPr>
        <w:t>gestion</w:t>
      </w:r>
      <w:r w:rsidR="00DB1635" w:rsidRPr="00B004EE">
        <w:rPr>
          <w:rFonts w:ascii="Tahoma" w:hAnsi="Tahoma" w:cs="Tahoma"/>
          <w:spacing w:val="-26"/>
          <w:sz w:val="20"/>
          <w:szCs w:val="20"/>
        </w:rPr>
        <w:t xml:space="preserve"> </w:t>
      </w:r>
      <w:r w:rsidRPr="00B004EE">
        <w:rPr>
          <w:rFonts w:ascii="Tahoma" w:hAnsi="Tahoma" w:cs="Tahoma"/>
          <w:sz w:val="20"/>
          <w:szCs w:val="20"/>
        </w:rPr>
        <w:t>durable</w:t>
      </w:r>
      <w:r w:rsidR="00DB1635" w:rsidRPr="00B004EE">
        <w:rPr>
          <w:rFonts w:ascii="Tahoma" w:hAnsi="Tahoma" w:cs="Tahoma"/>
          <w:spacing w:val="-26"/>
          <w:sz w:val="20"/>
          <w:szCs w:val="20"/>
        </w:rPr>
        <w:t xml:space="preserve"> </w:t>
      </w:r>
      <w:r w:rsidRPr="00B004EE">
        <w:rPr>
          <w:rFonts w:ascii="Tahoma" w:eastAsia="American Typewriter" w:hAnsi="Tahoma" w:cs="Tahoma"/>
          <w:sz w:val="20"/>
          <w:szCs w:val="20"/>
        </w:rPr>
        <w:t>qui</w:t>
      </w:r>
      <w:r w:rsidR="00DB1635" w:rsidRPr="00B004EE">
        <w:rPr>
          <w:rFonts w:ascii="Tahoma" w:eastAsia="American Typewriter" w:hAnsi="Tahoma" w:cs="Tahoma"/>
          <w:spacing w:val="-26"/>
          <w:sz w:val="20"/>
          <w:szCs w:val="20"/>
        </w:rPr>
        <w:t xml:space="preserve"> </w:t>
      </w:r>
      <w:r w:rsidRPr="00B004EE">
        <w:rPr>
          <w:rFonts w:ascii="Tahoma" w:eastAsia="American Typewriter" w:hAnsi="Tahoma" w:cs="Tahoma"/>
          <w:sz w:val="20"/>
          <w:szCs w:val="20"/>
        </w:rPr>
        <w:t>s’appliquent</w:t>
      </w:r>
      <w:r w:rsidR="00DB1635" w:rsidRPr="00B004EE">
        <w:rPr>
          <w:rFonts w:ascii="Tahoma" w:eastAsia="American Typewriter" w:hAnsi="Tahoma" w:cs="Tahoma"/>
          <w:spacing w:val="-27"/>
          <w:sz w:val="20"/>
          <w:szCs w:val="20"/>
        </w:rPr>
        <w:t xml:space="preserve"> </w:t>
      </w:r>
      <w:r w:rsidRPr="00B004EE">
        <w:rPr>
          <w:rFonts w:ascii="Tahoma" w:eastAsia="American Typewriter" w:hAnsi="Tahoma" w:cs="Tahoma"/>
          <w:sz w:val="20"/>
          <w:szCs w:val="20"/>
        </w:rPr>
        <w:t>à</w:t>
      </w:r>
      <w:r w:rsidR="00DB1635" w:rsidRPr="00B004EE">
        <w:rPr>
          <w:rFonts w:ascii="Tahoma" w:eastAsia="American Typewriter" w:hAnsi="Tahoma" w:cs="Tahoma"/>
          <w:spacing w:val="-26"/>
          <w:sz w:val="20"/>
          <w:szCs w:val="20"/>
        </w:rPr>
        <w:t xml:space="preserve"> </w:t>
      </w:r>
      <w:r w:rsidRPr="00B004EE">
        <w:rPr>
          <w:rFonts w:ascii="Tahoma" w:eastAsia="American Typewriter" w:hAnsi="Tahoma" w:cs="Tahoma"/>
          <w:sz w:val="20"/>
          <w:szCs w:val="20"/>
        </w:rPr>
        <w:t>cette</w:t>
      </w:r>
      <w:r w:rsidR="00DB1635" w:rsidRPr="00B004EE">
        <w:rPr>
          <w:rFonts w:ascii="Tahoma" w:eastAsia="American Typewriter" w:hAnsi="Tahoma" w:cs="Tahoma"/>
          <w:spacing w:val="-25"/>
          <w:sz w:val="20"/>
          <w:szCs w:val="20"/>
        </w:rPr>
        <w:t xml:space="preserve"> </w:t>
      </w:r>
      <w:r w:rsidRPr="00B004EE">
        <w:rPr>
          <w:rFonts w:ascii="Tahoma" w:hAnsi="Tahoma" w:cs="Tahoma"/>
          <w:sz w:val="20"/>
          <w:szCs w:val="20"/>
        </w:rPr>
        <w:t>dernière.</w:t>
      </w:r>
    </w:p>
    <w:p w14:paraId="0B16E6D8" w14:textId="77777777" w:rsidR="001E7C3C" w:rsidRPr="00B004EE" w:rsidRDefault="001E7C3C" w:rsidP="00B004EE">
      <w:pPr>
        <w:rPr>
          <w:rFonts w:ascii="Tahoma" w:eastAsia="American Typewriter" w:hAnsi="Tahoma" w:cs="Tahoma"/>
          <w:sz w:val="20"/>
          <w:szCs w:val="20"/>
        </w:rPr>
      </w:pPr>
    </w:p>
    <w:p w14:paraId="08A2A02C" w14:textId="032EF625" w:rsidR="001E7C3C" w:rsidRPr="00B004EE" w:rsidRDefault="001E7C3C" w:rsidP="00B004EE">
      <w:pPr>
        <w:pStyle w:val="Corpsdetexte"/>
        <w:ind w:right="164"/>
        <w:rPr>
          <w:rFonts w:ascii="Tahoma" w:hAnsi="Tahoma" w:cs="Tahoma"/>
          <w:sz w:val="20"/>
          <w:szCs w:val="20"/>
        </w:rPr>
      </w:pPr>
      <w:r w:rsidRPr="00B004EE">
        <w:rPr>
          <w:rFonts w:ascii="Tahoma" w:hAnsi="Tahoma" w:cs="Tahoma"/>
          <w:sz w:val="20"/>
          <w:szCs w:val="20"/>
        </w:rPr>
        <w:lastRenderedPageBreak/>
        <w:t>Le</w:t>
      </w:r>
      <w:r w:rsidR="00DB1635" w:rsidRPr="00B004EE">
        <w:rPr>
          <w:rFonts w:ascii="Tahoma" w:hAnsi="Tahoma" w:cs="Tahoma"/>
          <w:spacing w:val="46"/>
          <w:sz w:val="20"/>
          <w:szCs w:val="20"/>
        </w:rPr>
        <w:t xml:space="preserve"> </w:t>
      </w:r>
      <w:r w:rsidRPr="00B004EE">
        <w:rPr>
          <w:rFonts w:ascii="Tahoma" w:hAnsi="Tahoma" w:cs="Tahoma"/>
          <w:sz w:val="20"/>
          <w:szCs w:val="20"/>
        </w:rPr>
        <w:t>plan</w:t>
      </w:r>
      <w:r w:rsidR="00DB1635" w:rsidRPr="00B004EE">
        <w:rPr>
          <w:rFonts w:ascii="Tahoma" w:hAnsi="Tahoma" w:cs="Tahoma"/>
          <w:spacing w:val="46"/>
          <w:sz w:val="20"/>
          <w:szCs w:val="20"/>
        </w:rPr>
        <w:t xml:space="preserve"> </w:t>
      </w:r>
      <w:r w:rsidRPr="00B004EE">
        <w:rPr>
          <w:rFonts w:ascii="Tahoma" w:hAnsi="Tahoma" w:cs="Tahoma"/>
          <w:sz w:val="20"/>
          <w:szCs w:val="20"/>
        </w:rPr>
        <w:t>de</w:t>
      </w:r>
      <w:r w:rsidR="00DB1635" w:rsidRPr="00B004EE">
        <w:rPr>
          <w:rFonts w:ascii="Tahoma" w:hAnsi="Tahoma" w:cs="Tahoma"/>
          <w:spacing w:val="47"/>
          <w:sz w:val="20"/>
          <w:szCs w:val="20"/>
        </w:rPr>
        <w:t xml:space="preserve"> </w:t>
      </w:r>
      <w:r w:rsidRPr="00B004EE">
        <w:rPr>
          <w:rFonts w:ascii="Tahoma" w:eastAsia="American Typewriter" w:hAnsi="Tahoma" w:cs="Tahoma"/>
          <w:sz w:val="20"/>
          <w:szCs w:val="20"/>
        </w:rPr>
        <w:t>gestion</w:t>
      </w:r>
      <w:r w:rsidR="00DB1635" w:rsidRPr="00B004EE">
        <w:rPr>
          <w:rFonts w:ascii="Tahoma" w:eastAsia="American Typewriter" w:hAnsi="Tahoma" w:cs="Tahoma"/>
          <w:spacing w:val="46"/>
          <w:sz w:val="20"/>
          <w:szCs w:val="20"/>
        </w:rPr>
        <w:t xml:space="preserve"> </w:t>
      </w:r>
      <w:r w:rsidRPr="00B004EE">
        <w:rPr>
          <w:rFonts w:ascii="Tahoma" w:eastAsia="American Typewriter" w:hAnsi="Tahoma" w:cs="Tahoma"/>
          <w:sz w:val="20"/>
          <w:szCs w:val="20"/>
        </w:rPr>
        <w:t>définit</w:t>
      </w:r>
      <w:r w:rsidR="00DB1635" w:rsidRPr="00B004EE">
        <w:rPr>
          <w:rFonts w:ascii="Tahoma" w:eastAsia="American Typewriter" w:hAnsi="Tahoma" w:cs="Tahoma"/>
          <w:spacing w:val="46"/>
          <w:sz w:val="20"/>
          <w:szCs w:val="20"/>
        </w:rPr>
        <w:t xml:space="preserve"> </w:t>
      </w:r>
      <w:r w:rsidRPr="00B004EE">
        <w:rPr>
          <w:rFonts w:ascii="Tahoma" w:eastAsia="American Typewriter" w:hAnsi="Tahoma" w:cs="Tahoma"/>
          <w:sz w:val="20"/>
          <w:szCs w:val="20"/>
        </w:rPr>
        <w:t>les</w:t>
      </w:r>
      <w:r w:rsidR="00DB1635" w:rsidRPr="00B004EE">
        <w:rPr>
          <w:rFonts w:ascii="Tahoma" w:eastAsia="American Typewriter" w:hAnsi="Tahoma" w:cs="Tahoma"/>
          <w:spacing w:val="45"/>
          <w:sz w:val="20"/>
          <w:szCs w:val="20"/>
        </w:rPr>
        <w:t xml:space="preserve"> </w:t>
      </w:r>
      <w:r w:rsidRPr="00B004EE">
        <w:rPr>
          <w:rFonts w:ascii="Tahoma" w:eastAsia="American Typewriter" w:hAnsi="Tahoma" w:cs="Tahoma"/>
          <w:sz w:val="20"/>
          <w:szCs w:val="20"/>
        </w:rPr>
        <w:t>règles</w:t>
      </w:r>
      <w:r w:rsidR="00DB1635" w:rsidRPr="00B004EE">
        <w:rPr>
          <w:rFonts w:ascii="Tahoma" w:eastAsia="American Typewriter" w:hAnsi="Tahoma" w:cs="Tahoma"/>
          <w:spacing w:val="45"/>
          <w:sz w:val="20"/>
          <w:szCs w:val="20"/>
        </w:rPr>
        <w:t xml:space="preserve"> </w:t>
      </w:r>
      <w:r w:rsidRPr="00B004EE">
        <w:rPr>
          <w:rFonts w:ascii="Tahoma" w:eastAsia="American Typewriter" w:hAnsi="Tahoma" w:cs="Tahoma"/>
          <w:sz w:val="20"/>
          <w:szCs w:val="20"/>
        </w:rPr>
        <w:t>d’administration</w:t>
      </w:r>
      <w:r w:rsidR="00DB1635" w:rsidRPr="00B004EE">
        <w:rPr>
          <w:rFonts w:ascii="Tahoma" w:eastAsia="American Typewriter" w:hAnsi="Tahoma" w:cs="Tahoma"/>
          <w:spacing w:val="46"/>
          <w:sz w:val="20"/>
          <w:szCs w:val="20"/>
        </w:rPr>
        <w:t xml:space="preserve"> </w:t>
      </w:r>
      <w:r w:rsidRPr="00B004EE">
        <w:rPr>
          <w:rFonts w:ascii="Tahoma" w:eastAsia="American Typewriter" w:hAnsi="Tahoma" w:cs="Tahoma"/>
          <w:sz w:val="20"/>
          <w:szCs w:val="20"/>
        </w:rPr>
        <w:t>concernant</w:t>
      </w:r>
      <w:r w:rsidR="00DB1635" w:rsidRPr="00B004EE">
        <w:rPr>
          <w:rFonts w:ascii="Tahoma" w:eastAsia="American Typewriter" w:hAnsi="Tahoma" w:cs="Tahoma"/>
          <w:spacing w:val="46"/>
          <w:sz w:val="20"/>
          <w:szCs w:val="20"/>
        </w:rPr>
        <w:t xml:space="preserve"> </w:t>
      </w:r>
      <w:r w:rsidRPr="00B004EE">
        <w:rPr>
          <w:rFonts w:ascii="Tahoma" w:eastAsia="American Typewriter" w:hAnsi="Tahoma" w:cs="Tahoma"/>
          <w:sz w:val="20"/>
          <w:szCs w:val="20"/>
        </w:rPr>
        <w:t>un</w:t>
      </w:r>
      <w:r w:rsidR="00DB1635" w:rsidRPr="00B004EE">
        <w:rPr>
          <w:rFonts w:ascii="Tahoma" w:eastAsia="American Typewriter" w:hAnsi="Tahoma" w:cs="Tahoma"/>
          <w:spacing w:val="44"/>
          <w:sz w:val="20"/>
          <w:szCs w:val="20"/>
        </w:rPr>
        <w:t xml:space="preserve"> </w:t>
      </w:r>
      <w:r w:rsidRPr="00B004EE">
        <w:rPr>
          <w:rFonts w:ascii="Tahoma" w:eastAsia="American Typewriter" w:hAnsi="Tahoma" w:cs="Tahoma"/>
          <w:sz w:val="20"/>
          <w:szCs w:val="20"/>
        </w:rPr>
        <w:t>segment</w:t>
      </w:r>
      <w:r w:rsidR="00DB1635" w:rsidRPr="00B004EE">
        <w:rPr>
          <w:rFonts w:ascii="Tahoma" w:eastAsia="American Typewriter" w:hAnsi="Tahoma" w:cs="Tahoma"/>
          <w:w w:val="95"/>
          <w:sz w:val="20"/>
          <w:szCs w:val="20"/>
        </w:rPr>
        <w:t xml:space="preserve"> </w:t>
      </w:r>
      <w:r w:rsidRPr="00B004EE">
        <w:rPr>
          <w:rFonts w:ascii="Tahoma" w:eastAsia="American Typewriter" w:hAnsi="Tahoma" w:cs="Tahoma"/>
          <w:sz w:val="20"/>
          <w:szCs w:val="20"/>
        </w:rPr>
        <w:t>d’exploitation</w:t>
      </w:r>
      <w:r w:rsidR="00DB1635" w:rsidRPr="00B004EE">
        <w:rPr>
          <w:rFonts w:ascii="Tahoma" w:eastAsia="American Typewriter" w:hAnsi="Tahoma" w:cs="Tahoma"/>
          <w:spacing w:val="-34"/>
          <w:sz w:val="20"/>
          <w:szCs w:val="20"/>
        </w:rPr>
        <w:t xml:space="preserve"> </w:t>
      </w:r>
      <w:r w:rsidRPr="00B004EE">
        <w:rPr>
          <w:rFonts w:ascii="Tahoma" w:eastAsia="American Typewriter" w:hAnsi="Tahoma" w:cs="Tahoma"/>
          <w:sz w:val="20"/>
          <w:szCs w:val="20"/>
        </w:rPr>
        <w:t>ou</w:t>
      </w:r>
      <w:r w:rsidR="00DB1635" w:rsidRPr="00B004EE">
        <w:rPr>
          <w:rFonts w:ascii="Tahoma" w:eastAsia="American Typewriter" w:hAnsi="Tahoma" w:cs="Tahoma"/>
          <w:spacing w:val="-34"/>
          <w:sz w:val="20"/>
          <w:szCs w:val="20"/>
        </w:rPr>
        <w:t xml:space="preserve"> </w:t>
      </w:r>
      <w:r w:rsidRPr="00B004EE">
        <w:rPr>
          <w:rFonts w:ascii="Tahoma" w:eastAsia="American Typewriter" w:hAnsi="Tahoma" w:cs="Tahoma"/>
          <w:sz w:val="20"/>
          <w:szCs w:val="20"/>
        </w:rPr>
        <w:t>une</w:t>
      </w:r>
      <w:r w:rsidR="00DB1635" w:rsidRPr="00B004EE">
        <w:rPr>
          <w:rFonts w:ascii="Tahoma" w:eastAsia="American Typewriter" w:hAnsi="Tahoma" w:cs="Tahoma"/>
          <w:spacing w:val="-34"/>
          <w:sz w:val="20"/>
          <w:szCs w:val="20"/>
        </w:rPr>
        <w:t xml:space="preserve"> </w:t>
      </w:r>
      <w:r w:rsidRPr="00B004EE">
        <w:rPr>
          <w:rFonts w:ascii="Tahoma" w:eastAsia="American Typewriter" w:hAnsi="Tahoma" w:cs="Tahoma"/>
          <w:sz w:val="20"/>
          <w:szCs w:val="20"/>
        </w:rPr>
        <w:t>flotte</w:t>
      </w:r>
      <w:r w:rsidR="00DB1635" w:rsidRPr="00B004EE">
        <w:rPr>
          <w:rFonts w:ascii="Tahoma" w:eastAsia="American Typewriter" w:hAnsi="Tahoma" w:cs="Tahoma"/>
          <w:spacing w:val="-34"/>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pacing w:val="-34"/>
          <w:sz w:val="20"/>
          <w:szCs w:val="20"/>
        </w:rPr>
        <w:t xml:space="preserve"> </w:t>
      </w:r>
      <w:r w:rsidRPr="00B004EE">
        <w:rPr>
          <w:rFonts w:ascii="Tahoma" w:eastAsia="American Typewriter" w:hAnsi="Tahoma" w:cs="Tahoma"/>
          <w:sz w:val="20"/>
          <w:szCs w:val="20"/>
        </w:rPr>
        <w:t>pêche.</w:t>
      </w:r>
    </w:p>
    <w:p w14:paraId="61E77832" w14:textId="77777777" w:rsidR="001E7C3C" w:rsidRPr="00B004EE" w:rsidRDefault="001E7C3C" w:rsidP="00B004EE">
      <w:pPr>
        <w:rPr>
          <w:rFonts w:ascii="Tahoma" w:eastAsia="American Typewriter" w:hAnsi="Tahoma" w:cs="Tahoma"/>
          <w:sz w:val="20"/>
          <w:szCs w:val="20"/>
        </w:rPr>
      </w:pPr>
    </w:p>
    <w:p w14:paraId="07FB098F" w14:textId="13D63F83" w:rsidR="001E7C3C" w:rsidRPr="00B004EE" w:rsidRDefault="001E7C3C" w:rsidP="00B004EE">
      <w:pPr>
        <w:pStyle w:val="Corpsdetexte"/>
        <w:ind w:right="158"/>
        <w:rPr>
          <w:rFonts w:ascii="Tahoma" w:hAnsi="Tahoma" w:cs="Tahoma"/>
          <w:sz w:val="20"/>
          <w:szCs w:val="20"/>
        </w:rPr>
      </w:pPr>
      <w:r w:rsidRPr="00B004EE">
        <w:rPr>
          <w:rFonts w:ascii="Tahoma" w:eastAsia="American Typewriter" w:hAnsi="Tahoma" w:cs="Tahoma"/>
          <w:sz w:val="20"/>
          <w:szCs w:val="20"/>
        </w:rPr>
        <w:t>Les</w:t>
      </w:r>
      <w:r w:rsidR="00DB1635" w:rsidRPr="00B004EE">
        <w:rPr>
          <w:rFonts w:ascii="Tahoma" w:eastAsia="American Typewriter" w:hAnsi="Tahoma" w:cs="Tahoma"/>
          <w:spacing w:val="-5"/>
          <w:sz w:val="20"/>
          <w:szCs w:val="20"/>
        </w:rPr>
        <w:t xml:space="preserve"> </w:t>
      </w:r>
      <w:r w:rsidRPr="00B004EE">
        <w:rPr>
          <w:rFonts w:ascii="Tahoma" w:eastAsia="American Typewriter" w:hAnsi="Tahoma" w:cs="Tahoma"/>
          <w:sz w:val="20"/>
          <w:szCs w:val="20"/>
        </w:rPr>
        <w:t>plans</w:t>
      </w:r>
      <w:r w:rsidR="00DB1635" w:rsidRPr="00B004EE">
        <w:rPr>
          <w:rFonts w:ascii="Tahoma" w:eastAsia="American Typewriter" w:hAnsi="Tahoma" w:cs="Tahoma"/>
          <w:spacing w:val="-5"/>
          <w:sz w:val="20"/>
          <w:szCs w:val="20"/>
        </w:rPr>
        <w:t xml:space="preserve"> </w:t>
      </w:r>
      <w:r w:rsidRPr="00B004EE">
        <w:rPr>
          <w:rFonts w:ascii="Tahoma" w:eastAsia="American Typewriter" w:hAnsi="Tahoma" w:cs="Tahoma"/>
          <w:sz w:val="20"/>
          <w:szCs w:val="20"/>
        </w:rPr>
        <w:t>d’aménagement</w:t>
      </w:r>
      <w:r w:rsidR="00DB1635" w:rsidRPr="00B004EE">
        <w:rPr>
          <w:rFonts w:ascii="Tahoma" w:eastAsia="American Typewriter" w:hAnsi="Tahoma" w:cs="Tahoma"/>
          <w:spacing w:val="-6"/>
          <w:sz w:val="20"/>
          <w:szCs w:val="20"/>
        </w:rPr>
        <w:t xml:space="preserve"> </w:t>
      </w:r>
      <w:r w:rsidRPr="00B004EE">
        <w:rPr>
          <w:rFonts w:ascii="Tahoma" w:eastAsia="American Typewriter" w:hAnsi="Tahoma" w:cs="Tahoma"/>
          <w:sz w:val="20"/>
          <w:szCs w:val="20"/>
        </w:rPr>
        <w:t>ou</w:t>
      </w:r>
      <w:r w:rsidR="00DB1635" w:rsidRPr="00B004EE">
        <w:rPr>
          <w:rFonts w:ascii="Tahoma" w:eastAsia="American Typewriter" w:hAnsi="Tahoma" w:cs="Tahoma"/>
          <w:spacing w:val="-6"/>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pacing w:val="-6"/>
          <w:sz w:val="20"/>
          <w:szCs w:val="20"/>
        </w:rPr>
        <w:t xml:space="preserve"> </w:t>
      </w:r>
      <w:r w:rsidRPr="00B004EE">
        <w:rPr>
          <w:rFonts w:ascii="Tahoma" w:eastAsia="American Typewriter" w:hAnsi="Tahoma" w:cs="Tahoma"/>
          <w:sz w:val="20"/>
          <w:szCs w:val="20"/>
        </w:rPr>
        <w:t>gestion</w:t>
      </w:r>
      <w:r w:rsidR="00DB1635" w:rsidRPr="00B004EE">
        <w:rPr>
          <w:rFonts w:ascii="Tahoma" w:eastAsia="American Typewriter" w:hAnsi="Tahoma" w:cs="Tahoma"/>
          <w:spacing w:val="-6"/>
          <w:sz w:val="20"/>
          <w:szCs w:val="20"/>
        </w:rPr>
        <w:t xml:space="preserve"> </w:t>
      </w:r>
      <w:r w:rsidRPr="00B004EE">
        <w:rPr>
          <w:rFonts w:ascii="Tahoma" w:eastAsia="American Typewriter" w:hAnsi="Tahoma" w:cs="Tahoma"/>
          <w:sz w:val="20"/>
          <w:szCs w:val="20"/>
        </w:rPr>
        <w:t>constituent</w:t>
      </w:r>
      <w:r w:rsidR="00DB1635" w:rsidRPr="00B004EE">
        <w:rPr>
          <w:rFonts w:ascii="Tahoma" w:eastAsia="American Typewriter" w:hAnsi="Tahoma" w:cs="Tahoma"/>
          <w:spacing w:val="-6"/>
          <w:sz w:val="20"/>
          <w:szCs w:val="20"/>
        </w:rPr>
        <w:t xml:space="preserve"> </w:t>
      </w:r>
      <w:r w:rsidRPr="00B004EE">
        <w:rPr>
          <w:rFonts w:ascii="Tahoma" w:eastAsia="American Typewriter" w:hAnsi="Tahoma" w:cs="Tahoma"/>
          <w:sz w:val="20"/>
          <w:szCs w:val="20"/>
        </w:rPr>
        <w:t>un</w:t>
      </w:r>
      <w:r w:rsidR="00DB1635" w:rsidRPr="00B004EE">
        <w:rPr>
          <w:rFonts w:ascii="Tahoma" w:eastAsia="American Typewriter" w:hAnsi="Tahoma" w:cs="Tahoma"/>
          <w:spacing w:val="-6"/>
          <w:sz w:val="20"/>
          <w:szCs w:val="20"/>
        </w:rPr>
        <w:t xml:space="preserve"> </w:t>
      </w:r>
      <w:r w:rsidRPr="00B004EE">
        <w:rPr>
          <w:rFonts w:ascii="Tahoma" w:eastAsia="American Typewriter" w:hAnsi="Tahoma" w:cs="Tahoma"/>
          <w:sz w:val="20"/>
          <w:szCs w:val="20"/>
        </w:rPr>
        <w:t>outil</w:t>
      </w:r>
      <w:r w:rsidR="00DB1635" w:rsidRPr="00B004EE">
        <w:rPr>
          <w:rFonts w:ascii="Tahoma" w:eastAsia="American Typewriter" w:hAnsi="Tahoma" w:cs="Tahoma"/>
          <w:spacing w:val="-6"/>
          <w:sz w:val="20"/>
          <w:szCs w:val="20"/>
        </w:rPr>
        <w:t xml:space="preserve"> </w:t>
      </w:r>
      <w:r w:rsidRPr="00B004EE">
        <w:rPr>
          <w:rFonts w:ascii="Tahoma" w:eastAsia="American Typewriter" w:hAnsi="Tahoma" w:cs="Tahoma"/>
          <w:sz w:val="20"/>
          <w:szCs w:val="20"/>
        </w:rPr>
        <w:t>pour</w:t>
      </w:r>
      <w:r w:rsidR="00DB1635" w:rsidRPr="00B004EE">
        <w:rPr>
          <w:rFonts w:ascii="Tahoma" w:eastAsia="American Typewriter" w:hAnsi="Tahoma" w:cs="Tahoma"/>
          <w:spacing w:val="-7"/>
          <w:sz w:val="20"/>
          <w:szCs w:val="20"/>
        </w:rPr>
        <w:t xml:space="preserve"> </w:t>
      </w:r>
      <w:r w:rsidRPr="00B004EE">
        <w:rPr>
          <w:rFonts w:ascii="Tahoma" w:eastAsia="American Typewriter" w:hAnsi="Tahoma" w:cs="Tahoma"/>
          <w:spacing w:val="3"/>
          <w:sz w:val="20"/>
          <w:szCs w:val="20"/>
        </w:rPr>
        <w:t>l</w:t>
      </w:r>
      <w:r w:rsidRPr="00B004EE">
        <w:rPr>
          <w:rFonts w:ascii="Tahoma" w:hAnsi="Tahoma" w:cs="Tahoma"/>
          <w:spacing w:val="3"/>
          <w:sz w:val="20"/>
          <w:szCs w:val="20"/>
        </w:rPr>
        <w:t>a</w:t>
      </w:r>
      <w:r w:rsidR="00DB1635" w:rsidRPr="00B004EE">
        <w:rPr>
          <w:rFonts w:ascii="Tahoma" w:hAnsi="Tahoma" w:cs="Tahoma"/>
          <w:spacing w:val="-6"/>
          <w:sz w:val="20"/>
          <w:szCs w:val="20"/>
        </w:rPr>
        <w:t xml:space="preserve"> </w:t>
      </w:r>
      <w:r w:rsidRPr="00B004EE">
        <w:rPr>
          <w:rFonts w:ascii="Tahoma" w:hAnsi="Tahoma" w:cs="Tahoma"/>
          <w:sz w:val="20"/>
          <w:szCs w:val="20"/>
        </w:rPr>
        <w:t>conservation</w:t>
      </w:r>
      <w:r w:rsidR="00DB1635" w:rsidRPr="00B004EE">
        <w:rPr>
          <w:rFonts w:ascii="Tahoma" w:hAnsi="Tahoma" w:cs="Tahoma"/>
          <w:w w:val="93"/>
          <w:sz w:val="20"/>
          <w:szCs w:val="20"/>
        </w:rPr>
        <w:t xml:space="preserve"> </w:t>
      </w:r>
      <w:r w:rsidRPr="00B004EE">
        <w:rPr>
          <w:rFonts w:ascii="Tahoma" w:hAnsi="Tahoma" w:cs="Tahoma"/>
          <w:sz w:val="20"/>
          <w:szCs w:val="20"/>
        </w:rPr>
        <w:t>et</w:t>
      </w:r>
      <w:r w:rsidR="00DB1635" w:rsidRPr="00B004EE">
        <w:rPr>
          <w:rFonts w:ascii="Tahoma" w:hAnsi="Tahoma" w:cs="Tahoma"/>
          <w:spacing w:val="-19"/>
          <w:sz w:val="20"/>
          <w:szCs w:val="20"/>
        </w:rPr>
        <w:t xml:space="preserve"> </w:t>
      </w:r>
      <w:r w:rsidRPr="00B004EE">
        <w:rPr>
          <w:rFonts w:ascii="Tahoma" w:hAnsi="Tahoma" w:cs="Tahoma"/>
          <w:sz w:val="20"/>
          <w:szCs w:val="20"/>
        </w:rPr>
        <w:t>la</w:t>
      </w:r>
      <w:r w:rsidR="00DB1635" w:rsidRPr="00B004EE">
        <w:rPr>
          <w:rFonts w:ascii="Tahoma" w:hAnsi="Tahoma" w:cs="Tahoma"/>
          <w:spacing w:val="23"/>
          <w:sz w:val="20"/>
          <w:szCs w:val="20"/>
        </w:rPr>
        <w:t xml:space="preserve"> </w:t>
      </w:r>
      <w:r w:rsidRPr="00B004EE">
        <w:rPr>
          <w:rFonts w:ascii="Tahoma" w:hAnsi="Tahoma" w:cs="Tahoma"/>
          <w:sz w:val="20"/>
          <w:szCs w:val="20"/>
        </w:rPr>
        <w:t>gestion</w:t>
      </w:r>
      <w:r w:rsidR="00DB1635" w:rsidRPr="00B004EE">
        <w:rPr>
          <w:rFonts w:ascii="Tahoma" w:hAnsi="Tahoma" w:cs="Tahoma"/>
          <w:spacing w:val="-19"/>
          <w:sz w:val="20"/>
          <w:szCs w:val="20"/>
        </w:rPr>
        <w:t xml:space="preserve"> </w:t>
      </w:r>
      <w:r w:rsidRPr="00B004EE">
        <w:rPr>
          <w:rFonts w:ascii="Tahoma" w:hAnsi="Tahoma" w:cs="Tahoma"/>
          <w:sz w:val="20"/>
          <w:szCs w:val="20"/>
        </w:rPr>
        <w:t>durable</w:t>
      </w:r>
      <w:r w:rsidR="00DB1635" w:rsidRPr="00B004EE">
        <w:rPr>
          <w:rFonts w:ascii="Tahoma" w:hAnsi="Tahoma" w:cs="Tahoma"/>
          <w:spacing w:val="-19"/>
          <w:sz w:val="20"/>
          <w:szCs w:val="20"/>
        </w:rPr>
        <w:t xml:space="preserve"> </w:t>
      </w:r>
      <w:r w:rsidRPr="00B004EE">
        <w:rPr>
          <w:rFonts w:ascii="Tahoma" w:hAnsi="Tahoma" w:cs="Tahoma"/>
          <w:sz w:val="20"/>
          <w:szCs w:val="20"/>
        </w:rPr>
        <w:t>de</w:t>
      </w:r>
      <w:r w:rsidR="00DB1635" w:rsidRPr="00B004EE">
        <w:rPr>
          <w:rFonts w:ascii="Tahoma" w:hAnsi="Tahoma" w:cs="Tahoma"/>
          <w:spacing w:val="-19"/>
          <w:sz w:val="20"/>
          <w:szCs w:val="20"/>
        </w:rPr>
        <w:t xml:space="preserve"> </w:t>
      </w:r>
      <w:r w:rsidRPr="00B004EE">
        <w:rPr>
          <w:rFonts w:ascii="Tahoma" w:hAnsi="Tahoma" w:cs="Tahoma"/>
          <w:sz w:val="20"/>
          <w:szCs w:val="20"/>
        </w:rPr>
        <w:t>la</w:t>
      </w:r>
      <w:r w:rsidR="00DB1635" w:rsidRPr="00B004EE">
        <w:rPr>
          <w:rFonts w:ascii="Tahoma" w:hAnsi="Tahoma" w:cs="Tahoma"/>
          <w:spacing w:val="-18"/>
          <w:sz w:val="20"/>
          <w:szCs w:val="20"/>
        </w:rPr>
        <w:t xml:space="preserve"> </w:t>
      </w:r>
      <w:r w:rsidRPr="00B004EE">
        <w:rPr>
          <w:rFonts w:ascii="Tahoma" w:hAnsi="Tahoma" w:cs="Tahoma"/>
          <w:sz w:val="20"/>
          <w:szCs w:val="20"/>
        </w:rPr>
        <w:t>ressource</w:t>
      </w:r>
      <w:r w:rsidR="00DB1635" w:rsidRPr="00B004EE">
        <w:rPr>
          <w:rFonts w:ascii="Tahoma" w:hAnsi="Tahoma" w:cs="Tahoma"/>
          <w:spacing w:val="-19"/>
          <w:sz w:val="20"/>
          <w:szCs w:val="20"/>
        </w:rPr>
        <w:t xml:space="preserve"> </w:t>
      </w:r>
      <w:r w:rsidRPr="00B004EE">
        <w:rPr>
          <w:rFonts w:ascii="Tahoma" w:hAnsi="Tahoma" w:cs="Tahoma"/>
          <w:sz w:val="20"/>
          <w:szCs w:val="20"/>
        </w:rPr>
        <w:t>halieutique.</w:t>
      </w:r>
    </w:p>
    <w:p w14:paraId="44AA5BEF" w14:textId="77777777" w:rsidR="001E7C3C" w:rsidRPr="00B004EE" w:rsidRDefault="001E7C3C" w:rsidP="00B004EE">
      <w:pPr>
        <w:jc w:val="both"/>
        <w:rPr>
          <w:rFonts w:ascii="Tahoma" w:hAnsi="Tahoma" w:cs="Tahoma"/>
          <w:sz w:val="20"/>
          <w:szCs w:val="20"/>
        </w:rPr>
      </w:pPr>
    </w:p>
    <w:p w14:paraId="5695C760" w14:textId="503981A4" w:rsidR="001E7C3C" w:rsidRPr="00B004EE" w:rsidRDefault="001E7C3C" w:rsidP="00B004EE">
      <w:pPr>
        <w:pStyle w:val="Corpsdetexte"/>
        <w:ind w:right="158"/>
        <w:rPr>
          <w:rFonts w:ascii="Tahoma" w:hAnsi="Tahoma" w:cs="Tahoma"/>
          <w:sz w:val="20"/>
          <w:szCs w:val="20"/>
        </w:rPr>
      </w:pPr>
      <w:r w:rsidRPr="00B004EE">
        <w:rPr>
          <w:rFonts w:ascii="Tahoma" w:eastAsia="American Typewriter" w:hAnsi="Tahoma" w:cs="Tahoma"/>
          <w:sz w:val="20"/>
          <w:szCs w:val="20"/>
        </w:rPr>
        <w:t>Les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plans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d’am</w:t>
      </w:r>
      <w:r w:rsidRPr="00B004EE">
        <w:rPr>
          <w:rFonts w:ascii="Tahoma" w:hAnsi="Tahoma" w:cs="Tahoma"/>
          <w:sz w:val="20"/>
          <w:szCs w:val="20"/>
        </w:rPr>
        <w:t>énagement</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gestion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pêcheries</w:t>
      </w:r>
      <w:r w:rsidR="00DB1635" w:rsidRPr="00B004EE">
        <w:rPr>
          <w:rFonts w:ascii="Tahoma" w:hAnsi="Tahoma" w:cs="Tahoma"/>
          <w:sz w:val="20"/>
          <w:szCs w:val="20"/>
        </w:rPr>
        <w:t xml:space="preserve"> </w:t>
      </w:r>
      <w:r w:rsidRPr="00B004EE">
        <w:rPr>
          <w:rFonts w:ascii="Tahoma" w:hAnsi="Tahoma" w:cs="Tahoma"/>
          <w:sz w:val="20"/>
          <w:szCs w:val="20"/>
        </w:rPr>
        <w:t>servent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référence</w:t>
      </w:r>
      <w:r w:rsidR="00DB1635" w:rsidRPr="00B004EE">
        <w:rPr>
          <w:rFonts w:ascii="Tahoma" w:hAnsi="Tahoma" w:cs="Tahoma"/>
          <w:spacing w:val="44"/>
          <w:sz w:val="20"/>
          <w:szCs w:val="20"/>
        </w:rPr>
        <w:t xml:space="preserve"> </w:t>
      </w:r>
      <w:r w:rsidRPr="00B004EE">
        <w:rPr>
          <w:rFonts w:ascii="Tahoma" w:hAnsi="Tahoma" w:cs="Tahoma"/>
          <w:sz w:val="20"/>
          <w:szCs w:val="20"/>
        </w:rPr>
        <w:t>pour</w:t>
      </w:r>
      <w:r w:rsidR="00DB1635" w:rsidRPr="00B004EE">
        <w:rPr>
          <w:rFonts w:ascii="Tahoma" w:hAnsi="Tahoma" w:cs="Tahoma"/>
          <w:w w:val="93"/>
          <w:sz w:val="20"/>
          <w:szCs w:val="20"/>
        </w:rPr>
        <w:t xml:space="preserve"> </w:t>
      </w:r>
      <w:r w:rsidRPr="00B004EE">
        <w:rPr>
          <w:rFonts w:ascii="Tahoma" w:eastAsia="American Typewriter" w:hAnsi="Tahoma" w:cs="Tahoma"/>
          <w:sz w:val="20"/>
          <w:szCs w:val="20"/>
        </w:rPr>
        <w:t>toutes</w:t>
      </w:r>
      <w:r w:rsidR="00DB1635" w:rsidRPr="00B004EE">
        <w:rPr>
          <w:rFonts w:ascii="Tahoma" w:eastAsia="American Typewriter" w:hAnsi="Tahoma" w:cs="Tahoma"/>
          <w:spacing w:val="-16"/>
          <w:sz w:val="20"/>
          <w:szCs w:val="20"/>
        </w:rPr>
        <w:t xml:space="preserve"> </w:t>
      </w:r>
      <w:r w:rsidRPr="00B004EE">
        <w:rPr>
          <w:rFonts w:ascii="Tahoma" w:eastAsia="American Typewriter" w:hAnsi="Tahoma" w:cs="Tahoma"/>
          <w:sz w:val="20"/>
          <w:szCs w:val="20"/>
        </w:rPr>
        <w:t>formes</w:t>
      </w:r>
      <w:r w:rsidR="00DB1635" w:rsidRPr="00B004EE">
        <w:rPr>
          <w:rFonts w:ascii="Tahoma" w:eastAsia="American Typewriter" w:hAnsi="Tahoma" w:cs="Tahoma"/>
          <w:spacing w:val="-16"/>
          <w:sz w:val="20"/>
          <w:szCs w:val="20"/>
        </w:rPr>
        <w:t xml:space="preserve"> </w:t>
      </w:r>
      <w:r w:rsidRPr="00B004EE">
        <w:rPr>
          <w:rFonts w:ascii="Tahoma" w:eastAsia="American Typewriter" w:hAnsi="Tahoma" w:cs="Tahoma"/>
          <w:sz w:val="20"/>
          <w:szCs w:val="20"/>
        </w:rPr>
        <w:t>d’allocation</w:t>
      </w:r>
      <w:r w:rsidR="00DB1635" w:rsidRPr="00B004EE">
        <w:rPr>
          <w:rFonts w:ascii="Tahoma" w:eastAsia="American Typewriter" w:hAnsi="Tahoma" w:cs="Tahoma"/>
          <w:spacing w:val="-16"/>
          <w:sz w:val="20"/>
          <w:szCs w:val="20"/>
        </w:rPr>
        <w:t xml:space="preserve"> </w:t>
      </w:r>
      <w:r w:rsidRPr="00B004EE">
        <w:rPr>
          <w:rFonts w:ascii="Tahoma" w:eastAsia="American Typewriter" w:hAnsi="Tahoma" w:cs="Tahoma"/>
          <w:sz w:val="20"/>
          <w:szCs w:val="20"/>
        </w:rPr>
        <w:t>et</w:t>
      </w:r>
      <w:r w:rsidR="00DB1635" w:rsidRPr="00B004EE">
        <w:rPr>
          <w:rFonts w:ascii="Tahoma" w:eastAsia="American Typewriter" w:hAnsi="Tahoma" w:cs="Tahoma"/>
          <w:spacing w:val="-16"/>
          <w:sz w:val="20"/>
          <w:szCs w:val="20"/>
        </w:rPr>
        <w:t xml:space="preserve"> </w:t>
      </w:r>
      <w:r w:rsidRPr="00B004EE">
        <w:rPr>
          <w:rFonts w:ascii="Tahoma" w:eastAsia="American Typewriter" w:hAnsi="Tahoma" w:cs="Tahoma"/>
          <w:sz w:val="20"/>
          <w:szCs w:val="20"/>
        </w:rPr>
        <w:t>d’accès</w:t>
      </w:r>
      <w:r w:rsidR="00DB1635" w:rsidRPr="00B004EE">
        <w:rPr>
          <w:rFonts w:ascii="Tahoma" w:eastAsia="American Typewriter" w:hAnsi="Tahoma" w:cs="Tahoma"/>
          <w:spacing w:val="-16"/>
          <w:sz w:val="20"/>
          <w:szCs w:val="20"/>
        </w:rPr>
        <w:t xml:space="preserve"> </w:t>
      </w:r>
      <w:r w:rsidRPr="00B004EE">
        <w:rPr>
          <w:rFonts w:ascii="Tahoma" w:eastAsia="American Typewriter" w:hAnsi="Tahoma" w:cs="Tahoma"/>
          <w:sz w:val="20"/>
          <w:szCs w:val="20"/>
        </w:rPr>
        <w:t>aux</w:t>
      </w:r>
      <w:r w:rsidR="00DB1635" w:rsidRPr="00B004EE">
        <w:rPr>
          <w:rFonts w:ascii="Tahoma" w:eastAsia="American Typewriter" w:hAnsi="Tahoma" w:cs="Tahoma"/>
          <w:spacing w:val="-16"/>
          <w:sz w:val="20"/>
          <w:szCs w:val="20"/>
        </w:rPr>
        <w:t xml:space="preserve"> </w:t>
      </w:r>
      <w:r w:rsidRPr="00B004EE">
        <w:rPr>
          <w:rFonts w:ascii="Tahoma" w:eastAsia="American Typewriter" w:hAnsi="Tahoma" w:cs="Tahoma"/>
          <w:sz w:val="20"/>
          <w:szCs w:val="20"/>
        </w:rPr>
        <w:t>ressources</w:t>
      </w:r>
      <w:r w:rsidR="00DB1635" w:rsidRPr="00B004EE">
        <w:rPr>
          <w:rFonts w:ascii="Tahoma" w:eastAsia="American Typewriter" w:hAnsi="Tahoma" w:cs="Tahoma"/>
          <w:spacing w:val="-16"/>
          <w:sz w:val="20"/>
          <w:szCs w:val="20"/>
        </w:rPr>
        <w:t xml:space="preserve"> </w:t>
      </w:r>
      <w:r w:rsidRPr="00B004EE">
        <w:rPr>
          <w:rFonts w:ascii="Tahoma" w:eastAsia="American Typewriter" w:hAnsi="Tahoma" w:cs="Tahoma"/>
          <w:sz w:val="20"/>
          <w:szCs w:val="20"/>
        </w:rPr>
        <w:t>sur</w:t>
      </w:r>
      <w:r w:rsidR="00DB1635" w:rsidRPr="00B004EE">
        <w:rPr>
          <w:rFonts w:ascii="Tahoma" w:eastAsia="American Typewriter" w:hAnsi="Tahoma" w:cs="Tahoma"/>
          <w:spacing w:val="-16"/>
          <w:sz w:val="20"/>
          <w:szCs w:val="20"/>
        </w:rPr>
        <w:t xml:space="preserve"> </w:t>
      </w:r>
      <w:r w:rsidRPr="00B004EE">
        <w:rPr>
          <w:rFonts w:ascii="Tahoma" w:eastAsia="American Typewriter" w:hAnsi="Tahoma" w:cs="Tahoma"/>
          <w:sz w:val="20"/>
          <w:szCs w:val="20"/>
        </w:rPr>
        <w:t>le</w:t>
      </w:r>
      <w:r w:rsidR="00DB1635" w:rsidRPr="00B004EE">
        <w:rPr>
          <w:rFonts w:ascii="Tahoma" w:eastAsia="American Typewriter" w:hAnsi="Tahoma" w:cs="Tahoma"/>
          <w:spacing w:val="-16"/>
          <w:sz w:val="20"/>
          <w:szCs w:val="20"/>
        </w:rPr>
        <w:t xml:space="preserve"> </w:t>
      </w:r>
      <w:r w:rsidRPr="00B004EE">
        <w:rPr>
          <w:rFonts w:ascii="Tahoma" w:eastAsia="American Typewriter" w:hAnsi="Tahoma" w:cs="Tahoma"/>
          <w:sz w:val="20"/>
          <w:szCs w:val="20"/>
        </w:rPr>
        <w:t>plan</w:t>
      </w:r>
      <w:r w:rsidR="00DB1635" w:rsidRPr="00B004EE">
        <w:rPr>
          <w:rFonts w:ascii="Tahoma" w:eastAsia="American Typewriter" w:hAnsi="Tahoma" w:cs="Tahoma"/>
          <w:spacing w:val="-16"/>
          <w:sz w:val="20"/>
          <w:szCs w:val="20"/>
        </w:rPr>
        <w:t xml:space="preserve"> </w:t>
      </w:r>
      <w:r w:rsidRPr="00B004EE">
        <w:rPr>
          <w:rFonts w:ascii="Tahoma" w:eastAsia="American Typewriter" w:hAnsi="Tahoma" w:cs="Tahoma"/>
          <w:sz w:val="20"/>
          <w:szCs w:val="20"/>
        </w:rPr>
        <w:t>national</w:t>
      </w:r>
      <w:r w:rsidR="00DB1635" w:rsidRPr="00B004EE">
        <w:rPr>
          <w:rFonts w:ascii="Tahoma" w:eastAsia="American Typewriter" w:hAnsi="Tahoma" w:cs="Tahoma"/>
          <w:spacing w:val="-16"/>
          <w:sz w:val="20"/>
          <w:szCs w:val="20"/>
        </w:rPr>
        <w:t xml:space="preserve"> </w:t>
      </w:r>
      <w:r w:rsidRPr="00B004EE">
        <w:rPr>
          <w:rFonts w:ascii="Tahoma" w:eastAsia="American Typewriter" w:hAnsi="Tahoma" w:cs="Tahoma"/>
          <w:sz w:val="20"/>
          <w:szCs w:val="20"/>
        </w:rPr>
        <w:t>ou</w:t>
      </w:r>
      <w:r w:rsidR="00DB1635" w:rsidRPr="00B004EE">
        <w:rPr>
          <w:rFonts w:ascii="Tahoma" w:eastAsia="American Typewriter" w:hAnsi="Tahoma" w:cs="Tahoma"/>
          <w:spacing w:val="-16"/>
          <w:sz w:val="20"/>
          <w:szCs w:val="20"/>
        </w:rPr>
        <w:t xml:space="preserve"> </w:t>
      </w:r>
      <w:r w:rsidRPr="00B004EE">
        <w:rPr>
          <w:rFonts w:ascii="Tahoma" w:eastAsia="American Typewriter" w:hAnsi="Tahoma" w:cs="Tahoma"/>
          <w:sz w:val="20"/>
          <w:szCs w:val="20"/>
        </w:rPr>
        <w:t>dans</w:t>
      </w:r>
      <w:r w:rsidR="00DB1635" w:rsidRPr="00B004EE">
        <w:rPr>
          <w:rFonts w:ascii="Tahoma" w:eastAsia="American Typewriter" w:hAnsi="Tahoma" w:cs="Tahoma"/>
          <w:spacing w:val="-18"/>
          <w:sz w:val="20"/>
          <w:szCs w:val="20"/>
        </w:rPr>
        <w:t xml:space="preserve"> </w:t>
      </w:r>
      <w:r w:rsidRPr="00B004EE">
        <w:rPr>
          <w:rFonts w:ascii="Tahoma" w:eastAsia="American Typewriter" w:hAnsi="Tahoma" w:cs="Tahoma"/>
          <w:sz w:val="20"/>
          <w:szCs w:val="20"/>
        </w:rPr>
        <w:t>le</w:t>
      </w:r>
      <w:r w:rsidR="00DB1635" w:rsidRPr="00B004EE">
        <w:rPr>
          <w:rFonts w:ascii="Tahoma" w:eastAsia="American Typewriter" w:hAnsi="Tahoma" w:cs="Tahoma"/>
          <w:w w:val="94"/>
          <w:sz w:val="20"/>
          <w:szCs w:val="20"/>
        </w:rPr>
        <w:t xml:space="preserve"> </w:t>
      </w:r>
      <w:r w:rsidRPr="00B004EE">
        <w:rPr>
          <w:rFonts w:ascii="Tahoma" w:eastAsia="American Typewriter" w:hAnsi="Tahoma" w:cs="Tahoma"/>
          <w:sz w:val="20"/>
          <w:szCs w:val="20"/>
        </w:rPr>
        <w:t>cadre</w:t>
      </w:r>
      <w:r w:rsidR="00DB1635" w:rsidRPr="00B004EE">
        <w:rPr>
          <w:rFonts w:ascii="Tahoma" w:eastAsia="American Typewriter" w:hAnsi="Tahoma" w:cs="Tahoma"/>
          <w:spacing w:val="-29"/>
          <w:sz w:val="20"/>
          <w:szCs w:val="20"/>
        </w:rPr>
        <w:t xml:space="preserve"> </w:t>
      </w:r>
      <w:r w:rsidRPr="00B004EE">
        <w:rPr>
          <w:rFonts w:ascii="Tahoma" w:eastAsia="American Typewriter" w:hAnsi="Tahoma" w:cs="Tahoma"/>
          <w:sz w:val="20"/>
          <w:szCs w:val="20"/>
        </w:rPr>
        <w:t>d’accords</w:t>
      </w:r>
      <w:r w:rsidR="00DB1635" w:rsidRPr="00B004EE">
        <w:rPr>
          <w:rFonts w:ascii="Tahoma" w:eastAsia="American Typewriter" w:hAnsi="Tahoma" w:cs="Tahoma"/>
          <w:spacing w:val="-29"/>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pacing w:val="-29"/>
          <w:sz w:val="20"/>
          <w:szCs w:val="20"/>
        </w:rPr>
        <w:t xml:space="preserve"> </w:t>
      </w:r>
      <w:r w:rsidRPr="00B004EE">
        <w:rPr>
          <w:rFonts w:ascii="Tahoma" w:eastAsia="American Typewriter" w:hAnsi="Tahoma" w:cs="Tahoma"/>
          <w:sz w:val="20"/>
          <w:szCs w:val="20"/>
        </w:rPr>
        <w:t>pêche</w:t>
      </w:r>
      <w:r w:rsidR="00DB1635" w:rsidRPr="00B004EE">
        <w:rPr>
          <w:rFonts w:ascii="Tahoma" w:eastAsia="American Typewriter" w:hAnsi="Tahoma" w:cs="Tahoma"/>
          <w:spacing w:val="-29"/>
          <w:sz w:val="20"/>
          <w:szCs w:val="20"/>
        </w:rPr>
        <w:t xml:space="preserve"> </w:t>
      </w:r>
      <w:r w:rsidRPr="00B004EE">
        <w:rPr>
          <w:rFonts w:ascii="Tahoma" w:eastAsia="American Typewriter" w:hAnsi="Tahoma" w:cs="Tahoma"/>
          <w:sz w:val="20"/>
          <w:szCs w:val="20"/>
        </w:rPr>
        <w:t>avec</w:t>
      </w:r>
      <w:r w:rsidR="00DB1635" w:rsidRPr="00B004EE">
        <w:rPr>
          <w:rFonts w:ascii="Tahoma" w:eastAsia="American Typewriter" w:hAnsi="Tahoma" w:cs="Tahoma"/>
          <w:spacing w:val="-30"/>
          <w:sz w:val="20"/>
          <w:szCs w:val="20"/>
        </w:rPr>
        <w:t xml:space="preserve"> </w:t>
      </w:r>
      <w:r w:rsidRPr="00B004EE">
        <w:rPr>
          <w:rFonts w:ascii="Tahoma" w:eastAsia="American Typewriter" w:hAnsi="Tahoma" w:cs="Tahoma"/>
          <w:sz w:val="20"/>
          <w:szCs w:val="20"/>
        </w:rPr>
        <w:t>un</w:t>
      </w:r>
      <w:r w:rsidR="00DB1635" w:rsidRPr="00B004EE">
        <w:rPr>
          <w:rFonts w:ascii="Tahoma" w:eastAsia="American Typewriter" w:hAnsi="Tahoma" w:cs="Tahoma"/>
          <w:spacing w:val="-29"/>
          <w:sz w:val="20"/>
          <w:szCs w:val="20"/>
        </w:rPr>
        <w:t xml:space="preserve"> </w:t>
      </w:r>
      <w:r w:rsidRPr="00B004EE">
        <w:rPr>
          <w:rFonts w:ascii="Tahoma" w:eastAsia="American Typewriter" w:hAnsi="Tahoma" w:cs="Tahoma"/>
          <w:sz w:val="20"/>
          <w:szCs w:val="20"/>
        </w:rPr>
        <w:t>pays,</w:t>
      </w:r>
      <w:r w:rsidR="00DB1635" w:rsidRPr="00B004EE">
        <w:rPr>
          <w:rFonts w:ascii="Tahoma" w:eastAsia="American Typewriter" w:hAnsi="Tahoma" w:cs="Tahoma"/>
          <w:spacing w:val="-29"/>
          <w:sz w:val="20"/>
          <w:szCs w:val="20"/>
        </w:rPr>
        <w:t xml:space="preserve"> </w:t>
      </w:r>
      <w:r w:rsidRPr="00B004EE">
        <w:rPr>
          <w:rFonts w:ascii="Tahoma" w:eastAsia="American Typewriter" w:hAnsi="Tahoma" w:cs="Tahoma"/>
          <w:sz w:val="20"/>
          <w:szCs w:val="20"/>
        </w:rPr>
        <w:t>un</w:t>
      </w:r>
      <w:r w:rsidR="00DB1635" w:rsidRPr="00B004EE">
        <w:rPr>
          <w:rFonts w:ascii="Tahoma" w:eastAsia="American Typewriter" w:hAnsi="Tahoma" w:cs="Tahoma"/>
          <w:spacing w:val="-29"/>
          <w:sz w:val="20"/>
          <w:szCs w:val="20"/>
        </w:rPr>
        <w:t xml:space="preserve"> </w:t>
      </w:r>
      <w:r w:rsidRPr="00B004EE">
        <w:rPr>
          <w:rFonts w:ascii="Tahoma" w:eastAsia="American Typewriter" w:hAnsi="Tahoma" w:cs="Tahoma"/>
          <w:sz w:val="20"/>
          <w:szCs w:val="20"/>
        </w:rPr>
        <w:t>groupe</w:t>
      </w:r>
      <w:r w:rsidR="00DB1635" w:rsidRPr="00B004EE">
        <w:rPr>
          <w:rFonts w:ascii="Tahoma" w:eastAsia="American Typewriter" w:hAnsi="Tahoma" w:cs="Tahoma"/>
          <w:spacing w:val="-29"/>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pacing w:val="-29"/>
          <w:sz w:val="20"/>
          <w:szCs w:val="20"/>
        </w:rPr>
        <w:t xml:space="preserve"> </w:t>
      </w:r>
      <w:r w:rsidRPr="00B004EE">
        <w:rPr>
          <w:rFonts w:ascii="Tahoma" w:eastAsia="American Typewriter" w:hAnsi="Tahoma" w:cs="Tahoma"/>
          <w:sz w:val="20"/>
          <w:szCs w:val="20"/>
        </w:rPr>
        <w:t>pays</w:t>
      </w:r>
      <w:r w:rsidR="00DB1635" w:rsidRPr="00B004EE">
        <w:rPr>
          <w:rFonts w:ascii="Tahoma" w:eastAsia="American Typewriter" w:hAnsi="Tahoma" w:cs="Tahoma"/>
          <w:spacing w:val="-29"/>
          <w:sz w:val="20"/>
          <w:szCs w:val="20"/>
        </w:rPr>
        <w:t xml:space="preserve"> </w:t>
      </w:r>
      <w:r w:rsidRPr="00B004EE">
        <w:rPr>
          <w:rFonts w:ascii="Tahoma" w:eastAsia="American Typewriter" w:hAnsi="Tahoma" w:cs="Tahoma"/>
          <w:sz w:val="20"/>
          <w:szCs w:val="20"/>
        </w:rPr>
        <w:t>ou</w:t>
      </w:r>
      <w:r w:rsidR="00DB1635" w:rsidRPr="00B004EE">
        <w:rPr>
          <w:rFonts w:ascii="Tahoma" w:eastAsia="American Typewriter" w:hAnsi="Tahoma" w:cs="Tahoma"/>
          <w:spacing w:val="-29"/>
          <w:sz w:val="20"/>
          <w:szCs w:val="20"/>
        </w:rPr>
        <w:t xml:space="preserve"> </w:t>
      </w:r>
      <w:r w:rsidRPr="00B004EE">
        <w:rPr>
          <w:rFonts w:ascii="Tahoma" w:eastAsia="American Typewriter" w:hAnsi="Tahoma" w:cs="Tahoma"/>
          <w:sz w:val="20"/>
          <w:szCs w:val="20"/>
        </w:rPr>
        <w:t>des</w:t>
      </w:r>
      <w:r w:rsidR="00DB1635" w:rsidRPr="00B004EE">
        <w:rPr>
          <w:rFonts w:ascii="Tahoma" w:eastAsia="American Typewriter" w:hAnsi="Tahoma" w:cs="Tahoma"/>
          <w:spacing w:val="-29"/>
          <w:sz w:val="20"/>
          <w:szCs w:val="20"/>
        </w:rPr>
        <w:t xml:space="preserve"> </w:t>
      </w:r>
      <w:r w:rsidRPr="00B004EE">
        <w:rPr>
          <w:rFonts w:ascii="Tahoma" w:eastAsia="American Typewriter" w:hAnsi="Tahoma" w:cs="Tahoma"/>
          <w:sz w:val="20"/>
          <w:szCs w:val="20"/>
        </w:rPr>
        <w:t>entités</w:t>
      </w:r>
      <w:r w:rsidR="00DB1635" w:rsidRPr="00B004EE">
        <w:rPr>
          <w:rFonts w:ascii="Tahoma" w:eastAsia="American Typewriter" w:hAnsi="Tahoma" w:cs="Tahoma"/>
          <w:spacing w:val="-29"/>
          <w:sz w:val="20"/>
          <w:szCs w:val="20"/>
        </w:rPr>
        <w:t xml:space="preserve"> </w:t>
      </w:r>
      <w:r w:rsidRPr="00B004EE">
        <w:rPr>
          <w:rFonts w:ascii="Tahoma" w:eastAsia="American Typewriter" w:hAnsi="Tahoma" w:cs="Tahoma"/>
          <w:sz w:val="20"/>
          <w:szCs w:val="20"/>
        </w:rPr>
        <w:t>privées.</w:t>
      </w:r>
    </w:p>
    <w:p w14:paraId="4B0E88C3" w14:textId="77777777" w:rsidR="001E7C3C" w:rsidRPr="00B004EE" w:rsidRDefault="001E7C3C" w:rsidP="00B004EE">
      <w:pPr>
        <w:rPr>
          <w:rFonts w:ascii="Tahoma" w:eastAsia="American Typewriter" w:hAnsi="Tahoma" w:cs="Tahoma"/>
          <w:sz w:val="20"/>
          <w:szCs w:val="20"/>
        </w:rPr>
      </w:pPr>
    </w:p>
    <w:p w14:paraId="07A18758" w14:textId="5A21E4B0" w:rsidR="001E7C3C" w:rsidRPr="00B004EE" w:rsidRDefault="001E7C3C" w:rsidP="00B004EE">
      <w:pPr>
        <w:pStyle w:val="Corpsdetexte"/>
        <w:ind w:right="157"/>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15</w:t>
      </w:r>
      <w:r w:rsidR="00DB1635" w:rsidRPr="00B004EE">
        <w:rPr>
          <w:rFonts w:ascii="Tahoma" w:hAnsi="Tahoma" w:cs="Tahoma"/>
          <w:bCs/>
          <w:sz w:val="20"/>
          <w:szCs w:val="20"/>
        </w:rPr>
        <w:t xml:space="preserve"> </w:t>
      </w:r>
      <w:r w:rsidRPr="00B004EE">
        <w:rPr>
          <w:rFonts w:ascii="Tahoma" w:hAnsi="Tahoma" w:cs="Tahoma"/>
          <w:bCs/>
          <w:sz w:val="20"/>
          <w:szCs w:val="20"/>
        </w:rPr>
        <w:t>:</w:t>
      </w:r>
      <w:r w:rsidR="00DB1635" w:rsidRPr="00B004EE">
        <w:rPr>
          <w:rFonts w:ascii="Tahoma" w:eastAsia="American Typewriter" w:hAnsi="Tahoma" w:cs="Tahoma"/>
          <w:b/>
          <w:bCs/>
          <w:sz w:val="20"/>
          <w:szCs w:val="20"/>
        </w:rPr>
        <w:t xml:space="preserve"> </w:t>
      </w:r>
      <w:r w:rsidRPr="00B004EE">
        <w:rPr>
          <w:rFonts w:ascii="Tahoma" w:hAnsi="Tahoma" w:cs="Tahoma"/>
          <w:sz w:val="20"/>
          <w:szCs w:val="20"/>
        </w:rPr>
        <w:t>Lors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l'élaboration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plans</w:t>
      </w:r>
      <w:r w:rsidR="00DB1635" w:rsidRPr="00B004EE">
        <w:rPr>
          <w:rFonts w:ascii="Tahoma" w:hAnsi="Tahoma" w:cs="Tahoma"/>
          <w:sz w:val="20"/>
          <w:szCs w:val="20"/>
        </w:rPr>
        <w:t xml:space="preserve"> </w:t>
      </w:r>
      <w:r w:rsidRPr="00B004EE">
        <w:rPr>
          <w:rFonts w:ascii="Tahoma" w:hAnsi="Tahoma" w:cs="Tahoma"/>
          <w:sz w:val="20"/>
          <w:szCs w:val="20"/>
        </w:rPr>
        <w:t>d'aménagement</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gestion</w:t>
      </w:r>
      <w:r w:rsidR="00DB1635" w:rsidRPr="00B004EE">
        <w:rPr>
          <w:rFonts w:ascii="Tahoma" w:hAnsi="Tahoma" w:cs="Tahoma"/>
          <w:spacing w:val="24"/>
          <w:sz w:val="20"/>
          <w:szCs w:val="20"/>
        </w:rPr>
        <w:t xml:space="preserve"> </w:t>
      </w:r>
      <w:r w:rsidRPr="00B004EE">
        <w:rPr>
          <w:rFonts w:ascii="Tahoma" w:hAnsi="Tahoma" w:cs="Tahoma"/>
          <w:sz w:val="20"/>
          <w:szCs w:val="20"/>
        </w:rPr>
        <w:t>des</w:t>
      </w:r>
      <w:r w:rsidR="00DB1635" w:rsidRPr="00B004EE">
        <w:rPr>
          <w:rFonts w:ascii="Tahoma" w:hAnsi="Tahoma" w:cs="Tahoma"/>
          <w:w w:val="94"/>
          <w:sz w:val="20"/>
          <w:szCs w:val="20"/>
        </w:rPr>
        <w:t xml:space="preserve"> </w:t>
      </w:r>
      <w:r w:rsidRPr="00B004EE">
        <w:rPr>
          <w:rFonts w:ascii="Tahoma" w:hAnsi="Tahoma" w:cs="Tahoma"/>
          <w:sz w:val="20"/>
          <w:szCs w:val="20"/>
        </w:rPr>
        <w:t>pêcheries,</w:t>
      </w:r>
      <w:r w:rsidR="00DB1635" w:rsidRPr="00B004EE">
        <w:rPr>
          <w:rFonts w:ascii="Tahoma" w:hAnsi="Tahoma" w:cs="Tahoma"/>
          <w:sz w:val="20"/>
          <w:szCs w:val="20"/>
        </w:rPr>
        <w:t xml:space="preserve"> </w:t>
      </w:r>
      <w:r w:rsidRPr="00B004EE">
        <w:rPr>
          <w:rFonts w:ascii="Tahoma" w:hAnsi="Tahoma" w:cs="Tahoma"/>
          <w:sz w:val="20"/>
          <w:szCs w:val="20"/>
        </w:rPr>
        <w:t>l'avis</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Conseil</w:t>
      </w:r>
      <w:r w:rsidR="00DB1635" w:rsidRPr="00B004EE">
        <w:rPr>
          <w:rFonts w:ascii="Tahoma" w:hAnsi="Tahoma" w:cs="Tahoma"/>
          <w:sz w:val="20"/>
          <w:szCs w:val="20"/>
        </w:rPr>
        <w:t xml:space="preserve"> </w:t>
      </w:r>
      <w:r w:rsidRPr="00B004EE">
        <w:rPr>
          <w:rFonts w:ascii="Tahoma" w:hAnsi="Tahoma" w:cs="Tahoma"/>
          <w:sz w:val="20"/>
          <w:szCs w:val="20"/>
        </w:rPr>
        <w:t>Consultati</w:t>
      </w:r>
      <w:r w:rsidRPr="00B004EE">
        <w:rPr>
          <w:rFonts w:ascii="Tahoma" w:eastAsia="American Typewriter" w:hAnsi="Tahoma" w:cs="Tahoma"/>
          <w:sz w:val="20"/>
          <w:szCs w:val="20"/>
        </w:rPr>
        <w:t>f</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National</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pour</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l’Aménagement</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et</w:t>
      </w:r>
      <w:r w:rsidR="00DB1635" w:rsidRPr="00B004EE">
        <w:rPr>
          <w:rFonts w:ascii="Tahoma" w:eastAsia="American Typewriter" w:hAnsi="Tahoma" w:cs="Tahoma"/>
          <w:spacing w:val="50"/>
          <w:sz w:val="20"/>
          <w:szCs w:val="20"/>
        </w:rPr>
        <w:t xml:space="preserve"> </w:t>
      </w:r>
      <w:r w:rsidRPr="00B004EE">
        <w:rPr>
          <w:rFonts w:ascii="Tahoma" w:eastAsia="American Typewriter" w:hAnsi="Tahoma" w:cs="Tahoma"/>
          <w:sz w:val="20"/>
          <w:szCs w:val="20"/>
        </w:rPr>
        <w:t>le</w:t>
      </w:r>
      <w:r w:rsidR="00DB1635" w:rsidRPr="00B004EE">
        <w:rPr>
          <w:rFonts w:ascii="Tahoma" w:eastAsia="American Typewriter" w:hAnsi="Tahoma" w:cs="Tahoma"/>
          <w:w w:val="94"/>
          <w:sz w:val="20"/>
          <w:szCs w:val="20"/>
        </w:rPr>
        <w:t xml:space="preserve"> </w:t>
      </w:r>
      <w:r w:rsidRPr="00B004EE">
        <w:rPr>
          <w:rFonts w:ascii="Tahoma" w:hAnsi="Tahoma" w:cs="Tahoma"/>
          <w:sz w:val="20"/>
          <w:szCs w:val="20"/>
        </w:rPr>
        <w:t>Développement</w:t>
      </w:r>
      <w:r w:rsidR="00DB1635" w:rsidRPr="00B004EE">
        <w:rPr>
          <w:rFonts w:ascii="Tahoma" w:hAnsi="Tahoma" w:cs="Tahoma"/>
          <w:spacing w:val="51"/>
          <w:sz w:val="20"/>
          <w:szCs w:val="20"/>
        </w:rPr>
        <w:t xml:space="preserve"> </w:t>
      </w:r>
      <w:r w:rsidRPr="00B004EE">
        <w:rPr>
          <w:rFonts w:ascii="Tahoma" w:hAnsi="Tahoma" w:cs="Tahoma"/>
          <w:sz w:val="20"/>
          <w:szCs w:val="20"/>
        </w:rPr>
        <w:t>des</w:t>
      </w:r>
      <w:r w:rsidR="00DB1635" w:rsidRPr="00B004EE">
        <w:rPr>
          <w:rFonts w:ascii="Tahoma" w:hAnsi="Tahoma" w:cs="Tahoma"/>
          <w:spacing w:val="50"/>
          <w:sz w:val="20"/>
          <w:szCs w:val="20"/>
        </w:rPr>
        <w:t xml:space="preserve"> </w:t>
      </w:r>
      <w:r w:rsidRPr="00B004EE">
        <w:rPr>
          <w:rFonts w:ascii="Tahoma" w:hAnsi="Tahoma" w:cs="Tahoma"/>
          <w:sz w:val="20"/>
          <w:szCs w:val="20"/>
        </w:rPr>
        <w:t>Pêcheries</w:t>
      </w:r>
      <w:r w:rsidR="00DB1635" w:rsidRPr="00B004EE">
        <w:rPr>
          <w:rFonts w:ascii="Tahoma" w:hAnsi="Tahoma" w:cs="Tahoma"/>
          <w:spacing w:val="49"/>
          <w:sz w:val="20"/>
          <w:szCs w:val="20"/>
        </w:rPr>
        <w:t xml:space="preserve"> </w:t>
      </w:r>
      <w:r w:rsidRPr="00B004EE">
        <w:rPr>
          <w:rFonts w:ascii="Tahoma" w:hAnsi="Tahoma" w:cs="Tahoma"/>
          <w:sz w:val="20"/>
          <w:szCs w:val="20"/>
        </w:rPr>
        <w:t>(CCNADP)</w:t>
      </w:r>
      <w:r w:rsidR="00DB1635" w:rsidRPr="00B004EE">
        <w:rPr>
          <w:rFonts w:ascii="Tahoma" w:hAnsi="Tahoma" w:cs="Tahoma"/>
          <w:spacing w:val="49"/>
          <w:sz w:val="20"/>
          <w:szCs w:val="20"/>
        </w:rPr>
        <w:t xml:space="preserve"> </w:t>
      </w:r>
      <w:r w:rsidRPr="00B004EE">
        <w:rPr>
          <w:rFonts w:ascii="Tahoma" w:eastAsia="American Typewriter" w:hAnsi="Tahoma" w:cs="Tahoma"/>
          <w:sz w:val="20"/>
          <w:szCs w:val="20"/>
        </w:rPr>
        <w:t>institué</w:t>
      </w:r>
      <w:r w:rsidR="00DB1635" w:rsidRPr="00B004EE">
        <w:rPr>
          <w:rFonts w:ascii="Tahoma" w:eastAsia="American Typewriter" w:hAnsi="Tahoma" w:cs="Tahoma"/>
          <w:spacing w:val="49"/>
          <w:sz w:val="20"/>
          <w:szCs w:val="20"/>
        </w:rPr>
        <w:t xml:space="preserve"> </w:t>
      </w:r>
      <w:r w:rsidRPr="00B004EE">
        <w:rPr>
          <w:rFonts w:ascii="Tahoma" w:eastAsia="American Typewriter" w:hAnsi="Tahoma" w:cs="Tahoma"/>
          <w:sz w:val="20"/>
          <w:szCs w:val="20"/>
        </w:rPr>
        <w:t>à</w:t>
      </w:r>
      <w:r w:rsidR="00DB1635" w:rsidRPr="00B004EE">
        <w:rPr>
          <w:rFonts w:ascii="Tahoma" w:eastAsia="American Typewriter" w:hAnsi="Tahoma" w:cs="Tahoma"/>
          <w:spacing w:val="49"/>
          <w:sz w:val="20"/>
          <w:szCs w:val="20"/>
        </w:rPr>
        <w:t xml:space="preserve"> </w:t>
      </w:r>
      <w:r w:rsidRPr="00B004EE">
        <w:rPr>
          <w:rFonts w:ascii="Tahoma" w:eastAsia="American Typewriter" w:hAnsi="Tahoma" w:cs="Tahoma"/>
          <w:sz w:val="20"/>
          <w:szCs w:val="20"/>
        </w:rPr>
        <w:t>l’article</w:t>
      </w:r>
      <w:r w:rsidR="00DB1635" w:rsidRPr="00B004EE">
        <w:rPr>
          <w:rFonts w:ascii="Tahoma" w:eastAsia="American Typewriter" w:hAnsi="Tahoma" w:cs="Tahoma"/>
          <w:spacing w:val="52"/>
          <w:sz w:val="20"/>
          <w:szCs w:val="20"/>
        </w:rPr>
        <w:t xml:space="preserve"> </w:t>
      </w:r>
      <w:r w:rsidRPr="00B004EE">
        <w:rPr>
          <w:rFonts w:ascii="Tahoma" w:hAnsi="Tahoma" w:cs="Tahoma"/>
          <w:sz w:val="20"/>
          <w:szCs w:val="20"/>
        </w:rPr>
        <w:t>20</w:t>
      </w:r>
      <w:r w:rsidR="00DB1635" w:rsidRPr="00B004EE">
        <w:rPr>
          <w:rFonts w:ascii="Tahoma" w:hAnsi="Tahoma" w:cs="Tahoma"/>
          <w:spacing w:val="50"/>
          <w:sz w:val="20"/>
          <w:szCs w:val="20"/>
        </w:rPr>
        <w:t xml:space="preserve"> </w:t>
      </w:r>
      <w:r w:rsidRPr="00B004EE">
        <w:rPr>
          <w:rFonts w:ascii="Tahoma" w:hAnsi="Tahoma" w:cs="Tahoma"/>
          <w:sz w:val="20"/>
          <w:szCs w:val="20"/>
        </w:rPr>
        <w:t>ci-dessous</w:t>
      </w:r>
      <w:r w:rsidR="00DB1635" w:rsidRPr="00B004EE">
        <w:rPr>
          <w:rFonts w:ascii="Tahoma" w:hAnsi="Tahoma" w:cs="Tahoma"/>
          <w:spacing w:val="49"/>
          <w:sz w:val="20"/>
          <w:szCs w:val="20"/>
        </w:rPr>
        <w:t xml:space="preserve"> </w:t>
      </w:r>
      <w:r w:rsidRPr="00B004EE">
        <w:rPr>
          <w:rFonts w:ascii="Tahoma" w:hAnsi="Tahoma" w:cs="Tahoma"/>
          <w:sz w:val="20"/>
          <w:szCs w:val="20"/>
        </w:rPr>
        <w:t>est</w:t>
      </w:r>
      <w:r w:rsidR="00DB1635" w:rsidRPr="00B004EE">
        <w:rPr>
          <w:rFonts w:ascii="Tahoma" w:hAnsi="Tahoma" w:cs="Tahoma"/>
          <w:w w:val="95"/>
          <w:sz w:val="20"/>
          <w:szCs w:val="20"/>
        </w:rPr>
        <w:t xml:space="preserve"> </w:t>
      </w:r>
      <w:r w:rsidRPr="00B004EE">
        <w:rPr>
          <w:rFonts w:ascii="Tahoma" w:hAnsi="Tahoma" w:cs="Tahoma"/>
          <w:sz w:val="20"/>
          <w:szCs w:val="20"/>
        </w:rPr>
        <w:t>requis.</w:t>
      </w:r>
    </w:p>
    <w:p w14:paraId="4BD54639" w14:textId="77777777" w:rsidR="002A7758" w:rsidRPr="00B004EE" w:rsidRDefault="002A7758" w:rsidP="00B004EE">
      <w:pPr>
        <w:pStyle w:val="Corpsdetexte"/>
        <w:ind w:right="161"/>
        <w:rPr>
          <w:rFonts w:ascii="Tahoma" w:hAnsi="Tahoma" w:cs="Tahoma"/>
          <w:bCs/>
          <w:sz w:val="20"/>
          <w:szCs w:val="20"/>
        </w:rPr>
      </w:pPr>
    </w:p>
    <w:p w14:paraId="5AD20107" w14:textId="0A85D8A7" w:rsidR="001E7C3C" w:rsidRPr="00B004EE" w:rsidRDefault="001E7C3C" w:rsidP="00B004EE">
      <w:pPr>
        <w:pStyle w:val="Corpsdetexte"/>
        <w:ind w:right="161"/>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16</w:t>
      </w:r>
      <w:r w:rsidR="00DB1635" w:rsidRPr="00B004EE">
        <w:rPr>
          <w:rFonts w:ascii="Tahoma" w:hAnsi="Tahoma" w:cs="Tahoma"/>
          <w:bCs/>
          <w:sz w:val="20"/>
          <w:szCs w:val="20"/>
        </w:rPr>
        <w:t xml:space="preserve"> </w:t>
      </w:r>
      <w:r w:rsidRPr="00B004EE">
        <w:rPr>
          <w:rFonts w:ascii="Tahoma" w:hAnsi="Tahoma" w:cs="Tahoma"/>
          <w:bCs/>
          <w:sz w:val="20"/>
          <w:szCs w:val="20"/>
        </w:rPr>
        <w:t>:</w:t>
      </w:r>
      <w:r w:rsidR="00DB1635" w:rsidRPr="00B004EE">
        <w:rPr>
          <w:rFonts w:ascii="Tahoma" w:eastAsia="American Typewriter" w:hAnsi="Tahoma" w:cs="Tahoma"/>
          <w:b/>
          <w:bCs/>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plans</w:t>
      </w:r>
      <w:r w:rsidR="00DB1635" w:rsidRPr="00B004EE">
        <w:rPr>
          <w:rFonts w:ascii="Tahoma" w:hAnsi="Tahoma" w:cs="Tahoma"/>
          <w:sz w:val="20"/>
          <w:szCs w:val="20"/>
        </w:rPr>
        <w:t xml:space="preserve"> </w:t>
      </w:r>
      <w:r w:rsidRPr="00B004EE">
        <w:rPr>
          <w:rFonts w:ascii="Tahoma" w:hAnsi="Tahoma" w:cs="Tahoma"/>
          <w:sz w:val="20"/>
          <w:szCs w:val="20"/>
        </w:rPr>
        <w:t>d'aménagement</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gestion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pêcheries</w:t>
      </w:r>
      <w:r w:rsidR="00DB1635" w:rsidRPr="00B004EE">
        <w:rPr>
          <w:rFonts w:ascii="Tahoma" w:hAnsi="Tahoma" w:cs="Tahoma"/>
          <w:sz w:val="20"/>
          <w:szCs w:val="20"/>
        </w:rPr>
        <w:t xml:space="preserve"> </w:t>
      </w:r>
      <w:r w:rsidRPr="00B004EE">
        <w:rPr>
          <w:rFonts w:ascii="Tahoma" w:hAnsi="Tahoma" w:cs="Tahoma"/>
          <w:sz w:val="20"/>
          <w:szCs w:val="20"/>
        </w:rPr>
        <w:t>font</w:t>
      </w:r>
      <w:r w:rsidR="00DB1635" w:rsidRPr="00B004EE">
        <w:rPr>
          <w:rFonts w:ascii="Tahoma" w:hAnsi="Tahoma" w:cs="Tahoma"/>
          <w:sz w:val="20"/>
          <w:szCs w:val="20"/>
        </w:rPr>
        <w:t xml:space="preserve"> </w:t>
      </w:r>
      <w:r w:rsidRPr="00B004EE">
        <w:rPr>
          <w:rFonts w:ascii="Tahoma" w:hAnsi="Tahoma" w:cs="Tahoma"/>
          <w:sz w:val="20"/>
          <w:szCs w:val="20"/>
        </w:rPr>
        <w:t>l'objet</w:t>
      </w:r>
      <w:r w:rsidR="00DB1635" w:rsidRPr="00B004EE">
        <w:rPr>
          <w:rFonts w:ascii="Tahoma" w:hAnsi="Tahoma" w:cs="Tahoma"/>
          <w:spacing w:val="13"/>
          <w:sz w:val="20"/>
          <w:szCs w:val="20"/>
        </w:rPr>
        <w:t xml:space="preserve"> </w:t>
      </w:r>
      <w:r w:rsidRPr="00B004EE">
        <w:rPr>
          <w:rFonts w:ascii="Tahoma" w:hAnsi="Tahoma" w:cs="Tahoma"/>
          <w:sz w:val="20"/>
          <w:szCs w:val="20"/>
        </w:rPr>
        <w:t>de</w:t>
      </w:r>
      <w:r w:rsidR="00DB1635" w:rsidRPr="00B004EE">
        <w:rPr>
          <w:rFonts w:ascii="Tahoma" w:hAnsi="Tahoma" w:cs="Tahoma"/>
          <w:w w:val="94"/>
          <w:sz w:val="20"/>
          <w:szCs w:val="20"/>
        </w:rPr>
        <w:t xml:space="preserve"> </w:t>
      </w:r>
      <w:r w:rsidRPr="00B004EE">
        <w:rPr>
          <w:rFonts w:ascii="Tahoma" w:eastAsia="American Typewriter" w:hAnsi="Tahoma" w:cs="Tahoma"/>
          <w:sz w:val="20"/>
          <w:szCs w:val="20"/>
        </w:rPr>
        <w:t>mesures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publicité</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et</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sont</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révisables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périodiquement</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en</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fonction</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pacing w:val="-37"/>
          <w:sz w:val="20"/>
          <w:szCs w:val="20"/>
        </w:rPr>
        <w:t xml:space="preserve"> </w:t>
      </w:r>
      <w:r w:rsidRPr="00B004EE">
        <w:rPr>
          <w:rFonts w:ascii="Tahoma" w:eastAsia="American Typewriter" w:hAnsi="Tahoma" w:cs="Tahoma"/>
          <w:sz w:val="20"/>
          <w:szCs w:val="20"/>
        </w:rPr>
        <w:t>l’évolution</w:t>
      </w:r>
      <w:r w:rsidR="00DB1635" w:rsidRPr="00B004EE">
        <w:rPr>
          <w:rFonts w:ascii="Tahoma" w:eastAsia="American Typewriter" w:hAnsi="Tahoma" w:cs="Tahoma"/>
          <w:w w:val="93"/>
          <w:sz w:val="20"/>
          <w:szCs w:val="20"/>
        </w:rPr>
        <w:t xml:space="preserve"> </w:t>
      </w:r>
      <w:r w:rsidRPr="00B004EE">
        <w:rPr>
          <w:rFonts w:ascii="Tahoma" w:hAnsi="Tahoma" w:cs="Tahoma"/>
          <w:w w:val="95"/>
          <w:sz w:val="20"/>
          <w:szCs w:val="20"/>
        </w:rPr>
        <w:t>des</w:t>
      </w:r>
      <w:r w:rsidR="00DB1635" w:rsidRPr="00B004EE">
        <w:rPr>
          <w:rFonts w:ascii="Tahoma" w:hAnsi="Tahoma" w:cs="Tahoma"/>
          <w:w w:val="95"/>
          <w:sz w:val="20"/>
          <w:szCs w:val="20"/>
        </w:rPr>
        <w:t xml:space="preserve"> </w:t>
      </w:r>
      <w:r w:rsidRPr="00B004EE">
        <w:rPr>
          <w:rFonts w:ascii="Tahoma" w:hAnsi="Tahoma" w:cs="Tahoma"/>
          <w:w w:val="95"/>
          <w:sz w:val="20"/>
          <w:szCs w:val="20"/>
        </w:rPr>
        <w:t>données</w:t>
      </w:r>
      <w:r w:rsidR="00DB1635" w:rsidRPr="00B004EE">
        <w:rPr>
          <w:rFonts w:ascii="Tahoma" w:hAnsi="Tahoma" w:cs="Tahoma"/>
          <w:w w:val="95"/>
          <w:sz w:val="20"/>
          <w:szCs w:val="20"/>
        </w:rPr>
        <w:t xml:space="preserve"> </w:t>
      </w:r>
      <w:r w:rsidRPr="00B004EE">
        <w:rPr>
          <w:rFonts w:ascii="Tahoma" w:hAnsi="Tahoma" w:cs="Tahoma"/>
          <w:w w:val="95"/>
          <w:sz w:val="20"/>
          <w:szCs w:val="20"/>
        </w:rPr>
        <w:t>qui</w:t>
      </w:r>
      <w:r w:rsidR="00DB1635" w:rsidRPr="00B004EE">
        <w:rPr>
          <w:rFonts w:ascii="Tahoma" w:hAnsi="Tahoma" w:cs="Tahoma"/>
          <w:w w:val="95"/>
          <w:sz w:val="20"/>
          <w:szCs w:val="20"/>
        </w:rPr>
        <w:t xml:space="preserve"> </w:t>
      </w:r>
      <w:r w:rsidRPr="00B004EE">
        <w:rPr>
          <w:rFonts w:ascii="Tahoma" w:hAnsi="Tahoma" w:cs="Tahoma"/>
          <w:w w:val="95"/>
          <w:sz w:val="20"/>
          <w:szCs w:val="20"/>
        </w:rPr>
        <w:t>caractérisent</w:t>
      </w:r>
      <w:r w:rsidR="00DB1635" w:rsidRPr="00B004EE">
        <w:rPr>
          <w:rFonts w:ascii="Tahoma" w:hAnsi="Tahoma" w:cs="Tahoma"/>
          <w:w w:val="95"/>
          <w:sz w:val="20"/>
          <w:szCs w:val="20"/>
        </w:rPr>
        <w:t xml:space="preserve"> </w:t>
      </w:r>
      <w:r w:rsidRPr="00B004EE">
        <w:rPr>
          <w:rFonts w:ascii="Tahoma" w:hAnsi="Tahoma" w:cs="Tahoma"/>
          <w:w w:val="95"/>
          <w:sz w:val="20"/>
          <w:szCs w:val="20"/>
        </w:rPr>
        <w:t>les</w:t>
      </w:r>
      <w:r w:rsidR="00DB1635" w:rsidRPr="00B004EE">
        <w:rPr>
          <w:rFonts w:ascii="Tahoma" w:hAnsi="Tahoma" w:cs="Tahoma"/>
          <w:spacing w:val="34"/>
          <w:w w:val="95"/>
          <w:sz w:val="20"/>
          <w:szCs w:val="20"/>
        </w:rPr>
        <w:t xml:space="preserve"> </w:t>
      </w:r>
      <w:r w:rsidRPr="00B004EE">
        <w:rPr>
          <w:rFonts w:ascii="Tahoma" w:hAnsi="Tahoma" w:cs="Tahoma"/>
          <w:w w:val="95"/>
          <w:sz w:val="20"/>
          <w:szCs w:val="20"/>
        </w:rPr>
        <w:t>pêcheries.</w:t>
      </w:r>
    </w:p>
    <w:p w14:paraId="12A1E660" w14:textId="77777777" w:rsidR="002A7758" w:rsidRPr="00B004EE" w:rsidRDefault="002A7758" w:rsidP="00B004EE">
      <w:pPr>
        <w:pStyle w:val="Corpsdetexte"/>
        <w:ind w:right="161"/>
        <w:rPr>
          <w:rFonts w:ascii="Tahoma" w:hAnsi="Tahoma" w:cs="Tahoma"/>
          <w:bCs/>
          <w:sz w:val="20"/>
          <w:szCs w:val="20"/>
        </w:rPr>
      </w:pPr>
    </w:p>
    <w:p w14:paraId="457E3D03" w14:textId="38A0F9F4" w:rsidR="001E7C3C" w:rsidRPr="00B004EE" w:rsidRDefault="001E7C3C" w:rsidP="00B004EE">
      <w:pPr>
        <w:pStyle w:val="Corpsdetexte"/>
        <w:ind w:right="161"/>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17</w:t>
      </w:r>
      <w:r w:rsidR="00DB1635" w:rsidRPr="00B004EE">
        <w:rPr>
          <w:rFonts w:ascii="Tahoma" w:hAnsi="Tahoma" w:cs="Tahoma"/>
          <w:bCs/>
          <w:sz w:val="20"/>
          <w:szCs w:val="20"/>
        </w:rPr>
        <w:t xml:space="preserve"> </w:t>
      </w:r>
      <w:r w:rsidRPr="00B004EE">
        <w:rPr>
          <w:rFonts w:ascii="Tahoma" w:hAnsi="Tahoma" w:cs="Tahoma"/>
          <w:bCs/>
          <w:sz w:val="20"/>
          <w:szCs w:val="20"/>
        </w:rPr>
        <w:t>:</w:t>
      </w:r>
      <w:r w:rsidR="00DB1635" w:rsidRPr="00B004EE">
        <w:rPr>
          <w:rFonts w:ascii="Tahoma" w:hAnsi="Tahoma" w:cs="Tahoma"/>
          <w:b/>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plans</w:t>
      </w:r>
      <w:r w:rsidR="00DB1635" w:rsidRPr="00B004EE">
        <w:rPr>
          <w:rFonts w:ascii="Tahoma" w:hAnsi="Tahoma" w:cs="Tahoma"/>
          <w:sz w:val="20"/>
          <w:szCs w:val="20"/>
        </w:rPr>
        <w:t xml:space="preserve"> </w:t>
      </w:r>
      <w:r w:rsidRPr="00B004EE">
        <w:rPr>
          <w:rFonts w:ascii="Tahoma" w:hAnsi="Tahoma" w:cs="Tahoma"/>
          <w:sz w:val="20"/>
          <w:szCs w:val="20"/>
        </w:rPr>
        <w:t>d'aménagement</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gestion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pêcheries</w:t>
      </w:r>
      <w:r w:rsidR="00DB1635" w:rsidRPr="00B004EE">
        <w:rPr>
          <w:rFonts w:ascii="Tahoma" w:hAnsi="Tahoma" w:cs="Tahoma"/>
          <w:spacing w:val="14"/>
          <w:sz w:val="20"/>
          <w:szCs w:val="20"/>
        </w:rPr>
        <w:t xml:space="preserve"> </w:t>
      </w:r>
      <w:r w:rsidRPr="00B004EE">
        <w:rPr>
          <w:rFonts w:ascii="Tahoma" w:hAnsi="Tahoma" w:cs="Tahoma"/>
          <w:sz w:val="20"/>
          <w:szCs w:val="20"/>
        </w:rPr>
        <w:t>doivent</w:t>
      </w:r>
      <w:r w:rsidR="00DB1635" w:rsidRPr="00B004EE">
        <w:rPr>
          <w:rFonts w:ascii="Tahoma" w:hAnsi="Tahoma" w:cs="Tahoma"/>
          <w:w w:val="95"/>
          <w:sz w:val="20"/>
          <w:szCs w:val="20"/>
        </w:rPr>
        <w:t xml:space="preserve"> </w:t>
      </w:r>
      <w:r w:rsidR="002A7758" w:rsidRPr="00B004EE">
        <w:rPr>
          <w:rFonts w:ascii="Tahoma" w:hAnsi="Tahoma" w:cs="Tahoma"/>
          <w:w w:val="95"/>
          <w:sz w:val="20"/>
          <w:szCs w:val="20"/>
        </w:rPr>
        <w:t>notamment :</w:t>
      </w:r>
    </w:p>
    <w:p w14:paraId="16F78345" w14:textId="54BBF100" w:rsidR="001E7C3C" w:rsidRPr="00B004EE" w:rsidRDefault="001E7C3C" w:rsidP="00420DDA">
      <w:pPr>
        <w:pStyle w:val="Paragraphedeliste"/>
        <w:widowControl w:val="0"/>
        <w:numPr>
          <w:ilvl w:val="0"/>
          <w:numId w:val="42"/>
        </w:numPr>
        <w:tabs>
          <w:tab w:val="left" w:pos="870"/>
        </w:tabs>
        <w:ind w:left="567" w:right="559"/>
        <w:rPr>
          <w:rFonts w:ascii="Tahoma" w:eastAsia="American Typewriter" w:hAnsi="Tahoma" w:cs="Tahoma"/>
          <w:sz w:val="20"/>
          <w:szCs w:val="20"/>
        </w:rPr>
      </w:pPr>
      <w:proofErr w:type="gramStart"/>
      <w:r w:rsidRPr="00B004EE">
        <w:rPr>
          <w:rFonts w:ascii="Tahoma" w:hAnsi="Tahoma" w:cs="Tahoma"/>
          <w:sz w:val="20"/>
          <w:szCs w:val="20"/>
        </w:rPr>
        <w:t>identifier</w:t>
      </w:r>
      <w:proofErr w:type="gramEnd"/>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principales</w:t>
      </w:r>
      <w:r w:rsidR="00DB1635" w:rsidRPr="00B004EE">
        <w:rPr>
          <w:rFonts w:ascii="Tahoma" w:hAnsi="Tahoma" w:cs="Tahoma"/>
          <w:sz w:val="20"/>
          <w:szCs w:val="20"/>
        </w:rPr>
        <w:t xml:space="preserve"> </w:t>
      </w:r>
      <w:r w:rsidRPr="00B004EE">
        <w:rPr>
          <w:rFonts w:ascii="Tahoma" w:hAnsi="Tahoma" w:cs="Tahoma"/>
          <w:sz w:val="20"/>
          <w:szCs w:val="20"/>
        </w:rPr>
        <w:t>pêcheries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leurs</w:t>
      </w:r>
      <w:r w:rsidR="00DB1635" w:rsidRPr="00B004EE">
        <w:rPr>
          <w:rFonts w:ascii="Tahoma" w:hAnsi="Tahoma" w:cs="Tahoma"/>
          <w:sz w:val="20"/>
          <w:szCs w:val="20"/>
        </w:rPr>
        <w:t xml:space="preserve"> </w:t>
      </w:r>
      <w:r w:rsidRPr="00B004EE">
        <w:rPr>
          <w:rFonts w:ascii="Tahoma" w:hAnsi="Tahoma" w:cs="Tahoma"/>
          <w:sz w:val="20"/>
          <w:szCs w:val="20"/>
        </w:rPr>
        <w:t>caractéristiques</w:t>
      </w:r>
      <w:r w:rsidR="00DB1635" w:rsidRPr="00B004EE">
        <w:rPr>
          <w:rFonts w:ascii="Tahoma" w:hAnsi="Tahoma" w:cs="Tahoma"/>
          <w:spacing w:val="-20"/>
          <w:sz w:val="20"/>
          <w:szCs w:val="20"/>
        </w:rPr>
        <w:t xml:space="preserve"> </w:t>
      </w:r>
      <w:r w:rsidRPr="00B004EE">
        <w:rPr>
          <w:rFonts w:ascii="Tahoma" w:hAnsi="Tahoma" w:cs="Tahoma"/>
          <w:sz w:val="20"/>
          <w:szCs w:val="20"/>
        </w:rPr>
        <w:t>;</w:t>
      </w:r>
    </w:p>
    <w:p w14:paraId="3073A61D" w14:textId="6B723382" w:rsidR="001E7C3C" w:rsidRPr="00B004EE" w:rsidRDefault="001E7C3C" w:rsidP="00420DDA">
      <w:pPr>
        <w:pStyle w:val="Paragraphedeliste"/>
        <w:widowControl w:val="0"/>
        <w:numPr>
          <w:ilvl w:val="0"/>
          <w:numId w:val="42"/>
        </w:numPr>
        <w:tabs>
          <w:tab w:val="left" w:pos="870"/>
        </w:tabs>
        <w:ind w:left="567" w:right="165"/>
        <w:jc w:val="both"/>
        <w:rPr>
          <w:rFonts w:ascii="Tahoma" w:eastAsia="American Typewriter" w:hAnsi="Tahoma" w:cs="Tahoma"/>
          <w:sz w:val="20"/>
          <w:szCs w:val="20"/>
        </w:rPr>
      </w:pPr>
      <w:proofErr w:type="gramStart"/>
      <w:r w:rsidRPr="00B004EE">
        <w:rPr>
          <w:rFonts w:ascii="Tahoma" w:hAnsi="Tahoma" w:cs="Tahoma"/>
          <w:sz w:val="20"/>
          <w:szCs w:val="20"/>
        </w:rPr>
        <w:t>spécifier</w:t>
      </w:r>
      <w:proofErr w:type="gramEnd"/>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chaque</w:t>
      </w:r>
      <w:r w:rsidR="00DB1635" w:rsidRPr="00B004EE">
        <w:rPr>
          <w:rFonts w:ascii="Tahoma" w:hAnsi="Tahoma" w:cs="Tahoma"/>
          <w:sz w:val="20"/>
          <w:szCs w:val="20"/>
        </w:rPr>
        <w:t xml:space="preserve"> </w:t>
      </w:r>
      <w:r w:rsidRPr="00B004EE">
        <w:rPr>
          <w:rFonts w:ascii="Tahoma" w:hAnsi="Tahoma" w:cs="Tahoma"/>
          <w:sz w:val="20"/>
          <w:szCs w:val="20"/>
        </w:rPr>
        <w:t>pêcherie,</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objectifs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atteindre</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matière</w:t>
      </w:r>
      <w:r w:rsidR="00DB1635" w:rsidRPr="00B004EE">
        <w:rPr>
          <w:rFonts w:ascii="Tahoma" w:hAnsi="Tahoma" w:cs="Tahoma"/>
          <w:w w:val="94"/>
          <w:sz w:val="20"/>
          <w:szCs w:val="20"/>
        </w:rPr>
        <w:t xml:space="preserve"> </w:t>
      </w:r>
      <w:r w:rsidRPr="00B004EE">
        <w:rPr>
          <w:rFonts w:ascii="Tahoma" w:hAnsi="Tahoma" w:cs="Tahoma"/>
          <w:sz w:val="20"/>
          <w:szCs w:val="20"/>
        </w:rPr>
        <w:t>d'aménagement</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gestion</w:t>
      </w:r>
      <w:r w:rsidR="00DB1635" w:rsidRPr="00B004EE">
        <w:rPr>
          <w:rFonts w:ascii="Tahoma" w:hAnsi="Tahoma" w:cs="Tahoma"/>
          <w:sz w:val="20"/>
          <w:szCs w:val="20"/>
        </w:rPr>
        <w:t xml:space="preserve"> </w:t>
      </w:r>
      <w:r w:rsidRPr="00B004EE">
        <w:rPr>
          <w:rFonts w:ascii="Tahoma" w:hAnsi="Tahoma" w:cs="Tahoma"/>
          <w:sz w:val="20"/>
          <w:szCs w:val="20"/>
        </w:rPr>
        <w:t>durable</w:t>
      </w:r>
      <w:r w:rsidR="00DB1635" w:rsidRPr="00B004EE">
        <w:rPr>
          <w:rFonts w:ascii="Tahoma" w:hAnsi="Tahoma" w:cs="Tahoma"/>
          <w:spacing w:val="19"/>
          <w:sz w:val="20"/>
          <w:szCs w:val="20"/>
        </w:rPr>
        <w:t xml:space="preserve"> </w:t>
      </w:r>
      <w:r w:rsidRPr="00B004EE">
        <w:rPr>
          <w:rFonts w:ascii="Tahoma" w:hAnsi="Tahoma" w:cs="Tahoma"/>
          <w:sz w:val="20"/>
          <w:szCs w:val="20"/>
        </w:rPr>
        <w:t>;</w:t>
      </w:r>
    </w:p>
    <w:p w14:paraId="5FB87B47" w14:textId="5BC364DA" w:rsidR="001E7C3C" w:rsidRPr="00B004EE" w:rsidRDefault="001E7C3C" w:rsidP="00420DDA">
      <w:pPr>
        <w:pStyle w:val="Paragraphedeliste"/>
        <w:widowControl w:val="0"/>
        <w:numPr>
          <w:ilvl w:val="0"/>
          <w:numId w:val="42"/>
        </w:numPr>
        <w:tabs>
          <w:tab w:val="left" w:pos="870"/>
        </w:tabs>
        <w:ind w:left="567" w:right="157"/>
        <w:jc w:val="both"/>
        <w:rPr>
          <w:rFonts w:ascii="Tahoma" w:eastAsia="American Typewriter" w:hAnsi="Tahoma" w:cs="Tahoma"/>
          <w:sz w:val="20"/>
          <w:szCs w:val="20"/>
        </w:rPr>
      </w:pPr>
      <w:proofErr w:type="gramStart"/>
      <w:r w:rsidRPr="00B004EE">
        <w:rPr>
          <w:rFonts w:ascii="Tahoma" w:hAnsi="Tahoma" w:cs="Tahoma"/>
          <w:sz w:val="20"/>
          <w:szCs w:val="20"/>
        </w:rPr>
        <w:t>définir</w:t>
      </w:r>
      <w:proofErr w:type="gramEnd"/>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mécanismes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répartition,</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chaque</w:t>
      </w:r>
      <w:r w:rsidR="00DB1635" w:rsidRPr="00B004EE">
        <w:rPr>
          <w:rFonts w:ascii="Tahoma" w:hAnsi="Tahoma" w:cs="Tahoma"/>
          <w:sz w:val="20"/>
          <w:szCs w:val="20"/>
        </w:rPr>
        <w:t xml:space="preserve"> </w:t>
      </w:r>
      <w:r w:rsidRPr="00B004EE">
        <w:rPr>
          <w:rFonts w:ascii="Tahoma" w:hAnsi="Tahoma" w:cs="Tahoma"/>
          <w:sz w:val="20"/>
          <w:szCs w:val="20"/>
        </w:rPr>
        <w:t>pêcherie,</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pacing w:val="22"/>
          <w:sz w:val="20"/>
          <w:szCs w:val="20"/>
        </w:rPr>
        <w:t xml:space="preserve"> </w:t>
      </w:r>
      <w:r w:rsidRPr="00B004EE">
        <w:rPr>
          <w:rFonts w:ascii="Tahoma" w:hAnsi="Tahoma" w:cs="Tahoma"/>
          <w:sz w:val="20"/>
          <w:szCs w:val="20"/>
        </w:rPr>
        <w:t>total</w:t>
      </w:r>
      <w:r w:rsidR="00DB1635" w:rsidRPr="00B004EE">
        <w:rPr>
          <w:rFonts w:ascii="Tahoma" w:hAnsi="Tahoma" w:cs="Tahoma"/>
          <w:w w:val="101"/>
          <w:sz w:val="20"/>
          <w:szCs w:val="20"/>
        </w:rPr>
        <w:t xml:space="preserve"> </w:t>
      </w:r>
      <w:r w:rsidRPr="00B004EE">
        <w:rPr>
          <w:rFonts w:ascii="Tahoma" w:hAnsi="Tahoma" w:cs="Tahoma"/>
          <w:sz w:val="20"/>
          <w:szCs w:val="20"/>
        </w:rPr>
        <w:t>admissible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captures</w:t>
      </w:r>
      <w:r w:rsidR="00DB1635" w:rsidRPr="00B004EE">
        <w:rPr>
          <w:rFonts w:ascii="Tahoma" w:hAnsi="Tahoma" w:cs="Tahoma"/>
          <w:sz w:val="20"/>
          <w:szCs w:val="20"/>
        </w:rPr>
        <w:t xml:space="preserve"> </w:t>
      </w:r>
      <w:r w:rsidRPr="00B004EE">
        <w:rPr>
          <w:rFonts w:ascii="Tahoma" w:hAnsi="Tahoma" w:cs="Tahoma"/>
          <w:sz w:val="20"/>
          <w:szCs w:val="20"/>
        </w:rPr>
        <w:t>(TAC)</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stratégie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limitation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pacing w:val="45"/>
          <w:sz w:val="20"/>
          <w:szCs w:val="20"/>
        </w:rPr>
        <w:t xml:space="preserve"> </w:t>
      </w:r>
      <w:r w:rsidRPr="00B004EE">
        <w:rPr>
          <w:rFonts w:ascii="Tahoma" w:hAnsi="Tahoma" w:cs="Tahoma"/>
          <w:sz w:val="20"/>
          <w:szCs w:val="20"/>
        </w:rPr>
        <w:t>prises</w:t>
      </w:r>
      <w:r w:rsidR="00DB1635" w:rsidRPr="00B004EE">
        <w:rPr>
          <w:rFonts w:ascii="Tahoma" w:hAnsi="Tahoma" w:cs="Tahoma"/>
          <w:w w:val="94"/>
          <w:sz w:val="20"/>
          <w:szCs w:val="20"/>
        </w:rPr>
        <w:t xml:space="preserve"> </w:t>
      </w:r>
      <w:r w:rsidRPr="00B004EE">
        <w:rPr>
          <w:rFonts w:ascii="Tahoma" w:hAnsi="Tahoma" w:cs="Tahoma"/>
          <w:sz w:val="20"/>
          <w:szCs w:val="20"/>
        </w:rPr>
        <w:t>accessoires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rejets</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mer</w:t>
      </w:r>
      <w:r w:rsidR="00DB1635" w:rsidRPr="00B004EE">
        <w:rPr>
          <w:rFonts w:ascii="Tahoma" w:hAnsi="Tahoma" w:cs="Tahoma"/>
          <w:spacing w:val="22"/>
          <w:sz w:val="20"/>
          <w:szCs w:val="20"/>
        </w:rPr>
        <w:t xml:space="preserve"> </w:t>
      </w:r>
      <w:r w:rsidRPr="00B004EE">
        <w:rPr>
          <w:rFonts w:ascii="Tahoma" w:hAnsi="Tahoma" w:cs="Tahoma"/>
          <w:sz w:val="20"/>
          <w:szCs w:val="20"/>
        </w:rPr>
        <w:t>;</w:t>
      </w:r>
    </w:p>
    <w:p w14:paraId="435E3D57" w14:textId="73336744" w:rsidR="001E7C3C" w:rsidRPr="00B004EE" w:rsidRDefault="001E7C3C" w:rsidP="00420DDA">
      <w:pPr>
        <w:pStyle w:val="Paragraphedeliste"/>
        <w:widowControl w:val="0"/>
        <w:numPr>
          <w:ilvl w:val="0"/>
          <w:numId w:val="42"/>
        </w:numPr>
        <w:tabs>
          <w:tab w:val="left" w:pos="870"/>
        </w:tabs>
        <w:ind w:left="567" w:right="161"/>
        <w:jc w:val="both"/>
        <w:rPr>
          <w:rFonts w:ascii="Tahoma" w:eastAsia="American Typewriter" w:hAnsi="Tahoma" w:cs="Tahoma"/>
          <w:sz w:val="20"/>
          <w:szCs w:val="20"/>
        </w:rPr>
      </w:pPr>
      <w:proofErr w:type="gramStart"/>
      <w:r w:rsidRPr="00B004EE">
        <w:rPr>
          <w:rFonts w:ascii="Tahoma" w:eastAsia="American Typewriter" w:hAnsi="Tahoma" w:cs="Tahoma"/>
          <w:sz w:val="20"/>
          <w:szCs w:val="20"/>
        </w:rPr>
        <w:t>définir</w:t>
      </w:r>
      <w:proofErr w:type="gramEnd"/>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les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supports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droits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d’usage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relatifs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aux</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principales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pêcheries</w:t>
      </w:r>
      <w:r w:rsidR="00DB1635" w:rsidRPr="00B004EE">
        <w:rPr>
          <w:rFonts w:ascii="Tahoma" w:eastAsia="American Typewriter" w:hAnsi="Tahoma" w:cs="Tahoma"/>
          <w:spacing w:val="57"/>
          <w:sz w:val="20"/>
          <w:szCs w:val="20"/>
        </w:rPr>
        <w:t xml:space="preserve"> </w:t>
      </w:r>
      <w:r w:rsidRPr="00B004EE">
        <w:rPr>
          <w:rFonts w:ascii="Tahoma" w:eastAsia="American Typewriter" w:hAnsi="Tahoma" w:cs="Tahoma"/>
          <w:sz w:val="20"/>
          <w:szCs w:val="20"/>
        </w:rPr>
        <w:t>et</w:t>
      </w:r>
      <w:r w:rsidR="00DB1635" w:rsidRPr="00B004EE">
        <w:rPr>
          <w:rFonts w:ascii="Tahoma" w:eastAsia="American Typewriter" w:hAnsi="Tahoma" w:cs="Tahoma"/>
          <w:w w:val="95"/>
          <w:sz w:val="20"/>
          <w:szCs w:val="20"/>
        </w:rPr>
        <w:t xml:space="preserve"> </w:t>
      </w:r>
      <w:r w:rsidRPr="00B004EE">
        <w:rPr>
          <w:rFonts w:ascii="Tahoma" w:eastAsia="American Typewriter" w:hAnsi="Tahoma" w:cs="Tahoma"/>
          <w:sz w:val="20"/>
          <w:szCs w:val="20"/>
        </w:rPr>
        <w:t>aux</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activités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pêche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qui</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pourront</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être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effectuées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par</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des</w:t>
      </w:r>
      <w:r w:rsidR="00DB1635" w:rsidRPr="00B004EE">
        <w:rPr>
          <w:rFonts w:ascii="Tahoma" w:eastAsia="American Typewriter" w:hAnsi="Tahoma" w:cs="Tahoma"/>
          <w:spacing w:val="28"/>
          <w:sz w:val="20"/>
          <w:szCs w:val="20"/>
        </w:rPr>
        <w:t xml:space="preserve"> </w:t>
      </w:r>
      <w:r w:rsidRPr="00B004EE">
        <w:rPr>
          <w:rFonts w:ascii="Tahoma" w:eastAsia="American Typewriter" w:hAnsi="Tahoma" w:cs="Tahoma"/>
          <w:sz w:val="20"/>
          <w:szCs w:val="20"/>
        </w:rPr>
        <w:t>navires</w:t>
      </w:r>
      <w:r w:rsidR="00DB1635" w:rsidRPr="00B004EE">
        <w:rPr>
          <w:rFonts w:ascii="Tahoma" w:eastAsia="American Typewriter" w:hAnsi="Tahoma" w:cs="Tahoma"/>
          <w:w w:val="94"/>
          <w:sz w:val="20"/>
          <w:szCs w:val="20"/>
        </w:rPr>
        <w:t xml:space="preserve"> </w:t>
      </w:r>
      <w:r w:rsidRPr="00B004EE">
        <w:rPr>
          <w:rFonts w:ascii="Tahoma" w:eastAsia="American Typewriter" w:hAnsi="Tahoma" w:cs="Tahoma"/>
          <w:sz w:val="20"/>
          <w:szCs w:val="20"/>
        </w:rPr>
        <w:t>nationaux</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ou</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étrangers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pacing w:val="18"/>
          <w:sz w:val="20"/>
          <w:szCs w:val="20"/>
        </w:rPr>
        <w:t xml:space="preserve"> </w:t>
      </w:r>
      <w:r w:rsidRPr="00B004EE">
        <w:rPr>
          <w:rFonts w:ascii="Tahoma" w:eastAsia="American Typewriter" w:hAnsi="Tahoma" w:cs="Tahoma"/>
          <w:sz w:val="20"/>
          <w:szCs w:val="20"/>
        </w:rPr>
        <w:t>pêche;</w:t>
      </w:r>
    </w:p>
    <w:p w14:paraId="116417B0" w14:textId="1423DA11" w:rsidR="001E7C3C" w:rsidRPr="00B004EE" w:rsidRDefault="001E7C3C" w:rsidP="00420DDA">
      <w:pPr>
        <w:pStyle w:val="Paragraphedeliste"/>
        <w:widowControl w:val="0"/>
        <w:numPr>
          <w:ilvl w:val="0"/>
          <w:numId w:val="42"/>
        </w:numPr>
        <w:tabs>
          <w:tab w:val="left" w:pos="870"/>
        </w:tabs>
        <w:ind w:left="567" w:right="162"/>
        <w:jc w:val="both"/>
        <w:rPr>
          <w:rFonts w:ascii="Tahoma" w:eastAsia="American Typewriter" w:hAnsi="Tahoma" w:cs="Tahoma"/>
          <w:sz w:val="20"/>
          <w:szCs w:val="20"/>
        </w:rPr>
      </w:pPr>
      <w:proofErr w:type="gramStart"/>
      <w:r w:rsidRPr="00B004EE">
        <w:rPr>
          <w:rFonts w:ascii="Tahoma" w:hAnsi="Tahoma" w:cs="Tahoma"/>
          <w:sz w:val="20"/>
          <w:szCs w:val="20"/>
        </w:rPr>
        <w:t>définir</w:t>
      </w:r>
      <w:proofErr w:type="gramEnd"/>
      <w:r w:rsidRPr="00B004EE">
        <w:rPr>
          <w:rFonts w:ascii="Tahoma" w:hAnsi="Tahoma" w:cs="Tahoma"/>
          <w:sz w:val="20"/>
          <w:szCs w:val="20"/>
        </w:rPr>
        <w:t>,</w:t>
      </w:r>
      <w:r w:rsidR="00DB1635" w:rsidRPr="00B004EE">
        <w:rPr>
          <w:rFonts w:ascii="Tahoma" w:hAnsi="Tahoma" w:cs="Tahoma"/>
          <w:spacing w:val="-10"/>
          <w:sz w:val="20"/>
          <w:szCs w:val="20"/>
        </w:rPr>
        <w:t xml:space="preserve"> </w:t>
      </w:r>
      <w:r w:rsidRPr="00B004EE">
        <w:rPr>
          <w:rFonts w:ascii="Tahoma" w:hAnsi="Tahoma" w:cs="Tahoma"/>
          <w:sz w:val="20"/>
          <w:szCs w:val="20"/>
        </w:rPr>
        <w:t>dans</w:t>
      </w:r>
      <w:r w:rsidR="00DB1635" w:rsidRPr="00B004EE">
        <w:rPr>
          <w:rFonts w:ascii="Tahoma" w:hAnsi="Tahoma" w:cs="Tahoma"/>
          <w:spacing w:val="-10"/>
          <w:sz w:val="20"/>
          <w:szCs w:val="20"/>
        </w:rPr>
        <w:t xml:space="preserve"> </w:t>
      </w:r>
      <w:r w:rsidRPr="00B004EE">
        <w:rPr>
          <w:rFonts w:ascii="Tahoma" w:hAnsi="Tahoma" w:cs="Tahoma"/>
          <w:sz w:val="20"/>
          <w:szCs w:val="20"/>
        </w:rPr>
        <w:t>les</w:t>
      </w:r>
      <w:r w:rsidR="00DB1635" w:rsidRPr="00B004EE">
        <w:rPr>
          <w:rFonts w:ascii="Tahoma" w:hAnsi="Tahoma" w:cs="Tahoma"/>
          <w:spacing w:val="-10"/>
          <w:sz w:val="20"/>
          <w:szCs w:val="20"/>
        </w:rPr>
        <w:t xml:space="preserve"> </w:t>
      </w:r>
      <w:r w:rsidRPr="00B004EE">
        <w:rPr>
          <w:rFonts w:ascii="Tahoma" w:hAnsi="Tahoma" w:cs="Tahoma"/>
          <w:sz w:val="20"/>
          <w:szCs w:val="20"/>
        </w:rPr>
        <w:t>pêcheries</w:t>
      </w:r>
      <w:r w:rsidR="00DB1635" w:rsidRPr="00B004EE">
        <w:rPr>
          <w:rFonts w:ascii="Tahoma" w:hAnsi="Tahoma" w:cs="Tahoma"/>
          <w:spacing w:val="-10"/>
          <w:sz w:val="20"/>
          <w:szCs w:val="20"/>
        </w:rPr>
        <w:t xml:space="preserve"> </w:t>
      </w:r>
      <w:r w:rsidRPr="00B004EE">
        <w:rPr>
          <w:rFonts w:ascii="Tahoma" w:hAnsi="Tahoma" w:cs="Tahoma"/>
          <w:sz w:val="20"/>
          <w:szCs w:val="20"/>
        </w:rPr>
        <w:t>soumises</w:t>
      </w:r>
      <w:r w:rsidR="00DB1635" w:rsidRPr="00B004EE">
        <w:rPr>
          <w:rFonts w:ascii="Tahoma" w:hAnsi="Tahoma" w:cs="Tahoma"/>
          <w:spacing w:val="-11"/>
          <w:sz w:val="20"/>
          <w:szCs w:val="20"/>
        </w:rPr>
        <w:t xml:space="preserve"> </w:t>
      </w:r>
      <w:r w:rsidRPr="00B004EE">
        <w:rPr>
          <w:rFonts w:ascii="Tahoma" w:hAnsi="Tahoma" w:cs="Tahoma"/>
          <w:sz w:val="20"/>
          <w:szCs w:val="20"/>
        </w:rPr>
        <w:t>à</w:t>
      </w:r>
      <w:r w:rsidR="00DB1635" w:rsidRPr="00B004EE">
        <w:rPr>
          <w:rFonts w:ascii="Tahoma" w:hAnsi="Tahoma" w:cs="Tahoma"/>
          <w:spacing w:val="-9"/>
          <w:sz w:val="20"/>
          <w:szCs w:val="20"/>
        </w:rPr>
        <w:t xml:space="preserve"> </w:t>
      </w:r>
      <w:r w:rsidRPr="00B004EE">
        <w:rPr>
          <w:rFonts w:ascii="Tahoma" w:hAnsi="Tahoma" w:cs="Tahoma"/>
          <w:sz w:val="20"/>
          <w:szCs w:val="20"/>
        </w:rPr>
        <w:t>quotas</w:t>
      </w:r>
      <w:r w:rsidR="00DB1635" w:rsidRPr="00B004EE">
        <w:rPr>
          <w:rFonts w:ascii="Tahoma" w:hAnsi="Tahoma" w:cs="Tahoma"/>
          <w:spacing w:val="-10"/>
          <w:sz w:val="20"/>
          <w:szCs w:val="20"/>
        </w:rPr>
        <w:t xml:space="preserve"> </w:t>
      </w:r>
      <w:r w:rsidRPr="00B004EE">
        <w:rPr>
          <w:rFonts w:ascii="Tahoma" w:hAnsi="Tahoma" w:cs="Tahoma"/>
          <w:sz w:val="20"/>
          <w:szCs w:val="20"/>
        </w:rPr>
        <w:t>individuels,</w:t>
      </w:r>
      <w:r w:rsidR="00DB1635" w:rsidRPr="00B004EE">
        <w:rPr>
          <w:rFonts w:ascii="Tahoma" w:hAnsi="Tahoma" w:cs="Tahoma"/>
          <w:spacing w:val="-12"/>
          <w:sz w:val="20"/>
          <w:szCs w:val="20"/>
        </w:rPr>
        <w:t xml:space="preserve"> </w:t>
      </w:r>
      <w:r w:rsidRPr="00B004EE">
        <w:rPr>
          <w:rFonts w:ascii="Tahoma" w:hAnsi="Tahoma" w:cs="Tahoma"/>
          <w:sz w:val="20"/>
          <w:szCs w:val="20"/>
        </w:rPr>
        <w:t>le</w:t>
      </w:r>
      <w:r w:rsidR="00DB1635" w:rsidRPr="00B004EE">
        <w:rPr>
          <w:rFonts w:ascii="Tahoma" w:hAnsi="Tahoma" w:cs="Tahoma"/>
          <w:spacing w:val="-12"/>
          <w:sz w:val="20"/>
          <w:szCs w:val="20"/>
        </w:rPr>
        <w:t xml:space="preserve"> </w:t>
      </w:r>
      <w:r w:rsidRPr="00B004EE">
        <w:rPr>
          <w:rFonts w:ascii="Tahoma" w:hAnsi="Tahoma" w:cs="Tahoma"/>
          <w:sz w:val="20"/>
          <w:szCs w:val="20"/>
        </w:rPr>
        <w:t>volume</w:t>
      </w:r>
      <w:r w:rsidR="00DB1635" w:rsidRPr="00B004EE">
        <w:rPr>
          <w:rFonts w:ascii="Tahoma" w:hAnsi="Tahoma" w:cs="Tahoma"/>
          <w:spacing w:val="-12"/>
          <w:sz w:val="20"/>
          <w:szCs w:val="20"/>
        </w:rPr>
        <w:t xml:space="preserve"> </w:t>
      </w:r>
      <w:r w:rsidRPr="00B004EE">
        <w:rPr>
          <w:rFonts w:ascii="Tahoma" w:hAnsi="Tahoma" w:cs="Tahoma"/>
          <w:sz w:val="20"/>
          <w:szCs w:val="20"/>
        </w:rPr>
        <w:t>total</w:t>
      </w:r>
      <w:r w:rsidR="00DB1635" w:rsidRPr="00B004EE">
        <w:rPr>
          <w:rFonts w:ascii="Tahoma" w:hAnsi="Tahoma" w:cs="Tahoma"/>
          <w:spacing w:val="-11"/>
          <w:sz w:val="20"/>
          <w:szCs w:val="20"/>
        </w:rPr>
        <w:t xml:space="preserve"> </w:t>
      </w:r>
      <w:r w:rsidRPr="00B004EE">
        <w:rPr>
          <w:rFonts w:ascii="Tahoma" w:hAnsi="Tahoma" w:cs="Tahoma"/>
          <w:sz w:val="20"/>
          <w:szCs w:val="20"/>
        </w:rPr>
        <w:t>de</w:t>
      </w:r>
      <w:r w:rsidR="00DB1635" w:rsidRPr="00B004EE">
        <w:rPr>
          <w:rFonts w:ascii="Tahoma" w:hAnsi="Tahoma" w:cs="Tahoma"/>
          <w:w w:val="94"/>
          <w:sz w:val="20"/>
          <w:szCs w:val="20"/>
        </w:rPr>
        <w:t xml:space="preserve"> </w:t>
      </w:r>
      <w:r w:rsidRPr="00B004EE">
        <w:rPr>
          <w:rFonts w:ascii="Tahoma" w:hAnsi="Tahoma" w:cs="Tahoma"/>
          <w:sz w:val="20"/>
          <w:szCs w:val="20"/>
        </w:rPr>
        <w:t>quotas</w:t>
      </w:r>
      <w:r w:rsidR="00DB1635" w:rsidRPr="00B004EE">
        <w:rPr>
          <w:rFonts w:ascii="Tahoma" w:hAnsi="Tahoma" w:cs="Tahoma"/>
          <w:sz w:val="20"/>
          <w:szCs w:val="20"/>
        </w:rPr>
        <w:t xml:space="preserve"> </w:t>
      </w:r>
      <w:r w:rsidRPr="00B004EE">
        <w:rPr>
          <w:rFonts w:ascii="Tahoma" w:hAnsi="Tahoma" w:cs="Tahoma"/>
          <w:sz w:val="20"/>
          <w:szCs w:val="20"/>
        </w:rPr>
        <w:t>individuels</w:t>
      </w:r>
      <w:r w:rsidR="00DB1635" w:rsidRPr="00B004EE">
        <w:rPr>
          <w:rFonts w:ascii="Tahoma" w:hAnsi="Tahoma" w:cs="Tahoma"/>
          <w:sz w:val="20"/>
          <w:szCs w:val="20"/>
        </w:rPr>
        <w:t xml:space="preserve"> </w:t>
      </w:r>
      <w:r w:rsidRPr="00B004EE">
        <w:rPr>
          <w:rFonts w:ascii="Tahoma" w:hAnsi="Tahoma" w:cs="Tahoma"/>
          <w:sz w:val="20"/>
          <w:szCs w:val="20"/>
        </w:rPr>
        <w:t>alloué</w:t>
      </w:r>
      <w:r w:rsidR="00DB1635" w:rsidRPr="00B004EE">
        <w:rPr>
          <w:rFonts w:ascii="Tahoma" w:hAnsi="Tahoma" w:cs="Tahoma"/>
          <w:sz w:val="20"/>
          <w:szCs w:val="20"/>
        </w:rPr>
        <w:t xml:space="preserve"> </w:t>
      </w:r>
      <w:r w:rsidRPr="00B004EE">
        <w:rPr>
          <w:rFonts w:ascii="Tahoma" w:hAnsi="Tahoma" w:cs="Tahoma"/>
          <w:sz w:val="20"/>
          <w:szCs w:val="20"/>
        </w:rPr>
        <w:t>qui</w:t>
      </w:r>
      <w:r w:rsidR="00DB1635" w:rsidRPr="00B004EE">
        <w:rPr>
          <w:rFonts w:ascii="Tahoma" w:hAnsi="Tahoma" w:cs="Tahoma"/>
          <w:sz w:val="20"/>
          <w:szCs w:val="20"/>
        </w:rPr>
        <w:t xml:space="preserve"> </w:t>
      </w:r>
      <w:r w:rsidRPr="00B004EE">
        <w:rPr>
          <w:rFonts w:ascii="Tahoma" w:hAnsi="Tahoma" w:cs="Tahoma"/>
          <w:sz w:val="20"/>
          <w:szCs w:val="20"/>
        </w:rPr>
        <w:t>ne</w:t>
      </w:r>
      <w:r w:rsidR="00DB1635" w:rsidRPr="00B004EE">
        <w:rPr>
          <w:rFonts w:ascii="Tahoma" w:hAnsi="Tahoma" w:cs="Tahoma"/>
          <w:sz w:val="20"/>
          <w:szCs w:val="20"/>
        </w:rPr>
        <w:t xml:space="preserve"> </w:t>
      </w:r>
      <w:r w:rsidRPr="00B004EE">
        <w:rPr>
          <w:rFonts w:ascii="Tahoma" w:hAnsi="Tahoma" w:cs="Tahoma"/>
          <w:sz w:val="20"/>
          <w:szCs w:val="20"/>
        </w:rPr>
        <w:t>pourra</w:t>
      </w:r>
      <w:r w:rsidR="00DB1635" w:rsidRPr="00B004EE">
        <w:rPr>
          <w:rFonts w:ascii="Tahoma" w:hAnsi="Tahoma" w:cs="Tahoma"/>
          <w:sz w:val="20"/>
          <w:szCs w:val="20"/>
        </w:rPr>
        <w:t xml:space="preserve"> </w:t>
      </w:r>
      <w:r w:rsidRPr="00B004EE">
        <w:rPr>
          <w:rFonts w:ascii="Tahoma" w:hAnsi="Tahoma" w:cs="Tahoma"/>
          <w:sz w:val="20"/>
          <w:szCs w:val="20"/>
        </w:rPr>
        <w:t>dépasser</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TAC</w:t>
      </w:r>
      <w:r w:rsidR="00DB1635" w:rsidRPr="00B004EE">
        <w:rPr>
          <w:rFonts w:ascii="Tahoma" w:hAnsi="Tahoma" w:cs="Tahoma"/>
          <w:sz w:val="20"/>
          <w:szCs w:val="20"/>
        </w:rPr>
        <w:t xml:space="preserve"> </w:t>
      </w:r>
      <w:r w:rsidRPr="00B004EE">
        <w:rPr>
          <w:rFonts w:ascii="Tahoma" w:hAnsi="Tahoma" w:cs="Tahoma"/>
          <w:sz w:val="20"/>
          <w:szCs w:val="20"/>
        </w:rPr>
        <w:t>fixé</w:t>
      </w:r>
      <w:r w:rsidR="00DB1635" w:rsidRPr="00B004EE">
        <w:rPr>
          <w:rFonts w:ascii="Tahoma" w:hAnsi="Tahoma" w:cs="Tahoma"/>
          <w:sz w:val="20"/>
          <w:szCs w:val="20"/>
        </w:rPr>
        <w:t xml:space="preserve"> </w:t>
      </w:r>
      <w:r w:rsidRPr="00B004EE">
        <w:rPr>
          <w:rFonts w:ascii="Tahoma" w:hAnsi="Tahoma" w:cs="Tahoma"/>
          <w:sz w:val="20"/>
          <w:szCs w:val="20"/>
        </w:rPr>
        <w:t>sur</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pacing w:val="22"/>
          <w:sz w:val="20"/>
          <w:szCs w:val="20"/>
        </w:rPr>
        <w:t xml:space="preserve"> </w:t>
      </w:r>
      <w:r w:rsidRPr="00B004EE">
        <w:rPr>
          <w:rFonts w:ascii="Tahoma" w:hAnsi="Tahoma" w:cs="Tahoma"/>
          <w:sz w:val="20"/>
          <w:szCs w:val="20"/>
        </w:rPr>
        <w:t>période</w:t>
      </w:r>
      <w:r w:rsidR="00DB1635" w:rsidRPr="00B004EE">
        <w:rPr>
          <w:rFonts w:ascii="Tahoma" w:hAnsi="Tahoma" w:cs="Tahoma"/>
          <w:w w:val="94"/>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référence</w:t>
      </w:r>
      <w:r w:rsidR="00DB1635" w:rsidRPr="00B004EE">
        <w:rPr>
          <w:rFonts w:ascii="Tahoma" w:hAnsi="Tahoma" w:cs="Tahoma"/>
          <w:sz w:val="20"/>
          <w:szCs w:val="20"/>
        </w:rPr>
        <w:t xml:space="preserve"> </w:t>
      </w:r>
      <w:r w:rsidRPr="00B004EE">
        <w:rPr>
          <w:rFonts w:ascii="Tahoma" w:hAnsi="Tahoma" w:cs="Tahoma"/>
          <w:sz w:val="20"/>
          <w:szCs w:val="20"/>
        </w:rPr>
        <w:t>choisie</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sa</w:t>
      </w:r>
      <w:r w:rsidR="00DB1635" w:rsidRPr="00B004EE">
        <w:rPr>
          <w:rFonts w:ascii="Tahoma" w:hAnsi="Tahoma" w:cs="Tahoma"/>
          <w:sz w:val="20"/>
          <w:szCs w:val="20"/>
        </w:rPr>
        <w:t xml:space="preserve"> </w:t>
      </w:r>
      <w:r w:rsidRPr="00B004EE">
        <w:rPr>
          <w:rFonts w:ascii="Tahoma" w:hAnsi="Tahoma" w:cs="Tahoma"/>
          <w:sz w:val="20"/>
          <w:szCs w:val="20"/>
        </w:rPr>
        <w:t>fixation</w:t>
      </w:r>
      <w:r w:rsidR="00DB1635" w:rsidRPr="00B004EE">
        <w:rPr>
          <w:rFonts w:ascii="Tahoma" w:hAnsi="Tahoma" w:cs="Tahoma"/>
          <w:spacing w:val="18"/>
          <w:sz w:val="20"/>
          <w:szCs w:val="20"/>
        </w:rPr>
        <w:t xml:space="preserve"> </w:t>
      </w:r>
      <w:r w:rsidRPr="00B004EE">
        <w:rPr>
          <w:rFonts w:ascii="Tahoma" w:hAnsi="Tahoma" w:cs="Tahoma"/>
          <w:sz w:val="20"/>
          <w:szCs w:val="20"/>
        </w:rPr>
        <w:t>;</w:t>
      </w:r>
    </w:p>
    <w:p w14:paraId="47ED6FB0" w14:textId="15341784" w:rsidR="001E7C3C" w:rsidRPr="00B004EE" w:rsidRDefault="001E7C3C" w:rsidP="00420DDA">
      <w:pPr>
        <w:pStyle w:val="Paragraphedeliste"/>
        <w:widowControl w:val="0"/>
        <w:numPr>
          <w:ilvl w:val="0"/>
          <w:numId w:val="42"/>
        </w:numPr>
        <w:tabs>
          <w:tab w:val="left" w:pos="870"/>
        </w:tabs>
        <w:ind w:left="567" w:right="164"/>
        <w:rPr>
          <w:rFonts w:ascii="Tahoma" w:eastAsia="American Typewriter" w:hAnsi="Tahoma" w:cs="Tahoma"/>
          <w:sz w:val="20"/>
          <w:szCs w:val="20"/>
        </w:rPr>
      </w:pPr>
      <w:proofErr w:type="gramStart"/>
      <w:r w:rsidRPr="00B004EE">
        <w:rPr>
          <w:rFonts w:ascii="Tahoma" w:hAnsi="Tahoma" w:cs="Tahoma"/>
          <w:sz w:val="20"/>
          <w:szCs w:val="20"/>
        </w:rPr>
        <w:t>définir</w:t>
      </w:r>
      <w:proofErr w:type="gramEnd"/>
      <w:r w:rsidR="00DB1635" w:rsidRPr="00B004EE">
        <w:rPr>
          <w:rFonts w:ascii="Tahoma" w:hAnsi="Tahoma" w:cs="Tahoma"/>
          <w:spacing w:val="-13"/>
          <w:sz w:val="20"/>
          <w:szCs w:val="20"/>
        </w:rPr>
        <w:t xml:space="preserve"> </w:t>
      </w:r>
      <w:r w:rsidRPr="00B004EE">
        <w:rPr>
          <w:rFonts w:ascii="Tahoma" w:hAnsi="Tahoma" w:cs="Tahoma"/>
          <w:sz w:val="20"/>
          <w:szCs w:val="20"/>
        </w:rPr>
        <w:t>le</w:t>
      </w:r>
      <w:r w:rsidR="00DB1635" w:rsidRPr="00B004EE">
        <w:rPr>
          <w:rFonts w:ascii="Tahoma" w:hAnsi="Tahoma" w:cs="Tahoma"/>
          <w:spacing w:val="-13"/>
          <w:sz w:val="20"/>
          <w:szCs w:val="20"/>
        </w:rPr>
        <w:t xml:space="preserve"> </w:t>
      </w:r>
      <w:r w:rsidRPr="00B004EE">
        <w:rPr>
          <w:rFonts w:ascii="Tahoma" w:hAnsi="Tahoma" w:cs="Tahoma"/>
          <w:sz w:val="20"/>
          <w:szCs w:val="20"/>
        </w:rPr>
        <w:t>cahier</w:t>
      </w:r>
      <w:r w:rsidR="00DB1635" w:rsidRPr="00B004EE">
        <w:rPr>
          <w:rFonts w:ascii="Tahoma" w:hAnsi="Tahoma" w:cs="Tahoma"/>
          <w:spacing w:val="-13"/>
          <w:sz w:val="20"/>
          <w:szCs w:val="20"/>
        </w:rPr>
        <w:t xml:space="preserve"> </w:t>
      </w:r>
      <w:r w:rsidRPr="00B004EE">
        <w:rPr>
          <w:rFonts w:ascii="Tahoma" w:hAnsi="Tahoma" w:cs="Tahoma"/>
          <w:sz w:val="20"/>
          <w:szCs w:val="20"/>
        </w:rPr>
        <w:t>des</w:t>
      </w:r>
      <w:r w:rsidR="00DB1635" w:rsidRPr="00B004EE">
        <w:rPr>
          <w:rFonts w:ascii="Tahoma" w:hAnsi="Tahoma" w:cs="Tahoma"/>
          <w:spacing w:val="-13"/>
          <w:sz w:val="20"/>
          <w:szCs w:val="20"/>
        </w:rPr>
        <w:t xml:space="preserve"> </w:t>
      </w:r>
      <w:r w:rsidRPr="00B004EE">
        <w:rPr>
          <w:rFonts w:ascii="Tahoma" w:hAnsi="Tahoma" w:cs="Tahoma"/>
          <w:sz w:val="20"/>
          <w:szCs w:val="20"/>
        </w:rPr>
        <w:t>charges</w:t>
      </w:r>
      <w:r w:rsidR="00DB1635" w:rsidRPr="00B004EE">
        <w:rPr>
          <w:rFonts w:ascii="Tahoma" w:hAnsi="Tahoma" w:cs="Tahoma"/>
          <w:spacing w:val="-13"/>
          <w:sz w:val="20"/>
          <w:szCs w:val="20"/>
        </w:rPr>
        <w:t xml:space="preserve"> </w:t>
      </w:r>
      <w:r w:rsidRPr="00B004EE">
        <w:rPr>
          <w:rFonts w:ascii="Tahoma" w:hAnsi="Tahoma" w:cs="Tahoma"/>
          <w:sz w:val="20"/>
          <w:szCs w:val="20"/>
        </w:rPr>
        <w:t>applicable</w:t>
      </w:r>
      <w:r w:rsidR="00DB1635" w:rsidRPr="00B004EE">
        <w:rPr>
          <w:rFonts w:ascii="Tahoma" w:hAnsi="Tahoma" w:cs="Tahoma"/>
          <w:spacing w:val="-11"/>
          <w:sz w:val="20"/>
          <w:szCs w:val="20"/>
        </w:rPr>
        <w:t xml:space="preserve"> </w:t>
      </w:r>
      <w:r w:rsidRPr="00B004EE">
        <w:rPr>
          <w:rFonts w:ascii="Tahoma" w:hAnsi="Tahoma" w:cs="Tahoma"/>
          <w:sz w:val="20"/>
          <w:szCs w:val="20"/>
        </w:rPr>
        <w:t>à</w:t>
      </w:r>
      <w:r w:rsidR="00DB1635" w:rsidRPr="00B004EE">
        <w:rPr>
          <w:rFonts w:ascii="Tahoma" w:hAnsi="Tahoma" w:cs="Tahoma"/>
          <w:spacing w:val="-12"/>
          <w:sz w:val="20"/>
          <w:szCs w:val="20"/>
        </w:rPr>
        <w:t xml:space="preserve"> </w:t>
      </w:r>
      <w:r w:rsidRPr="00B004EE">
        <w:rPr>
          <w:rFonts w:ascii="Tahoma" w:hAnsi="Tahoma" w:cs="Tahoma"/>
          <w:sz w:val="20"/>
          <w:szCs w:val="20"/>
        </w:rPr>
        <w:t>la</w:t>
      </w:r>
      <w:r w:rsidR="00DB1635" w:rsidRPr="00B004EE">
        <w:rPr>
          <w:rFonts w:ascii="Tahoma" w:hAnsi="Tahoma" w:cs="Tahoma"/>
          <w:spacing w:val="-12"/>
          <w:sz w:val="20"/>
          <w:szCs w:val="20"/>
        </w:rPr>
        <w:t xml:space="preserve"> </w:t>
      </w:r>
      <w:r w:rsidRPr="00B004EE">
        <w:rPr>
          <w:rFonts w:ascii="Tahoma" w:hAnsi="Tahoma" w:cs="Tahoma"/>
          <w:sz w:val="20"/>
          <w:szCs w:val="20"/>
        </w:rPr>
        <w:t>concession</w:t>
      </w:r>
      <w:r w:rsidR="00DB1635" w:rsidRPr="00B004EE">
        <w:rPr>
          <w:rFonts w:ascii="Tahoma" w:hAnsi="Tahoma" w:cs="Tahoma"/>
          <w:spacing w:val="-13"/>
          <w:sz w:val="20"/>
          <w:szCs w:val="20"/>
        </w:rPr>
        <w:t xml:space="preserve"> </w:t>
      </w:r>
      <w:r w:rsidRPr="00B004EE">
        <w:rPr>
          <w:rFonts w:ascii="Tahoma" w:hAnsi="Tahoma" w:cs="Tahoma"/>
          <w:sz w:val="20"/>
          <w:szCs w:val="20"/>
        </w:rPr>
        <w:t>des</w:t>
      </w:r>
      <w:r w:rsidR="00DB1635" w:rsidRPr="00B004EE">
        <w:rPr>
          <w:rFonts w:ascii="Tahoma" w:hAnsi="Tahoma" w:cs="Tahoma"/>
          <w:spacing w:val="-13"/>
          <w:sz w:val="20"/>
          <w:szCs w:val="20"/>
        </w:rPr>
        <w:t xml:space="preserve"> </w:t>
      </w:r>
      <w:r w:rsidRPr="00B004EE">
        <w:rPr>
          <w:rFonts w:ascii="Tahoma" w:hAnsi="Tahoma" w:cs="Tahoma"/>
          <w:sz w:val="20"/>
          <w:szCs w:val="20"/>
        </w:rPr>
        <w:t>droits</w:t>
      </w:r>
      <w:r w:rsidR="00DB1635" w:rsidRPr="00B004EE">
        <w:rPr>
          <w:rFonts w:ascii="Tahoma" w:hAnsi="Tahoma" w:cs="Tahoma"/>
          <w:spacing w:val="-12"/>
          <w:sz w:val="20"/>
          <w:szCs w:val="20"/>
        </w:rPr>
        <w:t xml:space="preserve"> </w:t>
      </w:r>
      <w:r w:rsidRPr="00B004EE">
        <w:rPr>
          <w:rFonts w:ascii="Tahoma" w:hAnsi="Tahoma" w:cs="Tahoma"/>
          <w:sz w:val="20"/>
          <w:szCs w:val="20"/>
        </w:rPr>
        <w:t>d'usage;</w:t>
      </w:r>
    </w:p>
    <w:p w14:paraId="7AE287FA" w14:textId="4B844FF2" w:rsidR="001E7C3C" w:rsidRPr="00B004EE" w:rsidRDefault="001E7C3C" w:rsidP="00420DDA">
      <w:pPr>
        <w:pStyle w:val="Paragraphedeliste"/>
        <w:widowControl w:val="0"/>
        <w:numPr>
          <w:ilvl w:val="0"/>
          <w:numId w:val="42"/>
        </w:numPr>
        <w:tabs>
          <w:tab w:val="left" w:pos="870"/>
        </w:tabs>
        <w:ind w:left="567" w:right="158"/>
        <w:jc w:val="both"/>
        <w:rPr>
          <w:rFonts w:ascii="Tahoma" w:eastAsia="American Typewriter" w:hAnsi="Tahoma" w:cs="Tahoma"/>
          <w:sz w:val="20"/>
          <w:szCs w:val="20"/>
        </w:rPr>
      </w:pPr>
      <w:proofErr w:type="gramStart"/>
      <w:r w:rsidRPr="00B004EE">
        <w:rPr>
          <w:rFonts w:ascii="Tahoma" w:eastAsia="American Typewriter" w:hAnsi="Tahoma" w:cs="Tahoma"/>
          <w:sz w:val="20"/>
          <w:szCs w:val="20"/>
        </w:rPr>
        <w:t>définir</w:t>
      </w:r>
      <w:proofErr w:type="gramEnd"/>
      <w:r w:rsidRPr="00B004EE">
        <w:rPr>
          <w:rFonts w:ascii="Tahoma" w:eastAsia="American Typewriter" w:hAnsi="Tahoma" w:cs="Tahoma"/>
          <w:sz w:val="20"/>
          <w:szCs w:val="20"/>
        </w:rPr>
        <w:t>,</w:t>
      </w:r>
      <w:r w:rsidR="00DB1635" w:rsidRPr="00B004EE">
        <w:rPr>
          <w:rFonts w:ascii="Tahoma" w:eastAsia="American Typewriter" w:hAnsi="Tahoma" w:cs="Tahoma"/>
          <w:spacing w:val="-9"/>
          <w:sz w:val="20"/>
          <w:szCs w:val="20"/>
        </w:rPr>
        <w:t xml:space="preserve"> </w:t>
      </w:r>
      <w:r w:rsidRPr="00B004EE">
        <w:rPr>
          <w:rFonts w:ascii="Tahoma" w:eastAsia="American Typewriter" w:hAnsi="Tahoma" w:cs="Tahoma"/>
          <w:sz w:val="20"/>
          <w:szCs w:val="20"/>
        </w:rPr>
        <w:t>après</w:t>
      </w:r>
      <w:r w:rsidR="00DB1635" w:rsidRPr="00B004EE">
        <w:rPr>
          <w:rFonts w:ascii="Tahoma" w:eastAsia="American Typewriter" w:hAnsi="Tahoma" w:cs="Tahoma"/>
          <w:spacing w:val="-9"/>
          <w:sz w:val="20"/>
          <w:szCs w:val="20"/>
        </w:rPr>
        <w:t xml:space="preserve"> </w:t>
      </w:r>
      <w:r w:rsidRPr="00B004EE">
        <w:rPr>
          <w:rFonts w:ascii="Tahoma" w:eastAsia="American Typewriter" w:hAnsi="Tahoma" w:cs="Tahoma"/>
          <w:sz w:val="20"/>
          <w:szCs w:val="20"/>
        </w:rPr>
        <w:t>avis</w:t>
      </w:r>
      <w:r w:rsidR="00DB1635" w:rsidRPr="00B004EE">
        <w:rPr>
          <w:rFonts w:ascii="Tahoma" w:eastAsia="American Typewriter" w:hAnsi="Tahoma" w:cs="Tahoma"/>
          <w:spacing w:val="-10"/>
          <w:sz w:val="20"/>
          <w:szCs w:val="20"/>
        </w:rPr>
        <w:t xml:space="preserve"> </w:t>
      </w:r>
      <w:r w:rsidRPr="00B004EE">
        <w:rPr>
          <w:rFonts w:ascii="Tahoma" w:eastAsia="American Typewriter" w:hAnsi="Tahoma" w:cs="Tahoma"/>
          <w:sz w:val="20"/>
          <w:szCs w:val="20"/>
        </w:rPr>
        <w:t>du</w:t>
      </w:r>
      <w:r w:rsidR="00DB1635" w:rsidRPr="00B004EE">
        <w:rPr>
          <w:rFonts w:ascii="Tahoma" w:eastAsia="American Typewriter" w:hAnsi="Tahoma" w:cs="Tahoma"/>
          <w:spacing w:val="-9"/>
          <w:sz w:val="20"/>
          <w:szCs w:val="20"/>
        </w:rPr>
        <w:t xml:space="preserve"> </w:t>
      </w:r>
      <w:r w:rsidRPr="00B004EE">
        <w:rPr>
          <w:rFonts w:ascii="Tahoma" w:eastAsia="American Typewriter" w:hAnsi="Tahoma" w:cs="Tahoma"/>
          <w:sz w:val="20"/>
          <w:szCs w:val="20"/>
        </w:rPr>
        <w:t>CCNADP</w:t>
      </w:r>
      <w:r w:rsidR="00DB1635" w:rsidRPr="00B004EE">
        <w:rPr>
          <w:rFonts w:ascii="Tahoma" w:eastAsia="American Typewriter" w:hAnsi="Tahoma" w:cs="Tahoma"/>
          <w:spacing w:val="-9"/>
          <w:sz w:val="20"/>
          <w:szCs w:val="20"/>
        </w:rPr>
        <w:t xml:space="preserve"> </w:t>
      </w:r>
      <w:r w:rsidRPr="00B004EE">
        <w:rPr>
          <w:rFonts w:ascii="Tahoma" w:eastAsia="American Typewriter" w:hAnsi="Tahoma" w:cs="Tahoma"/>
          <w:sz w:val="20"/>
          <w:szCs w:val="20"/>
        </w:rPr>
        <w:t>et</w:t>
      </w:r>
      <w:r w:rsidR="00DB1635" w:rsidRPr="00B004EE">
        <w:rPr>
          <w:rFonts w:ascii="Tahoma" w:eastAsia="American Typewriter" w:hAnsi="Tahoma" w:cs="Tahoma"/>
          <w:spacing w:val="-9"/>
          <w:sz w:val="20"/>
          <w:szCs w:val="20"/>
        </w:rPr>
        <w:t xml:space="preserve"> </w:t>
      </w:r>
      <w:r w:rsidRPr="00B004EE">
        <w:rPr>
          <w:rFonts w:ascii="Tahoma" w:eastAsia="American Typewriter" w:hAnsi="Tahoma" w:cs="Tahoma"/>
          <w:sz w:val="20"/>
          <w:szCs w:val="20"/>
        </w:rPr>
        <w:t>avec</w:t>
      </w:r>
      <w:r w:rsidR="00DB1635" w:rsidRPr="00B004EE">
        <w:rPr>
          <w:rFonts w:ascii="Tahoma" w:eastAsia="American Typewriter" w:hAnsi="Tahoma" w:cs="Tahoma"/>
          <w:spacing w:val="-10"/>
          <w:sz w:val="20"/>
          <w:szCs w:val="20"/>
        </w:rPr>
        <w:t xml:space="preserve"> </w:t>
      </w:r>
      <w:r w:rsidRPr="00B004EE">
        <w:rPr>
          <w:rFonts w:ascii="Tahoma" w:eastAsia="American Typewriter" w:hAnsi="Tahoma" w:cs="Tahoma"/>
          <w:sz w:val="20"/>
          <w:szCs w:val="20"/>
        </w:rPr>
        <w:t>l'approbation</w:t>
      </w:r>
      <w:r w:rsidR="00DB1635" w:rsidRPr="00B004EE">
        <w:rPr>
          <w:rFonts w:ascii="Tahoma" w:eastAsia="American Typewriter" w:hAnsi="Tahoma" w:cs="Tahoma"/>
          <w:spacing w:val="-8"/>
          <w:sz w:val="20"/>
          <w:szCs w:val="20"/>
        </w:rPr>
        <w:t xml:space="preserve"> </w:t>
      </w:r>
      <w:r w:rsidRPr="00B004EE">
        <w:rPr>
          <w:rFonts w:ascii="Tahoma" w:eastAsia="American Typewriter" w:hAnsi="Tahoma" w:cs="Tahoma"/>
          <w:sz w:val="20"/>
          <w:szCs w:val="20"/>
        </w:rPr>
        <w:t>du</w:t>
      </w:r>
      <w:r w:rsidR="00DB1635" w:rsidRPr="00B004EE">
        <w:rPr>
          <w:rFonts w:ascii="Tahoma" w:eastAsia="American Typewriter" w:hAnsi="Tahoma" w:cs="Tahoma"/>
          <w:spacing w:val="-10"/>
          <w:sz w:val="20"/>
          <w:szCs w:val="20"/>
        </w:rPr>
        <w:t xml:space="preserve"> </w:t>
      </w:r>
      <w:r w:rsidRPr="00B004EE">
        <w:rPr>
          <w:rFonts w:ascii="Tahoma" w:eastAsia="American Typewriter" w:hAnsi="Tahoma" w:cs="Tahoma"/>
          <w:sz w:val="20"/>
          <w:szCs w:val="20"/>
        </w:rPr>
        <w:t>ministre</w:t>
      </w:r>
      <w:r w:rsidR="00DB1635" w:rsidRPr="00B004EE">
        <w:rPr>
          <w:rFonts w:ascii="Tahoma" w:eastAsia="American Typewriter" w:hAnsi="Tahoma" w:cs="Tahoma"/>
          <w:spacing w:val="-9"/>
          <w:sz w:val="20"/>
          <w:szCs w:val="20"/>
        </w:rPr>
        <w:t xml:space="preserve"> </w:t>
      </w:r>
      <w:r w:rsidRPr="00B004EE">
        <w:rPr>
          <w:rFonts w:ascii="Tahoma" w:eastAsia="American Typewriter" w:hAnsi="Tahoma" w:cs="Tahoma"/>
          <w:sz w:val="20"/>
          <w:szCs w:val="20"/>
        </w:rPr>
        <w:t>chargé</w:t>
      </w:r>
      <w:r w:rsidR="00DB1635" w:rsidRPr="00B004EE">
        <w:rPr>
          <w:rFonts w:ascii="Tahoma" w:eastAsia="American Typewriter" w:hAnsi="Tahoma" w:cs="Tahoma"/>
          <w:spacing w:val="-9"/>
          <w:sz w:val="20"/>
          <w:szCs w:val="20"/>
        </w:rPr>
        <w:t xml:space="preserve"> </w:t>
      </w:r>
      <w:r w:rsidRPr="00B004EE">
        <w:rPr>
          <w:rFonts w:ascii="Tahoma" w:eastAsia="American Typewriter" w:hAnsi="Tahoma" w:cs="Tahoma"/>
          <w:sz w:val="20"/>
          <w:szCs w:val="20"/>
        </w:rPr>
        <w:t>des</w:t>
      </w:r>
      <w:r w:rsidR="00DB1635" w:rsidRPr="00B004EE">
        <w:rPr>
          <w:rFonts w:ascii="Tahoma" w:eastAsia="American Typewriter" w:hAnsi="Tahoma" w:cs="Tahoma"/>
          <w:w w:val="94"/>
          <w:sz w:val="20"/>
          <w:szCs w:val="20"/>
        </w:rPr>
        <w:t xml:space="preserve"> </w:t>
      </w:r>
      <w:r w:rsidRPr="00B004EE">
        <w:rPr>
          <w:rFonts w:ascii="Tahoma" w:eastAsia="American Typewriter" w:hAnsi="Tahoma" w:cs="Tahoma"/>
          <w:sz w:val="20"/>
          <w:szCs w:val="20"/>
        </w:rPr>
        <w:t>finances,</w:t>
      </w:r>
      <w:r w:rsidR="00DB1635" w:rsidRPr="00B004EE">
        <w:rPr>
          <w:rFonts w:ascii="Tahoma" w:eastAsia="American Typewriter" w:hAnsi="Tahoma" w:cs="Tahoma"/>
          <w:spacing w:val="-12"/>
          <w:sz w:val="20"/>
          <w:szCs w:val="20"/>
        </w:rPr>
        <w:t xml:space="preserve"> </w:t>
      </w:r>
      <w:r w:rsidRPr="00B004EE">
        <w:rPr>
          <w:rFonts w:ascii="Tahoma" w:eastAsia="American Typewriter" w:hAnsi="Tahoma" w:cs="Tahoma"/>
          <w:sz w:val="20"/>
          <w:szCs w:val="20"/>
        </w:rPr>
        <w:t>les</w:t>
      </w:r>
      <w:r w:rsidR="00DB1635" w:rsidRPr="00B004EE">
        <w:rPr>
          <w:rFonts w:ascii="Tahoma" w:eastAsia="American Typewriter" w:hAnsi="Tahoma" w:cs="Tahoma"/>
          <w:spacing w:val="-12"/>
          <w:sz w:val="20"/>
          <w:szCs w:val="20"/>
        </w:rPr>
        <w:t xml:space="preserve"> </w:t>
      </w:r>
      <w:r w:rsidRPr="00B004EE">
        <w:rPr>
          <w:rFonts w:ascii="Tahoma" w:eastAsia="American Typewriter" w:hAnsi="Tahoma" w:cs="Tahoma"/>
          <w:sz w:val="20"/>
          <w:szCs w:val="20"/>
        </w:rPr>
        <w:t>taxes</w:t>
      </w:r>
      <w:r w:rsidR="00DB1635" w:rsidRPr="00B004EE">
        <w:rPr>
          <w:rFonts w:ascii="Tahoma" w:eastAsia="American Typewriter" w:hAnsi="Tahoma" w:cs="Tahoma"/>
          <w:spacing w:val="-13"/>
          <w:sz w:val="20"/>
          <w:szCs w:val="20"/>
        </w:rPr>
        <w:t xml:space="preserve"> </w:t>
      </w:r>
      <w:r w:rsidRPr="00B004EE">
        <w:rPr>
          <w:rFonts w:ascii="Tahoma" w:eastAsia="American Typewriter" w:hAnsi="Tahoma" w:cs="Tahoma"/>
          <w:sz w:val="20"/>
          <w:szCs w:val="20"/>
        </w:rPr>
        <w:t>et</w:t>
      </w:r>
      <w:r w:rsidR="00DB1635" w:rsidRPr="00B004EE">
        <w:rPr>
          <w:rFonts w:ascii="Tahoma" w:eastAsia="American Typewriter" w:hAnsi="Tahoma" w:cs="Tahoma"/>
          <w:spacing w:val="-13"/>
          <w:sz w:val="20"/>
          <w:szCs w:val="20"/>
        </w:rPr>
        <w:t xml:space="preserve"> </w:t>
      </w:r>
      <w:r w:rsidRPr="00B004EE">
        <w:rPr>
          <w:rFonts w:ascii="Tahoma" w:eastAsia="American Typewriter" w:hAnsi="Tahoma" w:cs="Tahoma"/>
          <w:sz w:val="20"/>
          <w:szCs w:val="20"/>
        </w:rPr>
        <w:t>redevances</w:t>
      </w:r>
      <w:r w:rsidR="00DB1635" w:rsidRPr="00B004EE">
        <w:rPr>
          <w:rFonts w:ascii="Tahoma" w:eastAsia="American Typewriter" w:hAnsi="Tahoma" w:cs="Tahoma"/>
          <w:spacing w:val="-12"/>
          <w:sz w:val="20"/>
          <w:szCs w:val="20"/>
        </w:rPr>
        <w:t xml:space="preserve"> </w:t>
      </w:r>
      <w:r w:rsidRPr="00B004EE">
        <w:rPr>
          <w:rFonts w:ascii="Tahoma" w:eastAsia="American Typewriter" w:hAnsi="Tahoma" w:cs="Tahoma"/>
          <w:sz w:val="20"/>
          <w:szCs w:val="20"/>
        </w:rPr>
        <w:t>applicables</w:t>
      </w:r>
      <w:r w:rsidR="00DB1635" w:rsidRPr="00B004EE">
        <w:rPr>
          <w:rFonts w:ascii="Tahoma" w:eastAsia="American Typewriter" w:hAnsi="Tahoma" w:cs="Tahoma"/>
          <w:spacing w:val="-13"/>
          <w:sz w:val="20"/>
          <w:szCs w:val="20"/>
        </w:rPr>
        <w:t xml:space="preserve"> </w:t>
      </w:r>
      <w:r w:rsidRPr="00B004EE">
        <w:rPr>
          <w:rFonts w:ascii="Tahoma" w:eastAsia="American Typewriter" w:hAnsi="Tahoma" w:cs="Tahoma"/>
          <w:sz w:val="20"/>
          <w:szCs w:val="20"/>
        </w:rPr>
        <w:t>à</w:t>
      </w:r>
      <w:r w:rsidR="00DB1635" w:rsidRPr="00B004EE">
        <w:rPr>
          <w:rFonts w:ascii="Tahoma" w:eastAsia="American Typewriter" w:hAnsi="Tahoma" w:cs="Tahoma"/>
          <w:spacing w:val="-11"/>
          <w:sz w:val="20"/>
          <w:szCs w:val="20"/>
        </w:rPr>
        <w:t xml:space="preserve"> </w:t>
      </w:r>
      <w:r w:rsidRPr="00B004EE">
        <w:rPr>
          <w:rFonts w:ascii="Tahoma" w:eastAsia="American Typewriter" w:hAnsi="Tahoma" w:cs="Tahoma"/>
          <w:sz w:val="20"/>
          <w:szCs w:val="20"/>
        </w:rPr>
        <w:t>l’exploitation</w:t>
      </w:r>
      <w:r w:rsidR="00DB1635" w:rsidRPr="00B004EE">
        <w:rPr>
          <w:rFonts w:ascii="Tahoma" w:eastAsia="American Typewriter" w:hAnsi="Tahoma" w:cs="Tahoma"/>
          <w:spacing w:val="-13"/>
          <w:sz w:val="20"/>
          <w:szCs w:val="20"/>
        </w:rPr>
        <w:t xml:space="preserve"> </w:t>
      </w:r>
      <w:r w:rsidRPr="00B004EE">
        <w:rPr>
          <w:rFonts w:ascii="Tahoma" w:eastAsia="American Typewriter" w:hAnsi="Tahoma" w:cs="Tahoma"/>
          <w:sz w:val="20"/>
          <w:szCs w:val="20"/>
        </w:rPr>
        <w:t>des</w:t>
      </w:r>
      <w:r w:rsidR="00DB1635" w:rsidRPr="00B004EE">
        <w:rPr>
          <w:rFonts w:ascii="Tahoma" w:eastAsia="American Typewriter" w:hAnsi="Tahoma" w:cs="Tahoma"/>
          <w:spacing w:val="-14"/>
          <w:sz w:val="20"/>
          <w:szCs w:val="20"/>
        </w:rPr>
        <w:t xml:space="preserve"> </w:t>
      </w:r>
      <w:r w:rsidRPr="00B004EE">
        <w:rPr>
          <w:rFonts w:ascii="Tahoma" w:eastAsia="American Typewriter" w:hAnsi="Tahoma" w:cs="Tahoma"/>
          <w:sz w:val="20"/>
          <w:szCs w:val="20"/>
        </w:rPr>
        <w:t>ressources</w:t>
      </w:r>
      <w:r w:rsidR="00DB1635" w:rsidRPr="00B004EE">
        <w:rPr>
          <w:rFonts w:ascii="Tahoma" w:eastAsia="American Typewriter" w:hAnsi="Tahoma" w:cs="Tahoma"/>
          <w:w w:val="94"/>
          <w:sz w:val="20"/>
          <w:szCs w:val="20"/>
        </w:rPr>
        <w:t xml:space="preserve"> </w:t>
      </w:r>
      <w:r w:rsidRPr="00B004EE">
        <w:rPr>
          <w:rFonts w:ascii="Tahoma" w:eastAsia="American Typewriter" w:hAnsi="Tahoma" w:cs="Tahoma"/>
          <w:sz w:val="20"/>
          <w:szCs w:val="20"/>
        </w:rPr>
        <w:t>halieutiques.</w:t>
      </w:r>
    </w:p>
    <w:p w14:paraId="6D828744" w14:textId="30C7CE5B" w:rsidR="001E7C3C" w:rsidRPr="00B004EE" w:rsidRDefault="001E7C3C" w:rsidP="00B004EE">
      <w:pPr>
        <w:pStyle w:val="Corpsdetexte"/>
        <w:ind w:right="158"/>
        <w:rPr>
          <w:rFonts w:ascii="Tahoma" w:hAnsi="Tahoma" w:cs="Tahoma"/>
          <w:sz w:val="20"/>
          <w:szCs w:val="20"/>
        </w:rPr>
      </w:pPr>
      <w:r w:rsidRPr="00B004EE">
        <w:rPr>
          <w:rFonts w:ascii="Tahoma" w:hAnsi="Tahoma" w:cs="Tahoma"/>
          <w:sz w:val="20"/>
          <w:szCs w:val="20"/>
        </w:rPr>
        <w:t>Les</w:t>
      </w:r>
      <w:r w:rsidR="00DB1635" w:rsidRPr="00B004EE">
        <w:rPr>
          <w:rFonts w:ascii="Tahoma" w:hAnsi="Tahoma" w:cs="Tahoma"/>
          <w:spacing w:val="-26"/>
          <w:sz w:val="20"/>
          <w:szCs w:val="20"/>
        </w:rPr>
        <w:t xml:space="preserve"> </w:t>
      </w:r>
      <w:r w:rsidRPr="00B004EE">
        <w:rPr>
          <w:rFonts w:ascii="Tahoma" w:hAnsi="Tahoma" w:cs="Tahoma"/>
          <w:sz w:val="20"/>
          <w:szCs w:val="20"/>
        </w:rPr>
        <w:t>mesures</w:t>
      </w:r>
      <w:r w:rsidR="00DB1635" w:rsidRPr="00B004EE">
        <w:rPr>
          <w:rFonts w:ascii="Tahoma" w:hAnsi="Tahoma" w:cs="Tahoma"/>
          <w:spacing w:val="-26"/>
          <w:sz w:val="20"/>
          <w:szCs w:val="20"/>
        </w:rPr>
        <w:t xml:space="preserve"> </w:t>
      </w:r>
      <w:r w:rsidRPr="00B004EE">
        <w:rPr>
          <w:rFonts w:ascii="Tahoma" w:hAnsi="Tahoma" w:cs="Tahoma"/>
          <w:sz w:val="20"/>
          <w:szCs w:val="20"/>
        </w:rPr>
        <w:t>à</w:t>
      </w:r>
      <w:r w:rsidR="00DB1635" w:rsidRPr="00B004EE">
        <w:rPr>
          <w:rFonts w:ascii="Tahoma" w:hAnsi="Tahoma" w:cs="Tahoma"/>
          <w:spacing w:val="-26"/>
          <w:sz w:val="20"/>
          <w:szCs w:val="20"/>
        </w:rPr>
        <w:t xml:space="preserve"> </w:t>
      </w:r>
      <w:r w:rsidRPr="00B004EE">
        <w:rPr>
          <w:rFonts w:ascii="Tahoma" w:hAnsi="Tahoma" w:cs="Tahoma"/>
          <w:sz w:val="20"/>
          <w:szCs w:val="20"/>
        </w:rPr>
        <w:t>caractère</w:t>
      </w:r>
      <w:r w:rsidR="00DB1635" w:rsidRPr="00B004EE">
        <w:rPr>
          <w:rFonts w:ascii="Tahoma" w:hAnsi="Tahoma" w:cs="Tahoma"/>
          <w:spacing w:val="-26"/>
          <w:sz w:val="20"/>
          <w:szCs w:val="20"/>
        </w:rPr>
        <w:t xml:space="preserve"> </w:t>
      </w:r>
      <w:r w:rsidRPr="00B004EE">
        <w:rPr>
          <w:rFonts w:ascii="Tahoma" w:hAnsi="Tahoma" w:cs="Tahoma"/>
          <w:sz w:val="20"/>
          <w:szCs w:val="20"/>
        </w:rPr>
        <w:t>réglementaire</w:t>
      </w:r>
      <w:r w:rsidR="00DB1635" w:rsidRPr="00B004EE">
        <w:rPr>
          <w:rFonts w:ascii="Tahoma" w:hAnsi="Tahoma" w:cs="Tahoma"/>
          <w:spacing w:val="-26"/>
          <w:sz w:val="20"/>
          <w:szCs w:val="20"/>
        </w:rPr>
        <w:t xml:space="preserve"> </w:t>
      </w:r>
      <w:r w:rsidRPr="00B004EE">
        <w:rPr>
          <w:rFonts w:ascii="Tahoma" w:hAnsi="Tahoma" w:cs="Tahoma"/>
          <w:sz w:val="20"/>
          <w:szCs w:val="20"/>
        </w:rPr>
        <w:t>des</w:t>
      </w:r>
      <w:r w:rsidR="00DB1635" w:rsidRPr="00B004EE">
        <w:rPr>
          <w:rFonts w:ascii="Tahoma" w:hAnsi="Tahoma" w:cs="Tahoma"/>
          <w:spacing w:val="-25"/>
          <w:sz w:val="20"/>
          <w:szCs w:val="20"/>
        </w:rPr>
        <w:t xml:space="preserve"> </w:t>
      </w:r>
      <w:r w:rsidRPr="00B004EE">
        <w:rPr>
          <w:rFonts w:ascii="Tahoma" w:hAnsi="Tahoma" w:cs="Tahoma"/>
          <w:sz w:val="20"/>
          <w:szCs w:val="20"/>
        </w:rPr>
        <w:t>p</w:t>
      </w:r>
      <w:r w:rsidRPr="00B004EE">
        <w:rPr>
          <w:rFonts w:ascii="Tahoma" w:eastAsia="American Typewriter" w:hAnsi="Tahoma" w:cs="Tahoma"/>
          <w:sz w:val="20"/>
          <w:szCs w:val="20"/>
        </w:rPr>
        <w:t>lans</w:t>
      </w:r>
      <w:r w:rsidR="00DB1635" w:rsidRPr="00B004EE">
        <w:rPr>
          <w:rFonts w:ascii="Tahoma" w:eastAsia="American Typewriter" w:hAnsi="Tahoma" w:cs="Tahoma"/>
          <w:spacing w:val="-27"/>
          <w:sz w:val="20"/>
          <w:szCs w:val="20"/>
        </w:rPr>
        <w:t xml:space="preserve"> </w:t>
      </w:r>
      <w:r w:rsidRPr="00B004EE">
        <w:rPr>
          <w:rFonts w:ascii="Tahoma" w:eastAsia="American Typewriter" w:hAnsi="Tahoma" w:cs="Tahoma"/>
          <w:sz w:val="20"/>
          <w:szCs w:val="20"/>
        </w:rPr>
        <w:t>d’aménagement</w:t>
      </w:r>
      <w:r w:rsidR="00DB1635" w:rsidRPr="00B004EE">
        <w:rPr>
          <w:rFonts w:ascii="Tahoma" w:eastAsia="American Typewriter" w:hAnsi="Tahoma" w:cs="Tahoma"/>
          <w:spacing w:val="-25"/>
          <w:sz w:val="20"/>
          <w:szCs w:val="20"/>
        </w:rPr>
        <w:t xml:space="preserve"> </w:t>
      </w:r>
      <w:r w:rsidRPr="00B004EE">
        <w:rPr>
          <w:rFonts w:ascii="Tahoma" w:hAnsi="Tahoma" w:cs="Tahoma"/>
          <w:sz w:val="20"/>
          <w:szCs w:val="20"/>
        </w:rPr>
        <w:t>ou</w:t>
      </w:r>
      <w:r w:rsidR="00DB1635" w:rsidRPr="00B004EE">
        <w:rPr>
          <w:rFonts w:ascii="Tahoma" w:hAnsi="Tahoma" w:cs="Tahoma"/>
          <w:spacing w:val="-26"/>
          <w:sz w:val="20"/>
          <w:szCs w:val="20"/>
        </w:rPr>
        <w:t xml:space="preserve"> </w:t>
      </w:r>
      <w:r w:rsidRPr="00B004EE">
        <w:rPr>
          <w:rFonts w:ascii="Tahoma" w:hAnsi="Tahoma" w:cs="Tahoma"/>
          <w:sz w:val="20"/>
          <w:szCs w:val="20"/>
        </w:rPr>
        <w:t>de</w:t>
      </w:r>
      <w:r w:rsidR="00DB1635" w:rsidRPr="00B004EE">
        <w:rPr>
          <w:rFonts w:ascii="Tahoma" w:hAnsi="Tahoma" w:cs="Tahoma"/>
          <w:spacing w:val="-27"/>
          <w:sz w:val="20"/>
          <w:szCs w:val="20"/>
        </w:rPr>
        <w:t xml:space="preserve"> </w:t>
      </w:r>
      <w:r w:rsidRPr="00B004EE">
        <w:rPr>
          <w:rFonts w:ascii="Tahoma" w:hAnsi="Tahoma" w:cs="Tahoma"/>
          <w:sz w:val="20"/>
          <w:szCs w:val="20"/>
        </w:rPr>
        <w:t>gestion</w:t>
      </w:r>
      <w:r w:rsidR="00DB1635" w:rsidRPr="00B004EE">
        <w:rPr>
          <w:rFonts w:ascii="Tahoma" w:hAnsi="Tahoma" w:cs="Tahoma"/>
          <w:spacing w:val="-27"/>
          <w:sz w:val="20"/>
          <w:szCs w:val="20"/>
        </w:rPr>
        <w:t xml:space="preserve"> </w:t>
      </w:r>
      <w:r w:rsidRPr="00B004EE">
        <w:rPr>
          <w:rFonts w:ascii="Tahoma" w:hAnsi="Tahoma" w:cs="Tahoma"/>
          <w:sz w:val="20"/>
          <w:szCs w:val="20"/>
        </w:rPr>
        <w:t>des</w:t>
      </w:r>
      <w:r w:rsidR="00DB1635" w:rsidRPr="00B004EE">
        <w:rPr>
          <w:rFonts w:ascii="Tahoma" w:hAnsi="Tahoma" w:cs="Tahoma"/>
          <w:w w:val="94"/>
          <w:sz w:val="20"/>
          <w:szCs w:val="20"/>
        </w:rPr>
        <w:t xml:space="preserve"> </w:t>
      </w:r>
      <w:r w:rsidRPr="00B004EE">
        <w:rPr>
          <w:rFonts w:ascii="Tahoma" w:hAnsi="Tahoma" w:cs="Tahoma"/>
          <w:sz w:val="20"/>
          <w:szCs w:val="20"/>
        </w:rPr>
        <w:t>pêcheries</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adoptées</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décret</w:t>
      </w:r>
      <w:r w:rsidR="00DB1635" w:rsidRPr="00B004EE">
        <w:rPr>
          <w:rFonts w:ascii="Tahoma" w:hAnsi="Tahoma" w:cs="Tahoma"/>
          <w:sz w:val="20"/>
          <w:szCs w:val="20"/>
        </w:rPr>
        <w:t xml:space="preserve"> </w:t>
      </w:r>
      <w:r w:rsidRPr="00B004EE">
        <w:rPr>
          <w:rFonts w:ascii="Tahoma" w:hAnsi="Tahoma" w:cs="Tahoma"/>
          <w:sz w:val="20"/>
          <w:szCs w:val="20"/>
        </w:rPr>
        <w:t>pris</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Conseil</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Ministres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font</w:t>
      </w:r>
      <w:r w:rsidR="00DB1635" w:rsidRPr="00B004EE">
        <w:rPr>
          <w:rFonts w:ascii="Tahoma" w:hAnsi="Tahoma" w:cs="Tahoma"/>
          <w:sz w:val="20"/>
          <w:szCs w:val="20"/>
        </w:rPr>
        <w:t xml:space="preserve"> </w:t>
      </w:r>
      <w:r w:rsidRPr="00B004EE">
        <w:rPr>
          <w:rFonts w:ascii="Tahoma" w:hAnsi="Tahoma" w:cs="Tahoma"/>
          <w:sz w:val="20"/>
          <w:szCs w:val="20"/>
        </w:rPr>
        <w:t>l'objet</w:t>
      </w:r>
      <w:r w:rsidR="00DB1635" w:rsidRPr="00B004EE">
        <w:rPr>
          <w:rFonts w:ascii="Tahoma" w:hAnsi="Tahoma" w:cs="Tahoma"/>
          <w:spacing w:val="-7"/>
          <w:sz w:val="20"/>
          <w:szCs w:val="20"/>
        </w:rPr>
        <w:t xml:space="preserve"> </w:t>
      </w:r>
      <w:r w:rsidRPr="00B004EE">
        <w:rPr>
          <w:rFonts w:ascii="Tahoma" w:hAnsi="Tahoma" w:cs="Tahoma"/>
          <w:sz w:val="20"/>
          <w:szCs w:val="20"/>
        </w:rPr>
        <w:t>de</w:t>
      </w:r>
      <w:r w:rsidR="00DB1635" w:rsidRPr="00B004EE">
        <w:rPr>
          <w:rFonts w:ascii="Tahoma" w:hAnsi="Tahoma" w:cs="Tahoma"/>
          <w:w w:val="94"/>
          <w:sz w:val="20"/>
          <w:szCs w:val="20"/>
        </w:rPr>
        <w:t xml:space="preserve"> </w:t>
      </w:r>
      <w:r w:rsidRPr="00B004EE">
        <w:rPr>
          <w:rFonts w:ascii="Tahoma" w:hAnsi="Tahoma" w:cs="Tahoma"/>
          <w:sz w:val="20"/>
          <w:szCs w:val="20"/>
        </w:rPr>
        <w:t>mesures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publicité.</w:t>
      </w:r>
      <w:r w:rsidR="00DB1635" w:rsidRPr="00B004EE">
        <w:rPr>
          <w:rFonts w:ascii="Tahoma" w:hAnsi="Tahoma" w:cs="Tahoma"/>
          <w:sz w:val="20"/>
          <w:szCs w:val="20"/>
        </w:rPr>
        <w:t xml:space="preserve"> </w:t>
      </w:r>
      <w:r w:rsidRPr="00B004EE">
        <w:rPr>
          <w:rFonts w:ascii="Tahoma" w:hAnsi="Tahoma" w:cs="Tahoma"/>
          <w:sz w:val="20"/>
          <w:szCs w:val="20"/>
        </w:rPr>
        <w:t>Elles</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révisables</w:t>
      </w:r>
      <w:r w:rsidR="00DB1635" w:rsidRPr="00B004EE">
        <w:rPr>
          <w:rFonts w:ascii="Tahoma" w:hAnsi="Tahoma" w:cs="Tahoma"/>
          <w:sz w:val="20"/>
          <w:szCs w:val="20"/>
        </w:rPr>
        <w:t xml:space="preserve"> </w:t>
      </w:r>
      <w:r w:rsidRPr="00B004EE">
        <w:rPr>
          <w:rFonts w:ascii="Tahoma" w:hAnsi="Tahoma" w:cs="Tahoma"/>
          <w:sz w:val="20"/>
          <w:szCs w:val="20"/>
        </w:rPr>
        <w:t>périodiquement</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fonction</w:t>
      </w:r>
      <w:r w:rsidR="00DB1635" w:rsidRPr="00B004EE">
        <w:rPr>
          <w:rFonts w:ascii="Tahoma" w:hAnsi="Tahoma" w:cs="Tahoma"/>
          <w:spacing w:val="52"/>
          <w:sz w:val="20"/>
          <w:szCs w:val="20"/>
        </w:rPr>
        <w:t xml:space="preserve"> </w:t>
      </w:r>
      <w:r w:rsidRPr="00B004EE">
        <w:rPr>
          <w:rFonts w:ascii="Tahoma" w:hAnsi="Tahoma" w:cs="Tahoma"/>
          <w:sz w:val="20"/>
          <w:szCs w:val="20"/>
        </w:rPr>
        <w:t>de</w:t>
      </w:r>
      <w:r w:rsidR="00DB1635" w:rsidRPr="00B004EE">
        <w:rPr>
          <w:rFonts w:ascii="Tahoma" w:hAnsi="Tahoma" w:cs="Tahoma"/>
          <w:w w:val="94"/>
          <w:sz w:val="20"/>
          <w:szCs w:val="20"/>
        </w:rPr>
        <w:t xml:space="preserve"> </w:t>
      </w:r>
      <w:r w:rsidRPr="00B004EE">
        <w:rPr>
          <w:rFonts w:ascii="Tahoma" w:eastAsia="American Typewriter" w:hAnsi="Tahoma" w:cs="Tahoma"/>
          <w:w w:val="95"/>
          <w:sz w:val="20"/>
          <w:szCs w:val="20"/>
        </w:rPr>
        <w:t>l’évolution</w:t>
      </w:r>
      <w:r w:rsidR="00DB1635" w:rsidRPr="00B004EE">
        <w:rPr>
          <w:rFonts w:ascii="Tahoma" w:eastAsia="American Typewriter" w:hAnsi="Tahoma" w:cs="Tahoma"/>
          <w:w w:val="95"/>
          <w:sz w:val="20"/>
          <w:szCs w:val="20"/>
        </w:rPr>
        <w:t xml:space="preserve"> </w:t>
      </w:r>
      <w:r w:rsidRPr="00B004EE">
        <w:rPr>
          <w:rFonts w:ascii="Tahoma" w:eastAsia="American Typewriter" w:hAnsi="Tahoma" w:cs="Tahoma"/>
          <w:w w:val="95"/>
          <w:sz w:val="20"/>
          <w:szCs w:val="20"/>
        </w:rPr>
        <w:t>des</w:t>
      </w:r>
      <w:r w:rsidR="00DB1635" w:rsidRPr="00B004EE">
        <w:rPr>
          <w:rFonts w:ascii="Tahoma" w:eastAsia="American Typewriter" w:hAnsi="Tahoma" w:cs="Tahoma"/>
          <w:w w:val="95"/>
          <w:sz w:val="20"/>
          <w:szCs w:val="20"/>
        </w:rPr>
        <w:t xml:space="preserve"> </w:t>
      </w:r>
      <w:r w:rsidRPr="00B004EE">
        <w:rPr>
          <w:rFonts w:ascii="Tahoma" w:eastAsia="American Typewriter" w:hAnsi="Tahoma" w:cs="Tahoma"/>
          <w:w w:val="95"/>
          <w:sz w:val="20"/>
          <w:szCs w:val="20"/>
        </w:rPr>
        <w:t>données</w:t>
      </w:r>
      <w:r w:rsidR="00DB1635" w:rsidRPr="00B004EE">
        <w:rPr>
          <w:rFonts w:ascii="Tahoma" w:eastAsia="American Typewriter" w:hAnsi="Tahoma" w:cs="Tahoma"/>
          <w:w w:val="95"/>
          <w:sz w:val="20"/>
          <w:szCs w:val="20"/>
        </w:rPr>
        <w:t xml:space="preserve"> </w:t>
      </w:r>
      <w:r w:rsidRPr="00B004EE">
        <w:rPr>
          <w:rFonts w:ascii="Tahoma" w:eastAsia="American Typewriter" w:hAnsi="Tahoma" w:cs="Tahoma"/>
          <w:w w:val="95"/>
          <w:sz w:val="20"/>
          <w:szCs w:val="20"/>
        </w:rPr>
        <w:t>qui</w:t>
      </w:r>
      <w:r w:rsidR="00DB1635" w:rsidRPr="00B004EE">
        <w:rPr>
          <w:rFonts w:ascii="Tahoma" w:eastAsia="American Typewriter" w:hAnsi="Tahoma" w:cs="Tahoma"/>
          <w:w w:val="95"/>
          <w:sz w:val="20"/>
          <w:szCs w:val="20"/>
        </w:rPr>
        <w:t xml:space="preserve"> </w:t>
      </w:r>
      <w:r w:rsidRPr="00B004EE">
        <w:rPr>
          <w:rFonts w:ascii="Tahoma" w:eastAsia="American Typewriter" w:hAnsi="Tahoma" w:cs="Tahoma"/>
          <w:w w:val="95"/>
          <w:sz w:val="20"/>
          <w:szCs w:val="20"/>
        </w:rPr>
        <w:t>caractérisent</w:t>
      </w:r>
      <w:r w:rsidR="00DB1635" w:rsidRPr="00B004EE">
        <w:rPr>
          <w:rFonts w:ascii="Tahoma" w:eastAsia="American Typewriter" w:hAnsi="Tahoma" w:cs="Tahoma"/>
          <w:w w:val="95"/>
          <w:sz w:val="20"/>
          <w:szCs w:val="20"/>
        </w:rPr>
        <w:t xml:space="preserve"> </w:t>
      </w:r>
      <w:r w:rsidRPr="00B004EE">
        <w:rPr>
          <w:rFonts w:ascii="Tahoma" w:eastAsia="American Typewriter" w:hAnsi="Tahoma" w:cs="Tahoma"/>
          <w:w w:val="95"/>
          <w:sz w:val="20"/>
          <w:szCs w:val="20"/>
        </w:rPr>
        <w:t>les</w:t>
      </w:r>
      <w:r w:rsidR="00DB1635" w:rsidRPr="00B004EE">
        <w:rPr>
          <w:rFonts w:ascii="Tahoma" w:eastAsia="American Typewriter" w:hAnsi="Tahoma" w:cs="Tahoma"/>
          <w:spacing w:val="40"/>
          <w:w w:val="95"/>
          <w:sz w:val="20"/>
          <w:szCs w:val="20"/>
        </w:rPr>
        <w:t xml:space="preserve"> </w:t>
      </w:r>
      <w:r w:rsidRPr="00B004EE">
        <w:rPr>
          <w:rFonts w:ascii="Tahoma" w:eastAsia="American Typewriter" w:hAnsi="Tahoma" w:cs="Tahoma"/>
          <w:w w:val="95"/>
          <w:sz w:val="20"/>
          <w:szCs w:val="20"/>
        </w:rPr>
        <w:t>pêcheries.</w:t>
      </w:r>
    </w:p>
    <w:p w14:paraId="438C2640" w14:textId="77777777" w:rsidR="001E7C3C" w:rsidRPr="00B004EE" w:rsidRDefault="001E7C3C" w:rsidP="00B004EE">
      <w:pPr>
        <w:rPr>
          <w:rFonts w:ascii="Tahoma" w:eastAsia="American Typewriter" w:hAnsi="Tahoma" w:cs="Tahoma"/>
          <w:sz w:val="20"/>
          <w:szCs w:val="20"/>
        </w:rPr>
      </w:pPr>
    </w:p>
    <w:p w14:paraId="72A44A7A" w14:textId="3A064179" w:rsidR="001E7C3C" w:rsidRPr="00B004EE" w:rsidRDefault="001E7C3C" w:rsidP="00B004EE">
      <w:pPr>
        <w:pStyle w:val="Corpsdetexte"/>
        <w:ind w:right="159"/>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18</w:t>
      </w:r>
      <w:r w:rsidR="00DB1635" w:rsidRPr="00B004EE">
        <w:rPr>
          <w:rFonts w:ascii="Tahoma" w:hAnsi="Tahoma" w:cs="Tahoma"/>
          <w:bCs/>
          <w:sz w:val="20"/>
          <w:szCs w:val="20"/>
        </w:rPr>
        <w:t xml:space="preserve"> </w:t>
      </w:r>
      <w:r w:rsidRPr="00B004EE">
        <w:rPr>
          <w:rFonts w:ascii="Tahoma" w:hAnsi="Tahoma" w:cs="Tahoma"/>
          <w:bCs/>
          <w:sz w:val="20"/>
          <w:szCs w:val="20"/>
        </w:rPr>
        <w:t>:</w:t>
      </w:r>
      <w:r w:rsidR="00DB1635" w:rsidRPr="00B004EE">
        <w:rPr>
          <w:rFonts w:ascii="Tahoma" w:eastAsia="American Typewriter" w:hAnsi="Tahoma" w:cs="Tahoma"/>
          <w:b/>
          <w:bCs/>
          <w:spacing w:val="-9"/>
          <w:sz w:val="20"/>
          <w:szCs w:val="20"/>
        </w:rPr>
        <w:t xml:space="preserve"> </w:t>
      </w:r>
      <w:r w:rsidRPr="00B004EE">
        <w:rPr>
          <w:rFonts w:ascii="Tahoma" w:hAnsi="Tahoma" w:cs="Tahoma"/>
          <w:sz w:val="20"/>
          <w:szCs w:val="20"/>
        </w:rPr>
        <w:t>L'élaboration</w:t>
      </w:r>
      <w:r w:rsidR="00DB1635" w:rsidRPr="00B004EE">
        <w:rPr>
          <w:rFonts w:ascii="Tahoma" w:hAnsi="Tahoma" w:cs="Tahoma"/>
          <w:spacing w:val="-11"/>
          <w:sz w:val="20"/>
          <w:szCs w:val="20"/>
        </w:rPr>
        <w:t xml:space="preserve"> </w:t>
      </w:r>
      <w:r w:rsidRPr="00B004EE">
        <w:rPr>
          <w:rFonts w:ascii="Tahoma" w:hAnsi="Tahoma" w:cs="Tahoma"/>
          <w:sz w:val="20"/>
          <w:szCs w:val="20"/>
        </w:rPr>
        <w:t>et</w:t>
      </w:r>
      <w:r w:rsidR="00DB1635" w:rsidRPr="00B004EE">
        <w:rPr>
          <w:rFonts w:ascii="Tahoma" w:hAnsi="Tahoma" w:cs="Tahoma"/>
          <w:spacing w:val="-13"/>
          <w:sz w:val="20"/>
          <w:szCs w:val="20"/>
        </w:rPr>
        <w:t xml:space="preserve"> </w:t>
      </w:r>
      <w:r w:rsidRPr="00B004EE">
        <w:rPr>
          <w:rFonts w:ascii="Tahoma" w:hAnsi="Tahoma" w:cs="Tahoma"/>
          <w:sz w:val="20"/>
          <w:szCs w:val="20"/>
        </w:rPr>
        <w:t>la</w:t>
      </w:r>
      <w:r w:rsidR="00DB1635" w:rsidRPr="00B004EE">
        <w:rPr>
          <w:rFonts w:ascii="Tahoma" w:hAnsi="Tahoma" w:cs="Tahoma"/>
          <w:spacing w:val="-12"/>
          <w:sz w:val="20"/>
          <w:szCs w:val="20"/>
        </w:rPr>
        <w:t xml:space="preserve"> </w:t>
      </w:r>
      <w:r w:rsidRPr="00B004EE">
        <w:rPr>
          <w:rFonts w:ascii="Tahoma" w:hAnsi="Tahoma" w:cs="Tahoma"/>
          <w:sz w:val="20"/>
          <w:szCs w:val="20"/>
        </w:rPr>
        <w:t>mise</w:t>
      </w:r>
      <w:r w:rsidR="00DB1635" w:rsidRPr="00B004EE">
        <w:rPr>
          <w:rFonts w:ascii="Tahoma" w:hAnsi="Tahoma" w:cs="Tahoma"/>
          <w:spacing w:val="-13"/>
          <w:sz w:val="20"/>
          <w:szCs w:val="20"/>
        </w:rPr>
        <w:t xml:space="preserve"> </w:t>
      </w:r>
      <w:r w:rsidRPr="00B004EE">
        <w:rPr>
          <w:rFonts w:ascii="Tahoma" w:hAnsi="Tahoma" w:cs="Tahoma"/>
          <w:sz w:val="20"/>
          <w:szCs w:val="20"/>
        </w:rPr>
        <w:t>à</w:t>
      </w:r>
      <w:r w:rsidR="00DB1635" w:rsidRPr="00B004EE">
        <w:rPr>
          <w:rFonts w:ascii="Tahoma" w:hAnsi="Tahoma" w:cs="Tahoma"/>
          <w:spacing w:val="-12"/>
          <w:sz w:val="20"/>
          <w:szCs w:val="20"/>
        </w:rPr>
        <w:t xml:space="preserve"> </w:t>
      </w:r>
      <w:r w:rsidRPr="00B004EE">
        <w:rPr>
          <w:rFonts w:ascii="Tahoma" w:hAnsi="Tahoma" w:cs="Tahoma"/>
          <w:sz w:val="20"/>
          <w:szCs w:val="20"/>
        </w:rPr>
        <w:t>jour</w:t>
      </w:r>
      <w:r w:rsidR="00DB1635" w:rsidRPr="00B004EE">
        <w:rPr>
          <w:rFonts w:ascii="Tahoma" w:hAnsi="Tahoma" w:cs="Tahoma"/>
          <w:spacing w:val="-13"/>
          <w:sz w:val="20"/>
          <w:szCs w:val="20"/>
        </w:rPr>
        <w:t xml:space="preserve"> </w:t>
      </w:r>
      <w:r w:rsidRPr="00B004EE">
        <w:rPr>
          <w:rFonts w:ascii="Tahoma" w:hAnsi="Tahoma" w:cs="Tahoma"/>
          <w:sz w:val="20"/>
          <w:szCs w:val="20"/>
        </w:rPr>
        <w:t>des</w:t>
      </w:r>
      <w:r w:rsidR="00DB1635" w:rsidRPr="00B004EE">
        <w:rPr>
          <w:rFonts w:ascii="Tahoma" w:hAnsi="Tahoma" w:cs="Tahoma"/>
          <w:spacing w:val="-13"/>
          <w:sz w:val="20"/>
          <w:szCs w:val="20"/>
        </w:rPr>
        <w:t xml:space="preserve"> </w:t>
      </w:r>
      <w:r w:rsidRPr="00B004EE">
        <w:rPr>
          <w:rFonts w:ascii="Tahoma" w:hAnsi="Tahoma" w:cs="Tahoma"/>
          <w:sz w:val="20"/>
          <w:szCs w:val="20"/>
        </w:rPr>
        <w:t>plans</w:t>
      </w:r>
      <w:r w:rsidR="00DB1635" w:rsidRPr="00B004EE">
        <w:rPr>
          <w:rFonts w:ascii="Tahoma" w:hAnsi="Tahoma" w:cs="Tahoma"/>
          <w:spacing w:val="-13"/>
          <w:sz w:val="20"/>
          <w:szCs w:val="20"/>
        </w:rPr>
        <w:t xml:space="preserve"> </w:t>
      </w:r>
      <w:r w:rsidRPr="00B004EE">
        <w:rPr>
          <w:rFonts w:ascii="Tahoma" w:hAnsi="Tahoma" w:cs="Tahoma"/>
          <w:sz w:val="20"/>
          <w:szCs w:val="20"/>
        </w:rPr>
        <w:t>d'aménagement</w:t>
      </w:r>
      <w:r w:rsidR="00DB1635" w:rsidRPr="00B004EE">
        <w:rPr>
          <w:rFonts w:ascii="Tahoma" w:hAnsi="Tahoma" w:cs="Tahoma"/>
          <w:spacing w:val="-9"/>
          <w:sz w:val="20"/>
          <w:szCs w:val="20"/>
        </w:rPr>
        <w:t xml:space="preserve"> </w:t>
      </w:r>
      <w:r w:rsidRPr="00B004EE">
        <w:rPr>
          <w:rFonts w:ascii="Tahoma" w:hAnsi="Tahoma" w:cs="Tahoma"/>
          <w:sz w:val="20"/>
          <w:szCs w:val="20"/>
        </w:rPr>
        <w:t>ou</w:t>
      </w:r>
      <w:r w:rsidR="00DB1635" w:rsidRPr="00B004EE">
        <w:rPr>
          <w:rFonts w:ascii="Tahoma" w:hAnsi="Tahoma" w:cs="Tahoma"/>
          <w:spacing w:val="-13"/>
          <w:sz w:val="20"/>
          <w:szCs w:val="20"/>
        </w:rPr>
        <w:t xml:space="preserve"> </w:t>
      </w:r>
      <w:r w:rsidRPr="00B004EE">
        <w:rPr>
          <w:rFonts w:ascii="Tahoma" w:hAnsi="Tahoma" w:cs="Tahoma"/>
          <w:sz w:val="20"/>
          <w:szCs w:val="20"/>
        </w:rPr>
        <w:t>de</w:t>
      </w:r>
      <w:r w:rsidR="00DB1635" w:rsidRPr="00B004EE">
        <w:rPr>
          <w:rFonts w:ascii="Tahoma" w:hAnsi="Tahoma" w:cs="Tahoma"/>
          <w:spacing w:val="-13"/>
          <w:sz w:val="20"/>
          <w:szCs w:val="20"/>
        </w:rPr>
        <w:t xml:space="preserve"> </w:t>
      </w:r>
      <w:r w:rsidRPr="00B004EE">
        <w:rPr>
          <w:rFonts w:ascii="Tahoma" w:hAnsi="Tahoma" w:cs="Tahoma"/>
          <w:sz w:val="20"/>
          <w:szCs w:val="20"/>
        </w:rPr>
        <w:t>gestion</w:t>
      </w:r>
      <w:r w:rsidR="00DB1635" w:rsidRPr="00B004EE">
        <w:rPr>
          <w:rFonts w:ascii="Tahoma" w:hAnsi="Tahoma" w:cs="Tahoma"/>
          <w:w w:val="93"/>
          <w:sz w:val="20"/>
          <w:szCs w:val="20"/>
        </w:rPr>
        <w:t xml:space="preserve"> </w:t>
      </w:r>
      <w:r w:rsidRPr="00B004EE">
        <w:rPr>
          <w:rFonts w:ascii="Tahoma" w:eastAsia="American Typewriter" w:hAnsi="Tahoma" w:cs="Tahoma"/>
          <w:sz w:val="20"/>
          <w:szCs w:val="20"/>
        </w:rPr>
        <w:t>des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pêcheries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font</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l’objet</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concertations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organisées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avec</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les</w:t>
      </w:r>
      <w:r w:rsidR="00DB1635" w:rsidRPr="00B004EE">
        <w:rPr>
          <w:rFonts w:ascii="Tahoma" w:eastAsia="American Typewriter" w:hAnsi="Tahoma" w:cs="Tahoma"/>
          <w:spacing w:val="56"/>
          <w:sz w:val="20"/>
          <w:szCs w:val="20"/>
        </w:rPr>
        <w:t xml:space="preserve"> </w:t>
      </w:r>
      <w:r w:rsidRPr="00B004EE">
        <w:rPr>
          <w:rFonts w:ascii="Tahoma" w:eastAsia="American Typewriter" w:hAnsi="Tahoma" w:cs="Tahoma"/>
          <w:sz w:val="20"/>
          <w:szCs w:val="20"/>
        </w:rPr>
        <w:t>organisations</w:t>
      </w:r>
      <w:r w:rsidR="00DB1635" w:rsidRPr="00B004EE">
        <w:rPr>
          <w:rFonts w:ascii="Tahoma" w:eastAsia="American Typewriter" w:hAnsi="Tahoma" w:cs="Tahoma"/>
          <w:w w:val="93"/>
          <w:sz w:val="20"/>
          <w:szCs w:val="20"/>
        </w:rPr>
        <w:t xml:space="preserve"> </w:t>
      </w:r>
      <w:r w:rsidRPr="00B004EE">
        <w:rPr>
          <w:rFonts w:ascii="Tahoma" w:hAnsi="Tahoma" w:cs="Tahoma"/>
          <w:sz w:val="20"/>
          <w:szCs w:val="20"/>
        </w:rPr>
        <w:t>professionnelles</w:t>
      </w:r>
      <w:r w:rsidR="00DB1635" w:rsidRPr="00B004EE">
        <w:rPr>
          <w:rFonts w:ascii="Tahoma" w:hAnsi="Tahoma" w:cs="Tahoma"/>
          <w:spacing w:val="27"/>
          <w:sz w:val="20"/>
          <w:szCs w:val="20"/>
        </w:rPr>
        <w:t xml:space="preserve"> </w:t>
      </w:r>
      <w:r w:rsidRPr="00B004EE">
        <w:rPr>
          <w:rFonts w:ascii="Tahoma" w:hAnsi="Tahoma" w:cs="Tahoma"/>
          <w:sz w:val="20"/>
          <w:szCs w:val="20"/>
        </w:rPr>
        <w:t>concernées</w:t>
      </w:r>
      <w:r w:rsidR="00DB1635" w:rsidRPr="00B004EE">
        <w:rPr>
          <w:rFonts w:ascii="Tahoma" w:hAnsi="Tahoma" w:cs="Tahoma"/>
          <w:spacing w:val="27"/>
          <w:sz w:val="20"/>
          <w:szCs w:val="20"/>
        </w:rPr>
        <w:t xml:space="preserve"> </w:t>
      </w:r>
      <w:r w:rsidRPr="00B004EE">
        <w:rPr>
          <w:rFonts w:ascii="Tahoma" w:hAnsi="Tahoma" w:cs="Tahoma"/>
          <w:sz w:val="20"/>
          <w:szCs w:val="20"/>
        </w:rPr>
        <w:t>ainsi</w:t>
      </w:r>
      <w:r w:rsidR="00DB1635" w:rsidRPr="00B004EE">
        <w:rPr>
          <w:rFonts w:ascii="Tahoma" w:hAnsi="Tahoma" w:cs="Tahoma"/>
          <w:spacing w:val="27"/>
          <w:sz w:val="20"/>
          <w:szCs w:val="20"/>
        </w:rPr>
        <w:t xml:space="preserve"> </w:t>
      </w:r>
      <w:r w:rsidRPr="00B004EE">
        <w:rPr>
          <w:rFonts w:ascii="Tahoma" w:hAnsi="Tahoma" w:cs="Tahoma"/>
          <w:sz w:val="20"/>
          <w:szCs w:val="20"/>
        </w:rPr>
        <w:t>que</w:t>
      </w:r>
      <w:r w:rsidR="00DB1635" w:rsidRPr="00B004EE">
        <w:rPr>
          <w:rFonts w:ascii="Tahoma" w:hAnsi="Tahoma" w:cs="Tahoma"/>
          <w:spacing w:val="26"/>
          <w:sz w:val="20"/>
          <w:szCs w:val="20"/>
        </w:rPr>
        <w:t xml:space="preserve"> </w:t>
      </w:r>
      <w:r w:rsidRPr="00B004EE">
        <w:rPr>
          <w:rFonts w:ascii="Tahoma" w:hAnsi="Tahoma" w:cs="Tahoma"/>
          <w:sz w:val="20"/>
          <w:szCs w:val="20"/>
        </w:rPr>
        <w:t>toute</w:t>
      </w:r>
      <w:r w:rsidR="00DB1635" w:rsidRPr="00B004EE">
        <w:rPr>
          <w:rFonts w:ascii="Tahoma" w:hAnsi="Tahoma" w:cs="Tahoma"/>
          <w:spacing w:val="27"/>
          <w:sz w:val="20"/>
          <w:szCs w:val="20"/>
        </w:rPr>
        <w:t xml:space="preserve"> </w:t>
      </w:r>
      <w:r w:rsidRPr="00B004EE">
        <w:rPr>
          <w:rFonts w:ascii="Tahoma" w:hAnsi="Tahoma" w:cs="Tahoma"/>
          <w:sz w:val="20"/>
          <w:szCs w:val="20"/>
        </w:rPr>
        <w:t>autre</w:t>
      </w:r>
      <w:r w:rsidR="00DB1635" w:rsidRPr="00B004EE">
        <w:rPr>
          <w:rFonts w:ascii="Tahoma" w:hAnsi="Tahoma" w:cs="Tahoma"/>
          <w:spacing w:val="26"/>
          <w:sz w:val="20"/>
          <w:szCs w:val="20"/>
        </w:rPr>
        <w:t xml:space="preserve"> </w:t>
      </w:r>
      <w:r w:rsidRPr="00B004EE">
        <w:rPr>
          <w:rFonts w:ascii="Tahoma" w:hAnsi="Tahoma" w:cs="Tahoma"/>
          <w:sz w:val="20"/>
          <w:szCs w:val="20"/>
        </w:rPr>
        <w:t>personne</w:t>
      </w:r>
      <w:r w:rsidR="00DB1635" w:rsidRPr="00B004EE">
        <w:rPr>
          <w:rFonts w:ascii="Tahoma" w:hAnsi="Tahoma" w:cs="Tahoma"/>
          <w:spacing w:val="26"/>
          <w:sz w:val="20"/>
          <w:szCs w:val="20"/>
        </w:rPr>
        <w:t xml:space="preserve"> </w:t>
      </w:r>
      <w:r w:rsidRPr="00B004EE">
        <w:rPr>
          <w:rFonts w:ascii="Tahoma" w:hAnsi="Tahoma" w:cs="Tahoma"/>
          <w:sz w:val="20"/>
          <w:szCs w:val="20"/>
        </w:rPr>
        <w:t>dont</w:t>
      </w:r>
      <w:r w:rsidR="00DB1635" w:rsidRPr="00B004EE">
        <w:rPr>
          <w:rFonts w:ascii="Tahoma" w:hAnsi="Tahoma" w:cs="Tahoma"/>
          <w:spacing w:val="26"/>
          <w:sz w:val="20"/>
          <w:szCs w:val="20"/>
        </w:rPr>
        <w:t xml:space="preserve"> </w:t>
      </w:r>
      <w:r w:rsidRPr="00B004EE">
        <w:rPr>
          <w:rFonts w:ascii="Tahoma" w:hAnsi="Tahoma" w:cs="Tahoma"/>
          <w:sz w:val="20"/>
          <w:szCs w:val="20"/>
        </w:rPr>
        <w:t>l'avis</w:t>
      </w:r>
      <w:r w:rsidR="00DB1635" w:rsidRPr="00B004EE">
        <w:rPr>
          <w:rFonts w:ascii="Tahoma" w:hAnsi="Tahoma" w:cs="Tahoma"/>
          <w:spacing w:val="26"/>
          <w:sz w:val="20"/>
          <w:szCs w:val="20"/>
        </w:rPr>
        <w:t xml:space="preserve"> </w:t>
      </w:r>
      <w:r w:rsidRPr="00B004EE">
        <w:rPr>
          <w:rFonts w:ascii="Tahoma" w:hAnsi="Tahoma" w:cs="Tahoma"/>
          <w:sz w:val="20"/>
          <w:szCs w:val="20"/>
        </w:rPr>
        <w:t>est</w:t>
      </w:r>
      <w:r w:rsidR="00DB1635" w:rsidRPr="00B004EE">
        <w:rPr>
          <w:rFonts w:ascii="Tahoma" w:hAnsi="Tahoma" w:cs="Tahoma"/>
          <w:spacing w:val="26"/>
          <w:sz w:val="20"/>
          <w:szCs w:val="20"/>
        </w:rPr>
        <w:t xml:space="preserve"> </w:t>
      </w:r>
      <w:r w:rsidRPr="00B004EE">
        <w:rPr>
          <w:rFonts w:ascii="Tahoma" w:hAnsi="Tahoma" w:cs="Tahoma"/>
          <w:sz w:val="20"/>
          <w:szCs w:val="20"/>
        </w:rPr>
        <w:t>jugé</w:t>
      </w:r>
      <w:r w:rsidR="00DB1635" w:rsidRPr="00B004EE">
        <w:rPr>
          <w:rFonts w:ascii="Tahoma" w:hAnsi="Tahoma" w:cs="Tahoma"/>
          <w:w w:val="97"/>
          <w:sz w:val="20"/>
          <w:szCs w:val="20"/>
        </w:rPr>
        <w:t xml:space="preserve"> </w:t>
      </w:r>
      <w:r w:rsidRPr="00B004EE">
        <w:rPr>
          <w:rFonts w:ascii="Tahoma" w:hAnsi="Tahoma" w:cs="Tahoma"/>
          <w:sz w:val="20"/>
          <w:szCs w:val="20"/>
        </w:rPr>
        <w:t>nécessaire.</w:t>
      </w:r>
    </w:p>
    <w:p w14:paraId="23CA135F" w14:textId="77777777" w:rsidR="001E7C3C" w:rsidRPr="00B004EE" w:rsidRDefault="001E7C3C" w:rsidP="00B004EE">
      <w:pPr>
        <w:rPr>
          <w:rFonts w:ascii="Tahoma" w:eastAsia="American Typewriter" w:hAnsi="Tahoma" w:cs="Tahoma"/>
          <w:sz w:val="20"/>
          <w:szCs w:val="20"/>
        </w:rPr>
      </w:pPr>
    </w:p>
    <w:p w14:paraId="303AC558" w14:textId="5DDC9494" w:rsidR="001E7C3C" w:rsidRPr="00B004EE" w:rsidRDefault="001E7C3C" w:rsidP="00B004EE">
      <w:pPr>
        <w:pStyle w:val="Corpsdetexte"/>
        <w:ind w:right="158"/>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19</w:t>
      </w:r>
      <w:r w:rsidR="00DB1635" w:rsidRPr="00B004EE">
        <w:rPr>
          <w:rFonts w:ascii="Tahoma" w:hAnsi="Tahoma" w:cs="Tahoma"/>
          <w:bCs/>
          <w:sz w:val="20"/>
          <w:szCs w:val="20"/>
        </w:rPr>
        <w:t xml:space="preserve"> </w:t>
      </w:r>
      <w:r w:rsidRPr="00B004EE">
        <w:rPr>
          <w:rFonts w:ascii="Tahoma" w:hAnsi="Tahoma" w:cs="Tahoma"/>
          <w:bCs/>
          <w:sz w:val="20"/>
          <w:szCs w:val="20"/>
        </w:rPr>
        <w:t>:</w:t>
      </w:r>
      <w:r w:rsidR="00DB1635" w:rsidRPr="00B004EE">
        <w:rPr>
          <w:rFonts w:ascii="Tahoma" w:hAnsi="Tahoma" w:cs="Tahoma"/>
          <w:b/>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conformité</w:t>
      </w:r>
      <w:r w:rsidR="00DB1635" w:rsidRPr="00B004EE">
        <w:rPr>
          <w:rFonts w:ascii="Tahoma" w:hAnsi="Tahoma" w:cs="Tahoma"/>
          <w:sz w:val="20"/>
          <w:szCs w:val="20"/>
        </w:rPr>
        <w:t xml:space="preserve"> </w:t>
      </w:r>
      <w:r w:rsidRPr="00B004EE">
        <w:rPr>
          <w:rFonts w:ascii="Tahoma" w:hAnsi="Tahoma" w:cs="Tahoma"/>
          <w:sz w:val="20"/>
          <w:szCs w:val="20"/>
        </w:rPr>
        <w:t>avec</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dispositions</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conventions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pacing w:val="23"/>
          <w:sz w:val="20"/>
          <w:szCs w:val="20"/>
        </w:rPr>
        <w:t xml:space="preserve"> </w:t>
      </w:r>
      <w:r w:rsidRPr="00B004EE">
        <w:rPr>
          <w:rFonts w:ascii="Tahoma" w:hAnsi="Tahoma" w:cs="Tahoma"/>
          <w:sz w:val="20"/>
          <w:szCs w:val="20"/>
        </w:rPr>
        <w:t>accords</w:t>
      </w:r>
      <w:r w:rsidR="00DB1635" w:rsidRPr="00B004EE">
        <w:rPr>
          <w:rFonts w:ascii="Tahoma" w:hAnsi="Tahoma" w:cs="Tahoma"/>
          <w:w w:val="94"/>
          <w:sz w:val="20"/>
          <w:szCs w:val="20"/>
        </w:rPr>
        <w:t xml:space="preserve"> </w:t>
      </w:r>
      <w:r w:rsidRPr="00B004EE">
        <w:rPr>
          <w:rFonts w:ascii="Tahoma" w:hAnsi="Tahoma" w:cs="Tahoma"/>
          <w:sz w:val="20"/>
          <w:szCs w:val="20"/>
        </w:rPr>
        <w:t>internationaux</w:t>
      </w:r>
      <w:r w:rsidR="00DB1635" w:rsidRPr="00B004EE">
        <w:rPr>
          <w:rFonts w:ascii="Tahoma" w:hAnsi="Tahoma" w:cs="Tahoma"/>
          <w:sz w:val="20"/>
          <w:szCs w:val="20"/>
        </w:rPr>
        <w:t xml:space="preserve"> </w:t>
      </w:r>
      <w:r w:rsidRPr="00B004EE">
        <w:rPr>
          <w:rFonts w:ascii="Tahoma" w:hAnsi="Tahoma" w:cs="Tahoma"/>
          <w:sz w:val="20"/>
          <w:szCs w:val="20"/>
        </w:rPr>
        <w:t>applicables,</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ministre</w:t>
      </w:r>
      <w:r w:rsidR="00DB1635" w:rsidRPr="00B004EE">
        <w:rPr>
          <w:rFonts w:ascii="Tahoma" w:hAnsi="Tahoma" w:cs="Tahoma"/>
          <w:sz w:val="20"/>
          <w:szCs w:val="20"/>
        </w:rPr>
        <w:t xml:space="preserve"> </w:t>
      </w:r>
      <w:r w:rsidRPr="00B004EE">
        <w:rPr>
          <w:rFonts w:ascii="Tahoma" w:hAnsi="Tahoma" w:cs="Tahoma"/>
          <w:sz w:val="20"/>
          <w:szCs w:val="20"/>
        </w:rPr>
        <w:t>chargé</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sz w:val="20"/>
          <w:szCs w:val="20"/>
        </w:rPr>
        <w:t xml:space="preserve"> </w:t>
      </w:r>
      <w:r w:rsidRPr="00B004EE">
        <w:rPr>
          <w:rFonts w:ascii="Tahoma" w:hAnsi="Tahoma" w:cs="Tahoma"/>
          <w:sz w:val="20"/>
          <w:szCs w:val="20"/>
        </w:rPr>
        <w:t>se</w:t>
      </w:r>
      <w:r w:rsidR="00DB1635" w:rsidRPr="00B004EE">
        <w:rPr>
          <w:rFonts w:ascii="Tahoma" w:hAnsi="Tahoma" w:cs="Tahoma"/>
          <w:sz w:val="20"/>
          <w:szCs w:val="20"/>
        </w:rPr>
        <w:t xml:space="preserve"> </w:t>
      </w:r>
      <w:r w:rsidRPr="00B004EE">
        <w:rPr>
          <w:rFonts w:ascii="Tahoma" w:hAnsi="Tahoma" w:cs="Tahoma"/>
          <w:sz w:val="20"/>
          <w:szCs w:val="20"/>
        </w:rPr>
        <w:t>concerte,</w:t>
      </w:r>
      <w:r w:rsidR="00DB1635" w:rsidRPr="00B004EE">
        <w:rPr>
          <w:rFonts w:ascii="Tahoma" w:hAnsi="Tahoma" w:cs="Tahoma"/>
          <w:sz w:val="20"/>
          <w:szCs w:val="20"/>
        </w:rPr>
        <w:t xml:space="preserve"> </w:t>
      </w:r>
      <w:r w:rsidRPr="00B004EE">
        <w:rPr>
          <w:rFonts w:ascii="Tahoma" w:hAnsi="Tahoma" w:cs="Tahoma"/>
          <w:sz w:val="20"/>
          <w:szCs w:val="20"/>
        </w:rPr>
        <w:t>lors</w:t>
      </w:r>
      <w:r w:rsidR="00DB1635" w:rsidRPr="00B004EE">
        <w:rPr>
          <w:rFonts w:ascii="Tahoma" w:hAnsi="Tahoma" w:cs="Tahoma"/>
          <w:spacing w:val="3"/>
          <w:sz w:val="20"/>
          <w:szCs w:val="20"/>
        </w:rPr>
        <w:t xml:space="preserve"> </w:t>
      </w:r>
      <w:r w:rsidRPr="00B004EE">
        <w:rPr>
          <w:rFonts w:ascii="Tahoma" w:hAnsi="Tahoma" w:cs="Tahoma"/>
          <w:sz w:val="20"/>
          <w:szCs w:val="20"/>
        </w:rPr>
        <w:t>de</w:t>
      </w:r>
      <w:r w:rsidR="00DB1635" w:rsidRPr="00B004EE">
        <w:rPr>
          <w:rFonts w:ascii="Tahoma" w:hAnsi="Tahoma" w:cs="Tahoma"/>
          <w:w w:val="94"/>
          <w:sz w:val="20"/>
          <w:szCs w:val="20"/>
        </w:rPr>
        <w:t xml:space="preserve"> </w:t>
      </w:r>
      <w:r w:rsidRPr="00B004EE">
        <w:rPr>
          <w:rFonts w:ascii="Tahoma" w:hAnsi="Tahoma" w:cs="Tahoma"/>
          <w:sz w:val="20"/>
          <w:szCs w:val="20"/>
        </w:rPr>
        <w:t>l'établissement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plans</w:t>
      </w:r>
      <w:r w:rsidR="00DB1635" w:rsidRPr="00B004EE">
        <w:rPr>
          <w:rFonts w:ascii="Tahoma" w:hAnsi="Tahoma" w:cs="Tahoma"/>
          <w:sz w:val="20"/>
          <w:szCs w:val="20"/>
        </w:rPr>
        <w:t xml:space="preserve"> </w:t>
      </w:r>
      <w:r w:rsidRPr="00B004EE">
        <w:rPr>
          <w:rFonts w:ascii="Tahoma" w:hAnsi="Tahoma" w:cs="Tahoma"/>
          <w:sz w:val="20"/>
          <w:szCs w:val="20"/>
        </w:rPr>
        <w:t>d'aménagement</w:t>
      </w:r>
      <w:r w:rsidR="00DB1635" w:rsidRPr="00B004EE">
        <w:rPr>
          <w:rFonts w:ascii="Tahoma" w:hAnsi="Tahoma" w:cs="Tahoma"/>
          <w:sz w:val="20"/>
          <w:szCs w:val="20"/>
        </w:rPr>
        <w:t xml:space="preserve"> </w:t>
      </w:r>
      <w:r w:rsidRPr="00B004EE">
        <w:rPr>
          <w:rFonts w:ascii="Tahoma" w:hAnsi="Tahoma" w:cs="Tahoma"/>
          <w:sz w:val="20"/>
          <w:szCs w:val="20"/>
        </w:rPr>
        <w:t>concernant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stocks</w:t>
      </w:r>
      <w:r w:rsidR="00DB1635" w:rsidRPr="00B004EE">
        <w:rPr>
          <w:rFonts w:ascii="Tahoma" w:hAnsi="Tahoma" w:cs="Tahoma"/>
          <w:sz w:val="20"/>
          <w:szCs w:val="20"/>
        </w:rPr>
        <w:t xml:space="preserve"> </w:t>
      </w:r>
      <w:r w:rsidRPr="00B004EE">
        <w:rPr>
          <w:rFonts w:ascii="Tahoma" w:hAnsi="Tahoma" w:cs="Tahoma"/>
          <w:sz w:val="20"/>
          <w:szCs w:val="20"/>
        </w:rPr>
        <w:t>partagés</w:t>
      </w:r>
      <w:r w:rsidR="00DB1635" w:rsidRPr="00B004EE">
        <w:rPr>
          <w:rFonts w:ascii="Tahoma" w:hAnsi="Tahoma" w:cs="Tahoma"/>
          <w:spacing w:val="11"/>
          <w:sz w:val="20"/>
          <w:szCs w:val="20"/>
        </w:rPr>
        <w:t xml:space="preserve"> </w:t>
      </w:r>
      <w:r w:rsidRPr="00B004EE">
        <w:rPr>
          <w:rFonts w:ascii="Tahoma" w:hAnsi="Tahoma" w:cs="Tahoma"/>
          <w:sz w:val="20"/>
          <w:szCs w:val="20"/>
        </w:rPr>
        <w:t>ou</w:t>
      </w:r>
      <w:r w:rsidR="00DB1635" w:rsidRPr="00B004EE">
        <w:rPr>
          <w:rFonts w:ascii="Tahoma" w:hAnsi="Tahoma" w:cs="Tahoma"/>
          <w:w w:val="95"/>
          <w:sz w:val="20"/>
          <w:szCs w:val="20"/>
        </w:rPr>
        <w:t xml:space="preserve"> </w:t>
      </w:r>
      <w:r w:rsidRPr="00B004EE">
        <w:rPr>
          <w:rFonts w:ascii="Tahoma" w:hAnsi="Tahoma" w:cs="Tahoma"/>
          <w:sz w:val="20"/>
          <w:szCs w:val="20"/>
        </w:rPr>
        <w:t>transfrontaliers</w:t>
      </w:r>
      <w:r w:rsidR="00DB1635" w:rsidRPr="00B004EE">
        <w:rPr>
          <w:rFonts w:ascii="Tahoma" w:hAnsi="Tahoma" w:cs="Tahoma"/>
          <w:spacing w:val="31"/>
          <w:sz w:val="20"/>
          <w:szCs w:val="20"/>
        </w:rPr>
        <w:t xml:space="preserve"> </w:t>
      </w:r>
      <w:r w:rsidRPr="00B004EE">
        <w:rPr>
          <w:rFonts w:ascii="Tahoma" w:hAnsi="Tahoma" w:cs="Tahoma"/>
          <w:sz w:val="20"/>
          <w:szCs w:val="20"/>
        </w:rPr>
        <w:t>de</w:t>
      </w:r>
      <w:r w:rsidR="00DB1635" w:rsidRPr="00B004EE">
        <w:rPr>
          <w:rFonts w:ascii="Tahoma" w:hAnsi="Tahoma" w:cs="Tahoma"/>
          <w:spacing w:val="31"/>
          <w:sz w:val="20"/>
          <w:szCs w:val="20"/>
        </w:rPr>
        <w:t xml:space="preserve"> </w:t>
      </w:r>
      <w:r w:rsidRPr="00B004EE">
        <w:rPr>
          <w:rFonts w:ascii="Tahoma" w:hAnsi="Tahoma" w:cs="Tahoma"/>
          <w:sz w:val="20"/>
          <w:szCs w:val="20"/>
        </w:rPr>
        <w:t>la</w:t>
      </w:r>
      <w:r w:rsidR="00DB1635" w:rsidRPr="00B004EE">
        <w:rPr>
          <w:rFonts w:ascii="Tahoma" w:hAnsi="Tahoma" w:cs="Tahoma"/>
          <w:spacing w:val="32"/>
          <w:sz w:val="20"/>
          <w:szCs w:val="20"/>
        </w:rPr>
        <w:t xml:space="preserve"> </w:t>
      </w:r>
      <w:r w:rsidRPr="00B004EE">
        <w:rPr>
          <w:rFonts w:ascii="Tahoma" w:hAnsi="Tahoma" w:cs="Tahoma"/>
          <w:sz w:val="20"/>
          <w:szCs w:val="20"/>
        </w:rPr>
        <w:t>sous-région,</w:t>
      </w:r>
      <w:r w:rsidR="00DB1635" w:rsidRPr="00B004EE">
        <w:rPr>
          <w:rFonts w:ascii="Tahoma" w:hAnsi="Tahoma" w:cs="Tahoma"/>
          <w:spacing w:val="31"/>
          <w:sz w:val="20"/>
          <w:szCs w:val="20"/>
        </w:rPr>
        <w:t xml:space="preserve"> </w:t>
      </w:r>
      <w:r w:rsidRPr="00B004EE">
        <w:rPr>
          <w:rFonts w:ascii="Tahoma" w:hAnsi="Tahoma" w:cs="Tahoma"/>
          <w:sz w:val="20"/>
          <w:szCs w:val="20"/>
        </w:rPr>
        <w:t>avec</w:t>
      </w:r>
      <w:r w:rsidR="00DB1635" w:rsidRPr="00B004EE">
        <w:rPr>
          <w:rFonts w:ascii="Tahoma" w:hAnsi="Tahoma" w:cs="Tahoma"/>
          <w:spacing w:val="30"/>
          <w:sz w:val="20"/>
          <w:szCs w:val="20"/>
        </w:rPr>
        <w:t xml:space="preserve"> </w:t>
      </w:r>
      <w:r w:rsidRPr="00B004EE">
        <w:rPr>
          <w:rFonts w:ascii="Tahoma" w:hAnsi="Tahoma" w:cs="Tahoma"/>
          <w:sz w:val="20"/>
          <w:szCs w:val="20"/>
        </w:rPr>
        <w:t>les</w:t>
      </w:r>
      <w:r w:rsidR="00DB1635" w:rsidRPr="00B004EE">
        <w:rPr>
          <w:rFonts w:ascii="Tahoma" w:hAnsi="Tahoma" w:cs="Tahoma"/>
          <w:spacing w:val="32"/>
          <w:sz w:val="20"/>
          <w:szCs w:val="20"/>
        </w:rPr>
        <w:t xml:space="preserve"> </w:t>
      </w:r>
      <w:r w:rsidRPr="00B004EE">
        <w:rPr>
          <w:rFonts w:ascii="Tahoma" w:hAnsi="Tahoma" w:cs="Tahoma"/>
          <w:sz w:val="20"/>
          <w:szCs w:val="20"/>
        </w:rPr>
        <w:t>autorités</w:t>
      </w:r>
      <w:r w:rsidR="00DB1635" w:rsidRPr="00B004EE">
        <w:rPr>
          <w:rFonts w:ascii="Tahoma" w:hAnsi="Tahoma" w:cs="Tahoma"/>
          <w:spacing w:val="30"/>
          <w:sz w:val="20"/>
          <w:szCs w:val="20"/>
        </w:rPr>
        <w:t xml:space="preserve"> </w:t>
      </w:r>
      <w:r w:rsidRPr="00B004EE">
        <w:rPr>
          <w:rFonts w:ascii="Tahoma" w:hAnsi="Tahoma" w:cs="Tahoma"/>
          <w:sz w:val="20"/>
          <w:szCs w:val="20"/>
        </w:rPr>
        <w:t>nationales</w:t>
      </w:r>
      <w:r w:rsidR="00DB1635" w:rsidRPr="00B004EE">
        <w:rPr>
          <w:rFonts w:ascii="Tahoma" w:hAnsi="Tahoma" w:cs="Tahoma"/>
          <w:spacing w:val="30"/>
          <w:sz w:val="20"/>
          <w:szCs w:val="20"/>
        </w:rPr>
        <w:t xml:space="preserve"> </w:t>
      </w:r>
      <w:r w:rsidRPr="00B004EE">
        <w:rPr>
          <w:rFonts w:ascii="Tahoma" w:hAnsi="Tahoma" w:cs="Tahoma"/>
          <w:sz w:val="20"/>
          <w:szCs w:val="20"/>
        </w:rPr>
        <w:t>chargées</w:t>
      </w:r>
      <w:r w:rsidR="00DB1635" w:rsidRPr="00B004EE">
        <w:rPr>
          <w:rFonts w:ascii="Tahoma" w:hAnsi="Tahoma" w:cs="Tahoma"/>
          <w:spacing w:val="29"/>
          <w:sz w:val="20"/>
          <w:szCs w:val="20"/>
        </w:rPr>
        <w:t xml:space="preserve"> </w:t>
      </w:r>
      <w:r w:rsidRPr="00B004EE">
        <w:rPr>
          <w:rFonts w:ascii="Tahoma" w:hAnsi="Tahoma" w:cs="Tahoma"/>
          <w:sz w:val="20"/>
          <w:szCs w:val="20"/>
        </w:rPr>
        <w:t>de</w:t>
      </w:r>
      <w:r w:rsidR="00DB1635" w:rsidRPr="00B004EE">
        <w:rPr>
          <w:rFonts w:ascii="Tahoma" w:hAnsi="Tahoma" w:cs="Tahoma"/>
          <w:spacing w:val="29"/>
          <w:sz w:val="20"/>
          <w:szCs w:val="20"/>
        </w:rPr>
        <w:t xml:space="preserve"> </w:t>
      </w:r>
      <w:r w:rsidRPr="00B004EE">
        <w:rPr>
          <w:rFonts w:ascii="Tahoma" w:hAnsi="Tahoma" w:cs="Tahoma"/>
          <w:sz w:val="20"/>
          <w:szCs w:val="20"/>
        </w:rPr>
        <w:t>la</w:t>
      </w:r>
      <w:r w:rsidR="00DB1635" w:rsidRPr="00B004EE">
        <w:rPr>
          <w:rFonts w:ascii="Tahoma" w:hAnsi="Tahoma" w:cs="Tahoma"/>
          <w:w w:val="98"/>
          <w:sz w:val="20"/>
          <w:szCs w:val="20"/>
        </w:rPr>
        <w:t xml:space="preserve"> </w:t>
      </w:r>
      <w:r w:rsidRPr="00B004EE">
        <w:rPr>
          <w:rFonts w:ascii="Tahoma" w:hAnsi="Tahoma" w:cs="Tahoma"/>
          <w:sz w:val="20"/>
          <w:szCs w:val="20"/>
        </w:rPr>
        <w:t>pêche</w:t>
      </w:r>
      <w:r w:rsidR="00DB1635" w:rsidRPr="00B004EE">
        <w:rPr>
          <w:rFonts w:ascii="Tahoma" w:hAnsi="Tahoma" w:cs="Tahoma"/>
          <w:spacing w:val="46"/>
          <w:sz w:val="20"/>
          <w:szCs w:val="20"/>
        </w:rPr>
        <w:t xml:space="preserve"> </w:t>
      </w:r>
      <w:r w:rsidRPr="00B004EE">
        <w:rPr>
          <w:rFonts w:ascii="Tahoma" w:hAnsi="Tahoma" w:cs="Tahoma"/>
          <w:sz w:val="20"/>
          <w:szCs w:val="20"/>
        </w:rPr>
        <w:t>dans</w:t>
      </w:r>
      <w:r w:rsidR="00DB1635" w:rsidRPr="00B004EE">
        <w:rPr>
          <w:rFonts w:ascii="Tahoma" w:hAnsi="Tahoma" w:cs="Tahoma"/>
          <w:spacing w:val="46"/>
          <w:sz w:val="20"/>
          <w:szCs w:val="20"/>
        </w:rPr>
        <w:t xml:space="preserve"> </w:t>
      </w:r>
      <w:r w:rsidRPr="00B004EE">
        <w:rPr>
          <w:rFonts w:ascii="Tahoma" w:hAnsi="Tahoma" w:cs="Tahoma"/>
          <w:sz w:val="20"/>
          <w:szCs w:val="20"/>
        </w:rPr>
        <w:t>les</w:t>
      </w:r>
      <w:r w:rsidR="00DB1635" w:rsidRPr="00B004EE">
        <w:rPr>
          <w:rFonts w:ascii="Tahoma" w:hAnsi="Tahoma" w:cs="Tahoma"/>
          <w:spacing w:val="46"/>
          <w:sz w:val="20"/>
          <w:szCs w:val="20"/>
        </w:rPr>
        <w:t xml:space="preserve"> </w:t>
      </w:r>
      <w:r w:rsidRPr="00B004EE">
        <w:rPr>
          <w:rFonts w:ascii="Tahoma" w:hAnsi="Tahoma" w:cs="Tahoma"/>
          <w:sz w:val="20"/>
          <w:szCs w:val="20"/>
        </w:rPr>
        <w:t>États</w:t>
      </w:r>
      <w:r w:rsidR="00DB1635" w:rsidRPr="00B004EE">
        <w:rPr>
          <w:rFonts w:ascii="Tahoma" w:hAnsi="Tahoma" w:cs="Tahoma"/>
          <w:spacing w:val="46"/>
          <w:sz w:val="20"/>
          <w:szCs w:val="20"/>
        </w:rPr>
        <w:t xml:space="preserve"> </w:t>
      </w:r>
      <w:r w:rsidRPr="00B004EE">
        <w:rPr>
          <w:rFonts w:ascii="Tahoma" w:hAnsi="Tahoma" w:cs="Tahoma"/>
          <w:sz w:val="20"/>
          <w:szCs w:val="20"/>
        </w:rPr>
        <w:t>concernés</w:t>
      </w:r>
      <w:r w:rsidR="00DB1635" w:rsidRPr="00B004EE">
        <w:rPr>
          <w:rFonts w:ascii="Tahoma" w:hAnsi="Tahoma" w:cs="Tahoma"/>
          <w:spacing w:val="47"/>
          <w:sz w:val="20"/>
          <w:szCs w:val="20"/>
        </w:rPr>
        <w:t xml:space="preserve"> </w:t>
      </w:r>
      <w:r w:rsidRPr="00B004EE">
        <w:rPr>
          <w:rFonts w:ascii="Tahoma" w:hAnsi="Tahoma" w:cs="Tahoma"/>
          <w:sz w:val="20"/>
          <w:szCs w:val="20"/>
        </w:rPr>
        <w:t>et</w:t>
      </w:r>
      <w:r w:rsidR="00DB1635" w:rsidRPr="00B004EE">
        <w:rPr>
          <w:rFonts w:ascii="Tahoma" w:hAnsi="Tahoma" w:cs="Tahoma"/>
          <w:spacing w:val="46"/>
          <w:sz w:val="20"/>
          <w:szCs w:val="20"/>
        </w:rPr>
        <w:t xml:space="preserve"> </w:t>
      </w:r>
      <w:r w:rsidRPr="00B004EE">
        <w:rPr>
          <w:rFonts w:ascii="Tahoma" w:hAnsi="Tahoma" w:cs="Tahoma"/>
          <w:sz w:val="20"/>
          <w:szCs w:val="20"/>
        </w:rPr>
        <w:t>avec</w:t>
      </w:r>
      <w:r w:rsidR="00DB1635" w:rsidRPr="00B004EE">
        <w:rPr>
          <w:rFonts w:ascii="Tahoma" w:hAnsi="Tahoma" w:cs="Tahoma"/>
          <w:spacing w:val="45"/>
          <w:sz w:val="20"/>
          <w:szCs w:val="20"/>
        </w:rPr>
        <w:t xml:space="preserve"> </w:t>
      </w:r>
      <w:r w:rsidRPr="00B004EE">
        <w:rPr>
          <w:rFonts w:ascii="Tahoma" w:hAnsi="Tahoma" w:cs="Tahoma"/>
          <w:sz w:val="20"/>
          <w:szCs w:val="20"/>
        </w:rPr>
        <w:t>les</w:t>
      </w:r>
      <w:r w:rsidR="00DB1635" w:rsidRPr="00B004EE">
        <w:rPr>
          <w:rFonts w:ascii="Tahoma" w:hAnsi="Tahoma" w:cs="Tahoma"/>
          <w:spacing w:val="46"/>
          <w:sz w:val="20"/>
          <w:szCs w:val="20"/>
        </w:rPr>
        <w:t xml:space="preserve"> </w:t>
      </w:r>
      <w:r w:rsidRPr="00B004EE">
        <w:rPr>
          <w:rFonts w:ascii="Tahoma" w:hAnsi="Tahoma" w:cs="Tahoma"/>
          <w:sz w:val="20"/>
          <w:szCs w:val="20"/>
        </w:rPr>
        <w:t>organisations</w:t>
      </w:r>
      <w:r w:rsidR="00DB1635" w:rsidRPr="00B004EE">
        <w:rPr>
          <w:rFonts w:ascii="Tahoma" w:hAnsi="Tahoma" w:cs="Tahoma"/>
          <w:spacing w:val="45"/>
          <w:sz w:val="20"/>
          <w:szCs w:val="20"/>
        </w:rPr>
        <w:t xml:space="preserve"> </w:t>
      </w:r>
      <w:r w:rsidRPr="00B004EE">
        <w:rPr>
          <w:rFonts w:ascii="Tahoma" w:hAnsi="Tahoma" w:cs="Tahoma"/>
          <w:sz w:val="20"/>
          <w:szCs w:val="20"/>
        </w:rPr>
        <w:t>sous</w:t>
      </w:r>
      <w:r w:rsidR="00DB1635" w:rsidRPr="00B004EE">
        <w:rPr>
          <w:rFonts w:ascii="Tahoma" w:hAnsi="Tahoma" w:cs="Tahoma"/>
          <w:spacing w:val="48"/>
          <w:sz w:val="20"/>
          <w:szCs w:val="20"/>
        </w:rPr>
        <w:t xml:space="preserve"> </w:t>
      </w:r>
      <w:r w:rsidRPr="00B004EE">
        <w:rPr>
          <w:rFonts w:ascii="Tahoma" w:hAnsi="Tahoma" w:cs="Tahoma"/>
          <w:sz w:val="20"/>
          <w:szCs w:val="20"/>
        </w:rPr>
        <w:t>régionales</w:t>
      </w:r>
      <w:r w:rsidR="00DB1635" w:rsidRPr="00B004EE">
        <w:rPr>
          <w:rFonts w:ascii="Tahoma" w:hAnsi="Tahoma" w:cs="Tahoma"/>
          <w:spacing w:val="46"/>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spacing w:val="20"/>
          <w:sz w:val="20"/>
          <w:szCs w:val="20"/>
        </w:rPr>
        <w:t xml:space="preserve"> </w:t>
      </w:r>
      <w:r w:rsidRPr="00B004EE">
        <w:rPr>
          <w:rFonts w:ascii="Tahoma" w:hAnsi="Tahoma" w:cs="Tahoma"/>
          <w:sz w:val="20"/>
          <w:szCs w:val="20"/>
        </w:rPr>
        <w:t>en</w:t>
      </w:r>
      <w:r w:rsidR="00DB1635" w:rsidRPr="00B004EE">
        <w:rPr>
          <w:rFonts w:ascii="Tahoma" w:hAnsi="Tahoma" w:cs="Tahoma"/>
          <w:spacing w:val="20"/>
          <w:sz w:val="20"/>
          <w:szCs w:val="20"/>
        </w:rPr>
        <w:t xml:space="preserve"> </w:t>
      </w:r>
      <w:r w:rsidRPr="00B004EE">
        <w:rPr>
          <w:rFonts w:ascii="Tahoma" w:hAnsi="Tahoma" w:cs="Tahoma"/>
          <w:sz w:val="20"/>
          <w:szCs w:val="20"/>
        </w:rPr>
        <w:t>vue</w:t>
      </w:r>
      <w:r w:rsidR="00DB1635" w:rsidRPr="00B004EE">
        <w:rPr>
          <w:rFonts w:ascii="Tahoma" w:hAnsi="Tahoma" w:cs="Tahoma"/>
          <w:spacing w:val="20"/>
          <w:sz w:val="20"/>
          <w:szCs w:val="20"/>
        </w:rPr>
        <w:t xml:space="preserve"> </w:t>
      </w:r>
      <w:r w:rsidRPr="00B004EE">
        <w:rPr>
          <w:rFonts w:ascii="Tahoma" w:hAnsi="Tahoma" w:cs="Tahoma"/>
          <w:sz w:val="20"/>
          <w:szCs w:val="20"/>
        </w:rPr>
        <w:t>d'une</w:t>
      </w:r>
      <w:r w:rsidR="00DB1635" w:rsidRPr="00B004EE">
        <w:rPr>
          <w:rFonts w:ascii="Tahoma" w:hAnsi="Tahoma" w:cs="Tahoma"/>
          <w:spacing w:val="19"/>
          <w:sz w:val="20"/>
          <w:szCs w:val="20"/>
        </w:rPr>
        <w:t xml:space="preserve"> </w:t>
      </w:r>
      <w:r w:rsidRPr="00B004EE">
        <w:rPr>
          <w:rFonts w:ascii="Tahoma" w:hAnsi="Tahoma" w:cs="Tahoma"/>
          <w:sz w:val="20"/>
          <w:szCs w:val="20"/>
        </w:rPr>
        <w:t>harmonisation</w:t>
      </w:r>
      <w:r w:rsidR="00DB1635" w:rsidRPr="00B004EE">
        <w:rPr>
          <w:rFonts w:ascii="Tahoma" w:hAnsi="Tahoma" w:cs="Tahoma"/>
          <w:spacing w:val="20"/>
          <w:sz w:val="20"/>
          <w:szCs w:val="20"/>
        </w:rPr>
        <w:t xml:space="preserve"> </w:t>
      </w:r>
      <w:r w:rsidRPr="00B004EE">
        <w:rPr>
          <w:rFonts w:ascii="Tahoma" w:hAnsi="Tahoma" w:cs="Tahoma"/>
          <w:sz w:val="20"/>
          <w:szCs w:val="20"/>
        </w:rPr>
        <w:t>des</w:t>
      </w:r>
      <w:r w:rsidR="00DB1635" w:rsidRPr="00B004EE">
        <w:rPr>
          <w:rFonts w:ascii="Tahoma" w:hAnsi="Tahoma" w:cs="Tahoma"/>
          <w:spacing w:val="19"/>
          <w:sz w:val="20"/>
          <w:szCs w:val="20"/>
        </w:rPr>
        <w:t xml:space="preserve"> </w:t>
      </w:r>
      <w:r w:rsidRPr="00B004EE">
        <w:rPr>
          <w:rFonts w:ascii="Tahoma" w:hAnsi="Tahoma" w:cs="Tahoma"/>
          <w:sz w:val="20"/>
          <w:szCs w:val="20"/>
        </w:rPr>
        <w:t>plans</w:t>
      </w:r>
      <w:r w:rsidR="00DB1635" w:rsidRPr="00B004EE">
        <w:rPr>
          <w:rFonts w:ascii="Tahoma" w:hAnsi="Tahoma" w:cs="Tahoma"/>
          <w:spacing w:val="19"/>
          <w:sz w:val="20"/>
          <w:szCs w:val="20"/>
        </w:rPr>
        <w:t xml:space="preserve"> </w:t>
      </w:r>
      <w:r w:rsidRPr="00B004EE">
        <w:rPr>
          <w:rFonts w:ascii="Tahoma" w:hAnsi="Tahoma" w:cs="Tahoma"/>
          <w:sz w:val="20"/>
          <w:szCs w:val="20"/>
        </w:rPr>
        <w:t>nationaux</w:t>
      </w:r>
      <w:r w:rsidR="00DB1635" w:rsidRPr="00B004EE">
        <w:rPr>
          <w:rFonts w:ascii="Tahoma" w:hAnsi="Tahoma" w:cs="Tahoma"/>
          <w:spacing w:val="20"/>
          <w:sz w:val="20"/>
          <w:szCs w:val="20"/>
        </w:rPr>
        <w:t xml:space="preserve"> </w:t>
      </w:r>
      <w:r w:rsidRPr="00B004EE">
        <w:rPr>
          <w:rFonts w:ascii="Tahoma" w:hAnsi="Tahoma" w:cs="Tahoma"/>
          <w:sz w:val="20"/>
          <w:szCs w:val="20"/>
        </w:rPr>
        <w:t>d'aménagement</w:t>
      </w:r>
      <w:r w:rsidR="00DB1635" w:rsidRPr="00B004EE">
        <w:rPr>
          <w:rFonts w:ascii="Tahoma" w:hAnsi="Tahoma" w:cs="Tahoma"/>
          <w:spacing w:val="23"/>
          <w:sz w:val="20"/>
          <w:szCs w:val="20"/>
        </w:rPr>
        <w:t xml:space="preserve"> </w:t>
      </w:r>
      <w:r w:rsidRPr="00B004EE">
        <w:rPr>
          <w:rFonts w:ascii="Tahoma" w:hAnsi="Tahoma" w:cs="Tahoma"/>
          <w:sz w:val="20"/>
          <w:szCs w:val="20"/>
        </w:rPr>
        <w:t>ou</w:t>
      </w:r>
      <w:r w:rsidR="00DB1635" w:rsidRPr="00B004EE">
        <w:rPr>
          <w:rFonts w:ascii="Tahoma" w:hAnsi="Tahoma" w:cs="Tahoma"/>
          <w:spacing w:val="19"/>
          <w:sz w:val="20"/>
          <w:szCs w:val="20"/>
        </w:rPr>
        <w:t xml:space="preserve"> </w:t>
      </w:r>
      <w:r w:rsidRPr="00B004EE">
        <w:rPr>
          <w:rFonts w:ascii="Tahoma" w:hAnsi="Tahoma" w:cs="Tahoma"/>
          <w:sz w:val="20"/>
          <w:szCs w:val="20"/>
        </w:rPr>
        <w:t>de</w:t>
      </w:r>
      <w:r w:rsidR="00DB1635" w:rsidRPr="00B004EE">
        <w:rPr>
          <w:rFonts w:ascii="Tahoma" w:hAnsi="Tahoma" w:cs="Tahoma"/>
          <w:w w:val="94"/>
          <w:sz w:val="20"/>
          <w:szCs w:val="20"/>
        </w:rPr>
        <w:t xml:space="preserve"> </w:t>
      </w:r>
      <w:r w:rsidRPr="00B004EE">
        <w:rPr>
          <w:rFonts w:ascii="Tahoma" w:hAnsi="Tahoma" w:cs="Tahoma"/>
          <w:w w:val="95"/>
          <w:sz w:val="20"/>
          <w:szCs w:val="20"/>
        </w:rPr>
        <w:t>gestion</w:t>
      </w:r>
      <w:r w:rsidR="00DB1635" w:rsidRPr="00B004EE">
        <w:rPr>
          <w:rFonts w:ascii="Tahoma" w:hAnsi="Tahoma" w:cs="Tahoma"/>
          <w:w w:val="95"/>
          <w:sz w:val="20"/>
          <w:szCs w:val="20"/>
        </w:rPr>
        <w:t xml:space="preserve"> </w:t>
      </w:r>
      <w:r w:rsidRPr="00B004EE">
        <w:rPr>
          <w:rFonts w:ascii="Tahoma" w:hAnsi="Tahoma" w:cs="Tahoma"/>
          <w:w w:val="95"/>
          <w:sz w:val="20"/>
          <w:szCs w:val="20"/>
        </w:rPr>
        <w:t>des</w:t>
      </w:r>
      <w:r w:rsidR="00DB1635" w:rsidRPr="00B004EE">
        <w:rPr>
          <w:rFonts w:ascii="Tahoma" w:hAnsi="Tahoma" w:cs="Tahoma"/>
          <w:spacing w:val="12"/>
          <w:w w:val="95"/>
          <w:sz w:val="20"/>
          <w:szCs w:val="20"/>
        </w:rPr>
        <w:t xml:space="preserve"> </w:t>
      </w:r>
      <w:r w:rsidRPr="00B004EE">
        <w:rPr>
          <w:rFonts w:ascii="Tahoma" w:hAnsi="Tahoma" w:cs="Tahoma"/>
          <w:w w:val="95"/>
          <w:sz w:val="20"/>
          <w:szCs w:val="20"/>
        </w:rPr>
        <w:t>pêcheries.</w:t>
      </w:r>
    </w:p>
    <w:p w14:paraId="59B19B8E" w14:textId="77777777" w:rsidR="001E7C3C" w:rsidRPr="00B004EE" w:rsidRDefault="001E7C3C" w:rsidP="00B004EE">
      <w:pPr>
        <w:rPr>
          <w:rFonts w:ascii="Tahoma" w:eastAsia="American Typewriter" w:hAnsi="Tahoma" w:cs="Tahoma"/>
          <w:sz w:val="20"/>
          <w:szCs w:val="20"/>
        </w:rPr>
      </w:pPr>
    </w:p>
    <w:p w14:paraId="0DA98795" w14:textId="6DD5584E" w:rsidR="001E7C3C" w:rsidRPr="00B004EE" w:rsidRDefault="001E7C3C" w:rsidP="00B004EE">
      <w:pPr>
        <w:ind w:right="164" w:hanging="4"/>
        <w:jc w:val="center"/>
        <w:rPr>
          <w:rFonts w:ascii="Tahoma" w:hAnsi="Tahoma" w:cs="Tahoma"/>
          <w:b/>
          <w:spacing w:val="1"/>
          <w:w w:val="113"/>
          <w:sz w:val="20"/>
          <w:szCs w:val="20"/>
        </w:rPr>
      </w:pPr>
      <w:bookmarkStart w:id="49" w:name="_Toc16279057"/>
      <w:bookmarkStart w:id="50" w:name="_Toc16279426"/>
      <w:r w:rsidRPr="00B004EE">
        <w:rPr>
          <w:rFonts w:ascii="Tahoma" w:hAnsi="Tahoma" w:cs="Tahoma"/>
          <w:b/>
          <w:spacing w:val="1"/>
          <w:w w:val="113"/>
          <w:sz w:val="20"/>
          <w:szCs w:val="20"/>
        </w:rPr>
        <w:t>Section</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2</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Du</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Conseil</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Consultatif</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National</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pour</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l’Aménagement</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et</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le</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Développement</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des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Pêcheries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et</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des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institutions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rattachées</w:t>
      </w:r>
      <w:bookmarkEnd w:id="49"/>
      <w:bookmarkEnd w:id="50"/>
    </w:p>
    <w:p w14:paraId="2CA993EF" w14:textId="77777777" w:rsidR="00BB060F" w:rsidRPr="00B004EE" w:rsidRDefault="00BB060F" w:rsidP="00B004EE">
      <w:pPr>
        <w:ind w:right="164" w:hanging="4"/>
        <w:jc w:val="center"/>
        <w:rPr>
          <w:rFonts w:ascii="Tahoma" w:hAnsi="Tahoma" w:cs="Tahoma"/>
          <w:b/>
          <w:spacing w:val="1"/>
          <w:w w:val="113"/>
          <w:sz w:val="20"/>
          <w:szCs w:val="20"/>
        </w:rPr>
      </w:pPr>
    </w:p>
    <w:p w14:paraId="3BC30F4F" w14:textId="19B3C0F3" w:rsidR="001E7C3C" w:rsidRPr="00B004EE" w:rsidRDefault="001E7C3C" w:rsidP="00B004EE">
      <w:pPr>
        <w:pStyle w:val="Corpsdetexte"/>
        <w:ind w:right="164"/>
        <w:rPr>
          <w:rFonts w:ascii="Tahoma" w:hAnsi="Tahoma" w:cs="Tahoma"/>
          <w:sz w:val="20"/>
          <w:szCs w:val="20"/>
        </w:rPr>
      </w:pPr>
      <w:r w:rsidRPr="00B004EE">
        <w:rPr>
          <w:rFonts w:ascii="Tahoma" w:eastAsia="American Typewriter" w:hAnsi="Tahoma" w:cs="Tahoma"/>
          <w:sz w:val="20"/>
          <w:szCs w:val="20"/>
        </w:rPr>
        <w:t>Article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20</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w:t>
      </w:r>
      <w:r w:rsidR="00DB1635" w:rsidRPr="00B004EE">
        <w:rPr>
          <w:rFonts w:ascii="Tahoma" w:hAnsi="Tahoma" w:cs="Tahoma"/>
          <w:b/>
          <w:sz w:val="20"/>
          <w:szCs w:val="20"/>
        </w:rPr>
        <w:t xml:space="preserve"> </w:t>
      </w:r>
      <w:r w:rsidRPr="00B004EE">
        <w:rPr>
          <w:rFonts w:ascii="Tahoma" w:hAnsi="Tahoma" w:cs="Tahoma"/>
          <w:sz w:val="20"/>
          <w:szCs w:val="20"/>
        </w:rPr>
        <w:t>Il</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institué</w:t>
      </w:r>
      <w:r w:rsidR="00DB1635" w:rsidRPr="00B004EE">
        <w:rPr>
          <w:rFonts w:ascii="Tahoma" w:hAnsi="Tahoma" w:cs="Tahoma"/>
          <w:sz w:val="20"/>
          <w:szCs w:val="20"/>
        </w:rPr>
        <w:t xml:space="preserve"> </w:t>
      </w: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organe</w:t>
      </w:r>
      <w:r w:rsidR="00DB1635" w:rsidRPr="00B004EE">
        <w:rPr>
          <w:rFonts w:ascii="Tahoma" w:hAnsi="Tahoma" w:cs="Tahoma"/>
          <w:sz w:val="20"/>
          <w:szCs w:val="20"/>
        </w:rPr>
        <w:t xml:space="preserve"> </w:t>
      </w:r>
      <w:r w:rsidRPr="00B004EE">
        <w:rPr>
          <w:rFonts w:ascii="Tahoma" w:hAnsi="Tahoma" w:cs="Tahoma"/>
          <w:sz w:val="20"/>
          <w:szCs w:val="20"/>
        </w:rPr>
        <w:t>dénommé</w:t>
      </w:r>
      <w:r w:rsidR="00DB1635" w:rsidRPr="00B004EE">
        <w:rPr>
          <w:rFonts w:ascii="Tahoma" w:hAnsi="Tahoma" w:cs="Tahoma"/>
          <w:sz w:val="20"/>
          <w:szCs w:val="20"/>
        </w:rPr>
        <w:t xml:space="preserve"> </w:t>
      </w:r>
      <w:r w:rsidRPr="00B004EE">
        <w:rPr>
          <w:rFonts w:ascii="Tahoma" w:hAnsi="Tahoma" w:cs="Tahoma"/>
          <w:sz w:val="20"/>
          <w:szCs w:val="20"/>
        </w:rPr>
        <w:t>Conseil</w:t>
      </w:r>
      <w:r w:rsidR="00DB1635" w:rsidRPr="00B004EE">
        <w:rPr>
          <w:rFonts w:ascii="Tahoma" w:hAnsi="Tahoma" w:cs="Tahoma"/>
          <w:sz w:val="20"/>
          <w:szCs w:val="20"/>
        </w:rPr>
        <w:t xml:space="preserve"> </w:t>
      </w:r>
      <w:r w:rsidRPr="00B004EE">
        <w:rPr>
          <w:rFonts w:ascii="Tahoma" w:hAnsi="Tahoma" w:cs="Tahoma"/>
          <w:sz w:val="20"/>
          <w:szCs w:val="20"/>
        </w:rPr>
        <w:t>Consultatif</w:t>
      </w:r>
      <w:r w:rsidR="00DB1635" w:rsidRPr="00B004EE">
        <w:rPr>
          <w:rFonts w:ascii="Tahoma" w:hAnsi="Tahoma" w:cs="Tahoma"/>
          <w:sz w:val="20"/>
          <w:szCs w:val="20"/>
        </w:rPr>
        <w:t xml:space="preserve"> </w:t>
      </w:r>
      <w:r w:rsidRPr="00B004EE">
        <w:rPr>
          <w:rFonts w:ascii="Tahoma" w:hAnsi="Tahoma" w:cs="Tahoma"/>
          <w:sz w:val="20"/>
          <w:szCs w:val="20"/>
        </w:rPr>
        <w:t>National</w:t>
      </w:r>
      <w:r w:rsidR="00DB1635" w:rsidRPr="00B004EE">
        <w:rPr>
          <w:rFonts w:ascii="Tahoma" w:hAnsi="Tahoma" w:cs="Tahoma"/>
          <w:spacing w:val="20"/>
          <w:sz w:val="20"/>
          <w:szCs w:val="20"/>
        </w:rPr>
        <w:t xml:space="preserve"> </w:t>
      </w:r>
      <w:r w:rsidRPr="00B004EE">
        <w:rPr>
          <w:rFonts w:ascii="Tahoma" w:hAnsi="Tahoma" w:cs="Tahoma"/>
          <w:sz w:val="20"/>
          <w:szCs w:val="20"/>
        </w:rPr>
        <w:t>pour</w:t>
      </w:r>
      <w:r w:rsidR="00DB1635" w:rsidRPr="00B004EE">
        <w:rPr>
          <w:rFonts w:ascii="Tahoma" w:hAnsi="Tahoma" w:cs="Tahoma"/>
          <w:w w:val="93"/>
          <w:sz w:val="20"/>
          <w:szCs w:val="20"/>
        </w:rPr>
        <w:t xml:space="preserve"> </w:t>
      </w:r>
      <w:r w:rsidRPr="00B004EE">
        <w:rPr>
          <w:rFonts w:ascii="Tahoma" w:hAnsi="Tahoma" w:cs="Tahoma"/>
          <w:sz w:val="20"/>
          <w:szCs w:val="20"/>
        </w:rPr>
        <w:t>l'Aménagement</w:t>
      </w:r>
      <w:r w:rsidR="00DB1635" w:rsidRPr="00B004EE">
        <w:rPr>
          <w:rFonts w:ascii="Tahoma" w:hAnsi="Tahoma" w:cs="Tahoma"/>
          <w:spacing w:val="-31"/>
          <w:sz w:val="20"/>
          <w:szCs w:val="20"/>
        </w:rPr>
        <w:t xml:space="preserve"> </w:t>
      </w:r>
      <w:r w:rsidRPr="00B004EE">
        <w:rPr>
          <w:rFonts w:ascii="Tahoma" w:hAnsi="Tahoma" w:cs="Tahoma"/>
          <w:sz w:val="20"/>
          <w:szCs w:val="20"/>
        </w:rPr>
        <w:t>et</w:t>
      </w:r>
      <w:r w:rsidR="00DB1635" w:rsidRPr="00B004EE">
        <w:rPr>
          <w:rFonts w:ascii="Tahoma" w:hAnsi="Tahoma" w:cs="Tahoma"/>
          <w:spacing w:val="-30"/>
          <w:sz w:val="20"/>
          <w:szCs w:val="20"/>
        </w:rPr>
        <w:t xml:space="preserve"> </w:t>
      </w:r>
      <w:r w:rsidRPr="00B004EE">
        <w:rPr>
          <w:rFonts w:ascii="Tahoma" w:hAnsi="Tahoma" w:cs="Tahoma"/>
          <w:sz w:val="20"/>
          <w:szCs w:val="20"/>
        </w:rPr>
        <w:t>le</w:t>
      </w:r>
      <w:r w:rsidR="00DB1635" w:rsidRPr="00B004EE">
        <w:rPr>
          <w:rFonts w:ascii="Tahoma" w:hAnsi="Tahoma" w:cs="Tahoma"/>
          <w:spacing w:val="-31"/>
          <w:sz w:val="20"/>
          <w:szCs w:val="20"/>
        </w:rPr>
        <w:t xml:space="preserve"> </w:t>
      </w:r>
      <w:r w:rsidRPr="00B004EE">
        <w:rPr>
          <w:rFonts w:ascii="Tahoma" w:hAnsi="Tahoma" w:cs="Tahoma"/>
          <w:sz w:val="20"/>
          <w:szCs w:val="20"/>
        </w:rPr>
        <w:t>Développement</w:t>
      </w:r>
      <w:r w:rsidR="00DB1635" w:rsidRPr="00B004EE">
        <w:rPr>
          <w:rFonts w:ascii="Tahoma" w:hAnsi="Tahoma" w:cs="Tahoma"/>
          <w:spacing w:val="-30"/>
          <w:sz w:val="20"/>
          <w:szCs w:val="20"/>
        </w:rPr>
        <w:t xml:space="preserve"> </w:t>
      </w:r>
      <w:r w:rsidRPr="00B004EE">
        <w:rPr>
          <w:rFonts w:ascii="Tahoma" w:hAnsi="Tahoma" w:cs="Tahoma"/>
          <w:sz w:val="20"/>
          <w:szCs w:val="20"/>
        </w:rPr>
        <w:t>des</w:t>
      </w:r>
      <w:r w:rsidR="00DB1635" w:rsidRPr="00B004EE">
        <w:rPr>
          <w:rFonts w:ascii="Tahoma" w:hAnsi="Tahoma" w:cs="Tahoma"/>
          <w:spacing w:val="-31"/>
          <w:sz w:val="20"/>
          <w:szCs w:val="20"/>
        </w:rPr>
        <w:t xml:space="preserve"> </w:t>
      </w:r>
      <w:r w:rsidRPr="00B004EE">
        <w:rPr>
          <w:rFonts w:ascii="Tahoma" w:hAnsi="Tahoma" w:cs="Tahoma"/>
          <w:sz w:val="20"/>
          <w:szCs w:val="20"/>
        </w:rPr>
        <w:t>Pêcheries</w:t>
      </w:r>
      <w:r w:rsidR="00DB1635" w:rsidRPr="00B004EE">
        <w:rPr>
          <w:rFonts w:ascii="Tahoma" w:hAnsi="Tahoma" w:cs="Tahoma"/>
          <w:spacing w:val="-31"/>
          <w:sz w:val="20"/>
          <w:szCs w:val="20"/>
        </w:rPr>
        <w:t xml:space="preserve"> </w:t>
      </w:r>
      <w:r w:rsidRPr="00B004EE">
        <w:rPr>
          <w:rFonts w:ascii="Tahoma" w:hAnsi="Tahoma" w:cs="Tahoma"/>
          <w:sz w:val="20"/>
          <w:szCs w:val="20"/>
        </w:rPr>
        <w:t>(CCNADP).</w:t>
      </w:r>
    </w:p>
    <w:p w14:paraId="1FFDFA14" w14:textId="77777777" w:rsidR="002A7758" w:rsidRPr="00B004EE" w:rsidRDefault="002A7758" w:rsidP="00B004EE">
      <w:pPr>
        <w:pStyle w:val="Corpsdetexte"/>
        <w:ind w:right="164"/>
        <w:rPr>
          <w:rFonts w:ascii="Tahoma" w:hAnsi="Tahoma" w:cs="Tahoma"/>
          <w:sz w:val="20"/>
          <w:szCs w:val="20"/>
        </w:rPr>
      </w:pPr>
    </w:p>
    <w:p w14:paraId="452F1BAC" w14:textId="7796B5EB" w:rsidR="001E7C3C" w:rsidRPr="00B004EE" w:rsidRDefault="001E7C3C" w:rsidP="00B004EE">
      <w:pPr>
        <w:pStyle w:val="Corpsdetexte"/>
        <w:ind w:right="160"/>
        <w:rPr>
          <w:rFonts w:ascii="Tahoma" w:hAnsi="Tahoma" w:cs="Tahoma"/>
          <w:sz w:val="20"/>
          <w:szCs w:val="20"/>
        </w:rPr>
      </w:pPr>
      <w:r w:rsidRPr="00B004EE">
        <w:rPr>
          <w:rFonts w:ascii="Tahoma" w:eastAsia="American Typewriter" w:hAnsi="Tahoma" w:cs="Tahoma"/>
          <w:sz w:val="20"/>
          <w:szCs w:val="20"/>
        </w:rPr>
        <w:t>Article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21</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w:t>
      </w:r>
      <w:r w:rsidR="00DB1635" w:rsidRPr="00B004EE">
        <w:rPr>
          <w:rFonts w:ascii="Tahoma" w:hAnsi="Tahoma" w:cs="Tahoma"/>
          <w:b/>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Conseil</w:t>
      </w:r>
      <w:r w:rsidR="00DB1635" w:rsidRPr="00B004EE">
        <w:rPr>
          <w:rFonts w:ascii="Tahoma" w:hAnsi="Tahoma" w:cs="Tahoma"/>
          <w:sz w:val="20"/>
          <w:szCs w:val="20"/>
        </w:rPr>
        <w:t xml:space="preserve"> </w:t>
      </w:r>
      <w:r w:rsidRPr="00B004EE">
        <w:rPr>
          <w:rFonts w:ascii="Tahoma" w:hAnsi="Tahoma" w:cs="Tahoma"/>
          <w:sz w:val="20"/>
          <w:szCs w:val="20"/>
        </w:rPr>
        <w:t>Consultatif</w:t>
      </w:r>
      <w:r w:rsidR="00DB1635" w:rsidRPr="00B004EE">
        <w:rPr>
          <w:rFonts w:ascii="Tahoma" w:hAnsi="Tahoma" w:cs="Tahoma"/>
          <w:sz w:val="20"/>
          <w:szCs w:val="20"/>
        </w:rPr>
        <w:t xml:space="preserve"> </w:t>
      </w:r>
      <w:r w:rsidRPr="00B004EE">
        <w:rPr>
          <w:rFonts w:ascii="Tahoma" w:hAnsi="Tahoma" w:cs="Tahoma"/>
          <w:sz w:val="20"/>
          <w:szCs w:val="20"/>
        </w:rPr>
        <w:t>National</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l'Aménagement</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pacing w:val="59"/>
          <w:sz w:val="20"/>
          <w:szCs w:val="20"/>
        </w:rPr>
        <w:t xml:space="preserve"> </w:t>
      </w:r>
      <w:r w:rsidRPr="00B004EE">
        <w:rPr>
          <w:rFonts w:ascii="Tahoma" w:hAnsi="Tahoma" w:cs="Tahoma"/>
          <w:sz w:val="20"/>
          <w:szCs w:val="20"/>
        </w:rPr>
        <w:t>le</w:t>
      </w:r>
      <w:r w:rsidR="00DB1635" w:rsidRPr="00B004EE">
        <w:rPr>
          <w:rFonts w:ascii="Tahoma" w:hAnsi="Tahoma" w:cs="Tahoma"/>
          <w:w w:val="94"/>
          <w:sz w:val="20"/>
          <w:szCs w:val="20"/>
        </w:rPr>
        <w:t xml:space="preserve"> </w:t>
      </w:r>
      <w:r w:rsidRPr="00B004EE">
        <w:rPr>
          <w:rFonts w:ascii="Tahoma" w:hAnsi="Tahoma" w:cs="Tahoma"/>
          <w:sz w:val="20"/>
          <w:szCs w:val="20"/>
        </w:rPr>
        <w:t>Développement</w:t>
      </w:r>
      <w:r w:rsidR="00DB1635" w:rsidRPr="00B004EE">
        <w:rPr>
          <w:rFonts w:ascii="Tahoma" w:hAnsi="Tahoma" w:cs="Tahoma"/>
          <w:spacing w:val="-31"/>
          <w:sz w:val="20"/>
          <w:szCs w:val="20"/>
        </w:rPr>
        <w:t xml:space="preserve"> </w:t>
      </w:r>
      <w:r w:rsidRPr="00B004EE">
        <w:rPr>
          <w:rFonts w:ascii="Tahoma" w:hAnsi="Tahoma" w:cs="Tahoma"/>
          <w:sz w:val="20"/>
          <w:szCs w:val="20"/>
        </w:rPr>
        <w:t>des</w:t>
      </w:r>
      <w:r w:rsidR="00DB1635" w:rsidRPr="00B004EE">
        <w:rPr>
          <w:rFonts w:ascii="Tahoma" w:hAnsi="Tahoma" w:cs="Tahoma"/>
          <w:spacing w:val="-32"/>
          <w:sz w:val="20"/>
          <w:szCs w:val="20"/>
        </w:rPr>
        <w:t xml:space="preserve"> </w:t>
      </w:r>
      <w:r w:rsidRPr="00B004EE">
        <w:rPr>
          <w:rFonts w:ascii="Tahoma" w:hAnsi="Tahoma" w:cs="Tahoma"/>
          <w:sz w:val="20"/>
          <w:szCs w:val="20"/>
        </w:rPr>
        <w:t>Pêcheries</w:t>
      </w:r>
      <w:r w:rsidR="00DB1635" w:rsidRPr="00B004EE">
        <w:rPr>
          <w:rFonts w:ascii="Tahoma" w:hAnsi="Tahoma" w:cs="Tahoma"/>
          <w:spacing w:val="-31"/>
          <w:sz w:val="20"/>
          <w:szCs w:val="20"/>
        </w:rPr>
        <w:t xml:space="preserve"> </w:t>
      </w:r>
      <w:r w:rsidRPr="00B004EE">
        <w:rPr>
          <w:rFonts w:ascii="Tahoma" w:hAnsi="Tahoma" w:cs="Tahoma"/>
          <w:sz w:val="20"/>
          <w:szCs w:val="20"/>
        </w:rPr>
        <w:t>a</w:t>
      </w:r>
      <w:r w:rsidR="00DB1635" w:rsidRPr="00B004EE">
        <w:rPr>
          <w:rFonts w:ascii="Tahoma" w:hAnsi="Tahoma" w:cs="Tahoma"/>
          <w:spacing w:val="-31"/>
          <w:sz w:val="20"/>
          <w:szCs w:val="20"/>
        </w:rPr>
        <w:t xml:space="preserve"> </w:t>
      </w:r>
      <w:r w:rsidRPr="00B004EE">
        <w:rPr>
          <w:rFonts w:ascii="Tahoma" w:hAnsi="Tahoma" w:cs="Tahoma"/>
          <w:sz w:val="20"/>
          <w:szCs w:val="20"/>
        </w:rPr>
        <w:t>notamment</w:t>
      </w:r>
      <w:r w:rsidR="00DB1635" w:rsidRPr="00B004EE">
        <w:rPr>
          <w:rFonts w:ascii="Tahoma" w:hAnsi="Tahoma" w:cs="Tahoma"/>
          <w:spacing w:val="-31"/>
          <w:sz w:val="20"/>
          <w:szCs w:val="20"/>
        </w:rPr>
        <w:t xml:space="preserve"> </w:t>
      </w:r>
      <w:r w:rsidRPr="00B004EE">
        <w:rPr>
          <w:rFonts w:ascii="Tahoma" w:hAnsi="Tahoma" w:cs="Tahoma"/>
          <w:sz w:val="20"/>
          <w:szCs w:val="20"/>
        </w:rPr>
        <w:t>pour</w:t>
      </w:r>
      <w:r w:rsidR="00DB1635" w:rsidRPr="00B004EE">
        <w:rPr>
          <w:rFonts w:ascii="Tahoma" w:hAnsi="Tahoma" w:cs="Tahoma"/>
          <w:spacing w:val="-31"/>
          <w:sz w:val="20"/>
          <w:szCs w:val="20"/>
        </w:rPr>
        <w:t xml:space="preserve"> </w:t>
      </w:r>
      <w:r w:rsidRPr="00B004EE">
        <w:rPr>
          <w:rFonts w:ascii="Tahoma" w:hAnsi="Tahoma" w:cs="Tahoma"/>
          <w:sz w:val="20"/>
          <w:szCs w:val="20"/>
        </w:rPr>
        <w:t>missions</w:t>
      </w:r>
      <w:r w:rsidR="00DB1635" w:rsidRPr="00B004EE">
        <w:rPr>
          <w:rFonts w:ascii="Tahoma" w:hAnsi="Tahoma" w:cs="Tahoma"/>
          <w:spacing w:val="-32"/>
          <w:sz w:val="20"/>
          <w:szCs w:val="20"/>
        </w:rPr>
        <w:t xml:space="preserve"> </w:t>
      </w:r>
      <w:r w:rsidRPr="00B004EE">
        <w:rPr>
          <w:rFonts w:ascii="Tahoma" w:hAnsi="Tahoma" w:cs="Tahoma"/>
          <w:sz w:val="20"/>
          <w:szCs w:val="20"/>
        </w:rPr>
        <w:t>de</w:t>
      </w:r>
      <w:r w:rsidR="00DB1635" w:rsidRPr="00B004EE">
        <w:rPr>
          <w:rFonts w:ascii="Tahoma" w:hAnsi="Tahoma" w:cs="Tahoma"/>
          <w:spacing w:val="-32"/>
          <w:sz w:val="20"/>
          <w:szCs w:val="20"/>
        </w:rPr>
        <w:t xml:space="preserve"> </w:t>
      </w:r>
      <w:r w:rsidRPr="00B004EE">
        <w:rPr>
          <w:rFonts w:ascii="Tahoma" w:hAnsi="Tahoma" w:cs="Tahoma"/>
          <w:sz w:val="20"/>
          <w:szCs w:val="20"/>
        </w:rPr>
        <w:t>:</w:t>
      </w:r>
    </w:p>
    <w:p w14:paraId="3B456462" w14:textId="1233F273" w:rsidR="001E7C3C" w:rsidRPr="00B004EE" w:rsidRDefault="001E7C3C" w:rsidP="00420DDA">
      <w:pPr>
        <w:pStyle w:val="Paragraphedeliste"/>
        <w:widowControl w:val="0"/>
        <w:numPr>
          <w:ilvl w:val="1"/>
          <w:numId w:val="42"/>
        </w:numPr>
        <w:tabs>
          <w:tab w:val="left" w:pos="1154"/>
        </w:tabs>
        <w:ind w:left="426" w:right="158"/>
        <w:jc w:val="both"/>
        <w:rPr>
          <w:rFonts w:ascii="Tahoma" w:eastAsia="American Typewriter" w:hAnsi="Tahoma" w:cs="Tahoma"/>
          <w:sz w:val="20"/>
          <w:szCs w:val="20"/>
        </w:rPr>
      </w:pPr>
      <w:proofErr w:type="gramStart"/>
      <w:r w:rsidRPr="00B004EE">
        <w:rPr>
          <w:rFonts w:ascii="Tahoma" w:hAnsi="Tahoma" w:cs="Tahoma"/>
          <w:sz w:val="20"/>
          <w:szCs w:val="20"/>
        </w:rPr>
        <w:t>donner</w:t>
      </w:r>
      <w:proofErr w:type="gramEnd"/>
      <w:r w:rsidR="00DB1635" w:rsidRPr="00B004EE">
        <w:rPr>
          <w:rFonts w:ascii="Tahoma" w:hAnsi="Tahoma" w:cs="Tahoma"/>
          <w:sz w:val="20"/>
          <w:szCs w:val="20"/>
        </w:rPr>
        <w:t xml:space="preserve"> </w:t>
      </w: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avis</w:t>
      </w:r>
      <w:r w:rsidR="00DB1635" w:rsidRPr="00B004EE">
        <w:rPr>
          <w:rFonts w:ascii="Tahoma" w:hAnsi="Tahoma" w:cs="Tahoma"/>
          <w:sz w:val="20"/>
          <w:szCs w:val="20"/>
        </w:rPr>
        <w:t xml:space="preserve"> </w:t>
      </w:r>
      <w:r w:rsidRPr="00B004EE">
        <w:rPr>
          <w:rFonts w:ascii="Tahoma" w:hAnsi="Tahoma" w:cs="Tahoma"/>
          <w:sz w:val="20"/>
          <w:szCs w:val="20"/>
        </w:rPr>
        <w:t>sur</w:t>
      </w:r>
      <w:r w:rsidR="00DB1635" w:rsidRPr="00B004EE">
        <w:rPr>
          <w:rFonts w:ascii="Tahoma" w:hAnsi="Tahoma" w:cs="Tahoma"/>
          <w:sz w:val="20"/>
          <w:szCs w:val="20"/>
        </w:rPr>
        <w:t xml:space="preserve"> </w:t>
      </w:r>
      <w:r w:rsidRPr="00B004EE">
        <w:rPr>
          <w:rFonts w:ascii="Tahoma" w:hAnsi="Tahoma" w:cs="Tahoma"/>
          <w:sz w:val="20"/>
          <w:szCs w:val="20"/>
        </w:rPr>
        <w:t>l'utilisation</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TAC</w:t>
      </w:r>
      <w:r w:rsidR="00DB1635" w:rsidRPr="00B004EE">
        <w:rPr>
          <w:rFonts w:ascii="Tahoma" w:hAnsi="Tahoma" w:cs="Tahoma"/>
          <w:sz w:val="20"/>
          <w:szCs w:val="20"/>
        </w:rPr>
        <w:t xml:space="preserve"> </w:t>
      </w:r>
      <w:r w:rsidRPr="00B004EE">
        <w:rPr>
          <w:rFonts w:ascii="Tahoma" w:hAnsi="Tahoma" w:cs="Tahoma"/>
          <w:sz w:val="20"/>
          <w:szCs w:val="20"/>
        </w:rPr>
        <w:t>tel</w:t>
      </w:r>
      <w:r w:rsidR="00DB1635" w:rsidRPr="00B004EE">
        <w:rPr>
          <w:rFonts w:ascii="Tahoma" w:hAnsi="Tahoma" w:cs="Tahoma"/>
          <w:sz w:val="20"/>
          <w:szCs w:val="20"/>
        </w:rPr>
        <w:t xml:space="preserve"> </w:t>
      </w:r>
      <w:r w:rsidRPr="00B004EE">
        <w:rPr>
          <w:rFonts w:ascii="Tahoma" w:hAnsi="Tahoma" w:cs="Tahoma"/>
          <w:sz w:val="20"/>
          <w:szCs w:val="20"/>
        </w:rPr>
        <w:t>que</w:t>
      </w:r>
      <w:r w:rsidR="00DB1635" w:rsidRPr="00B004EE">
        <w:rPr>
          <w:rFonts w:ascii="Tahoma" w:hAnsi="Tahoma" w:cs="Tahoma"/>
          <w:sz w:val="20"/>
          <w:szCs w:val="20"/>
        </w:rPr>
        <w:t xml:space="preserve"> </w:t>
      </w:r>
      <w:r w:rsidRPr="00B004EE">
        <w:rPr>
          <w:rFonts w:ascii="Tahoma" w:hAnsi="Tahoma" w:cs="Tahoma"/>
          <w:sz w:val="20"/>
          <w:szCs w:val="20"/>
        </w:rPr>
        <w:t>déterminé</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articles</w:t>
      </w:r>
      <w:r w:rsidR="00DB1635" w:rsidRPr="00B004EE">
        <w:rPr>
          <w:rFonts w:ascii="Tahoma" w:hAnsi="Tahoma" w:cs="Tahoma"/>
          <w:spacing w:val="-40"/>
          <w:sz w:val="20"/>
          <w:szCs w:val="20"/>
        </w:rPr>
        <w:t xml:space="preserve"> </w:t>
      </w:r>
      <w:r w:rsidRPr="00B004EE">
        <w:rPr>
          <w:rFonts w:ascii="Tahoma" w:hAnsi="Tahoma" w:cs="Tahoma"/>
          <w:sz w:val="20"/>
          <w:szCs w:val="20"/>
        </w:rPr>
        <w:t>12</w:t>
      </w:r>
      <w:r w:rsidR="00DB1635" w:rsidRPr="00B004EE">
        <w:rPr>
          <w:rFonts w:ascii="Tahoma" w:hAnsi="Tahoma" w:cs="Tahoma"/>
          <w:w w:val="87"/>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13</w:t>
      </w:r>
      <w:r w:rsidR="00DB1635" w:rsidRPr="00B004EE">
        <w:rPr>
          <w:rFonts w:ascii="Tahoma" w:hAnsi="Tahoma" w:cs="Tahoma"/>
          <w:spacing w:val="13"/>
          <w:sz w:val="20"/>
          <w:szCs w:val="20"/>
        </w:rPr>
        <w:t xml:space="preserve"> </w:t>
      </w:r>
      <w:r w:rsidRPr="00B004EE">
        <w:rPr>
          <w:rFonts w:ascii="Tahoma" w:hAnsi="Tahoma" w:cs="Tahoma"/>
          <w:sz w:val="20"/>
          <w:szCs w:val="20"/>
        </w:rPr>
        <w:t>ci-dessus;</w:t>
      </w:r>
    </w:p>
    <w:p w14:paraId="7028E7B4" w14:textId="2A5691FA" w:rsidR="001E7C3C" w:rsidRPr="00B004EE" w:rsidRDefault="001E7C3C" w:rsidP="00420DDA">
      <w:pPr>
        <w:pStyle w:val="Paragraphedeliste"/>
        <w:widowControl w:val="0"/>
        <w:numPr>
          <w:ilvl w:val="1"/>
          <w:numId w:val="42"/>
        </w:numPr>
        <w:tabs>
          <w:tab w:val="left" w:pos="1154"/>
        </w:tabs>
        <w:ind w:left="426" w:right="166"/>
        <w:jc w:val="both"/>
        <w:rPr>
          <w:rFonts w:ascii="Tahoma" w:eastAsia="American Typewriter" w:hAnsi="Tahoma" w:cs="Tahoma"/>
          <w:sz w:val="20"/>
          <w:szCs w:val="20"/>
        </w:rPr>
      </w:pPr>
      <w:proofErr w:type="gramStart"/>
      <w:r w:rsidRPr="00B004EE">
        <w:rPr>
          <w:rFonts w:ascii="Tahoma" w:hAnsi="Tahoma" w:cs="Tahoma"/>
          <w:sz w:val="20"/>
          <w:szCs w:val="20"/>
        </w:rPr>
        <w:lastRenderedPageBreak/>
        <w:t>donner</w:t>
      </w:r>
      <w:proofErr w:type="gramEnd"/>
      <w:r w:rsidR="00DB1635" w:rsidRPr="00B004EE">
        <w:rPr>
          <w:rFonts w:ascii="Tahoma" w:hAnsi="Tahoma" w:cs="Tahoma"/>
          <w:sz w:val="20"/>
          <w:szCs w:val="20"/>
        </w:rPr>
        <w:t xml:space="preserve"> </w:t>
      </w: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avis</w:t>
      </w:r>
      <w:r w:rsidR="00DB1635" w:rsidRPr="00B004EE">
        <w:rPr>
          <w:rFonts w:ascii="Tahoma" w:hAnsi="Tahoma" w:cs="Tahoma"/>
          <w:sz w:val="20"/>
          <w:szCs w:val="20"/>
        </w:rPr>
        <w:t xml:space="preserve"> </w:t>
      </w:r>
      <w:r w:rsidRPr="00B004EE">
        <w:rPr>
          <w:rFonts w:ascii="Tahoma" w:hAnsi="Tahoma" w:cs="Tahoma"/>
          <w:sz w:val="20"/>
          <w:szCs w:val="20"/>
        </w:rPr>
        <w:t>sur</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choix</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stratégies</w:t>
      </w:r>
      <w:r w:rsidR="00DB1635" w:rsidRPr="00B004EE">
        <w:rPr>
          <w:rFonts w:ascii="Tahoma" w:hAnsi="Tahoma" w:cs="Tahoma"/>
          <w:sz w:val="20"/>
          <w:szCs w:val="20"/>
        </w:rPr>
        <w:t xml:space="preserve"> </w:t>
      </w:r>
      <w:r w:rsidRPr="00B004EE">
        <w:rPr>
          <w:rFonts w:ascii="Tahoma" w:hAnsi="Tahoma" w:cs="Tahoma"/>
          <w:sz w:val="20"/>
          <w:szCs w:val="20"/>
        </w:rPr>
        <w:t>d'aménagement,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gestion</w:t>
      </w:r>
      <w:r w:rsidR="00DB1635" w:rsidRPr="00B004EE">
        <w:rPr>
          <w:rFonts w:ascii="Tahoma" w:hAnsi="Tahoma" w:cs="Tahoma"/>
          <w:spacing w:val="19"/>
          <w:sz w:val="20"/>
          <w:szCs w:val="20"/>
        </w:rPr>
        <w:t xml:space="preserve"> </w:t>
      </w:r>
      <w:r w:rsidRPr="00B004EE">
        <w:rPr>
          <w:rFonts w:ascii="Tahoma" w:hAnsi="Tahoma" w:cs="Tahoma"/>
          <w:sz w:val="20"/>
          <w:szCs w:val="20"/>
        </w:rPr>
        <w:t>et</w:t>
      </w:r>
      <w:r w:rsidR="00DB1635" w:rsidRPr="00B004EE">
        <w:rPr>
          <w:rFonts w:ascii="Tahoma" w:hAnsi="Tahoma" w:cs="Tahoma"/>
          <w:w w:val="95"/>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développement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spacing w:val="15"/>
          <w:sz w:val="20"/>
          <w:szCs w:val="20"/>
        </w:rPr>
        <w:t xml:space="preserve"> </w:t>
      </w:r>
      <w:r w:rsidRPr="00B004EE">
        <w:rPr>
          <w:rFonts w:ascii="Tahoma" w:hAnsi="Tahoma" w:cs="Tahoma"/>
          <w:sz w:val="20"/>
          <w:szCs w:val="20"/>
        </w:rPr>
        <w:t>;</w:t>
      </w:r>
    </w:p>
    <w:p w14:paraId="6C4DD801" w14:textId="27202F69" w:rsidR="001E7C3C" w:rsidRPr="00B004EE" w:rsidRDefault="001E7C3C" w:rsidP="00420DDA">
      <w:pPr>
        <w:pStyle w:val="Paragraphedeliste"/>
        <w:widowControl w:val="0"/>
        <w:numPr>
          <w:ilvl w:val="1"/>
          <w:numId w:val="42"/>
        </w:numPr>
        <w:tabs>
          <w:tab w:val="left" w:pos="1154"/>
        </w:tabs>
        <w:ind w:left="426" w:right="165"/>
        <w:jc w:val="both"/>
        <w:rPr>
          <w:rFonts w:ascii="Tahoma" w:eastAsia="American Typewriter" w:hAnsi="Tahoma" w:cs="Tahoma"/>
          <w:sz w:val="20"/>
          <w:szCs w:val="20"/>
        </w:rPr>
      </w:pPr>
      <w:proofErr w:type="gramStart"/>
      <w:r w:rsidRPr="00B004EE">
        <w:rPr>
          <w:rFonts w:ascii="Tahoma" w:hAnsi="Tahoma" w:cs="Tahoma"/>
          <w:sz w:val="20"/>
          <w:szCs w:val="20"/>
        </w:rPr>
        <w:t>donner</w:t>
      </w:r>
      <w:proofErr w:type="gramEnd"/>
      <w:r w:rsidR="00DB1635" w:rsidRPr="00B004EE">
        <w:rPr>
          <w:rFonts w:ascii="Tahoma" w:hAnsi="Tahoma" w:cs="Tahoma"/>
          <w:sz w:val="20"/>
          <w:szCs w:val="20"/>
        </w:rPr>
        <w:t xml:space="preserve"> </w:t>
      </w: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avis</w:t>
      </w:r>
      <w:r w:rsidR="00DB1635" w:rsidRPr="00B004EE">
        <w:rPr>
          <w:rFonts w:ascii="Tahoma" w:hAnsi="Tahoma" w:cs="Tahoma"/>
          <w:sz w:val="20"/>
          <w:szCs w:val="20"/>
        </w:rPr>
        <w:t xml:space="preserve"> </w:t>
      </w:r>
      <w:r w:rsidRPr="00B004EE">
        <w:rPr>
          <w:rFonts w:ascii="Tahoma" w:hAnsi="Tahoma" w:cs="Tahoma"/>
          <w:sz w:val="20"/>
          <w:szCs w:val="20"/>
        </w:rPr>
        <w:t>préalable</w:t>
      </w:r>
      <w:r w:rsidR="00DB1635" w:rsidRPr="00B004EE">
        <w:rPr>
          <w:rFonts w:ascii="Tahoma" w:hAnsi="Tahoma" w:cs="Tahoma"/>
          <w:sz w:val="20"/>
          <w:szCs w:val="20"/>
        </w:rPr>
        <w:t xml:space="preserve"> </w:t>
      </w:r>
      <w:r w:rsidRPr="00B004EE">
        <w:rPr>
          <w:rFonts w:ascii="Tahoma" w:hAnsi="Tahoma" w:cs="Tahoma"/>
          <w:sz w:val="20"/>
          <w:szCs w:val="20"/>
        </w:rPr>
        <w:t>sur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plans</w:t>
      </w:r>
      <w:r w:rsidR="00DB1635" w:rsidRPr="00B004EE">
        <w:rPr>
          <w:rFonts w:ascii="Tahoma" w:hAnsi="Tahoma" w:cs="Tahoma"/>
          <w:sz w:val="20"/>
          <w:szCs w:val="20"/>
        </w:rPr>
        <w:t xml:space="preserve"> </w:t>
      </w:r>
      <w:r w:rsidRPr="00B004EE">
        <w:rPr>
          <w:rFonts w:ascii="Tahoma" w:hAnsi="Tahoma" w:cs="Tahoma"/>
          <w:sz w:val="20"/>
          <w:szCs w:val="20"/>
        </w:rPr>
        <w:t>d'aménagement</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gestion</w:t>
      </w:r>
      <w:r w:rsidR="00DB1635" w:rsidRPr="00B004EE">
        <w:rPr>
          <w:rFonts w:ascii="Tahoma" w:hAnsi="Tahoma" w:cs="Tahoma"/>
          <w:spacing w:val="46"/>
          <w:sz w:val="20"/>
          <w:szCs w:val="20"/>
        </w:rPr>
        <w:t xml:space="preserve"> </w:t>
      </w:r>
      <w:r w:rsidRPr="00B004EE">
        <w:rPr>
          <w:rFonts w:ascii="Tahoma" w:hAnsi="Tahoma" w:cs="Tahoma"/>
          <w:sz w:val="20"/>
          <w:szCs w:val="20"/>
        </w:rPr>
        <w:t>des</w:t>
      </w:r>
      <w:r w:rsidR="00DB1635" w:rsidRPr="00B004EE">
        <w:rPr>
          <w:rFonts w:ascii="Tahoma" w:hAnsi="Tahoma" w:cs="Tahoma"/>
          <w:w w:val="94"/>
          <w:sz w:val="20"/>
          <w:szCs w:val="20"/>
        </w:rPr>
        <w:t xml:space="preserve"> </w:t>
      </w:r>
      <w:r w:rsidRPr="00B004EE">
        <w:rPr>
          <w:rFonts w:ascii="Tahoma" w:hAnsi="Tahoma" w:cs="Tahoma"/>
          <w:sz w:val="20"/>
          <w:szCs w:val="20"/>
        </w:rPr>
        <w:t>pêcheries</w:t>
      </w:r>
      <w:r w:rsidR="00DB1635" w:rsidRPr="00B004EE">
        <w:rPr>
          <w:rFonts w:ascii="Tahoma" w:hAnsi="Tahoma" w:cs="Tahoma"/>
          <w:spacing w:val="5"/>
          <w:sz w:val="20"/>
          <w:szCs w:val="20"/>
        </w:rPr>
        <w:t xml:space="preserve"> </w:t>
      </w:r>
      <w:r w:rsidRPr="00B004EE">
        <w:rPr>
          <w:rFonts w:ascii="Tahoma" w:hAnsi="Tahoma" w:cs="Tahoma"/>
          <w:sz w:val="20"/>
          <w:szCs w:val="20"/>
        </w:rPr>
        <w:t>;</w:t>
      </w:r>
    </w:p>
    <w:p w14:paraId="016482B2" w14:textId="72CEB100" w:rsidR="001E7C3C" w:rsidRPr="00B004EE" w:rsidRDefault="001E7C3C" w:rsidP="00420DDA">
      <w:pPr>
        <w:pStyle w:val="Paragraphedeliste"/>
        <w:widowControl w:val="0"/>
        <w:numPr>
          <w:ilvl w:val="1"/>
          <w:numId w:val="42"/>
        </w:numPr>
        <w:tabs>
          <w:tab w:val="left" w:pos="1154"/>
        </w:tabs>
        <w:ind w:left="426" w:right="163"/>
        <w:jc w:val="both"/>
        <w:rPr>
          <w:rFonts w:ascii="Tahoma" w:eastAsia="American Typewriter" w:hAnsi="Tahoma" w:cs="Tahoma"/>
          <w:sz w:val="20"/>
          <w:szCs w:val="20"/>
        </w:rPr>
      </w:pPr>
      <w:proofErr w:type="gramStart"/>
      <w:r w:rsidRPr="00B004EE">
        <w:rPr>
          <w:rFonts w:ascii="Tahoma" w:hAnsi="Tahoma" w:cs="Tahoma"/>
          <w:sz w:val="20"/>
          <w:szCs w:val="20"/>
        </w:rPr>
        <w:t>donner</w:t>
      </w:r>
      <w:proofErr w:type="gramEnd"/>
      <w:r w:rsidR="00DB1635" w:rsidRPr="00B004EE">
        <w:rPr>
          <w:rFonts w:ascii="Tahoma" w:hAnsi="Tahoma" w:cs="Tahoma"/>
          <w:spacing w:val="-29"/>
          <w:sz w:val="20"/>
          <w:szCs w:val="20"/>
        </w:rPr>
        <w:t xml:space="preserve"> </w:t>
      </w:r>
      <w:r w:rsidRPr="00B004EE">
        <w:rPr>
          <w:rFonts w:ascii="Tahoma" w:hAnsi="Tahoma" w:cs="Tahoma"/>
          <w:sz w:val="20"/>
          <w:szCs w:val="20"/>
        </w:rPr>
        <w:t>périodiquement,</w:t>
      </w:r>
      <w:r w:rsidR="00DB1635" w:rsidRPr="00B004EE">
        <w:rPr>
          <w:rFonts w:ascii="Tahoma" w:hAnsi="Tahoma" w:cs="Tahoma"/>
          <w:spacing w:val="-28"/>
          <w:sz w:val="20"/>
          <w:szCs w:val="20"/>
        </w:rPr>
        <w:t xml:space="preserve"> </w:t>
      </w:r>
      <w:r w:rsidRPr="00B004EE">
        <w:rPr>
          <w:rFonts w:ascii="Tahoma" w:hAnsi="Tahoma" w:cs="Tahoma"/>
          <w:sz w:val="20"/>
          <w:szCs w:val="20"/>
        </w:rPr>
        <w:t>au</w:t>
      </w:r>
      <w:r w:rsidR="00DB1635" w:rsidRPr="00B004EE">
        <w:rPr>
          <w:rFonts w:ascii="Tahoma" w:hAnsi="Tahoma" w:cs="Tahoma"/>
          <w:spacing w:val="-28"/>
          <w:sz w:val="20"/>
          <w:szCs w:val="20"/>
        </w:rPr>
        <w:t xml:space="preserve"> </w:t>
      </w:r>
      <w:r w:rsidRPr="00B004EE">
        <w:rPr>
          <w:rFonts w:ascii="Tahoma" w:hAnsi="Tahoma" w:cs="Tahoma"/>
          <w:sz w:val="20"/>
          <w:szCs w:val="20"/>
        </w:rPr>
        <w:t>Ministre</w:t>
      </w:r>
      <w:r w:rsidR="00DB1635" w:rsidRPr="00B004EE">
        <w:rPr>
          <w:rFonts w:ascii="Tahoma" w:hAnsi="Tahoma" w:cs="Tahoma"/>
          <w:spacing w:val="-28"/>
          <w:sz w:val="20"/>
          <w:szCs w:val="20"/>
        </w:rPr>
        <w:t xml:space="preserve"> </w:t>
      </w:r>
      <w:r w:rsidRPr="00B004EE">
        <w:rPr>
          <w:rFonts w:ascii="Tahoma" w:hAnsi="Tahoma" w:cs="Tahoma"/>
          <w:sz w:val="20"/>
          <w:szCs w:val="20"/>
        </w:rPr>
        <w:t>chargé</w:t>
      </w:r>
      <w:r w:rsidR="00DB1635" w:rsidRPr="00B004EE">
        <w:rPr>
          <w:rFonts w:ascii="Tahoma" w:hAnsi="Tahoma" w:cs="Tahoma"/>
          <w:spacing w:val="-30"/>
          <w:sz w:val="20"/>
          <w:szCs w:val="20"/>
        </w:rPr>
        <w:t xml:space="preserve"> </w:t>
      </w:r>
      <w:r w:rsidRPr="00B004EE">
        <w:rPr>
          <w:rFonts w:ascii="Tahoma" w:hAnsi="Tahoma" w:cs="Tahoma"/>
          <w:sz w:val="20"/>
          <w:szCs w:val="20"/>
        </w:rPr>
        <w:t>des</w:t>
      </w:r>
      <w:r w:rsidR="00DB1635" w:rsidRPr="00B004EE">
        <w:rPr>
          <w:rFonts w:ascii="Tahoma" w:hAnsi="Tahoma" w:cs="Tahoma"/>
          <w:spacing w:val="-30"/>
          <w:sz w:val="20"/>
          <w:szCs w:val="20"/>
        </w:rPr>
        <w:t xml:space="preserve"> </w:t>
      </w:r>
      <w:r w:rsidRPr="00B004EE">
        <w:rPr>
          <w:rFonts w:ascii="Tahoma" w:hAnsi="Tahoma" w:cs="Tahoma"/>
          <w:sz w:val="20"/>
          <w:szCs w:val="20"/>
        </w:rPr>
        <w:t>pêches</w:t>
      </w:r>
      <w:r w:rsidR="00DB1635" w:rsidRPr="00B004EE">
        <w:rPr>
          <w:rFonts w:ascii="Tahoma" w:hAnsi="Tahoma" w:cs="Tahoma"/>
          <w:spacing w:val="-30"/>
          <w:sz w:val="20"/>
          <w:szCs w:val="20"/>
        </w:rPr>
        <w:t xml:space="preserve"> </w:t>
      </w:r>
      <w:r w:rsidRPr="00B004EE">
        <w:rPr>
          <w:rFonts w:ascii="Tahoma" w:hAnsi="Tahoma" w:cs="Tahoma"/>
          <w:sz w:val="20"/>
          <w:szCs w:val="20"/>
        </w:rPr>
        <w:t>et</w:t>
      </w:r>
      <w:r w:rsidR="00DB1635" w:rsidRPr="00B004EE">
        <w:rPr>
          <w:rFonts w:ascii="Tahoma" w:hAnsi="Tahoma" w:cs="Tahoma"/>
          <w:spacing w:val="-29"/>
          <w:sz w:val="20"/>
          <w:szCs w:val="20"/>
        </w:rPr>
        <w:t xml:space="preserve"> </w:t>
      </w:r>
      <w:r w:rsidRPr="00B004EE">
        <w:rPr>
          <w:rFonts w:ascii="Tahoma" w:hAnsi="Tahoma" w:cs="Tahoma"/>
          <w:sz w:val="20"/>
          <w:szCs w:val="20"/>
        </w:rPr>
        <w:t>sur</w:t>
      </w:r>
      <w:r w:rsidR="00DB1635" w:rsidRPr="00B004EE">
        <w:rPr>
          <w:rFonts w:ascii="Tahoma" w:hAnsi="Tahoma" w:cs="Tahoma"/>
          <w:spacing w:val="-30"/>
          <w:sz w:val="20"/>
          <w:szCs w:val="20"/>
        </w:rPr>
        <w:t xml:space="preserve"> </w:t>
      </w:r>
      <w:r w:rsidRPr="00B004EE">
        <w:rPr>
          <w:rFonts w:ascii="Tahoma" w:hAnsi="Tahoma" w:cs="Tahoma"/>
          <w:sz w:val="20"/>
          <w:szCs w:val="20"/>
        </w:rPr>
        <w:t>sa</w:t>
      </w:r>
      <w:r w:rsidR="00DB1635" w:rsidRPr="00B004EE">
        <w:rPr>
          <w:rFonts w:ascii="Tahoma" w:hAnsi="Tahoma" w:cs="Tahoma"/>
          <w:spacing w:val="-29"/>
          <w:sz w:val="20"/>
          <w:szCs w:val="20"/>
        </w:rPr>
        <w:t xml:space="preserve"> </w:t>
      </w:r>
      <w:r w:rsidRPr="00B004EE">
        <w:rPr>
          <w:rFonts w:ascii="Tahoma" w:hAnsi="Tahoma" w:cs="Tahoma"/>
          <w:sz w:val="20"/>
          <w:szCs w:val="20"/>
        </w:rPr>
        <w:t>demande,</w:t>
      </w:r>
      <w:r w:rsidR="00DB1635" w:rsidRPr="00B004EE">
        <w:rPr>
          <w:rFonts w:ascii="Tahoma" w:hAnsi="Tahoma" w:cs="Tahoma"/>
          <w:w w:val="97"/>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avis</w:t>
      </w:r>
      <w:r w:rsidR="00DB1635" w:rsidRPr="00B004EE">
        <w:rPr>
          <w:rFonts w:ascii="Tahoma" w:hAnsi="Tahoma" w:cs="Tahoma"/>
          <w:sz w:val="20"/>
          <w:szCs w:val="20"/>
        </w:rPr>
        <w:t xml:space="preserve"> </w:t>
      </w:r>
      <w:r w:rsidRPr="00B004EE">
        <w:rPr>
          <w:rFonts w:ascii="Tahoma" w:hAnsi="Tahoma" w:cs="Tahoma"/>
          <w:sz w:val="20"/>
          <w:szCs w:val="20"/>
        </w:rPr>
        <w:t>consultatifs</w:t>
      </w:r>
      <w:r w:rsidR="00DB1635" w:rsidRPr="00B004EE">
        <w:rPr>
          <w:rFonts w:ascii="Tahoma" w:hAnsi="Tahoma" w:cs="Tahoma"/>
          <w:sz w:val="20"/>
          <w:szCs w:val="20"/>
        </w:rPr>
        <w:t xml:space="preserve"> </w:t>
      </w:r>
      <w:r w:rsidRPr="00B004EE">
        <w:rPr>
          <w:rFonts w:ascii="Tahoma" w:hAnsi="Tahoma" w:cs="Tahoma"/>
          <w:sz w:val="20"/>
          <w:szCs w:val="20"/>
        </w:rPr>
        <w:t>sur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questions</w:t>
      </w:r>
      <w:r w:rsidR="00DB1635" w:rsidRPr="00B004EE">
        <w:rPr>
          <w:rFonts w:ascii="Tahoma" w:hAnsi="Tahoma" w:cs="Tahoma"/>
          <w:sz w:val="20"/>
          <w:szCs w:val="20"/>
        </w:rPr>
        <w:t xml:space="preserve"> </w:t>
      </w:r>
      <w:r w:rsidRPr="00B004EE">
        <w:rPr>
          <w:rFonts w:ascii="Tahoma" w:hAnsi="Tahoma" w:cs="Tahoma"/>
          <w:sz w:val="20"/>
          <w:szCs w:val="20"/>
        </w:rPr>
        <w:t>d'ordre</w:t>
      </w:r>
      <w:r w:rsidR="00DB1635" w:rsidRPr="00B004EE">
        <w:rPr>
          <w:rFonts w:ascii="Tahoma" w:hAnsi="Tahoma" w:cs="Tahoma"/>
          <w:sz w:val="20"/>
          <w:szCs w:val="20"/>
        </w:rPr>
        <w:t xml:space="preserve"> </w:t>
      </w:r>
      <w:r w:rsidRPr="00B004EE">
        <w:rPr>
          <w:rFonts w:ascii="Tahoma" w:hAnsi="Tahoma" w:cs="Tahoma"/>
          <w:sz w:val="20"/>
          <w:szCs w:val="20"/>
        </w:rPr>
        <w:t>général</w:t>
      </w:r>
      <w:r w:rsidR="00DB1635" w:rsidRPr="00B004EE">
        <w:rPr>
          <w:rFonts w:ascii="Tahoma" w:hAnsi="Tahoma" w:cs="Tahoma"/>
          <w:spacing w:val="17"/>
          <w:sz w:val="20"/>
          <w:szCs w:val="20"/>
        </w:rPr>
        <w:t xml:space="preserve"> </w:t>
      </w:r>
      <w:r w:rsidRPr="00B004EE">
        <w:rPr>
          <w:rFonts w:ascii="Tahoma" w:hAnsi="Tahoma" w:cs="Tahoma"/>
          <w:sz w:val="20"/>
          <w:szCs w:val="20"/>
        </w:rPr>
        <w:t>concernant</w:t>
      </w:r>
      <w:r w:rsidR="00DB1635" w:rsidRPr="00B004EE">
        <w:rPr>
          <w:rFonts w:ascii="Tahoma" w:hAnsi="Tahoma" w:cs="Tahoma"/>
          <w:w w:val="96"/>
          <w:sz w:val="20"/>
          <w:szCs w:val="20"/>
        </w:rPr>
        <w:t xml:space="preserve"> </w:t>
      </w:r>
      <w:r w:rsidRPr="00B004EE">
        <w:rPr>
          <w:rFonts w:ascii="Tahoma" w:hAnsi="Tahoma" w:cs="Tahoma"/>
          <w:sz w:val="20"/>
          <w:szCs w:val="20"/>
        </w:rPr>
        <w:t>notamment</w:t>
      </w:r>
      <w:r w:rsidR="00DB1635" w:rsidRPr="00B004EE">
        <w:rPr>
          <w:rFonts w:ascii="Tahoma" w:hAnsi="Tahoma" w:cs="Tahoma"/>
          <w:spacing w:val="-17"/>
          <w:sz w:val="20"/>
          <w:szCs w:val="20"/>
        </w:rPr>
        <w:t xml:space="preserve"> </w:t>
      </w:r>
      <w:r w:rsidRPr="00B004EE">
        <w:rPr>
          <w:rFonts w:ascii="Tahoma" w:hAnsi="Tahoma" w:cs="Tahoma"/>
          <w:sz w:val="20"/>
          <w:szCs w:val="20"/>
        </w:rPr>
        <w:t>l'exercice</w:t>
      </w:r>
      <w:r w:rsidR="00DB1635" w:rsidRPr="00B004EE">
        <w:rPr>
          <w:rFonts w:ascii="Tahoma" w:hAnsi="Tahoma" w:cs="Tahoma"/>
          <w:spacing w:val="-20"/>
          <w:sz w:val="20"/>
          <w:szCs w:val="20"/>
        </w:rPr>
        <w:t xml:space="preserve"> </w:t>
      </w:r>
      <w:r w:rsidRPr="00B004EE">
        <w:rPr>
          <w:rFonts w:ascii="Tahoma" w:hAnsi="Tahoma" w:cs="Tahoma"/>
          <w:sz w:val="20"/>
          <w:szCs w:val="20"/>
        </w:rPr>
        <w:t>de</w:t>
      </w:r>
      <w:r w:rsidR="00DB1635" w:rsidRPr="00B004EE">
        <w:rPr>
          <w:rFonts w:ascii="Tahoma" w:hAnsi="Tahoma" w:cs="Tahoma"/>
          <w:spacing w:val="-20"/>
          <w:sz w:val="20"/>
          <w:szCs w:val="20"/>
        </w:rPr>
        <w:t xml:space="preserve"> </w:t>
      </w:r>
      <w:r w:rsidRPr="00B004EE">
        <w:rPr>
          <w:rFonts w:ascii="Tahoma" w:hAnsi="Tahoma" w:cs="Tahoma"/>
          <w:sz w:val="20"/>
          <w:szCs w:val="20"/>
        </w:rPr>
        <w:t>la</w:t>
      </w:r>
      <w:r w:rsidR="00DB1635" w:rsidRPr="00B004EE">
        <w:rPr>
          <w:rFonts w:ascii="Tahoma" w:hAnsi="Tahoma" w:cs="Tahoma"/>
          <w:spacing w:val="-19"/>
          <w:sz w:val="20"/>
          <w:szCs w:val="20"/>
        </w:rPr>
        <w:t xml:space="preserve"> </w:t>
      </w:r>
      <w:r w:rsidRPr="00B004EE">
        <w:rPr>
          <w:rFonts w:ascii="Tahoma" w:hAnsi="Tahoma" w:cs="Tahoma"/>
          <w:sz w:val="20"/>
          <w:szCs w:val="20"/>
        </w:rPr>
        <w:t>pêche,</w:t>
      </w:r>
      <w:r w:rsidR="00DB1635" w:rsidRPr="00B004EE">
        <w:rPr>
          <w:rFonts w:ascii="Tahoma" w:hAnsi="Tahoma" w:cs="Tahoma"/>
          <w:spacing w:val="-19"/>
          <w:sz w:val="20"/>
          <w:szCs w:val="20"/>
        </w:rPr>
        <w:t xml:space="preserve"> </w:t>
      </w:r>
      <w:r w:rsidRPr="00B004EE">
        <w:rPr>
          <w:rFonts w:ascii="Tahoma" w:hAnsi="Tahoma" w:cs="Tahoma"/>
          <w:sz w:val="20"/>
          <w:szCs w:val="20"/>
        </w:rPr>
        <w:t>la</w:t>
      </w:r>
      <w:r w:rsidR="00DB1635" w:rsidRPr="00B004EE">
        <w:rPr>
          <w:rFonts w:ascii="Tahoma" w:hAnsi="Tahoma" w:cs="Tahoma"/>
          <w:spacing w:val="-19"/>
          <w:sz w:val="20"/>
          <w:szCs w:val="20"/>
        </w:rPr>
        <w:t xml:space="preserve"> </w:t>
      </w:r>
      <w:r w:rsidRPr="00B004EE">
        <w:rPr>
          <w:rFonts w:ascii="Tahoma" w:hAnsi="Tahoma" w:cs="Tahoma"/>
          <w:sz w:val="20"/>
          <w:szCs w:val="20"/>
        </w:rPr>
        <w:t>commercialisation</w:t>
      </w:r>
      <w:r w:rsidR="00DB1635" w:rsidRPr="00B004EE">
        <w:rPr>
          <w:rFonts w:ascii="Tahoma" w:hAnsi="Tahoma" w:cs="Tahoma"/>
          <w:spacing w:val="-20"/>
          <w:sz w:val="20"/>
          <w:szCs w:val="20"/>
        </w:rPr>
        <w:t xml:space="preserve"> </w:t>
      </w:r>
      <w:r w:rsidRPr="00B004EE">
        <w:rPr>
          <w:rFonts w:ascii="Tahoma" w:hAnsi="Tahoma" w:cs="Tahoma"/>
          <w:sz w:val="20"/>
          <w:szCs w:val="20"/>
        </w:rPr>
        <w:t>des</w:t>
      </w:r>
      <w:r w:rsidR="00DB1635" w:rsidRPr="00B004EE">
        <w:rPr>
          <w:rFonts w:ascii="Tahoma" w:hAnsi="Tahoma" w:cs="Tahoma"/>
          <w:spacing w:val="-20"/>
          <w:sz w:val="20"/>
          <w:szCs w:val="20"/>
        </w:rPr>
        <w:t xml:space="preserve"> </w:t>
      </w:r>
      <w:r w:rsidRPr="00B004EE">
        <w:rPr>
          <w:rFonts w:ascii="Tahoma" w:hAnsi="Tahoma" w:cs="Tahoma"/>
          <w:sz w:val="20"/>
          <w:szCs w:val="20"/>
        </w:rPr>
        <w:t>produits</w:t>
      </w:r>
      <w:r w:rsidR="00DB1635" w:rsidRPr="00B004EE">
        <w:rPr>
          <w:rFonts w:ascii="Tahoma" w:hAnsi="Tahoma" w:cs="Tahoma"/>
          <w:spacing w:val="-20"/>
          <w:sz w:val="20"/>
          <w:szCs w:val="20"/>
        </w:rPr>
        <w:t xml:space="preserve"> </w:t>
      </w:r>
      <w:r w:rsidRPr="00B004EE">
        <w:rPr>
          <w:rFonts w:ascii="Tahoma" w:hAnsi="Tahoma" w:cs="Tahoma"/>
          <w:sz w:val="20"/>
          <w:szCs w:val="20"/>
        </w:rPr>
        <w:t>de</w:t>
      </w:r>
      <w:r w:rsidR="00DB1635" w:rsidRPr="00B004EE">
        <w:rPr>
          <w:rFonts w:ascii="Tahoma" w:hAnsi="Tahoma" w:cs="Tahoma"/>
          <w:spacing w:val="-20"/>
          <w:sz w:val="20"/>
          <w:szCs w:val="20"/>
        </w:rPr>
        <w:t xml:space="preserve"> </w:t>
      </w:r>
      <w:r w:rsidRPr="00B004EE">
        <w:rPr>
          <w:rFonts w:ascii="Tahoma" w:hAnsi="Tahoma" w:cs="Tahoma"/>
          <w:sz w:val="20"/>
          <w:szCs w:val="20"/>
        </w:rPr>
        <w:t>la</w:t>
      </w:r>
      <w:r w:rsidR="00DB1635" w:rsidRPr="00B004EE">
        <w:rPr>
          <w:rFonts w:ascii="Tahoma" w:hAnsi="Tahoma" w:cs="Tahoma"/>
          <w:w w:val="98"/>
          <w:sz w:val="20"/>
          <w:szCs w:val="20"/>
        </w:rPr>
        <w:t xml:space="preserve"> </w:t>
      </w:r>
      <w:r w:rsidRPr="00B004EE">
        <w:rPr>
          <w:rFonts w:ascii="Tahoma" w:hAnsi="Tahoma" w:cs="Tahoma"/>
          <w:sz w:val="20"/>
          <w:szCs w:val="20"/>
        </w:rPr>
        <w:t>pêche</w:t>
      </w:r>
      <w:r w:rsidR="00DB1635" w:rsidRPr="00B004EE">
        <w:rPr>
          <w:rFonts w:ascii="Tahoma" w:hAnsi="Tahoma" w:cs="Tahoma"/>
          <w:spacing w:val="-23"/>
          <w:sz w:val="20"/>
          <w:szCs w:val="20"/>
        </w:rPr>
        <w:t xml:space="preserve"> </w:t>
      </w:r>
      <w:r w:rsidRPr="00B004EE">
        <w:rPr>
          <w:rFonts w:ascii="Tahoma" w:hAnsi="Tahoma" w:cs="Tahoma"/>
          <w:sz w:val="20"/>
          <w:szCs w:val="20"/>
        </w:rPr>
        <w:t>et</w:t>
      </w:r>
      <w:r w:rsidR="00DB1635" w:rsidRPr="00B004EE">
        <w:rPr>
          <w:rFonts w:ascii="Tahoma" w:hAnsi="Tahoma" w:cs="Tahoma"/>
          <w:spacing w:val="-23"/>
          <w:sz w:val="20"/>
          <w:szCs w:val="20"/>
        </w:rPr>
        <w:t xml:space="preserve"> </w:t>
      </w:r>
      <w:r w:rsidRPr="00B004EE">
        <w:rPr>
          <w:rFonts w:ascii="Tahoma" w:hAnsi="Tahoma" w:cs="Tahoma"/>
          <w:sz w:val="20"/>
          <w:szCs w:val="20"/>
        </w:rPr>
        <w:t>sur</w:t>
      </w:r>
      <w:r w:rsidR="00DB1635" w:rsidRPr="00B004EE">
        <w:rPr>
          <w:rFonts w:ascii="Tahoma" w:hAnsi="Tahoma" w:cs="Tahoma"/>
          <w:spacing w:val="-24"/>
          <w:sz w:val="20"/>
          <w:szCs w:val="20"/>
        </w:rPr>
        <w:t xml:space="preserve"> </w:t>
      </w:r>
      <w:r w:rsidRPr="00B004EE">
        <w:rPr>
          <w:rFonts w:ascii="Tahoma" w:hAnsi="Tahoma" w:cs="Tahoma"/>
          <w:sz w:val="20"/>
          <w:szCs w:val="20"/>
        </w:rPr>
        <w:t>les</w:t>
      </w:r>
      <w:r w:rsidR="00DB1635" w:rsidRPr="00B004EE">
        <w:rPr>
          <w:rFonts w:ascii="Tahoma" w:hAnsi="Tahoma" w:cs="Tahoma"/>
          <w:spacing w:val="-23"/>
          <w:sz w:val="20"/>
          <w:szCs w:val="20"/>
        </w:rPr>
        <w:t xml:space="preserve"> </w:t>
      </w:r>
      <w:r w:rsidRPr="00B004EE">
        <w:rPr>
          <w:rFonts w:ascii="Tahoma" w:hAnsi="Tahoma" w:cs="Tahoma"/>
          <w:sz w:val="20"/>
          <w:szCs w:val="20"/>
        </w:rPr>
        <w:t>mesures</w:t>
      </w:r>
      <w:r w:rsidR="00DB1635" w:rsidRPr="00B004EE">
        <w:rPr>
          <w:rFonts w:ascii="Tahoma" w:hAnsi="Tahoma" w:cs="Tahoma"/>
          <w:spacing w:val="-23"/>
          <w:sz w:val="20"/>
          <w:szCs w:val="20"/>
        </w:rPr>
        <w:t xml:space="preserve"> </w:t>
      </w:r>
      <w:r w:rsidRPr="00B004EE">
        <w:rPr>
          <w:rFonts w:ascii="Tahoma" w:hAnsi="Tahoma" w:cs="Tahoma"/>
          <w:sz w:val="20"/>
          <w:szCs w:val="20"/>
        </w:rPr>
        <w:t>techniques</w:t>
      </w:r>
      <w:r w:rsidR="00DB1635" w:rsidRPr="00B004EE">
        <w:rPr>
          <w:rFonts w:ascii="Tahoma" w:hAnsi="Tahoma" w:cs="Tahoma"/>
          <w:spacing w:val="-24"/>
          <w:sz w:val="20"/>
          <w:szCs w:val="20"/>
        </w:rPr>
        <w:t xml:space="preserve"> </w:t>
      </w:r>
      <w:r w:rsidRPr="00B004EE">
        <w:rPr>
          <w:rFonts w:ascii="Tahoma" w:hAnsi="Tahoma" w:cs="Tahoma"/>
          <w:sz w:val="20"/>
          <w:szCs w:val="20"/>
        </w:rPr>
        <w:t>de</w:t>
      </w:r>
      <w:r w:rsidR="00DB1635" w:rsidRPr="00B004EE">
        <w:rPr>
          <w:rFonts w:ascii="Tahoma" w:hAnsi="Tahoma" w:cs="Tahoma"/>
          <w:spacing w:val="-23"/>
          <w:sz w:val="20"/>
          <w:szCs w:val="20"/>
        </w:rPr>
        <w:t xml:space="preserve"> </w:t>
      </w:r>
      <w:r w:rsidRPr="00B004EE">
        <w:rPr>
          <w:rFonts w:ascii="Tahoma" w:hAnsi="Tahoma" w:cs="Tahoma"/>
          <w:sz w:val="20"/>
          <w:szCs w:val="20"/>
        </w:rPr>
        <w:t>gestion</w:t>
      </w:r>
      <w:r w:rsidR="00DB1635" w:rsidRPr="00B004EE">
        <w:rPr>
          <w:rFonts w:ascii="Tahoma" w:hAnsi="Tahoma" w:cs="Tahoma"/>
          <w:spacing w:val="-22"/>
          <w:sz w:val="20"/>
          <w:szCs w:val="20"/>
        </w:rPr>
        <w:t xml:space="preserve"> </w:t>
      </w:r>
      <w:r w:rsidRPr="00B004EE">
        <w:rPr>
          <w:rFonts w:ascii="Tahoma" w:hAnsi="Tahoma" w:cs="Tahoma"/>
          <w:sz w:val="20"/>
          <w:szCs w:val="20"/>
        </w:rPr>
        <w:t>susceptibles</w:t>
      </w:r>
      <w:r w:rsidR="00DB1635" w:rsidRPr="00B004EE">
        <w:rPr>
          <w:rFonts w:ascii="Tahoma" w:hAnsi="Tahoma" w:cs="Tahoma"/>
          <w:spacing w:val="-23"/>
          <w:sz w:val="20"/>
          <w:szCs w:val="20"/>
        </w:rPr>
        <w:t xml:space="preserve"> </w:t>
      </w:r>
      <w:r w:rsidRPr="00B004EE">
        <w:rPr>
          <w:rFonts w:ascii="Tahoma" w:hAnsi="Tahoma" w:cs="Tahoma"/>
          <w:sz w:val="20"/>
          <w:szCs w:val="20"/>
        </w:rPr>
        <w:t>d'être</w:t>
      </w:r>
      <w:r w:rsidR="00DB1635" w:rsidRPr="00B004EE">
        <w:rPr>
          <w:rFonts w:ascii="Tahoma" w:hAnsi="Tahoma" w:cs="Tahoma"/>
          <w:spacing w:val="-23"/>
          <w:sz w:val="20"/>
          <w:szCs w:val="20"/>
        </w:rPr>
        <w:t xml:space="preserve"> </w:t>
      </w:r>
      <w:r w:rsidRPr="00B004EE">
        <w:rPr>
          <w:rFonts w:ascii="Tahoma" w:hAnsi="Tahoma" w:cs="Tahoma"/>
          <w:sz w:val="20"/>
          <w:szCs w:val="20"/>
        </w:rPr>
        <w:t>prises.</w:t>
      </w:r>
    </w:p>
    <w:p w14:paraId="07F6A289" w14:textId="39E96D67" w:rsidR="001E7C3C" w:rsidRPr="00B004EE" w:rsidRDefault="001E7C3C" w:rsidP="00B004EE">
      <w:pPr>
        <w:pStyle w:val="Corpsdetexte"/>
        <w:ind w:right="161"/>
        <w:rPr>
          <w:rFonts w:ascii="Tahoma" w:hAnsi="Tahoma" w:cs="Tahoma"/>
          <w:sz w:val="20"/>
          <w:szCs w:val="20"/>
        </w:rPr>
      </w:pPr>
      <w:r w:rsidRPr="00B004EE">
        <w:rPr>
          <w:rFonts w:ascii="Tahoma" w:hAnsi="Tahoma" w:cs="Tahoma"/>
          <w:sz w:val="20"/>
          <w:szCs w:val="20"/>
        </w:rPr>
        <w:t>Le</w:t>
      </w:r>
      <w:r w:rsidR="00DB1635" w:rsidRPr="00B004EE">
        <w:rPr>
          <w:rFonts w:ascii="Tahoma" w:hAnsi="Tahoma" w:cs="Tahoma"/>
          <w:spacing w:val="42"/>
          <w:sz w:val="20"/>
          <w:szCs w:val="20"/>
        </w:rPr>
        <w:t xml:space="preserve"> </w:t>
      </w:r>
      <w:r w:rsidRPr="00B004EE">
        <w:rPr>
          <w:rFonts w:ascii="Tahoma" w:hAnsi="Tahoma" w:cs="Tahoma"/>
          <w:sz w:val="20"/>
          <w:szCs w:val="20"/>
        </w:rPr>
        <w:t>Conseil</w:t>
      </w:r>
      <w:r w:rsidR="00DB1635" w:rsidRPr="00B004EE">
        <w:rPr>
          <w:rFonts w:ascii="Tahoma" w:hAnsi="Tahoma" w:cs="Tahoma"/>
          <w:spacing w:val="43"/>
          <w:sz w:val="20"/>
          <w:szCs w:val="20"/>
        </w:rPr>
        <w:t xml:space="preserve"> </w:t>
      </w:r>
      <w:r w:rsidRPr="00B004EE">
        <w:rPr>
          <w:rFonts w:ascii="Tahoma" w:hAnsi="Tahoma" w:cs="Tahoma"/>
          <w:sz w:val="20"/>
          <w:szCs w:val="20"/>
        </w:rPr>
        <w:t>Consultatif</w:t>
      </w:r>
      <w:r w:rsidR="00DB1635" w:rsidRPr="00B004EE">
        <w:rPr>
          <w:rFonts w:ascii="Tahoma" w:hAnsi="Tahoma" w:cs="Tahoma"/>
          <w:spacing w:val="42"/>
          <w:sz w:val="20"/>
          <w:szCs w:val="20"/>
        </w:rPr>
        <w:t xml:space="preserve"> </w:t>
      </w:r>
      <w:r w:rsidRPr="00B004EE">
        <w:rPr>
          <w:rFonts w:ascii="Tahoma" w:hAnsi="Tahoma" w:cs="Tahoma"/>
          <w:sz w:val="20"/>
          <w:szCs w:val="20"/>
        </w:rPr>
        <w:t>National</w:t>
      </w:r>
      <w:r w:rsidR="00DB1635" w:rsidRPr="00B004EE">
        <w:rPr>
          <w:rFonts w:ascii="Tahoma" w:hAnsi="Tahoma" w:cs="Tahoma"/>
          <w:spacing w:val="43"/>
          <w:sz w:val="20"/>
          <w:szCs w:val="20"/>
        </w:rPr>
        <w:t xml:space="preserve"> </w:t>
      </w:r>
      <w:r w:rsidRPr="00B004EE">
        <w:rPr>
          <w:rFonts w:ascii="Tahoma" w:hAnsi="Tahoma" w:cs="Tahoma"/>
          <w:sz w:val="20"/>
          <w:szCs w:val="20"/>
        </w:rPr>
        <w:t>pour</w:t>
      </w:r>
      <w:r w:rsidR="00DB1635" w:rsidRPr="00B004EE">
        <w:rPr>
          <w:rFonts w:ascii="Tahoma" w:hAnsi="Tahoma" w:cs="Tahoma"/>
          <w:spacing w:val="42"/>
          <w:sz w:val="20"/>
          <w:szCs w:val="20"/>
        </w:rPr>
        <w:t xml:space="preserve"> </w:t>
      </w:r>
      <w:r w:rsidRPr="00B004EE">
        <w:rPr>
          <w:rFonts w:ascii="Tahoma" w:hAnsi="Tahoma" w:cs="Tahoma"/>
          <w:sz w:val="20"/>
          <w:szCs w:val="20"/>
        </w:rPr>
        <w:t>l'Aménagement</w:t>
      </w:r>
      <w:r w:rsidR="00DB1635" w:rsidRPr="00B004EE">
        <w:rPr>
          <w:rFonts w:ascii="Tahoma" w:hAnsi="Tahoma" w:cs="Tahoma"/>
          <w:spacing w:val="42"/>
          <w:sz w:val="20"/>
          <w:szCs w:val="20"/>
        </w:rPr>
        <w:t xml:space="preserve"> </w:t>
      </w:r>
      <w:r w:rsidRPr="00B004EE">
        <w:rPr>
          <w:rFonts w:ascii="Tahoma" w:hAnsi="Tahoma" w:cs="Tahoma"/>
          <w:sz w:val="20"/>
          <w:szCs w:val="20"/>
        </w:rPr>
        <w:t>et</w:t>
      </w:r>
      <w:r w:rsidR="00DB1635" w:rsidRPr="00B004EE">
        <w:rPr>
          <w:rFonts w:ascii="Tahoma" w:hAnsi="Tahoma" w:cs="Tahoma"/>
          <w:spacing w:val="42"/>
          <w:sz w:val="20"/>
          <w:szCs w:val="20"/>
        </w:rPr>
        <w:t xml:space="preserve"> </w:t>
      </w:r>
      <w:r w:rsidRPr="00B004EE">
        <w:rPr>
          <w:rFonts w:ascii="Tahoma" w:hAnsi="Tahoma" w:cs="Tahoma"/>
          <w:sz w:val="20"/>
          <w:szCs w:val="20"/>
        </w:rPr>
        <w:t>le</w:t>
      </w:r>
      <w:r w:rsidR="00DB1635" w:rsidRPr="00B004EE">
        <w:rPr>
          <w:rFonts w:ascii="Tahoma" w:hAnsi="Tahoma" w:cs="Tahoma"/>
          <w:spacing w:val="42"/>
          <w:sz w:val="20"/>
          <w:szCs w:val="20"/>
        </w:rPr>
        <w:t xml:space="preserve"> </w:t>
      </w:r>
      <w:r w:rsidRPr="00B004EE">
        <w:rPr>
          <w:rFonts w:ascii="Tahoma" w:hAnsi="Tahoma" w:cs="Tahoma"/>
          <w:sz w:val="20"/>
          <w:szCs w:val="20"/>
        </w:rPr>
        <w:t>Développement</w:t>
      </w:r>
      <w:r w:rsidR="00DB1635" w:rsidRPr="00B004EE">
        <w:rPr>
          <w:rFonts w:ascii="Tahoma" w:hAnsi="Tahoma" w:cs="Tahoma"/>
          <w:spacing w:val="42"/>
          <w:sz w:val="20"/>
          <w:szCs w:val="20"/>
        </w:rPr>
        <w:t xml:space="preserve"> </w:t>
      </w:r>
      <w:r w:rsidRPr="00B004EE">
        <w:rPr>
          <w:rFonts w:ascii="Tahoma" w:hAnsi="Tahoma" w:cs="Tahoma"/>
          <w:sz w:val="20"/>
          <w:szCs w:val="20"/>
        </w:rPr>
        <w:t>des</w:t>
      </w:r>
      <w:r w:rsidR="00DB1635" w:rsidRPr="00B004EE">
        <w:rPr>
          <w:rFonts w:ascii="Tahoma" w:hAnsi="Tahoma" w:cs="Tahoma"/>
          <w:w w:val="94"/>
          <w:sz w:val="20"/>
          <w:szCs w:val="20"/>
        </w:rPr>
        <w:t xml:space="preserve"> </w:t>
      </w:r>
      <w:r w:rsidRPr="00B004EE">
        <w:rPr>
          <w:rFonts w:ascii="Tahoma" w:hAnsi="Tahoma" w:cs="Tahoma"/>
          <w:sz w:val="20"/>
          <w:szCs w:val="20"/>
        </w:rPr>
        <w:t>Pêcheries</w:t>
      </w:r>
      <w:r w:rsidR="00DB1635" w:rsidRPr="00B004EE">
        <w:rPr>
          <w:rFonts w:ascii="Tahoma" w:hAnsi="Tahoma" w:cs="Tahoma"/>
          <w:spacing w:val="46"/>
          <w:sz w:val="20"/>
          <w:szCs w:val="20"/>
        </w:rPr>
        <w:t xml:space="preserve"> </w:t>
      </w:r>
      <w:r w:rsidRPr="00B004EE">
        <w:rPr>
          <w:rFonts w:ascii="Tahoma" w:hAnsi="Tahoma" w:cs="Tahoma"/>
          <w:sz w:val="20"/>
          <w:szCs w:val="20"/>
        </w:rPr>
        <w:t>comprend</w:t>
      </w:r>
      <w:r w:rsidR="00DB1635" w:rsidRPr="00B004EE">
        <w:rPr>
          <w:rFonts w:ascii="Tahoma" w:hAnsi="Tahoma" w:cs="Tahoma"/>
          <w:spacing w:val="45"/>
          <w:sz w:val="20"/>
          <w:szCs w:val="20"/>
        </w:rPr>
        <w:t xml:space="preserve"> </w:t>
      </w:r>
      <w:r w:rsidRPr="00B004EE">
        <w:rPr>
          <w:rFonts w:ascii="Tahoma" w:hAnsi="Tahoma" w:cs="Tahoma"/>
          <w:sz w:val="20"/>
          <w:szCs w:val="20"/>
        </w:rPr>
        <w:t>des</w:t>
      </w:r>
      <w:r w:rsidR="00DB1635" w:rsidRPr="00B004EE">
        <w:rPr>
          <w:rFonts w:ascii="Tahoma" w:hAnsi="Tahoma" w:cs="Tahoma"/>
          <w:spacing w:val="45"/>
          <w:sz w:val="20"/>
          <w:szCs w:val="20"/>
        </w:rPr>
        <w:t xml:space="preserve"> </w:t>
      </w:r>
      <w:r w:rsidRPr="00B004EE">
        <w:rPr>
          <w:rFonts w:ascii="Tahoma" w:hAnsi="Tahoma" w:cs="Tahoma"/>
          <w:sz w:val="20"/>
          <w:szCs w:val="20"/>
        </w:rPr>
        <w:t>représent</w:t>
      </w:r>
      <w:r w:rsidRPr="00B004EE">
        <w:rPr>
          <w:rFonts w:ascii="Tahoma" w:eastAsia="American Typewriter" w:hAnsi="Tahoma" w:cs="Tahoma"/>
          <w:sz w:val="20"/>
          <w:szCs w:val="20"/>
        </w:rPr>
        <w:t>ants</w:t>
      </w:r>
      <w:r w:rsidR="00DB1635" w:rsidRPr="00B004EE">
        <w:rPr>
          <w:rFonts w:ascii="Tahoma" w:eastAsia="American Typewriter" w:hAnsi="Tahoma" w:cs="Tahoma"/>
          <w:spacing w:val="45"/>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pacing w:val="46"/>
          <w:sz w:val="20"/>
          <w:szCs w:val="20"/>
        </w:rPr>
        <w:t xml:space="preserve"> </w:t>
      </w:r>
      <w:r w:rsidRPr="00B004EE">
        <w:rPr>
          <w:rFonts w:ascii="Tahoma" w:eastAsia="American Typewriter" w:hAnsi="Tahoma" w:cs="Tahoma"/>
          <w:sz w:val="20"/>
          <w:szCs w:val="20"/>
        </w:rPr>
        <w:t>l’Administration,</w:t>
      </w:r>
      <w:r w:rsidR="00DB1635" w:rsidRPr="00B004EE">
        <w:rPr>
          <w:rFonts w:ascii="Tahoma" w:eastAsia="American Typewriter" w:hAnsi="Tahoma" w:cs="Tahoma"/>
          <w:spacing w:val="46"/>
          <w:sz w:val="20"/>
          <w:szCs w:val="20"/>
        </w:rPr>
        <w:t xml:space="preserve"> </w:t>
      </w:r>
      <w:r w:rsidRPr="00B004EE">
        <w:rPr>
          <w:rFonts w:ascii="Tahoma" w:eastAsia="American Typewriter" w:hAnsi="Tahoma" w:cs="Tahoma"/>
          <w:sz w:val="20"/>
          <w:szCs w:val="20"/>
        </w:rPr>
        <w:t>des</w:t>
      </w:r>
      <w:r w:rsidR="00DB1635" w:rsidRPr="00B004EE">
        <w:rPr>
          <w:rFonts w:ascii="Tahoma" w:eastAsia="American Typewriter" w:hAnsi="Tahoma" w:cs="Tahoma"/>
          <w:spacing w:val="44"/>
          <w:sz w:val="20"/>
          <w:szCs w:val="20"/>
        </w:rPr>
        <w:t xml:space="preserve"> </w:t>
      </w:r>
      <w:r w:rsidRPr="00B004EE">
        <w:rPr>
          <w:rFonts w:ascii="Tahoma" w:eastAsia="American Typewriter" w:hAnsi="Tahoma" w:cs="Tahoma"/>
          <w:sz w:val="20"/>
          <w:szCs w:val="20"/>
        </w:rPr>
        <w:t>organisations</w:t>
      </w:r>
      <w:r w:rsidR="00DB1635" w:rsidRPr="00B004EE">
        <w:rPr>
          <w:rFonts w:ascii="Tahoma" w:eastAsia="American Typewriter" w:hAnsi="Tahoma" w:cs="Tahoma"/>
          <w:w w:val="93"/>
          <w:sz w:val="20"/>
          <w:szCs w:val="20"/>
        </w:rPr>
        <w:t xml:space="preserve"> </w:t>
      </w:r>
      <w:r w:rsidRPr="00B004EE">
        <w:rPr>
          <w:rFonts w:ascii="Tahoma" w:hAnsi="Tahoma" w:cs="Tahoma"/>
          <w:sz w:val="20"/>
          <w:szCs w:val="20"/>
        </w:rPr>
        <w:t>professionnelles</w:t>
      </w:r>
      <w:r w:rsidR="00DB1635" w:rsidRPr="00B004EE">
        <w:rPr>
          <w:rFonts w:ascii="Tahoma" w:hAnsi="Tahoma" w:cs="Tahoma"/>
          <w:sz w:val="20"/>
          <w:szCs w:val="20"/>
        </w:rPr>
        <w:t xml:space="preserve"> </w:t>
      </w:r>
      <w:r w:rsidRPr="00B004EE">
        <w:rPr>
          <w:rFonts w:ascii="Tahoma" w:hAnsi="Tahoma" w:cs="Tahoma"/>
          <w:sz w:val="20"/>
          <w:szCs w:val="20"/>
        </w:rPr>
        <w:t>concernées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cas</w:t>
      </w:r>
      <w:r w:rsidR="00DB1635" w:rsidRPr="00B004EE">
        <w:rPr>
          <w:rFonts w:ascii="Tahoma" w:hAnsi="Tahoma" w:cs="Tahoma"/>
          <w:sz w:val="20"/>
          <w:szCs w:val="20"/>
        </w:rPr>
        <w:t xml:space="preserve"> </w:t>
      </w:r>
      <w:r w:rsidRPr="00B004EE">
        <w:rPr>
          <w:rFonts w:ascii="Tahoma" w:hAnsi="Tahoma" w:cs="Tahoma"/>
          <w:sz w:val="20"/>
          <w:szCs w:val="20"/>
        </w:rPr>
        <w:t>échéant,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personnalités</w:t>
      </w:r>
      <w:r w:rsidR="00DB1635" w:rsidRPr="00B004EE">
        <w:rPr>
          <w:rFonts w:ascii="Tahoma" w:hAnsi="Tahoma" w:cs="Tahoma"/>
          <w:sz w:val="20"/>
          <w:szCs w:val="20"/>
        </w:rPr>
        <w:t xml:space="preserve"> </w:t>
      </w:r>
      <w:r w:rsidRPr="00B004EE">
        <w:rPr>
          <w:rFonts w:ascii="Tahoma" w:hAnsi="Tahoma" w:cs="Tahoma"/>
          <w:sz w:val="20"/>
          <w:szCs w:val="20"/>
        </w:rPr>
        <w:t>qualifiées</w:t>
      </w:r>
      <w:r w:rsidR="00DB1635" w:rsidRPr="00B004EE">
        <w:rPr>
          <w:rFonts w:ascii="Tahoma" w:hAnsi="Tahoma" w:cs="Tahoma"/>
          <w:sz w:val="20"/>
          <w:szCs w:val="20"/>
        </w:rPr>
        <w:t xml:space="preserve"> </w:t>
      </w:r>
      <w:r w:rsidRPr="00B004EE">
        <w:rPr>
          <w:rFonts w:ascii="Tahoma" w:hAnsi="Tahoma" w:cs="Tahoma"/>
          <w:sz w:val="20"/>
          <w:szCs w:val="20"/>
        </w:rPr>
        <w:t>sur</w:t>
      </w:r>
      <w:r w:rsidR="00DB1635" w:rsidRPr="00B004EE">
        <w:rPr>
          <w:rFonts w:ascii="Tahoma" w:hAnsi="Tahoma" w:cs="Tahoma"/>
          <w:spacing w:val="-21"/>
          <w:sz w:val="20"/>
          <w:szCs w:val="20"/>
        </w:rPr>
        <w:t xml:space="preserve"> </w:t>
      </w:r>
      <w:r w:rsidRPr="00B004EE">
        <w:rPr>
          <w:rFonts w:ascii="Tahoma" w:hAnsi="Tahoma" w:cs="Tahoma"/>
          <w:sz w:val="20"/>
          <w:szCs w:val="20"/>
        </w:rPr>
        <w:t>le</w:t>
      </w:r>
      <w:r w:rsidR="00DB1635" w:rsidRPr="00B004EE">
        <w:rPr>
          <w:rFonts w:ascii="Tahoma" w:hAnsi="Tahoma" w:cs="Tahoma"/>
          <w:w w:val="94"/>
          <w:sz w:val="20"/>
          <w:szCs w:val="20"/>
        </w:rPr>
        <w:t xml:space="preserve"> </w:t>
      </w:r>
      <w:r w:rsidRPr="00B004EE">
        <w:rPr>
          <w:rFonts w:ascii="Tahoma" w:hAnsi="Tahoma" w:cs="Tahoma"/>
          <w:w w:val="95"/>
          <w:sz w:val="20"/>
          <w:szCs w:val="20"/>
        </w:rPr>
        <w:t>plan</w:t>
      </w:r>
      <w:r w:rsidR="00DB1635" w:rsidRPr="00B004EE">
        <w:rPr>
          <w:rFonts w:ascii="Tahoma" w:hAnsi="Tahoma" w:cs="Tahoma"/>
          <w:spacing w:val="41"/>
          <w:w w:val="95"/>
          <w:sz w:val="20"/>
          <w:szCs w:val="20"/>
        </w:rPr>
        <w:t xml:space="preserve"> </w:t>
      </w:r>
      <w:r w:rsidRPr="00B004EE">
        <w:rPr>
          <w:rFonts w:ascii="Tahoma" w:hAnsi="Tahoma" w:cs="Tahoma"/>
          <w:w w:val="95"/>
          <w:sz w:val="20"/>
          <w:szCs w:val="20"/>
        </w:rPr>
        <w:t>scientifique.</w:t>
      </w:r>
    </w:p>
    <w:p w14:paraId="1BC61A45" w14:textId="311610C6" w:rsidR="001E7C3C" w:rsidRPr="00B004EE" w:rsidRDefault="001E7C3C" w:rsidP="00B004EE">
      <w:pPr>
        <w:pStyle w:val="Corpsdetexte"/>
        <w:ind w:right="158"/>
        <w:rPr>
          <w:rFonts w:ascii="Tahoma" w:hAnsi="Tahoma" w:cs="Tahoma"/>
          <w:sz w:val="20"/>
          <w:szCs w:val="20"/>
        </w:rPr>
      </w:pP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attributions,</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fonctionnement</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composition</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Conseil</w:t>
      </w:r>
      <w:r w:rsidR="00DB1635" w:rsidRPr="00B004EE">
        <w:rPr>
          <w:rFonts w:ascii="Tahoma" w:hAnsi="Tahoma" w:cs="Tahoma"/>
          <w:spacing w:val="5"/>
          <w:sz w:val="20"/>
          <w:szCs w:val="20"/>
        </w:rPr>
        <w:t xml:space="preserve"> </w:t>
      </w:r>
      <w:r w:rsidRPr="00B004EE">
        <w:rPr>
          <w:rFonts w:ascii="Tahoma" w:hAnsi="Tahoma" w:cs="Tahoma"/>
          <w:sz w:val="20"/>
          <w:szCs w:val="20"/>
        </w:rPr>
        <w:t>Consultatif</w:t>
      </w:r>
      <w:r w:rsidR="00DB1635" w:rsidRPr="00B004EE">
        <w:rPr>
          <w:rFonts w:ascii="Tahoma" w:hAnsi="Tahoma" w:cs="Tahoma"/>
          <w:w w:val="96"/>
          <w:sz w:val="20"/>
          <w:szCs w:val="20"/>
        </w:rPr>
        <w:t xml:space="preserve"> </w:t>
      </w:r>
      <w:r w:rsidRPr="00B004EE">
        <w:rPr>
          <w:rFonts w:ascii="Tahoma" w:hAnsi="Tahoma" w:cs="Tahoma"/>
          <w:sz w:val="20"/>
          <w:szCs w:val="20"/>
        </w:rPr>
        <w:t>National</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l'Aménagement</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Développement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Pêcheries</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fixés</w:t>
      </w:r>
      <w:r w:rsidR="00DB1635" w:rsidRPr="00B004EE">
        <w:rPr>
          <w:rFonts w:ascii="Tahoma" w:hAnsi="Tahoma" w:cs="Tahoma"/>
          <w:spacing w:val="25"/>
          <w:sz w:val="20"/>
          <w:szCs w:val="20"/>
        </w:rPr>
        <w:t xml:space="preserve"> </w:t>
      </w:r>
      <w:r w:rsidRPr="00B004EE">
        <w:rPr>
          <w:rFonts w:ascii="Tahoma" w:hAnsi="Tahoma" w:cs="Tahoma"/>
          <w:sz w:val="20"/>
          <w:szCs w:val="20"/>
        </w:rPr>
        <w:t>par</w:t>
      </w:r>
      <w:r w:rsidR="00DB1635" w:rsidRPr="00B004EE">
        <w:rPr>
          <w:rFonts w:ascii="Tahoma" w:hAnsi="Tahoma" w:cs="Tahoma"/>
          <w:w w:val="90"/>
          <w:sz w:val="20"/>
          <w:szCs w:val="20"/>
        </w:rPr>
        <w:t xml:space="preserve"> </w:t>
      </w:r>
      <w:r w:rsidRPr="00B004EE">
        <w:rPr>
          <w:rFonts w:ascii="Tahoma" w:hAnsi="Tahoma" w:cs="Tahoma"/>
          <w:sz w:val="20"/>
          <w:szCs w:val="20"/>
        </w:rPr>
        <w:t>décret</w:t>
      </w:r>
      <w:r w:rsidR="00DB1635" w:rsidRPr="00B004EE">
        <w:rPr>
          <w:rFonts w:ascii="Tahoma" w:hAnsi="Tahoma" w:cs="Tahoma"/>
          <w:spacing w:val="-27"/>
          <w:sz w:val="20"/>
          <w:szCs w:val="20"/>
        </w:rPr>
        <w:t xml:space="preserve"> </w:t>
      </w:r>
      <w:r w:rsidRPr="00B004EE">
        <w:rPr>
          <w:rFonts w:ascii="Tahoma" w:hAnsi="Tahoma" w:cs="Tahoma"/>
          <w:sz w:val="20"/>
          <w:szCs w:val="20"/>
        </w:rPr>
        <w:t>pris</w:t>
      </w:r>
      <w:r w:rsidR="00DB1635" w:rsidRPr="00B004EE">
        <w:rPr>
          <w:rFonts w:ascii="Tahoma" w:hAnsi="Tahoma" w:cs="Tahoma"/>
          <w:spacing w:val="-27"/>
          <w:sz w:val="20"/>
          <w:szCs w:val="20"/>
        </w:rPr>
        <w:t xml:space="preserve"> </w:t>
      </w:r>
      <w:r w:rsidRPr="00B004EE">
        <w:rPr>
          <w:rFonts w:ascii="Tahoma" w:hAnsi="Tahoma" w:cs="Tahoma"/>
          <w:sz w:val="20"/>
          <w:szCs w:val="20"/>
        </w:rPr>
        <w:t>en</w:t>
      </w:r>
      <w:r w:rsidR="00DB1635" w:rsidRPr="00B004EE">
        <w:rPr>
          <w:rFonts w:ascii="Tahoma" w:hAnsi="Tahoma" w:cs="Tahoma"/>
          <w:spacing w:val="-27"/>
          <w:sz w:val="20"/>
          <w:szCs w:val="20"/>
        </w:rPr>
        <w:t xml:space="preserve"> </w:t>
      </w:r>
      <w:r w:rsidRPr="00B004EE">
        <w:rPr>
          <w:rFonts w:ascii="Tahoma" w:hAnsi="Tahoma" w:cs="Tahoma"/>
          <w:sz w:val="20"/>
          <w:szCs w:val="20"/>
        </w:rPr>
        <w:t>Conseil</w:t>
      </w:r>
      <w:r w:rsidR="00DB1635" w:rsidRPr="00B004EE">
        <w:rPr>
          <w:rFonts w:ascii="Tahoma" w:hAnsi="Tahoma" w:cs="Tahoma"/>
          <w:spacing w:val="-26"/>
          <w:sz w:val="20"/>
          <w:szCs w:val="20"/>
        </w:rPr>
        <w:t xml:space="preserve"> </w:t>
      </w:r>
      <w:r w:rsidRPr="00B004EE">
        <w:rPr>
          <w:rFonts w:ascii="Tahoma" w:hAnsi="Tahoma" w:cs="Tahoma"/>
          <w:sz w:val="20"/>
          <w:szCs w:val="20"/>
        </w:rPr>
        <w:t>des</w:t>
      </w:r>
      <w:r w:rsidR="00DB1635" w:rsidRPr="00B004EE">
        <w:rPr>
          <w:rFonts w:ascii="Tahoma" w:hAnsi="Tahoma" w:cs="Tahoma"/>
          <w:spacing w:val="-26"/>
          <w:sz w:val="20"/>
          <w:szCs w:val="20"/>
        </w:rPr>
        <w:t xml:space="preserve"> </w:t>
      </w:r>
      <w:r w:rsidRPr="00B004EE">
        <w:rPr>
          <w:rFonts w:ascii="Tahoma" w:hAnsi="Tahoma" w:cs="Tahoma"/>
          <w:sz w:val="20"/>
          <w:szCs w:val="20"/>
        </w:rPr>
        <w:t>ministres,</w:t>
      </w:r>
      <w:r w:rsidR="00DB1635" w:rsidRPr="00B004EE">
        <w:rPr>
          <w:rFonts w:ascii="Tahoma" w:hAnsi="Tahoma" w:cs="Tahoma"/>
          <w:spacing w:val="-26"/>
          <w:sz w:val="20"/>
          <w:szCs w:val="20"/>
        </w:rPr>
        <w:t xml:space="preserve"> </w:t>
      </w:r>
      <w:r w:rsidRPr="00B004EE">
        <w:rPr>
          <w:rFonts w:ascii="Tahoma" w:hAnsi="Tahoma" w:cs="Tahoma"/>
          <w:sz w:val="20"/>
          <w:szCs w:val="20"/>
        </w:rPr>
        <w:t>sur</w:t>
      </w:r>
      <w:r w:rsidR="00DB1635" w:rsidRPr="00B004EE">
        <w:rPr>
          <w:rFonts w:ascii="Tahoma" w:hAnsi="Tahoma" w:cs="Tahoma"/>
          <w:spacing w:val="-27"/>
          <w:sz w:val="20"/>
          <w:szCs w:val="20"/>
        </w:rPr>
        <w:t xml:space="preserve"> </w:t>
      </w:r>
      <w:r w:rsidRPr="00B004EE">
        <w:rPr>
          <w:rFonts w:ascii="Tahoma" w:hAnsi="Tahoma" w:cs="Tahoma"/>
          <w:sz w:val="20"/>
          <w:szCs w:val="20"/>
        </w:rPr>
        <w:t>rapport</w:t>
      </w:r>
      <w:r w:rsidR="00DB1635" w:rsidRPr="00B004EE">
        <w:rPr>
          <w:rFonts w:ascii="Tahoma" w:hAnsi="Tahoma" w:cs="Tahoma"/>
          <w:spacing w:val="9"/>
          <w:sz w:val="20"/>
          <w:szCs w:val="20"/>
        </w:rPr>
        <w:t xml:space="preserve"> </w:t>
      </w:r>
      <w:r w:rsidRPr="00B004EE">
        <w:rPr>
          <w:rFonts w:ascii="Tahoma" w:hAnsi="Tahoma" w:cs="Tahoma"/>
          <w:sz w:val="20"/>
          <w:szCs w:val="20"/>
        </w:rPr>
        <w:t>du</w:t>
      </w:r>
      <w:r w:rsidR="00DB1635" w:rsidRPr="00B004EE">
        <w:rPr>
          <w:rFonts w:ascii="Tahoma" w:hAnsi="Tahoma" w:cs="Tahoma"/>
          <w:spacing w:val="-26"/>
          <w:sz w:val="20"/>
          <w:szCs w:val="20"/>
        </w:rPr>
        <w:t xml:space="preserve"> </w:t>
      </w:r>
      <w:r w:rsidRPr="00B004EE">
        <w:rPr>
          <w:rFonts w:ascii="Tahoma" w:hAnsi="Tahoma" w:cs="Tahoma"/>
          <w:sz w:val="20"/>
          <w:szCs w:val="20"/>
        </w:rPr>
        <w:t>ministre</w:t>
      </w:r>
      <w:r w:rsidR="00DB1635" w:rsidRPr="00B004EE">
        <w:rPr>
          <w:rFonts w:ascii="Tahoma" w:hAnsi="Tahoma" w:cs="Tahoma"/>
          <w:spacing w:val="-26"/>
          <w:sz w:val="20"/>
          <w:szCs w:val="20"/>
        </w:rPr>
        <w:t xml:space="preserve"> </w:t>
      </w:r>
      <w:r w:rsidRPr="00B004EE">
        <w:rPr>
          <w:rFonts w:ascii="Tahoma" w:hAnsi="Tahoma" w:cs="Tahoma"/>
          <w:sz w:val="20"/>
          <w:szCs w:val="20"/>
        </w:rPr>
        <w:t>chargé</w:t>
      </w:r>
      <w:r w:rsidR="00DB1635" w:rsidRPr="00B004EE">
        <w:rPr>
          <w:rFonts w:ascii="Tahoma" w:hAnsi="Tahoma" w:cs="Tahoma"/>
          <w:spacing w:val="-27"/>
          <w:sz w:val="20"/>
          <w:szCs w:val="20"/>
        </w:rPr>
        <w:t xml:space="preserve"> </w:t>
      </w:r>
      <w:r w:rsidRPr="00B004EE">
        <w:rPr>
          <w:rFonts w:ascii="Tahoma" w:hAnsi="Tahoma" w:cs="Tahoma"/>
          <w:sz w:val="20"/>
          <w:szCs w:val="20"/>
        </w:rPr>
        <w:t>des</w:t>
      </w:r>
      <w:r w:rsidR="00DB1635" w:rsidRPr="00B004EE">
        <w:rPr>
          <w:rFonts w:ascii="Tahoma" w:hAnsi="Tahoma" w:cs="Tahoma"/>
          <w:spacing w:val="-27"/>
          <w:sz w:val="20"/>
          <w:szCs w:val="20"/>
        </w:rPr>
        <w:t xml:space="preserve"> </w:t>
      </w:r>
      <w:r w:rsidRPr="00B004EE">
        <w:rPr>
          <w:rFonts w:ascii="Tahoma" w:hAnsi="Tahoma" w:cs="Tahoma"/>
          <w:sz w:val="20"/>
          <w:szCs w:val="20"/>
        </w:rPr>
        <w:t>pêches.</w:t>
      </w:r>
    </w:p>
    <w:p w14:paraId="19EA8666" w14:textId="77777777" w:rsidR="001E7C3C" w:rsidRPr="00B004EE" w:rsidRDefault="001E7C3C" w:rsidP="00B004EE">
      <w:pPr>
        <w:rPr>
          <w:rFonts w:ascii="Tahoma" w:eastAsia="American Typewriter" w:hAnsi="Tahoma" w:cs="Tahoma"/>
          <w:sz w:val="20"/>
          <w:szCs w:val="20"/>
        </w:rPr>
      </w:pPr>
    </w:p>
    <w:p w14:paraId="5532B129" w14:textId="50725603" w:rsidR="001E7C3C" w:rsidRPr="00B004EE" w:rsidRDefault="001E7C3C" w:rsidP="00B004EE">
      <w:pPr>
        <w:ind w:right="164" w:hanging="4"/>
        <w:jc w:val="center"/>
        <w:rPr>
          <w:rFonts w:ascii="Tahoma" w:hAnsi="Tahoma" w:cs="Tahoma"/>
          <w:b/>
          <w:spacing w:val="1"/>
          <w:w w:val="113"/>
          <w:sz w:val="20"/>
          <w:szCs w:val="20"/>
        </w:rPr>
      </w:pPr>
      <w:bookmarkStart w:id="51" w:name="_Toc16279058"/>
      <w:bookmarkStart w:id="52" w:name="_Toc16279427"/>
      <w:r w:rsidRPr="00B004EE">
        <w:rPr>
          <w:rFonts w:ascii="Tahoma" w:hAnsi="Tahoma" w:cs="Tahoma"/>
          <w:b/>
          <w:spacing w:val="1"/>
          <w:w w:val="113"/>
          <w:sz w:val="20"/>
          <w:szCs w:val="20"/>
        </w:rPr>
        <w:t>Section</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3</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Des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Comités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consultatifs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territoriaux</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pour</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l’aménagement</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et</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la</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gestion</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des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pêcheries</w:t>
      </w:r>
      <w:bookmarkEnd w:id="51"/>
      <w:bookmarkEnd w:id="52"/>
    </w:p>
    <w:p w14:paraId="4D5A9C16" w14:textId="77777777" w:rsidR="00BB060F" w:rsidRPr="00B004EE" w:rsidRDefault="00BB060F" w:rsidP="00B004EE">
      <w:pPr>
        <w:ind w:right="164" w:hanging="4"/>
        <w:jc w:val="center"/>
        <w:rPr>
          <w:rFonts w:ascii="Tahoma" w:hAnsi="Tahoma" w:cs="Tahoma"/>
          <w:b/>
          <w:spacing w:val="1"/>
          <w:w w:val="113"/>
          <w:sz w:val="20"/>
          <w:szCs w:val="20"/>
        </w:rPr>
      </w:pPr>
    </w:p>
    <w:p w14:paraId="14C359A3" w14:textId="6E231E7E" w:rsidR="001E7C3C" w:rsidRPr="00B004EE" w:rsidRDefault="001E7C3C" w:rsidP="00B004EE">
      <w:pPr>
        <w:pStyle w:val="Corpsdetexte"/>
        <w:ind w:right="159"/>
        <w:rPr>
          <w:rFonts w:ascii="Tahoma" w:hAnsi="Tahoma" w:cs="Tahoma"/>
          <w:sz w:val="20"/>
          <w:szCs w:val="20"/>
        </w:rPr>
      </w:pPr>
      <w:r w:rsidRPr="00B004EE">
        <w:rPr>
          <w:rFonts w:ascii="Tahoma" w:eastAsia="American Typewriter" w:hAnsi="Tahoma" w:cs="Tahoma"/>
          <w:sz w:val="20"/>
          <w:szCs w:val="20"/>
        </w:rPr>
        <w:t>Article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22</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w:t>
      </w:r>
      <w:r w:rsidR="00DB1635" w:rsidRPr="00B004EE">
        <w:rPr>
          <w:rFonts w:ascii="Tahoma" w:eastAsia="American Typewriter" w:hAnsi="Tahoma" w:cs="Tahoma"/>
          <w:sz w:val="20"/>
          <w:szCs w:val="20"/>
        </w:rPr>
        <w:t xml:space="preserve"> </w:t>
      </w:r>
      <w:r w:rsidRPr="00B004EE">
        <w:rPr>
          <w:rFonts w:ascii="Tahoma" w:hAnsi="Tahoma" w:cs="Tahoma"/>
          <w:sz w:val="20"/>
          <w:szCs w:val="20"/>
        </w:rPr>
        <w:t>Des</w:t>
      </w:r>
      <w:r w:rsidR="00DB1635" w:rsidRPr="00B004EE">
        <w:rPr>
          <w:rFonts w:ascii="Tahoma" w:hAnsi="Tahoma" w:cs="Tahoma"/>
          <w:spacing w:val="-27"/>
          <w:sz w:val="20"/>
          <w:szCs w:val="20"/>
        </w:rPr>
        <w:t xml:space="preserve"> </w:t>
      </w:r>
      <w:r w:rsidRPr="00B004EE">
        <w:rPr>
          <w:rFonts w:ascii="Tahoma" w:hAnsi="Tahoma" w:cs="Tahoma"/>
          <w:sz w:val="20"/>
          <w:szCs w:val="20"/>
        </w:rPr>
        <w:t>comités</w:t>
      </w:r>
      <w:r w:rsidR="00DB1635" w:rsidRPr="00B004EE">
        <w:rPr>
          <w:rFonts w:ascii="Tahoma" w:hAnsi="Tahoma" w:cs="Tahoma"/>
          <w:spacing w:val="-27"/>
          <w:sz w:val="20"/>
          <w:szCs w:val="20"/>
        </w:rPr>
        <w:t xml:space="preserve"> </w:t>
      </w:r>
      <w:r w:rsidRPr="00B004EE">
        <w:rPr>
          <w:rFonts w:ascii="Tahoma" w:hAnsi="Tahoma" w:cs="Tahoma"/>
          <w:sz w:val="20"/>
          <w:szCs w:val="20"/>
        </w:rPr>
        <w:t>consultatifs</w:t>
      </w:r>
      <w:r w:rsidR="00DB1635" w:rsidRPr="00B004EE">
        <w:rPr>
          <w:rFonts w:ascii="Tahoma" w:hAnsi="Tahoma" w:cs="Tahoma"/>
          <w:spacing w:val="-27"/>
          <w:sz w:val="20"/>
          <w:szCs w:val="20"/>
        </w:rPr>
        <w:t xml:space="preserve"> </w:t>
      </w:r>
      <w:r w:rsidRPr="00B004EE">
        <w:rPr>
          <w:rFonts w:ascii="Tahoma" w:hAnsi="Tahoma" w:cs="Tahoma"/>
          <w:sz w:val="20"/>
          <w:szCs w:val="20"/>
        </w:rPr>
        <w:t>territoriaux</w:t>
      </w:r>
      <w:r w:rsidR="00DB1635" w:rsidRPr="00B004EE">
        <w:rPr>
          <w:rFonts w:ascii="Tahoma" w:hAnsi="Tahoma" w:cs="Tahoma"/>
          <w:spacing w:val="-26"/>
          <w:sz w:val="20"/>
          <w:szCs w:val="20"/>
        </w:rPr>
        <w:t xml:space="preserve"> </w:t>
      </w:r>
      <w:r w:rsidRPr="00B004EE">
        <w:rPr>
          <w:rFonts w:ascii="Tahoma" w:eastAsia="American Typewriter" w:hAnsi="Tahoma" w:cs="Tahoma"/>
          <w:sz w:val="20"/>
          <w:szCs w:val="20"/>
        </w:rPr>
        <w:t>pour</w:t>
      </w:r>
      <w:r w:rsidR="00DB1635" w:rsidRPr="00B004EE">
        <w:rPr>
          <w:rFonts w:ascii="Tahoma" w:eastAsia="American Typewriter" w:hAnsi="Tahoma" w:cs="Tahoma"/>
          <w:spacing w:val="-28"/>
          <w:sz w:val="20"/>
          <w:szCs w:val="20"/>
        </w:rPr>
        <w:t xml:space="preserve"> </w:t>
      </w:r>
      <w:r w:rsidRPr="00B004EE">
        <w:rPr>
          <w:rFonts w:ascii="Tahoma" w:eastAsia="American Typewriter" w:hAnsi="Tahoma" w:cs="Tahoma"/>
          <w:sz w:val="20"/>
          <w:szCs w:val="20"/>
        </w:rPr>
        <w:t>l’aménagement</w:t>
      </w:r>
      <w:r w:rsidR="00DB1635" w:rsidRPr="00B004EE">
        <w:rPr>
          <w:rFonts w:ascii="Tahoma" w:eastAsia="American Typewriter" w:hAnsi="Tahoma" w:cs="Tahoma"/>
          <w:spacing w:val="-27"/>
          <w:sz w:val="20"/>
          <w:szCs w:val="20"/>
        </w:rPr>
        <w:t xml:space="preserve"> </w:t>
      </w:r>
      <w:r w:rsidRPr="00B004EE">
        <w:rPr>
          <w:rFonts w:ascii="Tahoma" w:eastAsia="American Typewriter" w:hAnsi="Tahoma" w:cs="Tahoma"/>
          <w:sz w:val="20"/>
          <w:szCs w:val="20"/>
        </w:rPr>
        <w:t>et</w:t>
      </w:r>
      <w:r w:rsidR="00DB1635" w:rsidRPr="00B004EE">
        <w:rPr>
          <w:rFonts w:ascii="Tahoma" w:eastAsia="American Typewriter" w:hAnsi="Tahoma" w:cs="Tahoma"/>
          <w:spacing w:val="-26"/>
          <w:sz w:val="20"/>
          <w:szCs w:val="20"/>
        </w:rPr>
        <w:t xml:space="preserve"> </w:t>
      </w:r>
      <w:r w:rsidRPr="00B004EE">
        <w:rPr>
          <w:rFonts w:ascii="Tahoma" w:hAnsi="Tahoma" w:cs="Tahoma"/>
          <w:sz w:val="20"/>
          <w:szCs w:val="20"/>
        </w:rPr>
        <w:t>la</w:t>
      </w:r>
      <w:r w:rsidR="00DB1635" w:rsidRPr="00B004EE">
        <w:rPr>
          <w:rFonts w:ascii="Tahoma" w:hAnsi="Tahoma" w:cs="Tahoma"/>
          <w:spacing w:val="-27"/>
          <w:sz w:val="20"/>
          <w:szCs w:val="20"/>
        </w:rPr>
        <w:t xml:space="preserve"> </w:t>
      </w:r>
      <w:r w:rsidRPr="00B004EE">
        <w:rPr>
          <w:rFonts w:ascii="Tahoma" w:hAnsi="Tahoma" w:cs="Tahoma"/>
          <w:sz w:val="20"/>
          <w:szCs w:val="20"/>
        </w:rPr>
        <w:t>gestion</w:t>
      </w:r>
      <w:r w:rsidR="00DB1635" w:rsidRPr="00B004EE">
        <w:rPr>
          <w:rFonts w:ascii="Tahoma" w:hAnsi="Tahoma" w:cs="Tahoma"/>
          <w:w w:val="93"/>
          <w:sz w:val="20"/>
          <w:szCs w:val="20"/>
        </w:rPr>
        <w:t xml:space="preserve"> </w:t>
      </w:r>
      <w:r w:rsidRPr="00B004EE">
        <w:rPr>
          <w:rFonts w:ascii="Tahoma" w:hAnsi="Tahoma" w:cs="Tahoma"/>
          <w:sz w:val="20"/>
          <w:szCs w:val="20"/>
        </w:rPr>
        <w:t>des</w:t>
      </w:r>
      <w:r w:rsidR="00DB1635" w:rsidRPr="00B004EE">
        <w:rPr>
          <w:rFonts w:ascii="Tahoma" w:hAnsi="Tahoma" w:cs="Tahoma"/>
          <w:spacing w:val="40"/>
          <w:sz w:val="20"/>
          <w:szCs w:val="20"/>
        </w:rPr>
        <w:t xml:space="preserve"> </w:t>
      </w:r>
      <w:r w:rsidRPr="00B004EE">
        <w:rPr>
          <w:rFonts w:ascii="Tahoma" w:hAnsi="Tahoma" w:cs="Tahoma"/>
          <w:sz w:val="20"/>
          <w:szCs w:val="20"/>
        </w:rPr>
        <w:t>pêcheries</w:t>
      </w:r>
      <w:r w:rsidR="00DB1635" w:rsidRPr="00B004EE">
        <w:rPr>
          <w:rFonts w:ascii="Tahoma" w:hAnsi="Tahoma" w:cs="Tahoma"/>
          <w:spacing w:val="40"/>
          <w:sz w:val="20"/>
          <w:szCs w:val="20"/>
        </w:rPr>
        <w:t xml:space="preserve"> </w:t>
      </w:r>
      <w:r w:rsidRPr="00B004EE">
        <w:rPr>
          <w:rFonts w:ascii="Tahoma" w:hAnsi="Tahoma" w:cs="Tahoma"/>
          <w:sz w:val="20"/>
          <w:szCs w:val="20"/>
        </w:rPr>
        <w:t>sont</w:t>
      </w:r>
      <w:r w:rsidR="00DB1635" w:rsidRPr="00B004EE">
        <w:rPr>
          <w:rFonts w:ascii="Tahoma" w:hAnsi="Tahoma" w:cs="Tahoma"/>
          <w:spacing w:val="41"/>
          <w:sz w:val="20"/>
          <w:szCs w:val="20"/>
        </w:rPr>
        <w:t xml:space="preserve"> </w:t>
      </w:r>
      <w:r w:rsidRPr="00B004EE">
        <w:rPr>
          <w:rFonts w:ascii="Tahoma" w:hAnsi="Tahoma" w:cs="Tahoma"/>
          <w:sz w:val="20"/>
          <w:szCs w:val="20"/>
        </w:rPr>
        <w:t>institués</w:t>
      </w:r>
      <w:r w:rsidR="00DB1635" w:rsidRPr="00B004EE">
        <w:rPr>
          <w:rFonts w:ascii="Tahoma" w:hAnsi="Tahoma" w:cs="Tahoma"/>
          <w:spacing w:val="41"/>
          <w:sz w:val="20"/>
          <w:szCs w:val="20"/>
        </w:rPr>
        <w:t xml:space="preserve"> </w:t>
      </w:r>
      <w:r w:rsidRPr="00B004EE">
        <w:rPr>
          <w:rFonts w:ascii="Tahoma" w:hAnsi="Tahoma" w:cs="Tahoma"/>
          <w:sz w:val="20"/>
          <w:szCs w:val="20"/>
        </w:rPr>
        <w:t>par</w:t>
      </w:r>
      <w:r w:rsidR="00DB1635" w:rsidRPr="00B004EE">
        <w:rPr>
          <w:rFonts w:ascii="Tahoma" w:hAnsi="Tahoma" w:cs="Tahoma"/>
          <w:spacing w:val="40"/>
          <w:sz w:val="20"/>
          <w:szCs w:val="20"/>
        </w:rPr>
        <w:t xml:space="preserve"> </w:t>
      </w:r>
      <w:r w:rsidRPr="00B004EE">
        <w:rPr>
          <w:rFonts w:ascii="Tahoma" w:hAnsi="Tahoma" w:cs="Tahoma"/>
          <w:sz w:val="20"/>
          <w:szCs w:val="20"/>
        </w:rPr>
        <w:t>un</w:t>
      </w:r>
      <w:r w:rsidR="00DB1635" w:rsidRPr="00B004EE">
        <w:rPr>
          <w:rFonts w:ascii="Tahoma" w:hAnsi="Tahoma" w:cs="Tahoma"/>
          <w:spacing w:val="41"/>
          <w:sz w:val="20"/>
          <w:szCs w:val="20"/>
        </w:rPr>
        <w:t xml:space="preserve"> </w:t>
      </w:r>
      <w:r w:rsidRPr="00B004EE">
        <w:rPr>
          <w:rFonts w:ascii="Tahoma" w:hAnsi="Tahoma" w:cs="Tahoma"/>
          <w:sz w:val="20"/>
          <w:szCs w:val="20"/>
        </w:rPr>
        <w:t>arrêté</w:t>
      </w:r>
      <w:r w:rsidR="00DB1635" w:rsidRPr="00B004EE">
        <w:rPr>
          <w:rFonts w:ascii="Tahoma" w:hAnsi="Tahoma" w:cs="Tahoma"/>
          <w:spacing w:val="41"/>
          <w:sz w:val="20"/>
          <w:szCs w:val="20"/>
        </w:rPr>
        <w:t xml:space="preserve"> </w:t>
      </w:r>
      <w:r w:rsidRPr="00B004EE">
        <w:rPr>
          <w:rFonts w:ascii="Tahoma" w:hAnsi="Tahoma" w:cs="Tahoma"/>
          <w:sz w:val="20"/>
          <w:szCs w:val="20"/>
        </w:rPr>
        <w:t>du</w:t>
      </w:r>
      <w:r w:rsidR="00DB1635" w:rsidRPr="00B004EE">
        <w:rPr>
          <w:rFonts w:ascii="Tahoma" w:hAnsi="Tahoma" w:cs="Tahoma"/>
          <w:spacing w:val="41"/>
          <w:sz w:val="20"/>
          <w:szCs w:val="20"/>
        </w:rPr>
        <w:t xml:space="preserve"> </w:t>
      </w:r>
      <w:r w:rsidRPr="00B004EE">
        <w:rPr>
          <w:rFonts w:ascii="Tahoma" w:hAnsi="Tahoma" w:cs="Tahoma"/>
          <w:sz w:val="20"/>
          <w:szCs w:val="20"/>
        </w:rPr>
        <w:t>ministre</w:t>
      </w:r>
      <w:r w:rsidR="00DB1635" w:rsidRPr="00B004EE">
        <w:rPr>
          <w:rFonts w:ascii="Tahoma" w:hAnsi="Tahoma" w:cs="Tahoma"/>
          <w:spacing w:val="41"/>
          <w:sz w:val="20"/>
          <w:szCs w:val="20"/>
        </w:rPr>
        <w:t xml:space="preserve"> </w:t>
      </w:r>
      <w:r w:rsidRPr="00B004EE">
        <w:rPr>
          <w:rFonts w:ascii="Tahoma" w:hAnsi="Tahoma" w:cs="Tahoma"/>
          <w:sz w:val="20"/>
          <w:szCs w:val="20"/>
        </w:rPr>
        <w:t>chargé</w:t>
      </w:r>
      <w:r w:rsidR="00DB1635" w:rsidRPr="00B004EE">
        <w:rPr>
          <w:rFonts w:ascii="Tahoma" w:hAnsi="Tahoma" w:cs="Tahoma"/>
          <w:spacing w:val="41"/>
          <w:sz w:val="20"/>
          <w:szCs w:val="20"/>
        </w:rPr>
        <w:t xml:space="preserve"> </w:t>
      </w:r>
      <w:r w:rsidRPr="00B004EE">
        <w:rPr>
          <w:rFonts w:ascii="Tahoma" w:hAnsi="Tahoma" w:cs="Tahoma"/>
          <w:sz w:val="20"/>
          <w:szCs w:val="20"/>
        </w:rPr>
        <w:t>des</w:t>
      </w:r>
      <w:r w:rsidR="00DB1635" w:rsidRPr="00B004EE">
        <w:rPr>
          <w:rFonts w:ascii="Tahoma" w:hAnsi="Tahoma" w:cs="Tahoma"/>
          <w:spacing w:val="38"/>
          <w:sz w:val="20"/>
          <w:szCs w:val="20"/>
        </w:rPr>
        <w:t xml:space="preserve"> </w:t>
      </w:r>
      <w:r w:rsidRPr="00B004EE">
        <w:rPr>
          <w:rFonts w:ascii="Tahoma" w:hAnsi="Tahoma" w:cs="Tahoma"/>
          <w:sz w:val="20"/>
          <w:szCs w:val="20"/>
        </w:rPr>
        <w:t>pêches</w:t>
      </w:r>
      <w:r w:rsidR="00DB1635" w:rsidRPr="00B004EE">
        <w:rPr>
          <w:rFonts w:ascii="Tahoma" w:hAnsi="Tahoma" w:cs="Tahoma"/>
          <w:spacing w:val="39"/>
          <w:sz w:val="20"/>
          <w:szCs w:val="20"/>
        </w:rPr>
        <w:t xml:space="preserve"> </w:t>
      </w:r>
      <w:r w:rsidRPr="00B004EE">
        <w:rPr>
          <w:rFonts w:ascii="Tahoma" w:hAnsi="Tahoma" w:cs="Tahoma"/>
          <w:sz w:val="20"/>
          <w:szCs w:val="20"/>
        </w:rPr>
        <w:t>qui</w:t>
      </w:r>
      <w:r w:rsidR="00DB1635" w:rsidRPr="00B004EE">
        <w:rPr>
          <w:rFonts w:ascii="Tahoma" w:hAnsi="Tahoma" w:cs="Tahoma"/>
          <w:w w:val="99"/>
          <w:sz w:val="20"/>
          <w:szCs w:val="20"/>
        </w:rPr>
        <w:t xml:space="preserve"> </w:t>
      </w:r>
      <w:r w:rsidRPr="00B004EE">
        <w:rPr>
          <w:rFonts w:ascii="Tahoma" w:hAnsi="Tahoma" w:cs="Tahoma"/>
          <w:w w:val="95"/>
          <w:sz w:val="20"/>
          <w:szCs w:val="20"/>
        </w:rPr>
        <w:t>précise</w:t>
      </w:r>
      <w:r w:rsidR="00DB1635" w:rsidRPr="00B004EE">
        <w:rPr>
          <w:rFonts w:ascii="Tahoma" w:hAnsi="Tahoma" w:cs="Tahoma"/>
          <w:w w:val="95"/>
          <w:sz w:val="20"/>
          <w:szCs w:val="20"/>
        </w:rPr>
        <w:t xml:space="preserve"> </w:t>
      </w:r>
      <w:r w:rsidRPr="00B004EE">
        <w:rPr>
          <w:rFonts w:ascii="Tahoma" w:hAnsi="Tahoma" w:cs="Tahoma"/>
          <w:w w:val="95"/>
          <w:sz w:val="20"/>
          <w:szCs w:val="20"/>
        </w:rPr>
        <w:t>leur</w:t>
      </w:r>
      <w:r w:rsidR="00DB1635" w:rsidRPr="00B004EE">
        <w:rPr>
          <w:rFonts w:ascii="Tahoma" w:hAnsi="Tahoma" w:cs="Tahoma"/>
          <w:w w:val="95"/>
          <w:sz w:val="20"/>
          <w:szCs w:val="20"/>
        </w:rPr>
        <w:t xml:space="preserve"> </w:t>
      </w:r>
      <w:r w:rsidRPr="00B004EE">
        <w:rPr>
          <w:rFonts w:ascii="Tahoma" w:hAnsi="Tahoma" w:cs="Tahoma"/>
          <w:w w:val="95"/>
          <w:sz w:val="20"/>
          <w:szCs w:val="20"/>
        </w:rPr>
        <w:t>organisation</w:t>
      </w:r>
      <w:r w:rsidR="00DB1635" w:rsidRPr="00B004EE">
        <w:rPr>
          <w:rFonts w:ascii="Tahoma" w:hAnsi="Tahoma" w:cs="Tahoma"/>
          <w:w w:val="95"/>
          <w:sz w:val="20"/>
          <w:szCs w:val="20"/>
        </w:rPr>
        <w:t xml:space="preserve"> </w:t>
      </w:r>
      <w:r w:rsidRPr="00B004EE">
        <w:rPr>
          <w:rFonts w:ascii="Tahoma" w:hAnsi="Tahoma" w:cs="Tahoma"/>
          <w:w w:val="95"/>
          <w:sz w:val="20"/>
          <w:szCs w:val="20"/>
        </w:rPr>
        <w:t>et</w:t>
      </w:r>
      <w:r w:rsidR="00DB1635" w:rsidRPr="00B004EE">
        <w:rPr>
          <w:rFonts w:ascii="Tahoma" w:hAnsi="Tahoma" w:cs="Tahoma"/>
          <w:w w:val="95"/>
          <w:sz w:val="20"/>
          <w:szCs w:val="20"/>
        </w:rPr>
        <w:t xml:space="preserve"> </w:t>
      </w:r>
      <w:r w:rsidRPr="00B004EE">
        <w:rPr>
          <w:rFonts w:ascii="Tahoma" w:hAnsi="Tahoma" w:cs="Tahoma"/>
          <w:w w:val="95"/>
          <w:sz w:val="20"/>
          <w:szCs w:val="20"/>
        </w:rPr>
        <w:t>leur</w:t>
      </w:r>
      <w:r w:rsidR="00DB1635" w:rsidRPr="00B004EE">
        <w:rPr>
          <w:rFonts w:ascii="Tahoma" w:hAnsi="Tahoma" w:cs="Tahoma"/>
          <w:w w:val="95"/>
          <w:sz w:val="20"/>
          <w:szCs w:val="20"/>
        </w:rPr>
        <w:t xml:space="preserve"> </w:t>
      </w:r>
      <w:r w:rsidRPr="00B004EE">
        <w:rPr>
          <w:rFonts w:ascii="Tahoma" w:hAnsi="Tahoma" w:cs="Tahoma"/>
          <w:w w:val="95"/>
          <w:sz w:val="20"/>
          <w:szCs w:val="20"/>
        </w:rPr>
        <w:t>fonctionnement.</w:t>
      </w:r>
    </w:p>
    <w:p w14:paraId="25527505" w14:textId="77777777" w:rsidR="001E7C3C" w:rsidRPr="00B004EE" w:rsidRDefault="001E7C3C" w:rsidP="00B004EE">
      <w:pPr>
        <w:rPr>
          <w:rFonts w:ascii="Tahoma" w:eastAsia="American Typewriter" w:hAnsi="Tahoma" w:cs="Tahoma"/>
          <w:sz w:val="20"/>
          <w:szCs w:val="20"/>
        </w:rPr>
      </w:pPr>
    </w:p>
    <w:p w14:paraId="675FFA22" w14:textId="7FB0F366" w:rsidR="001E7C3C" w:rsidRPr="00B004EE" w:rsidRDefault="001E7C3C" w:rsidP="00B004EE">
      <w:pPr>
        <w:ind w:right="164" w:hanging="4"/>
        <w:jc w:val="center"/>
        <w:rPr>
          <w:rFonts w:ascii="Tahoma" w:hAnsi="Tahoma" w:cs="Tahoma"/>
          <w:b/>
          <w:spacing w:val="1"/>
          <w:w w:val="113"/>
          <w:sz w:val="20"/>
          <w:szCs w:val="20"/>
        </w:rPr>
      </w:pPr>
      <w:bookmarkStart w:id="53" w:name="_Toc16279059"/>
      <w:bookmarkStart w:id="54" w:name="_Toc16279428"/>
      <w:r w:rsidRPr="00B004EE">
        <w:rPr>
          <w:rFonts w:ascii="Tahoma" w:hAnsi="Tahoma" w:cs="Tahoma"/>
          <w:b/>
          <w:spacing w:val="1"/>
          <w:w w:val="113"/>
          <w:sz w:val="20"/>
          <w:szCs w:val="20"/>
        </w:rPr>
        <w:t>TITRE</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II</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DE</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L’ACCES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AUX</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RESSOURCES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HALIEUTIQUES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CHAPITRE</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PREMIER</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DU</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DROIT</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D'USAGE</w:t>
      </w:r>
      <w:bookmarkEnd w:id="53"/>
      <w:bookmarkEnd w:id="54"/>
    </w:p>
    <w:p w14:paraId="4276847E" w14:textId="77777777" w:rsidR="00BB060F" w:rsidRPr="00B004EE" w:rsidRDefault="00BB060F" w:rsidP="00B004EE">
      <w:pPr>
        <w:ind w:right="164" w:hanging="4"/>
        <w:jc w:val="center"/>
        <w:rPr>
          <w:rFonts w:ascii="Tahoma" w:hAnsi="Tahoma" w:cs="Tahoma"/>
          <w:b/>
          <w:spacing w:val="1"/>
          <w:w w:val="113"/>
          <w:sz w:val="20"/>
          <w:szCs w:val="20"/>
        </w:rPr>
      </w:pPr>
    </w:p>
    <w:p w14:paraId="680BE8D4" w14:textId="4A93CB16" w:rsidR="001E7C3C" w:rsidRPr="00B004EE" w:rsidRDefault="001E7C3C" w:rsidP="00B004EE">
      <w:pPr>
        <w:ind w:right="164" w:hanging="4"/>
        <w:jc w:val="center"/>
        <w:rPr>
          <w:rFonts w:ascii="Tahoma" w:hAnsi="Tahoma" w:cs="Tahoma"/>
          <w:b/>
          <w:spacing w:val="1"/>
          <w:w w:val="113"/>
          <w:sz w:val="20"/>
          <w:szCs w:val="20"/>
          <w:rtl/>
        </w:rPr>
      </w:pPr>
      <w:r w:rsidRPr="00B004EE">
        <w:rPr>
          <w:rFonts w:ascii="Tahoma" w:hAnsi="Tahoma" w:cs="Tahoma"/>
          <w:b/>
          <w:spacing w:val="1"/>
          <w:w w:val="113"/>
          <w:sz w:val="20"/>
          <w:szCs w:val="20"/>
        </w:rPr>
        <w:t>Section</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première</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Généralité</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du</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droit</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d’usage</w:t>
      </w:r>
    </w:p>
    <w:p w14:paraId="0BDDC46A" w14:textId="77777777" w:rsidR="00E50532" w:rsidRPr="00B004EE" w:rsidRDefault="00E50532" w:rsidP="00B004EE">
      <w:pPr>
        <w:ind w:right="164" w:hanging="4"/>
        <w:jc w:val="center"/>
        <w:rPr>
          <w:rFonts w:ascii="Tahoma" w:hAnsi="Tahoma" w:cs="Tahoma"/>
          <w:b/>
          <w:spacing w:val="1"/>
          <w:w w:val="113"/>
          <w:sz w:val="20"/>
          <w:szCs w:val="20"/>
        </w:rPr>
      </w:pPr>
    </w:p>
    <w:p w14:paraId="2BEFFE3C" w14:textId="3544BA75" w:rsidR="001E7C3C" w:rsidRPr="00B004EE" w:rsidRDefault="001E7C3C" w:rsidP="00B004EE">
      <w:pPr>
        <w:pStyle w:val="Corpsdetexte"/>
        <w:ind w:right="158"/>
        <w:rPr>
          <w:rFonts w:ascii="Tahoma" w:hAnsi="Tahoma" w:cs="Tahoma"/>
          <w:sz w:val="20"/>
          <w:szCs w:val="20"/>
        </w:rPr>
      </w:pPr>
      <w:r w:rsidRPr="00B004EE">
        <w:rPr>
          <w:rFonts w:ascii="Tahoma" w:eastAsia="American Typewriter" w:hAnsi="Tahoma" w:cs="Tahoma"/>
          <w:sz w:val="20"/>
          <w:szCs w:val="20"/>
        </w:rPr>
        <w:t>Article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23</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w:t>
      </w:r>
      <w:r w:rsidR="00DB1635" w:rsidRPr="00B004EE">
        <w:rPr>
          <w:rFonts w:ascii="Tahoma" w:eastAsia="American Typewriter" w:hAnsi="Tahoma" w:cs="Tahoma"/>
          <w:b/>
          <w:bCs/>
          <w:sz w:val="20"/>
          <w:szCs w:val="20"/>
        </w:rPr>
        <w:t xml:space="preserve"> </w:t>
      </w:r>
      <w:r w:rsidRPr="00B004EE">
        <w:rPr>
          <w:rFonts w:ascii="Tahoma" w:hAnsi="Tahoma" w:cs="Tahoma"/>
          <w:sz w:val="20"/>
          <w:szCs w:val="20"/>
        </w:rPr>
        <w:t>Nul</w:t>
      </w:r>
      <w:r w:rsidR="00DB1635" w:rsidRPr="00B004EE">
        <w:rPr>
          <w:rFonts w:ascii="Tahoma" w:hAnsi="Tahoma" w:cs="Tahoma"/>
          <w:sz w:val="20"/>
          <w:szCs w:val="20"/>
        </w:rPr>
        <w:t xml:space="preserve"> </w:t>
      </w:r>
      <w:r w:rsidRPr="00B004EE">
        <w:rPr>
          <w:rFonts w:ascii="Tahoma" w:hAnsi="Tahoma" w:cs="Tahoma"/>
          <w:sz w:val="20"/>
          <w:szCs w:val="20"/>
        </w:rPr>
        <w:t>ne</w:t>
      </w:r>
      <w:r w:rsidR="00DB1635" w:rsidRPr="00B004EE">
        <w:rPr>
          <w:rFonts w:ascii="Tahoma" w:hAnsi="Tahoma" w:cs="Tahoma"/>
          <w:sz w:val="20"/>
          <w:szCs w:val="20"/>
        </w:rPr>
        <w:t xml:space="preserve"> </w:t>
      </w:r>
      <w:r w:rsidRPr="00B004EE">
        <w:rPr>
          <w:rFonts w:ascii="Tahoma" w:hAnsi="Tahoma" w:cs="Tahoma"/>
          <w:sz w:val="20"/>
          <w:szCs w:val="20"/>
        </w:rPr>
        <w:t>peut</w:t>
      </w:r>
      <w:r w:rsidR="00DB1635" w:rsidRPr="00B004EE">
        <w:rPr>
          <w:rFonts w:ascii="Tahoma" w:hAnsi="Tahoma" w:cs="Tahoma"/>
          <w:sz w:val="20"/>
          <w:szCs w:val="20"/>
        </w:rPr>
        <w:t xml:space="preserve"> </w:t>
      </w:r>
      <w:r w:rsidRPr="00B004EE">
        <w:rPr>
          <w:rFonts w:ascii="Tahoma" w:hAnsi="Tahoma" w:cs="Tahoma"/>
          <w:sz w:val="20"/>
          <w:szCs w:val="20"/>
        </w:rPr>
        <w:t>exploiter</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ressource</w:t>
      </w:r>
      <w:r w:rsidR="00DB1635" w:rsidRPr="00B004EE">
        <w:rPr>
          <w:rFonts w:ascii="Tahoma" w:hAnsi="Tahoma" w:cs="Tahoma"/>
          <w:sz w:val="20"/>
          <w:szCs w:val="20"/>
        </w:rPr>
        <w:t xml:space="preserve"> </w:t>
      </w:r>
      <w:r w:rsidRPr="00B004EE">
        <w:rPr>
          <w:rFonts w:ascii="Tahoma" w:hAnsi="Tahoma" w:cs="Tahoma"/>
          <w:sz w:val="20"/>
          <w:szCs w:val="20"/>
        </w:rPr>
        <w:t>halieutique</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eaux</w:t>
      </w:r>
      <w:r w:rsidR="00DB1635" w:rsidRPr="00B004EE">
        <w:rPr>
          <w:rFonts w:ascii="Tahoma" w:hAnsi="Tahoma" w:cs="Tahoma"/>
          <w:spacing w:val="42"/>
          <w:sz w:val="20"/>
          <w:szCs w:val="20"/>
        </w:rPr>
        <w:t xml:space="preserve"> </w:t>
      </w:r>
      <w:r w:rsidRPr="00B004EE">
        <w:rPr>
          <w:rFonts w:ascii="Tahoma" w:hAnsi="Tahoma" w:cs="Tahoma"/>
          <w:sz w:val="20"/>
          <w:szCs w:val="20"/>
        </w:rPr>
        <w:t>sous</w:t>
      </w:r>
      <w:r w:rsidR="00DB1635" w:rsidRPr="00B004EE">
        <w:rPr>
          <w:rFonts w:ascii="Tahoma" w:hAnsi="Tahoma" w:cs="Tahoma"/>
          <w:w w:val="94"/>
          <w:sz w:val="20"/>
          <w:szCs w:val="20"/>
        </w:rPr>
        <w:t xml:space="preserve"> </w:t>
      </w:r>
      <w:r w:rsidRPr="00B004EE">
        <w:rPr>
          <w:rFonts w:ascii="Tahoma" w:hAnsi="Tahoma" w:cs="Tahoma"/>
          <w:sz w:val="20"/>
          <w:szCs w:val="20"/>
        </w:rPr>
        <w:t>juridiction</w:t>
      </w:r>
      <w:r w:rsidR="00DB1635" w:rsidRPr="00B004EE">
        <w:rPr>
          <w:rFonts w:ascii="Tahoma" w:hAnsi="Tahoma" w:cs="Tahoma"/>
          <w:sz w:val="20"/>
          <w:szCs w:val="20"/>
        </w:rPr>
        <w:t xml:space="preserve"> </w:t>
      </w:r>
      <w:r w:rsidRPr="00B004EE">
        <w:rPr>
          <w:rFonts w:ascii="Tahoma" w:hAnsi="Tahoma" w:cs="Tahoma"/>
          <w:sz w:val="20"/>
          <w:szCs w:val="20"/>
        </w:rPr>
        <w:t>mauritanienne</w:t>
      </w:r>
      <w:r w:rsidR="00DB1635" w:rsidRPr="00B004EE">
        <w:rPr>
          <w:rFonts w:ascii="Tahoma" w:hAnsi="Tahoma" w:cs="Tahoma"/>
          <w:sz w:val="20"/>
          <w:szCs w:val="20"/>
        </w:rPr>
        <w:t xml:space="preserve"> </w:t>
      </w:r>
      <w:r w:rsidRPr="00B004EE">
        <w:rPr>
          <w:rFonts w:ascii="Tahoma" w:eastAsia="American Typewriter" w:hAnsi="Tahoma" w:cs="Tahoma"/>
          <w:sz w:val="20"/>
          <w:szCs w:val="20"/>
        </w:rPr>
        <w:t>s’il</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n’est</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titulaire</w:t>
      </w:r>
      <w:r w:rsidR="00DB1635" w:rsidRPr="00B004EE">
        <w:rPr>
          <w:rFonts w:ascii="Tahoma" w:eastAsia="American Typewriter" w:hAnsi="Tahoma" w:cs="Tahoma"/>
          <w:sz w:val="20"/>
          <w:szCs w:val="20"/>
        </w:rPr>
        <w:t xml:space="preserve"> </w:t>
      </w:r>
      <w:r w:rsidRPr="00B004EE">
        <w:rPr>
          <w:rFonts w:ascii="Tahoma" w:hAnsi="Tahoma" w:cs="Tahoma"/>
          <w:sz w:val="20"/>
          <w:szCs w:val="20"/>
        </w:rPr>
        <w:t>d'un</w:t>
      </w:r>
      <w:r w:rsidR="00DB1635" w:rsidRPr="00B004EE">
        <w:rPr>
          <w:rFonts w:ascii="Tahoma" w:hAnsi="Tahoma" w:cs="Tahoma"/>
          <w:sz w:val="20"/>
          <w:szCs w:val="20"/>
        </w:rPr>
        <w:t xml:space="preserve"> </w:t>
      </w:r>
      <w:r w:rsidRPr="00B004EE">
        <w:rPr>
          <w:rFonts w:ascii="Tahoma" w:eastAsia="American Typewriter" w:hAnsi="Tahoma" w:cs="Tahoma"/>
          <w:sz w:val="20"/>
          <w:szCs w:val="20"/>
        </w:rPr>
        <w:t>droit</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d’usage</w:t>
      </w:r>
      <w:r w:rsidR="00DB1635" w:rsidRPr="00B004EE">
        <w:rPr>
          <w:rFonts w:ascii="Tahoma" w:eastAsia="American Typewriter" w:hAnsi="Tahoma" w:cs="Tahoma"/>
          <w:sz w:val="20"/>
          <w:szCs w:val="20"/>
        </w:rPr>
        <w:t xml:space="preserve"> </w:t>
      </w:r>
      <w:r w:rsidRPr="00B004EE">
        <w:rPr>
          <w:rFonts w:ascii="Tahoma" w:hAnsi="Tahoma" w:cs="Tahoma"/>
          <w:sz w:val="20"/>
          <w:szCs w:val="20"/>
        </w:rPr>
        <w:t>accordé</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pacing w:val="10"/>
          <w:sz w:val="20"/>
          <w:szCs w:val="20"/>
        </w:rPr>
        <w:t xml:space="preserve"> </w:t>
      </w:r>
      <w:r w:rsidRPr="00B004EE">
        <w:rPr>
          <w:rFonts w:ascii="Tahoma" w:hAnsi="Tahoma" w:cs="Tahoma"/>
          <w:sz w:val="20"/>
          <w:szCs w:val="20"/>
        </w:rPr>
        <w:t>les</w:t>
      </w:r>
      <w:r w:rsidR="00DB1635" w:rsidRPr="00B004EE">
        <w:rPr>
          <w:rFonts w:ascii="Tahoma" w:hAnsi="Tahoma" w:cs="Tahoma"/>
          <w:w w:val="94"/>
          <w:sz w:val="20"/>
          <w:szCs w:val="20"/>
        </w:rPr>
        <w:t xml:space="preserve"> </w:t>
      </w:r>
      <w:r w:rsidRPr="00B004EE">
        <w:rPr>
          <w:rFonts w:ascii="Tahoma" w:hAnsi="Tahoma" w:cs="Tahoma"/>
          <w:sz w:val="20"/>
          <w:szCs w:val="20"/>
        </w:rPr>
        <w:t>conditions</w:t>
      </w:r>
      <w:r w:rsidR="00DB1635" w:rsidRPr="00B004EE">
        <w:rPr>
          <w:rFonts w:ascii="Tahoma" w:hAnsi="Tahoma" w:cs="Tahoma"/>
          <w:spacing w:val="-30"/>
          <w:sz w:val="20"/>
          <w:szCs w:val="20"/>
        </w:rPr>
        <w:t xml:space="preserve"> </w:t>
      </w:r>
      <w:r w:rsidRPr="00B004EE">
        <w:rPr>
          <w:rFonts w:ascii="Tahoma" w:hAnsi="Tahoma" w:cs="Tahoma"/>
          <w:sz w:val="20"/>
          <w:szCs w:val="20"/>
        </w:rPr>
        <w:t>prévues</w:t>
      </w:r>
      <w:r w:rsidR="00DB1635" w:rsidRPr="00B004EE">
        <w:rPr>
          <w:rFonts w:ascii="Tahoma" w:hAnsi="Tahoma" w:cs="Tahoma"/>
          <w:spacing w:val="-30"/>
          <w:sz w:val="20"/>
          <w:szCs w:val="20"/>
        </w:rPr>
        <w:t xml:space="preserve"> </w:t>
      </w:r>
      <w:r w:rsidRPr="00B004EE">
        <w:rPr>
          <w:rFonts w:ascii="Tahoma" w:hAnsi="Tahoma" w:cs="Tahoma"/>
          <w:sz w:val="20"/>
          <w:szCs w:val="20"/>
        </w:rPr>
        <w:t>par</w:t>
      </w:r>
      <w:r w:rsidR="00DB1635" w:rsidRPr="00B004EE">
        <w:rPr>
          <w:rFonts w:ascii="Tahoma" w:hAnsi="Tahoma" w:cs="Tahoma"/>
          <w:spacing w:val="-30"/>
          <w:sz w:val="20"/>
          <w:szCs w:val="20"/>
        </w:rPr>
        <w:t xml:space="preserve"> </w:t>
      </w:r>
      <w:r w:rsidRPr="00B004EE">
        <w:rPr>
          <w:rFonts w:ascii="Tahoma" w:hAnsi="Tahoma" w:cs="Tahoma"/>
          <w:sz w:val="20"/>
          <w:szCs w:val="20"/>
        </w:rPr>
        <w:t>la</w:t>
      </w:r>
      <w:r w:rsidR="00DB1635" w:rsidRPr="00B004EE">
        <w:rPr>
          <w:rFonts w:ascii="Tahoma" w:hAnsi="Tahoma" w:cs="Tahoma"/>
          <w:spacing w:val="-29"/>
          <w:sz w:val="20"/>
          <w:szCs w:val="20"/>
        </w:rPr>
        <w:t xml:space="preserve"> </w:t>
      </w:r>
      <w:r w:rsidRPr="00B004EE">
        <w:rPr>
          <w:rFonts w:ascii="Tahoma" w:hAnsi="Tahoma" w:cs="Tahoma"/>
          <w:sz w:val="20"/>
          <w:szCs w:val="20"/>
        </w:rPr>
        <w:t>présente</w:t>
      </w:r>
      <w:r w:rsidR="00DB1635" w:rsidRPr="00B004EE">
        <w:rPr>
          <w:rFonts w:ascii="Tahoma" w:hAnsi="Tahoma" w:cs="Tahoma"/>
          <w:spacing w:val="-30"/>
          <w:sz w:val="20"/>
          <w:szCs w:val="20"/>
        </w:rPr>
        <w:t xml:space="preserve"> </w:t>
      </w:r>
      <w:r w:rsidRPr="00B004EE">
        <w:rPr>
          <w:rFonts w:ascii="Tahoma" w:hAnsi="Tahoma" w:cs="Tahoma"/>
          <w:sz w:val="20"/>
          <w:szCs w:val="20"/>
        </w:rPr>
        <w:t>loi</w:t>
      </w:r>
      <w:r w:rsidR="00DB1635" w:rsidRPr="00B004EE">
        <w:rPr>
          <w:rFonts w:ascii="Tahoma" w:hAnsi="Tahoma" w:cs="Tahoma"/>
          <w:spacing w:val="-29"/>
          <w:sz w:val="20"/>
          <w:szCs w:val="20"/>
        </w:rPr>
        <w:t xml:space="preserve"> </w:t>
      </w:r>
      <w:r w:rsidRPr="00B004EE">
        <w:rPr>
          <w:rFonts w:ascii="Tahoma" w:hAnsi="Tahoma" w:cs="Tahoma"/>
          <w:sz w:val="20"/>
          <w:szCs w:val="20"/>
        </w:rPr>
        <w:t>et</w:t>
      </w:r>
      <w:r w:rsidR="00DB1635" w:rsidRPr="00B004EE">
        <w:rPr>
          <w:rFonts w:ascii="Tahoma" w:hAnsi="Tahoma" w:cs="Tahoma"/>
          <w:spacing w:val="-29"/>
          <w:sz w:val="20"/>
          <w:szCs w:val="20"/>
        </w:rPr>
        <w:t xml:space="preserve"> </w:t>
      </w:r>
      <w:r w:rsidRPr="00B004EE">
        <w:rPr>
          <w:rFonts w:ascii="Tahoma" w:hAnsi="Tahoma" w:cs="Tahoma"/>
          <w:sz w:val="20"/>
          <w:szCs w:val="20"/>
        </w:rPr>
        <w:t>les</w:t>
      </w:r>
      <w:r w:rsidR="00DB1635" w:rsidRPr="00B004EE">
        <w:rPr>
          <w:rFonts w:ascii="Tahoma" w:hAnsi="Tahoma" w:cs="Tahoma"/>
          <w:spacing w:val="-30"/>
          <w:sz w:val="20"/>
          <w:szCs w:val="20"/>
        </w:rPr>
        <w:t xml:space="preserve"> </w:t>
      </w:r>
      <w:r w:rsidRPr="00B004EE">
        <w:rPr>
          <w:rFonts w:ascii="Tahoma" w:hAnsi="Tahoma" w:cs="Tahoma"/>
          <w:sz w:val="20"/>
          <w:szCs w:val="20"/>
        </w:rPr>
        <w:t>règlements</w:t>
      </w:r>
      <w:r w:rsidR="00DB1635" w:rsidRPr="00B004EE">
        <w:rPr>
          <w:rFonts w:ascii="Tahoma" w:hAnsi="Tahoma" w:cs="Tahoma"/>
          <w:spacing w:val="-30"/>
          <w:sz w:val="20"/>
          <w:szCs w:val="20"/>
        </w:rPr>
        <w:t xml:space="preserve"> </w:t>
      </w:r>
      <w:r w:rsidRPr="00B004EE">
        <w:rPr>
          <w:rFonts w:ascii="Tahoma" w:hAnsi="Tahoma" w:cs="Tahoma"/>
          <w:sz w:val="20"/>
          <w:szCs w:val="20"/>
        </w:rPr>
        <w:t>pris</w:t>
      </w:r>
      <w:r w:rsidR="00DB1635" w:rsidRPr="00B004EE">
        <w:rPr>
          <w:rFonts w:ascii="Tahoma" w:hAnsi="Tahoma" w:cs="Tahoma"/>
          <w:spacing w:val="-30"/>
          <w:sz w:val="20"/>
          <w:szCs w:val="20"/>
        </w:rPr>
        <w:t xml:space="preserve"> </w:t>
      </w:r>
      <w:r w:rsidRPr="00B004EE">
        <w:rPr>
          <w:rFonts w:ascii="Tahoma" w:hAnsi="Tahoma" w:cs="Tahoma"/>
          <w:sz w:val="20"/>
          <w:szCs w:val="20"/>
        </w:rPr>
        <w:t>pour</w:t>
      </w:r>
      <w:r w:rsidR="00DB1635" w:rsidRPr="00B004EE">
        <w:rPr>
          <w:rFonts w:ascii="Tahoma" w:hAnsi="Tahoma" w:cs="Tahoma"/>
          <w:spacing w:val="-30"/>
          <w:sz w:val="20"/>
          <w:szCs w:val="20"/>
        </w:rPr>
        <w:t xml:space="preserve"> </w:t>
      </w:r>
      <w:r w:rsidRPr="00B004EE">
        <w:rPr>
          <w:rFonts w:ascii="Tahoma" w:hAnsi="Tahoma" w:cs="Tahoma"/>
          <w:sz w:val="20"/>
          <w:szCs w:val="20"/>
        </w:rPr>
        <w:t>son</w:t>
      </w:r>
      <w:r w:rsidR="00DB1635" w:rsidRPr="00B004EE">
        <w:rPr>
          <w:rFonts w:ascii="Tahoma" w:hAnsi="Tahoma" w:cs="Tahoma"/>
          <w:spacing w:val="-30"/>
          <w:sz w:val="20"/>
          <w:szCs w:val="20"/>
        </w:rPr>
        <w:t xml:space="preserve"> </w:t>
      </w:r>
      <w:r w:rsidRPr="00B004EE">
        <w:rPr>
          <w:rFonts w:ascii="Tahoma" w:hAnsi="Tahoma" w:cs="Tahoma"/>
          <w:sz w:val="20"/>
          <w:szCs w:val="20"/>
        </w:rPr>
        <w:t>application.</w:t>
      </w:r>
    </w:p>
    <w:p w14:paraId="30F908E2" w14:textId="6AA1A40C" w:rsidR="001E7C3C" w:rsidRPr="00B004EE" w:rsidRDefault="001E7C3C" w:rsidP="00B004EE">
      <w:pPr>
        <w:pStyle w:val="Corpsdetexte"/>
        <w:rPr>
          <w:rFonts w:ascii="Tahoma" w:hAnsi="Tahoma" w:cs="Tahoma"/>
          <w:sz w:val="20"/>
          <w:szCs w:val="20"/>
        </w:rPr>
      </w:pPr>
      <w:r w:rsidRPr="00B004EE">
        <w:rPr>
          <w:rFonts w:ascii="Tahoma" w:eastAsia="American Typewriter" w:hAnsi="Tahoma" w:cs="Tahoma"/>
          <w:sz w:val="20"/>
          <w:szCs w:val="20"/>
        </w:rPr>
        <w:t>Le</w:t>
      </w:r>
      <w:r w:rsidR="00DB1635" w:rsidRPr="00B004EE">
        <w:rPr>
          <w:rFonts w:ascii="Tahoma" w:eastAsia="American Typewriter" w:hAnsi="Tahoma" w:cs="Tahoma"/>
          <w:spacing w:val="-27"/>
          <w:sz w:val="20"/>
          <w:szCs w:val="20"/>
        </w:rPr>
        <w:t xml:space="preserve"> </w:t>
      </w:r>
      <w:r w:rsidRPr="00B004EE">
        <w:rPr>
          <w:rFonts w:ascii="Tahoma" w:eastAsia="American Typewriter" w:hAnsi="Tahoma" w:cs="Tahoma"/>
          <w:sz w:val="20"/>
          <w:szCs w:val="20"/>
        </w:rPr>
        <w:t>droit</w:t>
      </w:r>
      <w:r w:rsidR="00DB1635" w:rsidRPr="00B004EE">
        <w:rPr>
          <w:rFonts w:ascii="Tahoma" w:eastAsia="American Typewriter" w:hAnsi="Tahoma" w:cs="Tahoma"/>
          <w:spacing w:val="-27"/>
          <w:sz w:val="20"/>
          <w:szCs w:val="20"/>
        </w:rPr>
        <w:t xml:space="preserve"> </w:t>
      </w:r>
      <w:r w:rsidRPr="00B004EE">
        <w:rPr>
          <w:rFonts w:ascii="Tahoma" w:eastAsia="American Typewriter" w:hAnsi="Tahoma" w:cs="Tahoma"/>
          <w:sz w:val="20"/>
          <w:szCs w:val="20"/>
        </w:rPr>
        <w:t>d’usage</w:t>
      </w:r>
      <w:r w:rsidR="00DB1635" w:rsidRPr="00B004EE">
        <w:rPr>
          <w:rFonts w:ascii="Tahoma" w:eastAsia="American Typewriter" w:hAnsi="Tahoma" w:cs="Tahoma"/>
          <w:spacing w:val="-27"/>
          <w:sz w:val="20"/>
          <w:szCs w:val="20"/>
        </w:rPr>
        <w:t xml:space="preserve"> </w:t>
      </w:r>
      <w:r w:rsidRPr="00B004EE">
        <w:rPr>
          <w:rFonts w:ascii="Tahoma" w:eastAsia="American Typewriter" w:hAnsi="Tahoma" w:cs="Tahoma"/>
          <w:sz w:val="20"/>
          <w:szCs w:val="20"/>
        </w:rPr>
        <w:t>porte</w:t>
      </w:r>
      <w:r w:rsidR="00DB1635" w:rsidRPr="00B004EE">
        <w:rPr>
          <w:rFonts w:ascii="Tahoma" w:eastAsia="American Typewriter" w:hAnsi="Tahoma" w:cs="Tahoma"/>
          <w:spacing w:val="-27"/>
          <w:sz w:val="20"/>
          <w:szCs w:val="20"/>
        </w:rPr>
        <w:t xml:space="preserve"> </w:t>
      </w:r>
      <w:r w:rsidRPr="00B004EE">
        <w:rPr>
          <w:rFonts w:ascii="Tahoma" w:eastAsia="American Typewriter" w:hAnsi="Tahoma" w:cs="Tahoma"/>
          <w:sz w:val="20"/>
          <w:szCs w:val="20"/>
        </w:rPr>
        <w:t>sur</w:t>
      </w:r>
      <w:r w:rsidR="00DB1635" w:rsidRPr="00B004EE">
        <w:rPr>
          <w:rFonts w:ascii="Tahoma" w:eastAsia="American Typewriter" w:hAnsi="Tahoma" w:cs="Tahoma"/>
          <w:spacing w:val="-27"/>
          <w:sz w:val="20"/>
          <w:szCs w:val="20"/>
        </w:rPr>
        <w:t xml:space="preserve"> </w:t>
      </w:r>
      <w:r w:rsidRPr="00B004EE">
        <w:rPr>
          <w:rFonts w:ascii="Tahoma" w:eastAsia="American Typewriter" w:hAnsi="Tahoma" w:cs="Tahoma"/>
          <w:sz w:val="20"/>
          <w:szCs w:val="20"/>
        </w:rPr>
        <w:t>une</w:t>
      </w:r>
      <w:r w:rsidR="00DB1635" w:rsidRPr="00B004EE">
        <w:rPr>
          <w:rFonts w:ascii="Tahoma" w:eastAsia="American Typewriter" w:hAnsi="Tahoma" w:cs="Tahoma"/>
          <w:spacing w:val="-26"/>
          <w:sz w:val="20"/>
          <w:szCs w:val="20"/>
        </w:rPr>
        <w:t xml:space="preserve"> </w:t>
      </w:r>
      <w:r w:rsidRPr="00B004EE">
        <w:rPr>
          <w:rFonts w:ascii="Tahoma" w:hAnsi="Tahoma" w:cs="Tahoma"/>
          <w:sz w:val="20"/>
          <w:szCs w:val="20"/>
        </w:rPr>
        <w:t>ressource</w:t>
      </w:r>
      <w:r w:rsidR="00DB1635" w:rsidRPr="00B004EE">
        <w:rPr>
          <w:rFonts w:ascii="Tahoma" w:hAnsi="Tahoma" w:cs="Tahoma"/>
          <w:spacing w:val="-26"/>
          <w:sz w:val="20"/>
          <w:szCs w:val="20"/>
        </w:rPr>
        <w:t xml:space="preserve"> </w:t>
      </w:r>
      <w:r w:rsidRPr="00B004EE">
        <w:rPr>
          <w:rFonts w:ascii="Tahoma" w:hAnsi="Tahoma" w:cs="Tahoma"/>
          <w:sz w:val="20"/>
          <w:szCs w:val="20"/>
        </w:rPr>
        <w:t>et</w:t>
      </w:r>
      <w:r w:rsidR="00DB1635" w:rsidRPr="00B004EE">
        <w:rPr>
          <w:rFonts w:ascii="Tahoma" w:hAnsi="Tahoma" w:cs="Tahoma"/>
          <w:spacing w:val="-27"/>
          <w:sz w:val="20"/>
          <w:szCs w:val="20"/>
        </w:rPr>
        <w:t xml:space="preserve"> </w:t>
      </w:r>
      <w:r w:rsidRPr="00B004EE">
        <w:rPr>
          <w:rFonts w:ascii="Tahoma" w:hAnsi="Tahoma" w:cs="Tahoma"/>
          <w:sz w:val="20"/>
          <w:szCs w:val="20"/>
        </w:rPr>
        <w:t>donne</w:t>
      </w:r>
      <w:r w:rsidR="00DB1635" w:rsidRPr="00B004EE">
        <w:rPr>
          <w:rFonts w:ascii="Tahoma" w:hAnsi="Tahoma" w:cs="Tahoma"/>
          <w:spacing w:val="-27"/>
          <w:sz w:val="20"/>
          <w:szCs w:val="20"/>
        </w:rPr>
        <w:t xml:space="preserve"> </w:t>
      </w:r>
      <w:r w:rsidRPr="00B004EE">
        <w:rPr>
          <w:rFonts w:ascii="Tahoma" w:hAnsi="Tahoma" w:cs="Tahoma"/>
          <w:sz w:val="20"/>
          <w:szCs w:val="20"/>
        </w:rPr>
        <w:t>lieu</w:t>
      </w:r>
      <w:r w:rsidR="00DB1635" w:rsidRPr="00B004EE">
        <w:rPr>
          <w:rFonts w:ascii="Tahoma" w:hAnsi="Tahoma" w:cs="Tahoma"/>
          <w:spacing w:val="-27"/>
          <w:sz w:val="20"/>
          <w:szCs w:val="20"/>
        </w:rPr>
        <w:t xml:space="preserve"> </w:t>
      </w:r>
      <w:r w:rsidRPr="00B004EE">
        <w:rPr>
          <w:rFonts w:ascii="Tahoma" w:hAnsi="Tahoma" w:cs="Tahoma"/>
          <w:sz w:val="20"/>
          <w:szCs w:val="20"/>
        </w:rPr>
        <w:t>à</w:t>
      </w:r>
      <w:r w:rsidR="00DB1635" w:rsidRPr="00B004EE">
        <w:rPr>
          <w:rFonts w:ascii="Tahoma" w:hAnsi="Tahoma" w:cs="Tahoma"/>
          <w:spacing w:val="-26"/>
          <w:sz w:val="20"/>
          <w:szCs w:val="20"/>
        </w:rPr>
        <w:t xml:space="preserve"> </w:t>
      </w:r>
      <w:r w:rsidRPr="00B004EE">
        <w:rPr>
          <w:rFonts w:ascii="Tahoma" w:hAnsi="Tahoma" w:cs="Tahoma"/>
          <w:sz w:val="20"/>
          <w:szCs w:val="20"/>
        </w:rPr>
        <w:t>un</w:t>
      </w:r>
      <w:r w:rsidR="00DB1635" w:rsidRPr="00B004EE">
        <w:rPr>
          <w:rFonts w:ascii="Tahoma" w:hAnsi="Tahoma" w:cs="Tahoma"/>
          <w:spacing w:val="-27"/>
          <w:sz w:val="20"/>
          <w:szCs w:val="20"/>
        </w:rPr>
        <w:t xml:space="preserve"> </w:t>
      </w:r>
      <w:r w:rsidRPr="00B004EE">
        <w:rPr>
          <w:rFonts w:ascii="Tahoma" w:hAnsi="Tahoma" w:cs="Tahoma"/>
          <w:sz w:val="20"/>
          <w:szCs w:val="20"/>
        </w:rPr>
        <w:t>contrat</w:t>
      </w:r>
      <w:r w:rsidR="00DB1635" w:rsidRPr="00B004EE">
        <w:rPr>
          <w:rFonts w:ascii="Tahoma" w:hAnsi="Tahoma" w:cs="Tahoma"/>
          <w:spacing w:val="-27"/>
          <w:sz w:val="20"/>
          <w:szCs w:val="20"/>
        </w:rPr>
        <w:t xml:space="preserve"> </w:t>
      </w:r>
      <w:r w:rsidRPr="00B004EE">
        <w:rPr>
          <w:rFonts w:ascii="Tahoma" w:hAnsi="Tahoma" w:cs="Tahoma"/>
          <w:sz w:val="20"/>
          <w:szCs w:val="20"/>
        </w:rPr>
        <w:t>de</w:t>
      </w:r>
      <w:r w:rsidR="00DB1635" w:rsidRPr="00B004EE">
        <w:rPr>
          <w:rFonts w:ascii="Tahoma" w:hAnsi="Tahoma" w:cs="Tahoma"/>
          <w:spacing w:val="-27"/>
          <w:sz w:val="20"/>
          <w:szCs w:val="20"/>
        </w:rPr>
        <w:t xml:space="preserve"> </w:t>
      </w:r>
      <w:r w:rsidRPr="00B004EE">
        <w:rPr>
          <w:rFonts w:ascii="Tahoma" w:hAnsi="Tahoma" w:cs="Tahoma"/>
          <w:sz w:val="20"/>
          <w:szCs w:val="20"/>
        </w:rPr>
        <w:t>concession.</w:t>
      </w:r>
    </w:p>
    <w:p w14:paraId="5CD68BB5" w14:textId="77777777" w:rsidR="001E7C3C" w:rsidRPr="00B004EE" w:rsidRDefault="001E7C3C" w:rsidP="00B004EE">
      <w:pPr>
        <w:rPr>
          <w:rFonts w:ascii="Tahoma" w:eastAsia="American Typewriter" w:hAnsi="Tahoma" w:cs="Tahoma"/>
          <w:sz w:val="20"/>
          <w:szCs w:val="20"/>
        </w:rPr>
      </w:pPr>
    </w:p>
    <w:p w14:paraId="797CFA9A" w14:textId="5A77C23D" w:rsidR="00E50532" w:rsidRPr="00B004EE" w:rsidRDefault="001E7C3C" w:rsidP="00B004EE">
      <w:pPr>
        <w:pStyle w:val="Corpsdetexte"/>
        <w:ind w:right="160"/>
        <w:rPr>
          <w:rFonts w:ascii="Tahoma" w:hAnsi="Tahoma" w:cs="Tahoma"/>
          <w:sz w:val="20"/>
          <w:szCs w:val="20"/>
          <w:rtl/>
        </w:rPr>
      </w:pPr>
      <w:r w:rsidRPr="00B004EE">
        <w:rPr>
          <w:rFonts w:ascii="Tahoma" w:eastAsia="American Typewriter" w:hAnsi="Tahoma" w:cs="Tahoma"/>
          <w:sz w:val="20"/>
          <w:szCs w:val="20"/>
        </w:rPr>
        <w:t>Article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24</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w:t>
      </w:r>
      <w:r w:rsidR="00DB1635" w:rsidRPr="00B004EE">
        <w:rPr>
          <w:rFonts w:ascii="Tahoma" w:eastAsia="American Typewriter" w:hAnsi="Tahoma" w:cs="Tahoma"/>
          <w:b/>
          <w:bCs/>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même</w:t>
      </w:r>
      <w:r w:rsidR="00DB1635" w:rsidRPr="00B004EE">
        <w:rPr>
          <w:rFonts w:ascii="Tahoma" w:hAnsi="Tahoma" w:cs="Tahoma"/>
          <w:sz w:val="20"/>
          <w:szCs w:val="20"/>
        </w:rPr>
        <w:t xml:space="preserve"> </w:t>
      </w:r>
      <w:r w:rsidRPr="00B004EE">
        <w:rPr>
          <w:rFonts w:ascii="Tahoma" w:hAnsi="Tahoma" w:cs="Tahoma"/>
          <w:sz w:val="20"/>
          <w:szCs w:val="20"/>
        </w:rPr>
        <w:t>personne</w:t>
      </w:r>
      <w:r w:rsidR="00DB1635" w:rsidRPr="00B004EE">
        <w:rPr>
          <w:rFonts w:ascii="Tahoma" w:hAnsi="Tahoma" w:cs="Tahoma"/>
          <w:sz w:val="20"/>
          <w:szCs w:val="20"/>
        </w:rPr>
        <w:t xml:space="preserve"> </w:t>
      </w:r>
      <w:r w:rsidRPr="00B004EE">
        <w:rPr>
          <w:rFonts w:ascii="Tahoma" w:hAnsi="Tahoma" w:cs="Tahoma"/>
          <w:sz w:val="20"/>
          <w:szCs w:val="20"/>
        </w:rPr>
        <w:t>physique</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morale</w:t>
      </w:r>
      <w:r w:rsidR="00DB1635" w:rsidRPr="00B004EE">
        <w:rPr>
          <w:rFonts w:ascii="Tahoma" w:hAnsi="Tahoma" w:cs="Tahoma"/>
          <w:sz w:val="20"/>
          <w:szCs w:val="20"/>
        </w:rPr>
        <w:t xml:space="preserve"> </w:t>
      </w:r>
      <w:r w:rsidRPr="00B004EE">
        <w:rPr>
          <w:rFonts w:ascii="Tahoma" w:hAnsi="Tahoma" w:cs="Tahoma"/>
          <w:sz w:val="20"/>
          <w:szCs w:val="20"/>
        </w:rPr>
        <w:t>peut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titulaire</w:t>
      </w:r>
      <w:r w:rsidR="00DB1635" w:rsidRPr="00B004EE">
        <w:rPr>
          <w:rFonts w:ascii="Tahoma" w:hAnsi="Tahoma" w:cs="Tahoma"/>
          <w:sz w:val="20"/>
          <w:szCs w:val="20"/>
        </w:rPr>
        <w:t xml:space="preserve"> </w:t>
      </w:r>
      <w:r w:rsidRPr="00B004EE">
        <w:rPr>
          <w:rFonts w:ascii="Tahoma" w:hAnsi="Tahoma" w:cs="Tahoma"/>
          <w:sz w:val="20"/>
          <w:szCs w:val="20"/>
        </w:rPr>
        <w:t>d'un</w:t>
      </w:r>
      <w:r w:rsidR="00DB1635" w:rsidRPr="00B004EE">
        <w:rPr>
          <w:rFonts w:ascii="Tahoma" w:hAnsi="Tahoma" w:cs="Tahoma"/>
          <w:spacing w:val="34"/>
          <w:sz w:val="20"/>
          <w:szCs w:val="20"/>
        </w:rPr>
        <w:t xml:space="preserve"> </w:t>
      </w:r>
      <w:r w:rsidRPr="00B004EE">
        <w:rPr>
          <w:rFonts w:ascii="Tahoma" w:hAnsi="Tahoma" w:cs="Tahoma"/>
          <w:sz w:val="20"/>
          <w:szCs w:val="20"/>
        </w:rPr>
        <w:t>ou</w:t>
      </w:r>
      <w:r w:rsidR="00DB1635" w:rsidRPr="00B004EE">
        <w:rPr>
          <w:rFonts w:ascii="Tahoma" w:hAnsi="Tahoma" w:cs="Tahoma"/>
          <w:w w:val="95"/>
          <w:sz w:val="20"/>
          <w:szCs w:val="20"/>
        </w:rPr>
        <w:t xml:space="preserve"> </w:t>
      </w:r>
      <w:r w:rsidRPr="00B004EE">
        <w:rPr>
          <w:rFonts w:ascii="Tahoma" w:eastAsia="American Typewriter" w:hAnsi="Tahoma" w:cs="Tahoma"/>
          <w:sz w:val="20"/>
          <w:szCs w:val="20"/>
        </w:rPr>
        <w:t>plusieurs</w:t>
      </w:r>
      <w:r w:rsidR="00DB1635" w:rsidRPr="00B004EE">
        <w:rPr>
          <w:rFonts w:ascii="Tahoma" w:eastAsia="American Typewriter" w:hAnsi="Tahoma" w:cs="Tahoma"/>
          <w:spacing w:val="-35"/>
          <w:sz w:val="20"/>
          <w:szCs w:val="20"/>
        </w:rPr>
        <w:t xml:space="preserve"> </w:t>
      </w:r>
      <w:r w:rsidRPr="00B004EE">
        <w:rPr>
          <w:rFonts w:ascii="Tahoma" w:eastAsia="American Typewriter" w:hAnsi="Tahoma" w:cs="Tahoma"/>
          <w:sz w:val="20"/>
          <w:szCs w:val="20"/>
        </w:rPr>
        <w:t>droits</w:t>
      </w:r>
      <w:r w:rsidR="00DB1635" w:rsidRPr="00B004EE">
        <w:rPr>
          <w:rFonts w:ascii="Tahoma" w:eastAsia="American Typewriter" w:hAnsi="Tahoma" w:cs="Tahoma"/>
          <w:spacing w:val="-35"/>
          <w:sz w:val="20"/>
          <w:szCs w:val="20"/>
        </w:rPr>
        <w:t xml:space="preserve"> </w:t>
      </w:r>
      <w:r w:rsidRPr="00B004EE">
        <w:rPr>
          <w:rFonts w:ascii="Tahoma" w:eastAsia="American Typewriter" w:hAnsi="Tahoma" w:cs="Tahoma"/>
          <w:sz w:val="20"/>
          <w:szCs w:val="20"/>
        </w:rPr>
        <w:t>d’usage</w:t>
      </w:r>
      <w:r w:rsidRPr="00B004EE">
        <w:rPr>
          <w:rFonts w:ascii="Tahoma" w:hAnsi="Tahoma" w:cs="Tahoma"/>
          <w:sz w:val="20"/>
          <w:szCs w:val="20"/>
        </w:rPr>
        <w:t>,</w:t>
      </w:r>
      <w:r w:rsidR="00DB1635" w:rsidRPr="00B004EE">
        <w:rPr>
          <w:rFonts w:ascii="Tahoma" w:hAnsi="Tahoma" w:cs="Tahoma"/>
          <w:spacing w:val="-35"/>
          <w:sz w:val="20"/>
          <w:szCs w:val="20"/>
        </w:rPr>
        <w:t xml:space="preserve"> </w:t>
      </w:r>
      <w:r w:rsidRPr="00B004EE">
        <w:rPr>
          <w:rFonts w:ascii="Tahoma" w:hAnsi="Tahoma" w:cs="Tahoma"/>
          <w:sz w:val="20"/>
          <w:szCs w:val="20"/>
        </w:rPr>
        <w:t>si</w:t>
      </w:r>
      <w:r w:rsidR="00DB1635" w:rsidRPr="00B004EE">
        <w:rPr>
          <w:rFonts w:ascii="Tahoma" w:hAnsi="Tahoma" w:cs="Tahoma"/>
          <w:spacing w:val="-35"/>
          <w:sz w:val="20"/>
          <w:szCs w:val="20"/>
        </w:rPr>
        <w:t xml:space="preserve"> </w:t>
      </w:r>
      <w:r w:rsidRPr="00B004EE">
        <w:rPr>
          <w:rFonts w:ascii="Tahoma" w:hAnsi="Tahoma" w:cs="Tahoma"/>
          <w:sz w:val="20"/>
          <w:szCs w:val="20"/>
        </w:rPr>
        <w:t>leurs</w:t>
      </w:r>
      <w:r w:rsidR="00DB1635" w:rsidRPr="00B004EE">
        <w:rPr>
          <w:rFonts w:ascii="Tahoma" w:hAnsi="Tahoma" w:cs="Tahoma"/>
          <w:spacing w:val="-35"/>
          <w:sz w:val="20"/>
          <w:szCs w:val="20"/>
        </w:rPr>
        <w:t xml:space="preserve"> </w:t>
      </w:r>
      <w:r w:rsidRPr="00B004EE">
        <w:rPr>
          <w:rFonts w:ascii="Tahoma" w:hAnsi="Tahoma" w:cs="Tahoma"/>
          <w:sz w:val="20"/>
          <w:szCs w:val="20"/>
        </w:rPr>
        <w:t>conditions</w:t>
      </w:r>
      <w:r w:rsidR="00DB1635" w:rsidRPr="00B004EE">
        <w:rPr>
          <w:rFonts w:ascii="Tahoma" w:hAnsi="Tahoma" w:cs="Tahoma"/>
          <w:spacing w:val="-36"/>
          <w:sz w:val="20"/>
          <w:szCs w:val="20"/>
        </w:rPr>
        <w:t xml:space="preserve"> </w:t>
      </w:r>
      <w:r w:rsidRPr="00B004EE">
        <w:rPr>
          <w:rFonts w:ascii="Tahoma" w:hAnsi="Tahoma" w:cs="Tahoma"/>
          <w:sz w:val="20"/>
          <w:szCs w:val="20"/>
        </w:rPr>
        <w:t>de</w:t>
      </w:r>
      <w:r w:rsidR="00DB1635" w:rsidRPr="00B004EE">
        <w:rPr>
          <w:rFonts w:ascii="Tahoma" w:hAnsi="Tahoma" w:cs="Tahoma"/>
          <w:spacing w:val="-35"/>
          <w:sz w:val="20"/>
          <w:szCs w:val="20"/>
        </w:rPr>
        <w:t xml:space="preserve"> </w:t>
      </w:r>
      <w:r w:rsidRPr="00B004EE">
        <w:rPr>
          <w:rFonts w:ascii="Tahoma" w:hAnsi="Tahoma" w:cs="Tahoma"/>
          <w:sz w:val="20"/>
          <w:szCs w:val="20"/>
        </w:rPr>
        <w:t>pêche</w:t>
      </w:r>
      <w:r w:rsidR="00DB1635" w:rsidRPr="00B004EE">
        <w:rPr>
          <w:rFonts w:ascii="Tahoma" w:hAnsi="Tahoma" w:cs="Tahoma"/>
          <w:spacing w:val="-35"/>
          <w:sz w:val="20"/>
          <w:szCs w:val="20"/>
        </w:rPr>
        <w:t xml:space="preserve"> </w:t>
      </w:r>
      <w:r w:rsidRPr="00B004EE">
        <w:rPr>
          <w:rFonts w:ascii="Tahoma" w:hAnsi="Tahoma" w:cs="Tahoma"/>
          <w:sz w:val="20"/>
          <w:szCs w:val="20"/>
        </w:rPr>
        <w:t>sont</w:t>
      </w:r>
      <w:r w:rsidR="00DB1635" w:rsidRPr="00B004EE">
        <w:rPr>
          <w:rFonts w:ascii="Tahoma" w:hAnsi="Tahoma" w:cs="Tahoma"/>
          <w:spacing w:val="-35"/>
          <w:sz w:val="20"/>
          <w:szCs w:val="20"/>
        </w:rPr>
        <w:t xml:space="preserve"> </w:t>
      </w:r>
      <w:r w:rsidRPr="00B004EE">
        <w:rPr>
          <w:rFonts w:ascii="Tahoma" w:hAnsi="Tahoma" w:cs="Tahoma"/>
          <w:sz w:val="20"/>
          <w:szCs w:val="20"/>
        </w:rPr>
        <w:t>compatibles.</w:t>
      </w:r>
    </w:p>
    <w:p w14:paraId="01A11D11" w14:textId="77777777" w:rsidR="00E50532" w:rsidRPr="00B004EE" w:rsidRDefault="00E50532" w:rsidP="00B004EE">
      <w:pPr>
        <w:pStyle w:val="Corpsdetexte"/>
        <w:ind w:right="160"/>
        <w:rPr>
          <w:rFonts w:ascii="Tahoma" w:hAnsi="Tahoma" w:cs="Tahoma"/>
          <w:sz w:val="20"/>
          <w:szCs w:val="20"/>
          <w:rtl/>
        </w:rPr>
      </w:pPr>
    </w:p>
    <w:p w14:paraId="78790C8F" w14:textId="2FCBADD3" w:rsidR="001E7C3C" w:rsidRPr="00B004EE" w:rsidRDefault="001E7C3C" w:rsidP="00B004EE">
      <w:pPr>
        <w:pStyle w:val="Corpsdetexte"/>
        <w:ind w:right="160"/>
        <w:rPr>
          <w:rFonts w:ascii="Tahoma" w:hAnsi="Tahoma" w:cs="Tahoma"/>
          <w:sz w:val="20"/>
          <w:szCs w:val="20"/>
        </w:rPr>
      </w:pPr>
      <w:r w:rsidRPr="00B004EE">
        <w:rPr>
          <w:rFonts w:ascii="Tahoma" w:eastAsia="American Typewriter" w:hAnsi="Tahoma" w:cs="Tahoma"/>
          <w:sz w:val="20"/>
          <w:szCs w:val="20"/>
        </w:rPr>
        <w:t>Article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25</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w:t>
      </w:r>
      <w:r w:rsidR="00DB1635" w:rsidRPr="00B004EE">
        <w:rPr>
          <w:rFonts w:ascii="Tahoma" w:hAnsi="Tahoma" w:cs="Tahoma"/>
          <w:spacing w:val="46"/>
          <w:sz w:val="20"/>
          <w:szCs w:val="20"/>
        </w:rPr>
        <w:t xml:space="preserve"> </w:t>
      </w:r>
      <w:r w:rsidRPr="00B004EE">
        <w:rPr>
          <w:rFonts w:ascii="Tahoma" w:hAnsi="Tahoma" w:cs="Tahoma"/>
          <w:sz w:val="20"/>
          <w:szCs w:val="20"/>
        </w:rPr>
        <w:t>Les</w:t>
      </w:r>
      <w:r w:rsidR="00DB1635" w:rsidRPr="00B004EE">
        <w:rPr>
          <w:rFonts w:ascii="Tahoma" w:hAnsi="Tahoma" w:cs="Tahoma"/>
          <w:spacing w:val="45"/>
          <w:sz w:val="20"/>
          <w:szCs w:val="20"/>
        </w:rPr>
        <w:t xml:space="preserve"> </w:t>
      </w:r>
      <w:r w:rsidRPr="00B004EE">
        <w:rPr>
          <w:rFonts w:ascii="Tahoma" w:eastAsia="American Typewriter" w:hAnsi="Tahoma" w:cs="Tahoma"/>
          <w:sz w:val="20"/>
          <w:szCs w:val="20"/>
        </w:rPr>
        <w:t>mécanismes</w:t>
      </w:r>
      <w:r w:rsidR="00DB1635" w:rsidRPr="00B004EE">
        <w:rPr>
          <w:rFonts w:ascii="Tahoma" w:eastAsia="American Typewriter" w:hAnsi="Tahoma" w:cs="Tahoma"/>
          <w:spacing w:val="44"/>
          <w:sz w:val="20"/>
          <w:szCs w:val="20"/>
        </w:rPr>
        <w:t xml:space="preserve"> </w:t>
      </w:r>
      <w:r w:rsidRPr="00B004EE">
        <w:rPr>
          <w:rFonts w:ascii="Tahoma" w:eastAsia="American Typewriter" w:hAnsi="Tahoma" w:cs="Tahoma"/>
          <w:sz w:val="20"/>
          <w:szCs w:val="20"/>
        </w:rPr>
        <w:t>d’allocation</w:t>
      </w:r>
      <w:r w:rsidR="00DB1635" w:rsidRPr="00B004EE">
        <w:rPr>
          <w:rFonts w:ascii="Tahoma" w:eastAsia="American Typewriter" w:hAnsi="Tahoma" w:cs="Tahoma"/>
          <w:spacing w:val="45"/>
          <w:sz w:val="20"/>
          <w:szCs w:val="20"/>
        </w:rPr>
        <w:t xml:space="preserve"> </w:t>
      </w:r>
      <w:r w:rsidRPr="00B004EE">
        <w:rPr>
          <w:rFonts w:ascii="Tahoma" w:eastAsia="American Typewriter" w:hAnsi="Tahoma" w:cs="Tahoma"/>
          <w:sz w:val="20"/>
          <w:szCs w:val="20"/>
        </w:rPr>
        <w:t>des</w:t>
      </w:r>
      <w:r w:rsidR="00DB1635" w:rsidRPr="00B004EE">
        <w:rPr>
          <w:rFonts w:ascii="Tahoma" w:eastAsia="American Typewriter" w:hAnsi="Tahoma" w:cs="Tahoma"/>
          <w:spacing w:val="45"/>
          <w:sz w:val="20"/>
          <w:szCs w:val="20"/>
        </w:rPr>
        <w:t xml:space="preserve"> </w:t>
      </w:r>
      <w:r w:rsidRPr="00B004EE">
        <w:rPr>
          <w:rFonts w:ascii="Tahoma" w:eastAsia="American Typewriter" w:hAnsi="Tahoma" w:cs="Tahoma"/>
          <w:sz w:val="20"/>
          <w:szCs w:val="20"/>
        </w:rPr>
        <w:t>droits</w:t>
      </w:r>
      <w:r w:rsidR="00DB1635" w:rsidRPr="00B004EE">
        <w:rPr>
          <w:rFonts w:ascii="Tahoma" w:eastAsia="American Typewriter" w:hAnsi="Tahoma" w:cs="Tahoma"/>
          <w:spacing w:val="45"/>
          <w:sz w:val="20"/>
          <w:szCs w:val="20"/>
        </w:rPr>
        <w:t xml:space="preserve"> </w:t>
      </w:r>
      <w:r w:rsidRPr="00B004EE">
        <w:rPr>
          <w:rFonts w:ascii="Tahoma" w:eastAsia="American Typewriter" w:hAnsi="Tahoma" w:cs="Tahoma"/>
          <w:sz w:val="20"/>
          <w:szCs w:val="20"/>
        </w:rPr>
        <w:t>d'usage</w:t>
      </w:r>
      <w:r w:rsidR="00DB1635" w:rsidRPr="00B004EE">
        <w:rPr>
          <w:rFonts w:ascii="Tahoma" w:eastAsia="American Typewriter" w:hAnsi="Tahoma" w:cs="Tahoma"/>
          <w:spacing w:val="45"/>
          <w:sz w:val="20"/>
          <w:szCs w:val="20"/>
        </w:rPr>
        <w:t xml:space="preserve"> </w:t>
      </w:r>
      <w:r w:rsidRPr="00B004EE">
        <w:rPr>
          <w:rFonts w:ascii="Tahoma" w:eastAsia="American Typewriter" w:hAnsi="Tahoma" w:cs="Tahoma"/>
          <w:sz w:val="20"/>
          <w:szCs w:val="20"/>
        </w:rPr>
        <w:t>et</w:t>
      </w:r>
      <w:r w:rsidR="00DB1635" w:rsidRPr="00B004EE">
        <w:rPr>
          <w:rFonts w:ascii="Tahoma" w:eastAsia="American Typewriter" w:hAnsi="Tahoma" w:cs="Tahoma"/>
          <w:spacing w:val="46"/>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pacing w:val="45"/>
          <w:sz w:val="20"/>
          <w:szCs w:val="20"/>
        </w:rPr>
        <w:t xml:space="preserve"> </w:t>
      </w:r>
      <w:r w:rsidRPr="00B004EE">
        <w:rPr>
          <w:rFonts w:ascii="Tahoma" w:eastAsia="American Typewriter" w:hAnsi="Tahoma" w:cs="Tahoma"/>
          <w:sz w:val="20"/>
          <w:szCs w:val="20"/>
        </w:rPr>
        <w:t>gestion</w:t>
      </w:r>
      <w:r w:rsidR="00DB1635" w:rsidRPr="00B004EE">
        <w:rPr>
          <w:rFonts w:ascii="Tahoma" w:eastAsia="American Typewriter" w:hAnsi="Tahoma" w:cs="Tahoma"/>
          <w:spacing w:val="43"/>
          <w:sz w:val="20"/>
          <w:szCs w:val="20"/>
        </w:rPr>
        <w:t xml:space="preserve"> </w:t>
      </w:r>
      <w:r w:rsidRPr="00B004EE">
        <w:rPr>
          <w:rFonts w:ascii="Tahoma" w:eastAsia="American Typewriter" w:hAnsi="Tahoma" w:cs="Tahoma"/>
          <w:sz w:val="20"/>
          <w:szCs w:val="20"/>
        </w:rPr>
        <w:t>des</w:t>
      </w:r>
      <w:r w:rsidR="00DB1635" w:rsidRPr="00B004EE">
        <w:rPr>
          <w:rFonts w:ascii="Tahoma" w:eastAsia="American Typewriter" w:hAnsi="Tahoma" w:cs="Tahoma"/>
          <w:w w:val="94"/>
          <w:sz w:val="20"/>
          <w:szCs w:val="20"/>
        </w:rPr>
        <w:t xml:space="preserve"> </w:t>
      </w:r>
      <w:r w:rsidRPr="00B004EE">
        <w:rPr>
          <w:rFonts w:ascii="Tahoma" w:hAnsi="Tahoma" w:cs="Tahoma"/>
          <w:sz w:val="20"/>
          <w:szCs w:val="20"/>
        </w:rPr>
        <w:t>concessions</w:t>
      </w:r>
      <w:r w:rsidR="00DB1635" w:rsidRPr="00B004EE">
        <w:rPr>
          <w:rFonts w:ascii="Tahoma" w:hAnsi="Tahoma" w:cs="Tahoma"/>
          <w:sz w:val="20"/>
          <w:szCs w:val="20"/>
        </w:rPr>
        <w:t xml:space="preserve"> </w:t>
      </w:r>
      <w:r w:rsidRPr="00B004EE">
        <w:rPr>
          <w:rFonts w:ascii="Tahoma" w:hAnsi="Tahoma" w:cs="Tahoma"/>
          <w:sz w:val="20"/>
          <w:szCs w:val="20"/>
        </w:rPr>
        <w:t>y</w:t>
      </w:r>
      <w:r w:rsidR="00DB1635" w:rsidRPr="00B004EE">
        <w:rPr>
          <w:rFonts w:ascii="Tahoma" w:hAnsi="Tahoma" w:cs="Tahoma"/>
          <w:sz w:val="20"/>
          <w:szCs w:val="20"/>
        </w:rPr>
        <w:t xml:space="preserve"> </w:t>
      </w:r>
      <w:r w:rsidRPr="00B004EE">
        <w:rPr>
          <w:rFonts w:ascii="Tahoma" w:hAnsi="Tahoma" w:cs="Tahoma"/>
          <w:sz w:val="20"/>
          <w:szCs w:val="20"/>
        </w:rPr>
        <w:t>afférentes</w:t>
      </w:r>
      <w:r w:rsidR="00DB1635" w:rsidRPr="00B004EE">
        <w:rPr>
          <w:rFonts w:ascii="Tahoma" w:hAnsi="Tahoma" w:cs="Tahoma"/>
          <w:sz w:val="20"/>
          <w:szCs w:val="20"/>
        </w:rPr>
        <w:t xml:space="preserve"> </w:t>
      </w:r>
      <w:r w:rsidRPr="00B004EE">
        <w:rPr>
          <w:rFonts w:ascii="Tahoma" w:hAnsi="Tahoma" w:cs="Tahoma"/>
          <w:sz w:val="20"/>
          <w:szCs w:val="20"/>
        </w:rPr>
        <w:t>se</w:t>
      </w:r>
      <w:r w:rsidR="00DB1635" w:rsidRPr="00B004EE">
        <w:rPr>
          <w:rFonts w:ascii="Tahoma" w:hAnsi="Tahoma" w:cs="Tahoma"/>
          <w:sz w:val="20"/>
          <w:szCs w:val="20"/>
        </w:rPr>
        <w:t xml:space="preserve"> </w:t>
      </w:r>
      <w:r w:rsidRPr="00B004EE">
        <w:rPr>
          <w:rFonts w:ascii="Tahoma" w:hAnsi="Tahoma" w:cs="Tahoma"/>
          <w:sz w:val="20"/>
          <w:szCs w:val="20"/>
        </w:rPr>
        <w:t>feront</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respect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règles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transparence</w:t>
      </w:r>
      <w:r w:rsidR="00DB1635" w:rsidRPr="00B004EE">
        <w:rPr>
          <w:rFonts w:ascii="Tahoma" w:hAnsi="Tahoma" w:cs="Tahoma"/>
          <w:spacing w:val="32"/>
          <w:sz w:val="20"/>
          <w:szCs w:val="20"/>
        </w:rPr>
        <w:t xml:space="preserve"> </w:t>
      </w:r>
      <w:r w:rsidRPr="00B004EE">
        <w:rPr>
          <w:rFonts w:ascii="Tahoma" w:hAnsi="Tahoma" w:cs="Tahoma"/>
          <w:sz w:val="20"/>
          <w:szCs w:val="20"/>
        </w:rPr>
        <w:t>et</w:t>
      </w:r>
      <w:r w:rsidR="00DB1635" w:rsidRPr="00B004EE">
        <w:rPr>
          <w:rFonts w:ascii="Tahoma" w:hAnsi="Tahoma" w:cs="Tahoma"/>
          <w:w w:val="95"/>
          <w:sz w:val="20"/>
          <w:szCs w:val="20"/>
        </w:rPr>
        <w:t xml:space="preserve"> </w:t>
      </w:r>
      <w:r w:rsidRPr="00B004EE">
        <w:rPr>
          <w:rFonts w:ascii="Tahoma" w:eastAsia="American Typewriter" w:hAnsi="Tahoma" w:cs="Tahoma"/>
          <w:sz w:val="20"/>
          <w:szCs w:val="20"/>
        </w:rPr>
        <w:t>d'équité,</w:t>
      </w:r>
      <w:r w:rsidR="00DB1635" w:rsidRPr="00B004EE">
        <w:rPr>
          <w:rFonts w:ascii="Tahoma" w:eastAsia="American Typewriter" w:hAnsi="Tahoma" w:cs="Tahoma"/>
          <w:spacing w:val="-3"/>
          <w:sz w:val="20"/>
          <w:szCs w:val="20"/>
        </w:rPr>
        <w:t xml:space="preserve"> </w:t>
      </w:r>
      <w:r w:rsidRPr="00B004EE">
        <w:rPr>
          <w:rFonts w:ascii="Tahoma" w:eastAsia="American Typewriter" w:hAnsi="Tahoma" w:cs="Tahoma"/>
          <w:sz w:val="20"/>
          <w:szCs w:val="20"/>
        </w:rPr>
        <w:t>dans</w:t>
      </w:r>
      <w:r w:rsidR="00DB1635" w:rsidRPr="00B004EE">
        <w:rPr>
          <w:rFonts w:ascii="Tahoma" w:eastAsia="American Typewriter" w:hAnsi="Tahoma" w:cs="Tahoma"/>
          <w:spacing w:val="-5"/>
          <w:sz w:val="20"/>
          <w:szCs w:val="20"/>
        </w:rPr>
        <w:t xml:space="preserve"> </w:t>
      </w:r>
      <w:r w:rsidRPr="00B004EE">
        <w:rPr>
          <w:rFonts w:ascii="Tahoma" w:eastAsia="American Typewriter" w:hAnsi="Tahoma" w:cs="Tahoma"/>
          <w:sz w:val="20"/>
          <w:szCs w:val="20"/>
        </w:rPr>
        <w:t>l’intérêt</w:t>
      </w:r>
      <w:r w:rsidR="00DB1635" w:rsidRPr="00B004EE">
        <w:rPr>
          <w:rFonts w:ascii="Tahoma" w:eastAsia="American Typewriter" w:hAnsi="Tahoma" w:cs="Tahoma"/>
          <w:spacing w:val="-4"/>
          <w:sz w:val="20"/>
          <w:szCs w:val="20"/>
        </w:rPr>
        <w:t xml:space="preserve"> </w:t>
      </w:r>
      <w:r w:rsidRPr="00B004EE">
        <w:rPr>
          <w:rFonts w:ascii="Tahoma" w:eastAsia="American Typewriter" w:hAnsi="Tahoma" w:cs="Tahoma"/>
          <w:sz w:val="20"/>
          <w:szCs w:val="20"/>
        </w:rPr>
        <w:t>général</w:t>
      </w:r>
      <w:r w:rsidR="00DB1635" w:rsidRPr="00B004EE">
        <w:rPr>
          <w:rFonts w:ascii="Tahoma" w:eastAsia="American Typewriter" w:hAnsi="Tahoma" w:cs="Tahoma"/>
          <w:spacing w:val="-3"/>
          <w:sz w:val="20"/>
          <w:szCs w:val="20"/>
        </w:rPr>
        <w:t xml:space="preserve"> </w:t>
      </w:r>
      <w:r w:rsidRPr="00B004EE">
        <w:rPr>
          <w:rFonts w:ascii="Tahoma" w:eastAsia="American Typewriter" w:hAnsi="Tahoma" w:cs="Tahoma"/>
          <w:sz w:val="20"/>
          <w:szCs w:val="20"/>
        </w:rPr>
        <w:t>et</w:t>
      </w:r>
      <w:r w:rsidR="00DB1635" w:rsidRPr="00B004EE">
        <w:rPr>
          <w:rFonts w:ascii="Tahoma" w:eastAsia="American Typewriter" w:hAnsi="Tahoma" w:cs="Tahoma"/>
          <w:spacing w:val="-5"/>
          <w:sz w:val="20"/>
          <w:szCs w:val="20"/>
        </w:rPr>
        <w:t xml:space="preserve"> </w:t>
      </w:r>
      <w:r w:rsidRPr="00B004EE">
        <w:rPr>
          <w:rFonts w:ascii="Tahoma" w:eastAsia="American Typewriter" w:hAnsi="Tahoma" w:cs="Tahoma"/>
          <w:sz w:val="20"/>
          <w:szCs w:val="20"/>
        </w:rPr>
        <w:t>dans</w:t>
      </w:r>
      <w:r w:rsidR="00DB1635" w:rsidRPr="00B004EE">
        <w:rPr>
          <w:rFonts w:ascii="Tahoma" w:eastAsia="American Typewriter" w:hAnsi="Tahoma" w:cs="Tahoma"/>
          <w:spacing w:val="-6"/>
          <w:sz w:val="20"/>
          <w:szCs w:val="20"/>
        </w:rPr>
        <w:t xml:space="preserve"> </w:t>
      </w:r>
      <w:r w:rsidRPr="00B004EE">
        <w:rPr>
          <w:rFonts w:ascii="Tahoma" w:eastAsia="American Typewriter" w:hAnsi="Tahoma" w:cs="Tahoma"/>
          <w:sz w:val="20"/>
          <w:szCs w:val="20"/>
        </w:rPr>
        <w:t>le</w:t>
      </w:r>
      <w:r w:rsidR="00DB1635" w:rsidRPr="00B004EE">
        <w:rPr>
          <w:rFonts w:ascii="Tahoma" w:eastAsia="American Typewriter" w:hAnsi="Tahoma" w:cs="Tahoma"/>
          <w:spacing w:val="-5"/>
          <w:sz w:val="20"/>
          <w:szCs w:val="20"/>
        </w:rPr>
        <w:t xml:space="preserve"> </w:t>
      </w:r>
      <w:r w:rsidRPr="00B004EE">
        <w:rPr>
          <w:rFonts w:ascii="Tahoma" w:eastAsia="American Typewriter" w:hAnsi="Tahoma" w:cs="Tahoma"/>
          <w:sz w:val="20"/>
          <w:szCs w:val="20"/>
        </w:rPr>
        <w:t>but</w:t>
      </w:r>
      <w:r w:rsidR="00DB1635" w:rsidRPr="00B004EE">
        <w:rPr>
          <w:rFonts w:ascii="Tahoma" w:eastAsia="American Typewriter" w:hAnsi="Tahoma" w:cs="Tahoma"/>
          <w:spacing w:val="-5"/>
          <w:sz w:val="20"/>
          <w:szCs w:val="20"/>
        </w:rPr>
        <w:t xml:space="preserve"> </w:t>
      </w:r>
      <w:r w:rsidRPr="00B004EE">
        <w:rPr>
          <w:rFonts w:ascii="Tahoma" w:eastAsia="American Typewriter" w:hAnsi="Tahoma" w:cs="Tahoma"/>
          <w:sz w:val="20"/>
          <w:szCs w:val="20"/>
        </w:rPr>
        <w:t>d’atteindre</w:t>
      </w:r>
      <w:r w:rsidR="00DB1635" w:rsidRPr="00B004EE">
        <w:rPr>
          <w:rFonts w:ascii="Tahoma" w:eastAsia="American Typewriter" w:hAnsi="Tahoma" w:cs="Tahoma"/>
          <w:spacing w:val="-5"/>
          <w:sz w:val="20"/>
          <w:szCs w:val="20"/>
        </w:rPr>
        <w:t xml:space="preserve"> </w:t>
      </w:r>
      <w:r w:rsidRPr="00B004EE">
        <w:rPr>
          <w:rFonts w:ascii="Tahoma" w:eastAsia="American Typewriter" w:hAnsi="Tahoma" w:cs="Tahoma"/>
          <w:sz w:val="20"/>
          <w:szCs w:val="20"/>
        </w:rPr>
        <w:t>un</w:t>
      </w:r>
      <w:r w:rsidR="00DB1635" w:rsidRPr="00B004EE">
        <w:rPr>
          <w:rFonts w:ascii="Tahoma" w:eastAsia="American Typewriter" w:hAnsi="Tahoma" w:cs="Tahoma"/>
          <w:spacing w:val="-6"/>
          <w:sz w:val="20"/>
          <w:szCs w:val="20"/>
        </w:rPr>
        <w:t xml:space="preserve"> </w:t>
      </w:r>
      <w:r w:rsidRPr="00B004EE">
        <w:rPr>
          <w:rFonts w:ascii="Tahoma" w:eastAsia="American Typewriter" w:hAnsi="Tahoma" w:cs="Tahoma"/>
          <w:sz w:val="20"/>
          <w:szCs w:val="20"/>
        </w:rPr>
        <w:t>o</w:t>
      </w:r>
      <w:r w:rsidRPr="00B004EE">
        <w:rPr>
          <w:rFonts w:ascii="Tahoma" w:hAnsi="Tahoma" w:cs="Tahoma"/>
          <w:sz w:val="20"/>
          <w:szCs w:val="20"/>
        </w:rPr>
        <w:t>bjectif</w:t>
      </w:r>
      <w:r w:rsidR="00DB1635" w:rsidRPr="00B004EE">
        <w:rPr>
          <w:rFonts w:ascii="Tahoma" w:hAnsi="Tahoma" w:cs="Tahoma"/>
          <w:spacing w:val="-6"/>
          <w:sz w:val="20"/>
          <w:szCs w:val="20"/>
        </w:rPr>
        <w:t xml:space="preserve"> </w:t>
      </w:r>
      <w:r w:rsidRPr="00B004EE">
        <w:rPr>
          <w:rFonts w:ascii="Tahoma" w:hAnsi="Tahoma" w:cs="Tahoma"/>
          <w:sz w:val="20"/>
          <w:szCs w:val="20"/>
        </w:rPr>
        <w:t>de</w:t>
      </w:r>
      <w:r w:rsidR="00DB1635" w:rsidRPr="00B004EE">
        <w:rPr>
          <w:rFonts w:ascii="Tahoma" w:hAnsi="Tahoma" w:cs="Tahoma"/>
          <w:spacing w:val="-5"/>
          <w:sz w:val="20"/>
          <w:szCs w:val="20"/>
        </w:rPr>
        <w:t xml:space="preserve"> </w:t>
      </w:r>
      <w:r w:rsidRPr="00B004EE">
        <w:rPr>
          <w:rFonts w:ascii="Tahoma" w:hAnsi="Tahoma" w:cs="Tahoma"/>
          <w:sz w:val="20"/>
          <w:szCs w:val="20"/>
        </w:rPr>
        <w:t>croissance</w:t>
      </w:r>
      <w:r w:rsidR="00DB1635" w:rsidRPr="00B004EE">
        <w:rPr>
          <w:rFonts w:ascii="Tahoma" w:hAnsi="Tahoma" w:cs="Tahoma"/>
          <w:w w:val="94"/>
          <w:sz w:val="20"/>
          <w:szCs w:val="20"/>
        </w:rPr>
        <w:t xml:space="preserve"> </w:t>
      </w:r>
      <w:r w:rsidRPr="00B004EE">
        <w:rPr>
          <w:rFonts w:ascii="Tahoma" w:hAnsi="Tahoma" w:cs="Tahoma"/>
          <w:w w:val="95"/>
          <w:sz w:val="20"/>
          <w:szCs w:val="20"/>
        </w:rPr>
        <w:t>inclusive</w:t>
      </w:r>
      <w:r w:rsidR="00DB1635" w:rsidRPr="00B004EE">
        <w:rPr>
          <w:rFonts w:ascii="Tahoma" w:hAnsi="Tahoma" w:cs="Tahoma"/>
          <w:w w:val="95"/>
          <w:sz w:val="20"/>
          <w:szCs w:val="20"/>
        </w:rPr>
        <w:t xml:space="preserve"> </w:t>
      </w:r>
      <w:r w:rsidRPr="00B004EE">
        <w:rPr>
          <w:rFonts w:ascii="Tahoma" w:hAnsi="Tahoma" w:cs="Tahoma"/>
          <w:w w:val="95"/>
          <w:sz w:val="20"/>
          <w:szCs w:val="20"/>
        </w:rPr>
        <w:t>pour</w:t>
      </w:r>
      <w:r w:rsidR="00DB1635" w:rsidRPr="00B004EE">
        <w:rPr>
          <w:rFonts w:ascii="Tahoma" w:hAnsi="Tahoma" w:cs="Tahoma"/>
          <w:w w:val="95"/>
          <w:sz w:val="20"/>
          <w:szCs w:val="20"/>
        </w:rPr>
        <w:t xml:space="preserve"> </w:t>
      </w:r>
      <w:r w:rsidRPr="00B004EE">
        <w:rPr>
          <w:rFonts w:ascii="Tahoma" w:hAnsi="Tahoma" w:cs="Tahoma"/>
          <w:w w:val="95"/>
          <w:sz w:val="20"/>
          <w:szCs w:val="20"/>
        </w:rPr>
        <w:t>le</w:t>
      </w:r>
      <w:r w:rsidR="00DB1635" w:rsidRPr="00B004EE">
        <w:rPr>
          <w:rFonts w:ascii="Tahoma" w:hAnsi="Tahoma" w:cs="Tahoma"/>
          <w:w w:val="95"/>
          <w:sz w:val="20"/>
          <w:szCs w:val="20"/>
        </w:rPr>
        <w:t xml:space="preserve"> </w:t>
      </w:r>
      <w:r w:rsidRPr="00B004EE">
        <w:rPr>
          <w:rFonts w:ascii="Tahoma" w:hAnsi="Tahoma" w:cs="Tahoma"/>
          <w:w w:val="95"/>
          <w:sz w:val="20"/>
          <w:szCs w:val="20"/>
        </w:rPr>
        <w:t>développement</w:t>
      </w:r>
      <w:r w:rsidR="00DB1635" w:rsidRPr="00B004EE">
        <w:rPr>
          <w:rFonts w:ascii="Tahoma" w:hAnsi="Tahoma" w:cs="Tahoma"/>
          <w:w w:val="95"/>
          <w:sz w:val="20"/>
          <w:szCs w:val="20"/>
        </w:rPr>
        <w:t xml:space="preserve"> </w:t>
      </w:r>
      <w:r w:rsidRPr="00B004EE">
        <w:rPr>
          <w:rFonts w:ascii="Tahoma" w:hAnsi="Tahoma" w:cs="Tahoma"/>
          <w:w w:val="95"/>
          <w:sz w:val="20"/>
          <w:szCs w:val="20"/>
        </w:rPr>
        <w:t>du</w:t>
      </w:r>
      <w:r w:rsidR="00DB1635" w:rsidRPr="00B004EE">
        <w:rPr>
          <w:rFonts w:ascii="Tahoma" w:hAnsi="Tahoma" w:cs="Tahoma"/>
          <w:spacing w:val="43"/>
          <w:w w:val="95"/>
          <w:sz w:val="20"/>
          <w:szCs w:val="20"/>
        </w:rPr>
        <w:t xml:space="preserve"> </w:t>
      </w:r>
      <w:r w:rsidRPr="00B004EE">
        <w:rPr>
          <w:rFonts w:ascii="Tahoma" w:hAnsi="Tahoma" w:cs="Tahoma"/>
          <w:w w:val="95"/>
          <w:sz w:val="20"/>
          <w:szCs w:val="20"/>
        </w:rPr>
        <w:t>pays.</w:t>
      </w:r>
    </w:p>
    <w:p w14:paraId="56E3B3D2" w14:textId="09215BE2" w:rsidR="001E7C3C" w:rsidRPr="00B004EE" w:rsidRDefault="001E7C3C" w:rsidP="00B004EE">
      <w:pPr>
        <w:pStyle w:val="Corpsdetexte"/>
        <w:ind w:right="160"/>
        <w:rPr>
          <w:rFonts w:ascii="Tahoma" w:hAnsi="Tahoma" w:cs="Tahoma"/>
          <w:sz w:val="20"/>
          <w:szCs w:val="20"/>
        </w:rPr>
      </w:pPr>
      <w:r w:rsidRPr="00B004EE">
        <w:rPr>
          <w:rFonts w:ascii="Tahoma" w:hAnsi="Tahoma" w:cs="Tahoma"/>
          <w:sz w:val="20"/>
          <w:szCs w:val="20"/>
        </w:rPr>
        <w:t>A</w:t>
      </w:r>
      <w:r w:rsidR="00DB1635" w:rsidRPr="00B004EE">
        <w:rPr>
          <w:rFonts w:ascii="Tahoma" w:hAnsi="Tahoma" w:cs="Tahoma"/>
          <w:spacing w:val="51"/>
          <w:sz w:val="20"/>
          <w:szCs w:val="20"/>
        </w:rPr>
        <w:t xml:space="preserve"> </w:t>
      </w:r>
      <w:r w:rsidRPr="00B004EE">
        <w:rPr>
          <w:rFonts w:ascii="Tahoma" w:hAnsi="Tahoma" w:cs="Tahoma"/>
          <w:sz w:val="20"/>
          <w:szCs w:val="20"/>
        </w:rPr>
        <w:t>cette</w:t>
      </w:r>
      <w:r w:rsidR="00DB1635" w:rsidRPr="00B004EE">
        <w:rPr>
          <w:rFonts w:ascii="Tahoma" w:hAnsi="Tahoma" w:cs="Tahoma"/>
          <w:spacing w:val="52"/>
          <w:sz w:val="20"/>
          <w:szCs w:val="20"/>
        </w:rPr>
        <w:t xml:space="preserve"> </w:t>
      </w:r>
      <w:r w:rsidRPr="00B004EE">
        <w:rPr>
          <w:rFonts w:ascii="Tahoma" w:hAnsi="Tahoma" w:cs="Tahoma"/>
          <w:sz w:val="20"/>
          <w:szCs w:val="20"/>
        </w:rPr>
        <w:t>fin,</w:t>
      </w:r>
      <w:r w:rsidR="00DB1635" w:rsidRPr="00B004EE">
        <w:rPr>
          <w:rFonts w:ascii="Tahoma" w:hAnsi="Tahoma" w:cs="Tahoma"/>
          <w:spacing w:val="52"/>
          <w:sz w:val="20"/>
          <w:szCs w:val="20"/>
        </w:rPr>
        <w:t xml:space="preserve"> </w:t>
      </w:r>
      <w:r w:rsidRPr="00B004EE">
        <w:rPr>
          <w:rFonts w:ascii="Tahoma" w:hAnsi="Tahoma" w:cs="Tahoma"/>
          <w:sz w:val="20"/>
          <w:szCs w:val="20"/>
        </w:rPr>
        <w:t>le</w:t>
      </w:r>
      <w:r w:rsidR="00DB1635" w:rsidRPr="00B004EE">
        <w:rPr>
          <w:rFonts w:ascii="Tahoma" w:hAnsi="Tahoma" w:cs="Tahoma"/>
          <w:spacing w:val="51"/>
          <w:sz w:val="20"/>
          <w:szCs w:val="20"/>
        </w:rPr>
        <w:t xml:space="preserve"> </w:t>
      </w:r>
      <w:r w:rsidRPr="00B004EE">
        <w:rPr>
          <w:rFonts w:ascii="Tahoma" w:hAnsi="Tahoma" w:cs="Tahoma"/>
          <w:sz w:val="20"/>
          <w:szCs w:val="20"/>
        </w:rPr>
        <w:t>Ministre</w:t>
      </w:r>
      <w:r w:rsidR="00DB1635" w:rsidRPr="00B004EE">
        <w:rPr>
          <w:rFonts w:ascii="Tahoma" w:hAnsi="Tahoma" w:cs="Tahoma"/>
          <w:spacing w:val="49"/>
          <w:sz w:val="20"/>
          <w:szCs w:val="20"/>
        </w:rPr>
        <w:t xml:space="preserve"> </w:t>
      </w:r>
      <w:r w:rsidRPr="00B004EE">
        <w:rPr>
          <w:rFonts w:ascii="Tahoma" w:hAnsi="Tahoma" w:cs="Tahoma"/>
          <w:sz w:val="20"/>
          <w:szCs w:val="20"/>
        </w:rPr>
        <w:t>chargé</w:t>
      </w:r>
      <w:r w:rsidR="00DB1635" w:rsidRPr="00B004EE">
        <w:rPr>
          <w:rFonts w:ascii="Tahoma" w:hAnsi="Tahoma" w:cs="Tahoma"/>
          <w:spacing w:val="49"/>
          <w:sz w:val="20"/>
          <w:szCs w:val="20"/>
        </w:rPr>
        <w:t xml:space="preserve"> </w:t>
      </w:r>
      <w:r w:rsidRPr="00B004EE">
        <w:rPr>
          <w:rFonts w:ascii="Tahoma" w:hAnsi="Tahoma" w:cs="Tahoma"/>
          <w:sz w:val="20"/>
          <w:szCs w:val="20"/>
        </w:rPr>
        <w:t>des</w:t>
      </w:r>
      <w:r w:rsidR="00DB1635" w:rsidRPr="00B004EE">
        <w:rPr>
          <w:rFonts w:ascii="Tahoma" w:hAnsi="Tahoma" w:cs="Tahoma"/>
          <w:spacing w:val="49"/>
          <w:sz w:val="20"/>
          <w:szCs w:val="20"/>
        </w:rPr>
        <w:t xml:space="preserve"> </w:t>
      </w:r>
      <w:r w:rsidRPr="00B004EE">
        <w:rPr>
          <w:rFonts w:ascii="Tahoma" w:hAnsi="Tahoma" w:cs="Tahoma"/>
          <w:sz w:val="20"/>
          <w:szCs w:val="20"/>
        </w:rPr>
        <w:t>Pêches</w:t>
      </w:r>
      <w:r w:rsidR="00DB1635" w:rsidRPr="00B004EE">
        <w:rPr>
          <w:rFonts w:ascii="Tahoma" w:hAnsi="Tahoma" w:cs="Tahoma"/>
          <w:spacing w:val="49"/>
          <w:sz w:val="20"/>
          <w:szCs w:val="20"/>
        </w:rPr>
        <w:t xml:space="preserve"> </w:t>
      </w:r>
      <w:r w:rsidRPr="00B004EE">
        <w:rPr>
          <w:rFonts w:ascii="Tahoma" w:hAnsi="Tahoma" w:cs="Tahoma"/>
          <w:sz w:val="20"/>
          <w:szCs w:val="20"/>
        </w:rPr>
        <w:t>peut</w:t>
      </w:r>
      <w:r w:rsidR="00DB1635" w:rsidRPr="00B004EE">
        <w:rPr>
          <w:rFonts w:ascii="Tahoma" w:hAnsi="Tahoma" w:cs="Tahoma"/>
          <w:spacing w:val="49"/>
          <w:sz w:val="20"/>
          <w:szCs w:val="20"/>
        </w:rPr>
        <w:t xml:space="preserve"> </w:t>
      </w:r>
      <w:r w:rsidRPr="00B004EE">
        <w:rPr>
          <w:rFonts w:ascii="Tahoma" w:hAnsi="Tahoma" w:cs="Tahoma"/>
          <w:sz w:val="20"/>
          <w:szCs w:val="20"/>
        </w:rPr>
        <w:t>prendre</w:t>
      </w:r>
      <w:r w:rsidR="00DB1635" w:rsidRPr="00B004EE">
        <w:rPr>
          <w:rFonts w:ascii="Tahoma" w:hAnsi="Tahoma" w:cs="Tahoma"/>
          <w:spacing w:val="49"/>
          <w:sz w:val="20"/>
          <w:szCs w:val="20"/>
        </w:rPr>
        <w:t xml:space="preserve"> </w:t>
      </w:r>
      <w:r w:rsidRPr="00B004EE">
        <w:rPr>
          <w:rFonts w:ascii="Tahoma" w:hAnsi="Tahoma" w:cs="Tahoma"/>
          <w:sz w:val="20"/>
          <w:szCs w:val="20"/>
        </w:rPr>
        <w:t>en</w:t>
      </w:r>
      <w:r w:rsidR="00DB1635" w:rsidRPr="00B004EE">
        <w:rPr>
          <w:rFonts w:ascii="Tahoma" w:hAnsi="Tahoma" w:cs="Tahoma"/>
          <w:spacing w:val="49"/>
          <w:sz w:val="20"/>
          <w:szCs w:val="20"/>
        </w:rPr>
        <w:t xml:space="preserve"> </w:t>
      </w:r>
      <w:r w:rsidRPr="00B004EE">
        <w:rPr>
          <w:rFonts w:ascii="Tahoma" w:hAnsi="Tahoma" w:cs="Tahoma"/>
          <w:sz w:val="20"/>
          <w:szCs w:val="20"/>
        </w:rPr>
        <w:t>considération</w:t>
      </w:r>
      <w:r w:rsidR="00DB1635" w:rsidRPr="00B004EE">
        <w:rPr>
          <w:rFonts w:ascii="Tahoma" w:hAnsi="Tahoma" w:cs="Tahoma"/>
          <w:spacing w:val="49"/>
          <w:sz w:val="20"/>
          <w:szCs w:val="20"/>
        </w:rPr>
        <w:t xml:space="preserve"> </w:t>
      </w:r>
      <w:r w:rsidRPr="00B004EE">
        <w:rPr>
          <w:rFonts w:ascii="Tahoma" w:hAnsi="Tahoma" w:cs="Tahoma"/>
          <w:sz w:val="20"/>
          <w:szCs w:val="20"/>
        </w:rPr>
        <w:t>les</w:t>
      </w:r>
      <w:r w:rsidR="00DB1635" w:rsidRPr="00B004EE">
        <w:rPr>
          <w:rFonts w:ascii="Tahoma" w:hAnsi="Tahoma" w:cs="Tahoma"/>
          <w:w w:val="94"/>
          <w:sz w:val="20"/>
          <w:szCs w:val="20"/>
        </w:rPr>
        <w:t xml:space="preserve"> </w:t>
      </w:r>
      <w:r w:rsidRPr="00B004EE">
        <w:rPr>
          <w:rFonts w:ascii="Tahoma" w:hAnsi="Tahoma" w:cs="Tahoma"/>
          <w:sz w:val="20"/>
          <w:szCs w:val="20"/>
        </w:rPr>
        <w:t>éléments</w:t>
      </w:r>
      <w:r w:rsidR="00DB1635" w:rsidRPr="00B004EE">
        <w:rPr>
          <w:rFonts w:ascii="Tahoma" w:hAnsi="Tahoma" w:cs="Tahoma"/>
          <w:spacing w:val="-36"/>
          <w:sz w:val="20"/>
          <w:szCs w:val="20"/>
        </w:rPr>
        <w:t xml:space="preserve"> </w:t>
      </w:r>
      <w:r w:rsidRPr="00B004EE">
        <w:rPr>
          <w:rFonts w:ascii="Tahoma" w:hAnsi="Tahoma" w:cs="Tahoma"/>
          <w:sz w:val="20"/>
          <w:szCs w:val="20"/>
        </w:rPr>
        <w:t>suivants</w:t>
      </w:r>
      <w:r w:rsidR="00DB1635" w:rsidRPr="00B004EE">
        <w:rPr>
          <w:rFonts w:ascii="Tahoma" w:hAnsi="Tahoma" w:cs="Tahoma"/>
          <w:spacing w:val="-36"/>
          <w:sz w:val="20"/>
          <w:szCs w:val="20"/>
        </w:rPr>
        <w:t xml:space="preserve"> </w:t>
      </w:r>
      <w:r w:rsidRPr="00B004EE">
        <w:rPr>
          <w:rFonts w:ascii="Tahoma" w:hAnsi="Tahoma" w:cs="Tahoma"/>
          <w:sz w:val="20"/>
          <w:szCs w:val="20"/>
        </w:rPr>
        <w:t>:</w:t>
      </w:r>
    </w:p>
    <w:p w14:paraId="78767273" w14:textId="77777777" w:rsidR="001E7C3C" w:rsidRPr="00B004EE" w:rsidRDefault="001E7C3C" w:rsidP="00B004EE">
      <w:pPr>
        <w:rPr>
          <w:rFonts w:ascii="Tahoma" w:eastAsia="American Typewriter" w:hAnsi="Tahoma" w:cs="Tahoma"/>
          <w:sz w:val="20"/>
          <w:szCs w:val="20"/>
        </w:rPr>
      </w:pPr>
    </w:p>
    <w:p w14:paraId="7311ACF2" w14:textId="0C9AE0B2" w:rsidR="001E7C3C" w:rsidRPr="00B004EE" w:rsidRDefault="001E7C3C" w:rsidP="00420DDA">
      <w:pPr>
        <w:pStyle w:val="Paragraphedeliste"/>
        <w:widowControl w:val="0"/>
        <w:numPr>
          <w:ilvl w:val="0"/>
          <w:numId w:val="28"/>
        </w:numPr>
        <w:tabs>
          <w:tab w:val="left" w:pos="870"/>
        </w:tabs>
        <w:ind w:left="426" w:right="168"/>
        <w:rPr>
          <w:rFonts w:ascii="Tahoma" w:hAnsi="Tahoma" w:cs="Tahoma"/>
          <w:sz w:val="20"/>
          <w:szCs w:val="20"/>
        </w:rPr>
      </w:pPr>
      <w:proofErr w:type="gramStart"/>
      <w:r w:rsidRPr="00B004EE">
        <w:rPr>
          <w:rFonts w:ascii="Tahoma" w:hAnsi="Tahoma" w:cs="Tahoma"/>
          <w:sz w:val="20"/>
          <w:szCs w:val="20"/>
        </w:rPr>
        <w:t>si</w:t>
      </w:r>
      <w:proofErr w:type="gramEnd"/>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demandeur</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citoyen</w:t>
      </w:r>
      <w:r w:rsidR="00DB1635" w:rsidRPr="00B004EE">
        <w:rPr>
          <w:rFonts w:ascii="Tahoma" w:hAnsi="Tahoma" w:cs="Tahoma"/>
          <w:sz w:val="20"/>
          <w:szCs w:val="20"/>
        </w:rPr>
        <w:t xml:space="preserve"> </w:t>
      </w:r>
      <w:r w:rsidRPr="00B004EE">
        <w:rPr>
          <w:rFonts w:ascii="Tahoma" w:hAnsi="Tahoma" w:cs="Tahoma"/>
          <w:sz w:val="20"/>
          <w:szCs w:val="20"/>
        </w:rPr>
        <w:t>mauritanien</w:t>
      </w:r>
      <w:r w:rsidR="00DB1635" w:rsidRPr="00B004EE">
        <w:rPr>
          <w:rFonts w:ascii="Tahoma" w:hAnsi="Tahoma" w:cs="Tahoma"/>
          <w:sz w:val="20"/>
          <w:szCs w:val="20"/>
        </w:rPr>
        <w:t xml:space="preserve"> </w:t>
      </w:r>
      <w:r w:rsidRPr="00B004EE">
        <w:rPr>
          <w:rFonts w:ascii="Tahoma" w:hAnsi="Tahoma" w:cs="Tahoma"/>
          <w:sz w:val="20"/>
          <w:szCs w:val="20"/>
        </w:rPr>
        <w:t>;</w:t>
      </w:r>
    </w:p>
    <w:p w14:paraId="0824B3D5" w14:textId="69A805B3" w:rsidR="001E7C3C" w:rsidRPr="00B004EE" w:rsidRDefault="001E7C3C" w:rsidP="00420DDA">
      <w:pPr>
        <w:pStyle w:val="Paragraphedeliste"/>
        <w:widowControl w:val="0"/>
        <w:numPr>
          <w:ilvl w:val="0"/>
          <w:numId w:val="28"/>
        </w:numPr>
        <w:tabs>
          <w:tab w:val="left" w:pos="870"/>
        </w:tabs>
        <w:ind w:left="426" w:right="168"/>
        <w:rPr>
          <w:rFonts w:ascii="Tahoma" w:hAnsi="Tahoma" w:cs="Tahoma"/>
          <w:sz w:val="20"/>
          <w:szCs w:val="20"/>
        </w:rPr>
      </w:pPr>
      <w:proofErr w:type="gramStart"/>
      <w:r w:rsidRPr="00B004EE">
        <w:rPr>
          <w:rFonts w:ascii="Tahoma" w:hAnsi="Tahoma" w:cs="Tahoma"/>
          <w:sz w:val="20"/>
          <w:szCs w:val="20"/>
        </w:rPr>
        <w:t>si</w:t>
      </w:r>
      <w:proofErr w:type="gramEnd"/>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demandeur</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personne</w:t>
      </w:r>
      <w:r w:rsidR="00DB1635" w:rsidRPr="00B004EE">
        <w:rPr>
          <w:rFonts w:ascii="Tahoma" w:hAnsi="Tahoma" w:cs="Tahoma"/>
          <w:sz w:val="20"/>
          <w:szCs w:val="20"/>
        </w:rPr>
        <w:t xml:space="preserve"> </w:t>
      </w:r>
      <w:r w:rsidRPr="00B004EE">
        <w:rPr>
          <w:rFonts w:ascii="Tahoma" w:hAnsi="Tahoma" w:cs="Tahoma"/>
          <w:sz w:val="20"/>
          <w:szCs w:val="20"/>
        </w:rPr>
        <w:t>morale,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mesure</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laquelle</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contrôle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société</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dévolu</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citoyens</w:t>
      </w:r>
      <w:r w:rsidR="00DB1635" w:rsidRPr="00B004EE">
        <w:rPr>
          <w:rFonts w:ascii="Tahoma" w:hAnsi="Tahoma" w:cs="Tahoma"/>
          <w:sz w:val="20"/>
          <w:szCs w:val="20"/>
        </w:rPr>
        <w:t xml:space="preserve"> </w:t>
      </w:r>
      <w:r w:rsidRPr="00B004EE">
        <w:rPr>
          <w:rFonts w:ascii="Tahoma" w:hAnsi="Tahoma" w:cs="Tahoma"/>
          <w:sz w:val="20"/>
          <w:szCs w:val="20"/>
        </w:rPr>
        <w:t>mauritaniens;</w:t>
      </w:r>
    </w:p>
    <w:p w14:paraId="0313A5DC" w14:textId="44798D27" w:rsidR="001E7C3C" w:rsidRPr="00B004EE" w:rsidRDefault="001E7C3C" w:rsidP="00420DDA">
      <w:pPr>
        <w:pStyle w:val="Paragraphedeliste"/>
        <w:widowControl w:val="0"/>
        <w:numPr>
          <w:ilvl w:val="0"/>
          <w:numId w:val="28"/>
        </w:numPr>
        <w:tabs>
          <w:tab w:val="left" w:pos="870"/>
        </w:tabs>
        <w:ind w:left="426" w:right="168"/>
        <w:rPr>
          <w:rFonts w:ascii="Tahoma" w:hAnsi="Tahoma" w:cs="Tahoma"/>
          <w:sz w:val="20"/>
          <w:szCs w:val="20"/>
        </w:rPr>
      </w:pPr>
      <w:proofErr w:type="gramStart"/>
      <w:r w:rsidRPr="00B004EE">
        <w:rPr>
          <w:rFonts w:ascii="Tahoma" w:hAnsi="Tahoma" w:cs="Tahoma"/>
          <w:sz w:val="20"/>
          <w:szCs w:val="20"/>
        </w:rPr>
        <w:t>si</w:t>
      </w:r>
      <w:proofErr w:type="gramEnd"/>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propriétaire</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navire</w:t>
      </w:r>
      <w:r w:rsidR="00DB1635" w:rsidRPr="00B004EE">
        <w:rPr>
          <w:rFonts w:ascii="Tahoma" w:hAnsi="Tahoma" w:cs="Tahoma"/>
          <w:sz w:val="20"/>
          <w:szCs w:val="20"/>
        </w:rPr>
        <w:t xml:space="preserve"> </w:t>
      </w:r>
      <w:r w:rsidRPr="00B004EE">
        <w:rPr>
          <w:rFonts w:ascii="Tahoma" w:hAnsi="Tahoma" w:cs="Tahoma"/>
          <w:sz w:val="20"/>
          <w:szCs w:val="20"/>
        </w:rPr>
        <w:t>qui</w:t>
      </w:r>
      <w:r w:rsidR="00DB1635" w:rsidRPr="00B004EE">
        <w:rPr>
          <w:rFonts w:ascii="Tahoma" w:hAnsi="Tahoma" w:cs="Tahoma"/>
          <w:sz w:val="20"/>
          <w:szCs w:val="20"/>
        </w:rPr>
        <w:t xml:space="preserve"> </w:t>
      </w:r>
      <w:r w:rsidRPr="00B004EE">
        <w:rPr>
          <w:rFonts w:ascii="Tahoma" w:hAnsi="Tahoma" w:cs="Tahoma"/>
          <w:sz w:val="20"/>
          <w:szCs w:val="20"/>
        </w:rPr>
        <w:t>sera</w:t>
      </w:r>
      <w:r w:rsidR="00DB1635" w:rsidRPr="00B004EE">
        <w:rPr>
          <w:rFonts w:ascii="Tahoma" w:hAnsi="Tahoma" w:cs="Tahoma"/>
          <w:sz w:val="20"/>
          <w:szCs w:val="20"/>
        </w:rPr>
        <w:t xml:space="preserve"> </w:t>
      </w:r>
      <w:r w:rsidRPr="00B004EE">
        <w:rPr>
          <w:rFonts w:ascii="Tahoma" w:hAnsi="Tahoma" w:cs="Tahoma"/>
          <w:sz w:val="20"/>
          <w:szCs w:val="20"/>
        </w:rPr>
        <w:t>utilisé</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requérant</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nationalité</w:t>
      </w:r>
      <w:r w:rsidR="00DB1635" w:rsidRPr="00B004EE">
        <w:rPr>
          <w:rFonts w:ascii="Tahoma" w:hAnsi="Tahoma" w:cs="Tahoma"/>
          <w:sz w:val="20"/>
          <w:szCs w:val="20"/>
        </w:rPr>
        <w:t xml:space="preserve"> </w:t>
      </w:r>
      <w:r w:rsidRPr="00B004EE">
        <w:rPr>
          <w:rFonts w:ascii="Tahoma" w:hAnsi="Tahoma" w:cs="Tahoma"/>
          <w:sz w:val="20"/>
          <w:szCs w:val="20"/>
        </w:rPr>
        <w:t>mauritanienne;</w:t>
      </w:r>
    </w:p>
    <w:p w14:paraId="23CE943C" w14:textId="0FE3B32A" w:rsidR="001E7C3C" w:rsidRPr="00B004EE" w:rsidRDefault="001E7C3C" w:rsidP="00420DDA">
      <w:pPr>
        <w:pStyle w:val="Paragraphedeliste"/>
        <w:widowControl w:val="0"/>
        <w:numPr>
          <w:ilvl w:val="0"/>
          <w:numId w:val="28"/>
        </w:numPr>
        <w:tabs>
          <w:tab w:val="left" w:pos="870"/>
        </w:tabs>
        <w:ind w:left="426" w:right="168"/>
        <w:rPr>
          <w:rFonts w:ascii="Tahoma" w:hAnsi="Tahoma" w:cs="Tahoma"/>
          <w:sz w:val="20"/>
          <w:szCs w:val="20"/>
        </w:rPr>
      </w:pPr>
      <w:proofErr w:type="gramStart"/>
      <w:r w:rsidRPr="00B004EE">
        <w:rPr>
          <w:rFonts w:ascii="Tahoma" w:hAnsi="Tahoma" w:cs="Tahoma"/>
          <w:sz w:val="20"/>
          <w:szCs w:val="20"/>
        </w:rPr>
        <w:t>si</w:t>
      </w:r>
      <w:proofErr w:type="gramEnd"/>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requérant</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droit</w:t>
      </w:r>
      <w:r w:rsidR="00DB1635" w:rsidRPr="00B004EE">
        <w:rPr>
          <w:rFonts w:ascii="Tahoma" w:hAnsi="Tahoma" w:cs="Tahoma"/>
          <w:sz w:val="20"/>
          <w:szCs w:val="20"/>
        </w:rPr>
        <w:t xml:space="preserve"> </w:t>
      </w:r>
      <w:r w:rsidRPr="00B004EE">
        <w:rPr>
          <w:rFonts w:ascii="Tahoma" w:hAnsi="Tahoma" w:cs="Tahoma"/>
          <w:sz w:val="20"/>
          <w:szCs w:val="20"/>
        </w:rPr>
        <w:t>d'usage</w:t>
      </w:r>
      <w:r w:rsidR="00DB1635" w:rsidRPr="00B004EE">
        <w:rPr>
          <w:rFonts w:ascii="Tahoma" w:hAnsi="Tahoma" w:cs="Tahoma"/>
          <w:sz w:val="20"/>
          <w:szCs w:val="20"/>
        </w:rPr>
        <w:t xml:space="preserve"> </w:t>
      </w:r>
      <w:r w:rsidRPr="00B004EE">
        <w:rPr>
          <w:rFonts w:ascii="Tahoma" w:hAnsi="Tahoma" w:cs="Tahoma"/>
          <w:sz w:val="20"/>
          <w:szCs w:val="20"/>
        </w:rPr>
        <w:t>a</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capacité</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l'exercer</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manière</w:t>
      </w:r>
      <w:r w:rsidR="00DB1635" w:rsidRPr="00B004EE">
        <w:rPr>
          <w:rFonts w:ascii="Tahoma" w:hAnsi="Tahoma" w:cs="Tahoma"/>
          <w:sz w:val="20"/>
          <w:szCs w:val="20"/>
        </w:rPr>
        <w:t xml:space="preserve"> </w:t>
      </w:r>
      <w:r w:rsidRPr="00B004EE">
        <w:rPr>
          <w:rFonts w:ascii="Tahoma" w:hAnsi="Tahoma" w:cs="Tahoma"/>
          <w:sz w:val="20"/>
          <w:szCs w:val="20"/>
        </w:rPr>
        <w:t>satisfaisante;</w:t>
      </w:r>
    </w:p>
    <w:p w14:paraId="471974D3" w14:textId="42675013" w:rsidR="001E7C3C" w:rsidRPr="00B004EE" w:rsidRDefault="001E7C3C" w:rsidP="00420DDA">
      <w:pPr>
        <w:pStyle w:val="Paragraphedeliste"/>
        <w:widowControl w:val="0"/>
        <w:numPr>
          <w:ilvl w:val="0"/>
          <w:numId w:val="28"/>
        </w:numPr>
        <w:tabs>
          <w:tab w:val="left" w:pos="870"/>
        </w:tabs>
        <w:ind w:left="426" w:right="168"/>
        <w:rPr>
          <w:rFonts w:ascii="Tahoma" w:hAnsi="Tahoma" w:cs="Tahoma"/>
          <w:sz w:val="20"/>
          <w:szCs w:val="20"/>
        </w:rPr>
      </w:pPr>
      <w:proofErr w:type="gramStart"/>
      <w:r w:rsidRPr="00B004EE">
        <w:rPr>
          <w:rFonts w:ascii="Tahoma" w:hAnsi="Tahoma" w:cs="Tahoma"/>
          <w:sz w:val="20"/>
          <w:szCs w:val="20"/>
        </w:rPr>
        <w:t>le</w:t>
      </w:r>
      <w:proofErr w:type="gramEnd"/>
      <w:r w:rsidR="00DB1635" w:rsidRPr="00B004EE">
        <w:rPr>
          <w:rFonts w:ascii="Tahoma" w:hAnsi="Tahoma" w:cs="Tahoma"/>
          <w:sz w:val="20"/>
          <w:szCs w:val="20"/>
        </w:rPr>
        <w:t xml:space="preserve"> </w:t>
      </w:r>
      <w:r w:rsidRPr="00B004EE">
        <w:rPr>
          <w:rFonts w:ascii="Tahoma" w:hAnsi="Tahoma" w:cs="Tahoma"/>
          <w:sz w:val="20"/>
          <w:szCs w:val="20"/>
        </w:rPr>
        <w:t>développement</w:t>
      </w:r>
      <w:r w:rsidR="00DB1635" w:rsidRPr="00B004EE">
        <w:rPr>
          <w:rFonts w:ascii="Tahoma" w:hAnsi="Tahoma" w:cs="Tahoma"/>
          <w:sz w:val="20"/>
          <w:szCs w:val="20"/>
        </w:rPr>
        <w:t xml:space="preserve"> </w:t>
      </w:r>
      <w:r w:rsidRPr="00B004EE">
        <w:rPr>
          <w:rFonts w:ascii="Tahoma" w:hAnsi="Tahoma" w:cs="Tahoma"/>
          <w:sz w:val="20"/>
          <w:szCs w:val="20"/>
        </w:rPr>
        <w:t>régional</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sein</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Mauritanie</w:t>
      </w:r>
      <w:r w:rsidR="00DB1635" w:rsidRPr="00B004EE">
        <w:rPr>
          <w:rFonts w:ascii="Tahoma" w:hAnsi="Tahoma" w:cs="Tahoma"/>
          <w:sz w:val="20"/>
          <w:szCs w:val="20"/>
        </w:rPr>
        <w:t xml:space="preserve"> </w:t>
      </w:r>
      <w:r w:rsidRPr="00B004EE">
        <w:rPr>
          <w:rFonts w:ascii="Tahoma" w:hAnsi="Tahoma" w:cs="Tahoma"/>
          <w:sz w:val="20"/>
          <w:szCs w:val="20"/>
        </w:rPr>
        <w:t>;</w:t>
      </w:r>
    </w:p>
    <w:p w14:paraId="36A3A7E2" w14:textId="5757109C" w:rsidR="001E7C3C" w:rsidRPr="00B004EE" w:rsidRDefault="001E7C3C" w:rsidP="00420DDA">
      <w:pPr>
        <w:pStyle w:val="Paragraphedeliste"/>
        <w:widowControl w:val="0"/>
        <w:numPr>
          <w:ilvl w:val="0"/>
          <w:numId w:val="28"/>
        </w:numPr>
        <w:tabs>
          <w:tab w:val="left" w:pos="870"/>
        </w:tabs>
        <w:ind w:left="426" w:right="168"/>
        <w:rPr>
          <w:rFonts w:ascii="Tahoma" w:hAnsi="Tahoma" w:cs="Tahoma"/>
          <w:sz w:val="20"/>
          <w:szCs w:val="20"/>
        </w:rPr>
      </w:pPr>
      <w:proofErr w:type="gramStart"/>
      <w:r w:rsidRPr="00B004EE">
        <w:rPr>
          <w:rFonts w:ascii="Tahoma" w:hAnsi="Tahoma" w:cs="Tahoma"/>
          <w:sz w:val="20"/>
          <w:szCs w:val="20"/>
        </w:rPr>
        <w:t>la</w:t>
      </w:r>
      <w:proofErr w:type="gramEnd"/>
      <w:r w:rsidR="00DB1635" w:rsidRPr="00B004EE">
        <w:rPr>
          <w:rFonts w:ascii="Tahoma" w:hAnsi="Tahoma" w:cs="Tahoma"/>
          <w:sz w:val="20"/>
          <w:szCs w:val="20"/>
        </w:rPr>
        <w:t xml:space="preserve"> </w:t>
      </w:r>
      <w:r w:rsidRPr="00B004EE">
        <w:rPr>
          <w:rFonts w:ascii="Tahoma" w:hAnsi="Tahoma" w:cs="Tahoma"/>
          <w:sz w:val="20"/>
          <w:szCs w:val="20"/>
        </w:rPr>
        <w:t>coopération</w:t>
      </w:r>
      <w:r w:rsidR="00DB1635" w:rsidRPr="00B004EE">
        <w:rPr>
          <w:rFonts w:ascii="Tahoma" w:hAnsi="Tahoma" w:cs="Tahoma"/>
          <w:sz w:val="20"/>
          <w:szCs w:val="20"/>
        </w:rPr>
        <w:t xml:space="preserve"> </w:t>
      </w:r>
      <w:r w:rsidRPr="00B004EE">
        <w:rPr>
          <w:rFonts w:ascii="Tahoma" w:hAnsi="Tahoma" w:cs="Tahoma"/>
          <w:sz w:val="20"/>
          <w:szCs w:val="20"/>
        </w:rPr>
        <w:t>avec</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pays</w:t>
      </w:r>
      <w:r w:rsidR="00DB1635" w:rsidRPr="00B004EE">
        <w:rPr>
          <w:rFonts w:ascii="Tahoma" w:hAnsi="Tahoma" w:cs="Tahoma"/>
          <w:sz w:val="20"/>
          <w:szCs w:val="20"/>
        </w:rPr>
        <w:t xml:space="preserve"> </w:t>
      </w:r>
      <w:r w:rsidRPr="00B004EE">
        <w:rPr>
          <w:rFonts w:ascii="Tahoma" w:hAnsi="Tahoma" w:cs="Tahoma"/>
          <w:sz w:val="20"/>
          <w:szCs w:val="20"/>
        </w:rPr>
        <w:t>concerné,</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cas</w:t>
      </w:r>
      <w:r w:rsidR="00DB1635" w:rsidRPr="00B004EE">
        <w:rPr>
          <w:rFonts w:ascii="Tahoma" w:hAnsi="Tahoma" w:cs="Tahoma"/>
          <w:sz w:val="20"/>
          <w:szCs w:val="20"/>
        </w:rPr>
        <w:t xml:space="preserve"> </w:t>
      </w:r>
      <w:r w:rsidRPr="00B004EE">
        <w:rPr>
          <w:rFonts w:ascii="Tahoma" w:hAnsi="Tahoma" w:cs="Tahoma"/>
          <w:sz w:val="20"/>
          <w:szCs w:val="20"/>
        </w:rPr>
        <w:t>échéant;</w:t>
      </w:r>
    </w:p>
    <w:p w14:paraId="3F6C4BCA" w14:textId="3F78B4ED" w:rsidR="001E7C3C" w:rsidRPr="00B004EE" w:rsidRDefault="001E7C3C" w:rsidP="00420DDA">
      <w:pPr>
        <w:pStyle w:val="Paragraphedeliste"/>
        <w:widowControl w:val="0"/>
        <w:numPr>
          <w:ilvl w:val="0"/>
          <w:numId w:val="28"/>
        </w:numPr>
        <w:tabs>
          <w:tab w:val="left" w:pos="870"/>
        </w:tabs>
        <w:ind w:left="426" w:right="168"/>
        <w:rPr>
          <w:rFonts w:ascii="Tahoma" w:hAnsi="Tahoma" w:cs="Tahoma"/>
          <w:sz w:val="20"/>
          <w:szCs w:val="20"/>
        </w:rPr>
      </w:pPr>
      <w:proofErr w:type="gramStart"/>
      <w:r w:rsidRPr="00B004EE">
        <w:rPr>
          <w:rFonts w:ascii="Tahoma" w:hAnsi="Tahoma" w:cs="Tahoma"/>
          <w:sz w:val="20"/>
          <w:szCs w:val="20"/>
        </w:rPr>
        <w:t>la</w:t>
      </w:r>
      <w:proofErr w:type="gramEnd"/>
      <w:r w:rsidR="00DB1635" w:rsidRPr="00B004EE">
        <w:rPr>
          <w:rFonts w:ascii="Tahoma" w:hAnsi="Tahoma" w:cs="Tahoma"/>
          <w:sz w:val="20"/>
          <w:szCs w:val="20"/>
        </w:rPr>
        <w:t xml:space="preserve"> </w:t>
      </w:r>
      <w:r w:rsidRPr="00B004EE">
        <w:rPr>
          <w:rFonts w:ascii="Tahoma" w:hAnsi="Tahoma" w:cs="Tahoma"/>
          <w:sz w:val="20"/>
          <w:szCs w:val="20"/>
        </w:rPr>
        <w:t>conservation</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développement</w:t>
      </w:r>
      <w:r w:rsidR="00DB1635" w:rsidRPr="00B004EE">
        <w:rPr>
          <w:rFonts w:ascii="Tahoma" w:hAnsi="Tahoma" w:cs="Tahoma"/>
          <w:sz w:val="20"/>
          <w:szCs w:val="20"/>
        </w:rPr>
        <w:t xml:space="preserve"> </w:t>
      </w:r>
      <w:r w:rsidRPr="00B004EE">
        <w:rPr>
          <w:rFonts w:ascii="Tahoma" w:hAnsi="Tahoma" w:cs="Tahoma"/>
          <w:sz w:val="20"/>
          <w:szCs w:val="20"/>
        </w:rPr>
        <w:t>économique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ressources</w:t>
      </w:r>
      <w:r w:rsidR="00DB1635" w:rsidRPr="00B004EE">
        <w:rPr>
          <w:rFonts w:ascii="Tahoma" w:hAnsi="Tahoma" w:cs="Tahoma"/>
          <w:sz w:val="20"/>
          <w:szCs w:val="20"/>
        </w:rPr>
        <w:t xml:space="preserve"> </w:t>
      </w:r>
      <w:r w:rsidRPr="00B004EE">
        <w:rPr>
          <w:rFonts w:ascii="Tahoma" w:hAnsi="Tahoma" w:cs="Tahoma"/>
          <w:sz w:val="20"/>
          <w:szCs w:val="20"/>
        </w:rPr>
        <w:t>halieutiques;</w:t>
      </w:r>
    </w:p>
    <w:p w14:paraId="38A4512F" w14:textId="6CDB9C24" w:rsidR="001E7C3C" w:rsidRPr="00B004EE" w:rsidRDefault="001E7C3C" w:rsidP="00420DDA">
      <w:pPr>
        <w:pStyle w:val="Paragraphedeliste"/>
        <w:widowControl w:val="0"/>
        <w:numPr>
          <w:ilvl w:val="0"/>
          <w:numId w:val="28"/>
        </w:numPr>
        <w:tabs>
          <w:tab w:val="left" w:pos="870"/>
        </w:tabs>
        <w:ind w:left="426" w:right="168"/>
        <w:rPr>
          <w:rFonts w:ascii="Tahoma" w:hAnsi="Tahoma" w:cs="Tahoma"/>
          <w:sz w:val="20"/>
          <w:szCs w:val="20"/>
        </w:rPr>
      </w:pPr>
      <w:proofErr w:type="gramStart"/>
      <w:r w:rsidRPr="00B004EE">
        <w:rPr>
          <w:rFonts w:ascii="Tahoma" w:hAnsi="Tahoma" w:cs="Tahoma"/>
          <w:sz w:val="20"/>
          <w:szCs w:val="20"/>
        </w:rPr>
        <w:t>si</w:t>
      </w:r>
      <w:proofErr w:type="gramEnd"/>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demandeur</w:t>
      </w:r>
      <w:r w:rsidR="00DB1635" w:rsidRPr="00B004EE">
        <w:rPr>
          <w:rFonts w:ascii="Tahoma" w:hAnsi="Tahoma" w:cs="Tahoma"/>
          <w:sz w:val="20"/>
          <w:szCs w:val="20"/>
        </w:rPr>
        <w:t xml:space="preserve"> </w:t>
      </w:r>
      <w:r w:rsidRPr="00B004EE">
        <w:rPr>
          <w:rFonts w:ascii="Tahoma" w:hAnsi="Tahoma" w:cs="Tahoma"/>
          <w:sz w:val="20"/>
          <w:szCs w:val="20"/>
        </w:rPr>
        <w:t>a</w:t>
      </w:r>
      <w:r w:rsidR="00DB1635" w:rsidRPr="00B004EE">
        <w:rPr>
          <w:rFonts w:ascii="Tahoma" w:hAnsi="Tahoma" w:cs="Tahoma"/>
          <w:sz w:val="20"/>
          <w:szCs w:val="20"/>
        </w:rPr>
        <w:t xml:space="preserve"> </w:t>
      </w:r>
      <w:r w:rsidRPr="00B004EE">
        <w:rPr>
          <w:rFonts w:ascii="Tahoma" w:hAnsi="Tahoma" w:cs="Tahoma"/>
          <w:sz w:val="20"/>
          <w:szCs w:val="20"/>
        </w:rPr>
        <w:t>réalisé</w:t>
      </w:r>
      <w:r w:rsidR="00DB1635" w:rsidRPr="00B004EE">
        <w:rPr>
          <w:rFonts w:ascii="Tahoma" w:hAnsi="Tahoma" w:cs="Tahoma"/>
          <w:sz w:val="20"/>
          <w:szCs w:val="20"/>
        </w:rPr>
        <w:t xml:space="preserve"> </w:t>
      </w:r>
      <w:r w:rsidRPr="00B004EE">
        <w:rPr>
          <w:rFonts w:ascii="Tahoma" w:hAnsi="Tahoma" w:cs="Tahoma"/>
          <w:sz w:val="20"/>
          <w:szCs w:val="20"/>
        </w:rPr>
        <w:t>avec</w:t>
      </w:r>
      <w:r w:rsidR="00DB1635" w:rsidRPr="00B004EE">
        <w:rPr>
          <w:rFonts w:ascii="Tahoma" w:hAnsi="Tahoma" w:cs="Tahoma"/>
          <w:sz w:val="20"/>
          <w:szCs w:val="20"/>
        </w:rPr>
        <w:t xml:space="preserve"> </w:t>
      </w:r>
      <w:r w:rsidRPr="00B004EE">
        <w:rPr>
          <w:rFonts w:ascii="Tahoma" w:hAnsi="Tahoma" w:cs="Tahoma"/>
          <w:sz w:val="20"/>
          <w:szCs w:val="20"/>
        </w:rPr>
        <w:t>succès</w:t>
      </w:r>
      <w:r w:rsidR="00DB1635" w:rsidRPr="00B004EE">
        <w:rPr>
          <w:rFonts w:ascii="Tahoma" w:hAnsi="Tahoma" w:cs="Tahoma"/>
          <w:sz w:val="20"/>
          <w:szCs w:val="20"/>
        </w:rPr>
        <w:t xml:space="preserve"> </w:t>
      </w: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droit</w:t>
      </w:r>
      <w:r w:rsidR="00DB1635" w:rsidRPr="00B004EE">
        <w:rPr>
          <w:rFonts w:ascii="Tahoma" w:hAnsi="Tahoma" w:cs="Tahoma"/>
          <w:sz w:val="20"/>
          <w:szCs w:val="20"/>
        </w:rPr>
        <w:t xml:space="preserve"> </w:t>
      </w:r>
      <w:r w:rsidRPr="00B004EE">
        <w:rPr>
          <w:rFonts w:ascii="Tahoma" w:hAnsi="Tahoma" w:cs="Tahoma"/>
          <w:sz w:val="20"/>
          <w:szCs w:val="20"/>
        </w:rPr>
        <w:t>d’usage</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cadre</w:t>
      </w:r>
      <w:r w:rsidR="00DB1635" w:rsidRPr="00B004EE">
        <w:rPr>
          <w:rFonts w:ascii="Tahoma" w:hAnsi="Tahoma" w:cs="Tahoma"/>
          <w:sz w:val="20"/>
          <w:szCs w:val="20"/>
        </w:rPr>
        <w:t xml:space="preserve"> </w:t>
      </w:r>
      <w:r w:rsidRPr="00B004EE">
        <w:rPr>
          <w:rFonts w:ascii="Tahoma" w:hAnsi="Tahoma" w:cs="Tahoma"/>
          <w:sz w:val="20"/>
          <w:szCs w:val="20"/>
        </w:rPr>
        <w:t>d’une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exploratoire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l'égard</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pêcherie</w:t>
      </w:r>
      <w:r w:rsidR="00DB1635" w:rsidRPr="00B004EE">
        <w:rPr>
          <w:rFonts w:ascii="Tahoma" w:hAnsi="Tahoma" w:cs="Tahoma"/>
          <w:sz w:val="20"/>
          <w:szCs w:val="20"/>
        </w:rPr>
        <w:t xml:space="preserve"> </w:t>
      </w:r>
      <w:r w:rsidRPr="00B004EE">
        <w:rPr>
          <w:rFonts w:ascii="Tahoma" w:hAnsi="Tahoma" w:cs="Tahoma"/>
          <w:sz w:val="20"/>
          <w:szCs w:val="20"/>
        </w:rPr>
        <w:t>ciblée;</w:t>
      </w:r>
    </w:p>
    <w:p w14:paraId="12CB58E2" w14:textId="185832AE" w:rsidR="001E7C3C" w:rsidRPr="00B004EE" w:rsidRDefault="001E7C3C" w:rsidP="00420DDA">
      <w:pPr>
        <w:pStyle w:val="Paragraphedeliste"/>
        <w:widowControl w:val="0"/>
        <w:numPr>
          <w:ilvl w:val="0"/>
          <w:numId w:val="28"/>
        </w:numPr>
        <w:tabs>
          <w:tab w:val="left" w:pos="870"/>
        </w:tabs>
        <w:ind w:left="426" w:right="168"/>
        <w:rPr>
          <w:rFonts w:ascii="Tahoma" w:hAnsi="Tahoma" w:cs="Tahoma"/>
          <w:sz w:val="20"/>
          <w:szCs w:val="20"/>
        </w:rPr>
      </w:pPr>
      <w:proofErr w:type="gramStart"/>
      <w:r w:rsidRPr="00B004EE">
        <w:rPr>
          <w:rFonts w:ascii="Tahoma" w:hAnsi="Tahoma" w:cs="Tahoma"/>
          <w:sz w:val="20"/>
          <w:szCs w:val="20"/>
        </w:rPr>
        <w:t>des</w:t>
      </w:r>
      <w:proofErr w:type="gramEnd"/>
      <w:r w:rsidR="00DB1635" w:rsidRPr="00B004EE">
        <w:rPr>
          <w:rFonts w:ascii="Tahoma" w:hAnsi="Tahoma" w:cs="Tahoma"/>
          <w:sz w:val="20"/>
          <w:szCs w:val="20"/>
        </w:rPr>
        <w:t xml:space="preserve"> </w:t>
      </w:r>
      <w:r w:rsidRPr="00B004EE">
        <w:rPr>
          <w:rFonts w:ascii="Tahoma" w:hAnsi="Tahoma" w:cs="Tahoma"/>
          <w:sz w:val="20"/>
          <w:szCs w:val="20"/>
        </w:rPr>
        <w:t>préoccupations</w:t>
      </w:r>
      <w:r w:rsidR="00DB1635" w:rsidRPr="00B004EE">
        <w:rPr>
          <w:rFonts w:ascii="Tahoma" w:hAnsi="Tahoma" w:cs="Tahoma"/>
          <w:sz w:val="20"/>
          <w:szCs w:val="20"/>
        </w:rPr>
        <w:t xml:space="preserve"> </w:t>
      </w:r>
      <w:r w:rsidRPr="00B004EE">
        <w:rPr>
          <w:rFonts w:ascii="Tahoma" w:hAnsi="Tahoma" w:cs="Tahoma"/>
          <w:sz w:val="20"/>
          <w:szCs w:val="20"/>
        </w:rPr>
        <w:t>sociales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économiques</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garantir</w:t>
      </w:r>
      <w:r w:rsidR="00DB1635" w:rsidRPr="00B004EE">
        <w:rPr>
          <w:rFonts w:ascii="Tahoma" w:hAnsi="Tahoma" w:cs="Tahoma"/>
          <w:sz w:val="20"/>
          <w:szCs w:val="20"/>
        </w:rPr>
        <w:t xml:space="preserve"> </w:t>
      </w:r>
      <w:r w:rsidRPr="00B004EE">
        <w:rPr>
          <w:rFonts w:ascii="Tahoma" w:hAnsi="Tahoma" w:cs="Tahoma"/>
          <w:sz w:val="20"/>
          <w:szCs w:val="20"/>
        </w:rPr>
        <w:t>l'équité</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l'accès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patrimoine</w:t>
      </w:r>
      <w:r w:rsidR="00DB1635" w:rsidRPr="00B004EE">
        <w:rPr>
          <w:rFonts w:ascii="Tahoma" w:hAnsi="Tahoma" w:cs="Tahoma"/>
          <w:sz w:val="20"/>
          <w:szCs w:val="20"/>
        </w:rPr>
        <w:t xml:space="preserve"> </w:t>
      </w:r>
      <w:r w:rsidRPr="00B004EE">
        <w:rPr>
          <w:rFonts w:ascii="Tahoma" w:hAnsi="Tahoma" w:cs="Tahoma"/>
          <w:sz w:val="20"/>
          <w:szCs w:val="20"/>
        </w:rPr>
        <w:t>national;</w:t>
      </w:r>
    </w:p>
    <w:p w14:paraId="06C6340B" w14:textId="38793C72" w:rsidR="001F04F2" w:rsidRPr="00B004EE" w:rsidRDefault="001E7C3C" w:rsidP="00420DDA">
      <w:pPr>
        <w:pStyle w:val="Paragraphedeliste"/>
        <w:widowControl w:val="0"/>
        <w:numPr>
          <w:ilvl w:val="0"/>
          <w:numId w:val="28"/>
        </w:numPr>
        <w:tabs>
          <w:tab w:val="left" w:pos="870"/>
        </w:tabs>
        <w:ind w:left="426" w:right="168"/>
        <w:rPr>
          <w:rFonts w:ascii="Tahoma" w:hAnsi="Tahoma" w:cs="Tahoma"/>
          <w:sz w:val="20"/>
          <w:szCs w:val="20"/>
        </w:rPr>
      </w:pPr>
      <w:proofErr w:type="gramStart"/>
      <w:r w:rsidRPr="00B004EE">
        <w:rPr>
          <w:rFonts w:ascii="Tahoma" w:hAnsi="Tahoma" w:cs="Tahoma"/>
          <w:sz w:val="20"/>
          <w:szCs w:val="20"/>
        </w:rPr>
        <w:t>l'intégration</w:t>
      </w:r>
      <w:proofErr w:type="gramEnd"/>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l'activité</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cadre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politique</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matière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sécurité</w:t>
      </w:r>
      <w:r w:rsidR="00DB1635" w:rsidRPr="00B004EE">
        <w:rPr>
          <w:rFonts w:ascii="Tahoma" w:hAnsi="Tahoma" w:cs="Tahoma"/>
          <w:sz w:val="20"/>
          <w:szCs w:val="20"/>
        </w:rPr>
        <w:t xml:space="preserve"> </w:t>
      </w:r>
      <w:r w:rsidRPr="00B004EE">
        <w:rPr>
          <w:rFonts w:ascii="Tahoma" w:hAnsi="Tahoma" w:cs="Tahoma"/>
          <w:sz w:val="20"/>
          <w:szCs w:val="20"/>
        </w:rPr>
        <w:t>alimentaires</w:t>
      </w:r>
      <w:r w:rsidR="00DB1635" w:rsidRPr="00B004EE">
        <w:rPr>
          <w:rFonts w:ascii="Tahoma" w:hAnsi="Tahoma" w:cs="Tahoma"/>
          <w:sz w:val="20"/>
          <w:szCs w:val="20"/>
        </w:rPr>
        <w:t xml:space="preserve"> </w:t>
      </w:r>
      <w:r w:rsidRPr="00B004EE">
        <w:rPr>
          <w:rFonts w:ascii="Tahoma" w:hAnsi="Tahoma" w:cs="Tahoma"/>
          <w:sz w:val="20"/>
          <w:szCs w:val="20"/>
        </w:rPr>
        <w:t>;</w:t>
      </w:r>
    </w:p>
    <w:p w14:paraId="721C176E" w14:textId="40F812F8" w:rsidR="001E7C3C" w:rsidRPr="00B004EE" w:rsidRDefault="001E7C3C" w:rsidP="00420DDA">
      <w:pPr>
        <w:pStyle w:val="Paragraphedeliste"/>
        <w:widowControl w:val="0"/>
        <w:numPr>
          <w:ilvl w:val="0"/>
          <w:numId w:val="28"/>
        </w:numPr>
        <w:tabs>
          <w:tab w:val="left" w:pos="870"/>
        </w:tabs>
        <w:ind w:left="426" w:right="168"/>
        <w:rPr>
          <w:rFonts w:ascii="Tahoma" w:hAnsi="Tahoma" w:cs="Tahoma"/>
          <w:sz w:val="20"/>
          <w:szCs w:val="20"/>
        </w:rPr>
      </w:pPr>
      <w:proofErr w:type="gramStart"/>
      <w:r w:rsidRPr="00B004EE">
        <w:rPr>
          <w:rFonts w:ascii="Tahoma" w:hAnsi="Tahoma" w:cs="Tahoma"/>
          <w:sz w:val="20"/>
          <w:szCs w:val="20"/>
        </w:rPr>
        <w:t>toute</w:t>
      </w:r>
      <w:proofErr w:type="gramEnd"/>
      <w:r w:rsidR="00DB1635" w:rsidRPr="00B004EE">
        <w:rPr>
          <w:rFonts w:ascii="Tahoma" w:hAnsi="Tahoma" w:cs="Tahoma"/>
          <w:sz w:val="20"/>
          <w:szCs w:val="20"/>
        </w:rPr>
        <w:t xml:space="preserve"> </w:t>
      </w:r>
      <w:r w:rsidRPr="00B004EE">
        <w:rPr>
          <w:rFonts w:ascii="Tahoma" w:hAnsi="Tahoma" w:cs="Tahoma"/>
          <w:sz w:val="20"/>
          <w:szCs w:val="20"/>
        </w:rPr>
        <w:t>autre</w:t>
      </w:r>
      <w:r w:rsidR="00DB1635" w:rsidRPr="00B004EE">
        <w:rPr>
          <w:rFonts w:ascii="Tahoma" w:hAnsi="Tahoma" w:cs="Tahoma"/>
          <w:sz w:val="20"/>
          <w:szCs w:val="20"/>
        </w:rPr>
        <w:t xml:space="preserve"> </w:t>
      </w:r>
      <w:r w:rsidRPr="00B004EE">
        <w:rPr>
          <w:rFonts w:ascii="Tahoma" w:hAnsi="Tahoma" w:cs="Tahoma"/>
          <w:sz w:val="20"/>
          <w:szCs w:val="20"/>
        </w:rPr>
        <w:t>question</w:t>
      </w:r>
      <w:r w:rsidR="00DB1635" w:rsidRPr="00B004EE">
        <w:rPr>
          <w:rFonts w:ascii="Tahoma" w:hAnsi="Tahoma" w:cs="Tahoma"/>
          <w:sz w:val="20"/>
          <w:szCs w:val="20"/>
        </w:rPr>
        <w:t xml:space="preserve"> </w:t>
      </w:r>
      <w:r w:rsidRPr="00B004EE">
        <w:rPr>
          <w:rFonts w:ascii="Tahoma" w:hAnsi="Tahoma" w:cs="Tahoma"/>
          <w:sz w:val="20"/>
          <w:szCs w:val="20"/>
        </w:rPr>
        <w:t>qui</w:t>
      </w:r>
      <w:r w:rsidR="00DB1635" w:rsidRPr="00B004EE">
        <w:rPr>
          <w:rFonts w:ascii="Tahoma" w:hAnsi="Tahoma" w:cs="Tahoma"/>
          <w:sz w:val="20"/>
          <w:szCs w:val="20"/>
        </w:rPr>
        <w:t xml:space="preserve"> </w:t>
      </w:r>
      <w:r w:rsidRPr="00B004EE">
        <w:rPr>
          <w:rFonts w:ascii="Tahoma" w:hAnsi="Tahoma" w:cs="Tahoma"/>
          <w:sz w:val="20"/>
          <w:szCs w:val="20"/>
        </w:rPr>
        <w:t>peut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prescrite</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cadre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plans</w:t>
      </w:r>
      <w:r w:rsidR="00DB1635" w:rsidRPr="00B004EE">
        <w:rPr>
          <w:rFonts w:ascii="Tahoma" w:hAnsi="Tahoma" w:cs="Tahoma"/>
          <w:sz w:val="20"/>
          <w:szCs w:val="20"/>
        </w:rPr>
        <w:t xml:space="preserve"> </w:t>
      </w:r>
      <w:r w:rsidRPr="00B004EE">
        <w:rPr>
          <w:rFonts w:ascii="Tahoma" w:hAnsi="Tahoma" w:cs="Tahoma"/>
          <w:sz w:val="20"/>
          <w:szCs w:val="20"/>
        </w:rPr>
        <w:t>d'aménagement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pêcheries.</w:t>
      </w:r>
    </w:p>
    <w:p w14:paraId="3ABBC807" w14:textId="77777777" w:rsidR="001E7C3C" w:rsidRPr="00B004EE" w:rsidRDefault="001E7C3C" w:rsidP="00B004EE">
      <w:pPr>
        <w:rPr>
          <w:rFonts w:ascii="Tahoma" w:eastAsia="American Typewriter" w:hAnsi="Tahoma" w:cs="Tahoma"/>
          <w:sz w:val="20"/>
          <w:szCs w:val="20"/>
        </w:rPr>
      </w:pPr>
    </w:p>
    <w:p w14:paraId="50F59221" w14:textId="37E941E1" w:rsidR="001E7C3C" w:rsidRPr="00B004EE" w:rsidRDefault="001E7C3C" w:rsidP="00B004EE">
      <w:pPr>
        <w:pStyle w:val="Corpsdetexte"/>
        <w:ind w:right="158"/>
        <w:rPr>
          <w:rFonts w:ascii="Tahoma" w:hAnsi="Tahoma" w:cs="Tahoma"/>
          <w:sz w:val="20"/>
          <w:szCs w:val="20"/>
        </w:rPr>
      </w:pPr>
      <w:r w:rsidRPr="00B004EE">
        <w:rPr>
          <w:rFonts w:ascii="Tahoma" w:eastAsia="American Typewriter" w:hAnsi="Tahoma" w:cs="Tahoma"/>
          <w:sz w:val="20"/>
          <w:szCs w:val="20"/>
        </w:rPr>
        <w:lastRenderedPageBreak/>
        <w:t>Article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26</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w:t>
      </w:r>
      <w:r w:rsidR="00DB1635" w:rsidRPr="00B004EE">
        <w:rPr>
          <w:rFonts w:ascii="Tahoma" w:eastAsia="American Typewriter" w:hAnsi="Tahoma" w:cs="Tahoma"/>
          <w:b/>
          <w:bCs/>
          <w:sz w:val="20"/>
          <w:szCs w:val="20"/>
        </w:rPr>
        <w:t xml:space="preserve"> </w:t>
      </w:r>
      <w:r w:rsidRPr="00B004EE">
        <w:rPr>
          <w:rFonts w:ascii="Tahoma" w:hAnsi="Tahoma" w:cs="Tahoma"/>
          <w:sz w:val="20"/>
          <w:szCs w:val="20"/>
        </w:rPr>
        <w:t>La</w:t>
      </w:r>
      <w:r w:rsidR="00DB1635" w:rsidRPr="00B004EE">
        <w:rPr>
          <w:rFonts w:ascii="Tahoma" w:hAnsi="Tahoma" w:cs="Tahoma"/>
          <w:spacing w:val="-4"/>
          <w:sz w:val="20"/>
          <w:szCs w:val="20"/>
        </w:rPr>
        <w:t xml:space="preserve"> </w:t>
      </w:r>
      <w:r w:rsidRPr="00B004EE">
        <w:rPr>
          <w:rFonts w:ascii="Tahoma" w:hAnsi="Tahoma" w:cs="Tahoma"/>
          <w:sz w:val="20"/>
          <w:szCs w:val="20"/>
        </w:rPr>
        <w:t>durée</w:t>
      </w:r>
      <w:r w:rsidR="00DB1635" w:rsidRPr="00B004EE">
        <w:rPr>
          <w:rFonts w:ascii="Tahoma" w:hAnsi="Tahoma" w:cs="Tahoma"/>
          <w:spacing w:val="-4"/>
          <w:sz w:val="20"/>
          <w:szCs w:val="20"/>
        </w:rPr>
        <w:t xml:space="preserve"> </w:t>
      </w:r>
      <w:r w:rsidRPr="00B004EE">
        <w:rPr>
          <w:rFonts w:ascii="Tahoma" w:hAnsi="Tahoma" w:cs="Tahoma"/>
          <w:sz w:val="20"/>
          <w:szCs w:val="20"/>
        </w:rPr>
        <w:t>d</w:t>
      </w:r>
      <w:r w:rsidRPr="00B004EE">
        <w:rPr>
          <w:rFonts w:ascii="Tahoma" w:eastAsia="American Typewriter" w:hAnsi="Tahoma" w:cs="Tahoma"/>
          <w:sz w:val="20"/>
          <w:szCs w:val="20"/>
        </w:rPr>
        <w:t>’allocation</w:t>
      </w:r>
      <w:r w:rsidR="00DB1635" w:rsidRPr="00B004EE">
        <w:rPr>
          <w:rFonts w:ascii="Tahoma" w:eastAsia="American Typewriter" w:hAnsi="Tahoma" w:cs="Tahoma"/>
          <w:spacing w:val="-4"/>
          <w:sz w:val="20"/>
          <w:szCs w:val="20"/>
        </w:rPr>
        <w:t xml:space="preserve"> </w:t>
      </w:r>
      <w:r w:rsidRPr="00B004EE">
        <w:rPr>
          <w:rFonts w:ascii="Tahoma" w:eastAsia="American Typewriter" w:hAnsi="Tahoma" w:cs="Tahoma"/>
          <w:sz w:val="20"/>
          <w:szCs w:val="20"/>
        </w:rPr>
        <w:t>des</w:t>
      </w:r>
      <w:r w:rsidR="00DB1635" w:rsidRPr="00B004EE">
        <w:rPr>
          <w:rFonts w:ascii="Tahoma" w:eastAsia="American Typewriter" w:hAnsi="Tahoma" w:cs="Tahoma"/>
          <w:spacing w:val="-5"/>
          <w:sz w:val="20"/>
          <w:szCs w:val="20"/>
        </w:rPr>
        <w:t xml:space="preserve"> </w:t>
      </w:r>
      <w:r w:rsidRPr="00B004EE">
        <w:rPr>
          <w:rFonts w:ascii="Tahoma" w:eastAsia="American Typewriter" w:hAnsi="Tahoma" w:cs="Tahoma"/>
          <w:sz w:val="20"/>
          <w:szCs w:val="20"/>
        </w:rPr>
        <w:t>droits</w:t>
      </w:r>
      <w:r w:rsidR="00DB1635" w:rsidRPr="00B004EE">
        <w:rPr>
          <w:rFonts w:ascii="Tahoma" w:eastAsia="American Typewriter" w:hAnsi="Tahoma" w:cs="Tahoma"/>
          <w:spacing w:val="-4"/>
          <w:sz w:val="20"/>
          <w:szCs w:val="20"/>
        </w:rPr>
        <w:t xml:space="preserve"> </w:t>
      </w:r>
      <w:r w:rsidRPr="00B004EE">
        <w:rPr>
          <w:rFonts w:ascii="Tahoma" w:eastAsia="American Typewriter" w:hAnsi="Tahoma" w:cs="Tahoma"/>
          <w:sz w:val="20"/>
          <w:szCs w:val="20"/>
        </w:rPr>
        <w:t>d’usage</w:t>
      </w:r>
      <w:r w:rsidR="00DB1635" w:rsidRPr="00B004EE">
        <w:rPr>
          <w:rFonts w:ascii="Tahoma" w:eastAsia="American Typewriter" w:hAnsi="Tahoma" w:cs="Tahoma"/>
          <w:spacing w:val="-4"/>
          <w:sz w:val="20"/>
          <w:szCs w:val="20"/>
        </w:rPr>
        <w:t xml:space="preserve"> </w:t>
      </w:r>
      <w:r w:rsidRPr="00B004EE">
        <w:rPr>
          <w:rFonts w:ascii="Tahoma" w:hAnsi="Tahoma" w:cs="Tahoma"/>
          <w:sz w:val="20"/>
          <w:szCs w:val="20"/>
        </w:rPr>
        <w:t>est</w:t>
      </w:r>
      <w:r w:rsidR="00DB1635" w:rsidRPr="00B004EE">
        <w:rPr>
          <w:rFonts w:ascii="Tahoma" w:hAnsi="Tahoma" w:cs="Tahoma"/>
          <w:spacing w:val="-6"/>
          <w:sz w:val="20"/>
          <w:szCs w:val="20"/>
        </w:rPr>
        <w:t xml:space="preserve"> </w:t>
      </w:r>
      <w:r w:rsidRPr="00B004EE">
        <w:rPr>
          <w:rFonts w:ascii="Tahoma" w:hAnsi="Tahoma" w:cs="Tahoma"/>
          <w:sz w:val="20"/>
          <w:szCs w:val="20"/>
        </w:rPr>
        <w:t>variable.</w:t>
      </w:r>
      <w:r w:rsidR="00DB1635" w:rsidRPr="00B004EE">
        <w:rPr>
          <w:rFonts w:ascii="Tahoma" w:hAnsi="Tahoma" w:cs="Tahoma"/>
          <w:spacing w:val="-5"/>
          <w:sz w:val="20"/>
          <w:szCs w:val="20"/>
        </w:rPr>
        <w:t xml:space="preserve"> </w:t>
      </w:r>
      <w:r w:rsidRPr="00B004EE">
        <w:rPr>
          <w:rFonts w:ascii="Tahoma" w:hAnsi="Tahoma" w:cs="Tahoma"/>
          <w:sz w:val="20"/>
          <w:szCs w:val="20"/>
        </w:rPr>
        <w:t>Elle</w:t>
      </w:r>
      <w:r w:rsidR="00DB1635" w:rsidRPr="00B004EE">
        <w:rPr>
          <w:rFonts w:ascii="Tahoma" w:hAnsi="Tahoma" w:cs="Tahoma"/>
          <w:spacing w:val="-5"/>
          <w:sz w:val="20"/>
          <w:szCs w:val="20"/>
        </w:rPr>
        <w:t xml:space="preserve"> </w:t>
      </w:r>
      <w:r w:rsidRPr="00B004EE">
        <w:rPr>
          <w:rFonts w:ascii="Tahoma" w:hAnsi="Tahoma" w:cs="Tahoma"/>
          <w:sz w:val="20"/>
          <w:szCs w:val="20"/>
        </w:rPr>
        <w:t>est</w:t>
      </w:r>
      <w:r w:rsidR="00DB1635" w:rsidRPr="00B004EE">
        <w:rPr>
          <w:rFonts w:ascii="Tahoma" w:hAnsi="Tahoma" w:cs="Tahoma"/>
          <w:spacing w:val="-4"/>
          <w:sz w:val="20"/>
          <w:szCs w:val="20"/>
        </w:rPr>
        <w:t xml:space="preserve"> </w:t>
      </w:r>
      <w:r w:rsidRPr="00B004EE">
        <w:rPr>
          <w:rFonts w:ascii="Tahoma" w:hAnsi="Tahoma" w:cs="Tahoma"/>
          <w:sz w:val="20"/>
          <w:szCs w:val="20"/>
        </w:rPr>
        <w:t>fixée</w:t>
      </w:r>
      <w:r w:rsidR="00DB1635" w:rsidRPr="00B004EE">
        <w:rPr>
          <w:rFonts w:ascii="Tahoma" w:hAnsi="Tahoma" w:cs="Tahoma"/>
          <w:spacing w:val="-5"/>
          <w:sz w:val="20"/>
          <w:szCs w:val="20"/>
        </w:rPr>
        <w:t xml:space="preserve"> </w:t>
      </w:r>
      <w:r w:rsidRPr="00B004EE">
        <w:rPr>
          <w:rFonts w:ascii="Tahoma" w:hAnsi="Tahoma" w:cs="Tahoma"/>
          <w:sz w:val="20"/>
          <w:szCs w:val="20"/>
        </w:rPr>
        <w:t>en</w:t>
      </w:r>
      <w:r w:rsidR="00DB1635" w:rsidRPr="00B004EE">
        <w:rPr>
          <w:rFonts w:ascii="Tahoma" w:hAnsi="Tahoma" w:cs="Tahoma"/>
          <w:w w:val="95"/>
          <w:sz w:val="20"/>
          <w:szCs w:val="20"/>
        </w:rPr>
        <w:t xml:space="preserve"> </w:t>
      </w:r>
      <w:r w:rsidRPr="00B004EE">
        <w:rPr>
          <w:rFonts w:ascii="Tahoma" w:hAnsi="Tahoma" w:cs="Tahoma"/>
          <w:sz w:val="20"/>
          <w:szCs w:val="20"/>
        </w:rPr>
        <w:t>fonction</w:t>
      </w:r>
      <w:r w:rsidR="00DB1635" w:rsidRPr="00B004EE">
        <w:rPr>
          <w:rFonts w:ascii="Tahoma" w:hAnsi="Tahoma" w:cs="Tahoma"/>
          <w:spacing w:val="-10"/>
          <w:sz w:val="20"/>
          <w:szCs w:val="20"/>
        </w:rPr>
        <w:t xml:space="preserve"> </w:t>
      </w:r>
      <w:r w:rsidRPr="00B004EE">
        <w:rPr>
          <w:rFonts w:ascii="Tahoma" w:hAnsi="Tahoma" w:cs="Tahoma"/>
          <w:sz w:val="20"/>
          <w:szCs w:val="20"/>
        </w:rPr>
        <w:t>du</w:t>
      </w:r>
      <w:r w:rsidR="00DB1635" w:rsidRPr="00B004EE">
        <w:rPr>
          <w:rFonts w:ascii="Tahoma" w:hAnsi="Tahoma" w:cs="Tahoma"/>
          <w:spacing w:val="-10"/>
          <w:sz w:val="20"/>
          <w:szCs w:val="20"/>
        </w:rPr>
        <w:t xml:space="preserve"> </w:t>
      </w:r>
      <w:r w:rsidRPr="00B004EE">
        <w:rPr>
          <w:rFonts w:ascii="Tahoma" w:hAnsi="Tahoma" w:cs="Tahoma"/>
          <w:sz w:val="20"/>
          <w:szCs w:val="20"/>
        </w:rPr>
        <w:t>volume</w:t>
      </w:r>
      <w:r w:rsidR="00DB1635" w:rsidRPr="00B004EE">
        <w:rPr>
          <w:rFonts w:ascii="Tahoma" w:hAnsi="Tahoma" w:cs="Tahoma"/>
          <w:spacing w:val="-10"/>
          <w:sz w:val="20"/>
          <w:szCs w:val="20"/>
        </w:rPr>
        <w:t xml:space="preserve"> </w:t>
      </w:r>
      <w:r w:rsidRPr="00B004EE">
        <w:rPr>
          <w:rFonts w:ascii="Tahoma" w:hAnsi="Tahoma" w:cs="Tahoma"/>
          <w:sz w:val="20"/>
          <w:szCs w:val="20"/>
        </w:rPr>
        <w:t>des</w:t>
      </w:r>
      <w:r w:rsidR="00DB1635" w:rsidRPr="00B004EE">
        <w:rPr>
          <w:rFonts w:ascii="Tahoma" w:hAnsi="Tahoma" w:cs="Tahoma"/>
          <w:spacing w:val="-10"/>
          <w:sz w:val="20"/>
          <w:szCs w:val="20"/>
        </w:rPr>
        <w:t xml:space="preserve"> </w:t>
      </w:r>
      <w:r w:rsidRPr="00B004EE">
        <w:rPr>
          <w:rFonts w:ascii="Tahoma" w:hAnsi="Tahoma" w:cs="Tahoma"/>
          <w:sz w:val="20"/>
          <w:szCs w:val="20"/>
        </w:rPr>
        <w:t>investissements</w:t>
      </w:r>
      <w:r w:rsidR="00DB1635" w:rsidRPr="00B004EE">
        <w:rPr>
          <w:rFonts w:ascii="Tahoma" w:hAnsi="Tahoma" w:cs="Tahoma"/>
          <w:spacing w:val="-10"/>
          <w:sz w:val="20"/>
          <w:szCs w:val="20"/>
        </w:rPr>
        <w:t xml:space="preserve"> </w:t>
      </w:r>
      <w:r w:rsidRPr="00B004EE">
        <w:rPr>
          <w:rFonts w:ascii="Tahoma" w:hAnsi="Tahoma" w:cs="Tahoma"/>
          <w:sz w:val="20"/>
          <w:szCs w:val="20"/>
        </w:rPr>
        <w:t>et</w:t>
      </w:r>
      <w:r w:rsidR="00DB1635" w:rsidRPr="00B004EE">
        <w:rPr>
          <w:rFonts w:ascii="Tahoma" w:hAnsi="Tahoma" w:cs="Tahoma"/>
          <w:spacing w:val="-10"/>
          <w:sz w:val="20"/>
          <w:szCs w:val="20"/>
        </w:rPr>
        <w:t xml:space="preserve"> </w:t>
      </w:r>
      <w:r w:rsidRPr="00B004EE">
        <w:rPr>
          <w:rFonts w:ascii="Tahoma" w:hAnsi="Tahoma" w:cs="Tahoma"/>
          <w:sz w:val="20"/>
          <w:szCs w:val="20"/>
        </w:rPr>
        <w:t>du</w:t>
      </w:r>
      <w:r w:rsidR="00DB1635" w:rsidRPr="00B004EE">
        <w:rPr>
          <w:rFonts w:ascii="Tahoma" w:hAnsi="Tahoma" w:cs="Tahoma"/>
          <w:spacing w:val="-10"/>
          <w:sz w:val="20"/>
          <w:szCs w:val="20"/>
        </w:rPr>
        <w:t xml:space="preserve"> </w:t>
      </w:r>
      <w:r w:rsidRPr="00B004EE">
        <w:rPr>
          <w:rFonts w:ascii="Tahoma" w:hAnsi="Tahoma" w:cs="Tahoma"/>
          <w:sz w:val="20"/>
          <w:szCs w:val="20"/>
        </w:rPr>
        <w:t>niveau</w:t>
      </w:r>
      <w:r w:rsidR="00DB1635" w:rsidRPr="00B004EE">
        <w:rPr>
          <w:rFonts w:ascii="Tahoma" w:hAnsi="Tahoma" w:cs="Tahoma"/>
          <w:spacing w:val="-10"/>
          <w:sz w:val="20"/>
          <w:szCs w:val="20"/>
        </w:rPr>
        <w:t xml:space="preserve"> </w:t>
      </w:r>
      <w:r w:rsidRPr="00B004EE">
        <w:rPr>
          <w:rFonts w:ascii="Tahoma" w:hAnsi="Tahoma" w:cs="Tahoma"/>
          <w:sz w:val="20"/>
          <w:szCs w:val="20"/>
        </w:rPr>
        <w:t>d'intégration</w:t>
      </w:r>
      <w:r w:rsidR="00DB1635" w:rsidRPr="00B004EE">
        <w:rPr>
          <w:rFonts w:ascii="Tahoma" w:hAnsi="Tahoma" w:cs="Tahoma"/>
          <w:spacing w:val="-11"/>
          <w:sz w:val="20"/>
          <w:szCs w:val="20"/>
        </w:rPr>
        <w:t xml:space="preserve"> </w:t>
      </w:r>
      <w:r w:rsidRPr="00B004EE">
        <w:rPr>
          <w:rFonts w:ascii="Tahoma" w:hAnsi="Tahoma" w:cs="Tahoma"/>
          <w:sz w:val="20"/>
          <w:szCs w:val="20"/>
        </w:rPr>
        <w:t>des</w:t>
      </w:r>
      <w:r w:rsidR="00DB1635" w:rsidRPr="00B004EE">
        <w:rPr>
          <w:rFonts w:ascii="Tahoma" w:hAnsi="Tahoma" w:cs="Tahoma"/>
          <w:spacing w:val="-11"/>
          <w:sz w:val="20"/>
          <w:szCs w:val="20"/>
        </w:rPr>
        <w:t xml:space="preserve"> </w:t>
      </w:r>
      <w:r w:rsidRPr="00B004EE">
        <w:rPr>
          <w:rFonts w:ascii="Tahoma" w:hAnsi="Tahoma" w:cs="Tahoma"/>
          <w:sz w:val="20"/>
          <w:szCs w:val="20"/>
        </w:rPr>
        <w:t>activités</w:t>
      </w:r>
      <w:r w:rsidR="00DB1635" w:rsidRPr="00B004EE">
        <w:rPr>
          <w:rFonts w:ascii="Tahoma" w:hAnsi="Tahoma" w:cs="Tahoma"/>
          <w:spacing w:val="39"/>
          <w:sz w:val="20"/>
          <w:szCs w:val="20"/>
        </w:rPr>
        <w:t xml:space="preserve"> </w:t>
      </w:r>
      <w:r w:rsidRPr="00B004EE">
        <w:rPr>
          <w:rFonts w:ascii="Tahoma" w:hAnsi="Tahoma" w:cs="Tahoma"/>
          <w:sz w:val="20"/>
          <w:szCs w:val="20"/>
        </w:rPr>
        <w:t>à</w:t>
      </w:r>
      <w:r w:rsidR="00DB1635" w:rsidRPr="00B004EE">
        <w:rPr>
          <w:rFonts w:ascii="Tahoma" w:hAnsi="Tahoma" w:cs="Tahoma"/>
          <w:w w:val="98"/>
          <w:sz w:val="20"/>
          <w:szCs w:val="20"/>
        </w:rPr>
        <w:t xml:space="preserve"> </w:t>
      </w:r>
      <w:r w:rsidRPr="00B004EE">
        <w:rPr>
          <w:rFonts w:ascii="Tahoma" w:hAnsi="Tahoma" w:cs="Tahoma"/>
          <w:w w:val="95"/>
          <w:sz w:val="20"/>
          <w:szCs w:val="20"/>
        </w:rPr>
        <w:t>l'économie</w:t>
      </w:r>
      <w:r w:rsidR="00DB1635" w:rsidRPr="00B004EE">
        <w:rPr>
          <w:rFonts w:ascii="Tahoma" w:hAnsi="Tahoma" w:cs="Tahoma"/>
          <w:spacing w:val="31"/>
          <w:w w:val="95"/>
          <w:sz w:val="20"/>
          <w:szCs w:val="20"/>
        </w:rPr>
        <w:t xml:space="preserve"> </w:t>
      </w:r>
      <w:r w:rsidRPr="00B004EE">
        <w:rPr>
          <w:rFonts w:ascii="Tahoma" w:hAnsi="Tahoma" w:cs="Tahoma"/>
          <w:w w:val="95"/>
          <w:sz w:val="20"/>
          <w:szCs w:val="20"/>
        </w:rPr>
        <w:t>nationale.</w:t>
      </w:r>
    </w:p>
    <w:p w14:paraId="77F3D0CE" w14:textId="77777777" w:rsidR="001E7C3C" w:rsidRPr="00B004EE" w:rsidRDefault="001E7C3C" w:rsidP="00B004EE">
      <w:pPr>
        <w:rPr>
          <w:rFonts w:ascii="Tahoma" w:eastAsia="American Typewriter" w:hAnsi="Tahoma" w:cs="Tahoma"/>
          <w:sz w:val="20"/>
          <w:szCs w:val="20"/>
        </w:rPr>
      </w:pPr>
    </w:p>
    <w:p w14:paraId="5F9E605A" w14:textId="52C30409" w:rsidR="001E7C3C" w:rsidRPr="00B004EE" w:rsidRDefault="001E7C3C" w:rsidP="00B004EE">
      <w:pPr>
        <w:ind w:right="164" w:hanging="4"/>
        <w:jc w:val="center"/>
        <w:rPr>
          <w:rFonts w:ascii="Tahoma" w:hAnsi="Tahoma" w:cs="Tahoma"/>
          <w:b/>
          <w:spacing w:val="1"/>
          <w:w w:val="113"/>
          <w:sz w:val="20"/>
          <w:szCs w:val="20"/>
        </w:rPr>
      </w:pPr>
      <w:bookmarkStart w:id="55" w:name="_Toc16279060"/>
      <w:bookmarkStart w:id="56" w:name="_Toc16279429"/>
      <w:r w:rsidRPr="00B004EE">
        <w:rPr>
          <w:rFonts w:ascii="Tahoma" w:hAnsi="Tahoma" w:cs="Tahoma"/>
          <w:b/>
          <w:spacing w:val="1"/>
          <w:w w:val="113"/>
          <w:sz w:val="20"/>
          <w:szCs w:val="20"/>
        </w:rPr>
        <w:t>Section</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2</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De</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la</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concession</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du</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droit</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d'usage</w:t>
      </w:r>
      <w:bookmarkEnd w:id="55"/>
      <w:bookmarkEnd w:id="56"/>
    </w:p>
    <w:p w14:paraId="59E33DBA" w14:textId="77777777" w:rsidR="001E7C3C" w:rsidRPr="00B004EE" w:rsidRDefault="001E7C3C" w:rsidP="00B004EE">
      <w:pPr>
        <w:rPr>
          <w:rFonts w:ascii="Tahoma" w:eastAsia="American Typewriter" w:hAnsi="Tahoma" w:cs="Tahoma"/>
          <w:sz w:val="20"/>
          <w:szCs w:val="20"/>
        </w:rPr>
      </w:pPr>
    </w:p>
    <w:p w14:paraId="7DC3EB06" w14:textId="2F366210" w:rsidR="001E7C3C" w:rsidRPr="00B004EE" w:rsidRDefault="001E7C3C" w:rsidP="00B004EE">
      <w:pPr>
        <w:pStyle w:val="Corpsdetexte"/>
        <w:ind w:right="158"/>
        <w:rPr>
          <w:rFonts w:ascii="Tahoma" w:hAnsi="Tahoma" w:cs="Tahoma"/>
          <w:sz w:val="20"/>
          <w:szCs w:val="20"/>
        </w:rPr>
      </w:pPr>
      <w:r w:rsidRPr="00B004EE">
        <w:rPr>
          <w:rFonts w:ascii="Tahoma" w:eastAsia="American Typewriter" w:hAnsi="Tahoma" w:cs="Tahoma"/>
          <w:sz w:val="20"/>
          <w:szCs w:val="20"/>
        </w:rPr>
        <w:t>Article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27</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w:t>
      </w:r>
      <w:r w:rsidR="00DB1635" w:rsidRPr="00B004EE">
        <w:rPr>
          <w:rFonts w:ascii="Tahoma" w:hAnsi="Tahoma" w:cs="Tahoma"/>
          <w:b/>
          <w:spacing w:val="-1"/>
          <w:sz w:val="20"/>
          <w:szCs w:val="20"/>
        </w:rPr>
        <w:t xml:space="preserve"> </w:t>
      </w:r>
      <w:r w:rsidRPr="00B004EE">
        <w:rPr>
          <w:rFonts w:ascii="Tahoma" w:hAnsi="Tahoma" w:cs="Tahoma"/>
          <w:sz w:val="20"/>
          <w:szCs w:val="20"/>
        </w:rPr>
        <w:t>Le</w:t>
      </w:r>
      <w:r w:rsidR="00DB1635" w:rsidRPr="00B004EE">
        <w:rPr>
          <w:rFonts w:ascii="Tahoma" w:hAnsi="Tahoma" w:cs="Tahoma"/>
          <w:spacing w:val="-5"/>
          <w:sz w:val="20"/>
          <w:szCs w:val="20"/>
        </w:rPr>
        <w:t xml:space="preserve"> </w:t>
      </w:r>
      <w:r w:rsidRPr="00B004EE">
        <w:rPr>
          <w:rFonts w:ascii="Tahoma" w:hAnsi="Tahoma" w:cs="Tahoma"/>
          <w:sz w:val="20"/>
          <w:szCs w:val="20"/>
        </w:rPr>
        <w:t>droit</w:t>
      </w:r>
      <w:r w:rsidR="00DB1635" w:rsidRPr="00B004EE">
        <w:rPr>
          <w:rFonts w:ascii="Tahoma" w:hAnsi="Tahoma" w:cs="Tahoma"/>
          <w:spacing w:val="-5"/>
          <w:sz w:val="20"/>
          <w:szCs w:val="20"/>
        </w:rPr>
        <w:t xml:space="preserve"> </w:t>
      </w:r>
      <w:r w:rsidRPr="00B004EE">
        <w:rPr>
          <w:rFonts w:ascii="Tahoma" w:hAnsi="Tahoma" w:cs="Tahoma"/>
          <w:sz w:val="20"/>
          <w:szCs w:val="20"/>
        </w:rPr>
        <w:t>d'usage</w:t>
      </w:r>
      <w:r w:rsidR="00DB1635" w:rsidRPr="00B004EE">
        <w:rPr>
          <w:rFonts w:ascii="Tahoma" w:hAnsi="Tahoma" w:cs="Tahoma"/>
          <w:spacing w:val="-5"/>
          <w:sz w:val="20"/>
          <w:szCs w:val="20"/>
        </w:rPr>
        <w:t xml:space="preserve"> </w:t>
      </w:r>
      <w:r w:rsidRPr="00B004EE">
        <w:rPr>
          <w:rFonts w:ascii="Tahoma" w:hAnsi="Tahoma" w:cs="Tahoma"/>
          <w:sz w:val="20"/>
          <w:szCs w:val="20"/>
        </w:rPr>
        <w:t>est</w:t>
      </w:r>
      <w:r w:rsidR="00DB1635" w:rsidRPr="00B004EE">
        <w:rPr>
          <w:rFonts w:ascii="Tahoma" w:hAnsi="Tahoma" w:cs="Tahoma"/>
          <w:spacing w:val="-5"/>
          <w:sz w:val="20"/>
          <w:szCs w:val="20"/>
        </w:rPr>
        <w:t xml:space="preserve"> </w:t>
      </w:r>
      <w:r w:rsidRPr="00B004EE">
        <w:rPr>
          <w:rFonts w:ascii="Tahoma" w:hAnsi="Tahoma" w:cs="Tahoma"/>
          <w:sz w:val="20"/>
          <w:szCs w:val="20"/>
        </w:rPr>
        <w:t>exploité</w:t>
      </w:r>
      <w:r w:rsidR="00DB1635" w:rsidRPr="00B004EE">
        <w:rPr>
          <w:rFonts w:ascii="Tahoma" w:hAnsi="Tahoma" w:cs="Tahoma"/>
          <w:spacing w:val="-4"/>
          <w:sz w:val="20"/>
          <w:szCs w:val="20"/>
        </w:rPr>
        <w:t xml:space="preserve"> </w:t>
      </w:r>
      <w:r w:rsidRPr="00B004EE">
        <w:rPr>
          <w:rFonts w:ascii="Tahoma" w:hAnsi="Tahoma" w:cs="Tahoma"/>
          <w:sz w:val="20"/>
          <w:szCs w:val="20"/>
        </w:rPr>
        <w:t>dans</w:t>
      </w:r>
      <w:r w:rsidR="00DB1635" w:rsidRPr="00B004EE">
        <w:rPr>
          <w:rFonts w:ascii="Tahoma" w:hAnsi="Tahoma" w:cs="Tahoma"/>
          <w:spacing w:val="-5"/>
          <w:sz w:val="20"/>
          <w:szCs w:val="20"/>
        </w:rPr>
        <w:t xml:space="preserve"> </w:t>
      </w:r>
      <w:r w:rsidRPr="00B004EE">
        <w:rPr>
          <w:rFonts w:ascii="Tahoma" w:hAnsi="Tahoma" w:cs="Tahoma"/>
          <w:sz w:val="20"/>
          <w:szCs w:val="20"/>
        </w:rPr>
        <w:t>le</w:t>
      </w:r>
      <w:r w:rsidR="00DB1635" w:rsidRPr="00B004EE">
        <w:rPr>
          <w:rFonts w:ascii="Tahoma" w:hAnsi="Tahoma" w:cs="Tahoma"/>
          <w:spacing w:val="-5"/>
          <w:sz w:val="20"/>
          <w:szCs w:val="20"/>
        </w:rPr>
        <w:t xml:space="preserve"> </w:t>
      </w:r>
      <w:r w:rsidRPr="00B004EE">
        <w:rPr>
          <w:rFonts w:ascii="Tahoma" w:hAnsi="Tahoma" w:cs="Tahoma"/>
          <w:sz w:val="20"/>
          <w:szCs w:val="20"/>
        </w:rPr>
        <w:t>cadre</w:t>
      </w:r>
      <w:r w:rsidR="00DB1635" w:rsidRPr="00B004EE">
        <w:rPr>
          <w:rFonts w:ascii="Tahoma" w:hAnsi="Tahoma" w:cs="Tahoma"/>
          <w:spacing w:val="-5"/>
          <w:sz w:val="20"/>
          <w:szCs w:val="20"/>
        </w:rPr>
        <w:t xml:space="preserve"> </w:t>
      </w:r>
      <w:r w:rsidRPr="00B004EE">
        <w:rPr>
          <w:rFonts w:ascii="Tahoma" w:hAnsi="Tahoma" w:cs="Tahoma"/>
          <w:sz w:val="20"/>
          <w:szCs w:val="20"/>
        </w:rPr>
        <w:t>d'une</w:t>
      </w:r>
      <w:r w:rsidR="00DB1635" w:rsidRPr="00B004EE">
        <w:rPr>
          <w:rFonts w:ascii="Tahoma" w:hAnsi="Tahoma" w:cs="Tahoma"/>
          <w:spacing w:val="-5"/>
          <w:sz w:val="20"/>
          <w:szCs w:val="20"/>
        </w:rPr>
        <w:t xml:space="preserve"> </w:t>
      </w:r>
      <w:r w:rsidRPr="00B004EE">
        <w:rPr>
          <w:rFonts w:ascii="Tahoma" w:hAnsi="Tahoma" w:cs="Tahoma"/>
          <w:sz w:val="20"/>
          <w:szCs w:val="20"/>
        </w:rPr>
        <w:t>concession</w:t>
      </w:r>
      <w:r w:rsidR="00DB1635" w:rsidRPr="00B004EE">
        <w:rPr>
          <w:rFonts w:ascii="Tahoma" w:hAnsi="Tahoma" w:cs="Tahoma"/>
          <w:spacing w:val="-5"/>
          <w:sz w:val="20"/>
          <w:szCs w:val="20"/>
        </w:rPr>
        <w:t xml:space="preserve"> </w:t>
      </w:r>
      <w:r w:rsidRPr="00B004EE">
        <w:rPr>
          <w:rFonts w:ascii="Tahoma" w:hAnsi="Tahoma" w:cs="Tahoma"/>
          <w:sz w:val="20"/>
          <w:szCs w:val="20"/>
        </w:rPr>
        <w:t>accordée</w:t>
      </w:r>
      <w:r w:rsidR="00DB1635" w:rsidRPr="00B004EE">
        <w:rPr>
          <w:rFonts w:ascii="Tahoma" w:hAnsi="Tahoma" w:cs="Tahoma"/>
          <w:w w:val="94"/>
          <w:sz w:val="20"/>
          <w:szCs w:val="20"/>
        </w:rPr>
        <w:t xml:space="preserve"> </w:t>
      </w:r>
      <w:r w:rsidRPr="00B004EE">
        <w:rPr>
          <w:rFonts w:ascii="Tahoma" w:hAnsi="Tahoma" w:cs="Tahoma"/>
          <w:sz w:val="20"/>
          <w:szCs w:val="20"/>
        </w:rPr>
        <w:t>dans</w:t>
      </w:r>
      <w:r w:rsidR="00DB1635" w:rsidRPr="00B004EE">
        <w:rPr>
          <w:rFonts w:ascii="Tahoma" w:hAnsi="Tahoma" w:cs="Tahoma"/>
          <w:spacing w:val="19"/>
          <w:sz w:val="20"/>
          <w:szCs w:val="20"/>
        </w:rPr>
        <w:t xml:space="preserve"> </w:t>
      </w:r>
      <w:r w:rsidRPr="00B004EE">
        <w:rPr>
          <w:rFonts w:ascii="Tahoma" w:hAnsi="Tahoma" w:cs="Tahoma"/>
          <w:sz w:val="20"/>
          <w:szCs w:val="20"/>
        </w:rPr>
        <w:t>les</w:t>
      </w:r>
      <w:r w:rsidR="00DB1635" w:rsidRPr="00B004EE">
        <w:rPr>
          <w:rFonts w:ascii="Tahoma" w:hAnsi="Tahoma" w:cs="Tahoma"/>
          <w:spacing w:val="19"/>
          <w:sz w:val="20"/>
          <w:szCs w:val="20"/>
        </w:rPr>
        <w:t xml:space="preserve"> </w:t>
      </w:r>
      <w:r w:rsidRPr="00B004EE">
        <w:rPr>
          <w:rFonts w:ascii="Tahoma" w:hAnsi="Tahoma" w:cs="Tahoma"/>
          <w:sz w:val="20"/>
          <w:szCs w:val="20"/>
        </w:rPr>
        <w:t>conditions</w:t>
      </w:r>
      <w:r w:rsidR="00DB1635" w:rsidRPr="00B004EE">
        <w:rPr>
          <w:rFonts w:ascii="Tahoma" w:hAnsi="Tahoma" w:cs="Tahoma"/>
          <w:spacing w:val="19"/>
          <w:sz w:val="20"/>
          <w:szCs w:val="20"/>
        </w:rPr>
        <w:t xml:space="preserve"> </w:t>
      </w:r>
      <w:r w:rsidRPr="00B004EE">
        <w:rPr>
          <w:rFonts w:ascii="Tahoma" w:hAnsi="Tahoma" w:cs="Tahoma"/>
          <w:sz w:val="20"/>
          <w:szCs w:val="20"/>
        </w:rPr>
        <w:t>prévues</w:t>
      </w:r>
      <w:r w:rsidR="00DB1635" w:rsidRPr="00B004EE">
        <w:rPr>
          <w:rFonts w:ascii="Tahoma" w:hAnsi="Tahoma" w:cs="Tahoma"/>
          <w:spacing w:val="19"/>
          <w:sz w:val="20"/>
          <w:szCs w:val="20"/>
        </w:rPr>
        <w:t xml:space="preserve"> </w:t>
      </w:r>
      <w:r w:rsidRPr="00B004EE">
        <w:rPr>
          <w:rFonts w:ascii="Tahoma" w:hAnsi="Tahoma" w:cs="Tahoma"/>
          <w:sz w:val="20"/>
          <w:szCs w:val="20"/>
        </w:rPr>
        <w:t>par</w:t>
      </w:r>
      <w:r w:rsidR="00DB1635" w:rsidRPr="00B004EE">
        <w:rPr>
          <w:rFonts w:ascii="Tahoma" w:hAnsi="Tahoma" w:cs="Tahoma"/>
          <w:spacing w:val="19"/>
          <w:sz w:val="20"/>
          <w:szCs w:val="20"/>
        </w:rPr>
        <w:t xml:space="preserve"> </w:t>
      </w:r>
      <w:r w:rsidRPr="00B004EE">
        <w:rPr>
          <w:rFonts w:ascii="Tahoma" w:hAnsi="Tahoma" w:cs="Tahoma"/>
          <w:sz w:val="20"/>
          <w:szCs w:val="20"/>
        </w:rPr>
        <w:t>la</w:t>
      </w:r>
      <w:r w:rsidR="00DB1635" w:rsidRPr="00B004EE">
        <w:rPr>
          <w:rFonts w:ascii="Tahoma" w:hAnsi="Tahoma" w:cs="Tahoma"/>
          <w:spacing w:val="19"/>
          <w:sz w:val="20"/>
          <w:szCs w:val="20"/>
        </w:rPr>
        <w:t xml:space="preserve"> </w:t>
      </w:r>
      <w:r w:rsidRPr="00B004EE">
        <w:rPr>
          <w:rFonts w:ascii="Tahoma" w:hAnsi="Tahoma" w:cs="Tahoma"/>
          <w:sz w:val="20"/>
          <w:szCs w:val="20"/>
        </w:rPr>
        <w:t>présente</w:t>
      </w:r>
      <w:r w:rsidR="00DB1635" w:rsidRPr="00B004EE">
        <w:rPr>
          <w:rFonts w:ascii="Tahoma" w:hAnsi="Tahoma" w:cs="Tahoma"/>
          <w:spacing w:val="22"/>
          <w:sz w:val="20"/>
          <w:szCs w:val="20"/>
        </w:rPr>
        <w:t xml:space="preserve"> </w:t>
      </w:r>
      <w:r w:rsidRPr="00B004EE">
        <w:rPr>
          <w:rFonts w:ascii="Tahoma" w:hAnsi="Tahoma" w:cs="Tahoma"/>
          <w:sz w:val="20"/>
          <w:szCs w:val="20"/>
        </w:rPr>
        <w:t>Loi</w:t>
      </w:r>
      <w:r w:rsidR="00DB1635" w:rsidRPr="00B004EE">
        <w:rPr>
          <w:rFonts w:ascii="Tahoma" w:hAnsi="Tahoma" w:cs="Tahoma"/>
          <w:spacing w:val="20"/>
          <w:sz w:val="20"/>
          <w:szCs w:val="20"/>
        </w:rPr>
        <w:t xml:space="preserve"> </w:t>
      </w:r>
      <w:r w:rsidRPr="00B004EE">
        <w:rPr>
          <w:rFonts w:ascii="Tahoma" w:hAnsi="Tahoma" w:cs="Tahoma"/>
          <w:sz w:val="20"/>
          <w:szCs w:val="20"/>
        </w:rPr>
        <w:t>et</w:t>
      </w:r>
      <w:r w:rsidR="00DB1635" w:rsidRPr="00B004EE">
        <w:rPr>
          <w:rFonts w:ascii="Tahoma" w:hAnsi="Tahoma" w:cs="Tahoma"/>
          <w:spacing w:val="19"/>
          <w:sz w:val="20"/>
          <w:szCs w:val="20"/>
        </w:rPr>
        <w:t xml:space="preserve"> </w:t>
      </w:r>
      <w:r w:rsidRPr="00B004EE">
        <w:rPr>
          <w:rFonts w:ascii="Tahoma" w:hAnsi="Tahoma" w:cs="Tahoma"/>
          <w:sz w:val="20"/>
          <w:szCs w:val="20"/>
        </w:rPr>
        <w:t>les</w:t>
      </w:r>
      <w:r w:rsidR="00DB1635" w:rsidRPr="00B004EE">
        <w:rPr>
          <w:rFonts w:ascii="Tahoma" w:hAnsi="Tahoma" w:cs="Tahoma"/>
          <w:spacing w:val="19"/>
          <w:sz w:val="20"/>
          <w:szCs w:val="20"/>
        </w:rPr>
        <w:t xml:space="preserve"> </w:t>
      </w:r>
      <w:r w:rsidRPr="00B004EE">
        <w:rPr>
          <w:rFonts w:ascii="Tahoma" w:hAnsi="Tahoma" w:cs="Tahoma"/>
          <w:sz w:val="20"/>
          <w:szCs w:val="20"/>
        </w:rPr>
        <w:t>règlements</w:t>
      </w:r>
      <w:r w:rsidR="00DB1635" w:rsidRPr="00B004EE">
        <w:rPr>
          <w:rFonts w:ascii="Tahoma" w:hAnsi="Tahoma" w:cs="Tahoma"/>
          <w:spacing w:val="19"/>
          <w:sz w:val="20"/>
          <w:szCs w:val="20"/>
        </w:rPr>
        <w:t xml:space="preserve"> </w:t>
      </w:r>
      <w:r w:rsidRPr="00B004EE">
        <w:rPr>
          <w:rFonts w:ascii="Tahoma" w:hAnsi="Tahoma" w:cs="Tahoma"/>
          <w:sz w:val="20"/>
          <w:szCs w:val="20"/>
        </w:rPr>
        <w:t>pris</w:t>
      </w:r>
      <w:r w:rsidR="00DB1635" w:rsidRPr="00B004EE">
        <w:rPr>
          <w:rFonts w:ascii="Tahoma" w:hAnsi="Tahoma" w:cs="Tahoma"/>
          <w:spacing w:val="19"/>
          <w:sz w:val="20"/>
          <w:szCs w:val="20"/>
        </w:rPr>
        <w:t xml:space="preserve"> </w:t>
      </w:r>
      <w:r w:rsidRPr="00B004EE">
        <w:rPr>
          <w:rFonts w:ascii="Tahoma" w:hAnsi="Tahoma" w:cs="Tahoma"/>
          <w:sz w:val="20"/>
          <w:szCs w:val="20"/>
        </w:rPr>
        <w:t>pour</w:t>
      </w:r>
      <w:r w:rsidR="00DB1635" w:rsidRPr="00B004EE">
        <w:rPr>
          <w:rFonts w:ascii="Tahoma" w:hAnsi="Tahoma" w:cs="Tahoma"/>
          <w:spacing w:val="19"/>
          <w:sz w:val="20"/>
          <w:szCs w:val="20"/>
        </w:rPr>
        <w:t xml:space="preserve"> </w:t>
      </w:r>
      <w:r w:rsidRPr="00B004EE">
        <w:rPr>
          <w:rFonts w:ascii="Tahoma" w:hAnsi="Tahoma" w:cs="Tahoma"/>
          <w:sz w:val="20"/>
          <w:szCs w:val="20"/>
        </w:rPr>
        <w:t>son</w:t>
      </w:r>
      <w:r w:rsidR="00DB1635" w:rsidRPr="00B004EE">
        <w:rPr>
          <w:rFonts w:ascii="Tahoma" w:hAnsi="Tahoma" w:cs="Tahoma"/>
          <w:w w:val="93"/>
          <w:sz w:val="20"/>
          <w:szCs w:val="20"/>
        </w:rPr>
        <w:t xml:space="preserve"> </w:t>
      </w:r>
      <w:r w:rsidRPr="00B004EE">
        <w:rPr>
          <w:rFonts w:ascii="Tahoma" w:hAnsi="Tahoma" w:cs="Tahoma"/>
          <w:sz w:val="20"/>
          <w:szCs w:val="20"/>
        </w:rPr>
        <w:t>application.</w:t>
      </w:r>
    </w:p>
    <w:p w14:paraId="601C38F1" w14:textId="26D4341E" w:rsidR="001E7C3C" w:rsidRPr="00B004EE" w:rsidRDefault="001E7C3C" w:rsidP="00B004EE">
      <w:pPr>
        <w:pStyle w:val="Corpsdetexte"/>
        <w:ind w:right="158"/>
        <w:rPr>
          <w:rFonts w:ascii="Tahoma" w:hAnsi="Tahoma" w:cs="Tahoma"/>
          <w:sz w:val="20"/>
          <w:szCs w:val="20"/>
        </w:rPr>
      </w:pPr>
      <w:r w:rsidRPr="00B004EE">
        <w:rPr>
          <w:rFonts w:ascii="Tahoma" w:eastAsia="American Typewriter" w:hAnsi="Tahoma" w:cs="Tahoma"/>
          <w:sz w:val="20"/>
          <w:szCs w:val="20"/>
        </w:rPr>
        <w:t>Le</w:t>
      </w:r>
      <w:r w:rsidR="00DB1635" w:rsidRPr="00B004EE">
        <w:rPr>
          <w:rFonts w:ascii="Tahoma" w:eastAsia="American Typewriter" w:hAnsi="Tahoma" w:cs="Tahoma"/>
          <w:spacing w:val="-4"/>
          <w:sz w:val="20"/>
          <w:szCs w:val="20"/>
        </w:rPr>
        <w:t xml:space="preserve"> </w:t>
      </w:r>
      <w:r w:rsidRPr="00B004EE">
        <w:rPr>
          <w:rFonts w:ascii="Tahoma" w:eastAsia="American Typewriter" w:hAnsi="Tahoma" w:cs="Tahoma"/>
          <w:sz w:val="20"/>
          <w:szCs w:val="20"/>
        </w:rPr>
        <w:t>contrat</w:t>
      </w:r>
      <w:r w:rsidR="00DB1635" w:rsidRPr="00B004EE">
        <w:rPr>
          <w:rFonts w:ascii="Tahoma" w:eastAsia="American Typewriter" w:hAnsi="Tahoma" w:cs="Tahoma"/>
          <w:spacing w:val="-4"/>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pacing w:val="-4"/>
          <w:sz w:val="20"/>
          <w:szCs w:val="20"/>
        </w:rPr>
        <w:t xml:space="preserve"> </w:t>
      </w:r>
      <w:r w:rsidRPr="00B004EE">
        <w:rPr>
          <w:rFonts w:ascii="Tahoma" w:eastAsia="American Typewriter" w:hAnsi="Tahoma" w:cs="Tahoma"/>
          <w:sz w:val="20"/>
          <w:szCs w:val="20"/>
        </w:rPr>
        <w:t>concession</w:t>
      </w:r>
      <w:r w:rsidR="00DB1635" w:rsidRPr="00B004EE">
        <w:rPr>
          <w:rFonts w:ascii="Tahoma" w:eastAsia="American Typewriter" w:hAnsi="Tahoma" w:cs="Tahoma"/>
          <w:spacing w:val="-6"/>
          <w:sz w:val="20"/>
          <w:szCs w:val="20"/>
        </w:rPr>
        <w:t xml:space="preserve"> </w:t>
      </w:r>
      <w:r w:rsidRPr="00B004EE">
        <w:rPr>
          <w:rFonts w:ascii="Tahoma" w:eastAsia="American Typewriter" w:hAnsi="Tahoma" w:cs="Tahoma"/>
          <w:sz w:val="20"/>
          <w:szCs w:val="20"/>
        </w:rPr>
        <w:t>est</w:t>
      </w:r>
      <w:r w:rsidR="00DB1635" w:rsidRPr="00B004EE">
        <w:rPr>
          <w:rFonts w:ascii="Tahoma" w:eastAsia="American Typewriter" w:hAnsi="Tahoma" w:cs="Tahoma"/>
          <w:spacing w:val="-6"/>
          <w:sz w:val="20"/>
          <w:szCs w:val="20"/>
        </w:rPr>
        <w:t xml:space="preserve"> </w:t>
      </w:r>
      <w:r w:rsidRPr="00B004EE">
        <w:rPr>
          <w:rFonts w:ascii="Tahoma" w:eastAsia="American Typewriter" w:hAnsi="Tahoma" w:cs="Tahoma"/>
          <w:sz w:val="20"/>
          <w:szCs w:val="20"/>
        </w:rPr>
        <w:t>l’acte</w:t>
      </w:r>
      <w:r w:rsidR="00DB1635" w:rsidRPr="00B004EE">
        <w:rPr>
          <w:rFonts w:ascii="Tahoma" w:eastAsia="American Typewriter" w:hAnsi="Tahoma" w:cs="Tahoma"/>
          <w:spacing w:val="-6"/>
          <w:sz w:val="20"/>
          <w:szCs w:val="20"/>
        </w:rPr>
        <w:t xml:space="preserve"> </w:t>
      </w:r>
      <w:r w:rsidRPr="00B004EE">
        <w:rPr>
          <w:rFonts w:ascii="Tahoma" w:eastAsia="American Typewriter" w:hAnsi="Tahoma" w:cs="Tahoma"/>
          <w:sz w:val="20"/>
          <w:szCs w:val="20"/>
        </w:rPr>
        <w:t>par</w:t>
      </w:r>
      <w:r w:rsidR="00DB1635" w:rsidRPr="00B004EE">
        <w:rPr>
          <w:rFonts w:ascii="Tahoma" w:eastAsia="American Typewriter" w:hAnsi="Tahoma" w:cs="Tahoma"/>
          <w:spacing w:val="-6"/>
          <w:sz w:val="20"/>
          <w:szCs w:val="20"/>
        </w:rPr>
        <w:t xml:space="preserve"> </w:t>
      </w:r>
      <w:r w:rsidRPr="00B004EE">
        <w:rPr>
          <w:rFonts w:ascii="Tahoma" w:eastAsia="American Typewriter" w:hAnsi="Tahoma" w:cs="Tahoma"/>
          <w:sz w:val="20"/>
          <w:szCs w:val="20"/>
        </w:rPr>
        <w:t>lequel</w:t>
      </w:r>
      <w:r w:rsidR="00DB1635" w:rsidRPr="00B004EE">
        <w:rPr>
          <w:rFonts w:ascii="Tahoma" w:eastAsia="American Typewriter" w:hAnsi="Tahoma" w:cs="Tahoma"/>
          <w:spacing w:val="-5"/>
          <w:sz w:val="20"/>
          <w:szCs w:val="20"/>
        </w:rPr>
        <w:t xml:space="preserve"> </w:t>
      </w:r>
      <w:r w:rsidRPr="00B004EE">
        <w:rPr>
          <w:rFonts w:ascii="Tahoma" w:eastAsia="American Typewriter" w:hAnsi="Tahoma" w:cs="Tahoma"/>
          <w:sz w:val="20"/>
          <w:szCs w:val="20"/>
        </w:rPr>
        <w:t>l’État</w:t>
      </w:r>
      <w:r w:rsidR="00DB1635" w:rsidRPr="00B004EE">
        <w:rPr>
          <w:rFonts w:ascii="Tahoma" w:eastAsia="American Typewriter" w:hAnsi="Tahoma" w:cs="Tahoma"/>
          <w:spacing w:val="-2"/>
          <w:sz w:val="20"/>
          <w:szCs w:val="20"/>
        </w:rPr>
        <w:t xml:space="preserve"> </w:t>
      </w:r>
      <w:r w:rsidRPr="00B004EE">
        <w:rPr>
          <w:rFonts w:ascii="Tahoma" w:hAnsi="Tahoma" w:cs="Tahoma"/>
          <w:sz w:val="20"/>
          <w:szCs w:val="20"/>
        </w:rPr>
        <w:t>(ou</w:t>
      </w:r>
      <w:r w:rsidR="00DB1635" w:rsidRPr="00B004EE">
        <w:rPr>
          <w:rFonts w:ascii="Tahoma" w:hAnsi="Tahoma" w:cs="Tahoma"/>
          <w:spacing w:val="-6"/>
          <w:sz w:val="20"/>
          <w:szCs w:val="20"/>
        </w:rPr>
        <w:t xml:space="preserve"> </w:t>
      </w:r>
      <w:r w:rsidRPr="00B004EE">
        <w:rPr>
          <w:rFonts w:ascii="Tahoma" w:hAnsi="Tahoma" w:cs="Tahoma"/>
          <w:sz w:val="20"/>
          <w:szCs w:val="20"/>
        </w:rPr>
        <w:t>concédant),</w:t>
      </w:r>
      <w:r w:rsidR="00DB1635" w:rsidRPr="00B004EE">
        <w:rPr>
          <w:rFonts w:ascii="Tahoma" w:hAnsi="Tahoma" w:cs="Tahoma"/>
          <w:spacing w:val="-5"/>
          <w:sz w:val="20"/>
          <w:szCs w:val="20"/>
        </w:rPr>
        <w:t xml:space="preserve"> </w:t>
      </w:r>
      <w:r w:rsidRPr="00B004EE">
        <w:rPr>
          <w:rFonts w:ascii="Tahoma" w:hAnsi="Tahoma" w:cs="Tahoma"/>
          <w:sz w:val="20"/>
          <w:szCs w:val="20"/>
        </w:rPr>
        <w:t>détermine</w:t>
      </w:r>
      <w:r w:rsidR="00DB1635" w:rsidRPr="00B004EE">
        <w:rPr>
          <w:rFonts w:ascii="Tahoma" w:hAnsi="Tahoma" w:cs="Tahoma"/>
          <w:spacing w:val="-6"/>
          <w:sz w:val="20"/>
          <w:szCs w:val="20"/>
        </w:rPr>
        <w:t xml:space="preserve"> </w:t>
      </w:r>
      <w:r w:rsidRPr="00B004EE">
        <w:rPr>
          <w:rFonts w:ascii="Tahoma" w:hAnsi="Tahoma" w:cs="Tahoma"/>
          <w:sz w:val="20"/>
          <w:szCs w:val="20"/>
        </w:rPr>
        <w:t>les</w:t>
      </w:r>
      <w:r w:rsidR="00DB1635" w:rsidRPr="00B004EE">
        <w:rPr>
          <w:rFonts w:ascii="Tahoma" w:hAnsi="Tahoma" w:cs="Tahoma"/>
          <w:w w:val="94"/>
          <w:sz w:val="20"/>
          <w:szCs w:val="20"/>
        </w:rPr>
        <w:t xml:space="preserve"> </w:t>
      </w:r>
      <w:r w:rsidRPr="00B004EE">
        <w:rPr>
          <w:rFonts w:ascii="Tahoma" w:hAnsi="Tahoma" w:cs="Tahoma"/>
          <w:sz w:val="20"/>
          <w:szCs w:val="20"/>
        </w:rPr>
        <w:t>conditions</w:t>
      </w:r>
      <w:r w:rsidR="00DB1635" w:rsidRPr="00B004EE">
        <w:rPr>
          <w:rFonts w:ascii="Tahoma" w:hAnsi="Tahoma" w:cs="Tahoma"/>
          <w:spacing w:val="49"/>
          <w:sz w:val="20"/>
          <w:szCs w:val="20"/>
        </w:rPr>
        <w:t xml:space="preserve"> </w:t>
      </w:r>
      <w:r w:rsidRPr="00B004EE">
        <w:rPr>
          <w:rFonts w:ascii="Tahoma" w:hAnsi="Tahoma" w:cs="Tahoma"/>
          <w:sz w:val="20"/>
          <w:szCs w:val="20"/>
        </w:rPr>
        <w:t>d'exploitation</w:t>
      </w:r>
      <w:r w:rsidR="00DB1635" w:rsidRPr="00B004EE">
        <w:rPr>
          <w:rFonts w:ascii="Tahoma" w:hAnsi="Tahoma" w:cs="Tahoma"/>
          <w:spacing w:val="49"/>
          <w:sz w:val="20"/>
          <w:szCs w:val="20"/>
        </w:rPr>
        <w:t xml:space="preserve"> </w:t>
      </w:r>
      <w:r w:rsidRPr="00B004EE">
        <w:rPr>
          <w:rFonts w:ascii="Tahoma" w:hAnsi="Tahoma" w:cs="Tahoma"/>
          <w:sz w:val="20"/>
          <w:szCs w:val="20"/>
        </w:rPr>
        <w:t>du</w:t>
      </w:r>
      <w:r w:rsidR="00DB1635" w:rsidRPr="00B004EE">
        <w:rPr>
          <w:rFonts w:ascii="Tahoma" w:hAnsi="Tahoma" w:cs="Tahoma"/>
          <w:spacing w:val="49"/>
          <w:sz w:val="20"/>
          <w:szCs w:val="20"/>
        </w:rPr>
        <w:t xml:space="preserve"> </w:t>
      </w:r>
      <w:r w:rsidRPr="00B004EE">
        <w:rPr>
          <w:rFonts w:ascii="Tahoma" w:hAnsi="Tahoma" w:cs="Tahoma"/>
          <w:sz w:val="20"/>
          <w:szCs w:val="20"/>
        </w:rPr>
        <w:t>droit</w:t>
      </w:r>
      <w:r w:rsidR="00DB1635" w:rsidRPr="00B004EE">
        <w:rPr>
          <w:rFonts w:ascii="Tahoma" w:hAnsi="Tahoma" w:cs="Tahoma"/>
          <w:spacing w:val="50"/>
          <w:sz w:val="20"/>
          <w:szCs w:val="20"/>
        </w:rPr>
        <w:t xml:space="preserve"> </w:t>
      </w:r>
      <w:r w:rsidRPr="00B004EE">
        <w:rPr>
          <w:rFonts w:ascii="Tahoma" w:hAnsi="Tahoma" w:cs="Tahoma"/>
          <w:sz w:val="20"/>
          <w:szCs w:val="20"/>
        </w:rPr>
        <w:t>d'usage</w:t>
      </w:r>
      <w:r w:rsidR="00DB1635" w:rsidRPr="00B004EE">
        <w:rPr>
          <w:rFonts w:ascii="Tahoma" w:hAnsi="Tahoma" w:cs="Tahoma"/>
          <w:spacing w:val="50"/>
          <w:sz w:val="20"/>
          <w:szCs w:val="20"/>
        </w:rPr>
        <w:t xml:space="preserve"> </w:t>
      </w:r>
      <w:r w:rsidRPr="00B004EE">
        <w:rPr>
          <w:rFonts w:ascii="Tahoma" w:hAnsi="Tahoma" w:cs="Tahoma"/>
          <w:sz w:val="20"/>
          <w:szCs w:val="20"/>
        </w:rPr>
        <w:t>alloué</w:t>
      </w:r>
      <w:r w:rsidR="00DB1635" w:rsidRPr="00B004EE">
        <w:rPr>
          <w:rFonts w:ascii="Tahoma" w:hAnsi="Tahoma" w:cs="Tahoma"/>
          <w:spacing w:val="49"/>
          <w:sz w:val="20"/>
          <w:szCs w:val="20"/>
        </w:rPr>
        <w:t xml:space="preserve"> </w:t>
      </w:r>
      <w:r w:rsidRPr="00B004EE">
        <w:rPr>
          <w:rFonts w:ascii="Tahoma" w:hAnsi="Tahoma" w:cs="Tahoma"/>
          <w:sz w:val="20"/>
          <w:szCs w:val="20"/>
        </w:rPr>
        <w:t>à</w:t>
      </w:r>
      <w:r w:rsidR="00DB1635" w:rsidRPr="00B004EE">
        <w:rPr>
          <w:rFonts w:ascii="Tahoma" w:hAnsi="Tahoma" w:cs="Tahoma"/>
          <w:spacing w:val="54"/>
          <w:sz w:val="20"/>
          <w:szCs w:val="20"/>
        </w:rPr>
        <w:t xml:space="preserve"> </w:t>
      </w:r>
      <w:r w:rsidRPr="00B004EE">
        <w:rPr>
          <w:rFonts w:ascii="Tahoma" w:hAnsi="Tahoma" w:cs="Tahoma"/>
          <w:sz w:val="20"/>
          <w:szCs w:val="20"/>
        </w:rPr>
        <w:t>une</w:t>
      </w:r>
      <w:r w:rsidR="00DB1635" w:rsidRPr="00B004EE">
        <w:rPr>
          <w:rFonts w:ascii="Tahoma" w:hAnsi="Tahoma" w:cs="Tahoma"/>
          <w:spacing w:val="50"/>
          <w:sz w:val="20"/>
          <w:szCs w:val="20"/>
        </w:rPr>
        <w:t xml:space="preserve"> </w:t>
      </w:r>
      <w:r w:rsidRPr="00B004EE">
        <w:rPr>
          <w:rFonts w:ascii="Tahoma" w:hAnsi="Tahoma" w:cs="Tahoma"/>
          <w:sz w:val="20"/>
          <w:szCs w:val="20"/>
        </w:rPr>
        <w:t>personne</w:t>
      </w:r>
      <w:r w:rsidR="00DB1635" w:rsidRPr="00B004EE">
        <w:rPr>
          <w:rFonts w:ascii="Tahoma" w:hAnsi="Tahoma" w:cs="Tahoma"/>
          <w:spacing w:val="49"/>
          <w:sz w:val="20"/>
          <w:szCs w:val="20"/>
        </w:rPr>
        <w:t xml:space="preserve"> </w:t>
      </w:r>
      <w:r w:rsidRPr="00B004EE">
        <w:rPr>
          <w:rFonts w:ascii="Tahoma" w:hAnsi="Tahoma" w:cs="Tahoma"/>
          <w:sz w:val="20"/>
          <w:szCs w:val="20"/>
        </w:rPr>
        <w:t>physique</w:t>
      </w:r>
      <w:r w:rsidR="00DB1635" w:rsidRPr="00B004EE">
        <w:rPr>
          <w:rFonts w:ascii="Tahoma" w:hAnsi="Tahoma" w:cs="Tahoma"/>
          <w:spacing w:val="50"/>
          <w:sz w:val="20"/>
          <w:szCs w:val="20"/>
        </w:rPr>
        <w:t xml:space="preserve"> </w:t>
      </w:r>
      <w:r w:rsidRPr="00B004EE">
        <w:rPr>
          <w:rFonts w:ascii="Tahoma" w:hAnsi="Tahoma" w:cs="Tahoma"/>
          <w:sz w:val="20"/>
          <w:szCs w:val="20"/>
        </w:rPr>
        <w:t>ou</w:t>
      </w:r>
      <w:r w:rsidR="00DB1635" w:rsidRPr="00B004EE">
        <w:rPr>
          <w:rFonts w:ascii="Tahoma" w:hAnsi="Tahoma" w:cs="Tahoma"/>
          <w:w w:val="95"/>
          <w:sz w:val="20"/>
          <w:szCs w:val="20"/>
        </w:rPr>
        <w:t xml:space="preserve"> </w:t>
      </w:r>
      <w:r w:rsidRPr="00B004EE">
        <w:rPr>
          <w:rFonts w:ascii="Tahoma" w:hAnsi="Tahoma" w:cs="Tahoma"/>
          <w:sz w:val="20"/>
          <w:szCs w:val="20"/>
        </w:rPr>
        <w:t>morale</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concessionnaire)</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prélever</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ressources</w:t>
      </w:r>
      <w:r w:rsidR="00DB1635" w:rsidRPr="00B004EE">
        <w:rPr>
          <w:rFonts w:ascii="Tahoma" w:hAnsi="Tahoma" w:cs="Tahoma"/>
          <w:spacing w:val="20"/>
          <w:sz w:val="20"/>
          <w:szCs w:val="20"/>
        </w:rPr>
        <w:t xml:space="preserve"> </w:t>
      </w:r>
      <w:r w:rsidRPr="00B004EE">
        <w:rPr>
          <w:rFonts w:ascii="Tahoma" w:hAnsi="Tahoma" w:cs="Tahoma"/>
          <w:sz w:val="20"/>
          <w:szCs w:val="20"/>
        </w:rPr>
        <w:t>halieutiques</w:t>
      </w:r>
      <w:r w:rsidR="00DB1635" w:rsidRPr="00B004EE">
        <w:rPr>
          <w:rFonts w:ascii="Tahoma" w:hAnsi="Tahoma" w:cs="Tahoma"/>
          <w:w w:val="96"/>
          <w:sz w:val="20"/>
          <w:szCs w:val="20"/>
        </w:rPr>
        <w:t xml:space="preserve"> </w:t>
      </w:r>
      <w:r w:rsidRPr="00B004EE">
        <w:rPr>
          <w:rFonts w:ascii="Tahoma" w:hAnsi="Tahoma" w:cs="Tahoma"/>
          <w:w w:val="95"/>
          <w:sz w:val="20"/>
          <w:szCs w:val="20"/>
        </w:rPr>
        <w:t>conformément</w:t>
      </w:r>
      <w:r w:rsidR="00DB1635" w:rsidRPr="00B004EE">
        <w:rPr>
          <w:rFonts w:ascii="Tahoma" w:hAnsi="Tahoma" w:cs="Tahoma"/>
          <w:w w:val="95"/>
          <w:sz w:val="20"/>
          <w:szCs w:val="20"/>
        </w:rPr>
        <w:t xml:space="preserve"> </w:t>
      </w:r>
      <w:r w:rsidRPr="00B004EE">
        <w:rPr>
          <w:rFonts w:ascii="Tahoma" w:hAnsi="Tahoma" w:cs="Tahoma"/>
          <w:w w:val="95"/>
          <w:sz w:val="20"/>
          <w:szCs w:val="20"/>
        </w:rPr>
        <w:t>à</w:t>
      </w:r>
      <w:r w:rsidR="00DB1635" w:rsidRPr="00B004EE">
        <w:rPr>
          <w:rFonts w:ascii="Tahoma" w:hAnsi="Tahoma" w:cs="Tahoma"/>
          <w:w w:val="95"/>
          <w:sz w:val="20"/>
          <w:szCs w:val="20"/>
        </w:rPr>
        <w:t xml:space="preserve"> </w:t>
      </w:r>
      <w:r w:rsidRPr="00B004EE">
        <w:rPr>
          <w:rFonts w:ascii="Tahoma" w:hAnsi="Tahoma" w:cs="Tahoma"/>
          <w:w w:val="95"/>
          <w:sz w:val="20"/>
          <w:szCs w:val="20"/>
        </w:rPr>
        <w:t>un</w:t>
      </w:r>
      <w:r w:rsidR="00DB1635" w:rsidRPr="00B004EE">
        <w:rPr>
          <w:rFonts w:ascii="Tahoma" w:hAnsi="Tahoma" w:cs="Tahoma"/>
          <w:w w:val="95"/>
          <w:sz w:val="20"/>
          <w:szCs w:val="20"/>
        </w:rPr>
        <w:t xml:space="preserve"> </w:t>
      </w:r>
      <w:r w:rsidRPr="00B004EE">
        <w:rPr>
          <w:rFonts w:ascii="Tahoma" w:hAnsi="Tahoma" w:cs="Tahoma"/>
          <w:w w:val="95"/>
          <w:sz w:val="20"/>
          <w:szCs w:val="20"/>
        </w:rPr>
        <w:t>cahier</w:t>
      </w:r>
      <w:r w:rsidR="00DB1635" w:rsidRPr="00B004EE">
        <w:rPr>
          <w:rFonts w:ascii="Tahoma" w:hAnsi="Tahoma" w:cs="Tahoma"/>
          <w:w w:val="95"/>
          <w:sz w:val="20"/>
          <w:szCs w:val="20"/>
        </w:rPr>
        <w:t xml:space="preserve"> </w:t>
      </w:r>
      <w:r w:rsidRPr="00B004EE">
        <w:rPr>
          <w:rFonts w:ascii="Tahoma" w:hAnsi="Tahoma" w:cs="Tahoma"/>
          <w:w w:val="95"/>
          <w:sz w:val="20"/>
          <w:szCs w:val="20"/>
        </w:rPr>
        <w:t>des</w:t>
      </w:r>
      <w:r w:rsidR="00DB1635" w:rsidRPr="00B004EE">
        <w:rPr>
          <w:rFonts w:ascii="Tahoma" w:hAnsi="Tahoma" w:cs="Tahoma"/>
          <w:spacing w:val="29"/>
          <w:w w:val="95"/>
          <w:sz w:val="20"/>
          <w:szCs w:val="20"/>
        </w:rPr>
        <w:t xml:space="preserve"> </w:t>
      </w:r>
      <w:r w:rsidRPr="00B004EE">
        <w:rPr>
          <w:rFonts w:ascii="Tahoma" w:hAnsi="Tahoma" w:cs="Tahoma"/>
          <w:w w:val="95"/>
          <w:sz w:val="20"/>
          <w:szCs w:val="20"/>
        </w:rPr>
        <w:t>charges.</w:t>
      </w:r>
    </w:p>
    <w:p w14:paraId="35C167D1" w14:textId="77777777" w:rsidR="001E7C3C" w:rsidRPr="00B004EE" w:rsidRDefault="001E7C3C" w:rsidP="00B004EE">
      <w:pPr>
        <w:rPr>
          <w:rFonts w:ascii="Tahoma" w:eastAsia="American Typewriter" w:hAnsi="Tahoma" w:cs="Tahoma"/>
          <w:sz w:val="20"/>
          <w:szCs w:val="20"/>
        </w:rPr>
      </w:pPr>
    </w:p>
    <w:p w14:paraId="57B896D7" w14:textId="055CEC92" w:rsidR="001E7C3C" w:rsidRPr="00B004EE" w:rsidRDefault="001E7C3C" w:rsidP="00B004EE">
      <w:pPr>
        <w:pStyle w:val="Corpsdetexte"/>
        <w:ind w:right="157"/>
        <w:rPr>
          <w:rFonts w:ascii="Tahoma" w:hAnsi="Tahoma" w:cs="Tahoma"/>
          <w:sz w:val="20"/>
          <w:szCs w:val="20"/>
        </w:rPr>
      </w:pPr>
      <w:r w:rsidRPr="00B004EE">
        <w:rPr>
          <w:rFonts w:ascii="Tahoma" w:hAnsi="Tahoma" w:cs="Tahoma"/>
          <w:sz w:val="20"/>
          <w:szCs w:val="20"/>
        </w:rPr>
        <w:t>Le</w:t>
      </w:r>
      <w:r w:rsidR="00DB1635" w:rsidRPr="00B004EE">
        <w:rPr>
          <w:rFonts w:ascii="Tahoma" w:hAnsi="Tahoma" w:cs="Tahoma"/>
          <w:spacing w:val="47"/>
          <w:sz w:val="20"/>
          <w:szCs w:val="20"/>
        </w:rPr>
        <w:t xml:space="preserve"> </w:t>
      </w:r>
      <w:r w:rsidRPr="00B004EE">
        <w:rPr>
          <w:rFonts w:ascii="Tahoma" w:hAnsi="Tahoma" w:cs="Tahoma"/>
          <w:sz w:val="20"/>
          <w:szCs w:val="20"/>
        </w:rPr>
        <w:t>cahier</w:t>
      </w:r>
      <w:r w:rsidR="00DB1635" w:rsidRPr="00B004EE">
        <w:rPr>
          <w:rFonts w:ascii="Tahoma" w:hAnsi="Tahoma" w:cs="Tahoma"/>
          <w:spacing w:val="46"/>
          <w:sz w:val="20"/>
          <w:szCs w:val="20"/>
        </w:rPr>
        <w:t xml:space="preserve"> </w:t>
      </w:r>
      <w:r w:rsidRPr="00B004EE">
        <w:rPr>
          <w:rFonts w:ascii="Tahoma" w:hAnsi="Tahoma" w:cs="Tahoma"/>
          <w:sz w:val="20"/>
          <w:szCs w:val="20"/>
        </w:rPr>
        <w:t>des</w:t>
      </w:r>
      <w:r w:rsidR="00DB1635" w:rsidRPr="00B004EE">
        <w:rPr>
          <w:rFonts w:ascii="Tahoma" w:hAnsi="Tahoma" w:cs="Tahoma"/>
          <w:spacing w:val="46"/>
          <w:sz w:val="20"/>
          <w:szCs w:val="20"/>
        </w:rPr>
        <w:t xml:space="preserve"> </w:t>
      </w:r>
      <w:r w:rsidRPr="00B004EE">
        <w:rPr>
          <w:rFonts w:ascii="Tahoma" w:hAnsi="Tahoma" w:cs="Tahoma"/>
          <w:sz w:val="20"/>
          <w:szCs w:val="20"/>
        </w:rPr>
        <w:t>charges</w:t>
      </w:r>
      <w:r w:rsidR="00DB1635" w:rsidRPr="00B004EE">
        <w:rPr>
          <w:rFonts w:ascii="Tahoma" w:hAnsi="Tahoma" w:cs="Tahoma"/>
          <w:spacing w:val="46"/>
          <w:sz w:val="20"/>
          <w:szCs w:val="20"/>
        </w:rPr>
        <w:t xml:space="preserve"> </w:t>
      </w:r>
      <w:r w:rsidRPr="00B004EE">
        <w:rPr>
          <w:rFonts w:ascii="Tahoma" w:hAnsi="Tahoma" w:cs="Tahoma"/>
          <w:sz w:val="20"/>
          <w:szCs w:val="20"/>
        </w:rPr>
        <w:t>définit</w:t>
      </w:r>
      <w:r w:rsidR="00DB1635" w:rsidRPr="00B004EE">
        <w:rPr>
          <w:rFonts w:ascii="Tahoma" w:hAnsi="Tahoma" w:cs="Tahoma"/>
          <w:spacing w:val="45"/>
          <w:sz w:val="20"/>
          <w:szCs w:val="20"/>
        </w:rPr>
        <w:t xml:space="preserve"> </w:t>
      </w:r>
      <w:r w:rsidRPr="00B004EE">
        <w:rPr>
          <w:rFonts w:ascii="Tahoma" w:hAnsi="Tahoma" w:cs="Tahoma"/>
          <w:sz w:val="20"/>
          <w:szCs w:val="20"/>
        </w:rPr>
        <w:t>les</w:t>
      </w:r>
      <w:r w:rsidR="00DB1635" w:rsidRPr="00B004EE">
        <w:rPr>
          <w:rFonts w:ascii="Tahoma" w:hAnsi="Tahoma" w:cs="Tahoma"/>
          <w:spacing w:val="45"/>
          <w:sz w:val="20"/>
          <w:szCs w:val="20"/>
        </w:rPr>
        <w:t xml:space="preserve"> </w:t>
      </w:r>
      <w:r w:rsidRPr="00B004EE">
        <w:rPr>
          <w:rFonts w:ascii="Tahoma" w:hAnsi="Tahoma" w:cs="Tahoma"/>
          <w:sz w:val="20"/>
          <w:szCs w:val="20"/>
        </w:rPr>
        <w:t>droits</w:t>
      </w:r>
      <w:r w:rsidR="00DB1635" w:rsidRPr="00B004EE">
        <w:rPr>
          <w:rFonts w:ascii="Tahoma" w:hAnsi="Tahoma" w:cs="Tahoma"/>
          <w:spacing w:val="45"/>
          <w:sz w:val="20"/>
          <w:szCs w:val="20"/>
        </w:rPr>
        <w:t xml:space="preserve"> </w:t>
      </w:r>
      <w:r w:rsidRPr="00B004EE">
        <w:rPr>
          <w:rFonts w:ascii="Tahoma" w:hAnsi="Tahoma" w:cs="Tahoma"/>
          <w:sz w:val="20"/>
          <w:szCs w:val="20"/>
        </w:rPr>
        <w:t>et</w:t>
      </w:r>
      <w:r w:rsidR="00DB1635" w:rsidRPr="00B004EE">
        <w:rPr>
          <w:rFonts w:ascii="Tahoma" w:hAnsi="Tahoma" w:cs="Tahoma"/>
          <w:spacing w:val="45"/>
          <w:sz w:val="20"/>
          <w:szCs w:val="20"/>
        </w:rPr>
        <w:t xml:space="preserve"> </w:t>
      </w:r>
      <w:r w:rsidRPr="00B004EE">
        <w:rPr>
          <w:rFonts w:ascii="Tahoma" w:hAnsi="Tahoma" w:cs="Tahoma"/>
          <w:sz w:val="20"/>
          <w:szCs w:val="20"/>
        </w:rPr>
        <w:t>obligations</w:t>
      </w:r>
      <w:r w:rsidR="00DB1635" w:rsidRPr="00B004EE">
        <w:rPr>
          <w:rFonts w:ascii="Tahoma" w:hAnsi="Tahoma" w:cs="Tahoma"/>
          <w:spacing w:val="45"/>
          <w:sz w:val="20"/>
          <w:szCs w:val="20"/>
        </w:rPr>
        <w:t xml:space="preserve"> </w:t>
      </w:r>
      <w:r w:rsidRPr="00B004EE">
        <w:rPr>
          <w:rFonts w:ascii="Tahoma" w:hAnsi="Tahoma" w:cs="Tahoma"/>
          <w:sz w:val="20"/>
          <w:szCs w:val="20"/>
        </w:rPr>
        <w:t>du</w:t>
      </w:r>
      <w:r w:rsidR="00DB1635" w:rsidRPr="00B004EE">
        <w:rPr>
          <w:rFonts w:ascii="Tahoma" w:hAnsi="Tahoma" w:cs="Tahoma"/>
          <w:spacing w:val="45"/>
          <w:sz w:val="20"/>
          <w:szCs w:val="20"/>
        </w:rPr>
        <w:t xml:space="preserve"> </w:t>
      </w:r>
      <w:r w:rsidRPr="00B004EE">
        <w:rPr>
          <w:rFonts w:ascii="Tahoma" w:hAnsi="Tahoma" w:cs="Tahoma"/>
          <w:sz w:val="20"/>
          <w:szCs w:val="20"/>
        </w:rPr>
        <w:t>concessionnaire,</w:t>
      </w:r>
      <w:r w:rsidR="00DB1635" w:rsidRPr="00B004EE">
        <w:rPr>
          <w:rFonts w:ascii="Tahoma" w:hAnsi="Tahoma" w:cs="Tahoma"/>
          <w:spacing w:val="45"/>
          <w:sz w:val="20"/>
          <w:szCs w:val="20"/>
        </w:rPr>
        <w:t xml:space="preserve"> </w:t>
      </w:r>
      <w:r w:rsidRPr="00B004EE">
        <w:rPr>
          <w:rFonts w:ascii="Tahoma" w:hAnsi="Tahoma" w:cs="Tahoma"/>
          <w:sz w:val="20"/>
          <w:szCs w:val="20"/>
        </w:rPr>
        <w:t>les</w:t>
      </w:r>
      <w:r w:rsidR="00DB1635" w:rsidRPr="00B004EE">
        <w:rPr>
          <w:rFonts w:ascii="Tahoma" w:hAnsi="Tahoma" w:cs="Tahoma"/>
          <w:w w:val="94"/>
          <w:sz w:val="20"/>
          <w:szCs w:val="20"/>
        </w:rPr>
        <w:t xml:space="preserve"> </w:t>
      </w:r>
      <w:r w:rsidRPr="00B004EE">
        <w:rPr>
          <w:rFonts w:ascii="Tahoma" w:hAnsi="Tahoma" w:cs="Tahoma"/>
          <w:sz w:val="20"/>
          <w:szCs w:val="20"/>
        </w:rPr>
        <w:t>mécanismes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suivi-évaluation</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eastAsia="American Typewriter" w:hAnsi="Tahoma" w:cs="Tahoma"/>
          <w:sz w:val="20"/>
          <w:szCs w:val="20"/>
        </w:rPr>
        <w:t>sa</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mise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en</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œuvre</w:t>
      </w:r>
      <w:r w:rsidR="00DB1635" w:rsidRPr="00B004EE">
        <w:rPr>
          <w:rFonts w:ascii="Tahoma" w:eastAsia="American Typewriter"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porte</w:t>
      </w:r>
      <w:r w:rsidR="00DB1635" w:rsidRPr="00B004EE">
        <w:rPr>
          <w:rFonts w:ascii="Tahoma" w:hAnsi="Tahoma" w:cs="Tahoma"/>
          <w:sz w:val="20"/>
          <w:szCs w:val="20"/>
        </w:rPr>
        <w:t xml:space="preserve"> </w:t>
      </w:r>
      <w:r w:rsidRPr="00B004EE">
        <w:rPr>
          <w:rFonts w:ascii="Tahoma" w:hAnsi="Tahoma" w:cs="Tahoma"/>
          <w:sz w:val="20"/>
          <w:szCs w:val="20"/>
        </w:rPr>
        <w:t>notamment</w:t>
      </w:r>
      <w:r w:rsidR="00DB1635" w:rsidRPr="00B004EE">
        <w:rPr>
          <w:rFonts w:ascii="Tahoma" w:hAnsi="Tahoma" w:cs="Tahoma"/>
          <w:sz w:val="20"/>
          <w:szCs w:val="20"/>
        </w:rPr>
        <w:t xml:space="preserve"> </w:t>
      </w:r>
      <w:r w:rsidRPr="00B004EE">
        <w:rPr>
          <w:rFonts w:ascii="Tahoma" w:hAnsi="Tahoma" w:cs="Tahoma"/>
          <w:sz w:val="20"/>
          <w:szCs w:val="20"/>
        </w:rPr>
        <w:t>sur</w:t>
      </w:r>
      <w:r w:rsidR="00DB1635" w:rsidRPr="00B004EE">
        <w:rPr>
          <w:rFonts w:ascii="Tahoma" w:hAnsi="Tahoma" w:cs="Tahoma"/>
          <w:spacing w:val="-6"/>
          <w:sz w:val="20"/>
          <w:szCs w:val="20"/>
        </w:rPr>
        <w:t xml:space="preserve"> </w:t>
      </w:r>
      <w:r w:rsidRPr="00B004EE">
        <w:rPr>
          <w:rFonts w:ascii="Tahoma" w:hAnsi="Tahoma" w:cs="Tahoma"/>
          <w:sz w:val="20"/>
          <w:szCs w:val="20"/>
        </w:rPr>
        <w:t>les</w:t>
      </w:r>
      <w:r w:rsidR="00DB1635" w:rsidRPr="00B004EE">
        <w:rPr>
          <w:rFonts w:ascii="Tahoma" w:hAnsi="Tahoma" w:cs="Tahoma"/>
          <w:w w:val="94"/>
          <w:sz w:val="20"/>
          <w:szCs w:val="20"/>
        </w:rPr>
        <w:t xml:space="preserve"> </w:t>
      </w:r>
      <w:r w:rsidRPr="00B004EE">
        <w:rPr>
          <w:rFonts w:ascii="Tahoma" w:hAnsi="Tahoma" w:cs="Tahoma"/>
          <w:sz w:val="20"/>
          <w:szCs w:val="20"/>
        </w:rPr>
        <w:t>conditions</w:t>
      </w:r>
      <w:r w:rsidR="00DB1635" w:rsidRPr="00B004EE">
        <w:rPr>
          <w:rFonts w:ascii="Tahoma" w:hAnsi="Tahoma" w:cs="Tahoma"/>
          <w:sz w:val="20"/>
          <w:szCs w:val="20"/>
        </w:rPr>
        <w:t xml:space="preserve"> </w:t>
      </w:r>
      <w:r w:rsidRPr="00B004EE">
        <w:rPr>
          <w:rFonts w:ascii="Tahoma" w:hAnsi="Tahoma" w:cs="Tahoma"/>
          <w:sz w:val="20"/>
          <w:szCs w:val="20"/>
        </w:rPr>
        <w:t>techniques,</w:t>
      </w:r>
      <w:r w:rsidR="00DB1635" w:rsidRPr="00B004EE">
        <w:rPr>
          <w:rFonts w:ascii="Tahoma" w:hAnsi="Tahoma" w:cs="Tahoma"/>
          <w:sz w:val="20"/>
          <w:szCs w:val="20"/>
        </w:rPr>
        <w:t xml:space="preserve"> </w:t>
      </w:r>
      <w:r w:rsidRPr="00B004EE">
        <w:rPr>
          <w:rFonts w:ascii="Tahoma" w:hAnsi="Tahoma" w:cs="Tahoma"/>
          <w:sz w:val="20"/>
          <w:szCs w:val="20"/>
        </w:rPr>
        <w:t>administratives,</w:t>
      </w:r>
      <w:r w:rsidR="00DB1635" w:rsidRPr="00B004EE">
        <w:rPr>
          <w:rFonts w:ascii="Tahoma" w:hAnsi="Tahoma" w:cs="Tahoma"/>
          <w:sz w:val="20"/>
          <w:szCs w:val="20"/>
        </w:rPr>
        <w:t xml:space="preserve"> </w:t>
      </w:r>
      <w:r w:rsidRPr="00B004EE">
        <w:rPr>
          <w:rFonts w:ascii="Tahoma" w:hAnsi="Tahoma" w:cs="Tahoma"/>
          <w:sz w:val="20"/>
          <w:szCs w:val="20"/>
        </w:rPr>
        <w:t>sociales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financières</w:t>
      </w:r>
      <w:r w:rsidR="00DB1635" w:rsidRPr="00B004EE">
        <w:rPr>
          <w:rFonts w:ascii="Tahoma" w:hAnsi="Tahoma" w:cs="Tahoma"/>
          <w:sz w:val="20"/>
          <w:szCs w:val="20"/>
        </w:rPr>
        <w:t xml:space="preserve"> </w:t>
      </w:r>
      <w:r w:rsidRPr="00B004EE">
        <w:rPr>
          <w:rFonts w:ascii="Tahoma" w:hAnsi="Tahoma" w:cs="Tahoma"/>
          <w:sz w:val="20"/>
          <w:szCs w:val="20"/>
        </w:rPr>
        <w:t>relatives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pacing w:val="24"/>
          <w:sz w:val="20"/>
          <w:szCs w:val="20"/>
        </w:rPr>
        <w:t xml:space="preserve"> </w:t>
      </w:r>
      <w:r w:rsidRPr="00B004EE">
        <w:rPr>
          <w:rFonts w:ascii="Tahoma" w:hAnsi="Tahoma" w:cs="Tahoma"/>
          <w:sz w:val="20"/>
          <w:szCs w:val="20"/>
        </w:rPr>
        <w:t>la</w:t>
      </w:r>
      <w:r w:rsidR="00DB1635" w:rsidRPr="00B004EE">
        <w:rPr>
          <w:rFonts w:ascii="Tahoma" w:hAnsi="Tahoma" w:cs="Tahoma"/>
          <w:w w:val="98"/>
          <w:sz w:val="20"/>
          <w:szCs w:val="20"/>
        </w:rPr>
        <w:t xml:space="preserve"> </w:t>
      </w:r>
      <w:r w:rsidRPr="00B004EE">
        <w:rPr>
          <w:rFonts w:ascii="Tahoma" w:eastAsia="American Typewriter" w:hAnsi="Tahoma" w:cs="Tahoma"/>
          <w:sz w:val="20"/>
          <w:szCs w:val="20"/>
        </w:rPr>
        <w:t>pêcherie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ciblée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ainsi</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qu’aux</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quantités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fixées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dans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le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cadre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des</w:t>
      </w:r>
      <w:r w:rsidR="00DB1635" w:rsidRPr="00B004EE">
        <w:rPr>
          <w:rFonts w:ascii="Tahoma" w:eastAsia="American Typewriter" w:hAnsi="Tahoma" w:cs="Tahoma"/>
          <w:spacing w:val="20"/>
          <w:sz w:val="20"/>
          <w:szCs w:val="20"/>
        </w:rPr>
        <w:t xml:space="preserve"> </w:t>
      </w:r>
      <w:r w:rsidRPr="00B004EE">
        <w:rPr>
          <w:rFonts w:ascii="Tahoma" w:eastAsia="American Typewriter" w:hAnsi="Tahoma" w:cs="Tahoma"/>
          <w:sz w:val="20"/>
          <w:szCs w:val="20"/>
        </w:rPr>
        <w:t>plafonds</w:t>
      </w:r>
      <w:r w:rsidR="00DB1635" w:rsidRPr="00B004EE">
        <w:rPr>
          <w:rFonts w:ascii="Tahoma" w:eastAsia="American Typewriter" w:hAnsi="Tahoma" w:cs="Tahoma"/>
          <w:w w:val="94"/>
          <w:sz w:val="20"/>
          <w:szCs w:val="20"/>
        </w:rPr>
        <w:t xml:space="preserve"> </w:t>
      </w:r>
      <w:r w:rsidRPr="00B004EE">
        <w:rPr>
          <w:rFonts w:ascii="Tahoma" w:eastAsia="American Typewriter" w:hAnsi="Tahoma" w:cs="Tahoma"/>
          <w:sz w:val="20"/>
          <w:szCs w:val="20"/>
        </w:rPr>
        <w:t>conformément</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aux</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mesures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définies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par</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les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plans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d’aménagement</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ou</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pacing w:val="17"/>
          <w:sz w:val="20"/>
          <w:szCs w:val="20"/>
        </w:rPr>
        <w:t xml:space="preserve"> </w:t>
      </w:r>
      <w:r w:rsidRPr="00B004EE">
        <w:rPr>
          <w:rFonts w:ascii="Tahoma" w:eastAsia="American Typewriter" w:hAnsi="Tahoma" w:cs="Tahoma"/>
          <w:sz w:val="20"/>
          <w:szCs w:val="20"/>
        </w:rPr>
        <w:t>gestion</w:t>
      </w:r>
      <w:r w:rsidR="00DB1635" w:rsidRPr="00B004EE">
        <w:rPr>
          <w:rFonts w:ascii="Tahoma" w:eastAsia="American Typewriter" w:hAnsi="Tahoma" w:cs="Tahoma"/>
          <w:w w:val="93"/>
          <w:sz w:val="20"/>
          <w:szCs w:val="20"/>
        </w:rPr>
        <w:t xml:space="preserve"> </w:t>
      </w:r>
      <w:r w:rsidRPr="00B004EE">
        <w:rPr>
          <w:rFonts w:ascii="Tahoma" w:hAnsi="Tahoma" w:cs="Tahoma"/>
          <w:sz w:val="20"/>
          <w:szCs w:val="20"/>
        </w:rPr>
        <w:t>des</w:t>
      </w:r>
      <w:r w:rsidR="00DB1635" w:rsidRPr="00B004EE">
        <w:rPr>
          <w:rFonts w:ascii="Tahoma" w:hAnsi="Tahoma" w:cs="Tahoma"/>
          <w:spacing w:val="-33"/>
          <w:sz w:val="20"/>
          <w:szCs w:val="20"/>
        </w:rPr>
        <w:t xml:space="preserve"> </w:t>
      </w:r>
      <w:r w:rsidRPr="00B004EE">
        <w:rPr>
          <w:rFonts w:ascii="Tahoma" w:hAnsi="Tahoma" w:cs="Tahoma"/>
          <w:sz w:val="20"/>
          <w:szCs w:val="20"/>
        </w:rPr>
        <w:t>pêcheries.</w:t>
      </w:r>
      <w:r w:rsidR="00DB1635" w:rsidRPr="00B004EE">
        <w:rPr>
          <w:rFonts w:ascii="Tahoma" w:hAnsi="Tahoma" w:cs="Tahoma"/>
          <w:spacing w:val="-33"/>
          <w:sz w:val="20"/>
          <w:szCs w:val="20"/>
        </w:rPr>
        <w:t xml:space="preserve"> </w:t>
      </w:r>
      <w:r w:rsidRPr="00B004EE">
        <w:rPr>
          <w:rFonts w:ascii="Tahoma" w:hAnsi="Tahoma" w:cs="Tahoma"/>
          <w:sz w:val="20"/>
          <w:szCs w:val="20"/>
        </w:rPr>
        <w:t>Il</w:t>
      </w:r>
      <w:r w:rsidR="00DB1635" w:rsidRPr="00B004EE">
        <w:rPr>
          <w:rFonts w:ascii="Tahoma" w:hAnsi="Tahoma" w:cs="Tahoma"/>
          <w:spacing w:val="-32"/>
          <w:sz w:val="20"/>
          <w:szCs w:val="20"/>
        </w:rPr>
        <w:t xml:space="preserve"> </w:t>
      </w:r>
      <w:r w:rsidRPr="00B004EE">
        <w:rPr>
          <w:rFonts w:ascii="Tahoma" w:hAnsi="Tahoma" w:cs="Tahoma"/>
          <w:sz w:val="20"/>
          <w:szCs w:val="20"/>
        </w:rPr>
        <w:t>prévoit</w:t>
      </w:r>
      <w:r w:rsidR="00DB1635" w:rsidRPr="00B004EE">
        <w:rPr>
          <w:rFonts w:ascii="Tahoma" w:hAnsi="Tahoma" w:cs="Tahoma"/>
          <w:spacing w:val="-32"/>
          <w:sz w:val="20"/>
          <w:szCs w:val="20"/>
        </w:rPr>
        <w:t xml:space="preserve"> </w:t>
      </w:r>
      <w:r w:rsidRPr="00B004EE">
        <w:rPr>
          <w:rFonts w:ascii="Tahoma" w:hAnsi="Tahoma" w:cs="Tahoma"/>
          <w:sz w:val="20"/>
          <w:szCs w:val="20"/>
        </w:rPr>
        <w:t>les</w:t>
      </w:r>
      <w:r w:rsidR="00DB1635" w:rsidRPr="00B004EE">
        <w:rPr>
          <w:rFonts w:ascii="Tahoma" w:hAnsi="Tahoma" w:cs="Tahoma"/>
          <w:spacing w:val="-33"/>
          <w:sz w:val="20"/>
          <w:szCs w:val="20"/>
        </w:rPr>
        <w:t xml:space="preserve"> </w:t>
      </w:r>
      <w:r w:rsidRPr="00B004EE">
        <w:rPr>
          <w:rFonts w:ascii="Tahoma" w:hAnsi="Tahoma" w:cs="Tahoma"/>
          <w:sz w:val="20"/>
          <w:szCs w:val="20"/>
        </w:rPr>
        <w:t>mesures</w:t>
      </w:r>
      <w:r w:rsidR="00DB1635" w:rsidRPr="00B004EE">
        <w:rPr>
          <w:rFonts w:ascii="Tahoma" w:hAnsi="Tahoma" w:cs="Tahoma"/>
          <w:spacing w:val="-33"/>
          <w:sz w:val="20"/>
          <w:szCs w:val="20"/>
        </w:rPr>
        <w:t xml:space="preserve"> </w:t>
      </w:r>
      <w:r w:rsidRPr="00B004EE">
        <w:rPr>
          <w:rFonts w:ascii="Tahoma" w:hAnsi="Tahoma" w:cs="Tahoma"/>
          <w:sz w:val="20"/>
          <w:szCs w:val="20"/>
        </w:rPr>
        <w:t>appropriées</w:t>
      </w:r>
      <w:r w:rsidR="00DB1635" w:rsidRPr="00B004EE">
        <w:rPr>
          <w:rFonts w:ascii="Tahoma" w:hAnsi="Tahoma" w:cs="Tahoma"/>
          <w:spacing w:val="-33"/>
          <w:sz w:val="20"/>
          <w:szCs w:val="20"/>
        </w:rPr>
        <w:t xml:space="preserve"> </w:t>
      </w:r>
      <w:r w:rsidRPr="00B004EE">
        <w:rPr>
          <w:rFonts w:ascii="Tahoma" w:hAnsi="Tahoma" w:cs="Tahoma"/>
          <w:sz w:val="20"/>
          <w:szCs w:val="20"/>
        </w:rPr>
        <w:t>en</w:t>
      </w:r>
      <w:r w:rsidR="00DB1635" w:rsidRPr="00B004EE">
        <w:rPr>
          <w:rFonts w:ascii="Tahoma" w:hAnsi="Tahoma" w:cs="Tahoma"/>
          <w:spacing w:val="-33"/>
          <w:sz w:val="20"/>
          <w:szCs w:val="20"/>
        </w:rPr>
        <w:t xml:space="preserve"> </w:t>
      </w:r>
      <w:r w:rsidRPr="00B004EE">
        <w:rPr>
          <w:rFonts w:ascii="Tahoma" w:hAnsi="Tahoma" w:cs="Tahoma"/>
          <w:sz w:val="20"/>
          <w:szCs w:val="20"/>
        </w:rPr>
        <w:t>cas</w:t>
      </w:r>
      <w:r w:rsidR="00DB1635" w:rsidRPr="00B004EE">
        <w:rPr>
          <w:rFonts w:ascii="Tahoma" w:hAnsi="Tahoma" w:cs="Tahoma"/>
          <w:spacing w:val="-33"/>
          <w:sz w:val="20"/>
          <w:szCs w:val="20"/>
        </w:rPr>
        <w:t xml:space="preserve"> </w:t>
      </w:r>
      <w:r w:rsidRPr="00B004EE">
        <w:rPr>
          <w:rFonts w:ascii="Tahoma" w:hAnsi="Tahoma" w:cs="Tahoma"/>
          <w:sz w:val="20"/>
          <w:szCs w:val="20"/>
        </w:rPr>
        <w:t>de</w:t>
      </w:r>
      <w:r w:rsidR="00DB1635" w:rsidRPr="00B004EE">
        <w:rPr>
          <w:rFonts w:ascii="Tahoma" w:hAnsi="Tahoma" w:cs="Tahoma"/>
          <w:spacing w:val="-33"/>
          <w:sz w:val="20"/>
          <w:szCs w:val="20"/>
        </w:rPr>
        <w:t xml:space="preserve"> </w:t>
      </w:r>
      <w:r w:rsidRPr="00B004EE">
        <w:rPr>
          <w:rFonts w:ascii="Tahoma" w:hAnsi="Tahoma" w:cs="Tahoma"/>
          <w:sz w:val="20"/>
          <w:szCs w:val="20"/>
        </w:rPr>
        <w:t>manquement.</w:t>
      </w:r>
    </w:p>
    <w:p w14:paraId="5F7F8EBE" w14:textId="77777777" w:rsidR="001E7C3C" w:rsidRPr="00B004EE" w:rsidRDefault="001E7C3C" w:rsidP="00B004EE">
      <w:pPr>
        <w:jc w:val="both"/>
        <w:rPr>
          <w:rFonts w:ascii="Tahoma" w:hAnsi="Tahoma" w:cs="Tahoma"/>
          <w:sz w:val="20"/>
          <w:szCs w:val="20"/>
        </w:rPr>
      </w:pPr>
    </w:p>
    <w:p w14:paraId="3B940AA8" w14:textId="6D8A3B2D" w:rsidR="001E7C3C" w:rsidRPr="00B004EE" w:rsidRDefault="001E7C3C" w:rsidP="00B004EE">
      <w:pPr>
        <w:pStyle w:val="Corpsdetexte"/>
        <w:ind w:right="163"/>
        <w:rPr>
          <w:rFonts w:ascii="Tahoma" w:hAnsi="Tahoma" w:cs="Tahoma"/>
          <w:sz w:val="20"/>
          <w:szCs w:val="20"/>
        </w:rPr>
      </w:pP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contrat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concession</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établi</w:t>
      </w:r>
      <w:r w:rsidR="00DB1635" w:rsidRPr="00B004EE">
        <w:rPr>
          <w:rFonts w:ascii="Tahoma" w:hAnsi="Tahoma" w:cs="Tahoma"/>
          <w:sz w:val="20"/>
          <w:szCs w:val="20"/>
        </w:rPr>
        <w:t xml:space="preserve"> </w:t>
      </w:r>
      <w:r w:rsidRPr="00B004EE">
        <w:rPr>
          <w:rFonts w:ascii="Tahoma" w:hAnsi="Tahoma" w:cs="Tahoma"/>
          <w:sz w:val="20"/>
          <w:szCs w:val="20"/>
        </w:rPr>
        <w:t>selon</w:t>
      </w:r>
      <w:r w:rsidR="00DB1635" w:rsidRPr="00B004EE">
        <w:rPr>
          <w:rFonts w:ascii="Tahoma" w:hAnsi="Tahoma" w:cs="Tahoma"/>
          <w:sz w:val="20"/>
          <w:szCs w:val="20"/>
        </w:rPr>
        <w:t xml:space="preserve"> </w:t>
      </w: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modèle</w:t>
      </w:r>
      <w:r w:rsidR="00DB1635" w:rsidRPr="00B004EE">
        <w:rPr>
          <w:rFonts w:ascii="Tahoma" w:hAnsi="Tahoma" w:cs="Tahoma"/>
          <w:sz w:val="20"/>
          <w:szCs w:val="20"/>
        </w:rPr>
        <w:t xml:space="preserve"> </w:t>
      </w:r>
      <w:r w:rsidRPr="00B004EE">
        <w:rPr>
          <w:rFonts w:ascii="Tahoma" w:hAnsi="Tahoma" w:cs="Tahoma"/>
          <w:sz w:val="20"/>
          <w:szCs w:val="20"/>
        </w:rPr>
        <w:t>approuvé</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arrêté</w:t>
      </w:r>
      <w:r w:rsidR="00DB1635" w:rsidRPr="00B004EE">
        <w:rPr>
          <w:rFonts w:ascii="Tahoma" w:hAnsi="Tahoma" w:cs="Tahoma"/>
          <w:spacing w:val="-21"/>
          <w:sz w:val="20"/>
          <w:szCs w:val="20"/>
        </w:rPr>
        <w:t xml:space="preserve"> </w:t>
      </w:r>
      <w:r w:rsidRPr="00B004EE">
        <w:rPr>
          <w:rFonts w:ascii="Tahoma" w:hAnsi="Tahoma" w:cs="Tahoma"/>
          <w:sz w:val="20"/>
          <w:szCs w:val="20"/>
        </w:rPr>
        <w:t>du</w:t>
      </w:r>
      <w:r w:rsidR="00DB1635" w:rsidRPr="00B004EE">
        <w:rPr>
          <w:rFonts w:ascii="Tahoma" w:hAnsi="Tahoma" w:cs="Tahoma"/>
          <w:w w:val="98"/>
          <w:sz w:val="20"/>
          <w:szCs w:val="20"/>
        </w:rPr>
        <w:t xml:space="preserve"> </w:t>
      </w:r>
      <w:r w:rsidRPr="00B004EE">
        <w:rPr>
          <w:rFonts w:ascii="Tahoma" w:hAnsi="Tahoma" w:cs="Tahoma"/>
          <w:w w:val="95"/>
          <w:sz w:val="20"/>
          <w:szCs w:val="20"/>
        </w:rPr>
        <w:t>ministre</w:t>
      </w:r>
      <w:r w:rsidR="00DB1635" w:rsidRPr="00B004EE">
        <w:rPr>
          <w:rFonts w:ascii="Tahoma" w:hAnsi="Tahoma" w:cs="Tahoma"/>
          <w:w w:val="95"/>
          <w:sz w:val="20"/>
          <w:szCs w:val="20"/>
        </w:rPr>
        <w:t xml:space="preserve"> </w:t>
      </w:r>
      <w:r w:rsidRPr="00B004EE">
        <w:rPr>
          <w:rFonts w:ascii="Tahoma" w:hAnsi="Tahoma" w:cs="Tahoma"/>
          <w:w w:val="95"/>
          <w:sz w:val="20"/>
          <w:szCs w:val="20"/>
        </w:rPr>
        <w:t>chargé</w:t>
      </w:r>
      <w:r w:rsidR="00DB1635" w:rsidRPr="00B004EE">
        <w:rPr>
          <w:rFonts w:ascii="Tahoma" w:hAnsi="Tahoma" w:cs="Tahoma"/>
          <w:w w:val="95"/>
          <w:sz w:val="20"/>
          <w:szCs w:val="20"/>
        </w:rPr>
        <w:t xml:space="preserve"> </w:t>
      </w:r>
      <w:r w:rsidRPr="00B004EE">
        <w:rPr>
          <w:rFonts w:ascii="Tahoma" w:hAnsi="Tahoma" w:cs="Tahoma"/>
          <w:w w:val="95"/>
          <w:sz w:val="20"/>
          <w:szCs w:val="20"/>
        </w:rPr>
        <w:t>des</w:t>
      </w:r>
      <w:r w:rsidR="00DB1635" w:rsidRPr="00B004EE">
        <w:rPr>
          <w:rFonts w:ascii="Tahoma" w:hAnsi="Tahoma" w:cs="Tahoma"/>
          <w:spacing w:val="13"/>
          <w:w w:val="95"/>
          <w:sz w:val="20"/>
          <w:szCs w:val="20"/>
        </w:rPr>
        <w:t xml:space="preserve"> </w:t>
      </w:r>
      <w:r w:rsidRPr="00B004EE">
        <w:rPr>
          <w:rFonts w:ascii="Tahoma" w:hAnsi="Tahoma" w:cs="Tahoma"/>
          <w:w w:val="95"/>
          <w:sz w:val="20"/>
          <w:szCs w:val="20"/>
        </w:rPr>
        <w:t>pêches.</w:t>
      </w:r>
    </w:p>
    <w:p w14:paraId="39699DA2" w14:textId="77777777" w:rsidR="001E7C3C" w:rsidRPr="00B004EE" w:rsidRDefault="001E7C3C" w:rsidP="00B004EE">
      <w:pPr>
        <w:rPr>
          <w:rFonts w:ascii="Tahoma" w:eastAsia="American Typewriter" w:hAnsi="Tahoma" w:cs="Tahoma"/>
          <w:sz w:val="20"/>
          <w:szCs w:val="20"/>
        </w:rPr>
      </w:pPr>
    </w:p>
    <w:p w14:paraId="23D11816" w14:textId="03699427" w:rsidR="001E7C3C" w:rsidRPr="00B004EE" w:rsidRDefault="001E7C3C" w:rsidP="00B004EE">
      <w:pPr>
        <w:pStyle w:val="Corpsdetexte"/>
        <w:ind w:right="158"/>
        <w:rPr>
          <w:rFonts w:ascii="Tahoma" w:hAnsi="Tahoma" w:cs="Tahoma"/>
          <w:sz w:val="20"/>
          <w:szCs w:val="20"/>
        </w:rPr>
      </w:pPr>
      <w:r w:rsidRPr="00B004EE">
        <w:rPr>
          <w:rFonts w:ascii="Tahoma" w:eastAsia="American Typewriter" w:hAnsi="Tahoma" w:cs="Tahoma"/>
          <w:sz w:val="20"/>
          <w:szCs w:val="20"/>
        </w:rPr>
        <w:t>Article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28</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w:t>
      </w:r>
      <w:r w:rsidR="00DB1635" w:rsidRPr="00B004EE">
        <w:rPr>
          <w:rFonts w:ascii="Tahoma" w:eastAsia="American Typewriter" w:hAnsi="Tahoma" w:cs="Tahoma"/>
          <w:b/>
          <w:bCs/>
          <w:spacing w:val="-16"/>
          <w:sz w:val="20"/>
          <w:szCs w:val="20"/>
        </w:rPr>
        <w:t xml:space="preserve"> </w:t>
      </w:r>
      <w:r w:rsidRPr="00B004EE">
        <w:rPr>
          <w:rFonts w:ascii="Tahoma" w:eastAsia="American Typewriter" w:hAnsi="Tahoma" w:cs="Tahoma"/>
          <w:sz w:val="20"/>
          <w:szCs w:val="20"/>
        </w:rPr>
        <w:t>Les</w:t>
      </w:r>
      <w:r w:rsidR="00DB1635" w:rsidRPr="00B004EE">
        <w:rPr>
          <w:rFonts w:ascii="Tahoma" w:eastAsia="American Typewriter" w:hAnsi="Tahoma" w:cs="Tahoma"/>
          <w:spacing w:val="-19"/>
          <w:sz w:val="20"/>
          <w:szCs w:val="20"/>
        </w:rPr>
        <w:t xml:space="preserve"> </w:t>
      </w:r>
      <w:r w:rsidRPr="00B004EE">
        <w:rPr>
          <w:rFonts w:ascii="Tahoma" w:eastAsia="American Typewriter" w:hAnsi="Tahoma" w:cs="Tahoma"/>
          <w:sz w:val="20"/>
          <w:szCs w:val="20"/>
        </w:rPr>
        <w:t>supports</w:t>
      </w:r>
      <w:r w:rsidR="00DB1635" w:rsidRPr="00B004EE">
        <w:rPr>
          <w:rFonts w:ascii="Tahoma" w:eastAsia="American Typewriter" w:hAnsi="Tahoma" w:cs="Tahoma"/>
          <w:spacing w:val="-19"/>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pacing w:val="-19"/>
          <w:sz w:val="20"/>
          <w:szCs w:val="20"/>
        </w:rPr>
        <w:t xml:space="preserve"> </w:t>
      </w:r>
      <w:r w:rsidRPr="00B004EE">
        <w:rPr>
          <w:rFonts w:ascii="Tahoma" w:eastAsia="American Typewriter" w:hAnsi="Tahoma" w:cs="Tahoma"/>
          <w:sz w:val="20"/>
          <w:szCs w:val="20"/>
        </w:rPr>
        <w:t>droits</w:t>
      </w:r>
      <w:r w:rsidR="00DB1635" w:rsidRPr="00B004EE">
        <w:rPr>
          <w:rFonts w:ascii="Tahoma" w:eastAsia="American Typewriter" w:hAnsi="Tahoma" w:cs="Tahoma"/>
          <w:spacing w:val="-19"/>
          <w:sz w:val="20"/>
          <w:szCs w:val="20"/>
        </w:rPr>
        <w:t xml:space="preserve"> </w:t>
      </w:r>
      <w:r w:rsidRPr="00B004EE">
        <w:rPr>
          <w:rFonts w:ascii="Tahoma" w:eastAsia="American Typewriter" w:hAnsi="Tahoma" w:cs="Tahoma"/>
          <w:sz w:val="20"/>
          <w:szCs w:val="20"/>
        </w:rPr>
        <w:t>d’usages</w:t>
      </w:r>
      <w:r w:rsidR="00DB1635" w:rsidRPr="00B004EE">
        <w:rPr>
          <w:rFonts w:ascii="Tahoma" w:eastAsia="American Typewriter" w:hAnsi="Tahoma" w:cs="Tahoma"/>
          <w:spacing w:val="-19"/>
          <w:sz w:val="20"/>
          <w:szCs w:val="20"/>
        </w:rPr>
        <w:t xml:space="preserve"> </w:t>
      </w:r>
      <w:r w:rsidRPr="00B004EE">
        <w:rPr>
          <w:rFonts w:ascii="Tahoma" w:eastAsia="American Typewriter" w:hAnsi="Tahoma" w:cs="Tahoma"/>
          <w:sz w:val="20"/>
          <w:szCs w:val="20"/>
        </w:rPr>
        <w:t>susceptibles</w:t>
      </w:r>
      <w:r w:rsidR="00DB1635" w:rsidRPr="00B004EE">
        <w:rPr>
          <w:rFonts w:ascii="Tahoma" w:eastAsia="American Typewriter" w:hAnsi="Tahoma" w:cs="Tahoma"/>
          <w:spacing w:val="-19"/>
          <w:sz w:val="20"/>
          <w:szCs w:val="20"/>
        </w:rPr>
        <w:t xml:space="preserve"> </w:t>
      </w:r>
      <w:r w:rsidRPr="00B004EE">
        <w:rPr>
          <w:rFonts w:ascii="Tahoma" w:eastAsia="American Typewriter" w:hAnsi="Tahoma" w:cs="Tahoma"/>
          <w:sz w:val="20"/>
          <w:szCs w:val="20"/>
        </w:rPr>
        <w:t>d'être</w:t>
      </w:r>
      <w:r w:rsidR="00DB1635" w:rsidRPr="00B004EE">
        <w:rPr>
          <w:rFonts w:ascii="Tahoma" w:eastAsia="American Typewriter" w:hAnsi="Tahoma" w:cs="Tahoma"/>
          <w:spacing w:val="-19"/>
          <w:sz w:val="20"/>
          <w:szCs w:val="20"/>
        </w:rPr>
        <w:t xml:space="preserve"> </w:t>
      </w:r>
      <w:r w:rsidRPr="00B004EE">
        <w:rPr>
          <w:rFonts w:ascii="Tahoma" w:eastAsia="American Typewriter" w:hAnsi="Tahoma" w:cs="Tahoma"/>
          <w:sz w:val="20"/>
          <w:szCs w:val="20"/>
        </w:rPr>
        <w:t>concédés</w:t>
      </w:r>
      <w:r w:rsidR="00DB1635" w:rsidRPr="00B004EE">
        <w:rPr>
          <w:rFonts w:ascii="Tahoma" w:eastAsia="American Typewriter" w:hAnsi="Tahoma" w:cs="Tahoma"/>
          <w:spacing w:val="-19"/>
          <w:sz w:val="20"/>
          <w:szCs w:val="20"/>
        </w:rPr>
        <w:t xml:space="preserve"> </w:t>
      </w:r>
      <w:r w:rsidRPr="00B004EE">
        <w:rPr>
          <w:rFonts w:ascii="Tahoma" w:eastAsia="American Typewriter" w:hAnsi="Tahoma" w:cs="Tahoma"/>
          <w:sz w:val="20"/>
          <w:szCs w:val="20"/>
        </w:rPr>
        <w:t>par</w:t>
      </w:r>
      <w:r w:rsidR="00DB1635" w:rsidRPr="00B004EE">
        <w:rPr>
          <w:rFonts w:ascii="Tahoma" w:eastAsia="American Typewriter" w:hAnsi="Tahoma" w:cs="Tahoma"/>
          <w:spacing w:val="-19"/>
          <w:sz w:val="20"/>
          <w:szCs w:val="20"/>
        </w:rPr>
        <w:t xml:space="preserve"> </w:t>
      </w:r>
      <w:r w:rsidRPr="00B004EE">
        <w:rPr>
          <w:rFonts w:ascii="Tahoma" w:eastAsia="American Typewriter" w:hAnsi="Tahoma" w:cs="Tahoma"/>
          <w:sz w:val="20"/>
          <w:szCs w:val="20"/>
        </w:rPr>
        <w:t>l’É</w:t>
      </w:r>
      <w:r w:rsidRPr="00B004EE">
        <w:rPr>
          <w:rFonts w:ascii="Tahoma" w:eastAsia="American Typewriter" w:hAnsi="Tahoma" w:cs="Tahoma"/>
          <w:b/>
          <w:bCs/>
          <w:sz w:val="20"/>
          <w:szCs w:val="20"/>
        </w:rPr>
        <w:t>t</w:t>
      </w:r>
      <w:r w:rsidRPr="00B004EE">
        <w:rPr>
          <w:rFonts w:ascii="Tahoma" w:hAnsi="Tahoma" w:cs="Tahoma"/>
          <w:sz w:val="20"/>
          <w:szCs w:val="20"/>
        </w:rPr>
        <w:t>at</w:t>
      </w:r>
      <w:r w:rsidR="00DB1635" w:rsidRPr="00B004EE">
        <w:rPr>
          <w:rFonts w:ascii="Tahoma" w:hAnsi="Tahoma" w:cs="Tahoma"/>
          <w:w w:val="97"/>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réguler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taux</w:t>
      </w:r>
      <w:r w:rsidR="00DB1635" w:rsidRPr="00B004EE">
        <w:rPr>
          <w:rFonts w:ascii="Tahoma" w:hAnsi="Tahoma" w:cs="Tahoma"/>
          <w:sz w:val="20"/>
          <w:szCs w:val="20"/>
        </w:rPr>
        <w:t xml:space="preserve"> </w:t>
      </w:r>
      <w:r w:rsidRPr="00B004EE">
        <w:rPr>
          <w:rFonts w:ascii="Tahoma" w:hAnsi="Tahoma" w:cs="Tahoma"/>
          <w:sz w:val="20"/>
          <w:szCs w:val="20"/>
        </w:rPr>
        <w:t>d'exploitation</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droits</w:t>
      </w:r>
      <w:r w:rsidR="00DB1635" w:rsidRPr="00B004EE">
        <w:rPr>
          <w:rFonts w:ascii="Tahoma" w:hAnsi="Tahoma" w:cs="Tahoma"/>
          <w:sz w:val="20"/>
          <w:szCs w:val="20"/>
        </w:rPr>
        <w:t xml:space="preserve"> </w:t>
      </w:r>
      <w:r w:rsidRPr="00B004EE">
        <w:rPr>
          <w:rFonts w:ascii="Tahoma" w:hAnsi="Tahoma" w:cs="Tahoma"/>
          <w:sz w:val="20"/>
          <w:szCs w:val="20"/>
        </w:rPr>
        <w:t>portant</w:t>
      </w:r>
      <w:r w:rsidR="00DB1635" w:rsidRPr="00B004EE">
        <w:rPr>
          <w:rFonts w:ascii="Tahoma" w:hAnsi="Tahoma" w:cs="Tahoma"/>
          <w:sz w:val="20"/>
          <w:szCs w:val="20"/>
        </w:rPr>
        <w:t xml:space="preserve"> </w:t>
      </w:r>
      <w:r w:rsidRPr="00B004EE">
        <w:rPr>
          <w:rFonts w:ascii="Tahoma" w:hAnsi="Tahoma" w:cs="Tahoma"/>
          <w:sz w:val="20"/>
          <w:szCs w:val="20"/>
        </w:rPr>
        <w:t>sur</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pacing w:val="21"/>
          <w:sz w:val="20"/>
          <w:szCs w:val="20"/>
        </w:rPr>
        <w:t xml:space="preserve"> </w:t>
      </w:r>
      <w:r w:rsidRPr="00B004EE">
        <w:rPr>
          <w:rFonts w:ascii="Tahoma" w:hAnsi="Tahoma" w:cs="Tahoma"/>
          <w:sz w:val="20"/>
          <w:szCs w:val="20"/>
        </w:rPr>
        <w:t>contingents</w:t>
      </w:r>
      <w:r w:rsidR="00DB1635" w:rsidRPr="00B004EE">
        <w:rPr>
          <w:rFonts w:ascii="Tahoma" w:hAnsi="Tahoma" w:cs="Tahoma"/>
          <w:w w:val="96"/>
          <w:sz w:val="20"/>
          <w:szCs w:val="20"/>
        </w:rPr>
        <w:t xml:space="preserve"> </w:t>
      </w:r>
      <w:r w:rsidRPr="00B004EE">
        <w:rPr>
          <w:rFonts w:ascii="Tahoma" w:hAnsi="Tahoma" w:cs="Tahoma"/>
          <w:sz w:val="20"/>
          <w:szCs w:val="20"/>
        </w:rPr>
        <w:t>ind</w:t>
      </w:r>
      <w:r w:rsidRPr="00B004EE">
        <w:rPr>
          <w:rFonts w:ascii="Tahoma" w:eastAsia="American Typewriter" w:hAnsi="Tahoma" w:cs="Tahoma"/>
          <w:sz w:val="20"/>
          <w:szCs w:val="20"/>
        </w:rPr>
        <w:t>ividuels</w:t>
      </w:r>
      <w:r w:rsidR="00DB1635" w:rsidRPr="00B004EE">
        <w:rPr>
          <w:rFonts w:ascii="Tahoma" w:eastAsia="American Typewriter" w:hAnsi="Tahoma" w:cs="Tahoma"/>
          <w:spacing w:val="-37"/>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pacing w:val="-37"/>
          <w:sz w:val="20"/>
          <w:szCs w:val="20"/>
        </w:rPr>
        <w:t xml:space="preserve"> </w:t>
      </w:r>
      <w:r w:rsidRPr="00B004EE">
        <w:rPr>
          <w:rFonts w:ascii="Tahoma" w:eastAsia="American Typewriter" w:hAnsi="Tahoma" w:cs="Tahoma"/>
          <w:sz w:val="20"/>
          <w:szCs w:val="20"/>
        </w:rPr>
        <w:t>capture</w:t>
      </w:r>
      <w:r w:rsidR="00DB1635" w:rsidRPr="00B004EE">
        <w:rPr>
          <w:rFonts w:ascii="Tahoma" w:eastAsia="American Typewriter" w:hAnsi="Tahoma" w:cs="Tahoma"/>
          <w:spacing w:val="-38"/>
          <w:sz w:val="20"/>
          <w:szCs w:val="20"/>
        </w:rPr>
        <w:t xml:space="preserve"> </w:t>
      </w:r>
      <w:r w:rsidRPr="00B004EE">
        <w:rPr>
          <w:rFonts w:ascii="Tahoma" w:eastAsia="American Typewriter" w:hAnsi="Tahoma" w:cs="Tahoma"/>
          <w:sz w:val="20"/>
          <w:szCs w:val="20"/>
        </w:rPr>
        <w:t>(quotas</w:t>
      </w:r>
      <w:r w:rsidR="00DB1635" w:rsidRPr="00B004EE">
        <w:rPr>
          <w:rFonts w:ascii="Tahoma" w:eastAsia="American Typewriter" w:hAnsi="Tahoma" w:cs="Tahoma"/>
          <w:spacing w:val="-38"/>
          <w:sz w:val="20"/>
          <w:szCs w:val="20"/>
        </w:rPr>
        <w:t xml:space="preserve"> </w:t>
      </w:r>
      <w:r w:rsidRPr="00B004EE">
        <w:rPr>
          <w:rFonts w:ascii="Tahoma" w:eastAsia="American Typewriter" w:hAnsi="Tahoma" w:cs="Tahoma"/>
          <w:sz w:val="20"/>
          <w:szCs w:val="20"/>
        </w:rPr>
        <w:t>individuels),</w:t>
      </w:r>
      <w:r w:rsidR="00DB1635" w:rsidRPr="00B004EE">
        <w:rPr>
          <w:rFonts w:ascii="Tahoma" w:eastAsia="American Typewriter" w:hAnsi="Tahoma" w:cs="Tahoma"/>
          <w:spacing w:val="-38"/>
          <w:sz w:val="20"/>
          <w:szCs w:val="20"/>
        </w:rPr>
        <w:t xml:space="preserve"> </w:t>
      </w:r>
      <w:r w:rsidRPr="00B004EE">
        <w:rPr>
          <w:rFonts w:ascii="Tahoma" w:eastAsia="American Typewriter" w:hAnsi="Tahoma" w:cs="Tahoma"/>
          <w:sz w:val="20"/>
          <w:szCs w:val="20"/>
        </w:rPr>
        <w:t>les</w:t>
      </w:r>
      <w:r w:rsidR="00DB1635" w:rsidRPr="00B004EE">
        <w:rPr>
          <w:rFonts w:ascii="Tahoma" w:eastAsia="American Typewriter" w:hAnsi="Tahoma" w:cs="Tahoma"/>
          <w:spacing w:val="-38"/>
          <w:sz w:val="20"/>
          <w:szCs w:val="20"/>
        </w:rPr>
        <w:t xml:space="preserve"> </w:t>
      </w:r>
      <w:r w:rsidRPr="00B004EE">
        <w:rPr>
          <w:rFonts w:ascii="Tahoma" w:eastAsia="American Typewriter" w:hAnsi="Tahoma" w:cs="Tahoma"/>
          <w:sz w:val="20"/>
          <w:szCs w:val="20"/>
        </w:rPr>
        <w:t>moyens</w:t>
      </w:r>
      <w:r w:rsidR="00DB1635" w:rsidRPr="00B004EE">
        <w:rPr>
          <w:rFonts w:ascii="Tahoma" w:eastAsia="American Typewriter" w:hAnsi="Tahoma" w:cs="Tahoma"/>
          <w:spacing w:val="-38"/>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pacing w:val="-38"/>
          <w:sz w:val="20"/>
          <w:szCs w:val="20"/>
        </w:rPr>
        <w:t xml:space="preserve"> </w:t>
      </w:r>
      <w:r w:rsidRPr="00B004EE">
        <w:rPr>
          <w:rFonts w:ascii="Tahoma" w:eastAsia="American Typewriter" w:hAnsi="Tahoma" w:cs="Tahoma"/>
          <w:sz w:val="20"/>
          <w:szCs w:val="20"/>
        </w:rPr>
        <w:t>production</w:t>
      </w:r>
      <w:r w:rsidR="00DB1635" w:rsidRPr="00B004EE">
        <w:rPr>
          <w:rFonts w:ascii="Tahoma" w:eastAsia="American Typewriter" w:hAnsi="Tahoma" w:cs="Tahoma"/>
          <w:spacing w:val="-38"/>
          <w:sz w:val="20"/>
          <w:szCs w:val="20"/>
        </w:rPr>
        <w:t xml:space="preserve"> </w:t>
      </w:r>
      <w:r w:rsidRPr="00B004EE">
        <w:rPr>
          <w:rFonts w:ascii="Tahoma" w:eastAsia="American Typewriter" w:hAnsi="Tahoma" w:cs="Tahoma"/>
          <w:sz w:val="20"/>
          <w:szCs w:val="20"/>
        </w:rPr>
        <w:t>(l’effort</w:t>
      </w:r>
      <w:r w:rsidR="00DB1635" w:rsidRPr="00B004EE">
        <w:rPr>
          <w:rFonts w:ascii="Tahoma" w:eastAsia="American Typewriter" w:hAnsi="Tahoma" w:cs="Tahoma"/>
          <w:spacing w:val="-38"/>
          <w:sz w:val="20"/>
          <w:szCs w:val="20"/>
        </w:rPr>
        <w:t xml:space="preserve"> </w:t>
      </w:r>
      <w:r w:rsidRPr="00B004EE">
        <w:rPr>
          <w:rFonts w:ascii="Tahoma" w:eastAsia="American Typewriter" w:hAnsi="Tahoma" w:cs="Tahoma"/>
          <w:sz w:val="20"/>
          <w:szCs w:val="20"/>
        </w:rPr>
        <w:t>ou</w:t>
      </w:r>
      <w:r w:rsidR="00DB1635" w:rsidRPr="00B004EE">
        <w:rPr>
          <w:rFonts w:ascii="Tahoma" w:eastAsia="American Typewriter" w:hAnsi="Tahoma" w:cs="Tahoma"/>
          <w:spacing w:val="-38"/>
          <w:sz w:val="20"/>
          <w:szCs w:val="20"/>
        </w:rPr>
        <w:t xml:space="preserve"> </w:t>
      </w:r>
      <w:r w:rsidRPr="00B004EE">
        <w:rPr>
          <w:rFonts w:ascii="Tahoma" w:eastAsia="American Typewriter" w:hAnsi="Tahoma" w:cs="Tahoma"/>
          <w:sz w:val="20"/>
          <w:szCs w:val="20"/>
        </w:rPr>
        <w:t>les</w:t>
      </w:r>
      <w:r w:rsidR="00DB1635" w:rsidRPr="00B004EE">
        <w:rPr>
          <w:rFonts w:ascii="Tahoma" w:eastAsia="American Typewriter" w:hAnsi="Tahoma" w:cs="Tahoma"/>
          <w:w w:val="94"/>
          <w:sz w:val="20"/>
          <w:szCs w:val="20"/>
        </w:rPr>
        <w:t xml:space="preserve"> </w:t>
      </w:r>
      <w:r w:rsidRPr="00B004EE">
        <w:rPr>
          <w:rFonts w:ascii="Tahoma" w:eastAsia="American Typewriter" w:hAnsi="Tahoma" w:cs="Tahoma"/>
          <w:w w:val="95"/>
          <w:sz w:val="20"/>
          <w:szCs w:val="20"/>
        </w:rPr>
        <w:t>capacités</w:t>
      </w:r>
      <w:r w:rsidR="00DB1635" w:rsidRPr="00B004EE">
        <w:rPr>
          <w:rFonts w:ascii="Tahoma" w:eastAsia="American Typewriter" w:hAnsi="Tahoma" w:cs="Tahoma"/>
          <w:w w:val="95"/>
          <w:sz w:val="20"/>
          <w:szCs w:val="20"/>
        </w:rPr>
        <w:t xml:space="preserve"> </w:t>
      </w:r>
      <w:r w:rsidRPr="00B004EE">
        <w:rPr>
          <w:rFonts w:ascii="Tahoma" w:eastAsia="American Typewriter" w:hAnsi="Tahoma" w:cs="Tahoma"/>
          <w:w w:val="95"/>
          <w:sz w:val="20"/>
          <w:szCs w:val="20"/>
        </w:rPr>
        <w:t>de</w:t>
      </w:r>
      <w:r w:rsidR="00DB1635" w:rsidRPr="00B004EE">
        <w:rPr>
          <w:rFonts w:ascii="Tahoma" w:eastAsia="American Typewriter" w:hAnsi="Tahoma" w:cs="Tahoma"/>
          <w:w w:val="95"/>
          <w:sz w:val="20"/>
          <w:szCs w:val="20"/>
        </w:rPr>
        <w:t xml:space="preserve"> </w:t>
      </w:r>
      <w:r w:rsidRPr="00B004EE">
        <w:rPr>
          <w:rFonts w:ascii="Tahoma" w:eastAsia="American Typewriter" w:hAnsi="Tahoma" w:cs="Tahoma"/>
          <w:w w:val="95"/>
          <w:sz w:val="20"/>
          <w:szCs w:val="20"/>
        </w:rPr>
        <w:t>pêche),</w:t>
      </w:r>
      <w:r w:rsidR="00DB1635" w:rsidRPr="00B004EE">
        <w:rPr>
          <w:rFonts w:ascii="Tahoma" w:eastAsia="American Typewriter" w:hAnsi="Tahoma" w:cs="Tahoma"/>
          <w:w w:val="95"/>
          <w:sz w:val="20"/>
          <w:szCs w:val="20"/>
        </w:rPr>
        <w:t xml:space="preserve"> </w:t>
      </w:r>
      <w:r w:rsidRPr="00B004EE">
        <w:rPr>
          <w:rFonts w:ascii="Tahoma" w:eastAsia="American Typewriter" w:hAnsi="Tahoma" w:cs="Tahoma"/>
          <w:w w:val="95"/>
          <w:sz w:val="20"/>
          <w:szCs w:val="20"/>
        </w:rPr>
        <w:t>les</w:t>
      </w:r>
      <w:r w:rsidR="00DB1635" w:rsidRPr="00B004EE">
        <w:rPr>
          <w:rFonts w:ascii="Tahoma" w:eastAsia="American Typewriter" w:hAnsi="Tahoma" w:cs="Tahoma"/>
          <w:w w:val="95"/>
          <w:sz w:val="20"/>
          <w:szCs w:val="20"/>
        </w:rPr>
        <w:t xml:space="preserve"> </w:t>
      </w:r>
      <w:r w:rsidRPr="00B004EE">
        <w:rPr>
          <w:rFonts w:ascii="Tahoma" w:eastAsia="American Typewriter" w:hAnsi="Tahoma" w:cs="Tahoma"/>
          <w:w w:val="95"/>
          <w:sz w:val="20"/>
          <w:szCs w:val="20"/>
        </w:rPr>
        <w:t>zones</w:t>
      </w:r>
      <w:r w:rsidR="00DB1635" w:rsidRPr="00B004EE">
        <w:rPr>
          <w:rFonts w:ascii="Tahoma" w:eastAsia="American Typewriter" w:hAnsi="Tahoma" w:cs="Tahoma"/>
          <w:w w:val="95"/>
          <w:sz w:val="20"/>
          <w:szCs w:val="20"/>
        </w:rPr>
        <w:t xml:space="preserve"> </w:t>
      </w:r>
      <w:r w:rsidRPr="00B004EE">
        <w:rPr>
          <w:rFonts w:ascii="Tahoma" w:eastAsia="American Typewriter" w:hAnsi="Tahoma" w:cs="Tahoma"/>
          <w:w w:val="95"/>
          <w:sz w:val="20"/>
          <w:szCs w:val="20"/>
        </w:rPr>
        <w:t>de</w:t>
      </w:r>
      <w:r w:rsidR="00DB1635" w:rsidRPr="00B004EE">
        <w:rPr>
          <w:rFonts w:ascii="Tahoma" w:eastAsia="American Typewriter" w:hAnsi="Tahoma" w:cs="Tahoma"/>
          <w:w w:val="95"/>
          <w:sz w:val="20"/>
          <w:szCs w:val="20"/>
        </w:rPr>
        <w:t xml:space="preserve"> </w:t>
      </w:r>
      <w:r w:rsidRPr="00B004EE">
        <w:rPr>
          <w:rFonts w:ascii="Tahoma" w:eastAsia="American Typewriter" w:hAnsi="Tahoma" w:cs="Tahoma"/>
          <w:w w:val="95"/>
          <w:sz w:val="20"/>
          <w:szCs w:val="20"/>
        </w:rPr>
        <w:t>pêche</w:t>
      </w:r>
      <w:r w:rsidR="00DB1635" w:rsidRPr="00B004EE">
        <w:rPr>
          <w:rFonts w:ascii="Tahoma" w:eastAsia="American Typewriter" w:hAnsi="Tahoma" w:cs="Tahoma"/>
          <w:w w:val="95"/>
          <w:sz w:val="20"/>
          <w:szCs w:val="20"/>
        </w:rPr>
        <w:t xml:space="preserve"> </w:t>
      </w:r>
      <w:r w:rsidRPr="00B004EE">
        <w:rPr>
          <w:rFonts w:ascii="Tahoma" w:eastAsia="American Typewriter" w:hAnsi="Tahoma" w:cs="Tahoma"/>
          <w:w w:val="95"/>
          <w:sz w:val="20"/>
          <w:szCs w:val="20"/>
        </w:rPr>
        <w:t>(droits</w:t>
      </w:r>
      <w:r w:rsidR="00DB1635" w:rsidRPr="00B004EE">
        <w:rPr>
          <w:rFonts w:ascii="Tahoma" w:eastAsia="American Typewriter" w:hAnsi="Tahoma" w:cs="Tahoma"/>
          <w:w w:val="95"/>
          <w:sz w:val="20"/>
          <w:szCs w:val="20"/>
        </w:rPr>
        <w:t xml:space="preserve"> </w:t>
      </w:r>
      <w:r w:rsidRPr="00B004EE">
        <w:rPr>
          <w:rFonts w:ascii="Tahoma" w:eastAsia="American Typewriter" w:hAnsi="Tahoma" w:cs="Tahoma"/>
          <w:w w:val="95"/>
          <w:sz w:val="20"/>
          <w:szCs w:val="20"/>
        </w:rPr>
        <w:t>territoriaux</w:t>
      </w:r>
      <w:r w:rsidR="00DB1635" w:rsidRPr="00B004EE">
        <w:rPr>
          <w:rFonts w:ascii="Tahoma" w:eastAsia="American Typewriter" w:hAnsi="Tahoma" w:cs="Tahoma"/>
          <w:w w:val="95"/>
          <w:sz w:val="20"/>
          <w:szCs w:val="20"/>
        </w:rPr>
        <w:t xml:space="preserve"> </w:t>
      </w:r>
      <w:r w:rsidRPr="00B004EE">
        <w:rPr>
          <w:rFonts w:ascii="Tahoma" w:eastAsia="American Typewriter" w:hAnsi="Tahoma" w:cs="Tahoma"/>
          <w:w w:val="95"/>
          <w:sz w:val="20"/>
          <w:szCs w:val="20"/>
        </w:rPr>
        <w:t>d’usage</w:t>
      </w:r>
      <w:r w:rsidR="00DB1635" w:rsidRPr="00B004EE">
        <w:rPr>
          <w:rFonts w:ascii="Tahoma" w:eastAsia="American Typewriter" w:hAnsi="Tahoma" w:cs="Tahoma"/>
          <w:spacing w:val="11"/>
          <w:w w:val="95"/>
          <w:sz w:val="20"/>
          <w:szCs w:val="20"/>
        </w:rPr>
        <w:t xml:space="preserve"> </w:t>
      </w:r>
      <w:r w:rsidRPr="00B004EE">
        <w:rPr>
          <w:rFonts w:ascii="Tahoma" w:eastAsia="American Typewriter" w:hAnsi="Tahoma" w:cs="Tahoma"/>
          <w:w w:val="95"/>
          <w:sz w:val="20"/>
          <w:szCs w:val="20"/>
        </w:rPr>
        <w:t>halieutique).</w:t>
      </w:r>
    </w:p>
    <w:p w14:paraId="2795BB5E" w14:textId="77777777" w:rsidR="001E7C3C" w:rsidRPr="00B004EE" w:rsidRDefault="001E7C3C" w:rsidP="00B004EE">
      <w:pPr>
        <w:rPr>
          <w:rFonts w:ascii="Tahoma" w:eastAsia="American Typewriter" w:hAnsi="Tahoma" w:cs="Tahoma"/>
          <w:sz w:val="20"/>
          <w:szCs w:val="20"/>
        </w:rPr>
      </w:pPr>
    </w:p>
    <w:p w14:paraId="3641C18B" w14:textId="66A2C04B" w:rsidR="001E7C3C" w:rsidRPr="00B004EE" w:rsidRDefault="001E7C3C" w:rsidP="00B004EE">
      <w:pPr>
        <w:pStyle w:val="Corpsdetexte"/>
        <w:ind w:right="158"/>
        <w:rPr>
          <w:rFonts w:ascii="Tahoma" w:hAnsi="Tahoma" w:cs="Tahoma"/>
          <w:sz w:val="20"/>
          <w:szCs w:val="20"/>
        </w:rPr>
      </w:pPr>
      <w:r w:rsidRPr="00B004EE">
        <w:rPr>
          <w:rFonts w:ascii="Tahoma" w:eastAsia="American Typewriter" w:hAnsi="Tahoma" w:cs="Tahoma"/>
          <w:sz w:val="20"/>
          <w:szCs w:val="20"/>
        </w:rPr>
        <w:t>Article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29</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w:t>
      </w:r>
      <w:r w:rsidR="00DB1635" w:rsidRPr="00B004EE">
        <w:rPr>
          <w:rFonts w:ascii="Tahoma" w:hAnsi="Tahoma" w:cs="Tahoma"/>
          <w:b/>
          <w:sz w:val="20"/>
          <w:szCs w:val="20"/>
        </w:rPr>
        <w:t xml:space="preserve"> </w:t>
      </w:r>
      <w:r w:rsidRPr="00B004EE">
        <w:rPr>
          <w:rFonts w:ascii="Tahoma" w:hAnsi="Tahoma" w:cs="Tahoma"/>
          <w:sz w:val="20"/>
          <w:szCs w:val="20"/>
        </w:rPr>
        <w:t>L'allocation,</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cumul,</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suspension</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retrait</w:t>
      </w:r>
      <w:r w:rsidR="00DB1635" w:rsidRPr="00B004EE">
        <w:rPr>
          <w:rFonts w:ascii="Tahoma" w:hAnsi="Tahoma" w:cs="Tahoma"/>
          <w:sz w:val="20"/>
          <w:szCs w:val="20"/>
        </w:rPr>
        <w:t xml:space="preserve"> </w:t>
      </w:r>
      <w:r w:rsidRPr="00B004EE">
        <w:rPr>
          <w:rFonts w:ascii="Tahoma" w:hAnsi="Tahoma" w:cs="Tahoma"/>
          <w:sz w:val="20"/>
          <w:szCs w:val="20"/>
        </w:rPr>
        <w:t>éventuel</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pacing w:val="20"/>
          <w:sz w:val="20"/>
          <w:szCs w:val="20"/>
        </w:rPr>
        <w:t xml:space="preserve"> </w:t>
      </w:r>
      <w:r w:rsidRPr="00B004EE">
        <w:rPr>
          <w:rFonts w:ascii="Tahoma" w:hAnsi="Tahoma" w:cs="Tahoma"/>
          <w:sz w:val="20"/>
          <w:szCs w:val="20"/>
        </w:rPr>
        <w:t>droits</w:t>
      </w:r>
      <w:r w:rsidR="00DB1635" w:rsidRPr="00B004EE">
        <w:rPr>
          <w:rFonts w:ascii="Tahoma" w:hAnsi="Tahoma" w:cs="Tahoma"/>
          <w:spacing w:val="-1"/>
          <w:w w:val="95"/>
          <w:sz w:val="20"/>
          <w:szCs w:val="20"/>
        </w:rPr>
        <w:t xml:space="preserve"> </w:t>
      </w:r>
      <w:r w:rsidRPr="00B004EE">
        <w:rPr>
          <w:rFonts w:ascii="Tahoma" w:hAnsi="Tahoma" w:cs="Tahoma"/>
          <w:sz w:val="20"/>
          <w:szCs w:val="20"/>
        </w:rPr>
        <w:t>d'usage</w:t>
      </w:r>
      <w:r w:rsidR="00DB1635" w:rsidRPr="00B004EE">
        <w:rPr>
          <w:rFonts w:ascii="Tahoma" w:hAnsi="Tahoma" w:cs="Tahoma"/>
          <w:spacing w:val="-9"/>
          <w:sz w:val="20"/>
          <w:szCs w:val="20"/>
        </w:rPr>
        <w:t xml:space="preserve"> </w:t>
      </w:r>
      <w:r w:rsidRPr="00B004EE">
        <w:rPr>
          <w:rFonts w:ascii="Tahoma" w:hAnsi="Tahoma" w:cs="Tahoma"/>
          <w:sz w:val="20"/>
          <w:szCs w:val="20"/>
        </w:rPr>
        <w:t>et</w:t>
      </w:r>
      <w:r w:rsidR="00DB1635" w:rsidRPr="00B004EE">
        <w:rPr>
          <w:rFonts w:ascii="Tahoma" w:hAnsi="Tahoma" w:cs="Tahoma"/>
          <w:spacing w:val="-10"/>
          <w:sz w:val="20"/>
          <w:szCs w:val="20"/>
        </w:rPr>
        <w:t xml:space="preserve"> </w:t>
      </w:r>
      <w:r w:rsidRPr="00B004EE">
        <w:rPr>
          <w:rFonts w:ascii="Tahoma" w:hAnsi="Tahoma" w:cs="Tahoma"/>
          <w:sz w:val="20"/>
          <w:szCs w:val="20"/>
        </w:rPr>
        <w:t>de</w:t>
      </w:r>
      <w:r w:rsidR="00DB1635" w:rsidRPr="00B004EE">
        <w:rPr>
          <w:rFonts w:ascii="Tahoma" w:hAnsi="Tahoma" w:cs="Tahoma"/>
          <w:spacing w:val="-10"/>
          <w:sz w:val="20"/>
          <w:szCs w:val="20"/>
        </w:rPr>
        <w:t xml:space="preserve"> </w:t>
      </w:r>
      <w:r w:rsidRPr="00B004EE">
        <w:rPr>
          <w:rFonts w:ascii="Tahoma" w:hAnsi="Tahoma" w:cs="Tahoma"/>
          <w:sz w:val="20"/>
          <w:szCs w:val="20"/>
        </w:rPr>
        <w:t>leur</w:t>
      </w:r>
      <w:r w:rsidR="00DB1635" w:rsidRPr="00B004EE">
        <w:rPr>
          <w:rFonts w:ascii="Tahoma" w:hAnsi="Tahoma" w:cs="Tahoma"/>
          <w:spacing w:val="-11"/>
          <w:sz w:val="20"/>
          <w:szCs w:val="20"/>
        </w:rPr>
        <w:t xml:space="preserve"> </w:t>
      </w:r>
      <w:r w:rsidRPr="00B004EE">
        <w:rPr>
          <w:rFonts w:ascii="Tahoma" w:hAnsi="Tahoma" w:cs="Tahoma"/>
          <w:sz w:val="20"/>
          <w:szCs w:val="20"/>
        </w:rPr>
        <w:t>concession</w:t>
      </w:r>
      <w:r w:rsidR="00DB1635" w:rsidRPr="00B004EE">
        <w:rPr>
          <w:rFonts w:ascii="Tahoma" w:hAnsi="Tahoma" w:cs="Tahoma"/>
          <w:spacing w:val="-9"/>
          <w:sz w:val="20"/>
          <w:szCs w:val="20"/>
        </w:rPr>
        <w:t xml:space="preserve"> </w:t>
      </w:r>
      <w:r w:rsidRPr="00B004EE">
        <w:rPr>
          <w:rFonts w:ascii="Tahoma" w:hAnsi="Tahoma" w:cs="Tahoma"/>
          <w:sz w:val="20"/>
          <w:szCs w:val="20"/>
        </w:rPr>
        <w:t>sont</w:t>
      </w:r>
      <w:r w:rsidR="00DB1635" w:rsidRPr="00B004EE">
        <w:rPr>
          <w:rFonts w:ascii="Tahoma" w:hAnsi="Tahoma" w:cs="Tahoma"/>
          <w:spacing w:val="-10"/>
          <w:sz w:val="20"/>
          <w:szCs w:val="20"/>
        </w:rPr>
        <w:t xml:space="preserve"> </w:t>
      </w:r>
      <w:r w:rsidRPr="00B004EE">
        <w:rPr>
          <w:rFonts w:ascii="Tahoma" w:hAnsi="Tahoma" w:cs="Tahoma"/>
          <w:sz w:val="20"/>
          <w:szCs w:val="20"/>
        </w:rPr>
        <w:t>définis</w:t>
      </w:r>
      <w:r w:rsidR="00DB1635" w:rsidRPr="00B004EE">
        <w:rPr>
          <w:rFonts w:ascii="Tahoma" w:hAnsi="Tahoma" w:cs="Tahoma"/>
          <w:spacing w:val="-11"/>
          <w:sz w:val="20"/>
          <w:szCs w:val="20"/>
        </w:rPr>
        <w:t xml:space="preserve"> </w:t>
      </w:r>
      <w:r w:rsidRPr="00B004EE">
        <w:rPr>
          <w:rFonts w:ascii="Tahoma" w:hAnsi="Tahoma" w:cs="Tahoma"/>
          <w:sz w:val="20"/>
          <w:szCs w:val="20"/>
        </w:rPr>
        <w:t>par</w:t>
      </w:r>
      <w:r w:rsidR="00DB1635" w:rsidRPr="00B004EE">
        <w:rPr>
          <w:rFonts w:ascii="Tahoma" w:hAnsi="Tahoma" w:cs="Tahoma"/>
          <w:spacing w:val="-11"/>
          <w:sz w:val="20"/>
          <w:szCs w:val="20"/>
        </w:rPr>
        <w:t xml:space="preserve"> </w:t>
      </w:r>
      <w:r w:rsidRPr="00B004EE">
        <w:rPr>
          <w:rFonts w:ascii="Tahoma" w:hAnsi="Tahoma" w:cs="Tahoma"/>
          <w:sz w:val="20"/>
          <w:szCs w:val="20"/>
        </w:rPr>
        <w:t>décret</w:t>
      </w:r>
      <w:r w:rsidR="00DB1635" w:rsidRPr="00B004EE">
        <w:rPr>
          <w:rFonts w:ascii="Tahoma" w:hAnsi="Tahoma" w:cs="Tahoma"/>
          <w:spacing w:val="-10"/>
          <w:sz w:val="20"/>
          <w:szCs w:val="20"/>
        </w:rPr>
        <w:t xml:space="preserve"> </w:t>
      </w:r>
      <w:r w:rsidRPr="00B004EE">
        <w:rPr>
          <w:rFonts w:ascii="Tahoma" w:hAnsi="Tahoma" w:cs="Tahoma"/>
          <w:sz w:val="20"/>
          <w:szCs w:val="20"/>
        </w:rPr>
        <w:t>pris</w:t>
      </w:r>
      <w:r w:rsidR="00DB1635" w:rsidRPr="00B004EE">
        <w:rPr>
          <w:rFonts w:ascii="Tahoma" w:hAnsi="Tahoma" w:cs="Tahoma"/>
          <w:spacing w:val="-11"/>
          <w:sz w:val="20"/>
          <w:szCs w:val="20"/>
        </w:rPr>
        <w:t xml:space="preserve"> </w:t>
      </w:r>
      <w:r w:rsidRPr="00B004EE">
        <w:rPr>
          <w:rFonts w:ascii="Tahoma" w:hAnsi="Tahoma" w:cs="Tahoma"/>
          <w:sz w:val="20"/>
          <w:szCs w:val="20"/>
        </w:rPr>
        <w:t>en</w:t>
      </w:r>
      <w:r w:rsidR="00DB1635" w:rsidRPr="00B004EE">
        <w:rPr>
          <w:rFonts w:ascii="Tahoma" w:hAnsi="Tahoma" w:cs="Tahoma"/>
          <w:spacing w:val="-10"/>
          <w:sz w:val="20"/>
          <w:szCs w:val="20"/>
        </w:rPr>
        <w:t xml:space="preserve"> </w:t>
      </w:r>
      <w:r w:rsidRPr="00B004EE">
        <w:rPr>
          <w:rFonts w:ascii="Tahoma" w:hAnsi="Tahoma" w:cs="Tahoma"/>
          <w:sz w:val="20"/>
          <w:szCs w:val="20"/>
        </w:rPr>
        <w:t>Conseil</w:t>
      </w:r>
      <w:r w:rsidR="00DB1635" w:rsidRPr="00B004EE">
        <w:rPr>
          <w:rFonts w:ascii="Tahoma" w:hAnsi="Tahoma" w:cs="Tahoma"/>
          <w:spacing w:val="-10"/>
          <w:sz w:val="20"/>
          <w:szCs w:val="20"/>
        </w:rPr>
        <w:t xml:space="preserve"> </w:t>
      </w:r>
      <w:r w:rsidRPr="00B004EE">
        <w:rPr>
          <w:rFonts w:ascii="Tahoma" w:hAnsi="Tahoma" w:cs="Tahoma"/>
          <w:sz w:val="20"/>
          <w:szCs w:val="20"/>
        </w:rPr>
        <w:t>des</w:t>
      </w:r>
      <w:r w:rsidR="00DB1635" w:rsidRPr="00B004EE">
        <w:rPr>
          <w:rFonts w:ascii="Tahoma" w:hAnsi="Tahoma" w:cs="Tahoma"/>
          <w:spacing w:val="-12"/>
          <w:sz w:val="20"/>
          <w:szCs w:val="20"/>
        </w:rPr>
        <w:t xml:space="preserve"> </w:t>
      </w:r>
      <w:r w:rsidRPr="00B004EE">
        <w:rPr>
          <w:rFonts w:ascii="Tahoma" w:hAnsi="Tahoma" w:cs="Tahoma"/>
          <w:sz w:val="20"/>
          <w:szCs w:val="20"/>
        </w:rPr>
        <w:t>ministres,</w:t>
      </w:r>
      <w:r w:rsidR="00DB1635" w:rsidRPr="00B004EE">
        <w:rPr>
          <w:rFonts w:ascii="Tahoma" w:hAnsi="Tahoma" w:cs="Tahoma"/>
          <w:w w:val="95"/>
          <w:sz w:val="20"/>
          <w:szCs w:val="20"/>
        </w:rPr>
        <w:t xml:space="preserve"> </w:t>
      </w:r>
      <w:r w:rsidRPr="00B004EE">
        <w:rPr>
          <w:rFonts w:ascii="Tahoma" w:hAnsi="Tahoma" w:cs="Tahoma"/>
          <w:sz w:val="20"/>
          <w:szCs w:val="20"/>
        </w:rPr>
        <w:t>sur</w:t>
      </w:r>
      <w:r w:rsidR="00DB1635" w:rsidRPr="00B004EE">
        <w:rPr>
          <w:rFonts w:ascii="Tahoma" w:hAnsi="Tahoma" w:cs="Tahoma"/>
          <w:spacing w:val="-20"/>
          <w:sz w:val="20"/>
          <w:szCs w:val="20"/>
        </w:rPr>
        <w:t xml:space="preserve"> </w:t>
      </w:r>
      <w:r w:rsidRPr="00B004EE">
        <w:rPr>
          <w:rFonts w:ascii="Tahoma" w:hAnsi="Tahoma" w:cs="Tahoma"/>
          <w:sz w:val="20"/>
          <w:szCs w:val="20"/>
        </w:rPr>
        <w:t>rapport</w:t>
      </w:r>
      <w:r w:rsidR="00DB1635" w:rsidRPr="00B004EE">
        <w:rPr>
          <w:rFonts w:ascii="Tahoma" w:hAnsi="Tahoma" w:cs="Tahoma"/>
          <w:spacing w:val="-19"/>
          <w:sz w:val="20"/>
          <w:szCs w:val="20"/>
        </w:rPr>
        <w:t xml:space="preserve"> </w:t>
      </w:r>
      <w:r w:rsidRPr="00B004EE">
        <w:rPr>
          <w:rFonts w:ascii="Tahoma" w:hAnsi="Tahoma" w:cs="Tahoma"/>
          <w:sz w:val="20"/>
          <w:szCs w:val="20"/>
        </w:rPr>
        <w:t>du</w:t>
      </w:r>
      <w:r w:rsidR="00DB1635" w:rsidRPr="00B004EE">
        <w:rPr>
          <w:rFonts w:ascii="Tahoma" w:hAnsi="Tahoma" w:cs="Tahoma"/>
          <w:spacing w:val="-19"/>
          <w:sz w:val="20"/>
          <w:szCs w:val="20"/>
        </w:rPr>
        <w:t xml:space="preserve"> </w:t>
      </w:r>
      <w:r w:rsidRPr="00B004EE">
        <w:rPr>
          <w:rFonts w:ascii="Tahoma" w:hAnsi="Tahoma" w:cs="Tahoma"/>
          <w:sz w:val="20"/>
          <w:szCs w:val="20"/>
        </w:rPr>
        <w:t>ministre</w:t>
      </w:r>
      <w:r w:rsidR="00DB1635" w:rsidRPr="00B004EE">
        <w:rPr>
          <w:rFonts w:ascii="Tahoma" w:hAnsi="Tahoma" w:cs="Tahoma"/>
          <w:spacing w:val="-19"/>
          <w:sz w:val="20"/>
          <w:szCs w:val="20"/>
        </w:rPr>
        <w:t xml:space="preserve"> </w:t>
      </w:r>
      <w:r w:rsidRPr="00B004EE">
        <w:rPr>
          <w:rFonts w:ascii="Tahoma" w:hAnsi="Tahoma" w:cs="Tahoma"/>
          <w:sz w:val="20"/>
          <w:szCs w:val="20"/>
        </w:rPr>
        <w:t>chargé</w:t>
      </w:r>
      <w:r w:rsidR="00DB1635" w:rsidRPr="00B004EE">
        <w:rPr>
          <w:rFonts w:ascii="Tahoma" w:hAnsi="Tahoma" w:cs="Tahoma"/>
          <w:spacing w:val="-19"/>
          <w:sz w:val="20"/>
          <w:szCs w:val="20"/>
        </w:rPr>
        <w:t xml:space="preserve"> </w:t>
      </w:r>
      <w:r w:rsidRPr="00B004EE">
        <w:rPr>
          <w:rFonts w:ascii="Tahoma" w:hAnsi="Tahoma" w:cs="Tahoma"/>
          <w:sz w:val="20"/>
          <w:szCs w:val="20"/>
        </w:rPr>
        <w:t>des</w:t>
      </w:r>
      <w:r w:rsidR="00DB1635" w:rsidRPr="00B004EE">
        <w:rPr>
          <w:rFonts w:ascii="Tahoma" w:hAnsi="Tahoma" w:cs="Tahoma"/>
          <w:spacing w:val="-20"/>
          <w:sz w:val="20"/>
          <w:szCs w:val="20"/>
        </w:rPr>
        <w:t xml:space="preserve"> </w:t>
      </w:r>
      <w:r w:rsidRPr="00B004EE">
        <w:rPr>
          <w:rFonts w:ascii="Tahoma" w:hAnsi="Tahoma" w:cs="Tahoma"/>
          <w:sz w:val="20"/>
          <w:szCs w:val="20"/>
        </w:rPr>
        <w:t>pêches,</w:t>
      </w:r>
      <w:r w:rsidR="00DB1635" w:rsidRPr="00B004EE">
        <w:rPr>
          <w:rFonts w:ascii="Tahoma" w:hAnsi="Tahoma" w:cs="Tahoma"/>
          <w:spacing w:val="-19"/>
          <w:sz w:val="20"/>
          <w:szCs w:val="20"/>
        </w:rPr>
        <w:t xml:space="preserve"> </w:t>
      </w:r>
      <w:r w:rsidRPr="00B004EE">
        <w:rPr>
          <w:rFonts w:ascii="Tahoma" w:hAnsi="Tahoma" w:cs="Tahoma"/>
          <w:sz w:val="20"/>
          <w:szCs w:val="20"/>
        </w:rPr>
        <w:t>après</w:t>
      </w:r>
      <w:r w:rsidR="00DB1635" w:rsidRPr="00B004EE">
        <w:rPr>
          <w:rFonts w:ascii="Tahoma" w:hAnsi="Tahoma" w:cs="Tahoma"/>
          <w:spacing w:val="-19"/>
          <w:sz w:val="20"/>
          <w:szCs w:val="20"/>
        </w:rPr>
        <w:t xml:space="preserve"> </w:t>
      </w:r>
      <w:r w:rsidRPr="00B004EE">
        <w:rPr>
          <w:rFonts w:ascii="Tahoma" w:hAnsi="Tahoma" w:cs="Tahoma"/>
          <w:sz w:val="20"/>
          <w:szCs w:val="20"/>
        </w:rPr>
        <w:t>avis</w:t>
      </w:r>
      <w:r w:rsidR="00DB1635" w:rsidRPr="00B004EE">
        <w:rPr>
          <w:rFonts w:ascii="Tahoma" w:hAnsi="Tahoma" w:cs="Tahoma"/>
          <w:spacing w:val="-19"/>
          <w:sz w:val="20"/>
          <w:szCs w:val="20"/>
        </w:rPr>
        <w:t xml:space="preserve"> </w:t>
      </w:r>
      <w:r w:rsidRPr="00B004EE">
        <w:rPr>
          <w:rFonts w:ascii="Tahoma" w:hAnsi="Tahoma" w:cs="Tahoma"/>
          <w:sz w:val="20"/>
          <w:szCs w:val="20"/>
        </w:rPr>
        <w:t>du</w:t>
      </w:r>
      <w:r w:rsidR="00DB1635" w:rsidRPr="00B004EE">
        <w:rPr>
          <w:rFonts w:ascii="Tahoma" w:hAnsi="Tahoma" w:cs="Tahoma"/>
          <w:spacing w:val="-19"/>
          <w:sz w:val="20"/>
          <w:szCs w:val="20"/>
        </w:rPr>
        <w:t xml:space="preserve"> </w:t>
      </w:r>
      <w:r w:rsidRPr="00B004EE">
        <w:rPr>
          <w:rFonts w:ascii="Tahoma" w:hAnsi="Tahoma" w:cs="Tahoma"/>
          <w:sz w:val="20"/>
          <w:szCs w:val="20"/>
        </w:rPr>
        <w:t>CCNADP.</w:t>
      </w:r>
    </w:p>
    <w:p w14:paraId="13AAB469" w14:textId="77777777" w:rsidR="001E7C3C" w:rsidRPr="00B004EE" w:rsidRDefault="001E7C3C" w:rsidP="00B004EE">
      <w:pPr>
        <w:rPr>
          <w:rFonts w:ascii="Tahoma" w:eastAsia="American Typewriter" w:hAnsi="Tahoma" w:cs="Tahoma"/>
          <w:sz w:val="20"/>
          <w:szCs w:val="20"/>
        </w:rPr>
      </w:pPr>
    </w:p>
    <w:p w14:paraId="16D7DB7E" w14:textId="6D2F081A" w:rsidR="001E7C3C" w:rsidRPr="00B004EE" w:rsidRDefault="001E7C3C" w:rsidP="00B004EE">
      <w:pPr>
        <w:pStyle w:val="Corpsdetexte"/>
        <w:ind w:right="157"/>
        <w:rPr>
          <w:rFonts w:ascii="Tahoma" w:hAnsi="Tahoma" w:cs="Tahoma"/>
          <w:sz w:val="20"/>
          <w:szCs w:val="20"/>
        </w:rPr>
      </w:pPr>
      <w:r w:rsidRPr="00B004EE">
        <w:rPr>
          <w:rFonts w:ascii="Tahoma" w:hAnsi="Tahoma" w:cs="Tahoma"/>
          <w:sz w:val="20"/>
          <w:szCs w:val="20"/>
        </w:rPr>
        <w:t>Les</w:t>
      </w:r>
      <w:r w:rsidR="00DB1635" w:rsidRPr="00B004EE">
        <w:rPr>
          <w:rFonts w:ascii="Tahoma" w:hAnsi="Tahoma" w:cs="Tahoma"/>
          <w:spacing w:val="-22"/>
          <w:sz w:val="20"/>
          <w:szCs w:val="20"/>
        </w:rPr>
        <w:t xml:space="preserve"> </w:t>
      </w:r>
      <w:r w:rsidRPr="00B004EE">
        <w:rPr>
          <w:rFonts w:ascii="Tahoma" w:hAnsi="Tahoma" w:cs="Tahoma"/>
          <w:sz w:val="20"/>
          <w:szCs w:val="20"/>
        </w:rPr>
        <w:t>concessions</w:t>
      </w:r>
      <w:r w:rsidR="00DB1635" w:rsidRPr="00B004EE">
        <w:rPr>
          <w:rFonts w:ascii="Tahoma" w:hAnsi="Tahoma" w:cs="Tahoma"/>
          <w:spacing w:val="-24"/>
          <w:sz w:val="20"/>
          <w:szCs w:val="20"/>
        </w:rPr>
        <w:t xml:space="preserve"> </w:t>
      </w:r>
      <w:r w:rsidRPr="00B004EE">
        <w:rPr>
          <w:rFonts w:ascii="Tahoma" w:hAnsi="Tahoma" w:cs="Tahoma"/>
          <w:sz w:val="20"/>
          <w:szCs w:val="20"/>
        </w:rPr>
        <w:t>de</w:t>
      </w:r>
      <w:r w:rsidR="00DB1635" w:rsidRPr="00B004EE">
        <w:rPr>
          <w:rFonts w:ascii="Tahoma" w:hAnsi="Tahoma" w:cs="Tahoma"/>
          <w:spacing w:val="-23"/>
          <w:sz w:val="20"/>
          <w:szCs w:val="20"/>
        </w:rPr>
        <w:t xml:space="preserve"> </w:t>
      </w:r>
      <w:r w:rsidRPr="00B004EE">
        <w:rPr>
          <w:rFonts w:ascii="Tahoma" w:eastAsia="American Typewriter" w:hAnsi="Tahoma" w:cs="Tahoma"/>
          <w:sz w:val="20"/>
          <w:szCs w:val="20"/>
        </w:rPr>
        <w:t>droits</w:t>
      </w:r>
      <w:r w:rsidR="00DB1635" w:rsidRPr="00B004EE">
        <w:rPr>
          <w:rFonts w:ascii="Tahoma" w:eastAsia="American Typewriter" w:hAnsi="Tahoma" w:cs="Tahoma"/>
          <w:spacing w:val="-24"/>
          <w:sz w:val="20"/>
          <w:szCs w:val="20"/>
        </w:rPr>
        <w:t xml:space="preserve"> </w:t>
      </w:r>
      <w:r w:rsidRPr="00B004EE">
        <w:rPr>
          <w:rFonts w:ascii="Tahoma" w:eastAsia="American Typewriter" w:hAnsi="Tahoma" w:cs="Tahoma"/>
          <w:sz w:val="20"/>
          <w:szCs w:val="20"/>
        </w:rPr>
        <w:t>d’usage</w:t>
      </w:r>
      <w:r w:rsidR="00DB1635" w:rsidRPr="00B004EE">
        <w:rPr>
          <w:rFonts w:ascii="Tahoma" w:eastAsia="American Typewriter" w:hAnsi="Tahoma" w:cs="Tahoma"/>
          <w:spacing w:val="-23"/>
          <w:sz w:val="20"/>
          <w:szCs w:val="20"/>
        </w:rPr>
        <w:t xml:space="preserve"> </w:t>
      </w:r>
      <w:r w:rsidRPr="00B004EE">
        <w:rPr>
          <w:rFonts w:ascii="Tahoma" w:eastAsia="American Typewriter" w:hAnsi="Tahoma" w:cs="Tahoma"/>
          <w:sz w:val="20"/>
          <w:szCs w:val="20"/>
        </w:rPr>
        <w:t>ne</w:t>
      </w:r>
      <w:r w:rsidR="00DB1635" w:rsidRPr="00B004EE">
        <w:rPr>
          <w:rFonts w:ascii="Tahoma" w:eastAsia="American Typewriter" w:hAnsi="Tahoma" w:cs="Tahoma"/>
          <w:spacing w:val="-24"/>
          <w:sz w:val="20"/>
          <w:szCs w:val="20"/>
        </w:rPr>
        <w:t xml:space="preserve"> </w:t>
      </w:r>
      <w:r w:rsidRPr="00B004EE">
        <w:rPr>
          <w:rFonts w:ascii="Tahoma" w:eastAsia="American Typewriter" w:hAnsi="Tahoma" w:cs="Tahoma"/>
          <w:sz w:val="20"/>
          <w:szCs w:val="20"/>
        </w:rPr>
        <w:t>sont</w:t>
      </w:r>
      <w:r w:rsidR="00DB1635" w:rsidRPr="00B004EE">
        <w:rPr>
          <w:rFonts w:ascii="Tahoma" w:eastAsia="American Typewriter" w:hAnsi="Tahoma" w:cs="Tahoma"/>
          <w:spacing w:val="-22"/>
          <w:sz w:val="20"/>
          <w:szCs w:val="20"/>
        </w:rPr>
        <w:t xml:space="preserve"> </w:t>
      </w:r>
      <w:r w:rsidRPr="00B004EE">
        <w:rPr>
          <w:rFonts w:ascii="Tahoma" w:eastAsia="American Typewriter" w:hAnsi="Tahoma" w:cs="Tahoma"/>
          <w:sz w:val="20"/>
          <w:szCs w:val="20"/>
        </w:rPr>
        <w:t>transférables</w:t>
      </w:r>
      <w:r w:rsidR="00DB1635" w:rsidRPr="00B004EE">
        <w:rPr>
          <w:rFonts w:ascii="Tahoma" w:eastAsia="American Typewriter" w:hAnsi="Tahoma" w:cs="Tahoma"/>
          <w:spacing w:val="-24"/>
          <w:sz w:val="20"/>
          <w:szCs w:val="20"/>
        </w:rPr>
        <w:t xml:space="preserve"> </w:t>
      </w:r>
      <w:r w:rsidRPr="00B004EE">
        <w:rPr>
          <w:rFonts w:ascii="Tahoma" w:eastAsia="American Typewriter" w:hAnsi="Tahoma" w:cs="Tahoma"/>
          <w:sz w:val="20"/>
          <w:szCs w:val="20"/>
        </w:rPr>
        <w:t>d’une</w:t>
      </w:r>
      <w:r w:rsidR="00DB1635" w:rsidRPr="00B004EE">
        <w:rPr>
          <w:rFonts w:ascii="Tahoma" w:eastAsia="American Typewriter" w:hAnsi="Tahoma" w:cs="Tahoma"/>
          <w:spacing w:val="-24"/>
          <w:sz w:val="20"/>
          <w:szCs w:val="20"/>
        </w:rPr>
        <w:t xml:space="preserve"> </w:t>
      </w:r>
      <w:r w:rsidRPr="00B004EE">
        <w:rPr>
          <w:rFonts w:ascii="Tahoma" w:eastAsia="American Typewriter" w:hAnsi="Tahoma" w:cs="Tahoma"/>
          <w:sz w:val="20"/>
          <w:szCs w:val="20"/>
        </w:rPr>
        <w:t>personne</w:t>
      </w:r>
      <w:r w:rsidR="00DB1635" w:rsidRPr="00B004EE">
        <w:rPr>
          <w:rFonts w:ascii="Tahoma" w:eastAsia="American Typewriter" w:hAnsi="Tahoma" w:cs="Tahoma"/>
          <w:spacing w:val="-24"/>
          <w:sz w:val="20"/>
          <w:szCs w:val="20"/>
        </w:rPr>
        <w:t xml:space="preserve"> </w:t>
      </w:r>
      <w:r w:rsidRPr="00B004EE">
        <w:rPr>
          <w:rFonts w:ascii="Tahoma" w:eastAsia="American Typewriter" w:hAnsi="Tahoma" w:cs="Tahoma"/>
          <w:sz w:val="20"/>
          <w:szCs w:val="20"/>
        </w:rPr>
        <w:t>à</w:t>
      </w:r>
      <w:r w:rsidR="00DB1635" w:rsidRPr="00B004EE">
        <w:rPr>
          <w:rFonts w:ascii="Tahoma" w:eastAsia="American Typewriter" w:hAnsi="Tahoma" w:cs="Tahoma"/>
          <w:spacing w:val="-23"/>
          <w:sz w:val="20"/>
          <w:szCs w:val="20"/>
        </w:rPr>
        <w:t xml:space="preserve"> </w:t>
      </w:r>
      <w:r w:rsidRPr="00B004EE">
        <w:rPr>
          <w:rFonts w:ascii="Tahoma" w:eastAsia="American Typewriter" w:hAnsi="Tahoma" w:cs="Tahoma"/>
          <w:sz w:val="20"/>
          <w:szCs w:val="20"/>
        </w:rPr>
        <w:t>une</w:t>
      </w:r>
      <w:r w:rsidR="00DB1635" w:rsidRPr="00B004EE">
        <w:rPr>
          <w:rFonts w:ascii="Tahoma" w:eastAsia="American Typewriter" w:hAnsi="Tahoma" w:cs="Tahoma"/>
          <w:spacing w:val="-24"/>
          <w:sz w:val="20"/>
          <w:szCs w:val="20"/>
        </w:rPr>
        <w:t xml:space="preserve"> </w:t>
      </w:r>
      <w:r w:rsidRPr="00B004EE">
        <w:rPr>
          <w:rFonts w:ascii="Tahoma" w:eastAsia="American Typewriter" w:hAnsi="Tahoma" w:cs="Tahoma"/>
          <w:sz w:val="20"/>
          <w:szCs w:val="20"/>
        </w:rPr>
        <w:t>autre</w:t>
      </w:r>
      <w:r w:rsidR="00DB1635" w:rsidRPr="00B004EE">
        <w:rPr>
          <w:rFonts w:ascii="Tahoma" w:eastAsia="American Typewriter" w:hAnsi="Tahoma" w:cs="Tahoma"/>
          <w:w w:val="94"/>
          <w:sz w:val="20"/>
          <w:szCs w:val="20"/>
        </w:rPr>
        <w:t xml:space="preserve"> </w:t>
      </w:r>
      <w:r w:rsidRPr="00B004EE">
        <w:rPr>
          <w:rFonts w:ascii="Tahoma" w:hAnsi="Tahoma" w:cs="Tahoma"/>
          <w:sz w:val="20"/>
          <w:szCs w:val="20"/>
        </w:rPr>
        <w:t>qu'au</w:t>
      </w:r>
      <w:r w:rsidR="00DB1635" w:rsidRPr="00B004EE">
        <w:rPr>
          <w:rFonts w:ascii="Tahoma" w:hAnsi="Tahoma" w:cs="Tahoma"/>
          <w:spacing w:val="31"/>
          <w:sz w:val="20"/>
          <w:szCs w:val="20"/>
        </w:rPr>
        <w:t xml:space="preserve"> </w:t>
      </w:r>
      <w:r w:rsidRPr="00B004EE">
        <w:rPr>
          <w:rFonts w:ascii="Tahoma" w:hAnsi="Tahoma" w:cs="Tahoma"/>
          <w:sz w:val="20"/>
          <w:szCs w:val="20"/>
        </w:rPr>
        <w:t>terme</w:t>
      </w:r>
      <w:r w:rsidR="00DB1635" w:rsidRPr="00B004EE">
        <w:rPr>
          <w:rFonts w:ascii="Tahoma" w:hAnsi="Tahoma" w:cs="Tahoma"/>
          <w:spacing w:val="32"/>
          <w:sz w:val="20"/>
          <w:szCs w:val="20"/>
        </w:rPr>
        <w:t xml:space="preserve"> </w:t>
      </w:r>
      <w:r w:rsidRPr="00B004EE">
        <w:rPr>
          <w:rFonts w:ascii="Tahoma" w:hAnsi="Tahoma" w:cs="Tahoma"/>
          <w:sz w:val="20"/>
          <w:szCs w:val="20"/>
        </w:rPr>
        <w:t>d'une</w:t>
      </w:r>
      <w:r w:rsidR="00DB1635" w:rsidRPr="00B004EE">
        <w:rPr>
          <w:rFonts w:ascii="Tahoma" w:hAnsi="Tahoma" w:cs="Tahoma"/>
          <w:spacing w:val="31"/>
          <w:sz w:val="20"/>
          <w:szCs w:val="20"/>
        </w:rPr>
        <w:t xml:space="preserve"> </w:t>
      </w:r>
      <w:r w:rsidRPr="00B004EE">
        <w:rPr>
          <w:rFonts w:ascii="Tahoma" w:hAnsi="Tahoma" w:cs="Tahoma"/>
          <w:sz w:val="20"/>
          <w:szCs w:val="20"/>
        </w:rPr>
        <w:t>période</w:t>
      </w:r>
      <w:r w:rsidR="00DB1635" w:rsidRPr="00B004EE">
        <w:rPr>
          <w:rFonts w:ascii="Tahoma" w:hAnsi="Tahoma" w:cs="Tahoma"/>
          <w:spacing w:val="34"/>
          <w:sz w:val="20"/>
          <w:szCs w:val="20"/>
        </w:rPr>
        <w:t xml:space="preserve"> </w:t>
      </w:r>
      <w:r w:rsidRPr="00B004EE">
        <w:rPr>
          <w:rFonts w:ascii="Tahoma" w:hAnsi="Tahoma" w:cs="Tahoma"/>
          <w:sz w:val="20"/>
          <w:szCs w:val="20"/>
        </w:rPr>
        <w:t>définie</w:t>
      </w:r>
      <w:r w:rsidR="00DB1635" w:rsidRPr="00B004EE">
        <w:rPr>
          <w:rFonts w:ascii="Tahoma" w:hAnsi="Tahoma" w:cs="Tahoma"/>
          <w:spacing w:val="30"/>
          <w:sz w:val="20"/>
          <w:szCs w:val="20"/>
        </w:rPr>
        <w:t xml:space="preserve"> </w:t>
      </w:r>
      <w:r w:rsidRPr="00B004EE">
        <w:rPr>
          <w:rFonts w:ascii="Tahoma" w:hAnsi="Tahoma" w:cs="Tahoma"/>
          <w:sz w:val="20"/>
          <w:szCs w:val="20"/>
        </w:rPr>
        <w:t>par</w:t>
      </w:r>
      <w:r w:rsidR="00DB1635" w:rsidRPr="00B004EE">
        <w:rPr>
          <w:rFonts w:ascii="Tahoma" w:hAnsi="Tahoma" w:cs="Tahoma"/>
          <w:spacing w:val="29"/>
          <w:sz w:val="20"/>
          <w:szCs w:val="20"/>
        </w:rPr>
        <w:t xml:space="preserve"> </w:t>
      </w:r>
      <w:r w:rsidRPr="00B004EE">
        <w:rPr>
          <w:rFonts w:ascii="Tahoma" w:hAnsi="Tahoma" w:cs="Tahoma"/>
          <w:sz w:val="20"/>
          <w:szCs w:val="20"/>
        </w:rPr>
        <w:t>décret</w:t>
      </w:r>
      <w:r w:rsidR="00DB1635" w:rsidRPr="00B004EE">
        <w:rPr>
          <w:rFonts w:ascii="Tahoma" w:hAnsi="Tahoma" w:cs="Tahoma"/>
          <w:spacing w:val="31"/>
          <w:sz w:val="20"/>
          <w:szCs w:val="20"/>
        </w:rPr>
        <w:t xml:space="preserve"> </w:t>
      </w:r>
      <w:r w:rsidRPr="00B004EE">
        <w:rPr>
          <w:rFonts w:ascii="Tahoma" w:hAnsi="Tahoma" w:cs="Tahoma"/>
          <w:sz w:val="20"/>
          <w:szCs w:val="20"/>
        </w:rPr>
        <w:t>pris</w:t>
      </w:r>
      <w:r w:rsidR="00DB1635" w:rsidRPr="00B004EE">
        <w:rPr>
          <w:rFonts w:ascii="Tahoma" w:hAnsi="Tahoma" w:cs="Tahoma"/>
          <w:spacing w:val="30"/>
          <w:sz w:val="20"/>
          <w:szCs w:val="20"/>
        </w:rPr>
        <w:t xml:space="preserve"> </w:t>
      </w:r>
      <w:r w:rsidRPr="00B004EE">
        <w:rPr>
          <w:rFonts w:ascii="Tahoma" w:hAnsi="Tahoma" w:cs="Tahoma"/>
          <w:sz w:val="20"/>
          <w:szCs w:val="20"/>
        </w:rPr>
        <w:t>en</w:t>
      </w:r>
      <w:r w:rsidR="00DB1635" w:rsidRPr="00B004EE">
        <w:rPr>
          <w:rFonts w:ascii="Tahoma" w:hAnsi="Tahoma" w:cs="Tahoma"/>
          <w:spacing w:val="31"/>
          <w:sz w:val="20"/>
          <w:szCs w:val="20"/>
        </w:rPr>
        <w:t xml:space="preserve"> </w:t>
      </w:r>
      <w:r w:rsidRPr="00B004EE">
        <w:rPr>
          <w:rFonts w:ascii="Tahoma" w:hAnsi="Tahoma" w:cs="Tahoma"/>
          <w:sz w:val="20"/>
          <w:szCs w:val="20"/>
        </w:rPr>
        <w:t>Conseil</w:t>
      </w:r>
      <w:r w:rsidR="00DB1635" w:rsidRPr="00B004EE">
        <w:rPr>
          <w:rFonts w:ascii="Tahoma" w:hAnsi="Tahoma" w:cs="Tahoma"/>
          <w:spacing w:val="31"/>
          <w:sz w:val="20"/>
          <w:szCs w:val="20"/>
        </w:rPr>
        <w:t xml:space="preserve"> </w:t>
      </w:r>
      <w:r w:rsidRPr="00B004EE">
        <w:rPr>
          <w:rFonts w:ascii="Tahoma" w:hAnsi="Tahoma" w:cs="Tahoma"/>
          <w:sz w:val="20"/>
          <w:szCs w:val="20"/>
        </w:rPr>
        <w:t>des</w:t>
      </w:r>
      <w:r w:rsidR="00DB1635" w:rsidRPr="00B004EE">
        <w:rPr>
          <w:rFonts w:ascii="Tahoma" w:hAnsi="Tahoma" w:cs="Tahoma"/>
          <w:spacing w:val="30"/>
          <w:sz w:val="20"/>
          <w:szCs w:val="20"/>
        </w:rPr>
        <w:t xml:space="preserve"> </w:t>
      </w:r>
      <w:r w:rsidRPr="00B004EE">
        <w:rPr>
          <w:rFonts w:ascii="Tahoma" w:hAnsi="Tahoma" w:cs="Tahoma"/>
          <w:sz w:val="20"/>
          <w:szCs w:val="20"/>
        </w:rPr>
        <w:t>ministres</w:t>
      </w:r>
      <w:r w:rsidR="00DB1635" w:rsidRPr="00B004EE">
        <w:rPr>
          <w:rFonts w:ascii="Tahoma" w:hAnsi="Tahoma" w:cs="Tahoma"/>
          <w:spacing w:val="30"/>
          <w:sz w:val="20"/>
          <w:szCs w:val="20"/>
        </w:rPr>
        <w:t xml:space="preserve"> </w:t>
      </w:r>
      <w:r w:rsidRPr="00B004EE">
        <w:rPr>
          <w:rFonts w:ascii="Tahoma" w:hAnsi="Tahoma" w:cs="Tahoma"/>
          <w:sz w:val="20"/>
          <w:szCs w:val="20"/>
        </w:rPr>
        <w:t>sur</w:t>
      </w:r>
      <w:r w:rsidR="00DB1635" w:rsidRPr="00B004EE">
        <w:rPr>
          <w:rFonts w:ascii="Tahoma" w:hAnsi="Tahoma" w:cs="Tahoma"/>
          <w:w w:val="90"/>
          <w:sz w:val="20"/>
          <w:szCs w:val="20"/>
        </w:rPr>
        <w:t xml:space="preserve"> </w:t>
      </w:r>
      <w:r w:rsidRPr="00B004EE">
        <w:rPr>
          <w:rFonts w:ascii="Tahoma" w:hAnsi="Tahoma" w:cs="Tahoma"/>
          <w:w w:val="95"/>
          <w:sz w:val="20"/>
          <w:szCs w:val="20"/>
        </w:rPr>
        <w:t>rapport</w:t>
      </w:r>
      <w:r w:rsidR="00DB1635" w:rsidRPr="00B004EE">
        <w:rPr>
          <w:rFonts w:ascii="Tahoma" w:hAnsi="Tahoma" w:cs="Tahoma"/>
          <w:w w:val="95"/>
          <w:sz w:val="20"/>
          <w:szCs w:val="20"/>
        </w:rPr>
        <w:t xml:space="preserve"> </w:t>
      </w:r>
      <w:r w:rsidRPr="00B004EE">
        <w:rPr>
          <w:rFonts w:ascii="Tahoma" w:hAnsi="Tahoma" w:cs="Tahoma"/>
          <w:w w:val="95"/>
          <w:sz w:val="20"/>
          <w:szCs w:val="20"/>
        </w:rPr>
        <w:t>du</w:t>
      </w:r>
      <w:r w:rsidR="00DB1635" w:rsidRPr="00B004EE">
        <w:rPr>
          <w:rFonts w:ascii="Tahoma" w:hAnsi="Tahoma" w:cs="Tahoma"/>
          <w:w w:val="95"/>
          <w:sz w:val="20"/>
          <w:szCs w:val="20"/>
        </w:rPr>
        <w:t xml:space="preserve"> </w:t>
      </w:r>
      <w:r w:rsidRPr="00B004EE">
        <w:rPr>
          <w:rFonts w:ascii="Tahoma" w:hAnsi="Tahoma" w:cs="Tahoma"/>
          <w:w w:val="95"/>
          <w:sz w:val="20"/>
          <w:szCs w:val="20"/>
        </w:rPr>
        <w:t>ministre</w:t>
      </w:r>
      <w:r w:rsidR="00DB1635" w:rsidRPr="00B004EE">
        <w:rPr>
          <w:rFonts w:ascii="Tahoma" w:hAnsi="Tahoma" w:cs="Tahoma"/>
          <w:w w:val="95"/>
          <w:sz w:val="20"/>
          <w:szCs w:val="20"/>
        </w:rPr>
        <w:t xml:space="preserve"> </w:t>
      </w:r>
      <w:r w:rsidRPr="00B004EE">
        <w:rPr>
          <w:rFonts w:ascii="Tahoma" w:hAnsi="Tahoma" w:cs="Tahoma"/>
          <w:w w:val="95"/>
          <w:sz w:val="20"/>
          <w:szCs w:val="20"/>
        </w:rPr>
        <w:t>chargé</w:t>
      </w:r>
      <w:r w:rsidR="00DB1635" w:rsidRPr="00B004EE">
        <w:rPr>
          <w:rFonts w:ascii="Tahoma" w:hAnsi="Tahoma" w:cs="Tahoma"/>
          <w:w w:val="95"/>
          <w:sz w:val="20"/>
          <w:szCs w:val="20"/>
        </w:rPr>
        <w:t xml:space="preserve"> </w:t>
      </w:r>
      <w:r w:rsidRPr="00B004EE">
        <w:rPr>
          <w:rFonts w:ascii="Tahoma" w:hAnsi="Tahoma" w:cs="Tahoma"/>
          <w:w w:val="95"/>
          <w:sz w:val="20"/>
          <w:szCs w:val="20"/>
        </w:rPr>
        <w:t>des</w:t>
      </w:r>
      <w:r w:rsidR="00DB1635" w:rsidRPr="00B004EE">
        <w:rPr>
          <w:rFonts w:ascii="Tahoma" w:hAnsi="Tahoma" w:cs="Tahoma"/>
          <w:spacing w:val="33"/>
          <w:w w:val="95"/>
          <w:sz w:val="20"/>
          <w:szCs w:val="20"/>
        </w:rPr>
        <w:t xml:space="preserve"> </w:t>
      </w:r>
      <w:r w:rsidRPr="00B004EE">
        <w:rPr>
          <w:rFonts w:ascii="Tahoma" w:hAnsi="Tahoma" w:cs="Tahoma"/>
          <w:w w:val="95"/>
          <w:sz w:val="20"/>
          <w:szCs w:val="20"/>
        </w:rPr>
        <w:t>pêches.</w:t>
      </w:r>
    </w:p>
    <w:p w14:paraId="720C1EDA" w14:textId="77777777" w:rsidR="001E7C3C" w:rsidRPr="00B004EE" w:rsidRDefault="001E7C3C" w:rsidP="00B004EE">
      <w:pPr>
        <w:rPr>
          <w:rFonts w:ascii="Tahoma" w:eastAsia="American Typewriter" w:hAnsi="Tahoma" w:cs="Tahoma"/>
          <w:sz w:val="20"/>
          <w:szCs w:val="20"/>
        </w:rPr>
      </w:pPr>
    </w:p>
    <w:p w14:paraId="5608863B" w14:textId="6F47A5BB" w:rsidR="001E7C3C" w:rsidRPr="00B004EE" w:rsidRDefault="001E7C3C" w:rsidP="00B004EE">
      <w:pPr>
        <w:pStyle w:val="Corpsdetexte"/>
        <w:ind w:right="157"/>
        <w:rPr>
          <w:rFonts w:ascii="Tahoma" w:hAnsi="Tahoma" w:cs="Tahoma"/>
          <w:sz w:val="20"/>
          <w:szCs w:val="20"/>
        </w:rPr>
      </w:pPr>
      <w:r w:rsidRPr="00B004EE">
        <w:rPr>
          <w:rFonts w:ascii="Tahoma" w:hAnsi="Tahoma" w:cs="Tahoma"/>
          <w:sz w:val="20"/>
          <w:szCs w:val="20"/>
        </w:rPr>
        <w:t>Passée</w:t>
      </w:r>
      <w:r w:rsidR="00DB1635" w:rsidRPr="00B004EE">
        <w:rPr>
          <w:rFonts w:ascii="Tahoma" w:hAnsi="Tahoma" w:cs="Tahoma"/>
          <w:sz w:val="20"/>
          <w:szCs w:val="20"/>
        </w:rPr>
        <w:t xml:space="preserve"> </w:t>
      </w:r>
      <w:r w:rsidRPr="00B004EE">
        <w:rPr>
          <w:rFonts w:ascii="Tahoma" w:hAnsi="Tahoma" w:cs="Tahoma"/>
          <w:sz w:val="20"/>
          <w:szCs w:val="20"/>
        </w:rPr>
        <w:t>cette</w:t>
      </w:r>
      <w:r w:rsidR="00DB1635" w:rsidRPr="00B004EE">
        <w:rPr>
          <w:rFonts w:ascii="Tahoma" w:hAnsi="Tahoma" w:cs="Tahoma"/>
          <w:sz w:val="20"/>
          <w:szCs w:val="20"/>
        </w:rPr>
        <w:t xml:space="preserve"> </w:t>
      </w:r>
      <w:r w:rsidRPr="00B004EE">
        <w:rPr>
          <w:rFonts w:ascii="Tahoma" w:hAnsi="Tahoma" w:cs="Tahoma"/>
          <w:sz w:val="20"/>
          <w:szCs w:val="20"/>
        </w:rPr>
        <w:t>période,</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concessions</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droit</w:t>
      </w:r>
      <w:r w:rsidR="00DB1635" w:rsidRPr="00B004EE">
        <w:rPr>
          <w:rFonts w:ascii="Tahoma" w:hAnsi="Tahoma" w:cs="Tahoma"/>
          <w:sz w:val="20"/>
          <w:szCs w:val="20"/>
        </w:rPr>
        <w:t xml:space="preserve"> </w:t>
      </w:r>
      <w:r w:rsidRPr="00B004EE">
        <w:rPr>
          <w:rFonts w:ascii="Tahoma" w:hAnsi="Tahoma" w:cs="Tahoma"/>
          <w:sz w:val="20"/>
          <w:szCs w:val="20"/>
        </w:rPr>
        <w:t>d'usage</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transférables</w:t>
      </w:r>
      <w:r w:rsidR="00DB1635" w:rsidRPr="00B004EE">
        <w:rPr>
          <w:rFonts w:ascii="Tahoma" w:hAnsi="Tahoma" w:cs="Tahoma"/>
          <w:spacing w:val="5"/>
          <w:sz w:val="20"/>
          <w:szCs w:val="20"/>
        </w:rPr>
        <w:t xml:space="preserve"> </w:t>
      </w:r>
      <w:r w:rsidRPr="00B004EE">
        <w:rPr>
          <w:rFonts w:ascii="Tahoma" w:hAnsi="Tahoma" w:cs="Tahoma"/>
          <w:sz w:val="20"/>
          <w:szCs w:val="20"/>
        </w:rPr>
        <w:t>sur</w:t>
      </w:r>
      <w:r w:rsidR="00DB1635" w:rsidRPr="00B004EE">
        <w:rPr>
          <w:rFonts w:ascii="Tahoma" w:hAnsi="Tahoma" w:cs="Tahoma"/>
          <w:w w:val="90"/>
          <w:sz w:val="20"/>
          <w:szCs w:val="20"/>
        </w:rPr>
        <w:t xml:space="preserve"> </w:t>
      </w:r>
      <w:r w:rsidRPr="00B004EE">
        <w:rPr>
          <w:rFonts w:ascii="Tahoma" w:hAnsi="Tahoma" w:cs="Tahoma"/>
          <w:w w:val="95"/>
          <w:sz w:val="20"/>
          <w:szCs w:val="20"/>
        </w:rPr>
        <w:t>autorisation</w:t>
      </w:r>
      <w:r w:rsidR="00DB1635" w:rsidRPr="00B004EE">
        <w:rPr>
          <w:rFonts w:ascii="Tahoma" w:hAnsi="Tahoma" w:cs="Tahoma"/>
          <w:w w:val="95"/>
          <w:sz w:val="20"/>
          <w:szCs w:val="20"/>
        </w:rPr>
        <w:t xml:space="preserve"> </w:t>
      </w:r>
      <w:r w:rsidRPr="00B004EE">
        <w:rPr>
          <w:rFonts w:ascii="Tahoma" w:hAnsi="Tahoma" w:cs="Tahoma"/>
          <w:w w:val="95"/>
          <w:sz w:val="20"/>
          <w:szCs w:val="20"/>
        </w:rPr>
        <w:t>du</w:t>
      </w:r>
      <w:r w:rsidR="00DB1635" w:rsidRPr="00B004EE">
        <w:rPr>
          <w:rFonts w:ascii="Tahoma" w:hAnsi="Tahoma" w:cs="Tahoma"/>
          <w:w w:val="95"/>
          <w:sz w:val="20"/>
          <w:szCs w:val="20"/>
        </w:rPr>
        <w:t xml:space="preserve"> </w:t>
      </w:r>
      <w:r w:rsidRPr="00B004EE">
        <w:rPr>
          <w:rFonts w:ascii="Tahoma" w:hAnsi="Tahoma" w:cs="Tahoma"/>
          <w:w w:val="95"/>
          <w:sz w:val="20"/>
          <w:szCs w:val="20"/>
        </w:rPr>
        <w:t>ministre</w:t>
      </w:r>
      <w:r w:rsidR="00DB1635" w:rsidRPr="00B004EE">
        <w:rPr>
          <w:rFonts w:ascii="Tahoma" w:hAnsi="Tahoma" w:cs="Tahoma"/>
          <w:w w:val="95"/>
          <w:sz w:val="20"/>
          <w:szCs w:val="20"/>
        </w:rPr>
        <w:t xml:space="preserve"> </w:t>
      </w:r>
      <w:r w:rsidRPr="00B004EE">
        <w:rPr>
          <w:rFonts w:ascii="Tahoma" w:hAnsi="Tahoma" w:cs="Tahoma"/>
          <w:w w:val="95"/>
          <w:sz w:val="20"/>
          <w:szCs w:val="20"/>
        </w:rPr>
        <w:t>chargé</w:t>
      </w:r>
      <w:r w:rsidR="00DB1635" w:rsidRPr="00B004EE">
        <w:rPr>
          <w:rFonts w:ascii="Tahoma" w:hAnsi="Tahoma" w:cs="Tahoma"/>
          <w:w w:val="95"/>
          <w:sz w:val="20"/>
          <w:szCs w:val="20"/>
        </w:rPr>
        <w:t xml:space="preserve"> </w:t>
      </w:r>
      <w:r w:rsidRPr="00B004EE">
        <w:rPr>
          <w:rFonts w:ascii="Tahoma" w:hAnsi="Tahoma" w:cs="Tahoma"/>
          <w:w w:val="95"/>
          <w:sz w:val="20"/>
          <w:szCs w:val="20"/>
        </w:rPr>
        <w:t>des</w:t>
      </w:r>
      <w:r w:rsidR="00DB1635" w:rsidRPr="00B004EE">
        <w:rPr>
          <w:rFonts w:ascii="Tahoma" w:hAnsi="Tahoma" w:cs="Tahoma"/>
          <w:spacing w:val="51"/>
          <w:w w:val="95"/>
          <w:sz w:val="20"/>
          <w:szCs w:val="20"/>
        </w:rPr>
        <w:t xml:space="preserve"> </w:t>
      </w:r>
      <w:r w:rsidRPr="00B004EE">
        <w:rPr>
          <w:rFonts w:ascii="Tahoma" w:hAnsi="Tahoma" w:cs="Tahoma"/>
          <w:w w:val="95"/>
          <w:sz w:val="20"/>
          <w:szCs w:val="20"/>
        </w:rPr>
        <w:t>pêches.</w:t>
      </w:r>
    </w:p>
    <w:p w14:paraId="20127B26" w14:textId="77777777" w:rsidR="001E7C3C" w:rsidRPr="00B004EE" w:rsidRDefault="001E7C3C" w:rsidP="00B004EE">
      <w:pPr>
        <w:rPr>
          <w:rFonts w:ascii="Tahoma" w:eastAsia="American Typewriter" w:hAnsi="Tahoma" w:cs="Tahoma"/>
          <w:sz w:val="20"/>
          <w:szCs w:val="20"/>
        </w:rPr>
      </w:pPr>
    </w:p>
    <w:p w14:paraId="000B21FF" w14:textId="354174E4" w:rsidR="001E7C3C" w:rsidRPr="00B004EE" w:rsidRDefault="001E7C3C" w:rsidP="00B004EE">
      <w:pPr>
        <w:pStyle w:val="Corpsdetexte"/>
        <w:ind w:right="158"/>
        <w:rPr>
          <w:rFonts w:ascii="Tahoma" w:hAnsi="Tahoma" w:cs="Tahoma"/>
          <w:sz w:val="20"/>
          <w:szCs w:val="20"/>
        </w:rPr>
      </w:pPr>
      <w:r w:rsidRPr="00B004EE">
        <w:rPr>
          <w:rFonts w:ascii="Tahoma" w:eastAsia="American Typewriter" w:hAnsi="Tahoma" w:cs="Tahoma"/>
          <w:sz w:val="20"/>
          <w:szCs w:val="20"/>
        </w:rPr>
        <w:t>Article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30</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w:t>
      </w:r>
      <w:r w:rsidR="00DB1635" w:rsidRPr="00B004EE">
        <w:rPr>
          <w:rFonts w:ascii="Tahoma" w:eastAsia="American Typewriter" w:hAnsi="Tahoma" w:cs="Tahoma"/>
          <w:b/>
          <w:bCs/>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pêcheries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nat</w:t>
      </w:r>
      <w:r w:rsidRPr="00B004EE">
        <w:rPr>
          <w:rFonts w:ascii="Tahoma" w:eastAsia="American Typewriter" w:hAnsi="Tahoma" w:cs="Tahoma"/>
          <w:sz w:val="20"/>
          <w:szCs w:val="20"/>
        </w:rPr>
        <w:t>ure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commerciale,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l’allocation</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de</w:t>
      </w:r>
      <w:r w:rsidRPr="00B004EE">
        <w:rPr>
          <w:rFonts w:ascii="Tahoma" w:hAnsi="Tahoma" w:cs="Tahoma"/>
          <w:sz w:val="20"/>
          <w:szCs w:val="20"/>
        </w:rPr>
        <w:t>s</w:t>
      </w:r>
      <w:r w:rsidR="00DB1635" w:rsidRPr="00B004EE">
        <w:rPr>
          <w:rFonts w:ascii="Tahoma" w:hAnsi="Tahoma" w:cs="Tahoma"/>
          <w:spacing w:val="31"/>
          <w:sz w:val="20"/>
          <w:szCs w:val="20"/>
        </w:rPr>
        <w:t xml:space="preserve"> </w:t>
      </w:r>
      <w:r w:rsidRPr="00B004EE">
        <w:rPr>
          <w:rFonts w:ascii="Tahoma" w:hAnsi="Tahoma" w:cs="Tahoma"/>
          <w:sz w:val="20"/>
          <w:szCs w:val="20"/>
        </w:rPr>
        <w:t>droits</w:t>
      </w:r>
      <w:r w:rsidR="00DB1635" w:rsidRPr="00B004EE">
        <w:rPr>
          <w:rFonts w:ascii="Tahoma" w:hAnsi="Tahoma" w:cs="Tahoma"/>
          <w:spacing w:val="-1"/>
          <w:w w:val="95"/>
          <w:sz w:val="20"/>
          <w:szCs w:val="20"/>
        </w:rPr>
        <w:t xml:space="preserve"> </w:t>
      </w:r>
      <w:r w:rsidRPr="00B004EE">
        <w:rPr>
          <w:rFonts w:ascii="Tahoma" w:hAnsi="Tahoma" w:cs="Tahoma"/>
          <w:sz w:val="20"/>
          <w:szCs w:val="20"/>
        </w:rPr>
        <w:t>d'usage</w:t>
      </w:r>
      <w:r w:rsidR="00DB1635" w:rsidRPr="00B004EE">
        <w:rPr>
          <w:rFonts w:ascii="Tahoma" w:hAnsi="Tahoma" w:cs="Tahoma"/>
          <w:spacing w:val="-15"/>
          <w:sz w:val="20"/>
          <w:szCs w:val="20"/>
        </w:rPr>
        <w:t xml:space="preserve"> </w:t>
      </w:r>
      <w:r w:rsidRPr="00B004EE">
        <w:rPr>
          <w:rFonts w:ascii="Tahoma" w:hAnsi="Tahoma" w:cs="Tahoma"/>
          <w:sz w:val="20"/>
          <w:szCs w:val="20"/>
        </w:rPr>
        <w:t>sous</w:t>
      </w:r>
      <w:r w:rsidR="00DB1635" w:rsidRPr="00B004EE">
        <w:rPr>
          <w:rFonts w:ascii="Tahoma" w:hAnsi="Tahoma" w:cs="Tahoma"/>
          <w:spacing w:val="-17"/>
          <w:sz w:val="20"/>
          <w:szCs w:val="20"/>
        </w:rPr>
        <w:t xml:space="preserve"> </w:t>
      </w:r>
      <w:r w:rsidRPr="00B004EE">
        <w:rPr>
          <w:rFonts w:ascii="Tahoma" w:hAnsi="Tahoma" w:cs="Tahoma"/>
          <w:sz w:val="20"/>
          <w:szCs w:val="20"/>
        </w:rPr>
        <w:t>la</w:t>
      </w:r>
      <w:r w:rsidR="00DB1635" w:rsidRPr="00B004EE">
        <w:rPr>
          <w:rFonts w:ascii="Tahoma" w:hAnsi="Tahoma" w:cs="Tahoma"/>
          <w:spacing w:val="-16"/>
          <w:sz w:val="20"/>
          <w:szCs w:val="20"/>
        </w:rPr>
        <w:t xml:space="preserve"> </w:t>
      </w:r>
      <w:r w:rsidRPr="00B004EE">
        <w:rPr>
          <w:rFonts w:ascii="Tahoma" w:hAnsi="Tahoma" w:cs="Tahoma"/>
          <w:sz w:val="20"/>
          <w:szCs w:val="20"/>
        </w:rPr>
        <w:t>forme</w:t>
      </w:r>
      <w:r w:rsidR="00DB1635" w:rsidRPr="00B004EE">
        <w:rPr>
          <w:rFonts w:ascii="Tahoma" w:hAnsi="Tahoma" w:cs="Tahoma"/>
          <w:spacing w:val="-17"/>
          <w:sz w:val="20"/>
          <w:szCs w:val="20"/>
        </w:rPr>
        <w:t xml:space="preserve"> </w:t>
      </w:r>
      <w:r w:rsidRPr="00B004EE">
        <w:rPr>
          <w:rFonts w:ascii="Tahoma" w:hAnsi="Tahoma" w:cs="Tahoma"/>
          <w:sz w:val="20"/>
          <w:szCs w:val="20"/>
        </w:rPr>
        <w:t>de</w:t>
      </w:r>
      <w:r w:rsidR="00DB1635" w:rsidRPr="00B004EE">
        <w:rPr>
          <w:rFonts w:ascii="Tahoma" w:hAnsi="Tahoma" w:cs="Tahoma"/>
          <w:spacing w:val="-17"/>
          <w:sz w:val="20"/>
          <w:szCs w:val="20"/>
        </w:rPr>
        <w:t xml:space="preserve"> </w:t>
      </w:r>
      <w:r w:rsidRPr="00B004EE">
        <w:rPr>
          <w:rFonts w:ascii="Tahoma" w:hAnsi="Tahoma" w:cs="Tahoma"/>
          <w:sz w:val="20"/>
          <w:szCs w:val="20"/>
        </w:rPr>
        <w:t>quotas</w:t>
      </w:r>
      <w:r w:rsidR="00DB1635" w:rsidRPr="00B004EE">
        <w:rPr>
          <w:rFonts w:ascii="Tahoma" w:hAnsi="Tahoma" w:cs="Tahoma"/>
          <w:spacing w:val="-17"/>
          <w:sz w:val="20"/>
          <w:szCs w:val="20"/>
        </w:rPr>
        <w:t xml:space="preserve"> </w:t>
      </w:r>
      <w:r w:rsidRPr="00B004EE">
        <w:rPr>
          <w:rFonts w:ascii="Tahoma" w:hAnsi="Tahoma" w:cs="Tahoma"/>
          <w:sz w:val="20"/>
          <w:szCs w:val="20"/>
        </w:rPr>
        <w:t>individuels</w:t>
      </w:r>
      <w:r w:rsidR="00DB1635" w:rsidRPr="00B004EE">
        <w:rPr>
          <w:rFonts w:ascii="Tahoma" w:hAnsi="Tahoma" w:cs="Tahoma"/>
          <w:spacing w:val="-17"/>
          <w:sz w:val="20"/>
          <w:szCs w:val="20"/>
        </w:rPr>
        <w:t xml:space="preserve"> </w:t>
      </w:r>
      <w:r w:rsidRPr="00B004EE">
        <w:rPr>
          <w:rFonts w:ascii="Tahoma" w:hAnsi="Tahoma" w:cs="Tahoma"/>
          <w:sz w:val="20"/>
          <w:szCs w:val="20"/>
        </w:rPr>
        <w:t>est</w:t>
      </w:r>
      <w:r w:rsidR="00DB1635" w:rsidRPr="00B004EE">
        <w:rPr>
          <w:rFonts w:ascii="Tahoma" w:hAnsi="Tahoma" w:cs="Tahoma"/>
          <w:spacing w:val="-17"/>
          <w:sz w:val="20"/>
          <w:szCs w:val="20"/>
        </w:rPr>
        <w:t xml:space="preserve"> </w:t>
      </w:r>
      <w:r w:rsidRPr="00B004EE">
        <w:rPr>
          <w:rFonts w:ascii="Tahoma" w:hAnsi="Tahoma" w:cs="Tahoma"/>
          <w:sz w:val="20"/>
          <w:szCs w:val="20"/>
        </w:rPr>
        <w:t>privilégiée.</w:t>
      </w:r>
      <w:r w:rsidR="00DB1635" w:rsidRPr="00B004EE">
        <w:rPr>
          <w:rFonts w:ascii="Tahoma" w:hAnsi="Tahoma" w:cs="Tahoma"/>
          <w:spacing w:val="-16"/>
          <w:sz w:val="20"/>
          <w:szCs w:val="20"/>
        </w:rPr>
        <w:t xml:space="preserve"> </w:t>
      </w:r>
      <w:r w:rsidRPr="00B004EE">
        <w:rPr>
          <w:rFonts w:ascii="Tahoma" w:hAnsi="Tahoma" w:cs="Tahoma"/>
          <w:sz w:val="20"/>
          <w:szCs w:val="20"/>
        </w:rPr>
        <w:t>Toutefois,</w:t>
      </w:r>
      <w:r w:rsidR="00DB1635" w:rsidRPr="00B004EE">
        <w:rPr>
          <w:rFonts w:ascii="Tahoma" w:hAnsi="Tahoma" w:cs="Tahoma"/>
          <w:spacing w:val="-17"/>
          <w:sz w:val="20"/>
          <w:szCs w:val="20"/>
        </w:rPr>
        <w:t xml:space="preserve"> </w:t>
      </w:r>
      <w:r w:rsidRPr="00B004EE">
        <w:rPr>
          <w:rFonts w:ascii="Tahoma" w:hAnsi="Tahoma" w:cs="Tahoma"/>
          <w:sz w:val="20"/>
          <w:szCs w:val="20"/>
        </w:rPr>
        <w:t>les</w:t>
      </w:r>
      <w:r w:rsidR="00DB1635" w:rsidRPr="00B004EE">
        <w:rPr>
          <w:rFonts w:ascii="Tahoma" w:hAnsi="Tahoma" w:cs="Tahoma"/>
          <w:spacing w:val="-17"/>
          <w:sz w:val="20"/>
          <w:szCs w:val="20"/>
        </w:rPr>
        <w:t xml:space="preserve"> </w:t>
      </w:r>
      <w:r w:rsidRPr="00B004EE">
        <w:rPr>
          <w:rFonts w:ascii="Tahoma" w:hAnsi="Tahoma" w:cs="Tahoma"/>
          <w:sz w:val="20"/>
          <w:szCs w:val="20"/>
        </w:rPr>
        <w:t>pêcheries</w:t>
      </w:r>
      <w:r w:rsidR="00DB1635" w:rsidRPr="00B004EE">
        <w:rPr>
          <w:rFonts w:ascii="Tahoma" w:hAnsi="Tahoma" w:cs="Tahoma"/>
          <w:w w:val="94"/>
          <w:sz w:val="20"/>
          <w:szCs w:val="20"/>
        </w:rPr>
        <w:t xml:space="preserve"> </w:t>
      </w:r>
      <w:r w:rsidRPr="00B004EE">
        <w:rPr>
          <w:rFonts w:ascii="Tahoma" w:hAnsi="Tahoma" w:cs="Tahoma"/>
          <w:sz w:val="20"/>
          <w:szCs w:val="20"/>
        </w:rPr>
        <w:t>commerciales,</w:t>
      </w:r>
      <w:r w:rsidR="00DB1635" w:rsidRPr="00B004EE">
        <w:rPr>
          <w:rFonts w:ascii="Tahoma" w:hAnsi="Tahoma" w:cs="Tahoma"/>
          <w:sz w:val="20"/>
          <w:szCs w:val="20"/>
        </w:rPr>
        <w:t xml:space="preserve"> </w:t>
      </w:r>
      <w:r w:rsidRPr="00B004EE">
        <w:rPr>
          <w:rFonts w:ascii="Tahoma" w:hAnsi="Tahoma" w:cs="Tahoma"/>
          <w:sz w:val="20"/>
          <w:szCs w:val="20"/>
        </w:rPr>
        <w:t>dont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caractéristiques</w:t>
      </w:r>
      <w:r w:rsidR="00DB1635" w:rsidRPr="00B004EE">
        <w:rPr>
          <w:rFonts w:ascii="Tahoma" w:hAnsi="Tahoma" w:cs="Tahoma"/>
          <w:sz w:val="20"/>
          <w:szCs w:val="20"/>
        </w:rPr>
        <w:t xml:space="preserve"> </w:t>
      </w:r>
      <w:r w:rsidRPr="00B004EE">
        <w:rPr>
          <w:rFonts w:ascii="Tahoma" w:hAnsi="Tahoma" w:cs="Tahoma"/>
          <w:sz w:val="20"/>
          <w:szCs w:val="20"/>
        </w:rPr>
        <w:t>ne</w:t>
      </w:r>
      <w:r w:rsidR="00DB1635" w:rsidRPr="00B004EE">
        <w:rPr>
          <w:rFonts w:ascii="Tahoma" w:hAnsi="Tahoma" w:cs="Tahoma"/>
          <w:sz w:val="20"/>
          <w:szCs w:val="20"/>
        </w:rPr>
        <w:t xml:space="preserve"> </w:t>
      </w:r>
      <w:r w:rsidRPr="00B004EE">
        <w:rPr>
          <w:rFonts w:ascii="Tahoma" w:hAnsi="Tahoma" w:cs="Tahoma"/>
          <w:sz w:val="20"/>
          <w:szCs w:val="20"/>
        </w:rPr>
        <w:t>permettraient</w:t>
      </w:r>
      <w:r w:rsidR="00DB1635" w:rsidRPr="00B004EE">
        <w:rPr>
          <w:rFonts w:ascii="Tahoma" w:hAnsi="Tahoma" w:cs="Tahoma"/>
          <w:sz w:val="20"/>
          <w:szCs w:val="20"/>
        </w:rPr>
        <w:t xml:space="preserve"> </w:t>
      </w:r>
      <w:r w:rsidRPr="00B004EE">
        <w:rPr>
          <w:rFonts w:ascii="Tahoma" w:hAnsi="Tahoma" w:cs="Tahoma"/>
          <w:sz w:val="20"/>
          <w:szCs w:val="20"/>
        </w:rPr>
        <w:t>pas</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régulation</w:t>
      </w:r>
      <w:r w:rsidR="00DB1635" w:rsidRPr="00B004EE">
        <w:rPr>
          <w:rFonts w:ascii="Tahoma" w:hAnsi="Tahoma" w:cs="Tahoma"/>
          <w:spacing w:val="14"/>
          <w:sz w:val="20"/>
          <w:szCs w:val="20"/>
        </w:rPr>
        <w:t xml:space="preserve"> </w:t>
      </w:r>
      <w:r w:rsidRPr="00B004EE">
        <w:rPr>
          <w:rFonts w:ascii="Tahoma" w:hAnsi="Tahoma" w:cs="Tahoma"/>
          <w:sz w:val="20"/>
          <w:szCs w:val="20"/>
        </w:rPr>
        <w:t>à</w:t>
      </w:r>
      <w:r w:rsidR="00DB1635" w:rsidRPr="00B004EE">
        <w:rPr>
          <w:rFonts w:ascii="Tahoma" w:hAnsi="Tahoma" w:cs="Tahoma"/>
          <w:w w:val="98"/>
          <w:sz w:val="20"/>
          <w:szCs w:val="20"/>
        </w:rPr>
        <w:t xml:space="preserve"> </w:t>
      </w:r>
      <w:r w:rsidRPr="00B004EE">
        <w:rPr>
          <w:rFonts w:ascii="Tahoma" w:eastAsia="American Typewriter" w:hAnsi="Tahoma" w:cs="Tahoma"/>
          <w:sz w:val="20"/>
          <w:szCs w:val="20"/>
        </w:rPr>
        <w:t>l’aide</w:t>
      </w:r>
      <w:r w:rsidR="00DB1635" w:rsidRPr="00B004EE">
        <w:rPr>
          <w:rFonts w:ascii="Tahoma" w:eastAsia="American Typewriter" w:hAnsi="Tahoma" w:cs="Tahoma"/>
          <w:spacing w:val="38"/>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pacing w:val="37"/>
          <w:sz w:val="20"/>
          <w:szCs w:val="20"/>
        </w:rPr>
        <w:t xml:space="preserve"> </w:t>
      </w:r>
      <w:r w:rsidRPr="00B004EE">
        <w:rPr>
          <w:rFonts w:ascii="Tahoma" w:eastAsia="American Typewriter" w:hAnsi="Tahoma" w:cs="Tahoma"/>
          <w:sz w:val="20"/>
          <w:szCs w:val="20"/>
        </w:rPr>
        <w:t>quotas</w:t>
      </w:r>
      <w:r w:rsidR="00DB1635" w:rsidRPr="00B004EE">
        <w:rPr>
          <w:rFonts w:ascii="Tahoma" w:eastAsia="American Typewriter" w:hAnsi="Tahoma" w:cs="Tahoma"/>
          <w:spacing w:val="36"/>
          <w:sz w:val="20"/>
          <w:szCs w:val="20"/>
        </w:rPr>
        <w:t xml:space="preserve"> </w:t>
      </w:r>
      <w:r w:rsidRPr="00B004EE">
        <w:rPr>
          <w:rFonts w:ascii="Tahoma" w:eastAsia="American Typewriter" w:hAnsi="Tahoma" w:cs="Tahoma"/>
          <w:sz w:val="20"/>
          <w:szCs w:val="20"/>
        </w:rPr>
        <w:t>individuels,</w:t>
      </w:r>
      <w:r w:rsidR="00DB1635" w:rsidRPr="00B004EE">
        <w:rPr>
          <w:rFonts w:ascii="Tahoma" w:eastAsia="American Typewriter" w:hAnsi="Tahoma" w:cs="Tahoma"/>
          <w:spacing w:val="36"/>
          <w:sz w:val="20"/>
          <w:szCs w:val="20"/>
        </w:rPr>
        <w:t xml:space="preserve"> </w:t>
      </w:r>
      <w:r w:rsidRPr="00B004EE">
        <w:rPr>
          <w:rFonts w:ascii="Tahoma" w:eastAsia="American Typewriter" w:hAnsi="Tahoma" w:cs="Tahoma"/>
          <w:sz w:val="20"/>
          <w:szCs w:val="20"/>
        </w:rPr>
        <w:t>pourront</w:t>
      </w:r>
      <w:r w:rsidR="00DB1635" w:rsidRPr="00B004EE">
        <w:rPr>
          <w:rFonts w:ascii="Tahoma" w:eastAsia="American Typewriter" w:hAnsi="Tahoma" w:cs="Tahoma"/>
          <w:spacing w:val="37"/>
          <w:sz w:val="20"/>
          <w:szCs w:val="20"/>
        </w:rPr>
        <w:t xml:space="preserve"> </w:t>
      </w:r>
      <w:r w:rsidRPr="00B004EE">
        <w:rPr>
          <w:rFonts w:ascii="Tahoma" w:eastAsia="American Typewriter" w:hAnsi="Tahoma" w:cs="Tahoma"/>
          <w:sz w:val="20"/>
          <w:szCs w:val="20"/>
        </w:rPr>
        <w:t>être</w:t>
      </w:r>
      <w:r w:rsidR="00DB1635" w:rsidRPr="00B004EE">
        <w:rPr>
          <w:rFonts w:ascii="Tahoma" w:eastAsia="American Typewriter" w:hAnsi="Tahoma" w:cs="Tahoma"/>
          <w:spacing w:val="40"/>
          <w:sz w:val="20"/>
          <w:szCs w:val="20"/>
        </w:rPr>
        <w:t xml:space="preserve"> </w:t>
      </w:r>
      <w:r w:rsidRPr="00B004EE">
        <w:rPr>
          <w:rFonts w:ascii="Tahoma" w:hAnsi="Tahoma" w:cs="Tahoma"/>
          <w:sz w:val="20"/>
          <w:szCs w:val="20"/>
        </w:rPr>
        <w:t>gérées</w:t>
      </w:r>
      <w:r w:rsidR="00DB1635" w:rsidRPr="00B004EE">
        <w:rPr>
          <w:rFonts w:ascii="Tahoma" w:hAnsi="Tahoma" w:cs="Tahoma"/>
          <w:spacing w:val="36"/>
          <w:sz w:val="20"/>
          <w:szCs w:val="20"/>
        </w:rPr>
        <w:t xml:space="preserve"> </w:t>
      </w:r>
      <w:r w:rsidRPr="00B004EE">
        <w:rPr>
          <w:rFonts w:ascii="Tahoma" w:hAnsi="Tahoma" w:cs="Tahoma"/>
          <w:sz w:val="20"/>
          <w:szCs w:val="20"/>
        </w:rPr>
        <w:t>au</w:t>
      </w:r>
      <w:r w:rsidR="00DB1635" w:rsidRPr="00B004EE">
        <w:rPr>
          <w:rFonts w:ascii="Tahoma" w:hAnsi="Tahoma" w:cs="Tahoma"/>
          <w:spacing w:val="36"/>
          <w:sz w:val="20"/>
          <w:szCs w:val="20"/>
        </w:rPr>
        <w:t xml:space="preserve"> </w:t>
      </w:r>
      <w:r w:rsidRPr="00B004EE">
        <w:rPr>
          <w:rFonts w:ascii="Tahoma" w:hAnsi="Tahoma" w:cs="Tahoma"/>
          <w:sz w:val="20"/>
          <w:szCs w:val="20"/>
        </w:rPr>
        <w:t>moyen</w:t>
      </w:r>
      <w:r w:rsidR="00DB1635" w:rsidRPr="00B004EE">
        <w:rPr>
          <w:rFonts w:ascii="Tahoma" w:hAnsi="Tahoma" w:cs="Tahoma"/>
          <w:spacing w:val="38"/>
          <w:sz w:val="20"/>
          <w:szCs w:val="20"/>
        </w:rPr>
        <w:t xml:space="preserve"> </w:t>
      </w:r>
      <w:r w:rsidRPr="00B004EE">
        <w:rPr>
          <w:rFonts w:ascii="Tahoma" w:eastAsia="American Typewriter" w:hAnsi="Tahoma" w:cs="Tahoma"/>
          <w:sz w:val="20"/>
          <w:szCs w:val="20"/>
        </w:rPr>
        <w:t>d’autres</w:t>
      </w:r>
      <w:r w:rsidR="00DB1635" w:rsidRPr="00B004EE">
        <w:rPr>
          <w:rFonts w:ascii="Tahoma" w:eastAsia="American Typewriter" w:hAnsi="Tahoma" w:cs="Tahoma"/>
          <w:spacing w:val="36"/>
          <w:sz w:val="20"/>
          <w:szCs w:val="20"/>
        </w:rPr>
        <w:t xml:space="preserve"> </w:t>
      </w:r>
      <w:r w:rsidRPr="00B004EE">
        <w:rPr>
          <w:rFonts w:ascii="Tahoma" w:eastAsia="American Typewriter" w:hAnsi="Tahoma" w:cs="Tahoma"/>
          <w:sz w:val="20"/>
          <w:szCs w:val="20"/>
        </w:rPr>
        <w:t>types</w:t>
      </w:r>
      <w:r w:rsidR="00DB1635" w:rsidRPr="00B004EE">
        <w:rPr>
          <w:rFonts w:ascii="Tahoma" w:eastAsia="American Typewriter" w:hAnsi="Tahoma" w:cs="Tahoma"/>
          <w:spacing w:val="36"/>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w w:val="94"/>
          <w:sz w:val="20"/>
          <w:szCs w:val="20"/>
        </w:rPr>
        <w:t xml:space="preserve"> </w:t>
      </w:r>
      <w:r w:rsidRPr="00B004EE">
        <w:rPr>
          <w:rFonts w:ascii="Tahoma" w:hAnsi="Tahoma" w:cs="Tahoma"/>
          <w:sz w:val="20"/>
          <w:szCs w:val="20"/>
        </w:rPr>
        <w:t>supports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eastAsia="American Typewriter" w:hAnsi="Tahoma" w:cs="Tahoma"/>
          <w:sz w:val="20"/>
          <w:szCs w:val="20"/>
        </w:rPr>
        <w:t>droits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d’usages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énoncés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à</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l’article</w:t>
      </w:r>
      <w:r w:rsidR="00DB1635" w:rsidRPr="00B004EE">
        <w:rPr>
          <w:rFonts w:ascii="Tahoma" w:eastAsia="American Typewriter" w:hAnsi="Tahoma" w:cs="Tahoma"/>
          <w:sz w:val="20"/>
          <w:szCs w:val="20"/>
        </w:rPr>
        <w:t xml:space="preserve"> </w:t>
      </w:r>
      <w:r w:rsidRPr="00B004EE">
        <w:rPr>
          <w:rFonts w:ascii="Tahoma" w:hAnsi="Tahoma" w:cs="Tahoma"/>
          <w:sz w:val="20"/>
          <w:szCs w:val="20"/>
        </w:rPr>
        <w:t>28</w:t>
      </w:r>
      <w:r w:rsidR="00DB1635" w:rsidRPr="00B004EE">
        <w:rPr>
          <w:rFonts w:ascii="Tahoma" w:hAnsi="Tahoma" w:cs="Tahoma"/>
          <w:sz w:val="20"/>
          <w:szCs w:val="20"/>
        </w:rPr>
        <w:t xml:space="preserve"> </w:t>
      </w:r>
      <w:r w:rsidRPr="00B004EE">
        <w:rPr>
          <w:rFonts w:ascii="Tahoma" w:hAnsi="Tahoma" w:cs="Tahoma"/>
          <w:sz w:val="20"/>
          <w:szCs w:val="20"/>
        </w:rPr>
        <w:t>ci-dessus,</w:t>
      </w:r>
      <w:r w:rsidR="00DB1635" w:rsidRPr="00B004EE">
        <w:rPr>
          <w:rFonts w:ascii="Tahoma" w:hAnsi="Tahoma" w:cs="Tahoma"/>
          <w:sz w:val="20"/>
          <w:szCs w:val="20"/>
        </w:rPr>
        <w:t xml:space="preserve"> </w:t>
      </w:r>
      <w:r w:rsidRPr="00B004EE">
        <w:rPr>
          <w:rFonts w:ascii="Tahoma" w:hAnsi="Tahoma" w:cs="Tahoma"/>
          <w:sz w:val="20"/>
          <w:szCs w:val="20"/>
        </w:rPr>
        <w:t>conformément</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pacing w:val="47"/>
          <w:sz w:val="20"/>
          <w:szCs w:val="20"/>
        </w:rPr>
        <w:t xml:space="preserve"> </w:t>
      </w:r>
      <w:r w:rsidRPr="00B004EE">
        <w:rPr>
          <w:rFonts w:ascii="Tahoma" w:hAnsi="Tahoma" w:cs="Tahoma"/>
          <w:sz w:val="20"/>
          <w:szCs w:val="20"/>
        </w:rPr>
        <w:t>des</w:t>
      </w:r>
      <w:r w:rsidR="00DB1635" w:rsidRPr="00B004EE">
        <w:rPr>
          <w:rFonts w:ascii="Tahoma" w:hAnsi="Tahoma" w:cs="Tahoma"/>
          <w:w w:val="94"/>
          <w:sz w:val="20"/>
          <w:szCs w:val="20"/>
        </w:rPr>
        <w:t xml:space="preserve"> </w:t>
      </w:r>
      <w:r w:rsidRPr="00B004EE">
        <w:rPr>
          <w:rFonts w:ascii="Tahoma" w:hAnsi="Tahoma" w:cs="Tahoma"/>
          <w:sz w:val="20"/>
          <w:szCs w:val="20"/>
        </w:rPr>
        <w:t>plans</w:t>
      </w:r>
      <w:r w:rsidR="00DB1635" w:rsidRPr="00B004EE">
        <w:rPr>
          <w:rFonts w:ascii="Tahoma" w:hAnsi="Tahoma" w:cs="Tahoma"/>
          <w:spacing w:val="-29"/>
          <w:sz w:val="20"/>
          <w:szCs w:val="20"/>
        </w:rPr>
        <w:t xml:space="preserve"> </w:t>
      </w:r>
      <w:r w:rsidRPr="00B004EE">
        <w:rPr>
          <w:rFonts w:ascii="Tahoma" w:hAnsi="Tahoma" w:cs="Tahoma"/>
          <w:sz w:val="20"/>
          <w:szCs w:val="20"/>
        </w:rPr>
        <w:t>de</w:t>
      </w:r>
      <w:r w:rsidR="00DB1635" w:rsidRPr="00B004EE">
        <w:rPr>
          <w:rFonts w:ascii="Tahoma" w:hAnsi="Tahoma" w:cs="Tahoma"/>
          <w:spacing w:val="-29"/>
          <w:sz w:val="20"/>
          <w:szCs w:val="20"/>
        </w:rPr>
        <w:t xml:space="preserve"> </w:t>
      </w:r>
      <w:r w:rsidRPr="00B004EE">
        <w:rPr>
          <w:rFonts w:ascii="Tahoma" w:hAnsi="Tahoma" w:cs="Tahoma"/>
          <w:sz w:val="20"/>
          <w:szCs w:val="20"/>
        </w:rPr>
        <w:t>gestion.</w:t>
      </w:r>
    </w:p>
    <w:p w14:paraId="4623E829" w14:textId="77777777" w:rsidR="001E7C3C" w:rsidRPr="00B004EE" w:rsidRDefault="001E7C3C" w:rsidP="00B004EE">
      <w:pPr>
        <w:rPr>
          <w:rFonts w:ascii="Tahoma" w:eastAsia="American Typewriter" w:hAnsi="Tahoma" w:cs="Tahoma"/>
          <w:sz w:val="20"/>
          <w:szCs w:val="20"/>
        </w:rPr>
      </w:pPr>
    </w:p>
    <w:p w14:paraId="6A8E5365" w14:textId="5A7DFB9B" w:rsidR="001E7C3C" w:rsidRPr="00B004EE" w:rsidRDefault="001E7C3C" w:rsidP="00B004EE">
      <w:pPr>
        <w:pStyle w:val="Corpsdetexte"/>
        <w:ind w:right="158" w:firstLine="67"/>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31</w:t>
      </w:r>
      <w:r w:rsidR="00DB1635" w:rsidRPr="00B004EE">
        <w:rPr>
          <w:rFonts w:ascii="Tahoma" w:hAnsi="Tahoma" w:cs="Tahoma"/>
          <w:bCs/>
          <w:sz w:val="20"/>
          <w:szCs w:val="20"/>
        </w:rPr>
        <w:t xml:space="preserve"> </w:t>
      </w:r>
      <w:r w:rsidRPr="00B004EE">
        <w:rPr>
          <w:rFonts w:ascii="Tahoma" w:hAnsi="Tahoma" w:cs="Tahoma"/>
          <w:bCs/>
          <w:sz w:val="20"/>
          <w:szCs w:val="20"/>
        </w:rPr>
        <w:t>:</w:t>
      </w:r>
      <w:r w:rsidR="00DB1635" w:rsidRPr="00B004EE">
        <w:rPr>
          <w:rFonts w:ascii="Tahoma" w:eastAsia="American Typewriter" w:hAnsi="Tahoma" w:cs="Tahoma"/>
          <w:b/>
          <w:bCs/>
          <w:spacing w:val="48"/>
          <w:sz w:val="20"/>
          <w:szCs w:val="20"/>
        </w:rPr>
        <w:t xml:space="preserve"> </w:t>
      </w:r>
      <w:r w:rsidRPr="00B004EE">
        <w:rPr>
          <w:rFonts w:ascii="Tahoma" w:eastAsia="American Typewriter" w:hAnsi="Tahoma" w:cs="Tahoma"/>
          <w:sz w:val="20"/>
          <w:szCs w:val="20"/>
        </w:rPr>
        <w:t>Les</w:t>
      </w:r>
      <w:r w:rsidR="00DB1635" w:rsidRPr="00B004EE">
        <w:rPr>
          <w:rFonts w:ascii="Tahoma" w:eastAsia="American Typewriter" w:hAnsi="Tahoma" w:cs="Tahoma"/>
          <w:spacing w:val="43"/>
          <w:sz w:val="20"/>
          <w:szCs w:val="20"/>
        </w:rPr>
        <w:t xml:space="preserve"> </w:t>
      </w:r>
      <w:r w:rsidRPr="00B004EE">
        <w:rPr>
          <w:rFonts w:ascii="Tahoma" w:eastAsia="American Typewriter" w:hAnsi="Tahoma" w:cs="Tahoma"/>
          <w:sz w:val="20"/>
          <w:szCs w:val="20"/>
        </w:rPr>
        <w:t>concessions</w:t>
      </w:r>
      <w:r w:rsidR="00DB1635" w:rsidRPr="00B004EE">
        <w:rPr>
          <w:rFonts w:ascii="Tahoma" w:eastAsia="American Typewriter" w:hAnsi="Tahoma" w:cs="Tahoma"/>
          <w:spacing w:val="43"/>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pacing w:val="44"/>
          <w:sz w:val="20"/>
          <w:szCs w:val="20"/>
        </w:rPr>
        <w:t xml:space="preserve"> </w:t>
      </w:r>
      <w:r w:rsidRPr="00B004EE">
        <w:rPr>
          <w:rFonts w:ascii="Tahoma" w:eastAsia="American Typewriter" w:hAnsi="Tahoma" w:cs="Tahoma"/>
          <w:sz w:val="20"/>
          <w:szCs w:val="20"/>
        </w:rPr>
        <w:t>droits</w:t>
      </w:r>
      <w:r w:rsidR="00DB1635" w:rsidRPr="00B004EE">
        <w:rPr>
          <w:rFonts w:ascii="Tahoma" w:eastAsia="American Typewriter" w:hAnsi="Tahoma" w:cs="Tahoma"/>
          <w:spacing w:val="44"/>
          <w:sz w:val="20"/>
          <w:szCs w:val="20"/>
        </w:rPr>
        <w:t xml:space="preserve"> </w:t>
      </w:r>
      <w:r w:rsidRPr="00B004EE">
        <w:rPr>
          <w:rFonts w:ascii="Tahoma" w:eastAsia="American Typewriter" w:hAnsi="Tahoma" w:cs="Tahoma"/>
          <w:sz w:val="20"/>
          <w:szCs w:val="20"/>
        </w:rPr>
        <w:t>d’usage</w:t>
      </w:r>
      <w:r w:rsidR="00DB1635" w:rsidRPr="00B004EE">
        <w:rPr>
          <w:rFonts w:ascii="Tahoma" w:eastAsia="American Typewriter" w:hAnsi="Tahoma" w:cs="Tahoma"/>
          <w:spacing w:val="44"/>
          <w:sz w:val="20"/>
          <w:szCs w:val="20"/>
        </w:rPr>
        <w:t xml:space="preserve"> </w:t>
      </w:r>
      <w:r w:rsidRPr="00B004EE">
        <w:rPr>
          <w:rFonts w:ascii="Tahoma" w:eastAsia="American Typewriter" w:hAnsi="Tahoma" w:cs="Tahoma"/>
          <w:sz w:val="20"/>
          <w:szCs w:val="20"/>
        </w:rPr>
        <w:t>peuvent</w:t>
      </w:r>
      <w:r w:rsidR="00DB1635" w:rsidRPr="00B004EE">
        <w:rPr>
          <w:rFonts w:ascii="Tahoma" w:eastAsia="American Typewriter" w:hAnsi="Tahoma" w:cs="Tahoma"/>
          <w:spacing w:val="43"/>
          <w:sz w:val="20"/>
          <w:szCs w:val="20"/>
        </w:rPr>
        <w:t xml:space="preserve"> </w:t>
      </w:r>
      <w:r w:rsidRPr="00B004EE">
        <w:rPr>
          <w:rFonts w:ascii="Tahoma" w:eastAsia="American Typewriter" w:hAnsi="Tahoma" w:cs="Tahoma"/>
          <w:sz w:val="20"/>
          <w:szCs w:val="20"/>
        </w:rPr>
        <w:t>être</w:t>
      </w:r>
      <w:r w:rsidR="00DB1635" w:rsidRPr="00B004EE">
        <w:rPr>
          <w:rFonts w:ascii="Tahoma" w:eastAsia="American Typewriter" w:hAnsi="Tahoma" w:cs="Tahoma"/>
          <w:spacing w:val="43"/>
          <w:sz w:val="20"/>
          <w:szCs w:val="20"/>
        </w:rPr>
        <w:t xml:space="preserve"> </w:t>
      </w:r>
      <w:r w:rsidRPr="00B004EE">
        <w:rPr>
          <w:rFonts w:ascii="Tahoma" w:eastAsia="American Typewriter" w:hAnsi="Tahoma" w:cs="Tahoma"/>
          <w:sz w:val="20"/>
          <w:szCs w:val="20"/>
        </w:rPr>
        <w:t>accordées</w:t>
      </w:r>
      <w:r w:rsidR="00DB1635" w:rsidRPr="00B004EE">
        <w:rPr>
          <w:rFonts w:ascii="Tahoma" w:eastAsia="American Typewriter" w:hAnsi="Tahoma" w:cs="Tahoma"/>
          <w:spacing w:val="46"/>
          <w:sz w:val="20"/>
          <w:szCs w:val="20"/>
        </w:rPr>
        <w:t xml:space="preserve"> </w:t>
      </w:r>
      <w:r w:rsidRPr="00B004EE">
        <w:rPr>
          <w:rFonts w:ascii="Tahoma" w:hAnsi="Tahoma" w:cs="Tahoma"/>
          <w:sz w:val="20"/>
          <w:szCs w:val="20"/>
        </w:rPr>
        <w:t>à</w:t>
      </w:r>
      <w:r w:rsidR="00DB1635" w:rsidRPr="00B004EE">
        <w:rPr>
          <w:rFonts w:ascii="Tahoma" w:hAnsi="Tahoma" w:cs="Tahoma"/>
          <w:spacing w:val="43"/>
          <w:sz w:val="20"/>
          <w:szCs w:val="20"/>
        </w:rPr>
        <w:t xml:space="preserve"> </w:t>
      </w:r>
      <w:r w:rsidRPr="00B004EE">
        <w:rPr>
          <w:rFonts w:ascii="Tahoma" w:hAnsi="Tahoma" w:cs="Tahoma"/>
          <w:sz w:val="20"/>
          <w:szCs w:val="20"/>
        </w:rPr>
        <w:t>des</w:t>
      </w:r>
      <w:r w:rsidR="00DB1635" w:rsidRPr="00B004EE">
        <w:rPr>
          <w:rFonts w:ascii="Tahoma" w:hAnsi="Tahoma" w:cs="Tahoma"/>
          <w:w w:val="94"/>
          <w:sz w:val="20"/>
          <w:szCs w:val="20"/>
        </w:rPr>
        <w:t xml:space="preserve"> </w:t>
      </w:r>
      <w:r w:rsidRPr="00B004EE">
        <w:rPr>
          <w:rFonts w:ascii="Tahoma" w:hAnsi="Tahoma" w:cs="Tahoma"/>
          <w:sz w:val="20"/>
          <w:szCs w:val="20"/>
        </w:rPr>
        <w:t>concessionnaires</w:t>
      </w:r>
      <w:r w:rsidR="00DB1635" w:rsidRPr="00B004EE">
        <w:rPr>
          <w:rFonts w:ascii="Tahoma" w:hAnsi="Tahoma" w:cs="Tahoma"/>
          <w:sz w:val="20"/>
          <w:szCs w:val="20"/>
        </w:rPr>
        <w:t xml:space="preserve"> </w:t>
      </w:r>
      <w:r w:rsidRPr="00B004EE">
        <w:rPr>
          <w:rFonts w:ascii="Tahoma" w:eastAsia="American Typewriter" w:hAnsi="Tahoma" w:cs="Tahoma"/>
          <w:sz w:val="20"/>
          <w:szCs w:val="20"/>
        </w:rPr>
        <w:t>dans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le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cadre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d’accords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internatio</w:t>
      </w:r>
      <w:r w:rsidRPr="00B004EE">
        <w:rPr>
          <w:rFonts w:ascii="Tahoma" w:hAnsi="Tahoma" w:cs="Tahoma"/>
          <w:sz w:val="20"/>
          <w:szCs w:val="20"/>
        </w:rPr>
        <w:t>naux</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pacing w:val="33"/>
          <w:sz w:val="20"/>
          <w:szCs w:val="20"/>
        </w:rPr>
        <w:t xml:space="preserve"> </w:t>
      </w:r>
      <w:r w:rsidRPr="00B004EE">
        <w:rPr>
          <w:rFonts w:ascii="Tahoma" w:hAnsi="Tahoma" w:cs="Tahoma"/>
          <w:sz w:val="20"/>
          <w:szCs w:val="20"/>
        </w:rPr>
        <w:t>autres</w:t>
      </w:r>
      <w:r w:rsidR="00DB1635" w:rsidRPr="00B004EE">
        <w:rPr>
          <w:rFonts w:ascii="Tahoma" w:hAnsi="Tahoma" w:cs="Tahoma"/>
          <w:w w:val="94"/>
          <w:sz w:val="20"/>
          <w:szCs w:val="20"/>
        </w:rPr>
        <w:t xml:space="preserve"> </w:t>
      </w:r>
      <w:r w:rsidRPr="00B004EE">
        <w:rPr>
          <w:rFonts w:ascii="Tahoma" w:hAnsi="Tahoma" w:cs="Tahoma"/>
          <w:sz w:val="20"/>
          <w:szCs w:val="20"/>
        </w:rPr>
        <w:t>arrangements</w:t>
      </w:r>
      <w:r w:rsidR="00DB1635" w:rsidRPr="00B004EE">
        <w:rPr>
          <w:rFonts w:ascii="Tahoma" w:hAnsi="Tahoma" w:cs="Tahoma"/>
          <w:sz w:val="20"/>
          <w:szCs w:val="20"/>
        </w:rPr>
        <w:t xml:space="preserve"> </w:t>
      </w:r>
      <w:r w:rsidRPr="00B004EE">
        <w:rPr>
          <w:rFonts w:ascii="Tahoma" w:hAnsi="Tahoma" w:cs="Tahoma"/>
          <w:sz w:val="20"/>
          <w:szCs w:val="20"/>
        </w:rPr>
        <w:t>avec</w:t>
      </w:r>
      <w:r w:rsidR="00DB1635" w:rsidRPr="00B004EE">
        <w:rPr>
          <w:rFonts w:ascii="Tahoma" w:hAnsi="Tahoma" w:cs="Tahoma"/>
          <w:sz w:val="20"/>
          <w:szCs w:val="20"/>
        </w:rPr>
        <w:t xml:space="preserve"> </w:t>
      </w: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pays</w:t>
      </w:r>
      <w:r w:rsidR="00DB1635" w:rsidRPr="00B004EE">
        <w:rPr>
          <w:rFonts w:ascii="Tahoma" w:hAnsi="Tahoma" w:cs="Tahoma"/>
          <w:sz w:val="20"/>
          <w:szCs w:val="20"/>
        </w:rPr>
        <w:t xml:space="preserve"> </w:t>
      </w:r>
      <w:r w:rsidRPr="00B004EE">
        <w:rPr>
          <w:rFonts w:ascii="Tahoma" w:hAnsi="Tahoma" w:cs="Tahoma"/>
          <w:sz w:val="20"/>
          <w:szCs w:val="20"/>
        </w:rPr>
        <w:t>tiers,</w:t>
      </w:r>
      <w:r w:rsidR="00DB1635" w:rsidRPr="00B004EE">
        <w:rPr>
          <w:rFonts w:ascii="Tahoma" w:hAnsi="Tahoma" w:cs="Tahoma"/>
          <w:sz w:val="20"/>
          <w:szCs w:val="20"/>
        </w:rPr>
        <w:t xml:space="preserve"> </w:t>
      </w: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groupe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pays</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entité</w:t>
      </w:r>
      <w:r w:rsidR="00DB1635" w:rsidRPr="00B004EE">
        <w:rPr>
          <w:rFonts w:ascii="Tahoma" w:hAnsi="Tahoma" w:cs="Tahoma"/>
          <w:spacing w:val="38"/>
          <w:sz w:val="20"/>
          <w:szCs w:val="20"/>
        </w:rPr>
        <w:t xml:space="preserve"> </w:t>
      </w:r>
      <w:r w:rsidRPr="00B004EE">
        <w:rPr>
          <w:rFonts w:ascii="Tahoma" w:hAnsi="Tahoma" w:cs="Tahoma"/>
          <w:sz w:val="20"/>
          <w:szCs w:val="20"/>
        </w:rPr>
        <w:t>privée</w:t>
      </w:r>
      <w:r w:rsidR="00DB1635" w:rsidRPr="00B004EE">
        <w:rPr>
          <w:rFonts w:ascii="Tahoma" w:hAnsi="Tahoma" w:cs="Tahoma"/>
          <w:w w:val="94"/>
          <w:sz w:val="20"/>
          <w:szCs w:val="20"/>
        </w:rPr>
        <w:t xml:space="preserve"> </w:t>
      </w:r>
      <w:r w:rsidRPr="00B004EE">
        <w:rPr>
          <w:rFonts w:ascii="Tahoma" w:hAnsi="Tahoma" w:cs="Tahoma"/>
          <w:sz w:val="20"/>
          <w:szCs w:val="20"/>
        </w:rPr>
        <w:t>étrangère.</w:t>
      </w:r>
    </w:p>
    <w:p w14:paraId="2E2A5296" w14:textId="77777777" w:rsidR="002A7758" w:rsidRPr="00B004EE" w:rsidRDefault="002A7758" w:rsidP="00B004EE">
      <w:pPr>
        <w:pStyle w:val="Corpsdetexte"/>
        <w:ind w:right="158" w:firstLine="67"/>
        <w:rPr>
          <w:rFonts w:ascii="Tahoma" w:hAnsi="Tahoma" w:cs="Tahoma"/>
          <w:sz w:val="20"/>
          <w:szCs w:val="20"/>
        </w:rPr>
      </w:pPr>
    </w:p>
    <w:p w14:paraId="712243BF" w14:textId="2D8C1466" w:rsidR="001E7C3C" w:rsidRPr="00B004EE" w:rsidRDefault="001E7C3C" w:rsidP="00B004EE">
      <w:pPr>
        <w:pStyle w:val="Corpsdetexte"/>
        <w:ind w:right="158"/>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32</w:t>
      </w:r>
      <w:r w:rsidR="00DB1635" w:rsidRPr="00B004EE">
        <w:rPr>
          <w:rFonts w:ascii="Tahoma" w:hAnsi="Tahoma" w:cs="Tahoma"/>
          <w:bCs/>
          <w:sz w:val="20"/>
          <w:szCs w:val="20"/>
        </w:rPr>
        <w:t xml:space="preserve"> </w:t>
      </w:r>
      <w:r w:rsidRPr="00B004EE">
        <w:rPr>
          <w:rFonts w:ascii="Tahoma" w:hAnsi="Tahoma" w:cs="Tahoma"/>
          <w:bCs/>
          <w:sz w:val="20"/>
          <w:szCs w:val="20"/>
        </w:rPr>
        <w:t>:</w:t>
      </w:r>
      <w:r w:rsidR="00DB1635" w:rsidRPr="00B004EE">
        <w:rPr>
          <w:rFonts w:ascii="Tahoma" w:eastAsia="American Typewriter" w:hAnsi="Tahoma" w:cs="Tahoma"/>
          <w:b/>
          <w:bCs/>
          <w:spacing w:val="-2"/>
          <w:sz w:val="20"/>
          <w:szCs w:val="20"/>
        </w:rPr>
        <w:t xml:space="preserve"> </w:t>
      </w:r>
      <w:r w:rsidRPr="00B004EE">
        <w:rPr>
          <w:rFonts w:ascii="Tahoma" w:eastAsia="American Typewriter" w:hAnsi="Tahoma" w:cs="Tahoma"/>
          <w:sz w:val="20"/>
          <w:szCs w:val="20"/>
        </w:rPr>
        <w:t>Il</w:t>
      </w:r>
      <w:r w:rsidR="00DB1635" w:rsidRPr="00B004EE">
        <w:rPr>
          <w:rFonts w:ascii="Tahoma" w:eastAsia="American Typewriter" w:hAnsi="Tahoma" w:cs="Tahoma"/>
          <w:spacing w:val="-5"/>
          <w:sz w:val="20"/>
          <w:szCs w:val="20"/>
        </w:rPr>
        <w:t xml:space="preserve"> </w:t>
      </w:r>
      <w:r w:rsidRPr="00B004EE">
        <w:rPr>
          <w:rFonts w:ascii="Tahoma" w:eastAsia="American Typewriter" w:hAnsi="Tahoma" w:cs="Tahoma"/>
          <w:sz w:val="20"/>
          <w:szCs w:val="20"/>
        </w:rPr>
        <w:t>est</w:t>
      </w:r>
      <w:r w:rsidR="00DB1635" w:rsidRPr="00B004EE">
        <w:rPr>
          <w:rFonts w:ascii="Tahoma" w:eastAsia="American Typewriter" w:hAnsi="Tahoma" w:cs="Tahoma"/>
          <w:spacing w:val="-6"/>
          <w:sz w:val="20"/>
          <w:szCs w:val="20"/>
        </w:rPr>
        <w:t xml:space="preserve"> </w:t>
      </w:r>
      <w:r w:rsidRPr="00B004EE">
        <w:rPr>
          <w:rFonts w:ascii="Tahoma" w:eastAsia="American Typewriter" w:hAnsi="Tahoma" w:cs="Tahoma"/>
          <w:sz w:val="20"/>
          <w:szCs w:val="20"/>
        </w:rPr>
        <w:t>institué</w:t>
      </w:r>
      <w:r w:rsidR="00DB1635" w:rsidRPr="00B004EE">
        <w:rPr>
          <w:rFonts w:ascii="Tahoma" w:eastAsia="American Typewriter" w:hAnsi="Tahoma" w:cs="Tahoma"/>
          <w:spacing w:val="-6"/>
          <w:sz w:val="20"/>
          <w:szCs w:val="20"/>
        </w:rPr>
        <w:t xml:space="preserve"> </w:t>
      </w:r>
      <w:r w:rsidRPr="00B004EE">
        <w:rPr>
          <w:rFonts w:ascii="Tahoma" w:eastAsia="American Typewriter" w:hAnsi="Tahoma" w:cs="Tahoma"/>
          <w:sz w:val="20"/>
          <w:szCs w:val="20"/>
        </w:rPr>
        <w:t>un</w:t>
      </w:r>
      <w:r w:rsidR="00DB1635" w:rsidRPr="00B004EE">
        <w:rPr>
          <w:rFonts w:ascii="Tahoma" w:eastAsia="American Typewriter" w:hAnsi="Tahoma" w:cs="Tahoma"/>
          <w:spacing w:val="-6"/>
          <w:sz w:val="20"/>
          <w:szCs w:val="20"/>
        </w:rPr>
        <w:t xml:space="preserve"> </w:t>
      </w:r>
      <w:r w:rsidRPr="00B004EE">
        <w:rPr>
          <w:rFonts w:ascii="Tahoma" w:eastAsia="American Typewriter" w:hAnsi="Tahoma" w:cs="Tahoma"/>
          <w:sz w:val="20"/>
          <w:szCs w:val="20"/>
        </w:rPr>
        <w:t>registre</w:t>
      </w:r>
      <w:r w:rsidR="00DB1635" w:rsidRPr="00B004EE">
        <w:rPr>
          <w:rFonts w:ascii="Tahoma" w:eastAsia="American Typewriter" w:hAnsi="Tahoma" w:cs="Tahoma"/>
          <w:spacing w:val="-6"/>
          <w:sz w:val="20"/>
          <w:szCs w:val="20"/>
        </w:rPr>
        <w:t xml:space="preserve"> </w:t>
      </w:r>
      <w:r w:rsidRPr="00B004EE">
        <w:rPr>
          <w:rFonts w:ascii="Tahoma" w:eastAsia="American Typewriter" w:hAnsi="Tahoma" w:cs="Tahoma"/>
          <w:sz w:val="20"/>
          <w:szCs w:val="20"/>
        </w:rPr>
        <w:t>des</w:t>
      </w:r>
      <w:r w:rsidR="00DB1635" w:rsidRPr="00B004EE">
        <w:rPr>
          <w:rFonts w:ascii="Tahoma" w:eastAsia="American Typewriter" w:hAnsi="Tahoma" w:cs="Tahoma"/>
          <w:spacing w:val="-6"/>
          <w:sz w:val="20"/>
          <w:szCs w:val="20"/>
        </w:rPr>
        <w:t xml:space="preserve"> </w:t>
      </w:r>
      <w:r w:rsidRPr="00B004EE">
        <w:rPr>
          <w:rFonts w:ascii="Tahoma" w:eastAsia="American Typewriter" w:hAnsi="Tahoma" w:cs="Tahoma"/>
          <w:sz w:val="20"/>
          <w:szCs w:val="20"/>
        </w:rPr>
        <w:t>concessionnaires</w:t>
      </w:r>
      <w:r w:rsidR="00DB1635" w:rsidRPr="00B004EE">
        <w:rPr>
          <w:rFonts w:ascii="Tahoma" w:eastAsia="American Typewriter" w:hAnsi="Tahoma" w:cs="Tahoma"/>
          <w:spacing w:val="-6"/>
          <w:sz w:val="20"/>
          <w:szCs w:val="20"/>
        </w:rPr>
        <w:t xml:space="preserve"> </w:t>
      </w:r>
      <w:r w:rsidRPr="00B004EE">
        <w:rPr>
          <w:rFonts w:ascii="Tahoma" w:eastAsia="American Typewriter" w:hAnsi="Tahoma" w:cs="Tahoma"/>
          <w:sz w:val="20"/>
          <w:szCs w:val="20"/>
        </w:rPr>
        <w:t>des</w:t>
      </w:r>
      <w:r w:rsidR="00DB1635" w:rsidRPr="00B004EE">
        <w:rPr>
          <w:rFonts w:ascii="Tahoma" w:eastAsia="American Typewriter" w:hAnsi="Tahoma" w:cs="Tahoma"/>
          <w:spacing w:val="-6"/>
          <w:sz w:val="20"/>
          <w:szCs w:val="20"/>
        </w:rPr>
        <w:t xml:space="preserve"> </w:t>
      </w:r>
      <w:r w:rsidRPr="00B004EE">
        <w:rPr>
          <w:rFonts w:ascii="Tahoma" w:eastAsia="American Typewriter" w:hAnsi="Tahoma" w:cs="Tahoma"/>
          <w:sz w:val="20"/>
          <w:szCs w:val="20"/>
        </w:rPr>
        <w:t>droits</w:t>
      </w:r>
      <w:r w:rsidR="00DB1635" w:rsidRPr="00B004EE">
        <w:rPr>
          <w:rFonts w:ascii="Tahoma" w:eastAsia="American Typewriter" w:hAnsi="Tahoma" w:cs="Tahoma"/>
          <w:spacing w:val="-6"/>
          <w:sz w:val="20"/>
          <w:szCs w:val="20"/>
        </w:rPr>
        <w:t xml:space="preserve"> </w:t>
      </w:r>
      <w:r w:rsidRPr="00B004EE">
        <w:rPr>
          <w:rFonts w:ascii="Tahoma" w:eastAsia="American Typewriter" w:hAnsi="Tahoma" w:cs="Tahoma"/>
          <w:sz w:val="20"/>
          <w:szCs w:val="20"/>
        </w:rPr>
        <w:t>d’usage</w:t>
      </w:r>
      <w:r w:rsidR="00DB1635" w:rsidRPr="00B004EE">
        <w:rPr>
          <w:rFonts w:ascii="Tahoma" w:eastAsia="American Typewriter" w:hAnsi="Tahoma" w:cs="Tahoma"/>
          <w:spacing w:val="-6"/>
          <w:sz w:val="20"/>
          <w:szCs w:val="20"/>
        </w:rPr>
        <w:t xml:space="preserve"> </w:t>
      </w:r>
      <w:r w:rsidRPr="00B004EE">
        <w:rPr>
          <w:rFonts w:ascii="Tahoma" w:eastAsia="American Typewriter" w:hAnsi="Tahoma" w:cs="Tahoma"/>
          <w:sz w:val="20"/>
          <w:szCs w:val="20"/>
        </w:rPr>
        <w:t>qui</w:t>
      </w:r>
      <w:r w:rsidR="00DB1635" w:rsidRPr="00B004EE">
        <w:rPr>
          <w:rFonts w:ascii="Tahoma" w:eastAsia="American Typewriter" w:hAnsi="Tahoma" w:cs="Tahoma"/>
          <w:w w:val="99"/>
          <w:sz w:val="20"/>
          <w:szCs w:val="20"/>
        </w:rPr>
        <w:t xml:space="preserve"> </w:t>
      </w:r>
      <w:r w:rsidRPr="00B004EE">
        <w:rPr>
          <w:rFonts w:ascii="Tahoma" w:eastAsia="American Typewriter" w:hAnsi="Tahoma" w:cs="Tahoma"/>
          <w:sz w:val="20"/>
          <w:szCs w:val="20"/>
        </w:rPr>
        <w:t>spécifie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notamment</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le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détenteur</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du</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droit,</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la</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date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d’allocation</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pacing w:val="1"/>
          <w:sz w:val="20"/>
          <w:szCs w:val="20"/>
        </w:rPr>
        <w:t xml:space="preserve"> </w:t>
      </w:r>
      <w:r w:rsidRPr="00B004EE">
        <w:rPr>
          <w:rFonts w:ascii="Tahoma" w:hAnsi="Tahoma" w:cs="Tahoma"/>
          <w:sz w:val="20"/>
          <w:szCs w:val="20"/>
        </w:rPr>
        <w:t>ressource</w:t>
      </w:r>
      <w:r w:rsidR="00DB1635" w:rsidRPr="00B004EE">
        <w:rPr>
          <w:rFonts w:ascii="Tahoma" w:hAnsi="Tahoma" w:cs="Tahoma"/>
          <w:w w:val="94"/>
          <w:sz w:val="20"/>
          <w:szCs w:val="20"/>
        </w:rPr>
        <w:t xml:space="preserve"> </w:t>
      </w:r>
      <w:r w:rsidRPr="00B004EE">
        <w:rPr>
          <w:rFonts w:ascii="Tahoma" w:hAnsi="Tahoma" w:cs="Tahoma"/>
          <w:sz w:val="20"/>
          <w:szCs w:val="20"/>
        </w:rPr>
        <w:t>concernée,</w:t>
      </w:r>
      <w:r w:rsidR="00DB1635" w:rsidRPr="00B004EE">
        <w:rPr>
          <w:rFonts w:ascii="Tahoma" w:hAnsi="Tahoma" w:cs="Tahoma"/>
          <w:spacing w:val="28"/>
          <w:sz w:val="20"/>
          <w:szCs w:val="20"/>
        </w:rPr>
        <w:t xml:space="preserve"> </w:t>
      </w:r>
      <w:r w:rsidRPr="00B004EE">
        <w:rPr>
          <w:rFonts w:ascii="Tahoma" w:hAnsi="Tahoma" w:cs="Tahoma"/>
          <w:sz w:val="20"/>
          <w:szCs w:val="20"/>
        </w:rPr>
        <w:t>le</w:t>
      </w:r>
      <w:r w:rsidR="00DB1635" w:rsidRPr="00B004EE">
        <w:rPr>
          <w:rFonts w:ascii="Tahoma" w:hAnsi="Tahoma" w:cs="Tahoma"/>
          <w:spacing w:val="28"/>
          <w:sz w:val="20"/>
          <w:szCs w:val="20"/>
        </w:rPr>
        <w:t xml:space="preserve"> </w:t>
      </w:r>
      <w:r w:rsidRPr="00B004EE">
        <w:rPr>
          <w:rFonts w:ascii="Tahoma" w:hAnsi="Tahoma" w:cs="Tahoma"/>
          <w:sz w:val="20"/>
          <w:szCs w:val="20"/>
        </w:rPr>
        <w:t>support</w:t>
      </w:r>
      <w:r w:rsidR="00DB1635" w:rsidRPr="00B004EE">
        <w:rPr>
          <w:rFonts w:ascii="Tahoma" w:hAnsi="Tahoma" w:cs="Tahoma"/>
          <w:spacing w:val="28"/>
          <w:sz w:val="20"/>
          <w:szCs w:val="20"/>
        </w:rPr>
        <w:t xml:space="preserve"> </w:t>
      </w:r>
      <w:r w:rsidRPr="00B004EE">
        <w:rPr>
          <w:rFonts w:ascii="Tahoma" w:hAnsi="Tahoma" w:cs="Tahoma"/>
          <w:sz w:val="20"/>
          <w:szCs w:val="20"/>
        </w:rPr>
        <w:t>et</w:t>
      </w:r>
      <w:r w:rsidR="00DB1635" w:rsidRPr="00B004EE">
        <w:rPr>
          <w:rFonts w:ascii="Tahoma" w:hAnsi="Tahoma" w:cs="Tahoma"/>
          <w:spacing w:val="28"/>
          <w:sz w:val="20"/>
          <w:szCs w:val="20"/>
        </w:rPr>
        <w:t xml:space="preserve"> </w:t>
      </w:r>
      <w:r w:rsidRPr="00B004EE">
        <w:rPr>
          <w:rFonts w:ascii="Tahoma" w:hAnsi="Tahoma" w:cs="Tahoma"/>
          <w:sz w:val="20"/>
          <w:szCs w:val="20"/>
        </w:rPr>
        <w:t>la</w:t>
      </w:r>
      <w:r w:rsidR="00DB1635" w:rsidRPr="00B004EE">
        <w:rPr>
          <w:rFonts w:ascii="Tahoma" w:hAnsi="Tahoma" w:cs="Tahoma"/>
          <w:spacing w:val="28"/>
          <w:sz w:val="20"/>
          <w:szCs w:val="20"/>
        </w:rPr>
        <w:t xml:space="preserve"> </w:t>
      </w:r>
      <w:r w:rsidRPr="00B004EE">
        <w:rPr>
          <w:rFonts w:ascii="Tahoma" w:hAnsi="Tahoma" w:cs="Tahoma"/>
          <w:sz w:val="20"/>
          <w:szCs w:val="20"/>
        </w:rPr>
        <w:t>durée</w:t>
      </w:r>
      <w:r w:rsidRPr="00B004EE">
        <w:rPr>
          <w:rFonts w:ascii="Tahoma" w:eastAsia="American Typewriter" w:hAnsi="Tahoma" w:cs="Tahoma"/>
          <w:b/>
          <w:bCs/>
          <w:sz w:val="20"/>
          <w:szCs w:val="20"/>
        </w:rPr>
        <w:t>.</w:t>
      </w:r>
      <w:r w:rsidR="00DB1635" w:rsidRPr="00B004EE">
        <w:rPr>
          <w:rFonts w:ascii="Tahoma" w:eastAsia="American Typewriter" w:hAnsi="Tahoma" w:cs="Tahoma"/>
          <w:b/>
          <w:bCs/>
          <w:spacing w:val="31"/>
          <w:sz w:val="20"/>
          <w:szCs w:val="20"/>
        </w:rPr>
        <w:t xml:space="preserve"> </w:t>
      </w:r>
      <w:r w:rsidRPr="00B004EE">
        <w:rPr>
          <w:rFonts w:ascii="Tahoma" w:hAnsi="Tahoma" w:cs="Tahoma"/>
          <w:sz w:val="20"/>
          <w:szCs w:val="20"/>
        </w:rPr>
        <w:t>Ce</w:t>
      </w:r>
      <w:r w:rsidR="00DB1635" w:rsidRPr="00B004EE">
        <w:rPr>
          <w:rFonts w:ascii="Tahoma" w:hAnsi="Tahoma" w:cs="Tahoma"/>
          <w:spacing w:val="27"/>
          <w:sz w:val="20"/>
          <w:szCs w:val="20"/>
        </w:rPr>
        <w:t xml:space="preserve"> </w:t>
      </w:r>
      <w:r w:rsidRPr="00B004EE">
        <w:rPr>
          <w:rFonts w:ascii="Tahoma" w:hAnsi="Tahoma" w:cs="Tahoma"/>
          <w:sz w:val="20"/>
          <w:szCs w:val="20"/>
        </w:rPr>
        <w:t>registre</w:t>
      </w:r>
      <w:r w:rsidR="00DB1635" w:rsidRPr="00B004EE">
        <w:rPr>
          <w:rFonts w:ascii="Tahoma" w:hAnsi="Tahoma" w:cs="Tahoma"/>
          <w:spacing w:val="28"/>
          <w:sz w:val="20"/>
          <w:szCs w:val="20"/>
        </w:rPr>
        <w:t xml:space="preserve"> </w:t>
      </w:r>
      <w:r w:rsidRPr="00B004EE">
        <w:rPr>
          <w:rFonts w:ascii="Tahoma" w:hAnsi="Tahoma" w:cs="Tahoma"/>
          <w:sz w:val="20"/>
          <w:szCs w:val="20"/>
        </w:rPr>
        <w:t>est</w:t>
      </w:r>
      <w:r w:rsidR="00DB1635" w:rsidRPr="00B004EE">
        <w:rPr>
          <w:rFonts w:ascii="Tahoma" w:hAnsi="Tahoma" w:cs="Tahoma"/>
          <w:spacing w:val="27"/>
          <w:sz w:val="20"/>
          <w:szCs w:val="20"/>
        </w:rPr>
        <w:t xml:space="preserve"> </w:t>
      </w:r>
      <w:r w:rsidRPr="00B004EE">
        <w:rPr>
          <w:rFonts w:ascii="Tahoma" w:hAnsi="Tahoma" w:cs="Tahoma"/>
          <w:sz w:val="20"/>
          <w:szCs w:val="20"/>
        </w:rPr>
        <w:t>rendu</w:t>
      </w:r>
      <w:r w:rsidR="00DB1635" w:rsidRPr="00B004EE">
        <w:rPr>
          <w:rFonts w:ascii="Tahoma" w:hAnsi="Tahoma" w:cs="Tahoma"/>
          <w:spacing w:val="28"/>
          <w:sz w:val="20"/>
          <w:szCs w:val="20"/>
        </w:rPr>
        <w:t xml:space="preserve"> </w:t>
      </w:r>
      <w:r w:rsidRPr="00B004EE">
        <w:rPr>
          <w:rFonts w:ascii="Tahoma" w:hAnsi="Tahoma" w:cs="Tahoma"/>
          <w:sz w:val="20"/>
          <w:szCs w:val="20"/>
        </w:rPr>
        <w:t>public.</w:t>
      </w:r>
      <w:r w:rsidR="00DB1635" w:rsidRPr="00B004EE">
        <w:rPr>
          <w:rFonts w:ascii="Tahoma" w:hAnsi="Tahoma" w:cs="Tahoma"/>
          <w:spacing w:val="28"/>
          <w:sz w:val="20"/>
          <w:szCs w:val="20"/>
        </w:rPr>
        <w:t xml:space="preserve"> </w:t>
      </w:r>
      <w:r w:rsidRPr="00B004EE">
        <w:rPr>
          <w:rFonts w:ascii="Tahoma" w:hAnsi="Tahoma" w:cs="Tahoma"/>
          <w:sz w:val="20"/>
          <w:szCs w:val="20"/>
        </w:rPr>
        <w:t>Le</w:t>
      </w:r>
      <w:r w:rsidR="00DB1635" w:rsidRPr="00B004EE">
        <w:rPr>
          <w:rFonts w:ascii="Tahoma" w:hAnsi="Tahoma" w:cs="Tahoma"/>
          <w:spacing w:val="28"/>
          <w:sz w:val="20"/>
          <w:szCs w:val="20"/>
        </w:rPr>
        <w:t xml:space="preserve"> </w:t>
      </w:r>
      <w:r w:rsidRPr="00B004EE">
        <w:rPr>
          <w:rFonts w:ascii="Tahoma" w:hAnsi="Tahoma" w:cs="Tahoma"/>
          <w:sz w:val="20"/>
          <w:szCs w:val="20"/>
        </w:rPr>
        <w:t>registre</w:t>
      </w:r>
      <w:r w:rsidR="00DB1635" w:rsidRPr="00B004EE">
        <w:rPr>
          <w:rFonts w:ascii="Tahoma" w:hAnsi="Tahoma" w:cs="Tahoma"/>
          <w:spacing w:val="25"/>
          <w:sz w:val="20"/>
          <w:szCs w:val="20"/>
        </w:rPr>
        <w:t xml:space="preserve"> </w:t>
      </w:r>
      <w:r w:rsidRPr="00B004EE">
        <w:rPr>
          <w:rFonts w:ascii="Tahoma" w:hAnsi="Tahoma" w:cs="Tahoma"/>
          <w:sz w:val="20"/>
          <w:szCs w:val="20"/>
        </w:rPr>
        <w:t>des</w:t>
      </w:r>
      <w:r w:rsidR="00DB1635" w:rsidRPr="00B004EE">
        <w:rPr>
          <w:rFonts w:ascii="Tahoma" w:hAnsi="Tahoma" w:cs="Tahoma"/>
          <w:w w:val="94"/>
          <w:sz w:val="20"/>
          <w:szCs w:val="20"/>
        </w:rPr>
        <w:t xml:space="preserve"> </w:t>
      </w:r>
      <w:r w:rsidRPr="00B004EE">
        <w:rPr>
          <w:rFonts w:ascii="Tahoma" w:eastAsia="American Typewriter" w:hAnsi="Tahoma" w:cs="Tahoma"/>
          <w:sz w:val="20"/>
          <w:szCs w:val="20"/>
        </w:rPr>
        <w:t>détenteurs</w:t>
      </w:r>
      <w:r w:rsidR="00DB1635" w:rsidRPr="00B004EE">
        <w:rPr>
          <w:rFonts w:ascii="Tahoma" w:eastAsia="American Typewriter" w:hAnsi="Tahoma" w:cs="Tahoma"/>
          <w:spacing w:val="-10"/>
          <w:sz w:val="20"/>
          <w:szCs w:val="20"/>
        </w:rPr>
        <w:t xml:space="preserve"> </w:t>
      </w:r>
      <w:r w:rsidRPr="00B004EE">
        <w:rPr>
          <w:rFonts w:ascii="Tahoma" w:eastAsia="American Typewriter" w:hAnsi="Tahoma" w:cs="Tahoma"/>
          <w:sz w:val="20"/>
          <w:szCs w:val="20"/>
        </w:rPr>
        <w:t>des</w:t>
      </w:r>
      <w:r w:rsidR="00DB1635" w:rsidRPr="00B004EE">
        <w:rPr>
          <w:rFonts w:ascii="Tahoma" w:eastAsia="American Typewriter" w:hAnsi="Tahoma" w:cs="Tahoma"/>
          <w:spacing w:val="-10"/>
          <w:sz w:val="20"/>
          <w:szCs w:val="20"/>
        </w:rPr>
        <w:t xml:space="preserve"> </w:t>
      </w:r>
      <w:r w:rsidRPr="00B004EE">
        <w:rPr>
          <w:rFonts w:ascii="Tahoma" w:eastAsia="American Typewriter" w:hAnsi="Tahoma" w:cs="Tahoma"/>
          <w:sz w:val="20"/>
          <w:szCs w:val="20"/>
        </w:rPr>
        <w:t>droits</w:t>
      </w:r>
      <w:r w:rsidR="00DB1635" w:rsidRPr="00B004EE">
        <w:rPr>
          <w:rFonts w:ascii="Tahoma" w:eastAsia="American Typewriter" w:hAnsi="Tahoma" w:cs="Tahoma"/>
          <w:spacing w:val="-10"/>
          <w:sz w:val="20"/>
          <w:szCs w:val="20"/>
        </w:rPr>
        <w:t xml:space="preserve"> </w:t>
      </w:r>
      <w:r w:rsidRPr="00B004EE">
        <w:rPr>
          <w:rFonts w:ascii="Tahoma" w:eastAsia="American Typewriter" w:hAnsi="Tahoma" w:cs="Tahoma"/>
          <w:sz w:val="20"/>
          <w:szCs w:val="20"/>
        </w:rPr>
        <w:t>d’usage</w:t>
      </w:r>
      <w:r w:rsidR="00DB1635" w:rsidRPr="00B004EE">
        <w:rPr>
          <w:rFonts w:ascii="Tahoma" w:eastAsia="American Typewriter" w:hAnsi="Tahoma" w:cs="Tahoma"/>
          <w:spacing w:val="-10"/>
          <w:sz w:val="20"/>
          <w:szCs w:val="20"/>
        </w:rPr>
        <w:t xml:space="preserve"> </w:t>
      </w:r>
      <w:r w:rsidRPr="00B004EE">
        <w:rPr>
          <w:rFonts w:ascii="Tahoma" w:eastAsia="American Typewriter" w:hAnsi="Tahoma" w:cs="Tahoma"/>
          <w:sz w:val="20"/>
          <w:szCs w:val="20"/>
        </w:rPr>
        <w:t>est</w:t>
      </w:r>
      <w:r w:rsidR="00DB1635" w:rsidRPr="00B004EE">
        <w:rPr>
          <w:rFonts w:ascii="Tahoma" w:eastAsia="American Typewriter" w:hAnsi="Tahoma" w:cs="Tahoma"/>
          <w:spacing w:val="-10"/>
          <w:sz w:val="20"/>
          <w:szCs w:val="20"/>
        </w:rPr>
        <w:t xml:space="preserve"> </w:t>
      </w:r>
      <w:r w:rsidRPr="00B004EE">
        <w:rPr>
          <w:rFonts w:ascii="Tahoma" w:eastAsia="American Typewriter" w:hAnsi="Tahoma" w:cs="Tahoma"/>
          <w:sz w:val="20"/>
          <w:szCs w:val="20"/>
        </w:rPr>
        <w:t>tenu</w:t>
      </w:r>
      <w:r w:rsidR="00DB1635" w:rsidRPr="00B004EE">
        <w:rPr>
          <w:rFonts w:ascii="Tahoma" w:eastAsia="American Typewriter" w:hAnsi="Tahoma" w:cs="Tahoma"/>
          <w:spacing w:val="-10"/>
          <w:sz w:val="20"/>
          <w:szCs w:val="20"/>
        </w:rPr>
        <w:t xml:space="preserve"> </w:t>
      </w:r>
      <w:r w:rsidRPr="00B004EE">
        <w:rPr>
          <w:rFonts w:ascii="Tahoma" w:eastAsia="American Typewriter" w:hAnsi="Tahoma" w:cs="Tahoma"/>
          <w:sz w:val="20"/>
          <w:szCs w:val="20"/>
        </w:rPr>
        <w:t>à</w:t>
      </w:r>
      <w:r w:rsidR="00DB1635" w:rsidRPr="00B004EE">
        <w:rPr>
          <w:rFonts w:ascii="Tahoma" w:eastAsia="American Typewriter" w:hAnsi="Tahoma" w:cs="Tahoma"/>
          <w:spacing w:val="-10"/>
          <w:sz w:val="20"/>
          <w:szCs w:val="20"/>
        </w:rPr>
        <w:t xml:space="preserve"> </w:t>
      </w:r>
      <w:r w:rsidRPr="00B004EE">
        <w:rPr>
          <w:rFonts w:ascii="Tahoma" w:eastAsia="American Typewriter" w:hAnsi="Tahoma" w:cs="Tahoma"/>
          <w:sz w:val="20"/>
          <w:szCs w:val="20"/>
        </w:rPr>
        <w:t>jour</w:t>
      </w:r>
      <w:r w:rsidR="00DB1635" w:rsidRPr="00B004EE">
        <w:rPr>
          <w:rFonts w:ascii="Tahoma" w:eastAsia="American Typewriter" w:hAnsi="Tahoma" w:cs="Tahoma"/>
          <w:spacing w:val="40"/>
          <w:sz w:val="20"/>
          <w:szCs w:val="20"/>
        </w:rPr>
        <w:t xml:space="preserve"> </w:t>
      </w:r>
      <w:r w:rsidRPr="00B004EE">
        <w:rPr>
          <w:rFonts w:ascii="Tahoma" w:eastAsia="American Typewriter" w:hAnsi="Tahoma" w:cs="Tahoma"/>
          <w:sz w:val="20"/>
          <w:szCs w:val="20"/>
        </w:rPr>
        <w:t>pour</w:t>
      </w:r>
      <w:r w:rsidR="00DB1635" w:rsidRPr="00B004EE">
        <w:rPr>
          <w:rFonts w:ascii="Tahoma" w:eastAsia="American Typewriter" w:hAnsi="Tahoma" w:cs="Tahoma"/>
          <w:spacing w:val="-11"/>
          <w:sz w:val="20"/>
          <w:szCs w:val="20"/>
        </w:rPr>
        <w:t xml:space="preserve"> </w:t>
      </w:r>
      <w:r w:rsidRPr="00B004EE">
        <w:rPr>
          <w:rFonts w:ascii="Tahoma" w:eastAsia="American Typewriter" w:hAnsi="Tahoma" w:cs="Tahoma"/>
          <w:sz w:val="20"/>
          <w:szCs w:val="20"/>
        </w:rPr>
        <w:t>prendre</w:t>
      </w:r>
      <w:r w:rsidR="00DB1635" w:rsidRPr="00B004EE">
        <w:rPr>
          <w:rFonts w:ascii="Tahoma" w:eastAsia="American Typewriter" w:hAnsi="Tahoma" w:cs="Tahoma"/>
          <w:spacing w:val="-10"/>
          <w:sz w:val="20"/>
          <w:szCs w:val="20"/>
        </w:rPr>
        <w:t xml:space="preserve"> </w:t>
      </w:r>
      <w:r w:rsidRPr="00B004EE">
        <w:rPr>
          <w:rFonts w:ascii="Tahoma" w:eastAsia="American Typewriter" w:hAnsi="Tahoma" w:cs="Tahoma"/>
          <w:sz w:val="20"/>
          <w:szCs w:val="20"/>
        </w:rPr>
        <w:t>en</w:t>
      </w:r>
      <w:r w:rsidR="00DB1635" w:rsidRPr="00B004EE">
        <w:rPr>
          <w:rFonts w:ascii="Tahoma" w:eastAsia="American Typewriter" w:hAnsi="Tahoma" w:cs="Tahoma"/>
          <w:spacing w:val="-10"/>
          <w:sz w:val="20"/>
          <w:szCs w:val="20"/>
        </w:rPr>
        <w:t xml:space="preserve"> </w:t>
      </w:r>
      <w:r w:rsidRPr="00B004EE">
        <w:rPr>
          <w:rFonts w:ascii="Tahoma" w:eastAsia="American Typewriter" w:hAnsi="Tahoma" w:cs="Tahoma"/>
          <w:sz w:val="20"/>
          <w:szCs w:val="20"/>
        </w:rPr>
        <w:t>considération</w:t>
      </w:r>
      <w:r w:rsidR="00DB1635" w:rsidRPr="00B004EE">
        <w:rPr>
          <w:rFonts w:ascii="Tahoma" w:eastAsia="American Typewriter" w:hAnsi="Tahoma" w:cs="Tahoma"/>
          <w:spacing w:val="-10"/>
          <w:sz w:val="20"/>
          <w:szCs w:val="20"/>
        </w:rPr>
        <w:t xml:space="preserve"> </w:t>
      </w:r>
      <w:r w:rsidRPr="00B004EE">
        <w:rPr>
          <w:rFonts w:ascii="Tahoma" w:eastAsia="American Typewriter" w:hAnsi="Tahoma" w:cs="Tahoma"/>
          <w:sz w:val="20"/>
          <w:szCs w:val="20"/>
        </w:rPr>
        <w:t>toute</w:t>
      </w:r>
      <w:r w:rsidR="00DB1635" w:rsidRPr="00B004EE">
        <w:rPr>
          <w:rFonts w:ascii="Tahoma" w:eastAsia="American Typewriter" w:hAnsi="Tahoma" w:cs="Tahoma"/>
          <w:w w:val="95"/>
          <w:sz w:val="20"/>
          <w:szCs w:val="20"/>
        </w:rPr>
        <w:t xml:space="preserve"> </w:t>
      </w:r>
      <w:r w:rsidRPr="00B004EE">
        <w:rPr>
          <w:rFonts w:ascii="Tahoma" w:eastAsia="American Typewriter" w:hAnsi="Tahoma" w:cs="Tahoma"/>
          <w:sz w:val="20"/>
          <w:szCs w:val="20"/>
        </w:rPr>
        <w:t>évolution</w:t>
      </w:r>
      <w:r w:rsidR="00DB1635" w:rsidRPr="00B004EE">
        <w:rPr>
          <w:rFonts w:ascii="Tahoma" w:eastAsia="American Typewriter" w:hAnsi="Tahoma" w:cs="Tahoma"/>
          <w:spacing w:val="-38"/>
          <w:sz w:val="20"/>
          <w:szCs w:val="20"/>
        </w:rPr>
        <w:t xml:space="preserve"> </w:t>
      </w:r>
      <w:r w:rsidRPr="00B004EE">
        <w:rPr>
          <w:rFonts w:ascii="Tahoma" w:eastAsia="American Typewriter" w:hAnsi="Tahoma" w:cs="Tahoma"/>
          <w:sz w:val="20"/>
          <w:szCs w:val="20"/>
        </w:rPr>
        <w:t>dans</w:t>
      </w:r>
      <w:r w:rsidR="00DB1635" w:rsidRPr="00B004EE">
        <w:rPr>
          <w:rFonts w:ascii="Tahoma" w:eastAsia="American Typewriter" w:hAnsi="Tahoma" w:cs="Tahoma"/>
          <w:spacing w:val="-38"/>
          <w:sz w:val="20"/>
          <w:szCs w:val="20"/>
        </w:rPr>
        <w:t xml:space="preserve"> </w:t>
      </w:r>
      <w:r w:rsidRPr="00B004EE">
        <w:rPr>
          <w:rFonts w:ascii="Tahoma" w:eastAsia="American Typewriter" w:hAnsi="Tahoma" w:cs="Tahoma"/>
          <w:sz w:val="20"/>
          <w:szCs w:val="20"/>
        </w:rPr>
        <w:t>l’allocation</w:t>
      </w:r>
      <w:r w:rsidR="00DB1635" w:rsidRPr="00B004EE">
        <w:rPr>
          <w:rFonts w:ascii="Tahoma" w:eastAsia="American Typewriter" w:hAnsi="Tahoma" w:cs="Tahoma"/>
          <w:spacing w:val="-38"/>
          <w:sz w:val="20"/>
          <w:szCs w:val="20"/>
        </w:rPr>
        <w:t xml:space="preserve"> </w:t>
      </w:r>
      <w:r w:rsidRPr="00B004EE">
        <w:rPr>
          <w:rFonts w:ascii="Tahoma" w:eastAsia="American Typewriter" w:hAnsi="Tahoma" w:cs="Tahoma"/>
          <w:sz w:val="20"/>
          <w:szCs w:val="20"/>
        </w:rPr>
        <w:t>des</w:t>
      </w:r>
      <w:r w:rsidR="00DB1635" w:rsidRPr="00B004EE">
        <w:rPr>
          <w:rFonts w:ascii="Tahoma" w:eastAsia="American Typewriter" w:hAnsi="Tahoma" w:cs="Tahoma"/>
          <w:spacing w:val="-38"/>
          <w:sz w:val="20"/>
          <w:szCs w:val="20"/>
        </w:rPr>
        <w:t xml:space="preserve"> </w:t>
      </w:r>
      <w:r w:rsidRPr="00B004EE">
        <w:rPr>
          <w:rFonts w:ascii="Tahoma" w:eastAsia="American Typewriter" w:hAnsi="Tahoma" w:cs="Tahoma"/>
          <w:sz w:val="20"/>
          <w:szCs w:val="20"/>
        </w:rPr>
        <w:t>droits</w:t>
      </w:r>
      <w:r w:rsidR="00DB1635" w:rsidRPr="00B004EE">
        <w:rPr>
          <w:rFonts w:ascii="Tahoma" w:eastAsia="American Typewriter" w:hAnsi="Tahoma" w:cs="Tahoma"/>
          <w:spacing w:val="-37"/>
          <w:sz w:val="20"/>
          <w:szCs w:val="20"/>
        </w:rPr>
        <w:t xml:space="preserve"> </w:t>
      </w:r>
      <w:r w:rsidRPr="00B004EE">
        <w:rPr>
          <w:rFonts w:ascii="Tahoma" w:hAnsi="Tahoma" w:cs="Tahoma"/>
          <w:sz w:val="20"/>
          <w:szCs w:val="20"/>
        </w:rPr>
        <w:t>d'usage.</w:t>
      </w:r>
    </w:p>
    <w:p w14:paraId="4A8DF278" w14:textId="77777777" w:rsidR="001E7C3C" w:rsidRPr="00B004EE" w:rsidRDefault="001E7C3C" w:rsidP="00B004EE">
      <w:pPr>
        <w:rPr>
          <w:rFonts w:ascii="Tahoma" w:eastAsia="American Typewriter" w:hAnsi="Tahoma" w:cs="Tahoma"/>
          <w:sz w:val="20"/>
          <w:szCs w:val="20"/>
        </w:rPr>
      </w:pPr>
    </w:p>
    <w:p w14:paraId="429BB7A4" w14:textId="629D29B2" w:rsidR="001E7C3C" w:rsidRPr="00B004EE" w:rsidRDefault="001E7C3C" w:rsidP="00B004EE">
      <w:pPr>
        <w:ind w:right="164" w:hanging="4"/>
        <w:jc w:val="center"/>
        <w:rPr>
          <w:rFonts w:ascii="Tahoma" w:hAnsi="Tahoma" w:cs="Tahoma"/>
          <w:b/>
          <w:spacing w:val="1"/>
          <w:w w:val="113"/>
          <w:sz w:val="20"/>
          <w:szCs w:val="20"/>
        </w:rPr>
      </w:pPr>
      <w:bookmarkStart w:id="57" w:name="_Toc16279061"/>
      <w:bookmarkStart w:id="58" w:name="_Toc16279430"/>
      <w:r w:rsidRPr="00B004EE">
        <w:rPr>
          <w:rFonts w:ascii="Tahoma" w:hAnsi="Tahoma" w:cs="Tahoma"/>
          <w:b/>
          <w:spacing w:val="1"/>
          <w:w w:val="113"/>
          <w:sz w:val="20"/>
          <w:szCs w:val="20"/>
        </w:rPr>
        <w:t>Section</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3</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L’exploitation</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des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concessions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des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droits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d’usage</w:t>
      </w:r>
      <w:bookmarkEnd w:id="57"/>
      <w:bookmarkEnd w:id="58"/>
    </w:p>
    <w:p w14:paraId="6AE0E472" w14:textId="77777777" w:rsidR="001E7C3C" w:rsidRPr="00B004EE" w:rsidRDefault="001E7C3C" w:rsidP="00B004EE">
      <w:pPr>
        <w:rPr>
          <w:rFonts w:ascii="Tahoma" w:eastAsia="American Typewriter" w:hAnsi="Tahoma" w:cs="Tahoma"/>
          <w:b/>
          <w:bCs/>
          <w:sz w:val="20"/>
          <w:szCs w:val="20"/>
        </w:rPr>
      </w:pPr>
    </w:p>
    <w:p w14:paraId="50A8C966" w14:textId="3DAD3936" w:rsidR="001E7C3C" w:rsidRPr="00B004EE" w:rsidRDefault="001E7C3C" w:rsidP="00B004EE">
      <w:pPr>
        <w:pStyle w:val="Corpsdetexte"/>
        <w:ind w:right="164"/>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33</w:t>
      </w:r>
      <w:r w:rsidR="00DB1635" w:rsidRPr="00B004EE">
        <w:rPr>
          <w:rFonts w:ascii="Tahoma" w:hAnsi="Tahoma" w:cs="Tahoma"/>
          <w:bCs/>
          <w:sz w:val="20"/>
          <w:szCs w:val="20"/>
        </w:rPr>
        <w:t xml:space="preserve"> </w:t>
      </w:r>
      <w:r w:rsidRPr="00B004EE">
        <w:rPr>
          <w:rFonts w:ascii="Tahoma" w:hAnsi="Tahoma" w:cs="Tahoma"/>
          <w:bCs/>
          <w:sz w:val="20"/>
          <w:szCs w:val="20"/>
        </w:rPr>
        <w:t>:</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sz w:val="20"/>
          <w:szCs w:val="20"/>
        </w:rPr>
        <w:t>Les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concessions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droits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d’usage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dans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les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eaux</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sous</w:t>
      </w:r>
      <w:r w:rsidR="00DB1635" w:rsidRPr="00B004EE">
        <w:rPr>
          <w:rFonts w:ascii="Tahoma" w:eastAsia="American Typewriter" w:hAnsi="Tahoma" w:cs="Tahoma"/>
          <w:spacing w:val="45"/>
          <w:sz w:val="20"/>
          <w:szCs w:val="20"/>
        </w:rPr>
        <w:t xml:space="preserve"> </w:t>
      </w:r>
      <w:r w:rsidRPr="00B004EE">
        <w:rPr>
          <w:rFonts w:ascii="Tahoma" w:eastAsia="American Typewriter" w:hAnsi="Tahoma" w:cs="Tahoma"/>
          <w:sz w:val="20"/>
          <w:szCs w:val="20"/>
        </w:rPr>
        <w:t>juridiction</w:t>
      </w:r>
      <w:r w:rsidR="00DB1635" w:rsidRPr="00B004EE">
        <w:rPr>
          <w:rFonts w:ascii="Tahoma" w:eastAsia="American Typewriter" w:hAnsi="Tahoma" w:cs="Tahoma"/>
          <w:w w:val="93"/>
          <w:sz w:val="20"/>
          <w:szCs w:val="20"/>
        </w:rPr>
        <w:t xml:space="preserve"> </w:t>
      </w:r>
      <w:r w:rsidRPr="00B004EE">
        <w:rPr>
          <w:rFonts w:ascii="Tahoma" w:eastAsia="American Typewriter" w:hAnsi="Tahoma" w:cs="Tahoma"/>
          <w:sz w:val="20"/>
          <w:szCs w:val="20"/>
        </w:rPr>
        <w:t>mauritanienne</w:t>
      </w:r>
      <w:r w:rsidR="00DB1635" w:rsidRPr="00B004EE">
        <w:rPr>
          <w:rFonts w:ascii="Tahoma" w:eastAsia="American Typewriter" w:hAnsi="Tahoma" w:cs="Tahoma"/>
          <w:spacing w:val="-34"/>
          <w:sz w:val="20"/>
          <w:szCs w:val="20"/>
        </w:rPr>
        <w:t xml:space="preserve"> </w:t>
      </w:r>
      <w:r w:rsidRPr="00B004EE">
        <w:rPr>
          <w:rFonts w:ascii="Tahoma" w:eastAsia="American Typewriter" w:hAnsi="Tahoma" w:cs="Tahoma"/>
          <w:sz w:val="20"/>
          <w:szCs w:val="20"/>
        </w:rPr>
        <w:t>sont</w:t>
      </w:r>
      <w:r w:rsidR="00DB1635" w:rsidRPr="00B004EE">
        <w:rPr>
          <w:rFonts w:ascii="Tahoma" w:eastAsia="American Typewriter" w:hAnsi="Tahoma" w:cs="Tahoma"/>
          <w:spacing w:val="-34"/>
          <w:sz w:val="20"/>
          <w:szCs w:val="20"/>
        </w:rPr>
        <w:t xml:space="preserve"> </w:t>
      </w:r>
      <w:r w:rsidRPr="00B004EE">
        <w:rPr>
          <w:rFonts w:ascii="Tahoma" w:eastAsia="American Typewriter" w:hAnsi="Tahoma" w:cs="Tahoma"/>
          <w:sz w:val="20"/>
          <w:szCs w:val="20"/>
        </w:rPr>
        <w:t>exploitées</w:t>
      </w:r>
      <w:r w:rsidR="00DB1635" w:rsidRPr="00B004EE">
        <w:rPr>
          <w:rFonts w:ascii="Tahoma" w:eastAsia="American Typewriter" w:hAnsi="Tahoma" w:cs="Tahoma"/>
          <w:spacing w:val="-34"/>
          <w:sz w:val="20"/>
          <w:szCs w:val="20"/>
        </w:rPr>
        <w:t xml:space="preserve"> </w:t>
      </w:r>
      <w:r w:rsidRPr="00B004EE">
        <w:rPr>
          <w:rFonts w:ascii="Tahoma" w:eastAsia="American Typewriter" w:hAnsi="Tahoma" w:cs="Tahoma"/>
          <w:sz w:val="20"/>
          <w:szCs w:val="20"/>
        </w:rPr>
        <w:t>suivant</w:t>
      </w:r>
      <w:r w:rsidR="00DB1635" w:rsidRPr="00B004EE">
        <w:rPr>
          <w:rFonts w:ascii="Tahoma" w:eastAsia="American Typewriter" w:hAnsi="Tahoma" w:cs="Tahoma"/>
          <w:spacing w:val="-34"/>
          <w:sz w:val="20"/>
          <w:szCs w:val="20"/>
        </w:rPr>
        <w:t xml:space="preserve"> </w:t>
      </w:r>
      <w:r w:rsidRPr="00B004EE">
        <w:rPr>
          <w:rFonts w:ascii="Tahoma" w:eastAsia="American Typewriter" w:hAnsi="Tahoma" w:cs="Tahoma"/>
          <w:sz w:val="20"/>
          <w:szCs w:val="20"/>
        </w:rPr>
        <w:t>l’un</w:t>
      </w:r>
      <w:r w:rsidR="00DB1635" w:rsidRPr="00B004EE">
        <w:rPr>
          <w:rFonts w:ascii="Tahoma" w:eastAsia="American Typewriter" w:hAnsi="Tahoma" w:cs="Tahoma"/>
          <w:spacing w:val="-34"/>
          <w:sz w:val="20"/>
          <w:szCs w:val="20"/>
        </w:rPr>
        <w:t xml:space="preserve"> </w:t>
      </w:r>
      <w:r w:rsidRPr="00B004EE">
        <w:rPr>
          <w:rFonts w:ascii="Tahoma" w:eastAsia="American Typewriter" w:hAnsi="Tahoma" w:cs="Tahoma"/>
          <w:sz w:val="20"/>
          <w:szCs w:val="20"/>
        </w:rPr>
        <w:t>des</w:t>
      </w:r>
      <w:r w:rsidR="00DB1635" w:rsidRPr="00B004EE">
        <w:rPr>
          <w:rFonts w:ascii="Tahoma" w:eastAsia="American Typewriter" w:hAnsi="Tahoma" w:cs="Tahoma"/>
          <w:spacing w:val="-34"/>
          <w:sz w:val="20"/>
          <w:szCs w:val="20"/>
        </w:rPr>
        <w:t xml:space="preserve"> </w:t>
      </w:r>
      <w:r w:rsidRPr="00B004EE">
        <w:rPr>
          <w:rFonts w:ascii="Tahoma" w:eastAsia="American Typewriter" w:hAnsi="Tahoma" w:cs="Tahoma"/>
          <w:sz w:val="20"/>
          <w:szCs w:val="20"/>
        </w:rPr>
        <w:t>deux</w:t>
      </w:r>
      <w:r w:rsidR="00DB1635" w:rsidRPr="00B004EE">
        <w:rPr>
          <w:rFonts w:ascii="Tahoma" w:eastAsia="American Typewriter" w:hAnsi="Tahoma" w:cs="Tahoma"/>
          <w:spacing w:val="-34"/>
          <w:sz w:val="20"/>
          <w:szCs w:val="20"/>
        </w:rPr>
        <w:t xml:space="preserve"> </w:t>
      </w:r>
      <w:r w:rsidRPr="00B004EE">
        <w:rPr>
          <w:rFonts w:ascii="Tahoma" w:eastAsia="American Typewriter" w:hAnsi="Tahoma" w:cs="Tahoma"/>
          <w:sz w:val="20"/>
          <w:szCs w:val="20"/>
        </w:rPr>
        <w:t>régimes</w:t>
      </w:r>
      <w:r w:rsidR="00DB1635" w:rsidRPr="00B004EE">
        <w:rPr>
          <w:rFonts w:ascii="Tahoma" w:eastAsia="American Typewriter" w:hAnsi="Tahoma" w:cs="Tahoma"/>
          <w:spacing w:val="-34"/>
          <w:sz w:val="20"/>
          <w:szCs w:val="20"/>
        </w:rPr>
        <w:t xml:space="preserve"> </w:t>
      </w:r>
      <w:r w:rsidRPr="00B004EE">
        <w:rPr>
          <w:rFonts w:ascii="Tahoma" w:eastAsia="American Typewriter" w:hAnsi="Tahoma" w:cs="Tahoma"/>
          <w:sz w:val="20"/>
          <w:szCs w:val="20"/>
        </w:rPr>
        <w:t>ci</w:t>
      </w:r>
      <w:r w:rsidRPr="00B004EE">
        <w:rPr>
          <w:rFonts w:ascii="Tahoma" w:hAnsi="Tahoma" w:cs="Tahoma"/>
          <w:sz w:val="20"/>
          <w:szCs w:val="20"/>
        </w:rPr>
        <w:t>-après</w:t>
      </w:r>
      <w:r w:rsidR="00DB1635" w:rsidRPr="00B004EE">
        <w:rPr>
          <w:rFonts w:ascii="Tahoma" w:hAnsi="Tahoma" w:cs="Tahoma"/>
          <w:spacing w:val="-34"/>
          <w:sz w:val="20"/>
          <w:szCs w:val="20"/>
        </w:rPr>
        <w:t xml:space="preserve"> </w:t>
      </w:r>
      <w:r w:rsidRPr="00B004EE">
        <w:rPr>
          <w:rFonts w:ascii="Tahoma" w:hAnsi="Tahoma" w:cs="Tahoma"/>
          <w:sz w:val="20"/>
          <w:szCs w:val="20"/>
        </w:rPr>
        <w:t>:</w:t>
      </w:r>
    </w:p>
    <w:p w14:paraId="76431BC1" w14:textId="77777777" w:rsidR="001E7C3C" w:rsidRPr="00B004EE" w:rsidRDefault="001E7C3C" w:rsidP="00B004EE">
      <w:pPr>
        <w:rPr>
          <w:rFonts w:ascii="Tahoma" w:eastAsia="American Typewriter" w:hAnsi="Tahoma" w:cs="Tahoma"/>
          <w:sz w:val="20"/>
          <w:szCs w:val="20"/>
        </w:rPr>
      </w:pPr>
    </w:p>
    <w:p w14:paraId="078CA2D1" w14:textId="668DB18B" w:rsidR="001E7C3C" w:rsidRPr="00B004EE" w:rsidRDefault="001E7C3C" w:rsidP="00420DDA">
      <w:pPr>
        <w:pStyle w:val="Paragraphedeliste"/>
        <w:widowControl w:val="0"/>
        <w:numPr>
          <w:ilvl w:val="0"/>
          <w:numId w:val="41"/>
        </w:numPr>
        <w:tabs>
          <w:tab w:val="left" w:pos="1017"/>
        </w:tabs>
        <w:ind w:right="559" w:hanging="146"/>
        <w:rPr>
          <w:rFonts w:ascii="Tahoma" w:eastAsia="American Typewriter" w:hAnsi="Tahoma" w:cs="Tahoma"/>
          <w:sz w:val="20"/>
          <w:szCs w:val="20"/>
        </w:rPr>
      </w:pPr>
      <w:proofErr w:type="gramStart"/>
      <w:r w:rsidRPr="00B004EE">
        <w:rPr>
          <w:rFonts w:ascii="Tahoma" w:hAnsi="Tahoma" w:cs="Tahoma"/>
          <w:sz w:val="20"/>
          <w:szCs w:val="20"/>
        </w:rPr>
        <w:t>régime</w:t>
      </w:r>
      <w:proofErr w:type="gramEnd"/>
      <w:r w:rsidR="00DB1635" w:rsidRPr="00B004EE">
        <w:rPr>
          <w:rFonts w:ascii="Tahoma" w:hAnsi="Tahoma" w:cs="Tahoma"/>
          <w:spacing w:val="5"/>
          <w:sz w:val="20"/>
          <w:szCs w:val="20"/>
        </w:rPr>
        <w:t xml:space="preserve"> </w:t>
      </w:r>
      <w:r w:rsidRPr="00B004EE">
        <w:rPr>
          <w:rFonts w:ascii="Tahoma" w:hAnsi="Tahoma" w:cs="Tahoma"/>
          <w:sz w:val="20"/>
          <w:szCs w:val="20"/>
        </w:rPr>
        <w:t>national;</w:t>
      </w:r>
    </w:p>
    <w:p w14:paraId="394EEE63" w14:textId="272DB75F" w:rsidR="001E7C3C" w:rsidRPr="00B004EE" w:rsidRDefault="001E7C3C" w:rsidP="00420DDA">
      <w:pPr>
        <w:pStyle w:val="Paragraphedeliste"/>
        <w:widowControl w:val="0"/>
        <w:numPr>
          <w:ilvl w:val="0"/>
          <w:numId w:val="41"/>
        </w:numPr>
        <w:tabs>
          <w:tab w:val="left" w:pos="1017"/>
        </w:tabs>
        <w:ind w:right="559" w:hanging="146"/>
        <w:rPr>
          <w:rFonts w:ascii="Tahoma" w:eastAsia="American Typewriter" w:hAnsi="Tahoma" w:cs="Tahoma"/>
          <w:sz w:val="20"/>
          <w:szCs w:val="20"/>
        </w:rPr>
      </w:pPr>
      <w:proofErr w:type="gramStart"/>
      <w:r w:rsidRPr="00B004EE">
        <w:rPr>
          <w:rFonts w:ascii="Tahoma" w:hAnsi="Tahoma" w:cs="Tahoma"/>
          <w:sz w:val="20"/>
          <w:szCs w:val="20"/>
        </w:rPr>
        <w:t>régime</w:t>
      </w:r>
      <w:proofErr w:type="gramEnd"/>
      <w:r w:rsidR="00DB1635" w:rsidRPr="00B004EE">
        <w:rPr>
          <w:rFonts w:ascii="Tahoma" w:hAnsi="Tahoma" w:cs="Tahoma"/>
          <w:spacing w:val="5"/>
          <w:sz w:val="20"/>
          <w:szCs w:val="20"/>
        </w:rPr>
        <w:t xml:space="preserve"> </w:t>
      </w:r>
      <w:r w:rsidRPr="00B004EE">
        <w:rPr>
          <w:rFonts w:ascii="Tahoma" w:hAnsi="Tahoma" w:cs="Tahoma"/>
          <w:sz w:val="20"/>
          <w:szCs w:val="20"/>
        </w:rPr>
        <w:t>étranger.</w:t>
      </w:r>
    </w:p>
    <w:p w14:paraId="241C2A3A" w14:textId="77777777" w:rsidR="001E7C3C" w:rsidRPr="00B004EE" w:rsidRDefault="001E7C3C" w:rsidP="00B004EE">
      <w:pPr>
        <w:rPr>
          <w:rFonts w:ascii="Tahoma" w:eastAsia="American Typewriter" w:hAnsi="Tahoma" w:cs="Tahoma"/>
          <w:sz w:val="20"/>
          <w:szCs w:val="20"/>
        </w:rPr>
      </w:pPr>
    </w:p>
    <w:p w14:paraId="678CB9E0" w14:textId="7F93679B" w:rsidR="001E7C3C" w:rsidRPr="00B004EE" w:rsidRDefault="001E7C3C" w:rsidP="00B004EE">
      <w:pPr>
        <w:pStyle w:val="Corpsdetexte"/>
        <w:ind w:right="159"/>
        <w:rPr>
          <w:rFonts w:ascii="Tahoma" w:hAnsi="Tahoma" w:cs="Tahoma"/>
          <w:sz w:val="20"/>
          <w:szCs w:val="20"/>
        </w:rPr>
      </w:pP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régime</w:t>
      </w:r>
      <w:r w:rsidR="00DB1635" w:rsidRPr="00B004EE">
        <w:rPr>
          <w:rFonts w:ascii="Tahoma" w:hAnsi="Tahoma" w:cs="Tahoma"/>
          <w:sz w:val="20"/>
          <w:szCs w:val="20"/>
        </w:rPr>
        <w:t xml:space="preserve"> </w:t>
      </w:r>
      <w:r w:rsidRPr="00B004EE">
        <w:rPr>
          <w:rFonts w:ascii="Tahoma" w:hAnsi="Tahoma" w:cs="Tahoma"/>
          <w:sz w:val="20"/>
          <w:szCs w:val="20"/>
        </w:rPr>
        <w:t>national</w:t>
      </w:r>
      <w:r w:rsidR="00DB1635" w:rsidRPr="00B004EE">
        <w:rPr>
          <w:rFonts w:ascii="Tahoma" w:hAnsi="Tahoma" w:cs="Tahoma"/>
          <w:sz w:val="20"/>
          <w:szCs w:val="20"/>
        </w:rPr>
        <w:t xml:space="preserve"> </w:t>
      </w:r>
      <w:r w:rsidRPr="00B004EE">
        <w:rPr>
          <w:rFonts w:ascii="Tahoma" w:hAnsi="Tahoma" w:cs="Tahoma"/>
          <w:sz w:val="20"/>
          <w:szCs w:val="20"/>
        </w:rPr>
        <w:t>constitue</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régime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principe</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l'exploitation</w:t>
      </w:r>
      <w:r w:rsidR="00DB1635" w:rsidRPr="00B004EE">
        <w:rPr>
          <w:rFonts w:ascii="Tahoma" w:hAnsi="Tahoma" w:cs="Tahoma"/>
          <w:spacing w:val="21"/>
          <w:sz w:val="20"/>
          <w:szCs w:val="20"/>
        </w:rPr>
        <w:t xml:space="preserve"> </w:t>
      </w:r>
      <w:r w:rsidRPr="00B004EE">
        <w:rPr>
          <w:rFonts w:ascii="Tahoma" w:hAnsi="Tahoma" w:cs="Tahoma"/>
          <w:sz w:val="20"/>
          <w:szCs w:val="20"/>
        </w:rPr>
        <w:t>des</w:t>
      </w:r>
      <w:r w:rsidR="00DB1635" w:rsidRPr="00B004EE">
        <w:rPr>
          <w:rFonts w:ascii="Tahoma" w:hAnsi="Tahoma" w:cs="Tahoma"/>
          <w:w w:val="94"/>
          <w:sz w:val="20"/>
          <w:szCs w:val="20"/>
        </w:rPr>
        <w:t xml:space="preserve"> </w:t>
      </w:r>
      <w:r w:rsidRPr="00B004EE">
        <w:rPr>
          <w:rFonts w:ascii="Tahoma" w:hAnsi="Tahoma" w:cs="Tahoma"/>
          <w:sz w:val="20"/>
          <w:szCs w:val="20"/>
        </w:rPr>
        <w:t>ressources</w:t>
      </w:r>
      <w:r w:rsidR="00DB1635" w:rsidRPr="00B004EE">
        <w:rPr>
          <w:rFonts w:ascii="Tahoma" w:hAnsi="Tahoma" w:cs="Tahoma"/>
          <w:spacing w:val="-26"/>
          <w:sz w:val="20"/>
          <w:szCs w:val="20"/>
        </w:rPr>
        <w:t xml:space="preserve"> </w:t>
      </w:r>
      <w:r w:rsidRPr="00B004EE">
        <w:rPr>
          <w:rFonts w:ascii="Tahoma" w:hAnsi="Tahoma" w:cs="Tahoma"/>
          <w:sz w:val="20"/>
          <w:szCs w:val="20"/>
        </w:rPr>
        <w:t>halieutiques</w:t>
      </w:r>
      <w:r w:rsidR="00DB1635" w:rsidRPr="00B004EE">
        <w:rPr>
          <w:rFonts w:ascii="Tahoma" w:hAnsi="Tahoma" w:cs="Tahoma"/>
          <w:spacing w:val="-25"/>
          <w:sz w:val="20"/>
          <w:szCs w:val="20"/>
        </w:rPr>
        <w:t xml:space="preserve"> </w:t>
      </w:r>
      <w:r w:rsidRPr="00B004EE">
        <w:rPr>
          <w:rFonts w:ascii="Tahoma" w:hAnsi="Tahoma" w:cs="Tahoma"/>
          <w:sz w:val="20"/>
          <w:szCs w:val="20"/>
        </w:rPr>
        <w:t>des</w:t>
      </w:r>
      <w:r w:rsidR="00DB1635" w:rsidRPr="00B004EE">
        <w:rPr>
          <w:rFonts w:ascii="Tahoma" w:hAnsi="Tahoma" w:cs="Tahoma"/>
          <w:spacing w:val="-26"/>
          <w:sz w:val="20"/>
          <w:szCs w:val="20"/>
        </w:rPr>
        <w:t xml:space="preserve"> </w:t>
      </w:r>
      <w:r w:rsidRPr="00B004EE">
        <w:rPr>
          <w:rFonts w:ascii="Tahoma" w:hAnsi="Tahoma" w:cs="Tahoma"/>
          <w:sz w:val="20"/>
          <w:szCs w:val="20"/>
        </w:rPr>
        <w:t>eaux</w:t>
      </w:r>
      <w:r w:rsidR="00DB1635" w:rsidRPr="00B004EE">
        <w:rPr>
          <w:rFonts w:ascii="Tahoma" w:hAnsi="Tahoma" w:cs="Tahoma"/>
          <w:spacing w:val="-25"/>
          <w:sz w:val="20"/>
          <w:szCs w:val="20"/>
        </w:rPr>
        <w:t xml:space="preserve"> </w:t>
      </w:r>
      <w:r w:rsidRPr="00B004EE">
        <w:rPr>
          <w:rFonts w:ascii="Tahoma" w:hAnsi="Tahoma" w:cs="Tahoma"/>
          <w:sz w:val="20"/>
          <w:szCs w:val="20"/>
        </w:rPr>
        <w:t>sous</w:t>
      </w:r>
      <w:r w:rsidR="00DB1635" w:rsidRPr="00B004EE">
        <w:rPr>
          <w:rFonts w:ascii="Tahoma" w:hAnsi="Tahoma" w:cs="Tahoma"/>
          <w:spacing w:val="-27"/>
          <w:sz w:val="20"/>
          <w:szCs w:val="20"/>
        </w:rPr>
        <w:t xml:space="preserve"> </w:t>
      </w:r>
      <w:r w:rsidRPr="00B004EE">
        <w:rPr>
          <w:rFonts w:ascii="Tahoma" w:hAnsi="Tahoma" w:cs="Tahoma"/>
          <w:sz w:val="20"/>
          <w:szCs w:val="20"/>
        </w:rPr>
        <w:t>juridictions</w:t>
      </w:r>
      <w:r w:rsidR="00DB1635" w:rsidRPr="00B004EE">
        <w:rPr>
          <w:rFonts w:ascii="Tahoma" w:hAnsi="Tahoma" w:cs="Tahoma"/>
          <w:spacing w:val="-27"/>
          <w:sz w:val="20"/>
          <w:szCs w:val="20"/>
        </w:rPr>
        <w:t xml:space="preserve"> </w:t>
      </w:r>
      <w:r w:rsidRPr="00B004EE">
        <w:rPr>
          <w:rFonts w:ascii="Tahoma" w:hAnsi="Tahoma" w:cs="Tahoma"/>
          <w:sz w:val="20"/>
          <w:szCs w:val="20"/>
        </w:rPr>
        <w:t>mauritaniennes.</w:t>
      </w:r>
      <w:r w:rsidR="00DB1635" w:rsidRPr="00B004EE">
        <w:rPr>
          <w:rFonts w:ascii="Tahoma" w:hAnsi="Tahoma" w:cs="Tahoma"/>
          <w:spacing w:val="-26"/>
          <w:sz w:val="20"/>
          <w:szCs w:val="20"/>
        </w:rPr>
        <w:t xml:space="preserve"> </w:t>
      </w:r>
      <w:r w:rsidRPr="00B004EE">
        <w:rPr>
          <w:rFonts w:ascii="Tahoma" w:hAnsi="Tahoma" w:cs="Tahoma"/>
          <w:sz w:val="20"/>
          <w:szCs w:val="20"/>
        </w:rPr>
        <w:t>Il</w:t>
      </w:r>
      <w:r w:rsidR="00DB1635" w:rsidRPr="00B004EE">
        <w:rPr>
          <w:rFonts w:ascii="Tahoma" w:hAnsi="Tahoma" w:cs="Tahoma"/>
          <w:spacing w:val="-25"/>
          <w:sz w:val="20"/>
          <w:szCs w:val="20"/>
        </w:rPr>
        <w:t xml:space="preserve"> </w:t>
      </w:r>
      <w:r w:rsidRPr="00B004EE">
        <w:rPr>
          <w:rFonts w:ascii="Tahoma" w:hAnsi="Tahoma" w:cs="Tahoma"/>
          <w:sz w:val="20"/>
          <w:szCs w:val="20"/>
        </w:rPr>
        <w:t>est</w:t>
      </w:r>
      <w:r w:rsidR="00DB1635" w:rsidRPr="00B004EE">
        <w:rPr>
          <w:rFonts w:ascii="Tahoma" w:hAnsi="Tahoma" w:cs="Tahoma"/>
          <w:spacing w:val="-27"/>
          <w:sz w:val="20"/>
          <w:szCs w:val="20"/>
        </w:rPr>
        <w:t xml:space="preserve"> </w:t>
      </w:r>
      <w:r w:rsidRPr="00B004EE">
        <w:rPr>
          <w:rFonts w:ascii="Tahoma" w:hAnsi="Tahoma" w:cs="Tahoma"/>
          <w:sz w:val="20"/>
          <w:szCs w:val="20"/>
        </w:rPr>
        <w:t>accordé</w:t>
      </w:r>
      <w:r w:rsidR="00DB1635" w:rsidRPr="00B004EE">
        <w:rPr>
          <w:rFonts w:ascii="Tahoma" w:hAnsi="Tahoma" w:cs="Tahoma"/>
          <w:spacing w:val="-26"/>
          <w:sz w:val="20"/>
          <w:szCs w:val="20"/>
        </w:rPr>
        <w:t xml:space="preserve"> </w:t>
      </w:r>
      <w:r w:rsidRPr="00B004EE">
        <w:rPr>
          <w:rFonts w:ascii="Tahoma" w:hAnsi="Tahoma" w:cs="Tahoma"/>
          <w:sz w:val="20"/>
          <w:szCs w:val="20"/>
        </w:rPr>
        <w:t>à</w:t>
      </w:r>
      <w:r w:rsidR="00DB1635" w:rsidRPr="00B004EE">
        <w:rPr>
          <w:rFonts w:ascii="Tahoma" w:hAnsi="Tahoma" w:cs="Tahoma"/>
          <w:w w:val="98"/>
          <w:sz w:val="20"/>
          <w:szCs w:val="20"/>
        </w:rPr>
        <w:t xml:space="preserve"> </w:t>
      </w:r>
      <w:r w:rsidRPr="00B004EE">
        <w:rPr>
          <w:rFonts w:ascii="Tahoma" w:hAnsi="Tahoma" w:cs="Tahoma"/>
          <w:sz w:val="20"/>
          <w:szCs w:val="20"/>
        </w:rPr>
        <w:t>tout</w:t>
      </w:r>
      <w:r w:rsidR="00DB1635" w:rsidRPr="00B004EE">
        <w:rPr>
          <w:rFonts w:ascii="Tahoma" w:hAnsi="Tahoma" w:cs="Tahoma"/>
          <w:sz w:val="20"/>
          <w:szCs w:val="20"/>
        </w:rPr>
        <w:t xml:space="preserve"> </w:t>
      </w:r>
      <w:r w:rsidRPr="00B004EE">
        <w:rPr>
          <w:rFonts w:ascii="Tahoma" w:hAnsi="Tahoma" w:cs="Tahoma"/>
          <w:sz w:val="20"/>
          <w:szCs w:val="20"/>
        </w:rPr>
        <w:t>concessionnaire</w:t>
      </w:r>
      <w:r w:rsidR="00DB1635" w:rsidRPr="00B004EE">
        <w:rPr>
          <w:rFonts w:ascii="Tahoma" w:hAnsi="Tahoma" w:cs="Tahoma"/>
          <w:sz w:val="20"/>
          <w:szCs w:val="20"/>
        </w:rPr>
        <w:t xml:space="preserve"> </w:t>
      </w:r>
      <w:r w:rsidRPr="00B004EE">
        <w:rPr>
          <w:rFonts w:ascii="Tahoma" w:hAnsi="Tahoma" w:cs="Tahoma"/>
          <w:sz w:val="20"/>
          <w:szCs w:val="20"/>
        </w:rPr>
        <w:t>débarquant,</w:t>
      </w:r>
      <w:r w:rsidR="00DB1635" w:rsidRPr="00B004EE">
        <w:rPr>
          <w:rFonts w:ascii="Tahoma" w:hAnsi="Tahoma" w:cs="Tahoma"/>
          <w:sz w:val="20"/>
          <w:szCs w:val="20"/>
        </w:rPr>
        <w:t xml:space="preserve"> </w:t>
      </w:r>
      <w:r w:rsidRPr="00B004EE">
        <w:rPr>
          <w:rFonts w:ascii="Tahoma" w:hAnsi="Tahoma" w:cs="Tahoma"/>
          <w:sz w:val="20"/>
          <w:szCs w:val="20"/>
        </w:rPr>
        <w:t>traitant</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commercialisant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pacing w:val="-13"/>
          <w:sz w:val="20"/>
          <w:szCs w:val="20"/>
        </w:rPr>
        <w:t xml:space="preserve"> </w:t>
      </w:r>
      <w:r w:rsidRPr="00B004EE">
        <w:rPr>
          <w:rFonts w:ascii="Tahoma" w:hAnsi="Tahoma" w:cs="Tahoma"/>
          <w:sz w:val="20"/>
          <w:szCs w:val="20"/>
        </w:rPr>
        <w:t>ses</w:t>
      </w:r>
      <w:r w:rsidR="00DB1635" w:rsidRPr="00B004EE">
        <w:rPr>
          <w:rFonts w:ascii="Tahoma" w:hAnsi="Tahoma" w:cs="Tahoma"/>
          <w:w w:val="94"/>
          <w:sz w:val="20"/>
          <w:szCs w:val="20"/>
        </w:rPr>
        <w:t xml:space="preserve"> </w:t>
      </w:r>
      <w:r w:rsidRPr="00B004EE">
        <w:rPr>
          <w:rFonts w:ascii="Tahoma" w:hAnsi="Tahoma" w:cs="Tahoma"/>
          <w:sz w:val="20"/>
          <w:szCs w:val="20"/>
        </w:rPr>
        <w:t>captures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partir</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Mauritanie.</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navire</w:t>
      </w:r>
      <w:r w:rsidR="00DB1635" w:rsidRPr="00B004EE">
        <w:rPr>
          <w:rFonts w:ascii="Tahoma" w:hAnsi="Tahoma" w:cs="Tahoma"/>
          <w:sz w:val="20"/>
          <w:szCs w:val="20"/>
        </w:rPr>
        <w:t xml:space="preserve"> </w:t>
      </w:r>
      <w:r w:rsidRPr="00B004EE">
        <w:rPr>
          <w:rFonts w:ascii="Tahoma" w:hAnsi="Tahoma" w:cs="Tahoma"/>
          <w:sz w:val="20"/>
          <w:szCs w:val="20"/>
        </w:rPr>
        <w:t>opérant</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cadre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ce</w:t>
      </w:r>
      <w:r w:rsidR="00DB1635" w:rsidRPr="00B004EE">
        <w:rPr>
          <w:rFonts w:ascii="Tahoma" w:hAnsi="Tahoma" w:cs="Tahoma"/>
          <w:spacing w:val="7"/>
          <w:sz w:val="20"/>
          <w:szCs w:val="20"/>
        </w:rPr>
        <w:t xml:space="preserve"> </w:t>
      </w:r>
      <w:r w:rsidRPr="00B004EE">
        <w:rPr>
          <w:rFonts w:ascii="Tahoma" w:hAnsi="Tahoma" w:cs="Tahoma"/>
          <w:sz w:val="20"/>
          <w:szCs w:val="20"/>
        </w:rPr>
        <w:t>régime</w:t>
      </w:r>
      <w:r w:rsidR="00DB1635" w:rsidRPr="00B004EE">
        <w:rPr>
          <w:rFonts w:ascii="Tahoma" w:hAnsi="Tahoma" w:cs="Tahoma"/>
          <w:spacing w:val="-1"/>
          <w:w w:val="95"/>
          <w:sz w:val="20"/>
          <w:szCs w:val="20"/>
        </w:rPr>
        <w:t xml:space="preserve"> </w:t>
      </w:r>
      <w:r w:rsidRPr="00B004EE">
        <w:rPr>
          <w:rFonts w:ascii="Tahoma" w:hAnsi="Tahoma" w:cs="Tahoma"/>
          <w:sz w:val="20"/>
          <w:szCs w:val="20"/>
        </w:rPr>
        <w:t>doit</w:t>
      </w:r>
      <w:r w:rsidR="00DB1635" w:rsidRPr="00B004EE">
        <w:rPr>
          <w:rFonts w:ascii="Tahoma" w:hAnsi="Tahoma" w:cs="Tahoma"/>
          <w:spacing w:val="-30"/>
          <w:sz w:val="20"/>
          <w:szCs w:val="20"/>
        </w:rPr>
        <w:t xml:space="preserve"> </w:t>
      </w:r>
      <w:r w:rsidRPr="00B004EE">
        <w:rPr>
          <w:rFonts w:ascii="Tahoma" w:hAnsi="Tahoma" w:cs="Tahoma"/>
          <w:sz w:val="20"/>
          <w:szCs w:val="20"/>
        </w:rPr>
        <w:t>battre</w:t>
      </w:r>
      <w:r w:rsidR="00DB1635" w:rsidRPr="00B004EE">
        <w:rPr>
          <w:rFonts w:ascii="Tahoma" w:hAnsi="Tahoma" w:cs="Tahoma"/>
          <w:spacing w:val="-31"/>
          <w:sz w:val="20"/>
          <w:szCs w:val="20"/>
        </w:rPr>
        <w:t xml:space="preserve"> </w:t>
      </w:r>
      <w:r w:rsidRPr="00B004EE">
        <w:rPr>
          <w:rFonts w:ascii="Tahoma" w:hAnsi="Tahoma" w:cs="Tahoma"/>
          <w:sz w:val="20"/>
          <w:szCs w:val="20"/>
        </w:rPr>
        <w:t>pavillon</w:t>
      </w:r>
      <w:r w:rsidR="00DB1635" w:rsidRPr="00B004EE">
        <w:rPr>
          <w:rFonts w:ascii="Tahoma" w:hAnsi="Tahoma" w:cs="Tahoma"/>
          <w:spacing w:val="-31"/>
          <w:sz w:val="20"/>
          <w:szCs w:val="20"/>
        </w:rPr>
        <w:t xml:space="preserve"> </w:t>
      </w:r>
      <w:r w:rsidRPr="00B004EE">
        <w:rPr>
          <w:rFonts w:ascii="Tahoma" w:hAnsi="Tahoma" w:cs="Tahoma"/>
          <w:sz w:val="20"/>
          <w:szCs w:val="20"/>
        </w:rPr>
        <w:t>national.</w:t>
      </w:r>
    </w:p>
    <w:p w14:paraId="7B13591D" w14:textId="77777777" w:rsidR="00337E3A" w:rsidRPr="00B004EE" w:rsidRDefault="00337E3A" w:rsidP="00B004EE">
      <w:pPr>
        <w:pStyle w:val="Corpsdetexte"/>
        <w:ind w:right="157"/>
        <w:rPr>
          <w:rFonts w:ascii="Tahoma" w:hAnsi="Tahoma" w:cs="Tahoma"/>
          <w:sz w:val="20"/>
          <w:szCs w:val="20"/>
        </w:rPr>
      </w:pPr>
    </w:p>
    <w:p w14:paraId="1BA36497" w14:textId="19D57A83" w:rsidR="001E7C3C" w:rsidRPr="00B004EE" w:rsidRDefault="001E7C3C" w:rsidP="00B004EE">
      <w:pPr>
        <w:pStyle w:val="Corpsdetexte"/>
        <w:ind w:right="157"/>
        <w:rPr>
          <w:rFonts w:ascii="Tahoma" w:hAnsi="Tahoma" w:cs="Tahoma"/>
          <w:sz w:val="20"/>
          <w:szCs w:val="20"/>
        </w:rPr>
      </w:pPr>
      <w:r w:rsidRPr="00B004EE">
        <w:rPr>
          <w:rFonts w:ascii="Tahoma" w:hAnsi="Tahoma" w:cs="Tahoma"/>
          <w:sz w:val="20"/>
          <w:szCs w:val="20"/>
        </w:rPr>
        <w:t>L'exploitation</w:t>
      </w:r>
      <w:r w:rsidR="00DB1635" w:rsidRPr="00B004EE">
        <w:rPr>
          <w:rFonts w:ascii="Tahoma" w:hAnsi="Tahoma" w:cs="Tahoma"/>
          <w:spacing w:val="-18"/>
          <w:sz w:val="20"/>
          <w:szCs w:val="20"/>
        </w:rPr>
        <w:t xml:space="preserve"> </w:t>
      </w:r>
      <w:r w:rsidRPr="00B004EE">
        <w:rPr>
          <w:rFonts w:ascii="Tahoma" w:hAnsi="Tahoma" w:cs="Tahoma"/>
          <w:sz w:val="20"/>
          <w:szCs w:val="20"/>
        </w:rPr>
        <w:t>de</w:t>
      </w:r>
      <w:r w:rsidR="00DB1635" w:rsidRPr="00B004EE">
        <w:rPr>
          <w:rFonts w:ascii="Tahoma" w:hAnsi="Tahoma" w:cs="Tahoma"/>
          <w:spacing w:val="-18"/>
          <w:sz w:val="20"/>
          <w:szCs w:val="20"/>
        </w:rPr>
        <w:t xml:space="preserve"> </w:t>
      </w:r>
      <w:r w:rsidRPr="00B004EE">
        <w:rPr>
          <w:rFonts w:ascii="Tahoma" w:hAnsi="Tahoma" w:cs="Tahoma"/>
          <w:sz w:val="20"/>
          <w:szCs w:val="20"/>
        </w:rPr>
        <w:t>navires</w:t>
      </w:r>
      <w:r w:rsidR="00DB1635" w:rsidRPr="00B004EE">
        <w:rPr>
          <w:rFonts w:ascii="Tahoma" w:hAnsi="Tahoma" w:cs="Tahoma"/>
          <w:spacing w:val="-19"/>
          <w:sz w:val="20"/>
          <w:szCs w:val="20"/>
        </w:rPr>
        <w:t xml:space="preserve"> </w:t>
      </w:r>
      <w:r w:rsidRPr="00B004EE">
        <w:rPr>
          <w:rFonts w:ascii="Tahoma" w:hAnsi="Tahoma" w:cs="Tahoma"/>
          <w:sz w:val="20"/>
          <w:szCs w:val="20"/>
        </w:rPr>
        <w:t>étrangers</w:t>
      </w:r>
      <w:r w:rsidR="00DB1635" w:rsidRPr="00B004EE">
        <w:rPr>
          <w:rFonts w:ascii="Tahoma" w:hAnsi="Tahoma" w:cs="Tahoma"/>
          <w:spacing w:val="-19"/>
          <w:sz w:val="20"/>
          <w:szCs w:val="20"/>
        </w:rPr>
        <w:t xml:space="preserve"> </w:t>
      </w:r>
      <w:r w:rsidRPr="00B004EE">
        <w:rPr>
          <w:rFonts w:ascii="Tahoma" w:hAnsi="Tahoma" w:cs="Tahoma"/>
          <w:sz w:val="20"/>
          <w:szCs w:val="20"/>
        </w:rPr>
        <w:t>sous</w:t>
      </w:r>
      <w:r w:rsidR="00DB1635" w:rsidRPr="00B004EE">
        <w:rPr>
          <w:rFonts w:ascii="Tahoma" w:hAnsi="Tahoma" w:cs="Tahoma"/>
          <w:spacing w:val="-19"/>
          <w:sz w:val="20"/>
          <w:szCs w:val="20"/>
        </w:rPr>
        <w:t xml:space="preserve"> </w:t>
      </w:r>
      <w:r w:rsidRPr="00B004EE">
        <w:rPr>
          <w:rFonts w:ascii="Tahoma" w:hAnsi="Tahoma" w:cs="Tahoma"/>
          <w:sz w:val="20"/>
          <w:szCs w:val="20"/>
        </w:rPr>
        <w:t>le</w:t>
      </w:r>
      <w:r w:rsidR="00DB1635" w:rsidRPr="00B004EE">
        <w:rPr>
          <w:rFonts w:ascii="Tahoma" w:hAnsi="Tahoma" w:cs="Tahoma"/>
          <w:spacing w:val="-18"/>
          <w:sz w:val="20"/>
          <w:szCs w:val="20"/>
        </w:rPr>
        <w:t xml:space="preserve"> </w:t>
      </w:r>
      <w:r w:rsidRPr="00B004EE">
        <w:rPr>
          <w:rFonts w:ascii="Tahoma" w:hAnsi="Tahoma" w:cs="Tahoma"/>
          <w:sz w:val="20"/>
          <w:szCs w:val="20"/>
        </w:rPr>
        <w:t>régime</w:t>
      </w:r>
      <w:r w:rsidR="00DB1635" w:rsidRPr="00B004EE">
        <w:rPr>
          <w:rFonts w:ascii="Tahoma" w:hAnsi="Tahoma" w:cs="Tahoma"/>
          <w:spacing w:val="-18"/>
          <w:sz w:val="20"/>
          <w:szCs w:val="20"/>
        </w:rPr>
        <w:t xml:space="preserve"> </w:t>
      </w:r>
      <w:r w:rsidRPr="00B004EE">
        <w:rPr>
          <w:rFonts w:ascii="Tahoma" w:hAnsi="Tahoma" w:cs="Tahoma"/>
          <w:sz w:val="20"/>
          <w:szCs w:val="20"/>
        </w:rPr>
        <w:t>national</w:t>
      </w:r>
      <w:r w:rsidR="00DB1635" w:rsidRPr="00B004EE">
        <w:rPr>
          <w:rFonts w:ascii="Tahoma" w:hAnsi="Tahoma" w:cs="Tahoma"/>
          <w:spacing w:val="-18"/>
          <w:sz w:val="20"/>
          <w:szCs w:val="20"/>
        </w:rPr>
        <w:t xml:space="preserve"> </w:t>
      </w:r>
      <w:r w:rsidRPr="00B004EE">
        <w:rPr>
          <w:rFonts w:ascii="Tahoma" w:hAnsi="Tahoma" w:cs="Tahoma"/>
          <w:sz w:val="20"/>
          <w:szCs w:val="20"/>
        </w:rPr>
        <w:t>peut</w:t>
      </w:r>
      <w:r w:rsidR="00DB1635" w:rsidRPr="00B004EE">
        <w:rPr>
          <w:rFonts w:ascii="Tahoma" w:hAnsi="Tahoma" w:cs="Tahoma"/>
          <w:spacing w:val="-18"/>
          <w:sz w:val="20"/>
          <w:szCs w:val="20"/>
        </w:rPr>
        <w:t xml:space="preserve"> </w:t>
      </w:r>
      <w:r w:rsidRPr="00B004EE">
        <w:rPr>
          <w:rFonts w:ascii="Tahoma" w:hAnsi="Tahoma" w:cs="Tahoma"/>
          <w:sz w:val="20"/>
          <w:szCs w:val="20"/>
        </w:rPr>
        <w:t>être</w:t>
      </w:r>
      <w:r w:rsidR="00DB1635" w:rsidRPr="00B004EE">
        <w:rPr>
          <w:rFonts w:ascii="Tahoma" w:hAnsi="Tahoma" w:cs="Tahoma"/>
          <w:spacing w:val="-18"/>
          <w:sz w:val="20"/>
          <w:szCs w:val="20"/>
        </w:rPr>
        <w:t xml:space="preserve"> </w:t>
      </w:r>
      <w:r w:rsidRPr="00B004EE">
        <w:rPr>
          <w:rFonts w:ascii="Tahoma" w:hAnsi="Tahoma" w:cs="Tahoma"/>
          <w:sz w:val="20"/>
          <w:szCs w:val="20"/>
        </w:rPr>
        <w:t>autorisée</w:t>
      </w:r>
      <w:r w:rsidR="00DB1635" w:rsidRPr="00B004EE">
        <w:rPr>
          <w:rFonts w:ascii="Tahoma" w:hAnsi="Tahoma" w:cs="Tahoma"/>
          <w:spacing w:val="-18"/>
          <w:sz w:val="20"/>
          <w:szCs w:val="20"/>
        </w:rPr>
        <w:t xml:space="preserve"> </w:t>
      </w:r>
      <w:r w:rsidRPr="00B004EE">
        <w:rPr>
          <w:rFonts w:ascii="Tahoma" w:hAnsi="Tahoma" w:cs="Tahoma"/>
          <w:sz w:val="20"/>
          <w:szCs w:val="20"/>
        </w:rPr>
        <w:t>par</w:t>
      </w:r>
      <w:r w:rsidR="00DB1635" w:rsidRPr="00B004EE">
        <w:rPr>
          <w:rFonts w:ascii="Tahoma" w:hAnsi="Tahoma" w:cs="Tahoma"/>
          <w:w w:val="90"/>
          <w:sz w:val="20"/>
          <w:szCs w:val="20"/>
        </w:rPr>
        <w:t xml:space="preserve"> </w:t>
      </w:r>
      <w:r w:rsidRPr="00B004EE">
        <w:rPr>
          <w:rFonts w:ascii="Tahoma" w:hAnsi="Tahoma" w:cs="Tahoma"/>
          <w:sz w:val="20"/>
          <w:szCs w:val="20"/>
        </w:rPr>
        <w:t>le</w:t>
      </w:r>
      <w:r w:rsidR="00DB1635" w:rsidRPr="00B004EE">
        <w:rPr>
          <w:rFonts w:ascii="Tahoma" w:hAnsi="Tahoma" w:cs="Tahoma"/>
          <w:spacing w:val="42"/>
          <w:sz w:val="20"/>
          <w:szCs w:val="20"/>
        </w:rPr>
        <w:t xml:space="preserve"> </w:t>
      </w:r>
      <w:r w:rsidRPr="00B004EE">
        <w:rPr>
          <w:rFonts w:ascii="Tahoma" w:hAnsi="Tahoma" w:cs="Tahoma"/>
          <w:sz w:val="20"/>
          <w:szCs w:val="20"/>
        </w:rPr>
        <w:t>ministre</w:t>
      </w:r>
      <w:r w:rsidR="00DB1635" w:rsidRPr="00B004EE">
        <w:rPr>
          <w:rFonts w:ascii="Tahoma" w:hAnsi="Tahoma" w:cs="Tahoma"/>
          <w:spacing w:val="42"/>
          <w:sz w:val="20"/>
          <w:szCs w:val="20"/>
        </w:rPr>
        <w:t xml:space="preserve"> </w:t>
      </w:r>
      <w:r w:rsidRPr="00B004EE">
        <w:rPr>
          <w:rFonts w:ascii="Tahoma" w:hAnsi="Tahoma" w:cs="Tahoma"/>
          <w:sz w:val="20"/>
          <w:szCs w:val="20"/>
        </w:rPr>
        <w:t>chargé</w:t>
      </w:r>
      <w:r w:rsidR="00DB1635" w:rsidRPr="00B004EE">
        <w:rPr>
          <w:rFonts w:ascii="Tahoma" w:hAnsi="Tahoma" w:cs="Tahoma"/>
          <w:spacing w:val="44"/>
          <w:sz w:val="20"/>
          <w:szCs w:val="20"/>
        </w:rPr>
        <w:t xml:space="preserve"> </w:t>
      </w:r>
      <w:r w:rsidRPr="00B004EE">
        <w:rPr>
          <w:rFonts w:ascii="Tahoma" w:hAnsi="Tahoma" w:cs="Tahoma"/>
          <w:sz w:val="20"/>
          <w:szCs w:val="20"/>
        </w:rPr>
        <w:t>des</w:t>
      </w:r>
      <w:r w:rsidR="00DB1635" w:rsidRPr="00B004EE">
        <w:rPr>
          <w:rFonts w:ascii="Tahoma" w:hAnsi="Tahoma" w:cs="Tahoma"/>
          <w:spacing w:val="42"/>
          <w:sz w:val="20"/>
          <w:szCs w:val="20"/>
        </w:rPr>
        <w:t xml:space="preserve"> </w:t>
      </w:r>
      <w:r w:rsidRPr="00B004EE">
        <w:rPr>
          <w:rFonts w:ascii="Tahoma" w:hAnsi="Tahoma" w:cs="Tahoma"/>
          <w:sz w:val="20"/>
          <w:szCs w:val="20"/>
        </w:rPr>
        <w:t>pêches</w:t>
      </w:r>
      <w:r w:rsidR="00DB1635" w:rsidRPr="00B004EE">
        <w:rPr>
          <w:rFonts w:ascii="Tahoma" w:hAnsi="Tahoma" w:cs="Tahoma"/>
          <w:spacing w:val="42"/>
          <w:sz w:val="20"/>
          <w:szCs w:val="20"/>
        </w:rPr>
        <w:t xml:space="preserve"> </w:t>
      </w:r>
      <w:r w:rsidRPr="00B004EE">
        <w:rPr>
          <w:rFonts w:ascii="Tahoma" w:hAnsi="Tahoma" w:cs="Tahoma"/>
          <w:sz w:val="20"/>
          <w:szCs w:val="20"/>
        </w:rPr>
        <w:t>dans</w:t>
      </w:r>
      <w:r w:rsidR="00DB1635" w:rsidRPr="00B004EE">
        <w:rPr>
          <w:rFonts w:ascii="Tahoma" w:hAnsi="Tahoma" w:cs="Tahoma"/>
          <w:spacing w:val="42"/>
          <w:sz w:val="20"/>
          <w:szCs w:val="20"/>
        </w:rPr>
        <w:t xml:space="preserve"> </w:t>
      </w:r>
      <w:r w:rsidRPr="00B004EE">
        <w:rPr>
          <w:rFonts w:ascii="Tahoma" w:hAnsi="Tahoma" w:cs="Tahoma"/>
          <w:sz w:val="20"/>
          <w:szCs w:val="20"/>
        </w:rPr>
        <w:t>les</w:t>
      </w:r>
      <w:r w:rsidR="00DB1635" w:rsidRPr="00B004EE">
        <w:rPr>
          <w:rFonts w:ascii="Tahoma" w:hAnsi="Tahoma" w:cs="Tahoma"/>
          <w:spacing w:val="42"/>
          <w:sz w:val="20"/>
          <w:szCs w:val="20"/>
        </w:rPr>
        <w:t xml:space="preserve"> </w:t>
      </w:r>
      <w:r w:rsidRPr="00B004EE">
        <w:rPr>
          <w:rFonts w:ascii="Tahoma" w:hAnsi="Tahoma" w:cs="Tahoma"/>
          <w:sz w:val="20"/>
          <w:szCs w:val="20"/>
        </w:rPr>
        <w:t>conditions</w:t>
      </w:r>
      <w:r w:rsidR="00DB1635" w:rsidRPr="00B004EE">
        <w:rPr>
          <w:rFonts w:ascii="Tahoma" w:hAnsi="Tahoma" w:cs="Tahoma"/>
          <w:spacing w:val="43"/>
          <w:sz w:val="20"/>
          <w:szCs w:val="20"/>
        </w:rPr>
        <w:t xml:space="preserve"> </w:t>
      </w:r>
      <w:r w:rsidRPr="00B004EE">
        <w:rPr>
          <w:rFonts w:ascii="Tahoma" w:hAnsi="Tahoma" w:cs="Tahoma"/>
          <w:sz w:val="20"/>
          <w:szCs w:val="20"/>
        </w:rPr>
        <w:t>prévues</w:t>
      </w:r>
      <w:r w:rsidR="00DB1635" w:rsidRPr="00B004EE">
        <w:rPr>
          <w:rFonts w:ascii="Tahoma" w:hAnsi="Tahoma" w:cs="Tahoma"/>
          <w:spacing w:val="42"/>
          <w:sz w:val="20"/>
          <w:szCs w:val="20"/>
        </w:rPr>
        <w:t xml:space="preserve"> </w:t>
      </w:r>
      <w:r w:rsidRPr="00B004EE">
        <w:rPr>
          <w:rFonts w:ascii="Tahoma" w:hAnsi="Tahoma" w:cs="Tahoma"/>
          <w:sz w:val="20"/>
          <w:szCs w:val="20"/>
        </w:rPr>
        <w:t>par</w:t>
      </w:r>
      <w:r w:rsidR="00DB1635" w:rsidRPr="00B004EE">
        <w:rPr>
          <w:rFonts w:ascii="Tahoma" w:hAnsi="Tahoma" w:cs="Tahoma"/>
          <w:spacing w:val="39"/>
          <w:sz w:val="20"/>
          <w:szCs w:val="20"/>
        </w:rPr>
        <w:t xml:space="preserve"> </w:t>
      </w:r>
      <w:r w:rsidRPr="00B004EE">
        <w:rPr>
          <w:rFonts w:ascii="Tahoma" w:hAnsi="Tahoma" w:cs="Tahoma"/>
          <w:sz w:val="20"/>
          <w:szCs w:val="20"/>
        </w:rPr>
        <w:t>décret</w:t>
      </w:r>
      <w:r w:rsidR="00DB1635" w:rsidRPr="00B004EE">
        <w:rPr>
          <w:rFonts w:ascii="Tahoma" w:hAnsi="Tahoma" w:cs="Tahoma"/>
          <w:spacing w:val="40"/>
          <w:sz w:val="20"/>
          <w:szCs w:val="20"/>
        </w:rPr>
        <w:t xml:space="preserve"> </w:t>
      </w:r>
      <w:r w:rsidRPr="00B004EE">
        <w:rPr>
          <w:rFonts w:ascii="Tahoma" w:hAnsi="Tahoma" w:cs="Tahoma"/>
          <w:sz w:val="20"/>
          <w:szCs w:val="20"/>
        </w:rPr>
        <w:t>pris</w:t>
      </w:r>
      <w:r w:rsidR="00DB1635" w:rsidRPr="00B004EE">
        <w:rPr>
          <w:rFonts w:ascii="Tahoma" w:hAnsi="Tahoma" w:cs="Tahoma"/>
          <w:spacing w:val="39"/>
          <w:sz w:val="20"/>
          <w:szCs w:val="20"/>
        </w:rPr>
        <w:t xml:space="preserve"> </w:t>
      </w:r>
      <w:r w:rsidRPr="00B004EE">
        <w:rPr>
          <w:rFonts w:ascii="Tahoma" w:hAnsi="Tahoma" w:cs="Tahoma"/>
          <w:sz w:val="20"/>
          <w:szCs w:val="20"/>
        </w:rPr>
        <w:t>en</w:t>
      </w:r>
      <w:r w:rsidR="00DB1635" w:rsidRPr="00B004EE">
        <w:rPr>
          <w:rFonts w:ascii="Tahoma" w:hAnsi="Tahoma" w:cs="Tahoma"/>
          <w:w w:val="95"/>
          <w:sz w:val="20"/>
          <w:szCs w:val="20"/>
        </w:rPr>
        <w:t xml:space="preserve"> </w:t>
      </w:r>
      <w:r w:rsidRPr="00B004EE">
        <w:rPr>
          <w:rFonts w:ascii="Tahoma" w:hAnsi="Tahoma" w:cs="Tahoma"/>
          <w:sz w:val="20"/>
          <w:szCs w:val="20"/>
        </w:rPr>
        <w:t>Conseil</w:t>
      </w:r>
      <w:r w:rsidR="00DB1635" w:rsidRPr="00B004EE">
        <w:rPr>
          <w:rFonts w:ascii="Tahoma" w:hAnsi="Tahoma" w:cs="Tahoma"/>
          <w:spacing w:val="-30"/>
          <w:sz w:val="20"/>
          <w:szCs w:val="20"/>
        </w:rPr>
        <w:t xml:space="preserve"> </w:t>
      </w:r>
      <w:r w:rsidRPr="00B004EE">
        <w:rPr>
          <w:rFonts w:ascii="Tahoma" w:hAnsi="Tahoma" w:cs="Tahoma"/>
          <w:sz w:val="20"/>
          <w:szCs w:val="20"/>
        </w:rPr>
        <w:t>des</w:t>
      </w:r>
      <w:r w:rsidR="00DB1635" w:rsidRPr="00B004EE">
        <w:rPr>
          <w:rFonts w:ascii="Tahoma" w:hAnsi="Tahoma" w:cs="Tahoma"/>
          <w:spacing w:val="-31"/>
          <w:sz w:val="20"/>
          <w:szCs w:val="20"/>
        </w:rPr>
        <w:t xml:space="preserve"> </w:t>
      </w:r>
      <w:r w:rsidRPr="00B004EE">
        <w:rPr>
          <w:rFonts w:ascii="Tahoma" w:hAnsi="Tahoma" w:cs="Tahoma"/>
          <w:sz w:val="20"/>
          <w:szCs w:val="20"/>
        </w:rPr>
        <w:t>Ministres.</w:t>
      </w:r>
    </w:p>
    <w:p w14:paraId="6656B0A5" w14:textId="77777777" w:rsidR="001E7C3C" w:rsidRPr="00B004EE" w:rsidRDefault="001E7C3C" w:rsidP="00B004EE">
      <w:pPr>
        <w:rPr>
          <w:rFonts w:ascii="Tahoma" w:eastAsia="American Typewriter" w:hAnsi="Tahoma" w:cs="Tahoma"/>
          <w:sz w:val="20"/>
          <w:szCs w:val="20"/>
        </w:rPr>
      </w:pPr>
    </w:p>
    <w:p w14:paraId="26C3A833" w14:textId="166866E2" w:rsidR="001E7C3C" w:rsidRPr="00B004EE" w:rsidRDefault="001E7C3C" w:rsidP="00B004EE">
      <w:pPr>
        <w:pStyle w:val="Corpsdetexte"/>
        <w:ind w:right="159"/>
        <w:rPr>
          <w:rFonts w:ascii="Tahoma" w:hAnsi="Tahoma" w:cs="Tahoma"/>
          <w:sz w:val="20"/>
          <w:szCs w:val="20"/>
        </w:rPr>
      </w:pP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régime</w:t>
      </w:r>
      <w:r w:rsidR="00DB1635" w:rsidRPr="00B004EE">
        <w:rPr>
          <w:rFonts w:ascii="Tahoma" w:hAnsi="Tahoma" w:cs="Tahoma"/>
          <w:sz w:val="20"/>
          <w:szCs w:val="20"/>
        </w:rPr>
        <w:t xml:space="preserve"> </w:t>
      </w:r>
      <w:r w:rsidRPr="00B004EE">
        <w:rPr>
          <w:rFonts w:ascii="Tahoma" w:hAnsi="Tahoma" w:cs="Tahoma"/>
          <w:sz w:val="20"/>
          <w:szCs w:val="20"/>
        </w:rPr>
        <w:t>étranger</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régime</w:t>
      </w:r>
      <w:r w:rsidR="00DB1635" w:rsidRPr="00B004EE">
        <w:rPr>
          <w:rFonts w:ascii="Tahoma" w:hAnsi="Tahoma" w:cs="Tahoma"/>
          <w:sz w:val="20"/>
          <w:szCs w:val="20"/>
        </w:rPr>
        <w:t xml:space="preserve"> </w:t>
      </w:r>
      <w:r w:rsidRPr="00B004EE">
        <w:rPr>
          <w:rFonts w:ascii="Tahoma" w:hAnsi="Tahoma" w:cs="Tahoma"/>
          <w:sz w:val="20"/>
          <w:szCs w:val="20"/>
        </w:rPr>
        <w:t>d'exploitation</w:t>
      </w:r>
      <w:r w:rsidR="00DB1635" w:rsidRPr="00B004EE">
        <w:rPr>
          <w:rFonts w:ascii="Tahoma" w:hAnsi="Tahoma" w:cs="Tahoma"/>
          <w:sz w:val="20"/>
          <w:szCs w:val="20"/>
        </w:rPr>
        <w:t xml:space="preserve"> </w:t>
      </w:r>
      <w:r w:rsidRPr="00B004EE">
        <w:rPr>
          <w:rFonts w:ascii="Tahoma" w:hAnsi="Tahoma" w:cs="Tahoma"/>
          <w:sz w:val="20"/>
          <w:szCs w:val="20"/>
        </w:rPr>
        <w:t>exceptionnel</w:t>
      </w:r>
      <w:r w:rsidR="00DB1635" w:rsidRPr="00B004EE">
        <w:rPr>
          <w:rFonts w:ascii="Tahoma" w:hAnsi="Tahoma" w:cs="Tahoma"/>
          <w:sz w:val="20"/>
          <w:szCs w:val="20"/>
        </w:rPr>
        <w:t xml:space="preserve"> </w:t>
      </w:r>
      <w:r w:rsidRPr="00B004EE">
        <w:rPr>
          <w:rFonts w:ascii="Tahoma" w:hAnsi="Tahoma" w:cs="Tahoma"/>
          <w:sz w:val="20"/>
          <w:szCs w:val="20"/>
        </w:rPr>
        <w:t>accordé</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pacing w:val="-3"/>
          <w:sz w:val="20"/>
          <w:szCs w:val="20"/>
        </w:rPr>
        <w:t xml:space="preserve"> </w:t>
      </w:r>
      <w:r w:rsidRPr="00B004EE">
        <w:rPr>
          <w:rFonts w:ascii="Tahoma" w:hAnsi="Tahoma" w:cs="Tahoma"/>
          <w:sz w:val="20"/>
          <w:szCs w:val="20"/>
        </w:rPr>
        <w:t>tout</w:t>
      </w:r>
      <w:r w:rsidR="00DB1635" w:rsidRPr="00B004EE">
        <w:rPr>
          <w:rFonts w:ascii="Tahoma" w:hAnsi="Tahoma" w:cs="Tahoma"/>
          <w:spacing w:val="-1"/>
          <w:w w:val="96"/>
          <w:sz w:val="20"/>
          <w:szCs w:val="20"/>
        </w:rPr>
        <w:t xml:space="preserve"> </w:t>
      </w:r>
      <w:r w:rsidRPr="00B004EE">
        <w:rPr>
          <w:rFonts w:ascii="Tahoma" w:eastAsia="American Typewriter" w:hAnsi="Tahoma" w:cs="Tahoma"/>
          <w:sz w:val="20"/>
          <w:szCs w:val="20"/>
        </w:rPr>
        <w:t>concessionnaire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disposant</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d'un</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droit</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d'usage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alloué</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dans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le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cadre</w:t>
      </w:r>
      <w:r w:rsidR="00DB1635" w:rsidRPr="00B004EE">
        <w:rPr>
          <w:rFonts w:ascii="Tahoma" w:eastAsia="American Typewriter" w:hAnsi="Tahoma" w:cs="Tahoma"/>
          <w:spacing w:val="30"/>
          <w:sz w:val="20"/>
          <w:szCs w:val="20"/>
        </w:rPr>
        <w:t xml:space="preserve"> </w:t>
      </w:r>
      <w:r w:rsidRPr="00B004EE">
        <w:rPr>
          <w:rFonts w:ascii="Tahoma" w:eastAsia="American Typewriter" w:hAnsi="Tahoma" w:cs="Tahoma"/>
          <w:sz w:val="20"/>
          <w:szCs w:val="20"/>
        </w:rPr>
        <w:t>d’accords</w:t>
      </w:r>
      <w:r w:rsidR="00DB1635" w:rsidRPr="00B004EE">
        <w:rPr>
          <w:rFonts w:ascii="Tahoma" w:eastAsia="American Typewriter" w:hAnsi="Tahoma" w:cs="Tahoma"/>
          <w:w w:val="94"/>
          <w:sz w:val="20"/>
          <w:szCs w:val="20"/>
        </w:rPr>
        <w:t xml:space="preserve"> </w:t>
      </w:r>
      <w:r w:rsidRPr="00B004EE">
        <w:rPr>
          <w:rFonts w:ascii="Tahoma" w:hAnsi="Tahoma" w:cs="Tahoma"/>
          <w:sz w:val="20"/>
          <w:szCs w:val="20"/>
        </w:rPr>
        <w:t>internationaux</w:t>
      </w:r>
      <w:r w:rsidR="00DB1635" w:rsidRPr="00B004EE">
        <w:rPr>
          <w:rFonts w:ascii="Tahoma" w:hAnsi="Tahoma" w:cs="Tahoma"/>
          <w:spacing w:val="-19"/>
          <w:sz w:val="20"/>
          <w:szCs w:val="20"/>
        </w:rPr>
        <w:t xml:space="preserve"> </w:t>
      </w:r>
      <w:r w:rsidRPr="00B004EE">
        <w:rPr>
          <w:rFonts w:ascii="Tahoma" w:hAnsi="Tahoma" w:cs="Tahoma"/>
          <w:sz w:val="20"/>
          <w:szCs w:val="20"/>
        </w:rPr>
        <w:t>de</w:t>
      </w:r>
      <w:r w:rsidR="00DB1635" w:rsidRPr="00B004EE">
        <w:rPr>
          <w:rFonts w:ascii="Tahoma" w:hAnsi="Tahoma" w:cs="Tahoma"/>
          <w:spacing w:val="-19"/>
          <w:sz w:val="20"/>
          <w:szCs w:val="20"/>
        </w:rPr>
        <w:t xml:space="preserve"> </w:t>
      </w:r>
      <w:r w:rsidRPr="00B004EE">
        <w:rPr>
          <w:rFonts w:ascii="Tahoma" w:hAnsi="Tahoma" w:cs="Tahoma"/>
          <w:sz w:val="20"/>
          <w:szCs w:val="20"/>
        </w:rPr>
        <w:t>pêche</w:t>
      </w:r>
      <w:r w:rsidR="00DB1635" w:rsidRPr="00B004EE">
        <w:rPr>
          <w:rFonts w:ascii="Tahoma" w:hAnsi="Tahoma" w:cs="Tahoma"/>
          <w:spacing w:val="-19"/>
          <w:sz w:val="20"/>
          <w:szCs w:val="20"/>
        </w:rPr>
        <w:t xml:space="preserve"> </w:t>
      </w:r>
      <w:r w:rsidRPr="00B004EE">
        <w:rPr>
          <w:rFonts w:ascii="Tahoma" w:hAnsi="Tahoma" w:cs="Tahoma"/>
          <w:sz w:val="20"/>
          <w:szCs w:val="20"/>
        </w:rPr>
        <w:t>ou</w:t>
      </w:r>
      <w:r w:rsidR="00DB1635" w:rsidRPr="00B004EE">
        <w:rPr>
          <w:rFonts w:ascii="Tahoma" w:hAnsi="Tahoma" w:cs="Tahoma"/>
          <w:spacing w:val="-19"/>
          <w:sz w:val="20"/>
          <w:szCs w:val="20"/>
        </w:rPr>
        <w:t xml:space="preserve"> </w:t>
      </w:r>
      <w:r w:rsidRPr="00B004EE">
        <w:rPr>
          <w:rFonts w:ascii="Tahoma" w:hAnsi="Tahoma" w:cs="Tahoma"/>
          <w:sz w:val="20"/>
          <w:szCs w:val="20"/>
        </w:rPr>
        <w:t>autres</w:t>
      </w:r>
      <w:r w:rsidR="00DB1635" w:rsidRPr="00B004EE">
        <w:rPr>
          <w:rFonts w:ascii="Tahoma" w:hAnsi="Tahoma" w:cs="Tahoma"/>
          <w:spacing w:val="-19"/>
          <w:sz w:val="20"/>
          <w:szCs w:val="20"/>
        </w:rPr>
        <w:t xml:space="preserve"> </w:t>
      </w:r>
      <w:r w:rsidRPr="00B004EE">
        <w:rPr>
          <w:rFonts w:ascii="Tahoma" w:hAnsi="Tahoma" w:cs="Tahoma"/>
          <w:sz w:val="20"/>
          <w:szCs w:val="20"/>
        </w:rPr>
        <w:t>arrangements</w:t>
      </w:r>
      <w:r w:rsidR="00DB1635" w:rsidRPr="00B004EE">
        <w:rPr>
          <w:rFonts w:ascii="Tahoma" w:hAnsi="Tahoma" w:cs="Tahoma"/>
          <w:spacing w:val="-19"/>
          <w:sz w:val="20"/>
          <w:szCs w:val="20"/>
        </w:rPr>
        <w:t xml:space="preserve"> </w:t>
      </w:r>
      <w:r w:rsidRPr="00B004EE">
        <w:rPr>
          <w:rFonts w:ascii="Tahoma" w:hAnsi="Tahoma" w:cs="Tahoma"/>
          <w:sz w:val="20"/>
          <w:szCs w:val="20"/>
        </w:rPr>
        <w:t>avec</w:t>
      </w:r>
      <w:r w:rsidR="00DB1635" w:rsidRPr="00B004EE">
        <w:rPr>
          <w:rFonts w:ascii="Tahoma" w:hAnsi="Tahoma" w:cs="Tahoma"/>
          <w:spacing w:val="-19"/>
          <w:sz w:val="20"/>
          <w:szCs w:val="20"/>
        </w:rPr>
        <w:t xml:space="preserve"> </w:t>
      </w:r>
      <w:r w:rsidRPr="00B004EE">
        <w:rPr>
          <w:rFonts w:ascii="Tahoma" w:hAnsi="Tahoma" w:cs="Tahoma"/>
          <w:sz w:val="20"/>
          <w:szCs w:val="20"/>
        </w:rPr>
        <w:t>un</w:t>
      </w:r>
      <w:r w:rsidR="00DB1635" w:rsidRPr="00B004EE">
        <w:rPr>
          <w:rFonts w:ascii="Tahoma" w:hAnsi="Tahoma" w:cs="Tahoma"/>
          <w:spacing w:val="-19"/>
          <w:sz w:val="20"/>
          <w:szCs w:val="20"/>
        </w:rPr>
        <w:t xml:space="preserve"> </w:t>
      </w:r>
      <w:r w:rsidRPr="00B004EE">
        <w:rPr>
          <w:rFonts w:ascii="Tahoma" w:hAnsi="Tahoma" w:cs="Tahoma"/>
          <w:sz w:val="20"/>
          <w:szCs w:val="20"/>
        </w:rPr>
        <w:t>Pays</w:t>
      </w:r>
      <w:r w:rsidR="00DB1635" w:rsidRPr="00B004EE">
        <w:rPr>
          <w:rFonts w:ascii="Tahoma" w:hAnsi="Tahoma" w:cs="Tahoma"/>
          <w:spacing w:val="-19"/>
          <w:sz w:val="20"/>
          <w:szCs w:val="20"/>
        </w:rPr>
        <w:t xml:space="preserve"> </w:t>
      </w:r>
      <w:r w:rsidRPr="00B004EE">
        <w:rPr>
          <w:rFonts w:ascii="Tahoma" w:hAnsi="Tahoma" w:cs="Tahoma"/>
          <w:sz w:val="20"/>
          <w:szCs w:val="20"/>
        </w:rPr>
        <w:t>tiers,</w:t>
      </w:r>
      <w:r w:rsidR="00DB1635" w:rsidRPr="00B004EE">
        <w:rPr>
          <w:rFonts w:ascii="Tahoma" w:hAnsi="Tahoma" w:cs="Tahoma"/>
          <w:spacing w:val="-19"/>
          <w:sz w:val="20"/>
          <w:szCs w:val="20"/>
        </w:rPr>
        <w:t xml:space="preserve"> </w:t>
      </w:r>
      <w:r w:rsidRPr="00B004EE">
        <w:rPr>
          <w:rFonts w:ascii="Tahoma" w:hAnsi="Tahoma" w:cs="Tahoma"/>
          <w:sz w:val="20"/>
          <w:szCs w:val="20"/>
        </w:rPr>
        <w:t>un</w:t>
      </w:r>
      <w:r w:rsidR="00DB1635" w:rsidRPr="00B004EE">
        <w:rPr>
          <w:rFonts w:ascii="Tahoma" w:hAnsi="Tahoma" w:cs="Tahoma"/>
          <w:spacing w:val="-19"/>
          <w:sz w:val="20"/>
          <w:szCs w:val="20"/>
        </w:rPr>
        <w:t xml:space="preserve"> </w:t>
      </w:r>
      <w:r w:rsidRPr="00B004EE">
        <w:rPr>
          <w:rFonts w:ascii="Tahoma" w:hAnsi="Tahoma" w:cs="Tahoma"/>
          <w:sz w:val="20"/>
          <w:szCs w:val="20"/>
        </w:rPr>
        <w:t>Groupe</w:t>
      </w:r>
      <w:r w:rsidR="00DB1635" w:rsidRPr="00B004EE">
        <w:rPr>
          <w:rFonts w:ascii="Tahoma" w:hAnsi="Tahoma" w:cs="Tahoma"/>
          <w:spacing w:val="-19"/>
          <w:sz w:val="20"/>
          <w:szCs w:val="20"/>
        </w:rPr>
        <w:t xml:space="preserve"> </w:t>
      </w:r>
      <w:r w:rsidRPr="00B004EE">
        <w:rPr>
          <w:rFonts w:ascii="Tahoma" w:hAnsi="Tahoma" w:cs="Tahoma"/>
          <w:sz w:val="20"/>
          <w:szCs w:val="20"/>
        </w:rPr>
        <w:t>de</w:t>
      </w:r>
      <w:r w:rsidR="00DB1635" w:rsidRPr="00B004EE">
        <w:rPr>
          <w:rFonts w:ascii="Tahoma" w:hAnsi="Tahoma" w:cs="Tahoma"/>
          <w:w w:val="94"/>
          <w:sz w:val="20"/>
          <w:szCs w:val="20"/>
        </w:rPr>
        <w:t xml:space="preserve"> </w:t>
      </w:r>
      <w:r w:rsidRPr="00B004EE">
        <w:rPr>
          <w:rFonts w:ascii="Tahoma" w:hAnsi="Tahoma" w:cs="Tahoma"/>
          <w:sz w:val="20"/>
          <w:szCs w:val="20"/>
        </w:rPr>
        <w:t>Pays</w:t>
      </w:r>
      <w:r w:rsidR="00DB1635" w:rsidRPr="00B004EE">
        <w:rPr>
          <w:rFonts w:ascii="Tahoma" w:hAnsi="Tahoma" w:cs="Tahoma"/>
          <w:spacing w:val="-20"/>
          <w:sz w:val="20"/>
          <w:szCs w:val="20"/>
        </w:rPr>
        <w:t xml:space="preserve"> </w:t>
      </w:r>
      <w:r w:rsidRPr="00B004EE">
        <w:rPr>
          <w:rFonts w:ascii="Tahoma" w:hAnsi="Tahoma" w:cs="Tahoma"/>
          <w:sz w:val="20"/>
          <w:szCs w:val="20"/>
        </w:rPr>
        <w:t>ou</w:t>
      </w:r>
      <w:r w:rsidR="00DB1635" w:rsidRPr="00B004EE">
        <w:rPr>
          <w:rFonts w:ascii="Tahoma" w:hAnsi="Tahoma" w:cs="Tahoma"/>
          <w:spacing w:val="-19"/>
          <w:sz w:val="20"/>
          <w:szCs w:val="20"/>
        </w:rPr>
        <w:t xml:space="preserve"> </w:t>
      </w:r>
      <w:r w:rsidRPr="00B004EE">
        <w:rPr>
          <w:rFonts w:ascii="Tahoma" w:hAnsi="Tahoma" w:cs="Tahoma"/>
          <w:sz w:val="20"/>
          <w:szCs w:val="20"/>
        </w:rPr>
        <w:t>une</w:t>
      </w:r>
      <w:r w:rsidR="00DB1635" w:rsidRPr="00B004EE">
        <w:rPr>
          <w:rFonts w:ascii="Tahoma" w:hAnsi="Tahoma" w:cs="Tahoma"/>
          <w:spacing w:val="-20"/>
          <w:sz w:val="20"/>
          <w:szCs w:val="20"/>
        </w:rPr>
        <w:t xml:space="preserve"> </w:t>
      </w:r>
      <w:r w:rsidRPr="00B004EE">
        <w:rPr>
          <w:rFonts w:ascii="Tahoma" w:hAnsi="Tahoma" w:cs="Tahoma"/>
          <w:sz w:val="20"/>
          <w:szCs w:val="20"/>
        </w:rPr>
        <w:t>entité</w:t>
      </w:r>
      <w:r w:rsidR="00DB1635" w:rsidRPr="00B004EE">
        <w:rPr>
          <w:rFonts w:ascii="Tahoma" w:hAnsi="Tahoma" w:cs="Tahoma"/>
          <w:spacing w:val="-19"/>
          <w:sz w:val="20"/>
          <w:szCs w:val="20"/>
        </w:rPr>
        <w:t xml:space="preserve"> </w:t>
      </w:r>
      <w:r w:rsidRPr="00B004EE">
        <w:rPr>
          <w:rFonts w:ascii="Tahoma" w:hAnsi="Tahoma" w:cs="Tahoma"/>
          <w:sz w:val="20"/>
          <w:szCs w:val="20"/>
        </w:rPr>
        <w:t>privée</w:t>
      </w:r>
      <w:r w:rsidR="00DB1635" w:rsidRPr="00B004EE">
        <w:rPr>
          <w:rFonts w:ascii="Tahoma" w:hAnsi="Tahoma" w:cs="Tahoma"/>
          <w:spacing w:val="-17"/>
          <w:sz w:val="20"/>
          <w:szCs w:val="20"/>
        </w:rPr>
        <w:t xml:space="preserve"> </w:t>
      </w:r>
      <w:r w:rsidRPr="00B004EE">
        <w:rPr>
          <w:rFonts w:ascii="Tahoma" w:hAnsi="Tahoma" w:cs="Tahoma"/>
          <w:sz w:val="20"/>
          <w:szCs w:val="20"/>
        </w:rPr>
        <w:t>étrangère.</w:t>
      </w:r>
      <w:r w:rsidR="00DB1635" w:rsidRPr="00B004EE">
        <w:rPr>
          <w:rFonts w:ascii="Tahoma" w:hAnsi="Tahoma" w:cs="Tahoma"/>
          <w:spacing w:val="-19"/>
          <w:sz w:val="20"/>
          <w:szCs w:val="20"/>
        </w:rPr>
        <w:t xml:space="preserve"> </w:t>
      </w:r>
      <w:r w:rsidRPr="00B004EE">
        <w:rPr>
          <w:rFonts w:ascii="Tahoma" w:hAnsi="Tahoma" w:cs="Tahoma"/>
          <w:sz w:val="20"/>
          <w:szCs w:val="20"/>
        </w:rPr>
        <w:t>Le</w:t>
      </w:r>
      <w:r w:rsidR="00DB1635" w:rsidRPr="00B004EE">
        <w:rPr>
          <w:rFonts w:ascii="Tahoma" w:hAnsi="Tahoma" w:cs="Tahoma"/>
          <w:spacing w:val="-19"/>
          <w:sz w:val="20"/>
          <w:szCs w:val="20"/>
        </w:rPr>
        <w:t xml:space="preserve"> </w:t>
      </w:r>
      <w:r w:rsidRPr="00B004EE">
        <w:rPr>
          <w:rFonts w:ascii="Tahoma" w:hAnsi="Tahoma" w:cs="Tahoma"/>
          <w:sz w:val="20"/>
          <w:szCs w:val="20"/>
        </w:rPr>
        <w:t>navire</w:t>
      </w:r>
      <w:r w:rsidR="00DB1635" w:rsidRPr="00B004EE">
        <w:rPr>
          <w:rFonts w:ascii="Tahoma" w:hAnsi="Tahoma" w:cs="Tahoma"/>
          <w:spacing w:val="-21"/>
          <w:sz w:val="20"/>
          <w:szCs w:val="20"/>
        </w:rPr>
        <w:t xml:space="preserve"> </w:t>
      </w:r>
      <w:r w:rsidRPr="00B004EE">
        <w:rPr>
          <w:rFonts w:ascii="Tahoma" w:hAnsi="Tahoma" w:cs="Tahoma"/>
          <w:sz w:val="20"/>
          <w:szCs w:val="20"/>
        </w:rPr>
        <w:t>opérant</w:t>
      </w:r>
      <w:r w:rsidR="00DB1635" w:rsidRPr="00B004EE">
        <w:rPr>
          <w:rFonts w:ascii="Tahoma" w:hAnsi="Tahoma" w:cs="Tahoma"/>
          <w:spacing w:val="-21"/>
          <w:sz w:val="20"/>
          <w:szCs w:val="20"/>
        </w:rPr>
        <w:t xml:space="preserve"> </w:t>
      </w:r>
      <w:r w:rsidRPr="00B004EE">
        <w:rPr>
          <w:rFonts w:ascii="Tahoma" w:hAnsi="Tahoma" w:cs="Tahoma"/>
          <w:sz w:val="20"/>
          <w:szCs w:val="20"/>
        </w:rPr>
        <w:t>sous</w:t>
      </w:r>
      <w:r w:rsidR="00DB1635" w:rsidRPr="00B004EE">
        <w:rPr>
          <w:rFonts w:ascii="Tahoma" w:hAnsi="Tahoma" w:cs="Tahoma"/>
          <w:spacing w:val="-21"/>
          <w:sz w:val="20"/>
          <w:szCs w:val="20"/>
        </w:rPr>
        <w:t xml:space="preserve"> </w:t>
      </w:r>
      <w:r w:rsidRPr="00B004EE">
        <w:rPr>
          <w:rFonts w:ascii="Tahoma" w:hAnsi="Tahoma" w:cs="Tahoma"/>
          <w:sz w:val="20"/>
          <w:szCs w:val="20"/>
        </w:rPr>
        <w:t>ce</w:t>
      </w:r>
      <w:r w:rsidR="00DB1635" w:rsidRPr="00B004EE">
        <w:rPr>
          <w:rFonts w:ascii="Tahoma" w:hAnsi="Tahoma" w:cs="Tahoma"/>
          <w:spacing w:val="-21"/>
          <w:sz w:val="20"/>
          <w:szCs w:val="20"/>
        </w:rPr>
        <w:t xml:space="preserve"> </w:t>
      </w:r>
      <w:r w:rsidRPr="00B004EE">
        <w:rPr>
          <w:rFonts w:ascii="Tahoma" w:hAnsi="Tahoma" w:cs="Tahoma"/>
          <w:sz w:val="20"/>
          <w:szCs w:val="20"/>
        </w:rPr>
        <w:t>régime</w:t>
      </w:r>
      <w:r w:rsidR="00DB1635" w:rsidRPr="00B004EE">
        <w:rPr>
          <w:rFonts w:ascii="Tahoma" w:hAnsi="Tahoma" w:cs="Tahoma"/>
          <w:spacing w:val="20"/>
          <w:sz w:val="20"/>
          <w:szCs w:val="20"/>
        </w:rPr>
        <w:t xml:space="preserve"> </w:t>
      </w:r>
      <w:r w:rsidRPr="00B004EE">
        <w:rPr>
          <w:rFonts w:ascii="Tahoma" w:hAnsi="Tahoma" w:cs="Tahoma"/>
          <w:sz w:val="20"/>
          <w:szCs w:val="20"/>
        </w:rPr>
        <w:t>bat</w:t>
      </w:r>
      <w:r w:rsidR="00DB1635" w:rsidRPr="00B004EE">
        <w:rPr>
          <w:rFonts w:ascii="Tahoma" w:hAnsi="Tahoma" w:cs="Tahoma"/>
          <w:spacing w:val="-21"/>
          <w:sz w:val="20"/>
          <w:szCs w:val="20"/>
        </w:rPr>
        <w:t xml:space="preserve"> </w:t>
      </w:r>
      <w:r w:rsidRPr="00B004EE">
        <w:rPr>
          <w:rFonts w:ascii="Tahoma" w:hAnsi="Tahoma" w:cs="Tahoma"/>
          <w:sz w:val="20"/>
          <w:szCs w:val="20"/>
        </w:rPr>
        <w:t>pavillon</w:t>
      </w:r>
      <w:r w:rsidR="00DB1635" w:rsidRPr="00B004EE">
        <w:rPr>
          <w:rFonts w:ascii="Tahoma" w:hAnsi="Tahoma" w:cs="Tahoma"/>
          <w:w w:val="93"/>
          <w:sz w:val="20"/>
          <w:szCs w:val="20"/>
        </w:rPr>
        <w:t xml:space="preserve"> </w:t>
      </w:r>
      <w:r w:rsidRPr="00B004EE">
        <w:rPr>
          <w:rFonts w:ascii="Tahoma" w:hAnsi="Tahoma" w:cs="Tahoma"/>
          <w:sz w:val="20"/>
          <w:szCs w:val="20"/>
        </w:rPr>
        <w:t>étranger</w:t>
      </w:r>
      <w:r w:rsidR="00DB1635" w:rsidRPr="00B004EE">
        <w:rPr>
          <w:rFonts w:ascii="Tahoma" w:hAnsi="Tahoma" w:cs="Tahoma"/>
          <w:spacing w:val="39"/>
          <w:sz w:val="20"/>
          <w:szCs w:val="20"/>
        </w:rPr>
        <w:t xml:space="preserve"> </w:t>
      </w:r>
      <w:r w:rsidRPr="00B004EE">
        <w:rPr>
          <w:rFonts w:ascii="Tahoma" w:hAnsi="Tahoma" w:cs="Tahoma"/>
          <w:sz w:val="20"/>
          <w:szCs w:val="20"/>
        </w:rPr>
        <w:t>et</w:t>
      </w:r>
      <w:r w:rsidR="00DB1635" w:rsidRPr="00B004EE">
        <w:rPr>
          <w:rFonts w:ascii="Tahoma" w:hAnsi="Tahoma" w:cs="Tahoma"/>
          <w:spacing w:val="39"/>
          <w:sz w:val="20"/>
          <w:szCs w:val="20"/>
        </w:rPr>
        <w:t xml:space="preserve"> </w:t>
      </w:r>
      <w:r w:rsidRPr="00B004EE">
        <w:rPr>
          <w:rFonts w:ascii="Tahoma" w:hAnsi="Tahoma" w:cs="Tahoma"/>
          <w:sz w:val="20"/>
          <w:szCs w:val="20"/>
        </w:rPr>
        <w:t>est</w:t>
      </w:r>
      <w:r w:rsidR="00DB1635" w:rsidRPr="00B004EE">
        <w:rPr>
          <w:rFonts w:ascii="Tahoma" w:hAnsi="Tahoma" w:cs="Tahoma"/>
          <w:spacing w:val="39"/>
          <w:sz w:val="20"/>
          <w:szCs w:val="20"/>
        </w:rPr>
        <w:t xml:space="preserve"> </w:t>
      </w:r>
      <w:r w:rsidRPr="00B004EE">
        <w:rPr>
          <w:rFonts w:ascii="Tahoma" w:hAnsi="Tahoma" w:cs="Tahoma"/>
          <w:sz w:val="20"/>
          <w:szCs w:val="20"/>
        </w:rPr>
        <w:t>astreint</w:t>
      </w:r>
      <w:r w:rsidR="00DB1635" w:rsidRPr="00B004EE">
        <w:rPr>
          <w:rFonts w:ascii="Tahoma" w:hAnsi="Tahoma" w:cs="Tahoma"/>
          <w:spacing w:val="39"/>
          <w:sz w:val="20"/>
          <w:szCs w:val="20"/>
        </w:rPr>
        <w:t xml:space="preserve"> </w:t>
      </w:r>
      <w:r w:rsidRPr="00B004EE">
        <w:rPr>
          <w:rFonts w:ascii="Tahoma" w:hAnsi="Tahoma" w:cs="Tahoma"/>
          <w:sz w:val="20"/>
          <w:szCs w:val="20"/>
        </w:rPr>
        <w:t>au</w:t>
      </w:r>
      <w:r w:rsidR="00DB1635" w:rsidRPr="00B004EE">
        <w:rPr>
          <w:rFonts w:ascii="Tahoma" w:hAnsi="Tahoma" w:cs="Tahoma"/>
          <w:spacing w:val="41"/>
          <w:sz w:val="20"/>
          <w:szCs w:val="20"/>
        </w:rPr>
        <w:t xml:space="preserve"> </w:t>
      </w:r>
      <w:r w:rsidRPr="00B004EE">
        <w:rPr>
          <w:rFonts w:ascii="Tahoma" w:hAnsi="Tahoma" w:cs="Tahoma"/>
          <w:sz w:val="20"/>
          <w:szCs w:val="20"/>
        </w:rPr>
        <w:t>débarquement</w:t>
      </w:r>
      <w:r w:rsidR="00DB1635" w:rsidRPr="00B004EE">
        <w:rPr>
          <w:rFonts w:ascii="Tahoma" w:hAnsi="Tahoma" w:cs="Tahoma"/>
          <w:spacing w:val="39"/>
          <w:sz w:val="20"/>
          <w:szCs w:val="20"/>
        </w:rPr>
        <w:t xml:space="preserve"> </w:t>
      </w:r>
      <w:r w:rsidRPr="00B004EE">
        <w:rPr>
          <w:rFonts w:ascii="Tahoma" w:hAnsi="Tahoma" w:cs="Tahoma"/>
          <w:sz w:val="20"/>
          <w:szCs w:val="20"/>
        </w:rPr>
        <w:t>de</w:t>
      </w:r>
      <w:r w:rsidR="00DB1635" w:rsidRPr="00B004EE">
        <w:rPr>
          <w:rFonts w:ascii="Tahoma" w:hAnsi="Tahoma" w:cs="Tahoma"/>
          <w:spacing w:val="40"/>
          <w:sz w:val="20"/>
          <w:szCs w:val="20"/>
        </w:rPr>
        <w:t xml:space="preserve"> </w:t>
      </w:r>
      <w:r w:rsidRPr="00B004EE">
        <w:rPr>
          <w:rFonts w:ascii="Tahoma" w:hAnsi="Tahoma" w:cs="Tahoma"/>
          <w:sz w:val="20"/>
          <w:szCs w:val="20"/>
        </w:rPr>
        <w:t>ses</w:t>
      </w:r>
      <w:r w:rsidR="00DB1635" w:rsidRPr="00B004EE">
        <w:rPr>
          <w:rFonts w:ascii="Tahoma" w:hAnsi="Tahoma" w:cs="Tahoma"/>
          <w:spacing w:val="38"/>
          <w:sz w:val="20"/>
          <w:szCs w:val="20"/>
        </w:rPr>
        <w:t xml:space="preserve"> </w:t>
      </w:r>
      <w:r w:rsidRPr="00B004EE">
        <w:rPr>
          <w:rFonts w:ascii="Tahoma" w:hAnsi="Tahoma" w:cs="Tahoma"/>
          <w:sz w:val="20"/>
          <w:szCs w:val="20"/>
        </w:rPr>
        <w:t>captures</w:t>
      </w:r>
      <w:r w:rsidR="00DB1635" w:rsidRPr="00B004EE">
        <w:rPr>
          <w:rFonts w:ascii="Tahoma" w:hAnsi="Tahoma" w:cs="Tahoma"/>
          <w:spacing w:val="39"/>
          <w:sz w:val="20"/>
          <w:szCs w:val="20"/>
        </w:rPr>
        <w:t xml:space="preserve"> </w:t>
      </w:r>
      <w:r w:rsidRPr="00B004EE">
        <w:rPr>
          <w:rFonts w:ascii="Tahoma" w:hAnsi="Tahoma" w:cs="Tahoma"/>
          <w:sz w:val="20"/>
          <w:szCs w:val="20"/>
        </w:rPr>
        <w:t>en</w:t>
      </w:r>
      <w:r w:rsidR="00DB1635" w:rsidRPr="00B004EE">
        <w:rPr>
          <w:rFonts w:ascii="Tahoma" w:hAnsi="Tahoma" w:cs="Tahoma"/>
          <w:spacing w:val="37"/>
          <w:sz w:val="20"/>
          <w:szCs w:val="20"/>
        </w:rPr>
        <w:t xml:space="preserve"> </w:t>
      </w:r>
      <w:r w:rsidRPr="00B004EE">
        <w:rPr>
          <w:rFonts w:ascii="Tahoma" w:hAnsi="Tahoma" w:cs="Tahoma"/>
          <w:sz w:val="20"/>
          <w:szCs w:val="20"/>
        </w:rPr>
        <w:t>Mauritanie.</w:t>
      </w:r>
      <w:r w:rsidR="00DB1635" w:rsidRPr="00B004EE">
        <w:rPr>
          <w:rFonts w:ascii="Tahoma" w:hAnsi="Tahoma" w:cs="Tahoma"/>
          <w:spacing w:val="38"/>
          <w:sz w:val="20"/>
          <w:szCs w:val="20"/>
        </w:rPr>
        <w:t xml:space="preserve"> </w:t>
      </w:r>
      <w:r w:rsidRPr="00B004EE">
        <w:rPr>
          <w:rFonts w:ascii="Tahoma" w:hAnsi="Tahoma" w:cs="Tahoma"/>
          <w:sz w:val="20"/>
          <w:szCs w:val="20"/>
        </w:rPr>
        <w:t>Des</w:t>
      </w:r>
      <w:r w:rsidR="00DB1635" w:rsidRPr="00B004EE">
        <w:rPr>
          <w:rFonts w:ascii="Tahoma" w:hAnsi="Tahoma" w:cs="Tahoma"/>
          <w:w w:val="99"/>
          <w:sz w:val="20"/>
          <w:szCs w:val="20"/>
        </w:rPr>
        <w:t xml:space="preserve"> </w:t>
      </w:r>
      <w:r w:rsidRPr="00B004EE">
        <w:rPr>
          <w:rFonts w:ascii="Tahoma" w:hAnsi="Tahoma" w:cs="Tahoma"/>
          <w:sz w:val="20"/>
          <w:szCs w:val="20"/>
        </w:rPr>
        <w:t>dérogations</w:t>
      </w:r>
      <w:r w:rsidR="00DB1635" w:rsidRPr="00B004EE">
        <w:rPr>
          <w:rFonts w:ascii="Tahoma" w:hAnsi="Tahoma" w:cs="Tahoma"/>
          <w:spacing w:val="-20"/>
          <w:sz w:val="20"/>
          <w:szCs w:val="20"/>
        </w:rPr>
        <w:t xml:space="preserve"> </w:t>
      </w:r>
      <w:r w:rsidRPr="00B004EE">
        <w:rPr>
          <w:rFonts w:ascii="Tahoma" w:hAnsi="Tahoma" w:cs="Tahoma"/>
          <w:sz w:val="20"/>
          <w:szCs w:val="20"/>
        </w:rPr>
        <w:t>peuvent</w:t>
      </w:r>
      <w:r w:rsidR="00DB1635" w:rsidRPr="00B004EE">
        <w:rPr>
          <w:rFonts w:ascii="Tahoma" w:hAnsi="Tahoma" w:cs="Tahoma"/>
          <w:spacing w:val="-19"/>
          <w:sz w:val="20"/>
          <w:szCs w:val="20"/>
        </w:rPr>
        <w:t xml:space="preserve"> </w:t>
      </w:r>
      <w:r w:rsidRPr="00B004EE">
        <w:rPr>
          <w:rFonts w:ascii="Tahoma" w:hAnsi="Tahoma" w:cs="Tahoma"/>
          <w:sz w:val="20"/>
          <w:szCs w:val="20"/>
        </w:rPr>
        <w:t>être</w:t>
      </w:r>
      <w:r w:rsidR="00DB1635" w:rsidRPr="00B004EE">
        <w:rPr>
          <w:rFonts w:ascii="Tahoma" w:hAnsi="Tahoma" w:cs="Tahoma"/>
          <w:spacing w:val="-19"/>
          <w:sz w:val="20"/>
          <w:szCs w:val="20"/>
        </w:rPr>
        <w:t xml:space="preserve"> </w:t>
      </w:r>
      <w:r w:rsidRPr="00B004EE">
        <w:rPr>
          <w:rFonts w:ascii="Tahoma" w:hAnsi="Tahoma" w:cs="Tahoma"/>
          <w:sz w:val="20"/>
          <w:szCs w:val="20"/>
        </w:rPr>
        <w:t>accordées</w:t>
      </w:r>
      <w:r w:rsidR="00DB1635" w:rsidRPr="00B004EE">
        <w:rPr>
          <w:rFonts w:ascii="Tahoma" w:hAnsi="Tahoma" w:cs="Tahoma"/>
          <w:spacing w:val="-19"/>
          <w:sz w:val="20"/>
          <w:szCs w:val="20"/>
        </w:rPr>
        <w:t xml:space="preserve"> </w:t>
      </w:r>
      <w:r w:rsidRPr="00B004EE">
        <w:rPr>
          <w:rFonts w:ascii="Tahoma" w:hAnsi="Tahoma" w:cs="Tahoma"/>
          <w:sz w:val="20"/>
          <w:szCs w:val="20"/>
        </w:rPr>
        <w:t>conformément</w:t>
      </w:r>
      <w:r w:rsidR="00DB1635" w:rsidRPr="00B004EE">
        <w:rPr>
          <w:rFonts w:ascii="Tahoma" w:hAnsi="Tahoma" w:cs="Tahoma"/>
          <w:spacing w:val="-19"/>
          <w:sz w:val="20"/>
          <w:szCs w:val="20"/>
        </w:rPr>
        <w:t xml:space="preserve"> </w:t>
      </w:r>
      <w:r w:rsidRPr="00B004EE">
        <w:rPr>
          <w:rFonts w:ascii="Tahoma" w:hAnsi="Tahoma" w:cs="Tahoma"/>
          <w:sz w:val="20"/>
          <w:szCs w:val="20"/>
        </w:rPr>
        <w:t>aux</w:t>
      </w:r>
      <w:r w:rsidR="00DB1635" w:rsidRPr="00B004EE">
        <w:rPr>
          <w:rFonts w:ascii="Tahoma" w:hAnsi="Tahoma" w:cs="Tahoma"/>
          <w:spacing w:val="-19"/>
          <w:sz w:val="20"/>
          <w:szCs w:val="20"/>
        </w:rPr>
        <w:t xml:space="preserve"> </w:t>
      </w:r>
      <w:r w:rsidRPr="00B004EE">
        <w:rPr>
          <w:rFonts w:ascii="Tahoma" w:hAnsi="Tahoma" w:cs="Tahoma"/>
          <w:sz w:val="20"/>
          <w:szCs w:val="20"/>
        </w:rPr>
        <w:t>dispositions</w:t>
      </w:r>
      <w:r w:rsidR="00DB1635" w:rsidRPr="00B004EE">
        <w:rPr>
          <w:rFonts w:ascii="Tahoma" w:hAnsi="Tahoma" w:cs="Tahoma"/>
          <w:spacing w:val="-19"/>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pacing w:val="-19"/>
          <w:sz w:val="20"/>
          <w:szCs w:val="20"/>
        </w:rPr>
        <w:t xml:space="preserve"> </w:t>
      </w:r>
      <w:r w:rsidRPr="00B004EE">
        <w:rPr>
          <w:rFonts w:ascii="Tahoma" w:eastAsia="American Typewriter" w:hAnsi="Tahoma" w:cs="Tahoma"/>
          <w:sz w:val="20"/>
          <w:szCs w:val="20"/>
        </w:rPr>
        <w:t>l’article</w:t>
      </w:r>
      <w:r w:rsidR="00DB1635" w:rsidRPr="00B004EE">
        <w:rPr>
          <w:rFonts w:ascii="Tahoma" w:eastAsia="American Typewriter" w:hAnsi="Tahoma" w:cs="Tahoma"/>
          <w:spacing w:val="-19"/>
          <w:sz w:val="20"/>
          <w:szCs w:val="20"/>
        </w:rPr>
        <w:t xml:space="preserve"> </w:t>
      </w:r>
      <w:r w:rsidRPr="00B004EE">
        <w:rPr>
          <w:rFonts w:ascii="Tahoma" w:hAnsi="Tahoma" w:cs="Tahoma"/>
          <w:sz w:val="20"/>
          <w:szCs w:val="20"/>
        </w:rPr>
        <w:t>41</w:t>
      </w:r>
      <w:r w:rsidR="00DB1635" w:rsidRPr="00B004EE">
        <w:rPr>
          <w:rFonts w:ascii="Tahoma" w:hAnsi="Tahoma" w:cs="Tahoma"/>
          <w:w w:val="87"/>
          <w:sz w:val="20"/>
          <w:szCs w:val="20"/>
        </w:rPr>
        <w:t xml:space="preserve"> </w:t>
      </w:r>
      <w:r w:rsidRPr="00B004EE">
        <w:rPr>
          <w:rFonts w:ascii="Tahoma" w:hAnsi="Tahoma" w:cs="Tahoma"/>
          <w:sz w:val="20"/>
          <w:szCs w:val="20"/>
        </w:rPr>
        <w:t>ci-dessous.</w:t>
      </w:r>
    </w:p>
    <w:p w14:paraId="3B18627A" w14:textId="77777777" w:rsidR="001E7C3C" w:rsidRPr="00B004EE" w:rsidRDefault="001E7C3C" w:rsidP="00B004EE">
      <w:pPr>
        <w:rPr>
          <w:rFonts w:ascii="Tahoma" w:eastAsia="American Typewriter" w:hAnsi="Tahoma" w:cs="Tahoma"/>
          <w:sz w:val="20"/>
          <w:szCs w:val="20"/>
        </w:rPr>
      </w:pPr>
    </w:p>
    <w:p w14:paraId="3186B3C5" w14:textId="5820D672" w:rsidR="001E7C3C" w:rsidRPr="00B004EE" w:rsidRDefault="001E7C3C" w:rsidP="00B004EE">
      <w:pPr>
        <w:pStyle w:val="Corpsdetexte"/>
        <w:ind w:right="159"/>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34</w:t>
      </w:r>
      <w:r w:rsidR="00DB1635" w:rsidRPr="00B004EE">
        <w:rPr>
          <w:rFonts w:ascii="Tahoma" w:hAnsi="Tahoma" w:cs="Tahoma"/>
          <w:bCs/>
          <w:sz w:val="20"/>
          <w:szCs w:val="20"/>
        </w:rPr>
        <w:t xml:space="preserve"> </w:t>
      </w:r>
      <w:r w:rsidRPr="00B004EE">
        <w:rPr>
          <w:rFonts w:ascii="Tahoma" w:hAnsi="Tahoma" w:cs="Tahoma"/>
          <w:bCs/>
          <w:sz w:val="20"/>
          <w:szCs w:val="20"/>
        </w:rPr>
        <w:t>:</w:t>
      </w:r>
      <w:r w:rsidR="00DB1635" w:rsidRPr="00B004EE">
        <w:rPr>
          <w:rFonts w:ascii="Tahoma" w:eastAsia="American Typewriter" w:hAnsi="Tahoma" w:cs="Tahoma"/>
          <w:b/>
          <w:bCs/>
          <w:spacing w:val="-13"/>
          <w:sz w:val="20"/>
          <w:szCs w:val="20"/>
        </w:rPr>
        <w:t xml:space="preserve"> </w:t>
      </w:r>
      <w:r w:rsidRPr="00B004EE">
        <w:rPr>
          <w:rFonts w:ascii="Tahoma" w:hAnsi="Tahoma" w:cs="Tahoma"/>
          <w:sz w:val="20"/>
          <w:szCs w:val="20"/>
        </w:rPr>
        <w:t>Aucun</w:t>
      </w:r>
      <w:r w:rsidR="00DB1635" w:rsidRPr="00B004EE">
        <w:rPr>
          <w:rFonts w:ascii="Tahoma" w:hAnsi="Tahoma" w:cs="Tahoma"/>
          <w:spacing w:val="-15"/>
          <w:sz w:val="20"/>
          <w:szCs w:val="20"/>
        </w:rPr>
        <w:t xml:space="preserve"> </w:t>
      </w:r>
      <w:r w:rsidRPr="00B004EE">
        <w:rPr>
          <w:rFonts w:ascii="Tahoma" w:hAnsi="Tahoma" w:cs="Tahoma"/>
          <w:sz w:val="20"/>
          <w:szCs w:val="20"/>
        </w:rPr>
        <w:t>navire</w:t>
      </w:r>
      <w:r w:rsidR="00DB1635" w:rsidRPr="00B004EE">
        <w:rPr>
          <w:rFonts w:ascii="Tahoma" w:hAnsi="Tahoma" w:cs="Tahoma"/>
          <w:spacing w:val="-15"/>
          <w:sz w:val="20"/>
          <w:szCs w:val="20"/>
        </w:rPr>
        <w:t xml:space="preserve"> </w:t>
      </w:r>
      <w:r w:rsidRPr="00B004EE">
        <w:rPr>
          <w:rFonts w:ascii="Tahoma" w:hAnsi="Tahoma" w:cs="Tahoma"/>
          <w:sz w:val="20"/>
          <w:szCs w:val="20"/>
        </w:rPr>
        <w:t>de</w:t>
      </w:r>
      <w:r w:rsidR="00DB1635" w:rsidRPr="00B004EE">
        <w:rPr>
          <w:rFonts w:ascii="Tahoma" w:hAnsi="Tahoma" w:cs="Tahoma"/>
          <w:spacing w:val="-17"/>
          <w:sz w:val="20"/>
          <w:szCs w:val="20"/>
        </w:rPr>
        <w:t xml:space="preserve"> </w:t>
      </w:r>
      <w:r w:rsidRPr="00B004EE">
        <w:rPr>
          <w:rFonts w:ascii="Tahoma" w:hAnsi="Tahoma" w:cs="Tahoma"/>
          <w:sz w:val="20"/>
          <w:szCs w:val="20"/>
        </w:rPr>
        <w:t>pêche,</w:t>
      </w:r>
      <w:r w:rsidR="00DB1635" w:rsidRPr="00B004EE">
        <w:rPr>
          <w:rFonts w:ascii="Tahoma" w:hAnsi="Tahoma" w:cs="Tahoma"/>
          <w:spacing w:val="-17"/>
          <w:sz w:val="20"/>
          <w:szCs w:val="20"/>
        </w:rPr>
        <w:t xml:space="preserve"> </w:t>
      </w:r>
      <w:r w:rsidRPr="00B004EE">
        <w:rPr>
          <w:rFonts w:ascii="Tahoma" w:hAnsi="Tahoma" w:cs="Tahoma"/>
          <w:sz w:val="20"/>
          <w:szCs w:val="20"/>
        </w:rPr>
        <w:t>national</w:t>
      </w:r>
      <w:r w:rsidR="00DB1635" w:rsidRPr="00B004EE">
        <w:rPr>
          <w:rFonts w:ascii="Tahoma" w:hAnsi="Tahoma" w:cs="Tahoma"/>
          <w:spacing w:val="-16"/>
          <w:sz w:val="20"/>
          <w:szCs w:val="20"/>
        </w:rPr>
        <w:t xml:space="preserve"> </w:t>
      </w:r>
      <w:r w:rsidRPr="00B004EE">
        <w:rPr>
          <w:rFonts w:ascii="Tahoma" w:hAnsi="Tahoma" w:cs="Tahoma"/>
          <w:sz w:val="20"/>
          <w:szCs w:val="20"/>
        </w:rPr>
        <w:t>ou</w:t>
      </w:r>
      <w:r w:rsidR="00DB1635" w:rsidRPr="00B004EE">
        <w:rPr>
          <w:rFonts w:ascii="Tahoma" w:hAnsi="Tahoma" w:cs="Tahoma"/>
          <w:spacing w:val="-17"/>
          <w:sz w:val="20"/>
          <w:szCs w:val="20"/>
        </w:rPr>
        <w:t xml:space="preserve"> </w:t>
      </w:r>
      <w:r w:rsidRPr="00B004EE">
        <w:rPr>
          <w:rFonts w:ascii="Tahoma" w:hAnsi="Tahoma" w:cs="Tahoma"/>
          <w:sz w:val="20"/>
          <w:szCs w:val="20"/>
        </w:rPr>
        <w:t>étranger,</w:t>
      </w:r>
      <w:r w:rsidR="00DB1635" w:rsidRPr="00B004EE">
        <w:rPr>
          <w:rFonts w:ascii="Tahoma" w:hAnsi="Tahoma" w:cs="Tahoma"/>
          <w:spacing w:val="-17"/>
          <w:sz w:val="20"/>
          <w:szCs w:val="20"/>
        </w:rPr>
        <w:t xml:space="preserve"> </w:t>
      </w:r>
      <w:r w:rsidRPr="00B004EE">
        <w:rPr>
          <w:rFonts w:ascii="Tahoma" w:hAnsi="Tahoma" w:cs="Tahoma"/>
          <w:sz w:val="20"/>
          <w:szCs w:val="20"/>
        </w:rPr>
        <w:t>ne</w:t>
      </w:r>
      <w:r w:rsidR="00DB1635" w:rsidRPr="00B004EE">
        <w:rPr>
          <w:rFonts w:ascii="Tahoma" w:hAnsi="Tahoma" w:cs="Tahoma"/>
          <w:spacing w:val="-17"/>
          <w:sz w:val="20"/>
          <w:szCs w:val="20"/>
        </w:rPr>
        <w:t xml:space="preserve"> </w:t>
      </w:r>
      <w:r w:rsidRPr="00B004EE">
        <w:rPr>
          <w:rFonts w:ascii="Tahoma" w:hAnsi="Tahoma" w:cs="Tahoma"/>
          <w:sz w:val="20"/>
          <w:szCs w:val="20"/>
        </w:rPr>
        <w:t>pourra</w:t>
      </w:r>
      <w:r w:rsidR="00DB1635" w:rsidRPr="00B004EE">
        <w:rPr>
          <w:rFonts w:ascii="Tahoma" w:hAnsi="Tahoma" w:cs="Tahoma"/>
          <w:spacing w:val="-16"/>
          <w:sz w:val="20"/>
          <w:szCs w:val="20"/>
        </w:rPr>
        <w:t xml:space="preserve"> </w:t>
      </w:r>
      <w:r w:rsidRPr="00B004EE">
        <w:rPr>
          <w:rFonts w:ascii="Tahoma" w:hAnsi="Tahoma" w:cs="Tahoma"/>
          <w:sz w:val="20"/>
          <w:szCs w:val="20"/>
        </w:rPr>
        <w:t>se</w:t>
      </w:r>
      <w:r w:rsidR="00DB1635" w:rsidRPr="00B004EE">
        <w:rPr>
          <w:rFonts w:ascii="Tahoma" w:hAnsi="Tahoma" w:cs="Tahoma"/>
          <w:spacing w:val="-17"/>
          <w:sz w:val="20"/>
          <w:szCs w:val="20"/>
        </w:rPr>
        <w:t xml:space="preserve"> </w:t>
      </w:r>
      <w:r w:rsidRPr="00B004EE">
        <w:rPr>
          <w:rFonts w:ascii="Tahoma" w:hAnsi="Tahoma" w:cs="Tahoma"/>
          <w:sz w:val="20"/>
          <w:szCs w:val="20"/>
        </w:rPr>
        <w:t>livrer</w:t>
      </w:r>
      <w:r w:rsidR="00DB1635" w:rsidRPr="00B004EE">
        <w:rPr>
          <w:rFonts w:ascii="Tahoma" w:hAnsi="Tahoma" w:cs="Tahoma"/>
          <w:spacing w:val="-17"/>
          <w:sz w:val="20"/>
          <w:szCs w:val="20"/>
        </w:rPr>
        <w:t xml:space="preserve"> </w:t>
      </w:r>
      <w:r w:rsidRPr="00B004EE">
        <w:rPr>
          <w:rFonts w:ascii="Tahoma" w:hAnsi="Tahoma" w:cs="Tahoma"/>
          <w:sz w:val="20"/>
          <w:szCs w:val="20"/>
        </w:rPr>
        <w:t>à</w:t>
      </w:r>
      <w:r w:rsidR="00DB1635" w:rsidRPr="00B004EE">
        <w:rPr>
          <w:rFonts w:ascii="Tahoma" w:hAnsi="Tahoma" w:cs="Tahoma"/>
          <w:spacing w:val="-16"/>
          <w:sz w:val="20"/>
          <w:szCs w:val="20"/>
        </w:rPr>
        <w:t xml:space="preserve"> </w:t>
      </w:r>
      <w:r w:rsidRPr="00B004EE">
        <w:rPr>
          <w:rFonts w:ascii="Tahoma" w:hAnsi="Tahoma" w:cs="Tahoma"/>
          <w:sz w:val="20"/>
          <w:szCs w:val="20"/>
        </w:rPr>
        <w:t>des</w:t>
      </w:r>
      <w:r w:rsidR="00DB1635" w:rsidRPr="00B004EE">
        <w:rPr>
          <w:rFonts w:ascii="Tahoma" w:hAnsi="Tahoma" w:cs="Tahoma"/>
          <w:w w:val="94"/>
          <w:sz w:val="20"/>
          <w:szCs w:val="20"/>
        </w:rPr>
        <w:t xml:space="preserve"> </w:t>
      </w:r>
      <w:r w:rsidRPr="00B004EE">
        <w:rPr>
          <w:rFonts w:ascii="Tahoma" w:hAnsi="Tahoma" w:cs="Tahoma"/>
          <w:sz w:val="20"/>
          <w:szCs w:val="20"/>
        </w:rPr>
        <w:t>activités</w:t>
      </w:r>
      <w:r w:rsidR="00DB1635" w:rsidRPr="00B004EE">
        <w:rPr>
          <w:rFonts w:ascii="Tahoma" w:hAnsi="Tahoma" w:cs="Tahoma"/>
          <w:spacing w:val="-13"/>
          <w:sz w:val="20"/>
          <w:szCs w:val="20"/>
        </w:rPr>
        <w:t xml:space="preserve"> </w:t>
      </w:r>
      <w:r w:rsidRPr="00B004EE">
        <w:rPr>
          <w:rFonts w:ascii="Tahoma" w:hAnsi="Tahoma" w:cs="Tahoma"/>
          <w:sz w:val="20"/>
          <w:szCs w:val="20"/>
        </w:rPr>
        <w:t>de</w:t>
      </w:r>
      <w:r w:rsidR="00DB1635" w:rsidRPr="00B004EE">
        <w:rPr>
          <w:rFonts w:ascii="Tahoma" w:hAnsi="Tahoma" w:cs="Tahoma"/>
          <w:spacing w:val="-13"/>
          <w:sz w:val="20"/>
          <w:szCs w:val="20"/>
        </w:rPr>
        <w:t xml:space="preserve"> </w:t>
      </w:r>
      <w:r w:rsidRPr="00B004EE">
        <w:rPr>
          <w:rFonts w:ascii="Tahoma" w:hAnsi="Tahoma" w:cs="Tahoma"/>
          <w:sz w:val="20"/>
          <w:szCs w:val="20"/>
        </w:rPr>
        <w:t>pêche</w:t>
      </w:r>
      <w:r w:rsidR="00DB1635" w:rsidRPr="00B004EE">
        <w:rPr>
          <w:rFonts w:ascii="Tahoma" w:hAnsi="Tahoma" w:cs="Tahoma"/>
          <w:spacing w:val="-13"/>
          <w:sz w:val="20"/>
          <w:szCs w:val="20"/>
        </w:rPr>
        <w:t xml:space="preserve"> </w:t>
      </w:r>
      <w:r w:rsidRPr="00B004EE">
        <w:rPr>
          <w:rFonts w:ascii="Tahoma" w:hAnsi="Tahoma" w:cs="Tahoma"/>
          <w:sz w:val="20"/>
          <w:szCs w:val="20"/>
        </w:rPr>
        <w:t>dans</w:t>
      </w:r>
      <w:r w:rsidR="00DB1635" w:rsidRPr="00B004EE">
        <w:rPr>
          <w:rFonts w:ascii="Tahoma" w:hAnsi="Tahoma" w:cs="Tahoma"/>
          <w:spacing w:val="-13"/>
          <w:sz w:val="20"/>
          <w:szCs w:val="20"/>
        </w:rPr>
        <w:t xml:space="preserve"> </w:t>
      </w:r>
      <w:r w:rsidRPr="00B004EE">
        <w:rPr>
          <w:rFonts w:ascii="Tahoma" w:hAnsi="Tahoma" w:cs="Tahoma"/>
          <w:sz w:val="20"/>
          <w:szCs w:val="20"/>
        </w:rPr>
        <w:t>les</w:t>
      </w:r>
      <w:r w:rsidR="00DB1635" w:rsidRPr="00B004EE">
        <w:rPr>
          <w:rFonts w:ascii="Tahoma" w:hAnsi="Tahoma" w:cs="Tahoma"/>
          <w:spacing w:val="-13"/>
          <w:sz w:val="20"/>
          <w:szCs w:val="20"/>
        </w:rPr>
        <w:t xml:space="preserve"> </w:t>
      </w:r>
      <w:r w:rsidRPr="00B004EE">
        <w:rPr>
          <w:rFonts w:ascii="Tahoma" w:hAnsi="Tahoma" w:cs="Tahoma"/>
          <w:sz w:val="20"/>
          <w:szCs w:val="20"/>
        </w:rPr>
        <w:t>eaux</w:t>
      </w:r>
      <w:r w:rsidR="00DB1635" w:rsidRPr="00B004EE">
        <w:rPr>
          <w:rFonts w:ascii="Tahoma" w:hAnsi="Tahoma" w:cs="Tahoma"/>
          <w:spacing w:val="-13"/>
          <w:sz w:val="20"/>
          <w:szCs w:val="20"/>
        </w:rPr>
        <w:t xml:space="preserve"> </w:t>
      </w:r>
      <w:r w:rsidRPr="00B004EE">
        <w:rPr>
          <w:rFonts w:ascii="Tahoma" w:hAnsi="Tahoma" w:cs="Tahoma"/>
          <w:sz w:val="20"/>
          <w:szCs w:val="20"/>
        </w:rPr>
        <w:t>sous</w:t>
      </w:r>
      <w:r w:rsidR="00DB1635" w:rsidRPr="00B004EE">
        <w:rPr>
          <w:rFonts w:ascii="Tahoma" w:hAnsi="Tahoma" w:cs="Tahoma"/>
          <w:spacing w:val="-13"/>
          <w:sz w:val="20"/>
          <w:szCs w:val="20"/>
        </w:rPr>
        <w:t xml:space="preserve"> </w:t>
      </w:r>
      <w:r w:rsidRPr="00B004EE">
        <w:rPr>
          <w:rFonts w:ascii="Tahoma" w:hAnsi="Tahoma" w:cs="Tahoma"/>
          <w:sz w:val="20"/>
          <w:szCs w:val="20"/>
        </w:rPr>
        <w:t>juridiction</w:t>
      </w:r>
      <w:r w:rsidR="00DB1635" w:rsidRPr="00B004EE">
        <w:rPr>
          <w:rFonts w:ascii="Tahoma" w:hAnsi="Tahoma" w:cs="Tahoma"/>
          <w:spacing w:val="-13"/>
          <w:sz w:val="20"/>
          <w:szCs w:val="20"/>
        </w:rPr>
        <w:t xml:space="preserve"> </w:t>
      </w:r>
      <w:r w:rsidRPr="00B004EE">
        <w:rPr>
          <w:rFonts w:ascii="Tahoma" w:hAnsi="Tahoma" w:cs="Tahoma"/>
          <w:sz w:val="20"/>
          <w:szCs w:val="20"/>
        </w:rPr>
        <w:t>mauritanienne,</w:t>
      </w:r>
      <w:r w:rsidR="00DB1635" w:rsidRPr="00B004EE">
        <w:rPr>
          <w:rFonts w:ascii="Tahoma" w:hAnsi="Tahoma" w:cs="Tahoma"/>
          <w:spacing w:val="-9"/>
          <w:sz w:val="20"/>
          <w:szCs w:val="20"/>
        </w:rPr>
        <w:t xml:space="preserve"> </w:t>
      </w:r>
      <w:r w:rsidRPr="00B004EE">
        <w:rPr>
          <w:rFonts w:ascii="Tahoma" w:eastAsia="American Typewriter" w:hAnsi="Tahoma" w:cs="Tahoma"/>
          <w:sz w:val="20"/>
          <w:szCs w:val="20"/>
        </w:rPr>
        <w:t>si</w:t>
      </w:r>
      <w:r w:rsidR="00DB1635" w:rsidRPr="00B004EE">
        <w:rPr>
          <w:rFonts w:ascii="Tahoma" w:eastAsia="American Typewriter" w:hAnsi="Tahoma" w:cs="Tahoma"/>
          <w:spacing w:val="-13"/>
          <w:sz w:val="20"/>
          <w:szCs w:val="20"/>
        </w:rPr>
        <w:t xml:space="preserve"> </w:t>
      </w:r>
      <w:r w:rsidRPr="00B004EE">
        <w:rPr>
          <w:rFonts w:ascii="Tahoma" w:eastAsia="American Typewriter" w:hAnsi="Tahoma" w:cs="Tahoma"/>
          <w:sz w:val="20"/>
          <w:szCs w:val="20"/>
        </w:rPr>
        <w:t>ce</w:t>
      </w:r>
      <w:r w:rsidR="00DB1635" w:rsidRPr="00B004EE">
        <w:rPr>
          <w:rFonts w:ascii="Tahoma" w:eastAsia="American Typewriter" w:hAnsi="Tahoma" w:cs="Tahoma"/>
          <w:spacing w:val="-15"/>
          <w:sz w:val="20"/>
          <w:szCs w:val="20"/>
        </w:rPr>
        <w:t xml:space="preserve"> </w:t>
      </w:r>
      <w:r w:rsidRPr="00B004EE">
        <w:rPr>
          <w:rFonts w:ascii="Tahoma" w:eastAsia="American Typewriter" w:hAnsi="Tahoma" w:cs="Tahoma"/>
          <w:sz w:val="20"/>
          <w:szCs w:val="20"/>
        </w:rPr>
        <w:t>n’est</w:t>
      </w:r>
      <w:r w:rsidR="00DB1635" w:rsidRPr="00B004EE">
        <w:rPr>
          <w:rFonts w:ascii="Tahoma" w:eastAsia="American Typewriter" w:hAnsi="Tahoma" w:cs="Tahoma"/>
          <w:spacing w:val="-15"/>
          <w:sz w:val="20"/>
          <w:szCs w:val="20"/>
        </w:rPr>
        <w:t xml:space="preserve"> </w:t>
      </w:r>
      <w:r w:rsidRPr="00B004EE">
        <w:rPr>
          <w:rFonts w:ascii="Tahoma" w:hAnsi="Tahoma" w:cs="Tahoma"/>
          <w:sz w:val="20"/>
          <w:szCs w:val="20"/>
        </w:rPr>
        <w:t>dans</w:t>
      </w:r>
      <w:r w:rsidR="00DB1635" w:rsidRPr="00B004EE">
        <w:rPr>
          <w:rFonts w:ascii="Tahoma" w:hAnsi="Tahoma" w:cs="Tahoma"/>
          <w:spacing w:val="-15"/>
          <w:sz w:val="20"/>
          <w:szCs w:val="20"/>
        </w:rPr>
        <w:t xml:space="preserve"> </w:t>
      </w:r>
      <w:r w:rsidRPr="00B004EE">
        <w:rPr>
          <w:rFonts w:ascii="Tahoma" w:hAnsi="Tahoma" w:cs="Tahoma"/>
          <w:sz w:val="20"/>
          <w:szCs w:val="20"/>
        </w:rPr>
        <w:t>le</w:t>
      </w:r>
      <w:r w:rsidR="00DB1635" w:rsidRPr="00B004EE">
        <w:rPr>
          <w:rFonts w:ascii="Tahoma" w:hAnsi="Tahoma" w:cs="Tahoma"/>
          <w:w w:val="94"/>
          <w:sz w:val="20"/>
          <w:szCs w:val="20"/>
        </w:rPr>
        <w:t xml:space="preserve"> </w:t>
      </w:r>
      <w:r w:rsidRPr="00B004EE">
        <w:rPr>
          <w:rFonts w:ascii="Tahoma" w:hAnsi="Tahoma" w:cs="Tahoma"/>
          <w:sz w:val="20"/>
          <w:szCs w:val="20"/>
        </w:rPr>
        <w:t>cadre</w:t>
      </w:r>
      <w:r w:rsidR="00DB1635" w:rsidRPr="00B004EE">
        <w:rPr>
          <w:rFonts w:ascii="Tahoma" w:hAnsi="Tahoma" w:cs="Tahoma"/>
          <w:sz w:val="20"/>
          <w:szCs w:val="20"/>
        </w:rPr>
        <w:t xml:space="preserve"> </w:t>
      </w:r>
      <w:r w:rsidRPr="00B004EE">
        <w:rPr>
          <w:rFonts w:ascii="Tahoma" w:hAnsi="Tahoma" w:cs="Tahoma"/>
          <w:sz w:val="20"/>
          <w:szCs w:val="20"/>
        </w:rPr>
        <w:t>d'une</w:t>
      </w:r>
      <w:r w:rsidR="00DB1635" w:rsidRPr="00B004EE">
        <w:rPr>
          <w:rFonts w:ascii="Tahoma" w:hAnsi="Tahoma" w:cs="Tahoma"/>
          <w:sz w:val="20"/>
          <w:szCs w:val="20"/>
        </w:rPr>
        <w:t xml:space="preserve"> </w:t>
      </w:r>
      <w:r w:rsidRPr="00B004EE">
        <w:rPr>
          <w:rFonts w:ascii="Tahoma" w:hAnsi="Tahoma" w:cs="Tahoma"/>
          <w:sz w:val="20"/>
          <w:szCs w:val="20"/>
        </w:rPr>
        <w:t>concession</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droit</w:t>
      </w:r>
      <w:r w:rsidR="00DB1635" w:rsidRPr="00B004EE">
        <w:rPr>
          <w:rFonts w:ascii="Tahoma" w:hAnsi="Tahoma" w:cs="Tahoma"/>
          <w:sz w:val="20"/>
          <w:szCs w:val="20"/>
        </w:rPr>
        <w:t xml:space="preserve"> </w:t>
      </w:r>
      <w:r w:rsidRPr="00B004EE">
        <w:rPr>
          <w:rFonts w:ascii="Tahoma" w:hAnsi="Tahoma" w:cs="Tahoma"/>
          <w:sz w:val="20"/>
          <w:szCs w:val="20"/>
        </w:rPr>
        <w:t>d'usage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conformément</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l'un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régimes</w:t>
      </w:r>
      <w:r w:rsidR="00DB1635" w:rsidRPr="00B004EE">
        <w:rPr>
          <w:rFonts w:ascii="Tahoma" w:hAnsi="Tahoma" w:cs="Tahoma"/>
          <w:spacing w:val="36"/>
          <w:sz w:val="20"/>
          <w:szCs w:val="20"/>
        </w:rPr>
        <w:t xml:space="preserve"> </w:t>
      </w:r>
      <w:r w:rsidRPr="00B004EE">
        <w:rPr>
          <w:rFonts w:ascii="Tahoma" w:hAnsi="Tahoma" w:cs="Tahoma"/>
          <w:sz w:val="20"/>
          <w:szCs w:val="20"/>
        </w:rPr>
        <w:t>sus</w:t>
      </w:r>
      <w:r w:rsidR="00DB1635" w:rsidRPr="00B004EE">
        <w:rPr>
          <w:rFonts w:ascii="Tahoma" w:hAnsi="Tahoma" w:cs="Tahoma"/>
          <w:w w:val="94"/>
          <w:sz w:val="20"/>
          <w:szCs w:val="20"/>
        </w:rPr>
        <w:t xml:space="preserve"> </w:t>
      </w:r>
      <w:r w:rsidRPr="00B004EE">
        <w:rPr>
          <w:rFonts w:ascii="Tahoma" w:hAnsi="Tahoma" w:cs="Tahoma"/>
          <w:sz w:val="20"/>
          <w:szCs w:val="20"/>
        </w:rPr>
        <w:t>mentionnés.</w:t>
      </w:r>
    </w:p>
    <w:p w14:paraId="17AB510E" w14:textId="77777777" w:rsidR="001E7C3C" w:rsidRPr="00B004EE" w:rsidRDefault="001E7C3C" w:rsidP="00B004EE">
      <w:pPr>
        <w:rPr>
          <w:rFonts w:ascii="Tahoma" w:eastAsia="American Typewriter" w:hAnsi="Tahoma" w:cs="Tahoma"/>
          <w:sz w:val="20"/>
          <w:szCs w:val="20"/>
        </w:rPr>
      </w:pPr>
    </w:p>
    <w:p w14:paraId="22513A50" w14:textId="00C977A8" w:rsidR="001E7C3C" w:rsidRPr="00B004EE" w:rsidRDefault="001E7C3C" w:rsidP="00B004EE">
      <w:pPr>
        <w:pStyle w:val="Corpsdetexte"/>
        <w:ind w:right="160"/>
        <w:rPr>
          <w:rFonts w:ascii="Tahoma" w:hAnsi="Tahoma" w:cs="Tahoma"/>
          <w:sz w:val="20"/>
          <w:szCs w:val="20"/>
        </w:rPr>
      </w:pPr>
      <w:r w:rsidRPr="00B004EE">
        <w:rPr>
          <w:rFonts w:ascii="Tahoma" w:eastAsia="American Typewriter" w:hAnsi="Tahoma" w:cs="Tahoma"/>
          <w:sz w:val="20"/>
          <w:szCs w:val="20"/>
        </w:rPr>
        <w:t>Dans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un</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régime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d’explo</w:t>
      </w:r>
      <w:r w:rsidRPr="00B004EE">
        <w:rPr>
          <w:rFonts w:ascii="Tahoma" w:hAnsi="Tahoma" w:cs="Tahoma"/>
          <w:sz w:val="20"/>
          <w:szCs w:val="20"/>
        </w:rPr>
        <w:t>itation</w:t>
      </w:r>
      <w:r w:rsidR="00DB1635" w:rsidRPr="00B004EE">
        <w:rPr>
          <w:rFonts w:ascii="Tahoma" w:hAnsi="Tahoma" w:cs="Tahoma"/>
          <w:sz w:val="20"/>
          <w:szCs w:val="20"/>
        </w:rPr>
        <w:t xml:space="preserve"> </w:t>
      </w:r>
      <w:r w:rsidRPr="00B004EE">
        <w:rPr>
          <w:rFonts w:ascii="Tahoma" w:hAnsi="Tahoma" w:cs="Tahoma"/>
          <w:sz w:val="20"/>
          <w:szCs w:val="20"/>
        </w:rPr>
        <w:t>donné,</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licence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délivrée</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pacing w:val="51"/>
          <w:sz w:val="20"/>
          <w:szCs w:val="20"/>
        </w:rPr>
        <w:t xml:space="preserve"> </w:t>
      </w:r>
      <w:r w:rsidRPr="00B004EE">
        <w:rPr>
          <w:rFonts w:ascii="Tahoma" w:hAnsi="Tahoma" w:cs="Tahoma"/>
          <w:sz w:val="20"/>
          <w:szCs w:val="20"/>
        </w:rPr>
        <w:t>un</w:t>
      </w:r>
      <w:r w:rsidR="00DB1635" w:rsidRPr="00B004EE">
        <w:rPr>
          <w:rFonts w:ascii="Tahoma" w:hAnsi="Tahoma" w:cs="Tahoma"/>
          <w:w w:val="97"/>
          <w:sz w:val="20"/>
          <w:szCs w:val="20"/>
        </w:rPr>
        <w:t xml:space="preserve"> </w:t>
      </w:r>
      <w:r w:rsidRPr="00B004EE">
        <w:rPr>
          <w:rFonts w:ascii="Tahoma" w:eastAsia="American Typewriter" w:hAnsi="Tahoma" w:cs="Tahoma"/>
          <w:sz w:val="20"/>
          <w:szCs w:val="20"/>
        </w:rPr>
        <w:t>navire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exerçant</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dans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le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cadre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d’une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ou</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plusieurs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concessions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droit</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d’usage</w:t>
      </w:r>
      <w:r w:rsidR="00DB1635" w:rsidRPr="00B004EE">
        <w:rPr>
          <w:rFonts w:ascii="Tahoma" w:eastAsia="American Typewriter" w:hAnsi="Tahoma" w:cs="Tahoma"/>
          <w:spacing w:val="55"/>
          <w:sz w:val="20"/>
          <w:szCs w:val="20"/>
        </w:rPr>
        <w:t xml:space="preserve"> </w:t>
      </w:r>
      <w:r w:rsidRPr="00B004EE">
        <w:rPr>
          <w:rFonts w:ascii="Tahoma" w:eastAsia="American Typewriter" w:hAnsi="Tahoma" w:cs="Tahoma"/>
          <w:sz w:val="20"/>
          <w:szCs w:val="20"/>
        </w:rPr>
        <w:t>et</w:t>
      </w:r>
      <w:r w:rsidR="00DB1635" w:rsidRPr="00B004EE">
        <w:rPr>
          <w:rFonts w:ascii="Tahoma" w:eastAsia="American Typewriter" w:hAnsi="Tahoma" w:cs="Tahoma"/>
          <w:w w:val="95"/>
          <w:sz w:val="20"/>
          <w:szCs w:val="20"/>
        </w:rPr>
        <w:t xml:space="preserve"> </w:t>
      </w:r>
      <w:r w:rsidRPr="00B004EE">
        <w:rPr>
          <w:rFonts w:ascii="Tahoma" w:hAnsi="Tahoma" w:cs="Tahoma"/>
          <w:sz w:val="20"/>
          <w:szCs w:val="20"/>
        </w:rPr>
        <w:t>pour</w:t>
      </w:r>
      <w:r w:rsidR="00DB1635" w:rsidRPr="00B004EE">
        <w:rPr>
          <w:rFonts w:ascii="Tahoma" w:hAnsi="Tahoma" w:cs="Tahoma"/>
          <w:spacing w:val="-26"/>
          <w:sz w:val="20"/>
          <w:szCs w:val="20"/>
        </w:rPr>
        <w:t xml:space="preserve"> </w:t>
      </w:r>
      <w:r w:rsidRPr="00B004EE">
        <w:rPr>
          <w:rFonts w:ascii="Tahoma" w:hAnsi="Tahoma" w:cs="Tahoma"/>
          <w:sz w:val="20"/>
          <w:szCs w:val="20"/>
        </w:rPr>
        <w:t>une</w:t>
      </w:r>
      <w:r w:rsidR="00DB1635" w:rsidRPr="00B004EE">
        <w:rPr>
          <w:rFonts w:ascii="Tahoma" w:hAnsi="Tahoma" w:cs="Tahoma"/>
          <w:spacing w:val="-26"/>
          <w:sz w:val="20"/>
          <w:szCs w:val="20"/>
        </w:rPr>
        <w:t xml:space="preserve"> </w:t>
      </w:r>
      <w:r w:rsidRPr="00B004EE">
        <w:rPr>
          <w:rFonts w:ascii="Tahoma" w:hAnsi="Tahoma" w:cs="Tahoma"/>
          <w:sz w:val="20"/>
          <w:szCs w:val="20"/>
        </w:rPr>
        <w:t>durée</w:t>
      </w:r>
      <w:r w:rsidR="00DB1635" w:rsidRPr="00B004EE">
        <w:rPr>
          <w:rFonts w:ascii="Tahoma" w:hAnsi="Tahoma" w:cs="Tahoma"/>
          <w:spacing w:val="-26"/>
          <w:sz w:val="20"/>
          <w:szCs w:val="20"/>
        </w:rPr>
        <w:t xml:space="preserve"> </w:t>
      </w:r>
      <w:r w:rsidRPr="00B004EE">
        <w:rPr>
          <w:rFonts w:ascii="Tahoma" w:hAnsi="Tahoma" w:cs="Tahoma"/>
          <w:sz w:val="20"/>
          <w:szCs w:val="20"/>
        </w:rPr>
        <w:t>maximale</w:t>
      </w:r>
      <w:r w:rsidR="00DB1635" w:rsidRPr="00B004EE">
        <w:rPr>
          <w:rFonts w:ascii="Tahoma" w:hAnsi="Tahoma" w:cs="Tahoma"/>
          <w:spacing w:val="-26"/>
          <w:sz w:val="20"/>
          <w:szCs w:val="20"/>
        </w:rPr>
        <w:t xml:space="preserve"> </w:t>
      </w:r>
      <w:r w:rsidRPr="00B004EE">
        <w:rPr>
          <w:rFonts w:ascii="Tahoma" w:hAnsi="Tahoma" w:cs="Tahoma"/>
          <w:sz w:val="20"/>
          <w:szCs w:val="20"/>
        </w:rPr>
        <w:t>d'un</w:t>
      </w:r>
      <w:r w:rsidR="00DB1635" w:rsidRPr="00B004EE">
        <w:rPr>
          <w:rFonts w:ascii="Tahoma" w:hAnsi="Tahoma" w:cs="Tahoma"/>
          <w:spacing w:val="-26"/>
          <w:sz w:val="20"/>
          <w:szCs w:val="20"/>
        </w:rPr>
        <w:t xml:space="preserve"> </w:t>
      </w:r>
      <w:r w:rsidRPr="00B004EE">
        <w:rPr>
          <w:rFonts w:ascii="Tahoma" w:hAnsi="Tahoma" w:cs="Tahoma"/>
          <w:sz w:val="20"/>
          <w:szCs w:val="20"/>
        </w:rPr>
        <w:t>an.</w:t>
      </w:r>
    </w:p>
    <w:p w14:paraId="2136D9B1" w14:textId="77777777" w:rsidR="001E7C3C" w:rsidRPr="00B004EE" w:rsidRDefault="001E7C3C" w:rsidP="00B004EE">
      <w:pPr>
        <w:rPr>
          <w:rFonts w:ascii="Tahoma" w:eastAsia="American Typewriter" w:hAnsi="Tahoma" w:cs="Tahoma"/>
          <w:sz w:val="20"/>
          <w:szCs w:val="20"/>
        </w:rPr>
      </w:pPr>
    </w:p>
    <w:p w14:paraId="504A31D8" w14:textId="161BC469" w:rsidR="001E7C3C" w:rsidRPr="00B004EE" w:rsidRDefault="001E7C3C" w:rsidP="00B004EE">
      <w:pPr>
        <w:pStyle w:val="Corpsdetexte"/>
        <w:ind w:right="159"/>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35</w:t>
      </w:r>
      <w:r w:rsidR="00DB1635" w:rsidRPr="00B004EE">
        <w:rPr>
          <w:rFonts w:ascii="Tahoma" w:hAnsi="Tahoma" w:cs="Tahoma"/>
          <w:bCs/>
          <w:sz w:val="20"/>
          <w:szCs w:val="20"/>
        </w:rPr>
        <w:t xml:space="preserve"> </w:t>
      </w:r>
      <w:r w:rsidRPr="00B004EE">
        <w:rPr>
          <w:rFonts w:ascii="Tahoma" w:hAnsi="Tahoma" w:cs="Tahoma"/>
          <w:bCs/>
          <w:sz w:val="20"/>
          <w:szCs w:val="20"/>
        </w:rPr>
        <w:t>:</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sz w:val="20"/>
          <w:szCs w:val="20"/>
        </w:rPr>
        <w:t>Les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procédures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d’attribution</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w:t>
      </w:r>
      <w:r w:rsidRPr="00B004EE">
        <w:rPr>
          <w:rFonts w:ascii="Tahoma" w:hAnsi="Tahoma" w:cs="Tahoma"/>
          <w:sz w:val="20"/>
          <w:szCs w:val="20"/>
        </w:rPr>
        <w:t>u</w:t>
      </w:r>
      <w:r w:rsidR="00DB1635" w:rsidRPr="00B004EE">
        <w:rPr>
          <w:rFonts w:ascii="Tahoma" w:hAnsi="Tahoma" w:cs="Tahoma"/>
          <w:sz w:val="20"/>
          <w:szCs w:val="20"/>
        </w:rPr>
        <w:t xml:space="preserve"> </w:t>
      </w:r>
      <w:r w:rsidRPr="00B004EE">
        <w:rPr>
          <w:rFonts w:ascii="Tahoma" w:hAnsi="Tahoma" w:cs="Tahoma"/>
          <w:sz w:val="20"/>
          <w:szCs w:val="20"/>
        </w:rPr>
        <w:t>régime</w:t>
      </w:r>
      <w:r w:rsidR="00DB1635" w:rsidRPr="00B004EE">
        <w:rPr>
          <w:rFonts w:ascii="Tahoma" w:hAnsi="Tahoma" w:cs="Tahoma"/>
          <w:sz w:val="20"/>
          <w:szCs w:val="20"/>
        </w:rPr>
        <w:t xml:space="preserve"> </w:t>
      </w:r>
      <w:r w:rsidRPr="00B004EE">
        <w:rPr>
          <w:rFonts w:ascii="Tahoma" w:hAnsi="Tahoma" w:cs="Tahoma"/>
          <w:sz w:val="20"/>
          <w:szCs w:val="20"/>
        </w:rPr>
        <w:t>national</w:t>
      </w:r>
      <w:r w:rsidR="00DB1635" w:rsidRPr="00B004EE">
        <w:rPr>
          <w:rFonts w:ascii="Tahoma" w:hAnsi="Tahoma" w:cs="Tahoma"/>
          <w:sz w:val="20"/>
          <w:szCs w:val="20"/>
        </w:rPr>
        <w:t xml:space="preserve"> </w:t>
      </w:r>
      <w:r w:rsidRPr="00B004EE">
        <w:rPr>
          <w:rFonts w:ascii="Tahoma" w:hAnsi="Tahoma" w:cs="Tahoma"/>
          <w:sz w:val="20"/>
          <w:szCs w:val="20"/>
        </w:rPr>
        <w:t>d'exploitation</w:t>
      </w:r>
      <w:r w:rsidR="00DB1635" w:rsidRPr="00B004EE">
        <w:rPr>
          <w:rFonts w:ascii="Tahoma" w:hAnsi="Tahoma" w:cs="Tahoma"/>
          <w:spacing w:val="33"/>
          <w:sz w:val="20"/>
          <w:szCs w:val="20"/>
        </w:rPr>
        <w:t xml:space="preserve"> </w:t>
      </w:r>
      <w:r w:rsidRPr="00B004EE">
        <w:rPr>
          <w:rFonts w:ascii="Tahoma" w:hAnsi="Tahoma" w:cs="Tahoma"/>
          <w:sz w:val="20"/>
          <w:szCs w:val="20"/>
        </w:rPr>
        <w:t>de</w:t>
      </w:r>
      <w:r w:rsidR="00DB1635" w:rsidRPr="00B004EE">
        <w:rPr>
          <w:rFonts w:ascii="Tahoma" w:hAnsi="Tahoma" w:cs="Tahoma"/>
          <w:w w:val="94"/>
          <w:sz w:val="20"/>
          <w:szCs w:val="20"/>
        </w:rPr>
        <w:t xml:space="preserve"> </w:t>
      </w:r>
      <w:r w:rsidRPr="00B004EE">
        <w:rPr>
          <w:rFonts w:ascii="Tahoma" w:hAnsi="Tahoma" w:cs="Tahoma"/>
          <w:sz w:val="20"/>
          <w:szCs w:val="20"/>
        </w:rPr>
        <w:t>con</w:t>
      </w:r>
      <w:r w:rsidRPr="00B004EE">
        <w:rPr>
          <w:rFonts w:ascii="Tahoma" w:eastAsia="American Typewriter" w:hAnsi="Tahoma" w:cs="Tahoma"/>
          <w:sz w:val="20"/>
          <w:szCs w:val="20"/>
        </w:rPr>
        <w:t>cessions</w:t>
      </w:r>
      <w:r w:rsidR="00DB1635" w:rsidRPr="00B004EE">
        <w:rPr>
          <w:rFonts w:ascii="Tahoma" w:eastAsia="American Typewriter" w:hAnsi="Tahoma" w:cs="Tahoma"/>
          <w:spacing w:val="-19"/>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pacing w:val="-19"/>
          <w:sz w:val="20"/>
          <w:szCs w:val="20"/>
        </w:rPr>
        <w:t xml:space="preserve"> </w:t>
      </w:r>
      <w:r w:rsidRPr="00B004EE">
        <w:rPr>
          <w:rFonts w:ascii="Tahoma" w:eastAsia="American Typewriter" w:hAnsi="Tahoma" w:cs="Tahoma"/>
          <w:sz w:val="20"/>
          <w:szCs w:val="20"/>
        </w:rPr>
        <w:t>droits</w:t>
      </w:r>
      <w:r w:rsidR="00DB1635" w:rsidRPr="00B004EE">
        <w:rPr>
          <w:rFonts w:ascii="Tahoma" w:eastAsia="American Typewriter" w:hAnsi="Tahoma" w:cs="Tahoma"/>
          <w:spacing w:val="-19"/>
          <w:sz w:val="20"/>
          <w:szCs w:val="20"/>
        </w:rPr>
        <w:t xml:space="preserve"> </w:t>
      </w:r>
      <w:r w:rsidRPr="00B004EE">
        <w:rPr>
          <w:rFonts w:ascii="Tahoma" w:eastAsia="American Typewriter" w:hAnsi="Tahoma" w:cs="Tahoma"/>
          <w:sz w:val="20"/>
          <w:szCs w:val="20"/>
        </w:rPr>
        <w:t>d’usage</w:t>
      </w:r>
      <w:r w:rsidR="00DB1635" w:rsidRPr="00B004EE">
        <w:rPr>
          <w:rFonts w:ascii="Tahoma" w:eastAsia="American Typewriter" w:hAnsi="Tahoma" w:cs="Tahoma"/>
          <w:spacing w:val="-19"/>
          <w:sz w:val="20"/>
          <w:szCs w:val="20"/>
        </w:rPr>
        <w:t xml:space="preserve"> </w:t>
      </w:r>
      <w:r w:rsidRPr="00B004EE">
        <w:rPr>
          <w:rFonts w:ascii="Tahoma" w:eastAsia="American Typewriter" w:hAnsi="Tahoma" w:cs="Tahoma"/>
          <w:sz w:val="20"/>
          <w:szCs w:val="20"/>
        </w:rPr>
        <w:t>sont</w:t>
      </w:r>
      <w:r w:rsidR="00DB1635" w:rsidRPr="00B004EE">
        <w:rPr>
          <w:rFonts w:ascii="Tahoma" w:eastAsia="American Typewriter" w:hAnsi="Tahoma" w:cs="Tahoma"/>
          <w:spacing w:val="-19"/>
          <w:sz w:val="20"/>
          <w:szCs w:val="20"/>
        </w:rPr>
        <w:t xml:space="preserve"> </w:t>
      </w:r>
      <w:r w:rsidRPr="00B004EE">
        <w:rPr>
          <w:rFonts w:ascii="Tahoma" w:eastAsia="American Typewriter" w:hAnsi="Tahoma" w:cs="Tahoma"/>
          <w:sz w:val="20"/>
          <w:szCs w:val="20"/>
        </w:rPr>
        <w:t>définies</w:t>
      </w:r>
      <w:r w:rsidR="00DB1635" w:rsidRPr="00B004EE">
        <w:rPr>
          <w:rFonts w:ascii="Tahoma" w:eastAsia="American Typewriter" w:hAnsi="Tahoma" w:cs="Tahoma"/>
          <w:spacing w:val="-19"/>
          <w:sz w:val="20"/>
          <w:szCs w:val="20"/>
        </w:rPr>
        <w:t xml:space="preserve"> </w:t>
      </w:r>
      <w:r w:rsidRPr="00B004EE">
        <w:rPr>
          <w:rFonts w:ascii="Tahoma" w:eastAsia="American Typewriter" w:hAnsi="Tahoma" w:cs="Tahoma"/>
          <w:sz w:val="20"/>
          <w:szCs w:val="20"/>
        </w:rPr>
        <w:t>par</w:t>
      </w:r>
      <w:r w:rsidR="00DB1635" w:rsidRPr="00B004EE">
        <w:rPr>
          <w:rFonts w:ascii="Tahoma" w:eastAsia="American Typewriter" w:hAnsi="Tahoma" w:cs="Tahoma"/>
          <w:spacing w:val="-19"/>
          <w:sz w:val="20"/>
          <w:szCs w:val="20"/>
        </w:rPr>
        <w:t xml:space="preserve"> </w:t>
      </w:r>
      <w:r w:rsidRPr="00B004EE">
        <w:rPr>
          <w:rFonts w:ascii="Tahoma" w:eastAsia="American Typewriter" w:hAnsi="Tahoma" w:cs="Tahoma"/>
          <w:sz w:val="20"/>
          <w:szCs w:val="20"/>
        </w:rPr>
        <w:t>décret</w:t>
      </w:r>
      <w:r w:rsidR="00DB1635" w:rsidRPr="00B004EE">
        <w:rPr>
          <w:rFonts w:ascii="Tahoma" w:eastAsia="American Typewriter" w:hAnsi="Tahoma" w:cs="Tahoma"/>
          <w:spacing w:val="-19"/>
          <w:sz w:val="20"/>
          <w:szCs w:val="20"/>
        </w:rPr>
        <w:t xml:space="preserve"> </w:t>
      </w:r>
      <w:r w:rsidRPr="00B004EE">
        <w:rPr>
          <w:rFonts w:ascii="Tahoma" w:eastAsia="American Typewriter" w:hAnsi="Tahoma" w:cs="Tahoma"/>
          <w:sz w:val="20"/>
          <w:szCs w:val="20"/>
        </w:rPr>
        <w:t>pris</w:t>
      </w:r>
      <w:r w:rsidR="00DB1635" w:rsidRPr="00B004EE">
        <w:rPr>
          <w:rFonts w:ascii="Tahoma" w:eastAsia="American Typewriter" w:hAnsi="Tahoma" w:cs="Tahoma"/>
          <w:spacing w:val="-19"/>
          <w:sz w:val="20"/>
          <w:szCs w:val="20"/>
        </w:rPr>
        <w:t xml:space="preserve"> </w:t>
      </w:r>
      <w:r w:rsidRPr="00B004EE">
        <w:rPr>
          <w:rFonts w:ascii="Tahoma" w:eastAsia="American Typewriter" w:hAnsi="Tahoma" w:cs="Tahoma"/>
          <w:sz w:val="20"/>
          <w:szCs w:val="20"/>
        </w:rPr>
        <w:t>en</w:t>
      </w:r>
      <w:r w:rsidR="00DB1635" w:rsidRPr="00B004EE">
        <w:rPr>
          <w:rFonts w:ascii="Tahoma" w:eastAsia="American Typewriter" w:hAnsi="Tahoma" w:cs="Tahoma"/>
          <w:spacing w:val="-19"/>
          <w:sz w:val="20"/>
          <w:szCs w:val="20"/>
        </w:rPr>
        <w:t xml:space="preserve"> </w:t>
      </w:r>
      <w:r w:rsidRPr="00B004EE">
        <w:rPr>
          <w:rFonts w:ascii="Tahoma" w:eastAsia="American Typewriter" w:hAnsi="Tahoma" w:cs="Tahoma"/>
          <w:sz w:val="20"/>
          <w:szCs w:val="20"/>
        </w:rPr>
        <w:t>conseil</w:t>
      </w:r>
      <w:r w:rsidR="00DB1635" w:rsidRPr="00B004EE">
        <w:rPr>
          <w:rFonts w:ascii="Tahoma" w:eastAsia="American Typewriter" w:hAnsi="Tahoma" w:cs="Tahoma"/>
          <w:spacing w:val="-18"/>
          <w:sz w:val="20"/>
          <w:szCs w:val="20"/>
        </w:rPr>
        <w:t xml:space="preserve"> </w:t>
      </w:r>
      <w:r w:rsidRPr="00B004EE">
        <w:rPr>
          <w:rFonts w:ascii="Tahoma" w:eastAsia="American Typewriter" w:hAnsi="Tahoma" w:cs="Tahoma"/>
          <w:sz w:val="20"/>
          <w:szCs w:val="20"/>
        </w:rPr>
        <w:t>des</w:t>
      </w:r>
      <w:r w:rsidR="00DB1635" w:rsidRPr="00B004EE">
        <w:rPr>
          <w:rFonts w:ascii="Tahoma" w:eastAsia="American Typewriter" w:hAnsi="Tahoma" w:cs="Tahoma"/>
          <w:spacing w:val="-20"/>
          <w:sz w:val="20"/>
          <w:szCs w:val="20"/>
        </w:rPr>
        <w:t xml:space="preserve"> </w:t>
      </w:r>
      <w:r w:rsidRPr="00B004EE">
        <w:rPr>
          <w:rFonts w:ascii="Tahoma" w:eastAsia="American Typewriter" w:hAnsi="Tahoma" w:cs="Tahoma"/>
          <w:sz w:val="20"/>
          <w:szCs w:val="20"/>
        </w:rPr>
        <w:t>ministres</w:t>
      </w:r>
      <w:r w:rsidR="00DB1635" w:rsidRPr="00B004EE">
        <w:rPr>
          <w:rFonts w:ascii="Tahoma" w:eastAsia="American Typewriter" w:hAnsi="Tahoma" w:cs="Tahoma"/>
          <w:w w:val="94"/>
          <w:sz w:val="20"/>
          <w:szCs w:val="20"/>
        </w:rPr>
        <w:t xml:space="preserve"> </w:t>
      </w:r>
      <w:r w:rsidRPr="00B004EE">
        <w:rPr>
          <w:rFonts w:ascii="Tahoma" w:hAnsi="Tahoma" w:cs="Tahoma"/>
          <w:sz w:val="20"/>
          <w:szCs w:val="20"/>
        </w:rPr>
        <w:t>sur</w:t>
      </w:r>
      <w:r w:rsidR="00DB1635" w:rsidRPr="00B004EE">
        <w:rPr>
          <w:rFonts w:ascii="Tahoma" w:hAnsi="Tahoma" w:cs="Tahoma"/>
          <w:spacing w:val="-36"/>
          <w:sz w:val="20"/>
          <w:szCs w:val="20"/>
        </w:rPr>
        <w:t xml:space="preserve"> </w:t>
      </w:r>
      <w:r w:rsidRPr="00B004EE">
        <w:rPr>
          <w:rFonts w:ascii="Tahoma" w:hAnsi="Tahoma" w:cs="Tahoma"/>
          <w:sz w:val="20"/>
          <w:szCs w:val="20"/>
        </w:rPr>
        <w:t>rapport</w:t>
      </w:r>
      <w:r w:rsidR="00DB1635" w:rsidRPr="00B004EE">
        <w:rPr>
          <w:rFonts w:ascii="Tahoma" w:hAnsi="Tahoma" w:cs="Tahoma"/>
          <w:spacing w:val="-36"/>
          <w:sz w:val="20"/>
          <w:szCs w:val="20"/>
        </w:rPr>
        <w:t xml:space="preserve"> </w:t>
      </w:r>
      <w:r w:rsidRPr="00B004EE">
        <w:rPr>
          <w:rFonts w:ascii="Tahoma" w:hAnsi="Tahoma" w:cs="Tahoma"/>
          <w:sz w:val="20"/>
          <w:szCs w:val="20"/>
        </w:rPr>
        <w:t>du</w:t>
      </w:r>
      <w:r w:rsidR="00DB1635" w:rsidRPr="00B004EE">
        <w:rPr>
          <w:rFonts w:ascii="Tahoma" w:hAnsi="Tahoma" w:cs="Tahoma"/>
          <w:spacing w:val="-36"/>
          <w:sz w:val="20"/>
          <w:szCs w:val="20"/>
        </w:rPr>
        <w:t xml:space="preserve"> </w:t>
      </w:r>
      <w:r w:rsidRPr="00B004EE">
        <w:rPr>
          <w:rFonts w:ascii="Tahoma" w:hAnsi="Tahoma" w:cs="Tahoma"/>
          <w:sz w:val="20"/>
          <w:szCs w:val="20"/>
        </w:rPr>
        <w:t>ministre</w:t>
      </w:r>
      <w:r w:rsidR="00DB1635" w:rsidRPr="00B004EE">
        <w:rPr>
          <w:rFonts w:ascii="Tahoma" w:hAnsi="Tahoma" w:cs="Tahoma"/>
          <w:spacing w:val="-36"/>
          <w:sz w:val="20"/>
          <w:szCs w:val="20"/>
        </w:rPr>
        <w:t xml:space="preserve"> </w:t>
      </w:r>
      <w:r w:rsidRPr="00B004EE">
        <w:rPr>
          <w:rFonts w:ascii="Tahoma" w:hAnsi="Tahoma" w:cs="Tahoma"/>
          <w:sz w:val="20"/>
          <w:szCs w:val="20"/>
        </w:rPr>
        <w:t>chargé</w:t>
      </w:r>
      <w:r w:rsidR="00DB1635" w:rsidRPr="00B004EE">
        <w:rPr>
          <w:rFonts w:ascii="Tahoma" w:hAnsi="Tahoma" w:cs="Tahoma"/>
          <w:spacing w:val="-36"/>
          <w:sz w:val="20"/>
          <w:szCs w:val="20"/>
        </w:rPr>
        <w:t xml:space="preserve"> </w:t>
      </w:r>
      <w:r w:rsidRPr="00B004EE">
        <w:rPr>
          <w:rFonts w:ascii="Tahoma" w:hAnsi="Tahoma" w:cs="Tahoma"/>
          <w:sz w:val="20"/>
          <w:szCs w:val="20"/>
        </w:rPr>
        <w:t>des</w:t>
      </w:r>
      <w:r w:rsidR="00DB1635" w:rsidRPr="00B004EE">
        <w:rPr>
          <w:rFonts w:ascii="Tahoma" w:hAnsi="Tahoma" w:cs="Tahoma"/>
          <w:spacing w:val="-36"/>
          <w:sz w:val="20"/>
          <w:szCs w:val="20"/>
        </w:rPr>
        <w:t xml:space="preserve"> </w:t>
      </w:r>
      <w:r w:rsidRPr="00B004EE">
        <w:rPr>
          <w:rFonts w:ascii="Tahoma" w:hAnsi="Tahoma" w:cs="Tahoma"/>
          <w:sz w:val="20"/>
          <w:szCs w:val="20"/>
        </w:rPr>
        <w:t>pêches.</w:t>
      </w:r>
    </w:p>
    <w:p w14:paraId="4966FD71" w14:textId="77777777" w:rsidR="001E7C3C" w:rsidRPr="00B004EE" w:rsidRDefault="001E7C3C" w:rsidP="00B004EE">
      <w:pPr>
        <w:rPr>
          <w:rFonts w:ascii="Tahoma" w:eastAsia="American Typewriter" w:hAnsi="Tahoma" w:cs="Tahoma"/>
          <w:sz w:val="20"/>
          <w:szCs w:val="20"/>
        </w:rPr>
      </w:pPr>
    </w:p>
    <w:p w14:paraId="0F15A6F4" w14:textId="4074B3EB" w:rsidR="001E7C3C" w:rsidRPr="00B004EE" w:rsidRDefault="001E7C3C" w:rsidP="00B004EE">
      <w:pPr>
        <w:pStyle w:val="Corpsdetexte"/>
        <w:ind w:right="158"/>
        <w:rPr>
          <w:rFonts w:ascii="Tahoma" w:hAnsi="Tahoma" w:cs="Tahoma"/>
          <w:sz w:val="20"/>
          <w:szCs w:val="20"/>
          <w:rtl/>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36</w:t>
      </w:r>
      <w:r w:rsidR="00DB1635" w:rsidRPr="00B004EE">
        <w:rPr>
          <w:rFonts w:ascii="Tahoma" w:hAnsi="Tahoma" w:cs="Tahoma"/>
          <w:bCs/>
          <w:sz w:val="20"/>
          <w:szCs w:val="20"/>
        </w:rPr>
        <w:t xml:space="preserve"> </w:t>
      </w:r>
      <w:r w:rsidRPr="00B004EE">
        <w:rPr>
          <w:rFonts w:ascii="Tahoma" w:hAnsi="Tahoma" w:cs="Tahoma"/>
          <w:bCs/>
          <w:sz w:val="20"/>
          <w:szCs w:val="20"/>
        </w:rPr>
        <w:t>:</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sz w:val="20"/>
          <w:szCs w:val="20"/>
        </w:rPr>
        <w:t>Les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procédures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d’attribution</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du</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régime</w:t>
      </w:r>
      <w:r w:rsidR="00DB1635" w:rsidRPr="00B004EE">
        <w:rPr>
          <w:rFonts w:ascii="Tahoma" w:eastAsia="American Typewriter" w:hAnsi="Tahoma" w:cs="Tahoma"/>
          <w:sz w:val="20"/>
          <w:szCs w:val="20"/>
        </w:rPr>
        <w:t xml:space="preserve"> </w:t>
      </w:r>
      <w:r w:rsidRPr="00B004EE">
        <w:rPr>
          <w:rFonts w:ascii="Tahoma" w:hAnsi="Tahoma" w:cs="Tahoma"/>
          <w:sz w:val="20"/>
          <w:szCs w:val="20"/>
        </w:rPr>
        <w:t>étranger</w:t>
      </w:r>
      <w:r w:rsidR="00DB1635" w:rsidRPr="00B004EE">
        <w:rPr>
          <w:rFonts w:ascii="Tahoma" w:hAnsi="Tahoma" w:cs="Tahoma"/>
          <w:sz w:val="20"/>
          <w:szCs w:val="20"/>
        </w:rPr>
        <w:t xml:space="preserve"> </w:t>
      </w:r>
      <w:r w:rsidRPr="00B004EE">
        <w:rPr>
          <w:rFonts w:ascii="Tahoma" w:hAnsi="Tahoma" w:cs="Tahoma"/>
          <w:sz w:val="20"/>
          <w:szCs w:val="20"/>
        </w:rPr>
        <w:t>d</w:t>
      </w:r>
      <w:r w:rsidRPr="00B004EE">
        <w:rPr>
          <w:rFonts w:ascii="Tahoma" w:eastAsia="American Typewriter" w:hAnsi="Tahoma" w:cs="Tahoma"/>
          <w:sz w:val="20"/>
          <w:szCs w:val="20"/>
        </w:rPr>
        <w:t>’exploitation</w:t>
      </w:r>
      <w:r w:rsidR="00DB1635" w:rsidRPr="00B004EE">
        <w:rPr>
          <w:rFonts w:ascii="Tahoma" w:eastAsia="American Typewriter" w:hAnsi="Tahoma" w:cs="Tahoma"/>
          <w:spacing w:val="28"/>
          <w:sz w:val="20"/>
          <w:szCs w:val="20"/>
        </w:rPr>
        <w:t xml:space="preserve"> </w:t>
      </w:r>
      <w:r w:rsidRPr="00B004EE">
        <w:rPr>
          <w:rFonts w:ascii="Tahoma" w:eastAsia="American Typewriter" w:hAnsi="Tahoma" w:cs="Tahoma"/>
          <w:sz w:val="20"/>
          <w:szCs w:val="20"/>
        </w:rPr>
        <w:t>d</w:t>
      </w:r>
      <w:r w:rsidRPr="00B004EE">
        <w:rPr>
          <w:rFonts w:ascii="Tahoma" w:hAnsi="Tahoma" w:cs="Tahoma"/>
          <w:sz w:val="20"/>
          <w:szCs w:val="20"/>
        </w:rPr>
        <w:t>e</w:t>
      </w:r>
      <w:r w:rsidR="00DB1635" w:rsidRPr="00B004EE">
        <w:rPr>
          <w:rFonts w:ascii="Tahoma" w:hAnsi="Tahoma" w:cs="Tahoma"/>
          <w:w w:val="94"/>
          <w:sz w:val="20"/>
          <w:szCs w:val="20"/>
        </w:rPr>
        <w:t xml:space="preserve"> </w:t>
      </w:r>
      <w:r w:rsidRPr="00B004EE">
        <w:rPr>
          <w:rFonts w:ascii="Tahoma" w:eastAsia="American Typewriter" w:hAnsi="Tahoma" w:cs="Tahoma"/>
          <w:sz w:val="20"/>
          <w:szCs w:val="20"/>
        </w:rPr>
        <w:t>concessions</w:t>
      </w:r>
      <w:r w:rsidR="00DB1635" w:rsidRPr="00B004EE">
        <w:rPr>
          <w:rFonts w:ascii="Tahoma" w:eastAsia="American Typewriter" w:hAnsi="Tahoma" w:cs="Tahoma"/>
          <w:spacing w:val="-26"/>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pacing w:val="-26"/>
          <w:sz w:val="20"/>
          <w:szCs w:val="20"/>
        </w:rPr>
        <w:t xml:space="preserve"> </w:t>
      </w:r>
      <w:r w:rsidRPr="00B004EE">
        <w:rPr>
          <w:rFonts w:ascii="Tahoma" w:eastAsia="American Typewriter" w:hAnsi="Tahoma" w:cs="Tahoma"/>
          <w:sz w:val="20"/>
          <w:szCs w:val="20"/>
        </w:rPr>
        <w:t>droits</w:t>
      </w:r>
      <w:r w:rsidR="00DB1635" w:rsidRPr="00B004EE">
        <w:rPr>
          <w:rFonts w:ascii="Tahoma" w:eastAsia="American Typewriter" w:hAnsi="Tahoma" w:cs="Tahoma"/>
          <w:spacing w:val="-26"/>
          <w:sz w:val="20"/>
          <w:szCs w:val="20"/>
        </w:rPr>
        <w:t xml:space="preserve"> </w:t>
      </w:r>
      <w:r w:rsidRPr="00B004EE">
        <w:rPr>
          <w:rFonts w:ascii="Tahoma" w:eastAsia="American Typewriter" w:hAnsi="Tahoma" w:cs="Tahoma"/>
          <w:sz w:val="20"/>
          <w:szCs w:val="20"/>
        </w:rPr>
        <w:t>d’usage</w:t>
      </w:r>
      <w:r w:rsidRPr="00B004EE">
        <w:rPr>
          <w:rFonts w:ascii="Tahoma" w:hAnsi="Tahoma" w:cs="Tahoma"/>
          <w:sz w:val="20"/>
          <w:szCs w:val="20"/>
        </w:rPr>
        <w:t>,</w:t>
      </w:r>
      <w:r w:rsidR="00DB1635" w:rsidRPr="00B004EE">
        <w:rPr>
          <w:rFonts w:ascii="Tahoma" w:hAnsi="Tahoma" w:cs="Tahoma"/>
          <w:spacing w:val="-25"/>
          <w:sz w:val="20"/>
          <w:szCs w:val="20"/>
        </w:rPr>
        <w:t xml:space="preserve"> </w:t>
      </w:r>
      <w:r w:rsidRPr="00B004EE">
        <w:rPr>
          <w:rFonts w:ascii="Tahoma" w:hAnsi="Tahoma" w:cs="Tahoma"/>
          <w:sz w:val="20"/>
          <w:szCs w:val="20"/>
        </w:rPr>
        <w:t>sont</w:t>
      </w:r>
      <w:r w:rsidR="00DB1635" w:rsidRPr="00B004EE">
        <w:rPr>
          <w:rFonts w:ascii="Tahoma" w:hAnsi="Tahoma" w:cs="Tahoma"/>
          <w:spacing w:val="-26"/>
          <w:sz w:val="20"/>
          <w:szCs w:val="20"/>
        </w:rPr>
        <w:t xml:space="preserve"> </w:t>
      </w:r>
      <w:r w:rsidRPr="00B004EE">
        <w:rPr>
          <w:rFonts w:ascii="Tahoma" w:hAnsi="Tahoma" w:cs="Tahoma"/>
          <w:sz w:val="20"/>
          <w:szCs w:val="20"/>
        </w:rPr>
        <w:t>définies</w:t>
      </w:r>
      <w:r w:rsidR="00DB1635" w:rsidRPr="00B004EE">
        <w:rPr>
          <w:rFonts w:ascii="Tahoma" w:hAnsi="Tahoma" w:cs="Tahoma"/>
          <w:spacing w:val="-26"/>
          <w:sz w:val="20"/>
          <w:szCs w:val="20"/>
        </w:rPr>
        <w:t xml:space="preserve"> </w:t>
      </w:r>
      <w:r w:rsidRPr="00B004EE">
        <w:rPr>
          <w:rFonts w:ascii="Tahoma" w:hAnsi="Tahoma" w:cs="Tahoma"/>
          <w:sz w:val="20"/>
          <w:szCs w:val="20"/>
        </w:rPr>
        <w:t>dans</w:t>
      </w:r>
      <w:r w:rsidR="00DB1635" w:rsidRPr="00B004EE">
        <w:rPr>
          <w:rFonts w:ascii="Tahoma" w:hAnsi="Tahoma" w:cs="Tahoma"/>
          <w:spacing w:val="-26"/>
          <w:sz w:val="20"/>
          <w:szCs w:val="20"/>
        </w:rPr>
        <w:t xml:space="preserve"> </w:t>
      </w:r>
      <w:r w:rsidRPr="00B004EE">
        <w:rPr>
          <w:rFonts w:ascii="Tahoma" w:hAnsi="Tahoma" w:cs="Tahoma"/>
          <w:sz w:val="20"/>
          <w:szCs w:val="20"/>
        </w:rPr>
        <w:t>l</w:t>
      </w:r>
      <w:r w:rsidRPr="00B004EE">
        <w:rPr>
          <w:rFonts w:ascii="Tahoma" w:eastAsia="American Typewriter" w:hAnsi="Tahoma" w:cs="Tahoma"/>
          <w:sz w:val="20"/>
          <w:szCs w:val="20"/>
        </w:rPr>
        <w:t>e</w:t>
      </w:r>
      <w:r w:rsidR="00DB1635" w:rsidRPr="00B004EE">
        <w:rPr>
          <w:rFonts w:ascii="Tahoma" w:eastAsia="American Typewriter" w:hAnsi="Tahoma" w:cs="Tahoma"/>
          <w:spacing w:val="-26"/>
          <w:sz w:val="20"/>
          <w:szCs w:val="20"/>
        </w:rPr>
        <w:t xml:space="preserve"> </w:t>
      </w:r>
      <w:r w:rsidRPr="00B004EE">
        <w:rPr>
          <w:rFonts w:ascii="Tahoma" w:eastAsia="American Typewriter" w:hAnsi="Tahoma" w:cs="Tahoma"/>
          <w:sz w:val="20"/>
          <w:szCs w:val="20"/>
        </w:rPr>
        <w:t>cadre</w:t>
      </w:r>
      <w:r w:rsidR="00DB1635" w:rsidRPr="00B004EE">
        <w:rPr>
          <w:rFonts w:ascii="Tahoma" w:eastAsia="American Typewriter" w:hAnsi="Tahoma" w:cs="Tahoma"/>
          <w:spacing w:val="-26"/>
          <w:sz w:val="20"/>
          <w:szCs w:val="20"/>
        </w:rPr>
        <w:t xml:space="preserve"> </w:t>
      </w:r>
      <w:r w:rsidRPr="00B004EE">
        <w:rPr>
          <w:rFonts w:ascii="Tahoma" w:eastAsia="American Typewriter" w:hAnsi="Tahoma" w:cs="Tahoma"/>
          <w:sz w:val="20"/>
          <w:szCs w:val="20"/>
        </w:rPr>
        <w:t>d’accords</w:t>
      </w:r>
      <w:r w:rsidR="00DB1635" w:rsidRPr="00B004EE">
        <w:rPr>
          <w:rFonts w:ascii="Tahoma" w:eastAsia="American Typewriter" w:hAnsi="Tahoma" w:cs="Tahoma"/>
          <w:spacing w:val="-26"/>
          <w:sz w:val="20"/>
          <w:szCs w:val="20"/>
        </w:rPr>
        <w:t xml:space="preserve"> </w:t>
      </w:r>
      <w:r w:rsidRPr="00B004EE">
        <w:rPr>
          <w:rFonts w:ascii="Tahoma" w:eastAsia="American Typewriter" w:hAnsi="Tahoma" w:cs="Tahoma"/>
          <w:sz w:val="20"/>
          <w:szCs w:val="20"/>
        </w:rPr>
        <w:t>internationaux</w:t>
      </w:r>
      <w:r w:rsidR="00DB1635" w:rsidRPr="00B004EE">
        <w:rPr>
          <w:rFonts w:ascii="Tahoma" w:eastAsia="American Typewriter" w:hAnsi="Tahoma" w:cs="Tahoma"/>
          <w:w w:val="91"/>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autres</w:t>
      </w:r>
      <w:r w:rsidR="00DB1635" w:rsidRPr="00B004EE">
        <w:rPr>
          <w:rFonts w:ascii="Tahoma" w:hAnsi="Tahoma" w:cs="Tahoma"/>
          <w:sz w:val="20"/>
          <w:szCs w:val="20"/>
        </w:rPr>
        <w:t xml:space="preserve"> </w:t>
      </w:r>
      <w:r w:rsidRPr="00B004EE">
        <w:rPr>
          <w:rFonts w:ascii="Tahoma" w:hAnsi="Tahoma" w:cs="Tahoma"/>
          <w:sz w:val="20"/>
          <w:szCs w:val="20"/>
        </w:rPr>
        <w:t>arrangements</w:t>
      </w:r>
      <w:r w:rsidR="00DB1635" w:rsidRPr="00B004EE">
        <w:rPr>
          <w:rFonts w:ascii="Tahoma" w:hAnsi="Tahoma" w:cs="Tahoma"/>
          <w:sz w:val="20"/>
          <w:szCs w:val="20"/>
        </w:rPr>
        <w:t xml:space="preserve"> </w:t>
      </w:r>
      <w:r w:rsidRPr="00B004EE">
        <w:rPr>
          <w:rFonts w:ascii="Tahoma" w:hAnsi="Tahoma" w:cs="Tahoma"/>
          <w:sz w:val="20"/>
          <w:szCs w:val="20"/>
        </w:rPr>
        <w:t>conclus</w:t>
      </w:r>
      <w:r w:rsidR="00DB1635" w:rsidRPr="00B004EE">
        <w:rPr>
          <w:rFonts w:ascii="Tahoma" w:hAnsi="Tahoma" w:cs="Tahoma"/>
          <w:sz w:val="20"/>
          <w:szCs w:val="20"/>
        </w:rPr>
        <w:t xml:space="preserve"> </w:t>
      </w:r>
      <w:r w:rsidRPr="00B004EE">
        <w:rPr>
          <w:rFonts w:ascii="Tahoma" w:hAnsi="Tahoma" w:cs="Tahoma"/>
          <w:sz w:val="20"/>
          <w:szCs w:val="20"/>
        </w:rPr>
        <w:t>entre</w:t>
      </w:r>
      <w:r w:rsidR="00DB1635" w:rsidRPr="00B004EE">
        <w:rPr>
          <w:rFonts w:ascii="Tahoma" w:hAnsi="Tahoma" w:cs="Tahoma"/>
          <w:sz w:val="20"/>
          <w:szCs w:val="20"/>
        </w:rPr>
        <w:t xml:space="preserve"> </w:t>
      </w:r>
      <w:r w:rsidRPr="00B004EE">
        <w:rPr>
          <w:rFonts w:ascii="Tahoma" w:hAnsi="Tahoma" w:cs="Tahoma"/>
          <w:sz w:val="20"/>
          <w:szCs w:val="20"/>
        </w:rPr>
        <w:t>l'État</w:t>
      </w:r>
      <w:r w:rsidR="00DB1635" w:rsidRPr="00B004EE">
        <w:rPr>
          <w:rFonts w:ascii="Tahoma" w:hAnsi="Tahoma" w:cs="Tahoma"/>
          <w:sz w:val="20"/>
          <w:szCs w:val="20"/>
        </w:rPr>
        <w:t xml:space="preserve"> </w:t>
      </w:r>
      <w:r w:rsidRPr="00B004EE">
        <w:rPr>
          <w:rFonts w:ascii="Tahoma" w:hAnsi="Tahoma" w:cs="Tahoma"/>
          <w:sz w:val="20"/>
          <w:szCs w:val="20"/>
        </w:rPr>
        <w:t>mauritanien</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partie</w:t>
      </w:r>
      <w:r w:rsidR="00DB1635" w:rsidRPr="00B004EE">
        <w:rPr>
          <w:rFonts w:ascii="Tahoma" w:hAnsi="Tahoma" w:cs="Tahoma"/>
          <w:spacing w:val="59"/>
          <w:sz w:val="20"/>
          <w:szCs w:val="20"/>
        </w:rPr>
        <w:t xml:space="preserve"> </w:t>
      </w:r>
      <w:r w:rsidRPr="00B004EE">
        <w:rPr>
          <w:rFonts w:ascii="Tahoma" w:hAnsi="Tahoma" w:cs="Tahoma"/>
          <w:sz w:val="20"/>
          <w:szCs w:val="20"/>
        </w:rPr>
        <w:t>étrangère</w:t>
      </w:r>
      <w:r w:rsidR="00DB1635" w:rsidRPr="00B004EE">
        <w:rPr>
          <w:rFonts w:ascii="Tahoma" w:hAnsi="Tahoma" w:cs="Tahoma"/>
          <w:w w:val="94"/>
          <w:sz w:val="20"/>
          <w:szCs w:val="20"/>
        </w:rPr>
        <w:t xml:space="preserve"> </w:t>
      </w:r>
      <w:r w:rsidRPr="00B004EE">
        <w:rPr>
          <w:rFonts w:ascii="Tahoma" w:hAnsi="Tahoma" w:cs="Tahoma"/>
          <w:sz w:val="20"/>
          <w:szCs w:val="20"/>
        </w:rPr>
        <w:t>titulaire</w:t>
      </w:r>
      <w:r w:rsidR="00DB1635" w:rsidRPr="00B004EE">
        <w:rPr>
          <w:rFonts w:ascii="Tahoma" w:hAnsi="Tahoma" w:cs="Tahoma"/>
          <w:spacing w:val="-37"/>
          <w:sz w:val="20"/>
          <w:szCs w:val="20"/>
        </w:rPr>
        <w:t xml:space="preserve"> </w:t>
      </w:r>
      <w:r w:rsidRPr="00B004EE">
        <w:rPr>
          <w:rFonts w:ascii="Tahoma" w:hAnsi="Tahoma" w:cs="Tahoma"/>
          <w:sz w:val="20"/>
          <w:szCs w:val="20"/>
        </w:rPr>
        <w:t>de</w:t>
      </w:r>
      <w:r w:rsidR="00DB1635" w:rsidRPr="00B004EE">
        <w:rPr>
          <w:rFonts w:ascii="Tahoma" w:hAnsi="Tahoma" w:cs="Tahoma"/>
          <w:spacing w:val="-37"/>
          <w:sz w:val="20"/>
          <w:szCs w:val="20"/>
        </w:rPr>
        <w:t xml:space="preserve"> </w:t>
      </w:r>
      <w:r w:rsidRPr="00B004EE">
        <w:rPr>
          <w:rFonts w:ascii="Tahoma" w:hAnsi="Tahoma" w:cs="Tahoma"/>
          <w:sz w:val="20"/>
          <w:szCs w:val="20"/>
        </w:rPr>
        <w:t>la</w:t>
      </w:r>
      <w:r w:rsidR="00DB1635" w:rsidRPr="00B004EE">
        <w:rPr>
          <w:rFonts w:ascii="Tahoma" w:hAnsi="Tahoma" w:cs="Tahoma"/>
          <w:spacing w:val="-37"/>
          <w:sz w:val="20"/>
          <w:szCs w:val="20"/>
        </w:rPr>
        <w:t xml:space="preserve"> </w:t>
      </w:r>
      <w:r w:rsidRPr="00B004EE">
        <w:rPr>
          <w:rFonts w:ascii="Tahoma" w:hAnsi="Tahoma" w:cs="Tahoma"/>
          <w:sz w:val="20"/>
          <w:szCs w:val="20"/>
        </w:rPr>
        <w:t>concession.</w:t>
      </w:r>
    </w:p>
    <w:p w14:paraId="1CE4D312" w14:textId="77777777" w:rsidR="00E50532" w:rsidRPr="00B004EE" w:rsidRDefault="00E50532" w:rsidP="00B004EE">
      <w:pPr>
        <w:pStyle w:val="Corpsdetexte"/>
        <w:ind w:right="158"/>
        <w:rPr>
          <w:rFonts w:ascii="Tahoma" w:hAnsi="Tahoma" w:cs="Tahoma"/>
          <w:sz w:val="20"/>
          <w:szCs w:val="20"/>
        </w:rPr>
      </w:pPr>
    </w:p>
    <w:p w14:paraId="4CB29C62" w14:textId="5FD8BB1F" w:rsidR="001E7C3C" w:rsidRPr="00B004EE" w:rsidRDefault="001E7C3C" w:rsidP="00B004EE">
      <w:pPr>
        <w:pStyle w:val="Corpsdetexte"/>
        <w:ind w:right="160"/>
        <w:rPr>
          <w:rFonts w:ascii="Tahoma" w:hAnsi="Tahoma" w:cs="Tahoma"/>
          <w:w w:val="95"/>
          <w:sz w:val="20"/>
          <w:szCs w:val="20"/>
          <w:rtl/>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37</w:t>
      </w:r>
      <w:r w:rsidR="00DB1635" w:rsidRPr="00B004EE">
        <w:rPr>
          <w:rFonts w:ascii="Tahoma" w:hAnsi="Tahoma" w:cs="Tahoma"/>
          <w:bCs/>
          <w:sz w:val="20"/>
          <w:szCs w:val="20"/>
        </w:rPr>
        <w:t xml:space="preserve"> </w:t>
      </w:r>
      <w:r w:rsidRPr="00B004EE">
        <w:rPr>
          <w:rFonts w:ascii="Tahoma" w:hAnsi="Tahoma" w:cs="Tahoma"/>
          <w:bCs/>
          <w:sz w:val="20"/>
          <w:szCs w:val="20"/>
        </w:rPr>
        <w:t>:</w:t>
      </w:r>
      <w:r w:rsidR="00DB1635" w:rsidRPr="00B004EE">
        <w:rPr>
          <w:rFonts w:ascii="Tahoma" w:eastAsia="American Typewriter" w:hAnsi="Tahoma" w:cs="Tahoma"/>
          <w:b/>
          <w:bCs/>
          <w:spacing w:val="-31"/>
          <w:sz w:val="20"/>
          <w:szCs w:val="20"/>
        </w:rPr>
        <w:t xml:space="preserve"> </w:t>
      </w:r>
      <w:r w:rsidRPr="00B004EE">
        <w:rPr>
          <w:rFonts w:ascii="Tahoma" w:hAnsi="Tahoma" w:cs="Tahoma"/>
          <w:sz w:val="20"/>
          <w:szCs w:val="20"/>
        </w:rPr>
        <w:t>Les</w:t>
      </w:r>
      <w:r w:rsidR="00DB1635" w:rsidRPr="00B004EE">
        <w:rPr>
          <w:rFonts w:ascii="Tahoma" w:hAnsi="Tahoma" w:cs="Tahoma"/>
          <w:spacing w:val="-33"/>
          <w:sz w:val="20"/>
          <w:szCs w:val="20"/>
        </w:rPr>
        <w:t xml:space="preserve"> </w:t>
      </w:r>
      <w:r w:rsidRPr="00B004EE">
        <w:rPr>
          <w:rFonts w:ascii="Tahoma" w:hAnsi="Tahoma" w:cs="Tahoma"/>
          <w:sz w:val="20"/>
          <w:szCs w:val="20"/>
        </w:rPr>
        <w:t>Accords</w:t>
      </w:r>
      <w:r w:rsidR="00DB1635" w:rsidRPr="00B004EE">
        <w:rPr>
          <w:rFonts w:ascii="Tahoma" w:hAnsi="Tahoma" w:cs="Tahoma"/>
          <w:spacing w:val="-34"/>
          <w:sz w:val="20"/>
          <w:szCs w:val="20"/>
        </w:rPr>
        <w:t xml:space="preserve"> </w:t>
      </w:r>
      <w:r w:rsidRPr="00B004EE">
        <w:rPr>
          <w:rFonts w:ascii="Tahoma" w:hAnsi="Tahoma" w:cs="Tahoma"/>
          <w:sz w:val="20"/>
          <w:szCs w:val="20"/>
        </w:rPr>
        <w:t>internationaux</w:t>
      </w:r>
      <w:r w:rsidR="00DB1635" w:rsidRPr="00B004EE">
        <w:rPr>
          <w:rFonts w:ascii="Tahoma" w:hAnsi="Tahoma" w:cs="Tahoma"/>
          <w:spacing w:val="-34"/>
          <w:sz w:val="20"/>
          <w:szCs w:val="20"/>
        </w:rPr>
        <w:t xml:space="preserve"> </w:t>
      </w:r>
      <w:r w:rsidRPr="00B004EE">
        <w:rPr>
          <w:rFonts w:ascii="Tahoma" w:hAnsi="Tahoma" w:cs="Tahoma"/>
          <w:sz w:val="20"/>
          <w:szCs w:val="20"/>
        </w:rPr>
        <w:t>ou</w:t>
      </w:r>
      <w:r w:rsidR="00DB1635" w:rsidRPr="00B004EE">
        <w:rPr>
          <w:rFonts w:ascii="Tahoma" w:hAnsi="Tahoma" w:cs="Tahoma"/>
          <w:spacing w:val="-34"/>
          <w:sz w:val="20"/>
          <w:szCs w:val="20"/>
        </w:rPr>
        <w:t xml:space="preserve"> </w:t>
      </w:r>
      <w:r w:rsidRPr="00B004EE">
        <w:rPr>
          <w:rFonts w:ascii="Tahoma" w:hAnsi="Tahoma" w:cs="Tahoma"/>
          <w:sz w:val="20"/>
          <w:szCs w:val="20"/>
        </w:rPr>
        <w:t>autres</w:t>
      </w:r>
      <w:r w:rsidR="00DB1635" w:rsidRPr="00B004EE">
        <w:rPr>
          <w:rFonts w:ascii="Tahoma" w:hAnsi="Tahoma" w:cs="Tahoma"/>
          <w:spacing w:val="-34"/>
          <w:sz w:val="20"/>
          <w:szCs w:val="20"/>
        </w:rPr>
        <w:t xml:space="preserve"> </w:t>
      </w:r>
      <w:r w:rsidRPr="00B004EE">
        <w:rPr>
          <w:rFonts w:ascii="Tahoma" w:hAnsi="Tahoma" w:cs="Tahoma"/>
          <w:sz w:val="20"/>
          <w:szCs w:val="20"/>
        </w:rPr>
        <w:t>arrangements</w:t>
      </w:r>
      <w:r w:rsidR="00DB1635" w:rsidRPr="00B004EE">
        <w:rPr>
          <w:rFonts w:ascii="Tahoma" w:hAnsi="Tahoma" w:cs="Tahoma"/>
          <w:spacing w:val="-34"/>
          <w:sz w:val="20"/>
          <w:szCs w:val="20"/>
        </w:rPr>
        <w:t xml:space="preserve"> </w:t>
      </w:r>
      <w:r w:rsidRPr="00B004EE">
        <w:rPr>
          <w:rFonts w:ascii="Tahoma" w:hAnsi="Tahoma" w:cs="Tahoma"/>
          <w:sz w:val="20"/>
          <w:szCs w:val="20"/>
        </w:rPr>
        <w:t>d'accès</w:t>
      </w:r>
      <w:r w:rsidR="00DB1635" w:rsidRPr="00B004EE">
        <w:rPr>
          <w:rFonts w:ascii="Tahoma" w:hAnsi="Tahoma" w:cs="Tahoma"/>
          <w:spacing w:val="-34"/>
          <w:sz w:val="20"/>
          <w:szCs w:val="20"/>
        </w:rPr>
        <w:t xml:space="preserve"> </w:t>
      </w:r>
      <w:r w:rsidRPr="00B004EE">
        <w:rPr>
          <w:rFonts w:ascii="Tahoma" w:hAnsi="Tahoma" w:cs="Tahoma"/>
          <w:sz w:val="20"/>
          <w:szCs w:val="20"/>
        </w:rPr>
        <w:t>de</w:t>
      </w:r>
      <w:r w:rsidR="00DB1635" w:rsidRPr="00B004EE">
        <w:rPr>
          <w:rFonts w:ascii="Tahoma" w:hAnsi="Tahoma" w:cs="Tahoma"/>
          <w:spacing w:val="-34"/>
          <w:sz w:val="20"/>
          <w:szCs w:val="20"/>
        </w:rPr>
        <w:t xml:space="preserve"> </w:t>
      </w:r>
      <w:r w:rsidRPr="00B004EE">
        <w:rPr>
          <w:rFonts w:ascii="Tahoma" w:hAnsi="Tahoma" w:cs="Tahoma"/>
          <w:sz w:val="20"/>
          <w:szCs w:val="20"/>
        </w:rPr>
        <w:t>navires</w:t>
      </w:r>
      <w:r w:rsidR="00DB1635" w:rsidRPr="00B004EE">
        <w:rPr>
          <w:rFonts w:ascii="Tahoma" w:hAnsi="Tahoma" w:cs="Tahoma"/>
          <w:w w:val="94"/>
          <w:sz w:val="20"/>
          <w:szCs w:val="20"/>
        </w:rPr>
        <w:t xml:space="preserve"> </w:t>
      </w:r>
      <w:r w:rsidRPr="00B004EE">
        <w:rPr>
          <w:rFonts w:ascii="Tahoma" w:hAnsi="Tahoma" w:cs="Tahoma"/>
          <w:sz w:val="20"/>
          <w:szCs w:val="20"/>
        </w:rPr>
        <w:t>de</w:t>
      </w:r>
      <w:r w:rsidR="00DB1635" w:rsidRPr="00B004EE">
        <w:rPr>
          <w:rFonts w:ascii="Tahoma" w:hAnsi="Tahoma" w:cs="Tahoma"/>
          <w:spacing w:val="-24"/>
          <w:sz w:val="20"/>
          <w:szCs w:val="20"/>
        </w:rPr>
        <w:t xml:space="preserve"> </w:t>
      </w:r>
      <w:r w:rsidRPr="00B004EE">
        <w:rPr>
          <w:rFonts w:ascii="Tahoma" w:hAnsi="Tahoma" w:cs="Tahoma"/>
          <w:sz w:val="20"/>
          <w:szCs w:val="20"/>
        </w:rPr>
        <w:t>pêche</w:t>
      </w:r>
      <w:r w:rsidR="00DB1635" w:rsidRPr="00B004EE">
        <w:rPr>
          <w:rFonts w:ascii="Tahoma" w:hAnsi="Tahoma" w:cs="Tahoma"/>
          <w:spacing w:val="-24"/>
          <w:sz w:val="20"/>
          <w:szCs w:val="20"/>
        </w:rPr>
        <w:t xml:space="preserve"> </w:t>
      </w:r>
      <w:r w:rsidRPr="00B004EE">
        <w:rPr>
          <w:rFonts w:ascii="Tahoma" w:hAnsi="Tahoma" w:cs="Tahoma"/>
          <w:sz w:val="20"/>
          <w:szCs w:val="20"/>
        </w:rPr>
        <w:t>étrangers</w:t>
      </w:r>
      <w:r w:rsidR="00DB1635" w:rsidRPr="00B004EE">
        <w:rPr>
          <w:rFonts w:ascii="Tahoma" w:hAnsi="Tahoma" w:cs="Tahoma"/>
          <w:spacing w:val="-25"/>
          <w:sz w:val="20"/>
          <w:szCs w:val="20"/>
        </w:rPr>
        <w:t xml:space="preserve"> </w:t>
      </w:r>
      <w:r w:rsidRPr="00B004EE">
        <w:rPr>
          <w:rFonts w:ascii="Tahoma" w:hAnsi="Tahoma" w:cs="Tahoma"/>
          <w:sz w:val="20"/>
          <w:szCs w:val="20"/>
        </w:rPr>
        <w:t>opérant</w:t>
      </w:r>
      <w:r w:rsidR="00DB1635" w:rsidRPr="00B004EE">
        <w:rPr>
          <w:rFonts w:ascii="Tahoma" w:hAnsi="Tahoma" w:cs="Tahoma"/>
          <w:spacing w:val="-24"/>
          <w:sz w:val="20"/>
          <w:szCs w:val="20"/>
        </w:rPr>
        <w:t xml:space="preserve"> </w:t>
      </w:r>
      <w:r w:rsidRPr="00B004EE">
        <w:rPr>
          <w:rFonts w:ascii="Tahoma" w:hAnsi="Tahoma" w:cs="Tahoma"/>
          <w:sz w:val="20"/>
          <w:szCs w:val="20"/>
        </w:rPr>
        <w:t>dans</w:t>
      </w:r>
      <w:r w:rsidR="00DB1635" w:rsidRPr="00B004EE">
        <w:rPr>
          <w:rFonts w:ascii="Tahoma" w:hAnsi="Tahoma" w:cs="Tahoma"/>
          <w:spacing w:val="-24"/>
          <w:sz w:val="20"/>
          <w:szCs w:val="20"/>
        </w:rPr>
        <w:t xml:space="preserve"> </w:t>
      </w:r>
      <w:r w:rsidRPr="00B004EE">
        <w:rPr>
          <w:rFonts w:ascii="Tahoma" w:hAnsi="Tahoma" w:cs="Tahoma"/>
          <w:sz w:val="20"/>
          <w:szCs w:val="20"/>
        </w:rPr>
        <w:t>le</w:t>
      </w:r>
      <w:r w:rsidR="00DB1635" w:rsidRPr="00B004EE">
        <w:rPr>
          <w:rFonts w:ascii="Tahoma" w:hAnsi="Tahoma" w:cs="Tahoma"/>
          <w:spacing w:val="-24"/>
          <w:sz w:val="20"/>
          <w:szCs w:val="20"/>
        </w:rPr>
        <w:t xml:space="preserve"> </w:t>
      </w:r>
      <w:r w:rsidRPr="00B004EE">
        <w:rPr>
          <w:rFonts w:ascii="Tahoma" w:hAnsi="Tahoma" w:cs="Tahoma"/>
          <w:sz w:val="20"/>
          <w:szCs w:val="20"/>
        </w:rPr>
        <w:t>cadre</w:t>
      </w:r>
      <w:r w:rsidR="00DB1635" w:rsidRPr="00B004EE">
        <w:rPr>
          <w:rFonts w:ascii="Tahoma" w:hAnsi="Tahoma" w:cs="Tahoma"/>
          <w:spacing w:val="-24"/>
          <w:sz w:val="20"/>
          <w:szCs w:val="20"/>
        </w:rPr>
        <w:t xml:space="preserve"> </w:t>
      </w:r>
      <w:r w:rsidRPr="00B004EE">
        <w:rPr>
          <w:rFonts w:ascii="Tahoma" w:hAnsi="Tahoma" w:cs="Tahoma"/>
          <w:sz w:val="20"/>
          <w:szCs w:val="20"/>
        </w:rPr>
        <w:t>du</w:t>
      </w:r>
      <w:r w:rsidR="00DB1635" w:rsidRPr="00B004EE">
        <w:rPr>
          <w:rFonts w:ascii="Tahoma" w:hAnsi="Tahoma" w:cs="Tahoma"/>
          <w:spacing w:val="-24"/>
          <w:sz w:val="20"/>
          <w:szCs w:val="20"/>
        </w:rPr>
        <w:t xml:space="preserve"> </w:t>
      </w:r>
      <w:r w:rsidRPr="00B004EE">
        <w:rPr>
          <w:rFonts w:ascii="Tahoma" w:hAnsi="Tahoma" w:cs="Tahoma"/>
          <w:sz w:val="20"/>
          <w:szCs w:val="20"/>
        </w:rPr>
        <w:t>régime</w:t>
      </w:r>
      <w:r w:rsidR="00DB1635" w:rsidRPr="00B004EE">
        <w:rPr>
          <w:rFonts w:ascii="Tahoma" w:hAnsi="Tahoma" w:cs="Tahoma"/>
          <w:spacing w:val="-23"/>
          <w:sz w:val="20"/>
          <w:szCs w:val="20"/>
        </w:rPr>
        <w:t xml:space="preserve"> </w:t>
      </w:r>
      <w:r w:rsidRPr="00B004EE">
        <w:rPr>
          <w:rFonts w:ascii="Tahoma" w:hAnsi="Tahoma" w:cs="Tahoma"/>
          <w:sz w:val="20"/>
          <w:szCs w:val="20"/>
        </w:rPr>
        <w:t>étranger</w:t>
      </w:r>
      <w:r w:rsidR="00DB1635" w:rsidRPr="00B004EE">
        <w:rPr>
          <w:rFonts w:ascii="Tahoma" w:hAnsi="Tahoma" w:cs="Tahoma"/>
          <w:spacing w:val="-24"/>
          <w:sz w:val="20"/>
          <w:szCs w:val="20"/>
        </w:rPr>
        <w:t xml:space="preserve"> </w:t>
      </w:r>
      <w:r w:rsidRPr="00B004EE">
        <w:rPr>
          <w:rFonts w:ascii="Tahoma" w:eastAsia="American Typewriter" w:hAnsi="Tahoma" w:cs="Tahoma"/>
          <w:sz w:val="20"/>
          <w:szCs w:val="20"/>
        </w:rPr>
        <w:t>pour</w:t>
      </w:r>
      <w:r w:rsidR="00DB1635" w:rsidRPr="00B004EE">
        <w:rPr>
          <w:rFonts w:ascii="Tahoma" w:eastAsia="American Typewriter" w:hAnsi="Tahoma" w:cs="Tahoma"/>
          <w:spacing w:val="-26"/>
          <w:sz w:val="20"/>
          <w:szCs w:val="20"/>
        </w:rPr>
        <w:t xml:space="preserve"> </w:t>
      </w:r>
      <w:r w:rsidRPr="00B004EE">
        <w:rPr>
          <w:rFonts w:ascii="Tahoma" w:eastAsia="American Typewriter" w:hAnsi="Tahoma" w:cs="Tahoma"/>
          <w:sz w:val="20"/>
          <w:szCs w:val="20"/>
        </w:rPr>
        <w:t>l’exploitation</w:t>
      </w:r>
      <w:r w:rsidR="00DB1635" w:rsidRPr="00B004EE">
        <w:rPr>
          <w:rFonts w:ascii="Tahoma" w:eastAsia="American Typewriter" w:hAnsi="Tahoma" w:cs="Tahoma"/>
          <w:spacing w:val="-25"/>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w w:val="94"/>
          <w:sz w:val="20"/>
          <w:szCs w:val="20"/>
        </w:rPr>
        <w:t xml:space="preserve"> </w:t>
      </w:r>
      <w:r w:rsidRPr="00B004EE">
        <w:rPr>
          <w:rFonts w:ascii="Tahoma" w:eastAsia="American Typewriter" w:hAnsi="Tahoma" w:cs="Tahoma"/>
          <w:sz w:val="20"/>
          <w:szCs w:val="20"/>
        </w:rPr>
        <w:t>concessions</w:t>
      </w:r>
      <w:r w:rsidR="00DB1635" w:rsidRPr="00B004EE">
        <w:rPr>
          <w:rFonts w:ascii="Tahoma" w:eastAsia="American Typewriter" w:hAnsi="Tahoma" w:cs="Tahoma"/>
          <w:spacing w:val="-29"/>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pacing w:val="-29"/>
          <w:sz w:val="20"/>
          <w:szCs w:val="20"/>
        </w:rPr>
        <w:t xml:space="preserve"> </w:t>
      </w:r>
      <w:r w:rsidRPr="00B004EE">
        <w:rPr>
          <w:rFonts w:ascii="Tahoma" w:eastAsia="American Typewriter" w:hAnsi="Tahoma" w:cs="Tahoma"/>
          <w:sz w:val="20"/>
          <w:szCs w:val="20"/>
        </w:rPr>
        <w:t>droits</w:t>
      </w:r>
      <w:r w:rsidR="00DB1635" w:rsidRPr="00B004EE">
        <w:rPr>
          <w:rFonts w:ascii="Tahoma" w:eastAsia="American Typewriter" w:hAnsi="Tahoma" w:cs="Tahoma"/>
          <w:spacing w:val="-29"/>
          <w:sz w:val="20"/>
          <w:szCs w:val="20"/>
        </w:rPr>
        <w:t xml:space="preserve"> </w:t>
      </w:r>
      <w:r w:rsidRPr="00B004EE">
        <w:rPr>
          <w:rFonts w:ascii="Tahoma" w:eastAsia="American Typewriter" w:hAnsi="Tahoma" w:cs="Tahoma"/>
          <w:sz w:val="20"/>
          <w:szCs w:val="20"/>
        </w:rPr>
        <w:t>d’usage</w:t>
      </w:r>
      <w:r w:rsidR="00DB1635" w:rsidRPr="00B004EE">
        <w:rPr>
          <w:rFonts w:ascii="Tahoma" w:eastAsia="American Typewriter" w:hAnsi="Tahoma" w:cs="Tahoma"/>
          <w:spacing w:val="-30"/>
          <w:sz w:val="20"/>
          <w:szCs w:val="20"/>
        </w:rPr>
        <w:t xml:space="preserve"> </w:t>
      </w:r>
      <w:r w:rsidRPr="00B004EE">
        <w:rPr>
          <w:rFonts w:ascii="Tahoma" w:eastAsia="American Typewriter" w:hAnsi="Tahoma" w:cs="Tahoma"/>
          <w:sz w:val="20"/>
          <w:szCs w:val="20"/>
        </w:rPr>
        <w:t>dans</w:t>
      </w:r>
      <w:r w:rsidR="00DB1635" w:rsidRPr="00B004EE">
        <w:rPr>
          <w:rFonts w:ascii="Tahoma" w:eastAsia="American Typewriter" w:hAnsi="Tahoma" w:cs="Tahoma"/>
          <w:spacing w:val="-30"/>
          <w:sz w:val="20"/>
          <w:szCs w:val="20"/>
        </w:rPr>
        <w:t xml:space="preserve"> </w:t>
      </w:r>
      <w:r w:rsidRPr="00B004EE">
        <w:rPr>
          <w:rFonts w:ascii="Tahoma" w:eastAsia="American Typewriter" w:hAnsi="Tahoma" w:cs="Tahoma"/>
          <w:sz w:val="20"/>
          <w:szCs w:val="20"/>
        </w:rPr>
        <w:t>les</w:t>
      </w:r>
      <w:r w:rsidR="00DB1635" w:rsidRPr="00B004EE">
        <w:rPr>
          <w:rFonts w:ascii="Tahoma" w:eastAsia="American Typewriter" w:hAnsi="Tahoma" w:cs="Tahoma"/>
          <w:spacing w:val="-30"/>
          <w:sz w:val="20"/>
          <w:szCs w:val="20"/>
        </w:rPr>
        <w:t xml:space="preserve"> </w:t>
      </w:r>
      <w:r w:rsidRPr="00B004EE">
        <w:rPr>
          <w:rFonts w:ascii="Tahoma" w:eastAsia="American Typewriter" w:hAnsi="Tahoma" w:cs="Tahoma"/>
          <w:sz w:val="20"/>
          <w:szCs w:val="20"/>
        </w:rPr>
        <w:t>eaux</w:t>
      </w:r>
      <w:r w:rsidR="00DB1635" w:rsidRPr="00B004EE">
        <w:rPr>
          <w:rFonts w:ascii="Tahoma" w:eastAsia="American Typewriter" w:hAnsi="Tahoma" w:cs="Tahoma"/>
          <w:spacing w:val="-30"/>
          <w:sz w:val="20"/>
          <w:szCs w:val="20"/>
        </w:rPr>
        <w:t xml:space="preserve"> </w:t>
      </w:r>
      <w:r w:rsidRPr="00B004EE">
        <w:rPr>
          <w:rFonts w:ascii="Tahoma" w:eastAsia="American Typewriter" w:hAnsi="Tahoma" w:cs="Tahoma"/>
          <w:sz w:val="20"/>
          <w:szCs w:val="20"/>
        </w:rPr>
        <w:t>sous</w:t>
      </w:r>
      <w:r w:rsidR="00DB1635" w:rsidRPr="00B004EE">
        <w:rPr>
          <w:rFonts w:ascii="Tahoma" w:eastAsia="American Typewriter" w:hAnsi="Tahoma" w:cs="Tahoma"/>
          <w:spacing w:val="-30"/>
          <w:sz w:val="20"/>
          <w:szCs w:val="20"/>
        </w:rPr>
        <w:t xml:space="preserve"> </w:t>
      </w:r>
      <w:r w:rsidRPr="00B004EE">
        <w:rPr>
          <w:rFonts w:ascii="Tahoma" w:eastAsia="American Typewriter" w:hAnsi="Tahoma" w:cs="Tahoma"/>
          <w:sz w:val="20"/>
          <w:szCs w:val="20"/>
        </w:rPr>
        <w:t>juridiction</w:t>
      </w:r>
      <w:r w:rsidR="00DB1635" w:rsidRPr="00B004EE">
        <w:rPr>
          <w:rFonts w:ascii="Tahoma" w:eastAsia="American Typewriter" w:hAnsi="Tahoma" w:cs="Tahoma"/>
          <w:spacing w:val="-30"/>
          <w:sz w:val="20"/>
          <w:szCs w:val="20"/>
        </w:rPr>
        <w:t xml:space="preserve"> </w:t>
      </w:r>
      <w:r w:rsidRPr="00B004EE">
        <w:rPr>
          <w:rFonts w:ascii="Tahoma" w:eastAsia="American Typewriter" w:hAnsi="Tahoma" w:cs="Tahoma"/>
          <w:sz w:val="20"/>
          <w:szCs w:val="20"/>
        </w:rPr>
        <w:t>mauritanienne</w:t>
      </w:r>
      <w:r w:rsidR="00DB1635" w:rsidRPr="00B004EE">
        <w:rPr>
          <w:rFonts w:ascii="Tahoma" w:eastAsia="American Typewriter" w:hAnsi="Tahoma" w:cs="Tahoma"/>
          <w:spacing w:val="-30"/>
          <w:sz w:val="20"/>
          <w:szCs w:val="20"/>
        </w:rPr>
        <w:t xml:space="preserve"> </w:t>
      </w:r>
      <w:r w:rsidRPr="00B004EE">
        <w:rPr>
          <w:rFonts w:ascii="Tahoma" w:eastAsia="American Typewriter" w:hAnsi="Tahoma" w:cs="Tahoma"/>
          <w:sz w:val="20"/>
          <w:szCs w:val="20"/>
        </w:rPr>
        <w:t>doivent</w:t>
      </w:r>
      <w:r w:rsidR="00DB1635" w:rsidRPr="00B004EE">
        <w:rPr>
          <w:rFonts w:ascii="Tahoma" w:eastAsia="American Typewriter" w:hAnsi="Tahoma" w:cs="Tahoma"/>
          <w:w w:val="95"/>
          <w:sz w:val="20"/>
          <w:szCs w:val="20"/>
        </w:rPr>
        <w:t xml:space="preserve"> </w:t>
      </w:r>
      <w:r w:rsidRPr="00B004EE">
        <w:rPr>
          <w:rFonts w:ascii="Tahoma" w:hAnsi="Tahoma" w:cs="Tahoma"/>
          <w:w w:val="95"/>
          <w:sz w:val="20"/>
          <w:szCs w:val="20"/>
        </w:rPr>
        <w:t>notamment</w:t>
      </w:r>
      <w:r w:rsidR="00DB1635" w:rsidRPr="00B004EE">
        <w:rPr>
          <w:rFonts w:ascii="Tahoma" w:hAnsi="Tahoma" w:cs="Tahoma"/>
          <w:spacing w:val="21"/>
          <w:w w:val="95"/>
          <w:sz w:val="20"/>
          <w:szCs w:val="20"/>
        </w:rPr>
        <w:t xml:space="preserve"> </w:t>
      </w:r>
      <w:r w:rsidRPr="00B004EE">
        <w:rPr>
          <w:rFonts w:ascii="Tahoma" w:hAnsi="Tahoma" w:cs="Tahoma"/>
          <w:w w:val="95"/>
          <w:sz w:val="20"/>
          <w:szCs w:val="20"/>
        </w:rPr>
        <w:t>:</w:t>
      </w:r>
    </w:p>
    <w:p w14:paraId="11820E5E" w14:textId="77777777" w:rsidR="00E50532" w:rsidRPr="00B004EE" w:rsidRDefault="00E50532" w:rsidP="00B004EE">
      <w:pPr>
        <w:pStyle w:val="Corpsdetexte"/>
        <w:ind w:right="160"/>
        <w:rPr>
          <w:rFonts w:ascii="Tahoma" w:hAnsi="Tahoma" w:cs="Tahoma"/>
          <w:sz w:val="20"/>
          <w:szCs w:val="20"/>
        </w:rPr>
      </w:pPr>
    </w:p>
    <w:p w14:paraId="7B2628D9" w14:textId="340E5EB7" w:rsidR="001E7C3C" w:rsidRPr="00B004EE" w:rsidRDefault="001E7C3C" w:rsidP="00420DDA">
      <w:pPr>
        <w:pStyle w:val="Paragraphedeliste"/>
        <w:widowControl w:val="0"/>
        <w:numPr>
          <w:ilvl w:val="1"/>
          <w:numId w:val="28"/>
        </w:numPr>
        <w:tabs>
          <w:tab w:val="left" w:pos="1154"/>
        </w:tabs>
        <w:ind w:left="426" w:right="161"/>
        <w:jc w:val="both"/>
        <w:rPr>
          <w:rFonts w:ascii="Tahoma" w:eastAsia="American Typewriter" w:hAnsi="Tahoma" w:cs="Tahoma"/>
          <w:sz w:val="20"/>
          <w:szCs w:val="20"/>
        </w:rPr>
      </w:pPr>
      <w:proofErr w:type="gramStart"/>
      <w:r w:rsidRPr="00B004EE">
        <w:rPr>
          <w:rFonts w:ascii="Tahoma" w:hAnsi="Tahoma" w:cs="Tahoma"/>
          <w:sz w:val="20"/>
          <w:szCs w:val="20"/>
        </w:rPr>
        <w:t>spécifier</w:t>
      </w:r>
      <w:proofErr w:type="gramEnd"/>
      <w:r w:rsidR="00DB1635" w:rsidRPr="00B004EE">
        <w:rPr>
          <w:rFonts w:ascii="Tahoma" w:hAnsi="Tahoma" w:cs="Tahoma"/>
          <w:spacing w:val="-30"/>
          <w:sz w:val="20"/>
          <w:szCs w:val="20"/>
        </w:rPr>
        <w:t xml:space="preserve"> </w:t>
      </w:r>
      <w:r w:rsidRPr="00B004EE">
        <w:rPr>
          <w:rFonts w:ascii="Tahoma" w:hAnsi="Tahoma" w:cs="Tahoma"/>
          <w:sz w:val="20"/>
          <w:szCs w:val="20"/>
        </w:rPr>
        <w:t>le</w:t>
      </w:r>
      <w:r w:rsidR="00DB1635" w:rsidRPr="00B004EE">
        <w:rPr>
          <w:rFonts w:ascii="Tahoma" w:hAnsi="Tahoma" w:cs="Tahoma"/>
          <w:spacing w:val="-30"/>
          <w:sz w:val="20"/>
          <w:szCs w:val="20"/>
        </w:rPr>
        <w:t xml:space="preserve"> </w:t>
      </w:r>
      <w:r w:rsidRPr="00B004EE">
        <w:rPr>
          <w:rFonts w:ascii="Tahoma" w:hAnsi="Tahoma" w:cs="Tahoma"/>
          <w:sz w:val="20"/>
          <w:szCs w:val="20"/>
        </w:rPr>
        <w:t>nombre</w:t>
      </w:r>
      <w:r w:rsidR="00DB1635" w:rsidRPr="00B004EE">
        <w:rPr>
          <w:rFonts w:ascii="Tahoma" w:hAnsi="Tahoma" w:cs="Tahoma"/>
          <w:spacing w:val="-30"/>
          <w:sz w:val="20"/>
          <w:szCs w:val="20"/>
        </w:rPr>
        <w:t xml:space="preserve"> </w:t>
      </w:r>
      <w:r w:rsidRPr="00B004EE">
        <w:rPr>
          <w:rFonts w:ascii="Tahoma" w:hAnsi="Tahoma" w:cs="Tahoma"/>
          <w:sz w:val="20"/>
          <w:szCs w:val="20"/>
        </w:rPr>
        <w:t>et</w:t>
      </w:r>
      <w:r w:rsidR="00DB1635" w:rsidRPr="00B004EE">
        <w:rPr>
          <w:rFonts w:ascii="Tahoma" w:hAnsi="Tahoma" w:cs="Tahoma"/>
          <w:spacing w:val="-30"/>
          <w:sz w:val="20"/>
          <w:szCs w:val="20"/>
        </w:rPr>
        <w:t xml:space="preserve"> </w:t>
      </w:r>
      <w:r w:rsidRPr="00B004EE">
        <w:rPr>
          <w:rFonts w:ascii="Tahoma" w:hAnsi="Tahoma" w:cs="Tahoma"/>
          <w:sz w:val="20"/>
          <w:szCs w:val="20"/>
        </w:rPr>
        <w:t>les</w:t>
      </w:r>
      <w:r w:rsidR="00DB1635" w:rsidRPr="00B004EE">
        <w:rPr>
          <w:rFonts w:ascii="Tahoma" w:hAnsi="Tahoma" w:cs="Tahoma"/>
          <w:spacing w:val="-30"/>
          <w:sz w:val="20"/>
          <w:szCs w:val="20"/>
        </w:rPr>
        <w:t xml:space="preserve"> </w:t>
      </w:r>
      <w:r w:rsidRPr="00B004EE">
        <w:rPr>
          <w:rFonts w:ascii="Tahoma" w:hAnsi="Tahoma" w:cs="Tahoma"/>
          <w:sz w:val="20"/>
          <w:szCs w:val="20"/>
        </w:rPr>
        <w:t>caractéristiques</w:t>
      </w:r>
      <w:r w:rsidR="00DB1635" w:rsidRPr="00B004EE">
        <w:rPr>
          <w:rFonts w:ascii="Tahoma" w:hAnsi="Tahoma" w:cs="Tahoma"/>
          <w:spacing w:val="-30"/>
          <w:sz w:val="20"/>
          <w:szCs w:val="20"/>
        </w:rPr>
        <w:t xml:space="preserve"> </w:t>
      </w:r>
      <w:r w:rsidRPr="00B004EE">
        <w:rPr>
          <w:rFonts w:ascii="Tahoma" w:hAnsi="Tahoma" w:cs="Tahoma"/>
          <w:sz w:val="20"/>
          <w:szCs w:val="20"/>
        </w:rPr>
        <w:t>techniques</w:t>
      </w:r>
      <w:r w:rsidR="00DB1635" w:rsidRPr="00B004EE">
        <w:rPr>
          <w:rFonts w:ascii="Tahoma" w:hAnsi="Tahoma" w:cs="Tahoma"/>
          <w:spacing w:val="-30"/>
          <w:sz w:val="20"/>
          <w:szCs w:val="20"/>
        </w:rPr>
        <w:t xml:space="preserve"> </w:t>
      </w:r>
      <w:r w:rsidRPr="00B004EE">
        <w:rPr>
          <w:rFonts w:ascii="Tahoma" w:hAnsi="Tahoma" w:cs="Tahoma"/>
          <w:sz w:val="20"/>
          <w:szCs w:val="20"/>
        </w:rPr>
        <w:t>des</w:t>
      </w:r>
      <w:r w:rsidR="00DB1635" w:rsidRPr="00B004EE">
        <w:rPr>
          <w:rFonts w:ascii="Tahoma" w:hAnsi="Tahoma" w:cs="Tahoma"/>
          <w:spacing w:val="-31"/>
          <w:sz w:val="20"/>
          <w:szCs w:val="20"/>
        </w:rPr>
        <w:t xml:space="preserve"> </w:t>
      </w:r>
      <w:r w:rsidRPr="00B004EE">
        <w:rPr>
          <w:rFonts w:ascii="Tahoma" w:hAnsi="Tahoma" w:cs="Tahoma"/>
          <w:sz w:val="20"/>
          <w:szCs w:val="20"/>
        </w:rPr>
        <w:t>navires</w:t>
      </w:r>
      <w:r w:rsidR="00DB1635" w:rsidRPr="00B004EE">
        <w:rPr>
          <w:rFonts w:ascii="Tahoma" w:hAnsi="Tahoma" w:cs="Tahoma"/>
          <w:spacing w:val="-31"/>
          <w:sz w:val="20"/>
          <w:szCs w:val="20"/>
        </w:rPr>
        <w:t xml:space="preserve"> </w:t>
      </w:r>
      <w:r w:rsidRPr="00B004EE">
        <w:rPr>
          <w:rFonts w:ascii="Tahoma" w:hAnsi="Tahoma" w:cs="Tahoma"/>
          <w:sz w:val="20"/>
          <w:szCs w:val="20"/>
        </w:rPr>
        <w:t>de</w:t>
      </w:r>
      <w:r w:rsidR="00DB1635" w:rsidRPr="00B004EE">
        <w:rPr>
          <w:rFonts w:ascii="Tahoma" w:hAnsi="Tahoma" w:cs="Tahoma"/>
          <w:spacing w:val="-31"/>
          <w:sz w:val="20"/>
          <w:szCs w:val="20"/>
        </w:rPr>
        <w:t xml:space="preserve"> </w:t>
      </w:r>
      <w:r w:rsidRPr="00B004EE">
        <w:rPr>
          <w:rFonts w:ascii="Tahoma" w:hAnsi="Tahoma" w:cs="Tahoma"/>
          <w:sz w:val="20"/>
          <w:szCs w:val="20"/>
        </w:rPr>
        <w:t>pêche</w:t>
      </w:r>
      <w:r w:rsidR="00DB1635" w:rsidRPr="00B004EE">
        <w:rPr>
          <w:rFonts w:ascii="Tahoma" w:hAnsi="Tahoma" w:cs="Tahoma"/>
          <w:w w:val="95"/>
          <w:sz w:val="20"/>
          <w:szCs w:val="20"/>
        </w:rPr>
        <w:t xml:space="preserve"> </w:t>
      </w:r>
      <w:r w:rsidRPr="00B004EE">
        <w:rPr>
          <w:rFonts w:ascii="Tahoma" w:hAnsi="Tahoma" w:cs="Tahoma"/>
          <w:sz w:val="20"/>
          <w:szCs w:val="20"/>
        </w:rPr>
        <w:t>dont</w:t>
      </w:r>
      <w:r w:rsidR="00DB1635" w:rsidRPr="00B004EE">
        <w:rPr>
          <w:rFonts w:ascii="Tahoma" w:hAnsi="Tahoma" w:cs="Tahoma"/>
          <w:spacing w:val="-18"/>
          <w:sz w:val="20"/>
          <w:szCs w:val="20"/>
        </w:rPr>
        <w:t xml:space="preserve"> </w:t>
      </w:r>
      <w:r w:rsidRPr="00B004EE">
        <w:rPr>
          <w:rFonts w:ascii="Tahoma" w:hAnsi="Tahoma" w:cs="Tahoma"/>
          <w:sz w:val="20"/>
          <w:szCs w:val="20"/>
        </w:rPr>
        <w:t>les</w:t>
      </w:r>
      <w:r w:rsidR="00DB1635" w:rsidRPr="00B004EE">
        <w:rPr>
          <w:rFonts w:ascii="Tahoma" w:hAnsi="Tahoma" w:cs="Tahoma"/>
          <w:spacing w:val="-19"/>
          <w:sz w:val="20"/>
          <w:szCs w:val="20"/>
        </w:rPr>
        <w:t xml:space="preserve"> </w:t>
      </w:r>
      <w:r w:rsidRPr="00B004EE">
        <w:rPr>
          <w:rFonts w:ascii="Tahoma" w:hAnsi="Tahoma" w:cs="Tahoma"/>
          <w:sz w:val="20"/>
          <w:szCs w:val="20"/>
        </w:rPr>
        <w:t>opérations</w:t>
      </w:r>
      <w:r w:rsidR="00DB1635" w:rsidRPr="00B004EE">
        <w:rPr>
          <w:rFonts w:ascii="Tahoma" w:hAnsi="Tahoma" w:cs="Tahoma"/>
          <w:spacing w:val="-19"/>
          <w:sz w:val="20"/>
          <w:szCs w:val="20"/>
        </w:rPr>
        <w:t xml:space="preserve"> </w:t>
      </w:r>
      <w:r w:rsidRPr="00B004EE">
        <w:rPr>
          <w:rFonts w:ascii="Tahoma" w:hAnsi="Tahoma" w:cs="Tahoma"/>
          <w:sz w:val="20"/>
          <w:szCs w:val="20"/>
        </w:rPr>
        <w:t>sont</w:t>
      </w:r>
      <w:r w:rsidR="00DB1635" w:rsidRPr="00B004EE">
        <w:rPr>
          <w:rFonts w:ascii="Tahoma" w:hAnsi="Tahoma" w:cs="Tahoma"/>
          <w:spacing w:val="-18"/>
          <w:sz w:val="20"/>
          <w:szCs w:val="20"/>
        </w:rPr>
        <w:t xml:space="preserve"> </w:t>
      </w:r>
      <w:r w:rsidRPr="00B004EE">
        <w:rPr>
          <w:rFonts w:ascii="Tahoma" w:hAnsi="Tahoma" w:cs="Tahoma"/>
          <w:sz w:val="20"/>
          <w:szCs w:val="20"/>
        </w:rPr>
        <w:t>permises</w:t>
      </w:r>
      <w:r w:rsidR="00DB1635" w:rsidRPr="00B004EE">
        <w:rPr>
          <w:rFonts w:ascii="Tahoma" w:hAnsi="Tahoma" w:cs="Tahoma"/>
          <w:spacing w:val="-19"/>
          <w:sz w:val="20"/>
          <w:szCs w:val="20"/>
        </w:rPr>
        <w:t xml:space="preserve"> </w:t>
      </w:r>
      <w:r w:rsidRPr="00B004EE">
        <w:rPr>
          <w:rFonts w:ascii="Tahoma" w:hAnsi="Tahoma" w:cs="Tahoma"/>
          <w:sz w:val="20"/>
          <w:szCs w:val="20"/>
        </w:rPr>
        <w:t>ainsi</w:t>
      </w:r>
      <w:r w:rsidR="00DB1635" w:rsidRPr="00B004EE">
        <w:rPr>
          <w:rFonts w:ascii="Tahoma" w:hAnsi="Tahoma" w:cs="Tahoma"/>
          <w:spacing w:val="-18"/>
          <w:sz w:val="20"/>
          <w:szCs w:val="20"/>
        </w:rPr>
        <w:t xml:space="preserve"> </w:t>
      </w:r>
      <w:r w:rsidRPr="00B004EE">
        <w:rPr>
          <w:rFonts w:ascii="Tahoma" w:hAnsi="Tahoma" w:cs="Tahoma"/>
          <w:sz w:val="20"/>
          <w:szCs w:val="20"/>
        </w:rPr>
        <w:t>que</w:t>
      </w:r>
      <w:r w:rsidR="00DB1635" w:rsidRPr="00B004EE">
        <w:rPr>
          <w:rFonts w:ascii="Tahoma" w:hAnsi="Tahoma" w:cs="Tahoma"/>
          <w:spacing w:val="-19"/>
          <w:sz w:val="20"/>
          <w:szCs w:val="20"/>
        </w:rPr>
        <w:t xml:space="preserve"> </w:t>
      </w:r>
      <w:r w:rsidRPr="00B004EE">
        <w:rPr>
          <w:rFonts w:ascii="Tahoma" w:hAnsi="Tahoma" w:cs="Tahoma"/>
          <w:sz w:val="20"/>
          <w:szCs w:val="20"/>
        </w:rPr>
        <w:t>les</w:t>
      </w:r>
      <w:r w:rsidR="00DB1635" w:rsidRPr="00B004EE">
        <w:rPr>
          <w:rFonts w:ascii="Tahoma" w:hAnsi="Tahoma" w:cs="Tahoma"/>
          <w:spacing w:val="-19"/>
          <w:sz w:val="20"/>
          <w:szCs w:val="20"/>
        </w:rPr>
        <w:t xml:space="preserve"> </w:t>
      </w:r>
      <w:r w:rsidRPr="00B004EE">
        <w:rPr>
          <w:rFonts w:ascii="Tahoma" w:hAnsi="Tahoma" w:cs="Tahoma"/>
          <w:sz w:val="20"/>
          <w:szCs w:val="20"/>
        </w:rPr>
        <w:t>types</w:t>
      </w:r>
      <w:r w:rsidR="00DB1635" w:rsidRPr="00B004EE">
        <w:rPr>
          <w:rFonts w:ascii="Tahoma" w:hAnsi="Tahoma" w:cs="Tahoma"/>
          <w:spacing w:val="-19"/>
          <w:sz w:val="20"/>
          <w:szCs w:val="20"/>
        </w:rPr>
        <w:t xml:space="preserve"> </w:t>
      </w:r>
      <w:r w:rsidRPr="00B004EE">
        <w:rPr>
          <w:rFonts w:ascii="Tahoma" w:hAnsi="Tahoma" w:cs="Tahoma"/>
          <w:sz w:val="20"/>
          <w:szCs w:val="20"/>
        </w:rPr>
        <w:t>de</w:t>
      </w:r>
      <w:r w:rsidR="00DB1635" w:rsidRPr="00B004EE">
        <w:rPr>
          <w:rFonts w:ascii="Tahoma" w:hAnsi="Tahoma" w:cs="Tahoma"/>
          <w:spacing w:val="-18"/>
          <w:sz w:val="20"/>
          <w:szCs w:val="20"/>
        </w:rPr>
        <w:t xml:space="preserve"> </w:t>
      </w:r>
      <w:r w:rsidRPr="00B004EE">
        <w:rPr>
          <w:rFonts w:ascii="Tahoma" w:hAnsi="Tahoma" w:cs="Tahoma"/>
          <w:sz w:val="20"/>
          <w:szCs w:val="20"/>
        </w:rPr>
        <w:t>pêche,</w:t>
      </w:r>
      <w:r w:rsidR="00DB1635" w:rsidRPr="00B004EE">
        <w:rPr>
          <w:rFonts w:ascii="Tahoma" w:hAnsi="Tahoma" w:cs="Tahoma"/>
          <w:spacing w:val="-18"/>
          <w:sz w:val="20"/>
          <w:szCs w:val="20"/>
        </w:rPr>
        <w:t xml:space="preserve"> </w:t>
      </w:r>
      <w:r w:rsidRPr="00B004EE">
        <w:rPr>
          <w:rFonts w:ascii="Tahoma" w:hAnsi="Tahoma" w:cs="Tahoma"/>
          <w:sz w:val="20"/>
          <w:szCs w:val="20"/>
        </w:rPr>
        <w:t>les</w:t>
      </w:r>
      <w:r w:rsidR="00DB1635" w:rsidRPr="00B004EE">
        <w:rPr>
          <w:rFonts w:ascii="Tahoma" w:hAnsi="Tahoma" w:cs="Tahoma"/>
          <w:spacing w:val="-19"/>
          <w:sz w:val="20"/>
          <w:szCs w:val="20"/>
        </w:rPr>
        <w:t xml:space="preserve"> </w:t>
      </w:r>
      <w:r w:rsidRPr="00B004EE">
        <w:rPr>
          <w:rFonts w:ascii="Tahoma" w:hAnsi="Tahoma" w:cs="Tahoma"/>
          <w:sz w:val="20"/>
          <w:szCs w:val="20"/>
        </w:rPr>
        <w:t>espèces</w:t>
      </w:r>
      <w:r w:rsidR="00DB1635" w:rsidRPr="00B004EE">
        <w:rPr>
          <w:rFonts w:ascii="Tahoma" w:hAnsi="Tahoma" w:cs="Tahoma"/>
          <w:w w:val="94"/>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tonnages</w:t>
      </w:r>
      <w:r w:rsidR="00DB1635" w:rsidRPr="00B004EE">
        <w:rPr>
          <w:rFonts w:ascii="Tahoma" w:hAnsi="Tahoma" w:cs="Tahoma"/>
          <w:sz w:val="20"/>
          <w:szCs w:val="20"/>
        </w:rPr>
        <w:t xml:space="preserve"> </w:t>
      </w:r>
      <w:r w:rsidRPr="00B004EE">
        <w:rPr>
          <w:rFonts w:ascii="Tahoma" w:hAnsi="Tahoma" w:cs="Tahoma"/>
          <w:sz w:val="20"/>
          <w:szCs w:val="20"/>
        </w:rPr>
        <w:t>dont</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capture</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autorisée</w:t>
      </w:r>
      <w:r w:rsidR="00DB1635" w:rsidRPr="00B004EE">
        <w:rPr>
          <w:rFonts w:ascii="Tahoma" w:hAnsi="Tahoma" w:cs="Tahoma"/>
          <w:spacing w:val="18"/>
          <w:sz w:val="20"/>
          <w:szCs w:val="20"/>
        </w:rPr>
        <w:t xml:space="preserve"> </w:t>
      </w:r>
      <w:r w:rsidRPr="00B004EE">
        <w:rPr>
          <w:rFonts w:ascii="Tahoma" w:hAnsi="Tahoma" w:cs="Tahoma"/>
          <w:sz w:val="20"/>
          <w:szCs w:val="20"/>
        </w:rPr>
        <w:t>;</w:t>
      </w:r>
    </w:p>
    <w:p w14:paraId="01FA1774" w14:textId="73FF3BAD" w:rsidR="001E7C3C" w:rsidRPr="00B004EE" w:rsidRDefault="001E7C3C" w:rsidP="00420DDA">
      <w:pPr>
        <w:pStyle w:val="Paragraphedeliste"/>
        <w:widowControl w:val="0"/>
        <w:numPr>
          <w:ilvl w:val="1"/>
          <w:numId w:val="28"/>
        </w:numPr>
        <w:tabs>
          <w:tab w:val="left" w:pos="1154"/>
        </w:tabs>
        <w:ind w:left="426" w:right="165"/>
        <w:jc w:val="both"/>
        <w:rPr>
          <w:rFonts w:ascii="Tahoma" w:eastAsia="American Typewriter" w:hAnsi="Tahoma" w:cs="Tahoma"/>
          <w:sz w:val="20"/>
          <w:szCs w:val="20"/>
        </w:rPr>
      </w:pPr>
      <w:proofErr w:type="gramStart"/>
      <w:r w:rsidRPr="00B004EE">
        <w:rPr>
          <w:rFonts w:ascii="Tahoma" w:eastAsia="American Typewriter" w:hAnsi="Tahoma" w:cs="Tahoma"/>
          <w:sz w:val="20"/>
          <w:szCs w:val="20"/>
        </w:rPr>
        <w:t>spécifier</w:t>
      </w:r>
      <w:proofErr w:type="gramEnd"/>
      <w:r w:rsidRPr="00B004EE">
        <w:rPr>
          <w:rFonts w:ascii="Tahoma" w:eastAsia="American Typewriter" w:hAnsi="Tahoma" w:cs="Tahoma"/>
          <w:sz w:val="20"/>
          <w:szCs w:val="20"/>
        </w:rPr>
        <w:t>,</w:t>
      </w:r>
      <w:r w:rsidR="00DB1635" w:rsidRPr="00B004EE">
        <w:rPr>
          <w:rFonts w:ascii="Tahoma" w:eastAsia="American Typewriter" w:hAnsi="Tahoma" w:cs="Tahoma"/>
          <w:spacing w:val="-10"/>
          <w:sz w:val="20"/>
          <w:szCs w:val="20"/>
        </w:rPr>
        <w:t xml:space="preserve"> </w:t>
      </w:r>
      <w:r w:rsidRPr="00B004EE">
        <w:rPr>
          <w:rFonts w:ascii="Tahoma" w:eastAsia="American Typewriter" w:hAnsi="Tahoma" w:cs="Tahoma"/>
          <w:sz w:val="20"/>
          <w:szCs w:val="20"/>
        </w:rPr>
        <w:t>le</w:t>
      </w:r>
      <w:r w:rsidR="00DB1635" w:rsidRPr="00B004EE">
        <w:rPr>
          <w:rFonts w:ascii="Tahoma" w:eastAsia="American Typewriter" w:hAnsi="Tahoma" w:cs="Tahoma"/>
          <w:spacing w:val="-10"/>
          <w:sz w:val="20"/>
          <w:szCs w:val="20"/>
        </w:rPr>
        <w:t xml:space="preserve"> </w:t>
      </w:r>
      <w:r w:rsidRPr="00B004EE">
        <w:rPr>
          <w:rFonts w:ascii="Tahoma" w:eastAsia="American Typewriter" w:hAnsi="Tahoma" w:cs="Tahoma"/>
          <w:sz w:val="20"/>
          <w:szCs w:val="20"/>
        </w:rPr>
        <w:t>cas</w:t>
      </w:r>
      <w:r w:rsidR="00DB1635" w:rsidRPr="00B004EE">
        <w:rPr>
          <w:rFonts w:ascii="Tahoma" w:eastAsia="American Typewriter" w:hAnsi="Tahoma" w:cs="Tahoma"/>
          <w:spacing w:val="-11"/>
          <w:sz w:val="20"/>
          <w:szCs w:val="20"/>
        </w:rPr>
        <w:t xml:space="preserve"> </w:t>
      </w:r>
      <w:r w:rsidRPr="00B004EE">
        <w:rPr>
          <w:rFonts w:ascii="Tahoma" w:eastAsia="American Typewriter" w:hAnsi="Tahoma" w:cs="Tahoma"/>
          <w:sz w:val="20"/>
          <w:szCs w:val="20"/>
        </w:rPr>
        <w:t>échéant,</w:t>
      </w:r>
      <w:r w:rsidR="00DB1635" w:rsidRPr="00B004EE">
        <w:rPr>
          <w:rFonts w:ascii="Tahoma" w:eastAsia="American Typewriter" w:hAnsi="Tahoma" w:cs="Tahoma"/>
          <w:spacing w:val="-10"/>
          <w:sz w:val="20"/>
          <w:szCs w:val="20"/>
        </w:rPr>
        <w:t xml:space="preserve"> </w:t>
      </w:r>
      <w:r w:rsidRPr="00B004EE">
        <w:rPr>
          <w:rFonts w:ascii="Tahoma" w:eastAsia="American Typewriter" w:hAnsi="Tahoma" w:cs="Tahoma"/>
          <w:sz w:val="20"/>
          <w:szCs w:val="20"/>
        </w:rPr>
        <w:t>le</w:t>
      </w:r>
      <w:r w:rsidR="00DB1635" w:rsidRPr="00B004EE">
        <w:rPr>
          <w:rFonts w:ascii="Tahoma" w:eastAsia="American Typewriter" w:hAnsi="Tahoma" w:cs="Tahoma"/>
          <w:spacing w:val="-12"/>
          <w:sz w:val="20"/>
          <w:szCs w:val="20"/>
        </w:rPr>
        <w:t xml:space="preserve"> </w:t>
      </w:r>
      <w:r w:rsidRPr="00B004EE">
        <w:rPr>
          <w:rFonts w:ascii="Tahoma" w:eastAsia="American Typewriter" w:hAnsi="Tahoma" w:cs="Tahoma"/>
          <w:sz w:val="20"/>
          <w:szCs w:val="20"/>
        </w:rPr>
        <w:t>nombre</w:t>
      </w:r>
      <w:r w:rsidR="00DB1635" w:rsidRPr="00B004EE">
        <w:rPr>
          <w:rFonts w:ascii="Tahoma" w:eastAsia="American Typewriter" w:hAnsi="Tahoma" w:cs="Tahoma"/>
          <w:spacing w:val="-12"/>
          <w:sz w:val="20"/>
          <w:szCs w:val="20"/>
        </w:rPr>
        <w:t xml:space="preserve"> </w:t>
      </w:r>
      <w:r w:rsidRPr="00B004EE">
        <w:rPr>
          <w:rFonts w:ascii="Tahoma" w:eastAsia="American Typewriter" w:hAnsi="Tahoma" w:cs="Tahoma"/>
          <w:sz w:val="20"/>
          <w:szCs w:val="20"/>
        </w:rPr>
        <w:t>et</w:t>
      </w:r>
      <w:r w:rsidR="00DB1635" w:rsidRPr="00B004EE">
        <w:rPr>
          <w:rFonts w:ascii="Tahoma" w:eastAsia="American Typewriter" w:hAnsi="Tahoma" w:cs="Tahoma"/>
          <w:spacing w:val="-12"/>
          <w:sz w:val="20"/>
          <w:szCs w:val="20"/>
        </w:rPr>
        <w:t xml:space="preserve"> </w:t>
      </w:r>
      <w:r w:rsidRPr="00B004EE">
        <w:rPr>
          <w:rFonts w:ascii="Tahoma" w:eastAsia="American Typewriter" w:hAnsi="Tahoma" w:cs="Tahoma"/>
          <w:sz w:val="20"/>
          <w:szCs w:val="20"/>
        </w:rPr>
        <w:t>les</w:t>
      </w:r>
      <w:r w:rsidR="00DB1635" w:rsidRPr="00B004EE">
        <w:rPr>
          <w:rFonts w:ascii="Tahoma" w:eastAsia="American Typewriter" w:hAnsi="Tahoma" w:cs="Tahoma"/>
          <w:spacing w:val="-12"/>
          <w:sz w:val="20"/>
          <w:szCs w:val="20"/>
        </w:rPr>
        <w:t xml:space="preserve"> </w:t>
      </w:r>
      <w:r w:rsidRPr="00B004EE">
        <w:rPr>
          <w:rFonts w:ascii="Tahoma" w:eastAsia="American Typewriter" w:hAnsi="Tahoma" w:cs="Tahoma"/>
          <w:sz w:val="20"/>
          <w:szCs w:val="20"/>
        </w:rPr>
        <w:t>caractéristiques</w:t>
      </w:r>
      <w:r w:rsidR="00DB1635" w:rsidRPr="00B004EE">
        <w:rPr>
          <w:rFonts w:ascii="Tahoma" w:eastAsia="American Typewriter" w:hAnsi="Tahoma" w:cs="Tahoma"/>
          <w:spacing w:val="-12"/>
          <w:sz w:val="20"/>
          <w:szCs w:val="20"/>
        </w:rPr>
        <w:t xml:space="preserve"> </w:t>
      </w:r>
      <w:r w:rsidRPr="00B004EE">
        <w:rPr>
          <w:rFonts w:ascii="Tahoma" w:eastAsia="American Typewriter" w:hAnsi="Tahoma" w:cs="Tahoma"/>
          <w:sz w:val="20"/>
          <w:szCs w:val="20"/>
        </w:rPr>
        <w:t>techniques</w:t>
      </w:r>
      <w:r w:rsidR="00DB1635" w:rsidRPr="00B004EE">
        <w:rPr>
          <w:rFonts w:ascii="Tahoma" w:eastAsia="American Typewriter" w:hAnsi="Tahoma" w:cs="Tahoma"/>
          <w:spacing w:val="-12"/>
          <w:sz w:val="20"/>
          <w:szCs w:val="20"/>
        </w:rPr>
        <w:t xml:space="preserve"> </w:t>
      </w:r>
      <w:r w:rsidRPr="00B004EE">
        <w:rPr>
          <w:rFonts w:ascii="Tahoma" w:eastAsia="American Typewriter" w:hAnsi="Tahoma" w:cs="Tahoma"/>
          <w:sz w:val="20"/>
          <w:szCs w:val="20"/>
        </w:rPr>
        <w:t>des</w:t>
      </w:r>
      <w:r w:rsidR="00DB1635" w:rsidRPr="00B004EE">
        <w:rPr>
          <w:rFonts w:ascii="Tahoma" w:eastAsia="American Typewriter" w:hAnsi="Tahoma" w:cs="Tahoma"/>
          <w:w w:val="94"/>
          <w:sz w:val="20"/>
          <w:szCs w:val="20"/>
        </w:rPr>
        <w:t xml:space="preserve"> </w:t>
      </w:r>
      <w:r w:rsidRPr="00B004EE">
        <w:rPr>
          <w:rFonts w:ascii="Tahoma" w:eastAsia="American Typewriter" w:hAnsi="Tahoma" w:cs="Tahoma"/>
          <w:sz w:val="20"/>
          <w:szCs w:val="20"/>
        </w:rPr>
        <w:t>navires</w:t>
      </w:r>
      <w:r w:rsidR="00DB1635" w:rsidRPr="00B004EE">
        <w:rPr>
          <w:rFonts w:ascii="Tahoma" w:eastAsia="American Typewriter" w:hAnsi="Tahoma" w:cs="Tahoma"/>
          <w:spacing w:val="-25"/>
          <w:sz w:val="20"/>
          <w:szCs w:val="20"/>
        </w:rPr>
        <w:t xml:space="preserve"> </w:t>
      </w:r>
      <w:r w:rsidRPr="00B004EE">
        <w:rPr>
          <w:rFonts w:ascii="Tahoma" w:eastAsia="American Typewriter" w:hAnsi="Tahoma" w:cs="Tahoma"/>
          <w:sz w:val="20"/>
          <w:szCs w:val="20"/>
        </w:rPr>
        <w:t>mauritaniens</w:t>
      </w:r>
      <w:r w:rsidR="00DB1635" w:rsidRPr="00B004EE">
        <w:rPr>
          <w:rFonts w:ascii="Tahoma" w:eastAsia="American Typewriter" w:hAnsi="Tahoma" w:cs="Tahoma"/>
          <w:spacing w:val="-25"/>
          <w:sz w:val="20"/>
          <w:szCs w:val="20"/>
        </w:rPr>
        <w:t xml:space="preserve"> </w:t>
      </w:r>
      <w:r w:rsidRPr="00B004EE">
        <w:rPr>
          <w:rFonts w:ascii="Tahoma" w:eastAsia="American Typewriter" w:hAnsi="Tahoma" w:cs="Tahoma"/>
          <w:sz w:val="20"/>
          <w:szCs w:val="20"/>
        </w:rPr>
        <w:t>dont</w:t>
      </w:r>
      <w:r w:rsidR="00DB1635" w:rsidRPr="00B004EE">
        <w:rPr>
          <w:rFonts w:ascii="Tahoma" w:eastAsia="American Typewriter" w:hAnsi="Tahoma" w:cs="Tahoma"/>
          <w:spacing w:val="-26"/>
          <w:sz w:val="20"/>
          <w:szCs w:val="20"/>
        </w:rPr>
        <w:t xml:space="preserve"> </w:t>
      </w:r>
      <w:r w:rsidRPr="00B004EE">
        <w:rPr>
          <w:rFonts w:ascii="Tahoma" w:eastAsia="American Typewriter" w:hAnsi="Tahoma" w:cs="Tahoma"/>
          <w:sz w:val="20"/>
          <w:szCs w:val="20"/>
        </w:rPr>
        <w:t>les</w:t>
      </w:r>
      <w:r w:rsidR="00DB1635" w:rsidRPr="00B004EE">
        <w:rPr>
          <w:rFonts w:ascii="Tahoma" w:eastAsia="American Typewriter" w:hAnsi="Tahoma" w:cs="Tahoma"/>
          <w:spacing w:val="-26"/>
          <w:sz w:val="20"/>
          <w:szCs w:val="20"/>
        </w:rPr>
        <w:t xml:space="preserve"> </w:t>
      </w:r>
      <w:r w:rsidRPr="00B004EE">
        <w:rPr>
          <w:rFonts w:ascii="Tahoma" w:eastAsia="American Typewriter" w:hAnsi="Tahoma" w:cs="Tahoma"/>
          <w:sz w:val="20"/>
          <w:szCs w:val="20"/>
        </w:rPr>
        <w:t>opérations</w:t>
      </w:r>
      <w:r w:rsidR="00DB1635" w:rsidRPr="00B004EE">
        <w:rPr>
          <w:rFonts w:ascii="Tahoma" w:eastAsia="American Typewriter" w:hAnsi="Tahoma" w:cs="Tahoma"/>
          <w:spacing w:val="-26"/>
          <w:sz w:val="20"/>
          <w:szCs w:val="20"/>
        </w:rPr>
        <w:t xml:space="preserve"> </w:t>
      </w:r>
      <w:r w:rsidRPr="00B004EE">
        <w:rPr>
          <w:rFonts w:ascii="Tahoma" w:eastAsia="American Typewriter" w:hAnsi="Tahoma" w:cs="Tahoma"/>
          <w:sz w:val="20"/>
          <w:szCs w:val="20"/>
        </w:rPr>
        <w:t>sont</w:t>
      </w:r>
      <w:r w:rsidR="00DB1635" w:rsidRPr="00B004EE">
        <w:rPr>
          <w:rFonts w:ascii="Tahoma" w:eastAsia="American Typewriter" w:hAnsi="Tahoma" w:cs="Tahoma"/>
          <w:spacing w:val="-26"/>
          <w:sz w:val="20"/>
          <w:szCs w:val="20"/>
        </w:rPr>
        <w:t xml:space="preserve"> </w:t>
      </w:r>
      <w:r w:rsidRPr="00B004EE">
        <w:rPr>
          <w:rFonts w:ascii="Tahoma" w:eastAsia="American Typewriter" w:hAnsi="Tahoma" w:cs="Tahoma"/>
          <w:sz w:val="20"/>
          <w:szCs w:val="20"/>
        </w:rPr>
        <w:t>autorisées</w:t>
      </w:r>
      <w:r w:rsidR="00DB1635" w:rsidRPr="00B004EE">
        <w:rPr>
          <w:rFonts w:ascii="Tahoma" w:eastAsia="American Typewriter" w:hAnsi="Tahoma" w:cs="Tahoma"/>
          <w:spacing w:val="-26"/>
          <w:sz w:val="20"/>
          <w:szCs w:val="20"/>
        </w:rPr>
        <w:t xml:space="preserve"> </w:t>
      </w:r>
      <w:r w:rsidRPr="00B004EE">
        <w:rPr>
          <w:rFonts w:ascii="Tahoma" w:eastAsia="American Typewriter" w:hAnsi="Tahoma" w:cs="Tahoma"/>
          <w:sz w:val="20"/>
          <w:szCs w:val="20"/>
        </w:rPr>
        <w:t>dans</w:t>
      </w:r>
      <w:r w:rsidR="00DB1635" w:rsidRPr="00B004EE">
        <w:rPr>
          <w:rFonts w:ascii="Tahoma" w:eastAsia="American Typewriter" w:hAnsi="Tahoma" w:cs="Tahoma"/>
          <w:spacing w:val="-26"/>
          <w:sz w:val="20"/>
          <w:szCs w:val="20"/>
        </w:rPr>
        <w:t xml:space="preserve"> </w:t>
      </w:r>
      <w:r w:rsidRPr="00B004EE">
        <w:rPr>
          <w:rFonts w:ascii="Tahoma" w:eastAsia="American Typewriter" w:hAnsi="Tahoma" w:cs="Tahoma"/>
          <w:sz w:val="20"/>
          <w:szCs w:val="20"/>
        </w:rPr>
        <w:t>les</w:t>
      </w:r>
      <w:r w:rsidR="00DB1635" w:rsidRPr="00B004EE">
        <w:rPr>
          <w:rFonts w:ascii="Tahoma" w:eastAsia="American Typewriter" w:hAnsi="Tahoma" w:cs="Tahoma"/>
          <w:spacing w:val="-26"/>
          <w:sz w:val="20"/>
          <w:szCs w:val="20"/>
        </w:rPr>
        <w:t xml:space="preserve"> </w:t>
      </w:r>
      <w:r w:rsidRPr="00B004EE">
        <w:rPr>
          <w:rFonts w:ascii="Tahoma" w:eastAsia="American Typewriter" w:hAnsi="Tahoma" w:cs="Tahoma"/>
          <w:sz w:val="20"/>
          <w:szCs w:val="20"/>
        </w:rPr>
        <w:t>eaux</w:t>
      </w:r>
      <w:r w:rsidR="00DB1635" w:rsidRPr="00B004EE">
        <w:rPr>
          <w:rFonts w:ascii="Tahoma" w:eastAsia="American Typewriter" w:hAnsi="Tahoma" w:cs="Tahoma"/>
          <w:spacing w:val="-25"/>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w w:val="94"/>
          <w:sz w:val="20"/>
          <w:szCs w:val="20"/>
        </w:rPr>
        <w:t xml:space="preserve"> </w:t>
      </w:r>
      <w:r w:rsidRPr="00B004EE">
        <w:rPr>
          <w:rFonts w:ascii="Tahoma" w:eastAsia="American Typewriter" w:hAnsi="Tahoma" w:cs="Tahoma"/>
          <w:sz w:val="20"/>
          <w:szCs w:val="20"/>
        </w:rPr>
        <w:t>l’État</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partie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à</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l'Accord</w:t>
      </w:r>
      <w:r w:rsidR="00DB1635" w:rsidRPr="00B004EE">
        <w:rPr>
          <w:rFonts w:ascii="Tahoma" w:eastAsia="American Typewriter" w:hAnsi="Tahoma" w:cs="Tahoma"/>
          <w:spacing w:val="20"/>
          <w:sz w:val="20"/>
          <w:szCs w:val="20"/>
        </w:rPr>
        <w:t xml:space="preserve"> </w:t>
      </w:r>
      <w:r w:rsidRPr="00B004EE">
        <w:rPr>
          <w:rFonts w:ascii="Tahoma" w:eastAsia="American Typewriter" w:hAnsi="Tahoma" w:cs="Tahoma"/>
          <w:sz w:val="20"/>
          <w:szCs w:val="20"/>
        </w:rPr>
        <w:t>;</w:t>
      </w:r>
    </w:p>
    <w:p w14:paraId="7262721D" w14:textId="6238DBB0" w:rsidR="001E7C3C" w:rsidRPr="00B004EE" w:rsidRDefault="001E7C3C" w:rsidP="00420DDA">
      <w:pPr>
        <w:pStyle w:val="Paragraphedeliste"/>
        <w:widowControl w:val="0"/>
        <w:numPr>
          <w:ilvl w:val="1"/>
          <w:numId w:val="28"/>
        </w:numPr>
        <w:tabs>
          <w:tab w:val="left" w:pos="1154"/>
        </w:tabs>
        <w:ind w:left="426" w:right="164"/>
        <w:jc w:val="both"/>
        <w:rPr>
          <w:rFonts w:ascii="Tahoma" w:eastAsia="American Typewriter" w:hAnsi="Tahoma" w:cs="Tahoma"/>
          <w:sz w:val="20"/>
          <w:szCs w:val="20"/>
        </w:rPr>
      </w:pPr>
      <w:proofErr w:type="gramStart"/>
      <w:r w:rsidRPr="00B004EE">
        <w:rPr>
          <w:rFonts w:ascii="Tahoma" w:hAnsi="Tahoma" w:cs="Tahoma"/>
          <w:sz w:val="20"/>
          <w:szCs w:val="20"/>
        </w:rPr>
        <w:t>définir</w:t>
      </w:r>
      <w:proofErr w:type="gramEnd"/>
      <w:r w:rsidR="00DB1635" w:rsidRPr="00B004EE">
        <w:rPr>
          <w:rFonts w:ascii="Tahoma" w:hAnsi="Tahoma" w:cs="Tahoma"/>
          <w:spacing w:val="-12"/>
          <w:sz w:val="20"/>
          <w:szCs w:val="20"/>
        </w:rPr>
        <w:t xml:space="preserve"> </w:t>
      </w:r>
      <w:r w:rsidRPr="00B004EE">
        <w:rPr>
          <w:rFonts w:ascii="Tahoma" w:hAnsi="Tahoma" w:cs="Tahoma"/>
          <w:sz w:val="20"/>
          <w:szCs w:val="20"/>
        </w:rPr>
        <w:t>le</w:t>
      </w:r>
      <w:r w:rsidR="00DB1635" w:rsidRPr="00B004EE">
        <w:rPr>
          <w:rFonts w:ascii="Tahoma" w:hAnsi="Tahoma" w:cs="Tahoma"/>
          <w:spacing w:val="-11"/>
          <w:sz w:val="20"/>
          <w:szCs w:val="20"/>
        </w:rPr>
        <w:t xml:space="preserve"> </w:t>
      </w:r>
      <w:r w:rsidRPr="00B004EE">
        <w:rPr>
          <w:rFonts w:ascii="Tahoma" w:hAnsi="Tahoma" w:cs="Tahoma"/>
          <w:sz w:val="20"/>
          <w:szCs w:val="20"/>
        </w:rPr>
        <w:t>montant</w:t>
      </w:r>
      <w:r w:rsidR="00DB1635" w:rsidRPr="00B004EE">
        <w:rPr>
          <w:rFonts w:ascii="Tahoma" w:hAnsi="Tahoma" w:cs="Tahoma"/>
          <w:spacing w:val="-11"/>
          <w:sz w:val="20"/>
          <w:szCs w:val="20"/>
        </w:rPr>
        <w:t xml:space="preserve"> </w:t>
      </w:r>
      <w:r w:rsidRPr="00B004EE">
        <w:rPr>
          <w:rFonts w:ascii="Tahoma" w:hAnsi="Tahoma" w:cs="Tahoma"/>
          <w:sz w:val="20"/>
          <w:szCs w:val="20"/>
        </w:rPr>
        <w:t>des</w:t>
      </w:r>
      <w:r w:rsidR="00DB1635" w:rsidRPr="00B004EE">
        <w:rPr>
          <w:rFonts w:ascii="Tahoma" w:hAnsi="Tahoma" w:cs="Tahoma"/>
          <w:spacing w:val="-12"/>
          <w:sz w:val="20"/>
          <w:szCs w:val="20"/>
        </w:rPr>
        <w:t xml:space="preserve"> </w:t>
      </w:r>
      <w:r w:rsidRPr="00B004EE">
        <w:rPr>
          <w:rFonts w:ascii="Tahoma" w:hAnsi="Tahoma" w:cs="Tahoma"/>
          <w:sz w:val="20"/>
          <w:szCs w:val="20"/>
        </w:rPr>
        <w:t>redevances</w:t>
      </w:r>
      <w:r w:rsidR="00DB1635" w:rsidRPr="00B004EE">
        <w:rPr>
          <w:rFonts w:ascii="Tahoma" w:hAnsi="Tahoma" w:cs="Tahoma"/>
          <w:spacing w:val="-12"/>
          <w:sz w:val="20"/>
          <w:szCs w:val="20"/>
        </w:rPr>
        <w:t xml:space="preserve"> </w:t>
      </w:r>
      <w:r w:rsidRPr="00B004EE">
        <w:rPr>
          <w:rFonts w:ascii="Tahoma" w:hAnsi="Tahoma" w:cs="Tahoma"/>
          <w:sz w:val="20"/>
          <w:szCs w:val="20"/>
        </w:rPr>
        <w:t>ou</w:t>
      </w:r>
      <w:r w:rsidR="00DB1635" w:rsidRPr="00B004EE">
        <w:rPr>
          <w:rFonts w:ascii="Tahoma" w:hAnsi="Tahoma" w:cs="Tahoma"/>
          <w:spacing w:val="-12"/>
          <w:sz w:val="20"/>
          <w:szCs w:val="20"/>
        </w:rPr>
        <w:t xml:space="preserve"> </w:t>
      </w:r>
      <w:r w:rsidRPr="00B004EE">
        <w:rPr>
          <w:rFonts w:ascii="Tahoma" w:hAnsi="Tahoma" w:cs="Tahoma"/>
          <w:sz w:val="20"/>
          <w:szCs w:val="20"/>
        </w:rPr>
        <w:t>autres</w:t>
      </w:r>
      <w:r w:rsidR="00DB1635" w:rsidRPr="00B004EE">
        <w:rPr>
          <w:rFonts w:ascii="Tahoma" w:hAnsi="Tahoma" w:cs="Tahoma"/>
          <w:spacing w:val="-12"/>
          <w:sz w:val="20"/>
          <w:szCs w:val="20"/>
        </w:rPr>
        <w:t xml:space="preserve"> </w:t>
      </w:r>
      <w:r w:rsidRPr="00B004EE">
        <w:rPr>
          <w:rFonts w:ascii="Tahoma" w:hAnsi="Tahoma" w:cs="Tahoma"/>
          <w:sz w:val="20"/>
          <w:szCs w:val="20"/>
        </w:rPr>
        <w:t>paiements</w:t>
      </w:r>
      <w:r w:rsidR="00DB1635" w:rsidRPr="00B004EE">
        <w:rPr>
          <w:rFonts w:ascii="Tahoma" w:hAnsi="Tahoma" w:cs="Tahoma"/>
          <w:spacing w:val="-12"/>
          <w:sz w:val="20"/>
          <w:szCs w:val="20"/>
        </w:rPr>
        <w:t xml:space="preserve"> </w:t>
      </w:r>
      <w:r w:rsidRPr="00B004EE">
        <w:rPr>
          <w:rFonts w:ascii="Tahoma" w:hAnsi="Tahoma" w:cs="Tahoma"/>
          <w:sz w:val="20"/>
          <w:szCs w:val="20"/>
        </w:rPr>
        <w:t>ou</w:t>
      </w:r>
      <w:r w:rsidR="00DB1635" w:rsidRPr="00B004EE">
        <w:rPr>
          <w:rFonts w:ascii="Tahoma" w:hAnsi="Tahoma" w:cs="Tahoma"/>
          <w:spacing w:val="-13"/>
          <w:sz w:val="20"/>
          <w:szCs w:val="20"/>
        </w:rPr>
        <w:t xml:space="preserve"> </w:t>
      </w:r>
      <w:r w:rsidRPr="00B004EE">
        <w:rPr>
          <w:rFonts w:ascii="Tahoma" w:hAnsi="Tahoma" w:cs="Tahoma"/>
          <w:sz w:val="20"/>
          <w:szCs w:val="20"/>
        </w:rPr>
        <w:t>prestations</w:t>
      </w:r>
      <w:r w:rsidR="00DB1635" w:rsidRPr="00B004EE">
        <w:rPr>
          <w:rFonts w:ascii="Tahoma" w:hAnsi="Tahoma" w:cs="Tahoma"/>
          <w:spacing w:val="-13"/>
          <w:sz w:val="20"/>
          <w:szCs w:val="20"/>
        </w:rPr>
        <w:t xml:space="preserve"> </w:t>
      </w:r>
      <w:r w:rsidRPr="00B004EE">
        <w:rPr>
          <w:rFonts w:ascii="Tahoma" w:hAnsi="Tahoma" w:cs="Tahoma"/>
          <w:sz w:val="20"/>
          <w:szCs w:val="20"/>
        </w:rPr>
        <w:t>en</w:t>
      </w:r>
      <w:r w:rsidR="00DB1635" w:rsidRPr="00B004EE">
        <w:rPr>
          <w:rFonts w:ascii="Tahoma" w:hAnsi="Tahoma" w:cs="Tahoma"/>
          <w:w w:val="95"/>
          <w:sz w:val="20"/>
          <w:szCs w:val="20"/>
        </w:rPr>
        <w:t xml:space="preserve"> </w:t>
      </w:r>
      <w:r w:rsidRPr="00B004EE">
        <w:rPr>
          <w:rFonts w:ascii="Tahoma" w:hAnsi="Tahoma" w:cs="Tahoma"/>
          <w:sz w:val="20"/>
          <w:szCs w:val="20"/>
        </w:rPr>
        <w:t>espèces</w:t>
      </w:r>
      <w:r w:rsidR="00DB1635" w:rsidRPr="00B004EE">
        <w:rPr>
          <w:rFonts w:ascii="Tahoma" w:hAnsi="Tahoma" w:cs="Tahoma"/>
          <w:spacing w:val="-15"/>
          <w:sz w:val="20"/>
          <w:szCs w:val="20"/>
        </w:rPr>
        <w:t xml:space="preserve"> </w:t>
      </w:r>
      <w:r w:rsidRPr="00B004EE">
        <w:rPr>
          <w:rFonts w:ascii="Tahoma" w:hAnsi="Tahoma" w:cs="Tahoma"/>
          <w:sz w:val="20"/>
          <w:szCs w:val="20"/>
        </w:rPr>
        <w:t>ou</w:t>
      </w:r>
      <w:r w:rsidR="00DB1635" w:rsidRPr="00B004EE">
        <w:rPr>
          <w:rFonts w:ascii="Tahoma" w:hAnsi="Tahoma" w:cs="Tahoma"/>
          <w:spacing w:val="-15"/>
          <w:sz w:val="20"/>
          <w:szCs w:val="20"/>
        </w:rPr>
        <w:t xml:space="preserve"> </w:t>
      </w:r>
      <w:r w:rsidRPr="00B004EE">
        <w:rPr>
          <w:rFonts w:ascii="Tahoma" w:hAnsi="Tahoma" w:cs="Tahoma"/>
          <w:sz w:val="20"/>
          <w:szCs w:val="20"/>
        </w:rPr>
        <w:t>en</w:t>
      </w:r>
      <w:r w:rsidR="00DB1635" w:rsidRPr="00B004EE">
        <w:rPr>
          <w:rFonts w:ascii="Tahoma" w:hAnsi="Tahoma" w:cs="Tahoma"/>
          <w:spacing w:val="-15"/>
          <w:sz w:val="20"/>
          <w:szCs w:val="20"/>
        </w:rPr>
        <w:t xml:space="preserve"> </w:t>
      </w:r>
      <w:r w:rsidRPr="00B004EE">
        <w:rPr>
          <w:rFonts w:ascii="Tahoma" w:hAnsi="Tahoma" w:cs="Tahoma"/>
          <w:sz w:val="20"/>
          <w:szCs w:val="20"/>
        </w:rPr>
        <w:t>nature.</w:t>
      </w:r>
      <w:r w:rsidR="00DB1635" w:rsidRPr="00B004EE">
        <w:rPr>
          <w:rFonts w:ascii="Tahoma" w:hAnsi="Tahoma" w:cs="Tahoma"/>
          <w:spacing w:val="-15"/>
          <w:sz w:val="20"/>
          <w:szCs w:val="20"/>
        </w:rPr>
        <w:t xml:space="preserve"> </w:t>
      </w:r>
      <w:r w:rsidRPr="00B004EE">
        <w:rPr>
          <w:rFonts w:ascii="Tahoma" w:hAnsi="Tahoma" w:cs="Tahoma"/>
          <w:sz w:val="20"/>
          <w:szCs w:val="20"/>
        </w:rPr>
        <w:t>Les</w:t>
      </w:r>
      <w:r w:rsidR="00DB1635" w:rsidRPr="00B004EE">
        <w:rPr>
          <w:rFonts w:ascii="Tahoma" w:hAnsi="Tahoma" w:cs="Tahoma"/>
          <w:spacing w:val="-15"/>
          <w:sz w:val="20"/>
          <w:szCs w:val="20"/>
        </w:rPr>
        <w:t xml:space="preserve"> </w:t>
      </w:r>
      <w:r w:rsidRPr="00B004EE">
        <w:rPr>
          <w:rFonts w:ascii="Tahoma" w:hAnsi="Tahoma" w:cs="Tahoma"/>
          <w:sz w:val="20"/>
          <w:szCs w:val="20"/>
        </w:rPr>
        <w:t>clauses</w:t>
      </w:r>
      <w:r w:rsidR="00DB1635" w:rsidRPr="00B004EE">
        <w:rPr>
          <w:rFonts w:ascii="Tahoma" w:hAnsi="Tahoma" w:cs="Tahoma"/>
          <w:spacing w:val="-15"/>
          <w:sz w:val="20"/>
          <w:szCs w:val="20"/>
        </w:rPr>
        <w:t xml:space="preserve"> </w:t>
      </w:r>
      <w:r w:rsidRPr="00B004EE">
        <w:rPr>
          <w:rFonts w:ascii="Tahoma" w:hAnsi="Tahoma" w:cs="Tahoma"/>
          <w:sz w:val="20"/>
          <w:szCs w:val="20"/>
        </w:rPr>
        <w:t>financières</w:t>
      </w:r>
      <w:r w:rsidR="00DB1635" w:rsidRPr="00B004EE">
        <w:rPr>
          <w:rFonts w:ascii="Tahoma" w:hAnsi="Tahoma" w:cs="Tahoma"/>
          <w:spacing w:val="-16"/>
          <w:sz w:val="20"/>
          <w:szCs w:val="20"/>
        </w:rPr>
        <w:t xml:space="preserve"> </w:t>
      </w:r>
      <w:r w:rsidRPr="00B004EE">
        <w:rPr>
          <w:rFonts w:ascii="Tahoma" w:hAnsi="Tahoma" w:cs="Tahoma"/>
          <w:sz w:val="20"/>
          <w:szCs w:val="20"/>
        </w:rPr>
        <w:t>des</w:t>
      </w:r>
      <w:r w:rsidR="00DB1635" w:rsidRPr="00B004EE">
        <w:rPr>
          <w:rFonts w:ascii="Tahoma" w:hAnsi="Tahoma" w:cs="Tahoma"/>
          <w:spacing w:val="-16"/>
          <w:sz w:val="20"/>
          <w:szCs w:val="20"/>
        </w:rPr>
        <w:t xml:space="preserve"> </w:t>
      </w:r>
      <w:r w:rsidRPr="00B004EE">
        <w:rPr>
          <w:rFonts w:ascii="Tahoma" w:hAnsi="Tahoma" w:cs="Tahoma"/>
          <w:sz w:val="20"/>
          <w:szCs w:val="20"/>
        </w:rPr>
        <w:t>Accords</w:t>
      </w:r>
      <w:r w:rsidR="00DB1635" w:rsidRPr="00B004EE">
        <w:rPr>
          <w:rFonts w:ascii="Tahoma" w:hAnsi="Tahoma" w:cs="Tahoma"/>
          <w:spacing w:val="-16"/>
          <w:sz w:val="20"/>
          <w:szCs w:val="20"/>
        </w:rPr>
        <w:t xml:space="preserve"> </w:t>
      </w:r>
      <w:r w:rsidRPr="00B004EE">
        <w:rPr>
          <w:rFonts w:ascii="Tahoma" w:hAnsi="Tahoma" w:cs="Tahoma"/>
          <w:sz w:val="20"/>
          <w:szCs w:val="20"/>
        </w:rPr>
        <w:t>ainsi</w:t>
      </w:r>
      <w:r w:rsidR="00DB1635" w:rsidRPr="00B004EE">
        <w:rPr>
          <w:rFonts w:ascii="Tahoma" w:hAnsi="Tahoma" w:cs="Tahoma"/>
          <w:spacing w:val="-16"/>
          <w:sz w:val="20"/>
          <w:szCs w:val="20"/>
        </w:rPr>
        <w:t xml:space="preserve"> </w:t>
      </w:r>
      <w:r w:rsidRPr="00B004EE">
        <w:rPr>
          <w:rFonts w:ascii="Tahoma" w:hAnsi="Tahoma" w:cs="Tahoma"/>
          <w:sz w:val="20"/>
          <w:szCs w:val="20"/>
        </w:rPr>
        <w:t>que</w:t>
      </w:r>
      <w:r w:rsidR="00DB1635" w:rsidRPr="00B004EE">
        <w:rPr>
          <w:rFonts w:ascii="Tahoma" w:hAnsi="Tahoma" w:cs="Tahoma"/>
          <w:spacing w:val="-16"/>
          <w:sz w:val="20"/>
          <w:szCs w:val="20"/>
        </w:rPr>
        <w:t xml:space="preserve"> </w:t>
      </w:r>
      <w:r w:rsidRPr="00B004EE">
        <w:rPr>
          <w:rFonts w:ascii="Tahoma" w:hAnsi="Tahoma" w:cs="Tahoma"/>
          <w:sz w:val="20"/>
          <w:szCs w:val="20"/>
        </w:rPr>
        <w:t>celles</w:t>
      </w:r>
      <w:r w:rsidR="00DB1635" w:rsidRPr="00B004EE">
        <w:rPr>
          <w:rFonts w:ascii="Tahoma" w:hAnsi="Tahoma" w:cs="Tahoma"/>
          <w:w w:val="94"/>
          <w:sz w:val="20"/>
          <w:szCs w:val="20"/>
        </w:rPr>
        <w:t xml:space="preserve"> </w:t>
      </w:r>
      <w:r w:rsidRPr="00B004EE">
        <w:rPr>
          <w:rFonts w:ascii="Tahoma" w:hAnsi="Tahoma" w:cs="Tahoma"/>
          <w:sz w:val="20"/>
          <w:szCs w:val="20"/>
        </w:rPr>
        <w:t>relatives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l'effort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seront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préférence</w:t>
      </w:r>
      <w:r w:rsidR="00DB1635" w:rsidRPr="00B004EE">
        <w:rPr>
          <w:rFonts w:ascii="Tahoma" w:hAnsi="Tahoma" w:cs="Tahoma"/>
          <w:sz w:val="20"/>
          <w:szCs w:val="20"/>
        </w:rPr>
        <w:t xml:space="preserve"> </w:t>
      </w:r>
      <w:r w:rsidRPr="00B004EE">
        <w:rPr>
          <w:rFonts w:ascii="Tahoma" w:hAnsi="Tahoma" w:cs="Tahoma"/>
          <w:sz w:val="20"/>
          <w:szCs w:val="20"/>
        </w:rPr>
        <w:t>valables</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pacing w:val="53"/>
          <w:sz w:val="20"/>
          <w:szCs w:val="20"/>
        </w:rPr>
        <w:t xml:space="preserve"> </w:t>
      </w:r>
      <w:r w:rsidRPr="00B004EE">
        <w:rPr>
          <w:rFonts w:ascii="Tahoma" w:hAnsi="Tahoma" w:cs="Tahoma"/>
          <w:sz w:val="20"/>
          <w:szCs w:val="20"/>
        </w:rPr>
        <w:t>des</w:t>
      </w:r>
      <w:r w:rsidR="00DB1635" w:rsidRPr="00B004EE">
        <w:rPr>
          <w:rFonts w:ascii="Tahoma" w:hAnsi="Tahoma" w:cs="Tahoma"/>
          <w:w w:val="94"/>
          <w:sz w:val="20"/>
          <w:szCs w:val="20"/>
        </w:rPr>
        <w:t xml:space="preserve"> </w:t>
      </w:r>
      <w:r w:rsidRPr="00B004EE">
        <w:rPr>
          <w:rFonts w:ascii="Tahoma" w:hAnsi="Tahoma" w:cs="Tahoma"/>
          <w:sz w:val="20"/>
          <w:szCs w:val="20"/>
        </w:rPr>
        <w:t>périodes</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plus</w:t>
      </w:r>
      <w:r w:rsidR="00DB1635" w:rsidRPr="00B004EE">
        <w:rPr>
          <w:rFonts w:ascii="Tahoma" w:hAnsi="Tahoma" w:cs="Tahoma"/>
          <w:sz w:val="20"/>
          <w:szCs w:val="20"/>
        </w:rPr>
        <w:t xml:space="preserve"> </w:t>
      </w:r>
      <w:r w:rsidRPr="00B004EE">
        <w:rPr>
          <w:rFonts w:ascii="Tahoma" w:hAnsi="Tahoma" w:cs="Tahoma"/>
          <w:sz w:val="20"/>
          <w:szCs w:val="20"/>
        </w:rPr>
        <w:t>égales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douze</w:t>
      </w:r>
      <w:r w:rsidR="00DB1635" w:rsidRPr="00B004EE">
        <w:rPr>
          <w:rFonts w:ascii="Tahoma" w:hAnsi="Tahoma" w:cs="Tahoma"/>
          <w:sz w:val="20"/>
          <w:szCs w:val="20"/>
        </w:rPr>
        <w:t xml:space="preserve"> </w:t>
      </w:r>
      <w:r w:rsidRPr="00B004EE">
        <w:rPr>
          <w:rFonts w:ascii="Tahoma" w:hAnsi="Tahoma" w:cs="Tahoma"/>
          <w:sz w:val="20"/>
          <w:szCs w:val="20"/>
        </w:rPr>
        <w:t>mois</w:t>
      </w:r>
      <w:r w:rsidR="00DB1635" w:rsidRPr="00B004EE">
        <w:rPr>
          <w:rFonts w:ascii="Tahoma" w:hAnsi="Tahoma" w:cs="Tahoma"/>
          <w:spacing w:val="25"/>
          <w:sz w:val="20"/>
          <w:szCs w:val="20"/>
        </w:rPr>
        <w:t xml:space="preserve"> </w:t>
      </w:r>
      <w:r w:rsidRPr="00B004EE">
        <w:rPr>
          <w:rFonts w:ascii="Tahoma" w:hAnsi="Tahoma" w:cs="Tahoma"/>
          <w:sz w:val="20"/>
          <w:szCs w:val="20"/>
        </w:rPr>
        <w:t>;</w:t>
      </w:r>
    </w:p>
    <w:p w14:paraId="571425CD" w14:textId="24E52637" w:rsidR="00337E3A" w:rsidRPr="00B004EE" w:rsidRDefault="001E7C3C" w:rsidP="00420DDA">
      <w:pPr>
        <w:pStyle w:val="Paragraphedeliste"/>
        <w:widowControl w:val="0"/>
        <w:numPr>
          <w:ilvl w:val="1"/>
          <w:numId w:val="28"/>
        </w:numPr>
        <w:tabs>
          <w:tab w:val="left" w:pos="1154"/>
        </w:tabs>
        <w:ind w:left="426" w:right="159"/>
        <w:jc w:val="both"/>
        <w:rPr>
          <w:rFonts w:ascii="Tahoma" w:eastAsia="American Typewriter" w:hAnsi="Tahoma" w:cs="Tahoma"/>
          <w:sz w:val="20"/>
          <w:szCs w:val="20"/>
        </w:rPr>
      </w:pPr>
      <w:proofErr w:type="gramStart"/>
      <w:r w:rsidRPr="00B004EE">
        <w:rPr>
          <w:rFonts w:ascii="Tahoma" w:hAnsi="Tahoma" w:cs="Tahoma"/>
          <w:sz w:val="20"/>
          <w:szCs w:val="20"/>
        </w:rPr>
        <w:t>contenir</w:t>
      </w:r>
      <w:proofErr w:type="gramEnd"/>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clause</w:t>
      </w:r>
      <w:r w:rsidR="00DB1635" w:rsidRPr="00B004EE">
        <w:rPr>
          <w:rFonts w:ascii="Tahoma" w:hAnsi="Tahoma" w:cs="Tahoma"/>
          <w:sz w:val="20"/>
          <w:szCs w:val="20"/>
        </w:rPr>
        <w:t xml:space="preserve"> </w:t>
      </w:r>
      <w:r w:rsidRPr="00B004EE">
        <w:rPr>
          <w:rFonts w:ascii="Tahoma" w:hAnsi="Tahoma" w:cs="Tahoma"/>
          <w:sz w:val="20"/>
          <w:szCs w:val="20"/>
        </w:rPr>
        <w:t>relative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communication</w:t>
      </w:r>
      <w:r w:rsidR="00DB1635" w:rsidRPr="00B004EE">
        <w:rPr>
          <w:rFonts w:ascii="Tahoma" w:hAnsi="Tahoma" w:cs="Tahoma"/>
          <w:sz w:val="20"/>
          <w:szCs w:val="20"/>
        </w:rPr>
        <w:t xml:space="preserve"> </w:t>
      </w:r>
      <w:r w:rsidRPr="00B004EE">
        <w:rPr>
          <w:rFonts w:ascii="Tahoma" w:hAnsi="Tahoma" w:cs="Tahoma"/>
          <w:sz w:val="20"/>
          <w:szCs w:val="20"/>
        </w:rPr>
        <w:t>périodique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pacing w:val="52"/>
          <w:sz w:val="20"/>
          <w:szCs w:val="20"/>
        </w:rPr>
        <w:t xml:space="preserve"> </w:t>
      </w:r>
      <w:r w:rsidRPr="00B004EE">
        <w:rPr>
          <w:rFonts w:ascii="Tahoma" w:hAnsi="Tahoma" w:cs="Tahoma"/>
          <w:sz w:val="20"/>
          <w:szCs w:val="20"/>
        </w:rPr>
        <w:t>régulière</w:t>
      </w:r>
      <w:r w:rsidR="00DB1635" w:rsidRPr="00B004EE">
        <w:rPr>
          <w:rFonts w:ascii="Tahoma" w:hAnsi="Tahoma" w:cs="Tahoma"/>
          <w:w w:val="94"/>
          <w:sz w:val="20"/>
          <w:szCs w:val="20"/>
        </w:rPr>
        <w:t xml:space="preserve"> </w:t>
      </w:r>
      <w:r w:rsidRPr="00B004EE">
        <w:rPr>
          <w:rFonts w:ascii="Tahoma" w:hAnsi="Tahoma" w:cs="Tahoma"/>
          <w:sz w:val="20"/>
          <w:szCs w:val="20"/>
        </w:rPr>
        <w:t>par</w:t>
      </w:r>
      <w:r w:rsidR="00DB1635" w:rsidRPr="00B004EE">
        <w:rPr>
          <w:rFonts w:ascii="Tahoma" w:hAnsi="Tahoma" w:cs="Tahoma"/>
          <w:spacing w:val="-13"/>
          <w:sz w:val="20"/>
          <w:szCs w:val="20"/>
        </w:rPr>
        <w:t xml:space="preserve"> </w:t>
      </w:r>
      <w:r w:rsidRPr="00B004EE">
        <w:rPr>
          <w:rFonts w:ascii="Tahoma" w:hAnsi="Tahoma" w:cs="Tahoma"/>
          <w:sz w:val="20"/>
          <w:szCs w:val="20"/>
        </w:rPr>
        <w:t>les</w:t>
      </w:r>
      <w:r w:rsidR="00DB1635" w:rsidRPr="00B004EE">
        <w:rPr>
          <w:rFonts w:ascii="Tahoma" w:hAnsi="Tahoma" w:cs="Tahoma"/>
          <w:spacing w:val="-13"/>
          <w:sz w:val="20"/>
          <w:szCs w:val="20"/>
        </w:rPr>
        <w:t xml:space="preserve"> </w:t>
      </w:r>
      <w:r w:rsidRPr="00B004EE">
        <w:rPr>
          <w:rFonts w:ascii="Tahoma" w:hAnsi="Tahoma" w:cs="Tahoma"/>
          <w:sz w:val="20"/>
          <w:szCs w:val="20"/>
        </w:rPr>
        <w:t>armateurs,</w:t>
      </w:r>
      <w:r w:rsidR="00DB1635" w:rsidRPr="00B004EE">
        <w:rPr>
          <w:rFonts w:ascii="Tahoma" w:hAnsi="Tahoma" w:cs="Tahoma"/>
          <w:spacing w:val="-12"/>
          <w:sz w:val="20"/>
          <w:szCs w:val="20"/>
        </w:rPr>
        <w:t xml:space="preserve"> </w:t>
      </w:r>
      <w:r w:rsidRPr="00B004EE">
        <w:rPr>
          <w:rFonts w:ascii="Tahoma" w:hAnsi="Tahoma" w:cs="Tahoma"/>
          <w:sz w:val="20"/>
          <w:szCs w:val="20"/>
        </w:rPr>
        <w:t>au</w:t>
      </w:r>
      <w:r w:rsidR="00DB1635" w:rsidRPr="00B004EE">
        <w:rPr>
          <w:rFonts w:ascii="Tahoma" w:hAnsi="Tahoma" w:cs="Tahoma"/>
          <w:spacing w:val="-12"/>
          <w:sz w:val="20"/>
          <w:szCs w:val="20"/>
        </w:rPr>
        <w:t xml:space="preserve"> </w:t>
      </w:r>
      <w:r w:rsidRPr="00B004EE">
        <w:rPr>
          <w:rFonts w:ascii="Tahoma" w:hAnsi="Tahoma" w:cs="Tahoma"/>
          <w:sz w:val="20"/>
          <w:szCs w:val="20"/>
        </w:rPr>
        <w:t>service</w:t>
      </w:r>
      <w:r w:rsidR="00DB1635" w:rsidRPr="00B004EE">
        <w:rPr>
          <w:rFonts w:ascii="Tahoma" w:hAnsi="Tahoma" w:cs="Tahoma"/>
          <w:spacing w:val="-12"/>
          <w:sz w:val="20"/>
          <w:szCs w:val="20"/>
        </w:rPr>
        <w:t xml:space="preserve"> </w:t>
      </w:r>
      <w:r w:rsidRPr="00B004EE">
        <w:rPr>
          <w:rFonts w:ascii="Tahoma" w:hAnsi="Tahoma" w:cs="Tahoma"/>
          <w:sz w:val="20"/>
          <w:szCs w:val="20"/>
        </w:rPr>
        <w:t>compétent</w:t>
      </w:r>
      <w:r w:rsidR="00DB1635" w:rsidRPr="00B004EE">
        <w:rPr>
          <w:rFonts w:ascii="Tahoma" w:hAnsi="Tahoma" w:cs="Tahoma"/>
          <w:spacing w:val="-13"/>
          <w:sz w:val="20"/>
          <w:szCs w:val="20"/>
        </w:rPr>
        <w:t xml:space="preserve"> </w:t>
      </w:r>
      <w:r w:rsidRPr="00B004EE">
        <w:rPr>
          <w:rFonts w:ascii="Tahoma" w:hAnsi="Tahoma" w:cs="Tahoma"/>
          <w:sz w:val="20"/>
          <w:szCs w:val="20"/>
        </w:rPr>
        <w:t>du</w:t>
      </w:r>
      <w:r w:rsidR="00DB1635" w:rsidRPr="00B004EE">
        <w:rPr>
          <w:rFonts w:ascii="Tahoma" w:hAnsi="Tahoma" w:cs="Tahoma"/>
          <w:spacing w:val="-11"/>
          <w:sz w:val="20"/>
          <w:szCs w:val="20"/>
        </w:rPr>
        <w:t xml:space="preserve"> </w:t>
      </w:r>
      <w:r w:rsidRPr="00B004EE">
        <w:rPr>
          <w:rFonts w:ascii="Tahoma" w:hAnsi="Tahoma" w:cs="Tahoma"/>
          <w:sz w:val="20"/>
          <w:szCs w:val="20"/>
        </w:rPr>
        <w:t>ministère</w:t>
      </w:r>
      <w:r w:rsidR="00DB1635" w:rsidRPr="00B004EE">
        <w:rPr>
          <w:rFonts w:ascii="Tahoma" w:hAnsi="Tahoma" w:cs="Tahoma"/>
          <w:spacing w:val="-13"/>
          <w:sz w:val="20"/>
          <w:szCs w:val="20"/>
        </w:rPr>
        <w:t xml:space="preserve"> </w:t>
      </w:r>
      <w:r w:rsidRPr="00B004EE">
        <w:rPr>
          <w:rFonts w:ascii="Tahoma" w:hAnsi="Tahoma" w:cs="Tahoma"/>
          <w:sz w:val="20"/>
          <w:szCs w:val="20"/>
        </w:rPr>
        <w:t>chargé</w:t>
      </w:r>
      <w:r w:rsidR="00DB1635" w:rsidRPr="00B004EE">
        <w:rPr>
          <w:rFonts w:ascii="Tahoma" w:hAnsi="Tahoma" w:cs="Tahoma"/>
          <w:spacing w:val="-13"/>
          <w:sz w:val="20"/>
          <w:szCs w:val="20"/>
        </w:rPr>
        <w:t xml:space="preserve"> </w:t>
      </w:r>
      <w:r w:rsidRPr="00B004EE">
        <w:rPr>
          <w:rFonts w:ascii="Tahoma" w:hAnsi="Tahoma" w:cs="Tahoma"/>
          <w:sz w:val="20"/>
          <w:szCs w:val="20"/>
        </w:rPr>
        <w:t>des</w:t>
      </w:r>
      <w:r w:rsidR="00DB1635" w:rsidRPr="00B004EE">
        <w:rPr>
          <w:rFonts w:ascii="Tahoma" w:hAnsi="Tahoma" w:cs="Tahoma"/>
          <w:spacing w:val="-14"/>
          <w:sz w:val="20"/>
          <w:szCs w:val="20"/>
        </w:rPr>
        <w:t xml:space="preserve"> </w:t>
      </w:r>
      <w:r w:rsidRPr="00B004EE">
        <w:rPr>
          <w:rFonts w:ascii="Tahoma" w:hAnsi="Tahoma" w:cs="Tahoma"/>
          <w:sz w:val="20"/>
          <w:szCs w:val="20"/>
        </w:rPr>
        <w:t>pêches,</w:t>
      </w:r>
      <w:r w:rsidR="00DB1635" w:rsidRPr="00B004EE">
        <w:rPr>
          <w:rFonts w:ascii="Tahoma" w:hAnsi="Tahoma" w:cs="Tahoma"/>
          <w:w w:val="101"/>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données</w:t>
      </w:r>
      <w:r w:rsidR="00DB1635" w:rsidRPr="00B004EE">
        <w:rPr>
          <w:rFonts w:ascii="Tahoma" w:hAnsi="Tahoma" w:cs="Tahoma"/>
          <w:sz w:val="20"/>
          <w:szCs w:val="20"/>
        </w:rPr>
        <w:t xml:space="preserve"> </w:t>
      </w:r>
      <w:r w:rsidRPr="00B004EE">
        <w:rPr>
          <w:rFonts w:ascii="Tahoma" w:hAnsi="Tahoma" w:cs="Tahoma"/>
          <w:sz w:val="20"/>
          <w:szCs w:val="20"/>
        </w:rPr>
        <w:t>statistiques</w:t>
      </w:r>
      <w:r w:rsidR="00DB1635" w:rsidRPr="00B004EE">
        <w:rPr>
          <w:rFonts w:ascii="Tahoma" w:hAnsi="Tahoma" w:cs="Tahoma"/>
          <w:sz w:val="20"/>
          <w:szCs w:val="20"/>
        </w:rPr>
        <w:t xml:space="preserve"> </w:t>
      </w:r>
      <w:r w:rsidRPr="00B004EE">
        <w:rPr>
          <w:rFonts w:ascii="Tahoma" w:hAnsi="Tahoma" w:cs="Tahoma"/>
          <w:sz w:val="20"/>
          <w:szCs w:val="20"/>
        </w:rPr>
        <w:t>sur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captures</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conditions</w:t>
      </w:r>
      <w:r w:rsidR="00DB1635" w:rsidRPr="00B004EE">
        <w:rPr>
          <w:rFonts w:ascii="Tahoma" w:hAnsi="Tahoma" w:cs="Tahoma"/>
          <w:sz w:val="20"/>
          <w:szCs w:val="20"/>
        </w:rPr>
        <w:t xml:space="preserve"> </w:t>
      </w:r>
      <w:r w:rsidRPr="00B004EE">
        <w:rPr>
          <w:rFonts w:ascii="Tahoma" w:hAnsi="Tahoma" w:cs="Tahoma"/>
          <w:sz w:val="20"/>
          <w:szCs w:val="20"/>
        </w:rPr>
        <w:t>qui</w:t>
      </w:r>
      <w:r w:rsidR="00DB1635" w:rsidRPr="00B004EE">
        <w:rPr>
          <w:rFonts w:ascii="Tahoma" w:hAnsi="Tahoma" w:cs="Tahoma"/>
          <w:spacing w:val="41"/>
          <w:sz w:val="20"/>
          <w:szCs w:val="20"/>
        </w:rPr>
        <w:t xml:space="preserve"> </w:t>
      </w:r>
      <w:r w:rsidRPr="00B004EE">
        <w:rPr>
          <w:rFonts w:ascii="Tahoma" w:hAnsi="Tahoma" w:cs="Tahoma"/>
          <w:sz w:val="20"/>
          <w:szCs w:val="20"/>
        </w:rPr>
        <w:t>auront</w:t>
      </w:r>
      <w:r w:rsidR="00DB1635" w:rsidRPr="00B004EE">
        <w:rPr>
          <w:rFonts w:ascii="Tahoma" w:hAnsi="Tahoma" w:cs="Tahoma"/>
          <w:w w:val="94"/>
          <w:sz w:val="20"/>
          <w:szCs w:val="20"/>
        </w:rPr>
        <w:t xml:space="preserve"> </w:t>
      </w:r>
      <w:r w:rsidRPr="00B004EE">
        <w:rPr>
          <w:rFonts w:ascii="Tahoma" w:hAnsi="Tahoma" w:cs="Tahoma"/>
          <w:sz w:val="20"/>
          <w:szCs w:val="20"/>
        </w:rPr>
        <w:t>été</w:t>
      </w:r>
      <w:r w:rsidR="00DB1635" w:rsidRPr="00B004EE">
        <w:rPr>
          <w:rFonts w:ascii="Tahoma" w:hAnsi="Tahoma" w:cs="Tahoma"/>
          <w:sz w:val="20"/>
          <w:szCs w:val="20"/>
        </w:rPr>
        <w:t xml:space="preserve"> </w:t>
      </w:r>
      <w:r w:rsidRPr="00B004EE">
        <w:rPr>
          <w:rFonts w:ascii="Tahoma" w:hAnsi="Tahoma" w:cs="Tahoma"/>
          <w:sz w:val="20"/>
          <w:szCs w:val="20"/>
        </w:rPr>
        <w:t>requises</w:t>
      </w:r>
      <w:r w:rsidR="00DB1635" w:rsidRPr="00B004EE">
        <w:rPr>
          <w:rFonts w:ascii="Tahoma" w:hAnsi="Tahoma" w:cs="Tahoma"/>
          <w:spacing w:val="10"/>
          <w:sz w:val="20"/>
          <w:szCs w:val="20"/>
        </w:rPr>
        <w:t xml:space="preserve"> </w:t>
      </w:r>
      <w:r w:rsidRPr="00B004EE">
        <w:rPr>
          <w:rFonts w:ascii="Tahoma" w:hAnsi="Tahoma" w:cs="Tahoma"/>
          <w:sz w:val="20"/>
          <w:szCs w:val="20"/>
        </w:rPr>
        <w:t>;</w:t>
      </w:r>
    </w:p>
    <w:p w14:paraId="79BA7AE8" w14:textId="4D2BFBC1" w:rsidR="001E7C3C" w:rsidRPr="00B004EE" w:rsidRDefault="001E7C3C" w:rsidP="00420DDA">
      <w:pPr>
        <w:pStyle w:val="Paragraphedeliste"/>
        <w:widowControl w:val="0"/>
        <w:numPr>
          <w:ilvl w:val="1"/>
          <w:numId w:val="28"/>
        </w:numPr>
        <w:tabs>
          <w:tab w:val="left" w:pos="1154"/>
        </w:tabs>
        <w:ind w:left="426" w:right="160"/>
        <w:jc w:val="both"/>
        <w:rPr>
          <w:rFonts w:ascii="Tahoma" w:eastAsia="American Typewriter" w:hAnsi="Tahoma" w:cs="Tahoma"/>
          <w:sz w:val="20"/>
          <w:szCs w:val="20"/>
        </w:rPr>
      </w:pPr>
      <w:proofErr w:type="gramStart"/>
      <w:r w:rsidRPr="00B004EE">
        <w:rPr>
          <w:rFonts w:ascii="Tahoma" w:eastAsia="American Typewriter" w:hAnsi="Tahoma" w:cs="Tahoma"/>
          <w:sz w:val="20"/>
          <w:szCs w:val="20"/>
        </w:rPr>
        <w:t>prévoir</w:t>
      </w:r>
      <w:proofErr w:type="gramEnd"/>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l'obligation</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l’État</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du</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port</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ou</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toute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autre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entité</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compétente</w:t>
      </w:r>
      <w:r w:rsidR="00DB1635" w:rsidRPr="00B004EE">
        <w:rPr>
          <w:rFonts w:ascii="Tahoma" w:eastAsia="American Typewriter" w:hAnsi="Tahoma" w:cs="Tahoma"/>
          <w:w w:val="95"/>
          <w:sz w:val="20"/>
          <w:szCs w:val="20"/>
        </w:rPr>
        <w:t xml:space="preserve"> </w:t>
      </w:r>
      <w:r w:rsidRPr="00B004EE">
        <w:rPr>
          <w:rFonts w:ascii="Tahoma" w:eastAsia="American Typewriter" w:hAnsi="Tahoma" w:cs="Tahoma"/>
          <w:sz w:val="20"/>
          <w:szCs w:val="20"/>
        </w:rPr>
        <w:t>d'adopter</w:t>
      </w:r>
      <w:r w:rsidR="00DB1635" w:rsidRPr="00B004EE">
        <w:rPr>
          <w:rFonts w:ascii="Tahoma" w:eastAsia="American Typewriter" w:hAnsi="Tahoma" w:cs="Tahoma"/>
          <w:spacing w:val="-17"/>
          <w:sz w:val="20"/>
          <w:szCs w:val="20"/>
        </w:rPr>
        <w:t xml:space="preserve"> </w:t>
      </w:r>
      <w:r w:rsidRPr="00B004EE">
        <w:rPr>
          <w:rFonts w:ascii="Tahoma" w:eastAsia="American Typewriter" w:hAnsi="Tahoma" w:cs="Tahoma"/>
          <w:sz w:val="20"/>
          <w:szCs w:val="20"/>
        </w:rPr>
        <w:t>toutes</w:t>
      </w:r>
      <w:r w:rsidR="00DB1635" w:rsidRPr="00B004EE">
        <w:rPr>
          <w:rFonts w:ascii="Tahoma" w:eastAsia="American Typewriter" w:hAnsi="Tahoma" w:cs="Tahoma"/>
          <w:spacing w:val="-16"/>
          <w:sz w:val="20"/>
          <w:szCs w:val="20"/>
        </w:rPr>
        <w:t xml:space="preserve"> </w:t>
      </w:r>
      <w:r w:rsidRPr="00B004EE">
        <w:rPr>
          <w:rFonts w:ascii="Tahoma" w:eastAsia="American Typewriter" w:hAnsi="Tahoma" w:cs="Tahoma"/>
          <w:sz w:val="20"/>
          <w:szCs w:val="20"/>
        </w:rPr>
        <w:t>les</w:t>
      </w:r>
      <w:r w:rsidR="00DB1635" w:rsidRPr="00B004EE">
        <w:rPr>
          <w:rFonts w:ascii="Tahoma" w:eastAsia="American Typewriter" w:hAnsi="Tahoma" w:cs="Tahoma"/>
          <w:spacing w:val="-17"/>
          <w:sz w:val="20"/>
          <w:szCs w:val="20"/>
        </w:rPr>
        <w:t xml:space="preserve"> </w:t>
      </w:r>
      <w:r w:rsidRPr="00B004EE">
        <w:rPr>
          <w:rFonts w:ascii="Tahoma" w:eastAsia="American Typewriter" w:hAnsi="Tahoma" w:cs="Tahoma"/>
          <w:sz w:val="20"/>
          <w:szCs w:val="20"/>
        </w:rPr>
        <w:t>mesures</w:t>
      </w:r>
      <w:r w:rsidR="00DB1635" w:rsidRPr="00B004EE">
        <w:rPr>
          <w:rFonts w:ascii="Tahoma" w:eastAsia="American Typewriter" w:hAnsi="Tahoma" w:cs="Tahoma"/>
          <w:spacing w:val="-17"/>
          <w:sz w:val="20"/>
          <w:szCs w:val="20"/>
        </w:rPr>
        <w:t xml:space="preserve"> </w:t>
      </w:r>
      <w:r w:rsidRPr="00B004EE">
        <w:rPr>
          <w:rFonts w:ascii="Tahoma" w:eastAsia="American Typewriter" w:hAnsi="Tahoma" w:cs="Tahoma"/>
          <w:sz w:val="20"/>
          <w:szCs w:val="20"/>
        </w:rPr>
        <w:t>appropriées</w:t>
      </w:r>
      <w:r w:rsidR="00DB1635" w:rsidRPr="00B004EE">
        <w:rPr>
          <w:rFonts w:ascii="Tahoma" w:eastAsia="American Typewriter" w:hAnsi="Tahoma" w:cs="Tahoma"/>
          <w:spacing w:val="-17"/>
          <w:sz w:val="20"/>
          <w:szCs w:val="20"/>
        </w:rPr>
        <w:t xml:space="preserve"> </w:t>
      </w:r>
      <w:r w:rsidRPr="00B004EE">
        <w:rPr>
          <w:rFonts w:ascii="Tahoma" w:eastAsia="American Typewriter" w:hAnsi="Tahoma" w:cs="Tahoma"/>
          <w:sz w:val="20"/>
          <w:szCs w:val="20"/>
        </w:rPr>
        <w:t>afin</w:t>
      </w:r>
      <w:r w:rsidR="00DB1635" w:rsidRPr="00B004EE">
        <w:rPr>
          <w:rFonts w:ascii="Tahoma" w:eastAsia="American Typewriter" w:hAnsi="Tahoma" w:cs="Tahoma"/>
          <w:spacing w:val="-16"/>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pacing w:val="-16"/>
          <w:sz w:val="20"/>
          <w:szCs w:val="20"/>
        </w:rPr>
        <w:t xml:space="preserve"> </w:t>
      </w:r>
      <w:r w:rsidRPr="00B004EE">
        <w:rPr>
          <w:rFonts w:ascii="Tahoma" w:eastAsia="American Typewriter" w:hAnsi="Tahoma" w:cs="Tahoma"/>
          <w:sz w:val="20"/>
          <w:szCs w:val="20"/>
        </w:rPr>
        <w:t>garantir</w:t>
      </w:r>
      <w:r w:rsidR="00DB1635" w:rsidRPr="00B004EE">
        <w:rPr>
          <w:rFonts w:ascii="Tahoma" w:eastAsia="American Typewriter" w:hAnsi="Tahoma" w:cs="Tahoma"/>
          <w:spacing w:val="-17"/>
          <w:sz w:val="20"/>
          <w:szCs w:val="20"/>
        </w:rPr>
        <w:t xml:space="preserve"> </w:t>
      </w:r>
      <w:r w:rsidRPr="00B004EE">
        <w:rPr>
          <w:rFonts w:ascii="Tahoma" w:eastAsia="American Typewriter" w:hAnsi="Tahoma" w:cs="Tahoma"/>
          <w:sz w:val="20"/>
          <w:szCs w:val="20"/>
        </w:rPr>
        <w:t>que</w:t>
      </w:r>
      <w:r w:rsidR="00DB1635" w:rsidRPr="00B004EE">
        <w:rPr>
          <w:rFonts w:ascii="Tahoma" w:eastAsia="American Typewriter" w:hAnsi="Tahoma" w:cs="Tahoma"/>
          <w:spacing w:val="-16"/>
          <w:sz w:val="20"/>
          <w:szCs w:val="20"/>
        </w:rPr>
        <w:t xml:space="preserve"> </w:t>
      </w:r>
      <w:r w:rsidRPr="00B004EE">
        <w:rPr>
          <w:rFonts w:ascii="Tahoma" w:eastAsia="American Typewriter" w:hAnsi="Tahoma" w:cs="Tahoma"/>
          <w:sz w:val="20"/>
          <w:szCs w:val="20"/>
        </w:rPr>
        <w:t>ses</w:t>
      </w:r>
      <w:r w:rsidR="00DB1635" w:rsidRPr="00B004EE">
        <w:rPr>
          <w:rFonts w:ascii="Tahoma" w:eastAsia="American Typewriter" w:hAnsi="Tahoma" w:cs="Tahoma"/>
          <w:spacing w:val="-18"/>
          <w:sz w:val="20"/>
          <w:szCs w:val="20"/>
        </w:rPr>
        <w:t xml:space="preserve"> </w:t>
      </w:r>
      <w:r w:rsidRPr="00B004EE">
        <w:rPr>
          <w:rFonts w:ascii="Tahoma" w:eastAsia="American Typewriter" w:hAnsi="Tahoma" w:cs="Tahoma"/>
          <w:sz w:val="20"/>
          <w:szCs w:val="20"/>
        </w:rPr>
        <w:t>navires</w:t>
      </w:r>
      <w:r w:rsidR="00DB1635" w:rsidRPr="00B004EE">
        <w:rPr>
          <w:rFonts w:ascii="Tahoma" w:eastAsia="American Typewriter" w:hAnsi="Tahoma" w:cs="Tahoma"/>
          <w:w w:val="94"/>
          <w:sz w:val="20"/>
          <w:szCs w:val="20"/>
        </w:rPr>
        <w:t xml:space="preserve"> </w:t>
      </w:r>
      <w:r w:rsidRPr="00B004EE">
        <w:rPr>
          <w:rFonts w:ascii="Tahoma" w:eastAsia="American Typewriter" w:hAnsi="Tahoma" w:cs="Tahoma"/>
          <w:sz w:val="20"/>
          <w:szCs w:val="20"/>
        </w:rPr>
        <w:t>respectent</w:t>
      </w:r>
      <w:r w:rsidR="00DB1635" w:rsidRPr="00B004EE">
        <w:rPr>
          <w:rFonts w:ascii="Tahoma" w:eastAsia="American Typewriter" w:hAnsi="Tahoma" w:cs="Tahoma"/>
          <w:spacing w:val="-33"/>
          <w:sz w:val="20"/>
          <w:szCs w:val="20"/>
        </w:rPr>
        <w:t xml:space="preserve"> </w:t>
      </w:r>
      <w:r w:rsidRPr="00B004EE">
        <w:rPr>
          <w:rFonts w:ascii="Tahoma" w:eastAsia="American Typewriter" w:hAnsi="Tahoma" w:cs="Tahoma"/>
          <w:sz w:val="20"/>
          <w:szCs w:val="20"/>
        </w:rPr>
        <w:t>les</w:t>
      </w:r>
      <w:r w:rsidR="00DB1635" w:rsidRPr="00B004EE">
        <w:rPr>
          <w:rFonts w:ascii="Tahoma" w:eastAsia="American Typewriter" w:hAnsi="Tahoma" w:cs="Tahoma"/>
          <w:spacing w:val="-33"/>
          <w:sz w:val="20"/>
          <w:szCs w:val="20"/>
        </w:rPr>
        <w:t xml:space="preserve"> </w:t>
      </w:r>
      <w:r w:rsidRPr="00B004EE">
        <w:rPr>
          <w:rFonts w:ascii="Tahoma" w:eastAsia="American Typewriter" w:hAnsi="Tahoma" w:cs="Tahoma"/>
          <w:sz w:val="20"/>
          <w:szCs w:val="20"/>
        </w:rPr>
        <w:t>termes</w:t>
      </w:r>
      <w:r w:rsidR="00DB1635" w:rsidRPr="00B004EE">
        <w:rPr>
          <w:rFonts w:ascii="Tahoma" w:eastAsia="American Typewriter" w:hAnsi="Tahoma" w:cs="Tahoma"/>
          <w:spacing w:val="-33"/>
          <w:sz w:val="20"/>
          <w:szCs w:val="20"/>
        </w:rPr>
        <w:t xml:space="preserve"> </w:t>
      </w:r>
      <w:r w:rsidRPr="00B004EE">
        <w:rPr>
          <w:rFonts w:ascii="Tahoma" w:eastAsia="American Typewriter" w:hAnsi="Tahoma" w:cs="Tahoma"/>
          <w:sz w:val="20"/>
          <w:szCs w:val="20"/>
        </w:rPr>
        <w:t>et</w:t>
      </w:r>
      <w:r w:rsidR="00DB1635" w:rsidRPr="00B004EE">
        <w:rPr>
          <w:rFonts w:ascii="Tahoma" w:eastAsia="American Typewriter" w:hAnsi="Tahoma" w:cs="Tahoma"/>
          <w:spacing w:val="-33"/>
          <w:sz w:val="20"/>
          <w:szCs w:val="20"/>
        </w:rPr>
        <w:t xml:space="preserve"> </w:t>
      </w:r>
      <w:r w:rsidRPr="00B004EE">
        <w:rPr>
          <w:rFonts w:ascii="Tahoma" w:eastAsia="American Typewriter" w:hAnsi="Tahoma" w:cs="Tahoma"/>
          <w:sz w:val="20"/>
          <w:szCs w:val="20"/>
        </w:rPr>
        <w:t>conditions</w:t>
      </w:r>
      <w:r w:rsidR="00DB1635" w:rsidRPr="00B004EE">
        <w:rPr>
          <w:rFonts w:ascii="Tahoma" w:eastAsia="American Typewriter" w:hAnsi="Tahoma" w:cs="Tahoma"/>
          <w:spacing w:val="-33"/>
          <w:sz w:val="20"/>
          <w:szCs w:val="20"/>
        </w:rPr>
        <w:t xml:space="preserve"> </w:t>
      </w:r>
      <w:r w:rsidRPr="00B004EE">
        <w:rPr>
          <w:rFonts w:ascii="Tahoma" w:eastAsia="American Typewriter" w:hAnsi="Tahoma" w:cs="Tahoma"/>
          <w:sz w:val="20"/>
          <w:szCs w:val="20"/>
        </w:rPr>
        <w:t>des</w:t>
      </w:r>
      <w:r w:rsidR="00DB1635" w:rsidRPr="00B004EE">
        <w:rPr>
          <w:rFonts w:ascii="Tahoma" w:eastAsia="American Typewriter" w:hAnsi="Tahoma" w:cs="Tahoma"/>
          <w:spacing w:val="-34"/>
          <w:sz w:val="20"/>
          <w:szCs w:val="20"/>
        </w:rPr>
        <w:t xml:space="preserve"> </w:t>
      </w:r>
      <w:r w:rsidRPr="00B004EE">
        <w:rPr>
          <w:rFonts w:ascii="Tahoma" w:eastAsia="American Typewriter" w:hAnsi="Tahoma" w:cs="Tahoma"/>
          <w:sz w:val="20"/>
          <w:szCs w:val="20"/>
        </w:rPr>
        <w:t>Accords</w:t>
      </w:r>
      <w:r w:rsidR="00DB1635" w:rsidRPr="00B004EE">
        <w:rPr>
          <w:rFonts w:ascii="Tahoma" w:eastAsia="American Typewriter" w:hAnsi="Tahoma" w:cs="Tahoma"/>
          <w:spacing w:val="-34"/>
          <w:sz w:val="20"/>
          <w:szCs w:val="20"/>
        </w:rPr>
        <w:t xml:space="preserve"> </w:t>
      </w:r>
      <w:r w:rsidRPr="00B004EE">
        <w:rPr>
          <w:rFonts w:ascii="Tahoma" w:eastAsia="American Typewriter" w:hAnsi="Tahoma" w:cs="Tahoma"/>
          <w:sz w:val="20"/>
          <w:szCs w:val="20"/>
        </w:rPr>
        <w:t>ou</w:t>
      </w:r>
      <w:r w:rsidR="00DB1635" w:rsidRPr="00B004EE">
        <w:rPr>
          <w:rFonts w:ascii="Tahoma" w:eastAsia="American Typewriter" w:hAnsi="Tahoma" w:cs="Tahoma"/>
          <w:spacing w:val="-34"/>
          <w:sz w:val="20"/>
          <w:szCs w:val="20"/>
        </w:rPr>
        <w:t xml:space="preserve"> </w:t>
      </w:r>
      <w:r w:rsidRPr="00B004EE">
        <w:rPr>
          <w:rFonts w:ascii="Tahoma" w:eastAsia="American Typewriter" w:hAnsi="Tahoma" w:cs="Tahoma"/>
          <w:sz w:val="20"/>
          <w:szCs w:val="20"/>
        </w:rPr>
        <w:t>autres</w:t>
      </w:r>
      <w:r w:rsidR="00DB1635" w:rsidRPr="00B004EE">
        <w:rPr>
          <w:rFonts w:ascii="Tahoma" w:eastAsia="American Typewriter" w:hAnsi="Tahoma" w:cs="Tahoma"/>
          <w:spacing w:val="-34"/>
          <w:sz w:val="20"/>
          <w:szCs w:val="20"/>
        </w:rPr>
        <w:t xml:space="preserve"> </w:t>
      </w:r>
      <w:r w:rsidRPr="00B004EE">
        <w:rPr>
          <w:rFonts w:ascii="Tahoma" w:eastAsia="American Typewriter" w:hAnsi="Tahoma" w:cs="Tahoma"/>
          <w:sz w:val="20"/>
          <w:szCs w:val="20"/>
        </w:rPr>
        <w:t>arrangements</w:t>
      </w:r>
      <w:r w:rsidR="00DB1635" w:rsidRPr="00B004EE">
        <w:rPr>
          <w:rFonts w:ascii="Tahoma" w:eastAsia="American Typewriter" w:hAnsi="Tahoma" w:cs="Tahoma"/>
          <w:spacing w:val="-34"/>
          <w:sz w:val="20"/>
          <w:szCs w:val="20"/>
        </w:rPr>
        <w:t xml:space="preserve"> </w:t>
      </w:r>
      <w:r w:rsidRPr="00B004EE">
        <w:rPr>
          <w:rFonts w:ascii="Tahoma" w:eastAsia="American Typewriter" w:hAnsi="Tahoma" w:cs="Tahoma"/>
          <w:sz w:val="20"/>
          <w:szCs w:val="20"/>
        </w:rPr>
        <w:t>et</w:t>
      </w:r>
      <w:r w:rsidR="00DB1635" w:rsidRPr="00B004EE">
        <w:rPr>
          <w:rFonts w:ascii="Tahoma" w:eastAsia="American Typewriter" w:hAnsi="Tahoma" w:cs="Tahoma"/>
          <w:w w:val="95"/>
          <w:sz w:val="20"/>
          <w:szCs w:val="20"/>
        </w:rPr>
        <w:t xml:space="preserve"> </w:t>
      </w:r>
      <w:r w:rsidRPr="00B004EE">
        <w:rPr>
          <w:rFonts w:ascii="Tahoma" w:eastAsia="American Typewriter" w:hAnsi="Tahoma" w:cs="Tahoma"/>
          <w:sz w:val="20"/>
          <w:szCs w:val="20"/>
        </w:rPr>
        <w:t>les</w:t>
      </w:r>
      <w:r w:rsidR="00DB1635" w:rsidRPr="00B004EE">
        <w:rPr>
          <w:rFonts w:ascii="Tahoma" w:eastAsia="American Typewriter" w:hAnsi="Tahoma" w:cs="Tahoma"/>
          <w:spacing w:val="31"/>
          <w:sz w:val="20"/>
          <w:szCs w:val="20"/>
        </w:rPr>
        <w:t xml:space="preserve"> </w:t>
      </w:r>
      <w:r w:rsidRPr="00B004EE">
        <w:rPr>
          <w:rFonts w:ascii="Tahoma" w:eastAsia="American Typewriter" w:hAnsi="Tahoma" w:cs="Tahoma"/>
          <w:sz w:val="20"/>
          <w:szCs w:val="20"/>
        </w:rPr>
        <w:t>dispositions</w:t>
      </w:r>
      <w:r w:rsidR="00DB1635" w:rsidRPr="00B004EE">
        <w:rPr>
          <w:rFonts w:ascii="Tahoma" w:eastAsia="American Typewriter" w:hAnsi="Tahoma" w:cs="Tahoma"/>
          <w:spacing w:val="31"/>
          <w:sz w:val="20"/>
          <w:szCs w:val="20"/>
        </w:rPr>
        <w:t xml:space="preserve"> </w:t>
      </w:r>
      <w:r w:rsidRPr="00B004EE">
        <w:rPr>
          <w:rFonts w:ascii="Tahoma" w:eastAsia="American Typewriter" w:hAnsi="Tahoma" w:cs="Tahoma"/>
          <w:sz w:val="20"/>
          <w:szCs w:val="20"/>
        </w:rPr>
        <w:t>pertinentes</w:t>
      </w:r>
      <w:r w:rsidR="00DB1635" w:rsidRPr="00B004EE">
        <w:rPr>
          <w:rFonts w:ascii="Tahoma" w:eastAsia="American Typewriter" w:hAnsi="Tahoma" w:cs="Tahoma"/>
          <w:spacing w:val="31"/>
          <w:sz w:val="20"/>
          <w:szCs w:val="20"/>
        </w:rPr>
        <w:t xml:space="preserve"> </w:t>
      </w:r>
      <w:r w:rsidRPr="00B004EE">
        <w:rPr>
          <w:rFonts w:ascii="Tahoma" w:eastAsia="American Typewriter" w:hAnsi="Tahoma" w:cs="Tahoma"/>
          <w:sz w:val="20"/>
          <w:szCs w:val="20"/>
        </w:rPr>
        <w:t>des</w:t>
      </w:r>
      <w:r w:rsidR="00DB1635" w:rsidRPr="00B004EE">
        <w:rPr>
          <w:rFonts w:ascii="Tahoma" w:eastAsia="American Typewriter" w:hAnsi="Tahoma" w:cs="Tahoma"/>
          <w:spacing w:val="33"/>
          <w:sz w:val="20"/>
          <w:szCs w:val="20"/>
        </w:rPr>
        <w:t xml:space="preserve"> </w:t>
      </w:r>
      <w:r w:rsidRPr="00B004EE">
        <w:rPr>
          <w:rFonts w:ascii="Tahoma" w:eastAsia="American Typewriter" w:hAnsi="Tahoma" w:cs="Tahoma"/>
          <w:sz w:val="20"/>
          <w:szCs w:val="20"/>
        </w:rPr>
        <w:t>lois</w:t>
      </w:r>
      <w:r w:rsidR="00DB1635" w:rsidRPr="00B004EE">
        <w:rPr>
          <w:rFonts w:ascii="Tahoma" w:eastAsia="American Typewriter" w:hAnsi="Tahoma" w:cs="Tahoma"/>
          <w:spacing w:val="31"/>
          <w:sz w:val="20"/>
          <w:szCs w:val="20"/>
        </w:rPr>
        <w:t xml:space="preserve"> </w:t>
      </w:r>
      <w:r w:rsidRPr="00B004EE">
        <w:rPr>
          <w:rFonts w:ascii="Tahoma" w:eastAsia="American Typewriter" w:hAnsi="Tahoma" w:cs="Tahoma"/>
          <w:sz w:val="20"/>
          <w:szCs w:val="20"/>
        </w:rPr>
        <w:t>et</w:t>
      </w:r>
      <w:r w:rsidR="00DB1635" w:rsidRPr="00B004EE">
        <w:rPr>
          <w:rFonts w:ascii="Tahoma" w:eastAsia="American Typewriter" w:hAnsi="Tahoma" w:cs="Tahoma"/>
          <w:spacing w:val="32"/>
          <w:sz w:val="20"/>
          <w:szCs w:val="20"/>
        </w:rPr>
        <w:t xml:space="preserve"> </w:t>
      </w:r>
      <w:r w:rsidRPr="00B004EE">
        <w:rPr>
          <w:rFonts w:ascii="Tahoma" w:eastAsia="American Typewriter" w:hAnsi="Tahoma" w:cs="Tahoma"/>
          <w:sz w:val="20"/>
          <w:szCs w:val="20"/>
        </w:rPr>
        <w:t>règlements</w:t>
      </w:r>
      <w:r w:rsidR="00DB1635" w:rsidRPr="00B004EE">
        <w:rPr>
          <w:rFonts w:ascii="Tahoma" w:eastAsia="American Typewriter" w:hAnsi="Tahoma" w:cs="Tahoma"/>
          <w:spacing w:val="31"/>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pacing w:val="29"/>
          <w:sz w:val="20"/>
          <w:szCs w:val="20"/>
        </w:rPr>
        <w:t xml:space="preserve"> </w:t>
      </w:r>
      <w:r w:rsidRPr="00B004EE">
        <w:rPr>
          <w:rFonts w:ascii="Tahoma" w:eastAsia="American Typewriter" w:hAnsi="Tahoma" w:cs="Tahoma"/>
          <w:sz w:val="20"/>
          <w:szCs w:val="20"/>
        </w:rPr>
        <w:t>la</w:t>
      </w:r>
      <w:r w:rsidR="00DB1635" w:rsidRPr="00B004EE">
        <w:rPr>
          <w:rFonts w:ascii="Tahoma" w:eastAsia="American Typewriter" w:hAnsi="Tahoma" w:cs="Tahoma"/>
          <w:spacing w:val="30"/>
          <w:sz w:val="20"/>
          <w:szCs w:val="20"/>
        </w:rPr>
        <w:t xml:space="preserve"> </w:t>
      </w:r>
      <w:r w:rsidRPr="00B004EE">
        <w:rPr>
          <w:rFonts w:ascii="Tahoma" w:eastAsia="American Typewriter" w:hAnsi="Tahoma" w:cs="Tahoma"/>
          <w:sz w:val="20"/>
          <w:szCs w:val="20"/>
        </w:rPr>
        <w:t>Mauritanie</w:t>
      </w:r>
      <w:r w:rsidR="00DB1635" w:rsidRPr="00B004EE">
        <w:rPr>
          <w:rFonts w:ascii="Tahoma" w:eastAsia="American Typewriter" w:hAnsi="Tahoma" w:cs="Tahoma"/>
          <w:spacing w:val="29"/>
          <w:sz w:val="20"/>
          <w:szCs w:val="20"/>
        </w:rPr>
        <w:t xml:space="preserve"> </w:t>
      </w:r>
      <w:r w:rsidRPr="00B004EE">
        <w:rPr>
          <w:rFonts w:ascii="Tahoma" w:eastAsia="American Typewriter" w:hAnsi="Tahoma" w:cs="Tahoma"/>
          <w:sz w:val="20"/>
          <w:szCs w:val="20"/>
        </w:rPr>
        <w:t>et</w:t>
      </w:r>
      <w:r w:rsidR="00DB1635" w:rsidRPr="00B004EE">
        <w:rPr>
          <w:rFonts w:ascii="Tahoma" w:eastAsia="American Typewriter" w:hAnsi="Tahoma" w:cs="Tahoma"/>
          <w:w w:val="95"/>
          <w:sz w:val="20"/>
          <w:szCs w:val="20"/>
        </w:rPr>
        <w:t xml:space="preserve"> </w:t>
      </w:r>
      <w:r w:rsidRPr="00B004EE">
        <w:rPr>
          <w:rFonts w:ascii="Tahoma" w:eastAsia="American Typewriter" w:hAnsi="Tahoma" w:cs="Tahoma"/>
          <w:sz w:val="20"/>
          <w:szCs w:val="20"/>
        </w:rPr>
        <w:t>notamment</w:t>
      </w:r>
      <w:r w:rsidR="00DB1635" w:rsidRPr="00B004EE">
        <w:rPr>
          <w:rFonts w:ascii="Tahoma" w:eastAsia="American Typewriter" w:hAnsi="Tahoma" w:cs="Tahoma"/>
          <w:spacing w:val="-19"/>
          <w:sz w:val="20"/>
          <w:szCs w:val="20"/>
        </w:rPr>
        <w:t xml:space="preserve"> </w:t>
      </w:r>
      <w:r w:rsidRPr="00B004EE">
        <w:rPr>
          <w:rFonts w:ascii="Tahoma" w:eastAsia="American Typewriter" w:hAnsi="Tahoma" w:cs="Tahoma"/>
          <w:sz w:val="20"/>
          <w:szCs w:val="20"/>
        </w:rPr>
        <w:t>les</w:t>
      </w:r>
      <w:r w:rsidR="00DB1635" w:rsidRPr="00B004EE">
        <w:rPr>
          <w:rFonts w:ascii="Tahoma" w:eastAsia="American Typewriter" w:hAnsi="Tahoma" w:cs="Tahoma"/>
          <w:spacing w:val="-20"/>
          <w:sz w:val="20"/>
          <w:szCs w:val="20"/>
        </w:rPr>
        <w:t xml:space="preserve"> </w:t>
      </w:r>
      <w:r w:rsidRPr="00B004EE">
        <w:rPr>
          <w:rFonts w:ascii="Tahoma" w:eastAsia="American Typewriter" w:hAnsi="Tahoma" w:cs="Tahoma"/>
          <w:sz w:val="20"/>
          <w:szCs w:val="20"/>
        </w:rPr>
        <w:t>dispositions</w:t>
      </w:r>
      <w:r w:rsidR="00DB1635" w:rsidRPr="00B004EE">
        <w:rPr>
          <w:rFonts w:ascii="Tahoma" w:eastAsia="American Typewriter" w:hAnsi="Tahoma" w:cs="Tahoma"/>
          <w:spacing w:val="-20"/>
          <w:sz w:val="20"/>
          <w:szCs w:val="20"/>
        </w:rPr>
        <w:t xml:space="preserve"> </w:t>
      </w:r>
      <w:r w:rsidRPr="00B004EE">
        <w:rPr>
          <w:rFonts w:ascii="Tahoma" w:eastAsia="American Typewriter" w:hAnsi="Tahoma" w:cs="Tahoma"/>
          <w:sz w:val="20"/>
          <w:szCs w:val="20"/>
        </w:rPr>
        <w:t>des</w:t>
      </w:r>
      <w:r w:rsidR="00DB1635" w:rsidRPr="00B004EE">
        <w:rPr>
          <w:rFonts w:ascii="Tahoma" w:eastAsia="American Typewriter" w:hAnsi="Tahoma" w:cs="Tahoma"/>
          <w:spacing w:val="-20"/>
          <w:sz w:val="20"/>
          <w:szCs w:val="20"/>
        </w:rPr>
        <w:t xml:space="preserve"> </w:t>
      </w:r>
      <w:r w:rsidRPr="00B004EE">
        <w:rPr>
          <w:rFonts w:ascii="Tahoma" w:eastAsia="American Typewriter" w:hAnsi="Tahoma" w:cs="Tahoma"/>
          <w:sz w:val="20"/>
          <w:szCs w:val="20"/>
        </w:rPr>
        <w:t>plans</w:t>
      </w:r>
      <w:r w:rsidR="00DB1635" w:rsidRPr="00B004EE">
        <w:rPr>
          <w:rFonts w:ascii="Tahoma" w:eastAsia="American Typewriter" w:hAnsi="Tahoma" w:cs="Tahoma"/>
          <w:spacing w:val="-20"/>
          <w:sz w:val="20"/>
          <w:szCs w:val="20"/>
        </w:rPr>
        <w:t xml:space="preserve"> </w:t>
      </w:r>
      <w:r w:rsidRPr="00B004EE">
        <w:rPr>
          <w:rFonts w:ascii="Tahoma" w:eastAsia="American Typewriter" w:hAnsi="Tahoma" w:cs="Tahoma"/>
          <w:sz w:val="20"/>
          <w:szCs w:val="20"/>
        </w:rPr>
        <w:t>d'aménagement</w:t>
      </w:r>
      <w:r w:rsidR="00DB1635" w:rsidRPr="00B004EE">
        <w:rPr>
          <w:rFonts w:ascii="Tahoma" w:eastAsia="American Typewriter" w:hAnsi="Tahoma" w:cs="Tahoma"/>
          <w:spacing w:val="-20"/>
          <w:sz w:val="20"/>
          <w:szCs w:val="20"/>
        </w:rPr>
        <w:t xml:space="preserve"> </w:t>
      </w:r>
      <w:r w:rsidRPr="00B004EE">
        <w:rPr>
          <w:rFonts w:ascii="Tahoma" w:eastAsia="American Typewriter" w:hAnsi="Tahoma" w:cs="Tahoma"/>
          <w:sz w:val="20"/>
          <w:szCs w:val="20"/>
        </w:rPr>
        <w:t>des</w:t>
      </w:r>
      <w:r w:rsidR="00DB1635" w:rsidRPr="00B004EE">
        <w:rPr>
          <w:rFonts w:ascii="Tahoma" w:eastAsia="American Typewriter" w:hAnsi="Tahoma" w:cs="Tahoma"/>
          <w:spacing w:val="-21"/>
          <w:sz w:val="20"/>
          <w:szCs w:val="20"/>
        </w:rPr>
        <w:t xml:space="preserve"> </w:t>
      </w:r>
      <w:r w:rsidRPr="00B004EE">
        <w:rPr>
          <w:rFonts w:ascii="Tahoma" w:eastAsia="American Typewriter" w:hAnsi="Tahoma" w:cs="Tahoma"/>
          <w:sz w:val="20"/>
          <w:szCs w:val="20"/>
        </w:rPr>
        <w:t>pêcheries</w:t>
      </w:r>
      <w:r w:rsidR="00DB1635" w:rsidRPr="00B004EE">
        <w:rPr>
          <w:rFonts w:ascii="Tahoma" w:eastAsia="American Typewriter" w:hAnsi="Tahoma" w:cs="Tahoma"/>
          <w:spacing w:val="-21"/>
          <w:sz w:val="20"/>
          <w:szCs w:val="20"/>
        </w:rPr>
        <w:t xml:space="preserve"> </w:t>
      </w:r>
      <w:r w:rsidRPr="00B004EE">
        <w:rPr>
          <w:rFonts w:ascii="Tahoma" w:eastAsia="American Typewriter" w:hAnsi="Tahoma" w:cs="Tahoma"/>
          <w:sz w:val="20"/>
          <w:szCs w:val="20"/>
        </w:rPr>
        <w:t>ainsi</w:t>
      </w:r>
      <w:r w:rsidR="00DB1635" w:rsidRPr="00B004EE">
        <w:rPr>
          <w:rFonts w:ascii="Tahoma" w:eastAsia="American Typewriter" w:hAnsi="Tahoma" w:cs="Tahoma"/>
          <w:w w:val="101"/>
          <w:sz w:val="20"/>
          <w:szCs w:val="20"/>
        </w:rPr>
        <w:t xml:space="preserve"> </w:t>
      </w:r>
      <w:r w:rsidRPr="00B004EE">
        <w:rPr>
          <w:rFonts w:ascii="Tahoma" w:eastAsia="American Typewriter" w:hAnsi="Tahoma" w:cs="Tahoma"/>
          <w:sz w:val="20"/>
          <w:szCs w:val="20"/>
        </w:rPr>
        <w:t>que</w:t>
      </w:r>
      <w:r w:rsidR="00DB1635" w:rsidRPr="00B004EE">
        <w:rPr>
          <w:rFonts w:ascii="Tahoma" w:eastAsia="American Typewriter" w:hAnsi="Tahoma" w:cs="Tahoma"/>
          <w:spacing w:val="-30"/>
          <w:sz w:val="20"/>
          <w:szCs w:val="20"/>
        </w:rPr>
        <w:t xml:space="preserve"> </w:t>
      </w:r>
      <w:r w:rsidRPr="00B004EE">
        <w:rPr>
          <w:rFonts w:ascii="Tahoma" w:eastAsia="American Typewriter" w:hAnsi="Tahoma" w:cs="Tahoma"/>
          <w:sz w:val="20"/>
          <w:szCs w:val="20"/>
        </w:rPr>
        <w:t>les</w:t>
      </w:r>
      <w:r w:rsidR="00DB1635" w:rsidRPr="00B004EE">
        <w:rPr>
          <w:rFonts w:ascii="Tahoma" w:eastAsia="American Typewriter" w:hAnsi="Tahoma" w:cs="Tahoma"/>
          <w:spacing w:val="-30"/>
          <w:sz w:val="20"/>
          <w:szCs w:val="20"/>
        </w:rPr>
        <w:t xml:space="preserve"> </w:t>
      </w:r>
      <w:r w:rsidRPr="00B004EE">
        <w:rPr>
          <w:rFonts w:ascii="Tahoma" w:eastAsia="American Typewriter" w:hAnsi="Tahoma" w:cs="Tahoma"/>
          <w:sz w:val="20"/>
          <w:szCs w:val="20"/>
        </w:rPr>
        <w:t>formalités</w:t>
      </w:r>
      <w:r w:rsidR="00DB1635" w:rsidRPr="00B004EE">
        <w:rPr>
          <w:rFonts w:ascii="Tahoma" w:eastAsia="American Typewriter" w:hAnsi="Tahoma" w:cs="Tahoma"/>
          <w:spacing w:val="-30"/>
          <w:sz w:val="20"/>
          <w:szCs w:val="20"/>
        </w:rPr>
        <w:t xml:space="preserve"> </w:t>
      </w:r>
      <w:r w:rsidRPr="00B004EE">
        <w:rPr>
          <w:rFonts w:ascii="Tahoma" w:eastAsia="American Typewriter" w:hAnsi="Tahoma" w:cs="Tahoma"/>
          <w:sz w:val="20"/>
          <w:szCs w:val="20"/>
        </w:rPr>
        <w:t>relatives</w:t>
      </w:r>
      <w:r w:rsidR="00DB1635" w:rsidRPr="00B004EE">
        <w:rPr>
          <w:rFonts w:ascii="Tahoma" w:eastAsia="American Typewriter" w:hAnsi="Tahoma" w:cs="Tahoma"/>
          <w:spacing w:val="-30"/>
          <w:sz w:val="20"/>
          <w:szCs w:val="20"/>
        </w:rPr>
        <w:t xml:space="preserve"> </w:t>
      </w:r>
      <w:r w:rsidRPr="00B004EE">
        <w:rPr>
          <w:rFonts w:ascii="Tahoma" w:eastAsia="American Typewriter" w:hAnsi="Tahoma" w:cs="Tahoma"/>
          <w:sz w:val="20"/>
          <w:szCs w:val="20"/>
        </w:rPr>
        <w:t>aux</w:t>
      </w:r>
      <w:r w:rsidR="00DB1635" w:rsidRPr="00B004EE">
        <w:rPr>
          <w:rFonts w:ascii="Tahoma" w:eastAsia="American Typewriter" w:hAnsi="Tahoma" w:cs="Tahoma"/>
          <w:spacing w:val="-31"/>
          <w:sz w:val="20"/>
          <w:szCs w:val="20"/>
        </w:rPr>
        <w:t xml:space="preserve"> </w:t>
      </w:r>
      <w:r w:rsidRPr="00B004EE">
        <w:rPr>
          <w:rFonts w:ascii="Tahoma" w:eastAsia="American Typewriter" w:hAnsi="Tahoma" w:cs="Tahoma"/>
          <w:sz w:val="20"/>
          <w:szCs w:val="20"/>
        </w:rPr>
        <w:t>mouvements</w:t>
      </w:r>
      <w:r w:rsidR="00DB1635" w:rsidRPr="00B004EE">
        <w:rPr>
          <w:rFonts w:ascii="Tahoma" w:eastAsia="American Typewriter" w:hAnsi="Tahoma" w:cs="Tahoma"/>
          <w:spacing w:val="-31"/>
          <w:sz w:val="20"/>
          <w:szCs w:val="20"/>
        </w:rPr>
        <w:t xml:space="preserve"> </w:t>
      </w:r>
      <w:r w:rsidRPr="00B004EE">
        <w:rPr>
          <w:rFonts w:ascii="Tahoma" w:eastAsia="American Typewriter" w:hAnsi="Tahoma" w:cs="Tahoma"/>
          <w:sz w:val="20"/>
          <w:szCs w:val="20"/>
        </w:rPr>
        <w:t>des</w:t>
      </w:r>
      <w:r w:rsidR="00DB1635" w:rsidRPr="00B004EE">
        <w:rPr>
          <w:rFonts w:ascii="Tahoma" w:eastAsia="American Typewriter" w:hAnsi="Tahoma" w:cs="Tahoma"/>
          <w:spacing w:val="-31"/>
          <w:sz w:val="20"/>
          <w:szCs w:val="20"/>
        </w:rPr>
        <w:t xml:space="preserve"> </w:t>
      </w:r>
      <w:r w:rsidRPr="00B004EE">
        <w:rPr>
          <w:rFonts w:ascii="Tahoma" w:eastAsia="American Typewriter" w:hAnsi="Tahoma" w:cs="Tahoma"/>
          <w:sz w:val="20"/>
          <w:szCs w:val="20"/>
        </w:rPr>
        <w:t>navires</w:t>
      </w:r>
      <w:r w:rsidR="00DB1635" w:rsidRPr="00B004EE">
        <w:rPr>
          <w:rFonts w:ascii="Tahoma" w:eastAsia="American Typewriter" w:hAnsi="Tahoma" w:cs="Tahoma"/>
          <w:spacing w:val="-31"/>
          <w:sz w:val="20"/>
          <w:szCs w:val="20"/>
        </w:rPr>
        <w:t xml:space="preserve"> </w:t>
      </w:r>
      <w:r w:rsidRPr="00B004EE">
        <w:rPr>
          <w:rFonts w:ascii="Tahoma" w:eastAsia="American Typewriter" w:hAnsi="Tahoma" w:cs="Tahoma"/>
          <w:sz w:val="20"/>
          <w:szCs w:val="20"/>
        </w:rPr>
        <w:t>et</w:t>
      </w:r>
      <w:r w:rsidR="00DB1635" w:rsidRPr="00B004EE">
        <w:rPr>
          <w:rFonts w:ascii="Tahoma" w:eastAsia="American Typewriter" w:hAnsi="Tahoma" w:cs="Tahoma"/>
          <w:spacing w:val="-31"/>
          <w:sz w:val="20"/>
          <w:szCs w:val="20"/>
        </w:rPr>
        <w:t xml:space="preserve"> </w:t>
      </w:r>
      <w:r w:rsidRPr="00B004EE">
        <w:rPr>
          <w:rFonts w:ascii="Tahoma" w:eastAsia="American Typewriter" w:hAnsi="Tahoma" w:cs="Tahoma"/>
          <w:sz w:val="20"/>
          <w:szCs w:val="20"/>
        </w:rPr>
        <w:t>à</w:t>
      </w:r>
      <w:r w:rsidR="00DB1635" w:rsidRPr="00B004EE">
        <w:rPr>
          <w:rFonts w:ascii="Tahoma" w:eastAsia="American Typewriter" w:hAnsi="Tahoma" w:cs="Tahoma"/>
          <w:spacing w:val="-31"/>
          <w:sz w:val="20"/>
          <w:szCs w:val="20"/>
        </w:rPr>
        <w:t xml:space="preserve"> </w:t>
      </w:r>
      <w:r w:rsidRPr="00B004EE">
        <w:rPr>
          <w:rFonts w:ascii="Tahoma" w:eastAsia="American Typewriter" w:hAnsi="Tahoma" w:cs="Tahoma"/>
          <w:sz w:val="20"/>
          <w:szCs w:val="20"/>
        </w:rPr>
        <w:t>l'exportation</w:t>
      </w:r>
      <w:r w:rsidR="00DB1635" w:rsidRPr="00B004EE">
        <w:rPr>
          <w:rFonts w:ascii="Tahoma" w:eastAsia="American Typewriter" w:hAnsi="Tahoma" w:cs="Tahoma"/>
          <w:w w:val="93"/>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leurs</w:t>
      </w:r>
      <w:r w:rsidR="00DB1635" w:rsidRPr="00B004EE">
        <w:rPr>
          <w:rFonts w:ascii="Tahoma" w:eastAsia="American Typewriter" w:hAnsi="Tahoma" w:cs="Tahoma"/>
          <w:spacing w:val="9"/>
          <w:sz w:val="20"/>
          <w:szCs w:val="20"/>
        </w:rPr>
        <w:t xml:space="preserve"> </w:t>
      </w:r>
      <w:r w:rsidRPr="00B004EE">
        <w:rPr>
          <w:rFonts w:ascii="Tahoma" w:eastAsia="American Typewriter" w:hAnsi="Tahoma" w:cs="Tahoma"/>
          <w:sz w:val="20"/>
          <w:szCs w:val="20"/>
        </w:rPr>
        <w:t>captures.</w:t>
      </w:r>
    </w:p>
    <w:p w14:paraId="020A0B66" w14:textId="5CA7124E" w:rsidR="001E7C3C" w:rsidRPr="00B004EE" w:rsidRDefault="001E7C3C" w:rsidP="00B004EE">
      <w:pPr>
        <w:pStyle w:val="Corpsdetexte"/>
        <w:ind w:right="158"/>
        <w:rPr>
          <w:rFonts w:ascii="Tahoma" w:hAnsi="Tahoma" w:cs="Tahoma"/>
          <w:sz w:val="20"/>
          <w:szCs w:val="20"/>
        </w:rPr>
      </w:pPr>
      <w:r w:rsidRPr="00B004EE">
        <w:rPr>
          <w:rFonts w:ascii="Tahoma" w:hAnsi="Tahoma" w:cs="Tahoma"/>
          <w:sz w:val="20"/>
          <w:szCs w:val="20"/>
        </w:rPr>
        <w:t>Des</w:t>
      </w:r>
      <w:r w:rsidR="00DB1635" w:rsidRPr="00B004EE">
        <w:rPr>
          <w:rFonts w:ascii="Tahoma" w:hAnsi="Tahoma" w:cs="Tahoma"/>
          <w:spacing w:val="-33"/>
          <w:sz w:val="20"/>
          <w:szCs w:val="20"/>
        </w:rPr>
        <w:t xml:space="preserve"> </w:t>
      </w:r>
      <w:r w:rsidRPr="00B004EE">
        <w:rPr>
          <w:rFonts w:ascii="Tahoma" w:hAnsi="Tahoma" w:cs="Tahoma"/>
          <w:sz w:val="20"/>
          <w:szCs w:val="20"/>
        </w:rPr>
        <w:t>navires</w:t>
      </w:r>
      <w:r w:rsidR="00DB1635" w:rsidRPr="00B004EE">
        <w:rPr>
          <w:rFonts w:ascii="Tahoma" w:hAnsi="Tahoma" w:cs="Tahoma"/>
          <w:spacing w:val="-32"/>
          <w:sz w:val="20"/>
          <w:szCs w:val="20"/>
        </w:rPr>
        <w:t xml:space="preserve"> </w:t>
      </w:r>
      <w:r w:rsidRPr="00B004EE">
        <w:rPr>
          <w:rFonts w:ascii="Tahoma" w:hAnsi="Tahoma" w:cs="Tahoma"/>
          <w:sz w:val="20"/>
          <w:szCs w:val="20"/>
        </w:rPr>
        <w:t>de</w:t>
      </w:r>
      <w:r w:rsidR="00DB1635" w:rsidRPr="00B004EE">
        <w:rPr>
          <w:rFonts w:ascii="Tahoma" w:hAnsi="Tahoma" w:cs="Tahoma"/>
          <w:spacing w:val="-33"/>
          <w:sz w:val="20"/>
          <w:szCs w:val="20"/>
        </w:rPr>
        <w:t xml:space="preserve"> </w:t>
      </w:r>
      <w:r w:rsidRPr="00B004EE">
        <w:rPr>
          <w:rFonts w:ascii="Tahoma" w:hAnsi="Tahoma" w:cs="Tahoma"/>
          <w:sz w:val="20"/>
          <w:szCs w:val="20"/>
        </w:rPr>
        <w:t>pêche</w:t>
      </w:r>
      <w:r w:rsidR="00DB1635" w:rsidRPr="00B004EE">
        <w:rPr>
          <w:rFonts w:ascii="Tahoma" w:hAnsi="Tahoma" w:cs="Tahoma"/>
          <w:spacing w:val="-32"/>
          <w:sz w:val="20"/>
          <w:szCs w:val="20"/>
        </w:rPr>
        <w:t xml:space="preserve"> </w:t>
      </w:r>
      <w:r w:rsidRPr="00B004EE">
        <w:rPr>
          <w:rFonts w:ascii="Tahoma" w:hAnsi="Tahoma" w:cs="Tahoma"/>
          <w:sz w:val="20"/>
          <w:szCs w:val="20"/>
        </w:rPr>
        <w:t>étrangers</w:t>
      </w:r>
      <w:r w:rsidR="00DB1635" w:rsidRPr="00B004EE">
        <w:rPr>
          <w:rFonts w:ascii="Tahoma" w:hAnsi="Tahoma" w:cs="Tahoma"/>
          <w:spacing w:val="-33"/>
          <w:sz w:val="20"/>
          <w:szCs w:val="20"/>
        </w:rPr>
        <w:t xml:space="preserve"> </w:t>
      </w:r>
      <w:r w:rsidRPr="00B004EE">
        <w:rPr>
          <w:rFonts w:ascii="Tahoma" w:hAnsi="Tahoma" w:cs="Tahoma"/>
          <w:sz w:val="20"/>
          <w:szCs w:val="20"/>
        </w:rPr>
        <w:t>peuvent</w:t>
      </w:r>
      <w:r w:rsidR="00DB1635" w:rsidRPr="00B004EE">
        <w:rPr>
          <w:rFonts w:ascii="Tahoma" w:hAnsi="Tahoma" w:cs="Tahoma"/>
          <w:spacing w:val="-33"/>
          <w:sz w:val="20"/>
          <w:szCs w:val="20"/>
        </w:rPr>
        <w:t xml:space="preserve"> </w:t>
      </w:r>
      <w:r w:rsidRPr="00B004EE">
        <w:rPr>
          <w:rFonts w:ascii="Tahoma" w:hAnsi="Tahoma" w:cs="Tahoma"/>
          <w:sz w:val="20"/>
          <w:szCs w:val="20"/>
        </w:rPr>
        <w:t>bénéficier</w:t>
      </w:r>
      <w:r w:rsidR="00DB1635" w:rsidRPr="00B004EE">
        <w:rPr>
          <w:rFonts w:ascii="Tahoma" w:hAnsi="Tahoma" w:cs="Tahoma"/>
          <w:spacing w:val="-33"/>
          <w:sz w:val="20"/>
          <w:szCs w:val="20"/>
        </w:rPr>
        <w:t xml:space="preserve"> </w:t>
      </w:r>
      <w:r w:rsidRPr="00B004EE">
        <w:rPr>
          <w:rFonts w:ascii="Tahoma" w:hAnsi="Tahoma" w:cs="Tahoma"/>
          <w:sz w:val="20"/>
          <w:szCs w:val="20"/>
        </w:rPr>
        <w:t>d</w:t>
      </w:r>
      <w:r w:rsidRPr="00B004EE">
        <w:rPr>
          <w:rFonts w:ascii="Tahoma" w:eastAsia="American Typewriter" w:hAnsi="Tahoma" w:cs="Tahoma"/>
          <w:sz w:val="20"/>
          <w:szCs w:val="20"/>
        </w:rPr>
        <w:t>u</w:t>
      </w:r>
      <w:r w:rsidR="00DB1635" w:rsidRPr="00B004EE">
        <w:rPr>
          <w:rFonts w:ascii="Tahoma" w:eastAsia="American Typewriter" w:hAnsi="Tahoma" w:cs="Tahoma"/>
          <w:spacing w:val="-33"/>
          <w:sz w:val="20"/>
          <w:szCs w:val="20"/>
        </w:rPr>
        <w:t xml:space="preserve"> </w:t>
      </w:r>
      <w:r w:rsidRPr="00B004EE">
        <w:rPr>
          <w:rFonts w:ascii="Tahoma" w:eastAsia="American Typewriter" w:hAnsi="Tahoma" w:cs="Tahoma"/>
          <w:sz w:val="20"/>
          <w:szCs w:val="20"/>
        </w:rPr>
        <w:t>régime</w:t>
      </w:r>
      <w:r w:rsidR="00DB1635" w:rsidRPr="00B004EE">
        <w:rPr>
          <w:rFonts w:ascii="Tahoma" w:eastAsia="American Typewriter" w:hAnsi="Tahoma" w:cs="Tahoma"/>
          <w:spacing w:val="-33"/>
          <w:sz w:val="20"/>
          <w:szCs w:val="20"/>
        </w:rPr>
        <w:t xml:space="preserve"> </w:t>
      </w:r>
      <w:r w:rsidRPr="00B004EE">
        <w:rPr>
          <w:rFonts w:ascii="Tahoma" w:eastAsia="American Typewriter" w:hAnsi="Tahoma" w:cs="Tahoma"/>
          <w:sz w:val="20"/>
          <w:szCs w:val="20"/>
        </w:rPr>
        <w:t>étranger,</w:t>
      </w:r>
      <w:r w:rsidR="00DB1635" w:rsidRPr="00B004EE">
        <w:rPr>
          <w:rFonts w:ascii="Tahoma" w:eastAsia="American Typewriter" w:hAnsi="Tahoma" w:cs="Tahoma"/>
          <w:spacing w:val="-33"/>
          <w:sz w:val="20"/>
          <w:szCs w:val="20"/>
        </w:rPr>
        <w:t xml:space="preserve"> </w:t>
      </w:r>
      <w:r w:rsidRPr="00B004EE">
        <w:rPr>
          <w:rFonts w:ascii="Tahoma" w:eastAsia="American Typewriter" w:hAnsi="Tahoma" w:cs="Tahoma"/>
          <w:sz w:val="20"/>
          <w:szCs w:val="20"/>
        </w:rPr>
        <w:t>en</w:t>
      </w:r>
      <w:r w:rsidR="00DB1635" w:rsidRPr="00B004EE">
        <w:rPr>
          <w:rFonts w:ascii="Tahoma" w:eastAsia="American Typewriter" w:hAnsi="Tahoma" w:cs="Tahoma"/>
          <w:spacing w:val="-32"/>
          <w:sz w:val="20"/>
          <w:szCs w:val="20"/>
        </w:rPr>
        <w:t xml:space="preserve"> </w:t>
      </w:r>
      <w:r w:rsidRPr="00B004EE">
        <w:rPr>
          <w:rFonts w:ascii="Tahoma" w:eastAsia="American Typewriter" w:hAnsi="Tahoma" w:cs="Tahoma"/>
          <w:sz w:val="20"/>
          <w:szCs w:val="20"/>
        </w:rPr>
        <w:t>l’absence</w:t>
      </w:r>
      <w:r w:rsidR="00DB1635" w:rsidRPr="00B004EE">
        <w:rPr>
          <w:rFonts w:ascii="Tahoma" w:eastAsia="American Typewriter" w:hAnsi="Tahoma" w:cs="Tahoma"/>
          <w:w w:val="94"/>
          <w:sz w:val="20"/>
          <w:szCs w:val="20"/>
        </w:rPr>
        <w:t xml:space="preserve"> </w:t>
      </w:r>
      <w:r w:rsidRPr="00B004EE">
        <w:rPr>
          <w:rFonts w:ascii="Tahoma" w:eastAsia="American Typewriter" w:hAnsi="Tahoma" w:cs="Tahoma"/>
          <w:sz w:val="20"/>
          <w:szCs w:val="20"/>
        </w:rPr>
        <w:t>d’Accords</w:t>
      </w:r>
      <w:r w:rsidR="00DB1635" w:rsidRPr="00B004EE">
        <w:rPr>
          <w:rFonts w:ascii="Tahoma" w:eastAsia="American Typewriter" w:hAnsi="Tahoma" w:cs="Tahoma"/>
          <w:spacing w:val="39"/>
          <w:sz w:val="20"/>
          <w:szCs w:val="20"/>
        </w:rPr>
        <w:t xml:space="preserve"> </w:t>
      </w:r>
      <w:r w:rsidRPr="00B004EE">
        <w:rPr>
          <w:rFonts w:ascii="Tahoma" w:eastAsia="American Typewriter" w:hAnsi="Tahoma" w:cs="Tahoma"/>
          <w:sz w:val="20"/>
          <w:szCs w:val="20"/>
        </w:rPr>
        <w:t>ou</w:t>
      </w:r>
      <w:r w:rsidR="00DB1635" w:rsidRPr="00B004EE">
        <w:rPr>
          <w:rFonts w:ascii="Tahoma" w:eastAsia="American Typewriter" w:hAnsi="Tahoma" w:cs="Tahoma"/>
          <w:spacing w:val="39"/>
          <w:sz w:val="20"/>
          <w:szCs w:val="20"/>
        </w:rPr>
        <w:t xml:space="preserve"> </w:t>
      </w:r>
      <w:r w:rsidRPr="00B004EE">
        <w:rPr>
          <w:rFonts w:ascii="Tahoma" w:eastAsia="American Typewriter" w:hAnsi="Tahoma" w:cs="Tahoma"/>
          <w:sz w:val="20"/>
          <w:szCs w:val="20"/>
        </w:rPr>
        <w:t>autres</w:t>
      </w:r>
      <w:r w:rsidR="00DB1635" w:rsidRPr="00B004EE">
        <w:rPr>
          <w:rFonts w:ascii="Tahoma" w:eastAsia="American Typewriter" w:hAnsi="Tahoma" w:cs="Tahoma"/>
          <w:spacing w:val="39"/>
          <w:sz w:val="20"/>
          <w:szCs w:val="20"/>
        </w:rPr>
        <w:t xml:space="preserve"> </w:t>
      </w:r>
      <w:r w:rsidRPr="00B004EE">
        <w:rPr>
          <w:rFonts w:ascii="Tahoma" w:eastAsia="American Typewriter" w:hAnsi="Tahoma" w:cs="Tahoma"/>
          <w:sz w:val="20"/>
          <w:szCs w:val="20"/>
        </w:rPr>
        <w:t>arrangements</w:t>
      </w:r>
      <w:r w:rsidR="00DB1635" w:rsidRPr="00B004EE">
        <w:rPr>
          <w:rFonts w:ascii="Tahoma" w:eastAsia="American Typewriter" w:hAnsi="Tahoma" w:cs="Tahoma"/>
          <w:spacing w:val="37"/>
          <w:sz w:val="20"/>
          <w:szCs w:val="20"/>
        </w:rPr>
        <w:t xml:space="preserve"> </w:t>
      </w:r>
      <w:r w:rsidRPr="00B004EE">
        <w:rPr>
          <w:rFonts w:ascii="Tahoma" w:eastAsia="American Typewriter" w:hAnsi="Tahoma" w:cs="Tahoma"/>
          <w:sz w:val="20"/>
          <w:szCs w:val="20"/>
        </w:rPr>
        <w:t>prévus</w:t>
      </w:r>
      <w:r w:rsidR="00DB1635" w:rsidRPr="00B004EE">
        <w:rPr>
          <w:rFonts w:ascii="Tahoma" w:eastAsia="American Typewriter" w:hAnsi="Tahoma" w:cs="Tahoma"/>
          <w:spacing w:val="37"/>
          <w:sz w:val="20"/>
          <w:szCs w:val="20"/>
        </w:rPr>
        <w:t xml:space="preserve"> </w:t>
      </w:r>
      <w:r w:rsidRPr="00B004EE">
        <w:rPr>
          <w:rFonts w:ascii="Tahoma" w:eastAsia="American Typewriter" w:hAnsi="Tahoma" w:cs="Tahoma"/>
          <w:sz w:val="20"/>
          <w:szCs w:val="20"/>
        </w:rPr>
        <w:t>à</w:t>
      </w:r>
      <w:r w:rsidR="00DB1635" w:rsidRPr="00B004EE">
        <w:rPr>
          <w:rFonts w:ascii="Tahoma" w:eastAsia="American Typewriter" w:hAnsi="Tahoma" w:cs="Tahoma"/>
          <w:spacing w:val="38"/>
          <w:sz w:val="20"/>
          <w:szCs w:val="20"/>
        </w:rPr>
        <w:t xml:space="preserve"> </w:t>
      </w:r>
      <w:r w:rsidRPr="00B004EE">
        <w:rPr>
          <w:rFonts w:ascii="Tahoma" w:eastAsia="American Typewriter" w:hAnsi="Tahoma" w:cs="Tahoma"/>
          <w:sz w:val="20"/>
          <w:szCs w:val="20"/>
        </w:rPr>
        <w:t>l’alinéa</w:t>
      </w:r>
      <w:r w:rsidR="00DB1635" w:rsidRPr="00B004EE">
        <w:rPr>
          <w:rFonts w:ascii="Tahoma" w:eastAsia="American Typewriter" w:hAnsi="Tahoma" w:cs="Tahoma"/>
          <w:spacing w:val="38"/>
          <w:sz w:val="20"/>
          <w:szCs w:val="20"/>
        </w:rPr>
        <w:t xml:space="preserve"> </w:t>
      </w:r>
      <w:r w:rsidRPr="00B004EE">
        <w:rPr>
          <w:rFonts w:ascii="Tahoma" w:eastAsia="American Typewriter" w:hAnsi="Tahoma" w:cs="Tahoma"/>
          <w:sz w:val="20"/>
          <w:szCs w:val="20"/>
        </w:rPr>
        <w:t>ci</w:t>
      </w:r>
      <w:r w:rsidRPr="00B004EE">
        <w:rPr>
          <w:rFonts w:ascii="Tahoma" w:hAnsi="Tahoma" w:cs="Tahoma"/>
          <w:sz w:val="20"/>
          <w:szCs w:val="20"/>
        </w:rPr>
        <w:t>-dessus.</w:t>
      </w:r>
      <w:r w:rsidR="00DB1635" w:rsidRPr="00B004EE">
        <w:rPr>
          <w:rFonts w:ascii="Tahoma" w:hAnsi="Tahoma" w:cs="Tahoma"/>
          <w:spacing w:val="38"/>
          <w:sz w:val="20"/>
          <w:szCs w:val="20"/>
        </w:rPr>
        <w:t xml:space="preserve"> </w:t>
      </w:r>
      <w:r w:rsidRPr="00B004EE">
        <w:rPr>
          <w:rFonts w:ascii="Tahoma" w:hAnsi="Tahoma" w:cs="Tahoma"/>
          <w:sz w:val="20"/>
          <w:szCs w:val="20"/>
        </w:rPr>
        <w:t>Dans</w:t>
      </w:r>
      <w:r w:rsidR="00DB1635" w:rsidRPr="00B004EE">
        <w:rPr>
          <w:rFonts w:ascii="Tahoma" w:hAnsi="Tahoma" w:cs="Tahoma"/>
          <w:spacing w:val="37"/>
          <w:sz w:val="20"/>
          <w:szCs w:val="20"/>
        </w:rPr>
        <w:t xml:space="preserve"> </w:t>
      </w:r>
      <w:r w:rsidRPr="00B004EE">
        <w:rPr>
          <w:rFonts w:ascii="Tahoma" w:hAnsi="Tahoma" w:cs="Tahoma"/>
          <w:sz w:val="20"/>
          <w:szCs w:val="20"/>
        </w:rPr>
        <w:t>ce</w:t>
      </w:r>
      <w:r w:rsidR="00DB1635" w:rsidRPr="00B004EE">
        <w:rPr>
          <w:rFonts w:ascii="Tahoma" w:hAnsi="Tahoma" w:cs="Tahoma"/>
          <w:spacing w:val="38"/>
          <w:sz w:val="20"/>
          <w:szCs w:val="20"/>
        </w:rPr>
        <w:t xml:space="preserve"> </w:t>
      </w:r>
      <w:r w:rsidRPr="00B004EE">
        <w:rPr>
          <w:rFonts w:ascii="Tahoma" w:hAnsi="Tahoma" w:cs="Tahoma"/>
          <w:sz w:val="20"/>
          <w:szCs w:val="20"/>
        </w:rPr>
        <w:t>cas,</w:t>
      </w:r>
      <w:r w:rsidR="00DB1635" w:rsidRPr="00B004EE">
        <w:rPr>
          <w:rFonts w:ascii="Tahoma" w:hAnsi="Tahoma" w:cs="Tahoma"/>
          <w:spacing w:val="37"/>
          <w:sz w:val="20"/>
          <w:szCs w:val="20"/>
        </w:rPr>
        <w:t xml:space="preserve"> </w:t>
      </w:r>
      <w:r w:rsidRPr="00B004EE">
        <w:rPr>
          <w:rFonts w:ascii="Tahoma" w:hAnsi="Tahoma" w:cs="Tahoma"/>
          <w:sz w:val="20"/>
          <w:szCs w:val="20"/>
        </w:rPr>
        <w:t>le</w:t>
      </w:r>
      <w:r w:rsidR="00DB1635" w:rsidRPr="00B004EE">
        <w:rPr>
          <w:rFonts w:ascii="Tahoma" w:hAnsi="Tahoma" w:cs="Tahoma"/>
          <w:w w:val="94"/>
          <w:sz w:val="20"/>
          <w:szCs w:val="20"/>
        </w:rPr>
        <w:t xml:space="preserve"> </w:t>
      </w:r>
      <w:r w:rsidRPr="00B004EE">
        <w:rPr>
          <w:rFonts w:ascii="Tahoma" w:hAnsi="Tahoma" w:cs="Tahoma"/>
          <w:sz w:val="20"/>
          <w:szCs w:val="20"/>
        </w:rPr>
        <w:t>ministre</w:t>
      </w:r>
      <w:r w:rsidR="00DB1635" w:rsidRPr="00B004EE">
        <w:rPr>
          <w:rFonts w:ascii="Tahoma" w:hAnsi="Tahoma" w:cs="Tahoma"/>
          <w:sz w:val="20"/>
          <w:szCs w:val="20"/>
        </w:rPr>
        <w:t xml:space="preserve"> </w:t>
      </w:r>
      <w:r w:rsidRPr="00B004EE">
        <w:rPr>
          <w:rFonts w:ascii="Tahoma" w:hAnsi="Tahoma" w:cs="Tahoma"/>
          <w:sz w:val="20"/>
          <w:szCs w:val="20"/>
        </w:rPr>
        <w:t>chargé</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sz w:val="20"/>
          <w:szCs w:val="20"/>
        </w:rPr>
        <w:t xml:space="preserve"> </w:t>
      </w:r>
      <w:r w:rsidRPr="00B004EE">
        <w:rPr>
          <w:rFonts w:ascii="Tahoma" w:hAnsi="Tahoma" w:cs="Tahoma"/>
          <w:sz w:val="20"/>
          <w:szCs w:val="20"/>
        </w:rPr>
        <w:t>pourra</w:t>
      </w:r>
      <w:r w:rsidR="00DB1635" w:rsidRPr="00B004EE">
        <w:rPr>
          <w:rFonts w:ascii="Tahoma" w:hAnsi="Tahoma" w:cs="Tahoma"/>
          <w:sz w:val="20"/>
          <w:szCs w:val="20"/>
        </w:rPr>
        <w:t xml:space="preserve"> </w:t>
      </w:r>
      <w:r w:rsidRPr="00B004EE">
        <w:rPr>
          <w:rFonts w:ascii="Tahoma" w:hAnsi="Tahoma" w:cs="Tahoma"/>
          <w:sz w:val="20"/>
          <w:szCs w:val="20"/>
        </w:rPr>
        <w:t>exiger</w:t>
      </w:r>
      <w:r w:rsidR="00DB1635" w:rsidRPr="00B004EE">
        <w:rPr>
          <w:rFonts w:ascii="Tahoma" w:hAnsi="Tahoma" w:cs="Tahoma"/>
          <w:sz w:val="20"/>
          <w:szCs w:val="20"/>
        </w:rPr>
        <w:t xml:space="preserve"> </w:t>
      </w:r>
      <w:r w:rsidRPr="00B004EE">
        <w:rPr>
          <w:rFonts w:ascii="Tahoma" w:hAnsi="Tahoma" w:cs="Tahoma"/>
          <w:sz w:val="20"/>
          <w:szCs w:val="20"/>
        </w:rPr>
        <w:lastRenderedPageBreak/>
        <w:t>que</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armateurs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ces</w:t>
      </w:r>
      <w:r w:rsidR="00DB1635" w:rsidRPr="00B004EE">
        <w:rPr>
          <w:rFonts w:ascii="Tahoma" w:hAnsi="Tahoma" w:cs="Tahoma"/>
          <w:spacing w:val="36"/>
          <w:sz w:val="20"/>
          <w:szCs w:val="20"/>
        </w:rPr>
        <w:t xml:space="preserve"> </w:t>
      </w:r>
      <w:r w:rsidRPr="00B004EE">
        <w:rPr>
          <w:rFonts w:ascii="Tahoma" w:hAnsi="Tahoma" w:cs="Tahoma"/>
          <w:sz w:val="20"/>
          <w:szCs w:val="20"/>
        </w:rPr>
        <w:t>navires</w:t>
      </w:r>
      <w:r w:rsidR="00DB1635" w:rsidRPr="00B004EE">
        <w:rPr>
          <w:rFonts w:ascii="Tahoma" w:hAnsi="Tahoma" w:cs="Tahoma"/>
          <w:w w:val="94"/>
          <w:sz w:val="20"/>
          <w:szCs w:val="20"/>
        </w:rPr>
        <w:t xml:space="preserve"> </w:t>
      </w:r>
      <w:r w:rsidRPr="00B004EE">
        <w:rPr>
          <w:rFonts w:ascii="Tahoma" w:hAnsi="Tahoma" w:cs="Tahoma"/>
          <w:sz w:val="20"/>
          <w:szCs w:val="20"/>
        </w:rPr>
        <w:t>déposent,</w:t>
      </w:r>
      <w:r w:rsidR="00DB1635" w:rsidRPr="00B004EE">
        <w:rPr>
          <w:rFonts w:ascii="Tahoma" w:hAnsi="Tahoma" w:cs="Tahoma"/>
          <w:sz w:val="20"/>
          <w:szCs w:val="20"/>
        </w:rPr>
        <w:t xml:space="preserve"> </w:t>
      </w:r>
      <w:r w:rsidRPr="00B004EE">
        <w:rPr>
          <w:rFonts w:ascii="Tahoma" w:hAnsi="Tahoma" w:cs="Tahoma"/>
          <w:sz w:val="20"/>
          <w:szCs w:val="20"/>
        </w:rPr>
        <w:t>auprès</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Trésor</w:t>
      </w:r>
      <w:r w:rsidR="00DB1635" w:rsidRPr="00B004EE">
        <w:rPr>
          <w:rFonts w:ascii="Tahoma" w:hAnsi="Tahoma" w:cs="Tahoma"/>
          <w:sz w:val="20"/>
          <w:szCs w:val="20"/>
        </w:rPr>
        <w:t xml:space="preserve"> </w:t>
      </w:r>
      <w:r w:rsidRPr="00B004EE">
        <w:rPr>
          <w:rFonts w:ascii="Tahoma" w:hAnsi="Tahoma" w:cs="Tahoma"/>
          <w:sz w:val="20"/>
          <w:szCs w:val="20"/>
        </w:rPr>
        <w:t>public</w:t>
      </w:r>
      <w:r w:rsidR="00DB1635" w:rsidRPr="00B004EE">
        <w:rPr>
          <w:rFonts w:ascii="Tahoma" w:hAnsi="Tahoma" w:cs="Tahoma"/>
          <w:sz w:val="20"/>
          <w:szCs w:val="20"/>
        </w:rPr>
        <w:t xml:space="preserve"> </w:t>
      </w:r>
      <w:r w:rsidRPr="00B004EE">
        <w:rPr>
          <w:rFonts w:ascii="Tahoma" w:hAnsi="Tahoma" w:cs="Tahoma"/>
          <w:sz w:val="20"/>
          <w:szCs w:val="20"/>
        </w:rPr>
        <w:t>mauritanien,</w:t>
      </w:r>
      <w:r w:rsidR="00DB1635" w:rsidRPr="00B004EE">
        <w:rPr>
          <w:rFonts w:ascii="Tahoma" w:hAnsi="Tahoma" w:cs="Tahoma"/>
          <w:sz w:val="20"/>
          <w:szCs w:val="20"/>
        </w:rPr>
        <w:t xml:space="preserve"> </w:t>
      </w: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cautionnement</w:t>
      </w:r>
      <w:r w:rsidR="00DB1635" w:rsidRPr="00B004EE">
        <w:rPr>
          <w:rFonts w:ascii="Tahoma" w:hAnsi="Tahoma" w:cs="Tahoma"/>
          <w:sz w:val="20"/>
          <w:szCs w:val="20"/>
        </w:rPr>
        <w:t xml:space="preserve"> </w:t>
      </w:r>
      <w:r w:rsidRPr="00B004EE">
        <w:rPr>
          <w:rFonts w:ascii="Tahoma" w:hAnsi="Tahoma" w:cs="Tahoma"/>
          <w:sz w:val="20"/>
          <w:szCs w:val="20"/>
        </w:rPr>
        <w:t>destiné</w:t>
      </w:r>
      <w:r w:rsidR="00DB1635" w:rsidRPr="00B004EE">
        <w:rPr>
          <w:rFonts w:ascii="Tahoma" w:hAnsi="Tahoma" w:cs="Tahoma"/>
          <w:spacing w:val="43"/>
          <w:sz w:val="20"/>
          <w:szCs w:val="20"/>
        </w:rPr>
        <w:t xml:space="preserve"> </w:t>
      </w:r>
      <w:r w:rsidRPr="00B004EE">
        <w:rPr>
          <w:rFonts w:ascii="Tahoma" w:hAnsi="Tahoma" w:cs="Tahoma"/>
          <w:sz w:val="20"/>
          <w:szCs w:val="20"/>
        </w:rPr>
        <w:t>à</w:t>
      </w:r>
      <w:r w:rsidR="00DB1635" w:rsidRPr="00B004EE">
        <w:rPr>
          <w:rFonts w:ascii="Tahoma" w:hAnsi="Tahoma" w:cs="Tahoma"/>
          <w:w w:val="98"/>
          <w:sz w:val="20"/>
          <w:szCs w:val="20"/>
        </w:rPr>
        <w:t xml:space="preserve"> </w:t>
      </w:r>
      <w:r w:rsidRPr="00B004EE">
        <w:rPr>
          <w:rFonts w:ascii="Tahoma" w:hAnsi="Tahoma" w:cs="Tahoma"/>
          <w:sz w:val="20"/>
          <w:szCs w:val="20"/>
        </w:rPr>
        <w:t>garantir</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respect</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lesdits</w:t>
      </w:r>
      <w:r w:rsidR="00DB1635" w:rsidRPr="00B004EE">
        <w:rPr>
          <w:rFonts w:ascii="Tahoma" w:hAnsi="Tahoma" w:cs="Tahoma"/>
          <w:sz w:val="20"/>
          <w:szCs w:val="20"/>
        </w:rPr>
        <w:t xml:space="preserve"> </w:t>
      </w:r>
      <w:r w:rsidRPr="00B004EE">
        <w:rPr>
          <w:rFonts w:ascii="Tahoma" w:hAnsi="Tahoma" w:cs="Tahoma"/>
          <w:sz w:val="20"/>
          <w:szCs w:val="20"/>
        </w:rPr>
        <w:t>armateurs</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obligations</w:t>
      </w:r>
      <w:r w:rsidR="00DB1635" w:rsidRPr="00B004EE">
        <w:rPr>
          <w:rFonts w:ascii="Tahoma" w:hAnsi="Tahoma" w:cs="Tahoma"/>
          <w:sz w:val="20"/>
          <w:szCs w:val="20"/>
        </w:rPr>
        <w:t xml:space="preserve"> </w:t>
      </w:r>
      <w:r w:rsidRPr="00B004EE">
        <w:rPr>
          <w:rFonts w:ascii="Tahoma" w:hAnsi="Tahoma" w:cs="Tahoma"/>
          <w:sz w:val="20"/>
          <w:szCs w:val="20"/>
        </w:rPr>
        <w:t>assumées</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vertu</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pacing w:val="-24"/>
          <w:sz w:val="20"/>
          <w:szCs w:val="20"/>
        </w:rPr>
        <w:t xml:space="preserve"> </w:t>
      </w:r>
      <w:r w:rsidRPr="00B004EE">
        <w:rPr>
          <w:rFonts w:ascii="Tahoma" w:hAnsi="Tahoma" w:cs="Tahoma"/>
          <w:sz w:val="20"/>
          <w:szCs w:val="20"/>
        </w:rPr>
        <w:t>la</w:t>
      </w:r>
      <w:r w:rsidR="00DB1635" w:rsidRPr="00B004EE">
        <w:rPr>
          <w:rFonts w:ascii="Tahoma" w:hAnsi="Tahoma" w:cs="Tahoma"/>
          <w:w w:val="98"/>
          <w:sz w:val="20"/>
          <w:szCs w:val="20"/>
        </w:rPr>
        <w:t xml:space="preserve"> </w:t>
      </w:r>
      <w:r w:rsidRPr="00B004EE">
        <w:rPr>
          <w:rFonts w:ascii="Tahoma" w:hAnsi="Tahoma" w:cs="Tahoma"/>
          <w:sz w:val="20"/>
          <w:szCs w:val="20"/>
        </w:rPr>
        <w:t>présente</w:t>
      </w:r>
      <w:r w:rsidR="00DB1635" w:rsidRPr="00B004EE">
        <w:rPr>
          <w:rFonts w:ascii="Tahoma" w:hAnsi="Tahoma" w:cs="Tahoma"/>
          <w:spacing w:val="-9"/>
          <w:sz w:val="20"/>
          <w:szCs w:val="20"/>
        </w:rPr>
        <w:t xml:space="preserve"> </w:t>
      </w:r>
      <w:r w:rsidRPr="00B004EE">
        <w:rPr>
          <w:rFonts w:ascii="Tahoma" w:hAnsi="Tahoma" w:cs="Tahoma"/>
          <w:sz w:val="20"/>
          <w:szCs w:val="20"/>
        </w:rPr>
        <w:t>Loi</w:t>
      </w:r>
      <w:r w:rsidR="00DB1635" w:rsidRPr="00B004EE">
        <w:rPr>
          <w:rFonts w:ascii="Tahoma" w:hAnsi="Tahoma" w:cs="Tahoma"/>
          <w:spacing w:val="-10"/>
          <w:sz w:val="20"/>
          <w:szCs w:val="20"/>
        </w:rPr>
        <w:t xml:space="preserve"> </w:t>
      </w:r>
      <w:r w:rsidRPr="00B004EE">
        <w:rPr>
          <w:rFonts w:ascii="Tahoma" w:hAnsi="Tahoma" w:cs="Tahoma"/>
          <w:sz w:val="20"/>
          <w:szCs w:val="20"/>
        </w:rPr>
        <w:t>et</w:t>
      </w:r>
      <w:r w:rsidR="00DB1635" w:rsidRPr="00B004EE">
        <w:rPr>
          <w:rFonts w:ascii="Tahoma" w:hAnsi="Tahoma" w:cs="Tahoma"/>
          <w:spacing w:val="-10"/>
          <w:sz w:val="20"/>
          <w:szCs w:val="20"/>
        </w:rPr>
        <w:t xml:space="preserve"> </w:t>
      </w:r>
      <w:r w:rsidRPr="00B004EE">
        <w:rPr>
          <w:rFonts w:ascii="Tahoma" w:hAnsi="Tahoma" w:cs="Tahoma"/>
          <w:sz w:val="20"/>
          <w:szCs w:val="20"/>
        </w:rPr>
        <w:t>des</w:t>
      </w:r>
      <w:r w:rsidR="00DB1635" w:rsidRPr="00B004EE">
        <w:rPr>
          <w:rFonts w:ascii="Tahoma" w:hAnsi="Tahoma" w:cs="Tahoma"/>
          <w:spacing w:val="-11"/>
          <w:sz w:val="20"/>
          <w:szCs w:val="20"/>
        </w:rPr>
        <w:t xml:space="preserve"> </w:t>
      </w:r>
      <w:r w:rsidRPr="00B004EE">
        <w:rPr>
          <w:rFonts w:ascii="Tahoma" w:hAnsi="Tahoma" w:cs="Tahoma"/>
          <w:sz w:val="20"/>
          <w:szCs w:val="20"/>
        </w:rPr>
        <w:t>règlements</w:t>
      </w:r>
      <w:r w:rsidR="00DB1635" w:rsidRPr="00B004EE">
        <w:rPr>
          <w:rFonts w:ascii="Tahoma" w:hAnsi="Tahoma" w:cs="Tahoma"/>
          <w:spacing w:val="-11"/>
          <w:sz w:val="20"/>
          <w:szCs w:val="20"/>
        </w:rPr>
        <w:t xml:space="preserve"> </w:t>
      </w:r>
      <w:r w:rsidRPr="00B004EE">
        <w:rPr>
          <w:rFonts w:ascii="Tahoma" w:hAnsi="Tahoma" w:cs="Tahoma"/>
          <w:sz w:val="20"/>
          <w:szCs w:val="20"/>
        </w:rPr>
        <w:t>pris</w:t>
      </w:r>
      <w:r w:rsidR="00DB1635" w:rsidRPr="00B004EE">
        <w:rPr>
          <w:rFonts w:ascii="Tahoma" w:hAnsi="Tahoma" w:cs="Tahoma"/>
          <w:spacing w:val="-11"/>
          <w:sz w:val="20"/>
          <w:szCs w:val="20"/>
        </w:rPr>
        <w:t xml:space="preserve"> </w:t>
      </w:r>
      <w:r w:rsidRPr="00B004EE">
        <w:rPr>
          <w:rFonts w:ascii="Tahoma" w:hAnsi="Tahoma" w:cs="Tahoma"/>
          <w:sz w:val="20"/>
          <w:szCs w:val="20"/>
        </w:rPr>
        <w:t>pour</w:t>
      </w:r>
      <w:r w:rsidR="00DB1635" w:rsidRPr="00B004EE">
        <w:rPr>
          <w:rFonts w:ascii="Tahoma" w:hAnsi="Tahoma" w:cs="Tahoma"/>
          <w:spacing w:val="-11"/>
          <w:sz w:val="20"/>
          <w:szCs w:val="20"/>
        </w:rPr>
        <w:t xml:space="preserve"> </w:t>
      </w:r>
      <w:r w:rsidRPr="00B004EE">
        <w:rPr>
          <w:rFonts w:ascii="Tahoma" w:hAnsi="Tahoma" w:cs="Tahoma"/>
          <w:sz w:val="20"/>
          <w:szCs w:val="20"/>
        </w:rPr>
        <w:t>son</w:t>
      </w:r>
      <w:r w:rsidR="00DB1635" w:rsidRPr="00B004EE">
        <w:rPr>
          <w:rFonts w:ascii="Tahoma" w:hAnsi="Tahoma" w:cs="Tahoma"/>
          <w:spacing w:val="-11"/>
          <w:sz w:val="20"/>
          <w:szCs w:val="20"/>
        </w:rPr>
        <w:t xml:space="preserve"> </w:t>
      </w:r>
      <w:r w:rsidRPr="00B004EE">
        <w:rPr>
          <w:rFonts w:ascii="Tahoma" w:hAnsi="Tahoma" w:cs="Tahoma"/>
          <w:sz w:val="20"/>
          <w:szCs w:val="20"/>
        </w:rPr>
        <w:t>application,</w:t>
      </w:r>
      <w:r w:rsidR="00DB1635" w:rsidRPr="00B004EE">
        <w:rPr>
          <w:rFonts w:ascii="Tahoma" w:hAnsi="Tahoma" w:cs="Tahoma"/>
          <w:spacing w:val="-10"/>
          <w:sz w:val="20"/>
          <w:szCs w:val="20"/>
        </w:rPr>
        <w:t xml:space="preserve"> </w:t>
      </w:r>
      <w:r w:rsidRPr="00B004EE">
        <w:rPr>
          <w:rFonts w:ascii="Tahoma" w:hAnsi="Tahoma" w:cs="Tahoma"/>
          <w:sz w:val="20"/>
          <w:szCs w:val="20"/>
        </w:rPr>
        <w:t>des</w:t>
      </w:r>
      <w:r w:rsidR="00DB1635" w:rsidRPr="00B004EE">
        <w:rPr>
          <w:rFonts w:ascii="Tahoma" w:hAnsi="Tahoma" w:cs="Tahoma"/>
          <w:spacing w:val="-11"/>
          <w:sz w:val="20"/>
          <w:szCs w:val="20"/>
        </w:rPr>
        <w:t xml:space="preserve"> </w:t>
      </w:r>
      <w:r w:rsidRPr="00B004EE">
        <w:rPr>
          <w:rFonts w:ascii="Tahoma" w:hAnsi="Tahoma" w:cs="Tahoma"/>
          <w:sz w:val="20"/>
          <w:szCs w:val="20"/>
        </w:rPr>
        <w:t>concessions</w:t>
      </w:r>
      <w:r w:rsidR="00DB1635" w:rsidRPr="00B004EE">
        <w:rPr>
          <w:rFonts w:ascii="Tahoma" w:hAnsi="Tahoma" w:cs="Tahoma"/>
          <w:spacing w:val="-11"/>
          <w:sz w:val="20"/>
          <w:szCs w:val="20"/>
        </w:rPr>
        <w:t xml:space="preserve"> </w:t>
      </w:r>
      <w:r w:rsidRPr="00B004EE">
        <w:rPr>
          <w:rFonts w:ascii="Tahoma" w:hAnsi="Tahoma" w:cs="Tahoma"/>
          <w:sz w:val="20"/>
          <w:szCs w:val="20"/>
        </w:rPr>
        <w:t>du</w:t>
      </w:r>
      <w:r w:rsidR="00DB1635" w:rsidRPr="00B004EE">
        <w:rPr>
          <w:rFonts w:ascii="Tahoma" w:hAnsi="Tahoma" w:cs="Tahoma"/>
          <w:spacing w:val="-11"/>
          <w:sz w:val="20"/>
          <w:szCs w:val="20"/>
        </w:rPr>
        <w:t xml:space="preserve"> </w:t>
      </w:r>
      <w:r w:rsidRPr="00B004EE">
        <w:rPr>
          <w:rFonts w:ascii="Tahoma" w:hAnsi="Tahoma" w:cs="Tahoma"/>
          <w:sz w:val="20"/>
          <w:szCs w:val="20"/>
        </w:rPr>
        <w:t>droit</w:t>
      </w:r>
      <w:r w:rsidR="00DB1635" w:rsidRPr="00B004EE">
        <w:rPr>
          <w:rFonts w:ascii="Tahoma" w:hAnsi="Tahoma" w:cs="Tahoma"/>
          <w:w w:val="97"/>
          <w:sz w:val="20"/>
          <w:szCs w:val="20"/>
        </w:rPr>
        <w:t xml:space="preserve"> </w:t>
      </w:r>
      <w:r w:rsidRPr="00B004EE">
        <w:rPr>
          <w:rFonts w:ascii="Tahoma" w:hAnsi="Tahoma" w:cs="Tahoma"/>
          <w:sz w:val="20"/>
          <w:szCs w:val="20"/>
        </w:rPr>
        <w:t>d'usage,</w:t>
      </w:r>
      <w:r w:rsidR="00DB1635" w:rsidRPr="00B004EE">
        <w:rPr>
          <w:rFonts w:ascii="Tahoma" w:hAnsi="Tahoma" w:cs="Tahoma"/>
          <w:spacing w:val="35"/>
          <w:sz w:val="20"/>
          <w:szCs w:val="20"/>
        </w:rPr>
        <w:t xml:space="preserve"> </w:t>
      </w:r>
      <w:r w:rsidRPr="00B004EE">
        <w:rPr>
          <w:rFonts w:ascii="Tahoma" w:hAnsi="Tahoma" w:cs="Tahoma"/>
          <w:sz w:val="20"/>
          <w:szCs w:val="20"/>
        </w:rPr>
        <w:t>des</w:t>
      </w:r>
      <w:r w:rsidR="00DB1635" w:rsidRPr="00B004EE">
        <w:rPr>
          <w:rFonts w:ascii="Tahoma" w:hAnsi="Tahoma" w:cs="Tahoma"/>
          <w:spacing w:val="33"/>
          <w:sz w:val="20"/>
          <w:szCs w:val="20"/>
        </w:rPr>
        <w:t xml:space="preserve"> </w:t>
      </w:r>
      <w:r w:rsidRPr="00B004EE">
        <w:rPr>
          <w:rFonts w:ascii="Tahoma" w:hAnsi="Tahoma" w:cs="Tahoma"/>
          <w:sz w:val="20"/>
          <w:szCs w:val="20"/>
        </w:rPr>
        <w:t>licences</w:t>
      </w:r>
      <w:r w:rsidR="00DB1635" w:rsidRPr="00B004EE">
        <w:rPr>
          <w:rFonts w:ascii="Tahoma" w:hAnsi="Tahoma" w:cs="Tahoma"/>
          <w:spacing w:val="33"/>
          <w:sz w:val="20"/>
          <w:szCs w:val="20"/>
        </w:rPr>
        <w:t xml:space="preserve"> </w:t>
      </w:r>
      <w:r w:rsidRPr="00B004EE">
        <w:rPr>
          <w:rFonts w:ascii="Tahoma" w:hAnsi="Tahoma" w:cs="Tahoma"/>
          <w:sz w:val="20"/>
          <w:szCs w:val="20"/>
        </w:rPr>
        <w:t>de</w:t>
      </w:r>
      <w:r w:rsidR="00DB1635" w:rsidRPr="00B004EE">
        <w:rPr>
          <w:rFonts w:ascii="Tahoma" w:hAnsi="Tahoma" w:cs="Tahoma"/>
          <w:spacing w:val="35"/>
          <w:sz w:val="20"/>
          <w:szCs w:val="20"/>
        </w:rPr>
        <w:t xml:space="preserve"> </w:t>
      </w:r>
      <w:r w:rsidRPr="00B004EE">
        <w:rPr>
          <w:rFonts w:ascii="Tahoma" w:hAnsi="Tahoma" w:cs="Tahoma"/>
          <w:sz w:val="20"/>
          <w:szCs w:val="20"/>
        </w:rPr>
        <w:t>pêche</w:t>
      </w:r>
      <w:r w:rsidR="00DB1635" w:rsidRPr="00B004EE">
        <w:rPr>
          <w:rFonts w:ascii="Tahoma" w:hAnsi="Tahoma" w:cs="Tahoma"/>
          <w:spacing w:val="33"/>
          <w:sz w:val="20"/>
          <w:szCs w:val="20"/>
        </w:rPr>
        <w:t xml:space="preserve"> </w:t>
      </w:r>
      <w:r w:rsidRPr="00B004EE">
        <w:rPr>
          <w:rFonts w:ascii="Tahoma" w:hAnsi="Tahoma" w:cs="Tahoma"/>
          <w:sz w:val="20"/>
          <w:szCs w:val="20"/>
        </w:rPr>
        <w:t>et</w:t>
      </w:r>
      <w:r w:rsidR="00DB1635" w:rsidRPr="00B004EE">
        <w:rPr>
          <w:rFonts w:ascii="Tahoma" w:hAnsi="Tahoma" w:cs="Tahoma"/>
          <w:spacing w:val="33"/>
          <w:sz w:val="20"/>
          <w:szCs w:val="20"/>
        </w:rPr>
        <w:t xml:space="preserve"> </w:t>
      </w:r>
      <w:r w:rsidRPr="00B004EE">
        <w:rPr>
          <w:rFonts w:ascii="Tahoma" w:hAnsi="Tahoma" w:cs="Tahoma"/>
          <w:sz w:val="20"/>
          <w:szCs w:val="20"/>
        </w:rPr>
        <w:t>de</w:t>
      </w:r>
      <w:r w:rsidR="00DB1635" w:rsidRPr="00B004EE">
        <w:rPr>
          <w:rFonts w:ascii="Tahoma" w:hAnsi="Tahoma" w:cs="Tahoma"/>
          <w:spacing w:val="33"/>
          <w:sz w:val="20"/>
          <w:szCs w:val="20"/>
        </w:rPr>
        <w:t xml:space="preserve"> </w:t>
      </w:r>
      <w:r w:rsidRPr="00B004EE">
        <w:rPr>
          <w:rFonts w:ascii="Tahoma" w:hAnsi="Tahoma" w:cs="Tahoma"/>
          <w:sz w:val="20"/>
          <w:szCs w:val="20"/>
        </w:rPr>
        <w:t>tous</w:t>
      </w:r>
      <w:r w:rsidR="00DB1635" w:rsidRPr="00B004EE">
        <w:rPr>
          <w:rFonts w:ascii="Tahoma" w:hAnsi="Tahoma" w:cs="Tahoma"/>
          <w:spacing w:val="33"/>
          <w:sz w:val="20"/>
          <w:szCs w:val="20"/>
        </w:rPr>
        <w:t xml:space="preserve"> </w:t>
      </w:r>
      <w:r w:rsidRPr="00B004EE">
        <w:rPr>
          <w:rFonts w:ascii="Tahoma" w:hAnsi="Tahoma" w:cs="Tahoma"/>
          <w:sz w:val="20"/>
          <w:szCs w:val="20"/>
        </w:rPr>
        <w:t>autres</w:t>
      </w:r>
      <w:r w:rsidR="00DB1635" w:rsidRPr="00B004EE">
        <w:rPr>
          <w:rFonts w:ascii="Tahoma" w:hAnsi="Tahoma" w:cs="Tahoma"/>
          <w:spacing w:val="33"/>
          <w:sz w:val="20"/>
          <w:szCs w:val="20"/>
        </w:rPr>
        <w:t xml:space="preserve"> </w:t>
      </w:r>
      <w:r w:rsidRPr="00B004EE">
        <w:rPr>
          <w:rFonts w:ascii="Tahoma" w:hAnsi="Tahoma" w:cs="Tahoma"/>
          <w:sz w:val="20"/>
          <w:szCs w:val="20"/>
        </w:rPr>
        <w:t>engagements</w:t>
      </w:r>
      <w:r w:rsidR="00DB1635" w:rsidRPr="00B004EE">
        <w:rPr>
          <w:rFonts w:ascii="Tahoma" w:hAnsi="Tahoma" w:cs="Tahoma"/>
          <w:spacing w:val="33"/>
          <w:sz w:val="20"/>
          <w:szCs w:val="20"/>
        </w:rPr>
        <w:t xml:space="preserve"> </w:t>
      </w:r>
      <w:r w:rsidRPr="00B004EE">
        <w:rPr>
          <w:rFonts w:ascii="Tahoma" w:hAnsi="Tahoma" w:cs="Tahoma"/>
          <w:sz w:val="20"/>
          <w:szCs w:val="20"/>
        </w:rPr>
        <w:t>contractuels.</w:t>
      </w:r>
      <w:r w:rsidR="00DB1635" w:rsidRPr="00B004EE">
        <w:rPr>
          <w:rFonts w:ascii="Tahoma" w:hAnsi="Tahoma" w:cs="Tahoma"/>
          <w:spacing w:val="33"/>
          <w:sz w:val="20"/>
          <w:szCs w:val="20"/>
        </w:rPr>
        <w:t xml:space="preserve"> </w:t>
      </w:r>
      <w:r w:rsidRPr="00B004EE">
        <w:rPr>
          <w:rFonts w:ascii="Tahoma" w:hAnsi="Tahoma" w:cs="Tahoma"/>
          <w:sz w:val="20"/>
          <w:szCs w:val="20"/>
        </w:rPr>
        <w:t>Ce</w:t>
      </w:r>
      <w:r w:rsidR="00DB1635" w:rsidRPr="00B004EE">
        <w:rPr>
          <w:rFonts w:ascii="Tahoma" w:hAnsi="Tahoma" w:cs="Tahoma"/>
          <w:spacing w:val="-1"/>
          <w:w w:val="104"/>
          <w:sz w:val="20"/>
          <w:szCs w:val="20"/>
        </w:rPr>
        <w:t xml:space="preserve"> </w:t>
      </w:r>
      <w:r w:rsidRPr="00B004EE">
        <w:rPr>
          <w:rFonts w:ascii="Tahoma" w:hAnsi="Tahoma" w:cs="Tahoma"/>
          <w:sz w:val="20"/>
          <w:szCs w:val="20"/>
        </w:rPr>
        <w:t>cautionneme</w:t>
      </w:r>
      <w:r w:rsidRPr="00B004EE">
        <w:rPr>
          <w:rFonts w:ascii="Tahoma" w:eastAsia="American Typewriter" w:hAnsi="Tahoma" w:cs="Tahoma"/>
          <w:sz w:val="20"/>
          <w:szCs w:val="20"/>
        </w:rPr>
        <w:t>nt</w:t>
      </w:r>
      <w:r w:rsidR="00DB1635" w:rsidRPr="00B004EE">
        <w:rPr>
          <w:rFonts w:ascii="Tahoma" w:eastAsia="American Typewriter" w:hAnsi="Tahoma" w:cs="Tahoma"/>
          <w:spacing w:val="-11"/>
          <w:sz w:val="20"/>
          <w:szCs w:val="20"/>
        </w:rPr>
        <w:t xml:space="preserve"> </w:t>
      </w:r>
      <w:r w:rsidRPr="00B004EE">
        <w:rPr>
          <w:rFonts w:ascii="Tahoma" w:eastAsia="American Typewriter" w:hAnsi="Tahoma" w:cs="Tahoma"/>
          <w:sz w:val="20"/>
          <w:szCs w:val="20"/>
        </w:rPr>
        <w:t>est</w:t>
      </w:r>
      <w:r w:rsidR="00DB1635" w:rsidRPr="00B004EE">
        <w:rPr>
          <w:rFonts w:ascii="Tahoma" w:eastAsia="American Typewriter" w:hAnsi="Tahoma" w:cs="Tahoma"/>
          <w:spacing w:val="-11"/>
          <w:sz w:val="20"/>
          <w:szCs w:val="20"/>
        </w:rPr>
        <w:t xml:space="preserve"> </w:t>
      </w:r>
      <w:r w:rsidRPr="00B004EE">
        <w:rPr>
          <w:rFonts w:ascii="Tahoma" w:eastAsia="American Typewriter" w:hAnsi="Tahoma" w:cs="Tahoma"/>
          <w:sz w:val="20"/>
          <w:szCs w:val="20"/>
        </w:rPr>
        <w:t>restitué</w:t>
      </w:r>
      <w:r w:rsidR="00DB1635" w:rsidRPr="00B004EE">
        <w:rPr>
          <w:rFonts w:ascii="Tahoma" w:eastAsia="American Typewriter" w:hAnsi="Tahoma" w:cs="Tahoma"/>
          <w:spacing w:val="-11"/>
          <w:sz w:val="20"/>
          <w:szCs w:val="20"/>
        </w:rPr>
        <w:t xml:space="preserve"> </w:t>
      </w:r>
      <w:r w:rsidRPr="00B004EE">
        <w:rPr>
          <w:rFonts w:ascii="Tahoma" w:eastAsia="American Typewriter" w:hAnsi="Tahoma" w:cs="Tahoma"/>
          <w:sz w:val="20"/>
          <w:szCs w:val="20"/>
        </w:rPr>
        <w:t>aux</w:t>
      </w:r>
      <w:r w:rsidR="00DB1635" w:rsidRPr="00B004EE">
        <w:rPr>
          <w:rFonts w:ascii="Tahoma" w:eastAsia="American Typewriter" w:hAnsi="Tahoma" w:cs="Tahoma"/>
          <w:spacing w:val="-10"/>
          <w:sz w:val="20"/>
          <w:szCs w:val="20"/>
        </w:rPr>
        <w:t xml:space="preserve"> </w:t>
      </w:r>
      <w:r w:rsidRPr="00B004EE">
        <w:rPr>
          <w:rFonts w:ascii="Tahoma" w:eastAsia="American Typewriter" w:hAnsi="Tahoma" w:cs="Tahoma"/>
          <w:sz w:val="20"/>
          <w:szCs w:val="20"/>
        </w:rPr>
        <w:t>armateurs</w:t>
      </w:r>
      <w:r w:rsidR="00DB1635" w:rsidRPr="00B004EE">
        <w:rPr>
          <w:rFonts w:ascii="Tahoma" w:eastAsia="American Typewriter" w:hAnsi="Tahoma" w:cs="Tahoma"/>
          <w:spacing w:val="-11"/>
          <w:sz w:val="20"/>
          <w:szCs w:val="20"/>
        </w:rPr>
        <w:t xml:space="preserve"> </w:t>
      </w:r>
      <w:r w:rsidRPr="00B004EE">
        <w:rPr>
          <w:rFonts w:ascii="Tahoma" w:eastAsia="American Typewriter" w:hAnsi="Tahoma" w:cs="Tahoma"/>
          <w:sz w:val="20"/>
          <w:szCs w:val="20"/>
        </w:rPr>
        <w:t>à</w:t>
      </w:r>
      <w:r w:rsidR="00DB1635" w:rsidRPr="00B004EE">
        <w:rPr>
          <w:rFonts w:ascii="Tahoma" w:eastAsia="American Typewriter" w:hAnsi="Tahoma" w:cs="Tahoma"/>
          <w:spacing w:val="-12"/>
          <w:sz w:val="20"/>
          <w:szCs w:val="20"/>
        </w:rPr>
        <w:t xml:space="preserve"> </w:t>
      </w:r>
      <w:r w:rsidRPr="00B004EE">
        <w:rPr>
          <w:rFonts w:ascii="Tahoma" w:eastAsia="American Typewriter" w:hAnsi="Tahoma" w:cs="Tahoma"/>
          <w:sz w:val="20"/>
          <w:szCs w:val="20"/>
        </w:rPr>
        <w:t>la</w:t>
      </w:r>
      <w:r w:rsidR="00DB1635" w:rsidRPr="00B004EE">
        <w:rPr>
          <w:rFonts w:ascii="Tahoma" w:eastAsia="American Typewriter" w:hAnsi="Tahoma" w:cs="Tahoma"/>
          <w:spacing w:val="-12"/>
          <w:sz w:val="20"/>
          <w:szCs w:val="20"/>
        </w:rPr>
        <w:t xml:space="preserve"> </w:t>
      </w:r>
      <w:r w:rsidRPr="00B004EE">
        <w:rPr>
          <w:rFonts w:ascii="Tahoma" w:eastAsia="American Typewriter" w:hAnsi="Tahoma" w:cs="Tahoma"/>
          <w:sz w:val="20"/>
          <w:szCs w:val="20"/>
        </w:rPr>
        <w:t>date</w:t>
      </w:r>
      <w:r w:rsidR="00DB1635" w:rsidRPr="00B004EE">
        <w:rPr>
          <w:rFonts w:ascii="Tahoma" w:eastAsia="American Typewriter" w:hAnsi="Tahoma" w:cs="Tahoma"/>
          <w:spacing w:val="-12"/>
          <w:sz w:val="20"/>
          <w:szCs w:val="20"/>
        </w:rPr>
        <w:t xml:space="preserve"> </w:t>
      </w:r>
      <w:r w:rsidRPr="00B004EE">
        <w:rPr>
          <w:rFonts w:ascii="Tahoma" w:eastAsia="American Typewriter" w:hAnsi="Tahoma" w:cs="Tahoma"/>
          <w:sz w:val="20"/>
          <w:szCs w:val="20"/>
        </w:rPr>
        <w:t>d’expiration</w:t>
      </w:r>
      <w:r w:rsidR="00DB1635" w:rsidRPr="00B004EE">
        <w:rPr>
          <w:rFonts w:ascii="Tahoma" w:eastAsia="American Typewriter" w:hAnsi="Tahoma" w:cs="Tahoma"/>
          <w:spacing w:val="-13"/>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pacing w:val="-12"/>
          <w:sz w:val="20"/>
          <w:szCs w:val="20"/>
        </w:rPr>
        <w:t xml:space="preserve"> </w:t>
      </w:r>
      <w:r w:rsidRPr="00B004EE">
        <w:rPr>
          <w:rFonts w:ascii="Tahoma" w:eastAsia="American Typewriter" w:hAnsi="Tahoma" w:cs="Tahoma"/>
          <w:sz w:val="20"/>
          <w:szCs w:val="20"/>
        </w:rPr>
        <w:t>la</w:t>
      </w:r>
      <w:r w:rsidR="00DB1635" w:rsidRPr="00B004EE">
        <w:rPr>
          <w:rFonts w:ascii="Tahoma" w:eastAsia="American Typewriter" w:hAnsi="Tahoma" w:cs="Tahoma"/>
          <w:spacing w:val="-12"/>
          <w:sz w:val="20"/>
          <w:szCs w:val="20"/>
        </w:rPr>
        <w:t xml:space="preserve"> </w:t>
      </w:r>
      <w:r w:rsidRPr="00B004EE">
        <w:rPr>
          <w:rFonts w:ascii="Tahoma" w:eastAsia="American Typewriter" w:hAnsi="Tahoma" w:cs="Tahoma"/>
          <w:sz w:val="20"/>
          <w:szCs w:val="20"/>
        </w:rPr>
        <w:t>concession,</w:t>
      </w:r>
      <w:r w:rsidR="00DB1635" w:rsidRPr="00B004EE">
        <w:rPr>
          <w:rFonts w:ascii="Tahoma" w:eastAsia="American Typewriter" w:hAnsi="Tahoma" w:cs="Tahoma"/>
          <w:w w:val="95"/>
          <w:sz w:val="20"/>
          <w:szCs w:val="20"/>
        </w:rPr>
        <w:t xml:space="preserve"> </w:t>
      </w:r>
      <w:r w:rsidRPr="00B004EE">
        <w:rPr>
          <w:rFonts w:ascii="Tahoma" w:eastAsia="American Typewriter" w:hAnsi="Tahoma" w:cs="Tahoma"/>
          <w:sz w:val="20"/>
          <w:szCs w:val="20"/>
        </w:rPr>
        <w:t>au</w:t>
      </w:r>
      <w:r w:rsidR="00DB1635" w:rsidRPr="00B004EE">
        <w:rPr>
          <w:rFonts w:ascii="Tahoma" w:eastAsia="American Typewriter" w:hAnsi="Tahoma" w:cs="Tahoma"/>
          <w:spacing w:val="15"/>
          <w:sz w:val="20"/>
          <w:szCs w:val="20"/>
        </w:rPr>
        <w:t xml:space="preserve"> </w:t>
      </w:r>
      <w:r w:rsidRPr="00B004EE">
        <w:rPr>
          <w:rFonts w:ascii="Tahoma" w:eastAsia="American Typewriter" w:hAnsi="Tahoma" w:cs="Tahoma"/>
          <w:sz w:val="20"/>
          <w:szCs w:val="20"/>
        </w:rPr>
        <w:t>vu</w:t>
      </w:r>
      <w:r w:rsidR="00DB1635" w:rsidRPr="00B004EE">
        <w:rPr>
          <w:rFonts w:ascii="Tahoma" w:eastAsia="American Typewriter" w:hAnsi="Tahoma" w:cs="Tahoma"/>
          <w:spacing w:val="15"/>
          <w:sz w:val="20"/>
          <w:szCs w:val="20"/>
        </w:rPr>
        <w:t xml:space="preserve"> </w:t>
      </w:r>
      <w:r w:rsidRPr="00B004EE">
        <w:rPr>
          <w:rFonts w:ascii="Tahoma" w:eastAsia="American Typewriter" w:hAnsi="Tahoma" w:cs="Tahoma"/>
          <w:sz w:val="20"/>
          <w:szCs w:val="20"/>
        </w:rPr>
        <w:t>d’un</w:t>
      </w:r>
      <w:r w:rsidR="00DB1635" w:rsidRPr="00B004EE">
        <w:rPr>
          <w:rFonts w:ascii="Tahoma" w:eastAsia="American Typewriter" w:hAnsi="Tahoma" w:cs="Tahoma"/>
          <w:spacing w:val="15"/>
          <w:sz w:val="20"/>
          <w:szCs w:val="20"/>
        </w:rPr>
        <w:t xml:space="preserve"> </w:t>
      </w:r>
      <w:r w:rsidRPr="00B004EE">
        <w:rPr>
          <w:rFonts w:ascii="Tahoma" w:eastAsia="American Typewriter" w:hAnsi="Tahoma" w:cs="Tahoma"/>
          <w:sz w:val="20"/>
          <w:szCs w:val="20"/>
        </w:rPr>
        <w:t>quitus</w:t>
      </w:r>
      <w:r w:rsidR="00DB1635" w:rsidRPr="00B004EE">
        <w:rPr>
          <w:rFonts w:ascii="Tahoma" w:eastAsia="American Typewriter" w:hAnsi="Tahoma" w:cs="Tahoma"/>
          <w:spacing w:val="15"/>
          <w:sz w:val="20"/>
          <w:szCs w:val="20"/>
        </w:rPr>
        <w:t xml:space="preserve"> </w:t>
      </w:r>
      <w:r w:rsidRPr="00B004EE">
        <w:rPr>
          <w:rFonts w:ascii="Tahoma" w:eastAsia="American Typewriter" w:hAnsi="Tahoma" w:cs="Tahoma"/>
          <w:sz w:val="20"/>
          <w:szCs w:val="20"/>
        </w:rPr>
        <w:t>délivré</w:t>
      </w:r>
      <w:r w:rsidR="00DB1635" w:rsidRPr="00B004EE">
        <w:rPr>
          <w:rFonts w:ascii="Tahoma" w:eastAsia="American Typewriter" w:hAnsi="Tahoma" w:cs="Tahoma"/>
          <w:spacing w:val="15"/>
          <w:sz w:val="20"/>
          <w:szCs w:val="20"/>
        </w:rPr>
        <w:t xml:space="preserve"> </w:t>
      </w:r>
      <w:r w:rsidRPr="00B004EE">
        <w:rPr>
          <w:rFonts w:ascii="Tahoma" w:eastAsia="American Typewriter" w:hAnsi="Tahoma" w:cs="Tahoma"/>
          <w:sz w:val="20"/>
          <w:szCs w:val="20"/>
        </w:rPr>
        <w:t>par</w:t>
      </w:r>
      <w:r w:rsidR="00DB1635" w:rsidRPr="00B004EE">
        <w:rPr>
          <w:rFonts w:ascii="Tahoma" w:eastAsia="American Typewriter" w:hAnsi="Tahoma" w:cs="Tahoma"/>
          <w:spacing w:val="15"/>
          <w:sz w:val="20"/>
          <w:szCs w:val="20"/>
        </w:rPr>
        <w:t xml:space="preserve"> </w:t>
      </w:r>
      <w:r w:rsidRPr="00B004EE">
        <w:rPr>
          <w:rFonts w:ascii="Tahoma" w:eastAsia="American Typewriter" w:hAnsi="Tahoma" w:cs="Tahoma"/>
          <w:sz w:val="20"/>
          <w:szCs w:val="20"/>
        </w:rPr>
        <w:t>le</w:t>
      </w:r>
      <w:r w:rsidR="00DB1635" w:rsidRPr="00B004EE">
        <w:rPr>
          <w:rFonts w:ascii="Tahoma" w:eastAsia="American Typewriter" w:hAnsi="Tahoma" w:cs="Tahoma"/>
          <w:spacing w:val="15"/>
          <w:sz w:val="20"/>
          <w:szCs w:val="20"/>
        </w:rPr>
        <w:t xml:space="preserve"> </w:t>
      </w:r>
      <w:r w:rsidRPr="00B004EE">
        <w:rPr>
          <w:rFonts w:ascii="Tahoma" w:eastAsia="American Typewriter" w:hAnsi="Tahoma" w:cs="Tahoma"/>
          <w:sz w:val="20"/>
          <w:szCs w:val="20"/>
        </w:rPr>
        <w:t>ministère</w:t>
      </w:r>
      <w:r w:rsidR="00DB1635" w:rsidRPr="00B004EE">
        <w:rPr>
          <w:rFonts w:ascii="Tahoma" w:eastAsia="American Typewriter" w:hAnsi="Tahoma" w:cs="Tahoma"/>
          <w:spacing w:val="13"/>
          <w:sz w:val="20"/>
          <w:szCs w:val="20"/>
        </w:rPr>
        <w:t xml:space="preserve"> </w:t>
      </w:r>
      <w:r w:rsidRPr="00B004EE">
        <w:rPr>
          <w:rFonts w:ascii="Tahoma" w:eastAsia="American Typewriter" w:hAnsi="Tahoma" w:cs="Tahoma"/>
          <w:sz w:val="20"/>
          <w:szCs w:val="20"/>
        </w:rPr>
        <w:t>chargé</w:t>
      </w:r>
      <w:r w:rsidR="00DB1635" w:rsidRPr="00B004EE">
        <w:rPr>
          <w:rFonts w:ascii="Tahoma" w:eastAsia="American Typewriter" w:hAnsi="Tahoma" w:cs="Tahoma"/>
          <w:spacing w:val="13"/>
          <w:sz w:val="20"/>
          <w:szCs w:val="20"/>
        </w:rPr>
        <w:t xml:space="preserve"> </w:t>
      </w:r>
      <w:r w:rsidRPr="00B004EE">
        <w:rPr>
          <w:rFonts w:ascii="Tahoma" w:eastAsia="American Typewriter" w:hAnsi="Tahoma" w:cs="Tahoma"/>
          <w:sz w:val="20"/>
          <w:szCs w:val="20"/>
        </w:rPr>
        <w:t>des</w:t>
      </w:r>
      <w:r w:rsidR="00DB1635" w:rsidRPr="00B004EE">
        <w:rPr>
          <w:rFonts w:ascii="Tahoma" w:eastAsia="American Typewriter" w:hAnsi="Tahoma" w:cs="Tahoma"/>
          <w:spacing w:val="18"/>
          <w:sz w:val="20"/>
          <w:szCs w:val="20"/>
        </w:rPr>
        <w:t xml:space="preserve"> </w:t>
      </w:r>
      <w:r w:rsidRPr="00B004EE">
        <w:rPr>
          <w:rFonts w:ascii="Tahoma" w:hAnsi="Tahoma" w:cs="Tahoma"/>
          <w:sz w:val="20"/>
          <w:szCs w:val="20"/>
        </w:rPr>
        <w:t>pêches.</w:t>
      </w:r>
      <w:r w:rsidR="00DB1635" w:rsidRPr="00B004EE">
        <w:rPr>
          <w:rFonts w:ascii="Tahoma" w:hAnsi="Tahoma" w:cs="Tahoma"/>
          <w:spacing w:val="14"/>
          <w:sz w:val="20"/>
          <w:szCs w:val="20"/>
        </w:rPr>
        <w:t xml:space="preserve"> </w:t>
      </w:r>
      <w:r w:rsidRPr="00B004EE">
        <w:rPr>
          <w:rFonts w:ascii="Tahoma" w:hAnsi="Tahoma" w:cs="Tahoma"/>
          <w:sz w:val="20"/>
          <w:szCs w:val="20"/>
        </w:rPr>
        <w:t>Il</w:t>
      </w:r>
      <w:r w:rsidR="00DB1635" w:rsidRPr="00B004EE">
        <w:rPr>
          <w:rFonts w:ascii="Tahoma" w:hAnsi="Tahoma" w:cs="Tahoma"/>
          <w:spacing w:val="15"/>
          <w:sz w:val="20"/>
          <w:szCs w:val="20"/>
        </w:rPr>
        <w:t xml:space="preserve"> </w:t>
      </w:r>
      <w:r w:rsidRPr="00B004EE">
        <w:rPr>
          <w:rFonts w:ascii="Tahoma" w:hAnsi="Tahoma" w:cs="Tahoma"/>
          <w:sz w:val="20"/>
          <w:szCs w:val="20"/>
        </w:rPr>
        <w:t>sera</w:t>
      </w:r>
      <w:r w:rsidR="00DB1635" w:rsidRPr="00B004EE">
        <w:rPr>
          <w:rFonts w:ascii="Tahoma" w:hAnsi="Tahoma" w:cs="Tahoma"/>
          <w:spacing w:val="14"/>
          <w:sz w:val="20"/>
          <w:szCs w:val="20"/>
        </w:rPr>
        <w:t xml:space="preserve"> </w:t>
      </w:r>
      <w:r w:rsidRPr="00B004EE">
        <w:rPr>
          <w:rFonts w:ascii="Tahoma" w:hAnsi="Tahoma" w:cs="Tahoma"/>
          <w:sz w:val="20"/>
          <w:szCs w:val="20"/>
        </w:rPr>
        <w:t>retenu</w:t>
      </w:r>
      <w:r w:rsidR="00DB1635" w:rsidRPr="00B004EE">
        <w:rPr>
          <w:rFonts w:ascii="Tahoma" w:hAnsi="Tahoma" w:cs="Tahoma"/>
          <w:spacing w:val="13"/>
          <w:sz w:val="20"/>
          <w:szCs w:val="20"/>
        </w:rPr>
        <w:t xml:space="preserve"> </w:t>
      </w:r>
      <w:r w:rsidRPr="00B004EE">
        <w:rPr>
          <w:rFonts w:ascii="Tahoma" w:hAnsi="Tahoma" w:cs="Tahoma"/>
          <w:sz w:val="20"/>
          <w:szCs w:val="20"/>
        </w:rPr>
        <w:t>par</w:t>
      </w:r>
      <w:r w:rsidR="00DB1635" w:rsidRPr="00B004EE">
        <w:rPr>
          <w:rFonts w:ascii="Tahoma" w:hAnsi="Tahoma" w:cs="Tahoma"/>
          <w:w w:val="90"/>
          <w:sz w:val="20"/>
          <w:szCs w:val="20"/>
        </w:rPr>
        <w:t xml:space="preserve"> </w:t>
      </w:r>
      <w:r w:rsidRPr="00B004EE">
        <w:rPr>
          <w:rFonts w:ascii="Tahoma" w:eastAsia="American Typewriter" w:hAnsi="Tahoma" w:cs="Tahoma"/>
          <w:sz w:val="20"/>
          <w:szCs w:val="20"/>
        </w:rPr>
        <w:t>l’État,</w:t>
      </w:r>
      <w:r w:rsidR="00DB1635" w:rsidRPr="00B004EE">
        <w:rPr>
          <w:rFonts w:ascii="Tahoma" w:eastAsia="American Typewriter" w:hAnsi="Tahoma" w:cs="Tahoma"/>
          <w:spacing w:val="20"/>
          <w:sz w:val="20"/>
          <w:szCs w:val="20"/>
        </w:rPr>
        <w:t xml:space="preserve"> </w:t>
      </w:r>
      <w:r w:rsidRPr="00B004EE">
        <w:rPr>
          <w:rFonts w:ascii="Tahoma" w:eastAsia="American Typewriter" w:hAnsi="Tahoma" w:cs="Tahoma"/>
          <w:sz w:val="20"/>
          <w:szCs w:val="20"/>
        </w:rPr>
        <w:t>dans</w:t>
      </w:r>
      <w:r w:rsidR="00DB1635" w:rsidRPr="00B004EE">
        <w:rPr>
          <w:rFonts w:ascii="Tahoma" w:eastAsia="American Typewriter" w:hAnsi="Tahoma" w:cs="Tahoma"/>
          <w:spacing w:val="18"/>
          <w:sz w:val="20"/>
          <w:szCs w:val="20"/>
        </w:rPr>
        <w:t xml:space="preserve"> </w:t>
      </w:r>
      <w:r w:rsidRPr="00B004EE">
        <w:rPr>
          <w:rFonts w:ascii="Tahoma" w:eastAsia="American Typewriter" w:hAnsi="Tahoma" w:cs="Tahoma"/>
          <w:sz w:val="20"/>
          <w:szCs w:val="20"/>
        </w:rPr>
        <w:t>une</w:t>
      </w:r>
      <w:r w:rsidR="00DB1635" w:rsidRPr="00B004EE">
        <w:rPr>
          <w:rFonts w:ascii="Tahoma" w:eastAsia="American Typewriter" w:hAnsi="Tahoma" w:cs="Tahoma"/>
          <w:spacing w:val="19"/>
          <w:sz w:val="20"/>
          <w:szCs w:val="20"/>
        </w:rPr>
        <w:t xml:space="preserve"> </w:t>
      </w:r>
      <w:r w:rsidRPr="00B004EE">
        <w:rPr>
          <w:rFonts w:ascii="Tahoma" w:eastAsia="American Typewriter" w:hAnsi="Tahoma" w:cs="Tahoma"/>
          <w:sz w:val="20"/>
          <w:szCs w:val="20"/>
        </w:rPr>
        <w:t>mesure</w:t>
      </w:r>
      <w:r w:rsidR="00DB1635" w:rsidRPr="00B004EE">
        <w:rPr>
          <w:rFonts w:ascii="Tahoma" w:eastAsia="American Typewriter" w:hAnsi="Tahoma" w:cs="Tahoma"/>
          <w:spacing w:val="19"/>
          <w:sz w:val="20"/>
          <w:szCs w:val="20"/>
        </w:rPr>
        <w:t xml:space="preserve"> </w:t>
      </w:r>
      <w:r w:rsidRPr="00B004EE">
        <w:rPr>
          <w:rFonts w:ascii="Tahoma" w:eastAsia="American Typewriter" w:hAnsi="Tahoma" w:cs="Tahoma"/>
          <w:sz w:val="20"/>
          <w:szCs w:val="20"/>
        </w:rPr>
        <w:t>appropriée</w:t>
      </w:r>
      <w:r w:rsidR="00DB1635" w:rsidRPr="00B004EE">
        <w:rPr>
          <w:rFonts w:ascii="Tahoma" w:eastAsia="American Typewriter" w:hAnsi="Tahoma" w:cs="Tahoma"/>
          <w:spacing w:val="19"/>
          <w:sz w:val="20"/>
          <w:szCs w:val="20"/>
        </w:rPr>
        <w:t xml:space="preserve"> </w:t>
      </w:r>
      <w:r w:rsidRPr="00B004EE">
        <w:rPr>
          <w:rFonts w:ascii="Tahoma" w:eastAsia="American Typewriter" w:hAnsi="Tahoma" w:cs="Tahoma"/>
          <w:sz w:val="20"/>
          <w:szCs w:val="20"/>
        </w:rPr>
        <w:t>en</w:t>
      </w:r>
      <w:r w:rsidR="00DB1635" w:rsidRPr="00B004EE">
        <w:rPr>
          <w:rFonts w:ascii="Tahoma" w:eastAsia="American Typewriter" w:hAnsi="Tahoma" w:cs="Tahoma"/>
          <w:spacing w:val="19"/>
          <w:sz w:val="20"/>
          <w:szCs w:val="20"/>
        </w:rPr>
        <w:t xml:space="preserve"> </w:t>
      </w:r>
      <w:r w:rsidRPr="00B004EE">
        <w:rPr>
          <w:rFonts w:ascii="Tahoma" w:eastAsia="American Typewriter" w:hAnsi="Tahoma" w:cs="Tahoma"/>
          <w:sz w:val="20"/>
          <w:szCs w:val="20"/>
        </w:rPr>
        <w:t>cas</w:t>
      </w:r>
      <w:r w:rsidR="00DB1635" w:rsidRPr="00B004EE">
        <w:rPr>
          <w:rFonts w:ascii="Tahoma" w:eastAsia="American Typewriter" w:hAnsi="Tahoma" w:cs="Tahoma"/>
          <w:spacing w:val="18"/>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pacing w:val="19"/>
          <w:sz w:val="20"/>
          <w:szCs w:val="20"/>
        </w:rPr>
        <w:t xml:space="preserve"> </w:t>
      </w:r>
      <w:r w:rsidRPr="00B004EE">
        <w:rPr>
          <w:rFonts w:ascii="Tahoma" w:eastAsia="American Typewriter" w:hAnsi="Tahoma" w:cs="Tahoma"/>
          <w:sz w:val="20"/>
          <w:szCs w:val="20"/>
        </w:rPr>
        <w:t>non</w:t>
      </w:r>
      <w:r w:rsidRPr="00B004EE">
        <w:rPr>
          <w:rFonts w:ascii="Tahoma" w:hAnsi="Tahoma" w:cs="Tahoma"/>
          <w:sz w:val="20"/>
          <w:szCs w:val="20"/>
        </w:rPr>
        <w:t>-respect</w:t>
      </w:r>
      <w:r w:rsidR="00DB1635" w:rsidRPr="00B004EE">
        <w:rPr>
          <w:rFonts w:ascii="Tahoma" w:hAnsi="Tahoma" w:cs="Tahoma"/>
          <w:spacing w:val="18"/>
          <w:sz w:val="20"/>
          <w:szCs w:val="20"/>
        </w:rPr>
        <w:t xml:space="preserve"> </w:t>
      </w:r>
      <w:r w:rsidRPr="00B004EE">
        <w:rPr>
          <w:rFonts w:ascii="Tahoma" w:hAnsi="Tahoma" w:cs="Tahoma"/>
          <w:sz w:val="20"/>
          <w:szCs w:val="20"/>
        </w:rPr>
        <w:t>par</w:t>
      </w:r>
      <w:r w:rsidR="00DB1635" w:rsidRPr="00B004EE">
        <w:rPr>
          <w:rFonts w:ascii="Tahoma" w:hAnsi="Tahoma" w:cs="Tahoma"/>
          <w:spacing w:val="17"/>
          <w:sz w:val="20"/>
          <w:szCs w:val="20"/>
        </w:rPr>
        <w:t xml:space="preserve"> </w:t>
      </w:r>
      <w:r w:rsidRPr="00B004EE">
        <w:rPr>
          <w:rFonts w:ascii="Tahoma" w:hAnsi="Tahoma" w:cs="Tahoma"/>
          <w:sz w:val="20"/>
          <w:szCs w:val="20"/>
        </w:rPr>
        <w:t>les</w:t>
      </w:r>
      <w:r w:rsidR="00DB1635" w:rsidRPr="00B004EE">
        <w:rPr>
          <w:rFonts w:ascii="Tahoma" w:hAnsi="Tahoma" w:cs="Tahoma"/>
          <w:spacing w:val="17"/>
          <w:sz w:val="20"/>
          <w:szCs w:val="20"/>
        </w:rPr>
        <w:t xml:space="preserve"> </w:t>
      </w:r>
      <w:r w:rsidRPr="00B004EE">
        <w:rPr>
          <w:rFonts w:ascii="Tahoma" w:hAnsi="Tahoma" w:cs="Tahoma"/>
          <w:sz w:val="20"/>
          <w:szCs w:val="20"/>
        </w:rPr>
        <w:t>armateurs</w:t>
      </w:r>
      <w:r w:rsidR="00DB1635" w:rsidRPr="00B004EE">
        <w:rPr>
          <w:rFonts w:ascii="Tahoma" w:hAnsi="Tahoma" w:cs="Tahoma"/>
          <w:spacing w:val="17"/>
          <w:sz w:val="20"/>
          <w:szCs w:val="20"/>
        </w:rPr>
        <w:t xml:space="preserve"> </w:t>
      </w:r>
      <w:r w:rsidRPr="00B004EE">
        <w:rPr>
          <w:rFonts w:ascii="Tahoma" w:hAnsi="Tahoma" w:cs="Tahoma"/>
          <w:sz w:val="20"/>
          <w:szCs w:val="20"/>
        </w:rPr>
        <w:t>de</w:t>
      </w:r>
      <w:r w:rsidR="00DB1635" w:rsidRPr="00B004EE">
        <w:rPr>
          <w:rFonts w:ascii="Tahoma" w:hAnsi="Tahoma" w:cs="Tahoma"/>
          <w:w w:val="94"/>
          <w:sz w:val="20"/>
          <w:szCs w:val="20"/>
        </w:rPr>
        <w:t xml:space="preserve"> </w:t>
      </w:r>
      <w:r w:rsidRPr="00B004EE">
        <w:rPr>
          <w:rFonts w:ascii="Tahoma" w:hAnsi="Tahoma" w:cs="Tahoma"/>
          <w:w w:val="95"/>
          <w:sz w:val="20"/>
          <w:szCs w:val="20"/>
        </w:rPr>
        <w:t>leurs</w:t>
      </w:r>
      <w:r w:rsidR="00DB1635" w:rsidRPr="00B004EE">
        <w:rPr>
          <w:rFonts w:ascii="Tahoma" w:hAnsi="Tahoma" w:cs="Tahoma"/>
          <w:spacing w:val="36"/>
          <w:w w:val="95"/>
          <w:sz w:val="20"/>
          <w:szCs w:val="20"/>
        </w:rPr>
        <w:t xml:space="preserve"> </w:t>
      </w:r>
      <w:r w:rsidRPr="00B004EE">
        <w:rPr>
          <w:rFonts w:ascii="Tahoma" w:hAnsi="Tahoma" w:cs="Tahoma"/>
          <w:w w:val="95"/>
          <w:sz w:val="20"/>
          <w:szCs w:val="20"/>
        </w:rPr>
        <w:t>obligations.</w:t>
      </w:r>
    </w:p>
    <w:p w14:paraId="5663F7EF" w14:textId="0DD34BAB" w:rsidR="001E7C3C" w:rsidRPr="00B004EE" w:rsidRDefault="001E7C3C" w:rsidP="00B004EE">
      <w:pPr>
        <w:pStyle w:val="Corpsdetexte"/>
        <w:ind w:right="157"/>
        <w:rPr>
          <w:rFonts w:ascii="Tahoma" w:hAnsi="Tahoma" w:cs="Tahoma"/>
          <w:sz w:val="20"/>
          <w:szCs w:val="20"/>
        </w:rPr>
      </w:pPr>
      <w:r w:rsidRPr="00B004EE">
        <w:rPr>
          <w:rFonts w:ascii="Tahoma" w:hAnsi="Tahoma" w:cs="Tahoma"/>
          <w:sz w:val="20"/>
          <w:szCs w:val="20"/>
        </w:rPr>
        <w:t>Un</w:t>
      </w:r>
      <w:r w:rsidR="00DB1635" w:rsidRPr="00B004EE">
        <w:rPr>
          <w:rFonts w:ascii="Tahoma" w:hAnsi="Tahoma" w:cs="Tahoma"/>
          <w:spacing w:val="52"/>
          <w:sz w:val="20"/>
          <w:szCs w:val="20"/>
        </w:rPr>
        <w:t xml:space="preserve"> </w:t>
      </w:r>
      <w:r w:rsidRPr="00B004EE">
        <w:rPr>
          <w:rFonts w:ascii="Tahoma" w:hAnsi="Tahoma" w:cs="Tahoma"/>
          <w:sz w:val="20"/>
          <w:szCs w:val="20"/>
        </w:rPr>
        <w:t>arrêté</w:t>
      </w:r>
      <w:r w:rsidR="00DB1635" w:rsidRPr="00B004EE">
        <w:rPr>
          <w:rFonts w:ascii="Tahoma" w:hAnsi="Tahoma" w:cs="Tahoma"/>
          <w:spacing w:val="52"/>
          <w:sz w:val="20"/>
          <w:szCs w:val="20"/>
        </w:rPr>
        <w:t xml:space="preserve"> </w:t>
      </w:r>
      <w:r w:rsidRPr="00B004EE">
        <w:rPr>
          <w:rFonts w:ascii="Tahoma" w:hAnsi="Tahoma" w:cs="Tahoma"/>
          <w:sz w:val="20"/>
          <w:szCs w:val="20"/>
        </w:rPr>
        <w:t>conjoint</w:t>
      </w:r>
      <w:r w:rsidR="00DB1635" w:rsidRPr="00B004EE">
        <w:rPr>
          <w:rFonts w:ascii="Tahoma" w:hAnsi="Tahoma" w:cs="Tahoma"/>
          <w:spacing w:val="52"/>
          <w:sz w:val="20"/>
          <w:szCs w:val="20"/>
        </w:rPr>
        <w:t xml:space="preserve"> </w:t>
      </w:r>
      <w:r w:rsidRPr="00B004EE">
        <w:rPr>
          <w:rFonts w:ascii="Tahoma" w:hAnsi="Tahoma" w:cs="Tahoma"/>
          <w:sz w:val="20"/>
          <w:szCs w:val="20"/>
        </w:rPr>
        <w:t>du</w:t>
      </w:r>
      <w:r w:rsidR="00DB1635" w:rsidRPr="00B004EE">
        <w:rPr>
          <w:rFonts w:ascii="Tahoma" w:hAnsi="Tahoma" w:cs="Tahoma"/>
          <w:spacing w:val="52"/>
          <w:sz w:val="20"/>
          <w:szCs w:val="20"/>
        </w:rPr>
        <w:t xml:space="preserve"> </w:t>
      </w:r>
      <w:r w:rsidRPr="00B004EE">
        <w:rPr>
          <w:rFonts w:ascii="Tahoma" w:hAnsi="Tahoma" w:cs="Tahoma"/>
          <w:sz w:val="20"/>
          <w:szCs w:val="20"/>
        </w:rPr>
        <w:t>ministre</w:t>
      </w:r>
      <w:r w:rsidR="00DB1635" w:rsidRPr="00B004EE">
        <w:rPr>
          <w:rFonts w:ascii="Tahoma" w:hAnsi="Tahoma" w:cs="Tahoma"/>
          <w:spacing w:val="52"/>
          <w:sz w:val="20"/>
          <w:szCs w:val="20"/>
        </w:rPr>
        <w:t xml:space="preserve"> </w:t>
      </w:r>
      <w:r w:rsidRPr="00B004EE">
        <w:rPr>
          <w:rFonts w:ascii="Tahoma" w:hAnsi="Tahoma" w:cs="Tahoma"/>
          <w:sz w:val="20"/>
          <w:szCs w:val="20"/>
        </w:rPr>
        <w:t>chargé</w:t>
      </w:r>
      <w:r w:rsidR="00DB1635" w:rsidRPr="00B004EE">
        <w:rPr>
          <w:rFonts w:ascii="Tahoma" w:hAnsi="Tahoma" w:cs="Tahoma"/>
          <w:spacing w:val="52"/>
          <w:sz w:val="20"/>
          <w:szCs w:val="20"/>
        </w:rPr>
        <w:t xml:space="preserve"> </w:t>
      </w:r>
      <w:r w:rsidRPr="00B004EE">
        <w:rPr>
          <w:rFonts w:ascii="Tahoma" w:hAnsi="Tahoma" w:cs="Tahoma"/>
          <w:sz w:val="20"/>
          <w:szCs w:val="20"/>
        </w:rPr>
        <w:t>des</w:t>
      </w:r>
      <w:r w:rsidR="00DB1635" w:rsidRPr="00B004EE">
        <w:rPr>
          <w:rFonts w:ascii="Tahoma" w:hAnsi="Tahoma" w:cs="Tahoma"/>
          <w:spacing w:val="52"/>
          <w:sz w:val="20"/>
          <w:szCs w:val="20"/>
        </w:rPr>
        <w:t xml:space="preserve"> </w:t>
      </w:r>
      <w:r w:rsidRPr="00B004EE">
        <w:rPr>
          <w:rFonts w:ascii="Tahoma" w:hAnsi="Tahoma" w:cs="Tahoma"/>
          <w:sz w:val="20"/>
          <w:szCs w:val="20"/>
        </w:rPr>
        <w:t>pêches</w:t>
      </w:r>
      <w:r w:rsidR="00DB1635" w:rsidRPr="00B004EE">
        <w:rPr>
          <w:rFonts w:ascii="Tahoma" w:hAnsi="Tahoma" w:cs="Tahoma"/>
          <w:spacing w:val="49"/>
          <w:sz w:val="20"/>
          <w:szCs w:val="20"/>
        </w:rPr>
        <w:t xml:space="preserve"> </w:t>
      </w:r>
      <w:r w:rsidRPr="00B004EE">
        <w:rPr>
          <w:rFonts w:ascii="Tahoma" w:hAnsi="Tahoma" w:cs="Tahoma"/>
          <w:sz w:val="20"/>
          <w:szCs w:val="20"/>
        </w:rPr>
        <w:t>et</w:t>
      </w:r>
      <w:r w:rsidR="00DB1635" w:rsidRPr="00B004EE">
        <w:rPr>
          <w:rFonts w:ascii="Tahoma" w:hAnsi="Tahoma" w:cs="Tahoma"/>
          <w:spacing w:val="50"/>
          <w:sz w:val="20"/>
          <w:szCs w:val="20"/>
        </w:rPr>
        <w:t xml:space="preserve"> </w:t>
      </w:r>
      <w:r w:rsidRPr="00B004EE">
        <w:rPr>
          <w:rFonts w:ascii="Tahoma" w:hAnsi="Tahoma" w:cs="Tahoma"/>
          <w:sz w:val="20"/>
          <w:szCs w:val="20"/>
        </w:rPr>
        <w:t>du</w:t>
      </w:r>
      <w:r w:rsidR="00DB1635" w:rsidRPr="00B004EE">
        <w:rPr>
          <w:rFonts w:ascii="Tahoma" w:hAnsi="Tahoma" w:cs="Tahoma"/>
          <w:spacing w:val="50"/>
          <w:sz w:val="20"/>
          <w:szCs w:val="20"/>
        </w:rPr>
        <w:t xml:space="preserve"> </w:t>
      </w:r>
      <w:r w:rsidRPr="00B004EE">
        <w:rPr>
          <w:rFonts w:ascii="Tahoma" w:hAnsi="Tahoma" w:cs="Tahoma"/>
          <w:sz w:val="20"/>
          <w:szCs w:val="20"/>
        </w:rPr>
        <w:t>ministre</w:t>
      </w:r>
      <w:r w:rsidR="00DB1635" w:rsidRPr="00B004EE">
        <w:rPr>
          <w:rFonts w:ascii="Tahoma" w:hAnsi="Tahoma" w:cs="Tahoma"/>
          <w:spacing w:val="55"/>
          <w:sz w:val="20"/>
          <w:szCs w:val="20"/>
        </w:rPr>
        <w:t xml:space="preserve"> </w:t>
      </w:r>
      <w:r w:rsidRPr="00B004EE">
        <w:rPr>
          <w:rFonts w:ascii="Tahoma" w:hAnsi="Tahoma" w:cs="Tahoma"/>
          <w:sz w:val="20"/>
          <w:szCs w:val="20"/>
        </w:rPr>
        <w:t>chargé</w:t>
      </w:r>
      <w:r w:rsidR="00DB1635" w:rsidRPr="00B004EE">
        <w:rPr>
          <w:rFonts w:ascii="Tahoma" w:hAnsi="Tahoma" w:cs="Tahoma"/>
          <w:spacing w:val="51"/>
          <w:sz w:val="20"/>
          <w:szCs w:val="20"/>
        </w:rPr>
        <w:t xml:space="preserve"> </w:t>
      </w:r>
      <w:r w:rsidRPr="00B004EE">
        <w:rPr>
          <w:rFonts w:ascii="Tahoma" w:hAnsi="Tahoma" w:cs="Tahoma"/>
          <w:sz w:val="20"/>
          <w:szCs w:val="20"/>
        </w:rPr>
        <w:t>des</w:t>
      </w:r>
      <w:r w:rsidR="00DB1635" w:rsidRPr="00B004EE">
        <w:rPr>
          <w:rFonts w:ascii="Tahoma" w:hAnsi="Tahoma" w:cs="Tahoma"/>
          <w:w w:val="94"/>
          <w:sz w:val="20"/>
          <w:szCs w:val="20"/>
        </w:rPr>
        <w:t xml:space="preserve"> </w:t>
      </w:r>
      <w:r w:rsidRPr="00B004EE">
        <w:rPr>
          <w:rFonts w:ascii="Tahoma" w:hAnsi="Tahoma" w:cs="Tahoma"/>
          <w:w w:val="95"/>
          <w:sz w:val="20"/>
          <w:szCs w:val="20"/>
        </w:rPr>
        <w:t>finances</w:t>
      </w:r>
      <w:r w:rsidR="00DB1635" w:rsidRPr="00B004EE">
        <w:rPr>
          <w:rFonts w:ascii="Tahoma" w:hAnsi="Tahoma" w:cs="Tahoma"/>
          <w:w w:val="95"/>
          <w:sz w:val="20"/>
          <w:szCs w:val="20"/>
        </w:rPr>
        <w:t xml:space="preserve"> </w:t>
      </w:r>
      <w:r w:rsidRPr="00B004EE">
        <w:rPr>
          <w:rFonts w:ascii="Tahoma" w:hAnsi="Tahoma" w:cs="Tahoma"/>
          <w:w w:val="95"/>
          <w:sz w:val="20"/>
          <w:szCs w:val="20"/>
        </w:rPr>
        <w:t>précisera</w:t>
      </w:r>
      <w:r w:rsidR="00DB1635" w:rsidRPr="00B004EE">
        <w:rPr>
          <w:rFonts w:ascii="Tahoma" w:hAnsi="Tahoma" w:cs="Tahoma"/>
          <w:w w:val="95"/>
          <w:sz w:val="20"/>
          <w:szCs w:val="20"/>
        </w:rPr>
        <w:t xml:space="preserve"> </w:t>
      </w:r>
      <w:r w:rsidRPr="00B004EE">
        <w:rPr>
          <w:rFonts w:ascii="Tahoma" w:hAnsi="Tahoma" w:cs="Tahoma"/>
          <w:w w:val="95"/>
          <w:sz w:val="20"/>
          <w:szCs w:val="20"/>
        </w:rPr>
        <w:t>les</w:t>
      </w:r>
      <w:r w:rsidR="00DB1635" w:rsidRPr="00B004EE">
        <w:rPr>
          <w:rFonts w:ascii="Tahoma" w:hAnsi="Tahoma" w:cs="Tahoma"/>
          <w:w w:val="95"/>
          <w:sz w:val="20"/>
          <w:szCs w:val="20"/>
        </w:rPr>
        <w:t xml:space="preserve"> </w:t>
      </w:r>
      <w:r w:rsidRPr="00B004EE">
        <w:rPr>
          <w:rFonts w:ascii="Tahoma" w:hAnsi="Tahoma" w:cs="Tahoma"/>
          <w:w w:val="95"/>
          <w:sz w:val="20"/>
          <w:szCs w:val="20"/>
        </w:rPr>
        <w:t>règles</w:t>
      </w:r>
      <w:r w:rsidR="00DB1635" w:rsidRPr="00B004EE">
        <w:rPr>
          <w:rFonts w:ascii="Tahoma" w:hAnsi="Tahoma" w:cs="Tahoma"/>
          <w:w w:val="95"/>
          <w:sz w:val="20"/>
          <w:szCs w:val="20"/>
        </w:rPr>
        <w:t xml:space="preserve"> </w:t>
      </w:r>
      <w:r w:rsidRPr="00B004EE">
        <w:rPr>
          <w:rFonts w:ascii="Tahoma" w:hAnsi="Tahoma" w:cs="Tahoma"/>
          <w:w w:val="95"/>
          <w:sz w:val="20"/>
          <w:szCs w:val="20"/>
        </w:rPr>
        <w:t>applicables</w:t>
      </w:r>
      <w:r w:rsidR="00DB1635" w:rsidRPr="00B004EE">
        <w:rPr>
          <w:rFonts w:ascii="Tahoma" w:hAnsi="Tahoma" w:cs="Tahoma"/>
          <w:w w:val="95"/>
          <w:sz w:val="20"/>
          <w:szCs w:val="20"/>
        </w:rPr>
        <w:t xml:space="preserve"> </w:t>
      </w:r>
      <w:r w:rsidRPr="00B004EE">
        <w:rPr>
          <w:rFonts w:ascii="Tahoma" w:hAnsi="Tahoma" w:cs="Tahoma"/>
          <w:w w:val="95"/>
          <w:sz w:val="20"/>
          <w:szCs w:val="20"/>
        </w:rPr>
        <w:t>à</w:t>
      </w:r>
      <w:r w:rsidR="00DB1635" w:rsidRPr="00B004EE">
        <w:rPr>
          <w:rFonts w:ascii="Tahoma" w:hAnsi="Tahoma" w:cs="Tahoma"/>
          <w:w w:val="95"/>
          <w:sz w:val="20"/>
          <w:szCs w:val="20"/>
        </w:rPr>
        <w:t xml:space="preserve"> </w:t>
      </w:r>
      <w:r w:rsidRPr="00B004EE">
        <w:rPr>
          <w:rFonts w:ascii="Tahoma" w:hAnsi="Tahoma" w:cs="Tahoma"/>
          <w:w w:val="95"/>
          <w:sz w:val="20"/>
          <w:szCs w:val="20"/>
        </w:rPr>
        <w:t>ce</w:t>
      </w:r>
      <w:r w:rsidR="00DB1635" w:rsidRPr="00B004EE">
        <w:rPr>
          <w:rFonts w:ascii="Tahoma" w:hAnsi="Tahoma" w:cs="Tahoma"/>
          <w:w w:val="95"/>
          <w:sz w:val="20"/>
          <w:szCs w:val="20"/>
        </w:rPr>
        <w:t xml:space="preserve"> </w:t>
      </w:r>
      <w:r w:rsidRPr="00B004EE">
        <w:rPr>
          <w:rFonts w:ascii="Tahoma" w:hAnsi="Tahoma" w:cs="Tahoma"/>
          <w:w w:val="95"/>
          <w:sz w:val="20"/>
          <w:szCs w:val="20"/>
        </w:rPr>
        <w:t>cautionnement.</w:t>
      </w:r>
    </w:p>
    <w:p w14:paraId="542B684A" w14:textId="77777777" w:rsidR="001E7C3C" w:rsidRPr="00B004EE" w:rsidRDefault="001E7C3C" w:rsidP="00B004EE">
      <w:pPr>
        <w:rPr>
          <w:rFonts w:ascii="Tahoma" w:eastAsia="American Typewriter" w:hAnsi="Tahoma" w:cs="Tahoma"/>
          <w:sz w:val="20"/>
          <w:szCs w:val="20"/>
        </w:rPr>
      </w:pPr>
    </w:p>
    <w:p w14:paraId="204CAEE9" w14:textId="70E8CE20" w:rsidR="001E7C3C" w:rsidRPr="00B004EE" w:rsidRDefault="001E7C3C" w:rsidP="00B004EE">
      <w:pPr>
        <w:ind w:right="164" w:hanging="4"/>
        <w:jc w:val="center"/>
        <w:rPr>
          <w:rFonts w:ascii="Tahoma" w:hAnsi="Tahoma" w:cs="Tahoma"/>
          <w:b/>
          <w:spacing w:val="1"/>
          <w:w w:val="113"/>
          <w:sz w:val="20"/>
          <w:szCs w:val="20"/>
        </w:rPr>
      </w:pPr>
      <w:bookmarkStart w:id="59" w:name="_Toc16279062"/>
      <w:bookmarkStart w:id="60" w:name="_Toc16279431"/>
      <w:r w:rsidRPr="00B004EE">
        <w:rPr>
          <w:rFonts w:ascii="Tahoma" w:hAnsi="Tahoma" w:cs="Tahoma"/>
          <w:b/>
          <w:spacing w:val="1"/>
          <w:w w:val="113"/>
          <w:sz w:val="20"/>
          <w:szCs w:val="20"/>
        </w:rPr>
        <w:t>CHAPITRE</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II</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DISPOSITIONS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APPLICABLES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AUX</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ACTIVITES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DE</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PECHE</w:t>
      </w:r>
      <w:bookmarkEnd w:id="59"/>
      <w:bookmarkEnd w:id="60"/>
    </w:p>
    <w:p w14:paraId="38DED3D2" w14:textId="77777777" w:rsidR="001E7C3C" w:rsidRPr="00B004EE" w:rsidRDefault="001E7C3C" w:rsidP="00B004EE">
      <w:pPr>
        <w:ind w:right="164" w:hanging="4"/>
        <w:jc w:val="center"/>
        <w:rPr>
          <w:rFonts w:ascii="Tahoma" w:hAnsi="Tahoma" w:cs="Tahoma"/>
          <w:b/>
          <w:spacing w:val="1"/>
          <w:w w:val="113"/>
          <w:sz w:val="20"/>
          <w:szCs w:val="20"/>
        </w:rPr>
      </w:pPr>
    </w:p>
    <w:p w14:paraId="5770FB73" w14:textId="33D7C3F7" w:rsidR="001E7C3C" w:rsidRPr="00B004EE" w:rsidRDefault="001E7C3C" w:rsidP="00B004EE">
      <w:pPr>
        <w:ind w:right="164" w:hanging="4"/>
        <w:jc w:val="center"/>
        <w:rPr>
          <w:rFonts w:ascii="Tahoma" w:hAnsi="Tahoma" w:cs="Tahoma"/>
          <w:b/>
          <w:spacing w:val="1"/>
          <w:w w:val="113"/>
          <w:sz w:val="20"/>
          <w:szCs w:val="20"/>
        </w:rPr>
      </w:pPr>
      <w:r w:rsidRPr="00B004EE">
        <w:rPr>
          <w:rFonts w:ascii="Tahoma" w:hAnsi="Tahoma" w:cs="Tahoma"/>
          <w:b/>
          <w:spacing w:val="1"/>
          <w:w w:val="113"/>
          <w:sz w:val="20"/>
          <w:szCs w:val="20"/>
        </w:rPr>
        <w:t>Section</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première</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De</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l'interdiction</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d'usage</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ou</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de</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transport</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d'explosifs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ou</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de</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substances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toxiques.</w:t>
      </w:r>
    </w:p>
    <w:p w14:paraId="246B54A7" w14:textId="77777777" w:rsidR="001E7C3C" w:rsidRPr="00B004EE" w:rsidRDefault="001E7C3C" w:rsidP="00B004EE">
      <w:pPr>
        <w:rPr>
          <w:rFonts w:ascii="Tahoma" w:eastAsia="American Typewriter" w:hAnsi="Tahoma" w:cs="Tahoma"/>
          <w:b/>
          <w:bCs/>
          <w:sz w:val="20"/>
          <w:szCs w:val="20"/>
        </w:rPr>
      </w:pPr>
    </w:p>
    <w:p w14:paraId="449B5765" w14:textId="62973CE1" w:rsidR="001E7C3C" w:rsidRPr="00B004EE" w:rsidRDefault="001E7C3C" w:rsidP="00B004EE">
      <w:pPr>
        <w:pStyle w:val="Corpsdetexte"/>
        <w:ind w:right="164"/>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38</w:t>
      </w:r>
      <w:r w:rsidR="00DB1635" w:rsidRPr="00B004EE">
        <w:rPr>
          <w:rFonts w:ascii="Tahoma" w:hAnsi="Tahoma" w:cs="Tahoma"/>
          <w:bCs/>
          <w:sz w:val="20"/>
          <w:szCs w:val="20"/>
        </w:rPr>
        <w:t xml:space="preserve"> </w:t>
      </w:r>
      <w:r w:rsidRPr="00B004EE">
        <w:rPr>
          <w:rFonts w:ascii="Tahoma" w:hAnsi="Tahoma" w:cs="Tahoma"/>
          <w:bCs/>
          <w:sz w:val="20"/>
          <w:szCs w:val="20"/>
        </w:rPr>
        <w:t>:</w:t>
      </w:r>
      <w:r w:rsidR="00DB1635" w:rsidRPr="00B004EE">
        <w:rPr>
          <w:rFonts w:ascii="Tahoma" w:hAnsi="Tahoma" w:cs="Tahoma"/>
          <w:b/>
          <w:sz w:val="20"/>
          <w:szCs w:val="20"/>
        </w:rPr>
        <w:t xml:space="preserve"> </w:t>
      </w:r>
      <w:r w:rsidRPr="00B004EE">
        <w:rPr>
          <w:rFonts w:ascii="Tahoma" w:hAnsi="Tahoma" w:cs="Tahoma"/>
          <w:sz w:val="20"/>
          <w:szCs w:val="20"/>
        </w:rPr>
        <w:t>Il</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expressément</w:t>
      </w:r>
      <w:r w:rsidR="00DB1635" w:rsidRPr="00B004EE">
        <w:rPr>
          <w:rFonts w:ascii="Tahoma" w:hAnsi="Tahoma" w:cs="Tahoma"/>
          <w:sz w:val="20"/>
          <w:szCs w:val="20"/>
        </w:rPr>
        <w:t xml:space="preserve"> </w:t>
      </w:r>
      <w:r w:rsidRPr="00B004EE">
        <w:rPr>
          <w:rFonts w:ascii="Tahoma" w:hAnsi="Tahoma" w:cs="Tahoma"/>
          <w:sz w:val="20"/>
          <w:szCs w:val="20"/>
        </w:rPr>
        <w:t>interdit,</w:t>
      </w:r>
      <w:r w:rsidR="00DB1635" w:rsidRPr="00B004EE">
        <w:rPr>
          <w:rFonts w:ascii="Tahoma" w:hAnsi="Tahoma" w:cs="Tahoma"/>
          <w:sz w:val="20"/>
          <w:szCs w:val="20"/>
        </w:rPr>
        <w:t xml:space="preserve"> </w:t>
      </w:r>
      <w:r w:rsidRPr="00B004EE">
        <w:rPr>
          <w:rFonts w:ascii="Tahoma" w:hAnsi="Tahoma" w:cs="Tahoma"/>
          <w:sz w:val="20"/>
          <w:szCs w:val="20"/>
        </w:rPr>
        <w:t>sauf</w:t>
      </w:r>
      <w:r w:rsidR="00DB1635" w:rsidRPr="00B004EE">
        <w:rPr>
          <w:rFonts w:ascii="Tahoma" w:hAnsi="Tahoma" w:cs="Tahoma"/>
          <w:sz w:val="20"/>
          <w:szCs w:val="20"/>
        </w:rPr>
        <w:t xml:space="preserve"> </w:t>
      </w:r>
      <w:r w:rsidRPr="00B004EE">
        <w:rPr>
          <w:rFonts w:ascii="Tahoma" w:hAnsi="Tahoma" w:cs="Tahoma"/>
          <w:sz w:val="20"/>
          <w:szCs w:val="20"/>
        </w:rPr>
        <w:t>autorisation</w:t>
      </w:r>
      <w:r w:rsidR="00DB1635" w:rsidRPr="00B004EE">
        <w:rPr>
          <w:rFonts w:ascii="Tahoma" w:hAnsi="Tahoma" w:cs="Tahoma"/>
          <w:sz w:val="20"/>
          <w:szCs w:val="20"/>
        </w:rPr>
        <w:t xml:space="preserve"> </w:t>
      </w:r>
      <w:r w:rsidRPr="00B004EE">
        <w:rPr>
          <w:rFonts w:ascii="Tahoma" w:hAnsi="Tahoma" w:cs="Tahoma"/>
          <w:sz w:val="20"/>
          <w:szCs w:val="20"/>
        </w:rPr>
        <w:t>spéciale</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pacing w:val="23"/>
          <w:sz w:val="20"/>
          <w:szCs w:val="20"/>
        </w:rPr>
        <w:t xml:space="preserve"> </w:t>
      </w:r>
      <w:r w:rsidRPr="00B004EE">
        <w:rPr>
          <w:rFonts w:ascii="Tahoma" w:hAnsi="Tahoma" w:cs="Tahoma"/>
          <w:sz w:val="20"/>
          <w:szCs w:val="20"/>
        </w:rPr>
        <w:t>ministre</w:t>
      </w:r>
      <w:r w:rsidR="00DB1635" w:rsidRPr="00B004EE">
        <w:rPr>
          <w:rFonts w:ascii="Tahoma" w:hAnsi="Tahoma" w:cs="Tahoma"/>
          <w:w w:val="94"/>
          <w:sz w:val="20"/>
          <w:szCs w:val="20"/>
        </w:rPr>
        <w:t xml:space="preserve"> </w:t>
      </w:r>
      <w:r w:rsidRPr="00B004EE">
        <w:rPr>
          <w:rFonts w:ascii="Tahoma" w:hAnsi="Tahoma" w:cs="Tahoma"/>
          <w:sz w:val="20"/>
          <w:szCs w:val="20"/>
        </w:rPr>
        <w:t>chargé</w:t>
      </w:r>
      <w:r w:rsidR="00DB1635" w:rsidRPr="00B004EE">
        <w:rPr>
          <w:rFonts w:ascii="Tahoma" w:hAnsi="Tahoma" w:cs="Tahoma"/>
          <w:spacing w:val="-27"/>
          <w:sz w:val="20"/>
          <w:szCs w:val="20"/>
        </w:rPr>
        <w:t xml:space="preserve"> </w:t>
      </w:r>
      <w:r w:rsidRPr="00B004EE">
        <w:rPr>
          <w:rFonts w:ascii="Tahoma" w:hAnsi="Tahoma" w:cs="Tahoma"/>
          <w:sz w:val="20"/>
          <w:szCs w:val="20"/>
        </w:rPr>
        <w:t>des</w:t>
      </w:r>
      <w:r w:rsidR="00DB1635" w:rsidRPr="00B004EE">
        <w:rPr>
          <w:rFonts w:ascii="Tahoma" w:hAnsi="Tahoma" w:cs="Tahoma"/>
          <w:spacing w:val="-27"/>
          <w:sz w:val="20"/>
          <w:szCs w:val="20"/>
        </w:rPr>
        <w:t xml:space="preserve"> </w:t>
      </w:r>
      <w:r w:rsidRPr="00B004EE">
        <w:rPr>
          <w:rFonts w:ascii="Tahoma" w:hAnsi="Tahoma" w:cs="Tahoma"/>
          <w:sz w:val="20"/>
          <w:szCs w:val="20"/>
        </w:rPr>
        <w:t>pêches,</w:t>
      </w:r>
      <w:r w:rsidR="00DB1635" w:rsidRPr="00B004EE">
        <w:rPr>
          <w:rFonts w:ascii="Tahoma" w:hAnsi="Tahoma" w:cs="Tahoma"/>
          <w:spacing w:val="-26"/>
          <w:sz w:val="20"/>
          <w:szCs w:val="20"/>
        </w:rPr>
        <w:t xml:space="preserve"> </w:t>
      </w:r>
      <w:r w:rsidRPr="00B004EE">
        <w:rPr>
          <w:rFonts w:ascii="Tahoma" w:hAnsi="Tahoma" w:cs="Tahoma"/>
          <w:sz w:val="20"/>
          <w:szCs w:val="20"/>
        </w:rPr>
        <w:t>de</w:t>
      </w:r>
      <w:r w:rsidR="00DB1635" w:rsidRPr="00B004EE">
        <w:rPr>
          <w:rFonts w:ascii="Tahoma" w:hAnsi="Tahoma" w:cs="Tahoma"/>
          <w:spacing w:val="-26"/>
          <w:sz w:val="20"/>
          <w:szCs w:val="20"/>
        </w:rPr>
        <w:t xml:space="preserve"> </w:t>
      </w:r>
      <w:r w:rsidRPr="00B004EE">
        <w:rPr>
          <w:rFonts w:ascii="Tahoma" w:hAnsi="Tahoma" w:cs="Tahoma"/>
          <w:sz w:val="20"/>
          <w:szCs w:val="20"/>
        </w:rPr>
        <w:t>:</w:t>
      </w:r>
    </w:p>
    <w:p w14:paraId="16749789" w14:textId="533B2161" w:rsidR="001E7C3C" w:rsidRPr="00B004EE" w:rsidRDefault="001E7C3C" w:rsidP="00420DDA">
      <w:pPr>
        <w:pStyle w:val="Paragraphedeliste"/>
        <w:widowControl w:val="0"/>
        <w:numPr>
          <w:ilvl w:val="2"/>
          <w:numId w:val="28"/>
        </w:numPr>
        <w:tabs>
          <w:tab w:val="left" w:pos="1154"/>
        </w:tabs>
        <w:ind w:left="567" w:right="160"/>
        <w:jc w:val="both"/>
        <w:rPr>
          <w:rFonts w:ascii="Tahoma" w:eastAsia="American Typewriter" w:hAnsi="Tahoma" w:cs="Tahoma"/>
          <w:sz w:val="20"/>
          <w:szCs w:val="20"/>
        </w:rPr>
      </w:pPr>
      <w:proofErr w:type="gramStart"/>
      <w:r w:rsidRPr="00B004EE">
        <w:rPr>
          <w:rFonts w:ascii="Tahoma" w:eastAsia="American Typewriter" w:hAnsi="Tahoma" w:cs="Tahoma"/>
          <w:sz w:val="20"/>
          <w:szCs w:val="20"/>
        </w:rPr>
        <w:t>faire</w:t>
      </w:r>
      <w:proofErr w:type="gramEnd"/>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usage,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dans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l’exercice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la</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pêche,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matières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explosives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ou</w:t>
      </w:r>
      <w:r w:rsidR="00DB1635" w:rsidRPr="00B004EE">
        <w:rPr>
          <w:rFonts w:ascii="Tahoma" w:eastAsia="American Typewriter" w:hAnsi="Tahoma" w:cs="Tahoma"/>
          <w:spacing w:val="30"/>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w w:val="94"/>
          <w:sz w:val="20"/>
          <w:szCs w:val="20"/>
        </w:rPr>
        <w:t xml:space="preserve"> </w:t>
      </w:r>
      <w:r w:rsidRPr="00B004EE">
        <w:rPr>
          <w:rFonts w:ascii="Tahoma" w:eastAsia="American Typewriter" w:hAnsi="Tahoma" w:cs="Tahoma"/>
          <w:sz w:val="20"/>
          <w:szCs w:val="20"/>
        </w:rPr>
        <w:t>substances</w:t>
      </w:r>
      <w:r w:rsidR="00DB1635" w:rsidRPr="00B004EE">
        <w:rPr>
          <w:rFonts w:ascii="Tahoma" w:eastAsia="American Typewriter" w:hAnsi="Tahoma" w:cs="Tahoma"/>
          <w:spacing w:val="-9"/>
          <w:sz w:val="20"/>
          <w:szCs w:val="20"/>
        </w:rPr>
        <w:t xml:space="preserve"> </w:t>
      </w:r>
      <w:r w:rsidRPr="00B004EE">
        <w:rPr>
          <w:rFonts w:ascii="Tahoma" w:eastAsia="American Typewriter" w:hAnsi="Tahoma" w:cs="Tahoma"/>
          <w:sz w:val="20"/>
          <w:szCs w:val="20"/>
        </w:rPr>
        <w:t>toxiques</w:t>
      </w:r>
      <w:r w:rsidR="00DB1635" w:rsidRPr="00B004EE">
        <w:rPr>
          <w:rFonts w:ascii="Tahoma" w:eastAsia="American Typewriter" w:hAnsi="Tahoma" w:cs="Tahoma"/>
          <w:spacing w:val="-9"/>
          <w:sz w:val="20"/>
          <w:szCs w:val="20"/>
        </w:rPr>
        <w:t xml:space="preserve"> </w:t>
      </w:r>
      <w:r w:rsidRPr="00B004EE">
        <w:rPr>
          <w:rFonts w:ascii="Tahoma" w:eastAsia="American Typewriter" w:hAnsi="Tahoma" w:cs="Tahoma"/>
          <w:sz w:val="20"/>
          <w:szCs w:val="20"/>
        </w:rPr>
        <w:t>susceptibles</w:t>
      </w:r>
      <w:r w:rsidR="00DB1635" w:rsidRPr="00B004EE">
        <w:rPr>
          <w:rFonts w:ascii="Tahoma" w:eastAsia="American Typewriter" w:hAnsi="Tahoma" w:cs="Tahoma"/>
          <w:spacing w:val="-9"/>
          <w:sz w:val="20"/>
          <w:szCs w:val="20"/>
        </w:rPr>
        <w:t xml:space="preserve"> </w:t>
      </w:r>
      <w:r w:rsidRPr="00B004EE">
        <w:rPr>
          <w:rFonts w:ascii="Tahoma" w:eastAsia="American Typewriter" w:hAnsi="Tahoma" w:cs="Tahoma"/>
          <w:sz w:val="20"/>
          <w:szCs w:val="20"/>
        </w:rPr>
        <w:t>d’affaiblir,</w:t>
      </w:r>
      <w:r w:rsidR="00DB1635" w:rsidRPr="00B004EE">
        <w:rPr>
          <w:rFonts w:ascii="Tahoma" w:eastAsia="American Typewriter" w:hAnsi="Tahoma" w:cs="Tahoma"/>
          <w:spacing w:val="-10"/>
          <w:sz w:val="20"/>
          <w:szCs w:val="20"/>
        </w:rPr>
        <w:t xml:space="preserve"> </w:t>
      </w:r>
      <w:r w:rsidRPr="00B004EE">
        <w:rPr>
          <w:rFonts w:ascii="Tahoma" w:eastAsia="American Typewriter" w:hAnsi="Tahoma" w:cs="Tahoma"/>
          <w:sz w:val="20"/>
          <w:szCs w:val="20"/>
        </w:rPr>
        <w:t>étourdir,</w:t>
      </w:r>
      <w:r w:rsidR="00DB1635" w:rsidRPr="00B004EE">
        <w:rPr>
          <w:rFonts w:ascii="Tahoma" w:eastAsia="American Typewriter" w:hAnsi="Tahoma" w:cs="Tahoma"/>
          <w:spacing w:val="-10"/>
          <w:sz w:val="20"/>
          <w:szCs w:val="20"/>
        </w:rPr>
        <w:t xml:space="preserve"> </w:t>
      </w:r>
      <w:r w:rsidRPr="00B004EE">
        <w:rPr>
          <w:rFonts w:ascii="Tahoma" w:eastAsia="American Typewriter" w:hAnsi="Tahoma" w:cs="Tahoma"/>
          <w:sz w:val="20"/>
          <w:szCs w:val="20"/>
        </w:rPr>
        <w:t>exciter</w:t>
      </w:r>
      <w:r w:rsidR="00DB1635" w:rsidRPr="00B004EE">
        <w:rPr>
          <w:rFonts w:ascii="Tahoma" w:eastAsia="American Typewriter" w:hAnsi="Tahoma" w:cs="Tahoma"/>
          <w:spacing w:val="-10"/>
          <w:sz w:val="20"/>
          <w:szCs w:val="20"/>
        </w:rPr>
        <w:t xml:space="preserve"> </w:t>
      </w:r>
      <w:r w:rsidRPr="00B004EE">
        <w:rPr>
          <w:rFonts w:ascii="Tahoma" w:eastAsia="American Typewriter" w:hAnsi="Tahoma" w:cs="Tahoma"/>
          <w:sz w:val="20"/>
          <w:szCs w:val="20"/>
        </w:rPr>
        <w:t>ou</w:t>
      </w:r>
      <w:r w:rsidR="00DB1635" w:rsidRPr="00B004EE">
        <w:rPr>
          <w:rFonts w:ascii="Tahoma" w:eastAsia="American Typewriter" w:hAnsi="Tahoma" w:cs="Tahoma"/>
          <w:spacing w:val="-10"/>
          <w:sz w:val="20"/>
          <w:szCs w:val="20"/>
        </w:rPr>
        <w:t xml:space="preserve"> </w:t>
      </w:r>
      <w:r w:rsidRPr="00B004EE">
        <w:rPr>
          <w:rFonts w:ascii="Tahoma" w:eastAsia="American Typewriter" w:hAnsi="Tahoma" w:cs="Tahoma"/>
          <w:sz w:val="20"/>
          <w:szCs w:val="20"/>
        </w:rPr>
        <w:t>tuer</w:t>
      </w:r>
      <w:r w:rsidR="00DB1635" w:rsidRPr="00B004EE">
        <w:rPr>
          <w:rFonts w:ascii="Tahoma" w:eastAsia="American Typewriter" w:hAnsi="Tahoma" w:cs="Tahoma"/>
          <w:spacing w:val="-10"/>
          <w:sz w:val="20"/>
          <w:szCs w:val="20"/>
        </w:rPr>
        <w:t xml:space="preserve"> </w:t>
      </w:r>
      <w:r w:rsidRPr="00B004EE">
        <w:rPr>
          <w:rFonts w:ascii="Tahoma" w:eastAsia="American Typewriter" w:hAnsi="Tahoma" w:cs="Tahoma"/>
          <w:sz w:val="20"/>
          <w:szCs w:val="20"/>
        </w:rPr>
        <w:t>des</w:t>
      </w:r>
      <w:r w:rsidR="00DB1635" w:rsidRPr="00B004EE">
        <w:rPr>
          <w:rFonts w:ascii="Tahoma" w:eastAsia="American Typewriter" w:hAnsi="Tahoma" w:cs="Tahoma"/>
          <w:w w:val="94"/>
          <w:sz w:val="20"/>
          <w:szCs w:val="20"/>
        </w:rPr>
        <w:t xml:space="preserve"> </w:t>
      </w:r>
      <w:r w:rsidRPr="00B004EE">
        <w:rPr>
          <w:rFonts w:ascii="Tahoma" w:eastAsia="American Typewriter" w:hAnsi="Tahoma" w:cs="Tahoma"/>
          <w:sz w:val="20"/>
          <w:szCs w:val="20"/>
        </w:rPr>
        <w:t>poissons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ou</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polluer</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le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milieu</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marin</w:t>
      </w:r>
      <w:r w:rsidR="00DB1635" w:rsidRPr="00B004EE">
        <w:rPr>
          <w:rFonts w:ascii="Tahoma" w:eastAsia="American Typewriter" w:hAnsi="Tahoma" w:cs="Tahoma"/>
          <w:spacing w:val="23"/>
          <w:sz w:val="20"/>
          <w:szCs w:val="20"/>
        </w:rPr>
        <w:t xml:space="preserve"> </w:t>
      </w:r>
      <w:r w:rsidRPr="00B004EE">
        <w:rPr>
          <w:rFonts w:ascii="Tahoma" w:eastAsia="American Typewriter" w:hAnsi="Tahoma" w:cs="Tahoma"/>
          <w:sz w:val="20"/>
          <w:szCs w:val="20"/>
        </w:rPr>
        <w:t>;</w:t>
      </w:r>
    </w:p>
    <w:p w14:paraId="11E60E15" w14:textId="5C84D0BE" w:rsidR="001E7C3C" w:rsidRPr="00B004EE" w:rsidRDefault="001E7C3C" w:rsidP="00420DDA">
      <w:pPr>
        <w:pStyle w:val="Paragraphedeliste"/>
        <w:widowControl w:val="0"/>
        <w:numPr>
          <w:ilvl w:val="2"/>
          <w:numId w:val="28"/>
        </w:numPr>
        <w:tabs>
          <w:tab w:val="left" w:pos="1154"/>
        </w:tabs>
        <w:ind w:left="567" w:right="163"/>
        <w:jc w:val="both"/>
        <w:rPr>
          <w:rFonts w:ascii="Tahoma" w:eastAsia="American Typewriter" w:hAnsi="Tahoma" w:cs="Tahoma"/>
          <w:sz w:val="20"/>
          <w:szCs w:val="20"/>
        </w:rPr>
      </w:pPr>
      <w:proofErr w:type="gramStart"/>
      <w:r w:rsidRPr="00B004EE">
        <w:rPr>
          <w:rFonts w:ascii="Tahoma" w:eastAsia="American Typewriter" w:hAnsi="Tahoma" w:cs="Tahoma"/>
          <w:sz w:val="20"/>
          <w:szCs w:val="20"/>
        </w:rPr>
        <w:t>détenir</w:t>
      </w:r>
      <w:proofErr w:type="gramEnd"/>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à</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bord</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navires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pêche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matières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et</w:t>
      </w:r>
      <w:r w:rsidR="00DB1635" w:rsidRPr="00B004EE">
        <w:rPr>
          <w:rFonts w:ascii="Tahoma" w:eastAsia="American Typewriter" w:hAnsi="Tahoma" w:cs="Tahoma"/>
          <w:spacing w:val="11"/>
          <w:sz w:val="20"/>
          <w:szCs w:val="20"/>
        </w:rPr>
        <w:t xml:space="preserve"> </w:t>
      </w:r>
      <w:r w:rsidRPr="00B004EE">
        <w:rPr>
          <w:rFonts w:ascii="Tahoma" w:eastAsia="American Typewriter" w:hAnsi="Tahoma" w:cs="Tahoma"/>
          <w:sz w:val="20"/>
          <w:szCs w:val="20"/>
        </w:rPr>
        <w:t>substances</w:t>
      </w:r>
      <w:r w:rsidR="00DB1635" w:rsidRPr="00B004EE">
        <w:rPr>
          <w:rFonts w:ascii="Tahoma" w:eastAsia="American Typewriter" w:hAnsi="Tahoma" w:cs="Tahoma"/>
          <w:w w:val="94"/>
          <w:sz w:val="20"/>
          <w:szCs w:val="20"/>
        </w:rPr>
        <w:t xml:space="preserve"> </w:t>
      </w:r>
      <w:r w:rsidRPr="00B004EE">
        <w:rPr>
          <w:rFonts w:ascii="Tahoma" w:eastAsia="American Typewriter" w:hAnsi="Tahoma" w:cs="Tahoma"/>
          <w:sz w:val="20"/>
          <w:szCs w:val="20"/>
        </w:rPr>
        <w:t>mentionnées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à</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l’alinéa</w:t>
      </w:r>
      <w:r w:rsidR="00DB1635" w:rsidRPr="00B004EE">
        <w:rPr>
          <w:rFonts w:ascii="Tahoma" w:eastAsia="American Typewriter" w:hAnsi="Tahoma" w:cs="Tahoma"/>
          <w:spacing w:val="12"/>
          <w:sz w:val="20"/>
          <w:szCs w:val="20"/>
        </w:rPr>
        <w:t xml:space="preserve"> </w:t>
      </w:r>
      <w:r w:rsidRPr="00B004EE">
        <w:rPr>
          <w:rFonts w:ascii="Tahoma" w:eastAsia="American Typewriter" w:hAnsi="Tahoma" w:cs="Tahoma"/>
          <w:sz w:val="20"/>
          <w:szCs w:val="20"/>
        </w:rPr>
        <w:t>précédent.</w:t>
      </w:r>
    </w:p>
    <w:p w14:paraId="41B6EEA8" w14:textId="77777777" w:rsidR="001E7C3C" w:rsidRPr="00B004EE" w:rsidRDefault="001E7C3C" w:rsidP="00B004EE">
      <w:pPr>
        <w:rPr>
          <w:rFonts w:ascii="Tahoma" w:eastAsia="American Typewriter" w:hAnsi="Tahoma" w:cs="Tahoma"/>
          <w:sz w:val="20"/>
          <w:szCs w:val="20"/>
        </w:rPr>
      </w:pPr>
    </w:p>
    <w:p w14:paraId="21EE7142" w14:textId="2C750BFF" w:rsidR="001E7C3C" w:rsidRPr="00B004EE" w:rsidRDefault="001E7C3C" w:rsidP="00B004EE">
      <w:pPr>
        <w:ind w:right="164" w:hanging="4"/>
        <w:jc w:val="center"/>
        <w:rPr>
          <w:rFonts w:ascii="Tahoma" w:hAnsi="Tahoma" w:cs="Tahoma"/>
          <w:b/>
          <w:spacing w:val="1"/>
          <w:w w:val="113"/>
          <w:sz w:val="20"/>
          <w:szCs w:val="20"/>
        </w:rPr>
      </w:pPr>
      <w:bookmarkStart w:id="61" w:name="_Toc16279063"/>
      <w:bookmarkStart w:id="62" w:name="_Toc16279432"/>
      <w:r w:rsidRPr="00B004EE">
        <w:rPr>
          <w:rFonts w:ascii="Tahoma" w:hAnsi="Tahoma" w:cs="Tahoma"/>
          <w:b/>
          <w:spacing w:val="1"/>
          <w:w w:val="113"/>
          <w:sz w:val="20"/>
          <w:szCs w:val="20"/>
        </w:rPr>
        <w:t>Section</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2</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De</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la</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protection</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de</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certaines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espèces</w:t>
      </w:r>
      <w:bookmarkEnd w:id="61"/>
      <w:bookmarkEnd w:id="62"/>
    </w:p>
    <w:p w14:paraId="537BBCBA" w14:textId="77777777" w:rsidR="001E7C3C" w:rsidRPr="00B004EE" w:rsidRDefault="001E7C3C" w:rsidP="00B004EE">
      <w:pPr>
        <w:rPr>
          <w:rFonts w:ascii="Tahoma" w:eastAsia="American Typewriter" w:hAnsi="Tahoma" w:cs="Tahoma"/>
          <w:b/>
          <w:bCs/>
          <w:sz w:val="20"/>
          <w:szCs w:val="20"/>
        </w:rPr>
      </w:pPr>
    </w:p>
    <w:p w14:paraId="4D041DE9" w14:textId="1EA5014E" w:rsidR="001E7C3C" w:rsidRPr="00B004EE" w:rsidRDefault="001E7C3C" w:rsidP="00B004EE">
      <w:pPr>
        <w:pStyle w:val="Corpsdetexte"/>
        <w:ind w:right="163"/>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39</w:t>
      </w:r>
      <w:r w:rsidR="00DB1635" w:rsidRPr="00B004EE">
        <w:rPr>
          <w:rFonts w:ascii="Tahoma" w:hAnsi="Tahoma" w:cs="Tahoma"/>
          <w:bCs/>
          <w:sz w:val="20"/>
          <w:szCs w:val="20"/>
        </w:rPr>
        <w:t xml:space="preserve"> </w:t>
      </w:r>
      <w:r w:rsidRPr="00B004EE">
        <w:rPr>
          <w:rFonts w:ascii="Tahoma" w:hAnsi="Tahoma" w:cs="Tahoma"/>
          <w:bCs/>
          <w:sz w:val="20"/>
          <w:szCs w:val="20"/>
        </w:rPr>
        <w:t>:</w:t>
      </w:r>
      <w:r w:rsidR="00DB1635" w:rsidRPr="00B004EE">
        <w:rPr>
          <w:rFonts w:ascii="Tahoma" w:hAnsi="Tahoma" w:cs="Tahoma"/>
          <w:b/>
          <w:spacing w:val="-7"/>
          <w:sz w:val="20"/>
          <w:szCs w:val="20"/>
        </w:rPr>
        <w:t xml:space="preserve"> </w:t>
      </w:r>
      <w:r w:rsidRPr="00B004EE">
        <w:rPr>
          <w:rFonts w:ascii="Tahoma" w:hAnsi="Tahoma" w:cs="Tahoma"/>
          <w:sz w:val="20"/>
          <w:szCs w:val="20"/>
        </w:rPr>
        <w:t>Sont</w:t>
      </w:r>
      <w:r w:rsidR="00DB1635" w:rsidRPr="00B004EE">
        <w:rPr>
          <w:rFonts w:ascii="Tahoma" w:hAnsi="Tahoma" w:cs="Tahoma"/>
          <w:spacing w:val="-10"/>
          <w:sz w:val="20"/>
          <w:szCs w:val="20"/>
        </w:rPr>
        <w:t xml:space="preserve"> </w:t>
      </w:r>
      <w:r w:rsidRPr="00B004EE">
        <w:rPr>
          <w:rFonts w:ascii="Tahoma" w:hAnsi="Tahoma" w:cs="Tahoma"/>
          <w:sz w:val="20"/>
          <w:szCs w:val="20"/>
        </w:rPr>
        <w:t>interdits</w:t>
      </w:r>
      <w:r w:rsidR="00DB1635" w:rsidRPr="00B004EE">
        <w:rPr>
          <w:rFonts w:ascii="Tahoma" w:hAnsi="Tahoma" w:cs="Tahoma"/>
          <w:spacing w:val="-11"/>
          <w:sz w:val="20"/>
          <w:szCs w:val="20"/>
        </w:rPr>
        <w:t xml:space="preserve"> </w:t>
      </w:r>
      <w:r w:rsidRPr="00B004EE">
        <w:rPr>
          <w:rFonts w:ascii="Tahoma" w:hAnsi="Tahoma" w:cs="Tahoma"/>
          <w:sz w:val="20"/>
          <w:szCs w:val="20"/>
        </w:rPr>
        <w:t>en</w:t>
      </w:r>
      <w:r w:rsidR="00DB1635" w:rsidRPr="00B004EE">
        <w:rPr>
          <w:rFonts w:ascii="Tahoma" w:hAnsi="Tahoma" w:cs="Tahoma"/>
          <w:spacing w:val="-10"/>
          <w:sz w:val="20"/>
          <w:szCs w:val="20"/>
        </w:rPr>
        <w:t xml:space="preserve"> </w:t>
      </w:r>
      <w:r w:rsidRPr="00B004EE">
        <w:rPr>
          <w:rFonts w:ascii="Tahoma" w:hAnsi="Tahoma" w:cs="Tahoma"/>
          <w:sz w:val="20"/>
          <w:szCs w:val="20"/>
        </w:rPr>
        <w:t>tout</w:t>
      </w:r>
      <w:r w:rsidR="00DB1635" w:rsidRPr="00B004EE">
        <w:rPr>
          <w:rFonts w:ascii="Tahoma" w:hAnsi="Tahoma" w:cs="Tahoma"/>
          <w:spacing w:val="-10"/>
          <w:sz w:val="20"/>
          <w:szCs w:val="20"/>
        </w:rPr>
        <w:t xml:space="preserve"> </w:t>
      </w:r>
      <w:r w:rsidRPr="00B004EE">
        <w:rPr>
          <w:rFonts w:ascii="Tahoma" w:hAnsi="Tahoma" w:cs="Tahoma"/>
          <w:sz w:val="20"/>
          <w:szCs w:val="20"/>
        </w:rPr>
        <w:t>temps</w:t>
      </w:r>
      <w:r w:rsidR="00DB1635" w:rsidRPr="00B004EE">
        <w:rPr>
          <w:rFonts w:ascii="Tahoma" w:hAnsi="Tahoma" w:cs="Tahoma"/>
          <w:spacing w:val="-11"/>
          <w:sz w:val="20"/>
          <w:szCs w:val="20"/>
        </w:rPr>
        <w:t xml:space="preserve"> </w:t>
      </w:r>
      <w:r w:rsidRPr="00B004EE">
        <w:rPr>
          <w:rFonts w:ascii="Tahoma" w:hAnsi="Tahoma" w:cs="Tahoma"/>
          <w:sz w:val="20"/>
          <w:szCs w:val="20"/>
        </w:rPr>
        <w:t>et</w:t>
      </w:r>
      <w:r w:rsidR="00DB1635" w:rsidRPr="00B004EE">
        <w:rPr>
          <w:rFonts w:ascii="Tahoma" w:hAnsi="Tahoma" w:cs="Tahoma"/>
          <w:spacing w:val="-11"/>
          <w:sz w:val="20"/>
          <w:szCs w:val="20"/>
        </w:rPr>
        <w:t xml:space="preserve"> </w:t>
      </w:r>
      <w:r w:rsidRPr="00B004EE">
        <w:rPr>
          <w:rFonts w:ascii="Tahoma" w:hAnsi="Tahoma" w:cs="Tahoma"/>
          <w:sz w:val="20"/>
          <w:szCs w:val="20"/>
        </w:rPr>
        <w:t>en</w:t>
      </w:r>
      <w:r w:rsidR="00DB1635" w:rsidRPr="00B004EE">
        <w:rPr>
          <w:rFonts w:ascii="Tahoma" w:hAnsi="Tahoma" w:cs="Tahoma"/>
          <w:spacing w:val="-12"/>
          <w:sz w:val="20"/>
          <w:szCs w:val="20"/>
        </w:rPr>
        <w:t xml:space="preserve"> </w:t>
      </w:r>
      <w:r w:rsidRPr="00B004EE">
        <w:rPr>
          <w:rFonts w:ascii="Tahoma" w:hAnsi="Tahoma" w:cs="Tahoma"/>
          <w:sz w:val="20"/>
          <w:szCs w:val="20"/>
        </w:rPr>
        <w:t>tout</w:t>
      </w:r>
      <w:r w:rsidR="00DB1635" w:rsidRPr="00B004EE">
        <w:rPr>
          <w:rFonts w:ascii="Tahoma" w:hAnsi="Tahoma" w:cs="Tahoma"/>
          <w:spacing w:val="-11"/>
          <w:sz w:val="20"/>
          <w:szCs w:val="20"/>
        </w:rPr>
        <w:t xml:space="preserve"> </w:t>
      </w:r>
      <w:r w:rsidRPr="00B004EE">
        <w:rPr>
          <w:rFonts w:ascii="Tahoma" w:hAnsi="Tahoma" w:cs="Tahoma"/>
          <w:sz w:val="20"/>
          <w:szCs w:val="20"/>
        </w:rPr>
        <w:t>lieu,</w:t>
      </w:r>
      <w:r w:rsidR="00DB1635" w:rsidRPr="00B004EE">
        <w:rPr>
          <w:rFonts w:ascii="Tahoma" w:hAnsi="Tahoma" w:cs="Tahoma"/>
          <w:spacing w:val="-11"/>
          <w:sz w:val="20"/>
          <w:szCs w:val="20"/>
        </w:rPr>
        <w:t xml:space="preserve"> </w:t>
      </w:r>
      <w:r w:rsidRPr="00B004EE">
        <w:rPr>
          <w:rFonts w:ascii="Tahoma" w:hAnsi="Tahoma" w:cs="Tahoma"/>
          <w:sz w:val="20"/>
          <w:szCs w:val="20"/>
        </w:rPr>
        <w:t>sauf</w:t>
      </w:r>
      <w:r w:rsidR="00DB1635" w:rsidRPr="00B004EE">
        <w:rPr>
          <w:rFonts w:ascii="Tahoma" w:hAnsi="Tahoma" w:cs="Tahoma"/>
          <w:spacing w:val="-12"/>
          <w:sz w:val="20"/>
          <w:szCs w:val="20"/>
        </w:rPr>
        <w:t xml:space="preserve"> </w:t>
      </w:r>
      <w:r w:rsidRPr="00B004EE">
        <w:rPr>
          <w:rFonts w:ascii="Tahoma" w:hAnsi="Tahoma" w:cs="Tahoma"/>
          <w:sz w:val="20"/>
          <w:szCs w:val="20"/>
        </w:rPr>
        <w:t>autorisation</w:t>
      </w:r>
      <w:r w:rsidR="00DB1635" w:rsidRPr="00B004EE">
        <w:rPr>
          <w:rFonts w:ascii="Tahoma" w:hAnsi="Tahoma" w:cs="Tahoma"/>
          <w:spacing w:val="-12"/>
          <w:sz w:val="20"/>
          <w:szCs w:val="20"/>
        </w:rPr>
        <w:t xml:space="preserve"> </w:t>
      </w:r>
      <w:r w:rsidRPr="00B004EE">
        <w:rPr>
          <w:rFonts w:ascii="Tahoma" w:hAnsi="Tahoma" w:cs="Tahoma"/>
          <w:sz w:val="20"/>
          <w:szCs w:val="20"/>
        </w:rPr>
        <w:t>spéciale</w:t>
      </w:r>
      <w:r w:rsidR="00DB1635" w:rsidRPr="00B004EE">
        <w:rPr>
          <w:rFonts w:ascii="Tahoma" w:hAnsi="Tahoma" w:cs="Tahoma"/>
          <w:w w:val="94"/>
          <w:sz w:val="20"/>
          <w:szCs w:val="20"/>
        </w:rPr>
        <w:t xml:space="preserve"> </w:t>
      </w:r>
      <w:r w:rsidRPr="00B004EE">
        <w:rPr>
          <w:rFonts w:ascii="Tahoma" w:hAnsi="Tahoma" w:cs="Tahoma"/>
          <w:sz w:val="20"/>
          <w:szCs w:val="20"/>
        </w:rPr>
        <w:t>du</w:t>
      </w:r>
      <w:r w:rsidR="00DB1635" w:rsidRPr="00B004EE">
        <w:rPr>
          <w:rFonts w:ascii="Tahoma" w:hAnsi="Tahoma" w:cs="Tahoma"/>
          <w:spacing w:val="-26"/>
          <w:sz w:val="20"/>
          <w:szCs w:val="20"/>
        </w:rPr>
        <w:t xml:space="preserve"> </w:t>
      </w:r>
      <w:r w:rsidRPr="00B004EE">
        <w:rPr>
          <w:rFonts w:ascii="Tahoma" w:hAnsi="Tahoma" w:cs="Tahoma"/>
          <w:sz w:val="20"/>
          <w:szCs w:val="20"/>
        </w:rPr>
        <w:t>ministre</w:t>
      </w:r>
      <w:r w:rsidR="00DB1635" w:rsidRPr="00B004EE">
        <w:rPr>
          <w:rFonts w:ascii="Tahoma" w:hAnsi="Tahoma" w:cs="Tahoma"/>
          <w:spacing w:val="-26"/>
          <w:sz w:val="20"/>
          <w:szCs w:val="20"/>
        </w:rPr>
        <w:t xml:space="preserve"> </w:t>
      </w:r>
      <w:r w:rsidRPr="00B004EE">
        <w:rPr>
          <w:rFonts w:ascii="Tahoma" w:hAnsi="Tahoma" w:cs="Tahoma"/>
          <w:sz w:val="20"/>
          <w:szCs w:val="20"/>
        </w:rPr>
        <w:t>chargé</w:t>
      </w:r>
      <w:r w:rsidR="00DB1635" w:rsidRPr="00B004EE">
        <w:rPr>
          <w:rFonts w:ascii="Tahoma" w:hAnsi="Tahoma" w:cs="Tahoma"/>
          <w:spacing w:val="-26"/>
          <w:sz w:val="20"/>
          <w:szCs w:val="20"/>
        </w:rPr>
        <w:t xml:space="preserve"> </w:t>
      </w:r>
      <w:r w:rsidRPr="00B004EE">
        <w:rPr>
          <w:rFonts w:ascii="Tahoma" w:hAnsi="Tahoma" w:cs="Tahoma"/>
          <w:sz w:val="20"/>
          <w:szCs w:val="20"/>
        </w:rPr>
        <w:t>des</w:t>
      </w:r>
      <w:r w:rsidR="00DB1635" w:rsidRPr="00B004EE">
        <w:rPr>
          <w:rFonts w:ascii="Tahoma" w:hAnsi="Tahoma" w:cs="Tahoma"/>
          <w:spacing w:val="-26"/>
          <w:sz w:val="20"/>
          <w:szCs w:val="20"/>
        </w:rPr>
        <w:t xml:space="preserve"> </w:t>
      </w:r>
      <w:r w:rsidRPr="00B004EE">
        <w:rPr>
          <w:rFonts w:ascii="Tahoma" w:hAnsi="Tahoma" w:cs="Tahoma"/>
          <w:sz w:val="20"/>
          <w:szCs w:val="20"/>
        </w:rPr>
        <w:t>pêches</w:t>
      </w:r>
      <w:r w:rsidR="00DB1635" w:rsidRPr="00B004EE">
        <w:rPr>
          <w:rFonts w:ascii="Tahoma" w:hAnsi="Tahoma" w:cs="Tahoma"/>
          <w:spacing w:val="-25"/>
          <w:sz w:val="20"/>
          <w:szCs w:val="20"/>
        </w:rPr>
        <w:t xml:space="preserve"> </w:t>
      </w:r>
      <w:r w:rsidRPr="00B004EE">
        <w:rPr>
          <w:rFonts w:ascii="Tahoma" w:hAnsi="Tahoma" w:cs="Tahoma"/>
          <w:sz w:val="20"/>
          <w:szCs w:val="20"/>
        </w:rPr>
        <w:t>et</w:t>
      </w:r>
      <w:r w:rsidR="00DB1635" w:rsidRPr="00B004EE">
        <w:rPr>
          <w:rFonts w:ascii="Tahoma" w:hAnsi="Tahoma" w:cs="Tahoma"/>
          <w:spacing w:val="-26"/>
          <w:sz w:val="20"/>
          <w:szCs w:val="20"/>
        </w:rPr>
        <w:t xml:space="preserve"> </w:t>
      </w:r>
      <w:r w:rsidRPr="00B004EE">
        <w:rPr>
          <w:rFonts w:ascii="Tahoma" w:hAnsi="Tahoma" w:cs="Tahoma"/>
          <w:sz w:val="20"/>
          <w:szCs w:val="20"/>
        </w:rPr>
        <w:t>à</w:t>
      </w:r>
      <w:r w:rsidR="00DB1635" w:rsidRPr="00B004EE">
        <w:rPr>
          <w:rFonts w:ascii="Tahoma" w:hAnsi="Tahoma" w:cs="Tahoma"/>
          <w:spacing w:val="-25"/>
          <w:sz w:val="20"/>
          <w:szCs w:val="20"/>
        </w:rPr>
        <w:t xml:space="preserve"> </w:t>
      </w:r>
      <w:r w:rsidRPr="00B004EE">
        <w:rPr>
          <w:rFonts w:ascii="Tahoma" w:hAnsi="Tahoma" w:cs="Tahoma"/>
          <w:sz w:val="20"/>
          <w:szCs w:val="20"/>
        </w:rPr>
        <w:t>des</w:t>
      </w:r>
      <w:r w:rsidR="00DB1635" w:rsidRPr="00B004EE">
        <w:rPr>
          <w:rFonts w:ascii="Tahoma" w:hAnsi="Tahoma" w:cs="Tahoma"/>
          <w:spacing w:val="-26"/>
          <w:sz w:val="20"/>
          <w:szCs w:val="20"/>
        </w:rPr>
        <w:t xml:space="preserve"> </w:t>
      </w:r>
      <w:r w:rsidRPr="00B004EE">
        <w:rPr>
          <w:rFonts w:ascii="Tahoma" w:hAnsi="Tahoma" w:cs="Tahoma"/>
          <w:sz w:val="20"/>
          <w:szCs w:val="20"/>
        </w:rPr>
        <w:t>fins</w:t>
      </w:r>
      <w:r w:rsidR="00DB1635" w:rsidRPr="00B004EE">
        <w:rPr>
          <w:rFonts w:ascii="Tahoma" w:hAnsi="Tahoma" w:cs="Tahoma"/>
          <w:spacing w:val="-26"/>
          <w:sz w:val="20"/>
          <w:szCs w:val="20"/>
        </w:rPr>
        <w:t xml:space="preserve"> </w:t>
      </w:r>
      <w:r w:rsidRPr="00B004EE">
        <w:rPr>
          <w:rFonts w:ascii="Tahoma" w:hAnsi="Tahoma" w:cs="Tahoma"/>
          <w:sz w:val="20"/>
          <w:szCs w:val="20"/>
        </w:rPr>
        <w:t>de</w:t>
      </w:r>
      <w:r w:rsidR="00DB1635" w:rsidRPr="00B004EE">
        <w:rPr>
          <w:rFonts w:ascii="Tahoma" w:hAnsi="Tahoma" w:cs="Tahoma"/>
          <w:spacing w:val="-26"/>
          <w:sz w:val="20"/>
          <w:szCs w:val="20"/>
        </w:rPr>
        <w:t xml:space="preserve"> </w:t>
      </w:r>
      <w:r w:rsidRPr="00B004EE">
        <w:rPr>
          <w:rFonts w:ascii="Tahoma" w:hAnsi="Tahoma" w:cs="Tahoma"/>
          <w:sz w:val="20"/>
          <w:szCs w:val="20"/>
        </w:rPr>
        <w:t>recherche</w:t>
      </w:r>
      <w:r w:rsidR="00DB1635" w:rsidRPr="00B004EE">
        <w:rPr>
          <w:rFonts w:ascii="Tahoma" w:hAnsi="Tahoma" w:cs="Tahoma"/>
          <w:spacing w:val="-26"/>
          <w:sz w:val="20"/>
          <w:szCs w:val="20"/>
        </w:rPr>
        <w:t xml:space="preserve"> </w:t>
      </w:r>
      <w:r w:rsidRPr="00B004EE">
        <w:rPr>
          <w:rFonts w:ascii="Tahoma" w:hAnsi="Tahoma" w:cs="Tahoma"/>
          <w:sz w:val="20"/>
          <w:szCs w:val="20"/>
        </w:rPr>
        <w:t>scientifique</w:t>
      </w:r>
      <w:r w:rsidR="00DB1635" w:rsidRPr="00B004EE">
        <w:rPr>
          <w:rFonts w:ascii="Tahoma" w:hAnsi="Tahoma" w:cs="Tahoma"/>
          <w:spacing w:val="-26"/>
          <w:sz w:val="20"/>
          <w:szCs w:val="20"/>
        </w:rPr>
        <w:t xml:space="preserve"> </w:t>
      </w:r>
      <w:r w:rsidRPr="00B004EE">
        <w:rPr>
          <w:rFonts w:ascii="Tahoma" w:hAnsi="Tahoma" w:cs="Tahoma"/>
          <w:sz w:val="20"/>
          <w:szCs w:val="20"/>
        </w:rPr>
        <w:t>ou</w:t>
      </w:r>
      <w:r w:rsidR="00DB1635" w:rsidRPr="00B004EE">
        <w:rPr>
          <w:rFonts w:ascii="Tahoma" w:hAnsi="Tahoma" w:cs="Tahoma"/>
          <w:spacing w:val="-26"/>
          <w:sz w:val="20"/>
          <w:szCs w:val="20"/>
        </w:rPr>
        <w:t xml:space="preserve"> </w:t>
      </w:r>
      <w:r w:rsidRPr="00B004EE">
        <w:rPr>
          <w:rFonts w:ascii="Tahoma" w:hAnsi="Tahoma" w:cs="Tahoma"/>
          <w:sz w:val="20"/>
          <w:szCs w:val="20"/>
        </w:rPr>
        <w:t>technique</w:t>
      </w:r>
      <w:r w:rsidR="00DB1635" w:rsidRPr="00B004EE">
        <w:rPr>
          <w:rFonts w:ascii="Tahoma" w:hAnsi="Tahoma" w:cs="Tahoma"/>
          <w:spacing w:val="-26"/>
          <w:sz w:val="20"/>
          <w:szCs w:val="20"/>
        </w:rPr>
        <w:t xml:space="preserve"> </w:t>
      </w:r>
      <w:r w:rsidRPr="00B004EE">
        <w:rPr>
          <w:rFonts w:ascii="Tahoma" w:hAnsi="Tahoma" w:cs="Tahoma"/>
          <w:sz w:val="20"/>
          <w:szCs w:val="20"/>
        </w:rPr>
        <w:t>:</w:t>
      </w:r>
    </w:p>
    <w:p w14:paraId="31FC5487" w14:textId="3D5EE1FC" w:rsidR="001E7C3C" w:rsidRPr="00B004EE" w:rsidRDefault="001E7C3C" w:rsidP="00420DDA">
      <w:pPr>
        <w:pStyle w:val="Paragraphedeliste"/>
        <w:widowControl w:val="0"/>
        <w:numPr>
          <w:ilvl w:val="0"/>
          <w:numId w:val="40"/>
        </w:numPr>
        <w:tabs>
          <w:tab w:val="left" w:pos="567"/>
        </w:tabs>
        <w:ind w:left="567" w:right="164"/>
        <w:jc w:val="both"/>
        <w:rPr>
          <w:rFonts w:ascii="Tahoma" w:eastAsia="American Typewriter" w:hAnsi="Tahoma" w:cs="Tahoma"/>
          <w:sz w:val="20"/>
          <w:szCs w:val="20"/>
        </w:rPr>
      </w:pPr>
      <w:proofErr w:type="gramStart"/>
      <w:r w:rsidRPr="00B004EE">
        <w:rPr>
          <w:rFonts w:ascii="Tahoma" w:hAnsi="Tahoma" w:cs="Tahoma"/>
          <w:sz w:val="20"/>
          <w:szCs w:val="20"/>
        </w:rPr>
        <w:t>la</w:t>
      </w:r>
      <w:proofErr w:type="gramEnd"/>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capture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détention</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toutes</w:t>
      </w:r>
      <w:r w:rsidR="00DB1635" w:rsidRPr="00B004EE">
        <w:rPr>
          <w:rFonts w:ascii="Tahoma" w:hAnsi="Tahoma" w:cs="Tahoma"/>
          <w:sz w:val="20"/>
          <w:szCs w:val="20"/>
        </w:rPr>
        <w:t xml:space="preserve"> </w:t>
      </w:r>
      <w:r w:rsidRPr="00B004EE">
        <w:rPr>
          <w:rFonts w:ascii="Tahoma" w:hAnsi="Tahoma" w:cs="Tahoma"/>
          <w:sz w:val="20"/>
          <w:szCs w:val="20"/>
        </w:rPr>
        <w:t>espèces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pacing w:val="39"/>
          <w:sz w:val="20"/>
          <w:szCs w:val="20"/>
        </w:rPr>
        <w:t xml:space="preserve"> </w:t>
      </w:r>
      <w:r w:rsidRPr="00B004EE">
        <w:rPr>
          <w:rFonts w:ascii="Tahoma" w:hAnsi="Tahoma" w:cs="Tahoma"/>
          <w:sz w:val="20"/>
          <w:szCs w:val="20"/>
        </w:rPr>
        <w:t>mammifères</w:t>
      </w:r>
      <w:r w:rsidR="00DB1635" w:rsidRPr="00B004EE">
        <w:rPr>
          <w:rFonts w:ascii="Tahoma" w:hAnsi="Tahoma" w:cs="Tahoma"/>
          <w:w w:val="94"/>
          <w:sz w:val="20"/>
          <w:szCs w:val="20"/>
        </w:rPr>
        <w:t xml:space="preserve"> </w:t>
      </w:r>
      <w:r w:rsidRPr="00B004EE">
        <w:rPr>
          <w:rFonts w:ascii="Tahoma" w:hAnsi="Tahoma" w:cs="Tahoma"/>
          <w:sz w:val="20"/>
          <w:szCs w:val="20"/>
        </w:rPr>
        <w:t>marins</w:t>
      </w:r>
      <w:r w:rsidR="00DB1635" w:rsidRPr="00B004EE">
        <w:rPr>
          <w:rFonts w:ascii="Tahoma" w:hAnsi="Tahoma" w:cs="Tahoma"/>
          <w:spacing w:val="4"/>
          <w:sz w:val="20"/>
          <w:szCs w:val="20"/>
        </w:rPr>
        <w:t xml:space="preserve"> </w:t>
      </w:r>
      <w:r w:rsidRPr="00B004EE">
        <w:rPr>
          <w:rFonts w:ascii="Tahoma" w:hAnsi="Tahoma" w:cs="Tahoma"/>
          <w:sz w:val="20"/>
          <w:szCs w:val="20"/>
        </w:rPr>
        <w:t>;</w:t>
      </w:r>
    </w:p>
    <w:p w14:paraId="38439390" w14:textId="38AB21CA" w:rsidR="001E7C3C" w:rsidRPr="00B004EE" w:rsidRDefault="001E7C3C" w:rsidP="00420DDA">
      <w:pPr>
        <w:pStyle w:val="Paragraphedeliste"/>
        <w:widowControl w:val="0"/>
        <w:numPr>
          <w:ilvl w:val="0"/>
          <w:numId w:val="40"/>
        </w:numPr>
        <w:tabs>
          <w:tab w:val="left" w:pos="567"/>
        </w:tabs>
        <w:ind w:left="567" w:right="559"/>
        <w:rPr>
          <w:rFonts w:ascii="Tahoma" w:eastAsia="American Typewriter" w:hAnsi="Tahoma" w:cs="Tahoma"/>
          <w:sz w:val="20"/>
          <w:szCs w:val="20"/>
        </w:rPr>
      </w:pPr>
      <w:proofErr w:type="gramStart"/>
      <w:r w:rsidRPr="00B004EE">
        <w:rPr>
          <w:rFonts w:ascii="Tahoma" w:hAnsi="Tahoma" w:cs="Tahoma"/>
          <w:sz w:val="20"/>
          <w:szCs w:val="20"/>
        </w:rPr>
        <w:t>la</w:t>
      </w:r>
      <w:proofErr w:type="gramEnd"/>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capture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détention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tortues</w:t>
      </w:r>
      <w:r w:rsidR="00DB1635" w:rsidRPr="00B004EE">
        <w:rPr>
          <w:rFonts w:ascii="Tahoma" w:hAnsi="Tahoma" w:cs="Tahoma"/>
          <w:sz w:val="20"/>
          <w:szCs w:val="20"/>
        </w:rPr>
        <w:t xml:space="preserve"> </w:t>
      </w:r>
      <w:r w:rsidRPr="00B004EE">
        <w:rPr>
          <w:rFonts w:ascii="Tahoma" w:hAnsi="Tahoma" w:cs="Tahoma"/>
          <w:sz w:val="20"/>
          <w:szCs w:val="20"/>
        </w:rPr>
        <w:t>marines</w:t>
      </w:r>
      <w:r w:rsidR="00DB1635" w:rsidRPr="00B004EE">
        <w:rPr>
          <w:rFonts w:ascii="Tahoma" w:hAnsi="Tahoma" w:cs="Tahoma"/>
          <w:spacing w:val="2"/>
          <w:sz w:val="20"/>
          <w:szCs w:val="20"/>
        </w:rPr>
        <w:t xml:space="preserve"> </w:t>
      </w:r>
      <w:r w:rsidRPr="00B004EE">
        <w:rPr>
          <w:rFonts w:ascii="Tahoma" w:hAnsi="Tahoma" w:cs="Tahoma"/>
          <w:sz w:val="20"/>
          <w:szCs w:val="20"/>
        </w:rPr>
        <w:t>;</w:t>
      </w:r>
    </w:p>
    <w:p w14:paraId="1380D0F5" w14:textId="1DE5E263" w:rsidR="001E7C3C" w:rsidRPr="00B004EE" w:rsidRDefault="001E7C3C" w:rsidP="00420DDA">
      <w:pPr>
        <w:pStyle w:val="Paragraphedeliste"/>
        <w:widowControl w:val="0"/>
        <w:numPr>
          <w:ilvl w:val="0"/>
          <w:numId w:val="40"/>
        </w:numPr>
        <w:tabs>
          <w:tab w:val="left" w:pos="567"/>
        </w:tabs>
        <w:ind w:left="567" w:right="164"/>
        <w:rPr>
          <w:rFonts w:ascii="Tahoma" w:eastAsia="American Typewriter" w:hAnsi="Tahoma" w:cs="Tahoma"/>
          <w:sz w:val="20"/>
          <w:szCs w:val="20"/>
        </w:rPr>
      </w:pPr>
      <w:proofErr w:type="gramStart"/>
      <w:r w:rsidRPr="00B004EE">
        <w:rPr>
          <w:rFonts w:ascii="Tahoma" w:hAnsi="Tahoma" w:cs="Tahoma"/>
          <w:sz w:val="20"/>
          <w:szCs w:val="20"/>
        </w:rPr>
        <w:t>la</w:t>
      </w:r>
      <w:proofErr w:type="gramEnd"/>
      <w:r w:rsidR="00DB1635" w:rsidRPr="00B004EE">
        <w:rPr>
          <w:rFonts w:ascii="Tahoma" w:hAnsi="Tahoma" w:cs="Tahoma"/>
          <w:spacing w:val="-10"/>
          <w:sz w:val="20"/>
          <w:szCs w:val="20"/>
        </w:rPr>
        <w:t xml:space="preserve"> </w:t>
      </w:r>
      <w:r w:rsidRPr="00B004EE">
        <w:rPr>
          <w:rFonts w:ascii="Tahoma" w:hAnsi="Tahoma" w:cs="Tahoma"/>
          <w:sz w:val="20"/>
          <w:szCs w:val="20"/>
        </w:rPr>
        <w:t>chasse,</w:t>
      </w:r>
      <w:r w:rsidR="00DB1635" w:rsidRPr="00B004EE">
        <w:rPr>
          <w:rFonts w:ascii="Tahoma" w:hAnsi="Tahoma" w:cs="Tahoma"/>
          <w:spacing w:val="-10"/>
          <w:sz w:val="20"/>
          <w:szCs w:val="20"/>
        </w:rPr>
        <w:t xml:space="preserve"> </w:t>
      </w:r>
      <w:r w:rsidRPr="00B004EE">
        <w:rPr>
          <w:rFonts w:ascii="Tahoma" w:hAnsi="Tahoma" w:cs="Tahoma"/>
          <w:sz w:val="20"/>
          <w:szCs w:val="20"/>
        </w:rPr>
        <w:t>la</w:t>
      </w:r>
      <w:r w:rsidR="00DB1635" w:rsidRPr="00B004EE">
        <w:rPr>
          <w:rFonts w:ascii="Tahoma" w:hAnsi="Tahoma" w:cs="Tahoma"/>
          <w:spacing w:val="-10"/>
          <w:sz w:val="20"/>
          <w:szCs w:val="20"/>
        </w:rPr>
        <w:t xml:space="preserve"> </w:t>
      </w:r>
      <w:r w:rsidRPr="00B004EE">
        <w:rPr>
          <w:rFonts w:ascii="Tahoma" w:hAnsi="Tahoma" w:cs="Tahoma"/>
          <w:sz w:val="20"/>
          <w:szCs w:val="20"/>
        </w:rPr>
        <w:t>capture,</w:t>
      </w:r>
      <w:r w:rsidR="00DB1635" w:rsidRPr="00B004EE">
        <w:rPr>
          <w:rFonts w:ascii="Tahoma" w:hAnsi="Tahoma" w:cs="Tahoma"/>
          <w:spacing w:val="-10"/>
          <w:sz w:val="20"/>
          <w:szCs w:val="20"/>
        </w:rPr>
        <w:t xml:space="preserve"> </w:t>
      </w:r>
      <w:r w:rsidRPr="00B004EE">
        <w:rPr>
          <w:rFonts w:ascii="Tahoma" w:hAnsi="Tahoma" w:cs="Tahoma"/>
          <w:sz w:val="20"/>
          <w:szCs w:val="20"/>
        </w:rPr>
        <w:t>la</w:t>
      </w:r>
      <w:r w:rsidR="00DB1635" w:rsidRPr="00B004EE">
        <w:rPr>
          <w:rFonts w:ascii="Tahoma" w:hAnsi="Tahoma" w:cs="Tahoma"/>
          <w:spacing w:val="-10"/>
          <w:sz w:val="20"/>
          <w:szCs w:val="20"/>
        </w:rPr>
        <w:t xml:space="preserve"> </w:t>
      </w:r>
      <w:r w:rsidRPr="00B004EE">
        <w:rPr>
          <w:rFonts w:ascii="Tahoma" w:hAnsi="Tahoma" w:cs="Tahoma"/>
          <w:sz w:val="20"/>
          <w:szCs w:val="20"/>
        </w:rPr>
        <w:t>détention</w:t>
      </w:r>
      <w:r w:rsidR="00DB1635" w:rsidRPr="00B004EE">
        <w:rPr>
          <w:rFonts w:ascii="Tahoma" w:hAnsi="Tahoma" w:cs="Tahoma"/>
          <w:spacing w:val="-11"/>
          <w:sz w:val="20"/>
          <w:szCs w:val="20"/>
        </w:rPr>
        <w:t xml:space="preserve"> </w:t>
      </w:r>
      <w:r w:rsidRPr="00B004EE">
        <w:rPr>
          <w:rFonts w:ascii="Tahoma" w:hAnsi="Tahoma" w:cs="Tahoma"/>
          <w:sz w:val="20"/>
          <w:szCs w:val="20"/>
        </w:rPr>
        <w:t>de</w:t>
      </w:r>
      <w:r w:rsidR="00DB1635" w:rsidRPr="00B004EE">
        <w:rPr>
          <w:rFonts w:ascii="Tahoma" w:hAnsi="Tahoma" w:cs="Tahoma"/>
          <w:spacing w:val="-11"/>
          <w:sz w:val="20"/>
          <w:szCs w:val="20"/>
        </w:rPr>
        <w:t xml:space="preserve"> </w:t>
      </w:r>
      <w:r w:rsidRPr="00B004EE">
        <w:rPr>
          <w:rFonts w:ascii="Tahoma" w:hAnsi="Tahoma" w:cs="Tahoma"/>
          <w:sz w:val="20"/>
          <w:szCs w:val="20"/>
        </w:rPr>
        <w:t>toutes</w:t>
      </w:r>
      <w:r w:rsidR="00DB1635" w:rsidRPr="00B004EE">
        <w:rPr>
          <w:rFonts w:ascii="Tahoma" w:hAnsi="Tahoma" w:cs="Tahoma"/>
          <w:spacing w:val="-11"/>
          <w:sz w:val="20"/>
          <w:szCs w:val="20"/>
        </w:rPr>
        <w:t xml:space="preserve"> </w:t>
      </w:r>
      <w:r w:rsidRPr="00B004EE">
        <w:rPr>
          <w:rFonts w:ascii="Tahoma" w:hAnsi="Tahoma" w:cs="Tahoma"/>
          <w:sz w:val="20"/>
          <w:szCs w:val="20"/>
        </w:rPr>
        <w:t>espèces</w:t>
      </w:r>
      <w:r w:rsidR="00DB1635" w:rsidRPr="00B004EE">
        <w:rPr>
          <w:rFonts w:ascii="Tahoma" w:hAnsi="Tahoma" w:cs="Tahoma"/>
          <w:spacing w:val="-11"/>
          <w:sz w:val="20"/>
          <w:szCs w:val="20"/>
        </w:rPr>
        <w:t xml:space="preserve"> </w:t>
      </w:r>
      <w:r w:rsidRPr="00B004EE">
        <w:rPr>
          <w:rFonts w:ascii="Tahoma" w:hAnsi="Tahoma" w:cs="Tahoma"/>
          <w:sz w:val="20"/>
          <w:szCs w:val="20"/>
        </w:rPr>
        <w:t>d'oiseaux</w:t>
      </w:r>
      <w:r w:rsidR="00DB1635" w:rsidRPr="00B004EE">
        <w:rPr>
          <w:rFonts w:ascii="Tahoma" w:hAnsi="Tahoma" w:cs="Tahoma"/>
          <w:spacing w:val="-10"/>
          <w:sz w:val="20"/>
          <w:szCs w:val="20"/>
        </w:rPr>
        <w:t xml:space="preserve"> </w:t>
      </w:r>
      <w:r w:rsidRPr="00B004EE">
        <w:rPr>
          <w:rFonts w:ascii="Tahoma" w:hAnsi="Tahoma" w:cs="Tahoma"/>
          <w:sz w:val="20"/>
          <w:szCs w:val="20"/>
        </w:rPr>
        <w:t>marins;</w:t>
      </w:r>
    </w:p>
    <w:p w14:paraId="4FDD1215" w14:textId="298C8A91" w:rsidR="001E7C3C" w:rsidRPr="00B004EE" w:rsidRDefault="001E7C3C" w:rsidP="00420DDA">
      <w:pPr>
        <w:pStyle w:val="Paragraphedeliste"/>
        <w:widowControl w:val="0"/>
        <w:numPr>
          <w:ilvl w:val="0"/>
          <w:numId w:val="40"/>
        </w:numPr>
        <w:tabs>
          <w:tab w:val="left" w:pos="567"/>
        </w:tabs>
        <w:ind w:left="567" w:right="166"/>
        <w:jc w:val="both"/>
        <w:rPr>
          <w:rFonts w:ascii="Tahoma" w:eastAsia="American Typewriter" w:hAnsi="Tahoma" w:cs="Tahoma"/>
          <w:sz w:val="20"/>
          <w:szCs w:val="20"/>
        </w:rPr>
      </w:pPr>
      <w:proofErr w:type="gramStart"/>
      <w:r w:rsidRPr="00B004EE">
        <w:rPr>
          <w:rFonts w:ascii="Tahoma" w:eastAsia="American Typewriter" w:hAnsi="Tahoma" w:cs="Tahoma"/>
          <w:sz w:val="20"/>
          <w:szCs w:val="20"/>
        </w:rPr>
        <w:t>la</w:t>
      </w:r>
      <w:proofErr w:type="gramEnd"/>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pêche,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la</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capture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ou</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la</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rétention</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animaux</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aquatiques</w:t>
      </w:r>
      <w:r w:rsidR="00DB1635" w:rsidRPr="00B004EE">
        <w:rPr>
          <w:rFonts w:ascii="Tahoma" w:eastAsia="American Typewriter" w:hAnsi="Tahoma" w:cs="Tahoma"/>
          <w:spacing w:val="19"/>
          <w:sz w:val="20"/>
          <w:szCs w:val="20"/>
        </w:rPr>
        <w:t xml:space="preserve"> </w:t>
      </w:r>
      <w:r w:rsidRPr="00B004EE">
        <w:rPr>
          <w:rFonts w:ascii="Tahoma" w:eastAsia="American Typewriter" w:hAnsi="Tahoma" w:cs="Tahoma"/>
          <w:sz w:val="20"/>
          <w:szCs w:val="20"/>
        </w:rPr>
        <w:t>faisant</w:t>
      </w:r>
      <w:r w:rsidR="00DB1635" w:rsidRPr="00B004EE">
        <w:rPr>
          <w:rFonts w:ascii="Tahoma" w:eastAsia="American Typewriter" w:hAnsi="Tahoma" w:cs="Tahoma"/>
          <w:w w:val="96"/>
          <w:sz w:val="20"/>
          <w:szCs w:val="20"/>
        </w:rPr>
        <w:t xml:space="preserve"> </w:t>
      </w:r>
      <w:r w:rsidRPr="00B004EE">
        <w:rPr>
          <w:rFonts w:ascii="Tahoma" w:eastAsia="American Typewriter" w:hAnsi="Tahoma" w:cs="Tahoma"/>
          <w:sz w:val="20"/>
          <w:szCs w:val="20"/>
        </w:rPr>
        <w:t>l’objet</w:t>
      </w:r>
      <w:r w:rsidR="00DB1635" w:rsidRPr="00B004EE">
        <w:rPr>
          <w:rFonts w:ascii="Tahoma" w:eastAsia="American Typewriter" w:hAnsi="Tahoma" w:cs="Tahoma"/>
          <w:spacing w:val="-15"/>
          <w:sz w:val="20"/>
          <w:szCs w:val="20"/>
        </w:rPr>
        <w:t xml:space="preserve"> </w:t>
      </w:r>
      <w:r w:rsidRPr="00B004EE">
        <w:rPr>
          <w:rFonts w:ascii="Tahoma" w:eastAsia="American Typewriter" w:hAnsi="Tahoma" w:cs="Tahoma"/>
          <w:sz w:val="20"/>
          <w:szCs w:val="20"/>
        </w:rPr>
        <w:t>d’une</w:t>
      </w:r>
      <w:r w:rsidR="00DB1635" w:rsidRPr="00B004EE">
        <w:rPr>
          <w:rFonts w:ascii="Tahoma" w:eastAsia="American Typewriter" w:hAnsi="Tahoma" w:cs="Tahoma"/>
          <w:spacing w:val="-14"/>
          <w:sz w:val="20"/>
          <w:szCs w:val="20"/>
        </w:rPr>
        <w:t xml:space="preserve"> </w:t>
      </w:r>
      <w:r w:rsidRPr="00B004EE">
        <w:rPr>
          <w:rFonts w:ascii="Tahoma" w:eastAsia="American Typewriter" w:hAnsi="Tahoma" w:cs="Tahoma"/>
          <w:sz w:val="20"/>
          <w:szCs w:val="20"/>
        </w:rPr>
        <w:t>restriction</w:t>
      </w:r>
      <w:r w:rsidR="00DB1635" w:rsidRPr="00B004EE">
        <w:rPr>
          <w:rFonts w:ascii="Tahoma" w:eastAsia="American Typewriter" w:hAnsi="Tahoma" w:cs="Tahoma"/>
          <w:spacing w:val="-15"/>
          <w:sz w:val="20"/>
          <w:szCs w:val="20"/>
        </w:rPr>
        <w:t xml:space="preserve"> </w:t>
      </w:r>
      <w:r w:rsidRPr="00B004EE">
        <w:rPr>
          <w:rFonts w:ascii="Tahoma" w:eastAsia="American Typewriter" w:hAnsi="Tahoma" w:cs="Tahoma"/>
          <w:sz w:val="20"/>
          <w:szCs w:val="20"/>
        </w:rPr>
        <w:t>particulière</w:t>
      </w:r>
      <w:r w:rsidR="00DB1635" w:rsidRPr="00B004EE">
        <w:rPr>
          <w:rFonts w:ascii="Tahoma" w:eastAsia="American Typewriter" w:hAnsi="Tahoma" w:cs="Tahoma"/>
          <w:spacing w:val="-13"/>
          <w:sz w:val="20"/>
          <w:szCs w:val="20"/>
        </w:rPr>
        <w:t xml:space="preserve"> </w:t>
      </w:r>
      <w:r w:rsidRPr="00B004EE">
        <w:rPr>
          <w:rFonts w:ascii="Tahoma" w:eastAsia="American Typewriter" w:hAnsi="Tahoma" w:cs="Tahoma"/>
          <w:sz w:val="20"/>
          <w:szCs w:val="20"/>
        </w:rPr>
        <w:t>prévue</w:t>
      </w:r>
      <w:r w:rsidR="00DB1635" w:rsidRPr="00B004EE">
        <w:rPr>
          <w:rFonts w:ascii="Tahoma" w:eastAsia="American Typewriter" w:hAnsi="Tahoma" w:cs="Tahoma"/>
          <w:spacing w:val="-15"/>
          <w:sz w:val="20"/>
          <w:szCs w:val="20"/>
        </w:rPr>
        <w:t xml:space="preserve"> </w:t>
      </w:r>
      <w:r w:rsidRPr="00B004EE">
        <w:rPr>
          <w:rFonts w:ascii="Tahoma" w:eastAsia="American Typewriter" w:hAnsi="Tahoma" w:cs="Tahoma"/>
          <w:sz w:val="20"/>
          <w:szCs w:val="20"/>
        </w:rPr>
        <w:t>par</w:t>
      </w:r>
      <w:r w:rsidR="00DB1635" w:rsidRPr="00B004EE">
        <w:rPr>
          <w:rFonts w:ascii="Tahoma" w:eastAsia="American Typewriter" w:hAnsi="Tahoma" w:cs="Tahoma"/>
          <w:spacing w:val="-16"/>
          <w:sz w:val="20"/>
          <w:szCs w:val="20"/>
        </w:rPr>
        <w:t xml:space="preserve"> </w:t>
      </w:r>
      <w:r w:rsidRPr="00B004EE">
        <w:rPr>
          <w:rFonts w:ascii="Tahoma" w:eastAsia="American Typewriter" w:hAnsi="Tahoma" w:cs="Tahoma"/>
          <w:sz w:val="20"/>
          <w:szCs w:val="20"/>
        </w:rPr>
        <w:t>les</w:t>
      </w:r>
      <w:r w:rsidR="00DB1635" w:rsidRPr="00B004EE">
        <w:rPr>
          <w:rFonts w:ascii="Tahoma" w:eastAsia="American Typewriter" w:hAnsi="Tahoma" w:cs="Tahoma"/>
          <w:spacing w:val="-15"/>
          <w:sz w:val="20"/>
          <w:szCs w:val="20"/>
        </w:rPr>
        <w:t xml:space="preserve"> </w:t>
      </w:r>
      <w:r w:rsidRPr="00B004EE">
        <w:rPr>
          <w:rFonts w:ascii="Tahoma" w:eastAsia="American Typewriter" w:hAnsi="Tahoma" w:cs="Tahoma"/>
          <w:sz w:val="20"/>
          <w:szCs w:val="20"/>
        </w:rPr>
        <w:t>textes</w:t>
      </w:r>
      <w:r w:rsidR="00DB1635" w:rsidRPr="00B004EE">
        <w:rPr>
          <w:rFonts w:ascii="Tahoma" w:eastAsia="American Typewriter" w:hAnsi="Tahoma" w:cs="Tahoma"/>
          <w:spacing w:val="-15"/>
          <w:sz w:val="20"/>
          <w:szCs w:val="20"/>
        </w:rPr>
        <w:t xml:space="preserve"> </w:t>
      </w:r>
      <w:r w:rsidRPr="00B004EE">
        <w:rPr>
          <w:rFonts w:ascii="Tahoma" w:eastAsia="American Typewriter" w:hAnsi="Tahoma" w:cs="Tahoma"/>
          <w:sz w:val="20"/>
          <w:szCs w:val="20"/>
        </w:rPr>
        <w:t>en</w:t>
      </w:r>
      <w:r w:rsidR="00DB1635" w:rsidRPr="00B004EE">
        <w:rPr>
          <w:rFonts w:ascii="Tahoma" w:eastAsia="American Typewriter" w:hAnsi="Tahoma" w:cs="Tahoma"/>
          <w:spacing w:val="-15"/>
          <w:sz w:val="20"/>
          <w:szCs w:val="20"/>
        </w:rPr>
        <w:t xml:space="preserve"> </w:t>
      </w:r>
      <w:r w:rsidRPr="00B004EE">
        <w:rPr>
          <w:rFonts w:ascii="Tahoma" w:eastAsia="American Typewriter" w:hAnsi="Tahoma" w:cs="Tahoma"/>
          <w:sz w:val="20"/>
          <w:szCs w:val="20"/>
        </w:rPr>
        <w:t>vigueur.</w:t>
      </w:r>
    </w:p>
    <w:p w14:paraId="6F0B899E" w14:textId="096214CE" w:rsidR="001E7C3C" w:rsidRPr="00B004EE" w:rsidRDefault="001E7C3C" w:rsidP="00B004EE">
      <w:pPr>
        <w:pStyle w:val="Corpsdetexte"/>
        <w:rPr>
          <w:rFonts w:ascii="Tahoma" w:hAnsi="Tahoma" w:cs="Tahoma"/>
          <w:sz w:val="20"/>
          <w:szCs w:val="20"/>
        </w:rPr>
      </w:pPr>
      <w:r w:rsidRPr="00B004EE">
        <w:rPr>
          <w:rFonts w:ascii="Tahoma" w:hAnsi="Tahoma" w:cs="Tahoma"/>
          <w:sz w:val="20"/>
          <w:szCs w:val="20"/>
        </w:rPr>
        <w:t>La</w:t>
      </w:r>
      <w:r w:rsidR="00DB1635" w:rsidRPr="00B004EE">
        <w:rPr>
          <w:rFonts w:ascii="Tahoma" w:hAnsi="Tahoma" w:cs="Tahoma"/>
          <w:spacing w:val="-36"/>
          <w:sz w:val="20"/>
          <w:szCs w:val="20"/>
        </w:rPr>
        <w:t xml:space="preserve"> </w:t>
      </w:r>
      <w:r w:rsidRPr="00B004EE">
        <w:rPr>
          <w:rFonts w:ascii="Tahoma" w:hAnsi="Tahoma" w:cs="Tahoma"/>
          <w:sz w:val="20"/>
          <w:szCs w:val="20"/>
        </w:rPr>
        <w:t>commercialisation</w:t>
      </w:r>
      <w:r w:rsidR="00DB1635" w:rsidRPr="00B004EE">
        <w:rPr>
          <w:rFonts w:ascii="Tahoma" w:hAnsi="Tahoma" w:cs="Tahoma"/>
          <w:spacing w:val="-36"/>
          <w:sz w:val="20"/>
          <w:szCs w:val="20"/>
        </w:rPr>
        <w:t xml:space="preserve"> </w:t>
      </w:r>
      <w:r w:rsidRPr="00B004EE">
        <w:rPr>
          <w:rFonts w:ascii="Tahoma" w:hAnsi="Tahoma" w:cs="Tahoma"/>
          <w:sz w:val="20"/>
          <w:szCs w:val="20"/>
        </w:rPr>
        <w:t>des</w:t>
      </w:r>
      <w:r w:rsidR="00DB1635" w:rsidRPr="00B004EE">
        <w:rPr>
          <w:rFonts w:ascii="Tahoma" w:hAnsi="Tahoma" w:cs="Tahoma"/>
          <w:spacing w:val="-36"/>
          <w:sz w:val="20"/>
          <w:szCs w:val="20"/>
        </w:rPr>
        <w:t xml:space="preserve"> </w:t>
      </w:r>
      <w:r w:rsidRPr="00B004EE">
        <w:rPr>
          <w:rFonts w:ascii="Tahoma" w:hAnsi="Tahoma" w:cs="Tahoma"/>
          <w:sz w:val="20"/>
          <w:szCs w:val="20"/>
        </w:rPr>
        <w:t>espèces</w:t>
      </w:r>
      <w:r w:rsidR="00DB1635" w:rsidRPr="00B004EE">
        <w:rPr>
          <w:rFonts w:ascii="Tahoma" w:hAnsi="Tahoma" w:cs="Tahoma"/>
          <w:spacing w:val="-36"/>
          <w:sz w:val="20"/>
          <w:szCs w:val="20"/>
        </w:rPr>
        <w:t xml:space="preserve"> </w:t>
      </w:r>
      <w:r w:rsidRPr="00B004EE">
        <w:rPr>
          <w:rFonts w:ascii="Tahoma" w:hAnsi="Tahoma" w:cs="Tahoma"/>
          <w:sz w:val="20"/>
          <w:szCs w:val="20"/>
        </w:rPr>
        <w:t>visées</w:t>
      </w:r>
      <w:r w:rsidR="00DB1635" w:rsidRPr="00B004EE">
        <w:rPr>
          <w:rFonts w:ascii="Tahoma" w:hAnsi="Tahoma" w:cs="Tahoma"/>
          <w:spacing w:val="-36"/>
          <w:sz w:val="20"/>
          <w:szCs w:val="20"/>
        </w:rPr>
        <w:t xml:space="preserve"> </w:t>
      </w:r>
      <w:r w:rsidRPr="00B004EE">
        <w:rPr>
          <w:rFonts w:ascii="Tahoma" w:hAnsi="Tahoma" w:cs="Tahoma"/>
          <w:sz w:val="20"/>
          <w:szCs w:val="20"/>
        </w:rPr>
        <w:t>aux</w:t>
      </w:r>
      <w:r w:rsidR="00DB1635" w:rsidRPr="00B004EE">
        <w:rPr>
          <w:rFonts w:ascii="Tahoma" w:hAnsi="Tahoma" w:cs="Tahoma"/>
          <w:spacing w:val="-36"/>
          <w:sz w:val="20"/>
          <w:szCs w:val="20"/>
        </w:rPr>
        <w:t xml:space="preserve"> </w:t>
      </w:r>
      <w:r w:rsidRPr="00B004EE">
        <w:rPr>
          <w:rFonts w:ascii="Tahoma" w:hAnsi="Tahoma" w:cs="Tahoma"/>
          <w:sz w:val="20"/>
          <w:szCs w:val="20"/>
        </w:rPr>
        <w:t>alinéas</w:t>
      </w:r>
      <w:r w:rsidR="00DB1635" w:rsidRPr="00B004EE">
        <w:rPr>
          <w:rFonts w:ascii="Tahoma" w:hAnsi="Tahoma" w:cs="Tahoma"/>
          <w:spacing w:val="-36"/>
          <w:sz w:val="20"/>
          <w:szCs w:val="20"/>
        </w:rPr>
        <w:t xml:space="preserve"> </w:t>
      </w:r>
      <w:r w:rsidRPr="00B004EE">
        <w:rPr>
          <w:rFonts w:ascii="Tahoma" w:hAnsi="Tahoma" w:cs="Tahoma"/>
          <w:sz w:val="20"/>
          <w:szCs w:val="20"/>
        </w:rPr>
        <w:t>ci-dessus</w:t>
      </w:r>
      <w:r w:rsidR="00DB1635" w:rsidRPr="00B004EE">
        <w:rPr>
          <w:rFonts w:ascii="Tahoma" w:hAnsi="Tahoma" w:cs="Tahoma"/>
          <w:spacing w:val="-37"/>
          <w:sz w:val="20"/>
          <w:szCs w:val="20"/>
        </w:rPr>
        <w:t xml:space="preserve"> </w:t>
      </w:r>
      <w:r w:rsidRPr="00B004EE">
        <w:rPr>
          <w:rFonts w:ascii="Tahoma" w:hAnsi="Tahoma" w:cs="Tahoma"/>
          <w:sz w:val="20"/>
          <w:szCs w:val="20"/>
        </w:rPr>
        <w:t>est</w:t>
      </w:r>
      <w:r w:rsidR="00DB1635" w:rsidRPr="00B004EE">
        <w:rPr>
          <w:rFonts w:ascii="Tahoma" w:hAnsi="Tahoma" w:cs="Tahoma"/>
          <w:spacing w:val="-36"/>
          <w:sz w:val="20"/>
          <w:szCs w:val="20"/>
        </w:rPr>
        <w:t xml:space="preserve"> </w:t>
      </w:r>
      <w:r w:rsidRPr="00B004EE">
        <w:rPr>
          <w:rFonts w:ascii="Tahoma" w:hAnsi="Tahoma" w:cs="Tahoma"/>
          <w:sz w:val="20"/>
          <w:szCs w:val="20"/>
        </w:rPr>
        <w:t>interdite.</w:t>
      </w:r>
    </w:p>
    <w:p w14:paraId="290738BC" w14:textId="77777777" w:rsidR="00337E3A" w:rsidRPr="00B004EE" w:rsidRDefault="00337E3A" w:rsidP="00B004EE">
      <w:pPr>
        <w:jc w:val="both"/>
        <w:rPr>
          <w:rFonts w:ascii="Tahoma" w:hAnsi="Tahoma" w:cs="Tahoma"/>
          <w:sz w:val="20"/>
          <w:szCs w:val="20"/>
        </w:rPr>
      </w:pPr>
    </w:p>
    <w:p w14:paraId="794D4B59" w14:textId="5BA80699" w:rsidR="001E7C3C" w:rsidRPr="00B004EE" w:rsidRDefault="001E7C3C" w:rsidP="00B004EE">
      <w:pPr>
        <w:ind w:right="164" w:hanging="4"/>
        <w:jc w:val="center"/>
        <w:rPr>
          <w:rFonts w:ascii="Tahoma" w:hAnsi="Tahoma" w:cs="Tahoma"/>
          <w:b/>
          <w:spacing w:val="1"/>
          <w:w w:val="113"/>
          <w:sz w:val="20"/>
          <w:szCs w:val="20"/>
        </w:rPr>
      </w:pPr>
      <w:bookmarkStart w:id="63" w:name="_Toc16279064"/>
      <w:bookmarkStart w:id="64" w:name="_Toc16279433"/>
      <w:r w:rsidRPr="00B004EE">
        <w:rPr>
          <w:rFonts w:ascii="Tahoma" w:hAnsi="Tahoma" w:cs="Tahoma"/>
          <w:b/>
          <w:spacing w:val="1"/>
          <w:w w:val="113"/>
          <w:sz w:val="20"/>
          <w:szCs w:val="20"/>
        </w:rPr>
        <w:t>Section</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3</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De</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l’obligation</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de</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débarquement</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des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produits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de</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la</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pêche</w:t>
      </w:r>
      <w:bookmarkEnd w:id="63"/>
      <w:bookmarkEnd w:id="64"/>
    </w:p>
    <w:p w14:paraId="25508068" w14:textId="77777777" w:rsidR="001E7C3C" w:rsidRPr="00B004EE" w:rsidRDefault="001E7C3C" w:rsidP="00B004EE">
      <w:pPr>
        <w:rPr>
          <w:rFonts w:ascii="Tahoma" w:eastAsia="American Typewriter" w:hAnsi="Tahoma" w:cs="Tahoma"/>
          <w:b/>
          <w:bCs/>
          <w:sz w:val="20"/>
          <w:szCs w:val="20"/>
        </w:rPr>
      </w:pPr>
    </w:p>
    <w:p w14:paraId="1C5ADEFD" w14:textId="049D4271" w:rsidR="001E7C3C" w:rsidRPr="00B004EE" w:rsidRDefault="001E7C3C" w:rsidP="00B004EE">
      <w:pPr>
        <w:pStyle w:val="Corpsdetexte"/>
        <w:ind w:right="160"/>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40</w:t>
      </w:r>
      <w:r w:rsidR="00DB1635" w:rsidRPr="00B004EE">
        <w:rPr>
          <w:rFonts w:ascii="Tahoma" w:hAnsi="Tahoma" w:cs="Tahoma"/>
          <w:bCs/>
          <w:sz w:val="20"/>
          <w:szCs w:val="20"/>
        </w:rPr>
        <w:t xml:space="preserve"> </w:t>
      </w:r>
      <w:r w:rsidRPr="00B004EE">
        <w:rPr>
          <w:rFonts w:ascii="Tahoma" w:hAnsi="Tahoma" w:cs="Tahoma"/>
          <w:bCs/>
          <w:sz w:val="20"/>
          <w:szCs w:val="20"/>
        </w:rPr>
        <w:t>:</w:t>
      </w:r>
      <w:r w:rsidR="00DB1635" w:rsidRPr="00B004EE">
        <w:rPr>
          <w:rFonts w:ascii="Tahoma" w:hAnsi="Tahoma" w:cs="Tahoma"/>
          <w:b/>
          <w:spacing w:val="34"/>
          <w:sz w:val="20"/>
          <w:szCs w:val="20"/>
        </w:rPr>
        <w:t xml:space="preserve"> </w:t>
      </w:r>
      <w:r w:rsidRPr="00B004EE">
        <w:rPr>
          <w:rFonts w:ascii="Tahoma" w:hAnsi="Tahoma" w:cs="Tahoma"/>
          <w:sz w:val="20"/>
          <w:szCs w:val="20"/>
        </w:rPr>
        <w:t>Sous</w:t>
      </w:r>
      <w:r w:rsidR="00DB1635" w:rsidRPr="00B004EE">
        <w:rPr>
          <w:rFonts w:ascii="Tahoma" w:hAnsi="Tahoma" w:cs="Tahoma"/>
          <w:spacing w:val="30"/>
          <w:sz w:val="20"/>
          <w:szCs w:val="20"/>
        </w:rPr>
        <w:t xml:space="preserve"> </w:t>
      </w:r>
      <w:r w:rsidRPr="00B004EE">
        <w:rPr>
          <w:rFonts w:ascii="Tahoma" w:hAnsi="Tahoma" w:cs="Tahoma"/>
          <w:sz w:val="20"/>
          <w:szCs w:val="20"/>
        </w:rPr>
        <w:t>réserve</w:t>
      </w:r>
      <w:r w:rsidR="00DB1635" w:rsidRPr="00B004EE">
        <w:rPr>
          <w:rFonts w:ascii="Tahoma" w:hAnsi="Tahoma" w:cs="Tahoma"/>
          <w:spacing w:val="30"/>
          <w:sz w:val="20"/>
          <w:szCs w:val="20"/>
        </w:rPr>
        <w:t xml:space="preserve"> </w:t>
      </w:r>
      <w:r w:rsidRPr="00B004EE">
        <w:rPr>
          <w:rFonts w:ascii="Tahoma" w:hAnsi="Tahoma" w:cs="Tahoma"/>
          <w:sz w:val="20"/>
          <w:szCs w:val="20"/>
        </w:rPr>
        <w:t>des</w:t>
      </w:r>
      <w:r w:rsidR="00DB1635" w:rsidRPr="00B004EE">
        <w:rPr>
          <w:rFonts w:ascii="Tahoma" w:hAnsi="Tahoma" w:cs="Tahoma"/>
          <w:spacing w:val="30"/>
          <w:sz w:val="20"/>
          <w:szCs w:val="20"/>
        </w:rPr>
        <w:t xml:space="preserve"> </w:t>
      </w:r>
      <w:r w:rsidRPr="00B004EE">
        <w:rPr>
          <w:rFonts w:ascii="Tahoma" w:hAnsi="Tahoma" w:cs="Tahoma"/>
          <w:sz w:val="20"/>
          <w:szCs w:val="20"/>
        </w:rPr>
        <w:t>dispositions</w:t>
      </w:r>
      <w:r w:rsidR="00DB1635" w:rsidRPr="00B004EE">
        <w:rPr>
          <w:rFonts w:ascii="Tahoma" w:hAnsi="Tahoma" w:cs="Tahoma"/>
          <w:spacing w:val="30"/>
          <w:sz w:val="20"/>
          <w:szCs w:val="20"/>
        </w:rPr>
        <w:t xml:space="preserve"> </w:t>
      </w:r>
      <w:r w:rsidRPr="00B004EE">
        <w:rPr>
          <w:rFonts w:ascii="Tahoma" w:hAnsi="Tahoma" w:cs="Tahoma"/>
          <w:sz w:val="20"/>
          <w:szCs w:val="20"/>
        </w:rPr>
        <w:t>de</w:t>
      </w:r>
      <w:r w:rsidR="00DB1635" w:rsidRPr="00B004EE">
        <w:rPr>
          <w:rFonts w:ascii="Tahoma" w:hAnsi="Tahoma" w:cs="Tahoma"/>
          <w:spacing w:val="30"/>
          <w:sz w:val="20"/>
          <w:szCs w:val="20"/>
        </w:rPr>
        <w:t xml:space="preserve"> </w:t>
      </w:r>
      <w:r w:rsidRPr="00B004EE">
        <w:rPr>
          <w:rFonts w:ascii="Tahoma" w:hAnsi="Tahoma" w:cs="Tahoma"/>
          <w:sz w:val="20"/>
          <w:szCs w:val="20"/>
        </w:rPr>
        <w:t>l'article</w:t>
      </w:r>
      <w:r w:rsidR="00DB1635" w:rsidRPr="00B004EE">
        <w:rPr>
          <w:rFonts w:ascii="Tahoma" w:hAnsi="Tahoma" w:cs="Tahoma"/>
          <w:spacing w:val="-11"/>
          <w:sz w:val="20"/>
          <w:szCs w:val="20"/>
        </w:rPr>
        <w:t xml:space="preserve"> </w:t>
      </w:r>
      <w:r w:rsidRPr="00B004EE">
        <w:rPr>
          <w:rFonts w:ascii="Tahoma" w:hAnsi="Tahoma" w:cs="Tahoma"/>
          <w:sz w:val="20"/>
          <w:szCs w:val="20"/>
        </w:rPr>
        <w:t>41,</w:t>
      </w:r>
      <w:r w:rsidR="00DB1635" w:rsidRPr="00B004EE">
        <w:rPr>
          <w:rFonts w:ascii="Tahoma" w:hAnsi="Tahoma" w:cs="Tahoma"/>
          <w:spacing w:val="31"/>
          <w:sz w:val="20"/>
          <w:szCs w:val="20"/>
        </w:rPr>
        <w:t xml:space="preserve"> </w:t>
      </w:r>
      <w:r w:rsidRPr="00B004EE">
        <w:rPr>
          <w:rFonts w:ascii="Tahoma" w:hAnsi="Tahoma" w:cs="Tahoma"/>
          <w:sz w:val="20"/>
          <w:szCs w:val="20"/>
        </w:rPr>
        <w:t>les</w:t>
      </w:r>
      <w:r w:rsidR="00DB1635" w:rsidRPr="00B004EE">
        <w:rPr>
          <w:rFonts w:ascii="Tahoma" w:hAnsi="Tahoma" w:cs="Tahoma"/>
          <w:spacing w:val="30"/>
          <w:sz w:val="20"/>
          <w:szCs w:val="20"/>
        </w:rPr>
        <w:t xml:space="preserve"> </w:t>
      </w:r>
      <w:r w:rsidRPr="00B004EE">
        <w:rPr>
          <w:rFonts w:ascii="Tahoma" w:hAnsi="Tahoma" w:cs="Tahoma"/>
          <w:sz w:val="20"/>
          <w:szCs w:val="20"/>
        </w:rPr>
        <w:t>navires</w:t>
      </w:r>
      <w:r w:rsidR="00DB1635" w:rsidRPr="00B004EE">
        <w:rPr>
          <w:rFonts w:ascii="Tahoma" w:hAnsi="Tahoma" w:cs="Tahoma"/>
          <w:spacing w:val="30"/>
          <w:sz w:val="20"/>
          <w:szCs w:val="20"/>
        </w:rPr>
        <w:t xml:space="preserve"> </w:t>
      </w:r>
      <w:r w:rsidRPr="00B004EE">
        <w:rPr>
          <w:rFonts w:ascii="Tahoma" w:hAnsi="Tahoma" w:cs="Tahoma"/>
          <w:sz w:val="20"/>
          <w:szCs w:val="20"/>
        </w:rPr>
        <w:t>de</w:t>
      </w:r>
      <w:r w:rsidR="00DB1635" w:rsidRPr="00B004EE">
        <w:rPr>
          <w:rFonts w:ascii="Tahoma" w:hAnsi="Tahoma" w:cs="Tahoma"/>
          <w:spacing w:val="30"/>
          <w:sz w:val="20"/>
          <w:szCs w:val="20"/>
        </w:rPr>
        <w:t xml:space="preserve"> </w:t>
      </w:r>
      <w:r w:rsidRPr="00B004EE">
        <w:rPr>
          <w:rFonts w:ascii="Tahoma" w:hAnsi="Tahoma" w:cs="Tahoma"/>
          <w:sz w:val="20"/>
          <w:szCs w:val="20"/>
        </w:rPr>
        <w:t>pêche</w:t>
      </w:r>
      <w:r w:rsidR="00DB1635" w:rsidRPr="00B004EE">
        <w:rPr>
          <w:rFonts w:ascii="Tahoma" w:hAnsi="Tahoma" w:cs="Tahoma"/>
          <w:w w:val="95"/>
          <w:sz w:val="20"/>
          <w:szCs w:val="20"/>
        </w:rPr>
        <w:t xml:space="preserve"> </w:t>
      </w:r>
      <w:r w:rsidRPr="00B004EE">
        <w:rPr>
          <w:rFonts w:ascii="Tahoma" w:hAnsi="Tahoma" w:cs="Tahoma"/>
          <w:sz w:val="20"/>
          <w:szCs w:val="20"/>
        </w:rPr>
        <w:t>autorisés</w:t>
      </w:r>
      <w:r w:rsidR="00DB1635" w:rsidRPr="00B004EE">
        <w:rPr>
          <w:rFonts w:ascii="Tahoma" w:hAnsi="Tahoma" w:cs="Tahoma"/>
          <w:spacing w:val="-8"/>
          <w:sz w:val="20"/>
          <w:szCs w:val="20"/>
        </w:rPr>
        <w:t xml:space="preserve"> </w:t>
      </w:r>
      <w:r w:rsidRPr="00B004EE">
        <w:rPr>
          <w:rFonts w:ascii="Tahoma" w:hAnsi="Tahoma" w:cs="Tahoma"/>
          <w:sz w:val="20"/>
          <w:szCs w:val="20"/>
        </w:rPr>
        <w:t>à</w:t>
      </w:r>
      <w:r w:rsidR="00DB1635" w:rsidRPr="00B004EE">
        <w:rPr>
          <w:rFonts w:ascii="Tahoma" w:hAnsi="Tahoma" w:cs="Tahoma"/>
          <w:spacing w:val="-7"/>
          <w:sz w:val="20"/>
          <w:szCs w:val="20"/>
        </w:rPr>
        <w:t xml:space="preserve"> </w:t>
      </w:r>
      <w:r w:rsidRPr="00B004EE">
        <w:rPr>
          <w:rFonts w:ascii="Tahoma" w:hAnsi="Tahoma" w:cs="Tahoma"/>
          <w:sz w:val="20"/>
          <w:szCs w:val="20"/>
        </w:rPr>
        <w:t>opérer</w:t>
      </w:r>
      <w:r w:rsidR="00DB1635" w:rsidRPr="00B004EE">
        <w:rPr>
          <w:rFonts w:ascii="Tahoma" w:hAnsi="Tahoma" w:cs="Tahoma"/>
          <w:spacing w:val="-8"/>
          <w:sz w:val="20"/>
          <w:szCs w:val="20"/>
        </w:rPr>
        <w:t xml:space="preserve"> </w:t>
      </w:r>
      <w:r w:rsidRPr="00B004EE">
        <w:rPr>
          <w:rFonts w:ascii="Tahoma" w:hAnsi="Tahoma" w:cs="Tahoma"/>
          <w:sz w:val="20"/>
          <w:szCs w:val="20"/>
        </w:rPr>
        <w:t>dans</w:t>
      </w:r>
      <w:r w:rsidR="00DB1635" w:rsidRPr="00B004EE">
        <w:rPr>
          <w:rFonts w:ascii="Tahoma" w:hAnsi="Tahoma" w:cs="Tahoma"/>
          <w:spacing w:val="-8"/>
          <w:sz w:val="20"/>
          <w:szCs w:val="20"/>
        </w:rPr>
        <w:t xml:space="preserve"> </w:t>
      </w:r>
      <w:r w:rsidRPr="00B004EE">
        <w:rPr>
          <w:rFonts w:ascii="Tahoma" w:hAnsi="Tahoma" w:cs="Tahoma"/>
          <w:sz w:val="20"/>
          <w:szCs w:val="20"/>
        </w:rPr>
        <w:t>les</w:t>
      </w:r>
      <w:r w:rsidR="00DB1635" w:rsidRPr="00B004EE">
        <w:rPr>
          <w:rFonts w:ascii="Tahoma" w:hAnsi="Tahoma" w:cs="Tahoma"/>
          <w:spacing w:val="-8"/>
          <w:sz w:val="20"/>
          <w:szCs w:val="20"/>
        </w:rPr>
        <w:t xml:space="preserve"> </w:t>
      </w:r>
      <w:r w:rsidRPr="00B004EE">
        <w:rPr>
          <w:rFonts w:ascii="Tahoma" w:hAnsi="Tahoma" w:cs="Tahoma"/>
          <w:sz w:val="20"/>
          <w:szCs w:val="20"/>
        </w:rPr>
        <w:t>eaux</w:t>
      </w:r>
      <w:r w:rsidR="00DB1635" w:rsidRPr="00B004EE">
        <w:rPr>
          <w:rFonts w:ascii="Tahoma" w:hAnsi="Tahoma" w:cs="Tahoma"/>
          <w:spacing w:val="-8"/>
          <w:sz w:val="20"/>
          <w:szCs w:val="20"/>
        </w:rPr>
        <w:t xml:space="preserve"> </w:t>
      </w:r>
      <w:r w:rsidRPr="00B004EE">
        <w:rPr>
          <w:rFonts w:ascii="Tahoma" w:hAnsi="Tahoma" w:cs="Tahoma"/>
          <w:sz w:val="20"/>
          <w:szCs w:val="20"/>
        </w:rPr>
        <w:t>sous</w:t>
      </w:r>
      <w:r w:rsidR="00DB1635" w:rsidRPr="00B004EE">
        <w:rPr>
          <w:rFonts w:ascii="Tahoma" w:hAnsi="Tahoma" w:cs="Tahoma"/>
          <w:spacing w:val="-8"/>
          <w:sz w:val="20"/>
          <w:szCs w:val="20"/>
        </w:rPr>
        <w:t xml:space="preserve"> </w:t>
      </w:r>
      <w:r w:rsidRPr="00B004EE">
        <w:rPr>
          <w:rFonts w:ascii="Tahoma" w:hAnsi="Tahoma" w:cs="Tahoma"/>
          <w:sz w:val="20"/>
          <w:szCs w:val="20"/>
        </w:rPr>
        <w:t>juridiction</w:t>
      </w:r>
      <w:r w:rsidR="00DB1635" w:rsidRPr="00B004EE">
        <w:rPr>
          <w:rFonts w:ascii="Tahoma" w:hAnsi="Tahoma" w:cs="Tahoma"/>
          <w:spacing w:val="-8"/>
          <w:sz w:val="20"/>
          <w:szCs w:val="20"/>
        </w:rPr>
        <w:t xml:space="preserve"> </w:t>
      </w:r>
      <w:r w:rsidRPr="00B004EE">
        <w:rPr>
          <w:rFonts w:ascii="Tahoma" w:hAnsi="Tahoma" w:cs="Tahoma"/>
          <w:sz w:val="20"/>
          <w:szCs w:val="20"/>
        </w:rPr>
        <w:t>mauritanienne</w:t>
      </w:r>
      <w:r w:rsidR="00DB1635" w:rsidRPr="00B004EE">
        <w:rPr>
          <w:rFonts w:ascii="Tahoma" w:hAnsi="Tahoma" w:cs="Tahoma"/>
          <w:spacing w:val="-10"/>
          <w:sz w:val="20"/>
          <w:szCs w:val="20"/>
        </w:rPr>
        <w:t xml:space="preserve"> </w:t>
      </w:r>
      <w:r w:rsidRPr="00B004EE">
        <w:rPr>
          <w:rFonts w:ascii="Tahoma" w:hAnsi="Tahoma" w:cs="Tahoma"/>
          <w:sz w:val="20"/>
          <w:szCs w:val="20"/>
        </w:rPr>
        <w:t>sont</w:t>
      </w:r>
      <w:r w:rsidR="00DB1635" w:rsidRPr="00B004EE">
        <w:rPr>
          <w:rFonts w:ascii="Tahoma" w:hAnsi="Tahoma" w:cs="Tahoma"/>
          <w:spacing w:val="-9"/>
          <w:sz w:val="20"/>
          <w:szCs w:val="20"/>
        </w:rPr>
        <w:t xml:space="preserve"> </w:t>
      </w:r>
      <w:r w:rsidRPr="00B004EE">
        <w:rPr>
          <w:rFonts w:ascii="Tahoma" w:hAnsi="Tahoma" w:cs="Tahoma"/>
          <w:sz w:val="20"/>
          <w:szCs w:val="20"/>
        </w:rPr>
        <w:t>astreints</w:t>
      </w:r>
      <w:r w:rsidR="00DB1635" w:rsidRPr="00B004EE">
        <w:rPr>
          <w:rFonts w:ascii="Tahoma" w:hAnsi="Tahoma" w:cs="Tahoma"/>
          <w:spacing w:val="-10"/>
          <w:sz w:val="20"/>
          <w:szCs w:val="20"/>
        </w:rPr>
        <w:t xml:space="preserve"> </w:t>
      </w:r>
      <w:r w:rsidRPr="00B004EE">
        <w:rPr>
          <w:rFonts w:ascii="Tahoma" w:hAnsi="Tahoma" w:cs="Tahoma"/>
          <w:sz w:val="20"/>
          <w:szCs w:val="20"/>
        </w:rPr>
        <w:t>au</w:t>
      </w:r>
      <w:r w:rsidR="00DB1635" w:rsidRPr="00B004EE">
        <w:rPr>
          <w:rFonts w:ascii="Tahoma" w:hAnsi="Tahoma" w:cs="Tahoma"/>
          <w:w w:val="98"/>
          <w:sz w:val="20"/>
          <w:szCs w:val="20"/>
        </w:rPr>
        <w:t xml:space="preserve"> </w:t>
      </w:r>
      <w:r w:rsidRPr="00B004EE">
        <w:rPr>
          <w:rFonts w:ascii="Tahoma" w:hAnsi="Tahoma" w:cs="Tahoma"/>
          <w:sz w:val="20"/>
          <w:szCs w:val="20"/>
        </w:rPr>
        <w:t>débarquement</w:t>
      </w:r>
      <w:r w:rsidR="00DB1635" w:rsidRPr="00B004EE">
        <w:rPr>
          <w:rFonts w:ascii="Tahoma" w:hAnsi="Tahoma" w:cs="Tahoma"/>
          <w:spacing w:val="-29"/>
          <w:sz w:val="20"/>
          <w:szCs w:val="20"/>
        </w:rPr>
        <w:t xml:space="preserve"> </w:t>
      </w:r>
      <w:r w:rsidRPr="00B004EE">
        <w:rPr>
          <w:rFonts w:ascii="Tahoma" w:hAnsi="Tahoma" w:cs="Tahoma"/>
          <w:sz w:val="20"/>
          <w:szCs w:val="20"/>
        </w:rPr>
        <w:t>de</w:t>
      </w:r>
      <w:r w:rsidR="00DB1635" w:rsidRPr="00B004EE">
        <w:rPr>
          <w:rFonts w:ascii="Tahoma" w:hAnsi="Tahoma" w:cs="Tahoma"/>
          <w:spacing w:val="-29"/>
          <w:sz w:val="20"/>
          <w:szCs w:val="20"/>
        </w:rPr>
        <w:t xml:space="preserve"> </w:t>
      </w:r>
      <w:r w:rsidRPr="00B004EE">
        <w:rPr>
          <w:rFonts w:ascii="Tahoma" w:hAnsi="Tahoma" w:cs="Tahoma"/>
          <w:sz w:val="20"/>
          <w:szCs w:val="20"/>
        </w:rPr>
        <w:t>leurs</w:t>
      </w:r>
      <w:r w:rsidR="00DB1635" w:rsidRPr="00B004EE">
        <w:rPr>
          <w:rFonts w:ascii="Tahoma" w:hAnsi="Tahoma" w:cs="Tahoma"/>
          <w:spacing w:val="-29"/>
          <w:sz w:val="20"/>
          <w:szCs w:val="20"/>
        </w:rPr>
        <w:t xml:space="preserve"> </w:t>
      </w:r>
      <w:r w:rsidRPr="00B004EE">
        <w:rPr>
          <w:rFonts w:ascii="Tahoma" w:hAnsi="Tahoma" w:cs="Tahoma"/>
          <w:sz w:val="20"/>
          <w:szCs w:val="20"/>
        </w:rPr>
        <w:t>produits</w:t>
      </w:r>
      <w:r w:rsidR="00DB1635" w:rsidRPr="00B004EE">
        <w:rPr>
          <w:rFonts w:ascii="Tahoma" w:hAnsi="Tahoma" w:cs="Tahoma"/>
          <w:spacing w:val="-29"/>
          <w:sz w:val="20"/>
          <w:szCs w:val="20"/>
        </w:rPr>
        <w:t xml:space="preserve"> </w:t>
      </w:r>
      <w:r w:rsidRPr="00B004EE">
        <w:rPr>
          <w:rFonts w:ascii="Tahoma" w:hAnsi="Tahoma" w:cs="Tahoma"/>
          <w:sz w:val="20"/>
          <w:szCs w:val="20"/>
        </w:rPr>
        <w:t>et</w:t>
      </w:r>
      <w:r w:rsidR="00DB1635" w:rsidRPr="00B004EE">
        <w:rPr>
          <w:rFonts w:ascii="Tahoma" w:hAnsi="Tahoma" w:cs="Tahoma"/>
          <w:spacing w:val="-29"/>
          <w:sz w:val="20"/>
          <w:szCs w:val="20"/>
        </w:rPr>
        <w:t xml:space="preserve"> </w:t>
      </w:r>
      <w:r w:rsidRPr="00B004EE">
        <w:rPr>
          <w:rFonts w:ascii="Tahoma" w:hAnsi="Tahoma" w:cs="Tahoma"/>
          <w:sz w:val="20"/>
          <w:szCs w:val="20"/>
        </w:rPr>
        <w:t>captures</w:t>
      </w:r>
      <w:r w:rsidR="00DB1635" w:rsidRPr="00B004EE">
        <w:rPr>
          <w:rFonts w:ascii="Tahoma" w:hAnsi="Tahoma" w:cs="Tahoma"/>
          <w:spacing w:val="-29"/>
          <w:sz w:val="20"/>
          <w:szCs w:val="20"/>
        </w:rPr>
        <w:t xml:space="preserve"> </w:t>
      </w:r>
      <w:r w:rsidRPr="00B004EE">
        <w:rPr>
          <w:rFonts w:ascii="Tahoma" w:hAnsi="Tahoma" w:cs="Tahoma"/>
          <w:sz w:val="20"/>
          <w:szCs w:val="20"/>
        </w:rPr>
        <w:t>dans</w:t>
      </w:r>
      <w:r w:rsidR="00DB1635" w:rsidRPr="00B004EE">
        <w:rPr>
          <w:rFonts w:ascii="Tahoma" w:hAnsi="Tahoma" w:cs="Tahoma"/>
          <w:spacing w:val="-30"/>
          <w:sz w:val="20"/>
          <w:szCs w:val="20"/>
        </w:rPr>
        <w:t xml:space="preserve"> </w:t>
      </w:r>
      <w:r w:rsidRPr="00B004EE">
        <w:rPr>
          <w:rFonts w:ascii="Tahoma" w:hAnsi="Tahoma" w:cs="Tahoma"/>
          <w:sz w:val="20"/>
          <w:szCs w:val="20"/>
        </w:rPr>
        <w:t>les</w:t>
      </w:r>
      <w:r w:rsidR="00DB1635" w:rsidRPr="00B004EE">
        <w:rPr>
          <w:rFonts w:ascii="Tahoma" w:hAnsi="Tahoma" w:cs="Tahoma"/>
          <w:spacing w:val="-29"/>
          <w:sz w:val="20"/>
          <w:szCs w:val="20"/>
        </w:rPr>
        <w:t xml:space="preserve"> </w:t>
      </w:r>
      <w:r w:rsidRPr="00B004EE">
        <w:rPr>
          <w:rFonts w:ascii="Tahoma" w:hAnsi="Tahoma" w:cs="Tahoma"/>
          <w:sz w:val="20"/>
          <w:szCs w:val="20"/>
        </w:rPr>
        <w:t>ports</w:t>
      </w:r>
      <w:r w:rsidR="00DB1635" w:rsidRPr="00B004EE">
        <w:rPr>
          <w:rFonts w:ascii="Tahoma" w:hAnsi="Tahoma" w:cs="Tahoma"/>
          <w:spacing w:val="-29"/>
          <w:sz w:val="20"/>
          <w:szCs w:val="20"/>
        </w:rPr>
        <w:t xml:space="preserve"> </w:t>
      </w:r>
      <w:r w:rsidRPr="00B004EE">
        <w:rPr>
          <w:rFonts w:ascii="Tahoma" w:hAnsi="Tahoma" w:cs="Tahoma"/>
          <w:sz w:val="20"/>
          <w:szCs w:val="20"/>
        </w:rPr>
        <w:t>de</w:t>
      </w:r>
      <w:r w:rsidR="00DB1635" w:rsidRPr="00B004EE">
        <w:rPr>
          <w:rFonts w:ascii="Tahoma" w:hAnsi="Tahoma" w:cs="Tahoma"/>
          <w:spacing w:val="-29"/>
          <w:sz w:val="20"/>
          <w:szCs w:val="20"/>
        </w:rPr>
        <w:t xml:space="preserve"> </w:t>
      </w:r>
      <w:r w:rsidRPr="00B004EE">
        <w:rPr>
          <w:rFonts w:ascii="Tahoma" w:hAnsi="Tahoma" w:cs="Tahoma"/>
          <w:sz w:val="20"/>
          <w:szCs w:val="20"/>
        </w:rPr>
        <w:t>Mauritanie.</w:t>
      </w:r>
    </w:p>
    <w:p w14:paraId="65295524" w14:textId="77777777" w:rsidR="001E7C3C" w:rsidRPr="00B004EE" w:rsidRDefault="001E7C3C" w:rsidP="00B004EE">
      <w:pPr>
        <w:rPr>
          <w:rFonts w:ascii="Tahoma" w:eastAsia="American Typewriter" w:hAnsi="Tahoma" w:cs="Tahoma"/>
          <w:sz w:val="20"/>
          <w:szCs w:val="20"/>
        </w:rPr>
      </w:pPr>
    </w:p>
    <w:p w14:paraId="7DB43FFC" w14:textId="12A26EEA" w:rsidR="001E7C3C" w:rsidRPr="00B004EE" w:rsidRDefault="001E7C3C" w:rsidP="00B004EE">
      <w:pPr>
        <w:pStyle w:val="Corpsdetexte"/>
        <w:ind w:right="164"/>
        <w:rPr>
          <w:rFonts w:ascii="Tahoma" w:hAnsi="Tahoma" w:cs="Tahoma"/>
          <w:sz w:val="20"/>
          <w:szCs w:val="20"/>
        </w:rPr>
      </w:pPr>
      <w:r w:rsidRPr="00B004EE">
        <w:rPr>
          <w:rFonts w:ascii="Tahoma" w:hAnsi="Tahoma" w:cs="Tahoma"/>
          <w:sz w:val="20"/>
          <w:szCs w:val="20"/>
        </w:rPr>
        <w:t>On</w:t>
      </w:r>
      <w:r w:rsidR="00DB1635" w:rsidRPr="00B004EE">
        <w:rPr>
          <w:rFonts w:ascii="Tahoma" w:hAnsi="Tahoma" w:cs="Tahoma"/>
          <w:spacing w:val="-8"/>
          <w:sz w:val="20"/>
          <w:szCs w:val="20"/>
        </w:rPr>
        <w:t xml:space="preserve"> </w:t>
      </w:r>
      <w:r w:rsidRPr="00B004EE">
        <w:rPr>
          <w:rFonts w:ascii="Tahoma" w:hAnsi="Tahoma" w:cs="Tahoma"/>
          <w:sz w:val="20"/>
          <w:szCs w:val="20"/>
        </w:rPr>
        <w:t>entend</w:t>
      </w:r>
      <w:r w:rsidR="00DB1635" w:rsidRPr="00B004EE">
        <w:rPr>
          <w:rFonts w:ascii="Tahoma" w:hAnsi="Tahoma" w:cs="Tahoma"/>
          <w:spacing w:val="-8"/>
          <w:sz w:val="20"/>
          <w:szCs w:val="20"/>
        </w:rPr>
        <w:t xml:space="preserve"> </w:t>
      </w:r>
      <w:r w:rsidRPr="00B004EE">
        <w:rPr>
          <w:rFonts w:ascii="Tahoma" w:hAnsi="Tahoma" w:cs="Tahoma"/>
          <w:sz w:val="20"/>
          <w:szCs w:val="20"/>
        </w:rPr>
        <w:t>par</w:t>
      </w:r>
      <w:r w:rsidR="00DB1635" w:rsidRPr="00B004EE">
        <w:rPr>
          <w:rFonts w:ascii="Tahoma" w:hAnsi="Tahoma" w:cs="Tahoma"/>
          <w:spacing w:val="-8"/>
          <w:sz w:val="20"/>
          <w:szCs w:val="20"/>
        </w:rPr>
        <w:t xml:space="preserve"> </w:t>
      </w:r>
      <w:r w:rsidRPr="00B004EE">
        <w:rPr>
          <w:rFonts w:ascii="Tahoma" w:hAnsi="Tahoma" w:cs="Tahoma"/>
          <w:sz w:val="20"/>
          <w:szCs w:val="20"/>
        </w:rPr>
        <w:t>débarquement,</w:t>
      </w:r>
      <w:r w:rsidR="00DB1635" w:rsidRPr="00B004EE">
        <w:rPr>
          <w:rFonts w:ascii="Tahoma" w:hAnsi="Tahoma" w:cs="Tahoma"/>
          <w:spacing w:val="-8"/>
          <w:sz w:val="20"/>
          <w:szCs w:val="20"/>
        </w:rPr>
        <w:t xml:space="preserve"> </w:t>
      </w:r>
      <w:r w:rsidRPr="00B004EE">
        <w:rPr>
          <w:rFonts w:ascii="Tahoma" w:hAnsi="Tahoma" w:cs="Tahoma"/>
          <w:sz w:val="20"/>
          <w:szCs w:val="20"/>
        </w:rPr>
        <w:t>la</w:t>
      </w:r>
      <w:r w:rsidR="00DB1635" w:rsidRPr="00B004EE">
        <w:rPr>
          <w:rFonts w:ascii="Tahoma" w:hAnsi="Tahoma" w:cs="Tahoma"/>
          <w:spacing w:val="-7"/>
          <w:sz w:val="20"/>
          <w:szCs w:val="20"/>
        </w:rPr>
        <w:t xml:space="preserve"> </w:t>
      </w:r>
      <w:r w:rsidRPr="00B004EE">
        <w:rPr>
          <w:rFonts w:ascii="Tahoma" w:hAnsi="Tahoma" w:cs="Tahoma"/>
          <w:sz w:val="20"/>
          <w:szCs w:val="20"/>
        </w:rPr>
        <w:t>mise</w:t>
      </w:r>
      <w:r w:rsidR="00DB1635" w:rsidRPr="00B004EE">
        <w:rPr>
          <w:rFonts w:ascii="Tahoma" w:hAnsi="Tahoma" w:cs="Tahoma"/>
          <w:spacing w:val="-8"/>
          <w:sz w:val="20"/>
          <w:szCs w:val="20"/>
        </w:rPr>
        <w:t xml:space="preserve"> </w:t>
      </w:r>
      <w:r w:rsidRPr="00B004EE">
        <w:rPr>
          <w:rFonts w:ascii="Tahoma" w:hAnsi="Tahoma" w:cs="Tahoma"/>
          <w:sz w:val="20"/>
          <w:szCs w:val="20"/>
        </w:rPr>
        <w:t>à</w:t>
      </w:r>
      <w:r w:rsidR="00DB1635" w:rsidRPr="00B004EE">
        <w:rPr>
          <w:rFonts w:ascii="Tahoma" w:hAnsi="Tahoma" w:cs="Tahoma"/>
          <w:spacing w:val="-7"/>
          <w:sz w:val="20"/>
          <w:szCs w:val="20"/>
        </w:rPr>
        <w:t xml:space="preserve"> </w:t>
      </w:r>
      <w:r w:rsidRPr="00B004EE">
        <w:rPr>
          <w:rFonts w:ascii="Tahoma" w:hAnsi="Tahoma" w:cs="Tahoma"/>
          <w:sz w:val="20"/>
          <w:szCs w:val="20"/>
        </w:rPr>
        <w:t>terre</w:t>
      </w:r>
      <w:r w:rsidR="00DB1635" w:rsidRPr="00B004EE">
        <w:rPr>
          <w:rFonts w:ascii="Tahoma" w:hAnsi="Tahoma" w:cs="Tahoma"/>
          <w:spacing w:val="-8"/>
          <w:sz w:val="20"/>
          <w:szCs w:val="20"/>
        </w:rPr>
        <w:t xml:space="preserve"> </w:t>
      </w:r>
      <w:r w:rsidRPr="00B004EE">
        <w:rPr>
          <w:rFonts w:ascii="Tahoma" w:hAnsi="Tahoma" w:cs="Tahoma"/>
          <w:sz w:val="20"/>
          <w:szCs w:val="20"/>
        </w:rPr>
        <w:t>effective</w:t>
      </w:r>
      <w:r w:rsidR="00DB1635" w:rsidRPr="00B004EE">
        <w:rPr>
          <w:rFonts w:ascii="Tahoma" w:hAnsi="Tahoma" w:cs="Tahoma"/>
          <w:spacing w:val="-8"/>
          <w:sz w:val="20"/>
          <w:szCs w:val="20"/>
        </w:rPr>
        <w:t xml:space="preserve"> </w:t>
      </w:r>
      <w:r w:rsidRPr="00B004EE">
        <w:rPr>
          <w:rFonts w:ascii="Tahoma" w:hAnsi="Tahoma" w:cs="Tahoma"/>
          <w:sz w:val="20"/>
          <w:szCs w:val="20"/>
        </w:rPr>
        <w:t>de</w:t>
      </w:r>
      <w:r w:rsidR="00DB1635" w:rsidRPr="00B004EE">
        <w:rPr>
          <w:rFonts w:ascii="Tahoma" w:hAnsi="Tahoma" w:cs="Tahoma"/>
          <w:spacing w:val="-8"/>
          <w:sz w:val="20"/>
          <w:szCs w:val="20"/>
        </w:rPr>
        <w:t xml:space="preserve"> </w:t>
      </w:r>
      <w:r w:rsidRPr="00B004EE">
        <w:rPr>
          <w:rFonts w:ascii="Tahoma" w:hAnsi="Tahoma" w:cs="Tahoma"/>
          <w:sz w:val="20"/>
          <w:szCs w:val="20"/>
        </w:rPr>
        <w:t>tous</w:t>
      </w:r>
      <w:r w:rsidR="00DB1635" w:rsidRPr="00B004EE">
        <w:rPr>
          <w:rFonts w:ascii="Tahoma" w:hAnsi="Tahoma" w:cs="Tahoma"/>
          <w:spacing w:val="-8"/>
          <w:sz w:val="20"/>
          <w:szCs w:val="20"/>
        </w:rPr>
        <w:t xml:space="preserve"> </w:t>
      </w:r>
      <w:r w:rsidRPr="00B004EE">
        <w:rPr>
          <w:rFonts w:ascii="Tahoma" w:hAnsi="Tahoma" w:cs="Tahoma"/>
          <w:sz w:val="20"/>
          <w:szCs w:val="20"/>
        </w:rPr>
        <w:t>les</w:t>
      </w:r>
      <w:r w:rsidR="00DB1635" w:rsidRPr="00B004EE">
        <w:rPr>
          <w:rFonts w:ascii="Tahoma" w:hAnsi="Tahoma" w:cs="Tahoma"/>
          <w:spacing w:val="-8"/>
          <w:sz w:val="20"/>
          <w:szCs w:val="20"/>
        </w:rPr>
        <w:t xml:space="preserve"> </w:t>
      </w:r>
      <w:r w:rsidRPr="00B004EE">
        <w:rPr>
          <w:rFonts w:ascii="Tahoma" w:hAnsi="Tahoma" w:cs="Tahoma"/>
          <w:sz w:val="20"/>
          <w:szCs w:val="20"/>
        </w:rPr>
        <w:t>produits</w:t>
      </w:r>
      <w:r w:rsidR="00DB1635" w:rsidRPr="00B004EE">
        <w:rPr>
          <w:rFonts w:ascii="Tahoma" w:hAnsi="Tahoma" w:cs="Tahoma"/>
          <w:spacing w:val="-8"/>
          <w:sz w:val="20"/>
          <w:szCs w:val="20"/>
        </w:rPr>
        <w:t xml:space="preserve"> </w:t>
      </w:r>
      <w:r w:rsidRPr="00B004EE">
        <w:rPr>
          <w:rFonts w:ascii="Tahoma" w:hAnsi="Tahoma" w:cs="Tahoma"/>
          <w:sz w:val="20"/>
          <w:szCs w:val="20"/>
        </w:rPr>
        <w:t>pêchés</w:t>
      </w:r>
      <w:r w:rsidR="00DB1635" w:rsidRPr="00B004EE">
        <w:rPr>
          <w:rFonts w:ascii="Tahoma" w:hAnsi="Tahoma" w:cs="Tahoma"/>
          <w:w w:val="94"/>
          <w:sz w:val="20"/>
          <w:szCs w:val="20"/>
        </w:rPr>
        <w:t xml:space="preserve"> </w:t>
      </w:r>
      <w:r w:rsidRPr="00B004EE">
        <w:rPr>
          <w:rFonts w:ascii="Tahoma" w:hAnsi="Tahoma" w:cs="Tahoma"/>
          <w:sz w:val="20"/>
          <w:szCs w:val="20"/>
        </w:rPr>
        <w:t>en</w:t>
      </w:r>
      <w:r w:rsidR="00DB1635" w:rsidRPr="00B004EE">
        <w:rPr>
          <w:rFonts w:ascii="Tahoma" w:hAnsi="Tahoma" w:cs="Tahoma"/>
          <w:spacing w:val="-36"/>
          <w:sz w:val="20"/>
          <w:szCs w:val="20"/>
        </w:rPr>
        <w:t xml:space="preserve"> </w:t>
      </w:r>
      <w:r w:rsidRPr="00B004EE">
        <w:rPr>
          <w:rFonts w:ascii="Tahoma" w:hAnsi="Tahoma" w:cs="Tahoma"/>
          <w:sz w:val="20"/>
          <w:szCs w:val="20"/>
        </w:rPr>
        <w:t>vue</w:t>
      </w:r>
      <w:r w:rsidR="00DB1635" w:rsidRPr="00B004EE">
        <w:rPr>
          <w:rFonts w:ascii="Tahoma" w:hAnsi="Tahoma" w:cs="Tahoma"/>
          <w:spacing w:val="-36"/>
          <w:sz w:val="20"/>
          <w:szCs w:val="20"/>
        </w:rPr>
        <w:t xml:space="preserve"> </w:t>
      </w:r>
      <w:r w:rsidRPr="00B004EE">
        <w:rPr>
          <w:rFonts w:ascii="Tahoma" w:hAnsi="Tahoma" w:cs="Tahoma"/>
          <w:sz w:val="20"/>
          <w:szCs w:val="20"/>
        </w:rPr>
        <w:t>de</w:t>
      </w:r>
      <w:r w:rsidR="00DB1635" w:rsidRPr="00B004EE">
        <w:rPr>
          <w:rFonts w:ascii="Tahoma" w:hAnsi="Tahoma" w:cs="Tahoma"/>
          <w:spacing w:val="-36"/>
          <w:sz w:val="20"/>
          <w:szCs w:val="20"/>
        </w:rPr>
        <w:t xml:space="preserve"> </w:t>
      </w:r>
      <w:r w:rsidRPr="00B004EE">
        <w:rPr>
          <w:rFonts w:ascii="Tahoma" w:hAnsi="Tahoma" w:cs="Tahoma"/>
          <w:sz w:val="20"/>
          <w:szCs w:val="20"/>
        </w:rPr>
        <w:t>leur</w:t>
      </w:r>
      <w:r w:rsidR="00DB1635" w:rsidRPr="00B004EE">
        <w:rPr>
          <w:rFonts w:ascii="Tahoma" w:hAnsi="Tahoma" w:cs="Tahoma"/>
          <w:spacing w:val="-36"/>
          <w:sz w:val="20"/>
          <w:szCs w:val="20"/>
        </w:rPr>
        <w:t xml:space="preserve"> </w:t>
      </w:r>
      <w:r w:rsidRPr="00B004EE">
        <w:rPr>
          <w:rFonts w:ascii="Tahoma" w:hAnsi="Tahoma" w:cs="Tahoma"/>
          <w:sz w:val="20"/>
          <w:szCs w:val="20"/>
        </w:rPr>
        <w:t>stockage,</w:t>
      </w:r>
      <w:r w:rsidR="00DB1635" w:rsidRPr="00B004EE">
        <w:rPr>
          <w:rFonts w:ascii="Tahoma" w:hAnsi="Tahoma" w:cs="Tahoma"/>
          <w:spacing w:val="-35"/>
          <w:sz w:val="20"/>
          <w:szCs w:val="20"/>
        </w:rPr>
        <w:t xml:space="preserve"> </w:t>
      </w:r>
      <w:r w:rsidRPr="00B004EE">
        <w:rPr>
          <w:rFonts w:ascii="Tahoma" w:hAnsi="Tahoma" w:cs="Tahoma"/>
          <w:sz w:val="20"/>
          <w:szCs w:val="20"/>
        </w:rPr>
        <w:t>traitement</w:t>
      </w:r>
      <w:r w:rsidR="00DB1635" w:rsidRPr="00B004EE">
        <w:rPr>
          <w:rFonts w:ascii="Tahoma" w:hAnsi="Tahoma" w:cs="Tahoma"/>
          <w:spacing w:val="-35"/>
          <w:sz w:val="20"/>
          <w:szCs w:val="20"/>
        </w:rPr>
        <w:t xml:space="preserve"> </w:t>
      </w:r>
      <w:r w:rsidRPr="00B004EE">
        <w:rPr>
          <w:rFonts w:ascii="Tahoma" w:hAnsi="Tahoma" w:cs="Tahoma"/>
          <w:sz w:val="20"/>
          <w:szCs w:val="20"/>
        </w:rPr>
        <w:t>ou</w:t>
      </w:r>
      <w:r w:rsidR="00DB1635" w:rsidRPr="00B004EE">
        <w:rPr>
          <w:rFonts w:ascii="Tahoma" w:hAnsi="Tahoma" w:cs="Tahoma"/>
          <w:spacing w:val="-34"/>
          <w:sz w:val="20"/>
          <w:szCs w:val="20"/>
        </w:rPr>
        <w:t xml:space="preserve"> </w:t>
      </w:r>
      <w:r w:rsidRPr="00B004EE">
        <w:rPr>
          <w:rFonts w:ascii="Tahoma" w:hAnsi="Tahoma" w:cs="Tahoma"/>
          <w:sz w:val="20"/>
          <w:szCs w:val="20"/>
        </w:rPr>
        <w:t>transformation,</w:t>
      </w:r>
      <w:r w:rsidR="00DB1635" w:rsidRPr="00B004EE">
        <w:rPr>
          <w:rFonts w:ascii="Tahoma" w:hAnsi="Tahoma" w:cs="Tahoma"/>
          <w:spacing w:val="-35"/>
          <w:sz w:val="20"/>
          <w:szCs w:val="20"/>
        </w:rPr>
        <w:t xml:space="preserve"> </w:t>
      </w:r>
      <w:r w:rsidRPr="00B004EE">
        <w:rPr>
          <w:rFonts w:ascii="Tahoma" w:hAnsi="Tahoma" w:cs="Tahoma"/>
          <w:sz w:val="20"/>
          <w:szCs w:val="20"/>
        </w:rPr>
        <w:t>et</w:t>
      </w:r>
      <w:r w:rsidR="00DB1635" w:rsidRPr="00B004EE">
        <w:rPr>
          <w:rFonts w:ascii="Tahoma" w:hAnsi="Tahoma" w:cs="Tahoma"/>
          <w:spacing w:val="-35"/>
          <w:sz w:val="20"/>
          <w:szCs w:val="20"/>
        </w:rPr>
        <w:t xml:space="preserve"> </w:t>
      </w:r>
      <w:r w:rsidRPr="00B004EE">
        <w:rPr>
          <w:rFonts w:ascii="Tahoma" w:hAnsi="Tahoma" w:cs="Tahoma"/>
          <w:sz w:val="20"/>
          <w:szCs w:val="20"/>
        </w:rPr>
        <w:t>exportation.</w:t>
      </w:r>
    </w:p>
    <w:p w14:paraId="070794B2" w14:textId="783FB1CF" w:rsidR="001E7C3C" w:rsidRPr="00B004EE" w:rsidRDefault="001E7C3C" w:rsidP="00B004EE">
      <w:pPr>
        <w:pStyle w:val="Corpsdetexte"/>
        <w:ind w:right="164"/>
        <w:rPr>
          <w:rFonts w:ascii="Tahoma" w:hAnsi="Tahoma" w:cs="Tahoma"/>
          <w:w w:val="95"/>
          <w:sz w:val="20"/>
          <w:szCs w:val="20"/>
          <w:rtl/>
        </w:rPr>
      </w:pP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considérés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sens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législation</w:t>
      </w:r>
      <w:r w:rsidR="00DB1635" w:rsidRPr="00B004EE">
        <w:rPr>
          <w:rFonts w:ascii="Tahoma" w:hAnsi="Tahoma" w:cs="Tahoma"/>
          <w:sz w:val="20"/>
          <w:szCs w:val="20"/>
        </w:rPr>
        <w:t xml:space="preserve"> </w:t>
      </w:r>
      <w:r w:rsidRPr="00B004EE">
        <w:rPr>
          <w:rFonts w:ascii="Tahoma" w:hAnsi="Tahoma" w:cs="Tahoma"/>
          <w:sz w:val="20"/>
          <w:szCs w:val="20"/>
        </w:rPr>
        <w:t>sur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pacing w:val="41"/>
          <w:sz w:val="20"/>
          <w:szCs w:val="20"/>
        </w:rPr>
        <w:t xml:space="preserve"> </w:t>
      </w:r>
      <w:r w:rsidRPr="00B004EE">
        <w:rPr>
          <w:rFonts w:ascii="Tahoma" w:hAnsi="Tahoma" w:cs="Tahoma"/>
          <w:sz w:val="20"/>
          <w:szCs w:val="20"/>
        </w:rPr>
        <w:t>ses</w:t>
      </w:r>
      <w:r w:rsidR="00DB1635" w:rsidRPr="00B004EE">
        <w:rPr>
          <w:rFonts w:ascii="Tahoma" w:hAnsi="Tahoma" w:cs="Tahoma"/>
          <w:w w:val="94"/>
          <w:sz w:val="20"/>
          <w:szCs w:val="20"/>
        </w:rPr>
        <w:t xml:space="preserve"> </w:t>
      </w:r>
      <w:r w:rsidRPr="00B004EE">
        <w:rPr>
          <w:rFonts w:ascii="Tahoma" w:eastAsia="American Typewriter" w:hAnsi="Tahoma" w:cs="Tahoma"/>
          <w:sz w:val="20"/>
          <w:szCs w:val="20"/>
        </w:rPr>
        <w:t>règlement</w:t>
      </w:r>
      <w:r w:rsidR="00DB1635" w:rsidRPr="00B004EE">
        <w:rPr>
          <w:rFonts w:ascii="Tahoma" w:eastAsia="American Typewriter" w:hAnsi="Tahoma" w:cs="Tahoma"/>
          <w:spacing w:val="45"/>
          <w:sz w:val="20"/>
          <w:szCs w:val="20"/>
        </w:rPr>
        <w:t xml:space="preserve"> </w:t>
      </w:r>
      <w:r w:rsidRPr="00B004EE">
        <w:rPr>
          <w:rFonts w:ascii="Tahoma" w:eastAsia="American Typewriter" w:hAnsi="Tahoma" w:cs="Tahoma"/>
          <w:sz w:val="20"/>
          <w:szCs w:val="20"/>
        </w:rPr>
        <w:t>d’application,</w:t>
      </w:r>
      <w:r w:rsidR="00DB1635" w:rsidRPr="00B004EE">
        <w:rPr>
          <w:rFonts w:ascii="Tahoma" w:eastAsia="American Typewriter" w:hAnsi="Tahoma" w:cs="Tahoma"/>
          <w:spacing w:val="45"/>
          <w:sz w:val="20"/>
          <w:szCs w:val="20"/>
        </w:rPr>
        <w:t xml:space="preserve"> </w:t>
      </w:r>
      <w:r w:rsidRPr="00B004EE">
        <w:rPr>
          <w:rFonts w:ascii="Tahoma" w:eastAsia="American Typewriter" w:hAnsi="Tahoma" w:cs="Tahoma"/>
          <w:sz w:val="20"/>
          <w:szCs w:val="20"/>
        </w:rPr>
        <w:t>tous</w:t>
      </w:r>
      <w:r w:rsidR="00DB1635" w:rsidRPr="00B004EE">
        <w:rPr>
          <w:rFonts w:ascii="Tahoma" w:eastAsia="American Typewriter" w:hAnsi="Tahoma" w:cs="Tahoma"/>
          <w:spacing w:val="44"/>
          <w:sz w:val="20"/>
          <w:szCs w:val="20"/>
        </w:rPr>
        <w:t xml:space="preserve"> </w:t>
      </w:r>
      <w:r w:rsidRPr="00B004EE">
        <w:rPr>
          <w:rFonts w:ascii="Tahoma" w:eastAsia="American Typewriter" w:hAnsi="Tahoma" w:cs="Tahoma"/>
          <w:sz w:val="20"/>
          <w:szCs w:val="20"/>
        </w:rPr>
        <w:t>les</w:t>
      </w:r>
      <w:r w:rsidR="00DB1635" w:rsidRPr="00B004EE">
        <w:rPr>
          <w:rFonts w:ascii="Tahoma" w:eastAsia="American Typewriter" w:hAnsi="Tahoma" w:cs="Tahoma"/>
          <w:spacing w:val="44"/>
          <w:sz w:val="20"/>
          <w:szCs w:val="20"/>
        </w:rPr>
        <w:t xml:space="preserve"> </w:t>
      </w:r>
      <w:r w:rsidRPr="00B004EE">
        <w:rPr>
          <w:rFonts w:ascii="Tahoma" w:eastAsia="American Typewriter" w:hAnsi="Tahoma" w:cs="Tahoma"/>
          <w:sz w:val="20"/>
          <w:szCs w:val="20"/>
        </w:rPr>
        <w:t>animaux</w:t>
      </w:r>
      <w:r w:rsidR="00DB1635" w:rsidRPr="00B004EE">
        <w:rPr>
          <w:rFonts w:ascii="Tahoma" w:eastAsia="American Typewriter" w:hAnsi="Tahoma" w:cs="Tahoma"/>
          <w:spacing w:val="45"/>
          <w:sz w:val="20"/>
          <w:szCs w:val="20"/>
        </w:rPr>
        <w:t xml:space="preserve"> </w:t>
      </w:r>
      <w:r w:rsidRPr="00B004EE">
        <w:rPr>
          <w:rFonts w:ascii="Tahoma" w:eastAsia="American Typewriter" w:hAnsi="Tahoma" w:cs="Tahoma"/>
          <w:sz w:val="20"/>
          <w:szCs w:val="20"/>
        </w:rPr>
        <w:t>ou</w:t>
      </w:r>
      <w:r w:rsidR="00DB1635" w:rsidRPr="00B004EE">
        <w:rPr>
          <w:rFonts w:ascii="Tahoma" w:eastAsia="American Typewriter" w:hAnsi="Tahoma" w:cs="Tahoma"/>
          <w:spacing w:val="44"/>
          <w:sz w:val="20"/>
          <w:szCs w:val="20"/>
        </w:rPr>
        <w:t xml:space="preserve"> </w:t>
      </w:r>
      <w:r w:rsidRPr="00B004EE">
        <w:rPr>
          <w:rFonts w:ascii="Tahoma" w:eastAsia="American Typewriter" w:hAnsi="Tahoma" w:cs="Tahoma"/>
          <w:sz w:val="20"/>
          <w:szCs w:val="20"/>
        </w:rPr>
        <w:t>parties</w:t>
      </w:r>
      <w:r w:rsidR="00DB1635" w:rsidRPr="00B004EE">
        <w:rPr>
          <w:rFonts w:ascii="Tahoma" w:eastAsia="American Typewriter" w:hAnsi="Tahoma" w:cs="Tahoma"/>
          <w:spacing w:val="44"/>
          <w:sz w:val="20"/>
          <w:szCs w:val="20"/>
        </w:rPr>
        <w:t xml:space="preserve"> </w:t>
      </w:r>
      <w:r w:rsidRPr="00B004EE">
        <w:rPr>
          <w:rFonts w:ascii="Tahoma" w:eastAsia="American Typewriter" w:hAnsi="Tahoma" w:cs="Tahoma"/>
          <w:sz w:val="20"/>
          <w:szCs w:val="20"/>
        </w:rPr>
        <w:t>d’animaux</w:t>
      </w:r>
      <w:r w:rsidR="00DB1635" w:rsidRPr="00B004EE">
        <w:rPr>
          <w:rFonts w:ascii="Tahoma" w:eastAsia="American Typewriter" w:hAnsi="Tahoma" w:cs="Tahoma"/>
          <w:spacing w:val="45"/>
          <w:sz w:val="20"/>
          <w:szCs w:val="20"/>
        </w:rPr>
        <w:t xml:space="preserve"> </w:t>
      </w:r>
      <w:r w:rsidRPr="00B004EE">
        <w:rPr>
          <w:rFonts w:ascii="Tahoma" w:eastAsia="American Typewriter" w:hAnsi="Tahoma" w:cs="Tahoma"/>
          <w:sz w:val="20"/>
          <w:szCs w:val="20"/>
        </w:rPr>
        <w:t>aquatiques</w:t>
      </w:r>
      <w:r w:rsidR="00DB1635" w:rsidRPr="00B004EE">
        <w:rPr>
          <w:rFonts w:ascii="Tahoma" w:eastAsia="American Typewriter" w:hAnsi="Tahoma" w:cs="Tahoma"/>
          <w:spacing w:val="43"/>
          <w:sz w:val="20"/>
          <w:szCs w:val="20"/>
        </w:rPr>
        <w:t xml:space="preserve"> </w:t>
      </w:r>
      <w:r w:rsidRPr="00B004EE">
        <w:rPr>
          <w:rFonts w:ascii="Tahoma" w:eastAsia="American Typewriter" w:hAnsi="Tahoma" w:cs="Tahoma"/>
          <w:sz w:val="20"/>
          <w:szCs w:val="20"/>
        </w:rPr>
        <w:t>y</w:t>
      </w:r>
      <w:r w:rsidR="00DB1635" w:rsidRPr="00B004EE">
        <w:rPr>
          <w:rFonts w:ascii="Tahoma" w:eastAsia="American Typewriter" w:hAnsi="Tahoma" w:cs="Tahoma"/>
          <w:w w:val="89"/>
          <w:sz w:val="20"/>
          <w:szCs w:val="20"/>
        </w:rPr>
        <w:t xml:space="preserve"> </w:t>
      </w:r>
      <w:r w:rsidRPr="00B004EE">
        <w:rPr>
          <w:rFonts w:ascii="Tahoma" w:eastAsia="American Typewriter" w:hAnsi="Tahoma" w:cs="Tahoma"/>
          <w:sz w:val="20"/>
          <w:szCs w:val="20"/>
        </w:rPr>
        <w:t>compris</w:t>
      </w:r>
      <w:r w:rsidR="00DB1635" w:rsidRPr="00B004EE">
        <w:rPr>
          <w:rFonts w:ascii="Tahoma" w:eastAsia="American Typewriter" w:hAnsi="Tahoma" w:cs="Tahoma"/>
          <w:spacing w:val="30"/>
          <w:sz w:val="20"/>
          <w:szCs w:val="20"/>
        </w:rPr>
        <w:t xml:space="preserve"> </w:t>
      </w:r>
      <w:r w:rsidRPr="00B004EE">
        <w:rPr>
          <w:rFonts w:ascii="Tahoma" w:eastAsia="American Typewriter" w:hAnsi="Tahoma" w:cs="Tahoma"/>
          <w:sz w:val="20"/>
          <w:szCs w:val="20"/>
        </w:rPr>
        <w:t>leurs</w:t>
      </w:r>
      <w:r w:rsidR="00DB1635" w:rsidRPr="00B004EE">
        <w:rPr>
          <w:rFonts w:ascii="Tahoma" w:eastAsia="American Typewriter" w:hAnsi="Tahoma" w:cs="Tahoma"/>
          <w:spacing w:val="30"/>
          <w:sz w:val="20"/>
          <w:szCs w:val="20"/>
        </w:rPr>
        <w:t xml:space="preserve"> </w:t>
      </w:r>
      <w:r w:rsidRPr="00B004EE">
        <w:rPr>
          <w:rFonts w:ascii="Tahoma" w:eastAsia="American Typewriter" w:hAnsi="Tahoma" w:cs="Tahoma"/>
          <w:sz w:val="20"/>
          <w:szCs w:val="20"/>
        </w:rPr>
        <w:t>œufs</w:t>
      </w:r>
      <w:r w:rsidR="00DB1635" w:rsidRPr="00B004EE">
        <w:rPr>
          <w:rFonts w:ascii="Tahoma" w:eastAsia="American Typewriter" w:hAnsi="Tahoma" w:cs="Tahoma"/>
          <w:spacing w:val="30"/>
          <w:sz w:val="20"/>
          <w:szCs w:val="20"/>
        </w:rPr>
        <w:t xml:space="preserve"> </w:t>
      </w:r>
      <w:r w:rsidRPr="00B004EE">
        <w:rPr>
          <w:rFonts w:ascii="Tahoma" w:eastAsia="American Typewriter" w:hAnsi="Tahoma" w:cs="Tahoma"/>
          <w:sz w:val="20"/>
          <w:szCs w:val="20"/>
        </w:rPr>
        <w:t>et</w:t>
      </w:r>
      <w:r w:rsidR="00DB1635" w:rsidRPr="00B004EE">
        <w:rPr>
          <w:rFonts w:ascii="Tahoma" w:eastAsia="American Typewriter" w:hAnsi="Tahoma" w:cs="Tahoma"/>
          <w:spacing w:val="30"/>
          <w:sz w:val="20"/>
          <w:szCs w:val="20"/>
        </w:rPr>
        <w:t xml:space="preserve"> </w:t>
      </w:r>
      <w:r w:rsidRPr="00B004EE">
        <w:rPr>
          <w:rFonts w:ascii="Tahoma" w:eastAsia="American Typewriter" w:hAnsi="Tahoma" w:cs="Tahoma"/>
          <w:sz w:val="20"/>
          <w:szCs w:val="20"/>
        </w:rPr>
        <w:t>laitances,</w:t>
      </w:r>
      <w:r w:rsidR="00DB1635" w:rsidRPr="00B004EE">
        <w:rPr>
          <w:rFonts w:ascii="Tahoma" w:eastAsia="American Typewriter" w:hAnsi="Tahoma" w:cs="Tahoma"/>
          <w:spacing w:val="30"/>
          <w:sz w:val="20"/>
          <w:szCs w:val="20"/>
        </w:rPr>
        <w:t xml:space="preserve"> </w:t>
      </w:r>
      <w:r w:rsidRPr="00B004EE">
        <w:rPr>
          <w:rFonts w:ascii="Tahoma" w:eastAsia="American Typewriter" w:hAnsi="Tahoma" w:cs="Tahoma"/>
          <w:sz w:val="20"/>
          <w:szCs w:val="20"/>
        </w:rPr>
        <w:t>à</w:t>
      </w:r>
      <w:r w:rsidR="00DB1635" w:rsidRPr="00B004EE">
        <w:rPr>
          <w:rFonts w:ascii="Tahoma" w:eastAsia="American Typewriter" w:hAnsi="Tahoma" w:cs="Tahoma"/>
          <w:spacing w:val="31"/>
          <w:sz w:val="20"/>
          <w:szCs w:val="20"/>
        </w:rPr>
        <w:t xml:space="preserve"> </w:t>
      </w:r>
      <w:r w:rsidRPr="00B004EE">
        <w:rPr>
          <w:rFonts w:ascii="Tahoma" w:eastAsia="American Typewriter" w:hAnsi="Tahoma" w:cs="Tahoma"/>
          <w:sz w:val="20"/>
          <w:szCs w:val="20"/>
        </w:rPr>
        <w:t>l’exclusion</w:t>
      </w:r>
      <w:r w:rsidR="00DB1635" w:rsidRPr="00B004EE">
        <w:rPr>
          <w:rFonts w:ascii="Tahoma" w:eastAsia="American Typewriter" w:hAnsi="Tahoma" w:cs="Tahoma"/>
          <w:spacing w:val="30"/>
          <w:sz w:val="20"/>
          <w:szCs w:val="20"/>
        </w:rPr>
        <w:t xml:space="preserve"> </w:t>
      </w:r>
      <w:r w:rsidRPr="00B004EE">
        <w:rPr>
          <w:rFonts w:ascii="Tahoma" w:eastAsia="American Typewriter" w:hAnsi="Tahoma" w:cs="Tahoma"/>
          <w:sz w:val="20"/>
          <w:szCs w:val="20"/>
        </w:rPr>
        <w:t>des</w:t>
      </w:r>
      <w:r w:rsidR="00DB1635" w:rsidRPr="00B004EE">
        <w:rPr>
          <w:rFonts w:ascii="Tahoma" w:eastAsia="American Typewriter" w:hAnsi="Tahoma" w:cs="Tahoma"/>
          <w:spacing w:val="28"/>
          <w:sz w:val="20"/>
          <w:szCs w:val="20"/>
        </w:rPr>
        <w:t xml:space="preserve"> </w:t>
      </w:r>
      <w:r w:rsidRPr="00B004EE">
        <w:rPr>
          <w:rFonts w:ascii="Tahoma" w:eastAsia="American Typewriter" w:hAnsi="Tahoma" w:cs="Tahoma"/>
          <w:sz w:val="20"/>
          <w:szCs w:val="20"/>
        </w:rPr>
        <w:t>mammifères</w:t>
      </w:r>
      <w:r w:rsidR="00DB1635" w:rsidRPr="00B004EE">
        <w:rPr>
          <w:rFonts w:ascii="Tahoma" w:eastAsia="American Typewriter" w:hAnsi="Tahoma" w:cs="Tahoma"/>
          <w:spacing w:val="28"/>
          <w:sz w:val="20"/>
          <w:szCs w:val="20"/>
        </w:rPr>
        <w:t xml:space="preserve"> </w:t>
      </w:r>
      <w:r w:rsidRPr="00B004EE">
        <w:rPr>
          <w:rFonts w:ascii="Tahoma" w:eastAsia="American Typewriter" w:hAnsi="Tahoma" w:cs="Tahoma"/>
          <w:sz w:val="20"/>
          <w:szCs w:val="20"/>
        </w:rPr>
        <w:t>aquatiques,</w:t>
      </w:r>
      <w:r w:rsidR="00DB1635" w:rsidRPr="00B004EE">
        <w:rPr>
          <w:rFonts w:ascii="Tahoma" w:eastAsia="American Typewriter" w:hAnsi="Tahoma" w:cs="Tahoma"/>
          <w:spacing w:val="29"/>
          <w:sz w:val="20"/>
          <w:szCs w:val="20"/>
        </w:rPr>
        <w:t xml:space="preserve"> </w:t>
      </w:r>
      <w:r w:rsidRPr="00B004EE">
        <w:rPr>
          <w:rFonts w:ascii="Tahoma" w:eastAsia="American Typewriter" w:hAnsi="Tahoma" w:cs="Tahoma"/>
          <w:sz w:val="20"/>
          <w:szCs w:val="20"/>
        </w:rPr>
        <w:t>des</w:t>
      </w:r>
      <w:r w:rsidR="00DB1635" w:rsidRPr="00B004EE">
        <w:rPr>
          <w:rFonts w:ascii="Tahoma" w:eastAsia="American Typewriter" w:hAnsi="Tahoma" w:cs="Tahoma"/>
          <w:w w:val="94"/>
          <w:sz w:val="20"/>
          <w:szCs w:val="20"/>
        </w:rPr>
        <w:t xml:space="preserve"> </w:t>
      </w:r>
      <w:r w:rsidRPr="00B004EE">
        <w:rPr>
          <w:rFonts w:ascii="Tahoma" w:hAnsi="Tahoma" w:cs="Tahoma"/>
          <w:sz w:val="20"/>
          <w:szCs w:val="20"/>
        </w:rPr>
        <w:t>gr</w:t>
      </w:r>
      <w:r w:rsidRPr="00B004EE">
        <w:rPr>
          <w:rFonts w:ascii="Tahoma" w:eastAsia="American Typewriter" w:hAnsi="Tahoma" w:cs="Tahoma"/>
          <w:sz w:val="20"/>
          <w:szCs w:val="20"/>
        </w:rPr>
        <w:t>enouilles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et</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animaux</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aquatiques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faisant</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l’objet</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d’une</w:t>
      </w:r>
      <w:r w:rsidR="00DB1635" w:rsidRPr="00B004EE">
        <w:rPr>
          <w:rFonts w:ascii="Tahoma" w:eastAsia="American Typewriter" w:hAnsi="Tahoma" w:cs="Tahoma"/>
          <w:spacing w:val="34"/>
          <w:sz w:val="20"/>
          <w:szCs w:val="20"/>
        </w:rPr>
        <w:t xml:space="preserve"> </w:t>
      </w:r>
      <w:r w:rsidRPr="00B004EE">
        <w:rPr>
          <w:rFonts w:ascii="Tahoma" w:eastAsia="American Typewriter" w:hAnsi="Tahoma" w:cs="Tahoma"/>
          <w:sz w:val="20"/>
          <w:szCs w:val="20"/>
        </w:rPr>
        <w:t>réglementation</w:t>
      </w:r>
      <w:r w:rsidR="00DB1635" w:rsidRPr="00B004EE">
        <w:rPr>
          <w:rFonts w:ascii="Tahoma" w:eastAsia="American Typewriter" w:hAnsi="Tahoma" w:cs="Tahoma"/>
          <w:w w:val="93"/>
          <w:sz w:val="20"/>
          <w:szCs w:val="20"/>
        </w:rPr>
        <w:t xml:space="preserve"> </w:t>
      </w:r>
      <w:r w:rsidRPr="00B004EE">
        <w:rPr>
          <w:rFonts w:ascii="Tahoma" w:hAnsi="Tahoma" w:cs="Tahoma"/>
          <w:w w:val="95"/>
          <w:sz w:val="20"/>
          <w:szCs w:val="20"/>
        </w:rPr>
        <w:t>particulière</w:t>
      </w:r>
      <w:r w:rsidR="00DB1635" w:rsidRPr="00B004EE">
        <w:rPr>
          <w:rFonts w:ascii="Tahoma" w:hAnsi="Tahoma" w:cs="Tahoma"/>
          <w:w w:val="95"/>
          <w:sz w:val="20"/>
          <w:szCs w:val="20"/>
        </w:rPr>
        <w:t xml:space="preserve"> </w:t>
      </w:r>
      <w:r w:rsidRPr="00B004EE">
        <w:rPr>
          <w:rFonts w:ascii="Tahoma" w:hAnsi="Tahoma" w:cs="Tahoma"/>
          <w:w w:val="95"/>
          <w:sz w:val="20"/>
          <w:szCs w:val="20"/>
        </w:rPr>
        <w:t>concernant</w:t>
      </w:r>
      <w:r w:rsidR="00DB1635" w:rsidRPr="00B004EE">
        <w:rPr>
          <w:rFonts w:ascii="Tahoma" w:hAnsi="Tahoma" w:cs="Tahoma"/>
          <w:w w:val="95"/>
          <w:sz w:val="20"/>
          <w:szCs w:val="20"/>
        </w:rPr>
        <w:t xml:space="preserve"> </w:t>
      </w:r>
      <w:r w:rsidRPr="00B004EE">
        <w:rPr>
          <w:rFonts w:ascii="Tahoma" w:hAnsi="Tahoma" w:cs="Tahoma"/>
          <w:w w:val="95"/>
          <w:sz w:val="20"/>
          <w:szCs w:val="20"/>
        </w:rPr>
        <w:t>la</w:t>
      </w:r>
      <w:r w:rsidR="00DB1635" w:rsidRPr="00B004EE">
        <w:rPr>
          <w:rFonts w:ascii="Tahoma" w:hAnsi="Tahoma" w:cs="Tahoma"/>
          <w:spacing w:val="2"/>
          <w:w w:val="95"/>
          <w:sz w:val="20"/>
          <w:szCs w:val="20"/>
        </w:rPr>
        <w:t xml:space="preserve"> </w:t>
      </w:r>
      <w:r w:rsidRPr="00B004EE">
        <w:rPr>
          <w:rFonts w:ascii="Tahoma" w:hAnsi="Tahoma" w:cs="Tahoma"/>
          <w:w w:val="95"/>
          <w:sz w:val="20"/>
          <w:szCs w:val="20"/>
        </w:rPr>
        <w:t>conservation.</w:t>
      </w:r>
    </w:p>
    <w:p w14:paraId="456DED4C" w14:textId="77777777" w:rsidR="00E50532" w:rsidRPr="00B004EE" w:rsidRDefault="00E50532" w:rsidP="00B004EE">
      <w:pPr>
        <w:pStyle w:val="Corpsdetexte"/>
        <w:ind w:right="164"/>
        <w:rPr>
          <w:rFonts w:ascii="Tahoma" w:hAnsi="Tahoma" w:cs="Tahoma"/>
          <w:bCs/>
          <w:sz w:val="20"/>
          <w:szCs w:val="20"/>
        </w:rPr>
      </w:pPr>
    </w:p>
    <w:p w14:paraId="48E024BD" w14:textId="237ABF5E" w:rsidR="001E7C3C" w:rsidRPr="00B004EE" w:rsidRDefault="001E7C3C" w:rsidP="00B004EE">
      <w:pPr>
        <w:pStyle w:val="Corpsdetexte"/>
        <w:ind w:right="158"/>
        <w:rPr>
          <w:rFonts w:ascii="Tahoma" w:hAnsi="Tahoma" w:cs="Tahoma"/>
          <w:w w:val="95"/>
          <w:sz w:val="20"/>
          <w:szCs w:val="20"/>
          <w:rtl/>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41</w:t>
      </w:r>
      <w:r w:rsidR="00DB1635" w:rsidRPr="00B004EE">
        <w:rPr>
          <w:rFonts w:ascii="Tahoma" w:hAnsi="Tahoma" w:cs="Tahoma"/>
          <w:bCs/>
          <w:sz w:val="20"/>
          <w:szCs w:val="20"/>
        </w:rPr>
        <w:t xml:space="preserve"> </w:t>
      </w:r>
      <w:r w:rsidRPr="00B004EE">
        <w:rPr>
          <w:rFonts w:ascii="Tahoma" w:hAnsi="Tahoma" w:cs="Tahoma"/>
          <w:bCs/>
          <w:sz w:val="20"/>
          <w:szCs w:val="20"/>
        </w:rPr>
        <w:t>:</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sz w:val="20"/>
          <w:szCs w:val="20"/>
        </w:rPr>
        <w:t>Des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dérogations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à</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l’obligation</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débarquement</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produits</w:t>
      </w:r>
      <w:r w:rsidR="00DB1635" w:rsidRPr="00B004EE">
        <w:rPr>
          <w:rFonts w:ascii="Tahoma" w:eastAsia="American Typewriter" w:hAnsi="Tahoma" w:cs="Tahoma"/>
          <w:spacing w:val="30"/>
          <w:sz w:val="20"/>
          <w:szCs w:val="20"/>
        </w:rPr>
        <w:t xml:space="preserve"> </w:t>
      </w:r>
      <w:r w:rsidRPr="00B004EE">
        <w:rPr>
          <w:rFonts w:ascii="Tahoma" w:eastAsia="American Typewriter" w:hAnsi="Tahoma" w:cs="Tahoma"/>
          <w:sz w:val="20"/>
          <w:szCs w:val="20"/>
        </w:rPr>
        <w:t>prévue</w:t>
      </w:r>
      <w:r w:rsidR="00DB1635" w:rsidRPr="00B004EE">
        <w:rPr>
          <w:rFonts w:ascii="Tahoma" w:eastAsia="American Typewriter" w:hAnsi="Tahoma" w:cs="Tahoma"/>
          <w:w w:val="96"/>
          <w:sz w:val="20"/>
          <w:szCs w:val="20"/>
        </w:rPr>
        <w:t xml:space="preserve"> </w:t>
      </w:r>
      <w:r w:rsidRPr="00B004EE">
        <w:rPr>
          <w:rFonts w:ascii="Tahoma" w:hAnsi="Tahoma" w:cs="Tahoma"/>
          <w:sz w:val="20"/>
          <w:szCs w:val="20"/>
        </w:rPr>
        <w:t>aux</w:t>
      </w:r>
      <w:r w:rsidR="00DB1635" w:rsidRPr="00B004EE">
        <w:rPr>
          <w:rFonts w:ascii="Tahoma" w:hAnsi="Tahoma" w:cs="Tahoma"/>
          <w:spacing w:val="-31"/>
          <w:sz w:val="20"/>
          <w:szCs w:val="20"/>
        </w:rPr>
        <w:t xml:space="preserve"> </w:t>
      </w:r>
      <w:r w:rsidRPr="00B004EE">
        <w:rPr>
          <w:rFonts w:ascii="Tahoma" w:hAnsi="Tahoma" w:cs="Tahoma"/>
          <w:sz w:val="20"/>
          <w:szCs w:val="20"/>
        </w:rPr>
        <w:t>articles</w:t>
      </w:r>
      <w:r w:rsidR="00DB1635" w:rsidRPr="00B004EE">
        <w:rPr>
          <w:rFonts w:ascii="Tahoma" w:hAnsi="Tahoma" w:cs="Tahoma"/>
          <w:spacing w:val="-31"/>
          <w:sz w:val="20"/>
          <w:szCs w:val="20"/>
        </w:rPr>
        <w:t xml:space="preserve"> </w:t>
      </w:r>
      <w:r w:rsidRPr="00B004EE">
        <w:rPr>
          <w:rFonts w:ascii="Tahoma" w:hAnsi="Tahoma" w:cs="Tahoma"/>
          <w:sz w:val="20"/>
          <w:szCs w:val="20"/>
        </w:rPr>
        <w:t>33et</w:t>
      </w:r>
      <w:r w:rsidR="00DB1635" w:rsidRPr="00B004EE">
        <w:rPr>
          <w:rFonts w:ascii="Tahoma" w:hAnsi="Tahoma" w:cs="Tahoma"/>
          <w:spacing w:val="-30"/>
          <w:sz w:val="20"/>
          <w:szCs w:val="20"/>
        </w:rPr>
        <w:t xml:space="preserve"> </w:t>
      </w:r>
      <w:r w:rsidRPr="00B004EE">
        <w:rPr>
          <w:rFonts w:ascii="Tahoma" w:hAnsi="Tahoma" w:cs="Tahoma"/>
          <w:sz w:val="20"/>
          <w:szCs w:val="20"/>
        </w:rPr>
        <w:t>40</w:t>
      </w:r>
      <w:r w:rsidR="00DB1635" w:rsidRPr="00B004EE">
        <w:rPr>
          <w:rFonts w:ascii="Tahoma" w:hAnsi="Tahoma" w:cs="Tahoma"/>
          <w:spacing w:val="-31"/>
          <w:sz w:val="20"/>
          <w:szCs w:val="20"/>
        </w:rPr>
        <w:t xml:space="preserve"> </w:t>
      </w:r>
      <w:r w:rsidRPr="00B004EE">
        <w:rPr>
          <w:rFonts w:ascii="Tahoma" w:hAnsi="Tahoma" w:cs="Tahoma"/>
          <w:sz w:val="20"/>
          <w:szCs w:val="20"/>
        </w:rPr>
        <w:t>ci-dessus</w:t>
      </w:r>
      <w:r w:rsidR="00DB1635" w:rsidRPr="00B004EE">
        <w:rPr>
          <w:rFonts w:ascii="Tahoma" w:hAnsi="Tahoma" w:cs="Tahoma"/>
          <w:spacing w:val="-31"/>
          <w:sz w:val="20"/>
          <w:szCs w:val="20"/>
        </w:rPr>
        <w:t xml:space="preserve"> </w:t>
      </w:r>
      <w:r w:rsidRPr="00B004EE">
        <w:rPr>
          <w:rFonts w:ascii="Tahoma" w:hAnsi="Tahoma" w:cs="Tahoma"/>
          <w:sz w:val="20"/>
          <w:szCs w:val="20"/>
        </w:rPr>
        <w:t>peuvent</w:t>
      </w:r>
      <w:r w:rsidR="00DB1635" w:rsidRPr="00B004EE">
        <w:rPr>
          <w:rFonts w:ascii="Tahoma" w:hAnsi="Tahoma" w:cs="Tahoma"/>
          <w:spacing w:val="-31"/>
          <w:sz w:val="20"/>
          <w:szCs w:val="20"/>
        </w:rPr>
        <w:t xml:space="preserve"> </w:t>
      </w:r>
      <w:r w:rsidRPr="00B004EE">
        <w:rPr>
          <w:rFonts w:ascii="Tahoma" w:hAnsi="Tahoma" w:cs="Tahoma"/>
          <w:sz w:val="20"/>
          <w:szCs w:val="20"/>
        </w:rPr>
        <w:t>être</w:t>
      </w:r>
      <w:r w:rsidR="00DB1635" w:rsidRPr="00B004EE">
        <w:rPr>
          <w:rFonts w:ascii="Tahoma" w:hAnsi="Tahoma" w:cs="Tahoma"/>
          <w:spacing w:val="-31"/>
          <w:sz w:val="20"/>
          <w:szCs w:val="20"/>
        </w:rPr>
        <w:t xml:space="preserve"> </w:t>
      </w:r>
      <w:r w:rsidRPr="00B004EE">
        <w:rPr>
          <w:rFonts w:ascii="Tahoma" w:hAnsi="Tahoma" w:cs="Tahoma"/>
          <w:sz w:val="20"/>
          <w:szCs w:val="20"/>
        </w:rPr>
        <w:t>accordées</w:t>
      </w:r>
      <w:r w:rsidR="00DB1635" w:rsidRPr="00B004EE">
        <w:rPr>
          <w:rFonts w:ascii="Tahoma" w:hAnsi="Tahoma" w:cs="Tahoma"/>
          <w:spacing w:val="-31"/>
          <w:sz w:val="20"/>
          <w:szCs w:val="20"/>
        </w:rPr>
        <w:t xml:space="preserve"> </w:t>
      </w:r>
      <w:r w:rsidRPr="00B004EE">
        <w:rPr>
          <w:rFonts w:ascii="Tahoma" w:hAnsi="Tahoma" w:cs="Tahoma"/>
          <w:sz w:val="20"/>
          <w:szCs w:val="20"/>
        </w:rPr>
        <w:t>aux</w:t>
      </w:r>
      <w:r w:rsidR="00DB1635" w:rsidRPr="00B004EE">
        <w:rPr>
          <w:rFonts w:ascii="Tahoma" w:hAnsi="Tahoma" w:cs="Tahoma"/>
          <w:spacing w:val="-31"/>
          <w:sz w:val="20"/>
          <w:szCs w:val="20"/>
        </w:rPr>
        <w:t xml:space="preserve"> </w:t>
      </w:r>
      <w:r w:rsidRPr="00B004EE">
        <w:rPr>
          <w:rFonts w:ascii="Tahoma" w:hAnsi="Tahoma" w:cs="Tahoma"/>
          <w:sz w:val="20"/>
          <w:szCs w:val="20"/>
        </w:rPr>
        <w:t>navires</w:t>
      </w:r>
      <w:r w:rsidR="00DB1635" w:rsidRPr="00B004EE">
        <w:rPr>
          <w:rFonts w:ascii="Tahoma" w:hAnsi="Tahoma" w:cs="Tahoma"/>
          <w:spacing w:val="-31"/>
          <w:sz w:val="20"/>
          <w:szCs w:val="20"/>
        </w:rPr>
        <w:t xml:space="preserve"> </w:t>
      </w:r>
      <w:r w:rsidRPr="00B004EE">
        <w:rPr>
          <w:rFonts w:ascii="Tahoma" w:hAnsi="Tahoma" w:cs="Tahoma"/>
          <w:sz w:val="20"/>
          <w:szCs w:val="20"/>
        </w:rPr>
        <w:t>de</w:t>
      </w:r>
      <w:r w:rsidR="00DB1635" w:rsidRPr="00B004EE">
        <w:rPr>
          <w:rFonts w:ascii="Tahoma" w:hAnsi="Tahoma" w:cs="Tahoma"/>
          <w:spacing w:val="-31"/>
          <w:sz w:val="20"/>
          <w:szCs w:val="20"/>
        </w:rPr>
        <w:t xml:space="preserve"> </w:t>
      </w:r>
      <w:r w:rsidRPr="00B004EE">
        <w:rPr>
          <w:rFonts w:ascii="Tahoma" w:hAnsi="Tahoma" w:cs="Tahoma"/>
          <w:sz w:val="20"/>
          <w:szCs w:val="20"/>
        </w:rPr>
        <w:t>pêche</w:t>
      </w:r>
      <w:r w:rsidR="00DB1635" w:rsidRPr="00B004EE">
        <w:rPr>
          <w:rFonts w:ascii="Tahoma" w:hAnsi="Tahoma" w:cs="Tahoma"/>
          <w:spacing w:val="-31"/>
          <w:sz w:val="20"/>
          <w:szCs w:val="20"/>
        </w:rPr>
        <w:t xml:space="preserve"> </w:t>
      </w:r>
      <w:r w:rsidRPr="00B004EE">
        <w:rPr>
          <w:rFonts w:ascii="Tahoma" w:hAnsi="Tahoma" w:cs="Tahoma"/>
          <w:sz w:val="20"/>
          <w:szCs w:val="20"/>
        </w:rPr>
        <w:t>opérant</w:t>
      </w:r>
      <w:r w:rsidR="00DB1635" w:rsidRPr="00B004EE">
        <w:rPr>
          <w:rFonts w:ascii="Tahoma" w:hAnsi="Tahoma" w:cs="Tahoma"/>
          <w:w w:val="96"/>
          <w:sz w:val="20"/>
          <w:szCs w:val="20"/>
        </w:rPr>
        <w:t xml:space="preserve"> </w:t>
      </w:r>
      <w:r w:rsidRPr="00B004EE">
        <w:rPr>
          <w:rFonts w:ascii="Tahoma" w:hAnsi="Tahoma" w:cs="Tahoma"/>
          <w:sz w:val="20"/>
          <w:szCs w:val="20"/>
        </w:rPr>
        <w:t>sous</w:t>
      </w:r>
      <w:r w:rsidR="00DB1635" w:rsidRPr="00B004EE">
        <w:rPr>
          <w:rFonts w:ascii="Tahoma" w:hAnsi="Tahoma" w:cs="Tahoma"/>
          <w:spacing w:val="-14"/>
          <w:sz w:val="20"/>
          <w:szCs w:val="20"/>
        </w:rPr>
        <w:t xml:space="preserve"> </w:t>
      </w:r>
      <w:r w:rsidRPr="00B004EE">
        <w:rPr>
          <w:rFonts w:ascii="Tahoma" w:hAnsi="Tahoma" w:cs="Tahoma"/>
          <w:sz w:val="20"/>
          <w:szCs w:val="20"/>
        </w:rPr>
        <w:t>le</w:t>
      </w:r>
      <w:r w:rsidR="00DB1635" w:rsidRPr="00B004EE">
        <w:rPr>
          <w:rFonts w:ascii="Tahoma" w:hAnsi="Tahoma" w:cs="Tahoma"/>
          <w:spacing w:val="-14"/>
          <w:sz w:val="20"/>
          <w:szCs w:val="20"/>
        </w:rPr>
        <w:t xml:space="preserve"> </w:t>
      </w:r>
      <w:r w:rsidRPr="00B004EE">
        <w:rPr>
          <w:rFonts w:ascii="Tahoma" w:hAnsi="Tahoma" w:cs="Tahoma"/>
          <w:sz w:val="20"/>
          <w:szCs w:val="20"/>
        </w:rPr>
        <w:t>régime</w:t>
      </w:r>
      <w:r w:rsidR="00DB1635" w:rsidRPr="00B004EE">
        <w:rPr>
          <w:rFonts w:ascii="Tahoma" w:hAnsi="Tahoma" w:cs="Tahoma"/>
          <w:spacing w:val="-13"/>
          <w:sz w:val="20"/>
          <w:szCs w:val="20"/>
        </w:rPr>
        <w:t xml:space="preserve"> </w:t>
      </w:r>
      <w:r w:rsidRPr="00B004EE">
        <w:rPr>
          <w:rFonts w:ascii="Tahoma" w:hAnsi="Tahoma" w:cs="Tahoma"/>
          <w:sz w:val="20"/>
          <w:szCs w:val="20"/>
        </w:rPr>
        <w:t>étranger,</w:t>
      </w:r>
      <w:r w:rsidR="00DB1635" w:rsidRPr="00B004EE">
        <w:rPr>
          <w:rFonts w:ascii="Tahoma" w:hAnsi="Tahoma" w:cs="Tahoma"/>
          <w:spacing w:val="-14"/>
          <w:sz w:val="20"/>
          <w:szCs w:val="20"/>
        </w:rPr>
        <w:t xml:space="preserve"> </w:t>
      </w:r>
      <w:r w:rsidRPr="00B004EE">
        <w:rPr>
          <w:rFonts w:ascii="Tahoma" w:hAnsi="Tahoma" w:cs="Tahoma"/>
          <w:sz w:val="20"/>
          <w:szCs w:val="20"/>
        </w:rPr>
        <w:t>pour</w:t>
      </w:r>
      <w:r w:rsidR="00DB1635" w:rsidRPr="00B004EE">
        <w:rPr>
          <w:rFonts w:ascii="Tahoma" w:hAnsi="Tahoma" w:cs="Tahoma"/>
          <w:spacing w:val="-15"/>
          <w:sz w:val="20"/>
          <w:szCs w:val="20"/>
        </w:rPr>
        <w:t xml:space="preserve"> </w:t>
      </w:r>
      <w:r w:rsidRPr="00B004EE">
        <w:rPr>
          <w:rFonts w:ascii="Tahoma" w:hAnsi="Tahoma" w:cs="Tahoma"/>
          <w:sz w:val="20"/>
          <w:szCs w:val="20"/>
        </w:rPr>
        <w:t>des</w:t>
      </w:r>
      <w:r w:rsidR="00DB1635" w:rsidRPr="00B004EE">
        <w:rPr>
          <w:rFonts w:ascii="Tahoma" w:hAnsi="Tahoma" w:cs="Tahoma"/>
          <w:spacing w:val="-15"/>
          <w:sz w:val="20"/>
          <w:szCs w:val="20"/>
        </w:rPr>
        <w:t xml:space="preserve"> </w:t>
      </w:r>
      <w:r w:rsidRPr="00B004EE">
        <w:rPr>
          <w:rFonts w:ascii="Tahoma" w:hAnsi="Tahoma" w:cs="Tahoma"/>
          <w:sz w:val="20"/>
          <w:szCs w:val="20"/>
        </w:rPr>
        <w:t>raisons</w:t>
      </w:r>
      <w:r w:rsidR="00DB1635" w:rsidRPr="00B004EE">
        <w:rPr>
          <w:rFonts w:ascii="Tahoma" w:hAnsi="Tahoma" w:cs="Tahoma"/>
          <w:spacing w:val="-15"/>
          <w:sz w:val="20"/>
          <w:szCs w:val="20"/>
        </w:rPr>
        <w:t xml:space="preserve"> </w:t>
      </w:r>
      <w:r w:rsidRPr="00B004EE">
        <w:rPr>
          <w:rFonts w:ascii="Tahoma" w:hAnsi="Tahoma" w:cs="Tahoma"/>
          <w:sz w:val="20"/>
          <w:szCs w:val="20"/>
        </w:rPr>
        <w:t>techniques,</w:t>
      </w:r>
      <w:r w:rsidR="00DB1635" w:rsidRPr="00B004EE">
        <w:rPr>
          <w:rFonts w:ascii="Tahoma" w:hAnsi="Tahoma" w:cs="Tahoma"/>
          <w:spacing w:val="-15"/>
          <w:sz w:val="20"/>
          <w:szCs w:val="20"/>
        </w:rPr>
        <w:t xml:space="preserve"> </w:t>
      </w:r>
      <w:r w:rsidRPr="00B004EE">
        <w:rPr>
          <w:rFonts w:ascii="Tahoma" w:hAnsi="Tahoma" w:cs="Tahoma"/>
          <w:sz w:val="20"/>
          <w:szCs w:val="20"/>
        </w:rPr>
        <w:t>économiques</w:t>
      </w:r>
      <w:r w:rsidR="00DB1635" w:rsidRPr="00B004EE">
        <w:rPr>
          <w:rFonts w:ascii="Tahoma" w:hAnsi="Tahoma" w:cs="Tahoma"/>
          <w:spacing w:val="-15"/>
          <w:sz w:val="20"/>
          <w:szCs w:val="20"/>
        </w:rPr>
        <w:t xml:space="preserve"> </w:t>
      </w:r>
      <w:r w:rsidRPr="00B004EE">
        <w:rPr>
          <w:rFonts w:ascii="Tahoma" w:hAnsi="Tahoma" w:cs="Tahoma"/>
          <w:sz w:val="20"/>
          <w:szCs w:val="20"/>
        </w:rPr>
        <w:t>ou</w:t>
      </w:r>
      <w:r w:rsidR="00DB1635" w:rsidRPr="00B004EE">
        <w:rPr>
          <w:rFonts w:ascii="Tahoma" w:hAnsi="Tahoma" w:cs="Tahoma"/>
          <w:spacing w:val="-15"/>
          <w:sz w:val="20"/>
          <w:szCs w:val="20"/>
        </w:rPr>
        <w:t xml:space="preserve"> </w:t>
      </w:r>
      <w:r w:rsidRPr="00B004EE">
        <w:rPr>
          <w:rFonts w:ascii="Tahoma" w:hAnsi="Tahoma" w:cs="Tahoma"/>
          <w:sz w:val="20"/>
          <w:szCs w:val="20"/>
        </w:rPr>
        <w:t>de</w:t>
      </w:r>
      <w:r w:rsidR="00DB1635" w:rsidRPr="00B004EE">
        <w:rPr>
          <w:rFonts w:ascii="Tahoma" w:hAnsi="Tahoma" w:cs="Tahoma"/>
          <w:spacing w:val="-15"/>
          <w:sz w:val="20"/>
          <w:szCs w:val="20"/>
        </w:rPr>
        <w:t xml:space="preserve"> </w:t>
      </w:r>
      <w:r w:rsidRPr="00B004EE">
        <w:rPr>
          <w:rFonts w:ascii="Tahoma" w:hAnsi="Tahoma" w:cs="Tahoma"/>
          <w:sz w:val="20"/>
          <w:szCs w:val="20"/>
        </w:rPr>
        <w:t>politique</w:t>
      </w:r>
      <w:r w:rsidR="00DB1635" w:rsidRPr="00B004EE">
        <w:rPr>
          <w:rFonts w:ascii="Tahoma" w:hAnsi="Tahoma" w:cs="Tahoma"/>
          <w:w w:val="96"/>
          <w:sz w:val="20"/>
          <w:szCs w:val="20"/>
        </w:rPr>
        <w:t xml:space="preserve"> </w:t>
      </w:r>
      <w:r w:rsidRPr="00B004EE">
        <w:rPr>
          <w:rFonts w:ascii="Tahoma" w:hAnsi="Tahoma" w:cs="Tahoma"/>
          <w:sz w:val="20"/>
          <w:szCs w:val="20"/>
        </w:rPr>
        <w:t>générale.</w:t>
      </w:r>
      <w:r w:rsidR="00DB1635" w:rsidRPr="00B004EE">
        <w:rPr>
          <w:rFonts w:ascii="Tahoma" w:hAnsi="Tahoma" w:cs="Tahoma"/>
          <w:spacing w:val="20"/>
          <w:sz w:val="20"/>
          <w:szCs w:val="20"/>
        </w:rPr>
        <w:t xml:space="preserve"> </w:t>
      </w:r>
      <w:r w:rsidRPr="00B004EE">
        <w:rPr>
          <w:rFonts w:ascii="Tahoma" w:hAnsi="Tahoma" w:cs="Tahoma"/>
          <w:sz w:val="20"/>
          <w:szCs w:val="20"/>
        </w:rPr>
        <w:t>Dans</w:t>
      </w:r>
      <w:r w:rsidR="00DB1635" w:rsidRPr="00B004EE">
        <w:rPr>
          <w:rFonts w:ascii="Tahoma" w:hAnsi="Tahoma" w:cs="Tahoma"/>
          <w:spacing w:val="39"/>
          <w:sz w:val="20"/>
          <w:szCs w:val="20"/>
        </w:rPr>
        <w:t xml:space="preserve"> </w:t>
      </w:r>
      <w:r w:rsidRPr="00B004EE">
        <w:rPr>
          <w:rFonts w:ascii="Tahoma" w:hAnsi="Tahoma" w:cs="Tahoma"/>
          <w:sz w:val="20"/>
          <w:szCs w:val="20"/>
        </w:rPr>
        <w:t>ce</w:t>
      </w:r>
      <w:r w:rsidR="00DB1635" w:rsidRPr="00B004EE">
        <w:rPr>
          <w:rFonts w:ascii="Tahoma" w:hAnsi="Tahoma" w:cs="Tahoma"/>
          <w:spacing w:val="39"/>
          <w:sz w:val="20"/>
          <w:szCs w:val="20"/>
        </w:rPr>
        <w:t xml:space="preserve"> </w:t>
      </w:r>
      <w:r w:rsidRPr="00B004EE">
        <w:rPr>
          <w:rFonts w:ascii="Tahoma" w:hAnsi="Tahoma" w:cs="Tahoma"/>
          <w:sz w:val="20"/>
          <w:szCs w:val="20"/>
        </w:rPr>
        <w:t>cas,</w:t>
      </w:r>
      <w:r w:rsidR="00DB1635" w:rsidRPr="00B004EE">
        <w:rPr>
          <w:rFonts w:ascii="Tahoma" w:hAnsi="Tahoma" w:cs="Tahoma"/>
          <w:spacing w:val="39"/>
          <w:sz w:val="20"/>
          <w:szCs w:val="20"/>
        </w:rPr>
        <w:t xml:space="preserve"> </w:t>
      </w:r>
      <w:r w:rsidRPr="00B004EE">
        <w:rPr>
          <w:rFonts w:ascii="Tahoma" w:hAnsi="Tahoma" w:cs="Tahoma"/>
          <w:sz w:val="20"/>
          <w:szCs w:val="20"/>
        </w:rPr>
        <w:t>ils</w:t>
      </w:r>
      <w:r w:rsidR="00DB1635" w:rsidRPr="00B004EE">
        <w:rPr>
          <w:rFonts w:ascii="Tahoma" w:hAnsi="Tahoma" w:cs="Tahoma"/>
          <w:spacing w:val="36"/>
          <w:sz w:val="20"/>
          <w:szCs w:val="20"/>
        </w:rPr>
        <w:t xml:space="preserve"> </w:t>
      </w:r>
      <w:r w:rsidRPr="00B004EE">
        <w:rPr>
          <w:rFonts w:ascii="Tahoma" w:hAnsi="Tahoma" w:cs="Tahoma"/>
          <w:sz w:val="20"/>
          <w:szCs w:val="20"/>
        </w:rPr>
        <w:t>sont</w:t>
      </w:r>
      <w:r w:rsidR="00DB1635" w:rsidRPr="00B004EE">
        <w:rPr>
          <w:rFonts w:ascii="Tahoma" w:hAnsi="Tahoma" w:cs="Tahoma"/>
          <w:spacing w:val="37"/>
          <w:sz w:val="20"/>
          <w:szCs w:val="20"/>
        </w:rPr>
        <w:t xml:space="preserve"> </w:t>
      </w:r>
      <w:r w:rsidRPr="00B004EE">
        <w:rPr>
          <w:rFonts w:ascii="Tahoma" w:hAnsi="Tahoma" w:cs="Tahoma"/>
          <w:sz w:val="20"/>
          <w:szCs w:val="20"/>
        </w:rPr>
        <w:t>astreints</w:t>
      </w:r>
      <w:r w:rsidR="00DB1635" w:rsidRPr="00B004EE">
        <w:rPr>
          <w:rFonts w:ascii="Tahoma" w:hAnsi="Tahoma" w:cs="Tahoma"/>
          <w:spacing w:val="36"/>
          <w:sz w:val="20"/>
          <w:szCs w:val="20"/>
        </w:rPr>
        <w:t xml:space="preserve"> </w:t>
      </w:r>
      <w:r w:rsidRPr="00B004EE">
        <w:rPr>
          <w:rFonts w:ascii="Tahoma" w:hAnsi="Tahoma" w:cs="Tahoma"/>
          <w:sz w:val="20"/>
          <w:szCs w:val="20"/>
        </w:rPr>
        <w:t>au</w:t>
      </w:r>
      <w:r w:rsidR="00DB1635" w:rsidRPr="00B004EE">
        <w:rPr>
          <w:rFonts w:ascii="Tahoma" w:hAnsi="Tahoma" w:cs="Tahoma"/>
          <w:spacing w:val="37"/>
          <w:sz w:val="20"/>
          <w:szCs w:val="20"/>
        </w:rPr>
        <w:t xml:space="preserve"> </w:t>
      </w:r>
      <w:r w:rsidRPr="00B004EE">
        <w:rPr>
          <w:rFonts w:ascii="Tahoma" w:hAnsi="Tahoma" w:cs="Tahoma"/>
          <w:sz w:val="20"/>
          <w:szCs w:val="20"/>
        </w:rPr>
        <w:t>transbordement</w:t>
      </w:r>
      <w:r w:rsidR="00DB1635" w:rsidRPr="00B004EE">
        <w:rPr>
          <w:rFonts w:ascii="Tahoma" w:hAnsi="Tahoma" w:cs="Tahoma"/>
          <w:spacing w:val="37"/>
          <w:sz w:val="20"/>
          <w:szCs w:val="20"/>
        </w:rPr>
        <w:t xml:space="preserve"> </w:t>
      </w:r>
      <w:r w:rsidRPr="00B004EE">
        <w:rPr>
          <w:rFonts w:ascii="Tahoma" w:hAnsi="Tahoma" w:cs="Tahoma"/>
          <w:sz w:val="20"/>
          <w:szCs w:val="20"/>
        </w:rPr>
        <w:t>en</w:t>
      </w:r>
      <w:r w:rsidR="00DB1635" w:rsidRPr="00B004EE">
        <w:rPr>
          <w:rFonts w:ascii="Tahoma" w:hAnsi="Tahoma" w:cs="Tahoma"/>
          <w:spacing w:val="37"/>
          <w:sz w:val="20"/>
          <w:szCs w:val="20"/>
        </w:rPr>
        <w:t xml:space="preserve"> </w:t>
      </w:r>
      <w:r w:rsidRPr="00B004EE">
        <w:rPr>
          <w:rFonts w:ascii="Tahoma" w:hAnsi="Tahoma" w:cs="Tahoma"/>
          <w:sz w:val="20"/>
          <w:szCs w:val="20"/>
        </w:rPr>
        <w:t>rade</w:t>
      </w:r>
      <w:r w:rsidR="00DB1635" w:rsidRPr="00B004EE">
        <w:rPr>
          <w:rFonts w:ascii="Tahoma" w:hAnsi="Tahoma" w:cs="Tahoma"/>
          <w:spacing w:val="37"/>
          <w:sz w:val="20"/>
          <w:szCs w:val="20"/>
        </w:rPr>
        <w:t xml:space="preserve"> </w:t>
      </w:r>
      <w:r w:rsidRPr="00B004EE">
        <w:rPr>
          <w:rFonts w:ascii="Tahoma" w:hAnsi="Tahoma" w:cs="Tahoma"/>
          <w:sz w:val="20"/>
          <w:szCs w:val="20"/>
        </w:rPr>
        <w:t>de</w:t>
      </w:r>
      <w:r w:rsidR="00DB1635" w:rsidRPr="00B004EE">
        <w:rPr>
          <w:rFonts w:ascii="Tahoma" w:hAnsi="Tahoma" w:cs="Tahoma"/>
          <w:spacing w:val="37"/>
          <w:sz w:val="20"/>
          <w:szCs w:val="20"/>
        </w:rPr>
        <w:t xml:space="preserve"> </w:t>
      </w:r>
      <w:r w:rsidRPr="00B004EE">
        <w:rPr>
          <w:rFonts w:ascii="Tahoma" w:hAnsi="Tahoma" w:cs="Tahoma"/>
          <w:sz w:val="20"/>
          <w:szCs w:val="20"/>
        </w:rPr>
        <w:t>leurs</w:t>
      </w:r>
      <w:r w:rsidR="00DB1635" w:rsidRPr="00B004EE">
        <w:rPr>
          <w:rFonts w:ascii="Tahoma" w:hAnsi="Tahoma" w:cs="Tahoma"/>
          <w:w w:val="94"/>
          <w:sz w:val="20"/>
          <w:szCs w:val="20"/>
        </w:rPr>
        <w:t xml:space="preserve"> </w:t>
      </w:r>
      <w:r w:rsidRPr="00B004EE">
        <w:rPr>
          <w:rFonts w:ascii="Tahoma" w:hAnsi="Tahoma" w:cs="Tahoma"/>
          <w:w w:val="95"/>
          <w:sz w:val="20"/>
          <w:szCs w:val="20"/>
        </w:rPr>
        <w:t>captures</w:t>
      </w:r>
      <w:r w:rsidR="00DB1635" w:rsidRPr="00B004EE">
        <w:rPr>
          <w:rFonts w:ascii="Tahoma" w:hAnsi="Tahoma" w:cs="Tahoma"/>
          <w:w w:val="95"/>
          <w:sz w:val="20"/>
          <w:szCs w:val="20"/>
        </w:rPr>
        <w:t xml:space="preserve"> </w:t>
      </w:r>
      <w:r w:rsidRPr="00B004EE">
        <w:rPr>
          <w:rFonts w:ascii="Tahoma" w:hAnsi="Tahoma" w:cs="Tahoma"/>
          <w:w w:val="95"/>
          <w:sz w:val="20"/>
          <w:szCs w:val="20"/>
        </w:rPr>
        <w:t>sous</w:t>
      </w:r>
      <w:r w:rsidR="00DB1635" w:rsidRPr="00B004EE">
        <w:rPr>
          <w:rFonts w:ascii="Tahoma" w:hAnsi="Tahoma" w:cs="Tahoma"/>
          <w:w w:val="95"/>
          <w:sz w:val="20"/>
          <w:szCs w:val="20"/>
        </w:rPr>
        <w:t xml:space="preserve"> </w:t>
      </w:r>
      <w:r w:rsidRPr="00B004EE">
        <w:rPr>
          <w:rFonts w:ascii="Tahoma" w:hAnsi="Tahoma" w:cs="Tahoma"/>
          <w:w w:val="95"/>
          <w:sz w:val="20"/>
          <w:szCs w:val="20"/>
        </w:rPr>
        <w:t>contrôle</w:t>
      </w:r>
      <w:r w:rsidR="00DB1635" w:rsidRPr="00B004EE">
        <w:rPr>
          <w:rFonts w:ascii="Tahoma" w:hAnsi="Tahoma" w:cs="Tahoma"/>
          <w:w w:val="95"/>
          <w:sz w:val="20"/>
          <w:szCs w:val="20"/>
        </w:rPr>
        <w:t xml:space="preserve"> </w:t>
      </w:r>
      <w:r w:rsidRPr="00B004EE">
        <w:rPr>
          <w:rFonts w:ascii="Tahoma" w:eastAsia="American Typewriter" w:hAnsi="Tahoma" w:cs="Tahoma"/>
          <w:w w:val="95"/>
          <w:sz w:val="20"/>
          <w:szCs w:val="20"/>
        </w:rPr>
        <w:t>des</w:t>
      </w:r>
      <w:r w:rsidR="00DB1635" w:rsidRPr="00B004EE">
        <w:rPr>
          <w:rFonts w:ascii="Tahoma" w:eastAsia="American Typewriter" w:hAnsi="Tahoma" w:cs="Tahoma"/>
          <w:w w:val="95"/>
          <w:sz w:val="20"/>
          <w:szCs w:val="20"/>
        </w:rPr>
        <w:t xml:space="preserve"> </w:t>
      </w:r>
      <w:r w:rsidRPr="00B004EE">
        <w:rPr>
          <w:rFonts w:ascii="Tahoma" w:eastAsia="American Typewriter" w:hAnsi="Tahoma" w:cs="Tahoma"/>
          <w:w w:val="95"/>
          <w:sz w:val="20"/>
          <w:szCs w:val="20"/>
        </w:rPr>
        <w:t>services</w:t>
      </w:r>
      <w:r w:rsidR="00DB1635" w:rsidRPr="00B004EE">
        <w:rPr>
          <w:rFonts w:ascii="Tahoma" w:eastAsia="American Typewriter" w:hAnsi="Tahoma" w:cs="Tahoma"/>
          <w:w w:val="95"/>
          <w:sz w:val="20"/>
          <w:szCs w:val="20"/>
        </w:rPr>
        <w:t xml:space="preserve"> </w:t>
      </w:r>
      <w:r w:rsidRPr="00B004EE">
        <w:rPr>
          <w:rFonts w:ascii="Tahoma" w:eastAsia="American Typewriter" w:hAnsi="Tahoma" w:cs="Tahoma"/>
          <w:w w:val="95"/>
          <w:sz w:val="20"/>
          <w:szCs w:val="20"/>
        </w:rPr>
        <w:t>compétents</w:t>
      </w:r>
      <w:r w:rsidR="00DB1635" w:rsidRPr="00B004EE">
        <w:rPr>
          <w:rFonts w:ascii="Tahoma" w:eastAsia="American Typewriter" w:hAnsi="Tahoma" w:cs="Tahoma"/>
          <w:w w:val="95"/>
          <w:sz w:val="20"/>
          <w:szCs w:val="20"/>
        </w:rPr>
        <w:t xml:space="preserve"> </w:t>
      </w:r>
      <w:r w:rsidRPr="00B004EE">
        <w:rPr>
          <w:rFonts w:ascii="Tahoma" w:eastAsia="American Typewriter" w:hAnsi="Tahoma" w:cs="Tahoma"/>
          <w:w w:val="95"/>
          <w:sz w:val="20"/>
          <w:szCs w:val="20"/>
        </w:rPr>
        <w:t>de</w:t>
      </w:r>
      <w:r w:rsidR="00DB1635" w:rsidRPr="00B004EE">
        <w:rPr>
          <w:rFonts w:ascii="Tahoma" w:eastAsia="American Typewriter" w:hAnsi="Tahoma" w:cs="Tahoma"/>
          <w:spacing w:val="30"/>
          <w:w w:val="95"/>
          <w:sz w:val="20"/>
          <w:szCs w:val="20"/>
        </w:rPr>
        <w:t xml:space="preserve"> </w:t>
      </w:r>
      <w:r w:rsidRPr="00B004EE">
        <w:rPr>
          <w:rFonts w:ascii="Tahoma" w:eastAsia="American Typewriter" w:hAnsi="Tahoma" w:cs="Tahoma"/>
          <w:w w:val="95"/>
          <w:sz w:val="20"/>
          <w:szCs w:val="20"/>
        </w:rPr>
        <w:t>l’État</w:t>
      </w:r>
      <w:r w:rsidRPr="00B004EE">
        <w:rPr>
          <w:rFonts w:ascii="Tahoma" w:hAnsi="Tahoma" w:cs="Tahoma"/>
          <w:w w:val="95"/>
          <w:sz w:val="20"/>
          <w:szCs w:val="20"/>
        </w:rPr>
        <w:t>.</w:t>
      </w:r>
    </w:p>
    <w:p w14:paraId="25356732" w14:textId="77777777" w:rsidR="00E50532" w:rsidRPr="00B004EE" w:rsidRDefault="00E50532" w:rsidP="00B004EE">
      <w:pPr>
        <w:pStyle w:val="Corpsdetexte"/>
        <w:ind w:right="158"/>
        <w:rPr>
          <w:rFonts w:ascii="Tahoma" w:hAnsi="Tahoma" w:cs="Tahoma"/>
          <w:sz w:val="20"/>
          <w:szCs w:val="20"/>
        </w:rPr>
      </w:pPr>
    </w:p>
    <w:p w14:paraId="59EE49B7" w14:textId="4720F6CE" w:rsidR="001E7C3C" w:rsidRPr="00B004EE" w:rsidRDefault="001E7C3C" w:rsidP="00B004EE">
      <w:pPr>
        <w:pStyle w:val="Corpsdetexte"/>
        <w:ind w:right="161"/>
        <w:rPr>
          <w:rFonts w:ascii="Tahoma" w:hAnsi="Tahoma" w:cs="Tahoma"/>
          <w:sz w:val="20"/>
          <w:szCs w:val="20"/>
        </w:rPr>
      </w:pP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montant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re</w:t>
      </w:r>
      <w:r w:rsidRPr="00B004EE">
        <w:rPr>
          <w:rFonts w:ascii="Tahoma" w:eastAsia="American Typewriter" w:hAnsi="Tahoma" w:cs="Tahoma"/>
          <w:sz w:val="20"/>
          <w:szCs w:val="20"/>
        </w:rPr>
        <w:t>devances,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paiements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ou</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autres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avantages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perçus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par</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l’État</w:t>
      </w:r>
      <w:r w:rsidR="00DB1635" w:rsidRPr="00B004EE">
        <w:rPr>
          <w:rFonts w:ascii="Tahoma" w:eastAsia="American Typewriter" w:hAnsi="Tahoma" w:cs="Tahoma"/>
          <w:spacing w:val="53"/>
          <w:sz w:val="20"/>
          <w:szCs w:val="20"/>
        </w:rPr>
        <w:t xml:space="preserve"> </w:t>
      </w:r>
      <w:r w:rsidRPr="00B004EE">
        <w:rPr>
          <w:rFonts w:ascii="Tahoma" w:eastAsia="American Typewriter" w:hAnsi="Tahoma" w:cs="Tahoma"/>
          <w:sz w:val="20"/>
          <w:szCs w:val="20"/>
        </w:rPr>
        <w:t>au</w:t>
      </w:r>
      <w:r w:rsidR="00DB1635" w:rsidRPr="00B004EE">
        <w:rPr>
          <w:rFonts w:ascii="Tahoma" w:eastAsia="American Typewriter" w:hAnsi="Tahoma" w:cs="Tahoma"/>
          <w:w w:val="98"/>
          <w:sz w:val="20"/>
          <w:szCs w:val="20"/>
        </w:rPr>
        <w:t xml:space="preserve"> </w:t>
      </w:r>
      <w:r w:rsidRPr="00B004EE">
        <w:rPr>
          <w:rFonts w:ascii="Tahoma" w:hAnsi="Tahoma" w:cs="Tahoma"/>
          <w:sz w:val="20"/>
          <w:szCs w:val="20"/>
        </w:rPr>
        <w:t>titre</w:t>
      </w:r>
      <w:r w:rsidR="00DB1635" w:rsidRPr="00B004EE">
        <w:rPr>
          <w:rFonts w:ascii="Tahoma" w:hAnsi="Tahoma" w:cs="Tahoma"/>
          <w:spacing w:val="35"/>
          <w:sz w:val="20"/>
          <w:szCs w:val="20"/>
        </w:rPr>
        <w:t xml:space="preserve"> </w:t>
      </w:r>
      <w:r w:rsidRPr="00B004EE">
        <w:rPr>
          <w:rFonts w:ascii="Tahoma" w:hAnsi="Tahoma" w:cs="Tahoma"/>
          <w:sz w:val="20"/>
          <w:szCs w:val="20"/>
        </w:rPr>
        <w:t>de</w:t>
      </w:r>
      <w:r w:rsidR="00DB1635" w:rsidRPr="00B004EE">
        <w:rPr>
          <w:rFonts w:ascii="Tahoma" w:hAnsi="Tahoma" w:cs="Tahoma"/>
          <w:spacing w:val="35"/>
          <w:sz w:val="20"/>
          <w:szCs w:val="20"/>
        </w:rPr>
        <w:t xml:space="preserve"> </w:t>
      </w:r>
      <w:r w:rsidRPr="00B004EE">
        <w:rPr>
          <w:rFonts w:ascii="Tahoma" w:hAnsi="Tahoma" w:cs="Tahoma"/>
          <w:sz w:val="20"/>
          <w:szCs w:val="20"/>
        </w:rPr>
        <w:t>l'activité</w:t>
      </w:r>
      <w:r w:rsidR="00DB1635" w:rsidRPr="00B004EE">
        <w:rPr>
          <w:rFonts w:ascii="Tahoma" w:hAnsi="Tahoma" w:cs="Tahoma"/>
          <w:spacing w:val="36"/>
          <w:sz w:val="20"/>
          <w:szCs w:val="20"/>
        </w:rPr>
        <w:t xml:space="preserve"> </w:t>
      </w:r>
      <w:r w:rsidRPr="00B004EE">
        <w:rPr>
          <w:rFonts w:ascii="Tahoma" w:hAnsi="Tahoma" w:cs="Tahoma"/>
          <w:sz w:val="20"/>
          <w:szCs w:val="20"/>
        </w:rPr>
        <w:t>de</w:t>
      </w:r>
      <w:r w:rsidR="00DB1635" w:rsidRPr="00B004EE">
        <w:rPr>
          <w:rFonts w:ascii="Tahoma" w:hAnsi="Tahoma" w:cs="Tahoma"/>
          <w:spacing w:val="35"/>
          <w:sz w:val="20"/>
          <w:szCs w:val="20"/>
        </w:rPr>
        <w:t xml:space="preserve"> </w:t>
      </w:r>
      <w:r w:rsidRPr="00B004EE">
        <w:rPr>
          <w:rFonts w:ascii="Tahoma" w:hAnsi="Tahoma" w:cs="Tahoma"/>
          <w:sz w:val="20"/>
          <w:szCs w:val="20"/>
        </w:rPr>
        <w:t>chacun</w:t>
      </w:r>
      <w:r w:rsidR="00DB1635" w:rsidRPr="00B004EE">
        <w:rPr>
          <w:rFonts w:ascii="Tahoma" w:hAnsi="Tahoma" w:cs="Tahoma"/>
          <w:spacing w:val="35"/>
          <w:sz w:val="20"/>
          <w:szCs w:val="20"/>
        </w:rPr>
        <w:t xml:space="preserve"> </w:t>
      </w:r>
      <w:r w:rsidRPr="00B004EE">
        <w:rPr>
          <w:rFonts w:ascii="Tahoma" w:hAnsi="Tahoma" w:cs="Tahoma"/>
          <w:sz w:val="20"/>
          <w:szCs w:val="20"/>
        </w:rPr>
        <w:t>des</w:t>
      </w:r>
      <w:r w:rsidR="00DB1635" w:rsidRPr="00B004EE">
        <w:rPr>
          <w:rFonts w:ascii="Tahoma" w:hAnsi="Tahoma" w:cs="Tahoma"/>
          <w:spacing w:val="35"/>
          <w:sz w:val="20"/>
          <w:szCs w:val="20"/>
        </w:rPr>
        <w:t xml:space="preserve"> </w:t>
      </w:r>
      <w:r w:rsidRPr="00B004EE">
        <w:rPr>
          <w:rFonts w:ascii="Tahoma" w:hAnsi="Tahoma" w:cs="Tahoma"/>
          <w:sz w:val="20"/>
          <w:szCs w:val="20"/>
        </w:rPr>
        <w:t>navires</w:t>
      </w:r>
      <w:r w:rsidR="00DB1635" w:rsidRPr="00B004EE">
        <w:rPr>
          <w:rFonts w:ascii="Tahoma" w:hAnsi="Tahoma" w:cs="Tahoma"/>
          <w:spacing w:val="35"/>
          <w:sz w:val="20"/>
          <w:szCs w:val="20"/>
        </w:rPr>
        <w:t xml:space="preserve"> </w:t>
      </w:r>
      <w:r w:rsidRPr="00B004EE">
        <w:rPr>
          <w:rFonts w:ascii="Tahoma" w:hAnsi="Tahoma" w:cs="Tahoma"/>
          <w:sz w:val="20"/>
          <w:szCs w:val="20"/>
        </w:rPr>
        <w:t>étrangers</w:t>
      </w:r>
      <w:r w:rsidR="00DB1635" w:rsidRPr="00B004EE">
        <w:rPr>
          <w:rFonts w:ascii="Tahoma" w:hAnsi="Tahoma" w:cs="Tahoma"/>
          <w:spacing w:val="35"/>
          <w:sz w:val="20"/>
          <w:szCs w:val="20"/>
        </w:rPr>
        <w:t xml:space="preserve"> </w:t>
      </w:r>
      <w:r w:rsidRPr="00B004EE">
        <w:rPr>
          <w:rFonts w:ascii="Tahoma" w:hAnsi="Tahoma" w:cs="Tahoma"/>
          <w:sz w:val="20"/>
          <w:szCs w:val="20"/>
        </w:rPr>
        <w:t>exemptés</w:t>
      </w:r>
      <w:r w:rsidR="00DB1635" w:rsidRPr="00B004EE">
        <w:rPr>
          <w:rFonts w:ascii="Tahoma" w:hAnsi="Tahoma" w:cs="Tahoma"/>
          <w:spacing w:val="35"/>
          <w:sz w:val="20"/>
          <w:szCs w:val="20"/>
        </w:rPr>
        <w:t xml:space="preserve"> </w:t>
      </w:r>
      <w:r w:rsidRPr="00B004EE">
        <w:rPr>
          <w:rFonts w:ascii="Tahoma" w:hAnsi="Tahoma" w:cs="Tahoma"/>
          <w:sz w:val="20"/>
          <w:szCs w:val="20"/>
        </w:rPr>
        <w:t>de</w:t>
      </w:r>
      <w:r w:rsidR="00DB1635" w:rsidRPr="00B004EE">
        <w:rPr>
          <w:rFonts w:ascii="Tahoma" w:hAnsi="Tahoma" w:cs="Tahoma"/>
          <w:spacing w:val="35"/>
          <w:sz w:val="20"/>
          <w:szCs w:val="20"/>
        </w:rPr>
        <w:t xml:space="preserve"> </w:t>
      </w:r>
      <w:r w:rsidRPr="00B004EE">
        <w:rPr>
          <w:rFonts w:ascii="Tahoma" w:hAnsi="Tahoma" w:cs="Tahoma"/>
          <w:sz w:val="20"/>
          <w:szCs w:val="20"/>
        </w:rPr>
        <w:t>l'obligation</w:t>
      </w:r>
      <w:r w:rsidR="00DB1635" w:rsidRPr="00B004EE">
        <w:rPr>
          <w:rFonts w:ascii="Tahoma" w:hAnsi="Tahoma" w:cs="Tahoma"/>
          <w:spacing w:val="35"/>
          <w:sz w:val="20"/>
          <w:szCs w:val="20"/>
        </w:rPr>
        <w:t xml:space="preserve"> </w:t>
      </w:r>
      <w:r w:rsidRPr="00B004EE">
        <w:rPr>
          <w:rFonts w:ascii="Tahoma" w:hAnsi="Tahoma" w:cs="Tahoma"/>
          <w:sz w:val="20"/>
          <w:szCs w:val="20"/>
        </w:rPr>
        <w:t>de</w:t>
      </w:r>
      <w:r w:rsidR="00DB1635" w:rsidRPr="00B004EE">
        <w:rPr>
          <w:rFonts w:ascii="Tahoma" w:hAnsi="Tahoma" w:cs="Tahoma"/>
          <w:w w:val="94"/>
          <w:sz w:val="20"/>
          <w:szCs w:val="20"/>
        </w:rPr>
        <w:t xml:space="preserve"> </w:t>
      </w:r>
      <w:r w:rsidRPr="00B004EE">
        <w:rPr>
          <w:rFonts w:ascii="Tahoma" w:hAnsi="Tahoma" w:cs="Tahoma"/>
          <w:sz w:val="20"/>
          <w:szCs w:val="20"/>
        </w:rPr>
        <w:t>débarquement</w:t>
      </w:r>
      <w:r w:rsidR="00DB1635" w:rsidRPr="00B004EE">
        <w:rPr>
          <w:rFonts w:ascii="Tahoma" w:hAnsi="Tahoma" w:cs="Tahoma"/>
          <w:spacing w:val="-20"/>
          <w:sz w:val="20"/>
          <w:szCs w:val="20"/>
        </w:rPr>
        <w:t xml:space="preserve"> </w:t>
      </w:r>
      <w:r w:rsidRPr="00B004EE">
        <w:rPr>
          <w:rFonts w:ascii="Tahoma" w:hAnsi="Tahoma" w:cs="Tahoma"/>
          <w:sz w:val="20"/>
          <w:szCs w:val="20"/>
        </w:rPr>
        <w:t>comportera,</w:t>
      </w:r>
      <w:r w:rsidR="00DB1635" w:rsidRPr="00B004EE">
        <w:rPr>
          <w:rFonts w:ascii="Tahoma" w:hAnsi="Tahoma" w:cs="Tahoma"/>
          <w:spacing w:val="-20"/>
          <w:sz w:val="20"/>
          <w:szCs w:val="20"/>
        </w:rPr>
        <w:t xml:space="preserve"> </w:t>
      </w:r>
      <w:r w:rsidRPr="00B004EE">
        <w:rPr>
          <w:rFonts w:ascii="Tahoma" w:hAnsi="Tahoma" w:cs="Tahoma"/>
          <w:sz w:val="20"/>
          <w:szCs w:val="20"/>
        </w:rPr>
        <w:t>outre</w:t>
      </w:r>
      <w:r w:rsidR="00DB1635" w:rsidRPr="00B004EE">
        <w:rPr>
          <w:rFonts w:ascii="Tahoma" w:hAnsi="Tahoma" w:cs="Tahoma"/>
          <w:spacing w:val="-20"/>
          <w:sz w:val="20"/>
          <w:szCs w:val="20"/>
        </w:rPr>
        <w:t xml:space="preserve"> </w:t>
      </w:r>
      <w:r w:rsidRPr="00B004EE">
        <w:rPr>
          <w:rFonts w:ascii="Tahoma" w:hAnsi="Tahoma" w:cs="Tahoma"/>
          <w:sz w:val="20"/>
          <w:szCs w:val="20"/>
        </w:rPr>
        <w:t>le</w:t>
      </w:r>
      <w:r w:rsidR="00DB1635" w:rsidRPr="00B004EE">
        <w:rPr>
          <w:rFonts w:ascii="Tahoma" w:hAnsi="Tahoma" w:cs="Tahoma"/>
          <w:spacing w:val="-20"/>
          <w:sz w:val="20"/>
          <w:szCs w:val="20"/>
        </w:rPr>
        <w:t xml:space="preserve"> </w:t>
      </w:r>
      <w:r w:rsidRPr="00B004EE">
        <w:rPr>
          <w:rFonts w:ascii="Tahoma" w:hAnsi="Tahoma" w:cs="Tahoma"/>
          <w:sz w:val="20"/>
          <w:szCs w:val="20"/>
        </w:rPr>
        <w:t>montant</w:t>
      </w:r>
      <w:r w:rsidR="00DB1635" w:rsidRPr="00B004EE">
        <w:rPr>
          <w:rFonts w:ascii="Tahoma" w:hAnsi="Tahoma" w:cs="Tahoma"/>
          <w:spacing w:val="-20"/>
          <w:sz w:val="20"/>
          <w:szCs w:val="20"/>
        </w:rPr>
        <w:t xml:space="preserve"> </w:t>
      </w:r>
      <w:r w:rsidRPr="00B004EE">
        <w:rPr>
          <w:rFonts w:ascii="Tahoma" w:hAnsi="Tahoma" w:cs="Tahoma"/>
          <w:sz w:val="20"/>
          <w:szCs w:val="20"/>
        </w:rPr>
        <w:t>des</w:t>
      </w:r>
      <w:r w:rsidR="00DB1635" w:rsidRPr="00B004EE">
        <w:rPr>
          <w:rFonts w:ascii="Tahoma" w:hAnsi="Tahoma" w:cs="Tahoma"/>
          <w:spacing w:val="-21"/>
          <w:sz w:val="20"/>
          <w:szCs w:val="20"/>
        </w:rPr>
        <w:t xml:space="preserve"> </w:t>
      </w:r>
      <w:r w:rsidRPr="00B004EE">
        <w:rPr>
          <w:rFonts w:ascii="Tahoma" w:hAnsi="Tahoma" w:cs="Tahoma"/>
          <w:sz w:val="20"/>
          <w:szCs w:val="20"/>
        </w:rPr>
        <w:t>redevances,</w:t>
      </w:r>
      <w:r w:rsidR="00DB1635" w:rsidRPr="00B004EE">
        <w:rPr>
          <w:rFonts w:ascii="Tahoma" w:hAnsi="Tahoma" w:cs="Tahoma"/>
          <w:spacing w:val="-21"/>
          <w:sz w:val="20"/>
          <w:szCs w:val="20"/>
        </w:rPr>
        <w:t xml:space="preserve"> </w:t>
      </w:r>
      <w:r w:rsidRPr="00B004EE">
        <w:rPr>
          <w:rFonts w:ascii="Tahoma" w:hAnsi="Tahoma" w:cs="Tahoma"/>
          <w:sz w:val="20"/>
          <w:szCs w:val="20"/>
        </w:rPr>
        <w:t>paiements</w:t>
      </w:r>
      <w:r w:rsidR="00DB1635" w:rsidRPr="00B004EE">
        <w:rPr>
          <w:rFonts w:ascii="Tahoma" w:hAnsi="Tahoma" w:cs="Tahoma"/>
          <w:spacing w:val="-22"/>
          <w:sz w:val="20"/>
          <w:szCs w:val="20"/>
        </w:rPr>
        <w:t xml:space="preserve"> </w:t>
      </w:r>
      <w:r w:rsidRPr="00B004EE">
        <w:rPr>
          <w:rFonts w:ascii="Tahoma" w:hAnsi="Tahoma" w:cs="Tahoma"/>
          <w:sz w:val="20"/>
          <w:szCs w:val="20"/>
        </w:rPr>
        <w:t>ou</w:t>
      </w:r>
      <w:r w:rsidR="00DB1635" w:rsidRPr="00B004EE">
        <w:rPr>
          <w:rFonts w:ascii="Tahoma" w:hAnsi="Tahoma" w:cs="Tahoma"/>
          <w:spacing w:val="-22"/>
          <w:sz w:val="20"/>
          <w:szCs w:val="20"/>
        </w:rPr>
        <w:t xml:space="preserve"> </w:t>
      </w:r>
      <w:r w:rsidRPr="00B004EE">
        <w:rPr>
          <w:rFonts w:ascii="Tahoma" w:hAnsi="Tahoma" w:cs="Tahoma"/>
          <w:sz w:val="20"/>
          <w:szCs w:val="20"/>
        </w:rPr>
        <w:t>autres</w:t>
      </w:r>
      <w:r w:rsidR="00DB1635" w:rsidRPr="00B004EE">
        <w:rPr>
          <w:rFonts w:ascii="Tahoma" w:hAnsi="Tahoma" w:cs="Tahoma"/>
          <w:w w:val="94"/>
          <w:sz w:val="20"/>
          <w:szCs w:val="20"/>
        </w:rPr>
        <w:t xml:space="preserve"> </w:t>
      </w:r>
      <w:r w:rsidRPr="00B004EE">
        <w:rPr>
          <w:rFonts w:ascii="Tahoma" w:hAnsi="Tahoma" w:cs="Tahoma"/>
          <w:sz w:val="20"/>
          <w:szCs w:val="20"/>
        </w:rPr>
        <w:t>avantages</w:t>
      </w:r>
      <w:r w:rsidR="00DB1635" w:rsidRPr="00B004EE">
        <w:rPr>
          <w:rFonts w:ascii="Tahoma" w:hAnsi="Tahoma" w:cs="Tahoma"/>
          <w:sz w:val="20"/>
          <w:szCs w:val="20"/>
        </w:rPr>
        <w:t xml:space="preserve"> </w:t>
      </w:r>
      <w:r w:rsidRPr="00B004EE">
        <w:rPr>
          <w:rFonts w:ascii="Tahoma" w:hAnsi="Tahoma" w:cs="Tahoma"/>
          <w:sz w:val="20"/>
          <w:szCs w:val="20"/>
        </w:rPr>
        <w:t>exigés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chaque</w:t>
      </w:r>
      <w:r w:rsidR="00DB1635" w:rsidRPr="00B004EE">
        <w:rPr>
          <w:rFonts w:ascii="Tahoma" w:hAnsi="Tahoma" w:cs="Tahoma"/>
          <w:sz w:val="20"/>
          <w:szCs w:val="20"/>
        </w:rPr>
        <w:t xml:space="preserve"> </w:t>
      </w:r>
      <w:r w:rsidRPr="00B004EE">
        <w:rPr>
          <w:rFonts w:ascii="Tahoma" w:hAnsi="Tahoma" w:cs="Tahoma"/>
          <w:sz w:val="20"/>
          <w:szCs w:val="20"/>
        </w:rPr>
        <w:t>navire</w:t>
      </w:r>
      <w:r w:rsidR="00DB1635" w:rsidRPr="00B004EE">
        <w:rPr>
          <w:rFonts w:ascii="Tahoma" w:hAnsi="Tahoma" w:cs="Tahoma"/>
          <w:sz w:val="20"/>
          <w:szCs w:val="20"/>
        </w:rPr>
        <w:t xml:space="preserve"> </w:t>
      </w:r>
      <w:r w:rsidRPr="00B004EE">
        <w:rPr>
          <w:rFonts w:ascii="Tahoma" w:hAnsi="Tahoma" w:cs="Tahoma"/>
          <w:sz w:val="20"/>
          <w:szCs w:val="20"/>
        </w:rPr>
        <w:t>similaire</w:t>
      </w:r>
      <w:r w:rsidR="00DB1635" w:rsidRPr="00B004EE">
        <w:rPr>
          <w:rFonts w:ascii="Tahoma" w:hAnsi="Tahoma" w:cs="Tahoma"/>
          <w:sz w:val="20"/>
          <w:szCs w:val="20"/>
        </w:rPr>
        <w:t xml:space="preserve"> </w:t>
      </w:r>
      <w:r w:rsidRPr="00B004EE">
        <w:rPr>
          <w:rFonts w:ascii="Tahoma" w:hAnsi="Tahoma" w:cs="Tahoma"/>
          <w:sz w:val="20"/>
          <w:szCs w:val="20"/>
        </w:rPr>
        <w:t>astreint</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débarquement</w:t>
      </w:r>
      <w:r w:rsidR="00DB1635" w:rsidRPr="00B004EE">
        <w:rPr>
          <w:rFonts w:ascii="Tahoma" w:hAnsi="Tahoma" w:cs="Tahoma"/>
          <w:spacing w:val="58"/>
          <w:sz w:val="20"/>
          <w:szCs w:val="20"/>
        </w:rPr>
        <w:t xml:space="preserve"> </w:t>
      </w:r>
      <w:r w:rsidRPr="00B004EE">
        <w:rPr>
          <w:rFonts w:ascii="Tahoma" w:hAnsi="Tahoma" w:cs="Tahoma"/>
          <w:sz w:val="20"/>
          <w:szCs w:val="20"/>
        </w:rPr>
        <w:t>des</w:t>
      </w:r>
      <w:r w:rsidR="00DB1635" w:rsidRPr="00B004EE">
        <w:rPr>
          <w:rFonts w:ascii="Tahoma" w:hAnsi="Tahoma" w:cs="Tahoma"/>
          <w:w w:val="94"/>
          <w:sz w:val="20"/>
          <w:szCs w:val="20"/>
        </w:rPr>
        <w:t xml:space="preserve"> </w:t>
      </w:r>
      <w:r w:rsidRPr="00B004EE">
        <w:rPr>
          <w:rFonts w:ascii="Tahoma" w:hAnsi="Tahoma" w:cs="Tahoma"/>
          <w:sz w:val="20"/>
          <w:szCs w:val="20"/>
        </w:rPr>
        <w:t>captures</w:t>
      </w:r>
      <w:r w:rsidR="00DB1635" w:rsidRPr="00B004EE">
        <w:rPr>
          <w:rFonts w:ascii="Tahoma" w:hAnsi="Tahoma" w:cs="Tahoma"/>
          <w:spacing w:val="-24"/>
          <w:sz w:val="20"/>
          <w:szCs w:val="20"/>
        </w:rPr>
        <w:t xml:space="preserve"> </w:t>
      </w:r>
      <w:r w:rsidRPr="00B004EE">
        <w:rPr>
          <w:rFonts w:ascii="Tahoma" w:hAnsi="Tahoma" w:cs="Tahoma"/>
          <w:sz w:val="20"/>
          <w:szCs w:val="20"/>
        </w:rPr>
        <w:t>en</w:t>
      </w:r>
      <w:r w:rsidR="00DB1635" w:rsidRPr="00B004EE">
        <w:rPr>
          <w:rFonts w:ascii="Tahoma" w:hAnsi="Tahoma" w:cs="Tahoma"/>
          <w:spacing w:val="-24"/>
          <w:sz w:val="20"/>
          <w:szCs w:val="20"/>
        </w:rPr>
        <w:t xml:space="preserve"> </w:t>
      </w:r>
      <w:r w:rsidRPr="00B004EE">
        <w:rPr>
          <w:rFonts w:ascii="Tahoma" w:hAnsi="Tahoma" w:cs="Tahoma"/>
          <w:sz w:val="20"/>
          <w:szCs w:val="20"/>
        </w:rPr>
        <w:t>Mauritanie,</w:t>
      </w:r>
      <w:r w:rsidR="00DB1635" w:rsidRPr="00B004EE">
        <w:rPr>
          <w:rFonts w:ascii="Tahoma" w:hAnsi="Tahoma" w:cs="Tahoma"/>
          <w:spacing w:val="-23"/>
          <w:sz w:val="20"/>
          <w:szCs w:val="20"/>
        </w:rPr>
        <w:t xml:space="preserve"> </w:t>
      </w:r>
      <w:r w:rsidRPr="00B004EE">
        <w:rPr>
          <w:rFonts w:ascii="Tahoma" w:hAnsi="Tahoma" w:cs="Tahoma"/>
          <w:sz w:val="20"/>
          <w:szCs w:val="20"/>
        </w:rPr>
        <w:t>un</w:t>
      </w:r>
      <w:r w:rsidR="00DB1635" w:rsidRPr="00B004EE">
        <w:rPr>
          <w:rFonts w:ascii="Tahoma" w:hAnsi="Tahoma" w:cs="Tahoma"/>
          <w:spacing w:val="-24"/>
          <w:sz w:val="20"/>
          <w:szCs w:val="20"/>
        </w:rPr>
        <w:t xml:space="preserve"> </w:t>
      </w:r>
      <w:r w:rsidRPr="00B004EE">
        <w:rPr>
          <w:rFonts w:ascii="Tahoma" w:hAnsi="Tahoma" w:cs="Tahoma"/>
          <w:sz w:val="20"/>
          <w:szCs w:val="20"/>
        </w:rPr>
        <w:t>montant</w:t>
      </w:r>
      <w:r w:rsidR="00DB1635" w:rsidRPr="00B004EE">
        <w:rPr>
          <w:rFonts w:ascii="Tahoma" w:hAnsi="Tahoma" w:cs="Tahoma"/>
          <w:spacing w:val="-24"/>
          <w:sz w:val="20"/>
          <w:szCs w:val="20"/>
        </w:rPr>
        <w:t xml:space="preserve"> </w:t>
      </w:r>
      <w:r w:rsidRPr="00B004EE">
        <w:rPr>
          <w:rFonts w:ascii="Tahoma" w:hAnsi="Tahoma" w:cs="Tahoma"/>
          <w:sz w:val="20"/>
          <w:szCs w:val="20"/>
        </w:rPr>
        <w:t>compensatoire</w:t>
      </w:r>
      <w:r w:rsidR="00DB1635" w:rsidRPr="00B004EE">
        <w:rPr>
          <w:rFonts w:ascii="Tahoma" w:hAnsi="Tahoma" w:cs="Tahoma"/>
          <w:spacing w:val="-24"/>
          <w:sz w:val="20"/>
          <w:szCs w:val="20"/>
        </w:rPr>
        <w:t xml:space="preserve"> </w:t>
      </w:r>
      <w:r w:rsidRPr="00B004EE">
        <w:rPr>
          <w:rFonts w:ascii="Tahoma" w:hAnsi="Tahoma" w:cs="Tahoma"/>
          <w:sz w:val="20"/>
          <w:szCs w:val="20"/>
        </w:rPr>
        <w:t>pour</w:t>
      </w:r>
      <w:r w:rsidR="00DB1635" w:rsidRPr="00B004EE">
        <w:rPr>
          <w:rFonts w:ascii="Tahoma" w:hAnsi="Tahoma" w:cs="Tahoma"/>
          <w:spacing w:val="-24"/>
          <w:sz w:val="20"/>
          <w:szCs w:val="20"/>
        </w:rPr>
        <w:t xml:space="preserve"> </w:t>
      </w:r>
      <w:r w:rsidRPr="00B004EE">
        <w:rPr>
          <w:rFonts w:ascii="Tahoma" w:hAnsi="Tahoma" w:cs="Tahoma"/>
          <w:sz w:val="20"/>
          <w:szCs w:val="20"/>
        </w:rPr>
        <w:t>le</w:t>
      </w:r>
      <w:r w:rsidR="00DB1635" w:rsidRPr="00B004EE">
        <w:rPr>
          <w:rFonts w:ascii="Tahoma" w:hAnsi="Tahoma" w:cs="Tahoma"/>
          <w:spacing w:val="-25"/>
          <w:sz w:val="20"/>
          <w:szCs w:val="20"/>
        </w:rPr>
        <w:t xml:space="preserve"> </w:t>
      </w:r>
      <w:r w:rsidRPr="00B004EE">
        <w:rPr>
          <w:rFonts w:ascii="Tahoma" w:hAnsi="Tahoma" w:cs="Tahoma"/>
          <w:sz w:val="20"/>
          <w:szCs w:val="20"/>
        </w:rPr>
        <w:t>non</w:t>
      </w:r>
      <w:r w:rsidR="00DB1635" w:rsidRPr="00B004EE">
        <w:rPr>
          <w:rFonts w:ascii="Tahoma" w:hAnsi="Tahoma" w:cs="Tahoma"/>
          <w:spacing w:val="-25"/>
          <w:sz w:val="20"/>
          <w:szCs w:val="20"/>
        </w:rPr>
        <w:t xml:space="preserve"> </w:t>
      </w:r>
      <w:r w:rsidRPr="00B004EE">
        <w:rPr>
          <w:rFonts w:ascii="Tahoma" w:hAnsi="Tahoma" w:cs="Tahoma"/>
          <w:sz w:val="20"/>
          <w:szCs w:val="20"/>
        </w:rPr>
        <w:t>débarquement</w:t>
      </w:r>
      <w:r w:rsidR="00DB1635" w:rsidRPr="00B004EE">
        <w:rPr>
          <w:rFonts w:ascii="Tahoma" w:hAnsi="Tahoma" w:cs="Tahoma"/>
          <w:spacing w:val="-25"/>
          <w:sz w:val="20"/>
          <w:szCs w:val="20"/>
        </w:rPr>
        <w:t xml:space="preserve"> </w:t>
      </w:r>
      <w:r w:rsidRPr="00B004EE">
        <w:rPr>
          <w:rFonts w:ascii="Tahoma" w:hAnsi="Tahoma" w:cs="Tahoma"/>
          <w:sz w:val="20"/>
          <w:szCs w:val="20"/>
        </w:rPr>
        <w:t>des</w:t>
      </w:r>
      <w:r w:rsidR="00DB1635" w:rsidRPr="00B004EE">
        <w:rPr>
          <w:rFonts w:ascii="Tahoma" w:hAnsi="Tahoma" w:cs="Tahoma"/>
          <w:w w:val="94"/>
          <w:sz w:val="20"/>
          <w:szCs w:val="20"/>
        </w:rPr>
        <w:t xml:space="preserve"> </w:t>
      </w:r>
      <w:r w:rsidRPr="00B004EE">
        <w:rPr>
          <w:rFonts w:ascii="Tahoma" w:hAnsi="Tahoma" w:cs="Tahoma"/>
          <w:sz w:val="20"/>
          <w:szCs w:val="20"/>
        </w:rPr>
        <w:t>captures.</w:t>
      </w:r>
    </w:p>
    <w:p w14:paraId="258ED044" w14:textId="05F405F8" w:rsidR="001E7C3C" w:rsidRPr="00B004EE" w:rsidRDefault="001E7C3C" w:rsidP="00B004EE">
      <w:pPr>
        <w:pStyle w:val="Corpsdetexte"/>
        <w:ind w:right="159"/>
        <w:rPr>
          <w:rFonts w:ascii="Tahoma" w:hAnsi="Tahoma" w:cs="Tahoma"/>
          <w:sz w:val="20"/>
          <w:szCs w:val="20"/>
        </w:rPr>
      </w:pPr>
      <w:r w:rsidRPr="00B004EE">
        <w:rPr>
          <w:rFonts w:ascii="Tahoma" w:hAnsi="Tahoma" w:cs="Tahoma"/>
          <w:sz w:val="20"/>
          <w:szCs w:val="20"/>
        </w:rPr>
        <w:lastRenderedPageBreak/>
        <w:t>Toutefois,</w:t>
      </w:r>
      <w:r w:rsidR="00DB1635" w:rsidRPr="00B004EE">
        <w:rPr>
          <w:rFonts w:ascii="Tahoma" w:hAnsi="Tahoma" w:cs="Tahoma"/>
          <w:sz w:val="20"/>
          <w:szCs w:val="20"/>
        </w:rPr>
        <w:t xml:space="preserve"> </w:t>
      </w:r>
      <w:r w:rsidRPr="00B004EE">
        <w:rPr>
          <w:rFonts w:ascii="Tahoma" w:hAnsi="Tahoma" w:cs="Tahoma"/>
          <w:sz w:val="20"/>
          <w:szCs w:val="20"/>
        </w:rPr>
        <w:t>aucune</w:t>
      </w:r>
      <w:r w:rsidR="00DB1635" w:rsidRPr="00B004EE">
        <w:rPr>
          <w:rFonts w:ascii="Tahoma" w:hAnsi="Tahoma" w:cs="Tahoma"/>
          <w:sz w:val="20"/>
          <w:szCs w:val="20"/>
        </w:rPr>
        <w:t xml:space="preserve"> </w:t>
      </w:r>
      <w:r w:rsidRPr="00B004EE">
        <w:rPr>
          <w:rFonts w:ascii="Tahoma" w:hAnsi="Tahoma" w:cs="Tahoma"/>
          <w:sz w:val="20"/>
          <w:szCs w:val="20"/>
        </w:rPr>
        <w:t>dérogation</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dispositions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l'article</w:t>
      </w:r>
      <w:r w:rsidR="00DB1635" w:rsidRPr="00B004EE">
        <w:rPr>
          <w:rFonts w:ascii="Tahoma" w:hAnsi="Tahoma" w:cs="Tahoma"/>
          <w:sz w:val="20"/>
          <w:szCs w:val="20"/>
        </w:rPr>
        <w:t xml:space="preserve"> </w:t>
      </w:r>
      <w:r w:rsidRPr="00B004EE">
        <w:rPr>
          <w:rFonts w:ascii="Tahoma" w:hAnsi="Tahoma" w:cs="Tahoma"/>
          <w:sz w:val="20"/>
          <w:szCs w:val="20"/>
        </w:rPr>
        <w:t>40</w:t>
      </w:r>
      <w:r w:rsidR="00DB1635" w:rsidRPr="00B004EE">
        <w:rPr>
          <w:rFonts w:ascii="Tahoma" w:hAnsi="Tahoma" w:cs="Tahoma"/>
          <w:sz w:val="20"/>
          <w:szCs w:val="20"/>
        </w:rPr>
        <w:t xml:space="preserve"> </w:t>
      </w:r>
      <w:r w:rsidRPr="00B004EE">
        <w:rPr>
          <w:rFonts w:ascii="Tahoma" w:hAnsi="Tahoma" w:cs="Tahoma"/>
          <w:sz w:val="20"/>
          <w:szCs w:val="20"/>
        </w:rPr>
        <w:t>ne</w:t>
      </w:r>
      <w:r w:rsidR="00DB1635" w:rsidRPr="00B004EE">
        <w:rPr>
          <w:rFonts w:ascii="Tahoma" w:hAnsi="Tahoma" w:cs="Tahoma"/>
          <w:sz w:val="20"/>
          <w:szCs w:val="20"/>
        </w:rPr>
        <w:t xml:space="preserve"> </w:t>
      </w:r>
      <w:r w:rsidRPr="00B004EE">
        <w:rPr>
          <w:rFonts w:ascii="Tahoma" w:hAnsi="Tahoma" w:cs="Tahoma"/>
          <w:sz w:val="20"/>
          <w:szCs w:val="20"/>
        </w:rPr>
        <w:t>pourra</w:t>
      </w:r>
      <w:r w:rsidR="00DB1635" w:rsidRPr="00B004EE">
        <w:rPr>
          <w:rFonts w:ascii="Tahoma" w:hAnsi="Tahoma" w:cs="Tahoma"/>
          <w:spacing w:val="30"/>
          <w:sz w:val="20"/>
          <w:szCs w:val="20"/>
        </w:rPr>
        <w:t xml:space="preserve"> </w:t>
      </w:r>
      <w:r w:rsidRPr="00B004EE">
        <w:rPr>
          <w:rFonts w:ascii="Tahoma" w:hAnsi="Tahoma" w:cs="Tahoma"/>
          <w:sz w:val="20"/>
          <w:szCs w:val="20"/>
        </w:rPr>
        <w:t>être</w:t>
      </w:r>
      <w:r w:rsidR="00DB1635" w:rsidRPr="00B004EE">
        <w:rPr>
          <w:rFonts w:ascii="Tahoma" w:hAnsi="Tahoma" w:cs="Tahoma"/>
          <w:w w:val="94"/>
          <w:sz w:val="20"/>
          <w:szCs w:val="20"/>
        </w:rPr>
        <w:t xml:space="preserve"> </w:t>
      </w:r>
      <w:r w:rsidRPr="00B004EE">
        <w:rPr>
          <w:rFonts w:ascii="Tahoma" w:hAnsi="Tahoma" w:cs="Tahoma"/>
          <w:sz w:val="20"/>
          <w:szCs w:val="20"/>
        </w:rPr>
        <w:t>accordée</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navires</w:t>
      </w:r>
      <w:r w:rsidR="00DB1635" w:rsidRPr="00B004EE">
        <w:rPr>
          <w:rFonts w:ascii="Tahoma" w:hAnsi="Tahoma" w:cs="Tahoma"/>
          <w:sz w:val="20"/>
          <w:szCs w:val="20"/>
        </w:rPr>
        <w:t xml:space="preserve"> </w:t>
      </w:r>
      <w:r w:rsidRPr="00B004EE">
        <w:rPr>
          <w:rFonts w:ascii="Tahoma" w:hAnsi="Tahoma" w:cs="Tahoma"/>
          <w:sz w:val="20"/>
          <w:szCs w:val="20"/>
        </w:rPr>
        <w:t>céphalopodiers</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navires</w:t>
      </w:r>
      <w:r w:rsidR="00DB1635" w:rsidRPr="00B004EE">
        <w:rPr>
          <w:rFonts w:ascii="Tahoma" w:hAnsi="Tahoma" w:cs="Tahoma"/>
          <w:sz w:val="20"/>
          <w:szCs w:val="20"/>
        </w:rPr>
        <w:t xml:space="preserve"> </w:t>
      </w:r>
      <w:r w:rsidRPr="00B004EE">
        <w:rPr>
          <w:rFonts w:ascii="Tahoma" w:hAnsi="Tahoma" w:cs="Tahoma"/>
          <w:sz w:val="20"/>
          <w:szCs w:val="20"/>
        </w:rPr>
        <w:t>destinés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capture</w:t>
      </w:r>
      <w:r w:rsidR="00DB1635" w:rsidRPr="00B004EE">
        <w:rPr>
          <w:rFonts w:ascii="Tahoma" w:hAnsi="Tahoma" w:cs="Tahoma"/>
          <w:spacing w:val="29"/>
          <w:sz w:val="20"/>
          <w:szCs w:val="20"/>
        </w:rPr>
        <w:t xml:space="preserve"> </w:t>
      </w:r>
      <w:r w:rsidRPr="00B004EE">
        <w:rPr>
          <w:rFonts w:ascii="Tahoma" w:hAnsi="Tahoma" w:cs="Tahoma"/>
          <w:sz w:val="20"/>
          <w:szCs w:val="20"/>
        </w:rPr>
        <w:t>des</w:t>
      </w:r>
      <w:r w:rsidR="00DB1635" w:rsidRPr="00B004EE">
        <w:rPr>
          <w:rFonts w:ascii="Tahoma" w:hAnsi="Tahoma" w:cs="Tahoma"/>
          <w:w w:val="94"/>
          <w:sz w:val="20"/>
          <w:szCs w:val="20"/>
        </w:rPr>
        <w:t xml:space="preserve"> </w:t>
      </w:r>
      <w:r w:rsidRPr="00B004EE">
        <w:rPr>
          <w:rFonts w:ascii="Tahoma" w:hAnsi="Tahoma" w:cs="Tahoma"/>
          <w:sz w:val="20"/>
          <w:szCs w:val="20"/>
        </w:rPr>
        <w:t>espèces</w:t>
      </w:r>
      <w:r w:rsidR="00DB1635" w:rsidRPr="00B004EE">
        <w:rPr>
          <w:rFonts w:ascii="Tahoma" w:hAnsi="Tahoma" w:cs="Tahoma"/>
          <w:spacing w:val="-5"/>
          <w:sz w:val="20"/>
          <w:szCs w:val="20"/>
        </w:rPr>
        <w:t xml:space="preserve"> </w:t>
      </w:r>
      <w:r w:rsidRPr="00B004EE">
        <w:rPr>
          <w:rFonts w:ascii="Tahoma" w:hAnsi="Tahoma" w:cs="Tahoma"/>
          <w:sz w:val="20"/>
          <w:szCs w:val="20"/>
        </w:rPr>
        <w:t>pour</w:t>
      </w:r>
      <w:r w:rsidR="00DB1635" w:rsidRPr="00B004EE">
        <w:rPr>
          <w:rFonts w:ascii="Tahoma" w:hAnsi="Tahoma" w:cs="Tahoma"/>
          <w:spacing w:val="-5"/>
          <w:sz w:val="20"/>
          <w:szCs w:val="20"/>
        </w:rPr>
        <w:t xml:space="preserve"> </w:t>
      </w:r>
      <w:r w:rsidRPr="00B004EE">
        <w:rPr>
          <w:rFonts w:ascii="Tahoma" w:hAnsi="Tahoma" w:cs="Tahoma"/>
          <w:sz w:val="20"/>
          <w:szCs w:val="20"/>
        </w:rPr>
        <w:t>lesquelles</w:t>
      </w:r>
      <w:r w:rsidR="00DB1635" w:rsidRPr="00B004EE">
        <w:rPr>
          <w:rFonts w:ascii="Tahoma" w:hAnsi="Tahoma" w:cs="Tahoma"/>
          <w:spacing w:val="-5"/>
          <w:sz w:val="20"/>
          <w:szCs w:val="20"/>
        </w:rPr>
        <w:t xml:space="preserve"> </w:t>
      </w:r>
      <w:r w:rsidRPr="00B004EE">
        <w:rPr>
          <w:rFonts w:ascii="Tahoma" w:hAnsi="Tahoma" w:cs="Tahoma"/>
          <w:sz w:val="20"/>
          <w:szCs w:val="20"/>
        </w:rPr>
        <w:t>le</w:t>
      </w:r>
      <w:r w:rsidR="00DB1635" w:rsidRPr="00B004EE">
        <w:rPr>
          <w:rFonts w:ascii="Tahoma" w:hAnsi="Tahoma" w:cs="Tahoma"/>
          <w:spacing w:val="-4"/>
          <w:sz w:val="20"/>
          <w:szCs w:val="20"/>
        </w:rPr>
        <w:t xml:space="preserve"> </w:t>
      </w:r>
      <w:r w:rsidRPr="00B004EE">
        <w:rPr>
          <w:rFonts w:ascii="Tahoma" w:hAnsi="Tahoma" w:cs="Tahoma"/>
          <w:sz w:val="20"/>
          <w:szCs w:val="20"/>
        </w:rPr>
        <w:t>plan</w:t>
      </w:r>
      <w:r w:rsidR="00DB1635" w:rsidRPr="00B004EE">
        <w:rPr>
          <w:rFonts w:ascii="Tahoma" w:hAnsi="Tahoma" w:cs="Tahoma"/>
          <w:spacing w:val="-4"/>
          <w:sz w:val="20"/>
          <w:szCs w:val="20"/>
        </w:rPr>
        <w:t xml:space="preserve"> </w:t>
      </w:r>
      <w:r w:rsidRPr="00B004EE">
        <w:rPr>
          <w:rFonts w:ascii="Tahoma" w:hAnsi="Tahoma" w:cs="Tahoma"/>
          <w:sz w:val="20"/>
          <w:szCs w:val="20"/>
        </w:rPr>
        <w:t>d'aménagement</w:t>
      </w:r>
      <w:r w:rsidR="00DB1635" w:rsidRPr="00B004EE">
        <w:rPr>
          <w:rFonts w:ascii="Tahoma" w:hAnsi="Tahoma" w:cs="Tahoma"/>
          <w:spacing w:val="-4"/>
          <w:sz w:val="20"/>
          <w:szCs w:val="20"/>
        </w:rPr>
        <w:t xml:space="preserve"> </w:t>
      </w:r>
      <w:r w:rsidRPr="00B004EE">
        <w:rPr>
          <w:rFonts w:ascii="Tahoma" w:hAnsi="Tahoma" w:cs="Tahoma"/>
          <w:sz w:val="20"/>
          <w:szCs w:val="20"/>
        </w:rPr>
        <w:t>et</w:t>
      </w:r>
      <w:r w:rsidR="00DB1635" w:rsidRPr="00B004EE">
        <w:rPr>
          <w:rFonts w:ascii="Tahoma" w:hAnsi="Tahoma" w:cs="Tahoma"/>
          <w:spacing w:val="-4"/>
          <w:sz w:val="20"/>
          <w:szCs w:val="20"/>
        </w:rPr>
        <w:t xml:space="preserve"> </w:t>
      </w:r>
      <w:r w:rsidRPr="00B004EE">
        <w:rPr>
          <w:rFonts w:ascii="Tahoma" w:hAnsi="Tahoma" w:cs="Tahoma"/>
          <w:sz w:val="20"/>
          <w:szCs w:val="20"/>
        </w:rPr>
        <w:t>de</w:t>
      </w:r>
      <w:r w:rsidR="00DB1635" w:rsidRPr="00B004EE">
        <w:rPr>
          <w:rFonts w:ascii="Tahoma" w:hAnsi="Tahoma" w:cs="Tahoma"/>
          <w:spacing w:val="-4"/>
          <w:sz w:val="20"/>
          <w:szCs w:val="20"/>
        </w:rPr>
        <w:t xml:space="preserve"> </w:t>
      </w:r>
      <w:r w:rsidRPr="00B004EE">
        <w:rPr>
          <w:rFonts w:ascii="Tahoma" w:hAnsi="Tahoma" w:cs="Tahoma"/>
          <w:sz w:val="20"/>
          <w:szCs w:val="20"/>
        </w:rPr>
        <w:t>gestion</w:t>
      </w:r>
      <w:r w:rsidR="00DB1635" w:rsidRPr="00B004EE">
        <w:rPr>
          <w:rFonts w:ascii="Tahoma" w:hAnsi="Tahoma" w:cs="Tahoma"/>
          <w:spacing w:val="-6"/>
          <w:sz w:val="20"/>
          <w:szCs w:val="20"/>
        </w:rPr>
        <w:t xml:space="preserve"> </w:t>
      </w:r>
      <w:r w:rsidRPr="00B004EE">
        <w:rPr>
          <w:rFonts w:ascii="Tahoma" w:hAnsi="Tahoma" w:cs="Tahoma"/>
          <w:sz w:val="20"/>
          <w:szCs w:val="20"/>
        </w:rPr>
        <w:t>des</w:t>
      </w:r>
      <w:r w:rsidR="00DB1635" w:rsidRPr="00B004EE">
        <w:rPr>
          <w:rFonts w:ascii="Tahoma" w:hAnsi="Tahoma" w:cs="Tahoma"/>
          <w:spacing w:val="-6"/>
          <w:sz w:val="20"/>
          <w:szCs w:val="20"/>
        </w:rPr>
        <w:t xml:space="preserve"> </w:t>
      </w:r>
      <w:r w:rsidRPr="00B004EE">
        <w:rPr>
          <w:rFonts w:ascii="Tahoma" w:hAnsi="Tahoma" w:cs="Tahoma"/>
          <w:sz w:val="20"/>
          <w:szCs w:val="20"/>
        </w:rPr>
        <w:t>pêcheries</w:t>
      </w:r>
      <w:r w:rsidR="00DB1635" w:rsidRPr="00B004EE">
        <w:rPr>
          <w:rFonts w:ascii="Tahoma" w:hAnsi="Tahoma" w:cs="Tahoma"/>
          <w:spacing w:val="-6"/>
          <w:sz w:val="20"/>
          <w:szCs w:val="20"/>
        </w:rPr>
        <w:t xml:space="preserve"> </w:t>
      </w:r>
      <w:r w:rsidRPr="00B004EE">
        <w:rPr>
          <w:rFonts w:ascii="Tahoma" w:hAnsi="Tahoma" w:cs="Tahoma"/>
          <w:sz w:val="20"/>
          <w:szCs w:val="20"/>
        </w:rPr>
        <w:t>exclut</w:t>
      </w:r>
      <w:r w:rsidR="00DB1635" w:rsidRPr="00B004EE">
        <w:rPr>
          <w:rFonts w:ascii="Tahoma" w:hAnsi="Tahoma" w:cs="Tahoma"/>
          <w:w w:val="98"/>
          <w:sz w:val="20"/>
          <w:szCs w:val="20"/>
        </w:rPr>
        <w:t xml:space="preserve"> </w:t>
      </w:r>
      <w:r w:rsidRPr="00B004EE">
        <w:rPr>
          <w:rFonts w:ascii="Tahoma" w:hAnsi="Tahoma" w:cs="Tahoma"/>
          <w:w w:val="95"/>
          <w:sz w:val="20"/>
          <w:szCs w:val="20"/>
        </w:rPr>
        <w:t>toute</w:t>
      </w:r>
      <w:r w:rsidR="00DB1635" w:rsidRPr="00B004EE">
        <w:rPr>
          <w:rFonts w:ascii="Tahoma" w:hAnsi="Tahoma" w:cs="Tahoma"/>
          <w:spacing w:val="17"/>
          <w:w w:val="95"/>
          <w:sz w:val="20"/>
          <w:szCs w:val="20"/>
        </w:rPr>
        <w:t xml:space="preserve"> </w:t>
      </w:r>
      <w:r w:rsidRPr="00B004EE">
        <w:rPr>
          <w:rFonts w:ascii="Tahoma" w:hAnsi="Tahoma" w:cs="Tahoma"/>
          <w:w w:val="95"/>
          <w:sz w:val="20"/>
          <w:szCs w:val="20"/>
        </w:rPr>
        <w:t>dérogation.</w:t>
      </w:r>
    </w:p>
    <w:p w14:paraId="72D891EC" w14:textId="77777777" w:rsidR="001E7C3C" w:rsidRPr="00B004EE" w:rsidRDefault="001E7C3C" w:rsidP="00B004EE">
      <w:pPr>
        <w:rPr>
          <w:rFonts w:ascii="Tahoma" w:eastAsia="American Typewriter" w:hAnsi="Tahoma" w:cs="Tahoma"/>
          <w:sz w:val="20"/>
          <w:szCs w:val="20"/>
        </w:rPr>
      </w:pPr>
    </w:p>
    <w:p w14:paraId="7963070A" w14:textId="5B1DC408" w:rsidR="001E7C3C" w:rsidRPr="00B004EE" w:rsidRDefault="001E7C3C" w:rsidP="00B004EE">
      <w:pPr>
        <w:pStyle w:val="Corpsdetexte"/>
        <w:ind w:right="159"/>
        <w:rPr>
          <w:rFonts w:ascii="Tahoma" w:hAnsi="Tahoma" w:cs="Tahoma"/>
          <w:sz w:val="20"/>
          <w:szCs w:val="20"/>
        </w:rPr>
      </w:pPr>
      <w:r w:rsidRPr="00B004EE">
        <w:rPr>
          <w:rFonts w:ascii="Tahoma" w:hAnsi="Tahoma" w:cs="Tahoma"/>
          <w:sz w:val="20"/>
          <w:szCs w:val="20"/>
        </w:rPr>
        <w:t>Afin</w:t>
      </w:r>
      <w:r w:rsidR="00DB1635" w:rsidRPr="00B004EE">
        <w:rPr>
          <w:rFonts w:ascii="Tahoma" w:hAnsi="Tahoma" w:cs="Tahoma"/>
          <w:sz w:val="20"/>
          <w:szCs w:val="20"/>
        </w:rPr>
        <w:t xml:space="preserve"> </w:t>
      </w:r>
      <w:r w:rsidRPr="00B004EE">
        <w:rPr>
          <w:rFonts w:ascii="Tahoma" w:hAnsi="Tahoma" w:cs="Tahoma"/>
          <w:sz w:val="20"/>
          <w:szCs w:val="20"/>
        </w:rPr>
        <w:t>d'assurer</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respect</w:t>
      </w:r>
      <w:r w:rsidR="00DB1635" w:rsidRPr="00B004EE">
        <w:rPr>
          <w:rFonts w:ascii="Tahoma" w:hAnsi="Tahoma" w:cs="Tahoma"/>
          <w:sz w:val="20"/>
          <w:szCs w:val="20"/>
        </w:rPr>
        <w:t xml:space="preserve"> </w:t>
      </w:r>
      <w:r w:rsidRPr="00B004EE">
        <w:rPr>
          <w:rFonts w:ascii="Tahoma" w:hAnsi="Tahoma" w:cs="Tahoma"/>
          <w:sz w:val="20"/>
          <w:szCs w:val="20"/>
        </w:rPr>
        <w:t>effectif</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l'obligation</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débarquement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pacing w:val="49"/>
          <w:sz w:val="20"/>
          <w:szCs w:val="20"/>
        </w:rPr>
        <w:t xml:space="preserve"> </w:t>
      </w:r>
      <w:r w:rsidRPr="00B004EE">
        <w:rPr>
          <w:rFonts w:ascii="Tahoma" w:hAnsi="Tahoma" w:cs="Tahoma"/>
          <w:sz w:val="20"/>
          <w:szCs w:val="20"/>
        </w:rPr>
        <w:t>ou</w:t>
      </w:r>
      <w:r w:rsidR="00DB1635" w:rsidRPr="00B004EE">
        <w:rPr>
          <w:rFonts w:ascii="Tahoma" w:hAnsi="Tahoma" w:cs="Tahoma"/>
          <w:w w:val="95"/>
          <w:sz w:val="20"/>
          <w:szCs w:val="20"/>
        </w:rPr>
        <w:t xml:space="preserve"> </w:t>
      </w:r>
      <w:r w:rsidRPr="00B004EE">
        <w:rPr>
          <w:rFonts w:ascii="Tahoma" w:hAnsi="Tahoma" w:cs="Tahoma"/>
          <w:sz w:val="20"/>
          <w:szCs w:val="20"/>
        </w:rPr>
        <w:t>captures</w:t>
      </w:r>
      <w:r w:rsidR="00DB1635" w:rsidRPr="00B004EE">
        <w:rPr>
          <w:rFonts w:ascii="Tahoma" w:hAnsi="Tahoma" w:cs="Tahoma"/>
          <w:spacing w:val="18"/>
          <w:sz w:val="20"/>
          <w:szCs w:val="20"/>
        </w:rPr>
        <w:t xml:space="preserve"> </w:t>
      </w:r>
      <w:r w:rsidRPr="00B004EE">
        <w:rPr>
          <w:rFonts w:ascii="Tahoma" w:hAnsi="Tahoma" w:cs="Tahoma"/>
          <w:sz w:val="20"/>
          <w:szCs w:val="20"/>
        </w:rPr>
        <w:t>en</w:t>
      </w:r>
      <w:r w:rsidR="00DB1635" w:rsidRPr="00B004EE">
        <w:rPr>
          <w:rFonts w:ascii="Tahoma" w:hAnsi="Tahoma" w:cs="Tahoma"/>
          <w:spacing w:val="18"/>
          <w:sz w:val="20"/>
          <w:szCs w:val="20"/>
        </w:rPr>
        <w:t xml:space="preserve"> </w:t>
      </w:r>
      <w:r w:rsidRPr="00B004EE">
        <w:rPr>
          <w:rFonts w:ascii="Tahoma" w:hAnsi="Tahoma" w:cs="Tahoma"/>
          <w:sz w:val="20"/>
          <w:szCs w:val="20"/>
        </w:rPr>
        <w:t>Mauritanie,</w:t>
      </w:r>
      <w:r w:rsidR="00DB1635" w:rsidRPr="00B004EE">
        <w:rPr>
          <w:rFonts w:ascii="Tahoma" w:hAnsi="Tahoma" w:cs="Tahoma"/>
          <w:spacing w:val="18"/>
          <w:sz w:val="20"/>
          <w:szCs w:val="20"/>
        </w:rPr>
        <w:t xml:space="preserve"> </w:t>
      </w:r>
      <w:r w:rsidRPr="00B004EE">
        <w:rPr>
          <w:rFonts w:ascii="Tahoma" w:hAnsi="Tahoma" w:cs="Tahoma"/>
          <w:sz w:val="20"/>
          <w:szCs w:val="20"/>
        </w:rPr>
        <w:t>les</w:t>
      </w:r>
      <w:r w:rsidR="00DB1635" w:rsidRPr="00B004EE">
        <w:rPr>
          <w:rFonts w:ascii="Tahoma" w:hAnsi="Tahoma" w:cs="Tahoma"/>
          <w:spacing w:val="18"/>
          <w:sz w:val="20"/>
          <w:szCs w:val="20"/>
        </w:rPr>
        <w:t xml:space="preserve"> </w:t>
      </w:r>
      <w:r w:rsidRPr="00B004EE">
        <w:rPr>
          <w:rFonts w:ascii="Tahoma" w:hAnsi="Tahoma" w:cs="Tahoma"/>
          <w:sz w:val="20"/>
          <w:szCs w:val="20"/>
        </w:rPr>
        <w:t>modalités</w:t>
      </w:r>
      <w:r w:rsidR="00DB1635" w:rsidRPr="00B004EE">
        <w:rPr>
          <w:rFonts w:ascii="Tahoma" w:hAnsi="Tahoma" w:cs="Tahoma"/>
          <w:spacing w:val="18"/>
          <w:sz w:val="20"/>
          <w:szCs w:val="20"/>
        </w:rPr>
        <w:t xml:space="preserve"> </w:t>
      </w:r>
      <w:r w:rsidRPr="00B004EE">
        <w:rPr>
          <w:rFonts w:ascii="Tahoma" w:hAnsi="Tahoma" w:cs="Tahoma"/>
          <w:sz w:val="20"/>
          <w:szCs w:val="20"/>
        </w:rPr>
        <w:t>de</w:t>
      </w:r>
      <w:r w:rsidR="00DB1635" w:rsidRPr="00B004EE">
        <w:rPr>
          <w:rFonts w:ascii="Tahoma" w:hAnsi="Tahoma" w:cs="Tahoma"/>
          <w:spacing w:val="18"/>
          <w:sz w:val="20"/>
          <w:szCs w:val="20"/>
        </w:rPr>
        <w:t xml:space="preserve"> </w:t>
      </w:r>
      <w:r w:rsidRPr="00B004EE">
        <w:rPr>
          <w:rFonts w:ascii="Tahoma" w:hAnsi="Tahoma" w:cs="Tahoma"/>
          <w:sz w:val="20"/>
          <w:szCs w:val="20"/>
        </w:rPr>
        <w:t>suivi</w:t>
      </w:r>
      <w:r w:rsidR="00DB1635" w:rsidRPr="00B004EE">
        <w:rPr>
          <w:rFonts w:ascii="Tahoma" w:hAnsi="Tahoma" w:cs="Tahoma"/>
          <w:spacing w:val="18"/>
          <w:sz w:val="20"/>
          <w:szCs w:val="20"/>
        </w:rPr>
        <w:t xml:space="preserve"> </w:t>
      </w:r>
      <w:r w:rsidRPr="00B004EE">
        <w:rPr>
          <w:rFonts w:ascii="Tahoma" w:hAnsi="Tahoma" w:cs="Tahoma"/>
          <w:sz w:val="20"/>
          <w:szCs w:val="20"/>
        </w:rPr>
        <w:t>et</w:t>
      </w:r>
      <w:r w:rsidR="00DB1635" w:rsidRPr="00B004EE">
        <w:rPr>
          <w:rFonts w:ascii="Tahoma" w:hAnsi="Tahoma" w:cs="Tahoma"/>
          <w:spacing w:val="18"/>
          <w:sz w:val="20"/>
          <w:szCs w:val="20"/>
        </w:rPr>
        <w:t xml:space="preserve"> </w:t>
      </w:r>
      <w:r w:rsidRPr="00B004EE">
        <w:rPr>
          <w:rFonts w:ascii="Tahoma" w:hAnsi="Tahoma" w:cs="Tahoma"/>
          <w:sz w:val="20"/>
          <w:szCs w:val="20"/>
        </w:rPr>
        <w:t>de</w:t>
      </w:r>
      <w:r w:rsidR="00DB1635" w:rsidRPr="00B004EE">
        <w:rPr>
          <w:rFonts w:ascii="Tahoma" w:hAnsi="Tahoma" w:cs="Tahoma"/>
          <w:spacing w:val="22"/>
          <w:sz w:val="20"/>
          <w:szCs w:val="20"/>
        </w:rPr>
        <w:t xml:space="preserve"> </w:t>
      </w:r>
      <w:r w:rsidRPr="00B004EE">
        <w:rPr>
          <w:rFonts w:ascii="Tahoma" w:hAnsi="Tahoma" w:cs="Tahoma"/>
          <w:sz w:val="20"/>
          <w:szCs w:val="20"/>
        </w:rPr>
        <w:t>contrôle</w:t>
      </w:r>
      <w:r w:rsidR="00DB1635" w:rsidRPr="00B004EE">
        <w:rPr>
          <w:rFonts w:ascii="Tahoma" w:hAnsi="Tahoma" w:cs="Tahoma"/>
          <w:spacing w:val="18"/>
          <w:sz w:val="20"/>
          <w:szCs w:val="20"/>
        </w:rPr>
        <w:t xml:space="preserve"> </w:t>
      </w:r>
      <w:r w:rsidRPr="00B004EE">
        <w:rPr>
          <w:rFonts w:ascii="Tahoma" w:hAnsi="Tahoma" w:cs="Tahoma"/>
          <w:sz w:val="20"/>
          <w:szCs w:val="20"/>
        </w:rPr>
        <w:t>des</w:t>
      </w:r>
      <w:r w:rsidR="00DB1635" w:rsidRPr="00B004EE">
        <w:rPr>
          <w:rFonts w:ascii="Tahoma" w:hAnsi="Tahoma" w:cs="Tahoma"/>
          <w:spacing w:val="18"/>
          <w:sz w:val="20"/>
          <w:szCs w:val="20"/>
        </w:rPr>
        <w:t xml:space="preserve"> </w:t>
      </w:r>
      <w:r w:rsidRPr="00B004EE">
        <w:rPr>
          <w:rFonts w:ascii="Tahoma" w:hAnsi="Tahoma" w:cs="Tahoma"/>
          <w:sz w:val="20"/>
          <w:szCs w:val="20"/>
        </w:rPr>
        <w:t>marées</w:t>
      </w:r>
      <w:r w:rsidR="00DB1635" w:rsidRPr="00B004EE">
        <w:rPr>
          <w:rFonts w:ascii="Tahoma" w:hAnsi="Tahoma" w:cs="Tahoma"/>
          <w:spacing w:val="15"/>
          <w:sz w:val="20"/>
          <w:szCs w:val="20"/>
        </w:rPr>
        <w:t xml:space="preserve"> </w:t>
      </w:r>
      <w:r w:rsidRPr="00B004EE">
        <w:rPr>
          <w:rFonts w:ascii="Tahoma" w:hAnsi="Tahoma" w:cs="Tahoma"/>
          <w:sz w:val="20"/>
          <w:szCs w:val="20"/>
        </w:rPr>
        <w:t>et</w:t>
      </w:r>
      <w:r w:rsidR="00DB1635" w:rsidRPr="00B004EE">
        <w:rPr>
          <w:rFonts w:ascii="Tahoma" w:hAnsi="Tahoma" w:cs="Tahoma"/>
          <w:spacing w:val="16"/>
          <w:sz w:val="20"/>
          <w:szCs w:val="20"/>
        </w:rPr>
        <w:t xml:space="preserve"> </w:t>
      </w:r>
      <w:r w:rsidRPr="00B004EE">
        <w:rPr>
          <w:rFonts w:ascii="Tahoma" w:hAnsi="Tahoma" w:cs="Tahoma"/>
          <w:sz w:val="20"/>
          <w:szCs w:val="20"/>
        </w:rPr>
        <w:t>des</w:t>
      </w:r>
      <w:r w:rsidR="00DB1635" w:rsidRPr="00B004EE">
        <w:rPr>
          <w:rFonts w:ascii="Tahoma" w:hAnsi="Tahoma" w:cs="Tahoma"/>
          <w:w w:val="94"/>
          <w:sz w:val="20"/>
          <w:szCs w:val="20"/>
        </w:rPr>
        <w:t xml:space="preserve"> </w:t>
      </w:r>
      <w:r w:rsidRPr="00B004EE">
        <w:rPr>
          <w:rFonts w:ascii="Tahoma" w:hAnsi="Tahoma" w:cs="Tahoma"/>
          <w:sz w:val="20"/>
          <w:szCs w:val="20"/>
        </w:rPr>
        <w:t>opérations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carénage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navires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définies</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arrêté</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pacing w:val="-29"/>
          <w:sz w:val="20"/>
          <w:szCs w:val="20"/>
        </w:rPr>
        <w:t xml:space="preserve"> </w:t>
      </w:r>
      <w:r w:rsidRPr="00B004EE">
        <w:rPr>
          <w:rFonts w:ascii="Tahoma" w:hAnsi="Tahoma" w:cs="Tahoma"/>
          <w:sz w:val="20"/>
          <w:szCs w:val="20"/>
        </w:rPr>
        <w:t>ministre</w:t>
      </w:r>
      <w:r w:rsidR="00DB1635" w:rsidRPr="00B004EE">
        <w:rPr>
          <w:rFonts w:ascii="Tahoma" w:hAnsi="Tahoma" w:cs="Tahoma"/>
          <w:w w:val="94"/>
          <w:sz w:val="20"/>
          <w:szCs w:val="20"/>
        </w:rPr>
        <w:t xml:space="preserve"> </w:t>
      </w:r>
      <w:r w:rsidRPr="00B004EE">
        <w:rPr>
          <w:rFonts w:ascii="Tahoma" w:hAnsi="Tahoma" w:cs="Tahoma"/>
          <w:w w:val="95"/>
          <w:sz w:val="20"/>
          <w:szCs w:val="20"/>
        </w:rPr>
        <w:t>chargé</w:t>
      </w:r>
      <w:r w:rsidR="00DB1635" w:rsidRPr="00B004EE">
        <w:rPr>
          <w:rFonts w:ascii="Tahoma" w:hAnsi="Tahoma" w:cs="Tahoma"/>
          <w:w w:val="95"/>
          <w:sz w:val="20"/>
          <w:szCs w:val="20"/>
        </w:rPr>
        <w:t xml:space="preserve"> </w:t>
      </w:r>
      <w:r w:rsidRPr="00B004EE">
        <w:rPr>
          <w:rFonts w:ascii="Tahoma" w:hAnsi="Tahoma" w:cs="Tahoma"/>
          <w:w w:val="95"/>
          <w:sz w:val="20"/>
          <w:szCs w:val="20"/>
        </w:rPr>
        <w:t>des</w:t>
      </w:r>
      <w:r w:rsidR="00DB1635" w:rsidRPr="00B004EE">
        <w:rPr>
          <w:rFonts w:ascii="Tahoma" w:hAnsi="Tahoma" w:cs="Tahoma"/>
          <w:spacing w:val="-3"/>
          <w:w w:val="95"/>
          <w:sz w:val="20"/>
          <w:szCs w:val="20"/>
        </w:rPr>
        <w:t xml:space="preserve"> </w:t>
      </w:r>
      <w:r w:rsidRPr="00B004EE">
        <w:rPr>
          <w:rFonts w:ascii="Tahoma" w:hAnsi="Tahoma" w:cs="Tahoma"/>
          <w:w w:val="95"/>
          <w:sz w:val="20"/>
          <w:szCs w:val="20"/>
        </w:rPr>
        <w:t>pêches.</w:t>
      </w:r>
    </w:p>
    <w:p w14:paraId="6711F1A8" w14:textId="77777777" w:rsidR="001E7C3C" w:rsidRPr="00B004EE" w:rsidRDefault="001E7C3C" w:rsidP="00B004EE">
      <w:pPr>
        <w:rPr>
          <w:rFonts w:ascii="Tahoma" w:eastAsia="American Typewriter" w:hAnsi="Tahoma" w:cs="Tahoma"/>
          <w:sz w:val="20"/>
          <w:szCs w:val="20"/>
        </w:rPr>
      </w:pPr>
    </w:p>
    <w:p w14:paraId="3670B0F1" w14:textId="42C1C3D7" w:rsidR="001E7C3C" w:rsidRPr="00B004EE" w:rsidRDefault="001E7C3C" w:rsidP="00B004EE">
      <w:pPr>
        <w:ind w:right="164" w:hanging="4"/>
        <w:jc w:val="center"/>
        <w:rPr>
          <w:rFonts w:ascii="Tahoma" w:hAnsi="Tahoma" w:cs="Tahoma"/>
          <w:b/>
          <w:spacing w:val="1"/>
          <w:w w:val="113"/>
          <w:sz w:val="20"/>
          <w:szCs w:val="20"/>
        </w:rPr>
      </w:pPr>
      <w:bookmarkStart w:id="65" w:name="_Toc16279065"/>
      <w:bookmarkStart w:id="66" w:name="_Toc16279434"/>
      <w:r w:rsidRPr="00B004EE">
        <w:rPr>
          <w:rFonts w:ascii="Tahoma" w:hAnsi="Tahoma" w:cs="Tahoma"/>
          <w:b/>
          <w:spacing w:val="1"/>
          <w:w w:val="113"/>
          <w:sz w:val="20"/>
          <w:szCs w:val="20"/>
        </w:rPr>
        <w:t>Section</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4</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Des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droits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et</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taxes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sur</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les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produits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de</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la</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pêche</w:t>
      </w:r>
      <w:bookmarkEnd w:id="65"/>
      <w:bookmarkEnd w:id="66"/>
    </w:p>
    <w:p w14:paraId="1C40F182" w14:textId="77777777" w:rsidR="001E7C3C" w:rsidRPr="00B004EE" w:rsidRDefault="001E7C3C" w:rsidP="00B004EE">
      <w:pPr>
        <w:rPr>
          <w:rFonts w:ascii="Tahoma" w:eastAsia="American Typewriter" w:hAnsi="Tahoma" w:cs="Tahoma"/>
          <w:b/>
          <w:bCs/>
          <w:sz w:val="20"/>
          <w:szCs w:val="20"/>
        </w:rPr>
      </w:pPr>
    </w:p>
    <w:p w14:paraId="027DC78C" w14:textId="2FB183E1" w:rsidR="001E7C3C" w:rsidRPr="00B004EE" w:rsidRDefault="001E7C3C" w:rsidP="00B004EE">
      <w:pPr>
        <w:pStyle w:val="Corpsdetexte"/>
        <w:ind w:right="158"/>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42</w:t>
      </w:r>
      <w:r w:rsidR="00DB1635" w:rsidRPr="00B004EE">
        <w:rPr>
          <w:rFonts w:ascii="Tahoma" w:hAnsi="Tahoma" w:cs="Tahoma"/>
          <w:bCs/>
          <w:sz w:val="20"/>
          <w:szCs w:val="20"/>
        </w:rPr>
        <w:t xml:space="preserve"> </w:t>
      </w:r>
      <w:r w:rsidRPr="00B004EE">
        <w:rPr>
          <w:rFonts w:ascii="Tahoma" w:hAnsi="Tahoma" w:cs="Tahoma"/>
          <w:bCs/>
          <w:sz w:val="20"/>
          <w:szCs w:val="20"/>
        </w:rPr>
        <w:t>:</w:t>
      </w:r>
      <w:r w:rsidR="00DB1635" w:rsidRPr="00B004EE">
        <w:rPr>
          <w:rFonts w:ascii="Tahoma" w:hAnsi="Tahoma" w:cs="Tahoma"/>
          <w:b/>
          <w:spacing w:val="-2"/>
          <w:sz w:val="20"/>
          <w:szCs w:val="20"/>
        </w:rPr>
        <w:t xml:space="preserve"> </w:t>
      </w:r>
      <w:r w:rsidRPr="00B004EE">
        <w:rPr>
          <w:rFonts w:ascii="Tahoma" w:hAnsi="Tahoma" w:cs="Tahoma"/>
          <w:sz w:val="20"/>
          <w:szCs w:val="20"/>
        </w:rPr>
        <w:t>Les</w:t>
      </w:r>
      <w:r w:rsidR="00DB1635" w:rsidRPr="00B004EE">
        <w:rPr>
          <w:rFonts w:ascii="Tahoma" w:hAnsi="Tahoma" w:cs="Tahoma"/>
          <w:spacing w:val="-5"/>
          <w:sz w:val="20"/>
          <w:szCs w:val="20"/>
        </w:rPr>
        <w:t xml:space="preserve"> </w:t>
      </w:r>
      <w:r w:rsidRPr="00B004EE">
        <w:rPr>
          <w:rFonts w:ascii="Tahoma" w:hAnsi="Tahoma" w:cs="Tahoma"/>
          <w:sz w:val="20"/>
          <w:szCs w:val="20"/>
        </w:rPr>
        <w:t>produits</w:t>
      </w:r>
      <w:r w:rsidR="00DB1635" w:rsidRPr="00B004EE">
        <w:rPr>
          <w:rFonts w:ascii="Tahoma" w:hAnsi="Tahoma" w:cs="Tahoma"/>
          <w:spacing w:val="-5"/>
          <w:sz w:val="20"/>
          <w:szCs w:val="20"/>
        </w:rPr>
        <w:t xml:space="preserve"> </w:t>
      </w:r>
      <w:r w:rsidRPr="00B004EE">
        <w:rPr>
          <w:rFonts w:ascii="Tahoma" w:hAnsi="Tahoma" w:cs="Tahoma"/>
          <w:sz w:val="20"/>
          <w:szCs w:val="20"/>
        </w:rPr>
        <w:t>de</w:t>
      </w:r>
      <w:r w:rsidR="00DB1635" w:rsidRPr="00B004EE">
        <w:rPr>
          <w:rFonts w:ascii="Tahoma" w:hAnsi="Tahoma" w:cs="Tahoma"/>
          <w:spacing w:val="-5"/>
          <w:sz w:val="20"/>
          <w:szCs w:val="20"/>
        </w:rPr>
        <w:t xml:space="preserve"> </w:t>
      </w:r>
      <w:r w:rsidRPr="00B004EE">
        <w:rPr>
          <w:rFonts w:ascii="Tahoma" w:hAnsi="Tahoma" w:cs="Tahoma"/>
          <w:sz w:val="20"/>
          <w:szCs w:val="20"/>
        </w:rPr>
        <w:t>la</w:t>
      </w:r>
      <w:r w:rsidR="00DB1635" w:rsidRPr="00B004EE">
        <w:rPr>
          <w:rFonts w:ascii="Tahoma" w:hAnsi="Tahoma" w:cs="Tahoma"/>
          <w:spacing w:val="-5"/>
          <w:sz w:val="20"/>
          <w:szCs w:val="20"/>
        </w:rPr>
        <w:t xml:space="preserve"> </w:t>
      </w:r>
      <w:r w:rsidRPr="00B004EE">
        <w:rPr>
          <w:rFonts w:ascii="Tahoma" w:hAnsi="Tahoma" w:cs="Tahoma"/>
          <w:sz w:val="20"/>
          <w:szCs w:val="20"/>
        </w:rPr>
        <w:t>pêche</w:t>
      </w:r>
      <w:r w:rsidR="00DB1635" w:rsidRPr="00B004EE">
        <w:rPr>
          <w:rFonts w:ascii="Tahoma" w:hAnsi="Tahoma" w:cs="Tahoma"/>
          <w:spacing w:val="-5"/>
          <w:sz w:val="20"/>
          <w:szCs w:val="20"/>
        </w:rPr>
        <w:t xml:space="preserve"> </w:t>
      </w:r>
      <w:r w:rsidRPr="00B004EE">
        <w:rPr>
          <w:rFonts w:ascii="Tahoma" w:hAnsi="Tahoma" w:cs="Tahoma"/>
          <w:sz w:val="20"/>
          <w:szCs w:val="20"/>
        </w:rPr>
        <w:t>sont</w:t>
      </w:r>
      <w:r w:rsidR="00DB1635" w:rsidRPr="00B004EE">
        <w:rPr>
          <w:rFonts w:ascii="Tahoma" w:hAnsi="Tahoma" w:cs="Tahoma"/>
          <w:spacing w:val="-5"/>
          <w:sz w:val="20"/>
          <w:szCs w:val="20"/>
        </w:rPr>
        <w:t xml:space="preserve"> </w:t>
      </w:r>
      <w:r w:rsidRPr="00B004EE">
        <w:rPr>
          <w:rFonts w:ascii="Tahoma" w:hAnsi="Tahoma" w:cs="Tahoma"/>
          <w:sz w:val="20"/>
          <w:szCs w:val="20"/>
        </w:rPr>
        <w:t>assujettis</w:t>
      </w:r>
      <w:r w:rsidR="00DB1635" w:rsidRPr="00B004EE">
        <w:rPr>
          <w:rFonts w:ascii="Tahoma" w:hAnsi="Tahoma" w:cs="Tahoma"/>
          <w:spacing w:val="-5"/>
          <w:sz w:val="20"/>
          <w:szCs w:val="20"/>
        </w:rPr>
        <w:t xml:space="preserve"> </w:t>
      </w:r>
      <w:r w:rsidRPr="00B004EE">
        <w:rPr>
          <w:rFonts w:ascii="Tahoma" w:hAnsi="Tahoma" w:cs="Tahoma"/>
          <w:sz w:val="20"/>
          <w:szCs w:val="20"/>
        </w:rPr>
        <w:t>au</w:t>
      </w:r>
      <w:r w:rsidR="00DB1635" w:rsidRPr="00B004EE">
        <w:rPr>
          <w:rFonts w:ascii="Tahoma" w:hAnsi="Tahoma" w:cs="Tahoma"/>
          <w:spacing w:val="-5"/>
          <w:sz w:val="20"/>
          <w:szCs w:val="20"/>
        </w:rPr>
        <w:t xml:space="preserve"> </w:t>
      </w:r>
      <w:r w:rsidRPr="00B004EE">
        <w:rPr>
          <w:rFonts w:ascii="Tahoma" w:hAnsi="Tahoma" w:cs="Tahoma"/>
          <w:sz w:val="20"/>
          <w:szCs w:val="20"/>
        </w:rPr>
        <w:t>paiement</w:t>
      </w:r>
      <w:r w:rsidR="00DB1635" w:rsidRPr="00B004EE">
        <w:rPr>
          <w:rFonts w:ascii="Tahoma" w:hAnsi="Tahoma" w:cs="Tahoma"/>
          <w:spacing w:val="-1"/>
          <w:sz w:val="20"/>
          <w:szCs w:val="20"/>
        </w:rPr>
        <w:t xml:space="preserve"> </w:t>
      </w:r>
      <w:r w:rsidRPr="00B004EE">
        <w:rPr>
          <w:rFonts w:ascii="Tahoma" w:hAnsi="Tahoma" w:cs="Tahoma"/>
          <w:sz w:val="20"/>
          <w:szCs w:val="20"/>
        </w:rPr>
        <w:t>des</w:t>
      </w:r>
      <w:r w:rsidR="00DB1635" w:rsidRPr="00B004EE">
        <w:rPr>
          <w:rFonts w:ascii="Tahoma" w:hAnsi="Tahoma" w:cs="Tahoma"/>
          <w:spacing w:val="-5"/>
          <w:sz w:val="20"/>
          <w:szCs w:val="20"/>
        </w:rPr>
        <w:t xml:space="preserve"> </w:t>
      </w:r>
      <w:r w:rsidRPr="00B004EE">
        <w:rPr>
          <w:rFonts w:ascii="Tahoma" w:hAnsi="Tahoma" w:cs="Tahoma"/>
          <w:sz w:val="20"/>
          <w:szCs w:val="20"/>
        </w:rPr>
        <w:t>redevances,</w:t>
      </w:r>
      <w:r w:rsidR="00DB1635" w:rsidRPr="00B004EE">
        <w:rPr>
          <w:rFonts w:ascii="Tahoma" w:hAnsi="Tahoma" w:cs="Tahoma"/>
          <w:w w:val="95"/>
          <w:sz w:val="20"/>
          <w:szCs w:val="20"/>
        </w:rPr>
        <w:t xml:space="preserve"> </w:t>
      </w:r>
      <w:r w:rsidRPr="00B004EE">
        <w:rPr>
          <w:rFonts w:ascii="Tahoma" w:hAnsi="Tahoma" w:cs="Tahoma"/>
          <w:sz w:val="20"/>
          <w:szCs w:val="20"/>
        </w:rPr>
        <w:t>droits</w:t>
      </w:r>
      <w:r w:rsidR="00DB1635" w:rsidRPr="00B004EE">
        <w:rPr>
          <w:rFonts w:ascii="Tahoma" w:hAnsi="Tahoma" w:cs="Tahoma"/>
          <w:spacing w:val="-28"/>
          <w:sz w:val="20"/>
          <w:szCs w:val="20"/>
        </w:rPr>
        <w:t xml:space="preserve"> </w:t>
      </w:r>
      <w:r w:rsidRPr="00B004EE">
        <w:rPr>
          <w:rFonts w:ascii="Tahoma" w:hAnsi="Tahoma" w:cs="Tahoma"/>
          <w:sz w:val="20"/>
          <w:szCs w:val="20"/>
        </w:rPr>
        <w:t>et</w:t>
      </w:r>
      <w:r w:rsidR="00DB1635" w:rsidRPr="00B004EE">
        <w:rPr>
          <w:rFonts w:ascii="Tahoma" w:hAnsi="Tahoma" w:cs="Tahoma"/>
          <w:spacing w:val="-27"/>
          <w:sz w:val="20"/>
          <w:szCs w:val="20"/>
        </w:rPr>
        <w:t xml:space="preserve"> </w:t>
      </w:r>
      <w:r w:rsidRPr="00B004EE">
        <w:rPr>
          <w:rFonts w:ascii="Tahoma" w:hAnsi="Tahoma" w:cs="Tahoma"/>
          <w:sz w:val="20"/>
          <w:szCs w:val="20"/>
        </w:rPr>
        <w:t>taxes</w:t>
      </w:r>
      <w:r w:rsidR="00DB1635" w:rsidRPr="00B004EE">
        <w:rPr>
          <w:rFonts w:ascii="Tahoma" w:hAnsi="Tahoma" w:cs="Tahoma"/>
          <w:spacing w:val="-28"/>
          <w:sz w:val="20"/>
          <w:szCs w:val="20"/>
        </w:rPr>
        <w:t xml:space="preserve"> </w:t>
      </w:r>
      <w:r w:rsidRPr="00B004EE">
        <w:rPr>
          <w:rFonts w:ascii="Tahoma" w:hAnsi="Tahoma" w:cs="Tahoma"/>
          <w:sz w:val="20"/>
          <w:szCs w:val="20"/>
        </w:rPr>
        <w:t>institués</w:t>
      </w:r>
      <w:r w:rsidR="00DB1635" w:rsidRPr="00B004EE">
        <w:rPr>
          <w:rFonts w:ascii="Tahoma" w:hAnsi="Tahoma" w:cs="Tahoma"/>
          <w:spacing w:val="-28"/>
          <w:sz w:val="20"/>
          <w:szCs w:val="20"/>
        </w:rPr>
        <w:t xml:space="preserve"> </w:t>
      </w:r>
      <w:r w:rsidRPr="00B004EE">
        <w:rPr>
          <w:rFonts w:ascii="Tahoma" w:hAnsi="Tahoma" w:cs="Tahoma"/>
          <w:sz w:val="20"/>
          <w:szCs w:val="20"/>
        </w:rPr>
        <w:t>par</w:t>
      </w:r>
      <w:r w:rsidR="00DB1635" w:rsidRPr="00B004EE">
        <w:rPr>
          <w:rFonts w:ascii="Tahoma" w:hAnsi="Tahoma" w:cs="Tahoma"/>
          <w:spacing w:val="-28"/>
          <w:sz w:val="20"/>
          <w:szCs w:val="20"/>
        </w:rPr>
        <w:t xml:space="preserve"> </w:t>
      </w:r>
      <w:r w:rsidRPr="00B004EE">
        <w:rPr>
          <w:rFonts w:ascii="Tahoma" w:hAnsi="Tahoma" w:cs="Tahoma"/>
          <w:sz w:val="20"/>
          <w:szCs w:val="20"/>
        </w:rPr>
        <w:t>les</w:t>
      </w:r>
      <w:r w:rsidR="00DB1635" w:rsidRPr="00B004EE">
        <w:rPr>
          <w:rFonts w:ascii="Tahoma" w:hAnsi="Tahoma" w:cs="Tahoma"/>
          <w:spacing w:val="-28"/>
          <w:sz w:val="20"/>
          <w:szCs w:val="20"/>
        </w:rPr>
        <w:t xml:space="preserve"> </w:t>
      </w:r>
      <w:r w:rsidRPr="00B004EE">
        <w:rPr>
          <w:rFonts w:ascii="Tahoma" w:hAnsi="Tahoma" w:cs="Tahoma"/>
          <w:sz w:val="20"/>
          <w:szCs w:val="20"/>
        </w:rPr>
        <w:t>textes</w:t>
      </w:r>
      <w:r w:rsidR="00DB1635" w:rsidRPr="00B004EE">
        <w:rPr>
          <w:rFonts w:ascii="Tahoma" w:hAnsi="Tahoma" w:cs="Tahoma"/>
          <w:spacing w:val="-28"/>
          <w:sz w:val="20"/>
          <w:szCs w:val="20"/>
        </w:rPr>
        <w:t xml:space="preserve"> </w:t>
      </w:r>
      <w:r w:rsidRPr="00B004EE">
        <w:rPr>
          <w:rFonts w:ascii="Tahoma" w:hAnsi="Tahoma" w:cs="Tahoma"/>
          <w:sz w:val="20"/>
          <w:szCs w:val="20"/>
        </w:rPr>
        <w:t>en</w:t>
      </w:r>
      <w:r w:rsidR="00DB1635" w:rsidRPr="00B004EE">
        <w:rPr>
          <w:rFonts w:ascii="Tahoma" w:hAnsi="Tahoma" w:cs="Tahoma"/>
          <w:spacing w:val="-28"/>
          <w:sz w:val="20"/>
          <w:szCs w:val="20"/>
        </w:rPr>
        <w:t xml:space="preserve"> </w:t>
      </w:r>
      <w:r w:rsidRPr="00B004EE">
        <w:rPr>
          <w:rFonts w:ascii="Tahoma" w:hAnsi="Tahoma" w:cs="Tahoma"/>
          <w:sz w:val="20"/>
          <w:szCs w:val="20"/>
        </w:rPr>
        <w:t>vigueur.</w:t>
      </w:r>
    </w:p>
    <w:p w14:paraId="2E5CE5A1" w14:textId="77777777" w:rsidR="001E7C3C" w:rsidRPr="00B004EE" w:rsidRDefault="001E7C3C" w:rsidP="00B004EE">
      <w:pPr>
        <w:rPr>
          <w:rFonts w:ascii="Tahoma" w:eastAsia="American Typewriter" w:hAnsi="Tahoma" w:cs="Tahoma"/>
          <w:sz w:val="20"/>
          <w:szCs w:val="20"/>
        </w:rPr>
      </w:pPr>
    </w:p>
    <w:p w14:paraId="3CE22BEE" w14:textId="7FB98031" w:rsidR="001E7C3C" w:rsidRPr="00B004EE" w:rsidRDefault="001E7C3C" w:rsidP="00B004EE">
      <w:pPr>
        <w:ind w:right="164" w:hanging="4"/>
        <w:jc w:val="center"/>
        <w:rPr>
          <w:rFonts w:ascii="Tahoma" w:hAnsi="Tahoma" w:cs="Tahoma"/>
          <w:b/>
          <w:spacing w:val="1"/>
          <w:w w:val="113"/>
          <w:sz w:val="20"/>
          <w:szCs w:val="20"/>
        </w:rPr>
      </w:pPr>
      <w:bookmarkStart w:id="67" w:name="_Toc16279066"/>
      <w:bookmarkStart w:id="68" w:name="_Toc16279435"/>
      <w:r w:rsidRPr="00B004EE">
        <w:rPr>
          <w:rFonts w:ascii="Tahoma" w:hAnsi="Tahoma" w:cs="Tahoma"/>
          <w:b/>
          <w:spacing w:val="1"/>
          <w:w w:val="113"/>
          <w:sz w:val="20"/>
          <w:szCs w:val="20"/>
        </w:rPr>
        <w:t>Section</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5</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Du</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registre</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des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navires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de</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pêche</w:t>
      </w:r>
      <w:bookmarkEnd w:id="67"/>
      <w:bookmarkEnd w:id="68"/>
    </w:p>
    <w:p w14:paraId="4BBC1D28" w14:textId="77777777" w:rsidR="001E7C3C" w:rsidRPr="00B004EE" w:rsidRDefault="001E7C3C" w:rsidP="00B004EE">
      <w:pPr>
        <w:rPr>
          <w:rFonts w:ascii="Tahoma" w:eastAsia="American Typewriter" w:hAnsi="Tahoma" w:cs="Tahoma"/>
          <w:b/>
          <w:bCs/>
          <w:sz w:val="20"/>
          <w:szCs w:val="20"/>
        </w:rPr>
      </w:pPr>
    </w:p>
    <w:p w14:paraId="0AB75D41" w14:textId="4730FDB6" w:rsidR="001E7C3C" w:rsidRPr="00B004EE" w:rsidRDefault="001E7C3C" w:rsidP="00B004EE">
      <w:pPr>
        <w:pStyle w:val="Corpsdetexte"/>
        <w:ind w:right="159"/>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43</w:t>
      </w:r>
      <w:r w:rsidR="00DB1635" w:rsidRPr="00B004EE">
        <w:rPr>
          <w:rFonts w:ascii="Tahoma" w:hAnsi="Tahoma" w:cs="Tahoma"/>
          <w:bCs/>
          <w:sz w:val="20"/>
          <w:szCs w:val="20"/>
        </w:rPr>
        <w:t xml:space="preserve"> </w:t>
      </w:r>
      <w:r w:rsidRPr="00B004EE">
        <w:rPr>
          <w:rFonts w:ascii="Tahoma" w:hAnsi="Tahoma" w:cs="Tahoma"/>
          <w:bCs/>
          <w:sz w:val="20"/>
          <w:szCs w:val="20"/>
        </w:rPr>
        <w:t>:</w:t>
      </w:r>
      <w:r w:rsidR="00DB1635" w:rsidRPr="00B004EE">
        <w:rPr>
          <w:rFonts w:ascii="Tahoma" w:hAnsi="Tahoma" w:cs="Tahoma"/>
          <w:bCs/>
          <w:sz w:val="20"/>
          <w:szCs w:val="20"/>
        </w:rPr>
        <w:t xml:space="preserve"> </w:t>
      </w:r>
      <w:r w:rsidRPr="00B004EE">
        <w:rPr>
          <w:rFonts w:ascii="Tahoma" w:hAnsi="Tahoma" w:cs="Tahoma"/>
          <w:bCs/>
          <w:sz w:val="20"/>
          <w:szCs w:val="20"/>
        </w:rPr>
        <w:t>Le</w:t>
      </w:r>
      <w:r w:rsidR="00DB1635" w:rsidRPr="00B004EE">
        <w:rPr>
          <w:rFonts w:ascii="Tahoma" w:hAnsi="Tahoma" w:cs="Tahoma"/>
          <w:sz w:val="20"/>
          <w:szCs w:val="20"/>
        </w:rPr>
        <w:t xml:space="preserve"> </w:t>
      </w:r>
      <w:r w:rsidRPr="00B004EE">
        <w:rPr>
          <w:rFonts w:ascii="Tahoma" w:hAnsi="Tahoma" w:cs="Tahoma"/>
          <w:sz w:val="20"/>
          <w:szCs w:val="20"/>
        </w:rPr>
        <w:t>ministre</w:t>
      </w:r>
      <w:r w:rsidR="00DB1635" w:rsidRPr="00B004EE">
        <w:rPr>
          <w:rFonts w:ascii="Tahoma" w:hAnsi="Tahoma" w:cs="Tahoma"/>
          <w:sz w:val="20"/>
          <w:szCs w:val="20"/>
        </w:rPr>
        <w:t xml:space="preserve"> </w:t>
      </w:r>
      <w:r w:rsidRPr="00B004EE">
        <w:rPr>
          <w:rFonts w:ascii="Tahoma" w:hAnsi="Tahoma" w:cs="Tahoma"/>
          <w:sz w:val="20"/>
          <w:szCs w:val="20"/>
        </w:rPr>
        <w:t>chargé</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sz w:val="20"/>
          <w:szCs w:val="20"/>
        </w:rPr>
        <w:t xml:space="preserve"> </w:t>
      </w:r>
      <w:r w:rsidRPr="00B004EE">
        <w:rPr>
          <w:rFonts w:ascii="Tahoma" w:hAnsi="Tahoma" w:cs="Tahoma"/>
          <w:sz w:val="20"/>
          <w:szCs w:val="20"/>
        </w:rPr>
        <w:t>peut</w:t>
      </w:r>
      <w:r w:rsidR="00DB1635" w:rsidRPr="00B004EE">
        <w:rPr>
          <w:rFonts w:ascii="Tahoma" w:hAnsi="Tahoma" w:cs="Tahoma"/>
          <w:sz w:val="20"/>
          <w:szCs w:val="20"/>
        </w:rPr>
        <w:t xml:space="preserve"> </w:t>
      </w:r>
      <w:r w:rsidRPr="00B004EE">
        <w:rPr>
          <w:rFonts w:ascii="Tahoma" w:hAnsi="Tahoma" w:cs="Tahoma"/>
          <w:sz w:val="20"/>
          <w:szCs w:val="20"/>
        </w:rPr>
        <w:t>instituer,</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arrêté,</w:t>
      </w:r>
      <w:r w:rsidR="00DB1635" w:rsidRPr="00B004EE">
        <w:rPr>
          <w:rFonts w:ascii="Tahoma" w:hAnsi="Tahoma" w:cs="Tahoma"/>
          <w:sz w:val="20"/>
          <w:szCs w:val="20"/>
        </w:rPr>
        <w:t xml:space="preserve"> </w:t>
      </w:r>
      <w:r w:rsidRPr="00B004EE">
        <w:rPr>
          <w:rFonts w:ascii="Tahoma" w:hAnsi="Tahoma" w:cs="Tahoma"/>
          <w:sz w:val="20"/>
          <w:szCs w:val="20"/>
        </w:rPr>
        <w:t>un</w:t>
      </w:r>
      <w:r w:rsidR="00DB1635" w:rsidRPr="00B004EE">
        <w:rPr>
          <w:rFonts w:ascii="Tahoma" w:hAnsi="Tahoma" w:cs="Tahoma"/>
          <w:spacing w:val="-1"/>
          <w:sz w:val="20"/>
          <w:szCs w:val="20"/>
        </w:rPr>
        <w:t xml:space="preserve"> </w:t>
      </w:r>
      <w:r w:rsidRPr="00B004EE">
        <w:rPr>
          <w:rFonts w:ascii="Tahoma" w:hAnsi="Tahoma" w:cs="Tahoma"/>
          <w:sz w:val="20"/>
          <w:szCs w:val="20"/>
        </w:rPr>
        <w:t>registre</w:t>
      </w:r>
      <w:r w:rsidR="00DB1635" w:rsidRPr="00B004EE">
        <w:rPr>
          <w:rFonts w:ascii="Tahoma" w:hAnsi="Tahoma" w:cs="Tahoma"/>
          <w:w w:val="94"/>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navires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ce</w:t>
      </w:r>
      <w:r w:rsidR="00DB1635" w:rsidRPr="00B004EE">
        <w:rPr>
          <w:rFonts w:ascii="Tahoma" w:hAnsi="Tahoma" w:cs="Tahoma"/>
          <w:sz w:val="20"/>
          <w:szCs w:val="20"/>
        </w:rPr>
        <w:t xml:space="preserve"> </w:t>
      </w:r>
      <w:r w:rsidRPr="00B004EE">
        <w:rPr>
          <w:rFonts w:ascii="Tahoma" w:hAnsi="Tahoma" w:cs="Tahoma"/>
          <w:sz w:val="20"/>
          <w:szCs w:val="20"/>
        </w:rPr>
        <w:t>cas,</w:t>
      </w:r>
      <w:r w:rsidR="00DB1635" w:rsidRPr="00B004EE">
        <w:rPr>
          <w:rFonts w:ascii="Tahoma" w:hAnsi="Tahoma" w:cs="Tahoma"/>
          <w:sz w:val="20"/>
          <w:szCs w:val="20"/>
        </w:rPr>
        <w:t xml:space="preserve"> </w:t>
      </w:r>
      <w:r w:rsidRPr="00B004EE">
        <w:rPr>
          <w:rFonts w:ascii="Tahoma" w:hAnsi="Tahoma" w:cs="Tahoma"/>
          <w:sz w:val="20"/>
          <w:szCs w:val="20"/>
        </w:rPr>
        <w:t>l'inscription</w:t>
      </w:r>
      <w:r w:rsidR="00DB1635" w:rsidRPr="00B004EE">
        <w:rPr>
          <w:rFonts w:ascii="Tahoma" w:hAnsi="Tahoma" w:cs="Tahoma"/>
          <w:sz w:val="20"/>
          <w:szCs w:val="20"/>
        </w:rPr>
        <w:t xml:space="preserve"> </w:t>
      </w:r>
      <w:r w:rsidRPr="00B004EE">
        <w:rPr>
          <w:rFonts w:ascii="Tahoma" w:hAnsi="Tahoma" w:cs="Tahoma"/>
          <w:sz w:val="20"/>
          <w:szCs w:val="20"/>
        </w:rPr>
        <w:t>sur</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registre</w:t>
      </w:r>
      <w:r w:rsidR="00DB1635" w:rsidRPr="00B004EE">
        <w:rPr>
          <w:rFonts w:ascii="Tahoma" w:hAnsi="Tahoma" w:cs="Tahoma"/>
          <w:sz w:val="20"/>
          <w:szCs w:val="20"/>
        </w:rPr>
        <w:t xml:space="preserve"> </w:t>
      </w:r>
      <w:r w:rsidRPr="00B004EE">
        <w:rPr>
          <w:rFonts w:ascii="Tahoma" w:hAnsi="Tahoma" w:cs="Tahoma"/>
          <w:sz w:val="20"/>
          <w:szCs w:val="20"/>
        </w:rPr>
        <w:t>sera</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pacing w:val="34"/>
          <w:sz w:val="20"/>
          <w:szCs w:val="20"/>
        </w:rPr>
        <w:t xml:space="preserve"> </w:t>
      </w:r>
      <w:r w:rsidRPr="00B004EE">
        <w:rPr>
          <w:rFonts w:ascii="Tahoma" w:hAnsi="Tahoma" w:cs="Tahoma"/>
          <w:sz w:val="20"/>
          <w:szCs w:val="20"/>
        </w:rPr>
        <w:t>condition</w:t>
      </w:r>
      <w:r w:rsidR="00DB1635" w:rsidRPr="00B004EE">
        <w:rPr>
          <w:rFonts w:ascii="Tahoma" w:hAnsi="Tahoma" w:cs="Tahoma"/>
          <w:w w:val="93"/>
          <w:sz w:val="20"/>
          <w:szCs w:val="20"/>
        </w:rPr>
        <w:t xml:space="preserve"> </w:t>
      </w:r>
      <w:r w:rsidRPr="00B004EE">
        <w:rPr>
          <w:rFonts w:ascii="Tahoma" w:hAnsi="Tahoma" w:cs="Tahoma"/>
          <w:sz w:val="20"/>
          <w:szCs w:val="20"/>
        </w:rPr>
        <w:t>nécessaire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l'obtention</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licence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opérer</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eaux</w:t>
      </w:r>
      <w:r w:rsidR="00DB1635" w:rsidRPr="00B004EE">
        <w:rPr>
          <w:rFonts w:ascii="Tahoma" w:hAnsi="Tahoma" w:cs="Tahoma"/>
          <w:spacing w:val="-20"/>
          <w:sz w:val="20"/>
          <w:szCs w:val="20"/>
        </w:rPr>
        <w:t xml:space="preserve"> </w:t>
      </w:r>
      <w:r w:rsidRPr="00B004EE">
        <w:rPr>
          <w:rFonts w:ascii="Tahoma" w:hAnsi="Tahoma" w:cs="Tahoma"/>
          <w:sz w:val="20"/>
          <w:szCs w:val="20"/>
        </w:rPr>
        <w:t>sous</w:t>
      </w:r>
      <w:r w:rsidR="00DB1635" w:rsidRPr="00B004EE">
        <w:rPr>
          <w:rFonts w:ascii="Tahoma" w:hAnsi="Tahoma" w:cs="Tahoma"/>
          <w:w w:val="94"/>
          <w:sz w:val="20"/>
          <w:szCs w:val="20"/>
        </w:rPr>
        <w:t xml:space="preserve"> </w:t>
      </w:r>
      <w:r w:rsidRPr="00B004EE">
        <w:rPr>
          <w:rFonts w:ascii="Tahoma" w:hAnsi="Tahoma" w:cs="Tahoma"/>
          <w:w w:val="95"/>
          <w:sz w:val="20"/>
          <w:szCs w:val="20"/>
        </w:rPr>
        <w:t>juridiction</w:t>
      </w:r>
      <w:r w:rsidR="00DB1635" w:rsidRPr="00B004EE">
        <w:rPr>
          <w:rFonts w:ascii="Tahoma" w:hAnsi="Tahoma" w:cs="Tahoma"/>
          <w:spacing w:val="43"/>
          <w:w w:val="95"/>
          <w:sz w:val="20"/>
          <w:szCs w:val="20"/>
        </w:rPr>
        <w:t xml:space="preserve"> </w:t>
      </w:r>
      <w:r w:rsidRPr="00B004EE">
        <w:rPr>
          <w:rFonts w:ascii="Tahoma" w:hAnsi="Tahoma" w:cs="Tahoma"/>
          <w:w w:val="95"/>
          <w:sz w:val="20"/>
          <w:szCs w:val="20"/>
        </w:rPr>
        <w:t>mauritanienne.</w:t>
      </w:r>
    </w:p>
    <w:p w14:paraId="3781324C" w14:textId="7392F4DB" w:rsidR="001E7C3C" w:rsidRPr="00B004EE" w:rsidRDefault="001E7C3C" w:rsidP="00B004EE">
      <w:pPr>
        <w:pStyle w:val="Corpsdetexte"/>
        <w:ind w:right="161"/>
        <w:rPr>
          <w:rFonts w:ascii="Tahoma" w:hAnsi="Tahoma" w:cs="Tahoma"/>
          <w:sz w:val="20"/>
          <w:szCs w:val="20"/>
        </w:rPr>
      </w:pP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registre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navires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contiendra</w:t>
      </w:r>
      <w:r w:rsidR="00DB1635" w:rsidRPr="00B004EE">
        <w:rPr>
          <w:rFonts w:ascii="Tahoma" w:hAnsi="Tahoma" w:cs="Tahoma"/>
          <w:sz w:val="20"/>
          <w:szCs w:val="20"/>
        </w:rPr>
        <w:t xml:space="preserve"> </w:t>
      </w:r>
      <w:r w:rsidRPr="00B004EE">
        <w:rPr>
          <w:rFonts w:ascii="Tahoma" w:hAnsi="Tahoma" w:cs="Tahoma"/>
          <w:sz w:val="20"/>
          <w:szCs w:val="20"/>
        </w:rPr>
        <w:t>toutes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informations</w:t>
      </w:r>
      <w:r w:rsidR="00DB1635" w:rsidRPr="00B004EE">
        <w:rPr>
          <w:rFonts w:ascii="Tahoma" w:hAnsi="Tahoma" w:cs="Tahoma"/>
          <w:sz w:val="20"/>
          <w:szCs w:val="20"/>
        </w:rPr>
        <w:t xml:space="preserve"> </w:t>
      </w:r>
      <w:r w:rsidRPr="00B004EE">
        <w:rPr>
          <w:rFonts w:ascii="Tahoma" w:hAnsi="Tahoma" w:cs="Tahoma"/>
          <w:sz w:val="20"/>
          <w:szCs w:val="20"/>
        </w:rPr>
        <w:t>utiles</w:t>
      </w:r>
      <w:r w:rsidR="00DB1635" w:rsidRPr="00B004EE">
        <w:rPr>
          <w:rFonts w:ascii="Tahoma" w:hAnsi="Tahoma" w:cs="Tahoma"/>
          <w:sz w:val="20"/>
          <w:szCs w:val="20"/>
        </w:rPr>
        <w:t xml:space="preserve"> </w:t>
      </w:r>
      <w:r w:rsidRPr="00B004EE">
        <w:rPr>
          <w:rFonts w:ascii="Tahoma" w:hAnsi="Tahoma" w:cs="Tahoma"/>
          <w:sz w:val="20"/>
          <w:szCs w:val="20"/>
        </w:rPr>
        <w:t>sur</w:t>
      </w:r>
      <w:r w:rsidR="00DB1635" w:rsidRPr="00B004EE">
        <w:rPr>
          <w:rFonts w:ascii="Tahoma" w:hAnsi="Tahoma" w:cs="Tahoma"/>
          <w:spacing w:val="-6"/>
          <w:sz w:val="20"/>
          <w:szCs w:val="20"/>
        </w:rPr>
        <w:t xml:space="preserve"> </w:t>
      </w:r>
      <w:r w:rsidRPr="00B004EE">
        <w:rPr>
          <w:rFonts w:ascii="Tahoma" w:hAnsi="Tahoma" w:cs="Tahoma"/>
          <w:sz w:val="20"/>
          <w:szCs w:val="20"/>
        </w:rPr>
        <w:t>les</w:t>
      </w:r>
      <w:r w:rsidR="00DB1635" w:rsidRPr="00B004EE">
        <w:rPr>
          <w:rFonts w:ascii="Tahoma" w:hAnsi="Tahoma" w:cs="Tahoma"/>
          <w:w w:val="94"/>
          <w:sz w:val="20"/>
          <w:szCs w:val="20"/>
        </w:rPr>
        <w:t xml:space="preserve"> </w:t>
      </w:r>
      <w:r w:rsidRPr="00B004EE">
        <w:rPr>
          <w:rFonts w:ascii="Tahoma" w:hAnsi="Tahoma" w:cs="Tahoma"/>
          <w:sz w:val="20"/>
          <w:szCs w:val="20"/>
        </w:rPr>
        <w:t>navires</w:t>
      </w:r>
      <w:r w:rsidR="00DB1635" w:rsidRPr="00B004EE">
        <w:rPr>
          <w:rFonts w:ascii="Tahoma" w:hAnsi="Tahoma" w:cs="Tahoma"/>
          <w:spacing w:val="-7"/>
          <w:sz w:val="20"/>
          <w:szCs w:val="20"/>
        </w:rPr>
        <w:t xml:space="preserve"> </w:t>
      </w:r>
      <w:r w:rsidRPr="00B004EE">
        <w:rPr>
          <w:rFonts w:ascii="Tahoma" w:hAnsi="Tahoma" w:cs="Tahoma"/>
          <w:sz w:val="20"/>
          <w:szCs w:val="20"/>
        </w:rPr>
        <w:t>de</w:t>
      </w:r>
      <w:r w:rsidR="00DB1635" w:rsidRPr="00B004EE">
        <w:rPr>
          <w:rFonts w:ascii="Tahoma" w:hAnsi="Tahoma" w:cs="Tahoma"/>
          <w:spacing w:val="-7"/>
          <w:sz w:val="20"/>
          <w:szCs w:val="20"/>
        </w:rPr>
        <w:t xml:space="preserve"> </w:t>
      </w:r>
      <w:r w:rsidRPr="00B004EE">
        <w:rPr>
          <w:rFonts w:ascii="Tahoma" w:hAnsi="Tahoma" w:cs="Tahoma"/>
          <w:sz w:val="20"/>
          <w:szCs w:val="20"/>
        </w:rPr>
        <w:t>pêche</w:t>
      </w:r>
      <w:r w:rsidR="00DB1635" w:rsidRPr="00B004EE">
        <w:rPr>
          <w:rFonts w:ascii="Tahoma" w:hAnsi="Tahoma" w:cs="Tahoma"/>
          <w:spacing w:val="-8"/>
          <w:sz w:val="20"/>
          <w:szCs w:val="20"/>
        </w:rPr>
        <w:t xml:space="preserve"> </w:t>
      </w:r>
      <w:r w:rsidRPr="00B004EE">
        <w:rPr>
          <w:rFonts w:ascii="Tahoma" w:hAnsi="Tahoma" w:cs="Tahoma"/>
          <w:sz w:val="20"/>
          <w:szCs w:val="20"/>
        </w:rPr>
        <w:t>étrangers</w:t>
      </w:r>
      <w:r w:rsidR="00DB1635" w:rsidRPr="00B004EE">
        <w:rPr>
          <w:rFonts w:ascii="Tahoma" w:hAnsi="Tahoma" w:cs="Tahoma"/>
          <w:spacing w:val="-9"/>
          <w:sz w:val="20"/>
          <w:szCs w:val="20"/>
        </w:rPr>
        <w:t xml:space="preserve"> </w:t>
      </w:r>
      <w:r w:rsidRPr="00B004EE">
        <w:rPr>
          <w:rFonts w:ascii="Tahoma" w:hAnsi="Tahoma" w:cs="Tahoma"/>
          <w:sz w:val="20"/>
          <w:szCs w:val="20"/>
        </w:rPr>
        <w:t>opérant</w:t>
      </w:r>
      <w:r w:rsidR="00DB1635" w:rsidRPr="00B004EE">
        <w:rPr>
          <w:rFonts w:ascii="Tahoma" w:hAnsi="Tahoma" w:cs="Tahoma"/>
          <w:spacing w:val="-8"/>
          <w:sz w:val="20"/>
          <w:szCs w:val="20"/>
        </w:rPr>
        <w:t xml:space="preserve"> </w:t>
      </w:r>
      <w:r w:rsidRPr="00B004EE">
        <w:rPr>
          <w:rFonts w:ascii="Tahoma" w:hAnsi="Tahoma" w:cs="Tahoma"/>
          <w:sz w:val="20"/>
          <w:szCs w:val="20"/>
        </w:rPr>
        <w:t>dans</w:t>
      </w:r>
      <w:r w:rsidR="00DB1635" w:rsidRPr="00B004EE">
        <w:rPr>
          <w:rFonts w:ascii="Tahoma" w:hAnsi="Tahoma" w:cs="Tahoma"/>
          <w:spacing w:val="-9"/>
          <w:sz w:val="20"/>
          <w:szCs w:val="20"/>
        </w:rPr>
        <w:t xml:space="preserve"> </w:t>
      </w:r>
      <w:r w:rsidRPr="00B004EE">
        <w:rPr>
          <w:rFonts w:ascii="Tahoma" w:hAnsi="Tahoma" w:cs="Tahoma"/>
          <w:sz w:val="20"/>
          <w:szCs w:val="20"/>
        </w:rPr>
        <w:t>les</w:t>
      </w:r>
      <w:r w:rsidR="00DB1635" w:rsidRPr="00B004EE">
        <w:rPr>
          <w:rFonts w:ascii="Tahoma" w:hAnsi="Tahoma" w:cs="Tahoma"/>
          <w:spacing w:val="-9"/>
          <w:sz w:val="20"/>
          <w:szCs w:val="20"/>
        </w:rPr>
        <w:t xml:space="preserve"> </w:t>
      </w:r>
      <w:r w:rsidRPr="00B004EE">
        <w:rPr>
          <w:rFonts w:ascii="Tahoma" w:hAnsi="Tahoma" w:cs="Tahoma"/>
          <w:sz w:val="20"/>
          <w:szCs w:val="20"/>
        </w:rPr>
        <w:t>eaux</w:t>
      </w:r>
      <w:r w:rsidR="00DB1635" w:rsidRPr="00B004EE">
        <w:rPr>
          <w:rFonts w:ascii="Tahoma" w:hAnsi="Tahoma" w:cs="Tahoma"/>
          <w:spacing w:val="-8"/>
          <w:sz w:val="20"/>
          <w:szCs w:val="20"/>
        </w:rPr>
        <w:t xml:space="preserve"> </w:t>
      </w:r>
      <w:r w:rsidRPr="00B004EE">
        <w:rPr>
          <w:rFonts w:ascii="Tahoma" w:hAnsi="Tahoma" w:cs="Tahoma"/>
          <w:sz w:val="20"/>
          <w:szCs w:val="20"/>
        </w:rPr>
        <w:t>sous</w:t>
      </w:r>
      <w:r w:rsidR="00DB1635" w:rsidRPr="00B004EE">
        <w:rPr>
          <w:rFonts w:ascii="Tahoma" w:hAnsi="Tahoma" w:cs="Tahoma"/>
          <w:spacing w:val="-9"/>
          <w:sz w:val="20"/>
          <w:szCs w:val="20"/>
        </w:rPr>
        <w:t xml:space="preserve"> </w:t>
      </w:r>
      <w:r w:rsidRPr="00B004EE">
        <w:rPr>
          <w:rFonts w:ascii="Tahoma" w:hAnsi="Tahoma" w:cs="Tahoma"/>
          <w:sz w:val="20"/>
          <w:szCs w:val="20"/>
        </w:rPr>
        <w:t>juridiction</w:t>
      </w:r>
      <w:r w:rsidR="00DB1635" w:rsidRPr="00B004EE">
        <w:rPr>
          <w:rFonts w:ascii="Tahoma" w:hAnsi="Tahoma" w:cs="Tahoma"/>
          <w:spacing w:val="-8"/>
          <w:sz w:val="20"/>
          <w:szCs w:val="20"/>
        </w:rPr>
        <w:t xml:space="preserve"> </w:t>
      </w:r>
      <w:r w:rsidRPr="00B004EE">
        <w:rPr>
          <w:rFonts w:ascii="Tahoma" w:hAnsi="Tahoma" w:cs="Tahoma"/>
          <w:sz w:val="20"/>
          <w:szCs w:val="20"/>
        </w:rPr>
        <w:t>mauritanienne</w:t>
      </w:r>
      <w:r w:rsidR="00DB1635" w:rsidRPr="00B004EE">
        <w:rPr>
          <w:rFonts w:ascii="Tahoma" w:hAnsi="Tahoma" w:cs="Tahoma"/>
          <w:w w:val="95"/>
          <w:sz w:val="20"/>
          <w:szCs w:val="20"/>
        </w:rPr>
        <w:t xml:space="preserve"> </w:t>
      </w:r>
      <w:r w:rsidRPr="00B004EE">
        <w:rPr>
          <w:rFonts w:ascii="Tahoma" w:hAnsi="Tahoma" w:cs="Tahoma"/>
          <w:sz w:val="20"/>
          <w:szCs w:val="20"/>
        </w:rPr>
        <w:t>et</w:t>
      </w:r>
      <w:r w:rsidR="00DB1635" w:rsidRPr="00B004EE">
        <w:rPr>
          <w:rFonts w:ascii="Tahoma" w:hAnsi="Tahoma" w:cs="Tahoma"/>
          <w:spacing w:val="-32"/>
          <w:sz w:val="20"/>
          <w:szCs w:val="20"/>
        </w:rPr>
        <w:t xml:space="preserve"> </w:t>
      </w:r>
      <w:r w:rsidRPr="00B004EE">
        <w:rPr>
          <w:rFonts w:ascii="Tahoma" w:hAnsi="Tahoma" w:cs="Tahoma"/>
          <w:sz w:val="20"/>
          <w:szCs w:val="20"/>
        </w:rPr>
        <w:t>notamment</w:t>
      </w:r>
      <w:r w:rsidR="00DB1635" w:rsidRPr="00B004EE">
        <w:rPr>
          <w:rFonts w:ascii="Tahoma" w:hAnsi="Tahoma" w:cs="Tahoma"/>
          <w:spacing w:val="-31"/>
          <w:sz w:val="20"/>
          <w:szCs w:val="20"/>
        </w:rPr>
        <w:t xml:space="preserve"> </w:t>
      </w:r>
      <w:r w:rsidRPr="00B004EE">
        <w:rPr>
          <w:rFonts w:ascii="Tahoma" w:hAnsi="Tahoma" w:cs="Tahoma"/>
          <w:sz w:val="20"/>
          <w:szCs w:val="20"/>
        </w:rPr>
        <w:t>les</w:t>
      </w:r>
      <w:r w:rsidR="00DB1635" w:rsidRPr="00B004EE">
        <w:rPr>
          <w:rFonts w:ascii="Tahoma" w:hAnsi="Tahoma" w:cs="Tahoma"/>
          <w:spacing w:val="-32"/>
          <w:sz w:val="20"/>
          <w:szCs w:val="20"/>
        </w:rPr>
        <w:t xml:space="preserve"> </w:t>
      </w:r>
      <w:r w:rsidRPr="00B004EE">
        <w:rPr>
          <w:rFonts w:ascii="Tahoma" w:hAnsi="Tahoma" w:cs="Tahoma"/>
          <w:sz w:val="20"/>
          <w:szCs w:val="20"/>
        </w:rPr>
        <w:t>données</w:t>
      </w:r>
      <w:r w:rsidR="00DB1635" w:rsidRPr="00B004EE">
        <w:rPr>
          <w:rFonts w:ascii="Tahoma" w:hAnsi="Tahoma" w:cs="Tahoma"/>
          <w:spacing w:val="-32"/>
          <w:sz w:val="20"/>
          <w:szCs w:val="20"/>
        </w:rPr>
        <w:t xml:space="preserve"> </w:t>
      </w:r>
      <w:r w:rsidRPr="00B004EE">
        <w:rPr>
          <w:rFonts w:ascii="Tahoma" w:hAnsi="Tahoma" w:cs="Tahoma"/>
          <w:sz w:val="20"/>
          <w:szCs w:val="20"/>
        </w:rPr>
        <w:t>et</w:t>
      </w:r>
      <w:r w:rsidR="00DB1635" w:rsidRPr="00B004EE">
        <w:rPr>
          <w:rFonts w:ascii="Tahoma" w:hAnsi="Tahoma" w:cs="Tahoma"/>
          <w:spacing w:val="-31"/>
          <w:sz w:val="20"/>
          <w:szCs w:val="20"/>
        </w:rPr>
        <w:t xml:space="preserve"> </w:t>
      </w:r>
      <w:r w:rsidRPr="00B004EE">
        <w:rPr>
          <w:rFonts w:ascii="Tahoma" w:hAnsi="Tahoma" w:cs="Tahoma"/>
          <w:sz w:val="20"/>
          <w:szCs w:val="20"/>
        </w:rPr>
        <w:t>informations</w:t>
      </w:r>
      <w:r w:rsidR="00DB1635" w:rsidRPr="00B004EE">
        <w:rPr>
          <w:rFonts w:ascii="Tahoma" w:hAnsi="Tahoma" w:cs="Tahoma"/>
          <w:spacing w:val="-32"/>
          <w:sz w:val="20"/>
          <w:szCs w:val="20"/>
        </w:rPr>
        <w:t xml:space="preserve"> </w:t>
      </w:r>
      <w:r w:rsidRPr="00B004EE">
        <w:rPr>
          <w:rFonts w:ascii="Tahoma" w:hAnsi="Tahoma" w:cs="Tahoma"/>
          <w:sz w:val="20"/>
          <w:szCs w:val="20"/>
        </w:rPr>
        <w:t>suivantes</w:t>
      </w:r>
      <w:r w:rsidR="00DB1635" w:rsidRPr="00B004EE">
        <w:rPr>
          <w:rFonts w:ascii="Tahoma" w:hAnsi="Tahoma" w:cs="Tahoma"/>
          <w:spacing w:val="-32"/>
          <w:sz w:val="20"/>
          <w:szCs w:val="20"/>
        </w:rPr>
        <w:t xml:space="preserve"> </w:t>
      </w:r>
      <w:r w:rsidRPr="00B004EE">
        <w:rPr>
          <w:rFonts w:ascii="Tahoma" w:hAnsi="Tahoma" w:cs="Tahoma"/>
          <w:sz w:val="20"/>
          <w:szCs w:val="20"/>
        </w:rPr>
        <w:t>:</w:t>
      </w:r>
    </w:p>
    <w:p w14:paraId="72736379" w14:textId="77777777" w:rsidR="001E7C3C" w:rsidRPr="00B004EE" w:rsidRDefault="001E7C3C" w:rsidP="00B004EE">
      <w:pPr>
        <w:jc w:val="both"/>
        <w:rPr>
          <w:rFonts w:ascii="Tahoma" w:hAnsi="Tahoma" w:cs="Tahoma"/>
          <w:sz w:val="20"/>
          <w:szCs w:val="20"/>
        </w:rPr>
      </w:pPr>
    </w:p>
    <w:p w14:paraId="4FBC1F4E" w14:textId="58787EDA" w:rsidR="001E7C3C" w:rsidRPr="00B004EE" w:rsidRDefault="001E7C3C" w:rsidP="00420DDA">
      <w:pPr>
        <w:pStyle w:val="Paragraphedeliste"/>
        <w:widowControl w:val="0"/>
        <w:numPr>
          <w:ilvl w:val="0"/>
          <w:numId w:val="39"/>
        </w:numPr>
        <w:tabs>
          <w:tab w:val="left" w:pos="1154"/>
        </w:tabs>
        <w:ind w:left="567" w:right="164"/>
        <w:jc w:val="both"/>
        <w:rPr>
          <w:rFonts w:ascii="Tahoma" w:eastAsia="American Typewriter" w:hAnsi="Tahoma" w:cs="Tahoma"/>
          <w:sz w:val="20"/>
          <w:szCs w:val="20"/>
        </w:rPr>
      </w:pPr>
      <w:proofErr w:type="gramStart"/>
      <w:r w:rsidRPr="00B004EE">
        <w:rPr>
          <w:rFonts w:ascii="Tahoma" w:hAnsi="Tahoma" w:cs="Tahoma"/>
          <w:sz w:val="20"/>
          <w:szCs w:val="20"/>
        </w:rPr>
        <w:t>informations</w:t>
      </w:r>
      <w:proofErr w:type="gramEnd"/>
      <w:r w:rsidR="00DB1635" w:rsidRPr="00B004EE">
        <w:rPr>
          <w:rFonts w:ascii="Tahoma" w:hAnsi="Tahoma" w:cs="Tahoma"/>
          <w:spacing w:val="-21"/>
          <w:sz w:val="20"/>
          <w:szCs w:val="20"/>
        </w:rPr>
        <w:t xml:space="preserve"> </w:t>
      </w:r>
      <w:r w:rsidRPr="00B004EE">
        <w:rPr>
          <w:rFonts w:ascii="Tahoma" w:hAnsi="Tahoma" w:cs="Tahoma"/>
          <w:sz w:val="20"/>
          <w:szCs w:val="20"/>
        </w:rPr>
        <w:t>et</w:t>
      </w:r>
      <w:r w:rsidR="00DB1635" w:rsidRPr="00B004EE">
        <w:rPr>
          <w:rFonts w:ascii="Tahoma" w:hAnsi="Tahoma" w:cs="Tahoma"/>
          <w:spacing w:val="-20"/>
          <w:sz w:val="20"/>
          <w:szCs w:val="20"/>
        </w:rPr>
        <w:t xml:space="preserve"> </w:t>
      </w:r>
      <w:r w:rsidRPr="00B004EE">
        <w:rPr>
          <w:rFonts w:ascii="Tahoma" w:hAnsi="Tahoma" w:cs="Tahoma"/>
          <w:sz w:val="20"/>
          <w:szCs w:val="20"/>
        </w:rPr>
        <w:t>données</w:t>
      </w:r>
      <w:r w:rsidR="00DB1635" w:rsidRPr="00B004EE">
        <w:rPr>
          <w:rFonts w:ascii="Tahoma" w:hAnsi="Tahoma" w:cs="Tahoma"/>
          <w:spacing w:val="-21"/>
          <w:sz w:val="20"/>
          <w:szCs w:val="20"/>
        </w:rPr>
        <w:t xml:space="preserve"> </w:t>
      </w:r>
      <w:r w:rsidRPr="00B004EE">
        <w:rPr>
          <w:rFonts w:ascii="Tahoma" w:hAnsi="Tahoma" w:cs="Tahoma"/>
          <w:sz w:val="20"/>
          <w:szCs w:val="20"/>
        </w:rPr>
        <w:t>sur</w:t>
      </w:r>
      <w:r w:rsidR="00DB1635" w:rsidRPr="00B004EE">
        <w:rPr>
          <w:rFonts w:ascii="Tahoma" w:hAnsi="Tahoma" w:cs="Tahoma"/>
          <w:spacing w:val="-21"/>
          <w:sz w:val="20"/>
          <w:szCs w:val="20"/>
        </w:rPr>
        <w:t xml:space="preserve"> </w:t>
      </w:r>
      <w:r w:rsidRPr="00B004EE">
        <w:rPr>
          <w:rFonts w:ascii="Tahoma" w:hAnsi="Tahoma" w:cs="Tahoma"/>
          <w:sz w:val="20"/>
          <w:szCs w:val="20"/>
        </w:rPr>
        <w:t>les</w:t>
      </w:r>
      <w:r w:rsidR="00DB1635" w:rsidRPr="00B004EE">
        <w:rPr>
          <w:rFonts w:ascii="Tahoma" w:hAnsi="Tahoma" w:cs="Tahoma"/>
          <w:spacing w:val="-22"/>
          <w:sz w:val="20"/>
          <w:szCs w:val="20"/>
        </w:rPr>
        <w:t xml:space="preserve"> </w:t>
      </w:r>
      <w:r w:rsidRPr="00B004EE">
        <w:rPr>
          <w:rFonts w:ascii="Tahoma" w:hAnsi="Tahoma" w:cs="Tahoma"/>
          <w:sz w:val="20"/>
          <w:szCs w:val="20"/>
        </w:rPr>
        <w:t>navires,</w:t>
      </w:r>
      <w:r w:rsidR="00DB1635" w:rsidRPr="00B004EE">
        <w:rPr>
          <w:rFonts w:ascii="Tahoma" w:hAnsi="Tahoma" w:cs="Tahoma"/>
          <w:spacing w:val="-22"/>
          <w:sz w:val="20"/>
          <w:szCs w:val="20"/>
        </w:rPr>
        <w:t xml:space="preserve"> </w:t>
      </w:r>
      <w:r w:rsidRPr="00B004EE">
        <w:rPr>
          <w:rFonts w:ascii="Tahoma" w:hAnsi="Tahoma" w:cs="Tahoma"/>
          <w:sz w:val="20"/>
          <w:szCs w:val="20"/>
        </w:rPr>
        <w:t>notamment,</w:t>
      </w:r>
      <w:r w:rsidR="00DB1635" w:rsidRPr="00B004EE">
        <w:rPr>
          <w:rFonts w:ascii="Tahoma" w:hAnsi="Tahoma" w:cs="Tahoma"/>
          <w:spacing w:val="-21"/>
          <w:sz w:val="20"/>
          <w:szCs w:val="20"/>
        </w:rPr>
        <w:t xml:space="preserve"> </w:t>
      </w:r>
      <w:r w:rsidRPr="00B004EE">
        <w:rPr>
          <w:rFonts w:ascii="Tahoma" w:hAnsi="Tahoma" w:cs="Tahoma"/>
          <w:sz w:val="20"/>
          <w:szCs w:val="20"/>
        </w:rPr>
        <w:t>nom,</w:t>
      </w:r>
      <w:r w:rsidR="00DB1635" w:rsidRPr="00B004EE">
        <w:rPr>
          <w:rFonts w:ascii="Tahoma" w:hAnsi="Tahoma" w:cs="Tahoma"/>
          <w:spacing w:val="-21"/>
          <w:sz w:val="20"/>
          <w:szCs w:val="20"/>
        </w:rPr>
        <w:t xml:space="preserve"> </w:t>
      </w:r>
      <w:r w:rsidRPr="00B004EE">
        <w:rPr>
          <w:rFonts w:ascii="Tahoma" w:hAnsi="Tahoma" w:cs="Tahoma"/>
          <w:sz w:val="20"/>
          <w:szCs w:val="20"/>
        </w:rPr>
        <w:t>port</w:t>
      </w:r>
      <w:r w:rsidR="00DB1635" w:rsidRPr="00B004EE">
        <w:rPr>
          <w:rFonts w:ascii="Tahoma" w:hAnsi="Tahoma" w:cs="Tahoma"/>
          <w:spacing w:val="-21"/>
          <w:sz w:val="20"/>
          <w:szCs w:val="20"/>
        </w:rPr>
        <w:t xml:space="preserve"> </w:t>
      </w:r>
      <w:r w:rsidRPr="00B004EE">
        <w:rPr>
          <w:rFonts w:ascii="Tahoma" w:hAnsi="Tahoma" w:cs="Tahoma"/>
          <w:sz w:val="20"/>
          <w:szCs w:val="20"/>
        </w:rPr>
        <w:t>d'attache,</w:t>
      </w:r>
      <w:r w:rsidR="00DB1635" w:rsidRPr="00B004EE">
        <w:rPr>
          <w:rFonts w:ascii="Tahoma" w:hAnsi="Tahoma" w:cs="Tahoma"/>
          <w:w w:val="96"/>
          <w:sz w:val="20"/>
          <w:szCs w:val="20"/>
        </w:rPr>
        <w:t xml:space="preserve"> </w:t>
      </w:r>
      <w:r w:rsidRPr="00B004EE">
        <w:rPr>
          <w:rFonts w:ascii="Tahoma" w:hAnsi="Tahoma" w:cs="Tahoma"/>
          <w:sz w:val="20"/>
          <w:szCs w:val="20"/>
        </w:rPr>
        <w:t>numéro</w:t>
      </w:r>
      <w:r w:rsidR="00DB1635" w:rsidRPr="00B004EE">
        <w:rPr>
          <w:rFonts w:ascii="Tahoma" w:hAnsi="Tahoma" w:cs="Tahoma"/>
          <w:spacing w:val="-5"/>
          <w:sz w:val="20"/>
          <w:szCs w:val="20"/>
        </w:rPr>
        <w:t xml:space="preserve"> </w:t>
      </w:r>
      <w:r w:rsidRPr="00B004EE">
        <w:rPr>
          <w:rFonts w:ascii="Tahoma" w:hAnsi="Tahoma" w:cs="Tahoma"/>
          <w:sz w:val="20"/>
          <w:szCs w:val="20"/>
        </w:rPr>
        <w:t>d'immatriculation,</w:t>
      </w:r>
      <w:r w:rsidR="00DB1635" w:rsidRPr="00B004EE">
        <w:rPr>
          <w:rFonts w:ascii="Tahoma" w:hAnsi="Tahoma" w:cs="Tahoma"/>
          <w:spacing w:val="-6"/>
          <w:sz w:val="20"/>
          <w:szCs w:val="20"/>
        </w:rPr>
        <w:t xml:space="preserve"> </w:t>
      </w:r>
      <w:r w:rsidRPr="00B004EE">
        <w:rPr>
          <w:rFonts w:ascii="Tahoma" w:hAnsi="Tahoma" w:cs="Tahoma"/>
          <w:sz w:val="20"/>
          <w:szCs w:val="20"/>
        </w:rPr>
        <w:t>les</w:t>
      </w:r>
      <w:r w:rsidR="00DB1635" w:rsidRPr="00B004EE">
        <w:rPr>
          <w:rFonts w:ascii="Tahoma" w:hAnsi="Tahoma" w:cs="Tahoma"/>
          <w:spacing w:val="-7"/>
          <w:sz w:val="20"/>
          <w:szCs w:val="20"/>
        </w:rPr>
        <w:t xml:space="preserve"> </w:t>
      </w:r>
      <w:r w:rsidRPr="00B004EE">
        <w:rPr>
          <w:rFonts w:ascii="Tahoma" w:hAnsi="Tahoma" w:cs="Tahoma"/>
          <w:sz w:val="20"/>
          <w:szCs w:val="20"/>
        </w:rPr>
        <w:t>spécifications</w:t>
      </w:r>
      <w:r w:rsidR="00DB1635" w:rsidRPr="00B004EE">
        <w:rPr>
          <w:rFonts w:ascii="Tahoma" w:hAnsi="Tahoma" w:cs="Tahoma"/>
          <w:spacing w:val="-7"/>
          <w:sz w:val="20"/>
          <w:szCs w:val="20"/>
        </w:rPr>
        <w:t xml:space="preserve"> </w:t>
      </w:r>
      <w:r w:rsidRPr="00B004EE">
        <w:rPr>
          <w:rFonts w:ascii="Tahoma" w:hAnsi="Tahoma" w:cs="Tahoma"/>
          <w:sz w:val="20"/>
          <w:szCs w:val="20"/>
        </w:rPr>
        <w:t>techniques</w:t>
      </w:r>
      <w:r w:rsidR="00DB1635" w:rsidRPr="00B004EE">
        <w:rPr>
          <w:rFonts w:ascii="Tahoma" w:hAnsi="Tahoma" w:cs="Tahoma"/>
          <w:spacing w:val="-7"/>
          <w:sz w:val="20"/>
          <w:szCs w:val="20"/>
        </w:rPr>
        <w:t xml:space="preserve"> </w:t>
      </w:r>
      <w:r w:rsidRPr="00B004EE">
        <w:rPr>
          <w:rFonts w:ascii="Tahoma" w:hAnsi="Tahoma" w:cs="Tahoma"/>
          <w:sz w:val="20"/>
          <w:szCs w:val="20"/>
        </w:rPr>
        <w:t>et</w:t>
      </w:r>
      <w:r w:rsidR="00DB1635" w:rsidRPr="00B004EE">
        <w:rPr>
          <w:rFonts w:ascii="Tahoma" w:hAnsi="Tahoma" w:cs="Tahoma"/>
          <w:spacing w:val="-6"/>
          <w:sz w:val="20"/>
          <w:szCs w:val="20"/>
        </w:rPr>
        <w:t xml:space="preserve"> </w:t>
      </w:r>
      <w:r w:rsidRPr="00B004EE">
        <w:rPr>
          <w:rFonts w:ascii="Tahoma" w:hAnsi="Tahoma" w:cs="Tahoma"/>
          <w:sz w:val="20"/>
          <w:szCs w:val="20"/>
        </w:rPr>
        <w:t>toutes</w:t>
      </w:r>
      <w:r w:rsidR="00DB1635" w:rsidRPr="00B004EE">
        <w:rPr>
          <w:rFonts w:ascii="Tahoma" w:hAnsi="Tahoma" w:cs="Tahoma"/>
          <w:spacing w:val="-7"/>
          <w:sz w:val="20"/>
          <w:szCs w:val="20"/>
        </w:rPr>
        <w:t xml:space="preserve"> </w:t>
      </w:r>
      <w:r w:rsidRPr="00B004EE">
        <w:rPr>
          <w:rFonts w:ascii="Tahoma" w:hAnsi="Tahoma" w:cs="Tahoma"/>
          <w:sz w:val="20"/>
          <w:szCs w:val="20"/>
        </w:rPr>
        <w:t>autres</w:t>
      </w:r>
      <w:r w:rsidR="00DB1635" w:rsidRPr="00B004EE">
        <w:rPr>
          <w:rFonts w:ascii="Tahoma" w:hAnsi="Tahoma" w:cs="Tahoma"/>
          <w:w w:val="94"/>
          <w:sz w:val="20"/>
          <w:szCs w:val="20"/>
        </w:rPr>
        <w:t xml:space="preserve"> </w:t>
      </w:r>
      <w:r w:rsidRPr="00B004EE">
        <w:rPr>
          <w:rFonts w:ascii="Tahoma" w:hAnsi="Tahoma" w:cs="Tahoma"/>
          <w:sz w:val="20"/>
          <w:szCs w:val="20"/>
        </w:rPr>
        <w:t>informations</w:t>
      </w:r>
      <w:r w:rsidR="00DB1635" w:rsidRPr="00B004EE">
        <w:rPr>
          <w:rFonts w:ascii="Tahoma" w:hAnsi="Tahoma" w:cs="Tahoma"/>
          <w:sz w:val="20"/>
          <w:szCs w:val="20"/>
        </w:rPr>
        <w:t xml:space="preserve"> </w:t>
      </w:r>
      <w:r w:rsidRPr="00B004EE">
        <w:rPr>
          <w:rFonts w:ascii="Tahoma" w:hAnsi="Tahoma" w:cs="Tahoma"/>
          <w:sz w:val="20"/>
          <w:szCs w:val="20"/>
        </w:rPr>
        <w:t>jugées</w:t>
      </w:r>
      <w:r w:rsidR="00DB1635" w:rsidRPr="00B004EE">
        <w:rPr>
          <w:rFonts w:ascii="Tahoma" w:hAnsi="Tahoma" w:cs="Tahoma"/>
          <w:sz w:val="20"/>
          <w:szCs w:val="20"/>
        </w:rPr>
        <w:t xml:space="preserve"> </w:t>
      </w:r>
      <w:r w:rsidRPr="00B004EE">
        <w:rPr>
          <w:rFonts w:ascii="Tahoma" w:hAnsi="Tahoma" w:cs="Tahoma"/>
          <w:sz w:val="20"/>
          <w:szCs w:val="20"/>
        </w:rPr>
        <w:t>utiles</w:t>
      </w:r>
      <w:r w:rsidR="00DB1635" w:rsidRPr="00B004EE">
        <w:rPr>
          <w:rFonts w:ascii="Tahoma" w:hAnsi="Tahoma" w:cs="Tahoma"/>
          <w:spacing w:val="13"/>
          <w:sz w:val="20"/>
          <w:szCs w:val="20"/>
        </w:rPr>
        <w:t xml:space="preserve"> </w:t>
      </w:r>
      <w:r w:rsidRPr="00B004EE">
        <w:rPr>
          <w:rFonts w:ascii="Tahoma" w:hAnsi="Tahoma" w:cs="Tahoma"/>
          <w:sz w:val="20"/>
          <w:szCs w:val="20"/>
        </w:rPr>
        <w:t>;</w:t>
      </w:r>
    </w:p>
    <w:p w14:paraId="7F09C108" w14:textId="2F1AE9DF" w:rsidR="001E7C3C" w:rsidRPr="00B004EE" w:rsidRDefault="001E7C3C" w:rsidP="00420DDA">
      <w:pPr>
        <w:pStyle w:val="Paragraphedeliste"/>
        <w:widowControl w:val="0"/>
        <w:numPr>
          <w:ilvl w:val="0"/>
          <w:numId w:val="39"/>
        </w:numPr>
        <w:tabs>
          <w:tab w:val="left" w:pos="1154"/>
        </w:tabs>
        <w:ind w:left="567" w:right="160"/>
        <w:jc w:val="both"/>
        <w:rPr>
          <w:rFonts w:ascii="Tahoma" w:eastAsia="American Typewriter" w:hAnsi="Tahoma" w:cs="Tahoma"/>
          <w:sz w:val="20"/>
          <w:szCs w:val="20"/>
        </w:rPr>
      </w:pPr>
      <w:proofErr w:type="gramStart"/>
      <w:r w:rsidRPr="00B004EE">
        <w:rPr>
          <w:rFonts w:ascii="Tahoma" w:eastAsia="American Typewriter" w:hAnsi="Tahoma" w:cs="Tahoma"/>
          <w:sz w:val="20"/>
          <w:szCs w:val="20"/>
        </w:rPr>
        <w:t>informations</w:t>
      </w:r>
      <w:proofErr w:type="gramEnd"/>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et</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données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sur</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les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activités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navires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dans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les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eaux</w:t>
      </w:r>
      <w:r w:rsidR="00DB1635" w:rsidRPr="00B004EE">
        <w:rPr>
          <w:rFonts w:ascii="Tahoma" w:eastAsia="American Typewriter" w:hAnsi="Tahoma" w:cs="Tahoma"/>
          <w:spacing w:val="15"/>
          <w:sz w:val="20"/>
          <w:szCs w:val="20"/>
        </w:rPr>
        <w:t xml:space="preserve"> </w:t>
      </w:r>
      <w:r w:rsidRPr="00B004EE">
        <w:rPr>
          <w:rFonts w:ascii="Tahoma" w:eastAsia="American Typewriter" w:hAnsi="Tahoma" w:cs="Tahoma"/>
          <w:sz w:val="20"/>
          <w:szCs w:val="20"/>
        </w:rPr>
        <w:t>sous</w:t>
      </w:r>
      <w:r w:rsidR="00DB1635" w:rsidRPr="00B004EE">
        <w:rPr>
          <w:rFonts w:ascii="Tahoma" w:eastAsia="American Typewriter" w:hAnsi="Tahoma" w:cs="Tahoma"/>
          <w:w w:val="94"/>
          <w:sz w:val="20"/>
          <w:szCs w:val="20"/>
        </w:rPr>
        <w:t xml:space="preserve"> </w:t>
      </w:r>
      <w:r w:rsidRPr="00B004EE">
        <w:rPr>
          <w:rFonts w:ascii="Tahoma" w:eastAsia="American Typewriter" w:hAnsi="Tahoma" w:cs="Tahoma"/>
          <w:sz w:val="20"/>
          <w:szCs w:val="20"/>
        </w:rPr>
        <w:t>juridiction</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mauritanienne,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entre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autres,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mention</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l'Accord</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avec</w:t>
      </w:r>
      <w:r w:rsidR="00DB1635" w:rsidRPr="00B004EE">
        <w:rPr>
          <w:rFonts w:ascii="Tahoma" w:eastAsia="American Typewriter" w:hAnsi="Tahoma" w:cs="Tahoma"/>
          <w:spacing w:val="27"/>
          <w:sz w:val="20"/>
          <w:szCs w:val="20"/>
        </w:rPr>
        <w:t xml:space="preserve"> </w:t>
      </w:r>
      <w:r w:rsidRPr="00B004EE">
        <w:rPr>
          <w:rFonts w:ascii="Tahoma" w:eastAsia="American Typewriter" w:hAnsi="Tahoma" w:cs="Tahoma"/>
          <w:sz w:val="20"/>
          <w:szCs w:val="20"/>
        </w:rPr>
        <w:t>l’État</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dont</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les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navires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battent</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pavillon,</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contrats,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caractéristiques</w:t>
      </w:r>
      <w:r w:rsidR="00DB1635" w:rsidRPr="00B004EE">
        <w:rPr>
          <w:rFonts w:ascii="Tahoma" w:eastAsia="American Typewriter" w:hAnsi="Tahoma" w:cs="Tahoma"/>
          <w:spacing w:val="1"/>
          <w:sz w:val="20"/>
          <w:szCs w:val="20"/>
        </w:rPr>
        <w:t xml:space="preserve"> </w:t>
      </w:r>
      <w:r w:rsidRPr="00B004EE">
        <w:rPr>
          <w:rFonts w:ascii="Tahoma" w:eastAsia="American Typewriter" w:hAnsi="Tahoma" w:cs="Tahoma"/>
          <w:sz w:val="20"/>
          <w:szCs w:val="20"/>
        </w:rPr>
        <w:t>et</w:t>
      </w:r>
      <w:r w:rsidR="00DB1635" w:rsidRPr="00B004EE">
        <w:rPr>
          <w:rFonts w:ascii="Tahoma" w:eastAsia="American Typewriter" w:hAnsi="Tahoma" w:cs="Tahoma"/>
          <w:w w:val="95"/>
          <w:sz w:val="20"/>
          <w:szCs w:val="20"/>
        </w:rPr>
        <w:t xml:space="preserve"> </w:t>
      </w:r>
      <w:r w:rsidRPr="00B004EE">
        <w:rPr>
          <w:rFonts w:ascii="Tahoma" w:eastAsia="American Typewriter" w:hAnsi="Tahoma" w:cs="Tahoma"/>
          <w:sz w:val="20"/>
          <w:szCs w:val="20"/>
        </w:rPr>
        <w:t>spécifications</w:t>
      </w:r>
      <w:r w:rsidR="00DB1635" w:rsidRPr="00B004EE">
        <w:rPr>
          <w:rFonts w:ascii="Tahoma" w:eastAsia="American Typewriter" w:hAnsi="Tahoma" w:cs="Tahoma"/>
          <w:spacing w:val="-29"/>
          <w:sz w:val="20"/>
          <w:szCs w:val="20"/>
        </w:rPr>
        <w:t xml:space="preserve"> </w:t>
      </w:r>
      <w:r w:rsidRPr="00B004EE">
        <w:rPr>
          <w:rFonts w:ascii="Tahoma" w:eastAsia="American Typewriter" w:hAnsi="Tahoma" w:cs="Tahoma"/>
          <w:sz w:val="20"/>
          <w:szCs w:val="20"/>
        </w:rPr>
        <w:t>des</w:t>
      </w:r>
      <w:r w:rsidR="00DB1635" w:rsidRPr="00B004EE">
        <w:rPr>
          <w:rFonts w:ascii="Tahoma" w:eastAsia="American Typewriter" w:hAnsi="Tahoma" w:cs="Tahoma"/>
          <w:spacing w:val="-29"/>
          <w:sz w:val="20"/>
          <w:szCs w:val="20"/>
        </w:rPr>
        <w:t xml:space="preserve"> </w:t>
      </w:r>
      <w:r w:rsidRPr="00B004EE">
        <w:rPr>
          <w:rFonts w:ascii="Tahoma" w:eastAsia="American Typewriter" w:hAnsi="Tahoma" w:cs="Tahoma"/>
          <w:sz w:val="20"/>
          <w:szCs w:val="20"/>
        </w:rPr>
        <w:t>licences</w:t>
      </w:r>
      <w:r w:rsidR="00DB1635" w:rsidRPr="00B004EE">
        <w:rPr>
          <w:rFonts w:ascii="Tahoma" w:eastAsia="American Typewriter" w:hAnsi="Tahoma" w:cs="Tahoma"/>
          <w:spacing w:val="-28"/>
          <w:sz w:val="20"/>
          <w:szCs w:val="20"/>
        </w:rPr>
        <w:t xml:space="preserve"> </w:t>
      </w:r>
      <w:r w:rsidRPr="00B004EE">
        <w:rPr>
          <w:rFonts w:ascii="Tahoma" w:eastAsia="American Typewriter" w:hAnsi="Tahoma" w:cs="Tahoma"/>
          <w:sz w:val="20"/>
          <w:szCs w:val="20"/>
        </w:rPr>
        <w:t>dont</w:t>
      </w:r>
      <w:r w:rsidR="00DB1635" w:rsidRPr="00B004EE">
        <w:rPr>
          <w:rFonts w:ascii="Tahoma" w:eastAsia="American Typewriter" w:hAnsi="Tahoma" w:cs="Tahoma"/>
          <w:spacing w:val="-30"/>
          <w:sz w:val="20"/>
          <w:szCs w:val="20"/>
        </w:rPr>
        <w:t xml:space="preserve"> </w:t>
      </w:r>
      <w:r w:rsidRPr="00B004EE">
        <w:rPr>
          <w:rFonts w:ascii="Tahoma" w:eastAsia="American Typewriter" w:hAnsi="Tahoma" w:cs="Tahoma"/>
          <w:sz w:val="20"/>
          <w:szCs w:val="20"/>
        </w:rPr>
        <w:t>il</w:t>
      </w:r>
      <w:r w:rsidR="00DB1635" w:rsidRPr="00B004EE">
        <w:rPr>
          <w:rFonts w:ascii="Tahoma" w:eastAsia="American Typewriter" w:hAnsi="Tahoma" w:cs="Tahoma"/>
          <w:spacing w:val="-29"/>
          <w:sz w:val="20"/>
          <w:szCs w:val="20"/>
        </w:rPr>
        <w:t xml:space="preserve"> </w:t>
      </w:r>
      <w:r w:rsidRPr="00B004EE">
        <w:rPr>
          <w:rFonts w:ascii="Tahoma" w:eastAsia="American Typewriter" w:hAnsi="Tahoma" w:cs="Tahoma"/>
          <w:sz w:val="20"/>
          <w:szCs w:val="20"/>
        </w:rPr>
        <w:t>a</w:t>
      </w:r>
      <w:r w:rsidR="00DB1635" w:rsidRPr="00B004EE">
        <w:rPr>
          <w:rFonts w:ascii="Tahoma" w:eastAsia="American Typewriter" w:hAnsi="Tahoma" w:cs="Tahoma"/>
          <w:spacing w:val="-29"/>
          <w:sz w:val="20"/>
          <w:szCs w:val="20"/>
        </w:rPr>
        <w:t xml:space="preserve"> </w:t>
      </w:r>
      <w:r w:rsidRPr="00B004EE">
        <w:rPr>
          <w:rFonts w:ascii="Tahoma" w:eastAsia="American Typewriter" w:hAnsi="Tahoma" w:cs="Tahoma"/>
          <w:sz w:val="20"/>
          <w:szCs w:val="20"/>
        </w:rPr>
        <w:t>été</w:t>
      </w:r>
      <w:r w:rsidR="00DB1635" w:rsidRPr="00B004EE">
        <w:rPr>
          <w:rFonts w:ascii="Tahoma" w:eastAsia="American Typewriter" w:hAnsi="Tahoma" w:cs="Tahoma"/>
          <w:spacing w:val="-29"/>
          <w:sz w:val="20"/>
          <w:szCs w:val="20"/>
        </w:rPr>
        <w:t xml:space="preserve"> </w:t>
      </w:r>
      <w:r w:rsidRPr="00B004EE">
        <w:rPr>
          <w:rFonts w:ascii="Tahoma" w:eastAsia="American Typewriter" w:hAnsi="Tahoma" w:cs="Tahoma"/>
          <w:sz w:val="20"/>
          <w:szCs w:val="20"/>
        </w:rPr>
        <w:t>titulaire,</w:t>
      </w:r>
      <w:r w:rsidR="00DB1635" w:rsidRPr="00B004EE">
        <w:rPr>
          <w:rFonts w:ascii="Tahoma" w:eastAsia="American Typewriter" w:hAnsi="Tahoma" w:cs="Tahoma"/>
          <w:spacing w:val="-29"/>
          <w:sz w:val="20"/>
          <w:szCs w:val="20"/>
        </w:rPr>
        <w:t xml:space="preserve"> </w:t>
      </w:r>
      <w:r w:rsidRPr="00B004EE">
        <w:rPr>
          <w:rFonts w:ascii="Tahoma" w:eastAsia="American Typewriter" w:hAnsi="Tahoma" w:cs="Tahoma"/>
          <w:sz w:val="20"/>
          <w:szCs w:val="20"/>
        </w:rPr>
        <w:t>mesures</w:t>
      </w:r>
      <w:r w:rsidR="00DB1635" w:rsidRPr="00B004EE">
        <w:rPr>
          <w:rFonts w:ascii="Tahoma" w:eastAsia="American Typewriter" w:hAnsi="Tahoma" w:cs="Tahoma"/>
          <w:spacing w:val="-30"/>
          <w:sz w:val="20"/>
          <w:szCs w:val="20"/>
        </w:rPr>
        <w:t xml:space="preserve"> </w:t>
      </w:r>
      <w:r w:rsidRPr="00B004EE">
        <w:rPr>
          <w:rFonts w:ascii="Tahoma" w:eastAsia="American Typewriter" w:hAnsi="Tahoma" w:cs="Tahoma"/>
          <w:sz w:val="20"/>
          <w:szCs w:val="20"/>
        </w:rPr>
        <w:t>d'inspection</w:t>
      </w:r>
      <w:r w:rsidR="00DB1635" w:rsidRPr="00B004EE">
        <w:rPr>
          <w:rFonts w:ascii="Tahoma" w:eastAsia="American Typewriter" w:hAnsi="Tahoma" w:cs="Tahoma"/>
          <w:spacing w:val="-30"/>
          <w:sz w:val="20"/>
          <w:szCs w:val="20"/>
        </w:rPr>
        <w:t xml:space="preserve"> </w:t>
      </w:r>
      <w:r w:rsidRPr="00B004EE">
        <w:rPr>
          <w:rFonts w:ascii="Tahoma" w:eastAsia="American Typewriter" w:hAnsi="Tahoma" w:cs="Tahoma"/>
          <w:sz w:val="20"/>
          <w:szCs w:val="20"/>
        </w:rPr>
        <w:t>dont</w:t>
      </w:r>
      <w:r w:rsidR="00DB1635" w:rsidRPr="00B004EE">
        <w:rPr>
          <w:rFonts w:ascii="Tahoma" w:eastAsia="American Typewriter" w:hAnsi="Tahoma" w:cs="Tahoma"/>
          <w:w w:val="94"/>
          <w:sz w:val="20"/>
          <w:szCs w:val="20"/>
        </w:rPr>
        <w:t xml:space="preserve"> </w:t>
      </w:r>
      <w:r w:rsidRPr="00B004EE">
        <w:rPr>
          <w:rFonts w:ascii="Tahoma" w:eastAsia="American Typewriter" w:hAnsi="Tahoma" w:cs="Tahoma"/>
          <w:sz w:val="20"/>
          <w:szCs w:val="20"/>
        </w:rPr>
        <w:t>il</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a</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fait</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l'objet,</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ainsi</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que,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éventuellement,</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les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infractions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constatées</w:t>
      </w:r>
      <w:r w:rsidR="00DB1635" w:rsidRPr="00B004EE">
        <w:rPr>
          <w:rFonts w:ascii="Tahoma" w:eastAsia="American Typewriter" w:hAnsi="Tahoma" w:cs="Tahoma"/>
          <w:spacing w:val="58"/>
          <w:sz w:val="20"/>
          <w:szCs w:val="20"/>
        </w:rPr>
        <w:t xml:space="preserve"> </w:t>
      </w:r>
      <w:r w:rsidRPr="00B004EE">
        <w:rPr>
          <w:rFonts w:ascii="Tahoma" w:eastAsia="American Typewriter" w:hAnsi="Tahoma" w:cs="Tahoma"/>
          <w:sz w:val="20"/>
          <w:szCs w:val="20"/>
        </w:rPr>
        <w:t>et</w:t>
      </w:r>
      <w:r w:rsidR="00DB1635" w:rsidRPr="00B004EE">
        <w:rPr>
          <w:rFonts w:ascii="Tahoma" w:eastAsia="American Typewriter" w:hAnsi="Tahoma" w:cs="Tahoma"/>
          <w:w w:val="95"/>
          <w:sz w:val="20"/>
          <w:szCs w:val="20"/>
        </w:rPr>
        <w:t xml:space="preserve"> </w:t>
      </w:r>
      <w:r w:rsidRPr="00B004EE">
        <w:rPr>
          <w:rFonts w:ascii="Tahoma" w:eastAsia="American Typewriter" w:hAnsi="Tahoma" w:cs="Tahoma"/>
          <w:sz w:val="20"/>
          <w:szCs w:val="20"/>
        </w:rPr>
        <w:t>sanctions</w:t>
      </w:r>
      <w:r w:rsidR="00DB1635" w:rsidRPr="00B004EE">
        <w:rPr>
          <w:rFonts w:ascii="Tahoma" w:eastAsia="American Typewriter" w:hAnsi="Tahoma" w:cs="Tahoma"/>
          <w:spacing w:val="3"/>
          <w:sz w:val="20"/>
          <w:szCs w:val="20"/>
        </w:rPr>
        <w:t xml:space="preserve"> </w:t>
      </w:r>
      <w:r w:rsidRPr="00B004EE">
        <w:rPr>
          <w:rFonts w:ascii="Tahoma" w:eastAsia="American Typewriter" w:hAnsi="Tahoma" w:cs="Tahoma"/>
          <w:sz w:val="20"/>
          <w:szCs w:val="20"/>
        </w:rPr>
        <w:t>imposées.</w:t>
      </w:r>
    </w:p>
    <w:p w14:paraId="0CC4BE96" w14:textId="77777777" w:rsidR="00E50532" w:rsidRPr="00B004EE" w:rsidRDefault="00E50532" w:rsidP="00B004EE">
      <w:pPr>
        <w:widowControl w:val="0"/>
        <w:tabs>
          <w:tab w:val="left" w:pos="1154"/>
        </w:tabs>
        <w:ind w:left="142" w:right="160"/>
        <w:jc w:val="both"/>
        <w:rPr>
          <w:rFonts w:ascii="Tahoma" w:eastAsia="American Typewriter" w:hAnsi="Tahoma" w:cs="Tahoma"/>
          <w:sz w:val="20"/>
          <w:szCs w:val="20"/>
          <w:rtl/>
        </w:rPr>
      </w:pPr>
    </w:p>
    <w:p w14:paraId="343F5DF9" w14:textId="716C0D2E" w:rsidR="001E7C3C" w:rsidRPr="00B004EE" w:rsidRDefault="001E7C3C" w:rsidP="00B004EE">
      <w:pPr>
        <w:pStyle w:val="Corpsdetexte"/>
        <w:ind w:right="158"/>
        <w:rPr>
          <w:rFonts w:ascii="Tahoma" w:hAnsi="Tahoma" w:cs="Tahoma"/>
          <w:sz w:val="20"/>
          <w:szCs w:val="20"/>
        </w:rPr>
      </w:pP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dispositions</w:t>
      </w:r>
      <w:r w:rsidR="00DB1635" w:rsidRPr="00B004EE">
        <w:rPr>
          <w:rFonts w:ascii="Tahoma" w:hAnsi="Tahoma" w:cs="Tahoma"/>
          <w:sz w:val="20"/>
          <w:szCs w:val="20"/>
        </w:rPr>
        <w:t xml:space="preserve"> </w:t>
      </w:r>
      <w:r w:rsidRPr="00B004EE">
        <w:rPr>
          <w:rFonts w:ascii="Tahoma" w:hAnsi="Tahoma" w:cs="Tahoma"/>
          <w:sz w:val="20"/>
          <w:szCs w:val="20"/>
        </w:rPr>
        <w:t>prévues</w:t>
      </w:r>
      <w:r w:rsidR="00DB1635" w:rsidRPr="00B004EE">
        <w:rPr>
          <w:rFonts w:ascii="Tahoma" w:hAnsi="Tahoma" w:cs="Tahoma"/>
          <w:sz w:val="20"/>
          <w:szCs w:val="20"/>
        </w:rPr>
        <w:t xml:space="preserve"> </w:t>
      </w:r>
      <w:r w:rsidRPr="00B004EE">
        <w:rPr>
          <w:rFonts w:ascii="Tahoma" w:hAnsi="Tahoma" w:cs="Tahoma"/>
          <w:sz w:val="20"/>
          <w:szCs w:val="20"/>
        </w:rPr>
        <w:t>ci-</w:t>
      </w:r>
      <w:r w:rsidRPr="00B004EE">
        <w:rPr>
          <w:rFonts w:ascii="Tahoma" w:eastAsia="American Typewriter" w:hAnsi="Tahoma" w:cs="Tahoma"/>
          <w:sz w:val="20"/>
          <w:szCs w:val="20"/>
        </w:rPr>
        <w:t>dessus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ne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font</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pas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obstacle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à</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la</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mise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en</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œuvre,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sur</w:t>
      </w:r>
      <w:r w:rsidR="00DB1635" w:rsidRPr="00B004EE">
        <w:rPr>
          <w:rFonts w:ascii="Tahoma" w:eastAsia="American Typewriter" w:hAnsi="Tahoma" w:cs="Tahoma"/>
          <w:spacing w:val="-12"/>
          <w:sz w:val="20"/>
          <w:szCs w:val="20"/>
        </w:rPr>
        <w:t xml:space="preserve"> </w:t>
      </w:r>
      <w:r w:rsidRPr="00B004EE">
        <w:rPr>
          <w:rFonts w:ascii="Tahoma" w:eastAsia="American Typewriter" w:hAnsi="Tahoma" w:cs="Tahoma"/>
          <w:sz w:val="20"/>
          <w:szCs w:val="20"/>
        </w:rPr>
        <w:t>la</w:t>
      </w:r>
      <w:r w:rsidR="00DB1635" w:rsidRPr="00B004EE">
        <w:rPr>
          <w:rFonts w:ascii="Tahoma" w:eastAsia="American Typewriter" w:hAnsi="Tahoma" w:cs="Tahoma"/>
          <w:w w:val="98"/>
          <w:sz w:val="20"/>
          <w:szCs w:val="20"/>
        </w:rPr>
        <w:t xml:space="preserve"> </w:t>
      </w:r>
      <w:r w:rsidRPr="00B004EE">
        <w:rPr>
          <w:rFonts w:ascii="Tahoma" w:eastAsia="American Typewriter" w:hAnsi="Tahoma" w:cs="Tahoma"/>
          <w:sz w:val="20"/>
          <w:szCs w:val="20"/>
        </w:rPr>
        <w:t>base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d’Accords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internatio</w:t>
      </w:r>
      <w:r w:rsidRPr="00B004EE">
        <w:rPr>
          <w:rFonts w:ascii="Tahoma" w:hAnsi="Tahoma" w:cs="Tahoma"/>
          <w:sz w:val="20"/>
          <w:szCs w:val="20"/>
        </w:rPr>
        <w:t>naux</w:t>
      </w:r>
      <w:r w:rsidR="00DB1635" w:rsidRPr="00B004EE">
        <w:rPr>
          <w:rFonts w:ascii="Tahoma" w:hAnsi="Tahoma" w:cs="Tahoma"/>
          <w:sz w:val="20"/>
          <w:szCs w:val="20"/>
        </w:rPr>
        <w:t xml:space="preserve"> </w:t>
      </w:r>
      <w:r w:rsidRPr="00B004EE">
        <w:rPr>
          <w:rFonts w:ascii="Tahoma" w:hAnsi="Tahoma" w:cs="Tahoma"/>
          <w:sz w:val="20"/>
          <w:szCs w:val="20"/>
        </w:rPr>
        <w:t>auxquels</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Mauritanie</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partie,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registres</w:t>
      </w:r>
      <w:r w:rsidR="00DB1635" w:rsidRPr="00B004EE">
        <w:rPr>
          <w:rFonts w:ascii="Tahoma" w:hAnsi="Tahoma" w:cs="Tahoma"/>
          <w:spacing w:val="24"/>
          <w:sz w:val="20"/>
          <w:szCs w:val="20"/>
        </w:rPr>
        <w:t xml:space="preserve"> </w:t>
      </w:r>
      <w:r w:rsidRPr="00B004EE">
        <w:rPr>
          <w:rFonts w:ascii="Tahoma" w:hAnsi="Tahoma" w:cs="Tahoma"/>
          <w:sz w:val="20"/>
          <w:szCs w:val="20"/>
        </w:rPr>
        <w:t>de</w:t>
      </w:r>
      <w:r w:rsidR="00DB1635" w:rsidRPr="00B004EE">
        <w:rPr>
          <w:rFonts w:ascii="Tahoma" w:hAnsi="Tahoma" w:cs="Tahoma"/>
          <w:w w:val="94"/>
          <w:sz w:val="20"/>
          <w:szCs w:val="20"/>
        </w:rPr>
        <w:t xml:space="preserve"> </w:t>
      </w:r>
      <w:r w:rsidRPr="00B004EE">
        <w:rPr>
          <w:rFonts w:ascii="Tahoma" w:hAnsi="Tahoma" w:cs="Tahoma"/>
          <w:sz w:val="20"/>
          <w:szCs w:val="20"/>
        </w:rPr>
        <w:t>navires</w:t>
      </w:r>
      <w:r w:rsidR="00DB1635" w:rsidRPr="00B004EE">
        <w:rPr>
          <w:rFonts w:ascii="Tahoma" w:hAnsi="Tahoma" w:cs="Tahoma"/>
          <w:spacing w:val="-28"/>
          <w:sz w:val="20"/>
          <w:szCs w:val="20"/>
        </w:rPr>
        <w:t xml:space="preserve"> </w:t>
      </w:r>
      <w:r w:rsidRPr="00B004EE">
        <w:rPr>
          <w:rFonts w:ascii="Tahoma" w:hAnsi="Tahoma" w:cs="Tahoma"/>
          <w:sz w:val="20"/>
          <w:szCs w:val="20"/>
        </w:rPr>
        <w:t>de</w:t>
      </w:r>
      <w:r w:rsidR="00DB1635" w:rsidRPr="00B004EE">
        <w:rPr>
          <w:rFonts w:ascii="Tahoma" w:hAnsi="Tahoma" w:cs="Tahoma"/>
          <w:spacing w:val="-28"/>
          <w:sz w:val="20"/>
          <w:szCs w:val="20"/>
        </w:rPr>
        <w:t xml:space="preserve"> </w:t>
      </w:r>
      <w:r w:rsidRPr="00B004EE">
        <w:rPr>
          <w:rFonts w:ascii="Tahoma" w:hAnsi="Tahoma" w:cs="Tahoma"/>
          <w:sz w:val="20"/>
          <w:szCs w:val="20"/>
        </w:rPr>
        <w:t>pêche</w:t>
      </w:r>
      <w:r w:rsidR="00DB1635" w:rsidRPr="00B004EE">
        <w:rPr>
          <w:rFonts w:ascii="Tahoma" w:hAnsi="Tahoma" w:cs="Tahoma"/>
          <w:spacing w:val="-27"/>
          <w:sz w:val="20"/>
          <w:szCs w:val="20"/>
        </w:rPr>
        <w:t xml:space="preserve"> </w:t>
      </w:r>
      <w:r w:rsidRPr="00B004EE">
        <w:rPr>
          <w:rFonts w:ascii="Tahoma" w:eastAsia="American Typewriter" w:hAnsi="Tahoma" w:cs="Tahoma"/>
          <w:sz w:val="20"/>
          <w:szCs w:val="20"/>
        </w:rPr>
        <w:t>à</w:t>
      </w:r>
      <w:r w:rsidR="00DB1635" w:rsidRPr="00B004EE">
        <w:rPr>
          <w:rFonts w:ascii="Tahoma" w:eastAsia="American Typewriter" w:hAnsi="Tahoma" w:cs="Tahoma"/>
          <w:spacing w:val="-27"/>
          <w:sz w:val="20"/>
          <w:szCs w:val="20"/>
        </w:rPr>
        <w:t xml:space="preserve"> </w:t>
      </w:r>
      <w:r w:rsidRPr="00B004EE">
        <w:rPr>
          <w:rFonts w:ascii="Tahoma" w:eastAsia="American Typewriter" w:hAnsi="Tahoma" w:cs="Tahoma"/>
          <w:sz w:val="20"/>
          <w:szCs w:val="20"/>
        </w:rPr>
        <w:t>l’échelle</w:t>
      </w:r>
      <w:r w:rsidR="00DB1635" w:rsidRPr="00B004EE">
        <w:rPr>
          <w:rFonts w:ascii="Tahoma" w:eastAsia="American Typewriter" w:hAnsi="Tahoma" w:cs="Tahoma"/>
          <w:spacing w:val="-28"/>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pacing w:val="-28"/>
          <w:sz w:val="20"/>
          <w:szCs w:val="20"/>
        </w:rPr>
        <w:t xml:space="preserve"> </w:t>
      </w:r>
      <w:r w:rsidRPr="00B004EE">
        <w:rPr>
          <w:rFonts w:ascii="Tahoma" w:eastAsia="American Typewriter" w:hAnsi="Tahoma" w:cs="Tahoma"/>
          <w:sz w:val="20"/>
          <w:szCs w:val="20"/>
        </w:rPr>
        <w:t>la</w:t>
      </w:r>
      <w:r w:rsidR="00DB1635" w:rsidRPr="00B004EE">
        <w:rPr>
          <w:rFonts w:ascii="Tahoma" w:eastAsia="American Typewriter" w:hAnsi="Tahoma" w:cs="Tahoma"/>
          <w:spacing w:val="-27"/>
          <w:sz w:val="20"/>
          <w:szCs w:val="20"/>
        </w:rPr>
        <w:t xml:space="preserve"> </w:t>
      </w:r>
      <w:r w:rsidRPr="00B004EE">
        <w:rPr>
          <w:rFonts w:ascii="Tahoma" w:eastAsia="American Typewriter" w:hAnsi="Tahoma" w:cs="Tahoma"/>
          <w:sz w:val="20"/>
          <w:szCs w:val="20"/>
        </w:rPr>
        <w:t>sous</w:t>
      </w:r>
      <w:r w:rsidRPr="00B004EE">
        <w:rPr>
          <w:rFonts w:ascii="Tahoma" w:hAnsi="Tahoma" w:cs="Tahoma"/>
          <w:sz w:val="20"/>
          <w:szCs w:val="20"/>
        </w:rPr>
        <w:t>-région.</w:t>
      </w:r>
    </w:p>
    <w:p w14:paraId="7E04DBEA" w14:textId="77777777" w:rsidR="001E7C3C" w:rsidRPr="00B004EE" w:rsidRDefault="001E7C3C" w:rsidP="00B004EE">
      <w:pPr>
        <w:rPr>
          <w:rFonts w:ascii="Tahoma" w:eastAsia="American Typewriter" w:hAnsi="Tahoma" w:cs="Tahoma"/>
          <w:sz w:val="20"/>
          <w:szCs w:val="20"/>
        </w:rPr>
      </w:pPr>
    </w:p>
    <w:p w14:paraId="1B75A4A2" w14:textId="6D454EDD" w:rsidR="001E7C3C" w:rsidRPr="00B004EE" w:rsidRDefault="001E7C3C" w:rsidP="00B004EE">
      <w:pPr>
        <w:ind w:right="164" w:hanging="4"/>
        <w:jc w:val="center"/>
        <w:rPr>
          <w:rFonts w:ascii="Tahoma" w:hAnsi="Tahoma" w:cs="Tahoma"/>
          <w:b/>
          <w:spacing w:val="1"/>
          <w:w w:val="113"/>
          <w:sz w:val="20"/>
          <w:szCs w:val="20"/>
        </w:rPr>
      </w:pPr>
      <w:bookmarkStart w:id="69" w:name="_Toc16279067"/>
      <w:bookmarkStart w:id="70" w:name="_Toc16279436"/>
      <w:r w:rsidRPr="00B004EE">
        <w:rPr>
          <w:rFonts w:ascii="Tahoma" w:hAnsi="Tahoma" w:cs="Tahoma"/>
          <w:b/>
          <w:spacing w:val="1"/>
          <w:w w:val="113"/>
          <w:sz w:val="20"/>
          <w:szCs w:val="20"/>
        </w:rPr>
        <w:t>Section</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6</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De</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la</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déclaration</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sur</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les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captures</w:t>
      </w:r>
      <w:bookmarkEnd w:id="69"/>
      <w:bookmarkEnd w:id="70"/>
    </w:p>
    <w:p w14:paraId="0B39A1D0" w14:textId="77777777" w:rsidR="001E7C3C" w:rsidRPr="00B004EE" w:rsidRDefault="001E7C3C" w:rsidP="00B004EE">
      <w:pPr>
        <w:rPr>
          <w:rFonts w:ascii="Tahoma" w:eastAsia="American Typewriter" w:hAnsi="Tahoma" w:cs="Tahoma"/>
          <w:b/>
          <w:bCs/>
          <w:sz w:val="20"/>
          <w:szCs w:val="20"/>
        </w:rPr>
      </w:pPr>
    </w:p>
    <w:p w14:paraId="3D015C90" w14:textId="45F3B858" w:rsidR="001E7C3C" w:rsidRPr="00B004EE" w:rsidRDefault="001E7C3C" w:rsidP="00B004EE">
      <w:pPr>
        <w:pStyle w:val="Corpsdetexte"/>
        <w:ind w:right="161"/>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44</w:t>
      </w:r>
      <w:r w:rsidR="00DB1635" w:rsidRPr="00B004EE">
        <w:rPr>
          <w:rFonts w:ascii="Tahoma" w:hAnsi="Tahoma" w:cs="Tahoma"/>
          <w:bCs/>
          <w:sz w:val="20"/>
          <w:szCs w:val="20"/>
        </w:rPr>
        <w:t xml:space="preserve"> </w:t>
      </w:r>
      <w:r w:rsidRPr="00B004EE">
        <w:rPr>
          <w:rFonts w:ascii="Tahoma" w:hAnsi="Tahoma" w:cs="Tahoma"/>
          <w:bCs/>
          <w:sz w:val="20"/>
          <w:szCs w:val="20"/>
        </w:rPr>
        <w:t>:</w:t>
      </w:r>
      <w:r w:rsidR="00DB1635" w:rsidRPr="00B004EE">
        <w:rPr>
          <w:rFonts w:ascii="Tahoma" w:hAnsi="Tahoma" w:cs="Tahoma"/>
          <w:bCs/>
          <w:sz w:val="20"/>
          <w:szCs w:val="20"/>
        </w:rPr>
        <w:t xml:space="preserve"> </w:t>
      </w:r>
      <w:r w:rsidRPr="00B004EE">
        <w:rPr>
          <w:rFonts w:ascii="Tahoma" w:hAnsi="Tahoma" w:cs="Tahoma"/>
          <w:bCs/>
          <w:sz w:val="20"/>
          <w:szCs w:val="20"/>
        </w:rPr>
        <w:t>Les</w:t>
      </w:r>
      <w:r w:rsidR="00DB1635" w:rsidRPr="00B004EE">
        <w:rPr>
          <w:rFonts w:ascii="Tahoma" w:hAnsi="Tahoma" w:cs="Tahoma"/>
          <w:bCs/>
          <w:sz w:val="20"/>
          <w:szCs w:val="20"/>
        </w:rPr>
        <w:t xml:space="preserve"> </w:t>
      </w:r>
      <w:r w:rsidRPr="00B004EE">
        <w:rPr>
          <w:rFonts w:ascii="Tahoma" w:hAnsi="Tahoma" w:cs="Tahoma"/>
          <w:bCs/>
          <w:sz w:val="20"/>
          <w:szCs w:val="20"/>
        </w:rPr>
        <w:t>navires</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pêche</w:t>
      </w:r>
      <w:r w:rsidR="00DB1635" w:rsidRPr="00B004EE">
        <w:rPr>
          <w:rFonts w:ascii="Tahoma" w:hAnsi="Tahoma" w:cs="Tahoma"/>
          <w:bCs/>
          <w:sz w:val="20"/>
          <w:szCs w:val="20"/>
        </w:rPr>
        <w:t xml:space="preserve"> </w:t>
      </w:r>
      <w:r w:rsidRPr="00B004EE">
        <w:rPr>
          <w:rFonts w:ascii="Tahoma" w:hAnsi="Tahoma" w:cs="Tahoma"/>
          <w:bCs/>
          <w:sz w:val="20"/>
          <w:szCs w:val="20"/>
        </w:rPr>
        <w:t>autorisés</w:t>
      </w:r>
      <w:r w:rsidR="00DB1635" w:rsidRPr="00B004EE">
        <w:rPr>
          <w:rFonts w:ascii="Tahoma" w:hAnsi="Tahoma" w:cs="Tahoma"/>
          <w:bCs/>
          <w:sz w:val="20"/>
          <w:szCs w:val="20"/>
        </w:rPr>
        <w:t xml:space="preserve"> </w:t>
      </w:r>
      <w:r w:rsidRPr="00B004EE">
        <w:rPr>
          <w:rFonts w:ascii="Tahoma" w:hAnsi="Tahoma" w:cs="Tahoma"/>
          <w:bCs/>
          <w:sz w:val="20"/>
          <w:szCs w:val="20"/>
        </w:rPr>
        <w:t>à</w:t>
      </w:r>
      <w:r w:rsidR="00DB1635" w:rsidRPr="00B004EE">
        <w:rPr>
          <w:rFonts w:ascii="Tahoma" w:hAnsi="Tahoma" w:cs="Tahoma"/>
          <w:bCs/>
          <w:sz w:val="20"/>
          <w:szCs w:val="20"/>
        </w:rPr>
        <w:t xml:space="preserve"> </w:t>
      </w:r>
      <w:r w:rsidRPr="00B004EE">
        <w:rPr>
          <w:rFonts w:ascii="Tahoma" w:hAnsi="Tahoma" w:cs="Tahoma"/>
          <w:bCs/>
          <w:sz w:val="20"/>
          <w:szCs w:val="20"/>
        </w:rPr>
        <w:t>opérer</w:t>
      </w:r>
      <w:r w:rsidR="00DB1635" w:rsidRPr="00B004EE">
        <w:rPr>
          <w:rFonts w:ascii="Tahoma" w:hAnsi="Tahoma" w:cs="Tahoma"/>
          <w:bCs/>
          <w:sz w:val="20"/>
          <w:szCs w:val="20"/>
        </w:rPr>
        <w:t xml:space="preserve"> </w:t>
      </w:r>
      <w:r w:rsidRPr="00B004EE">
        <w:rPr>
          <w:rFonts w:ascii="Tahoma" w:hAnsi="Tahoma" w:cs="Tahoma"/>
          <w:bCs/>
          <w:sz w:val="20"/>
          <w:szCs w:val="20"/>
        </w:rPr>
        <w:t>dans</w:t>
      </w:r>
      <w:r w:rsidR="00DB1635" w:rsidRPr="00B004EE">
        <w:rPr>
          <w:rFonts w:ascii="Tahoma" w:hAnsi="Tahoma" w:cs="Tahoma"/>
          <w:bCs/>
          <w:sz w:val="20"/>
          <w:szCs w:val="20"/>
        </w:rPr>
        <w:t xml:space="preserve"> </w:t>
      </w:r>
      <w:r w:rsidRPr="00B004EE">
        <w:rPr>
          <w:rFonts w:ascii="Tahoma" w:hAnsi="Tahoma" w:cs="Tahoma"/>
          <w:bCs/>
          <w:sz w:val="20"/>
          <w:szCs w:val="20"/>
        </w:rPr>
        <w:t>les</w:t>
      </w:r>
      <w:r w:rsidR="00DB1635" w:rsidRPr="00B004EE">
        <w:rPr>
          <w:rFonts w:ascii="Tahoma" w:hAnsi="Tahoma" w:cs="Tahoma"/>
          <w:bCs/>
          <w:sz w:val="20"/>
          <w:szCs w:val="20"/>
        </w:rPr>
        <w:t xml:space="preserve"> </w:t>
      </w:r>
      <w:r w:rsidRPr="00B004EE">
        <w:rPr>
          <w:rFonts w:ascii="Tahoma" w:hAnsi="Tahoma" w:cs="Tahoma"/>
          <w:bCs/>
          <w:sz w:val="20"/>
          <w:szCs w:val="20"/>
        </w:rPr>
        <w:t>eaux</w:t>
      </w:r>
      <w:r w:rsidR="00DB1635" w:rsidRPr="00B004EE">
        <w:rPr>
          <w:rFonts w:ascii="Tahoma" w:hAnsi="Tahoma" w:cs="Tahoma"/>
          <w:bCs/>
          <w:sz w:val="20"/>
          <w:szCs w:val="20"/>
        </w:rPr>
        <w:t xml:space="preserve"> </w:t>
      </w:r>
      <w:r w:rsidRPr="00B004EE">
        <w:rPr>
          <w:rFonts w:ascii="Tahoma" w:hAnsi="Tahoma" w:cs="Tahoma"/>
          <w:bCs/>
          <w:sz w:val="20"/>
          <w:szCs w:val="20"/>
        </w:rPr>
        <w:t>sous</w:t>
      </w:r>
      <w:r w:rsidR="00DB1635" w:rsidRPr="00B004EE">
        <w:rPr>
          <w:rFonts w:ascii="Tahoma" w:hAnsi="Tahoma" w:cs="Tahoma"/>
          <w:bCs/>
          <w:sz w:val="20"/>
          <w:szCs w:val="20"/>
        </w:rPr>
        <w:t xml:space="preserve"> </w:t>
      </w:r>
      <w:r w:rsidRPr="00B004EE">
        <w:rPr>
          <w:rFonts w:ascii="Tahoma" w:hAnsi="Tahoma" w:cs="Tahoma"/>
          <w:bCs/>
          <w:sz w:val="20"/>
          <w:szCs w:val="20"/>
        </w:rPr>
        <w:t>juridiction</w:t>
      </w:r>
      <w:r w:rsidR="00DB1635" w:rsidRPr="00B004EE">
        <w:rPr>
          <w:rFonts w:ascii="Tahoma" w:hAnsi="Tahoma" w:cs="Tahoma"/>
          <w:bCs/>
          <w:sz w:val="20"/>
          <w:szCs w:val="20"/>
        </w:rPr>
        <w:t xml:space="preserve"> </w:t>
      </w:r>
      <w:r w:rsidRPr="00B004EE">
        <w:rPr>
          <w:rFonts w:ascii="Tahoma" w:hAnsi="Tahoma" w:cs="Tahoma"/>
          <w:bCs/>
          <w:sz w:val="20"/>
          <w:szCs w:val="20"/>
        </w:rPr>
        <w:t>mauritanienne</w:t>
      </w:r>
      <w:r w:rsidR="00DB1635" w:rsidRPr="00B004EE">
        <w:rPr>
          <w:rFonts w:ascii="Tahoma" w:hAnsi="Tahoma" w:cs="Tahoma"/>
          <w:bCs/>
          <w:sz w:val="20"/>
          <w:szCs w:val="20"/>
        </w:rPr>
        <w:t xml:space="preserve"> </w:t>
      </w:r>
      <w:r w:rsidRPr="00B004EE">
        <w:rPr>
          <w:rFonts w:ascii="Tahoma" w:hAnsi="Tahoma" w:cs="Tahoma"/>
          <w:bCs/>
          <w:sz w:val="20"/>
          <w:szCs w:val="20"/>
        </w:rPr>
        <w:t>doivent</w:t>
      </w:r>
      <w:r w:rsidR="00DB1635" w:rsidRPr="00B004EE">
        <w:rPr>
          <w:rFonts w:ascii="Tahoma" w:hAnsi="Tahoma" w:cs="Tahoma"/>
          <w:bCs/>
          <w:sz w:val="20"/>
          <w:szCs w:val="20"/>
        </w:rPr>
        <w:t xml:space="preserve"> </w:t>
      </w:r>
      <w:r w:rsidRPr="00B004EE">
        <w:rPr>
          <w:rFonts w:ascii="Tahoma" w:hAnsi="Tahoma" w:cs="Tahoma"/>
          <w:bCs/>
          <w:sz w:val="20"/>
          <w:szCs w:val="20"/>
        </w:rPr>
        <w:t>transmettre</w:t>
      </w:r>
      <w:r w:rsidR="00DB1635" w:rsidRPr="00B004EE">
        <w:rPr>
          <w:rFonts w:ascii="Tahoma" w:hAnsi="Tahoma" w:cs="Tahoma"/>
          <w:bCs/>
          <w:sz w:val="20"/>
          <w:szCs w:val="20"/>
        </w:rPr>
        <w:t xml:space="preserve"> </w:t>
      </w:r>
      <w:r w:rsidRPr="00B004EE">
        <w:rPr>
          <w:rFonts w:ascii="Tahoma" w:hAnsi="Tahoma" w:cs="Tahoma"/>
          <w:bCs/>
          <w:sz w:val="20"/>
          <w:szCs w:val="20"/>
        </w:rPr>
        <w:t>à</w:t>
      </w:r>
      <w:r w:rsidR="00DB1635" w:rsidRPr="00B004EE">
        <w:rPr>
          <w:rFonts w:ascii="Tahoma" w:hAnsi="Tahoma" w:cs="Tahoma"/>
          <w:bCs/>
          <w:sz w:val="20"/>
          <w:szCs w:val="20"/>
        </w:rPr>
        <w:t xml:space="preserve"> </w:t>
      </w:r>
      <w:r w:rsidRPr="00B004EE">
        <w:rPr>
          <w:rFonts w:ascii="Tahoma" w:hAnsi="Tahoma" w:cs="Tahoma"/>
          <w:sz w:val="20"/>
          <w:szCs w:val="20"/>
        </w:rPr>
        <w:t>l'autorité</w:t>
      </w:r>
      <w:r w:rsidR="00DB1635" w:rsidRPr="00B004EE">
        <w:rPr>
          <w:rFonts w:ascii="Tahoma" w:hAnsi="Tahoma" w:cs="Tahoma"/>
          <w:sz w:val="20"/>
          <w:szCs w:val="20"/>
        </w:rPr>
        <w:t xml:space="preserve"> </w:t>
      </w:r>
      <w:r w:rsidRPr="00B004EE">
        <w:rPr>
          <w:rFonts w:ascii="Tahoma" w:hAnsi="Tahoma" w:cs="Tahoma"/>
          <w:sz w:val="20"/>
          <w:szCs w:val="20"/>
        </w:rPr>
        <w:t>compétente,</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pacing w:val="49"/>
          <w:sz w:val="20"/>
          <w:szCs w:val="20"/>
        </w:rPr>
        <w:t xml:space="preserve"> </w:t>
      </w:r>
      <w:r w:rsidRPr="00B004EE">
        <w:rPr>
          <w:rFonts w:ascii="Tahoma" w:hAnsi="Tahoma" w:cs="Tahoma"/>
          <w:sz w:val="20"/>
          <w:szCs w:val="20"/>
        </w:rPr>
        <w:t>données</w:t>
      </w:r>
      <w:r w:rsidR="00DB1635" w:rsidRPr="00B004EE">
        <w:rPr>
          <w:rFonts w:ascii="Tahoma" w:hAnsi="Tahoma" w:cs="Tahoma"/>
          <w:w w:val="94"/>
          <w:sz w:val="20"/>
          <w:szCs w:val="20"/>
        </w:rPr>
        <w:t xml:space="preserve"> </w:t>
      </w:r>
      <w:r w:rsidRPr="00B004EE">
        <w:rPr>
          <w:rFonts w:ascii="Tahoma" w:hAnsi="Tahoma" w:cs="Tahoma"/>
          <w:sz w:val="20"/>
          <w:szCs w:val="20"/>
        </w:rPr>
        <w:t>statistiques</w:t>
      </w:r>
      <w:r w:rsidR="00DB1635" w:rsidRPr="00B004EE">
        <w:rPr>
          <w:rFonts w:ascii="Tahoma" w:hAnsi="Tahoma" w:cs="Tahoma"/>
          <w:spacing w:val="-19"/>
          <w:sz w:val="20"/>
          <w:szCs w:val="20"/>
        </w:rPr>
        <w:t xml:space="preserve"> </w:t>
      </w:r>
      <w:r w:rsidRPr="00B004EE">
        <w:rPr>
          <w:rFonts w:ascii="Tahoma" w:hAnsi="Tahoma" w:cs="Tahoma"/>
          <w:sz w:val="20"/>
          <w:szCs w:val="20"/>
        </w:rPr>
        <w:t>et</w:t>
      </w:r>
      <w:r w:rsidR="00DB1635" w:rsidRPr="00B004EE">
        <w:rPr>
          <w:rFonts w:ascii="Tahoma" w:hAnsi="Tahoma" w:cs="Tahoma"/>
          <w:spacing w:val="-18"/>
          <w:sz w:val="20"/>
          <w:szCs w:val="20"/>
        </w:rPr>
        <w:t xml:space="preserve"> </w:t>
      </w:r>
      <w:r w:rsidRPr="00B004EE">
        <w:rPr>
          <w:rFonts w:ascii="Tahoma" w:hAnsi="Tahoma" w:cs="Tahoma"/>
          <w:sz w:val="20"/>
          <w:szCs w:val="20"/>
        </w:rPr>
        <w:t>les</w:t>
      </w:r>
      <w:r w:rsidR="00DB1635" w:rsidRPr="00B004EE">
        <w:rPr>
          <w:rFonts w:ascii="Tahoma" w:hAnsi="Tahoma" w:cs="Tahoma"/>
          <w:spacing w:val="-19"/>
          <w:sz w:val="20"/>
          <w:szCs w:val="20"/>
        </w:rPr>
        <w:t xml:space="preserve"> </w:t>
      </w:r>
      <w:r w:rsidRPr="00B004EE">
        <w:rPr>
          <w:rFonts w:ascii="Tahoma" w:hAnsi="Tahoma" w:cs="Tahoma"/>
          <w:sz w:val="20"/>
          <w:szCs w:val="20"/>
        </w:rPr>
        <w:t>informations</w:t>
      </w:r>
      <w:r w:rsidR="00DB1635" w:rsidRPr="00B004EE">
        <w:rPr>
          <w:rFonts w:ascii="Tahoma" w:hAnsi="Tahoma" w:cs="Tahoma"/>
          <w:spacing w:val="-19"/>
          <w:sz w:val="20"/>
          <w:szCs w:val="20"/>
        </w:rPr>
        <w:t xml:space="preserve"> </w:t>
      </w:r>
      <w:r w:rsidRPr="00B004EE">
        <w:rPr>
          <w:rFonts w:ascii="Tahoma" w:hAnsi="Tahoma" w:cs="Tahoma"/>
          <w:sz w:val="20"/>
          <w:szCs w:val="20"/>
        </w:rPr>
        <w:t>sur</w:t>
      </w:r>
      <w:r w:rsidR="00DB1635" w:rsidRPr="00B004EE">
        <w:rPr>
          <w:rFonts w:ascii="Tahoma" w:hAnsi="Tahoma" w:cs="Tahoma"/>
          <w:spacing w:val="-19"/>
          <w:sz w:val="20"/>
          <w:szCs w:val="20"/>
        </w:rPr>
        <w:t xml:space="preserve"> </w:t>
      </w:r>
      <w:r w:rsidRPr="00B004EE">
        <w:rPr>
          <w:rFonts w:ascii="Tahoma" w:hAnsi="Tahoma" w:cs="Tahoma"/>
          <w:sz w:val="20"/>
          <w:szCs w:val="20"/>
        </w:rPr>
        <w:t>les</w:t>
      </w:r>
      <w:r w:rsidR="00DB1635" w:rsidRPr="00B004EE">
        <w:rPr>
          <w:rFonts w:ascii="Tahoma" w:hAnsi="Tahoma" w:cs="Tahoma"/>
          <w:spacing w:val="-19"/>
          <w:sz w:val="20"/>
          <w:szCs w:val="20"/>
        </w:rPr>
        <w:t xml:space="preserve"> </w:t>
      </w:r>
      <w:r w:rsidRPr="00B004EE">
        <w:rPr>
          <w:rFonts w:ascii="Tahoma" w:hAnsi="Tahoma" w:cs="Tahoma"/>
          <w:sz w:val="20"/>
          <w:szCs w:val="20"/>
        </w:rPr>
        <w:t>captures</w:t>
      </w:r>
      <w:r w:rsidR="00DB1635" w:rsidRPr="00B004EE">
        <w:rPr>
          <w:rFonts w:ascii="Tahoma" w:hAnsi="Tahoma" w:cs="Tahoma"/>
          <w:spacing w:val="-19"/>
          <w:sz w:val="20"/>
          <w:szCs w:val="20"/>
        </w:rPr>
        <w:t xml:space="preserve"> </w:t>
      </w:r>
      <w:r w:rsidRPr="00B004EE">
        <w:rPr>
          <w:rFonts w:ascii="Tahoma" w:hAnsi="Tahoma" w:cs="Tahoma"/>
          <w:sz w:val="20"/>
          <w:szCs w:val="20"/>
        </w:rPr>
        <w:t>réalisées,</w:t>
      </w:r>
      <w:r w:rsidR="00DB1635" w:rsidRPr="00B004EE">
        <w:rPr>
          <w:rFonts w:ascii="Tahoma" w:hAnsi="Tahoma" w:cs="Tahoma"/>
          <w:spacing w:val="-20"/>
          <w:sz w:val="20"/>
          <w:szCs w:val="20"/>
        </w:rPr>
        <w:t xml:space="preserve"> </w:t>
      </w:r>
      <w:r w:rsidRPr="00B004EE">
        <w:rPr>
          <w:rFonts w:ascii="Tahoma" w:hAnsi="Tahoma" w:cs="Tahoma"/>
          <w:sz w:val="20"/>
          <w:szCs w:val="20"/>
        </w:rPr>
        <w:t>dans</w:t>
      </w:r>
      <w:r w:rsidR="00DB1635" w:rsidRPr="00B004EE">
        <w:rPr>
          <w:rFonts w:ascii="Tahoma" w:hAnsi="Tahoma" w:cs="Tahoma"/>
          <w:spacing w:val="-20"/>
          <w:sz w:val="20"/>
          <w:szCs w:val="20"/>
        </w:rPr>
        <w:t xml:space="preserve"> </w:t>
      </w:r>
      <w:r w:rsidRPr="00B004EE">
        <w:rPr>
          <w:rFonts w:ascii="Tahoma" w:hAnsi="Tahoma" w:cs="Tahoma"/>
          <w:sz w:val="20"/>
          <w:szCs w:val="20"/>
        </w:rPr>
        <w:t>les</w:t>
      </w:r>
      <w:r w:rsidR="00DB1635" w:rsidRPr="00B004EE">
        <w:rPr>
          <w:rFonts w:ascii="Tahoma" w:hAnsi="Tahoma" w:cs="Tahoma"/>
          <w:spacing w:val="-20"/>
          <w:sz w:val="20"/>
          <w:szCs w:val="20"/>
        </w:rPr>
        <w:t xml:space="preserve"> </w:t>
      </w:r>
      <w:r w:rsidRPr="00B004EE">
        <w:rPr>
          <w:rFonts w:ascii="Tahoma" w:hAnsi="Tahoma" w:cs="Tahoma"/>
          <w:sz w:val="20"/>
          <w:szCs w:val="20"/>
        </w:rPr>
        <w:t>formes</w:t>
      </w:r>
      <w:r w:rsidR="00DB1635" w:rsidRPr="00B004EE">
        <w:rPr>
          <w:rFonts w:ascii="Tahoma" w:hAnsi="Tahoma" w:cs="Tahoma"/>
          <w:spacing w:val="-20"/>
          <w:sz w:val="20"/>
          <w:szCs w:val="20"/>
        </w:rPr>
        <w:t xml:space="preserve"> </w:t>
      </w:r>
      <w:r w:rsidRPr="00B004EE">
        <w:rPr>
          <w:rFonts w:ascii="Tahoma" w:hAnsi="Tahoma" w:cs="Tahoma"/>
          <w:sz w:val="20"/>
          <w:szCs w:val="20"/>
        </w:rPr>
        <w:t>et</w:t>
      </w:r>
      <w:r w:rsidR="00DB1635" w:rsidRPr="00B004EE">
        <w:rPr>
          <w:rFonts w:ascii="Tahoma" w:hAnsi="Tahoma" w:cs="Tahoma"/>
          <w:spacing w:val="-20"/>
          <w:sz w:val="20"/>
          <w:szCs w:val="20"/>
        </w:rPr>
        <w:t xml:space="preserve"> </w:t>
      </w:r>
      <w:r w:rsidRPr="00B004EE">
        <w:rPr>
          <w:rFonts w:ascii="Tahoma" w:hAnsi="Tahoma" w:cs="Tahoma"/>
          <w:sz w:val="20"/>
          <w:szCs w:val="20"/>
        </w:rPr>
        <w:t>délais</w:t>
      </w:r>
      <w:r w:rsidR="00DB1635" w:rsidRPr="00B004EE">
        <w:rPr>
          <w:rFonts w:ascii="Tahoma" w:hAnsi="Tahoma" w:cs="Tahoma"/>
          <w:w w:val="94"/>
          <w:sz w:val="20"/>
          <w:szCs w:val="20"/>
        </w:rPr>
        <w:t xml:space="preserve"> </w:t>
      </w:r>
      <w:r w:rsidRPr="00B004EE">
        <w:rPr>
          <w:rFonts w:ascii="Tahoma" w:hAnsi="Tahoma" w:cs="Tahoma"/>
          <w:sz w:val="20"/>
          <w:szCs w:val="20"/>
        </w:rPr>
        <w:t>qui</w:t>
      </w:r>
      <w:r w:rsidR="00DB1635" w:rsidRPr="00B004EE">
        <w:rPr>
          <w:rFonts w:ascii="Tahoma" w:hAnsi="Tahoma" w:cs="Tahoma"/>
          <w:spacing w:val="-30"/>
          <w:sz w:val="20"/>
          <w:szCs w:val="20"/>
        </w:rPr>
        <w:t xml:space="preserve"> </w:t>
      </w:r>
      <w:r w:rsidRPr="00B004EE">
        <w:rPr>
          <w:rFonts w:ascii="Tahoma" w:hAnsi="Tahoma" w:cs="Tahoma"/>
          <w:sz w:val="20"/>
          <w:szCs w:val="20"/>
        </w:rPr>
        <w:t>auront</w:t>
      </w:r>
      <w:r w:rsidR="00DB1635" w:rsidRPr="00B004EE">
        <w:rPr>
          <w:rFonts w:ascii="Tahoma" w:hAnsi="Tahoma" w:cs="Tahoma"/>
          <w:spacing w:val="-31"/>
          <w:sz w:val="20"/>
          <w:szCs w:val="20"/>
        </w:rPr>
        <w:t xml:space="preserve"> </w:t>
      </w:r>
      <w:r w:rsidRPr="00B004EE">
        <w:rPr>
          <w:rFonts w:ascii="Tahoma" w:hAnsi="Tahoma" w:cs="Tahoma"/>
          <w:sz w:val="20"/>
          <w:szCs w:val="20"/>
        </w:rPr>
        <w:t>été</w:t>
      </w:r>
      <w:r w:rsidR="00DB1635" w:rsidRPr="00B004EE">
        <w:rPr>
          <w:rFonts w:ascii="Tahoma" w:hAnsi="Tahoma" w:cs="Tahoma"/>
          <w:spacing w:val="-31"/>
          <w:sz w:val="20"/>
          <w:szCs w:val="20"/>
        </w:rPr>
        <w:t xml:space="preserve"> </w:t>
      </w:r>
      <w:r w:rsidRPr="00B004EE">
        <w:rPr>
          <w:rFonts w:ascii="Tahoma" w:hAnsi="Tahoma" w:cs="Tahoma"/>
          <w:sz w:val="20"/>
          <w:szCs w:val="20"/>
        </w:rPr>
        <w:t>prescrits</w:t>
      </w:r>
      <w:r w:rsidR="00DB1635" w:rsidRPr="00B004EE">
        <w:rPr>
          <w:rFonts w:ascii="Tahoma" w:hAnsi="Tahoma" w:cs="Tahoma"/>
          <w:spacing w:val="-31"/>
          <w:sz w:val="20"/>
          <w:szCs w:val="20"/>
        </w:rPr>
        <w:t xml:space="preserve"> </w:t>
      </w:r>
      <w:r w:rsidRPr="00B004EE">
        <w:rPr>
          <w:rFonts w:ascii="Tahoma" w:hAnsi="Tahoma" w:cs="Tahoma"/>
          <w:sz w:val="20"/>
          <w:szCs w:val="20"/>
        </w:rPr>
        <w:t>par</w:t>
      </w:r>
      <w:r w:rsidR="00DB1635" w:rsidRPr="00B004EE">
        <w:rPr>
          <w:rFonts w:ascii="Tahoma" w:hAnsi="Tahoma" w:cs="Tahoma"/>
          <w:spacing w:val="-31"/>
          <w:sz w:val="20"/>
          <w:szCs w:val="20"/>
        </w:rPr>
        <w:t xml:space="preserve"> </w:t>
      </w:r>
      <w:r w:rsidRPr="00B004EE">
        <w:rPr>
          <w:rFonts w:ascii="Tahoma" w:hAnsi="Tahoma" w:cs="Tahoma"/>
          <w:sz w:val="20"/>
          <w:szCs w:val="20"/>
        </w:rPr>
        <w:t>arrêté</w:t>
      </w:r>
      <w:r w:rsidR="00DB1635" w:rsidRPr="00B004EE">
        <w:rPr>
          <w:rFonts w:ascii="Tahoma" w:hAnsi="Tahoma" w:cs="Tahoma"/>
          <w:spacing w:val="-30"/>
          <w:sz w:val="20"/>
          <w:szCs w:val="20"/>
        </w:rPr>
        <w:t xml:space="preserve"> </w:t>
      </w:r>
      <w:r w:rsidRPr="00B004EE">
        <w:rPr>
          <w:rFonts w:ascii="Tahoma" w:hAnsi="Tahoma" w:cs="Tahoma"/>
          <w:sz w:val="20"/>
          <w:szCs w:val="20"/>
        </w:rPr>
        <w:t>du</w:t>
      </w:r>
      <w:r w:rsidR="00DB1635" w:rsidRPr="00B004EE">
        <w:rPr>
          <w:rFonts w:ascii="Tahoma" w:hAnsi="Tahoma" w:cs="Tahoma"/>
          <w:spacing w:val="-31"/>
          <w:sz w:val="20"/>
          <w:szCs w:val="20"/>
        </w:rPr>
        <w:t xml:space="preserve"> </w:t>
      </w:r>
      <w:r w:rsidRPr="00B004EE">
        <w:rPr>
          <w:rFonts w:ascii="Tahoma" w:hAnsi="Tahoma" w:cs="Tahoma"/>
          <w:sz w:val="20"/>
          <w:szCs w:val="20"/>
        </w:rPr>
        <w:t>ministre</w:t>
      </w:r>
      <w:r w:rsidR="00DB1635" w:rsidRPr="00B004EE">
        <w:rPr>
          <w:rFonts w:ascii="Tahoma" w:hAnsi="Tahoma" w:cs="Tahoma"/>
          <w:spacing w:val="-31"/>
          <w:sz w:val="20"/>
          <w:szCs w:val="20"/>
        </w:rPr>
        <w:t xml:space="preserve"> </w:t>
      </w:r>
      <w:r w:rsidRPr="00B004EE">
        <w:rPr>
          <w:rFonts w:ascii="Tahoma" w:hAnsi="Tahoma" w:cs="Tahoma"/>
          <w:sz w:val="20"/>
          <w:szCs w:val="20"/>
        </w:rPr>
        <w:t>chargé</w:t>
      </w:r>
      <w:r w:rsidR="00DB1635" w:rsidRPr="00B004EE">
        <w:rPr>
          <w:rFonts w:ascii="Tahoma" w:hAnsi="Tahoma" w:cs="Tahoma"/>
          <w:spacing w:val="-31"/>
          <w:sz w:val="20"/>
          <w:szCs w:val="20"/>
        </w:rPr>
        <w:t xml:space="preserve"> </w:t>
      </w:r>
      <w:r w:rsidRPr="00B004EE">
        <w:rPr>
          <w:rFonts w:ascii="Tahoma" w:hAnsi="Tahoma" w:cs="Tahoma"/>
          <w:sz w:val="20"/>
          <w:szCs w:val="20"/>
        </w:rPr>
        <w:t>des</w:t>
      </w:r>
      <w:r w:rsidR="00DB1635" w:rsidRPr="00B004EE">
        <w:rPr>
          <w:rFonts w:ascii="Tahoma" w:hAnsi="Tahoma" w:cs="Tahoma"/>
          <w:spacing w:val="-31"/>
          <w:sz w:val="20"/>
          <w:szCs w:val="20"/>
        </w:rPr>
        <w:t xml:space="preserve"> </w:t>
      </w:r>
      <w:r w:rsidRPr="00B004EE">
        <w:rPr>
          <w:rFonts w:ascii="Tahoma" w:hAnsi="Tahoma" w:cs="Tahoma"/>
          <w:sz w:val="20"/>
          <w:szCs w:val="20"/>
        </w:rPr>
        <w:t>pêches.</w:t>
      </w:r>
    </w:p>
    <w:p w14:paraId="7848DC65" w14:textId="7F4E2BF8" w:rsidR="001E7C3C" w:rsidRPr="00B004EE" w:rsidRDefault="001E7C3C" w:rsidP="00B004EE">
      <w:pPr>
        <w:pStyle w:val="Corpsdetexte"/>
        <w:ind w:right="161"/>
        <w:rPr>
          <w:rFonts w:ascii="Tahoma" w:hAnsi="Tahoma" w:cs="Tahoma"/>
          <w:sz w:val="20"/>
          <w:szCs w:val="20"/>
        </w:rPr>
      </w:pPr>
      <w:r w:rsidRPr="00B004EE">
        <w:rPr>
          <w:rFonts w:ascii="Tahoma" w:eastAsia="American Typewriter" w:hAnsi="Tahoma" w:cs="Tahoma"/>
          <w:sz w:val="20"/>
          <w:szCs w:val="20"/>
        </w:rPr>
        <w:t>L’arrêté</w:t>
      </w:r>
      <w:r w:rsidR="00DB1635" w:rsidRPr="00B004EE">
        <w:rPr>
          <w:rFonts w:ascii="Tahoma" w:eastAsia="American Typewriter" w:hAnsi="Tahoma" w:cs="Tahoma"/>
          <w:spacing w:val="-25"/>
          <w:sz w:val="20"/>
          <w:szCs w:val="20"/>
        </w:rPr>
        <w:t xml:space="preserve"> </w:t>
      </w:r>
      <w:r w:rsidRPr="00B004EE">
        <w:rPr>
          <w:rFonts w:ascii="Tahoma" w:eastAsia="American Typewriter" w:hAnsi="Tahoma" w:cs="Tahoma"/>
          <w:sz w:val="20"/>
          <w:szCs w:val="20"/>
        </w:rPr>
        <w:t>prévu</w:t>
      </w:r>
      <w:r w:rsidR="00DB1635" w:rsidRPr="00B004EE">
        <w:rPr>
          <w:rFonts w:ascii="Tahoma" w:eastAsia="American Typewriter" w:hAnsi="Tahoma" w:cs="Tahoma"/>
          <w:spacing w:val="-25"/>
          <w:sz w:val="20"/>
          <w:szCs w:val="20"/>
        </w:rPr>
        <w:t xml:space="preserve"> </w:t>
      </w:r>
      <w:r w:rsidRPr="00B004EE">
        <w:rPr>
          <w:rFonts w:ascii="Tahoma" w:eastAsia="American Typewriter" w:hAnsi="Tahoma" w:cs="Tahoma"/>
          <w:sz w:val="20"/>
          <w:szCs w:val="20"/>
        </w:rPr>
        <w:t>à</w:t>
      </w:r>
      <w:r w:rsidR="00DB1635" w:rsidRPr="00B004EE">
        <w:rPr>
          <w:rFonts w:ascii="Tahoma" w:eastAsia="American Typewriter" w:hAnsi="Tahoma" w:cs="Tahoma"/>
          <w:spacing w:val="-24"/>
          <w:sz w:val="20"/>
          <w:szCs w:val="20"/>
        </w:rPr>
        <w:t xml:space="preserve"> </w:t>
      </w:r>
      <w:r w:rsidRPr="00B004EE">
        <w:rPr>
          <w:rFonts w:ascii="Tahoma" w:eastAsia="American Typewriter" w:hAnsi="Tahoma" w:cs="Tahoma"/>
          <w:sz w:val="20"/>
          <w:szCs w:val="20"/>
        </w:rPr>
        <w:t>l’alinéa</w:t>
      </w:r>
      <w:r w:rsidRPr="00B004EE">
        <w:rPr>
          <w:rFonts w:ascii="Tahoma" w:hAnsi="Tahoma" w:cs="Tahoma"/>
          <w:sz w:val="20"/>
          <w:szCs w:val="20"/>
        </w:rPr>
        <w:t>,</w:t>
      </w:r>
      <w:r w:rsidR="00DB1635" w:rsidRPr="00B004EE">
        <w:rPr>
          <w:rFonts w:ascii="Tahoma" w:hAnsi="Tahoma" w:cs="Tahoma"/>
          <w:spacing w:val="-24"/>
          <w:sz w:val="20"/>
          <w:szCs w:val="20"/>
        </w:rPr>
        <w:t xml:space="preserve"> </w:t>
      </w:r>
      <w:r w:rsidRPr="00B004EE">
        <w:rPr>
          <w:rFonts w:ascii="Tahoma" w:hAnsi="Tahoma" w:cs="Tahoma"/>
          <w:sz w:val="20"/>
          <w:szCs w:val="20"/>
        </w:rPr>
        <w:t>ci-dessous,</w:t>
      </w:r>
      <w:r w:rsidR="00DB1635" w:rsidRPr="00B004EE">
        <w:rPr>
          <w:rFonts w:ascii="Tahoma" w:hAnsi="Tahoma" w:cs="Tahoma"/>
          <w:spacing w:val="-26"/>
          <w:sz w:val="20"/>
          <w:szCs w:val="20"/>
        </w:rPr>
        <w:t xml:space="preserve"> </w:t>
      </w:r>
      <w:r w:rsidRPr="00B004EE">
        <w:rPr>
          <w:rFonts w:ascii="Tahoma" w:hAnsi="Tahoma" w:cs="Tahoma"/>
          <w:sz w:val="20"/>
          <w:szCs w:val="20"/>
        </w:rPr>
        <w:t>précisera</w:t>
      </w:r>
      <w:r w:rsidR="00DB1635" w:rsidRPr="00B004EE">
        <w:rPr>
          <w:rFonts w:ascii="Tahoma" w:hAnsi="Tahoma" w:cs="Tahoma"/>
          <w:spacing w:val="-26"/>
          <w:sz w:val="20"/>
          <w:szCs w:val="20"/>
        </w:rPr>
        <w:t xml:space="preserve"> </w:t>
      </w:r>
      <w:r w:rsidRPr="00B004EE">
        <w:rPr>
          <w:rFonts w:ascii="Tahoma" w:hAnsi="Tahoma" w:cs="Tahoma"/>
          <w:sz w:val="20"/>
          <w:szCs w:val="20"/>
        </w:rPr>
        <w:t>les</w:t>
      </w:r>
      <w:r w:rsidR="00DB1635" w:rsidRPr="00B004EE">
        <w:rPr>
          <w:rFonts w:ascii="Tahoma" w:hAnsi="Tahoma" w:cs="Tahoma"/>
          <w:spacing w:val="-25"/>
          <w:sz w:val="20"/>
          <w:szCs w:val="20"/>
        </w:rPr>
        <w:t xml:space="preserve"> </w:t>
      </w:r>
      <w:r w:rsidRPr="00B004EE">
        <w:rPr>
          <w:rFonts w:ascii="Tahoma" w:hAnsi="Tahoma" w:cs="Tahoma"/>
          <w:sz w:val="20"/>
          <w:szCs w:val="20"/>
        </w:rPr>
        <w:t>mesures</w:t>
      </w:r>
      <w:r w:rsidR="00DB1635" w:rsidRPr="00B004EE">
        <w:rPr>
          <w:rFonts w:ascii="Tahoma" w:hAnsi="Tahoma" w:cs="Tahoma"/>
          <w:spacing w:val="-26"/>
          <w:sz w:val="20"/>
          <w:szCs w:val="20"/>
        </w:rPr>
        <w:t xml:space="preserve"> </w:t>
      </w:r>
      <w:r w:rsidRPr="00B004EE">
        <w:rPr>
          <w:rFonts w:ascii="Tahoma" w:hAnsi="Tahoma" w:cs="Tahoma"/>
          <w:sz w:val="20"/>
          <w:szCs w:val="20"/>
        </w:rPr>
        <w:t>spéciales</w:t>
      </w:r>
      <w:r w:rsidR="00DB1635" w:rsidRPr="00B004EE">
        <w:rPr>
          <w:rFonts w:ascii="Tahoma" w:hAnsi="Tahoma" w:cs="Tahoma"/>
          <w:spacing w:val="-26"/>
          <w:sz w:val="20"/>
          <w:szCs w:val="20"/>
        </w:rPr>
        <w:t xml:space="preserve"> </w:t>
      </w:r>
      <w:r w:rsidRPr="00B004EE">
        <w:rPr>
          <w:rFonts w:ascii="Tahoma" w:hAnsi="Tahoma" w:cs="Tahoma"/>
          <w:sz w:val="20"/>
          <w:szCs w:val="20"/>
        </w:rPr>
        <w:t>applicables</w:t>
      </w:r>
      <w:r w:rsidR="00DB1635" w:rsidRPr="00B004EE">
        <w:rPr>
          <w:rFonts w:ascii="Tahoma" w:hAnsi="Tahoma" w:cs="Tahoma"/>
          <w:spacing w:val="-26"/>
          <w:sz w:val="20"/>
          <w:szCs w:val="20"/>
        </w:rPr>
        <w:t xml:space="preserve"> </w:t>
      </w:r>
      <w:r w:rsidRPr="00B004EE">
        <w:rPr>
          <w:rFonts w:ascii="Tahoma" w:hAnsi="Tahoma" w:cs="Tahoma"/>
          <w:sz w:val="20"/>
          <w:szCs w:val="20"/>
        </w:rPr>
        <w:t>au</w:t>
      </w:r>
      <w:r w:rsidR="00DB1635" w:rsidRPr="00B004EE">
        <w:rPr>
          <w:rFonts w:ascii="Tahoma" w:hAnsi="Tahoma" w:cs="Tahoma"/>
          <w:w w:val="98"/>
          <w:sz w:val="20"/>
          <w:szCs w:val="20"/>
        </w:rPr>
        <w:t xml:space="preserve"> </w:t>
      </w:r>
      <w:r w:rsidRPr="00B004EE">
        <w:rPr>
          <w:rFonts w:ascii="Tahoma" w:hAnsi="Tahoma" w:cs="Tahoma"/>
          <w:sz w:val="20"/>
          <w:szCs w:val="20"/>
        </w:rPr>
        <w:t>contrôle</w:t>
      </w:r>
      <w:r w:rsidR="00DB1635" w:rsidRPr="00B004EE">
        <w:rPr>
          <w:rFonts w:ascii="Tahoma" w:hAnsi="Tahoma" w:cs="Tahoma"/>
          <w:spacing w:val="-38"/>
          <w:sz w:val="20"/>
          <w:szCs w:val="20"/>
        </w:rPr>
        <w:t xml:space="preserve"> </w:t>
      </w:r>
      <w:r w:rsidRPr="00B004EE">
        <w:rPr>
          <w:rFonts w:ascii="Tahoma" w:hAnsi="Tahoma" w:cs="Tahoma"/>
          <w:sz w:val="20"/>
          <w:szCs w:val="20"/>
        </w:rPr>
        <w:t>statistique</w:t>
      </w:r>
      <w:r w:rsidR="00DB1635" w:rsidRPr="00B004EE">
        <w:rPr>
          <w:rFonts w:ascii="Tahoma" w:hAnsi="Tahoma" w:cs="Tahoma"/>
          <w:spacing w:val="-38"/>
          <w:sz w:val="20"/>
          <w:szCs w:val="20"/>
        </w:rPr>
        <w:t xml:space="preserve"> </w:t>
      </w:r>
      <w:r w:rsidRPr="00B004EE">
        <w:rPr>
          <w:rFonts w:ascii="Tahoma" w:hAnsi="Tahoma" w:cs="Tahoma"/>
          <w:sz w:val="20"/>
          <w:szCs w:val="20"/>
        </w:rPr>
        <w:t>des</w:t>
      </w:r>
      <w:r w:rsidR="00DB1635" w:rsidRPr="00B004EE">
        <w:rPr>
          <w:rFonts w:ascii="Tahoma" w:hAnsi="Tahoma" w:cs="Tahoma"/>
          <w:spacing w:val="-38"/>
          <w:sz w:val="20"/>
          <w:szCs w:val="20"/>
        </w:rPr>
        <w:t xml:space="preserve"> </w:t>
      </w:r>
      <w:r w:rsidRPr="00B004EE">
        <w:rPr>
          <w:rFonts w:ascii="Tahoma" w:hAnsi="Tahoma" w:cs="Tahoma"/>
          <w:sz w:val="20"/>
          <w:szCs w:val="20"/>
        </w:rPr>
        <w:t>captures</w:t>
      </w:r>
      <w:r w:rsidR="00DB1635" w:rsidRPr="00B004EE">
        <w:rPr>
          <w:rFonts w:ascii="Tahoma" w:hAnsi="Tahoma" w:cs="Tahoma"/>
          <w:spacing w:val="-38"/>
          <w:sz w:val="20"/>
          <w:szCs w:val="20"/>
        </w:rPr>
        <w:t xml:space="preserve"> </w:t>
      </w:r>
      <w:r w:rsidRPr="00B004EE">
        <w:rPr>
          <w:rFonts w:ascii="Tahoma" w:hAnsi="Tahoma" w:cs="Tahoma"/>
          <w:sz w:val="20"/>
          <w:szCs w:val="20"/>
        </w:rPr>
        <w:t>réalisées</w:t>
      </w:r>
      <w:r w:rsidR="00DB1635" w:rsidRPr="00B004EE">
        <w:rPr>
          <w:rFonts w:ascii="Tahoma" w:hAnsi="Tahoma" w:cs="Tahoma"/>
          <w:spacing w:val="-38"/>
          <w:sz w:val="20"/>
          <w:szCs w:val="20"/>
        </w:rPr>
        <w:t xml:space="preserve"> </w:t>
      </w:r>
      <w:r w:rsidRPr="00B004EE">
        <w:rPr>
          <w:rFonts w:ascii="Tahoma" w:hAnsi="Tahoma" w:cs="Tahoma"/>
          <w:sz w:val="20"/>
          <w:szCs w:val="20"/>
        </w:rPr>
        <w:t>par</w:t>
      </w:r>
      <w:r w:rsidR="00DB1635" w:rsidRPr="00B004EE">
        <w:rPr>
          <w:rFonts w:ascii="Tahoma" w:hAnsi="Tahoma" w:cs="Tahoma"/>
          <w:spacing w:val="-38"/>
          <w:sz w:val="20"/>
          <w:szCs w:val="20"/>
        </w:rPr>
        <w:t xml:space="preserve"> </w:t>
      </w:r>
      <w:r w:rsidRPr="00B004EE">
        <w:rPr>
          <w:rFonts w:ascii="Tahoma" w:hAnsi="Tahoma" w:cs="Tahoma"/>
          <w:sz w:val="20"/>
          <w:szCs w:val="20"/>
        </w:rPr>
        <w:t>les</w:t>
      </w:r>
      <w:r w:rsidR="00DB1635" w:rsidRPr="00B004EE">
        <w:rPr>
          <w:rFonts w:ascii="Tahoma" w:hAnsi="Tahoma" w:cs="Tahoma"/>
          <w:spacing w:val="-38"/>
          <w:sz w:val="20"/>
          <w:szCs w:val="20"/>
        </w:rPr>
        <w:t xml:space="preserve"> </w:t>
      </w:r>
      <w:r w:rsidRPr="00B004EE">
        <w:rPr>
          <w:rFonts w:ascii="Tahoma" w:hAnsi="Tahoma" w:cs="Tahoma"/>
          <w:sz w:val="20"/>
          <w:szCs w:val="20"/>
        </w:rPr>
        <w:t>embarcations</w:t>
      </w:r>
      <w:r w:rsidR="00DB1635" w:rsidRPr="00B004EE">
        <w:rPr>
          <w:rFonts w:ascii="Tahoma" w:hAnsi="Tahoma" w:cs="Tahoma"/>
          <w:spacing w:val="-38"/>
          <w:sz w:val="20"/>
          <w:szCs w:val="20"/>
        </w:rPr>
        <w:t xml:space="preserve"> </w:t>
      </w:r>
      <w:r w:rsidRPr="00B004EE">
        <w:rPr>
          <w:rFonts w:ascii="Tahoma" w:hAnsi="Tahoma" w:cs="Tahoma"/>
          <w:sz w:val="20"/>
          <w:szCs w:val="20"/>
        </w:rPr>
        <w:t>et</w:t>
      </w:r>
      <w:r w:rsidR="00DB1635" w:rsidRPr="00B004EE">
        <w:rPr>
          <w:rFonts w:ascii="Tahoma" w:hAnsi="Tahoma" w:cs="Tahoma"/>
          <w:spacing w:val="-38"/>
          <w:sz w:val="20"/>
          <w:szCs w:val="20"/>
        </w:rPr>
        <w:t xml:space="preserve"> </w:t>
      </w:r>
      <w:r w:rsidRPr="00B004EE">
        <w:rPr>
          <w:rFonts w:ascii="Tahoma" w:hAnsi="Tahoma" w:cs="Tahoma"/>
          <w:sz w:val="20"/>
          <w:szCs w:val="20"/>
        </w:rPr>
        <w:t>pirogues.</w:t>
      </w:r>
    </w:p>
    <w:p w14:paraId="1E3C17F6" w14:textId="77777777" w:rsidR="001E7C3C" w:rsidRPr="00B004EE" w:rsidRDefault="001E7C3C" w:rsidP="00B004EE">
      <w:pPr>
        <w:rPr>
          <w:rFonts w:ascii="Tahoma" w:eastAsia="American Typewriter" w:hAnsi="Tahoma" w:cs="Tahoma"/>
          <w:sz w:val="20"/>
          <w:szCs w:val="20"/>
        </w:rPr>
      </w:pPr>
    </w:p>
    <w:p w14:paraId="02700938" w14:textId="62B31225" w:rsidR="001E7C3C" w:rsidRPr="00B004EE" w:rsidRDefault="001E7C3C" w:rsidP="00B004EE">
      <w:pPr>
        <w:ind w:right="164" w:hanging="4"/>
        <w:jc w:val="center"/>
        <w:rPr>
          <w:rFonts w:ascii="Tahoma" w:hAnsi="Tahoma" w:cs="Tahoma"/>
          <w:b/>
          <w:spacing w:val="1"/>
          <w:w w:val="113"/>
          <w:sz w:val="20"/>
          <w:szCs w:val="20"/>
        </w:rPr>
      </w:pPr>
      <w:bookmarkStart w:id="71" w:name="_Toc16279068"/>
      <w:bookmarkStart w:id="72" w:name="_Toc16279437"/>
      <w:r w:rsidRPr="00B004EE">
        <w:rPr>
          <w:rFonts w:ascii="Tahoma" w:hAnsi="Tahoma" w:cs="Tahoma"/>
          <w:b/>
          <w:spacing w:val="1"/>
          <w:w w:val="113"/>
          <w:sz w:val="20"/>
          <w:szCs w:val="20"/>
        </w:rPr>
        <w:t>Section</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7</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Du</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journal</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de</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pêche</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à</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bord</w:t>
      </w:r>
      <w:bookmarkEnd w:id="71"/>
      <w:bookmarkEnd w:id="72"/>
    </w:p>
    <w:p w14:paraId="1F1E5C72" w14:textId="77777777" w:rsidR="001E7C3C" w:rsidRPr="00B004EE" w:rsidRDefault="001E7C3C" w:rsidP="00B004EE">
      <w:pPr>
        <w:rPr>
          <w:rFonts w:ascii="Tahoma" w:eastAsia="American Typewriter" w:hAnsi="Tahoma" w:cs="Tahoma"/>
          <w:b/>
          <w:bCs/>
          <w:sz w:val="20"/>
          <w:szCs w:val="20"/>
        </w:rPr>
      </w:pPr>
    </w:p>
    <w:p w14:paraId="6ACD569C" w14:textId="768252E8" w:rsidR="001E7C3C" w:rsidRPr="00B004EE" w:rsidRDefault="001E7C3C" w:rsidP="00B004EE">
      <w:pPr>
        <w:pStyle w:val="Corpsdetexte"/>
        <w:ind w:right="158"/>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45</w:t>
      </w:r>
      <w:r w:rsidR="00DB1635" w:rsidRPr="00B004EE">
        <w:rPr>
          <w:rFonts w:ascii="Tahoma" w:hAnsi="Tahoma" w:cs="Tahoma"/>
          <w:bCs/>
          <w:sz w:val="20"/>
          <w:szCs w:val="20"/>
        </w:rPr>
        <w:t xml:space="preserve"> </w:t>
      </w:r>
      <w:r w:rsidRPr="00B004EE">
        <w:rPr>
          <w:rFonts w:ascii="Tahoma" w:hAnsi="Tahoma" w:cs="Tahoma"/>
          <w:bCs/>
          <w:sz w:val="20"/>
          <w:szCs w:val="20"/>
        </w:rPr>
        <w:t>:</w:t>
      </w:r>
      <w:r w:rsidR="00DB1635" w:rsidRPr="00B004EE">
        <w:rPr>
          <w:rFonts w:ascii="Tahoma" w:hAnsi="Tahoma" w:cs="Tahoma"/>
          <w:b/>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capitaines</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navires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autorisés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opérer</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pacing w:val="-35"/>
          <w:sz w:val="20"/>
          <w:szCs w:val="20"/>
        </w:rPr>
        <w:t xml:space="preserve"> </w:t>
      </w:r>
      <w:r w:rsidRPr="00B004EE">
        <w:rPr>
          <w:rFonts w:ascii="Tahoma" w:hAnsi="Tahoma" w:cs="Tahoma"/>
          <w:sz w:val="20"/>
          <w:szCs w:val="20"/>
        </w:rPr>
        <w:t>eaux</w:t>
      </w:r>
      <w:r w:rsidR="00DB1635" w:rsidRPr="00B004EE">
        <w:rPr>
          <w:rFonts w:ascii="Tahoma" w:hAnsi="Tahoma" w:cs="Tahoma"/>
          <w:w w:val="91"/>
          <w:sz w:val="20"/>
          <w:szCs w:val="20"/>
        </w:rPr>
        <w:t xml:space="preserve"> </w:t>
      </w:r>
      <w:r w:rsidRPr="00B004EE">
        <w:rPr>
          <w:rFonts w:ascii="Tahoma" w:hAnsi="Tahoma" w:cs="Tahoma"/>
          <w:sz w:val="20"/>
          <w:szCs w:val="20"/>
        </w:rPr>
        <w:t>sous</w:t>
      </w:r>
      <w:r w:rsidR="00DB1635" w:rsidRPr="00B004EE">
        <w:rPr>
          <w:rFonts w:ascii="Tahoma" w:hAnsi="Tahoma" w:cs="Tahoma"/>
          <w:spacing w:val="-18"/>
          <w:sz w:val="20"/>
          <w:szCs w:val="20"/>
        </w:rPr>
        <w:t xml:space="preserve"> </w:t>
      </w:r>
      <w:r w:rsidRPr="00B004EE">
        <w:rPr>
          <w:rFonts w:ascii="Tahoma" w:hAnsi="Tahoma" w:cs="Tahoma"/>
          <w:sz w:val="20"/>
          <w:szCs w:val="20"/>
        </w:rPr>
        <w:t>juridiction</w:t>
      </w:r>
      <w:r w:rsidR="00DB1635" w:rsidRPr="00B004EE">
        <w:rPr>
          <w:rFonts w:ascii="Tahoma" w:hAnsi="Tahoma" w:cs="Tahoma"/>
          <w:spacing w:val="-18"/>
          <w:sz w:val="20"/>
          <w:szCs w:val="20"/>
        </w:rPr>
        <w:t xml:space="preserve"> </w:t>
      </w:r>
      <w:r w:rsidRPr="00B004EE">
        <w:rPr>
          <w:rFonts w:ascii="Tahoma" w:hAnsi="Tahoma" w:cs="Tahoma"/>
          <w:sz w:val="20"/>
          <w:szCs w:val="20"/>
        </w:rPr>
        <w:t>mauritanienne</w:t>
      </w:r>
      <w:r w:rsidR="00DB1635" w:rsidRPr="00B004EE">
        <w:rPr>
          <w:rFonts w:ascii="Tahoma" w:hAnsi="Tahoma" w:cs="Tahoma"/>
          <w:spacing w:val="25"/>
          <w:sz w:val="20"/>
          <w:szCs w:val="20"/>
        </w:rPr>
        <w:t xml:space="preserve"> </w:t>
      </w:r>
      <w:r w:rsidRPr="00B004EE">
        <w:rPr>
          <w:rFonts w:ascii="Tahoma" w:hAnsi="Tahoma" w:cs="Tahoma"/>
          <w:sz w:val="20"/>
          <w:szCs w:val="20"/>
        </w:rPr>
        <w:t>sont</w:t>
      </w:r>
      <w:r w:rsidR="00DB1635" w:rsidRPr="00B004EE">
        <w:rPr>
          <w:rFonts w:ascii="Tahoma" w:hAnsi="Tahoma" w:cs="Tahoma"/>
          <w:spacing w:val="-18"/>
          <w:sz w:val="20"/>
          <w:szCs w:val="20"/>
        </w:rPr>
        <w:t xml:space="preserve"> </w:t>
      </w:r>
      <w:r w:rsidRPr="00B004EE">
        <w:rPr>
          <w:rFonts w:ascii="Tahoma" w:hAnsi="Tahoma" w:cs="Tahoma"/>
          <w:sz w:val="20"/>
          <w:szCs w:val="20"/>
        </w:rPr>
        <w:t>tenus</w:t>
      </w:r>
      <w:r w:rsidR="00DB1635" w:rsidRPr="00B004EE">
        <w:rPr>
          <w:rFonts w:ascii="Tahoma" w:hAnsi="Tahoma" w:cs="Tahoma"/>
          <w:spacing w:val="-18"/>
          <w:sz w:val="20"/>
          <w:szCs w:val="20"/>
        </w:rPr>
        <w:t xml:space="preserve"> </w:t>
      </w:r>
      <w:r w:rsidRPr="00B004EE">
        <w:rPr>
          <w:rFonts w:ascii="Tahoma" w:hAnsi="Tahoma" w:cs="Tahoma"/>
          <w:sz w:val="20"/>
          <w:szCs w:val="20"/>
        </w:rPr>
        <w:t>de</w:t>
      </w:r>
      <w:r w:rsidR="00DB1635" w:rsidRPr="00B004EE">
        <w:rPr>
          <w:rFonts w:ascii="Tahoma" w:hAnsi="Tahoma" w:cs="Tahoma"/>
          <w:spacing w:val="-18"/>
          <w:sz w:val="20"/>
          <w:szCs w:val="20"/>
        </w:rPr>
        <w:t xml:space="preserve"> </w:t>
      </w:r>
      <w:r w:rsidRPr="00B004EE">
        <w:rPr>
          <w:rFonts w:ascii="Tahoma" w:hAnsi="Tahoma" w:cs="Tahoma"/>
          <w:sz w:val="20"/>
          <w:szCs w:val="20"/>
        </w:rPr>
        <w:t>maintenir</w:t>
      </w:r>
      <w:r w:rsidR="00DB1635" w:rsidRPr="00B004EE">
        <w:rPr>
          <w:rFonts w:ascii="Tahoma" w:hAnsi="Tahoma" w:cs="Tahoma"/>
          <w:spacing w:val="-20"/>
          <w:sz w:val="20"/>
          <w:szCs w:val="20"/>
        </w:rPr>
        <w:t xml:space="preserve"> </w:t>
      </w:r>
      <w:r w:rsidRPr="00B004EE">
        <w:rPr>
          <w:rFonts w:ascii="Tahoma" w:hAnsi="Tahoma" w:cs="Tahoma"/>
          <w:sz w:val="20"/>
          <w:szCs w:val="20"/>
        </w:rPr>
        <w:t>à</w:t>
      </w:r>
      <w:r w:rsidR="00DB1635" w:rsidRPr="00B004EE">
        <w:rPr>
          <w:rFonts w:ascii="Tahoma" w:hAnsi="Tahoma" w:cs="Tahoma"/>
          <w:spacing w:val="-18"/>
          <w:sz w:val="20"/>
          <w:szCs w:val="20"/>
        </w:rPr>
        <w:t xml:space="preserve"> </w:t>
      </w:r>
      <w:r w:rsidRPr="00B004EE">
        <w:rPr>
          <w:rFonts w:ascii="Tahoma" w:hAnsi="Tahoma" w:cs="Tahoma"/>
          <w:sz w:val="20"/>
          <w:szCs w:val="20"/>
        </w:rPr>
        <w:t>jour</w:t>
      </w:r>
      <w:r w:rsidR="00DB1635" w:rsidRPr="00B004EE">
        <w:rPr>
          <w:rFonts w:ascii="Tahoma" w:hAnsi="Tahoma" w:cs="Tahoma"/>
          <w:spacing w:val="-20"/>
          <w:sz w:val="20"/>
          <w:szCs w:val="20"/>
        </w:rPr>
        <w:t xml:space="preserve"> </w:t>
      </w:r>
      <w:r w:rsidRPr="00B004EE">
        <w:rPr>
          <w:rFonts w:ascii="Tahoma" w:hAnsi="Tahoma" w:cs="Tahoma"/>
          <w:sz w:val="20"/>
          <w:szCs w:val="20"/>
        </w:rPr>
        <w:t>un</w:t>
      </w:r>
      <w:r w:rsidR="00DB1635" w:rsidRPr="00B004EE">
        <w:rPr>
          <w:rFonts w:ascii="Tahoma" w:hAnsi="Tahoma" w:cs="Tahoma"/>
          <w:spacing w:val="-20"/>
          <w:sz w:val="20"/>
          <w:szCs w:val="20"/>
        </w:rPr>
        <w:t xml:space="preserve"> </w:t>
      </w:r>
      <w:r w:rsidRPr="00B004EE">
        <w:rPr>
          <w:rFonts w:ascii="Tahoma" w:hAnsi="Tahoma" w:cs="Tahoma"/>
          <w:sz w:val="20"/>
          <w:szCs w:val="20"/>
        </w:rPr>
        <w:t>journal</w:t>
      </w:r>
      <w:r w:rsidR="00DB1635" w:rsidRPr="00B004EE">
        <w:rPr>
          <w:rFonts w:ascii="Tahoma" w:hAnsi="Tahoma" w:cs="Tahoma"/>
          <w:spacing w:val="-18"/>
          <w:sz w:val="20"/>
          <w:szCs w:val="20"/>
        </w:rPr>
        <w:t xml:space="preserve"> </w:t>
      </w:r>
      <w:r w:rsidRPr="00B004EE">
        <w:rPr>
          <w:rFonts w:ascii="Tahoma" w:hAnsi="Tahoma" w:cs="Tahoma"/>
          <w:sz w:val="20"/>
          <w:szCs w:val="20"/>
        </w:rPr>
        <w:t>de</w:t>
      </w:r>
      <w:r w:rsidR="00DB1635" w:rsidRPr="00B004EE">
        <w:rPr>
          <w:rFonts w:ascii="Tahoma" w:hAnsi="Tahoma" w:cs="Tahoma"/>
          <w:spacing w:val="-15"/>
          <w:sz w:val="20"/>
          <w:szCs w:val="20"/>
        </w:rPr>
        <w:t xml:space="preserve"> </w:t>
      </w:r>
      <w:r w:rsidRPr="00B004EE">
        <w:rPr>
          <w:rFonts w:ascii="Tahoma" w:hAnsi="Tahoma" w:cs="Tahoma"/>
          <w:sz w:val="20"/>
          <w:szCs w:val="20"/>
        </w:rPr>
        <w:t>pêche</w:t>
      </w:r>
      <w:r w:rsidR="00DB1635" w:rsidRPr="00B004EE">
        <w:rPr>
          <w:rFonts w:ascii="Tahoma" w:hAnsi="Tahoma" w:cs="Tahoma"/>
          <w:w w:val="95"/>
          <w:sz w:val="20"/>
          <w:szCs w:val="20"/>
        </w:rPr>
        <w:t xml:space="preserve"> </w:t>
      </w:r>
      <w:r w:rsidRPr="00B004EE">
        <w:rPr>
          <w:rFonts w:ascii="Tahoma" w:hAnsi="Tahoma" w:cs="Tahoma"/>
          <w:sz w:val="20"/>
          <w:szCs w:val="20"/>
        </w:rPr>
        <w:t>à</w:t>
      </w:r>
      <w:r w:rsidR="00DB1635" w:rsidRPr="00B004EE">
        <w:rPr>
          <w:rFonts w:ascii="Tahoma" w:hAnsi="Tahoma" w:cs="Tahoma"/>
          <w:spacing w:val="26"/>
          <w:sz w:val="20"/>
          <w:szCs w:val="20"/>
        </w:rPr>
        <w:t xml:space="preserve"> </w:t>
      </w:r>
      <w:r w:rsidRPr="00B004EE">
        <w:rPr>
          <w:rFonts w:ascii="Tahoma" w:hAnsi="Tahoma" w:cs="Tahoma"/>
          <w:sz w:val="20"/>
          <w:szCs w:val="20"/>
        </w:rPr>
        <w:t>bord</w:t>
      </w:r>
      <w:r w:rsidR="00DB1635" w:rsidRPr="00B004EE">
        <w:rPr>
          <w:rFonts w:ascii="Tahoma" w:hAnsi="Tahoma" w:cs="Tahoma"/>
          <w:spacing w:val="25"/>
          <w:sz w:val="20"/>
          <w:szCs w:val="20"/>
        </w:rPr>
        <w:t xml:space="preserve"> </w:t>
      </w:r>
      <w:r w:rsidRPr="00B004EE">
        <w:rPr>
          <w:rFonts w:ascii="Tahoma" w:hAnsi="Tahoma" w:cs="Tahoma"/>
          <w:sz w:val="20"/>
          <w:szCs w:val="20"/>
        </w:rPr>
        <w:t>dans</w:t>
      </w:r>
      <w:r w:rsidR="00DB1635" w:rsidRPr="00B004EE">
        <w:rPr>
          <w:rFonts w:ascii="Tahoma" w:hAnsi="Tahoma" w:cs="Tahoma"/>
          <w:spacing w:val="25"/>
          <w:sz w:val="20"/>
          <w:szCs w:val="20"/>
        </w:rPr>
        <w:t xml:space="preserve"> </w:t>
      </w:r>
      <w:r w:rsidRPr="00B004EE">
        <w:rPr>
          <w:rFonts w:ascii="Tahoma" w:hAnsi="Tahoma" w:cs="Tahoma"/>
          <w:sz w:val="20"/>
          <w:szCs w:val="20"/>
        </w:rPr>
        <w:t>les</w:t>
      </w:r>
      <w:r w:rsidR="00DB1635" w:rsidRPr="00B004EE">
        <w:rPr>
          <w:rFonts w:ascii="Tahoma" w:hAnsi="Tahoma" w:cs="Tahoma"/>
          <w:spacing w:val="23"/>
          <w:sz w:val="20"/>
          <w:szCs w:val="20"/>
        </w:rPr>
        <w:t xml:space="preserve"> </w:t>
      </w:r>
      <w:r w:rsidRPr="00B004EE">
        <w:rPr>
          <w:rFonts w:ascii="Tahoma" w:hAnsi="Tahoma" w:cs="Tahoma"/>
          <w:sz w:val="20"/>
          <w:szCs w:val="20"/>
        </w:rPr>
        <w:t>conditions</w:t>
      </w:r>
      <w:r w:rsidR="00DB1635" w:rsidRPr="00B004EE">
        <w:rPr>
          <w:rFonts w:ascii="Tahoma" w:hAnsi="Tahoma" w:cs="Tahoma"/>
          <w:spacing w:val="23"/>
          <w:sz w:val="20"/>
          <w:szCs w:val="20"/>
        </w:rPr>
        <w:t xml:space="preserve"> </w:t>
      </w:r>
      <w:r w:rsidRPr="00B004EE">
        <w:rPr>
          <w:rFonts w:ascii="Tahoma" w:hAnsi="Tahoma" w:cs="Tahoma"/>
          <w:sz w:val="20"/>
          <w:szCs w:val="20"/>
        </w:rPr>
        <w:t>et</w:t>
      </w:r>
      <w:r w:rsidR="00DB1635" w:rsidRPr="00B004EE">
        <w:rPr>
          <w:rFonts w:ascii="Tahoma" w:hAnsi="Tahoma" w:cs="Tahoma"/>
          <w:spacing w:val="24"/>
          <w:sz w:val="20"/>
          <w:szCs w:val="20"/>
        </w:rPr>
        <w:t xml:space="preserve"> </w:t>
      </w:r>
      <w:r w:rsidRPr="00B004EE">
        <w:rPr>
          <w:rFonts w:ascii="Tahoma" w:hAnsi="Tahoma" w:cs="Tahoma"/>
          <w:sz w:val="20"/>
          <w:szCs w:val="20"/>
        </w:rPr>
        <w:t>selon</w:t>
      </w:r>
      <w:r w:rsidR="00DB1635" w:rsidRPr="00B004EE">
        <w:rPr>
          <w:rFonts w:ascii="Tahoma" w:hAnsi="Tahoma" w:cs="Tahoma"/>
          <w:spacing w:val="24"/>
          <w:sz w:val="20"/>
          <w:szCs w:val="20"/>
        </w:rPr>
        <w:t xml:space="preserve"> </w:t>
      </w:r>
      <w:r w:rsidRPr="00B004EE">
        <w:rPr>
          <w:rFonts w:ascii="Tahoma" w:hAnsi="Tahoma" w:cs="Tahoma"/>
          <w:sz w:val="20"/>
          <w:szCs w:val="20"/>
        </w:rPr>
        <w:t>un</w:t>
      </w:r>
      <w:r w:rsidR="00DB1635" w:rsidRPr="00B004EE">
        <w:rPr>
          <w:rFonts w:ascii="Tahoma" w:hAnsi="Tahoma" w:cs="Tahoma"/>
          <w:spacing w:val="23"/>
          <w:sz w:val="20"/>
          <w:szCs w:val="20"/>
        </w:rPr>
        <w:t xml:space="preserve"> </w:t>
      </w:r>
      <w:r w:rsidRPr="00B004EE">
        <w:rPr>
          <w:rFonts w:ascii="Tahoma" w:hAnsi="Tahoma" w:cs="Tahoma"/>
          <w:sz w:val="20"/>
          <w:szCs w:val="20"/>
        </w:rPr>
        <w:t>format</w:t>
      </w:r>
      <w:r w:rsidR="00DB1635" w:rsidRPr="00B004EE">
        <w:rPr>
          <w:rFonts w:ascii="Tahoma" w:hAnsi="Tahoma" w:cs="Tahoma"/>
          <w:spacing w:val="24"/>
          <w:sz w:val="20"/>
          <w:szCs w:val="20"/>
        </w:rPr>
        <w:t xml:space="preserve"> </w:t>
      </w:r>
      <w:r w:rsidRPr="00B004EE">
        <w:rPr>
          <w:rFonts w:ascii="Tahoma" w:hAnsi="Tahoma" w:cs="Tahoma"/>
          <w:sz w:val="20"/>
          <w:szCs w:val="20"/>
        </w:rPr>
        <w:t>approuvé</w:t>
      </w:r>
      <w:r w:rsidR="00DB1635" w:rsidRPr="00B004EE">
        <w:rPr>
          <w:rFonts w:ascii="Tahoma" w:hAnsi="Tahoma" w:cs="Tahoma"/>
          <w:spacing w:val="24"/>
          <w:sz w:val="20"/>
          <w:szCs w:val="20"/>
        </w:rPr>
        <w:t xml:space="preserve"> </w:t>
      </w:r>
      <w:r w:rsidRPr="00B004EE">
        <w:rPr>
          <w:rFonts w:ascii="Tahoma" w:hAnsi="Tahoma" w:cs="Tahoma"/>
          <w:sz w:val="20"/>
          <w:szCs w:val="20"/>
        </w:rPr>
        <w:t>par</w:t>
      </w:r>
      <w:r w:rsidR="00DB1635" w:rsidRPr="00B004EE">
        <w:rPr>
          <w:rFonts w:ascii="Tahoma" w:hAnsi="Tahoma" w:cs="Tahoma"/>
          <w:spacing w:val="23"/>
          <w:sz w:val="20"/>
          <w:szCs w:val="20"/>
        </w:rPr>
        <w:t xml:space="preserve"> </w:t>
      </w:r>
      <w:r w:rsidRPr="00B004EE">
        <w:rPr>
          <w:rFonts w:ascii="Tahoma" w:hAnsi="Tahoma" w:cs="Tahoma"/>
          <w:sz w:val="20"/>
          <w:szCs w:val="20"/>
        </w:rPr>
        <w:t>arrêté</w:t>
      </w:r>
      <w:r w:rsidR="00DB1635" w:rsidRPr="00B004EE">
        <w:rPr>
          <w:rFonts w:ascii="Tahoma" w:hAnsi="Tahoma" w:cs="Tahoma"/>
          <w:spacing w:val="24"/>
          <w:sz w:val="20"/>
          <w:szCs w:val="20"/>
        </w:rPr>
        <w:t xml:space="preserve"> </w:t>
      </w:r>
      <w:r w:rsidRPr="00B004EE">
        <w:rPr>
          <w:rFonts w:ascii="Tahoma" w:hAnsi="Tahoma" w:cs="Tahoma"/>
          <w:sz w:val="20"/>
          <w:szCs w:val="20"/>
        </w:rPr>
        <w:t>du</w:t>
      </w:r>
      <w:r w:rsidR="00DB1635" w:rsidRPr="00B004EE">
        <w:rPr>
          <w:rFonts w:ascii="Tahoma" w:hAnsi="Tahoma" w:cs="Tahoma"/>
          <w:spacing w:val="23"/>
          <w:sz w:val="20"/>
          <w:szCs w:val="20"/>
        </w:rPr>
        <w:t xml:space="preserve"> </w:t>
      </w:r>
      <w:r w:rsidRPr="00B004EE">
        <w:rPr>
          <w:rFonts w:ascii="Tahoma" w:hAnsi="Tahoma" w:cs="Tahoma"/>
          <w:sz w:val="20"/>
          <w:szCs w:val="20"/>
        </w:rPr>
        <w:t>ministre</w:t>
      </w:r>
      <w:r w:rsidR="00DB1635" w:rsidRPr="00B004EE">
        <w:rPr>
          <w:rFonts w:ascii="Tahoma" w:hAnsi="Tahoma" w:cs="Tahoma"/>
          <w:w w:val="94"/>
          <w:sz w:val="20"/>
          <w:szCs w:val="20"/>
        </w:rPr>
        <w:t xml:space="preserve"> </w:t>
      </w:r>
      <w:r w:rsidRPr="00B004EE">
        <w:rPr>
          <w:rFonts w:ascii="Tahoma" w:hAnsi="Tahoma" w:cs="Tahoma"/>
          <w:sz w:val="20"/>
          <w:szCs w:val="20"/>
        </w:rPr>
        <w:t>chargé</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lequel</w:t>
      </w:r>
      <w:r w:rsidR="00DB1635" w:rsidRPr="00B004EE">
        <w:rPr>
          <w:rFonts w:ascii="Tahoma" w:hAnsi="Tahoma" w:cs="Tahoma"/>
          <w:sz w:val="20"/>
          <w:szCs w:val="20"/>
        </w:rPr>
        <w:t xml:space="preserve"> </w:t>
      </w:r>
      <w:r w:rsidRPr="00B004EE">
        <w:rPr>
          <w:rFonts w:ascii="Tahoma" w:hAnsi="Tahoma" w:cs="Tahoma"/>
          <w:sz w:val="20"/>
          <w:szCs w:val="20"/>
        </w:rPr>
        <w:t>ils</w:t>
      </w:r>
      <w:r w:rsidR="00DB1635" w:rsidRPr="00B004EE">
        <w:rPr>
          <w:rFonts w:ascii="Tahoma" w:hAnsi="Tahoma" w:cs="Tahoma"/>
          <w:sz w:val="20"/>
          <w:szCs w:val="20"/>
        </w:rPr>
        <w:t xml:space="preserve"> </w:t>
      </w:r>
      <w:r w:rsidRPr="00B004EE">
        <w:rPr>
          <w:rFonts w:ascii="Tahoma" w:hAnsi="Tahoma" w:cs="Tahoma"/>
          <w:sz w:val="20"/>
          <w:szCs w:val="20"/>
        </w:rPr>
        <w:t>enregistrent</w:t>
      </w:r>
      <w:r w:rsidR="00DB1635" w:rsidRPr="00B004EE">
        <w:rPr>
          <w:rFonts w:ascii="Tahoma" w:hAnsi="Tahoma" w:cs="Tahoma"/>
          <w:sz w:val="20"/>
          <w:szCs w:val="20"/>
        </w:rPr>
        <w:t xml:space="preserve"> </w:t>
      </w:r>
      <w:r w:rsidRPr="00B004EE">
        <w:rPr>
          <w:rFonts w:ascii="Tahoma" w:hAnsi="Tahoma" w:cs="Tahoma"/>
          <w:sz w:val="20"/>
          <w:szCs w:val="20"/>
        </w:rPr>
        <w:t>quotidiennement</w:t>
      </w:r>
      <w:r w:rsidR="00DB1635" w:rsidRPr="00B004EE">
        <w:rPr>
          <w:rFonts w:ascii="Tahoma" w:hAnsi="Tahoma" w:cs="Tahoma"/>
          <w:spacing w:val="59"/>
          <w:sz w:val="20"/>
          <w:szCs w:val="20"/>
        </w:rPr>
        <w:t xml:space="preserve"> </w:t>
      </w:r>
      <w:r w:rsidRPr="00B004EE">
        <w:rPr>
          <w:rFonts w:ascii="Tahoma" w:hAnsi="Tahoma" w:cs="Tahoma"/>
          <w:sz w:val="20"/>
          <w:szCs w:val="20"/>
        </w:rPr>
        <w:t>les</w:t>
      </w:r>
      <w:r w:rsidR="00DB1635" w:rsidRPr="00B004EE">
        <w:rPr>
          <w:rFonts w:ascii="Tahoma" w:hAnsi="Tahoma" w:cs="Tahoma"/>
          <w:w w:val="94"/>
          <w:sz w:val="20"/>
          <w:szCs w:val="20"/>
        </w:rPr>
        <w:t xml:space="preserve"> </w:t>
      </w:r>
      <w:r w:rsidRPr="00B004EE">
        <w:rPr>
          <w:rFonts w:ascii="Tahoma" w:hAnsi="Tahoma" w:cs="Tahoma"/>
          <w:w w:val="95"/>
          <w:sz w:val="20"/>
          <w:szCs w:val="20"/>
        </w:rPr>
        <w:t>renseignements</w:t>
      </w:r>
      <w:r w:rsidR="00DB1635" w:rsidRPr="00B004EE">
        <w:rPr>
          <w:rFonts w:ascii="Tahoma" w:hAnsi="Tahoma" w:cs="Tahoma"/>
          <w:w w:val="95"/>
          <w:sz w:val="20"/>
          <w:szCs w:val="20"/>
        </w:rPr>
        <w:t xml:space="preserve"> </w:t>
      </w:r>
      <w:r w:rsidRPr="00B004EE">
        <w:rPr>
          <w:rFonts w:ascii="Tahoma" w:hAnsi="Tahoma" w:cs="Tahoma"/>
          <w:w w:val="95"/>
          <w:sz w:val="20"/>
          <w:szCs w:val="20"/>
        </w:rPr>
        <w:t>relatifs</w:t>
      </w:r>
      <w:r w:rsidR="00DB1635" w:rsidRPr="00B004EE">
        <w:rPr>
          <w:rFonts w:ascii="Tahoma" w:hAnsi="Tahoma" w:cs="Tahoma"/>
          <w:w w:val="95"/>
          <w:sz w:val="20"/>
          <w:szCs w:val="20"/>
        </w:rPr>
        <w:t xml:space="preserve"> </w:t>
      </w:r>
      <w:r w:rsidRPr="00B004EE">
        <w:rPr>
          <w:rFonts w:ascii="Tahoma" w:hAnsi="Tahoma" w:cs="Tahoma"/>
          <w:w w:val="95"/>
          <w:sz w:val="20"/>
          <w:szCs w:val="20"/>
        </w:rPr>
        <w:t>aux</w:t>
      </w:r>
      <w:r w:rsidR="00DB1635" w:rsidRPr="00B004EE">
        <w:rPr>
          <w:rFonts w:ascii="Tahoma" w:hAnsi="Tahoma" w:cs="Tahoma"/>
          <w:w w:val="95"/>
          <w:sz w:val="20"/>
          <w:szCs w:val="20"/>
        </w:rPr>
        <w:t xml:space="preserve"> </w:t>
      </w:r>
      <w:r w:rsidRPr="00B004EE">
        <w:rPr>
          <w:rFonts w:ascii="Tahoma" w:hAnsi="Tahoma" w:cs="Tahoma"/>
          <w:w w:val="95"/>
          <w:sz w:val="20"/>
          <w:szCs w:val="20"/>
        </w:rPr>
        <w:t>activités</w:t>
      </w:r>
      <w:r w:rsidR="00DB1635" w:rsidRPr="00B004EE">
        <w:rPr>
          <w:rFonts w:ascii="Tahoma" w:hAnsi="Tahoma" w:cs="Tahoma"/>
          <w:w w:val="95"/>
          <w:sz w:val="20"/>
          <w:szCs w:val="20"/>
        </w:rPr>
        <w:t xml:space="preserve"> </w:t>
      </w:r>
      <w:r w:rsidRPr="00B004EE">
        <w:rPr>
          <w:rFonts w:ascii="Tahoma" w:hAnsi="Tahoma" w:cs="Tahoma"/>
          <w:w w:val="95"/>
          <w:sz w:val="20"/>
          <w:szCs w:val="20"/>
        </w:rPr>
        <w:t>de</w:t>
      </w:r>
      <w:r w:rsidR="00DB1635" w:rsidRPr="00B004EE">
        <w:rPr>
          <w:rFonts w:ascii="Tahoma" w:hAnsi="Tahoma" w:cs="Tahoma"/>
          <w:spacing w:val="45"/>
          <w:w w:val="95"/>
          <w:sz w:val="20"/>
          <w:szCs w:val="20"/>
        </w:rPr>
        <w:t xml:space="preserve"> </w:t>
      </w:r>
      <w:r w:rsidRPr="00B004EE">
        <w:rPr>
          <w:rFonts w:ascii="Tahoma" w:hAnsi="Tahoma" w:cs="Tahoma"/>
          <w:w w:val="95"/>
          <w:sz w:val="20"/>
          <w:szCs w:val="20"/>
        </w:rPr>
        <w:t>pêche.</w:t>
      </w:r>
    </w:p>
    <w:p w14:paraId="62807D4E" w14:textId="77777777" w:rsidR="001E7C3C" w:rsidRPr="00B004EE" w:rsidRDefault="001E7C3C" w:rsidP="00B004EE">
      <w:pPr>
        <w:rPr>
          <w:rFonts w:ascii="Tahoma" w:eastAsia="American Typewriter" w:hAnsi="Tahoma" w:cs="Tahoma"/>
          <w:sz w:val="20"/>
          <w:szCs w:val="20"/>
        </w:rPr>
      </w:pPr>
    </w:p>
    <w:p w14:paraId="7654030F" w14:textId="4C32EE05" w:rsidR="001E7C3C" w:rsidRPr="00B004EE" w:rsidRDefault="001E7C3C" w:rsidP="00B004EE">
      <w:pPr>
        <w:pStyle w:val="Corpsdetexte"/>
        <w:ind w:right="164"/>
        <w:rPr>
          <w:rFonts w:ascii="Tahoma" w:hAnsi="Tahoma" w:cs="Tahoma"/>
          <w:sz w:val="20"/>
          <w:szCs w:val="20"/>
        </w:rPr>
      </w:pPr>
      <w:r w:rsidRPr="00B004EE">
        <w:rPr>
          <w:rFonts w:ascii="Tahoma" w:hAnsi="Tahoma" w:cs="Tahoma"/>
          <w:sz w:val="20"/>
          <w:szCs w:val="20"/>
        </w:rPr>
        <w:t>Le</w:t>
      </w:r>
      <w:r w:rsidR="00DB1635" w:rsidRPr="00B004EE">
        <w:rPr>
          <w:rFonts w:ascii="Tahoma" w:hAnsi="Tahoma" w:cs="Tahoma"/>
          <w:spacing w:val="31"/>
          <w:sz w:val="20"/>
          <w:szCs w:val="20"/>
        </w:rPr>
        <w:t xml:space="preserve"> </w:t>
      </w:r>
      <w:r w:rsidRPr="00B004EE">
        <w:rPr>
          <w:rFonts w:ascii="Tahoma" w:hAnsi="Tahoma" w:cs="Tahoma"/>
          <w:sz w:val="20"/>
          <w:szCs w:val="20"/>
        </w:rPr>
        <w:t>journal</w:t>
      </w:r>
      <w:r w:rsidR="00DB1635" w:rsidRPr="00B004EE">
        <w:rPr>
          <w:rFonts w:ascii="Tahoma" w:hAnsi="Tahoma" w:cs="Tahoma"/>
          <w:spacing w:val="32"/>
          <w:sz w:val="20"/>
          <w:szCs w:val="20"/>
        </w:rPr>
        <w:t xml:space="preserve"> </w:t>
      </w:r>
      <w:r w:rsidRPr="00B004EE">
        <w:rPr>
          <w:rFonts w:ascii="Tahoma" w:hAnsi="Tahoma" w:cs="Tahoma"/>
          <w:sz w:val="20"/>
          <w:szCs w:val="20"/>
        </w:rPr>
        <w:t>de</w:t>
      </w:r>
      <w:r w:rsidR="00DB1635" w:rsidRPr="00B004EE">
        <w:rPr>
          <w:rFonts w:ascii="Tahoma" w:hAnsi="Tahoma" w:cs="Tahoma"/>
          <w:spacing w:val="29"/>
          <w:sz w:val="20"/>
          <w:szCs w:val="20"/>
        </w:rPr>
        <w:t xml:space="preserve"> </w:t>
      </w:r>
      <w:r w:rsidRPr="00B004EE">
        <w:rPr>
          <w:rFonts w:ascii="Tahoma" w:hAnsi="Tahoma" w:cs="Tahoma"/>
          <w:sz w:val="20"/>
          <w:szCs w:val="20"/>
        </w:rPr>
        <w:t>pêche</w:t>
      </w:r>
      <w:r w:rsidR="00DB1635" w:rsidRPr="00B004EE">
        <w:rPr>
          <w:rFonts w:ascii="Tahoma" w:hAnsi="Tahoma" w:cs="Tahoma"/>
          <w:spacing w:val="29"/>
          <w:sz w:val="20"/>
          <w:szCs w:val="20"/>
        </w:rPr>
        <w:t xml:space="preserve"> </w:t>
      </w:r>
      <w:r w:rsidRPr="00B004EE">
        <w:rPr>
          <w:rFonts w:ascii="Tahoma" w:hAnsi="Tahoma" w:cs="Tahoma"/>
          <w:sz w:val="20"/>
          <w:szCs w:val="20"/>
        </w:rPr>
        <w:t>à</w:t>
      </w:r>
      <w:r w:rsidR="00DB1635" w:rsidRPr="00B004EE">
        <w:rPr>
          <w:rFonts w:ascii="Tahoma" w:hAnsi="Tahoma" w:cs="Tahoma"/>
          <w:spacing w:val="29"/>
          <w:sz w:val="20"/>
          <w:szCs w:val="20"/>
        </w:rPr>
        <w:t xml:space="preserve"> </w:t>
      </w:r>
      <w:r w:rsidRPr="00B004EE">
        <w:rPr>
          <w:rFonts w:ascii="Tahoma" w:hAnsi="Tahoma" w:cs="Tahoma"/>
          <w:sz w:val="20"/>
          <w:szCs w:val="20"/>
        </w:rPr>
        <w:t>bord</w:t>
      </w:r>
      <w:r w:rsidR="00DB1635" w:rsidRPr="00B004EE">
        <w:rPr>
          <w:rFonts w:ascii="Tahoma" w:hAnsi="Tahoma" w:cs="Tahoma"/>
          <w:spacing w:val="29"/>
          <w:sz w:val="20"/>
          <w:szCs w:val="20"/>
        </w:rPr>
        <w:t xml:space="preserve"> </w:t>
      </w:r>
      <w:r w:rsidRPr="00B004EE">
        <w:rPr>
          <w:rFonts w:ascii="Tahoma" w:eastAsia="American Typewriter" w:hAnsi="Tahoma" w:cs="Tahoma"/>
          <w:sz w:val="20"/>
          <w:szCs w:val="20"/>
        </w:rPr>
        <w:t>est</w:t>
      </w:r>
      <w:r w:rsidR="00DB1635" w:rsidRPr="00B004EE">
        <w:rPr>
          <w:rFonts w:ascii="Tahoma" w:eastAsia="American Typewriter" w:hAnsi="Tahoma" w:cs="Tahoma"/>
          <w:spacing w:val="29"/>
          <w:sz w:val="20"/>
          <w:szCs w:val="20"/>
        </w:rPr>
        <w:t xml:space="preserve"> </w:t>
      </w:r>
      <w:r w:rsidRPr="00B004EE">
        <w:rPr>
          <w:rFonts w:ascii="Tahoma" w:eastAsia="American Typewriter" w:hAnsi="Tahoma" w:cs="Tahoma"/>
          <w:sz w:val="20"/>
          <w:szCs w:val="20"/>
        </w:rPr>
        <w:t>transmis</w:t>
      </w:r>
      <w:r w:rsidR="00DB1635" w:rsidRPr="00B004EE">
        <w:rPr>
          <w:rFonts w:ascii="Tahoma" w:eastAsia="American Typewriter" w:hAnsi="Tahoma" w:cs="Tahoma"/>
          <w:spacing w:val="29"/>
          <w:sz w:val="20"/>
          <w:szCs w:val="20"/>
        </w:rPr>
        <w:t xml:space="preserve"> </w:t>
      </w:r>
      <w:r w:rsidRPr="00B004EE">
        <w:rPr>
          <w:rFonts w:ascii="Tahoma" w:eastAsia="American Typewriter" w:hAnsi="Tahoma" w:cs="Tahoma"/>
          <w:sz w:val="20"/>
          <w:szCs w:val="20"/>
        </w:rPr>
        <w:t>à</w:t>
      </w:r>
      <w:r w:rsidR="00DB1635" w:rsidRPr="00B004EE">
        <w:rPr>
          <w:rFonts w:ascii="Tahoma" w:eastAsia="American Typewriter" w:hAnsi="Tahoma" w:cs="Tahoma"/>
          <w:spacing w:val="29"/>
          <w:sz w:val="20"/>
          <w:szCs w:val="20"/>
        </w:rPr>
        <w:t xml:space="preserve"> </w:t>
      </w:r>
      <w:r w:rsidRPr="00B004EE">
        <w:rPr>
          <w:rFonts w:ascii="Tahoma" w:eastAsia="American Typewriter" w:hAnsi="Tahoma" w:cs="Tahoma"/>
          <w:sz w:val="20"/>
          <w:szCs w:val="20"/>
        </w:rPr>
        <w:t>l’issue</w:t>
      </w:r>
      <w:r w:rsidR="00DB1635" w:rsidRPr="00B004EE">
        <w:rPr>
          <w:rFonts w:ascii="Tahoma" w:eastAsia="American Typewriter" w:hAnsi="Tahoma" w:cs="Tahoma"/>
          <w:spacing w:val="29"/>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pacing w:val="29"/>
          <w:sz w:val="20"/>
          <w:szCs w:val="20"/>
        </w:rPr>
        <w:t xml:space="preserve"> </w:t>
      </w:r>
      <w:r w:rsidRPr="00B004EE">
        <w:rPr>
          <w:rFonts w:ascii="Tahoma" w:eastAsia="American Typewriter" w:hAnsi="Tahoma" w:cs="Tahoma"/>
          <w:sz w:val="20"/>
          <w:szCs w:val="20"/>
        </w:rPr>
        <w:t>chaque</w:t>
      </w:r>
      <w:r w:rsidR="00DB1635" w:rsidRPr="00B004EE">
        <w:rPr>
          <w:rFonts w:ascii="Tahoma" w:eastAsia="American Typewriter" w:hAnsi="Tahoma" w:cs="Tahoma"/>
          <w:spacing w:val="29"/>
          <w:sz w:val="20"/>
          <w:szCs w:val="20"/>
        </w:rPr>
        <w:t xml:space="preserve"> </w:t>
      </w:r>
      <w:r w:rsidRPr="00B004EE">
        <w:rPr>
          <w:rFonts w:ascii="Tahoma" w:eastAsia="American Typewriter" w:hAnsi="Tahoma" w:cs="Tahoma"/>
          <w:sz w:val="20"/>
          <w:szCs w:val="20"/>
        </w:rPr>
        <w:t>marée</w:t>
      </w:r>
      <w:r w:rsidR="00DB1635" w:rsidRPr="00B004EE">
        <w:rPr>
          <w:rFonts w:ascii="Tahoma" w:eastAsia="American Typewriter" w:hAnsi="Tahoma" w:cs="Tahoma"/>
          <w:spacing w:val="29"/>
          <w:sz w:val="20"/>
          <w:szCs w:val="20"/>
        </w:rPr>
        <w:t xml:space="preserve"> </w:t>
      </w:r>
      <w:r w:rsidRPr="00B004EE">
        <w:rPr>
          <w:rFonts w:ascii="Tahoma" w:eastAsia="American Typewriter" w:hAnsi="Tahoma" w:cs="Tahoma"/>
          <w:sz w:val="20"/>
          <w:szCs w:val="20"/>
        </w:rPr>
        <w:t>à</w:t>
      </w:r>
      <w:r w:rsidR="00DB1635" w:rsidRPr="00B004EE">
        <w:rPr>
          <w:rFonts w:ascii="Tahoma" w:eastAsia="American Typewriter" w:hAnsi="Tahoma" w:cs="Tahoma"/>
          <w:spacing w:val="29"/>
          <w:sz w:val="20"/>
          <w:szCs w:val="20"/>
        </w:rPr>
        <w:t xml:space="preserve"> </w:t>
      </w:r>
      <w:r w:rsidRPr="00B004EE">
        <w:rPr>
          <w:rFonts w:ascii="Tahoma" w:eastAsia="American Typewriter" w:hAnsi="Tahoma" w:cs="Tahoma"/>
          <w:sz w:val="20"/>
          <w:szCs w:val="20"/>
        </w:rPr>
        <w:t>l’autorité</w:t>
      </w:r>
      <w:r w:rsidR="00DB1635" w:rsidRPr="00B004EE">
        <w:rPr>
          <w:rFonts w:ascii="Tahoma" w:eastAsia="American Typewriter" w:hAnsi="Tahoma" w:cs="Tahoma"/>
          <w:w w:val="95"/>
          <w:sz w:val="20"/>
          <w:szCs w:val="20"/>
        </w:rPr>
        <w:t xml:space="preserve"> </w:t>
      </w:r>
      <w:r w:rsidRPr="00B004EE">
        <w:rPr>
          <w:rFonts w:ascii="Tahoma" w:hAnsi="Tahoma" w:cs="Tahoma"/>
          <w:sz w:val="20"/>
          <w:szCs w:val="20"/>
        </w:rPr>
        <w:t>mauritanienne</w:t>
      </w:r>
      <w:r w:rsidR="00DB1635" w:rsidRPr="00B004EE">
        <w:rPr>
          <w:rFonts w:ascii="Tahoma" w:hAnsi="Tahoma" w:cs="Tahoma"/>
          <w:sz w:val="20"/>
          <w:szCs w:val="20"/>
        </w:rPr>
        <w:t xml:space="preserve"> </w:t>
      </w:r>
      <w:r w:rsidRPr="00B004EE">
        <w:rPr>
          <w:rFonts w:ascii="Tahoma" w:hAnsi="Tahoma" w:cs="Tahoma"/>
          <w:sz w:val="20"/>
          <w:szCs w:val="20"/>
        </w:rPr>
        <w:t>compétente</w:t>
      </w:r>
      <w:r w:rsidR="00DB1635" w:rsidRPr="00B004EE">
        <w:rPr>
          <w:rFonts w:ascii="Tahoma" w:hAnsi="Tahoma" w:cs="Tahoma"/>
          <w:sz w:val="20"/>
          <w:szCs w:val="20"/>
        </w:rPr>
        <w:t xml:space="preserve"> </w:t>
      </w:r>
      <w:r w:rsidRPr="00B004EE">
        <w:rPr>
          <w:rFonts w:ascii="Tahoma" w:hAnsi="Tahoma" w:cs="Tahoma"/>
          <w:sz w:val="20"/>
          <w:szCs w:val="20"/>
        </w:rPr>
        <w:t>qui</w:t>
      </w:r>
      <w:r w:rsidR="00DB1635" w:rsidRPr="00B004EE">
        <w:rPr>
          <w:rFonts w:ascii="Tahoma" w:hAnsi="Tahoma" w:cs="Tahoma"/>
          <w:sz w:val="20"/>
          <w:szCs w:val="20"/>
        </w:rPr>
        <w:t xml:space="preserve"> </w:t>
      </w:r>
      <w:r w:rsidRPr="00B004EE">
        <w:rPr>
          <w:rFonts w:ascii="Tahoma" w:hAnsi="Tahoma" w:cs="Tahoma"/>
          <w:sz w:val="20"/>
          <w:szCs w:val="20"/>
        </w:rPr>
        <w:t>pourra</w:t>
      </w:r>
      <w:r w:rsidR="00DB1635" w:rsidRPr="00B004EE">
        <w:rPr>
          <w:rFonts w:ascii="Tahoma" w:hAnsi="Tahoma" w:cs="Tahoma"/>
          <w:sz w:val="20"/>
          <w:szCs w:val="20"/>
        </w:rPr>
        <w:t xml:space="preserve"> </w:t>
      </w:r>
      <w:r w:rsidRPr="00B004EE">
        <w:rPr>
          <w:rFonts w:ascii="Tahoma" w:hAnsi="Tahoma" w:cs="Tahoma"/>
          <w:sz w:val="20"/>
          <w:szCs w:val="20"/>
        </w:rPr>
        <w:t>exiger,</w:t>
      </w:r>
      <w:r w:rsidR="00DB1635" w:rsidRPr="00B004EE">
        <w:rPr>
          <w:rFonts w:ascii="Tahoma" w:hAnsi="Tahoma" w:cs="Tahoma"/>
          <w:sz w:val="20"/>
          <w:szCs w:val="20"/>
        </w:rPr>
        <w:t xml:space="preserve"> </w:t>
      </w:r>
      <w:r w:rsidRPr="00B004EE">
        <w:rPr>
          <w:rFonts w:ascii="Tahoma" w:hAnsi="Tahoma" w:cs="Tahoma"/>
          <w:sz w:val="20"/>
          <w:szCs w:val="20"/>
        </w:rPr>
        <w:t>si</w:t>
      </w:r>
      <w:r w:rsidR="00DB1635" w:rsidRPr="00B004EE">
        <w:rPr>
          <w:rFonts w:ascii="Tahoma" w:hAnsi="Tahoma" w:cs="Tahoma"/>
          <w:sz w:val="20"/>
          <w:szCs w:val="20"/>
        </w:rPr>
        <w:t xml:space="preserve"> </w:t>
      </w:r>
      <w:r w:rsidRPr="00B004EE">
        <w:rPr>
          <w:rFonts w:ascii="Tahoma" w:hAnsi="Tahoma" w:cs="Tahoma"/>
          <w:sz w:val="20"/>
          <w:szCs w:val="20"/>
        </w:rPr>
        <w:t>nécessaire,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transmission</w:t>
      </w:r>
      <w:r w:rsidR="00DB1635" w:rsidRPr="00B004EE">
        <w:rPr>
          <w:rFonts w:ascii="Tahoma" w:hAnsi="Tahoma" w:cs="Tahoma"/>
          <w:spacing w:val="20"/>
          <w:sz w:val="20"/>
          <w:szCs w:val="20"/>
        </w:rPr>
        <w:t xml:space="preserve"> </w:t>
      </w:r>
      <w:r w:rsidRPr="00B004EE">
        <w:rPr>
          <w:rFonts w:ascii="Tahoma" w:hAnsi="Tahoma" w:cs="Tahoma"/>
          <w:sz w:val="20"/>
          <w:szCs w:val="20"/>
        </w:rPr>
        <w:t>par</w:t>
      </w:r>
      <w:r w:rsidR="00DB1635" w:rsidRPr="00B004EE">
        <w:rPr>
          <w:rFonts w:ascii="Tahoma" w:hAnsi="Tahoma" w:cs="Tahoma"/>
          <w:w w:val="90"/>
          <w:sz w:val="20"/>
          <w:szCs w:val="20"/>
        </w:rPr>
        <w:t xml:space="preserve"> </w:t>
      </w:r>
      <w:r w:rsidRPr="00B004EE">
        <w:rPr>
          <w:rFonts w:ascii="Tahoma" w:eastAsia="American Typewriter" w:hAnsi="Tahoma" w:cs="Tahoma"/>
          <w:sz w:val="20"/>
          <w:szCs w:val="20"/>
        </w:rPr>
        <w:t>message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radio</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renseignements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sur</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les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captures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au</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fur</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et</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à</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mesure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qu’elles</w:t>
      </w:r>
      <w:r w:rsidR="00DB1635" w:rsidRPr="00B004EE">
        <w:rPr>
          <w:rFonts w:ascii="Tahoma" w:eastAsia="American Typewriter" w:hAnsi="Tahoma" w:cs="Tahoma"/>
          <w:spacing w:val="17"/>
          <w:sz w:val="20"/>
          <w:szCs w:val="20"/>
        </w:rPr>
        <w:t xml:space="preserve"> </w:t>
      </w:r>
      <w:r w:rsidRPr="00B004EE">
        <w:rPr>
          <w:rFonts w:ascii="Tahoma" w:eastAsia="American Typewriter" w:hAnsi="Tahoma" w:cs="Tahoma"/>
          <w:sz w:val="20"/>
          <w:szCs w:val="20"/>
        </w:rPr>
        <w:t>se</w:t>
      </w:r>
      <w:r w:rsidR="00DB1635" w:rsidRPr="00B004EE">
        <w:rPr>
          <w:rFonts w:ascii="Tahoma" w:eastAsia="American Typewriter" w:hAnsi="Tahoma" w:cs="Tahoma"/>
          <w:w w:val="94"/>
          <w:sz w:val="20"/>
          <w:szCs w:val="20"/>
        </w:rPr>
        <w:t xml:space="preserve"> </w:t>
      </w:r>
      <w:r w:rsidRPr="00B004EE">
        <w:rPr>
          <w:rFonts w:ascii="Tahoma" w:hAnsi="Tahoma" w:cs="Tahoma"/>
          <w:sz w:val="20"/>
          <w:szCs w:val="20"/>
        </w:rPr>
        <w:t>réalisent.</w:t>
      </w:r>
    </w:p>
    <w:p w14:paraId="10063B9B" w14:textId="77777777" w:rsidR="001E7C3C" w:rsidRPr="00B004EE" w:rsidRDefault="001E7C3C" w:rsidP="00B004EE">
      <w:pPr>
        <w:rPr>
          <w:rFonts w:ascii="Tahoma" w:eastAsia="American Typewriter" w:hAnsi="Tahoma" w:cs="Tahoma"/>
          <w:sz w:val="20"/>
          <w:szCs w:val="20"/>
        </w:rPr>
      </w:pPr>
    </w:p>
    <w:p w14:paraId="5A29652D" w14:textId="1ACFFEC1" w:rsidR="001E7C3C" w:rsidRPr="00B004EE" w:rsidRDefault="001E7C3C" w:rsidP="00B004EE">
      <w:pPr>
        <w:pStyle w:val="Corpsdetexte"/>
        <w:ind w:right="165"/>
        <w:rPr>
          <w:rFonts w:ascii="Tahoma" w:hAnsi="Tahoma" w:cs="Tahoma"/>
          <w:sz w:val="20"/>
          <w:szCs w:val="20"/>
        </w:rPr>
      </w:pPr>
      <w:r w:rsidRPr="00B004EE">
        <w:rPr>
          <w:rFonts w:ascii="Tahoma" w:hAnsi="Tahoma" w:cs="Tahoma"/>
          <w:sz w:val="20"/>
          <w:szCs w:val="20"/>
        </w:rPr>
        <w:lastRenderedPageBreak/>
        <w:t>Le</w:t>
      </w:r>
      <w:r w:rsidR="00DB1635" w:rsidRPr="00B004EE">
        <w:rPr>
          <w:rFonts w:ascii="Tahoma" w:hAnsi="Tahoma" w:cs="Tahoma"/>
          <w:spacing w:val="-4"/>
          <w:sz w:val="20"/>
          <w:szCs w:val="20"/>
        </w:rPr>
        <w:t xml:space="preserve"> </w:t>
      </w:r>
      <w:r w:rsidRPr="00B004EE">
        <w:rPr>
          <w:rFonts w:ascii="Tahoma" w:hAnsi="Tahoma" w:cs="Tahoma"/>
          <w:sz w:val="20"/>
          <w:szCs w:val="20"/>
        </w:rPr>
        <w:t>journal</w:t>
      </w:r>
      <w:r w:rsidR="00DB1635" w:rsidRPr="00B004EE">
        <w:rPr>
          <w:rFonts w:ascii="Tahoma" w:hAnsi="Tahoma" w:cs="Tahoma"/>
          <w:spacing w:val="-3"/>
          <w:sz w:val="20"/>
          <w:szCs w:val="20"/>
        </w:rPr>
        <w:t xml:space="preserve"> </w:t>
      </w:r>
      <w:r w:rsidRPr="00B004EE">
        <w:rPr>
          <w:rFonts w:ascii="Tahoma" w:hAnsi="Tahoma" w:cs="Tahoma"/>
          <w:sz w:val="20"/>
          <w:szCs w:val="20"/>
        </w:rPr>
        <w:t>électronique</w:t>
      </w:r>
      <w:r w:rsidR="00DB1635" w:rsidRPr="00B004EE">
        <w:rPr>
          <w:rFonts w:ascii="Tahoma" w:hAnsi="Tahoma" w:cs="Tahoma"/>
          <w:spacing w:val="-4"/>
          <w:sz w:val="20"/>
          <w:szCs w:val="20"/>
        </w:rPr>
        <w:t xml:space="preserve"> </w:t>
      </w:r>
      <w:r w:rsidRPr="00B004EE">
        <w:rPr>
          <w:rFonts w:ascii="Tahoma" w:hAnsi="Tahoma" w:cs="Tahoma"/>
          <w:sz w:val="20"/>
          <w:szCs w:val="20"/>
        </w:rPr>
        <w:t>de</w:t>
      </w:r>
      <w:r w:rsidR="00DB1635" w:rsidRPr="00B004EE">
        <w:rPr>
          <w:rFonts w:ascii="Tahoma" w:hAnsi="Tahoma" w:cs="Tahoma"/>
          <w:spacing w:val="-5"/>
          <w:sz w:val="20"/>
          <w:szCs w:val="20"/>
        </w:rPr>
        <w:t xml:space="preserve"> </w:t>
      </w:r>
      <w:r w:rsidRPr="00B004EE">
        <w:rPr>
          <w:rFonts w:ascii="Tahoma" w:hAnsi="Tahoma" w:cs="Tahoma"/>
          <w:sz w:val="20"/>
          <w:szCs w:val="20"/>
        </w:rPr>
        <w:t>pêches</w:t>
      </w:r>
      <w:r w:rsidR="00DB1635" w:rsidRPr="00B004EE">
        <w:rPr>
          <w:rFonts w:ascii="Tahoma" w:hAnsi="Tahoma" w:cs="Tahoma"/>
          <w:spacing w:val="-6"/>
          <w:sz w:val="20"/>
          <w:szCs w:val="20"/>
        </w:rPr>
        <w:t xml:space="preserve"> </w:t>
      </w:r>
      <w:r w:rsidRPr="00B004EE">
        <w:rPr>
          <w:rFonts w:ascii="Tahoma" w:hAnsi="Tahoma" w:cs="Tahoma"/>
          <w:sz w:val="20"/>
          <w:szCs w:val="20"/>
        </w:rPr>
        <w:t>sera</w:t>
      </w:r>
      <w:r w:rsidR="00DB1635" w:rsidRPr="00B004EE">
        <w:rPr>
          <w:rFonts w:ascii="Tahoma" w:hAnsi="Tahoma" w:cs="Tahoma"/>
          <w:spacing w:val="-5"/>
          <w:sz w:val="20"/>
          <w:szCs w:val="20"/>
        </w:rPr>
        <w:t xml:space="preserve"> </w:t>
      </w:r>
      <w:r w:rsidRPr="00B004EE">
        <w:rPr>
          <w:rFonts w:ascii="Tahoma" w:hAnsi="Tahoma" w:cs="Tahoma"/>
          <w:sz w:val="20"/>
          <w:szCs w:val="20"/>
        </w:rPr>
        <w:t>institué</w:t>
      </w:r>
      <w:r w:rsidR="00DB1635" w:rsidRPr="00B004EE">
        <w:rPr>
          <w:rFonts w:ascii="Tahoma" w:hAnsi="Tahoma" w:cs="Tahoma"/>
          <w:spacing w:val="-5"/>
          <w:sz w:val="20"/>
          <w:szCs w:val="20"/>
        </w:rPr>
        <w:t xml:space="preserve"> </w:t>
      </w:r>
      <w:r w:rsidRPr="00B004EE">
        <w:rPr>
          <w:rFonts w:ascii="Tahoma" w:hAnsi="Tahoma" w:cs="Tahoma"/>
          <w:sz w:val="20"/>
          <w:szCs w:val="20"/>
        </w:rPr>
        <w:t>par</w:t>
      </w:r>
      <w:r w:rsidR="00DB1635" w:rsidRPr="00B004EE">
        <w:rPr>
          <w:rFonts w:ascii="Tahoma" w:hAnsi="Tahoma" w:cs="Tahoma"/>
          <w:spacing w:val="-6"/>
          <w:sz w:val="20"/>
          <w:szCs w:val="20"/>
        </w:rPr>
        <w:t xml:space="preserve"> </w:t>
      </w:r>
      <w:r w:rsidRPr="00B004EE">
        <w:rPr>
          <w:rFonts w:ascii="Tahoma" w:hAnsi="Tahoma" w:cs="Tahoma"/>
          <w:sz w:val="20"/>
          <w:szCs w:val="20"/>
        </w:rPr>
        <w:t>arrêté</w:t>
      </w:r>
      <w:r w:rsidR="00DB1635" w:rsidRPr="00B004EE">
        <w:rPr>
          <w:rFonts w:ascii="Tahoma" w:hAnsi="Tahoma" w:cs="Tahoma"/>
          <w:spacing w:val="-5"/>
          <w:sz w:val="20"/>
          <w:szCs w:val="20"/>
        </w:rPr>
        <w:t xml:space="preserve"> </w:t>
      </w:r>
      <w:r w:rsidRPr="00B004EE">
        <w:rPr>
          <w:rFonts w:ascii="Tahoma" w:hAnsi="Tahoma" w:cs="Tahoma"/>
          <w:sz w:val="20"/>
          <w:szCs w:val="20"/>
        </w:rPr>
        <w:t>du</w:t>
      </w:r>
      <w:r w:rsidR="00DB1635" w:rsidRPr="00B004EE">
        <w:rPr>
          <w:rFonts w:ascii="Tahoma" w:hAnsi="Tahoma" w:cs="Tahoma"/>
          <w:spacing w:val="-5"/>
          <w:sz w:val="20"/>
          <w:szCs w:val="20"/>
        </w:rPr>
        <w:t xml:space="preserve"> </w:t>
      </w:r>
      <w:r w:rsidRPr="00B004EE">
        <w:rPr>
          <w:rFonts w:ascii="Tahoma" w:hAnsi="Tahoma" w:cs="Tahoma"/>
          <w:sz w:val="20"/>
          <w:szCs w:val="20"/>
        </w:rPr>
        <w:t>ministre</w:t>
      </w:r>
      <w:r w:rsidR="00DB1635" w:rsidRPr="00B004EE">
        <w:rPr>
          <w:rFonts w:ascii="Tahoma" w:hAnsi="Tahoma" w:cs="Tahoma"/>
          <w:spacing w:val="-5"/>
          <w:sz w:val="20"/>
          <w:szCs w:val="20"/>
        </w:rPr>
        <w:t xml:space="preserve"> </w:t>
      </w:r>
      <w:r w:rsidRPr="00B004EE">
        <w:rPr>
          <w:rFonts w:ascii="Tahoma" w:hAnsi="Tahoma" w:cs="Tahoma"/>
          <w:sz w:val="20"/>
          <w:szCs w:val="20"/>
        </w:rPr>
        <w:t>chargé</w:t>
      </w:r>
      <w:r w:rsidR="00DB1635" w:rsidRPr="00B004EE">
        <w:rPr>
          <w:rFonts w:ascii="Tahoma" w:hAnsi="Tahoma" w:cs="Tahoma"/>
          <w:spacing w:val="-5"/>
          <w:sz w:val="20"/>
          <w:szCs w:val="20"/>
        </w:rPr>
        <w:t xml:space="preserve"> </w:t>
      </w:r>
      <w:r w:rsidRPr="00B004EE">
        <w:rPr>
          <w:rFonts w:ascii="Tahoma" w:hAnsi="Tahoma" w:cs="Tahoma"/>
          <w:sz w:val="20"/>
          <w:szCs w:val="20"/>
        </w:rPr>
        <w:t>des</w:t>
      </w:r>
      <w:r w:rsidR="00DB1635" w:rsidRPr="00B004EE">
        <w:rPr>
          <w:rFonts w:ascii="Tahoma" w:hAnsi="Tahoma" w:cs="Tahoma"/>
          <w:w w:val="94"/>
          <w:sz w:val="20"/>
          <w:szCs w:val="20"/>
        </w:rPr>
        <w:t xml:space="preserve"> </w:t>
      </w:r>
      <w:r w:rsidRPr="00B004EE">
        <w:rPr>
          <w:rFonts w:ascii="Tahoma" w:hAnsi="Tahoma" w:cs="Tahoma"/>
          <w:sz w:val="20"/>
          <w:szCs w:val="20"/>
        </w:rPr>
        <w:t>pêches.</w:t>
      </w:r>
      <w:r w:rsidR="00DB1635" w:rsidRPr="00B004EE">
        <w:rPr>
          <w:rFonts w:ascii="Tahoma" w:hAnsi="Tahoma" w:cs="Tahoma"/>
          <w:spacing w:val="-23"/>
          <w:sz w:val="20"/>
          <w:szCs w:val="20"/>
        </w:rPr>
        <w:t xml:space="preserve"> </w:t>
      </w:r>
      <w:r w:rsidRPr="00B004EE">
        <w:rPr>
          <w:rFonts w:ascii="Tahoma" w:hAnsi="Tahoma" w:cs="Tahoma"/>
          <w:sz w:val="20"/>
          <w:szCs w:val="20"/>
        </w:rPr>
        <w:t>Il</w:t>
      </w:r>
      <w:r w:rsidR="00DB1635" w:rsidRPr="00B004EE">
        <w:rPr>
          <w:rFonts w:ascii="Tahoma" w:hAnsi="Tahoma" w:cs="Tahoma"/>
          <w:spacing w:val="-23"/>
          <w:sz w:val="20"/>
          <w:szCs w:val="20"/>
        </w:rPr>
        <w:t xml:space="preserve"> </w:t>
      </w:r>
      <w:r w:rsidRPr="00B004EE">
        <w:rPr>
          <w:rFonts w:ascii="Tahoma" w:hAnsi="Tahoma" w:cs="Tahoma"/>
          <w:sz w:val="20"/>
          <w:szCs w:val="20"/>
        </w:rPr>
        <w:t>est</w:t>
      </w:r>
      <w:r w:rsidR="00DB1635" w:rsidRPr="00B004EE">
        <w:rPr>
          <w:rFonts w:ascii="Tahoma" w:hAnsi="Tahoma" w:cs="Tahoma"/>
          <w:spacing w:val="-24"/>
          <w:sz w:val="20"/>
          <w:szCs w:val="20"/>
        </w:rPr>
        <w:t xml:space="preserve"> </w:t>
      </w:r>
      <w:r w:rsidRPr="00B004EE">
        <w:rPr>
          <w:rFonts w:ascii="Tahoma" w:hAnsi="Tahoma" w:cs="Tahoma"/>
          <w:sz w:val="20"/>
          <w:szCs w:val="20"/>
        </w:rPr>
        <w:t>transmis</w:t>
      </w:r>
      <w:r w:rsidR="00DB1635" w:rsidRPr="00B004EE">
        <w:rPr>
          <w:rFonts w:ascii="Tahoma" w:hAnsi="Tahoma" w:cs="Tahoma"/>
          <w:spacing w:val="-24"/>
          <w:sz w:val="20"/>
          <w:szCs w:val="20"/>
        </w:rPr>
        <w:t xml:space="preserve"> </w:t>
      </w:r>
      <w:r w:rsidRPr="00B004EE">
        <w:rPr>
          <w:rFonts w:ascii="Tahoma" w:hAnsi="Tahoma" w:cs="Tahoma"/>
          <w:sz w:val="20"/>
          <w:szCs w:val="20"/>
        </w:rPr>
        <w:t>en</w:t>
      </w:r>
      <w:r w:rsidR="00DB1635" w:rsidRPr="00B004EE">
        <w:rPr>
          <w:rFonts w:ascii="Tahoma" w:hAnsi="Tahoma" w:cs="Tahoma"/>
          <w:spacing w:val="-24"/>
          <w:sz w:val="20"/>
          <w:szCs w:val="20"/>
        </w:rPr>
        <w:t xml:space="preserve"> </w:t>
      </w:r>
      <w:r w:rsidRPr="00B004EE">
        <w:rPr>
          <w:rFonts w:ascii="Tahoma" w:hAnsi="Tahoma" w:cs="Tahoma"/>
          <w:sz w:val="20"/>
          <w:szCs w:val="20"/>
        </w:rPr>
        <w:t>temps</w:t>
      </w:r>
      <w:r w:rsidR="00DB1635" w:rsidRPr="00B004EE">
        <w:rPr>
          <w:rFonts w:ascii="Tahoma" w:hAnsi="Tahoma" w:cs="Tahoma"/>
          <w:spacing w:val="-24"/>
          <w:sz w:val="20"/>
          <w:szCs w:val="20"/>
        </w:rPr>
        <w:t xml:space="preserve"> </w:t>
      </w:r>
      <w:r w:rsidRPr="00B004EE">
        <w:rPr>
          <w:rFonts w:ascii="Tahoma" w:hAnsi="Tahoma" w:cs="Tahoma"/>
          <w:sz w:val="20"/>
          <w:szCs w:val="20"/>
        </w:rPr>
        <w:t>réel.</w:t>
      </w:r>
    </w:p>
    <w:p w14:paraId="011B4E36" w14:textId="77777777" w:rsidR="001E7C3C" w:rsidRPr="00B004EE" w:rsidRDefault="001E7C3C" w:rsidP="00B004EE">
      <w:pPr>
        <w:rPr>
          <w:rFonts w:ascii="Tahoma" w:eastAsia="American Typewriter" w:hAnsi="Tahoma" w:cs="Tahoma"/>
          <w:sz w:val="20"/>
          <w:szCs w:val="20"/>
        </w:rPr>
      </w:pPr>
    </w:p>
    <w:p w14:paraId="0F941F73" w14:textId="0AC682FE" w:rsidR="001E7C3C" w:rsidRPr="00B004EE" w:rsidRDefault="001E7C3C" w:rsidP="00B004EE">
      <w:pPr>
        <w:pStyle w:val="Corpsdetexte"/>
        <w:ind w:right="157"/>
        <w:rPr>
          <w:rFonts w:ascii="Tahoma" w:hAnsi="Tahoma" w:cs="Tahoma"/>
          <w:sz w:val="20"/>
          <w:szCs w:val="20"/>
        </w:rPr>
      </w:pPr>
      <w:r w:rsidRPr="00B004EE">
        <w:rPr>
          <w:rFonts w:ascii="Tahoma" w:hAnsi="Tahoma" w:cs="Tahoma"/>
          <w:sz w:val="20"/>
          <w:szCs w:val="20"/>
        </w:rPr>
        <w:t>Les</w:t>
      </w:r>
      <w:r w:rsidR="00DB1635" w:rsidRPr="00B004EE">
        <w:rPr>
          <w:rFonts w:ascii="Tahoma" w:hAnsi="Tahoma" w:cs="Tahoma"/>
          <w:spacing w:val="-27"/>
          <w:sz w:val="20"/>
          <w:szCs w:val="20"/>
        </w:rPr>
        <w:t xml:space="preserve"> </w:t>
      </w:r>
      <w:r w:rsidRPr="00B004EE">
        <w:rPr>
          <w:rFonts w:ascii="Tahoma" w:hAnsi="Tahoma" w:cs="Tahoma"/>
          <w:sz w:val="20"/>
          <w:szCs w:val="20"/>
        </w:rPr>
        <w:t>renseignements</w:t>
      </w:r>
      <w:r w:rsidR="00DB1635" w:rsidRPr="00B004EE">
        <w:rPr>
          <w:rFonts w:ascii="Tahoma" w:hAnsi="Tahoma" w:cs="Tahoma"/>
          <w:spacing w:val="-27"/>
          <w:sz w:val="20"/>
          <w:szCs w:val="20"/>
        </w:rPr>
        <w:t xml:space="preserve"> </w:t>
      </w:r>
      <w:r w:rsidRPr="00B004EE">
        <w:rPr>
          <w:rFonts w:ascii="Tahoma" w:hAnsi="Tahoma" w:cs="Tahoma"/>
          <w:sz w:val="20"/>
          <w:szCs w:val="20"/>
        </w:rPr>
        <w:t>à</w:t>
      </w:r>
      <w:r w:rsidR="00DB1635" w:rsidRPr="00B004EE">
        <w:rPr>
          <w:rFonts w:ascii="Tahoma" w:hAnsi="Tahoma" w:cs="Tahoma"/>
          <w:spacing w:val="-26"/>
          <w:sz w:val="20"/>
          <w:szCs w:val="20"/>
        </w:rPr>
        <w:t xml:space="preserve"> </w:t>
      </w:r>
      <w:r w:rsidRPr="00B004EE">
        <w:rPr>
          <w:rFonts w:ascii="Tahoma" w:hAnsi="Tahoma" w:cs="Tahoma"/>
          <w:sz w:val="20"/>
          <w:szCs w:val="20"/>
        </w:rPr>
        <w:t>fournir</w:t>
      </w:r>
      <w:r w:rsidR="00DB1635" w:rsidRPr="00B004EE">
        <w:rPr>
          <w:rFonts w:ascii="Tahoma" w:hAnsi="Tahoma" w:cs="Tahoma"/>
          <w:spacing w:val="-27"/>
          <w:sz w:val="20"/>
          <w:szCs w:val="20"/>
        </w:rPr>
        <w:t xml:space="preserve"> </w:t>
      </w:r>
      <w:r w:rsidRPr="00B004EE">
        <w:rPr>
          <w:rFonts w:ascii="Tahoma" w:hAnsi="Tahoma" w:cs="Tahoma"/>
          <w:sz w:val="20"/>
          <w:szCs w:val="20"/>
        </w:rPr>
        <w:t>portent,</w:t>
      </w:r>
      <w:r w:rsidR="00DB1635" w:rsidRPr="00B004EE">
        <w:rPr>
          <w:rFonts w:ascii="Tahoma" w:hAnsi="Tahoma" w:cs="Tahoma"/>
          <w:spacing w:val="-26"/>
          <w:sz w:val="20"/>
          <w:szCs w:val="20"/>
        </w:rPr>
        <w:t xml:space="preserve"> </w:t>
      </w:r>
      <w:r w:rsidRPr="00B004EE">
        <w:rPr>
          <w:rFonts w:ascii="Tahoma" w:hAnsi="Tahoma" w:cs="Tahoma"/>
          <w:sz w:val="20"/>
          <w:szCs w:val="20"/>
        </w:rPr>
        <w:t>notamment,</w:t>
      </w:r>
      <w:r w:rsidR="00DB1635" w:rsidRPr="00B004EE">
        <w:rPr>
          <w:rFonts w:ascii="Tahoma" w:hAnsi="Tahoma" w:cs="Tahoma"/>
          <w:spacing w:val="-26"/>
          <w:sz w:val="20"/>
          <w:szCs w:val="20"/>
        </w:rPr>
        <w:t xml:space="preserve"> </w:t>
      </w:r>
      <w:r w:rsidRPr="00B004EE">
        <w:rPr>
          <w:rFonts w:ascii="Tahoma" w:hAnsi="Tahoma" w:cs="Tahoma"/>
          <w:sz w:val="20"/>
          <w:szCs w:val="20"/>
        </w:rPr>
        <w:t>sur</w:t>
      </w:r>
      <w:r w:rsidR="00DB1635" w:rsidRPr="00B004EE">
        <w:rPr>
          <w:rFonts w:ascii="Tahoma" w:hAnsi="Tahoma" w:cs="Tahoma"/>
          <w:spacing w:val="-29"/>
          <w:sz w:val="20"/>
          <w:szCs w:val="20"/>
        </w:rPr>
        <w:t xml:space="preserve"> </w:t>
      </w:r>
      <w:r w:rsidRPr="00B004EE">
        <w:rPr>
          <w:rFonts w:ascii="Tahoma" w:hAnsi="Tahoma" w:cs="Tahoma"/>
          <w:sz w:val="20"/>
          <w:szCs w:val="20"/>
        </w:rPr>
        <w:t>les</w:t>
      </w:r>
      <w:r w:rsidR="00DB1635" w:rsidRPr="00B004EE">
        <w:rPr>
          <w:rFonts w:ascii="Tahoma" w:hAnsi="Tahoma" w:cs="Tahoma"/>
          <w:spacing w:val="-28"/>
          <w:sz w:val="20"/>
          <w:szCs w:val="20"/>
        </w:rPr>
        <w:t xml:space="preserve"> </w:t>
      </w:r>
      <w:r w:rsidRPr="00B004EE">
        <w:rPr>
          <w:rFonts w:ascii="Tahoma" w:hAnsi="Tahoma" w:cs="Tahoma"/>
          <w:sz w:val="20"/>
          <w:szCs w:val="20"/>
        </w:rPr>
        <w:t>quantités</w:t>
      </w:r>
      <w:r w:rsidR="00DB1635" w:rsidRPr="00B004EE">
        <w:rPr>
          <w:rFonts w:ascii="Tahoma" w:hAnsi="Tahoma" w:cs="Tahoma"/>
          <w:spacing w:val="-25"/>
          <w:sz w:val="20"/>
          <w:szCs w:val="20"/>
        </w:rPr>
        <w:t xml:space="preserve"> </w:t>
      </w:r>
      <w:r w:rsidRPr="00B004EE">
        <w:rPr>
          <w:rFonts w:ascii="Tahoma" w:hAnsi="Tahoma" w:cs="Tahoma"/>
          <w:sz w:val="20"/>
          <w:szCs w:val="20"/>
        </w:rPr>
        <w:t>de</w:t>
      </w:r>
      <w:r w:rsidR="00DB1635" w:rsidRPr="00B004EE">
        <w:rPr>
          <w:rFonts w:ascii="Tahoma" w:hAnsi="Tahoma" w:cs="Tahoma"/>
          <w:spacing w:val="-28"/>
          <w:sz w:val="20"/>
          <w:szCs w:val="20"/>
        </w:rPr>
        <w:t xml:space="preserve"> </w:t>
      </w:r>
      <w:r w:rsidRPr="00B004EE">
        <w:rPr>
          <w:rFonts w:ascii="Tahoma" w:hAnsi="Tahoma" w:cs="Tahoma"/>
          <w:sz w:val="20"/>
          <w:szCs w:val="20"/>
        </w:rPr>
        <w:t>capture</w:t>
      </w:r>
      <w:r w:rsidR="00DB1635" w:rsidRPr="00B004EE">
        <w:rPr>
          <w:rFonts w:ascii="Tahoma" w:hAnsi="Tahoma" w:cs="Tahoma"/>
          <w:spacing w:val="-28"/>
          <w:sz w:val="20"/>
          <w:szCs w:val="20"/>
        </w:rPr>
        <w:t xml:space="preserve"> </w:t>
      </w:r>
      <w:r w:rsidRPr="00B004EE">
        <w:rPr>
          <w:rFonts w:ascii="Tahoma" w:hAnsi="Tahoma" w:cs="Tahoma"/>
          <w:sz w:val="20"/>
          <w:szCs w:val="20"/>
        </w:rPr>
        <w:t>des</w:t>
      </w:r>
      <w:r w:rsidR="00DB1635" w:rsidRPr="00B004EE">
        <w:rPr>
          <w:rFonts w:ascii="Tahoma" w:hAnsi="Tahoma" w:cs="Tahoma"/>
          <w:w w:val="94"/>
          <w:sz w:val="20"/>
          <w:szCs w:val="20"/>
        </w:rPr>
        <w:t xml:space="preserve"> </w:t>
      </w:r>
      <w:r w:rsidRPr="00B004EE">
        <w:rPr>
          <w:rFonts w:ascii="Tahoma" w:hAnsi="Tahoma" w:cs="Tahoma"/>
          <w:sz w:val="20"/>
          <w:szCs w:val="20"/>
        </w:rPr>
        <w:t>produits</w:t>
      </w:r>
      <w:r w:rsidR="00DB1635" w:rsidRPr="00B004EE">
        <w:rPr>
          <w:rFonts w:ascii="Tahoma" w:hAnsi="Tahoma" w:cs="Tahoma"/>
          <w:spacing w:val="-9"/>
          <w:sz w:val="20"/>
          <w:szCs w:val="20"/>
        </w:rPr>
        <w:t xml:space="preserve"> </w:t>
      </w:r>
      <w:r w:rsidRPr="00B004EE">
        <w:rPr>
          <w:rFonts w:ascii="Tahoma" w:hAnsi="Tahoma" w:cs="Tahoma"/>
          <w:sz w:val="20"/>
          <w:szCs w:val="20"/>
        </w:rPr>
        <w:t>de</w:t>
      </w:r>
      <w:r w:rsidR="00DB1635" w:rsidRPr="00B004EE">
        <w:rPr>
          <w:rFonts w:ascii="Tahoma" w:hAnsi="Tahoma" w:cs="Tahoma"/>
          <w:spacing w:val="-9"/>
          <w:sz w:val="20"/>
          <w:szCs w:val="20"/>
        </w:rPr>
        <w:t xml:space="preserve"> </w:t>
      </w:r>
      <w:r w:rsidRPr="00B004EE">
        <w:rPr>
          <w:rFonts w:ascii="Tahoma" w:hAnsi="Tahoma" w:cs="Tahoma"/>
          <w:sz w:val="20"/>
          <w:szCs w:val="20"/>
        </w:rPr>
        <w:t>pêche,</w:t>
      </w:r>
      <w:r w:rsidR="00DB1635" w:rsidRPr="00B004EE">
        <w:rPr>
          <w:rFonts w:ascii="Tahoma" w:hAnsi="Tahoma" w:cs="Tahoma"/>
          <w:spacing w:val="-9"/>
          <w:sz w:val="20"/>
          <w:szCs w:val="20"/>
        </w:rPr>
        <w:t xml:space="preserve"> </w:t>
      </w:r>
      <w:r w:rsidRPr="00B004EE">
        <w:rPr>
          <w:rFonts w:ascii="Tahoma" w:hAnsi="Tahoma" w:cs="Tahoma"/>
          <w:sz w:val="20"/>
          <w:szCs w:val="20"/>
        </w:rPr>
        <w:t>les</w:t>
      </w:r>
      <w:r w:rsidR="00DB1635" w:rsidRPr="00B004EE">
        <w:rPr>
          <w:rFonts w:ascii="Tahoma" w:hAnsi="Tahoma" w:cs="Tahoma"/>
          <w:spacing w:val="-10"/>
          <w:sz w:val="20"/>
          <w:szCs w:val="20"/>
        </w:rPr>
        <w:t xml:space="preserve"> </w:t>
      </w:r>
      <w:r w:rsidRPr="00B004EE">
        <w:rPr>
          <w:rFonts w:ascii="Tahoma" w:hAnsi="Tahoma" w:cs="Tahoma"/>
          <w:sz w:val="20"/>
          <w:szCs w:val="20"/>
        </w:rPr>
        <w:t>espèces</w:t>
      </w:r>
      <w:r w:rsidR="00DB1635" w:rsidRPr="00B004EE">
        <w:rPr>
          <w:rFonts w:ascii="Tahoma" w:hAnsi="Tahoma" w:cs="Tahoma"/>
          <w:spacing w:val="-10"/>
          <w:sz w:val="20"/>
          <w:szCs w:val="20"/>
        </w:rPr>
        <w:t xml:space="preserve"> </w:t>
      </w:r>
      <w:r w:rsidRPr="00B004EE">
        <w:rPr>
          <w:rFonts w:ascii="Tahoma" w:hAnsi="Tahoma" w:cs="Tahoma"/>
          <w:sz w:val="20"/>
          <w:szCs w:val="20"/>
        </w:rPr>
        <w:t>pêchées,</w:t>
      </w:r>
      <w:r w:rsidR="00DB1635" w:rsidRPr="00B004EE">
        <w:rPr>
          <w:rFonts w:ascii="Tahoma" w:hAnsi="Tahoma" w:cs="Tahoma"/>
          <w:spacing w:val="-8"/>
          <w:sz w:val="20"/>
          <w:szCs w:val="20"/>
        </w:rPr>
        <w:t xml:space="preserve"> </w:t>
      </w:r>
      <w:r w:rsidRPr="00B004EE">
        <w:rPr>
          <w:rFonts w:ascii="Tahoma" w:hAnsi="Tahoma" w:cs="Tahoma"/>
          <w:sz w:val="20"/>
          <w:szCs w:val="20"/>
        </w:rPr>
        <w:t>transbordées</w:t>
      </w:r>
      <w:r w:rsidR="00DB1635" w:rsidRPr="00B004EE">
        <w:rPr>
          <w:rFonts w:ascii="Tahoma" w:hAnsi="Tahoma" w:cs="Tahoma"/>
          <w:spacing w:val="-10"/>
          <w:sz w:val="20"/>
          <w:szCs w:val="20"/>
        </w:rPr>
        <w:t xml:space="preserve"> </w:t>
      </w:r>
      <w:r w:rsidRPr="00B004EE">
        <w:rPr>
          <w:rFonts w:ascii="Tahoma" w:hAnsi="Tahoma" w:cs="Tahoma"/>
          <w:sz w:val="20"/>
          <w:szCs w:val="20"/>
        </w:rPr>
        <w:t>ou</w:t>
      </w:r>
      <w:r w:rsidR="00DB1635" w:rsidRPr="00B004EE">
        <w:rPr>
          <w:rFonts w:ascii="Tahoma" w:hAnsi="Tahoma" w:cs="Tahoma"/>
          <w:spacing w:val="-9"/>
          <w:sz w:val="20"/>
          <w:szCs w:val="20"/>
        </w:rPr>
        <w:t xml:space="preserve"> </w:t>
      </w:r>
      <w:r w:rsidRPr="00B004EE">
        <w:rPr>
          <w:rFonts w:ascii="Tahoma" w:hAnsi="Tahoma" w:cs="Tahoma"/>
          <w:sz w:val="20"/>
          <w:szCs w:val="20"/>
        </w:rPr>
        <w:t>transportées,</w:t>
      </w:r>
      <w:r w:rsidR="00DB1635" w:rsidRPr="00B004EE">
        <w:rPr>
          <w:rFonts w:ascii="Tahoma" w:hAnsi="Tahoma" w:cs="Tahoma"/>
          <w:spacing w:val="-10"/>
          <w:sz w:val="20"/>
          <w:szCs w:val="20"/>
        </w:rPr>
        <w:t xml:space="preserve"> </w:t>
      </w:r>
      <w:r w:rsidRPr="00B004EE">
        <w:rPr>
          <w:rFonts w:ascii="Tahoma" w:hAnsi="Tahoma" w:cs="Tahoma"/>
          <w:sz w:val="20"/>
          <w:szCs w:val="20"/>
        </w:rPr>
        <w:t>les</w:t>
      </w:r>
      <w:r w:rsidR="00DB1635" w:rsidRPr="00B004EE">
        <w:rPr>
          <w:rFonts w:ascii="Tahoma" w:hAnsi="Tahoma" w:cs="Tahoma"/>
          <w:spacing w:val="-11"/>
          <w:sz w:val="20"/>
          <w:szCs w:val="20"/>
        </w:rPr>
        <w:t xml:space="preserve"> </w:t>
      </w:r>
      <w:r w:rsidRPr="00B004EE">
        <w:rPr>
          <w:rFonts w:ascii="Tahoma" w:hAnsi="Tahoma" w:cs="Tahoma"/>
          <w:sz w:val="20"/>
          <w:szCs w:val="20"/>
        </w:rPr>
        <w:t>dates</w:t>
      </w:r>
      <w:r w:rsidR="00DB1635" w:rsidRPr="00B004EE">
        <w:rPr>
          <w:rFonts w:ascii="Tahoma" w:hAnsi="Tahoma" w:cs="Tahoma"/>
          <w:spacing w:val="-11"/>
          <w:sz w:val="20"/>
          <w:szCs w:val="20"/>
        </w:rPr>
        <w:t xml:space="preserve"> </w:t>
      </w:r>
      <w:r w:rsidRPr="00B004EE">
        <w:rPr>
          <w:rFonts w:ascii="Tahoma" w:hAnsi="Tahoma" w:cs="Tahoma"/>
          <w:sz w:val="20"/>
          <w:szCs w:val="20"/>
        </w:rPr>
        <w:t>et</w:t>
      </w:r>
      <w:r w:rsidR="00DB1635" w:rsidRPr="00B004EE">
        <w:rPr>
          <w:rFonts w:ascii="Tahoma" w:hAnsi="Tahoma" w:cs="Tahoma"/>
          <w:w w:val="95"/>
          <w:sz w:val="20"/>
          <w:szCs w:val="20"/>
        </w:rPr>
        <w:t xml:space="preserve"> </w:t>
      </w:r>
      <w:r w:rsidRPr="00B004EE">
        <w:rPr>
          <w:rFonts w:ascii="Tahoma" w:hAnsi="Tahoma" w:cs="Tahoma"/>
          <w:sz w:val="20"/>
          <w:szCs w:val="20"/>
        </w:rPr>
        <w:t>les</w:t>
      </w:r>
      <w:r w:rsidR="00DB1635" w:rsidRPr="00B004EE">
        <w:rPr>
          <w:rFonts w:ascii="Tahoma" w:hAnsi="Tahoma" w:cs="Tahoma"/>
          <w:spacing w:val="-26"/>
          <w:sz w:val="20"/>
          <w:szCs w:val="20"/>
        </w:rPr>
        <w:t xml:space="preserve"> </w:t>
      </w:r>
      <w:r w:rsidRPr="00B004EE">
        <w:rPr>
          <w:rFonts w:ascii="Tahoma" w:hAnsi="Tahoma" w:cs="Tahoma"/>
          <w:sz w:val="20"/>
          <w:szCs w:val="20"/>
        </w:rPr>
        <w:t>zones</w:t>
      </w:r>
      <w:r w:rsidR="00DB1635" w:rsidRPr="00B004EE">
        <w:rPr>
          <w:rFonts w:ascii="Tahoma" w:hAnsi="Tahoma" w:cs="Tahoma"/>
          <w:spacing w:val="-26"/>
          <w:sz w:val="20"/>
          <w:szCs w:val="20"/>
        </w:rPr>
        <w:t xml:space="preserve"> </w:t>
      </w:r>
      <w:r w:rsidRPr="00B004EE">
        <w:rPr>
          <w:rFonts w:ascii="Tahoma" w:hAnsi="Tahoma" w:cs="Tahoma"/>
          <w:sz w:val="20"/>
          <w:szCs w:val="20"/>
        </w:rPr>
        <w:t>de</w:t>
      </w:r>
      <w:r w:rsidR="00DB1635" w:rsidRPr="00B004EE">
        <w:rPr>
          <w:rFonts w:ascii="Tahoma" w:hAnsi="Tahoma" w:cs="Tahoma"/>
          <w:spacing w:val="-26"/>
          <w:sz w:val="20"/>
          <w:szCs w:val="20"/>
        </w:rPr>
        <w:t xml:space="preserve"> </w:t>
      </w:r>
      <w:r w:rsidRPr="00B004EE">
        <w:rPr>
          <w:rFonts w:ascii="Tahoma" w:hAnsi="Tahoma" w:cs="Tahoma"/>
          <w:sz w:val="20"/>
          <w:szCs w:val="20"/>
        </w:rPr>
        <w:t>pêche,</w:t>
      </w:r>
      <w:r w:rsidR="00DB1635" w:rsidRPr="00B004EE">
        <w:rPr>
          <w:rFonts w:ascii="Tahoma" w:hAnsi="Tahoma" w:cs="Tahoma"/>
          <w:spacing w:val="-27"/>
          <w:sz w:val="20"/>
          <w:szCs w:val="20"/>
        </w:rPr>
        <w:t xml:space="preserve"> </w:t>
      </w:r>
      <w:r w:rsidRPr="00B004EE">
        <w:rPr>
          <w:rFonts w:ascii="Tahoma" w:hAnsi="Tahoma" w:cs="Tahoma"/>
          <w:sz w:val="20"/>
          <w:szCs w:val="20"/>
        </w:rPr>
        <w:t>les</w:t>
      </w:r>
      <w:r w:rsidR="00DB1635" w:rsidRPr="00B004EE">
        <w:rPr>
          <w:rFonts w:ascii="Tahoma" w:hAnsi="Tahoma" w:cs="Tahoma"/>
          <w:spacing w:val="-27"/>
          <w:sz w:val="20"/>
          <w:szCs w:val="20"/>
        </w:rPr>
        <w:t xml:space="preserve"> </w:t>
      </w:r>
      <w:r w:rsidRPr="00B004EE">
        <w:rPr>
          <w:rFonts w:ascii="Tahoma" w:hAnsi="Tahoma" w:cs="Tahoma"/>
          <w:sz w:val="20"/>
          <w:szCs w:val="20"/>
        </w:rPr>
        <w:t>caractéristiques</w:t>
      </w:r>
      <w:r w:rsidR="00DB1635" w:rsidRPr="00B004EE">
        <w:rPr>
          <w:rFonts w:ascii="Tahoma" w:hAnsi="Tahoma" w:cs="Tahoma"/>
          <w:spacing w:val="-27"/>
          <w:sz w:val="20"/>
          <w:szCs w:val="20"/>
        </w:rPr>
        <w:t xml:space="preserve"> </w:t>
      </w:r>
      <w:r w:rsidRPr="00B004EE">
        <w:rPr>
          <w:rFonts w:ascii="Tahoma" w:hAnsi="Tahoma" w:cs="Tahoma"/>
          <w:sz w:val="20"/>
          <w:szCs w:val="20"/>
        </w:rPr>
        <w:t>techniques</w:t>
      </w:r>
      <w:r w:rsidR="00DB1635" w:rsidRPr="00B004EE">
        <w:rPr>
          <w:rFonts w:ascii="Tahoma" w:hAnsi="Tahoma" w:cs="Tahoma"/>
          <w:spacing w:val="-27"/>
          <w:sz w:val="20"/>
          <w:szCs w:val="20"/>
        </w:rPr>
        <w:t xml:space="preserve"> </w:t>
      </w:r>
      <w:r w:rsidRPr="00B004EE">
        <w:rPr>
          <w:rFonts w:ascii="Tahoma" w:hAnsi="Tahoma" w:cs="Tahoma"/>
          <w:sz w:val="20"/>
          <w:szCs w:val="20"/>
        </w:rPr>
        <w:t>des</w:t>
      </w:r>
      <w:r w:rsidR="00DB1635" w:rsidRPr="00B004EE">
        <w:rPr>
          <w:rFonts w:ascii="Tahoma" w:hAnsi="Tahoma" w:cs="Tahoma"/>
          <w:spacing w:val="-27"/>
          <w:sz w:val="20"/>
          <w:szCs w:val="20"/>
        </w:rPr>
        <w:t xml:space="preserve"> </w:t>
      </w:r>
      <w:r w:rsidRPr="00B004EE">
        <w:rPr>
          <w:rFonts w:ascii="Tahoma" w:hAnsi="Tahoma" w:cs="Tahoma"/>
          <w:sz w:val="20"/>
          <w:szCs w:val="20"/>
        </w:rPr>
        <w:t>navires,</w:t>
      </w:r>
      <w:r w:rsidR="00DB1635" w:rsidRPr="00B004EE">
        <w:rPr>
          <w:rFonts w:ascii="Tahoma" w:hAnsi="Tahoma" w:cs="Tahoma"/>
          <w:spacing w:val="-27"/>
          <w:sz w:val="20"/>
          <w:szCs w:val="20"/>
        </w:rPr>
        <w:t xml:space="preserve"> </w:t>
      </w:r>
      <w:r w:rsidRPr="00B004EE">
        <w:rPr>
          <w:rFonts w:ascii="Tahoma" w:hAnsi="Tahoma" w:cs="Tahoma"/>
          <w:sz w:val="20"/>
          <w:szCs w:val="20"/>
        </w:rPr>
        <w:t>les</w:t>
      </w:r>
      <w:r w:rsidR="00DB1635" w:rsidRPr="00B004EE">
        <w:rPr>
          <w:rFonts w:ascii="Tahoma" w:hAnsi="Tahoma" w:cs="Tahoma"/>
          <w:spacing w:val="-27"/>
          <w:sz w:val="20"/>
          <w:szCs w:val="20"/>
        </w:rPr>
        <w:t xml:space="preserve"> </w:t>
      </w:r>
      <w:r w:rsidRPr="00B004EE">
        <w:rPr>
          <w:rFonts w:ascii="Tahoma" w:hAnsi="Tahoma" w:cs="Tahoma"/>
          <w:sz w:val="20"/>
          <w:szCs w:val="20"/>
        </w:rPr>
        <w:t>engins</w:t>
      </w:r>
      <w:r w:rsidR="00DB1635" w:rsidRPr="00B004EE">
        <w:rPr>
          <w:rFonts w:ascii="Tahoma" w:hAnsi="Tahoma" w:cs="Tahoma"/>
          <w:spacing w:val="-27"/>
          <w:sz w:val="20"/>
          <w:szCs w:val="20"/>
        </w:rPr>
        <w:t xml:space="preserve"> </w:t>
      </w:r>
      <w:r w:rsidRPr="00B004EE">
        <w:rPr>
          <w:rFonts w:ascii="Tahoma" w:hAnsi="Tahoma" w:cs="Tahoma"/>
          <w:sz w:val="20"/>
          <w:szCs w:val="20"/>
        </w:rPr>
        <w:t>de</w:t>
      </w:r>
      <w:r w:rsidR="00DB1635" w:rsidRPr="00B004EE">
        <w:rPr>
          <w:rFonts w:ascii="Tahoma" w:hAnsi="Tahoma" w:cs="Tahoma"/>
          <w:spacing w:val="-27"/>
          <w:sz w:val="20"/>
          <w:szCs w:val="20"/>
        </w:rPr>
        <w:t xml:space="preserve"> </w:t>
      </w:r>
      <w:r w:rsidRPr="00B004EE">
        <w:rPr>
          <w:rFonts w:ascii="Tahoma" w:hAnsi="Tahoma" w:cs="Tahoma"/>
          <w:sz w:val="20"/>
          <w:szCs w:val="20"/>
        </w:rPr>
        <w:t>pêche,</w:t>
      </w:r>
      <w:r w:rsidR="00DB1635" w:rsidRPr="00B004EE">
        <w:rPr>
          <w:rFonts w:ascii="Tahoma" w:hAnsi="Tahoma" w:cs="Tahoma"/>
          <w:w w:val="96"/>
          <w:sz w:val="20"/>
          <w:szCs w:val="20"/>
        </w:rPr>
        <w:t xml:space="preserve"> </w:t>
      </w:r>
      <w:r w:rsidRPr="00B004EE">
        <w:rPr>
          <w:rFonts w:ascii="Tahoma" w:hAnsi="Tahoma" w:cs="Tahoma"/>
          <w:sz w:val="20"/>
          <w:szCs w:val="20"/>
        </w:rPr>
        <w:t>les</w:t>
      </w:r>
      <w:r w:rsidR="00DB1635" w:rsidRPr="00B004EE">
        <w:rPr>
          <w:rFonts w:ascii="Tahoma" w:hAnsi="Tahoma" w:cs="Tahoma"/>
          <w:spacing w:val="-28"/>
          <w:sz w:val="20"/>
          <w:szCs w:val="20"/>
        </w:rPr>
        <w:t xml:space="preserve"> </w:t>
      </w:r>
      <w:r w:rsidRPr="00B004EE">
        <w:rPr>
          <w:rFonts w:ascii="Tahoma" w:hAnsi="Tahoma" w:cs="Tahoma"/>
          <w:sz w:val="20"/>
          <w:szCs w:val="20"/>
        </w:rPr>
        <w:t>méthodes</w:t>
      </w:r>
      <w:r w:rsidR="00DB1635" w:rsidRPr="00B004EE">
        <w:rPr>
          <w:rFonts w:ascii="Tahoma" w:hAnsi="Tahoma" w:cs="Tahoma"/>
          <w:spacing w:val="-28"/>
          <w:sz w:val="20"/>
          <w:szCs w:val="20"/>
        </w:rPr>
        <w:t xml:space="preserve"> </w:t>
      </w:r>
      <w:r w:rsidRPr="00B004EE">
        <w:rPr>
          <w:rFonts w:ascii="Tahoma" w:hAnsi="Tahoma" w:cs="Tahoma"/>
          <w:sz w:val="20"/>
          <w:szCs w:val="20"/>
        </w:rPr>
        <w:t>de</w:t>
      </w:r>
      <w:r w:rsidR="00DB1635" w:rsidRPr="00B004EE">
        <w:rPr>
          <w:rFonts w:ascii="Tahoma" w:hAnsi="Tahoma" w:cs="Tahoma"/>
          <w:spacing w:val="-28"/>
          <w:sz w:val="20"/>
          <w:szCs w:val="20"/>
        </w:rPr>
        <w:t xml:space="preserve"> </w:t>
      </w:r>
      <w:r w:rsidRPr="00B004EE">
        <w:rPr>
          <w:rFonts w:ascii="Tahoma" w:hAnsi="Tahoma" w:cs="Tahoma"/>
          <w:sz w:val="20"/>
          <w:szCs w:val="20"/>
        </w:rPr>
        <w:t>pêche</w:t>
      </w:r>
      <w:r w:rsidR="00DB1635" w:rsidRPr="00B004EE">
        <w:rPr>
          <w:rFonts w:ascii="Tahoma" w:hAnsi="Tahoma" w:cs="Tahoma"/>
          <w:spacing w:val="-28"/>
          <w:sz w:val="20"/>
          <w:szCs w:val="20"/>
        </w:rPr>
        <w:t xml:space="preserve"> </w:t>
      </w:r>
      <w:r w:rsidRPr="00B004EE">
        <w:rPr>
          <w:rFonts w:ascii="Tahoma" w:hAnsi="Tahoma" w:cs="Tahoma"/>
          <w:sz w:val="20"/>
          <w:szCs w:val="20"/>
        </w:rPr>
        <w:t>utilisées</w:t>
      </w:r>
      <w:r w:rsidR="00DB1635" w:rsidRPr="00B004EE">
        <w:rPr>
          <w:rFonts w:ascii="Tahoma" w:hAnsi="Tahoma" w:cs="Tahoma"/>
          <w:spacing w:val="-28"/>
          <w:sz w:val="20"/>
          <w:szCs w:val="20"/>
        </w:rPr>
        <w:t xml:space="preserve"> </w:t>
      </w:r>
      <w:r w:rsidRPr="00B004EE">
        <w:rPr>
          <w:rFonts w:ascii="Tahoma" w:hAnsi="Tahoma" w:cs="Tahoma"/>
          <w:sz w:val="20"/>
          <w:szCs w:val="20"/>
        </w:rPr>
        <w:t>ou</w:t>
      </w:r>
      <w:r w:rsidR="00DB1635" w:rsidRPr="00B004EE">
        <w:rPr>
          <w:rFonts w:ascii="Tahoma" w:hAnsi="Tahoma" w:cs="Tahoma"/>
          <w:spacing w:val="-28"/>
          <w:sz w:val="20"/>
          <w:szCs w:val="20"/>
        </w:rPr>
        <w:t xml:space="preserve"> </w:t>
      </w:r>
      <w:r w:rsidRPr="00B004EE">
        <w:rPr>
          <w:rFonts w:ascii="Tahoma" w:hAnsi="Tahoma" w:cs="Tahoma"/>
          <w:sz w:val="20"/>
          <w:szCs w:val="20"/>
        </w:rPr>
        <w:t>tout</w:t>
      </w:r>
      <w:r w:rsidR="00DB1635" w:rsidRPr="00B004EE">
        <w:rPr>
          <w:rFonts w:ascii="Tahoma" w:hAnsi="Tahoma" w:cs="Tahoma"/>
          <w:spacing w:val="-28"/>
          <w:sz w:val="20"/>
          <w:szCs w:val="20"/>
        </w:rPr>
        <w:t xml:space="preserve"> </w:t>
      </w:r>
      <w:r w:rsidRPr="00B004EE">
        <w:rPr>
          <w:rFonts w:ascii="Tahoma" w:hAnsi="Tahoma" w:cs="Tahoma"/>
          <w:sz w:val="20"/>
          <w:szCs w:val="20"/>
        </w:rPr>
        <w:t>autre</w:t>
      </w:r>
      <w:r w:rsidR="00DB1635" w:rsidRPr="00B004EE">
        <w:rPr>
          <w:rFonts w:ascii="Tahoma" w:hAnsi="Tahoma" w:cs="Tahoma"/>
          <w:spacing w:val="-28"/>
          <w:sz w:val="20"/>
          <w:szCs w:val="20"/>
        </w:rPr>
        <w:t xml:space="preserve"> </w:t>
      </w:r>
      <w:r w:rsidRPr="00B004EE">
        <w:rPr>
          <w:rFonts w:ascii="Tahoma" w:hAnsi="Tahoma" w:cs="Tahoma"/>
          <w:sz w:val="20"/>
          <w:szCs w:val="20"/>
        </w:rPr>
        <w:t>renseignement</w:t>
      </w:r>
      <w:r w:rsidR="00DB1635" w:rsidRPr="00B004EE">
        <w:rPr>
          <w:rFonts w:ascii="Tahoma" w:hAnsi="Tahoma" w:cs="Tahoma"/>
          <w:spacing w:val="-28"/>
          <w:sz w:val="20"/>
          <w:szCs w:val="20"/>
        </w:rPr>
        <w:t xml:space="preserve"> </w:t>
      </w:r>
      <w:r w:rsidRPr="00B004EE">
        <w:rPr>
          <w:rFonts w:ascii="Tahoma" w:hAnsi="Tahoma" w:cs="Tahoma"/>
          <w:sz w:val="20"/>
          <w:szCs w:val="20"/>
        </w:rPr>
        <w:t>utile.</w:t>
      </w:r>
    </w:p>
    <w:p w14:paraId="40872A3D" w14:textId="77777777" w:rsidR="001E7C3C" w:rsidRPr="00B004EE" w:rsidRDefault="001E7C3C" w:rsidP="00B004EE">
      <w:pPr>
        <w:ind w:right="164" w:hanging="4"/>
        <w:jc w:val="center"/>
        <w:rPr>
          <w:rFonts w:ascii="Tahoma" w:hAnsi="Tahoma" w:cs="Tahoma"/>
          <w:b/>
          <w:spacing w:val="1"/>
          <w:w w:val="113"/>
          <w:sz w:val="20"/>
          <w:szCs w:val="20"/>
        </w:rPr>
      </w:pPr>
    </w:p>
    <w:p w14:paraId="1C6C32A1" w14:textId="59911595" w:rsidR="001E7C3C" w:rsidRPr="00B004EE" w:rsidRDefault="001E7C3C" w:rsidP="00B004EE">
      <w:pPr>
        <w:ind w:right="164" w:hanging="4"/>
        <w:jc w:val="center"/>
        <w:rPr>
          <w:rFonts w:ascii="Tahoma" w:hAnsi="Tahoma" w:cs="Tahoma"/>
          <w:b/>
          <w:spacing w:val="1"/>
          <w:w w:val="113"/>
          <w:sz w:val="20"/>
          <w:szCs w:val="20"/>
        </w:rPr>
      </w:pPr>
      <w:bookmarkStart w:id="73" w:name="_Toc16279069"/>
      <w:bookmarkStart w:id="74" w:name="_Toc16279438"/>
      <w:r w:rsidRPr="00B004EE">
        <w:rPr>
          <w:rFonts w:ascii="Tahoma" w:hAnsi="Tahoma" w:cs="Tahoma"/>
          <w:b/>
          <w:spacing w:val="1"/>
          <w:w w:val="113"/>
          <w:sz w:val="20"/>
          <w:szCs w:val="20"/>
        </w:rPr>
        <w:t>Section</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8</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De</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la</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déclaration</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à</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l'entrée</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et</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à</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la</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sortie</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des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eaux</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sous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juridiction</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mauritanienne</w:t>
      </w:r>
      <w:bookmarkEnd w:id="73"/>
      <w:bookmarkEnd w:id="74"/>
    </w:p>
    <w:p w14:paraId="7DDEF8CA" w14:textId="77777777" w:rsidR="001E7C3C" w:rsidRPr="00B004EE" w:rsidRDefault="001E7C3C" w:rsidP="00B004EE">
      <w:pPr>
        <w:ind w:right="164" w:hanging="4"/>
        <w:jc w:val="center"/>
        <w:rPr>
          <w:rFonts w:ascii="Tahoma" w:hAnsi="Tahoma" w:cs="Tahoma"/>
          <w:bCs/>
          <w:sz w:val="20"/>
          <w:szCs w:val="20"/>
        </w:rPr>
      </w:pPr>
    </w:p>
    <w:p w14:paraId="04F76B62" w14:textId="328BD6CA" w:rsidR="001E7C3C" w:rsidRPr="00B004EE" w:rsidRDefault="001E7C3C" w:rsidP="00B004EE">
      <w:pPr>
        <w:pStyle w:val="Corpsdetexte"/>
        <w:ind w:right="161"/>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46</w:t>
      </w:r>
      <w:r w:rsidR="00DB1635" w:rsidRPr="00B004EE">
        <w:rPr>
          <w:rFonts w:ascii="Tahoma" w:hAnsi="Tahoma" w:cs="Tahoma"/>
          <w:bCs/>
          <w:sz w:val="20"/>
          <w:szCs w:val="20"/>
        </w:rPr>
        <w:t xml:space="preserve"> </w:t>
      </w:r>
      <w:r w:rsidRPr="00B004EE">
        <w:rPr>
          <w:rFonts w:ascii="Tahoma" w:hAnsi="Tahoma" w:cs="Tahoma"/>
          <w:bCs/>
          <w:sz w:val="20"/>
          <w:szCs w:val="20"/>
        </w:rPr>
        <w:t>:</w:t>
      </w:r>
      <w:r w:rsidR="00DB1635" w:rsidRPr="00B004EE">
        <w:rPr>
          <w:rFonts w:ascii="Tahoma" w:hAnsi="Tahoma" w:cs="Tahoma"/>
          <w:b/>
          <w:spacing w:val="-6"/>
          <w:sz w:val="20"/>
          <w:szCs w:val="20"/>
        </w:rPr>
        <w:t xml:space="preserve"> </w:t>
      </w:r>
      <w:r w:rsidRPr="00B004EE">
        <w:rPr>
          <w:rFonts w:ascii="Tahoma" w:hAnsi="Tahoma" w:cs="Tahoma"/>
          <w:sz w:val="20"/>
          <w:szCs w:val="20"/>
        </w:rPr>
        <w:t>Les</w:t>
      </w:r>
      <w:r w:rsidR="00DB1635" w:rsidRPr="00B004EE">
        <w:rPr>
          <w:rFonts w:ascii="Tahoma" w:hAnsi="Tahoma" w:cs="Tahoma"/>
          <w:spacing w:val="-10"/>
          <w:sz w:val="20"/>
          <w:szCs w:val="20"/>
        </w:rPr>
        <w:t xml:space="preserve"> </w:t>
      </w:r>
      <w:r w:rsidRPr="00B004EE">
        <w:rPr>
          <w:rFonts w:ascii="Tahoma" w:hAnsi="Tahoma" w:cs="Tahoma"/>
          <w:sz w:val="20"/>
          <w:szCs w:val="20"/>
        </w:rPr>
        <w:t>navires</w:t>
      </w:r>
      <w:r w:rsidR="00DB1635" w:rsidRPr="00B004EE">
        <w:rPr>
          <w:rFonts w:ascii="Tahoma" w:hAnsi="Tahoma" w:cs="Tahoma"/>
          <w:spacing w:val="-11"/>
          <w:sz w:val="20"/>
          <w:szCs w:val="20"/>
        </w:rPr>
        <w:t xml:space="preserve"> </w:t>
      </w:r>
      <w:r w:rsidRPr="00B004EE">
        <w:rPr>
          <w:rFonts w:ascii="Tahoma" w:hAnsi="Tahoma" w:cs="Tahoma"/>
          <w:sz w:val="20"/>
          <w:szCs w:val="20"/>
        </w:rPr>
        <w:t>de</w:t>
      </w:r>
      <w:r w:rsidR="00DB1635" w:rsidRPr="00B004EE">
        <w:rPr>
          <w:rFonts w:ascii="Tahoma" w:hAnsi="Tahoma" w:cs="Tahoma"/>
          <w:spacing w:val="-10"/>
          <w:sz w:val="20"/>
          <w:szCs w:val="20"/>
        </w:rPr>
        <w:t xml:space="preserve"> </w:t>
      </w:r>
      <w:r w:rsidRPr="00B004EE">
        <w:rPr>
          <w:rFonts w:ascii="Tahoma" w:hAnsi="Tahoma" w:cs="Tahoma"/>
          <w:sz w:val="20"/>
          <w:szCs w:val="20"/>
        </w:rPr>
        <w:t>pêche</w:t>
      </w:r>
      <w:r w:rsidR="00DB1635" w:rsidRPr="00B004EE">
        <w:rPr>
          <w:rFonts w:ascii="Tahoma" w:hAnsi="Tahoma" w:cs="Tahoma"/>
          <w:spacing w:val="-11"/>
          <w:sz w:val="20"/>
          <w:szCs w:val="20"/>
        </w:rPr>
        <w:t xml:space="preserve"> </w:t>
      </w:r>
      <w:r w:rsidRPr="00B004EE">
        <w:rPr>
          <w:rFonts w:ascii="Tahoma" w:hAnsi="Tahoma" w:cs="Tahoma"/>
          <w:sz w:val="20"/>
          <w:szCs w:val="20"/>
        </w:rPr>
        <w:t>étrangers</w:t>
      </w:r>
      <w:r w:rsidR="00DB1635" w:rsidRPr="00B004EE">
        <w:rPr>
          <w:rFonts w:ascii="Tahoma" w:hAnsi="Tahoma" w:cs="Tahoma"/>
          <w:spacing w:val="-12"/>
          <w:sz w:val="20"/>
          <w:szCs w:val="20"/>
        </w:rPr>
        <w:t xml:space="preserve"> </w:t>
      </w:r>
      <w:r w:rsidRPr="00B004EE">
        <w:rPr>
          <w:rFonts w:ascii="Tahoma" w:hAnsi="Tahoma" w:cs="Tahoma"/>
          <w:sz w:val="20"/>
          <w:szCs w:val="20"/>
        </w:rPr>
        <w:t>autorisés</w:t>
      </w:r>
      <w:r w:rsidR="00DB1635" w:rsidRPr="00B004EE">
        <w:rPr>
          <w:rFonts w:ascii="Tahoma" w:hAnsi="Tahoma" w:cs="Tahoma"/>
          <w:spacing w:val="-12"/>
          <w:sz w:val="20"/>
          <w:szCs w:val="20"/>
        </w:rPr>
        <w:t xml:space="preserve"> </w:t>
      </w:r>
      <w:r w:rsidRPr="00B004EE">
        <w:rPr>
          <w:rFonts w:ascii="Tahoma" w:hAnsi="Tahoma" w:cs="Tahoma"/>
          <w:sz w:val="20"/>
          <w:szCs w:val="20"/>
        </w:rPr>
        <w:t>à</w:t>
      </w:r>
      <w:r w:rsidR="00DB1635" w:rsidRPr="00B004EE">
        <w:rPr>
          <w:rFonts w:ascii="Tahoma" w:hAnsi="Tahoma" w:cs="Tahoma"/>
          <w:spacing w:val="-10"/>
          <w:sz w:val="20"/>
          <w:szCs w:val="20"/>
        </w:rPr>
        <w:t xml:space="preserve"> </w:t>
      </w:r>
      <w:r w:rsidRPr="00B004EE">
        <w:rPr>
          <w:rFonts w:ascii="Tahoma" w:hAnsi="Tahoma" w:cs="Tahoma"/>
          <w:sz w:val="20"/>
          <w:szCs w:val="20"/>
        </w:rPr>
        <w:t>pêcher</w:t>
      </w:r>
      <w:r w:rsidR="00DB1635" w:rsidRPr="00B004EE">
        <w:rPr>
          <w:rFonts w:ascii="Tahoma" w:hAnsi="Tahoma" w:cs="Tahoma"/>
          <w:spacing w:val="-12"/>
          <w:sz w:val="20"/>
          <w:szCs w:val="20"/>
        </w:rPr>
        <w:t xml:space="preserve"> </w:t>
      </w:r>
      <w:r w:rsidRPr="00B004EE">
        <w:rPr>
          <w:rFonts w:ascii="Tahoma" w:hAnsi="Tahoma" w:cs="Tahoma"/>
          <w:sz w:val="20"/>
          <w:szCs w:val="20"/>
        </w:rPr>
        <w:t>dans</w:t>
      </w:r>
      <w:r w:rsidR="00DB1635" w:rsidRPr="00B004EE">
        <w:rPr>
          <w:rFonts w:ascii="Tahoma" w:hAnsi="Tahoma" w:cs="Tahoma"/>
          <w:spacing w:val="-11"/>
          <w:sz w:val="20"/>
          <w:szCs w:val="20"/>
        </w:rPr>
        <w:t xml:space="preserve"> </w:t>
      </w:r>
      <w:r w:rsidRPr="00B004EE">
        <w:rPr>
          <w:rFonts w:ascii="Tahoma" w:hAnsi="Tahoma" w:cs="Tahoma"/>
          <w:sz w:val="20"/>
          <w:szCs w:val="20"/>
        </w:rPr>
        <w:t>les</w:t>
      </w:r>
      <w:r w:rsidR="00DB1635" w:rsidRPr="00B004EE">
        <w:rPr>
          <w:rFonts w:ascii="Tahoma" w:hAnsi="Tahoma" w:cs="Tahoma"/>
          <w:spacing w:val="-11"/>
          <w:sz w:val="20"/>
          <w:szCs w:val="20"/>
        </w:rPr>
        <w:t xml:space="preserve"> </w:t>
      </w:r>
      <w:r w:rsidRPr="00B004EE">
        <w:rPr>
          <w:rFonts w:ascii="Tahoma" w:hAnsi="Tahoma" w:cs="Tahoma"/>
          <w:sz w:val="20"/>
          <w:szCs w:val="20"/>
        </w:rPr>
        <w:t>eaux</w:t>
      </w:r>
      <w:r w:rsidR="00DB1635" w:rsidRPr="00B004EE">
        <w:rPr>
          <w:rFonts w:ascii="Tahoma" w:hAnsi="Tahoma" w:cs="Tahoma"/>
          <w:spacing w:val="-10"/>
          <w:sz w:val="20"/>
          <w:szCs w:val="20"/>
        </w:rPr>
        <w:t xml:space="preserve"> </w:t>
      </w:r>
      <w:r w:rsidRPr="00B004EE">
        <w:rPr>
          <w:rFonts w:ascii="Tahoma" w:hAnsi="Tahoma" w:cs="Tahoma"/>
          <w:sz w:val="20"/>
          <w:szCs w:val="20"/>
        </w:rPr>
        <w:t>sous</w:t>
      </w:r>
      <w:r w:rsidR="00DB1635" w:rsidRPr="00B004EE">
        <w:rPr>
          <w:rFonts w:ascii="Tahoma" w:hAnsi="Tahoma" w:cs="Tahoma"/>
          <w:w w:val="94"/>
          <w:sz w:val="20"/>
          <w:szCs w:val="20"/>
        </w:rPr>
        <w:t xml:space="preserve"> </w:t>
      </w:r>
      <w:r w:rsidRPr="00B004EE">
        <w:rPr>
          <w:rFonts w:ascii="Tahoma" w:hAnsi="Tahoma" w:cs="Tahoma"/>
          <w:sz w:val="20"/>
          <w:szCs w:val="20"/>
        </w:rPr>
        <w:t>juridiction</w:t>
      </w:r>
      <w:r w:rsidR="00DB1635" w:rsidRPr="00B004EE">
        <w:rPr>
          <w:rFonts w:ascii="Tahoma" w:hAnsi="Tahoma" w:cs="Tahoma"/>
          <w:sz w:val="20"/>
          <w:szCs w:val="20"/>
        </w:rPr>
        <w:t xml:space="preserve"> </w:t>
      </w:r>
      <w:r w:rsidRPr="00B004EE">
        <w:rPr>
          <w:rFonts w:ascii="Tahoma" w:hAnsi="Tahoma" w:cs="Tahoma"/>
          <w:sz w:val="20"/>
          <w:szCs w:val="20"/>
        </w:rPr>
        <w:t>mauritanienne</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tenus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communiquer</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pacing w:val="40"/>
          <w:sz w:val="20"/>
          <w:szCs w:val="20"/>
        </w:rPr>
        <w:t xml:space="preserve"> </w:t>
      </w:r>
      <w:r w:rsidRPr="00B004EE">
        <w:rPr>
          <w:rFonts w:ascii="Tahoma" w:hAnsi="Tahoma" w:cs="Tahoma"/>
          <w:sz w:val="20"/>
          <w:szCs w:val="20"/>
        </w:rPr>
        <w:t>l'administration</w:t>
      </w:r>
      <w:r w:rsidR="00DB1635" w:rsidRPr="00B004EE">
        <w:rPr>
          <w:rFonts w:ascii="Tahoma" w:hAnsi="Tahoma" w:cs="Tahoma"/>
          <w:w w:val="93"/>
          <w:sz w:val="20"/>
          <w:szCs w:val="20"/>
        </w:rPr>
        <w:t xml:space="preserve"> </w:t>
      </w:r>
      <w:r w:rsidRPr="00B004EE">
        <w:rPr>
          <w:rFonts w:ascii="Tahoma" w:hAnsi="Tahoma" w:cs="Tahoma"/>
          <w:sz w:val="20"/>
          <w:szCs w:val="20"/>
        </w:rPr>
        <w:t>compétente</w:t>
      </w:r>
      <w:r w:rsidR="00DB1635" w:rsidRPr="00B004EE">
        <w:rPr>
          <w:rFonts w:ascii="Tahoma" w:hAnsi="Tahoma" w:cs="Tahoma"/>
          <w:spacing w:val="-18"/>
          <w:sz w:val="20"/>
          <w:szCs w:val="20"/>
        </w:rPr>
        <w:t xml:space="preserve"> </w:t>
      </w:r>
      <w:r w:rsidRPr="00B004EE">
        <w:rPr>
          <w:rFonts w:ascii="Tahoma" w:hAnsi="Tahoma" w:cs="Tahoma"/>
          <w:sz w:val="20"/>
          <w:szCs w:val="20"/>
        </w:rPr>
        <w:t>et</w:t>
      </w:r>
      <w:r w:rsidR="00DB1635" w:rsidRPr="00B004EE">
        <w:rPr>
          <w:rFonts w:ascii="Tahoma" w:hAnsi="Tahoma" w:cs="Tahoma"/>
          <w:spacing w:val="-18"/>
          <w:sz w:val="20"/>
          <w:szCs w:val="20"/>
        </w:rPr>
        <w:t xml:space="preserve"> </w:t>
      </w:r>
      <w:r w:rsidRPr="00B004EE">
        <w:rPr>
          <w:rFonts w:ascii="Tahoma" w:hAnsi="Tahoma" w:cs="Tahoma"/>
          <w:sz w:val="20"/>
          <w:szCs w:val="20"/>
        </w:rPr>
        <w:t>selon</w:t>
      </w:r>
      <w:r w:rsidR="00DB1635" w:rsidRPr="00B004EE">
        <w:rPr>
          <w:rFonts w:ascii="Tahoma" w:hAnsi="Tahoma" w:cs="Tahoma"/>
          <w:spacing w:val="-18"/>
          <w:sz w:val="20"/>
          <w:szCs w:val="20"/>
        </w:rPr>
        <w:t xml:space="preserve"> </w:t>
      </w:r>
      <w:r w:rsidRPr="00B004EE">
        <w:rPr>
          <w:rFonts w:ascii="Tahoma" w:hAnsi="Tahoma" w:cs="Tahoma"/>
          <w:sz w:val="20"/>
          <w:szCs w:val="20"/>
        </w:rPr>
        <w:t>les</w:t>
      </w:r>
      <w:r w:rsidR="00DB1635" w:rsidRPr="00B004EE">
        <w:rPr>
          <w:rFonts w:ascii="Tahoma" w:hAnsi="Tahoma" w:cs="Tahoma"/>
          <w:spacing w:val="-18"/>
          <w:sz w:val="20"/>
          <w:szCs w:val="20"/>
        </w:rPr>
        <w:t xml:space="preserve"> </w:t>
      </w:r>
      <w:r w:rsidRPr="00B004EE">
        <w:rPr>
          <w:rFonts w:ascii="Tahoma" w:hAnsi="Tahoma" w:cs="Tahoma"/>
          <w:sz w:val="20"/>
          <w:szCs w:val="20"/>
        </w:rPr>
        <w:t>modalités</w:t>
      </w:r>
      <w:r w:rsidR="00DB1635" w:rsidRPr="00B004EE">
        <w:rPr>
          <w:rFonts w:ascii="Tahoma" w:hAnsi="Tahoma" w:cs="Tahoma"/>
          <w:spacing w:val="-18"/>
          <w:sz w:val="20"/>
          <w:szCs w:val="20"/>
        </w:rPr>
        <w:t xml:space="preserve"> </w:t>
      </w:r>
      <w:r w:rsidRPr="00B004EE">
        <w:rPr>
          <w:rFonts w:ascii="Tahoma" w:hAnsi="Tahoma" w:cs="Tahoma"/>
          <w:sz w:val="20"/>
          <w:szCs w:val="20"/>
        </w:rPr>
        <w:t>fixées</w:t>
      </w:r>
      <w:r w:rsidR="00DB1635" w:rsidRPr="00B004EE">
        <w:rPr>
          <w:rFonts w:ascii="Tahoma" w:hAnsi="Tahoma" w:cs="Tahoma"/>
          <w:spacing w:val="-19"/>
          <w:sz w:val="20"/>
          <w:szCs w:val="20"/>
        </w:rPr>
        <w:t xml:space="preserve"> </w:t>
      </w:r>
      <w:r w:rsidRPr="00B004EE">
        <w:rPr>
          <w:rFonts w:ascii="Tahoma" w:hAnsi="Tahoma" w:cs="Tahoma"/>
          <w:sz w:val="20"/>
          <w:szCs w:val="20"/>
        </w:rPr>
        <w:t>par</w:t>
      </w:r>
      <w:r w:rsidR="00DB1635" w:rsidRPr="00B004EE">
        <w:rPr>
          <w:rFonts w:ascii="Tahoma" w:hAnsi="Tahoma" w:cs="Tahoma"/>
          <w:spacing w:val="-19"/>
          <w:sz w:val="20"/>
          <w:szCs w:val="20"/>
        </w:rPr>
        <w:t xml:space="preserve"> </w:t>
      </w:r>
      <w:r w:rsidRPr="00B004EE">
        <w:rPr>
          <w:rFonts w:ascii="Tahoma" w:hAnsi="Tahoma" w:cs="Tahoma"/>
          <w:sz w:val="20"/>
          <w:szCs w:val="20"/>
        </w:rPr>
        <w:t>arrêté</w:t>
      </w:r>
      <w:r w:rsidR="00DB1635" w:rsidRPr="00B004EE">
        <w:rPr>
          <w:rFonts w:ascii="Tahoma" w:hAnsi="Tahoma" w:cs="Tahoma"/>
          <w:spacing w:val="-19"/>
          <w:sz w:val="20"/>
          <w:szCs w:val="20"/>
        </w:rPr>
        <w:t xml:space="preserve"> </w:t>
      </w:r>
      <w:r w:rsidRPr="00B004EE">
        <w:rPr>
          <w:rFonts w:ascii="Tahoma" w:hAnsi="Tahoma" w:cs="Tahoma"/>
          <w:sz w:val="20"/>
          <w:szCs w:val="20"/>
        </w:rPr>
        <w:t>du</w:t>
      </w:r>
      <w:r w:rsidR="00DB1635" w:rsidRPr="00B004EE">
        <w:rPr>
          <w:rFonts w:ascii="Tahoma" w:hAnsi="Tahoma" w:cs="Tahoma"/>
          <w:spacing w:val="-17"/>
          <w:sz w:val="20"/>
          <w:szCs w:val="20"/>
        </w:rPr>
        <w:t xml:space="preserve"> </w:t>
      </w:r>
      <w:r w:rsidRPr="00B004EE">
        <w:rPr>
          <w:rFonts w:ascii="Tahoma" w:hAnsi="Tahoma" w:cs="Tahoma"/>
          <w:sz w:val="20"/>
          <w:szCs w:val="20"/>
        </w:rPr>
        <w:t>ministre</w:t>
      </w:r>
      <w:r w:rsidR="00DB1635" w:rsidRPr="00B004EE">
        <w:rPr>
          <w:rFonts w:ascii="Tahoma" w:hAnsi="Tahoma" w:cs="Tahoma"/>
          <w:spacing w:val="-19"/>
          <w:sz w:val="20"/>
          <w:szCs w:val="20"/>
        </w:rPr>
        <w:t xml:space="preserve"> </w:t>
      </w:r>
      <w:r w:rsidRPr="00B004EE">
        <w:rPr>
          <w:rFonts w:ascii="Tahoma" w:hAnsi="Tahoma" w:cs="Tahoma"/>
          <w:sz w:val="20"/>
          <w:szCs w:val="20"/>
        </w:rPr>
        <w:t>chargé</w:t>
      </w:r>
      <w:r w:rsidR="00DB1635" w:rsidRPr="00B004EE">
        <w:rPr>
          <w:rFonts w:ascii="Tahoma" w:hAnsi="Tahoma" w:cs="Tahoma"/>
          <w:spacing w:val="-19"/>
          <w:sz w:val="20"/>
          <w:szCs w:val="20"/>
        </w:rPr>
        <w:t xml:space="preserve"> </w:t>
      </w:r>
      <w:r w:rsidRPr="00B004EE">
        <w:rPr>
          <w:rFonts w:ascii="Tahoma" w:hAnsi="Tahoma" w:cs="Tahoma"/>
          <w:sz w:val="20"/>
          <w:szCs w:val="20"/>
        </w:rPr>
        <w:t>des</w:t>
      </w:r>
      <w:r w:rsidR="00DB1635" w:rsidRPr="00B004EE">
        <w:rPr>
          <w:rFonts w:ascii="Tahoma" w:hAnsi="Tahoma" w:cs="Tahoma"/>
          <w:spacing w:val="-19"/>
          <w:sz w:val="20"/>
          <w:szCs w:val="20"/>
        </w:rPr>
        <w:t xml:space="preserve"> </w:t>
      </w:r>
      <w:r w:rsidRPr="00B004EE">
        <w:rPr>
          <w:rFonts w:ascii="Tahoma" w:hAnsi="Tahoma" w:cs="Tahoma"/>
          <w:sz w:val="20"/>
          <w:szCs w:val="20"/>
        </w:rPr>
        <w:t>pêches</w:t>
      </w:r>
      <w:r w:rsidR="002A7758"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informations</w:t>
      </w:r>
      <w:r w:rsidR="00DB1635" w:rsidRPr="00B004EE">
        <w:rPr>
          <w:rFonts w:ascii="Tahoma" w:hAnsi="Tahoma" w:cs="Tahoma"/>
          <w:sz w:val="20"/>
          <w:szCs w:val="20"/>
        </w:rPr>
        <w:t xml:space="preserve"> </w:t>
      </w:r>
      <w:r w:rsidRPr="00B004EE">
        <w:rPr>
          <w:rFonts w:ascii="Tahoma" w:hAnsi="Tahoma" w:cs="Tahoma"/>
          <w:sz w:val="20"/>
          <w:szCs w:val="20"/>
        </w:rPr>
        <w:t>indiquant</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moment</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lieu</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leurs</w:t>
      </w:r>
      <w:r w:rsidR="00DB1635" w:rsidRPr="00B004EE">
        <w:rPr>
          <w:rFonts w:ascii="Tahoma" w:hAnsi="Tahoma" w:cs="Tahoma"/>
          <w:sz w:val="20"/>
          <w:szCs w:val="20"/>
        </w:rPr>
        <w:t xml:space="preserve"> </w:t>
      </w:r>
      <w:r w:rsidRPr="00B004EE">
        <w:rPr>
          <w:rFonts w:ascii="Tahoma" w:hAnsi="Tahoma" w:cs="Tahoma"/>
          <w:sz w:val="20"/>
          <w:szCs w:val="20"/>
        </w:rPr>
        <w:t>entrée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sortie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pacing w:val="12"/>
          <w:sz w:val="20"/>
          <w:szCs w:val="20"/>
        </w:rPr>
        <w:t xml:space="preserve"> </w:t>
      </w:r>
      <w:r w:rsidRPr="00B004EE">
        <w:rPr>
          <w:rFonts w:ascii="Tahoma" w:hAnsi="Tahoma" w:cs="Tahoma"/>
          <w:sz w:val="20"/>
          <w:szCs w:val="20"/>
        </w:rPr>
        <w:t>eaux</w:t>
      </w:r>
      <w:r w:rsidR="00DB1635" w:rsidRPr="00B004EE">
        <w:rPr>
          <w:rFonts w:ascii="Tahoma" w:hAnsi="Tahoma" w:cs="Tahoma"/>
          <w:w w:val="91"/>
          <w:sz w:val="20"/>
          <w:szCs w:val="20"/>
        </w:rPr>
        <w:t xml:space="preserve"> </w:t>
      </w:r>
      <w:r w:rsidRPr="00B004EE">
        <w:rPr>
          <w:rFonts w:ascii="Tahoma" w:hAnsi="Tahoma" w:cs="Tahoma"/>
          <w:sz w:val="20"/>
          <w:szCs w:val="20"/>
        </w:rPr>
        <w:t>sous</w:t>
      </w:r>
      <w:r w:rsidR="00DB1635" w:rsidRPr="00B004EE">
        <w:rPr>
          <w:rFonts w:ascii="Tahoma" w:hAnsi="Tahoma" w:cs="Tahoma"/>
          <w:sz w:val="20"/>
          <w:szCs w:val="20"/>
        </w:rPr>
        <w:t xml:space="preserve"> </w:t>
      </w:r>
      <w:r w:rsidRPr="00B004EE">
        <w:rPr>
          <w:rFonts w:ascii="Tahoma" w:hAnsi="Tahoma" w:cs="Tahoma"/>
          <w:sz w:val="20"/>
          <w:szCs w:val="20"/>
        </w:rPr>
        <w:t>juridiction</w:t>
      </w:r>
      <w:r w:rsidR="00DB1635" w:rsidRPr="00B004EE">
        <w:rPr>
          <w:rFonts w:ascii="Tahoma" w:hAnsi="Tahoma" w:cs="Tahoma"/>
          <w:sz w:val="20"/>
          <w:szCs w:val="20"/>
        </w:rPr>
        <w:t xml:space="preserve"> </w:t>
      </w:r>
      <w:r w:rsidRPr="00B004EE">
        <w:rPr>
          <w:rFonts w:ascii="Tahoma" w:hAnsi="Tahoma" w:cs="Tahoma"/>
          <w:sz w:val="20"/>
          <w:szCs w:val="20"/>
        </w:rPr>
        <w:t>mauritanienne,</w:t>
      </w:r>
      <w:r w:rsidR="00DB1635" w:rsidRPr="00B004EE">
        <w:rPr>
          <w:rFonts w:ascii="Tahoma" w:hAnsi="Tahoma" w:cs="Tahoma"/>
          <w:sz w:val="20"/>
          <w:szCs w:val="20"/>
        </w:rPr>
        <w:t xml:space="preserve"> </w:t>
      </w:r>
      <w:r w:rsidRPr="00B004EE">
        <w:rPr>
          <w:rFonts w:ascii="Tahoma" w:hAnsi="Tahoma" w:cs="Tahoma"/>
          <w:sz w:val="20"/>
          <w:szCs w:val="20"/>
        </w:rPr>
        <w:t>leur</w:t>
      </w:r>
      <w:r w:rsidR="00DB1635" w:rsidRPr="00B004EE">
        <w:rPr>
          <w:rFonts w:ascii="Tahoma" w:hAnsi="Tahoma" w:cs="Tahoma"/>
          <w:sz w:val="20"/>
          <w:szCs w:val="20"/>
        </w:rPr>
        <w:t xml:space="preserve"> </w:t>
      </w:r>
      <w:r w:rsidRPr="00B004EE">
        <w:rPr>
          <w:rFonts w:ascii="Tahoma" w:hAnsi="Tahoma" w:cs="Tahoma"/>
          <w:sz w:val="20"/>
          <w:szCs w:val="20"/>
        </w:rPr>
        <w:t>position</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intervalles</w:t>
      </w:r>
      <w:r w:rsidR="00DB1635" w:rsidRPr="00B004EE">
        <w:rPr>
          <w:rFonts w:ascii="Tahoma" w:hAnsi="Tahoma" w:cs="Tahoma"/>
          <w:sz w:val="20"/>
          <w:szCs w:val="20"/>
        </w:rPr>
        <w:t xml:space="preserve"> </w:t>
      </w:r>
      <w:r w:rsidRPr="00B004EE">
        <w:rPr>
          <w:rFonts w:ascii="Tahoma" w:hAnsi="Tahoma" w:cs="Tahoma"/>
          <w:sz w:val="20"/>
          <w:szCs w:val="20"/>
        </w:rPr>
        <w:t>réguliers,</w:t>
      </w:r>
      <w:r w:rsidR="00DB1635" w:rsidRPr="00B004EE">
        <w:rPr>
          <w:rFonts w:ascii="Tahoma" w:hAnsi="Tahoma" w:cs="Tahoma"/>
          <w:sz w:val="20"/>
          <w:szCs w:val="20"/>
        </w:rPr>
        <w:t xml:space="preserve"> </w:t>
      </w:r>
      <w:r w:rsidRPr="00B004EE">
        <w:rPr>
          <w:rFonts w:ascii="Tahoma" w:hAnsi="Tahoma" w:cs="Tahoma"/>
          <w:sz w:val="20"/>
          <w:szCs w:val="20"/>
        </w:rPr>
        <w:t>leurs</w:t>
      </w:r>
      <w:r w:rsidR="00DB1635" w:rsidRPr="00B004EE">
        <w:rPr>
          <w:rFonts w:ascii="Tahoma" w:hAnsi="Tahoma" w:cs="Tahoma"/>
          <w:w w:val="94"/>
          <w:sz w:val="20"/>
          <w:szCs w:val="20"/>
        </w:rPr>
        <w:t xml:space="preserve"> </w:t>
      </w:r>
      <w:r w:rsidRPr="00B004EE">
        <w:rPr>
          <w:rFonts w:ascii="Tahoma" w:hAnsi="Tahoma" w:cs="Tahoma"/>
          <w:w w:val="95"/>
          <w:sz w:val="20"/>
          <w:szCs w:val="20"/>
        </w:rPr>
        <w:t>cargaisons</w:t>
      </w:r>
      <w:r w:rsidR="00DB1635" w:rsidRPr="00B004EE">
        <w:rPr>
          <w:rFonts w:ascii="Tahoma" w:hAnsi="Tahoma" w:cs="Tahoma"/>
          <w:w w:val="95"/>
          <w:sz w:val="20"/>
          <w:szCs w:val="20"/>
        </w:rPr>
        <w:t xml:space="preserve"> </w:t>
      </w:r>
      <w:r w:rsidRPr="00B004EE">
        <w:rPr>
          <w:rFonts w:ascii="Tahoma" w:hAnsi="Tahoma" w:cs="Tahoma"/>
          <w:w w:val="95"/>
          <w:sz w:val="20"/>
          <w:szCs w:val="20"/>
        </w:rPr>
        <w:t>et</w:t>
      </w:r>
      <w:r w:rsidR="00DB1635" w:rsidRPr="00B004EE">
        <w:rPr>
          <w:rFonts w:ascii="Tahoma" w:hAnsi="Tahoma" w:cs="Tahoma"/>
          <w:w w:val="95"/>
          <w:sz w:val="20"/>
          <w:szCs w:val="20"/>
        </w:rPr>
        <w:t xml:space="preserve"> </w:t>
      </w:r>
      <w:r w:rsidRPr="00B004EE">
        <w:rPr>
          <w:rFonts w:ascii="Tahoma" w:hAnsi="Tahoma" w:cs="Tahoma"/>
          <w:w w:val="95"/>
          <w:sz w:val="20"/>
          <w:szCs w:val="20"/>
        </w:rPr>
        <w:t>titres</w:t>
      </w:r>
      <w:r w:rsidR="00DB1635" w:rsidRPr="00B004EE">
        <w:rPr>
          <w:rFonts w:ascii="Tahoma" w:hAnsi="Tahoma" w:cs="Tahoma"/>
          <w:w w:val="95"/>
          <w:sz w:val="20"/>
          <w:szCs w:val="20"/>
        </w:rPr>
        <w:t xml:space="preserve"> </w:t>
      </w:r>
      <w:r w:rsidRPr="00B004EE">
        <w:rPr>
          <w:rFonts w:ascii="Tahoma" w:hAnsi="Tahoma" w:cs="Tahoma"/>
          <w:w w:val="95"/>
          <w:sz w:val="20"/>
          <w:szCs w:val="20"/>
        </w:rPr>
        <w:t>justificatifs</w:t>
      </w:r>
      <w:r w:rsidR="00DB1635" w:rsidRPr="00B004EE">
        <w:rPr>
          <w:rFonts w:ascii="Tahoma" w:hAnsi="Tahoma" w:cs="Tahoma"/>
          <w:w w:val="95"/>
          <w:sz w:val="20"/>
          <w:szCs w:val="20"/>
        </w:rPr>
        <w:t xml:space="preserve"> </w:t>
      </w:r>
      <w:r w:rsidRPr="00B004EE">
        <w:rPr>
          <w:rFonts w:ascii="Tahoma" w:hAnsi="Tahoma" w:cs="Tahoma"/>
          <w:w w:val="95"/>
          <w:sz w:val="20"/>
          <w:szCs w:val="20"/>
        </w:rPr>
        <w:t>ou</w:t>
      </w:r>
      <w:r w:rsidR="00DB1635" w:rsidRPr="00B004EE">
        <w:rPr>
          <w:rFonts w:ascii="Tahoma" w:hAnsi="Tahoma" w:cs="Tahoma"/>
          <w:w w:val="95"/>
          <w:sz w:val="20"/>
          <w:szCs w:val="20"/>
        </w:rPr>
        <w:t xml:space="preserve"> </w:t>
      </w:r>
      <w:r w:rsidRPr="00B004EE">
        <w:rPr>
          <w:rFonts w:ascii="Tahoma" w:hAnsi="Tahoma" w:cs="Tahoma"/>
          <w:w w:val="95"/>
          <w:sz w:val="20"/>
          <w:szCs w:val="20"/>
        </w:rPr>
        <w:t>captures</w:t>
      </w:r>
      <w:r w:rsidR="00DB1635" w:rsidRPr="00B004EE">
        <w:rPr>
          <w:rFonts w:ascii="Tahoma" w:hAnsi="Tahoma" w:cs="Tahoma"/>
          <w:w w:val="95"/>
          <w:sz w:val="20"/>
          <w:szCs w:val="20"/>
        </w:rPr>
        <w:t xml:space="preserve"> </w:t>
      </w:r>
      <w:r w:rsidRPr="00B004EE">
        <w:rPr>
          <w:rFonts w:ascii="Tahoma" w:hAnsi="Tahoma" w:cs="Tahoma"/>
          <w:w w:val="95"/>
          <w:sz w:val="20"/>
          <w:szCs w:val="20"/>
        </w:rPr>
        <w:t>éventuelles</w:t>
      </w:r>
      <w:r w:rsidR="00DB1635" w:rsidRPr="00B004EE">
        <w:rPr>
          <w:rFonts w:ascii="Tahoma" w:hAnsi="Tahoma" w:cs="Tahoma"/>
          <w:w w:val="95"/>
          <w:sz w:val="20"/>
          <w:szCs w:val="20"/>
        </w:rPr>
        <w:t xml:space="preserve"> </w:t>
      </w:r>
      <w:r w:rsidRPr="00B004EE">
        <w:rPr>
          <w:rFonts w:ascii="Tahoma" w:hAnsi="Tahoma" w:cs="Tahoma"/>
          <w:w w:val="95"/>
          <w:sz w:val="20"/>
          <w:szCs w:val="20"/>
        </w:rPr>
        <w:t>effectuées.</w:t>
      </w:r>
    </w:p>
    <w:p w14:paraId="22DF43A7" w14:textId="77777777" w:rsidR="001E7C3C" w:rsidRPr="00B004EE" w:rsidRDefault="001E7C3C" w:rsidP="00B004EE">
      <w:pPr>
        <w:ind w:right="164" w:hanging="4"/>
        <w:jc w:val="center"/>
        <w:rPr>
          <w:rFonts w:ascii="Tahoma" w:hAnsi="Tahoma" w:cs="Tahoma"/>
          <w:b/>
          <w:spacing w:val="1"/>
          <w:w w:val="113"/>
          <w:sz w:val="20"/>
          <w:szCs w:val="20"/>
        </w:rPr>
      </w:pPr>
    </w:p>
    <w:p w14:paraId="6A332838" w14:textId="51E33A62" w:rsidR="001E7C3C" w:rsidRPr="00B004EE" w:rsidRDefault="001E7C3C" w:rsidP="00B004EE">
      <w:pPr>
        <w:ind w:right="164" w:hanging="4"/>
        <w:jc w:val="center"/>
        <w:rPr>
          <w:rFonts w:ascii="Tahoma" w:hAnsi="Tahoma" w:cs="Tahoma"/>
          <w:b/>
          <w:spacing w:val="1"/>
          <w:w w:val="113"/>
          <w:sz w:val="20"/>
          <w:szCs w:val="20"/>
        </w:rPr>
      </w:pPr>
      <w:bookmarkStart w:id="75" w:name="_Toc16279070"/>
      <w:bookmarkStart w:id="76" w:name="_Toc16279439"/>
      <w:r w:rsidRPr="00B004EE">
        <w:rPr>
          <w:rFonts w:ascii="Tahoma" w:hAnsi="Tahoma" w:cs="Tahoma"/>
          <w:b/>
          <w:spacing w:val="1"/>
          <w:w w:val="113"/>
          <w:sz w:val="20"/>
          <w:szCs w:val="20"/>
        </w:rPr>
        <w:t>Section</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9</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De</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l'arrimage</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des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engins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de</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pêche</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des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navires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étrangers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non</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autorisés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à</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opérer</w:t>
      </w:r>
      <w:bookmarkEnd w:id="75"/>
      <w:bookmarkEnd w:id="76"/>
    </w:p>
    <w:p w14:paraId="479AE248" w14:textId="77777777" w:rsidR="001E7C3C" w:rsidRPr="00B004EE" w:rsidRDefault="001E7C3C" w:rsidP="00B004EE">
      <w:pPr>
        <w:rPr>
          <w:rFonts w:ascii="Tahoma" w:eastAsia="American Typewriter" w:hAnsi="Tahoma" w:cs="Tahoma"/>
          <w:b/>
          <w:bCs/>
          <w:sz w:val="20"/>
          <w:szCs w:val="20"/>
        </w:rPr>
      </w:pPr>
    </w:p>
    <w:p w14:paraId="1BE7BA40" w14:textId="6948E63E" w:rsidR="001E7C3C" w:rsidRPr="00B004EE" w:rsidRDefault="001E7C3C" w:rsidP="00B004EE">
      <w:pPr>
        <w:pStyle w:val="Corpsdetexte"/>
        <w:ind w:right="165"/>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47</w:t>
      </w:r>
      <w:r w:rsidR="00DB1635" w:rsidRPr="00B004EE">
        <w:rPr>
          <w:rFonts w:ascii="Tahoma" w:hAnsi="Tahoma" w:cs="Tahoma"/>
          <w:bCs/>
          <w:sz w:val="20"/>
          <w:szCs w:val="20"/>
        </w:rPr>
        <w:t xml:space="preserve"> </w:t>
      </w:r>
      <w:r w:rsidRPr="00B004EE">
        <w:rPr>
          <w:rFonts w:ascii="Tahoma" w:hAnsi="Tahoma" w:cs="Tahoma"/>
          <w:bCs/>
          <w:sz w:val="20"/>
          <w:szCs w:val="20"/>
        </w:rPr>
        <w:t>:</w:t>
      </w:r>
      <w:r w:rsidR="00DB1635" w:rsidRPr="00B004EE">
        <w:rPr>
          <w:rFonts w:ascii="Tahoma" w:hAnsi="Tahoma" w:cs="Tahoma"/>
          <w:b/>
          <w:spacing w:val="-4"/>
          <w:sz w:val="20"/>
          <w:szCs w:val="20"/>
        </w:rPr>
        <w:t xml:space="preserve"> </w:t>
      </w:r>
      <w:r w:rsidRPr="00B004EE">
        <w:rPr>
          <w:rFonts w:ascii="Tahoma" w:hAnsi="Tahoma" w:cs="Tahoma"/>
          <w:sz w:val="20"/>
          <w:szCs w:val="20"/>
        </w:rPr>
        <w:t>Les</w:t>
      </w:r>
      <w:r w:rsidR="00DB1635" w:rsidRPr="00B004EE">
        <w:rPr>
          <w:rFonts w:ascii="Tahoma" w:hAnsi="Tahoma" w:cs="Tahoma"/>
          <w:spacing w:val="-8"/>
          <w:sz w:val="20"/>
          <w:szCs w:val="20"/>
        </w:rPr>
        <w:t xml:space="preserve"> </w:t>
      </w:r>
      <w:r w:rsidRPr="00B004EE">
        <w:rPr>
          <w:rFonts w:ascii="Tahoma" w:hAnsi="Tahoma" w:cs="Tahoma"/>
          <w:sz w:val="20"/>
          <w:szCs w:val="20"/>
        </w:rPr>
        <w:t>engins</w:t>
      </w:r>
      <w:r w:rsidR="00DB1635" w:rsidRPr="00B004EE">
        <w:rPr>
          <w:rFonts w:ascii="Tahoma" w:hAnsi="Tahoma" w:cs="Tahoma"/>
          <w:spacing w:val="-8"/>
          <w:sz w:val="20"/>
          <w:szCs w:val="20"/>
        </w:rPr>
        <w:t xml:space="preserve"> </w:t>
      </w:r>
      <w:r w:rsidRPr="00B004EE">
        <w:rPr>
          <w:rFonts w:ascii="Tahoma" w:hAnsi="Tahoma" w:cs="Tahoma"/>
          <w:sz w:val="20"/>
          <w:szCs w:val="20"/>
        </w:rPr>
        <w:t>de</w:t>
      </w:r>
      <w:r w:rsidR="00DB1635" w:rsidRPr="00B004EE">
        <w:rPr>
          <w:rFonts w:ascii="Tahoma" w:hAnsi="Tahoma" w:cs="Tahoma"/>
          <w:spacing w:val="-7"/>
          <w:sz w:val="20"/>
          <w:szCs w:val="20"/>
        </w:rPr>
        <w:t xml:space="preserve"> </w:t>
      </w:r>
      <w:r w:rsidRPr="00B004EE">
        <w:rPr>
          <w:rFonts w:ascii="Tahoma" w:hAnsi="Tahoma" w:cs="Tahoma"/>
          <w:sz w:val="20"/>
          <w:szCs w:val="20"/>
        </w:rPr>
        <w:t>pêche</w:t>
      </w:r>
      <w:r w:rsidR="00DB1635" w:rsidRPr="00B004EE">
        <w:rPr>
          <w:rFonts w:ascii="Tahoma" w:hAnsi="Tahoma" w:cs="Tahoma"/>
          <w:spacing w:val="-7"/>
          <w:sz w:val="20"/>
          <w:szCs w:val="20"/>
        </w:rPr>
        <w:t xml:space="preserve"> </w:t>
      </w:r>
      <w:r w:rsidRPr="00B004EE">
        <w:rPr>
          <w:rFonts w:ascii="Tahoma" w:hAnsi="Tahoma" w:cs="Tahoma"/>
          <w:sz w:val="20"/>
          <w:szCs w:val="20"/>
        </w:rPr>
        <w:t>des</w:t>
      </w:r>
      <w:r w:rsidR="00DB1635" w:rsidRPr="00B004EE">
        <w:rPr>
          <w:rFonts w:ascii="Tahoma" w:hAnsi="Tahoma" w:cs="Tahoma"/>
          <w:spacing w:val="-8"/>
          <w:sz w:val="20"/>
          <w:szCs w:val="20"/>
        </w:rPr>
        <w:t xml:space="preserve"> </w:t>
      </w:r>
      <w:r w:rsidRPr="00B004EE">
        <w:rPr>
          <w:rFonts w:ascii="Tahoma" w:hAnsi="Tahoma" w:cs="Tahoma"/>
          <w:sz w:val="20"/>
          <w:szCs w:val="20"/>
        </w:rPr>
        <w:t>navires</w:t>
      </w:r>
      <w:r w:rsidR="00DB1635" w:rsidRPr="00B004EE">
        <w:rPr>
          <w:rFonts w:ascii="Tahoma" w:hAnsi="Tahoma" w:cs="Tahoma"/>
          <w:spacing w:val="-8"/>
          <w:sz w:val="20"/>
          <w:szCs w:val="20"/>
        </w:rPr>
        <w:t xml:space="preserve"> </w:t>
      </w:r>
      <w:r w:rsidRPr="00B004EE">
        <w:rPr>
          <w:rFonts w:ascii="Tahoma" w:hAnsi="Tahoma" w:cs="Tahoma"/>
          <w:sz w:val="20"/>
          <w:szCs w:val="20"/>
        </w:rPr>
        <w:t>étrangers</w:t>
      </w:r>
      <w:r w:rsidR="00DB1635" w:rsidRPr="00B004EE">
        <w:rPr>
          <w:rFonts w:ascii="Tahoma" w:hAnsi="Tahoma" w:cs="Tahoma"/>
          <w:spacing w:val="-10"/>
          <w:sz w:val="20"/>
          <w:szCs w:val="20"/>
        </w:rPr>
        <w:t xml:space="preserve"> </w:t>
      </w:r>
      <w:r w:rsidRPr="00B004EE">
        <w:rPr>
          <w:rFonts w:ascii="Tahoma" w:hAnsi="Tahoma" w:cs="Tahoma"/>
          <w:sz w:val="20"/>
          <w:szCs w:val="20"/>
        </w:rPr>
        <w:t>non</w:t>
      </w:r>
      <w:r w:rsidR="00DB1635" w:rsidRPr="00B004EE">
        <w:rPr>
          <w:rFonts w:ascii="Tahoma" w:hAnsi="Tahoma" w:cs="Tahoma"/>
          <w:spacing w:val="-9"/>
          <w:sz w:val="20"/>
          <w:szCs w:val="20"/>
        </w:rPr>
        <w:t xml:space="preserve"> </w:t>
      </w:r>
      <w:r w:rsidRPr="00B004EE">
        <w:rPr>
          <w:rFonts w:ascii="Tahoma" w:hAnsi="Tahoma" w:cs="Tahoma"/>
          <w:sz w:val="20"/>
          <w:szCs w:val="20"/>
        </w:rPr>
        <w:t>autorisés</w:t>
      </w:r>
      <w:r w:rsidR="00DB1635" w:rsidRPr="00B004EE">
        <w:rPr>
          <w:rFonts w:ascii="Tahoma" w:hAnsi="Tahoma" w:cs="Tahoma"/>
          <w:spacing w:val="-10"/>
          <w:sz w:val="20"/>
          <w:szCs w:val="20"/>
        </w:rPr>
        <w:t xml:space="preserve"> </w:t>
      </w:r>
      <w:r w:rsidRPr="00B004EE">
        <w:rPr>
          <w:rFonts w:ascii="Tahoma" w:hAnsi="Tahoma" w:cs="Tahoma"/>
          <w:sz w:val="20"/>
          <w:szCs w:val="20"/>
        </w:rPr>
        <w:t>à</w:t>
      </w:r>
      <w:r w:rsidR="00DB1635" w:rsidRPr="00B004EE">
        <w:rPr>
          <w:rFonts w:ascii="Tahoma" w:hAnsi="Tahoma" w:cs="Tahoma"/>
          <w:spacing w:val="-9"/>
          <w:sz w:val="20"/>
          <w:szCs w:val="20"/>
        </w:rPr>
        <w:t xml:space="preserve"> </w:t>
      </w:r>
      <w:r w:rsidRPr="00B004EE">
        <w:rPr>
          <w:rFonts w:ascii="Tahoma" w:hAnsi="Tahoma" w:cs="Tahoma"/>
          <w:sz w:val="20"/>
          <w:szCs w:val="20"/>
        </w:rPr>
        <w:t>opérer</w:t>
      </w:r>
      <w:r w:rsidR="00DB1635" w:rsidRPr="00B004EE">
        <w:rPr>
          <w:rFonts w:ascii="Tahoma" w:hAnsi="Tahoma" w:cs="Tahoma"/>
          <w:spacing w:val="-9"/>
          <w:sz w:val="20"/>
          <w:szCs w:val="20"/>
        </w:rPr>
        <w:t xml:space="preserve"> </w:t>
      </w:r>
      <w:r w:rsidRPr="00B004EE">
        <w:rPr>
          <w:rFonts w:ascii="Tahoma" w:hAnsi="Tahoma" w:cs="Tahoma"/>
          <w:sz w:val="20"/>
          <w:szCs w:val="20"/>
        </w:rPr>
        <w:t>qui</w:t>
      </w:r>
      <w:r w:rsidR="00DB1635" w:rsidRPr="00B004EE">
        <w:rPr>
          <w:rFonts w:ascii="Tahoma" w:hAnsi="Tahoma" w:cs="Tahoma"/>
          <w:w w:val="99"/>
          <w:sz w:val="20"/>
          <w:szCs w:val="20"/>
        </w:rPr>
        <w:t xml:space="preserve"> </w:t>
      </w:r>
      <w:r w:rsidRPr="00B004EE">
        <w:rPr>
          <w:rFonts w:ascii="Tahoma" w:hAnsi="Tahoma" w:cs="Tahoma"/>
          <w:sz w:val="20"/>
          <w:szCs w:val="20"/>
        </w:rPr>
        <w:t>se</w:t>
      </w:r>
      <w:r w:rsidR="00DB1635" w:rsidRPr="00B004EE">
        <w:rPr>
          <w:rFonts w:ascii="Tahoma" w:hAnsi="Tahoma" w:cs="Tahoma"/>
          <w:sz w:val="20"/>
          <w:szCs w:val="20"/>
        </w:rPr>
        <w:t xml:space="preserve"> </w:t>
      </w:r>
      <w:r w:rsidRPr="00B004EE">
        <w:rPr>
          <w:rFonts w:ascii="Tahoma" w:hAnsi="Tahoma" w:cs="Tahoma"/>
          <w:sz w:val="20"/>
          <w:szCs w:val="20"/>
        </w:rPr>
        <w:t>trouvent</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eaux</w:t>
      </w:r>
      <w:r w:rsidR="00DB1635" w:rsidRPr="00B004EE">
        <w:rPr>
          <w:rFonts w:ascii="Tahoma" w:hAnsi="Tahoma" w:cs="Tahoma"/>
          <w:sz w:val="20"/>
          <w:szCs w:val="20"/>
        </w:rPr>
        <w:t xml:space="preserve"> </w:t>
      </w:r>
      <w:r w:rsidRPr="00B004EE">
        <w:rPr>
          <w:rFonts w:ascii="Tahoma" w:hAnsi="Tahoma" w:cs="Tahoma"/>
          <w:sz w:val="20"/>
          <w:szCs w:val="20"/>
        </w:rPr>
        <w:t>sous</w:t>
      </w:r>
      <w:r w:rsidR="00DB1635" w:rsidRPr="00B004EE">
        <w:rPr>
          <w:rFonts w:ascii="Tahoma" w:hAnsi="Tahoma" w:cs="Tahoma"/>
          <w:sz w:val="20"/>
          <w:szCs w:val="20"/>
        </w:rPr>
        <w:t xml:space="preserve"> </w:t>
      </w:r>
      <w:r w:rsidRPr="00B004EE">
        <w:rPr>
          <w:rFonts w:ascii="Tahoma" w:hAnsi="Tahoma" w:cs="Tahoma"/>
          <w:sz w:val="20"/>
          <w:szCs w:val="20"/>
        </w:rPr>
        <w:t>juridiction</w:t>
      </w:r>
      <w:r w:rsidR="00DB1635" w:rsidRPr="00B004EE">
        <w:rPr>
          <w:rFonts w:ascii="Tahoma" w:hAnsi="Tahoma" w:cs="Tahoma"/>
          <w:sz w:val="20"/>
          <w:szCs w:val="20"/>
        </w:rPr>
        <w:t xml:space="preserve"> </w:t>
      </w:r>
      <w:r w:rsidRPr="00B004EE">
        <w:rPr>
          <w:rFonts w:ascii="Tahoma" w:hAnsi="Tahoma" w:cs="Tahoma"/>
          <w:sz w:val="20"/>
          <w:szCs w:val="20"/>
        </w:rPr>
        <w:t>mauritanienne</w:t>
      </w:r>
      <w:r w:rsidR="00DB1635" w:rsidRPr="00B004EE">
        <w:rPr>
          <w:rFonts w:ascii="Tahoma" w:hAnsi="Tahoma" w:cs="Tahoma"/>
          <w:sz w:val="20"/>
          <w:szCs w:val="20"/>
        </w:rPr>
        <w:t xml:space="preserve"> </w:t>
      </w:r>
      <w:r w:rsidRPr="00B004EE">
        <w:rPr>
          <w:rFonts w:ascii="Tahoma" w:hAnsi="Tahoma" w:cs="Tahoma"/>
          <w:sz w:val="20"/>
          <w:szCs w:val="20"/>
        </w:rPr>
        <w:t>devront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arrimés</w:t>
      </w:r>
      <w:r w:rsidR="00DB1635" w:rsidRPr="00B004EE">
        <w:rPr>
          <w:rFonts w:ascii="Tahoma" w:hAnsi="Tahoma" w:cs="Tahoma"/>
          <w:spacing w:val="4"/>
          <w:sz w:val="20"/>
          <w:szCs w:val="20"/>
        </w:rPr>
        <w:t xml:space="preserve"> </w:t>
      </w:r>
      <w:r w:rsidRPr="00B004EE">
        <w:rPr>
          <w:rFonts w:ascii="Tahoma" w:hAnsi="Tahoma" w:cs="Tahoma"/>
          <w:sz w:val="20"/>
          <w:szCs w:val="20"/>
        </w:rPr>
        <w:t>à</w:t>
      </w:r>
      <w:r w:rsidR="00DB1635" w:rsidRPr="00B004EE">
        <w:rPr>
          <w:rFonts w:ascii="Tahoma" w:hAnsi="Tahoma" w:cs="Tahoma"/>
          <w:w w:val="98"/>
          <w:sz w:val="20"/>
          <w:szCs w:val="20"/>
        </w:rPr>
        <w:t xml:space="preserve"> </w:t>
      </w:r>
      <w:r w:rsidRPr="00B004EE">
        <w:rPr>
          <w:rFonts w:ascii="Tahoma" w:hAnsi="Tahoma" w:cs="Tahoma"/>
          <w:sz w:val="20"/>
          <w:szCs w:val="20"/>
        </w:rPr>
        <w:t>bord</w:t>
      </w:r>
      <w:r w:rsidR="00DB1635" w:rsidRPr="00B004EE">
        <w:rPr>
          <w:rFonts w:ascii="Tahoma" w:hAnsi="Tahoma" w:cs="Tahoma"/>
          <w:spacing w:val="-30"/>
          <w:sz w:val="20"/>
          <w:szCs w:val="20"/>
        </w:rPr>
        <w:t xml:space="preserve"> </w:t>
      </w:r>
      <w:r w:rsidRPr="00B004EE">
        <w:rPr>
          <w:rFonts w:ascii="Tahoma" w:hAnsi="Tahoma" w:cs="Tahoma"/>
          <w:sz w:val="20"/>
          <w:szCs w:val="20"/>
        </w:rPr>
        <w:t>de</w:t>
      </w:r>
      <w:r w:rsidR="00DB1635" w:rsidRPr="00B004EE">
        <w:rPr>
          <w:rFonts w:ascii="Tahoma" w:hAnsi="Tahoma" w:cs="Tahoma"/>
          <w:spacing w:val="-29"/>
          <w:sz w:val="20"/>
          <w:szCs w:val="20"/>
        </w:rPr>
        <w:t xml:space="preserve"> </w:t>
      </w:r>
      <w:r w:rsidRPr="00B004EE">
        <w:rPr>
          <w:rFonts w:ascii="Tahoma" w:hAnsi="Tahoma" w:cs="Tahoma"/>
          <w:sz w:val="20"/>
          <w:szCs w:val="20"/>
        </w:rPr>
        <w:t>manière</w:t>
      </w:r>
      <w:r w:rsidR="00DB1635" w:rsidRPr="00B004EE">
        <w:rPr>
          <w:rFonts w:ascii="Tahoma" w:hAnsi="Tahoma" w:cs="Tahoma"/>
          <w:spacing w:val="-29"/>
          <w:sz w:val="20"/>
          <w:szCs w:val="20"/>
        </w:rPr>
        <w:t xml:space="preserve"> </w:t>
      </w:r>
      <w:r w:rsidRPr="00B004EE">
        <w:rPr>
          <w:rFonts w:ascii="Tahoma" w:hAnsi="Tahoma" w:cs="Tahoma"/>
          <w:sz w:val="20"/>
          <w:szCs w:val="20"/>
        </w:rPr>
        <w:t>à</w:t>
      </w:r>
      <w:r w:rsidR="00DB1635" w:rsidRPr="00B004EE">
        <w:rPr>
          <w:rFonts w:ascii="Tahoma" w:hAnsi="Tahoma" w:cs="Tahoma"/>
          <w:spacing w:val="-29"/>
          <w:sz w:val="20"/>
          <w:szCs w:val="20"/>
        </w:rPr>
        <w:t xml:space="preserve"> </w:t>
      </w:r>
      <w:r w:rsidRPr="00B004EE">
        <w:rPr>
          <w:rFonts w:ascii="Tahoma" w:hAnsi="Tahoma" w:cs="Tahoma"/>
          <w:sz w:val="20"/>
          <w:szCs w:val="20"/>
        </w:rPr>
        <w:t>ne</w:t>
      </w:r>
      <w:r w:rsidR="00DB1635" w:rsidRPr="00B004EE">
        <w:rPr>
          <w:rFonts w:ascii="Tahoma" w:hAnsi="Tahoma" w:cs="Tahoma"/>
          <w:spacing w:val="-29"/>
          <w:sz w:val="20"/>
          <w:szCs w:val="20"/>
        </w:rPr>
        <w:t xml:space="preserve"> </w:t>
      </w:r>
      <w:r w:rsidRPr="00B004EE">
        <w:rPr>
          <w:rFonts w:ascii="Tahoma" w:hAnsi="Tahoma" w:cs="Tahoma"/>
          <w:sz w:val="20"/>
          <w:szCs w:val="20"/>
        </w:rPr>
        <w:t>pouvoir</w:t>
      </w:r>
      <w:r w:rsidR="00DB1635" w:rsidRPr="00B004EE">
        <w:rPr>
          <w:rFonts w:ascii="Tahoma" w:hAnsi="Tahoma" w:cs="Tahoma"/>
          <w:spacing w:val="-29"/>
          <w:sz w:val="20"/>
          <w:szCs w:val="20"/>
        </w:rPr>
        <w:t xml:space="preserve"> </w:t>
      </w:r>
      <w:r w:rsidRPr="00B004EE">
        <w:rPr>
          <w:rFonts w:ascii="Tahoma" w:hAnsi="Tahoma" w:cs="Tahoma"/>
          <w:sz w:val="20"/>
          <w:szCs w:val="20"/>
        </w:rPr>
        <w:t>être</w:t>
      </w:r>
      <w:r w:rsidR="00DB1635" w:rsidRPr="00B004EE">
        <w:rPr>
          <w:rFonts w:ascii="Tahoma" w:hAnsi="Tahoma" w:cs="Tahoma"/>
          <w:spacing w:val="-29"/>
          <w:sz w:val="20"/>
          <w:szCs w:val="20"/>
        </w:rPr>
        <w:t xml:space="preserve"> </w:t>
      </w:r>
      <w:r w:rsidRPr="00B004EE">
        <w:rPr>
          <w:rFonts w:ascii="Tahoma" w:hAnsi="Tahoma" w:cs="Tahoma"/>
          <w:sz w:val="20"/>
          <w:szCs w:val="20"/>
        </w:rPr>
        <w:t>facilement</w:t>
      </w:r>
      <w:r w:rsidR="00DB1635" w:rsidRPr="00B004EE">
        <w:rPr>
          <w:rFonts w:ascii="Tahoma" w:hAnsi="Tahoma" w:cs="Tahoma"/>
          <w:spacing w:val="-29"/>
          <w:sz w:val="20"/>
          <w:szCs w:val="20"/>
        </w:rPr>
        <w:t xml:space="preserve"> </w:t>
      </w:r>
      <w:r w:rsidRPr="00B004EE">
        <w:rPr>
          <w:rFonts w:ascii="Tahoma" w:hAnsi="Tahoma" w:cs="Tahoma"/>
          <w:sz w:val="20"/>
          <w:szCs w:val="20"/>
        </w:rPr>
        <w:t>utilisés</w:t>
      </w:r>
      <w:r w:rsidR="00DB1635" w:rsidRPr="00B004EE">
        <w:rPr>
          <w:rFonts w:ascii="Tahoma" w:hAnsi="Tahoma" w:cs="Tahoma"/>
          <w:spacing w:val="-30"/>
          <w:sz w:val="20"/>
          <w:szCs w:val="20"/>
        </w:rPr>
        <w:t xml:space="preserve"> </w:t>
      </w:r>
      <w:r w:rsidRPr="00B004EE">
        <w:rPr>
          <w:rFonts w:ascii="Tahoma" w:hAnsi="Tahoma" w:cs="Tahoma"/>
          <w:sz w:val="20"/>
          <w:szCs w:val="20"/>
        </w:rPr>
        <w:t>pour</w:t>
      </w:r>
      <w:r w:rsidR="00DB1635" w:rsidRPr="00B004EE">
        <w:rPr>
          <w:rFonts w:ascii="Tahoma" w:hAnsi="Tahoma" w:cs="Tahoma"/>
          <w:spacing w:val="-30"/>
          <w:sz w:val="20"/>
          <w:szCs w:val="20"/>
        </w:rPr>
        <w:t xml:space="preserve"> </w:t>
      </w:r>
      <w:r w:rsidRPr="00B004EE">
        <w:rPr>
          <w:rFonts w:ascii="Tahoma" w:hAnsi="Tahoma" w:cs="Tahoma"/>
          <w:sz w:val="20"/>
          <w:szCs w:val="20"/>
        </w:rPr>
        <w:t>pêcher.</w:t>
      </w:r>
    </w:p>
    <w:p w14:paraId="23E0F7C7" w14:textId="77777777" w:rsidR="001E7C3C" w:rsidRPr="00B004EE" w:rsidRDefault="001E7C3C" w:rsidP="00B004EE">
      <w:pPr>
        <w:ind w:right="164" w:hanging="4"/>
        <w:jc w:val="center"/>
        <w:rPr>
          <w:rFonts w:ascii="Tahoma" w:hAnsi="Tahoma" w:cs="Tahoma"/>
          <w:b/>
          <w:spacing w:val="1"/>
          <w:w w:val="113"/>
          <w:sz w:val="20"/>
          <w:szCs w:val="20"/>
          <w:rtl/>
        </w:rPr>
      </w:pPr>
    </w:p>
    <w:p w14:paraId="0DD03AA4" w14:textId="77777777" w:rsidR="00E50532" w:rsidRPr="00B004EE" w:rsidRDefault="00E50532" w:rsidP="00B004EE">
      <w:pPr>
        <w:ind w:right="164" w:hanging="4"/>
        <w:jc w:val="center"/>
        <w:rPr>
          <w:rFonts w:ascii="Tahoma" w:hAnsi="Tahoma" w:cs="Tahoma"/>
          <w:b/>
          <w:spacing w:val="1"/>
          <w:w w:val="113"/>
          <w:sz w:val="20"/>
          <w:szCs w:val="20"/>
        </w:rPr>
      </w:pPr>
    </w:p>
    <w:p w14:paraId="088E4E8F" w14:textId="0910E19F" w:rsidR="001E7C3C" w:rsidRPr="00B004EE" w:rsidRDefault="001E7C3C" w:rsidP="00B004EE">
      <w:pPr>
        <w:ind w:right="164" w:hanging="4"/>
        <w:jc w:val="center"/>
        <w:rPr>
          <w:rFonts w:ascii="Tahoma" w:hAnsi="Tahoma" w:cs="Tahoma"/>
          <w:b/>
          <w:spacing w:val="1"/>
          <w:w w:val="113"/>
          <w:sz w:val="20"/>
          <w:szCs w:val="20"/>
        </w:rPr>
      </w:pPr>
      <w:bookmarkStart w:id="77" w:name="_Toc16279071"/>
      <w:bookmarkStart w:id="78" w:name="_Toc16279440"/>
      <w:r w:rsidRPr="00B004EE">
        <w:rPr>
          <w:rFonts w:ascii="Tahoma" w:hAnsi="Tahoma" w:cs="Tahoma"/>
          <w:b/>
          <w:spacing w:val="1"/>
          <w:w w:val="113"/>
          <w:sz w:val="20"/>
          <w:szCs w:val="20"/>
        </w:rPr>
        <w:t>Section</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10</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Du</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marquage</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ou</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autres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dispositifs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d’identification</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et</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de</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localisation</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des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navires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de</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pêche</w:t>
      </w:r>
      <w:bookmarkEnd w:id="77"/>
      <w:bookmarkEnd w:id="78"/>
    </w:p>
    <w:p w14:paraId="56687F71" w14:textId="77777777" w:rsidR="001E7C3C" w:rsidRPr="00B004EE" w:rsidRDefault="001E7C3C" w:rsidP="00B004EE">
      <w:pPr>
        <w:ind w:right="164" w:hanging="4"/>
        <w:jc w:val="center"/>
        <w:rPr>
          <w:rFonts w:ascii="Tahoma" w:hAnsi="Tahoma" w:cs="Tahoma"/>
          <w:b/>
          <w:spacing w:val="1"/>
          <w:w w:val="113"/>
          <w:sz w:val="20"/>
          <w:szCs w:val="20"/>
        </w:rPr>
      </w:pPr>
    </w:p>
    <w:p w14:paraId="01EDF470" w14:textId="17EF436D" w:rsidR="001E7C3C" w:rsidRPr="00B004EE" w:rsidRDefault="001E7C3C" w:rsidP="00B004EE">
      <w:pPr>
        <w:pStyle w:val="Corpsdetexte"/>
        <w:ind w:right="158"/>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48</w:t>
      </w:r>
      <w:r w:rsidR="00DB1635" w:rsidRPr="00B004EE">
        <w:rPr>
          <w:rFonts w:ascii="Tahoma" w:hAnsi="Tahoma" w:cs="Tahoma"/>
          <w:bCs/>
          <w:sz w:val="20"/>
          <w:szCs w:val="20"/>
        </w:rPr>
        <w:t xml:space="preserve"> </w:t>
      </w:r>
      <w:r w:rsidRPr="00B004EE">
        <w:rPr>
          <w:rFonts w:ascii="Tahoma" w:hAnsi="Tahoma" w:cs="Tahoma"/>
          <w:bCs/>
          <w:sz w:val="20"/>
          <w:szCs w:val="20"/>
        </w:rPr>
        <w:t>:</w:t>
      </w:r>
      <w:r w:rsidR="00DB1635" w:rsidRPr="00B004EE">
        <w:rPr>
          <w:rFonts w:ascii="Tahoma" w:eastAsia="American Typewriter" w:hAnsi="Tahoma" w:cs="Tahoma"/>
          <w:b/>
          <w:bCs/>
          <w:spacing w:val="-23"/>
          <w:sz w:val="20"/>
          <w:szCs w:val="20"/>
        </w:rPr>
        <w:t xml:space="preserve"> </w:t>
      </w:r>
      <w:r w:rsidRPr="00B004EE">
        <w:rPr>
          <w:rFonts w:ascii="Tahoma" w:hAnsi="Tahoma" w:cs="Tahoma"/>
          <w:sz w:val="20"/>
          <w:szCs w:val="20"/>
        </w:rPr>
        <w:t>Sans</w:t>
      </w:r>
      <w:r w:rsidR="00DB1635" w:rsidRPr="00B004EE">
        <w:rPr>
          <w:rFonts w:ascii="Tahoma" w:hAnsi="Tahoma" w:cs="Tahoma"/>
          <w:spacing w:val="-26"/>
          <w:sz w:val="20"/>
          <w:szCs w:val="20"/>
        </w:rPr>
        <w:t xml:space="preserve"> </w:t>
      </w:r>
      <w:r w:rsidRPr="00B004EE">
        <w:rPr>
          <w:rFonts w:ascii="Tahoma" w:hAnsi="Tahoma" w:cs="Tahoma"/>
          <w:sz w:val="20"/>
          <w:szCs w:val="20"/>
        </w:rPr>
        <w:t>préjudice</w:t>
      </w:r>
      <w:r w:rsidR="00DB1635" w:rsidRPr="00B004EE">
        <w:rPr>
          <w:rFonts w:ascii="Tahoma" w:hAnsi="Tahoma" w:cs="Tahoma"/>
          <w:spacing w:val="-25"/>
          <w:sz w:val="20"/>
          <w:szCs w:val="20"/>
        </w:rPr>
        <w:t xml:space="preserve"> </w:t>
      </w:r>
      <w:r w:rsidRPr="00B004EE">
        <w:rPr>
          <w:rFonts w:ascii="Tahoma" w:hAnsi="Tahoma" w:cs="Tahoma"/>
          <w:sz w:val="20"/>
          <w:szCs w:val="20"/>
        </w:rPr>
        <w:t>des</w:t>
      </w:r>
      <w:r w:rsidR="00DB1635" w:rsidRPr="00B004EE">
        <w:rPr>
          <w:rFonts w:ascii="Tahoma" w:hAnsi="Tahoma" w:cs="Tahoma"/>
          <w:spacing w:val="-26"/>
          <w:sz w:val="20"/>
          <w:szCs w:val="20"/>
        </w:rPr>
        <w:t xml:space="preserve"> </w:t>
      </w:r>
      <w:r w:rsidRPr="00B004EE">
        <w:rPr>
          <w:rFonts w:ascii="Tahoma" w:hAnsi="Tahoma" w:cs="Tahoma"/>
          <w:sz w:val="20"/>
          <w:szCs w:val="20"/>
        </w:rPr>
        <w:t>normes</w:t>
      </w:r>
      <w:r w:rsidR="00DB1635" w:rsidRPr="00B004EE">
        <w:rPr>
          <w:rFonts w:ascii="Tahoma" w:hAnsi="Tahoma" w:cs="Tahoma"/>
          <w:spacing w:val="-26"/>
          <w:sz w:val="20"/>
          <w:szCs w:val="20"/>
        </w:rPr>
        <w:t xml:space="preserve"> </w:t>
      </w:r>
      <w:r w:rsidRPr="00B004EE">
        <w:rPr>
          <w:rFonts w:ascii="Tahoma" w:hAnsi="Tahoma" w:cs="Tahoma"/>
          <w:sz w:val="20"/>
          <w:szCs w:val="20"/>
        </w:rPr>
        <w:t>relatives</w:t>
      </w:r>
      <w:r w:rsidR="00DB1635" w:rsidRPr="00B004EE">
        <w:rPr>
          <w:rFonts w:ascii="Tahoma" w:hAnsi="Tahoma" w:cs="Tahoma"/>
          <w:spacing w:val="-27"/>
          <w:sz w:val="20"/>
          <w:szCs w:val="20"/>
        </w:rPr>
        <w:t xml:space="preserve"> </w:t>
      </w:r>
      <w:r w:rsidRPr="00B004EE">
        <w:rPr>
          <w:rFonts w:ascii="Tahoma" w:hAnsi="Tahoma" w:cs="Tahoma"/>
          <w:sz w:val="20"/>
          <w:szCs w:val="20"/>
        </w:rPr>
        <w:t>à</w:t>
      </w:r>
      <w:r w:rsidR="00DB1635" w:rsidRPr="00B004EE">
        <w:rPr>
          <w:rFonts w:ascii="Tahoma" w:hAnsi="Tahoma" w:cs="Tahoma"/>
          <w:spacing w:val="-26"/>
          <w:sz w:val="20"/>
          <w:szCs w:val="20"/>
        </w:rPr>
        <w:t xml:space="preserve"> </w:t>
      </w:r>
      <w:r w:rsidRPr="00B004EE">
        <w:rPr>
          <w:rFonts w:ascii="Tahoma" w:hAnsi="Tahoma" w:cs="Tahoma"/>
          <w:sz w:val="20"/>
          <w:szCs w:val="20"/>
        </w:rPr>
        <w:t>l'immatriculation,</w:t>
      </w:r>
      <w:r w:rsidR="00DB1635" w:rsidRPr="00B004EE">
        <w:rPr>
          <w:rFonts w:ascii="Tahoma" w:hAnsi="Tahoma" w:cs="Tahoma"/>
          <w:spacing w:val="-26"/>
          <w:sz w:val="20"/>
          <w:szCs w:val="20"/>
        </w:rPr>
        <w:t xml:space="preserve"> </w:t>
      </w:r>
      <w:r w:rsidRPr="00B004EE">
        <w:rPr>
          <w:rFonts w:ascii="Tahoma" w:hAnsi="Tahoma" w:cs="Tahoma"/>
          <w:sz w:val="20"/>
          <w:szCs w:val="20"/>
        </w:rPr>
        <w:t>les</w:t>
      </w:r>
      <w:r w:rsidR="00DB1635" w:rsidRPr="00B004EE">
        <w:rPr>
          <w:rFonts w:ascii="Tahoma" w:hAnsi="Tahoma" w:cs="Tahoma"/>
          <w:spacing w:val="-22"/>
          <w:sz w:val="20"/>
          <w:szCs w:val="20"/>
        </w:rPr>
        <w:t xml:space="preserve"> </w:t>
      </w:r>
      <w:r w:rsidRPr="00B004EE">
        <w:rPr>
          <w:rFonts w:ascii="Tahoma" w:hAnsi="Tahoma" w:cs="Tahoma"/>
          <w:sz w:val="20"/>
          <w:szCs w:val="20"/>
        </w:rPr>
        <w:t>navires</w:t>
      </w:r>
      <w:r w:rsidR="00DB1635" w:rsidRPr="00B004EE">
        <w:rPr>
          <w:rFonts w:ascii="Tahoma" w:hAnsi="Tahoma" w:cs="Tahoma"/>
          <w:spacing w:val="-27"/>
          <w:sz w:val="20"/>
          <w:szCs w:val="20"/>
        </w:rPr>
        <w:t xml:space="preserve"> </w:t>
      </w:r>
      <w:r w:rsidRPr="00B004EE">
        <w:rPr>
          <w:rFonts w:ascii="Tahoma" w:hAnsi="Tahoma" w:cs="Tahoma"/>
          <w:sz w:val="20"/>
          <w:szCs w:val="20"/>
        </w:rPr>
        <w:t>de</w:t>
      </w:r>
      <w:r w:rsidR="00DB1635" w:rsidRPr="00B004EE">
        <w:rPr>
          <w:rFonts w:ascii="Tahoma" w:hAnsi="Tahoma" w:cs="Tahoma"/>
          <w:w w:val="94"/>
          <w:sz w:val="20"/>
          <w:szCs w:val="20"/>
        </w:rPr>
        <w:t xml:space="preserve"> </w:t>
      </w:r>
      <w:r w:rsidRPr="00B004EE">
        <w:rPr>
          <w:rFonts w:ascii="Tahoma" w:hAnsi="Tahoma" w:cs="Tahoma"/>
          <w:sz w:val="20"/>
          <w:szCs w:val="20"/>
        </w:rPr>
        <w:t>pêche</w:t>
      </w:r>
      <w:r w:rsidR="00DB1635" w:rsidRPr="00B004EE">
        <w:rPr>
          <w:rFonts w:ascii="Tahoma" w:hAnsi="Tahoma" w:cs="Tahoma"/>
          <w:spacing w:val="23"/>
          <w:sz w:val="20"/>
          <w:szCs w:val="20"/>
        </w:rPr>
        <w:t xml:space="preserve"> </w:t>
      </w:r>
      <w:r w:rsidRPr="00B004EE">
        <w:rPr>
          <w:rFonts w:ascii="Tahoma" w:hAnsi="Tahoma" w:cs="Tahoma"/>
          <w:sz w:val="20"/>
          <w:szCs w:val="20"/>
        </w:rPr>
        <w:t>exerçant</w:t>
      </w:r>
      <w:r w:rsidR="00DB1635" w:rsidRPr="00B004EE">
        <w:rPr>
          <w:rFonts w:ascii="Tahoma" w:hAnsi="Tahoma" w:cs="Tahoma"/>
          <w:spacing w:val="23"/>
          <w:sz w:val="20"/>
          <w:szCs w:val="20"/>
        </w:rPr>
        <w:t xml:space="preserve"> </w:t>
      </w:r>
      <w:r w:rsidRPr="00B004EE">
        <w:rPr>
          <w:rFonts w:ascii="Tahoma" w:hAnsi="Tahoma" w:cs="Tahoma"/>
          <w:sz w:val="20"/>
          <w:szCs w:val="20"/>
        </w:rPr>
        <w:t>dans</w:t>
      </w:r>
      <w:r w:rsidR="00DB1635" w:rsidRPr="00B004EE">
        <w:rPr>
          <w:rFonts w:ascii="Tahoma" w:hAnsi="Tahoma" w:cs="Tahoma"/>
          <w:spacing w:val="23"/>
          <w:sz w:val="20"/>
          <w:szCs w:val="20"/>
        </w:rPr>
        <w:t xml:space="preserve"> </w:t>
      </w:r>
      <w:r w:rsidRPr="00B004EE">
        <w:rPr>
          <w:rFonts w:ascii="Tahoma" w:hAnsi="Tahoma" w:cs="Tahoma"/>
          <w:sz w:val="20"/>
          <w:szCs w:val="20"/>
        </w:rPr>
        <w:t>les</w:t>
      </w:r>
      <w:r w:rsidR="00DB1635" w:rsidRPr="00B004EE">
        <w:rPr>
          <w:rFonts w:ascii="Tahoma" w:hAnsi="Tahoma" w:cs="Tahoma"/>
          <w:spacing w:val="23"/>
          <w:sz w:val="20"/>
          <w:szCs w:val="20"/>
        </w:rPr>
        <w:t xml:space="preserve"> </w:t>
      </w:r>
      <w:r w:rsidRPr="00B004EE">
        <w:rPr>
          <w:rFonts w:ascii="Tahoma" w:hAnsi="Tahoma" w:cs="Tahoma"/>
          <w:sz w:val="20"/>
          <w:szCs w:val="20"/>
        </w:rPr>
        <w:t>eaux</w:t>
      </w:r>
      <w:r w:rsidR="00DB1635" w:rsidRPr="00B004EE">
        <w:rPr>
          <w:rFonts w:ascii="Tahoma" w:hAnsi="Tahoma" w:cs="Tahoma"/>
          <w:spacing w:val="25"/>
          <w:sz w:val="20"/>
          <w:szCs w:val="20"/>
        </w:rPr>
        <w:t xml:space="preserve"> </w:t>
      </w:r>
      <w:r w:rsidRPr="00B004EE">
        <w:rPr>
          <w:rFonts w:ascii="Tahoma" w:hAnsi="Tahoma" w:cs="Tahoma"/>
          <w:sz w:val="20"/>
          <w:szCs w:val="20"/>
        </w:rPr>
        <w:t>sous</w:t>
      </w:r>
      <w:r w:rsidR="00DB1635" w:rsidRPr="00B004EE">
        <w:rPr>
          <w:rFonts w:ascii="Tahoma" w:hAnsi="Tahoma" w:cs="Tahoma"/>
          <w:spacing w:val="23"/>
          <w:sz w:val="20"/>
          <w:szCs w:val="20"/>
        </w:rPr>
        <w:t xml:space="preserve"> </w:t>
      </w:r>
      <w:r w:rsidRPr="00B004EE">
        <w:rPr>
          <w:rFonts w:ascii="Tahoma" w:hAnsi="Tahoma" w:cs="Tahoma"/>
          <w:sz w:val="20"/>
          <w:szCs w:val="20"/>
        </w:rPr>
        <w:t>juridiction</w:t>
      </w:r>
      <w:r w:rsidR="00DB1635" w:rsidRPr="00B004EE">
        <w:rPr>
          <w:rFonts w:ascii="Tahoma" w:hAnsi="Tahoma" w:cs="Tahoma"/>
          <w:spacing w:val="23"/>
          <w:sz w:val="20"/>
          <w:szCs w:val="20"/>
        </w:rPr>
        <w:t xml:space="preserve"> </w:t>
      </w:r>
      <w:r w:rsidRPr="00B004EE">
        <w:rPr>
          <w:rFonts w:ascii="Tahoma" w:hAnsi="Tahoma" w:cs="Tahoma"/>
          <w:sz w:val="20"/>
          <w:szCs w:val="20"/>
        </w:rPr>
        <w:t>mauritanienne</w:t>
      </w:r>
      <w:r w:rsidR="00DB1635" w:rsidRPr="00B004EE">
        <w:rPr>
          <w:rFonts w:ascii="Tahoma" w:hAnsi="Tahoma" w:cs="Tahoma"/>
          <w:spacing w:val="23"/>
          <w:sz w:val="20"/>
          <w:szCs w:val="20"/>
        </w:rPr>
        <w:t xml:space="preserve"> </w:t>
      </w:r>
      <w:r w:rsidRPr="00B004EE">
        <w:rPr>
          <w:rFonts w:ascii="Tahoma" w:hAnsi="Tahoma" w:cs="Tahoma"/>
          <w:sz w:val="20"/>
          <w:szCs w:val="20"/>
        </w:rPr>
        <w:t>sont</w:t>
      </w:r>
      <w:r w:rsidR="00DB1635" w:rsidRPr="00B004EE">
        <w:rPr>
          <w:rFonts w:ascii="Tahoma" w:hAnsi="Tahoma" w:cs="Tahoma"/>
          <w:spacing w:val="23"/>
          <w:sz w:val="20"/>
          <w:szCs w:val="20"/>
        </w:rPr>
        <w:t xml:space="preserve"> </w:t>
      </w:r>
      <w:r w:rsidRPr="00B004EE">
        <w:rPr>
          <w:rFonts w:ascii="Tahoma" w:hAnsi="Tahoma" w:cs="Tahoma"/>
          <w:sz w:val="20"/>
          <w:szCs w:val="20"/>
        </w:rPr>
        <w:t>astreints</w:t>
      </w:r>
      <w:r w:rsidR="00DB1635" w:rsidRPr="00B004EE">
        <w:rPr>
          <w:rFonts w:ascii="Tahoma" w:hAnsi="Tahoma" w:cs="Tahoma"/>
          <w:spacing w:val="21"/>
          <w:sz w:val="20"/>
          <w:szCs w:val="20"/>
        </w:rPr>
        <w:t xml:space="preserve"> </w:t>
      </w:r>
      <w:r w:rsidRPr="00B004EE">
        <w:rPr>
          <w:rFonts w:ascii="Tahoma" w:hAnsi="Tahoma" w:cs="Tahoma"/>
          <w:sz w:val="20"/>
          <w:szCs w:val="20"/>
        </w:rPr>
        <w:t>au</w:t>
      </w:r>
      <w:r w:rsidR="00DB1635" w:rsidRPr="00B004EE">
        <w:rPr>
          <w:rFonts w:ascii="Tahoma" w:hAnsi="Tahoma" w:cs="Tahoma"/>
          <w:w w:val="98"/>
          <w:sz w:val="20"/>
          <w:szCs w:val="20"/>
        </w:rPr>
        <w:t xml:space="preserve"> </w:t>
      </w:r>
      <w:r w:rsidRPr="00B004EE">
        <w:rPr>
          <w:rFonts w:ascii="Tahoma" w:eastAsia="American Typewriter" w:hAnsi="Tahoma" w:cs="Tahoma"/>
          <w:sz w:val="20"/>
          <w:szCs w:val="20"/>
        </w:rPr>
        <w:t>marquage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obligatoire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ou</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à</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d’autres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dispositifs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d’identification</w:t>
      </w:r>
      <w:r w:rsidR="00DB1635" w:rsidRPr="00B004EE">
        <w:rPr>
          <w:rFonts w:ascii="Tahoma" w:eastAsia="American Typewriter"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pacing w:val="29"/>
          <w:sz w:val="20"/>
          <w:szCs w:val="20"/>
        </w:rPr>
        <w:t xml:space="preserve"> </w:t>
      </w:r>
      <w:r w:rsidRPr="00B004EE">
        <w:rPr>
          <w:rFonts w:ascii="Tahoma" w:hAnsi="Tahoma" w:cs="Tahoma"/>
          <w:sz w:val="20"/>
          <w:szCs w:val="20"/>
        </w:rPr>
        <w:t>localisation,</w:t>
      </w:r>
      <w:r w:rsidR="00DB1635" w:rsidRPr="00B004EE">
        <w:rPr>
          <w:rFonts w:ascii="Tahoma" w:hAnsi="Tahoma" w:cs="Tahoma"/>
          <w:w w:val="101"/>
          <w:sz w:val="20"/>
          <w:szCs w:val="20"/>
        </w:rPr>
        <w:t xml:space="preserve"> </w:t>
      </w:r>
      <w:r w:rsidRPr="00B004EE">
        <w:rPr>
          <w:rFonts w:ascii="Tahoma" w:hAnsi="Tahoma" w:cs="Tahoma"/>
          <w:sz w:val="20"/>
          <w:szCs w:val="20"/>
        </w:rPr>
        <w:t>conformément</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règles</w:t>
      </w:r>
      <w:r w:rsidR="00DB1635" w:rsidRPr="00B004EE">
        <w:rPr>
          <w:rFonts w:ascii="Tahoma" w:hAnsi="Tahoma" w:cs="Tahoma"/>
          <w:sz w:val="20"/>
          <w:szCs w:val="20"/>
        </w:rPr>
        <w:t xml:space="preserve"> </w:t>
      </w:r>
      <w:r w:rsidRPr="00B004EE">
        <w:rPr>
          <w:rFonts w:ascii="Tahoma" w:hAnsi="Tahoma" w:cs="Tahoma"/>
          <w:sz w:val="20"/>
          <w:szCs w:val="20"/>
        </w:rPr>
        <w:t>fixées</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arrêté</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ministre</w:t>
      </w:r>
      <w:r w:rsidR="00DB1635" w:rsidRPr="00B004EE">
        <w:rPr>
          <w:rFonts w:ascii="Tahoma" w:hAnsi="Tahoma" w:cs="Tahoma"/>
          <w:sz w:val="20"/>
          <w:szCs w:val="20"/>
        </w:rPr>
        <w:t xml:space="preserve"> </w:t>
      </w:r>
      <w:r w:rsidRPr="00B004EE">
        <w:rPr>
          <w:rFonts w:ascii="Tahoma" w:hAnsi="Tahoma" w:cs="Tahoma"/>
          <w:sz w:val="20"/>
          <w:szCs w:val="20"/>
        </w:rPr>
        <w:t>chargé</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pacing w:val="53"/>
          <w:sz w:val="20"/>
          <w:szCs w:val="20"/>
        </w:rPr>
        <w:t xml:space="preserve"> </w:t>
      </w:r>
      <w:r w:rsidRPr="00B004EE">
        <w:rPr>
          <w:rFonts w:ascii="Tahoma" w:hAnsi="Tahoma" w:cs="Tahoma"/>
          <w:sz w:val="20"/>
          <w:szCs w:val="20"/>
        </w:rPr>
        <w:t>pêches</w:t>
      </w:r>
      <w:r w:rsidR="00DB1635" w:rsidRPr="00B004EE">
        <w:rPr>
          <w:rFonts w:ascii="Tahoma" w:hAnsi="Tahoma" w:cs="Tahoma"/>
          <w:w w:val="94"/>
          <w:sz w:val="20"/>
          <w:szCs w:val="20"/>
        </w:rPr>
        <w:t xml:space="preserve"> </w:t>
      </w:r>
      <w:r w:rsidRPr="00B004EE">
        <w:rPr>
          <w:rFonts w:ascii="Tahoma" w:hAnsi="Tahoma" w:cs="Tahoma"/>
          <w:sz w:val="20"/>
          <w:szCs w:val="20"/>
        </w:rPr>
        <w:t>maritimes.</w:t>
      </w:r>
    </w:p>
    <w:p w14:paraId="20C70CC2" w14:textId="09898112" w:rsidR="001E7C3C" w:rsidRPr="00B004EE" w:rsidRDefault="001E7C3C" w:rsidP="00B004EE">
      <w:pPr>
        <w:pStyle w:val="Corpsdetexte"/>
        <w:ind w:right="159"/>
        <w:rPr>
          <w:rFonts w:ascii="Tahoma" w:hAnsi="Tahoma" w:cs="Tahoma"/>
          <w:sz w:val="20"/>
          <w:szCs w:val="20"/>
        </w:rPr>
      </w:pPr>
      <w:r w:rsidRPr="00B004EE">
        <w:rPr>
          <w:rFonts w:ascii="Tahoma" w:hAnsi="Tahoma" w:cs="Tahoma"/>
          <w:sz w:val="20"/>
          <w:szCs w:val="20"/>
        </w:rPr>
        <w:t>Sans</w:t>
      </w:r>
      <w:r w:rsidR="00DB1635" w:rsidRPr="00B004EE">
        <w:rPr>
          <w:rFonts w:ascii="Tahoma" w:hAnsi="Tahoma" w:cs="Tahoma"/>
          <w:sz w:val="20"/>
          <w:szCs w:val="20"/>
        </w:rPr>
        <w:t xml:space="preserve"> </w:t>
      </w:r>
      <w:r w:rsidRPr="00B004EE">
        <w:rPr>
          <w:rFonts w:ascii="Tahoma" w:hAnsi="Tahoma" w:cs="Tahoma"/>
          <w:sz w:val="20"/>
          <w:szCs w:val="20"/>
        </w:rPr>
        <w:t>préjudice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normes</w:t>
      </w:r>
      <w:r w:rsidR="00DB1635" w:rsidRPr="00B004EE">
        <w:rPr>
          <w:rFonts w:ascii="Tahoma" w:hAnsi="Tahoma" w:cs="Tahoma"/>
          <w:sz w:val="20"/>
          <w:szCs w:val="20"/>
        </w:rPr>
        <w:t xml:space="preserve"> </w:t>
      </w:r>
      <w:r w:rsidRPr="00B004EE">
        <w:rPr>
          <w:rFonts w:ascii="Tahoma" w:hAnsi="Tahoma" w:cs="Tahoma"/>
          <w:sz w:val="20"/>
          <w:szCs w:val="20"/>
        </w:rPr>
        <w:t>relatives</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eastAsia="American Typewriter" w:hAnsi="Tahoma" w:cs="Tahoma"/>
          <w:sz w:val="20"/>
          <w:szCs w:val="20"/>
        </w:rPr>
        <w:t>autres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dispositifs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d’identification,</w:t>
      </w:r>
      <w:r w:rsidR="00DB1635" w:rsidRPr="00B004EE">
        <w:rPr>
          <w:rFonts w:ascii="Tahoma" w:eastAsia="American Typewriter" w:hAnsi="Tahoma" w:cs="Tahoma"/>
          <w:spacing w:val="4"/>
          <w:sz w:val="20"/>
          <w:szCs w:val="20"/>
        </w:rPr>
        <w:t xml:space="preserve"> </w:t>
      </w:r>
      <w:r w:rsidRPr="00B004EE">
        <w:rPr>
          <w:rFonts w:ascii="Tahoma" w:eastAsia="American Typewriter" w:hAnsi="Tahoma" w:cs="Tahoma"/>
          <w:sz w:val="20"/>
          <w:szCs w:val="20"/>
        </w:rPr>
        <w:t>les</w:t>
      </w:r>
      <w:r w:rsidR="00DB1635" w:rsidRPr="00B004EE">
        <w:rPr>
          <w:rFonts w:ascii="Tahoma" w:eastAsia="American Typewriter" w:hAnsi="Tahoma" w:cs="Tahoma"/>
          <w:w w:val="94"/>
          <w:sz w:val="20"/>
          <w:szCs w:val="20"/>
        </w:rPr>
        <w:t xml:space="preserve"> </w:t>
      </w:r>
      <w:r w:rsidRPr="00B004EE">
        <w:rPr>
          <w:rFonts w:ascii="Tahoma" w:hAnsi="Tahoma" w:cs="Tahoma"/>
          <w:sz w:val="20"/>
          <w:szCs w:val="20"/>
        </w:rPr>
        <w:t>navires</w:t>
      </w:r>
      <w:r w:rsidR="00DB1635" w:rsidRPr="00B004EE">
        <w:rPr>
          <w:rFonts w:ascii="Tahoma" w:hAnsi="Tahoma" w:cs="Tahoma"/>
          <w:spacing w:val="-8"/>
          <w:sz w:val="20"/>
          <w:szCs w:val="20"/>
        </w:rPr>
        <w:t xml:space="preserve"> </w:t>
      </w:r>
      <w:r w:rsidRPr="00B004EE">
        <w:rPr>
          <w:rFonts w:ascii="Tahoma" w:hAnsi="Tahoma" w:cs="Tahoma"/>
          <w:sz w:val="20"/>
          <w:szCs w:val="20"/>
        </w:rPr>
        <w:t>de</w:t>
      </w:r>
      <w:r w:rsidR="00DB1635" w:rsidRPr="00B004EE">
        <w:rPr>
          <w:rFonts w:ascii="Tahoma" w:hAnsi="Tahoma" w:cs="Tahoma"/>
          <w:spacing w:val="-8"/>
          <w:sz w:val="20"/>
          <w:szCs w:val="20"/>
        </w:rPr>
        <w:t xml:space="preserve"> </w:t>
      </w:r>
      <w:r w:rsidRPr="00B004EE">
        <w:rPr>
          <w:rFonts w:ascii="Tahoma" w:hAnsi="Tahoma" w:cs="Tahoma"/>
          <w:sz w:val="20"/>
          <w:szCs w:val="20"/>
        </w:rPr>
        <w:t>pêche</w:t>
      </w:r>
      <w:r w:rsidR="00DB1635" w:rsidRPr="00B004EE">
        <w:rPr>
          <w:rFonts w:ascii="Tahoma" w:hAnsi="Tahoma" w:cs="Tahoma"/>
          <w:spacing w:val="-8"/>
          <w:sz w:val="20"/>
          <w:szCs w:val="20"/>
        </w:rPr>
        <w:t xml:space="preserve"> </w:t>
      </w:r>
      <w:r w:rsidRPr="00B004EE">
        <w:rPr>
          <w:rFonts w:ascii="Tahoma" w:hAnsi="Tahoma" w:cs="Tahoma"/>
          <w:sz w:val="20"/>
          <w:szCs w:val="20"/>
        </w:rPr>
        <w:t>autorisés</w:t>
      </w:r>
      <w:r w:rsidR="00DB1635" w:rsidRPr="00B004EE">
        <w:rPr>
          <w:rFonts w:ascii="Tahoma" w:hAnsi="Tahoma" w:cs="Tahoma"/>
          <w:spacing w:val="-9"/>
          <w:sz w:val="20"/>
          <w:szCs w:val="20"/>
        </w:rPr>
        <w:t xml:space="preserve"> </w:t>
      </w:r>
      <w:r w:rsidRPr="00B004EE">
        <w:rPr>
          <w:rFonts w:ascii="Tahoma" w:hAnsi="Tahoma" w:cs="Tahoma"/>
          <w:sz w:val="20"/>
          <w:szCs w:val="20"/>
        </w:rPr>
        <w:t>à</w:t>
      </w:r>
      <w:r w:rsidR="00DB1635" w:rsidRPr="00B004EE">
        <w:rPr>
          <w:rFonts w:ascii="Tahoma" w:hAnsi="Tahoma" w:cs="Tahoma"/>
          <w:spacing w:val="-7"/>
          <w:sz w:val="20"/>
          <w:szCs w:val="20"/>
        </w:rPr>
        <w:t xml:space="preserve"> </w:t>
      </w:r>
      <w:r w:rsidRPr="00B004EE">
        <w:rPr>
          <w:rFonts w:ascii="Tahoma" w:hAnsi="Tahoma" w:cs="Tahoma"/>
          <w:sz w:val="20"/>
          <w:szCs w:val="20"/>
        </w:rPr>
        <w:t>opérer</w:t>
      </w:r>
      <w:r w:rsidR="00DB1635" w:rsidRPr="00B004EE">
        <w:rPr>
          <w:rFonts w:ascii="Tahoma" w:hAnsi="Tahoma" w:cs="Tahoma"/>
          <w:spacing w:val="-8"/>
          <w:sz w:val="20"/>
          <w:szCs w:val="20"/>
        </w:rPr>
        <w:t xml:space="preserve"> </w:t>
      </w:r>
      <w:r w:rsidRPr="00B004EE">
        <w:rPr>
          <w:rFonts w:ascii="Tahoma" w:hAnsi="Tahoma" w:cs="Tahoma"/>
          <w:sz w:val="20"/>
          <w:szCs w:val="20"/>
        </w:rPr>
        <w:t>dans</w:t>
      </w:r>
      <w:r w:rsidR="00DB1635" w:rsidRPr="00B004EE">
        <w:rPr>
          <w:rFonts w:ascii="Tahoma" w:hAnsi="Tahoma" w:cs="Tahoma"/>
          <w:spacing w:val="-8"/>
          <w:sz w:val="20"/>
          <w:szCs w:val="20"/>
        </w:rPr>
        <w:t xml:space="preserve"> </w:t>
      </w:r>
      <w:r w:rsidRPr="00B004EE">
        <w:rPr>
          <w:rFonts w:ascii="Tahoma" w:hAnsi="Tahoma" w:cs="Tahoma"/>
          <w:sz w:val="20"/>
          <w:szCs w:val="20"/>
        </w:rPr>
        <w:t>les</w:t>
      </w:r>
      <w:r w:rsidR="00DB1635" w:rsidRPr="00B004EE">
        <w:rPr>
          <w:rFonts w:ascii="Tahoma" w:hAnsi="Tahoma" w:cs="Tahoma"/>
          <w:spacing w:val="-8"/>
          <w:sz w:val="20"/>
          <w:szCs w:val="20"/>
        </w:rPr>
        <w:t xml:space="preserve"> </w:t>
      </w:r>
      <w:r w:rsidRPr="00B004EE">
        <w:rPr>
          <w:rFonts w:ascii="Tahoma" w:hAnsi="Tahoma" w:cs="Tahoma"/>
          <w:sz w:val="20"/>
          <w:szCs w:val="20"/>
        </w:rPr>
        <w:t>eaux</w:t>
      </w:r>
      <w:r w:rsidR="00DB1635" w:rsidRPr="00B004EE">
        <w:rPr>
          <w:rFonts w:ascii="Tahoma" w:hAnsi="Tahoma" w:cs="Tahoma"/>
          <w:spacing w:val="-7"/>
          <w:sz w:val="20"/>
          <w:szCs w:val="20"/>
        </w:rPr>
        <w:t xml:space="preserve"> </w:t>
      </w:r>
      <w:r w:rsidRPr="00B004EE">
        <w:rPr>
          <w:rFonts w:ascii="Tahoma" w:hAnsi="Tahoma" w:cs="Tahoma"/>
          <w:sz w:val="20"/>
          <w:szCs w:val="20"/>
        </w:rPr>
        <w:t>sous</w:t>
      </w:r>
      <w:r w:rsidR="00DB1635" w:rsidRPr="00B004EE">
        <w:rPr>
          <w:rFonts w:ascii="Tahoma" w:hAnsi="Tahoma" w:cs="Tahoma"/>
          <w:spacing w:val="-8"/>
          <w:sz w:val="20"/>
          <w:szCs w:val="20"/>
        </w:rPr>
        <w:t xml:space="preserve"> </w:t>
      </w:r>
      <w:r w:rsidRPr="00B004EE">
        <w:rPr>
          <w:rFonts w:ascii="Tahoma" w:hAnsi="Tahoma" w:cs="Tahoma"/>
          <w:sz w:val="20"/>
          <w:szCs w:val="20"/>
        </w:rPr>
        <w:t>juridiction</w:t>
      </w:r>
      <w:r w:rsidR="00DB1635" w:rsidRPr="00B004EE">
        <w:rPr>
          <w:rFonts w:ascii="Tahoma" w:hAnsi="Tahoma" w:cs="Tahoma"/>
          <w:spacing w:val="-8"/>
          <w:sz w:val="20"/>
          <w:szCs w:val="20"/>
        </w:rPr>
        <w:t xml:space="preserve"> </w:t>
      </w:r>
      <w:r w:rsidRPr="00B004EE">
        <w:rPr>
          <w:rFonts w:ascii="Tahoma" w:hAnsi="Tahoma" w:cs="Tahoma"/>
          <w:sz w:val="20"/>
          <w:szCs w:val="20"/>
        </w:rPr>
        <w:t>mauritanienne</w:t>
      </w:r>
      <w:r w:rsidR="00DB1635" w:rsidRPr="00B004EE">
        <w:rPr>
          <w:rFonts w:ascii="Tahoma" w:hAnsi="Tahoma" w:cs="Tahoma"/>
          <w:w w:val="95"/>
          <w:sz w:val="20"/>
          <w:szCs w:val="20"/>
        </w:rPr>
        <w:t xml:space="preserve"> </w:t>
      </w:r>
      <w:r w:rsidRPr="00B004EE">
        <w:rPr>
          <w:rFonts w:ascii="Tahoma" w:hAnsi="Tahoma" w:cs="Tahoma"/>
          <w:sz w:val="20"/>
          <w:szCs w:val="20"/>
        </w:rPr>
        <w:t>devront</w:t>
      </w:r>
      <w:r w:rsidR="00DB1635" w:rsidRPr="00B004EE">
        <w:rPr>
          <w:rFonts w:ascii="Tahoma" w:hAnsi="Tahoma" w:cs="Tahoma"/>
          <w:spacing w:val="34"/>
          <w:sz w:val="20"/>
          <w:szCs w:val="20"/>
        </w:rPr>
        <w:t xml:space="preserve"> </w:t>
      </w:r>
      <w:r w:rsidRPr="00B004EE">
        <w:rPr>
          <w:rFonts w:ascii="Tahoma" w:hAnsi="Tahoma" w:cs="Tahoma"/>
          <w:sz w:val="20"/>
          <w:szCs w:val="20"/>
        </w:rPr>
        <w:t>exhiber</w:t>
      </w:r>
      <w:r w:rsidR="00DB1635" w:rsidRPr="00B004EE">
        <w:rPr>
          <w:rFonts w:ascii="Tahoma" w:hAnsi="Tahoma" w:cs="Tahoma"/>
          <w:spacing w:val="34"/>
          <w:sz w:val="20"/>
          <w:szCs w:val="20"/>
        </w:rPr>
        <w:t xml:space="preserve"> </w:t>
      </w:r>
      <w:r w:rsidRPr="00B004EE">
        <w:rPr>
          <w:rFonts w:ascii="Tahoma" w:hAnsi="Tahoma" w:cs="Tahoma"/>
          <w:sz w:val="20"/>
          <w:szCs w:val="20"/>
        </w:rPr>
        <w:t>en</w:t>
      </w:r>
      <w:r w:rsidR="00DB1635" w:rsidRPr="00B004EE">
        <w:rPr>
          <w:rFonts w:ascii="Tahoma" w:hAnsi="Tahoma" w:cs="Tahoma"/>
          <w:spacing w:val="34"/>
          <w:sz w:val="20"/>
          <w:szCs w:val="20"/>
        </w:rPr>
        <w:t xml:space="preserve"> </w:t>
      </w:r>
      <w:r w:rsidRPr="00B004EE">
        <w:rPr>
          <w:rFonts w:ascii="Tahoma" w:hAnsi="Tahoma" w:cs="Tahoma"/>
          <w:sz w:val="20"/>
          <w:szCs w:val="20"/>
        </w:rPr>
        <w:t>permanence</w:t>
      </w:r>
      <w:r w:rsidR="00DB1635" w:rsidRPr="00B004EE">
        <w:rPr>
          <w:rFonts w:ascii="Tahoma" w:hAnsi="Tahoma" w:cs="Tahoma"/>
          <w:spacing w:val="33"/>
          <w:sz w:val="20"/>
          <w:szCs w:val="20"/>
        </w:rPr>
        <w:t xml:space="preserve"> </w:t>
      </w:r>
      <w:r w:rsidRPr="00B004EE">
        <w:rPr>
          <w:rFonts w:ascii="Tahoma" w:hAnsi="Tahoma" w:cs="Tahoma"/>
          <w:sz w:val="20"/>
          <w:szCs w:val="20"/>
        </w:rPr>
        <w:t>les</w:t>
      </w:r>
      <w:r w:rsidR="00DB1635" w:rsidRPr="00B004EE">
        <w:rPr>
          <w:rFonts w:ascii="Tahoma" w:hAnsi="Tahoma" w:cs="Tahoma"/>
          <w:spacing w:val="32"/>
          <w:sz w:val="20"/>
          <w:szCs w:val="20"/>
        </w:rPr>
        <w:t xml:space="preserve"> </w:t>
      </w:r>
      <w:r w:rsidRPr="00B004EE">
        <w:rPr>
          <w:rFonts w:ascii="Tahoma" w:hAnsi="Tahoma" w:cs="Tahoma"/>
          <w:sz w:val="20"/>
          <w:szCs w:val="20"/>
        </w:rPr>
        <w:t>noms,</w:t>
      </w:r>
      <w:r w:rsidR="00DB1635" w:rsidRPr="00B004EE">
        <w:rPr>
          <w:rFonts w:ascii="Tahoma" w:hAnsi="Tahoma" w:cs="Tahoma"/>
          <w:spacing w:val="33"/>
          <w:sz w:val="20"/>
          <w:szCs w:val="20"/>
        </w:rPr>
        <w:t xml:space="preserve"> </w:t>
      </w:r>
      <w:r w:rsidRPr="00B004EE">
        <w:rPr>
          <w:rFonts w:ascii="Tahoma" w:hAnsi="Tahoma" w:cs="Tahoma"/>
          <w:sz w:val="20"/>
          <w:szCs w:val="20"/>
        </w:rPr>
        <w:t>lettres</w:t>
      </w:r>
      <w:r w:rsidR="00DB1635" w:rsidRPr="00B004EE">
        <w:rPr>
          <w:rFonts w:ascii="Tahoma" w:hAnsi="Tahoma" w:cs="Tahoma"/>
          <w:spacing w:val="32"/>
          <w:sz w:val="20"/>
          <w:szCs w:val="20"/>
        </w:rPr>
        <w:t xml:space="preserve"> </w:t>
      </w:r>
      <w:r w:rsidRPr="00B004EE">
        <w:rPr>
          <w:rFonts w:ascii="Tahoma" w:hAnsi="Tahoma" w:cs="Tahoma"/>
          <w:sz w:val="20"/>
          <w:szCs w:val="20"/>
        </w:rPr>
        <w:t>et</w:t>
      </w:r>
      <w:r w:rsidR="00DB1635" w:rsidRPr="00B004EE">
        <w:rPr>
          <w:rFonts w:ascii="Tahoma" w:hAnsi="Tahoma" w:cs="Tahoma"/>
          <w:spacing w:val="33"/>
          <w:sz w:val="20"/>
          <w:szCs w:val="20"/>
        </w:rPr>
        <w:t xml:space="preserve"> </w:t>
      </w:r>
      <w:r w:rsidRPr="00B004EE">
        <w:rPr>
          <w:rFonts w:ascii="Tahoma" w:hAnsi="Tahoma" w:cs="Tahoma"/>
          <w:sz w:val="20"/>
          <w:szCs w:val="20"/>
        </w:rPr>
        <w:t>numéros</w:t>
      </w:r>
      <w:r w:rsidR="00DB1635" w:rsidRPr="00B004EE">
        <w:rPr>
          <w:rFonts w:ascii="Tahoma" w:hAnsi="Tahoma" w:cs="Tahoma"/>
          <w:spacing w:val="32"/>
          <w:sz w:val="20"/>
          <w:szCs w:val="20"/>
        </w:rPr>
        <w:t xml:space="preserve"> </w:t>
      </w:r>
      <w:r w:rsidRPr="00B004EE">
        <w:rPr>
          <w:rFonts w:ascii="Tahoma" w:hAnsi="Tahoma" w:cs="Tahoma"/>
          <w:sz w:val="20"/>
          <w:szCs w:val="20"/>
        </w:rPr>
        <w:t>permettant</w:t>
      </w:r>
      <w:r w:rsidR="00DB1635" w:rsidRPr="00B004EE">
        <w:rPr>
          <w:rFonts w:ascii="Tahoma" w:hAnsi="Tahoma" w:cs="Tahoma"/>
          <w:spacing w:val="33"/>
          <w:sz w:val="20"/>
          <w:szCs w:val="20"/>
        </w:rPr>
        <w:t xml:space="preserve"> </w:t>
      </w:r>
      <w:r w:rsidRPr="00B004EE">
        <w:rPr>
          <w:rFonts w:ascii="Tahoma" w:hAnsi="Tahoma" w:cs="Tahoma"/>
          <w:sz w:val="20"/>
          <w:szCs w:val="20"/>
        </w:rPr>
        <w:t>leur</w:t>
      </w:r>
      <w:r w:rsidR="00DB1635" w:rsidRPr="00B004EE">
        <w:rPr>
          <w:rFonts w:ascii="Tahoma" w:hAnsi="Tahoma" w:cs="Tahoma"/>
          <w:w w:val="94"/>
          <w:sz w:val="20"/>
          <w:szCs w:val="20"/>
        </w:rPr>
        <w:t xml:space="preserve"> </w:t>
      </w:r>
      <w:r w:rsidRPr="00B004EE">
        <w:rPr>
          <w:rFonts w:ascii="Tahoma" w:hAnsi="Tahoma" w:cs="Tahoma"/>
          <w:sz w:val="20"/>
          <w:szCs w:val="20"/>
        </w:rPr>
        <w:t>identification</w:t>
      </w:r>
      <w:r w:rsidR="00DB1635" w:rsidRPr="00B004EE">
        <w:rPr>
          <w:rFonts w:ascii="Tahoma" w:hAnsi="Tahoma" w:cs="Tahoma"/>
          <w:sz w:val="20"/>
          <w:szCs w:val="20"/>
        </w:rPr>
        <w:t xml:space="preserve"> </w:t>
      </w:r>
      <w:r w:rsidRPr="00B004EE">
        <w:rPr>
          <w:rFonts w:ascii="Tahoma" w:hAnsi="Tahoma" w:cs="Tahoma"/>
          <w:sz w:val="20"/>
          <w:szCs w:val="20"/>
        </w:rPr>
        <w:t>conformément</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règles</w:t>
      </w:r>
      <w:r w:rsidR="00DB1635" w:rsidRPr="00B004EE">
        <w:rPr>
          <w:rFonts w:ascii="Tahoma" w:hAnsi="Tahoma" w:cs="Tahoma"/>
          <w:sz w:val="20"/>
          <w:szCs w:val="20"/>
        </w:rPr>
        <w:t xml:space="preserve"> </w:t>
      </w:r>
      <w:r w:rsidRPr="00B004EE">
        <w:rPr>
          <w:rFonts w:ascii="Tahoma" w:hAnsi="Tahoma" w:cs="Tahoma"/>
          <w:sz w:val="20"/>
          <w:szCs w:val="20"/>
        </w:rPr>
        <w:t>qui</w:t>
      </w:r>
      <w:r w:rsidR="00DB1635" w:rsidRPr="00B004EE">
        <w:rPr>
          <w:rFonts w:ascii="Tahoma" w:hAnsi="Tahoma" w:cs="Tahoma"/>
          <w:sz w:val="20"/>
          <w:szCs w:val="20"/>
        </w:rPr>
        <w:t xml:space="preserve"> </w:t>
      </w:r>
      <w:r w:rsidRPr="00B004EE">
        <w:rPr>
          <w:rFonts w:ascii="Tahoma" w:hAnsi="Tahoma" w:cs="Tahoma"/>
          <w:sz w:val="20"/>
          <w:szCs w:val="20"/>
        </w:rPr>
        <w:t>auront</w:t>
      </w:r>
      <w:r w:rsidR="00DB1635" w:rsidRPr="00B004EE">
        <w:rPr>
          <w:rFonts w:ascii="Tahoma" w:hAnsi="Tahoma" w:cs="Tahoma"/>
          <w:sz w:val="20"/>
          <w:szCs w:val="20"/>
        </w:rPr>
        <w:t xml:space="preserve"> </w:t>
      </w:r>
      <w:r w:rsidRPr="00B004EE">
        <w:rPr>
          <w:rFonts w:ascii="Tahoma" w:hAnsi="Tahoma" w:cs="Tahoma"/>
          <w:sz w:val="20"/>
          <w:szCs w:val="20"/>
        </w:rPr>
        <w:t>été</w:t>
      </w:r>
      <w:r w:rsidR="00DB1635" w:rsidRPr="00B004EE">
        <w:rPr>
          <w:rFonts w:ascii="Tahoma" w:hAnsi="Tahoma" w:cs="Tahoma"/>
          <w:sz w:val="20"/>
          <w:szCs w:val="20"/>
        </w:rPr>
        <w:t xml:space="preserve"> </w:t>
      </w:r>
      <w:r w:rsidRPr="00B004EE">
        <w:rPr>
          <w:rFonts w:ascii="Tahoma" w:hAnsi="Tahoma" w:cs="Tahoma"/>
          <w:sz w:val="20"/>
          <w:szCs w:val="20"/>
        </w:rPr>
        <w:t>prescrites</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pacing w:val="26"/>
          <w:sz w:val="20"/>
          <w:szCs w:val="20"/>
        </w:rPr>
        <w:t xml:space="preserve"> </w:t>
      </w:r>
      <w:r w:rsidRPr="00B004EE">
        <w:rPr>
          <w:rFonts w:ascii="Tahoma" w:hAnsi="Tahoma" w:cs="Tahoma"/>
          <w:sz w:val="20"/>
          <w:szCs w:val="20"/>
        </w:rPr>
        <w:t>voie</w:t>
      </w:r>
      <w:r w:rsidR="00DB1635" w:rsidRPr="00B004EE">
        <w:rPr>
          <w:rFonts w:ascii="Tahoma" w:hAnsi="Tahoma" w:cs="Tahoma"/>
          <w:w w:val="94"/>
          <w:sz w:val="20"/>
          <w:szCs w:val="20"/>
        </w:rPr>
        <w:t xml:space="preserve"> </w:t>
      </w:r>
      <w:r w:rsidRPr="00B004EE">
        <w:rPr>
          <w:rFonts w:ascii="Tahoma" w:hAnsi="Tahoma" w:cs="Tahoma"/>
          <w:w w:val="95"/>
          <w:sz w:val="20"/>
          <w:szCs w:val="20"/>
        </w:rPr>
        <w:t>réglementaire</w:t>
      </w:r>
      <w:r w:rsidR="00DB1635" w:rsidRPr="00B004EE">
        <w:rPr>
          <w:rFonts w:ascii="Tahoma" w:hAnsi="Tahoma" w:cs="Tahoma"/>
          <w:w w:val="95"/>
          <w:sz w:val="20"/>
          <w:szCs w:val="20"/>
        </w:rPr>
        <w:t xml:space="preserve"> </w:t>
      </w:r>
      <w:r w:rsidRPr="00B004EE">
        <w:rPr>
          <w:rFonts w:ascii="Tahoma" w:hAnsi="Tahoma" w:cs="Tahoma"/>
          <w:w w:val="95"/>
          <w:sz w:val="20"/>
          <w:szCs w:val="20"/>
        </w:rPr>
        <w:t>concernant</w:t>
      </w:r>
      <w:r w:rsidR="00DB1635" w:rsidRPr="00B004EE">
        <w:rPr>
          <w:rFonts w:ascii="Tahoma" w:hAnsi="Tahoma" w:cs="Tahoma"/>
          <w:w w:val="95"/>
          <w:sz w:val="20"/>
          <w:szCs w:val="20"/>
        </w:rPr>
        <w:t xml:space="preserve"> </w:t>
      </w:r>
      <w:r w:rsidRPr="00B004EE">
        <w:rPr>
          <w:rFonts w:ascii="Tahoma" w:hAnsi="Tahoma" w:cs="Tahoma"/>
          <w:w w:val="95"/>
          <w:sz w:val="20"/>
          <w:szCs w:val="20"/>
        </w:rPr>
        <w:t>notamment,</w:t>
      </w:r>
      <w:r w:rsidR="00DB1635" w:rsidRPr="00B004EE">
        <w:rPr>
          <w:rFonts w:ascii="Tahoma" w:hAnsi="Tahoma" w:cs="Tahoma"/>
          <w:w w:val="95"/>
          <w:sz w:val="20"/>
          <w:szCs w:val="20"/>
        </w:rPr>
        <w:t xml:space="preserve"> </w:t>
      </w:r>
      <w:r w:rsidRPr="00B004EE">
        <w:rPr>
          <w:rFonts w:ascii="Tahoma" w:hAnsi="Tahoma" w:cs="Tahoma"/>
          <w:w w:val="95"/>
          <w:sz w:val="20"/>
          <w:szCs w:val="20"/>
        </w:rPr>
        <w:t>leur</w:t>
      </w:r>
      <w:r w:rsidR="00DB1635" w:rsidRPr="00B004EE">
        <w:rPr>
          <w:rFonts w:ascii="Tahoma" w:hAnsi="Tahoma" w:cs="Tahoma"/>
          <w:w w:val="95"/>
          <w:sz w:val="20"/>
          <w:szCs w:val="20"/>
        </w:rPr>
        <w:t xml:space="preserve"> </w:t>
      </w:r>
      <w:r w:rsidRPr="00B004EE">
        <w:rPr>
          <w:rFonts w:ascii="Tahoma" w:hAnsi="Tahoma" w:cs="Tahoma"/>
          <w:w w:val="95"/>
          <w:sz w:val="20"/>
          <w:szCs w:val="20"/>
        </w:rPr>
        <w:t>couleur,</w:t>
      </w:r>
      <w:r w:rsidR="00DB1635" w:rsidRPr="00B004EE">
        <w:rPr>
          <w:rFonts w:ascii="Tahoma" w:hAnsi="Tahoma" w:cs="Tahoma"/>
          <w:w w:val="95"/>
          <w:sz w:val="20"/>
          <w:szCs w:val="20"/>
        </w:rPr>
        <w:t xml:space="preserve"> </w:t>
      </w:r>
      <w:r w:rsidRPr="00B004EE">
        <w:rPr>
          <w:rFonts w:ascii="Tahoma" w:hAnsi="Tahoma" w:cs="Tahoma"/>
          <w:w w:val="95"/>
          <w:sz w:val="20"/>
          <w:szCs w:val="20"/>
        </w:rPr>
        <w:t>dimensions</w:t>
      </w:r>
      <w:r w:rsidR="00DB1635" w:rsidRPr="00B004EE">
        <w:rPr>
          <w:rFonts w:ascii="Tahoma" w:hAnsi="Tahoma" w:cs="Tahoma"/>
          <w:w w:val="95"/>
          <w:sz w:val="20"/>
          <w:szCs w:val="20"/>
        </w:rPr>
        <w:t xml:space="preserve"> </w:t>
      </w:r>
      <w:r w:rsidRPr="00B004EE">
        <w:rPr>
          <w:rFonts w:ascii="Tahoma" w:hAnsi="Tahoma" w:cs="Tahoma"/>
          <w:w w:val="95"/>
          <w:sz w:val="20"/>
          <w:szCs w:val="20"/>
        </w:rPr>
        <w:t>et</w:t>
      </w:r>
      <w:r w:rsidR="00DB1635" w:rsidRPr="00B004EE">
        <w:rPr>
          <w:rFonts w:ascii="Tahoma" w:hAnsi="Tahoma" w:cs="Tahoma"/>
          <w:w w:val="95"/>
          <w:sz w:val="20"/>
          <w:szCs w:val="20"/>
        </w:rPr>
        <w:t xml:space="preserve"> </w:t>
      </w:r>
      <w:r w:rsidRPr="00B004EE">
        <w:rPr>
          <w:rFonts w:ascii="Tahoma" w:hAnsi="Tahoma" w:cs="Tahoma"/>
          <w:w w:val="95"/>
          <w:sz w:val="20"/>
          <w:szCs w:val="20"/>
        </w:rPr>
        <w:t>emplacement.</w:t>
      </w:r>
    </w:p>
    <w:p w14:paraId="0F413E6E" w14:textId="529CD77C" w:rsidR="001E7C3C" w:rsidRPr="00B004EE" w:rsidRDefault="001E7C3C" w:rsidP="00B004EE">
      <w:pPr>
        <w:pStyle w:val="Corpsdetexte"/>
        <w:ind w:right="162"/>
        <w:rPr>
          <w:rFonts w:ascii="Tahoma" w:hAnsi="Tahoma" w:cs="Tahoma"/>
          <w:sz w:val="20"/>
          <w:szCs w:val="20"/>
        </w:rPr>
      </w:pPr>
      <w:r w:rsidRPr="00B004EE">
        <w:rPr>
          <w:rFonts w:ascii="Tahoma" w:hAnsi="Tahoma" w:cs="Tahoma"/>
          <w:sz w:val="20"/>
          <w:szCs w:val="20"/>
        </w:rPr>
        <w:t>Il</w:t>
      </w:r>
      <w:r w:rsidR="00DB1635" w:rsidRPr="00B004EE">
        <w:rPr>
          <w:rFonts w:ascii="Tahoma" w:hAnsi="Tahoma" w:cs="Tahoma"/>
          <w:spacing w:val="-5"/>
          <w:sz w:val="20"/>
          <w:szCs w:val="20"/>
        </w:rPr>
        <w:t xml:space="preserve"> </w:t>
      </w:r>
      <w:r w:rsidRPr="00B004EE">
        <w:rPr>
          <w:rFonts w:ascii="Tahoma" w:hAnsi="Tahoma" w:cs="Tahoma"/>
          <w:sz w:val="20"/>
          <w:szCs w:val="20"/>
        </w:rPr>
        <w:t>est</w:t>
      </w:r>
      <w:r w:rsidR="00DB1635" w:rsidRPr="00B004EE">
        <w:rPr>
          <w:rFonts w:ascii="Tahoma" w:hAnsi="Tahoma" w:cs="Tahoma"/>
          <w:spacing w:val="-7"/>
          <w:sz w:val="20"/>
          <w:szCs w:val="20"/>
        </w:rPr>
        <w:t xml:space="preserve"> </w:t>
      </w:r>
      <w:r w:rsidRPr="00B004EE">
        <w:rPr>
          <w:rFonts w:ascii="Tahoma" w:hAnsi="Tahoma" w:cs="Tahoma"/>
          <w:sz w:val="20"/>
          <w:szCs w:val="20"/>
        </w:rPr>
        <w:t>interdit</w:t>
      </w:r>
      <w:r w:rsidR="00DB1635" w:rsidRPr="00B004EE">
        <w:rPr>
          <w:rFonts w:ascii="Tahoma" w:hAnsi="Tahoma" w:cs="Tahoma"/>
          <w:spacing w:val="-7"/>
          <w:sz w:val="20"/>
          <w:szCs w:val="20"/>
        </w:rPr>
        <w:t xml:space="preserve"> </w:t>
      </w:r>
      <w:r w:rsidRPr="00B004EE">
        <w:rPr>
          <w:rFonts w:ascii="Tahoma" w:hAnsi="Tahoma" w:cs="Tahoma"/>
          <w:sz w:val="20"/>
          <w:szCs w:val="20"/>
        </w:rPr>
        <w:t>d'effacer,</w:t>
      </w:r>
      <w:r w:rsidR="00DB1635" w:rsidRPr="00B004EE">
        <w:rPr>
          <w:rFonts w:ascii="Tahoma" w:hAnsi="Tahoma" w:cs="Tahoma"/>
          <w:spacing w:val="-6"/>
          <w:sz w:val="20"/>
          <w:szCs w:val="20"/>
        </w:rPr>
        <w:t xml:space="preserve"> </w:t>
      </w:r>
      <w:r w:rsidRPr="00B004EE">
        <w:rPr>
          <w:rFonts w:ascii="Tahoma" w:hAnsi="Tahoma" w:cs="Tahoma"/>
          <w:sz w:val="20"/>
          <w:szCs w:val="20"/>
        </w:rPr>
        <w:t>de</w:t>
      </w:r>
      <w:r w:rsidR="00DB1635" w:rsidRPr="00B004EE">
        <w:rPr>
          <w:rFonts w:ascii="Tahoma" w:hAnsi="Tahoma" w:cs="Tahoma"/>
          <w:spacing w:val="-8"/>
          <w:sz w:val="20"/>
          <w:szCs w:val="20"/>
        </w:rPr>
        <w:t xml:space="preserve"> </w:t>
      </w:r>
      <w:r w:rsidRPr="00B004EE">
        <w:rPr>
          <w:rFonts w:ascii="Tahoma" w:hAnsi="Tahoma" w:cs="Tahoma"/>
          <w:sz w:val="20"/>
          <w:szCs w:val="20"/>
        </w:rPr>
        <w:t>rendre</w:t>
      </w:r>
      <w:r w:rsidR="00DB1635" w:rsidRPr="00B004EE">
        <w:rPr>
          <w:rFonts w:ascii="Tahoma" w:hAnsi="Tahoma" w:cs="Tahoma"/>
          <w:spacing w:val="-8"/>
          <w:sz w:val="20"/>
          <w:szCs w:val="20"/>
        </w:rPr>
        <w:t xml:space="preserve"> </w:t>
      </w:r>
      <w:r w:rsidRPr="00B004EE">
        <w:rPr>
          <w:rFonts w:ascii="Tahoma" w:hAnsi="Tahoma" w:cs="Tahoma"/>
          <w:sz w:val="20"/>
          <w:szCs w:val="20"/>
        </w:rPr>
        <w:t>méconnaissable,</w:t>
      </w:r>
      <w:r w:rsidR="00DB1635" w:rsidRPr="00B004EE">
        <w:rPr>
          <w:rFonts w:ascii="Tahoma" w:hAnsi="Tahoma" w:cs="Tahoma"/>
          <w:spacing w:val="-8"/>
          <w:sz w:val="20"/>
          <w:szCs w:val="20"/>
        </w:rPr>
        <w:t xml:space="preserve"> </w:t>
      </w:r>
      <w:r w:rsidRPr="00B004EE">
        <w:rPr>
          <w:rFonts w:ascii="Tahoma" w:hAnsi="Tahoma" w:cs="Tahoma"/>
          <w:sz w:val="20"/>
          <w:szCs w:val="20"/>
        </w:rPr>
        <w:t>de</w:t>
      </w:r>
      <w:r w:rsidR="00DB1635" w:rsidRPr="00B004EE">
        <w:rPr>
          <w:rFonts w:ascii="Tahoma" w:hAnsi="Tahoma" w:cs="Tahoma"/>
          <w:spacing w:val="-8"/>
          <w:sz w:val="20"/>
          <w:szCs w:val="20"/>
        </w:rPr>
        <w:t xml:space="preserve"> </w:t>
      </w:r>
      <w:r w:rsidRPr="00B004EE">
        <w:rPr>
          <w:rFonts w:ascii="Tahoma" w:hAnsi="Tahoma" w:cs="Tahoma"/>
          <w:sz w:val="20"/>
          <w:szCs w:val="20"/>
        </w:rPr>
        <w:t>couvrir</w:t>
      </w:r>
      <w:r w:rsidR="00DB1635" w:rsidRPr="00B004EE">
        <w:rPr>
          <w:rFonts w:ascii="Tahoma" w:hAnsi="Tahoma" w:cs="Tahoma"/>
          <w:spacing w:val="-8"/>
          <w:sz w:val="20"/>
          <w:szCs w:val="20"/>
        </w:rPr>
        <w:t xml:space="preserve"> </w:t>
      </w:r>
      <w:r w:rsidRPr="00B004EE">
        <w:rPr>
          <w:rFonts w:ascii="Tahoma" w:hAnsi="Tahoma" w:cs="Tahoma"/>
          <w:sz w:val="20"/>
          <w:szCs w:val="20"/>
        </w:rPr>
        <w:t>ou</w:t>
      </w:r>
      <w:r w:rsidR="00DB1635" w:rsidRPr="00B004EE">
        <w:rPr>
          <w:rFonts w:ascii="Tahoma" w:hAnsi="Tahoma" w:cs="Tahoma"/>
          <w:spacing w:val="-8"/>
          <w:sz w:val="20"/>
          <w:szCs w:val="20"/>
        </w:rPr>
        <w:t xml:space="preserve"> </w:t>
      </w:r>
      <w:r w:rsidRPr="00B004EE">
        <w:rPr>
          <w:rFonts w:ascii="Tahoma" w:hAnsi="Tahoma" w:cs="Tahoma"/>
          <w:sz w:val="20"/>
          <w:szCs w:val="20"/>
        </w:rPr>
        <w:t>de</w:t>
      </w:r>
      <w:r w:rsidR="00DB1635" w:rsidRPr="00B004EE">
        <w:rPr>
          <w:rFonts w:ascii="Tahoma" w:hAnsi="Tahoma" w:cs="Tahoma"/>
          <w:spacing w:val="-8"/>
          <w:sz w:val="20"/>
          <w:szCs w:val="20"/>
        </w:rPr>
        <w:t xml:space="preserve"> </w:t>
      </w:r>
      <w:r w:rsidRPr="00B004EE">
        <w:rPr>
          <w:rFonts w:ascii="Tahoma" w:hAnsi="Tahoma" w:cs="Tahoma"/>
          <w:sz w:val="20"/>
          <w:szCs w:val="20"/>
        </w:rPr>
        <w:t>cacher</w:t>
      </w:r>
      <w:r w:rsidR="00DB1635" w:rsidRPr="00B004EE">
        <w:rPr>
          <w:rFonts w:ascii="Tahoma" w:hAnsi="Tahoma" w:cs="Tahoma"/>
          <w:spacing w:val="-9"/>
          <w:sz w:val="20"/>
          <w:szCs w:val="20"/>
        </w:rPr>
        <w:t xml:space="preserve"> </w:t>
      </w:r>
      <w:r w:rsidRPr="00B004EE">
        <w:rPr>
          <w:rFonts w:ascii="Tahoma" w:hAnsi="Tahoma" w:cs="Tahoma"/>
          <w:sz w:val="20"/>
          <w:szCs w:val="20"/>
        </w:rPr>
        <w:t>par</w:t>
      </w:r>
      <w:r w:rsidR="00DB1635" w:rsidRPr="00B004EE">
        <w:rPr>
          <w:rFonts w:ascii="Tahoma" w:hAnsi="Tahoma" w:cs="Tahoma"/>
          <w:spacing w:val="-8"/>
          <w:sz w:val="20"/>
          <w:szCs w:val="20"/>
        </w:rPr>
        <w:t xml:space="preserve"> </w:t>
      </w:r>
      <w:r w:rsidRPr="00B004EE">
        <w:rPr>
          <w:rFonts w:ascii="Tahoma" w:hAnsi="Tahoma" w:cs="Tahoma"/>
          <w:sz w:val="20"/>
          <w:szCs w:val="20"/>
        </w:rPr>
        <w:t>un</w:t>
      </w:r>
      <w:r w:rsidR="00DB1635" w:rsidRPr="00B004EE">
        <w:rPr>
          <w:rFonts w:ascii="Tahoma" w:hAnsi="Tahoma" w:cs="Tahoma"/>
          <w:w w:val="97"/>
          <w:sz w:val="20"/>
          <w:szCs w:val="20"/>
        </w:rPr>
        <w:t xml:space="preserve"> </w:t>
      </w:r>
      <w:r w:rsidRPr="00B004EE">
        <w:rPr>
          <w:rFonts w:ascii="Tahoma" w:hAnsi="Tahoma" w:cs="Tahoma"/>
          <w:sz w:val="20"/>
          <w:szCs w:val="20"/>
        </w:rPr>
        <w:t>moyen</w:t>
      </w:r>
      <w:r w:rsidR="00DB1635" w:rsidRPr="00B004EE">
        <w:rPr>
          <w:rFonts w:ascii="Tahoma" w:hAnsi="Tahoma" w:cs="Tahoma"/>
          <w:sz w:val="20"/>
          <w:szCs w:val="20"/>
        </w:rPr>
        <w:t xml:space="preserve"> </w:t>
      </w:r>
      <w:r w:rsidRPr="00B004EE">
        <w:rPr>
          <w:rFonts w:ascii="Tahoma" w:hAnsi="Tahoma" w:cs="Tahoma"/>
          <w:sz w:val="20"/>
          <w:szCs w:val="20"/>
        </w:rPr>
        <w:t>quelconque</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nom,</w:t>
      </w:r>
      <w:r w:rsidR="00DB1635" w:rsidRPr="00B004EE">
        <w:rPr>
          <w:rFonts w:ascii="Tahoma" w:hAnsi="Tahoma" w:cs="Tahoma"/>
          <w:sz w:val="20"/>
          <w:szCs w:val="20"/>
        </w:rPr>
        <w:t xml:space="preserve"> </w:t>
      </w:r>
      <w:r w:rsidRPr="00B004EE">
        <w:rPr>
          <w:rFonts w:ascii="Tahoma" w:hAnsi="Tahoma" w:cs="Tahoma"/>
          <w:sz w:val="20"/>
          <w:szCs w:val="20"/>
        </w:rPr>
        <w:t>lettres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numéros</w:t>
      </w:r>
      <w:r w:rsidR="00DB1635" w:rsidRPr="00B004EE">
        <w:rPr>
          <w:rFonts w:ascii="Tahoma" w:hAnsi="Tahoma" w:cs="Tahoma"/>
          <w:sz w:val="20"/>
          <w:szCs w:val="20"/>
        </w:rPr>
        <w:t xml:space="preserve"> </w:t>
      </w:r>
      <w:r w:rsidRPr="00B004EE">
        <w:rPr>
          <w:rFonts w:ascii="Tahoma" w:hAnsi="Tahoma" w:cs="Tahoma"/>
          <w:sz w:val="20"/>
          <w:szCs w:val="20"/>
        </w:rPr>
        <w:t>portés</w:t>
      </w:r>
      <w:r w:rsidR="00DB1635" w:rsidRPr="00B004EE">
        <w:rPr>
          <w:rFonts w:ascii="Tahoma" w:hAnsi="Tahoma" w:cs="Tahoma"/>
          <w:sz w:val="20"/>
          <w:szCs w:val="20"/>
        </w:rPr>
        <w:t xml:space="preserve"> </w:t>
      </w:r>
      <w:r w:rsidRPr="00B004EE">
        <w:rPr>
          <w:rFonts w:ascii="Tahoma" w:hAnsi="Tahoma" w:cs="Tahoma"/>
          <w:sz w:val="20"/>
          <w:szCs w:val="20"/>
        </w:rPr>
        <w:t>sur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navires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pacing w:val="10"/>
          <w:sz w:val="20"/>
          <w:szCs w:val="20"/>
        </w:rPr>
        <w:t xml:space="preserve"> </w:t>
      </w:r>
      <w:r w:rsidRPr="00B004EE">
        <w:rPr>
          <w:rFonts w:ascii="Tahoma" w:hAnsi="Tahoma" w:cs="Tahoma"/>
          <w:sz w:val="20"/>
          <w:szCs w:val="20"/>
        </w:rPr>
        <w:t>ou</w:t>
      </w:r>
      <w:r w:rsidR="00DB1635" w:rsidRPr="00B004EE">
        <w:rPr>
          <w:rFonts w:ascii="Tahoma" w:hAnsi="Tahoma" w:cs="Tahoma"/>
          <w:w w:val="95"/>
          <w:sz w:val="20"/>
          <w:szCs w:val="20"/>
        </w:rPr>
        <w:t xml:space="preserve"> </w:t>
      </w:r>
      <w:r w:rsidRPr="00B004EE">
        <w:rPr>
          <w:rFonts w:ascii="Tahoma" w:hAnsi="Tahoma" w:cs="Tahoma"/>
          <w:w w:val="95"/>
          <w:sz w:val="20"/>
          <w:szCs w:val="20"/>
        </w:rPr>
        <w:t>leurs</w:t>
      </w:r>
      <w:r w:rsidR="00DB1635" w:rsidRPr="00B004EE">
        <w:rPr>
          <w:rFonts w:ascii="Tahoma" w:hAnsi="Tahoma" w:cs="Tahoma"/>
          <w:spacing w:val="-14"/>
          <w:w w:val="95"/>
          <w:sz w:val="20"/>
          <w:szCs w:val="20"/>
        </w:rPr>
        <w:t xml:space="preserve"> </w:t>
      </w:r>
      <w:r w:rsidRPr="00B004EE">
        <w:rPr>
          <w:rFonts w:ascii="Tahoma" w:hAnsi="Tahoma" w:cs="Tahoma"/>
          <w:w w:val="95"/>
          <w:sz w:val="20"/>
          <w:szCs w:val="20"/>
        </w:rPr>
        <w:t>accessoires.</w:t>
      </w:r>
    </w:p>
    <w:p w14:paraId="5504C52C" w14:textId="395D94D3" w:rsidR="001E7C3C" w:rsidRPr="00B004EE" w:rsidRDefault="001E7C3C" w:rsidP="00B004EE">
      <w:pPr>
        <w:pStyle w:val="Corpsdetexte"/>
        <w:ind w:right="162"/>
        <w:rPr>
          <w:rFonts w:ascii="Tahoma" w:hAnsi="Tahoma" w:cs="Tahoma"/>
          <w:sz w:val="20"/>
          <w:szCs w:val="20"/>
        </w:rPr>
      </w:pP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arrêté</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ministre</w:t>
      </w:r>
      <w:r w:rsidR="00DB1635" w:rsidRPr="00B004EE">
        <w:rPr>
          <w:rFonts w:ascii="Tahoma" w:hAnsi="Tahoma" w:cs="Tahoma"/>
          <w:sz w:val="20"/>
          <w:szCs w:val="20"/>
        </w:rPr>
        <w:t xml:space="preserve"> </w:t>
      </w:r>
      <w:r w:rsidRPr="00B004EE">
        <w:rPr>
          <w:rFonts w:ascii="Tahoma" w:hAnsi="Tahoma" w:cs="Tahoma"/>
          <w:sz w:val="20"/>
          <w:szCs w:val="20"/>
        </w:rPr>
        <w:t>chargé</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sz w:val="20"/>
          <w:szCs w:val="20"/>
        </w:rPr>
        <w:t xml:space="preserve"> </w:t>
      </w:r>
      <w:r w:rsidRPr="00B004EE">
        <w:rPr>
          <w:rFonts w:ascii="Tahoma" w:hAnsi="Tahoma" w:cs="Tahoma"/>
          <w:sz w:val="20"/>
          <w:szCs w:val="20"/>
        </w:rPr>
        <w:t>pourra</w:t>
      </w:r>
      <w:r w:rsidR="00DB1635" w:rsidRPr="00B004EE">
        <w:rPr>
          <w:rFonts w:ascii="Tahoma" w:hAnsi="Tahoma" w:cs="Tahoma"/>
          <w:sz w:val="20"/>
          <w:szCs w:val="20"/>
        </w:rPr>
        <w:t xml:space="preserve"> </w:t>
      </w:r>
      <w:r w:rsidRPr="00B004EE">
        <w:rPr>
          <w:rFonts w:ascii="Tahoma" w:hAnsi="Tahoma" w:cs="Tahoma"/>
          <w:sz w:val="20"/>
          <w:szCs w:val="20"/>
        </w:rPr>
        <w:t>rendre</w:t>
      </w:r>
      <w:r w:rsidR="00DB1635" w:rsidRPr="00B004EE">
        <w:rPr>
          <w:rFonts w:ascii="Tahoma" w:hAnsi="Tahoma" w:cs="Tahoma"/>
          <w:sz w:val="20"/>
          <w:szCs w:val="20"/>
        </w:rPr>
        <w:t xml:space="preserve"> </w:t>
      </w:r>
      <w:r w:rsidRPr="00B004EE">
        <w:rPr>
          <w:rFonts w:ascii="Tahoma" w:hAnsi="Tahoma" w:cs="Tahoma"/>
          <w:sz w:val="20"/>
          <w:szCs w:val="20"/>
        </w:rPr>
        <w:t>obligatoire</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pacing w:val="-20"/>
          <w:sz w:val="20"/>
          <w:szCs w:val="20"/>
        </w:rPr>
        <w:t xml:space="preserve"> </w:t>
      </w:r>
      <w:r w:rsidRPr="00B004EE">
        <w:rPr>
          <w:rFonts w:ascii="Tahoma" w:hAnsi="Tahoma" w:cs="Tahoma"/>
          <w:sz w:val="20"/>
          <w:szCs w:val="20"/>
        </w:rPr>
        <w:t>dispositifs</w:t>
      </w:r>
      <w:r w:rsidR="00DB1635" w:rsidRPr="00B004EE">
        <w:rPr>
          <w:rFonts w:ascii="Tahoma" w:hAnsi="Tahoma" w:cs="Tahoma"/>
          <w:w w:val="94"/>
          <w:sz w:val="20"/>
          <w:szCs w:val="20"/>
        </w:rPr>
        <w:t xml:space="preserve"> </w:t>
      </w:r>
      <w:r w:rsidRPr="00B004EE">
        <w:rPr>
          <w:rFonts w:ascii="Tahoma" w:hAnsi="Tahoma" w:cs="Tahoma"/>
          <w:sz w:val="20"/>
          <w:szCs w:val="20"/>
        </w:rPr>
        <w:t>de</w:t>
      </w:r>
      <w:r w:rsidR="00DB1635" w:rsidRPr="00B004EE">
        <w:rPr>
          <w:rFonts w:ascii="Tahoma" w:hAnsi="Tahoma" w:cs="Tahoma"/>
          <w:spacing w:val="-33"/>
          <w:sz w:val="20"/>
          <w:szCs w:val="20"/>
        </w:rPr>
        <w:t xml:space="preserve"> </w:t>
      </w:r>
      <w:r w:rsidRPr="00B004EE">
        <w:rPr>
          <w:rFonts w:ascii="Tahoma" w:hAnsi="Tahoma" w:cs="Tahoma"/>
          <w:sz w:val="20"/>
          <w:szCs w:val="20"/>
        </w:rPr>
        <w:t>localisation</w:t>
      </w:r>
      <w:r w:rsidR="00DB1635" w:rsidRPr="00B004EE">
        <w:rPr>
          <w:rFonts w:ascii="Tahoma" w:hAnsi="Tahoma" w:cs="Tahoma"/>
          <w:spacing w:val="-33"/>
          <w:sz w:val="20"/>
          <w:szCs w:val="20"/>
        </w:rPr>
        <w:t xml:space="preserve"> </w:t>
      </w:r>
      <w:r w:rsidRPr="00B004EE">
        <w:rPr>
          <w:rFonts w:ascii="Tahoma" w:hAnsi="Tahoma" w:cs="Tahoma"/>
          <w:sz w:val="20"/>
          <w:szCs w:val="20"/>
        </w:rPr>
        <w:t>des</w:t>
      </w:r>
      <w:r w:rsidR="00DB1635" w:rsidRPr="00B004EE">
        <w:rPr>
          <w:rFonts w:ascii="Tahoma" w:hAnsi="Tahoma" w:cs="Tahoma"/>
          <w:spacing w:val="-33"/>
          <w:sz w:val="20"/>
          <w:szCs w:val="20"/>
        </w:rPr>
        <w:t xml:space="preserve"> </w:t>
      </w:r>
      <w:r w:rsidRPr="00B004EE">
        <w:rPr>
          <w:rFonts w:ascii="Tahoma" w:hAnsi="Tahoma" w:cs="Tahoma"/>
          <w:sz w:val="20"/>
          <w:szCs w:val="20"/>
        </w:rPr>
        <w:t>navires</w:t>
      </w:r>
      <w:r w:rsidR="00DB1635" w:rsidRPr="00B004EE">
        <w:rPr>
          <w:rFonts w:ascii="Tahoma" w:hAnsi="Tahoma" w:cs="Tahoma"/>
          <w:spacing w:val="-33"/>
          <w:sz w:val="20"/>
          <w:szCs w:val="20"/>
        </w:rPr>
        <w:t xml:space="preserve"> </w:t>
      </w:r>
      <w:r w:rsidRPr="00B004EE">
        <w:rPr>
          <w:rFonts w:ascii="Tahoma" w:hAnsi="Tahoma" w:cs="Tahoma"/>
          <w:sz w:val="20"/>
          <w:szCs w:val="20"/>
        </w:rPr>
        <w:t>de</w:t>
      </w:r>
      <w:r w:rsidR="00DB1635" w:rsidRPr="00B004EE">
        <w:rPr>
          <w:rFonts w:ascii="Tahoma" w:hAnsi="Tahoma" w:cs="Tahoma"/>
          <w:spacing w:val="-33"/>
          <w:sz w:val="20"/>
          <w:szCs w:val="20"/>
        </w:rPr>
        <w:t xml:space="preserve"> </w:t>
      </w:r>
      <w:r w:rsidRPr="00B004EE">
        <w:rPr>
          <w:rFonts w:ascii="Tahoma" w:hAnsi="Tahoma" w:cs="Tahoma"/>
          <w:sz w:val="20"/>
          <w:szCs w:val="20"/>
        </w:rPr>
        <w:t>pêche.</w:t>
      </w:r>
    </w:p>
    <w:p w14:paraId="14CD8EDB" w14:textId="77777777" w:rsidR="001E7C3C" w:rsidRPr="00B004EE" w:rsidRDefault="001E7C3C" w:rsidP="00B004EE">
      <w:pPr>
        <w:ind w:right="164" w:hanging="4"/>
        <w:jc w:val="center"/>
        <w:rPr>
          <w:rFonts w:ascii="Tahoma" w:hAnsi="Tahoma" w:cs="Tahoma"/>
          <w:b/>
          <w:spacing w:val="1"/>
          <w:w w:val="113"/>
          <w:sz w:val="20"/>
          <w:szCs w:val="20"/>
        </w:rPr>
      </w:pPr>
    </w:p>
    <w:p w14:paraId="2CEE115F" w14:textId="12CA841C" w:rsidR="001E7C3C" w:rsidRPr="00B004EE" w:rsidRDefault="001E7C3C" w:rsidP="00B004EE">
      <w:pPr>
        <w:ind w:right="164" w:hanging="4"/>
        <w:jc w:val="center"/>
        <w:rPr>
          <w:rFonts w:ascii="Tahoma" w:hAnsi="Tahoma" w:cs="Tahoma"/>
          <w:b/>
          <w:spacing w:val="1"/>
          <w:w w:val="113"/>
          <w:sz w:val="20"/>
          <w:szCs w:val="20"/>
        </w:rPr>
      </w:pPr>
      <w:bookmarkStart w:id="79" w:name="_Toc16279072"/>
      <w:bookmarkStart w:id="80" w:name="_Toc16279441"/>
      <w:r w:rsidRPr="00B004EE">
        <w:rPr>
          <w:rFonts w:ascii="Tahoma" w:hAnsi="Tahoma" w:cs="Tahoma"/>
          <w:b/>
          <w:spacing w:val="1"/>
          <w:w w:val="113"/>
          <w:sz w:val="20"/>
          <w:szCs w:val="20"/>
        </w:rPr>
        <w:t>Section</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11</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De</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la</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pêche</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exploratoire</w:t>
      </w:r>
      <w:bookmarkEnd w:id="79"/>
      <w:bookmarkEnd w:id="80"/>
    </w:p>
    <w:p w14:paraId="441D2AA0" w14:textId="77777777" w:rsidR="001E7C3C" w:rsidRPr="00B004EE" w:rsidRDefault="001E7C3C" w:rsidP="00B004EE">
      <w:pPr>
        <w:ind w:right="164" w:hanging="4"/>
        <w:jc w:val="center"/>
        <w:rPr>
          <w:rFonts w:ascii="Tahoma" w:hAnsi="Tahoma" w:cs="Tahoma"/>
          <w:b/>
          <w:spacing w:val="1"/>
          <w:w w:val="113"/>
          <w:sz w:val="20"/>
          <w:szCs w:val="20"/>
        </w:rPr>
      </w:pPr>
    </w:p>
    <w:p w14:paraId="2DF9100C" w14:textId="289AC97D" w:rsidR="001E7C3C" w:rsidRPr="00B004EE" w:rsidRDefault="001E7C3C" w:rsidP="00B004EE">
      <w:pPr>
        <w:pStyle w:val="Corpsdetexte"/>
        <w:ind w:right="157"/>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49</w:t>
      </w:r>
      <w:r w:rsidR="00DB1635" w:rsidRPr="00B004EE">
        <w:rPr>
          <w:rFonts w:ascii="Tahoma" w:hAnsi="Tahoma" w:cs="Tahoma"/>
          <w:bCs/>
          <w:sz w:val="20"/>
          <w:szCs w:val="20"/>
        </w:rPr>
        <w:t xml:space="preserve"> </w:t>
      </w:r>
      <w:r w:rsidRPr="00B004EE">
        <w:rPr>
          <w:rFonts w:ascii="Tahoma" w:hAnsi="Tahoma" w:cs="Tahoma"/>
          <w:bCs/>
          <w:sz w:val="20"/>
          <w:szCs w:val="20"/>
        </w:rPr>
        <w:t>:</w:t>
      </w:r>
      <w:r w:rsidR="00DB1635" w:rsidRPr="00B004EE">
        <w:rPr>
          <w:rFonts w:ascii="Tahoma" w:eastAsia="American Typewriter" w:hAnsi="Tahoma" w:cs="Tahoma"/>
          <w:b/>
          <w:bCs/>
          <w:spacing w:val="22"/>
          <w:sz w:val="20"/>
          <w:szCs w:val="20"/>
        </w:rPr>
        <w:t xml:space="preserve"> </w:t>
      </w:r>
      <w:r w:rsidRPr="00B004EE">
        <w:rPr>
          <w:rFonts w:ascii="Tahoma" w:hAnsi="Tahoma" w:cs="Tahoma"/>
          <w:sz w:val="20"/>
          <w:szCs w:val="20"/>
        </w:rPr>
        <w:t>Le</w:t>
      </w:r>
      <w:r w:rsidR="00DB1635" w:rsidRPr="00B004EE">
        <w:rPr>
          <w:rFonts w:ascii="Tahoma" w:hAnsi="Tahoma" w:cs="Tahoma"/>
          <w:spacing w:val="18"/>
          <w:sz w:val="20"/>
          <w:szCs w:val="20"/>
        </w:rPr>
        <w:t xml:space="preserve"> </w:t>
      </w:r>
      <w:r w:rsidRPr="00B004EE">
        <w:rPr>
          <w:rFonts w:ascii="Tahoma" w:hAnsi="Tahoma" w:cs="Tahoma"/>
          <w:sz w:val="20"/>
          <w:szCs w:val="20"/>
        </w:rPr>
        <w:t>ministre</w:t>
      </w:r>
      <w:r w:rsidR="00DB1635" w:rsidRPr="00B004EE">
        <w:rPr>
          <w:rFonts w:ascii="Tahoma" w:hAnsi="Tahoma" w:cs="Tahoma"/>
          <w:spacing w:val="18"/>
          <w:sz w:val="20"/>
          <w:szCs w:val="20"/>
        </w:rPr>
        <w:t xml:space="preserve"> </w:t>
      </w:r>
      <w:r w:rsidRPr="00B004EE">
        <w:rPr>
          <w:rFonts w:ascii="Tahoma" w:hAnsi="Tahoma" w:cs="Tahoma"/>
          <w:sz w:val="20"/>
          <w:szCs w:val="20"/>
        </w:rPr>
        <w:t>chargé</w:t>
      </w:r>
      <w:r w:rsidR="00DB1635" w:rsidRPr="00B004EE">
        <w:rPr>
          <w:rFonts w:ascii="Tahoma" w:hAnsi="Tahoma" w:cs="Tahoma"/>
          <w:spacing w:val="18"/>
          <w:sz w:val="20"/>
          <w:szCs w:val="20"/>
        </w:rPr>
        <w:t xml:space="preserve"> </w:t>
      </w:r>
      <w:r w:rsidRPr="00B004EE">
        <w:rPr>
          <w:rFonts w:ascii="Tahoma" w:hAnsi="Tahoma" w:cs="Tahoma"/>
          <w:sz w:val="20"/>
          <w:szCs w:val="20"/>
        </w:rPr>
        <w:t>des</w:t>
      </w:r>
      <w:r w:rsidR="00DB1635" w:rsidRPr="00B004EE">
        <w:rPr>
          <w:rFonts w:ascii="Tahoma" w:hAnsi="Tahoma" w:cs="Tahoma"/>
          <w:spacing w:val="17"/>
          <w:sz w:val="20"/>
          <w:szCs w:val="20"/>
        </w:rPr>
        <w:t xml:space="preserve"> </w:t>
      </w:r>
      <w:r w:rsidRPr="00B004EE">
        <w:rPr>
          <w:rFonts w:ascii="Tahoma" w:hAnsi="Tahoma" w:cs="Tahoma"/>
          <w:sz w:val="20"/>
          <w:szCs w:val="20"/>
        </w:rPr>
        <w:t>pêches</w:t>
      </w:r>
      <w:r w:rsidR="00DB1635" w:rsidRPr="00B004EE">
        <w:rPr>
          <w:rFonts w:ascii="Tahoma" w:hAnsi="Tahoma" w:cs="Tahoma"/>
          <w:spacing w:val="17"/>
          <w:sz w:val="20"/>
          <w:szCs w:val="20"/>
        </w:rPr>
        <w:t xml:space="preserve"> </w:t>
      </w:r>
      <w:r w:rsidRPr="00B004EE">
        <w:rPr>
          <w:rFonts w:ascii="Tahoma" w:hAnsi="Tahoma" w:cs="Tahoma"/>
          <w:sz w:val="20"/>
          <w:szCs w:val="20"/>
        </w:rPr>
        <w:t>peut</w:t>
      </w:r>
      <w:r w:rsidR="00DB1635" w:rsidRPr="00B004EE">
        <w:rPr>
          <w:rFonts w:ascii="Tahoma" w:hAnsi="Tahoma" w:cs="Tahoma"/>
          <w:spacing w:val="18"/>
          <w:sz w:val="20"/>
          <w:szCs w:val="20"/>
        </w:rPr>
        <w:t xml:space="preserve"> </w:t>
      </w:r>
      <w:r w:rsidRPr="00B004EE">
        <w:rPr>
          <w:rFonts w:ascii="Tahoma" w:hAnsi="Tahoma" w:cs="Tahoma"/>
          <w:sz w:val="20"/>
          <w:szCs w:val="20"/>
        </w:rPr>
        <w:t>garantir</w:t>
      </w:r>
      <w:r w:rsidR="00DB1635" w:rsidRPr="00B004EE">
        <w:rPr>
          <w:rFonts w:ascii="Tahoma" w:hAnsi="Tahoma" w:cs="Tahoma"/>
          <w:spacing w:val="17"/>
          <w:sz w:val="20"/>
          <w:szCs w:val="20"/>
        </w:rPr>
        <w:t xml:space="preserve"> </w:t>
      </w:r>
      <w:r w:rsidRPr="00B004EE">
        <w:rPr>
          <w:rFonts w:ascii="Tahoma" w:hAnsi="Tahoma" w:cs="Tahoma"/>
          <w:sz w:val="20"/>
          <w:szCs w:val="20"/>
        </w:rPr>
        <w:t>un</w:t>
      </w:r>
      <w:r w:rsidR="00DB1635" w:rsidRPr="00B004EE">
        <w:rPr>
          <w:rFonts w:ascii="Tahoma" w:hAnsi="Tahoma" w:cs="Tahoma"/>
          <w:spacing w:val="18"/>
          <w:sz w:val="20"/>
          <w:szCs w:val="20"/>
        </w:rPr>
        <w:t xml:space="preserve"> </w:t>
      </w:r>
      <w:r w:rsidRPr="00B004EE">
        <w:rPr>
          <w:rFonts w:ascii="Tahoma" w:hAnsi="Tahoma" w:cs="Tahoma"/>
          <w:sz w:val="20"/>
          <w:szCs w:val="20"/>
        </w:rPr>
        <w:t>droit</w:t>
      </w:r>
      <w:r w:rsidR="00DB1635" w:rsidRPr="00B004EE">
        <w:rPr>
          <w:rFonts w:ascii="Tahoma" w:hAnsi="Tahoma" w:cs="Tahoma"/>
          <w:spacing w:val="18"/>
          <w:sz w:val="20"/>
          <w:szCs w:val="20"/>
        </w:rPr>
        <w:t xml:space="preserve"> </w:t>
      </w:r>
      <w:r w:rsidRPr="00B004EE">
        <w:rPr>
          <w:rFonts w:ascii="Tahoma" w:hAnsi="Tahoma" w:cs="Tahoma"/>
          <w:sz w:val="20"/>
          <w:szCs w:val="20"/>
        </w:rPr>
        <w:t>d'usage</w:t>
      </w:r>
      <w:r w:rsidR="00DB1635" w:rsidRPr="00B004EE">
        <w:rPr>
          <w:rFonts w:ascii="Tahoma" w:hAnsi="Tahoma" w:cs="Tahoma"/>
          <w:spacing w:val="18"/>
          <w:sz w:val="20"/>
          <w:szCs w:val="20"/>
        </w:rPr>
        <w:t xml:space="preserve"> </w:t>
      </w:r>
      <w:r w:rsidRPr="00B004EE">
        <w:rPr>
          <w:rFonts w:ascii="Tahoma" w:hAnsi="Tahoma" w:cs="Tahoma"/>
          <w:sz w:val="20"/>
          <w:szCs w:val="20"/>
        </w:rPr>
        <w:t>pour</w:t>
      </w:r>
      <w:r w:rsidR="00DB1635" w:rsidRPr="00B004EE">
        <w:rPr>
          <w:rFonts w:ascii="Tahoma" w:hAnsi="Tahoma" w:cs="Tahoma"/>
          <w:w w:val="90"/>
          <w:sz w:val="20"/>
          <w:szCs w:val="20"/>
        </w:rPr>
        <w:t xml:space="preserve"> </w:t>
      </w:r>
      <w:r w:rsidRPr="00B004EE">
        <w:rPr>
          <w:rFonts w:ascii="Tahoma" w:hAnsi="Tahoma" w:cs="Tahoma"/>
          <w:sz w:val="20"/>
          <w:szCs w:val="20"/>
        </w:rPr>
        <w:t>explorer</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viabilité</w:t>
      </w:r>
      <w:r w:rsidR="00DB1635" w:rsidRPr="00B004EE">
        <w:rPr>
          <w:rFonts w:ascii="Tahoma" w:hAnsi="Tahoma" w:cs="Tahoma"/>
          <w:sz w:val="20"/>
          <w:szCs w:val="20"/>
        </w:rPr>
        <w:t xml:space="preserve"> </w:t>
      </w:r>
      <w:r w:rsidRPr="00B004EE">
        <w:rPr>
          <w:rFonts w:ascii="Tahoma" w:hAnsi="Tahoma" w:cs="Tahoma"/>
          <w:sz w:val="20"/>
          <w:szCs w:val="20"/>
        </w:rPr>
        <w:t>commerciale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durabilité</w:t>
      </w:r>
      <w:r w:rsidR="00DB1635" w:rsidRPr="00B004EE">
        <w:rPr>
          <w:rFonts w:ascii="Tahoma" w:hAnsi="Tahoma" w:cs="Tahoma"/>
          <w:sz w:val="20"/>
          <w:szCs w:val="20"/>
        </w:rPr>
        <w:t xml:space="preserve"> </w:t>
      </w:r>
      <w:r w:rsidRPr="00B004EE">
        <w:rPr>
          <w:rFonts w:ascii="Tahoma" w:hAnsi="Tahoma" w:cs="Tahoma"/>
          <w:sz w:val="20"/>
          <w:szCs w:val="20"/>
        </w:rPr>
        <w:t>biologique</w:t>
      </w:r>
      <w:r w:rsidR="00DB1635" w:rsidRPr="00B004EE">
        <w:rPr>
          <w:rFonts w:ascii="Tahoma" w:hAnsi="Tahoma" w:cs="Tahoma"/>
          <w:sz w:val="20"/>
          <w:szCs w:val="20"/>
        </w:rPr>
        <w:t xml:space="preserve"> </w:t>
      </w:r>
      <w:r w:rsidRPr="00B004EE">
        <w:rPr>
          <w:rFonts w:ascii="Tahoma" w:hAnsi="Tahoma" w:cs="Tahoma"/>
          <w:sz w:val="20"/>
          <w:szCs w:val="20"/>
        </w:rPr>
        <w:t>d'une</w:t>
      </w:r>
      <w:r w:rsidR="00DB1635" w:rsidRPr="00B004EE">
        <w:rPr>
          <w:rFonts w:ascii="Tahoma" w:hAnsi="Tahoma" w:cs="Tahoma"/>
          <w:spacing w:val="57"/>
          <w:sz w:val="20"/>
          <w:szCs w:val="20"/>
        </w:rPr>
        <w:t xml:space="preserve"> </w:t>
      </w:r>
      <w:r w:rsidRPr="00B004EE">
        <w:rPr>
          <w:rFonts w:ascii="Tahoma" w:hAnsi="Tahoma" w:cs="Tahoma"/>
          <w:sz w:val="20"/>
          <w:szCs w:val="20"/>
        </w:rPr>
        <w:t>ressource</w:t>
      </w:r>
      <w:r w:rsidR="00DB1635" w:rsidRPr="00B004EE">
        <w:rPr>
          <w:rFonts w:ascii="Tahoma" w:hAnsi="Tahoma" w:cs="Tahoma"/>
          <w:w w:val="94"/>
          <w:sz w:val="20"/>
          <w:szCs w:val="20"/>
        </w:rPr>
        <w:t xml:space="preserve"> </w:t>
      </w:r>
      <w:r w:rsidRPr="00B004EE">
        <w:rPr>
          <w:rFonts w:ascii="Tahoma" w:hAnsi="Tahoma" w:cs="Tahoma"/>
          <w:sz w:val="20"/>
          <w:szCs w:val="20"/>
        </w:rPr>
        <w:t>vivante</w:t>
      </w:r>
      <w:r w:rsidRPr="00B004EE">
        <w:rPr>
          <w:rFonts w:ascii="Tahoma" w:eastAsia="American Typewriter" w:hAnsi="Tahoma" w:cs="Tahoma"/>
          <w:sz w:val="20"/>
          <w:szCs w:val="20"/>
        </w:rPr>
        <w:t>,</w:t>
      </w:r>
      <w:r w:rsidR="00DB1635" w:rsidRPr="00B004EE">
        <w:rPr>
          <w:rFonts w:ascii="Tahoma" w:eastAsia="American Typewriter" w:hAnsi="Tahoma" w:cs="Tahoma"/>
          <w:spacing w:val="31"/>
          <w:sz w:val="20"/>
          <w:szCs w:val="20"/>
        </w:rPr>
        <w:t xml:space="preserve"> </w:t>
      </w:r>
      <w:r w:rsidRPr="00B004EE">
        <w:rPr>
          <w:rFonts w:ascii="Tahoma" w:eastAsia="American Typewriter" w:hAnsi="Tahoma" w:cs="Tahoma"/>
          <w:sz w:val="20"/>
          <w:szCs w:val="20"/>
        </w:rPr>
        <w:t>pour</w:t>
      </w:r>
      <w:r w:rsidR="00DB1635" w:rsidRPr="00B004EE">
        <w:rPr>
          <w:rFonts w:ascii="Tahoma" w:eastAsia="American Typewriter" w:hAnsi="Tahoma" w:cs="Tahoma"/>
          <w:spacing w:val="30"/>
          <w:sz w:val="20"/>
          <w:szCs w:val="20"/>
        </w:rPr>
        <w:t xml:space="preserve"> </w:t>
      </w:r>
      <w:r w:rsidRPr="00B004EE">
        <w:rPr>
          <w:rFonts w:ascii="Tahoma" w:eastAsia="American Typewriter" w:hAnsi="Tahoma" w:cs="Tahoma"/>
          <w:sz w:val="20"/>
          <w:szCs w:val="20"/>
        </w:rPr>
        <w:t>une</w:t>
      </w:r>
      <w:r w:rsidR="00DB1635" w:rsidRPr="00B004EE">
        <w:rPr>
          <w:rFonts w:ascii="Tahoma" w:eastAsia="American Typewriter" w:hAnsi="Tahoma" w:cs="Tahoma"/>
          <w:spacing w:val="31"/>
          <w:sz w:val="20"/>
          <w:szCs w:val="20"/>
        </w:rPr>
        <w:t xml:space="preserve"> </w:t>
      </w:r>
      <w:r w:rsidRPr="00B004EE">
        <w:rPr>
          <w:rFonts w:ascii="Tahoma" w:eastAsia="American Typewriter" w:hAnsi="Tahoma" w:cs="Tahoma"/>
          <w:sz w:val="20"/>
          <w:szCs w:val="20"/>
        </w:rPr>
        <w:t>période</w:t>
      </w:r>
      <w:r w:rsidR="00DB1635" w:rsidRPr="00B004EE">
        <w:rPr>
          <w:rFonts w:ascii="Tahoma" w:eastAsia="American Typewriter" w:hAnsi="Tahoma" w:cs="Tahoma"/>
          <w:spacing w:val="31"/>
          <w:sz w:val="20"/>
          <w:szCs w:val="20"/>
        </w:rPr>
        <w:t xml:space="preserve"> </w:t>
      </w:r>
      <w:r w:rsidRPr="00B004EE">
        <w:rPr>
          <w:rFonts w:ascii="Tahoma" w:eastAsia="American Typewriter" w:hAnsi="Tahoma" w:cs="Tahoma"/>
          <w:sz w:val="20"/>
          <w:szCs w:val="20"/>
        </w:rPr>
        <w:t>déterminée</w:t>
      </w:r>
      <w:r w:rsidR="00DB1635" w:rsidRPr="00B004EE">
        <w:rPr>
          <w:rFonts w:ascii="Tahoma" w:eastAsia="American Typewriter" w:hAnsi="Tahoma" w:cs="Tahoma"/>
          <w:spacing w:val="31"/>
          <w:sz w:val="20"/>
          <w:szCs w:val="20"/>
        </w:rPr>
        <w:t xml:space="preserve"> </w:t>
      </w:r>
      <w:r w:rsidRPr="00B004EE">
        <w:rPr>
          <w:rFonts w:ascii="Tahoma" w:eastAsia="American Typewriter" w:hAnsi="Tahoma" w:cs="Tahoma"/>
          <w:sz w:val="20"/>
          <w:szCs w:val="20"/>
        </w:rPr>
        <w:t>et</w:t>
      </w:r>
      <w:r w:rsidR="00DB1635" w:rsidRPr="00B004EE">
        <w:rPr>
          <w:rFonts w:ascii="Tahoma" w:eastAsia="American Typewriter" w:hAnsi="Tahoma" w:cs="Tahoma"/>
          <w:spacing w:val="31"/>
          <w:sz w:val="20"/>
          <w:szCs w:val="20"/>
        </w:rPr>
        <w:t xml:space="preserve"> </w:t>
      </w:r>
      <w:r w:rsidRPr="00B004EE">
        <w:rPr>
          <w:rFonts w:ascii="Tahoma" w:eastAsia="American Typewriter" w:hAnsi="Tahoma" w:cs="Tahoma"/>
          <w:sz w:val="20"/>
          <w:szCs w:val="20"/>
        </w:rPr>
        <w:t>ce</w:t>
      </w:r>
      <w:r w:rsidR="00DB1635" w:rsidRPr="00B004EE">
        <w:rPr>
          <w:rFonts w:ascii="Tahoma" w:eastAsia="American Typewriter" w:hAnsi="Tahoma" w:cs="Tahoma"/>
          <w:spacing w:val="31"/>
          <w:sz w:val="20"/>
          <w:szCs w:val="20"/>
        </w:rPr>
        <w:t xml:space="preserve"> </w:t>
      </w:r>
      <w:r w:rsidRPr="00B004EE">
        <w:rPr>
          <w:rFonts w:ascii="Tahoma" w:eastAsia="American Typewriter" w:hAnsi="Tahoma" w:cs="Tahoma"/>
          <w:sz w:val="20"/>
          <w:szCs w:val="20"/>
        </w:rPr>
        <w:t>aux</w:t>
      </w:r>
      <w:r w:rsidR="00DB1635" w:rsidRPr="00B004EE">
        <w:rPr>
          <w:rFonts w:ascii="Tahoma" w:eastAsia="American Typewriter" w:hAnsi="Tahoma" w:cs="Tahoma"/>
          <w:spacing w:val="31"/>
          <w:sz w:val="20"/>
          <w:szCs w:val="20"/>
        </w:rPr>
        <w:t xml:space="preserve"> </w:t>
      </w:r>
      <w:r w:rsidRPr="00B004EE">
        <w:rPr>
          <w:rFonts w:ascii="Tahoma" w:eastAsia="American Typewriter" w:hAnsi="Tahoma" w:cs="Tahoma"/>
          <w:sz w:val="20"/>
          <w:szCs w:val="20"/>
        </w:rPr>
        <w:t>fins</w:t>
      </w:r>
      <w:r w:rsidR="00DB1635" w:rsidRPr="00B004EE">
        <w:rPr>
          <w:rFonts w:ascii="Tahoma" w:eastAsia="American Typewriter" w:hAnsi="Tahoma" w:cs="Tahoma"/>
          <w:spacing w:val="29"/>
          <w:sz w:val="20"/>
          <w:szCs w:val="20"/>
        </w:rPr>
        <w:t xml:space="preserve"> </w:t>
      </w:r>
      <w:r w:rsidRPr="00B004EE">
        <w:rPr>
          <w:rFonts w:ascii="Tahoma" w:eastAsia="American Typewriter" w:hAnsi="Tahoma" w:cs="Tahoma"/>
          <w:sz w:val="20"/>
          <w:szCs w:val="20"/>
        </w:rPr>
        <w:t>d’exploiter</w:t>
      </w:r>
      <w:r w:rsidR="00DB1635" w:rsidRPr="00B004EE">
        <w:rPr>
          <w:rFonts w:ascii="Tahoma" w:eastAsia="American Typewriter" w:hAnsi="Tahoma" w:cs="Tahoma"/>
          <w:spacing w:val="29"/>
          <w:sz w:val="20"/>
          <w:szCs w:val="20"/>
        </w:rPr>
        <w:t xml:space="preserve"> </w:t>
      </w:r>
      <w:r w:rsidRPr="00B004EE">
        <w:rPr>
          <w:rFonts w:ascii="Tahoma" w:eastAsia="American Typewriter" w:hAnsi="Tahoma" w:cs="Tahoma"/>
          <w:sz w:val="20"/>
          <w:szCs w:val="20"/>
        </w:rPr>
        <w:t>une</w:t>
      </w:r>
      <w:r w:rsidR="00DB1635" w:rsidRPr="00B004EE">
        <w:rPr>
          <w:rFonts w:ascii="Tahoma" w:eastAsia="American Typewriter" w:hAnsi="Tahoma" w:cs="Tahoma"/>
          <w:spacing w:val="29"/>
          <w:sz w:val="20"/>
          <w:szCs w:val="20"/>
        </w:rPr>
        <w:t xml:space="preserve"> </w:t>
      </w:r>
      <w:r w:rsidRPr="00B004EE">
        <w:rPr>
          <w:rFonts w:ascii="Tahoma" w:eastAsia="American Typewriter" w:hAnsi="Tahoma" w:cs="Tahoma"/>
          <w:sz w:val="20"/>
          <w:szCs w:val="20"/>
        </w:rPr>
        <w:t>ressource</w:t>
      </w:r>
      <w:r w:rsidR="00DB1635" w:rsidRPr="00B004EE">
        <w:rPr>
          <w:rFonts w:ascii="Tahoma" w:eastAsia="American Typewriter" w:hAnsi="Tahoma" w:cs="Tahoma"/>
          <w:w w:val="94"/>
          <w:sz w:val="20"/>
          <w:szCs w:val="20"/>
        </w:rPr>
        <w:t xml:space="preserve"> </w:t>
      </w:r>
      <w:r w:rsidRPr="00B004EE">
        <w:rPr>
          <w:rFonts w:ascii="Tahoma" w:eastAsia="American Typewriter" w:hAnsi="Tahoma" w:cs="Tahoma"/>
          <w:sz w:val="20"/>
          <w:szCs w:val="20"/>
        </w:rPr>
        <w:t>vivante</w:t>
      </w:r>
      <w:r w:rsidR="00DB1635" w:rsidRPr="00B004EE">
        <w:rPr>
          <w:rFonts w:ascii="Tahoma" w:eastAsia="American Typewriter" w:hAnsi="Tahoma" w:cs="Tahoma"/>
          <w:spacing w:val="-28"/>
          <w:sz w:val="20"/>
          <w:szCs w:val="20"/>
        </w:rPr>
        <w:t xml:space="preserve"> </w:t>
      </w:r>
      <w:r w:rsidRPr="00B004EE">
        <w:rPr>
          <w:rFonts w:ascii="Tahoma" w:eastAsia="American Typewriter" w:hAnsi="Tahoma" w:cs="Tahoma"/>
          <w:sz w:val="20"/>
          <w:szCs w:val="20"/>
        </w:rPr>
        <w:t>pour</w:t>
      </w:r>
      <w:r w:rsidR="00DB1635" w:rsidRPr="00B004EE">
        <w:rPr>
          <w:rFonts w:ascii="Tahoma" w:eastAsia="American Typewriter" w:hAnsi="Tahoma" w:cs="Tahoma"/>
          <w:spacing w:val="-28"/>
          <w:sz w:val="20"/>
          <w:szCs w:val="20"/>
        </w:rPr>
        <w:t xml:space="preserve"> </w:t>
      </w:r>
      <w:r w:rsidRPr="00B004EE">
        <w:rPr>
          <w:rFonts w:ascii="Tahoma" w:eastAsia="American Typewriter" w:hAnsi="Tahoma" w:cs="Tahoma"/>
          <w:sz w:val="20"/>
          <w:szCs w:val="20"/>
        </w:rPr>
        <w:t>laquelle</w:t>
      </w:r>
      <w:r w:rsidR="00DB1635" w:rsidRPr="00B004EE">
        <w:rPr>
          <w:rFonts w:ascii="Tahoma" w:eastAsia="American Typewriter" w:hAnsi="Tahoma" w:cs="Tahoma"/>
          <w:spacing w:val="-28"/>
          <w:sz w:val="20"/>
          <w:szCs w:val="20"/>
        </w:rPr>
        <w:t xml:space="preserve"> </w:t>
      </w:r>
      <w:r w:rsidRPr="00B004EE">
        <w:rPr>
          <w:rFonts w:ascii="Tahoma" w:eastAsia="American Typewriter" w:hAnsi="Tahoma" w:cs="Tahoma"/>
          <w:sz w:val="20"/>
          <w:szCs w:val="20"/>
        </w:rPr>
        <w:t>aucun</w:t>
      </w:r>
      <w:r w:rsidR="00DB1635" w:rsidRPr="00B004EE">
        <w:rPr>
          <w:rFonts w:ascii="Tahoma" w:eastAsia="American Typewriter" w:hAnsi="Tahoma" w:cs="Tahoma"/>
          <w:spacing w:val="-28"/>
          <w:sz w:val="20"/>
          <w:szCs w:val="20"/>
        </w:rPr>
        <w:t xml:space="preserve"> </w:t>
      </w:r>
      <w:r w:rsidRPr="00B004EE">
        <w:rPr>
          <w:rFonts w:ascii="Tahoma" w:eastAsia="American Typewriter" w:hAnsi="Tahoma" w:cs="Tahoma"/>
          <w:sz w:val="20"/>
          <w:szCs w:val="20"/>
        </w:rPr>
        <w:t>droit</w:t>
      </w:r>
      <w:r w:rsidR="00DB1635" w:rsidRPr="00B004EE">
        <w:rPr>
          <w:rFonts w:ascii="Tahoma" w:eastAsia="American Typewriter" w:hAnsi="Tahoma" w:cs="Tahoma"/>
          <w:spacing w:val="-28"/>
          <w:sz w:val="20"/>
          <w:szCs w:val="20"/>
        </w:rPr>
        <w:t xml:space="preserve"> </w:t>
      </w:r>
      <w:r w:rsidRPr="00B004EE">
        <w:rPr>
          <w:rFonts w:ascii="Tahoma" w:eastAsia="American Typewriter" w:hAnsi="Tahoma" w:cs="Tahoma"/>
          <w:sz w:val="20"/>
          <w:szCs w:val="20"/>
        </w:rPr>
        <w:t>n’a</w:t>
      </w:r>
      <w:r w:rsidR="00DB1635" w:rsidRPr="00B004EE">
        <w:rPr>
          <w:rFonts w:ascii="Tahoma" w:eastAsia="American Typewriter" w:hAnsi="Tahoma" w:cs="Tahoma"/>
          <w:spacing w:val="-27"/>
          <w:sz w:val="20"/>
          <w:szCs w:val="20"/>
        </w:rPr>
        <w:t xml:space="preserve"> </w:t>
      </w:r>
      <w:r w:rsidRPr="00B004EE">
        <w:rPr>
          <w:rFonts w:ascii="Tahoma" w:eastAsia="American Typewriter" w:hAnsi="Tahoma" w:cs="Tahoma"/>
          <w:sz w:val="20"/>
          <w:szCs w:val="20"/>
        </w:rPr>
        <w:t>été</w:t>
      </w:r>
      <w:r w:rsidR="00DB1635" w:rsidRPr="00B004EE">
        <w:rPr>
          <w:rFonts w:ascii="Tahoma" w:eastAsia="American Typewriter" w:hAnsi="Tahoma" w:cs="Tahoma"/>
          <w:spacing w:val="-27"/>
          <w:sz w:val="20"/>
          <w:szCs w:val="20"/>
        </w:rPr>
        <w:t xml:space="preserve"> </w:t>
      </w:r>
      <w:r w:rsidRPr="00B004EE">
        <w:rPr>
          <w:rFonts w:ascii="Tahoma" w:eastAsia="American Typewriter" w:hAnsi="Tahoma" w:cs="Tahoma"/>
          <w:sz w:val="20"/>
          <w:szCs w:val="20"/>
        </w:rPr>
        <w:t>accordé</w:t>
      </w:r>
      <w:r w:rsidR="00DB1635" w:rsidRPr="00B004EE">
        <w:rPr>
          <w:rFonts w:ascii="Tahoma" w:eastAsia="American Typewriter" w:hAnsi="Tahoma" w:cs="Tahoma"/>
          <w:spacing w:val="-28"/>
          <w:sz w:val="20"/>
          <w:szCs w:val="20"/>
        </w:rPr>
        <w:t xml:space="preserve"> </w:t>
      </w:r>
      <w:r w:rsidRPr="00B004EE">
        <w:rPr>
          <w:rFonts w:ascii="Tahoma" w:eastAsia="American Typewriter" w:hAnsi="Tahoma" w:cs="Tahoma"/>
          <w:sz w:val="20"/>
          <w:szCs w:val="20"/>
        </w:rPr>
        <w:t>à</w:t>
      </w:r>
      <w:r w:rsidR="00DB1635" w:rsidRPr="00B004EE">
        <w:rPr>
          <w:rFonts w:ascii="Tahoma" w:eastAsia="American Typewriter" w:hAnsi="Tahoma" w:cs="Tahoma"/>
          <w:spacing w:val="-27"/>
          <w:sz w:val="20"/>
          <w:szCs w:val="20"/>
        </w:rPr>
        <w:t xml:space="preserve"> </w:t>
      </w:r>
      <w:r w:rsidRPr="00B004EE">
        <w:rPr>
          <w:rFonts w:ascii="Tahoma" w:eastAsia="American Typewriter" w:hAnsi="Tahoma" w:cs="Tahoma"/>
          <w:sz w:val="20"/>
          <w:szCs w:val="20"/>
        </w:rPr>
        <w:t>une</w:t>
      </w:r>
      <w:r w:rsidR="00DB1635" w:rsidRPr="00B004EE">
        <w:rPr>
          <w:rFonts w:ascii="Tahoma" w:eastAsia="American Typewriter" w:hAnsi="Tahoma" w:cs="Tahoma"/>
          <w:spacing w:val="-28"/>
          <w:sz w:val="20"/>
          <w:szCs w:val="20"/>
        </w:rPr>
        <w:t xml:space="preserve"> </w:t>
      </w:r>
      <w:r w:rsidRPr="00B004EE">
        <w:rPr>
          <w:rFonts w:ascii="Tahoma" w:eastAsia="American Typewriter" w:hAnsi="Tahoma" w:cs="Tahoma"/>
          <w:sz w:val="20"/>
          <w:szCs w:val="20"/>
        </w:rPr>
        <w:t>autre</w:t>
      </w:r>
      <w:r w:rsidR="00DB1635" w:rsidRPr="00B004EE">
        <w:rPr>
          <w:rFonts w:ascii="Tahoma" w:eastAsia="American Typewriter" w:hAnsi="Tahoma" w:cs="Tahoma"/>
          <w:spacing w:val="-28"/>
          <w:sz w:val="20"/>
          <w:szCs w:val="20"/>
        </w:rPr>
        <w:t xml:space="preserve"> </w:t>
      </w:r>
      <w:r w:rsidR="00E50532" w:rsidRPr="00B004EE">
        <w:rPr>
          <w:rFonts w:ascii="Tahoma" w:eastAsia="American Typewriter" w:hAnsi="Tahoma" w:cs="Tahoma"/>
          <w:sz w:val="20"/>
          <w:szCs w:val="20"/>
        </w:rPr>
        <w:t>personne</w:t>
      </w:r>
      <w:r w:rsidR="00DB1635" w:rsidRPr="00B004EE">
        <w:rPr>
          <w:rFonts w:ascii="Tahoma" w:eastAsia="American Typewriter" w:hAnsi="Tahoma" w:cs="Tahoma"/>
          <w:sz w:val="20"/>
          <w:szCs w:val="20"/>
        </w:rPr>
        <w:t xml:space="preserve"> </w:t>
      </w:r>
      <w:r w:rsidR="00E50532" w:rsidRPr="00B004EE">
        <w:rPr>
          <w:rFonts w:ascii="Tahoma" w:eastAsia="American Typewriter" w:hAnsi="Tahoma" w:cs="Tahoma"/>
          <w:sz w:val="20"/>
          <w:szCs w:val="20"/>
        </w:rPr>
        <w:t>;</w:t>
      </w:r>
    </w:p>
    <w:p w14:paraId="46E9609E" w14:textId="226E769C" w:rsidR="001E7C3C" w:rsidRPr="00B004EE" w:rsidRDefault="001E7C3C" w:rsidP="00B004EE">
      <w:pPr>
        <w:pStyle w:val="Corpsdetexte"/>
        <w:ind w:right="161"/>
        <w:rPr>
          <w:rFonts w:ascii="Tahoma" w:eastAsia="American Typewriter" w:hAnsi="Tahoma" w:cs="Tahoma"/>
          <w:w w:val="95"/>
          <w:sz w:val="20"/>
          <w:szCs w:val="20"/>
          <w:rtl/>
        </w:rPr>
      </w:pPr>
      <w:r w:rsidRPr="00B004EE">
        <w:rPr>
          <w:rFonts w:ascii="Tahoma" w:hAnsi="Tahoma" w:cs="Tahoma"/>
          <w:sz w:val="20"/>
          <w:szCs w:val="20"/>
        </w:rPr>
        <w:t>Le</w:t>
      </w:r>
      <w:r w:rsidR="00DB1635" w:rsidRPr="00B004EE">
        <w:rPr>
          <w:rFonts w:ascii="Tahoma" w:hAnsi="Tahoma" w:cs="Tahoma"/>
          <w:spacing w:val="-22"/>
          <w:sz w:val="20"/>
          <w:szCs w:val="20"/>
        </w:rPr>
        <w:t xml:space="preserve"> </w:t>
      </w:r>
      <w:r w:rsidRPr="00B004EE">
        <w:rPr>
          <w:rFonts w:ascii="Tahoma" w:hAnsi="Tahoma" w:cs="Tahoma"/>
          <w:sz w:val="20"/>
          <w:szCs w:val="20"/>
        </w:rPr>
        <w:t>droit</w:t>
      </w:r>
      <w:r w:rsidR="00DB1635" w:rsidRPr="00B004EE">
        <w:rPr>
          <w:rFonts w:ascii="Tahoma" w:hAnsi="Tahoma" w:cs="Tahoma"/>
          <w:spacing w:val="-22"/>
          <w:sz w:val="20"/>
          <w:szCs w:val="20"/>
        </w:rPr>
        <w:t xml:space="preserve"> </w:t>
      </w:r>
      <w:r w:rsidRPr="00B004EE">
        <w:rPr>
          <w:rFonts w:ascii="Tahoma" w:hAnsi="Tahoma" w:cs="Tahoma"/>
          <w:sz w:val="20"/>
          <w:szCs w:val="20"/>
        </w:rPr>
        <w:t>d'usage</w:t>
      </w:r>
      <w:r w:rsidR="00DB1635" w:rsidRPr="00B004EE">
        <w:rPr>
          <w:rFonts w:ascii="Tahoma" w:hAnsi="Tahoma" w:cs="Tahoma"/>
          <w:spacing w:val="-22"/>
          <w:sz w:val="20"/>
          <w:szCs w:val="20"/>
        </w:rPr>
        <w:t xml:space="preserve"> </w:t>
      </w:r>
      <w:r w:rsidRPr="00B004EE">
        <w:rPr>
          <w:rFonts w:ascii="Tahoma" w:hAnsi="Tahoma" w:cs="Tahoma"/>
          <w:sz w:val="20"/>
          <w:szCs w:val="20"/>
        </w:rPr>
        <w:t>exploratoire</w:t>
      </w:r>
      <w:r w:rsidR="00DB1635" w:rsidRPr="00B004EE">
        <w:rPr>
          <w:rFonts w:ascii="Tahoma" w:hAnsi="Tahoma" w:cs="Tahoma"/>
          <w:spacing w:val="-24"/>
          <w:sz w:val="20"/>
          <w:szCs w:val="20"/>
        </w:rPr>
        <w:t xml:space="preserve"> </w:t>
      </w:r>
      <w:r w:rsidRPr="00B004EE">
        <w:rPr>
          <w:rFonts w:ascii="Tahoma" w:hAnsi="Tahoma" w:cs="Tahoma"/>
          <w:sz w:val="20"/>
          <w:szCs w:val="20"/>
        </w:rPr>
        <w:t>pour</w:t>
      </w:r>
      <w:r w:rsidR="00DB1635" w:rsidRPr="00B004EE">
        <w:rPr>
          <w:rFonts w:ascii="Tahoma" w:hAnsi="Tahoma" w:cs="Tahoma"/>
          <w:spacing w:val="-24"/>
          <w:sz w:val="20"/>
          <w:szCs w:val="20"/>
        </w:rPr>
        <w:t xml:space="preserve"> </w:t>
      </w:r>
      <w:r w:rsidRPr="00B004EE">
        <w:rPr>
          <w:rFonts w:ascii="Tahoma" w:hAnsi="Tahoma" w:cs="Tahoma"/>
          <w:sz w:val="20"/>
          <w:szCs w:val="20"/>
        </w:rPr>
        <w:t>la</w:t>
      </w:r>
      <w:r w:rsidR="00DB1635" w:rsidRPr="00B004EE">
        <w:rPr>
          <w:rFonts w:ascii="Tahoma" w:hAnsi="Tahoma" w:cs="Tahoma"/>
          <w:spacing w:val="-23"/>
          <w:sz w:val="20"/>
          <w:szCs w:val="20"/>
        </w:rPr>
        <w:t xml:space="preserve"> </w:t>
      </w:r>
      <w:r w:rsidRPr="00B004EE">
        <w:rPr>
          <w:rFonts w:ascii="Tahoma" w:hAnsi="Tahoma" w:cs="Tahoma"/>
          <w:sz w:val="20"/>
          <w:szCs w:val="20"/>
        </w:rPr>
        <w:t>même</w:t>
      </w:r>
      <w:r w:rsidR="00DB1635" w:rsidRPr="00B004EE">
        <w:rPr>
          <w:rFonts w:ascii="Tahoma" w:hAnsi="Tahoma" w:cs="Tahoma"/>
          <w:spacing w:val="-24"/>
          <w:sz w:val="20"/>
          <w:szCs w:val="20"/>
        </w:rPr>
        <w:t xml:space="preserve"> </w:t>
      </w:r>
      <w:r w:rsidRPr="00B004EE">
        <w:rPr>
          <w:rFonts w:ascii="Tahoma" w:hAnsi="Tahoma" w:cs="Tahoma"/>
          <w:sz w:val="20"/>
          <w:szCs w:val="20"/>
        </w:rPr>
        <w:t>ressource</w:t>
      </w:r>
      <w:r w:rsidR="00DB1635" w:rsidRPr="00B004EE">
        <w:rPr>
          <w:rFonts w:ascii="Tahoma" w:hAnsi="Tahoma" w:cs="Tahoma"/>
          <w:spacing w:val="-24"/>
          <w:sz w:val="20"/>
          <w:szCs w:val="20"/>
        </w:rPr>
        <w:t xml:space="preserve"> </w:t>
      </w:r>
      <w:r w:rsidRPr="00B004EE">
        <w:rPr>
          <w:rFonts w:ascii="Tahoma" w:hAnsi="Tahoma" w:cs="Tahoma"/>
          <w:sz w:val="20"/>
          <w:szCs w:val="20"/>
        </w:rPr>
        <w:t>et</w:t>
      </w:r>
      <w:r w:rsidR="00DB1635" w:rsidRPr="00B004EE">
        <w:rPr>
          <w:rFonts w:ascii="Tahoma" w:hAnsi="Tahoma" w:cs="Tahoma"/>
          <w:spacing w:val="-23"/>
          <w:sz w:val="20"/>
          <w:szCs w:val="20"/>
        </w:rPr>
        <w:t xml:space="preserve"> </w:t>
      </w:r>
      <w:r w:rsidRPr="00B004EE">
        <w:rPr>
          <w:rFonts w:ascii="Tahoma" w:hAnsi="Tahoma" w:cs="Tahoma"/>
          <w:sz w:val="20"/>
          <w:szCs w:val="20"/>
        </w:rPr>
        <w:t>dans</w:t>
      </w:r>
      <w:r w:rsidR="00DB1635" w:rsidRPr="00B004EE">
        <w:rPr>
          <w:rFonts w:ascii="Tahoma" w:hAnsi="Tahoma" w:cs="Tahoma"/>
          <w:spacing w:val="-24"/>
          <w:sz w:val="20"/>
          <w:szCs w:val="20"/>
        </w:rPr>
        <w:t xml:space="preserve"> </w:t>
      </w:r>
      <w:r w:rsidRPr="00B004EE">
        <w:rPr>
          <w:rFonts w:ascii="Tahoma" w:hAnsi="Tahoma" w:cs="Tahoma"/>
          <w:sz w:val="20"/>
          <w:szCs w:val="20"/>
        </w:rPr>
        <w:t>la</w:t>
      </w:r>
      <w:r w:rsidR="00DB1635" w:rsidRPr="00B004EE">
        <w:rPr>
          <w:rFonts w:ascii="Tahoma" w:hAnsi="Tahoma" w:cs="Tahoma"/>
          <w:spacing w:val="-23"/>
          <w:sz w:val="20"/>
          <w:szCs w:val="20"/>
        </w:rPr>
        <w:t xml:space="preserve"> </w:t>
      </w:r>
      <w:r w:rsidRPr="00B004EE">
        <w:rPr>
          <w:rFonts w:ascii="Tahoma" w:hAnsi="Tahoma" w:cs="Tahoma"/>
          <w:sz w:val="20"/>
          <w:szCs w:val="20"/>
        </w:rPr>
        <w:t>même</w:t>
      </w:r>
      <w:r w:rsidR="00DB1635" w:rsidRPr="00B004EE">
        <w:rPr>
          <w:rFonts w:ascii="Tahoma" w:hAnsi="Tahoma" w:cs="Tahoma"/>
          <w:spacing w:val="-24"/>
          <w:sz w:val="20"/>
          <w:szCs w:val="20"/>
        </w:rPr>
        <w:t xml:space="preserve"> </w:t>
      </w:r>
      <w:r w:rsidRPr="00B004EE">
        <w:rPr>
          <w:rFonts w:ascii="Tahoma" w:hAnsi="Tahoma" w:cs="Tahoma"/>
          <w:sz w:val="20"/>
          <w:szCs w:val="20"/>
        </w:rPr>
        <w:t>zone</w:t>
      </w:r>
      <w:r w:rsidR="00DB1635" w:rsidRPr="00B004EE">
        <w:rPr>
          <w:rFonts w:ascii="Tahoma" w:hAnsi="Tahoma" w:cs="Tahoma"/>
          <w:spacing w:val="-24"/>
          <w:sz w:val="20"/>
          <w:szCs w:val="20"/>
        </w:rPr>
        <w:t xml:space="preserve"> </w:t>
      </w:r>
      <w:r w:rsidRPr="00B004EE">
        <w:rPr>
          <w:rFonts w:ascii="Tahoma" w:hAnsi="Tahoma" w:cs="Tahoma"/>
          <w:sz w:val="20"/>
          <w:szCs w:val="20"/>
        </w:rPr>
        <w:t>ne</w:t>
      </w:r>
      <w:r w:rsidR="00DB1635" w:rsidRPr="00B004EE">
        <w:rPr>
          <w:rFonts w:ascii="Tahoma" w:hAnsi="Tahoma" w:cs="Tahoma"/>
          <w:spacing w:val="-24"/>
          <w:sz w:val="20"/>
          <w:szCs w:val="20"/>
        </w:rPr>
        <w:t xml:space="preserve"> </w:t>
      </w:r>
      <w:r w:rsidRPr="00B004EE">
        <w:rPr>
          <w:rFonts w:ascii="Tahoma" w:hAnsi="Tahoma" w:cs="Tahoma"/>
          <w:sz w:val="20"/>
          <w:szCs w:val="20"/>
        </w:rPr>
        <w:t>peut</w:t>
      </w:r>
      <w:r w:rsidR="00DB1635" w:rsidRPr="00B004EE">
        <w:rPr>
          <w:rFonts w:ascii="Tahoma" w:hAnsi="Tahoma" w:cs="Tahoma"/>
          <w:spacing w:val="-1"/>
          <w:w w:val="96"/>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alloué</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plus</w:t>
      </w:r>
      <w:r w:rsidR="00DB1635" w:rsidRPr="00B004EE">
        <w:rPr>
          <w:rFonts w:ascii="Tahoma" w:hAnsi="Tahoma" w:cs="Tahoma"/>
          <w:sz w:val="20"/>
          <w:szCs w:val="20"/>
        </w:rPr>
        <w:t xml:space="preserve"> </w:t>
      </w:r>
      <w:r w:rsidRPr="00B004EE">
        <w:rPr>
          <w:rFonts w:ascii="Tahoma" w:hAnsi="Tahoma" w:cs="Tahoma"/>
          <w:sz w:val="20"/>
          <w:szCs w:val="20"/>
        </w:rPr>
        <w:t>d'une</w:t>
      </w:r>
      <w:r w:rsidR="00DB1635" w:rsidRPr="00B004EE">
        <w:rPr>
          <w:rFonts w:ascii="Tahoma" w:hAnsi="Tahoma" w:cs="Tahoma"/>
          <w:sz w:val="20"/>
          <w:szCs w:val="20"/>
        </w:rPr>
        <w:t xml:space="preserve"> </w:t>
      </w:r>
      <w:r w:rsidRPr="00B004EE">
        <w:rPr>
          <w:rFonts w:ascii="Tahoma" w:hAnsi="Tahoma" w:cs="Tahoma"/>
          <w:sz w:val="20"/>
          <w:szCs w:val="20"/>
        </w:rPr>
        <w:t>personne.</w:t>
      </w:r>
      <w:r w:rsidR="00DB1635" w:rsidRPr="00B004EE">
        <w:rPr>
          <w:rFonts w:ascii="Tahoma" w:hAnsi="Tahoma" w:cs="Tahoma"/>
          <w:sz w:val="20"/>
          <w:szCs w:val="20"/>
        </w:rPr>
        <w:t xml:space="preserve"> </w:t>
      </w:r>
      <w:r w:rsidRPr="00B004EE">
        <w:rPr>
          <w:rFonts w:ascii="Tahoma" w:hAnsi="Tahoma" w:cs="Tahoma"/>
          <w:sz w:val="20"/>
          <w:szCs w:val="20"/>
        </w:rPr>
        <w:t>Toutefois,</w:t>
      </w:r>
      <w:r w:rsidR="00DB1635" w:rsidRPr="00B004EE">
        <w:rPr>
          <w:rFonts w:ascii="Tahoma" w:hAnsi="Tahoma" w:cs="Tahoma"/>
          <w:sz w:val="20"/>
          <w:szCs w:val="20"/>
        </w:rPr>
        <w:t xml:space="preserve"> </w:t>
      </w:r>
      <w:r w:rsidRPr="00B004EE">
        <w:rPr>
          <w:rFonts w:ascii="Tahoma" w:hAnsi="Tahoma" w:cs="Tahoma"/>
          <w:sz w:val="20"/>
          <w:szCs w:val="20"/>
        </w:rPr>
        <w:t>ce</w:t>
      </w:r>
      <w:r w:rsidR="00DB1635" w:rsidRPr="00B004EE">
        <w:rPr>
          <w:rFonts w:ascii="Tahoma" w:hAnsi="Tahoma" w:cs="Tahoma"/>
          <w:sz w:val="20"/>
          <w:szCs w:val="20"/>
        </w:rPr>
        <w:t xml:space="preserve"> </w:t>
      </w:r>
      <w:r w:rsidRPr="00B004EE">
        <w:rPr>
          <w:rFonts w:ascii="Tahoma" w:hAnsi="Tahoma" w:cs="Tahoma"/>
          <w:sz w:val="20"/>
          <w:szCs w:val="20"/>
        </w:rPr>
        <w:t>droit</w:t>
      </w:r>
      <w:r w:rsidR="00DB1635" w:rsidRPr="00B004EE">
        <w:rPr>
          <w:rFonts w:ascii="Tahoma" w:hAnsi="Tahoma" w:cs="Tahoma"/>
          <w:sz w:val="20"/>
          <w:szCs w:val="20"/>
        </w:rPr>
        <w:t xml:space="preserve"> </w:t>
      </w:r>
      <w:r w:rsidRPr="00B004EE">
        <w:rPr>
          <w:rFonts w:ascii="Tahoma" w:hAnsi="Tahoma" w:cs="Tahoma"/>
          <w:sz w:val="20"/>
          <w:szCs w:val="20"/>
        </w:rPr>
        <w:t>ne</w:t>
      </w:r>
      <w:r w:rsidR="00DB1635" w:rsidRPr="00B004EE">
        <w:rPr>
          <w:rFonts w:ascii="Tahoma" w:hAnsi="Tahoma" w:cs="Tahoma"/>
          <w:sz w:val="20"/>
          <w:szCs w:val="20"/>
        </w:rPr>
        <w:t xml:space="preserve"> </w:t>
      </w:r>
      <w:r w:rsidRPr="00B004EE">
        <w:rPr>
          <w:rFonts w:ascii="Tahoma" w:hAnsi="Tahoma" w:cs="Tahoma"/>
          <w:sz w:val="20"/>
          <w:szCs w:val="20"/>
        </w:rPr>
        <w:t>donne</w:t>
      </w:r>
      <w:r w:rsidR="00DB1635" w:rsidRPr="00B004EE">
        <w:rPr>
          <w:rFonts w:ascii="Tahoma" w:hAnsi="Tahoma" w:cs="Tahoma"/>
          <w:sz w:val="20"/>
          <w:szCs w:val="20"/>
        </w:rPr>
        <w:t xml:space="preserve"> </w:t>
      </w:r>
      <w:r w:rsidRPr="00B004EE">
        <w:rPr>
          <w:rFonts w:ascii="Tahoma" w:hAnsi="Tahoma" w:cs="Tahoma"/>
          <w:sz w:val="20"/>
          <w:szCs w:val="20"/>
        </w:rPr>
        <w:t>pas</w:t>
      </w:r>
      <w:r w:rsidR="00DB1635" w:rsidRPr="00B004EE">
        <w:rPr>
          <w:rFonts w:ascii="Tahoma" w:hAnsi="Tahoma" w:cs="Tahoma"/>
          <w:sz w:val="20"/>
          <w:szCs w:val="20"/>
        </w:rPr>
        <w:t xml:space="preserve"> </w:t>
      </w:r>
      <w:r w:rsidRPr="00B004EE">
        <w:rPr>
          <w:rFonts w:ascii="Tahoma" w:hAnsi="Tahoma" w:cs="Tahoma"/>
          <w:sz w:val="20"/>
          <w:szCs w:val="20"/>
        </w:rPr>
        <w:t>droit</w:t>
      </w:r>
      <w:r w:rsidR="00DB1635" w:rsidRPr="00B004EE">
        <w:rPr>
          <w:rFonts w:ascii="Tahoma" w:hAnsi="Tahoma" w:cs="Tahoma"/>
          <w:spacing w:val="54"/>
          <w:sz w:val="20"/>
          <w:szCs w:val="20"/>
        </w:rPr>
        <w:t xml:space="preserve"> </w:t>
      </w:r>
      <w:r w:rsidRPr="00B004EE">
        <w:rPr>
          <w:rFonts w:ascii="Tahoma" w:hAnsi="Tahoma" w:cs="Tahoma"/>
          <w:sz w:val="20"/>
          <w:szCs w:val="20"/>
        </w:rPr>
        <w:t>à</w:t>
      </w:r>
      <w:r w:rsidR="00DB1635" w:rsidRPr="00B004EE">
        <w:rPr>
          <w:rFonts w:ascii="Tahoma" w:hAnsi="Tahoma" w:cs="Tahoma"/>
          <w:w w:val="98"/>
          <w:sz w:val="20"/>
          <w:szCs w:val="20"/>
        </w:rPr>
        <w:t xml:space="preserve"> </w:t>
      </w:r>
      <w:r w:rsidRPr="00B004EE">
        <w:rPr>
          <w:rFonts w:ascii="Tahoma" w:eastAsia="American Typewriter" w:hAnsi="Tahoma" w:cs="Tahoma"/>
          <w:w w:val="95"/>
          <w:sz w:val="20"/>
          <w:szCs w:val="20"/>
        </w:rPr>
        <w:t>l’exploitation</w:t>
      </w:r>
      <w:r w:rsidR="00DB1635" w:rsidRPr="00B004EE">
        <w:rPr>
          <w:rFonts w:ascii="Tahoma" w:eastAsia="American Typewriter" w:hAnsi="Tahoma" w:cs="Tahoma"/>
          <w:w w:val="95"/>
          <w:sz w:val="20"/>
          <w:szCs w:val="20"/>
        </w:rPr>
        <w:t xml:space="preserve"> </w:t>
      </w:r>
      <w:r w:rsidRPr="00B004EE">
        <w:rPr>
          <w:rFonts w:ascii="Tahoma" w:eastAsia="American Typewriter" w:hAnsi="Tahoma" w:cs="Tahoma"/>
          <w:w w:val="95"/>
          <w:sz w:val="20"/>
          <w:szCs w:val="20"/>
        </w:rPr>
        <w:t>commerciale</w:t>
      </w:r>
      <w:r w:rsidR="00DB1635" w:rsidRPr="00B004EE">
        <w:rPr>
          <w:rFonts w:ascii="Tahoma" w:eastAsia="American Typewriter" w:hAnsi="Tahoma" w:cs="Tahoma"/>
          <w:w w:val="95"/>
          <w:sz w:val="20"/>
          <w:szCs w:val="20"/>
        </w:rPr>
        <w:t xml:space="preserve"> </w:t>
      </w:r>
      <w:r w:rsidRPr="00B004EE">
        <w:rPr>
          <w:rFonts w:ascii="Tahoma" w:eastAsia="American Typewriter" w:hAnsi="Tahoma" w:cs="Tahoma"/>
          <w:w w:val="95"/>
          <w:sz w:val="20"/>
          <w:szCs w:val="20"/>
        </w:rPr>
        <w:t>à</w:t>
      </w:r>
      <w:r w:rsidR="00DB1635" w:rsidRPr="00B004EE">
        <w:rPr>
          <w:rFonts w:ascii="Tahoma" w:eastAsia="American Typewriter" w:hAnsi="Tahoma" w:cs="Tahoma"/>
          <w:w w:val="95"/>
          <w:sz w:val="20"/>
          <w:szCs w:val="20"/>
        </w:rPr>
        <w:t xml:space="preserve"> </w:t>
      </w:r>
      <w:r w:rsidRPr="00B004EE">
        <w:rPr>
          <w:rFonts w:ascii="Tahoma" w:eastAsia="American Typewriter" w:hAnsi="Tahoma" w:cs="Tahoma"/>
          <w:w w:val="95"/>
          <w:sz w:val="20"/>
          <w:szCs w:val="20"/>
        </w:rPr>
        <w:t>titre</w:t>
      </w:r>
      <w:r w:rsidR="00DB1635" w:rsidRPr="00B004EE">
        <w:rPr>
          <w:rFonts w:ascii="Tahoma" w:eastAsia="American Typewriter" w:hAnsi="Tahoma" w:cs="Tahoma"/>
          <w:spacing w:val="17"/>
          <w:w w:val="95"/>
          <w:sz w:val="20"/>
          <w:szCs w:val="20"/>
        </w:rPr>
        <w:t xml:space="preserve"> </w:t>
      </w:r>
      <w:r w:rsidRPr="00B004EE">
        <w:rPr>
          <w:rFonts w:ascii="Tahoma" w:eastAsia="American Typewriter" w:hAnsi="Tahoma" w:cs="Tahoma"/>
          <w:w w:val="95"/>
          <w:sz w:val="20"/>
          <w:szCs w:val="20"/>
        </w:rPr>
        <w:t>exclusif</w:t>
      </w:r>
    </w:p>
    <w:p w14:paraId="6C8F535F" w14:textId="77777777" w:rsidR="00E50532" w:rsidRPr="00B004EE" w:rsidRDefault="00E50532" w:rsidP="00B004EE">
      <w:pPr>
        <w:pStyle w:val="Corpsdetexte"/>
        <w:ind w:right="161"/>
        <w:rPr>
          <w:rFonts w:ascii="Tahoma" w:hAnsi="Tahoma" w:cs="Tahoma"/>
          <w:sz w:val="20"/>
          <w:szCs w:val="20"/>
        </w:rPr>
      </w:pPr>
    </w:p>
    <w:p w14:paraId="022C7973" w14:textId="06CE42BD" w:rsidR="001E7C3C" w:rsidRPr="00B004EE" w:rsidRDefault="001E7C3C" w:rsidP="00B004EE">
      <w:pPr>
        <w:pStyle w:val="Corpsdetexte"/>
        <w:ind w:right="158"/>
        <w:rPr>
          <w:rFonts w:ascii="Tahoma" w:hAnsi="Tahoma" w:cs="Tahoma"/>
          <w:sz w:val="20"/>
          <w:szCs w:val="20"/>
        </w:rPr>
      </w:pP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dispositions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l'article</w:t>
      </w:r>
      <w:r w:rsidR="00DB1635" w:rsidRPr="00B004EE">
        <w:rPr>
          <w:rFonts w:ascii="Tahoma" w:hAnsi="Tahoma" w:cs="Tahoma"/>
          <w:sz w:val="20"/>
          <w:szCs w:val="20"/>
        </w:rPr>
        <w:t xml:space="preserve"> </w:t>
      </w:r>
      <w:r w:rsidRPr="00B004EE">
        <w:rPr>
          <w:rFonts w:ascii="Tahoma" w:hAnsi="Tahoma" w:cs="Tahoma"/>
          <w:sz w:val="20"/>
          <w:szCs w:val="20"/>
        </w:rPr>
        <w:t>50</w:t>
      </w:r>
      <w:r w:rsidR="00DB1635" w:rsidRPr="00B004EE">
        <w:rPr>
          <w:rFonts w:ascii="Tahoma" w:hAnsi="Tahoma" w:cs="Tahoma"/>
          <w:sz w:val="20"/>
          <w:szCs w:val="20"/>
        </w:rPr>
        <w:t xml:space="preserve"> </w:t>
      </w:r>
      <w:r w:rsidRPr="00B004EE">
        <w:rPr>
          <w:rFonts w:ascii="Tahoma" w:hAnsi="Tahoma" w:cs="Tahoma"/>
          <w:sz w:val="20"/>
          <w:szCs w:val="20"/>
        </w:rPr>
        <w:t>ci</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dessous</w:t>
      </w:r>
      <w:r w:rsidR="00DB1635" w:rsidRPr="00B004EE">
        <w:rPr>
          <w:rFonts w:ascii="Tahoma" w:hAnsi="Tahoma" w:cs="Tahoma"/>
          <w:sz w:val="20"/>
          <w:szCs w:val="20"/>
        </w:rPr>
        <w:t xml:space="preserve"> </w:t>
      </w:r>
      <w:r w:rsidRPr="00B004EE">
        <w:rPr>
          <w:rFonts w:ascii="Tahoma" w:hAnsi="Tahoma" w:cs="Tahoma"/>
          <w:sz w:val="20"/>
          <w:szCs w:val="20"/>
        </w:rPr>
        <w:t>relatives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scientifique</w:t>
      </w:r>
      <w:r w:rsidR="00DB1635" w:rsidRPr="00B004EE">
        <w:rPr>
          <w:rFonts w:ascii="Tahoma" w:hAnsi="Tahoma" w:cs="Tahoma"/>
          <w:spacing w:val="48"/>
          <w:sz w:val="20"/>
          <w:szCs w:val="20"/>
        </w:rPr>
        <w:t xml:space="preserve"> </w:t>
      </w:r>
      <w:r w:rsidRPr="00B004EE">
        <w:rPr>
          <w:rFonts w:ascii="Tahoma" w:hAnsi="Tahoma" w:cs="Tahoma"/>
          <w:sz w:val="20"/>
          <w:szCs w:val="20"/>
        </w:rPr>
        <w:t>et</w:t>
      </w:r>
      <w:r w:rsidR="00DB1635" w:rsidRPr="00B004EE">
        <w:rPr>
          <w:rFonts w:ascii="Tahoma" w:hAnsi="Tahoma" w:cs="Tahoma"/>
          <w:w w:val="95"/>
          <w:sz w:val="20"/>
          <w:szCs w:val="20"/>
        </w:rPr>
        <w:t xml:space="preserve"> </w:t>
      </w:r>
      <w:r w:rsidRPr="00B004EE">
        <w:rPr>
          <w:rFonts w:ascii="Tahoma" w:hAnsi="Tahoma" w:cs="Tahoma"/>
          <w:sz w:val="20"/>
          <w:szCs w:val="20"/>
        </w:rPr>
        <w:t>technique</w:t>
      </w:r>
      <w:r w:rsidR="00DB1635" w:rsidRPr="00B004EE">
        <w:rPr>
          <w:rFonts w:ascii="Tahoma" w:hAnsi="Tahoma" w:cs="Tahoma"/>
          <w:spacing w:val="-38"/>
          <w:sz w:val="20"/>
          <w:szCs w:val="20"/>
        </w:rPr>
        <w:t xml:space="preserve"> </w:t>
      </w:r>
      <w:r w:rsidRPr="00B004EE">
        <w:rPr>
          <w:rFonts w:ascii="Tahoma" w:hAnsi="Tahoma" w:cs="Tahoma"/>
          <w:sz w:val="20"/>
          <w:szCs w:val="20"/>
        </w:rPr>
        <w:t>sont</w:t>
      </w:r>
      <w:r w:rsidR="00DB1635" w:rsidRPr="00B004EE">
        <w:rPr>
          <w:rFonts w:ascii="Tahoma" w:hAnsi="Tahoma" w:cs="Tahoma"/>
          <w:spacing w:val="-38"/>
          <w:sz w:val="20"/>
          <w:szCs w:val="20"/>
        </w:rPr>
        <w:t xml:space="preserve"> </w:t>
      </w:r>
      <w:r w:rsidRPr="00B004EE">
        <w:rPr>
          <w:rFonts w:ascii="Tahoma" w:hAnsi="Tahoma" w:cs="Tahoma"/>
          <w:sz w:val="20"/>
          <w:szCs w:val="20"/>
        </w:rPr>
        <w:t>applicables</w:t>
      </w:r>
      <w:r w:rsidR="00DB1635" w:rsidRPr="00B004EE">
        <w:rPr>
          <w:rFonts w:ascii="Tahoma" w:hAnsi="Tahoma" w:cs="Tahoma"/>
          <w:spacing w:val="-38"/>
          <w:sz w:val="20"/>
          <w:szCs w:val="20"/>
        </w:rPr>
        <w:t xml:space="preserve"> </w:t>
      </w:r>
      <w:r w:rsidRPr="00B004EE">
        <w:rPr>
          <w:rFonts w:ascii="Tahoma" w:hAnsi="Tahoma" w:cs="Tahoma"/>
          <w:sz w:val="20"/>
          <w:szCs w:val="20"/>
        </w:rPr>
        <w:t>à</w:t>
      </w:r>
      <w:r w:rsidR="00DB1635" w:rsidRPr="00B004EE">
        <w:rPr>
          <w:rFonts w:ascii="Tahoma" w:hAnsi="Tahoma" w:cs="Tahoma"/>
          <w:spacing w:val="-38"/>
          <w:sz w:val="20"/>
          <w:szCs w:val="20"/>
        </w:rPr>
        <w:t xml:space="preserve"> </w:t>
      </w:r>
      <w:r w:rsidRPr="00B004EE">
        <w:rPr>
          <w:rFonts w:ascii="Tahoma" w:hAnsi="Tahoma" w:cs="Tahoma"/>
          <w:sz w:val="20"/>
          <w:szCs w:val="20"/>
        </w:rPr>
        <w:t>la</w:t>
      </w:r>
      <w:r w:rsidR="00DB1635" w:rsidRPr="00B004EE">
        <w:rPr>
          <w:rFonts w:ascii="Tahoma" w:hAnsi="Tahoma" w:cs="Tahoma"/>
          <w:spacing w:val="-38"/>
          <w:sz w:val="20"/>
          <w:szCs w:val="20"/>
        </w:rPr>
        <w:t xml:space="preserve"> </w:t>
      </w:r>
      <w:r w:rsidRPr="00B004EE">
        <w:rPr>
          <w:rFonts w:ascii="Tahoma" w:hAnsi="Tahoma" w:cs="Tahoma"/>
          <w:sz w:val="20"/>
          <w:szCs w:val="20"/>
        </w:rPr>
        <w:t>pêche</w:t>
      </w:r>
      <w:r w:rsidR="00DB1635" w:rsidRPr="00B004EE">
        <w:rPr>
          <w:rFonts w:ascii="Tahoma" w:hAnsi="Tahoma" w:cs="Tahoma"/>
          <w:spacing w:val="-38"/>
          <w:sz w:val="20"/>
          <w:szCs w:val="20"/>
        </w:rPr>
        <w:t xml:space="preserve"> </w:t>
      </w:r>
      <w:r w:rsidRPr="00B004EE">
        <w:rPr>
          <w:rFonts w:ascii="Tahoma" w:hAnsi="Tahoma" w:cs="Tahoma"/>
          <w:sz w:val="20"/>
          <w:szCs w:val="20"/>
        </w:rPr>
        <w:t>exploratoire.</w:t>
      </w:r>
    </w:p>
    <w:p w14:paraId="7F3BE167" w14:textId="220B5411" w:rsidR="001E7C3C" w:rsidRPr="00B004EE" w:rsidRDefault="001E7C3C" w:rsidP="00B004EE">
      <w:pPr>
        <w:pStyle w:val="Corpsdetexte"/>
        <w:ind w:right="157"/>
        <w:rPr>
          <w:rFonts w:ascii="Tahoma" w:hAnsi="Tahoma" w:cs="Tahoma"/>
          <w:sz w:val="20"/>
          <w:szCs w:val="20"/>
        </w:rPr>
      </w:pPr>
      <w:r w:rsidRPr="00B004EE">
        <w:rPr>
          <w:rFonts w:ascii="Tahoma" w:hAnsi="Tahoma" w:cs="Tahoma"/>
          <w:sz w:val="20"/>
          <w:szCs w:val="20"/>
        </w:rPr>
        <w:t>Les</w:t>
      </w:r>
      <w:r w:rsidR="00DB1635" w:rsidRPr="00B004EE">
        <w:rPr>
          <w:rFonts w:ascii="Tahoma" w:hAnsi="Tahoma" w:cs="Tahoma"/>
          <w:spacing w:val="-8"/>
          <w:sz w:val="20"/>
          <w:szCs w:val="20"/>
        </w:rPr>
        <w:t xml:space="preserve"> </w:t>
      </w:r>
      <w:r w:rsidRPr="00B004EE">
        <w:rPr>
          <w:rFonts w:ascii="Tahoma" w:hAnsi="Tahoma" w:cs="Tahoma"/>
          <w:sz w:val="20"/>
          <w:szCs w:val="20"/>
        </w:rPr>
        <w:t>dispositions</w:t>
      </w:r>
      <w:r w:rsidR="00DB1635" w:rsidRPr="00B004EE">
        <w:rPr>
          <w:rFonts w:ascii="Tahoma" w:hAnsi="Tahoma" w:cs="Tahoma"/>
          <w:spacing w:val="-8"/>
          <w:sz w:val="20"/>
          <w:szCs w:val="20"/>
        </w:rPr>
        <w:t xml:space="preserve"> </w:t>
      </w:r>
      <w:r w:rsidRPr="00B004EE">
        <w:rPr>
          <w:rFonts w:ascii="Tahoma" w:hAnsi="Tahoma" w:cs="Tahoma"/>
          <w:sz w:val="20"/>
          <w:szCs w:val="20"/>
        </w:rPr>
        <w:t>du</w:t>
      </w:r>
      <w:r w:rsidR="00DB1635" w:rsidRPr="00B004EE">
        <w:rPr>
          <w:rFonts w:ascii="Tahoma" w:hAnsi="Tahoma" w:cs="Tahoma"/>
          <w:spacing w:val="-7"/>
          <w:sz w:val="20"/>
          <w:szCs w:val="20"/>
        </w:rPr>
        <w:t xml:space="preserve"> </w:t>
      </w:r>
      <w:r w:rsidRPr="00B004EE">
        <w:rPr>
          <w:rFonts w:ascii="Tahoma" w:hAnsi="Tahoma" w:cs="Tahoma"/>
          <w:sz w:val="20"/>
          <w:szCs w:val="20"/>
        </w:rPr>
        <w:t>présent</w:t>
      </w:r>
      <w:r w:rsidR="00DB1635" w:rsidRPr="00B004EE">
        <w:rPr>
          <w:rFonts w:ascii="Tahoma" w:hAnsi="Tahoma" w:cs="Tahoma"/>
          <w:spacing w:val="-7"/>
          <w:sz w:val="20"/>
          <w:szCs w:val="20"/>
        </w:rPr>
        <w:t xml:space="preserve"> </w:t>
      </w:r>
      <w:r w:rsidRPr="00B004EE">
        <w:rPr>
          <w:rFonts w:ascii="Tahoma" w:hAnsi="Tahoma" w:cs="Tahoma"/>
          <w:sz w:val="20"/>
          <w:szCs w:val="20"/>
        </w:rPr>
        <w:t>article</w:t>
      </w:r>
      <w:r w:rsidR="00DB1635" w:rsidRPr="00B004EE">
        <w:rPr>
          <w:rFonts w:ascii="Tahoma" w:hAnsi="Tahoma" w:cs="Tahoma"/>
          <w:spacing w:val="-7"/>
          <w:sz w:val="20"/>
          <w:szCs w:val="20"/>
        </w:rPr>
        <w:t xml:space="preserve"> </w:t>
      </w:r>
      <w:r w:rsidRPr="00B004EE">
        <w:rPr>
          <w:rFonts w:ascii="Tahoma" w:hAnsi="Tahoma" w:cs="Tahoma"/>
          <w:sz w:val="20"/>
          <w:szCs w:val="20"/>
        </w:rPr>
        <w:t>seront</w:t>
      </w:r>
      <w:r w:rsidR="00DB1635" w:rsidRPr="00B004EE">
        <w:rPr>
          <w:rFonts w:ascii="Tahoma" w:hAnsi="Tahoma" w:cs="Tahoma"/>
          <w:spacing w:val="-7"/>
          <w:sz w:val="20"/>
          <w:szCs w:val="20"/>
        </w:rPr>
        <w:t xml:space="preserve"> </w:t>
      </w:r>
      <w:r w:rsidRPr="00B004EE">
        <w:rPr>
          <w:rFonts w:ascii="Tahoma" w:hAnsi="Tahoma" w:cs="Tahoma"/>
          <w:sz w:val="20"/>
          <w:szCs w:val="20"/>
        </w:rPr>
        <w:t>précisées</w:t>
      </w:r>
      <w:r w:rsidR="00DB1635" w:rsidRPr="00B004EE">
        <w:rPr>
          <w:rFonts w:ascii="Tahoma" w:hAnsi="Tahoma" w:cs="Tahoma"/>
          <w:spacing w:val="-8"/>
          <w:sz w:val="20"/>
          <w:szCs w:val="20"/>
        </w:rPr>
        <w:t xml:space="preserve"> </w:t>
      </w:r>
      <w:r w:rsidRPr="00B004EE">
        <w:rPr>
          <w:rFonts w:ascii="Tahoma" w:hAnsi="Tahoma" w:cs="Tahoma"/>
          <w:sz w:val="20"/>
          <w:szCs w:val="20"/>
        </w:rPr>
        <w:t>par</w:t>
      </w:r>
      <w:r w:rsidR="00DB1635" w:rsidRPr="00B004EE">
        <w:rPr>
          <w:rFonts w:ascii="Tahoma" w:hAnsi="Tahoma" w:cs="Tahoma"/>
          <w:spacing w:val="-8"/>
          <w:sz w:val="20"/>
          <w:szCs w:val="20"/>
        </w:rPr>
        <w:t xml:space="preserve"> </w:t>
      </w:r>
      <w:r w:rsidRPr="00B004EE">
        <w:rPr>
          <w:rFonts w:ascii="Tahoma" w:hAnsi="Tahoma" w:cs="Tahoma"/>
          <w:sz w:val="20"/>
          <w:szCs w:val="20"/>
        </w:rPr>
        <w:t>décret</w:t>
      </w:r>
      <w:r w:rsidR="00DB1635" w:rsidRPr="00B004EE">
        <w:rPr>
          <w:rFonts w:ascii="Tahoma" w:hAnsi="Tahoma" w:cs="Tahoma"/>
          <w:spacing w:val="-4"/>
          <w:sz w:val="20"/>
          <w:szCs w:val="20"/>
        </w:rPr>
        <w:t xml:space="preserve"> </w:t>
      </w:r>
      <w:r w:rsidRPr="00B004EE">
        <w:rPr>
          <w:rFonts w:ascii="Tahoma" w:hAnsi="Tahoma" w:cs="Tahoma"/>
          <w:sz w:val="20"/>
          <w:szCs w:val="20"/>
        </w:rPr>
        <w:t>pris</w:t>
      </w:r>
      <w:r w:rsidR="00DB1635" w:rsidRPr="00B004EE">
        <w:rPr>
          <w:rFonts w:ascii="Tahoma" w:hAnsi="Tahoma" w:cs="Tahoma"/>
          <w:spacing w:val="-7"/>
          <w:sz w:val="20"/>
          <w:szCs w:val="20"/>
        </w:rPr>
        <w:t xml:space="preserve"> </w:t>
      </w:r>
      <w:r w:rsidRPr="00B004EE">
        <w:rPr>
          <w:rFonts w:ascii="Tahoma" w:hAnsi="Tahoma" w:cs="Tahoma"/>
          <w:sz w:val="20"/>
          <w:szCs w:val="20"/>
        </w:rPr>
        <w:t>en</w:t>
      </w:r>
      <w:r w:rsidR="00DB1635" w:rsidRPr="00B004EE">
        <w:rPr>
          <w:rFonts w:ascii="Tahoma" w:hAnsi="Tahoma" w:cs="Tahoma"/>
          <w:spacing w:val="-9"/>
          <w:sz w:val="20"/>
          <w:szCs w:val="20"/>
        </w:rPr>
        <w:t xml:space="preserve"> </w:t>
      </w:r>
      <w:r w:rsidRPr="00B004EE">
        <w:rPr>
          <w:rFonts w:ascii="Tahoma" w:hAnsi="Tahoma" w:cs="Tahoma"/>
          <w:sz w:val="20"/>
          <w:szCs w:val="20"/>
        </w:rPr>
        <w:t>Conseil</w:t>
      </w:r>
      <w:r w:rsidR="00DB1635" w:rsidRPr="00B004EE">
        <w:rPr>
          <w:rFonts w:ascii="Tahoma" w:hAnsi="Tahoma" w:cs="Tahoma"/>
          <w:spacing w:val="-8"/>
          <w:sz w:val="20"/>
          <w:szCs w:val="20"/>
        </w:rPr>
        <w:t xml:space="preserve"> </w:t>
      </w:r>
      <w:r w:rsidRPr="00B004EE">
        <w:rPr>
          <w:rFonts w:ascii="Tahoma" w:hAnsi="Tahoma" w:cs="Tahoma"/>
          <w:sz w:val="20"/>
          <w:szCs w:val="20"/>
        </w:rPr>
        <w:t>des</w:t>
      </w:r>
      <w:r w:rsidR="00DB1635" w:rsidRPr="00B004EE">
        <w:rPr>
          <w:rFonts w:ascii="Tahoma" w:hAnsi="Tahoma" w:cs="Tahoma"/>
          <w:w w:val="94"/>
          <w:sz w:val="20"/>
          <w:szCs w:val="20"/>
        </w:rPr>
        <w:t xml:space="preserve"> </w:t>
      </w:r>
      <w:r w:rsidRPr="00B004EE">
        <w:rPr>
          <w:rFonts w:ascii="Tahoma" w:hAnsi="Tahoma" w:cs="Tahoma"/>
          <w:sz w:val="20"/>
          <w:szCs w:val="20"/>
        </w:rPr>
        <w:t>ministres</w:t>
      </w:r>
      <w:r w:rsidR="00DB1635" w:rsidRPr="00B004EE">
        <w:rPr>
          <w:rFonts w:ascii="Tahoma" w:hAnsi="Tahoma" w:cs="Tahoma"/>
          <w:spacing w:val="-37"/>
          <w:sz w:val="20"/>
          <w:szCs w:val="20"/>
        </w:rPr>
        <w:t xml:space="preserve"> </w:t>
      </w:r>
      <w:r w:rsidRPr="00B004EE">
        <w:rPr>
          <w:rFonts w:ascii="Tahoma" w:hAnsi="Tahoma" w:cs="Tahoma"/>
          <w:sz w:val="20"/>
          <w:szCs w:val="20"/>
        </w:rPr>
        <w:t>sur</w:t>
      </w:r>
      <w:r w:rsidR="00DB1635" w:rsidRPr="00B004EE">
        <w:rPr>
          <w:rFonts w:ascii="Tahoma" w:hAnsi="Tahoma" w:cs="Tahoma"/>
          <w:spacing w:val="-37"/>
          <w:sz w:val="20"/>
          <w:szCs w:val="20"/>
        </w:rPr>
        <w:t xml:space="preserve"> </w:t>
      </w:r>
      <w:r w:rsidRPr="00B004EE">
        <w:rPr>
          <w:rFonts w:ascii="Tahoma" w:hAnsi="Tahoma" w:cs="Tahoma"/>
          <w:sz w:val="20"/>
          <w:szCs w:val="20"/>
        </w:rPr>
        <w:t>rapport</w:t>
      </w:r>
      <w:r w:rsidR="00DB1635" w:rsidRPr="00B004EE">
        <w:rPr>
          <w:rFonts w:ascii="Tahoma" w:hAnsi="Tahoma" w:cs="Tahoma"/>
          <w:spacing w:val="-37"/>
          <w:sz w:val="20"/>
          <w:szCs w:val="20"/>
        </w:rPr>
        <w:t xml:space="preserve"> </w:t>
      </w:r>
      <w:r w:rsidRPr="00B004EE">
        <w:rPr>
          <w:rFonts w:ascii="Tahoma" w:hAnsi="Tahoma" w:cs="Tahoma"/>
          <w:sz w:val="20"/>
          <w:szCs w:val="20"/>
        </w:rPr>
        <w:t>du</w:t>
      </w:r>
      <w:r w:rsidR="00DB1635" w:rsidRPr="00B004EE">
        <w:rPr>
          <w:rFonts w:ascii="Tahoma" w:hAnsi="Tahoma" w:cs="Tahoma"/>
          <w:spacing w:val="-37"/>
          <w:sz w:val="20"/>
          <w:szCs w:val="20"/>
        </w:rPr>
        <w:t xml:space="preserve"> </w:t>
      </w:r>
      <w:r w:rsidRPr="00B004EE">
        <w:rPr>
          <w:rFonts w:ascii="Tahoma" w:hAnsi="Tahoma" w:cs="Tahoma"/>
          <w:sz w:val="20"/>
          <w:szCs w:val="20"/>
        </w:rPr>
        <w:t>ministre</w:t>
      </w:r>
      <w:r w:rsidR="00DB1635" w:rsidRPr="00B004EE">
        <w:rPr>
          <w:rFonts w:ascii="Tahoma" w:hAnsi="Tahoma" w:cs="Tahoma"/>
          <w:spacing w:val="-37"/>
          <w:sz w:val="20"/>
          <w:szCs w:val="20"/>
        </w:rPr>
        <w:t xml:space="preserve"> </w:t>
      </w:r>
      <w:r w:rsidRPr="00B004EE">
        <w:rPr>
          <w:rFonts w:ascii="Tahoma" w:hAnsi="Tahoma" w:cs="Tahoma"/>
          <w:sz w:val="20"/>
          <w:szCs w:val="20"/>
        </w:rPr>
        <w:t>chargé</w:t>
      </w:r>
      <w:r w:rsidR="00DB1635" w:rsidRPr="00B004EE">
        <w:rPr>
          <w:rFonts w:ascii="Tahoma" w:hAnsi="Tahoma" w:cs="Tahoma"/>
          <w:spacing w:val="-37"/>
          <w:sz w:val="20"/>
          <w:szCs w:val="20"/>
        </w:rPr>
        <w:t xml:space="preserve"> </w:t>
      </w:r>
      <w:r w:rsidRPr="00B004EE">
        <w:rPr>
          <w:rFonts w:ascii="Tahoma" w:hAnsi="Tahoma" w:cs="Tahoma"/>
          <w:sz w:val="20"/>
          <w:szCs w:val="20"/>
        </w:rPr>
        <w:t>des</w:t>
      </w:r>
      <w:r w:rsidR="00DB1635" w:rsidRPr="00B004EE">
        <w:rPr>
          <w:rFonts w:ascii="Tahoma" w:hAnsi="Tahoma" w:cs="Tahoma"/>
          <w:spacing w:val="-37"/>
          <w:sz w:val="20"/>
          <w:szCs w:val="20"/>
        </w:rPr>
        <w:t xml:space="preserve"> </w:t>
      </w:r>
      <w:r w:rsidRPr="00B004EE">
        <w:rPr>
          <w:rFonts w:ascii="Tahoma" w:hAnsi="Tahoma" w:cs="Tahoma"/>
          <w:sz w:val="20"/>
          <w:szCs w:val="20"/>
        </w:rPr>
        <w:t>pêches.</w:t>
      </w:r>
    </w:p>
    <w:p w14:paraId="266A2025" w14:textId="459F4B61" w:rsidR="001E7C3C" w:rsidRPr="00B004EE" w:rsidRDefault="001E7C3C" w:rsidP="00B004EE">
      <w:pPr>
        <w:ind w:right="164" w:hanging="4"/>
        <w:jc w:val="center"/>
        <w:rPr>
          <w:rFonts w:ascii="Tahoma" w:hAnsi="Tahoma" w:cs="Tahoma"/>
          <w:b/>
          <w:spacing w:val="1"/>
          <w:w w:val="113"/>
          <w:sz w:val="20"/>
          <w:szCs w:val="20"/>
        </w:rPr>
      </w:pPr>
      <w:bookmarkStart w:id="81" w:name="_Toc16279073"/>
      <w:bookmarkStart w:id="82" w:name="_Toc16279442"/>
      <w:r w:rsidRPr="00B004EE">
        <w:rPr>
          <w:rFonts w:ascii="Tahoma" w:hAnsi="Tahoma" w:cs="Tahoma"/>
          <w:b/>
          <w:spacing w:val="1"/>
          <w:w w:val="113"/>
          <w:sz w:val="20"/>
          <w:szCs w:val="20"/>
        </w:rPr>
        <w:lastRenderedPageBreak/>
        <w:t>Section</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12</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Les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activités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des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navires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à</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des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fins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de</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recherche</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scientifique</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et</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technique</w:t>
      </w:r>
      <w:bookmarkEnd w:id="81"/>
      <w:bookmarkEnd w:id="82"/>
    </w:p>
    <w:p w14:paraId="505FE955" w14:textId="77777777" w:rsidR="001E7C3C" w:rsidRPr="00B004EE" w:rsidRDefault="001E7C3C" w:rsidP="00B004EE">
      <w:pPr>
        <w:ind w:right="164" w:hanging="4"/>
        <w:jc w:val="center"/>
        <w:rPr>
          <w:rFonts w:ascii="Tahoma" w:hAnsi="Tahoma" w:cs="Tahoma"/>
          <w:bCs/>
          <w:sz w:val="20"/>
          <w:szCs w:val="20"/>
        </w:rPr>
      </w:pPr>
    </w:p>
    <w:p w14:paraId="0A873D12" w14:textId="2DA3B236" w:rsidR="001E7C3C" w:rsidRPr="00B004EE" w:rsidRDefault="001E7C3C" w:rsidP="00B004EE">
      <w:pPr>
        <w:pStyle w:val="Corpsdetexte"/>
        <w:ind w:right="158"/>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50</w:t>
      </w:r>
      <w:r w:rsidR="00DB1635" w:rsidRPr="00B004EE">
        <w:rPr>
          <w:rFonts w:ascii="Tahoma" w:hAnsi="Tahoma" w:cs="Tahoma"/>
          <w:bCs/>
          <w:sz w:val="20"/>
          <w:szCs w:val="20"/>
        </w:rPr>
        <w:t xml:space="preserve"> </w:t>
      </w:r>
      <w:r w:rsidRPr="00B004EE">
        <w:rPr>
          <w:rFonts w:ascii="Tahoma" w:hAnsi="Tahoma" w:cs="Tahoma"/>
          <w:bCs/>
          <w:sz w:val="20"/>
          <w:szCs w:val="20"/>
        </w:rPr>
        <w:t>:</w:t>
      </w:r>
      <w:r w:rsidR="00DB1635" w:rsidRPr="00B004EE">
        <w:rPr>
          <w:rFonts w:ascii="Tahoma" w:hAnsi="Tahoma" w:cs="Tahoma"/>
          <w:b/>
          <w:spacing w:val="19"/>
          <w:sz w:val="20"/>
          <w:szCs w:val="20"/>
        </w:rPr>
        <w:t xml:space="preserve"> </w:t>
      </w:r>
      <w:r w:rsidRPr="00B004EE">
        <w:rPr>
          <w:rFonts w:ascii="Tahoma" w:hAnsi="Tahoma" w:cs="Tahoma"/>
          <w:sz w:val="20"/>
          <w:szCs w:val="20"/>
        </w:rPr>
        <w:t>Les</w:t>
      </w:r>
      <w:r w:rsidR="00DB1635" w:rsidRPr="00B004EE">
        <w:rPr>
          <w:rFonts w:ascii="Tahoma" w:hAnsi="Tahoma" w:cs="Tahoma"/>
          <w:spacing w:val="15"/>
          <w:sz w:val="20"/>
          <w:szCs w:val="20"/>
        </w:rPr>
        <w:t xml:space="preserve"> </w:t>
      </w:r>
      <w:r w:rsidRPr="00B004EE">
        <w:rPr>
          <w:rFonts w:ascii="Tahoma" w:hAnsi="Tahoma" w:cs="Tahoma"/>
          <w:sz w:val="20"/>
          <w:szCs w:val="20"/>
        </w:rPr>
        <w:t>activités</w:t>
      </w:r>
      <w:r w:rsidR="00DB1635" w:rsidRPr="00B004EE">
        <w:rPr>
          <w:rFonts w:ascii="Tahoma" w:hAnsi="Tahoma" w:cs="Tahoma"/>
          <w:spacing w:val="16"/>
          <w:sz w:val="20"/>
          <w:szCs w:val="20"/>
        </w:rPr>
        <w:t xml:space="preserve"> </w:t>
      </w:r>
      <w:r w:rsidRPr="00B004EE">
        <w:rPr>
          <w:rFonts w:ascii="Tahoma" w:hAnsi="Tahoma" w:cs="Tahoma"/>
          <w:sz w:val="20"/>
          <w:szCs w:val="20"/>
        </w:rPr>
        <w:t>des</w:t>
      </w:r>
      <w:r w:rsidR="00DB1635" w:rsidRPr="00B004EE">
        <w:rPr>
          <w:rFonts w:ascii="Tahoma" w:hAnsi="Tahoma" w:cs="Tahoma"/>
          <w:spacing w:val="15"/>
          <w:sz w:val="20"/>
          <w:szCs w:val="20"/>
        </w:rPr>
        <w:t xml:space="preserve"> </w:t>
      </w:r>
      <w:r w:rsidRPr="00B004EE">
        <w:rPr>
          <w:rFonts w:ascii="Tahoma" w:hAnsi="Tahoma" w:cs="Tahoma"/>
          <w:sz w:val="20"/>
          <w:szCs w:val="20"/>
        </w:rPr>
        <w:t>navires</w:t>
      </w:r>
      <w:r w:rsidR="00DB1635" w:rsidRPr="00B004EE">
        <w:rPr>
          <w:rFonts w:ascii="Tahoma" w:hAnsi="Tahoma" w:cs="Tahoma"/>
          <w:spacing w:val="15"/>
          <w:sz w:val="20"/>
          <w:szCs w:val="20"/>
        </w:rPr>
        <w:t xml:space="preserve"> </w:t>
      </w:r>
      <w:r w:rsidRPr="00B004EE">
        <w:rPr>
          <w:rFonts w:ascii="Tahoma" w:hAnsi="Tahoma" w:cs="Tahoma"/>
          <w:sz w:val="20"/>
          <w:szCs w:val="20"/>
        </w:rPr>
        <w:t>à</w:t>
      </w:r>
      <w:r w:rsidR="00DB1635" w:rsidRPr="00B004EE">
        <w:rPr>
          <w:rFonts w:ascii="Tahoma" w:hAnsi="Tahoma" w:cs="Tahoma"/>
          <w:spacing w:val="16"/>
          <w:sz w:val="20"/>
          <w:szCs w:val="20"/>
        </w:rPr>
        <w:t xml:space="preserve"> </w:t>
      </w:r>
      <w:r w:rsidRPr="00B004EE">
        <w:rPr>
          <w:rFonts w:ascii="Tahoma" w:hAnsi="Tahoma" w:cs="Tahoma"/>
          <w:sz w:val="20"/>
          <w:szCs w:val="20"/>
        </w:rPr>
        <w:t>des</w:t>
      </w:r>
      <w:r w:rsidR="00DB1635" w:rsidRPr="00B004EE">
        <w:rPr>
          <w:rFonts w:ascii="Tahoma" w:hAnsi="Tahoma" w:cs="Tahoma"/>
          <w:spacing w:val="15"/>
          <w:sz w:val="20"/>
          <w:szCs w:val="20"/>
        </w:rPr>
        <w:t xml:space="preserve"> </w:t>
      </w:r>
      <w:r w:rsidRPr="00B004EE">
        <w:rPr>
          <w:rFonts w:ascii="Tahoma" w:hAnsi="Tahoma" w:cs="Tahoma"/>
          <w:sz w:val="20"/>
          <w:szCs w:val="20"/>
        </w:rPr>
        <w:t>fins</w:t>
      </w:r>
      <w:r w:rsidR="00DB1635" w:rsidRPr="00B004EE">
        <w:rPr>
          <w:rFonts w:ascii="Tahoma" w:hAnsi="Tahoma" w:cs="Tahoma"/>
          <w:spacing w:val="15"/>
          <w:sz w:val="20"/>
          <w:szCs w:val="20"/>
        </w:rPr>
        <w:t xml:space="preserve"> </w:t>
      </w:r>
      <w:r w:rsidRPr="00B004EE">
        <w:rPr>
          <w:rFonts w:ascii="Tahoma" w:hAnsi="Tahoma" w:cs="Tahoma"/>
          <w:sz w:val="20"/>
          <w:szCs w:val="20"/>
        </w:rPr>
        <w:t>de</w:t>
      </w:r>
      <w:r w:rsidR="00DB1635" w:rsidRPr="00B004EE">
        <w:rPr>
          <w:rFonts w:ascii="Tahoma" w:hAnsi="Tahoma" w:cs="Tahoma"/>
          <w:spacing w:val="16"/>
          <w:sz w:val="20"/>
          <w:szCs w:val="20"/>
        </w:rPr>
        <w:t xml:space="preserve"> </w:t>
      </w:r>
      <w:r w:rsidRPr="00B004EE">
        <w:rPr>
          <w:rFonts w:ascii="Tahoma" w:hAnsi="Tahoma" w:cs="Tahoma"/>
          <w:sz w:val="20"/>
          <w:szCs w:val="20"/>
        </w:rPr>
        <w:t>recherche</w:t>
      </w:r>
      <w:r w:rsidR="00DB1635" w:rsidRPr="00B004EE">
        <w:rPr>
          <w:rFonts w:ascii="Tahoma" w:hAnsi="Tahoma" w:cs="Tahoma"/>
          <w:spacing w:val="16"/>
          <w:sz w:val="20"/>
          <w:szCs w:val="20"/>
        </w:rPr>
        <w:t xml:space="preserve"> </w:t>
      </w:r>
      <w:r w:rsidRPr="00B004EE">
        <w:rPr>
          <w:rFonts w:ascii="Tahoma" w:hAnsi="Tahoma" w:cs="Tahoma"/>
          <w:sz w:val="20"/>
          <w:szCs w:val="20"/>
        </w:rPr>
        <w:t>océanographique,</w:t>
      </w:r>
      <w:r w:rsidR="00DB1635" w:rsidRPr="00B004EE">
        <w:rPr>
          <w:rFonts w:ascii="Tahoma" w:hAnsi="Tahoma" w:cs="Tahoma"/>
          <w:w w:val="97"/>
          <w:sz w:val="20"/>
          <w:szCs w:val="20"/>
        </w:rPr>
        <w:t xml:space="preserve"> </w:t>
      </w:r>
      <w:r w:rsidRPr="00B004EE">
        <w:rPr>
          <w:rFonts w:ascii="Tahoma" w:hAnsi="Tahoma" w:cs="Tahoma"/>
          <w:sz w:val="20"/>
          <w:szCs w:val="20"/>
        </w:rPr>
        <w:t>halieutique</w:t>
      </w:r>
      <w:r w:rsidR="00DB1635" w:rsidRPr="00B004EE">
        <w:rPr>
          <w:rFonts w:ascii="Tahoma" w:hAnsi="Tahoma" w:cs="Tahoma"/>
          <w:spacing w:val="50"/>
          <w:sz w:val="20"/>
          <w:szCs w:val="20"/>
        </w:rPr>
        <w:t xml:space="preserve"> </w:t>
      </w:r>
      <w:r w:rsidRPr="00B004EE">
        <w:rPr>
          <w:rFonts w:ascii="Tahoma" w:hAnsi="Tahoma" w:cs="Tahoma"/>
          <w:sz w:val="20"/>
          <w:szCs w:val="20"/>
        </w:rPr>
        <w:t>et</w:t>
      </w:r>
      <w:r w:rsidR="00DB1635" w:rsidRPr="00B004EE">
        <w:rPr>
          <w:rFonts w:ascii="Tahoma" w:hAnsi="Tahoma" w:cs="Tahoma"/>
          <w:spacing w:val="49"/>
          <w:sz w:val="20"/>
          <w:szCs w:val="20"/>
        </w:rPr>
        <w:t xml:space="preserve"> </w:t>
      </w:r>
      <w:r w:rsidRPr="00B004EE">
        <w:rPr>
          <w:rFonts w:ascii="Tahoma" w:hAnsi="Tahoma" w:cs="Tahoma"/>
          <w:sz w:val="20"/>
          <w:szCs w:val="20"/>
        </w:rPr>
        <w:t>des</w:t>
      </w:r>
      <w:r w:rsidR="00DB1635" w:rsidRPr="00B004EE">
        <w:rPr>
          <w:rFonts w:ascii="Tahoma" w:hAnsi="Tahoma" w:cs="Tahoma"/>
          <w:spacing w:val="49"/>
          <w:sz w:val="20"/>
          <w:szCs w:val="20"/>
        </w:rPr>
        <w:t xml:space="preserve"> </w:t>
      </w:r>
      <w:r w:rsidRPr="00B004EE">
        <w:rPr>
          <w:rFonts w:ascii="Tahoma" w:hAnsi="Tahoma" w:cs="Tahoma"/>
          <w:sz w:val="20"/>
          <w:szCs w:val="20"/>
        </w:rPr>
        <w:t>pêches,</w:t>
      </w:r>
      <w:r w:rsidR="00DB1635" w:rsidRPr="00B004EE">
        <w:rPr>
          <w:rFonts w:ascii="Tahoma" w:hAnsi="Tahoma" w:cs="Tahoma"/>
          <w:spacing w:val="51"/>
          <w:sz w:val="20"/>
          <w:szCs w:val="20"/>
        </w:rPr>
        <w:t xml:space="preserve"> </w:t>
      </w:r>
      <w:r w:rsidRPr="00B004EE">
        <w:rPr>
          <w:rFonts w:ascii="Tahoma" w:hAnsi="Tahoma" w:cs="Tahoma"/>
          <w:sz w:val="20"/>
          <w:szCs w:val="20"/>
        </w:rPr>
        <w:t>dans</w:t>
      </w:r>
      <w:r w:rsidR="00DB1635" w:rsidRPr="00B004EE">
        <w:rPr>
          <w:rFonts w:ascii="Tahoma" w:hAnsi="Tahoma" w:cs="Tahoma"/>
          <w:spacing w:val="48"/>
          <w:sz w:val="20"/>
          <w:szCs w:val="20"/>
        </w:rPr>
        <w:t xml:space="preserve"> </w:t>
      </w:r>
      <w:r w:rsidRPr="00B004EE">
        <w:rPr>
          <w:rFonts w:ascii="Tahoma" w:hAnsi="Tahoma" w:cs="Tahoma"/>
          <w:sz w:val="20"/>
          <w:szCs w:val="20"/>
        </w:rPr>
        <w:t>les</w:t>
      </w:r>
      <w:r w:rsidR="00DB1635" w:rsidRPr="00B004EE">
        <w:rPr>
          <w:rFonts w:ascii="Tahoma" w:hAnsi="Tahoma" w:cs="Tahoma"/>
          <w:spacing w:val="49"/>
          <w:sz w:val="20"/>
          <w:szCs w:val="20"/>
        </w:rPr>
        <w:t xml:space="preserve"> </w:t>
      </w:r>
      <w:r w:rsidRPr="00B004EE">
        <w:rPr>
          <w:rFonts w:ascii="Tahoma" w:hAnsi="Tahoma" w:cs="Tahoma"/>
          <w:sz w:val="20"/>
          <w:szCs w:val="20"/>
        </w:rPr>
        <w:t>eaux</w:t>
      </w:r>
      <w:r w:rsidR="00DB1635" w:rsidRPr="00B004EE">
        <w:rPr>
          <w:rFonts w:ascii="Tahoma" w:hAnsi="Tahoma" w:cs="Tahoma"/>
          <w:spacing w:val="49"/>
          <w:sz w:val="20"/>
          <w:szCs w:val="20"/>
        </w:rPr>
        <w:t xml:space="preserve"> </w:t>
      </w:r>
      <w:r w:rsidRPr="00B004EE">
        <w:rPr>
          <w:rFonts w:ascii="Tahoma" w:hAnsi="Tahoma" w:cs="Tahoma"/>
          <w:sz w:val="20"/>
          <w:szCs w:val="20"/>
        </w:rPr>
        <w:t>sous</w:t>
      </w:r>
      <w:r w:rsidR="00DB1635" w:rsidRPr="00B004EE">
        <w:rPr>
          <w:rFonts w:ascii="Tahoma" w:hAnsi="Tahoma" w:cs="Tahoma"/>
          <w:spacing w:val="49"/>
          <w:sz w:val="20"/>
          <w:szCs w:val="20"/>
        </w:rPr>
        <w:t xml:space="preserve"> </w:t>
      </w:r>
      <w:r w:rsidRPr="00B004EE">
        <w:rPr>
          <w:rFonts w:ascii="Tahoma" w:hAnsi="Tahoma" w:cs="Tahoma"/>
          <w:sz w:val="20"/>
          <w:szCs w:val="20"/>
        </w:rPr>
        <w:t>juridiction</w:t>
      </w:r>
      <w:r w:rsidR="00DB1635" w:rsidRPr="00B004EE">
        <w:rPr>
          <w:rFonts w:ascii="Tahoma" w:hAnsi="Tahoma" w:cs="Tahoma"/>
          <w:spacing w:val="49"/>
          <w:sz w:val="20"/>
          <w:szCs w:val="20"/>
        </w:rPr>
        <w:t xml:space="preserve"> </w:t>
      </w:r>
      <w:r w:rsidRPr="00B004EE">
        <w:rPr>
          <w:rFonts w:ascii="Tahoma" w:hAnsi="Tahoma" w:cs="Tahoma"/>
          <w:sz w:val="20"/>
          <w:szCs w:val="20"/>
        </w:rPr>
        <w:t>mauritanienne</w:t>
      </w:r>
      <w:r w:rsidR="00DB1635" w:rsidRPr="00B004EE">
        <w:rPr>
          <w:rFonts w:ascii="Tahoma" w:hAnsi="Tahoma" w:cs="Tahoma"/>
          <w:spacing w:val="52"/>
          <w:sz w:val="20"/>
          <w:szCs w:val="20"/>
        </w:rPr>
        <w:t xml:space="preserve"> </w:t>
      </w:r>
      <w:r w:rsidRPr="00B004EE">
        <w:rPr>
          <w:rFonts w:ascii="Tahoma" w:hAnsi="Tahoma" w:cs="Tahoma"/>
          <w:sz w:val="20"/>
          <w:szCs w:val="20"/>
        </w:rPr>
        <w:t>sont</w:t>
      </w:r>
      <w:r w:rsidR="00DB1635" w:rsidRPr="00B004EE">
        <w:rPr>
          <w:rFonts w:ascii="Tahoma" w:hAnsi="Tahoma" w:cs="Tahoma"/>
          <w:w w:val="97"/>
          <w:sz w:val="20"/>
          <w:szCs w:val="20"/>
        </w:rPr>
        <w:t xml:space="preserve"> </w:t>
      </w:r>
      <w:r w:rsidRPr="00B004EE">
        <w:rPr>
          <w:rFonts w:ascii="Tahoma" w:hAnsi="Tahoma" w:cs="Tahoma"/>
          <w:sz w:val="20"/>
          <w:szCs w:val="20"/>
        </w:rPr>
        <w:t>soumises</w:t>
      </w:r>
      <w:r w:rsidR="00DB1635" w:rsidRPr="00B004EE">
        <w:rPr>
          <w:rFonts w:ascii="Tahoma" w:hAnsi="Tahoma" w:cs="Tahoma"/>
          <w:spacing w:val="-20"/>
          <w:sz w:val="20"/>
          <w:szCs w:val="20"/>
        </w:rPr>
        <w:t xml:space="preserve"> </w:t>
      </w:r>
      <w:r w:rsidRPr="00B004EE">
        <w:rPr>
          <w:rFonts w:ascii="Tahoma" w:hAnsi="Tahoma" w:cs="Tahoma"/>
          <w:sz w:val="20"/>
          <w:szCs w:val="20"/>
        </w:rPr>
        <w:t>à</w:t>
      </w:r>
      <w:r w:rsidR="00DB1635" w:rsidRPr="00B004EE">
        <w:rPr>
          <w:rFonts w:ascii="Tahoma" w:hAnsi="Tahoma" w:cs="Tahoma"/>
          <w:spacing w:val="-20"/>
          <w:sz w:val="20"/>
          <w:szCs w:val="20"/>
        </w:rPr>
        <w:t xml:space="preserve"> </w:t>
      </w:r>
      <w:r w:rsidRPr="00B004EE">
        <w:rPr>
          <w:rFonts w:ascii="Tahoma" w:hAnsi="Tahoma" w:cs="Tahoma"/>
          <w:sz w:val="20"/>
          <w:szCs w:val="20"/>
        </w:rPr>
        <w:t>autorisation</w:t>
      </w:r>
      <w:r w:rsidR="00DB1635" w:rsidRPr="00B004EE">
        <w:rPr>
          <w:rFonts w:ascii="Tahoma" w:hAnsi="Tahoma" w:cs="Tahoma"/>
          <w:spacing w:val="-21"/>
          <w:sz w:val="20"/>
          <w:szCs w:val="20"/>
        </w:rPr>
        <w:t xml:space="preserve"> </w:t>
      </w:r>
      <w:r w:rsidRPr="00B004EE">
        <w:rPr>
          <w:rFonts w:ascii="Tahoma" w:hAnsi="Tahoma" w:cs="Tahoma"/>
          <w:sz w:val="20"/>
          <w:szCs w:val="20"/>
        </w:rPr>
        <w:t>préalable</w:t>
      </w:r>
      <w:r w:rsidR="00DB1635" w:rsidRPr="00B004EE">
        <w:rPr>
          <w:rFonts w:ascii="Tahoma" w:hAnsi="Tahoma" w:cs="Tahoma"/>
          <w:spacing w:val="-21"/>
          <w:sz w:val="20"/>
          <w:szCs w:val="20"/>
        </w:rPr>
        <w:t xml:space="preserve"> </w:t>
      </w:r>
      <w:r w:rsidRPr="00B004EE">
        <w:rPr>
          <w:rFonts w:ascii="Tahoma" w:hAnsi="Tahoma" w:cs="Tahoma"/>
          <w:sz w:val="20"/>
          <w:szCs w:val="20"/>
        </w:rPr>
        <w:t>du</w:t>
      </w:r>
      <w:r w:rsidR="00DB1635" w:rsidRPr="00B004EE">
        <w:rPr>
          <w:rFonts w:ascii="Tahoma" w:hAnsi="Tahoma" w:cs="Tahoma"/>
          <w:spacing w:val="-21"/>
          <w:sz w:val="20"/>
          <w:szCs w:val="20"/>
        </w:rPr>
        <w:t xml:space="preserve"> </w:t>
      </w:r>
      <w:r w:rsidRPr="00B004EE">
        <w:rPr>
          <w:rFonts w:ascii="Tahoma" w:hAnsi="Tahoma" w:cs="Tahoma"/>
          <w:sz w:val="20"/>
          <w:szCs w:val="20"/>
        </w:rPr>
        <w:t>ministre</w:t>
      </w:r>
      <w:r w:rsidR="00DB1635" w:rsidRPr="00B004EE">
        <w:rPr>
          <w:rFonts w:ascii="Tahoma" w:hAnsi="Tahoma" w:cs="Tahoma"/>
          <w:spacing w:val="-21"/>
          <w:sz w:val="20"/>
          <w:szCs w:val="20"/>
        </w:rPr>
        <w:t xml:space="preserve"> </w:t>
      </w:r>
      <w:r w:rsidRPr="00B004EE">
        <w:rPr>
          <w:rFonts w:ascii="Tahoma" w:hAnsi="Tahoma" w:cs="Tahoma"/>
          <w:sz w:val="20"/>
          <w:szCs w:val="20"/>
        </w:rPr>
        <w:t>chargé</w:t>
      </w:r>
      <w:r w:rsidR="00DB1635" w:rsidRPr="00B004EE">
        <w:rPr>
          <w:rFonts w:ascii="Tahoma" w:hAnsi="Tahoma" w:cs="Tahoma"/>
          <w:spacing w:val="-21"/>
          <w:sz w:val="20"/>
          <w:szCs w:val="20"/>
        </w:rPr>
        <w:t xml:space="preserve"> </w:t>
      </w:r>
      <w:r w:rsidRPr="00B004EE">
        <w:rPr>
          <w:rFonts w:ascii="Tahoma" w:hAnsi="Tahoma" w:cs="Tahoma"/>
          <w:sz w:val="20"/>
          <w:szCs w:val="20"/>
        </w:rPr>
        <w:t>des</w:t>
      </w:r>
      <w:r w:rsidR="00DB1635" w:rsidRPr="00B004EE">
        <w:rPr>
          <w:rFonts w:ascii="Tahoma" w:hAnsi="Tahoma" w:cs="Tahoma"/>
          <w:spacing w:val="-21"/>
          <w:sz w:val="20"/>
          <w:szCs w:val="20"/>
        </w:rPr>
        <w:t xml:space="preserve"> </w:t>
      </w:r>
      <w:r w:rsidRPr="00B004EE">
        <w:rPr>
          <w:rFonts w:ascii="Tahoma" w:hAnsi="Tahoma" w:cs="Tahoma"/>
          <w:sz w:val="20"/>
          <w:szCs w:val="20"/>
        </w:rPr>
        <w:t>pêches,</w:t>
      </w:r>
      <w:r w:rsidR="00DB1635" w:rsidRPr="00B004EE">
        <w:rPr>
          <w:rFonts w:ascii="Tahoma" w:hAnsi="Tahoma" w:cs="Tahoma"/>
          <w:spacing w:val="-20"/>
          <w:sz w:val="20"/>
          <w:szCs w:val="20"/>
        </w:rPr>
        <w:t xml:space="preserve"> </w:t>
      </w:r>
      <w:r w:rsidRPr="00B004EE">
        <w:rPr>
          <w:rFonts w:ascii="Tahoma" w:hAnsi="Tahoma" w:cs="Tahoma"/>
          <w:sz w:val="20"/>
          <w:szCs w:val="20"/>
        </w:rPr>
        <w:t>sur</w:t>
      </w:r>
      <w:r w:rsidR="00DB1635" w:rsidRPr="00B004EE">
        <w:rPr>
          <w:rFonts w:ascii="Tahoma" w:hAnsi="Tahoma" w:cs="Tahoma"/>
          <w:spacing w:val="-21"/>
          <w:sz w:val="20"/>
          <w:szCs w:val="20"/>
        </w:rPr>
        <w:t xml:space="preserve"> </w:t>
      </w:r>
      <w:r w:rsidRPr="00B004EE">
        <w:rPr>
          <w:rFonts w:ascii="Tahoma" w:hAnsi="Tahoma" w:cs="Tahoma"/>
          <w:sz w:val="20"/>
          <w:szCs w:val="20"/>
        </w:rPr>
        <w:t>présentation</w:t>
      </w:r>
      <w:r w:rsidR="00DB1635" w:rsidRPr="00B004EE">
        <w:rPr>
          <w:rFonts w:ascii="Tahoma" w:hAnsi="Tahoma" w:cs="Tahoma"/>
          <w:w w:val="93"/>
          <w:sz w:val="20"/>
          <w:szCs w:val="20"/>
        </w:rPr>
        <w:t xml:space="preserve"> </w:t>
      </w:r>
      <w:r w:rsidRPr="00B004EE">
        <w:rPr>
          <w:rFonts w:ascii="Tahoma" w:hAnsi="Tahoma" w:cs="Tahoma"/>
          <w:sz w:val="20"/>
          <w:szCs w:val="20"/>
        </w:rPr>
        <w:t>par</w:t>
      </w:r>
      <w:r w:rsidR="00DB1635" w:rsidRPr="00B004EE">
        <w:rPr>
          <w:rFonts w:ascii="Tahoma" w:hAnsi="Tahoma" w:cs="Tahoma"/>
          <w:spacing w:val="22"/>
          <w:sz w:val="20"/>
          <w:szCs w:val="20"/>
        </w:rPr>
        <w:t xml:space="preserve"> </w:t>
      </w:r>
      <w:r w:rsidRPr="00B004EE">
        <w:rPr>
          <w:rFonts w:ascii="Tahoma" w:hAnsi="Tahoma" w:cs="Tahoma"/>
          <w:sz w:val="20"/>
          <w:szCs w:val="20"/>
        </w:rPr>
        <w:t>les</w:t>
      </w:r>
      <w:r w:rsidR="00DB1635" w:rsidRPr="00B004EE">
        <w:rPr>
          <w:rFonts w:ascii="Tahoma" w:hAnsi="Tahoma" w:cs="Tahoma"/>
          <w:spacing w:val="22"/>
          <w:sz w:val="20"/>
          <w:szCs w:val="20"/>
        </w:rPr>
        <w:t xml:space="preserve"> </w:t>
      </w:r>
      <w:r w:rsidRPr="00B004EE">
        <w:rPr>
          <w:rFonts w:ascii="Tahoma" w:hAnsi="Tahoma" w:cs="Tahoma"/>
          <w:sz w:val="20"/>
          <w:szCs w:val="20"/>
        </w:rPr>
        <w:t>entités</w:t>
      </w:r>
      <w:r w:rsidR="00DB1635" w:rsidRPr="00B004EE">
        <w:rPr>
          <w:rFonts w:ascii="Tahoma" w:hAnsi="Tahoma" w:cs="Tahoma"/>
          <w:spacing w:val="20"/>
          <w:sz w:val="20"/>
          <w:szCs w:val="20"/>
        </w:rPr>
        <w:t xml:space="preserve"> </w:t>
      </w:r>
      <w:r w:rsidRPr="00B004EE">
        <w:rPr>
          <w:rFonts w:ascii="Tahoma" w:hAnsi="Tahoma" w:cs="Tahoma"/>
          <w:sz w:val="20"/>
          <w:szCs w:val="20"/>
        </w:rPr>
        <w:t>intéressées,</w:t>
      </w:r>
      <w:r w:rsidR="00DB1635" w:rsidRPr="00B004EE">
        <w:rPr>
          <w:rFonts w:ascii="Tahoma" w:hAnsi="Tahoma" w:cs="Tahoma"/>
          <w:spacing w:val="21"/>
          <w:sz w:val="20"/>
          <w:szCs w:val="20"/>
        </w:rPr>
        <w:t xml:space="preserve"> </w:t>
      </w:r>
      <w:r w:rsidRPr="00B004EE">
        <w:rPr>
          <w:rFonts w:ascii="Tahoma" w:hAnsi="Tahoma" w:cs="Tahoma"/>
          <w:sz w:val="20"/>
          <w:szCs w:val="20"/>
        </w:rPr>
        <w:t>du</w:t>
      </w:r>
      <w:r w:rsidR="00DB1635" w:rsidRPr="00B004EE">
        <w:rPr>
          <w:rFonts w:ascii="Tahoma" w:hAnsi="Tahoma" w:cs="Tahoma"/>
          <w:spacing w:val="20"/>
          <w:sz w:val="20"/>
          <w:szCs w:val="20"/>
        </w:rPr>
        <w:t xml:space="preserve"> </w:t>
      </w:r>
      <w:r w:rsidRPr="00B004EE">
        <w:rPr>
          <w:rFonts w:ascii="Tahoma" w:hAnsi="Tahoma" w:cs="Tahoma"/>
          <w:sz w:val="20"/>
          <w:szCs w:val="20"/>
        </w:rPr>
        <w:t>plan</w:t>
      </w:r>
      <w:r w:rsidR="00DB1635" w:rsidRPr="00B004EE">
        <w:rPr>
          <w:rFonts w:ascii="Tahoma" w:hAnsi="Tahoma" w:cs="Tahoma"/>
          <w:spacing w:val="20"/>
          <w:sz w:val="20"/>
          <w:szCs w:val="20"/>
        </w:rPr>
        <w:t xml:space="preserve"> </w:t>
      </w:r>
      <w:r w:rsidRPr="00B004EE">
        <w:rPr>
          <w:rFonts w:ascii="Tahoma" w:hAnsi="Tahoma" w:cs="Tahoma"/>
          <w:sz w:val="20"/>
          <w:szCs w:val="20"/>
        </w:rPr>
        <w:t>des</w:t>
      </w:r>
      <w:r w:rsidR="00DB1635" w:rsidRPr="00B004EE">
        <w:rPr>
          <w:rFonts w:ascii="Tahoma" w:hAnsi="Tahoma" w:cs="Tahoma"/>
          <w:spacing w:val="20"/>
          <w:sz w:val="20"/>
          <w:szCs w:val="20"/>
        </w:rPr>
        <w:t xml:space="preserve"> </w:t>
      </w:r>
      <w:r w:rsidRPr="00B004EE">
        <w:rPr>
          <w:rFonts w:ascii="Tahoma" w:hAnsi="Tahoma" w:cs="Tahoma"/>
          <w:sz w:val="20"/>
          <w:szCs w:val="20"/>
        </w:rPr>
        <w:t>opérations</w:t>
      </w:r>
      <w:r w:rsidR="00DB1635" w:rsidRPr="00B004EE">
        <w:rPr>
          <w:rFonts w:ascii="Tahoma" w:hAnsi="Tahoma" w:cs="Tahoma"/>
          <w:spacing w:val="20"/>
          <w:sz w:val="20"/>
          <w:szCs w:val="20"/>
        </w:rPr>
        <w:t xml:space="preserve"> </w:t>
      </w:r>
      <w:r w:rsidRPr="00B004EE">
        <w:rPr>
          <w:rFonts w:ascii="Tahoma" w:hAnsi="Tahoma" w:cs="Tahoma"/>
          <w:sz w:val="20"/>
          <w:szCs w:val="20"/>
        </w:rPr>
        <w:t>à</w:t>
      </w:r>
      <w:r w:rsidR="00DB1635" w:rsidRPr="00B004EE">
        <w:rPr>
          <w:rFonts w:ascii="Tahoma" w:hAnsi="Tahoma" w:cs="Tahoma"/>
          <w:spacing w:val="21"/>
          <w:sz w:val="20"/>
          <w:szCs w:val="20"/>
        </w:rPr>
        <w:t xml:space="preserve"> </w:t>
      </w:r>
      <w:r w:rsidRPr="00B004EE">
        <w:rPr>
          <w:rFonts w:ascii="Tahoma" w:hAnsi="Tahoma" w:cs="Tahoma"/>
          <w:sz w:val="20"/>
          <w:szCs w:val="20"/>
        </w:rPr>
        <w:t>réaliser.</w:t>
      </w:r>
      <w:r w:rsidR="00DB1635" w:rsidRPr="00B004EE">
        <w:rPr>
          <w:rFonts w:ascii="Tahoma" w:hAnsi="Tahoma" w:cs="Tahoma"/>
          <w:spacing w:val="21"/>
          <w:sz w:val="20"/>
          <w:szCs w:val="20"/>
        </w:rPr>
        <w:t xml:space="preserve"> </w:t>
      </w:r>
      <w:r w:rsidRPr="00B004EE">
        <w:rPr>
          <w:rFonts w:ascii="Tahoma" w:hAnsi="Tahoma" w:cs="Tahoma"/>
          <w:sz w:val="20"/>
          <w:szCs w:val="20"/>
        </w:rPr>
        <w:t>L'autorisation</w:t>
      </w:r>
      <w:r w:rsidR="00DB1635" w:rsidRPr="00B004EE">
        <w:rPr>
          <w:rFonts w:ascii="Tahoma" w:hAnsi="Tahoma" w:cs="Tahoma"/>
          <w:spacing w:val="20"/>
          <w:sz w:val="20"/>
          <w:szCs w:val="20"/>
        </w:rPr>
        <w:t xml:space="preserve"> </w:t>
      </w:r>
      <w:r w:rsidRPr="00B004EE">
        <w:rPr>
          <w:rFonts w:ascii="Tahoma" w:hAnsi="Tahoma" w:cs="Tahoma"/>
          <w:sz w:val="20"/>
          <w:szCs w:val="20"/>
        </w:rPr>
        <w:t>est</w:t>
      </w:r>
      <w:r w:rsidR="00DB1635" w:rsidRPr="00B004EE">
        <w:rPr>
          <w:rFonts w:ascii="Tahoma" w:hAnsi="Tahoma" w:cs="Tahoma"/>
          <w:w w:val="95"/>
          <w:sz w:val="20"/>
          <w:szCs w:val="20"/>
        </w:rPr>
        <w:t xml:space="preserve"> </w:t>
      </w:r>
      <w:r w:rsidRPr="00B004EE">
        <w:rPr>
          <w:rFonts w:ascii="Tahoma" w:hAnsi="Tahoma" w:cs="Tahoma"/>
          <w:sz w:val="20"/>
          <w:szCs w:val="20"/>
        </w:rPr>
        <w:t>délivrée</w:t>
      </w:r>
      <w:r w:rsidR="00DB1635" w:rsidRPr="00B004EE">
        <w:rPr>
          <w:rFonts w:ascii="Tahoma" w:hAnsi="Tahoma" w:cs="Tahoma"/>
          <w:sz w:val="20"/>
          <w:szCs w:val="20"/>
        </w:rPr>
        <w:t xml:space="preserve"> </w:t>
      </w:r>
      <w:r w:rsidRPr="00B004EE">
        <w:rPr>
          <w:rFonts w:ascii="Tahoma" w:hAnsi="Tahoma" w:cs="Tahoma"/>
          <w:sz w:val="20"/>
          <w:szCs w:val="20"/>
        </w:rPr>
        <w:t>sur</w:t>
      </w:r>
      <w:r w:rsidR="00DB1635" w:rsidRPr="00B004EE">
        <w:rPr>
          <w:rFonts w:ascii="Tahoma" w:hAnsi="Tahoma" w:cs="Tahoma"/>
          <w:sz w:val="20"/>
          <w:szCs w:val="20"/>
        </w:rPr>
        <w:t xml:space="preserve"> </w:t>
      </w:r>
      <w:r w:rsidRPr="00B004EE">
        <w:rPr>
          <w:rFonts w:ascii="Tahoma" w:hAnsi="Tahoma" w:cs="Tahoma"/>
          <w:sz w:val="20"/>
          <w:szCs w:val="20"/>
        </w:rPr>
        <w:t>avis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l'institution</w:t>
      </w:r>
      <w:r w:rsidR="00DB1635" w:rsidRPr="00B004EE">
        <w:rPr>
          <w:rFonts w:ascii="Tahoma" w:hAnsi="Tahoma" w:cs="Tahoma"/>
          <w:sz w:val="20"/>
          <w:szCs w:val="20"/>
        </w:rPr>
        <w:t xml:space="preserve"> </w:t>
      </w:r>
      <w:r w:rsidRPr="00B004EE">
        <w:rPr>
          <w:rFonts w:ascii="Tahoma" w:hAnsi="Tahoma" w:cs="Tahoma"/>
          <w:sz w:val="20"/>
          <w:szCs w:val="20"/>
        </w:rPr>
        <w:t>nationale</w:t>
      </w:r>
      <w:r w:rsidR="00DB1635" w:rsidRPr="00B004EE">
        <w:rPr>
          <w:rFonts w:ascii="Tahoma" w:hAnsi="Tahoma" w:cs="Tahoma"/>
          <w:sz w:val="20"/>
          <w:szCs w:val="20"/>
        </w:rPr>
        <w:t xml:space="preserve"> </w:t>
      </w:r>
      <w:r w:rsidRPr="00B004EE">
        <w:rPr>
          <w:rFonts w:ascii="Tahoma" w:hAnsi="Tahoma" w:cs="Tahoma"/>
          <w:sz w:val="20"/>
          <w:szCs w:val="20"/>
        </w:rPr>
        <w:t>chargée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pacing w:val="24"/>
          <w:sz w:val="20"/>
          <w:szCs w:val="20"/>
        </w:rPr>
        <w:t xml:space="preserve"> </w:t>
      </w:r>
      <w:r w:rsidRPr="00B004EE">
        <w:rPr>
          <w:rFonts w:ascii="Tahoma" w:hAnsi="Tahoma" w:cs="Tahoma"/>
          <w:sz w:val="20"/>
          <w:szCs w:val="20"/>
        </w:rPr>
        <w:t>recherche</w:t>
      </w:r>
      <w:r w:rsidR="00DB1635" w:rsidRPr="00B004EE">
        <w:rPr>
          <w:rFonts w:ascii="Tahoma" w:hAnsi="Tahoma" w:cs="Tahoma"/>
          <w:w w:val="95"/>
          <w:sz w:val="20"/>
          <w:szCs w:val="20"/>
        </w:rPr>
        <w:t xml:space="preserve"> </w:t>
      </w:r>
      <w:r w:rsidRPr="00B004EE">
        <w:rPr>
          <w:rFonts w:ascii="Tahoma" w:hAnsi="Tahoma" w:cs="Tahoma"/>
          <w:w w:val="95"/>
          <w:sz w:val="20"/>
          <w:szCs w:val="20"/>
        </w:rPr>
        <w:t>océanographique</w:t>
      </w:r>
      <w:r w:rsidR="00DB1635" w:rsidRPr="00B004EE">
        <w:rPr>
          <w:rFonts w:ascii="Tahoma" w:hAnsi="Tahoma" w:cs="Tahoma"/>
          <w:w w:val="95"/>
          <w:sz w:val="20"/>
          <w:szCs w:val="20"/>
        </w:rPr>
        <w:t xml:space="preserve"> </w:t>
      </w:r>
      <w:r w:rsidRPr="00B004EE">
        <w:rPr>
          <w:rFonts w:ascii="Tahoma" w:hAnsi="Tahoma" w:cs="Tahoma"/>
          <w:w w:val="95"/>
          <w:sz w:val="20"/>
          <w:szCs w:val="20"/>
        </w:rPr>
        <w:t>et</w:t>
      </w:r>
      <w:r w:rsidR="00DB1635" w:rsidRPr="00B004EE">
        <w:rPr>
          <w:rFonts w:ascii="Tahoma" w:hAnsi="Tahoma" w:cs="Tahoma"/>
          <w:w w:val="95"/>
          <w:sz w:val="20"/>
          <w:szCs w:val="20"/>
        </w:rPr>
        <w:t xml:space="preserve"> </w:t>
      </w:r>
      <w:r w:rsidRPr="00B004EE">
        <w:rPr>
          <w:rFonts w:ascii="Tahoma" w:hAnsi="Tahoma" w:cs="Tahoma"/>
          <w:w w:val="95"/>
          <w:sz w:val="20"/>
          <w:szCs w:val="20"/>
        </w:rPr>
        <w:t>des</w:t>
      </w:r>
      <w:r w:rsidR="00DB1635" w:rsidRPr="00B004EE">
        <w:rPr>
          <w:rFonts w:ascii="Tahoma" w:hAnsi="Tahoma" w:cs="Tahoma"/>
          <w:spacing w:val="22"/>
          <w:w w:val="95"/>
          <w:sz w:val="20"/>
          <w:szCs w:val="20"/>
        </w:rPr>
        <w:t xml:space="preserve"> </w:t>
      </w:r>
      <w:r w:rsidRPr="00B004EE">
        <w:rPr>
          <w:rFonts w:ascii="Tahoma" w:hAnsi="Tahoma" w:cs="Tahoma"/>
          <w:w w:val="95"/>
          <w:sz w:val="20"/>
          <w:szCs w:val="20"/>
        </w:rPr>
        <w:t>pêches.</w:t>
      </w:r>
    </w:p>
    <w:p w14:paraId="5854BA60" w14:textId="406F4A57" w:rsidR="001E7C3C" w:rsidRPr="00B004EE" w:rsidRDefault="001E7C3C" w:rsidP="00B004EE">
      <w:pPr>
        <w:pStyle w:val="Corpsdetexte"/>
        <w:ind w:right="160"/>
        <w:rPr>
          <w:rFonts w:ascii="Tahoma" w:eastAsia="American Typewriter" w:hAnsi="Tahoma" w:cs="Tahoma"/>
          <w:w w:val="95"/>
          <w:sz w:val="20"/>
          <w:szCs w:val="20"/>
          <w:rtl/>
        </w:rPr>
      </w:pPr>
      <w:r w:rsidRPr="00B004EE">
        <w:rPr>
          <w:rFonts w:ascii="Tahoma" w:hAnsi="Tahoma" w:cs="Tahoma"/>
          <w:sz w:val="20"/>
          <w:szCs w:val="20"/>
        </w:rPr>
        <w:t>Les</w:t>
      </w:r>
      <w:r w:rsidR="00DB1635" w:rsidRPr="00B004EE">
        <w:rPr>
          <w:rFonts w:ascii="Tahoma" w:hAnsi="Tahoma" w:cs="Tahoma"/>
          <w:spacing w:val="-19"/>
          <w:sz w:val="20"/>
          <w:szCs w:val="20"/>
        </w:rPr>
        <w:t xml:space="preserve"> </w:t>
      </w:r>
      <w:r w:rsidRPr="00B004EE">
        <w:rPr>
          <w:rFonts w:ascii="Tahoma" w:hAnsi="Tahoma" w:cs="Tahoma"/>
          <w:sz w:val="20"/>
          <w:szCs w:val="20"/>
        </w:rPr>
        <w:t>activités</w:t>
      </w:r>
      <w:r w:rsidR="00DB1635" w:rsidRPr="00B004EE">
        <w:rPr>
          <w:rFonts w:ascii="Tahoma" w:hAnsi="Tahoma" w:cs="Tahoma"/>
          <w:spacing w:val="-18"/>
          <w:sz w:val="20"/>
          <w:szCs w:val="20"/>
        </w:rPr>
        <w:t xml:space="preserve"> </w:t>
      </w:r>
      <w:r w:rsidRPr="00B004EE">
        <w:rPr>
          <w:rFonts w:ascii="Tahoma" w:hAnsi="Tahoma" w:cs="Tahoma"/>
          <w:sz w:val="20"/>
          <w:szCs w:val="20"/>
        </w:rPr>
        <w:t>de</w:t>
      </w:r>
      <w:r w:rsidR="00DB1635" w:rsidRPr="00B004EE">
        <w:rPr>
          <w:rFonts w:ascii="Tahoma" w:hAnsi="Tahoma" w:cs="Tahoma"/>
          <w:spacing w:val="-19"/>
          <w:sz w:val="20"/>
          <w:szCs w:val="20"/>
        </w:rPr>
        <w:t xml:space="preserve"> </w:t>
      </w:r>
      <w:r w:rsidRPr="00B004EE">
        <w:rPr>
          <w:rFonts w:ascii="Tahoma" w:hAnsi="Tahoma" w:cs="Tahoma"/>
          <w:sz w:val="20"/>
          <w:szCs w:val="20"/>
        </w:rPr>
        <w:t>pêche</w:t>
      </w:r>
      <w:r w:rsidR="00DB1635" w:rsidRPr="00B004EE">
        <w:rPr>
          <w:rFonts w:ascii="Tahoma" w:hAnsi="Tahoma" w:cs="Tahoma"/>
          <w:spacing w:val="-18"/>
          <w:sz w:val="20"/>
          <w:szCs w:val="20"/>
        </w:rPr>
        <w:t xml:space="preserve"> </w:t>
      </w:r>
      <w:r w:rsidRPr="00B004EE">
        <w:rPr>
          <w:rFonts w:ascii="Tahoma" w:hAnsi="Tahoma" w:cs="Tahoma"/>
          <w:sz w:val="20"/>
          <w:szCs w:val="20"/>
        </w:rPr>
        <w:t>visées</w:t>
      </w:r>
      <w:r w:rsidR="00DB1635" w:rsidRPr="00B004EE">
        <w:rPr>
          <w:rFonts w:ascii="Tahoma" w:hAnsi="Tahoma" w:cs="Tahoma"/>
          <w:spacing w:val="-19"/>
          <w:sz w:val="20"/>
          <w:szCs w:val="20"/>
        </w:rPr>
        <w:t xml:space="preserve"> </w:t>
      </w:r>
      <w:r w:rsidRPr="00B004EE">
        <w:rPr>
          <w:rFonts w:ascii="Tahoma" w:hAnsi="Tahoma" w:cs="Tahoma"/>
          <w:sz w:val="20"/>
          <w:szCs w:val="20"/>
        </w:rPr>
        <w:t>au</w:t>
      </w:r>
      <w:r w:rsidR="00DB1635" w:rsidRPr="00B004EE">
        <w:rPr>
          <w:rFonts w:ascii="Tahoma" w:hAnsi="Tahoma" w:cs="Tahoma"/>
          <w:spacing w:val="-19"/>
          <w:sz w:val="20"/>
          <w:szCs w:val="20"/>
        </w:rPr>
        <w:t xml:space="preserve"> </w:t>
      </w:r>
      <w:r w:rsidRPr="00B004EE">
        <w:rPr>
          <w:rFonts w:ascii="Tahoma" w:hAnsi="Tahoma" w:cs="Tahoma"/>
          <w:sz w:val="20"/>
          <w:szCs w:val="20"/>
        </w:rPr>
        <w:t>présent</w:t>
      </w:r>
      <w:r w:rsidR="00DB1635" w:rsidRPr="00B004EE">
        <w:rPr>
          <w:rFonts w:ascii="Tahoma" w:hAnsi="Tahoma" w:cs="Tahoma"/>
          <w:spacing w:val="-20"/>
          <w:sz w:val="20"/>
          <w:szCs w:val="20"/>
        </w:rPr>
        <w:t xml:space="preserve"> </w:t>
      </w:r>
      <w:r w:rsidRPr="00B004EE">
        <w:rPr>
          <w:rFonts w:ascii="Tahoma" w:hAnsi="Tahoma" w:cs="Tahoma"/>
          <w:sz w:val="20"/>
          <w:szCs w:val="20"/>
        </w:rPr>
        <w:t>article</w:t>
      </w:r>
      <w:r w:rsidR="00DB1635" w:rsidRPr="00B004EE">
        <w:rPr>
          <w:rFonts w:ascii="Tahoma" w:hAnsi="Tahoma" w:cs="Tahoma"/>
          <w:spacing w:val="-20"/>
          <w:sz w:val="20"/>
          <w:szCs w:val="20"/>
        </w:rPr>
        <w:t xml:space="preserve"> </w:t>
      </w:r>
      <w:r w:rsidRPr="00B004EE">
        <w:rPr>
          <w:rFonts w:ascii="Tahoma" w:hAnsi="Tahoma" w:cs="Tahoma"/>
          <w:sz w:val="20"/>
          <w:szCs w:val="20"/>
        </w:rPr>
        <w:t>peuvent,</w:t>
      </w:r>
      <w:r w:rsidR="00DB1635" w:rsidRPr="00B004EE">
        <w:rPr>
          <w:rFonts w:ascii="Tahoma" w:hAnsi="Tahoma" w:cs="Tahoma"/>
          <w:spacing w:val="-20"/>
          <w:sz w:val="20"/>
          <w:szCs w:val="20"/>
        </w:rPr>
        <w:t xml:space="preserve"> </w:t>
      </w:r>
      <w:r w:rsidRPr="00B004EE">
        <w:rPr>
          <w:rFonts w:ascii="Tahoma" w:hAnsi="Tahoma" w:cs="Tahoma"/>
          <w:sz w:val="20"/>
          <w:szCs w:val="20"/>
        </w:rPr>
        <w:t>dans</w:t>
      </w:r>
      <w:r w:rsidR="00DB1635" w:rsidRPr="00B004EE">
        <w:rPr>
          <w:rFonts w:ascii="Tahoma" w:hAnsi="Tahoma" w:cs="Tahoma"/>
          <w:spacing w:val="-18"/>
          <w:sz w:val="20"/>
          <w:szCs w:val="20"/>
        </w:rPr>
        <w:t xml:space="preserve"> </w:t>
      </w:r>
      <w:r w:rsidRPr="00B004EE">
        <w:rPr>
          <w:rFonts w:ascii="Tahoma" w:hAnsi="Tahoma" w:cs="Tahoma"/>
          <w:sz w:val="20"/>
          <w:szCs w:val="20"/>
        </w:rPr>
        <w:t>la</w:t>
      </w:r>
      <w:r w:rsidR="00DB1635" w:rsidRPr="00B004EE">
        <w:rPr>
          <w:rFonts w:ascii="Tahoma" w:hAnsi="Tahoma" w:cs="Tahoma"/>
          <w:spacing w:val="-20"/>
          <w:sz w:val="20"/>
          <w:szCs w:val="20"/>
        </w:rPr>
        <w:t xml:space="preserve"> </w:t>
      </w:r>
      <w:r w:rsidRPr="00B004EE">
        <w:rPr>
          <w:rFonts w:ascii="Tahoma" w:hAnsi="Tahoma" w:cs="Tahoma"/>
          <w:sz w:val="20"/>
          <w:szCs w:val="20"/>
        </w:rPr>
        <w:t>mesure</w:t>
      </w:r>
      <w:r w:rsidR="00DB1635" w:rsidRPr="00B004EE">
        <w:rPr>
          <w:rFonts w:ascii="Tahoma" w:hAnsi="Tahoma" w:cs="Tahoma"/>
          <w:spacing w:val="-20"/>
          <w:sz w:val="20"/>
          <w:szCs w:val="20"/>
        </w:rPr>
        <w:t xml:space="preserve"> </w:t>
      </w:r>
      <w:r w:rsidRPr="00B004EE">
        <w:rPr>
          <w:rFonts w:ascii="Tahoma" w:hAnsi="Tahoma" w:cs="Tahoma"/>
          <w:sz w:val="20"/>
          <w:szCs w:val="20"/>
        </w:rPr>
        <w:t>où</w:t>
      </w:r>
      <w:r w:rsidR="00DB1635" w:rsidRPr="00B004EE">
        <w:rPr>
          <w:rFonts w:ascii="Tahoma" w:hAnsi="Tahoma" w:cs="Tahoma"/>
          <w:spacing w:val="-20"/>
          <w:sz w:val="20"/>
          <w:szCs w:val="20"/>
        </w:rPr>
        <w:t xml:space="preserve"> </w:t>
      </w:r>
      <w:r w:rsidRPr="00B004EE">
        <w:rPr>
          <w:rFonts w:ascii="Tahoma" w:hAnsi="Tahoma" w:cs="Tahoma"/>
          <w:sz w:val="20"/>
          <w:szCs w:val="20"/>
        </w:rPr>
        <w:t>cela</w:t>
      </w:r>
      <w:r w:rsidR="00DB1635" w:rsidRPr="00B004EE">
        <w:rPr>
          <w:rFonts w:ascii="Tahoma" w:hAnsi="Tahoma" w:cs="Tahoma"/>
          <w:spacing w:val="-20"/>
          <w:sz w:val="20"/>
          <w:szCs w:val="20"/>
        </w:rPr>
        <w:t xml:space="preserve"> </w:t>
      </w:r>
      <w:r w:rsidRPr="00B004EE">
        <w:rPr>
          <w:rFonts w:ascii="Tahoma" w:hAnsi="Tahoma" w:cs="Tahoma"/>
          <w:sz w:val="20"/>
          <w:szCs w:val="20"/>
        </w:rPr>
        <w:t>est</w:t>
      </w:r>
      <w:r w:rsidR="00DB1635" w:rsidRPr="00B004EE">
        <w:rPr>
          <w:rFonts w:ascii="Tahoma" w:hAnsi="Tahoma" w:cs="Tahoma"/>
          <w:w w:val="95"/>
          <w:sz w:val="20"/>
          <w:szCs w:val="20"/>
        </w:rPr>
        <w:t xml:space="preserve"> </w:t>
      </w:r>
      <w:r w:rsidRPr="00B004EE">
        <w:rPr>
          <w:rFonts w:ascii="Tahoma" w:eastAsia="American Typewriter" w:hAnsi="Tahoma" w:cs="Tahoma"/>
          <w:sz w:val="20"/>
          <w:szCs w:val="20"/>
        </w:rPr>
        <w:t>strictement</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nécessaire,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être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exemptées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l’obligation</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du</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respect</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mesures</w:t>
      </w:r>
      <w:r w:rsidR="00DB1635" w:rsidRPr="00B004EE">
        <w:rPr>
          <w:rFonts w:ascii="Tahoma" w:eastAsia="American Typewriter" w:hAnsi="Tahoma" w:cs="Tahoma"/>
          <w:spacing w:val="-35"/>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w w:val="94"/>
          <w:sz w:val="20"/>
          <w:szCs w:val="20"/>
        </w:rPr>
        <w:t xml:space="preserve"> </w:t>
      </w:r>
      <w:r w:rsidRPr="00B004EE">
        <w:rPr>
          <w:rFonts w:ascii="Tahoma" w:eastAsia="American Typewriter" w:hAnsi="Tahoma" w:cs="Tahoma"/>
          <w:sz w:val="20"/>
          <w:szCs w:val="20"/>
        </w:rPr>
        <w:t>conservation</w:t>
      </w:r>
      <w:r w:rsidR="00DB1635" w:rsidRPr="00B004EE">
        <w:rPr>
          <w:rFonts w:ascii="Tahoma" w:eastAsia="American Typewriter" w:hAnsi="Tahoma" w:cs="Tahoma"/>
          <w:spacing w:val="-14"/>
          <w:sz w:val="20"/>
          <w:szCs w:val="20"/>
        </w:rPr>
        <w:t xml:space="preserve"> </w:t>
      </w:r>
      <w:r w:rsidRPr="00B004EE">
        <w:rPr>
          <w:rFonts w:ascii="Tahoma" w:eastAsia="American Typewriter" w:hAnsi="Tahoma" w:cs="Tahoma"/>
          <w:sz w:val="20"/>
          <w:szCs w:val="20"/>
        </w:rPr>
        <w:t>adoptées</w:t>
      </w:r>
      <w:r w:rsidR="00DB1635" w:rsidRPr="00B004EE">
        <w:rPr>
          <w:rFonts w:ascii="Tahoma" w:eastAsia="American Typewriter" w:hAnsi="Tahoma" w:cs="Tahoma"/>
          <w:spacing w:val="-14"/>
          <w:sz w:val="20"/>
          <w:szCs w:val="20"/>
        </w:rPr>
        <w:t xml:space="preserve"> </w:t>
      </w:r>
      <w:r w:rsidRPr="00B004EE">
        <w:rPr>
          <w:rFonts w:ascii="Tahoma" w:eastAsia="American Typewriter" w:hAnsi="Tahoma" w:cs="Tahoma"/>
          <w:sz w:val="20"/>
          <w:szCs w:val="20"/>
        </w:rPr>
        <w:t>dans</w:t>
      </w:r>
      <w:r w:rsidR="00DB1635" w:rsidRPr="00B004EE">
        <w:rPr>
          <w:rFonts w:ascii="Tahoma" w:eastAsia="American Typewriter" w:hAnsi="Tahoma" w:cs="Tahoma"/>
          <w:spacing w:val="-14"/>
          <w:sz w:val="20"/>
          <w:szCs w:val="20"/>
        </w:rPr>
        <w:t xml:space="preserve"> </w:t>
      </w:r>
      <w:r w:rsidRPr="00B004EE">
        <w:rPr>
          <w:rFonts w:ascii="Tahoma" w:eastAsia="American Typewriter" w:hAnsi="Tahoma" w:cs="Tahoma"/>
          <w:sz w:val="20"/>
          <w:szCs w:val="20"/>
        </w:rPr>
        <w:t>le</w:t>
      </w:r>
      <w:r w:rsidR="00DB1635" w:rsidRPr="00B004EE">
        <w:rPr>
          <w:rFonts w:ascii="Tahoma" w:eastAsia="American Typewriter" w:hAnsi="Tahoma" w:cs="Tahoma"/>
          <w:spacing w:val="-14"/>
          <w:sz w:val="20"/>
          <w:szCs w:val="20"/>
        </w:rPr>
        <w:t xml:space="preserve"> </w:t>
      </w:r>
      <w:r w:rsidRPr="00B004EE">
        <w:rPr>
          <w:rFonts w:ascii="Tahoma" w:eastAsia="American Typewriter" w:hAnsi="Tahoma" w:cs="Tahoma"/>
          <w:sz w:val="20"/>
          <w:szCs w:val="20"/>
        </w:rPr>
        <w:t>cadre</w:t>
      </w:r>
      <w:r w:rsidR="00DB1635" w:rsidRPr="00B004EE">
        <w:rPr>
          <w:rFonts w:ascii="Tahoma" w:eastAsia="American Typewriter" w:hAnsi="Tahoma" w:cs="Tahoma"/>
          <w:spacing w:val="-15"/>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pacing w:val="-15"/>
          <w:sz w:val="20"/>
          <w:szCs w:val="20"/>
        </w:rPr>
        <w:t xml:space="preserve"> </w:t>
      </w:r>
      <w:r w:rsidRPr="00B004EE">
        <w:rPr>
          <w:rFonts w:ascii="Tahoma" w:eastAsia="American Typewriter" w:hAnsi="Tahoma" w:cs="Tahoma"/>
          <w:sz w:val="20"/>
          <w:szCs w:val="20"/>
        </w:rPr>
        <w:t>l’article</w:t>
      </w:r>
      <w:r w:rsidR="00DB1635" w:rsidRPr="00B004EE">
        <w:rPr>
          <w:rFonts w:ascii="Tahoma" w:eastAsia="American Typewriter" w:hAnsi="Tahoma" w:cs="Tahoma"/>
          <w:spacing w:val="-18"/>
          <w:sz w:val="20"/>
          <w:szCs w:val="20"/>
        </w:rPr>
        <w:t xml:space="preserve"> </w:t>
      </w:r>
      <w:r w:rsidRPr="00B004EE">
        <w:rPr>
          <w:rFonts w:ascii="Tahoma" w:hAnsi="Tahoma" w:cs="Tahoma"/>
          <w:sz w:val="20"/>
          <w:szCs w:val="20"/>
        </w:rPr>
        <w:t>51</w:t>
      </w:r>
      <w:r w:rsidR="00DB1635" w:rsidRPr="00B004EE">
        <w:rPr>
          <w:rFonts w:ascii="Tahoma" w:hAnsi="Tahoma" w:cs="Tahoma"/>
          <w:spacing w:val="-15"/>
          <w:sz w:val="20"/>
          <w:szCs w:val="20"/>
        </w:rPr>
        <w:t xml:space="preserve"> </w:t>
      </w:r>
      <w:r w:rsidRPr="00B004EE">
        <w:rPr>
          <w:rFonts w:ascii="Tahoma" w:hAnsi="Tahoma" w:cs="Tahoma"/>
          <w:sz w:val="20"/>
          <w:szCs w:val="20"/>
        </w:rPr>
        <w:t>de</w:t>
      </w:r>
      <w:r w:rsidR="00DB1635" w:rsidRPr="00B004EE">
        <w:rPr>
          <w:rFonts w:ascii="Tahoma" w:hAnsi="Tahoma" w:cs="Tahoma"/>
          <w:spacing w:val="-15"/>
          <w:sz w:val="20"/>
          <w:szCs w:val="20"/>
        </w:rPr>
        <w:t xml:space="preserve"> </w:t>
      </w:r>
      <w:r w:rsidRPr="00B004EE">
        <w:rPr>
          <w:rFonts w:ascii="Tahoma" w:hAnsi="Tahoma" w:cs="Tahoma"/>
          <w:sz w:val="20"/>
          <w:szCs w:val="20"/>
        </w:rPr>
        <w:t>la</w:t>
      </w:r>
      <w:r w:rsidR="00DB1635" w:rsidRPr="00B004EE">
        <w:rPr>
          <w:rFonts w:ascii="Tahoma" w:hAnsi="Tahoma" w:cs="Tahoma"/>
          <w:spacing w:val="-15"/>
          <w:sz w:val="20"/>
          <w:szCs w:val="20"/>
        </w:rPr>
        <w:t xml:space="preserve"> </w:t>
      </w:r>
      <w:r w:rsidRPr="00B004EE">
        <w:rPr>
          <w:rFonts w:ascii="Tahoma" w:hAnsi="Tahoma" w:cs="Tahoma"/>
          <w:sz w:val="20"/>
          <w:szCs w:val="20"/>
        </w:rPr>
        <w:t>présente</w:t>
      </w:r>
      <w:r w:rsidR="00DB1635" w:rsidRPr="00B004EE">
        <w:rPr>
          <w:rFonts w:ascii="Tahoma" w:hAnsi="Tahoma" w:cs="Tahoma"/>
          <w:spacing w:val="-15"/>
          <w:sz w:val="20"/>
          <w:szCs w:val="20"/>
        </w:rPr>
        <w:t xml:space="preserve"> </w:t>
      </w:r>
      <w:r w:rsidRPr="00B004EE">
        <w:rPr>
          <w:rFonts w:ascii="Tahoma" w:hAnsi="Tahoma" w:cs="Tahoma"/>
          <w:sz w:val="20"/>
          <w:szCs w:val="20"/>
        </w:rPr>
        <w:t>Loi</w:t>
      </w:r>
      <w:r w:rsidR="00DB1635" w:rsidRPr="00B004EE">
        <w:rPr>
          <w:rFonts w:ascii="Tahoma" w:hAnsi="Tahoma" w:cs="Tahoma"/>
          <w:spacing w:val="-15"/>
          <w:sz w:val="20"/>
          <w:szCs w:val="20"/>
        </w:rPr>
        <w:t xml:space="preserve"> </w:t>
      </w:r>
      <w:r w:rsidRPr="00B004EE">
        <w:rPr>
          <w:rFonts w:ascii="Tahoma" w:hAnsi="Tahoma" w:cs="Tahoma"/>
          <w:sz w:val="20"/>
          <w:szCs w:val="20"/>
        </w:rPr>
        <w:t>et</w:t>
      </w:r>
      <w:r w:rsidR="00DB1635" w:rsidRPr="00B004EE">
        <w:rPr>
          <w:rFonts w:ascii="Tahoma" w:hAnsi="Tahoma" w:cs="Tahoma"/>
          <w:spacing w:val="-15"/>
          <w:sz w:val="20"/>
          <w:szCs w:val="20"/>
        </w:rPr>
        <w:t xml:space="preserve"> </w:t>
      </w:r>
      <w:r w:rsidRPr="00B004EE">
        <w:rPr>
          <w:rFonts w:ascii="Tahoma" w:hAnsi="Tahoma" w:cs="Tahoma"/>
          <w:sz w:val="20"/>
          <w:szCs w:val="20"/>
        </w:rPr>
        <w:t>qui</w:t>
      </w:r>
      <w:r w:rsidR="00DB1635" w:rsidRPr="00B004EE">
        <w:rPr>
          <w:rFonts w:ascii="Tahoma" w:hAnsi="Tahoma" w:cs="Tahoma"/>
          <w:spacing w:val="-15"/>
          <w:sz w:val="20"/>
          <w:szCs w:val="20"/>
        </w:rPr>
        <w:t xml:space="preserve"> </w:t>
      </w:r>
      <w:r w:rsidRPr="00B004EE">
        <w:rPr>
          <w:rFonts w:ascii="Tahoma" w:hAnsi="Tahoma" w:cs="Tahoma"/>
          <w:sz w:val="20"/>
          <w:szCs w:val="20"/>
        </w:rPr>
        <w:t>auront</w:t>
      </w:r>
      <w:r w:rsidR="00DB1635" w:rsidRPr="00B004EE">
        <w:rPr>
          <w:rFonts w:ascii="Tahoma" w:hAnsi="Tahoma" w:cs="Tahoma"/>
          <w:w w:val="94"/>
          <w:sz w:val="20"/>
          <w:szCs w:val="20"/>
        </w:rPr>
        <w:t xml:space="preserve"> </w:t>
      </w:r>
      <w:r w:rsidRPr="00B004EE">
        <w:rPr>
          <w:rFonts w:ascii="Tahoma" w:eastAsia="American Typewriter" w:hAnsi="Tahoma" w:cs="Tahoma"/>
          <w:w w:val="95"/>
          <w:sz w:val="20"/>
          <w:szCs w:val="20"/>
        </w:rPr>
        <w:t>été</w:t>
      </w:r>
      <w:r w:rsidR="00DB1635" w:rsidRPr="00B004EE">
        <w:rPr>
          <w:rFonts w:ascii="Tahoma" w:eastAsia="American Typewriter" w:hAnsi="Tahoma" w:cs="Tahoma"/>
          <w:w w:val="95"/>
          <w:sz w:val="20"/>
          <w:szCs w:val="20"/>
        </w:rPr>
        <w:t xml:space="preserve"> </w:t>
      </w:r>
      <w:r w:rsidRPr="00B004EE">
        <w:rPr>
          <w:rFonts w:ascii="Tahoma" w:eastAsia="American Typewriter" w:hAnsi="Tahoma" w:cs="Tahoma"/>
          <w:w w:val="95"/>
          <w:sz w:val="20"/>
          <w:szCs w:val="20"/>
        </w:rPr>
        <w:t>spécifiées</w:t>
      </w:r>
      <w:r w:rsidR="00DB1635" w:rsidRPr="00B004EE">
        <w:rPr>
          <w:rFonts w:ascii="Tahoma" w:eastAsia="American Typewriter" w:hAnsi="Tahoma" w:cs="Tahoma"/>
          <w:w w:val="95"/>
          <w:sz w:val="20"/>
          <w:szCs w:val="20"/>
        </w:rPr>
        <w:t xml:space="preserve"> </w:t>
      </w:r>
      <w:r w:rsidRPr="00B004EE">
        <w:rPr>
          <w:rFonts w:ascii="Tahoma" w:eastAsia="American Typewriter" w:hAnsi="Tahoma" w:cs="Tahoma"/>
          <w:w w:val="95"/>
          <w:sz w:val="20"/>
          <w:szCs w:val="20"/>
        </w:rPr>
        <w:t>dans</w:t>
      </w:r>
      <w:r w:rsidR="00DB1635" w:rsidRPr="00B004EE">
        <w:rPr>
          <w:rFonts w:ascii="Tahoma" w:eastAsia="American Typewriter" w:hAnsi="Tahoma" w:cs="Tahoma"/>
          <w:spacing w:val="45"/>
          <w:w w:val="95"/>
          <w:sz w:val="20"/>
          <w:szCs w:val="20"/>
        </w:rPr>
        <w:t xml:space="preserve"> </w:t>
      </w:r>
      <w:r w:rsidRPr="00B004EE">
        <w:rPr>
          <w:rFonts w:ascii="Tahoma" w:eastAsia="American Typewriter" w:hAnsi="Tahoma" w:cs="Tahoma"/>
          <w:w w:val="95"/>
          <w:sz w:val="20"/>
          <w:szCs w:val="20"/>
        </w:rPr>
        <w:t>l’autorisation.</w:t>
      </w:r>
      <w:r w:rsidR="002A7758" w:rsidRPr="00B004EE">
        <w:rPr>
          <w:rFonts w:ascii="Tahoma" w:eastAsia="American Typewriter" w:hAnsi="Tahoma" w:cs="Tahoma"/>
          <w:w w:val="95"/>
          <w:sz w:val="20"/>
          <w:szCs w:val="20"/>
        </w:rPr>
        <w:t xml:space="preserve"> </w:t>
      </w:r>
      <w:r w:rsidRPr="00B004EE">
        <w:rPr>
          <w:rFonts w:ascii="Tahoma" w:hAnsi="Tahoma" w:cs="Tahoma"/>
          <w:sz w:val="20"/>
          <w:szCs w:val="20"/>
        </w:rPr>
        <w:t>L'embarquement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scientifiques</w:t>
      </w:r>
      <w:r w:rsidR="00DB1635" w:rsidRPr="00B004EE">
        <w:rPr>
          <w:rFonts w:ascii="Tahoma" w:hAnsi="Tahoma" w:cs="Tahoma"/>
          <w:sz w:val="20"/>
          <w:szCs w:val="20"/>
        </w:rPr>
        <w:t xml:space="preserve"> </w:t>
      </w:r>
      <w:r w:rsidRPr="00B004EE">
        <w:rPr>
          <w:rFonts w:ascii="Tahoma" w:hAnsi="Tahoma" w:cs="Tahoma"/>
          <w:sz w:val="20"/>
          <w:szCs w:val="20"/>
        </w:rPr>
        <w:t>représentant</w:t>
      </w:r>
      <w:r w:rsidR="00DB1635" w:rsidRPr="00B004EE">
        <w:rPr>
          <w:rFonts w:ascii="Tahoma" w:hAnsi="Tahoma" w:cs="Tahoma"/>
          <w:sz w:val="20"/>
          <w:szCs w:val="20"/>
        </w:rPr>
        <w:t xml:space="preserve"> </w:t>
      </w:r>
      <w:r w:rsidRPr="00B004EE">
        <w:rPr>
          <w:rFonts w:ascii="Tahoma" w:hAnsi="Tahoma" w:cs="Tahoma"/>
          <w:sz w:val="20"/>
          <w:szCs w:val="20"/>
        </w:rPr>
        <w:t>l'institution</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charge</w:t>
      </w:r>
      <w:r w:rsidR="00DB1635" w:rsidRPr="00B004EE">
        <w:rPr>
          <w:rFonts w:ascii="Tahoma" w:hAnsi="Tahoma" w:cs="Tahoma"/>
          <w:spacing w:val="2"/>
          <w:sz w:val="20"/>
          <w:szCs w:val="20"/>
        </w:rPr>
        <w:t xml:space="preserve"> </w:t>
      </w:r>
      <w:r w:rsidRPr="00B004EE">
        <w:rPr>
          <w:rFonts w:ascii="Tahoma" w:hAnsi="Tahoma" w:cs="Tahoma"/>
          <w:sz w:val="20"/>
          <w:szCs w:val="20"/>
        </w:rPr>
        <w:t>de</w:t>
      </w:r>
      <w:r w:rsidR="00DB1635" w:rsidRPr="00B004EE">
        <w:rPr>
          <w:rFonts w:ascii="Tahoma" w:hAnsi="Tahoma" w:cs="Tahoma"/>
          <w:w w:val="94"/>
          <w:sz w:val="20"/>
          <w:szCs w:val="20"/>
        </w:rPr>
        <w:t xml:space="preserve"> </w:t>
      </w:r>
      <w:r w:rsidRPr="00B004EE">
        <w:rPr>
          <w:rFonts w:ascii="Tahoma" w:hAnsi="Tahoma" w:cs="Tahoma"/>
          <w:sz w:val="20"/>
          <w:szCs w:val="20"/>
        </w:rPr>
        <w:t>recherches</w:t>
      </w:r>
      <w:r w:rsidR="00DB1635" w:rsidRPr="00B004EE">
        <w:rPr>
          <w:rFonts w:ascii="Tahoma" w:hAnsi="Tahoma" w:cs="Tahoma"/>
          <w:spacing w:val="50"/>
          <w:sz w:val="20"/>
          <w:szCs w:val="20"/>
        </w:rPr>
        <w:t xml:space="preserve"> </w:t>
      </w:r>
      <w:r w:rsidRPr="00B004EE">
        <w:rPr>
          <w:rFonts w:ascii="Tahoma" w:hAnsi="Tahoma" w:cs="Tahoma"/>
          <w:sz w:val="20"/>
          <w:szCs w:val="20"/>
        </w:rPr>
        <w:t>océanographiques</w:t>
      </w:r>
      <w:r w:rsidR="00DB1635" w:rsidRPr="00B004EE">
        <w:rPr>
          <w:rFonts w:ascii="Tahoma" w:hAnsi="Tahoma" w:cs="Tahoma"/>
          <w:spacing w:val="52"/>
          <w:sz w:val="20"/>
          <w:szCs w:val="20"/>
        </w:rPr>
        <w:t xml:space="preserve"> </w:t>
      </w:r>
      <w:r w:rsidRPr="00B004EE">
        <w:rPr>
          <w:rFonts w:ascii="Tahoma" w:hAnsi="Tahoma" w:cs="Tahoma"/>
          <w:sz w:val="20"/>
          <w:szCs w:val="20"/>
        </w:rPr>
        <w:t>et</w:t>
      </w:r>
      <w:r w:rsidR="00DB1635" w:rsidRPr="00B004EE">
        <w:rPr>
          <w:rFonts w:ascii="Tahoma" w:hAnsi="Tahoma" w:cs="Tahoma"/>
          <w:spacing w:val="51"/>
          <w:sz w:val="20"/>
          <w:szCs w:val="20"/>
        </w:rPr>
        <w:t xml:space="preserve"> </w:t>
      </w:r>
      <w:r w:rsidRPr="00B004EE">
        <w:rPr>
          <w:rFonts w:ascii="Tahoma" w:hAnsi="Tahoma" w:cs="Tahoma"/>
          <w:sz w:val="20"/>
          <w:szCs w:val="20"/>
        </w:rPr>
        <w:t>des</w:t>
      </w:r>
      <w:r w:rsidR="00DB1635" w:rsidRPr="00B004EE">
        <w:rPr>
          <w:rFonts w:ascii="Tahoma" w:hAnsi="Tahoma" w:cs="Tahoma"/>
          <w:spacing w:val="50"/>
          <w:sz w:val="20"/>
          <w:szCs w:val="20"/>
        </w:rPr>
        <w:t xml:space="preserve"> </w:t>
      </w:r>
      <w:r w:rsidRPr="00B004EE">
        <w:rPr>
          <w:rFonts w:ascii="Tahoma" w:hAnsi="Tahoma" w:cs="Tahoma"/>
          <w:sz w:val="20"/>
          <w:szCs w:val="20"/>
        </w:rPr>
        <w:t>pêches</w:t>
      </w:r>
      <w:r w:rsidR="00DB1635" w:rsidRPr="00B004EE">
        <w:rPr>
          <w:rFonts w:ascii="Tahoma" w:hAnsi="Tahoma" w:cs="Tahoma"/>
          <w:spacing w:val="51"/>
          <w:sz w:val="20"/>
          <w:szCs w:val="20"/>
        </w:rPr>
        <w:t xml:space="preserve"> </w:t>
      </w:r>
      <w:r w:rsidRPr="00B004EE">
        <w:rPr>
          <w:rFonts w:ascii="Tahoma" w:hAnsi="Tahoma" w:cs="Tahoma"/>
          <w:sz w:val="20"/>
          <w:szCs w:val="20"/>
        </w:rPr>
        <w:t>à</w:t>
      </w:r>
      <w:r w:rsidR="00DB1635" w:rsidRPr="00B004EE">
        <w:rPr>
          <w:rFonts w:ascii="Tahoma" w:hAnsi="Tahoma" w:cs="Tahoma"/>
          <w:spacing w:val="50"/>
          <w:sz w:val="20"/>
          <w:szCs w:val="20"/>
        </w:rPr>
        <w:t xml:space="preserve"> </w:t>
      </w:r>
      <w:r w:rsidRPr="00B004EE">
        <w:rPr>
          <w:rFonts w:ascii="Tahoma" w:hAnsi="Tahoma" w:cs="Tahoma"/>
          <w:sz w:val="20"/>
          <w:szCs w:val="20"/>
        </w:rPr>
        <w:t>bord</w:t>
      </w:r>
      <w:r w:rsidR="00DB1635" w:rsidRPr="00B004EE">
        <w:rPr>
          <w:rFonts w:ascii="Tahoma" w:hAnsi="Tahoma" w:cs="Tahoma"/>
          <w:spacing w:val="49"/>
          <w:sz w:val="20"/>
          <w:szCs w:val="20"/>
        </w:rPr>
        <w:t xml:space="preserve"> </w:t>
      </w:r>
      <w:r w:rsidRPr="00B004EE">
        <w:rPr>
          <w:rFonts w:ascii="Tahoma" w:hAnsi="Tahoma" w:cs="Tahoma"/>
          <w:sz w:val="20"/>
          <w:szCs w:val="20"/>
        </w:rPr>
        <w:t>des</w:t>
      </w:r>
      <w:r w:rsidR="00DB1635" w:rsidRPr="00B004EE">
        <w:rPr>
          <w:rFonts w:ascii="Tahoma" w:hAnsi="Tahoma" w:cs="Tahoma"/>
          <w:spacing w:val="49"/>
          <w:sz w:val="20"/>
          <w:szCs w:val="20"/>
        </w:rPr>
        <w:t xml:space="preserve"> </w:t>
      </w:r>
      <w:r w:rsidRPr="00B004EE">
        <w:rPr>
          <w:rFonts w:ascii="Tahoma" w:hAnsi="Tahoma" w:cs="Tahoma"/>
          <w:sz w:val="20"/>
          <w:szCs w:val="20"/>
        </w:rPr>
        <w:t>navires</w:t>
      </w:r>
      <w:r w:rsidR="00DB1635" w:rsidRPr="00B004EE">
        <w:rPr>
          <w:rFonts w:ascii="Tahoma" w:hAnsi="Tahoma" w:cs="Tahoma"/>
          <w:spacing w:val="49"/>
          <w:sz w:val="20"/>
          <w:szCs w:val="20"/>
        </w:rPr>
        <w:t xml:space="preserve"> </w:t>
      </w:r>
      <w:r w:rsidRPr="00B004EE">
        <w:rPr>
          <w:rFonts w:ascii="Tahoma" w:hAnsi="Tahoma" w:cs="Tahoma"/>
          <w:sz w:val="20"/>
          <w:szCs w:val="20"/>
        </w:rPr>
        <w:t>de</w:t>
      </w:r>
      <w:r w:rsidR="00DB1635" w:rsidRPr="00B004EE">
        <w:rPr>
          <w:rFonts w:ascii="Tahoma" w:hAnsi="Tahoma" w:cs="Tahoma"/>
          <w:spacing w:val="50"/>
          <w:sz w:val="20"/>
          <w:szCs w:val="20"/>
        </w:rPr>
        <w:t xml:space="preserve"> </w:t>
      </w:r>
      <w:r w:rsidRPr="00B004EE">
        <w:rPr>
          <w:rFonts w:ascii="Tahoma" w:hAnsi="Tahoma" w:cs="Tahoma"/>
          <w:sz w:val="20"/>
          <w:szCs w:val="20"/>
        </w:rPr>
        <w:t>recherche</w:t>
      </w:r>
      <w:r w:rsidR="00DB1635" w:rsidRPr="00B004EE">
        <w:rPr>
          <w:rFonts w:ascii="Tahoma" w:hAnsi="Tahoma" w:cs="Tahoma"/>
          <w:w w:val="95"/>
          <w:sz w:val="20"/>
          <w:szCs w:val="20"/>
        </w:rPr>
        <w:t xml:space="preserve"> </w:t>
      </w:r>
      <w:r w:rsidRPr="00B004EE">
        <w:rPr>
          <w:rFonts w:ascii="Tahoma" w:hAnsi="Tahoma" w:cs="Tahoma"/>
          <w:sz w:val="20"/>
          <w:szCs w:val="20"/>
        </w:rPr>
        <w:t>scientifique</w:t>
      </w:r>
      <w:r w:rsidR="00DB1635" w:rsidRPr="00B004EE">
        <w:rPr>
          <w:rFonts w:ascii="Tahoma" w:hAnsi="Tahoma" w:cs="Tahoma"/>
          <w:spacing w:val="-36"/>
          <w:sz w:val="20"/>
          <w:szCs w:val="20"/>
        </w:rPr>
        <w:t xml:space="preserve"> </w:t>
      </w:r>
      <w:r w:rsidRPr="00B004EE">
        <w:rPr>
          <w:rFonts w:ascii="Tahoma" w:hAnsi="Tahoma" w:cs="Tahoma"/>
          <w:sz w:val="20"/>
          <w:szCs w:val="20"/>
        </w:rPr>
        <w:t>opérant</w:t>
      </w:r>
      <w:r w:rsidR="00DB1635" w:rsidRPr="00B004EE">
        <w:rPr>
          <w:rFonts w:ascii="Tahoma" w:hAnsi="Tahoma" w:cs="Tahoma"/>
          <w:spacing w:val="-36"/>
          <w:sz w:val="20"/>
          <w:szCs w:val="20"/>
        </w:rPr>
        <w:t xml:space="preserve"> </w:t>
      </w:r>
      <w:r w:rsidRPr="00B004EE">
        <w:rPr>
          <w:rFonts w:ascii="Tahoma" w:hAnsi="Tahoma" w:cs="Tahoma"/>
          <w:sz w:val="20"/>
          <w:szCs w:val="20"/>
        </w:rPr>
        <w:t>dans</w:t>
      </w:r>
      <w:r w:rsidR="00DB1635" w:rsidRPr="00B004EE">
        <w:rPr>
          <w:rFonts w:ascii="Tahoma" w:hAnsi="Tahoma" w:cs="Tahoma"/>
          <w:spacing w:val="-36"/>
          <w:sz w:val="20"/>
          <w:szCs w:val="20"/>
        </w:rPr>
        <w:t xml:space="preserve"> </w:t>
      </w:r>
      <w:r w:rsidRPr="00B004EE">
        <w:rPr>
          <w:rFonts w:ascii="Tahoma" w:hAnsi="Tahoma" w:cs="Tahoma"/>
          <w:sz w:val="20"/>
          <w:szCs w:val="20"/>
        </w:rPr>
        <w:t>les</w:t>
      </w:r>
      <w:r w:rsidR="00DB1635" w:rsidRPr="00B004EE">
        <w:rPr>
          <w:rFonts w:ascii="Tahoma" w:hAnsi="Tahoma" w:cs="Tahoma"/>
          <w:spacing w:val="-36"/>
          <w:sz w:val="20"/>
          <w:szCs w:val="20"/>
        </w:rPr>
        <w:t xml:space="preserve"> </w:t>
      </w:r>
      <w:r w:rsidRPr="00B004EE">
        <w:rPr>
          <w:rFonts w:ascii="Tahoma" w:hAnsi="Tahoma" w:cs="Tahoma"/>
          <w:sz w:val="20"/>
          <w:szCs w:val="20"/>
        </w:rPr>
        <w:t>eaux</w:t>
      </w:r>
      <w:r w:rsidR="00DB1635" w:rsidRPr="00B004EE">
        <w:rPr>
          <w:rFonts w:ascii="Tahoma" w:hAnsi="Tahoma" w:cs="Tahoma"/>
          <w:spacing w:val="-36"/>
          <w:sz w:val="20"/>
          <w:szCs w:val="20"/>
        </w:rPr>
        <w:t xml:space="preserve"> </w:t>
      </w:r>
      <w:r w:rsidRPr="00B004EE">
        <w:rPr>
          <w:rFonts w:ascii="Tahoma" w:hAnsi="Tahoma" w:cs="Tahoma"/>
          <w:sz w:val="20"/>
          <w:szCs w:val="20"/>
        </w:rPr>
        <w:t>sous</w:t>
      </w:r>
      <w:r w:rsidR="00DB1635" w:rsidRPr="00B004EE">
        <w:rPr>
          <w:rFonts w:ascii="Tahoma" w:hAnsi="Tahoma" w:cs="Tahoma"/>
          <w:spacing w:val="-36"/>
          <w:sz w:val="20"/>
          <w:szCs w:val="20"/>
        </w:rPr>
        <w:t xml:space="preserve"> </w:t>
      </w:r>
      <w:r w:rsidRPr="00B004EE">
        <w:rPr>
          <w:rFonts w:ascii="Tahoma" w:hAnsi="Tahoma" w:cs="Tahoma"/>
          <w:sz w:val="20"/>
          <w:szCs w:val="20"/>
        </w:rPr>
        <w:t>juridiction</w:t>
      </w:r>
      <w:r w:rsidR="00DB1635" w:rsidRPr="00B004EE">
        <w:rPr>
          <w:rFonts w:ascii="Tahoma" w:hAnsi="Tahoma" w:cs="Tahoma"/>
          <w:spacing w:val="-36"/>
          <w:sz w:val="20"/>
          <w:szCs w:val="20"/>
        </w:rPr>
        <w:t xml:space="preserve"> </w:t>
      </w:r>
      <w:r w:rsidRPr="00B004EE">
        <w:rPr>
          <w:rFonts w:ascii="Tahoma" w:hAnsi="Tahoma" w:cs="Tahoma"/>
          <w:sz w:val="20"/>
          <w:szCs w:val="20"/>
        </w:rPr>
        <w:t>mauritanienne</w:t>
      </w:r>
      <w:r w:rsidR="00DB1635" w:rsidRPr="00B004EE">
        <w:rPr>
          <w:rFonts w:ascii="Tahoma" w:hAnsi="Tahoma" w:cs="Tahoma"/>
          <w:spacing w:val="-36"/>
          <w:sz w:val="20"/>
          <w:szCs w:val="20"/>
        </w:rPr>
        <w:t xml:space="preserve"> </w:t>
      </w:r>
      <w:r w:rsidRPr="00B004EE">
        <w:rPr>
          <w:rFonts w:ascii="Tahoma" w:hAnsi="Tahoma" w:cs="Tahoma"/>
          <w:sz w:val="20"/>
          <w:szCs w:val="20"/>
        </w:rPr>
        <w:t>est</w:t>
      </w:r>
      <w:r w:rsidR="00DB1635" w:rsidRPr="00B004EE">
        <w:rPr>
          <w:rFonts w:ascii="Tahoma" w:hAnsi="Tahoma" w:cs="Tahoma"/>
          <w:spacing w:val="-36"/>
          <w:sz w:val="20"/>
          <w:szCs w:val="20"/>
        </w:rPr>
        <w:t xml:space="preserve"> </w:t>
      </w:r>
      <w:r w:rsidRPr="00B004EE">
        <w:rPr>
          <w:rFonts w:ascii="Tahoma" w:hAnsi="Tahoma" w:cs="Tahoma"/>
          <w:sz w:val="20"/>
          <w:szCs w:val="20"/>
        </w:rPr>
        <w:t>obligatoire.</w:t>
      </w:r>
    </w:p>
    <w:p w14:paraId="7468E767" w14:textId="77777777" w:rsidR="00E50532" w:rsidRPr="00B004EE" w:rsidRDefault="00E50532" w:rsidP="00B004EE">
      <w:pPr>
        <w:pStyle w:val="Corpsdetexte"/>
        <w:ind w:right="158"/>
        <w:rPr>
          <w:rFonts w:ascii="Tahoma" w:hAnsi="Tahoma" w:cs="Tahoma"/>
          <w:sz w:val="20"/>
          <w:szCs w:val="20"/>
        </w:rPr>
      </w:pPr>
    </w:p>
    <w:p w14:paraId="457EC9D8" w14:textId="6ACA5EA4" w:rsidR="001E7C3C" w:rsidRPr="00B004EE" w:rsidRDefault="001E7C3C" w:rsidP="00B004EE">
      <w:pPr>
        <w:pStyle w:val="Corpsdetexte"/>
        <w:ind w:right="160"/>
        <w:rPr>
          <w:rFonts w:ascii="Tahoma" w:hAnsi="Tahoma" w:cs="Tahoma"/>
          <w:sz w:val="20"/>
          <w:szCs w:val="20"/>
        </w:rPr>
      </w:pPr>
      <w:r w:rsidRPr="00B004EE">
        <w:rPr>
          <w:rFonts w:ascii="Tahoma" w:hAnsi="Tahoma" w:cs="Tahoma"/>
          <w:sz w:val="20"/>
          <w:szCs w:val="20"/>
        </w:rPr>
        <w:t>La</w:t>
      </w:r>
      <w:r w:rsidR="00DB1635" w:rsidRPr="00B004EE">
        <w:rPr>
          <w:rFonts w:ascii="Tahoma" w:hAnsi="Tahoma" w:cs="Tahoma"/>
          <w:spacing w:val="-8"/>
          <w:sz w:val="20"/>
          <w:szCs w:val="20"/>
        </w:rPr>
        <w:t xml:space="preserve"> </w:t>
      </w:r>
      <w:r w:rsidRPr="00B004EE">
        <w:rPr>
          <w:rFonts w:ascii="Tahoma" w:hAnsi="Tahoma" w:cs="Tahoma"/>
          <w:sz w:val="20"/>
          <w:szCs w:val="20"/>
        </w:rPr>
        <w:t>totalité</w:t>
      </w:r>
      <w:r w:rsidR="00DB1635" w:rsidRPr="00B004EE">
        <w:rPr>
          <w:rFonts w:ascii="Tahoma" w:hAnsi="Tahoma" w:cs="Tahoma"/>
          <w:spacing w:val="-8"/>
          <w:sz w:val="20"/>
          <w:szCs w:val="20"/>
        </w:rPr>
        <w:t xml:space="preserve"> </w:t>
      </w:r>
      <w:r w:rsidRPr="00B004EE">
        <w:rPr>
          <w:rFonts w:ascii="Tahoma" w:hAnsi="Tahoma" w:cs="Tahoma"/>
          <w:sz w:val="20"/>
          <w:szCs w:val="20"/>
        </w:rPr>
        <w:t>des</w:t>
      </w:r>
      <w:r w:rsidR="00DB1635" w:rsidRPr="00B004EE">
        <w:rPr>
          <w:rFonts w:ascii="Tahoma" w:hAnsi="Tahoma" w:cs="Tahoma"/>
          <w:spacing w:val="-9"/>
          <w:sz w:val="20"/>
          <w:szCs w:val="20"/>
        </w:rPr>
        <w:t xml:space="preserve"> </w:t>
      </w:r>
      <w:r w:rsidRPr="00B004EE">
        <w:rPr>
          <w:rFonts w:ascii="Tahoma" w:hAnsi="Tahoma" w:cs="Tahoma"/>
          <w:sz w:val="20"/>
          <w:szCs w:val="20"/>
        </w:rPr>
        <w:t>données</w:t>
      </w:r>
      <w:r w:rsidR="00DB1635" w:rsidRPr="00B004EE">
        <w:rPr>
          <w:rFonts w:ascii="Tahoma" w:hAnsi="Tahoma" w:cs="Tahoma"/>
          <w:spacing w:val="-9"/>
          <w:sz w:val="20"/>
          <w:szCs w:val="20"/>
        </w:rPr>
        <w:t xml:space="preserve"> </w:t>
      </w:r>
      <w:r w:rsidRPr="00B004EE">
        <w:rPr>
          <w:rFonts w:ascii="Tahoma" w:hAnsi="Tahoma" w:cs="Tahoma"/>
          <w:sz w:val="20"/>
          <w:szCs w:val="20"/>
        </w:rPr>
        <w:t>recueillies</w:t>
      </w:r>
      <w:r w:rsidR="00DB1635" w:rsidRPr="00B004EE">
        <w:rPr>
          <w:rFonts w:ascii="Tahoma" w:hAnsi="Tahoma" w:cs="Tahoma"/>
          <w:spacing w:val="-6"/>
          <w:sz w:val="20"/>
          <w:szCs w:val="20"/>
        </w:rPr>
        <w:t xml:space="preserve"> </w:t>
      </w:r>
      <w:r w:rsidRPr="00B004EE">
        <w:rPr>
          <w:rFonts w:ascii="Tahoma" w:hAnsi="Tahoma" w:cs="Tahoma"/>
          <w:sz w:val="20"/>
          <w:szCs w:val="20"/>
        </w:rPr>
        <w:t>pendant</w:t>
      </w:r>
      <w:r w:rsidR="00DB1635" w:rsidRPr="00B004EE">
        <w:rPr>
          <w:rFonts w:ascii="Tahoma" w:hAnsi="Tahoma" w:cs="Tahoma"/>
          <w:spacing w:val="-9"/>
          <w:sz w:val="20"/>
          <w:szCs w:val="20"/>
        </w:rPr>
        <w:t xml:space="preserve"> </w:t>
      </w:r>
      <w:r w:rsidRPr="00B004EE">
        <w:rPr>
          <w:rFonts w:ascii="Tahoma" w:hAnsi="Tahoma" w:cs="Tahoma"/>
          <w:sz w:val="20"/>
          <w:szCs w:val="20"/>
        </w:rPr>
        <w:t>les</w:t>
      </w:r>
      <w:r w:rsidR="00DB1635" w:rsidRPr="00B004EE">
        <w:rPr>
          <w:rFonts w:ascii="Tahoma" w:hAnsi="Tahoma" w:cs="Tahoma"/>
          <w:spacing w:val="-10"/>
          <w:sz w:val="20"/>
          <w:szCs w:val="20"/>
        </w:rPr>
        <w:t xml:space="preserve"> </w:t>
      </w:r>
      <w:r w:rsidRPr="00B004EE">
        <w:rPr>
          <w:rFonts w:ascii="Tahoma" w:hAnsi="Tahoma" w:cs="Tahoma"/>
          <w:sz w:val="20"/>
          <w:szCs w:val="20"/>
        </w:rPr>
        <w:t>opérations</w:t>
      </w:r>
      <w:r w:rsidR="00DB1635" w:rsidRPr="00B004EE">
        <w:rPr>
          <w:rFonts w:ascii="Tahoma" w:hAnsi="Tahoma" w:cs="Tahoma"/>
          <w:spacing w:val="-9"/>
          <w:sz w:val="20"/>
          <w:szCs w:val="20"/>
        </w:rPr>
        <w:t xml:space="preserve"> </w:t>
      </w:r>
      <w:r w:rsidRPr="00B004EE">
        <w:rPr>
          <w:rFonts w:ascii="Tahoma" w:hAnsi="Tahoma" w:cs="Tahoma"/>
          <w:sz w:val="20"/>
          <w:szCs w:val="20"/>
        </w:rPr>
        <w:t>de</w:t>
      </w:r>
      <w:r w:rsidR="00DB1635" w:rsidRPr="00B004EE">
        <w:rPr>
          <w:rFonts w:ascii="Tahoma" w:hAnsi="Tahoma" w:cs="Tahoma"/>
          <w:spacing w:val="-9"/>
          <w:sz w:val="20"/>
          <w:szCs w:val="20"/>
        </w:rPr>
        <w:t xml:space="preserve"> </w:t>
      </w:r>
      <w:r w:rsidRPr="00B004EE">
        <w:rPr>
          <w:rFonts w:ascii="Tahoma" w:hAnsi="Tahoma" w:cs="Tahoma"/>
          <w:sz w:val="20"/>
          <w:szCs w:val="20"/>
        </w:rPr>
        <w:t>recherches</w:t>
      </w:r>
      <w:r w:rsidR="00DB1635" w:rsidRPr="00B004EE">
        <w:rPr>
          <w:rFonts w:ascii="Tahoma" w:hAnsi="Tahoma" w:cs="Tahoma"/>
          <w:spacing w:val="-10"/>
          <w:sz w:val="20"/>
          <w:szCs w:val="20"/>
        </w:rPr>
        <w:t xml:space="preserve"> </w:t>
      </w:r>
      <w:r w:rsidRPr="00B004EE">
        <w:rPr>
          <w:rFonts w:ascii="Tahoma" w:hAnsi="Tahoma" w:cs="Tahoma"/>
          <w:sz w:val="20"/>
          <w:szCs w:val="20"/>
        </w:rPr>
        <w:t>ainsi</w:t>
      </w:r>
      <w:r w:rsidR="00DB1635" w:rsidRPr="00B004EE">
        <w:rPr>
          <w:rFonts w:ascii="Tahoma" w:hAnsi="Tahoma" w:cs="Tahoma"/>
          <w:spacing w:val="-9"/>
          <w:sz w:val="20"/>
          <w:szCs w:val="20"/>
        </w:rPr>
        <w:t xml:space="preserve"> </w:t>
      </w:r>
      <w:r w:rsidRPr="00B004EE">
        <w:rPr>
          <w:rFonts w:ascii="Tahoma" w:hAnsi="Tahoma" w:cs="Tahoma"/>
          <w:sz w:val="20"/>
          <w:szCs w:val="20"/>
        </w:rPr>
        <w:t>que</w:t>
      </w:r>
      <w:r w:rsidR="00DB1635" w:rsidRPr="00B004EE">
        <w:rPr>
          <w:rFonts w:ascii="Tahoma" w:hAnsi="Tahoma" w:cs="Tahoma"/>
          <w:w w:val="96"/>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résultats</w:t>
      </w:r>
      <w:r w:rsidR="00DB1635" w:rsidRPr="00B004EE">
        <w:rPr>
          <w:rFonts w:ascii="Tahoma" w:hAnsi="Tahoma" w:cs="Tahoma"/>
          <w:sz w:val="20"/>
          <w:szCs w:val="20"/>
        </w:rPr>
        <w:t xml:space="preserve"> </w:t>
      </w:r>
      <w:r w:rsidRPr="00B004EE">
        <w:rPr>
          <w:rFonts w:ascii="Tahoma" w:hAnsi="Tahoma" w:cs="Tahoma"/>
          <w:sz w:val="20"/>
          <w:szCs w:val="20"/>
        </w:rPr>
        <w:t>obtenus</w:t>
      </w:r>
      <w:r w:rsidR="00DB1635" w:rsidRPr="00B004EE">
        <w:rPr>
          <w:rFonts w:ascii="Tahoma" w:hAnsi="Tahoma" w:cs="Tahoma"/>
          <w:sz w:val="20"/>
          <w:szCs w:val="20"/>
        </w:rPr>
        <w:t xml:space="preserve"> </w:t>
      </w:r>
      <w:r w:rsidRPr="00B004EE">
        <w:rPr>
          <w:rFonts w:ascii="Tahoma" w:hAnsi="Tahoma" w:cs="Tahoma"/>
          <w:sz w:val="20"/>
          <w:szCs w:val="20"/>
        </w:rPr>
        <w:t>avant</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après</w:t>
      </w:r>
      <w:r w:rsidR="00DB1635" w:rsidRPr="00B004EE">
        <w:rPr>
          <w:rFonts w:ascii="Tahoma" w:hAnsi="Tahoma" w:cs="Tahoma"/>
          <w:sz w:val="20"/>
          <w:szCs w:val="20"/>
        </w:rPr>
        <w:t xml:space="preserve"> </w:t>
      </w:r>
      <w:r w:rsidRPr="00B004EE">
        <w:rPr>
          <w:rFonts w:ascii="Tahoma" w:hAnsi="Tahoma" w:cs="Tahoma"/>
          <w:sz w:val="20"/>
          <w:szCs w:val="20"/>
        </w:rPr>
        <w:t>traitement</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analyse,</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communiquée</w:t>
      </w:r>
      <w:r w:rsidR="00DB1635" w:rsidRPr="00B004EE">
        <w:rPr>
          <w:rFonts w:ascii="Tahoma" w:hAnsi="Tahoma" w:cs="Tahoma"/>
          <w:spacing w:val="55"/>
          <w:sz w:val="20"/>
          <w:szCs w:val="20"/>
        </w:rPr>
        <w:t xml:space="preserve"> </w:t>
      </w:r>
      <w:r w:rsidRPr="00B004EE">
        <w:rPr>
          <w:rFonts w:ascii="Tahoma" w:hAnsi="Tahoma" w:cs="Tahoma"/>
          <w:sz w:val="20"/>
          <w:szCs w:val="20"/>
        </w:rPr>
        <w:t>au</w:t>
      </w:r>
      <w:r w:rsidR="00DB1635" w:rsidRPr="00B004EE">
        <w:rPr>
          <w:rFonts w:ascii="Tahoma" w:hAnsi="Tahoma" w:cs="Tahoma"/>
          <w:w w:val="98"/>
          <w:sz w:val="20"/>
          <w:szCs w:val="20"/>
        </w:rPr>
        <w:t xml:space="preserve"> </w:t>
      </w:r>
      <w:r w:rsidRPr="00B004EE">
        <w:rPr>
          <w:rFonts w:ascii="Tahoma" w:hAnsi="Tahoma" w:cs="Tahoma"/>
          <w:sz w:val="20"/>
          <w:szCs w:val="20"/>
        </w:rPr>
        <w:t>ministère</w:t>
      </w:r>
      <w:r w:rsidR="00DB1635" w:rsidRPr="00B004EE">
        <w:rPr>
          <w:rFonts w:ascii="Tahoma" w:hAnsi="Tahoma" w:cs="Tahoma"/>
          <w:spacing w:val="-26"/>
          <w:sz w:val="20"/>
          <w:szCs w:val="20"/>
        </w:rPr>
        <w:t xml:space="preserve"> </w:t>
      </w:r>
      <w:r w:rsidRPr="00B004EE">
        <w:rPr>
          <w:rFonts w:ascii="Tahoma" w:hAnsi="Tahoma" w:cs="Tahoma"/>
          <w:sz w:val="20"/>
          <w:szCs w:val="20"/>
        </w:rPr>
        <w:t>chargé</w:t>
      </w:r>
      <w:r w:rsidR="00DB1635" w:rsidRPr="00B004EE">
        <w:rPr>
          <w:rFonts w:ascii="Tahoma" w:hAnsi="Tahoma" w:cs="Tahoma"/>
          <w:spacing w:val="-26"/>
          <w:sz w:val="20"/>
          <w:szCs w:val="20"/>
        </w:rPr>
        <w:t xml:space="preserve"> </w:t>
      </w:r>
      <w:r w:rsidRPr="00B004EE">
        <w:rPr>
          <w:rFonts w:ascii="Tahoma" w:hAnsi="Tahoma" w:cs="Tahoma"/>
          <w:sz w:val="20"/>
          <w:szCs w:val="20"/>
        </w:rPr>
        <w:t>des</w:t>
      </w:r>
      <w:r w:rsidR="00DB1635" w:rsidRPr="00B004EE">
        <w:rPr>
          <w:rFonts w:ascii="Tahoma" w:hAnsi="Tahoma" w:cs="Tahoma"/>
          <w:spacing w:val="-26"/>
          <w:sz w:val="20"/>
          <w:szCs w:val="20"/>
        </w:rPr>
        <w:t xml:space="preserve"> </w:t>
      </w:r>
      <w:r w:rsidRPr="00B004EE">
        <w:rPr>
          <w:rFonts w:ascii="Tahoma" w:hAnsi="Tahoma" w:cs="Tahoma"/>
          <w:sz w:val="20"/>
          <w:szCs w:val="20"/>
        </w:rPr>
        <w:t>pêches,</w:t>
      </w:r>
      <w:r w:rsidR="00DB1635" w:rsidRPr="00B004EE">
        <w:rPr>
          <w:rFonts w:ascii="Tahoma" w:hAnsi="Tahoma" w:cs="Tahoma"/>
          <w:spacing w:val="-25"/>
          <w:sz w:val="20"/>
          <w:szCs w:val="20"/>
        </w:rPr>
        <w:t xml:space="preserve"> </w:t>
      </w:r>
      <w:r w:rsidRPr="00B004EE">
        <w:rPr>
          <w:rFonts w:ascii="Tahoma" w:hAnsi="Tahoma" w:cs="Tahoma"/>
          <w:sz w:val="20"/>
          <w:szCs w:val="20"/>
        </w:rPr>
        <w:t>ou</w:t>
      </w:r>
      <w:r w:rsidR="00DB1635" w:rsidRPr="00B004EE">
        <w:rPr>
          <w:rFonts w:ascii="Tahoma" w:hAnsi="Tahoma" w:cs="Tahoma"/>
          <w:spacing w:val="-26"/>
          <w:sz w:val="20"/>
          <w:szCs w:val="20"/>
        </w:rPr>
        <w:t xml:space="preserve"> </w:t>
      </w:r>
      <w:r w:rsidRPr="00B004EE">
        <w:rPr>
          <w:rFonts w:ascii="Tahoma" w:hAnsi="Tahoma" w:cs="Tahoma"/>
          <w:sz w:val="20"/>
          <w:szCs w:val="20"/>
        </w:rPr>
        <w:t>à</w:t>
      </w:r>
      <w:r w:rsidR="00DB1635" w:rsidRPr="00B004EE">
        <w:rPr>
          <w:rFonts w:ascii="Tahoma" w:hAnsi="Tahoma" w:cs="Tahoma"/>
          <w:spacing w:val="-25"/>
          <w:sz w:val="20"/>
          <w:szCs w:val="20"/>
        </w:rPr>
        <w:t xml:space="preserve"> </w:t>
      </w:r>
      <w:r w:rsidRPr="00B004EE">
        <w:rPr>
          <w:rFonts w:ascii="Tahoma" w:hAnsi="Tahoma" w:cs="Tahoma"/>
          <w:sz w:val="20"/>
          <w:szCs w:val="20"/>
        </w:rPr>
        <w:t>l'autorité</w:t>
      </w:r>
      <w:r w:rsidR="00DB1635" w:rsidRPr="00B004EE">
        <w:rPr>
          <w:rFonts w:ascii="Tahoma" w:hAnsi="Tahoma" w:cs="Tahoma"/>
          <w:spacing w:val="-26"/>
          <w:sz w:val="20"/>
          <w:szCs w:val="20"/>
        </w:rPr>
        <w:t xml:space="preserve"> </w:t>
      </w:r>
      <w:r w:rsidRPr="00B004EE">
        <w:rPr>
          <w:rFonts w:ascii="Tahoma" w:hAnsi="Tahoma" w:cs="Tahoma"/>
          <w:sz w:val="20"/>
          <w:szCs w:val="20"/>
        </w:rPr>
        <w:t>désignée</w:t>
      </w:r>
      <w:r w:rsidR="00DB1635" w:rsidRPr="00B004EE">
        <w:rPr>
          <w:rFonts w:ascii="Tahoma" w:hAnsi="Tahoma" w:cs="Tahoma"/>
          <w:spacing w:val="-26"/>
          <w:sz w:val="20"/>
          <w:szCs w:val="20"/>
        </w:rPr>
        <w:t xml:space="preserve"> </w:t>
      </w:r>
      <w:r w:rsidRPr="00B004EE">
        <w:rPr>
          <w:rFonts w:ascii="Tahoma" w:hAnsi="Tahoma" w:cs="Tahoma"/>
          <w:sz w:val="20"/>
          <w:szCs w:val="20"/>
        </w:rPr>
        <w:t>à</w:t>
      </w:r>
      <w:r w:rsidR="00DB1635" w:rsidRPr="00B004EE">
        <w:rPr>
          <w:rFonts w:ascii="Tahoma" w:hAnsi="Tahoma" w:cs="Tahoma"/>
          <w:spacing w:val="-25"/>
          <w:sz w:val="20"/>
          <w:szCs w:val="20"/>
        </w:rPr>
        <w:t xml:space="preserve"> </w:t>
      </w:r>
      <w:r w:rsidRPr="00B004EE">
        <w:rPr>
          <w:rFonts w:ascii="Tahoma" w:hAnsi="Tahoma" w:cs="Tahoma"/>
          <w:sz w:val="20"/>
          <w:szCs w:val="20"/>
        </w:rPr>
        <w:t>cet</w:t>
      </w:r>
      <w:r w:rsidR="00DB1635" w:rsidRPr="00B004EE">
        <w:rPr>
          <w:rFonts w:ascii="Tahoma" w:hAnsi="Tahoma" w:cs="Tahoma"/>
          <w:spacing w:val="-26"/>
          <w:sz w:val="20"/>
          <w:szCs w:val="20"/>
        </w:rPr>
        <w:t xml:space="preserve"> </w:t>
      </w:r>
      <w:r w:rsidRPr="00B004EE">
        <w:rPr>
          <w:rFonts w:ascii="Tahoma" w:hAnsi="Tahoma" w:cs="Tahoma"/>
          <w:sz w:val="20"/>
          <w:szCs w:val="20"/>
        </w:rPr>
        <w:t>effet.</w:t>
      </w:r>
    </w:p>
    <w:p w14:paraId="2C124806" w14:textId="77777777" w:rsidR="001E7C3C" w:rsidRPr="00B004EE" w:rsidRDefault="001E7C3C" w:rsidP="00B004EE">
      <w:pPr>
        <w:ind w:right="164" w:hanging="4"/>
        <w:jc w:val="center"/>
        <w:rPr>
          <w:rFonts w:ascii="Tahoma" w:hAnsi="Tahoma" w:cs="Tahoma"/>
          <w:b/>
          <w:spacing w:val="1"/>
          <w:w w:val="113"/>
          <w:sz w:val="20"/>
          <w:szCs w:val="20"/>
        </w:rPr>
      </w:pPr>
    </w:p>
    <w:p w14:paraId="5461DEE0" w14:textId="37B42BA7" w:rsidR="001E7C3C" w:rsidRPr="00B004EE" w:rsidRDefault="001E7C3C" w:rsidP="00B004EE">
      <w:pPr>
        <w:ind w:right="164" w:hanging="4"/>
        <w:jc w:val="center"/>
        <w:rPr>
          <w:rFonts w:ascii="Tahoma" w:hAnsi="Tahoma" w:cs="Tahoma"/>
          <w:b/>
          <w:spacing w:val="1"/>
          <w:w w:val="113"/>
          <w:sz w:val="20"/>
          <w:szCs w:val="20"/>
        </w:rPr>
      </w:pPr>
      <w:bookmarkStart w:id="83" w:name="_Toc16279074"/>
      <w:bookmarkStart w:id="84" w:name="_Toc16279443"/>
      <w:r w:rsidRPr="00B004EE">
        <w:rPr>
          <w:rFonts w:ascii="Tahoma" w:hAnsi="Tahoma" w:cs="Tahoma"/>
          <w:b/>
          <w:spacing w:val="1"/>
          <w:w w:val="113"/>
          <w:sz w:val="20"/>
          <w:szCs w:val="20"/>
        </w:rPr>
        <w:t>Section</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13</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Des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mesures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réglementaires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d'application</w:t>
      </w:r>
      <w:bookmarkEnd w:id="83"/>
      <w:bookmarkEnd w:id="84"/>
    </w:p>
    <w:p w14:paraId="28D3F0F6" w14:textId="77777777" w:rsidR="00F81386" w:rsidRPr="00B004EE" w:rsidRDefault="00F81386" w:rsidP="00B004EE">
      <w:pPr>
        <w:ind w:right="164" w:hanging="4"/>
        <w:jc w:val="center"/>
        <w:rPr>
          <w:rFonts w:ascii="Tahoma" w:hAnsi="Tahoma" w:cs="Tahoma"/>
          <w:b/>
          <w:spacing w:val="1"/>
          <w:w w:val="113"/>
          <w:sz w:val="20"/>
          <w:szCs w:val="20"/>
        </w:rPr>
      </w:pPr>
    </w:p>
    <w:p w14:paraId="49B02944" w14:textId="7E734470" w:rsidR="001E7C3C" w:rsidRPr="00B004EE" w:rsidRDefault="001E7C3C" w:rsidP="00B004EE">
      <w:pPr>
        <w:pStyle w:val="Corpsdetexte"/>
        <w:ind w:right="158"/>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51</w:t>
      </w:r>
      <w:r w:rsidR="00DB1635" w:rsidRPr="00B004EE">
        <w:rPr>
          <w:rFonts w:ascii="Tahoma" w:hAnsi="Tahoma" w:cs="Tahoma"/>
          <w:bCs/>
          <w:sz w:val="20"/>
          <w:szCs w:val="20"/>
        </w:rPr>
        <w:t xml:space="preserve"> </w:t>
      </w:r>
      <w:r w:rsidRPr="00B004EE">
        <w:rPr>
          <w:rFonts w:ascii="Tahoma" w:hAnsi="Tahoma" w:cs="Tahoma"/>
          <w:bCs/>
          <w:sz w:val="20"/>
          <w:szCs w:val="20"/>
        </w:rPr>
        <w:t>:</w:t>
      </w:r>
      <w:r w:rsidR="00DB1635" w:rsidRPr="00B004EE">
        <w:rPr>
          <w:rFonts w:ascii="Tahoma" w:eastAsia="American Typewriter" w:hAnsi="Tahoma" w:cs="Tahoma"/>
          <w:b/>
          <w:bCs/>
          <w:spacing w:val="-8"/>
          <w:sz w:val="20"/>
          <w:szCs w:val="20"/>
        </w:rPr>
        <w:t xml:space="preserve"> </w:t>
      </w:r>
      <w:r w:rsidRPr="00B004EE">
        <w:rPr>
          <w:rFonts w:ascii="Tahoma" w:eastAsia="American Typewriter" w:hAnsi="Tahoma" w:cs="Tahoma"/>
          <w:sz w:val="20"/>
          <w:szCs w:val="20"/>
        </w:rPr>
        <w:t>Pour</w:t>
      </w:r>
      <w:r w:rsidR="00DB1635" w:rsidRPr="00B004EE">
        <w:rPr>
          <w:rFonts w:ascii="Tahoma" w:eastAsia="American Typewriter" w:hAnsi="Tahoma" w:cs="Tahoma"/>
          <w:spacing w:val="-12"/>
          <w:sz w:val="20"/>
          <w:szCs w:val="20"/>
        </w:rPr>
        <w:t xml:space="preserve"> </w:t>
      </w:r>
      <w:r w:rsidRPr="00B004EE">
        <w:rPr>
          <w:rFonts w:ascii="Tahoma" w:eastAsia="American Typewriter" w:hAnsi="Tahoma" w:cs="Tahoma"/>
          <w:sz w:val="20"/>
          <w:szCs w:val="20"/>
        </w:rPr>
        <w:t>l’application</w:t>
      </w:r>
      <w:r w:rsidR="00DB1635" w:rsidRPr="00B004EE">
        <w:rPr>
          <w:rFonts w:ascii="Tahoma" w:eastAsia="American Typewriter" w:hAnsi="Tahoma" w:cs="Tahoma"/>
          <w:spacing w:val="-10"/>
          <w:sz w:val="20"/>
          <w:szCs w:val="20"/>
        </w:rPr>
        <w:t xml:space="preserve"> </w:t>
      </w:r>
      <w:r w:rsidRPr="00B004EE">
        <w:rPr>
          <w:rFonts w:ascii="Tahoma" w:hAnsi="Tahoma" w:cs="Tahoma"/>
          <w:sz w:val="20"/>
          <w:szCs w:val="20"/>
        </w:rPr>
        <w:t>des</w:t>
      </w:r>
      <w:r w:rsidR="00DB1635" w:rsidRPr="00B004EE">
        <w:rPr>
          <w:rFonts w:ascii="Tahoma" w:hAnsi="Tahoma" w:cs="Tahoma"/>
          <w:spacing w:val="-11"/>
          <w:sz w:val="20"/>
          <w:szCs w:val="20"/>
        </w:rPr>
        <w:t xml:space="preserve"> </w:t>
      </w:r>
      <w:r w:rsidRPr="00B004EE">
        <w:rPr>
          <w:rFonts w:ascii="Tahoma" w:hAnsi="Tahoma" w:cs="Tahoma"/>
          <w:sz w:val="20"/>
          <w:szCs w:val="20"/>
        </w:rPr>
        <w:t>dispositions</w:t>
      </w:r>
      <w:r w:rsidR="00DB1635" w:rsidRPr="00B004EE">
        <w:rPr>
          <w:rFonts w:ascii="Tahoma" w:hAnsi="Tahoma" w:cs="Tahoma"/>
          <w:spacing w:val="-11"/>
          <w:sz w:val="20"/>
          <w:szCs w:val="20"/>
        </w:rPr>
        <w:t xml:space="preserve"> </w:t>
      </w:r>
      <w:r w:rsidRPr="00B004EE">
        <w:rPr>
          <w:rFonts w:ascii="Tahoma" w:hAnsi="Tahoma" w:cs="Tahoma"/>
          <w:sz w:val="20"/>
          <w:szCs w:val="20"/>
        </w:rPr>
        <w:t>de</w:t>
      </w:r>
      <w:r w:rsidR="00DB1635" w:rsidRPr="00B004EE">
        <w:rPr>
          <w:rFonts w:ascii="Tahoma" w:hAnsi="Tahoma" w:cs="Tahoma"/>
          <w:spacing w:val="-11"/>
          <w:sz w:val="20"/>
          <w:szCs w:val="20"/>
        </w:rPr>
        <w:t xml:space="preserve"> </w:t>
      </w:r>
      <w:r w:rsidRPr="00B004EE">
        <w:rPr>
          <w:rFonts w:ascii="Tahoma" w:hAnsi="Tahoma" w:cs="Tahoma"/>
          <w:sz w:val="20"/>
          <w:szCs w:val="20"/>
        </w:rPr>
        <w:t>la</w:t>
      </w:r>
      <w:r w:rsidR="00DB1635" w:rsidRPr="00B004EE">
        <w:rPr>
          <w:rFonts w:ascii="Tahoma" w:hAnsi="Tahoma" w:cs="Tahoma"/>
          <w:spacing w:val="-10"/>
          <w:sz w:val="20"/>
          <w:szCs w:val="20"/>
        </w:rPr>
        <w:t xml:space="preserve"> </w:t>
      </w:r>
      <w:r w:rsidRPr="00B004EE">
        <w:rPr>
          <w:rFonts w:ascii="Tahoma" w:hAnsi="Tahoma" w:cs="Tahoma"/>
          <w:sz w:val="20"/>
          <w:szCs w:val="20"/>
        </w:rPr>
        <w:t>présente</w:t>
      </w:r>
      <w:r w:rsidR="00DB1635" w:rsidRPr="00B004EE">
        <w:rPr>
          <w:rFonts w:ascii="Tahoma" w:hAnsi="Tahoma" w:cs="Tahoma"/>
          <w:spacing w:val="-13"/>
          <w:sz w:val="20"/>
          <w:szCs w:val="20"/>
        </w:rPr>
        <w:t xml:space="preserve"> </w:t>
      </w:r>
      <w:r w:rsidRPr="00B004EE">
        <w:rPr>
          <w:rFonts w:ascii="Tahoma" w:hAnsi="Tahoma" w:cs="Tahoma"/>
          <w:sz w:val="20"/>
          <w:szCs w:val="20"/>
        </w:rPr>
        <w:t>Loi,</w:t>
      </w:r>
      <w:r w:rsidR="00DB1635" w:rsidRPr="00B004EE">
        <w:rPr>
          <w:rFonts w:ascii="Tahoma" w:hAnsi="Tahoma" w:cs="Tahoma"/>
          <w:spacing w:val="-12"/>
          <w:sz w:val="20"/>
          <w:szCs w:val="20"/>
        </w:rPr>
        <w:t xml:space="preserve"> </w:t>
      </w:r>
      <w:r w:rsidRPr="00B004EE">
        <w:rPr>
          <w:rFonts w:ascii="Tahoma" w:hAnsi="Tahoma" w:cs="Tahoma"/>
          <w:sz w:val="20"/>
          <w:szCs w:val="20"/>
        </w:rPr>
        <w:t>des</w:t>
      </w:r>
      <w:r w:rsidR="00DB1635" w:rsidRPr="00B004EE">
        <w:rPr>
          <w:rFonts w:ascii="Tahoma" w:hAnsi="Tahoma" w:cs="Tahoma"/>
          <w:spacing w:val="-13"/>
          <w:sz w:val="20"/>
          <w:szCs w:val="20"/>
        </w:rPr>
        <w:t xml:space="preserve"> </w:t>
      </w:r>
      <w:r w:rsidRPr="00B004EE">
        <w:rPr>
          <w:rFonts w:ascii="Tahoma" w:hAnsi="Tahoma" w:cs="Tahoma"/>
          <w:sz w:val="20"/>
          <w:szCs w:val="20"/>
        </w:rPr>
        <w:t>décrets</w:t>
      </w:r>
      <w:r w:rsidR="00DB1635" w:rsidRPr="00B004EE">
        <w:rPr>
          <w:rFonts w:ascii="Tahoma" w:hAnsi="Tahoma" w:cs="Tahoma"/>
          <w:spacing w:val="-13"/>
          <w:sz w:val="20"/>
          <w:szCs w:val="20"/>
        </w:rPr>
        <w:t xml:space="preserve"> </w:t>
      </w:r>
      <w:r w:rsidRPr="00B004EE">
        <w:rPr>
          <w:rFonts w:ascii="Tahoma" w:hAnsi="Tahoma" w:cs="Tahoma"/>
          <w:sz w:val="20"/>
          <w:szCs w:val="20"/>
        </w:rPr>
        <w:t>pris</w:t>
      </w:r>
      <w:r w:rsidR="00DB1635" w:rsidRPr="00B004EE">
        <w:rPr>
          <w:rFonts w:ascii="Tahoma" w:hAnsi="Tahoma" w:cs="Tahoma"/>
          <w:w w:val="94"/>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Conseil</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Ministres</w:t>
      </w:r>
      <w:r w:rsidR="00DB1635" w:rsidRPr="00B004EE">
        <w:rPr>
          <w:rFonts w:ascii="Tahoma" w:hAnsi="Tahoma" w:cs="Tahoma"/>
          <w:sz w:val="20"/>
          <w:szCs w:val="20"/>
        </w:rPr>
        <w:t xml:space="preserve"> </w:t>
      </w:r>
      <w:r w:rsidRPr="00B004EE">
        <w:rPr>
          <w:rFonts w:ascii="Tahoma" w:hAnsi="Tahoma" w:cs="Tahoma"/>
          <w:sz w:val="20"/>
          <w:szCs w:val="20"/>
        </w:rPr>
        <w:t>sur</w:t>
      </w:r>
      <w:r w:rsidR="00DB1635" w:rsidRPr="00B004EE">
        <w:rPr>
          <w:rFonts w:ascii="Tahoma" w:hAnsi="Tahoma" w:cs="Tahoma"/>
          <w:sz w:val="20"/>
          <w:szCs w:val="20"/>
        </w:rPr>
        <w:t xml:space="preserve"> </w:t>
      </w:r>
      <w:r w:rsidRPr="00B004EE">
        <w:rPr>
          <w:rFonts w:ascii="Tahoma" w:hAnsi="Tahoma" w:cs="Tahoma"/>
          <w:sz w:val="20"/>
          <w:szCs w:val="20"/>
        </w:rPr>
        <w:t>rapport</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ministre</w:t>
      </w:r>
      <w:r w:rsidR="00DB1635" w:rsidRPr="00B004EE">
        <w:rPr>
          <w:rFonts w:ascii="Tahoma" w:hAnsi="Tahoma" w:cs="Tahoma"/>
          <w:sz w:val="20"/>
          <w:szCs w:val="20"/>
        </w:rPr>
        <w:t xml:space="preserve"> </w:t>
      </w:r>
      <w:r w:rsidRPr="00B004EE">
        <w:rPr>
          <w:rFonts w:ascii="Tahoma" w:hAnsi="Tahoma" w:cs="Tahoma"/>
          <w:sz w:val="20"/>
          <w:szCs w:val="20"/>
        </w:rPr>
        <w:t>chargé</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pacing w:val="46"/>
          <w:sz w:val="20"/>
          <w:szCs w:val="20"/>
        </w:rPr>
        <w:t xml:space="preserve"> </w:t>
      </w:r>
      <w:r w:rsidRPr="00B004EE">
        <w:rPr>
          <w:rFonts w:ascii="Tahoma" w:hAnsi="Tahoma" w:cs="Tahoma"/>
          <w:sz w:val="20"/>
          <w:szCs w:val="20"/>
        </w:rPr>
        <w:t>cas</w:t>
      </w:r>
      <w:r w:rsidR="00DB1635" w:rsidRPr="00B004EE">
        <w:rPr>
          <w:rFonts w:ascii="Tahoma" w:hAnsi="Tahoma" w:cs="Tahoma"/>
          <w:w w:val="94"/>
          <w:sz w:val="20"/>
          <w:szCs w:val="20"/>
        </w:rPr>
        <w:t xml:space="preserve"> </w:t>
      </w:r>
      <w:r w:rsidRPr="00B004EE">
        <w:rPr>
          <w:rFonts w:ascii="Tahoma" w:hAnsi="Tahoma" w:cs="Tahoma"/>
          <w:sz w:val="20"/>
          <w:szCs w:val="20"/>
        </w:rPr>
        <w:t>échéant,</w:t>
      </w:r>
      <w:r w:rsidR="00DB1635" w:rsidRPr="00B004EE">
        <w:rPr>
          <w:rFonts w:ascii="Tahoma" w:hAnsi="Tahoma" w:cs="Tahoma"/>
          <w:spacing w:val="-23"/>
          <w:sz w:val="20"/>
          <w:szCs w:val="20"/>
        </w:rPr>
        <w:t xml:space="preserve"> </w:t>
      </w:r>
      <w:r w:rsidRPr="00B004EE">
        <w:rPr>
          <w:rFonts w:ascii="Tahoma" w:hAnsi="Tahoma" w:cs="Tahoma"/>
          <w:sz w:val="20"/>
          <w:szCs w:val="20"/>
        </w:rPr>
        <w:t>des</w:t>
      </w:r>
      <w:r w:rsidR="00DB1635" w:rsidRPr="00B004EE">
        <w:rPr>
          <w:rFonts w:ascii="Tahoma" w:hAnsi="Tahoma" w:cs="Tahoma"/>
          <w:spacing w:val="-23"/>
          <w:sz w:val="20"/>
          <w:szCs w:val="20"/>
        </w:rPr>
        <w:t xml:space="preserve"> </w:t>
      </w:r>
      <w:r w:rsidRPr="00B004EE">
        <w:rPr>
          <w:rFonts w:ascii="Tahoma" w:hAnsi="Tahoma" w:cs="Tahoma"/>
          <w:sz w:val="20"/>
          <w:szCs w:val="20"/>
        </w:rPr>
        <w:t>autres</w:t>
      </w:r>
      <w:r w:rsidR="00DB1635" w:rsidRPr="00B004EE">
        <w:rPr>
          <w:rFonts w:ascii="Tahoma" w:hAnsi="Tahoma" w:cs="Tahoma"/>
          <w:spacing w:val="-23"/>
          <w:sz w:val="20"/>
          <w:szCs w:val="20"/>
        </w:rPr>
        <w:t xml:space="preserve"> </w:t>
      </w:r>
      <w:r w:rsidRPr="00B004EE">
        <w:rPr>
          <w:rFonts w:ascii="Tahoma" w:hAnsi="Tahoma" w:cs="Tahoma"/>
          <w:sz w:val="20"/>
          <w:szCs w:val="20"/>
        </w:rPr>
        <w:t>ministres</w:t>
      </w:r>
      <w:r w:rsidR="00DB1635" w:rsidRPr="00B004EE">
        <w:rPr>
          <w:rFonts w:ascii="Tahoma" w:hAnsi="Tahoma" w:cs="Tahoma"/>
          <w:spacing w:val="-23"/>
          <w:sz w:val="20"/>
          <w:szCs w:val="20"/>
        </w:rPr>
        <w:t xml:space="preserve"> </w:t>
      </w:r>
      <w:r w:rsidRPr="00B004EE">
        <w:rPr>
          <w:rFonts w:ascii="Tahoma" w:hAnsi="Tahoma" w:cs="Tahoma"/>
          <w:sz w:val="20"/>
          <w:szCs w:val="20"/>
        </w:rPr>
        <w:t>concernés,</w:t>
      </w:r>
      <w:r w:rsidR="00DB1635" w:rsidRPr="00B004EE">
        <w:rPr>
          <w:rFonts w:ascii="Tahoma" w:hAnsi="Tahoma" w:cs="Tahoma"/>
          <w:spacing w:val="-24"/>
          <w:sz w:val="20"/>
          <w:szCs w:val="20"/>
        </w:rPr>
        <w:t xml:space="preserve"> </w:t>
      </w:r>
      <w:r w:rsidRPr="00B004EE">
        <w:rPr>
          <w:rFonts w:ascii="Tahoma" w:hAnsi="Tahoma" w:cs="Tahoma"/>
          <w:sz w:val="20"/>
          <w:szCs w:val="20"/>
        </w:rPr>
        <w:t>seront</w:t>
      </w:r>
      <w:r w:rsidR="00DB1635" w:rsidRPr="00B004EE">
        <w:rPr>
          <w:rFonts w:ascii="Tahoma" w:hAnsi="Tahoma" w:cs="Tahoma"/>
          <w:spacing w:val="-24"/>
          <w:sz w:val="20"/>
          <w:szCs w:val="20"/>
        </w:rPr>
        <w:t xml:space="preserve"> </w:t>
      </w:r>
      <w:r w:rsidRPr="00B004EE">
        <w:rPr>
          <w:rFonts w:ascii="Tahoma" w:hAnsi="Tahoma" w:cs="Tahoma"/>
          <w:sz w:val="20"/>
          <w:szCs w:val="20"/>
        </w:rPr>
        <w:t>adoptés,</w:t>
      </w:r>
      <w:r w:rsidR="00DB1635" w:rsidRPr="00B004EE">
        <w:rPr>
          <w:rFonts w:ascii="Tahoma" w:hAnsi="Tahoma" w:cs="Tahoma"/>
          <w:spacing w:val="-24"/>
          <w:sz w:val="20"/>
          <w:szCs w:val="20"/>
        </w:rPr>
        <w:t xml:space="preserve"> </w:t>
      </w:r>
      <w:r w:rsidRPr="00B004EE">
        <w:rPr>
          <w:rFonts w:ascii="Tahoma" w:hAnsi="Tahoma" w:cs="Tahoma"/>
          <w:sz w:val="20"/>
          <w:szCs w:val="20"/>
        </w:rPr>
        <w:t>en</w:t>
      </w:r>
      <w:r w:rsidR="00DB1635" w:rsidRPr="00B004EE">
        <w:rPr>
          <w:rFonts w:ascii="Tahoma" w:hAnsi="Tahoma" w:cs="Tahoma"/>
          <w:spacing w:val="-24"/>
          <w:sz w:val="20"/>
          <w:szCs w:val="20"/>
        </w:rPr>
        <w:t xml:space="preserve"> </w:t>
      </w:r>
      <w:r w:rsidRPr="00B004EE">
        <w:rPr>
          <w:rFonts w:ascii="Tahoma" w:hAnsi="Tahoma" w:cs="Tahoma"/>
          <w:sz w:val="20"/>
          <w:szCs w:val="20"/>
        </w:rPr>
        <w:t>tant</w:t>
      </w:r>
      <w:r w:rsidR="00DB1635" w:rsidRPr="00B004EE">
        <w:rPr>
          <w:rFonts w:ascii="Tahoma" w:hAnsi="Tahoma" w:cs="Tahoma"/>
          <w:spacing w:val="-24"/>
          <w:sz w:val="20"/>
          <w:szCs w:val="20"/>
        </w:rPr>
        <w:t xml:space="preserve"> </w:t>
      </w:r>
      <w:r w:rsidRPr="00B004EE">
        <w:rPr>
          <w:rFonts w:ascii="Tahoma" w:hAnsi="Tahoma" w:cs="Tahoma"/>
          <w:sz w:val="20"/>
          <w:szCs w:val="20"/>
        </w:rPr>
        <w:t>que</w:t>
      </w:r>
      <w:r w:rsidR="00DB1635" w:rsidRPr="00B004EE">
        <w:rPr>
          <w:rFonts w:ascii="Tahoma" w:hAnsi="Tahoma" w:cs="Tahoma"/>
          <w:spacing w:val="-24"/>
          <w:sz w:val="20"/>
          <w:szCs w:val="20"/>
        </w:rPr>
        <w:t xml:space="preserve"> </w:t>
      </w:r>
      <w:r w:rsidRPr="00B004EE">
        <w:rPr>
          <w:rFonts w:ascii="Tahoma" w:hAnsi="Tahoma" w:cs="Tahoma"/>
          <w:sz w:val="20"/>
          <w:szCs w:val="20"/>
        </w:rPr>
        <w:t>de</w:t>
      </w:r>
      <w:r w:rsidR="00DB1635" w:rsidRPr="00B004EE">
        <w:rPr>
          <w:rFonts w:ascii="Tahoma" w:hAnsi="Tahoma" w:cs="Tahoma"/>
          <w:spacing w:val="-24"/>
          <w:sz w:val="20"/>
          <w:szCs w:val="20"/>
        </w:rPr>
        <w:t xml:space="preserve"> </w:t>
      </w:r>
      <w:r w:rsidRPr="00B004EE">
        <w:rPr>
          <w:rFonts w:ascii="Tahoma" w:hAnsi="Tahoma" w:cs="Tahoma"/>
          <w:sz w:val="20"/>
          <w:szCs w:val="20"/>
        </w:rPr>
        <w:t>besoin.</w:t>
      </w:r>
      <w:r w:rsidR="00DB1635" w:rsidRPr="00B004EE">
        <w:rPr>
          <w:rFonts w:ascii="Tahoma" w:hAnsi="Tahoma" w:cs="Tahoma"/>
          <w:spacing w:val="-24"/>
          <w:sz w:val="20"/>
          <w:szCs w:val="20"/>
        </w:rPr>
        <w:t xml:space="preserve"> </w:t>
      </w:r>
      <w:r w:rsidRPr="00B004EE">
        <w:rPr>
          <w:rFonts w:ascii="Tahoma" w:hAnsi="Tahoma" w:cs="Tahoma"/>
          <w:sz w:val="20"/>
          <w:szCs w:val="20"/>
        </w:rPr>
        <w:t>Ces</w:t>
      </w:r>
      <w:r w:rsidR="00DB1635" w:rsidRPr="00B004EE">
        <w:rPr>
          <w:rFonts w:ascii="Tahoma" w:hAnsi="Tahoma" w:cs="Tahoma"/>
          <w:spacing w:val="-1"/>
          <w:w w:val="101"/>
          <w:sz w:val="20"/>
          <w:szCs w:val="20"/>
        </w:rPr>
        <w:t xml:space="preserve"> </w:t>
      </w:r>
      <w:r w:rsidRPr="00B004EE">
        <w:rPr>
          <w:rFonts w:ascii="Tahoma" w:hAnsi="Tahoma" w:cs="Tahoma"/>
          <w:w w:val="95"/>
          <w:sz w:val="20"/>
          <w:szCs w:val="20"/>
        </w:rPr>
        <w:t>décrets</w:t>
      </w:r>
      <w:r w:rsidR="00DB1635" w:rsidRPr="00B004EE">
        <w:rPr>
          <w:rFonts w:ascii="Tahoma" w:hAnsi="Tahoma" w:cs="Tahoma"/>
          <w:w w:val="95"/>
          <w:sz w:val="20"/>
          <w:szCs w:val="20"/>
        </w:rPr>
        <w:t xml:space="preserve"> </w:t>
      </w:r>
      <w:r w:rsidRPr="00B004EE">
        <w:rPr>
          <w:rFonts w:ascii="Tahoma" w:hAnsi="Tahoma" w:cs="Tahoma"/>
          <w:w w:val="95"/>
          <w:sz w:val="20"/>
          <w:szCs w:val="20"/>
        </w:rPr>
        <w:t>porteront</w:t>
      </w:r>
      <w:r w:rsidR="00DB1635" w:rsidRPr="00B004EE">
        <w:rPr>
          <w:rFonts w:ascii="Tahoma" w:hAnsi="Tahoma" w:cs="Tahoma"/>
          <w:w w:val="95"/>
          <w:sz w:val="20"/>
          <w:szCs w:val="20"/>
        </w:rPr>
        <w:t xml:space="preserve"> </w:t>
      </w:r>
      <w:r w:rsidRPr="00B004EE">
        <w:rPr>
          <w:rFonts w:ascii="Tahoma" w:hAnsi="Tahoma" w:cs="Tahoma"/>
          <w:w w:val="95"/>
          <w:sz w:val="20"/>
          <w:szCs w:val="20"/>
        </w:rPr>
        <w:t>notamment</w:t>
      </w:r>
      <w:r w:rsidR="00DB1635" w:rsidRPr="00B004EE">
        <w:rPr>
          <w:rFonts w:ascii="Tahoma" w:hAnsi="Tahoma" w:cs="Tahoma"/>
          <w:w w:val="95"/>
          <w:sz w:val="20"/>
          <w:szCs w:val="20"/>
        </w:rPr>
        <w:t xml:space="preserve"> </w:t>
      </w:r>
      <w:r w:rsidRPr="00B004EE">
        <w:rPr>
          <w:rFonts w:ascii="Tahoma" w:hAnsi="Tahoma" w:cs="Tahoma"/>
          <w:w w:val="95"/>
          <w:sz w:val="20"/>
          <w:szCs w:val="20"/>
        </w:rPr>
        <w:t>sur</w:t>
      </w:r>
      <w:r w:rsidR="00DB1635" w:rsidRPr="00B004EE">
        <w:rPr>
          <w:rFonts w:ascii="Tahoma" w:hAnsi="Tahoma" w:cs="Tahoma"/>
          <w:spacing w:val="12"/>
          <w:w w:val="95"/>
          <w:sz w:val="20"/>
          <w:szCs w:val="20"/>
        </w:rPr>
        <w:t xml:space="preserve"> </w:t>
      </w:r>
      <w:r w:rsidRPr="00B004EE">
        <w:rPr>
          <w:rFonts w:ascii="Tahoma" w:hAnsi="Tahoma" w:cs="Tahoma"/>
          <w:w w:val="95"/>
          <w:sz w:val="20"/>
          <w:szCs w:val="20"/>
        </w:rPr>
        <w:t>:</w:t>
      </w:r>
    </w:p>
    <w:p w14:paraId="062BF324" w14:textId="079A25F7" w:rsidR="001E7C3C" w:rsidRPr="00B004EE" w:rsidRDefault="001E7C3C" w:rsidP="00420DDA">
      <w:pPr>
        <w:pStyle w:val="Paragraphedeliste"/>
        <w:widowControl w:val="0"/>
        <w:numPr>
          <w:ilvl w:val="0"/>
          <w:numId w:val="126"/>
        </w:numPr>
        <w:tabs>
          <w:tab w:val="left" w:pos="1154"/>
        </w:tabs>
        <w:ind w:right="160"/>
        <w:jc w:val="both"/>
        <w:rPr>
          <w:rFonts w:ascii="Tahoma" w:eastAsia="American Typewriter" w:hAnsi="Tahoma" w:cs="Tahoma"/>
          <w:sz w:val="20"/>
          <w:szCs w:val="20"/>
        </w:rPr>
      </w:pPr>
      <w:r w:rsidRPr="00B004EE">
        <w:rPr>
          <w:rFonts w:ascii="Tahoma" w:hAnsi="Tahoma" w:cs="Tahoma"/>
          <w:sz w:val="20"/>
          <w:szCs w:val="20"/>
        </w:rPr>
        <w:t>Les</w:t>
      </w:r>
      <w:r w:rsidR="00DB1635" w:rsidRPr="00B004EE">
        <w:rPr>
          <w:rFonts w:ascii="Tahoma" w:hAnsi="Tahoma" w:cs="Tahoma"/>
          <w:spacing w:val="31"/>
          <w:sz w:val="20"/>
          <w:szCs w:val="20"/>
        </w:rPr>
        <w:t xml:space="preserve"> </w:t>
      </w:r>
      <w:r w:rsidRPr="00B004EE">
        <w:rPr>
          <w:rFonts w:ascii="Tahoma" w:hAnsi="Tahoma" w:cs="Tahoma"/>
          <w:sz w:val="20"/>
          <w:szCs w:val="20"/>
        </w:rPr>
        <w:t>mesures</w:t>
      </w:r>
      <w:r w:rsidR="00DB1635" w:rsidRPr="00B004EE">
        <w:rPr>
          <w:rFonts w:ascii="Tahoma" w:hAnsi="Tahoma" w:cs="Tahoma"/>
          <w:spacing w:val="31"/>
          <w:sz w:val="20"/>
          <w:szCs w:val="20"/>
        </w:rPr>
        <w:t xml:space="preserve"> </w:t>
      </w:r>
      <w:r w:rsidRPr="00B004EE">
        <w:rPr>
          <w:rFonts w:ascii="Tahoma" w:hAnsi="Tahoma" w:cs="Tahoma"/>
          <w:sz w:val="20"/>
          <w:szCs w:val="20"/>
        </w:rPr>
        <w:t>applicables</w:t>
      </w:r>
      <w:r w:rsidR="00DB1635" w:rsidRPr="00B004EE">
        <w:rPr>
          <w:rFonts w:ascii="Tahoma" w:hAnsi="Tahoma" w:cs="Tahoma"/>
          <w:spacing w:val="31"/>
          <w:sz w:val="20"/>
          <w:szCs w:val="20"/>
        </w:rPr>
        <w:t xml:space="preserve"> </w:t>
      </w:r>
      <w:r w:rsidRPr="00B004EE">
        <w:rPr>
          <w:rFonts w:ascii="Tahoma" w:hAnsi="Tahoma" w:cs="Tahoma"/>
          <w:sz w:val="20"/>
          <w:szCs w:val="20"/>
        </w:rPr>
        <w:t>aux</w:t>
      </w:r>
      <w:r w:rsidR="00DB1635" w:rsidRPr="00B004EE">
        <w:rPr>
          <w:rFonts w:ascii="Tahoma" w:hAnsi="Tahoma" w:cs="Tahoma"/>
          <w:spacing w:val="35"/>
          <w:sz w:val="20"/>
          <w:szCs w:val="20"/>
        </w:rPr>
        <w:t xml:space="preserve"> </w:t>
      </w:r>
      <w:r w:rsidRPr="00B004EE">
        <w:rPr>
          <w:rFonts w:ascii="Tahoma" w:hAnsi="Tahoma" w:cs="Tahoma"/>
          <w:sz w:val="20"/>
          <w:szCs w:val="20"/>
        </w:rPr>
        <w:t>régimes</w:t>
      </w:r>
      <w:r w:rsidR="00DB1635" w:rsidRPr="00B004EE">
        <w:rPr>
          <w:rFonts w:ascii="Tahoma" w:hAnsi="Tahoma" w:cs="Tahoma"/>
          <w:spacing w:val="33"/>
          <w:sz w:val="20"/>
          <w:szCs w:val="20"/>
        </w:rPr>
        <w:t xml:space="preserve"> </w:t>
      </w:r>
      <w:r w:rsidRPr="00B004EE">
        <w:rPr>
          <w:rFonts w:ascii="Tahoma" w:hAnsi="Tahoma" w:cs="Tahoma"/>
          <w:sz w:val="20"/>
          <w:szCs w:val="20"/>
        </w:rPr>
        <w:t>nationaux</w:t>
      </w:r>
      <w:r w:rsidR="00DB1635" w:rsidRPr="00B004EE">
        <w:rPr>
          <w:rFonts w:ascii="Tahoma" w:hAnsi="Tahoma" w:cs="Tahoma"/>
          <w:spacing w:val="32"/>
          <w:sz w:val="20"/>
          <w:szCs w:val="20"/>
        </w:rPr>
        <w:t xml:space="preserve"> </w:t>
      </w:r>
      <w:r w:rsidRPr="00B004EE">
        <w:rPr>
          <w:rFonts w:ascii="Tahoma" w:hAnsi="Tahoma" w:cs="Tahoma"/>
          <w:sz w:val="20"/>
          <w:szCs w:val="20"/>
        </w:rPr>
        <w:t>et</w:t>
      </w:r>
      <w:r w:rsidR="00DB1635" w:rsidRPr="00B004EE">
        <w:rPr>
          <w:rFonts w:ascii="Tahoma" w:hAnsi="Tahoma" w:cs="Tahoma"/>
          <w:spacing w:val="32"/>
          <w:sz w:val="20"/>
          <w:szCs w:val="20"/>
        </w:rPr>
        <w:t xml:space="preserve"> </w:t>
      </w:r>
      <w:r w:rsidRPr="00B004EE">
        <w:rPr>
          <w:rFonts w:ascii="Tahoma" w:hAnsi="Tahoma" w:cs="Tahoma"/>
          <w:sz w:val="20"/>
          <w:szCs w:val="20"/>
        </w:rPr>
        <w:t>étrangers</w:t>
      </w:r>
      <w:r w:rsidR="00DB1635" w:rsidRPr="00B004EE">
        <w:rPr>
          <w:rFonts w:ascii="Tahoma" w:hAnsi="Tahoma" w:cs="Tahoma"/>
          <w:spacing w:val="29"/>
          <w:sz w:val="20"/>
          <w:szCs w:val="20"/>
        </w:rPr>
        <w:t xml:space="preserve"> </w:t>
      </w:r>
      <w:r w:rsidRPr="00B004EE">
        <w:rPr>
          <w:rFonts w:ascii="Tahoma" w:hAnsi="Tahoma" w:cs="Tahoma"/>
          <w:sz w:val="20"/>
          <w:szCs w:val="20"/>
        </w:rPr>
        <w:t>dans</w:t>
      </w:r>
      <w:r w:rsidR="00DB1635" w:rsidRPr="00B004EE">
        <w:rPr>
          <w:rFonts w:ascii="Tahoma" w:hAnsi="Tahoma" w:cs="Tahoma"/>
          <w:spacing w:val="30"/>
          <w:sz w:val="20"/>
          <w:szCs w:val="20"/>
        </w:rPr>
        <w:t xml:space="preserve"> </w:t>
      </w:r>
      <w:r w:rsidRPr="00B004EE">
        <w:rPr>
          <w:rFonts w:ascii="Tahoma" w:hAnsi="Tahoma" w:cs="Tahoma"/>
          <w:sz w:val="20"/>
          <w:szCs w:val="20"/>
        </w:rPr>
        <w:t>les</w:t>
      </w:r>
      <w:r w:rsidR="00DB1635" w:rsidRPr="00B004EE">
        <w:rPr>
          <w:rFonts w:ascii="Tahoma" w:hAnsi="Tahoma" w:cs="Tahoma"/>
          <w:w w:val="94"/>
          <w:sz w:val="20"/>
          <w:szCs w:val="20"/>
        </w:rPr>
        <w:t xml:space="preserve"> </w:t>
      </w:r>
      <w:r w:rsidRPr="00B004EE">
        <w:rPr>
          <w:rFonts w:ascii="Tahoma" w:hAnsi="Tahoma" w:cs="Tahoma"/>
          <w:sz w:val="20"/>
          <w:szCs w:val="20"/>
        </w:rPr>
        <w:t>eaux</w:t>
      </w:r>
      <w:r w:rsidR="00DB1635" w:rsidRPr="00B004EE">
        <w:rPr>
          <w:rFonts w:ascii="Tahoma" w:hAnsi="Tahoma" w:cs="Tahoma"/>
          <w:sz w:val="20"/>
          <w:szCs w:val="20"/>
        </w:rPr>
        <w:t xml:space="preserve"> </w:t>
      </w:r>
      <w:r w:rsidRPr="00B004EE">
        <w:rPr>
          <w:rFonts w:ascii="Tahoma" w:hAnsi="Tahoma" w:cs="Tahoma"/>
          <w:sz w:val="20"/>
          <w:szCs w:val="20"/>
        </w:rPr>
        <w:t>sous</w:t>
      </w:r>
      <w:r w:rsidR="00DB1635" w:rsidRPr="00B004EE">
        <w:rPr>
          <w:rFonts w:ascii="Tahoma" w:hAnsi="Tahoma" w:cs="Tahoma"/>
          <w:sz w:val="20"/>
          <w:szCs w:val="20"/>
        </w:rPr>
        <w:t xml:space="preserve"> </w:t>
      </w:r>
      <w:r w:rsidRPr="00B004EE">
        <w:rPr>
          <w:rFonts w:ascii="Tahoma" w:hAnsi="Tahoma" w:cs="Tahoma"/>
          <w:sz w:val="20"/>
          <w:szCs w:val="20"/>
        </w:rPr>
        <w:t>juridiction</w:t>
      </w:r>
      <w:r w:rsidR="00DB1635" w:rsidRPr="00B004EE">
        <w:rPr>
          <w:rFonts w:ascii="Tahoma" w:hAnsi="Tahoma" w:cs="Tahoma"/>
          <w:sz w:val="20"/>
          <w:szCs w:val="20"/>
        </w:rPr>
        <w:t xml:space="preserve"> </w:t>
      </w:r>
      <w:r w:rsidRPr="00B004EE">
        <w:rPr>
          <w:rFonts w:ascii="Tahoma" w:hAnsi="Tahoma" w:cs="Tahoma"/>
          <w:sz w:val="20"/>
          <w:szCs w:val="20"/>
        </w:rPr>
        <w:t>mauritanienne</w:t>
      </w:r>
      <w:r w:rsidR="00DB1635" w:rsidRPr="00B004EE">
        <w:rPr>
          <w:rFonts w:ascii="Tahoma" w:hAnsi="Tahoma" w:cs="Tahoma"/>
          <w:spacing w:val="14"/>
          <w:sz w:val="20"/>
          <w:szCs w:val="20"/>
        </w:rPr>
        <w:t xml:space="preserve"> </w:t>
      </w:r>
      <w:r w:rsidRPr="00B004EE">
        <w:rPr>
          <w:rFonts w:ascii="Tahoma" w:hAnsi="Tahoma" w:cs="Tahoma"/>
          <w:sz w:val="20"/>
          <w:szCs w:val="20"/>
        </w:rPr>
        <w:t>;</w:t>
      </w:r>
    </w:p>
    <w:p w14:paraId="5F1B72F5" w14:textId="1B83B324" w:rsidR="001E7C3C" w:rsidRPr="00B004EE" w:rsidRDefault="001E7C3C" w:rsidP="00420DDA">
      <w:pPr>
        <w:pStyle w:val="Paragraphedeliste"/>
        <w:widowControl w:val="0"/>
        <w:numPr>
          <w:ilvl w:val="0"/>
          <w:numId w:val="126"/>
        </w:numPr>
        <w:tabs>
          <w:tab w:val="left" w:pos="1154"/>
        </w:tabs>
        <w:ind w:right="160"/>
        <w:jc w:val="both"/>
        <w:rPr>
          <w:rFonts w:ascii="Tahoma" w:eastAsia="American Typewriter" w:hAnsi="Tahoma" w:cs="Tahoma"/>
          <w:sz w:val="20"/>
          <w:szCs w:val="20"/>
        </w:rPr>
      </w:pPr>
      <w:r w:rsidRPr="00B004EE">
        <w:rPr>
          <w:rFonts w:ascii="Tahoma" w:hAnsi="Tahoma" w:cs="Tahoma"/>
          <w:sz w:val="20"/>
          <w:szCs w:val="20"/>
        </w:rPr>
        <w:t>Les</w:t>
      </w:r>
      <w:r w:rsidR="00DB1635" w:rsidRPr="00B004EE">
        <w:rPr>
          <w:rFonts w:ascii="Tahoma" w:hAnsi="Tahoma" w:cs="Tahoma"/>
          <w:spacing w:val="-38"/>
          <w:sz w:val="20"/>
          <w:szCs w:val="20"/>
        </w:rPr>
        <w:t xml:space="preserve"> </w:t>
      </w:r>
      <w:r w:rsidRPr="00B004EE">
        <w:rPr>
          <w:rFonts w:ascii="Tahoma" w:hAnsi="Tahoma" w:cs="Tahoma"/>
          <w:sz w:val="20"/>
          <w:szCs w:val="20"/>
        </w:rPr>
        <w:t>conditions</w:t>
      </w:r>
      <w:r w:rsidR="00DB1635" w:rsidRPr="00B004EE">
        <w:rPr>
          <w:rFonts w:ascii="Tahoma" w:hAnsi="Tahoma" w:cs="Tahoma"/>
          <w:spacing w:val="-38"/>
          <w:sz w:val="20"/>
          <w:szCs w:val="20"/>
        </w:rPr>
        <w:t xml:space="preserve"> </w:t>
      </w:r>
      <w:r w:rsidRPr="00B004EE">
        <w:rPr>
          <w:rFonts w:ascii="Tahoma" w:hAnsi="Tahoma" w:cs="Tahoma"/>
          <w:sz w:val="20"/>
          <w:szCs w:val="20"/>
        </w:rPr>
        <w:t>d'allocation,</w:t>
      </w:r>
      <w:r w:rsidR="00DB1635" w:rsidRPr="00B004EE">
        <w:rPr>
          <w:rFonts w:ascii="Tahoma" w:hAnsi="Tahoma" w:cs="Tahoma"/>
          <w:spacing w:val="-38"/>
          <w:sz w:val="20"/>
          <w:szCs w:val="20"/>
        </w:rPr>
        <w:t xml:space="preserve"> </w:t>
      </w:r>
      <w:r w:rsidRPr="00B004EE">
        <w:rPr>
          <w:rFonts w:ascii="Tahoma" w:hAnsi="Tahoma" w:cs="Tahoma"/>
          <w:sz w:val="20"/>
          <w:szCs w:val="20"/>
        </w:rPr>
        <w:t>de</w:t>
      </w:r>
      <w:r w:rsidR="00DB1635" w:rsidRPr="00B004EE">
        <w:rPr>
          <w:rFonts w:ascii="Tahoma" w:hAnsi="Tahoma" w:cs="Tahoma"/>
          <w:spacing w:val="-38"/>
          <w:sz w:val="20"/>
          <w:szCs w:val="20"/>
        </w:rPr>
        <w:t xml:space="preserve"> </w:t>
      </w:r>
      <w:r w:rsidRPr="00B004EE">
        <w:rPr>
          <w:rFonts w:ascii="Tahoma" w:hAnsi="Tahoma" w:cs="Tahoma"/>
          <w:sz w:val="20"/>
          <w:szCs w:val="20"/>
        </w:rPr>
        <w:t>renouvellement,</w:t>
      </w:r>
      <w:r w:rsidR="00DB1635" w:rsidRPr="00B004EE">
        <w:rPr>
          <w:rFonts w:ascii="Tahoma" w:hAnsi="Tahoma" w:cs="Tahoma"/>
          <w:spacing w:val="-38"/>
          <w:sz w:val="20"/>
          <w:szCs w:val="20"/>
        </w:rPr>
        <w:t xml:space="preserve"> </w:t>
      </w:r>
      <w:r w:rsidRPr="00B004EE">
        <w:rPr>
          <w:rFonts w:ascii="Tahoma" w:hAnsi="Tahoma" w:cs="Tahoma"/>
          <w:sz w:val="20"/>
          <w:szCs w:val="20"/>
        </w:rPr>
        <w:t>de</w:t>
      </w:r>
      <w:r w:rsidR="00DB1635" w:rsidRPr="00B004EE">
        <w:rPr>
          <w:rFonts w:ascii="Tahoma" w:hAnsi="Tahoma" w:cs="Tahoma"/>
          <w:spacing w:val="-38"/>
          <w:sz w:val="20"/>
          <w:szCs w:val="20"/>
        </w:rPr>
        <w:t xml:space="preserve"> </w:t>
      </w:r>
      <w:r w:rsidRPr="00B004EE">
        <w:rPr>
          <w:rFonts w:ascii="Tahoma" w:hAnsi="Tahoma" w:cs="Tahoma"/>
          <w:sz w:val="20"/>
          <w:szCs w:val="20"/>
        </w:rPr>
        <w:t>suspension,</w:t>
      </w:r>
      <w:r w:rsidR="00DB1635" w:rsidRPr="00B004EE">
        <w:rPr>
          <w:rFonts w:ascii="Tahoma" w:hAnsi="Tahoma" w:cs="Tahoma"/>
          <w:spacing w:val="-38"/>
          <w:sz w:val="20"/>
          <w:szCs w:val="20"/>
        </w:rPr>
        <w:t xml:space="preserve"> </w:t>
      </w:r>
      <w:r w:rsidRPr="00B004EE">
        <w:rPr>
          <w:rFonts w:ascii="Tahoma" w:hAnsi="Tahoma" w:cs="Tahoma"/>
          <w:sz w:val="20"/>
          <w:szCs w:val="20"/>
        </w:rPr>
        <w:t>de</w:t>
      </w:r>
      <w:r w:rsidR="00DB1635" w:rsidRPr="00B004EE">
        <w:rPr>
          <w:rFonts w:ascii="Tahoma" w:hAnsi="Tahoma" w:cs="Tahoma"/>
          <w:spacing w:val="-38"/>
          <w:sz w:val="20"/>
          <w:szCs w:val="20"/>
        </w:rPr>
        <w:t xml:space="preserve"> </w:t>
      </w:r>
      <w:r w:rsidRPr="00B004EE">
        <w:rPr>
          <w:rFonts w:ascii="Tahoma" w:hAnsi="Tahoma" w:cs="Tahoma"/>
          <w:sz w:val="20"/>
          <w:szCs w:val="20"/>
        </w:rPr>
        <w:t>transfert</w:t>
      </w:r>
      <w:r w:rsidR="00DB1635" w:rsidRPr="00B004EE">
        <w:rPr>
          <w:rFonts w:ascii="Tahoma" w:hAnsi="Tahoma" w:cs="Tahoma"/>
          <w:w w:val="97"/>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retrait</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droit</w:t>
      </w:r>
      <w:r w:rsidR="00DB1635" w:rsidRPr="00B004EE">
        <w:rPr>
          <w:rFonts w:ascii="Tahoma" w:hAnsi="Tahoma" w:cs="Tahoma"/>
          <w:spacing w:val="22"/>
          <w:sz w:val="20"/>
          <w:szCs w:val="20"/>
        </w:rPr>
        <w:t xml:space="preserve"> </w:t>
      </w:r>
      <w:r w:rsidR="00852255" w:rsidRPr="00B004EE">
        <w:rPr>
          <w:rFonts w:ascii="Tahoma" w:hAnsi="Tahoma" w:cs="Tahoma"/>
          <w:sz w:val="20"/>
          <w:szCs w:val="20"/>
        </w:rPr>
        <w:t>d’usage ;</w:t>
      </w:r>
    </w:p>
    <w:p w14:paraId="3B161AC3" w14:textId="755E99E8" w:rsidR="001E7C3C" w:rsidRPr="00B004EE" w:rsidRDefault="001E7C3C" w:rsidP="00420DDA">
      <w:pPr>
        <w:pStyle w:val="Paragraphedeliste"/>
        <w:widowControl w:val="0"/>
        <w:numPr>
          <w:ilvl w:val="0"/>
          <w:numId w:val="126"/>
        </w:numPr>
        <w:tabs>
          <w:tab w:val="left" w:pos="1154"/>
        </w:tabs>
        <w:ind w:right="161"/>
        <w:jc w:val="both"/>
        <w:rPr>
          <w:rFonts w:ascii="Tahoma" w:eastAsia="American Typewriter" w:hAnsi="Tahoma" w:cs="Tahoma"/>
          <w:sz w:val="20"/>
          <w:szCs w:val="20"/>
        </w:rPr>
      </w:pP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mesures</w:t>
      </w:r>
      <w:r w:rsidR="00DB1635" w:rsidRPr="00B004EE">
        <w:rPr>
          <w:rFonts w:ascii="Tahoma" w:hAnsi="Tahoma" w:cs="Tahoma"/>
          <w:sz w:val="20"/>
          <w:szCs w:val="20"/>
        </w:rPr>
        <w:t xml:space="preserve"> </w:t>
      </w:r>
      <w:r w:rsidRPr="00B004EE">
        <w:rPr>
          <w:rFonts w:ascii="Tahoma" w:hAnsi="Tahoma" w:cs="Tahoma"/>
          <w:sz w:val="20"/>
          <w:szCs w:val="20"/>
        </w:rPr>
        <w:t>spéciales</w:t>
      </w:r>
      <w:r w:rsidR="00DB1635" w:rsidRPr="00B004EE">
        <w:rPr>
          <w:rFonts w:ascii="Tahoma" w:hAnsi="Tahoma" w:cs="Tahoma"/>
          <w:sz w:val="20"/>
          <w:szCs w:val="20"/>
        </w:rPr>
        <w:t xml:space="preserve"> </w:t>
      </w:r>
      <w:r w:rsidRPr="00B004EE">
        <w:rPr>
          <w:rFonts w:ascii="Tahoma" w:hAnsi="Tahoma" w:cs="Tahoma"/>
          <w:sz w:val="20"/>
          <w:szCs w:val="20"/>
        </w:rPr>
        <w:t>applicables</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stationnement</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l'activité</w:t>
      </w:r>
      <w:r w:rsidR="00DB1635" w:rsidRPr="00B004EE">
        <w:rPr>
          <w:rFonts w:ascii="Tahoma" w:hAnsi="Tahoma" w:cs="Tahoma"/>
          <w:spacing w:val="11"/>
          <w:sz w:val="20"/>
          <w:szCs w:val="20"/>
        </w:rPr>
        <w:t xml:space="preserve"> </w:t>
      </w:r>
      <w:r w:rsidRPr="00B004EE">
        <w:rPr>
          <w:rFonts w:ascii="Tahoma" w:hAnsi="Tahoma" w:cs="Tahoma"/>
          <w:sz w:val="20"/>
          <w:szCs w:val="20"/>
        </w:rPr>
        <w:t>dans</w:t>
      </w:r>
      <w:r w:rsidR="00DB1635" w:rsidRPr="00B004EE">
        <w:rPr>
          <w:rFonts w:ascii="Tahoma" w:hAnsi="Tahoma" w:cs="Tahoma"/>
          <w:w w:val="95"/>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eaux</w:t>
      </w:r>
      <w:r w:rsidR="00DB1635" w:rsidRPr="00B004EE">
        <w:rPr>
          <w:rFonts w:ascii="Tahoma" w:hAnsi="Tahoma" w:cs="Tahoma"/>
          <w:sz w:val="20"/>
          <w:szCs w:val="20"/>
        </w:rPr>
        <w:t xml:space="preserve"> </w:t>
      </w:r>
      <w:r w:rsidRPr="00B004EE">
        <w:rPr>
          <w:rFonts w:ascii="Tahoma" w:hAnsi="Tahoma" w:cs="Tahoma"/>
          <w:sz w:val="20"/>
          <w:szCs w:val="20"/>
        </w:rPr>
        <w:t>sous</w:t>
      </w:r>
      <w:r w:rsidR="00DB1635" w:rsidRPr="00B004EE">
        <w:rPr>
          <w:rFonts w:ascii="Tahoma" w:hAnsi="Tahoma" w:cs="Tahoma"/>
          <w:sz w:val="20"/>
          <w:szCs w:val="20"/>
        </w:rPr>
        <w:t xml:space="preserve"> </w:t>
      </w:r>
      <w:r w:rsidRPr="00B004EE">
        <w:rPr>
          <w:rFonts w:ascii="Tahoma" w:hAnsi="Tahoma" w:cs="Tahoma"/>
          <w:sz w:val="20"/>
          <w:szCs w:val="20"/>
        </w:rPr>
        <w:t>juridiction</w:t>
      </w:r>
      <w:r w:rsidR="00DB1635" w:rsidRPr="00B004EE">
        <w:rPr>
          <w:rFonts w:ascii="Tahoma" w:hAnsi="Tahoma" w:cs="Tahoma"/>
          <w:sz w:val="20"/>
          <w:szCs w:val="20"/>
        </w:rPr>
        <w:t xml:space="preserve"> </w:t>
      </w:r>
      <w:r w:rsidRPr="00B004EE">
        <w:rPr>
          <w:rFonts w:ascii="Tahoma" w:hAnsi="Tahoma" w:cs="Tahoma"/>
          <w:sz w:val="20"/>
          <w:szCs w:val="20"/>
        </w:rPr>
        <w:t>mauritanienne,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navires</w:t>
      </w:r>
      <w:r w:rsidR="00DB1635" w:rsidRPr="00B004EE">
        <w:rPr>
          <w:rFonts w:ascii="Tahoma" w:hAnsi="Tahoma" w:cs="Tahoma"/>
          <w:sz w:val="20"/>
          <w:szCs w:val="20"/>
        </w:rPr>
        <w:t xml:space="preserve"> </w:t>
      </w:r>
      <w:r w:rsidRPr="00B004EE">
        <w:rPr>
          <w:rFonts w:ascii="Tahoma" w:hAnsi="Tahoma" w:cs="Tahoma"/>
          <w:sz w:val="20"/>
          <w:szCs w:val="20"/>
        </w:rPr>
        <w:t>désarmés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pacing w:val="15"/>
          <w:sz w:val="20"/>
          <w:szCs w:val="20"/>
        </w:rPr>
        <w:t xml:space="preserve"> </w:t>
      </w:r>
      <w:r w:rsidRPr="00B004EE">
        <w:rPr>
          <w:rFonts w:ascii="Tahoma" w:hAnsi="Tahoma" w:cs="Tahoma"/>
          <w:sz w:val="20"/>
          <w:szCs w:val="20"/>
        </w:rPr>
        <w:t>tout</w:t>
      </w:r>
      <w:r w:rsidR="00DB1635" w:rsidRPr="00B004EE">
        <w:rPr>
          <w:rFonts w:ascii="Tahoma" w:hAnsi="Tahoma" w:cs="Tahoma"/>
          <w:spacing w:val="-1"/>
          <w:w w:val="96"/>
          <w:sz w:val="20"/>
          <w:szCs w:val="20"/>
        </w:rPr>
        <w:t xml:space="preserve"> </w:t>
      </w:r>
      <w:r w:rsidRPr="00B004EE">
        <w:rPr>
          <w:rFonts w:ascii="Tahoma" w:hAnsi="Tahoma" w:cs="Tahoma"/>
          <w:sz w:val="20"/>
          <w:szCs w:val="20"/>
        </w:rPr>
        <w:t>moyen</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affectés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collecte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pêchés</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pacing w:val="-16"/>
          <w:sz w:val="20"/>
          <w:szCs w:val="20"/>
        </w:rPr>
        <w:t xml:space="preserve"> </w:t>
      </w:r>
      <w:r w:rsidRPr="00B004EE">
        <w:rPr>
          <w:rFonts w:ascii="Tahoma" w:hAnsi="Tahoma" w:cs="Tahoma"/>
          <w:sz w:val="20"/>
          <w:szCs w:val="20"/>
        </w:rPr>
        <w:t>d'autres</w:t>
      </w:r>
      <w:r w:rsidR="00DB1635" w:rsidRPr="00B004EE">
        <w:rPr>
          <w:rFonts w:ascii="Tahoma" w:hAnsi="Tahoma" w:cs="Tahoma"/>
          <w:w w:val="94"/>
          <w:sz w:val="20"/>
          <w:szCs w:val="20"/>
        </w:rPr>
        <w:t xml:space="preserve"> </w:t>
      </w:r>
      <w:r w:rsidRPr="00B004EE">
        <w:rPr>
          <w:rFonts w:ascii="Tahoma" w:hAnsi="Tahoma" w:cs="Tahoma"/>
          <w:sz w:val="20"/>
          <w:szCs w:val="20"/>
        </w:rPr>
        <w:t>navires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pacing w:val="14"/>
          <w:sz w:val="20"/>
          <w:szCs w:val="20"/>
        </w:rPr>
        <w:t xml:space="preserve"> </w:t>
      </w:r>
      <w:r w:rsidRPr="00B004EE">
        <w:rPr>
          <w:rFonts w:ascii="Tahoma" w:hAnsi="Tahoma" w:cs="Tahoma"/>
          <w:sz w:val="20"/>
          <w:szCs w:val="20"/>
        </w:rPr>
        <w:t>;</w:t>
      </w:r>
    </w:p>
    <w:p w14:paraId="5A0D8B0C" w14:textId="131F260B" w:rsidR="001E7C3C" w:rsidRPr="00B004EE" w:rsidRDefault="001E7C3C" w:rsidP="00420DDA">
      <w:pPr>
        <w:pStyle w:val="Paragraphedeliste"/>
        <w:widowControl w:val="0"/>
        <w:numPr>
          <w:ilvl w:val="0"/>
          <w:numId w:val="126"/>
        </w:numPr>
        <w:tabs>
          <w:tab w:val="left" w:pos="1154"/>
        </w:tabs>
        <w:ind w:right="159"/>
        <w:jc w:val="both"/>
        <w:rPr>
          <w:rFonts w:ascii="Tahoma" w:eastAsia="American Typewriter" w:hAnsi="Tahoma" w:cs="Tahoma"/>
          <w:sz w:val="20"/>
          <w:szCs w:val="20"/>
        </w:rPr>
      </w:pPr>
      <w:r w:rsidRPr="00B004EE">
        <w:rPr>
          <w:rFonts w:ascii="Tahoma" w:hAnsi="Tahoma" w:cs="Tahoma"/>
          <w:sz w:val="20"/>
          <w:szCs w:val="20"/>
        </w:rPr>
        <w:t>Les</w:t>
      </w:r>
      <w:r w:rsidR="00DB1635" w:rsidRPr="00B004EE">
        <w:rPr>
          <w:rFonts w:ascii="Tahoma" w:hAnsi="Tahoma" w:cs="Tahoma"/>
          <w:spacing w:val="-12"/>
          <w:sz w:val="20"/>
          <w:szCs w:val="20"/>
        </w:rPr>
        <w:t xml:space="preserve"> </w:t>
      </w:r>
      <w:r w:rsidRPr="00B004EE">
        <w:rPr>
          <w:rFonts w:ascii="Tahoma" w:hAnsi="Tahoma" w:cs="Tahoma"/>
          <w:sz w:val="20"/>
          <w:szCs w:val="20"/>
        </w:rPr>
        <w:t>mesures</w:t>
      </w:r>
      <w:r w:rsidR="00DB1635" w:rsidRPr="00B004EE">
        <w:rPr>
          <w:rFonts w:ascii="Tahoma" w:hAnsi="Tahoma" w:cs="Tahoma"/>
          <w:spacing w:val="-12"/>
          <w:sz w:val="20"/>
          <w:szCs w:val="20"/>
        </w:rPr>
        <w:t xml:space="preserve"> </w:t>
      </w:r>
      <w:r w:rsidRPr="00B004EE">
        <w:rPr>
          <w:rFonts w:ascii="Tahoma" w:hAnsi="Tahoma" w:cs="Tahoma"/>
          <w:sz w:val="20"/>
          <w:szCs w:val="20"/>
        </w:rPr>
        <w:t>spéciales</w:t>
      </w:r>
      <w:r w:rsidR="00DB1635" w:rsidRPr="00B004EE">
        <w:rPr>
          <w:rFonts w:ascii="Tahoma" w:hAnsi="Tahoma" w:cs="Tahoma"/>
          <w:spacing w:val="-12"/>
          <w:sz w:val="20"/>
          <w:szCs w:val="20"/>
        </w:rPr>
        <w:t xml:space="preserve"> </w:t>
      </w:r>
      <w:r w:rsidRPr="00B004EE">
        <w:rPr>
          <w:rFonts w:ascii="Tahoma" w:hAnsi="Tahoma" w:cs="Tahoma"/>
          <w:sz w:val="20"/>
          <w:szCs w:val="20"/>
        </w:rPr>
        <w:t>applicables</w:t>
      </w:r>
      <w:r w:rsidR="00DB1635" w:rsidRPr="00B004EE">
        <w:rPr>
          <w:rFonts w:ascii="Tahoma" w:hAnsi="Tahoma" w:cs="Tahoma"/>
          <w:spacing w:val="-13"/>
          <w:sz w:val="20"/>
          <w:szCs w:val="20"/>
        </w:rPr>
        <w:t xml:space="preserve"> </w:t>
      </w:r>
      <w:r w:rsidRPr="00B004EE">
        <w:rPr>
          <w:rFonts w:ascii="Tahoma" w:hAnsi="Tahoma" w:cs="Tahoma"/>
          <w:sz w:val="20"/>
          <w:szCs w:val="20"/>
        </w:rPr>
        <w:t>à</w:t>
      </w:r>
      <w:r w:rsidR="00DB1635" w:rsidRPr="00B004EE">
        <w:rPr>
          <w:rFonts w:ascii="Tahoma" w:hAnsi="Tahoma" w:cs="Tahoma"/>
          <w:spacing w:val="-12"/>
          <w:sz w:val="20"/>
          <w:szCs w:val="20"/>
        </w:rPr>
        <w:t xml:space="preserve"> </w:t>
      </w:r>
      <w:r w:rsidRPr="00B004EE">
        <w:rPr>
          <w:rFonts w:ascii="Tahoma" w:hAnsi="Tahoma" w:cs="Tahoma"/>
          <w:sz w:val="20"/>
          <w:szCs w:val="20"/>
        </w:rPr>
        <w:t>l'exercice</w:t>
      </w:r>
      <w:r w:rsidR="00DB1635" w:rsidRPr="00B004EE">
        <w:rPr>
          <w:rFonts w:ascii="Tahoma" w:hAnsi="Tahoma" w:cs="Tahoma"/>
          <w:spacing w:val="-13"/>
          <w:sz w:val="20"/>
          <w:szCs w:val="20"/>
        </w:rPr>
        <w:t xml:space="preserve"> </w:t>
      </w:r>
      <w:r w:rsidRPr="00B004EE">
        <w:rPr>
          <w:rFonts w:ascii="Tahoma" w:hAnsi="Tahoma" w:cs="Tahoma"/>
          <w:sz w:val="20"/>
          <w:szCs w:val="20"/>
        </w:rPr>
        <w:t>de</w:t>
      </w:r>
      <w:r w:rsidR="00DB1635" w:rsidRPr="00B004EE">
        <w:rPr>
          <w:rFonts w:ascii="Tahoma" w:hAnsi="Tahoma" w:cs="Tahoma"/>
          <w:spacing w:val="-13"/>
          <w:sz w:val="20"/>
          <w:szCs w:val="20"/>
        </w:rPr>
        <w:t xml:space="preserve"> </w:t>
      </w:r>
      <w:r w:rsidRPr="00B004EE">
        <w:rPr>
          <w:rFonts w:ascii="Tahoma" w:hAnsi="Tahoma" w:cs="Tahoma"/>
          <w:sz w:val="20"/>
          <w:szCs w:val="20"/>
        </w:rPr>
        <w:t>la</w:t>
      </w:r>
      <w:r w:rsidR="00DB1635" w:rsidRPr="00B004EE">
        <w:rPr>
          <w:rFonts w:ascii="Tahoma" w:hAnsi="Tahoma" w:cs="Tahoma"/>
          <w:spacing w:val="-12"/>
          <w:sz w:val="20"/>
          <w:szCs w:val="20"/>
        </w:rPr>
        <w:t xml:space="preserve"> </w:t>
      </w:r>
      <w:r w:rsidRPr="00B004EE">
        <w:rPr>
          <w:rFonts w:ascii="Tahoma" w:hAnsi="Tahoma" w:cs="Tahoma"/>
          <w:sz w:val="20"/>
          <w:szCs w:val="20"/>
        </w:rPr>
        <w:t>pêche</w:t>
      </w:r>
      <w:r w:rsidR="00DB1635" w:rsidRPr="00B004EE">
        <w:rPr>
          <w:rFonts w:ascii="Tahoma" w:hAnsi="Tahoma" w:cs="Tahoma"/>
          <w:spacing w:val="-12"/>
          <w:sz w:val="20"/>
          <w:szCs w:val="20"/>
        </w:rPr>
        <w:t xml:space="preserve"> </w:t>
      </w:r>
      <w:r w:rsidRPr="00B004EE">
        <w:rPr>
          <w:rFonts w:ascii="Tahoma" w:hAnsi="Tahoma" w:cs="Tahoma"/>
          <w:sz w:val="20"/>
          <w:szCs w:val="20"/>
        </w:rPr>
        <w:t>de</w:t>
      </w:r>
      <w:r w:rsidR="00DB1635" w:rsidRPr="00B004EE">
        <w:rPr>
          <w:rFonts w:ascii="Tahoma" w:hAnsi="Tahoma" w:cs="Tahoma"/>
          <w:spacing w:val="-13"/>
          <w:sz w:val="20"/>
          <w:szCs w:val="20"/>
        </w:rPr>
        <w:t xml:space="preserve"> </w:t>
      </w:r>
      <w:r w:rsidRPr="00B004EE">
        <w:rPr>
          <w:rFonts w:ascii="Tahoma" w:hAnsi="Tahoma" w:cs="Tahoma"/>
          <w:sz w:val="20"/>
          <w:szCs w:val="20"/>
        </w:rPr>
        <w:t>subsistance,</w:t>
      </w:r>
      <w:r w:rsidR="00DB1635" w:rsidRPr="00B004EE">
        <w:rPr>
          <w:rFonts w:ascii="Tahoma" w:hAnsi="Tahoma" w:cs="Tahoma"/>
          <w:w w:val="97"/>
          <w:sz w:val="20"/>
          <w:szCs w:val="20"/>
        </w:rPr>
        <w:t xml:space="preserve"> </w:t>
      </w:r>
      <w:r w:rsidRPr="00B004EE">
        <w:rPr>
          <w:rFonts w:ascii="Tahoma" w:hAnsi="Tahoma" w:cs="Tahoma"/>
          <w:sz w:val="20"/>
          <w:szCs w:val="20"/>
        </w:rPr>
        <w:t>commerciale,</w:t>
      </w:r>
      <w:r w:rsidR="00DB1635" w:rsidRPr="00B004EE">
        <w:rPr>
          <w:rFonts w:ascii="Tahoma" w:hAnsi="Tahoma" w:cs="Tahoma"/>
          <w:sz w:val="20"/>
          <w:szCs w:val="20"/>
        </w:rPr>
        <w:t xml:space="preserve"> </w:t>
      </w:r>
      <w:r w:rsidRPr="00B004EE">
        <w:rPr>
          <w:rFonts w:ascii="Tahoma" w:hAnsi="Tahoma" w:cs="Tahoma"/>
          <w:sz w:val="20"/>
          <w:szCs w:val="20"/>
        </w:rPr>
        <w:t>scientifique,</w:t>
      </w:r>
      <w:r w:rsidR="00DB1635" w:rsidRPr="00B004EE">
        <w:rPr>
          <w:rFonts w:ascii="Tahoma" w:hAnsi="Tahoma" w:cs="Tahoma"/>
          <w:sz w:val="20"/>
          <w:szCs w:val="20"/>
        </w:rPr>
        <w:t xml:space="preserve"> </w:t>
      </w:r>
      <w:r w:rsidRPr="00B004EE">
        <w:rPr>
          <w:rFonts w:ascii="Tahoma" w:hAnsi="Tahoma" w:cs="Tahoma"/>
          <w:sz w:val="20"/>
          <w:szCs w:val="20"/>
        </w:rPr>
        <w:t>exploratoire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pacing w:val="1"/>
          <w:sz w:val="20"/>
          <w:szCs w:val="20"/>
        </w:rPr>
        <w:t xml:space="preserve"> </w:t>
      </w:r>
      <w:r w:rsidR="00852255" w:rsidRPr="00B004EE">
        <w:rPr>
          <w:rFonts w:ascii="Tahoma" w:hAnsi="Tahoma" w:cs="Tahoma"/>
          <w:sz w:val="20"/>
          <w:szCs w:val="20"/>
        </w:rPr>
        <w:t>sportive ;</w:t>
      </w:r>
    </w:p>
    <w:p w14:paraId="549C2DE4" w14:textId="435313FE" w:rsidR="001E7C3C" w:rsidRPr="00B004EE" w:rsidRDefault="001E7C3C" w:rsidP="00420DDA">
      <w:pPr>
        <w:pStyle w:val="Paragraphedeliste"/>
        <w:widowControl w:val="0"/>
        <w:numPr>
          <w:ilvl w:val="0"/>
          <w:numId w:val="126"/>
        </w:numPr>
        <w:tabs>
          <w:tab w:val="left" w:pos="1154"/>
        </w:tabs>
        <w:ind w:right="166"/>
        <w:jc w:val="both"/>
        <w:rPr>
          <w:rFonts w:ascii="Tahoma" w:eastAsia="American Typewriter" w:hAnsi="Tahoma" w:cs="Tahoma"/>
          <w:sz w:val="20"/>
          <w:szCs w:val="20"/>
        </w:rPr>
      </w:pPr>
      <w:r w:rsidRPr="00B004EE">
        <w:rPr>
          <w:rFonts w:ascii="Tahoma" w:hAnsi="Tahoma" w:cs="Tahoma"/>
          <w:sz w:val="20"/>
          <w:szCs w:val="20"/>
        </w:rPr>
        <w:t>La</w:t>
      </w:r>
      <w:r w:rsidR="00DB1635" w:rsidRPr="00B004EE">
        <w:rPr>
          <w:rFonts w:ascii="Tahoma" w:hAnsi="Tahoma" w:cs="Tahoma"/>
          <w:spacing w:val="-11"/>
          <w:sz w:val="20"/>
          <w:szCs w:val="20"/>
        </w:rPr>
        <w:t xml:space="preserve"> </w:t>
      </w:r>
      <w:r w:rsidRPr="00B004EE">
        <w:rPr>
          <w:rFonts w:ascii="Tahoma" w:hAnsi="Tahoma" w:cs="Tahoma"/>
          <w:sz w:val="20"/>
          <w:szCs w:val="20"/>
        </w:rPr>
        <w:t>réglementation</w:t>
      </w:r>
      <w:r w:rsidR="00DB1635" w:rsidRPr="00B004EE">
        <w:rPr>
          <w:rFonts w:ascii="Tahoma" w:hAnsi="Tahoma" w:cs="Tahoma"/>
          <w:spacing w:val="-12"/>
          <w:sz w:val="20"/>
          <w:szCs w:val="20"/>
        </w:rPr>
        <w:t xml:space="preserve"> </w:t>
      </w:r>
      <w:r w:rsidRPr="00B004EE">
        <w:rPr>
          <w:rFonts w:ascii="Tahoma" w:hAnsi="Tahoma" w:cs="Tahoma"/>
          <w:sz w:val="20"/>
          <w:szCs w:val="20"/>
        </w:rPr>
        <w:t>du</w:t>
      </w:r>
      <w:r w:rsidR="00DB1635" w:rsidRPr="00B004EE">
        <w:rPr>
          <w:rFonts w:ascii="Tahoma" w:hAnsi="Tahoma" w:cs="Tahoma"/>
          <w:spacing w:val="-12"/>
          <w:sz w:val="20"/>
          <w:szCs w:val="20"/>
        </w:rPr>
        <w:t xml:space="preserve"> </w:t>
      </w:r>
      <w:r w:rsidRPr="00B004EE">
        <w:rPr>
          <w:rFonts w:ascii="Tahoma" w:hAnsi="Tahoma" w:cs="Tahoma"/>
          <w:sz w:val="20"/>
          <w:szCs w:val="20"/>
        </w:rPr>
        <w:t>mareyage,</w:t>
      </w:r>
      <w:r w:rsidR="00DB1635" w:rsidRPr="00B004EE">
        <w:rPr>
          <w:rFonts w:ascii="Tahoma" w:hAnsi="Tahoma" w:cs="Tahoma"/>
          <w:spacing w:val="-11"/>
          <w:sz w:val="20"/>
          <w:szCs w:val="20"/>
        </w:rPr>
        <w:t xml:space="preserve"> </w:t>
      </w:r>
      <w:r w:rsidRPr="00B004EE">
        <w:rPr>
          <w:rFonts w:ascii="Tahoma" w:hAnsi="Tahoma" w:cs="Tahoma"/>
          <w:sz w:val="20"/>
          <w:szCs w:val="20"/>
        </w:rPr>
        <w:t>de</w:t>
      </w:r>
      <w:r w:rsidR="00DB1635" w:rsidRPr="00B004EE">
        <w:rPr>
          <w:rFonts w:ascii="Tahoma" w:hAnsi="Tahoma" w:cs="Tahoma"/>
          <w:spacing w:val="-11"/>
          <w:sz w:val="20"/>
          <w:szCs w:val="20"/>
        </w:rPr>
        <w:t xml:space="preserve"> </w:t>
      </w:r>
      <w:r w:rsidRPr="00B004EE">
        <w:rPr>
          <w:rFonts w:ascii="Tahoma" w:hAnsi="Tahoma" w:cs="Tahoma"/>
          <w:sz w:val="20"/>
          <w:szCs w:val="20"/>
        </w:rPr>
        <w:t>la</w:t>
      </w:r>
      <w:r w:rsidR="00DB1635" w:rsidRPr="00B004EE">
        <w:rPr>
          <w:rFonts w:ascii="Tahoma" w:hAnsi="Tahoma" w:cs="Tahoma"/>
          <w:spacing w:val="-11"/>
          <w:sz w:val="20"/>
          <w:szCs w:val="20"/>
        </w:rPr>
        <w:t xml:space="preserve"> </w:t>
      </w:r>
      <w:r w:rsidRPr="00B004EE">
        <w:rPr>
          <w:rFonts w:ascii="Tahoma" w:hAnsi="Tahoma" w:cs="Tahoma"/>
          <w:sz w:val="20"/>
          <w:szCs w:val="20"/>
        </w:rPr>
        <w:t>commercialisation</w:t>
      </w:r>
      <w:r w:rsidR="00DB1635" w:rsidRPr="00B004EE">
        <w:rPr>
          <w:rFonts w:ascii="Tahoma" w:hAnsi="Tahoma" w:cs="Tahoma"/>
          <w:spacing w:val="-12"/>
          <w:sz w:val="20"/>
          <w:szCs w:val="20"/>
        </w:rPr>
        <w:t xml:space="preserve"> </w:t>
      </w:r>
      <w:r w:rsidRPr="00B004EE">
        <w:rPr>
          <w:rFonts w:ascii="Tahoma" w:hAnsi="Tahoma" w:cs="Tahoma"/>
          <w:sz w:val="20"/>
          <w:szCs w:val="20"/>
        </w:rPr>
        <w:t>des</w:t>
      </w:r>
      <w:r w:rsidR="00DB1635" w:rsidRPr="00B004EE">
        <w:rPr>
          <w:rFonts w:ascii="Tahoma" w:hAnsi="Tahoma" w:cs="Tahoma"/>
          <w:spacing w:val="-13"/>
          <w:sz w:val="20"/>
          <w:szCs w:val="20"/>
        </w:rPr>
        <w:t xml:space="preserve"> </w:t>
      </w:r>
      <w:r w:rsidRPr="00B004EE">
        <w:rPr>
          <w:rFonts w:ascii="Tahoma" w:hAnsi="Tahoma" w:cs="Tahoma"/>
          <w:sz w:val="20"/>
          <w:szCs w:val="20"/>
        </w:rPr>
        <w:t>produits</w:t>
      </w:r>
      <w:r w:rsidR="00DB1635" w:rsidRPr="00B004EE">
        <w:rPr>
          <w:rFonts w:ascii="Tahoma" w:hAnsi="Tahoma" w:cs="Tahoma"/>
          <w:spacing w:val="-13"/>
          <w:sz w:val="20"/>
          <w:szCs w:val="20"/>
        </w:rPr>
        <w:t xml:space="preserve"> </w:t>
      </w:r>
      <w:r w:rsidRPr="00B004EE">
        <w:rPr>
          <w:rFonts w:ascii="Tahoma" w:hAnsi="Tahoma" w:cs="Tahoma"/>
          <w:sz w:val="20"/>
          <w:szCs w:val="20"/>
        </w:rPr>
        <w:t>de</w:t>
      </w:r>
      <w:r w:rsidR="00DB1635" w:rsidRPr="00B004EE">
        <w:rPr>
          <w:rFonts w:ascii="Tahoma" w:hAnsi="Tahoma" w:cs="Tahoma"/>
          <w:w w:val="94"/>
          <w:sz w:val="20"/>
          <w:szCs w:val="20"/>
        </w:rPr>
        <w:t xml:space="preserve"> </w:t>
      </w:r>
      <w:r w:rsidRPr="00B004EE">
        <w:rPr>
          <w:rFonts w:ascii="Tahoma" w:hAnsi="Tahoma" w:cs="Tahoma"/>
          <w:sz w:val="20"/>
          <w:szCs w:val="20"/>
        </w:rPr>
        <w:t>pêche</w:t>
      </w:r>
      <w:r w:rsidR="00852255" w:rsidRPr="00B004EE">
        <w:rPr>
          <w:rFonts w:ascii="Tahoma" w:hAnsi="Tahoma" w:cs="Tahoma"/>
          <w:sz w:val="20"/>
          <w:szCs w:val="20"/>
        </w:rPr>
        <w:t xml:space="preserve"> </w:t>
      </w:r>
      <w:r w:rsidRPr="00B004EE">
        <w:rPr>
          <w:rFonts w:ascii="Tahoma" w:hAnsi="Tahoma" w:cs="Tahoma"/>
          <w:sz w:val="20"/>
          <w:szCs w:val="20"/>
        </w:rPr>
        <w:t>;</w:t>
      </w:r>
    </w:p>
    <w:p w14:paraId="06995834" w14:textId="4290A3F4" w:rsidR="001E7C3C" w:rsidRPr="00B004EE" w:rsidRDefault="001E7C3C" w:rsidP="00420DDA">
      <w:pPr>
        <w:pStyle w:val="Paragraphedeliste"/>
        <w:widowControl w:val="0"/>
        <w:numPr>
          <w:ilvl w:val="0"/>
          <w:numId w:val="126"/>
        </w:numPr>
        <w:tabs>
          <w:tab w:val="left" w:pos="1154"/>
        </w:tabs>
        <w:ind w:right="164"/>
        <w:jc w:val="both"/>
        <w:rPr>
          <w:rFonts w:ascii="Tahoma" w:eastAsia="American Typewriter" w:hAnsi="Tahoma" w:cs="Tahoma"/>
          <w:sz w:val="20"/>
          <w:szCs w:val="20"/>
        </w:rPr>
      </w:pPr>
      <w:r w:rsidRPr="00B004EE">
        <w:rPr>
          <w:rFonts w:ascii="Tahoma" w:eastAsia="American Typewriter" w:hAnsi="Tahoma" w:cs="Tahoma"/>
          <w:sz w:val="20"/>
          <w:szCs w:val="20"/>
        </w:rPr>
        <w:t>L’organisation</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et</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le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fonctionnement</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du</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système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contrôle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et</w:t>
      </w:r>
      <w:r w:rsidR="00DB1635" w:rsidRPr="00B004EE">
        <w:rPr>
          <w:rFonts w:ascii="Tahoma" w:eastAsia="American Typewriter" w:hAnsi="Tahoma" w:cs="Tahoma"/>
          <w:spacing w:val="49"/>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w w:val="94"/>
          <w:sz w:val="20"/>
          <w:szCs w:val="20"/>
        </w:rPr>
        <w:t xml:space="preserve"> </w:t>
      </w:r>
      <w:r w:rsidRPr="00B004EE">
        <w:rPr>
          <w:rFonts w:ascii="Tahoma" w:eastAsia="American Typewriter" w:hAnsi="Tahoma" w:cs="Tahoma"/>
          <w:sz w:val="20"/>
          <w:szCs w:val="20"/>
        </w:rPr>
        <w:t>surveillance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pêches</w:t>
      </w:r>
      <w:r w:rsidR="00DB1635" w:rsidRPr="00B004EE">
        <w:rPr>
          <w:rFonts w:ascii="Tahoma" w:eastAsia="American Typewriter" w:hAnsi="Tahoma" w:cs="Tahoma"/>
          <w:spacing w:val="11"/>
          <w:sz w:val="20"/>
          <w:szCs w:val="20"/>
        </w:rPr>
        <w:t xml:space="preserve"> </w:t>
      </w:r>
      <w:r w:rsidRPr="00B004EE">
        <w:rPr>
          <w:rFonts w:ascii="Tahoma" w:eastAsia="American Typewriter" w:hAnsi="Tahoma" w:cs="Tahoma"/>
          <w:sz w:val="20"/>
          <w:szCs w:val="20"/>
        </w:rPr>
        <w:t>(SCS</w:t>
      </w:r>
      <w:proofErr w:type="gramStart"/>
      <w:r w:rsidRPr="00B004EE">
        <w:rPr>
          <w:rFonts w:ascii="Tahoma" w:eastAsia="American Typewriter" w:hAnsi="Tahoma" w:cs="Tahoma"/>
          <w:sz w:val="20"/>
          <w:szCs w:val="20"/>
        </w:rPr>
        <w:t>);</w:t>
      </w:r>
      <w:proofErr w:type="gramEnd"/>
    </w:p>
    <w:p w14:paraId="43D9643C" w14:textId="69F7F15A" w:rsidR="001E7C3C" w:rsidRPr="00B004EE" w:rsidRDefault="001E7C3C" w:rsidP="00420DDA">
      <w:pPr>
        <w:pStyle w:val="Paragraphedeliste"/>
        <w:widowControl w:val="0"/>
        <w:numPr>
          <w:ilvl w:val="0"/>
          <w:numId w:val="126"/>
        </w:numPr>
        <w:tabs>
          <w:tab w:val="left" w:pos="1154"/>
        </w:tabs>
        <w:ind w:right="160"/>
        <w:jc w:val="both"/>
        <w:rPr>
          <w:rFonts w:ascii="Tahoma" w:eastAsia="American Typewriter" w:hAnsi="Tahoma" w:cs="Tahoma"/>
          <w:sz w:val="20"/>
          <w:szCs w:val="20"/>
        </w:rPr>
      </w:pPr>
      <w:r w:rsidRPr="00B004EE">
        <w:rPr>
          <w:rFonts w:ascii="Tahoma" w:hAnsi="Tahoma" w:cs="Tahoma"/>
          <w:w w:val="95"/>
          <w:sz w:val="20"/>
          <w:szCs w:val="20"/>
        </w:rPr>
        <w:t>Les</w:t>
      </w:r>
      <w:r w:rsidR="00DB1635" w:rsidRPr="00B004EE">
        <w:rPr>
          <w:rFonts w:ascii="Tahoma" w:hAnsi="Tahoma" w:cs="Tahoma"/>
          <w:w w:val="95"/>
          <w:sz w:val="20"/>
          <w:szCs w:val="20"/>
        </w:rPr>
        <w:t xml:space="preserve"> </w:t>
      </w:r>
      <w:r w:rsidRPr="00B004EE">
        <w:rPr>
          <w:rFonts w:ascii="Tahoma" w:hAnsi="Tahoma" w:cs="Tahoma"/>
          <w:w w:val="95"/>
          <w:sz w:val="20"/>
          <w:szCs w:val="20"/>
        </w:rPr>
        <w:t>conditions</w:t>
      </w:r>
      <w:r w:rsidR="00DB1635" w:rsidRPr="00B004EE">
        <w:rPr>
          <w:rFonts w:ascii="Tahoma" w:hAnsi="Tahoma" w:cs="Tahoma"/>
          <w:w w:val="95"/>
          <w:sz w:val="20"/>
          <w:szCs w:val="20"/>
        </w:rPr>
        <w:t xml:space="preserve"> </w:t>
      </w:r>
      <w:r w:rsidRPr="00B004EE">
        <w:rPr>
          <w:rFonts w:ascii="Tahoma" w:hAnsi="Tahoma" w:cs="Tahoma"/>
          <w:w w:val="95"/>
          <w:sz w:val="20"/>
          <w:szCs w:val="20"/>
        </w:rPr>
        <w:t>d'embarquement</w:t>
      </w:r>
      <w:r w:rsidR="00DB1635" w:rsidRPr="00B004EE">
        <w:rPr>
          <w:rFonts w:ascii="Tahoma" w:hAnsi="Tahoma" w:cs="Tahoma"/>
          <w:w w:val="95"/>
          <w:sz w:val="20"/>
          <w:szCs w:val="20"/>
        </w:rPr>
        <w:t xml:space="preserve"> </w:t>
      </w:r>
      <w:r w:rsidRPr="00B004EE">
        <w:rPr>
          <w:rFonts w:ascii="Tahoma" w:hAnsi="Tahoma" w:cs="Tahoma"/>
          <w:w w:val="95"/>
          <w:sz w:val="20"/>
          <w:szCs w:val="20"/>
        </w:rPr>
        <w:t>d'observateurs</w:t>
      </w:r>
      <w:r w:rsidR="00DB1635" w:rsidRPr="00B004EE">
        <w:rPr>
          <w:rFonts w:ascii="Tahoma" w:hAnsi="Tahoma" w:cs="Tahoma"/>
          <w:w w:val="95"/>
          <w:sz w:val="20"/>
          <w:szCs w:val="20"/>
        </w:rPr>
        <w:t xml:space="preserve"> </w:t>
      </w:r>
      <w:r w:rsidRPr="00B004EE">
        <w:rPr>
          <w:rFonts w:ascii="Tahoma" w:hAnsi="Tahoma" w:cs="Tahoma"/>
          <w:w w:val="95"/>
          <w:sz w:val="20"/>
          <w:szCs w:val="20"/>
        </w:rPr>
        <w:t>et</w:t>
      </w:r>
      <w:r w:rsidR="00DB1635" w:rsidRPr="00B004EE">
        <w:rPr>
          <w:rFonts w:ascii="Tahoma" w:hAnsi="Tahoma" w:cs="Tahoma"/>
          <w:w w:val="95"/>
          <w:sz w:val="20"/>
          <w:szCs w:val="20"/>
        </w:rPr>
        <w:t xml:space="preserve"> </w:t>
      </w:r>
      <w:r w:rsidRPr="00B004EE">
        <w:rPr>
          <w:rFonts w:ascii="Tahoma" w:hAnsi="Tahoma" w:cs="Tahoma"/>
          <w:w w:val="95"/>
          <w:sz w:val="20"/>
          <w:szCs w:val="20"/>
        </w:rPr>
        <w:t>chercheurs</w:t>
      </w:r>
      <w:r w:rsidR="00DB1635" w:rsidRPr="00B004EE">
        <w:rPr>
          <w:rFonts w:ascii="Tahoma" w:hAnsi="Tahoma" w:cs="Tahoma"/>
          <w:spacing w:val="27"/>
          <w:w w:val="95"/>
          <w:sz w:val="20"/>
          <w:szCs w:val="20"/>
        </w:rPr>
        <w:t xml:space="preserve"> </w:t>
      </w:r>
      <w:r w:rsidRPr="00B004EE">
        <w:rPr>
          <w:rFonts w:ascii="Tahoma" w:hAnsi="Tahoma" w:cs="Tahoma"/>
          <w:w w:val="95"/>
          <w:sz w:val="20"/>
          <w:szCs w:val="20"/>
        </w:rPr>
        <w:t>scientifiques</w:t>
      </w:r>
      <w:r w:rsidR="00DB1635" w:rsidRPr="00B004EE">
        <w:rPr>
          <w:rFonts w:ascii="Tahoma" w:hAnsi="Tahoma" w:cs="Tahoma"/>
          <w:w w:val="96"/>
          <w:sz w:val="20"/>
          <w:szCs w:val="20"/>
        </w:rPr>
        <w:t xml:space="preserve"> </w:t>
      </w:r>
      <w:r w:rsidRPr="00B004EE">
        <w:rPr>
          <w:rFonts w:ascii="Tahoma" w:hAnsi="Tahoma" w:cs="Tahoma"/>
          <w:sz w:val="20"/>
          <w:szCs w:val="20"/>
        </w:rPr>
        <w:t>à</w:t>
      </w:r>
      <w:r w:rsidR="00DB1635" w:rsidRPr="00B004EE">
        <w:rPr>
          <w:rFonts w:ascii="Tahoma" w:hAnsi="Tahoma" w:cs="Tahoma"/>
          <w:spacing w:val="-7"/>
          <w:sz w:val="20"/>
          <w:szCs w:val="20"/>
        </w:rPr>
        <w:t xml:space="preserve"> </w:t>
      </w:r>
      <w:r w:rsidRPr="00B004EE">
        <w:rPr>
          <w:rFonts w:ascii="Tahoma" w:hAnsi="Tahoma" w:cs="Tahoma"/>
          <w:sz w:val="20"/>
          <w:szCs w:val="20"/>
        </w:rPr>
        <w:t>bord</w:t>
      </w:r>
      <w:r w:rsidR="00DB1635" w:rsidRPr="00B004EE">
        <w:rPr>
          <w:rFonts w:ascii="Tahoma" w:hAnsi="Tahoma" w:cs="Tahoma"/>
          <w:spacing w:val="-8"/>
          <w:sz w:val="20"/>
          <w:szCs w:val="20"/>
        </w:rPr>
        <w:t xml:space="preserve"> </w:t>
      </w:r>
      <w:r w:rsidRPr="00B004EE">
        <w:rPr>
          <w:rFonts w:ascii="Tahoma" w:hAnsi="Tahoma" w:cs="Tahoma"/>
          <w:sz w:val="20"/>
          <w:szCs w:val="20"/>
        </w:rPr>
        <w:t>des</w:t>
      </w:r>
      <w:r w:rsidR="00DB1635" w:rsidRPr="00B004EE">
        <w:rPr>
          <w:rFonts w:ascii="Tahoma" w:hAnsi="Tahoma" w:cs="Tahoma"/>
          <w:spacing w:val="-8"/>
          <w:sz w:val="20"/>
          <w:szCs w:val="20"/>
        </w:rPr>
        <w:t xml:space="preserve"> </w:t>
      </w:r>
      <w:r w:rsidRPr="00B004EE">
        <w:rPr>
          <w:rFonts w:ascii="Tahoma" w:hAnsi="Tahoma" w:cs="Tahoma"/>
          <w:sz w:val="20"/>
          <w:szCs w:val="20"/>
        </w:rPr>
        <w:t>navires</w:t>
      </w:r>
      <w:r w:rsidR="00DB1635" w:rsidRPr="00B004EE">
        <w:rPr>
          <w:rFonts w:ascii="Tahoma" w:hAnsi="Tahoma" w:cs="Tahoma"/>
          <w:spacing w:val="-8"/>
          <w:sz w:val="20"/>
          <w:szCs w:val="20"/>
        </w:rPr>
        <w:t xml:space="preserve"> </w:t>
      </w:r>
      <w:r w:rsidRPr="00B004EE">
        <w:rPr>
          <w:rFonts w:ascii="Tahoma" w:hAnsi="Tahoma" w:cs="Tahoma"/>
          <w:sz w:val="20"/>
          <w:szCs w:val="20"/>
        </w:rPr>
        <w:t>et</w:t>
      </w:r>
      <w:r w:rsidR="00DB1635" w:rsidRPr="00B004EE">
        <w:rPr>
          <w:rFonts w:ascii="Tahoma" w:hAnsi="Tahoma" w:cs="Tahoma"/>
          <w:spacing w:val="-8"/>
          <w:sz w:val="20"/>
          <w:szCs w:val="20"/>
        </w:rPr>
        <w:t xml:space="preserve"> </w:t>
      </w:r>
      <w:r w:rsidRPr="00B004EE">
        <w:rPr>
          <w:rFonts w:ascii="Tahoma" w:hAnsi="Tahoma" w:cs="Tahoma"/>
          <w:sz w:val="20"/>
          <w:szCs w:val="20"/>
        </w:rPr>
        <w:t>les</w:t>
      </w:r>
      <w:r w:rsidR="00DB1635" w:rsidRPr="00B004EE">
        <w:rPr>
          <w:rFonts w:ascii="Tahoma" w:hAnsi="Tahoma" w:cs="Tahoma"/>
          <w:spacing w:val="-8"/>
          <w:sz w:val="20"/>
          <w:szCs w:val="20"/>
        </w:rPr>
        <w:t xml:space="preserve"> </w:t>
      </w:r>
      <w:r w:rsidRPr="00B004EE">
        <w:rPr>
          <w:rFonts w:ascii="Tahoma" w:hAnsi="Tahoma" w:cs="Tahoma"/>
          <w:sz w:val="20"/>
          <w:szCs w:val="20"/>
        </w:rPr>
        <w:t>conditions</w:t>
      </w:r>
      <w:r w:rsidR="00DB1635" w:rsidRPr="00B004EE">
        <w:rPr>
          <w:rFonts w:ascii="Tahoma" w:hAnsi="Tahoma" w:cs="Tahoma"/>
          <w:spacing w:val="-8"/>
          <w:sz w:val="20"/>
          <w:szCs w:val="20"/>
        </w:rPr>
        <w:t xml:space="preserve"> </w:t>
      </w:r>
      <w:r w:rsidRPr="00B004EE">
        <w:rPr>
          <w:rFonts w:ascii="Tahoma" w:hAnsi="Tahoma" w:cs="Tahoma"/>
          <w:sz w:val="20"/>
          <w:szCs w:val="20"/>
        </w:rPr>
        <w:t>d'exercice</w:t>
      </w:r>
      <w:r w:rsidR="00DB1635" w:rsidRPr="00B004EE">
        <w:rPr>
          <w:rFonts w:ascii="Tahoma" w:hAnsi="Tahoma" w:cs="Tahoma"/>
          <w:spacing w:val="-8"/>
          <w:sz w:val="20"/>
          <w:szCs w:val="20"/>
        </w:rPr>
        <w:t xml:space="preserve"> </w:t>
      </w:r>
      <w:r w:rsidRPr="00B004EE">
        <w:rPr>
          <w:rFonts w:ascii="Tahoma" w:hAnsi="Tahoma" w:cs="Tahoma"/>
          <w:sz w:val="20"/>
          <w:szCs w:val="20"/>
        </w:rPr>
        <w:t>de</w:t>
      </w:r>
      <w:r w:rsidR="00DB1635" w:rsidRPr="00B004EE">
        <w:rPr>
          <w:rFonts w:ascii="Tahoma" w:hAnsi="Tahoma" w:cs="Tahoma"/>
          <w:spacing w:val="-8"/>
          <w:sz w:val="20"/>
          <w:szCs w:val="20"/>
        </w:rPr>
        <w:t xml:space="preserve"> </w:t>
      </w:r>
      <w:r w:rsidRPr="00B004EE">
        <w:rPr>
          <w:rFonts w:ascii="Tahoma" w:hAnsi="Tahoma" w:cs="Tahoma"/>
          <w:sz w:val="20"/>
          <w:szCs w:val="20"/>
        </w:rPr>
        <w:t>leurs</w:t>
      </w:r>
      <w:r w:rsidR="00DB1635" w:rsidRPr="00B004EE">
        <w:rPr>
          <w:rFonts w:ascii="Tahoma" w:hAnsi="Tahoma" w:cs="Tahoma"/>
          <w:spacing w:val="-8"/>
          <w:sz w:val="20"/>
          <w:szCs w:val="20"/>
        </w:rPr>
        <w:t xml:space="preserve"> </w:t>
      </w:r>
      <w:r w:rsidRPr="00B004EE">
        <w:rPr>
          <w:rFonts w:ascii="Tahoma" w:hAnsi="Tahoma" w:cs="Tahoma"/>
          <w:sz w:val="20"/>
          <w:szCs w:val="20"/>
        </w:rPr>
        <w:t>activités</w:t>
      </w:r>
      <w:r w:rsidR="00DB1635" w:rsidRPr="00B004EE">
        <w:rPr>
          <w:rFonts w:ascii="Tahoma" w:hAnsi="Tahoma" w:cs="Tahoma"/>
          <w:spacing w:val="-8"/>
          <w:sz w:val="20"/>
          <w:szCs w:val="20"/>
        </w:rPr>
        <w:t xml:space="preserve"> </w:t>
      </w:r>
      <w:r w:rsidRPr="00B004EE">
        <w:rPr>
          <w:rFonts w:ascii="Tahoma" w:hAnsi="Tahoma" w:cs="Tahoma"/>
          <w:sz w:val="20"/>
          <w:szCs w:val="20"/>
        </w:rPr>
        <w:t>;</w:t>
      </w:r>
    </w:p>
    <w:p w14:paraId="167E8446" w14:textId="4DF044EB" w:rsidR="00337E3A" w:rsidRPr="00B004EE" w:rsidRDefault="001E7C3C" w:rsidP="00420DDA">
      <w:pPr>
        <w:pStyle w:val="Paragraphedeliste"/>
        <w:widowControl w:val="0"/>
        <w:numPr>
          <w:ilvl w:val="0"/>
          <w:numId w:val="126"/>
        </w:numPr>
        <w:tabs>
          <w:tab w:val="left" w:pos="1154"/>
        </w:tabs>
        <w:ind w:right="165"/>
        <w:jc w:val="both"/>
        <w:rPr>
          <w:rFonts w:ascii="Tahoma" w:eastAsia="American Typewriter" w:hAnsi="Tahoma" w:cs="Tahoma"/>
          <w:sz w:val="20"/>
          <w:szCs w:val="20"/>
        </w:rPr>
      </w:pP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mesures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conservation,</w:t>
      </w:r>
      <w:r w:rsidR="00DB1635" w:rsidRPr="00B004EE">
        <w:rPr>
          <w:rFonts w:ascii="Tahoma" w:hAnsi="Tahoma" w:cs="Tahoma"/>
          <w:sz w:val="20"/>
          <w:szCs w:val="20"/>
        </w:rPr>
        <w:t xml:space="preserve"> </w:t>
      </w:r>
      <w:r w:rsidRPr="00B004EE">
        <w:rPr>
          <w:rFonts w:ascii="Tahoma" w:hAnsi="Tahoma" w:cs="Tahoma"/>
          <w:sz w:val="20"/>
          <w:szCs w:val="20"/>
        </w:rPr>
        <w:t>d'aménagement</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gestion</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pacing w:val="15"/>
          <w:sz w:val="20"/>
          <w:szCs w:val="20"/>
        </w:rPr>
        <w:t xml:space="preserve"> </w:t>
      </w:r>
      <w:r w:rsidRPr="00B004EE">
        <w:rPr>
          <w:rFonts w:ascii="Tahoma" w:hAnsi="Tahoma" w:cs="Tahoma"/>
          <w:sz w:val="20"/>
          <w:szCs w:val="20"/>
        </w:rPr>
        <w:t>la</w:t>
      </w:r>
      <w:r w:rsidR="00DB1635" w:rsidRPr="00B004EE">
        <w:rPr>
          <w:rFonts w:ascii="Tahoma" w:hAnsi="Tahoma" w:cs="Tahoma"/>
          <w:w w:val="98"/>
          <w:sz w:val="20"/>
          <w:szCs w:val="20"/>
        </w:rPr>
        <w:t xml:space="preserve"> </w:t>
      </w:r>
      <w:r w:rsidRPr="00B004EE">
        <w:rPr>
          <w:rFonts w:ascii="Tahoma" w:hAnsi="Tahoma" w:cs="Tahoma"/>
          <w:sz w:val="20"/>
          <w:szCs w:val="20"/>
        </w:rPr>
        <w:t>ressource</w:t>
      </w:r>
      <w:r w:rsidR="00DB1635" w:rsidRPr="00B004EE">
        <w:rPr>
          <w:rFonts w:ascii="Tahoma" w:hAnsi="Tahoma" w:cs="Tahoma"/>
          <w:spacing w:val="5"/>
          <w:sz w:val="20"/>
          <w:szCs w:val="20"/>
        </w:rPr>
        <w:t xml:space="preserve"> </w:t>
      </w:r>
      <w:r w:rsidR="00852255" w:rsidRPr="00B004EE">
        <w:rPr>
          <w:rFonts w:ascii="Tahoma" w:hAnsi="Tahoma" w:cs="Tahoma"/>
          <w:sz w:val="20"/>
          <w:szCs w:val="20"/>
        </w:rPr>
        <w:t>halieutique ;</w:t>
      </w:r>
    </w:p>
    <w:p w14:paraId="673C2A5D" w14:textId="658EE050" w:rsidR="001E7C3C" w:rsidRPr="00B004EE" w:rsidRDefault="001E7C3C" w:rsidP="00420DDA">
      <w:pPr>
        <w:pStyle w:val="Paragraphedeliste"/>
        <w:widowControl w:val="0"/>
        <w:numPr>
          <w:ilvl w:val="0"/>
          <w:numId w:val="126"/>
        </w:numPr>
        <w:tabs>
          <w:tab w:val="left" w:pos="1154"/>
        </w:tabs>
        <w:ind w:right="164"/>
        <w:rPr>
          <w:rFonts w:ascii="Tahoma" w:eastAsia="American Typewriter" w:hAnsi="Tahoma" w:cs="Tahoma"/>
          <w:sz w:val="20"/>
          <w:szCs w:val="20"/>
        </w:rPr>
      </w:pPr>
      <w:r w:rsidRPr="00B004EE">
        <w:rPr>
          <w:rFonts w:ascii="Tahoma" w:hAnsi="Tahoma" w:cs="Tahoma"/>
          <w:sz w:val="20"/>
          <w:szCs w:val="20"/>
        </w:rPr>
        <w:t>La</w:t>
      </w:r>
      <w:r w:rsidR="00DB1635" w:rsidRPr="00B004EE">
        <w:rPr>
          <w:rFonts w:ascii="Tahoma" w:hAnsi="Tahoma" w:cs="Tahoma"/>
          <w:spacing w:val="52"/>
          <w:sz w:val="20"/>
          <w:szCs w:val="20"/>
        </w:rPr>
        <w:t xml:space="preserve"> </w:t>
      </w:r>
      <w:r w:rsidRPr="00B004EE">
        <w:rPr>
          <w:rFonts w:ascii="Tahoma" w:hAnsi="Tahoma" w:cs="Tahoma"/>
          <w:sz w:val="20"/>
          <w:szCs w:val="20"/>
        </w:rPr>
        <w:t>définition</w:t>
      </w:r>
      <w:r w:rsidR="00DB1635" w:rsidRPr="00B004EE">
        <w:rPr>
          <w:rFonts w:ascii="Tahoma" w:hAnsi="Tahoma" w:cs="Tahoma"/>
          <w:spacing w:val="52"/>
          <w:sz w:val="20"/>
          <w:szCs w:val="20"/>
        </w:rPr>
        <w:t xml:space="preserve"> </w:t>
      </w:r>
      <w:r w:rsidRPr="00B004EE">
        <w:rPr>
          <w:rFonts w:ascii="Tahoma" w:hAnsi="Tahoma" w:cs="Tahoma"/>
          <w:sz w:val="20"/>
          <w:szCs w:val="20"/>
        </w:rPr>
        <w:t>des</w:t>
      </w:r>
      <w:r w:rsidR="00DB1635" w:rsidRPr="00B004EE">
        <w:rPr>
          <w:rFonts w:ascii="Tahoma" w:hAnsi="Tahoma" w:cs="Tahoma"/>
          <w:spacing w:val="51"/>
          <w:sz w:val="20"/>
          <w:szCs w:val="20"/>
        </w:rPr>
        <w:t xml:space="preserve"> </w:t>
      </w:r>
      <w:r w:rsidRPr="00B004EE">
        <w:rPr>
          <w:rFonts w:ascii="Tahoma" w:hAnsi="Tahoma" w:cs="Tahoma"/>
          <w:sz w:val="20"/>
          <w:szCs w:val="20"/>
        </w:rPr>
        <w:t>types</w:t>
      </w:r>
      <w:r w:rsidR="00DB1635" w:rsidRPr="00B004EE">
        <w:rPr>
          <w:rFonts w:ascii="Tahoma" w:hAnsi="Tahoma" w:cs="Tahoma"/>
          <w:spacing w:val="51"/>
          <w:sz w:val="20"/>
          <w:szCs w:val="20"/>
        </w:rPr>
        <w:t xml:space="preserve"> </w:t>
      </w:r>
      <w:r w:rsidRPr="00B004EE">
        <w:rPr>
          <w:rFonts w:ascii="Tahoma" w:hAnsi="Tahoma" w:cs="Tahoma"/>
          <w:sz w:val="20"/>
          <w:szCs w:val="20"/>
        </w:rPr>
        <w:t>et</w:t>
      </w:r>
      <w:r w:rsidR="00DB1635" w:rsidRPr="00B004EE">
        <w:rPr>
          <w:rFonts w:ascii="Tahoma" w:hAnsi="Tahoma" w:cs="Tahoma"/>
          <w:spacing w:val="52"/>
          <w:sz w:val="20"/>
          <w:szCs w:val="20"/>
        </w:rPr>
        <w:t xml:space="preserve"> </w:t>
      </w:r>
      <w:r w:rsidRPr="00B004EE">
        <w:rPr>
          <w:rFonts w:ascii="Tahoma" w:hAnsi="Tahoma" w:cs="Tahoma"/>
          <w:sz w:val="20"/>
          <w:szCs w:val="20"/>
        </w:rPr>
        <w:t>caractéristiques</w:t>
      </w:r>
      <w:r w:rsidR="00DB1635" w:rsidRPr="00B004EE">
        <w:rPr>
          <w:rFonts w:ascii="Tahoma" w:hAnsi="Tahoma" w:cs="Tahoma"/>
          <w:spacing w:val="51"/>
          <w:sz w:val="20"/>
          <w:szCs w:val="20"/>
        </w:rPr>
        <w:t xml:space="preserve"> </w:t>
      </w:r>
      <w:r w:rsidRPr="00B004EE">
        <w:rPr>
          <w:rFonts w:ascii="Tahoma" w:hAnsi="Tahoma" w:cs="Tahoma"/>
          <w:sz w:val="20"/>
          <w:szCs w:val="20"/>
        </w:rPr>
        <w:t>des</w:t>
      </w:r>
      <w:r w:rsidR="00DB1635" w:rsidRPr="00B004EE">
        <w:rPr>
          <w:rFonts w:ascii="Tahoma" w:hAnsi="Tahoma" w:cs="Tahoma"/>
          <w:spacing w:val="49"/>
          <w:sz w:val="20"/>
          <w:szCs w:val="20"/>
        </w:rPr>
        <w:t xml:space="preserve"> </w:t>
      </w:r>
      <w:r w:rsidRPr="00B004EE">
        <w:rPr>
          <w:rFonts w:ascii="Tahoma" w:hAnsi="Tahoma" w:cs="Tahoma"/>
          <w:sz w:val="20"/>
          <w:szCs w:val="20"/>
        </w:rPr>
        <w:t>engins</w:t>
      </w:r>
      <w:r w:rsidR="00DB1635" w:rsidRPr="00B004EE">
        <w:rPr>
          <w:rFonts w:ascii="Tahoma" w:hAnsi="Tahoma" w:cs="Tahoma"/>
          <w:spacing w:val="49"/>
          <w:sz w:val="20"/>
          <w:szCs w:val="20"/>
        </w:rPr>
        <w:t xml:space="preserve"> </w:t>
      </w:r>
      <w:r w:rsidRPr="00B004EE">
        <w:rPr>
          <w:rFonts w:ascii="Tahoma" w:hAnsi="Tahoma" w:cs="Tahoma"/>
          <w:sz w:val="20"/>
          <w:szCs w:val="20"/>
        </w:rPr>
        <w:t>de</w:t>
      </w:r>
      <w:r w:rsidR="00DB1635" w:rsidRPr="00B004EE">
        <w:rPr>
          <w:rFonts w:ascii="Tahoma" w:hAnsi="Tahoma" w:cs="Tahoma"/>
          <w:spacing w:val="49"/>
          <w:sz w:val="20"/>
          <w:szCs w:val="20"/>
        </w:rPr>
        <w:t xml:space="preserve"> </w:t>
      </w:r>
      <w:r w:rsidRPr="00B004EE">
        <w:rPr>
          <w:rFonts w:ascii="Tahoma" w:hAnsi="Tahoma" w:cs="Tahoma"/>
          <w:sz w:val="20"/>
          <w:szCs w:val="20"/>
        </w:rPr>
        <w:t>pêche</w:t>
      </w:r>
      <w:r w:rsidR="00DB1635" w:rsidRPr="00B004EE">
        <w:rPr>
          <w:rFonts w:ascii="Tahoma" w:hAnsi="Tahoma" w:cs="Tahoma"/>
          <w:spacing w:val="49"/>
          <w:sz w:val="20"/>
          <w:szCs w:val="20"/>
        </w:rPr>
        <w:t xml:space="preserve"> </w:t>
      </w:r>
      <w:r w:rsidRPr="00B004EE">
        <w:rPr>
          <w:rFonts w:ascii="Tahoma" w:hAnsi="Tahoma" w:cs="Tahoma"/>
          <w:sz w:val="20"/>
          <w:szCs w:val="20"/>
        </w:rPr>
        <w:t>et</w:t>
      </w:r>
      <w:r w:rsidR="00DB1635" w:rsidRPr="00B004EE">
        <w:rPr>
          <w:rFonts w:ascii="Tahoma" w:hAnsi="Tahoma" w:cs="Tahoma"/>
          <w:spacing w:val="50"/>
          <w:sz w:val="20"/>
          <w:szCs w:val="20"/>
        </w:rPr>
        <w:t xml:space="preserve"> </w:t>
      </w:r>
      <w:r w:rsidRPr="00B004EE">
        <w:rPr>
          <w:rFonts w:ascii="Tahoma" w:hAnsi="Tahoma" w:cs="Tahoma"/>
          <w:sz w:val="20"/>
          <w:szCs w:val="20"/>
        </w:rPr>
        <w:t>le</w:t>
      </w:r>
      <w:r w:rsidR="00DB1635" w:rsidRPr="00B004EE">
        <w:rPr>
          <w:rFonts w:ascii="Tahoma" w:hAnsi="Tahoma" w:cs="Tahoma"/>
          <w:w w:val="94"/>
          <w:sz w:val="20"/>
          <w:szCs w:val="20"/>
        </w:rPr>
        <w:t xml:space="preserve"> </w:t>
      </w:r>
      <w:r w:rsidRPr="00B004EE">
        <w:rPr>
          <w:rFonts w:ascii="Tahoma" w:hAnsi="Tahoma" w:cs="Tahoma"/>
          <w:sz w:val="20"/>
          <w:szCs w:val="20"/>
        </w:rPr>
        <w:t>marquage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engins</w:t>
      </w:r>
      <w:r w:rsidR="00DB1635" w:rsidRPr="00B004EE">
        <w:rPr>
          <w:rFonts w:ascii="Tahoma" w:hAnsi="Tahoma" w:cs="Tahoma"/>
          <w:spacing w:val="13"/>
          <w:sz w:val="20"/>
          <w:szCs w:val="20"/>
        </w:rPr>
        <w:t xml:space="preserve"> </w:t>
      </w:r>
      <w:r w:rsidRPr="00B004EE">
        <w:rPr>
          <w:rFonts w:ascii="Tahoma" w:hAnsi="Tahoma" w:cs="Tahoma"/>
          <w:sz w:val="20"/>
          <w:szCs w:val="20"/>
        </w:rPr>
        <w:t>;</w:t>
      </w:r>
    </w:p>
    <w:p w14:paraId="0A322C26" w14:textId="652EFA95" w:rsidR="001E7C3C" w:rsidRPr="00B004EE" w:rsidRDefault="001E7C3C" w:rsidP="00420DDA">
      <w:pPr>
        <w:pStyle w:val="Paragraphedeliste"/>
        <w:widowControl w:val="0"/>
        <w:numPr>
          <w:ilvl w:val="0"/>
          <w:numId w:val="126"/>
        </w:numPr>
        <w:tabs>
          <w:tab w:val="left" w:pos="1154"/>
        </w:tabs>
        <w:ind w:right="559"/>
        <w:rPr>
          <w:rFonts w:ascii="Tahoma" w:eastAsia="American Typewriter" w:hAnsi="Tahoma" w:cs="Tahoma"/>
          <w:sz w:val="20"/>
          <w:szCs w:val="20"/>
        </w:rPr>
      </w:pPr>
      <w:r w:rsidRPr="00B004EE">
        <w:rPr>
          <w:rFonts w:ascii="Tahoma" w:eastAsia="American Typewriter" w:hAnsi="Tahoma" w:cs="Tahoma"/>
          <w:sz w:val="20"/>
          <w:szCs w:val="20"/>
        </w:rPr>
        <w:t>La</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définition</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mesures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destinées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à</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prévenir</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et</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régler</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les</w:t>
      </w:r>
      <w:r w:rsidR="00DB1635" w:rsidRPr="00B004EE">
        <w:rPr>
          <w:rFonts w:ascii="Tahoma" w:eastAsia="American Typewriter" w:hAnsi="Tahoma" w:cs="Tahoma"/>
          <w:spacing w:val="13"/>
          <w:sz w:val="20"/>
          <w:szCs w:val="20"/>
        </w:rPr>
        <w:t xml:space="preserve"> </w:t>
      </w:r>
      <w:r w:rsidRPr="00B004EE">
        <w:rPr>
          <w:rFonts w:ascii="Tahoma" w:eastAsia="American Typewriter" w:hAnsi="Tahoma" w:cs="Tahoma"/>
          <w:sz w:val="20"/>
          <w:szCs w:val="20"/>
        </w:rPr>
        <w:t>conflits</w:t>
      </w:r>
      <w:r w:rsidR="00DB1635" w:rsidRPr="00B004EE">
        <w:rPr>
          <w:rFonts w:ascii="Tahoma" w:eastAsia="American Typewriter" w:hAnsi="Tahoma" w:cs="Tahoma"/>
          <w:spacing w:val="-1"/>
          <w:w w:val="95"/>
          <w:sz w:val="20"/>
          <w:szCs w:val="20"/>
        </w:rPr>
        <w:t xml:space="preserve"> </w:t>
      </w:r>
      <w:r w:rsidRPr="00B004EE">
        <w:rPr>
          <w:rFonts w:ascii="Tahoma" w:eastAsia="American Typewriter" w:hAnsi="Tahoma" w:cs="Tahoma"/>
          <w:sz w:val="20"/>
          <w:szCs w:val="20"/>
        </w:rPr>
        <w:t>d’intérêt</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entre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différentes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pêcheries</w:t>
      </w:r>
      <w:r w:rsidR="00DB1635" w:rsidRPr="00B004EE">
        <w:rPr>
          <w:rFonts w:ascii="Tahoma" w:eastAsia="American Typewriter" w:hAnsi="Tahoma" w:cs="Tahoma"/>
          <w:spacing w:val="10"/>
          <w:sz w:val="20"/>
          <w:szCs w:val="20"/>
        </w:rPr>
        <w:t xml:space="preserve"> </w:t>
      </w:r>
      <w:r w:rsidRPr="00B004EE">
        <w:rPr>
          <w:rFonts w:ascii="Tahoma" w:eastAsia="American Typewriter" w:hAnsi="Tahoma" w:cs="Tahoma"/>
          <w:sz w:val="20"/>
          <w:szCs w:val="20"/>
        </w:rPr>
        <w:t>;</w:t>
      </w:r>
    </w:p>
    <w:p w14:paraId="41D452AB" w14:textId="50A5E8BF" w:rsidR="001E7C3C" w:rsidRPr="00B004EE" w:rsidRDefault="001E7C3C" w:rsidP="00420DDA">
      <w:pPr>
        <w:pStyle w:val="Paragraphedeliste"/>
        <w:widowControl w:val="0"/>
        <w:numPr>
          <w:ilvl w:val="0"/>
          <w:numId w:val="126"/>
        </w:numPr>
        <w:tabs>
          <w:tab w:val="left" w:pos="1154"/>
        </w:tabs>
        <w:ind w:right="559"/>
        <w:rPr>
          <w:rFonts w:ascii="Tahoma" w:eastAsia="American Typewriter" w:hAnsi="Tahoma" w:cs="Tahoma"/>
          <w:sz w:val="20"/>
          <w:szCs w:val="20"/>
        </w:rPr>
      </w:pP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réglementation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dispositifs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concentration</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poissons</w:t>
      </w:r>
      <w:r w:rsidR="00DB1635" w:rsidRPr="00B004EE">
        <w:rPr>
          <w:rFonts w:ascii="Tahoma" w:hAnsi="Tahoma" w:cs="Tahoma"/>
          <w:spacing w:val="-42"/>
          <w:sz w:val="20"/>
          <w:szCs w:val="20"/>
        </w:rPr>
        <w:t xml:space="preserve"> </w:t>
      </w:r>
      <w:r w:rsidRPr="00B004EE">
        <w:rPr>
          <w:rFonts w:ascii="Tahoma" w:hAnsi="Tahoma" w:cs="Tahoma"/>
          <w:sz w:val="20"/>
          <w:szCs w:val="20"/>
        </w:rPr>
        <w:t>;</w:t>
      </w:r>
    </w:p>
    <w:p w14:paraId="0974520D" w14:textId="73D3A14A" w:rsidR="001E7C3C" w:rsidRPr="00B004EE" w:rsidRDefault="001E7C3C" w:rsidP="00420DDA">
      <w:pPr>
        <w:pStyle w:val="Paragraphedeliste"/>
        <w:widowControl w:val="0"/>
        <w:numPr>
          <w:ilvl w:val="0"/>
          <w:numId w:val="126"/>
        </w:numPr>
        <w:tabs>
          <w:tab w:val="left" w:pos="1154"/>
        </w:tabs>
        <w:ind w:right="559"/>
        <w:rPr>
          <w:rFonts w:ascii="Tahoma" w:eastAsia="American Typewriter" w:hAnsi="Tahoma" w:cs="Tahoma"/>
          <w:sz w:val="20"/>
          <w:szCs w:val="20"/>
        </w:rPr>
      </w:pP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réglementation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rejets</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mer</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espèces</w:t>
      </w:r>
      <w:r w:rsidR="00DB1635" w:rsidRPr="00B004EE">
        <w:rPr>
          <w:rFonts w:ascii="Tahoma" w:hAnsi="Tahoma" w:cs="Tahoma"/>
          <w:spacing w:val="-11"/>
          <w:sz w:val="20"/>
          <w:szCs w:val="20"/>
        </w:rPr>
        <w:t xml:space="preserve"> </w:t>
      </w:r>
      <w:r w:rsidR="00F81386" w:rsidRPr="00B004EE">
        <w:rPr>
          <w:rFonts w:ascii="Tahoma" w:hAnsi="Tahoma" w:cs="Tahoma"/>
          <w:sz w:val="20"/>
          <w:szCs w:val="20"/>
        </w:rPr>
        <w:t>vivantes ;</w:t>
      </w:r>
    </w:p>
    <w:p w14:paraId="4E7C6DBA" w14:textId="56A9B43D" w:rsidR="001E7C3C" w:rsidRPr="00B004EE" w:rsidRDefault="001E7C3C" w:rsidP="00420DDA">
      <w:pPr>
        <w:pStyle w:val="Paragraphedeliste"/>
        <w:widowControl w:val="0"/>
        <w:numPr>
          <w:ilvl w:val="0"/>
          <w:numId w:val="126"/>
        </w:numPr>
        <w:tabs>
          <w:tab w:val="left" w:pos="1244"/>
        </w:tabs>
        <w:ind w:right="159"/>
        <w:rPr>
          <w:rFonts w:ascii="Tahoma" w:eastAsia="American Typewriter" w:hAnsi="Tahoma" w:cs="Tahoma"/>
          <w:sz w:val="20"/>
          <w:szCs w:val="20"/>
        </w:rPr>
      </w:pPr>
      <w:r w:rsidRPr="00B004EE">
        <w:rPr>
          <w:rFonts w:ascii="Tahoma" w:eastAsia="American Typewriter" w:hAnsi="Tahoma" w:cs="Tahoma"/>
          <w:sz w:val="20"/>
          <w:szCs w:val="20"/>
        </w:rPr>
        <w:t>La</w:t>
      </w:r>
      <w:r w:rsidR="00DB1635" w:rsidRPr="00B004EE">
        <w:rPr>
          <w:rFonts w:ascii="Tahoma" w:eastAsia="American Typewriter" w:hAnsi="Tahoma" w:cs="Tahoma"/>
          <w:spacing w:val="-12"/>
          <w:sz w:val="20"/>
          <w:szCs w:val="20"/>
        </w:rPr>
        <w:t xml:space="preserve"> </w:t>
      </w:r>
      <w:r w:rsidRPr="00B004EE">
        <w:rPr>
          <w:rFonts w:ascii="Tahoma" w:eastAsia="American Typewriter" w:hAnsi="Tahoma" w:cs="Tahoma"/>
          <w:sz w:val="20"/>
          <w:szCs w:val="20"/>
        </w:rPr>
        <w:t>réglementation</w:t>
      </w:r>
      <w:r w:rsidR="00DB1635" w:rsidRPr="00B004EE">
        <w:rPr>
          <w:rFonts w:ascii="Tahoma" w:eastAsia="American Typewriter" w:hAnsi="Tahoma" w:cs="Tahoma"/>
          <w:spacing w:val="-14"/>
          <w:sz w:val="20"/>
          <w:szCs w:val="20"/>
        </w:rPr>
        <w:t xml:space="preserve"> </w:t>
      </w:r>
      <w:r w:rsidRPr="00B004EE">
        <w:rPr>
          <w:rFonts w:ascii="Tahoma" w:eastAsia="American Typewriter" w:hAnsi="Tahoma" w:cs="Tahoma"/>
          <w:sz w:val="20"/>
          <w:szCs w:val="20"/>
        </w:rPr>
        <w:t>régissant</w:t>
      </w:r>
      <w:r w:rsidR="00DB1635" w:rsidRPr="00B004EE">
        <w:rPr>
          <w:rFonts w:ascii="Tahoma" w:eastAsia="American Typewriter" w:hAnsi="Tahoma" w:cs="Tahoma"/>
          <w:spacing w:val="-14"/>
          <w:sz w:val="20"/>
          <w:szCs w:val="20"/>
        </w:rPr>
        <w:t xml:space="preserve"> </w:t>
      </w:r>
      <w:r w:rsidRPr="00B004EE">
        <w:rPr>
          <w:rFonts w:ascii="Tahoma" w:eastAsia="American Typewriter" w:hAnsi="Tahoma" w:cs="Tahoma"/>
          <w:sz w:val="20"/>
          <w:szCs w:val="20"/>
        </w:rPr>
        <w:t>l’aquaculture</w:t>
      </w:r>
      <w:r w:rsidR="00DB1635" w:rsidRPr="00B004EE">
        <w:rPr>
          <w:rFonts w:ascii="Tahoma" w:eastAsia="American Typewriter" w:hAnsi="Tahoma" w:cs="Tahoma"/>
          <w:spacing w:val="-11"/>
          <w:sz w:val="20"/>
          <w:szCs w:val="20"/>
        </w:rPr>
        <w:t xml:space="preserve"> </w:t>
      </w:r>
      <w:r w:rsidRPr="00B004EE">
        <w:rPr>
          <w:rFonts w:ascii="Tahoma" w:eastAsia="American Typewriter" w:hAnsi="Tahoma" w:cs="Tahoma"/>
          <w:sz w:val="20"/>
          <w:szCs w:val="20"/>
        </w:rPr>
        <w:t>marine</w:t>
      </w:r>
      <w:r w:rsidR="00DB1635" w:rsidRPr="00B004EE">
        <w:rPr>
          <w:rFonts w:ascii="Tahoma" w:eastAsia="American Typewriter" w:hAnsi="Tahoma" w:cs="Tahoma"/>
          <w:spacing w:val="-14"/>
          <w:sz w:val="20"/>
          <w:szCs w:val="20"/>
        </w:rPr>
        <w:t xml:space="preserve"> </w:t>
      </w:r>
      <w:r w:rsidRPr="00B004EE">
        <w:rPr>
          <w:rFonts w:ascii="Tahoma" w:eastAsia="American Typewriter" w:hAnsi="Tahoma" w:cs="Tahoma"/>
          <w:sz w:val="20"/>
          <w:szCs w:val="20"/>
        </w:rPr>
        <w:t>et</w:t>
      </w:r>
      <w:r w:rsidR="00DB1635" w:rsidRPr="00B004EE">
        <w:rPr>
          <w:rFonts w:ascii="Tahoma" w:eastAsia="American Typewriter" w:hAnsi="Tahoma" w:cs="Tahoma"/>
          <w:spacing w:val="-14"/>
          <w:sz w:val="20"/>
          <w:szCs w:val="20"/>
        </w:rPr>
        <w:t xml:space="preserve"> </w:t>
      </w:r>
      <w:r w:rsidRPr="00B004EE">
        <w:rPr>
          <w:rFonts w:ascii="Tahoma" w:eastAsia="American Typewriter" w:hAnsi="Tahoma" w:cs="Tahoma"/>
          <w:sz w:val="20"/>
          <w:szCs w:val="20"/>
        </w:rPr>
        <w:t>la</w:t>
      </w:r>
      <w:r w:rsidR="00DB1635" w:rsidRPr="00B004EE">
        <w:rPr>
          <w:rFonts w:ascii="Tahoma" w:eastAsia="American Typewriter" w:hAnsi="Tahoma" w:cs="Tahoma"/>
          <w:spacing w:val="-14"/>
          <w:sz w:val="20"/>
          <w:szCs w:val="20"/>
        </w:rPr>
        <w:t xml:space="preserve"> </w:t>
      </w:r>
      <w:r w:rsidRPr="00B004EE">
        <w:rPr>
          <w:rFonts w:ascii="Tahoma" w:eastAsia="American Typewriter" w:hAnsi="Tahoma" w:cs="Tahoma"/>
          <w:sz w:val="20"/>
          <w:szCs w:val="20"/>
        </w:rPr>
        <w:t>pêche</w:t>
      </w:r>
      <w:r w:rsidR="00DB1635" w:rsidRPr="00B004EE">
        <w:rPr>
          <w:rFonts w:ascii="Tahoma" w:eastAsia="American Typewriter" w:hAnsi="Tahoma" w:cs="Tahoma"/>
          <w:spacing w:val="-14"/>
          <w:sz w:val="20"/>
          <w:szCs w:val="20"/>
        </w:rPr>
        <w:t xml:space="preserve"> </w:t>
      </w:r>
      <w:r w:rsidRPr="00B004EE">
        <w:rPr>
          <w:rFonts w:ascii="Tahoma" w:eastAsia="American Typewriter" w:hAnsi="Tahoma" w:cs="Tahoma"/>
          <w:sz w:val="20"/>
          <w:szCs w:val="20"/>
        </w:rPr>
        <w:t>fondée</w:t>
      </w:r>
      <w:r w:rsidR="00DB1635" w:rsidRPr="00B004EE">
        <w:rPr>
          <w:rFonts w:ascii="Tahoma" w:eastAsia="American Typewriter" w:hAnsi="Tahoma" w:cs="Tahoma"/>
          <w:spacing w:val="-14"/>
          <w:sz w:val="20"/>
          <w:szCs w:val="20"/>
        </w:rPr>
        <w:t xml:space="preserve"> </w:t>
      </w:r>
      <w:r w:rsidRPr="00B004EE">
        <w:rPr>
          <w:rFonts w:ascii="Tahoma" w:eastAsia="American Typewriter" w:hAnsi="Tahoma" w:cs="Tahoma"/>
          <w:sz w:val="20"/>
          <w:szCs w:val="20"/>
        </w:rPr>
        <w:t>sur</w:t>
      </w:r>
      <w:r w:rsidR="00DB1635" w:rsidRPr="00B004EE">
        <w:rPr>
          <w:rFonts w:ascii="Tahoma" w:eastAsia="American Typewriter" w:hAnsi="Tahoma" w:cs="Tahoma"/>
          <w:w w:val="90"/>
          <w:sz w:val="20"/>
          <w:szCs w:val="20"/>
        </w:rPr>
        <w:t xml:space="preserve"> </w:t>
      </w:r>
      <w:r w:rsidRPr="00B004EE">
        <w:rPr>
          <w:rFonts w:ascii="Tahoma" w:eastAsia="American Typewriter" w:hAnsi="Tahoma" w:cs="Tahoma"/>
          <w:sz w:val="20"/>
          <w:szCs w:val="20"/>
        </w:rPr>
        <w:t>l’amélioration</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rendements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écosystèmes</w:t>
      </w:r>
      <w:r w:rsidR="00DB1635" w:rsidRPr="00B004EE">
        <w:rPr>
          <w:rFonts w:ascii="Tahoma" w:eastAsia="American Typewriter" w:hAnsi="Tahoma" w:cs="Tahoma"/>
          <w:spacing w:val="-21"/>
          <w:sz w:val="20"/>
          <w:szCs w:val="20"/>
        </w:rPr>
        <w:t xml:space="preserve"> </w:t>
      </w:r>
      <w:r w:rsidR="00F81386" w:rsidRPr="00B004EE">
        <w:rPr>
          <w:rFonts w:ascii="Tahoma" w:eastAsia="American Typewriter" w:hAnsi="Tahoma" w:cs="Tahoma"/>
          <w:sz w:val="20"/>
          <w:szCs w:val="20"/>
        </w:rPr>
        <w:t>aquatiques ;</w:t>
      </w:r>
    </w:p>
    <w:p w14:paraId="168A4A78" w14:textId="0CEC1901" w:rsidR="001E7C3C" w:rsidRPr="00B004EE" w:rsidRDefault="001E7C3C" w:rsidP="00420DDA">
      <w:pPr>
        <w:pStyle w:val="Paragraphedeliste"/>
        <w:widowControl w:val="0"/>
        <w:numPr>
          <w:ilvl w:val="0"/>
          <w:numId w:val="126"/>
        </w:numPr>
        <w:tabs>
          <w:tab w:val="left" w:pos="1154"/>
          <w:tab w:val="left" w:pos="2124"/>
          <w:tab w:val="left" w:pos="3055"/>
          <w:tab w:val="left" w:pos="4590"/>
          <w:tab w:val="left" w:pos="5777"/>
          <w:tab w:val="left" w:pos="6131"/>
          <w:tab w:val="left" w:pos="6563"/>
          <w:tab w:val="left" w:pos="7412"/>
          <w:tab w:val="left" w:pos="7844"/>
          <w:tab w:val="left" w:pos="8472"/>
        </w:tabs>
        <w:ind w:right="158"/>
        <w:rPr>
          <w:rFonts w:ascii="Tahoma" w:eastAsia="American Typewriter" w:hAnsi="Tahoma" w:cs="Tahoma"/>
          <w:sz w:val="20"/>
          <w:szCs w:val="20"/>
        </w:rPr>
      </w:pPr>
      <w:r w:rsidRPr="00B004EE">
        <w:rPr>
          <w:rFonts w:ascii="Tahoma" w:hAnsi="Tahoma" w:cs="Tahoma"/>
          <w:w w:val="95"/>
          <w:sz w:val="20"/>
          <w:szCs w:val="20"/>
        </w:rPr>
        <w:t>Toutes</w:t>
      </w:r>
      <w:r w:rsidR="00F81386" w:rsidRPr="00B004EE">
        <w:rPr>
          <w:rFonts w:ascii="Tahoma" w:hAnsi="Tahoma" w:cs="Tahoma"/>
          <w:w w:val="95"/>
          <w:sz w:val="20"/>
          <w:szCs w:val="20"/>
        </w:rPr>
        <w:t xml:space="preserve"> </w:t>
      </w:r>
      <w:r w:rsidR="00F81386" w:rsidRPr="00B004EE">
        <w:rPr>
          <w:rFonts w:ascii="Tahoma" w:hAnsi="Tahoma" w:cs="Tahoma"/>
          <w:spacing w:val="-1"/>
          <w:w w:val="95"/>
          <w:sz w:val="20"/>
          <w:szCs w:val="20"/>
        </w:rPr>
        <w:t xml:space="preserve">autres dispositions </w:t>
      </w:r>
      <w:r w:rsidRPr="00B004EE">
        <w:rPr>
          <w:rFonts w:ascii="Tahoma" w:hAnsi="Tahoma" w:cs="Tahoma"/>
          <w:spacing w:val="-1"/>
          <w:w w:val="95"/>
          <w:sz w:val="20"/>
          <w:szCs w:val="20"/>
        </w:rPr>
        <w:t>relatives</w:t>
      </w:r>
      <w:r w:rsidR="00F81386" w:rsidRPr="00B004EE">
        <w:rPr>
          <w:rFonts w:ascii="Tahoma" w:hAnsi="Tahoma" w:cs="Tahoma"/>
          <w:spacing w:val="-1"/>
          <w:w w:val="95"/>
          <w:sz w:val="20"/>
          <w:szCs w:val="20"/>
        </w:rPr>
        <w:t xml:space="preserve"> </w:t>
      </w:r>
      <w:r w:rsidRPr="00B004EE">
        <w:rPr>
          <w:rFonts w:ascii="Tahoma" w:hAnsi="Tahoma" w:cs="Tahoma"/>
          <w:w w:val="95"/>
          <w:sz w:val="20"/>
          <w:szCs w:val="20"/>
        </w:rPr>
        <w:t>à</w:t>
      </w:r>
      <w:r w:rsidR="00F81386" w:rsidRPr="00B004EE">
        <w:rPr>
          <w:rFonts w:ascii="Tahoma" w:hAnsi="Tahoma" w:cs="Tahoma"/>
          <w:w w:val="95"/>
          <w:sz w:val="20"/>
          <w:szCs w:val="20"/>
        </w:rPr>
        <w:t xml:space="preserve"> </w:t>
      </w:r>
      <w:r w:rsidRPr="00B004EE">
        <w:rPr>
          <w:rFonts w:ascii="Tahoma" w:hAnsi="Tahoma" w:cs="Tahoma"/>
          <w:w w:val="95"/>
          <w:sz w:val="20"/>
          <w:szCs w:val="20"/>
        </w:rPr>
        <w:t>la</w:t>
      </w:r>
      <w:r w:rsidR="00F81386" w:rsidRPr="00B004EE">
        <w:rPr>
          <w:rFonts w:ascii="Tahoma" w:hAnsi="Tahoma" w:cs="Tahoma"/>
          <w:w w:val="95"/>
          <w:sz w:val="20"/>
          <w:szCs w:val="20"/>
        </w:rPr>
        <w:t xml:space="preserve"> </w:t>
      </w:r>
      <w:r w:rsidRPr="00B004EE">
        <w:rPr>
          <w:rFonts w:ascii="Tahoma" w:hAnsi="Tahoma" w:cs="Tahoma"/>
          <w:spacing w:val="-1"/>
          <w:w w:val="90"/>
          <w:sz w:val="20"/>
          <w:szCs w:val="20"/>
        </w:rPr>
        <w:t>pêche</w:t>
      </w:r>
      <w:r w:rsidR="00F81386" w:rsidRPr="00B004EE">
        <w:rPr>
          <w:rFonts w:ascii="Tahoma" w:hAnsi="Tahoma" w:cs="Tahoma"/>
          <w:spacing w:val="-1"/>
          <w:w w:val="90"/>
          <w:sz w:val="20"/>
          <w:szCs w:val="20"/>
        </w:rPr>
        <w:t xml:space="preserve"> </w:t>
      </w:r>
      <w:r w:rsidRPr="00B004EE">
        <w:rPr>
          <w:rFonts w:ascii="Tahoma" w:hAnsi="Tahoma" w:cs="Tahoma"/>
          <w:w w:val="95"/>
          <w:sz w:val="20"/>
          <w:szCs w:val="20"/>
        </w:rPr>
        <w:t>et</w:t>
      </w:r>
      <w:r w:rsidR="00F81386" w:rsidRPr="00B004EE">
        <w:rPr>
          <w:rFonts w:ascii="Tahoma" w:hAnsi="Tahoma" w:cs="Tahoma"/>
          <w:w w:val="95"/>
          <w:sz w:val="20"/>
          <w:szCs w:val="20"/>
        </w:rPr>
        <w:t xml:space="preserve"> </w:t>
      </w:r>
      <w:r w:rsidRPr="00B004EE">
        <w:rPr>
          <w:rFonts w:ascii="Tahoma" w:hAnsi="Tahoma" w:cs="Tahoma"/>
          <w:w w:val="90"/>
          <w:sz w:val="20"/>
          <w:szCs w:val="20"/>
        </w:rPr>
        <w:t>aux</w:t>
      </w:r>
      <w:r w:rsidR="00F81386" w:rsidRPr="00B004EE">
        <w:rPr>
          <w:rFonts w:ascii="Tahoma" w:hAnsi="Tahoma" w:cs="Tahoma"/>
          <w:w w:val="90"/>
          <w:sz w:val="20"/>
          <w:szCs w:val="20"/>
        </w:rPr>
        <w:t xml:space="preserve"> </w:t>
      </w:r>
      <w:r w:rsidRPr="00B004EE">
        <w:rPr>
          <w:rFonts w:ascii="Tahoma" w:hAnsi="Tahoma" w:cs="Tahoma"/>
          <w:w w:val="95"/>
          <w:sz w:val="20"/>
          <w:szCs w:val="20"/>
        </w:rPr>
        <w:t>produits</w:t>
      </w:r>
      <w:r w:rsidR="00DB1635" w:rsidRPr="00B004EE">
        <w:rPr>
          <w:rFonts w:ascii="Tahoma" w:hAnsi="Tahoma" w:cs="Tahoma"/>
          <w:spacing w:val="-53"/>
          <w:w w:val="95"/>
          <w:sz w:val="20"/>
          <w:szCs w:val="20"/>
        </w:rPr>
        <w:t xml:space="preserve"> </w:t>
      </w:r>
      <w:r w:rsidRPr="00B004EE">
        <w:rPr>
          <w:rFonts w:ascii="Tahoma" w:hAnsi="Tahoma" w:cs="Tahoma"/>
          <w:sz w:val="20"/>
          <w:szCs w:val="20"/>
        </w:rPr>
        <w:t>halieutiques.</w:t>
      </w:r>
    </w:p>
    <w:p w14:paraId="5257A586" w14:textId="77777777" w:rsidR="001E7C3C" w:rsidRPr="00B004EE" w:rsidRDefault="001E7C3C" w:rsidP="00B004EE">
      <w:pPr>
        <w:ind w:left="-4" w:right="164"/>
        <w:jc w:val="center"/>
        <w:rPr>
          <w:rFonts w:ascii="Tahoma" w:hAnsi="Tahoma" w:cs="Tahoma"/>
          <w:b/>
          <w:spacing w:val="1"/>
          <w:w w:val="113"/>
          <w:sz w:val="20"/>
          <w:szCs w:val="20"/>
        </w:rPr>
      </w:pPr>
    </w:p>
    <w:p w14:paraId="0775EDE9" w14:textId="1EC615A3" w:rsidR="001E7C3C" w:rsidRPr="00B004EE" w:rsidRDefault="001E7C3C" w:rsidP="00B004EE">
      <w:pPr>
        <w:ind w:right="164" w:hanging="4"/>
        <w:jc w:val="center"/>
        <w:rPr>
          <w:rFonts w:ascii="Tahoma" w:hAnsi="Tahoma" w:cs="Tahoma"/>
          <w:b/>
          <w:spacing w:val="1"/>
          <w:w w:val="113"/>
          <w:sz w:val="20"/>
          <w:szCs w:val="20"/>
        </w:rPr>
      </w:pPr>
      <w:bookmarkStart w:id="85" w:name="_Toc16279075"/>
      <w:bookmarkStart w:id="86" w:name="_Toc16279444"/>
      <w:r w:rsidRPr="00B004EE">
        <w:rPr>
          <w:rFonts w:ascii="Tahoma" w:hAnsi="Tahoma" w:cs="Tahoma"/>
          <w:b/>
          <w:spacing w:val="1"/>
          <w:w w:val="113"/>
          <w:sz w:val="20"/>
          <w:szCs w:val="20"/>
        </w:rPr>
        <w:t>TITRE</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IV</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DE</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L’AQUACULTURE</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MARINE</w:t>
      </w:r>
      <w:bookmarkEnd w:id="85"/>
      <w:bookmarkEnd w:id="86"/>
    </w:p>
    <w:p w14:paraId="3038BFF8" w14:textId="77777777" w:rsidR="00BB060F" w:rsidRPr="00B004EE" w:rsidRDefault="00BB060F" w:rsidP="00B004EE">
      <w:pPr>
        <w:ind w:right="164" w:hanging="4"/>
        <w:jc w:val="center"/>
        <w:rPr>
          <w:rFonts w:ascii="Tahoma" w:hAnsi="Tahoma" w:cs="Tahoma"/>
          <w:b/>
          <w:spacing w:val="1"/>
          <w:w w:val="113"/>
          <w:sz w:val="20"/>
          <w:szCs w:val="20"/>
        </w:rPr>
      </w:pPr>
    </w:p>
    <w:p w14:paraId="01F5A822" w14:textId="142FD22D" w:rsidR="001E7C3C" w:rsidRPr="00B004EE" w:rsidRDefault="001E7C3C" w:rsidP="00B004EE">
      <w:pPr>
        <w:pStyle w:val="Corpsdetexte"/>
        <w:ind w:right="165"/>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52</w:t>
      </w:r>
      <w:r w:rsidR="00DB1635" w:rsidRPr="00B004EE">
        <w:rPr>
          <w:rFonts w:ascii="Tahoma" w:hAnsi="Tahoma" w:cs="Tahoma"/>
          <w:bCs/>
          <w:sz w:val="20"/>
          <w:szCs w:val="20"/>
        </w:rPr>
        <w:t xml:space="preserve"> </w:t>
      </w:r>
      <w:r w:rsidRPr="00B004EE">
        <w:rPr>
          <w:rFonts w:ascii="Tahoma" w:hAnsi="Tahoma" w:cs="Tahoma"/>
          <w:bCs/>
          <w:sz w:val="20"/>
          <w:szCs w:val="20"/>
        </w:rPr>
        <w:t>:</w:t>
      </w:r>
      <w:r w:rsidR="00DB1635" w:rsidRPr="00B004EE">
        <w:rPr>
          <w:rFonts w:ascii="Tahoma" w:hAnsi="Tahoma" w:cs="Tahoma"/>
          <w:b/>
          <w:spacing w:val="-28"/>
          <w:sz w:val="20"/>
          <w:szCs w:val="20"/>
        </w:rPr>
        <w:t xml:space="preserve"> </w:t>
      </w:r>
      <w:r w:rsidRPr="00B004EE">
        <w:rPr>
          <w:rFonts w:ascii="Tahoma" w:hAnsi="Tahoma" w:cs="Tahoma"/>
          <w:sz w:val="20"/>
          <w:szCs w:val="20"/>
        </w:rPr>
        <w:t>L'aquaculture</w:t>
      </w:r>
      <w:r w:rsidR="00DB1635" w:rsidRPr="00B004EE">
        <w:rPr>
          <w:rFonts w:ascii="Tahoma" w:hAnsi="Tahoma" w:cs="Tahoma"/>
          <w:spacing w:val="-30"/>
          <w:sz w:val="20"/>
          <w:szCs w:val="20"/>
        </w:rPr>
        <w:t xml:space="preserve"> </w:t>
      </w:r>
      <w:r w:rsidRPr="00B004EE">
        <w:rPr>
          <w:rFonts w:ascii="Tahoma" w:hAnsi="Tahoma" w:cs="Tahoma"/>
          <w:sz w:val="20"/>
          <w:szCs w:val="20"/>
        </w:rPr>
        <w:t>marine</w:t>
      </w:r>
      <w:r w:rsidR="00DB1635" w:rsidRPr="00B004EE">
        <w:rPr>
          <w:rFonts w:ascii="Tahoma" w:hAnsi="Tahoma" w:cs="Tahoma"/>
          <w:spacing w:val="-30"/>
          <w:sz w:val="20"/>
          <w:szCs w:val="20"/>
        </w:rPr>
        <w:t xml:space="preserve"> </w:t>
      </w:r>
      <w:r w:rsidRPr="00B004EE">
        <w:rPr>
          <w:rFonts w:ascii="Tahoma" w:hAnsi="Tahoma" w:cs="Tahoma"/>
          <w:sz w:val="20"/>
          <w:szCs w:val="20"/>
        </w:rPr>
        <w:t>englobe</w:t>
      </w:r>
      <w:r w:rsidR="00DB1635" w:rsidRPr="00B004EE">
        <w:rPr>
          <w:rFonts w:ascii="Tahoma" w:hAnsi="Tahoma" w:cs="Tahoma"/>
          <w:spacing w:val="-30"/>
          <w:sz w:val="20"/>
          <w:szCs w:val="20"/>
        </w:rPr>
        <w:t xml:space="preserve"> </w:t>
      </w:r>
      <w:r w:rsidRPr="00B004EE">
        <w:rPr>
          <w:rFonts w:ascii="Tahoma" w:hAnsi="Tahoma" w:cs="Tahoma"/>
          <w:sz w:val="20"/>
          <w:szCs w:val="20"/>
        </w:rPr>
        <w:t>toutes</w:t>
      </w:r>
      <w:r w:rsidR="00DB1635" w:rsidRPr="00B004EE">
        <w:rPr>
          <w:rFonts w:ascii="Tahoma" w:hAnsi="Tahoma" w:cs="Tahoma"/>
          <w:spacing w:val="-30"/>
          <w:sz w:val="20"/>
          <w:szCs w:val="20"/>
        </w:rPr>
        <w:t xml:space="preserve"> </w:t>
      </w:r>
      <w:r w:rsidRPr="00B004EE">
        <w:rPr>
          <w:rFonts w:ascii="Tahoma" w:hAnsi="Tahoma" w:cs="Tahoma"/>
          <w:sz w:val="20"/>
          <w:szCs w:val="20"/>
        </w:rPr>
        <w:t>les</w:t>
      </w:r>
      <w:r w:rsidR="00DB1635" w:rsidRPr="00B004EE">
        <w:rPr>
          <w:rFonts w:ascii="Tahoma" w:hAnsi="Tahoma" w:cs="Tahoma"/>
          <w:spacing w:val="-30"/>
          <w:sz w:val="20"/>
          <w:szCs w:val="20"/>
        </w:rPr>
        <w:t xml:space="preserve"> </w:t>
      </w:r>
      <w:r w:rsidRPr="00B004EE">
        <w:rPr>
          <w:rFonts w:ascii="Tahoma" w:hAnsi="Tahoma" w:cs="Tahoma"/>
          <w:sz w:val="20"/>
          <w:szCs w:val="20"/>
        </w:rPr>
        <w:t>activités</w:t>
      </w:r>
      <w:r w:rsidR="00DB1635" w:rsidRPr="00B004EE">
        <w:rPr>
          <w:rFonts w:ascii="Tahoma" w:hAnsi="Tahoma" w:cs="Tahoma"/>
          <w:spacing w:val="-30"/>
          <w:sz w:val="20"/>
          <w:szCs w:val="20"/>
        </w:rPr>
        <w:t xml:space="preserve"> </w:t>
      </w:r>
      <w:r w:rsidRPr="00B004EE">
        <w:rPr>
          <w:rFonts w:ascii="Tahoma" w:hAnsi="Tahoma" w:cs="Tahoma"/>
          <w:sz w:val="20"/>
          <w:szCs w:val="20"/>
        </w:rPr>
        <w:t>d'élevage</w:t>
      </w:r>
      <w:r w:rsidR="00DB1635" w:rsidRPr="00B004EE">
        <w:rPr>
          <w:rFonts w:ascii="Tahoma" w:hAnsi="Tahoma" w:cs="Tahoma"/>
          <w:spacing w:val="-30"/>
          <w:sz w:val="20"/>
          <w:szCs w:val="20"/>
        </w:rPr>
        <w:t xml:space="preserve"> </w:t>
      </w:r>
      <w:r w:rsidRPr="00B004EE">
        <w:rPr>
          <w:rFonts w:ascii="Tahoma" w:hAnsi="Tahoma" w:cs="Tahoma"/>
          <w:sz w:val="20"/>
          <w:szCs w:val="20"/>
        </w:rPr>
        <w:t>des</w:t>
      </w:r>
      <w:r w:rsidR="00DB1635" w:rsidRPr="00B004EE">
        <w:rPr>
          <w:rFonts w:ascii="Tahoma" w:hAnsi="Tahoma" w:cs="Tahoma"/>
          <w:spacing w:val="-32"/>
          <w:sz w:val="20"/>
          <w:szCs w:val="20"/>
        </w:rPr>
        <w:t xml:space="preserve"> </w:t>
      </w:r>
      <w:r w:rsidRPr="00B004EE">
        <w:rPr>
          <w:rFonts w:ascii="Tahoma" w:hAnsi="Tahoma" w:cs="Tahoma"/>
          <w:sz w:val="20"/>
          <w:szCs w:val="20"/>
        </w:rPr>
        <w:t>espèces</w:t>
      </w:r>
      <w:r w:rsidR="00DB1635" w:rsidRPr="00B004EE">
        <w:rPr>
          <w:rFonts w:ascii="Tahoma" w:hAnsi="Tahoma" w:cs="Tahoma"/>
          <w:w w:val="94"/>
          <w:sz w:val="20"/>
          <w:szCs w:val="20"/>
        </w:rPr>
        <w:t xml:space="preserve"> </w:t>
      </w:r>
      <w:r w:rsidRPr="00B004EE">
        <w:rPr>
          <w:rFonts w:ascii="Tahoma" w:hAnsi="Tahoma" w:cs="Tahoma"/>
          <w:sz w:val="20"/>
          <w:szCs w:val="20"/>
        </w:rPr>
        <w:t>animales</w:t>
      </w:r>
      <w:r w:rsidR="00DB1635" w:rsidRPr="00B004EE">
        <w:rPr>
          <w:rFonts w:ascii="Tahoma" w:hAnsi="Tahoma" w:cs="Tahoma"/>
          <w:spacing w:val="-23"/>
          <w:sz w:val="20"/>
          <w:szCs w:val="20"/>
        </w:rPr>
        <w:t xml:space="preserve"> </w:t>
      </w:r>
      <w:r w:rsidRPr="00B004EE">
        <w:rPr>
          <w:rFonts w:ascii="Tahoma" w:hAnsi="Tahoma" w:cs="Tahoma"/>
          <w:sz w:val="20"/>
          <w:szCs w:val="20"/>
        </w:rPr>
        <w:t>ou</w:t>
      </w:r>
      <w:r w:rsidR="00DB1635" w:rsidRPr="00B004EE">
        <w:rPr>
          <w:rFonts w:ascii="Tahoma" w:hAnsi="Tahoma" w:cs="Tahoma"/>
          <w:spacing w:val="-23"/>
          <w:sz w:val="20"/>
          <w:szCs w:val="20"/>
        </w:rPr>
        <w:t xml:space="preserve"> </w:t>
      </w:r>
      <w:r w:rsidRPr="00B004EE">
        <w:rPr>
          <w:rFonts w:ascii="Tahoma" w:hAnsi="Tahoma" w:cs="Tahoma"/>
          <w:sz w:val="20"/>
          <w:szCs w:val="20"/>
        </w:rPr>
        <w:t>végétales</w:t>
      </w:r>
      <w:r w:rsidR="00DB1635" w:rsidRPr="00B004EE">
        <w:rPr>
          <w:rFonts w:ascii="Tahoma" w:hAnsi="Tahoma" w:cs="Tahoma"/>
          <w:spacing w:val="-23"/>
          <w:sz w:val="20"/>
          <w:szCs w:val="20"/>
        </w:rPr>
        <w:t xml:space="preserve"> </w:t>
      </w:r>
      <w:r w:rsidRPr="00B004EE">
        <w:rPr>
          <w:rFonts w:ascii="Tahoma" w:hAnsi="Tahoma" w:cs="Tahoma"/>
          <w:sz w:val="20"/>
          <w:szCs w:val="20"/>
        </w:rPr>
        <w:t>en</w:t>
      </w:r>
      <w:r w:rsidR="00DB1635" w:rsidRPr="00B004EE">
        <w:rPr>
          <w:rFonts w:ascii="Tahoma" w:hAnsi="Tahoma" w:cs="Tahoma"/>
          <w:spacing w:val="-23"/>
          <w:sz w:val="20"/>
          <w:szCs w:val="20"/>
        </w:rPr>
        <w:t xml:space="preserve"> </w:t>
      </w:r>
      <w:r w:rsidRPr="00B004EE">
        <w:rPr>
          <w:rFonts w:ascii="Tahoma" w:hAnsi="Tahoma" w:cs="Tahoma"/>
          <w:sz w:val="20"/>
          <w:szCs w:val="20"/>
        </w:rPr>
        <w:t>milieu</w:t>
      </w:r>
      <w:r w:rsidR="00DB1635" w:rsidRPr="00B004EE">
        <w:rPr>
          <w:rFonts w:ascii="Tahoma" w:hAnsi="Tahoma" w:cs="Tahoma"/>
          <w:spacing w:val="-23"/>
          <w:sz w:val="20"/>
          <w:szCs w:val="20"/>
        </w:rPr>
        <w:t xml:space="preserve"> </w:t>
      </w:r>
      <w:r w:rsidRPr="00B004EE">
        <w:rPr>
          <w:rFonts w:ascii="Tahoma" w:hAnsi="Tahoma" w:cs="Tahoma"/>
          <w:sz w:val="20"/>
          <w:szCs w:val="20"/>
        </w:rPr>
        <w:t>marin</w:t>
      </w:r>
      <w:r w:rsidR="00DB1635" w:rsidRPr="00B004EE">
        <w:rPr>
          <w:rFonts w:ascii="Tahoma" w:hAnsi="Tahoma" w:cs="Tahoma"/>
          <w:spacing w:val="-20"/>
          <w:sz w:val="20"/>
          <w:szCs w:val="20"/>
        </w:rPr>
        <w:t xml:space="preserve"> </w:t>
      </w:r>
      <w:r w:rsidRPr="00B004EE">
        <w:rPr>
          <w:rFonts w:ascii="Tahoma" w:hAnsi="Tahoma" w:cs="Tahoma"/>
          <w:sz w:val="20"/>
          <w:szCs w:val="20"/>
        </w:rPr>
        <w:t>et</w:t>
      </w:r>
      <w:r w:rsidR="00DB1635" w:rsidRPr="00B004EE">
        <w:rPr>
          <w:rFonts w:ascii="Tahoma" w:hAnsi="Tahoma" w:cs="Tahoma"/>
          <w:spacing w:val="-23"/>
          <w:sz w:val="20"/>
          <w:szCs w:val="20"/>
        </w:rPr>
        <w:t xml:space="preserve"> </w:t>
      </w:r>
      <w:r w:rsidRPr="00B004EE">
        <w:rPr>
          <w:rFonts w:ascii="Tahoma" w:hAnsi="Tahoma" w:cs="Tahoma"/>
          <w:sz w:val="20"/>
          <w:szCs w:val="20"/>
        </w:rPr>
        <w:t>littoral,</w:t>
      </w:r>
      <w:r w:rsidR="00DB1635" w:rsidRPr="00B004EE">
        <w:rPr>
          <w:rFonts w:ascii="Tahoma" w:hAnsi="Tahoma" w:cs="Tahoma"/>
          <w:spacing w:val="-22"/>
          <w:sz w:val="20"/>
          <w:szCs w:val="20"/>
        </w:rPr>
        <w:t xml:space="preserve"> </w:t>
      </w:r>
      <w:r w:rsidRPr="00B004EE">
        <w:rPr>
          <w:rFonts w:ascii="Tahoma" w:hAnsi="Tahoma" w:cs="Tahoma"/>
          <w:sz w:val="20"/>
          <w:szCs w:val="20"/>
        </w:rPr>
        <w:t>pour</w:t>
      </w:r>
      <w:r w:rsidR="00DB1635" w:rsidRPr="00B004EE">
        <w:rPr>
          <w:rFonts w:ascii="Tahoma" w:hAnsi="Tahoma" w:cs="Tahoma"/>
          <w:spacing w:val="-23"/>
          <w:sz w:val="20"/>
          <w:szCs w:val="20"/>
        </w:rPr>
        <w:t xml:space="preserve"> </w:t>
      </w:r>
      <w:r w:rsidRPr="00B004EE">
        <w:rPr>
          <w:rFonts w:ascii="Tahoma" w:hAnsi="Tahoma" w:cs="Tahoma"/>
          <w:sz w:val="20"/>
          <w:szCs w:val="20"/>
        </w:rPr>
        <w:t>un</w:t>
      </w:r>
      <w:r w:rsidR="00DB1635" w:rsidRPr="00B004EE">
        <w:rPr>
          <w:rFonts w:ascii="Tahoma" w:hAnsi="Tahoma" w:cs="Tahoma"/>
          <w:spacing w:val="-23"/>
          <w:sz w:val="20"/>
          <w:szCs w:val="20"/>
        </w:rPr>
        <w:t xml:space="preserve"> </w:t>
      </w:r>
      <w:r w:rsidRPr="00B004EE">
        <w:rPr>
          <w:rFonts w:ascii="Tahoma" w:hAnsi="Tahoma" w:cs="Tahoma"/>
          <w:sz w:val="20"/>
          <w:szCs w:val="20"/>
        </w:rPr>
        <w:t>but</w:t>
      </w:r>
      <w:r w:rsidR="00DB1635" w:rsidRPr="00B004EE">
        <w:rPr>
          <w:rFonts w:ascii="Tahoma" w:hAnsi="Tahoma" w:cs="Tahoma"/>
          <w:spacing w:val="-23"/>
          <w:sz w:val="20"/>
          <w:szCs w:val="20"/>
        </w:rPr>
        <w:t xml:space="preserve"> </w:t>
      </w:r>
      <w:r w:rsidRPr="00B004EE">
        <w:rPr>
          <w:rFonts w:ascii="Tahoma" w:hAnsi="Tahoma" w:cs="Tahoma"/>
          <w:sz w:val="20"/>
          <w:szCs w:val="20"/>
        </w:rPr>
        <w:t>commercial.</w:t>
      </w:r>
    </w:p>
    <w:p w14:paraId="483FD420" w14:textId="77777777" w:rsidR="001E7C3C" w:rsidRPr="00B004EE" w:rsidRDefault="001E7C3C" w:rsidP="00B004EE">
      <w:pPr>
        <w:rPr>
          <w:rFonts w:ascii="Tahoma" w:eastAsia="American Typewriter" w:hAnsi="Tahoma" w:cs="Tahoma"/>
          <w:sz w:val="20"/>
          <w:szCs w:val="20"/>
        </w:rPr>
      </w:pPr>
    </w:p>
    <w:p w14:paraId="53B9BD2C" w14:textId="52B0C8F2" w:rsidR="001E7C3C" w:rsidRPr="00B004EE" w:rsidRDefault="001E7C3C" w:rsidP="00B004EE">
      <w:pPr>
        <w:pStyle w:val="Corpsdetexte"/>
        <w:rPr>
          <w:rFonts w:ascii="Tahoma" w:hAnsi="Tahoma" w:cs="Tahoma"/>
          <w:sz w:val="20"/>
          <w:szCs w:val="20"/>
        </w:rPr>
      </w:pPr>
      <w:r w:rsidRPr="00B004EE">
        <w:rPr>
          <w:rFonts w:ascii="Tahoma" w:hAnsi="Tahoma" w:cs="Tahoma"/>
          <w:w w:val="95"/>
          <w:sz w:val="20"/>
          <w:szCs w:val="20"/>
        </w:rPr>
        <w:t>L'aquaculture</w:t>
      </w:r>
      <w:r w:rsidR="00DB1635" w:rsidRPr="00B004EE">
        <w:rPr>
          <w:rFonts w:ascii="Tahoma" w:hAnsi="Tahoma" w:cs="Tahoma"/>
          <w:w w:val="95"/>
          <w:sz w:val="20"/>
          <w:szCs w:val="20"/>
        </w:rPr>
        <w:t xml:space="preserve"> </w:t>
      </w:r>
      <w:r w:rsidRPr="00B004EE">
        <w:rPr>
          <w:rFonts w:ascii="Tahoma" w:hAnsi="Tahoma" w:cs="Tahoma"/>
          <w:w w:val="95"/>
          <w:sz w:val="20"/>
          <w:szCs w:val="20"/>
        </w:rPr>
        <w:t>marine</w:t>
      </w:r>
      <w:r w:rsidR="00DB1635" w:rsidRPr="00B004EE">
        <w:rPr>
          <w:rFonts w:ascii="Tahoma" w:hAnsi="Tahoma" w:cs="Tahoma"/>
          <w:w w:val="95"/>
          <w:sz w:val="20"/>
          <w:szCs w:val="20"/>
        </w:rPr>
        <w:t xml:space="preserve"> </w:t>
      </w:r>
      <w:r w:rsidRPr="00B004EE">
        <w:rPr>
          <w:rFonts w:ascii="Tahoma" w:hAnsi="Tahoma" w:cs="Tahoma"/>
          <w:w w:val="95"/>
          <w:sz w:val="20"/>
          <w:szCs w:val="20"/>
        </w:rPr>
        <w:t>regroupe</w:t>
      </w:r>
      <w:r w:rsidR="00DB1635" w:rsidRPr="00B004EE">
        <w:rPr>
          <w:rFonts w:ascii="Tahoma" w:hAnsi="Tahoma" w:cs="Tahoma"/>
          <w:w w:val="95"/>
          <w:sz w:val="20"/>
          <w:szCs w:val="20"/>
        </w:rPr>
        <w:t xml:space="preserve"> </w:t>
      </w:r>
      <w:r w:rsidRPr="00B004EE">
        <w:rPr>
          <w:rFonts w:ascii="Tahoma" w:hAnsi="Tahoma" w:cs="Tahoma"/>
          <w:w w:val="95"/>
          <w:sz w:val="20"/>
          <w:szCs w:val="20"/>
        </w:rPr>
        <w:t>plusieurs</w:t>
      </w:r>
      <w:r w:rsidR="00DB1635" w:rsidRPr="00B004EE">
        <w:rPr>
          <w:rFonts w:ascii="Tahoma" w:hAnsi="Tahoma" w:cs="Tahoma"/>
          <w:w w:val="95"/>
          <w:sz w:val="20"/>
          <w:szCs w:val="20"/>
        </w:rPr>
        <w:t xml:space="preserve"> </w:t>
      </w:r>
      <w:r w:rsidRPr="00B004EE">
        <w:rPr>
          <w:rFonts w:ascii="Tahoma" w:hAnsi="Tahoma" w:cs="Tahoma"/>
          <w:w w:val="95"/>
          <w:sz w:val="20"/>
          <w:szCs w:val="20"/>
        </w:rPr>
        <w:t>domaines,</w:t>
      </w:r>
      <w:r w:rsidR="00DB1635" w:rsidRPr="00B004EE">
        <w:rPr>
          <w:rFonts w:ascii="Tahoma" w:hAnsi="Tahoma" w:cs="Tahoma"/>
          <w:w w:val="95"/>
          <w:sz w:val="20"/>
          <w:szCs w:val="20"/>
        </w:rPr>
        <w:t xml:space="preserve"> </w:t>
      </w:r>
      <w:r w:rsidRPr="00B004EE">
        <w:rPr>
          <w:rFonts w:ascii="Tahoma" w:hAnsi="Tahoma" w:cs="Tahoma"/>
          <w:w w:val="95"/>
          <w:sz w:val="20"/>
          <w:szCs w:val="20"/>
        </w:rPr>
        <w:t>notamment</w:t>
      </w:r>
      <w:r w:rsidR="00F81386" w:rsidRPr="00B004EE">
        <w:rPr>
          <w:rFonts w:ascii="Tahoma" w:hAnsi="Tahoma" w:cs="Tahoma"/>
          <w:w w:val="95"/>
          <w:sz w:val="20"/>
          <w:szCs w:val="20"/>
        </w:rPr>
        <w:t> :</w:t>
      </w:r>
    </w:p>
    <w:p w14:paraId="179B20E5" w14:textId="2433274D" w:rsidR="001E7C3C" w:rsidRPr="00B004EE" w:rsidRDefault="001E7C3C" w:rsidP="00420DDA">
      <w:pPr>
        <w:pStyle w:val="Paragraphedeliste"/>
        <w:widowControl w:val="0"/>
        <w:numPr>
          <w:ilvl w:val="0"/>
          <w:numId w:val="38"/>
        </w:numPr>
        <w:tabs>
          <w:tab w:val="left" w:pos="1089"/>
        </w:tabs>
        <w:ind w:right="559"/>
        <w:rPr>
          <w:rFonts w:ascii="Tahoma" w:eastAsia="American Typewriter" w:hAnsi="Tahoma" w:cs="Tahoma"/>
          <w:sz w:val="20"/>
          <w:szCs w:val="20"/>
        </w:rPr>
      </w:pPr>
      <w:proofErr w:type="gramStart"/>
      <w:r w:rsidRPr="00B004EE">
        <w:rPr>
          <w:rFonts w:ascii="Tahoma" w:hAnsi="Tahoma" w:cs="Tahoma"/>
          <w:sz w:val="20"/>
          <w:szCs w:val="20"/>
        </w:rPr>
        <w:lastRenderedPageBreak/>
        <w:t>la</w:t>
      </w:r>
      <w:proofErr w:type="gramEnd"/>
      <w:r w:rsidR="00DB1635" w:rsidRPr="00B004EE">
        <w:rPr>
          <w:rFonts w:ascii="Tahoma" w:hAnsi="Tahoma" w:cs="Tahoma"/>
          <w:sz w:val="20"/>
          <w:szCs w:val="20"/>
        </w:rPr>
        <w:t xml:space="preserve"> </w:t>
      </w:r>
      <w:r w:rsidRPr="00B004EE">
        <w:rPr>
          <w:rFonts w:ascii="Tahoma" w:hAnsi="Tahoma" w:cs="Tahoma"/>
          <w:sz w:val="20"/>
          <w:szCs w:val="20"/>
        </w:rPr>
        <w:t>mariculture:</w:t>
      </w:r>
      <w:r w:rsidR="00DB1635" w:rsidRPr="00B004EE">
        <w:rPr>
          <w:rFonts w:ascii="Tahoma" w:hAnsi="Tahoma" w:cs="Tahoma"/>
          <w:sz w:val="20"/>
          <w:szCs w:val="20"/>
        </w:rPr>
        <w:t xml:space="preserve"> </w:t>
      </w:r>
      <w:r w:rsidRPr="00B004EE">
        <w:rPr>
          <w:rFonts w:ascii="Tahoma" w:hAnsi="Tahoma" w:cs="Tahoma"/>
          <w:sz w:val="20"/>
          <w:szCs w:val="20"/>
        </w:rPr>
        <w:t>élevage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poissons</w:t>
      </w:r>
      <w:r w:rsidR="00DB1635" w:rsidRPr="00B004EE">
        <w:rPr>
          <w:rFonts w:ascii="Tahoma" w:hAnsi="Tahoma" w:cs="Tahoma"/>
          <w:spacing w:val="21"/>
          <w:sz w:val="20"/>
          <w:szCs w:val="20"/>
        </w:rPr>
        <w:t xml:space="preserve"> </w:t>
      </w:r>
      <w:r w:rsidRPr="00B004EE">
        <w:rPr>
          <w:rFonts w:ascii="Tahoma" w:hAnsi="Tahoma" w:cs="Tahoma"/>
          <w:sz w:val="20"/>
          <w:szCs w:val="20"/>
        </w:rPr>
        <w:t>;</w:t>
      </w:r>
    </w:p>
    <w:p w14:paraId="3549B7DA" w14:textId="6319CD78" w:rsidR="001E7C3C" w:rsidRPr="00B004EE" w:rsidRDefault="001E7C3C" w:rsidP="00420DDA">
      <w:pPr>
        <w:pStyle w:val="Paragraphedeliste"/>
        <w:widowControl w:val="0"/>
        <w:numPr>
          <w:ilvl w:val="0"/>
          <w:numId w:val="38"/>
        </w:numPr>
        <w:tabs>
          <w:tab w:val="left" w:pos="1089"/>
        </w:tabs>
        <w:ind w:right="559"/>
        <w:rPr>
          <w:rFonts w:ascii="Tahoma" w:eastAsia="American Typewriter" w:hAnsi="Tahoma" w:cs="Tahoma"/>
          <w:sz w:val="20"/>
          <w:szCs w:val="20"/>
        </w:rPr>
      </w:pPr>
      <w:proofErr w:type="gramStart"/>
      <w:r w:rsidRPr="00B004EE">
        <w:rPr>
          <w:rFonts w:ascii="Tahoma" w:eastAsia="American Typewriter" w:hAnsi="Tahoma" w:cs="Tahoma"/>
          <w:sz w:val="20"/>
          <w:szCs w:val="20"/>
        </w:rPr>
        <w:t>l’algoculture</w:t>
      </w:r>
      <w:proofErr w:type="gramEnd"/>
      <w:r w:rsidR="00F81386"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culture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algues</w:t>
      </w:r>
      <w:r w:rsidR="00DB1635" w:rsidRPr="00B004EE">
        <w:rPr>
          <w:rFonts w:ascii="Tahoma" w:eastAsia="American Typewriter" w:hAnsi="Tahoma" w:cs="Tahoma"/>
          <w:spacing w:val="17"/>
          <w:sz w:val="20"/>
          <w:szCs w:val="20"/>
        </w:rPr>
        <w:t xml:space="preserve"> </w:t>
      </w:r>
      <w:r w:rsidRPr="00B004EE">
        <w:rPr>
          <w:rFonts w:ascii="Tahoma" w:eastAsia="American Typewriter" w:hAnsi="Tahoma" w:cs="Tahoma"/>
          <w:sz w:val="20"/>
          <w:szCs w:val="20"/>
        </w:rPr>
        <w:t>;</w:t>
      </w:r>
    </w:p>
    <w:p w14:paraId="681EE4AF" w14:textId="326FC59A" w:rsidR="001E7C3C" w:rsidRPr="00B004EE" w:rsidRDefault="001E7C3C" w:rsidP="00420DDA">
      <w:pPr>
        <w:pStyle w:val="Paragraphedeliste"/>
        <w:widowControl w:val="0"/>
        <w:numPr>
          <w:ilvl w:val="0"/>
          <w:numId w:val="38"/>
        </w:numPr>
        <w:tabs>
          <w:tab w:val="left" w:pos="1089"/>
        </w:tabs>
        <w:ind w:right="559"/>
        <w:rPr>
          <w:rFonts w:ascii="Tahoma" w:eastAsia="American Typewriter" w:hAnsi="Tahoma" w:cs="Tahoma"/>
          <w:sz w:val="20"/>
          <w:szCs w:val="20"/>
        </w:rPr>
      </w:pPr>
      <w:proofErr w:type="gramStart"/>
      <w:r w:rsidRPr="00B004EE">
        <w:rPr>
          <w:rFonts w:ascii="Tahoma" w:hAnsi="Tahoma" w:cs="Tahoma"/>
          <w:sz w:val="20"/>
          <w:szCs w:val="20"/>
        </w:rPr>
        <w:t>la</w:t>
      </w:r>
      <w:proofErr w:type="gramEnd"/>
      <w:r w:rsidR="00DB1635" w:rsidRPr="00B004EE">
        <w:rPr>
          <w:rFonts w:ascii="Tahoma" w:hAnsi="Tahoma" w:cs="Tahoma"/>
          <w:sz w:val="20"/>
          <w:szCs w:val="20"/>
        </w:rPr>
        <w:t xml:space="preserve"> </w:t>
      </w:r>
      <w:r w:rsidRPr="00B004EE">
        <w:rPr>
          <w:rFonts w:ascii="Tahoma" w:hAnsi="Tahoma" w:cs="Tahoma"/>
          <w:sz w:val="20"/>
          <w:szCs w:val="20"/>
        </w:rPr>
        <w:t>conchyliculture:</w:t>
      </w:r>
      <w:r w:rsidR="00DB1635" w:rsidRPr="00B004EE">
        <w:rPr>
          <w:rFonts w:ascii="Tahoma" w:hAnsi="Tahoma" w:cs="Tahoma"/>
          <w:sz w:val="20"/>
          <w:szCs w:val="20"/>
        </w:rPr>
        <w:t xml:space="preserve"> </w:t>
      </w:r>
      <w:r w:rsidRPr="00B004EE">
        <w:rPr>
          <w:rFonts w:ascii="Tahoma" w:hAnsi="Tahoma" w:cs="Tahoma"/>
          <w:sz w:val="20"/>
          <w:szCs w:val="20"/>
        </w:rPr>
        <w:t>élevage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mollusques</w:t>
      </w:r>
      <w:r w:rsidR="00DB1635" w:rsidRPr="00B004EE">
        <w:rPr>
          <w:rFonts w:ascii="Tahoma" w:hAnsi="Tahoma" w:cs="Tahoma"/>
          <w:sz w:val="20"/>
          <w:szCs w:val="20"/>
        </w:rPr>
        <w:t xml:space="preserve"> </w:t>
      </w:r>
      <w:r w:rsidRPr="00B004EE">
        <w:rPr>
          <w:rFonts w:ascii="Tahoma" w:hAnsi="Tahoma" w:cs="Tahoma"/>
          <w:sz w:val="20"/>
          <w:szCs w:val="20"/>
        </w:rPr>
        <w:t>bivalves</w:t>
      </w:r>
      <w:r w:rsidR="00DB1635" w:rsidRPr="00B004EE">
        <w:rPr>
          <w:rFonts w:ascii="Tahoma" w:hAnsi="Tahoma" w:cs="Tahoma"/>
          <w:spacing w:val="8"/>
          <w:sz w:val="20"/>
          <w:szCs w:val="20"/>
        </w:rPr>
        <w:t xml:space="preserve"> </w:t>
      </w:r>
      <w:r w:rsidRPr="00B004EE">
        <w:rPr>
          <w:rFonts w:ascii="Tahoma" w:hAnsi="Tahoma" w:cs="Tahoma"/>
          <w:sz w:val="20"/>
          <w:szCs w:val="20"/>
        </w:rPr>
        <w:t>;</w:t>
      </w:r>
    </w:p>
    <w:p w14:paraId="0437FA26" w14:textId="20A06478" w:rsidR="001E7C3C" w:rsidRPr="00B004EE" w:rsidRDefault="001E7C3C" w:rsidP="00420DDA">
      <w:pPr>
        <w:pStyle w:val="Paragraphedeliste"/>
        <w:widowControl w:val="0"/>
        <w:numPr>
          <w:ilvl w:val="0"/>
          <w:numId w:val="38"/>
        </w:numPr>
        <w:tabs>
          <w:tab w:val="left" w:pos="1089"/>
        </w:tabs>
        <w:ind w:right="164"/>
        <w:rPr>
          <w:rFonts w:ascii="Tahoma" w:eastAsia="American Typewriter" w:hAnsi="Tahoma" w:cs="Tahoma"/>
          <w:sz w:val="20"/>
          <w:szCs w:val="20"/>
        </w:rPr>
      </w:pPr>
      <w:proofErr w:type="gramStart"/>
      <w:r w:rsidRPr="00B004EE">
        <w:rPr>
          <w:rFonts w:ascii="Tahoma" w:hAnsi="Tahoma" w:cs="Tahoma"/>
          <w:sz w:val="20"/>
          <w:szCs w:val="20"/>
        </w:rPr>
        <w:t>la</w:t>
      </w:r>
      <w:proofErr w:type="gramEnd"/>
      <w:r w:rsidR="00DB1635" w:rsidRPr="00B004EE">
        <w:rPr>
          <w:rFonts w:ascii="Tahoma" w:hAnsi="Tahoma" w:cs="Tahoma"/>
          <w:spacing w:val="-12"/>
          <w:sz w:val="20"/>
          <w:szCs w:val="20"/>
        </w:rPr>
        <w:t xml:space="preserve"> </w:t>
      </w:r>
      <w:r w:rsidRPr="00B004EE">
        <w:rPr>
          <w:rFonts w:ascii="Tahoma" w:hAnsi="Tahoma" w:cs="Tahoma"/>
          <w:sz w:val="20"/>
          <w:szCs w:val="20"/>
        </w:rPr>
        <w:t>mytiliculture:</w:t>
      </w:r>
      <w:r w:rsidR="00DB1635" w:rsidRPr="00B004EE">
        <w:rPr>
          <w:rFonts w:ascii="Tahoma" w:hAnsi="Tahoma" w:cs="Tahoma"/>
          <w:spacing w:val="-12"/>
          <w:sz w:val="20"/>
          <w:szCs w:val="20"/>
        </w:rPr>
        <w:t xml:space="preserve"> </w:t>
      </w:r>
      <w:r w:rsidRPr="00B004EE">
        <w:rPr>
          <w:rFonts w:ascii="Tahoma" w:hAnsi="Tahoma" w:cs="Tahoma"/>
          <w:sz w:val="20"/>
          <w:szCs w:val="20"/>
        </w:rPr>
        <w:t>élevage</w:t>
      </w:r>
      <w:r w:rsidR="00DB1635" w:rsidRPr="00B004EE">
        <w:rPr>
          <w:rFonts w:ascii="Tahoma" w:hAnsi="Tahoma" w:cs="Tahoma"/>
          <w:spacing w:val="-12"/>
          <w:sz w:val="20"/>
          <w:szCs w:val="20"/>
        </w:rPr>
        <w:t xml:space="preserve"> </w:t>
      </w:r>
      <w:r w:rsidRPr="00B004EE">
        <w:rPr>
          <w:rFonts w:ascii="Tahoma" w:hAnsi="Tahoma" w:cs="Tahoma"/>
          <w:sz w:val="20"/>
          <w:szCs w:val="20"/>
        </w:rPr>
        <w:t>des</w:t>
      </w:r>
      <w:r w:rsidR="00DB1635" w:rsidRPr="00B004EE">
        <w:rPr>
          <w:rFonts w:ascii="Tahoma" w:hAnsi="Tahoma" w:cs="Tahoma"/>
          <w:spacing w:val="-13"/>
          <w:sz w:val="20"/>
          <w:szCs w:val="20"/>
        </w:rPr>
        <w:t xml:space="preserve"> </w:t>
      </w:r>
      <w:r w:rsidRPr="00B004EE">
        <w:rPr>
          <w:rFonts w:ascii="Tahoma" w:hAnsi="Tahoma" w:cs="Tahoma"/>
          <w:sz w:val="20"/>
          <w:szCs w:val="20"/>
        </w:rPr>
        <w:t>mollusques</w:t>
      </w:r>
      <w:r w:rsidR="00DB1635" w:rsidRPr="00B004EE">
        <w:rPr>
          <w:rFonts w:ascii="Tahoma" w:hAnsi="Tahoma" w:cs="Tahoma"/>
          <w:spacing w:val="-13"/>
          <w:sz w:val="20"/>
          <w:szCs w:val="20"/>
        </w:rPr>
        <w:t xml:space="preserve"> </w:t>
      </w:r>
      <w:r w:rsidRPr="00B004EE">
        <w:rPr>
          <w:rFonts w:ascii="Tahoma" w:hAnsi="Tahoma" w:cs="Tahoma"/>
          <w:sz w:val="20"/>
          <w:szCs w:val="20"/>
        </w:rPr>
        <w:t>bivalves</w:t>
      </w:r>
      <w:r w:rsidR="00DB1635" w:rsidRPr="00B004EE">
        <w:rPr>
          <w:rFonts w:ascii="Tahoma" w:hAnsi="Tahoma" w:cs="Tahoma"/>
          <w:spacing w:val="-12"/>
          <w:sz w:val="20"/>
          <w:szCs w:val="20"/>
        </w:rPr>
        <w:t xml:space="preserve"> </w:t>
      </w:r>
      <w:r w:rsidRPr="00B004EE">
        <w:rPr>
          <w:rFonts w:ascii="Tahoma" w:hAnsi="Tahoma" w:cs="Tahoma"/>
          <w:sz w:val="20"/>
          <w:szCs w:val="20"/>
        </w:rPr>
        <w:t>de</w:t>
      </w:r>
      <w:r w:rsidR="00DB1635" w:rsidRPr="00B004EE">
        <w:rPr>
          <w:rFonts w:ascii="Tahoma" w:hAnsi="Tahoma" w:cs="Tahoma"/>
          <w:spacing w:val="-12"/>
          <w:sz w:val="20"/>
          <w:szCs w:val="20"/>
        </w:rPr>
        <w:t xml:space="preserve"> </w:t>
      </w:r>
      <w:r w:rsidRPr="00B004EE">
        <w:rPr>
          <w:rFonts w:ascii="Tahoma" w:hAnsi="Tahoma" w:cs="Tahoma"/>
          <w:sz w:val="20"/>
          <w:szCs w:val="20"/>
        </w:rPr>
        <w:t>la</w:t>
      </w:r>
      <w:r w:rsidR="00DB1635" w:rsidRPr="00B004EE">
        <w:rPr>
          <w:rFonts w:ascii="Tahoma" w:hAnsi="Tahoma" w:cs="Tahoma"/>
          <w:spacing w:val="-12"/>
          <w:sz w:val="20"/>
          <w:szCs w:val="20"/>
        </w:rPr>
        <w:t xml:space="preserve"> </w:t>
      </w:r>
      <w:r w:rsidRPr="00B004EE">
        <w:rPr>
          <w:rFonts w:ascii="Tahoma" w:hAnsi="Tahoma" w:cs="Tahoma"/>
          <w:sz w:val="20"/>
          <w:szCs w:val="20"/>
        </w:rPr>
        <w:t>famille</w:t>
      </w:r>
      <w:r w:rsidR="00DB1635" w:rsidRPr="00B004EE">
        <w:rPr>
          <w:rFonts w:ascii="Tahoma" w:hAnsi="Tahoma" w:cs="Tahoma"/>
          <w:spacing w:val="-12"/>
          <w:sz w:val="20"/>
          <w:szCs w:val="20"/>
        </w:rPr>
        <w:t xml:space="preserve"> </w:t>
      </w:r>
      <w:r w:rsidRPr="00B004EE">
        <w:rPr>
          <w:rFonts w:ascii="Tahoma" w:hAnsi="Tahoma" w:cs="Tahoma"/>
          <w:sz w:val="20"/>
          <w:szCs w:val="20"/>
        </w:rPr>
        <w:t>Mytilidae</w:t>
      </w:r>
      <w:r w:rsidR="00DB1635" w:rsidRPr="00B004EE">
        <w:rPr>
          <w:rFonts w:ascii="Tahoma" w:hAnsi="Tahoma" w:cs="Tahoma"/>
          <w:spacing w:val="-5"/>
          <w:sz w:val="20"/>
          <w:szCs w:val="20"/>
        </w:rPr>
        <w:t xml:space="preserve"> </w:t>
      </w:r>
      <w:r w:rsidRPr="00B004EE">
        <w:rPr>
          <w:rFonts w:ascii="Tahoma" w:hAnsi="Tahoma" w:cs="Tahoma"/>
          <w:sz w:val="20"/>
          <w:szCs w:val="20"/>
        </w:rPr>
        <w:t>;</w:t>
      </w:r>
    </w:p>
    <w:p w14:paraId="72843ED8" w14:textId="28E99A0C" w:rsidR="001E7C3C" w:rsidRPr="00B004EE" w:rsidRDefault="001E7C3C" w:rsidP="00420DDA">
      <w:pPr>
        <w:pStyle w:val="Paragraphedeliste"/>
        <w:widowControl w:val="0"/>
        <w:numPr>
          <w:ilvl w:val="0"/>
          <w:numId w:val="38"/>
        </w:numPr>
        <w:tabs>
          <w:tab w:val="left" w:pos="1089"/>
        </w:tabs>
        <w:ind w:right="559"/>
        <w:rPr>
          <w:rFonts w:ascii="Tahoma" w:eastAsia="American Typewriter" w:hAnsi="Tahoma" w:cs="Tahoma"/>
          <w:sz w:val="20"/>
          <w:szCs w:val="20"/>
        </w:rPr>
      </w:pPr>
      <w:proofErr w:type="gramStart"/>
      <w:r w:rsidRPr="00B004EE">
        <w:rPr>
          <w:rFonts w:ascii="Tahoma" w:hAnsi="Tahoma" w:cs="Tahoma"/>
          <w:sz w:val="20"/>
          <w:szCs w:val="20"/>
        </w:rPr>
        <w:t>la</w:t>
      </w:r>
      <w:proofErr w:type="gramEnd"/>
      <w:r w:rsidR="00DB1635" w:rsidRPr="00B004EE">
        <w:rPr>
          <w:rFonts w:ascii="Tahoma" w:hAnsi="Tahoma" w:cs="Tahoma"/>
          <w:sz w:val="20"/>
          <w:szCs w:val="20"/>
        </w:rPr>
        <w:t xml:space="preserve"> </w:t>
      </w:r>
      <w:r w:rsidRPr="00B004EE">
        <w:rPr>
          <w:rFonts w:ascii="Tahoma" w:hAnsi="Tahoma" w:cs="Tahoma"/>
          <w:sz w:val="20"/>
          <w:szCs w:val="20"/>
        </w:rPr>
        <w:t>carcinoculture:</w:t>
      </w:r>
      <w:r w:rsidR="00DB1635" w:rsidRPr="00B004EE">
        <w:rPr>
          <w:rFonts w:ascii="Tahoma" w:hAnsi="Tahoma" w:cs="Tahoma"/>
          <w:sz w:val="20"/>
          <w:szCs w:val="20"/>
        </w:rPr>
        <w:t xml:space="preserve"> </w:t>
      </w:r>
      <w:r w:rsidRPr="00B004EE">
        <w:rPr>
          <w:rFonts w:ascii="Tahoma" w:hAnsi="Tahoma" w:cs="Tahoma"/>
          <w:sz w:val="20"/>
          <w:szCs w:val="20"/>
        </w:rPr>
        <w:t>élevage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pacing w:val="14"/>
          <w:sz w:val="20"/>
          <w:szCs w:val="20"/>
        </w:rPr>
        <w:t xml:space="preserve"> </w:t>
      </w:r>
      <w:r w:rsidRPr="00B004EE">
        <w:rPr>
          <w:rFonts w:ascii="Tahoma" w:hAnsi="Tahoma" w:cs="Tahoma"/>
          <w:sz w:val="20"/>
          <w:szCs w:val="20"/>
        </w:rPr>
        <w:t>crustacés.</w:t>
      </w:r>
    </w:p>
    <w:p w14:paraId="566BE9C4" w14:textId="77777777" w:rsidR="001E7C3C" w:rsidRPr="00B004EE" w:rsidRDefault="001E7C3C" w:rsidP="00B004EE">
      <w:pPr>
        <w:rPr>
          <w:rFonts w:ascii="Tahoma" w:eastAsia="American Typewriter" w:hAnsi="Tahoma" w:cs="Tahoma"/>
          <w:sz w:val="20"/>
          <w:szCs w:val="20"/>
        </w:rPr>
      </w:pPr>
    </w:p>
    <w:p w14:paraId="04F3E371" w14:textId="66F820F7" w:rsidR="001E7C3C" w:rsidRPr="00B004EE" w:rsidRDefault="001E7C3C" w:rsidP="00B004EE">
      <w:pPr>
        <w:pStyle w:val="Corpsdetexte"/>
        <w:ind w:right="165"/>
        <w:rPr>
          <w:rFonts w:ascii="Tahoma" w:hAnsi="Tahoma" w:cs="Tahoma"/>
          <w:sz w:val="20"/>
          <w:szCs w:val="20"/>
        </w:rPr>
      </w:pPr>
      <w:r w:rsidRPr="00B004EE">
        <w:rPr>
          <w:rFonts w:ascii="Tahoma" w:eastAsia="American Typewriter" w:hAnsi="Tahoma" w:cs="Tahoma"/>
          <w:sz w:val="20"/>
          <w:szCs w:val="20"/>
        </w:rPr>
        <w:t>Les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conditions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régissant</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l’aquaculture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marine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seront</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définies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par</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décret</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pris</w:t>
      </w:r>
      <w:r w:rsidR="00DB1635" w:rsidRPr="00B004EE">
        <w:rPr>
          <w:rFonts w:ascii="Tahoma" w:eastAsia="American Typewriter" w:hAnsi="Tahoma" w:cs="Tahoma"/>
          <w:spacing w:val="40"/>
          <w:sz w:val="20"/>
          <w:szCs w:val="20"/>
        </w:rPr>
        <w:t xml:space="preserve"> </w:t>
      </w:r>
      <w:r w:rsidRPr="00B004EE">
        <w:rPr>
          <w:rFonts w:ascii="Tahoma" w:eastAsia="American Typewriter" w:hAnsi="Tahoma" w:cs="Tahoma"/>
          <w:sz w:val="20"/>
          <w:szCs w:val="20"/>
        </w:rPr>
        <w:t>en</w:t>
      </w:r>
      <w:r w:rsidR="00DB1635" w:rsidRPr="00B004EE">
        <w:rPr>
          <w:rFonts w:ascii="Tahoma" w:eastAsia="American Typewriter" w:hAnsi="Tahoma" w:cs="Tahoma"/>
          <w:w w:val="95"/>
          <w:sz w:val="20"/>
          <w:szCs w:val="20"/>
        </w:rPr>
        <w:t xml:space="preserve"> </w:t>
      </w:r>
      <w:r w:rsidRPr="00B004EE">
        <w:rPr>
          <w:rFonts w:ascii="Tahoma" w:hAnsi="Tahoma" w:cs="Tahoma"/>
          <w:sz w:val="20"/>
          <w:szCs w:val="20"/>
        </w:rPr>
        <w:t>conseil</w:t>
      </w:r>
      <w:r w:rsidR="00DB1635" w:rsidRPr="00B004EE">
        <w:rPr>
          <w:rFonts w:ascii="Tahoma" w:hAnsi="Tahoma" w:cs="Tahoma"/>
          <w:spacing w:val="-33"/>
          <w:sz w:val="20"/>
          <w:szCs w:val="20"/>
        </w:rPr>
        <w:t xml:space="preserve"> </w:t>
      </w:r>
      <w:r w:rsidR="00852255" w:rsidRPr="00B004EE">
        <w:rPr>
          <w:rFonts w:ascii="Tahoma" w:hAnsi="Tahoma" w:cs="Tahoma"/>
          <w:sz w:val="20"/>
          <w:szCs w:val="20"/>
        </w:rPr>
        <w:t>des</w:t>
      </w:r>
      <w:r w:rsidR="00852255" w:rsidRPr="00B004EE">
        <w:rPr>
          <w:rFonts w:ascii="Tahoma" w:hAnsi="Tahoma" w:cs="Tahoma"/>
          <w:spacing w:val="-34"/>
          <w:sz w:val="20"/>
          <w:szCs w:val="20"/>
        </w:rPr>
        <w:t xml:space="preserve"> </w:t>
      </w:r>
      <w:r w:rsidR="00852255" w:rsidRPr="00B004EE">
        <w:rPr>
          <w:rFonts w:ascii="Tahoma" w:hAnsi="Tahoma" w:cs="Tahoma"/>
          <w:sz w:val="20"/>
          <w:szCs w:val="20"/>
        </w:rPr>
        <w:t>Ministres</w:t>
      </w:r>
      <w:r w:rsidR="00DB1635" w:rsidRPr="00B004EE">
        <w:rPr>
          <w:rFonts w:ascii="Tahoma" w:hAnsi="Tahoma" w:cs="Tahoma"/>
          <w:spacing w:val="-33"/>
          <w:sz w:val="20"/>
          <w:szCs w:val="20"/>
        </w:rPr>
        <w:t xml:space="preserve"> </w:t>
      </w:r>
      <w:r w:rsidRPr="00B004EE">
        <w:rPr>
          <w:rFonts w:ascii="Tahoma" w:hAnsi="Tahoma" w:cs="Tahoma"/>
          <w:sz w:val="20"/>
          <w:szCs w:val="20"/>
        </w:rPr>
        <w:t>sur</w:t>
      </w:r>
      <w:r w:rsidR="00DB1635" w:rsidRPr="00B004EE">
        <w:rPr>
          <w:rFonts w:ascii="Tahoma" w:hAnsi="Tahoma" w:cs="Tahoma"/>
          <w:spacing w:val="-34"/>
          <w:sz w:val="20"/>
          <w:szCs w:val="20"/>
        </w:rPr>
        <w:t xml:space="preserve"> </w:t>
      </w:r>
      <w:r w:rsidRPr="00B004EE">
        <w:rPr>
          <w:rFonts w:ascii="Tahoma" w:hAnsi="Tahoma" w:cs="Tahoma"/>
          <w:sz w:val="20"/>
          <w:szCs w:val="20"/>
        </w:rPr>
        <w:t>rapport</w:t>
      </w:r>
      <w:r w:rsidR="00DB1635" w:rsidRPr="00B004EE">
        <w:rPr>
          <w:rFonts w:ascii="Tahoma" w:hAnsi="Tahoma" w:cs="Tahoma"/>
          <w:spacing w:val="-33"/>
          <w:sz w:val="20"/>
          <w:szCs w:val="20"/>
        </w:rPr>
        <w:t xml:space="preserve"> </w:t>
      </w:r>
      <w:r w:rsidRPr="00B004EE">
        <w:rPr>
          <w:rFonts w:ascii="Tahoma" w:hAnsi="Tahoma" w:cs="Tahoma"/>
          <w:sz w:val="20"/>
          <w:szCs w:val="20"/>
        </w:rPr>
        <w:t>du</w:t>
      </w:r>
      <w:r w:rsidR="00DB1635" w:rsidRPr="00B004EE">
        <w:rPr>
          <w:rFonts w:ascii="Tahoma" w:hAnsi="Tahoma" w:cs="Tahoma"/>
          <w:spacing w:val="-32"/>
          <w:sz w:val="20"/>
          <w:szCs w:val="20"/>
        </w:rPr>
        <w:t xml:space="preserve"> </w:t>
      </w:r>
      <w:r w:rsidRPr="00B004EE">
        <w:rPr>
          <w:rFonts w:ascii="Tahoma" w:hAnsi="Tahoma" w:cs="Tahoma"/>
          <w:sz w:val="20"/>
          <w:szCs w:val="20"/>
        </w:rPr>
        <w:t>ministre</w:t>
      </w:r>
      <w:r w:rsidR="00DB1635" w:rsidRPr="00B004EE">
        <w:rPr>
          <w:rFonts w:ascii="Tahoma" w:hAnsi="Tahoma" w:cs="Tahoma"/>
          <w:spacing w:val="-33"/>
          <w:sz w:val="20"/>
          <w:szCs w:val="20"/>
        </w:rPr>
        <w:t xml:space="preserve"> </w:t>
      </w:r>
      <w:r w:rsidRPr="00B004EE">
        <w:rPr>
          <w:rFonts w:ascii="Tahoma" w:hAnsi="Tahoma" w:cs="Tahoma"/>
          <w:sz w:val="20"/>
          <w:szCs w:val="20"/>
        </w:rPr>
        <w:t>chargé</w:t>
      </w:r>
      <w:r w:rsidR="00DB1635" w:rsidRPr="00B004EE">
        <w:rPr>
          <w:rFonts w:ascii="Tahoma" w:hAnsi="Tahoma" w:cs="Tahoma"/>
          <w:spacing w:val="-33"/>
          <w:sz w:val="20"/>
          <w:szCs w:val="20"/>
        </w:rPr>
        <w:t xml:space="preserve"> </w:t>
      </w:r>
      <w:r w:rsidRPr="00B004EE">
        <w:rPr>
          <w:rFonts w:ascii="Tahoma" w:hAnsi="Tahoma" w:cs="Tahoma"/>
          <w:sz w:val="20"/>
          <w:szCs w:val="20"/>
        </w:rPr>
        <w:t>des</w:t>
      </w:r>
      <w:r w:rsidR="00DB1635" w:rsidRPr="00B004EE">
        <w:rPr>
          <w:rFonts w:ascii="Tahoma" w:hAnsi="Tahoma" w:cs="Tahoma"/>
          <w:spacing w:val="-34"/>
          <w:sz w:val="20"/>
          <w:szCs w:val="20"/>
        </w:rPr>
        <w:t xml:space="preserve"> </w:t>
      </w:r>
      <w:r w:rsidRPr="00B004EE">
        <w:rPr>
          <w:rFonts w:ascii="Tahoma" w:hAnsi="Tahoma" w:cs="Tahoma"/>
          <w:sz w:val="20"/>
          <w:szCs w:val="20"/>
        </w:rPr>
        <w:t>pêches.</w:t>
      </w:r>
    </w:p>
    <w:p w14:paraId="1B69145C" w14:textId="77777777" w:rsidR="001E7C3C" w:rsidRPr="00B004EE" w:rsidRDefault="001E7C3C" w:rsidP="00B004EE">
      <w:pPr>
        <w:rPr>
          <w:rFonts w:ascii="Tahoma" w:eastAsia="American Typewriter" w:hAnsi="Tahoma" w:cs="Tahoma"/>
          <w:sz w:val="20"/>
          <w:szCs w:val="20"/>
        </w:rPr>
      </w:pPr>
    </w:p>
    <w:p w14:paraId="293ECAA4" w14:textId="5141AA8A" w:rsidR="001E7C3C" w:rsidRPr="00B004EE" w:rsidRDefault="001E7C3C" w:rsidP="00B004EE">
      <w:pPr>
        <w:pStyle w:val="Corpsdetexte"/>
        <w:ind w:right="158"/>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53</w:t>
      </w:r>
      <w:r w:rsidR="00DB1635" w:rsidRPr="00B004EE">
        <w:rPr>
          <w:rFonts w:ascii="Tahoma" w:hAnsi="Tahoma" w:cs="Tahoma"/>
          <w:bCs/>
          <w:sz w:val="20"/>
          <w:szCs w:val="20"/>
        </w:rPr>
        <w:t xml:space="preserve"> </w:t>
      </w:r>
      <w:r w:rsidRPr="00B004EE">
        <w:rPr>
          <w:rFonts w:ascii="Tahoma" w:hAnsi="Tahoma" w:cs="Tahoma"/>
          <w:bCs/>
          <w:sz w:val="20"/>
          <w:szCs w:val="20"/>
        </w:rPr>
        <w:t>:</w:t>
      </w:r>
      <w:r w:rsidR="00DB1635" w:rsidRPr="00B004EE">
        <w:rPr>
          <w:rFonts w:ascii="Tahoma" w:eastAsia="American Typewriter" w:hAnsi="Tahoma" w:cs="Tahoma"/>
          <w:b/>
          <w:bCs/>
          <w:sz w:val="20"/>
          <w:szCs w:val="20"/>
        </w:rPr>
        <w:t xml:space="preserve"> </w:t>
      </w:r>
      <w:r w:rsidRPr="00B004EE">
        <w:rPr>
          <w:rFonts w:ascii="Tahoma" w:hAnsi="Tahoma" w:cs="Tahoma"/>
          <w:sz w:val="20"/>
          <w:szCs w:val="20"/>
        </w:rPr>
        <w:t>Constitue</w:t>
      </w:r>
      <w:r w:rsidR="00DB1635" w:rsidRPr="00B004EE">
        <w:rPr>
          <w:rFonts w:ascii="Tahoma" w:hAnsi="Tahoma" w:cs="Tahoma"/>
          <w:sz w:val="20"/>
          <w:szCs w:val="20"/>
        </w:rPr>
        <w:t xml:space="preserve"> </w:t>
      </w: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établissement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cultures</w:t>
      </w:r>
      <w:r w:rsidR="00DB1635" w:rsidRPr="00B004EE">
        <w:rPr>
          <w:rFonts w:ascii="Tahoma" w:hAnsi="Tahoma" w:cs="Tahoma"/>
          <w:sz w:val="20"/>
          <w:szCs w:val="20"/>
        </w:rPr>
        <w:t xml:space="preserve"> </w:t>
      </w:r>
      <w:r w:rsidRPr="00B004EE">
        <w:rPr>
          <w:rFonts w:ascii="Tahoma" w:hAnsi="Tahoma" w:cs="Tahoma"/>
          <w:sz w:val="20"/>
          <w:szCs w:val="20"/>
        </w:rPr>
        <w:t>marines</w:t>
      </w:r>
      <w:r w:rsidR="00DB1635" w:rsidRPr="00B004EE">
        <w:rPr>
          <w:rFonts w:ascii="Tahoma" w:hAnsi="Tahoma" w:cs="Tahoma"/>
          <w:sz w:val="20"/>
          <w:szCs w:val="20"/>
        </w:rPr>
        <w:t xml:space="preserve"> </w:t>
      </w:r>
      <w:r w:rsidRPr="00B004EE">
        <w:rPr>
          <w:rFonts w:ascii="Tahoma" w:eastAsia="American Typewriter" w:hAnsi="Tahoma" w:cs="Tahoma"/>
          <w:sz w:val="20"/>
          <w:szCs w:val="20"/>
        </w:rPr>
        <w:t>ou</w:t>
      </w:r>
      <w:r w:rsidR="00DB1635" w:rsidRPr="00B004EE">
        <w:rPr>
          <w:rFonts w:ascii="Tahoma" w:eastAsia="American Typewriter" w:hAnsi="Tahoma" w:cs="Tahoma"/>
          <w:spacing w:val="35"/>
          <w:sz w:val="20"/>
          <w:szCs w:val="20"/>
        </w:rPr>
        <w:t xml:space="preserve"> </w:t>
      </w:r>
      <w:r w:rsidRPr="00B004EE">
        <w:rPr>
          <w:rFonts w:ascii="Tahoma" w:eastAsia="American Typewriter" w:hAnsi="Tahoma" w:cs="Tahoma"/>
          <w:sz w:val="20"/>
          <w:szCs w:val="20"/>
        </w:rPr>
        <w:t>d’aquaculture</w:t>
      </w:r>
      <w:r w:rsidR="00DB1635" w:rsidRPr="00B004EE">
        <w:rPr>
          <w:rFonts w:ascii="Tahoma" w:eastAsia="American Typewriter" w:hAnsi="Tahoma" w:cs="Tahoma"/>
          <w:w w:val="94"/>
          <w:sz w:val="20"/>
          <w:szCs w:val="20"/>
        </w:rPr>
        <w:t xml:space="preserve"> </w:t>
      </w:r>
      <w:r w:rsidRPr="00B004EE">
        <w:rPr>
          <w:rFonts w:ascii="Tahoma" w:hAnsi="Tahoma" w:cs="Tahoma"/>
          <w:sz w:val="20"/>
          <w:szCs w:val="20"/>
        </w:rPr>
        <w:t>marine,</w:t>
      </w:r>
      <w:r w:rsidR="00DB1635" w:rsidRPr="00B004EE">
        <w:rPr>
          <w:rFonts w:ascii="Tahoma" w:hAnsi="Tahoma" w:cs="Tahoma"/>
          <w:sz w:val="20"/>
          <w:szCs w:val="20"/>
        </w:rPr>
        <w:t xml:space="preserve"> </w:t>
      </w:r>
      <w:r w:rsidRPr="00B004EE">
        <w:rPr>
          <w:rFonts w:ascii="Tahoma" w:hAnsi="Tahoma" w:cs="Tahoma"/>
          <w:sz w:val="20"/>
          <w:szCs w:val="20"/>
        </w:rPr>
        <w:t>toute</w:t>
      </w:r>
      <w:r w:rsidR="00DB1635" w:rsidRPr="00B004EE">
        <w:rPr>
          <w:rFonts w:ascii="Tahoma" w:hAnsi="Tahoma" w:cs="Tahoma"/>
          <w:sz w:val="20"/>
          <w:szCs w:val="20"/>
        </w:rPr>
        <w:t xml:space="preserve"> </w:t>
      </w:r>
      <w:r w:rsidRPr="00B004EE">
        <w:rPr>
          <w:rFonts w:ascii="Tahoma" w:hAnsi="Tahoma" w:cs="Tahoma"/>
          <w:sz w:val="20"/>
          <w:szCs w:val="20"/>
        </w:rPr>
        <w:t>installation</w:t>
      </w:r>
      <w:r w:rsidR="00DB1635" w:rsidRPr="00B004EE">
        <w:rPr>
          <w:rFonts w:ascii="Tahoma" w:hAnsi="Tahoma" w:cs="Tahoma"/>
          <w:sz w:val="20"/>
          <w:szCs w:val="20"/>
        </w:rPr>
        <w:t xml:space="preserve"> </w:t>
      </w:r>
      <w:r w:rsidRPr="00B004EE">
        <w:rPr>
          <w:rFonts w:ascii="Tahoma" w:hAnsi="Tahoma" w:cs="Tahoma"/>
          <w:sz w:val="20"/>
          <w:szCs w:val="20"/>
        </w:rPr>
        <w:t>faite</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mer</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sur</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littoral,</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eaux</w:t>
      </w:r>
      <w:r w:rsidR="00DB1635" w:rsidRPr="00B004EE">
        <w:rPr>
          <w:rFonts w:ascii="Tahoma" w:hAnsi="Tahoma" w:cs="Tahoma"/>
          <w:sz w:val="20"/>
          <w:szCs w:val="20"/>
        </w:rPr>
        <w:t xml:space="preserve"> </w:t>
      </w:r>
      <w:r w:rsidRPr="00B004EE">
        <w:rPr>
          <w:rFonts w:ascii="Tahoma" w:hAnsi="Tahoma" w:cs="Tahoma"/>
          <w:sz w:val="20"/>
          <w:szCs w:val="20"/>
        </w:rPr>
        <w:t>sous</w:t>
      </w:r>
      <w:r w:rsidR="00DB1635" w:rsidRPr="00B004EE">
        <w:rPr>
          <w:rFonts w:ascii="Tahoma" w:hAnsi="Tahoma" w:cs="Tahoma"/>
          <w:spacing w:val="-36"/>
          <w:sz w:val="20"/>
          <w:szCs w:val="20"/>
        </w:rPr>
        <w:t xml:space="preserve"> </w:t>
      </w:r>
      <w:r w:rsidRPr="00B004EE">
        <w:rPr>
          <w:rFonts w:ascii="Tahoma" w:hAnsi="Tahoma" w:cs="Tahoma"/>
          <w:sz w:val="20"/>
          <w:szCs w:val="20"/>
        </w:rPr>
        <w:t>juridiction</w:t>
      </w:r>
      <w:r w:rsidR="00DB1635" w:rsidRPr="00B004EE">
        <w:rPr>
          <w:rFonts w:ascii="Tahoma" w:hAnsi="Tahoma" w:cs="Tahoma"/>
          <w:w w:val="93"/>
          <w:sz w:val="20"/>
          <w:szCs w:val="20"/>
        </w:rPr>
        <w:t xml:space="preserve"> </w:t>
      </w:r>
      <w:r w:rsidRPr="00B004EE">
        <w:rPr>
          <w:rFonts w:ascii="Tahoma" w:hAnsi="Tahoma" w:cs="Tahoma"/>
          <w:sz w:val="20"/>
          <w:szCs w:val="20"/>
        </w:rPr>
        <w:t>mauritanienne</w:t>
      </w:r>
      <w:r w:rsidR="00DB1635" w:rsidRPr="00B004EE">
        <w:rPr>
          <w:rFonts w:ascii="Tahoma" w:hAnsi="Tahoma" w:cs="Tahoma"/>
          <w:sz w:val="20"/>
          <w:szCs w:val="20"/>
        </w:rPr>
        <w:t xml:space="preserve"> </w:t>
      </w:r>
      <w:r w:rsidRPr="00B004EE">
        <w:rPr>
          <w:rFonts w:ascii="Tahoma" w:hAnsi="Tahoma" w:cs="Tahoma"/>
          <w:sz w:val="20"/>
          <w:szCs w:val="20"/>
        </w:rPr>
        <w:t>ayant</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but</w:t>
      </w:r>
      <w:r w:rsidR="00DB1635" w:rsidRPr="00B004EE">
        <w:rPr>
          <w:rFonts w:ascii="Tahoma" w:hAnsi="Tahoma" w:cs="Tahoma"/>
          <w:sz w:val="20"/>
          <w:szCs w:val="20"/>
        </w:rPr>
        <w:t xml:space="preserve"> </w:t>
      </w:r>
      <w:r w:rsidRPr="00B004EE">
        <w:rPr>
          <w:rFonts w:ascii="Tahoma" w:hAnsi="Tahoma" w:cs="Tahoma"/>
          <w:sz w:val="20"/>
          <w:szCs w:val="20"/>
        </w:rPr>
        <w:t>l'élevage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l'exploitation</w:t>
      </w:r>
      <w:r w:rsidR="00DB1635" w:rsidRPr="00B004EE">
        <w:rPr>
          <w:rFonts w:ascii="Tahoma" w:hAnsi="Tahoma" w:cs="Tahoma"/>
          <w:sz w:val="20"/>
          <w:szCs w:val="20"/>
        </w:rPr>
        <w:t xml:space="preserve"> </w:t>
      </w:r>
      <w:r w:rsidRPr="00B004EE">
        <w:rPr>
          <w:rFonts w:ascii="Tahoma" w:hAnsi="Tahoma" w:cs="Tahoma"/>
          <w:sz w:val="20"/>
          <w:szCs w:val="20"/>
        </w:rPr>
        <w:t>d'espèces</w:t>
      </w:r>
      <w:r w:rsidR="00DB1635" w:rsidRPr="00B004EE">
        <w:rPr>
          <w:rFonts w:ascii="Tahoma" w:hAnsi="Tahoma" w:cs="Tahoma"/>
          <w:spacing w:val="3"/>
          <w:sz w:val="20"/>
          <w:szCs w:val="20"/>
        </w:rPr>
        <w:t xml:space="preserve"> </w:t>
      </w:r>
      <w:r w:rsidRPr="00B004EE">
        <w:rPr>
          <w:rFonts w:ascii="Tahoma" w:hAnsi="Tahoma" w:cs="Tahoma"/>
          <w:sz w:val="20"/>
          <w:szCs w:val="20"/>
        </w:rPr>
        <w:t>vivantes</w:t>
      </w:r>
      <w:r w:rsidR="00DB1635" w:rsidRPr="00B004EE">
        <w:rPr>
          <w:rFonts w:ascii="Tahoma" w:hAnsi="Tahoma" w:cs="Tahoma"/>
          <w:w w:val="95"/>
          <w:sz w:val="20"/>
          <w:szCs w:val="20"/>
        </w:rPr>
        <w:t xml:space="preserve"> </w:t>
      </w:r>
      <w:r w:rsidRPr="00B004EE">
        <w:rPr>
          <w:rFonts w:ascii="Tahoma" w:hAnsi="Tahoma" w:cs="Tahoma"/>
          <w:sz w:val="20"/>
          <w:szCs w:val="20"/>
        </w:rPr>
        <w:t>destinées</w:t>
      </w:r>
      <w:r w:rsidR="00DB1635" w:rsidRPr="00B004EE">
        <w:rPr>
          <w:rFonts w:ascii="Tahoma" w:hAnsi="Tahoma" w:cs="Tahoma"/>
          <w:spacing w:val="-20"/>
          <w:sz w:val="20"/>
          <w:szCs w:val="20"/>
        </w:rPr>
        <w:t xml:space="preserve"> </w:t>
      </w:r>
      <w:r w:rsidRPr="00B004EE">
        <w:rPr>
          <w:rFonts w:ascii="Tahoma" w:hAnsi="Tahoma" w:cs="Tahoma"/>
          <w:sz w:val="20"/>
          <w:szCs w:val="20"/>
        </w:rPr>
        <w:t>à</w:t>
      </w:r>
      <w:r w:rsidR="00DB1635" w:rsidRPr="00B004EE">
        <w:rPr>
          <w:rFonts w:ascii="Tahoma" w:hAnsi="Tahoma" w:cs="Tahoma"/>
          <w:spacing w:val="-19"/>
          <w:sz w:val="20"/>
          <w:szCs w:val="20"/>
        </w:rPr>
        <w:t xml:space="preserve"> </w:t>
      </w:r>
      <w:r w:rsidRPr="00B004EE">
        <w:rPr>
          <w:rFonts w:ascii="Tahoma" w:hAnsi="Tahoma" w:cs="Tahoma"/>
          <w:sz w:val="20"/>
          <w:szCs w:val="20"/>
        </w:rPr>
        <w:t>la</w:t>
      </w:r>
      <w:r w:rsidR="00DB1635" w:rsidRPr="00B004EE">
        <w:rPr>
          <w:rFonts w:ascii="Tahoma" w:hAnsi="Tahoma" w:cs="Tahoma"/>
          <w:spacing w:val="-19"/>
          <w:sz w:val="20"/>
          <w:szCs w:val="20"/>
        </w:rPr>
        <w:t xml:space="preserve"> </w:t>
      </w:r>
      <w:r w:rsidRPr="00B004EE">
        <w:rPr>
          <w:rFonts w:ascii="Tahoma" w:hAnsi="Tahoma" w:cs="Tahoma"/>
          <w:sz w:val="20"/>
          <w:szCs w:val="20"/>
        </w:rPr>
        <w:t>consommation</w:t>
      </w:r>
      <w:r w:rsidR="00DB1635" w:rsidRPr="00B004EE">
        <w:rPr>
          <w:rFonts w:ascii="Tahoma" w:hAnsi="Tahoma" w:cs="Tahoma"/>
          <w:spacing w:val="-20"/>
          <w:sz w:val="20"/>
          <w:szCs w:val="20"/>
        </w:rPr>
        <w:t xml:space="preserve"> </w:t>
      </w:r>
      <w:r w:rsidRPr="00B004EE">
        <w:rPr>
          <w:rFonts w:ascii="Tahoma" w:hAnsi="Tahoma" w:cs="Tahoma"/>
          <w:sz w:val="20"/>
          <w:szCs w:val="20"/>
        </w:rPr>
        <w:t>et</w:t>
      </w:r>
      <w:r w:rsidR="00DB1635" w:rsidRPr="00B004EE">
        <w:rPr>
          <w:rFonts w:ascii="Tahoma" w:hAnsi="Tahoma" w:cs="Tahoma"/>
          <w:spacing w:val="-20"/>
          <w:sz w:val="20"/>
          <w:szCs w:val="20"/>
        </w:rPr>
        <w:t xml:space="preserve"> </w:t>
      </w:r>
      <w:r w:rsidRPr="00B004EE">
        <w:rPr>
          <w:rFonts w:ascii="Tahoma" w:hAnsi="Tahoma" w:cs="Tahoma"/>
          <w:sz w:val="20"/>
          <w:szCs w:val="20"/>
        </w:rPr>
        <w:t>qui</w:t>
      </w:r>
      <w:r w:rsidR="00DB1635" w:rsidRPr="00B004EE">
        <w:rPr>
          <w:rFonts w:ascii="Tahoma" w:hAnsi="Tahoma" w:cs="Tahoma"/>
          <w:spacing w:val="-19"/>
          <w:sz w:val="20"/>
          <w:szCs w:val="20"/>
        </w:rPr>
        <w:t xml:space="preserve"> </w:t>
      </w:r>
      <w:r w:rsidRPr="00B004EE">
        <w:rPr>
          <w:rFonts w:ascii="Tahoma" w:hAnsi="Tahoma" w:cs="Tahoma"/>
          <w:sz w:val="20"/>
          <w:szCs w:val="20"/>
        </w:rPr>
        <w:t>entraîne</w:t>
      </w:r>
      <w:r w:rsidR="00DB1635" w:rsidRPr="00B004EE">
        <w:rPr>
          <w:rFonts w:ascii="Tahoma" w:hAnsi="Tahoma" w:cs="Tahoma"/>
          <w:spacing w:val="-20"/>
          <w:sz w:val="20"/>
          <w:szCs w:val="20"/>
        </w:rPr>
        <w:t xml:space="preserve"> </w:t>
      </w:r>
      <w:r w:rsidRPr="00B004EE">
        <w:rPr>
          <w:rFonts w:ascii="Tahoma" w:hAnsi="Tahoma" w:cs="Tahoma"/>
          <w:sz w:val="20"/>
          <w:szCs w:val="20"/>
        </w:rPr>
        <w:t>une</w:t>
      </w:r>
      <w:r w:rsidR="00DB1635" w:rsidRPr="00B004EE">
        <w:rPr>
          <w:rFonts w:ascii="Tahoma" w:hAnsi="Tahoma" w:cs="Tahoma"/>
          <w:spacing w:val="-20"/>
          <w:sz w:val="20"/>
          <w:szCs w:val="20"/>
        </w:rPr>
        <w:t xml:space="preserve"> </w:t>
      </w:r>
      <w:r w:rsidRPr="00B004EE">
        <w:rPr>
          <w:rFonts w:ascii="Tahoma" w:hAnsi="Tahoma" w:cs="Tahoma"/>
          <w:sz w:val="20"/>
          <w:szCs w:val="20"/>
        </w:rPr>
        <w:t>occupation</w:t>
      </w:r>
      <w:r w:rsidR="00DB1635" w:rsidRPr="00B004EE">
        <w:rPr>
          <w:rFonts w:ascii="Tahoma" w:hAnsi="Tahoma" w:cs="Tahoma"/>
          <w:spacing w:val="-20"/>
          <w:sz w:val="20"/>
          <w:szCs w:val="20"/>
        </w:rPr>
        <w:t xml:space="preserve"> </w:t>
      </w:r>
      <w:r w:rsidRPr="00B004EE">
        <w:rPr>
          <w:rFonts w:ascii="Tahoma" w:hAnsi="Tahoma" w:cs="Tahoma"/>
          <w:sz w:val="20"/>
          <w:szCs w:val="20"/>
        </w:rPr>
        <w:t>prolongée</w:t>
      </w:r>
      <w:r w:rsidR="00DB1635" w:rsidRPr="00B004EE">
        <w:rPr>
          <w:rFonts w:ascii="Tahoma" w:hAnsi="Tahoma" w:cs="Tahoma"/>
          <w:spacing w:val="-19"/>
          <w:sz w:val="20"/>
          <w:szCs w:val="20"/>
        </w:rPr>
        <w:t xml:space="preserve"> </w:t>
      </w:r>
      <w:r w:rsidRPr="00B004EE">
        <w:rPr>
          <w:rFonts w:ascii="Tahoma" w:hAnsi="Tahoma" w:cs="Tahoma"/>
          <w:sz w:val="20"/>
          <w:szCs w:val="20"/>
        </w:rPr>
        <w:t>du</w:t>
      </w:r>
      <w:r w:rsidR="00DB1635" w:rsidRPr="00B004EE">
        <w:rPr>
          <w:rFonts w:ascii="Tahoma" w:hAnsi="Tahoma" w:cs="Tahoma"/>
          <w:spacing w:val="-21"/>
          <w:sz w:val="20"/>
          <w:szCs w:val="20"/>
        </w:rPr>
        <w:t xml:space="preserve"> </w:t>
      </w:r>
      <w:r w:rsidRPr="00B004EE">
        <w:rPr>
          <w:rFonts w:ascii="Tahoma" w:hAnsi="Tahoma" w:cs="Tahoma"/>
          <w:sz w:val="20"/>
          <w:szCs w:val="20"/>
        </w:rPr>
        <w:t>domaine</w:t>
      </w:r>
      <w:r w:rsidR="00DB1635" w:rsidRPr="00B004EE">
        <w:rPr>
          <w:rFonts w:ascii="Tahoma" w:hAnsi="Tahoma" w:cs="Tahoma"/>
          <w:w w:val="95"/>
          <w:sz w:val="20"/>
          <w:szCs w:val="20"/>
        </w:rPr>
        <w:t xml:space="preserve"> </w:t>
      </w:r>
      <w:r w:rsidRPr="00B004EE">
        <w:rPr>
          <w:rFonts w:ascii="Tahoma" w:hAnsi="Tahoma" w:cs="Tahoma"/>
          <w:sz w:val="20"/>
          <w:szCs w:val="20"/>
        </w:rPr>
        <w:t>public</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bien,</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cas</w:t>
      </w:r>
      <w:r w:rsidR="00DB1635" w:rsidRPr="00B004EE">
        <w:rPr>
          <w:rFonts w:ascii="Tahoma" w:hAnsi="Tahoma" w:cs="Tahoma"/>
          <w:sz w:val="20"/>
          <w:szCs w:val="20"/>
        </w:rPr>
        <w:t xml:space="preserve"> </w:t>
      </w:r>
      <w:r w:rsidRPr="00B004EE">
        <w:rPr>
          <w:rFonts w:ascii="Tahoma" w:hAnsi="Tahoma" w:cs="Tahoma"/>
          <w:sz w:val="20"/>
          <w:szCs w:val="20"/>
        </w:rPr>
        <w:t>d'une</w:t>
      </w:r>
      <w:r w:rsidR="00DB1635" w:rsidRPr="00B004EE">
        <w:rPr>
          <w:rFonts w:ascii="Tahoma" w:hAnsi="Tahoma" w:cs="Tahoma"/>
          <w:sz w:val="20"/>
          <w:szCs w:val="20"/>
        </w:rPr>
        <w:t xml:space="preserve"> </w:t>
      </w:r>
      <w:r w:rsidRPr="00B004EE">
        <w:rPr>
          <w:rFonts w:ascii="Tahoma" w:hAnsi="Tahoma" w:cs="Tahoma"/>
          <w:sz w:val="20"/>
          <w:szCs w:val="20"/>
        </w:rPr>
        <w:t>installation</w:t>
      </w:r>
      <w:r w:rsidR="00DB1635" w:rsidRPr="00B004EE">
        <w:rPr>
          <w:rFonts w:ascii="Tahoma" w:hAnsi="Tahoma" w:cs="Tahoma"/>
          <w:sz w:val="20"/>
          <w:szCs w:val="20"/>
        </w:rPr>
        <w:t xml:space="preserve"> </w:t>
      </w:r>
      <w:r w:rsidRPr="00B004EE">
        <w:rPr>
          <w:rFonts w:ascii="Tahoma" w:hAnsi="Tahoma" w:cs="Tahoma"/>
          <w:sz w:val="20"/>
          <w:szCs w:val="20"/>
        </w:rPr>
        <w:t>sur</w:t>
      </w:r>
      <w:r w:rsidR="00DB1635" w:rsidRPr="00B004EE">
        <w:rPr>
          <w:rFonts w:ascii="Tahoma" w:hAnsi="Tahoma" w:cs="Tahoma"/>
          <w:sz w:val="20"/>
          <w:szCs w:val="20"/>
        </w:rPr>
        <w:t xml:space="preserve"> </w:t>
      </w:r>
      <w:r w:rsidRPr="00B004EE">
        <w:rPr>
          <w:rFonts w:ascii="Tahoma" w:hAnsi="Tahoma" w:cs="Tahoma"/>
          <w:sz w:val="20"/>
          <w:szCs w:val="20"/>
        </w:rPr>
        <w:t>propriété</w:t>
      </w:r>
      <w:r w:rsidR="00DB1635" w:rsidRPr="00B004EE">
        <w:rPr>
          <w:rFonts w:ascii="Tahoma" w:hAnsi="Tahoma" w:cs="Tahoma"/>
          <w:sz w:val="20"/>
          <w:szCs w:val="20"/>
        </w:rPr>
        <w:t xml:space="preserve"> </w:t>
      </w:r>
      <w:r w:rsidRPr="00B004EE">
        <w:rPr>
          <w:rFonts w:ascii="Tahoma" w:hAnsi="Tahoma" w:cs="Tahoma"/>
          <w:sz w:val="20"/>
          <w:szCs w:val="20"/>
        </w:rPr>
        <w:t>privée,</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pacing w:val="48"/>
          <w:sz w:val="20"/>
          <w:szCs w:val="20"/>
        </w:rPr>
        <w:t xml:space="preserve"> </w:t>
      </w:r>
      <w:r w:rsidRPr="00B004EE">
        <w:rPr>
          <w:rFonts w:ascii="Tahoma" w:hAnsi="Tahoma" w:cs="Tahoma"/>
          <w:sz w:val="20"/>
          <w:szCs w:val="20"/>
        </w:rPr>
        <w:t>alimentée</w:t>
      </w:r>
      <w:r w:rsidR="00DB1635" w:rsidRPr="00B004EE">
        <w:rPr>
          <w:rFonts w:ascii="Tahoma" w:hAnsi="Tahoma" w:cs="Tahoma"/>
          <w:spacing w:val="-1"/>
          <w:w w:val="95"/>
          <w:sz w:val="20"/>
          <w:szCs w:val="20"/>
        </w:rPr>
        <w:t xml:space="preserve"> </w:t>
      </w:r>
      <w:r w:rsidRPr="00B004EE">
        <w:rPr>
          <w:rFonts w:ascii="Tahoma" w:hAnsi="Tahoma" w:cs="Tahoma"/>
          <w:sz w:val="20"/>
          <w:szCs w:val="20"/>
        </w:rPr>
        <w:t>par</w:t>
      </w:r>
      <w:r w:rsidR="00DB1635" w:rsidRPr="00B004EE">
        <w:rPr>
          <w:rFonts w:ascii="Tahoma" w:hAnsi="Tahoma" w:cs="Tahoma"/>
          <w:spacing w:val="-17"/>
          <w:sz w:val="20"/>
          <w:szCs w:val="20"/>
        </w:rPr>
        <w:t xml:space="preserve"> </w:t>
      </w:r>
      <w:r w:rsidRPr="00B004EE">
        <w:rPr>
          <w:rFonts w:ascii="Tahoma" w:hAnsi="Tahoma" w:cs="Tahoma"/>
          <w:sz w:val="20"/>
          <w:szCs w:val="20"/>
        </w:rPr>
        <w:t>les</w:t>
      </w:r>
      <w:r w:rsidR="00DB1635" w:rsidRPr="00B004EE">
        <w:rPr>
          <w:rFonts w:ascii="Tahoma" w:hAnsi="Tahoma" w:cs="Tahoma"/>
          <w:spacing w:val="-16"/>
          <w:sz w:val="20"/>
          <w:szCs w:val="20"/>
        </w:rPr>
        <w:t xml:space="preserve"> </w:t>
      </w:r>
      <w:r w:rsidRPr="00B004EE">
        <w:rPr>
          <w:rFonts w:ascii="Tahoma" w:hAnsi="Tahoma" w:cs="Tahoma"/>
          <w:sz w:val="20"/>
          <w:szCs w:val="20"/>
        </w:rPr>
        <w:t>eaux</w:t>
      </w:r>
      <w:r w:rsidR="00DB1635" w:rsidRPr="00B004EE">
        <w:rPr>
          <w:rFonts w:ascii="Tahoma" w:hAnsi="Tahoma" w:cs="Tahoma"/>
          <w:spacing w:val="-16"/>
          <w:sz w:val="20"/>
          <w:szCs w:val="20"/>
        </w:rPr>
        <w:t xml:space="preserve"> </w:t>
      </w:r>
      <w:r w:rsidRPr="00B004EE">
        <w:rPr>
          <w:rFonts w:ascii="Tahoma" w:hAnsi="Tahoma" w:cs="Tahoma"/>
          <w:sz w:val="20"/>
          <w:szCs w:val="20"/>
        </w:rPr>
        <w:t>de</w:t>
      </w:r>
      <w:r w:rsidR="00DB1635" w:rsidRPr="00B004EE">
        <w:rPr>
          <w:rFonts w:ascii="Tahoma" w:hAnsi="Tahoma" w:cs="Tahoma"/>
          <w:spacing w:val="-16"/>
          <w:sz w:val="20"/>
          <w:szCs w:val="20"/>
        </w:rPr>
        <w:t xml:space="preserve"> </w:t>
      </w:r>
      <w:r w:rsidRPr="00B004EE">
        <w:rPr>
          <w:rFonts w:ascii="Tahoma" w:hAnsi="Tahoma" w:cs="Tahoma"/>
          <w:sz w:val="20"/>
          <w:szCs w:val="20"/>
        </w:rPr>
        <w:t>la</w:t>
      </w:r>
      <w:r w:rsidR="00DB1635" w:rsidRPr="00B004EE">
        <w:rPr>
          <w:rFonts w:ascii="Tahoma" w:hAnsi="Tahoma" w:cs="Tahoma"/>
          <w:spacing w:val="-16"/>
          <w:sz w:val="20"/>
          <w:szCs w:val="20"/>
        </w:rPr>
        <w:t xml:space="preserve"> </w:t>
      </w:r>
      <w:r w:rsidRPr="00B004EE">
        <w:rPr>
          <w:rFonts w:ascii="Tahoma" w:hAnsi="Tahoma" w:cs="Tahoma"/>
          <w:sz w:val="20"/>
          <w:szCs w:val="20"/>
        </w:rPr>
        <w:t>mer.</w:t>
      </w:r>
    </w:p>
    <w:p w14:paraId="68F0B869" w14:textId="7828E33A" w:rsidR="001E7C3C" w:rsidRPr="00B004EE" w:rsidRDefault="001E7C3C" w:rsidP="00B004EE">
      <w:pPr>
        <w:pStyle w:val="Corpsdetexte"/>
        <w:ind w:right="165"/>
        <w:rPr>
          <w:rFonts w:ascii="Tahoma" w:hAnsi="Tahoma" w:cs="Tahoma"/>
          <w:sz w:val="20"/>
          <w:szCs w:val="20"/>
        </w:rPr>
      </w:pPr>
      <w:r w:rsidRPr="00B004EE">
        <w:rPr>
          <w:rFonts w:ascii="Tahoma" w:hAnsi="Tahoma" w:cs="Tahoma"/>
          <w:sz w:val="20"/>
          <w:szCs w:val="20"/>
        </w:rPr>
        <w:t>La</w:t>
      </w:r>
      <w:r w:rsidR="00DB1635" w:rsidRPr="00B004EE">
        <w:rPr>
          <w:rFonts w:ascii="Tahoma" w:hAnsi="Tahoma" w:cs="Tahoma"/>
          <w:spacing w:val="-22"/>
          <w:sz w:val="20"/>
          <w:szCs w:val="20"/>
        </w:rPr>
        <w:t xml:space="preserve"> </w:t>
      </w:r>
      <w:r w:rsidRPr="00B004EE">
        <w:rPr>
          <w:rFonts w:ascii="Tahoma" w:hAnsi="Tahoma" w:cs="Tahoma"/>
          <w:sz w:val="20"/>
          <w:szCs w:val="20"/>
        </w:rPr>
        <w:t>création</w:t>
      </w:r>
      <w:r w:rsidR="00DB1635" w:rsidRPr="00B004EE">
        <w:rPr>
          <w:rFonts w:ascii="Tahoma" w:hAnsi="Tahoma" w:cs="Tahoma"/>
          <w:spacing w:val="-22"/>
          <w:sz w:val="20"/>
          <w:szCs w:val="20"/>
        </w:rPr>
        <w:t xml:space="preserve"> </w:t>
      </w:r>
      <w:r w:rsidRPr="00B004EE">
        <w:rPr>
          <w:rFonts w:ascii="Tahoma" w:hAnsi="Tahoma" w:cs="Tahoma"/>
          <w:sz w:val="20"/>
          <w:szCs w:val="20"/>
        </w:rPr>
        <w:t>ou</w:t>
      </w:r>
      <w:r w:rsidR="00DB1635" w:rsidRPr="00B004EE">
        <w:rPr>
          <w:rFonts w:ascii="Tahoma" w:hAnsi="Tahoma" w:cs="Tahoma"/>
          <w:spacing w:val="-22"/>
          <w:sz w:val="20"/>
          <w:szCs w:val="20"/>
        </w:rPr>
        <w:t xml:space="preserve"> </w:t>
      </w:r>
      <w:r w:rsidRPr="00B004EE">
        <w:rPr>
          <w:rFonts w:ascii="Tahoma" w:hAnsi="Tahoma" w:cs="Tahoma"/>
          <w:sz w:val="20"/>
          <w:szCs w:val="20"/>
        </w:rPr>
        <w:t>l'exploitation</w:t>
      </w:r>
      <w:r w:rsidR="00DB1635" w:rsidRPr="00B004EE">
        <w:rPr>
          <w:rFonts w:ascii="Tahoma" w:hAnsi="Tahoma" w:cs="Tahoma"/>
          <w:spacing w:val="-22"/>
          <w:sz w:val="20"/>
          <w:szCs w:val="20"/>
        </w:rPr>
        <w:t xml:space="preserve"> </w:t>
      </w:r>
      <w:r w:rsidRPr="00B004EE">
        <w:rPr>
          <w:rFonts w:ascii="Tahoma" w:hAnsi="Tahoma" w:cs="Tahoma"/>
          <w:sz w:val="20"/>
          <w:szCs w:val="20"/>
        </w:rPr>
        <w:t>d'un</w:t>
      </w:r>
      <w:r w:rsidR="00DB1635" w:rsidRPr="00B004EE">
        <w:rPr>
          <w:rFonts w:ascii="Tahoma" w:hAnsi="Tahoma" w:cs="Tahoma"/>
          <w:spacing w:val="-24"/>
          <w:sz w:val="20"/>
          <w:szCs w:val="20"/>
        </w:rPr>
        <w:t xml:space="preserve"> </w:t>
      </w:r>
      <w:r w:rsidRPr="00B004EE">
        <w:rPr>
          <w:rFonts w:ascii="Tahoma" w:hAnsi="Tahoma" w:cs="Tahoma"/>
          <w:sz w:val="20"/>
          <w:szCs w:val="20"/>
        </w:rPr>
        <w:t>établissement</w:t>
      </w:r>
      <w:r w:rsidR="00DB1635" w:rsidRPr="00B004EE">
        <w:rPr>
          <w:rFonts w:ascii="Tahoma" w:hAnsi="Tahoma" w:cs="Tahoma"/>
          <w:spacing w:val="-23"/>
          <w:sz w:val="20"/>
          <w:szCs w:val="20"/>
        </w:rPr>
        <w:t xml:space="preserve"> </w:t>
      </w:r>
      <w:r w:rsidRPr="00B004EE">
        <w:rPr>
          <w:rFonts w:ascii="Tahoma" w:hAnsi="Tahoma" w:cs="Tahoma"/>
          <w:sz w:val="20"/>
          <w:szCs w:val="20"/>
        </w:rPr>
        <w:t>de</w:t>
      </w:r>
      <w:r w:rsidR="00DB1635" w:rsidRPr="00B004EE">
        <w:rPr>
          <w:rFonts w:ascii="Tahoma" w:hAnsi="Tahoma" w:cs="Tahoma"/>
          <w:spacing w:val="-23"/>
          <w:sz w:val="20"/>
          <w:szCs w:val="20"/>
        </w:rPr>
        <w:t xml:space="preserve"> </w:t>
      </w:r>
      <w:r w:rsidRPr="00B004EE">
        <w:rPr>
          <w:rFonts w:ascii="Tahoma" w:hAnsi="Tahoma" w:cs="Tahoma"/>
          <w:sz w:val="20"/>
          <w:szCs w:val="20"/>
        </w:rPr>
        <w:t>cultures</w:t>
      </w:r>
      <w:r w:rsidR="00DB1635" w:rsidRPr="00B004EE">
        <w:rPr>
          <w:rFonts w:ascii="Tahoma" w:hAnsi="Tahoma" w:cs="Tahoma"/>
          <w:spacing w:val="-24"/>
          <w:sz w:val="20"/>
          <w:szCs w:val="20"/>
        </w:rPr>
        <w:t xml:space="preserve"> </w:t>
      </w:r>
      <w:r w:rsidRPr="00B004EE">
        <w:rPr>
          <w:rFonts w:ascii="Tahoma" w:hAnsi="Tahoma" w:cs="Tahoma"/>
          <w:sz w:val="20"/>
          <w:szCs w:val="20"/>
        </w:rPr>
        <w:t>marines</w:t>
      </w:r>
      <w:r w:rsidR="00DB1635" w:rsidRPr="00B004EE">
        <w:rPr>
          <w:rFonts w:ascii="Tahoma" w:hAnsi="Tahoma" w:cs="Tahoma"/>
          <w:spacing w:val="-24"/>
          <w:sz w:val="20"/>
          <w:szCs w:val="20"/>
        </w:rPr>
        <w:t xml:space="preserve"> </w:t>
      </w:r>
      <w:r w:rsidRPr="00B004EE">
        <w:rPr>
          <w:rFonts w:ascii="Tahoma" w:hAnsi="Tahoma" w:cs="Tahoma"/>
          <w:sz w:val="20"/>
          <w:szCs w:val="20"/>
        </w:rPr>
        <w:t>sont</w:t>
      </w:r>
      <w:r w:rsidR="00DB1635" w:rsidRPr="00B004EE">
        <w:rPr>
          <w:rFonts w:ascii="Tahoma" w:hAnsi="Tahoma" w:cs="Tahoma"/>
          <w:spacing w:val="-23"/>
          <w:sz w:val="20"/>
          <w:szCs w:val="20"/>
        </w:rPr>
        <w:t xml:space="preserve"> </w:t>
      </w:r>
      <w:r w:rsidRPr="00B004EE">
        <w:rPr>
          <w:rFonts w:ascii="Tahoma" w:hAnsi="Tahoma" w:cs="Tahoma"/>
          <w:sz w:val="20"/>
          <w:szCs w:val="20"/>
        </w:rPr>
        <w:t>soumises</w:t>
      </w:r>
      <w:r w:rsidR="00DB1635" w:rsidRPr="00B004EE">
        <w:rPr>
          <w:rFonts w:ascii="Tahoma" w:hAnsi="Tahoma" w:cs="Tahoma"/>
          <w:w w:val="94"/>
          <w:sz w:val="20"/>
          <w:szCs w:val="20"/>
        </w:rPr>
        <w:t xml:space="preserve"> </w:t>
      </w:r>
      <w:r w:rsidRPr="00B004EE">
        <w:rPr>
          <w:rFonts w:ascii="Tahoma" w:hAnsi="Tahoma" w:cs="Tahoma"/>
          <w:sz w:val="20"/>
          <w:szCs w:val="20"/>
        </w:rPr>
        <w:t>à</w:t>
      </w:r>
      <w:r w:rsidR="00DB1635" w:rsidRPr="00B004EE">
        <w:rPr>
          <w:rFonts w:ascii="Tahoma" w:hAnsi="Tahoma" w:cs="Tahoma"/>
          <w:spacing w:val="-32"/>
          <w:sz w:val="20"/>
          <w:szCs w:val="20"/>
        </w:rPr>
        <w:t xml:space="preserve"> </w:t>
      </w:r>
      <w:r w:rsidRPr="00B004EE">
        <w:rPr>
          <w:rFonts w:ascii="Tahoma" w:hAnsi="Tahoma" w:cs="Tahoma"/>
          <w:sz w:val="20"/>
          <w:szCs w:val="20"/>
        </w:rPr>
        <w:t>autorisation</w:t>
      </w:r>
      <w:r w:rsidR="00DB1635" w:rsidRPr="00B004EE">
        <w:rPr>
          <w:rFonts w:ascii="Tahoma" w:hAnsi="Tahoma" w:cs="Tahoma"/>
          <w:spacing w:val="-32"/>
          <w:sz w:val="20"/>
          <w:szCs w:val="20"/>
        </w:rPr>
        <w:t xml:space="preserve"> </w:t>
      </w:r>
      <w:r w:rsidRPr="00B004EE">
        <w:rPr>
          <w:rFonts w:ascii="Tahoma" w:hAnsi="Tahoma" w:cs="Tahoma"/>
          <w:sz w:val="20"/>
          <w:szCs w:val="20"/>
        </w:rPr>
        <w:t>préalable</w:t>
      </w:r>
      <w:r w:rsidR="00DB1635" w:rsidRPr="00B004EE">
        <w:rPr>
          <w:rFonts w:ascii="Tahoma" w:hAnsi="Tahoma" w:cs="Tahoma"/>
          <w:spacing w:val="-32"/>
          <w:sz w:val="20"/>
          <w:szCs w:val="20"/>
        </w:rPr>
        <w:t xml:space="preserve"> </w:t>
      </w:r>
      <w:r w:rsidRPr="00B004EE">
        <w:rPr>
          <w:rFonts w:ascii="Tahoma" w:hAnsi="Tahoma" w:cs="Tahoma"/>
          <w:sz w:val="20"/>
          <w:szCs w:val="20"/>
        </w:rPr>
        <w:t>du</w:t>
      </w:r>
      <w:r w:rsidR="00DB1635" w:rsidRPr="00B004EE">
        <w:rPr>
          <w:rFonts w:ascii="Tahoma" w:hAnsi="Tahoma" w:cs="Tahoma"/>
          <w:spacing w:val="-31"/>
          <w:sz w:val="20"/>
          <w:szCs w:val="20"/>
        </w:rPr>
        <w:t xml:space="preserve"> </w:t>
      </w:r>
      <w:r w:rsidRPr="00B004EE">
        <w:rPr>
          <w:rFonts w:ascii="Tahoma" w:hAnsi="Tahoma" w:cs="Tahoma"/>
          <w:sz w:val="20"/>
          <w:szCs w:val="20"/>
        </w:rPr>
        <w:t>ministre</w:t>
      </w:r>
      <w:r w:rsidR="00DB1635" w:rsidRPr="00B004EE">
        <w:rPr>
          <w:rFonts w:ascii="Tahoma" w:hAnsi="Tahoma" w:cs="Tahoma"/>
          <w:spacing w:val="-32"/>
          <w:sz w:val="20"/>
          <w:szCs w:val="20"/>
        </w:rPr>
        <w:t xml:space="preserve"> </w:t>
      </w:r>
      <w:r w:rsidRPr="00B004EE">
        <w:rPr>
          <w:rFonts w:ascii="Tahoma" w:hAnsi="Tahoma" w:cs="Tahoma"/>
          <w:sz w:val="20"/>
          <w:szCs w:val="20"/>
        </w:rPr>
        <w:t>chargé</w:t>
      </w:r>
      <w:r w:rsidR="00DB1635" w:rsidRPr="00B004EE">
        <w:rPr>
          <w:rFonts w:ascii="Tahoma" w:hAnsi="Tahoma" w:cs="Tahoma"/>
          <w:spacing w:val="-32"/>
          <w:sz w:val="20"/>
          <w:szCs w:val="20"/>
        </w:rPr>
        <w:t xml:space="preserve"> </w:t>
      </w:r>
      <w:r w:rsidRPr="00B004EE">
        <w:rPr>
          <w:rFonts w:ascii="Tahoma" w:hAnsi="Tahoma" w:cs="Tahoma"/>
          <w:sz w:val="20"/>
          <w:szCs w:val="20"/>
        </w:rPr>
        <w:t>des</w:t>
      </w:r>
      <w:r w:rsidR="00DB1635" w:rsidRPr="00B004EE">
        <w:rPr>
          <w:rFonts w:ascii="Tahoma" w:hAnsi="Tahoma" w:cs="Tahoma"/>
          <w:spacing w:val="-33"/>
          <w:sz w:val="20"/>
          <w:szCs w:val="20"/>
        </w:rPr>
        <w:t xml:space="preserve"> </w:t>
      </w:r>
      <w:r w:rsidRPr="00B004EE">
        <w:rPr>
          <w:rFonts w:ascii="Tahoma" w:hAnsi="Tahoma" w:cs="Tahoma"/>
          <w:sz w:val="20"/>
          <w:szCs w:val="20"/>
        </w:rPr>
        <w:t>pêches.</w:t>
      </w:r>
    </w:p>
    <w:p w14:paraId="75DF953E" w14:textId="6ABCA7E0" w:rsidR="001E7C3C" w:rsidRPr="00B004EE" w:rsidRDefault="001E7C3C" w:rsidP="00B004EE">
      <w:pPr>
        <w:pStyle w:val="Corpsdetexte"/>
        <w:ind w:right="160"/>
        <w:rPr>
          <w:rFonts w:ascii="Tahoma" w:hAnsi="Tahoma" w:cs="Tahoma"/>
          <w:sz w:val="20"/>
          <w:szCs w:val="20"/>
        </w:rPr>
      </w:pPr>
      <w:r w:rsidRPr="00B004EE">
        <w:rPr>
          <w:rFonts w:ascii="Tahoma" w:eastAsia="American Typewriter" w:hAnsi="Tahoma" w:cs="Tahoma"/>
          <w:sz w:val="20"/>
          <w:szCs w:val="20"/>
        </w:rPr>
        <w:t>Les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règles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relatives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à</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la</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création</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et</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à</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l’exploitation</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d’établissement</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des</w:t>
      </w:r>
      <w:r w:rsidR="00DB1635" w:rsidRPr="00B004EE">
        <w:rPr>
          <w:rFonts w:ascii="Tahoma" w:eastAsia="American Typewriter" w:hAnsi="Tahoma" w:cs="Tahoma"/>
          <w:spacing w:val="10"/>
          <w:sz w:val="20"/>
          <w:szCs w:val="20"/>
        </w:rPr>
        <w:t xml:space="preserve"> </w:t>
      </w:r>
      <w:r w:rsidRPr="00B004EE">
        <w:rPr>
          <w:rFonts w:ascii="Tahoma" w:eastAsia="American Typewriter" w:hAnsi="Tahoma" w:cs="Tahoma"/>
          <w:sz w:val="20"/>
          <w:szCs w:val="20"/>
        </w:rPr>
        <w:t>cultures</w:t>
      </w:r>
      <w:r w:rsidR="00DB1635" w:rsidRPr="00B004EE">
        <w:rPr>
          <w:rFonts w:ascii="Tahoma" w:eastAsia="American Typewriter" w:hAnsi="Tahoma" w:cs="Tahoma"/>
          <w:w w:val="94"/>
          <w:sz w:val="20"/>
          <w:szCs w:val="20"/>
        </w:rPr>
        <w:t xml:space="preserve"> </w:t>
      </w:r>
      <w:r w:rsidRPr="00B004EE">
        <w:rPr>
          <w:rFonts w:ascii="Tahoma" w:hAnsi="Tahoma" w:cs="Tahoma"/>
          <w:sz w:val="20"/>
          <w:szCs w:val="20"/>
        </w:rPr>
        <w:t>marines</w:t>
      </w:r>
      <w:r w:rsidR="00DB1635" w:rsidRPr="00B004EE">
        <w:rPr>
          <w:rFonts w:ascii="Tahoma" w:hAnsi="Tahoma" w:cs="Tahoma"/>
          <w:spacing w:val="20"/>
          <w:sz w:val="20"/>
          <w:szCs w:val="20"/>
        </w:rPr>
        <w:t xml:space="preserve"> </w:t>
      </w:r>
      <w:r w:rsidRPr="00B004EE">
        <w:rPr>
          <w:rFonts w:ascii="Tahoma" w:hAnsi="Tahoma" w:cs="Tahoma"/>
          <w:sz w:val="20"/>
          <w:szCs w:val="20"/>
        </w:rPr>
        <w:t>sont</w:t>
      </w:r>
      <w:r w:rsidR="00DB1635" w:rsidRPr="00B004EE">
        <w:rPr>
          <w:rFonts w:ascii="Tahoma" w:hAnsi="Tahoma" w:cs="Tahoma"/>
          <w:spacing w:val="20"/>
          <w:sz w:val="20"/>
          <w:szCs w:val="20"/>
        </w:rPr>
        <w:t xml:space="preserve"> </w:t>
      </w:r>
      <w:r w:rsidRPr="00B004EE">
        <w:rPr>
          <w:rFonts w:ascii="Tahoma" w:hAnsi="Tahoma" w:cs="Tahoma"/>
          <w:sz w:val="20"/>
          <w:szCs w:val="20"/>
        </w:rPr>
        <w:t>précisées</w:t>
      </w:r>
      <w:r w:rsidR="00DB1635" w:rsidRPr="00B004EE">
        <w:rPr>
          <w:rFonts w:ascii="Tahoma" w:hAnsi="Tahoma" w:cs="Tahoma"/>
          <w:spacing w:val="20"/>
          <w:sz w:val="20"/>
          <w:szCs w:val="20"/>
        </w:rPr>
        <w:t xml:space="preserve"> </w:t>
      </w:r>
      <w:r w:rsidRPr="00B004EE">
        <w:rPr>
          <w:rFonts w:ascii="Tahoma" w:hAnsi="Tahoma" w:cs="Tahoma"/>
          <w:sz w:val="20"/>
          <w:szCs w:val="20"/>
        </w:rPr>
        <w:t>par</w:t>
      </w:r>
      <w:r w:rsidR="00DB1635" w:rsidRPr="00B004EE">
        <w:rPr>
          <w:rFonts w:ascii="Tahoma" w:hAnsi="Tahoma" w:cs="Tahoma"/>
          <w:spacing w:val="20"/>
          <w:sz w:val="20"/>
          <w:szCs w:val="20"/>
        </w:rPr>
        <w:t xml:space="preserve"> </w:t>
      </w:r>
      <w:r w:rsidRPr="00B004EE">
        <w:rPr>
          <w:rFonts w:ascii="Tahoma" w:hAnsi="Tahoma" w:cs="Tahoma"/>
          <w:sz w:val="20"/>
          <w:szCs w:val="20"/>
        </w:rPr>
        <w:t>décret</w:t>
      </w:r>
      <w:r w:rsidR="00DB1635" w:rsidRPr="00B004EE">
        <w:rPr>
          <w:rFonts w:ascii="Tahoma" w:hAnsi="Tahoma" w:cs="Tahoma"/>
          <w:spacing w:val="20"/>
          <w:sz w:val="20"/>
          <w:szCs w:val="20"/>
        </w:rPr>
        <w:t xml:space="preserve"> </w:t>
      </w:r>
      <w:r w:rsidRPr="00B004EE">
        <w:rPr>
          <w:rFonts w:ascii="Tahoma" w:hAnsi="Tahoma" w:cs="Tahoma"/>
          <w:sz w:val="20"/>
          <w:szCs w:val="20"/>
        </w:rPr>
        <w:t>pris</w:t>
      </w:r>
      <w:r w:rsidR="00DB1635" w:rsidRPr="00B004EE">
        <w:rPr>
          <w:rFonts w:ascii="Tahoma" w:hAnsi="Tahoma" w:cs="Tahoma"/>
          <w:spacing w:val="20"/>
          <w:sz w:val="20"/>
          <w:szCs w:val="20"/>
        </w:rPr>
        <w:t xml:space="preserve"> </w:t>
      </w:r>
      <w:r w:rsidRPr="00B004EE">
        <w:rPr>
          <w:rFonts w:ascii="Tahoma" w:hAnsi="Tahoma" w:cs="Tahoma"/>
          <w:sz w:val="20"/>
          <w:szCs w:val="20"/>
        </w:rPr>
        <w:t>en</w:t>
      </w:r>
      <w:r w:rsidR="00DB1635" w:rsidRPr="00B004EE">
        <w:rPr>
          <w:rFonts w:ascii="Tahoma" w:hAnsi="Tahoma" w:cs="Tahoma"/>
          <w:spacing w:val="23"/>
          <w:sz w:val="20"/>
          <w:szCs w:val="20"/>
        </w:rPr>
        <w:t xml:space="preserve"> </w:t>
      </w:r>
      <w:r w:rsidRPr="00B004EE">
        <w:rPr>
          <w:rFonts w:ascii="Tahoma" w:hAnsi="Tahoma" w:cs="Tahoma"/>
          <w:sz w:val="20"/>
          <w:szCs w:val="20"/>
        </w:rPr>
        <w:t>Conseil</w:t>
      </w:r>
      <w:r w:rsidR="00DB1635" w:rsidRPr="00B004EE">
        <w:rPr>
          <w:rFonts w:ascii="Tahoma" w:hAnsi="Tahoma" w:cs="Tahoma"/>
          <w:spacing w:val="19"/>
          <w:sz w:val="20"/>
          <w:szCs w:val="20"/>
        </w:rPr>
        <w:t xml:space="preserve"> </w:t>
      </w:r>
      <w:r w:rsidRPr="00B004EE">
        <w:rPr>
          <w:rFonts w:ascii="Tahoma" w:hAnsi="Tahoma" w:cs="Tahoma"/>
          <w:sz w:val="20"/>
          <w:szCs w:val="20"/>
        </w:rPr>
        <w:t>des</w:t>
      </w:r>
      <w:r w:rsidR="00DB1635" w:rsidRPr="00B004EE">
        <w:rPr>
          <w:rFonts w:ascii="Tahoma" w:hAnsi="Tahoma" w:cs="Tahoma"/>
          <w:spacing w:val="18"/>
          <w:sz w:val="20"/>
          <w:szCs w:val="20"/>
        </w:rPr>
        <w:t xml:space="preserve"> </w:t>
      </w:r>
      <w:r w:rsidRPr="00B004EE">
        <w:rPr>
          <w:rFonts w:ascii="Tahoma" w:hAnsi="Tahoma" w:cs="Tahoma"/>
          <w:sz w:val="20"/>
          <w:szCs w:val="20"/>
        </w:rPr>
        <w:t>Ministres</w:t>
      </w:r>
      <w:r w:rsidR="00DB1635" w:rsidRPr="00B004EE">
        <w:rPr>
          <w:rFonts w:ascii="Tahoma" w:hAnsi="Tahoma" w:cs="Tahoma"/>
          <w:spacing w:val="18"/>
          <w:sz w:val="20"/>
          <w:szCs w:val="20"/>
        </w:rPr>
        <w:t xml:space="preserve"> </w:t>
      </w:r>
      <w:r w:rsidRPr="00B004EE">
        <w:rPr>
          <w:rFonts w:ascii="Tahoma" w:hAnsi="Tahoma" w:cs="Tahoma"/>
          <w:sz w:val="20"/>
          <w:szCs w:val="20"/>
        </w:rPr>
        <w:t>sur</w:t>
      </w:r>
      <w:r w:rsidR="00DB1635" w:rsidRPr="00B004EE">
        <w:rPr>
          <w:rFonts w:ascii="Tahoma" w:hAnsi="Tahoma" w:cs="Tahoma"/>
          <w:spacing w:val="18"/>
          <w:sz w:val="20"/>
          <w:szCs w:val="20"/>
        </w:rPr>
        <w:t xml:space="preserve"> </w:t>
      </w:r>
      <w:r w:rsidRPr="00B004EE">
        <w:rPr>
          <w:rFonts w:ascii="Tahoma" w:hAnsi="Tahoma" w:cs="Tahoma"/>
          <w:sz w:val="20"/>
          <w:szCs w:val="20"/>
        </w:rPr>
        <w:t>rapport</w:t>
      </w:r>
      <w:r w:rsidR="00DB1635" w:rsidRPr="00B004EE">
        <w:rPr>
          <w:rFonts w:ascii="Tahoma" w:hAnsi="Tahoma" w:cs="Tahoma"/>
          <w:spacing w:val="18"/>
          <w:sz w:val="20"/>
          <w:szCs w:val="20"/>
        </w:rPr>
        <w:t xml:space="preserve"> </w:t>
      </w:r>
      <w:r w:rsidRPr="00B004EE">
        <w:rPr>
          <w:rFonts w:ascii="Tahoma" w:hAnsi="Tahoma" w:cs="Tahoma"/>
          <w:sz w:val="20"/>
          <w:szCs w:val="20"/>
        </w:rPr>
        <w:t>du</w:t>
      </w:r>
      <w:r w:rsidR="00DB1635" w:rsidRPr="00B004EE">
        <w:rPr>
          <w:rFonts w:ascii="Tahoma" w:hAnsi="Tahoma" w:cs="Tahoma"/>
          <w:w w:val="98"/>
          <w:sz w:val="20"/>
          <w:szCs w:val="20"/>
        </w:rPr>
        <w:t xml:space="preserve"> </w:t>
      </w:r>
      <w:r w:rsidRPr="00B004EE">
        <w:rPr>
          <w:rFonts w:ascii="Tahoma" w:hAnsi="Tahoma" w:cs="Tahoma"/>
          <w:w w:val="95"/>
          <w:sz w:val="20"/>
          <w:szCs w:val="20"/>
        </w:rPr>
        <w:t>ministre</w:t>
      </w:r>
      <w:r w:rsidR="00DB1635" w:rsidRPr="00B004EE">
        <w:rPr>
          <w:rFonts w:ascii="Tahoma" w:hAnsi="Tahoma" w:cs="Tahoma"/>
          <w:w w:val="95"/>
          <w:sz w:val="20"/>
          <w:szCs w:val="20"/>
        </w:rPr>
        <w:t xml:space="preserve"> </w:t>
      </w:r>
      <w:r w:rsidRPr="00B004EE">
        <w:rPr>
          <w:rFonts w:ascii="Tahoma" w:hAnsi="Tahoma" w:cs="Tahoma"/>
          <w:w w:val="95"/>
          <w:sz w:val="20"/>
          <w:szCs w:val="20"/>
        </w:rPr>
        <w:t>chargé</w:t>
      </w:r>
      <w:r w:rsidR="00DB1635" w:rsidRPr="00B004EE">
        <w:rPr>
          <w:rFonts w:ascii="Tahoma" w:hAnsi="Tahoma" w:cs="Tahoma"/>
          <w:w w:val="95"/>
          <w:sz w:val="20"/>
          <w:szCs w:val="20"/>
        </w:rPr>
        <w:t xml:space="preserve"> </w:t>
      </w:r>
      <w:r w:rsidRPr="00B004EE">
        <w:rPr>
          <w:rFonts w:ascii="Tahoma" w:hAnsi="Tahoma" w:cs="Tahoma"/>
          <w:w w:val="95"/>
          <w:sz w:val="20"/>
          <w:szCs w:val="20"/>
        </w:rPr>
        <w:t>des</w:t>
      </w:r>
      <w:r w:rsidR="00DB1635" w:rsidRPr="00B004EE">
        <w:rPr>
          <w:rFonts w:ascii="Tahoma" w:hAnsi="Tahoma" w:cs="Tahoma"/>
          <w:spacing w:val="13"/>
          <w:w w:val="95"/>
          <w:sz w:val="20"/>
          <w:szCs w:val="20"/>
        </w:rPr>
        <w:t xml:space="preserve"> </w:t>
      </w:r>
      <w:r w:rsidRPr="00B004EE">
        <w:rPr>
          <w:rFonts w:ascii="Tahoma" w:hAnsi="Tahoma" w:cs="Tahoma"/>
          <w:w w:val="95"/>
          <w:sz w:val="20"/>
          <w:szCs w:val="20"/>
        </w:rPr>
        <w:t>pêches.</w:t>
      </w:r>
    </w:p>
    <w:p w14:paraId="2F4759B3" w14:textId="77777777" w:rsidR="00337E3A" w:rsidRPr="00B004EE" w:rsidRDefault="00337E3A" w:rsidP="00B004EE">
      <w:pPr>
        <w:jc w:val="both"/>
        <w:rPr>
          <w:rFonts w:ascii="Tahoma" w:hAnsi="Tahoma" w:cs="Tahoma"/>
          <w:sz w:val="20"/>
          <w:szCs w:val="20"/>
        </w:rPr>
      </w:pPr>
    </w:p>
    <w:p w14:paraId="0999B298" w14:textId="2E690052" w:rsidR="001E7C3C" w:rsidRPr="00B004EE" w:rsidRDefault="001E7C3C" w:rsidP="00B004EE">
      <w:pPr>
        <w:ind w:right="164" w:hanging="4"/>
        <w:jc w:val="center"/>
        <w:rPr>
          <w:rFonts w:ascii="Tahoma" w:hAnsi="Tahoma" w:cs="Tahoma"/>
          <w:b/>
          <w:spacing w:val="1"/>
          <w:w w:val="113"/>
          <w:sz w:val="20"/>
          <w:szCs w:val="20"/>
        </w:rPr>
      </w:pPr>
      <w:bookmarkStart w:id="87" w:name="_Toc16279076"/>
      <w:bookmarkStart w:id="88" w:name="_Toc16279445"/>
      <w:r w:rsidRPr="00B004EE">
        <w:rPr>
          <w:rFonts w:ascii="Tahoma" w:hAnsi="Tahoma" w:cs="Tahoma"/>
          <w:b/>
          <w:spacing w:val="1"/>
          <w:w w:val="113"/>
          <w:sz w:val="20"/>
          <w:szCs w:val="20"/>
        </w:rPr>
        <w:t>TITRE</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V</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DE</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LA</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SECURITE</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SANITAIRE,</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DE</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LA</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VALORISATION</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ET</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DE</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LA</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COMMERCIALISATION</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DES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PRODUITS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DE</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PECHE</w:t>
      </w:r>
      <w:bookmarkEnd w:id="87"/>
      <w:bookmarkEnd w:id="88"/>
    </w:p>
    <w:p w14:paraId="68652B83" w14:textId="7C8B22D9" w:rsidR="001E7C3C" w:rsidRPr="00B004EE" w:rsidRDefault="001E7C3C" w:rsidP="00B004EE">
      <w:pPr>
        <w:ind w:right="164" w:hanging="4"/>
        <w:jc w:val="center"/>
        <w:rPr>
          <w:rFonts w:ascii="Tahoma" w:hAnsi="Tahoma" w:cs="Tahoma"/>
          <w:b/>
          <w:spacing w:val="1"/>
          <w:w w:val="113"/>
          <w:sz w:val="20"/>
          <w:szCs w:val="20"/>
        </w:rPr>
      </w:pPr>
      <w:r w:rsidRPr="00B004EE">
        <w:rPr>
          <w:rFonts w:ascii="Tahoma" w:hAnsi="Tahoma" w:cs="Tahoma"/>
          <w:b/>
          <w:spacing w:val="1"/>
          <w:w w:val="113"/>
          <w:sz w:val="20"/>
          <w:szCs w:val="20"/>
        </w:rPr>
        <w:t>CHAPITRE</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PREMIER</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DISPOSITIONS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APPLICABLES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AUX</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PRODUITS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DE</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PECHE</w:t>
      </w:r>
    </w:p>
    <w:p w14:paraId="0C432692" w14:textId="77777777" w:rsidR="001E7C3C" w:rsidRPr="00B004EE" w:rsidRDefault="001E7C3C" w:rsidP="00B004EE">
      <w:pPr>
        <w:ind w:right="164" w:hanging="4"/>
        <w:jc w:val="center"/>
        <w:rPr>
          <w:rFonts w:ascii="Tahoma" w:hAnsi="Tahoma" w:cs="Tahoma"/>
          <w:b/>
          <w:spacing w:val="1"/>
          <w:w w:val="113"/>
          <w:sz w:val="20"/>
          <w:szCs w:val="20"/>
        </w:rPr>
      </w:pPr>
    </w:p>
    <w:p w14:paraId="072B6AB0" w14:textId="0E48BFA0" w:rsidR="001E7C3C" w:rsidRPr="00B004EE" w:rsidRDefault="001E7C3C" w:rsidP="00B004EE">
      <w:pPr>
        <w:ind w:right="164" w:hanging="4"/>
        <w:jc w:val="center"/>
        <w:rPr>
          <w:rFonts w:ascii="Tahoma" w:hAnsi="Tahoma" w:cs="Tahoma"/>
          <w:b/>
          <w:spacing w:val="1"/>
          <w:w w:val="113"/>
          <w:sz w:val="20"/>
          <w:szCs w:val="20"/>
        </w:rPr>
      </w:pPr>
      <w:r w:rsidRPr="00B004EE">
        <w:rPr>
          <w:rFonts w:ascii="Tahoma" w:hAnsi="Tahoma" w:cs="Tahoma"/>
          <w:b/>
          <w:spacing w:val="1"/>
          <w:w w:val="113"/>
          <w:sz w:val="20"/>
          <w:szCs w:val="20"/>
        </w:rPr>
        <w:t>Section</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première</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Qualité,</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Hygiène</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et</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salubrité</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des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produits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de</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pêche</w:t>
      </w:r>
    </w:p>
    <w:p w14:paraId="27A88588" w14:textId="77777777" w:rsidR="001E7C3C" w:rsidRPr="00B004EE" w:rsidRDefault="001E7C3C" w:rsidP="00B004EE">
      <w:pPr>
        <w:ind w:right="164" w:hanging="4"/>
        <w:jc w:val="center"/>
        <w:rPr>
          <w:rFonts w:ascii="Tahoma" w:hAnsi="Tahoma" w:cs="Tahoma"/>
          <w:b/>
          <w:spacing w:val="1"/>
          <w:w w:val="113"/>
          <w:sz w:val="20"/>
          <w:szCs w:val="20"/>
        </w:rPr>
      </w:pPr>
    </w:p>
    <w:p w14:paraId="0717709A" w14:textId="05232F82" w:rsidR="001E7C3C" w:rsidRPr="00B004EE" w:rsidRDefault="001E7C3C" w:rsidP="00B004EE">
      <w:pPr>
        <w:pStyle w:val="Corpsdetexte"/>
        <w:ind w:right="161"/>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54</w:t>
      </w:r>
      <w:r w:rsidR="00DB1635" w:rsidRPr="00B004EE">
        <w:rPr>
          <w:rFonts w:ascii="Tahoma" w:hAnsi="Tahoma" w:cs="Tahoma"/>
          <w:bCs/>
          <w:sz w:val="20"/>
          <w:szCs w:val="20"/>
        </w:rPr>
        <w:t xml:space="preserve"> </w:t>
      </w:r>
      <w:r w:rsidRPr="00B004EE">
        <w:rPr>
          <w:rFonts w:ascii="Tahoma" w:hAnsi="Tahoma" w:cs="Tahoma"/>
          <w:bCs/>
          <w:sz w:val="20"/>
          <w:szCs w:val="20"/>
        </w:rPr>
        <w:t>:</w:t>
      </w:r>
      <w:r w:rsidR="00DB1635" w:rsidRPr="00B004EE">
        <w:rPr>
          <w:rFonts w:ascii="Tahoma" w:hAnsi="Tahoma" w:cs="Tahoma"/>
          <w:b/>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ministre</w:t>
      </w:r>
      <w:r w:rsidR="00DB1635" w:rsidRPr="00B004EE">
        <w:rPr>
          <w:rFonts w:ascii="Tahoma" w:hAnsi="Tahoma" w:cs="Tahoma"/>
          <w:sz w:val="20"/>
          <w:szCs w:val="20"/>
        </w:rPr>
        <w:t xml:space="preserve"> </w:t>
      </w:r>
      <w:r w:rsidRPr="00B004EE">
        <w:rPr>
          <w:rFonts w:ascii="Tahoma" w:hAnsi="Tahoma" w:cs="Tahoma"/>
          <w:sz w:val="20"/>
          <w:szCs w:val="20"/>
        </w:rPr>
        <w:t>chargé</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l'autorité</w:t>
      </w:r>
      <w:r w:rsidR="00DB1635" w:rsidRPr="00B004EE">
        <w:rPr>
          <w:rFonts w:ascii="Tahoma" w:hAnsi="Tahoma" w:cs="Tahoma"/>
          <w:sz w:val="20"/>
          <w:szCs w:val="20"/>
        </w:rPr>
        <w:t xml:space="preserve"> </w:t>
      </w:r>
      <w:r w:rsidRPr="00B004EE">
        <w:rPr>
          <w:rFonts w:ascii="Tahoma" w:hAnsi="Tahoma" w:cs="Tahoma"/>
          <w:sz w:val="20"/>
          <w:szCs w:val="20"/>
        </w:rPr>
        <w:t>compétente</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pacing w:val="55"/>
          <w:sz w:val="20"/>
          <w:szCs w:val="20"/>
        </w:rPr>
        <w:t xml:space="preserve"> </w:t>
      </w:r>
      <w:r w:rsidRPr="00B004EE">
        <w:rPr>
          <w:rFonts w:ascii="Tahoma" w:hAnsi="Tahoma" w:cs="Tahoma"/>
          <w:sz w:val="20"/>
          <w:szCs w:val="20"/>
        </w:rPr>
        <w:t>matière</w:t>
      </w:r>
      <w:r w:rsidR="00DB1635" w:rsidRPr="00B004EE">
        <w:rPr>
          <w:rFonts w:ascii="Tahoma" w:hAnsi="Tahoma" w:cs="Tahoma"/>
          <w:w w:val="94"/>
          <w:sz w:val="20"/>
          <w:szCs w:val="20"/>
        </w:rPr>
        <w:t xml:space="preserve"> </w:t>
      </w:r>
      <w:r w:rsidRPr="00B004EE">
        <w:rPr>
          <w:rFonts w:ascii="Tahoma" w:hAnsi="Tahoma" w:cs="Tahoma"/>
          <w:sz w:val="20"/>
          <w:szCs w:val="20"/>
        </w:rPr>
        <w:t>d'hygiène</w:t>
      </w:r>
      <w:r w:rsidR="00DB1635" w:rsidRPr="00B004EE">
        <w:rPr>
          <w:rFonts w:ascii="Tahoma" w:hAnsi="Tahoma" w:cs="Tahoma"/>
          <w:spacing w:val="-18"/>
          <w:sz w:val="20"/>
          <w:szCs w:val="20"/>
        </w:rPr>
        <w:t xml:space="preserve"> </w:t>
      </w:r>
      <w:r w:rsidRPr="00B004EE">
        <w:rPr>
          <w:rFonts w:ascii="Tahoma" w:hAnsi="Tahoma" w:cs="Tahoma"/>
          <w:sz w:val="20"/>
          <w:szCs w:val="20"/>
        </w:rPr>
        <w:t>et</w:t>
      </w:r>
      <w:r w:rsidR="00DB1635" w:rsidRPr="00B004EE">
        <w:rPr>
          <w:rFonts w:ascii="Tahoma" w:hAnsi="Tahoma" w:cs="Tahoma"/>
          <w:spacing w:val="-18"/>
          <w:sz w:val="20"/>
          <w:szCs w:val="20"/>
        </w:rPr>
        <w:t xml:space="preserve"> </w:t>
      </w:r>
      <w:r w:rsidRPr="00B004EE">
        <w:rPr>
          <w:rFonts w:ascii="Tahoma" w:hAnsi="Tahoma" w:cs="Tahoma"/>
          <w:sz w:val="20"/>
          <w:szCs w:val="20"/>
        </w:rPr>
        <w:t>de</w:t>
      </w:r>
      <w:r w:rsidR="00DB1635" w:rsidRPr="00B004EE">
        <w:rPr>
          <w:rFonts w:ascii="Tahoma" w:hAnsi="Tahoma" w:cs="Tahoma"/>
          <w:spacing w:val="-18"/>
          <w:sz w:val="20"/>
          <w:szCs w:val="20"/>
        </w:rPr>
        <w:t xml:space="preserve"> </w:t>
      </w:r>
      <w:r w:rsidRPr="00B004EE">
        <w:rPr>
          <w:rFonts w:ascii="Tahoma" w:hAnsi="Tahoma" w:cs="Tahoma"/>
          <w:sz w:val="20"/>
          <w:szCs w:val="20"/>
        </w:rPr>
        <w:t>salubrité</w:t>
      </w:r>
      <w:r w:rsidR="00DB1635" w:rsidRPr="00B004EE">
        <w:rPr>
          <w:rFonts w:ascii="Tahoma" w:hAnsi="Tahoma" w:cs="Tahoma"/>
          <w:spacing w:val="-17"/>
          <w:sz w:val="20"/>
          <w:szCs w:val="20"/>
        </w:rPr>
        <w:t xml:space="preserve"> </w:t>
      </w:r>
      <w:r w:rsidRPr="00B004EE">
        <w:rPr>
          <w:rFonts w:ascii="Tahoma" w:hAnsi="Tahoma" w:cs="Tahoma"/>
          <w:sz w:val="20"/>
          <w:szCs w:val="20"/>
        </w:rPr>
        <w:t>et</w:t>
      </w:r>
      <w:r w:rsidR="00DB1635" w:rsidRPr="00B004EE">
        <w:rPr>
          <w:rFonts w:ascii="Tahoma" w:hAnsi="Tahoma" w:cs="Tahoma"/>
          <w:spacing w:val="-18"/>
          <w:sz w:val="20"/>
          <w:szCs w:val="20"/>
        </w:rPr>
        <w:t xml:space="preserve"> </w:t>
      </w:r>
      <w:r w:rsidRPr="00B004EE">
        <w:rPr>
          <w:rFonts w:ascii="Tahoma" w:hAnsi="Tahoma" w:cs="Tahoma"/>
          <w:sz w:val="20"/>
          <w:szCs w:val="20"/>
        </w:rPr>
        <w:t>de</w:t>
      </w:r>
      <w:r w:rsidR="00DB1635" w:rsidRPr="00B004EE">
        <w:rPr>
          <w:rFonts w:ascii="Tahoma" w:hAnsi="Tahoma" w:cs="Tahoma"/>
          <w:spacing w:val="-18"/>
          <w:sz w:val="20"/>
          <w:szCs w:val="20"/>
        </w:rPr>
        <w:t xml:space="preserve"> </w:t>
      </w:r>
      <w:r w:rsidRPr="00B004EE">
        <w:rPr>
          <w:rFonts w:ascii="Tahoma" w:hAnsi="Tahoma" w:cs="Tahoma"/>
          <w:sz w:val="20"/>
          <w:szCs w:val="20"/>
        </w:rPr>
        <w:t>qualité</w:t>
      </w:r>
      <w:r w:rsidR="00DB1635" w:rsidRPr="00B004EE">
        <w:rPr>
          <w:rFonts w:ascii="Tahoma" w:hAnsi="Tahoma" w:cs="Tahoma"/>
          <w:spacing w:val="-17"/>
          <w:sz w:val="20"/>
          <w:szCs w:val="20"/>
        </w:rPr>
        <w:t xml:space="preserve"> </w:t>
      </w:r>
      <w:r w:rsidRPr="00B004EE">
        <w:rPr>
          <w:rFonts w:ascii="Tahoma" w:hAnsi="Tahoma" w:cs="Tahoma"/>
          <w:sz w:val="20"/>
          <w:szCs w:val="20"/>
        </w:rPr>
        <w:t>des</w:t>
      </w:r>
      <w:r w:rsidR="00DB1635" w:rsidRPr="00B004EE">
        <w:rPr>
          <w:rFonts w:ascii="Tahoma" w:hAnsi="Tahoma" w:cs="Tahoma"/>
          <w:spacing w:val="-18"/>
          <w:sz w:val="20"/>
          <w:szCs w:val="20"/>
        </w:rPr>
        <w:t xml:space="preserve"> </w:t>
      </w:r>
      <w:r w:rsidRPr="00B004EE">
        <w:rPr>
          <w:rFonts w:ascii="Tahoma" w:hAnsi="Tahoma" w:cs="Tahoma"/>
          <w:sz w:val="20"/>
          <w:szCs w:val="20"/>
        </w:rPr>
        <w:t>produits</w:t>
      </w:r>
      <w:r w:rsidR="00DB1635" w:rsidRPr="00B004EE">
        <w:rPr>
          <w:rFonts w:ascii="Tahoma" w:hAnsi="Tahoma" w:cs="Tahoma"/>
          <w:spacing w:val="-18"/>
          <w:sz w:val="20"/>
          <w:szCs w:val="20"/>
        </w:rPr>
        <w:t xml:space="preserve"> </w:t>
      </w:r>
      <w:r w:rsidRPr="00B004EE">
        <w:rPr>
          <w:rFonts w:ascii="Tahoma" w:hAnsi="Tahoma" w:cs="Tahoma"/>
          <w:sz w:val="20"/>
          <w:szCs w:val="20"/>
        </w:rPr>
        <w:t>de</w:t>
      </w:r>
      <w:r w:rsidR="00DB1635" w:rsidRPr="00B004EE">
        <w:rPr>
          <w:rFonts w:ascii="Tahoma" w:hAnsi="Tahoma" w:cs="Tahoma"/>
          <w:spacing w:val="-18"/>
          <w:sz w:val="20"/>
          <w:szCs w:val="20"/>
        </w:rPr>
        <w:t xml:space="preserve"> </w:t>
      </w:r>
      <w:r w:rsidRPr="00B004EE">
        <w:rPr>
          <w:rFonts w:ascii="Tahoma" w:hAnsi="Tahoma" w:cs="Tahoma"/>
          <w:sz w:val="20"/>
          <w:szCs w:val="20"/>
        </w:rPr>
        <w:t>la</w:t>
      </w:r>
      <w:r w:rsidR="00DB1635" w:rsidRPr="00B004EE">
        <w:rPr>
          <w:rFonts w:ascii="Tahoma" w:hAnsi="Tahoma" w:cs="Tahoma"/>
          <w:spacing w:val="-18"/>
          <w:sz w:val="20"/>
          <w:szCs w:val="20"/>
        </w:rPr>
        <w:t xml:space="preserve"> </w:t>
      </w:r>
      <w:r w:rsidRPr="00B004EE">
        <w:rPr>
          <w:rFonts w:ascii="Tahoma" w:hAnsi="Tahoma" w:cs="Tahoma"/>
          <w:sz w:val="20"/>
          <w:szCs w:val="20"/>
        </w:rPr>
        <w:t>pêche</w:t>
      </w:r>
      <w:r w:rsidR="00DB1635" w:rsidRPr="00B004EE">
        <w:rPr>
          <w:rFonts w:ascii="Tahoma" w:hAnsi="Tahoma" w:cs="Tahoma"/>
          <w:spacing w:val="-18"/>
          <w:sz w:val="20"/>
          <w:szCs w:val="20"/>
        </w:rPr>
        <w:t xml:space="preserve"> </w:t>
      </w:r>
      <w:r w:rsidRPr="00B004EE">
        <w:rPr>
          <w:rFonts w:ascii="Tahoma" w:hAnsi="Tahoma" w:cs="Tahoma"/>
          <w:sz w:val="20"/>
          <w:szCs w:val="20"/>
        </w:rPr>
        <w:t>et</w:t>
      </w:r>
      <w:r w:rsidR="00DB1635" w:rsidRPr="00B004EE">
        <w:rPr>
          <w:rFonts w:ascii="Tahoma" w:hAnsi="Tahoma" w:cs="Tahoma"/>
          <w:spacing w:val="-18"/>
          <w:sz w:val="20"/>
          <w:szCs w:val="20"/>
        </w:rPr>
        <w:t xml:space="preserve"> </w:t>
      </w:r>
      <w:r w:rsidRPr="00B004EE">
        <w:rPr>
          <w:rFonts w:ascii="Tahoma" w:hAnsi="Tahoma" w:cs="Tahoma"/>
          <w:sz w:val="20"/>
          <w:szCs w:val="20"/>
        </w:rPr>
        <w:t>de</w:t>
      </w:r>
      <w:r w:rsidR="00DB1635" w:rsidRPr="00B004EE">
        <w:rPr>
          <w:rFonts w:ascii="Tahoma" w:hAnsi="Tahoma" w:cs="Tahoma"/>
          <w:spacing w:val="-18"/>
          <w:sz w:val="20"/>
          <w:szCs w:val="20"/>
        </w:rPr>
        <w:t xml:space="preserve"> </w:t>
      </w:r>
      <w:r w:rsidRPr="00B004EE">
        <w:rPr>
          <w:rFonts w:ascii="Tahoma" w:hAnsi="Tahoma" w:cs="Tahoma"/>
          <w:sz w:val="20"/>
          <w:szCs w:val="20"/>
        </w:rPr>
        <w:t>l'aquaculture.</w:t>
      </w:r>
    </w:p>
    <w:p w14:paraId="29476E48" w14:textId="77777777" w:rsidR="001E7C3C" w:rsidRPr="00B004EE" w:rsidRDefault="001E7C3C" w:rsidP="00B004EE">
      <w:pPr>
        <w:rPr>
          <w:rFonts w:ascii="Tahoma" w:eastAsia="American Typewriter" w:hAnsi="Tahoma" w:cs="Tahoma"/>
          <w:sz w:val="20"/>
          <w:szCs w:val="20"/>
        </w:rPr>
      </w:pPr>
    </w:p>
    <w:p w14:paraId="345E8BAF" w14:textId="4D2ECEA8" w:rsidR="001E7C3C" w:rsidRPr="00B004EE" w:rsidRDefault="001E7C3C" w:rsidP="00B004EE">
      <w:pPr>
        <w:pStyle w:val="Corpsdetexte"/>
        <w:ind w:right="161"/>
        <w:rPr>
          <w:rFonts w:ascii="Tahoma" w:hAnsi="Tahoma" w:cs="Tahoma"/>
          <w:sz w:val="20"/>
          <w:szCs w:val="20"/>
        </w:rPr>
      </w:pPr>
      <w:r w:rsidRPr="00B004EE">
        <w:rPr>
          <w:rFonts w:ascii="Tahoma" w:hAnsi="Tahoma" w:cs="Tahoma"/>
          <w:sz w:val="20"/>
          <w:szCs w:val="20"/>
        </w:rPr>
        <w:t>Un</w:t>
      </w:r>
      <w:r w:rsidR="00DB1635" w:rsidRPr="00B004EE">
        <w:rPr>
          <w:rFonts w:ascii="Tahoma" w:hAnsi="Tahoma" w:cs="Tahoma"/>
          <w:spacing w:val="-13"/>
          <w:sz w:val="20"/>
          <w:szCs w:val="20"/>
        </w:rPr>
        <w:t xml:space="preserve"> </w:t>
      </w:r>
      <w:r w:rsidRPr="00B004EE">
        <w:rPr>
          <w:rFonts w:ascii="Tahoma" w:hAnsi="Tahoma" w:cs="Tahoma"/>
          <w:sz w:val="20"/>
          <w:szCs w:val="20"/>
        </w:rPr>
        <w:t>décret</w:t>
      </w:r>
      <w:r w:rsidR="00DB1635" w:rsidRPr="00B004EE">
        <w:rPr>
          <w:rFonts w:ascii="Tahoma" w:hAnsi="Tahoma" w:cs="Tahoma"/>
          <w:spacing w:val="-12"/>
          <w:sz w:val="20"/>
          <w:szCs w:val="20"/>
        </w:rPr>
        <w:t xml:space="preserve"> </w:t>
      </w:r>
      <w:r w:rsidRPr="00B004EE">
        <w:rPr>
          <w:rFonts w:ascii="Tahoma" w:hAnsi="Tahoma" w:cs="Tahoma"/>
          <w:sz w:val="20"/>
          <w:szCs w:val="20"/>
        </w:rPr>
        <w:t>pris</w:t>
      </w:r>
      <w:r w:rsidR="00DB1635" w:rsidRPr="00B004EE">
        <w:rPr>
          <w:rFonts w:ascii="Tahoma" w:hAnsi="Tahoma" w:cs="Tahoma"/>
          <w:spacing w:val="-13"/>
          <w:sz w:val="20"/>
          <w:szCs w:val="20"/>
        </w:rPr>
        <w:t xml:space="preserve"> </w:t>
      </w:r>
      <w:r w:rsidRPr="00B004EE">
        <w:rPr>
          <w:rFonts w:ascii="Tahoma" w:hAnsi="Tahoma" w:cs="Tahoma"/>
          <w:sz w:val="20"/>
          <w:szCs w:val="20"/>
        </w:rPr>
        <w:t>en</w:t>
      </w:r>
      <w:r w:rsidR="00DB1635" w:rsidRPr="00B004EE">
        <w:rPr>
          <w:rFonts w:ascii="Tahoma" w:hAnsi="Tahoma" w:cs="Tahoma"/>
          <w:spacing w:val="-13"/>
          <w:sz w:val="20"/>
          <w:szCs w:val="20"/>
        </w:rPr>
        <w:t xml:space="preserve"> </w:t>
      </w:r>
      <w:r w:rsidRPr="00B004EE">
        <w:rPr>
          <w:rFonts w:ascii="Tahoma" w:hAnsi="Tahoma" w:cs="Tahoma"/>
          <w:sz w:val="20"/>
          <w:szCs w:val="20"/>
        </w:rPr>
        <w:t>Conseil</w:t>
      </w:r>
      <w:r w:rsidR="00DB1635" w:rsidRPr="00B004EE">
        <w:rPr>
          <w:rFonts w:ascii="Tahoma" w:hAnsi="Tahoma" w:cs="Tahoma"/>
          <w:spacing w:val="-14"/>
          <w:sz w:val="20"/>
          <w:szCs w:val="20"/>
        </w:rPr>
        <w:t xml:space="preserve"> </w:t>
      </w:r>
      <w:r w:rsidRPr="00B004EE">
        <w:rPr>
          <w:rFonts w:ascii="Tahoma" w:hAnsi="Tahoma" w:cs="Tahoma"/>
          <w:sz w:val="20"/>
          <w:szCs w:val="20"/>
        </w:rPr>
        <w:t>des</w:t>
      </w:r>
      <w:r w:rsidR="00DB1635" w:rsidRPr="00B004EE">
        <w:rPr>
          <w:rFonts w:ascii="Tahoma" w:hAnsi="Tahoma" w:cs="Tahoma"/>
          <w:spacing w:val="-13"/>
          <w:sz w:val="20"/>
          <w:szCs w:val="20"/>
        </w:rPr>
        <w:t xml:space="preserve"> </w:t>
      </w:r>
      <w:r w:rsidRPr="00B004EE">
        <w:rPr>
          <w:rFonts w:ascii="Tahoma" w:hAnsi="Tahoma" w:cs="Tahoma"/>
          <w:sz w:val="20"/>
          <w:szCs w:val="20"/>
        </w:rPr>
        <w:t>ministres</w:t>
      </w:r>
      <w:r w:rsidR="00DB1635" w:rsidRPr="00B004EE">
        <w:rPr>
          <w:rFonts w:ascii="Tahoma" w:hAnsi="Tahoma" w:cs="Tahoma"/>
          <w:spacing w:val="-14"/>
          <w:sz w:val="20"/>
          <w:szCs w:val="20"/>
        </w:rPr>
        <w:t xml:space="preserve"> </w:t>
      </w:r>
      <w:r w:rsidRPr="00B004EE">
        <w:rPr>
          <w:rFonts w:ascii="Tahoma" w:hAnsi="Tahoma" w:cs="Tahoma"/>
          <w:sz w:val="20"/>
          <w:szCs w:val="20"/>
        </w:rPr>
        <w:t>sur</w:t>
      </w:r>
      <w:r w:rsidR="00DB1635" w:rsidRPr="00B004EE">
        <w:rPr>
          <w:rFonts w:ascii="Tahoma" w:hAnsi="Tahoma" w:cs="Tahoma"/>
          <w:spacing w:val="-15"/>
          <w:sz w:val="20"/>
          <w:szCs w:val="20"/>
        </w:rPr>
        <w:t xml:space="preserve"> </w:t>
      </w:r>
      <w:r w:rsidRPr="00B004EE">
        <w:rPr>
          <w:rFonts w:ascii="Tahoma" w:hAnsi="Tahoma" w:cs="Tahoma"/>
          <w:sz w:val="20"/>
          <w:szCs w:val="20"/>
        </w:rPr>
        <w:t>rapport</w:t>
      </w:r>
      <w:r w:rsidR="00DB1635" w:rsidRPr="00B004EE">
        <w:rPr>
          <w:rFonts w:ascii="Tahoma" w:hAnsi="Tahoma" w:cs="Tahoma"/>
          <w:spacing w:val="-14"/>
          <w:sz w:val="20"/>
          <w:szCs w:val="20"/>
        </w:rPr>
        <w:t xml:space="preserve"> </w:t>
      </w:r>
      <w:r w:rsidRPr="00B004EE">
        <w:rPr>
          <w:rFonts w:ascii="Tahoma" w:hAnsi="Tahoma" w:cs="Tahoma"/>
          <w:sz w:val="20"/>
          <w:szCs w:val="20"/>
        </w:rPr>
        <w:t>du</w:t>
      </w:r>
      <w:r w:rsidR="00DB1635" w:rsidRPr="00B004EE">
        <w:rPr>
          <w:rFonts w:ascii="Tahoma" w:hAnsi="Tahoma" w:cs="Tahoma"/>
          <w:spacing w:val="-14"/>
          <w:sz w:val="20"/>
          <w:szCs w:val="20"/>
        </w:rPr>
        <w:t xml:space="preserve"> </w:t>
      </w:r>
      <w:r w:rsidRPr="00B004EE">
        <w:rPr>
          <w:rFonts w:ascii="Tahoma" w:hAnsi="Tahoma" w:cs="Tahoma"/>
          <w:sz w:val="20"/>
          <w:szCs w:val="20"/>
        </w:rPr>
        <w:t>ministre</w:t>
      </w:r>
      <w:r w:rsidR="00DB1635" w:rsidRPr="00B004EE">
        <w:rPr>
          <w:rFonts w:ascii="Tahoma" w:hAnsi="Tahoma" w:cs="Tahoma"/>
          <w:spacing w:val="-14"/>
          <w:sz w:val="20"/>
          <w:szCs w:val="20"/>
        </w:rPr>
        <w:t xml:space="preserve"> </w:t>
      </w:r>
      <w:r w:rsidRPr="00B004EE">
        <w:rPr>
          <w:rFonts w:ascii="Tahoma" w:hAnsi="Tahoma" w:cs="Tahoma"/>
          <w:sz w:val="20"/>
          <w:szCs w:val="20"/>
        </w:rPr>
        <w:t>chargé</w:t>
      </w:r>
      <w:r w:rsidR="00DB1635" w:rsidRPr="00B004EE">
        <w:rPr>
          <w:rFonts w:ascii="Tahoma" w:hAnsi="Tahoma" w:cs="Tahoma"/>
          <w:spacing w:val="-14"/>
          <w:sz w:val="20"/>
          <w:szCs w:val="20"/>
        </w:rPr>
        <w:t xml:space="preserve"> </w:t>
      </w:r>
      <w:r w:rsidRPr="00B004EE">
        <w:rPr>
          <w:rFonts w:ascii="Tahoma" w:hAnsi="Tahoma" w:cs="Tahoma"/>
          <w:sz w:val="20"/>
          <w:szCs w:val="20"/>
        </w:rPr>
        <w:t>des</w:t>
      </w:r>
      <w:r w:rsidR="00DB1635" w:rsidRPr="00B004EE">
        <w:rPr>
          <w:rFonts w:ascii="Tahoma" w:hAnsi="Tahoma" w:cs="Tahoma"/>
          <w:spacing w:val="-15"/>
          <w:sz w:val="20"/>
          <w:szCs w:val="20"/>
        </w:rPr>
        <w:t xml:space="preserve"> </w:t>
      </w:r>
      <w:r w:rsidRPr="00B004EE">
        <w:rPr>
          <w:rFonts w:ascii="Tahoma" w:hAnsi="Tahoma" w:cs="Tahoma"/>
          <w:sz w:val="20"/>
          <w:szCs w:val="20"/>
        </w:rPr>
        <w:t>pêches</w:t>
      </w:r>
      <w:r w:rsidR="00DB1635" w:rsidRPr="00B004EE">
        <w:rPr>
          <w:rFonts w:ascii="Tahoma" w:hAnsi="Tahoma" w:cs="Tahoma"/>
          <w:w w:val="94"/>
          <w:sz w:val="20"/>
          <w:szCs w:val="20"/>
        </w:rPr>
        <w:t xml:space="preserve"> </w:t>
      </w:r>
      <w:r w:rsidRPr="00B004EE">
        <w:rPr>
          <w:rFonts w:ascii="Tahoma" w:hAnsi="Tahoma" w:cs="Tahoma"/>
          <w:sz w:val="20"/>
          <w:szCs w:val="20"/>
        </w:rPr>
        <w:t>fixera,</w:t>
      </w:r>
      <w:r w:rsidR="00DB1635" w:rsidRPr="00B004EE">
        <w:rPr>
          <w:rFonts w:ascii="Tahoma" w:hAnsi="Tahoma" w:cs="Tahoma"/>
          <w:spacing w:val="-13"/>
          <w:sz w:val="20"/>
          <w:szCs w:val="20"/>
        </w:rPr>
        <w:t xml:space="preserve"> </w:t>
      </w:r>
      <w:r w:rsidRPr="00B004EE">
        <w:rPr>
          <w:rFonts w:ascii="Tahoma" w:hAnsi="Tahoma" w:cs="Tahoma"/>
          <w:sz w:val="20"/>
          <w:szCs w:val="20"/>
        </w:rPr>
        <w:t>le</w:t>
      </w:r>
      <w:r w:rsidR="00DB1635" w:rsidRPr="00B004EE">
        <w:rPr>
          <w:rFonts w:ascii="Tahoma" w:hAnsi="Tahoma" w:cs="Tahoma"/>
          <w:spacing w:val="-14"/>
          <w:sz w:val="20"/>
          <w:szCs w:val="20"/>
        </w:rPr>
        <w:t xml:space="preserve"> </w:t>
      </w:r>
      <w:r w:rsidRPr="00B004EE">
        <w:rPr>
          <w:rFonts w:ascii="Tahoma" w:hAnsi="Tahoma" w:cs="Tahoma"/>
          <w:sz w:val="20"/>
          <w:szCs w:val="20"/>
        </w:rPr>
        <w:t>cas</w:t>
      </w:r>
      <w:r w:rsidR="00DB1635" w:rsidRPr="00B004EE">
        <w:rPr>
          <w:rFonts w:ascii="Tahoma" w:hAnsi="Tahoma" w:cs="Tahoma"/>
          <w:spacing w:val="-14"/>
          <w:sz w:val="20"/>
          <w:szCs w:val="20"/>
        </w:rPr>
        <w:t xml:space="preserve"> </w:t>
      </w:r>
      <w:r w:rsidRPr="00B004EE">
        <w:rPr>
          <w:rFonts w:ascii="Tahoma" w:hAnsi="Tahoma" w:cs="Tahoma"/>
          <w:sz w:val="20"/>
          <w:szCs w:val="20"/>
        </w:rPr>
        <w:t>échéant,</w:t>
      </w:r>
      <w:r w:rsidR="00DB1635" w:rsidRPr="00B004EE">
        <w:rPr>
          <w:rFonts w:ascii="Tahoma" w:hAnsi="Tahoma" w:cs="Tahoma"/>
          <w:spacing w:val="-13"/>
          <w:sz w:val="20"/>
          <w:szCs w:val="20"/>
        </w:rPr>
        <w:t xml:space="preserve"> </w:t>
      </w:r>
      <w:r w:rsidRPr="00B004EE">
        <w:rPr>
          <w:rFonts w:ascii="Tahoma" w:hAnsi="Tahoma" w:cs="Tahoma"/>
          <w:sz w:val="20"/>
          <w:szCs w:val="20"/>
        </w:rPr>
        <w:t>conjointement</w:t>
      </w:r>
      <w:r w:rsidR="00DB1635" w:rsidRPr="00B004EE">
        <w:rPr>
          <w:rFonts w:ascii="Tahoma" w:hAnsi="Tahoma" w:cs="Tahoma"/>
          <w:spacing w:val="-14"/>
          <w:sz w:val="20"/>
          <w:szCs w:val="20"/>
        </w:rPr>
        <w:t xml:space="preserve"> </w:t>
      </w:r>
      <w:r w:rsidRPr="00B004EE">
        <w:rPr>
          <w:rFonts w:ascii="Tahoma" w:hAnsi="Tahoma" w:cs="Tahoma"/>
          <w:sz w:val="20"/>
          <w:szCs w:val="20"/>
        </w:rPr>
        <w:t>avec</w:t>
      </w:r>
      <w:r w:rsidR="00DB1635" w:rsidRPr="00B004EE">
        <w:rPr>
          <w:rFonts w:ascii="Tahoma" w:hAnsi="Tahoma" w:cs="Tahoma"/>
          <w:spacing w:val="-15"/>
          <w:sz w:val="20"/>
          <w:szCs w:val="20"/>
        </w:rPr>
        <w:t xml:space="preserve"> </w:t>
      </w:r>
      <w:r w:rsidRPr="00B004EE">
        <w:rPr>
          <w:rFonts w:ascii="Tahoma" w:hAnsi="Tahoma" w:cs="Tahoma"/>
          <w:sz w:val="20"/>
          <w:szCs w:val="20"/>
        </w:rPr>
        <w:t>les</w:t>
      </w:r>
      <w:r w:rsidR="00DB1635" w:rsidRPr="00B004EE">
        <w:rPr>
          <w:rFonts w:ascii="Tahoma" w:hAnsi="Tahoma" w:cs="Tahoma"/>
          <w:spacing w:val="-14"/>
          <w:sz w:val="20"/>
          <w:szCs w:val="20"/>
        </w:rPr>
        <w:t xml:space="preserve"> </w:t>
      </w:r>
      <w:r w:rsidRPr="00B004EE">
        <w:rPr>
          <w:rFonts w:ascii="Tahoma" w:hAnsi="Tahoma" w:cs="Tahoma"/>
          <w:sz w:val="20"/>
          <w:szCs w:val="20"/>
        </w:rPr>
        <w:t>ministres</w:t>
      </w:r>
      <w:r w:rsidR="00DB1635" w:rsidRPr="00B004EE">
        <w:rPr>
          <w:rFonts w:ascii="Tahoma" w:hAnsi="Tahoma" w:cs="Tahoma"/>
          <w:spacing w:val="-14"/>
          <w:sz w:val="20"/>
          <w:szCs w:val="20"/>
        </w:rPr>
        <w:t xml:space="preserve"> </w:t>
      </w:r>
      <w:r w:rsidRPr="00B004EE">
        <w:rPr>
          <w:rFonts w:ascii="Tahoma" w:hAnsi="Tahoma" w:cs="Tahoma"/>
          <w:sz w:val="20"/>
          <w:szCs w:val="20"/>
        </w:rPr>
        <w:t>concernés,</w:t>
      </w:r>
      <w:r w:rsidR="00DB1635" w:rsidRPr="00B004EE">
        <w:rPr>
          <w:rFonts w:ascii="Tahoma" w:hAnsi="Tahoma" w:cs="Tahoma"/>
          <w:spacing w:val="-14"/>
          <w:sz w:val="20"/>
          <w:szCs w:val="20"/>
        </w:rPr>
        <w:t xml:space="preserve"> </w:t>
      </w:r>
      <w:r w:rsidRPr="00B004EE">
        <w:rPr>
          <w:rFonts w:ascii="Tahoma" w:hAnsi="Tahoma" w:cs="Tahoma"/>
          <w:sz w:val="20"/>
          <w:szCs w:val="20"/>
        </w:rPr>
        <w:t>les</w:t>
      </w:r>
      <w:r w:rsidR="00DB1635" w:rsidRPr="00B004EE">
        <w:rPr>
          <w:rFonts w:ascii="Tahoma" w:hAnsi="Tahoma" w:cs="Tahoma"/>
          <w:spacing w:val="-14"/>
          <w:sz w:val="20"/>
          <w:szCs w:val="20"/>
        </w:rPr>
        <w:t xml:space="preserve"> </w:t>
      </w:r>
      <w:r w:rsidRPr="00B004EE">
        <w:rPr>
          <w:rFonts w:ascii="Tahoma" w:hAnsi="Tahoma" w:cs="Tahoma"/>
          <w:sz w:val="20"/>
          <w:szCs w:val="20"/>
        </w:rPr>
        <w:t>procédures</w:t>
      </w:r>
      <w:r w:rsidR="00DB1635" w:rsidRPr="00B004EE">
        <w:rPr>
          <w:rFonts w:ascii="Tahoma" w:hAnsi="Tahoma" w:cs="Tahoma"/>
          <w:w w:val="94"/>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contrôle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d'inspection</w:t>
      </w:r>
      <w:r w:rsidR="00DB1635" w:rsidRPr="00B004EE">
        <w:rPr>
          <w:rFonts w:ascii="Tahoma" w:hAnsi="Tahoma" w:cs="Tahoma"/>
          <w:sz w:val="20"/>
          <w:szCs w:val="20"/>
        </w:rPr>
        <w:t xml:space="preserve"> </w:t>
      </w:r>
      <w:r w:rsidRPr="00B004EE">
        <w:rPr>
          <w:rFonts w:ascii="Tahoma" w:hAnsi="Tahoma" w:cs="Tahoma"/>
          <w:sz w:val="20"/>
          <w:szCs w:val="20"/>
        </w:rPr>
        <w:t>sanitaires,</w:t>
      </w:r>
      <w:r w:rsidR="00DB1635" w:rsidRPr="00B004EE">
        <w:rPr>
          <w:rFonts w:ascii="Tahoma" w:hAnsi="Tahoma" w:cs="Tahoma"/>
          <w:sz w:val="20"/>
          <w:szCs w:val="20"/>
        </w:rPr>
        <w:t xml:space="preserve"> </w:t>
      </w:r>
      <w:r w:rsidRPr="00B004EE">
        <w:rPr>
          <w:rFonts w:ascii="Tahoma" w:hAnsi="Tahoma" w:cs="Tahoma"/>
          <w:sz w:val="20"/>
          <w:szCs w:val="20"/>
        </w:rPr>
        <w:t>d'hygiène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salubrité</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pacing w:val="5"/>
          <w:sz w:val="20"/>
          <w:szCs w:val="20"/>
        </w:rPr>
        <w:t xml:space="preserve"> </w:t>
      </w:r>
      <w:r w:rsidRPr="00B004EE">
        <w:rPr>
          <w:rFonts w:ascii="Tahoma" w:hAnsi="Tahoma" w:cs="Tahoma"/>
          <w:sz w:val="20"/>
          <w:szCs w:val="20"/>
        </w:rPr>
        <w:t>la</w:t>
      </w:r>
      <w:r w:rsidR="00DB1635" w:rsidRPr="00B004EE">
        <w:rPr>
          <w:rFonts w:ascii="Tahoma" w:hAnsi="Tahoma" w:cs="Tahoma"/>
          <w:w w:val="98"/>
          <w:sz w:val="20"/>
          <w:szCs w:val="20"/>
        </w:rPr>
        <w:t xml:space="preserve"> </w:t>
      </w:r>
      <w:r w:rsidRPr="00B004EE">
        <w:rPr>
          <w:rFonts w:ascii="Tahoma" w:hAnsi="Tahoma" w:cs="Tahoma"/>
          <w:sz w:val="20"/>
          <w:szCs w:val="20"/>
        </w:rPr>
        <w:t>pêche</w:t>
      </w:r>
      <w:r w:rsidR="00DB1635" w:rsidRPr="00B004EE">
        <w:rPr>
          <w:rFonts w:ascii="Tahoma" w:hAnsi="Tahoma" w:cs="Tahoma"/>
          <w:spacing w:val="-26"/>
          <w:sz w:val="20"/>
          <w:szCs w:val="20"/>
        </w:rPr>
        <w:t xml:space="preserve"> </w:t>
      </w:r>
      <w:r w:rsidRPr="00B004EE">
        <w:rPr>
          <w:rFonts w:ascii="Tahoma" w:hAnsi="Tahoma" w:cs="Tahoma"/>
          <w:sz w:val="20"/>
          <w:szCs w:val="20"/>
        </w:rPr>
        <w:t>et</w:t>
      </w:r>
      <w:r w:rsidR="00DB1635" w:rsidRPr="00B004EE">
        <w:rPr>
          <w:rFonts w:ascii="Tahoma" w:hAnsi="Tahoma" w:cs="Tahoma"/>
          <w:spacing w:val="-26"/>
          <w:sz w:val="20"/>
          <w:szCs w:val="20"/>
        </w:rPr>
        <w:t xml:space="preserve"> </w:t>
      </w:r>
      <w:r w:rsidRPr="00B004EE">
        <w:rPr>
          <w:rFonts w:ascii="Tahoma" w:hAnsi="Tahoma" w:cs="Tahoma"/>
          <w:sz w:val="20"/>
          <w:szCs w:val="20"/>
        </w:rPr>
        <w:t>de</w:t>
      </w:r>
      <w:r w:rsidR="00DB1635" w:rsidRPr="00B004EE">
        <w:rPr>
          <w:rFonts w:ascii="Tahoma" w:hAnsi="Tahoma" w:cs="Tahoma"/>
          <w:spacing w:val="-26"/>
          <w:sz w:val="20"/>
          <w:szCs w:val="20"/>
        </w:rPr>
        <w:t xml:space="preserve"> </w:t>
      </w:r>
      <w:r w:rsidRPr="00B004EE">
        <w:rPr>
          <w:rFonts w:ascii="Tahoma" w:hAnsi="Tahoma" w:cs="Tahoma"/>
          <w:sz w:val="20"/>
          <w:szCs w:val="20"/>
        </w:rPr>
        <w:t>l'aquaculture</w:t>
      </w:r>
      <w:r w:rsidR="00DB1635" w:rsidRPr="00B004EE">
        <w:rPr>
          <w:rFonts w:ascii="Tahoma" w:hAnsi="Tahoma" w:cs="Tahoma"/>
          <w:spacing w:val="-24"/>
          <w:sz w:val="20"/>
          <w:szCs w:val="20"/>
        </w:rPr>
        <w:t xml:space="preserve"> </w:t>
      </w:r>
      <w:r w:rsidRPr="00B004EE">
        <w:rPr>
          <w:rFonts w:ascii="Tahoma" w:hAnsi="Tahoma" w:cs="Tahoma"/>
          <w:sz w:val="20"/>
          <w:szCs w:val="20"/>
        </w:rPr>
        <w:t>en</w:t>
      </w:r>
      <w:r w:rsidR="00DB1635" w:rsidRPr="00B004EE">
        <w:rPr>
          <w:rFonts w:ascii="Tahoma" w:hAnsi="Tahoma" w:cs="Tahoma"/>
          <w:spacing w:val="-26"/>
          <w:sz w:val="20"/>
          <w:szCs w:val="20"/>
        </w:rPr>
        <w:t xml:space="preserve"> </w:t>
      </w:r>
      <w:r w:rsidRPr="00B004EE">
        <w:rPr>
          <w:rFonts w:ascii="Tahoma" w:hAnsi="Tahoma" w:cs="Tahoma"/>
          <w:sz w:val="20"/>
          <w:szCs w:val="20"/>
        </w:rPr>
        <w:t>Mauritanie.</w:t>
      </w:r>
    </w:p>
    <w:p w14:paraId="2A219603" w14:textId="77777777" w:rsidR="001E7C3C" w:rsidRPr="00B004EE" w:rsidRDefault="001E7C3C" w:rsidP="00B004EE">
      <w:pPr>
        <w:rPr>
          <w:rFonts w:ascii="Tahoma" w:eastAsia="American Typewriter" w:hAnsi="Tahoma" w:cs="Tahoma"/>
          <w:sz w:val="20"/>
          <w:szCs w:val="20"/>
        </w:rPr>
      </w:pPr>
    </w:p>
    <w:p w14:paraId="6584B7F8" w14:textId="354C35EB" w:rsidR="001E7C3C" w:rsidRPr="00B004EE" w:rsidRDefault="001E7C3C" w:rsidP="00B004EE">
      <w:pPr>
        <w:ind w:right="164" w:hanging="4"/>
        <w:jc w:val="center"/>
        <w:rPr>
          <w:rFonts w:ascii="Tahoma" w:hAnsi="Tahoma" w:cs="Tahoma"/>
          <w:b/>
          <w:spacing w:val="1"/>
          <w:w w:val="113"/>
          <w:sz w:val="20"/>
          <w:szCs w:val="20"/>
        </w:rPr>
      </w:pPr>
      <w:bookmarkStart w:id="89" w:name="_Toc16279077"/>
      <w:bookmarkStart w:id="90" w:name="_Toc16279446"/>
      <w:r w:rsidRPr="00B004EE">
        <w:rPr>
          <w:rFonts w:ascii="Tahoma" w:hAnsi="Tahoma" w:cs="Tahoma"/>
          <w:b/>
          <w:spacing w:val="1"/>
          <w:w w:val="113"/>
          <w:sz w:val="20"/>
          <w:szCs w:val="20"/>
        </w:rPr>
        <w:t>Section</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2</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Contrôle</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des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normes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d’hygiène,</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de</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qualité</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et</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de</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salubrité</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des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produits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de</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la</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pêche</w:t>
      </w:r>
      <w:bookmarkEnd w:id="89"/>
      <w:bookmarkEnd w:id="90"/>
    </w:p>
    <w:p w14:paraId="2F929EDB" w14:textId="77777777" w:rsidR="001E7C3C" w:rsidRPr="00B004EE" w:rsidRDefault="001E7C3C" w:rsidP="00B004EE">
      <w:pPr>
        <w:rPr>
          <w:rFonts w:ascii="Tahoma" w:eastAsia="American Typewriter" w:hAnsi="Tahoma" w:cs="Tahoma"/>
          <w:b/>
          <w:bCs/>
          <w:sz w:val="20"/>
          <w:szCs w:val="20"/>
        </w:rPr>
      </w:pPr>
    </w:p>
    <w:p w14:paraId="26E4F168" w14:textId="34D3D052" w:rsidR="001E7C3C" w:rsidRPr="00B004EE" w:rsidRDefault="001E7C3C" w:rsidP="00B004EE">
      <w:pPr>
        <w:pStyle w:val="Corpsdetexte"/>
        <w:ind w:right="158"/>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55</w:t>
      </w:r>
      <w:r w:rsidR="00DB1635" w:rsidRPr="00B004EE">
        <w:rPr>
          <w:rFonts w:ascii="Tahoma" w:hAnsi="Tahoma" w:cs="Tahoma"/>
          <w:bCs/>
          <w:sz w:val="20"/>
          <w:szCs w:val="20"/>
        </w:rPr>
        <w:t xml:space="preserve"> </w:t>
      </w:r>
      <w:r w:rsidRPr="00B004EE">
        <w:rPr>
          <w:rFonts w:ascii="Tahoma" w:hAnsi="Tahoma" w:cs="Tahoma"/>
          <w:bCs/>
          <w:sz w:val="20"/>
          <w:szCs w:val="20"/>
        </w:rPr>
        <w:t>:</w:t>
      </w:r>
      <w:r w:rsidR="00DB1635" w:rsidRPr="00B004EE">
        <w:rPr>
          <w:rFonts w:ascii="Tahoma" w:eastAsia="American Typewriter" w:hAnsi="Tahoma" w:cs="Tahoma"/>
          <w:b/>
          <w:bCs/>
          <w:spacing w:val="-2"/>
          <w:sz w:val="20"/>
          <w:szCs w:val="20"/>
        </w:rPr>
        <w:t xml:space="preserve"> </w:t>
      </w:r>
      <w:r w:rsidRPr="00B004EE">
        <w:rPr>
          <w:rFonts w:ascii="Tahoma" w:eastAsia="American Typewriter" w:hAnsi="Tahoma" w:cs="Tahoma"/>
          <w:sz w:val="20"/>
          <w:szCs w:val="20"/>
        </w:rPr>
        <w:t>Le</w:t>
      </w:r>
      <w:r w:rsidR="00DB1635" w:rsidRPr="00B004EE">
        <w:rPr>
          <w:rFonts w:ascii="Tahoma" w:eastAsia="American Typewriter" w:hAnsi="Tahoma" w:cs="Tahoma"/>
          <w:spacing w:val="-5"/>
          <w:sz w:val="20"/>
          <w:szCs w:val="20"/>
        </w:rPr>
        <w:t xml:space="preserve"> </w:t>
      </w:r>
      <w:r w:rsidRPr="00B004EE">
        <w:rPr>
          <w:rFonts w:ascii="Tahoma" w:eastAsia="American Typewriter" w:hAnsi="Tahoma" w:cs="Tahoma"/>
          <w:sz w:val="20"/>
          <w:szCs w:val="20"/>
        </w:rPr>
        <w:t>décret</w:t>
      </w:r>
      <w:r w:rsidR="00DB1635" w:rsidRPr="00B004EE">
        <w:rPr>
          <w:rFonts w:ascii="Tahoma" w:eastAsia="American Typewriter" w:hAnsi="Tahoma" w:cs="Tahoma"/>
          <w:spacing w:val="-6"/>
          <w:sz w:val="20"/>
          <w:szCs w:val="20"/>
        </w:rPr>
        <w:t xml:space="preserve"> </w:t>
      </w:r>
      <w:r w:rsidRPr="00B004EE">
        <w:rPr>
          <w:rFonts w:ascii="Tahoma" w:eastAsia="American Typewriter" w:hAnsi="Tahoma" w:cs="Tahoma"/>
          <w:sz w:val="20"/>
          <w:szCs w:val="20"/>
        </w:rPr>
        <w:t>prévu</w:t>
      </w:r>
      <w:r w:rsidR="00DB1635" w:rsidRPr="00B004EE">
        <w:rPr>
          <w:rFonts w:ascii="Tahoma" w:eastAsia="American Typewriter" w:hAnsi="Tahoma" w:cs="Tahoma"/>
          <w:spacing w:val="-7"/>
          <w:sz w:val="20"/>
          <w:szCs w:val="20"/>
        </w:rPr>
        <w:t xml:space="preserve"> </w:t>
      </w:r>
      <w:r w:rsidRPr="00B004EE">
        <w:rPr>
          <w:rFonts w:ascii="Tahoma" w:eastAsia="American Typewriter" w:hAnsi="Tahoma" w:cs="Tahoma"/>
          <w:sz w:val="20"/>
          <w:szCs w:val="20"/>
        </w:rPr>
        <w:t>à</w:t>
      </w:r>
      <w:r w:rsidR="00DB1635" w:rsidRPr="00B004EE">
        <w:rPr>
          <w:rFonts w:ascii="Tahoma" w:eastAsia="American Typewriter" w:hAnsi="Tahoma" w:cs="Tahoma"/>
          <w:spacing w:val="-6"/>
          <w:sz w:val="20"/>
          <w:szCs w:val="20"/>
        </w:rPr>
        <w:t xml:space="preserve"> </w:t>
      </w:r>
      <w:r w:rsidRPr="00B004EE">
        <w:rPr>
          <w:rFonts w:ascii="Tahoma" w:eastAsia="American Typewriter" w:hAnsi="Tahoma" w:cs="Tahoma"/>
          <w:sz w:val="20"/>
          <w:szCs w:val="20"/>
        </w:rPr>
        <w:t>l’article</w:t>
      </w:r>
      <w:r w:rsidR="00DB1635" w:rsidRPr="00B004EE">
        <w:rPr>
          <w:rFonts w:ascii="Tahoma" w:eastAsia="American Typewriter" w:hAnsi="Tahoma" w:cs="Tahoma"/>
          <w:spacing w:val="-5"/>
          <w:sz w:val="20"/>
          <w:szCs w:val="20"/>
        </w:rPr>
        <w:t xml:space="preserve"> </w:t>
      </w:r>
      <w:r w:rsidRPr="00B004EE">
        <w:rPr>
          <w:rFonts w:ascii="Tahoma" w:hAnsi="Tahoma" w:cs="Tahoma"/>
          <w:sz w:val="20"/>
          <w:szCs w:val="20"/>
        </w:rPr>
        <w:t>54</w:t>
      </w:r>
      <w:r w:rsidR="00DB1635" w:rsidRPr="00B004EE">
        <w:rPr>
          <w:rFonts w:ascii="Tahoma" w:hAnsi="Tahoma" w:cs="Tahoma"/>
          <w:spacing w:val="-6"/>
          <w:sz w:val="20"/>
          <w:szCs w:val="20"/>
        </w:rPr>
        <w:t xml:space="preserve"> </w:t>
      </w:r>
      <w:r w:rsidRPr="00B004EE">
        <w:rPr>
          <w:rFonts w:ascii="Tahoma" w:hAnsi="Tahoma" w:cs="Tahoma"/>
          <w:sz w:val="20"/>
          <w:szCs w:val="20"/>
        </w:rPr>
        <w:t>ci-dessus</w:t>
      </w:r>
      <w:r w:rsidR="00DB1635" w:rsidRPr="00B004EE">
        <w:rPr>
          <w:rFonts w:ascii="Tahoma" w:hAnsi="Tahoma" w:cs="Tahoma"/>
          <w:spacing w:val="-8"/>
          <w:sz w:val="20"/>
          <w:szCs w:val="20"/>
        </w:rPr>
        <w:t xml:space="preserve"> </w:t>
      </w:r>
      <w:r w:rsidRPr="00B004EE">
        <w:rPr>
          <w:rFonts w:ascii="Tahoma" w:hAnsi="Tahoma" w:cs="Tahoma"/>
          <w:sz w:val="20"/>
          <w:szCs w:val="20"/>
        </w:rPr>
        <w:t>désigne</w:t>
      </w:r>
      <w:r w:rsidR="00DB1635" w:rsidRPr="00B004EE">
        <w:rPr>
          <w:rFonts w:ascii="Tahoma" w:hAnsi="Tahoma" w:cs="Tahoma"/>
          <w:spacing w:val="-7"/>
          <w:sz w:val="20"/>
          <w:szCs w:val="20"/>
        </w:rPr>
        <w:t xml:space="preserve"> </w:t>
      </w:r>
      <w:r w:rsidRPr="00B004EE">
        <w:rPr>
          <w:rFonts w:ascii="Tahoma" w:hAnsi="Tahoma" w:cs="Tahoma"/>
          <w:sz w:val="20"/>
          <w:szCs w:val="20"/>
        </w:rPr>
        <w:t>l'autorité</w:t>
      </w:r>
      <w:r w:rsidR="00DB1635" w:rsidRPr="00B004EE">
        <w:rPr>
          <w:rFonts w:ascii="Tahoma" w:hAnsi="Tahoma" w:cs="Tahoma"/>
          <w:spacing w:val="-6"/>
          <w:sz w:val="20"/>
          <w:szCs w:val="20"/>
        </w:rPr>
        <w:t xml:space="preserve"> </w:t>
      </w:r>
      <w:r w:rsidRPr="00B004EE">
        <w:rPr>
          <w:rFonts w:ascii="Tahoma" w:hAnsi="Tahoma" w:cs="Tahoma"/>
          <w:sz w:val="20"/>
          <w:szCs w:val="20"/>
        </w:rPr>
        <w:t>compétente</w:t>
      </w:r>
      <w:r w:rsidR="00DB1635" w:rsidRPr="00B004EE">
        <w:rPr>
          <w:rFonts w:ascii="Tahoma" w:hAnsi="Tahoma" w:cs="Tahoma"/>
          <w:spacing w:val="-1"/>
          <w:w w:val="95"/>
          <w:sz w:val="20"/>
          <w:szCs w:val="20"/>
        </w:rPr>
        <w:t xml:space="preserve"> </w:t>
      </w:r>
      <w:r w:rsidRPr="00B004EE">
        <w:rPr>
          <w:rFonts w:ascii="Tahoma" w:hAnsi="Tahoma" w:cs="Tahoma"/>
          <w:sz w:val="20"/>
          <w:szCs w:val="20"/>
        </w:rPr>
        <w:t>déléguée</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assurer</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respect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normes</w:t>
      </w:r>
      <w:r w:rsidR="00DB1635" w:rsidRPr="00B004EE">
        <w:rPr>
          <w:rFonts w:ascii="Tahoma" w:hAnsi="Tahoma" w:cs="Tahoma"/>
          <w:sz w:val="20"/>
          <w:szCs w:val="20"/>
        </w:rPr>
        <w:t xml:space="preserve"> </w:t>
      </w:r>
      <w:r w:rsidRPr="00B004EE">
        <w:rPr>
          <w:rFonts w:ascii="Tahoma" w:hAnsi="Tahoma" w:cs="Tahoma"/>
          <w:sz w:val="20"/>
          <w:szCs w:val="20"/>
        </w:rPr>
        <w:t>définies</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vertu</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présent</w:t>
      </w:r>
      <w:r w:rsidR="00DB1635" w:rsidRPr="00B004EE">
        <w:rPr>
          <w:rFonts w:ascii="Tahoma" w:hAnsi="Tahoma" w:cs="Tahoma"/>
          <w:sz w:val="20"/>
          <w:szCs w:val="20"/>
        </w:rPr>
        <w:t xml:space="preserve"> </w:t>
      </w:r>
      <w:r w:rsidRPr="00B004EE">
        <w:rPr>
          <w:rFonts w:ascii="Tahoma" w:hAnsi="Tahoma" w:cs="Tahoma"/>
          <w:sz w:val="20"/>
          <w:szCs w:val="20"/>
        </w:rPr>
        <w:t>titre.</w:t>
      </w:r>
      <w:r w:rsidR="00DB1635" w:rsidRPr="00B004EE">
        <w:rPr>
          <w:rFonts w:ascii="Tahoma" w:hAnsi="Tahoma" w:cs="Tahoma"/>
          <w:spacing w:val="-30"/>
          <w:sz w:val="20"/>
          <w:szCs w:val="20"/>
        </w:rPr>
        <w:t xml:space="preserve"> </w:t>
      </w:r>
      <w:r w:rsidRPr="00B004EE">
        <w:rPr>
          <w:rFonts w:ascii="Tahoma" w:hAnsi="Tahoma" w:cs="Tahoma"/>
          <w:sz w:val="20"/>
          <w:szCs w:val="20"/>
        </w:rPr>
        <w:t>A</w:t>
      </w:r>
      <w:r w:rsidR="00DB1635" w:rsidRPr="00B004EE">
        <w:rPr>
          <w:rFonts w:ascii="Tahoma" w:hAnsi="Tahoma" w:cs="Tahoma"/>
          <w:w w:val="96"/>
          <w:sz w:val="20"/>
          <w:szCs w:val="20"/>
        </w:rPr>
        <w:t xml:space="preserve"> </w:t>
      </w:r>
      <w:r w:rsidRPr="00B004EE">
        <w:rPr>
          <w:rFonts w:ascii="Tahoma" w:hAnsi="Tahoma" w:cs="Tahoma"/>
          <w:sz w:val="20"/>
          <w:szCs w:val="20"/>
        </w:rPr>
        <w:t>cet</w:t>
      </w:r>
      <w:r w:rsidR="00DB1635" w:rsidRPr="00B004EE">
        <w:rPr>
          <w:rFonts w:ascii="Tahoma" w:hAnsi="Tahoma" w:cs="Tahoma"/>
          <w:spacing w:val="-15"/>
          <w:sz w:val="20"/>
          <w:szCs w:val="20"/>
        </w:rPr>
        <w:t xml:space="preserve"> </w:t>
      </w:r>
      <w:r w:rsidRPr="00B004EE">
        <w:rPr>
          <w:rFonts w:ascii="Tahoma" w:hAnsi="Tahoma" w:cs="Tahoma"/>
          <w:sz w:val="20"/>
          <w:szCs w:val="20"/>
        </w:rPr>
        <w:t>effet,</w:t>
      </w:r>
      <w:r w:rsidR="00DB1635" w:rsidRPr="00B004EE">
        <w:rPr>
          <w:rFonts w:ascii="Tahoma" w:hAnsi="Tahoma" w:cs="Tahoma"/>
          <w:spacing w:val="-15"/>
          <w:sz w:val="20"/>
          <w:szCs w:val="20"/>
        </w:rPr>
        <w:t xml:space="preserve"> </w:t>
      </w:r>
      <w:r w:rsidRPr="00B004EE">
        <w:rPr>
          <w:rFonts w:ascii="Tahoma" w:hAnsi="Tahoma" w:cs="Tahoma"/>
          <w:sz w:val="20"/>
          <w:szCs w:val="20"/>
        </w:rPr>
        <w:t>les</w:t>
      </w:r>
      <w:r w:rsidR="00DB1635" w:rsidRPr="00B004EE">
        <w:rPr>
          <w:rFonts w:ascii="Tahoma" w:hAnsi="Tahoma" w:cs="Tahoma"/>
          <w:spacing w:val="-15"/>
          <w:sz w:val="20"/>
          <w:szCs w:val="20"/>
        </w:rPr>
        <w:t xml:space="preserve"> </w:t>
      </w:r>
      <w:r w:rsidRPr="00B004EE">
        <w:rPr>
          <w:rFonts w:ascii="Tahoma" w:hAnsi="Tahoma" w:cs="Tahoma"/>
          <w:sz w:val="20"/>
          <w:szCs w:val="20"/>
        </w:rPr>
        <w:t>agents</w:t>
      </w:r>
      <w:r w:rsidR="00DB1635" w:rsidRPr="00B004EE">
        <w:rPr>
          <w:rFonts w:ascii="Tahoma" w:hAnsi="Tahoma" w:cs="Tahoma"/>
          <w:spacing w:val="-15"/>
          <w:sz w:val="20"/>
          <w:szCs w:val="20"/>
        </w:rPr>
        <w:t xml:space="preserve"> </w:t>
      </w:r>
      <w:r w:rsidRPr="00B004EE">
        <w:rPr>
          <w:rFonts w:ascii="Tahoma" w:hAnsi="Tahoma" w:cs="Tahoma"/>
          <w:sz w:val="20"/>
          <w:szCs w:val="20"/>
        </w:rPr>
        <w:t>de</w:t>
      </w:r>
      <w:r w:rsidR="00DB1635" w:rsidRPr="00B004EE">
        <w:rPr>
          <w:rFonts w:ascii="Tahoma" w:hAnsi="Tahoma" w:cs="Tahoma"/>
          <w:spacing w:val="-15"/>
          <w:sz w:val="20"/>
          <w:szCs w:val="20"/>
        </w:rPr>
        <w:t xml:space="preserve"> </w:t>
      </w:r>
      <w:r w:rsidRPr="00B004EE">
        <w:rPr>
          <w:rFonts w:ascii="Tahoma" w:hAnsi="Tahoma" w:cs="Tahoma"/>
          <w:sz w:val="20"/>
          <w:szCs w:val="20"/>
        </w:rPr>
        <w:t>ladite</w:t>
      </w:r>
      <w:r w:rsidR="00DB1635" w:rsidRPr="00B004EE">
        <w:rPr>
          <w:rFonts w:ascii="Tahoma" w:hAnsi="Tahoma" w:cs="Tahoma"/>
          <w:spacing w:val="-15"/>
          <w:sz w:val="20"/>
          <w:szCs w:val="20"/>
        </w:rPr>
        <w:t xml:space="preserve"> </w:t>
      </w:r>
      <w:r w:rsidRPr="00B004EE">
        <w:rPr>
          <w:rFonts w:ascii="Tahoma" w:hAnsi="Tahoma" w:cs="Tahoma"/>
          <w:sz w:val="20"/>
          <w:szCs w:val="20"/>
        </w:rPr>
        <w:t>autorité</w:t>
      </w:r>
      <w:r w:rsidR="00DB1635" w:rsidRPr="00B004EE">
        <w:rPr>
          <w:rFonts w:ascii="Tahoma" w:hAnsi="Tahoma" w:cs="Tahoma"/>
          <w:spacing w:val="-15"/>
          <w:sz w:val="20"/>
          <w:szCs w:val="20"/>
        </w:rPr>
        <w:t xml:space="preserve"> </w:t>
      </w:r>
      <w:r w:rsidRPr="00B004EE">
        <w:rPr>
          <w:rFonts w:ascii="Tahoma" w:hAnsi="Tahoma" w:cs="Tahoma"/>
          <w:sz w:val="20"/>
          <w:szCs w:val="20"/>
        </w:rPr>
        <w:t>sont</w:t>
      </w:r>
      <w:r w:rsidR="00DB1635" w:rsidRPr="00B004EE">
        <w:rPr>
          <w:rFonts w:ascii="Tahoma" w:hAnsi="Tahoma" w:cs="Tahoma"/>
          <w:spacing w:val="-15"/>
          <w:sz w:val="20"/>
          <w:szCs w:val="20"/>
        </w:rPr>
        <w:t xml:space="preserve"> </w:t>
      </w:r>
      <w:r w:rsidRPr="00B004EE">
        <w:rPr>
          <w:rFonts w:ascii="Tahoma" w:hAnsi="Tahoma" w:cs="Tahoma"/>
          <w:sz w:val="20"/>
          <w:szCs w:val="20"/>
        </w:rPr>
        <w:t>habilités</w:t>
      </w:r>
      <w:r w:rsidR="00DB1635" w:rsidRPr="00B004EE">
        <w:rPr>
          <w:rFonts w:ascii="Tahoma" w:hAnsi="Tahoma" w:cs="Tahoma"/>
          <w:spacing w:val="-15"/>
          <w:sz w:val="20"/>
          <w:szCs w:val="20"/>
        </w:rPr>
        <w:t xml:space="preserve"> </w:t>
      </w:r>
      <w:r w:rsidRPr="00B004EE">
        <w:rPr>
          <w:rFonts w:ascii="Tahoma" w:hAnsi="Tahoma" w:cs="Tahoma"/>
          <w:sz w:val="20"/>
          <w:szCs w:val="20"/>
        </w:rPr>
        <w:t>à</w:t>
      </w:r>
      <w:r w:rsidR="00DB1635" w:rsidRPr="00B004EE">
        <w:rPr>
          <w:rFonts w:ascii="Tahoma" w:hAnsi="Tahoma" w:cs="Tahoma"/>
          <w:spacing w:val="-15"/>
          <w:sz w:val="20"/>
          <w:szCs w:val="20"/>
        </w:rPr>
        <w:t xml:space="preserve"> </w:t>
      </w:r>
      <w:r w:rsidRPr="00B004EE">
        <w:rPr>
          <w:rFonts w:ascii="Tahoma" w:hAnsi="Tahoma" w:cs="Tahoma"/>
          <w:sz w:val="20"/>
          <w:szCs w:val="20"/>
        </w:rPr>
        <w:t>:</w:t>
      </w:r>
    </w:p>
    <w:p w14:paraId="380DDEF3" w14:textId="4E79FC04" w:rsidR="001E7C3C" w:rsidRPr="00B004EE" w:rsidRDefault="001E7C3C" w:rsidP="00420DDA">
      <w:pPr>
        <w:pStyle w:val="Paragraphedeliste"/>
        <w:widowControl w:val="0"/>
        <w:numPr>
          <w:ilvl w:val="2"/>
          <w:numId w:val="39"/>
        </w:numPr>
        <w:tabs>
          <w:tab w:val="left" w:pos="1154"/>
        </w:tabs>
        <w:ind w:right="162"/>
        <w:jc w:val="both"/>
        <w:rPr>
          <w:rFonts w:ascii="Tahoma" w:eastAsia="American Typewriter" w:hAnsi="Tahoma" w:cs="Tahoma"/>
          <w:sz w:val="20"/>
          <w:szCs w:val="20"/>
        </w:rPr>
      </w:pPr>
      <w:proofErr w:type="gramStart"/>
      <w:r w:rsidRPr="00B004EE">
        <w:rPr>
          <w:rFonts w:ascii="Tahoma" w:hAnsi="Tahoma" w:cs="Tahoma"/>
          <w:sz w:val="20"/>
          <w:szCs w:val="20"/>
        </w:rPr>
        <w:t>entrer</w:t>
      </w:r>
      <w:proofErr w:type="gramEnd"/>
      <w:r w:rsidR="00DB1635" w:rsidRPr="00B004EE">
        <w:rPr>
          <w:rFonts w:ascii="Tahoma" w:hAnsi="Tahoma" w:cs="Tahoma"/>
          <w:spacing w:val="-15"/>
          <w:sz w:val="20"/>
          <w:szCs w:val="20"/>
        </w:rPr>
        <w:t xml:space="preserve"> </w:t>
      </w:r>
      <w:r w:rsidRPr="00B004EE">
        <w:rPr>
          <w:rFonts w:ascii="Tahoma" w:hAnsi="Tahoma" w:cs="Tahoma"/>
          <w:sz w:val="20"/>
          <w:szCs w:val="20"/>
        </w:rPr>
        <w:t>et</w:t>
      </w:r>
      <w:r w:rsidR="00DB1635" w:rsidRPr="00B004EE">
        <w:rPr>
          <w:rFonts w:ascii="Tahoma" w:hAnsi="Tahoma" w:cs="Tahoma"/>
          <w:spacing w:val="-15"/>
          <w:sz w:val="20"/>
          <w:szCs w:val="20"/>
        </w:rPr>
        <w:t xml:space="preserve"> </w:t>
      </w:r>
      <w:r w:rsidRPr="00B004EE">
        <w:rPr>
          <w:rFonts w:ascii="Tahoma" w:hAnsi="Tahoma" w:cs="Tahoma"/>
          <w:sz w:val="20"/>
          <w:szCs w:val="20"/>
        </w:rPr>
        <w:t>effectuer</w:t>
      </w:r>
      <w:r w:rsidR="00DB1635" w:rsidRPr="00B004EE">
        <w:rPr>
          <w:rFonts w:ascii="Tahoma" w:hAnsi="Tahoma" w:cs="Tahoma"/>
          <w:spacing w:val="-16"/>
          <w:sz w:val="20"/>
          <w:szCs w:val="20"/>
        </w:rPr>
        <w:t xml:space="preserve"> </w:t>
      </w:r>
      <w:r w:rsidRPr="00B004EE">
        <w:rPr>
          <w:rFonts w:ascii="Tahoma" w:hAnsi="Tahoma" w:cs="Tahoma"/>
          <w:sz w:val="20"/>
          <w:szCs w:val="20"/>
        </w:rPr>
        <w:t>des</w:t>
      </w:r>
      <w:r w:rsidR="00DB1635" w:rsidRPr="00B004EE">
        <w:rPr>
          <w:rFonts w:ascii="Tahoma" w:hAnsi="Tahoma" w:cs="Tahoma"/>
          <w:spacing w:val="-15"/>
          <w:sz w:val="20"/>
          <w:szCs w:val="20"/>
        </w:rPr>
        <w:t xml:space="preserve"> </w:t>
      </w:r>
      <w:r w:rsidRPr="00B004EE">
        <w:rPr>
          <w:rFonts w:ascii="Tahoma" w:hAnsi="Tahoma" w:cs="Tahoma"/>
          <w:sz w:val="20"/>
          <w:szCs w:val="20"/>
        </w:rPr>
        <w:t>inspections</w:t>
      </w:r>
      <w:r w:rsidR="00DB1635" w:rsidRPr="00B004EE">
        <w:rPr>
          <w:rFonts w:ascii="Tahoma" w:hAnsi="Tahoma" w:cs="Tahoma"/>
          <w:spacing w:val="-15"/>
          <w:sz w:val="20"/>
          <w:szCs w:val="20"/>
        </w:rPr>
        <w:t xml:space="preserve"> </w:t>
      </w:r>
      <w:r w:rsidRPr="00B004EE">
        <w:rPr>
          <w:rFonts w:ascii="Tahoma" w:hAnsi="Tahoma" w:cs="Tahoma"/>
          <w:sz w:val="20"/>
          <w:szCs w:val="20"/>
        </w:rPr>
        <w:t>dans</w:t>
      </w:r>
      <w:r w:rsidR="00DB1635" w:rsidRPr="00B004EE">
        <w:rPr>
          <w:rFonts w:ascii="Tahoma" w:hAnsi="Tahoma" w:cs="Tahoma"/>
          <w:spacing w:val="-16"/>
          <w:sz w:val="20"/>
          <w:szCs w:val="20"/>
        </w:rPr>
        <w:t xml:space="preserve"> </w:t>
      </w:r>
      <w:r w:rsidRPr="00B004EE">
        <w:rPr>
          <w:rFonts w:ascii="Tahoma" w:hAnsi="Tahoma" w:cs="Tahoma"/>
          <w:sz w:val="20"/>
          <w:szCs w:val="20"/>
        </w:rPr>
        <w:t>tout</w:t>
      </w:r>
      <w:r w:rsidR="00DB1635" w:rsidRPr="00B004EE">
        <w:rPr>
          <w:rFonts w:ascii="Tahoma" w:hAnsi="Tahoma" w:cs="Tahoma"/>
          <w:spacing w:val="-15"/>
          <w:sz w:val="20"/>
          <w:szCs w:val="20"/>
        </w:rPr>
        <w:t xml:space="preserve"> </w:t>
      </w:r>
      <w:r w:rsidRPr="00B004EE">
        <w:rPr>
          <w:rFonts w:ascii="Tahoma" w:hAnsi="Tahoma" w:cs="Tahoma"/>
          <w:sz w:val="20"/>
          <w:szCs w:val="20"/>
        </w:rPr>
        <w:t>établissement</w:t>
      </w:r>
      <w:r w:rsidR="00DB1635" w:rsidRPr="00B004EE">
        <w:rPr>
          <w:rFonts w:ascii="Tahoma" w:hAnsi="Tahoma" w:cs="Tahoma"/>
          <w:spacing w:val="-15"/>
          <w:sz w:val="20"/>
          <w:szCs w:val="20"/>
        </w:rPr>
        <w:t xml:space="preserve"> </w:t>
      </w:r>
      <w:r w:rsidRPr="00B004EE">
        <w:rPr>
          <w:rFonts w:ascii="Tahoma" w:hAnsi="Tahoma" w:cs="Tahoma"/>
          <w:sz w:val="20"/>
          <w:szCs w:val="20"/>
        </w:rPr>
        <w:t>de</w:t>
      </w:r>
      <w:r w:rsidR="00DB1635" w:rsidRPr="00B004EE">
        <w:rPr>
          <w:rFonts w:ascii="Tahoma" w:hAnsi="Tahoma" w:cs="Tahoma"/>
          <w:spacing w:val="-15"/>
          <w:sz w:val="20"/>
          <w:szCs w:val="20"/>
        </w:rPr>
        <w:t xml:space="preserve"> </w:t>
      </w:r>
      <w:r w:rsidRPr="00B004EE">
        <w:rPr>
          <w:rFonts w:ascii="Tahoma" w:hAnsi="Tahoma" w:cs="Tahoma"/>
          <w:sz w:val="20"/>
          <w:szCs w:val="20"/>
        </w:rPr>
        <w:t>traitement</w:t>
      </w:r>
      <w:r w:rsidR="00DB1635" w:rsidRPr="00B004EE">
        <w:rPr>
          <w:rFonts w:ascii="Tahoma" w:hAnsi="Tahoma" w:cs="Tahoma"/>
          <w:spacing w:val="-1"/>
          <w:w w:val="95"/>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transformation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pacing w:val="-26"/>
          <w:sz w:val="20"/>
          <w:szCs w:val="20"/>
        </w:rPr>
        <w:t xml:space="preserve"> </w:t>
      </w:r>
      <w:r w:rsidRPr="00B004EE">
        <w:rPr>
          <w:rFonts w:ascii="Tahoma" w:hAnsi="Tahoma" w:cs="Tahoma"/>
          <w:sz w:val="20"/>
          <w:szCs w:val="20"/>
        </w:rPr>
        <w:t>d'aquaculture;</w:t>
      </w:r>
    </w:p>
    <w:p w14:paraId="072EE4A7" w14:textId="30036759" w:rsidR="001E7C3C" w:rsidRPr="00B004EE" w:rsidRDefault="001E7C3C" w:rsidP="00420DDA">
      <w:pPr>
        <w:pStyle w:val="Paragraphedeliste"/>
        <w:widowControl w:val="0"/>
        <w:numPr>
          <w:ilvl w:val="2"/>
          <w:numId w:val="39"/>
        </w:numPr>
        <w:tabs>
          <w:tab w:val="left" w:pos="1154"/>
        </w:tabs>
        <w:ind w:right="164"/>
        <w:jc w:val="both"/>
        <w:rPr>
          <w:rFonts w:ascii="Tahoma" w:eastAsia="American Typewriter" w:hAnsi="Tahoma" w:cs="Tahoma"/>
          <w:sz w:val="20"/>
          <w:szCs w:val="20"/>
        </w:rPr>
      </w:pPr>
      <w:proofErr w:type="gramStart"/>
      <w:r w:rsidRPr="00B004EE">
        <w:rPr>
          <w:rFonts w:ascii="Tahoma" w:hAnsi="Tahoma" w:cs="Tahoma"/>
          <w:sz w:val="20"/>
          <w:szCs w:val="20"/>
        </w:rPr>
        <w:t>exiger</w:t>
      </w:r>
      <w:proofErr w:type="gramEnd"/>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production</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toute</w:t>
      </w:r>
      <w:r w:rsidR="00DB1635" w:rsidRPr="00B004EE">
        <w:rPr>
          <w:rFonts w:ascii="Tahoma" w:hAnsi="Tahoma" w:cs="Tahoma"/>
          <w:sz w:val="20"/>
          <w:szCs w:val="20"/>
        </w:rPr>
        <w:t xml:space="preserve"> </w:t>
      </w:r>
      <w:r w:rsidRPr="00B004EE">
        <w:rPr>
          <w:rFonts w:ascii="Tahoma" w:hAnsi="Tahoma" w:cs="Tahoma"/>
          <w:sz w:val="20"/>
          <w:szCs w:val="20"/>
        </w:rPr>
        <w:t>licence</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tout</w:t>
      </w:r>
      <w:r w:rsidR="00DB1635" w:rsidRPr="00B004EE">
        <w:rPr>
          <w:rFonts w:ascii="Tahoma" w:hAnsi="Tahoma" w:cs="Tahoma"/>
          <w:sz w:val="20"/>
          <w:szCs w:val="20"/>
        </w:rPr>
        <w:t xml:space="preserve"> </w:t>
      </w:r>
      <w:r w:rsidRPr="00B004EE">
        <w:rPr>
          <w:rFonts w:ascii="Tahoma" w:hAnsi="Tahoma" w:cs="Tahoma"/>
          <w:sz w:val="20"/>
          <w:szCs w:val="20"/>
        </w:rPr>
        <w:t>document</w:t>
      </w:r>
      <w:r w:rsidR="00DB1635" w:rsidRPr="00B004EE">
        <w:rPr>
          <w:rFonts w:ascii="Tahoma" w:hAnsi="Tahoma" w:cs="Tahoma"/>
          <w:sz w:val="20"/>
          <w:szCs w:val="20"/>
        </w:rPr>
        <w:t xml:space="preserve"> </w:t>
      </w:r>
      <w:r w:rsidRPr="00B004EE">
        <w:rPr>
          <w:rFonts w:ascii="Tahoma" w:hAnsi="Tahoma" w:cs="Tahoma"/>
          <w:sz w:val="20"/>
          <w:szCs w:val="20"/>
        </w:rPr>
        <w:t>relatif</w:t>
      </w:r>
      <w:r w:rsidR="00DB1635" w:rsidRPr="00B004EE">
        <w:rPr>
          <w:rFonts w:ascii="Tahoma" w:hAnsi="Tahoma" w:cs="Tahoma"/>
          <w:spacing w:val="31"/>
          <w:sz w:val="20"/>
          <w:szCs w:val="20"/>
        </w:rPr>
        <w:t xml:space="preserve"> </w:t>
      </w:r>
      <w:r w:rsidRPr="00B004EE">
        <w:rPr>
          <w:rFonts w:ascii="Tahoma" w:hAnsi="Tahoma" w:cs="Tahoma"/>
          <w:sz w:val="20"/>
          <w:szCs w:val="20"/>
        </w:rPr>
        <w:t>au</w:t>
      </w:r>
      <w:r w:rsidR="00DB1635" w:rsidRPr="00B004EE">
        <w:rPr>
          <w:rFonts w:ascii="Tahoma" w:hAnsi="Tahoma" w:cs="Tahoma"/>
          <w:w w:val="98"/>
          <w:sz w:val="20"/>
          <w:szCs w:val="20"/>
        </w:rPr>
        <w:t xml:space="preserve"> </w:t>
      </w:r>
      <w:r w:rsidRPr="00B004EE">
        <w:rPr>
          <w:rFonts w:ascii="Tahoma" w:hAnsi="Tahoma" w:cs="Tahoma"/>
          <w:sz w:val="20"/>
          <w:szCs w:val="20"/>
        </w:rPr>
        <w:t>fonctionnement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l'établissement</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particulier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pacing w:val="21"/>
          <w:sz w:val="20"/>
          <w:szCs w:val="20"/>
        </w:rPr>
        <w:t xml:space="preserve"> </w:t>
      </w:r>
      <w:r w:rsidRPr="00B004EE">
        <w:rPr>
          <w:rFonts w:ascii="Tahoma" w:hAnsi="Tahoma" w:cs="Tahoma"/>
          <w:sz w:val="20"/>
          <w:szCs w:val="20"/>
        </w:rPr>
        <w:t>registres</w:t>
      </w:r>
      <w:r w:rsidR="00DB1635" w:rsidRPr="00B004EE">
        <w:rPr>
          <w:rFonts w:ascii="Tahoma" w:hAnsi="Tahoma" w:cs="Tahoma"/>
          <w:w w:val="94"/>
          <w:sz w:val="20"/>
          <w:szCs w:val="20"/>
        </w:rPr>
        <w:t xml:space="preserve"> </w:t>
      </w:r>
      <w:r w:rsidRPr="00B004EE">
        <w:rPr>
          <w:rFonts w:ascii="Tahoma" w:hAnsi="Tahoma" w:cs="Tahoma"/>
          <w:sz w:val="20"/>
          <w:szCs w:val="20"/>
        </w:rPr>
        <w:t>concernant</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produit</w:t>
      </w:r>
      <w:r w:rsidR="00DB1635" w:rsidRPr="00B004EE">
        <w:rPr>
          <w:rFonts w:ascii="Tahoma" w:hAnsi="Tahoma" w:cs="Tahoma"/>
          <w:sz w:val="20"/>
          <w:szCs w:val="20"/>
        </w:rPr>
        <w:t xml:space="preserve"> </w:t>
      </w:r>
      <w:r w:rsidRPr="00B004EE">
        <w:rPr>
          <w:rFonts w:ascii="Tahoma" w:hAnsi="Tahoma" w:cs="Tahoma"/>
          <w:sz w:val="20"/>
          <w:szCs w:val="20"/>
        </w:rPr>
        <w:t>traité</w:t>
      </w:r>
      <w:r w:rsidR="00DB1635" w:rsidRPr="00B004EE">
        <w:rPr>
          <w:rFonts w:ascii="Tahoma" w:hAnsi="Tahoma" w:cs="Tahoma"/>
          <w:spacing w:val="16"/>
          <w:sz w:val="20"/>
          <w:szCs w:val="20"/>
        </w:rPr>
        <w:t xml:space="preserve"> </w:t>
      </w:r>
      <w:r w:rsidRPr="00B004EE">
        <w:rPr>
          <w:rFonts w:ascii="Tahoma" w:hAnsi="Tahoma" w:cs="Tahoma"/>
          <w:sz w:val="20"/>
          <w:szCs w:val="20"/>
        </w:rPr>
        <w:t>;</w:t>
      </w:r>
    </w:p>
    <w:p w14:paraId="2D067C03" w14:textId="7AB31088" w:rsidR="001E7C3C" w:rsidRPr="00B004EE" w:rsidRDefault="001E7C3C" w:rsidP="00420DDA">
      <w:pPr>
        <w:pStyle w:val="Paragraphedeliste"/>
        <w:widowControl w:val="0"/>
        <w:numPr>
          <w:ilvl w:val="2"/>
          <w:numId w:val="39"/>
        </w:numPr>
        <w:tabs>
          <w:tab w:val="left" w:pos="1154"/>
        </w:tabs>
        <w:ind w:right="158"/>
        <w:jc w:val="both"/>
        <w:rPr>
          <w:rFonts w:ascii="Tahoma" w:eastAsia="American Typewriter" w:hAnsi="Tahoma" w:cs="Tahoma"/>
          <w:sz w:val="20"/>
          <w:szCs w:val="20"/>
        </w:rPr>
      </w:pPr>
      <w:proofErr w:type="gramStart"/>
      <w:r w:rsidRPr="00B004EE">
        <w:rPr>
          <w:rFonts w:ascii="Tahoma" w:hAnsi="Tahoma" w:cs="Tahoma"/>
          <w:sz w:val="20"/>
          <w:szCs w:val="20"/>
        </w:rPr>
        <w:t>prélever</w:t>
      </w:r>
      <w:proofErr w:type="gramEnd"/>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échantillons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examen</w:t>
      </w:r>
      <w:r w:rsidR="00DB1635" w:rsidRPr="00B004EE">
        <w:rPr>
          <w:rFonts w:ascii="Tahoma" w:hAnsi="Tahoma" w:cs="Tahoma"/>
          <w:sz w:val="20"/>
          <w:szCs w:val="20"/>
        </w:rPr>
        <w:t xml:space="preserve"> </w:t>
      </w:r>
      <w:r w:rsidRPr="00B004EE">
        <w:rPr>
          <w:rFonts w:ascii="Tahoma" w:hAnsi="Tahoma" w:cs="Tahoma"/>
          <w:spacing w:val="2"/>
          <w:sz w:val="20"/>
          <w:szCs w:val="20"/>
        </w:rPr>
        <w:t>et</w:t>
      </w:r>
      <w:r w:rsidR="00DB1635" w:rsidRPr="00B004EE">
        <w:rPr>
          <w:rFonts w:ascii="Tahoma" w:hAnsi="Tahoma" w:cs="Tahoma"/>
          <w:spacing w:val="41"/>
          <w:sz w:val="20"/>
          <w:szCs w:val="20"/>
        </w:rPr>
        <w:t xml:space="preserve"> </w:t>
      </w:r>
      <w:r w:rsidRPr="00B004EE">
        <w:rPr>
          <w:rFonts w:ascii="Tahoma" w:hAnsi="Tahoma" w:cs="Tahoma"/>
          <w:sz w:val="20"/>
          <w:szCs w:val="20"/>
        </w:rPr>
        <w:t>contrôle</w:t>
      </w:r>
      <w:r w:rsidR="00DB1635" w:rsidRPr="00B004EE">
        <w:rPr>
          <w:rFonts w:ascii="Tahoma" w:hAnsi="Tahoma" w:cs="Tahoma"/>
          <w:w w:val="94"/>
          <w:sz w:val="20"/>
          <w:szCs w:val="20"/>
        </w:rPr>
        <w:t xml:space="preserve"> </w:t>
      </w:r>
      <w:r w:rsidRPr="00B004EE">
        <w:rPr>
          <w:rFonts w:ascii="Tahoma" w:hAnsi="Tahoma" w:cs="Tahoma"/>
          <w:sz w:val="20"/>
          <w:szCs w:val="20"/>
        </w:rPr>
        <w:t>d'hygiène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pacing w:val="15"/>
          <w:sz w:val="20"/>
          <w:szCs w:val="20"/>
        </w:rPr>
        <w:t xml:space="preserve"> </w:t>
      </w:r>
      <w:r w:rsidRPr="00B004EE">
        <w:rPr>
          <w:rFonts w:ascii="Tahoma" w:hAnsi="Tahoma" w:cs="Tahoma"/>
          <w:sz w:val="20"/>
          <w:szCs w:val="20"/>
        </w:rPr>
        <w:t>salubrité.</w:t>
      </w:r>
    </w:p>
    <w:p w14:paraId="6CD05268" w14:textId="77777777" w:rsidR="001E7C3C" w:rsidRPr="00B004EE" w:rsidRDefault="001E7C3C" w:rsidP="00B004EE">
      <w:pPr>
        <w:rPr>
          <w:rFonts w:ascii="Tahoma" w:eastAsia="American Typewriter" w:hAnsi="Tahoma" w:cs="Tahoma"/>
          <w:sz w:val="20"/>
          <w:szCs w:val="20"/>
        </w:rPr>
      </w:pPr>
    </w:p>
    <w:p w14:paraId="0EF65F63" w14:textId="2B8CEB55" w:rsidR="001E7C3C" w:rsidRPr="00B004EE" w:rsidRDefault="001E7C3C" w:rsidP="00B004EE">
      <w:pPr>
        <w:pStyle w:val="Corpsdetexte"/>
        <w:ind w:right="160"/>
        <w:rPr>
          <w:rFonts w:ascii="Tahoma" w:hAnsi="Tahoma" w:cs="Tahoma"/>
          <w:sz w:val="20"/>
          <w:szCs w:val="20"/>
        </w:rPr>
      </w:pPr>
      <w:r w:rsidRPr="00B004EE">
        <w:rPr>
          <w:rFonts w:ascii="Tahoma" w:hAnsi="Tahoma" w:cs="Tahoma"/>
          <w:sz w:val="20"/>
          <w:szCs w:val="20"/>
        </w:rPr>
        <w:t>Sans</w:t>
      </w:r>
      <w:r w:rsidR="00DB1635" w:rsidRPr="00B004EE">
        <w:rPr>
          <w:rFonts w:ascii="Tahoma" w:hAnsi="Tahoma" w:cs="Tahoma"/>
          <w:sz w:val="20"/>
          <w:szCs w:val="20"/>
        </w:rPr>
        <w:t xml:space="preserve"> </w:t>
      </w:r>
      <w:r w:rsidRPr="00B004EE">
        <w:rPr>
          <w:rFonts w:ascii="Tahoma" w:hAnsi="Tahoma" w:cs="Tahoma"/>
          <w:sz w:val="20"/>
          <w:szCs w:val="20"/>
        </w:rPr>
        <w:t>préjudice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dispositions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l'alinéa</w:t>
      </w:r>
      <w:r w:rsidR="00DB1635" w:rsidRPr="00B004EE">
        <w:rPr>
          <w:rFonts w:ascii="Tahoma" w:hAnsi="Tahoma" w:cs="Tahoma"/>
          <w:sz w:val="20"/>
          <w:szCs w:val="20"/>
        </w:rPr>
        <w:t xml:space="preserve"> </w:t>
      </w:r>
      <w:r w:rsidRPr="00B004EE">
        <w:rPr>
          <w:rFonts w:ascii="Tahoma" w:hAnsi="Tahoma" w:cs="Tahoma"/>
          <w:sz w:val="20"/>
          <w:szCs w:val="20"/>
        </w:rPr>
        <w:t>ci-dessus,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établissements</w:t>
      </w:r>
      <w:r w:rsidR="00DB1635" w:rsidRPr="00B004EE">
        <w:rPr>
          <w:rFonts w:ascii="Tahoma" w:hAnsi="Tahoma" w:cs="Tahoma"/>
          <w:spacing w:val="2"/>
          <w:sz w:val="20"/>
          <w:szCs w:val="20"/>
        </w:rPr>
        <w:t xml:space="preserve"> </w:t>
      </w:r>
      <w:r w:rsidRPr="00B004EE">
        <w:rPr>
          <w:rFonts w:ascii="Tahoma" w:hAnsi="Tahoma" w:cs="Tahoma"/>
          <w:sz w:val="20"/>
          <w:szCs w:val="20"/>
        </w:rPr>
        <w:t>de</w:t>
      </w:r>
      <w:r w:rsidR="00DB1635" w:rsidRPr="00B004EE">
        <w:rPr>
          <w:rFonts w:ascii="Tahoma" w:hAnsi="Tahoma" w:cs="Tahoma"/>
          <w:w w:val="94"/>
          <w:sz w:val="20"/>
          <w:szCs w:val="20"/>
        </w:rPr>
        <w:t xml:space="preserve"> </w:t>
      </w:r>
      <w:r w:rsidRPr="00B004EE">
        <w:rPr>
          <w:rFonts w:ascii="Tahoma" w:hAnsi="Tahoma" w:cs="Tahoma"/>
          <w:sz w:val="20"/>
          <w:szCs w:val="20"/>
        </w:rPr>
        <w:t>traitement</w:t>
      </w:r>
      <w:r w:rsidR="00DB1635" w:rsidRPr="00B004EE">
        <w:rPr>
          <w:rFonts w:ascii="Tahoma" w:hAnsi="Tahoma" w:cs="Tahoma"/>
          <w:spacing w:val="-23"/>
          <w:sz w:val="20"/>
          <w:szCs w:val="20"/>
        </w:rPr>
        <w:t xml:space="preserve"> </w:t>
      </w:r>
      <w:r w:rsidRPr="00B004EE">
        <w:rPr>
          <w:rFonts w:ascii="Tahoma" w:hAnsi="Tahoma" w:cs="Tahoma"/>
          <w:sz w:val="20"/>
          <w:szCs w:val="20"/>
        </w:rPr>
        <w:t>et</w:t>
      </w:r>
      <w:r w:rsidR="00DB1635" w:rsidRPr="00B004EE">
        <w:rPr>
          <w:rFonts w:ascii="Tahoma" w:hAnsi="Tahoma" w:cs="Tahoma"/>
          <w:spacing w:val="-24"/>
          <w:sz w:val="20"/>
          <w:szCs w:val="20"/>
        </w:rPr>
        <w:t xml:space="preserve"> </w:t>
      </w:r>
      <w:r w:rsidRPr="00B004EE">
        <w:rPr>
          <w:rFonts w:ascii="Tahoma" w:hAnsi="Tahoma" w:cs="Tahoma"/>
          <w:sz w:val="20"/>
          <w:szCs w:val="20"/>
        </w:rPr>
        <w:t>de</w:t>
      </w:r>
      <w:r w:rsidR="00DB1635" w:rsidRPr="00B004EE">
        <w:rPr>
          <w:rFonts w:ascii="Tahoma" w:hAnsi="Tahoma" w:cs="Tahoma"/>
          <w:spacing w:val="-24"/>
          <w:sz w:val="20"/>
          <w:szCs w:val="20"/>
        </w:rPr>
        <w:t xml:space="preserve"> </w:t>
      </w:r>
      <w:r w:rsidRPr="00B004EE">
        <w:rPr>
          <w:rFonts w:ascii="Tahoma" w:hAnsi="Tahoma" w:cs="Tahoma"/>
          <w:sz w:val="20"/>
          <w:szCs w:val="20"/>
        </w:rPr>
        <w:t>transformation</w:t>
      </w:r>
      <w:r w:rsidR="00DB1635" w:rsidRPr="00B004EE">
        <w:rPr>
          <w:rFonts w:ascii="Tahoma" w:hAnsi="Tahoma" w:cs="Tahoma"/>
          <w:spacing w:val="-24"/>
          <w:sz w:val="20"/>
          <w:szCs w:val="20"/>
        </w:rPr>
        <w:t xml:space="preserve"> </w:t>
      </w:r>
      <w:r w:rsidRPr="00B004EE">
        <w:rPr>
          <w:rFonts w:ascii="Tahoma" w:hAnsi="Tahoma" w:cs="Tahoma"/>
          <w:sz w:val="20"/>
          <w:szCs w:val="20"/>
        </w:rPr>
        <w:t>sont</w:t>
      </w:r>
      <w:r w:rsidR="00DB1635" w:rsidRPr="00B004EE">
        <w:rPr>
          <w:rFonts w:ascii="Tahoma" w:hAnsi="Tahoma" w:cs="Tahoma"/>
          <w:spacing w:val="-24"/>
          <w:sz w:val="20"/>
          <w:szCs w:val="20"/>
        </w:rPr>
        <w:t xml:space="preserve"> </w:t>
      </w:r>
      <w:r w:rsidRPr="00B004EE">
        <w:rPr>
          <w:rFonts w:ascii="Tahoma" w:hAnsi="Tahoma" w:cs="Tahoma"/>
          <w:sz w:val="20"/>
          <w:szCs w:val="20"/>
        </w:rPr>
        <w:t>tenus</w:t>
      </w:r>
      <w:r w:rsidR="00DB1635" w:rsidRPr="00B004EE">
        <w:rPr>
          <w:rFonts w:ascii="Tahoma" w:hAnsi="Tahoma" w:cs="Tahoma"/>
          <w:spacing w:val="-24"/>
          <w:sz w:val="20"/>
          <w:szCs w:val="20"/>
        </w:rPr>
        <w:t xml:space="preserve"> </w:t>
      </w:r>
      <w:r w:rsidRPr="00B004EE">
        <w:rPr>
          <w:rFonts w:ascii="Tahoma" w:hAnsi="Tahoma" w:cs="Tahoma"/>
          <w:sz w:val="20"/>
          <w:szCs w:val="20"/>
        </w:rPr>
        <w:t>de</w:t>
      </w:r>
      <w:r w:rsidR="00DB1635" w:rsidRPr="00B004EE">
        <w:rPr>
          <w:rFonts w:ascii="Tahoma" w:hAnsi="Tahoma" w:cs="Tahoma"/>
          <w:spacing w:val="-24"/>
          <w:sz w:val="20"/>
          <w:szCs w:val="20"/>
        </w:rPr>
        <w:t xml:space="preserve"> </w:t>
      </w:r>
      <w:r w:rsidRPr="00B004EE">
        <w:rPr>
          <w:rFonts w:ascii="Tahoma" w:hAnsi="Tahoma" w:cs="Tahoma"/>
          <w:sz w:val="20"/>
          <w:szCs w:val="20"/>
        </w:rPr>
        <w:t>transmettre,</w:t>
      </w:r>
      <w:r w:rsidR="00DB1635" w:rsidRPr="00B004EE">
        <w:rPr>
          <w:rFonts w:ascii="Tahoma" w:hAnsi="Tahoma" w:cs="Tahoma"/>
          <w:spacing w:val="-23"/>
          <w:sz w:val="20"/>
          <w:szCs w:val="20"/>
        </w:rPr>
        <w:t xml:space="preserve"> </w:t>
      </w:r>
      <w:r w:rsidRPr="00B004EE">
        <w:rPr>
          <w:rFonts w:ascii="Tahoma" w:hAnsi="Tahoma" w:cs="Tahoma"/>
          <w:sz w:val="20"/>
          <w:szCs w:val="20"/>
        </w:rPr>
        <w:t>à</w:t>
      </w:r>
      <w:r w:rsidR="00DB1635" w:rsidRPr="00B004EE">
        <w:rPr>
          <w:rFonts w:ascii="Tahoma" w:hAnsi="Tahoma" w:cs="Tahoma"/>
          <w:spacing w:val="-25"/>
          <w:sz w:val="20"/>
          <w:szCs w:val="20"/>
        </w:rPr>
        <w:t xml:space="preserve"> </w:t>
      </w:r>
      <w:r w:rsidRPr="00B004EE">
        <w:rPr>
          <w:rFonts w:ascii="Tahoma" w:hAnsi="Tahoma" w:cs="Tahoma"/>
          <w:sz w:val="20"/>
          <w:szCs w:val="20"/>
        </w:rPr>
        <w:t>intervalles</w:t>
      </w:r>
      <w:r w:rsidR="00DB1635" w:rsidRPr="00B004EE">
        <w:rPr>
          <w:rFonts w:ascii="Tahoma" w:hAnsi="Tahoma" w:cs="Tahoma"/>
          <w:spacing w:val="-25"/>
          <w:sz w:val="20"/>
          <w:szCs w:val="20"/>
        </w:rPr>
        <w:t xml:space="preserve"> </w:t>
      </w:r>
      <w:r w:rsidRPr="00B004EE">
        <w:rPr>
          <w:rFonts w:ascii="Tahoma" w:hAnsi="Tahoma" w:cs="Tahoma"/>
          <w:sz w:val="20"/>
          <w:szCs w:val="20"/>
        </w:rPr>
        <w:t>réguliers,</w:t>
      </w:r>
      <w:r w:rsidR="00DB1635" w:rsidRPr="00B004EE">
        <w:rPr>
          <w:rFonts w:ascii="Tahoma" w:hAnsi="Tahoma" w:cs="Tahoma"/>
          <w:w w:val="96"/>
          <w:sz w:val="20"/>
          <w:szCs w:val="20"/>
        </w:rPr>
        <w:t xml:space="preserve"> </w:t>
      </w:r>
      <w:r w:rsidRPr="00B004EE">
        <w:rPr>
          <w:rFonts w:ascii="Tahoma" w:hAnsi="Tahoma" w:cs="Tahoma"/>
          <w:sz w:val="20"/>
          <w:szCs w:val="20"/>
        </w:rPr>
        <w:t>à</w:t>
      </w:r>
      <w:r w:rsidR="00DB1635" w:rsidRPr="00B004EE">
        <w:rPr>
          <w:rFonts w:ascii="Tahoma" w:hAnsi="Tahoma" w:cs="Tahoma"/>
          <w:spacing w:val="-11"/>
          <w:sz w:val="20"/>
          <w:szCs w:val="20"/>
        </w:rPr>
        <w:t xml:space="preserve"> </w:t>
      </w:r>
      <w:r w:rsidRPr="00B004EE">
        <w:rPr>
          <w:rFonts w:ascii="Tahoma" w:hAnsi="Tahoma" w:cs="Tahoma"/>
          <w:sz w:val="20"/>
          <w:szCs w:val="20"/>
        </w:rPr>
        <w:t>l'autorité</w:t>
      </w:r>
      <w:r w:rsidR="00DB1635" w:rsidRPr="00B004EE">
        <w:rPr>
          <w:rFonts w:ascii="Tahoma" w:hAnsi="Tahoma" w:cs="Tahoma"/>
          <w:spacing w:val="-11"/>
          <w:sz w:val="20"/>
          <w:szCs w:val="20"/>
        </w:rPr>
        <w:t xml:space="preserve"> </w:t>
      </w:r>
      <w:r w:rsidRPr="00B004EE">
        <w:rPr>
          <w:rFonts w:ascii="Tahoma" w:hAnsi="Tahoma" w:cs="Tahoma"/>
          <w:sz w:val="20"/>
          <w:szCs w:val="20"/>
        </w:rPr>
        <w:t>du</w:t>
      </w:r>
      <w:r w:rsidR="00DB1635" w:rsidRPr="00B004EE">
        <w:rPr>
          <w:rFonts w:ascii="Tahoma" w:hAnsi="Tahoma" w:cs="Tahoma"/>
          <w:spacing w:val="-11"/>
          <w:sz w:val="20"/>
          <w:szCs w:val="20"/>
        </w:rPr>
        <w:t xml:space="preserve"> </w:t>
      </w:r>
      <w:r w:rsidRPr="00B004EE">
        <w:rPr>
          <w:rFonts w:ascii="Tahoma" w:hAnsi="Tahoma" w:cs="Tahoma"/>
          <w:sz w:val="20"/>
          <w:szCs w:val="20"/>
        </w:rPr>
        <w:t>ministère</w:t>
      </w:r>
      <w:r w:rsidR="00DB1635" w:rsidRPr="00B004EE">
        <w:rPr>
          <w:rFonts w:ascii="Tahoma" w:hAnsi="Tahoma" w:cs="Tahoma"/>
          <w:spacing w:val="-11"/>
          <w:sz w:val="20"/>
          <w:szCs w:val="20"/>
        </w:rPr>
        <w:t xml:space="preserve"> </w:t>
      </w:r>
      <w:r w:rsidRPr="00B004EE">
        <w:rPr>
          <w:rFonts w:ascii="Tahoma" w:hAnsi="Tahoma" w:cs="Tahoma"/>
          <w:sz w:val="20"/>
          <w:szCs w:val="20"/>
        </w:rPr>
        <w:t>des</w:t>
      </w:r>
      <w:r w:rsidR="00DB1635" w:rsidRPr="00B004EE">
        <w:rPr>
          <w:rFonts w:ascii="Tahoma" w:hAnsi="Tahoma" w:cs="Tahoma"/>
          <w:spacing w:val="-10"/>
          <w:sz w:val="20"/>
          <w:szCs w:val="20"/>
        </w:rPr>
        <w:t xml:space="preserve"> </w:t>
      </w:r>
      <w:r w:rsidRPr="00B004EE">
        <w:rPr>
          <w:rFonts w:ascii="Tahoma" w:hAnsi="Tahoma" w:cs="Tahoma"/>
          <w:sz w:val="20"/>
          <w:szCs w:val="20"/>
        </w:rPr>
        <w:t>pêches</w:t>
      </w:r>
      <w:r w:rsidR="00DB1635" w:rsidRPr="00B004EE">
        <w:rPr>
          <w:rFonts w:ascii="Tahoma" w:hAnsi="Tahoma" w:cs="Tahoma"/>
          <w:spacing w:val="-12"/>
          <w:sz w:val="20"/>
          <w:szCs w:val="20"/>
        </w:rPr>
        <w:t xml:space="preserve"> </w:t>
      </w:r>
      <w:r w:rsidRPr="00B004EE">
        <w:rPr>
          <w:rFonts w:ascii="Tahoma" w:hAnsi="Tahoma" w:cs="Tahoma"/>
          <w:sz w:val="20"/>
          <w:szCs w:val="20"/>
        </w:rPr>
        <w:t>désignée</w:t>
      </w:r>
      <w:r w:rsidR="00DB1635" w:rsidRPr="00B004EE">
        <w:rPr>
          <w:rFonts w:ascii="Tahoma" w:hAnsi="Tahoma" w:cs="Tahoma"/>
          <w:spacing w:val="-11"/>
          <w:sz w:val="20"/>
          <w:szCs w:val="20"/>
        </w:rPr>
        <w:t xml:space="preserve"> </w:t>
      </w:r>
      <w:r w:rsidRPr="00B004EE">
        <w:rPr>
          <w:rFonts w:ascii="Tahoma" w:hAnsi="Tahoma" w:cs="Tahoma"/>
          <w:sz w:val="20"/>
          <w:szCs w:val="20"/>
        </w:rPr>
        <w:t>à</w:t>
      </w:r>
      <w:r w:rsidR="00DB1635" w:rsidRPr="00B004EE">
        <w:rPr>
          <w:rFonts w:ascii="Tahoma" w:hAnsi="Tahoma" w:cs="Tahoma"/>
          <w:spacing w:val="-11"/>
          <w:sz w:val="20"/>
          <w:szCs w:val="20"/>
        </w:rPr>
        <w:t xml:space="preserve"> </w:t>
      </w:r>
      <w:r w:rsidRPr="00B004EE">
        <w:rPr>
          <w:rFonts w:ascii="Tahoma" w:hAnsi="Tahoma" w:cs="Tahoma"/>
          <w:sz w:val="20"/>
          <w:szCs w:val="20"/>
        </w:rPr>
        <w:t>cet</w:t>
      </w:r>
      <w:r w:rsidR="00DB1635" w:rsidRPr="00B004EE">
        <w:rPr>
          <w:rFonts w:ascii="Tahoma" w:hAnsi="Tahoma" w:cs="Tahoma"/>
          <w:spacing w:val="-13"/>
          <w:sz w:val="20"/>
          <w:szCs w:val="20"/>
        </w:rPr>
        <w:t xml:space="preserve"> </w:t>
      </w:r>
      <w:r w:rsidRPr="00B004EE">
        <w:rPr>
          <w:rFonts w:ascii="Tahoma" w:hAnsi="Tahoma" w:cs="Tahoma"/>
          <w:sz w:val="20"/>
          <w:szCs w:val="20"/>
        </w:rPr>
        <w:t>effet,</w:t>
      </w:r>
      <w:r w:rsidR="00DB1635" w:rsidRPr="00B004EE">
        <w:rPr>
          <w:rFonts w:ascii="Tahoma" w:hAnsi="Tahoma" w:cs="Tahoma"/>
          <w:spacing w:val="-13"/>
          <w:sz w:val="20"/>
          <w:szCs w:val="20"/>
        </w:rPr>
        <w:t xml:space="preserve"> </w:t>
      </w:r>
      <w:r w:rsidRPr="00B004EE">
        <w:rPr>
          <w:rFonts w:ascii="Tahoma" w:hAnsi="Tahoma" w:cs="Tahoma"/>
          <w:sz w:val="20"/>
          <w:szCs w:val="20"/>
        </w:rPr>
        <w:t>les</w:t>
      </w:r>
      <w:r w:rsidR="00DB1635" w:rsidRPr="00B004EE">
        <w:rPr>
          <w:rFonts w:ascii="Tahoma" w:hAnsi="Tahoma" w:cs="Tahoma"/>
          <w:spacing w:val="-13"/>
          <w:sz w:val="20"/>
          <w:szCs w:val="20"/>
        </w:rPr>
        <w:t xml:space="preserve"> </w:t>
      </w:r>
      <w:r w:rsidRPr="00B004EE">
        <w:rPr>
          <w:rFonts w:ascii="Tahoma" w:hAnsi="Tahoma" w:cs="Tahoma"/>
          <w:sz w:val="20"/>
          <w:szCs w:val="20"/>
        </w:rPr>
        <w:t>informations</w:t>
      </w:r>
      <w:r w:rsidR="00DB1635" w:rsidRPr="00B004EE">
        <w:rPr>
          <w:rFonts w:ascii="Tahoma" w:hAnsi="Tahoma" w:cs="Tahoma"/>
          <w:spacing w:val="-13"/>
          <w:sz w:val="20"/>
          <w:szCs w:val="20"/>
        </w:rPr>
        <w:t xml:space="preserve"> </w:t>
      </w:r>
      <w:r w:rsidRPr="00B004EE">
        <w:rPr>
          <w:rFonts w:ascii="Tahoma" w:hAnsi="Tahoma" w:cs="Tahoma"/>
          <w:sz w:val="20"/>
          <w:szCs w:val="20"/>
        </w:rPr>
        <w:t>relatives</w:t>
      </w:r>
      <w:r w:rsidR="00DB1635" w:rsidRPr="00B004EE">
        <w:rPr>
          <w:rFonts w:ascii="Tahoma" w:hAnsi="Tahoma" w:cs="Tahoma"/>
          <w:w w:val="94"/>
          <w:sz w:val="20"/>
          <w:szCs w:val="20"/>
        </w:rPr>
        <w:t xml:space="preserve"> </w:t>
      </w:r>
      <w:r w:rsidRPr="00B004EE">
        <w:rPr>
          <w:rFonts w:ascii="Tahoma" w:hAnsi="Tahoma" w:cs="Tahoma"/>
          <w:sz w:val="20"/>
          <w:szCs w:val="20"/>
        </w:rPr>
        <w:t>à</w:t>
      </w:r>
      <w:r w:rsidR="00DB1635" w:rsidRPr="00B004EE">
        <w:rPr>
          <w:rFonts w:ascii="Tahoma" w:hAnsi="Tahoma" w:cs="Tahoma"/>
          <w:spacing w:val="33"/>
          <w:sz w:val="20"/>
          <w:szCs w:val="20"/>
        </w:rPr>
        <w:t xml:space="preserve"> </w:t>
      </w:r>
      <w:r w:rsidRPr="00B004EE">
        <w:rPr>
          <w:rFonts w:ascii="Tahoma" w:hAnsi="Tahoma" w:cs="Tahoma"/>
          <w:sz w:val="20"/>
          <w:szCs w:val="20"/>
        </w:rPr>
        <w:t>l'hygiène</w:t>
      </w:r>
      <w:r w:rsidR="00DB1635" w:rsidRPr="00B004EE">
        <w:rPr>
          <w:rFonts w:ascii="Tahoma" w:hAnsi="Tahoma" w:cs="Tahoma"/>
          <w:spacing w:val="33"/>
          <w:sz w:val="20"/>
          <w:szCs w:val="20"/>
        </w:rPr>
        <w:t xml:space="preserve"> </w:t>
      </w:r>
      <w:r w:rsidRPr="00B004EE">
        <w:rPr>
          <w:rFonts w:ascii="Tahoma" w:hAnsi="Tahoma" w:cs="Tahoma"/>
          <w:sz w:val="20"/>
          <w:szCs w:val="20"/>
        </w:rPr>
        <w:t>et</w:t>
      </w:r>
      <w:r w:rsidR="00DB1635" w:rsidRPr="00B004EE">
        <w:rPr>
          <w:rFonts w:ascii="Tahoma" w:hAnsi="Tahoma" w:cs="Tahoma"/>
          <w:spacing w:val="32"/>
          <w:sz w:val="20"/>
          <w:szCs w:val="20"/>
        </w:rPr>
        <w:t xml:space="preserve"> </w:t>
      </w:r>
      <w:r w:rsidRPr="00B004EE">
        <w:rPr>
          <w:rFonts w:ascii="Tahoma" w:hAnsi="Tahoma" w:cs="Tahoma"/>
          <w:sz w:val="20"/>
          <w:szCs w:val="20"/>
        </w:rPr>
        <w:t>à</w:t>
      </w:r>
      <w:r w:rsidR="00DB1635" w:rsidRPr="00B004EE">
        <w:rPr>
          <w:rFonts w:ascii="Tahoma" w:hAnsi="Tahoma" w:cs="Tahoma"/>
          <w:spacing w:val="32"/>
          <w:sz w:val="20"/>
          <w:szCs w:val="20"/>
        </w:rPr>
        <w:t xml:space="preserve"> </w:t>
      </w:r>
      <w:r w:rsidRPr="00B004EE">
        <w:rPr>
          <w:rFonts w:ascii="Tahoma" w:hAnsi="Tahoma" w:cs="Tahoma"/>
          <w:sz w:val="20"/>
          <w:szCs w:val="20"/>
        </w:rPr>
        <w:t>la</w:t>
      </w:r>
      <w:r w:rsidR="00DB1635" w:rsidRPr="00B004EE">
        <w:rPr>
          <w:rFonts w:ascii="Tahoma" w:hAnsi="Tahoma" w:cs="Tahoma"/>
          <w:spacing w:val="33"/>
          <w:sz w:val="20"/>
          <w:szCs w:val="20"/>
        </w:rPr>
        <w:t xml:space="preserve"> </w:t>
      </w:r>
      <w:r w:rsidRPr="00B004EE">
        <w:rPr>
          <w:rFonts w:ascii="Tahoma" w:hAnsi="Tahoma" w:cs="Tahoma"/>
          <w:sz w:val="20"/>
          <w:szCs w:val="20"/>
        </w:rPr>
        <w:t>salubrité</w:t>
      </w:r>
      <w:r w:rsidR="00DB1635" w:rsidRPr="00B004EE">
        <w:rPr>
          <w:rFonts w:ascii="Tahoma" w:hAnsi="Tahoma" w:cs="Tahoma"/>
          <w:spacing w:val="32"/>
          <w:sz w:val="20"/>
          <w:szCs w:val="20"/>
        </w:rPr>
        <w:t xml:space="preserve"> </w:t>
      </w:r>
      <w:r w:rsidRPr="00B004EE">
        <w:rPr>
          <w:rFonts w:ascii="Tahoma" w:hAnsi="Tahoma" w:cs="Tahoma"/>
          <w:sz w:val="20"/>
          <w:szCs w:val="20"/>
        </w:rPr>
        <w:t>des</w:t>
      </w:r>
      <w:r w:rsidR="00DB1635" w:rsidRPr="00B004EE">
        <w:rPr>
          <w:rFonts w:ascii="Tahoma" w:hAnsi="Tahoma" w:cs="Tahoma"/>
          <w:spacing w:val="31"/>
          <w:sz w:val="20"/>
          <w:szCs w:val="20"/>
        </w:rPr>
        <w:t xml:space="preserve"> </w:t>
      </w:r>
      <w:r w:rsidRPr="00B004EE">
        <w:rPr>
          <w:rFonts w:ascii="Tahoma" w:hAnsi="Tahoma" w:cs="Tahoma"/>
          <w:sz w:val="20"/>
          <w:szCs w:val="20"/>
        </w:rPr>
        <w:t>produits</w:t>
      </w:r>
      <w:r w:rsidR="00DB1635" w:rsidRPr="00B004EE">
        <w:rPr>
          <w:rFonts w:ascii="Tahoma" w:hAnsi="Tahoma" w:cs="Tahoma"/>
          <w:spacing w:val="31"/>
          <w:sz w:val="20"/>
          <w:szCs w:val="20"/>
        </w:rPr>
        <w:t xml:space="preserve"> </w:t>
      </w:r>
      <w:r w:rsidRPr="00B004EE">
        <w:rPr>
          <w:rFonts w:ascii="Tahoma" w:hAnsi="Tahoma" w:cs="Tahoma"/>
          <w:sz w:val="20"/>
          <w:szCs w:val="20"/>
        </w:rPr>
        <w:t>traités</w:t>
      </w:r>
      <w:r w:rsidR="00DB1635" w:rsidRPr="00B004EE">
        <w:rPr>
          <w:rFonts w:ascii="Tahoma" w:hAnsi="Tahoma" w:cs="Tahoma"/>
          <w:spacing w:val="31"/>
          <w:sz w:val="20"/>
          <w:szCs w:val="20"/>
        </w:rPr>
        <w:t xml:space="preserve"> </w:t>
      </w:r>
      <w:r w:rsidRPr="00B004EE">
        <w:rPr>
          <w:rFonts w:ascii="Tahoma" w:hAnsi="Tahoma" w:cs="Tahoma"/>
          <w:sz w:val="20"/>
          <w:szCs w:val="20"/>
        </w:rPr>
        <w:t>ou</w:t>
      </w:r>
      <w:r w:rsidR="00DB1635" w:rsidRPr="00B004EE">
        <w:rPr>
          <w:rFonts w:ascii="Tahoma" w:hAnsi="Tahoma" w:cs="Tahoma"/>
          <w:spacing w:val="31"/>
          <w:sz w:val="20"/>
          <w:szCs w:val="20"/>
        </w:rPr>
        <w:t xml:space="preserve"> </w:t>
      </w:r>
      <w:r w:rsidRPr="00B004EE">
        <w:rPr>
          <w:rFonts w:ascii="Tahoma" w:hAnsi="Tahoma" w:cs="Tahoma"/>
          <w:sz w:val="20"/>
          <w:szCs w:val="20"/>
        </w:rPr>
        <w:t>toutes</w:t>
      </w:r>
      <w:r w:rsidR="00DB1635" w:rsidRPr="00B004EE">
        <w:rPr>
          <w:rFonts w:ascii="Tahoma" w:hAnsi="Tahoma" w:cs="Tahoma"/>
          <w:spacing w:val="31"/>
          <w:sz w:val="20"/>
          <w:szCs w:val="20"/>
        </w:rPr>
        <w:t xml:space="preserve"> </w:t>
      </w:r>
      <w:r w:rsidRPr="00B004EE">
        <w:rPr>
          <w:rFonts w:ascii="Tahoma" w:hAnsi="Tahoma" w:cs="Tahoma"/>
          <w:sz w:val="20"/>
          <w:szCs w:val="20"/>
        </w:rPr>
        <w:t>autres</w:t>
      </w:r>
      <w:r w:rsidR="00DB1635" w:rsidRPr="00B004EE">
        <w:rPr>
          <w:rFonts w:ascii="Tahoma" w:hAnsi="Tahoma" w:cs="Tahoma"/>
          <w:spacing w:val="31"/>
          <w:sz w:val="20"/>
          <w:szCs w:val="20"/>
        </w:rPr>
        <w:t xml:space="preserve"> </w:t>
      </w:r>
      <w:r w:rsidRPr="00B004EE">
        <w:rPr>
          <w:rFonts w:ascii="Tahoma" w:hAnsi="Tahoma" w:cs="Tahoma"/>
          <w:sz w:val="20"/>
          <w:szCs w:val="20"/>
        </w:rPr>
        <w:t>informations</w:t>
      </w:r>
      <w:r w:rsidR="00DB1635" w:rsidRPr="00B004EE">
        <w:rPr>
          <w:rFonts w:ascii="Tahoma" w:hAnsi="Tahoma" w:cs="Tahoma"/>
          <w:w w:val="93"/>
          <w:sz w:val="20"/>
          <w:szCs w:val="20"/>
        </w:rPr>
        <w:t xml:space="preserve"> </w:t>
      </w:r>
      <w:r w:rsidRPr="00B004EE">
        <w:rPr>
          <w:rFonts w:ascii="Tahoma" w:hAnsi="Tahoma" w:cs="Tahoma"/>
          <w:sz w:val="20"/>
          <w:szCs w:val="20"/>
        </w:rPr>
        <w:t>utiles,</w:t>
      </w:r>
      <w:r w:rsidR="00DB1635" w:rsidRPr="00B004EE">
        <w:rPr>
          <w:rFonts w:ascii="Tahoma" w:hAnsi="Tahoma" w:cs="Tahoma"/>
          <w:spacing w:val="-34"/>
          <w:sz w:val="20"/>
          <w:szCs w:val="20"/>
        </w:rPr>
        <w:t xml:space="preserve"> </w:t>
      </w:r>
      <w:r w:rsidRPr="00B004EE">
        <w:rPr>
          <w:rFonts w:ascii="Tahoma" w:hAnsi="Tahoma" w:cs="Tahoma"/>
          <w:sz w:val="20"/>
          <w:szCs w:val="20"/>
        </w:rPr>
        <w:t>dans</w:t>
      </w:r>
      <w:r w:rsidR="00DB1635" w:rsidRPr="00B004EE">
        <w:rPr>
          <w:rFonts w:ascii="Tahoma" w:hAnsi="Tahoma" w:cs="Tahoma"/>
          <w:spacing w:val="-35"/>
          <w:sz w:val="20"/>
          <w:szCs w:val="20"/>
        </w:rPr>
        <w:t xml:space="preserve"> </w:t>
      </w:r>
      <w:r w:rsidRPr="00B004EE">
        <w:rPr>
          <w:rFonts w:ascii="Tahoma" w:hAnsi="Tahoma" w:cs="Tahoma"/>
          <w:sz w:val="20"/>
          <w:szCs w:val="20"/>
        </w:rPr>
        <w:t>des</w:t>
      </w:r>
      <w:r w:rsidR="00DB1635" w:rsidRPr="00B004EE">
        <w:rPr>
          <w:rFonts w:ascii="Tahoma" w:hAnsi="Tahoma" w:cs="Tahoma"/>
          <w:spacing w:val="-35"/>
          <w:sz w:val="20"/>
          <w:szCs w:val="20"/>
        </w:rPr>
        <w:t xml:space="preserve"> </w:t>
      </w:r>
      <w:r w:rsidRPr="00B004EE">
        <w:rPr>
          <w:rFonts w:ascii="Tahoma" w:hAnsi="Tahoma" w:cs="Tahoma"/>
          <w:sz w:val="20"/>
          <w:szCs w:val="20"/>
        </w:rPr>
        <w:t>conditions</w:t>
      </w:r>
      <w:r w:rsidR="00DB1635" w:rsidRPr="00B004EE">
        <w:rPr>
          <w:rFonts w:ascii="Tahoma" w:hAnsi="Tahoma" w:cs="Tahoma"/>
          <w:spacing w:val="-35"/>
          <w:sz w:val="20"/>
          <w:szCs w:val="20"/>
        </w:rPr>
        <w:t xml:space="preserve"> </w:t>
      </w:r>
      <w:r w:rsidRPr="00B004EE">
        <w:rPr>
          <w:rFonts w:ascii="Tahoma" w:hAnsi="Tahoma" w:cs="Tahoma"/>
          <w:sz w:val="20"/>
          <w:szCs w:val="20"/>
        </w:rPr>
        <w:t>qui</w:t>
      </w:r>
      <w:r w:rsidR="00DB1635" w:rsidRPr="00B004EE">
        <w:rPr>
          <w:rFonts w:ascii="Tahoma" w:hAnsi="Tahoma" w:cs="Tahoma"/>
          <w:spacing w:val="-34"/>
          <w:sz w:val="20"/>
          <w:szCs w:val="20"/>
        </w:rPr>
        <w:t xml:space="preserve"> </w:t>
      </w:r>
      <w:r w:rsidRPr="00B004EE">
        <w:rPr>
          <w:rFonts w:ascii="Tahoma" w:hAnsi="Tahoma" w:cs="Tahoma"/>
          <w:sz w:val="20"/>
          <w:szCs w:val="20"/>
        </w:rPr>
        <w:t>seront</w:t>
      </w:r>
      <w:r w:rsidR="00DB1635" w:rsidRPr="00B004EE">
        <w:rPr>
          <w:rFonts w:ascii="Tahoma" w:hAnsi="Tahoma" w:cs="Tahoma"/>
          <w:spacing w:val="-35"/>
          <w:sz w:val="20"/>
          <w:szCs w:val="20"/>
        </w:rPr>
        <w:t xml:space="preserve"> </w:t>
      </w:r>
      <w:r w:rsidRPr="00B004EE">
        <w:rPr>
          <w:rFonts w:ascii="Tahoma" w:hAnsi="Tahoma" w:cs="Tahoma"/>
          <w:sz w:val="20"/>
          <w:szCs w:val="20"/>
        </w:rPr>
        <w:t>précisées</w:t>
      </w:r>
      <w:r w:rsidR="00DB1635" w:rsidRPr="00B004EE">
        <w:rPr>
          <w:rFonts w:ascii="Tahoma" w:hAnsi="Tahoma" w:cs="Tahoma"/>
          <w:spacing w:val="-35"/>
          <w:sz w:val="20"/>
          <w:szCs w:val="20"/>
        </w:rPr>
        <w:t xml:space="preserve"> </w:t>
      </w:r>
      <w:r w:rsidRPr="00B004EE">
        <w:rPr>
          <w:rFonts w:ascii="Tahoma" w:hAnsi="Tahoma" w:cs="Tahoma"/>
          <w:sz w:val="20"/>
          <w:szCs w:val="20"/>
        </w:rPr>
        <w:t>par</w:t>
      </w:r>
      <w:r w:rsidR="00DB1635" w:rsidRPr="00B004EE">
        <w:rPr>
          <w:rFonts w:ascii="Tahoma" w:hAnsi="Tahoma" w:cs="Tahoma"/>
          <w:spacing w:val="-35"/>
          <w:sz w:val="20"/>
          <w:szCs w:val="20"/>
        </w:rPr>
        <w:t xml:space="preserve"> </w:t>
      </w:r>
      <w:r w:rsidRPr="00B004EE">
        <w:rPr>
          <w:rFonts w:ascii="Tahoma" w:hAnsi="Tahoma" w:cs="Tahoma"/>
          <w:sz w:val="20"/>
          <w:szCs w:val="20"/>
        </w:rPr>
        <w:t>décret.</w:t>
      </w:r>
    </w:p>
    <w:p w14:paraId="5C91E3CA" w14:textId="15F0CCD3" w:rsidR="001E7C3C" w:rsidRDefault="001E7C3C" w:rsidP="00B004EE">
      <w:pPr>
        <w:rPr>
          <w:rFonts w:ascii="Tahoma" w:eastAsia="American Typewriter" w:hAnsi="Tahoma" w:cs="Tahoma"/>
          <w:sz w:val="20"/>
          <w:szCs w:val="20"/>
        </w:rPr>
      </w:pPr>
    </w:p>
    <w:p w14:paraId="51EE7A44" w14:textId="77777777" w:rsidR="00B004EE" w:rsidRDefault="00B004EE" w:rsidP="00B004EE">
      <w:pPr>
        <w:rPr>
          <w:rFonts w:ascii="Tahoma" w:eastAsia="American Typewriter" w:hAnsi="Tahoma" w:cs="Tahoma"/>
          <w:sz w:val="20"/>
          <w:szCs w:val="20"/>
        </w:rPr>
      </w:pPr>
    </w:p>
    <w:p w14:paraId="3EFD7290" w14:textId="77777777" w:rsidR="00C323AB" w:rsidRPr="00B004EE" w:rsidRDefault="00C323AB" w:rsidP="00B004EE">
      <w:pPr>
        <w:rPr>
          <w:rFonts w:ascii="Tahoma" w:eastAsia="American Typewriter" w:hAnsi="Tahoma" w:cs="Tahoma"/>
          <w:sz w:val="20"/>
          <w:szCs w:val="20"/>
        </w:rPr>
      </w:pPr>
    </w:p>
    <w:p w14:paraId="63DCA4AE" w14:textId="2DEB9B03" w:rsidR="001E7C3C" w:rsidRPr="00B004EE" w:rsidRDefault="001E7C3C" w:rsidP="00B004EE">
      <w:pPr>
        <w:ind w:right="164" w:hanging="4"/>
        <w:jc w:val="center"/>
        <w:rPr>
          <w:rFonts w:ascii="Tahoma" w:hAnsi="Tahoma" w:cs="Tahoma"/>
          <w:b/>
          <w:spacing w:val="1"/>
          <w:w w:val="113"/>
          <w:sz w:val="20"/>
          <w:szCs w:val="20"/>
        </w:rPr>
      </w:pPr>
      <w:bookmarkStart w:id="91" w:name="_Toc16279078"/>
      <w:bookmarkStart w:id="92" w:name="_Toc16279447"/>
      <w:r w:rsidRPr="00B004EE">
        <w:rPr>
          <w:rFonts w:ascii="Tahoma" w:hAnsi="Tahoma" w:cs="Tahoma"/>
          <w:b/>
          <w:spacing w:val="1"/>
          <w:w w:val="113"/>
          <w:sz w:val="20"/>
          <w:szCs w:val="20"/>
        </w:rPr>
        <w:lastRenderedPageBreak/>
        <w:t>CHAPITRE</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II</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DISPOSITIONS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APPLICABLES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AUX</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ETABLISSEMENTS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DE</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TRAITEMENT</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ET</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DE</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TRANSFORMATION</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DES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PRODUITS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DE</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LA</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PECHE</w:t>
      </w:r>
      <w:bookmarkEnd w:id="91"/>
      <w:bookmarkEnd w:id="92"/>
    </w:p>
    <w:p w14:paraId="22A6A16C" w14:textId="77777777" w:rsidR="001E7C3C" w:rsidRPr="00B004EE" w:rsidRDefault="001E7C3C" w:rsidP="00B004EE">
      <w:pPr>
        <w:jc w:val="center"/>
        <w:rPr>
          <w:rFonts w:ascii="Tahoma" w:eastAsia="American Typewriter" w:hAnsi="Tahoma" w:cs="Tahoma"/>
          <w:b/>
          <w:bCs/>
          <w:sz w:val="20"/>
          <w:szCs w:val="20"/>
        </w:rPr>
      </w:pPr>
    </w:p>
    <w:p w14:paraId="6D8B6986" w14:textId="35A81C9B" w:rsidR="001E7C3C" w:rsidRPr="00B004EE" w:rsidRDefault="001E7C3C" w:rsidP="00B004EE">
      <w:pPr>
        <w:ind w:right="164" w:hanging="4"/>
        <w:jc w:val="center"/>
        <w:rPr>
          <w:rFonts w:ascii="Tahoma" w:hAnsi="Tahoma" w:cs="Tahoma"/>
          <w:b/>
          <w:spacing w:val="1"/>
          <w:w w:val="113"/>
          <w:sz w:val="20"/>
          <w:szCs w:val="20"/>
        </w:rPr>
      </w:pPr>
      <w:r w:rsidRPr="00B004EE">
        <w:rPr>
          <w:rFonts w:ascii="Tahoma" w:hAnsi="Tahoma" w:cs="Tahoma"/>
          <w:b/>
          <w:spacing w:val="1"/>
          <w:w w:val="113"/>
          <w:sz w:val="20"/>
          <w:szCs w:val="20"/>
        </w:rPr>
        <w:t>Section</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1</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Des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établissements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de</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traitement</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et</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de</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transformation</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des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produits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de</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la</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pêche</w:t>
      </w:r>
    </w:p>
    <w:p w14:paraId="185C29DA" w14:textId="77777777" w:rsidR="001E7C3C" w:rsidRPr="00B004EE" w:rsidRDefault="001E7C3C" w:rsidP="00B004EE">
      <w:pPr>
        <w:rPr>
          <w:rFonts w:ascii="Tahoma" w:eastAsia="American Typewriter" w:hAnsi="Tahoma" w:cs="Tahoma"/>
          <w:b/>
          <w:bCs/>
          <w:sz w:val="20"/>
          <w:szCs w:val="20"/>
        </w:rPr>
      </w:pPr>
    </w:p>
    <w:p w14:paraId="22BE4087" w14:textId="68B4C0B7" w:rsidR="001E7C3C" w:rsidRPr="00B004EE" w:rsidRDefault="001E7C3C" w:rsidP="00B004EE">
      <w:pPr>
        <w:pStyle w:val="Corpsdetexte"/>
        <w:ind w:right="158"/>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56</w:t>
      </w:r>
      <w:r w:rsidR="00DB1635" w:rsidRPr="00B004EE">
        <w:rPr>
          <w:rFonts w:ascii="Tahoma" w:hAnsi="Tahoma" w:cs="Tahoma"/>
          <w:bCs/>
          <w:sz w:val="20"/>
          <w:szCs w:val="20"/>
        </w:rPr>
        <w:t xml:space="preserve"> </w:t>
      </w:r>
      <w:r w:rsidRPr="00B004EE">
        <w:rPr>
          <w:rFonts w:ascii="Tahoma" w:hAnsi="Tahoma" w:cs="Tahoma"/>
          <w:bCs/>
          <w:sz w:val="20"/>
          <w:szCs w:val="20"/>
        </w:rPr>
        <w:t>:</w:t>
      </w:r>
      <w:r w:rsidR="00DB1635" w:rsidRPr="00B004EE">
        <w:rPr>
          <w:rFonts w:ascii="Tahoma" w:hAnsi="Tahoma" w:cs="Tahoma"/>
          <w:b/>
          <w:spacing w:val="-15"/>
          <w:sz w:val="20"/>
          <w:szCs w:val="20"/>
        </w:rPr>
        <w:t xml:space="preserve"> </w:t>
      </w:r>
      <w:r w:rsidRPr="00B004EE">
        <w:rPr>
          <w:rFonts w:ascii="Tahoma" w:hAnsi="Tahoma" w:cs="Tahoma"/>
          <w:sz w:val="20"/>
          <w:szCs w:val="20"/>
        </w:rPr>
        <w:t>Au</w:t>
      </w:r>
      <w:r w:rsidR="00DB1635" w:rsidRPr="00B004EE">
        <w:rPr>
          <w:rFonts w:ascii="Tahoma" w:hAnsi="Tahoma" w:cs="Tahoma"/>
          <w:spacing w:val="-18"/>
          <w:sz w:val="20"/>
          <w:szCs w:val="20"/>
        </w:rPr>
        <w:t xml:space="preserve"> </w:t>
      </w:r>
      <w:r w:rsidRPr="00B004EE">
        <w:rPr>
          <w:rFonts w:ascii="Tahoma" w:hAnsi="Tahoma" w:cs="Tahoma"/>
          <w:sz w:val="20"/>
          <w:szCs w:val="20"/>
        </w:rPr>
        <w:t>sens</w:t>
      </w:r>
      <w:r w:rsidR="00DB1635" w:rsidRPr="00B004EE">
        <w:rPr>
          <w:rFonts w:ascii="Tahoma" w:hAnsi="Tahoma" w:cs="Tahoma"/>
          <w:spacing w:val="-18"/>
          <w:sz w:val="20"/>
          <w:szCs w:val="20"/>
        </w:rPr>
        <w:t xml:space="preserve"> </w:t>
      </w:r>
      <w:r w:rsidRPr="00B004EE">
        <w:rPr>
          <w:rFonts w:ascii="Tahoma" w:hAnsi="Tahoma" w:cs="Tahoma"/>
          <w:sz w:val="20"/>
          <w:szCs w:val="20"/>
        </w:rPr>
        <w:t>du</w:t>
      </w:r>
      <w:r w:rsidR="00DB1635" w:rsidRPr="00B004EE">
        <w:rPr>
          <w:rFonts w:ascii="Tahoma" w:hAnsi="Tahoma" w:cs="Tahoma"/>
          <w:spacing w:val="-19"/>
          <w:sz w:val="20"/>
          <w:szCs w:val="20"/>
        </w:rPr>
        <w:t xml:space="preserve"> </w:t>
      </w:r>
      <w:r w:rsidRPr="00B004EE">
        <w:rPr>
          <w:rFonts w:ascii="Tahoma" w:hAnsi="Tahoma" w:cs="Tahoma"/>
          <w:sz w:val="20"/>
          <w:szCs w:val="20"/>
        </w:rPr>
        <w:t>présent</w:t>
      </w:r>
      <w:r w:rsidR="00DB1635" w:rsidRPr="00B004EE">
        <w:rPr>
          <w:rFonts w:ascii="Tahoma" w:hAnsi="Tahoma" w:cs="Tahoma"/>
          <w:spacing w:val="-19"/>
          <w:sz w:val="20"/>
          <w:szCs w:val="20"/>
        </w:rPr>
        <w:t xml:space="preserve"> </w:t>
      </w:r>
      <w:r w:rsidRPr="00B004EE">
        <w:rPr>
          <w:rFonts w:ascii="Tahoma" w:hAnsi="Tahoma" w:cs="Tahoma"/>
          <w:sz w:val="20"/>
          <w:szCs w:val="20"/>
        </w:rPr>
        <w:t>article,</w:t>
      </w:r>
      <w:r w:rsidR="00DB1635" w:rsidRPr="00B004EE">
        <w:rPr>
          <w:rFonts w:ascii="Tahoma" w:hAnsi="Tahoma" w:cs="Tahoma"/>
          <w:spacing w:val="-19"/>
          <w:sz w:val="20"/>
          <w:szCs w:val="20"/>
        </w:rPr>
        <w:t xml:space="preserve"> </w:t>
      </w:r>
      <w:r w:rsidRPr="00B004EE">
        <w:rPr>
          <w:rFonts w:ascii="Tahoma" w:hAnsi="Tahoma" w:cs="Tahoma"/>
          <w:sz w:val="20"/>
          <w:szCs w:val="20"/>
        </w:rPr>
        <w:t>on</w:t>
      </w:r>
      <w:r w:rsidR="00DB1635" w:rsidRPr="00B004EE">
        <w:rPr>
          <w:rFonts w:ascii="Tahoma" w:hAnsi="Tahoma" w:cs="Tahoma"/>
          <w:spacing w:val="-19"/>
          <w:sz w:val="20"/>
          <w:szCs w:val="20"/>
        </w:rPr>
        <w:t xml:space="preserve"> </w:t>
      </w:r>
      <w:r w:rsidRPr="00B004EE">
        <w:rPr>
          <w:rFonts w:ascii="Tahoma" w:hAnsi="Tahoma" w:cs="Tahoma"/>
          <w:sz w:val="20"/>
          <w:szCs w:val="20"/>
        </w:rPr>
        <w:t>entend</w:t>
      </w:r>
      <w:r w:rsidR="00DB1635" w:rsidRPr="00B004EE">
        <w:rPr>
          <w:rFonts w:ascii="Tahoma" w:hAnsi="Tahoma" w:cs="Tahoma"/>
          <w:spacing w:val="-20"/>
          <w:sz w:val="20"/>
          <w:szCs w:val="20"/>
        </w:rPr>
        <w:t xml:space="preserve"> </w:t>
      </w:r>
      <w:r w:rsidRPr="00B004EE">
        <w:rPr>
          <w:rFonts w:ascii="Tahoma" w:hAnsi="Tahoma" w:cs="Tahoma"/>
          <w:sz w:val="20"/>
          <w:szCs w:val="20"/>
        </w:rPr>
        <w:t>par</w:t>
      </w:r>
      <w:r w:rsidR="00DB1635" w:rsidRPr="00B004EE">
        <w:rPr>
          <w:rFonts w:ascii="Tahoma" w:hAnsi="Tahoma" w:cs="Tahoma"/>
          <w:spacing w:val="-20"/>
          <w:sz w:val="20"/>
          <w:szCs w:val="20"/>
        </w:rPr>
        <w:t xml:space="preserve"> </w:t>
      </w:r>
      <w:r w:rsidRPr="00B004EE">
        <w:rPr>
          <w:rFonts w:ascii="Tahoma" w:hAnsi="Tahoma" w:cs="Tahoma"/>
          <w:sz w:val="20"/>
          <w:szCs w:val="20"/>
        </w:rPr>
        <w:t>établissement</w:t>
      </w:r>
      <w:r w:rsidR="00DB1635" w:rsidRPr="00B004EE">
        <w:rPr>
          <w:rFonts w:ascii="Tahoma" w:hAnsi="Tahoma" w:cs="Tahoma"/>
          <w:spacing w:val="-19"/>
          <w:sz w:val="20"/>
          <w:szCs w:val="20"/>
        </w:rPr>
        <w:t xml:space="preserve"> </w:t>
      </w:r>
      <w:r w:rsidRPr="00B004EE">
        <w:rPr>
          <w:rFonts w:ascii="Tahoma" w:hAnsi="Tahoma" w:cs="Tahoma"/>
          <w:sz w:val="20"/>
          <w:szCs w:val="20"/>
        </w:rPr>
        <w:t>de</w:t>
      </w:r>
      <w:r w:rsidR="00DB1635" w:rsidRPr="00B004EE">
        <w:rPr>
          <w:rFonts w:ascii="Tahoma" w:hAnsi="Tahoma" w:cs="Tahoma"/>
          <w:spacing w:val="-19"/>
          <w:sz w:val="20"/>
          <w:szCs w:val="20"/>
        </w:rPr>
        <w:t xml:space="preserve"> </w:t>
      </w:r>
      <w:r w:rsidRPr="00B004EE">
        <w:rPr>
          <w:rFonts w:ascii="Tahoma" w:hAnsi="Tahoma" w:cs="Tahoma"/>
          <w:sz w:val="20"/>
          <w:szCs w:val="20"/>
        </w:rPr>
        <w:t>traitement</w:t>
      </w:r>
      <w:r w:rsidR="00DB1635" w:rsidRPr="00B004EE">
        <w:rPr>
          <w:rFonts w:ascii="Tahoma" w:hAnsi="Tahoma" w:cs="Tahoma"/>
          <w:spacing w:val="-1"/>
          <w:w w:val="95"/>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transformation</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tout</w:t>
      </w:r>
      <w:r w:rsidR="00DB1635" w:rsidRPr="00B004EE">
        <w:rPr>
          <w:rFonts w:ascii="Tahoma" w:hAnsi="Tahoma" w:cs="Tahoma"/>
          <w:sz w:val="20"/>
          <w:szCs w:val="20"/>
        </w:rPr>
        <w:t xml:space="preserve"> </w:t>
      </w:r>
      <w:r w:rsidRPr="00B004EE">
        <w:rPr>
          <w:rFonts w:ascii="Tahoma" w:hAnsi="Tahoma" w:cs="Tahoma"/>
          <w:sz w:val="20"/>
          <w:szCs w:val="20"/>
        </w:rPr>
        <w:t>local</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installation</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terre</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pacing w:val="13"/>
          <w:sz w:val="20"/>
          <w:szCs w:val="20"/>
        </w:rPr>
        <w:t xml:space="preserve"> </w:t>
      </w:r>
      <w:r w:rsidRPr="00B004EE">
        <w:rPr>
          <w:rFonts w:ascii="Tahoma" w:hAnsi="Tahoma" w:cs="Tahoma"/>
          <w:sz w:val="20"/>
          <w:szCs w:val="20"/>
        </w:rPr>
        <w:t>à</w:t>
      </w:r>
      <w:r w:rsidR="00DB1635" w:rsidRPr="00B004EE">
        <w:rPr>
          <w:rFonts w:ascii="Tahoma" w:hAnsi="Tahoma" w:cs="Tahoma"/>
          <w:w w:val="98"/>
          <w:sz w:val="20"/>
          <w:szCs w:val="20"/>
        </w:rPr>
        <w:t xml:space="preserve"> </w:t>
      </w:r>
      <w:r w:rsidRPr="00B004EE">
        <w:rPr>
          <w:rFonts w:ascii="Tahoma" w:hAnsi="Tahoma" w:cs="Tahoma"/>
          <w:sz w:val="20"/>
          <w:szCs w:val="20"/>
        </w:rPr>
        <w:t>bord,</w:t>
      </w:r>
      <w:r w:rsidR="00DB1635" w:rsidRPr="00B004EE">
        <w:rPr>
          <w:rFonts w:ascii="Tahoma" w:hAnsi="Tahoma" w:cs="Tahoma"/>
          <w:spacing w:val="-18"/>
          <w:sz w:val="20"/>
          <w:szCs w:val="20"/>
        </w:rPr>
        <w:t xml:space="preserve"> </w:t>
      </w:r>
      <w:r w:rsidRPr="00B004EE">
        <w:rPr>
          <w:rFonts w:ascii="Tahoma" w:hAnsi="Tahoma" w:cs="Tahoma"/>
          <w:sz w:val="20"/>
          <w:szCs w:val="20"/>
        </w:rPr>
        <w:t>dans</w:t>
      </w:r>
      <w:r w:rsidR="00DB1635" w:rsidRPr="00B004EE">
        <w:rPr>
          <w:rFonts w:ascii="Tahoma" w:hAnsi="Tahoma" w:cs="Tahoma"/>
          <w:spacing w:val="-20"/>
          <w:sz w:val="20"/>
          <w:szCs w:val="20"/>
        </w:rPr>
        <w:t xml:space="preserve"> </w:t>
      </w:r>
      <w:r w:rsidRPr="00B004EE">
        <w:rPr>
          <w:rFonts w:ascii="Tahoma" w:hAnsi="Tahoma" w:cs="Tahoma"/>
          <w:sz w:val="20"/>
          <w:szCs w:val="20"/>
        </w:rPr>
        <w:t>lequel</w:t>
      </w:r>
      <w:r w:rsidR="00DB1635" w:rsidRPr="00B004EE">
        <w:rPr>
          <w:rFonts w:ascii="Tahoma" w:hAnsi="Tahoma" w:cs="Tahoma"/>
          <w:spacing w:val="-19"/>
          <w:sz w:val="20"/>
          <w:szCs w:val="20"/>
        </w:rPr>
        <w:t xml:space="preserve"> </w:t>
      </w:r>
      <w:r w:rsidRPr="00B004EE">
        <w:rPr>
          <w:rFonts w:ascii="Tahoma" w:hAnsi="Tahoma" w:cs="Tahoma"/>
          <w:sz w:val="20"/>
          <w:szCs w:val="20"/>
        </w:rPr>
        <w:t>des</w:t>
      </w:r>
      <w:r w:rsidR="00DB1635" w:rsidRPr="00B004EE">
        <w:rPr>
          <w:rFonts w:ascii="Tahoma" w:hAnsi="Tahoma" w:cs="Tahoma"/>
          <w:spacing w:val="-20"/>
          <w:sz w:val="20"/>
          <w:szCs w:val="20"/>
        </w:rPr>
        <w:t xml:space="preserve"> </w:t>
      </w:r>
      <w:r w:rsidRPr="00B004EE">
        <w:rPr>
          <w:rFonts w:ascii="Tahoma" w:hAnsi="Tahoma" w:cs="Tahoma"/>
          <w:sz w:val="20"/>
          <w:szCs w:val="20"/>
        </w:rPr>
        <w:t>produits</w:t>
      </w:r>
      <w:r w:rsidR="00DB1635" w:rsidRPr="00B004EE">
        <w:rPr>
          <w:rFonts w:ascii="Tahoma" w:hAnsi="Tahoma" w:cs="Tahoma"/>
          <w:spacing w:val="-20"/>
          <w:sz w:val="20"/>
          <w:szCs w:val="20"/>
        </w:rPr>
        <w:t xml:space="preserve"> </w:t>
      </w:r>
      <w:r w:rsidRPr="00B004EE">
        <w:rPr>
          <w:rFonts w:ascii="Tahoma" w:hAnsi="Tahoma" w:cs="Tahoma"/>
          <w:sz w:val="20"/>
          <w:szCs w:val="20"/>
        </w:rPr>
        <w:t>de</w:t>
      </w:r>
      <w:r w:rsidR="00DB1635" w:rsidRPr="00B004EE">
        <w:rPr>
          <w:rFonts w:ascii="Tahoma" w:hAnsi="Tahoma" w:cs="Tahoma"/>
          <w:spacing w:val="-19"/>
          <w:sz w:val="20"/>
          <w:szCs w:val="20"/>
        </w:rPr>
        <w:t xml:space="preserve"> </w:t>
      </w:r>
      <w:r w:rsidRPr="00B004EE">
        <w:rPr>
          <w:rFonts w:ascii="Tahoma" w:hAnsi="Tahoma" w:cs="Tahoma"/>
          <w:sz w:val="20"/>
          <w:szCs w:val="20"/>
        </w:rPr>
        <w:t>pêche</w:t>
      </w:r>
      <w:r w:rsidR="00DB1635" w:rsidRPr="00B004EE">
        <w:rPr>
          <w:rFonts w:ascii="Tahoma" w:hAnsi="Tahoma" w:cs="Tahoma"/>
          <w:spacing w:val="-21"/>
          <w:sz w:val="20"/>
          <w:szCs w:val="20"/>
        </w:rPr>
        <w:t xml:space="preserve"> </w:t>
      </w:r>
      <w:r w:rsidRPr="00B004EE">
        <w:rPr>
          <w:rFonts w:ascii="Tahoma" w:hAnsi="Tahoma" w:cs="Tahoma"/>
          <w:sz w:val="20"/>
          <w:szCs w:val="20"/>
        </w:rPr>
        <w:t>sont</w:t>
      </w:r>
      <w:r w:rsidR="00DB1635" w:rsidRPr="00B004EE">
        <w:rPr>
          <w:rFonts w:ascii="Tahoma" w:hAnsi="Tahoma" w:cs="Tahoma"/>
          <w:spacing w:val="-18"/>
          <w:sz w:val="20"/>
          <w:szCs w:val="20"/>
        </w:rPr>
        <w:t xml:space="preserve"> </w:t>
      </w:r>
      <w:r w:rsidRPr="00B004EE">
        <w:rPr>
          <w:rFonts w:ascii="Tahoma" w:hAnsi="Tahoma" w:cs="Tahoma"/>
          <w:sz w:val="20"/>
          <w:szCs w:val="20"/>
        </w:rPr>
        <w:t>traités,</w:t>
      </w:r>
      <w:r w:rsidR="00DB1635" w:rsidRPr="00B004EE">
        <w:rPr>
          <w:rFonts w:ascii="Tahoma" w:hAnsi="Tahoma" w:cs="Tahoma"/>
          <w:spacing w:val="-20"/>
          <w:sz w:val="20"/>
          <w:szCs w:val="20"/>
        </w:rPr>
        <w:t xml:space="preserve"> </w:t>
      </w:r>
      <w:r w:rsidRPr="00B004EE">
        <w:rPr>
          <w:rFonts w:ascii="Tahoma" w:hAnsi="Tahoma" w:cs="Tahoma"/>
          <w:sz w:val="20"/>
          <w:szCs w:val="20"/>
        </w:rPr>
        <w:t>manipulés,</w:t>
      </w:r>
      <w:r w:rsidR="00DB1635" w:rsidRPr="00B004EE">
        <w:rPr>
          <w:rFonts w:ascii="Tahoma" w:hAnsi="Tahoma" w:cs="Tahoma"/>
          <w:spacing w:val="-21"/>
          <w:sz w:val="20"/>
          <w:szCs w:val="20"/>
        </w:rPr>
        <w:t xml:space="preserve"> </w:t>
      </w:r>
      <w:r w:rsidRPr="00B004EE">
        <w:rPr>
          <w:rFonts w:ascii="Tahoma" w:hAnsi="Tahoma" w:cs="Tahoma"/>
          <w:sz w:val="20"/>
          <w:szCs w:val="20"/>
        </w:rPr>
        <w:t>entreposés,</w:t>
      </w:r>
      <w:r w:rsidR="00DB1635" w:rsidRPr="00B004EE">
        <w:rPr>
          <w:rFonts w:ascii="Tahoma" w:hAnsi="Tahoma" w:cs="Tahoma"/>
          <w:spacing w:val="-19"/>
          <w:sz w:val="20"/>
          <w:szCs w:val="20"/>
        </w:rPr>
        <w:t xml:space="preserve"> </w:t>
      </w:r>
      <w:r w:rsidRPr="00B004EE">
        <w:rPr>
          <w:rFonts w:ascii="Tahoma" w:hAnsi="Tahoma" w:cs="Tahoma"/>
          <w:sz w:val="20"/>
          <w:szCs w:val="20"/>
        </w:rPr>
        <w:t>mis</w:t>
      </w:r>
      <w:r w:rsidR="00DB1635" w:rsidRPr="00B004EE">
        <w:rPr>
          <w:rFonts w:ascii="Tahoma" w:hAnsi="Tahoma" w:cs="Tahoma"/>
          <w:spacing w:val="-21"/>
          <w:sz w:val="20"/>
          <w:szCs w:val="20"/>
        </w:rPr>
        <w:t xml:space="preserve"> </w:t>
      </w:r>
      <w:r w:rsidRPr="00B004EE">
        <w:rPr>
          <w:rFonts w:ascii="Tahoma" w:hAnsi="Tahoma" w:cs="Tahoma"/>
          <w:sz w:val="20"/>
          <w:szCs w:val="20"/>
        </w:rPr>
        <w:t>en</w:t>
      </w:r>
      <w:r w:rsidR="00DB1635" w:rsidRPr="00B004EE">
        <w:rPr>
          <w:rFonts w:ascii="Tahoma" w:hAnsi="Tahoma" w:cs="Tahoma"/>
          <w:w w:val="95"/>
          <w:sz w:val="20"/>
          <w:szCs w:val="20"/>
        </w:rPr>
        <w:t xml:space="preserve"> </w:t>
      </w:r>
      <w:r w:rsidRPr="00B004EE">
        <w:rPr>
          <w:rFonts w:ascii="Tahoma" w:hAnsi="Tahoma" w:cs="Tahoma"/>
          <w:sz w:val="20"/>
          <w:szCs w:val="20"/>
        </w:rPr>
        <w:t>boite,</w:t>
      </w:r>
      <w:r w:rsidR="00DB1635" w:rsidRPr="00B004EE">
        <w:rPr>
          <w:rFonts w:ascii="Tahoma" w:hAnsi="Tahoma" w:cs="Tahoma"/>
          <w:spacing w:val="-16"/>
          <w:sz w:val="20"/>
          <w:szCs w:val="20"/>
        </w:rPr>
        <w:t xml:space="preserve"> </w:t>
      </w:r>
      <w:r w:rsidRPr="00B004EE">
        <w:rPr>
          <w:rFonts w:ascii="Tahoma" w:hAnsi="Tahoma" w:cs="Tahoma"/>
          <w:sz w:val="20"/>
          <w:szCs w:val="20"/>
        </w:rPr>
        <w:t>séchés,</w:t>
      </w:r>
      <w:r w:rsidR="00DB1635" w:rsidRPr="00B004EE">
        <w:rPr>
          <w:rFonts w:ascii="Tahoma" w:hAnsi="Tahoma" w:cs="Tahoma"/>
          <w:spacing w:val="-17"/>
          <w:sz w:val="20"/>
          <w:szCs w:val="20"/>
        </w:rPr>
        <w:t xml:space="preserve"> </w:t>
      </w:r>
      <w:r w:rsidRPr="00B004EE">
        <w:rPr>
          <w:rFonts w:ascii="Tahoma" w:hAnsi="Tahoma" w:cs="Tahoma"/>
          <w:sz w:val="20"/>
          <w:szCs w:val="20"/>
        </w:rPr>
        <w:t>mis</w:t>
      </w:r>
      <w:r w:rsidR="00DB1635" w:rsidRPr="00B004EE">
        <w:rPr>
          <w:rFonts w:ascii="Tahoma" w:hAnsi="Tahoma" w:cs="Tahoma"/>
          <w:spacing w:val="-17"/>
          <w:sz w:val="20"/>
          <w:szCs w:val="20"/>
        </w:rPr>
        <w:t xml:space="preserve"> </w:t>
      </w:r>
      <w:r w:rsidRPr="00B004EE">
        <w:rPr>
          <w:rFonts w:ascii="Tahoma" w:hAnsi="Tahoma" w:cs="Tahoma"/>
          <w:sz w:val="20"/>
          <w:szCs w:val="20"/>
        </w:rPr>
        <w:t>en</w:t>
      </w:r>
      <w:r w:rsidR="00DB1635" w:rsidRPr="00B004EE">
        <w:rPr>
          <w:rFonts w:ascii="Tahoma" w:hAnsi="Tahoma" w:cs="Tahoma"/>
          <w:spacing w:val="-17"/>
          <w:sz w:val="20"/>
          <w:szCs w:val="20"/>
        </w:rPr>
        <w:t xml:space="preserve"> </w:t>
      </w:r>
      <w:r w:rsidRPr="00B004EE">
        <w:rPr>
          <w:rFonts w:ascii="Tahoma" w:hAnsi="Tahoma" w:cs="Tahoma"/>
          <w:sz w:val="20"/>
          <w:szCs w:val="20"/>
        </w:rPr>
        <w:t>saumure,</w:t>
      </w:r>
      <w:r w:rsidR="00DB1635" w:rsidRPr="00B004EE">
        <w:rPr>
          <w:rFonts w:ascii="Tahoma" w:hAnsi="Tahoma" w:cs="Tahoma"/>
          <w:spacing w:val="-17"/>
          <w:sz w:val="20"/>
          <w:szCs w:val="20"/>
        </w:rPr>
        <w:t xml:space="preserve"> </w:t>
      </w:r>
      <w:r w:rsidRPr="00B004EE">
        <w:rPr>
          <w:rFonts w:ascii="Tahoma" w:hAnsi="Tahoma" w:cs="Tahoma"/>
          <w:sz w:val="20"/>
          <w:szCs w:val="20"/>
        </w:rPr>
        <w:t>salés,</w:t>
      </w:r>
      <w:r w:rsidR="00DB1635" w:rsidRPr="00B004EE">
        <w:rPr>
          <w:rFonts w:ascii="Tahoma" w:hAnsi="Tahoma" w:cs="Tahoma"/>
          <w:spacing w:val="-18"/>
          <w:sz w:val="20"/>
          <w:szCs w:val="20"/>
        </w:rPr>
        <w:t xml:space="preserve"> </w:t>
      </w:r>
      <w:r w:rsidRPr="00B004EE">
        <w:rPr>
          <w:rFonts w:ascii="Tahoma" w:hAnsi="Tahoma" w:cs="Tahoma"/>
          <w:sz w:val="20"/>
          <w:szCs w:val="20"/>
        </w:rPr>
        <w:t>fumés,</w:t>
      </w:r>
      <w:r w:rsidR="00DB1635" w:rsidRPr="00B004EE">
        <w:rPr>
          <w:rFonts w:ascii="Tahoma" w:hAnsi="Tahoma" w:cs="Tahoma"/>
          <w:spacing w:val="-18"/>
          <w:sz w:val="20"/>
          <w:szCs w:val="20"/>
        </w:rPr>
        <w:t xml:space="preserve"> </w:t>
      </w:r>
      <w:r w:rsidRPr="00B004EE">
        <w:rPr>
          <w:rFonts w:ascii="Tahoma" w:hAnsi="Tahoma" w:cs="Tahoma"/>
          <w:sz w:val="20"/>
          <w:szCs w:val="20"/>
        </w:rPr>
        <w:t>réfrigérés,</w:t>
      </w:r>
      <w:r w:rsidR="00DB1635" w:rsidRPr="00B004EE">
        <w:rPr>
          <w:rFonts w:ascii="Tahoma" w:hAnsi="Tahoma" w:cs="Tahoma"/>
          <w:spacing w:val="-18"/>
          <w:sz w:val="20"/>
          <w:szCs w:val="20"/>
        </w:rPr>
        <w:t xml:space="preserve"> </w:t>
      </w:r>
      <w:r w:rsidRPr="00B004EE">
        <w:rPr>
          <w:rFonts w:ascii="Tahoma" w:hAnsi="Tahoma" w:cs="Tahoma"/>
          <w:sz w:val="20"/>
          <w:szCs w:val="20"/>
        </w:rPr>
        <w:t>mis</w:t>
      </w:r>
      <w:r w:rsidR="00DB1635" w:rsidRPr="00B004EE">
        <w:rPr>
          <w:rFonts w:ascii="Tahoma" w:hAnsi="Tahoma" w:cs="Tahoma"/>
          <w:spacing w:val="-18"/>
          <w:sz w:val="20"/>
          <w:szCs w:val="20"/>
        </w:rPr>
        <w:t xml:space="preserve"> </w:t>
      </w:r>
      <w:r w:rsidRPr="00B004EE">
        <w:rPr>
          <w:rFonts w:ascii="Tahoma" w:hAnsi="Tahoma" w:cs="Tahoma"/>
          <w:sz w:val="20"/>
          <w:szCs w:val="20"/>
        </w:rPr>
        <w:t>en</w:t>
      </w:r>
      <w:r w:rsidR="00DB1635" w:rsidRPr="00B004EE">
        <w:rPr>
          <w:rFonts w:ascii="Tahoma" w:hAnsi="Tahoma" w:cs="Tahoma"/>
          <w:spacing w:val="-18"/>
          <w:sz w:val="20"/>
          <w:szCs w:val="20"/>
        </w:rPr>
        <w:t xml:space="preserve"> </w:t>
      </w:r>
      <w:r w:rsidRPr="00B004EE">
        <w:rPr>
          <w:rFonts w:ascii="Tahoma" w:hAnsi="Tahoma" w:cs="Tahoma"/>
          <w:sz w:val="20"/>
          <w:szCs w:val="20"/>
        </w:rPr>
        <w:t>glace</w:t>
      </w:r>
      <w:r w:rsidR="00DB1635" w:rsidRPr="00B004EE">
        <w:rPr>
          <w:rFonts w:ascii="Tahoma" w:hAnsi="Tahoma" w:cs="Tahoma"/>
          <w:spacing w:val="-18"/>
          <w:sz w:val="20"/>
          <w:szCs w:val="20"/>
        </w:rPr>
        <w:t xml:space="preserve"> </w:t>
      </w:r>
      <w:r w:rsidRPr="00B004EE">
        <w:rPr>
          <w:rFonts w:ascii="Tahoma" w:hAnsi="Tahoma" w:cs="Tahoma"/>
          <w:sz w:val="20"/>
          <w:szCs w:val="20"/>
        </w:rPr>
        <w:t>ou</w:t>
      </w:r>
      <w:r w:rsidR="00DB1635" w:rsidRPr="00B004EE">
        <w:rPr>
          <w:rFonts w:ascii="Tahoma" w:hAnsi="Tahoma" w:cs="Tahoma"/>
          <w:spacing w:val="-18"/>
          <w:sz w:val="20"/>
          <w:szCs w:val="20"/>
        </w:rPr>
        <w:t xml:space="preserve"> </w:t>
      </w:r>
      <w:r w:rsidRPr="00B004EE">
        <w:rPr>
          <w:rFonts w:ascii="Tahoma" w:hAnsi="Tahoma" w:cs="Tahoma"/>
          <w:sz w:val="20"/>
          <w:szCs w:val="20"/>
        </w:rPr>
        <w:t>congelés</w:t>
      </w:r>
      <w:r w:rsidR="00DB1635" w:rsidRPr="00B004EE">
        <w:rPr>
          <w:rFonts w:ascii="Tahoma" w:hAnsi="Tahoma" w:cs="Tahoma"/>
          <w:spacing w:val="-18"/>
          <w:sz w:val="20"/>
          <w:szCs w:val="20"/>
        </w:rPr>
        <w:t xml:space="preserve"> </w:t>
      </w:r>
      <w:r w:rsidRPr="00B004EE">
        <w:rPr>
          <w:rFonts w:ascii="Tahoma" w:hAnsi="Tahoma" w:cs="Tahoma"/>
          <w:sz w:val="20"/>
          <w:szCs w:val="20"/>
        </w:rPr>
        <w:t>ou</w:t>
      </w:r>
      <w:r w:rsidR="00DB1635" w:rsidRPr="00B004EE">
        <w:rPr>
          <w:rFonts w:ascii="Tahoma" w:hAnsi="Tahoma" w:cs="Tahoma"/>
          <w:w w:val="95"/>
          <w:sz w:val="20"/>
          <w:szCs w:val="20"/>
        </w:rPr>
        <w:t xml:space="preserve"> </w:t>
      </w:r>
      <w:r w:rsidRPr="00B004EE">
        <w:rPr>
          <w:rFonts w:ascii="Tahoma" w:hAnsi="Tahoma" w:cs="Tahoma"/>
          <w:sz w:val="20"/>
          <w:szCs w:val="20"/>
        </w:rPr>
        <w:t>traités</w:t>
      </w:r>
      <w:r w:rsidR="00DB1635" w:rsidRPr="00B004EE">
        <w:rPr>
          <w:rFonts w:ascii="Tahoma" w:hAnsi="Tahoma" w:cs="Tahoma"/>
          <w:spacing w:val="-29"/>
          <w:sz w:val="20"/>
          <w:szCs w:val="20"/>
        </w:rPr>
        <w:t xml:space="preserve"> </w:t>
      </w:r>
      <w:r w:rsidRPr="00B004EE">
        <w:rPr>
          <w:rFonts w:ascii="Tahoma" w:hAnsi="Tahoma" w:cs="Tahoma"/>
          <w:sz w:val="20"/>
          <w:szCs w:val="20"/>
        </w:rPr>
        <w:t>de</w:t>
      </w:r>
      <w:r w:rsidR="00DB1635" w:rsidRPr="00B004EE">
        <w:rPr>
          <w:rFonts w:ascii="Tahoma" w:hAnsi="Tahoma" w:cs="Tahoma"/>
          <w:spacing w:val="-29"/>
          <w:sz w:val="20"/>
          <w:szCs w:val="20"/>
        </w:rPr>
        <w:t xml:space="preserve"> </w:t>
      </w:r>
      <w:r w:rsidRPr="00B004EE">
        <w:rPr>
          <w:rFonts w:ascii="Tahoma" w:hAnsi="Tahoma" w:cs="Tahoma"/>
          <w:sz w:val="20"/>
          <w:szCs w:val="20"/>
        </w:rPr>
        <w:t>toute</w:t>
      </w:r>
      <w:r w:rsidR="00DB1635" w:rsidRPr="00B004EE">
        <w:rPr>
          <w:rFonts w:ascii="Tahoma" w:hAnsi="Tahoma" w:cs="Tahoma"/>
          <w:spacing w:val="-29"/>
          <w:sz w:val="20"/>
          <w:szCs w:val="20"/>
        </w:rPr>
        <w:t xml:space="preserve"> </w:t>
      </w:r>
      <w:r w:rsidRPr="00B004EE">
        <w:rPr>
          <w:rFonts w:ascii="Tahoma" w:hAnsi="Tahoma" w:cs="Tahoma"/>
          <w:sz w:val="20"/>
          <w:szCs w:val="20"/>
        </w:rPr>
        <w:t>autre</w:t>
      </w:r>
      <w:r w:rsidR="00DB1635" w:rsidRPr="00B004EE">
        <w:rPr>
          <w:rFonts w:ascii="Tahoma" w:hAnsi="Tahoma" w:cs="Tahoma"/>
          <w:spacing w:val="-29"/>
          <w:sz w:val="20"/>
          <w:szCs w:val="20"/>
        </w:rPr>
        <w:t xml:space="preserve"> </w:t>
      </w:r>
      <w:r w:rsidRPr="00B004EE">
        <w:rPr>
          <w:rFonts w:ascii="Tahoma" w:hAnsi="Tahoma" w:cs="Tahoma"/>
          <w:sz w:val="20"/>
          <w:szCs w:val="20"/>
        </w:rPr>
        <w:t>manière,</w:t>
      </w:r>
      <w:r w:rsidR="00DB1635" w:rsidRPr="00B004EE">
        <w:rPr>
          <w:rFonts w:ascii="Tahoma" w:hAnsi="Tahoma" w:cs="Tahoma"/>
          <w:spacing w:val="-28"/>
          <w:sz w:val="20"/>
          <w:szCs w:val="20"/>
        </w:rPr>
        <w:t xml:space="preserve"> </w:t>
      </w:r>
      <w:r w:rsidRPr="00B004EE">
        <w:rPr>
          <w:rFonts w:ascii="Tahoma" w:hAnsi="Tahoma" w:cs="Tahoma"/>
          <w:sz w:val="20"/>
          <w:szCs w:val="20"/>
        </w:rPr>
        <w:t>à</w:t>
      </w:r>
      <w:r w:rsidR="00DB1635" w:rsidRPr="00B004EE">
        <w:rPr>
          <w:rFonts w:ascii="Tahoma" w:hAnsi="Tahoma" w:cs="Tahoma"/>
          <w:spacing w:val="-28"/>
          <w:sz w:val="20"/>
          <w:szCs w:val="20"/>
        </w:rPr>
        <w:t xml:space="preserve"> </w:t>
      </w:r>
      <w:r w:rsidRPr="00B004EE">
        <w:rPr>
          <w:rFonts w:ascii="Tahoma" w:hAnsi="Tahoma" w:cs="Tahoma"/>
          <w:sz w:val="20"/>
          <w:szCs w:val="20"/>
        </w:rPr>
        <w:t>des</w:t>
      </w:r>
      <w:r w:rsidR="00DB1635" w:rsidRPr="00B004EE">
        <w:rPr>
          <w:rFonts w:ascii="Tahoma" w:hAnsi="Tahoma" w:cs="Tahoma"/>
          <w:spacing w:val="-29"/>
          <w:sz w:val="20"/>
          <w:szCs w:val="20"/>
        </w:rPr>
        <w:t xml:space="preserve"> </w:t>
      </w:r>
      <w:r w:rsidRPr="00B004EE">
        <w:rPr>
          <w:rFonts w:ascii="Tahoma" w:hAnsi="Tahoma" w:cs="Tahoma"/>
          <w:sz w:val="20"/>
          <w:szCs w:val="20"/>
        </w:rPr>
        <w:t>fins</w:t>
      </w:r>
      <w:r w:rsidR="00DB1635" w:rsidRPr="00B004EE">
        <w:rPr>
          <w:rFonts w:ascii="Tahoma" w:hAnsi="Tahoma" w:cs="Tahoma"/>
          <w:spacing w:val="-29"/>
          <w:sz w:val="20"/>
          <w:szCs w:val="20"/>
        </w:rPr>
        <w:t xml:space="preserve"> </w:t>
      </w:r>
      <w:r w:rsidRPr="00B004EE">
        <w:rPr>
          <w:rFonts w:ascii="Tahoma" w:hAnsi="Tahoma" w:cs="Tahoma"/>
          <w:sz w:val="20"/>
          <w:szCs w:val="20"/>
        </w:rPr>
        <w:t>commerciales.</w:t>
      </w:r>
    </w:p>
    <w:p w14:paraId="77BE3496" w14:textId="77777777" w:rsidR="001E7C3C" w:rsidRPr="00B004EE" w:rsidRDefault="001E7C3C" w:rsidP="00B004EE">
      <w:pPr>
        <w:jc w:val="both"/>
        <w:rPr>
          <w:rFonts w:ascii="Tahoma" w:hAnsi="Tahoma" w:cs="Tahoma"/>
          <w:sz w:val="20"/>
          <w:szCs w:val="20"/>
        </w:rPr>
      </w:pPr>
    </w:p>
    <w:p w14:paraId="56F44B83" w14:textId="599EFDFA" w:rsidR="001E7C3C" w:rsidRPr="00B004EE" w:rsidRDefault="001E7C3C" w:rsidP="00B004EE">
      <w:pPr>
        <w:pStyle w:val="Corpsdetexte"/>
        <w:ind w:right="159"/>
        <w:rPr>
          <w:rFonts w:ascii="Tahoma" w:hAnsi="Tahoma" w:cs="Tahoma"/>
          <w:sz w:val="20"/>
          <w:szCs w:val="20"/>
        </w:rPr>
      </w:pPr>
      <w:r w:rsidRPr="00B004EE">
        <w:rPr>
          <w:rFonts w:ascii="Tahoma" w:hAnsi="Tahoma" w:cs="Tahoma"/>
          <w:sz w:val="20"/>
          <w:szCs w:val="20"/>
        </w:rPr>
        <w:t>Sans</w:t>
      </w:r>
      <w:r w:rsidR="00DB1635" w:rsidRPr="00B004EE">
        <w:rPr>
          <w:rFonts w:ascii="Tahoma" w:hAnsi="Tahoma" w:cs="Tahoma"/>
          <w:sz w:val="20"/>
          <w:szCs w:val="20"/>
        </w:rPr>
        <w:t xml:space="preserve"> </w:t>
      </w:r>
      <w:r w:rsidRPr="00B004EE">
        <w:rPr>
          <w:rFonts w:ascii="Tahoma" w:hAnsi="Tahoma" w:cs="Tahoma"/>
          <w:sz w:val="20"/>
          <w:szCs w:val="20"/>
        </w:rPr>
        <w:t>préjudice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attributions</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autres</w:t>
      </w:r>
      <w:r w:rsidR="00DB1635" w:rsidRPr="00B004EE">
        <w:rPr>
          <w:rFonts w:ascii="Tahoma" w:hAnsi="Tahoma" w:cs="Tahoma"/>
          <w:sz w:val="20"/>
          <w:szCs w:val="20"/>
        </w:rPr>
        <w:t xml:space="preserve"> </w:t>
      </w:r>
      <w:r w:rsidRPr="00B004EE">
        <w:rPr>
          <w:rFonts w:ascii="Tahoma" w:hAnsi="Tahoma" w:cs="Tahoma"/>
          <w:sz w:val="20"/>
          <w:szCs w:val="20"/>
        </w:rPr>
        <w:t>ministres</w:t>
      </w:r>
      <w:r w:rsidR="00DB1635" w:rsidRPr="00B004EE">
        <w:rPr>
          <w:rFonts w:ascii="Tahoma" w:hAnsi="Tahoma" w:cs="Tahoma"/>
          <w:sz w:val="20"/>
          <w:szCs w:val="20"/>
        </w:rPr>
        <w:t xml:space="preserve"> </w:t>
      </w:r>
      <w:r w:rsidRPr="00B004EE">
        <w:rPr>
          <w:rFonts w:ascii="Tahoma" w:hAnsi="Tahoma" w:cs="Tahoma"/>
          <w:sz w:val="20"/>
          <w:szCs w:val="20"/>
        </w:rPr>
        <w:t>compétents,</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pacing w:val="9"/>
          <w:sz w:val="20"/>
          <w:szCs w:val="20"/>
        </w:rPr>
        <w:t xml:space="preserve"> </w:t>
      </w:r>
      <w:r w:rsidRPr="00B004EE">
        <w:rPr>
          <w:rFonts w:ascii="Tahoma" w:hAnsi="Tahoma" w:cs="Tahoma"/>
          <w:sz w:val="20"/>
          <w:szCs w:val="20"/>
        </w:rPr>
        <w:t>localisation</w:t>
      </w:r>
      <w:r w:rsidR="00DB1635" w:rsidRPr="00B004EE">
        <w:rPr>
          <w:rFonts w:ascii="Tahoma" w:hAnsi="Tahoma" w:cs="Tahoma"/>
          <w:w w:val="93"/>
          <w:sz w:val="20"/>
          <w:szCs w:val="20"/>
        </w:rPr>
        <w:t xml:space="preserve"> </w:t>
      </w:r>
      <w:r w:rsidRPr="00B004EE">
        <w:rPr>
          <w:rFonts w:ascii="Tahoma" w:eastAsia="American Typewriter" w:hAnsi="Tahoma" w:cs="Tahoma"/>
          <w:sz w:val="20"/>
          <w:szCs w:val="20"/>
        </w:rPr>
        <w:t>géographique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et</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le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plan</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construction</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et</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d’équipement</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d'établissements</w:t>
      </w:r>
      <w:r w:rsidR="00DB1635" w:rsidRPr="00B004EE">
        <w:rPr>
          <w:rFonts w:ascii="Tahoma" w:eastAsia="American Typewriter" w:hAnsi="Tahoma" w:cs="Tahoma"/>
          <w:spacing w:val="24"/>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w w:val="94"/>
          <w:sz w:val="20"/>
          <w:szCs w:val="20"/>
        </w:rPr>
        <w:t xml:space="preserve"> </w:t>
      </w:r>
      <w:r w:rsidRPr="00B004EE">
        <w:rPr>
          <w:rFonts w:ascii="Tahoma" w:hAnsi="Tahoma" w:cs="Tahoma"/>
          <w:sz w:val="20"/>
          <w:szCs w:val="20"/>
        </w:rPr>
        <w:t>traitement</w:t>
      </w:r>
      <w:r w:rsidR="00DB1635" w:rsidRPr="00B004EE">
        <w:rPr>
          <w:rFonts w:ascii="Tahoma" w:hAnsi="Tahoma" w:cs="Tahoma"/>
          <w:spacing w:val="-18"/>
          <w:sz w:val="20"/>
          <w:szCs w:val="20"/>
        </w:rPr>
        <w:t xml:space="preserve"> </w:t>
      </w:r>
      <w:r w:rsidRPr="00B004EE">
        <w:rPr>
          <w:rFonts w:ascii="Tahoma" w:hAnsi="Tahoma" w:cs="Tahoma"/>
          <w:sz w:val="20"/>
          <w:szCs w:val="20"/>
        </w:rPr>
        <w:t>et</w:t>
      </w:r>
      <w:r w:rsidR="00DB1635" w:rsidRPr="00B004EE">
        <w:rPr>
          <w:rFonts w:ascii="Tahoma" w:hAnsi="Tahoma" w:cs="Tahoma"/>
          <w:spacing w:val="-18"/>
          <w:sz w:val="20"/>
          <w:szCs w:val="20"/>
        </w:rPr>
        <w:t xml:space="preserve"> </w:t>
      </w:r>
      <w:r w:rsidRPr="00B004EE">
        <w:rPr>
          <w:rFonts w:ascii="Tahoma" w:hAnsi="Tahoma" w:cs="Tahoma"/>
          <w:sz w:val="20"/>
          <w:szCs w:val="20"/>
        </w:rPr>
        <w:t>de</w:t>
      </w:r>
      <w:r w:rsidR="00DB1635" w:rsidRPr="00B004EE">
        <w:rPr>
          <w:rFonts w:ascii="Tahoma" w:hAnsi="Tahoma" w:cs="Tahoma"/>
          <w:spacing w:val="-19"/>
          <w:sz w:val="20"/>
          <w:szCs w:val="20"/>
        </w:rPr>
        <w:t xml:space="preserve"> </w:t>
      </w:r>
      <w:r w:rsidRPr="00B004EE">
        <w:rPr>
          <w:rFonts w:ascii="Tahoma" w:hAnsi="Tahoma" w:cs="Tahoma"/>
          <w:sz w:val="20"/>
          <w:szCs w:val="20"/>
        </w:rPr>
        <w:t>transformation</w:t>
      </w:r>
      <w:r w:rsidR="00DB1635" w:rsidRPr="00B004EE">
        <w:rPr>
          <w:rFonts w:ascii="Tahoma" w:hAnsi="Tahoma" w:cs="Tahoma"/>
          <w:spacing w:val="-19"/>
          <w:sz w:val="20"/>
          <w:szCs w:val="20"/>
        </w:rPr>
        <w:t xml:space="preserve"> </w:t>
      </w:r>
      <w:r w:rsidRPr="00B004EE">
        <w:rPr>
          <w:rFonts w:ascii="Tahoma" w:hAnsi="Tahoma" w:cs="Tahoma"/>
          <w:sz w:val="20"/>
          <w:szCs w:val="20"/>
        </w:rPr>
        <w:t>des</w:t>
      </w:r>
      <w:r w:rsidR="00DB1635" w:rsidRPr="00B004EE">
        <w:rPr>
          <w:rFonts w:ascii="Tahoma" w:hAnsi="Tahoma" w:cs="Tahoma"/>
          <w:spacing w:val="-19"/>
          <w:sz w:val="20"/>
          <w:szCs w:val="20"/>
        </w:rPr>
        <w:t xml:space="preserve"> </w:t>
      </w:r>
      <w:r w:rsidRPr="00B004EE">
        <w:rPr>
          <w:rFonts w:ascii="Tahoma" w:hAnsi="Tahoma" w:cs="Tahoma"/>
          <w:sz w:val="20"/>
          <w:szCs w:val="20"/>
        </w:rPr>
        <w:t>produits</w:t>
      </w:r>
      <w:r w:rsidR="00DB1635" w:rsidRPr="00B004EE">
        <w:rPr>
          <w:rFonts w:ascii="Tahoma" w:hAnsi="Tahoma" w:cs="Tahoma"/>
          <w:spacing w:val="-19"/>
          <w:sz w:val="20"/>
          <w:szCs w:val="20"/>
        </w:rPr>
        <w:t xml:space="preserve"> </w:t>
      </w:r>
      <w:r w:rsidRPr="00B004EE">
        <w:rPr>
          <w:rFonts w:ascii="Tahoma" w:hAnsi="Tahoma" w:cs="Tahoma"/>
          <w:sz w:val="20"/>
          <w:szCs w:val="20"/>
        </w:rPr>
        <w:t>de</w:t>
      </w:r>
      <w:r w:rsidR="00DB1635" w:rsidRPr="00B004EE">
        <w:rPr>
          <w:rFonts w:ascii="Tahoma" w:hAnsi="Tahoma" w:cs="Tahoma"/>
          <w:spacing w:val="-19"/>
          <w:sz w:val="20"/>
          <w:szCs w:val="20"/>
        </w:rPr>
        <w:t xml:space="preserve"> </w:t>
      </w:r>
      <w:r w:rsidRPr="00B004EE">
        <w:rPr>
          <w:rFonts w:ascii="Tahoma" w:hAnsi="Tahoma" w:cs="Tahoma"/>
          <w:sz w:val="20"/>
          <w:szCs w:val="20"/>
        </w:rPr>
        <w:t>pêche</w:t>
      </w:r>
      <w:r w:rsidR="00DB1635" w:rsidRPr="00B004EE">
        <w:rPr>
          <w:rFonts w:ascii="Tahoma" w:hAnsi="Tahoma" w:cs="Tahoma"/>
          <w:spacing w:val="-19"/>
          <w:sz w:val="20"/>
          <w:szCs w:val="20"/>
        </w:rPr>
        <w:t xml:space="preserve"> </w:t>
      </w:r>
      <w:r w:rsidRPr="00B004EE">
        <w:rPr>
          <w:rFonts w:ascii="Tahoma" w:hAnsi="Tahoma" w:cs="Tahoma"/>
          <w:sz w:val="20"/>
          <w:szCs w:val="20"/>
        </w:rPr>
        <w:t>sont</w:t>
      </w:r>
      <w:r w:rsidR="00DB1635" w:rsidRPr="00B004EE">
        <w:rPr>
          <w:rFonts w:ascii="Tahoma" w:hAnsi="Tahoma" w:cs="Tahoma"/>
          <w:spacing w:val="-18"/>
          <w:sz w:val="20"/>
          <w:szCs w:val="20"/>
        </w:rPr>
        <w:t xml:space="preserve"> </w:t>
      </w:r>
      <w:r w:rsidRPr="00B004EE">
        <w:rPr>
          <w:rFonts w:ascii="Tahoma" w:hAnsi="Tahoma" w:cs="Tahoma"/>
          <w:sz w:val="20"/>
          <w:szCs w:val="20"/>
        </w:rPr>
        <w:t>soumis</w:t>
      </w:r>
      <w:r w:rsidR="00DB1635" w:rsidRPr="00B004EE">
        <w:rPr>
          <w:rFonts w:ascii="Tahoma" w:hAnsi="Tahoma" w:cs="Tahoma"/>
          <w:spacing w:val="-19"/>
          <w:sz w:val="20"/>
          <w:szCs w:val="20"/>
        </w:rPr>
        <w:t xml:space="preserve"> </w:t>
      </w:r>
      <w:r w:rsidRPr="00B004EE">
        <w:rPr>
          <w:rFonts w:ascii="Tahoma" w:hAnsi="Tahoma" w:cs="Tahoma"/>
          <w:sz w:val="20"/>
          <w:szCs w:val="20"/>
        </w:rPr>
        <w:t>à</w:t>
      </w:r>
      <w:r w:rsidR="00DB1635" w:rsidRPr="00B004EE">
        <w:rPr>
          <w:rFonts w:ascii="Tahoma" w:hAnsi="Tahoma" w:cs="Tahoma"/>
          <w:spacing w:val="-16"/>
          <w:sz w:val="20"/>
          <w:szCs w:val="20"/>
        </w:rPr>
        <w:t xml:space="preserve"> </w:t>
      </w:r>
      <w:r w:rsidRPr="00B004EE">
        <w:rPr>
          <w:rFonts w:ascii="Tahoma" w:hAnsi="Tahoma" w:cs="Tahoma"/>
          <w:sz w:val="20"/>
          <w:szCs w:val="20"/>
        </w:rPr>
        <w:t>l'approbation</w:t>
      </w:r>
      <w:r w:rsidR="00DB1635" w:rsidRPr="00B004EE">
        <w:rPr>
          <w:rFonts w:ascii="Tahoma" w:hAnsi="Tahoma" w:cs="Tahoma"/>
          <w:w w:val="93"/>
          <w:sz w:val="20"/>
          <w:szCs w:val="20"/>
        </w:rPr>
        <w:t xml:space="preserve"> </w:t>
      </w:r>
      <w:r w:rsidRPr="00B004EE">
        <w:rPr>
          <w:rFonts w:ascii="Tahoma" w:hAnsi="Tahoma" w:cs="Tahoma"/>
          <w:sz w:val="20"/>
          <w:szCs w:val="20"/>
        </w:rPr>
        <w:t>préalable</w:t>
      </w:r>
      <w:r w:rsidR="00DB1635" w:rsidRPr="00B004EE">
        <w:rPr>
          <w:rFonts w:ascii="Tahoma" w:hAnsi="Tahoma" w:cs="Tahoma"/>
          <w:spacing w:val="-35"/>
          <w:sz w:val="20"/>
          <w:szCs w:val="20"/>
        </w:rPr>
        <w:t xml:space="preserve"> </w:t>
      </w:r>
      <w:r w:rsidRPr="00B004EE">
        <w:rPr>
          <w:rFonts w:ascii="Tahoma" w:hAnsi="Tahoma" w:cs="Tahoma"/>
          <w:sz w:val="20"/>
          <w:szCs w:val="20"/>
        </w:rPr>
        <w:t>du</w:t>
      </w:r>
      <w:r w:rsidR="00DB1635" w:rsidRPr="00B004EE">
        <w:rPr>
          <w:rFonts w:ascii="Tahoma" w:hAnsi="Tahoma" w:cs="Tahoma"/>
          <w:spacing w:val="-36"/>
          <w:sz w:val="20"/>
          <w:szCs w:val="20"/>
        </w:rPr>
        <w:t xml:space="preserve"> </w:t>
      </w:r>
      <w:r w:rsidRPr="00B004EE">
        <w:rPr>
          <w:rFonts w:ascii="Tahoma" w:hAnsi="Tahoma" w:cs="Tahoma"/>
          <w:sz w:val="20"/>
          <w:szCs w:val="20"/>
        </w:rPr>
        <w:t>ministre</w:t>
      </w:r>
      <w:r w:rsidR="00DB1635" w:rsidRPr="00B004EE">
        <w:rPr>
          <w:rFonts w:ascii="Tahoma" w:hAnsi="Tahoma" w:cs="Tahoma"/>
          <w:spacing w:val="-36"/>
          <w:sz w:val="20"/>
          <w:szCs w:val="20"/>
        </w:rPr>
        <w:t xml:space="preserve"> </w:t>
      </w:r>
      <w:r w:rsidRPr="00B004EE">
        <w:rPr>
          <w:rFonts w:ascii="Tahoma" w:hAnsi="Tahoma" w:cs="Tahoma"/>
          <w:sz w:val="20"/>
          <w:szCs w:val="20"/>
        </w:rPr>
        <w:t>chargé</w:t>
      </w:r>
      <w:r w:rsidR="00DB1635" w:rsidRPr="00B004EE">
        <w:rPr>
          <w:rFonts w:ascii="Tahoma" w:hAnsi="Tahoma" w:cs="Tahoma"/>
          <w:spacing w:val="-36"/>
          <w:sz w:val="20"/>
          <w:szCs w:val="20"/>
        </w:rPr>
        <w:t xml:space="preserve"> </w:t>
      </w:r>
      <w:r w:rsidRPr="00B004EE">
        <w:rPr>
          <w:rFonts w:ascii="Tahoma" w:hAnsi="Tahoma" w:cs="Tahoma"/>
          <w:sz w:val="20"/>
          <w:szCs w:val="20"/>
        </w:rPr>
        <w:t>des</w:t>
      </w:r>
      <w:r w:rsidR="00DB1635" w:rsidRPr="00B004EE">
        <w:rPr>
          <w:rFonts w:ascii="Tahoma" w:hAnsi="Tahoma" w:cs="Tahoma"/>
          <w:spacing w:val="-36"/>
          <w:sz w:val="20"/>
          <w:szCs w:val="20"/>
        </w:rPr>
        <w:t xml:space="preserve"> </w:t>
      </w:r>
      <w:r w:rsidRPr="00B004EE">
        <w:rPr>
          <w:rFonts w:ascii="Tahoma" w:hAnsi="Tahoma" w:cs="Tahoma"/>
          <w:sz w:val="20"/>
          <w:szCs w:val="20"/>
        </w:rPr>
        <w:t>pêches.</w:t>
      </w:r>
    </w:p>
    <w:p w14:paraId="7501C584" w14:textId="77777777" w:rsidR="001E7C3C" w:rsidRPr="00B004EE" w:rsidRDefault="001E7C3C" w:rsidP="00B004EE">
      <w:pPr>
        <w:rPr>
          <w:rFonts w:ascii="Tahoma" w:eastAsia="American Typewriter" w:hAnsi="Tahoma" w:cs="Tahoma"/>
          <w:sz w:val="20"/>
          <w:szCs w:val="20"/>
        </w:rPr>
      </w:pPr>
    </w:p>
    <w:p w14:paraId="60034C7E" w14:textId="40F33D71" w:rsidR="001E7C3C" w:rsidRPr="00B004EE" w:rsidRDefault="001E7C3C" w:rsidP="00B004EE">
      <w:pPr>
        <w:pStyle w:val="Corpsdetexte"/>
        <w:ind w:right="158"/>
        <w:rPr>
          <w:rFonts w:ascii="Tahoma" w:hAnsi="Tahoma" w:cs="Tahoma"/>
          <w:sz w:val="20"/>
          <w:szCs w:val="20"/>
        </w:rPr>
      </w:pPr>
      <w:r w:rsidRPr="00B004EE">
        <w:rPr>
          <w:rFonts w:ascii="Tahoma" w:hAnsi="Tahoma" w:cs="Tahoma"/>
          <w:sz w:val="20"/>
          <w:szCs w:val="20"/>
        </w:rPr>
        <w:t>Un</w:t>
      </w:r>
      <w:r w:rsidR="00DB1635" w:rsidRPr="00B004EE">
        <w:rPr>
          <w:rFonts w:ascii="Tahoma" w:hAnsi="Tahoma" w:cs="Tahoma"/>
          <w:spacing w:val="-13"/>
          <w:sz w:val="20"/>
          <w:szCs w:val="20"/>
        </w:rPr>
        <w:t xml:space="preserve"> </w:t>
      </w:r>
      <w:r w:rsidRPr="00B004EE">
        <w:rPr>
          <w:rFonts w:ascii="Tahoma" w:hAnsi="Tahoma" w:cs="Tahoma"/>
          <w:sz w:val="20"/>
          <w:szCs w:val="20"/>
        </w:rPr>
        <w:t>décret</w:t>
      </w:r>
      <w:r w:rsidR="00DB1635" w:rsidRPr="00B004EE">
        <w:rPr>
          <w:rFonts w:ascii="Tahoma" w:hAnsi="Tahoma" w:cs="Tahoma"/>
          <w:spacing w:val="-12"/>
          <w:sz w:val="20"/>
          <w:szCs w:val="20"/>
        </w:rPr>
        <w:t xml:space="preserve"> </w:t>
      </w:r>
      <w:r w:rsidRPr="00B004EE">
        <w:rPr>
          <w:rFonts w:ascii="Tahoma" w:hAnsi="Tahoma" w:cs="Tahoma"/>
          <w:sz w:val="20"/>
          <w:szCs w:val="20"/>
        </w:rPr>
        <w:t>pris</w:t>
      </w:r>
      <w:r w:rsidR="00DB1635" w:rsidRPr="00B004EE">
        <w:rPr>
          <w:rFonts w:ascii="Tahoma" w:hAnsi="Tahoma" w:cs="Tahoma"/>
          <w:spacing w:val="-13"/>
          <w:sz w:val="20"/>
          <w:szCs w:val="20"/>
        </w:rPr>
        <w:t xml:space="preserve"> </w:t>
      </w:r>
      <w:r w:rsidRPr="00B004EE">
        <w:rPr>
          <w:rFonts w:ascii="Tahoma" w:hAnsi="Tahoma" w:cs="Tahoma"/>
          <w:sz w:val="20"/>
          <w:szCs w:val="20"/>
        </w:rPr>
        <w:t>en</w:t>
      </w:r>
      <w:r w:rsidR="00DB1635" w:rsidRPr="00B004EE">
        <w:rPr>
          <w:rFonts w:ascii="Tahoma" w:hAnsi="Tahoma" w:cs="Tahoma"/>
          <w:spacing w:val="-13"/>
          <w:sz w:val="20"/>
          <w:szCs w:val="20"/>
        </w:rPr>
        <w:t xml:space="preserve"> </w:t>
      </w:r>
      <w:r w:rsidRPr="00B004EE">
        <w:rPr>
          <w:rFonts w:ascii="Tahoma" w:hAnsi="Tahoma" w:cs="Tahoma"/>
          <w:sz w:val="20"/>
          <w:szCs w:val="20"/>
        </w:rPr>
        <w:t>Conseil</w:t>
      </w:r>
      <w:r w:rsidR="00DB1635" w:rsidRPr="00B004EE">
        <w:rPr>
          <w:rFonts w:ascii="Tahoma" w:hAnsi="Tahoma" w:cs="Tahoma"/>
          <w:spacing w:val="-14"/>
          <w:sz w:val="20"/>
          <w:szCs w:val="20"/>
        </w:rPr>
        <w:t xml:space="preserve"> </w:t>
      </w:r>
      <w:r w:rsidRPr="00B004EE">
        <w:rPr>
          <w:rFonts w:ascii="Tahoma" w:hAnsi="Tahoma" w:cs="Tahoma"/>
          <w:sz w:val="20"/>
          <w:szCs w:val="20"/>
        </w:rPr>
        <w:t>des</w:t>
      </w:r>
      <w:r w:rsidR="00DB1635" w:rsidRPr="00B004EE">
        <w:rPr>
          <w:rFonts w:ascii="Tahoma" w:hAnsi="Tahoma" w:cs="Tahoma"/>
          <w:spacing w:val="-15"/>
          <w:sz w:val="20"/>
          <w:szCs w:val="20"/>
        </w:rPr>
        <w:t xml:space="preserve"> </w:t>
      </w:r>
      <w:r w:rsidRPr="00B004EE">
        <w:rPr>
          <w:rFonts w:ascii="Tahoma" w:hAnsi="Tahoma" w:cs="Tahoma"/>
          <w:sz w:val="20"/>
          <w:szCs w:val="20"/>
        </w:rPr>
        <w:t>ministres</w:t>
      </w:r>
      <w:r w:rsidR="00DB1635" w:rsidRPr="00B004EE">
        <w:rPr>
          <w:rFonts w:ascii="Tahoma" w:hAnsi="Tahoma" w:cs="Tahoma"/>
          <w:spacing w:val="-15"/>
          <w:sz w:val="20"/>
          <w:szCs w:val="20"/>
        </w:rPr>
        <w:t xml:space="preserve"> </w:t>
      </w:r>
      <w:r w:rsidRPr="00B004EE">
        <w:rPr>
          <w:rFonts w:ascii="Tahoma" w:hAnsi="Tahoma" w:cs="Tahoma"/>
          <w:sz w:val="20"/>
          <w:szCs w:val="20"/>
        </w:rPr>
        <w:t>sur</w:t>
      </w:r>
      <w:r w:rsidR="00DB1635" w:rsidRPr="00B004EE">
        <w:rPr>
          <w:rFonts w:ascii="Tahoma" w:hAnsi="Tahoma" w:cs="Tahoma"/>
          <w:spacing w:val="-15"/>
          <w:sz w:val="20"/>
          <w:szCs w:val="20"/>
        </w:rPr>
        <w:t xml:space="preserve"> </w:t>
      </w:r>
      <w:r w:rsidRPr="00B004EE">
        <w:rPr>
          <w:rFonts w:ascii="Tahoma" w:hAnsi="Tahoma" w:cs="Tahoma"/>
          <w:sz w:val="20"/>
          <w:szCs w:val="20"/>
        </w:rPr>
        <w:t>rapport</w:t>
      </w:r>
      <w:r w:rsidR="00DB1635" w:rsidRPr="00B004EE">
        <w:rPr>
          <w:rFonts w:ascii="Tahoma" w:hAnsi="Tahoma" w:cs="Tahoma"/>
          <w:spacing w:val="-14"/>
          <w:sz w:val="20"/>
          <w:szCs w:val="20"/>
        </w:rPr>
        <w:t xml:space="preserve"> </w:t>
      </w:r>
      <w:r w:rsidRPr="00B004EE">
        <w:rPr>
          <w:rFonts w:ascii="Tahoma" w:hAnsi="Tahoma" w:cs="Tahoma"/>
          <w:sz w:val="20"/>
          <w:szCs w:val="20"/>
        </w:rPr>
        <w:t>du</w:t>
      </w:r>
      <w:r w:rsidR="00DB1635" w:rsidRPr="00B004EE">
        <w:rPr>
          <w:rFonts w:ascii="Tahoma" w:hAnsi="Tahoma" w:cs="Tahoma"/>
          <w:spacing w:val="-14"/>
          <w:sz w:val="20"/>
          <w:szCs w:val="20"/>
        </w:rPr>
        <w:t xml:space="preserve"> </w:t>
      </w:r>
      <w:r w:rsidRPr="00B004EE">
        <w:rPr>
          <w:rFonts w:ascii="Tahoma" w:hAnsi="Tahoma" w:cs="Tahoma"/>
          <w:sz w:val="20"/>
          <w:szCs w:val="20"/>
        </w:rPr>
        <w:t>ministre</w:t>
      </w:r>
      <w:r w:rsidR="00DB1635" w:rsidRPr="00B004EE">
        <w:rPr>
          <w:rFonts w:ascii="Tahoma" w:hAnsi="Tahoma" w:cs="Tahoma"/>
          <w:spacing w:val="-14"/>
          <w:sz w:val="20"/>
          <w:szCs w:val="20"/>
        </w:rPr>
        <w:t xml:space="preserve"> </w:t>
      </w:r>
      <w:r w:rsidRPr="00B004EE">
        <w:rPr>
          <w:rFonts w:ascii="Tahoma" w:hAnsi="Tahoma" w:cs="Tahoma"/>
          <w:sz w:val="20"/>
          <w:szCs w:val="20"/>
        </w:rPr>
        <w:t>chargé</w:t>
      </w:r>
      <w:r w:rsidR="00DB1635" w:rsidRPr="00B004EE">
        <w:rPr>
          <w:rFonts w:ascii="Tahoma" w:hAnsi="Tahoma" w:cs="Tahoma"/>
          <w:spacing w:val="-14"/>
          <w:sz w:val="20"/>
          <w:szCs w:val="20"/>
        </w:rPr>
        <w:t xml:space="preserve"> </w:t>
      </w:r>
      <w:r w:rsidRPr="00B004EE">
        <w:rPr>
          <w:rFonts w:ascii="Tahoma" w:hAnsi="Tahoma" w:cs="Tahoma"/>
          <w:sz w:val="20"/>
          <w:szCs w:val="20"/>
        </w:rPr>
        <w:t>des</w:t>
      </w:r>
      <w:r w:rsidR="00DB1635" w:rsidRPr="00B004EE">
        <w:rPr>
          <w:rFonts w:ascii="Tahoma" w:hAnsi="Tahoma" w:cs="Tahoma"/>
          <w:spacing w:val="-15"/>
          <w:sz w:val="20"/>
          <w:szCs w:val="20"/>
        </w:rPr>
        <w:t xml:space="preserve"> </w:t>
      </w:r>
      <w:r w:rsidRPr="00B004EE">
        <w:rPr>
          <w:rFonts w:ascii="Tahoma" w:hAnsi="Tahoma" w:cs="Tahoma"/>
          <w:sz w:val="20"/>
          <w:szCs w:val="20"/>
        </w:rPr>
        <w:t>pêches</w:t>
      </w:r>
      <w:r w:rsidR="00DB1635" w:rsidRPr="00B004EE">
        <w:rPr>
          <w:rFonts w:ascii="Tahoma" w:hAnsi="Tahoma" w:cs="Tahoma"/>
          <w:w w:val="94"/>
          <w:sz w:val="20"/>
          <w:szCs w:val="20"/>
        </w:rPr>
        <w:t xml:space="preserve"> </w:t>
      </w:r>
      <w:r w:rsidRPr="00B004EE">
        <w:rPr>
          <w:rFonts w:ascii="Tahoma" w:hAnsi="Tahoma" w:cs="Tahoma"/>
          <w:sz w:val="20"/>
          <w:szCs w:val="20"/>
        </w:rPr>
        <w:t>fixera</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normes</w:t>
      </w:r>
      <w:r w:rsidR="00DB1635" w:rsidRPr="00B004EE">
        <w:rPr>
          <w:rFonts w:ascii="Tahoma" w:hAnsi="Tahoma" w:cs="Tahoma"/>
          <w:sz w:val="20"/>
          <w:szCs w:val="20"/>
        </w:rPr>
        <w:t xml:space="preserve"> </w:t>
      </w:r>
      <w:r w:rsidRPr="00B004EE">
        <w:rPr>
          <w:rFonts w:ascii="Tahoma" w:hAnsi="Tahoma" w:cs="Tahoma"/>
          <w:sz w:val="20"/>
          <w:szCs w:val="20"/>
        </w:rPr>
        <w:t>d'hygiène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salubrité</w:t>
      </w:r>
      <w:r w:rsidR="00DB1635" w:rsidRPr="00B004EE">
        <w:rPr>
          <w:rFonts w:ascii="Tahoma" w:hAnsi="Tahoma" w:cs="Tahoma"/>
          <w:sz w:val="20"/>
          <w:szCs w:val="20"/>
        </w:rPr>
        <w:t xml:space="preserve"> </w:t>
      </w:r>
      <w:r w:rsidRPr="00B004EE">
        <w:rPr>
          <w:rFonts w:ascii="Tahoma" w:hAnsi="Tahoma" w:cs="Tahoma"/>
          <w:sz w:val="20"/>
          <w:szCs w:val="20"/>
        </w:rPr>
        <w:t>relatives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construction,</w:t>
      </w:r>
      <w:r w:rsidR="00DB1635" w:rsidRPr="00B004EE">
        <w:rPr>
          <w:rFonts w:ascii="Tahoma" w:hAnsi="Tahoma" w:cs="Tahoma"/>
          <w:spacing w:val="27"/>
          <w:sz w:val="20"/>
          <w:szCs w:val="20"/>
        </w:rPr>
        <w:t xml:space="preserve"> </w:t>
      </w:r>
      <w:r w:rsidRPr="00B004EE">
        <w:rPr>
          <w:rFonts w:ascii="Tahoma" w:hAnsi="Tahoma" w:cs="Tahoma"/>
          <w:sz w:val="20"/>
          <w:szCs w:val="20"/>
        </w:rPr>
        <w:t>à</w:t>
      </w:r>
      <w:r w:rsidR="00DB1635" w:rsidRPr="00B004EE">
        <w:rPr>
          <w:rFonts w:ascii="Tahoma" w:hAnsi="Tahoma" w:cs="Tahoma"/>
          <w:w w:val="98"/>
          <w:sz w:val="20"/>
          <w:szCs w:val="20"/>
        </w:rPr>
        <w:t xml:space="preserve"> </w:t>
      </w:r>
      <w:r w:rsidRPr="00B004EE">
        <w:rPr>
          <w:rFonts w:ascii="Tahoma" w:hAnsi="Tahoma" w:cs="Tahoma"/>
          <w:sz w:val="20"/>
          <w:szCs w:val="20"/>
        </w:rPr>
        <w:t>l'équipement,</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fonctionnement</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production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établissements</w:t>
      </w:r>
      <w:r w:rsidR="00DB1635" w:rsidRPr="00B004EE">
        <w:rPr>
          <w:rFonts w:ascii="Tahoma" w:hAnsi="Tahoma" w:cs="Tahoma"/>
          <w:spacing w:val="57"/>
          <w:sz w:val="20"/>
          <w:szCs w:val="20"/>
        </w:rPr>
        <w:t xml:space="preserve"> </w:t>
      </w:r>
      <w:r w:rsidRPr="00B004EE">
        <w:rPr>
          <w:rFonts w:ascii="Tahoma" w:hAnsi="Tahoma" w:cs="Tahoma"/>
          <w:sz w:val="20"/>
          <w:szCs w:val="20"/>
        </w:rPr>
        <w:t>de</w:t>
      </w:r>
      <w:r w:rsidR="00DB1635" w:rsidRPr="00B004EE">
        <w:rPr>
          <w:rFonts w:ascii="Tahoma" w:hAnsi="Tahoma" w:cs="Tahoma"/>
          <w:w w:val="94"/>
          <w:sz w:val="20"/>
          <w:szCs w:val="20"/>
        </w:rPr>
        <w:t xml:space="preserve"> </w:t>
      </w:r>
      <w:r w:rsidRPr="00B004EE">
        <w:rPr>
          <w:rFonts w:ascii="Tahoma" w:hAnsi="Tahoma" w:cs="Tahoma"/>
          <w:sz w:val="20"/>
          <w:szCs w:val="20"/>
        </w:rPr>
        <w:t>traitement</w:t>
      </w:r>
      <w:r w:rsidR="00DB1635" w:rsidRPr="00B004EE">
        <w:rPr>
          <w:rFonts w:ascii="Tahoma" w:hAnsi="Tahoma" w:cs="Tahoma"/>
          <w:spacing w:val="32"/>
          <w:sz w:val="20"/>
          <w:szCs w:val="20"/>
        </w:rPr>
        <w:t xml:space="preserve"> </w:t>
      </w:r>
      <w:r w:rsidRPr="00B004EE">
        <w:rPr>
          <w:rFonts w:ascii="Tahoma" w:hAnsi="Tahoma" w:cs="Tahoma"/>
          <w:sz w:val="20"/>
          <w:szCs w:val="20"/>
        </w:rPr>
        <w:t>et</w:t>
      </w:r>
      <w:r w:rsidR="00DB1635" w:rsidRPr="00B004EE">
        <w:rPr>
          <w:rFonts w:ascii="Tahoma" w:hAnsi="Tahoma" w:cs="Tahoma"/>
          <w:spacing w:val="32"/>
          <w:sz w:val="20"/>
          <w:szCs w:val="20"/>
        </w:rPr>
        <w:t xml:space="preserve"> </w:t>
      </w:r>
      <w:r w:rsidRPr="00B004EE">
        <w:rPr>
          <w:rFonts w:ascii="Tahoma" w:hAnsi="Tahoma" w:cs="Tahoma"/>
          <w:sz w:val="20"/>
          <w:szCs w:val="20"/>
        </w:rPr>
        <w:t>de</w:t>
      </w:r>
      <w:r w:rsidR="00DB1635" w:rsidRPr="00B004EE">
        <w:rPr>
          <w:rFonts w:ascii="Tahoma" w:hAnsi="Tahoma" w:cs="Tahoma"/>
          <w:spacing w:val="31"/>
          <w:sz w:val="20"/>
          <w:szCs w:val="20"/>
        </w:rPr>
        <w:t xml:space="preserve"> </w:t>
      </w:r>
      <w:r w:rsidRPr="00B004EE">
        <w:rPr>
          <w:rFonts w:ascii="Tahoma" w:hAnsi="Tahoma" w:cs="Tahoma"/>
          <w:sz w:val="20"/>
          <w:szCs w:val="20"/>
        </w:rPr>
        <w:t>transformation</w:t>
      </w:r>
      <w:r w:rsidR="00DB1635" w:rsidRPr="00B004EE">
        <w:rPr>
          <w:rFonts w:ascii="Tahoma" w:hAnsi="Tahoma" w:cs="Tahoma"/>
          <w:spacing w:val="31"/>
          <w:sz w:val="20"/>
          <w:szCs w:val="20"/>
        </w:rPr>
        <w:t xml:space="preserve"> </w:t>
      </w:r>
      <w:r w:rsidRPr="00B004EE">
        <w:rPr>
          <w:rFonts w:ascii="Tahoma" w:hAnsi="Tahoma" w:cs="Tahoma"/>
          <w:sz w:val="20"/>
          <w:szCs w:val="20"/>
        </w:rPr>
        <w:t>de</w:t>
      </w:r>
      <w:r w:rsidR="00DB1635" w:rsidRPr="00B004EE">
        <w:rPr>
          <w:rFonts w:ascii="Tahoma" w:hAnsi="Tahoma" w:cs="Tahoma"/>
          <w:spacing w:val="31"/>
          <w:sz w:val="20"/>
          <w:szCs w:val="20"/>
        </w:rPr>
        <w:t xml:space="preserve"> </w:t>
      </w:r>
      <w:r w:rsidRPr="00B004EE">
        <w:rPr>
          <w:rFonts w:ascii="Tahoma" w:hAnsi="Tahoma" w:cs="Tahoma"/>
          <w:sz w:val="20"/>
          <w:szCs w:val="20"/>
        </w:rPr>
        <w:t>produits</w:t>
      </w:r>
      <w:r w:rsidR="00DB1635" w:rsidRPr="00B004EE">
        <w:rPr>
          <w:rFonts w:ascii="Tahoma" w:hAnsi="Tahoma" w:cs="Tahoma"/>
          <w:spacing w:val="31"/>
          <w:sz w:val="20"/>
          <w:szCs w:val="20"/>
        </w:rPr>
        <w:t xml:space="preserve"> </w:t>
      </w:r>
      <w:r w:rsidRPr="00B004EE">
        <w:rPr>
          <w:rFonts w:ascii="Tahoma" w:hAnsi="Tahoma" w:cs="Tahoma"/>
          <w:sz w:val="20"/>
          <w:szCs w:val="20"/>
        </w:rPr>
        <w:t>de</w:t>
      </w:r>
      <w:r w:rsidR="00DB1635" w:rsidRPr="00B004EE">
        <w:rPr>
          <w:rFonts w:ascii="Tahoma" w:hAnsi="Tahoma" w:cs="Tahoma"/>
          <w:spacing w:val="31"/>
          <w:sz w:val="20"/>
          <w:szCs w:val="20"/>
        </w:rPr>
        <w:t xml:space="preserve"> </w:t>
      </w:r>
      <w:r w:rsidRPr="00B004EE">
        <w:rPr>
          <w:rFonts w:ascii="Tahoma" w:hAnsi="Tahoma" w:cs="Tahoma"/>
          <w:sz w:val="20"/>
          <w:szCs w:val="20"/>
        </w:rPr>
        <w:t>pêche</w:t>
      </w:r>
      <w:r w:rsidR="00DB1635" w:rsidRPr="00B004EE">
        <w:rPr>
          <w:rFonts w:ascii="Tahoma" w:hAnsi="Tahoma" w:cs="Tahoma"/>
          <w:spacing w:val="31"/>
          <w:sz w:val="20"/>
          <w:szCs w:val="20"/>
        </w:rPr>
        <w:t xml:space="preserve"> </w:t>
      </w:r>
      <w:r w:rsidRPr="00B004EE">
        <w:rPr>
          <w:rFonts w:ascii="Tahoma" w:hAnsi="Tahoma" w:cs="Tahoma"/>
          <w:sz w:val="20"/>
          <w:szCs w:val="20"/>
        </w:rPr>
        <w:t>et</w:t>
      </w:r>
      <w:r w:rsidR="00DB1635" w:rsidRPr="00B004EE">
        <w:rPr>
          <w:rFonts w:ascii="Tahoma" w:hAnsi="Tahoma" w:cs="Tahoma"/>
          <w:spacing w:val="30"/>
          <w:sz w:val="20"/>
          <w:szCs w:val="20"/>
        </w:rPr>
        <w:t xml:space="preserve"> </w:t>
      </w:r>
      <w:r w:rsidRPr="00B004EE">
        <w:rPr>
          <w:rFonts w:ascii="Tahoma" w:hAnsi="Tahoma" w:cs="Tahoma"/>
          <w:sz w:val="20"/>
          <w:szCs w:val="20"/>
        </w:rPr>
        <w:t>d'aquaculture,</w:t>
      </w:r>
      <w:r w:rsidR="00DB1635" w:rsidRPr="00B004EE">
        <w:rPr>
          <w:rFonts w:ascii="Tahoma" w:hAnsi="Tahoma" w:cs="Tahoma"/>
          <w:spacing w:val="30"/>
          <w:sz w:val="20"/>
          <w:szCs w:val="20"/>
        </w:rPr>
        <w:t xml:space="preserve"> </w:t>
      </w:r>
      <w:r w:rsidRPr="00B004EE">
        <w:rPr>
          <w:rFonts w:ascii="Tahoma" w:hAnsi="Tahoma" w:cs="Tahoma"/>
          <w:sz w:val="20"/>
          <w:szCs w:val="20"/>
        </w:rPr>
        <w:t>et</w:t>
      </w:r>
      <w:r w:rsidR="00DB1635" w:rsidRPr="00B004EE">
        <w:rPr>
          <w:rFonts w:ascii="Tahoma" w:hAnsi="Tahoma" w:cs="Tahoma"/>
          <w:spacing w:val="30"/>
          <w:sz w:val="20"/>
          <w:szCs w:val="20"/>
        </w:rPr>
        <w:t xml:space="preserve"> </w:t>
      </w:r>
      <w:r w:rsidRPr="00B004EE">
        <w:rPr>
          <w:rFonts w:ascii="Tahoma" w:hAnsi="Tahoma" w:cs="Tahoma"/>
          <w:sz w:val="20"/>
          <w:szCs w:val="20"/>
        </w:rPr>
        <w:t>aux</w:t>
      </w:r>
      <w:r w:rsidR="00DB1635" w:rsidRPr="00B004EE">
        <w:rPr>
          <w:rFonts w:ascii="Tahoma" w:hAnsi="Tahoma" w:cs="Tahoma"/>
          <w:w w:val="91"/>
          <w:sz w:val="20"/>
          <w:szCs w:val="20"/>
        </w:rPr>
        <w:t xml:space="preserve"> </w:t>
      </w:r>
      <w:r w:rsidRPr="00B004EE">
        <w:rPr>
          <w:rFonts w:ascii="Tahoma" w:hAnsi="Tahoma" w:cs="Tahoma"/>
          <w:w w:val="95"/>
          <w:sz w:val="20"/>
          <w:szCs w:val="20"/>
        </w:rPr>
        <w:t>conditions</w:t>
      </w:r>
      <w:r w:rsidR="00DB1635" w:rsidRPr="00B004EE">
        <w:rPr>
          <w:rFonts w:ascii="Tahoma" w:hAnsi="Tahoma" w:cs="Tahoma"/>
          <w:w w:val="95"/>
          <w:sz w:val="20"/>
          <w:szCs w:val="20"/>
        </w:rPr>
        <w:t xml:space="preserve"> </w:t>
      </w:r>
      <w:r w:rsidRPr="00B004EE">
        <w:rPr>
          <w:rFonts w:ascii="Tahoma" w:hAnsi="Tahoma" w:cs="Tahoma"/>
          <w:w w:val="95"/>
          <w:sz w:val="20"/>
          <w:szCs w:val="20"/>
        </w:rPr>
        <w:t>de</w:t>
      </w:r>
      <w:r w:rsidR="00DB1635" w:rsidRPr="00B004EE">
        <w:rPr>
          <w:rFonts w:ascii="Tahoma" w:hAnsi="Tahoma" w:cs="Tahoma"/>
          <w:w w:val="95"/>
          <w:sz w:val="20"/>
          <w:szCs w:val="20"/>
        </w:rPr>
        <w:t xml:space="preserve"> </w:t>
      </w:r>
      <w:r w:rsidRPr="00B004EE">
        <w:rPr>
          <w:rFonts w:ascii="Tahoma" w:hAnsi="Tahoma" w:cs="Tahoma"/>
          <w:w w:val="95"/>
          <w:sz w:val="20"/>
          <w:szCs w:val="20"/>
        </w:rPr>
        <w:t>contrôle</w:t>
      </w:r>
      <w:r w:rsidR="00DB1635" w:rsidRPr="00B004EE">
        <w:rPr>
          <w:rFonts w:ascii="Tahoma" w:hAnsi="Tahoma" w:cs="Tahoma"/>
          <w:w w:val="95"/>
          <w:sz w:val="20"/>
          <w:szCs w:val="20"/>
        </w:rPr>
        <w:t xml:space="preserve"> </w:t>
      </w:r>
      <w:r w:rsidRPr="00B004EE">
        <w:rPr>
          <w:rFonts w:ascii="Tahoma" w:hAnsi="Tahoma" w:cs="Tahoma"/>
          <w:w w:val="95"/>
          <w:sz w:val="20"/>
          <w:szCs w:val="20"/>
        </w:rPr>
        <w:t>et</w:t>
      </w:r>
      <w:r w:rsidR="00DB1635" w:rsidRPr="00B004EE">
        <w:rPr>
          <w:rFonts w:ascii="Tahoma" w:hAnsi="Tahoma" w:cs="Tahoma"/>
          <w:w w:val="95"/>
          <w:sz w:val="20"/>
          <w:szCs w:val="20"/>
        </w:rPr>
        <w:t xml:space="preserve"> </w:t>
      </w:r>
      <w:r w:rsidRPr="00B004EE">
        <w:rPr>
          <w:rFonts w:ascii="Tahoma" w:hAnsi="Tahoma" w:cs="Tahoma"/>
          <w:w w:val="95"/>
          <w:sz w:val="20"/>
          <w:szCs w:val="20"/>
        </w:rPr>
        <w:t>supervision</w:t>
      </w:r>
      <w:r w:rsidR="00DB1635" w:rsidRPr="00B004EE">
        <w:rPr>
          <w:rFonts w:ascii="Tahoma" w:hAnsi="Tahoma" w:cs="Tahoma"/>
          <w:w w:val="95"/>
          <w:sz w:val="20"/>
          <w:szCs w:val="20"/>
        </w:rPr>
        <w:t xml:space="preserve"> </w:t>
      </w:r>
      <w:r w:rsidRPr="00B004EE">
        <w:rPr>
          <w:rFonts w:ascii="Tahoma" w:hAnsi="Tahoma" w:cs="Tahoma"/>
          <w:w w:val="95"/>
          <w:sz w:val="20"/>
          <w:szCs w:val="20"/>
        </w:rPr>
        <w:t>des</w:t>
      </w:r>
      <w:r w:rsidR="00DB1635" w:rsidRPr="00B004EE">
        <w:rPr>
          <w:rFonts w:ascii="Tahoma" w:hAnsi="Tahoma" w:cs="Tahoma"/>
          <w:spacing w:val="23"/>
          <w:w w:val="95"/>
          <w:sz w:val="20"/>
          <w:szCs w:val="20"/>
        </w:rPr>
        <w:t xml:space="preserve"> </w:t>
      </w:r>
      <w:r w:rsidRPr="00B004EE">
        <w:rPr>
          <w:rFonts w:ascii="Tahoma" w:hAnsi="Tahoma" w:cs="Tahoma"/>
          <w:w w:val="95"/>
          <w:sz w:val="20"/>
          <w:szCs w:val="20"/>
        </w:rPr>
        <w:t>activités.</w:t>
      </w:r>
    </w:p>
    <w:p w14:paraId="799A5B35" w14:textId="77777777" w:rsidR="001E7C3C" w:rsidRPr="00B004EE" w:rsidRDefault="001E7C3C" w:rsidP="00B004EE">
      <w:pPr>
        <w:rPr>
          <w:rFonts w:ascii="Tahoma" w:eastAsia="American Typewriter" w:hAnsi="Tahoma" w:cs="Tahoma"/>
          <w:sz w:val="20"/>
          <w:szCs w:val="20"/>
        </w:rPr>
      </w:pPr>
    </w:p>
    <w:p w14:paraId="7B5F6323" w14:textId="342A2BB1" w:rsidR="001E7C3C" w:rsidRPr="00B004EE" w:rsidRDefault="001E7C3C" w:rsidP="00B004EE">
      <w:pPr>
        <w:ind w:right="164" w:hanging="4"/>
        <w:jc w:val="center"/>
        <w:rPr>
          <w:rFonts w:ascii="Tahoma" w:hAnsi="Tahoma" w:cs="Tahoma"/>
          <w:b/>
          <w:spacing w:val="1"/>
          <w:w w:val="113"/>
          <w:sz w:val="20"/>
          <w:szCs w:val="20"/>
        </w:rPr>
      </w:pPr>
      <w:bookmarkStart w:id="93" w:name="_Toc16279079"/>
      <w:bookmarkStart w:id="94" w:name="_Toc16279448"/>
      <w:r w:rsidRPr="00B004EE">
        <w:rPr>
          <w:rFonts w:ascii="Tahoma" w:hAnsi="Tahoma" w:cs="Tahoma"/>
          <w:b/>
          <w:spacing w:val="1"/>
          <w:w w:val="113"/>
          <w:sz w:val="20"/>
          <w:szCs w:val="20"/>
        </w:rPr>
        <w:t>Section</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2</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Du</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contrôle</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des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établissements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de</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traitement</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et</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de</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transformation</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des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produits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de</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la</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pêche</w:t>
      </w:r>
      <w:bookmarkEnd w:id="93"/>
      <w:bookmarkEnd w:id="94"/>
    </w:p>
    <w:p w14:paraId="156B365F" w14:textId="77777777" w:rsidR="001E7C3C" w:rsidRPr="00B004EE" w:rsidRDefault="001E7C3C" w:rsidP="00B004EE">
      <w:pPr>
        <w:ind w:right="164" w:hanging="4"/>
        <w:jc w:val="center"/>
        <w:rPr>
          <w:rFonts w:ascii="Tahoma" w:hAnsi="Tahoma" w:cs="Tahoma"/>
          <w:b/>
          <w:spacing w:val="1"/>
          <w:w w:val="113"/>
          <w:sz w:val="20"/>
          <w:szCs w:val="20"/>
        </w:rPr>
      </w:pPr>
    </w:p>
    <w:p w14:paraId="4D118957" w14:textId="60642632" w:rsidR="001E7C3C" w:rsidRPr="00B004EE" w:rsidRDefault="001E7C3C" w:rsidP="00B004EE">
      <w:pPr>
        <w:pStyle w:val="Corpsdetexte"/>
        <w:ind w:right="161"/>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57</w:t>
      </w:r>
      <w:r w:rsidR="00DB1635" w:rsidRPr="00B004EE">
        <w:rPr>
          <w:rFonts w:ascii="Tahoma" w:hAnsi="Tahoma" w:cs="Tahoma"/>
          <w:bCs/>
          <w:sz w:val="20"/>
          <w:szCs w:val="20"/>
        </w:rPr>
        <w:t xml:space="preserve"> </w:t>
      </w:r>
      <w:r w:rsidRPr="00B004EE">
        <w:rPr>
          <w:rFonts w:ascii="Tahoma" w:hAnsi="Tahoma" w:cs="Tahoma"/>
          <w:bCs/>
          <w:sz w:val="20"/>
          <w:szCs w:val="20"/>
        </w:rPr>
        <w:t>:</w:t>
      </w:r>
      <w:r w:rsidR="00DB1635" w:rsidRPr="00B004EE">
        <w:rPr>
          <w:rFonts w:ascii="Tahoma" w:hAnsi="Tahoma" w:cs="Tahoma"/>
          <w:b/>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Ministre</w:t>
      </w:r>
      <w:r w:rsidR="00DB1635" w:rsidRPr="00B004EE">
        <w:rPr>
          <w:rFonts w:ascii="Tahoma" w:hAnsi="Tahoma" w:cs="Tahoma"/>
          <w:sz w:val="20"/>
          <w:szCs w:val="20"/>
        </w:rPr>
        <w:t xml:space="preserve"> </w:t>
      </w:r>
      <w:r w:rsidRPr="00B004EE">
        <w:rPr>
          <w:rFonts w:ascii="Tahoma" w:hAnsi="Tahoma" w:cs="Tahoma"/>
          <w:sz w:val="20"/>
          <w:szCs w:val="20"/>
        </w:rPr>
        <w:t>chargé</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l'autorité</w:t>
      </w:r>
      <w:r w:rsidR="00DB1635" w:rsidRPr="00B004EE">
        <w:rPr>
          <w:rFonts w:ascii="Tahoma" w:hAnsi="Tahoma" w:cs="Tahoma"/>
          <w:sz w:val="20"/>
          <w:szCs w:val="20"/>
        </w:rPr>
        <w:t xml:space="preserve"> </w:t>
      </w:r>
      <w:r w:rsidRPr="00B004EE">
        <w:rPr>
          <w:rFonts w:ascii="Tahoma" w:hAnsi="Tahoma" w:cs="Tahoma"/>
          <w:sz w:val="20"/>
          <w:szCs w:val="20"/>
        </w:rPr>
        <w:t>désignée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cet</w:t>
      </w:r>
      <w:r w:rsidR="00DB1635" w:rsidRPr="00B004EE">
        <w:rPr>
          <w:rFonts w:ascii="Tahoma" w:hAnsi="Tahoma" w:cs="Tahoma"/>
          <w:sz w:val="20"/>
          <w:szCs w:val="20"/>
        </w:rPr>
        <w:t xml:space="preserve"> </w:t>
      </w:r>
      <w:r w:rsidRPr="00B004EE">
        <w:rPr>
          <w:rFonts w:ascii="Tahoma" w:hAnsi="Tahoma" w:cs="Tahoma"/>
          <w:sz w:val="20"/>
          <w:szCs w:val="20"/>
        </w:rPr>
        <w:t>effet</w:t>
      </w:r>
      <w:r w:rsidR="00DB1635" w:rsidRPr="00B004EE">
        <w:rPr>
          <w:rFonts w:ascii="Tahoma" w:hAnsi="Tahoma" w:cs="Tahoma"/>
          <w:spacing w:val="14"/>
          <w:sz w:val="20"/>
          <w:szCs w:val="20"/>
        </w:rPr>
        <w:t xml:space="preserve"> </w:t>
      </w:r>
      <w:r w:rsidRPr="00B004EE">
        <w:rPr>
          <w:rFonts w:ascii="Tahoma" w:hAnsi="Tahoma" w:cs="Tahoma"/>
          <w:sz w:val="20"/>
          <w:szCs w:val="20"/>
        </w:rPr>
        <w:t>peut</w:t>
      </w:r>
      <w:r w:rsidR="00DB1635" w:rsidRPr="00B004EE">
        <w:rPr>
          <w:rFonts w:ascii="Tahoma" w:hAnsi="Tahoma" w:cs="Tahoma"/>
          <w:w w:val="96"/>
          <w:sz w:val="20"/>
          <w:szCs w:val="20"/>
        </w:rPr>
        <w:t xml:space="preserve"> </w:t>
      </w:r>
      <w:r w:rsidRPr="00B004EE">
        <w:rPr>
          <w:rFonts w:ascii="Tahoma" w:hAnsi="Tahoma" w:cs="Tahoma"/>
          <w:sz w:val="20"/>
          <w:szCs w:val="20"/>
        </w:rPr>
        <w:t>ordonner</w:t>
      </w:r>
      <w:r w:rsidR="00DB1635" w:rsidRPr="00B004EE">
        <w:rPr>
          <w:rFonts w:ascii="Tahoma" w:hAnsi="Tahoma" w:cs="Tahoma"/>
          <w:sz w:val="20"/>
          <w:szCs w:val="20"/>
        </w:rPr>
        <w:t xml:space="preserve"> </w:t>
      </w:r>
      <w:r w:rsidRPr="00B004EE">
        <w:rPr>
          <w:rFonts w:ascii="Tahoma" w:hAnsi="Tahoma" w:cs="Tahoma"/>
          <w:sz w:val="20"/>
          <w:szCs w:val="20"/>
        </w:rPr>
        <w:t>l'arrêt</w:t>
      </w:r>
      <w:r w:rsidR="00DB1635" w:rsidRPr="00B004EE">
        <w:rPr>
          <w:rFonts w:ascii="Tahoma" w:hAnsi="Tahoma" w:cs="Tahoma"/>
          <w:sz w:val="20"/>
          <w:szCs w:val="20"/>
        </w:rPr>
        <w:t xml:space="preserve"> </w:t>
      </w:r>
      <w:r w:rsidRPr="00B004EE">
        <w:rPr>
          <w:rFonts w:ascii="Tahoma" w:hAnsi="Tahoma" w:cs="Tahoma"/>
          <w:sz w:val="20"/>
          <w:szCs w:val="20"/>
        </w:rPr>
        <w:t>temporaire</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définitif</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activités</w:t>
      </w:r>
      <w:r w:rsidR="00DB1635" w:rsidRPr="00B004EE">
        <w:rPr>
          <w:rFonts w:ascii="Tahoma" w:hAnsi="Tahoma" w:cs="Tahoma"/>
          <w:sz w:val="20"/>
          <w:szCs w:val="20"/>
        </w:rPr>
        <w:t xml:space="preserve"> </w:t>
      </w:r>
      <w:r w:rsidRPr="00B004EE">
        <w:rPr>
          <w:rFonts w:ascii="Tahoma" w:hAnsi="Tahoma" w:cs="Tahoma"/>
          <w:sz w:val="20"/>
          <w:szCs w:val="20"/>
        </w:rPr>
        <w:t>d'un</w:t>
      </w:r>
      <w:r w:rsidR="00DB1635" w:rsidRPr="00B004EE">
        <w:rPr>
          <w:rFonts w:ascii="Tahoma" w:hAnsi="Tahoma" w:cs="Tahoma"/>
          <w:sz w:val="20"/>
          <w:szCs w:val="20"/>
        </w:rPr>
        <w:t xml:space="preserve"> </w:t>
      </w:r>
      <w:r w:rsidRPr="00B004EE">
        <w:rPr>
          <w:rFonts w:ascii="Tahoma" w:hAnsi="Tahoma" w:cs="Tahoma"/>
          <w:sz w:val="20"/>
          <w:szCs w:val="20"/>
        </w:rPr>
        <w:t>établissement</w:t>
      </w:r>
      <w:r w:rsidR="00DB1635" w:rsidRPr="00B004EE">
        <w:rPr>
          <w:rFonts w:ascii="Tahoma" w:hAnsi="Tahoma" w:cs="Tahoma"/>
          <w:spacing w:val="13"/>
          <w:sz w:val="20"/>
          <w:szCs w:val="20"/>
        </w:rPr>
        <w:t xml:space="preserve"> </w:t>
      </w:r>
      <w:r w:rsidRPr="00B004EE">
        <w:rPr>
          <w:rFonts w:ascii="Tahoma" w:hAnsi="Tahoma" w:cs="Tahoma"/>
          <w:sz w:val="20"/>
          <w:szCs w:val="20"/>
        </w:rPr>
        <w:t>de</w:t>
      </w:r>
      <w:r w:rsidR="00DB1635" w:rsidRPr="00B004EE">
        <w:rPr>
          <w:rFonts w:ascii="Tahoma" w:hAnsi="Tahoma" w:cs="Tahoma"/>
          <w:w w:val="94"/>
          <w:sz w:val="20"/>
          <w:szCs w:val="20"/>
        </w:rPr>
        <w:t xml:space="preserve"> </w:t>
      </w:r>
      <w:r w:rsidRPr="00B004EE">
        <w:rPr>
          <w:rFonts w:ascii="Tahoma" w:hAnsi="Tahoma" w:cs="Tahoma"/>
          <w:sz w:val="20"/>
          <w:szCs w:val="20"/>
        </w:rPr>
        <w:t>traitement</w:t>
      </w:r>
      <w:r w:rsidR="00DB1635" w:rsidRPr="00B004EE">
        <w:rPr>
          <w:rFonts w:ascii="Tahoma" w:hAnsi="Tahoma" w:cs="Tahoma"/>
          <w:spacing w:val="-21"/>
          <w:sz w:val="20"/>
          <w:szCs w:val="20"/>
        </w:rPr>
        <w:t xml:space="preserve"> </w:t>
      </w:r>
      <w:r w:rsidRPr="00B004EE">
        <w:rPr>
          <w:rFonts w:ascii="Tahoma" w:hAnsi="Tahoma" w:cs="Tahoma"/>
          <w:sz w:val="20"/>
          <w:szCs w:val="20"/>
        </w:rPr>
        <w:t>et</w:t>
      </w:r>
      <w:r w:rsidR="00DB1635" w:rsidRPr="00B004EE">
        <w:rPr>
          <w:rFonts w:ascii="Tahoma" w:hAnsi="Tahoma" w:cs="Tahoma"/>
          <w:spacing w:val="-21"/>
          <w:sz w:val="20"/>
          <w:szCs w:val="20"/>
        </w:rPr>
        <w:t xml:space="preserve"> </w:t>
      </w:r>
      <w:r w:rsidRPr="00B004EE">
        <w:rPr>
          <w:rFonts w:ascii="Tahoma" w:hAnsi="Tahoma" w:cs="Tahoma"/>
          <w:sz w:val="20"/>
          <w:szCs w:val="20"/>
        </w:rPr>
        <w:t>de</w:t>
      </w:r>
      <w:r w:rsidR="00DB1635" w:rsidRPr="00B004EE">
        <w:rPr>
          <w:rFonts w:ascii="Tahoma" w:hAnsi="Tahoma" w:cs="Tahoma"/>
          <w:spacing w:val="-22"/>
          <w:sz w:val="20"/>
          <w:szCs w:val="20"/>
        </w:rPr>
        <w:t xml:space="preserve"> </w:t>
      </w:r>
      <w:r w:rsidRPr="00B004EE">
        <w:rPr>
          <w:rFonts w:ascii="Tahoma" w:hAnsi="Tahoma" w:cs="Tahoma"/>
          <w:sz w:val="20"/>
          <w:szCs w:val="20"/>
        </w:rPr>
        <w:t>transformation</w:t>
      </w:r>
      <w:r w:rsidR="00DB1635" w:rsidRPr="00B004EE">
        <w:rPr>
          <w:rFonts w:ascii="Tahoma" w:hAnsi="Tahoma" w:cs="Tahoma"/>
          <w:spacing w:val="-22"/>
          <w:sz w:val="20"/>
          <w:szCs w:val="20"/>
        </w:rPr>
        <w:t xml:space="preserve"> </w:t>
      </w:r>
      <w:r w:rsidRPr="00B004EE">
        <w:rPr>
          <w:rFonts w:ascii="Tahoma" w:hAnsi="Tahoma" w:cs="Tahoma"/>
          <w:sz w:val="20"/>
          <w:szCs w:val="20"/>
        </w:rPr>
        <w:t>des</w:t>
      </w:r>
      <w:r w:rsidR="00DB1635" w:rsidRPr="00B004EE">
        <w:rPr>
          <w:rFonts w:ascii="Tahoma" w:hAnsi="Tahoma" w:cs="Tahoma"/>
          <w:spacing w:val="-22"/>
          <w:sz w:val="20"/>
          <w:szCs w:val="20"/>
        </w:rPr>
        <w:t xml:space="preserve"> </w:t>
      </w:r>
      <w:r w:rsidRPr="00B004EE">
        <w:rPr>
          <w:rFonts w:ascii="Tahoma" w:hAnsi="Tahoma" w:cs="Tahoma"/>
          <w:sz w:val="20"/>
          <w:szCs w:val="20"/>
        </w:rPr>
        <w:t>produits</w:t>
      </w:r>
      <w:r w:rsidR="00DB1635" w:rsidRPr="00B004EE">
        <w:rPr>
          <w:rFonts w:ascii="Tahoma" w:hAnsi="Tahoma" w:cs="Tahoma"/>
          <w:spacing w:val="-23"/>
          <w:sz w:val="20"/>
          <w:szCs w:val="20"/>
        </w:rPr>
        <w:t xml:space="preserve"> </w:t>
      </w:r>
      <w:r w:rsidRPr="00B004EE">
        <w:rPr>
          <w:rFonts w:ascii="Tahoma" w:hAnsi="Tahoma" w:cs="Tahoma"/>
          <w:sz w:val="20"/>
          <w:szCs w:val="20"/>
        </w:rPr>
        <w:t>de</w:t>
      </w:r>
      <w:r w:rsidR="00DB1635" w:rsidRPr="00B004EE">
        <w:rPr>
          <w:rFonts w:ascii="Tahoma" w:hAnsi="Tahoma" w:cs="Tahoma"/>
          <w:spacing w:val="-23"/>
          <w:sz w:val="20"/>
          <w:szCs w:val="20"/>
        </w:rPr>
        <w:t xml:space="preserve"> </w:t>
      </w:r>
      <w:r w:rsidRPr="00B004EE">
        <w:rPr>
          <w:rFonts w:ascii="Tahoma" w:hAnsi="Tahoma" w:cs="Tahoma"/>
          <w:sz w:val="20"/>
          <w:szCs w:val="20"/>
        </w:rPr>
        <w:t>pêche,</w:t>
      </w:r>
      <w:r w:rsidR="00DB1635" w:rsidRPr="00B004EE">
        <w:rPr>
          <w:rFonts w:ascii="Tahoma" w:hAnsi="Tahoma" w:cs="Tahoma"/>
          <w:spacing w:val="-23"/>
          <w:sz w:val="20"/>
          <w:szCs w:val="20"/>
        </w:rPr>
        <w:t xml:space="preserve"> </w:t>
      </w:r>
      <w:r w:rsidRPr="00B004EE">
        <w:rPr>
          <w:rFonts w:ascii="Tahoma" w:hAnsi="Tahoma" w:cs="Tahoma"/>
          <w:sz w:val="20"/>
          <w:szCs w:val="20"/>
        </w:rPr>
        <w:t>lorsque</w:t>
      </w:r>
      <w:r w:rsidR="00DB1635" w:rsidRPr="00B004EE">
        <w:rPr>
          <w:rFonts w:ascii="Tahoma" w:hAnsi="Tahoma" w:cs="Tahoma"/>
          <w:spacing w:val="-23"/>
          <w:sz w:val="20"/>
          <w:szCs w:val="20"/>
        </w:rPr>
        <w:t xml:space="preserve"> </w:t>
      </w:r>
      <w:r w:rsidRPr="00B004EE">
        <w:rPr>
          <w:rFonts w:ascii="Tahoma" w:hAnsi="Tahoma" w:cs="Tahoma"/>
          <w:sz w:val="20"/>
          <w:szCs w:val="20"/>
        </w:rPr>
        <w:t>ledit</w:t>
      </w:r>
      <w:r w:rsidR="00DB1635" w:rsidRPr="00B004EE">
        <w:rPr>
          <w:rFonts w:ascii="Tahoma" w:hAnsi="Tahoma" w:cs="Tahoma"/>
          <w:spacing w:val="-23"/>
          <w:sz w:val="20"/>
          <w:szCs w:val="20"/>
        </w:rPr>
        <w:t xml:space="preserve"> </w:t>
      </w:r>
      <w:r w:rsidRPr="00B004EE">
        <w:rPr>
          <w:rFonts w:ascii="Tahoma" w:hAnsi="Tahoma" w:cs="Tahoma"/>
          <w:sz w:val="20"/>
          <w:szCs w:val="20"/>
        </w:rPr>
        <w:t>établissement</w:t>
      </w:r>
      <w:r w:rsidR="00DB1635" w:rsidRPr="00B004EE">
        <w:rPr>
          <w:rFonts w:ascii="Tahoma" w:hAnsi="Tahoma" w:cs="Tahoma"/>
          <w:w w:val="95"/>
          <w:sz w:val="20"/>
          <w:szCs w:val="20"/>
        </w:rPr>
        <w:t xml:space="preserve"> </w:t>
      </w:r>
      <w:r w:rsidRPr="00B004EE">
        <w:rPr>
          <w:rFonts w:ascii="Tahoma" w:hAnsi="Tahoma" w:cs="Tahoma"/>
          <w:sz w:val="20"/>
          <w:szCs w:val="20"/>
        </w:rPr>
        <w:t>ne</w:t>
      </w:r>
      <w:r w:rsidR="00DB1635" w:rsidRPr="00B004EE">
        <w:rPr>
          <w:rFonts w:ascii="Tahoma" w:hAnsi="Tahoma" w:cs="Tahoma"/>
          <w:spacing w:val="-31"/>
          <w:sz w:val="20"/>
          <w:szCs w:val="20"/>
        </w:rPr>
        <w:t xml:space="preserve"> </w:t>
      </w:r>
      <w:r w:rsidRPr="00B004EE">
        <w:rPr>
          <w:rFonts w:ascii="Tahoma" w:hAnsi="Tahoma" w:cs="Tahoma"/>
          <w:sz w:val="20"/>
          <w:szCs w:val="20"/>
        </w:rPr>
        <w:t>se</w:t>
      </w:r>
      <w:r w:rsidR="00DB1635" w:rsidRPr="00B004EE">
        <w:rPr>
          <w:rFonts w:ascii="Tahoma" w:hAnsi="Tahoma" w:cs="Tahoma"/>
          <w:spacing w:val="-31"/>
          <w:sz w:val="20"/>
          <w:szCs w:val="20"/>
        </w:rPr>
        <w:t xml:space="preserve"> </w:t>
      </w:r>
      <w:r w:rsidRPr="00B004EE">
        <w:rPr>
          <w:rFonts w:ascii="Tahoma" w:hAnsi="Tahoma" w:cs="Tahoma"/>
          <w:sz w:val="20"/>
          <w:szCs w:val="20"/>
        </w:rPr>
        <w:t>conforme</w:t>
      </w:r>
      <w:r w:rsidR="00DB1635" w:rsidRPr="00B004EE">
        <w:rPr>
          <w:rFonts w:ascii="Tahoma" w:hAnsi="Tahoma" w:cs="Tahoma"/>
          <w:spacing w:val="-31"/>
          <w:sz w:val="20"/>
          <w:szCs w:val="20"/>
        </w:rPr>
        <w:t xml:space="preserve"> </w:t>
      </w:r>
      <w:r w:rsidRPr="00B004EE">
        <w:rPr>
          <w:rFonts w:ascii="Tahoma" w:hAnsi="Tahoma" w:cs="Tahoma"/>
          <w:sz w:val="20"/>
          <w:szCs w:val="20"/>
        </w:rPr>
        <w:t>pas</w:t>
      </w:r>
      <w:r w:rsidR="00DB1635" w:rsidRPr="00B004EE">
        <w:rPr>
          <w:rFonts w:ascii="Tahoma" w:hAnsi="Tahoma" w:cs="Tahoma"/>
          <w:spacing w:val="-31"/>
          <w:sz w:val="20"/>
          <w:szCs w:val="20"/>
        </w:rPr>
        <w:t xml:space="preserve"> </w:t>
      </w:r>
      <w:r w:rsidRPr="00B004EE">
        <w:rPr>
          <w:rFonts w:ascii="Tahoma" w:hAnsi="Tahoma" w:cs="Tahoma"/>
          <w:sz w:val="20"/>
          <w:szCs w:val="20"/>
        </w:rPr>
        <w:t>aux</w:t>
      </w:r>
      <w:r w:rsidR="00DB1635" w:rsidRPr="00B004EE">
        <w:rPr>
          <w:rFonts w:ascii="Tahoma" w:hAnsi="Tahoma" w:cs="Tahoma"/>
          <w:spacing w:val="-30"/>
          <w:sz w:val="20"/>
          <w:szCs w:val="20"/>
        </w:rPr>
        <w:t xml:space="preserve"> </w:t>
      </w:r>
      <w:r w:rsidRPr="00B004EE">
        <w:rPr>
          <w:rFonts w:ascii="Tahoma" w:hAnsi="Tahoma" w:cs="Tahoma"/>
          <w:sz w:val="20"/>
          <w:szCs w:val="20"/>
        </w:rPr>
        <w:t>normes</w:t>
      </w:r>
      <w:r w:rsidR="00DB1635" w:rsidRPr="00B004EE">
        <w:rPr>
          <w:rFonts w:ascii="Tahoma" w:hAnsi="Tahoma" w:cs="Tahoma"/>
          <w:spacing w:val="-31"/>
          <w:sz w:val="20"/>
          <w:szCs w:val="20"/>
        </w:rPr>
        <w:t xml:space="preserve"> </w:t>
      </w:r>
      <w:r w:rsidRPr="00B004EE">
        <w:rPr>
          <w:rFonts w:ascii="Tahoma" w:hAnsi="Tahoma" w:cs="Tahoma"/>
          <w:sz w:val="20"/>
          <w:szCs w:val="20"/>
        </w:rPr>
        <w:t>en</w:t>
      </w:r>
      <w:r w:rsidR="00DB1635" w:rsidRPr="00B004EE">
        <w:rPr>
          <w:rFonts w:ascii="Tahoma" w:hAnsi="Tahoma" w:cs="Tahoma"/>
          <w:spacing w:val="-31"/>
          <w:sz w:val="20"/>
          <w:szCs w:val="20"/>
        </w:rPr>
        <w:t xml:space="preserve"> </w:t>
      </w:r>
      <w:r w:rsidRPr="00B004EE">
        <w:rPr>
          <w:rFonts w:ascii="Tahoma" w:hAnsi="Tahoma" w:cs="Tahoma"/>
          <w:sz w:val="20"/>
          <w:szCs w:val="20"/>
        </w:rPr>
        <w:t>vigueur.</w:t>
      </w:r>
    </w:p>
    <w:p w14:paraId="7A262C4B" w14:textId="77777777" w:rsidR="001E7C3C" w:rsidRPr="00B004EE" w:rsidRDefault="001E7C3C" w:rsidP="00B004EE">
      <w:pPr>
        <w:ind w:right="164" w:hanging="4"/>
        <w:rPr>
          <w:rFonts w:ascii="Tahoma" w:hAnsi="Tahoma" w:cs="Tahoma"/>
          <w:b/>
          <w:spacing w:val="1"/>
          <w:w w:val="113"/>
          <w:sz w:val="20"/>
          <w:szCs w:val="20"/>
        </w:rPr>
      </w:pPr>
    </w:p>
    <w:p w14:paraId="257E3CF9" w14:textId="637E8DA5" w:rsidR="001E7C3C" w:rsidRPr="00B004EE" w:rsidRDefault="001E7C3C" w:rsidP="00B004EE">
      <w:pPr>
        <w:ind w:right="164" w:hanging="4"/>
        <w:jc w:val="center"/>
        <w:rPr>
          <w:rFonts w:ascii="Tahoma" w:hAnsi="Tahoma" w:cs="Tahoma"/>
          <w:b/>
          <w:spacing w:val="1"/>
          <w:w w:val="113"/>
          <w:sz w:val="20"/>
          <w:szCs w:val="20"/>
        </w:rPr>
      </w:pPr>
      <w:bookmarkStart w:id="95" w:name="_Toc16279080"/>
      <w:bookmarkStart w:id="96" w:name="_Toc16279449"/>
      <w:r w:rsidRPr="00B004EE">
        <w:rPr>
          <w:rFonts w:ascii="Tahoma" w:hAnsi="Tahoma" w:cs="Tahoma"/>
          <w:b/>
          <w:spacing w:val="1"/>
          <w:w w:val="113"/>
          <w:sz w:val="20"/>
          <w:szCs w:val="20"/>
        </w:rPr>
        <w:t>CHAPITRE</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III</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DISPOSITIONS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APPLICABLES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A</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LA</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COMMERCIALISATION</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DES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PRODUITS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DE</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LA</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PECHE</w:t>
      </w:r>
      <w:bookmarkEnd w:id="95"/>
      <w:bookmarkEnd w:id="96"/>
    </w:p>
    <w:p w14:paraId="76F5DC85" w14:textId="77777777" w:rsidR="001E7C3C" w:rsidRPr="00B004EE" w:rsidRDefault="001E7C3C" w:rsidP="00B004EE">
      <w:pPr>
        <w:ind w:right="164" w:hanging="4"/>
        <w:jc w:val="center"/>
        <w:rPr>
          <w:rFonts w:ascii="Tahoma" w:hAnsi="Tahoma" w:cs="Tahoma"/>
          <w:b/>
          <w:spacing w:val="1"/>
          <w:w w:val="113"/>
          <w:sz w:val="20"/>
          <w:szCs w:val="20"/>
        </w:rPr>
      </w:pPr>
    </w:p>
    <w:p w14:paraId="5119BFC5" w14:textId="7296D88C" w:rsidR="001E7C3C" w:rsidRPr="00B004EE" w:rsidRDefault="001E7C3C" w:rsidP="00B004EE">
      <w:pPr>
        <w:ind w:right="164" w:hanging="4"/>
        <w:jc w:val="center"/>
        <w:rPr>
          <w:rFonts w:ascii="Tahoma" w:hAnsi="Tahoma" w:cs="Tahoma"/>
          <w:b/>
          <w:spacing w:val="1"/>
          <w:w w:val="113"/>
          <w:sz w:val="20"/>
          <w:szCs w:val="20"/>
        </w:rPr>
      </w:pPr>
      <w:r w:rsidRPr="00B004EE">
        <w:rPr>
          <w:rFonts w:ascii="Tahoma" w:hAnsi="Tahoma" w:cs="Tahoma"/>
          <w:b/>
          <w:spacing w:val="1"/>
          <w:w w:val="113"/>
          <w:sz w:val="20"/>
          <w:szCs w:val="20"/>
        </w:rPr>
        <w:t>Section</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1</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Du</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commerce</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international</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et</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infrarégional</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des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produits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de</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la</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pêche</w:t>
      </w:r>
    </w:p>
    <w:p w14:paraId="63DEC04E" w14:textId="77777777" w:rsidR="001E7C3C" w:rsidRPr="00B004EE" w:rsidRDefault="001E7C3C" w:rsidP="00B004EE">
      <w:pPr>
        <w:ind w:right="164" w:hanging="4"/>
        <w:jc w:val="center"/>
        <w:rPr>
          <w:rFonts w:ascii="Tahoma" w:hAnsi="Tahoma" w:cs="Tahoma"/>
          <w:b/>
          <w:spacing w:val="1"/>
          <w:w w:val="113"/>
          <w:sz w:val="20"/>
          <w:szCs w:val="20"/>
        </w:rPr>
      </w:pPr>
    </w:p>
    <w:p w14:paraId="73846512" w14:textId="58E4AD10" w:rsidR="001E7C3C" w:rsidRPr="00B004EE" w:rsidRDefault="001E7C3C" w:rsidP="00B004EE">
      <w:pPr>
        <w:pStyle w:val="Corpsdetexte"/>
        <w:ind w:right="157"/>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58</w:t>
      </w:r>
      <w:r w:rsidR="00DB1635" w:rsidRPr="00B004EE">
        <w:rPr>
          <w:rFonts w:ascii="Tahoma" w:hAnsi="Tahoma" w:cs="Tahoma"/>
          <w:bCs/>
          <w:sz w:val="20"/>
          <w:szCs w:val="20"/>
        </w:rPr>
        <w:t xml:space="preserve"> </w:t>
      </w:r>
      <w:r w:rsidRPr="00B004EE">
        <w:rPr>
          <w:rFonts w:ascii="Tahoma" w:hAnsi="Tahoma" w:cs="Tahoma"/>
          <w:bCs/>
          <w:sz w:val="20"/>
          <w:szCs w:val="20"/>
        </w:rPr>
        <w:t>:</w:t>
      </w:r>
      <w:r w:rsidR="00DB1635" w:rsidRPr="00B004EE">
        <w:rPr>
          <w:rFonts w:ascii="Tahoma" w:hAnsi="Tahoma" w:cs="Tahoma"/>
          <w:b/>
          <w:spacing w:val="-14"/>
          <w:sz w:val="20"/>
          <w:szCs w:val="20"/>
        </w:rPr>
        <w:t xml:space="preserve"> </w:t>
      </w:r>
      <w:r w:rsidRPr="00B004EE">
        <w:rPr>
          <w:rFonts w:ascii="Tahoma" w:hAnsi="Tahoma" w:cs="Tahoma"/>
          <w:sz w:val="20"/>
          <w:szCs w:val="20"/>
        </w:rPr>
        <w:t>Le</w:t>
      </w:r>
      <w:r w:rsidR="00DB1635" w:rsidRPr="00B004EE">
        <w:rPr>
          <w:rFonts w:ascii="Tahoma" w:hAnsi="Tahoma" w:cs="Tahoma"/>
          <w:spacing w:val="-17"/>
          <w:sz w:val="20"/>
          <w:szCs w:val="20"/>
        </w:rPr>
        <w:t xml:space="preserve"> </w:t>
      </w:r>
      <w:r w:rsidRPr="00B004EE">
        <w:rPr>
          <w:rFonts w:ascii="Tahoma" w:hAnsi="Tahoma" w:cs="Tahoma"/>
          <w:sz w:val="20"/>
          <w:szCs w:val="20"/>
        </w:rPr>
        <w:t>Ministre</w:t>
      </w:r>
      <w:r w:rsidR="00DB1635" w:rsidRPr="00B004EE">
        <w:rPr>
          <w:rFonts w:ascii="Tahoma" w:hAnsi="Tahoma" w:cs="Tahoma"/>
          <w:spacing w:val="-17"/>
          <w:sz w:val="20"/>
          <w:szCs w:val="20"/>
        </w:rPr>
        <w:t xml:space="preserve"> </w:t>
      </w:r>
      <w:r w:rsidRPr="00B004EE">
        <w:rPr>
          <w:rFonts w:ascii="Tahoma" w:hAnsi="Tahoma" w:cs="Tahoma"/>
          <w:sz w:val="20"/>
          <w:szCs w:val="20"/>
        </w:rPr>
        <w:t>chargé</w:t>
      </w:r>
      <w:r w:rsidR="00DB1635" w:rsidRPr="00B004EE">
        <w:rPr>
          <w:rFonts w:ascii="Tahoma" w:hAnsi="Tahoma" w:cs="Tahoma"/>
          <w:spacing w:val="-17"/>
          <w:sz w:val="20"/>
          <w:szCs w:val="20"/>
        </w:rPr>
        <w:t xml:space="preserve"> </w:t>
      </w:r>
      <w:r w:rsidRPr="00B004EE">
        <w:rPr>
          <w:rFonts w:ascii="Tahoma" w:hAnsi="Tahoma" w:cs="Tahoma"/>
          <w:sz w:val="20"/>
          <w:szCs w:val="20"/>
        </w:rPr>
        <w:t>des</w:t>
      </w:r>
      <w:r w:rsidR="00DB1635" w:rsidRPr="00B004EE">
        <w:rPr>
          <w:rFonts w:ascii="Tahoma" w:hAnsi="Tahoma" w:cs="Tahoma"/>
          <w:spacing w:val="-17"/>
          <w:sz w:val="20"/>
          <w:szCs w:val="20"/>
        </w:rPr>
        <w:t xml:space="preserve"> </w:t>
      </w:r>
      <w:r w:rsidRPr="00B004EE">
        <w:rPr>
          <w:rFonts w:ascii="Tahoma" w:hAnsi="Tahoma" w:cs="Tahoma"/>
          <w:sz w:val="20"/>
          <w:szCs w:val="20"/>
        </w:rPr>
        <w:t>pêches</w:t>
      </w:r>
      <w:r w:rsidR="00DB1635" w:rsidRPr="00B004EE">
        <w:rPr>
          <w:rFonts w:ascii="Tahoma" w:hAnsi="Tahoma" w:cs="Tahoma"/>
          <w:spacing w:val="-17"/>
          <w:sz w:val="20"/>
          <w:szCs w:val="20"/>
        </w:rPr>
        <w:t xml:space="preserve"> </w:t>
      </w:r>
      <w:r w:rsidRPr="00B004EE">
        <w:rPr>
          <w:rFonts w:ascii="Tahoma" w:hAnsi="Tahoma" w:cs="Tahoma"/>
          <w:sz w:val="20"/>
          <w:szCs w:val="20"/>
        </w:rPr>
        <w:t>prendra</w:t>
      </w:r>
      <w:r w:rsidR="00DB1635" w:rsidRPr="00B004EE">
        <w:rPr>
          <w:rFonts w:ascii="Tahoma" w:hAnsi="Tahoma" w:cs="Tahoma"/>
          <w:spacing w:val="-17"/>
          <w:sz w:val="20"/>
          <w:szCs w:val="20"/>
        </w:rPr>
        <w:t xml:space="preserve"> </w:t>
      </w:r>
      <w:r w:rsidRPr="00B004EE">
        <w:rPr>
          <w:rFonts w:ascii="Tahoma" w:hAnsi="Tahoma" w:cs="Tahoma"/>
          <w:sz w:val="20"/>
          <w:szCs w:val="20"/>
        </w:rPr>
        <w:t>les</w:t>
      </w:r>
      <w:r w:rsidR="00DB1635" w:rsidRPr="00B004EE">
        <w:rPr>
          <w:rFonts w:ascii="Tahoma" w:hAnsi="Tahoma" w:cs="Tahoma"/>
          <w:spacing w:val="-17"/>
          <w:sz w:val="20"/>
          <w:szCs w:val="20"/>
        </w:rPr>
        <w:t xml:space="preserve"> </w:t>
      </w:r>
      <w:r w:rsidRPr="00B004EE">
        <w:rPr>
          <w:rFonts w:ascii="Tahoma" w:hAnsi="Tahoma" w:cs="Tahoma"/>
          <w:sz w:val="20"/>
          <w:szCs w:val="20"/>
        </w:rPr>
        <w:t>mesures</w:t>
      </w:r>
      <w:r w:rsidR="00DB1635" w:rsidRPr="00B004EE">
        <w:rPr>
          <w:rFonts w:ascii="Tahoma" w:hAnsi="Tahoma" w:cs="Tahoma"/>
          <w:spacing w:val="-17"/>
          <w:sz w:val="20"/>
          <w:szCs w:val="20"/>
        </w:rPr>
        <w:t xml:space="preserve"> </w:t>
      </w:r>
      <w:r w:rsidRPr="00B004EE">
        <w:rPr>
          <w:rFonts w:ascii="Tahoma" w:hAnsi="Tahoma" w:cs="Tahoma"/>
          <w:sz w:val="20"/>
          <w:szCs w:val="20"/>
        </w:rPr>
        <w:t>appropriées,</w:t>
      </w:r>
      <w:r w:rsidR="00DB1635" w:rsidRPr="00B004EE">
        <w:rPr>
          <w:rFonts w:ascii="Tahoma" w:hAnsi="Tahoma" w:cs="Tahoma"/>
          <w:spacing w:val="-17"/>
          <w:sz w:val="20"/>
          <w:szCs w:val="20"/>
        </w:rPr>
        <w:t xml:space="preserve"> </w:t>
      </w:r>
      <w:r w:rsidRPr="00B004EE">
        <w:rPr>
          <w:rFonts w:ascii="Tahoma" w:hAnsi="Tahoma" w:cs="Tahoma"/>
          <w:sz w:val="20"/>
          <w:szCs w:val="20"/>
        </w:rPr>
        <w:t>pour</w:t>
      </w:r>
      <w:r w:rsidR="00DB1635" w:rsidRPr="00B004EE">
        <w:rPr>
          <w:rFonts w:ascii="Tahoma" w:hAnsi="Tahoma" w:cs="Tahoma"/>
          <w:w w:val="93"/>
          <w:sz w:val="20"/>
          <w:szCs w:val="20"/>
        </w:rPr>
        <w:t xml:space="preserve"> </w:t>
      </w:r>
      <w:r w:rsidRPr="00B004EE">
        <w:rPr>
          <w:rFonts w:ascii="Tahoma" w:hAnsi="Tahoma" w:cs="Tahoma"/>
          <w:sz w:val="20"/>
          <w:szCs w:val="20"/>
        </w:rPr>
        <w:t>promouvoir</w:t>
      </w:r>
      <w:r w:rsidR="00DB1635" w:rsidRPr="00B004EE">
        <w:rPr>
          <w:rFonts w:ascii="Tahoma" w:hAnsi="Tahoma" w:cs="Tahoma"/>
          <w:spacing w:val="31"/>
          <w:sz w:val="20"/>
          <w:szCs w:val="20"/>
        </w:rPr>
        <w:t xml:space="preserve"> </w:t>
      </w:r>
      <w:r w:rsidRPr="00B004EE">
        <w:rPr>
          <w:rFonts w:ascii="Tahoma" w:hAnsi="Tahoma" w:cs="Tahoma"/>
          <w:sz w:val="20"/>
          <w:szCs w:val="20"/>
        </w:rPr>
        <w:t>le</w:t>
      </w:r>
      <w:r w:rsidR="00DB1635" w:rsidRPr="00B004EE">
        <w:rPr>
          <w:rFonts w:ascii="Tahoma" w:hAnsi="Tahoma" w:cs="Tahoma"/>
          <w:spacing w:val="32"/>
          <w:sz w:val="20"/>
          <w:szCs w:val="20"/>
        </w:rPr>
        <w:t xml:space="preserve"> </w:t>
      </w:r>
      <w:r w:rsidRPr="00B004EE">
        <w:rPr>
          <w:rFonts w:ascii="Tahoma" w:hAnsi="Tahoma" w:cs="Tahoma"/>
          <w:sz w:val="20"/>
          <w:szCs w:val="20"/>
        </w:rPr>
        <w:t>commerce</w:t>
      </w:r>
      <w:r w:rsidR="00DB1635" w:rsidRPr="00B004EE">
        <w:rPr>
          <w:rFonts w:ascii="Tahoma" w:hAnsi="Tahoma" w:cs="Tahoma"/>
          <w:spacing w:val="33"/>
          <w:sz w:val="20"/>
          <w:szCs w:val="20"/>
        </w:rPr>
        <w:t xml:space="preserve"> </w:t>
      </w:r>
      <w:r w:rsidRPr="00B004EE">
        <w:rPr>
          <w:rFonts w:ascii="Tahoma" w:hAnsi="Tahoma" w:cs="Tahoma"/>
          <w:sz w:val="20"/>
          <w:szCs w:val="20"/>
        </w:rPr>
        <w:t>national,</w:t>
      </w:r>
      <w:r w:rsidR="00DB1635" w:rsidRPr="00B004EE">
        <w:rPr>
          <w:rFonts w:ascii="Tahoma" w:hAnsi="Tahoma" w:cs="Tahoma"/>
          <w:spacing w:val="33"/>
          <w:sz w:val="20"/>
          <w:szCs w:val="20"/>
        </w:rPr>
        <w:t xml:space="preserve"> </w:t>
      </w:r>
      <w:r w:rsidRPr="00B004EE">
        <w:rPr>
          <w:rFonts w:ascii="Tahoma" w:hAnsi="Tahoma" w:cs="Tahoma"/>
          <w:sz w:val="20"/>
          <w:szCs w:val="20"/>
        </w:rPr>
        <w:t>régional</w:t>
      </w:r>
      <w:r w:rsidR="00DB1635" w:rsidRPr="00B004EE">
        <w:rPr>
          <w:rFonts w:ascii="Tahoma" w:hAnsi="Tahoma" w:cs="Tahoma"/>
          <w:spacing w:val="33"/>
          <w:sz w:val="20"/>
          <w:szCs w:val="20"/>
        </w:rPr>
        <w:t xml:space="preserve"> </w:t>
      </w:r>
      <w:r w:rsidRPr="00B004EE">
        <w:rPr>
          <w:rFonts w:ascii="Tahoma" w:hAnsi="Tahoma" w:cs="Tahoma"/>
          <w:sz w:val="20"/>
          <w:szCs w:val="20"/>
        </w:rPr>
        <w:t>et</w:t>
      </w:r>
      <w:r w:rsidR="00DB1635" w:rsidRPr="00B004EE">
        <w:rPr>
          <w:rFonts w:ascii="Tahoma" w:hAnsi="Tahoma" w:cs="Tahoma"/>
          <w:spacing w:val="35"/>
          <w:sz w:val="20"/>
          <w:szCs w:val="20"/>
        </w:rPr>
        <w:t xml:space="preserve"> </w:t>
      </w:r>
      <w:r w:rsidRPr="00B004EE">
        <w:rPr>
          <w:rFonts w:ascii="Tahoma" w:hAnsi="Tahoma" w:cs="Tahoma"/>
          <w:sz w:val="20"/>
          <w:szCs w:val="20"/>
        </w:rPr>
        <w:t>international</w:t>
      </w:r>
      <w:r w:rsidR="00DB1635" w:rsidRPr="00B004EE">
        <w:rPr>
          <w:rFonts w:ascii="Tahoma" w:hAnsi="Tahoma" w:cs="Tahoma"/>
          <w:spacing w:val="33"/>
          <w:sz w:val="20"/>
          <w:szCs w:val="20"/>
        </w:rPr>
        <w:t xml:space="preserve"> </w:t>
      </w:r>
      <w:r w:rsidRPr="00B004EE">
        <w:rPr>
          <w:rFonts w:ascii="Tahoma" w:hAnsi="Tahoma" w:cs="Tahoma"/>
          <w:sz w:val="20"/>
          <w:szCs w:val="20"/>
        </w:rPr>
        <w:t>des</w:t>
      </w:r>
      <w:r w:rsidR="00DB1635" w:rsidRPr="00B004EE">
        <w:rPr>
          <w:rFonts w:ascii="Tahoma" w:hAnsi="Tahoma" w:cs="Tahoma"/>
          <w:spacing w:val="32"/>
          <w:sz w:val="20"/>
          <w:szCs w:val="20"/>
        </w:rPr>
        <w:t xml:space="preserve"> </w:t>
      </w:r>
      <w:r w:rsidRPr="00B004EE">
        <w:rPr>
          <w:rFonts w:ascii="Tahoma" w:hAnsi="Tahoma" w:cs="Tahoma"/>
          <w:sz w:val="20"/>
          <w:szCs w:val="20"/>
        </w:rPr>
        <w:t>produits</w:t>
      </w:r>
      <w:r w:rsidR="00DB1635" w:rsidRPr="00B004EE">
        <w:rPr>
          <w:rFonts w:ascii="Tahoma" w:hAnsi="Tahoma" w:cs="Tahoma"/>
          <w:spacing w:val="30"/>
          <w:sz w:val="20"/>
          <w:szCs w:val="20"/>
        </w:rPr>
        <w:t xml:space="preserve"> </w:t>
      </w:r>
      <w:r w:rsidRPr="00B004EE">
        <w:rPr>
          <w:rFonts w:ascii="Tahoma" w:hAnsi="Tahoma" w:cs="Tahoma"/>
          <w:sz w:val="20"/>
          <w:szCs w:val="20"/>
        </w:rPr>
        <w:t>de</w:t>
      </w:r>
      <w:r w:rsidR="00DB1635" w:rsidRPr="00B004EE">
        <w:rPr>
          <w:rFonts w:ascii="Tahoma" w:hAnsi="Tahoma" w:cs="Tahoma"/>
          <w:spacing w:val="30"/>
          <w:sz w:val="20"/>
          <w:szCs w:val="20"/>
        </w:rPr>
        <w:t xml:space="preserve"> </w:t>
      </w:r>
      <w:r w:rsidRPr="00B004EE">
        <w:rPr>
          <w:rFonts w:ascii="Tahoma" w:hAnsi="Tahoma" w:cs="Tahoma"/>
          <w:sz w:val="20"/>
          <w:szCs w:val="20"/>
        </w:rPr>
        <w:t>la</w:t>
      </w:r>
      <w:r w:rsidR="00DB1635" w:rsidRPr="00B004EE">
        <w:rPr>
          <w:rFonts w:ascii="Tahoma" w:hAnsi="Tahoma" w:cs="Tahoma"/>
          <w:w w:val="98"/>
          <w:sz w:val="20"/>
          <w:szCs w:val="20"/>
        </w:rPr>
        <w:t xml:space="preserve"> </w:t>
      </w:r>
      <w:r w:rsidRPr="00B004EE">
        <w:rPr>
          <w:rFonts w:ascii="Tahoma" w:hAnsi="Tahoma" w:cs="Tahoma"/>
          <w:sz w:val="20"/>
          <w:szCs w:val="20"/>
        </w:rPr>
        <w:t>pêche</w:t>
      </w:r>
      <w:r w:rsidR="00DB1635" w:rsidRPr="00B004EE">
        <w:rPr>
          <w:rFonts w:ascii="Tahoma" w:hAnsi="Tahoma" w:cs="Tahoma"/>
          <w:spacing w:val="-24"/>
          <w:sz w:val="20"/>
          <w:szCs w:val="20"/>
        </w:rPr>
        <w:t xml:space="preserve"> </w:t>
      </w:r>
      <w:r w:rsidRPr="00B004EE">
        <w:rPr>
          <w:rFonts w:ascii="Tahoma" w:hAnsi="Tahoma" w:cs="Tahoma"/>
          <w:sz w:val="20"/>
          <w:szCs w:val="20"/>
        </w:rPr>
        <w:t>de</w:t>
      </w:r>
      <w:r w:rsidR="00DB1635" w:rsidRPr="00B004EE">
        <w:rPr>
          <w:rFonts w:ascii="Tahoma" w:hAnsi="Tahoma" w:cs="Tahoma"/>
          <w:spacing w:val="-24"/>
          <w:sz w:val="20"/>
          <w:szCs w:val="20"/>
        </w:rPr>
        <w:t xml:space="preserve"> </w:t>
      </w:r>
      <w:r w:rsidRPr="00B004EE">
        <w:rPr>
          <w:rFonts w:ascii="Tahoma" w:hAnsi="Tahoma" w:cs="Tahoma"/>
          <w:sz w:val="20"/>
          <w:szCs w:val="20"/>
        </w:rPr>
        <w:t>la</w:t>
      </w:r>
      <w:r w:rsidR="00DB1635" w:rsidRPr="00B004EE">
        <w:rPr>
          <w:rFonts w:ascii="Tahoma" w:hAnsi="Tahoma" w:cs="Tahoma"/>
          <w:spacing w:val="-23"/>
          <w:sz w:val="20"/>
          <w:szCs w:val="20"/>
        </w:rPr>
        <w:t xml:space="preserve"> </w:t>
      </w:r>
      <w:r w:rsidRPr="00B004EE">
        <w:rPr>
          <w:rFonts w:ascii="Tahoma" w:hAnsi="Tahoma" w:cs="Tahoma"/>
          <w:sz w:val="20"/>
          <w:szCs w:val="20"/>
        </w:rPr>
        <w:t>Mauritanie.</w:t>
      </w:r>
    </w:p>
    <w:p w14:paraId="39266398" w14:textId="77777777" w:rsidR="001E7C3C" w:rsidRPr="00B004EE" w:rsidRDefault="001E7C3C" w:rsidP="00B004EE">
      <w:pPr>
        <w:rPr>
          <w:rFonts w:ascii="Tahoma" w:eastAsia="American Typewriter" w:hAnsi="Tahoma" w:cs="Tahoma"/>
          <w:sz w:val="20"/>
          <w:szCs w:val="20"/>
        </w:rPr>
      </w:pPr>
    </w:p>
    <w:p w14:paraId="10C78208" w14:textId="75D6D224" w:rsidR="001E7C3C" w:rsidRPr="00B004EE" w:rsidRDefault="001E7C3C" w:rsidP="00B004EE">
      <w:pPr>
        <w:pStyle w:val="Corpsdetexte"/>
        <w:ind w:right="167"/>
        <w:rPr>
          <w:rFonts w:ascii="Tahoma" w:hAnsi="Tahoma" w:cs="Tahoma"/>
          <w:sz w:val="20"/>
          <w:szCs w:val="20"/>
        </w:rPr>
      </w:pP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décret</w:t>
      </w:r>
      <w:r w:rsidR="00DB1635" w:rsidRPr="00B004EE">
        <w:rPr>
          <w:rFonts w:ascii="Tahoma" w:hAnsi="Tahoma" w:cs="Tahoma"/>
          <w:sz w:val="20"/>
          <w:szCs w:val="20"/>
        </w:rPr>
        <w:t xml:space="preserve"> </w:t>
      </w:r>
      <w:r w:rsidRPr="00B004EE">
        <w:rPr>
          <w:rFonts w:ascii="Tahoma" w:hAnsi="Tahoma" w:cs="Tahoma"/>
          <w:sz w:val="20"/>
          <w:szCs w:val="20"/>
        </w:rPr>
        <w:t>pris</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Conseil</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ministres</w:t>
      </w:r>
      <w:r w:rsidR="00DB1635" w:rsidRPr="00B004EE">
        <w:rPr>
          <w:rFonts w:ascii="Tahoma" w:hAnsi="Tahoma" w:cs="Tahoma"/>
          <w:sz w:val="20"/>
          <w:szCs w:val="20"/>
        </w:rPr>
        <w:t xml:space="preserve"> </w:t>
      </w:r>
      <w:r w:rsidRPr="00B004EE">
        <w:rPr>
          <w:rFonts w:ascii="Tahoma" w:hAnsi="Tahoma" w:cs="Tahoma"/>
          <w:sz w:val="20"/>
          <w:szCs w:val="20"/>
        </w:rPr>
        <w:t>définira</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normes</w:t>
      </w:r>
      <w:r w:rsidR="00DB1635" w:rsidRPr="00B004EE">
        <w:rPr>
          <w:rFonts w:ascii="Tahoma" w:hAnsi="Tahoma" w:cs="Tahoma"/>
          <w:sz w:val="20"/>
          <w:szCs w:val="20"/>
        </w:rPr>
        <w:t xml:space="preserve"> </w:t>
      </w:r>
      <w:r w:rsidRPr="00B004EE">
        <w:rPr>
          <w:rFonts w:ascii="Tahoma" w:hAnsi="Tahoma" w:cs="Tahoma"/>
          <w:sz w:val="20"/>
          <w:szCs w:val="20"/>
        </w:rPr>
        <w:t>applicables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pacing w:val="-1"/>
          <w:sz w:val="20"/>
          <w:szCs w:val="20"/>
        </w:rPr>
        <w:t xml:space="preserve"> </w:t>
      </w:r>
      <w:r w:rsidRPr="00B004EE">
        <w:rPr>
          <w:rFonts w:ascii="Tahoma" w:hAnsi="Tahoma" w:cs="Tahoma"/>
          <w:sz w:val="20"/>
          <w:szCs w:val="20"/>
        </w:rPr>
        <w:t>la</w:t>
      </w:r>
      <w:r w:rsidR="00DB1635" w:rsidRPr="00B004EE">
        <w:rPr>
          <w:rFonts w:ascii="Tahoma" w:hAnsi="Tahoma" w:cs="Tahoma"/>
          <w:w w:val="98"/>
          <w:sz w:val="20"/>
          <w:szCs w:val="20"/>
        </w:rPr>
        <w:t xml:space="preserve"> </w:t>
      </w:r>
      <w:r w:rsidRPr="00B004EE">
        <w:rPr>
          <w:rFonts w:ascii="Tahoma" w:hAnsi="Tahoma" w:cs="Tahoma"/>
          <w:w w:val="95"/>
          <w:sz w:val="20"/>
          <w:szCs w:val="20"/>
        </w:rPr>
        <w:t>commercialisation</w:t>
      </w:r>
      <w:r w:rsidR="00DB1635" w:rsidRPr="00B004EE">
        <w:rPr>
          <w:rFonts w:ascii="Tahoma" w:hAnsi="Tahoma" w:cs="Tahoma"/>
          <w:w w:val="95"/>
          <w:sz w:val="20"/>
          <w:szCs w:val="20"/>
        </w:rPr>
        <w:t xml:space="preserve"> </w:t>
      </w:r>
      <w:r w:rsidRPr="00B004EE">
        <w:rPr>
          <w:rFonts w:ascii="Tahoma" w:hAnsi="Tahoma" w:cs="Tahoma"/>
          <w:w w:val="95"/>
          <w:sz w:val="20"/>
          <w:szCs w:val="20"/>
        </w:rPr>
        <w:t>des</w:t>
      </w:r>
      <w:r w:rsidR="00DB1635" w:rsidRPr="00B004EE">
        <w:rPr>
          <w:rFonts w:ascii="Tahoma" w:hAnsi="Tahoma" w:cs="Tahoma"/>
          <w:w w:val="95"/>
          <w:sz w:val="20"/>
          <w:szCs w:val="20"/>
        </w:rPr>
        <w:t xml:space="preserve"> </w:t>
      </w:r>
      <w:r w:rsidRPr="00B004EE">
        <w:rPr>
          <w:rFonts w:ascii="Tahoma" w:hAnsi="Tahoma" w:cs="Tahoma"/>
          <w:w w:val="95"/>
          <w:sz w:val="20"/>
          <w:szCs w:val="20"/>
        </w:rPr>
        <w:t>produits</w:t>
      </w:r>
      <w:r w:rsidR="00DB1635" w:rsidRPr="00B004EE">
        <w:rPr>
          <w:rFonts w:ascii="Tahoma" w:hAnsi="Tahoma" w:cs="Tahoma"/>
          <w:w w:val="95"/>
          <w:sz w:val="20"/>
          <w:szCs w:val="20"/>
        </w:rPr>
        <w:t xml:space="preserve"> </w:t>
      </w:r>
      <w:r w:rsidRPr="00B004EE">
        <w:rPr>
          <w:rFonts w:ascii="Tahoma" w:hAnsi="Tahoma" w:cs="Tahoma"/>
          <w:w w:val="95"/>
          <w:sz w:val="20"/>
          <w:szCs w:val="20"/>
        </w:rPr>
        <w:t>de</w:t>
      </w:r>
      <w:r w:rsidR="00DB1635" w:rsidRPr="00B004EE">
        <w:rPr>
          <w:rFonts w:ascii="Tahoma" w:hAnsi="Tahoma" w:cs="Tahoma"/>
          <w:w w:val="95"/>
          <w:sz w:val="20"/>
          <w:szCs w:val="20"/>
        </w:rPr>
        <w:t xml:space="preserve"> </w:t>
      </w:r>
      <w:r w:rsidRPr="00B004EE">
        <w:rPr>
          <w:rFonts w:ascii="Tahoma" w:hAnsi="Tahoma" w:cs="Tahoma"/>
          <w:w w:val="95"/>
          <w:sz w:val="20"/>
          <w:szCs w:val="20"/>
        </w:rPr>
        <w:t>la</w:t>
      </w:r>
      <w:r w:rsidR="00DB1635" w:rsidRPr="00B004EE">
        <w:rPr>
          <w:rFonts w:ascii="Tahoma" w:hAnsi="Tahoma" w:cs="Tahoma"/>
          <w:spacing w:val="45"/>
          <w:w w:val="95"/>
          <w:sz w:val="20"/>
          <w:szCs w:val="20"/>
        </w:rPr>
        <w:t xml:space="preserve"> </w:t>
      </w:r>
      <w:r w:rsidRPr="00B004EE">
        <w:rPr>
          <w:rFonts w:ascii="Tahoma" w:hAnsi="Tahoma" w:cs="Tahoma"/>
          <w:w w:val="95"/>
          <w:sz w:val="20"/>
          <w:szCs w:val="20"/>
        </w:rPr>
        <w:t>pêche.</w:t>
      </w:r>
    </w:p>
    <w:p w14:paraId="50D42F24" w14:textId="77777777" w:rsidR="001E7C3C" w:rsidRPr="00B004EE" w:rsidRDefault="001E7C3C" w:rsidP="00B004EE">
      <w:pPr>
        <w:rPr>
          <w:rFonts w:ascii="Tahoma" w:eastAsia="American Typewriter" w:hAnsi="Tahoma" w:cs="Tahoma"/>
          <w:sz w:val="20"/>
          <w:szCs w:val="20"/>
        </w:rPr>
      </w:pPr>
    </w:p>
    <w:p w14:paraId="761E259B" w14:textId="342D82E4" w:rsidR="001E7C3C" w:rsidRPr="00B004EE" w:rsidRDefault="001E7C3C" w:rsidP="00B004EE">
      <w:pPr>
        <w:ind w:right="164" w:hanging="4"/>
        <w:jc w:val="center"/>
        <w:rPr>
          <w:rFonts w:ascii="Tahoma" w:hAnsi="Tahoma" w:cs="Tahoma"/>
          <w:b/>
          <w:spacing w:val="1"/>
          <w:w w:val="113"/>
          <w:sz w:val="20"/>
          <w:szCs w:val="20"/>
        </w:rPr>
      </w:pPr>
      <w:bookmarkStart w:id="97" w:name="_Toc16279081"/>
      <w:bookmarkStart w:id="98" w:name="_Toc16279450"/>
      <w:r w:rsidRPr="00B004EE">
        <w:rPr>
          <w:rFonts w:ascii="Tahoma" w:hAnsi="Tahoma" w:cs="Tahoma"/>
          <w:b/>
          <w:spacing w:val="1"/>
          <w:w w:val="113"/>
          <w:sz w:val="20"/>
          <w:szCs w:val="20"/>
        </w:rPr>
        <w:t>Section</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2</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Des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normes,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usages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et</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pratiques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des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pays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importateurs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des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produits</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de</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la</w:t>
      </w:r>
      <w:r w:rsidR="00DB1635" w:rsidRPr="00B004EE">
        <w:rPr>
          <w:rFonts w:ascii="Tahoma" w:hAnsi="Tahoma" w:cs="Tahoma"/>
          <w:b/>
          <w:spacing w:val="1"/>
          <w:w w:val="113"/>
          <w:sz w:val="20"/>
          <w:szCs w:val="20"/>
        </w:rPr>
        <w:t xml:space="preserve"> </w:t>
      </w:r>
      <w:r w:rsidRPr="00B004EE">
        <w:rPr>
          <w:rFonts w:ascii="Tahoma" w:hAnsi="Tahoma" w:cs="Tahoma"/>
          <w:b/>
          <w:spacing w:val="1"/>
          <w:w w:val="113"/>
          <w:sz w:val="20"/>
          <w:szCs w:val="20"/>
        </w:rPr>
        <w:t>pêche</w:t>
      </w:r>
      <w:bookmarkEnd w:id="97"/>
      <w:bookmarkEnd w:id="98"/>
    </w:p>
    <w:p w14:paraId="510323B1" w14:textId="77777777" w:rsidR="00BB060F" w:rsidRPr="00B004EE" w:rsidRDefault="00BB060F" w:rsidP="00B004EE">
      <w:pPr>
        <w:ind w:right="164" w:hanging="4"/>
        <w:jc w:val="center"/>
        <w:rPr>
          <w:rFonts w:ascii="Tahoma" w:hAnsi="Tahoma" w:cs="Tahoma"/>
          <w:b/>
          <w:spacing w:val="1"/>
          <w:w w:val="113"/>
          <w:sz w:val="20"/>
          <w:szCs w:val="20"/>
        </w:rPr>
      </w:pPr>
    </w:p>
    <w:p w14:paraId="7D95A823" w14:textId="0B65EF34" w:rsidR="001E7C3C" w:rsidRPr="00B004EE" w:rsidRDefault="001E7C3C" w:rsidP="00B004EE">
      <w:pPr>
        <w:pStyle w:val="Corpsdetexte"/>
        <w:ind w:right="158"/>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59</w:t>
      </w:r>
      <w:r w:rsidR="00DB1635" w:rsidRPr="00B004EE">
        <w:rPr>
          <w:rFonts w:ascii="Tahoma" w:hAnsi="Tahoma" w:cs="Tahoma"/>
          <w:bCs/>
          <w:sz w:val="20"/>
          <w:szCs w:val="20"/>
        </w:rPr>
        <w:t xml:space="preserve"> </w:t>
      </w:r>
      <w:r w:rsidRPr="00B004EE">
        <w:rPr>
          <w:rFonts w:ascii="Tahoma" w:hAnsi="Tahoma" w:cs="Tahoma"/>
          <w:bCs/>
          <w:sz w:val="20"/>
          <w:szCs w:val="20"/>
        </w:rPr>
        <w:t>:</w:t>
      </w:r>
      <w:r w:rsidR="00DB1635" w:rsidRPr="00B004EE">
        <w:rPr>
          <w:rFonts w:ascii="Tahoma" w:hAnsi="Tahoma" w:cs="Tahoma"/>
          <w:b/>
          <w:sz w:val="20"/>
          <w:szCs w:val="20"/>
        </w:rPr>
        <w:t xml:space="preserve"> </w:t>
      </w:r>
      <w:r w:rsidRPr="00B004EE">
        <w:rPr>
          <w:rFonts w:ascii="Tahoma" w:hAnsi="Tahoma" w:cs="Tahoma"/>
          <w:sz w:val="20"/>
          <w:szCs w:val="20"/>
        </w:rPr>
        <w:t>Lors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détermination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normes</w:t>
      </w:r>
      <w:r w:rsidR="00DB1635" w:rsidRPr="00B004EE">
        <w:rPr>
          <w:rFonts w:ascii="Tahoma" w:hAnsi="Tahoma" w:cs="Tahoma"/>
          <w:sz w:val="20"/>
          <w:szCs w:val="20"/>
        </w:rPr>
        <w:t xml:space="preserve"> </w:t>
      </w:r>
      <w:r w:rsidRPr="00B004EE">
        <w:rPr>
          <w:rFonts w:ascii="Tahoma" w:hAnsi="Tahoma" w:cs="Tahoma"/>
          <w:sz w:val="20"/>
          <w:szCs w:val="20"/>
        </w:rPr>
        <w:t>réglementaires</w:t>
      </w:r>
      <w:r w:rsidR="00DB1635" w:rsidRPr="00B004EE">
        <w:rPr>
          <w:rFonts w:ascii="Tahoma" w:hAnsi="Tahoma" w:cs="Tahoma"/>
          <w:sz w:val="20"/>
          <w:szCs w:val="20"/>
        </w:rPr>
        <w:t xml:space="preserve"> </w:t>
      </w:r>
      <w:r w:rsidRPr="00B004EE">
        <w:rPr>
          <w:rFonts w:ascii="Tahoma" w:hAnsi="Tahoma" w:cs="Tahoma"/>
          <w:sz w:val="20"/>
          <w:szCs w:val="20"/>
        </w:rPr>
        <w:t>applicables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pacing w:val="-24"/>
          <w:sz w:val="20"/>
          <w:szCs w:val="20"/>
        </w:rPr>
        <w:t xml:space="preserve"> </w:t>
      </w:r>
      <w:r w:rsidRPr="00B004EE">
        <w:rPr>
          <w:rFonts w:ascii="Tahoma" w:hAnsi="Tahoma" w:cs="Tahoma"/>
          <w:sz w:val="20"/>
          <w:szCs w:val="20"/>
        </w:rPr>
        <w:t>la</w:t>
      </w:r>
      <w:r w:rsidR="00DB1635" w:rsidRPr="00B004EE">
        <w:rPr>
          <w:rFonts w:ascii="Tahoma" w:hAnsi="Tahoma" w:cs="Tahoma"/>
          <w:w w:val="98"/>
          <w:sz w:val="20"/>
          <w:szCs w:val="20"/>
        </w:rPr>
        <w:t xml:space="preserve"> </w:t>
      </w:r>
      <w:r w:rsidRPr="00B004EE">
        <w:rPr>
          <w:rFonts w:ascii="Tahoma" w:hAnsi="Tahoma" w:cs="Tahoma"/>
          <w:sz w:val="20"/>
          <w:szCs w:val="20"/>
        </w:rPr>
        <w:t>commercialisation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seront</w:t>
      </w:r>
      <w:r w:rsidR="00DB1635" w:rsidRPr="00B004EE">
        <w:rPr>
          <w:rFonts w:ascii="Tahoma" w:hAnsi="Tahoma" w:cs="Tahoma"/>
          <w:sz w:val="20"/>
          <w:szCs w:val="20"/>
        </w:rPr>
        <w:t xml:space="preserve"> </w:t>
      </w:r>
      <w:r w:rsidRPr="00B004EE">
        <w:rPr>
          <w:rFonts w:ascii="Tahoma" w:hAnsi="Tahoma" w:cs="Tahoma"/>
          <w:sz w:val="20"/>
          <w:szCs w:val="20"/>
        </w:rPr>
        <w:t>prises</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compte,</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pacing w:val="49"/>
          <w:sz w:val="20"/>
          <w:szCs w:val="20"/>
        </w:rPr>
        <w:t xml:space="preserve"> </w:t>
      </w:r>
      <w:r w:rsidRPr="00B004EE">
        <w:rPr>
          <w:rFonts w:ascii="Tahoma" w:hAnsi="Tahoma" w:cs="Tahoma"/>
          <w:sz w:val="20"/>
          <w:szCs w:val="20"/>
        </w:rPr>
        <w:t>cas</w:t>
      </w:r>
      <w:r w:rsidR="00DB1635" w:rsidRPr="00B004EE">
        <w:rPr>
          <w:rFonts w:ascii="Tahoma" w:hAnsi="Tahoma" w:cs="Tahoma"/>
          <w:w w:val="94"/>
          <w:sz w:val="20"/>
          <w:szCs w:val="20"/>
        </w:rPr>
        <w:t xml:space="preserve"> </w:t>
      </w:r>
      <w:r w:rsidRPr="00B004EE">
        <w:rPr>
          <w:rFonts w:ascii="Tahoma" w:hAnsi="Tahoma" w:cs="Tahoma"/>
          <w:sz w:val="20"/>
          <w:szCs w:val="20"/>
        </w:rPr>
        <w:t>échéant,</w:t>
      </w:r>
      <w:r w:rsidR="00DB1635" w:rsidRPr="00B004EE">
        <w:rPr>
          <w:rFonts w:ascii="Tahoma" w:hAnsi="Tahoma" w:cs="Tahoma"/>
          <w:spacing w:val="-21"/>
          <w:sz w:val="20"/>
          <w:szCs w:val="20"/>
        </w:rPr>
        <w:t xml:space="preserve"> </w:t>
      </w:r>
      <w:r w:rsidRPr="00B004EE">
        <w:rPr>
          <w:rFonts w:ascii="Tahoma" w:hAnsi="Tahoma" w:cs="Tahoma"/>
          <w:sz w:val="20"/>
          <w:szCs w:val="20"/>
        </w:rPr>
        <w:t>les</w:t>
      </w:r>
      <w:r w:rsidR="00DB1635" w:rsidRPr="00B004EE">
        <w:rPr>
          <w:rFonts w:ascii="Tahoma" w:hAnsi="Tahoma" w:cs="Tahoma"/>
          <w:spacing w:val="-21"/>
          <w:sz w:val="20"/>
          <w:szCs w:val="20"/>
        </w:rPr>
        <w:t xml:space="preserve"> </w:t>
      </w:r>
      <w:r w:rsidRPr="00B004EE">
        <w:rPr>
          <w:rFonts w:ascii="Tahoma" w:hAnsi="Tahoma" w:cs="Tahoma"/>
          <w:sz w:val="20"/>
          <w:szCs w:val="20"/>
        </w:rPr>
        <w:t>normes</w:t>
      </w:r>
      <w:r w:rsidR="00DB1635" w:rsidRPr="00B004EE">
        <w:rPr>
          <w:rFonts w:ascii="Tahoma" w:hAnsi="Tahoma" w:cs="Tahoma"/>
          <w:spacing w:val="-21"/>
          <w:sz w:val="20"/>
          <w:szCs w:val="20"/>
        </w:rPr>
        <w:t xml:space="preserve"> </w:t>
      </w:r>
      <w:r w:rsidRPr="00B004EE">
        <w:rPr>
          <w:rFonts w:ascii="Tahoma" w:hAnsi="Tahoma" w:cs="Tahoma"/>
          <w:sz w:val="20"/>
          <w:szCs w:val="20"/>
        </w:rPr>
        <w:t>d'hygiène</w:t>
      </w:r>
      <w:r w:rsidR="00DB1635" w:rsidRPr="00B004EE">
        <w:rPr>
          <w:rFonts w:ascii="Tahoma" w:hAnsi="Tahoma" w:cs="Tahoma"/>
          <w:spacing w:val="-20"/>
          <w:sz w:val="20"/>
          <w:szCs w:val="20"/>
        </w:rPr>
        <w:t xml:space="preserve"> </w:t>
      </w:r>
      <w:r w:rsidRPr="00B004EE">
        <w:rPr>
          <w:rFonts w:ascii="Tahoma" w:hAnsi="Tahoma" w:cs="Tahoma"/>
          <w:sz w:val="20"/>
          <w:szCs w:val="20"/>
        </w:rPr>
        <w:t>et</w:t>
      </w:r>
      <w:r w:rsidR="00DB1635" w:rsidRPr="00B004EE">
        <w:rPr>
          <w:rFonts w:ascii="Tahoma" w:hAnsi="Tahoma" w:cs="Tahoma"/>
          <w:spacing w:val="-21"/>
          <w:sz w:val="20"/>
          <w:szCs w:val="20"/>
        </w:rPr>
        <w:t xml:space="preserve"> </w:t>
      </w:r>
      <w:r w:rsidRPr="00B004EE">
        <w:rPr>
          <w:rFonts w:ascii="Tahoma" w:hAnsi="Tahoma" w:cs="Tahoma"/>
          <w:sz w:val="20"/>
          <w:szCs w:val="20"/>
        </w:rPr>
        <w:t>de</w:t>
      </w:r>
      <w:r w:rsidR="00DB1635" w:rsidRPr="00B004EE">
        <w:rPr>
          <w:rFonts w:ascii="Tahoma" w:hAnsi="Tahoma" w:cs="Tahoma"/>
          <w:spacing w:val="-21"/>
          <w:sz w:val="20"/>
          <w:szCs w:val="20"/>
        </w:rPr>
        <w:t xml:space="preserve"> </w:t>
      </w:r>
      <w:r w:rsidRPr="00B004EE">
        <w:rPr>
          <w:rFonts w:ascii="Tahoma" w:hAnsi="Tahoma" w:cs="Tahoma"/>
          <w:sz w:val="20"/>
          <w:szCs w:val="20"/>
        </w:rPr>
        <w:t>salubrité</w:t>
      </w:r>
      <w:r w:rsidR="00DB1635" w:rsidRPr="00B004EE">
        <w:rPr>
          <w:rFonts w:ascii="Tahoma" w:hAnsi="Tahoma" w:cs="Tahoma"/>
          <w:spacing w:val="-20"/>
          <w:sz w:val="20"/>
          <w:szCs w:val="20"/>
        </w:rPr>
        <w:t xml:space="preserve"> </w:t>
      </w:r>
      <w:r w:rsidRPr="00B004EE">
        <w:rPr>
          <w:rFonts w:ascii="Tahoma" w:hAnsi="Tahoma" w:cs="Tahoma"/>
          <w:sz w:val="20"/>
          <w:szCs w:val="20"/>
        </w:rPr>
        <w:t>recommandées</w:t>
      </w:r>
      <w:r w:rsidR="00DB1635" w:rsidRPr="00B004EE">
        <w:rPr>
          <w:rFonts w:ascii="Tahoma" w:hAnsi="Tahoma" w:cs="Tahoma"/>
          <w:spacing w:val="-22"/>
          <w:sz w:val="20"/>
          <w:szCs w:val="20"/>
        </w:rPr>
        <w:t xml:space="preserve"> </w:t>
      </w:r>
      <w:r w:rsidRPr="00B004EE">
        <w:rPr>
          <w:rFonts w:ascii="Tahoma" w:hAnsi="Tahoma" w:cs="Tahoma"/>
          <w:sz w:val="20"/>
          <w:szCs w:val="20"/>
        </w:rPr>
        <w:t>par</w:t>
      </w:r>
      <w:r w:rsidR="00DB1635" w:rsidRPr="00B004EE">
        <w:rPr>
          <w:rFonts w:ascii="Tahoma" w:hAnsi="Tahoma" w:cs="Tahoma"/>
          <w:spacing w:val="-22"/>
          <w:sz w:val="20"/>
          <w:szCs w:val="20"/>
        </w:rPr>
        <w:t xml:space="preserve"> </w:t>
      </w:r>
      <w:r w:rsidRPr="00B004EE">
        <w:rPr>
          <w:rFonts w:ascii="Tahoma" w:hAnsi="Tahoma" w:cs="Tahoma"/>
          <w:sz w:val="20"/>
          <w:szCs w:val="20"/>
        </w:rPr>
        <w:t>les</w:t>
      </w:r>
      <w:r w:rsidR="00DB1635" w:rsidRPr="00B004EE">
        <w:rPr>
          <w:rFonts w:ascii="Tahoma" w:hAnsi="Tahoma" w:cs="Tahoma"/>
          <w:spacing w:val="-22"/>
          <w:sz w:val="20"/>
          <w:szCs w:val="20"/>
        </w:rPr>
        <w:t xml:space="preserve"> </w:t>
      </w:r>
      <w:r w:rsidRPr="00B004EE">
        <w:rPr>
          <w:rFonts w:ascii="Tahoma" w:hAnsi="Tahoma" w:cs="Tahoma"/>
          <w:sz w:val="20"/>
          <w:szCs w:val="20"/>
        </w:rPr>
        <w:t>Organisations</w:t>
      </w:r>
      <w:r w:rsidR="00DB1635" w:rsidRPr="00B004EE">
        <w:rPr>
          <w:rFonts w:ascii="Tahoma" w:hAnsi="Tahoma" w:cs="Tahoma"/>
          <w:w w:val="93"/>
          <w:sz w:val="20"/>
          <w:szCs w:val="20"/>
        </w:rPr>
        <w:t xml:space="preserve"> </w:t>
      </w:r>
      <w:r w:rsidRPr="00B004EE">
        <w:rPr>
          <w:rFonts w:ascii="Tahoma" w:hAnsi="Tahoma" w:cs="Tahoma"/>
          <w:sz w:val="20"/>
          <w:szCs w:val="20"/>
        </w:rPr>
        <w:t>internationales</w:t>
      </w:r>
      <w:r w:rsidR="00DB1635" w:rsidRPr="00B004EE">
        <w:rPr>
          <w:rFonts w:ascii="Tahoma" w:hAnsi="Tahoma" w:cs="Tahoma"/>
          <w:spacing w:val="41"/>
          <w:sz w:val="20"/>
          <w:szCs w:val="20"/>
        </w:rPr>
        <w:t xml:space="preserve"> </w:t>
      </w:r>
      <w:r w:rsidRPr="00B004EE">
        <w:rPr>
          <w:rFonts w:ascii="Tahoma" w:hAnsi="Tahoma" w:cs="Tahoma"/>
          <w:sz w:val="20"/>
          <w:szCs w:val="20"/>
        </w:rPr>
        <w:t>compétentes</w:t>
      </w:r>
      <w:r w:rsidR="00DB1635" w:rsidRPr="00B004EE">
        <w:rPr>
          <w:rFonts w:ascii="Tahoma" w:hAnsi="Tahoma" w:cs="Tahoma"/>
          <w:spacing w:val="41"/>
          <w:sz w:val="20"/>
          <w:szCs w:val="20"/>
        </w:rPr>
        <w:t xml:space="preserve"> </w:t>
      </w:r>
      <w:r w:rsidRPr="00B004EE">
        <w:rPr>
          <w:rFonts w:ascii="Tahoma" w:hAnsi="Tahoma" w:cs="Tahoma"/>
          <w:sz w:val="20"/>
          <w:szCs w:val="20"/>
        </w:rPr>
        <w:t>et,</w:t>
      </w:r>
      <w:r w:rsidR="00DB1635" w:rsidRPr="00B004EE">
        <w:rPr>
          <w:rFonts w:ascii="Tahoma" w:hAnsi="Tahoma" w:cs="Tahoma"/>
          <w:spacing w:val="42"/>
          <w:sz w:val="20"/>
          <w:szCs w:val="20"/>
        </w:rPr>
        <w:t xml:space="preserve"> </w:t>
      </w:r>
      <w:r w:rsidRPr="00B004EE">
        <w:rPr>
          <w:rFonts w:ascii="Tahoma" w:hAnsi="Tahoma" w:cs="Tahoma"/>
          <w:sz w:val="20"/>
          <w:szCs w:val="20"/>
        </w:rPr>
        <w:t>dans</w:t>
      </w:r>
      <w:r w:rsidR="00DB1635" w:rsidRPr="00B004EE">
        <w:rPr>
          <w:rFonts w:ascii="Tahoma" w:hAnsi="Tahoma" w:cs="Tahoma"/>
          <w:spacing w:val="40"/>
          <w:sz w:val="20"/>
          <w:szCs w:val="20"/>
        </w:rPr>
        <w:t xml:space="preserve"> </w:t>
      </w:r>
      <w:r w:rsidRPr="00B004EE">
        <w:rPr>
          <w:rFonts w:ascii="Tahoma" w:hAnsi="Tahoma" w:cs="Tahoma"/>
          <w:sz w:val="20"/>
          <w:szCs w:val="20"/>
        </w:rPr>
        <w:t>une</w:t>
      </w:r>
      <w:r w:rsidR="00DB1635" w:rsidRPr="00B004EE">
        <w:rPr>
          <w:rFonts w:ascii="Tahoma" w:hAnsi="Tahoma" w:cs="Tahoma"/>
          <w:spacing w:val="39"/>
          <w:sz w:val="20"/>
          <w:szCs w:val="20"/>
        </w:rPr>
        <w:t xml:space="preserve"> </w:t>
      </w:r>
      <w:r w:rsidRPr="00B004EE">
        <w:rPr>
          <w:rFonts w:ascii="Tahoma" w:hAnsi="Tahoma" w:cs="Tahoma"/>
          <w:sz w:val="20"/>
          <w:szCs w:val="20"/>
        </w:rPr>
        <w:t>mesure</w:t>
      </w:r>
      <w:r w:rsidR="00DB1635" w:rsidRPr="00B004EE">
        <w:rPr>
          <w:rFonts w:ascii="Tahoma" w:hAnsi="Tahoma" w:cs="Tahoma"/>
          <w:spacing w:val="40"/>
          <w:sz w:val="20"/>
          <w:szCs w:val="20"/>
        </w:rPr>
        <w:t xml:space="preserve"> </w:t>
      </w:r>
      <w:r w:rsidRPr="00B004EE">
        <w:rPr>
          <w:rFonts w:ascii="Tahoma" w:hAnsi="Tahoma" w:cs="Tahoma"/>
          <w:sz w:val="20"/>
          <w:szCs w:val="20"/>
        </w:rPr>
        <w:t>appropriée,</w:t>
      </w:r>
      <w:r w:rsidR="00DB1635" w:rsidRPr="00B004EE">
        <w:rPr>
          <w:rFonts w:ascii="Tahoma" w:hAnsi="Tahoma" w:cs="Tahoma"/>
          <w:spacing w:val="40"/>
          <w:sz w:val="20"/>
          <w:szCs w:val="20"/>
        </w:rPr>
        <w:t xml:space="preserve"> </w:t>
      </w:r>
      <w:r w:rsidRPr="00B004EE">
        <w:rPr>
          <w:rFonts w:ascii="Tahoma" w:hAnsi="Tahoma" w:cs="Tahoma"/>
          <w:sz w:val="20"/>
          <w:szCs w:val="20"/>
        </w:rPr>
        <w:t>les</w:t>
      </w:r>
      <w:r w:rsidR="00DB1635" w:rsidRPr="00B004EE">
        <w:rPr>
          <w:rFonts w:ascii="Tahoma" w:hAnsi="Tahoma" w:cs="Tahoma"/>
          <w:spacing w:val="39"/>
          <w:sz w:val="20"/>
          <w:szCs w:val="20"/>
        </w:rPr>
        <w:t xml:space="preserve"> </w:t>
      </w:r>
      <w:r w:rsidRPr="00B004EE">
        <w:rPr>
          <w:rFonts w:ascii="Tahoma" w:hAnsi="Tahoma" w:cs="Tahoma"/>
          <w:sz w:val="20"/>
          <w:szCs w:val="20"/>
        </w:rPr>
        <w:t>pratiques</w:t>
      </w:r>
      <w:r w:rsidR="00DB1635" w:rsidRPr="00B004EE">
        <w:rPr>
          <w:rFonts w:ascii="Tahoma" w:hAnsi="Tahoma" w:cs="Tahoma"/>
          <w:spacing w:val="39"/>
          <w:sz w:val="20"/>
          <w:szCs w:val="20"/>
        </w:rPr>
        <w:t xml:space="preserve"> </w:t>
      </w:r>
      <w:r w:rsidRPr="00B004EE">
        <w:rPr>
          <w:rFonts w:ascii="Tahoma" w:hAnsi="Tahoma" w:cs="Tahoma"/>
          <w:sz w:val="20"/>
          <w:szCs w:val="20"/>
        </w:rPr>
        <w:t>et</w:t>
      </w:r>
      <w:r w:rsidR="00DB1635" w:rsidRPr="00B004EE">
        <w:rPr>
          <w:rFonts w:ascii="Tahoma" w:hAnsi="Tahoma" w:cs="Tahoma"/>
          <w:w w:val="95"/>
          <w:sz w:val="20"/>
          <w:szCs w:val="20"/>
        </w:rPr>
        <w:t xml:space="preserve"> </w:t>
      </w:r>
      <w:r w:rsidRPr="00B004EE">
        <w:rPr>
          <w:rFonts w:ascii="Tahoma" w:hAnsi="Tahoma" w:cs="Tahoma"/>
          <w:sz w:val="20"/>
          <w:szCs w:val="20"/>
        </w:rPr>
        <w:t>usages</w:t>
      </w:r>
      <w:r w:rsidR="00DB1635" w:rsidRPr="00B004EE">
        <w:rPr>
          <w:rFonts w:ascii="Tahoma" w:hAnsi="Tahoma" w:cs="Tahoma"/>
          <w:sz w:val="20"/>
          <w:szCs w:val="20"/>
        </w:rPr>
        <w:t xml:space="preserve"> </w:t>
      </w:r>
      <w:r w:rsidRPr="00B004EE">
        <w:rPr>
          <w:rFonts w:ascii="Tahoma" w:hAnsi="Tahoma" w:cs="Tahoma"/>
          <w:sz w:val="20"/>
          <w:szCs w:val="20"/>
        </w:rPr>
        <w:t>généralement</w:t>
      </w:r>
      <w:r w:rsidR="00DB1635" w:rsidRPr="00B004EE">
        <w:rPr>
          <w:rFonts w:ascii="Tahoma" w:hAnsi="Tahoma" w:cs="Tahoma"/>
          <w:sz w:val="20"/>
          <w:szCs w:val="20"/>
        </w:rPr>
        <w:t xml:space="preserve"> </w:t>
      </w:r>
      <w:r w:rsidRPr="00B004EE">
        <w:rPr>
          <w:rFonts w:ascii="Tahoma" w:hAnsi="Tahoma" w:cs="Tahoma"/>
          <w:sz w:val="20"/>
          <w:szCs w:val="20"/>
        </w:rPr>
        <w:t>suivis</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États</w:t>
      </w:r>
      <w:r w:rsidR="00DB1635" w:rsidRPr="00B004EE">
        <w:rPr>
          <w:rFonts w:ascii="Tahoma" w:hAnsi="Tahoma" w:cs="Tahoma"/>
          <w:sz w:val="20"/>
          <w:szCs w:val="20"/>
        </w:rPr>
        <w:t xml:space="preserve"> </w:t>
      </w:r>
      <w:r w:rsidRPr="00B004EE">
        <w:rPr>
          <w:rFonts w:ascii="Tahoma" w:hAnsi="Tahoma" w:cs="Tahoma"/>
          <w:sz w:val="20"/>
          <w:szCs w:val="20"/>
        </w:rPr>
        <w:t>importateurs</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pacing w:val="50"/>
          <w:sz w:val="20"/>
          <w:szCs w:val="20"/>
        </w:rPr>
        <w:t xml:space="preserve"> </w:t>
      </w:r>
      <w:r w:rsidRPr="00B004EE">
        <w:rPr>
          <w:rFonts w:ascii="Tahoma" w:hAnsi="Tahoma" w:cs="Tahoma"/>
          <w:sz w:val="20"/>
          <w:szCs w:val="20"/>
        </w:rPr>
        <w:t>potentiellement</w:t>
      </w:r>
      <w:r w:rsidR="00DB1635" w:rsidRPr="00B004EE">
        <w:rPr>
          <w:rFonts w:ascii="Tahoma" w:hAnsi="Tahoma" w:cs="Tahoma"/>
          <w:w w:val="95"/>
          <w:sz w:val="20"/>
          <w:szCs w:val="20"/>
        </w:rPr>
        <w:t xml:space="preserve"> </w:t>
      </w:r>
      <w:r w:rsidRPr="00B004EE">
        <w:rPr>
          <w:rFonts w:ascii="Tahoma" w:hAnsi="Tahoma" w:cs="Tahoma"/>
          <w:sz w:val="20"/>
          <w:szCs w:val="20"/>
        </w:rPr>
        <w:t>importateurs</w:t>
      </w:r>
      <w:r w:rsidR="00DB1635" w:rsidRPr="00B004EE">
        <w:rPr>
          <w:rFonts w:ascii="Tahoma" w:hAnsi="Tahoma" w:cs="Tahoma"/>
          <w:spacing w:val="-25"/>
          <w:sz w:val="20"/>
          <w:szCs w:val="20"/>
        </w:rPr>
        <w:t xml:space="preserve"> </w:t>
      </w:r>
      <w:r w:rsidRPr="00B004EE">
        <w:rPr>
          <w:rFonts w:ascii="Tahoma" w:hAnsi="Tahoma" w:cs="Tahoma"/>
          <w:sz w:val="20"/>
          <w:szCs w:val="20"/>
        </w:rPr>
        <w:t>de</w:t>
      </w:r>
      <w:r w:rsidR="00DB1635" w:rsidRPr="00B004EE">
        <w:rPr>
          <w:rFonts w:ascii="Tahoma" w:hAnsi="Tahoma" w:cs="Tahoma"/>
          <w:spacing w:val="-25"/>
          <w:sz w:val="20"/>
          <w:szCs w:val="20"/>
        </w:rPr>
        <w:t xml:space="preserve"> </w:t>
      </w:r>
      <w:r w:rsidRPr="00B004EE">
        <w:rPr>
          <w:rFonts w:ascii="Tahoma" w:hAnsi="Tahoma" w:cs="Tahoma"/>
          <w:sz w:val="20"/>
          <w:szCs w:val="20"/>
        </w:rPr>
        <w:t>produits</w:t>
      </w:r>
      <w:r w:rsidR="00DB1635" w:rsidRPr="00B004EE">
        <w:rPr>
          <w:rFonts w:ascii="Tahoma" w:hAnsi="Tahoma" w:cs="Tahoma"/>
          <w:spacing w:val="-25"/>
          <w:sz w:val="20"/>
          <w:szCs w:val="20"/>
        </w:rPr>
        <w:t xml:space="preserve"> </w:t>
      </w:r>
      <w:r w:rsidRPr="00B004EE">
        <w:rPr>
          <w:rFonts w:ascii="Tahoma" w:hAnsi="Tahoma" w:cs="Tahoma"/>
          <w:sz w:val="20"/>
          <w:szCs w:val="20"/>
        </w:rPr>
        <w:t>de</w:t>
      </w:r>
      <w:r w:rsidR="00DB1635" w:rsidRPr="00B004EE">
        <w:rPr>
          <w:rFonts w:ascii="Tahoma" w:hAnsi="Tahoma" w:cs="Tahoma"/>
          <w:spacing w:val="-25"/>
          <w:sz w:val="20"/>
          <w:szCs w:val="20"/>
        </w:rPr>
        <w:t xml:space="preserve"> </w:t>
      </w:r>
      <w:r w:rsidRPr="00B004EE">
        <w:rPr>
          <w:rFonts w:ascii="Tahoma" w:hAnsi="Tahoma" w:cs="Tahoma"/>
          <w:sz w:val="20"/>
          <w:szCs w:val="20"/>
        </w:rPr>
        <w:t>la</w:t>
      </w:r>
      <w:r w:rsidR="00DB1635" w:rsidRPr="00B004EE">
        <w:rPr>
          <w:rFonts w:ascii="Tahoma" w:hAnsi="Tahoma" w:cs="Tahoma"/>
          <w:spacing w:val="-25"/>
          <w:sz w:val="20"/>
          <w:szCs w:val="20"/>
        </w:rPr>
        <w:t xml:space="preserve"> </w:t>
      </w:r>
      <w:r w:rsidRPr="00B004EE">
        <w:rPr>
          <w:rFonts w:ascii="Tahoma" w:hAnsi="Tahoma" w:cs="Tahoma"/>
          <w:sz w:val="20"/>
          <w:szCs w:val="20"/>
        </w:rPr>
        <w:t>pêche</w:t>
      </w:r>
      <w:r w:rsidR="00DB1635" w:rsidRPr="00B004EE">
        <w:rPr>
          <w:rFonts w:ascii="Tahoma" w:hAnsi="Tahoma" w:cs="Tahoma"/>
          <w:spacing w:val="-25"/>
          <w:sz w:val="20"/>
          <w:szCs w:val="20"/>
        </w:rPr>
        <w:t xml:space="preserve"> </w:t>
      </w:r>
      <w:r w:rsidRPr="00B004EE">
        <w:rPr>
          <w:rFonts w:ascii="Tahoma" w:hAnsi="Tahoma" w:cs="Tahoma"/>
          <w:sz w:val="20"/>
          <w:szCs w:val="20"/>
        </w:rPr>
        <w:t>de</w:t>
      </w:r>
      <w:r w:rsidR="00DB1635" w:rsidRPr="00B004EE">
        <w:rPr>
          <w:rFonts w:ascii="Tahoma" w:hAnsi="Tahoma" w:cs="Tahoma"/>
          <w:spacing w:val="-25"/>
          <w:sz w:val="20"/>
          <w:szCs w:val="20"/>
        </w:rPr>
        <w:t xml:space="preserve"> </w:t>
      </w:r>
      <w:r w:rsidRPr="00B004EE">
        <w:rPr>
          <w:rFonts w:ascii="Tahoma" w:hAnsi="Tahoma" w:cs="Tahoma"/>
          <w:sz w:val="20"/>
          <w:szCs w:val="20"/>
        </w:rPr>
        <w:t>la</w:t>
      </w:r>
      <w:r w:rsidR="00DB1635" w:rsidRPr="00B004EE">
        <w:rPr>
          <w:rFonts w:ascii="Tahoma" w:hAnsi="Tahoma" w:cs="Tahoma"/>
          <w:spacing w:val="-25"/>
          <w:sz w:val="20"/>
          <w:szCs w:val="20"/>
        </w:rPr>
        <w:t xml:space="preserve"> </w:t>
      </w:r>
      <w:r w:rsidRPr="00B004EE">
        <w:rPr>
          <w:rFonts w:ascii="Tahoma" w:hAnsi="Tahoma" w:cs="Tahoma"/>
          <w:sz w:val="20"/>
          <w:szCs w:val="20"/>
        </w:rPr>
        <w:t>Mauritanie.</w:t>
      </w:r>
    </w:p>
    <w:p w14:paraId="0419A2F7" w14:textId="77777777" w:rsidR="00337E3A" w:rsidRPr="00B004EE" w:rsidRDefault="00337E3A" w:rsidP="00B004EE">
      <w:pPr>
        <w:rPr>
          <w:rFonts w:ascii="Tahoma" w:hAnsi="Tahoma" w:cs="Tahoma"/>
          <w:sz w:val="20"/>
          <w:szCs w:val="20"/>
        </w:rPr>
      </w:pPr>
    </w:p>
    <w:p w14:paraId="135A1078" w14:textId="6B1ED9CA" w:rsidR="001E7C3C" w:rsidRPr="00B004EE" w:rsidRDefault="001E7C3C" w:rsidP="00B004EE">
      <w:pPr>
        <w:jc w:val="center"/>
        <w:rPr>
          <w:rFonts w:ascii="Tahoma" w:eastAsia="American Typewriter" w:hAnsi="Tahoma" w:cs="Tahoma"/>
          <w:b/>
          <w:bCs/>
          <w:sz w:val="20"/>
          <w:szCs w:val="20"/>
        </w:rPr>
      </w:pPr>
      <w:bookmarkStart w:id="99" w:name="_Toc16279082"/>
      <w:bookmarkStart w:id="100" w:name="_Toc16279451"/>
      <w:r w:rsidRPr="00B004EE">
        <w:rPr>
          <w:rFonts w:ascii="Tahoma" w:eastAsia="American Typewriter" w:hAnsi="Tahoma" w:cs="Tahoma"/>
          <w:b/>
          <w:bCs/>
          <w:sz w:val="20"/>
          <w:szCs w:val="20"/>
        </w:rPr>
        <w:t>TITRE</w:t>
      </w:r>
      <w:r w:rsidR="00DB1635" w:rsidRPr="00B004EE">
        <w:rPr>
          <w:rFonts w:ascii="Tahoma" w:eastAsia="American Typewriter" w:hAnsi="Tahoma" w:cs="Tahoma"/>
          <w:b/>
          <w:bCs/>
          <w:sz w:val="20"/>
          <w:szCs w:val="20"/>
        </w:rPr>
        <w:t xml:space="preserve"> </w:t>
      </w:r>
      <w:r w:rsidR="00BB060F" w:rsidRPr="00B004EE">
        <w:rPr>
          <w:rFonts w:ascii="Tahoma" w:eastAsia="American Typewriter" w:hAnsi="Tahoma" w:cs="Tahoma"/>
          <w:b/>
          <w:bCs/>
          <w:sz w:val="20"/>
          <w:szCs w:val="20"/>
        </w:rPr>
        <w:t>VI :</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DISPOSITIONS</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RELATIVES</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AU</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CONTRÔLE</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ET</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A</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LA</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SURVEILLANCE</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DES</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ACTIVITES</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DE</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PECHE</w:t>
      </w:r>
      <w:bookmarkEnd w:id="99"/>
      <w:bookmarkEnd w:id="100"/>
    </w:p>
    <w:p w14:paraId="013687C4" w14:textId="77777777" w:rsidR="001E7C3C" w:rsidRPr="00B004EE" w:rsidRDefault="001E7C3C" w:rsidP="00B004EE">
      <w:pPr>
        <w:jc w:val="center"/>
        <w:rPr>
          <w:rFonts w:ascii="Tahoma" w:eastAsia="American Typewriter" w:hAnsi="Tahoma" w:cs="Tahoma"/>
          <w:b/>
          <w:bCs/>
          <w:sz w:val="20"/>
          <w:szCs w:val="20"/>
        </w:rPr>
      </w:pPr>
    </w:p>
    <w:p w14:paraId="24031836" w14:textId="1CC17622" w:rsidR="001E7C3C" w:rsidRPr="00B004EE" w:rsidRDefault="001E7C3C" w:rsidP="00B004EE">
      <w:pPr>
        <w:jc w:val="center"/>
        <w:rPr>
          <w:rFonts w:ascii="Tahoma" w:eastAsia="American Typewriter" w:hAnsi="Tahoma" w:cs="Tahoma"/>
          <w:b/>
          <w:bCs/>
          <w:sz w:val="20"/>
          <w:szCs w:val="20"/>
        </w:rPr>
      </w:pPr>
      <w:bookmarkStart w:id="101" w:name="_Toc16279083"/>
      <w:bookmarkStart w:id="102" w:name="_Toc16279452"/>
      <w:r w:rsidRPr="00B004EE">
        <w:rPr>
          <w:rFonts w:ascii="Tahoma" w:eastAsia="American Typewriter" w:hAnsi="Tahoma" w:cs="Tahoma"/>
          <w:b/>
          <w:bCs/>
          <w:sz w:val="20"/>
          <w:szCs w:val="20"/>
        </w:rPr>
        <w:t>CHAPITRE</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PREMIER</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RECHERCHE</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ET</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CONSTATATION</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DES</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INFRACTIONS</w:t>
      </w:r>
      <w:bookmarkEnd w:id="101"/>
      <w:bookmarkEnd w:id="102"/>
    </w:p>
    <w:p w14:paraId="25C49754" w14:textId="77777777" w:rsidR="001E7C3C" w:rsidRPr="00B004EE" w:rsidRDefault="001E7C3C" w:rsidP="00B004EE">
      <w:pPr>
        <w:jc w:val="center"/>
        <w:rPr>
          <w:rFonts w:ascii="Tahoma" w:eastAsia="American Typewriter" w:hAnsi="Tahoma" w:cs="Tahoma"/>
          <w:b/>
          <w:bCs/>
          <w:sz w:val="20"/>
          <w:szCs w:val="20"/>
        </w:rPr>
      </w:pPr>
    </w:p>
    <w:p w14:paraId="01EE29FA" w14:textId="35C6AAAD" w:rsidR="001E7C3C" w:rsidRPr="00B004EE" w:rsidRDefault="001E7C3C" w:rsidP="00B004EE">
      <w:pPr>
        <w:jc w:val="center"/>
        <w:rPr>
          <w:rFonts w:ascii="Tahoma" w:eastAsia="American Typewriter" w:hAnsi="Tahoma" w:cs="Tahoma"/>
          <w:b/>
          <w:bCs/>
          <w:sz w:val="20"/>
          <w:szCs w:val="20"/>
        </w:rPr>
      </w:pPr>
      <w:bookmarkStart w:id="103" w:name="_Toc16279084"/>
      <w:bookmarkStart w:id="104" w:name="_Toc16279453"/>
      <w:r w:rsidRPr="00B004EE">
        <w:rPr>
          <w:rFonts w:ascii="Tahoma" w:eastAsia="American Typewriter" w:hAnsi="Tahoma" w:cs="Tahoma"/>
          <w:b/>
          <w:bCs/>
          <w:sz w:val="20"/>
          <w:szCs w:val="20"/>
        </w:rPr>
        <w:t>Section</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première</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De</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l'Autorité</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chargée</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de</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la</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surveillance</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des</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pêches.</w:t>
      </w:r>
      <w:bookmarkEnd w:id="103"/>
      <w:bookmarkEnd w:id="104"/>
    </w:p>
    <w:p w14:paraId="28CD1D59" w14:textId="77777777" w:rsidR="001E7C3C" w:rsidRPr="00B004EE" w:rsidRDefault="001E7C3C" w:rsidP="00B004EE">
      <w:pPr>
        <w:rPr>
          <w:rFonts w:ascii="Tahoma" w:eastAsia="American Typewriter" w:hAnsi="Tahoma" w:cs="Tahoma"/>
          <w:b/>
          <w:bCs/>
          <w:sz w:val="20"/>
          <w:szCs w:val="20"/>
        </w:rPr>
      </w:pPr>
    </w:p>
    <w:p w14:paraId="5FEBA009" w14:textId="2077250D" w:rsidR="001E7C3C" w:rsidRPr="00B004EE" w:rsidRDefault="001E7C3C" w:rsidP="00B004EE">
      <w:pPr>
        <w:pStyle w:val="Corpsdetexte"/>
        <w:ind w:right="160"/>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60</w:t>
      </w:r>
      <w:r w:rsidR="00DB1635" w:rsidRPr="00B004EE">
        <w:rPr>
          <w:rFonts w:ascii="Tahoma" w:hAnsi="Tahoma" w:cs="Tahoma"/>
          <w:bCs/>
          <w:sz w:val="20"/>
          <w:szCs w:val="20"/>
        </w:rPr>
        <w:t xml:space="preserve"> </w:t>
      </w:r>
      <w:r w:rsidRPr="00B004EE">
        <w:rPr>
          <w:rFonts w:ascii="Tahoma" w:hAnsi="Tahoma" w:cs="Tahoma"/>
          <w:bCs/>
          <w:sz w:val="20"/>
          <w:szCs w:val="20"/>
        </w:rPr>
        <w:t>:</w:t>
      </w:r>
      <w:r w:rsidR="00DB1635" w:rsidRPr="00B004EE">
        <w:rPr>
          <w:rFonts w:ascii="Tahoma" w:hAnsi="Tahoma" w:cs="Tahoma"/>
          <w:b/>
          <w:spacing w:val="-3"/>
          <w:sz w:val="20"/>
          <w:szCs w:val="20"/>
        </w:rPr>
        <w:t xml:space="preserve"> </w:t>
      </w:r>
      <w:r w:rsidRPr="00B004EE">
        <w:rPr>
          <w:rFonts w:ascii="Tahoma" w:hAnsi="Tahoma" w:cs="Tahoma"/>
          <w:sz w:val="20"/>
          <w:szCs w:val="20"/>
        </w:rPr>
        <w:t>Le</w:t>
      </w:r>
      <w:r w:rsidR="00DB1635" w:rsidRPr="00B004EE">
        <w:rPr>
          <w:rFonts w:ascii="Tahoma" w:hAnsi="Tahoma" w:cs="Tahoma"/>
          <w:spacing w:val="-6"/>
          <w:sz w:val="20"/>
          <w:szCs w:val="20"/>
        </w:rPr>
        <w:t xml:space="preserve"> </w:t>
      </w:r>
      <w:r w:rsidRPr="00B004EE">
        <w:rPr>
          <w:rFonts w:ascii="Tahoma" w:hAnsi="Tahoma" w:cs="Tahoma"/>
          <w:sz w:val="20"/>
          <w:szCs w:val="20"/>
        </w:rPr>
        <w:t>ministre</w:t>
      </w:r>
      <w:r w:rsidR="00DB1635" w:rsidRPr="00B004EE">
        <w:rPr>
          <w:rFonts w:ascii="Tahoma" w:hAnsi="Tahoma" w:cs="Tahoma"/>
          <w:spacing w:val="-8"/>
          <w:sz w:val="20"/>
          <w:szCs w:val="20"/>
        </w:rPr>
        <w:t xml:space="preserve"> </w:t>
      </w:r>
      <w:r w:rsidRPr="00B004EE">
        <w:rPr>
          <w:rFonts w:ascii="Tahoma" w:hAnsi="Tahoma" w:cs="Tahoma"/>
          <w:sz w:val="20"/>
          <w:szCs w:val="20"/>
        </w:rPr>
        <w:t>chargé</w:t>
      </w:r>
      <w:r w:rsidR="00DB1635" w:rsidRPr="00B004EE">
        <w:rPr>
          <w:rFonts w:ascii="Tahoma" w:hAnsi="Tahoma" w:cs="Tahoma"/>
          <w:spacing w:val="-8"/>
          <w:sz w:val="20"/>
          <w:szCs w:val="20"/>
        </w:rPr>
        <w:t xml:space="preserve"> </w:t>
      </w:r>
      <w:r w:rsidRPr="00B004EE">
        <w:rPr>
          <w:rFonts w:ascii="Tahoma" w:hAnsi="Tahoma" w:cs="Tahoma"/>
          <w:sz w:val="20"/>
          <w:szCs w:val="20"/>
        </w:rPr>
        <w:t>des</w:t>
      </w:r>
      <w:r w:rsidR="00DB1635" w:rsidRPr="00B004EE">
        <w:rPr>
          <w:rFonts w:ascii="Tahoma" w:hAnsi="Tahoma" w:cs="Tahoma"/>
          <w:spacing w:val="-8"/>
          <w:sz w:val="20"/>
          <w:szCs w:val="20"/>
        </w:rPr>
        <w:t xml:space="preserve"> </w:t>
      </w:r>
      <w:r w:rsidRPr="00B004EE">
        <w:rPr>
          <w:rFonts w:ascii="Tahoma" w:hAnsi="Tahoma" w:cs="Tahoma"/>
          <w:sz w:val="20"/>
          <w:szCs w:val="20"/>
        </w:rPr>
        <w:t>pêches</w:t>
      </w:r>
      <w:r w:rsidR="00DB1635" w:rsidRPr="00B004EE">
        <w:rPr>
          <w:rFonts w:ascii="Tahoma" w:hAnsi="Tahoma" w:cs="Tahoma"/>
          <w:spacing w:val="-8"/>
          <w:sz w:val="20"/>
          <w:szCs w:val="20"/>
        </w:rPr>
        <w:t xml:space="preserve"> </w:t>
      </w:r>
      <w:r w:rsidRPr="00B004EE">
        <w:rPr>
          <w:rFonts w:ascii="Tahoma" w:hAnsi="Tahoma" w:cs="Tahoma"/>
          <w:sz w:val="20"/>
          <w:szCs w:val="20"/>
        </w:rPr>
        <w:t>est</w:t>
      </w:r>
      <w:r w:rsidR="00DB1635" w:rsidRPr="00B004EE">
        <w:rPr>
          <w:rFonts w:ascii="Tahoma" w:hAnsi="Tahoma" w:cs="Tahoma"/>
          <w:spacing w:val="-8"/>
          <w:sz w:val="20"/>
          <w:szCs w:val="20"/>
        </w:rPr>
        <w:t xml:space="preserve"> </w:t>
      </w:r>
      <w:r w:rsidRPr="00B004EE">
        <w:rPr>
          <w:rFonts w:ascii="Tahoma" w:hAnsi="Tahoma" w:cs="Tahoma"/>
          <w:sz w:val="20"/>
          <w:szCs w:val="20"/>
        </w:rPr>
        <w:t>responsable</w:t>
      </w:r>
      <w:r w:rsidR="00DB1635" w:rsidRPr="00B004EE">
        <w:rPr>
          <w:rFonts w:ascii="Tahoma" w:hAnsi="Tahoma" w:cs="Tahoma"/>
          <w:spacing w:val="-8"/>
          <w:sz w:val="20"/>
          <w:szCs w:val="20"/>
        </w:rPr>
        <w:t xml:space="preserve"> </w:t>
      </w:r>
      <w:r w:rsidRPr="00B004EE">
        <w:rPr>
          <w:rFonts w:ascii="Tahoma" w:hAnsi="Tahoma" w:cs="Tahoma"/>
          <w:sz w:val="20"/>
          <w:szCs w:val="20"/>
        </w:rPr>
        <w:t>de</w:t>
      </w:r>
      <w:r w:rsidR="00DB1635" w:rsidRPr="00B004EE">
        <w:rPr>
          <w:rFonts w:ascii="Tahoma" w:hAnsi="Tahoma" w:cs="Tahoma"/>
          <w:spacing w:val="-8"/>
          <w:sz w:val="20"/>
          <w:szCs w:val="20"/>
        </w:rPr>
        <w:t xml:space="preserve"> </w:t>
      </w:r>
      <w:r w:rsidRPr="00B004EE">
        <w:rPr>
          <w:rFonts w:ascii="Tahoma" w:hAnsi="Tahoma" w:cs="Tahoma"/>
          <w:sz w:val="20"/>
          <w:szCs w:val="20"/>
        </w:rPr>
        <w:t>la</w:t>
      </w:r>
      <w:r w:rsidR="00DB1635" w:rsidRPr="00B004EE">
        <w:rPr>
          <w:rFonts w:ascii="Tahoma" w:hAnsi="Tahoma" w:cs="Tahoma"/>
          <w:spacing w:val="-7"/>
          <w:sz w:val="20"/>
          <w:szCs w:val="20"/>
        </w:rPr>
        <w:t xml:space="preserve"> </w:t>
      </w:r>
      <w:r w:rsidRPr="00B004EE">
        <w:rPr>
          <w:rFonts w:ascii="Tahoma" w:hAnsi="Tahoma" w:cs="Tahoma"/>
          <w:sz w:val="20"/>
          <w:szCs w:val="20"/>
        </w:rPr>
        <w:t>coordination</w:t>
      </w:r>
      <w:r w:rsidR="00DB1635" w:rsidRPr="00B004EE">
        <w:rPr>
          <w:rFonts w:ascii="Tahoma" w:hAnsi="Tahoma" w:cs="Tahoma"/>
          <w:spacing w:val="-8"/>
          <w:sz w:val="20"/>
          <w:szCs w:val="20"/>
        </w:rPr>
        <w:t xml:space="preserve"> </w:t>
      </w:r>
      <w:r w:rsidRPr="00B004EE">
        <w:rPr>
          <w:rFonts w:ascii="Tahoma" w:hAnsi="Tahoma" w:cs="Tahoma"/>
          <w:sz w:val="20"/>
          <w:szCs w:val="20"/>
        </w:rPr>
        <w:t>des</w:t>
      </w:r>
      <w:r w:rsidR="00DB1635" w:rsidRPr="00B004EE">
        <w:rPr>
          <w:rFonts w:ascii="Tahoma" w:hAnsi="Tahoma" w:cs="Tahoma"/>
          <w:w w:val="94"/>
          <w:sz w:val="20"/>
          <w:szCs w:val="20"/>
        </w:rPr>
        <w:t xml:space="preserve"> </w:t>
      </w:r>
      <w:r w:rsidRPr="00B004EE">
        <w:rPr>
          <w:rFonts w:ascii="Tahoma" w:hAnsi="Tahoma" w:cs="Tahoma"/>
          <w:sz w:val="20"/>
          <w:szCs w:val="20"/>
        </w:rPr>
        <w:t>opérations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contrôle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surveillance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pêcheries,</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eaux</w:t>
      </w:r>
      <w:r w:rsidR="00DB1635" w:rsidRPr="00B004EE">
        <w:rPr>
          <w:rFonts w:ascii="Tahoma" w:hAnsi="Tahoma" w:cs="Tahoma"/>
          <w:spacing w:val="33"/>
          <w:sz w:val="20"/>
          <w:szCs w:val="20"/>
        </w:rPr>
        <w:t xml:space="preserve"> </w:t>
      </w:r>
      <w:r w:rsidRPr="00B004EE">
        <w:rPr>
          <w:rFonts w:ascii="Tahoma" w:hAnsi="Tahoma" w:cs="Tahoma"/>
          <w:sz w:val="20"/>
          <w:szCs w:val="20"/>
        </w:rPr>
        <w:t>sous</w:t>
      </w:r>
      <w:r w:rsidR="00DB1635" w:rsidRPr="00B004EE">
        <w:rPr>
          <w:rFonts w:ascii="Tahoma" w:hAnsi="Tahoma" w:cs="Tahoma"/>
          <w:w w:val="94"/>
          <w:sz w:val="20"/>
          <w:szCs w:val="20"/>
        </w:rPr>
        <w:t xml:space="preserve"> </w:t>
      </w:r>
      <w:r w:rsidRPr="00B004EE">
        <w:rPr>
          <w:rFonts w:ascii="Tahoma" w:hAnsi="Tahoma" w:cs="Tahoma"/>
          <w:sz w:val="20"/>
          <w:szCs w:val="20"/>
        </w:rPr>
        <w:t>juridiction</w:t>
      </w:r>
      <w:r w:rsidR="00DB1635" w:rsidRPr="00B004EE">
        <w:rPr>
          <w:rFonts w:ascii="Tahoma" w:hAnsi="Tahoma" w:cs="Tahoma"/>
          <w:spacing w:val="-32"/>
          <w:sz w:val="20"/>
          <w:szCs w:val="20"/>
        </w:rPr>
        <w:t xml:space="preserve"> </w:t>
      </w:r>
      <w:r w:rsidRPr="00B004EE">
        <w:rPr>
          <w:rFonts w:ascii="Tahoma" w:hAnsi="Tahoma" w:cs="Tahoma"/>
          <w:sz w:val="20"/>
          <w:szCs w:val="20"/>
        </w:rPr>
        <w:t>mauritanienne,</w:t>
      </w:r>
      <w:r w:rsidR="00DB1635" w:rsidRPr="00B004EE">
        <w:rPr>
          <w:rFonts w:ascii="Tahoma" w:hAnsi="Tahoma" w:cs="Tahoma"/>
          <w:spacing w:val="-32"/>
          <w:sz w:val="20"/>
          <w:szCs w:val="20"/>
        </w:rPr>
        <w:t xml:space="preserve"> </w:t>
      </w:r>
      <w:r w:rsidRPr="00B004EE">
        <w:rPr>
          <w:rFonts w:ascii="Tahoma" w:hAnsi="Tahoma" w:cs="Tahoma"/>
          <w:sz w:val="20"/>
          <w:szCs w:val="20"/>
        </w:rPr>
        <w:t>conformément</w:t>
      </w:r>
      <w:r w:rsidR="00DB1635" w:rsidRPr="00B004EE">
        <w:rPr>
          <w:rFonts w:ascii="Tahoma" w:hAnsi="Tahoma" w:cs="Tahoma"/>
          <w:spacing w:val="-31"/>
          <w:sz w:val="20"/>
          <w:szCs w:val="20"/>
        </w:rPr>
        <w:t xml:space="preserve"> </w:t>
      </w:r>
      <w:r w:rsidRPr="00B004EE">
        <w:rPr>
          <w:rFonts w:ascii="Tahoma" w:hAnsi="Tahoma" w:cs="Tahoma"/>
          <w:sz w:val="20"/>
          <w:szCs w:val="20"/>
        </w:rPr>
        <w:t>aux</w:t>
      </w:r>
      <w:r w:rsidR="00DB1635" w:rsidRPr="00B004EE">
        <w:rPr>
          <w:rFonts w:ascii="Tahoma" w:hAnsi="Tahoma" w:cs="Tahoma"/>
          <w:spacing w:val="-32"/>
          <w:sz w:val="20"/>
          <w:szCs w:val="20"/>
        </w:rPr>
        <w:t xml:space="preserve"> </w:t>
      </w:r>
      <w:r w:rsidRPr="00B004EE">
        <w:rPr>
          <w:rFonts w:ascii="Tahoma" w:hAnsi="Tahoma" w:cs="Tahoma"/>
          <w:sz w:val="20"/>
          <w:szCs w:val="20"/>
        </w:rPr>
        <w:t>dispositions</w:t>
      </w:r>
      <w:r w:rsidR="00DB1635" w:rsidRPr="00B004EE">
        <w:rPr>
          <w:rFonts w:ascii="Tahoma" w:hAnsi="Tahoma" w:cs="Tahoma"/>
          <w:spacing w:val="-32"/>
          <w:sz w:val="20"/>
          <w:szCs w:val="20"/>
        </w:rPr>
        <w:t xml:space="preserve"> </w:t>
      </w:r>
      <w:r w:rsidRPr="00B004EE">
        <w:rPr>
          <w:rFonts w:ascii="Tahoma" w:hAnsi="Tahoma" w:cs="Tahoma"/>
          <w:sz w:val="20"/>
          <w:szCs w:val="20"/>
        </w:rPr>
        <w:t>de</w:t>
      </w:r>
      <w:r w:rsidR="00DB1635" w:rsidRPr="00B004EE">
        <w:rPr>
          <w:rFonts w:ascii="Tahoma" w:hAnsi="Tahoma" w:cs="Tahoma"/>
          <w:spacing w:val="-32"/>
          <w:sz w:val="20"/>
          <w:szCs w:val="20"/>
        </w:rPr>
        <w:t xml:space="preserve"> </w:t>
      </w:r>
      <w:r w:rsidRPr="00B004EE">
        <w:rPr>
          <w:rFonts w:ascii="Tahoma" w:hAnsi="Tahoma" w:cs="Tahoma"/>
          <w:sz w:val="20"/>
          <w:szCs w:val="20"/>
        </w:rPr>
        <w:t>la</w:t>
      </w:r>
      <w:r w:rsidR="00DB1635" w:rsidRPr="00B004EE">
        <w:rPr>
          <w:rFonts w:ascii="Tahoma" w:hAnsi="Tahoma" w:cs="Tahoma"/>
          <w:spacing w:val="-31"/>
          <w:sz w:val="20"/>
          <w:szCs w:val="20"/>
        </w:rPr>
        <w:t xml:space="preserve"> </w:t>
      </w:r>
      <w:r w:rsidRPr="00B004EE">
        <w:rPr>
          <w:rFonts w:ascii="Tahoma" w:hAnsi="Tahoma" w:cs="Tahoma"/>
          <w:sz w:val="20"/>
          <w:szCs w:val="20"/>
        </w:rPr>
        <w:t>présente</w:t>
      </w:r>
      <w:r w:rsidR="00DB1635" w:rsidRPr="00B004EE">
        <w:rPr>
          <w:rFonts w:ascii="Tahoma" w:hAnsi="Tahoma" w:cs="Tahoma"/>
          <w:spacing w:val="-33"/>
          <w:sz w:val="20"/>
          <w:szCs w:val="20"/>
        </w:rPr>
        <w:t xml:space="preserve"> </w:t>
      </w:r>
      <w:r w:rsidRPr="00B004EE">
        <w:rPr>
          <w:rFonts w:ascii="Tahoma" w:hAnsi="Tahoma" w:cs="Tahoma"/>
          <w:sz w:val="20"/>
          <w:szCs w:val="20"/>
        </w:rPr>
        <w:t>Loi</w:t>
      </w:r>
      <w:r w:rsidR="00DB1635" w:rsidRPr="00B004EE">
        <w:rPr>
          <w:rFonts w:ascii="Tahoma" w:hAnsi="Tahoma" w:cs="Tahoma"/>
          <w:spacing w:val="-32"/>
          <w:sz w:val="20"/>
          <w:szCs w:val="20"/>
        </w:rPr>
        <w:t xml:space="preserve"> </w:t>
      </w:r>
      <w:r w:rsidRPr="00B004EE">
        <w:rPr>
          <w:rFonts w:ascii="Tahoma" w:hAnsi="Tahoma" w:cs="Tahoma"/>
          <w:sz w:val="20"/>
          <w:szCs w:val="20"/>
        </w:rPr>
        <w:t>et</w:t>
      </w:r>
      <w:r w:rsidR="00DB1635" w:rsidRPr="00B004EE">
        <w:rPr>
          <w:rFonts w:ascii="Tahoma" w:hAnsi="Tahoma" w:cs="Tahoma"/>
          <w:spacing w:val="-32"/>
          <w:sz w:val="20"/>
          <w:szCs w:val="20"/>
        </w:rPr>
        <w:t xml:space="preserve"> </w:t>
      </w:r>
      <w:r w:rsidRPr="00B004EE">
        <w:rPr>
          <w:rFonts w:ascii="Tahoma" w:hAnsi="Tahoma" w:cs="Tahoma"/>
          <w:sz w:val="20"/>
          <w:szCs w:val="20"/>
        </w:rPr>
        <w:t>des</w:t>
      </w:r>
      <w:r w:rsidR="00DB1635" w:rsidRPr="00B004EE">
        <w:rPr>
          <w:rFonts w:ascii="Tahoma" w:hAnsi="Tahoma" w:cs="Tahoma"/>
          <w:w w:val="94"/>
          <w:sz w:val="20"/>
          <w:szCs w:val="20"/>
        </w:rPr>
        <w:t xml:space="preserve"> </w:t>
      </w:r>
      <w:r w:rsidRPr="00B004EE">
        <w:rPr>
          <w:rFonts w:ascii="Tahoma" w:hAnsi="Tahoma" w:cs="Tahoma"/>
          <w:sz w:val="20"/>
          <w:szCs w:val="20"/>
        </w:rPr>
        <w:t>règlements</w:t>
      </w:r>
      <w:r w:rsidR="00DB1635" w:rsidRPr="00B004EE">
        <w:rPr>
          <w:rFonts w:ascii="Tahoma" w:hAnsi="Tahoma" w:cs="Tahoma"/>
          <w:spacing w:val="-23"/>
          <w:sz w:val="20"/>
          <w:szCs w:val="20"/>
        </w:rPr>
        <w:t xml:space="preserve"> </w:t>
      </w:r>
      <w:r w:rsidRPr="00B004EE">
        <w:rPr>
          <w:rFonts w:ascii="Tahoma" w:hAnsi="Tahoma" w:cs="Tahoma"/>
          <w:sz w:val="20"/>
          <w:szCs w:val="20"/>
        </w:rPr>
        <w:t>pris</w:t>
      </w:r>
      <w:r w:rsidR="00DB1635" w:rsidRPr="00B004EE">
        <w:rPr>
          <w:rFonts w:ascii="Tahoma" w:hAnsi="Tahoma" w:cs="Tahoma"/>
          <w:spacing w:val="-23"/>
          <w:sz w:val="20"/>
          <w:szCs w:val="20"/>
        </w:rPr>
        <w:t xml:space="preserve"> </w:t>
      </w:r>
      <w:r w:rsidRPr="00B004EE">
        <w:rPr>
          <w:rFonts w:ascii="Tahoma" w:hAnsi="Tahoma" w:cs="Tahoma"/>
          <w:sz w:val="20"/>
          <w:szCs w:val="20"/>
        </w:rPr>
        <w:t>pour</w:t>
      </w:r>
      <w:r w:rsidR="00DB1635" w:rsidRPr="00B004EE">
        <w:rPr>
          <w:rFonts w:ascii="Tahoma" w:hAnsi="Tahoma" w:cs="Tahoma"/>
          <w:spacing w:val="-23"/>
          <w:sz w:val="20"/>
          <w:szCs w:val="20"/>
        </w:rPr>
        <w:t xml:space="preserve"> </w:t>
      </w:r>
      <w:r w:rsidRPr="00B004EE">
        <w:rPr>
          <w:rFonts w:ascii="Tahoma" w:hAnsi="Tahoma" w:cs="Tahoma"/>
          <w:sz w:val="20"/>
          <w:szCs w:val="20"/>
        </w:rPr>
        <w:t>son</w:t>
      </w:r>
      <w:r w:rsidR="00DB1635" w:rsidRPr="00B004EE">
        <w:rPr>
          <w:rFonts w:ascii="Tahoma" w:hAnsi="Tahoma" w:cs="Tahoma"/>
          <w:spacing w:val="-23"/>
          <w:sz w:val="20"/>
          <w:szCs w:val="20"/>
        </w:rPr>
        <w:t xml:space="preserve"> </w:t>
      </w:r>
      <w:r w:rsidRPr="00B004EE">
        <w:rPr>
          <w:rFonts w:ascii="Tahoma" w:hAnsi="Tahoma" w:cs="Tahoma"/>
          <w:sz w:val="20"/>
          <w:szCs w:val="20"/>
        </w:rPr>
        <w:t>application.</w:t>
      </w:r>
      <w:r w:rsidR="00DB1635" w:rsidRPr="00B004EE">
        <w:rPr>
          <w:rFonts w:ascii="Tahoma" w:hAnsi="Tahoma" w:cs="Tahoma"/>
          <w:spacing w:val="16"/>
          <w:sz w:val="20"/>
          <w:szCs w:val="20"/>
        </w:rPr>
        <w:t xml:space="preserve"> </w:t>
      </w:r>
      <w:r w:rsidRPr="00B004EE">
        <w:rPr>
          <w:rFonts w:ascii="Tahoma" w:hAnsi="Tahoma" w:cs="Tahoma"/>
          <w:sz w:val="20"/>
          <w:szCs w:val="20"/>
        </w:rPr>
        <w:t>Il</w:t>
      </w:r>
      <w:r w:rsidR="00DB1635" w:rsidRPr="00B004EE">
        <w:rPr>
          <w:rFonts w:ascii="Tahoma" w:hAnsi="Tahoma" w:cs="Tahoma"/>
          <w:spacing w:val="-21"/>
          <w:sz w:val="20"/>
          <w:szCs w:val="20"/>
        </w:rPr>
        <w:t xml:space="preserve"> </w:t>
      </w:r>
      <w:r w:rsidRPr="00B004EE">
        <w:rPr>
          <w:rFonts w:ascii="Tahoma" w:hAnsi="Tahoma" w:cs="Tahoma"/>
          <w:sz w:val="20"/>
          <w:szCs w:val="20"/>
        </w:rPr>
        <w:t>prend</w:t>
      </w:r>
      <w:r w:rsidR="00DB1635" w:rsidRPr="00B004EE">
        <w:rPr>
          <w:rFonts w:ascii="Tahoma" w:hAnsi="Tahoma" w:cs="Tahoma"/>
          <w:spacing w:val="-24"/>
          <w:sz w:val="20"/>
          <w:szCs w:val="20"/>
        </w:rPr>
        <w:t xml:space="preserve"> </w:t>
      </w:r>
      <w:r w:rsidRPr="00B004EE">
        <w:rPr>
          <w:rFonts w:ascii="Tahoma" w:hAnsi="Tahoma" w:cs="Tahoma"/>
          <w:sz w:val="20"/>
          <w:szCs w:val="20"/>
        </w:rPr>
        <w:t>toutes</w:t>
      </w:r>
      <w:r w:rsidR="00DB1635" w:rsidRPr="00B004EE">
        <w:rPr>
          <w:rFonts w:ascii="Tahoma" w:hAnsi="Tahoma" w:cs="Tahoma"/>
          <w:spacing w:val="-24"/>
          <w:sz w:val="20"/>
          <w:szCs w:val="20"/>
        </w:rPr>
        <w:t xml:space="preserve"> </w:t>
      </w:r>
      <w:r w:rsidRPr="00B004EE">
        <w:rPr>
          <w:rFonts w:ascii="Tahoma" w:hAnsi="Tahoma" w:cs="Tahoma"/>
          <w:sz w:val="20"/>
          <w:szCs w:val="20"/>
        </w:rPr>
        <w:t>les</w:t>
      </w:r>
      <w:r w:rsidR="00DB1635" w:rsidRPr="00B004EE">
        <w:rPr>
          <w:rFonts w:ascii="Tahoma" w:hAnsi="Tahoma" w:cs="Tahoma"/>
          <w:spacing w:val="-24"/>
          <w:sz w:val="20"/>
          <w:szCs w:val="20"/>
        </w:rPr>
        <w:t xml:space="preserve"> </w:t>
      </w:r>
      <w:r w:rsidRPr="00B004EE">
        <w:rPr>
          <w:rFonts w:ascii="Tahoma" w:hAnsi="Tahoma" w:cs="Tahoma"/>
          <w:sz w:val="20"/>
          <w:szCs w:val="20"/>
        </w:rPr>
        <w:t>mesures</w:t>
      </w:r>
      <w:r w:rsidR="00DB1635" w:rsidRPr="00B004EE">
        <w:rPr>
          <w:rFonts w:ascii="Tahoma" w:hAnsi="Tahoma" w:cs="Tahoma"/>
          <w:spacing w:val="-24"/>
          <w:sz w:val="20"/>
          <w:szCs w:val="20"/>
        </w:rPr>
        <w:t xml:space="preserve"> </w:t>
      </w:r>
      <w:r w:rsidRPr="00B004EE">
        <w:rPr>
          <w:rFonts w:ascii="Tahoma" w:hAnsi="Tahoma" w:cs="Tahoma"/>
          <w:sz w:val="20"/>
          <w:szCs w:val="20"/>
        </w:rPr>
        <w:t>nécessaires</w:t>
      </w:r>
      <w:r w:rsidR="00DB1635" w:rsidRPr="00B004EE">
        <w:rPr>
          <w:rFonts w:ascii="Tahoma" w:hAnsi="Tahoma" w:cs="Tahoma"/>
          <w:spacing w:val="-24"/>
          <w:sz w:val="20"/>
          <w:szCs w:val="20"/>
        </w:rPr>
        <w:t xml:space="preserve"> </w:t>
      </w:r>
      <w:r w:rsidRPr="00B004EE">
        <w:rPr>
          <w:rFonts w:ascii="Tahoma" w:hAnsi="Tahoma" w:cs="Tahoma"/>
          <w:sz w:val="20"/>
          <w:szCs w:val="20"/>
        </w:rPr>
        <w:t>pour</w:t>
      </w:r>
      <w:r w:rsidR="00DB1635" w:rsidRPr="00B004EE">
        <w:rPr>
          <w:rFonts w:ascii="Tahoma" w:hAnsi="Tahoma" w:cs="Tahoma"/>
          <w:w w:val="93"/>
          <w:sz w:val="20"/>
          <w:szCs w:val="20"/>
        </w:rPr>
        <w:t xml:space="preserve"> </w:t>
      </w:r>
      <w:r w:rsidRPr="00B004EE">
        <w:rPr>
          <w:rFonts w:ascii="Tahoma" w:hAnsi="Tahoma" w:cs="Tahoma"/>
          <w:sz w:val="20"/>
          <w:szCs w:val="20"/>
        </w:rPr>
        <w:t>assurer</w:t>
      </w:r>
      <w:r w:rsidR="00DB1635" w:rsidRPr="00B004EE">
        <w:rPr>
          <w:rFonts w:ascii="Tahoma" w:hAnsi="Tahoma" w:cs="Tahoma"/>
          <w:spacing w:val="32"/>
          <w:sz w:val="20"/>
          <w:szCs w:val="20"/>
        </w:rPr>
        <w:t xml:space="preserve"> </w:t>
      </w:r>
      <w:r w:rsidRPr="00B004EE">
        <w:rPr>
          <w:rFonts w:ascii="Tahoma" w:hAnsi="Tahoma" w:cs="Tahoma"/>
          <w:sz w:val="20"/>
          <w:szCs w:val="20"/>
        </w:rPr>
        <w:t>l'application</w:t>
      </w:r>
      <w:r w:rsidR="00DB1635" w:rsidRPr="00B004EE">
        <w:rPr>
          <w:rFonts w:ascii="Tahoma" w:hAnsi="Tahoma" w:cs="Tahoma"/>
          <w:spacing w:val="32"/>
          <w:sz w:val="20"/>
          <w:szCs w:val="20"/>
        </w:rPr>
        <w:t xml:space="preserve"> </w:t>
      </w:r>
      <w:r w:rsidRPr="00B004EE">
        <w:rPr>
          <w:rFonts w:ascii="Tahoma" w:hAnsi="Tahoma" w:cs="Tahoma"/>
          <w:sz w:val="20"/>
          <w:szCs w:val="20"/>
        </w:rPr>
        <w:t>et</w:t>
      </w:r>
      <w:r w:rsidR="00DB1635" w:rsidRPr="00B004EE">
        <w:rPr>
          <w:rFonts w:ascii="Tahoma" w:hAnsi="Tahoma" w:cs="Tahoma"/>
          <w:spacing w:val="33"/>
          <w:sz w:val="20"/>
          <w:szCs w:val="20"/>
        </w:rPr>
        <w:t xml:space="preserve"> </w:t>
      </w:r>
      <w:r w:rsidRPr="00B004EE">
        <w:rPr>
          <w:rFonts w:ascii="Tahoma" w:hAnsi="Tahoma" w:cs="Tahoma"/>
          <w:sz w:val="20"/>
          <w:szCs w:val="20"/>
        </w:rPr>
        <w:t>le</w:t>
      </w:r>
      <w:r w:rsidR="00DB1635" w:rsidRPr="00B004EE">
        <w:rPr>
          <w:rFonts w:ascii="Tahoma" w:hAnsi="Tahoma" w:cs="Tahoma"/>
          <w:spacing w:val="33"/>
          <w:sz w:val="20"/>
          <w:szCs w:val="20"/>
        </w:rPr>
        <w:t xml:space="preserve"> </w:t>
      </w:r>
      <w:r w:rsidRPr="00B004EE">
        <w:rPr>
          <w:rFonts w:ascii="Tahoma" w:hAnsi="Tahoma" w:cs="Tahoma"/>
          <w:sz w:val="20"/>
          <w:szCs w:val="20"/>
        </w:rPr>
        <w:t>respect</w:t>
      </w:r>
      <w:r w:rsidR="00DB1635" w:rsidRPr="00B004EE">
        <w:rPr>
          <w:rFonts w:ascii="Tahoma" w:hAnsi="Tahoma" w:cs="Tahoma"/>
          <w:spacing w:val="33"/>
          <w:sz w:val="20"/>
          <w:szCs w:val="20"/>
        </w:rPr>
        <w:t xml:space="preserve"> </w:t>
      </w:r>
      <w:r w:rsidRPr="00B004EE">
        <w:rPr>
          <w:rFonts w:ascii="Tahoma" w:hAnsi="Tahoma" w:cs="Tahoma"/>
          <w:sz w:val="20"/>
          <w:szCs w:val="20"/>
        </w:rPr>
        <w:t>des</w:t>
      </w:r>
      <w:r w:rsidR="00DB1635" w:rsidRPr="00B004EE">
        <w:rPr>
          <w:rFonts w:ascii="Tahoma" w:hAnsi="Tahoma" w:cs="Tahoma"/>
          <w:spacing w:val="31"/>
          <w:sz w:val="20"/>
          <w:szCs w:val="20"/>
        </w:rPr>
        <w:t xml:space="preserve"> </w:t>
      </w:r>
      <w:r w:rsidRPr="00B004EE">
        <w:rPr>
          <w:rFonts w:ascii="Tahoma" w:hAnsi="Tahoma" w:cs="Tahoma"/>
          <w:sz w:val="20"/>
          <w:szCs w:val="20"/>
        </w:rPr>
        <w:t>dispositions</w:t>
      </w:r>
      <w:r w:rsidR="00DB1635" w:rsidRPr="00B004EE">
        <w:rPr>
          <w:rFonts w:ascii="Tahoma" w:hAnsi="Tahoma" w:cs="Tahoma"/>
          <w:spacing w:val="30"/>
          <w:sz w:val="20"/>
          <w:szCs w:val="20"/>
        </w:rPr>
        <w:t xml:space="preserve"> </w:t>
      </w:r>
      <w:r w:rsidRPr="00B004EE">
        <w:rPr>
          <w:rFonts w:ascii="Tahoma" w:hAnsi="Tahoma" w:cs="Tahoma"/>
          <w:sz w:val="20"/>
          <w:szCs w:val="20"/>
        </w:rPr>
        <w:t>de</w:t>
      </w:r>
      <w:r w:rsidR="00DB1635" w:rsidRPr="00B004EE">
        <w:rPr>
          <w:rFonts w:ascii="Tahoma" w:hAnsi="Tahoma" w:cs="Tahoma"/>
          <w:spacing w:val="31"/>
          <w:sz w:val="20"/>
          <w:szCs w:val="20"/>
        </w:rPr>
        <w:t xml:space="preserve"> </w:t>
      </w:r>
      <w:r w:rsidRPr="00B004EE">
        <w:rPr>
          <w:rFonts w:ascii="Tahoma" w:hAnsi="Tahoma" w:cs="Tahoma"/>
          <w:sz w:val="20"/>
          <w:szCs w:val="20"/>
        </w:rPr>
        <w:t>la</w:t>
      </w:r>
      <w:r w:rsidR="00DB1635" w:rsidRPr="00B004EE">
        <w:rPr>
          <w:rFonts w:ascii="Tahoma" w:hAnsi="Tahoma" w:cs="Tahoma"/>
          <w:spacing w:val="31"/>
          <w:sz w:val="20"/>
          <w:szCs w:val="20"/>
        </w:rPr>
        <w:t xml:space="preserve"> </w:t>
      </w:r>
      <w:r w:rsidRPr="00B004EE">
        <w:rPr>
          <w:rFonts w:ascii="Tahoma" w:hAnsi="Tahoma" w:cs="Tahoma"/>
          <w:sz w:val="20"/>
          <w:szCs w:val="20"/>
        </w:rPr>
        <w:t>présente</w:t>
      </w:r>
      <w:r w:rsidR="00DB1635" w:rsidRPr="00B004EE">
        <w:rPr>
          <w:rFonts w:ascii="Tahoma" w:hAnsi="Tahoma" w:cs="Tahoma"/>
          <w:spacing w:val="31"/>
          <w:sz w:val="20"/>
          <w:szCs w:val="20"/>
        </w:rPr>
        <w:t xml:space="preserve"> </w:t>
      </w:r>
      <w:r w:rsidRPr="00B004EE">
        <w:rPr>
          <w:rFonts w:ascii="Tahoma" w:hAnsi="Tahoma" w:cs="Tahoma"/>
          <w:sz w:val="20"/>
          <w:szCs w:val="20"/>
        </w:rPr>
        <w:t>Loi</w:t>
      </w:r>
      <w:r w:rsidR="00DB1635" w:rsidRPr="00B004EE">
        <w:rPr>
          <w:rFonts w:ascii="Tahoma" w:hAnsi="Tahoma" w:cs="Tahoma"/>
          <w:spacing w:val="31"/>
          <w:sz w:val="20"/>
          <w:szCs w:val="20"/>
        </w:rPr>
        <w:t xml:space="preserve"> </w:t>
      </w:r>
      <w:r w:rsidRPr="00B004EE">
        <w:rPr>
          <w:rFonts w:ascii="Tahoma" w:hAnsi="Tahoma" w:cs="Tahoma"/>
          <w:sz w:val="20"/>
          <w:szCs w:val="20"/>
        </w:rPr>
        <w:t>et</w:t>
      </w:r>
      <w:r w:rsidR="00DB1635" w:rsidRPr="00B004EE">
        <w:rPr>
          <w:rFonts w:ascii="Tahoma" w:hAnsi="Tahoma" w:cs="Tahoma"/>
          <w:spacing w:val="31"/>
          <w:sz w:val="20"/>
          <w:szCs w:val="20"/>
        </w:rPr>
        <w:t xml:space="preserve"> </w:t>
      </w:r>
      <w:r w:rsidRPr="00B004EE">
        <w:rPr>
          <w:rFonts w:ascii="Tahoma" w:hAnsi="Tahoma" w:cs="Tahoma"/>
          <w:sz w:val="20"/>
          <w:szCs w:val="20"/>
        </w:rPr>
        <w:t>de</w:t>
      </w:r>
      <w:r w:rsidR="00DB1635" w:rsidRPr="00B004EE">
        <w:rPr>
          <w:rFonts w:ascii="Tahoma" w:hAnsi="Tahoma" w:cs="Tahoma"/>
          <w:spacing w:val="31"/>
          <w:sz w:val="20"/>
          <w:szCs w:val="20"/>
        </w:rPr>
        <w:t xml:space="preserve"> </w:t>
      </w:r>
      <w:r w:rsidRPr="00B004EE">
        <w:rPr>
          <w:rFonts w:ascii="Tahoma" w:hAnsi="Tahoma" w:cs="Tahoma"/>
          <w:sz w:val="20"/>
          <w:szCs w:val="20"/>
        </w:rPr>
        <w:t>ses</w:t>
      </w:r>
      <w:r w:rsidR="00DB1635" w:rsidRPr="00B004EE">
        <w:rPr>
          <w:rFonts w:ascii="Tahoma" w:hAnsi="Tahoma" w:cs="Tahoma"/>
          <w:w w:val="94"/>
          <w:sz w:val="20"/>
          <w:szCs w:val="20"/>
        </w:rPr>
        <w:t xml:space="preserve"> </w:t>
      </w:r>
      <w:r w:rsidRPr="00B004EE">
        <w:rPr>
          <w:rFonts w:ascii="Tahoma" w:hAnsi="Tahoma" w:cs="Tahoma"/>
          <w:w w:val="95"/>
          <w:sz w:val="20"/>
          <w:szCs w:val="20"/>
        </w:rPr>
        <w:t>textes</w:t>
      </w:r>
      <w:r w:rsidR="00DB1635" w:rsidRPr="00B004EE">
        <w:rPr>
          <w:rFonts w:ascii="Tahoma" w:hAnsi="Tahoma" w:cs="Tahoma"/>
          <w:spacing w:val="14"/>
          <w:w w:val="95"/>
          <w:sz w:val="20"/>
          <w:szCs w:val="20"/>
        </w:rPr>
        <w:t xml:space="preserve"> </w:t>
      </w:r>
      <w:r w:rsidRPr="00B004EE">
        <w:rPr>
          <w:rFonts w:ascii="Tahoma" w:hAnsi="Tahoma" w:cs="Tahoma"/>
          <w:w w:val="95"/>
          <w:sz w:val="20"/>
          <w:szCs w:val="20"/>
        </w:rPr>
        <w:t>d'application.</w:t>
      </w:r>
    </w:p>
    <w:p w14:paraId="6D67510C" w14:textId="77777777" w:rsidR="001E7C3C" w:rsidRPr="00B004EE" w:rsidRDefault="001E7C3C" w:rsidP="00B004EE">
      <w:pPr>
        <w:rPr>
          <w:rFonts w:ascii="Tahoma" w:eastAsia="American Typewriter" w:hAnsi="Tahoma" w:cs="Tahoma"/>
          <w:sz w:val="20"/>
          <w:szCs w:val="20"/>
        </w:rPr>
      </w:pPr>
    </w:p>
    <w:p w14:paraId="2F9D1E5D" w14:textId="46768895" w:rsidR="001E7C3C" w:rsidRPr="00B004EE" w:rsidRDefault="001E7C3C" w:rsidP="00B004EE">
      <w:pPr>
        <w:pStyle w:val="Corpsdetexte"/>
        <w:ind w:right="159"/>
        <w:rPr>
          <w:rFonts w:ascii="Tahoma" w:hAnsi="Tahoma" w:cs="Tahoma"/>
          <w:sz w:val="20"/>
          <w:szCs w:val="20"/>
        </w:rPr>
      </w:pP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Garde</w:t>
      </w:r>
      <w:r w:rsidR="00DB1635" w:rsidRPr="00B004EE">
        <w:rPr>
          <w:rFonts w:ascii="Tahoma" w:hAnsi="Tahoma" w:cs="Tahoma"/>
          <w:sz w:val="20"/>
          <w:szCs w:val="20"/>
        </w:rPr>
        <w:t xml:space="preserve"> </w:t>
      </w:r>
      <w:r w:rsidRPr="00B004EE">
        <w:rPr>
          <w:rFonts w:ascii="Tahoma" w:hAnsi="Tahoma" w:cs="Tahoma"/>
          <w:sz w:val="20"/>
          <w:szCs w:val="20"/>
        </w:rPr>
        <w:t>Côtes</w:t>
      </w:r>
      <w:r w:rsidR="00DB1635" w:rsidRPr="00B004EE">
        <w:rPr>
          <w:rFonts w:ascii="Tahoma" w:hAnsi="Tahoma" w:cs="Tahoma"/>
          <w:sz w:val="20"/>
          <w:szCs w:val="20"/>
        </w:rPr>
        <w:t xml:space="preserve"> </w:t>
      </w:r>
      <w:r w:rsidRPr="00B004EE">
        <w:rPr>
          <w:rFonts w:ascii="Tahoma" w:hAnsi="Tahoma" w:cs="Tahoma"/>
          <w:sz w:val="20"/>
          <w:szCs w:val="20"/>
        </w:rPr>
        <w:t>Mauritaniennes,</w:t>
      </w:r>
      <w:r w:rsidR="00DB1635" w:rsidRPr="00B004EE">
        <w:rPr>
          <w:rFonts w:ascii="Tahoma" w:hAnsi="Tahoma" w:cs="Tahoma"/>
          <w:sz w:val="20"/>
          <w:szCs w:val="20"/>
        </w:rPr>
        <w:t xml:space="preserve"> </w:t>
      </w:r>
      <w:r w:rsidRPr="00B004EE">
        <w:rPr>
          <w:rFonts w:ascii="Tahoma" w:hAnsi="Tahoma" w:cs="Tahoma"/>
          <w:sz w:val="20"/>
          <w:szCs w:val="20"/>
        </w:rPr>
        <w:t>placée</w:t>
      </w:r>
      <w:r w:rsidR="00DB1635" w:rsidRPr="00B004EE">
        <w:rPr>
          <w:rFonts w:ascii="Tahoma" w:hAnsi="Tahoma" w:cs="Tahoma"/>
          <w:sz w:val="20"/>
          <w:szCs w:val="20"/>
        </w:rPr>
        <w:t xml:space="preserve"> </w:t>
      </w:r>
      <w:r w:rsidRPr="00B004EE">
        <w:rPr>
          <w:rFonts w:ascii="Tahoma" w:eastAsia="American Typewriter" w:hAnsi="Tahoma" w:cs="Tahoma"/>
          <w:sz w:val="20"/>
          <w:szCs w:val="20"/>
        </w:rPr>
        <w:t>sous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l’autorité</w:t>
      </w:r>
      <w:r w:rsidR="00DB1635" w:rsidRPr="00B004EE">
        <w:rPr>
          <w:rFonts w:ascii="Tahoma" w:eastAsia="American Typewriter"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ministre</w:t>
      </w:r>
      <w:r w:rsidR="00DB1635" w:rsidRPr="00B004EE">
        <w:rPr>
          <w:rFonts w:ascii="Tahoma" w:hAnsi="Tahoma" w:cs="Tahoma"/>
          <w:sz w:val="20"/>
          <w:szCs w:val="20"/>
        </w:rPr>
        <w:t xml:space="preserve"> </w:t>
      </w:r>
      <w:r w:rsidRPr="00B004EE">
        <w:rPr>
          <w:rFonts w:ascii="Tahoma" w:hAnsi="Tahoma" w:cs="Tahoma"/>
          <w:sz w:val="20"/>
          <w:szCs w:val="20"/>
        </w:rPr>
        <w:t>chargé</w:t>
      </w:r>
      <w:r w:rsidR="00DB1635" w:rsidRPr="00B004EE">
        <w:rPr>
          <w:rFonts w:ascii="Tahoma" w:hAnsi="Tahoma" w:cs="Tahoma"/>
          <w:spacing w:val="56"/>
          <w:sz w:val="20"/>
          <w:szCs w:val="20"/>
        </w:rPr>
        <w:t xml:space="preserve"> </w:t>
      </w:r>
      <w:r w:rsidRPr="00B004EE">
        <w:rPr>
          <w:rFonts w:ascii="Tahoma" w:hAnsi="Tahoma" w:cs="Tahoma"/>
          <w:sz w:val="20"/>
          <w:szCs w:val="20"/>
        </w:rPr>
        <w:t>des</w:t>
      </w:r>
      <w:r w:rsidR="00DB1635" w:rsidRPr="00B004EE">
        <w:rPr>
          <w:rFonts w:ascii="Tahoma" w:hAnsi="Tahoma" w:cs="Tahoma"/>
          <w:w w:val="94"/>
          <w:sz w:val="20"/>
          <w:szCs w:val="20"/>
        </w:rPr>
        <w:t xml:space="preserve"> </w:t>
      </w:r>
      <w:r w:rsidRPr="00B004EE">
        <w:rPr>
          <w:rFonts w:ascii="Tahoma" w:hAnsi="Tahoma" w:cs="Tahoma"/>
          <w:sz w:val="20"/>
          <w:szCs w:val="20"/>
        </w:rPr>
        <w:t>pêches,</w:t>
      </w:r>
      <w:r w:rsidR="00DB1635" w:rsidRPr="00B004EE">
        <w:rPr>
          <w:rFonts w:ascii="Tahoma" w:hAnsi="Tahoma" w:cs="Tahoma"/>
          <w:spacing w:val="-11"/>
          <w:sz w:val="20"/>
          <w:szCs w:val="20"/>
        </w:rPr>
        <w:t xml:space="preserve"> </w:t>
      </w:r>
      <w:r w:rsidRPr="00B004EE">
        <w:rPr>
          <w:rFonts w:ascii="Tahoma" w:eastAsia="American Typewriter" w:hAnsi="Tahoma" w:cs="Tahoma"/>
          <w:sz w:val="20"/>
          <w:szCs w:val="20"/>
        </w:rPr>
        <w:t>constitue</w:t>
      </w:r>
      <w:r w:rsidR="00DB1635" w:rsidRPr="00B004EE">
        <w:rPr>
          <w:rFonts w:ascii="Tahoma" w:eastAsia="American Typewriter" w:hAnsi="Tahoma" w:cs="Tahoma"/>
          <w:spacing w:val="-11"/>
          <w:sz w:val="20"/>
          <w:szCs w:val="20"/>
        </w:rPr>
        <w:t xml:space="preserve"> </w:t>
      </w:r>
      <w:r w:rsidRPr="00B004EE">
        <w:rPr>
          <w:rFonts w:ascii="Tahoma" w:eastAsia="American Typewriter" w:hAnsi="Tahoma" w:cs="Tahoma"/>
          <w:sz w:val="20"/>
          <w:szCs w:val="20"/>
        </w:rPr>
        <w:t>l’institution</w:t>
      </w:r>
      <w:r w:rsidR="00DB1635" w:rsidRPr="00B004EE">
        <w:rPr>
          <w:rFonts w:ascii="Tahoma" w:eastAsia="American Typewriter" w:hAnsi="Tahoma" w:cs="Tahoma"/>
          <w:spacing w:val="-11"/>
          <w:sz w:val="20"/>
          <w:szCs w:val="20"/>
        </w:rPr>
        <w:t xml:space="preserve"> </w:t>
      </w:r>
      <w:r w:rsidRPr="00B004EE">
        <w:rPr>
          <w:rFonts w:ascii="Tahoma" w:eastAsia="American Typewriter" w:hAnsi="Tahoma" w:cs="Tahoma"/>
          <w:sz w:val="20"/>
          <w:szCs w:val="20"/>
        </w:rPr>
        <w:t>p</w:t>
      </w:r>
      <w:r w:rsidRPr="00B004EE">
        <w:rPr>
          <w:rFonts w:ascii="Tahoma" w:hAnsi="Tahoma" w:cs="Tahoma"/>
          <w:sz w:val="20"/>
          <w:szCs w:val="20"/>
        </w:rPr>
        <w:t>rincipale</w:t>
      </w:r>
      <w:r w:rsidR="00DB1635" w:rsidRPr="00B004EE">
        <w:rPr>
          <w:rFonts w:ascii="Tahoma" w:hAnsi="Tahoma" w:cs="Tahoma"/>
          <w:spacing w:val="-11"/>
          <w:sz w:val="20"/>
          <w:szCs w:val="20"/>
        </w:rPr>
        <w:t xml:space="preserve"> </w:t>
      </w:r>
      <w:r w:rsidRPr="00B004EE">
        <w:rPr>
          <w:rFonts w:ascii="Tahoma" w:hAnsi="Tahoma" w:cs="Tahoma"/>
          <w:sz w:val="20"/>
          <w:szCs w:val="20"/>
        </w:rPr>
        <w:t>du</w:t>
      </w:r>
      <w:r w:rsidR="00DB1635" w:rsidRPr="00B004EE">
        <w:rPr>
          <w:rFonts w:ascii="Tahoma" w:hAnsi="Tahoma" w:cs="Tahoma"/>
          <w:spacing w:val="-11"/>
          <w:sz w:val="20"/>
          <w:szCs w:val="20"/>
        </w:rPr>
        <w:t xml:space="preserve"> </w:t>
      </w:r>
      <w:r w:rsidRPr="00B004EE">
        <w:rPr>
          <w:rFonts w:ascii="Tahoma" w:hAnsi="Tahoma" w:cs="Tahoma"/>
          <w:sz w:val="20"/>
          <w:szCs w:val="20"/>
        </w:rPr>
        <w:t>système</w:t>
      </w:r>
      <w:r w:rsidR="00DB1635" w:rsidRPr="00B004EE">
        <w:rPr>
          <w:rFonts w:ascii="Tahoma" w:hAnsi="Tahoma" w:cs="Tahoma"/>
          <w:spacing w:val="-11"/>
          <w:sz w:val="20"/>
          <w:szCs w:val="20"/>
        </w:rPr>
        <w:t xml:space="preserve"> </w:t>
      </w:r>
      <w:r w:rsidRPr="00B004EE">
        <w:rPr>
          <w:rFonts w:ascii="Tahoma" w:hAnsi="Tahoma" w:cs="Tahoma"/>
          <w:sz w:val="20"/>
          <w:szCs w:val="20"/>
        </w:rPr>
        <w:t>national</w:t>
      </w:r>
      <w:r w:rsidR="00DB1635" w:rsidRPr="00B004EE">
        <w:rPr>
          <w:rFonts w:ascii="Tahoma" w:hAnsi="Tahoma" w:cs="Tahoma"/>
          <w:spacing w:val="-10"/>
          <w:sz w:val="20"/>
          <w:szCs w:val="20"/>
        </w:rPr>
        <w:t xml:space="preserve"> </w:t>
      </w:r>
      <w:r w:rsidRPr="00B004EE">
        <w:rPr>
          <w:rFonts w:ascii="Tahoma" w:hAnsi="Tahoma" w:cs="Tahoma"/>
          <w:sz w:val="20"/>
          <w:szCs w:val="20"/>
        </w:rPr>
        <w:t>de</w:t>
      </w:r>
      <w:r w:rsidR="00DB1635" w:rsidRPr="00B004EE">
        <w:rPr>
          <w:rFonts w:ascii="Tahoma" w:hAnsi="Tahoma" w:cs="Tahoma"/>
          <w:spacing w:val="-11"/>
          <w:sz w:val="20"/>
          <w:szCs w:val="20"/>
        </w:rPr>
        <w:t xml:space="preserve"> </w:t>
      </w:r>
      <w:r w:rsidRPr="00B004EE">
        <w:rPr>
          <w:rFonts w:ascii="Tahoma" w:hAnsi="Tahoma" w:cs="Tahoma"/>
          <w:sz w:val="20"/>
          <w:szCs w:val="20"/>
        </w:rPr>
        <w:t>suivi,</w:t>
      </w:r>
      <w:r w:rsidR="00DB1635" w:rsidRPr="00B004EE">
        <w:rPr>
          <w:rFonts w:ascii="Tahoma" w:hAnsi="Tahoma" w:cs="Tahoma"/>
          <w:spacing w:val="-12"/>
          <w:sz w:val="20"/>
          <w:szCs w:val="20"/>
        </w:rPr>
        <w:t xml:space="preserve"> </w:t>
      </w:r>
      <w:r w:rsidRPr="00B004EE">
        <w:rPr>
          <w:rFonts w:ascii="Tahoma" w:hAnsi="Tahoma" w:cs="Tahoma"/>
          <w:sz w:val="20"/>
          <w:szCs w:val="20"/>
        </w:rPr>
        <w:t>Contrôle</w:t>
      </w:r>
      <w:r w:rsidR="00DB1635" w:rsidRPr="00B004EE">
        <w:rPr>
          <w:rFonts w:ascii="Tahoma" w:hAnsi="Tahoma" w:cs="Tahoma"/>
          <w:spacing w:val="-12"/>
          <w:sz w:val="20"/>
          <w:szCs w:val="20"/>
        </w:rPr>
        <w:t xml:space="preserve"> </w:t>
      </w:r>
      <w:r w:rsidRPr="00B004EE">
        <w:rPr>
          <w:rFonts w:ascii="Tahoma" w:hAnsi="Tahoma" w:cs="Tahoma"/>
          <w:sz w:val="20"/>
          <w:szCs w:val="20"/>
        </w:rPr>
        <w:t>et</w:t>
      </w:r>
      <w:r w:rsidR="00DB1635" w:rsidRPr="00B004EE">
        <w:rPr>
          <w:rFonts w:ascii="Tahoma" w:hAnsi="Tahoma" w:cs="Tahoma"/>
          <w:w w:val="95"/>
          <w:sz w:val="20"/>
          <w:szCs w:val="20"/>
        </w:rPr>
        <w:t xml:space="preserve"> </w:t>
      </w:r>
      <w:r w:rsidRPr="00B004EE">
        <w:rPr>
          <w:rFonts w:ascii="Tahoma" w:hAnsi="Tahoma" w:cs="Tahoma"/>
          <w:w w:val="95"/>
          <w:sz w:val="20"/>
          <w:szCs w:val="20"/>
        </w:rPr>
        <w:t>Surveillance</w:t>
      </w:r>
      <w:r w:rsidR="00DB1635" w:rsidRPr="00B004EE">
        <w:rPr>
          <w:rFonts w:ascii="Tahoma" w:hAnsi="Tahoma" w:cs="Tahoma"/>
          <w:w w:val="95"/>
          <w:sz w:val="20"/>
          <w:szCs w:val="20"/>
        </w:rPr>
        <w:t xml:space="preserve"> </w:t>
      </w:r>
      <w:r w:rsidRPr="00B004EE">
        <w:rPr>
          <w:rFonts w:ascii="Tahoma" w:hAnsi="Tahoma" w:cs="Tahoma"/>
          <w:w w:val="95"/>
          <w:sz w:val="20"/>
          <w:szCs w:val="20"/>
        </w:rPr>
        <w:t>(SCS)</w:t>
      </w:r>
      <w:r w:rsidR="00DB1635" w:rsidRPr="00B004EE">
        <w:rPr>
          <w:rFonts w:ascii="Tahoma" w:hAnsi="Tahoma" w:cs="Tahoma"/>
          <w:w w:val="95"/>
          <w:sz w:val="20"/>
          <w:szCs w:val="20"/>
        </w:rPr>
        <w:t xml:space="preserve"> </w:t>
      </w:r>
      <w:r w:rsidRPr="00B004EE">
        <w:rPr>
          <w:rFonts w:ascii="Tahoma" w:hAnsi="Tahoma" w:cs="Tahoma"/>
          <w:w w:val="95"/>
          <w:sz w:val="20"/>
          <w:szCs w:val="20"/>
        </w:rPr>
        <w:t>des</w:t>
      </w:r>
      <w:r w:rsidR="00DB1635" w:rsidRPr="00B004EE">
        <w:rPr>
          <w:rFonts w:ascii="Tahoma" w:hAnsi="Tahoma" w:cs="Tahoma"/>
          <w:spacing w:val="27"/>
          <w:w w:val="95"/>
          <w:sz w:val="20"/>
          <w:szCs w:val="20"/>
        </w:rPr>
        <w:t xml:space="preserve"> </w:t>
      </w:r>
      <w:r w:rsidRPr="00B004EE">
        <w:rPr>
          <w:rFonts w:ascii="Tahoma" w:hAnsi="Tahoma" w:cs="Tahoma"/>
          <w:w w:val="95"/>
          <w:sz w:val="20"/>
          <w:szCs w:val="20"/>
        </w:rPr>
        <w:t>pêches.</w:t>
      </w:r>
    </w:p>
    <w:p w14:paraId="39A2A9EE" w14:textId="77777777" w:rsidR="001E7C3C" w:rsidRPr="00B004EE" w:rsidRDefault="001E7C3C" w:rsidP="00B004EE">
      <w:pPr>
        <w:rPr>
          <w:rFonts w:ascii="Tahoma" w:eastAsia="American Typewriter" w:hAnsi="Tahoma" w:cs="Tahoma"/>
          <w:sz w:val="20"/>
          <w:szCs w:val="20"/>
        </w:rPr>
      </w:pPr>
    </w:p>
    <w:p w14:paraId="305DE8A0" w14:textId="336ED342" w:rsidR="001E7C3C" w:rsidRPr="00B004EE" w:rsidRDefault="001E7C3C" w:rsidP="00B004EE">
      <w:pPr>
        <w:jc w:val="center"/>
        <w:rPr>
          <w:rFonts w:ascii="Tahoma" w:eastAsia="American Typewriter" w:hAnsi="Tahoma" w:cs="Tahoma"/>
          <w:b/>
          <w:bCs/>
          <w:sz w:val="20"/>
          <w:szCs w:val="20"/>
        </w:rPr>
      </w:pPr>
      <w:bookmarkStart w:id="105" w:name="_Toc16279085"/>
      <w:bookmarkStart w:id="106" w:name="_Toc16279454"/>
      <w:r w:rsidRPr="00B004EE">
        <w:rPr>
          <w:rFonts w:ascii="Tahoma" w:eastAsia="American Typewriter" w:hAnsi="Tahoma" w:cs="Tahoma"/>
          <w:b/>
          <w:bCs/>
          <w:sz w:val="20"/>
          <w:szCs w:val="20"/>
        </w:rPr>
        <w:t>Section</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2</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Des</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mesures</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de</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l’État</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du</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Port</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et</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de</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la</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lutte</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contre</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la</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pêche</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illicite,</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non</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déclarée</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et</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non</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réglementée</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(Pêche</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INN)</w:t>
      </w:r>
      <w:bookmarkEnd w:id="105"/>
      <w:bookmarkEnd w:id="106"/>
    </w:p>
    <w:p w14:paraId="1DB221D0" w14:textId="77777777" w:rsidR="001E7C3C" w:rsidRPr="00B004EE" w:rsidRDefault="001E7C3C" w:rsidP="00B004EE">
      <w:pPr>
        <w:jc w:val="center"/>
        <w:rPr>
          <w:rFonts w:ascii="Tahoma" w:eastAsia="American Typewriter" w:hAnsi="Tahoma" w:cs="Tahoma"/>
          <w:b/>
          <w:bCs/>
          <w:sz w:val="20"/>
          <w:szCs w:val="20"/>
        </w:rPr>
      </w:pPr>
    </w:p>
    <w:p w14:paraId="55C7DA50" w14:textId="1F39F8CB" w:rsidR="001E7C3C" w:rsidRPr="00B004EE" w:rsidRDefault="001E7C3C" w:rsidP="00B004EE">
      <w:pPr>
        <w:pStyle w:val="Corpsdetexte"/>
        <w:ind w:right="160"/>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61</w:t>
      </w:r>
      <w:r w:rsidR="00DB1635" w:rsidRPr="00B004EE">
        <w:rPr>
          <w:rFonts w:ascii="Tahoma" w:hAnsi="Tahoma" w:cs="Tahoma"/>
          <w:bCs/>
          <w:sz w:val="20"/>
          <w:szCs w:val="20"/>
        </w:rPr>
        <w:t xml:space="preserve"> </w:t>
      </w:r>
      <w:r w:rsidRPr="00B004EE">
        <w:rPr>
          <w:rFonts w:ascii="Tahoma" w:hAnsi="Tahoma" w:cs="Tahoma"/>
          <w:bCs/>
          <w:sz w:val="20"/>
          <w:szCs w:val="20"/>
        </w:rPr>
        <w:t>:</w:t>
      </w:r>
      <w:r w:rsidR="00DB1635" w:rsidRPr="00B004EE">
        <w:rPr>
          <w:rFonts w:ascii="Tahoma" w:eastAsia="American Typewriter" w:hAnsi="Tahoma" w:cs="Tahoma"/>
          <w:b/>
          <w:bCs/>
          <w:w w:val="95"/>
          <w:sz w:val="20"/>
          <w:szCs w:val="20"/>
        </w:rPr>
        <w:t xml:space="preserve"> </w:t>
      </w:r>
      <w:r w:rsidRPr="00B004EE">
        <w:rPr>
          <w:rFonts w:ascii="Tahoma" w:hAnsi="Tahoma" w:cs="Tahoma"/>
          <w:w w:val="95"/>
          <w:sz w:val="20"/>
          <w:szCs w:val="20"/>
        </w:rPr>
        <w:t>Le</w:t>
      </w:r>
      <w:r w:rsidR="00DB1635" w:rsidRPr="00B004EE">
        <w:rPr>
          <w:rFonts w:ascii="Tahoma" w:hAnsi="Tahoma" w:cs="Tahoma"/>
          <w:w w:val="95"/>
          <w:sz w:val="20"/>
          <w:szCs w:val="20"/>
        </w:rPr>
        <w:t xml:space="preserve"> </w:t>
      </w:r>
      <w:r w:rsidRPr="00B004EE">
        <w:rPr>
          <w:rFonts w:ascii="Tahoma" w:hAnsi="Tahoma" w:cs="Tahoma"/>
          <w:w w:val="95"/>
          <w:sz w:val="20"/>
          <w:szCs w:val="20"/>
        </w:rPr>
        <w:t>ministre</w:t>
      </w:r>
      <w:r w:rsidR="00DB1635" w:rsidRPr="00B004EE">
        <w:rPr>
          <w:rFonts w:ascii="Tahoma" w:hAnsi="Tahoma" w:cs="Tahoma"/>
          <w:w w:val="95"/>
          <w:sz w:val="20"/>
          <w:szCs w:val="20"/>
        </w:rPr>
        <w:t xml:space="preserve"> </w:t>
      </w:r>
      <w:r w:rsidRPr="00B004EE">
        <w:rPr>
          <w:rFonts w:ascii="Tahoma" w:hAnsi="Tahoma" w:cs="Tahoma"/>
          <w:w w:val="95"/>
          <w:sz w:val="20"/>
          <w:szCs w:val="20"/>
        </w:rPr>
        <w:t>chargé</w:t>
      </w:r>
      <w:r w:rsidR="00DB1635" w:rsidRPr="00B004EE">
        <w:rPr>
          <w:rFonts w:ascii="Tahoma" w:hAnsi="Tahoma" w:cs="Tahoma"/>
          <w:w w:val="95"/>
          <w:sz w:val="20"/>
          <w:szCs w:val="20"/>
        </w:rPr>
        <w:t xml:space="preserve"> </w:t>
      </w:r>
      <w:r w:rsidRPr="00B004EE">
        <w:rPr>
          <w:rFonts w:ascii="Tahoma" w:hAnsi="Tahoma" w:cs="Tahoma"/>
          <w:w w:val="95"/>
          <w:sz w:val="20"/>
          <w:szCs w:val="20"/>
        </w:rPr>
        <w:t>des</w:t>
      </w:r>
      <w:r w:rsidR="00DB1635" w:rsidRPr="00B004EE">
        <w:rPr>
          <w:rFonts w:ascii="Tahoma" w:hAnsi="Tahoma" w:cs="Tahoma"/>
          <w:w w:val="95"/>
          <w:sz w:val="20"/>
          <w:szCs w:val="20"/>
        </w:rPr>
        <w:t xml:space="preserve"> </w:t>
      </w:r>
      <w:r w:rsidRPr="00B004EE">
        <w:rPr>
          <w:rFonts w:ascii="Tahoma" w:hAnsi="Tahoma" w:cs="Tahoma"/>
          <w:w w:val="95"/>
          <w:sz w:val="20"/>
          <w:szCs w:val="20"/>
        </w:rPr>
        <w:t>pêches</w:t>
      </w:r>
      <w:r w:rsidR="00DB1635" w:rsidRPr="00B004EE">
        <w:rPr>
          <w:rFonts w:ascii="Tahoma" w:hAnsi="Tahoma" w:cs="Tahoma"/>
          <w:w w:val="95"/>
          <w:sz w:val="20"/>
          <w:szCs w:val="20"/>
        </w:rPr>
        <w:t xml:space="preserve"> </w:t>
      </w:r>
      <w:r w:rsidRPr="00B004EE">
        <w:rPr>
          <w:rFonts w:ascii="Tahoma" w:hAnsi="Tahoma" w:cs="Tahoma"/>
          <w:w w:val="95"/>
          <w:sz w:val="20"/>
          <w:szCs w:val="20"/>
        </w:rPr>
        <w:t>prend,</w:t>
      </w:r>
      <w:r w:rsidR="00DB1635" w:rsidRPr="00B004EE">
        <w:rPr>
          <w:rFonts w:ascii="Tahoma" w:hAnsi="Tahoma" w:cs="Tahoma"/>
          <w:w w:val="95"/>
          <w:sz w:val="20"/>
          <w:szCs w:val="20"/>
        </w:rPr>
        <w:t xml:space="preserve"> </w:t>
      </w:r>
      <w:r w:rsidRPr="00B004EE">
        <w:rPr>
          <w:rFonts w:ascii="Tahoma" w:hAnsi="Tahoma" w:cs="Tahoma"/>
          <w:w w:val="95"/>
          <w:sz w:val="20"/>
          <w:szCs w:val="20"/>
        </w:rPr>
        <w:t>conformément</w:t>
      </w:r>
      <w:r w:rsidR="00DB1635" w:rsidRPr="00B004EE">
        <w:rPr>
          <w:rFonts w:ascii="Tahoma" w:hAnsi="Tahoma" w:cs="Tahoma"/>
          <w:w w:val="95"/>
          <w:sz w:val="20"/>
          <w:szCs w:val="20"/>
        </w:rPr>
        <w:t xml:space="preserve"> </w:t>
      </w:r>
      <w:r w:rsidRPr="00B004EE">
        <w:rPr>
          <w:rFonts w:ascii="Tahoma" w:hAnsi="Tahoma" w:cs="Tahoma"/>
          <w:w w:val="95"/>
          <w:sz w:val="20"/>
          <w:szCs w:val="20"/>
        </w:rPr>
        <w:t>aux</w:t>
      </w:r>
      <w:r w:rsidR="00DB1635" w:rsidRPr="00B004EE">
        <w:rPr>
          <w:rFonts w:ascii="Tahoma" w:hAnsi="Tahoma" w:cs="Tahoma"/>
          <w:w w:val="95"/>
          <w:sz w:val="20"/>
          <w:szCs w:val="20"/>
        </w:rPr>
        <w:t xml:space="preserve"> </w:t>
      </w:r>
      <w:r w:rsidRPr="00B004EE">
        <w:rPr>
          <w:rFonts w:ascii="Tahoma" w:hAnsi="Tahoma" w:cs="Tahoma"/>
          <w:w w:val="95"/>
          <w:sz w:val="20"/>
          <w:szCs w:val="20"/>
        </w:rPr>
        <w:t>conventions</w:t>
      </w:r>
      <w:r w:rsidR="00DB1635" w:rsidRPr="00B004EE">
        <w:rPr>
          <w:rFonts w:ascii="Tahoma" w:hAnsi="Tahoma" w:cs="Tahoma"/>
          <w:spacing w:val="11"/>
          <w:w w:val="95"/>
          <w:sz w:val="20"/>
          <w:szCs w:val="20"/>
        </w:rPr>
        <w:t xml:space="preserve"> </w:t>
      </w:r>
      <w:r w:rsidRPr="00B004EE">
        <w:rPr>
          <w:rFonts w:ascii="Tahoma" w:hAnsi="Tahoma" w:cs="Tahoma"/>
          <w:w w:val="95"/>
          <w:sz w:val="20"/>
          <w:szCs w:val="20"/>
        </w:rPr>
        <w:t>et</w:t>
      </w:r>
      <w:r w:rsidR="00DB1635" w:rsidRPr="00B004EE">
        <w:rPr>
          <w:rFonts w:ascii="Tahoma" w:hAnsi="Tahoma" w:cs="Tahoma"/>
          <w:w w:val="95"/>
          <w:sz w:val="20"/>
          <w:szCs w:val="20"/>
        </w:rPr>
        <w:t xml:space="preserve"> </w:t>
      </w:r>
      <w:r w:rsidRPr="00B004EE">
        <w:rPr>
          <w:rFonts w:ascii="Tahoma" w:eastAsia="American Typewriter" w:hAnsi="Tahoma" w:cs="Tahoma"/>
          <w:sz w:val="20"/>
          <w:szCs w:val="20"/>
        </w:rPr>
        <w:t>autres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Instruments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internationaux</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applicables,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l’ensemble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des</w:t>
      </w:r>
      <w:r w:rsidR="00DB1635" w:rsidRPr="00B004EE">
        <w:rPr>
          <w:rFonts w:ascii="Tahoma" w:eastAsia="American Typewriter" w:hAnsi="Tahoma" w:cs="Tahoma"/>
          <w:spacing w:val="40"/>
          <w:sz w:val="20"/>
          <w:szCs w:val="20"/>
        </w:rPr>
        <w:t xml:space="preserve"> </w:t>
      </w:r>
      <w:r w:rsidRPr="00B004EE">
        <w:rPr>
          <w:rFonts w:ascii="Tahoma" w:eastAsia="American Typewriter" w:hAnsi="Tahoma" w:cs="Tahoma"/>
          <w:sz w:val="20"/>
          <w:szCs w:val="20"/>
        </w:rPr>
        <w:t>mesures</w:t>
      </w:r>
      <w:r w:rsidR="00DB1635" w:rsidRPr="00B004EE">
        <w:rPr>
          <w:rFonts w:ascii="Tahoma" w:eastAsia="American Typewriter" w:hAnsi="Tahoma" w:cs="Tahoma"/>
          <w:w w:val="94"/>
          <w:sz w:val="20"/>
          <w:szCs w:val="20"/>
        </w:rPr>
        <w:t xml:space="preserve"> </w:t>
      </w:r>
      <w:r w:rsidRPr="00B004EE">
        <w:rPr>
          <w:rFonts w:ascii="Tahoma" w:hAnsi="Tahoma" w:cs="Tahoma"/>
          <w:sz w:val="20"/>
          <w:szCs w:val="20"/>
        </w:rPr>
        <w:t>nécessaires</w:t>
      </w:r>
      <w:r w:rsidR="00DB1635" w:rsidRPr="00B004EE">
        <w:rPr>
          <w:rFonts w:ascii="Tahoma" w:hAnsi="Tahoma" w:cs="Tahoma"/>
          <w:spacing w:val="37"/>
          <w:sz w:val="20"/>
          <w:szCs w:val="20"/>
        </w:rPr>
        <w:t xml:space="preserve"> </w:t>
      </w:r>
      <w:r w:rsidRPr="00B004EE">
        <w:rPr>
          <w:rFonts w:ascii="Tahoma" w:hAnsi="Tahoma" w:cs="Tahoma"/>
          <w:sz w:val="20"/>
          <w:szCs w:val="20"/>
        </w:rPr>
        <w:t>en</w:t>
      </w:r>
      <w:r w:rsidR="00DB1635" w:rsidRPr="00B004EE">
        <w:rPr>
          <w:rFonts w:ascii="Tahoma" w:hAnsi="Tahoma" w:cs="Tahoma"/>
          <w:spacing w:val="37"/>
          <w:sz w:val="20"/>
          <w:szCs w:val="20"/>
        </w:rPr>
        <w:t xml:space="preserve"> </w:t>
      </w:r>
      <w:r w:rsidRPr="00B004EE">
        <w:rPr>
          <w:rFonts w:ascii="Tahoma" w:hAnsi="Tahoma" w:cs="Tahoma"/>
          <w:sz w:val="20"/>
          <w:szCs w:val="20"/>
        </w:rPr>
        <w:t>vue</w:t>
      </w:r>
      <w:r w:rsidR="00DB1635" w:rsidRPr="00B004EE">
        <w:rPr>
          <w:rFonts w:ascii="Tahoma" w:hAnsi="Tahoma" w:cs="Tahoma"/>
          <w:spacing w:val="37"/>
          <w:sz w:val="20"/>
          <w:szCs w:val="20"/>
        </w:rPr>
        <w:t xml:space="preserve"> </w:t>
      </w:r>
      <w:r w:rsidRPr="00B004EE">
        <w:rPr>
          <w:rFonts w:ascii="Tahoma" w:hAnsi="Tahoma" w:cs="Tahoma"/>
          <w:sz w:val="20"/>
          <w:szCs w:val="20"/>
        </w:rPr>
        <w:t>de</w:t>
      </w:r>
      <w:r w:rsidR="00DB1635" w:rsidRPr="00B004EE">
        <w:rPr>
          <w:rFonts w:ascii="Tahoma" w:hAnsi="Tahoma" w:cs="Tahoma"/>
          <w:spacing w:val="37"/>
          <w:sz w:val="20"/>
          <w:szCs w:val="20"/>
        </w:rPr>
        <w:t xml:space="preserve"> </w:t>
      </w:r>
      <w:r w:rsidRPr="00B004EE">
        <w:rPr>
          <w:rFonts w:ascii="Tahoma" w:hAnsi="Tahoma" w:cs="Tahoma"/>
          <w:sz w:val="20"/>
          <w:szCs w:val="20"/>
        </w:rPr>
        <w:t>prévenir,</w:t>
      </w:r>
      <w:r w:rsidR="00DB1635" w:rsidRPr="00B004EE">
        <w:rPr>
          <w:rFonts w:ascii="Tahoma" w:hAnsi="Tahoma" w:cs="Tahoma"/>
          <w:spacing w:val="37"/>
          <w:sz w:val="20"/>
          <w:szCs w:val="20"/>
        </w:rPr>
        <w:t xml:space="preserve"> </w:t>
      </w:r>
      <w:r w:rsidRPr="00B004EE">
        <w:rPr>
          <w:rFonts w:ascii="Tahoma" w:hAnsi="Tahoma" w:cs="Tahoma"/>
          <w:sz w:val="20"/>
          <w:szCs w:val="20"/>
        </w:rPr>
        <w:t>contrecarrer</w:t>
      </w:r>
      <w:r w:rsidR="00DB1635" w:rsidRPr="00B004EE">
        <w:rPr>
          <w:rFonts w:ascii="Tahoma" w:hAnsi="Tahoma" w:cs="Tahoma"/>
          <w:spacing w:val="35"/>
          <w:sz w:val="20"/>
          <w:szCs w:val="20"/>
        </w:rPr>
        <w:t xml:space="preserve"> </w:t>
      </w:r>
      <w:r w:rsidRPr="00B004EE">
        <w:rPr>
          <w:rFonts w:ascii="Tahoma" w:hAnsi="Tahoma" w:cs="Tahoma"/>
          <w:sz w:val="20"/>
          <w:szCs w:val="20"/>
        </w:rPr>
        <w:t>et</w:t>
      </w:r>
      <w:r w:rsidR="00DB1635" w:rsidRPr="00B004EE">
        <w:rPr>
          <w:rFonts w:ascii="Tahoma" w:hAnsi="Tahoma" w:cs="Tahoma"/>
          <w:spacing w:val="36"/>
          <w:sz w:val="20"/>
          <w:szCs w:val="20"/>
        </w:rPr>
        <w:t xml:space="preserve"> </w:t>
      </w:r>
      <w:r w:rsidRPr="00B004EE">
        <w:rPr>
          <w:rFonts w:ascii="Tahoma" w:hAnsi="Tahoma" w:cs="Tahoma"/>
          <w:sz w:val="20"/>
          <w:szCs w:val="20"/>
        </w:rPr>
        <w:t>éliminer</w:t>
      </w:r>
      <w:r w:rsidR="00DB1635" w:rsidRPr="00B004EE">
        <w:rPr>
          <w:rFonts w:ascii="Tahoma" w:hAnsi="Tahoma" w:cs="Tahoma"/>
          <w:spacing w:val="35"/>
          <w:sz w:val="20"/>
          <w:szCs w:val="20"/>
        </w:rPr>
        <w:t xml:space="preserve"> </w:t>
      </w:r>
      <w:r w:rsidRPr="00B004EE">
        <w:rPr>
          <w:rFonts w:ascii="Tahoma" w:hAnsi="Tahoma" w:cs="Tahoma"/>
          <w:sz w:val="20"/>
          <w:szCs w:val="20"/>
        </w:rPr>
        <w:t>la</w:t>
      </w:r>
      <w:r w:rsidR="00DB1635" w:rsidRPr="00B004EE">
        <w:rPr>
          <w:rFonts w:ascii="Tahoma" w:hAnsi="Tahoma" w:cs="Tahoma"/>
          <w:spacing w:val="37"/>
          <w:sz w:val="20"/>
          <w:szCs w:val="20"/>
        </w:rPr>
        <w:t xml:space="preserve"> </w:t>
      </w:r>
      <w:r w:rsidRPr="00B004EE">
        <w:rPr>
          <w:rFonts w:ascii="Tahoma" w:hAnsi="Tahoma" w:cs="Tahoma"/>
          <w:sz w:val="20"/>
          <w:szCs w:val="20"/>
        </w:rPr>
        <w:t>pêche</w:t>
      </w:r>
      <w:r w:rsidR="00DB1635" w:rsidRPr="00B004EE">
        <w:rPr>
          <w:rFonts w:ascii="Tahoma" w:hAnsi="Tahoma" w:cs="Tahoma"/>
          <w:spacing w:val="36"/>
          <w:sz w:val="20"/>
          <w:szCs w:val="20"/>
        </w:rPr>
        <w:t xml:space="preserve"> </w:t>
      </w:r>
      <w:r w:rsidRPr="00B004EE">
        <w:rPr>
          <w:rFonts w:ascii="Tahoma" w:hAnsi="Tahoma" w:cs="Tahoma"/>
          <w:sz w:val="20"/>
          <w:szCs w:val="20"/>
        </w:rPr>
        <w:t>illicite,</w:t>
      </w:r>
      <w:r w:rsidR="00DB1635" w:rsidRPr="00B004EE">
        <w:rPr>
          <w:rFonts w:ascii="Tahoma" w:hAnsi="Tahoma" w:cs="Tahoma"/>
          <w:spacing w:val="37"/>
          <w:sz w:val="20"/>
          <w:szCs w:val="20"/>
        </w:rPr>
        <w:t xml:space="preserve"> </w:t>
      </w:r>
      <w:r w:rsidRPr="00B004EE">
        <w:rPr>
          <w:rFonts w:ascii="Tahoma" w:hAnsi="Tahoma" w:cs="Tahoma"/>
          <w:sz w:val="20"/>
          <w:szCs w:val="20"/>
        </w:rPr>
        <w:t>non</w:t>
      </w:r>
      <w:r w:rsidR="00DB1635" w:rsidRPr="00B004EE">
        <w:rPr>
          <w:rFonts w:ascii="Tahoma" w:hAnsi="Tahoma" w:cs="Tahoma"/>
          <w:w w:val="94"/>
          <w:sz w:val="20"/>
          <w:szCs w:val="20"/>
        </w:rPr>
        <w:t xml:space="preserve"> </w:t>
      </w:r>
      <w:r w:rsidRPr="00B004EE">
        <w:rPr>
          <w:rFonts w:ascii="Tahoma" w:hAnsi="Tahoma" w:cs="Tahoma"/>
          <w:w w:val="95"/>
          <w:sz w:val="20"/>
          <w:szCs w:val="20"/>
        </w:rPr>
        <w:t>déclarée</w:t>
      </w:r>
      <w:r w:rsidR="00DB1635" w:rsidRPr="00B004EE">
        <w:rPr>
          <w:rFonts w:ascii="Tahoma" w:hAnsi="Tahoma" w:cs="Tahoma"/>
          <w:w w:val="95"/>
          <w:sz w:val="20"/>
          <w:szCs w:val="20"/>
        </w:rPr>
        <w:t xml:space="preserve"> </w:t>
      </w:r>
      <w:r w:rsidRPr="00B004EE">
        <w:rPr>
          <w:rFonts w:ascii="Tahoma" w:hAnsi="Tahoma" w:cs="Tahoma"/>
          <w:w w:val="95"/>
          <w:sz w:val="20"/>
          <w:szCs w:val="20"/>
        </w:rPr>
        <w:t>et</w:t>
      </w:r>
      <w:r w:rsidR="00DB1635" w:rsidRPr="00B004EE">
        <w:rPr>
          <w:rFonts w:ascii="Tahoma" w:hAnsi="Tahoma" w:cs="Tahoma"/>
          <w:w w:val="95"/>
          <w:sz w:val="20"/>
          <w:szCs w:val="20"/>
        </w:rPr>
        <w:t xml:space="preserve"> </w:t>
      </w:r>
      <w:r w:rsidRPr="00B004EE">
        <w:rPr>
          <w:rFonts w:ascii="Tahoma" w:hAnsi="Tahoma" w:cs="Tahoma"/>
          <w:w w:val="95"/>
          <w:sz w:val="20"/>
          <w:szCs w:val="20"/>
        </w:rPr>
        <w:t>non</w:t>
      </w:r>
      <w:r w:rsidR="00DB1635" w:rsidRPr="00B004EE">
        <w:rPr>
          <w:rFonts w:ascii="Tahoma" w:hAnsi="Tahoma" w:cs="Tahoma"/>
          <w:w w:val="95"/>
          <w:sz w:val="20"/>
          <w:szCs w:val="20"/>
        </w:rPr>
        <w:t xml:space="preserve"> </w:t>
      </w:r>
      <w:r w:rsidRPr="00B004EE">
        <w:rPr>
          <w:rFonts w:ascii="Tahoma" w:hAnsi="Tahoma" w:cs="Tahoma"/>
          <w:w w:val="95"/>
          <w:sz w:val="20"/>
          <w:szCs w:val="20"/>
        </w:rPr>
        <w:t>réglementée</w:t>
      </w:r>
      <w:r w:rsidR="00DB1635" w:rsidRPr="00B004EE">
        <w:rPr>
          <w:rFonts w:ascii="Tahoma" w:hAnsi="Tahoma" w:cs="Tahoma"/>
          <w:w w:val="95"/>
          <w:sz w:val="20"/>
          <w:szCs w:val="20"/>
        </w:rPr>
        <w:t xml:space="preserve"> </w:t>
      </w:r>
      <w:r w:rsidRPr="00B004EE">
        <w:rPr>
          <w:rFonts w:ascii="Tahoma" w:hAnsi="Tahoma" w:cs="Tahoma"/>
          <w:w w:val="95"/>
          <w:sz w:val="20"/>
          <w:szCs w:val="20"/>
        </w:rPr>
        <w:t>(pêche</w:t>
      </w:r>
      <w:r w:rsidR="00DB1635" w:rsidRPr="00B004EE">
        <w:rPr>
          <w:rFonts w:ascii="Tahoma" w:hAnsi="Tahoma" w:cs="Tahoma"/>
          <w:spacing w:val="47"/>
          <w:w w:val="95"/>
          <w:sz w:val="20"/>
          <w:szCs w:val="20"/>
        </w:rPr>
        <w:t xml:space="preserve"> </w:t>
      </w:r>
      <w:r w:rsidRPr="00B004EE">
        <w:rPr>
          <w:rFonts w:ascii="Tahoma" w:hAnsi="Tahoma" w:cs="Tahoma"/>
          <w:w w:val="95"/>
          <w:sz w:val="20"/>
          <w:szCs w:val="20"/>
        </w:rPr>
        <w:t>INN).</w:t>
      </w:r>
    </w:p>
    <w:p w14:paraId="6F0F2047" w14:textId="77777777" w:rsidR="001E7C3C" w:rsidRPr="00B004EE" w:rsidRDefault="001E7C3C" w:rsidP="00B004EE">
      <w:pPr>
        <w:rPr>
          <w:rFonts w:ascii="Tahoma" w:eastAsia="American Typewriter" w:hAnsi="Tahoma" w:cs="Tahoma"/>
          <w:sz w:val="20"/>
          <w:szCs w:val="20"/>
        </w:rPr>
      </w:pPr>
    </w:p>
    <w:p w14:paraId="32562F3E" w14:textId="7C8322C6" w:rsidR="001E7C3C" w:rsidRPr="00B004EE" w:rsidRDefault="001E7C3C" w:rsidP="00B004EE">
      <w:pPr>
        <w:pStyle w:val="Corpsdetexte"/>
        <w:ind w:right="161"/>
        <w:rPr>
          <w:rFonts w:ascii="Tahoma" w:hAnsi="Tahoma" w:cs="Tahoma"/>
          <w:sz w:val="20"/>
          <w:szCs w:val="20"/>
        </w:rPr>
      </w:pPr>
      <w:r w:rsidRPr="00B004EE">
        <w:rPr>
          <w:rFonts w:ascii="Tahoma" w:hAnsi="Tahoma" w:cs="Tahoma"/>
          <w:sz w:val="20"/>
          <w:szCs w:val="20"/>
        </w:rPr>
        <w:t>A</w:t>
      </w:r>
      <w:r w:rsidR="00DB1635" w:rsidRPr="00B004EE">
        <w:rPr>
          <w:rFonts w:ascii="Tahoma" w:hAnsi="Tahoma" w:cs="Tahoma"/>
          <w:sz w:val="20"/>
          <w:szCs w:val="20"/>
        </w:rPr>
        <w:t xml:space="preserve"> </w:t>
      </w:r>
      <w:r w:rsidRPr="00B004EE">
        <w:rPr>
          <w:rFonts w:ascii="Tahoma" w:hAnsi="Tahoma" w:cs="Tahoma"/>
          <w:sz w:val="20"/>
          <w:szCs w:val="20"/>
        </w:rPr>
        <w:t>cet</w:t>
      </w:r>
      <w:r w:rsidR="00DB1635" w:rsidRPr="00B004EE">
        <w:rPr>
          <w:rFonts w:ascii="Tahoma" w:hAnsi="Tahoma" w:cs="Tahoma"/>
          <w:sz w:val="20"/>
          <w:szCs w:val="20"/>
        </w:rPr>
        <w:t xml:space="preserve"> </w:t>
      </w:r>
      <w:r w:rsidRPr="00B004EE">
        <w:rPr>
          <w:rFonts w:ascii="Tahoma" w:hAnsi="Tahoma" w:cs="Tahoma"/>
          <w:sz w:val="20"/>
          <w:szCs w:val="20"/>
        </w:rPr>
        <w:t>effet,</w:t>
      </w:r>
      <w:r w:rsidR="00DB1635" w:rsidRPr="00B004EE">
        <w:rPr>
          <w:rFonts w:ascii="Tahoma" w:hAnsi="Tahoma" w:cs="Tahoma"/>
          <w:sz w:val="20"/>
          <w:szCs w:val="20"/>
        </w:rPr>
        <w:t xml:space="preserve"> </w:t>
      </w:r>
      <w:r w:rsidRPr="00B004EE">
        <w:rPr>
          <w:rFonts w:ascii="Tahoma" w:eastAsia="American Typewriter" w:hAnsi="Tahoma" w:cs="Tahoma"/>
          <w:sz w:val="20"/>
          <w:szCs w:val="20"/>
        </w:rPr>
        <w:t>il</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s’emplo</w:t>
      </w:r>
      <w:r w:rsidRPr="00B004EE">
        <w:rPr>
          <w:rFonts w:ascii="Tahoma" w:hAnsi="Tahoma" w:cs="Tahoma"/>
          <w:sz w:val="20"/>
          <w:szCs w:val="20"/>
        </w:rPr>
        <w:t>ie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promouvoir</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coopération</w:t>
      </w:r>
      <w:r w:rsidR="00DB1635" w:rsidRPr="00B004EE">
        <w:rPr>
          <w:rFonts w:ascii="Tahoma" w:hAnsi="Tahoma" w:cs="Tahoma"/>
          <w:sz w:val="20"/>
          <w:szCs w:val="20"/>
        </w:rPr>
        <w:t xml:space="preserve"> </w:t>
      </w:r>
      <w:r w:rsidRPr="00B004EE">
        <w:rPr>
          <w:rFonts w:ascii="Tahoma" w:hAnsi="Tahoma" w:cs="Tahoma"/>
          <w:sz w:val="20"/>
          <w:szCs w:val="20"/>
        </w:rPr>
        <w:t>sous</w:t>
      </w:r>
      <w:r w:rsidR="00DB1635" w:rsidRPr="00B004EE">
        <w:rPr>
          <w:rFonts w:ascii="Tahoma" w:hAnsi="Tahoma" w:cs="Tahoma"/>
          <w:sz w:val="20"/>
          <w:szCs w:val="20"/>
        </w:rPr>
        <w:t xml:space="preserve"> </w:t>
      </w:r>
      <w:r w:rsidRPr="00B004EE">
        <w:rPr>
          <w:rFonts w:ascii="Tahoma" w:hAnsi="Tahoma" w:cs="Tahoma"/>
          <w:sz w:val="20"/>
          <w:szCs w:val="20"/>
        </w:rPr>
        <w:t>régionale,</w:t>
      </w:r>
      <w:r w:rsidR="00DB1635" w:rsidRPr="00B004EE">
        <w:rPr>
          <w:rFonts w:ascii="Tahoma" w:hAnsi="Tahoma" w:cs="Tahoma"/>
          <w:sz w:val="20"/>
          <w:szCs w:val="20"/>
        </w:rPr>
        <w:t xml:space="preserve"> </w:t>
      </w:r>
      <w:r w:rsidRPr="00B004EE">
        <w:rPr>
          <w:rFonts w:ascii="Tahoma" w:hAnsi="Tahoma" w:cs="Tahoma"/>
          <w:sz w:val="20"/>
          <w:szCs w:val="20"/>
        </w:rPr>
        <w:t>régionale</w:t>
      </w:r>
      <w:r w:rsidR="00DB1635" w:rsidRPr="00B004EE">
        <w:rPr>
          <w:rFonts w:ascii="Tahoma" w:hAnsi="Tahoma" w:cs="Tahoma"/>
          <w:spacing w:val="40"/>
          <w:sz w:val="20"/>
          <w:szCs w:val="20"/>
        </w:rPr>
        <w:t xml:space="preserve"> </w:t>
      </w:r>
      <w:r w:rsidRPr="00B004EE">
        <w:rPr>
          <w:rFonts w:ascii="Tahoma" w:hAnsi="Tahoma" w:cs="Tahoma"/>
          <w:sz w:val="20"/>
          <w:szCs w:val="20"/>
        </w:rPr>
        <w:t>et</w:t>
      </w:r>
      <w:r w:rsidR="00DB1635" w:rsidRPr="00B004EE">
        <w:rPr>
          <w:rFonts w:ascii="Tahoma" w:hAnsi="Tahoma" w:cs="Tahoma"/>
          <w:w w:val="95"/>
          <w:sz w:val="20"/>
          <w:szCs w:val="20"/>
        </w:rPr>
        <w:t xml:space="preserve"> </w:t>
      </w:r>
      <w:r w:rsidRPr="00B004EE">
        <w:rPr>
          <w:rFonts w:ascii="Tahoma" w:hAnsi="Tahoma" w:cs="Tahoma"/>
          <w:sz w:val="20"/>
          <w:szCs w:val="20"/>
        </w:rPr>
        <w:t>internationale</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domaine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lutte</w:t>
      </w:r>
      <w:r w:rsidR="00DB1635" w:rsidRPr="00B004EE">
        <w:rPr>
          <w:rFonts w:ascii="Tahoma" w:hAnsi="Tahoma" w:cs="Tahoma"/>
          <w:sz w:val="20"/>
          <w:szCs w:val="20"/>
        </w:rPr>
        <w:t xml:space="preserve"> </w:t>
      </w:r>
      <w:r w:rsidRPr="00B004EE">
        <w:rPr>
          <w:rFonts w:ascii="Tahoma" w:hAnsi="Tahoma" w:cs="Tahoma"/>
          <w:sz w:val="20"/>
          <w:szCs w:val="20"/>
        </w:rPr>
        <w:t>contre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INN,</w:t>
      </w:r>
      <w:r w:rsidR="00DB1635" w:rsidRPr="00B004EE">
        <w:rPr>
          <w:rFonts w:ascii="Tahoma" w:hAnsi="Tahoma" w:cs="Tahoma"/>
          <w:sz w:val="20"/>
          <w:szCs w:val="20"/>
        </w:rPr>
        <w:t xml:space="preserve"> </w:t>
      </w:r>
      <w:r w:rsidRPr="00B004EE">
        <w:rPr>
          <w:rFonts w:ascii="Tahoma" w:hAnsi="Tahoma" w:cs="Tahoma"/>
          <w:sz w:val="20"/>
          <w:szCs w:val="20"/>
        </w:rPr>
        <w:t>conformément</w:t>
      </w:r>
      <w:r w:rsidR="00DB1635" w:rsidRPr="00B004EE">
        <w:rPr>
          <w:rFonts w:ascii="Tahoma" w:hAnsi="Tahoma" w:cs="Tahoma"/>
          <w:spacing w:val="-27"/>
          <w:sz w:val="20"/>
          <w:szCs w:val="20"/>
        </w:rPr>
        <w:t xml:space="preserve"> </w:t>
      </w:r>
      <w:r w:rsidRPr="00B004EE">
        <w:rPr>
          <w:rFonts w:ascii="Tahoma" w:hAnsi="Tahoma" w:cs="Tahoma"/>
          <w:sz w:val="20"/>
          <w:szCs w:val="20"/>
        </w:rPr>
        <w:t>au</w:t>
      </w:r>
      <w:r w:rsidR="00DB1635" w:rsidRPr="00B004EE">
        <w:rPr>
          <w:rFonts w:ascii="Tahoma" w:hAnsi="Tahoma" w:cs="Tahoma"/>
          <w:w w:val="98"/>
          <w:sz w:val="20"/>
          <w:szCs w:val="20"/>
        </w:rPr>
        <w:t xml:space="preserve"> </w:t>
      </w:r>
      <w:r w:rsidRPr="00B004EE">
        <w:rPr>
          <w:rFonts w:ascii="Tahoma" w:hAnsi="Tahoma" w:cs="Tahoma"/>
          <w:w w:val="95"/>
          <w:sz w:val="20"/>
          <w:szCs w:val="20"/>
        </w:rPr>
        <w:t>droit</w:t>
      </w:r>
      <w:r w:rsidR="00DB1635" w:rsidRPr="00B004EE">
        <w:rPr>
          <w:rFonts w:ascii="Tahoma" w:hAnsi="Tahoma" w:cs="Tahoma"/>
          <w:spacing w:val="31"/>
          <w:w w:val="95"/>
          <w:sz w:val="20"/>
          <w:szCs w:val="20"/>
        </w:rPr>
        <w:t xml:space="preserve"> </w:t>
      </w:r>
      <w:r w:rsidRPr="00B004EE">
        <w:rPr>
          <w:rFonts w:ascii="Tahoma" w:hAnsi="Tahoma" w:cs="Tahoma"/>
          <w:w w:val="95"/>
          <w:sz w:val="20"/>
          <w:szCs w:val="20"/>
        </w:rPr>
        <w:t>international.</w:t>
      </w:r>
    </w:p>
    <w:p w14:paraId="2F5F2348" w14:textId="77777777" w:rsidR="001E7C3C" w:rsidRPr="00B004EE" w:rsidRDefault="001E7C3C" w:rsidP="00B004EE">
      <w:pPr>
        <w:rPr>
          <w:rFonts w:ascii="Tahoma" w:eastAsia="American Typewriter" w:hAnsi="Tahoma" w:cs="Tahoma"/>
          <w:sz w:val="20"/>
          <w:szCs w:val="20"/>
        </w:rPr>
      </w:pPr>
    </w:p>
    <w:p w14:paraId="6FD95F1D" w14:textId="41B01873" w:rsidR="001E7C3C" w:rsidRPr="00B004EE" w:rsidRDefault="001E7C3C" w:rsidP="00B004EE">
      <w:pPr>
        <w:pStyle w:val="Corpsdetexte"/>
        <w:ind w:right="161"/>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62</w:t>
      </w:r>
      <w:r w:rsidR="00DB1635" w:rsidRPr="00B004EE">
        <w:rPr>
          <w:rFonts w:ascii="Tahoma" w:hAnsi="Tahoma" w:cs="Tahoma"/>
          <w:bCs/>
          <w:sz w:val="20"/>
          <w:szCs w:val="20"/>
        </w:rPr>
        <w:t xml:space="preserve"> </w:t>
      </w:r>
      <w:r w:rsidRPr="00B004EE">
        <w:rPr>
          <w:rFonts w:ascii="Tahoma" w:hAnsi="Tahoma" w:cs="Tahoma"/>
          <w:bCs/>
          <w:sz w:val="20"/>
          <w:szCs w:val="20"/>
        </w:rPr>
        <w:t>:</w:t>
      </w:r>
      <w:r w:rsidR="00DB1635" w:rsidRPr="00B004EE">
        <w:rPr>
          <w:rFonts w:ascii="Tahoma" w:hAnsi="Tahoma" w:cs="Tahoma"/>
          <w:b/>
          <w:spacing w:val="-19"/>
          <w:sz w:val="20"/>
          <w:szCs w:val="20"/>
        </w:rPr>
        <w:t xml:space="preserve"> </w:t>
      </w:r>
      <w:r w:rsidRPr="00B004EE">
        <w:rPr>
          <w:rFonts w:ascii="Tahoma" w:hAnsi="Tahoma" w:cs="Tahoma"/>
          <w:sz w:val="20"/>
          <w:szCs w:val="20"/>
        </w:rPr>
        <w:t>Un</w:t>
      </w:r>
      <w:r w:rsidR="00DB1635" w:rsidRPr="00B004EE">
        <w:rPr>
          <w:rFonts w:ascii="Tahoma" w:hAnsi="Tahoma" w:cs="Tahoma"/>
          <w:spacing w:val="-22"/>
          <w:sz w:val="20"/>
          <w:szCs w:val="20"/>
        </w:rPr>
        <w:t xml:space="preserve"> </w:t>
      </w:r>
      <w:r w:rsidRPr="00B004EE">
        <w:rPr>
          <w:rFonts w:ascii="Tahoma" w:hAnsi="Tahoma" w:cs="Tahoma"/>
          <w:sz w:val="20"/>
          <w:szCs w:val="20"/>
        </w:rPr>
        <w:t>décret</w:t>
      </w:r>
      <w:r w:rsidR="00DB1635" w:rsidRPr="00B004EE">
        <w:rPr>
          <w:rFonts w:ascii="Tahoma" w:hAnsi="Tahoma" w:cs="Tahoma"/>
          <w:spacing w:val="-23"/>
          <w:sz w:val="20"/>
          <w:szCs w:val="20"/>
        </w:rPr>
        <w:t xml:space="preserve"> </w:t>
      </w:r>
      <w:r w:rsidRPr="00B004EE">
        <w:rPr>
          <w:rFonts w:ascii="Tahoma" w:hAnsi="Tahoma" w:cs="Tahoma"/>
          <w:sz w:val="20"/>
          <w:szCs w:val="20"/>
        </w:rPr>
        <w:t>pris</w:t>
      </w:r>
      <w:r w:rsidR="00DB1635" w:rsidRPr="00B004EE">
        <w:rPr>
          <w:rFonts w:ascii="Tahoma" w:hAnsi="Tahoma" w:cs="Tahoma"/>
          <w:spacing w:val="-24"/>
          <w:sz w:val="20"/>
          <w:szCs w:val="20"/>
        </w:rPr>
        <w:t xml:space="preserve"> </w:t>
      </w:r>
      <w:r w:rsidRPr="00B004EE">
        <w:rPr>
          <w:rFonts w:ascii="Tahoma" w:hAnsi="Tahoma" w:cs="Tahoma"/>
          <w:sz w:val="20"/>
          <w:szCs w:val="20"/>
        </w:rPr>
        <w:t>en</w:t>
      </w:r>
      <w:r w:rsidR="00DB1635" w:rsidRPr="00B004EE">
        <w:rPr>
          <w:rFonts w:ascii="Tahoma" w:hAnsi="Tahoma" w:cs="Tahoma"/>
          <w:spacing w:val="-23"/>
          <w:sz w:val="20"/>
          <w:szCs w:val="20"/>
        </w:rPr>
        <w:t xml:space="preserve"> </w:t>
      </w:r>
      <w:r w:rsidRPr="00B004EE">
        <w:rPr>
          <w:rFonts w:ascii="Tahoma" w:hAnsi="Tahoma" w:cs="Tahoma"/>
          <w:sz w:val="20"/>
          <w:szCs w:val="20"/>
        </w:rPr>
        <w:t>Conseil</w:t>
      </w:r>
      <w:r w:rsidR="00DB1635" w:rsidRPr="00B004EE">
        <w:rPr>
          <w:rFonts w:ascii="Tahoma" w:hAnsi="Tahoma" w:cs="Tahoma"/>
          <w:spacing w:val="-23"/>
          <w:sz w:val="20"/>
          <w:szCs w:val="20"/>
        </w:rPr>
        <w:t xml:space="preserve"> </w:t>
      </w:r>
      <w:r w:rsidRPr="00B004EE">
        <w:rPr>
          <w:rFonts w:ascii="Tahoma" w:hAnsi="Tahoma" w:cs="Tahoma"/>
          <w:sz w:val="20"/>
          <w:szCs w:val="20"/>
        </w:rPr>
        <w:t>des</w:t>
      </w:r>
      <w:r w:rsidR="00DB1635" w:rsidRPr="00B004EE">
        <w:rPr>
          <w:rFonts w:ascii="Tahoma" w:hAnsi="Tahoma" w:cs="Tahoma"/>
          <w:spacing w:val="-21"/>
          <w:sz w:val="20"/>
          <w:szCs w:val="20"/>
        </w:rPr>
        <w:t xml:space="preserve"> </w:t>
      </w:r>
      <w:r w:rsidRPr="00B004EE">
        <w:rPr>
          <w:rFonts w:ascii="Tahoma" w:hAnsi="Tahoma" w:cs="Tahoma"/>
          <w:sz w:val="20"/>
          <w:szCs w:val="20"/>
        </w:rPr>
        <w:t>Ministres</w:t>
      </w:r>
      <w:r w:rsidR="00DB1635" w:rsidRPr="00B004EE">
        <w:rPr>
          <w:rFonts w:ascii="Tahoma" w:hAnsi="Tahoma" w:cs="Tahoma"/>
          <w:spacing w:val="-24"/>
          <w:sz w:val="20"/>
          <w:szCs w:val="20"/>
        </w:rPr>
        <w:t xml:space="preserve"> </w:t>
      </w:r>
      <w:r w:rsidRPr="00B004EE">
        <w:rPr>
          <w:rFonts w:ascii="Tahoma" w:hAnsi="Tahoma" w:cs="Tahoma"/>
          <w:sz w:val="20"/>
          <w:szCs w:val="20"/>
        </w:rPr>
        <w:t>sur</w:t>
      </w:r>
      <w:r w:rsidR="00DB1635" w:rsidRPr="00B004EE">
        <w:rPr>
          <w:rFonts w:ascii="Tahoma" w:hAnsi="Tahoma" w:cs="Tahoma"/>
          <w:spacing w:val="-24"/>
          <w:sz w:val="20"/>
          <w:szCs w:val="20"/>
        </w:rPr>
        <w:t xml:space="preserve"> </w:t>
      </w:r>
      <w:r w:rsidRPr="00B004EE">
        <w:rPr>
          <w:rFonts w:ascii="Tahoma" w:hAnsi="Tahoma" w:cs="Tahoma"/>
          <w:sz w:val="20"/>
          <w:szCs w:val="20"/>
        </w:rPr>
        <w:t>rapport</w:t>
      </w:r>
      <w:r w:rsidR="00DB1635" w:rsidRPr="00B004EE">
        <w:rPr>
          <w:rFonts w:ascii="Tahoma" w:hAnsi="Tahoma" w:cs="Tahoma"/>
          <w:spacing w:val="-23"/>
          <w:sz w:val="20"/>
          <w:szCs w:val="20"/>
        </w:rPr>
        <w:t xml:space="preserve"> </w:t>
      </w:r>
      <w:r w:rsidRPr="00B004EE">
        <w:rPr>
          <w:rFonts w:ascii="Tahoma" w:hAnsi="Tahoma" w:cs="Tahoma"/>
          <w:sz w:val="20"/>
          <w:szCs w:val="20"/>
        </w:rPr>
        <w:t>du</w:t>
      </w:r>
      <w:r w:rsidR="00DB1635" w:rsidRPr="00B004EE">
        <w:rPr>
          <w:rFonts w:ascii="Tahoma" w:hAnsi="Tahoma" w:cs="Tahoma"/>
          <w:spacing w:val="-23"/>
          <w:sz w:val="20"/>
          <w:szCs w:val="20"/>
        </w:rPr>
        <w:t xml:space="preserve"> </w:t>
      </w:r>
      <w:r w:rsidRPr="00B004EE">
        <w:rPr>
          <w:rFonts w:ascii="Tahoma" w:hAnsi="Tahoma" w:cs="Tahoma"/>
          <w:sz w:val="20"/>
          <w:szCs w:val="20"/>
        </w:rPr>
        <w:t>ministre</w:t>
      </w:r>
      <w:r w:rsidR="00DB1635" w:rsidRPr="00B004EE">
        <w:rPr>
          <w:rFonts w:ascii="Tahoma" w:hAnsi="Tahoma" w:cs="Tahoma"/>
          <w:spacing w:val="-23"/>
          <w:sz w:val="20"/>
          <w:szCs w:val="20"/>
        </w:rPr>
        <w:t xml:space="preserve"> </w:t>
      </w:r>
      <w:r w:rsidRPr="00B004EE">
        <w:rPr>
          <w:rFonts w:ascii="Tahoma" w:hAnsi="Tahoma" w:cs="Tahoma"/>
          <w:sz w:val="20"/>
          <w:szCs w:val="20"/>
        </w:rPr>
        <w:t>chargé</w:t>
      </w:r>
      <w:r w:rsidR="00DB1635" w:rsidRPr="00B004EE">
        <w:rPr>
          <w:rFonts w:ascii="Tahoma" w:hAnsi="Tahoma" w:cs="Tahoma"/>
          <w:w w:val="94"/>
          <w:sz w:val="20"/>
          <w:szCs w:val="20"/>
        </w:rPr>
        <w:t xml:space="preserve"> </w:t>
      </w:r>
      <w:r w:rsidRPr="00B004EE">
        <w:rPr>
          <w:rFonts w:ascii="Tahoma" w:hAnsi="Tahoma" w:cs="Tahoma"/>
          <w:sz w:val="20"/>
          <w:szCs w:val="20"/>
        </w:rPr>
        <w:t>des</w:t>
      </w:r>
      <w:r w:rsidR="00DB1635" w:rsidRPr="00B004EE">
        <w:rPr>
          <w:rFonts w:ascii="Tahoma" w:hAnsi="Tahoma" w:cs="Tahoma"/>
          <w:spacing w:val="17"/>
          <w:sz w:val="20"/>
          <w:szCs w:val="20"/>
        </w:rPr>
        <w:t xml:space="preserve"> </w:t>
      </w:r>
      <w:r w:rsidRPr="00B004EE">
        <w:rPr>
          <w:rFonts w:ascii="Tahoma" w:hAnsi="Tahoma" w:cs="Tahoma"/>
          <w:sz w:val="20"/>
          <w:szCs w:val="20"/>
        </w:rPr>
        <w:t>pêches</w:t>
      </w:r>
      <w:r w:rsidR="00DB1635" w:rsidRPr="00B004EE">
        <w:rPr>
          <w:rFonts w:ascii="Tahoma" w:hAnsi="Tahoma" w:cs="Tahoma"/>
          <w:spacing w:val="17"/>
          <w:sz w:val="20"/>
          <w:szCs w:val="20"/>
        </w:rPr>
        <w:t xml:space="preserve"> </w:t>
      </w:r>
      <w:r w:rsidRPr="00B004EE">
        <w:rPr>
          <w:rFonts w:ascii="Tahoma" w:hAnsi="Tahoma" w:cs="Tahoma"/>
          <w:sz w:val="20"/>
          <w:szCs w:val="20"/>
        </w:rPr>
        <w:t>désigne</w:t>
      </w:r>
      <w:r w:rsidR="00DB1635" w:rsidRPr="00B004EE">
        <w:rPr>
          <w:rFonts w:ascii="Tahoma" w:hAnsi="Tahoma" w:cs="Tahoma"/>
          <w:spacing w:val="17"/>
          <w:sz w:val="20"/>
          <w:szCs w:val="20"/>
        </w:rPr>
        <w:t xml:space="preserve"> </w:t>
      </w:r>
      <w:r w:rsidRPr="00B004EE">
        <w:rPr>
          <w:rFonts w:ascii="Tahoma" w:hAnsi="Tahoma" w:cs="Tahoma"/>
          <w:sz w:val="20"/>
          <w:szCs w:val="20"/>
        </w:rPr>
        <w:t>le</w:t>
      </w:r>
      <w:r w:rsidR="00DB1635" w:rsidRPr="00B004EE">
        <w:rPr>
          <w:rFonts w:ascii="Tahoma" w:hAnsi="Tahoma" w:cs="Tahoma"/>
          <w:spacing w:val="17"/>
          <w:sz w:val="20"/>
          <w:szCs w:val="20"/>
        </w:rPr>
        <w:t xml:space="preserve"> </w:t>
      </w:r>
      <w:r w:rsidRPr="00B004EE">
        <w:rPr>
          <w:rFonts w:ascii="Tahoma" w:hAnsi="Tahoma" w:cs="Tahoma"/>
          <w:sz w:val="20"/>
          <w:szCs w:val="20"/>
        </w:rPr>
        <w:t>(ou</w:t>
      </w:r>
      <w:r w:rsidR="00DB1635" w:rsidRPr="00B004EE">
        <w:rPr>
          <w:rFonts w:ascii="Tahoma" w:hAnsi="Tahoma" w:cs="Tahoma"/>
          <w:spacing w:val="18"/>
          <w:sz w:val="20"/>
          <w:szCs w:val="20"/>
        </w:rPr>
        <w:t xml:space="preserve"> </w:t>
      </w:r>
      <w:r w:rsidRPr="00B004EE">
        <w:rPr>
          <w:rFonts w:ascii="Tahoma" w:hAnsi="Tahoma" w:cs="Tahoma"/>
          <w:sz w:val="20"/>
          <w:szCs w:val="20"/>
        </w:rPr>
        <w:t>les)</w:t>
      </w:r>
      <w:r w:rsidR="00DB1635" w:rsidRPr="00B004EE">
        <w:rPr>
          <w:rFonts w:ascii="Tahoma" w:hAnsi="Tahoma" w:cs="Tahoma"/>
          <w:spacing w:val="17"/>
          <w:sz w:val="20"/>
          <w:szCs w:val="20"/>
        </w:rPr>
        <w:t xml:space="preserve"> </w:t>
      </w:r>
      <w:r w:rsidRPr="00B004EE">
        <w:rPr>
          <w:rFonts w:ascii="Tahoma" w:hAnsi="Tahoma" w:cs="Tahoma"/>
          <w:sz w:val="20"/>
          <w:szCs w:val="20"/>
        </w:rPr>
        <w:t>port(s)</w:t>
      </w:r>
      <w:r w:rsidR="00DB1635" w:rsidRPr="00B004EE">
        <w:rPr>
          <w:rFonts w:ascii="Tahoma" w:hAnsi="Tahoma" w:cs="Tahoma"/>
          <w:spacing w:val="17"/>
          <w:sz w:val="20"/>
          <w:szCs w:val="20"/>
        </w:rPr>
        <w:t xml:space="preserve"> </w:t>
      </w:r>
      <w:r w:rsidRPr="00B004EE">
        <w:rPr>
          <w:rFonts w:ascii="Tahoma" w:hAnsi="Tahoma" w:cs="Tahoma"/>
          <w:sz w:val="20"/>
          <w:szCs w:val="20"/>
        </w:rPr>
        <w:t>mauritanien</w:t>
      </w:r>
      <w:r w:rsidR="00DB1635" w:rsidRPr="00B004EE">
        <w:rPr>
          <w:rFonts w:ascii="Tahoma" w:hAnsi="Tahoma" w:cs="Tahoma"/>
          <w:spacing w:val="17"/>
          <w:sz w:val="20"/>
          <w:szCs w:val="20"/>
        </w:rPr>
        <w:t xml:space="preserve"> </w:t>
      </w:r>
      <w:r w:rsidRPr="00B004EE">
        <w:rPr>
          <w:rFonts w:ascii="Tahoma" w:hAnsi="Tahoma" w:cs="Tahoma"/>
          <w:sz w:val="20"/>
          <w:szCs w:val="20"/>
        </w:rPr>
        <w:t>(s)</w:t>
      </w:r>
      <w:r w:rsidR="00DB1635" w:rsidRPr="00B004EE">
        <w:rPr>
          <w:rFonts w:ascii="Tahoma" w:hAnsi="Tahoma" w:cs="Tahoma"/>
          <w:spacing w:val="17"/>
          <w:sz w:val="20"/>
          <w:szCs w:val="20"/>
        </w:rPr>
        <w:t xml:space="preserve"> </w:t>
      </w:r>
      <w:r w:rsidRPr="00B004EE">
        <w:rPr>
          <w:rFonts w:ascii="Tahoma" w:hAnsi="Tahoma" w:cs="Tahoma"/>
          <w:sz w:val="20"/>
          <w:szCs w:val="20"/>
        </w:rPr>
        <w:t>habilité(s)</w:t>
      </w:r>
      <w:r w:rsidR="00DB1635" w:rsidRPr="00B004EE">
        <w:rPr>
          <w:rFonts w:ascii="Tahoma" w:hAnsi="Tahoma" w:cs="Tahoma"/>
          <w:spacing w:val="17"/>
          <w:sz w:val="20"/>
          <w:szCs w:val="20"/>
        </w:rPr>
        <w:t xml:space="preserve"> </w:t>
      </w:r>
      <w:r w:rsidRPr="00B004EE">
        <w:rPr>
          <w:rFonts w:ascii="Tahoma" w:hAnsi="Tahoma" w:cs="Tahoma"/>
          <w:sz w:val="20"/>
          <w:szCs w:val="20"/>
        </w:rPr>
        <w:t>à</w:t>
      </w:r>
      <w:r w:rsidR="00DB1635" w:rsidRPr="00B004EE">
        <w:rPr>
          <w:rFonts w:ascii="Tahoma" w:hAnsi="Tahoma" w:cs="Tahoma"/>
          <w:spacing w:val="18"/>
          <w:sz w:val="20"/>
          <w:szCs w:val="20"/>
        </w:rPr>
        <w:t xml:space="preserve"> </w:t>
      </w:r>
      <w:r w:rsidRPr="00B004EE">
        <w:rPr>
          <w:rFonts w:ascii="Tahoma" w:hAnsi="Tahoma" w:cs="Tahoma"/>
          <w:sz w:val="20"/>
          <w:szCs w:val="20"/>
        </w:rPr>
        <w:t>recevoir</w:t>
      </w:r>
      <w:r w:rsidR="00DB1635" w:rsidRPr="00B004EE">
        <w:rPr>
          <w:rFonts w:ascii="Tahoma" w:hAnsi="Tahoma" w:cs="Tahoma"/>
          <w:spacing w:val="17"/>
          <w:sz w:val="20"/>
          <w:szCs w:val="20"/>
        </w:rPr>
        <w:t xml:space="preserve"> </w:t>
      </w:r>
      <w:r w:rsidRPr="00B004EE">
        <w:rPr>
          <w:rFonts w:ascii="Tahoma" w:hAnsi="Tahoma" w:cs="Tahoma"/>
          <w:sz w:val="20"/>
          <w:szCs w:val="20"/>
        </w:rPr>
        <w:t>les</w:t>
      </w:r>
      <w:r w:rsidR="00DB1635" w:rsidRPr="00B004EE">
        <w:rPr>
          <w:rFonts w:ascii="Tahoma" w:hAnsi="Tahoma" w:cs="Tahoma"/>
          <w:w w:val="94"/>
          <w:sz w:val="20"/>
          <w:szCs w:val="20"/>
        </w:rPr>
        <w:t xml:space="preserve"> </w:t>
      </w:r>
      <w:r w:rsidRPr="00B004EE">
        <w:rPr>
          <w:rFonts w:ascii="Tahoma" w:hAnsi="Tahoma" w:cs="Tahoma"/>
          <w:sz w:val="20"/>
          <w:szCs w:val="20"/>
        </w:rPr>
        <w:t>navires</w:t>
      </w:r>
      <w:r w:rsidR="00DB1635" w:rsidRPr="00B004EE">
        <w:rPr>
          <w:rFonts w:ascii="Tahoma" w:hAnsi="Tahoma" w:cs="Tahoma"/>
          <w:spacing w:val="-38"/>
          <w:sz w:val="20"/>
          <w:szCs w:val="20"/>
        </w:rPr>
        <w:t xml:space="preserve"> </w:t>
      </w:r>
      <w:r w:rsidRPr="00B004EE">
        <w:rPr>
          <w:rFonts w:ascii="Tahoma" w:hAnsi="Tahoma" w:cs="Tahoma"/>
          <w:sz w:val="20"/>
          <w:szCs w:val="20"/>
        </w:rPr>
        <w:t>de</w:t>
      </w:r>
      <w:r w:rsidR="00DB1635" w:rsidRPr="00B004EE">
        <w:rPr>
          <w:rFonts w:ascii="Tahoma" w:hAnsi="Tahoma" w:cs="Tahoma"/>
          <w:spacing w:val="-38"/>
          <w:sz w:val="20"/>
          <w:szCs w:val="20"/>
        </w:rPr>
        <w:t xml:space="preserve"> </w:t>
      </w:r>
      <w:r w:rsidRPr="00B004EE">
        <w:rPr>
          <w:rFonts w:ascii="Tahoma" w:hAnsi="Tahoma" w:cs="Tahoma"/>
          <w:sz w:val="20"/>
          <w:szCs w:val="20"/>
        </w:rPr>
        <w:t>pêche</w:t>
      </w:r>
      <w:r w:rsidR="00DB1635" w:rsidRPr="00B004EE">
        <w:rPr>
          <w:rFonts w:ascii="Tahoma" w:hAnsi="Tahoma" w:cs="Tahoma"/>
          <w:spacing w:val="-38"/>
          <w:sz w:val="20"/>
          <w:szCs w:val="20"/>
        </w:rPr>
        <w:t xml:space="preserve"> </w:t>
      </w:r>
      <w:r w:rsidRPr="00B004EE">
        <w:rPr>
          <w:rFonts w:ascii="Tahoma" w:hAnsi="Tahoma" w:cs="Tahoma"/>
          <w:sz w:val="20"/>
          <w:szCs w:val="20"/>
        </w:rPr>
        <w:t>étrangers</w:t>
      </w:r>
      <w:r w:rsidR="00DB1635" w:rsidRPr="00B004EE">
        <w:rPr>
          <w:rFonts w:ascii="Tahoma" w:hAnsi="Tahoma" w:cs="Tahoma"/>
          <w:spacing w:val="-38"/>
          <w:sz w:val="20"/>
          <w:szCs w:val="20"/>
        </w:rPr>
        <w:t xml:space="preserve"> </w:t>
      </w:r>
      <w:r w:rsidRPr="00B004EE">
        <w:rPr>
          <w:rFonts w:ascii="Tahoma" w:hAnsi="Tahoma" w:cs="Tahoma"/>
          <w:sz w:val="20"/>
          <w:szCs w:val="20"/>
        </w:rPr>
        <w:t>en</w:t>
      </w:r>
      <w:r w:rsidR="00DB1635" w:rsidRPr="00B004EE">
        <w:rPr>
          <w:rFonts w:ascii="Tahoma" w:hAnsi="Tahoma" w:cs="Tahoma"/>
          <w:spacing w:val="-38"/>
          <w:sz w:val="20"/>
          <w:szCs w:val="20"/>
        </w:rPr>
        <w:t xml:space="preserve"> </w:t>
      </w:r>
      <w:r w:rsidRPr="00B004EE">
        <w:rPr>
          <w:rFonts w:ascii="Tahoma" w:hAnsi="Tahoma" w:cs="Tahoma"/>
          <w:sz w:val="20"/>
          <w:szCs w:val="20"/>
        </w:rPr>
        <w:t>escale.</w:t>
      </w:r>
    </w:p>
    <w:p w14:paraId="0122D333" w14:textId="77777777" w:rsidR="001E7C3C" w:rsidRPr="00B004EE" w:rsidRDefault="001E7C3C" w:rsidP="00B004EE">
      <w:pPr>
        <w:rPr>
          <w:rFonts w:ascii="Tahoma" w:eastAsia="American Typewriter" w:hAnsi="Tahoma" w:cs="Tahoma"/>
          <w:sz w:val="20"/>
          <w:szCs w:val="20"/>
        </w:rPr>
      </w:pPr>
    </w:p>
    <w:p w14:paraId="300D0227" w14:textId="4B9C59E0" w:rsidR="001E7C3C" w:rsidRPr="00B004EE" w:rsidRDefault="001E7C3C" w:rsidP="00B004EE">
      <w:pPr>
        <w:pStyle w:val="Corpsdetexte"/>
        <w:ind w:right="160"/>
        <w:rPr>
          <w:rFonts w:ascii="Tahoma" w:hAnsi="Tahoma" w:cs="Tahoma"/>
          <w:sz w:val="20"/>
          <w:szCs w:val="20"/>
        </w:rPr>
      </w:pP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ports</w:t>
      </w:r>
      <w:r w:rsidR="00DB1635" w:rsidRPr="00B004EE">
        <w:rPr>
          <w:rFonts w:ascii="Tahoma" w:hAnsi="Tahoma" w:cs="Tahoma"/>
          <w:sz w:val="20"/>
          <w:szCs w:val="20"/>
        </w:rPr>
        <w:t xml:space="preserve"> </w:t>
      </w:r>
      <w:r w:rsidRPr="00B004EE">
        <w:rPr>
          <w:rFonts w:ascii="Tahoma" w:hAnsi="Tahoma" w:cs="Tahoma"/>
          <w:sz w:val="20"/>
          <w:szCs w:val="20"/>
        </w:rPr>
        <w:t>désignés</w:t>
      </w:r>
      <w:r w:rsidR="00DB1635" w:rsidRPr="00B004EE">
        <w:rPr>
          <w:rFonts w:ascii="Tahoma" w:hAnsi="Tahoma" w:cs="Tahoma"/>
          <w:sz w:val="20"/>
          <w:szCs w:val="20"/>
        </w:rPr>
        <w:t xml:space="preserve"> </w:t>
      </w:r>
      <w:r w:rsidRPr="00B004EE">
        <w:rPr>
          <w:rFonts w:ascii="Tahoma" w:hAnsi="Tahoma" w:cs="Tahoma"/>
          <w:sz w:val="20"/>
          <w:szCs w:val="20"/>
        </w:rPr>
        <w:t>doivent,</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toute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mesure</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possible,</w:t>
      </w:r>
      <w:r w:rsidR="00DB1635" w:rsidRPr="00B004EE">
        <w:rPr>
          <w:rFonts w:ascii="Tahoma" w:hAnsi="Tahoma" w:cs="Tahoma"/>
          <w:sz w:val="20"/>
          <w:szCs w:val="20"/>
        </w:rPr>
        <w:t xml:space="preserve"> </w:t>
      </w:r>
      <w:r w:rsidRPr="00B004EE">
        <w:rPr>
          <w:rFonts w:ascii="Tahoma" w:hAnsi="Tahoma" w:cs="Tahoma"/>
          <w:sz w:val="20"/>
          <w:szCs w:val="20"/>
        </w:rPr>
        <w:t>permettre</w:t>
      </w:r>
      <w:r w:rsidR="00DB1635" w:rsidRPr="00B004EE">
        <w:rPr>
          <w:rFonts w:ascii="Tahoma" w:hAnsi="Tahoma" w:cs="Tahoma"/>
          <w:spacing w:val="36"/>
          <w:sz w:val="20"/>
          <w:szCs w:val="20"/>
        </w:rPr>
        <w:t xml:space="preserve"> </w:t>
      </w:r>
      <w:r w:rsidRPr="00B004EE">
        <w:rPr>
          <w:rFonts w:ascii="Tahoma" w:hAnsi="Tahoma" w:cs="Tahoma"/>
          <w:sz w:val="20"/>
          <w:szCs w:val="20"/>
        </w:rPr>
        <w:t>les</w:t>
      </w:r>
      <w:r w:rsidR="00DB1635" w:rsidRPr="00B004EE">
        <w:rPr>
          <w:rFonts w:ascii="Tahoma" w:hAnsi="Tahoma" w:cs="Tahoma"/>
          <w:w w:val="94"/>
          <w:sz w:val="20"/>
          <w:szCs w:val="20"/>
        </w:rPr>
        <w:t xml:space="preserve"> </w:t>
      </w:r>
      <w:r w:rsidRPr="00B004EE">
        <w:rPr>
          <w:rFonts w:ascii="Tahoma" w:hAnsi="Tahoma" w:cs="Tahoma"/>
          <w:sz w:val="20"/>
          <w:szCs w:val="20"/>
        </w:rPr>
        <w:t>contrôles</w:t>
      </w:r>
      <w:r w:rsidR="00DB1635" w:rsidRPr="00B004EE">
        <w:rPr>
          <w:rFonts w:ascii="Tahoma" w:hAnsi="Tahoma" w:cs="Tahoma"/>
          <w:spacing w:val="-14"/>
          <w:sz w:val="20"/>
          <w:szCs w:val="20"/>
        </w:rPr>
        <w:t xml:space="preserve"> </w:t>
      </w:r>
      <w:r w:rsidRPr="00B004EE">
        <w:rPr>
          <w:rFonts w:ascii="Tahoma" w:hAnsi="Tahoma" w:cs="Tahoma"/>
          <w:sz w:val="20"/>
          <w:szCs w:val="20"/>
        </w:rPr>
        <w:t>prévus</w:t>
      </w:r>
      <w:r w:rsidR="00DB1635" w:rsidRPr="00B004EE">
        <w:rPr>
          <w:rFonts w:ascii="Tahoma" w:hAnsi="Tahoma" w:cs="Tahoma"/>
          <w:spacing w:val="-14"/>
          <w:sz w:val="20"/>
          <w:szCs w:val="20"/>
        </w:rPr>
        <w:t xml:space="preserve"> </w:t>
      </w:r>
      <w:r w:rsidRPr="00B004EE">
        <w:rPr>
          <w:rFonts w:ascii="Tahoma" w:hAnsi="Tahoma" w:cs="Tahoma"/>
          <w:sz w:val="20"/>
          <w:szCs w:val="20"/>
        </w:rPr>
        <w:t>par</w:t>
      </w:r>
      <w:r w:rsidR="00DB1635" w:rsidRPr="00B004EE">
        <w:rPr>
          <w:rFonts w:ascii="Tahoma" w:hAnsi="Tahoma" w:cs="Tahoma"/>
          <w:spacing w:val="-14"/>
          <w:sz w:val="20"/>
          <w:szCs w:val="20"/>
        </w:rPr>
        <w:t xml:space="preserve"> </w:t>
      </w:r>
      <w:r w:rsidRPr="00B004EE">
        <w:rPr>
          <w:rFonts w:ascii="Tahoma" w:hAnsi="Tahoma" w:cs="Tahoma"/>
          <w:sz w:val="20"/>
          <w:szCs w:val="20"/>
        </w:rPr>
        <w:t>les</w:t>
      </w:r>
      <w:r w:rsidR="00DB1635" w:rsidRPr="00B004EE">
        <w:rPr>
          <w:rFonts w:ascii="Tahoma" w:hAnsi="Tahoma" w:cs="Tahoma"/>
          <w:spacing w:val="-14"/>
          <w:sz w:val="20"/>
          <w:szCs w:val="20"/>
        </w:rPr>
        <w:t xml:space="preserve"> </w:t>
      </w:r>
      <w:r w:rsidRPr="00B004EE">
        <w:rPr>
          <w:rFonts w:ascii="Tahoma" w:hAnsi="Tahoma" w:cs="Tahoma"/>
          <w:sz w:val="20"/>
          <w:szCs w:val="20"/>
        </w:rPr>
        <w:t>dispositions</w:t>
      </w:r>
      <w:r w:rsidR="00DB1635" w:rsidRPr="00B004EE">
        <w:rPr>
          <w:rFonts w:ascii="Tahoma" w:hAnsi="Tahoma" w:cs="Tahoma"/>
          <w:spacing w:val="-14"/>
          <w:sz w:val="20"/>
          <w:szCs w:val="20"/>
        </w:rPr>
        <w:t xml:space="preserve"> </w:t>
      </w:r>
      <w:r w:rsidRPr="00B004EE">
        <w:rPr>
          <w:rFonts w:ascii="Tahoma" w:hAnsi="Tahoma" w:cs="Tahoma"/>
          <w:sz w:val="20"/>
          <w:szCs w:val="20"/>
        </w:rPr>
        <w:t>des</w:t>
      </w:r>
      <w:r w:rsidR="00DB1635" w:rsidRPr="00B004EE">
        <w:rPr>
          <w:rFonts w:ascii="Tahoma" w:hAnsi="Tahoma" w:cs="Tahoma"/>
          <w:spacing w:val="-14"/>
          <w:sz w:val="20"/>
          <w:szCs w:val="20"/>
        </w:rPr>
        <w:t xml:space="preserve"> </w:t>
      </w:r>
      <w:r w:rsidRPr="00B004EE">
        <w:rPr>
          <w:rFonts w:ascii="Tahoma" w:hAnsi="Tahoma" w:cs="Tahoma"/>
          <w:sz w:val="20"/>
          <w:szCs w:val="20"/>
        </w:rPr>
        <w:t>conventions</w:t>
      </w:r>
      <w:r w:rsidR="00DB1635" w:rsidRPr="00B004EE">
        <w:rPr>
          <w:rFonts w:ascii="Tahoma" w:hAnsi="Tahoma" w:cs="Tahoma"/>
          <w:spacing w:val="-14"/>
          <w:sz w:val="20"/>
          <w:szCs w:val="20"/>
        </w:rPr>
        <w:t xml:space="preserve"> </w:t>
      </w:r>
      <w:r w:rsidRPr="00B004EE">
        <w:rPr>
          <w:rFonts w:ascii="Tahoma" w:hAnsi="Tahoma" w:cs="Tahoma"/>
          <w:sz w:val="20"/>
          <w:szCs w:val="20"/>
        </w:rPr>
        <w:t>internationales</w:t>
      </w:r>
      <w:r w:rsidR="00DB1635" w:rsidRPr="00B004EE">
        <w:rPr>
          <w:rFonts w:ascii="Tahoma" w:hAnsi="Tahoma" w:cs="Tahoma"/>
          <w:spacing w:val="-14"/>
          <w:sz w:val="20"/>
          <w:szCs w:val="20"/>
        </w:rPr>
        <w:t xml:space="preserve"> </w:t>
      </w:r>
      <w:r w:rsidRPr="00B004EE">
        <w:rPr>
          <w:rFonts w:ascii="Tahoma" w:hAnsi="Tahoma" w:cs="Tahoma"/>
          <w:sz w:val="20"/>
          <w:szCs w:val="20"/>
        </w:rPr>
        <w:t>relatives</w:t>
      </w:r>
      <w:r w:rsidR="00DB1635" w:rsidRPr="00B004EE">
        <w:rPr>
          <w:rFonts w:ascii="Tahoma" w:hAnsi="Tahoma" w:cs="Tahoma"/>
          <w:spacing w:val="-14"/>
          <w:sz w:val="20"/>
          <w:szCs w:val="20"/>
        </w:rPr>
        <w:t xml:space="preserve"> </w:t>
      </w:r>
      <w:r w:rsidRPr="00B004EE">
        <w:rPr>
          <w:rFonts w:ascii="Tahoma" w:hAnsi="Tahoma" w:cs="Tahoma"/>
          <w:sz w:val="20"/>
          <w:szCs w:val="20"/>
        </w:rPr>
        <w:t>au</w:t>
      </w:r>
      <w:r w:rsidR="00DB1635" w:rsidRPr="00B004EE">
        <w:rPr>
          <w:rFonts w:ascii="Tahoma" w:hAnsi="Tahoma" w:cs="Tahoma"/>
          <w:w w:val="98"/>
          <w:sz w:val="20"/>
          <w:szCs w:val="20"/>
        </w:rPr>
        <w:t xml:space="preserve"> </w:t>
      </w:r>
      <w:r w:rsidRPr="00B004EE">
        <w:rPr>
          <w:rFonts w:ascii="Tahoma" w:eastAsia="American Typewriter" w:hAnsi="Tahoma" w:cs="Tahoma"/>
          <w:sz w:val="20"/>
          <w:szCs w:val="20"/>
        </w:rPr>
        <w:t>contrôle</w:t>
      </w:r>
      <w:r w:rsidR="00DB1635" w:rsidRPr="00B004EE">
        <w:rPr>
          <w:rFonts w:ascii="Tahoma" w:eastAsia="American Typewriter" w:hAnsi="Tahoma" w:cs="Tahoma"/>
          <w:spacing w:val="-29"/>
          <w:sz w:val="20"/>
          <w:szCs w:val="20"/>
        </w:rPr>
        <w:t xml:space="preserve"> </w:t>
      </w:r>
      <w:r w:rsidRPr="00B004EE">
        <w:rPr>
          <w:rFonts w:ascii="Tahoma" w:eastAsia="American Typewriter" w:hAnsi="Tahoma" w:cs="Tahoma"/>
          <w:sz w:val="20"/>
          <w:szCs w:val="20"/>
        </w:rPr>
        <w:t>des</w:t>
      </w:r>
      <w:r w:rsidR="00DB1635" w:rsidRPr="00B004EE">
        <w:rPr>
          <w:rFonts w:ascii="Tahoma" w:eastAsia="American Typewriter" w:hAnsi="Tahoma" w:cs="Tahoma"/>
          <w:spacing w:val="-29"/>
          <w:sz w:val="20"/>
          <w:szCs w:val="20"/>
        </w:rPr>
        <w:t xml:space="preserve"> </w:t>
      </w:r>
      <w:r w:rsidRPr="00B004EE">
        <w:rPr>
          <w:rFonts w:ascii="Tahoma" w:eastAsia="American Typewriter" w:hAnsi="Tahoma" w:cs="Tahoma"/>
          <w:sz w:val="20"/>
          <w:szCs w:val="20"/>
        </w:rPr>
        <w:t>navires</w:t>
      </w:r>
      <w:r w:rsidR="00DB1635" w:rsidRPr="00B004EE">
        <w:rPr>
          <w:rFonts w:ascii="Tahoma" w:eastAsia="American Typewriter" w:hAnsi="Tahoma" w:cs="Tahoma"/>
          <w:spacing w:val="-29"/>
          <w:sz w:val="20"/>
          <w:szCs w:val="20"/>
        </w:rPr>
        <w:t xml:space="preserve"> </w:t>
      </w:r>
      <w:r w:rsidRPr="00B004EE">
        <w:rPr>
          <w:rFonts w:ascii="Tahoma" w:eastAsia="American Typewriter" w:hAnsi="Tahoma" w:cs="Tahoma"/>
          <w:sz w:val="20"/>
          <w:szCs w:val="20"/>
        </w:rPr>
        <w:t>par</w:t>
      </w:r>
      <w:r w:rsidR="00DB1635" w:rsidRPr="00B004EE">
        <w:rPr>
          <w:rFonts w:ascii="Tahoma" w:eastAsia="American Typewriter" w:hAnsi="Tahoma" w:cs="Tahoma"/>
          <w:spacing w:val="-29"/>
          <w:sz w:val="20"/>
          <w:szCs w:val="20"/>
        </w:rPr>
        <w:t xml:space="preserve"> </w:t>
      </w:r>
      <w:r w:rsidRPr="00B004EE">
        <w:rPr>
          <w:rFonts w:ascii="Tahoma" w:eastAsia="American Typewriter" w:hAnsi="Tahoma" w:cs="Tahoma"/>
          <w:sz w:val="20"/>
          <w:szCs w:val="20"/>
        </w:rPr>
        <w:t>l’</w:t>
      </w:r>
      <w:r w:rsidRPr="00B004EE">
        <w:rPr>
          <w:rFonts w:ascii="Tahoma" w:hAnsi="Tahoma" w:cs="Tahoma"/>
          <w:sz w:val="20"/>
          <w:szCs w:val="20"/>
        </w:rPr>
        <w:t>État</w:t>
      </w:r>
      <w:r w:rsidR="00DB1635" w:rsidRPr="00B004EE">
        <w:rPr>
          <w:rFonts w:ascii="Tahoma" w:hAnsi="Tahoma" w:cs="Tahoma"/>
          <w:spacing w:val="-28"/>
          <w:sz w:val="20"/>
          <w:szCs w:val="20"/>
        </w:rPr>
        <w:t xml:space="preserve"> </w:t>
      </w:r>
      <w:r w:rsidRPr="00B004EE">
        <w:rPr>
          <w:rFonts w:ascii="Tahoma" w:hAnsi="Tahoma" w:cs="Tahoma"/>
          <w:sz w:val="20"/>
          <w:szCs w:val="20"/>
        </w:rPr>
        <w:t>du</w:t>
      </w:r>
      <w:r w:rsidR="00DB1635" w:rsidRPr="00B004EE">
        <w:rPr>
          <w:rFonts w:ascii="Tahoma" w:hAnsi="Tahoma" w:cs="Tahoma"/>
          <w:spacing w:val="-29"/>
          <w:sz w:val="20"/>
          <w:szCs w:val="20"/>
        </w:rPr>
        <w:t xml:space="preserve"> </w:t>
      </w:r>
      <w:r w:rsidRPr="00B004EE">
        <w:rPr>
          <w:rFonts w:ascii="Tahoma" w:hAnsi="Tahoma" w:cs="Tahoma"/>
          <w:sz w:val="20"/>
          <w:szCs w:val="20"/>
        </w:rPr>
        <w:t>port.</w:t>
      </w:r>
    </w:p>
    <w:p w14:paraId="7E18559A" w14:textId="77777777" w:rsidR="001E7C3C" w:rsidRPr="00B004EE" w:rsidRDefault="001E7C3C" w:rsidP="00B004EE">
      <w:pPr>
        <w:rPr>
          <w:rFonts w:ascii="Tahoma" w:eastAsia="American Typewriter" w:hAnsi="Tahoma" w:cs="Tahoma"/>
          <w:sz w:val="20"/>
          <w:szCs w:val="20"/>
        </w:rPr>
      </w:pPr>
    </w:p>
    <w:p w14:paraId="0698EC92" w14:textId="3ACAC1D0" w:rsidR="001E7C3C" w:rsidRPr="00B004EE" w:rsidRDefault="001E7C3C" w:rsidP="00B004EE">
      <w:pPr>
        <w:pStyle w:val="Corpsdetexte"/>
        <w:ind w:right="165"/>
        <w:rPr>
          <w:rFonts w:ascii="Tahoma" w:hAnsi="Tahoma" w:cs="Tahoma"/>
          <w:sz w:val="20"/>
          <w:szCs w:val="20"/>
        </w:rPr>
      </w:pPr>
      <w:r w:rsidRPr="00B004EE">
        <w:rPr>
          <w:rFonts w:ascii="Tahoma" w:hAnsi="Tahoma" w:cs="Tahoma"/>
          <w:sz w:val="20"/>
          <w:szCs w:val="20"/>
        </w:rPr>
        <w:t>Les</w:t>
      </w:r>
      <w:r w:rsidR="00DB1635" w:rsidRPr="00B004EE">
        <w:rPr>
          <w:rFonts w:ascii="Tahoma" w:hAnsi="Tahoma" w:cs="Tahoma"/>
          <w:spacing w:val="-25"/>
          <w:sz w:val="20"/>
          <w:szCs w:val="20"/>
        </w:rPr>
        <w:t xml:space="preserve"> </w:t>
      </w:r>
      <w:r w:rsidRPr="00B004EE">
        <w:rPr>
          <w:rFonts w:ascii="Tahoma" w:hAnsi="Tahoma" w:cs="Tahoma"/>
          <w:sz w:val="20"/>
          <w:szCs w:val="20"/>
        </w:rPr>
        <w:t>navires</w:t>
      </w:r>
      <w:r w:rsidR="00DB1635" w:rsidRPr="00B004EE">
        <w:rPr>
          <w:rFonts w:ascii="Tahoma" w:hAnsi="Tahoma" w:cs="Tahoma"/>
          <w:spacing w:val="-25"/>
          <w:sz w:val="20"/>
          <w:szCs w:val="20"/>
        </w:rPr>
        <w:t xml:space="preserve"> </w:t>
      </w:r>
      <w:r w:rsidRPr="00B004EE">
        <w:rPr>
          <w:rFonts w:ascii="Tahoma" w:hAnsi="Tahoma" w:cs="Tahoma"/>
          <w:sz w:val="20"/>
          <w:szCs w:val="20"/>
        </w:rPr>
        <w:t>de</w:t>
      </w:r>
      <w:r w:rsidR="00DB1635" w:rsidRPr="00B004EE">
        <w:rPr>
          <w:rFonts w:ascii="Tahoma" w:hAnsi="Tahoma" w:cs="Tahoma"/>
          <w:spacing w:val="-25"/>
          <w:sz w:val="20"/>
          <w:szCs w:val="20"/>
        </w:rPr>
        <w:t xml:space="preserve"> </w:t>
      </w:r>
      <w:r w:rsidRPr="00B004EE">
        <w:rPr>
          <w:rFonts w:ascii="Tahoma" w:hAnsi="Tahoma" w:cs="Tahoma"/>
          <w:sz w:val="20"/>
          <w:szCs w:val="20"/>
        </w:rPr>
        <w:t>pêche</w:t>
      </w:r>
      <w:r w:rsidR="00DB1635" w:rsidRPr="00B004EE">
        <w:rPr>
          <w:rFonts w:ascii="Tahoma" w:hAnsi="Tahoma" w:cs="Tahoma"/>
          <w:spacing w:val="-25"/>
          <w:sz w:val="20"/>
          <w:szCs w:val="20"/>
        </w:rPr>
        <w:t xml:space="preserve"> </w:t>
      </w:r>
      <w:r w:rsidRPr="00B004EE">
        <w:rPr>
          <w:rFonts w:ascii="Tahoma" w:hAnsi="Tahoma" w:cs="Tahoma"/>
          <w:sz w:val="20"/>
          <w:szCs w:val="20"/>
        </w:rPr>
        <w:t>étrangers</w:t>
      </w:r>
      <w:r w:rsidR="00DB1635" w:rsidRPr="00B004EE">
        <w:rPr>
          <w:rFonts w:ascii="Tahoma" w:hAnsi="Tahoma" w:cs="Tahoma"/>
          <w:spacing w:val="-25"/>
          <w:sz w:val="20"/>
          <w:szCs w:val="20"/>
        </w:rPr>
        <w:t xml:space="preserve"> </w:t>
      </w:r>
      <w:r w:rsidRPr="00B004EE">
        <w:rPr>
          <w:rFonts w:ascii="Tahoma" w:hAnsi="Tahoma" w:cs="Tahoma"/>
          <w:sz w:val="20"/>
          <w:szCs w:val="20"/>
        </w:rPr>
        <w:t>ne</w:t>
      </w:r>
      <w:r w:rsidR="00DB1635" w:rsidRPr="00B004EE">
        <w:rPr>
          <w:rFonts w:ascii="Tahoma" w:hAnsi="Tahoma" w:cs="Tahoma"/>
          <w:spacing w:val="-25"/>
          <w:sz w:val="20"/>
          <w:szCs w:val="20"/>
        </w:rPr>
        <w:t xml:space="preserve"> </w:t>
      </w:r>
      <w:r w:rsidRPr="00B004EE">
        <w:rPr>
          <w:rFonts w:ascii="Tahoma" w:hAnsi="Tahoma" w:cs="Tahoma"/>
          <w:sz w:val="20"/>
          <w:szCs w:val="20"/>
        </w:rPr>
        <w:t>sont</w:t>
      </w:r>
      <w:r w:rsidR="00DB1635" w:rsidRPr="00B004EE">
        <w:rPr>
          <w:rFonts w:ascii="Tahoma" w:hAnsi="Tahoma" w:cs="Tahoma"/>
          <w:spacing w:val="-25"/>
          <w:sz w:val="20"/>
          <w:szCs w:val="20"/>
        </w:rPr>
        <w:t xml:space="preserve"> </w:t>
      </w:r>
      <w:r w:rsidRPr="00B004EE">
        <w:rPr>
          <w:rFonts w:ascii="Tahoma" w:hAnsi="Tahoma" w:cs="Tahoma"/>
          <w:sz w:val="20"/>
          <w:szCs w:val="20"/>
        </w:rPr>
        <w:t>autorisés</w:t>
      </w:r>
      <w:r w:rsidR="00DB1635" w:rsidRPr="00B004EE">
        <w:rPr>
          <w:rFonts w:ascii="Tahoma" w:hAnsi="Tahoma" w:cs="Tahoma"/>
          <w:spacing w:val="-25"/>
          <w:sz w:val="20"/>
          <w:szCs w:val="20"/>
        </w:rPr>
        <w:t xml:space="preserve"> </w:t>
      </w:r>
      <w:r w:rsidRPr="00B004EE">
        <w:rPr>
          <w:rFonts w:ascii="Tahoma" w:hAnsi="Tahoma" w:cs="Tahoma"/>
          <w:sz w:val="20"/>
          <w:szCs w:val="20"/>
        </w:rPr>
        <w:t>à</w:t>
      </w:r>
      <w:r w:rsidR="00DB1635" w:rsidRPr="00B004EE">
        <w:rPr>
          <w:rFonts w:ascii="Tahoma" w:hAnsi="Tahoma" w:cs="Tahoma"/>
          <w:spacing w:val="-24"/>
          <w:sz w:val="20"/>
          <w:szCs w:val="20"/>
        </w:rPr>
        <w:t xml:space="preserve"> </w:t>
      </w:r>
      <w:r w:rsidRPr="00B004EE">
        <w:rPr>
          <w:rFonts w:ascii="Tahoma" w:hAnsi="Tahoma" w:cs="Tahoma"/>
          <w:sz w:val="20"/>
          <w:szCs w:val="20"/>
        </w:rPr>
        <w:t>accéder</w:t>
      </w:r>
      <w:r w:rsidR="00DB1635" w:rsidRPr="00B004EE">
        <w:rPr>
          <w:rFonts w:ascii="Tahoma" w:hAnsi="Tahoma" w:cs="Tahoma"/>
          <w:spacing w:val="-25"/>
          <w:sz w:val="20"/>
          <w:szCs w:val="20"/>
        </w:rPr>
        <w:t xml:space="preserve"> </w:t>
      </w:r>
      <w:r w:rsidRPr="00B004EE">
        <w:rPr>
          <w:rFonts w:ascii="Tahoma" w:hAnsi="Tahoma" w:cs="Tahoma"/>
          <w:sz w:val="20"/>
          <w:szCs w:val="20"/>
        </w:rPr>
        <w:t>aux</w:t>
      </w:r>
      <w:r w:rsidR="00DB1635" w:rsidRPr="00B004EE">
        <w:rPr>
          <w:rFonts w:ascii="Tahoma" w:hAnsi="Tahoma" w:cs="Tahoma"/>
          <w:spacing w:val="-25"/>
          <w:sz w:val="20"/>
          <w:szCs w:val="20"/>
        </w:rPr>
        <w:t xml:space="preserve"> </w:t>
      </w:r>
      <w:r w:rsidRPr="00B004EE">
        <w:rPr>
          <w:rFonts w:ascii="Tahoma" w:hAnsi="Tahoma" w:cs="Tahoma"/>
          <w:sz w:val="20"/>
          <w:szCs w:val="20"/>
        </w:rPr>
        <w:t>services</w:t>
      </w:r>
      <w:r w:rsidR="00DB1635" w:rsidRPr="00B004EE">
        <w:rPr>
          <w:rFonts w:ascii="Tahoma" w:hAnsi="Tahoma" w:cs="Tahoma"/>
          <w:spacing w:val="-25"/>
          <w:sz w:val="20"/>
          <w:szCs w:val="20"/>
        </w:rPr>
        <w:t xml:space="preserve"> </w:t>
      </w:r>
      <w:r w:rsidRPr="00B004EE">
        <w:rPr>
          <w:rFonts w:ascii="Tahoma" w:hAnsi="Tahoma" w:cs="Tahoma"/>
          <w:sz w:val="20"/>
          <w:szCs w:val="20"/>
        </w:rPr>
        <w:t>portuaires</w:t>
      </w:r>
      <w:r w:rsidR="00DB1635" w:rsidRPr="00B004EE">
        <w:rPr>
          <w:rFonts w:ascii="Tahoma" w:hAnsi="Tahoma" w:cs="Tahoma"/>
          <w:w w:val="94"/>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réaliser</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opérations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débarquement</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transbordement</w:t>
      </w:r>
      <w:r w:rsidR="00DB1635" w:rsidRPr="00B004EE">
        <w:rPr>
          <w:rFonts w:ascii="Tahoma" w:hAnsi="Tahoma" w:cs="Tahoma"/>
          <w:sz w:val="20"/>
          <w:szCs w:val="20"/>
        </w:rPr>
        <w:t xml:space="preserve"> </w:t>
      </w:r>
      <w:r w:rsidRPr="00B004EE">
        <w:rPr>
          <w:rFonts w:ascii="Tahoma" w:hAnsi="Tahoma" w:cs="Tahoma"/>
          <w:sz w:val="20"/>
          <w:szCs w:val="20"/>
        </w:rPr>
        <w:t>que</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pacing w:val="-2"/>
          <w:sz w:val="20"/>
          <w:szCs w:val="20"/>
        </w:rPr>
        <w:t xml:space="preserve"> </w:t>
      </w:r>
      <w:r w:rsidRPr="00B004EE">
        <w:rPr>
          <w:rFonts w:ascii="Tahoma" w:hAnsi="Tahoma" w:cs="Tahoma"/>
          <w:sz w:val="20"/>
          <w:szCs w:val="20"/>
        </w:rPr>
        <w:t>les</w:t>
      </w:r>
      <w:r w:rsidR="00DB1635" w:rsidRPr="00B004EE">
        <w:rPr>
          <w:rFonts w:ascii="Tahoma" w:hAnsi="Tahoma" w:cs="Tahoma"/>
          <w:w w:val="94"/>
          <w:sz w:val="20"/>
          <w:szCs w:val="20"/>
        </w:rPr>
        <w:t xml:space="preserve"> </w:t>
      </w:r>
      <w:r w:rsidRPr="00B004EE">
        <w:rPr>
          <w:rFonts w:ascii="Tahoma" w:hAnsi="Tahoma" w:cs="Tahoma"/>
          <w:w w:val="95"/>
          <w:sz w:val="20"/>
          <w:szCs w:val="20"/>
        </w:rPr>
        <w:t>ports</w:t>
      </w:r>
      <w:r w:rsidR="00DB1635" w:rsidRPr="00B004EE">
        <w:rPr>
          <w:rFonts w:ascii="Tahoma" w:hAnsi="Tahoma" w:cs="Tahoma"/>
          <w:w w:val="95"/>
          <w:sz w:val="20"/>
          <w:szCs w:val="20"/>
        </w:rPr>
        <w:t xml:space="preserve"> </w:t>
      </w:r>
      <w:r w:rsidRPr="00B004EE">
        <w:rPr>
          <w:rFonts w:ascii="Tahoma" w:hAnsi="Tahoma" w:cs="Tahoma"/>
          <w:w w:val="95"/>
          <w:sz w:val="20"/>
          <w:szCs w:val="20"/>
        </w:rPr>
        <w:t>ainsi</w:t>
      </w:r>
      <w:r w:rsidR="00DB1635" w:rsidRPr="00B004EE">
        <w:rPr>
          <w:rFonts w:ascii="Tahoma" w:hAnsi="Tahoma" w:cs="Tahoma"/>
          <w:spacing w:val="34"/>
          <w:w w:val="95"/>
          <w:sz w:val="20"/>
          <w:szCs w:val="20"/>
        </w:rPr>
        <w:t xml:space="preserve"> </w:t>
      </w:r>
      <w:r w:rsidRPr="00B004EE">
        <w:rPr>
          <w:rFonts w:ascii="Tahoma" w:hAnsi="Tahoma" w:cs="Tahoma"/>
          <w:w w:val="95"/>
          <w:sz w:val="20"/>
          <w:szCs w:val="20"/>
        </w:rPr>
        <w:t>désignés.</w:t>
      </w:r>
    </w:p>
    <w:p w14:paraId="33B86366" w14:textId="77777777" w:rsidR="001E7C3C" w:rsidRPr="00B004EE" w:rsidRDefault="001E7C3C" w:rsidP="00B004EE">
      <w:pPr>
        <w:rPr>
          <w:rFonts w:ascii="Tahoma" w:eastAsia="American Typewriter" w:hAnsi="Tahoma" w:cs="Tahoma"/>
          <w:sz w:val="20"/>
          <w:szCs w:val="20"/>
        </w:rPr>
      </w:pPr>
    </w:p>
    <w:p w14:paraId="43CA0909" w14:textId="61B975E3" w:rsidR="001E7C3C" w:rsidRPr="00B004EE" w:rsidRDefault="001E7C3C" w:rsidP="00B004EE">
      <w:pPr>
        <w:pStyle w:val="Corpsdetexte"/>
        <w:ind w:right="161"/>
        <w:rPr>
          <w:rFonts w:ascii="Tahoma" w:hAnsi="Tahoma" w:cs="Tahoma"/>
          <w:sz w:val="20"/>
          <w:szCs w:val="20"/>
        </w:rPr>
      </w:pP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liste</w:t>
      </w:r>
      <w:r w:rsidR="00DB1635" w:rsidRPr="00B004EE">
        <w:rPr>
          <w:rFonts w:ascii="Tahoma" w:hAnsi="Tahoma" w:cs="Tahoma"/>
          <w:sz w:val="20"/>
          <w:szCs w:val="20"/>
        </w:rPr>
        <w:t xml:space="preserve"> </w:t>
      </w:r>
      <w:r w:rsidRPr="00B004EE">
        <w:rPr>
          <w:rFonts w:ascii="Tahoma" w:hAnsi="Tahoma" w:cs="Tahoma"/>
          <w:sz w:val="20"/>
          <w:szCs w:val="20"/>
        </w:rPr>
        <w:t>desdits</w:t>
      </w:r>
      <w:r w:rsidR="00DB1635" w:rsidRPr="00B004EE">
        <w:rPr>
          <w:rFonts w:ascii="Tahoma" w:hAnsi="Tahoma" w:cs="Tahoma"/>
          <w:sz w:val="20"/>
          <w:szCs w:val="20"/>
        </w:rPr>
        <w:t xml:space="preserve"> </w:t>
      </w:r>
      <w:r w:rsidRPr="00B004EE">
        <w:rPr>
          <w:rFonts w:ascii="Tahoma" w:hAnsi="Tahoma" w:cs="Tahoma"/>
          <w:sz w:val="20"/>
          <w:szCs w:val="20"/>
        </w:rPr>
        <w:t>ports</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communiquée</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moyens</w:t>
      </w:r>
      <w:r w:rsidR="00DB1635" w:rsidRPr="00B004EE">
        <w:rPr>
          <w:rFonts w:ascii="Tahoma" w:hAnsi="Tahoma" w:cs="Tahoma"/>
          <w:sz w:val="20"/>
          <w:szCs w:val="20"/>
        </w:rPr>
        <w:t xml:space="preserve"> </w:t>
      </w:r>
      <w:r w:rsidRPr="00B004EE">
        <w:rPr>
          <w:rFonts w:ascii="Tahoma" w:hAnsi="Tahoma" w:cs="Tahoma"/>
          <w:sz w:val="20"/>
          <w:szCs w:val="20"/>
        </w:rPr>
        <w:t>appropriés</w:t>
      </w:r>
      <w:r w:rsidR="00DB1635" w:rsidRPr="00B004EE">
        <w:rPr>
          <w:rFonts w:ascii="Tahoma" w:hAnsi="Tahoma" w:cs="Tahoma"/>
          <w:spacing w:val="23"/>
          <w:sz w:val="20"/>
          <w:szCs w:val="20"/>
        </w:rPr>
        <w:t xml:space="preserve"> </w:t>
      </w:r>
      <w:r w:rsidRPr="00B004EE">
        <w:rPr>
          <w:rFonts w:ascii="Tahoma" w:hAnsi="Tahoma" w:cs="Tahoma"/>
          <w:sz w:val="20"/>
          <w:szCs w:val="20"/>
        </w:rPr>
        <w:t>aux</w:t>
      </w:r>
      <w:r w:rsidR="00DB1635" w:rsidRPr="00B004EE">
        <w:rPr>
          <w:rFonts w:ascii="Tahoma" w:hAnsi="Tahoma" w:cs="Tahoma"/>
          <w:w w:val="91"/>
          <w:sz w:val="20"/>
          <w:szCs w:val="20"/>
        </w:rPr>
        <w:t xml:space="preserve"> </w:t>
      </w:r>
      <w:r w:rsidRPr="00B004EE">
        <w:rPr>
          <w:rFonts w:ascii="Tahoma" w:hAnsi="Tahoma" w:cs="Tahoma"/>
          <w:w w:val="95"/>
          <w:sz w:val="20"/>
          <w:szCs w:val="20"/>
        </w:rPr>
        <w:t>organisations</w:t>
      </w:r>
      <w:r w:rsidR="00DB1635" w:rsidRPr="00B004EE">
        <w:rPr>
          <w:rFonts w:ascii="Tahoma" w:hAnsi="Tahoma" w:cs="Tahoma"/>
          <w:w w:val="95"/>
          <w:sz w:val="20"/>
          <w:szCs w:val="20"/>
        </w:rPr>
        <w:t xml:space="preserve"> </w:t>
      </w:r>
      <w:r w:rsidRPr="00B004EE">
        <w:rPr>
          <w:rFonts w:ascii="Tahoma" w:hAnsi="Tahoma" w:cs="Tahoma"/>
          <w:w w:val="95"/>
          <w:sz w:val="20"/>
          <w:szCs w:val="20"/>
        </w:rPr>
        <w:t>internationales</w:t>
      </w:r>
      <w:r w:rsidR="00DB1635" w:rsidRPr="00B004EE">
        <w:rPr>
          <w:rFonts w:ascii="Tahoma" w:hAnsi="Tahoma" w:cs="Tahoma"/>
          <w:w w:val="95"/>
          <w:sz w:val="20"/>
          <w:szCs w:val="20"/>
        </w:rPr>
        <w:t xml:space="preserve"> </w:t>
      </w:r>
      <w:r w:rsidRPr="00B004EE">
        <w:rPr>
          <w:rFonts w:ascii="Tahoma" w:hAnsi="Tahoma" w:cs="Tahoma"/>
          <w:w w:val="95"/>
          <w:sz w:val="20"/>
          <w:szCs w:val="20"/>
        </w:rPr>
        <w:t>ou</w:t>
      </w:r>
      <w:r w:rsidR="00DB1635" w:rsidRPr="00B004EE">
        <w:rPr>
          <w:rFonts w:ascii="Tahoma" w:hAnsi="Tahoma" w:cs="Tahoma"/>
          <w:w w:val="95"/>
          <w:sz w:val="20"/>
          <w:szCs w:val="20"/>
        </w:rPr>
        <w:t xml:space="preserve"> </w:t>
      </w:r>
      <w:r w:rsidRPr="00B004EE">
        <w:rPr>
          <w:rFonts w:ascii="Tahoma" w:hAnsi="Tahoma" w:cs="Tahoma"/>
          <w:w w:val="95"/>
          <w:sz w:val="20"/>
          <w:szCs w:val="20"/>
        </w:rPr>
        <w:t>régionales</w:t>
      </w:r>
      <w:r w:rsidR="00DB1635" w:rsidRPr="00B004EE">
        <w:rPr>
          <w:rFonts w:ascii="Tahoma" w:hAnsi="Tahoma" w:cs="Tahoma"/>
          <w:spacing w:val="46"/>
          <w:w w:val="95"/>
          <w:sz w:val="20"/>
          <w:szCs w:val="20"/>
        </w:rPr>
        <w:t xml:space="preserve"> </w:t>
      </w:r>
      <w:r w:rsidRPr="00B004EE">
        <w:rPr>
          <w:rFonts w:ascii="Tahoma" w:hAnsi="Tahoma" w:cs="Tahoma"/>
          <w:w w:val="95"/>
          <w:sz w:val="20"/>
          <w:szCs w:val="20"/>
        </w:rPr>
        <w:t>concernées.</w:t>
      </w:r>
    </w:p>
    <w:p w14:paraId="38C974F6" w14:textId="77777777" w:rsidR="001E7C3C" w:rsidRPr="00B004EE" w:rsidRDefault="001E7C3C" w:rsidP="00B004EE">
      <w:pPr>
        <w:rPr>
          <w:rFonts w:ascii="Tahoma" w:eastAsia="American Typewriter" w:hAnsi="Tahoma" w:cs="Tahoma"/>
          <w:sz w:val="20"/>
          <w:szCs w:val="20"/>
        </w:rPr>
      </w:pPr>
    </w:p>
    <w:p w14:paraId="2398E147" w14:textId="2E21486C" w:rsidR="001E7C3C" w:rsidRPr="00B004EE" w:rsidRDefault="001E7C3C" w:rsidP="00B004EE">
      <w:pPr>
        <w:pStyle w:val="Corpsdetexte"/>
        <w:ind w:right="161"/>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63</w:t>
      </w:r>
      <w:r w:rsidR="00DB1635" w:rsidRPr="00B004EE">
        <w:rPr>
          <w:rFonts w:ascii="Tahoma" w:hAnsi="Tahoma" w:cs="Tahoma"/>
          <w:bCs/>
          <w:sz w:val="20"/>
          <w:szCs w:val="20"/>
        </w:rPr>
        <w:t xml:space="preserve"> </w:t>
      </w:r>
      <w:r w:rsidRPr="00B004EE">
        <w:rPr>
          <w:rFonts w:ascii="Tahoma" w:hAnsi="Tahoma" w:cs="Tahoma"/>
          <w:bCs/>
          <w:sz w:val="20"/>
          <w:szCs w:val="20"/>
        </w:rPr>
        <w:t>:</w:t>
      </w:r>
      <w:r w:rsidR="00DB1635" w:rsidRPr="00B004EE">
        <w:rPr>
          <w:rFonts w:ascii="Tahoma" w:eastAsia="American Typewriter" w:hAnsi="Tahoma" w:cs="Tahoma"/>
          <w:b/>
          <w:bCs/>
          <w:spacing w:val="-17"/>
          <w:sz w:val="20"/>
          <w:szCs w:val="20"/>
        </w:rPr>
        <w:t xml:space="preserve"> </w:t>
      </w:r>
      <w:r w:rsidRPr="00B004EE">
        <w:rPr>
          <w:rFonts w:ascii="Tahoma" w:hAnsi="Tahoma" w:cs="Tahoma"/>
          <w:sz w:val="20"/>
          <w:szCs w:val="20"/>
        </w:rPr>
        <w:t>Les</w:t>
      </w:r>
      <w:r w:rsidR="00DB1635" w:rsidRPr="00B004EE">
        <w:rPr>
          <w:rFonts w:ascii="Tahoma" w:hAnsi="Tahoma" w:cs="Tahoma"/>
          <w:spacing w:val="-21"/>
          <w:sz w:val="20"/>
          <w:szCs w:val="20"/>
        </w:rPr>
        <w:t xml:space="preserve"> </w:t>
      </w:r>
      <w:r w:rsidRPr="00B004EE">
        <w:rPr>
          <w:rFonts w:ascii="Tahoma" w:hAnsi="Tahoma" w:cs="Tahoma"/>
          <w:sz w:val="20"/>
          <w:szCs w:val="20"/>
        </w:rPr>
        <w:t>navires</w:t>
      </w:r>
      <w:r w:rsidR="00DB1635" w:rsidRPr="00B004EE">
        <w:rPr>
          <w:rFonts w:ascii="Tahoma" w:hAnsi="Tahoma" w:cs="Tahoma"/>
          <w:spacing w:val="-21"/>
          <w:sz w:val="20"/>
          <w:szCs w:val="20"/>
        </w:rPr>
        <w:t xml:space="preserve"> </w:t>
      </w:r>
      <w:r w:rsidRPr="00B004EE">
        <w:rPr>
          <w:rFonts w:ascii="Tahoma" w:hAnsi="Tahoma" w:cs="Tahoma"/>
          <w:sz w:val="20"/>
          <w:szCs w:val="20"/>
        </w:rPr>
        <w:t>de</w:t>
      </w:r>
      <w:r w:rsidR="00DB1635" w:rsidRPr="00B004EE">
        <w:rPr>
          <w:rFonts w:ascii="Tahoma" w:hAnsi="Tahoma" w:cs="Tahoma"/>
          <w:spacing w:val="-20"/>
          <w:sz w:val="20"/>
          <w:szCs w:val="20"/>
        </w:rPr>
        <w:t xml:space="preserve"> </w:t>
      </w:r>
      <w:r w:rsidRPr="00B004EE">
        <w:rPr>
          <w:rFonts w:ascii="Tahoma" w:hAnsi="Tahoma" w:cs="Tahoma"/>
          <w:sz w:val="20"/>
          <w:szCs w:val="20"/>
        </w:rPr>
        <w:t>pêche</w:t>
      </w:r>
      <w:r w:rsidR="00DB1635" w:rsidRPr="00B004EE">
        <w:rPr>
          <w:rFonts w:ascii="Tahoma" w:hAnsi="Tahoma" w:cs="Tahoma"/>
          <w:spacing w:val="-21"/>
          <w:sz w:val="20"/>
          <w:szCs w:val="20"/>
        </w:rPr>
        <w:t xml:space="preserve"> </w:t>
      </w:r>
      <w:r w:rsidRPr="00B004EE">
        <w:rPr>
          <w:rFonts w:ascii="Tahoma" w:hAnsi="Tahoma" w:cs="Tahoma"/>
          <w:sz w:val="20"/>
          <w:szCs w:val="20"/>
        </w:rPr>
        <w:t>étrangers</w:t>
      </w:r>
      <w:r w:rsidR="00DB1635" w:rsidRPr="00B004EE">
        <w:rPr>
          <w:rFonts w:ascii="Tahoma" w:hAnsi="Tahoma" w:cs="Tahoma"/>
          <w:spacing w:val="-21"/>
          <w:sz w:val="20"/>
          <w:szCs w:val="20"/>
        </w:rPr>
        <w:t xml:space="preserve"> </w:t>
      </w:r>
      <w:r w:rsidRPr="00B004EE">
        <w:rPr>
          <w:rFonts w:ascii="Tahoma" w:hAnsi="Tahoma" w:cs="Tahoma"/>
          <w:sz w:val="20"/>
          <w:szCs w:val="20"/>
        </w:rPr>
        <w:t>sont</w:t>
      </w:r>
      <w:r w:rsidR="00DB1635" w:rsidRPr="00B004EE">
        <w:rPr>
          <w:rFonts w:ascii="Tahoma" w:hAnsi="Tahoma" w:cs="Tahoma"/>
          <w:spacing w:val="-22"/>
          <w:sz w:val="20"/>
          <w:szCs w:val="20"/>
        </w:rPr>
        <w:t xml:space="preserve"> </w:t>
      </w:r>
      <w:r w:rsidRPr="00B004EE">
        <w:rPr>
          <w:rFonts w:ascii="Tahoma" w:hAnsi="Tahoma" w:cs="Tahoma"/>
          <w:sz w:val="20"/>
          <w:szCs w:val="20"/>
        </w:rPr>
        <w:t>tenus</w:t>
      </w:r>
      <w:r w:rsidR="00DB1635" w:rsidRPr="00B004EE">
        <w:rPr>
          <w:rFonts w:ascii="Tahoma" w:hAnsi="Tahoma" w:cs="Tahoma"/>
          <w:spacing w:val="-22"/>
          <w:sz w:val="20"/>
          <w:szCs w:val="20"/>
        </w:rPr>
        <w:t xml:space="preserve"> </w:t>
      </w:r>
      <w:r w:rsidRPr="00B004EE">
        <w:rPr>
          <w:rFonts w:ascii="Tahoma" w:hAnsi="Tahoma" w:cs="Tahoma"/>
          <w:sz w:val="20"/>
          <w:szCs w:val="20"/>
        </w:rPr>
        <w:t>de</w:t>
      </w:r>
      <w:r w:rsidR="00DB1635" w:rsidRPr="00B004EE">
        <w:rPr>
          <w:rFonts w:ascii="Tahoma" w:hAnsi="Tahoma" w:cs="Tahoma"/>
          <w:spacing w:val="-22"/>
          <w:sz w:val="20"/>
          <w:szCs w:val="20"/>
        </w:rPr>
        <w:t xml:space="preserve"> </w:t>
      </w:r>
      <w:r w:rsidRPr="00B004EE">
        <w:rPr>
          <w:rFonts w:ascii="Tahoma" w:hAnsi="Tahoma" w:cs="Tahoma"/>
          <w:sz w:val="20"/>
          <w:szCs w:val="20"/>
        </w:rPr>
        <w:t>notifier</w:t>
      </w:r>
      <w:r w:rsidR="00DB1635" w:rsidRPr="00B004EE">
        <w:rPr>
          <w:rFonts w:ascii="Tahoma" w:hAnsi="Tahoma" w:cs="Tahoma"/>
          <w:spacing w:val="-22"/>
          <w:sz w:val="20"/>
          <w:szCs w:val="20"/>
        </w:rPr>
        <w:t xml:space="preserve"> </w:t>
      </w:r>
      <w:r w:rsidRPr="00B004EE">
        <w:rPr>
          <w:rFonts w:ascii="Tahoma" w:hAnsi="Tahoma" w:cs="Tahoma"/>
          <w:sz w:val="20"/>
          <w:szCs w:val="20"/>
        </w:rPr>
        <w:t>au</w:t>
      </w:r>
      <w:r w:rsidR="00DB1635" w:rsidRPr="00B004EE">
        <w:rPr>
          <w:rFonts w:ascii="Tahoma" w:hAnsi="Tahoma" w:cs="Tahoma"/>
          <w:spacing w:val="-22"/>
          <w:sz w:val="20"/>
          <w:szCs w:val="20"/>
        </w:rPr>
        <w:t xml:space="preserve"> </w:t>
      </w:r>
      <w:r w:rsidRPr="00B004EE">
        <w:rPr>
          <w:rFonts w:ascii="Tahoma" w:hAnsi="Tahoma" w:cs="Tahoma"/>
          <w:sz w:val="20"/>
          <w:szCs w:val="20"/>
        </w:rPr>
        <w:t>préalable</w:t>
      </w:r>
      <w:r w:rsidR="00DB1635" w:rsidRPr="00B004EE">
        <w:rPr>
          <w:rFonts w:ascii="Tahoma" w:hAnsi="Tahoma" w:cs="Tahoma"/>
          <w:spacing w:val="-22"/>
          <w:sz w:val="20"/>
          <w:szCs w:val="20"/>
        </w:rPr>
        <w:t xml:space="preserve"> </w:t>
      </w:r>
      <w:r w:rsidRPr="00B004EE">
        <w:rPr>
          <w:rFonts w:ascii="Tahoma" w:hAnsi="Tahoma" w:cs="Tahoma"/>
          <w:sz w:val="20"/>
          <w:szCs w:val="20"/>
        </w:rPr>
        <w:t>leur</w:t>
      </w:r>
      <w:r w:rsidR="00DB1635" w:rsidRPr="00B004EE">
        <w:rPr>
          <w:rFonts w:ascii="Tahoma" w:hAnsi="Tahoma" w:cs="Tahoma"/>
          <w:w w:val="94"/>
          <w:sz w:val="20"/>
          <w:szCs w:val="20"/>
        </w:rPr>
        <w:t xml:space="preserve"> </w:t>
      </w:r>
      <w:r w:rsidRPr="00B004EE">
        <w:rPr>
          <w:rFonts w:ascii="Tahoma" w:hAnsi="Tahoma" w:cs="Tahoma"/>
          <w:sz w:val="20"/>
          <w:szCs w:val="20"/>
        </w:rPr>
        <w:t>arrivée</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port</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fournir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informations</w:t>
      </w:r>
      <w:r w:rsidR="00DB1635" w:rsidRPr="00B004EE">
        <w:rPr>
          <w:rFonts w:ascii="Tahoma" w:hAnsi="Tahoma" w:cs="Tahoma"/>
          <w:sz w:val="20"/>
          <w:szCs w:val="20"/>
        </w:rPr>
        <w:t xml:space="preserve"> </w:t>
      </w:r>
      <w:r w:rsidRPr="00B004EE">
        <w:rPr>
          <w:rFonts w:ascii="Tahoma" w:hAnsi="Tahoma" w:cs="Tahoma"/>
          <w:sz w:val="20"/>
          <w:szCs w:val="20"/>
        </w:rPr>
        <w:t>requises</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réglementation</w:t>
      </w:r>
      <w:r w:rsidR="00DB1635" w:rsidRPr="00B004EE">
        <w:rPr>
          <w:rFonts w:ascii="Tahoma" w:hAnsi="Tahoma" w:cs="Tahoma"/>
          <w:spacing w:val="37"/>
          <w:sz w:val="20"/>
          <w:szCs w:val="20"/>
        </w:rPr>
        <w:t xml:space="preserve"> </w:t>
      </w:r>
      <w:r w:rsidRPr="00B004EE">
        <w:rPr>
          <w:rFonts w:ascii="Tahoma" w:hAnsi="Tahoma" w:cs="Tahoma"/>
          <w:sz w:val="20"/>
          <w:szCs w:val="20"/>
        </w:rPr>
        <w:t>de</w:t>
      </w:r>
      <w:r w:rsidR="00DB1635" w:rsidRPr="00B004EE">
        <w:rPr>
          <w:rFonts w:ascii="Tahoma" w:hAnsi="Tahoma" w:cs="Tahoma"/>
          <w:w w:val="94"/>
          <w:sz w:val="20"/>
          <w:szCs w:val="20"/>
        </w:rPr>
        <w:t xml:space="preserve"> </w:t>
      </w:r>
      <w:r w:rsidRPr="00B004EE">
        <w:rPr>
          <w:rFonts w:ascii="Tahoma" w:eastAsia="American Typewriter" w:hAnsi="Tahoma" w:cs="Tahoma"/>
          <w:sz w:val="20"/>
          <w:szCs w:val="20"/>
        </w:rPr>
        <w:t>l’</w:t>
      </w:r>
      <w:r w:rsidRPr="00B004EE">
        <w:rPr>
          <w:rFonts w:ascii="Tahoma" w:hAnsi="Tahoma" w:cs="Tahoma"/>
          <w:sz w:val="20"/>
          <w:szCs w:val="20"/>
        </w:rPr>
        <w:t>État</w:t>
      </w:r>
      <w:r w:rsidR="00DB1635" w:rsidRPr="00B004EE">
        <w:rPr>
          <w:rFonts w:ascii="Tahoma" w:hAnsi="Tahoma" w:cs="Tahoma"/>
          <w:spacing w:val="-24"/>
          <w:sz w:val="20"/>
          <w:szCs w:val="20"/>
        </w:rPr>
        <w:t xml:space="preserve"> </w:t>
      </w:r>
      <w:r w:rsidR="00852255" w:rsidRPr="00B004EE">
        <w:rPr>
          <w:rFonts w:ascii="Tahoma" w:hAnsi="Tahoma" w:cs="Tahoma"/>
          <w:sz w:val="20"/>
          <w:szCs w:val="20"/>
        </w:rPr>
        <w:t xml:space="preserve">mauritanien </w:t>
      </w:r>
      <w:r w:rsidR="00852255" w:rsidRPr="00B004EE">
        <w:rPr>
          <w:rFonts w:ascii="Tahoma" w:hAnsi="Tahoma" w:cs="Tahoma"/>
          <w:spacing w:val="-25"/>
          <w:sz w:val="20"/>
          <w:szCs w:val="20"/>
        </w:rPr>
        <w:t>en</w:t>
      </w:r>
      <w:r w:rsidR="00DB1635" w:rsidRPr="00B004EE">
        <w:rPr>
          <w:rFonts w:ascii="Tahoma" w:hAnsi="Tahoma" w:cs="Tahoma"/>
          <w:spacing w:val="-25"/>
          <w:sz w:val="20"/>
          <w:szCs w:val="20"/>
        </w:rPr>
        <w:t xml:space="preserve"> </w:t>
      </w:r>
      <w:r w:rsidRPr="00B004EE">
        <w:rPr>
          <w:rFonts w:ascii="Tahoma" w:hAnsi="Tahoma" w:cs="Tahoma"/>
          <w:sz w:val="20"/>
          <w:szCs w:val="20"/>
        </w:rPr>
        <w:t>particulier</w:t>
      </w:r>
      <w:r w:rsidR="00DB1635" w:rsidRPr="00B004EE">
        <w:rPr>
          <w:rFonts w:ascii="Tahoma" w:hAnsi="Tahoma" w:cs="Tahoma"/>
          <w:spacing w:val="-25"/>
          <w:sz w:val="20"/>
          <w:szCs w:val="20"/>
        </w:rPr>
        <w:t xml:space="preserve"> </w:t>
      </w:r>
      <w:r w:rsidRPr="00B004EE">
        <w:rPr>
          <w:rFonts w:ascii="Tahoma" w:hAnsi="Tahoma" w:cs="Tahoma"/>
          <w:sz w:val="20"/>
          <w:szCs w:val="20"/>
        </w:rPr>
        <w:t>:</w:t>
      </w:r>
    </w:p>
    <w:p w14:paraId="72ED92AA" w14:textId="10ACD680" w:rsidR="00337E3A" w:rsidRPr="00B004EE" w:rsidRDefault="001E7C3C" w:rsidP="00420DDA">
      <w:pPr>
        <w:pStyle w:val="Paragraphedeliste"/>
        <w:widowControl w:val="0"/>
        <w:numPr>
          <w:ilvl w:val="0"/>
          <w:numId w:val="37"/>
        </w:numPr>
        <w:tabs>
          <w:tab w:val="left" w:pos="1228"/>
        </w:tabs>
        <w:ind w:left="567" w:right="559"/>
        <w:rPr>
          <w:rFonts w:ascii="Tahoma" w:eastAsia="American Typewriter" w:hAnsi="Tahoma" w:cs="Tahoma"/>
          <w:sz w:val="20"/>
          <w:szCs w:val="20"/>
        </w:rPr>
      </w:pPr>
      <w:proofErr w:type="gramStart"/>
      <w:r w:rsidRPr="00B004EE">
        <w:rPr>
          <w:rFonts w:ascii="Tahoma" w:hAnsi="Tahoma" w:cs="Tahoma"/>
          <w:sz w:val="20"/>
          <w:szCs w:val="20"/>
        </w:rPr>
        <w:t>le</w:t>
      </w:r>
      <w:proofErr w:type="gramEnd"/>
      <w:r w:rsidR="00DB1635" w:rsidRPr="00B004EE">
        <w:rPr>
          <w:rFonts w:ascii="Tahoma" w:hAnsi="Tahoma" w:cs="Tahoma"/>
          <w:sz w:val="20"/>
          <w:szCs w:val="20"/>
        </w:rPr>
        <w:t xml:space="preserve"> </w:t>
      </w:r>
      <w:r w:rsidRPr="00B004EE">
        <w:rPr>
          <w:rFonts w:ascii="Tahoma" w:hAnsi="Tahoma" w:cs="Tahoma"/>
          <w:sz w:val="20"/>
          <w:szCs w:val="20"/>
        </w:rPr>
        <w:t>nom</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caractéristiques</w:t>
      </w:r>
      <w:r w:rsidR="00DB1635" w:rsidRPr="00B004EE">
        <w:rPr>
          <w:rFonts w:ascii="Tahoma" w:hAnsi="Tahoma" w:cs="Tahoma"/>
          <w:sz w:val="20"/>
          <w:szCs w:val="20"/>
        </w:rPr>
        <w:t xml:space="preserve"> </w:t>
      </w:r>
      <w:r w:rsidRPr="00B004EE">
        <w:rPr>
          <w:rFonts w:ascii="Tahoma" w:hAnsi="Tahoma" w:cs="Tahoma"/>
          <w:sz w:val="20"/>
          <w:szCs w:val="20"/>
        </w:rPr>
        <w:t>techniques</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navire</w:t>
      </w:r>
      <w:r w:rsidR="00DB1635" w:rsidRPr="00B004EE">
        <w:rPr>
          <w:rFonts w:ascii="Tahoma" w:hAnsi="Tahoma" w:cs="Tahoma"/>
          <w:spacing w:val="7"/>
          <w:sz w:val="20"/>
          <w:szCs w:val="20"/>
        </w:rPr>
        <w:t xml:space="preserve"> </w:t>
      </w:r>
      <w:r w:rsidRPr="00B004EE">
        <w:rPr>
          <w:rFonts w:ascii="Tahoma" w:hAnsi="Tahoma" w:cs="Tahoma"/>
          <w:sz w:val="20"/>
          <w:szCs w:val="20"/>
        </w:rPr>
        <w:t>;</w:t>
      </w:r>
    </w:p>
    <w:p w14:paraId="273F4C10" w14:textId="3431B4F5" w:rsidR="001E7C3C" w:rsidRPr="00B004EE" w:rsidRDefault="001E7C3C" w:rsidP="00420DDA">
      <w:pPr>
        <w:pStyle w:val="Paragraphedeliste"/>
        <w:widowControl w:val="0"/>
        <w:numPr>
          <w:ilvl w:val="0"/>
          <w:numId w:val="37"/>
        </w:numPr>
        <w:tabs>
          <w:tab w:val="left" w:pos="1228"/>
        </w:tabs>
        <w:ind w:left="567" w:right="559"/>
        <w:rPr>
          <w:rFonts w:ascii="Tahoma" w:eastAsia="American Typewriter" w:hAnsi="Tahoma" w:cs="Tahoma"/>
          <w:sz w:val="20"/>
          <w:szCs w:val="20"/>
        </w:rPr>
      </w:pPr>
      <w:proofErr w:type="gramStart"/>
      <w:r w:rsidRPr="00B004EE">
        <w:rPr>
          <w:rFonts w:ascii="Tahoma" w:hAnsi="Tahoma" w:cs="Tahoma"/>
          <w:sz w:val="20"/>
          <w:szCs w:val="20"/>
        </w:rPr>
        <w:t>la</w:t>
      </w:r>
      <w:proofErr w:type="gramEnd"/>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raison(s)</w:t>
      </w:r>
      <w:r w:rsidR="00DB1635" w:rsidRPr="00B004EE">
        <w:rPr>
          <w:rFonts w:ascii="Tahoma" w:hAnsi="Tahoma" w:cs="Tahoma"/>
          <w:sz w:val="20"/>
          <w:szCs w:val="20"/>
        </w:rPr>
        <w:t xml:space="preserve"> </w:t>
      </w:r>
      <w:r w:rsidRPr="00B004EE">
        <w:rPr>
          <w:rFonts w:ascii="Tahoma" w:hAnsi="Tahoma" w:cs="Tahoma"/>
          <w:sz w:val="20"/>
          <w:szCs w:val="20"/>
        </w:rPr>
        <w:t>motivant</w:t>
      </w:r>
      <w:r w:rsidR="00DB1635" w:rsidRPr="00B004EE">
        <w:rPr>
          <w:rFonts w:ascii="Tahoma" w:hAnsi="Tahoma" w:cs="Tahoma"/>
          <w:sz w:val="20"/>
          <w:szCs w:val="20"/>
        </w:rPr>
        <w:t xml:space="preserve"> </w:t>
      </w:r>
      <w:r w:rsidRPr="00B004EE">
        <w:rPr>
          <w:rFonts w:ascii="Tahoma" w:hAnsi="Tahoma" w:cs="Tahoma"/>
          <w:sz w:val="20"/>
          <w:szCs w:val="20"/>
        </w:rPr>
        <w:t>son</w:t>
      </w:r>
      <w:r w:rsidR="00DB1635" w:rsidRPr="00B004EE">
        <w:rPr>
          <w:rFonts w:ascii="Tahoma" w:hAnsi="Tahoma" w:cs="Tahoma"/>
          <w:sz w:val="20"/>
          <w:szCs w:val="20"/>
        </w:rPr>
        <w:t xml:space="preserve"> </w:t>
      </w:r>
      <w:r w:rsidRPr="00B004EE">
        <w:rPr>
          <w:rFonts w:ascii="Tahoma" w:hAnsi="Tahoma" w:cs="Tahoma"/>
          <w:sz w:val="20"/>
          <w:szCs w:val="20"/>
        </w:rPr>
        <w:t>entrée</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port</w:t>
      </w:r>
      <w:r w:rsidR="00DB1635" w:rsidRPr="00B004EE">
        <w:rPr>
          <w:rFonts w:ascii="Tahoma" w:hAnsi="Tahoma" w:cs="Tahoma"/>
          <w:spacing w:val="6"/>
          <w:sz w:val="20"/>
          <w:szCs w:val="20"/>
        </w:rPr>
        <w:t xml:space="preserve"> </w:t>
      </w:r>
      <w:r w:rsidRPr="00B004EE">
        <w:rPr>
          <w:rFonts w:ascii="Tahoma" w:hAnsi="Tahoma" w:cs="Tahoma"/>
          <w:sz w:val="20"/>
          <w:szCs w:val="20"/>
        </w:rPr>
        <w:t>;</w:t>
      </w:r>
    </w:p>
    <w:p w14:paraId="4255BCDB" w14:textId="2A87FD39" w:rsidR="001E7C3C" w:rsidRPr="00B004EE" w:rsidRDefault="001E7C3C" w:rsidP="00420DDA">
      <w:pPr>
        <w:pStyle w:val="Paragraphedeliste"/>
        <w:widowControl w:val="0"/>
        <w:numPr>
          <w:ilvl w:val="0"/>
          <w:numId w:val="37"/>
        </w:numPr>
        <w:tabs>
          <w:tab w:val="left" w:pos="1228"/>
        </w:tabs>
        <w:ind w:left="567" w:right="559"/>
        <w:rPr>
          <w:rFonts w:ascii="Tahoma" w:eastAsia="American Typewriter" w:hAnsi="Tahoma" w:cs="Tahoma"/>
          <w:sz w:val="20"/>
          <w:szCs w:val="20"/>
        </w:rPr>
      </w:pPr>
      <w:proofErr w:type="gramStart"/>
      <w:r w:rsidRPr="00B004EE">
        <w:rPr>
          <w:rFonts w:ascii="Tahoma" w:hAnsi="Tahoma" w:cs="Tahoma"/>
          <w:sz w:val="20"/>
          <w:szCs w:val="20"/>
        </w:rPr>
        <w:t>le</w:t>
      </w:r>
      <w:proofErr w:type="gramEnd"/>
      <w:r w:rsidR="00DB1635" w:rsidRPr="00B004EE">
        <w:rPr>
          <w:rFonts w:ascii="Tahoma" w:hAnsi="Tahoma" w:cs="Tahoma"/>
          <w:sz w:val="20"/>
          <w:szCs w:val="20"/>
        </w:rPr>
        <w:t xml:space="preserve"> </w:t>
      </w:r>
      <w:r w:rsidRPr="00B004EE">
        <w:rPr>
          <w:rFonts w:ascii="Tahoma" w:hAnsi="Tahoma" w:cs="Tahoma"/>
          <w:sz w:val="20"/>
          <w:szCs w:val="20"/>
        </w:rPr>
        <w:t>cas</w:t>
      </w:r>
      <w:r w:rsidR="00DB1635" w:rsidRPr="00B004EE">
        <w:rPr>
          <w:rFonts w:ascii="Tahoma" w:hAnsi="Tahoma" w:cs="Tahoma"/>
          <w:sz w:val="20"/>
          <w:szCs w:val="20"/>
        </w:rPr>
        <w:t xml:space="preserve"> </w:t>
      </w:r>
      <w:r w:rsidRPr="00B004EE">
        <w:rPr>
          <w:rFonts w:ascii="Tahoma" w:hAnsi="Tahoma" w:cs="Tahoma"/>
          <w:sz w:val="20"/>
          <w:szCs w:val="20"/>
        </w:rPr>
        <w:t>échéant,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quantités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poisson</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débarquer</w:t>
      </w:r>
      <w:r w:rsidR="00DB1635" w:rsidRPr="00B004EE">
        <w:rPr>
          <w:rFonts w:ascii="Tahoma" w:hAnsi="Tahoma" w:cs="Tahoma"/>
          <w:spacing w:val="12"/>
          <w:sz w:val="20"/>
          <w:szCs w:val="20"/>
        </w:rPr>
        <w:t xml:space="preserve"> </w:t>
      </w:r>
      <w:r w:rsidRPr="00B004EE">
        <w:rPr>
          <w:rFonts w:ascii="Tahoma" w:hAnsi="Tahoma" w:cs="Tahoma"/>
          <w:sz w:val="20"/>
          <w:szCs w:val="20"/>
        </w:rPr>
        <w:t>;</w:t>
      </w:r>
    </w:p>
    <w:p w14:paraId="6E3AFC7E" w14:textId="080924BE" w:rsidR="001E7C3C" w:rsidRPr="00B004EE" w:rsidRDefault="001E7C3C" w:rsidP="00420DDA">
      <w:pPr>
        <w:pStyle w:val="Paragraphedeliste"/>
        <w:widowControl w:val="0"/>
        <w:numPr>
          <w:ilvl w:val="0"/>
          <w:numId w:val="37"/>
        </w:numPr>
        <w:tabs>
          <w:tab w:val="left" w:pos="1228"/>
        </w:tabs>
        <w:ind w:left="567" w:right="559"/>
        <w:rPr>
          <w:rFonts w:ascii="Tahoma" w:eastAsia="American Typewriter" w:hAnsi="Tahoma" w:cs="Tahoma"/>
          <w:sz w:val="20"/>
          <w:szCs w:val="20"/>
        </w:rPr>
      </w:pPr>
      <w:proofErr w:type="gramStart"/>
      <w:r w:rsidRPr="00B004EE">
        <w:rPr>
          <w:rFonts w:ascii="Tahoma" w:eastAsia="American Typewriter" w:hAnsi="Tahoma" w:cs="Tahoma"/>
          <w:sz w:val="20"/>
          <w:szCs w:val="20"/>
        </w:rPr>
        <w:t>les</w:t>
      </w:r>
      <w:proofErr w:type="gramEnd"/>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dates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probables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d’entrée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et</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sortie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du</w:t>
      </w:r>
      <w:r w:rsidR="00DB1635" w:rsidRPr="00B004EE">
        <w:rPr>
          <w:rFonts w:ascii="Tahoma" w:eastAsia="American Typewriter" w:hAnsi="Tahoma" w:cs="Tahoma"/>
          <w:spacing w:val="13"/>
          <w:sz w:val="20"/>
          <w:szCs w:val="20"/>
        </w:rPr>
        <w:t xml:space="preserve"> </w:t>
      </w:r>
      <w:r w:rsidRPr="00B004EE">
        <w:rPr>
          <w:rFonts w:ascii="Tahoma" w:eastAsia="American Typewriter" w:hAnsi="Tahoma" w:cs="Tahoma"/>
          <w:sz w:val="20"/>
          <w:szCs w:val="20"/>
        </w:rPr>
        <w:t>port.</w:t>
      </w:r>
    </w:p>
    <w:p w14:paraId="67F54CEE" w14:textId="77777777" w:rsidR="001E7C3C" w:rsidRPr="00B004EE" w:rsidRDefault="001E7C3C" w:rsidP="00B004EE">
      <w:pPr>
        <w:rPr>
          <w:rFonts w:ascii="Tahoma" w:eastAsia="American Typewriter" w:hAnsi="Tahoma" w:cs="Tahoma"/>
          <w:sz w:val="20"/>
          <w:szCs w:val="20"/>
        </w:rPr>
      </w:pPr>
    </w:p>
    <w:p w14:paraId="48953AAD" w14:textId="7D032C29" w:rsidR="001E7C3C" w:rsidRPr="00B004EE" w:rsidRDefault="001E7C3C" w:rsidP="00B004EE">
      <w:pPr>
        <w:pStyle w:val="Corpsdetexte"/>
        <w:ind w:right="166"/>
        <w:rPr>
          <w:rFonts w:ascii="Tahoma" w:hAnsi="Tahoma" w:cs="Tahoma"/>
          <w:sz w:val="20"/>
          <w:szCs w:val="20"/>
        </w:rPr>
      </w:pPr>
      <w:r w:rsidRPr="00B004EE">
        <w:rPr>
          <w:rFonts w:ascii="Tahoma" w:hAnsi="Tahoma" w:cs="Tahoma"/>
          <w:sz w:val="20"/>
          <w:szCs w:val="20"/>
        </w:rPr>
        <w:t>Ces</w:t>
      </w:r>
      <w:r w:rsidR="00DB1635" w:rsidRPr="00B004EE">
        <w:rPr>
          <w:rFonts w:ascii="Tahoma" w:hAnsi="Tahoma" w:cs="Tahoma"/>
          <w:spacing w:val="-31"/>
          <w:sz w:val="20"/>
          <w:szCs w:val="20"/>
        </w:rPr>
        <w:t xml:space="preserve"> </w:t>
      </w:r>
      <w:r w:rsidRPr="00B004EE">
        <w:rPr>
          <w:rFonts w:ascii="Tahoma" w:hAnsi="Tahoma" w:cs="Tahoma"/>
          <w:sz w:val="20"/>
          <w:szCs w:val="20"/>
        </w:rPr>
        <w:t>informations</w:t>
      </w:r>
      <w:r w:rsidR="00DB1635" w:rsidRPr="00B004EE">
        <w:rPr>
          <w:rFonts w:ascii="Tahoma" w:hAnsi="Tahoma" w:cs="Tahoma"/>
          <w:spacing w:val="-31"/>
          <w:sz w:val="20"/>
          <w:szCs w:val="20"/>
        </w:rPr>
        <w:t xml:space="preserve"> </w:t>
      </w:r>
      <w:r w:rsidRPr="00B004EE">
        <w:rPr>
          <w:rFonts w:ascii="Tahoma" w:hAnsi="Tahoma" w:cs="Tahoma"/>
          <w:sz w:val="20"/>
          <w:szCs w:val="20"/>
        </w:rPr>
        <w:t>doivent</w:t>
      </w:r>
      <w:r w:rsidR="00DB1635" w:rsidRPr="00B004EE">
        <w:rPr>
          <w:rFonts w:ascii="Tahoma" w:hAnsi="Tahoma" w:cs="Tahoma"/>
          <w:spacing w:val="-31"/>
          <w:sz w:val="20"/>
          <w:szCs w:val="20"/>
        </w:rPr>
        <w:t xml:space="preserve"> </w:t>
      </w:r>
      <w:r w:rsidRPr="00B004EE">
        <w:rPr>
          <w:rFonts w:ascii="Tahoma" w:hAnsi="Tahoma" w:cs="Tahoma"/>
          <w:sz w:val="20"/>
          <w:szCs w:val="20"/>
        </w:rPr>
        <w:t>être</w:t>
      </w:r>
      <w:r w:rsidR="00DB1635" w:rsidRPr="00B004EE">
        <w:rPr>
          <w:rFonts w:ascii="Tahoma" w:hAnsi="Tahoma" w:cs="Tahoma"/>
          <w:spacing w:val="-31"/>
          <w:sz w:val="20"/>
          <w:szCs w:val="20"/>
        </w:rPr>
        <w:t xml:space="preserve"> </w:t>
      </w:r>
      <w:r w:rsidRPr="00B004EE">
        <w:rPr>
          <w:rFonts w:ascii="Tahoma" w:hAnsi="Tahoma" w:cs="Tahoma"/>
          <w:sz w:val="20"/>
          <w:szCs w:val="20"/>
        </w:rPr>
        <w:t>communiquées</w:t>
      </w:r>
      <w:r w:rsidR="00DB1635" w:rsidRPr="00B004EE">
        <w:rPr>
          <w:rFonts w:ascii="Tahoma" w:hAnsi="Tahoma" w:cs="Tahoma"/>
          <w:spacing w:val="-31"/>
          <w:sz w:val="20"/>
          <w:szCs w:val="20"/>
        </w:rPr>
        <w:t xml:space="preserve"> </w:t>
      </w:r>
      <w:r w:rsidRPr="00B004EE">
        <w:rPr>
          <w:rFonts w:ascii="Tahoma" w:hAnsi="Tahoma" w:cs="Tahoma"/>
          <w:sz w:val="20"/>
          <w:szCs w:val="20"/>
        </w:rPr>
        <w:t>au</w:t>
      </w:r>
      <w:r w:rsidR="00DB1635" w:rsidRPr="00B004EE">
        <w:rPr>
          <w:rFonts w:ascii="Tahoma" w:hAnsi="Tahoma" w:cs="Tahoma"/>
          <w:spacing w:val="-31"/>
          <w:sz w:val="20"/>
          <w:szCs w:val="20"/>
        </w:rPr>
        <w:t xml:space="preserve"> </w:t>
      </w:r>
      <w:r w:rsidRPr="00B004EE">
        <w:rPr>
          <w:rFonts w:ascii="Tahoma" w:hAnsi="Tahoma" w:cs="Tahoma"/>
          <w:sz w:val="20"/>
          <w:szCs w:val="20"/>
        </w:rPr>
        <w:t>moins</w:t>
      </w:r>
      <w:r w:rsidR="00DB1635" w:rsidRPr="00B004EE">
        <w:rPr>
          <w:rFonts w:ascii="Tahoma" w:hAnsi="Tahoma" w:cs="Tahoma"/>
          <w:spacing w:val="-31"/>
          <w:sz w:val="20"/>
          <w:szCs w:val="20"/>
        </w:rPr>
        <w:t xml:space="preserve"> </w:t>
      </w:r>
      <w:r w:rsidR="00852255" w:rsidRPr="00B004EE">
        <w:rPr>
          <w:rFonts w:ascii="Tahoma" w:hAnsi="Tahoma" w:cs="Tahoma"/>
          <w:sz w:val="20"/>
          <w:szCs w:val="20"/>
        </w:rPr>
        <w:t>quarante</w:t>
      </w:r>
      <w:r w:rsidR="00852255" w:rsidRPr="00B004EE">
        <w:rPr>
          <w:rFonts w:ascii="Tahoma" w:hAnsi="Tahoma" w:cs="Tahoma"/>
          <w:spacing w:val="-31"/>
          <w:sz w:val="20"/>
          <w:szCs w:val="20"/>
        </w:rPr>
        <w:t>-</w:t>
      </w:r>
      <w:r w:rsidR="00852255" w:rsidRPr="00B004EE">
        <w:rPr>
          <w:rFonts w:ascii="Tahoma" w:hAnsi="Tahoma" w:cs="Tahoma"/>
          <w:sz w:val="20"/>
          <w:szCs w:val="20"/>
        </w:rPr>
        <w:t>huit</w:t>
      </w:r>
      <w:r w:rsidR="00DB1635" w:rsidRPr="00B004EE">
        <w:rPr>
          <w:rFonts w:ascii="Tahoma" w:hAnsi="Tahoma" w:cs="Tahoma"/>
          <w:spacing w:val="-31"/>
          <w:sz w:val="20"/>
          <w:szCs w:val="20"/>
        </w:rPr>
        <w:t xml:space="preserve"> </w:t>
      </w:r>
      <w:r w:rsidRPr="00B004EE">
        <w:rPr>
          <w:rFonts w:ascii="Tahoma" w:hAnsi="Tahoma" w:cs="Tahoma"/>
          <w:sz w:val="20"/>
          <w:szCs w:val="20"/>
        </w:rPr>
        <w:t>(48)</w:t>
      </w:r>
      <w:r w:rsidR="00DB1635" w:rsidRPr="00B004EE">
        <w:rPr>
          <w:rFonts w:ascii="Tahoma" w:hAnsi="Tahoma" w:cs="Tahoma"/>
          <w:spacing w:val="-31"/>
          <w:sz w:val="20"/>
          <w:szCs w:val="20"/>
        </w:rPr>
        <w:t xml:space="preserve"> </w:t>
      </w:r>
      <w:r w:rsidRPr="00B004EE">
        <w:rPr>
          <w:rFonts w:ascii="Tahoma" w:hAnsi="Tahoma" w:cs="Tahoma"/>
          <w:sz w:val="20"/>
          <w:szCs w:val="20"/>
        </w:rPr>
        <w:t>heures</w:t>
      </w:r>
      <w:r w:rsidR="00DB1635" w:rsidRPr="00B004EE">
        <w:rPr>
          <w:rFonts w:ascii="Tahoma" w:hAnsi="Tahoma" w:cs="Tahoma"/>
          <w:spacing w:val="-32"/>
          <w:sz w:val="20"/>
          <w:szCs w:val="20"/>
        </w:rPr>
        <w:t xml:space="preserve"> </w:t>
      </w:r>
      <w:r w:rsidRPr="00B004EE">
        <w:rPr>
          <w:rFonts w:ascii="Tahoma" w:hAnsi="Tahoma" w:cs="Tahoma"/>
          <w:sz w:val="20"/>
          <w:szCs w:val="20"/>
        </w:rPr>
        <w:t>à</w:t>
      </w:r>
      <w:r w:rsidR="00DB1635" w:rsidRPr="00B004EE">
        <w:rPr>
          <w:rFonts w:ascii="Tahoma" w:hAnsi="Tahoma" w:cs="Tahoma"/>
          <w:w w:val="98"/>
          <w:sz w:val="20"/>
          <w:szCs w:val="20"/>
        </w:rPr>
        <w:t xml:space="preserve"> </w:t>
      </w:r>
      <w:r w:rsidRPr="00B004EE">
        <w:rPr>
          <w:rFonts w:ascii="Tahoma" w:hAnsi="Tahoma" w:cs="Tahoma"/>
          <w:sz w:val="20"/>
          <w:szCs w:val="20"/>
        </w:rPr>
        <w:t>l'avance.</w:t>
      </w:r>
    </w:p>
    <w:p w14:paraId="1FF8CE20" w14:textId="77777777" w:rsidR="001E7C3C" w:rsidRPr="00B004EE" w:rsidRDefault="001E7C3C" w:rsidP="00B004EE">
      <w:pPr>
        <w:rPr>
          <w:rFonts w:ascii="Tahoma" w:eastAsia="American Typewriter" w:hAnsi="Tahoma" w:cs="Tahoma"/>
          <w:sz w:val="20"/>
          <w:szCs w:val="20"/>
        </w:rPr>
      </w:pPr>
    </w:p>
    <w:p w14:paraId="27085BD9" w14:textId="0E43A862" w:rsidR="001E7C3C" w:rsidRPr="00B004EE" w:rsidRDefault="001E7C3C" w:rsidP="00B004EE">
      <w:pPr>
        <w:pStyle w:val="Corpsdetexte"/>
        <w:ind w:right="158"/>
        <w:rPr>
          <w:rFonts w:ascii="Tahoma" w:hAnsi="Tahoma" w:cs="Tahoma"/>
          <w:sz w:val="20"/>
          <w:szCs w:val="20"/>
        </w:rPr>
      </w:pPr>
      <w:r w:rsidRPr="00B004EE">
        <w:rPr>
          <w:rFonts w:ascii="Tahoma" w:hAnsi="Tahoma" w:cs="Tahoma"/>
          <w:sz w:val="20"/>
          <w:szCs w:val="20"/>
        </w:rPr>
        <w:t>Les</w:t>
      </w:r>
      <w:r w:rsidR="00DB1635" w:rsidRPr="00B004EE">
        <w:rPr>
          <w:rFonts w:ascii="Tahoma" w:hAnsi="Tahoma" w:cs="Tahoma"/>
          <w:spacing w:val="-18"/>
          <w:sz w:val="20"/>
          <w:szCs w:val="20"/>
        </w:rPr>
        <w:t xml:space="preserve"> </w:t>
      </w:r>
      <w:r w:rsidRPr="00B004EE">
        <w:rPr>
          <w:rFonts w:ascii="Tahoma" w:hAnsi="Tahoma" w:cs="Tahoma"/>
          <w:sz w:val="20"/>
          <w:szCs w:val="20"/>
        </w:rPr>
        <w:t>navires</w:t>
      </w:r>
      <w:r w:rsidR="00DB1635" w:rsidRPr="00B004EE">
        <w:rPr>
          <w:rFonts w:ascii="Tahoma" w:hAnsi="Tahoma" w:cs="Tahoma"/>
          <w:spacing w:val="-18"/>
          <w:sz w:val="20"/>
          <w:szCs w:val="20"/>
        </w:rPr>
        <w:t xml:space="preserve"> </w:t>
      </w:r>
      <w:r w:rsidRPr="00B004EE">
        <w:rPr>
          <w:rFonts w:ascii="Tahoma" w:hAnsi="Tahoma" w:cs="Tahoma"/>
          <w:sz w:val="20"/>
          <w:szCs w:val="20"/>
        </w:rPr>
        <w:t>qui</w:t>
      </w:r>
      <w:r w:rsidR="00DB1635" w:rsidRPr="00B004EE">
        <w:rPr>
          <w:rFonts w:ascii="Tahoma" w:hAnsi="Tahoma" w:cs="Tahoma"/>
          <w:spacing w:val="-18"/>
          <w:sz w:val="20"/>
          <w:szCs w:val="20"/>
        </w:rPr>
        <w:t xml:space="preserve"> </w:t>
      </w:r>
      <w:r w:rsidRPr="00B004EE">
        <w:rPr>
          <w:rFonts w:ascii="Tahoma" w:hAnsi="Tahoma" w:cs="Tahoma"/>
          <w:sz w:val="20"/>
          <w:szCs w:val="20"/>
        </w:rPr>
        <w:t>exercent</w:t>
      </w:r>
      <w:r w:rsidR="00DB1635" w:rsidRPr="00B004EE">
        <w:rPr>
          <w:rFonts w:ascii="Tahoma" w:hAnsi="Tahoma" w:cs="Tahoma"/>
          <w:spacing w:val="-18"/>
          <w:sz w:val="20"/>
          <w:szCs w:val="20"/>
        </w:rPr>
        <w:t xml:space="preserve"> </w:t>
      </w:r>
      <w:r w:rsidRPr="00B004EE">
        <w:rPr>
          <w:rFonts w:ascii="Tahoma" w:hAnsi="Tahoma" w:cs="Tahoma"/>
          <w:sz w:val="20"/>
          <w:szCs w:val="20"/>
        </w:rPr>
        <w:t>des</w:t>
      </w:r>
      <w:r w:rsidR="00DB1635" w:rsidRPr="00B004EE">
        <w:rPr>
          <w:rFonts w:ascii="Tahoma" w:hAnsi="Tahoma" w:cs="Tahoma"/>
          <w:spacing w:val="-18"/>
          <w:sz w:val="20"/>
          <w:szCs w:val="20"/>
        </w:rPr>
        <w:t xml:space="preserve"> </w:t>
      </w:r>
      <w:r w:rsidRPr="00B004EE">
        <w:rPr>
          <w:rFonts w:ascii="Tahoma" w:hAnsi="Tahoma" w:cs="Tahoma"/>
          <w:sz w:val="20"/>
          <w:szCs w:val="20"/>
        </w:rPr>
        <w:t>activités</w:t>
      </w:r>
      <w:r w:rsidR="00DB1635" w:rsidRPr="00B004EE">
        <w:rPr>
          <w:rFonts w:ascii="Tahoma" w:hAnsi="Tahoma" w:cs="Tahoma"/>
          <w:spacing w:val="-18"/>
          <w:sz w:val="20"/>
          <w:szCs w:val="20"/>
        </w:rPr>
        <w:t xml:space="preserve"> </w:t>
      </w:r>
      <w:r w:rsidRPr="00B004EE">
        <w:rPr>
          <w:rFonts w:ascii="Tahoma" w:hAnsi="Tahoma" w:cs="Tahoma"/>
          <w:sz w:val="20"/>
          <w:szCs w:val="20"/>
        </w:rPr>
        <w:t>connexes</w:t>
      </w:r>
      <w:r w:rsidR="00DB1635" w:rsidRPr="00B004EE">
        <w:rPr>
          <w:rFonts w:ascii="Tahoma" w:hAnsi="Tahoma" w:cs="Tahoma"/>
          <w:spacing w:val="-18"/>
          <w:sz w:val="20"/>
          <w:szCs w:val="20"/>
        </w:rPr>
        <w:t xml:space="preserve"> </w:t>
      </w:r>
      <w:r w:rsidRPr="00B004EE">
        <w:rPr>
          <w:rFonts w:ascii="Tahoma" w:hAnsi="Tahoma" w:cs="Tahoma"/>
          <w:sz w:val="20"/>
          <w:szCs w:val="20"/>
        </w:rPr>
        <w:t>sont</w:t>
      </w:r>
      <w:r w:rsidR="00DB1635" w:rsidRPr="00B004EE">
        <w:rPr>
          <w:rFonts w:ascii="Tahoma" w:hAnsi="Tahoma" w:cs="Tahoma"/>
          <w:spacing w:val="-18"/>
          <w:sz w:val="20"/>
          <w:szCs w:val="20"/>
        </w:rPr>
        <w:t xml:space="preserve"> </w:t>
      </w:r>
      <w:r w:rsidRPr="00B004EE">
        <w:rPr>
          <w:rFonts w:ascii="Tahoma" w:hAnsi="Tahoma" w:cs="Tahoma"/>
          <w:sz w:val="20"/>
          <w:szCs w:val="20"/>
        </w:rPr>
        <w:t>tenus</w:t>
      </w:r>
      <w:r w:rsidR="00DB1635" w:rsidRPr="00B004EE">
        <w:rPr>
          <w:rFonts w:ascii="Tahoma" w:hAnsi="Tahoma" w:cs="Tahoma"/>
          <w:spacing w:val="-20"/>
          <w:sz w:val="20"/>
          <w:szCs w:val="20"/>
        </w:rPr>
        <w:t xml:space="preserve"> </w:t>
      </w:r>
      <w:r w:rsidRPr="00B004EE">
        <w:rPr>
          <w:rFonts w:ascii="Tahoma" w:hAnsi="Tahoma" w:cs="Tahoma"/>
          <w:sz w:val="20"/>
          <w:szCs w:val="20"/>
        </w:rPr>
        <w:t>de</w:t>
      </w:r>
      <w:r w:rsidR="00DB1635" w:rsidRPr="00B004EE">
        <w:rPr>
          <w:rFonts w:ascii="Tahoma" w:hAnsi="Tahoma" w:cs="Tahoma"/>
          <w:spacing w:val="-20"/>
          <w:sz w:val="20"/>
          <w:szCs w:val="20"/>
        </w:rPr>
        <w:t xml:space="preserve"> </w:t>
      </w:r>
      <w:r w:rsidRPr="00B004EE">
        <w:rPr>
          <w:rFonts w:ascii="Tahoma" w:hAnsi="Tahoma" w:cs="Tahoma"/>
          <w:sz w:val="20"/>
          <w:szCs w:val="20"/>
        </w:rPr>
        <w:t>notifier</w:t>
      </w:r>
      <w:r w:rsidR="00DB1635" w:rsidRPr="00B004EE">
        <w:rPr>
          <w:rFonts w:ascii="Tahoma" w:hAnsi="Tahoma" w:cs="Tahoma"/>
          <w:spacing w:val="-20"/>
          <w:sz w:val="20"/>
          <w:szCs w:val="20"/>
        </w:rPr>
        <w:t xml:space="preserve"> </w:t>
      </w:r>
      <w:r w:rsidRPr="00B004EE">
        <w:rPr>
          <w:rFonts w:ascii="Tahoma" w:hAnsi="Tahoma" w:cs="Tahoma"/>
          <w:sz w:val="20"/>
          <w:szCs w:val="20"/>
        </w:rPr>
        <w:t>au</w:t>
      </w:r>
      <w:r w:rsidR="00DB1635" w:rsidRPr="00B004EE">
        <w:rPr>
          <w:rFonts w:ascii="Tahoma" w:hAnsi="Tahoma" w:cs="Tahoma"/>
          <w:spacing w:val="-20"/>
          <w:sz w:val="20"/>
          <w:szCs w:val="20"/>
        </w:rPr>
        <w:t xml:space="preserve"> </w:t>
      </w:r>
      <w:r w:rsidRPr="00B004EE">
        <w:rPr>
          <w:rFonts w:ascii="Tahoma" w:hAnsi="Tahoma" w:cs="Tahoma"/>
          <w:sz w:val="20"/>
          <w:szCs w:val="20"/>
        </w:rPr>
        <w:t>préalable</w:t>
      </w:r>
      <w:r w:rsidR="00DB1635" w:rsidRPr="00B004EE">
        <w:rPr>
          <w:rFonts w:ascii="Tahoma" w:hAnsi="Tahoma" w:cs="Tahoma"/>
          <w:w w:val="94"/>
          <w:sz w:val="20"/>
          <w:szCs w:val="20"/>
        </w:rPr>
        <w:t xml:space="preserve"> </w:t>
      </w:r>
      <w:r w:rsidRPr="00B004EE">
        <w:rPr>
          <w:rFonts w:ascii="Tahoma" w:hAnsi="Tahoma" w:cs="Tahoma"/>
          <w:sz w:val="20"/>
          <w:szCs w:val="20"/>
        </w:rPr>
        <w:t>leur</w:t>
      </w:r>
      <w:r w:rsidR="00DB1635" w:rsidRPr="00B004EE">
        <w:rPr>
          <w:rFonts w:ascii="Tahoma" w:hAnsi="Tahoma" w:cs="Tahoma"/>
          <w:spacing w:val="-16"/>
          <w:sz w:val="20"/>
          <w:szCs w:val="20"/>
        </w:rPr>
        <w:t xml:space="preserve"> </w:t>
      </w:r>
      <w:r w:rsidRPr="00B004EE">
        <w:rPr>
          <w:rFonts w:ascii="Tahoma" w:hAnsi="Tahoma" w:cs="Tahoma"/>
          <w:sz w:val="20"/>
          <w:szCs w:val="20"/>
        </w:rPr>
        <w:t>arrivée</w:t>
      </w:r>
      <w:r w:rsidR="00DB1635" w:rsidRPr="00B004EE">
        <w:rPr>
          <w:rFonts w:ascii="Tahoma" w:hAnsi="Tahoma" w:cs="Tahoma"/>
          <w:spacing w:val="-15"/>
          <w:sz w:val="20"/>
          <w:szCs w:val="20"/>
        </w:rPr>
        <w:t xml:space="preserve"> </w:t>
      </w:r>
      <w:r w:rsidRPr="00B004EE">
        <w:rPr>
          <w:rFonts w:ascii="Tahoma" w:hAnsi="Tahoma" w:cs="Tahoma"/>
          <w:sz w:val="20"/>
          <w:szCs w:val="20"/>
        </w:rPr>
        <w:t>au</w:t>
      </w:r>
      <w:r w:rsidR="00DB1635" w:rsidRPr="00B004EE">
        <w:rPr>
          <w:rFonts w:ascii="Tahoma" w:hAnsi="Tahoma" w:cs="Tahoma"/>
          <w:spacing w:val="-15"/>
          <w:sz w:val="20"/>
          <w:szCs w:val="20"/>
        </w:rPr>
        <w:t xml:space="preserve"> </w:t>
      </w:r>
      <w:r w:rsidRPr="00B004EE">
        <w:rPr>
          <w:rFonts w:ascii="Tahoma" w:hAnsi="Tahoma" w:cs="Tahoma"/>
          <w:sz w:val="20"/>
          <w:szCs w:val="20"/>
        </w:rPr>
        <w:t>port</w:t>
      </w:r>
      <w:r w:rsidR="00DB1635" w:rsidRPr="00B004EE">
        <w:rPr>
          <w:rFonts w:ascii="Tahoma" w:hAnsi="Tahoma" w:cs="Tahoma"/>
          <w:spacing w:val="-15"/>
          <w:sz w:val="20"/>
          <w:szCs w:val="20"/>
        </w:rPr>
        <w:t xml:space="preserve"> </w:t>
      </w:r>
      <w:r w:rsidRPr="00B004EE">
        <w:rPr>
          <w:rFonts w:ascii="Tahoma" w:hAnsi="Tahoma" w:cs="Tahoma"/>
          <w:sz w:val="20"/>
          <w:szCs w:val="20"/>
        </w:rPr>
        <w:t>et</w:t>
      </w:r>
      <w:r w:rsidR="00DB1635" w:rsidRPr="00B004EE">
        <w:rPr>
          <w:rFonts w:ascii="Tahoma" w:hAnsi="Tahoma" w:cs="Tahoma"/>
          <w:spacing w:val="-17"/>
          <w:sz w:val="20"/>
          <w:szCs w:val="20"/>
        </w:rPr>
        <w:t xml:space="preserve"> </w:t>
      </w:r>
      <w:r w:rsidRPr="00B004EE">
        <w:rPr>
          <w:rFonts w:ascii="Tahoma" w:hAnsi="Tahoma" w:cs="Tahoma"/>
          <w:sz w:val="20"/>
          <w:szCs w:val="20"/>
        </w:rPr>
        <w:t>de</w:t>
      </w:r>
      <w:r w:rsidR="00DB1635" w:rsidRPr="00B004EE">
        <w:rPr>
          <w:rFonts w:ascii="Tahoma" w:hAnsi="Tahoma" w:cs="Tahoma"/>
          <w:spacing w:val="-17"/>
          <w:sz w:val="20"/>
          <w:szCs w:val="20"/>
        </w:rPr>
        <w:t xml:space="preserve"> </w:t>
      </w:r>
      <w:r w:rsidRPr="00B004EE">
        <w:rPr>
          <w:rFonts w:ascii="Tahoma" w:hAnsi="Tahoma" w:cs="Tahoma"/>
          <w:sz w:val="20"/>
          <w:szCs w:val="20"/>
        </w:rPr>
        <w:t>fournir</w:t>
      </w:r>
      <w:r w:rsidR="00DB1635" w:rsidRPr="00B004EE">
        <w:rPr>
          <w:rFonts w:ascii="Tahoma" w:hAnsi="Tahoma" w:cs="Tahoma"/>
          <w:spacing w:val="-17"/>
          <w:sz w:val="20"/>
          <w:szCs w:val="20"/>
        </w:rPr>
        <w:t xml:space="preserve"> </w:t>
      </w:r>
      <w:r w:rsidRPr="00B004EE">
        <w:rPr>
          <w:rFonts w:ascii="Tahoma" w:hAnsi="Tahoma" w:cs="Tahoma"/>
          <w:sz w:val="20"/>
          <w:szCs w:val="20"/>
        </w:rPr>
        <w:t>les</w:t>
      </w:r>
      <w:r w:rsidR="00DB1635" w:rsidRPr="00B004EE">
        <w:rPr>
          <w:rFonts w:ascii="Tahoma" w:hAnsi="Tahoma" w:cs="Tahoma"/>
          <w:spacing w:val="-17"/>
          <w:sz w:val="20"/>
          <w:szCs w:val="20"/>
        </w:rPr>
        <w:t xml:space="preserve"> </w:t>
      </w:r>
      <w:r w:rsidRPr="00B004EE">
        <w:rPr>
          <w:rFonts w:ascii="Tahoma" w:hAnsi="Tahoma" w:cs="Tahoma"/>
          <w:sz w:val="20"/>
          <w:szCs w:val="20"/>
        </w:rPr>
        <w:t>informations</w:t>
      </w:r>
      <w:r w:rsidR="00DB1635" w:rsidRPr="00B004EE">
        <w:rPr>
          <w:rFonts w:ascii="Tahoma" w:hAnsi="Tahoma" w:cs="Tahoma"/>
          <w:spacing w:val="-17"/>
          <w:sz w:val="20"/>
          <w:szCs w:val="20"/>
        </w:rPr>
        <w:t xml:space="preserve"> </w:t>
      </w:r>
      <w:r w:rsidRPr="00B004EE">
        <w:rPr>
          <w:rFonts w:ascii="Tahoma" w:hAnsi="Tahoma" w:cs="Tahoma"/>
          <w:sz w:val="20"/>
          <w:szCs w:val="20"/>
        </w:rPr>
        <w:t>requises</w:t>
      </w:r>
      <w:r w:rsidR="00DB1635" w:rsidRPr="00B004EE">
        <w:rPr>
          <w:rFonts w:ascii="Tahoma" w:hAnsi="Tahoma" w:cs="Tahoma"/>
          <w:spacing w:val="-18"/>
          <w:sz w:val="20"/>
          <w:szCs w:val="20"/>
        </w:rPr>
        <w:t xml:space="preserve"> </w:t>
      </w:r>
      <w:r w:rsidRPr="00B004EE">
        <w:rPr>
          <w:rFonts w:ascii="Tahoma" w:hAnsi="Tahoma" w:cs="Tahoma"/>
          <w:sz w:val="20"/>
          <w:szCs w:val="20"/>
        </w:rPr>
        <w:t>pa</w:t>
      </w:r>
      <w:r w:rsidRPr="00B004EE">
        <w:rPr>
          <w:rFonts w:ascii="Tahoma" w:eastAsia="American Typewriter" w:hAnsi="Tahoma" w:cs="Tahoma"/>
          <w:sz w:val="20"/>
          <w:szCs w:val="20"/>
        </w:rPr>
        <w:t>r</w:t>
      </w:r>
      <w:r w:rsidR="00DB1635" w:rsidRPr="00B004EE">
        <w:rPr>
          <w:rFonts w:ascii="Tahoma" w:eastAsia="American Typewriter" w:hAnsi="Tahoma" w:cs="Tahoma"/>
          <w:spacing w:val="-17"/>
          <w:sz w:val="20"/>
          <w:szCs w:val="20"/>
        </w:rPr>
        <w:t xml:space="preserve"> </w:t>
      </w:r>
      <w:r w:rsidRPr="00B004EE">
        <w:rPr>
          <w:rFonts w:ascii="Tahoma" w:eastAsia="American Typewriter" w:hAnsi="Tahoma" w:cs="Tahoma"/>
          <w:sz w:val="20"/>
          <w:szCs w:val="20"/>
        </w:rPr>
        <w:t>l’</w:t>
      </w:r>
      <w:r w:rsidRPr="00B004EE">
        <w:rPr>
          <w:rFonts w:ascii="Tahoma" w:hAnsi="Tahoma" w:cs="Tahoma"/>
          <w:sz w:val="20"/>
          <w:szCs w:val="20"/>
        </w:rPr>
        <w:t>État</w:t>
      </w:r>
      <w:r w:rsidR="00DB1635" w:rsidRPr="00B004EE">
        <w:rPr>
          <w:rFonts w:ascii="Tahoma" w:hAnsi="Tahoma" w:cs="Tahoma"/>
          <w:spacing w:val="-16"/>
          <w:sz w:val="20"/>
          <w:szCs w:val="20"/>
        </w:rPr>
        <w:t xml:space="preserve"> </w:t>
      </w:r>
      <w:r w:rsidRPr="00B004EE">
        <w:rPr>
          <w:rFonts w:ascii="Tahoma" w:hAnsi="Tahoma" w:cs="Tahoma"/>
          <w:sz w:val="20"/>
          <w:szCs w:val="20"/>
        </w:rPr>
        <w:t>mauritanien,</w:t>
      </w:r>
      <w:r w:rsidR="00DB1635" w:rsidRPr="00B004EE">
        <w:rPr>
          <w:rFonts w:ascii="Tahoma" w:hAnsi="Tahoma" w:cs="Tahoma"/>
          <w:w w:val="101"/>
          <w:sz w:val="20"/>
          <w:szCs w:val="20"/>
        </w:rPr>
        <w:t xml:space="preserve"> </w:t>
      </w:r>
      <w:r w:rsidRPr="00B004EE">
        <w:rPr>
          <w:rFonts w:ascii="Tahoma" w:hAnsi="Tahoma" w:cs="Tahoma"/>
          <w:sz w:val="20"/>
          <w:szCs w:val="20"/>
        </w:rPr>
        <w:t>en</w:t>
      </w:r>
      <w:r w:rsidR="00DB1635" w:rsidRPr="00B004EE">
        <w:rPr>
          <w:rFonts w:ascii="Tahoma" w:hAnsi="Tahoma" w:cs="Tahoma"/>
          <w:spacing w:val="-29"/>
          <w:sz w:val="20"/>
          <w:szCs w:val="20"/>
        </w:rPr>
        <w:t xml:space="preserve"> </w:t>
      </w:r>
      <w:r w:rsidR="00852255" w:rsidRPr="00B004EE">
        <w:rPr>
          <w:rFonts w:ascii="Tahoma" w:hAnsi="Tahoma" w:cs="Tahoma"/>
          <w:sz w:val="20"/>
          <w:szCs w:val="20"/>
        </w:rPr>
        <w:t>particulier :</w:t>
      </w:r>
    </w:p>
    <w:p w14:paraId="06B84C7B" w14:textId="032CE19C" w:rsidR="001E7C3C" w:rsidRPr="00B004EE" w:rsidRDefault="001E7C3C" w:rsidP="00420DDA">
      <w:pPr>
        <w:pStyle w:val="Paragraphedeliste"/>
        <w:widowControl w:val="0"/>
        <w:numPr>
          <w:ilvl w:val="0"/>
          <w:numId w:val="37"/>
        </w:numPr>
        <w:tabs>
          <w:tab w:val="left" w:pos="1228"/>
        </w:tabs>
        <w:ind w:left="567" w:right="559"/>
        <w:rPr>
          <w:rFonts w:ascii="Tahoma" w:hAnsi="Tahoma" w:cs="Tahoma"/>
          <w:sz w:val="20"/>
          <w:szCs w:val="20"/>
        </w:rPr>
      </w:pPr>
      <w:proofErr w:type="gramStart"/>
      <w:r w:rsidRPr="00B004EE">
        <w:rPr>
          <w:rFonts w:ascii="Tahoma" w:hAnsi="Tahoma" w:cs="Tahoma"/>
          <w:sz w:val="20"/>
          <w:szCs w:val="20"/>
        </w:rPr>
        <w:t>le</w:t>
      </w:r>
      <w:proofErr w:type="gramEnd"/>
      <w:r w:rsidR="00DB1635" w:rsidRPr="00B004EE">
        <w:rPr>
          <w:rFonts w:ascii="Tahoma" w:hAnsi="Tahoma" w:cs="Tahoma"/>
          <w:sz w:val="20"/>
          <w:szCs w:val="20"/>
        </w:rPr>
        <w:t xml:space="preserve"> </w:t>
      </w:r>
      <w:r w:rsidRPr="00B004EE">
        <w:rPr>
          <w:rFonts w:ascii="Tahoma" w:hAnsi="Tahoma" w:cs="Tahoma"/>
          <w:sz w:val="20"/>
          <w:szCs w:val="20"/>
        </w:rPr>
        <w:t>motif</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rentrée</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port</w:t>
      </w:r>
      <w:r w:rsidR="00DB1635" w:rsidRPr="00B004EE">
        <w:rPr>
          <w:rFonts w:ascii="Tahoma" w:hAnsi="Tahoma" w:cs="Tahoma"/>
          <w:sz w:val="20"/>
          <w:szCs w:val="20"/>
        </w:rPr>
        <w:t xml:space="preserve"> </w:t>
      </w:r>
      <w:r w:rsidRPr="00B004EE">
        <w:rPr>
          <w:rFonts w:ascii="Tahoma" w:hAnsi="Tahoma" w:cs="Tahoma"/>
          <w:sz w:val="20"/>
          <w:szCs w:val="20"/>
        </w:rPr>
        <w:t>(transbordement,</w:t>
      </w:r>
      <w:r w:rsidR="00DB1635" w:rsidRPr="00B004EE">
        <w:rPr>
          <w:rFonts w:ascii="Tahoma" w:hAnsi="Tahoma" w:cs="Tahoma"/>
          <w:sz w:val="20"/>
          <w:szCs w:val="20"/>
        </w:rPr>
        <w:t xml:space="preserve"> </w:t>
      </w:r>
      <w:r w:rsidRPr="00B004EE">
        <w:rPr>
          <w:rFonts w:ascii="Tahoma" w:hAnsi="Tahoma" w:cs="Tahoma"/>
          <w:sz w:val="20"/>
          <w:szCs w:val="20"/>
        </w:rPr>
        <w:t>ravitaillement…)</w:t>
      </w:r>
      <w:r w:rsidR="00DB1635" w:rsidRPr="00B004EE">
        <w:rPr>
          <w:rFonts w:ascii="Tahoma" w:hAnsi="Tahoma" w:cs="Tahoma"/>
          <w:sz w:val="20"/>
          <w:szCs w:val="20"/>
        </w:rPr>
        <w:t xml:space="preserve"> </w:t>
      </w:r>
      <w:r w:rsidRPr="00B004EE">
        <w:rPr>
          <w:rFonts w:ascii="Tahoma" w:hAnsi="Tahoma" w:cs="Tahoma"/>
          <w:sz w:val="20"/>
          <w:szCs w:val="20"/>
        </w:rPr>
        <w:t>;</w:t>
      </w:r>
    </w:p>
    <w:p w14:paraId="675ACA72" w14:textId="6F1FD292" w:rsidR="001E7C3C" w:rsidRPr="00B004EE" w:rsidRDefault="001E7C3C" w:rsidP="00420DDA">
      <w:pPr>
        <w:pStyle w:val="Paragraphedeliste"/>
        <w:widowControl w:val="0"/>
        <w:numPr>
          <w:ilvl w:val="0"/>
          <w:numId w:val="37"/>
        </w:numPr>
        <w:tabs>
          <w:tab w:val="left" w:pos="1228"/>
        </w:tabs>
        <w:ind w:left="567" w:right="559"/>
        <w:rPr>
          <w:rFonts w:ascii="Tahoma" w:hAnsi="Tahoma" w:cs="Tahoma"/>
          <w:sz w:val="20"/>
          <w:szCs w:val="20"/>
        </w:rPr>
      </w:pPr>
      <w:proofErr w:type="gramStart"/>
      <w:r w:rsidRPr="00B004EE">
        <w:rPr>
          <w:rFonts w:ascii="Tahoma" w:hAnsi="Tahoma" w:cs="Tahoma"/>
          <w:sz w:val="20"/>
          <w:szCs w:val="20"/>
        </w:rPr>
        <w:t>les</w:t>
      </w:r>
      <w:proofErr w:type="gramEnd"/>
      <w:r w:rsidR="00DB1635" w:rsidRPr="00B004EE">
        <w:rPr>
          <w:rFonts w:ascii="Tahoma" w:hAnsi="Tahoma" w:cs="Tahoma"/>
          <w:sz w:val="20"/>
          <w:szCs w:val="20"/>
        </w:rPr>
        <w:t xml:space="preserve"> </w:t>
      </w:r>
      <w:r w:rsidRPr="00B004EE">
        <w:rPr>
          <w:rFonts w:ascii="Tahoma" w:hAnsi="Tahoma" w:cs="Tahoma"/>
          <w:sz w:val="20"/>
          <w:szCs w:val="20"/>
        </w:rPr>
        <w:t>quantités</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bord,</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transborder</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embarquer</w:t>
      </w:r>
      <w:r w:rsidR="00DB1635" w:rsidRPr="00B004EE">
        <w:rPr>
          <w:rFonts w:ascii="Tahoma" w:hAnsi="Tahoma" w:cs="Tahoma"/>
          <w:sz w:val="20"/>
          <w:szCs w:val="20"/>
        </w:rPr>
        <w:t xml:space="preserve"> </w:t>
      </w:r>
      <w:r w:rsidRPr="00B004EE">
        <w:rPr>
          <w:rFonts w:ascii="Tahoma" w:hAnsi="Tahoma" w:cs="Tahoma"/>
          <w:sz w:val="20"/>
          <w:szCs w:val="20"/>
        </w:rPr>
        <w:t>;</w:t>
      </w:r>
    </w:p>
    <w:p w14:paraId="2115675C" w14:textId="66B0208F" w:rsidR="001E7C3C" w:rsidRPr="00B004EE" w:rsidRDefault="001E7C3C" w:rsidP="00420DDA">
      <w:pPr>
        <w:pStyle w:val="Paragraphedeliste"/>
        <w:widowControl w:val="0"/>
        <w:numPr>
          <w:ilvl w:val="0"/>
          <w:numId w:val="37"/>
        </w:numPr>
        <w:tabs>
          <w:tab w:val="left" w:pos="1228"/>
        </w:tabs>
        <w:ind w:left="567" w:right="559"/>
        <w:rPr>
          <w:rFonts w:ascii="Tahoma" w:hAnsi="Tahoma" w:cs="Tahoma"/>
          <w:sz w:val="20"/>
          <w:szCs w:val="20"/>
        </w:rPr>
      </w:pPr>
      <w:proofErr w:type="gramStart"/>
      <w:r w:rsidRPr="00B004EE">
        <w:rPr>
          <w:rFonts w:ascii="Tahoma" w:hAnsi="Tahoma" w:cs="Tahoma"/>
          <w:sz w:val="20"/>
          <w:szCs w:val="20"/>
        </w:rPr>
        <w:t>la</w:t>
      </w:r>
      <w:proofErr w:type="gramEnd"/>
      <w:r w:rsidR="00DB1635" w:rsidRPr="00B004EE">
        <w:rPr>
          <w:rFonts w:ascii="Tahoma" w:hAnsi="Tahoma" w:cs="Tahoma"/>
          <w:sz w:val="20"/>
          <w:szCs w:val="20"/>
        </w:rPr>
        <w:t xml:space="preserve"> </w:t>
      </w:r>
      <w:r w:rsidRPr="00B004EE">
        <w:rPr>
          <w:rFonts w:ascii="Tahoma" w:hAnsi="Tahoma" w:cs="Tahoma"/>
          <w:sz w:val="20"/>
          <w:szCs w:val="20"/>
        </w:rPr>
        <w:t>nature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quantités</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d’avitaillement</w:t>
      </w:r>
      <w:r w:rsidR="00DB1635" w:rsidRPr="00B004EE">
        <w:rPr>
          <w:rFonts w:ascii="Tahoma" w:hAnsi="Tahoma" w:cs="Tahoma"/>
          <w:sz w:val="20"/>
          <w:szCs w:val="20"/>
        </w:rPr>
        <w:t xml:space="preserve"> </w:t>
      </w:r>
      <w:r w:rsidRPr="00B004EE">
        <w:rPr>
          <w:rFonts w:ascii="Tahoma" w:hAnsi="Tahoma" w:cs="Tahoma"/>
          <w:sz w:val="20"/>
          <w:szCs w:val="20"/>
        </w:rPr>
        <w:t>;</w:t>
      </w:r>
    </w:p>
    <w:p w14:paraId="4D2AF622" w14:textId="57CDD2DF" w:rsidR="001E7C3C" w:rsidRPr="00B004EE" w:rsidRDefault="001E7C3C" w:rsidP="00420DDA">
      <w:pPr>
        <w:pStyle w:val="Paragraphedeliste"/>
        <w:widowControl w:val="0"/>
        <w:numPr>
          <w:ilvl w:val="0"/>
          <w:numId w:val="37"/>
        </w:numPr>
        <w:tabs>
          <w:tab w:val="left" w:pos="1228"/>
        </w:tabs>
        <w:ind w:left="567" w:right="559"/>
        <w:rPr>
          <w:rFonts w:ascii="Tahoma" w:hAnsi="Tahoma" w:cs="Tahoma"/>
          <w:sz w:val="20"/>
          <w:szCs w:val="20"/>
        </w:rPr>
      </w:pPr>
      <w:proofErr w:type="gramStart"/>
      <w:r w:rsidRPr="00B004EE">
        <w:rPr>
          <w:rFonts w:ascii="Tahoma" w:hAnsi="Tahoma" w:cs="Tahoma"/>
          <w:sz w:val="20"/>
          <w:szCs w:val="20"/>
        </w:rPr>
        <w:t>la</w:t>
      </w:r>
      <w:proofErr w:type="gramEnd"/>
      <w:r w:rsidR="00DB1635" w:rsidRPr="00B004EE">
        <w:rPr>
          <w:rFonts w:ascii="Tahoma" w:hAnsi="Tahoma" w:cs="Tahoma"/>
          <w:sz w:val="20"/>
          <w:szCs w:val="20"/>
        </w:rPr>
        <w:t xml:space="preserve"> </w:t>
      </w:r>
      <w:r w:rsidRPr="00B004EE">
        <w:rPr>
          <w:rFonts w:ascii="Tahoma" w:hAnsi="Tahoma" w:cs="Tahoma"/>
          <w:sz w:val="20"/>
          <w:szCs w:val="20"/>
        </w:rPr>
        <w:t>date</w:t>
      </w:r>
      <w:r w:rsidR="00DB1635" w:rsidRPr="00B004EE">
        <w:rPr>
          <w:rFonts w:ascii="Tahoma" w:hAnsi="Tahoma" w:cs="Tahoma"/>
          <w:sz w:val="20"/>
          <w:szCs w:val="20"/>
        </w:rPr>
        <w:t xml:space="preserve"> </w:t>
      </w:r>
      <w:r w:rsidRPr="00B004EE">
        <w:rPr>
          <w:rFonts w:ascii="Tahoma" w:hAnsi="Tahoma" w:cs="Tahoma"/>
          <w:sz w:val="20"/>
          <w:szCs w:val="20"/>
        </w:rPr>
        <w:t>d’entrée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durée</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séjour.</w:t>
      </w:r>
    </w:p>
    <w:p w14:paraId="04315BA9" w14:textId="77777777" w:rsidR="001E7C3C" w:rsidRPr="00B004EE" w:rsidRDefault="001E7C3C" w:rsidP="00B004EE">
      <w:pPr>
        <w:rPr>
          <w:rFonts w:ascii="Tahoma" w:eastAsia="American Typewriter" w:hAnsi="Tahoma" w:cs="Tahoma"/>
          <w:sz w:val="20"/>
          <w:szCs w:val="20"/>
        </w:rPr>
      </w:pPr>
    </w:p>
    <w:p w14:paraId="749605AF" w14:textId="2B61D5B4" w:rsidR="001E7C3C" w:rsidRPr="00B004EE" w:rsidRDefault="001E7C3C" w:rsidP="00B004EE">
      <w:pPr>
        <w:pStyle w:val="Corpsdetexte"/>
        <w:rPr>
          <w:rFonts w:ascii="Tahoma" w:hAnsi="Tahoma" w:cs="Tahoma"/>
          <w:sz w:val="20"/>
          <w:szCs w:val="20"/>
        </w:rPr>
      </w:pPr>
      <w:r w:rsidRPr="00B004EE">
        <w:rPr>
          <w:rFonts w:ascii="Tahoma" w:hAnsi="Tahoma" w:cs="Tahoma"/>
          <w:sz w:val="20"/>
          <w:szCs w:val="20"/>
        </w:rPr>
        <w:t>Ces</w:t>
      </w:r>
      <w:r w:rsidR="00DB1635" w:rsidRPr="00B004EE">
        <w:rPr>
          <w:rFonts w:ascii="Tahoma" w:hAnsi="Tahoma" w:cs="Tahoma"/>
          <w:spacing w:val="-33"/>
          <w:sz w:val="20"/>
          <w:szCs w:val="20"/>
        </w:rPr>
        <w:t xml:space="preserve"> </w:t>
      </w:r>
      <w:r w:rsidRPr="00B004EE">
        <w:rPr>
          <w:rFonts w:ascii="Tahoma" w:hAnsi="Tahoma" w:cs="Tahoma"/>
          <w:sz w:val="20"/>
          <w:szCs w:val="20"/>
        </w:rPr>
        <w:t>informations</w:t>
      </w:r>
      <w:r w:rsidR="00DB1635" w:rsidRPr="00B004EE">
        <w:rPr>
          <w:rFonts w:ascii="Tahoma" w:hAnsi="Tahoma" w:cs="Tahoma"/>
          <w:spacing w:val="-33"/>
          <w:sz w:val="20"/>
          <w:szCs w:val="20"/>
        </w:rPr>
        <w:t xml:space="preserve"> </w:t>
      </w:r>
      <w:r w:rsidRPr="00B004EE">
        <w:rPr>
          <w:rFonts w:ascii="Tahoma" w:hAnsi="Tahoma" w:cs="Tahoma"/>
          <w:sz w:val="20"/>
          <w:szCs w:val="20"/>
        </w:rPr>
        <w:t>doivent</w:t>
      </w:r>
      <w:r w:rsidR="00DB1635" w:rsidRPr="00B004EE">
        <w:rPr>
          <w:rFonts w:ascii="Tahoma" w:hAnsi="Tahoma" w:cs="Tahoma"/>
          <w:spacing w:val="-32"/>
          <w:sz w:val="20"/>
          <w:szCs w:val="20"/>
        </w:rPr>
        <w:t xml:space="preserve"> </w:t>
      </w:r>
      <w:r w:rsidRPr="00B004EE">
        <w:rPr>
          <w:rFonts w:ascii="Tahoma" w:hAnsi="Tahoma" w:cs="Tahoma"/>
          <w:sz w:val="20"/>
          <w:szCs w:val="20"/>
        </w:rPr>
        <w:t>être</w:t>
      </w:r>
      <w:r w:rsidR="00DB1635" w:rsidRPr="00B004EE">
        <w:rPr>
          <w:rFonts w:ascii="Tahoma" w:hAnsi="Tahoma" w:cs="Tahoma"/>
          <w:spacing w:val="-32"/>
          <w:sz w:val="20"/>
          <w:szCs w:val="20"/>
        </w:rPr>
        <w:t xml:space="preserve"> </w:t>
      </w:r>
      <w:r w:rsidRPr="00B004EE">
        <w:rPr>
          <w:rFonts w:ascii="Tahoma" w:hAnsi="Tahoma" w:cs="Tahoma"/>
          <w:sz w:val="20"/>
          <w:szCs w:val="20"/>
        </w:rPr>
        <w:t>communiquées</w:t>
      </w:r>
      <w:r w:rsidR="00DB1635" w:rsidRPr="00B004EE">
        <w:rPr>
          <w:rFonts w:ascii="Tahoma" w:hAnsi="Tahoma" w:cs="Tahoma"/>
          <w:spacing w:val="-32"/>
          <w:sz w:val="20"/>
          <w:szCs w:val="20"/>
        </w:rPr>
        <w:t xml:space="preserve"> </w:t>
      </w:r>
      <w:r w:rsidRPr="00B004EE">
        <w:rPr>
          <w:rFonts w:ascii="Tahoma" w:hAnsi="Tahoma" w:cs="Tahoma"/>
          <w:sz w:val="20"/>
          <w:szCs w:val="20"/>
        </w:rPr>
        <w:t>au</w:t>
      </w:r>
      <w:r w:rsidR="00DB1635" w:rsidRPr="00B004EE">
        <w:rPr>
          <w:rFonts w:ascii="Tahoma" w:hAnsi="Tahoma" w:cs="Tahoma"/>
          <w:spacing w:val="-32"/>
          <w:sz w:val="20"/>
          <w:szCs w:val="20"/>
        </w:rPr>
        <w:t xml:space="preserve"> </w:t>
      </w:r>
      <w:r w:rsidRPr="00B004EE">
        <w:rPr>
          <w:rFonts w:ascii="Tahoma" w:hAnsi="Tahoma" w:cs="Tahoma"/>
          <w:sz w:val="20"/>
          <w:szCs w:val="20"/>
        </w:rPr>
        <w:t>moins</w:t>
      </w:r>
      <w:r w:rsidR="00DB1635" w:rsidRPr="00B004EE">
        <w:rPr>
          <w:rFonts w:ascii="Tahoma" w:hAnsi="Tahoma" w:cs="Tahoma"/>
          <w:spacing w:val="-33"/>
          <w:sz w:val="20"/>
          <w:szCs w:val="20"/>
        </w:rPr>
        <w:t xml:space="preserve"> </w:t>
      </w:r>
      <w:r w:rsidRPr="00B004EE">
        <w:rPr>
          <w:rFonts w:ascii="Tahoma" w:hAnsi="Tahoma" w:cs="Tahoma"/>
          <w:sz w:val="20"/>
          <w:szCs w:val="20"/>
        </w:rPr>
        <w:t>48</w:t>
      </w:r>
      <w:r w:rsidR="00DB1635" w:rsidRPr="00B004EE">
        <w:rPr>
          <w:rFonts w:ascii="Tahoma" w:hAnsi="Tahoma" w:cs="Tahoma"/>
          <w:spacing w:val="-32"/>
          <w:sz w:val="20"/>
          <w:szCs w:val="20"/>
        </w:rPr>
        <w:t xml:space="preserve"> </w:t>
      </w:r>
      <w:r w:rsidRPr="00B004EE">
        <w:rPr>
          <w:rFonts w:ascii="Tahoma" w:hAnsi="Tahoma" w:cs="Tahoma"/>
          <w:sz w:val="20"/>
          <w:szCs w:val="20"/>
        </w:rPr>
        <w:t>heures</w:t>
      </w:r>
      <w:r w:rsidR="00DB1635" w:rsidRPr="00B004EE">
        <w:rPr>
          <w:rFonts w:ascii="Tahoma" w:hAnsi="Tahoma" w:cs="Tahoma"/>
          <w:spacing w:val="-32"/>
          <w:sz w:val="20"/>
          <w:szCs w:val="20"/>
        </w:rPr>
        <w:t xml:space="preserve"> </w:t>
      </w:r>
      <w:r w:rsidRPr="00B004EE">
        <w:rPr>
          <w:rFonts w:ascii="Tahoma" w:hAnsi="Tahoma" w:cs="Tahoma"/>
          <w:sz w:val="20"/>
          <w:szCs w:val="20"/>
        </w:rPr>
        <w:t>à</w:t>
      </w:r>
      <w:r w:rsidR="00DB1635" w:rsidRPr="00B004EE">
        <w:rPr>
          <w:rFonts w:ascii="Tahoma" w:hAnsi="Tahoma" w:cs="Tahoma"/>
          <w:spacing w:val="-32"/>
          <w:sz w:val="20"/>
          <w:szCs w:val="20"/>
        </w:rPr>
        <w:t xml:space="preserve"> </w:t>
      </w:r>
      <w:r w:rsidRPr="00B004EE">
        <w:rPr>
          <w:rFonts w:ascii="Tahoma" w:hAnsi="Tahoma" w:cs="Tahoma"/>
          <w:sz w:val="20"/>
          <w:szCs w:val="20"/>
        </w:rPr>
        <w:t>l'avance.</w:t>
      </w:r>
    </w:p>
    <w:p w14:paraId="3A64F99E" w14:textId="77777777" w:rsidR="001E7C3C" w:rsidRPr="00B004EE" w:rsidRDefault="001E7C3C" w:rsidP="00B004EE">
      <w:pPr>
        <w:rPr>
          <w:rFonts w:ascii="Tahoma" w:eastAsia="American Typewriter" w:hAnsi="Tahoma" w:cs="Tahoma"/>
          <w:sz w:val="20"/>
          <w:szCs w:val="20"/>
        </w:rPr>
      </w:pPr>
    </w:p>
    <w:p w14:paraId="4EC903BB" w14:textId="6262F373" w:rsidR="001E7C3C" w:rsidRPr="00B004EE" w:rsidRDefault="001E7C3C" w:rsidP="00B004EE">
      <w:pPr>
        <w:pStyle w:val="Corpsdetexte"/>
        <w:ind w:right="158"/>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64</w:t>
      </w:r>
      <w:r w:rsidR="00DB1635" w:rsidRPr="00B004EE">
        <w:rPr>
          <w:rFonts w:ascii="Tahoma" w:hAnsi="Tahoma" w:cs="Tahoma"/>
          <w:bCs/>
          <w:sz w:val="20"/>
          <w:szCs w:val="20"/>
        </w:rPr>
        <w:t xml:space="preserve"> </w:t>
      </w:r>
      <w:r w:rsidRPr="00B004EE">
        <w:rPr>
          <w:rFonts w:ascii="Tahoma" w:hAnsi="Tahoma" w:cs="Tahoma"/>
          <w:bCs/>
          <w:sz w:val="20"/>
          <w:szCs w:val="20"/>
        </w:rPr>
        <w:t>:</w:t>
      </w:r>
      <w:r w:rsidR="00DB1635" w:rsidRPr="00B004EE">
        <w:rPr>
          <w:rFonts w:ascii="Tahoma" w:eastAsia="American Typewriter" w:hAnsi="Tahoma" w:cs="Tahoma"/>
          <w:b/>
          <w:bCs/>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débarquement</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transbordement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captures</w:t>
      </w:r>
      <w:r w:rsidR="00DB1635" w:rsidRPr="00B004EE">
        <w:rPr>
          <w:rFonts w:ascii="Tahoma" w:hAnsi="Tahoma" w:cs="Tahoma"/>
          <w:sz w:val="20"/>
          <w:szCs w:val="20"/>
        </w:rPr>
        <w:t xml:space="preserve"> </w:t>
      </w:r>
      <w:r w:rsidRPr="00B004EE">
        <w:rPr>
          <w:rFonts w:ascii="Tahoma" w:hAnsi="Tahoma" w:cs="Tahoma"/>
          <w:sz w:val="20"/>
          <w:szCs w:val="20"/>
        </w:rPr>
        <w:t>ne</w:t>
      </w:r>
      <w:r w:rsidR="00DB1635" w:rsidRPr="00B004EE">
        <w:rPr>
          <w:rFonts w:ascii="Tahoma" w:hAnsi="Tahoma" w:cs="Tahoma"/>
          <w:sz w:val="20"/>
          <w:szCs w:val="20"/>
        </w:rPr>
        <w:t xml:space="preserve"> </w:t>
      </w:r>
      <w:r w:rsidRPr="00B004EE">
        <w:rPr>
          <w:rFonts w:ascii="Tahoma" w:hAnsi="Tahoma" w:cs="Tahoma"/>
          <w:sz w:val="20"/>
          <w:szCs w:val="20"/>
        </w:rPr>
        <w:t>seront</w:t>
      </w:r>
      <w:r w:rsidR="00DB1635" w:rsidRPr="00B004EE">
        <w:rPr>
          <w:rFonts w:ascii="Tahoma" w:hAnsi="Tahoma" w:cs="Tahoma"/>
          <w:spacing w:val="26"/>
          <w:sz w:val="20"/>
          <w:szCs w:val="20"/>
        </w:rPr>
        <w:t xml:space="preserve"> </w:t>
      </w:r>
      <w:r w:rsidRPr="00B004EE">
        <w:rPr>
          <w:rFonts w:ascii="Tahoma" w:hAnsi="Tahoma" w:cs="Tahoma"/>
          <w:sz w:val="20"/>
          <w:szCs w:val="20"/>
        </w:rPr>
        <w:t>pas</w:t>
      </w:r>
      <w:r w:rsidR="00DB1635" w:rsidRPr="00B004EE">
        <w:rPr>
          <w:rFonts w:ascii="Tahoma" w:hAnsi="Tahoma" w:cs="Tahoma"/>
          <w:w w:val="94"/>
          <w:sz w:val="20"/>
          <w:szCs w:val="20"/>
        </w:rPr>
        <w:t xml:space="preserve"> </w:t>
      </w:r>
      <w:r w:rsidRPr="00B004EE">
        <w:rPr>
          <w:rFonts w:ascii="Tahoma" w:hAnsi="Tahoma" w:cs="Tahoma"/>
          <w:sz w:val="20"/>
          <w:szCs w:val="20"/>
        </w:rPr>
        <w:t>autorisés</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navires</w:t>
      </w:r>
      <w:r w:rsidR="00DB1635" w:rsidRPr="00B004EE">
        <w:rPr>
          <w:rFonts w:ascii="Tahoma" w:hAnsi="Tahoma" w:cs="Tahoma"/>
          <w:sz w:val="20"/>
          <w:szCs w:val="20"/>
        </w:rPr>
        <w:t xml:space="preserve"> </w:t>
      </w:r>
      <w:r w:rsidRPr="00B004EE">
        <w:rPr>
          <w:rFonts w:ascii="Tahoma" w:hAnsi="Tahoma" w:cs="Tahoma"/>
          <w:sz w:val="20"/>
          <w:szCs w:val="20"/>
        </w:rPr>
        <w:t>qui</w:t>
      </w:r>
      <w:r w:rsidR="00DB1635" w:rsidRPr="00B004EE">
        <w:rPr>
          <w:rFonts w:ascii="Tahoma" w:hAnsi="Tahoma" w:cs="Tahoma"/>
          <w:sz w:val="20"/>
          <w:szCs w:val="20"/>
        </w:rPr>
        <w:t xml:space="preserve"> </w:t>
      </w:r>
      <w:r w:rsidRPr="00B004EE">
        <w:rPr>
          <w:rFonts w:ascii="Tahoma" w:hAnsi="Tahoma" w:cs="Tahoma"/>
          <w:sz w:val="20"/>
          <w:szCs w:val="20"/>
        </w:rPr>
        <w:t>se</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livrés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activités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illicite,</w:t>
      </w:r>
      <w:r w:rsidR="00DB1635" w:rsidRPr="00B004EE">
        <w:rPr>
          <w:rFonts w:ascii="Tahoma" w:hAnsi="Tahoma" w:cs="Tahoma"/>
          <w:spacing w:val="38"/>
          <w:sz w:val="20"/>
          <w:szCs w:val="20"/>
        </w:rPr>
        <w:t xml:space="preserve"> </w:t>
      </w:r>
      <w:r w:rsidRPr="00B004EE">
        <w:rPr>
          <w:rFonts w:ascii="Tahoma" w:hAnsi="Tahoma" w:cs="Tahoma"/>
          <w:sz w:val="20"/>
          <w:szCs w:val="20"/>
        </w:rPr>
        <w:t>non</w:t>
      </w:r>
      <w:r w:rsidR="00DB1635" w:rsidRPr="00B004EE">
        <w:rPr>
          <w:rFonts w:ascii="Tahoma" w:hAnsi="Tahoma" w:cs="Tahoma"/>
          <w:w w:val="94"/>
          <w:sz w:val="20"/>
          <w:szCs w:val="20"/>
        </w:rPr>
        <w:t xml:space="preserve"> </w:t>
      </w:r>
      <w:r w:rsidRPr="00B004EE">
        <w:rPr>
          <w:rFonts w:ascii="Tahoma" w:eastAsia="American Typewriter" w:hAnsi="Tahoma" w:cs="Tahoma"/>
          <w:sz w:val="20"/>
          <w:szCs w:val="20"/>
        </w:rPr>
        <w:t>déclarée</w:t>
      </w:r>
      <w:r w:rsidR="00DB1635" w:rsidRPr="00B004EE">
        <w:rPr>
          <w:rFonts w:ascii="Tahoma" w:eastAsia="American Typewriter" w:hAnsi="Tahoma" w:cs="Tahoma"/>
          <w:spacing w:val="41"/>
          <w:sz w:val="20"/>
          <w:szCs w:val="20"/>
        </w:rPr>
        <w:t xml:space="preserve"> </w:t>
      </w:r>
      <w:r w:rsidRPr="00B004EE">
        <w:rPr>
          <w:rFonts w:ascii="Tahoma" w:eastAsia="American Typewriter" w:hAnsi="Tahoma" w:cs="Tahoma"/>
          <w:sz w:val="20"/>
          <w:szCs w:val="20"/>
        </w:rPr>
        <w:t>et</w:t>
      </w:r>
      <w:r w:rsidR="00DB1635" w:rsidRPr="00B004EE">
        <w:rPr>
          <w:rFonts w:ascii="Tahoma" w:eastAsia="American Typewriter" w:hAnsi="Tahoma" w:cs="Tahoma"/>
          <w:spacing w:val="41"/>
          <w:sz w:val="20"/>
          <w:szCs w:val="20"/>
        </w:rPr>
        <w:t xml:space="preserve"> </w:t>
      </w:r>
      <w:r w:rsidRPr="00B004EE">
        <w:rPr>
          <w:rFonts w:ascii="Tahoma" w:eastAsia="American Typewriter" w:hAnsi="Tahoma" w:cs="Tahoma"/>
          <w:sz w:val="20"/>
          <w:szCs w:val="20"/>
        </w:rPr>
        <w:t>non</w:t>
      </w:r>
      <w:r w:rsidR="00DB1635" w:rsidRPr="00B004EE">
        <w:rPr>
          <w:rFonts w:ascii="Tahoma" w:eastAsia="American Typewriter" w:hAnsi="Tahoma" w:cs="Tahoma"/>
          <w:spacing w:val="41"/>
          <w:sz w:val="20"/>
          <w:szCs w:val="20"/>
        </w:rPr>
        <w:t xml:space="preserve"> </w:t>
      </w:r>
      <w:r w:rsidRPr="00B004EE">
        <w:rPr>
          <w:rFonts w:ascii="Tahoma" w:eastAsia="American Typewriter" w:hAnsi="Tahoma" w:cs="Tahoma"/>
          <w:sz w:val="20"/>
          <w:szCs w:val="20"/>
        </w:rPr>
        <w:t>réglementée</w:t>
      </w:r>
      <w:r w:rsidR="00DB1635" w:rsidRPr="00B004EE">
        <w:rPr>
          <w:rFonts w:ascii="Tahoma" w:eastAsia="American Typewriter" w:hAnsi="Tahoma" w:cs="Tahoma"/>
          <w:spacing w:val="39"/>
          <w:sz w:val="20"/>
          <w:szCs w:val="20"/>
        </w:rPr>
        <w:t xml:space="preserve"> </w:t>
      </w:r>
      <w:r w:rsidRPr="00B004EE">
        <w:rPr>
          <w:rFonts w:ascii="Tahoma" w:eastAsia="American Typewriter" w:hAnsi="Tahoma" w:cs="Tahoma"/>
          <w:sz w:val="20"/>
          <w:szCs w:val="20"/>
        </w:rPr>
        <w:t>à</w:t>
      </w:r>
      <w:r w:rsidR="00DB1635" w:rsidRPr="00B004EE">
        <w:rPr>
          <w:rFonts w:ascii="Tahoma" w:eastAsia="American Typewriter" w:hAnsi="Tahoma" w:cs="Tahoma"/>
          <w:spacing w:val="39"/>
          <w:sz w:val="20"/>
          <w:szCs w:val="20"/>
        </w:rPr>
        <w:t xml:space="preserve"> </w:t>
      </w:r>
      <w:r w:rsidRPr="00B004EE">
        <w:rPr>
          <w:rFonts w:ascii="Tahoma" w:eastAsia="American Typewriter" w:hAnsi="Tahoma" w:cs="Tahoma"/>
          <w:sz w:val="20"/>
          <w:szCs w:val="20"/>
        </w:rPr>
        <w:t>l’intérieur</w:t>
      </w:r>
      <w:r w:rsidR="00DB1635" w:rsidRPr="00B004EE">
        <w:rPr>
          <w:rFonts w:ascii="Tahoma" w:eastAsia="American Typewriter" w:hAnsi="Tahoma" w:cs="Tahoma"/>
          <w:spacing w:val="38"/>
          <w:sz w:val="20"/>
          <w:szCs w:val="20"/>
        </w:rPr>
        <w:t xml:space="preserve"> </w:t>
      </w:r>
      <w:r w:rsidRPr="00B004EE">
        <w:rPr>
          <w:rFonts w:ascii="Tahoma" w:eastAsia="American Typewriter" w:hAnsi="Tahoma" w:cs="Tahoma"/>
          <w:sz w:val="20"/>
          <w:szCs w:val="20"/>
        </w:rPr>
        <w:t>ou</w:t>
      </w:r>
      <w:r w:rsidR="00DB1635" w:rsidRPr="00B004EE">
        <w:rPr>
          <w:rFonts w:ascii="Tahoma" w:eastAsia="American Typewriter" w:hAnsi="Tahoma" w:cs="Tahoma"/>
          <w:spacing w:val="38"/>
          <w:sz w:val="20"/>
          <w:szCs w:val="20"/>
        </w:rPr>
        <w:t xml:space="preserve"> </w:t>
      </w:r>
      <w:r w:rsidRPr="00B004EE">
        <w:rPr>
          <w:rFonts w:ascii="Tahoma" w:eastAsia="American Typewriter" w:hAnsi="Tahoma" w:cs="Tahoma"/>
          <w:sz w:val="20"/>
          <w:szCs w:val="20"/>
        </w:rPr>
        <w:t>en</w:t>
      </w:r>
      <w:r w:rsidR="00DB1635" w:rsidRPr="00B004EE">
        <w:rPr>
          <w:rFonts w:ascii="Tahoma" w:eastAsia="American Typewriter" w:hAnsi="Tahoma" w:cs="Tahoma"/>
          <w:spacing w:val="38"/>
          <w:sz w:val="20"/>
          <w:szCs w:val="20"/>
        </w:rPr>
        <w:t xml:space="preserve"> </w:t>
      </w:r>
      <w:r w:rsidRPr="00B004EE">
        <w:rPr>
          <w:rFonts w:ascii="Tahoma" w:eastAsia="American Typewriter" w:hAnsi="Tahoma" w:cs="Tahoma"/>
          <w:sz w:val="20"/>
          <w:szCs w:val="20"/>
        </w:rPr>
        <w:t>dehors</w:t>
      </w:r>
      <w:r w:rsidR="00DB1635" w:rsidRPr="00B004EE">
        <w:rPr>
          <w:rFonts w:ascii="Tahoma" w:eastAsia="American Typewriter" w:hAnsi="Tahoma" w:cs="Tahoma"/>
          <w:spacing w:val="38"/>
          <w:sz w:val="20"/>
          <w:szCs w:val="20"/>
        </w:rPr>
        <w:t xml:space="preserve"> </w:t>
      </w:r>
      <w:r w:rsidRPr="00B004EE">
        <w:rPr>
          <w:rFonts w:ascii="Tahoma" w:eastAsia="American Typewriter" w:hAnsi="Tahoma" w:cs="Tahoma"/>
          <w:sz w:val="20"/>
          <w:szCs w:val="20"/>
        </w:rPr>
        <w:t>des</w:t>
      </w:r>
      <w:r w:rsidR="00DB1635" w:rsidRPr="00B004EE">
        <w:rPr>
          <w:rFonts w:ascii="Tahoma" w:eastAsia="American Typewriter" w:hAnsi="Tahoma" w:cs="Tahoma"/>
          <w:spacing w:val="38"/>
          <w:sz w:val="20"/>
          <w:szCs w:val="20"/>
        </w:rPr>
        <w:t xml:space="preserve"> </w:t>
      </w:r>
      <w:r w:rsidRPr="00B004EE">
        <w:rPr>
          <w:rFonts w:ascii="Tahoma" w:eastAsia="American Typewriter" w:hAnsi="Tahoma" w:cs="Tahoma"/>
          <w:sz w:val="20"/>
          <w:szCs w:val="20"/>
        </w:rPr>
        <w:t>eaux</w:t>
      </w:r>
      <w:r w:rsidR="00DB1635" w:rsidRPr="00B004EE">
        <w:rPr>
          <w:rFonts w:ascii="Tahoma" w:eastAsia="American Typewriter" w:hAnsi="Tahoma" w:cs="Tahoma"/>
          <w:spacing w:val="39"/>
          <w:sz w:val="20"/>
          <w:szCs w:val="20"/>
        </w:rPr>
        <w:t xml:space="preserve"> </w:t>
      </w:r>
      <w:r w:rsidRPr="00B004EE">
        <w:rPr>
          <w:rFonts w:ascii="Tahoma" w:eastAsia="American Typewriter" w:hAnsi="Tahoma" w:cs="Tahoma"/>
          <w:sz w:val="20"/>
          <w:szCs w:val="20"/>
        </w:rPr>
        <w:t>placées</w:t>
      </w:r>
      <w:r w:rsidR="00DB1635" w:rsidRPr="00B004EE">
        <w:rPr>
          <w:rFonts w:ascii="Tahoma" w:eastAsia="American Typewriter" w:hAnsi="Tahoma" w:cs="Tahoma"/>
          <w:spacing w:val="38"/>
          <w:sz w:val="20"/>
          <w:szCs w:val="20"/>
        </w:rPr>
        <w:t xml:space="preserve"> </w:t>
      </w:r>
      <w:r w:rsidRPr="00B004EE">
        <w:rPr>
          <w:rFonts w:ascii="Tahoma" w:eastAsia="American Typewriter" w:hAnsi="Tahoma" w:cs="Tahoma"/>
          <w:sz w:val="20"/>
          <w:szCs w:val="20"/>
        </w:rPr>
        <w:t>sous</w:t>
      </w:r>
      <w:r w:rsidR="00DB1635" w:rsidRPr="00B004EE">
        <w:rPr>
          <w:rFonts w:ascii="Tahoma" w:eastAsia="American Typewriter" w:hAnsi="Tahoma" w:cs="Tahoma"/>
          <w:w w:val="94"/>
          <w:sz w:val="20"/>
          <w:szCs w:val="20"/>
        </w:rPr>
        <w:t xml:space="preserve"> </w:t>
      </w:r>
      <w:r w:rsidRPr="00B004EE">
        <w:rPr>
          <w:rFonts w:ascii="Tahoma" w:hAnsi="Tahoma" w:cs="Tahoma"/>
          <w:sz w:val="20"/>
          <w:szCs w:val="20"/>
        </w:rPr>
        <w:t>juridiction</w:t>
      </w:r>
      <w:r w:rsidR="00DB1635" w:rsidRPr="00B004EE">
        <w:rPr>
          <w:rFonts w:ascii="Tahoma" w:hAnsi="Tahoma" w:cs="Tahoma"/>
          <w:spacing w:val="-28"/>
          <w:sz w:val="20"/>
          <w:szCs w:val="20"/>
        </w:rPr>
        <w:t xml:space="preserve"> </w:t>
      </w:r>
      <w:r w:rsidRPr="00B004EE">
        <w:rPr>
          <w:rFonts w:ascii="Tahoma" w:hAnsi="Tahoma" w:cs="Tahoma"/>
          <w:sz w:val="20"/>
          <w:szCs w:val="20"/>
        </w:rPr>
        <w:t>de</w:t>
      </w:r>
      <w:r w:rsidR="00DB1635" w:rsidRPr="00B004EE">
        <w:rPr>
          <w:rFonts w:ascii="Tahoma" w:hAnsi="Tahoma" w:cs="Tahoma"/>
          <w:spacing w:val="-27"/>
          <w:sz w:val="20"/>
          <w:szCs w:val="20"/>
        </w:rPr>
        <w:t xml:space="preserve"> </w:t>
      </w:r>
      <w:r w:rsidRPr="00B004EE">
        <w:rPr>
          <w:rFonts w:ascii="Tahoma" w:hAnsi="Tahoma" w:cs="Tahoma"/>
          <w:sz w:val="20"/>
          <w:szCs w:val="20"/>
        </w:rPr>
        <w:t>la</w:t>
      </w:r>
      <w:r w:rsidR="00DB1635" w:rsidRPr="00B004EE">
        <w:rPr>
          <w:rFonts w:ascii="Tahoma" w:hAnsi="Tahoma" w:cs="Tahoma"/>
          <w:spacing w:val="-27"/>
          <w:sz w:val="20"/>
          <w:szCs w:val="20"/>
        </w:rPr>
        <w:t xml:space="preserve"> </w:t>
      </w:r>
      <w:r w:rsidRPr="00B004EE">
        <w:rPr>
          <w:rFonts w:ascii="Tahoma" w:hAnsi="Tahoma" w:cs="Tahoma"/>
          <w:sz w:val="20"/>
          <w:szCs w:val="20"/>
        </w:rPr>
        <w:t>Mauritanie.</w:t>
      </w:r>
    </w:p>
    <w:p w14:paraId="09DFFED7" w14:textId="0F15F51F" w:rsidR="001E7C3C" w:rsidRPr="00B004EE" w:rsidRDefault="001E7C3C" w:rsidP="00B004EE">
      <w:pPr>
        <w:pStyle w:val="Corpsdetexte"/>
        <w:rPr>
          <w:rFonts w:ascii="Tahoma" w:hAnsi="Tahoma" w:cs="Tahoma"/>
          <w:sz w:val="20"/>
          <w:szCs w:val="20"/>
        </w:rPr>
      </w:pPr>
      <w:r w:rsidRPr="00B004EE">
        <w:rPr>
          <w:rFonts w:ascii="Tahoma" w:eastAsia="American Typewriter" w:hAnsi="Tahoma" w:cs="Tahoma"/>
          <w:sz w:val="20"/>
          <w:szCs w:val="20"/>
        </w:rPr>
        <w:lastRenderedPageBreak/>
        <w:t>L’utilisation</w:t>
      </w:r>
      <w:r w:rsidR="00DB1635" w:rsidRPr="00B004EE">
        <w:rPr>
          <w:rFonts w:ascii="Tahoma" w:eastAsia="American Typewriter" w:hAnsi="Tahoma" w:cs="Tahoma"/>
          <w:spacing w:val="-37"/>
          <w:sz w:val="20"/>
          <w:szCs w:val="20"/>
        </w:rPr>
        <w:t xml:space="preserve"> </w:t>
      </w:r>
      <w:r w:rsidRPr="00B004EE">
        <w:rPr>
          <w:rFonts w:ascii="Tahoma" w:eastAsia="American Typewriter" w:hAnsi="Tahoma" w:cs="Tahoma"/>
          <w:sz w:val="20"/>
          <w:szCs w:val="20"/>
        </w:rPr>
        <w:t>des</w:t>
      </w:r>
      <w:r w:rsidR="00DB1635" w:rsidRPr="00B004EE">
        <w:rPr>
          <w:rFonts w:ascii="Tahoma" w:eastAsia="American Typewriter" w:hAnsi="Tahoma" w:cs="Tahoma"/>
          <w:spacing w:val="-37"/>
          <w:sz w:val="20"/>
          <w:szCs w:val="20"/>
        </w:rPr>
        <w:t xml:space="preserve"> </w:t>
      </w:r>
      <w:r w:rsidRPr="00B004EE">
        <w:rPr>
          <w:rFonts w:ascii="Tahoma" w:eastAsia="American Typewriter" w:hAnsi="Tahoma" w:cs="Tahoma"/>
          <w:sz w:val="20"/>
          <w:szCs w:val="20"/>
        </w:rPr>
        <w:t>services</w:t>
      </w:r>
      <w:r w:rsidR="00DB1635" w:rsidRPr="00B004EE">
        <w:rPr>
          <w:rFonts w:ascii="Tahoma" w:eastAsia="American Typewriter" w:hAnsi="Tahoma" w:cs="Tahoma"/>
          <w:spacing w:val="-36"/>
          <w:sz w:val="20"/>
          <w:szCs w:val="20"/>
        </w:rPr>
        <w:t xml:space="preserve"> </w:t>
      </w:r>
      <w:r w:rsidRPr="00B004EE">
        <w:rPr>
          <w:rFonts w:ascii="Tahoma" w:hAnsi="Tahoma" w:cs="Tahoma"/>
          <w:sz w:val="20"/>
          <w:szCs w:val="20"/>
        </w:rPr>
        <w:t>portuaires,</w:t>
      </w:r>
      <w:r w:rsidR="00DB1635" w:rsidRPr="00B004EE">
        <w:rPr>
          <w:rFonts w:ascii="Tahoma" w:hAnsi="Tahoma" w:cs="Tahoma"/>
          <w:spacing w:val="-37"/>
          <w:sz w:val="20"/>
          <w:szCs w:val="20"/>
        </w:rPr>
        <w:t xml:space="preserve"> </w:t>
      </w:r>
      <w:r w:rsidRPr="00B004EE">
        <w:rPr>
          <w:rFonts w:ascii="Tahoma" w:hAnsi="Tahoma" w:cs="Tahoma"/>
          <w:sz w:val="20"/>
          <w:szCs w:val="20"/>
        </w:rPr>
        <w:t>sera</w:t>
      </w:r>
      <w:r w:rsidR="00DB1635" w:rsidRPr="00B004EE">
        <w:rPr>
          <w:rFonts w:ascii="Tahoma" w:hAnsi="Tahoma" w:cs="Tahoma"/>
          <w:spacing w:val="-37"/>
          <w:sz w:val="20"/>
          <w:szCs w:val="20"/>
        </w:rPr>
        <w:t xml:space="preserve"> </w:t>
      </w:r>
      <w:r w:rsidRPr="00B004EE">
        <w:rPr>
          <w:rFonts w:ascii="Tahoma" w:hAnsi="Tahoma" w:cs="Tahoma"/>
          <w:sz w:val="20"/>
          <w:szCs w:val="20"/>
        </w:rPr>
        <w:t>refusée</w:t>
      </w:r>
      <w:r w:rsidR="00DB1635" w:rsidRPr="00B004EE">
        <w:rPr>
          <w:rFonts w:ascii="Tahoma" w:hAnsi="Tahoma" w:cs="Tahoma"/>
          <w:spacing w:val="-37"/>
          <w:sz w:val="20"/>
          <w:szCs w:val="20"/>
        </w:rPr>
        <w:t xml:space="preserve"> </w:t>
      </w:r>
      <w:r w:rsidRPr="00B004EE">
        <w:rPr>
          <w:rFonts w:ascii="Tahoma" w:hAnsi="Tahoma" w:cs="Tahoma"/>
          <w:sz w:val="20"/>
          <w:szCs w:val="20"/>
        </w:rPr>
        <w:t>à</w:t>
      </w:r>
      <w:r w:rsidR="00DB1635" w:rsidRPr="00B004EE">
        <w:rPr>
          <w:rFonts w:ascii="Tahoma" w:hAnsi="Tahoma" w:cs="Tahoma"/>
          <w:spacing w:val="-37"/>
          <w:sz w:val="20"/>
          <w:szCs w:val="20"/>
        </w:rPr>
        <w:t xml:space="preserve"> </w:t>
      </w:r>
      <w:r w:rsidRPr="00B004EE">
        <w:rPr>
          <w:rFonts w:ascii="Tahoma" w:hAnsi="Tahoma" w:cs="Tahoma"/>
          <w:sz w:val="20"/>
          <w:szCs w:val="20"/>
        </w:rPr>
        <w:t>ces</w:t>
      </w:r>
      <w:r w:rsidR="00DB1635" w:rsidRPr="00B004EE">
        <w:rPr>
          <w:rFonts w:ascii="Tahoma" w:hAnsi="Tahoma" w:cs="Tahoma"/>
          <w:spacing w:val="-37"/>
          <w:sz w:val="20"/>
          <w:szCs w:val="20"/>
        </w:rPr>
        <w:t xml:space="preserve"> </w:t>
      </w:r>
      <w:r w:rsidRPr="00B004EE">
        <w:rPr>
          <w:rFonts w:ascii="Tahoma" w:hAnsi="Tahoma" w:cs="Tahoma"/>
          <w:sz w:val="20"/>
          <w:szCs w:val="20"/>
        </w:rPr>
        <w:t>navires.</w:t>
      </w:r>
    </w:p>
    <w:p w14:paraId="71402511" w14:textId="77777777" w:rsidR="001E7C3C" w:rsidRPr="00B004EE" w:rsidRDefault="001E7C3C" w:rsidP="00B004EE">
      <w:pPr>
        <w:rPr>
          <w:rFonts w:ascii="Tahoma" w:eastAsia="American Typewriter" w:hAnsi="Tahoma" w:cs="Tahoma"/>
          <w:sz w:val="20"/>
          <w:szCs w:val="20"/>
        </w:rPr>
      </w:pPr>
    </w:p>
    <w:p w14:paraId="44DAE866" w14:textId="20B7E252" w:rsidR="001E7C3C" w:rsidRPr="00B004EE" w:rsidRDefault="001E7C3C" w:rsidP="00B004EE">
      <w:pPr>
        <w:pStyle w:val="Corpsdetexte"/>
        <w:ind w:right="157"/>
        <w:rPr>
          <w:rFonts w:ascii="Tahoma" w:hAnsi="Tahoma" w:cs="Tahoma"/>
          <w:sz w:val="20"/>
          <w:szCs w:val="20"/>
        </w:rPr>
      </w:pP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mesures</w:t>
      </w:r>
      <w:r w:rsidR="00DB1635" w:rsidRPr="00B004EE">
        <w:rPr>
          <w:rFonts w:ascii="Tahoma" w:hAnsi="Tahoma" w:cs="Tahoma"/>
          <w:sz w:val="20"/>
          <w:szCs w:val="20"/>
        </w:rPr>
        <w:t xml:space="preserve"> </w:t>
      </w:r>
      <w:r w:rsidRPr="00B004EE">
        <w:rPr>
          <w:rFonts w:ascii="Tahoma" w:hAnsi="Tahoma" w:cs="Tahoma"/>
          <w:sz w:val="20"/>
          <w:szCs w:val="20"/>
        </w:rPr>
        <w:t>prévues</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paragraphe</w:t>
      </w:r>
      <w:r w:rsidR="00DB1635" w:rsidRPr="00B004EE">
        <w:rPr>
          <w:rFonts w:ascii="Tahoma" w:hAnsi="Tahoma" w:cs="Tahoma"/>
          <w:sz w:val="20"/>
          <w:szCs w:val="20"/>
        </w:rPr>
        <w:t xml:space="preserve"> </w:t>
      </w:r>
      <w:r w:rsidRPr="00B004EE">
        <w:rPr>
          <w:rFonts w:ascii="Tahoma" w:hAnsi="Tahoma" w:cs="Tahoma"/>
          <w:sz w:val="20"/>
          <w:szCs w:val="20"/>
        </w:rPr>
        <w:t>ci-dessus</w:t>
      </w:r>
      <w:r w:rsidR="00DB1635" w:rsidRPr="00B004EE">
        <w:rPr>
          <w:rFonts w:ascii="Tahoma" w:hAnsi="Tahoma" w:cs="Tahoma"/>
          <w:sz w:val="20"/>
          <w:szCs w:val="20"/>
        </w:rPr>
        <w:t xml:space="preserve"> </w:t>
      </w:r>
      <w:r w:rsidRPr="00B004EE">
        <w:rPr>
          <w:rFonts w:ascii="Tahoma" w:hAnsi="Tahoma" w:cs="Tahoma"/>
          <w:sz w:val="20"/>
          <w:szCs w:val="20"/>
        </w:rPr>
        <w:t>seront</w:t>
      </w:r>
      <w:r w:rsidR="00DB1635" w:rsidRPr="00B004EE">
        <w:rPr>
          <w:rFonts w:ascii="Tahoma" w:hAnsi="Tahoma" w:cs="Tahoma"/>
          <w:sz w:val="20"/>
          <w:szCs w:val="20"/>
        </w:rPr>
        <w:t xml:space="preserve"> </w:t>
      </w:r>
      <w:r w:rsidRPr="00B004EE">
        <w:rPr>
          <w:rFonts w:ascii="Tahoma" w:hAnsi="Tahoma" w:cs="Tahoma"/>
          <w:sz w:val="20"/>
          <w:szCs w:val="20"/>
        </w:rPr>
        <w:t>communiquées</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pacing w:val="52"/>
          <w:sz w:val="20"/>
          <w:szCs w:val="20"/>
        </w:rPr>
        <w:t xml:space="preserve"> </w:t>
      </w:r>
      <w:r w:rsidRPr="00B004EE">
        <w:rPr>
          <w:rFonts w:ascii="Tahoma" w:hAnsi="Tahoma" w:cs="Tahoma"/>
          <w:sz w:val="20"/>
          <w:szCs w:val="20"/>
        </w:rPr>
        <w:t>les</w:t>
      </w:r>
      <w:r w:rsidR="00DB1635" w:rsidRPr="00B004EE">
        <w:rPr>
          <w:rFonts w:ascii="Tahoma" w:hAnsi="Tahoma" w:cs="Tahoma"/>
          <w:w w:val="94"/>
          <w:sz w:val="20"/>
          <w:szCs w:val="20"/>
        </w:rPr>
        <w:t xml:space="preserve"> </w:t>
      </w:r>
      <w:r w:rsidRPr="00B004EE">
        <w:rPr>
          <w:rFonts w:ascii="Tahoma" w:hAnsi="Tahoma" w:cs="Tahoma"/>
          <w:sz w:val="20"/>
          <w:szCs w:val="20"/>
        </w:rPr>
        <w:t>moyens</w:t>
      </w:r>
      <w:r w:rsidR="00DB1635" w:rsidRPr="00B004EE">
        <w:rPr>
          <w:rFonts w:ascii="Tahoma" w:hAnsi="Tahoma" w:cs="Tahoma"/>
          <w:sz w:val="20"/>
          <w:szCs w:val="20"/>
        </w:rPr>
        <w:t xml:space="preserve"> </w:t>
      </w:r>
      <w:r w:rsidRPr="00B004EE">
        <w:rPr>
          <w:rFonts w:ascii="Tahoma" w:hAnsi="Tahoma" w:cs="Tahoma"/>
          <w:sz w:val="20"/>
          <w:szCs w:val="20"/>
        </w:rPr>
        <w:t>appropriés</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organisations</w:t>
      </w:r>
      <w:r w:rsidR="00DB1635" w:rsidRPr="00B004EE">
        <w:rPr>
          <w:rFonts w:ascii="Tahoma" w:hAnsi="Tahoma" w:cs="Tahoma"/>
          <w:sz w:val="20"/>
          <w:szCs w:val="20"/>
        </w:rPr>
        <w:t xml:space="preserve"> </w:t>
      </w:r>
      <w:r w:rsidRPr="00B004EE">
        <w:rPr>
          <w:rFonts w:ascii="Tahoma" w:hAnsi="Tahoma" w:cs="Tahoma"/>
          <w:sz w:val="20"/>
          <w:szCs w:val="20"/>
        </w:rPr>
        <w:t>internationales,</w:t>
      </w:r>
      <w:r w:rsidR="00DB1635" w:rsidRPr="00B004EE">
        <w:rPr>
          <w:rFonts w:ascii="Tahoma" w:hAnsi="Tahoma" w:cs="Tahoma"/>
          <w:sz w:val="20"/>
          <w:szCs w:val="20"/>
        </w:rPr>
        <w:t xml:space="preserve"> </w:t>
      </w:r>
      <w:r w:rsidRPr="00B004EE">
        <w:rPr>
          <w:rFonts w:ascii="Tahoma" w:hAnsi="Tahoma" w:cs="Tahoma"/>
          <w:sz w:val="20"/>
          <w:szCs w:val="20"/>
        </w:rPr>
        <w:t>régionales</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pacing w:val="4"/>
          <w:sz w:val="20"/>
          <w:szCs w:val="20"/>
        </w:rPr>
        <w:t xml:space="preserve"> </w:t>
      </w:r>
      <w:r w:rsidRPr="00B004EE">
        <w:rPr>
          <w:rFonts w:ascii="Tahoma" w:hAnsi="Tahoma" w:cs="Tahoma"/>
          <w:sz w:val="20"/>
          <w:szCs w:val="20"/>
        </w:rPr>
        <w:t>sous</w:t>
      </w:r>
      <w:r w:rsidR="00DB1635" w:rsidRPr="00B004EE">
        <w:rPr>
          <w:rFonts w:ascii="Tahoma" w:hAnsi="Tahoma" w:cs="Tahoma"/>
          <w:w w:val="94"/>
          <w:sz w:val="20"/>
          <w:szCs w:val="20"/>
        </w:rPr>
        <w:t xml:space="preserve"> </w:t>
      </w:r>
      <w:r w:rsidRPr="00B004EE">
        <w:rPr>
          <w:rFonts w:ascii="Tahoma" w:hAnsi="Tahoma" w:cs="Tahoma"/>
          <w:w w:val="95"/>
          <w:sz w:val="20"/>
          <w:szCs w:val="20"/>
        </w:rPr>
        <w:t>régionales</w:t>
      </w:r>
      <w:r w:rsidR="00DB1635" w:rsidRPr="00B004EE">
        <w:rPr>
          <w:rFonts w:ascii="Tahoma" w:hAnsi="Tahoma" w:cs="Tahoma"/>
          <w:spacing w:val="-14"/>
          <w:w w:val="95"/>
          <w:sz w:val="20"/>
          <w:szCs w:val="20"/>
        </w:rPr>
        <w:t xml:space="preserve"> </w:t>
      </w:r>
      <w:r w:rsidRPr="00B004EE">
        <w:rPr>
          <w:rFonts w:ascii="Tahoma" w:hAnsi="Tahoma" w:cs="Tahoma"/>
          <w:w w:val="95"/>
          <w:sz w:val="20"/>
          <w:szCs w:val="20"/>
        </w:rPr>
        <w:t>concernées.</w:t>
      </w:r>
    </w:p>
    <w:p w14:paraId="1D126833" w14:textId="77777777" w:rsidR="001E7C3C" w:rsidRPr="00B004EE" w:rsidRDefault="001E7C3C" w:rsidP="00B004EE">
      <w:pPr>
        <w:rPr>
          <w:rFonts w:ascii="Tahoma" w:eastAsia="American Typewriter" w:hAnsi="Tahoma" w:cs="Tahoma"/>
          <w:sz w:val="20"/>
          <w:szCs w:val="20"/>
        </w:rPr>
      </w:pPr>
    </w:p>
    <w:p w14:paraId="66342984" w14:textId="381E8A7E" w:rsidR="001E7C3C" w:rsidRPr="00B004EE" w:rsidRDefault="001E7C3C" w:rsidP="00B004EE">
      <w:pPr>
        <w:pStyle w:val="Corpsdetexte"/>
        <w:ind w:right="158"/>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65</w:t>
      </w:r>
      <w:r w:rsidR="00DB1635" w:rsidRPr="00B004EE">
        <w:rPr>
          <w:rFonts w:ascii="Tahoma" w:hAnsi="Tahoma" w:cs="Tahoma"/>
          <w:bCs/>
          <w:sz w:val="20"/>
          <w:szCs w:val="20"/>
        </w:rPr>
        <w:t xml:space="preserve"> </w:t>
      </w:r>
      <w:r w:rsidRPr="00B004EE">
        <w:rPr>
          <w:rFonts w:ascii="Tahoma" w:hAnsi="Tahoma" w:cs="Tahoma"/>
          <w:bCs/>
          <w:sz w:val="20"/>
          <w:szCs w:val="20"/>
        </w:rPr>
        <w:t>:</w:t>
      </w:r>
      <w:r w:rsidR="00DB1635" w:rsidRPr="00B004EE">
        <w:rPr>
          <w:rFonts w:ascii="Tahoma" w:eastAsia="American Typewriter" w:hAnsi="Tahoma" w:cs="Tahoma"/>
          <w:b/>
          <w:bCs/>
          <w:spacing w:val="-2"/>
          <w:sz w:val="20"/>
          <w:szCs w:val="20"/>
        </w:rPr>
        <w:t xml:space="preserve"> </w:t>
      </w:r>
      <w:r w:rsidRPr="00B004EE">
        <w:rPr>
          <w:rFonts w:ascii="Tahoma" w:eastAsia="American Typewriter" w:hAnsi="Tahoma" w:cs="Tahoma"/>
          <w:sz w:val="20"/>
          <w:szCs w:val="20"/>
        </w:rPr>
        <w:t>L’État</w:t>
      </w:r>
      <w:r w:rsidR="00DB1635" w:rsidRPr="00B004EE">
        <w:rPr>
          <w:rFonts w:ascii="Tahoma" w:eastAsia="American Typewriter" w:hAnsi="Tahoma" w:cs="Tahoma"/>
          <w:spacing w:val="-5"/>
          <w:sz w:val="20"/>
          <w:szCs w:val="20"/>
        </w:rPr>
        <w:t xml:space="preserve"> </w:t>
      </w:r>
      <w:r w:rsidRPr="00B004EE">
        <w:rPr>
          <w:rFonts w:ascii="Tahoma" w:eastAsia="American Typewriter" w:hAnsi="Tahoma" w:cs="Tahoma"/>
          <w:sz w:val="20"/>
          <w:szCs w:val="20"/>
        </w:rPr>
        <w:t>mauritanien</w:t>
      </w:r>
      <w:r w:rsidR="00DB1635" w:rsidRPr="00B004EE">
        <w:rPr>
          <w:rFonts w:ascii="Tahoma" w:eastAsia="American Typewriter" w:hAnsi="Tahoma" w:cs="Tahoma"/>
          <w:spacing w:val="-6"/>
          <w:sz w:val="20"/>
          <w:szCs w:val="20"/>
        </w:rPr>
        <w:t xml:space="preserve"> </w:t>
      </w:r>
      <w:r w:rsidRPr="00B004EE">
        <w:rPr>
          <w:rFonts w:ascii="Tahoma" w:eastAsia="American Typewriter" w:hAnsi="Tahoma" w:cs="Tahoma"/>
          <w:sz w:val="20"/>
          <w:szCs w:val="20"/>
        </w:rPr>
        <w:t>ve</w:t>
      </w:r>
      <w:r w:rsidRPr="00B004EE">
        <w:rPr>
          <w:rFonts w:ascii="Tahoma" w:hAnsi="Tahoma" w:cs="Tahoma"/>
          <w:sz w:val="20"/>
          <w:szCs w:val="20"/>
        </w:rPr>
        <w:t>ille</w:t>
      </w:r>
      <w:r w:rsidR="00DB1635" w:rsidRPr="00B004EE">
        <w:rPr>
          <w:rFonts w:ascii="Tahoma" w:hAnsi="Tahoma" w:cs="Tahoma"/>
          <w:spacing w:val="-6"/>
          <w:sz w:val="20"/>
          <w:szCs w:val="20"/>
        </w:rPr>
        <w:t xml:space="preserve"> </w:t>
      </w:r>
      <w:r w:rsidRPr="00B004EE">
        <w:rPr>
          <w:rFonts w:ascii="Tahoma" w:hAnsi="Tahoma" w:cs="Tahoma"/>
          <w:sz w:val="20"/>
          <w:szCs w:val="20"/>
        </w:rPr>
        <w:t>à</w:t>
      </w:r>
      <w:r w:rsidR="00DB1635" w:rsidRPr="00B004EE">
        <w:rPr>
          <w:rFonts w:ascii="Tahoma" w:hAnsi="Tahoma" w:cs="Tahoma"/>
          <w:spacing w:val="-5"/>
          <w:sz w:val="20"/>
          <w:szCs w:val="20"/>
        </w:rPr>
        <w:t xml:space="preserve"> </w:t>
      </w:r>
      <w:r w:rsidRPr="00B004EE">
        <w:rPr>
          <w:rFonts w:ascii="Tahoma" w:hAnsi="Tahoma" w:cs="Tahoma"/>
          <w:sz w:val="20"/>
          <w:szCs w:val="20"/>
        </w:rPr>
        <w:t>ce</w:t>
      </w:r>
      <w:r w:rsidR="00DB1635" w:rsidRPr="00B004EE">
        <w:rPr>
          <w:rFonts w:ascii="Tahoma" w:hAnsi="Tahoma" w:cs="Tahoma"/>
          <w:spacing w:val="-6"/>
          <w:sz w:val="20"/>
          <w:szCs w:val="20"/>
        </w:rPr>
        <w:t xml:space="preserve"> </w:t>
      </w:r>
      <w:r w:rsidRPr="00B004EE">
        <w:rPr>
          <w:rFonts w:ascii="Tahoma" w:hAnsi="Tahoma" w:cs="Tahoma"/>
          <w:sz w:val="20"/>
          <w:szCs w:val="20"/>
        </w:rPr>
        <w:t>que</w:t>
      </w:r>
      <w:r w:rsidR="00DB1635" w:rsidRPr="00B004EE">
        <w:rPr>
          <w:rFonts w:ascii="Tahoma" w:hAnsi="Tahoma" w:cs="Tahoma"/>
          <w:spacing w:val="-6"/>
          <w:sz w:val="20"/>
          <w:szCs w:val="20"/>
        </w:rPr>
        <w:t xml:space="preserve"> </w:t>
      </w:r>
      <w:r w:rsidRPr="00B004EE">
        <w:rPr>
          <w:rFonts w:ascii="Tahoma" w:hAnsi="Tahoma" w:cs="Tahoma"/>
          <w:sz w:val="20"/>
          <w:szCs w:val="20"/>
        </w:rPr>
        <w:t>les</w:t>
      </w:r>
      <w:r w:rsidR="00DB1635" w:rsidRPr="00B004EE">
        <w:rPr>
          <w:rFonts w:ascii="Tahoma" w:hAnsi="Tahoma" w:cs="Tahoma"/>
          <w:spacing w:val="-8"/>
          <w:sz w:val="20"/>
          <w:szCs w:val="20"/>
        </w:rPr>
        <w:t xml:space="preserve"> </w:t>
      </w:r>
      <w:r w:rsidRPr="00B004EE">
        <w:rPr>
          <w:rFonts w:ascii="Tahoma" w:hAnsi="Tahoma" w:cs="Tahoma"/>
          <w:sz w:val="20"/>
          <w:szCs w:val="20"/>
        </w:rPr>
        <w:t>navires</w:t>
      </w:r>
      <w:r w:rsidR="00DB1635" w:rsidRPr="00B004EE">
        <w:rPr>
          <w:rFonts w:ascii="Tahoma" w:hAnsi="Tahoma" w:cs="Tahoma"/>
          <w:spacing w:val="-8"/>
          <w:sz w:val="20"/>
          <w:szCs w:val="20"/>
        </w:rPr>
        <w:t xml:space="preserve"> </w:t>
      </w:r>
      <w:r w:rsidRPr="00B004EE">
        <w:rPr>
          <w:rFonts w:ascii="Tahoma" w:hAnsi="Tahoma" w:cs="Tahoma"/>
          <w:sz w:val="20"/>
          <w:szCs w:val="20"/>
        </w:rPr>
        <w:t>battant</w:t>
      </w:r>
      <w:r w:rsidR="00DB1635" w:rsidRPr="00B004EE">
        <w:rPr>
          <w:rFonts w:ascii="Tahoma" w:hAnsi="Tahoma" w:cs="Tahoma"/>
          <w:spacing w:val="-4"/>
          <w:sz w:val="20"/>
          <w:szCs w:val="20"/>
        </w:rPr>
        <w:t xml:space="preserve"> </w:t>
      </w:r>
      <w:r w:rsidRPr="00B004EE">
        <w:rPr>
          <w:rFonts w:ascii="Tahoma" w:hAnsi="Tahoma" w:cs="Tahoma"/>
          <w:sz w:val="20"/>
          <w:szCs w:val="20"/>
        </w:rPr>
        <w:t>son</w:t>
      </w:r>
      <w:r w:rsidR="00DB1635" w:rsidRPr="00B004EE">
        <w:rPr>
          <w:rFonts w:ascii="Tahoma" w:hAnsi="Tahoma" w:cs="Tahoma"/>
          <w:spacing w:val="-8"/>
          <w:sz w:val="20"/>
          <w:szCs w:val="20"/>
        </w:rPr>
        <w:t xml:space="preserve"> </w:t>
      </w:r>
      <w:r w:rsidRPr="00B004EE">
        <w:rPr>
          <w:rFonts w:ascii="Tahoma" w:hAnsi="Tahoma" w:cs="Tahoma"/>
          <w:sz w:val="20"/>
          <w:szCs w:val="20"/>
        </w:rPr>
        <w:t>pavillon</w:t>
      </w:r>
      <w:r w:rsidR="00DB1635" w:rsidRPr="00B004EE">
        <w:rPr>
          <w:rFonts w:ascii="Tahoma" w:hAnsi="Tahoma" w:cs="Tahoma"/>
          <w:spacing w:val="-7"/>
          <w:sz w:val="20"/>
          <w:szCs w:val="20"/>
        </w:rPr>
        <w:t xml:space="preserve"> </w:t>
      </w:r>
      <w:r w:rsidRPr="00B004EE">
        <w:rPr>
          <w:rFonts w:ascii="Tahoma" w:hAnsi="Tahoma" w:cs="Tahoma"/>
          <w:sz w:val="20"/>
          <w:szCs w:val="20"/>
        </w:rPr>
        <w:t>ne</w:t>
      </w:r>
      <w:r w:rsidR="00DB1635" w:rsidRPr="00B004EE">
        <w:rPr>
          <w:rFonts w:ascii="Tahoma" w:hAnsi="Tahoma" w:cs="Tahoma"/>
          <w:w w:val="95"/>
          <w:sz w:val="20"/>
          <w:szCs w:val="20"/>
        </w:rPr>
        <w:t xml:space="preserve"> </w:t>
      </w:r>
      <w:r w:rsidRPr="00B004EE">
        <w:rPr>
          <w:rFonts w:ascii="Tahoma" w:hAnsi="Tahoma" w:cs="Tahoma"/>
          <w:sz w:val="20"/>
          <w:szCs w:val="20"/>
        </w:rPr>
        <w:t>pratiquent</w:t>
      </w:r>
      <w:r w:rsidR="00DB1635" w:rsidRPr="00B004EE">
        <w:rPr>
          <w:rFonts w:ascii="Tahoma" w:hAnsi="Tahoma" w:cs="Tahoma"/>
          <w:spacing w:val="-20"/>
          <w:sz w:val="20"/>
          <w:szCs w:val="20"/>
        </w:rPr>
        <w:t xml:space="preserve"> </w:t>
      </w:r>
      <w:r w:rsidRPr="00B004EE">
        <w:rPr>
          <w:rFonts w:ascii="Tahoma" w:hAnsi="Tahoma" w:cs="Tahoma"/>
          <w:sz w:val="20"/>
          <w:szCs w:val="20"/>
        </w:rPr>
        <w:t>la</w:t>
      </w:r>
      <w:r w:rsidR="00DB1635" w:rsidRPr="00B004EE">
        <w:rPr>
          <w:rFonts w:ascii="Tahoma" w:hAnsi="Tahoma" w:cs="Tahoma"/>
          <w:spacing w:val="-19"/>
          <w:sz w:val="20"/>
          <w:szCs w:val="20"/>
        </w:rPr>
        <w:t xml:space="preserve"> </w:t>
      </w:r>
      <w:r w:rsidRPr="00B004EE">
        <w:rPr>
          <w:rFonts w:ascii="Tahoma" w:hAnsi="Tahoma" w:cs="Tahoma"/>
          <w:sz w:val="20"/>
          <w:szCs w:val="20"/>
        </w:rPr>
        <w:t>pêche</w:t>
      </w:r>
      <w:r w:rsidR="00DB1635" w:rsidRPr="00B004EE">
        <w:rPr>
          <w:rFonts w:ascii="Tahoma" w:hAnsi="Tahoma" w:cs="Tahoma"/>
          <w:spacing w:val="-20"/>
          <w:sz w:val="20"/>
          <w:szCs w:val="20"/>
        </w:rPr>
        <w:t xml:space="preserve"> </w:t>
      </w:r>
      <w:r w:rsidRPr="00B004EE">
        <w:rPr>
          <w:rFonts w:ascii="Tahoma" w:hAnsi="Tahoma" w:cs="Tahoma"/>
          <w:sz w:val="20"/>
          <w:szCs w:val="20"/>
        </w:rPr>
        <w:t>au-delà</w:t>
      </w:r>
      <w:r w:rsidR="00DB1635" w:rsidRPr="00B004EE">
        <w:rPr>
          <w:rFonts w:ascii="Tahoma" w:hAnsi="Tahoma" w:cs="Tahoma"/>
          <w:spacing w:val="-19"/>
          <w:sz w:val="20"/>
          <w:szCs w:val="20"/>
        </w:rPr>
        <w:t xml:space="preserve"> </w:t>
      </w:r>
      <w:r w:rsidRPr="00B004EE">
        <w:rPr>
          <w:rFonts w:ascii="Tahoma" w:hAnsi="Tahoma" w:cs="Tahoma"/>
          <w:sz w:val="20"/>
          <w:szCs w:val="20"/>
        </w:rPr>
        <w:t>de</w:t>
      </w:r>
      <w:r w:rsidR="00DB1635" w:rsidRPr="00B004EE">
        <w:rPr>
          <w:rFonts w:ascii="Tahoma" w:hAnsi="Tahoma" w:cs="Tahoma"/>
          <w:spacing w:val="-20"/>
          <w:sz w:val="20"/>
          <w:szCs w:val="20"/>
        </w:rPr>
        <w:t xml:space="preserve"> </w:t>
      </w:r>
      <w:r w:rsidRPr="00B004EE">
        <w:rPr>
          <w:rFonts w:ascii="Tahoma" w:hAnsi="Tahoma" w:cs="Tahoma"/>
          <w:sz w:val="20"/>
          <w:szCs w:val="20"/>
        </w:rPr>
        <w:t>la</w:t>
      </w:r>
      <w:r w:rsidR="00DB1635" w:rsidRPr="00B004EE">
        <w:rPr>
          <w:rFonts w:ascii="Tahoma" w:hAnsi="Tahoma" w:cs="Tahoma"/>
          <w:spacing w:val="-19"/>
          <w:sz w:val="20"/>
          <w:szCs w:val="20"/>
        </w:rPr>
        <w:t xml:space="preserve"> </w:t>
      </w:r>
      <w:r w:rsidRPr="00B004EE">
        <w:rPr>
          <w:rFonts w:ascii="Tahoma" w:hAnsi="Tahoma" w:cs="Tahoma"/>
          <w:sz w:val="20"/>
          <w:szCs w:val="20"/>
        </w:rPr>
        <w:t>zone</w:t>
      </w:r>
      <w:r w:rsidR="00DB1635" w:rsidRPr="00B004EE">
        <w:rPr>
          <w:rFonts w:ascii="Tahoma" w:hAnsi="Tahoma" w:cs="Tahoma"/>
          <w:spacing w:val="-21"/>
          <w:sz w:val="20"/>
          <w:szCs w:val="20"/>
        </w:rPr>
        <w:t xml:space="preserve"> </w:t>
      </w:r>
      <w:r w:rsidRPr="00B004EE">
        <w:rPr>
          <w:rFonts w:ascii="Tahoma" w:hAnsi="Tahoma" w:cs="Tahoma"/>
          <w:sz w:val="20"/>
          <w:szCs w:val="20"/>
        </w:rPr>
        <w:t>économique</w:t>
      </w:r>
      <w:r w:rsidR="00DB1635" w:rsidRPr="00B004EE">
        <w:rPr>
          <w:rFonts w:ascii="Tahoma" w:hAnsi="Tahoma" w:cs="Tahoma"/>
          <w:spacing w:val="-21"/>
          <w:sz w:val="20"/>
          <w:szCs w:val="20"/>
        </w:rPr>
        <w:t xml:space="preserve"> </w:t>
      </w:r>
      <w:r w:rsidRPr="00B004EE">
        <w:rPr>
          <w:rFonts w:ascii="Tahoma" w:hAnsi="Tahoma" w:cs="Tahoma"/>
          <w:sz w:val="20"/>
          <w:szCs w:val="20"/>
        </w:rPr>
        <w:t>exclusive</w:t>
      </w:r>
      <w:r w:rsidR="00DB1635" w:rsidRPr="00B004EE">
        <w:rPr>
          <w:rFonts w:ascii="Tahoma" w:hAnsi="Tahoma" w:cs="Tahoma"/>
          <w:spacing w:val="-21"/>
          <w:sz w:val="20"/>
          <w:szCs w:val="20"/>
        </w:rPr>
        <w:t xml:space="preserve"> </w:t>
      </w:r>
      <w:r w:rsidRPr="00B004EE">
        <w:rPr>
          <w:rFonts w:ascii="Tahoma" w:hAnsi="Tahoma" w:cs="Tahoma"/>
          <w:sz w:val="20"/>
          <w:szCs w:val="20"/>
        </w:rPr>
        <w:t>mauritanienne</w:t>
      </w:r>
      <w:r w:rsidR="00DB1635" w:rsidRPr="00B004EE">
        <w:rPr>
          <w:rFonts w:ascii="Tahoma" w:hAnsi="Tahoma" w:cs="Tahoma"/>
          <w:spacing w:val="22"/>
          <w:sz w:val="20"/>
          <w:szCs w:val="20"/>
        </w:rPr>
        <w:t xml:space="preserve"> </w:t>
      </w:r>
      <w:r w:rsidRPr="00B004EE">
        <w:rPr>
          <w:rFonts w:ascii="Tahoma" w:hAnsi="Tahoma" w:cs="Tahoma"/>
          <w:sz w:val="20"/>
          <w:szCs w:val="20"/>
        </w:rPr>
        <w:t>que</w:t>
      </w:r>
      <w:r w:rsidR="00DB1635" w:rsidRPr="00B004EE">
        <w:rPr>
          <w:rFonts w:ascii="Tahoma" w:hAnsi="Tahoma" w:cs="Tahoma"/>
          <w:spacing w:val="-21"/>
          <w:sz w:val="20"/>
          <w:szCs w:val="20"/>
        </w:rPr>
        <w:t xml:space="preserve"> </w:t>
      </w:r>
      <w:r w:rsidRPr="00B004EE">
        <w:rPr>
          <w:rFonts w:ascii="Tahoma" w:hAnsi="Tahoma" w:cs="Tahoma"/>
          <w:sz w:val="20"/>
          <w:szCs w:val="20"/>
        </w:rPr>
        <w:t>si</w:t>
      </w:r>
      <w:r w:rsidR="00DB1635" w:rsidRPr="00B004EE">
        <w:rPr>
          <w:rFonts w:ascii="Tahoma" w:hAnsi="Tahoma" w:cs="Tahoma"/>
          <w:w w:val="96"/>
          <w:sz w:val="20"/>
          <w:szCs w:val="20"/>
        </w:rPr>
        <w:t xml:space="preserve"> </w:t>
      </w:r>
      <w:r w:rsidRPr="00B004EE">
        <w:rPr>
          <w:rFonts w:ascii="Tahoma" w:hAnsi="Tahoma" w:cs="Tahoma"/>
          <w:sz w:val="20"/>
          <w:szCs w:val="20"/>
        </w:rPr>
        <w:t>ces</w:t>
      </w:r>
      <w:r w:rsidR="00DB1635" w:rsidRPr="00B004EE">
        <w:rPr>
          <w:rFonts w:ascii="Tahoma" w:hAnsi="Tahoma" w:cs="Tahoma"/>
          <w:spacing w:val="-21"/>
          <w:sz w:val="20"/>
          <w:szCs w:val="20"/>
        </w:rPr>
        <w:t xml:space="preserve"> </w:t>
      </w:r>
      <w:r w:rsidRPr="00B004EE">
        <w:rPr>
          <w:rFonts w:ascii="Tahoma" w:hAnsi="Tahoma" w:cs="Tahoma"/>
          <w:sz w:val="20"/>
          <w:szCs w:val="20"/>
        </w:rPr>
        <w:t>navires</w:t>
      </w:r>
      <w:r w:rsidR="00DB1635" w:rsidRPr="00B004EE">
        <w:rPr>
          <w:rFonts w:ascii="Tahoma" w:hAnsi="Tahoma" w:cs="Tahoma"/>
          <w:spacing w:val="19"/>
          <w:sz w:val="20"/>
          <w:szCs w:val="20"/>
        </w:rPr>
        <w:t xml:space="preserve"> </w:t>
      </w:r>
      <w:r w:rsidRPr="00B004EE">
        <w:rPr>
          <w:rFonts w:ascii="Tahoma" w:hAnsi="Tahoma" w:cs="Tahoma"/>
          <w:sz w:val="20"/>
          <w:szCs w:val="20"/>
        </w:rPr>
        <w:t>sont</w:t>
      </w:r>
      <w:r w:rsidR="00DB1635" w:rsidRPr="00B004EE">
        <w:rPr>
          <w:rFonts w:ascii="Tahoma" w:hAnsi="Tahoma" w:cs="Tahoma"/>
          <w:spacing w:val="-21"/>
          <w:sz w:val="20"/>
          <w:szCs w:val="20"/>
        </w:rPr>
        <w:t xml:space="preserve"> </w:t>
      </w:r>
      <w:r w:rsidRPr="00B004EE">
        <w:rPr>
          <w:rFonts w:ascii="Tahoma" w:hAnsi="Tahoma" w:cs="Tahoma"/>
          <w:sz w:val="20"/>
          <w:szCs w:val="20"/>
        </w:rPr>
        <w:t>dûment</w:t>
      </w:r>
      <w:r w:rsidR="00DB1635" w:rsidRPr="00B004EE">
        <w:rPr>
          <w:rFonts w:ascii="Tahoma" w:hAnsi="Tahoma" w:cs="Tahoma"/>
          <w:spacing w:val="-21"/>
          <w:sz w:val="20"/>
          <w:szCs w:val="20"/>
        </w:rPr>
        <w:t xml:space="preserve"> </w:t>
      </w:r>
      <w:r w:rsidRPr="00B004EE">
        <w:rPr>
          <w:rFonts w:ascii="Tahoma" w:hAnsi="Tahoma" w:cs="Tahoma"/>
          <w:sz w:val="20"/>
          <w:szCs w:val="20"/>
        </w:rPr>
        <w:t>autorisés</w:t>
      </w:r>
      <w:r w:rsidR="00DB1635" w:rsidRPr="00B004EE">
        <w:rPr>
          <w:rFonts w:ascii="Tahoma" w:hAnsi="Tahoma" w:cs="Tahoma"/>
          <w:spacing w:val="18"/>
          <w:sz w:val="20"/>
          <w:szCs w:val="20"/>
        </w:rPr>
        <w:t xml:space="preserve"> </w:t>
      </w:r>
      <w:r w:rsidRPr="00B004EE">
        <w:rPr>
          <w:rFonts w:ascii="Tahoma" w:hAnsi="Tahoma" w:cs="Tahoma"/>
          <w:sz w:val="20"/>
          <w:szCs w:val="20"/>
        </w:rPr>
        <w:t>à</w:t>
      </w:r>
      <w:r w:rsidR="00DB1635" w:rsidRPr="00B004EE">
        <w:rPr>
          <w:rFonts w:ascii="Tahoma" w:hAnsi="Tahoma" w:cs="Tahoma"/>
          <w:spacing w:val="-20"/>
          <w:sz w:val="20"/>
          <w:szCs w:val="20"/>
        </w:rPr>
        <w:t xml:space="preserve"> </w:t>
      </w:r>
      <w:r w:rsidRPr="00B004EE">
        <w:rPr>
          <w:rFonts w:ascii="Tahoma" w:hAnsi="Tahoma" w:cs="Tahoma"/>
          <w:sz w:val="20"/>
          <w:szCs w:val="20"/>
        </w:rPr>
        <w:t>cet</w:t>
      </w:r>
      <w:r w:rsidR="00DB1635" w:rsidRPr="00B004EE">
        <w:rPr>
          <w:rFonts w:ascii="Tahoma" w:hAnsi="Tahoma" w:cs="Tahoma"/>
          <w:spacing w:val="-21"/>
          <w:sz w:val="20"/>
          <w:szCs w:val="20"/>
        </w:rPr>
        <w:t xml:space="preserve"> </w:t>
      </w:r>
      <w:r w:rsidRPr="00B004EE">
        <w:rPr>
          <w:rFonts w:ascii="Tahoma" w:hAnsi="Tahoma" w:cs="Tahoma"/>
          <w:sz w:val="20"/>
          <w:szCs w:val="20"/>
        </w:rPr>
        <w:t>effet.</w:t>
      </w:r>
    </w:p>
    <w:p w14:paraId="09B0C58A" w14:textId="77777777" w:rsidR="00BB060F" w:rsidRPr="00B004EE" w:rsidRDefault="00BB060F" w:rsidP="00B004EE">
      <w:pPr>
        <w:pStyle w:val="Lgende"/>
        <w:jc w:val="center"/>
        <w:rPr>
          <w:rFonts w:ascii="Tahoma" w:eastAsia="American Typewriter" w:hAnsi="Tahoma" w:cs="Tahoma"/>
        </w:rPr>
      </w:pPr>
      <w:bookmarkStart w:id="107" w:name="_Toc16279086"/>
      <w:bookmarkStart w:id="108" w:name="_Toc16279455"/>
    </w:p>
    <w:p w14:paraId="2B0FF2C6" w14:textId="78204981" w:rsidR="001E7C3C" w:rsidRPr="00B004EE" w:rsidRDefault="001E7C3C" w:rsidP="00B004EE">
      <w:pPr>
        <w:pStyle w:val="Lgende"/>
        <w:jc w:val="center"/>
        <w:rPr>
          <w:rFonts w:ascii="Tahoma" w:hAnsi="Tahoma" w:cs="Tahoma"/>
        </w:rPr>
      </w:pPr>
      <w:r w:rsidRPr="00B004EE">
        <w:rPr>
          <w:rFonts w:ascii="Tahoma" w:hAnsi="Tahoma" w:cs="Tahoma"/>
          <w:w w:val="95"/>
        </w:rPr>
        <w:t>Section</w:t>
      </w:r>
      <w:r w:rsidR="00DB1635" w:rsidRPr="00B004EE">
        <w:rPr>
          <w:rFonts w:ascii="Tahoma" w:hAnsi="Tahoma" w:cs="Tahoma"/>
          <w:spacing w:val="-9"/>
          <w:w w:val="95"/>
        </w:rPr>
        <w:t xml:space="preserve"> </w:t>
      </w:r>
      <w:r w:rsidRPr="00B004EE">
        <w:rPr>
          <w:rFonts w:ascii="Tahoma" w:hAnsi="Tahoma" w:cs="Tahoma"/>
          <w:w w:val="95"/>
        </w:rPr>
        <w:t>3</w:t>
      </w:r>
      <w:r w:rsidR="00DB1635" w:rsidRPr="00B004EE">
        <w:rPr>
          <w:rFonts w:ascii="Tahoma" w:hAnsi="Tahoma" w:cs="Tahoma"/>
          <w:spacing w:val="-10"/>
          <w:w w:val="95"/>
        </w:rPr>
        <w:t xml:space="preserve"> </w:t>
      </w:r>
      <w:r w:rsidRPr="00B004EE">
        <w:rPr>
          <w:rFonts w:ascii="Tahoma" w:hAnsi="Tahoma" w:cs="Tahoma"/>
          <w:w w:val="95"/>
        </w:rPr>
        <w:t>:</w:t>
      </w:r>
      <w:r w:rsidR="00DB1635" w:rsidRPr="00B004EE">
        <w:rPr>
          <w:rFonts w:ascii="Tahoma" w:hAnsi="Tahoma" w:cs="Tahoma"/>
          <w:spacing w:val="-10"/>
          <w:w w:val="95"/>
        </w:rPr>
        <w:t xml:space="preserve"> </w:t>
      </w:r>
      <w:r w:rsidRPr="00B004EE">
        <w:rPr>
          <w:rFonts w:ascii="Tahoma" w:hAnsi="Tahoma" w:cs="Tahoma"/>
          <w:w w:val="95"/>
        </w:rPr>
        <w:t>De</w:t>
      </w:r>
      <w:r w:rsidR="00DB1635" w:rsidRPr="00B004EE">
        <w:rPr>
          <w:rFonts w:ascii="Tahoma" w:hAnsi="Tahoma" w:cs="Tahoma"/>
          <w:spacing w:val="-11"/>
          <w:w w:val="95"/>
        </w:rPr>
        <w:t xml:space="preserve"> </w:t>
      </w:r>
      <w:r w:rsidRPr="00B004EE">
        <w:rPr>
          <w:rFonts w:ascii="Tahoma" w:hAnsi="Tahoma" w:cs="Tahoma"/>
          <w:w w:val="95"/>
        </w:rPr>
        <w:t>la</w:t>
      </w:r>
      <w:r w:rsidR="00DB1635" w:rsidRPr="00B004EE">
        <w:rPr>
          <w:rFonts w:ascii="Tahoma" w:hAnsi="Tahoma" w:cs="Tahoma"/>
          <w:spacing w:val="-10"/>
          <w:w w:val="95"/>
        </w:rPr>
        <w:t xml:space="preserve"> </w:t>
      </w:r>
      <w:r w:rsidRPr="00B004EE">
        <w:rPr>
          <w:rFonts w:ascii="Tahoma" w:hAnsi="Tahoma" w:cs="Tahoma"/>
          <w:w w:val="95"/>
        </w:rPr>
        <w:t>compétence</w:t>
      </w:r>
      <w:r w:rsidR="00DB1635" w:rsidRPr="00B004EE">
        <w:rPr>
          <w:rFonts w:ascii="Tahoma" w:hAnsi="Tahoma" w:cs="Tahoma"/>
          <w:spacing w:val="-11"/>
          <w:w w:val="95"/>
        </w:rPr>
        <w:t xml:space="preserve"> </w:t>
      </w:r>
      <w:r w:rsidRPr="00B004EE">
        <w:rPr>
          <w:rFonts w:ascii="Tahoma" w:hAnsi="Tahoma" w:cs="Tahoma"/>
          <w:w w:val="95"/>
        </w:rPr>
        <w:t>pour</w:t>
      </w:r>
      <w:r w:rsidR="00DB1635" w:rsidRPr="00B004EE">
        <w:rPr>
          <w:rFonts w:ascii="Tahoma" w:hAnsi="Tahoma" w:cs="Tahoma"/>
          <w:spacing w:val="-11"/>
          <w:w w:val="95"/>
        </w:rPr>
        <w:t xml:space="preserve"> </w:t>
      </w:r>
      <w:r w:rsidRPr="00B004EE">
        <w:rPr>
          <w:rFonts w:ascii="Tahoma" w:hAnsi="Tahoma" w:cs="Tahoma"/>
          <w:w w:val="95"/>
        </w:rPr>
        <w:t>la</w:t>
      </w:r>
      <w:r w:rsidR="00DB1635" w:rsidRPr="00B004EE">
        <w:rPr>
          <w:rFonts w:ascii="Tahoma" w:hAnsi="Tahoma" w:cs="Tahoma"/>
          <w:spacing w:val="-10"/>
          <w:w w:val="95"/>
        </w:rPr>
        <w:t xml:space="preserve"> </w:t>
      </w:r>
      <w:r w:rsidRPr="00B004EE">
        <w:rPr>
          <w:rFonts w:ascii="Tahoma" w:hAnsi="Tahoma" w:cs="Tahoma"/>
          <w:w w:val="95"/>
        </w:rPr>
        <w:t>constatation</w:t>
      </w:r>
      <w:r w:rsidR="00DB1635" w:rsidRPr="00B004EE">
        <w:rPr>
          <w:rFonts w:ascii="Tahoma" w:hAnsi="Tahoma" w:cs="Tahoma"/>
          <w:spacing w:val="-11"/>
          <w:w w:val="95"/>
        </w:rPr>
        <w:t xml:space="preserve"> </w:t>
      </w:r>
      <w:r w:rsidRPr="00B004EE">
        <w:rPr>
          <w:rFonts w:ascii="Tahoma" w:hAnsi="Tahoma" w:cs="Tahoma"/>
          <w:w w:val="95"/>
        </w:rPr>
        <w:t>des</w:t>
      </w:r>
      <w:r w:rsidR="00DB1635" w:rsidRPr="00B004EE">
        <w:rPr>
          <w:rFonts w:ascii="Tahoma" w:hAnsi="Tahoma" w:cs="Tahoma"/>
          <w:spacing w:val="-11"/>
          <w:w w:val="95"/>
        </w:rPr>
        <w:t xml:space="preserve"> </w:t>
      </w:r>
      <w:r w:rsidRPr="00B004EE">
        <w:rPr>
          <w:rFonts w:ascii="Tahoma" w:hAnsi="Tahoma" w:cs="Tahoma"/>
          <w:w w:val="95"/>
        </w:rPr>
        <w:t>infractions</w:t>
      </w:r>
      <w:bookmarkEnd w:id="107"/>
      <w:bookmarkEnd w:id="108"/>
    </w:p>
    <w:p w14:paraId="1DE16D60" w14:textId="77777777" w:rsidR="001E7C3C" w:rsidRPr="00B004EE" w:rsidRDefault="001E7C3C" w:rsidP="00B004EE">
      <w:pPr>
        <w:pStyle w:val="Lgende"/>
        <w:jc w:val="center"/>
        <w:rPr>
          <w:rFonts w:ascii="Tahoma" w:eastAsia="American Typewriter" w:hAnsi="Tahoma" w:cs="Tahoma"/>
        </w:rPr>
      </w:pPr>
    </w:p>
    <w:p w14:paraId="6C2DAE60" w14:textId="02758563" w:rsidR="001E7C3C" w:rsidRPr="00B004EE" w:rsidRDefault="001E7C3C" w:rsidP="00B004EE">
      <w:pPr>
        <w:pStyle w:val="Corpsdetexte"/>
        <w:ind w:right="165"/>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66</w:t>
      </w:r>
      <w:r w:rsidR="00DB1635" w:rsidRPr="00B004EE">
        <w:rPr>
          <w:rFonts w:ascii="Tahoma" w:hAnsi="Tahoma" w:cs="Tahoma"/>
          <w:bCs/>
          <w:sz w:val="20"/>
          <w:szCs w:val="20"/>
        </w:rPr>
        <w:t xml:space="preserve"> </w:t>
      </w:r>
      <w:r w:rsidRPr="00B004EE">
        <w:rPr>
          <w:rFonts w:ascii="Tahoma" w:hAnsi="Tahoma" w:cs="Tahoma"/>
          <w:bCs/>
          <w:sz w:val="20"/>
          <w:szCs w:val="20"/>
        </w:rPr>
        <w:t>:</w:t>
      </w:r>
      <w:r w:rsidR="00DB1635" w:rsidRPr="00B004EE">
        <w:rPr>
          <w:rFonts w:ascii="Tahoma" w:hAnsi="Tahoma" w:cs="Tahoma"/>
          <w:b/>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infractions</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dispositions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présente</w:t>
      </w:r>
      <w:r w:rsidR="00DB1635" w:rsidRPr="00B004EE">
        <w:rPr>
          <w:rFonts w:ascii="Tahoma" w:hAnsi="Tahoma" w:cs="Tahoma"/>
          <w:sz w:val="20"/>
          <w:szCs w:val="20"/>
        </w:rPr>
        <w:t xml:space="preserve"> </w:t>
      </w:r>
      <w:r w:rsidRPr="00B004EE">
        <w:rPr>
          <w:rFonts w:ascii="Tahoma" w:hAnsi="Tahoma" w:cs="Tahoma"/>
          <w:sz w:val="20"/>
          <w:szCs w:val="20"/>
        </w:rPr>
        <w:t>Loi</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textes</w:t>
      </w:r>
      <w:r w:rsidR="00DB1635" w:rsidRPr="00B004EE">
        <w:rPr>
          <w:rFonts w:ascii="Tahoma" w:hAnsi="Tahoma" w:cs="Tahoma"/>
          <w:spacing w:val="46"/>
          <w:sz w:val="20"/>
          <w:szCs w:val="20"/>
        </w:rPr>
        <w:t xml:space="preserve"> </w:t>
      </w:r>
      <w:r w:rsidRPr="00B004EE">
        <w:rPr>
          <w:rFonts w:ascii="Tahoma" w:hAnsi="Tahoma" w:cs="Tahoma"/>
          <w:sz w:val="20"/>
          <w:szCs w:val="20"/>
        </w:rPr>
        <w:t>pris</w:t>
      </w:r>
      <w:r w:rsidR="00DB1635" w:rsidRPr="00B004EE">
        <w:rPr>
          <w:rFonts w:ascii="Tahoma" w:hAnsi="Tahoma" w:cs="Tahoma"/>
          <w:w w:val="94"/>
          <w:sz w:val="20"/>
          <w:szCs w:val="20"/>
        </w:rPr>
        <w:t xml:space="preserve"> </w:t>
      </w:r>
      <w:r w:rsidRPr="00B004EE">
        <w:rPr>
          <w:rFonts w:ascii="Tahoma" w:hAnsi="Tahoma" w:cs="Tahoma"/>
          <w:sz w:val="20"/>
          <w:szCs w:val="20"/>
        </w:rPr>
        <w:t>pour</w:t>
      </w:r>
      <w:r w:rsidR="00DB1635" w:rsidRPr="00B004EE">
        <w:rPr>
          <w:rFonts w:ascii="Tahoma" w:hAnsi="Tahoma" w:cs="Tahoma"/>
          <w:spacing w:val="-38"/>
          <w:sz w:val="20"/>
          <w:szCs w:val="20"/>
        </w:rPr>
        <w:t xml:space="preserve"> </w:t>
      </w:r>
      <w:r w:rsidRPr="00B004EE">
        <w:rPr>
          <w:rFonts w:ascii="Tahoma" w:hAnsi="Tahoma" w:cs="Tahoma"/>
          <w:sz w:val="20"/>
          <w:szCs w:val="20"/>
        </w:rPr>
        <w:t>son</w:t>
      </w:r>
      <w:r w:rsidR="00DB1635" w:rsidRPr="00B004EE">
        <w:rPr>
          <w:rFonts w:ascii="Tahoma" w:hAnsi="Tahoma" w:cs="Tahoma"/>
          <w:spacing w:val="-37"/>
          <w:sz w:val="20"/>
          <w:szCs w:val="20"/>
        </w:rPr>
        <w:t xml:space="preserve"> </w:t>
      </w:r>
      <w:r w:rsidRPr="00B004EE">
        <w:rPr>
          <w:rFonts w:ascii="Tahoma" w:hAnsi="Tahoma" w:cs="Tahoma"/>
          <w:sz w:val="20"/>
          <w:szCs w:val="20"/>
        </w:rPr>
        <w:t>application</w:t>
      </w:r>
      <w:r w:rsidR="00DB1635" w:rsidRPr="00B004EE">
        <w:rPr>
          <w:rFonts w:ascii="Tahoma" w:hAnsi="Tahoma" w:cs="Tahoma"/>
          <w:spacing w:val="-37"/>
          <w:sz w:val="20"/>
          <w:szCs w:val="20"/>
        </w:rPr>
        <w:t xml:space="preserve"> </w:t>
      </w:r>
      <w:r w:rsidRPr="00B004EE">
        <w:rPr>
          <w:rFonts w:ascii="Tahoma" w:hAnsi="Tahoma" w:cs="Tahoma"/>
          <w:sz w:val="20"/>
          <w:szCs w:val="20"/>
        </w:rPr>
        <w:t>sont</w:t>
      </w:r>
      <w:r w:rsidR="00DB1635" w:rsidRPr="00B004EE">
        <w:rPr>
          <w:rFonts w:ascii="Tahoma" w:hAnsi="Tahoma" w:cs="Tahoma"/>
          <w:spacing w:val="-37"/>
          <w:sz w:val="20"/>
          <w:szCs w:val="20"/>
        </w:rPr>
        <w:t xml:space="preserve"> </w:t>
      </w:r>
      <w:r w:rsidRPr="00B004EE">
        <w:rPr>
          <w:rFonts w:ascii="Tahoma" w:hAnsi="Tahoma" w:cs="Tahoma"/>
          <w:sz w:val="20"/>
          <w:szCs w:val="20"/>
        </w:rPr>
        <w:t>recherchées</w:t>
      </w:r>
      <w:r w:rsidR="00DB1635" w:rsidRPr="00B004EE">
        <w:rPr>
          <w:rFonts w:ascii="Tahoma" w:hAnsi="Tahoma" w:cs="Tahoma"/>
          <w:spacing w:val="-38"/>
          <w:sz w:val="20"/>
          <w:szCs w:val="20"/>
        </w:rPr>
        <w:t xml:space="preserve"> </w:t>
      </w:r>
      <w:r w:rsidRPr="00B004EE">
        <w:rPr>
          <w:rFonts w:ascii="Tahoma" w:hAnsi="Tahoma" w:cs="Tahoma"/>
          <w:sz w:val="20"/>
          <w:szCs w:val="20"/>
        </w:rPr>
        <w:t>et</w:t>
      </w:r>
      <w:r w:rsidR="00DB1635" w:rsidRPr="00B004EE">
        <w:rPr>
          <w:rFonts w:ascii="Tahoma" w:hAnsi="Tahoma" w:cs="Tahoma"/>
          <w:spacing w:val="-37"/>
          <w:sz w:val="20"/>
          <w:szCs w:val="20"/>
        </w:rPr>
        <w:t xml:space="preserve"> </w:t>
      </w:r>
      <w:r w:rsidRPr="00B004EE">
        <w:rPr>
          <w:rFonts w:ascii="Tahoma" w:hAnsi="Tahoma" w:cs="Tahoma"/>
          <w:sz w:val="20"/>
          <w:szCs w:val="20"/>
        </w:rPr>
        <w:t>constatées</w:t>
      </w:r>
      <w:r w:rsidR="00DB1635" w:rsidRPr="00B004EE">
        <w:rPr>
          <w:rFonts w:ascii="Tahoma" w:hAnsi="Tahoma" w:cs="Tahoma"/>
          <w:spacing w:val="-37"/>
          <w:sz w:val="20"/>
          <w:szCs w:val="20"/>
        </w:rPr>
        <w:t xml:space="preserve"> </w:t>
      </w:r>
      <w:r w:rsidRPr="00B004EE">
        <w:rPr>
          <w:rFonts w:ascii="Tahoma" w:hAnsi="Tahoma" w:cs="Tahoma"/>
          <w:sz w:val="20"/>
          <w:szCs w:val="20"/>
        </w:rPr>
        <w:t>par</w:t>
      </w:r>
      <w:r w:rsidR="00DB1635" w:rsidRPr="00B004EE">
        <w:rPr>
          <w:rFonts w:ascii="Tahoma" w:hAnsi="Tahoma" w:cs="Tahoma"/>
          <w:spacing w:val="-38"/>
          <w:sz w:val="20"/>
          <w:szCs w:val="20"/>
        </w:rPr>
        <w:t xml:space="preserve"> </w:t>
      </w:r>
      <w:r w:rsidRPr="00B004EE">
        <w:rPr>
          <w:rFonts w:ascii="Tahoma" w:hAnsi="Tahoma" w:cs="Tahoma"/>
          <w:sz w:val="20"/>
          <w:szCs w:val="20"/>
        </w:rPr>
        <w:t>:</w:t>
      </w:r>
    </w:p>
    <w:p w14:paraId="2F87830D" w14:textId="6A0236C9" w:rsidR="001E7C3C" w:rsidRPr="00B004EE" w:rsidRDefault="001E7C3C" w:rsidP="00420DDA">
      <w:pPr>
        <w:pStyle w:val="Paragraphedeliste"/>
        <w:widowControl w:val="0"/>
        <w:numPr>
          <w:ilvl w:val="0"/>
          <w:numId w:val="36"/>
        </w:numPr>
        <w:tabs>
          <w:tab w:val="left" w:pos="870"/>
        </w:tabs>
        <w:ind w:left="426" w:right="167" w:hanging="360"/>
        <w:rPr>
          <w:rFonts w:ascii="Tahoma" w:eastAsia="American Typewriter" w:hAnsi="Tahoma" w:cs="Tahoma"/>
          <w:sz w:val="20"/>
          <w:szCs w:val="20"/>
        </w:rPr>
      </w:pPr>
      <w:proofErr w:type="gramStart"/>
      <w:r w:rsidRPr="00B004EE">
        <w:rPr>
          <w:rFonts w:ascii="Tahoma" w:hAnsi="Tahoma" w:cs="Tahoma"/>
          <w:sz w:val="20"/>
          <w:szCs w:val="20"/>
        </w:rPr>
        <w:t>les</w:t>
      </w:r>
      <w:proofErr w:type="gramEnd"/>
      <w:r w:rsidR="00DB1635" w:rsidRPr="00B004EE">
        <w:rPr>
          <w:rFonts w:ascii="Tahoma" w:hAnsi="Tahoma" w:cs="Tahoma"/>
          <w:sz w:val="20"/>
          <w:szCs w:val="20"/>
        </w:rPr>
        <w:t xml:space="preserve"> </w:t>
      </w:r>
      <w:r w:rsidRPr="00B004EE">
        <w:rPr>
          <w:rFonts w:ascii="Tahoma" w:hAnsi="Tahoma" w:cs="Tahoma"/>
          <w:sz w:val="20"/>
          <w:szCs w:val="20"/>
        </w:rPr>
        <w:t>agents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l'administration</w:t>
      </w:r>
      <w:r w:rsidR="00DB1635" w:rsidRPr="00B004EE">
        <w:rPr>
          <w:rFonts w:ascii="Tahoma" w:hAnsi="Tahoma" w:cs="Tahoma"/>
          <w:sz w:val="20"/>
          <w:szCs w:val="20"/>
        </w:rPr>
        <w:t xml:space="preserve"> </w:t>
      </w:r>
      <w:r w:rsidRPr="00B004EE">
        <w:rPr>
          <w:rFonts w:ascii="Tahoma" w:hAnsi="Tahoma" w:cs="Tahoma"/>
          <w:sz w:val="20"/>
          <w:szCs w:val="20"/>
        </w:rPr>
        <w:t>chargée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sz w:val="20"/>
          <w:szCs w:val="20"/>
        </w:rPr>
        <w:t xml:space="preserve"> </w:t>
      </w:r>
      <w:r w:rsidRPr="00B004EE">
        <w:rPr>
          <w:rFonts w:ascii="Tahoma" w:hAnsi="Tahoma" w:cs="Tahoma"/>
          <w:sz w:val="20"/>
          <w:szCs w:val="20"/>
        </w:rPr>
        <w:t>spécialement</w:t>
      </w:r>
      <w:r w:rsidR="00DB1635" w:rsidRPr="00B004EE">
        <w:rPr>
          <w:rFonts w:ascii="Tahoma" w:hAnsi="Tahoma" w:cs="Tahoma"/>
          <w:sz w:val="20"/>
          <w:szCs w:val="20"/>
        </w:rPr>
        <w:t xml:space="preserve"> </w:t>
      </w:r>
      <w:r w:rsidRPr="00B004EE">
        <w:rPr>
          <w:rFonts w:ascii="Tahoma" w:hAnsi="Tahoma" w:cs="Tahoma"/>
          <w:sz w:val="20"/>
          <w:szCs w:val="20"/>
        </w:rPr>
        <w:t>habilités</w:t>
      </w:r>
      <w:r w:rsidR="00DB1635" w:rsidRPr="00B004EE">
        <w:rPr>
          <w:rFonts w:ascii="Tahoma" w:hAnsi="Tahoma" w:cs="Tahoma"/>
          <w:spacing w:val="44"/>
          <w:sz w:val="20"/>
          <w:szCs w:val="20"/>
        </w:rPr>
        <w:t xml:space="preserve"> </w:t>
      </w:r>
      <w:r w:rsidRPr="00B004EE">
        <w:rPr>
          <w:rFonts w:ascii="Tahoma" w:hAnsi="Tahoma" w:cs="Tahoma"/>
          <w:sz w:val="20"/>
          <w:szCs w:val="20"/>
        </w:rPr>
        <w:t>à</w:t>
      </w:r>
      <w:r w:rsidR="00DB1635" w:rsidRPr="00B004EE">
        <w:rPr>
          <w:rFonts w:ascii="Tahoma" w:hAnsi="Tahoma" w:cs="Tahoma"/>
          <w:w w:val="98"/>
          <w:sz w:val="20"/>
          <w:szCs w:val="20"/>
        </w:rPr>
        <w:t xml:space="preserve"> </w:t>
      </w:r>
      <w:r w:rsidRPr="00B004EE">
        <w:rPr>
          <w:rFonts w:ascii="Tahoma" w:hAnsi="Tahoma" w:cs="Tahoma"/>
          <w:sz w:val="20"/>
          <w:szCs w:val="20"/>
        </w:rPr>
        <w:t>cet</w:t>
      </w:r>
      <w:r w:rsidR="00DB1635" w:rsidRPr="00B004EE">
        <w:rPr>
          <w:rFonts w:ascii="Tahoma" w:hAnsi="Tahoma" w:cs="Tahoma"/>
          <w:sz w:val="20"/>
          <w:szCs w:val="20"/>
        </w:rPr>
        <w:t xml:space="preserve"> </w:t>
      </w:r>
      <w:r w:rsidRPr="00B004EE">
        <w:rPr>
          <w:rFonts w:ascii="Tahoma" w:hAnsi="Tahoma" w:cs="Tahoma"/>
          <w:sz w:val="20"/>
          <w:szCs w:val="20"/>
        </w:rPr>
        <w:t>effet</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écrit</w:t>
      </w:r>
      <w:r w:rsidR="00DB1635" w:rsidRPr="00B004EE">
        <w:rPr>
          <w:rFonts w:ascii="Tahoma" w:hAnsi="Tahoma" w:cs="Tahoma"/>
          <w:spacing w:val="18"/>
          <w:sz w:val="20"/>
          <w:szCs w:val="20"/>
        </w:rPr>
        <w:t xml:space="preserve"> </w:t>
      </w:r>
      <w:r w:rsidRPr="00B004EE">
        <w:rPr>
          <w:rFonts w:ascii="Tahoma" w:hAnsi="Tahoma" w:cs="Tahoma"/>
          <w:sz w:val="20"/>
          <w:szCs w:val="20"/>
        </w:rPr>
        <w:t>;</w:t>
      </w:r>
    </w:p>
    <w:p w14:paraId="7CBB4C08" w14:textId="27BE2FED" w:rsidR="001E7C3C" w:rsidRPr="00B004EE" w:rsidRDefault="001E7C3C" w:rsidP="00420DDA">
      <w:pPr>
        <w:pStyle w:val="Paragraphedeliste"/>
        <w:widowControl w:val="0"/>
        <w:numPr>
          <w:ilvl w:val="0"/>
          <w:numId w:val="36"/>
        </w:numPr>
        <w:tabs>
          <w:tab w:val="left" w:pos="870"/>
        </w:tabs>
        <w:ind w:left="426" w:right="168" w:hanging="360"/>
        <w:rPr>
          <w:rFonts w:ascii="Tahoma" w:eastAsia="American Typewriter" w:hAnsi="Tahoma" w:cs="Tahoma"/>
          <w:sz w:val="20"/>
          <w:szCs w:val="20"/>
        </w:rPr>
      </w:pPr>
      <w:proofErr w:type="gramStart"/>
      <w:r w:rsidRPr="00B004EE">
        <w:rPr>
          <w:rFonts w:ascii="Tahoma" w:hAnsi="Tahoma" w:cs="Tahoma"/>
          <w:sz w:val="20"/>
          <w:szCs w:val="20"/>
        </w:rPr>
        <w:t>les</w:t>
      </w:r>
      <w:proofErr w:type="gramEnd"/>
      <w:r w:rsidR="00DB1635" w:rsidRPr="00B004EE">
        <w:rPr>
          <w:rFonts w:ascii="Tahoma" w:hAnsi="Tahoma" w:cs="Tahoma"/>
          <w:sz w:val="20"/>
          <w:szCs w:val="20"/>
        </w:rPr>
        <w:t xml:space="preserve"> </w:t>
      </w:r>
      <w:r w:rsidRPr="00B004EE">
        <w:rPr>
          <w:rFonts w:ascii="Tahoma" w:hAnsi="Tahoma" w:cs="Tahoma"/>
          <w:sz w:val="20"/>
          <w:szCs w:val="20"/>
        </w:rPr>
        <w:t>agents</w:t>
      </w:r>
      <w:r w:rsidR="00DB1635" w:rsidRPr="00B004EE">
        <w:rPr>
          <w:rFonts w:ascii="Tahoma" w:hAnsi="Tahoma" w:cs="Tahoma"/>
          <w:sz w:val="20"/>
          <w:szCs w:val="20"/>
        </w:rPr>
        <w:t xml:space="preserve"> </w:t>
      </w:r>
      <w:r w:rsidRPr="00B004EE">
        <w:rPr>
          <w:rFonts w:ascii="Tahoma" w:hAnsi="Tahoma" w:cs="Tahoma"/>
          <w:sz w:val="20"/>
          <w:szCs w:val="20"/>
        </w:rPr>
        <w:t>habilités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l'autorité</w:t>
      </w:r>
      <w:r w:rsidR="00DB1635" w:rsidRPr="00B004EE">
        <w:rPr>
          <w:rFonts w:ascii="Tahoma" w:hAnsi="Tahoma" w:cs="Tahoma"/>
          <w:sz w:val="20"/>
          <w:szCs w:val="20"/>
        </w:rPr>
        <w:t xml:space="preserve"> </w:t>
      </w:r>
      <w:r w:rsidRPr="00B004EE">
        <w:rPr>
          <w:rFonts w:ascii="Tahoma" w:hAnsi="Tahoma" w:cs="Tahoma"/>
          <w:sz w:val="20"/>
          <w:szCs w:val="20"/>
        </w:rPr>
        <w:t>compétente</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matière</w:t>
      </w:r>
      <w:r w:rsidR="00DB1635" w:rsidRPr="00B004EE">
        <w:rPr>
          <w:rFonts w:ascii="Tahoma" w:hAnsi="Tahoma" w:cs="Tahoma"/>
          <w:sz w:val="20"/>
          <w:szCs w:val="20"/>
        </w:rPr>
        <w:t xml:space="preserve"> </w:t>
      </w:r>
      <w:r w:rsidRPr="00B004EE">
        <w:rPr>
          <w:rFonts w:ascii="Tahoma" w:hAnsi="Tahoma" w:cs="Tahoma"/>
          <w:sz w:val="20"/>
          <w:szCs w:val="20"/>
        </w:rPr>
        <w:t>d'hygiène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pacing w:val="1"/>
          <w:sz w:val="20"/>
          <w:szCs w:val="20"/>
        </w:rPr>
        <w:t xml:space="preserve"> </w:t>
      </w:r>
      <w:r w:rsidRPr="00B004EE">
        <w:rPr>
          <w:rFonts w:ascii="Tahoma" w:hAnsi="Tahoma" w:cs="Tahoma"/>
          <w:sz w:val="20"/>
          <w:szCs w:val="20"/>
        </w:rPr>
        <w:t>de</w:t>
      </w:r>
      <w:r w:rsidR="00DB1635" w:rsidRPr="00B004EE">
        <w:rPr>
          <w:rFonts w:ascii="Tahoma" w:hAnsi="Tahoma" w:cs="Tahoma"/>
          <w:w w:val="94"/>
          <w:sz w:val="20"/>
          <w:szCs w:val="20"/>
        </w:rPr>
        <w:t xml:space="preserve"> </w:t>
      </w:r>
      <w:r w:rsidRPr="00B004EE">
        <w:rPr>
          <w:rFonts w:ascii="Tahoma" w:hAnsi="Tahoma" w:cs="Tahoma"/>
          <w:sz w:val="20"/>
          <w:szCs w:val="20"/>
        </w:rPr>
        <w:t>salubrité</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l'aquaculture</w:t>
      </w:r>
      <w:r w:rsidR="00DB1635" w:rsidRPr="00B004EE">
        <w:rPr>
          <w:rFonts w:ascii="Tahoma" w:hAnsi="Tahoma" w:cs="Tahoma"/>
          <w:spacing w:val="16"/>
          <w:sz w:val="20"/>
          <w:szCs w:val="20"/>
        </w:rPr>
        <w:t xml:space="preserve"> </w:t>
      </w:r>
      <w:r w:rsidRPr="00B004EE">
        <w:rPr>
          <w:rFonts w:ascii="Tahoma" w:hAnsi="Tahoma" w:cs="Tahoma"/>
          <w:sz w:val="20"/>
          <w:szCs w:val="20"/>
        </w:rPr>
        <w:t>;</w:t>
      </w:r>
    </w:p>
    <w:p w14:paraId="3860C598" w14:textId="2F863DC9" w:rsidR="001E7C3C" w:rsidRPr="00B004EE" w:rsidRDefault="001E7C3C" w:rsidP="00420DDA">
      <w:pPr>
        <w:pStyle w:val="Paragraphedeliste"/>
        <w:widowControl w:val="0"/>
        <w:numPr>
          <w:ilvl w:val="0"/>
          <w:numId w:val="36"/>
        </w:numPr>
        <w:tabs>
          <w:tab w:val="left" w:pos="870"/>
        </w:tabs>
        <w:ind w:left="426" w:right="168"/>
        <w:rPr>
          <w:rFonts w:ascii="Tahoma" w:eastAsia="American Typewriter" w:hAnsi="Tahoma" w:cs="Tahoma"/>
          <w:sz w:val="20"/>
          <w:szCs w:val="20"/>
        </w:rPr>
      </w:pPr>
      <w:proofErr w:type="gramStart"/>
      <w:r w:rsidRPr="00B004EE">
        <w:rPr>
          <w:rFonts w:ascii="Tahoma" w:hAnsi="Tahoma" w:cs="Tahoma"/>
          <w:sz w:val="20"/>
          <w:szCs w:val="20"/>
        </w:rPr>
        <w:t>les</w:t>
      </w:r>
      <w:proofErr w:type="gramEnd"/>
      <w:r w:rsidR="00DB1635" w:rsidRPr="00B004EE">
        <w:rPr>
          <w:rFonts w:ascii="Tahoma" w:hAnsi="Tahoma" w:cs="Tahoma"/>
          <w:sz w:val="20"/>
          <w:szCs w:val="20"/>
        </w:rPr>
        <w:t xml:space="preserve"> </w:t>
      </w:r>
      <w:r w:rsidRPr="00B004EE">
        <w:rPr>
          <w:rFonts w:ascii="Tahoma" w:hAnsi="Tahoma" w:cs="Tahoma"/>
          <w:sz w:val="20"/>
          <w:szCs w:val="20"/>
        </w:rPr>
        <w:t>officiers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agents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Garde</w:t>
      </w:r>
      <w:r w:rsidR="00DB1635" w:rsidRPr="00B004EE">
        <w:rPr>
          <w:rFonts w:ascii="Tahoma" w:hAnsi="Tahoma" w:cs="Tahoma"/>
          <w:sz w:val="20"/>
          <w:szCs w:val="20"/>
        </w:rPr>
        <w:t xml:space="preserve"> </w:t>
      </w:r>
      <w:r w:rsidRPr="00B004EE">
        <w:rPr>
          <w:rFonts w:ascii="Tahoma" w:hAnsi="Tahoma" w:cs="Tahoma"/>
          <w:sz w:val="20"/>
          <w:szCs w:val="20"/>
        </w:rPr>
        <w:t>-Côtes</w:t>
      </w:r>
      <w:r w:rsidR="00DB1635" w:rsidRPr="00B004EE">
        <w:rPr>
          <w:rFonts w:ascii="Tahoma" w:hAnsi="Tahoma" w:cs="Tahoma"/>
          <w:spacing w:val="12"/>
          <w:sz w:val="20"/>
          <w:szCs w:val="20"/>
        </w:rPr>
        <w:t xml:space="preserve"> </w:t>
      </w:r>
      <w:r w:rsidRPr="00B004EE">
        <w:rPr>
          <w:rFonts w:ascii="Tahoma" w:hAnsi="Tahoma" w:cs="Tahoma"/>
          <w:sz w:val="20"/>
          <w:szCs w:val="20"/>
        </w:rPr>
        <w:t>mauritaniennes;</w:t>
      </w:r>
    </w:p>
    <w:p w14:paraId="73892744" w14:textId="23F3CBCE" w:rsidR="001E7C3C" w:rsidRPr="00B004EE" w:rsidRDefault="001E7C3C" w:rsidP="00420DDA">
      <w:pPr>
        <w:pStyle w:val="Paragraphedeliste"/>
        <w:widowControl w:val="0"/>
        <w:numPr>
          <w:ilvl w:val="0"/>
          <w:numId w:val="36"/>
        </w:numPr>
        <w:tabs>
          <w:tab w:val="left" w:pos="870"/>
        </w:tabs>
        <w:ind w:left="426" w:right="168"/>
        <w:rPr>
          <w:rFonts w:ascii="Tahoma" w:eastAsia="American Typewriter" w:hAnsi="Tahoma" w:cs="Tahoma"/>
          <w:sz w:val="20"/>
          <w:szCs w:val="20"/>
        </w:rPr>
      </w:pPr>
      <w:proofErr w:type="gramStart"/>
      <w:r w:rsidRPr="00B004EE">
        <w:rPr>
          <w:rFonts w:ascii="Tahoma" w:hAnsi="Tahoma" w:cs="Tahoma"/>
          <w:sz w:val="20"/>
          <w:szCs w:val="20"/>
        </w:rPr>
        <w:t>les</w:t>
      </w:r>
      <w:proofErr w:type="gramEnd"/>
      <w:r w:rsidR="00DB1635" w:rsidRPr="00B004EE">
        <w:rPr>
          <w:rFonts w:ascii="Tahoma" w:hAnsi="Tahoma" w:cs="Tahoma"/>
          <w:sz w:val="20"/>
          <w:szCs w:val="20"/>
        </w:rPr>
        <w:t xml:space="preserve"> </w:t>
      </w:r>
      <w:r w:rsidRPr="00B004EE">
        <w:rPr>
          <w:rFonts w:ascii="Tahoma" w:hAnsi="Tahoma" w:cs="Tahoma"/>
          <w:sz w:val="20"/>
          <w:szCs w:val="20"/>
        </w:rPr>
        <w:t>officiers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police</w:t>
      </w:r>
      <w:r w:rsidR="00DB1635" w:rsidRPr="00B004EE">
        <w:rPr>
          <w:rFonts w:ascii="Tahoma" w:hAnsi="Tahoma" w:cs="Tahoma"/>
          <w:sz w:val="20"/>
          <w:szCs w:val="20"/>
        </w:rPr>
        <w:t xml:space="preserve"> </w:t>
      </w:r>
      <w:r w:rsidRPr="00B004EE">
        <w:rPr>
          <w:rFonts w:ascii="Tahoma" w:hAnsi="Tahoma" w:cs="Tahoma"/>
          <w:sz w:val="20"/>
          <w:szCs w:val="20"/>
        </w:rPr>
        <w:t>judiciaire</w:t>
      </w:r>
      <w:r w:rsidR="00DB1635" w:rsidRPr="00B004EE">
        <w:rPr>
          <w:rFonts w:ascii="Tahoma" w:hAnsi="Tahoma" w:cs="Tahoma"/>
          <w:spacing w:val="20"/>
          <w:sz w:val="20"/>
          <w:szCs w:val="20"/>
        </w:rPr>
        <w:t xml:space="preserve"> </w:t>
      </w:r>
      <w:r w:rsidRPr="00B004EE">
        <w:rPr>
          <w:rFonts w:ascii="Tahoma" w:hAnsi="Tahoma" w:cs="Tahoma"/>
          <w:sz w:val="20"/>
          <w:szCs w:val="20"/>
        </w:rPr>
        <w:t>;</w:t>
      </w:r>
    </w:p>
    <w:p w14:paraId="6FB44DBE" w14:textId="1C7AE20B" w:rsidR="001E7C3C" w:rsidRPr="00B004EE" w:rsidRDefault="001E7C3C" w:rsidP="00420DDA">
      <w:pPr>
        <w:pStyle w:val="Paragraphedeliste"/>
        <w:widowControl w:val="0"/>
        <w:numPr>
          <w:ilvl w:val="0"/>
          <w:numId w:val="36"/>
        </w:numPr>
        <w:tabs>
          <w:tab w:val="left" w:pos="882"/>
        </w:tabs>
        <w:ind w:left="426" w:right="168" w:hanging="360"/>
        <w:rPr>
          <w:rFonts w:ascii="Tahoma" w:eastAsia="American Typewriter" w:hAnsi="Tahoma" w:cs="Tahoma"/>
          <w:sz w:val="20"/>
          <w:szCs w:val="20"/>
        </w:rPr>
      </w:pPr>
      <w:proofErr w:type="gramStart"/>
      <w:r w:rsidRPr="00B004EE">
        <w:rPr>
          <w:rFonts w:ascii="Tahoma" w:hAnsi="Tahoma" w:cs="Tahoma"/>
          <w:sz w:val="20"/>
          <w:szCs w:val="20"/>
        </w:rPr>
        <w:t>les</w:t>
      </w:r>
      <w:proofErr w:type="gramEnd"/>
      <w:r w:rsidR="00DB1635" w:rsidRPr="00B004EE">
        <w:rPr>
          <w:rFonts w:ascii="Tahoma" w:hAnsi="Tahoma" w:cs="Tahoma"/>
          <w:sz w:val="20"/>
          <w:szCs w:val="20"/>
        </w:rPr>
        <w:t xml:space="preserve"> </w:t>
      </w:r>
      <w:r w:rsidRPr="00B004EE">
        <w:rPr>
          <w:rFonts w:ascii="Tahoma" w:hAnsi="Tahoma" w:cs="Tahoma"/>
          <w:sz w:val="20"/>
          <w:szCs w:val="20"/>
        </w:rPr>
        <w:t>officiers</w:t>
      </w:r>
      <w:r w:rsidR="00DB1635" w:rsidRPr="00B004EE">
        <w:rPr>
          <w:rFonts w:ascii="Tahoma" w:hAnsi="Tahoma" w:cs="Tahoma"/>
          <w:sz w:val="20"/>
          <w:szCs w:val="20"/>
        </w:rPr>
        <w:t xml:space="preserve"> </w:t>
      </w:r>
      <w:r w:rsidRPr="00B004EE">
        <w:rPr>
          <w:rFonts w:ascii="Tahoma" w:hAnsi="Tahoma" w:cs="Tahoma"/>
          <w:sz w:val="20"/>
          <w:szCs w:val="20"/>
        </w:rPr>
        <w:t>commandant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navires</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avions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guerre</w:t>
      </w:r>
      <w:r w:rsidR="00DB1635" w:rsidRPr="00B004EE">
        <w:rPr>
          <w:rFonts w:ascii="Tahoma" w:hAnsi="Tahoma" w:cs="Tahoma"/>
          <w:spacing w:val="-11"/>
          <w:sz w:val="20"/>
          <w:szCs w:val="20"/>
        </w:rPr>
        <w:t xml:space="preserve"> </w:t>
      </w:r>
      <w:r w:rsidRPr="00B004EE">
        <w:rPr>
          <w:rFonts w:ascii="Tahoma" w:hAnsi="Tahoma" w:cs="Tahoma"/>
          <w:sz w:val="20"/>
          <w:szCs w:val="20"/>
        </w:rPr>
        <w:t>;</w:t>
      </w:r>
    </w:p>
    <w:p w14:paraId="73175D8B" w14:textId="732D08F1" w:rsidR="001E7C3C" w:rsidRPr="00B004EE" w:rsidRDefault="001E7C3C" w:rsidP="00420DDA">
      <w:pPr>
        <w:pStyle w:val="Paragraphedeliste"/>
        <w:widowControl w:val="0"/>
        <w:numPr>
          <w:ilvl w:val="0"/>
          <w:numId w:val="36"/>
        </w:numPr>
        <w:tabs>
          <w:tab w:val="left" w:pos="882"/>
        </w:tabs>
        <w:ind w:left="426" w:right="168" w:hanging="360"/>
        <w:rPr>
          <w:rFonts w:ascii="Tahoma" w:eastAsia="American Typewriter" w:hAnsi="Tahoma" w:cs="Tahoma"/>
          <w:sz w:val="20"/>
          <w:szCs w:val="20"/>
        </w:rPr>
      </w:pPr>
      <w:proofErr w:type="gramStart"/>
      <w:r w:rsidRPr="00B004EE">
        <w:rPr>
          <w:rFonts w:ascii="Tahoma" w:hAnsi="Tahoma" w:cs="Tahoma"/>
          <w:sz w:val="20"/>
          <w:szCs w:val="20"/>
        </w:rPr>
        <w:t>les</w:t>
      </w:r>
      <w:proofErr w:type="gramEnd"/>
      <w:r w:rsidR="00DB1635" w:rsidRPr="00B004EE">
        <w:rPr>
          <w:rFonts w:ascii="Tahoma" w:hAnsi="Tahoma" w:cs="Tahoma"/>
          <w:sz w:val="20"/>
          <w:szCs w:val="20"/>
        </w:rPr>
        <w:t xml:space="preserve"> </w:t>
      </w:r>
      <w:r w:rsidRPr="00B004EE">
        <w:rPr>
          <w:rFonts w:ascii="Tahoma" w:hAnsi="Tahoma" w:cs="Tahoma"/>
          <w:sz w:val="20"/>
          <w:szCs w:val="20"/>
        </w:rPr>
        <w:t>agents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l'administration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douanes</w:t>
      </w:r>
      <w:r w:rsidR="00DB1635" w:rsidRPr="00B004EE">
        <w:rPr>
          <w:rFonts w:ascii="Tahoma" w:hAnsi="Tahoma" w:cs="Tahoma"/>
          <w:spacing w:val="18"/>
          <w:sz w:val="20"/>
          <w:szCs w:val="20"/>
        </w:rPr>
        <w:t xml:space="preserve"> </w:t>
      </w:r>
      <w:r w:rsidRPr="00B004EE">
        <w:rPr>
          <w:rFonts w:ascii="Tahoma" w:hAnsi="Tahoma" w:cs="Tahoma"/>
          <w:sz w:val="20"/>
          <w:szCs w:val="20"/>
        </w:rPr>
        <w:t>;</w:t>
      </w:r>
    </w:p>
    <w:p w14:paraId="626C9082" w14:textId="4E8E1141" w:rsidR="001E7C3C" w:rsidRPr="00B004EE" w:rsidRDefault="001E7C3C" w:rsidP="00420DDA">
      <w:pPr>
        <w:pStyle w:val="Paragraphedeliste"/>
        <w:widowControl w:val="0"/>
        <w:numPr>
          <w:ilvl w:val="0"/>
          <w:numId w:val="36"/>
        </w:numPr>
        <w:tabs>
          <w:tab w:val="left" w:pos="882"/>
        </w:tabs>
        <w:ind w:left="426" w:right="168" w:hanging="360"/>
        <w:rPr>
          <w:rFonts w:ascii="Tahoma" w:eastAsia="American Typewriter" w:hAnsi="Tahoma" w:cs="Tahoma"/>
          <w:sz w:val="20"/>
          <w:szCs w:val="20"/>
        </w:rPr>
      </w:pPr>
      <w:proofErr w:type="gramStart"/>
      <w:r w:rsidRPr="00B004EE">
        <w:rPr>
          <w:rFonts w:ascii="Tahoma" w:hAnsi="Tahoma" w:cs="Tahoma"/>
          <w:sz w:val="20"/>
          <w:szCs w:val="20"/>
        </w:rPr>
        <w:t>les</w:t>
      </w:r>
      <w:proofErr w:type="gramEnd"/>
      <w:r w:rsidR="00DB1635" w:rsidRPr="00B004EE">
        <w:rPr>
          <w:rFonts w:ascii="Tahoma" w:hAnsi="Tahoma" w:cs="Tahoma"/>
          <w:sz w:val="20"/>
          <w:szCs w:val="20"/>
        </w:rPr>
        <w:t xml:space="preserve"> </w:t>
      </w:r>
      <w:r w:rsidRPr="00B004EE">
        <w:rPr>
          <w:rFonts w:ascii="Tahoma" w:hAnsi="Tahoma" w:cs="Tahoma"/>
          <w:sz w:val="20"/>
          <w:szCs w:val="20"/>
        </w:rPr>
        <w:t>capitaines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officiers</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ports</w:t>
      </w:r>
      <w:r w:rsidR="00DB1635" w:rsidRPr="00B004EE">
        <w:rPr>
          <w:rFonts w:ascii="Tahoma" w:hAnsi="Tahoma" w:cs="Tahoma"/>
          <w:spacing w:val="21"/>
          <w:sz w:val="20"/>
          <w:szCs w:val="20"/>
        </w:rPr>
        <w:t xml:space="preserve"> </w:t>
      </w:r>
      <w:r w:rsidRPr="00B004EE">
        <w:rPr>
          <w:rFonts w:ascii="Tahoma" w:hAnsi="Tahoma" w:cs="Tahoma"/>
          <w:sz w:val="20"/>
          <w:szCs w:val="20"/>
        </w:rPr>
        <w:t>;</w:t>
      </w:r>
    </w:p>
    <w:p w14:paraId="79F0C488" w14:textId="38C6D2D3" w:rsidR="001E7C3C" w:rsidRPr="00B004EE" w:rsidRDefault="001E7C3C" w:rsidP="00420DDA">
      <w:pPr>
        <w:pStyle w:val="Paragraphedeliste"/>
        <w:widowControl w:val="0"/>
        <w:numPr>
          <w:ilvl w:val="0"/>
          <w:numId w:val="36"/>
        </w:numPr>
        <w:tabs>
          <w:tab w:val="left" w:pos="882"/>
        </w:tabs>
        <w:ind w:left="426" w:right="168" w:hanging="360"/>
        <w:rPr>
          <w:rFonts w:ascii="Tahoma" w:eastAsia="American Typewriter" w:hAnsi="Tahoma" w:cs="Tahoma"/>
          <w:sz w:val="20"/>
          <w:szCs w:val="20"/>
        </w:rPr>
      </w:pPr>
      <w:proofErr w:type="gramStart"/>
      <w:r w:rsidRPr="00B004EE">
        <w:rPr>
          <w:rFonts w:ascii="Tahoma" w:hAnsi="Tahoma" w:cs="Tahoma"/>
          <w:sz w:val="20"/>
          <w:szCs w:val="20"/>
        </w:rPr>
        <w:t>les</w:t>
      </w:r>
      <w:proofErr w:type="gramEnd"/>
      <w:r w:rsidR="00DB1635" w:rsidRPr="00B004EE">
        <w:rPr>
          <w:rFonts w:ascii="Tahoma" w:hAnsi="Tahoma" w:cs="Tahoma"/>
          <w:spacing w:val="39"/>
          <w:sz w:val="20"/>
          <w:szCs w:val="20"/>
        </w:rPr>
        <w:t xml:space="preserve"> </w:t>
      </w:r>
      <w:r w:rsidRPr="00B004EE">
        <w:rPr>
          <w:rFonts w:ascii="Tahoma" w:hAnsi="Tahoma" w:cs="Tahoma"/>
          <w:sz w:val="20"/>
          <w:szCs w:val="20"/>
        </w:rPr>
        <w:t>agents</w:t>
      </w:r>
      <w:r w:rsidR="00DB1635" w:rsidRPr="00B004EE">
        <w:rPr>
          <w:rFonts w:ascii="Tahoma" w:hAnsi="Tahoma" w:cs="Tahoma"/>
          <w:spacing w:val="39"/>
          <w:sz w:val="20"/>
          <w:szCs w:val="20"/>
        </w:rPr>
        <w:t xml:space="preserve"> </w:t>
      </w:r>
      <w:r w:rsidRPr="00B004EE">
        <w:rPr>
          <w:rFonts w:ascii="Tahoma" w:hAnsi="Tahoma" w:cs="Tahoma"/>
          <w:sz w:val="20"/>
          <w:szCs w:val="20"/>
        </w:rPr>
        <w:t>du</w:t>
      </w:r>
      <w:r w:rsidR="00DB1635" w:rsidRPr="00B004EE">
        <w:rPr>
          <w:rFonts w:ascii="Tahoma" w:hAnsi="Tahoma" w:cs="Tahoma"/>
          <w:spacing w:val="40"/>
          <w:sz w:val="20"/>
          <w:szCs w:val="20"/>
        </w:rPr>
        <w:t xml:space="preserve"> </w:t>
      </w:r>
      <w:r w:rsidRPr="00B004EE">
        <w:rPr>
          <w:rFonts w:ascii="Tahoma" w:hAnsi="Tahoma" w:cs="Tahoma"/>
          <w:sz w:val="20"/>
          <w:szCs w:val="20"/>
        </w:rPr>
        <w:t>Parc</w:t>
      </w:r>
      <w:r w:rsidR="00DB1635" w:rsidRPr="00B004EE">
        <w:rPr>
          <w:rFonts w:ascii="Tahoma" w:hAnsi="Tahoma" w:cs="Tahoma"/>
          <w:spacing w:val="39"/>
          <w:sz w:val="20"/>
          <w:szCs w:val="20"/>
        </w:rPr>
        <w:t xml:space="preserve"> </w:t>
      </w:r>
      <w:r w:rsidRPr="00B004EE">
        <w:rPr>
          <w:rFonts w:ascii="Tahoma" w:hAnsi="Tahoma" w:cs="Tahoma"/>
          <w:sz w:val="20"/>
          <w:szCs w:val="20"/>
        </w:rPr>
        <w:t>National</w:t>
      </w:r>
      <w:r w:rsidR="00DB1635" w:rsidRPr="00B004EE">
        <w:rPr>
          <w:rFonts w:ascii="Tahoma" w:hAnsi="Tahoma" w:cs="Tahoma"/>
          <w:spacing w:val="41"/>
          <w:sz w:val="20"/>
          <w:szCs w:val="20"/>
        </w:rPr>
        <w:t xml:space="preserve"> </w:t>
      </w:r>
      <w:r w:rsidRPr="00B004EE">
        <w:rPr>
          <w:rFonts w:ascii="Tahoma" w:hAnsi="Tahoma" w:cs="Tahoma"/>
          <w:sz w:val="20"/>
          <w:szCs w:val="20"/>
        </w:rPr>
        <w:t>du</w:t>
      </w:r>
      <w:r w:rsidR="00DB1635" w:rsidRPr="00B004EE">
        <w:rPr>
          <w:rFonts w:ascii="Tahoma" w:hAnsi="Tahoma" w:cs="Tahoma"/>
          <w:spacing w:val="40"/>
          <w:sz w:val="20"/>
          <w:szCs w:val="20"/>
        </w:rPr>
        <w:t xml:space="preserve"> </w:t>
      </w:r>
      <w:r w:rsidRPr="00B004EE">
        <w:rPr>
          <w:rFonts w:ascii="Tahoma" w:hAnsi="Tahoma" w:cs="Tahoma"/>
          <w:sz w:val="20"/>
          <w:szCs w:val="20"/>
        </w:rPr>
        <w:t>Banc</w:t>
      </w:r>
      <w:r w:rsidR="00DB1635" w:rsidRPr="00B004EE">
        <w:rPr>
          <w:rFonts w:ascii="Tahoma" w:hAnsi="Tahoma" w:cs="Tahoma"/>
          <w:spacing w:val="39"/>
          <w:sz w:val="20"/>
          <w:szCs w:val="20"/>
        </w:rPr>
        <w:t xml:space="preserve"> </w:t>
      </w:r>
      <w:r w:rsidRPr="00B004EE">
        <w:rPr>
          <w:rFonts w:ascii="Tahoma" w:hAnsi="Tahoma" w:cs="Tahoma"/>
          <w:sz w:val="20"/>
          <w:szCs w:val="20"/>
        </w:rPr>
        <w:t>d'Arguin</w:t>
      </w:r>
      <w:r w:rsidR="00DB1635" w:rsidRPr="00B004EE">
        <w:rPr>
          <w:rFonts w:ascii="Tahoma" w:hAnsi="Tahoma" w:cs="Tahoma"/>
          <w:spacing w:val="40"/>
          <w:sz w:val="20"/>
          <w:szCs w:val="20"/>
        </w:rPr>
        <w:t xml:space="preserve"> </w:t>
      </w:r>
      <w:r w:rsidRPr="00B004EE">
        <w:rPr>
          <w:rFonts w:ascii="Tahoma" w:hAnsi="Tahoma" w:cs="Tahoma"/>
          <w:sz w:val="20"/>
          <w:szCs w:val="20"/>
        </w:rPr>
        <w:t>affectés</w:t>
      </w:r>
      <w:r w:rsidR="00DB1635" w:rsidRPr="00B004EE">
        <w:rPr>
          <w:rFonts w:ascii="Tahoma" w:hAnsi="Tahoma" w:cs="Tahoma"/>
          <w:spacing w:val="40"/>
          <w:sz w:val="20"/>
          <w:szCs w:val="20"/>
        </w:rPr>
        <w:t xml:space="preserve"> </w:t>
      </w:r>
      <w:r w:rsidRPr="00B004EE">
        <w:rPr>
          <w:rFonts w:ascii="Tahoma" w:hAnsi="Tahoma" w:cs="Tahoma"/>
          <w:sz w:val="20"/>
          <w:szCs w:val="20"/>
        </w:rPr>
        <w:t>à</w:t>
      </w:r>
      <w:r w:rsidR="00DB1635" w:rsidRPr="00B004EE">
        <w:rPr>
          <w:rFonts w:ascii="Tahoma" w:hAnsi="Tahoma" w:cs="Tahoma"/>
          <w:spacing w:val="41"/>
          <w:sz w:val="20"/>
          <w:szCs w:val="20"/>
        </w:rPr>
        <w:t xml:space="preserve"> </w:t>
      </w:r>
      <w:r w:rsidRPr="00B004EE">
        <w:rPr>
          <w:rFonts w:ascii="Tahoma" w:hAnsi="Tahoma" w:cs="Tahoma"/>
          <w:sz w:val="20"/>
          <w:szCs w:val="20"/>
        </w:rPr>
        <w:t>la</w:t>
      </w:r>
      <w:r w:rsidR="00DB1635" w:rsidRPr="00B004EE">
        <w:rPr>
          <w:rFonts w:ascii="Tahoma" w:hAnsi="Tahoma" w:cs="Tahoma"/>
          <w:spacing w:val="39"/>
          <w:sz w:val="20"/>
          <w:szCs w:val="20"/>
        </w:rPr>
        <w:t xml:space="preserve"> </w:t>
      </w:r>
      <w:r w:rsidRPr="00B004EE">
        <w:rPr>
          <w:rFonts w:ascii="Tahoma" w:hAnsi="Tahoma" w:cs="Tahoma"/>
          <w:sz w:val="20"/>
          <w:szCs w:val="20"/>
        </w:rPr>
        <w:t>surveillance</w:t>
      </w:r>
      <w:r w:rsidR="00DB1635" w:rsidRPr="00B004EE">
        <w:rPr>
          <w:rFonts w:ascii="Tahoma" w:hAnsi="Tahoma" w:cs="Tahoma"/>
          <w:w w:val="94"/>
          <w:sz w:val="20"/>
          <w:szCs w:val="20"/>
        </w:rPr>
        <w:t xml:space="preserve"> </w:t>
      </w:r>
      <w:r w:rsidRPr="00B004EE">
        <w:rPr>
          <w:rFonts w:ascii="Tahoma" w:hAnsi="Tahoma" w:cs="Tahoma"/>
          <w:sz w:val="20"/>
          <w:szCs w:val="20"/>
        </w:rPr>
        <w:t>maritime;</w:t>
      </w:r>
      <w:r w:rsidR="00DB1635" w:rsidRPr="00B004EE">
        <w:rPr>
          <w:rFonts w:ascii="Tahoma" w:hAnsi="Tahoma" w:cs="Tahoma"/>
          <w:spacing w:val="7"/>
          <w:sz w:val="20"/>
          <w:szCs w:val="20"/>
        </w:rPr>
        <w:t xml:space="preserve"> </w:t>
      </w:r>
      <w:r w:rsidRPr="00B004EE">
        <w:rPr>
          <w:rFonts w:ascii="Tahoma" w:hAnsi="Tahoma" w:cs="Tahoma"/>
          <w:sz w:val="20"/>
          <w:szCs w:val="20"/>
        </w:rPr>
        <w:t>et,</w:t>
      </w:r>
    </w:p>
    <w:p w14:paraId="24B09888" w14:textId="6F379A55" w:rsidR="001E7C3C" w:rsidRPr="00B004EE" w:rsidRDefault="001E7C3C" w:rsidP="00420DDA">
      <w:pPr>
        <w:pStyle w:val="Paragraphedeliste"/>
        <w:widowControl w:val="0"/>
        <w:numPr>
          <w:ilvl w:val="0"/>
          <w:numId w:val="36"/>
        </w:numPr>
        <w:tabs>
          <w:tab w:val="left" w:pos="882"/>
        </w:tabs>
        <w:ind w:left="426" w:right="168" w:hanging="360"/>
        <w:rPr>
          <w:rFonts w:ascii="Tahoma" w:eastAsia="American Typewriter" w:hAnsi="Tahoma" w:cs="Tahoma"/>
          <w:sz w:val="20"/>
          <w:szCs w:val="20"/>
        </w:rPr>
      </w:pPr>
      <w:proofErr w:type="gramStart"/>
      <w:r w:rsidRPr="00B004EE">
        <w:rPr>
          <w:rFonts w:ascii="Tahoma" w:hAnsi="Tahoma" w:cs="Tahoma"/>
          <w:sz w:val="20"/>
          <w:szCs w:val="20"/>
        </w:rPr>
        <w:t>tous</w:t>
      </w:r>
      <w:proofErr w:type="gramEnd"/>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agents</w:t>
      </w:r>
      <w:r w:rsidR="00DB1635" w:rsidRPr="00B004EE">
        <w:rPr>
          <w:rFonts w:ascii="Tahoma" w:hAnsi="Tahoma" w:cs="Tahoma"/>
          <w:sz w:val="20"/>
          <w:szCs w:val="20"/>
        </w:rPr>
        <w:t xml:space="preserve"> </w:t>
      </w:r>
      <w:r w:rsidRPr="00B004EE">
        <w:rPr>
          <w:rFonts w:ascii="Tahoma" w:hAnsi="Tahoma" w:cs="Tahoma"/>
          <w:sz w:val="20"/>
          <w:szCs w:val="20"/>
        </w:rPr>
        <w:t>spécialement</w:t>
      </w:r>
      <w:r w:rsidR="00DB1635" w:rsidRPr="00B004EE">
        <w:rPr>
          <w:rFonts w:ascii="Tahoma" w:hAnsi="Tahoma" w:cs="Tahoma"/>
          <w:sz w:val="20"/>
          <w:szCs w:val="20"/>
        </w:rPr>
        <w:t xml:space="preserve"> </w:t>
      </w:r>
      <w:r w:rsidRPr="00B004EE">
        <w:rPr>
          <w:rFonts w:ascii="Tahoma" w:hAnsi="Tahoma" w:cs="Tahoma"/>
          <w:sz w:val="20"/>
          <w:szCs w:val="20"/>
        </w:rPr>
        <w:t>habilités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cet</w:t>
      </w:r>
      <w:r w:rsidR="00DB1635" w:rsidRPr="00B004EE">
        <w:rPr>
          <w:rFonts w:ascii="Tahoma" w:hAnsi="Tahoma" w:cs="Tahoma"/>
          <w:sz w:val="20"/>
          <w:szCs w:val="20"/>
        </w:rPr>
        <w:t xml:space="preserve"> </w:t>
      </w:r>
      <w:r w:rsidRPr="00B004EE">
        <w:rPr>
          <w:rFonts w:ascii="Tahoma" w:hAnsi="Tahoma" w:cs="Tahoma"/>
          <w:sz w:val="20"/>
          <w:szCs w:val="20"/>
        </w:rPr>
        <w:t>effet</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pacing w:val="-8"/>
          <w:sz w:val="20"/>
          <w:szCs w:val="20"/>
        </w:rPr>
        <w:t xml:space="preserve"> </w:t>
      </w:r>
      <w:r w:rsidRPr="00B004EE">
        <w:rPr>
          <w:rFonts w:ascii="Tahoma" w:hAnsi="Tahoma" w:cs="Tahoma"/>
          <w:sz w:val="20"/>
          <w:szCs w:val="20"/>
        </w:rPr>
        <w:t>décret.</w:t>
      </w:r>
    </w:p>
    <w:p w14:paraId="25D86E74" w14:textId="77777777" w:rsidR="001E7C3C" w:rsidRPr="00B004EE" w:rsidRDefault="001E7C3C" w:rsidP="00B004EE">
      <w:pPr>
        <w:rPr>
          <w:rFonts w:ascii="Tahoma" w:eastAsia="American Typewriter" w:hAnsi="Tahoma" w:cs="Tahoma"/>
          <w:sz w:val="20"/>
          <w:szCs w:val="20"/>
        </w:rPr>
      </w:pPr>
    </w:p>
    <w:p w14:paraId="7B1211D5" w14:textId="43FE8F10" w:rsidR="001E7C3C" w:rsidRPr="00B004EE" w:rsidRDefault="001E7C3C" w:rsidP="00B004EE">
      <w:pPr>
        <w:pStyle w:val="Corpsdetexte"/>
        <w:rPr>
          <w:rFonts w:ascii="Tahoma" w:hAnsi="Tahoma" w:cs="Tahoma"/>
          <w:sz w:val="20"/>
          <w:szCs w:val="20"/>
        </w:rPr>
      </w:pPr>
      <w:r w:rsidRPr="00B004EE">
        <w:rPr>
          <w:rFonts w:ascii="Tahoma" w:hAnsi="Tahoma" w:cs="Tahoma"/>
          <w:sz w:val="20"/>
          <w:szCs w:val="20"/>
        </w:rPr>
        <w:t>Ces</w:t>
      </w:r>
      <w:r w:rsidR="00DB1635" w:rsidRPr="00B004EE">
        <w:rPr>
          <w:rFonts w:ascii="Tahoma" w:hAnsi="Tahoma" w:cs="Tahoma"/>
          <w:spacing w:val="-36"/>
          <w:sz w:val="20"/>
          <w:szCs w:val="20"/>
        </w:rPr>
        <w:t xml:space="preserve"> </w:t>
      </w:r>
      <w:r w:rsidRPr="00B004EE">
        <w:rPr>
          <w:rFonts w:ascii="Tahoma" w:hAnsi="Tahoma" w:cs="Tahoma"/>
          <w:sz w:val="20"/>
          <w:szCs w:val="20"/>
        </w:rPr>
        <w:t>agents</w:t>
      </w:r>
      <w:r w:rsidR="00DB1635" w:rsidRPr="00B004EE">
        <w:rPr>
          <w:rFonts w:ascii="Tahoma" w:hAnsi="Tahoma" w:cs="Tahoma"/>
          <w:spacing w:val="-35"/>
          <w:sz w:val="20"/>
          <w:szCs w:val="20"/>
        </w:rPr>
        <w:t xml:space="preserve"> </w:t>
      </w:r>
      <w:r w:rsidRPr="00B004EE">
        <w:rPr>
          <w:rFonts w:ascii="Tahoma" w:hAnsi="Tahoma" w:cs="Tahoma"/>
          <w:sz w:val="20"/>
          <w:szCs w:val="20"/>
        </w:rPr>
        <w:t>sont</w:t>
      </w:r>
      <w:r w:rsidR="00DB1635" w:rsidRPr="00B004EE">
        <w:rPr>
          <w:rFonts w:ascii="Tahoma" w:hAnsi="Tahoma" w:cs="Tahoma"/>
          <w:spacing w:val="-35"/>
          <w:sz w:val="20"/>
          <w:szCs w:val="20"/>
        </w:rPr>
        <w:t xml:space="preserve"> </w:t>
      </w:r>
      <w:r w:rsidRPr="00B004EE">
        <w:rPr>
          <w:rFonts w:ascii="Tahoma" w:hAnsi="Tahoma" w:cs="Tahoma"/>
          <w:sz w:val="20"/>
          <w:szCs w:val="20"/>
        </w:rPr>
        <w:t>ci-</w:t>
      </w:r>
      <w:r w:rsidRPr="00B004EE">
        <w:rPr>
          <w:rFonts w:ascii="Tahoma" w:eastAsia="American Typewriter" w:hAnsi="Tahoma" w:cs="Tahoma"/>
          <w:sz w:val="20"/>
          <w:szCs w:val="20"/>
        </w:rPr>
        <w:t>après</w:t>
      </w:r>
      <w:r w:rsidR="00DB1635" w:rsidRPr="00B004EE">
        <w:rPr>
          <w:rFonts w:ascii="Tahoma" w:eastAsia="American Typewriter" w:hAnsi="Tahoma" w:cs="Tahoma"/>
          <w:spacing w:val="-35"/>
          <w:sz w:val="20"/>
          <w:szCs w:val="20"/>
        </w:rPr>
        <w:t xml:space="preserve"> </w:t>
      </w:r>
      <w:r w:rsidRPr="00B004EE">
        <w:rPr>
          <w:rFonts w:ascii="Tahoma" w:eastAsia="American Typewriter" w:hAnsi="Tahoma" w:cs="Tahoma"/>
          <w:sz w:val="20"/>
          <w:szCs w:val="20"/>
        </w:rPr>
        <w:t>désignés</w:t>
      </w:r>
      <w:r w:rsidR="00DB1635" w:rsidRPr="00B004EE">
        <w:rPr>
          <w:rFonts w:ascii="Tahoma" w:eastAsia="American Typewriter" w:hAnsi="Tahoma" w:cs="Tahoma"/>
          <w:spacing w:val="-36"/>
          <w:sz w:val="20"/>
          <w:szCs w:val="20"/>
        </w:rPr>
        <w:t xml:space="preserve"> </w:t>
      </w:r>
      <w:r w:rsidRPr="00B004EE">
        <w:rPr>
          <w:rFonts w:ascii="Tahoma" w:eastAsia="American Typewriter" w:hAnsi="Tahoma" w:cs="Tahoma"/>
          <w:sz w:val="20"/>
          <w:szCs w:val="20"/>
        </w:rPr>
        <w:t>par</w:t>
      </w:r>
      <w:r w:rsidR="00DB1635" w:rsidRPr="00B004EE">
        <w:rPr>
          <w:rFonts w:ascii="Tahoma" w:eastAsia="American Typewriter" w:hAnsi="Tahoma" w:cs="Tahoma"/>
          <w:spacing w:val="-35"/>
          <w:sz w:val="20"/>
          <w:szCs w:val="20"/>
        </w:rPr>
        <w:t xml:space="preserve"> </w:t>
      </w:r>
      <w:r w:rsidRPr="00B004EE">
        <w:rPr>
          <w:rFonts w:ascii="Tahoma" w:eastAsia="American Typewriter" w:hAnsi="Tahoma" w:cs="Tahoma"/>
          <w:sz w:val="20"/>
          <w:szCs w:val="20"/>
        </w:rPr>
        <w:t>l'expression</w:t>
      </w:r>
      <w:r w:rsidR="00DB1635" w:rsidRPr="00B004EE">
        <w:rPr>
          <w:rFonts w:ascii="Tahoma" w:eastAsia="American Typewriter" w:hAnsi="Tahoma" w:cs="Tahoma"/>
          <w:spacing w:val="-35"/>
          <w:sz w:val="20"/>
          <w:szCs w:val="20"/>
        </w:rPr>
        <w:t xml:space="preserve"> </w:t>
      </w:r>
      <w:r w:rsidRPr="00B004EE">
        <w:rPr>
          <w:rFonts w:ascii="Tahoma" w:eastAsia="American Typewriter" w:hAnsi="Tahoma" w:cs="Tahoma"/>
          <w:sz w:val="20"/>
          <w:szCs w:val="20"/>
        </w:rPr>
        <w:t>“agents</w:t>
      </w:r>
      <w:r w:rsidR="00DB1635" w:rsidRPr="00B004EE">
        <w:rPr>
          <w:rFonts w:ascii="Tahoma" w:eastAsia="American Typewriter" w:hAnsi="Tahoma" w:cs="Tahoma"/>
          <w:spacing w:val="-35"/>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pacing w:val="-35"/>
          <w:sz w:val="20"/>
          <w:szCs w:val="20"/>
        </w:rPr>
        <w:t xml:space="preserve"> </w:t>
      </w:r>
      <w:r w:rsidRPr="00B004EE">
        <w:rPr>
          <w:rFonts w:ascii="Tahoma" w:eastAsia="American Typewriter" w:hAnsi="Tahoma" w:cs="Tahoma"/>
          <w:sz w:val="20"/>
          <w:szCs w:val="20"/>
        </w:rPr>
        <w:t>contrôle”.</w:t>
      </w:r>
    </w:p>
    <w:p w14:paraId="7F431355" w14:textId="4FD22A67" w:rsidR="001E7C3C" w:rsidRPr="00B004EE" w:rsidRDefault="001E7C3C" w:rsidP="00B004EE">
      <w:pPr>
        <w:pStyle w:val="Corpsdetexte"/>
        <w:ind w:right="158"/>
        <w:rPr>
          <w:rFonts w:ascii="Tahoma" w:hAnsi="Tahoma" w:cs="Tahoma"/>
          <w:sz w:val="20"/>
          <w:szCs w:val="20"/>
        </w:rPr>
      </w:pPr>
      <w:r w:rsidRPr="00B004EE">
        <w:rPr>
          <w:rFonts w:ascii="Tahoma" w:hAnsi="Tahoma" w:cs="Tahoma"/>
          <w:sz w:val="20"/>
          <w:szCs w:val="20"/>
        </w:rPr>
        <w:t>Les</w:t>
      </w:r>
      <w:r w:rsidR="00DB1635" w:rsidRPr="00B004EE">
        <w:rPr>
          <w:rFonts w:ascii="Tahoma" w:hAnsi="Tahoma" w:cs="Tahoma"/>
          <w:spacing w:val="29"/>
          <w:sz w:val="20"/>
          <w:szCs w:val="20"/>
        </w:rPr>
        <w:t xml:space="preserve"> </w:t>
      </w:r>
      <w:r w:rsidRPr="00B004EE">
        <w:rPr>
          <w:rFonts w:ascii="Tahoma" w:hAnsi="Tahoma" w:cs="Tahoma"/>
          <w:sz w:val="20"/>
          <w:szCs w:val="20"/>
        </w:rPr>
        <w:t>agents</w:t>
      </w:r>
      <w:r w:rsidR="00DB1635" w:rsidRPr="00B004EE">
        <w:rPr>
          <w:rFonts w:ascii="Tahoma" w:hAnsi="Tahoma" w:cs="Tahoma"/>
          <w:spacing w:val="29"/>
          <w:sz w:val="20"/>
          <w:szCs w:val="20"/>
        </w:rPr>
        <w:t xml:space="preserve"> </w:t>
      </w:r>
      <w:r w:rsidRPr="00B004EE">
        <w:rPr>
          <w:rFonts w:ascii="Tahoma" w:hAnsi="Tahoma" w:cs="Tahoma"/>
          <w:sz w:val="20"/>
          <w:szCs w:val="20"/>
        </w:rPr>
        <w:t>de</w:t>
      </w:r>
      <w:r w:rsidR="00DB1635" w:rsidRPr="00B004EE">
        <w:rPr>
          <w:rFonts w:ascii="Tahoma" w:hAnsi="Tahoma" w:cs="Tahoma"/>
          <w:spacing w:val="29"/>
          <w:sz w:val="20"/>
          <w:szCs w:val="20"/>
        </w:rPr>
        <w:t xml:space="preserve"> </w:t>
      </w:r>
      <w:r w:rsidRPr="00B004EE">
        <w:rPr>
          <w:rFonts w:ascii="Tahoma" w:hAnsi="Tahoma" w:cs="Tahoma"/>
          <w:sz w:val="20"/>
          <w:szCs w:val="20"/>
        </w:rPr>
        <w:t>contrôle</w:t>
      </w:r>
      <w:r w:rsidR="00DB1635" w:rsidRPr="00B004EE">
        <w:rPr>
          <w:rFonts w:ascii="Tahoma" w:hAnsi="Tahoma" w:cs="Tahoma"/>
          <w:spacing w:val="29"/>
          <w:sz w:val="20"/>
          <w:szCs w:val="20"/>
        </w:rPr>
        <w:t xml:space="preserve"> </w:t>
      </w:r>
      <w:r w:rsidRPr="00B004EE">
        <w:rPr>
          <w:rFonts w:ascii="Tahoma" w:hAnsi="Tahoma" w:cs="Tahoma"/>
          <w:sz w:val="20"/>
          <w:szCs w:val="20"/>
        </w:rPr>
        <w:t>prêtent</w:t>
      </w:r>
      <w:r w:rsidR="00DB1635" w:rsidRPr="00B004EE">
        <w:rPr>
          <w:rFonts w:ascii="Tahoma" w:hAnsi="Tahoma" w:cs="Tahoma"/>
          <w:spacing w:val="28"/>
          <w:sz w:val="20"/>
          <w:szCs w:val="20"/>
        </w:rPr>
        <w:t xml:space="preserve"> </w:t>
      </w:r>
      <w:r w:rsidRPr="00B004EE">
        <w:rPr>
          <w:rFonts w:ascii="Tahoma" w:hAnsi="Tahoma" w:cs="Tahoma"/>
          <w:sz w:val="20"/>
          <w:szCs w:val="20"/>
        </w:rPr>
        <w:t>serment</w:t>
      </w:r>
      <w:r w:rsidR="00DB1635" w:rsidRPr="00B004EE">
        <w:rPr>
          <w:rFonts w:ascii="Tahoma" w:hAnsi="Tahoma" w:cs="Tahoma"/>
          <w:spacing w:val="28"/>
          <w:sz w:val="20"/>
          <w:szCs w:val="20"/>
        </w:rPr>
        <w:t xml:space="preserve"> </w:t>
      </w:r>
      <w:r w:rsidRPr="00B004EE">
        <w:rPr>
          <w:rFonts w:ascii="Tahoma" w:hAnsi="Tahoma" w:cs="Tahoma"/>
          <w:sz w:val="20"/>
          <w:szCs w:val="20"/>
        </w:rPr>
        <w:t>devant</w:t>
      </w:r>
      <w:r w:rsidR="00DB1635" w:rsidRPr="00B004EE">
        <w:rPr>
          <w:rFonts w:ascii="Tahoma" w:hAnsi="Tahoma" w:cs="Tahoma"/>
          <w:spacing w:val="28"/>
          <w:sz w:val="20"/>
          <w:szCs w:val="20"/>
        </w:rPr>
        <w:t xml:space="preserve"> </w:t>
      </w:r>
      <w:r w:rsidRPr="00B004EE">
        <w:rPr>
          <w:rFonts w:ascii="Tahoma" w:hAnsi="Tahoma" w:cs="Tahoma"/>
          <w:sz w:val="20"/>
          <w:szCs w:val="20"/>
        </w:rPr>
        <w:t>le</w:t>
      </w:r>
      <w:r w:rsidR="00DB1635" w:rsidRPr="00B004EE">
        <w:rPr>
          <w:rFonts w:ascii="Tahoma" w:hAnsi="Tahoma" w:cs="Tahoma"/>
          <w:spacing w:val="28"/>
          <w:sz w:val="20"/>
          <w:szCs w:val="20"/>
        </w:rPr>
        <w:t xml:space="preserve"> </w:t>
      </w:r>
      <w:r w:rsidRPr="00B004EE">
        <w:rPr>
          <w:rFonts w:ascii="Tahoma" w:hAnsi="Tahoma" w:cs="Tahoma"/>
          <w:sz w:val="20"/>
          <w:szCs w:val="20"/>
        </w:rPr>
        <w:t>tribunal</w:t>
      </w:r>
      <w:r w:rsidR="00DB1635" w:rsidRPr="00B004EE">
        <w:rPr>
          <w:rFonts w:ascii="Tahoma" w:hAnsi="Tahoma" w:cs="Tahoma"/>
          <w:spacing w:val="29"/>
          <w:sz w:val="20"/>
          <w:szCs w:val="20"/>
        </w:rPr>
        <w:t xml:space="preserve"> </w:t>
      </w:r>
      <w:r w:rsidRPr="00B004EE">
        <w:rPr>
          <w:rFonts w:ascii="Tahoma" w:hAnsi="Tahoma" w:cs="Tahoma"/>
          <w:sz w:val="20"/>
          <w:szCs w:val="20"/>
        </w:rPr>
        <w:t>compétent,</w:t>
      </w:r>
      <w:r w:rsidR="00DB1635" w:rsidRPr="00B004EE">
        <w:rPr>
          <w:rFonts w:ascii="Tahoma" w:hAnsi="Tahoma" w:cs="Tahoma"/>
          <w:spacing w:val="28"/>
          <w:sz w:val="20"/>
          <w:szCs w:val="20"/>
        </w:rPr>
        <w:t xml:space="preserve"> </w:t>
      </w:r>
      <w:r w:rsidRPr="00B004EE">
        <w:rPr>
          <w:rFonts w:ascii="Tahoma" w:hAnsi="Tahoma" w:cs="Tahoma"/>
          <w:sz w:val="20"/>
          <w:szCs w:val="20"/>
        </w:rPr>
        <w:t>à</w:t>
      </w:r>
      <w:r w:rsidR="00DB1635" w:rsidRPr="00B004EE">
        <w:rPr>
          <w:rFonts w:ascii="Tahoma" w:hAnsi="Tahoma" w:cs="Tahoma"/>
          <w:spacing w:val="28"/>
          <w:sz w:val="20"/>
          <w:szCs w:val="20"/>
        </w:rPr>
        <w:t xml:space="preserve"> </w:t>
      </w:r>
      <w:r w:rsidRPr="00B004EE">
        <w:rPr>
          <w:rFonts w:ascii="Tahoma" w:hAnsi="Tahoma" w:cs="Tahoma"/>
          <w:sz w:val="20"/>
          <w:szCs w:val="20"/>
        </w:rPr>
        <w:t>moins</w:t>
      </w:r>
      <w:r w:rsidR="00DB1635" w:rsidRPr="00B004EE">
        <w:rPr>
          <w:rFonts w:ascii="Tahoma" w:hAnsi="Tahoma" w:cs="Tahoma"/>
          <w:w w:val="95"/>
          <w:sz w:val="20"/>
          <w:szCs w:val="20"/>
        </w:rPr>
        <w:t xml:space="preserve"> </w:t>
      </w:r>
      <w:r w:rsidRPr="00B004EE">
        <w:rPr>
          <w:rFonts w:ascii="Tahoma" w:hAnsi="Tahoma" w:cs="Tahoma"/>
          <w:sz w:val="20"/>
          <w:szCs w:val="20"/>
        </w:rPr>
        <w:t>qu'ils</w:t>
      </w:r>
      <w:r w:rsidR="00DB1635" w:rsidRPr="00B004EE">
        <w:rPr>
          <w:rFonts w:ascii="Tahoma" w:hAnsi="Tahoma" w:cs="Tahoma"/>
          <w:spacing w:val="-19"/>
          <w:sz w:val="20"/>
          <w:szCs w:val="20"/>
        </w:rPr>
        <w:t xml:space="preserve"> </w:t>
      </w:r>
      <w:r w:rsidRPr="00B004EE">
        <w:rPr>
          <w:rFonts w:ascii="Tahoma" w:hAnsi="Tahoma" w:cs="Tahoma"/>
          <w:sz w:val="20"/>
          <w:szCs w:val="20"/>
        </w:rPr>
        <w:t>ne</w:t>
      </w:r>
      <w:r w:rsidR="00DB1635" w:rsidRPr="00B004EE">
        <w:rPr>
          <w:rFonts w:ascii="Tahoma" w:hAnsi="Tahoma" w:cs="Tahoma"/>
          <w:spacing w:val="-19"/>
          <w:sz w:val="20"/>
          <w:szCs w:val="20"/>
        </w:rPr>
        <w:t xml:space="preserve"> </w:t>
      </w:r>
      <w:r w:rsidRPr="00B004EE">
        <w:rPr>
          <w:rFonts w:ascii="Tahoma" w:hAnsi="Tahoma" w:cs="Tahoma"/>
          <w:sz w:val="20"/>
          <w:szCs w:val="20"/>
        </w:rPr>
        <w:t>l'aient</w:t>
      </w:r>
      <w:r w:rsidR="00DB1635" w:rsidRPr="00B004EE">
        <w:rPr>
          <w:rFonts w:ascii="Tahoma" w:hAnsi="Tahoma" w:cs="Tahoma"/>
          <w:spacing w:val="-19"/>
          <w:sz w:val="20"/>
          <w:szCs w:val="20"/>
        </w:rPr>
        <w:t xml:space="preserve"> </w:t>
      </w:r>
      <w:r w:rsidRPr="00B004EE">
        <w:rPr>
          <w:rFonts w:ascii="Tahoma" w:hAnsi="Tahoma" w:cs="Tahoma"/>
          <w:sz w:val="20"/>
          <w:szCs w:val="20"/>
        </w:rPr>
        <w:t>déjà</w:t>
      </w:r>
      <w:r w:rsidR="00DB1635" w:rsidRPr="00B004EE">
        <w:rPr>
          <w:rFonts w:ascii="Tahoma" w:hAnsi="Tahoma" w:cs="Tahoma"/>
          <w:spacing w:val="-17"/>
          <w:sz w:val="20"/>
          <w:szCs w:val="20"/>
        </w:rPr>
        <w:t xml:space="preserve"> </w:t>
      </w:r>
      <w:r w:rsidRPr="00B004EE">
        <w:rPr>
          <w:rFonts w:ascii="Tahoma" w:hAnsi="Tahoma" w:cs="Tahoma"/>
          <w:sz w:val="20"/>
          <w:szCs w:val="20"/>
        </w:rPr>
        <w:t>prêté</w:t>
      </w:r>
      <w:r w:rsidR="00DB1635" w:rsidRPr="00B004EE">
        <w:rPr>
          <w:rFonts w:ascii="Tahoma" w:hAnsi="Tahoma" w:cs="Tahoma"/>
          <w:spacing w:val="-18"/>
          <w:sz w:val="20"/>
          <w:szCs w:val="20"/>
        </w:rPr>
        <w:t xml:space="preserve"> </w:t>
      </w:r>
      <w:r w:rsidRPr="00B004EE">
        <w:rPr>
          <w:rFonts w:ascii="Tahoma" w:hAnsi="Tahoma" w:cs="Tahoma"/>
          <w:sz w:val="20"/>
          <w:szCs w:val="20"/>
        </w:rPr>
        <w:t>au</w:t>
      </w:r>
      <w:r w:rsidR="00DB1635" w:rsidRPr="00B004EE">
        <w:rPr>
          <w:rFonts w:ascii="Tahoma" w:hAnsi="Tahoma" w:cs="Tahoma"/>
          <w:spacing w:val="-19"/>
          <w:sz w:val="20"/>
          <w:szCs w:val="20"/>
        </w:rPr>
        <w:t xml:space="preserve"> </w:t>
      </w:r>
      <w:r w:rsidRPr="00B004EE">
        <w:rPr>
          <w:rFonts w:ascii="Tahoma" w:hAnsi="Tahoma" w:cs="Tahoma"/>
          <w:sz w:val="20"/>
          <w:szCs w:val="20"/>
        </w:rPr>
        <w:t>titre</w:t>
      </w:r>
      <w:r w:rsidR="00DB1635" w:rsidRPr="00B004EE">
        <w:rPr>
          <w:rFonts w:ascii="Tahoma" w:hAnsi="Tahoma" w:cs="Tahoma"/>
          <w:spacing w:val="-19"/>
          <w:sz w:val="20"/>
          <w:szCs w:val="20"/>
        </w:rPr>
        <w:t xml:space="preserve"> </w:t>
      </w:r>
      <w:r w:rsidRPr="00B004EE">
        <w:rPr>
          <w:rFonts w:ascii="Tahoma" w:hAnsi="Tahoma" w:cs="Tahoma"/>
          <w:sz w:val="20"/>
          <w:szCs w:val="20"/>
        </w:rPr>
        <w:t>de</w:t>
      </w:r>
      <w:r w:rsidR="00DB1635" w:rsidRPr="00B004EE">
        <w:rPr>
          <w:rFonts w:ascii="Tahoma" w:hAnsi="Tahoma" w:cs="Tahoma"/>
          <w:spacing w:val="-19"/>
          <w:sz w:val="20"/>
          <w:szCs w:val="20"/>
        </w:rPr>
        <w:t xml:space="preserve"> </w:t>
      </w:r>
      <w:r w:rsidRPr="00B004EE">
        <w:rPr>
          <w:rFonts w:ascii="Tahoma" w:hAnsi="Tahoma" w:cs="Tahoma"/>
          <w:sz w:val="20"/>
          <w:szCs w:val="20"/>
        </w:rPr>
        <w:t>leurs</w:t>
      </w:r>
      <w:r w:rsidR="00DB1635" w:rsidRPr="00B004EE">
        <w:rPr>
          <w:rFonts w:ascii="Tahoma" w:hAnsi="Tahoma" w:cs="Tahoma"/>
          <w:spacing w:val="-19"/>
          <w:sz w:val="20"/>
          <w:szCs w:val="20"/>
        </w:rPr>
        <w:t xml:space="preserve"> </w:t>
      </w:r>
      <w:r w:rsidRPr="00B004EE">
        <w:rPr>
          <w:rFonts w:ascii="Tahoma" w:hAnsi="Tahoma" w:cs="Tahoma"/>
          <w:sz w:val="20"/>
          <w:szCs w:val="20"/>
        </w:rPr>
        <w:t>fonctions.</w:t>
      </w:r>
    </w:p>
    <w:p w14:paraId="4B49A6EE" w14:textId="7A77C4F1" w:rsidR="001E7C3C" w:rsidRPr="00B004EE" w:rsidRDefault="001E7C3C" w:rsidP="00B004EE">
      <w:pPr>
        <w:pStyle w:val="Corpsdetexte"/>
        <w:ind w:right="164"/>
        <w:rPr>
          <w:rFonts w:ascii="Tahoma" w:hAnsi="Tahoma" w:cs="Tahoma"/>
          <w:sz w:val="20"/>
          <w:szCs w:val="20"/>
        </w:rPr>
      </w:pP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serment</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enregistré</w:t>
      </w:r>
      <w:r w:rsidR="00DB1635" w:rsidRPr="00B004EE">
        <w:rPr>
          <w:rFonts w:ascii="Tahoma" w:hAnsi="Tahoma" w:cs="Tahoma"/>
          <w:sz w:val="20"/>
          <w:szCs w:val="20"/>
        </w:rPr>
        <w:t xml:space="preserve"> </w:t>
      </w:r>
      <w:r w:rsidRPr="00B004EE">
        <w:rPr>
          <w:rFonts w:ascii="Tahoma" w:hAnsi="Tahoma" w:cs="Tahoma"/>
          <w:sz w:val="20"/>
          <w:szCs w:val="20"/>
        </w:rPr>
        <w:t>sans</w:t>
      </w:r>
      <w:r w:rsidR="00DB1635" w:rsidRPr="00B004EE">
        <w:rPr>
          <w:rFonts w:ascii="Tahoma" w:hAnsi="Tahoma" w:cs="Tahoma"/>
          <w:sz w:val="20"/>
          <w:szCs w:val="20"/>
        </w:rPr>
        <w:t xml:space="preserve"> </w:t>
      </w:r>
      <w:r w:rsidRPr="00B004EE">
        <w:rPr>
          <w:rFonts w:ascii="Tahoma" w:hAnsi="Tahoma" w:cs="Tahoma"/>
          <w:sz w:val="20"/>
          <w:szCs w:val="20"/>
        </w:rPr>
        <w:t>frais</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greffe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juridiction</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n'est</w:t>
      </w:r>
      <w:r w:rsidR="00DB1635" w:rsidRPr="00B004EE">
        <w:rPr>
          <w:rFonts w:ascii="Tahoma" w:hAnsi="Tahoma" w:cs="Tahoma"/>
          <w:spacing w:val="38"/>
          <w:sz w:val="20"/>
          <w:szCs w:val="20"/>
        </w:rPr>
        <w:t xml:space="preserve"> </w:t>
      </w:r>
      <w:r w:rsidRPr="00B004EE">
        <w:rPr>
          <w:rFonts w:ascii="Tahoma" w:hAnsi="Tahoma" w:cs="Tahoma"/>
          <w:sz w:val="20"/>
          <w:szCs w:val="20"/>
        </w:rPr>
        <w:t>pas</w:t>
      </w:r>
      <w:r w:rsidR="00DB1635" w:rsidRPr="00B004EE">
        <w:rPr>
          <w:rFonts w:ascii="Tahoma" w:hAnsi="Tahoma" w:cs="Tahoma"/>
          <w:w w:val="94"/>
          <w:sz w:val="20"/>
          <w:szCs w:val="20"/>
        </w:rPr>
        <w:t xml:space="preserve"> </w:t>
      </w:r>
      <w:r w:rsidRPr="00B004EE">
        <w:rPr>
          <w:rFonts w:ascii="Tahoma" w:hAnsi="Tahoma" w:cs="Tahoma"/>
          <w:sz w:val="20"/>
          <w:szCs w:val="20"/>
        </w:rPr>
        <w:t>renouvelé</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cas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changement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résidence</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ressort</w:t>
      </w:r>
      <w:r w:rsidR="00DB1635" w:rsidRPr="00B004EE">
        <w:rPr>
          <w:rFonts w:ascii="Tahoma" w:hAnsi="Tahoma" w:cs="Tahoma"/>
          <w:sz w:val="20"/>
          <w:szCs w:val="20"/>
        </w:rPr>
        <w:t xml:space="preserve"> </w:t>
      </w:r>
      <w:r w:rsidRPr="00B004EE">
        <w:rPr>
          <w:rFonts w:ascii="Tahoma" w:hAnsi="Tahoma" w:cs="Tahoma"/>
          <w:sz w:val="20"/>
          <w:szCs w:val="20"/>
        </w:rPr>
        <w:t>d'une</w:t>
      </w:r>
      <w:r w:rsidR="00DB1635" w:rsidRPr="00B004EE">
        <w:rPr>
          <w:rFonts w:ascii="Tahoma" w:hAnsi="Tahoma" w:cs="Tahoma"/>
          <w:spacing w:val="37"/>
          <w:sz w:val="20"/>
          <w:szCs w:val="20"/>
        </w:rPr>
        <w:t xml:space="preserve"> </w:t>
      </w:r>
      <w:r w:rsidRPr="00B004EE">
        <w:rPr>
          <w:rFonts w:ascii="Tahoma" w:hAnsi="Tahoma" w:cs="Tahoma"/>
          <w:sz w:val="20"/>
          <w:szCs w:val="20"/>
        </w:rPr>
        <w:t>autre</w:t>
      </w:r>
      <w:r w:rsidR="00DB1635" w:rsidRPr="00B004EE">
        <w:rPr>
          <w:rFonts w:ascii="Tahoma" w:hAnsi="Tahoma" w:cs="Tahoma"/>
          <w:w w:val="94"/>
          <w:sz w:val="20"/>
          <w:szCs w:val="20"/>
        </w:rPr>
        <w:t xml:space="preserve"> </w:t>
      </w:r>
      <w:r w:rsidRPr="00B004EE">
        <w:rPr>
          <w:rFonts w:ascii="Tahoma" w:hAnsi="Tahoma" w:cs="Tahoma"/>
          <w:sz w:val="20"/>
          <w:szCs w:val="20"/>
        </w:rPr>
        <w:t>juridiction.</w:t>
      </w:r>
    </w:p>
    <w:p w14:paraId="6395C676" w14:textId="69F0DE09" w:rsidR="001E7C3C" w:rsidRPr="00B004EE" w:rsidRDefault="001E7C3C" w:rsidP="00B004EE">
      <w:pPr>
        <w:pStyle w:val="Corpsdetexte"/>
        <w:rPr>
          <w:rFonts w:ascii="Tahoma" w:hAnsi="Tahoma" w:cs="Tahoma"/>
          <w:sz w:val="20"/>
          <w:szCs w:val="20"/>
        </w:rPr>
      </w:pPr>
      <w:r w:rsidRPr="00B004EE">
        <w:rPr>
          <w:rFonts w:ascii="Tahoma" w:hAnsi="Tahoma" w:cs="Tahoma"/>
          <w:sz w:val="20"/>
          <w:szCs w:val="20"/>
        </w:rPr>
        <w:t>La</w:t>
      </w:r>
      <w:r w:rsidR="00DB1635" w:rsidRPr="00B004EE">
        <w:rPr>
          <w:rFonts w:ascii="Tahoma" w:hAnsi="Tahoma" w:cs="Tahoma"/>
          <w:spacing w:val="-16"/>
          <w:sz w:val="20"/>
          <w:szCs w:val="20"/>
        </w:rPr>
        <w:t xml:space="preserve"> </w:t>
      </w:r>
      <w:r w:rsidRPr="00B004EE">
        <w:rPr>
          <w:rFonts w:ascii="Tahoma" w:hAnsi="Tahoma" w:cs="Tahoma"/>
          <w:sz w:val="20"/>
          <w:szCs w:val="20"/>
        </w:rPr>
        <w:t>formule</w:t>
      </w:r>
      <w:r w:rsidR="00DB1635" w:rsidRPr="00B004EE">
        <w:rPr>
          <w:rFonts w:ascii="Tahoma" w:hAnsi="Tahoma" w:cs="Tahoma"/>
          <w:spacing w:val="-17"/>
          <w:sz w:val="20"/>
          <w:szCs w:val="20"/>
        </w:rPr>
        <w:t xml:space="preserve"> </w:t>
      </w:r>
      <w:r w:rsidRPr="00B004EE">
        <w:rPr>
          <w:rFonts w:ascii="Tahoma" w:hAnsi="Tahoma" w:cs="Tahoma"/>
          <w:sz w:val="20"/>
          <w:szCs w:val="20"/>
        </w:rPr>
        <w:t>du</w:t>
      </w:r>
      <w:r w:rsidR="00DB1635" w:rsidRPr="00B004EE">
        <w:rPr>
          <w:rFonts w:ascii="Tahoma" w:hAnsi="Tahoma" w:cs="Tahoma"/>
          <w:spacing w:val="-17"/>
          <w:sz w:val="20"/>
          <w:szCs w:val="20"/>
        </w:rPr>
        <w:t xml:space="preserve"> </w:t>
      </w:r>
      <w:r w:rsidRPr="00B004EE">
        <w:rPr>
          <w:rFonts w:ascii="Tahoma" w:hAnsi="Tahoma" w:cs="Tahoma"/>
          <w:sz w:val="20"/>
          <w:szCs w:val="20"/>
        </w:rPr>
        <w:t>serment</w:t>
      </w:r>
      <w:r w:rsidR="00DB1635" w:rsidRPr="00B004EE">
        <w:rPr>
          <w:rFonts w:ascii="Tahoma" w:hAnsi="Tahoma" w:cs="Tahoma"/>
          <w:spacing w:val="-16"/>
          <w:sz w:val="20"/>
          <w:szCs w:val="20"/>
        </w:rPr>
        <w:t xml:space="preserve"> </w:t>
      </w:r>
      <w:r w:rsidRPr="00B004EE">
        <w:rPr>
          <w:rFonts w:ascii="Tahoma" w:hAnsi="Tahoma" w:cs="Tahoma"/>
          <w:sz w:val="20"/>
          <w:szCs w:val="20"/>
        </w:rPr>
        <w:t>est</w:t>
      </w:r>
      <w:r w:rsidR="00DB1635" w:rsidRPr="00B004EE">
        <w:rPr>
          <w:rFonts w:ascii="Tahoma" w:hAnsi="Tahoma" w:cs="Tahoma"/>
          <w:spacing w:val="-17"/>
          <w:sz w:val="20"/>
          <w:szCs w:val="20"/>
        </w:rPr>
        <w:t xml:space="preserve"> </w:t>
      </w:r>
      <w:r w:rsidRPr="00B004EE">
        <w:rPr>
          <w:rFonts w:ascii="Tahoma" w:hAnsi="Tahoma" w:cs="Tahoma"/>
          <w:sz w:val="20"/>
          <w:szCs w:val="20"/>
        </w:rPr>
        <w:t>la</w:t>
      </w:r>
      <w:r w:rsidR="00DB1635" w:rsidRPr="00B004EE">
        <w:rPr>
          <w:rFonts w:ascii="Tahoma" w:hAnsi="Tahoma" w:cs="Tahoma"/>
          <w:spacing w:val="-16"/>
          <w:sz w:val="20"/>
          <w:szCs w:val="20"/>
        </w:rPr>
        <w:t xml:space="preserve"> </w:t>
      </w:r>
      <w:r w:rsidRPr="00B004EE">
        <w:rPr>
          <w:rFonts w:ascii="Tahoma" w:hAnsi="Tahoma" w:cs="Tahoma"/>
          <w:sz w:val="20"/>
          <w:szCs w:val="20"/>
        </w:rPr>
        <w:t>suivante</w:t>
      </w:r>
      <w:r w:rsidR="00DB1635" w:rsidRPr="00B004EE">
        <w:rPr>
          <w:rFonts w:ascii="Tahoma" w:hAnsi="Tahoma" w:cs="Tahoma"/>
          <w:spacing w:val="-17"/>
          <w:sz w:val="20"/>
          <w:szCs w:val="20"/>
        </w:rPr>
        <w:t xml:space="preserve"> </w:t>
      </w:r>
      <w:r w:rsidRPr="00B004EE">
        <w:rPr>
          <w:rFonts w:ascii="Tahoma" w:hAnsi="Tahoma" w:cs="Tahoma"/>
          <w:sz w:val="20"/>
          <w:szCs w:val="20"/>
        </w:rPr>
        <w:t>:</w:t>
      </w:r>
    </w:p>
    <w:p w14:paraId="03EB7A15" w14:textId="6FE57BF5" w:rsidR="001E7C3C" w:rsidRPr="00B004EE" w:rsidRDefault="001E7C3C" w:rsidP="00B004EE">
      <w:pPr>
        <w:pStyle w:val="Corpsdetexte"/>
        <w:ind w:right="167"/>
        <w:rPr>
          <w:rFonts w:ascii="Tahoma" w:hAnsi="Tahoma" w:cs="Tahoma"/>
          <w:sz w:val="20"/>
          <w:szCs w:val="20"/>
        </w:rPr>
      </w:pPr>
      <w:r w:rsidRPr="00B004EE">
        <w:rPr>
          <w:rFonts w:ascii="Tahoma" w:hAnsi="Tahoma" w:cs="Tahoma"/>
          <w:sz w:val="20"/>
          <w:szCs w:val="20"/>
        </w:rPr>
        <w:t>"Je</w:t>
      </w:r>
      <w:r w:rsidR="00DB1635" w:rsidRPr="00B004EE">
        <w:rPr>
          <w:rFonts w:ascii="Tahoma" w:hAnsi="Tahoma" w:cs="Tahoma"/>
          <w:sz w:val="20"/>
          <w:szCs w:val="20"/>
        </w:rPr>
        <w:t xml:space="preserve"> </w:t>
      </w:r>
      <w:r w:rsidRPr="00B004EE">
        <w:rPr>
          <w:rFonts w:ascii="Tahoma" w:hAnsi="Tahoma" w:cs="Tahoma"/>
          <w:sz w:val="20"/>
          <w:szCs w:val="20"/>
        </w:rPr>
        <w:t>jure</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ALLAH</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TOUT</w:t>
      </w:r>
      <w:r w:rsidR="00DB1635" w:rsidRPr="00B004EE">
        <w:rPr>
          <w:rFonts w:ascii="Tahoma" w:hAnsi="Tahoma" w:cs="Tahoma"/>
          <w:sz w:val="20"/>
          <w:szCs w:val="20"/>
        </w:rPr>
        <w:t xml:space="preserve"> </w:t>
      </w:r>
      <w:r w:rsidRPr="00B004EE">
        <w:rPr>
          <w:rFonts w:ascii="Tahoma" w:hAnsi="Tahoma" w:cs="Tahoma"/>
          <w:sz w:val="20"/>
          <w:szCs w:val="20"/>
        </w:rPr>
        <w:t>PUISSANT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bien</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loyalement</w:t>
      </w:r>
      <w:r w:rsidR="00DB1635" w:rsidRPr="00B004EE">
        <w:rPr>
          <w:rFonts w:ascii="Tahoma" w:hAnsi="Tahoma" w:cs="Tahoma"/>
          <w:sz w:val="20"/>
          <w:szCs w:val="20"/>
        </w:rPr>
        <w:t xml:space="preserve"> </w:t>
      </w:r>
      <w:r w:rsidRPr="00B004EE">
        <w:rPr>
          <w:rFonts w:ascii="Tahoma" w:hAnsi="Tahoma" w:cs="Tahoma"/>
          <w:sz w:val="20"/>
          <w:szCs w:val="20"/>
        </w:rPr>
        <w:t>remplir</w:t>
      </w:r>
      <w:r w:rsidR="00DB1635" w:rsidRPr="00B004EE">
        <w:rPr>
          <w:rFonts w:ascii="Tahoma" w:hAnsi="Tahoma" w:cs="Tahoma"/>
          <w:spacing w:val="-21"/>
          <w:sz w:val="20"/>
          <w:szCs w:val="20"/>
        </w:rPr>
        <w:t xml:space="preserve"> </w:t>
      </w:r>
      <w:r w:rsidRPr="00B004EE">
        <w:rPr>
          <w:rFonts w:ascii="Tahoma" w:hAnsi="Tahoma" w:cs="Tahoma"/>
          <w:spacing w:val="-2"/>
          <w:sz w:val="20"/>
          <w:szCs w:val="20"/>
        </w:rPr>
        <w:t>mes</w:t>
      </w:r>
      <w:r w:rsidR="00DB1635" w:rsidRPr="00B004EE">
        <w:rPr>
          <w:rFonts w:ascii="Tahoma" w:hAnsi="Tahoma" w:cs="Tahoma"/>
          <w:spacing w:val="-1"/>
          <w:w w:val="95"/>
          <w:sz w:val="20"/>
          <w:szCs w:val="20"/>
        </w:rPr>
        <w:t xml:space="preserve"> </w:t>
      </w:r>
      <w:r w:rsidRPr="00B004EE">
        <w:rPr>
          <w:rFonts w:ascii="Tahoma" w:hAnsi="Tahoma" w:cs="Tahoma"/>
          <w:sz w:val="20"/>
          <w:szCs w:val="20"/>
        </w:rPr>
        <w:t>fonctions</w:t>
      </w:r>
      <w:r w:rsidR="00DB1635" w:rsidRPr="00B004EE">
        <w:rPr>
          <w:rFonts w:ascii="Tahoma" w:hAnsi="Tahoma" w:cs="Tahoma"/>
          <w:spacing w:val="-35"/>
          <w:sz w:val="20"/>
          <w:szCs w:val="20"/>
        </w:rPr>
        <w:t xml:space="preserve"> </w:t>
      </w:r>
      <w:r w:rsidRPr="00B004EE">
        <w:rPr>
          <w:rFonts w:ascii="Tahoma" w:hAnsi="Tahoma" w:cs="Tahoma"/>
          <w:sz w:val="20"/>
          <w:szCs w:val="20"/>
        </w:rPr>
        <w:t>et</w:t>
      </w:r>
      <w:r w:rsidR="00DB1635" w:rsidRPr="00B004EE">
        <w:rPr>
          <w:rFonts w:ascii="Tahoma" w:hAnsi="Tahoma" w:cs="Tahoma"/>
          <w:spacing w:val="-34"/>
          <w:sz w:val="20"/>
          <w:szCs w:val="20"/>
        </w:rPr>
        <w:t xml:space="preserve"> </w:t>
      </w:r>
      <w:r w:rsidRPr="00B004EE">
        <w:rPr>
          <w:rFonts w:ascii="Tahoma" w:hAnsi="Tahoma" w:cs="Tahoma"/>
          <w:sz w:val="20"/>
          <w:szCs w:val="20"/>
        </w:rPr>
        <w:t>d'observer</w:t>
      </w:r>
      <w:r w:rsidR="00DB1635" w:rsidRPr="00B004EE">
        <w:rPr>
          <w:rFonts w:ascii="Tahoma" w:hAnsi="Tahoma" w:cs="Tahoma"/>
          <w:spacing w:val="-35"/>
          <w:sz w:val="20"/>
          <w:szCs w:val="20"/>
        </w:rPr>
        <w:t xml:space="preserve"> </w:t>
      </w:r>
      <w:r w:rsidRPr="00B004EE">
        <w:rPr>
          <w:rFonts w:ascii="Tahoma" w:hAnsi="Tahoma" w:cs="Tahoma"/>
          <w:sz w:val="20"/>
          <w:szCs w:val="20"/>
        </w:rPr>
        <w:t>en</w:t>
      </w:r>
      <w:r w:rsidR="00DB1635" w:rsidRPr="00B004EE">
        <w:rPr>
          <w:rFonts w:ascii="Tahoma" w:hAnsi="Tahoma" w:cs="Tahoma"/>
          <w:spacing w:val="-34"/>
          <w:sz w:val="20"/>
          <w:szCs w:val="20"/>
        </w:rPr>
        <w:t xml:space="preserve"> </w:t>
      </w:r>
      <w:r w:rsidRPr="00B004EE">
        <w:rPr>
          <w:rFonts w:ascii="Tahoma" w:hAnsi="Tahoma" w:cs="Tahoma"/>
          <w:sz w:val="20"/>
          <w:szCs w:val="20"/>
        </w:rPr>
        <w:t>tout</w:t>
      </w:r>
      <w:r w:rsidR="00DB1635" w:rsidRPr="00B004EE">
        <w:rPr>
          <w:rFonts w:ascii="Tahoma" w:hAnsi="Tahoma" w:cs="Tahoma"/>
          <w:spacing w:val="-34"/>
          <w:sz w:val="20"/>
          <w:szCs w:val="20"/>
        </w:rPr>
        <w:t xml:space="preserve"> </w:t>
      </w:r>
      <w:r w:rsidRPr="00B004EE">
        <w:rPr>
          <w:rFonts w:ascii="Tahoma" w:hAnsi="Tahoma" w:cs="Tahoma"/>
          <w:sz w:val="20"/>
          <w:szCs w:val="20"/>
        </w:rPr>
        <w:t>les</w:t>
      </w:r>
      <w:r w:rsidR="00DB1635" w:rsidRPr="00B004EE">
        <w:rPr>
          <w:rFonts w:ascii="Tahoma" w:hAnsi="Tahoma" w:cs="Tahoma"/>
          <w:spacing w:val="-34"/>
          <w:sz w:val="20"/>
          <w:szCs w:val="20"/>
        </w:rPr>
        <w:t xml:space="preserve"> </w:t>
      </w:r>
      <w:r w:rsidRPr="00B004EE">
        <w:rPr>
          <w:rFonts w:ascii="Tahoma" w:hAnsi="Tahoma" w:cs="Tahoma"/>
          <w:sz w:val="20"/>
          <w:szCs w:val="20"/>
        </w:rPr>
        <w:t>devoirs</w:t>
      </w:r>
      <w:r w:rsidR="00DB1635" w:rsidRPr="00B004EE">
        <w:rPr>
          <w:rFonts w:ascii="Tahoma" w:hAnsi="Tahoma" w:cs="Tahoma"/>
          <w:spacing w:val="-34"/>
          <w:sz w:val="20"/>
          <w:szCs w:val="20"/>
        </w:rPr>
        <w:t xml:space="preserve"> </w:t>
      </w:r>
      <w:r w:rsidRPr="00B004EE">
        <w:rPr>
          <w:rFonts w:ascii="Tahoma" w:hAnsi="Tahoma" w:cs="Tahoma"/>
          <w:sz w:val="20"/>
          <w:szCs w:val="20"/>
        </w:rPr>
        <w:t>qu'elles</w:t>
      </w:r>
      <w:r w:rsidR="00DB1635" w:rsidRPr="00B004EE">
        <w:rPr>
          <w:rFonts w:ascii="Tahoma" w:hAnsi="Tahoma" w:cs="Tahoma"/>
          <w:spacing w:val="-34"/>
          <w:sz w:val="20"/>
          <w:szCs w:val="20"/>
        </w:rPr>
        <w:t xml:space="preserve"> </w:t>
      </w:r>
      <w:r w:rsidRPr="00B004EE">
        <w:rPr>
          <w:rFonts w:ascii="Tahoma" w:hAnsi="Tahoma" w:cs="Tahoma"/>
          <w:sz w:val="20"/>
          <w:szCs w:val="20"/>
        </w:rPr>
        <w:t>m'imposent".</w:t>
      </w:r>
    </w:p>
    <w:p w14:paraId="7BB7299A" w14:textId="77777777" w:rsidR="001E7C3C" w:rsidRPr="00B004EE" w:rsidRDefault="001E7C3C" w:rsidP="00B004EE">
      <w:pPr>
        <w:rPr>
          <w:rFonts w:ascii="Tahoma" w:eastAsia="American Typewriter" w:hAnsi="Tahoma" w:cs="Tahoma"/>
          <w:sz w:val="20"/>
          <w:szCs w:val="20"/>
        </w:rPr>
      </w:pPr>
    </w:p>
    <w:p w14:paraId="3CC3FF11" w14:textId="45D4EB7B" w:rsidR="001E7C3C" w:rsidRPr="00B004EE" w:rsidRDefault="001E7C3C" w:rsidP="00B004EE">
      <w:pPr>
        <w:pStyle w:val="Lgende"/>
        <w:jc w:val="center"/>
        <w:rPr>
          <w:rFonts w:ascii="Tahoma" w:eastAsia="American Typewriter" w:hAnsi="Tahoma" w:cs="Tahoma"/>
        </w:rPr>
      </w:pPr>
      <w:bookmarkStart w:id="109" w:name="_Toc16279087"/>
      <w:bookmarkStart w:id="110" w:name="_Toc16279456"/>
      <w:r w:rsidRPr="00B004EE">
        <w:rPr>
          <w:rFonts w:ascii="Tahoma" w:eastAsia="American Typewriter" w:hAnsi="Tahoma" w:cs="Tahoma"/>
        </w:rPr>
        <w:t>Section</w:t>
      </w:r>
      <w:r w:rsidR="00DB1635" w:rsidRPr="00B004EE">
        <w:rPr>
          <w:rFonts w:ascii="Tahoma" w:eastAsia="American Typewriter" w:hAnsi="Tahoma" w:cs="Tahoma"/>
        </w:rPr>
        <w:t xml:space="preserve"> </w:t>
      </w:r>
      <w:r w:rsidRPr="00B004EE">
        <w:rPr>
          <w:rFonts w:ascii="Tahoma" w:eastAsia="American Typewriter" w:hAnsi="Tahoma" w:cs="Tahoma"/>
        </w:rPr>
        <w:t>4</w:t>
      </w:r>
      <w:r w:rsidR="00DB1635" w:rsidRPr="00B004EE">
        <w:rPr>
          <w:rFonts w:ascii="Tahoma" w:eastAsia="American Typewriter" w:hAnsi="Tahoma" w:cs="Tahoma"/>
        </w:rPr>
        <w:t xml:space="preserve"> </w:t>
      </w:r>
      <w:r w:rsidRPr="00B004EE">
        <w:rPr>
          <w:rFonts w:ascii="Tahoma" w:eastAsia="American Typewriter" w:hAnsi="Tahoma" w:cs="Tahoma"/>
        </w:rPr>
        <w:t>:</w:t>
      </w:r>
      <w:r w:rsidR="00DB1635" w:rsidRPr="00B004EE">
        <w:rPr>
          <w:rFonts w:ascii="Tahoma" w:eastAsia="American Typewriter" w:hAnsi="Tahoma" w:cs="Tahoma"/>
        </w:rPr>
        <w:t xml:space="preserve"> </w:t>
      </w:r>
      <w:r w:rsidRPr="00B004EE">
        <w:rPr>
          <w:rFonts w:ascii="Tahoma" w:eastAsia="American Typewriter" w:hAnsi="Tahoma" w:cs="Tahoma"/>
        </w:rPr>
        <w:t>Des</w:t>
      </w:r>
      <w:r w:rsidR="00DB1635" w:rsidRPr="00B004EE">
        <w:rPr>
          <w:rFonts w:ascii="Tahoma" w:eastAsia="American Typewriter" w:hAnsi="Tahoma" w:cs="Tahoma"/>
        </w:rPr>
        <w:t xml:space="preserve"> </w:t>
      </w:r>
      <w:r w:rsidRPr="00B004EE">
        <w:rPr>
          <w:rFonts w:ascii="Tahoma" w:eastAsia="American Typewriter" w:hAnsi="Tahoma" w:cs="Tahoma"/>
        </w:rPr>
        <w:t>pouvoirs</w:t>
      </w:r>
      <w:r w:rsidR="00DB1635" w:rsidRPr="00B004EE">
        <w:rPr>
          <w:rFonts w:ascii="Tahoma" w:eastAsia="American Typewriter" w:hAnsi="Tahoma" w:cs="Tahoma"/>
        </w:rPr>
        <w:t xml:space="preserve"> </w:t>
      </w:r>
      <w:r w:rsidRPr="00B004EE">
        <w:rPr>
          <w:rFonts w:ascii="Tahoma" w:eastAsia="American Typewriter" w:hAnsi="Tahoma" w:cs="Tahoma"/>
        </w:rPr>
        <w:t>des</w:t>
      </w:r>
      <w:r w:rsidR="00DB1635" w:rsidRPr="00B004EE">
        <w:rPr>
          <w:rFonts w:ascii="Tahoma" w:eastAsia="American Typewriter" w:hAnsi="Tahoma" w:cs="Tahoma"/>
        </w:rPr>
        <w:t xml:space="preserve"> </w:t>
      </w:r>
      <w:r w:rsidRPr="00B004EE">
        <w:rPr>
          <w:rFonts w:ascii="Tahoma" w:eastAsia="American Typewriter" w:hAnsi="Tahoma" w:cs="Tahoma"/>
        </w:rPr>
        <w:t>agents</w:t>
      </w:r>
      <w:r w:rsidR="00DB1635" w:rsidRPr="00B004EE">
        <w:rPr>
          <w:rFonts w:ascii="Tahoma" w:eastAsia="American Typewriter" w:hAnsi="Tahoma" w:cs="Tahoma"/>
        </w:rPr>
        <w:t xml:space="preserve"> </w:t>
      </w:r>
      <w:r w:rsidRPr="00B004EE">
        <w:rPr>
          <w:rFonts w:ascii="Tahoma" w:eastAsia="American Typewriter" w:hAnsi="Tahoma" w:cs="Tahoma"/>
        </w:rPr>
        <w:t>de</w:t>
      </w:r>
      <w:r w:rsidR="00DB1635" w:rsidRPr="00B004EE">
        <w:rPr>
          <w:rFonts w:ascii="Tahoma" w:eastAsia="American Typewriter" w:hAnsi="Tahoma" w:cs="Tahoma"/>
        </w:rPr>
        <w:t xml:space="preserve"> </w:t>
      </w:r>
      <w:r w:rsidRPr="00B004EE">
        <w:rPr>
          <w:rFonts w:ascii="Tahoma" w:eastAsia="American Typewriter" w:hAnsi="Tahoma" w:cs="Tahoma"/>
        </w:rPr>
        <w:t>contrôle</w:t>
      </w:r>
      <w:bookmarkEnd w:id="109"/>
      <w:bookmarkEnd w:id="110"/>
    </w:p>
    <w:p w14:paraId="461D0E69" w14:textId="77777777" w:rsidR="001E7C3C" w:rsidRPr="00B004EE" w:rsidRDefault="001E7C3C" w:rsidP="00B004EE">
      <w:pPr>
        <w:rPr>
          <w:rFonts w:ascii="Tahoma" w:eastAsia="American Typewriter" w:hAnsi="Tahoma" w:cs="Tahoma"/>
          <w:b/>
          <w:bCs/>
          <w:sz w:val="20"/>
          <w:szCs w:val="20"/>
        </w:rPr>
      </w:pPr>
    </w:p>
    <w:p w14:paraId="63BEA6D0" w14:textId="185D3728" w:rsidR="001E7C3C" w:rsidRPr="00B004EE" w:rsidRDefault="001E7C3C" w:rsidP="00B004EE">
      <w:pPr>
        <w:pStyle w:val="Corpsdetexte"/>
        <w:ind w:right="160"/>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67</w:t>
      </w:r>
      <w:r w:rsidR="00DB1635" w:rsidRPr="00B004EE">
        <w:rPr>
          <w:rFonts w:ascii="Tahoma" w:hAnsi="Tahoma" w:cs="Tahoma"/>
          <w:bCs/>
          <w:sz w:val="20"/>
          <w:szCs w:val="20"/>
        </w:rPr>
        <w:t xml:space="preserve"> </w:t>
      </w:r>
      <w:r w:rsidRPr="00B004EE">
        <w:rPr>
          <w:rFonts w:ascii="Tahoma" w:hAnsi="Tahoma" w:cs="Tahoma"/>
          <w:bCs/>
          <w:sz w:val="20"/>
          <w:szCs w:val="20"/>
        </w:rPr>
        <w:t>:</w:t>
      </w:r>
      <w:r w:rsidR="00DB1635" w:rsidRPr="00B004EE">
        <w:rPr>
          <w:rFonts w:ascii="Tahoma" w:hAnsi="Tahoma" w:cs="Tahoma"/>
          <w:b/>
          <w:spacing w:val="-3"/>
          <w:sz w:val="20"/>
          <w:szCs w:val="20"/>
        </w:rPr>
        <w:t xml:space="preserve"> </w:t>
      </w:r>
      <w:r w:rsidRPr="00B004EE">
        <w:rPr>
          <w:rFonts w:ascii="Tahoma" w:hAnsi="Tahoma" w:cs="Tahoma"/>
          <w:sz w:val="20"/>
          <w:szCs w:val="20"/>
        </w:rPr>
        <w:t>Pour</w:t>
      </w:r>
      <w:r w:rsidR="00DB1635" w:rsidRPr="00B004EE">
        <w:rPr>
          <w:rFonts w:ascii="Tahoma" w:hAnsi="Tahoma" w:cs="Tahoma"/>
          <w:spacing w:val="-6"/>
          <w:sz w:val="20"/>
          <w:szCs w:val="20"/>
        </w:rPr>
        <w:t xml:space="preserve"> </w:t>
      </w:r>
      <w:r w:rsidRPr="00B004EE">
        <w:rPr>
          <w:rFonts w:ascii="Tahoma" w:hAnsi="Tahoma" w:cs="Tahoma"/>
          <w:sz w:val="20"/>
          <w:szCs w:val="20"/>
        </w:rPr>
        <w:t>la</w:t>
      </w:r>
      <w:r w:rsidR="00DB1635" w:rsidRPr="00B004EE">
        <w:rPr>
          <w:rFonts w:ascii="Tahoma" w:hAnsi="Tahoma" w:cs="Tahoma"/>
          <w:spacing w:val="-5"/>
          <w:sz w:val="20"/>
          <w:szCs w:val="20"/>
        </w:rPr>
        <w:t xml:space="preserve"> </w:t>
      </w:r>
      <w:r w:rsidRPr="00B004EE">
        <w:rPr>
          <w:rFonts w:ascii="Tahoma" w:hAnsi="Tahoma" w:cs="Tahoma"/>
          <w:sz w:val="20"/>
          <w:szCs w:val="20"/>
        </w:rPr>
        <w:t>recherche</w:t>
      </w:r>
      <w:r w:rsidR="00DB1635" w:rsidRPr="00B004EE">
        <w:rPr>
          <w:rFonts w:ascii="Tahoma" w:hAnsi="Tahoma" w:cs="Tahoma"/>
          <w:spacing w:val="-6"/>
          <w:sz w:val="20"/>
          <w:szCs w:val="20"/>
        </w:rPr>
        <w:t xml:space="preserve"> </w:t>
      </w:r>
      <w:r w:rsidRPr="00B004EE">
        <w:rPr>
          <w:rFonts w:ascii="Tahoma" w:hAnsi="Tahoma" w:cs="Tahoma"/>
          <w:sz w:val="20"/>
          <w:szCs w:val="20"/>
        </w:rPr>
        <w:t>et</w:t>
      </w:r>
      <w:r w:rsidR="00DB1635" w:rsidRPr="00B004EE">
        <w:rPr>
          <w:rFonts w:ascii="Tahoma" w:hAnsi="Tahoma" w:cs="Tahoma"/>
          <w:spacing w:val="-6"/>
          <w:sz w:val="20"/>
          <w:szCs w:val="20"/>
        </w:rPr>
        <w:t xml:space="preserve"> </w:t>
      </w:r>
      <w:r w:rsidRPr="00B004EE">
        <w:rPr>
          <w:rFonts w:ascii="Tahoma" w:hAnsi="Tahoma" w:cs="Tahoma"/>
          <w:sz w:val="20"/>
          <w:szCs w:val="20"/>
        </w:rPr>
        <w:t>la</w:t>
      </w:r>
      <w:r w:rsidR="00DB1635" w:rsidRPr="00B004EE">
        <w:rPr>
          <w:rFonts w:ascii="Tahoma" w:hAnsi="Tahoma" w:cs="Tahoma"/>
          <w:spacing w:val="-5"/>
          <w:sz w:val="20"/>
          <w:szCs w:val="20"/>
        </w:rPr>
        <w:t xml:space="preserve"> </w:t>
      </w:r>
      <w:r w:rsidRPr="00B004EE">
        <w:rPr>
          <w:rFonts w:ascii="Tahoma" w:hAnsi="Tahoma" w:cs="Tahoma"/>
          <w:sz w:val="20"/>
          <w:szCs w:val="20"/>
        </w:rPr>
        <w:t>constatation</w:t>
      </w:r>
      <w:r w:rsidR="00DB1635" w:rsidRPr="00B004EE">
        <w:rPr>
          <w:rFonts w:ascii="Tahoma" w:hAnsi="Tahoma" w:cs="Tahoma"/>
          <w:spacing w:val="-6"/>
          <w:sz w:val="20"/>
          <w:szCs w:val="20"/>
        </w:rPr>
        <w:t xml:space="preserve"> </w:t>
      </w:r>
      <w:r w:rsidRPr="00B004EE">
        <w:rPr>
          <w:rFonts w:ascii="Tahoma" w:hAnsi="Tahoma" w:cs="Tahoma"/>
          <w:sz w:val="20"/>
          <w:szCs w:val="20"/>
        </w:rPr>
        <w:t>des</w:t>
      </w:r>
      <w:r w:rsidR="00DB1635" w:rsidRPr="00B004EE">
        <w:rPr>
          <w:rFonts w:ascii="Tahoma" w:hAnsi="Tahoma" w:cs="Tahoma"/>
          <w:spacing w:val="-7"/>
          <w:sz w:val="20"/>
          <w:szCs w:val="20"/>
        </w:rPr>
        <w:t xml:space="preserve"> </w:t>
      </w:r>
      <w:r w:rsidRPr="00B004EE">
        <w:rPr>
          <w:rFonts w:ascii="Tahoma" w:hAnsi="Tahoma" w:cs="Tahoma"/>
          <w:sz w:val="20"/>
          <w:szCs w:val="20"/>
        </w:rPr>
        <w:t>infractions</w:t>
      </w:r>
      <w:r w:rsidR="00DB1635" w:rsidRPr="00B004EE">
        <w:rPr>
          <w:rFonts w:ascii="Tahoma" w:hAnsi="Tahoma" w:cs="Tahoma"/>
          <w:spacing w:val="-7"/>
          <w:sz w:val="20"/>
          <w:szCs w:val="20"/>
        </w:rPr>
        <w:t xml:space="preserve"> </w:t>
      </w:r>
      <w:r w:rsidRPr="00B004EE">
        <w:rPr>
          <w:rFonts w:ascii="Tahoma" w:hAnsi="Tahoma" w:cs="Tahoma"/>
          <w:sz w:val="20"/>
          <w:szCs w:val="20"/>
        </w:rPr>
        <w:t>et</w:t>
      </w:r>
      <w:r w:rsidR="00DB1635" w:rsidRPr="00B004EE">
        <w:rPr>
          <w:rFonts w:ascii="Tahoma" w:hAnsi="Tahoma" w:cs="Tahoma"/>
          <w:spacing w:val="-7"/>
          <w:sz w:val="20"/>
          <w:szCs w:val="20"/>
        </w:rPr>
        <w:t xml:space="preserve"> </w:t>
      </w:r>
      <w:r w:rsidRPr="00B004EE">
        <w:rPr>
          <w:rFonts w:ascii="Tahoma" w:hAnsi="Tahoma" w:cs="Tahoma"/>
          <w:sz w:val="20"/>
          <w:szCs w:val="20"/>
        </w:rPr>
        <w:t>sans</w:t>
      </w:r>
      <w:r w:rsidR="00DB1635" w:rsidRPr="00B004EE">
        <w:rPr>
          <w:rFonts w:ascii="Tahoma" w:hAnsi="Tahoma" w:cs="Tahoma"/>
          <w:spacing w:val="-7"/>
          <w:sz w:val="20"/>
          <w:szCs w:val="20"/>
        </w:rPr>
        <w:t xml:space="preserve"> </w:t>
      </w:r>
      <w:r w:rsidRPr="00B004EE">
        <w:rPr>
          <w:rFonts w:ascii="Tahoma" w:hAnsi="Tahoma" w:cs="Tahoma"/>
          <w:sz w:val="20"/>
          <w:szCs w:val="20"/>
        </w:rPr>
        <w:t>préjudice</w:t>
      </w:r>
      <w:r w:rsidR="00DB1635" w:rsidRPr="00B004EE">
        <w:rPr>
          <w:rFonts w:ascii="Tahoma" w:hAnsi="Tahoma" w:cs="Tahoma"/>
          <w:w w:val="94"/>
          <w:sz w:val="20"/>
          <w:szCs w:val="20"/>
        </w:rPr>
        <w:t xml:space="preserve"> </w:t>
      </w:r>
      <w:r w:rsidRPr="00B004EE">
        <w:rPr>
          <w:rFonts w:ascii="Tahoma" w:hAnsi="Tahoma" w:cs="Tahoma"/>
          <w:sz w:val="20"/>
          <w:szCs w:val="20"/>
        </w:rPr>
        <w:t>des</w:t>
      </w:r>
      <w:r w:rsidR="00DB1635" w:rsidRPr="00B004EE">
        <w:rPr>
          <w:rFonts w:ascii="Tahoma" w:hAnsi="Tahoma" w:cs="Tahoma"/>
          <w:spacing w:val="-24"/>
          <w:sz w:val="20"/>
          <w:szCs w:val="20"/>
        </w:rPr>
        <w:t xml:space="preserve"> </w:t>
      </w:r>
      <w:r w:rsidRPr="00B004EE">
        <w:rPr>
          <w:rFonts w:ascii="Tahoma" w:hAnsi="Tahoma" w:cs="Tahoma"/>
          <w:sz w:val="20"/>
          <w:szCs w:val="20"/>
        </w:rPr>
        <w:t>dispositions</w:t>
      </w:r>
      <w:r w:rsidR="00DB1635" w:rsidRPr="00B004EE">
        <w:rPr>
          <w:rFonts w:ascii="Tahoma" w:hAnsi="Tahoma" w:cs="Tahoma"/>
          <w:spacing w:val="-24"/>
          <w:sz w:val="20"/>
          <w:szCs w:val="20"/>
        </w:rPr>
        <w:t xml:space="preserve"> </w:t>
      </w:r>
      <w:r w:rsidRPr="00B004EE">
        <w:rPr>
          <w:rFonts w:ascii="Tahoma" w:hAnsi="Tahoma" w:cs="Tahoma"/>
          <w:sz w:val="20"/>
          <w:szCs w:val="20"/>
        </w:rPr>
        <w:t>du</w:t>
      </w:r>
      <w:r w:rsidR="00DB1635" w:rsidRPr="00B004EE">
        <w:rPr>
          <w:rFonts w:ascii="Tahoma" w:hAnsi="Tahoma" w:cs="Tahoma"/>
          <w:spacing w:val="-24"/>
          <w:sz w:val="20"/>
          <w:szCs w:val="20"/>
        </w:rPr>
        <w:t xml:space="preserve"> </w:t>
      </w:r>
      <w:r w:rsidRPr="00B004EE">
        <w:rPr>
          <w:rFonts w:ascii="Tahoma" w:hAnsi="Tahoma" w:cs="Tahoma"/>
          <w:sz w:val="20"/>
          <w:szCs w:val="20"/>
        </w:rPr>
        <w:t>code</w:t>
      </w:r>
      <w:r w:rsidR="00DB1635" w:rsidRPr="00B004EE">
        <w:rPr>
          <w:rFonts w:ascii="Tahoma" w:hAnsi="Tahoma" w:cs="Tahoma"/>
          <w:spacing w:val="-24"/>
          <w:sz w:val="20"/>
          <w:szCs w:val="20"/>
        </w:rPr>
        <w:t xml:space="preserve"> </w:t>
      </w:r>
      <w:r w:rsidRPr="00B004EE">
        <w:rPr>
          <w:rFonts w:ascii="Tahoma" w:hAnsi="Tahoma" w:cs="Tahoma"/>
          <w:sz w:val="20"/>
          <w:szCs w:val="20"/>
        </w:rPr>
        <w:t>de</w:t>
      </w:r>
      <w:r w:rsidR="00DB1635" w:rsidRPr="00B004EE">
        <w:rPr>
          <w:rFonts w:ascii="Tahoma" w:hAnsi="Tahoma" w:cs="Tahoma"/>
          <w:spacing w:val="-24"/>
          <w:sz w:val="20"/>
          <w:szCs w:val="20"/>
        </w:rPr>
        <w:t xml:space="preserve"> </w:t>
      </w:r>
      <w:r w:rsidRPr="00B004EE">
        <w:rPr>
          <w:rFonts w:ascii="Tahoma" w:hAnsi="Tahoma" w:cs="Tahoma"/>
          <w:sz w:val="20"/>
          <w:szCs w:val="20"/>
        </w:rPr>
        <w:t>procédure</w:t>
      </w:r>
      <w:r w:rsidR="00DB1635" w:rsidRPr="00B004EE">
        <w:rPr>
          <w:rFonts w:ascii="Tahoma" w:hAnsi="Tahoma" w:cs="Tahoma"/>
          <w:spacing w:val="-24"/>
          <w:sz w:val="20"/>
          <w:szCs w:val="20"/>
        </w:rPr>
        <w:t xml:space="preserve"> </w:t>
      </w:r>
      <w:r w:rsidRPr="00B004EE">
        <w:rPr>
          <w:rFonts w:ascii="Tahoma" w:hAnsi="Tahoma" w:cs="Tahoma"/>
          <w:sz w:val="20"/>
          <w:szCs w:val="20"/>
        </w:rPr>
        <w:t>pénale,</w:t>
      </w:r>
      <w:r w:rsidR="00DB1635" w:rsidRPr="00B004EE">
        <w:rPr>
          <w:rFonts w:ascii="Tahoma" w:hAnsi="Tahoma" w:cs="Tahoma"/>
          <w:spacing w:val="-23"/>
          <w:sz w:val="20"/>
          <w:szCs w:val="20"/>
        </w:rPr>
        <w:t xml:space="preserve"> </w:t>
      </w:r>
      <w:r w:rsidRPr="00B004EE">
        <w:rPr>
          <w:rFonts w:ascii="Tahoma" w:hAnsi="Tahoma" w:cs="Tahoma"/>
          <w:sz w:val="20"/>
          <w:szCs w:val="20"/>
        </w:rPr>
        <w:t>les</w:t>
      </w:r>
      <w:r w:rsidR="00DB1635" w:rsidRPr="00B004EE">
        <w:rPr>
          <w:rFonts w:ascii="Tahoma" w:hAnsi="Tahoma" w:cs="Tahoma"/>
          <w:spacing w:val="-24"/>
          <w:sz w:val="20"/>
          <w:szCs w:val="20"/>
        </w:rPr>
        <w:t xml:space="preserve"> </w:t>
      </w:r>
      <w:r w:rsidRPr="00B004EE">
        <w:rPr>
          <w:rFonts w:ascii="Tahoma" w:hAnsi="Tahoma" w:cs="Tahoma"/>
          <w:sz w:val="20"/>
          <w:szCs w:val="20"/>
        </w:rPr>
        <w:t>agents</w:t>
      </w:r>
      <w:r w:rsidR="00DB1635" w:rsidRPr="00B004EE">
        <w:rPr>
          <w:rFonts w:ascii="Tahoma" w:hAnsi="Tahoma" w:cs="Tahoma"/>
          <w:spacing w:val="-24"/>
          <w:sz w:val="20"/>
          <w:szCs w:val="20"/>
        </w:rPr>
        <w:t xml:space="preserve"> </w:t>
      </w:r>
      <w:r w:rsidRPr="00B004EE">
        <w:rPr>
          <w:rFonts w:ascii="Tahoma" w:hAnsi="Tahoma" w:cs="Tahoma"/>
          <w:sz w:val="20"/>
          <w:szCs w:val="20"/>
        </w:rPr>
        <w:t>de</w:t>
      </w:r>
      <w:r w:rsidR="00DB1635" w:rsidRPr="00B004EE">
        <w:rPr>
          <w:rFonts w:ascii="Tahoma" w:hAnsi="Tahoma" w:cs="Tahoma"/>
          <w:spacing w:val="-24"/>
          <w:sz w:val="20"/>
          <w:szCs w:val="20"/>
        </w:rPr>
        <w:t xml:space="preserve"> </w:t>
      </w:r>
      <w:r w:rsidRPr="00B004EE">
        <w:rPr>
          <w:rFonts w:ascii="Tahoma" w:hAnsi="Tahoma" w:cs="Tahoma"/>
          <w:sz w:val="20"/>
          <w:szCs w:val="20"/>
        </w:rPr>
        <w:t>contrôle</w:t>
      </w:r>
      <w:r w:rsidR="00DB1635" w:rsidRPr="00B004EE">
        <w:rPr>
          <w:rFonts w:ascii="Tahoma" w:hAnsi="Tahoma" w:cs="Tahoma"/>
          <w:spacing w:val="-24"/>
          <w:sz w:val="20"/>
          <w:szCs w:val="20"/>
        </w:rPr>
        <w:t xml:space="preserve"> </w:t>
      </w:r>
      <w:r w:rsidRPr="00B004EE">
        <w:rPr>
          <w:rFonts w:ascii="Tahoma" w:hAnsi="Tahoma" w:cs="Tahoma"/>
          <w:sz w:val="20"/>
          <w:szCs w:val="20"/>
        </w:rPr>
        <w:t>visés</w:t>
      </w:r>
      <w:r w:rsidR="00DB1635" w:rsidRPr="00B004EE">
        <w:rPr>
          <w:rFonts w:ascii="Tahoma" w:hAnsi="Tahoma" w:cs="Tahoma"/>
          <w:spacing w:val="-24"/>
          <w:sz w:val="20"/>
          <w:szCs w:val="20"/>
        </w:rPr>
        <w:t xml:space="preserve"> </w:t>
      </w:r>
      <w:r w:rsidRPr="00B004EE">
        <w:rPr>
          <w:rFonts w:ascii="Tahoma" w:hAnsi="Tahoma" w:cs="Tahoma"/>
          <w:sz w:val="20"/>
          <w:szCs w:val="20"/>
        </w:rPr>
        <w:t>à</w:t>
      </w:r>
      <w:r w:rsidR="00DB1635" w:rsidRPr="00B004EE">
        <w:rPr>
          <w:rFonts w:ascii="Tahoma" w:hAnsi="Tahoma" w:cs="Tahoma"/>
          <w:spacing w:val="-24"/>
          <w:sz w:val="20"/>
          <w:szCs w:val="20"/>
        </w:rPr>
        <w:t xml:space="preserve"> </w:t>
      </w:r>
      <w:r w:rsidRPr="00B004EE">
        <w:rPr>
          <w:rFonts w:ascii="Tahoma" w:hAnsi="Tahoma" w:cs="Tahoma"/>
          <w:sz w:val="20"/>
          <w:szCs w:val="20"/>
        </w:rPr>
        <w:t>l'article</w:t>
      </w:r>
    </w:p>
    <w:p w14:paraId="24125D25" w14:textId="2F484E9D" w:rsidR="001E7C3C" w:rsidRPr="00B004EE" w:rsidRDefault="001E7C3C" w:rsidP="00B004EE">
      <w:pPr>
        <w:pStyle w:val="Corpsdetexte"/>
        <w:ind w:right="160"/>
        <w:rPr>
          <w:rFonts w:ascii="Tahoma" w:hAnsi="Tahoma" w:cs="Tahoma"/>
          <w:sz w:val="20"/>
          <w:szCs w:val="20"/>
        </w:rPr>
      </w:pPr>
      <w:r w:rsidRPr="00B004EE">
        <w:rPr>
          <w:rFonts w:ascii="Tahoma" w:hAnsi="Tahoma" w:cs="Tahoma"/>
          <w:sz w:val="20"/>
          <w:szCs w:val="20"/>
        </w:rPr>
        <w:t>66</w:t>
      </w:r>
      <w:r w:rsidR="00DB1635" w:rsidRPr="00B004EE">
        <w:rPr>
          <w:rFonts w:ascii="Tahoma" w:hAnsi="Tahoma" w:cs="Tahoma"/>
          <w:spacing w:val="52"/>
          <w:sz w:val="20"/>
          <w:szCs w:val="20"/>
        </w:rPr>
        <w:t xml:space="preserve"> </w:t>
      </w:r>
      <w:r w:rsidRPr="00B004EE">
        <w:rPr>
          <w:rFonts w:ascii="Tahoma" w:hAnsi="Tahoma" w:cs="Tahoma"/>
          <w:sz w:val="20"/>
          <w:szCs w:val="20"/>
        </w:rPr>
        <w:t>ci-dessus</w:t>
      </w:r>
      <w:r w:rsidR="00DB1635" w:rsidRPr="00B004EE">
        <w:rPr>
          <w:rFonts w:ascii="Tahoma" w:hAnsi="Tahoma" w:cs="Tahoma"/>
          <w:spacing w:val="50"/>
          <w:sz w:val="20"/>
          <w:szCs w:val="20"/>
        </w:rPr>
        <w:t xml:space="preserve"> </w:t>
      </w:r>
      <w:r w:rsidRPr="00B004EE">
        <w:rPr>
          <w:rFonts w:ascii="Tahoma" w:hAnsi="Tahoma" w:cs="Tahoma"/>
          <w:sz w:val="20"/>
          <w:szCs w:val="20"/>
        </w:rPr>
        <w:t>sont</w:t>
      </w:r>
      <w:r w:rsidR="00DB1635" w:rsidRPr="00B004EE">
        <w:rPr>
          <w:rFonts w:ascii="Tahoma" w:hAnsi="Tahoma" w:cs="Tahoma"/>
          <w:spacing w:val="51"/>
          <w:sz w:val="20"/>
          <w:szCs w:val="20"/>
        </w:rPr>
        <w:t xml:space="preserve"> </w:t>
      </w:r>
      <w:r w:rsidRPr="00B004EE">
        <w:rPr>
          <w:rFonts w:ascii="Tahoma" w:hAnsi="Tahoma" w:cs="Tahoma"/>
          <w:sz w:val="20"/>
          <w:szCs w:val="20"/>
        </w:rPr>
        <w:t>habilités</w:t>
      </w:r>
      <w:r w:rsidR="00DB1635" w:rsidRPr="00B004EE">
        <w:rPr>
          <w:rFonts w:ascii="Tahoma" w:hAnsi="Tahoma" w:cs="Tahoma"/>
          <w:spacing w:val="51"/>
          <w:sz w:val="20"/>
          <w:szCs w:val="20"/>
        </w:rPr>
        <w:t xml:space="preserve"> </w:t>
      </w:r>
      <w:r w:rsidRPr="00B004EE">
        <w:rPr>
          <w:rFonts w:ascii="Tahoma" w:hAnsi="Tahoma" w:cs="Tahoma"/>
          <w:sz w:val="20"/>
          <w:szCs w:val="20"/>
        </w:rPr>
        <w:t>à</w:t>
      </w:r>
      <w:r w:rsidR="00DB1635" w:rsidRPr="00B004EE">
        <w:rPr>
          <w:rFonts w:ascii="Tahoma" w:hAnsi="Tahoma" w:cs="Tahoma"/>
          <w:spacing w:val="52"/>
          <w:sz w:val="20"/>
          <w:szCs w:val="20"/>
        </w:rPr>
        <w:t xml:space="preserve"> </w:t>
      </w:r>
      <w:r w:rsidRPr="00B004EE">
        <w:rPr>
          <w:rFonts w:ascii="Tahoma" w:hAnsi="Tahoma" w:cs="Tahoma"/>
          <w:sz w:val="20"/>
          <w:szCs w:val="20"/>
        </w:rPr>
        <w:t>arraisonner</w:t>
      </w:r>
      <w:r w:rsidR="00DB1635" w:rsidRPr="00B004EE">
        <w:rPr>
          <w:rFonts w:ascii="Tahoma" w:hAnsi="Tahoma" w:cs="Tahoma"/>
          <w:spacing w:val="50"/>
          <w:sz w:val="20"/>
          <w:szCs w:val="20"/>
        </w:rPr>
        <w:t xml:space="preserve"> </w:t>
      </w:r>
      <w:r w:rsidRPr="00B004EE">
        <w:rPr>
          <w:rFonts w:ascii="Tahoma" w:hAnsi="Tahoma" w:cs="Tahoma"/>
          <w:sz w:val="20"/>
          <w:szCs w:val="20"/>
        </w:rPr>
        <w:t>et</w:t>
      </w:r>
      <w:r w:rsidR="00DB1635" w:rsidRPr="00B004EE">
        <w:rPr>
          <w:rFonts w:ascii="Tahoma" w:hAnsi="Tahoma" w:cs="Tahoma"/>
          <w:spacing w:val="51"/>
          <w:sz w:val="20"/>
          <w:szCs w:val="20"/>
        </w:rPr>
        <w:t xml:space="preserve"> </w:t>
      </w:r>
      <w:r w:rsidRPr="00B004EE">
        <w:rPr>
          <w:rFonts w:ascii="Tahoma" w:hAnsi="Tahoma" w:cs="Tahoma"/>
          <w:sz w:val="20"/>
          <w:szCs w:val="20"/>
        </w:rPr>
        <w:t>monter</w:t>
      </w:r>
      <w:r w:rsidR="00DB1635" w:rsidRPr="00B004EE">
        <w:rPr>
          <w:rFonts w:ascii="Tahoma" w:hAnsi="Tahoma" w:cs="Tahoma"/>
          <w:spacing w:val="50"/>
          <w:sz w:val="20"/>
          <w:szCs w:val="20"/>
        </w:rPr>
        <w:t xml:space="preserve"> </w:t>
      </w:r>
      <w:r w:rsidRPr="00B004EE">
        <w:rPr>
          <w:rFonts w:ascii="Tahoma" w:hAnsi="Tahoma" w:cs="Tahoma"/>
          <w:sz w:val="20"/>
          <w:szCs w:val="20"/>
        </w:rPr>
        <w:t>à</w:t>
      </w:r>
      <w:r w:rsidR="00DB1635" w:rsidRPr="00B004EE">
        <w:rPr>
          <w:rFonts w:ascii="Tahoma" w:hAnsi="Tahoma" w:cs="Tahoma"/>
          <w:spacing w:val="49"/>
          <w:sz w:val="20"/>
          <w:szCs w:val="20"/>
        </w:rPr>
        <w:t xml:space="preserve"> </w:t>
      </w:r>
      <w:r w:rsidRPr="00B004EE">
        <w:rPr>
          <w:rFonts w:ascii="Tahoma" w:hAnsi="Tahoma" w:cs="Tahoma"/>
          <w:sz w:val="20"/>
          <w:szCs w:val="20"/>
        </w:rPr>
        <w:t>bord</w:t>
      </w:r>
      <w:r w:rsidR="00DB1635" w:rsidRPr="00B004EE">
        <w:rPr>
          <w:rFonts w:ascii="Tahoma" w:hAnsi="Tahoma" w:cs="Tahoma"/>
          <w:spacing w:val="48"/>
          <w:sz w:val="20"/>
          <w:szCs w:val="20"/>
        </w:rPr>
        <w:t xml:space="preserve"> </w:t>
      </w:r>
      <w:r w:rsidRPr="00B004EE">
        <w:rPr>
          <w:rFonts w:ascii="Tahoma" w:hAnsi="Tahoma" w:cs="Tahoma"/>
          <w:sz w:val="20"/>
          <w:szCs w:val="20"/>
        </w:rPr>
        <w:t>de</w:t>
      </w:r>
      <w:r w:rsidR="00DB1635" w:rsidRPr="00B004EE">
        <w:rPr>
          <w:rFonts w:ascii="Tahoma" w:hAnsi="Tahoma" w:cs="Tahoma"/>
          <w:spacing w:val="49"/>
          <w:sz w:val="20"/>
          <w:szCs w:val="20"/>
        </w:rPr>
        <w:t xml:space="preserve"> </w:t>
      </w:r>
      <w:r w:rsidRPr="00B004EE">
        <w:rPr>
          <w:rFonts w:ascii="Tahoma" w:hAnsi="Tahoma" w:cs="Tahoma"/>
          <w:sz w:val="20"/>
          <w:szCs w:val="20"/>
        </w:rPr>
        <w:t>tout</w:t>
      </w:r>
      <w:r w:rsidR="00DB1635" w:rsidRPr="00B004EE">
        <w:rPr>
          <w:rFonts w:ascii="Tahoma" w:hAnsi="Tahoma" w:cs="Tahoma"/>
          <w:spacing w:val="49"/>
          <w:sz w:val="20"/>
          <w:szCs w:val="20"/>
        </w:rPr>
        <w:t xml:space="preserve"> </w:t>
      </w:r>
      <w:r w:rsidRPr="00B004EE">
        <w:rPr>
          <w:rFonts w:ascii="Tahoma" w:hAnsi="Tahoma" w:cs="Tahoma"/>
          <w:sz w:val="20"/>
          <w:szCs w:val="20"/>
        </w:rPr>
        <w:t>navire,</w:t>
      </w:r>
      <w:r w:rsidR="00DB1635" w:rsidRPr="00B004EE">
        <w:rPr>
          <w:rFonts w:ascii="Tahoma" w:hAnsi="Tahoma" w:cs="Tahoma"/>
          <w:spacing w:val="49"/>
          <w:sz w:val="20"/>
          <w:szCs w:val="20"/>
        </w:rPr>
        <w:t xml:space="preserve"> </w:t>
      </w:r>
      <w:r w:rsidRPr="00B004EE">
        <w:rPr>
          <w:rFonts w:ascii="Tahoma" w:hAnsi="Tahoma" w:cs="Tahoma"/>
          <w:sz w:val="20"/>
          <w:szCs w:val="20"/>
        </w:rPr>
        <w:t>à</w:t>
      </w:r>
      <w:r w:rsidR="00DB1635" w:rsidRPr="00B004EE">
        <w:rPr>
          <w:rFonts w:ascii="Tahoma" w:hAnsi="Tahoma" w:cs="Tahoma"/>
          <w:w w:val="98"/>
          <w:sz w:val="20"/>
          <w:szCs w:val="20"/>
        </w:rPr>
        <w:t xml:space="preserve"> </w:t>
      </w:r>
      <w:r w:rsidRPr="00B004EE">
        <w:rPr>
          <w:rFonts w:ascii="Tahoma" w:hAnsi="Tahoma" w:cs="Tahoma"/>
          <w:sz w:val="20"/>
          <w:szCs w:val="20"/>
        </w:rPr>
        <w:t>procéder</w:t>
      </w:r>
      <w:r w:rsidR="00DB1635" w:rsidRPr="00B004EE">
        <w:rPr>
          <w:rFonts w:ascii="Tahoma" w:hAnsi="Tahoma" w:cs="Tahoma"/>
          <w:spacing w:val="51"/>
          <w:sz w:val="20"/>
          <w:szCs w:val="20"/>
        </w:rPr>
        <w:t xml:space="preserve"> </w:t>
      </w:r>
      <w:r w:rsidRPr="00B004EE">
        <w:rPr>
          <w:rFonts w:ascii="Tahoma" w:hAnsi="Tahoma" w:cs="Tahoma"/>
          <w:sz w:val="20"/>
          <w:szCs w:val="20"/>
        </w:rPr>
        <w:t>à</w:t>
      </w:r>
      <w:r w:rsidR="00DB1635" w:rsidRPr="00B004EE">
        <w:rPr>
          <w:rFonts w:ascii="Tahoma" w:hAnsi="Tahoma" w:cs="Tahoma"/>
          <w:spacing w:val="53"/>
          <w:sz w:val="20"/>
          <w:szCs w:val="20"/>
        </w:rPr>
        <w:t xml:space="preserve"> </w:t>
      </w:r>
      <w:r w:rsidRPr="00B004EE">
        <w:rPr>
          <w:rFonts w:ascii="Tahoma" w:hAnsi="Tahoma" w:cs="Tahoma"/>
          <w:sz w:val="20"/>
          <w:szCs w:val="20"/>
        </w:rPr>
        <w:t>toute</w:t>
      </w:r>
      <w:r w:rsidR="00DB1635" w:rsidRPr="00B004EE">
        <w:rPr>
          <w:rFonts w:ascii="Tahoma" w:hAnsi="Tahoma" w:cs="Tahoma"/>
          <w:spacing w:val="52"/>
          <w:sz w:val="20"/>
          <w:szCs w:val="20"/>
        </w:rPr>
        <w:t xml:space="preserve"> </w:t>
      </w:r>
      <w:r w:rsidRPr="00B004EE">
        <w:rPr>
          <w:rFonts w:ascii="Tahoma" w:hAnsi="Tahoma" w:cs="Tahoma"/>
          <w:sz w:val="20"/>
          <w:szCs w:val="20"/>
        </w:rPr>
        <w:t>perquisition,</w:t>
      </w:r>
      <w:r w:rsidR="00DB1635" w:rsidRPr="00B004EE">
        <w:rPr>
          <w:rFonts w:ascii="Tahoma" w:hAnsi="Tahoma" w:cs="Tahoma"/>
          <w:spacing w:val="52"/>
          <w:sz w:val="20"/>
          <w:szCs w:val="20"/>
        </w:rPr>
        <w:t xml:space="preserve"> </w:t>
      </w:r>
      <w:r w:rsidRPr="00B004EE">
        <w:rPr>
          <w:rFonts w:ascii="Tahoma" w:hAnsi="Tahoma" w:cs="Tahoma"/>
          <w:sz w:val="20"/>
          <w:szCs w:val="20"/>
        </w:rPr>
        <w:t>contrôle,</w:t>
      </w:r>
      <w:r w:rsidR="00DB1635" w:rsidRPr="00B004EE">
        <w:rPr>
          <w:rFonts w:ascii="Tahoma" w:hAnsi="Tahoma" w:cs="Tahoma"/>
          <w:spacing w:val="50"/>
          <w:sz w:val="20"/>
          <w:szCs w:val="20"/>
        </w:rPr>
        <w:t xml:space="preserve"> </w:t>
      </w:r>
      <w:r w:rsidRPr="00B004EE">
        <w:rPr>
          <w:rFonts w:ascii="Tahoma" w:hAnsi="Tahoma" w:cs="Tahoma"/>
          <w:sz w:val="20"/>
          <w:szCs w:val="20"/>
        </w:rPr>
        <w:t>fouille</w:t>
      </w:r>
      <w:r w:rsidR="00DB1635" w:rsidRPr="00B004EE">
        <w:rPr>
          <w:rFonts w:ascii="Tahoma" w:hAnsi="Tahoma" w:cs="Tahoma"/>
          <w:spacing w:val="49"/>
          <w:sz w:val="20"/>
          <w:szCs w:val="20"/>
        </w:rPr>
        <w:t xml:space="preserve"> </w:t>
      </w:r>
      <w:r w:rsidRPr="00B004EE">
        <w:rPr>
          <w:rFonts w:ascii="Tahoma" w:hAnsi="Tahoma" w:cs="Tahoma"/>
          <w:sz w:val="20"/>
          <w:szCs w:val="20"/>
        </w:rPr>
        <w:t>et</w:t>
      </w:r>
      <w:r w:rsidR="00DB1635" w:rsidRPr="00B004EE">
        <w:rPr>
          <w:rFonts w:ascii="Tahoma" w:hAnsi="Tahoma" w:cs="Tahoma"/>
          <w:spacing w:val="50"/>
          <w:sz w:val="20"/>
          <w:szCs w:val="20"/>
        </w:rPr>
        <w:t xml:space="preserve"> </w:t>
      </w:r>
      <w:r w:rsidRPr="00B004EE">
        <w:rPr>
          <w:rFonts w:ascii="Tahoma" w:hAnsi="Tahoma" w:cs="Tahoma"/>
          <w:sz w:val="20"/>
          <w:szCs w:val="20"/>
        </w:rPr>
        <w:t>saisie</w:t>
      </w:r>
      <w:r w:rsidR="00DB1635" w:rsidRPr="00B004EE">
        <w:rPr>
          <w:rFonts w:ascii="Tahoma" w:hAnsi="Tahoma" w:cs="Tahoma"/>
          <w:spacing w:val="50"/>
          <w:sz w:val="20"/>
          <w:szCs w:val="20"/>
        </w:rPr>
        <w:t xml:space="preserve"> </w:t>
      </w:r>
      <w:r w:rsidRPr="00B004EE">
        <w:rPr>
          <w:rFonts w:ascii="Tahoma" w:hAnsi="Tahoma" w:cs="Tahoma"/>
          <w:sz w:val="20"/>
          <w:szCs w:val="20"/>
        </w:rPr>
        <w:t>qu'ils</w:t>
      </w:r>
      <w:r w:rsidR="00DB1635" w:rsidRPr="00B004EE">
        <w:rPr>
          <w:rFonts w:ascii="Tahoma" w:hAnsi="Tahoma" w:cs="Tahoma"/>
          <w:spacing w:val="49"/>
          <w:sz w:val="20"/>
          <w:szCs w:val="20"/>
        </w:rPr>
        <w:t xml:space="preserve"> </w:t>
      </w:r>
      <w:r w:rsidRPr="00B004EE">
        <w:rPr>
          <w:rFonts w:ascii="Tahoma" w:hAnsi="Tahoma" w:cs="Tahoma"/>
          <w:sz w:val="20"/>
          <w:szCs w:val="20"/>
        </w:rPr>
        <w:t>jugent</w:t>
      </w:r>
      <w:r w:rsidR="00DB1635" w:rsidRPr="00B004EE">
        <w:rPr>
          <w:rFonts w:ascii="Tahoma" w:hAnsi="Tahoma" w:cs="Tahoma"/>
          <w:spacing w:val="50"/>
          <w:sz w:val="20"/>
          <w:szCs w:val="20"/>
        </w:rPr>
        <w:t xml:space="preserve"> </w:t>
      </w:r>
      <w:r w:rsidRPr="00B004EE">
        <w:rPr>
          <w:rFonts w:ascii="Tahoma" w:hAnsi="Tahoma" w:cs="Tahoma"/>
          <w:sz w:val="20"/>
          <w:szCs w:val="20"/>
        </w:rPr>
        <w:t>utiles</w:t>
      </w:r>
      <w:r w:rsidR="00DB1635" w:rsidRPr="00B004EE">
        <w:rPr>
          <w:rFonts w:ascii="Tahoma" w:hAnsi="Tahoma" w:cs="Tahoma"/>
          <w:spacing w:val="49"/>
          <w:sz w:val="20"/>
          <w:szCs w:val="20"/>
        </w:rPr>
        <w:t xml:space="preserve"> </w:t>
      </w:r>
      <w:r w:rsidRPr="00B004EE">
        <w:rPr>
          <w:rFonts w:ascii="Tahoma" w:hAnsi="Tahoma" w:cs="Tahoma"/>
          <w:sz w:val="20"/>
          <w:szCs w:val="20"/>
        </w:rPr>
        <w:t>et</w:t>
      </w:r>
      <w:r w:rsidR="00DB1635" w:rsidRPr="00B004EE">
        <w:rPr>
          <w:rFonts w:ascii="Tahoma" w:hAnsi="Tahoma" w:cs="Tahoma"/>
          <w:w w:val="95"/>
          <w:sz w:val="20"/>
          <w:szCs w:val="20"/>
        </w:rPr>
        <w:t xml:space="preserve"> </w:t>
      </w:r>
      <w:r w:rsidRPr="00B004EE">
        <w:rPr>
          <w:rFonts w:ascii="Tahoma" w:hAnsi="Tahoma" w:cs="Tahoma"/>
          <w:sz w:val="20"/>
          <w:szCs w:val="20"/>
        </w:rPr>
        <w:t>notamment</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pacing w:val="-46"/>
          <w:sz w:val="20"/>
          <w:szCs w:val="20"/>
        </w:rPr>
        <w:t xml:space="preserve"> </w:t>
      </w:r>
      <w:r w:rsidRPr="00B004EE">
        <w:rPr>
          <w:rFonts w:ascii="Tahoma" w:hAnsi="Tahoma" w:cs="Tahoma"/>
          <w:sz w:val="20"/>
          <w:szCs w:val="20"/>
        </w:rPr>
        <w:t>:</w:t>
      </w:r>
    </w:p>
    <w:p w14:paraId="6F8C1746" w14:textId="593658E2" w:rsidR="001E7C3C" w:rsidRPr="00B004EE" w:rsidRDefault="001E7C3C" w:rsidP="00420DDA">
      <w:pPr>
        <w:pStyle w:val="Paragraphedeliste"/>
        <w:widowControl w:val="0"/>
        <w:numPr>
          <w:ilvl w:val="0"/>
          <w:numId w:val="27"/>
        </w:numPr>
        <w:tabs>
          <w:tab w:val="left" w:pos="567"/>
        </w:tabs>
        <w:ind w:left="426" w:right="164"/>
        <w:jc w:val="both"/>
        <w:rPr>
          <w:rFonts w:ascii="Tahoma" w:eastAsia="American Typewriter" w:hAnsi="Tahoma" w:cs="Tahoma"/>
          <w:sz w:val="20"/>
          <w:szCs w:val="20"/>
        </w:rPr>
      </w:pPr>
      <w:proofErr w:type="gramStart"/>
      <w:r w:rsidRPr="00B004EE">
        <w:rPr>
          <w:rFonts w:ascii="Tahoma" w:hAnsi="Tahoma" w:cs="Tahoma"/>
          <w:sz w:val="20"/>
          <w:szCs w:val="20"/>
        </w:rPr>
        <w:t>ordonner</w:t>
      </w:r>
      <w:proofErr w:type="gramEnd"/>
      <w:r w:rsidR="00DB1635" w:rsidRPr="00B004EE">
        <w:rPr>
          <w:rFonts w:ascii="Tahoma" w:hAnsi="Tahoma" w:cs="Tahoma"/>
          <w:spacing w:val="-15"/>
          <w:sz w:val="20"/>
          <w:szCs w:val="20"/>
        </w:rPr>
        <w:t xml:space="preserve"> </w:t>
      </w:r>
      <w:r w:rsidRPr="00B004EE">
        <w:rPr>
          <w:rFonts w:ascii="Tahoma" w:hAnsi="Tahoma" w:cs="Tahoma"/>
          <w:sz w:val="20"/>
          <w:szCs w:val="20"/>
        </w:rPr>
        <w:t>à</w:t>
      </w:r>
      <w:r w:rsidR="00DB1635" w:rsidRPr="00B004EE">
        <w:rPr>
          <w:rFonts w:ascii="Tahoma" w:hAnsi="Tahoma" w:cs="Tahoma"/>
          <w:spacing w:val="-14"/>
          <w:sz w:val="20"/>
          <w:szCs w:val="20"/>
        </w:rPr>
        <w:t xml:space="preserve"> </w:t>
      </w:r>
      <w:r w:rsidRPr="00B004EE">
        <w:rPr>
          <w:rFonts w:ascii="Tahoma" w:hAnsi="Tahoma" w:cs="Tahoma"/>
          <w:sz w:val="20"/>
          <w:szCs w:val="20"/>
        </w:rPr>
        <w:t>tout</w:t>
      </w:r>
      <w:r w:rsidR="00DB1635" w:rsidRPr="00B004EE">
        <w:rPr>
          <w:rFonts w:ascii="Tahoma" w:hAnsi="Tahoma" w:cs="Tahoma"/>
          <w:spacing w:val="-14"/>
          <w:sz w:val="20"/>
          <w:szCs w:val="20"/>
        </w:rPr>
        <w:t xml:space="preserve"> </w:t>
      </w:r>
      <w:r w:rsidRPr="00B004EE">
        <w:rPr>
          <w:rFonts w:ascii="Tahoma" w:hAnsi="Tahoma" w:cs="Tahoma"/>
          <w:sz w:val="20"/>
          <w:szCs w:val="20"/>
        </w:rPr>
        <w:t>navire</w:t>
      </w:r>
      <w:r w:rsidR="00DB1635" w:rsidRPr="00B004EE">
        <w:rPr>
          <w:rFonts w:ascii="Tahoma" w:hAnsi="Tahoma" w:cs="Tahoma"/>
          <w:spacing w:val="-15"/>
          <w:sz w:val="20"/>
          <w:szCs w:val="20"/>
        </w:rPr>
        <w:t xml:space="preserve"> </w:t>
      </w:r>
      <w:r w:rsidRPr="00B004EE">
        <w:rPr>
          <w:rFonts w:ascii="Tahoma" w:hAnsi="Tahoma" w:cs="Tahoma"/>
          <w:sz w:val="20"/>
          <w:szCs w:val="20"/>
        </w:rPr>
        <w:t>effectuant</w:t>
      </w:r>
      <w:r w:rsidR="00DB1635" w:rsidRPr="00B004EE">
        <w:rPr>
          <w:rFonts w:ascii="Tahoma" w:hAnsi="Tahoma" w:cs="Tahoma"/>
          <w:spacing w:val="-15"/>
          <w:sz w:val="20"/>
          <w:szCs w:val="20"/>
        </w:rPr>
        <w:t xml:space="preserve"> </w:t>
      </w:r>
      <w:r w:rsidRPr="00B004EE">
        <w:rPr>
          <w:rFonts w:ascii="Tahoma" w:hAnsi="Tahoma" w:cs="Tahoma"/>
          <w:sz w:val="20"/>
          <w:szCs w:val="20"/>
        </w:rPr>
        <w:t>des</w:t>
      </w:r>
      <w:r w:rsidR="00DB1635" w:rsidRPr="00B004EE">
        <w:rPr>
          <w:rFonts w:ascii="Tahoma" w:hAnsi="Tahoma" w:cs="Tahoma"/>
          <w:spacing w:val="-16"/>
          <w:sz w:val="20"/>
          <w:szCs w:val="20"/>
        </w:rPr>
        <w:t xml:space="preserve"> </w:t>
      </w:r>
      <w:r w:rsidRPr="00B004EE">
        <w:rPr>
          <w:rFonts w:ascii="Tahoma" w:hAnsi="Tahoma" w:cs="Tahoma"/>
          <w:sz w:val="20"/>
          <w:szCs w:val="20"/>
        </w:rPr>
        <w:t>activités</w:t>
      </w:r>
      <w:r w:rsidR="00DB1635" w:rsidRPr="00B004EE">
        <w:rPr>
          <w:rFonts w:ascii="Tahoma" w:hAnsi="Tahoma" w:cs="Tahoma"/>
          <w:spacing w:val="-16"/>
          <w:sz w:val="20"/>
          <w:szCs w:val="20"/>
        </w:rPr>
        <w:t xml:space="preserve"> </w:t>
      </w:r>
      <w:r w:rsidRPr="00B004EE">
        <w:rPr>
          <w:rFonts w:ascii="Tahoma" w:hAnsi="Tahoma" w:cs="Tahoma"/>
          <w:sz w:val="20"/>
          <w:szCs w:val="20"/>
        </w:rPr>
        <w:t>de</w:t>
      </w:r>
      <w:r w:rsidR="00DB1635" w:rsidRPr="00B004EE">
        <w:rPr>
          <w:rFonts w:ascii="Tahoma" w:hAnsi="Tahoma" w:cs="Tahoma"/>
          <w:spacing w:val="-16"/>
          <w:sz w:val="20"/>
          <w:szCs w:val="20"/>
        </w:rPr>
        <w:t xml:space="preserve"> </w:t>
      </w:r>
      <w:r w:rsidRPr="00B004EE">
        <w:rPr>
          <w:rFonts w:ascii="Tahoma" w:hAnsi="Tahoma" w:cs="Tahoma"/>
          <w:sz w:val="20"/>
          <w:szCs w:val="20"/>
        </w:rPr>
        <w:t>pêche</w:t>
      </w:r>
      <w:r w:rsidR="00DB1635" w:rsidRPr="00B004EE">
        <w:rPr>
          <w:rFonts w:ascii="Tahoma" w:hAnsi="Tahoma" w:cs="Tahoma"/>
          <w:spacing w:val="-16"/>
          <w:sz w:val="20"/>
          <w:szCs w:val="20"/>
        </w:rPr>
        <w:t xml:space="preserve"> </w:t>
      </w:r>
      <w:r w:rsidRPr="00B004EE">
        <w:rPr>
          <w:rFonts w:ascii="Tahoma" w:hAnsi="Tahoma" w:cs="Tahoma"/>
          <w:sz w:val="20"/>
          <w:szCs w:val="20"/>
        </w:rPr>
        <w:t>se</w:t>
      </w:r>
      <w:r w:rsidR="00DB1635" w:rsidRPr="00B004EE">
        <w:rPr>
          <w:rFonts w:ascii="Tahoma" w:hAnsi="Tahoma" w:cs="Tahoma"/>
          <w:spacing w:val="-16"/>
          <w:sz w:val="20"/>
          <w:szCs w:val="20"/>
        </w:rPr>
        <w:t xml:space="preserve"> </w:t>
      </w:r>
      <w:r w:rsidRPr="00B004EE">
        <w:rPr>
          <w:rFonts w:ascii="Tahoma" w:hAnsi="Tahoma" w:cs="Tahoma"/>
          <w:sz w:val="20"/>
          <w:szCs w:val="20"/>
        </w:rPr>
        <w:t>trouvant</w:t>
      </w:r>
      <w:r w:rsidR="00DB1635" w:rsidRPr="00B004EE">
        <w:rPr>
          <w:rFonts w:ascii="Tahoma" w:hAnsi="Tahoma" w:cs="Tahoma"/>
          <w:spacing w:val="-16"/>
          <w:sz w:val="20"/>
          <w:szCs w:val="20"/>
        </w:rPr>
        <w:t xml:space="preserve"> </w:t>
      </w:r>
      <w:r w:rsidRPr="00B004EE">
        <w:rPr>
          <w:rFonts w:ascii="Tahoma" w:hAnsi="Tahoma" w:cs="Tahoma"/>
          <w:sz w:val="20"/>
          <w:szCs w:val="20"/>
        </w:rPr>
        <w:t>dans</w:t>
      </w:r>
      <w:r w:rsidR="00DB1635" w:rsidRPr="00B004EE">
        <w:rPr>
          <w:rFonts w:ascii="Tahoma" w:hAnsi="Tahoma" w:cs="Tahoma"/>
          <w:w w:val="95"/>
          <w:sz w:val="20"/>
          <w:szCs w:val="20"/>
        </w:rPr>
        <w:t xml:space="preserve"> </w:t>
      </w:r>
      <w:r w:rsidRPr="00B004EE">
        <w:rPr>
          <w:rFonts w:ascii="Tahoma" w:hAnsi="Tahoma" w:cs="Tahoma"/>
          <w:sz w:val="20"/>
          <w:szCs w:val="20"/>
        </w:rPr>
        <w:t>les</w:t>
      </w:r>
      <w:r w:rsidR="00DB1635" w:rsidRPr="00B004EE">
        <w:rPr>
          <w:rFonts w:ascii="Tahoma" w:hAnsi="Tahoma" w:cs="Tahoma"/>
          <w:spacing w:val="-5"/>
          <w:sz w:val="20"/>
          <w:szCs w:val="20"/>
        </w:rPr>
        <w:t xml:space="preserve"> </w:t>
      </w:r>
      <w:r w:rsidRPr="00B004EE">
        <w:rPr>
          <w:rFonts w:ascii="Tahoma" w:hAnsi="Tahoma" w:cs="Tahoma"/>
          <w:sz w:val="20"/>
          <w:szCs w:val="20"/>
        </w:rPr>
        <w:t>eaux</w:t>
      </w:r>
      <w:r w:rsidR="00DB1635" w:rsidRPr="00B004EE">
        <w:rPr>
          <w:rFonts w:ascii="Tahoma" w:hAnsi="Tahoma" w:cs="Tahoma"/>
          <w:spacing w:val="-5"/>
          <w:sz w:val="20"/>
          <w:szCs w:val="20"/>
        </w:rPr>
        <w:t xml:space="preserve"> </w:t>
      </w:r>
      <w:r w:rsidRPr="00B004EE">
        <w:rPr>
          <w:rFonts w:ascii="Tahoma" w:hAnsi="Tahoma" w:cs="Tahoma"/>
          <w:sz w:val="20"/>
          <w:szCs w:val="20"/>
        </w:rPr>
        <w:t>sous</w:t>
      </w:r>
      <w:r w:rsidR="00DB1635" w:rsidRPr="00B004EE">
        <w:rPr>
          <w:rFonts w:ascii="Tahoma" w:hAnsi="Tahoma" w:cs="Tahoma"/>
          <w:spacing w:val="-5"/>
          <w:sz w:val="20"/>
          <w:szCs w:val="20"/>
        </w:rPr>
        <w:t xml:space="preserve"> </w:t>
      </w:r>
      <w:r w:rsidRPr="00B004EE">
        <w:rPr>
          <w:rFonts w:ascii="Tahoma" w:hAnsi="Tahoma" w:cs="Tahoma"/>
          <w:sz w:val="20"/>
          <w:szCs w:val="20"/>
        </w:rPr>
        <w:t>juridiction</w:t>
      </w:r>
      <w:r w:rsidR="00DB1635" w:rsidRPr="00B004EE">
        <w:rPr>
          <w:rFonts w:ascii="Tahoma" w:hAnsi="Tahoma" w:cs="Tahoma"/>
          <w:spacing w:val="-5"/>
          <w:sz w:val="20"/>
          <w:szCs w:val="20"/>
        </w:rPr>
        <w:t xml:space="preserve"> </w:t>
      </w:r>
      <w:r w:rsidRPr="00B004EE">
        <w:rPr>
          <w:rFonts w:ascii="Tahoma" w:hAnsi="Tahoma" w:cs="Tahoma"/>
          <w:sz w:val="20"/>
          <w:szCs w:val="20"/>
        </w:rPr>
        <w:t>mauritanienne</w:t>
      </w:r>
      <w:r w:rsidR="00DB1635" w:rsidRPr="00B004EE">
        <w:rPr>
          <w:rFonts w:ascii="Tahoma" w:hAnsi="Tahoma" w:cs="Tahoma"/>
          <w:spacing w:val="-5"/>
          <w:sz w:val="20"/>
          <w:szCs w:val="20"/>
        </w:rPr>
        <w:t xml:space="preserve"> </w:t>
      </w:r>
      <w:r w:rsidRPr="00B004EE">
        <w:rPr>
          <w:rFonts w:ascii="Tahoma" w:hAnsi="Tahoma" w:cs="Tahoma"/>
          <w:sz w:val="20"/>
          <w:szCs w:val="20"/>
        </w:rPr>
        <w:t>de</w:t>
      </w:r>
      <w:r w:rsidR="00DB1635" w:rsidRPr="00B004EE">
        <w:rPr>
          <w:rFonts w:ascii="Tahoma" w:hAnsi="Tahoma" w:cs="Tahoma"/>
          <w:spacing w:val="-5"/>
          <w:sz w:val="20"/>
          <w:szCs w:val="20"/>
        </w:rPr>
        <w:t xml:space="preserve"> </w:t>
      </w:r>
      <w:r w:rsidRPr="00B004EE">
        <w:rPr>
          <w:rFonts w:ascii="Tahoma" w:hAnsi="Tahoma" w:cs="Tahoma"/>
          <w:sz w:val="20"/>
          <w:szCs w:val="20"/>
        </w:rPr>
        <w:t>s'arrêter</w:t>
      </w:r>
      <w:r w:rsidR="00DB1635" w:rsidRPr="00B004EE">
        <w:rPr>
          <w:rFonts w:ascii="Tahoma" w:hAnsi="Tahoma" w:cs="Tahoma"/>
          <w:spacing w:val="-7"/>
          <w:sz w:val="20"/>
          <w:szCs w:val="20"/>
        </w:rPr>
        <w:t xml:space="preserve"> </w:t>
      </w:r>
      <w:r w:rsidRPr="00B004EE">
        <w:rPr>
          <w:rFonts w:ascii="Tahoma" w:hAnsi="Tahoma" w:cs="Tahoma"/>
          <w:sz w:val="20"/>
          <w:szCs w:val="20"/>
        </w:rPr>
        <w:t>et</w:t>
      </w:r>
      <w:r w:rsidR="00DB1635" w:rsidRPr="00B004EE">
        <w:rPr>
          <w:rFonts w:ascii="Tahoma" w:hAnsi="Tahoma" w:cs="Tahoma"/>
          <w:spacing w:val="-6"/>
          <w:sz w:val="20"/>
          <w:szCs w:val="20"/>
        </w:rPr>
        <w:t xml:space="preserve"> </w:t>
      </w:r>
      <w:r w:rsidRPr="00B004EE">
        <w:rPr>
          <w:rFonts w:ascii="Tahoma" w:hAnsi="Tahoma" w:cs="Tahoma"/>
          <w:sz w:val="20"/>
          <w:szCs w:val="20"/>
        </w:rPr>
        <w:t>d'effectuer</w:t>
      </w:r>
      <w:r w:rsidR="00DB1635" w:rsidRPr="00B004EE">
        <w:rPr>
          <w:rFonts w:ascii="Tahoma" w:hAnsi="Tahoma" w:cs="Tahoma"/>
          <w:spacing w:val="-7"/>
          <w:sz w:val="20"/>
          <w:szCs w:val="20"/>
        </w:rPr>
        <w:t xml:space="preserve"> </w:t>
      </w:r>
      <w:r w:rsidRPr="00B004EE">
        <w:rPr>
          <w:rFonts w:ascii="Tahoma" w:hAnsi="Tahoma" w:cs="Tahoma"/>
          <w:spacing w:val="-2"/>
          <w:sz w:val="20"/>
          <w:szCs w:val="20"/>
        </w:rPr>
        <w:t>toutes</w:t>
      </w:r>
      <w:r w:rsidR="00DB1635" w:rsidRPr="00B004EE">
        <w:rPr>
          <w:rFonts w:ascii="Tahoma" w:hAnsi="Tahoma" w:cs="Tahoma"/>
          <w:spacing w:val="-1"/>
          <w:w w:val="95"/>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manœuvres</w:t>
      </w:r>
      <w:r w:rsidR="00DB1635" w:rsidRPr="00B004EE">
        <w:rPr>
          <w:rFonts w:ascii="Tahoma" w:hAnsi="Tahoma" w:cs="Tahoma"/>
          <w:sz w:val="20"/>
          <w:szCs w:val="20"/>
        </w:rPr>
        <w:t xml:space="preserve"> </w:t>
      </w:r>
      <w:r w:rsidRPr="00B004EE">
        <w:rPr>
          <w:rFonts w:ascii="Tahoma" w:hAnsi="Tahoma" w:cs="Tahoma"/>
          <w:sz w:val="20"/>
          <w:szCs w:val="20"/>
        </w:rPr>
        <w:t>nécessaires</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faciliter</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visite</w:t>
      </w:r>
      <w:r w:rsidR="00DB1635" w:rsidRPr="00B004EE">
        <w:rPr>
          <w:rFonts w:ascii="Tahoma" w:hAnsi="Tahoma" w:cs="Tahoma"/>
          <w:spacing w:val="-4"/>
          <w:sz w:val="20"/>
          <w:szCs w:val="20"/>
        </w:rPr>
        <w:t xml:space="preserve"> </w:t>
      </w:r>
      <w:r w:rsidRPr="00B004EE">
        <w:rPr>
          <w:rFonts w:ascii="Tahoma" w:hAnsi="Tahoma" w:cs="Tahoma"/>
          <w:sz w:val="20"/>
          <w:szCs w:val="20"/>
        </w:rPr>
        <w:t>;</w:t>
      </w:r>
    </w:p>
    <w:p w14:paraId="6C65D987" w14:textId="761C6D55" w:rsidR="001E7C3C" w:rsidRPr="00B004EE" w:rsidRDefault="001E7C3C" w:rsidP="00420DDA">
      <w:pPr>
        <w:pStyle w:val="Paragraphedeliste"/>
        <w:widowControl w:val="0"/>
        <w:numPr>
          <w:ilvl w:val="0"/>
          <w:numId w:val="27"/>
        </w:numPr>
        <w:tabs>
          <w:tab w:val="left" w:pos="567"/>
        </w:tabs>
        <w:ind w:left="426" w:right="559"/>
        <w:rPr>
          <w:rFonts w:ascii="Tahoma" w:eastAsia="American Typewriter" w:hAnsi="Tahoma" w:cs="Tahoma"/>
          <w:sz w:val="20"/>
          <w:szCs w:val="20"/>
        </w:rPr>
      </w:pPr>
      <w:proofErr w:type="gramStart"/>
      <w:r w:rsidRPr="00B004EE">
        <w:rPr>
          <w:rFonts w:ascii="Tahoma" w:hAnsi="Tahoma" w:cs="Tahoma"/>
          <w:sz w:val="20"/>
          <w:szCs w:val="20"/>
        </w:rPr>
        <w:t>visiter</w:t>
      </w:r>
      <w:proofErr w:type="gramEnd"/>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navire</w:t>
      </w:r>
      <w:r w:rsidR="00DB1635" w:rsidRPr="00B004EE">
        <w:rPr>
          <w:rFonts w:ascii="Tahoma" w:hAnsi="Tahoma" w:cs="Tahoma"/>
          <w:spacing w:val="16"/>
          <w:sz w:val="20"/>
          <w:szCs w:val="20"/>
        </w:rPr>
        <w:t xml:space="preserve"> </w:t>
      </w:r>
      <w:r w:rsidRPr="00B004EE">
        <w:rPr>
          <w:rFonts w:ascii="Tahoma" w:hAnsi="Tahoma" w:cs="Tahoma"/>
          <w:sz w:val="20"/>
          <w:szCs w:val="20"/>
        </w:rPr>
        <w:t>;</w:t>
      </w:r>
    </w:p>
    <w:p w14:paraId="1A570F0D" w14:textId="3B3E889A" w:rsidR="001E7C3C" w:rsidRPr="00B004EE" w:rsidRDefault="001E7C3C" w:rsidP="00420DDA">
      <w:pPr>
        <w:pStyle w:val="Paragraphedeliste"/>
        <w:widowControl w:val="0"/>
        <w:numPr>
          <w:ilvl w:val="0"/>
          <w:numId w:val="27"/>
        </w:numPr>
        <w:tabs>
          <w:tab w:val="left" w:pos="567"/>
        </w:tabs>
        <w:ind w:left="426" w:right="159"/>
        <w:jc w:val="both"/>
        <w:rPr>
          <w:rFonts w:ascii="Tahoma" w:eastAsia="American Typewriter" w:hAnsi="Tahoma" w:cs="Tahoma"/>
          <w:sz w:val="20"/>
          <w:szCs w:val="20"/>
        </w:rPr>
      </w:pPr>
      <w:proofErr w:type="gramStart"/>
      <w:r w:rsidRPr="00B004EE">
        <w:rPr>
          <w:rFonts w:ascii="Tahoma" w:hAnsi="Tahoma" w:cs="Tahoma"/>
          <w:sz w:val="20"/>
          <w:szCs w:val="20"/>
        </w:rPr>
        <w:t>demander</w:t>
      </w:r>
      <w:proofErr w:type="gramEnd"/>
      <w:r w:rsidR="00DB1635" w:rsidRPr="00B004EE">
        <w:rPr>
          <w:rFonts w:ascii="Tahoma" w:hAnsi="Tahoma" w:cs="Tahoma"/>
          <w:spacing w:val="-9"/>
          <w:sz w:val="20"/>
          <w:szCs w:val="20"/>
        </w:rPr>
        <w:t xml:space="preserve"> </w:t>
      </w:r>
      <w:r w:rsidRPr="00B004EE">
        <w:rPr>
          <w:rFonts w:ascii="Tahoma" w:hAnsi="Tahoma" w:cs="Tahoma"/>
          <w:sz w:val="20"/>
          <w:szCs w:val="20"/>
        </w:rPr>
        <w:t>la</w:t>
      </w:r>
      <w:r w:rsidR="00DB1635" w:rsidRPr="00B004EE">
        <w:rPr>
          <w:rFonts w:ascii="Tahoma" w:hAnsi="Tahoma" w:cs="Tahoma"/>
          <w:spacing w:val="-8"/>
          <w:sz w:val="20"/>
          <w:szCs w:val="20"/>
        </w:rPr>
        <w:t xml:space="preserve"> </w:t>
      </w:r>
      <w:r w:rsidRPr="00B004EE">
        <w:rPr>
          <w:rFonts w:ascii="Tahoma" w:hAnsi="Tahoma" w:cs="Tahoma"/>
          <w:sz w:val="20"/>
          <w:szCs w:val="20"/>
        </w:rPr>
        <w:t>production</w:t>
      </w:r>
      <w:r w:rsidR="00DB1635" w:rsidRPr="00B004EE">
        <w:rPr>
          <w:rFonts w:ascii="Tahoma" w:hAnsi="Tahoma" w:cs="Tahoma"/>
          <w:spacing w:val="-7"/>
          <w:sz w:val="20"/>
          <w:szCs w:val="20"/>
        </w:rPr>
        <w:t xml:space="preserve"> </w:t>
      </w:r>
      <w:r w:rsidRPr="00B004EE">
        <w:rPr>
          <w:rFonts w:ascii="Tahoma" w:hAnsi="Tahoma" w:cs="Tahoma"/>
          <w:sz w:val="20"/>
          <w:szCs w:val="20"/>
        </w:rPr>
        <w:t>de</w:t>
      </w:r>
      <w:r w:rsidR="00DB1635" w:rsidRPr="00B004EE">
        <w:rPr>
          <w:rFonts w:ascii="Tahoma" w:hAnsi="Tahoma" w:cs="Tahoma"/>
          <w:spacing w:val="-8"/>
          <w:sz w:val="20"/>
          <w:szCs w:val="20"/>
        </w:rPr>
        <w:t xml:space="preserve"> </w:t>
      </w:r>
      <w:r w:rsidRPr="00B004EE">
        <w:rPr>
          <w:rFonts w:ascii="Tahoma" w:hAnsi="Tahoma" w:cs="Tahoma"/>
          <w:sz w:val="20"/>
          <w:szCs w:val="20"/>
        </w:rPr>
        <w:t>la</w:t>
      </w:r>
      <w:r w:rsidR="00DB1635" w:rsidRPr="00B004EE">
        <w:rPr>
          <w:rFonts w:ascii="Tahoma" w:hAnsi="Tahoma" w:cs="Tahoma"/>
          <w:spacing w:val="-8"/>
          <w:sz w:val="20"/>
          <w:szCs w:val="20"/>
        </w:rPr>
        <w:t xml:space="preserve"> </w:t>
      </w:r>
      <w:r w:rsidRPr="00B004EE">
        <w:rPr>
          <w:rFonts w:ascii="Tahoma" w:hAnsi="Tahoma" w:cs="Tahoma"/>
          <w:sz w:val="20"/>
          <w:szCs w:val="20"/>
        </w:rPr>
        <w:t>concession</w:t>
      </w:r>
      <w:r w:rsidR="00DB1635" w:rsidRPr="00B004EE">
        <w:rPr>
          <w:rFonts w:ascii="Tahoma" w:hAnsi="Tahoma" w:cs="Tahoma"/>
          <w:spacing w:val="-9"/>
          <w:sz w:val="20"/>
          <w:szCs w:val="20"/>
        </w:rPr>
        <w:t xml:space="preserve"> </w:t>
      </w:r>
      <w:r w:rsidRPr="00B004EE">
        <w:rPr>
          <w:rFonts w:ascii="Tahoma" w:hAnsi="Tahoma" w:cs="Tahoma"/>
          <w:sz w:val="20"/>
          <w:szCs w:val="20"/>
        </w:rPr>
        <w:t>de</w:t>
      </w:r>
      <w:r w:rsidR="00DB1635" w:rsidRPr="00B004EE">
        <w:rPr>
          <w:rFonts w:ascii="Tahoma" w:hAnsi="Tahoma" w:cs="Tahoma"/>
          <w:spacing w:val="-8"/>
          <w:sz w:val="20"/>
          <w:szCs w:val="20"/>
        </w:rPr>
        <w:t xml:space="preserve"> </w:t>
      </w:r>
      <w:r w:rsidRPr="00B004EE">
        <w:rPr>
          <w:rFonts w:ascii="Tahoma" w:hAnsi="Tahoma" w:cs="Tahoma"/>
          <w:sz w:val="20"/>
          <w:szCs w:val="20"/>
        </w:rPr>
        <w:t>droits</w:t>
      </w:r>
      <w:r w:rsidR="00DB1635" w:rsidRPr="00B004EE">
        <w:rPr>
          <w:rFonts w:ascii="Tahoma" w:hAnsi="Tahoma" w:cs="Tahoma"/>
          <w:spacing w:val="-9"/>
          <w:sz w:val="20"/>
          <w:szCs w:val="20"/>
        </w:rPr>
        <w:t xml:space="preserve"> </w:t>
      </w:r>
      <w:r w:rsidRPr="00B004EE">
        <w:rPr>
          <w:rFonts w:ascii="Tahoma" w:hAnsi="Tahoma" w:cs="Tahoma"/>
          <w:sz w:val="20"/>
          <w:szCs w:val="20"/>
        </w:rPr>
        <w:t>de</w:t>
      </w:r>
      <w:r w:rsidR="00DB1635" w:rsidRPr="00B004EE">
        <w:rPr>
          <w:rFonts w:ascii="Tahoma" w:hAnsi="Tahoma" w:cs="Tahoma"/>
          <w:spacing w:val="-8"/>
          <w:sz w:val="20"/>
          <w:szCs w:val="20"/>
        </w:rPr>
        <w:t xml:space="preserve"> </w:t>
      </w:r>
      <w:r w:rsidRPr="00B004EE">
        <w:rPr>
          <w:rFonts w:ascii="Tahoma" w:hAnsi="Tahoma" w:cs="Tahoma"/>
          <w:sz w:val="20"/>
          <w:szCs w:val="20"/>
        </w:rPr>
        <w:t>pêche,</w:t>
      </w:r>
      <w:r w:rsidR="00DB1635" w:rsidRPr="00B004EE">
        <w:rPr>
          <w:rFonts w:ascii="Tahoma" w:hAnsi="Tahoma" w:cs="Tahoma"/>
          <w:spacing w:val="-6"/>
          <w:sz w:val="20"/>
          <w:szCs w:val="20"/>
        </w:rPr>
        <w:t xml:space="preserve"> </w:t>
      </w:r>
      <w:r w:rsidRPr="00B004EE">
        <w:rPr>
          <w:rFonts w:ascii="Tahoma" w:hAnsi="Tahoma" w:cs="Tahoma"/>
          <w:sz w:val="20"/>
          <w:szCs w:val="20"/>
        </w:rPr>
        <w:t>de</w:t>
      </w:r>
      <w:r w:rsidR="00DB1635" w:rsidRPr="00B004EE">
        <w:rPr>
          <w:rFonts w:ascii="Tahoma" w:hAnsi="Tahoma" w:cs="Tahoma"/>
          <w:spacing w:val="-8"/>
          <w:sz w:val="20"/>
          <w:szCs w:val="20"/>
        </w:rPr>
        <w:t xml:space="preserve"> </w:t>
      </w:r>
      <w:r w:rsidRPr="00B004EE">
        <w:rPr>
          <w:rFonts w:ascii="Tahoma" w:hAnsi="Tahoma" w:cs="Tahoma"/>
          <w:sz w:val="20"/>
          <w:szCs w:val="20"/>
        </w:rPr>
        <w:t>la</w:t>
      </w:r>
      <w:r w:rsidR="00DB1635" w:rsidRPr="00B004EE">
        <w:rPr>
          <w:rFonts w:ascii="Tahoma" w:hAnsi="Tahoma" w:cs="Tahoma"/>
          <w:spacing w:val="-8"/>
          <w:sz w:val="20"/>
          <w:szCs w:val="20"/>
        </w:rPr>
        <w:t xml:space="preserve"> </w:t>
      </w:r>
      <w:r w:rsidRPr="00B004EE">
        <w:rPr>
          <w:rFonts w:ascii="Tahoma" w:hAnsi="Tahoma" w:cs="Tahoma"/>
          <w:sz w:val="20"/>
          <w:szCs w:val="20"/>
        </w:rPr>
        <w:t>licence</w:t>
      </w:r>
      <w:r w:rsidR="00DB1635" w:rsidRPr="00B004EE">
        <w:rPr>
          <w:rFonts w:ascii="Tahoma" w:hAnsi="Tahoma" w:cs="Tahoma"/>
          <w:w w:val="94"/>
          <w:sz w:val="20"/>
          <w:szCs w:val="20"/>
        </w:rPr>
        <w:t xml:space="preserve"> </w:t>
      </w:r>
      <w:r w:rsidRPr="00B004EE">
        <w:rPr>
          <w:rFonts w:ascii="Tahoma" w:hAnsi="Tahoma" w:cs="Tahoma"/>
          <w:sz w:val="20"/>
          <w:szCs w:val="20"/>
        </w:rPr>
        <w:t>de</w:t>
      </w:r>
      <w:r w:rsidR="00DB1635" w:rsidRPr="00B004EE">
        <w:rPr>
          <w:rFonts w:ascii="Tahoma" w:hAnsi="Tahoma" w:cs="Tahoma"/>
          <w:spacing w:val="16"/>
          <w:sz w:val="20"/>
          <w:szCs w:val="20"/>
        </w:rPr>
        <w:t xml:space="preserve"> </w:t>
      </w:r>
      <w:r w:rsidRPr="00B004EE">
        <w:rPr>
          <w:rFonts w:ascii="Tahoma" w:hAnsi="Tahoma" w:cs="Tahoma"/>
          <w:sz w:val="20"/>
          <w:szCs w:val="20"/>
        </w:rPr>
        <w:t>pêche,</w:t>
      </w:r>
      <w:r w:rsidR="00DB1635" w:rsidRPr="00B004EE">
        <w:rPr>
          <w:rFonts w:ascii="Tahoma" w:hAnsi="Tahoma" w:cs="Tahoma"/>
          <w:spacing w:val="17"/>
          <w:sz w:val="20"/>
          <w:szCs w:val="20"/>
        </w:rPr>
        <w:t xml:space="preserve"> </w:t>
      </w:r>
      <w:r w:rsidRPr="00B004EE">
        <w:rPr>
          <w:rFonts w:ascii="Tahoma" w:hAnsi="Tahoma" w:cs="Tahoma"/>
          <w:sz w:val="20"/>
          <w:szCs w:val="20"/>
        </w:rPr>
        <w:t>du</w:t>
      </w:r>
      <w:r w:rsidR="00DB1635" w:rsidRPr="00B004EE">
        <w:rPr>
          <w:rFonts w:ascii="Tahoma" w:hAnsi="Tahoma" w:cs="Tahoma"/>
          <w:spacing w:val="16"/>
          <w:sz w:val="20"/>
          <w:szCs w:val="20"/>
        </w:rPr>
        <w:t xml:space="preserve"> </w:t>
      </w:r>
      <w:r w:rsidRPr="00B004EE">
        <w:rPr>
          <w:rFonts w:ascii="Tahoma" w:hAnsi="Tahoma" w:cs="Tahoma"/>
          <w:sz w:val="20"/>
          <w:szCs w:val="20"/>
        </w:rPr>
        <w:t>journal</w:t>
      </w:r>
      <w:r w:rsidR="00DB1635" w:rsidRPr="00B004EE">
        <w:rPr>
          <w:rFonts w:ascii="Tahoma" w:hAnsi="Tahoma" w:cs="Tahoma"/>
          <w:spacing w:val="17"/>
          <w:sz w:val="20"/>
          <w:szCs w:val="20"/>
        </w:rPr>
        <w:t xml:space="preserve"> </w:t>
      </w:r>
      <w:r w:rsidRPr="00B004EE">
        <w:rPr>
          <w:rFonts w:ascii="Tahoma" w:hAnsi="Tahoma" w:cs="Tahoma"/>
          <w:sz w:val="20"/>
          <w:szCs w:val="20"/>
        </w:rPr>
        <w:t>de</w:t>
      </w:r>
      <w:r w:rsidR="00DB1635" w:rsidRPr="00B004EE">
        <w:rPr>
          <w:rFonts w:ascii="Tahoma" w:hAnsi="Tahoma" w:cs="Tahoma"/>
          <w:spacing w:val="16"/>
          <w:sz w:val="20"/>
          <w:szCs w:val="20"/>
        </w:rPr>
        <w:t xml:space="preserve"> </w:t>
      </w:r>
      <w:r w:rsidRPr="00B004EE">
        <w:rPr>
          <w:rFonts w:ascii="Tahoma" w:hAnsi="Tahoma" w:cs="Tahoma"/>
          <w:sz w:val="20"/>
          <w:szCs w:val="20"/>
        </w:rPr>
        <w:t>pêche</w:t>
      </w:r>
      <w:r w:rsidR="00DB1635" w:rsidRPr="00B004EE">
        <w:rPr>
          <w:rFonts w:ascii="Tahoma" w:hAnsi="Tahoma" w:cs="Tahoma"/>
          <w:spacing w:val="18"/>
          <w:sz w:val="20"/>
          <w:szCs w:val="20"/>
        </w:rPr>
        <w:t xml:space="preserve"> </w:t>
      </w:r>
      <w:r w:rsidRPr="00B004EE">
        <w:rPr>
          <w:rFonts w:ascii="Tahoma" w:hAnsi="Tahoma" w:cs="Tahoma"/>
          <w:sz w:val="20"/>
          <w:szCs w:val="20"/>
        </w:rPr>
        <w:t>à</w:t>
      </w:r>
      <w:r w:rsidR="00DB1635" w:rsidRPr="00B004EE">
        <w:rPr>
          <w:rFonts w:ascii="Tahoma" w:hAnsi="Tahoma" w:cs="Tahoma"/>
          <w:spacing w:val="17"/>
          <w:sz w:val="20"/>
          <w:szCs w:val="20"/>
        </w:rPr>
        <w:t xml:space="preserve"> </w:t>
      </w:r>
      <w:r w:rsidRPr="00B004EE">
        <w:rPr>
          <w:rFonts w:ascii="Tahoma" w:hAnsi="Tahoma" w:cs="Tahoma"/>
          <w:sz w:val="20"/>
          <w:szCs w:val="20"/>
        </w:rPr>
        <w:t>bord</w:t>
      </w:r>
      <w:r w:rsidR="00DB1635" w:rsidRPr="00B004EE">
        <w:rPr>
          <w:rFonts w:ascii="Tahoma" w:hAnsi="Tahoma" w:cs="Tahoma"/>
          <w:spacing w:val="14"/>
          <w:sz w:val="20"/>
          <w:szCs w:val="20"/>
        </w:rPr>
        <w:t xml:space="preserve"> </w:t>
      </w:r>
      <w:r w:rsidRPr="00B004EE">
        <w:rPr>
          <w:rFonts w:ascii="Tahoma" w:hAnsi="Tahoma" w:cs="Tahoma"/>
          <w:sz w:val="20"/>
          <w:szCs w:val="20"/>
        </w:rPr>
        <w:t>ou</w:t>
      </w:r>
      <w:r w:rsidR="00DB1635" w:rsidRPr="00B004EE">
        <w:rPr>
          <w:rFonts w:ascii="Tahoma" w:hAnsi="Tahoma" w:cs="Tahoma"/>
          <w:spacing w:val="14"/>
          <w:sz w:val="20"/>
          <w:szCs w:val="20"/>
        </w:rPr>
        <w:t xml:space="preserve"> </w:t>
      </w:r>
      <w:r w:rsidRPr="00B004EE">
        <w:rPr>
          <w:rFonts w:ascii="Tahoma" w:hAnsi="Tahoma" w:cs="Tahoma"/>
          <w:sz w:val="20"/>
          <w:szCs w:val="20"/>
        </w:rPr>
        <w:t>tout</w:t>
      </w:r>
      <w:r w:rsidR="00DB1635" w:rsidRPr="00B004EE">
        <w:rPr>
          <w:rFonts w:ascii="Tahoma" w:hAnsi="Tahoma" w:cs="Tahoma"/>
          <w:spacing w:val="15"/>
          <w:sz w:val="20"/>
          <w:szCs w:val="20"/>
        </w:rPr>
        <w:t xml:space="preserve"> </w:t>
      </w:r>
      <w:r w:rsidRPr="00B004EE">
        <w:rPr>
          <w:rFonts w:ascii="Tahoma" w:hAnsi="Tahoma" w:cs="Tahoma"/>
          <w:sz w:val="20"/>
          <w:szCs w:val="20"/>
        </w:rPr>
        <w:t>autre</w:t>
      </w:r>
      <w:r w:rsidR="00DB1635" w:rsidRPr="00B004EE">
        <w:rPr>
          <w:rFonts w:ascii="Tahoma" w:hAnsi="Tahoma" w:cs="Tahoma"/>
          <w:spacing w:val="14"/>
          <w:sz w:val="20"/>
          <w:szCs w:val="20"/>
        </w:rPr>
        <w:t xml:space="preserve"> </w:t>
      </w:r>
      <w:r w:rsidRPr="00B004EE">
        <w:rPr>
          <w:rFonts w:ascii="Tahoma" w:hAnsi="Tahoma" w:cs="Tahoma"/>
          <w:sz w:val="20"/>
          <w:szCs w:val="20"/>
        </w:rPr>
        <w:t>document</w:t>
      </w:r>
      <w:r w:rsidR="00DB1635" w:rsidRPr="00B004EE">
        <w:rPr>
          <w:rFonts w:ascii="Tahoma" w:hAnsi="Tahoma" w:cs="Tahoma"/>
          <w:spacing w:val="14"/>
          <w:sz w:val="20"/>
          <w:szCs w:val="20"/>
        </w:rPr>
        <w:t xml:space="preserve"> </w:t>
      </w:r>
      <w:r w:rsidRPr="00B004EE">
        <w:rPr>
          <w:rFonts w:ascii="Tahoma" w:hAnsi="Tahoma" w:cs="Tahoma"/>
          <w:sz w:val="20"/>
          <w:szCs w:val="20"/>
        </w:rPr>
        <w:t>relatif</w:t>
      </w:r>
      <w:r w:rsidR="00DB1635" w:rsidRPr="00B004EE">
        <w:rPr>
          <w:rFonts w:ascii="Tahoma" w:hAnsi="Tahoma" w:cs="Tahoma"/>
          <w:spacing w:val="14"/>
          <w:sz w:val="20"/>
          <w:szCs w:val="20"/>
        </w:rPr>
        <w:t xml:space="preserve"> </w:t>
      </w:r>
      <w:r w:rsidRPr="00B004EE">
        <w:rPr>
          <w:rFonts w:ascii="Tahoma" w:hAnsi="Tahoma" w:cs="Tahoma"/>
          <w:sz w:val="20"/>
          <w:szCs w:val="20"/>
        </w:rPr>
        <w:t>au</w:t>
      </w:r>
      <w:r w:rsidR="00DB1635" w:rsidRPr="00B004EE">
        <w:rPr>
          <w:rFonts w:ascii="Tahoma" w:hAnsi="Tahoma" w:cs="Tahoma"/>
          <w:w w:val="98"/>
          <w:sz w:val="20"/>
          <w:szCs w:val="20"/>
        </w:rPr>
        <w:t xml:space="preserve"> </w:t>
      </w:r>
      <w:r w:rsidRPr="00B004EE">
        <w:rPr>
          <w:rFonts w:ascii="Tahoma" w:hAnsi="Tahoma" w:cs="Tahoma"/>
          <w:sz w:val="20"/>
          <w:szCs w:val="20"/>
        </w:rPr>
        <w:t>navire</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captures</w:t>
      </w:r>
      <w:r w:rsidR="00DB1635" w:rsidRPr="00B004EE">
        <w:rPr>
          <w:rFonts w:ascii="Tahoma" w:hAnsi="Tahoma" w:cs="Tahoma"/>
          <w:sz w:val="20"/>
          <w:szCs w:val="20"/>
        </w:rPr>
        <w:t xml:space="preserve"> </w:t>
      </w:r>
      <w:r w:rsidRPr="00B004EE">
        <w:rPr>
          <w:rFonts w:ascii="Tahoma" w:hAnsi="Tahoma" w:cs="Tahoma"/>
          <w:sz w:val="20"/>
          <w:szCs w:val="20"/>
        </w:rPr>
        <w:t>qui</w:t>
      </w:r>
      <w:r w:rsidR="00DB1635" w:rsidRPr="00B004EE">
        <w:rPr>
          <w:rFonts w:ascii="Tahoma" w:hAnsi="Tahoma" w:cs="Tahoma"/>
          <w:sz w:val="20"/>
          <w:szCs w:val="20"/>
        </w:rPr>
        <w:t xml:space="preserve"> </w:t>
      </w:r>
      <w:r w:rsidRPr="00B004EE">
        <w:rPr>
          <w:rFonts w:ascii="Tahoma" w:hAnsi="Tahoma" w:cs="Tahoma"/>
          <w:sz w:val="20"/>
          <w:szCs w:val="20"/>
        </w:rPr>
        <w:t>se</w:t>
      </w:r>
      <w:r w:rsidR="00DB1635" w:rsidRPr="00B004EE">
        <w:rPr>
          <w:rFonts w:ascii="Tahoma" w:hAnsi="Tahoma" w:cs="Tahoma"/>
          <w:sz w:val="20"/>
          <w:szCs w:val="20"/>
        </w:rPr>
        <w:t xml:space="preserve"> </w:t>
      </w:r>
      <w:r w:rsidRPr="00B004EE">
        <w:rPr>
          <w:rFonts w:ascii="Tahoma" w:hAnsi="Tahoma" w:cs="Tahoma"/>
          <w:sz w:val="20"/>
          <w:szCs w:val="20"/>
        </w:rPr>
        <w:t>trouvent</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bord</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saisir</w:t>
      </w:r>
      <w:r w:rsidR="00DB1635" w:rsidRPr="00B004EE">
        <w:rPr>
          <w:rFonts w:ascii="Tahoma" w:hAnsi="Tahoma" w:cs="Tahoma"/>
          <w:spacing w:val="45"/>
          <w:sz w:val="20"/>
          <w:szCs w:val="20"/>
        </w:rPr>
        <w:t xml:space="preserve"> </w:t>
      </w:r>
      <w:r w:rsidRPr="00B004EE">
        <w:rPr>
          <w:rFonts w:ascii="Tahoma" w:hAnsi="Tahoma" w:cs="Tahoma"/>
          <w:sz w:val="20"/>
          <w:szCs w:val="20"/>
        </w:rPr>
        <w:t>éventuellement</w:t>
      </w:r>
      <w:r w:rsidR="00DB1635" w:rsidRPr="00B004EE">
        <w:rPr>
          <w:rFonts w:ascii="Tahoma" w:hAnsi="Tahoma" w:cs="Tahoma"/>
          <w:w w:val="95"/>
          <w:sz w:val="20"/>
          <w:szCs w:val="20"/>
        </w:rPr>
        <w:t xml:space="preserve"> </w:t>
      </w:r>
      <w:r w:rsidRPr="00B004EE">
        <w:rPr>
          <w:rFonts w:ascii="Tahoma" w:hAnsi="Tahoma" w:cs="Tahoma"/>
          <w:sz w:val="20"/>
          <w:szCs w:val="20"/>
        </w:rPr>
        <w:t>lesdits</w:t>
      </w:r>
      <w:r w:rsidR="00DB1635" w:rsidRPr="00B004EE">
        <w:rPr>
          <w:rFonts w:ascii="Tahoma" w:hAnsi="Tahoma" w:cs="Tahoma"/>
          <w:sz w:val="20"/>
          <w:szCs w:val="20"/>
        </w:rPr>
        <w:t xml:space="preserve"> </w:t>
      </w:r>
      <w:r w:rsidRPr="00B004EE">
        <w:rPr>
          <w:rFonts w:ascii="Tahoma" w:hAnsi="Tahoma" w:cs="Tahoma"/>
          <w:sz w:val="20"/>
          <w:szCs w:val="20"/>
        </w:rPr>
        <w:t>documents</w:t>
      </w:r>
      <w:r w:rsidR="00DB1635" w:rsidRPr="00B004EE">
        <w:rPr>
          <w:rFonts w:ascii="Tahoma" w:hAnsi="Tahoma" w:cs="Tahoma"/>
          <w:spacing w:val="8"/>
          <w:sz w:val="20"/>
          <w:szCs w:val="20"/>
        </w:rPr>
        <w:t xml:space="preserve"> </w:t>
      </w:r>
      <w:r w:rsidRPr="00B004EE">
        <w:rPr>
          <w:rFonts w:ascii="Tahoma" w:hAnsi="Tahoma" w:cs="Tahoma"/>
          <w:sz w:val="20"/>
          <w:szCs w:val="20"/>
        </w:rPr>
        <w:t>;</w:t>
      </w:r>
    </w:p>
    <w:p w14:paraId="18E914B5" w14:textId="5A38C3DB" w:rsidR="001E7C3C" w:rsidRPr="00B004EE" w:rsidRDefault="001E7C3C" w:rsidP="00420DDA">
      <w:pPr>
        <w:pStyle w:val="Paragraphedeliste"/>
        <w:widowControl w:val="0"/>
        <w:numPr>
          <w:ilvl w:val="0"/>
          <w:numId w:val="27"/>
        </w:numPr>
        <w:tabs>
          <w:tab w:val="left" w:pos="567"/>
        </w:tabs>
        <w:ind w:left="426" w:right="163"/>
        <w:jc w:val="both"/>
        <w:rPr>
          <w:rFonts w:ascii="Tahoma" w:eastAsia="American Typewriter" w:hAnsi="Tahoma" w:cs="Tahoma"/>
          <w:sz w:val="20"/>
          <w:szCs w:val="20"/>
        </w:rPr>
      </w:pPr>
      <w:proofErr w:type="gramStart"/>
      <w:r w:rsidRPr="00B004EE">
        <w:rPr>
          <w:rFonts w:ascii="Tahoma" w:hAnsi="Tahoma" w:cs="Tahoma"/>
          <w:sz w:val="20"/>
          <w:szCs w:val="20"/>
        </w:rPr>
        <w:t>ordonner</w:t>
      </w:r>
      <w:proofErr w:type="gramEnd"/>
      <w:r w:rsidR="00DB1635" w:rsidRPr="00B004EE">
        <w:rPr>
          <w:rFonts w:ascii="Tahoma" w:hAnsi="Tahoma" w:cs="Tahoma"/>
          <w:sz w:val="20"/>
          <w:szCs w:val="20"/>
        </w:rPr>
        <w:t xml:space="preserve"> </w:t>
      </w:r>
      <w:r w:rsidRPr="00B004EE">
        <w:rPr>
          <w:rFonts w:ascii="Tahoma" w:hAnsi="Tahoma" w:cs="Tahoma"/>
          <w:sz w:val="20"/>
          <w:szCs w:val="20"/>
        </w:rPr>
        <w:t>que</w:t>
      </w:r>
      <w:r w:rsidR="00DB1635" w:rsidRPr="00B004EE">
        <w:rPr>
          <w:rFonts w:ascii="Tahoma" w:hAnsi="Tahoma" w:cs="Tahoma"/>
          <w:sz w:val="20"/>
          <w:szCs w:val="20"/>
        </w:rPr>
        <w:t xml:space="preserve"> </w:t>
      </w:r>
      <w:r w:rsidRPr="00B004EE">
        <w:rPr>
          <w:rFonts w:ascii="Tahoma" w:hAnsi="Tahoma" w:cs="Tahoma"/>
          <w:sz w:val="20"/>
          <w:szCs w:val="20"/>
        </w:rPr>
        <w:t>soient</w:t>
      </w:r>
      <w:r w:rsidR="00DB1635" w:rsidRPr="00B004EE">
        <w:rPr>
          <w:rFonts w:ascii="Tahoma" w:hAnsi="Tahoma" w:cs="Tahoma"/>
          <w:sz w:val="20"/>
          <w:szCs w:val="20"/>
        </w:rPr>
        <w:t xml:space="preserve"> </w:t>
      </w:r>
      <w:r w:rsidRPr="00B004EE">
        <w:rPr>
          <w:rFonts w:ascii="Tahoma" w:hAnsi="Tahoma" w:cs="Tahoma"/>
          <w:sz w:val="20"/>
          <w:szCs w:val="20"/>
        </w:rPr>
        <w:t>présentés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filets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autres</w:t>
      </w:r>
      <w:r w:rsidR="00DB1635" w:rsidRPr="00B004EE">
        <w:rPr>
          <w:rFonts w:ascii="Tahoma" w:hAnsi="Tahoma" w:cs="Tahoma"/>
          <w:sz w:val="20"/>
          <w:szCs w:val="20"/>
        </w:rPr>
        <w:t xml:space="preserve"> </w:t>
      </w:r>
      <w:r w:rsidRPr="00B004EE">
        <w:rPr>
          <w:rFonts w:ascii="Tahoma" w:hAnsi="Tahoma" w:cs="Tahoma"/>
          <w:sz w:val="20"/>
          <w:szCs w:val="20"/>
        </w:rPr>
        <w:t>engins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pacing w:val="52"/>
          <w:sz w:val="20"/>
          <w:szCs w:val="20"/>
        </w:rPr>
        <w:t xml:space="preserve"> </w:t>
      </w:r>
      <w:r w:rsidRPr="00B004EE">
        <w:rPr>
          <w:rFonts w:ascii="Tahoma" w:hAnsi="Tahoma" w:cs="Tahoma"/>
          <w:sz w:val="20"/>
          <w:szCs w:val="20"/>
        </w:rPr>
        <w:t>les</w:t>
      </w:r>
      <w:r w:rsidR="00DB1635" w:rsidRPr="00B004EE">
        <w:rPr>
          <w:rFonts w:ascii="Tahoma" w:hAnsi="Tahoma" w:cs="Tahoma"/>
          <w:w w:val="94"/>
          <w:sz w:val="20"/>
          <w:szCs w:val="20"/>
        </w:rPr>
        <w:t xml:space="preserve"> </w:t>
      </w:r>
      <w:r w:rsidRPr="00B004EE">
        <w:rPr>
          <w:rFonts w:ascii="Tahoma" w:hAnsi="Tahoma" w:cs="Tahoma"/>
          <w:sz w:val="20"/>
          <w:szCs w:val="20"/>
        </w:rPr>
        <w:t>captures</w:t>
      </w:r>
      <w:r w:rsidR="00DB1635" w:rsidRPr="00B004EE">
        <w:rPr>
          <w:rFonts w:ascii="Tahoma" w:hAnsi="Tahoma" w:cs="Tahoma"/>
          <w:sz w:val="20"/>
          <w:szCs w:val="20"/>
        </w:rPr>
        <w:t xml:space="preserve"> </w:t>
      </w:r>
      <w:r w:rsidRPr="00B004EE">
        <w:rPr>
          <w:rFonts w:ascii="Tahoma" w:hAnsi="Tahoma" w:cs="Tahoma"/>
          <w:sz w:val="20"/>
          <w:szCs w:val="20"/>
        </w:rPr>
        <w:t>qui</w:t>
      </w:r>
      <w:r w:rsidR="00DB1635" w:rsidRPr="00B004EE">
        <w:rPr>
          <w:rFonts w:ascii="Tahoma" w:hAnsi="Tahoma" w:cs="Tahoma"/>
          <w:sz w:val="20"/>
          <w:szCs w:val="20"/>
        </w:rPr>
        <w:t xml:space="preserve"> </w:t>
      </w:r>
      <w:r w:rsidRPr="00B004EE">
        <w:rPr>
          <w:rFonts w:ascii="Tahoma" w:hAnsi="Tahoma" w:cs="Tahoma"/>
          <w:sz w:val="20"/>
          <w:szCs w:val="20"/>
        </w:rPr>
        <w:t>se</w:t>
      </w:r>
      <w:r w:rsidR="00DB1635" w:rsidRPr="00B004EE">
        <w:rPr>
          <w:rFonts w:ascii="Tahoma" w:hAnsi="Tahoma" w:cs="Tahoma"/>
          <w:sz w:val="20"/>
          <w:szCs w:val="20"/>
        </w:rPr>
        <w:t xml:space="preserve"> </w:t>
      </w:r>
      <w:r w:rsidRPr="00B004EE">
        <w:rPr>
          <w:rFonts w:ascii="Tahoma" w:hAnsi="Tahoma" w:cs="Tahoma"/>
          <w:sz w:val="20"/>
          <w:szCs w:val="20"/>
        </w:rPr>
        <w:t>trouvent</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pacing w:val="20"/>
          <w:sz w:val="20"/>
          <w:szCs w:val="20"/>
        </w:rPr>
        <w:t xml:space="preserve"> </w:t>
      </w:r>
      <w:r w:rsidRPr="00B004EE">
        <w:rPr>
          <w:rFonts w:ascii="Tahoma" w:hAnsi="Tahoma" w:cs="Tahoma"/>
          <w:sz w:val="20"/>
          <w:szCs w:val="20"/>
        </w:rPr>
        <w:t>bord.</w:t>
      </w:r>
    </w:p>
    <w:p w14:paraId="40CC12F6" w14:textId="77777777" w:rsidR="001E7C3C" w:rsidRPr="00B004EE" w:rsidRDefault="001E7C3C" w:rsidP="00B004EE">
      <w:pPr>
        <w:rPr>
          <w:rFonts w:ascii="Tahoma" w:eastAsia="American Typewriter" w:hAnsi="Tahoma" w:cs="Tahoma"/>
          <w:sz w:val="20"/>
          <w:szCs w:val="20"/>
        </w:rPr>
      </w:pPr>
    </w:p>
    <w:p w14:paraId="70002B79" w14:textId="74041C06" w:rsidR="001E7C3C" w:rsidRPr="00B004EE" w:rsidRDefault="001E7C3C" w:rsidP="00B004EE">
      <w:pPr>
        <w:pStyle w:val="Corpsdetexte"/>
        <w:ind w:right="158"/>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68</w:t>
      </w:r>
      <w:r w:rsidR="00DB1635" w:rsidRPr="00B004EE">
        <w:rPr>
          <w:rFonts w:ascii="Tahoma" w:hAnsi="Tahoma" w:cs="Tahoma"/>
          <w:bCs/>
          <w:sz w:val="20"/>
          <w:szCs w:val="20"/>
        </w:rPr>
        <w:t xml:space="preserve"> </w:t>
      </w:r>
      <w:r w:rsidRPr="00B004EE">
        <w:rPr>
          <w:rFonts w:ascii="Tahoma" w:hAnsi="Tahoma" w:cs="Tahoma"/>
          <w:bCs/>
          <w:sz w:val="20"/>
          <w:szCs w:val="20"/>
        </w:rPr>
        <w:t>:</w:t>
      </w:r>
      <w:r w:rsidR="00DB1635" w:rsidRPr="00B004EE">
        <w:rPr>
          <w:rFonts w:ascii="Tahoma" w:hAnsi="Tahoma" w:cs="Tahoma"/>
          <w:b/>
          <w:sz w:val="20"/>
          <w:szCs w:val="20"/>
        </w:rPr>
        <w:t xml:space="preserve"> </w:t>
      </w:r>
      <w:r w:rsidRPr="00B004EE">
        <w:rPr>
          <w:rFonts w:ascii="Tahoma" w:hAnsi="Tahoma" w:cs="Tahoma"/>
          <w:sz w:val="20"/>
          <w:szCs w:val="20"/>
        </w:rPr>
        <w:t>Lorsqu'ils</w:t>
      </w:r>
      <w:r w:rsidR="00DB1635" w:rsidRPr="00B004EE">
        <w:rPr>
          <w:rFonts w:ascii="Tahoma" w:hAnsi="Tahoma" w:cs="Tahoma"/>
          <w:sz w:val="20"/>
          <w:szCs w:val="20"/>
        </w:rPr>
        <w:t xml:space="preserve"> </w:t>
      </w:r>
      <w:r w:rsidRPr="00B004EE">
        <w:rPr>
          <w:rFonts w:ascii="Tahoma" w:hAnsi="Tahoma" w:cs="Tahoma"/>
          <w:sz w:val="20"/>
          <w:szCs w:val="20"/>
        </w:rPr>
        <w:t>ont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raisons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suspecter</w:t>
      </w:r>
      <w:r w:rsidR="00DB1635" w:rsidRPr="00B004EE">
        <w:rPr>
          <w:rFonts w:ascii="Tahoma" w:hAnsi="Tahoma" w:cs="Tahoma"/>
          <w:sz w:val="20"/>
          <w:szCs w:val="20"/>
        </w:rPr>
        <w:t xml:space="preserve"> </w:t>
      </w:r>
      <w:r w:rsidRPr="00B004EE">
        <w:rPr>
          <w:rFonts w:ascii="Tahoma" w:hAnsi="Tahoma" w:cs="Tahoma"/>
          <w:sz w:val="20"/>
          <w:szCs w:val="20"/>
        </w:rPr>
        <w:t>qu'une</w:t>
      </w:r>
      <w:r w:rsidR="00DB1635" w:rsidRPr="00B004EE">
        <w:rPr>
          <w:rFonts w:ascii="Tahoma" w:hAnsi="Tahoma" w:cs="Tahoma"/>
          <w:sz w:val="20"/>
          <w:szCs w:val="20"/>
        </w:rPr>
        <w:t xml:space="preserve"> </w:t>
      </w:r>
      <w:r w:rsidRPr="00B004EE">
        <w:rPr>
          <w:rFonts w:ascii="Tahoma" w:hAnsi="Tahoma" w:cs="Tahoma"/>
          <w:sz w:val="20"/>
          <w:szCs w:val="20"/>
        </w:rPr>
        <w:t>infraction</w:t>
      </w:r>
      <w:r w:rsidR="00DB1635" w:rsidRPr="00B004EE">
        <w:rPr>
          <w:rFonts w:ascii="Tahoma" w:hAnsi="Tahoma" w:cs="Tahoma"/>
          <w:spacing w:val="23"/>
          <w:sz w:val="20"/>
          <w:szCs w:val="20"/>
        </w:rPr>
        <w:t xml:space="preserve"> </w:t>
      </w:r>
      <w:r w:rsidRPr="00B004EE">
        <w:rPr>
          <w:rFonts w:ascii="Tahoma" w:hAnsi="Tahoma" w:cs="Tahoma"/>
          <w:sz w:val="20"/>
          <w:szCs w:val="20"/>
        </w:rPr>
        <w:t>aux</w:t>
      </w:r>
      <w:r w:rsidR="00DB1635" w:rsidRPr="00B004EE">
        <w:rPr>
          <w:rFonts w:ascii="Tahoma" w:hAnsi="Tahoma" w:cs="Tahoma"/>
          <w:w w:val="91"/>
          <w:sz w:val="20"/>
          <w:szCs w:val="20"/>
        </w:rPr>
        <w:t xml:space="preserve"> </w:t>
      </w:r>
      <w:r w:rsidRPr="00B004EE">
        <w:rPr>
          <w:rFonts w:ascii="Tahoma" w:hAnsi="Tahoma" w:cs="Tahoma"/>
          <w:sz w:val="20"/>
          <w:szCs w:val="20"/>
        </w:rPr>
        <w:t>dispositions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présente</w:t>
      </w:r>
      <w:r w:rsidR="00DB1635" w:rsidRPr="00B004EE">
        <w:rPr>
          <w:rFonts w:ascii="Tahoma" w:hAnsi="Tahoma" w:cs="Tahoma"/>
          <w:sz w:val="20"/>
          <w:szCs w:val="20"/>
        </w:rPr>
        <w:t xml:space="preserve"> </w:t>
      </w:r>
      <w:r w:rsidRPr="00B004EE">
        <w:rPr>
          <w:rFonts w:ascii="Tahoma" w:hAnsi="Tahoma" w:cs="Tahoma"/>
          <w:sz w:val="20"/>
          <w:szCs w:val="20"/>
        </w:rPr>
        <w:t>Loi</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règlements</w:t>
      </w:r>
      <w:r w:rsidR="00DB1635" w:rsidRPr="00B004EE">
        <w:rPr>
          <w:rFonts w:ascii="Tahoma" w:hAnsi="Tahoma" w:cs="Tahoma"/>
          <w:sz w:val="20"/>
          <w:szCs w:val="20"/>
        </w:rPr>
        <w:t xml:space="preserve"> </w:t>
      </w:r>
      <w:r w:rsidRPr="00B004EE">
        <w:rPr>
          <w:rFonts w:ascii="Tahoma" w:hAnsi="Tahoma" w:cs="Tahoma"/>
          <w:sz w:val="20"/>
          <w:szCs w:val="20"/>
        </w:rPr>
        <w:t>pris</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son</w:t>
      </w:r>
      <w:r w:rsidR="00DB1635" w:rsidRPr="00B004EE">
        <w:rPr>
          <w:rFonts w:ascii="Tahoma" w:hAnsi="Tahoma" w:cs="Tahoma"/>
          <w:sz w:val="20"/>
          <w:szCs w:val="20"/>
        </w:rPr>
        <w:t xml:space="preserve"> </w:t>
      </w:r>
      <w:r w:rsidRPr="00B004EE">
        <w:rPr>
          <w:rFonts w:ascii="Tahoma" w:hAnsi="Tahoma" w:cs="Tahoma"/>
          <w:sz w:val="20"/>
          <w:szCs w:val="20"/>
        </w:rPr>
        <w:t>application</w:t>
      </w:r>
      <w:r w:rsidR="00DB1635" w:rsidRPr="00B004EE">
        <w:rPr>
          <w:rFonts w:ascii="Tahoma" w:hAnsi="Tahoma" w:cs="Tahoma"/>
          <w:sz w:val="20"/>
          <w:szCs w:val="20"/>
        </w:rPr>
        <w:t xml:space="preserve"> </w:t>
      </w:r>
      <w:r w:rsidRPr="00B004EE">
        <w:rPr>
          <w:rFonts w:ascii="Tahoma" w:hAnsi="Tahoma" w:cs="Tahoma"/>
          <w:sz w:val="20"/>
          <w:szCs w:val="20"/>
        </w:rPr>
        <w:t>a</w:t>
      </w:r>
      <w:r w:rsidR="00DB1635" w:rsidRPr="00B004EE">
        <w:rPr>
          <w:rFonts w:ascii="Tahoma" w:hAnsi="Tahoma" w:cs="Tahoma"/>
          <w:spacing w:val="35"/>
          <w:sz w:val="20"/>
          <w:szCs w:val="20"/>
        </w:rPr>
        <w:t xml:space="preserve"> </w:t>
      </w:r>
      <w:r w:rsidRPr="00B004EE">
        <w:rPr>
          <w:rFonts w:ascii="Tahoma" w:hAnsi="Tahoma" w:cs="Tahoma"/>
          <w:sz w:val="20"/>
          <w:szCs w:val="20"/>
        </w:rPr>
        <w:t>été</w:t>
      </w:r>
      <w:r w:rsidR="00DB1635" w:rsidRPr="00B004EE">
        <w:rPr>
          <w:rFonts w:ascii="Tahoma" w:hAnsi="Tahoma" w:cs="Tahoma"/>
          <w:spacing w:val="-1"/>
          <w:w w:val="95"/>
          <w:sz w:val="20"/>
          <w:szCs w:val="20"/>
        </w:rPr>
        <w:t xml:space="preserve"> </w:t>
      </w:r>
      <w:r w:rsidRPr="00B004EE">
        <w:rPr>
          <w:rFonts w:ascii="Tahoma" w:hAnsi="Tahoma" w:cs="Tahoma"/>
          <w:sz w:val="20"/>
          <w:szCs w:val="20"/>
        </w:rPr>
        <w:t>commise,</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agents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contrôle</w:t>
      </w:r>
      <w:r w:rsidR="00DB1635" w:rsidRPr="00B004EE">
        <w:rPr>
          <w:rFonts w:ascii="Tahoma" w:hAnsi="Tahoma" w:cs="Tahoma"/>
          <w:sz w:val="20"/>
          <w:szCs w:val="20"/>
        </w:rPr>
        <w:t xml:space="preserve"> </w:t>
      </w:r>
      <w:r w:rsidRPr="00B004EE">
        <w:rPr>
          <w:rFonts w:ascii="Tahoma" w:hAnsi="Tahoma" w:cs="Tahoma"/>
          <w:sz w:val="20"/>
          <w:szCs w:val="20"/>
        </w:rPr>
        <w:t>peuvent,</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l'absence</w:t>
      </w:r>
      <w:r w:rsidR="00DB1635" w:rsidRPr="00B004EE">
        <w:rPr>
          <w:rFonts w:ascii="Tahoma" w:hAnsi="Tahoma" w:cs="Tahoma"/>
          <w:sz w:val="20"/>
          <w:szCs w:val="20"/>
        </w:rPr>
        <w:t xml:space="preserve"> </w:t>
      </w:r>
      <w:r w:rsidRPr="00B004EE">
        <w:rPr>
          <w:rFonts w:ascii="Tahoma" w:hAnsi="Tahoma" w:cs="Tahoma"/>
          <w:sz w:val="20"/>
          <w:szCs w:val="20"/>
        </w:rPr>
        <w:t>d'un</w:t>
      </w:r>
      <w:r w:rsidR="00DB1635" w:rsidRPr="00B004EE">
        <w:rPr>
          <w:rFonts w:ascii="Tahoma" w:hAnsi="Tahoma" w:cs="Tahoma"/>
          <w:sz w:val="20"/>
          <w:szCs w:val="20"/>
        </w:rPr>
        <w:t xml:space="preserve"> </w:t>
      </w:r>
      <w:r w:rsidRPr="00B004EE">
        <w:rPr>
          <w:rFonts w:ascii="Tahoma" w:hAnsi="Tahoma" w:cs="Tahoma"/>
          <w:sz w:val="20"/>
          <w:szCs w:val="20"/>
        </w:rPr>
        <w:t>mandat</w:t>
      </w:r>
      <w:r w:rsidR="00DB1635" w:rsidRPr="00B004EE">
        <w:rPr>
          <w:rFonts w:ascii="Tahoma" w:hAnsi="Tahoma" w:cs="Tahoma"/>
          <w:sz w:val="20"/>
          <w:szCs w:val="20"/>
        </w:rPr>
        <w:t xml:space="preserve"> </w:t>
      </w:r>
      <w:r w:rsidRPr="00B004EE">
        <w:rPr>
          <w:rFonts w:ascii="Tahoma" w:hAnsi="Tahoma" w:cs="Tahoma"/>
          <w:sz w:val="20"/>
          <w:szCs w:val="20"/>
        </w:rPr>
        <w:t>spécial</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pacing w:val="29"/>
          <w:sz w:val="20"/>
          <w:szCs w:val="20"/>
        </w:rPr>
        <w:t xml:space="preserve"> </w:t>
      </w:r>
      <w:r w:rsidRPr="00B004EE">
        <w:rPr>
          <w:rFonts w:ascii="Tahoma" w:hAnsi="Tahoma" w:cs="Tahoma"/>
          <w:sz w:val="20"/>
          <w:szCs w:val="20"/>
        </w:rPr>
        <w:t>cet</w:t>
      </w:r>
      <w:r w:rsidR="00DB1635" w:rsidRPr="00B004EE">
        <w:rPr>
          <w:rFonts w:ascii="Tahoma" w:hAnsi="Tahoma" w:cs="Tahoma"/>
          <w:w w:val="95"/>
          <w:sz w:val="20"/>
          <w:szCs w:val="20"/>
        </w:rPr>
        <w:t xml:space="preserve"> </w:t>
      </w:r>
      <w:r w:rsidRPr="00B004EE">
        <w:rPr>
          <w:rFonts w:ascii="Tahoma" w:hAnsi="Tahoma" w:cs="Tahoma"/>
          <w:sz w:val="20"/>
          <w:szCs w:val="20"/>
        </w:rPr>
        <w:t>effet</w:t>
      </w:r>
      <w:r w:rsidR="00DB1635" w:rsidRPr="00B004EE">
        <w:rPr>
          <w:rFonts w:ascii="Tahoma" w:hAnsi="Tahoma" w:cs="Tahoma"/>
          <w:spacing w:val="-18"/>
          <w:sz w:val="20"/>
          <w:szCs w:val="20"/>
        </w:rPr>
        <w:t xml:space="preserve"> </w:t>
      </w:r>
      <w:r w:rsidRPr="00B004EE">
        <w:rPr>
          <w:rFonts w:ascii="Tahoma" w:hAnsi="Tahoma" w:cs="Tahoma"/>
          <w:sz w:val="20"/>
          <w:szCs w:val="20"/>
        </w:rPr>
        <w:t>:</w:t>
      </w:r>
    </w:p>
    <w:p w14:paraId="5190C56E" w14:textId="0D5BDE7C" w:rsidR="001E7C3C" w:rsidRPr="00B004EE" w:rsidRDefault="001E7C3C" w:rsidP="00420DDA">
      <w:pPr>
        <w:pStyle w:val="Paragraphedeliste"/>
        <w:widowControl w:val="0"/>
        <w:numPr>
          <w:ilvl w:val="0"/>
          <w:numId w:val="82"/>
        </w:numPr>
        <w:tabs>
          <w:tab w:val="left" w:pos="567"/>
        </w:tabs>
        <w:ind w:left="426" w:right="164"/>
        <w:jc w:val="both"/>
        <w:rPr>
          <w:rFonts w:ascii="Tahoma" w:hAnsi="Tahoma" w:cs="Tahoma"/>
          <w:sz w:val="20"/>
          <w:szCs w:val="20"/>
        </w:rPr>
      </w:pPr>
      <w:proofErr w:type="gramStart"/>
      <w:r w:rsidRPr="00B004EE">
        <w:rPr>
          <w:rFonts w:ascii="Tahoma" w:hAnsi="Tahoma" w:cs="Tahoma"/>
          <w:sz w:val="20"/>
          <w:szCs w:val="20"/>
        </w:rPr>
        <w:t>entrer</w:t>
      </w:r>
      <w:proofErr w:type="gramEnd"/>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perquisitionner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locaux</w:t>
      </w:r>
      <w:r w:rsidR="00DB1635" w:rsidRPr="00B004EE">
        <w:rPr>
          <w:rFonts w:ascii="Tahoma" w:hAnsi="Tahoma" w:cs="Tahoma"/>
          <w:sz w:val="20"/>
          <w:szCs w:val="20"/>
        </w:rPr>
        <w:t xml:space="preserve"> </w:t>
      </w:r>
      <w:r w:rsidRPr="00B004EE">
        <w:rPr>
          <w:rFonts w:ascii="Tahoma" w:hAnsi="Tahoma" w:cs="Tahoma"/>
          <w:sz w:val="20"/>
          <w:szCs w:val="20"/>
        </w:rPr>
        <w:t>d'industries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traitement</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commercialisation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lastRenderedPageBreak/>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w:t>
      </w:r>
    </w:p>
    <w:p w14:paraId="39F2EC32" w14:textId="0C63F964" w:rsidR="001E7C3C" w:rsidRPr="00B004EE" w:rsidRDefault="001E7C3C" w:rsidP="00420DDA">
      <w:pPr>
        <w:pStyle w:val="Paragraphedeliste"/>
        <w:widowControl w:val="0"/>
        <w:numPr>
          <w:ilvl w:val="0"/>
          <w:numId w:val="82"/>
        </w:numPr>
        <w:tabs>
          <w:tab w:val="left" w:pos="567"/>
        </w:tabs>
        <w:ind w:left="426" w:right="164"/>
        <w:jc w:val="both"/>
        <w:rPr>
          <w:rFonts w:ascii="Tahoma" w:hAnsi="Tahoma" w:cs="Tahoma"/>
          <w:sz w:val="20"/>
          <w:szCs w:val="20"/>
        </w:rPr>
      </w:pPr>
      <w:proofErr w:type="gramStart"/>
      <w:r w:rsidRPr="00B004EE">
        <w:rPr>
          <w:rFonts w:ascii="Tahoma" w:hAnsi="Tahoma" w:cs="Tahoma"/>
          <w:sz w:val="20"/>
          <w:szCs w:val="20"/>
        </w:rPr>
        <w:t>entrer</w:t>
      </w:r>
      <w:proofErr w:type="gramEnd"/>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perquisitionner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locaux,</w:t>
      </w:r>
      <w:r w:rsidR="00DB1635" w:rsidRPr="00B004EE">
        <w:rPr>
          <w:rFonts w:ascii="Tahoma" w:hAnsi="Tahoma" w:cs="Tahoma"/>
          <w:sz w:val="20"/>
          <w:szCs w:val="20"/>
        </w:rPr>
        <w:t xml:space="preserve"> </w:t>
      </w:r>
      <w:r w:rsidRPr="00B004EE">
        <w:rPr>
          <w:rFonts w:ascii="Tahoma" w:hAnsi="Tahoma" w:cs="Tahoma"/>
          <w:sz w:val="20"/>
          <w:szCs w:val="20"/>
        </w:rPr>
        <w:t>sauf</w:t>
      </w:r>
      <w:r w:rsidR="00DB1635" w:rsidRPr="00B004EE">
        <w:rPr>
          <w:rFonts w:ascii="Tahoma" w:hAnsi="Tahoma" w:cs="Tahoma"/>
          <w:sz w:val="20"/>
          <w:szCs w:val="20"/>
        </w:rPr>
        <w:t xml:space="preserve"> </w:t>
      </w:r>
      <w:r w:rsidRPr="00B004EE">
        <w:rPr>
          <w:rFonts w:ascii="Tahoma" w:hAnsi="Tahoma" w:cs="Tahoma"/>
          <w:sz w:val="20"/>
          <w:szCs w:val="20"/>
        </w:rPr>
        <w:t>s'ils</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exclusivement</w:t>
      </w:r>
      <w:r w:rsidR="00DB1635" w:rsidRPr="00B004EE">
        <w:rPr>
          <w:rFonts w:ascii="Tahoma" w:hAnsi="Tahoma" w:cs="Tahoma"/>
          <w:sz w:val="20"/>
          <w:szCs w:val="20"/>
        </w:rPr>
        <w:t xml:space="preserve"> </w:t>
      </w:r>
      <w:r w:rsidRPr="00B004EE">
        <w:rPr>
          <w:rFonts w:ascii="Tahoma" w:hAnsi="Tahoma" w:cs="Tahoma"/>
          <w:sz w:val="20"/>
          <w:szCs w:val="20"/>
        </w:rPr>
        <w:t>destinés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habitation</w:t>
      </w:r>
      <w:r w:rsidR="00DB1635" w:rsidRPr="00B004EE">
        <w:rPr>
          <w:rFonts w:ascii="Tahoma" w:hAnsi="Tahoma" w:cs="Tahoma"/>
          <w:sz w:val="20"/>
          <w:szCs w:val="20"/>
        </w:rPr>
        <w:t xml:space="preserve"> </w:t>
      </w:r>
      <w:r w:rsidRPr="00B004EE">
        <w:rPr>
          <w:rFonts w:ascii="Tahoma" w:hAnsi="Tahoma" w:cs="Tahoma"/>
          <w:sz w:val="20"/>
          <w:szCs w:val="20"/>
        </w:rPr>
        <w:t>;</w:t>
      </w:r>
    </w:p>
    <w:p w14:paraId="375C0ED5" w14:textId="5F3F4799" w:rsidR="001E7C3C" w:rsidRPr="00B004EE" w:rsidRDefault="001E7C3C" w:rsidP="00420DDA">
      <w:pPr>
        <w:pStyle w:val="Paragraphedeliste"/>
        <w:widowControl w:val="0"/>
        <w:numPr>
          <w:ilvl w:val="0"/>
          <w:numId w:val="82"/>
        </w:numPr>
        <w:tabs>
          <w:tab w:val="left" w:pos="567"/>
        </w:tabs>
        <w:ind w:left="426" w:right="164"/>
        <w:jc w:val="both"/>
        <w:rPr>
          <w:rFonts w:ascii="Tahoma" w:hAnsi="Tahoma" w:cs="Tahoma"/>
          <w:sz w:val="20"/>
          <w:szCs w:val="20"/>
        </w:rPr>
      </w:pPr>
      <w:proofErr w:type="gramStart"/>
      <w:r w:rsidRPr="00B004EE">
        <w:rPr>
          <w:rFonts w:ascii="Tahoma" w:hAnsi="Tahoma" w:cs="Tahoma"/>
          <w:sz w:val="20"/>
          <w:szCs w:val="20"/>
        </w:rPr>
        <w:t>recueillir</w:t>
      </w:r>
      <w:proofErr w:type="gramEnd"/>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échantillons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bord</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tout</w:t>
      </w:r>
      <w:r w:rsidR="00DB1635" w:rsidRPr="00B004EE">
        <w:rPr>
          <w:rFonts w:ascii="Tahoma" w:hAnsi="Tahoma" w:cs="Tahoma"/>
          <w:sz w:val="20"/>
          <w:szCs w:val="20"/>
        </w:rPr>
        <w:t xml:space="preserve"> </w:t>
      </w:r>
      <w:r w:rsidRPr="00B004EE">
        <w:rPr>
          <w:rFonts w:ascii="Tahoma" w:hAnsi="Tahoma" w:cs="Tahoma"/>
          <w:sz w:val="20"/>
          <w:szCs w:val="20"/>
        </w:rPr>
        <w:t>navire,</w:t>
      </w:r>
      <w:r w:rsidR="00DB1635" w:rsidRPr="00B004EE">
        <w:rPr>
          <w:rFonts w:ascii="Tahoma" w:hAnsi="Tahoma" w:cs="Tahoma"/>
          <w:sz w:val="20"/>
          <w:szCs w:val="20"/>
        </w:rPr>
        <w:t xml:space="preserve"> </w:t>
      </w:r>
      <w:r w:rsidRPr="00B004EE">
        <w:rPr>
          <w:rFonts w:ascii="Tahoma" w:hAnsi="Tahoma" w:cs="Tahoma"/>
          <w:sz w:val="20"/>
          <w:szCs w:val="20"/>
        </w:rPr>
        <w:t>véhicule</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local</w:t>
      </w:r>
      <w:r w:rsidR="00DB1635" w:rsidRPr="00B004EE">
        <w:rPr>
          <w:rFonts w:ascii="Tahoma" w:hAnsi="Tahoma" w:cs="Tahoma"/>
          <w:sz w:val="20"/>
          <w:szCs w:val="20"/>
        </w:rPr>
        <w:t xml:space="preserve"> </w:t>
      </w:r>
      <w:r w:rsidRPr="00B004EE">
        <w:rPr>
          <w:rFonts w:ascii="Tahoma" w:hAnsi="Tahoma" w:cs="Tahoma"/>
          <w:sz w:val="20"/>
          <w:szCs w:val="20"/>
        </w:rPr>
        <w:t>objets</w:t>
      </w:r>
      <w:r w:rsidR="00DB1635" w:rsidRPr="00B004EE">
        <w:rPr>
          <w:rFonts w:ascii="Tahoma" w:hAnsi="Tahoma" w:cs="Tahoma"/>
          <w:sz w:val="20"/>
          <w:szCs w:val="20"/>
        </w:rPr>
        <w:t xml:space="preserve"> </w:t>
      </w:r>
      <w:r w:rsidRPr="00B004EE">
        <w:rPr>
          <w:rFonts w:ascii="Tahoma" w:hAnsi="Tahoma" w:cs="Tahoma"/>
          <w:sz w:val="20"/>
          <w:szCs w:val="20"/>
        </w:rPr>
        <w:t>d'inspection</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termes</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présent</w:t>
      </w:r>
      <w:r w:rsidR="00DB1635" w:rsidRPr="00B004EE">
        <w:rPr>
          <w:rFonts w:ascii="Tahoma" w:hAnsi="Tahoma" w:cs="Tahoma"/>
          <w:sz w:val="20"/>
          <w:szCs w:val="20"/>
        </w:rPr>
        <w:t xml:space="preserve"> </w:t>
      </w:r>
      <w:r w:rsidRPr="00B004EE">
        <w:rPr>
          <w:rFonts w:ascii="Tahoma" w:hAnsi="Tahoma" w:cs="Tahoma"/>
          <w:sz w:val="20"/>
          <w:szCs w:val="20"/>
        </w:rPr>
        <w:t>article.</w:t>
      </w:r>
    </w:p>
    <w:p w14:paraId="61B1E4F5" w14:textId="77777777" w:rsidR="001E7C3C" w:rsidRPr="00B004EE" w:rsidRDefault="001E7C3C" w:rsidP="00B004EE">
      <w:pPr>
        <w:pStyle w:val="Paragraphedeliste"/>
        <w:widowControl w:val="0"/>
        <w:tabs>
          <w:tab w:val="left" w:pos="567"/>
        </w:tabs>
        <w:ind w:left="426" w:right="164"/>
        <w:jc w:val="both"/>
        <w:rPr>
          <w:rFonts w:ascii="Tahoma" w:hAnsi="Tahoma" w:cs="Tahoma"/>
          <w:sz w:val="20"/>
          <w:szCs w:val="20"/>
        </w:rPr>
      </w:pPr>
    </w:p>
    <w:p w14:paraId="00A97435" w14:textId="380768B4" w:rsidR="001E7C3C" w:rsidRPr="00B004EE" w:rsidRDefault="001E7C3C" w:rsidP="00B004EE">
      <w:pPr>
        <w:pStyle w:val="Corpsdetexte"/>
        <w:ind w:right="159"/>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69</w:t>
      </w:r>
      <w:r w:rsidR="00DB1635" w:rsidRPr="00B004EE">
        <w:rPr>
          <w:rFonts w:ascii="Tahoma" w:hAnsi="Tahoma" w:cs="Tahoma"/>
          <w:bCs/>
          <w:sz w:val="20"/>
          <w:szCs w:val="20"/>
        </w:rPr>
        <w:t xml:space="preserve"> </w:t>
      </w:r>
      <w:r w:rsidRPr="00B004EE">
        <w:rPr>
          <w:rFonts w:ascii="Tahoma" w:hAnsi="Tahoma" w:cs="Tahoma"/>
          <w:bCs/>
          <w:sz w:val="20"/>
          <w:szCs w:val="20"/>
        </w:rPr>
        <w:t>:</w:t>
      </w:r>
      <w:r w:rsidR="00DB1635" w:rsidRPr="00B004EE">
        <w:rPr>
          <w:rFonts w:ascii="Tahoma" w:eastAsia="American Typewriter" w:hAnsi="Tahoma" w:cs="Tahoma"/>
          <w:b/>
          <w:bCs/>
          <w:spacing w:val="17"/>
          <w:sz w:val="20"/>
          <w:szCs w:val="20"/>
        </w:rPr>
        <w:t xml:space="preserve"> </w:t>
      </w:r>
      <w:r w:rsidRPr="00B004EE">
        <w:rPr>
          <w:rFonts w:ascii="Tahoma" w:hAnsi="Tahoma" w:cs="Tahoma"/>
          <w:sz w:val="20"/>
          <w:szCs w:val="20"/>
        </w:rPr>
        <w:t>L'agent</w:t>
      </w:r>
      <w:r w:rsidR="00DB1635" w:rsidRPr="00B004EE">
        <w:rPr>
          <w:rFonts w:ascii="Tahoma" w:hAnsi="Tahoma" w:cs="Tahoma"/>
          <w:spacing w:val="13"/>
          <w:sz w:val="20"/>
          <w:szCs w:val="20"/>
        </w:rPr>
        <w:t xml:space="preserve"> </w:t>
      </w:r>
      <w:r w:rsidRPr="00B004EE">
        <w:rPr>
          <w:rFonts w:ascii="Tahoma" w:hAnsi="Tahoma" w:cs="Tahoma"/>
          <w:sz w:val="20"/>
          <w:szCs w:val="20"/>
        </w:rPr>
        <w:t>de</w:t>
      </w:r>
      <w:r w:rsidR="00DB1635" w:rsidRPr="00B004EE">
        <w:rPr>
          <w:rFonts w:ascii="Tahoma" w:hAnsi="Tahoma" w:cs="Tahoma"/>
          <w:spacing w:val="13"/>
          <w:sz w:val="20"/>
          <w:szCs w:val="20"/>
        </w:rPr>
        <w:t xml:space="preserve"> </w:t>
      </w:r>
      <w:r w:rsidRPr="00B004EE">
        <w:rPr>
          <w:rFonts w:ascii="Tahoma" w:hAnsi="Tahoma" w:cs="Tahoma"/>
          <w:sz w:val="20"/>
          <w:szCs w:val="20"/>
        </w:rPr>
        <w:t>contrôle</w:t>
      </w:r>
      <w:r w:rsidR="00DB1635" w:rsidRPr="00B004EE">
        <w:rPr>
          <w:rFonts w:ascii="Tahoma" w:hAnsi="Tahoma" w:cs="Tahoma"/>
          <w:spacing w:val="13"/>
          <w:sz w:val="20"/>
          <w:szCs w:val="20"/>
        </w:rPr>
        <w:t xml:space="preserve"> </w:t>
      </w:r>
      <w:r w:rsidRPr="00B004EE">
        <w:rPr>
          <w:rFonts w:ascii="Tahoma" w:hAnsi="Tahoma" w:cs="Tahoma"/>
          <w:sz w:val="20"/>
          <w:szCs w:val="20"/>
        </w:rPr>
        <w:t>peut,</w:t>
      </w:r>
      <w:r w:rsidR="00DB1635" w:rsidRPr="00B004EE">
        <w:rPr>
          <w:rFonts w:ascii="Tahoma" w:hAnsi="Tahoma" w:cs="Tahoma"/>
          <w:spacing w:val="13"/>
          <w:sz w:val="20"/>
          <w:szCs w:val="20"/>
        </w:rPr>
        <w:t xml:space="preserve"> </w:t>
      </w:r>
      <w:r w:rsidRPr="00B004EE">
        <w:rPr>
          <w:rFonts w:ascii="Tahoma" w:hAnsi="Tahoma" w:cs="Tahoma"/>
          <w:sz w:val="20"/>
          <w:szCs w:val="20"/>
        </w:rPr>
        <w:t>s'il</w:t>
      </w:r>
      <w:r w:rsidR="00DB1635" w:rsidRPr="00B004EE">
        <w:rPr>
          <w:rFonts w:ascii="Tahoma" w:hAnsi="Tahoma" w:cs="Tahoma"/>
          <w:spacing w:val="14"/>
          <w:sz w:val="20"/>
          <w:szCs w:val="20"/>
        </w:rPr>
        <w:t xml:space="preserve"> </w:t>
      </w:r>
      <w:r w:rsidRPr="00B004EE">
        <w:rPr>
          <w:rFonts w:ascii="Tahoma" w:hAnsi="Tahoma" w:cs="Tahoma"/>
          <w:sz w:val="20"/>
          <w:szCs w:val="20"/>
        </w:rPr>
        <w:t>le</w:t>
      </w:r>
      <w:r w:rsidR="00DB1635" w:rsidRPr="00B004EE">
        <w:rPr>
          <w:rFonts w:ascii="Tahoma" w:hAnsi="Tahoma" w:cs="Tahoma"/>
          <w:spacing w:val="13"/>
          <w:sz w:val="20"/>
          <w:szCs w:val="20"/>
        </w:rPr>
        <w:t xml:space="preserve"> </w:t>
      </w:r>
      <w:r w:rsidRPr="00B004EE">
        <w:rPr>
          <w:rFonts w:ascii="Tahoma" w:hAnsi="Tahoma" w:cs="Tahoma"/>
          <w:sz w:val="20"/>
          <w:szCs w:val="20"/>
        </w:rPr>
        <w:t>juge</w:t>
      </w:r>
      <w:r w:rsidR="00DB1635" w:rsidRPr="00B004EE">
        <w:rPr>
          <w:rFonts w:ascii="Tahoma" w:hAnsi="Tahoma" w:cs="Tahoma"/>
          <w:spacing w:val="13"/>
          <w:sz w:val="20"/>
          <w:szCs w:val="20"/>
        </w:rPr>
        <w:t xml:space="preserve"> </w:t>
      </w:r>
      <w:r w:rsidRPr="00B004EE">
        <w:rPr>
          <w:rFonts w:ascii="Tahoma" w:hAnsi="Tahoma" w:cs="Tahoma"/>
          <w:sz w:val="20"/>
          <w:szCs w:val="20"/>
        </w:rPr>
        <w:t>nécessaire,</w:t>
      </w:r>
      <w:r w:rsidR="00DB1635" w:rsidRPr="00B004EE">
        <w:rPr>
          <w:rFonts w:ascii="Tahoma" w:hAnsi="Tahoma" w:cs="Tahoma"/>
          <w:spacing w:val="13"/>
          <w:sz w:val="20"/>
          <w:szCs w:val="20"/>
        </w:rPr>
        <w:t xml:space="preserve"> </w:t>
      </w:r>
      <w:r w:rsidRPr="00B004EE">
        <w:rPr>
          <w:rFonts w:ascii="Tahoma" w:hAnsi="Tahoma" w:cs="Tahoma"/>
          <w:sz w:val="20"/>
          <w:szCs w:val="20"/>
        </w:rPr>
        <w:t>requérir</w:t>
      </w:r>
      <w:r w:rsidR="00DB1635" w:rsidRPr="00B004EE">
        <w:rPr>
          <w:rFonts w:ascii="Tahoma" w:hAnsi="Tahoma" w:cs="Tahoma"/>
          <w:spacing w:val="12"/>
          <w:sz w:val="20"/>
          <w:szCs w:val="20"/>
        </w:rPr>
        <w:t xml:space="preserve"> </w:t>
      </w:r>
      <w:r w:rsidRPr="00B004EE">
        <w:rPr>
          <w:rFonts w:ascii="Tahoma" w:hAnsi="Tahoma" w:cs="Tahoma"/>
          <w:sz w:val="20"/>
          <w:szCs w:val="20"/>
        </w:rPr>
        <w:t>de</w:t>
      </w:r>
      <w:r w:rsidR="00DB1635" w:rsidRPr="00B004EE">
        <w:rPr>
          <w:rFonts w:ascii="Tahoma" w:hAnsi="Tahoma" w:cs="Tahoma"/>
          <w:spacing w:val="13"/>
          <w:sz w:val="20"/>
          <w:szCs w:val="20"/>
        </w:rPr>
        <w:t xml:space="preserve"> </w:t>
      </w:r>
      <w:r w:rsidRPr="00B004EE">
        <w:rPr>
          <w:rFonts w:ascii="Tahoma" w:hAnsi="Tahoma" w:cs="Tahoma"/>
          <w:sz w:val="20"/>
          <w:szCs w:val="20"/>
        </w:rPr>
        <w:t>la</w:t>
      </w:r>
      <w:r w:rsidR="00DB1635" w:rsidRPr="00B004EE">
        <w:rPr>
          <w:rFonts w:ascii="Tahoma" w:hAnsi="Tahoma" w:cs="Tahoma"/>
          <w:spacing w:val="12"/>
          <w:sz w:val="20"/>
          <w:szCs w:val="20"/>
        </w:rPr>
        <w:t xml:space="preserve"> </w:t>
      </w:r>
      <w:r w:rsidRPr="00B004EE">
        <w:rPr>
          <w:rFonts w:ascii="Tahoma" w:hAnsi="Tahoma" w:cs="Tahoma"/>
          <w:sz w:val="20"/>
          <w:szCs w:val="20"/>
        </w:rPr>
        <w:t>force</w:t>
      </w:r>
      <w:r w:rsidR="00DB1635" w:rsidRPr="00B004EE">
        <w:rPr>
          <w:rFonts w:ascii="Tahoma" w:hAnsi="Tahoma" w:cs="Tahoma"/>
          <w:w w:val="94"/>
          <w:sz w:val="20"/>
          <w:szCs w:val="20"/>
        </w:rPr>
        <w:t xml:space="preserve"> </w:t>
      </w:r>
      <w:r w:rsidRPr="00B004EE">
        <w:rPr>
          <w:rFonts w:ascii="Tahoma" w:hAnsi="Tahoma" w:cs="Tahoma"/>
          <w:sz w:val="20"/>
          <w:szCs w:val="20"/>
        </w:rPr>
        <w:t>publique,</w:t>
      </w:r>
      <w:r w:rsidR="00DB1635" w:rsidRPr="00B004EE">
        <w:rPr>
          <w:rFonts w:ascii="Tahoma" w:hAnsi="Tahoma" w:cs="Tahoma"/>
          <w:spacing w:val="-13"/>
          <w:sz w:val="20"/>
          <w:szCs w:val="20"/>
        </w:rPr>
        <w:t xml:space="preserve"> </w:t>
      </w:r>
      <w:r w:rsidRPr="00B004EE">
        <w:rPr>
          <w:rFonts w:ascii="Tahoma" w:hAnsi="Tahoma" w:cs="Tahoma"/>
          <w:sz w:val="20"/>
          <w:szCs w:val="20"/>
        </w:rPr>
        <w:t>l'aide</w:t>
      </w:r>
      <w:r w:rsidR="00DB1635" w:rsidRPr="00B004EE">
        <w:rPr>
          <w:rFonts w:ascii="Tahoma" w:hAnsi="Tahoma" w:cs="Tahoma"/>
          <w:spacing w:val="-13"/>
          <w:sz w:val="20"/>
          <w:szCs w:val="20"/>
        </w:rPr>
        <w:t xml:space="preserve"> </w:t>
      </w:r>
      <w:r w:rsidRPr="00B004EE">
        <w:rPr>
          <w:rFonts w:ascii="Tahoma" w:hAnsi="Tahoma" w:cs="Tahoma"/>
          <w:sz w:val="20"/>
          <w:szCs w:val="20"/>
        </w:rPr>
        <w:t>en</w:t>
      </w:r>
      <w:r w:rsidR="00DB1635" w:rsidRPr="00B004EE">
        <w:rPr>
          <w:rFonts w:ascii="Tahoma" w:hAnsi="Tahoma" w:cs="Tahoma"/>
          <w:spacing w:val="-14"/>
          <w:sz w:val="20"/>
          <w:szCs w:val="20"/>
        </w:rPr>
        <w:t xml:space="preserve"> </w:t>
      </w:r>
      <w:r w:rsidRPr="00B004EE">
        <w:rPr>
          <w:rFonts w:ascii="Tahoma" w:hAnsi="Tahoma" w:cs="Tahoma"/>
          <w:sz w:val="20"/>
          <w:szCs w:val="20"/>
        </w:rPr>
        <w:t>personnel</w:t>
      </w:r>
      <w:r w:rsidR="00DB1635" w:rsidRPr="00B004EE">
        <w:rPr>
          <w:rFonts w:ascii="Tahoma" w:hAnsi="Tahoma" w:cs="Tahoma"/>
          <w:spacing w:val="-15"/>
          <w:sz w:val="20"/>
          <w:szCs w:val="20"/>
        </w:rPr>
        <w:t xml:space="preserve"> </w:t>
      </w:r>
      <w:r w:rsidRPr="00B004EE">
        <w:rPr>
          <w:rFonts w:ascii="Tahoma" w:hAnsi="Tahoma" w:cs="Tahoma"/>
          <w:sz w:val="20"/>
          <w:szCs w:val="20"/>
        </w:rPr>
        <w:t>ou</w:t>
      </w:r>
      <w:r w:rsidR="00DB1635" w:rsidRPr="00B004EE">
        <w:rPr>
          <w:rFonts w:ascii="Tahoma" w:hAnsi="Tahoma" w:cs="Tahoma"/>
          <w:spacing w:val="-15"/>
          <w:sz w:val="20"/>
          <w:szCs w:val="20"/>
        </w:rPr>
        <w:t xml:space="preserve"> </w:t>
      </w:r>
      <w:r w:rsidRPr="00B004EE">
        <w:rPr>
          <w:rFonts w:ascii="Tahoma" w:hAnsi="Tahoma" w:cs="Tahoma"/>
          <w:sz w:val="20"/>
          <w:szCs w:val="20"/>
        </w:rPr>
        <w:t>en</w:t>
      </w:r>
      <w:r w:rsidR="00DB1635" w:rsidRPr="00B004EE">
        <w:rPr>
          <w:rFonts w:ascii="Tahoma" w:hAnsi="Tahoma" w:cs="Tahoma"/>
          <w:spacing w:val="-15"/>
          <w:sz w:val="20"/>
          <w:szCs w:val="20"/>
        </w:rPr>
        <w:t xml:space="preserve"> </w:t>
      </w:r>
      <w:r w:rsidRPr="00B004EE">
        <w:rPr>
          <w:rFonts w:ascii="Tahoma" w:hAnsi="Tahoma" w:cs="Tahoma"/>
          <w:sz w:val="20"/>
          <w:szCs w:val="20"/>
        </w:rPr>
        <w:t>matériel</w:t>
      </w:r>
      <w:r w:rsidR="00DB1635" w:rsidRPr="00B004EE">
        <w:rPr>
          <w:rFonts w:ascii="Tahoma" w:hAnsi="Tahoma" w:cs="Tahoma"/>
          <w:spacing w:val="-15"/>
          <w:sz w:val="20"/>
          <w:szCs w:val="20"/>
        </w:rPr>
        <w:t xml:space="preserve"> </w:t>
      </w:r>
      <w:r w:rsidRPr="00B004EE">
        <w:rPr>
          <w:rFonts w:ascii="Tahoma" w:hAnsi="Tahoma" w:cs="Tahoma"/>
          <w:sz w:val="20"/>
          <w:szCs w:val="20"/>
        </w:rPr>
        <w:t>qui</w:t>
      </w:r>
      <w:r w:rsidR="00DB1635" w:rsidRPr="00B004EE">
        <w:rPr>
          <w:rFonts w:ascii="Tahoma" w:hAnsi="Tahoma" w:cs="Tahoma"/>
          <w:spacing w:val="-15"/>
          <w:sz w:val="20"/>
          <w:szCs w:val="20"/>
        </w:rPr>
        <w:t xml:space="preserve"> </w:t>
      </w:r>
      <w:r w:rsidRPr="00B004EE">
        <w:rPr>
          <w:rFonts w:ascii="Tahoma" w:hAnsi="Tahoma" w:cs="Tahoma"/>
          <w:sz w:val="20"/>
          <w:szCs w:val="20"/>
        </w:rPr>
        <w:t>lui</w:t>
      </w:r>
      <w:r w:rsidR="00DB1635" w:rsidRPr="00B004EE">
        <w:rPr>
          <w:rFonts w:ascii="Tahoma" w:hAnsi="Tahoma" w:cs="Tahoma"/>
          <w:spacing w:val="-15"/>
          <w:sz w:val="20"/>
          <w:szCs w:val="20"/>
        </w:rPr>
        <w:t xml:space="preserve"> </w:t>
      </w:r>
      <w:r w:rsidRPr="00B004EE">
        <w:rPr>
          <w:rFonts w:ascii="Tahoma" w:hAnsi="Tahoma" w:cs="Tahoma"/>
          <w:sz w:val="20"/>
          <w:szCs w:val="20"/>
        </w:rPr>
        <w:t>est</w:t>
      </w:r>
      <w:r w:rsidR="00DB1635" w:rsidRPr="00B004EE">
        <w:rPr>
          <w:rFonts w:ascii="Tahoma" w:hAnsi="Tahoma" w:cs="Tahoma"/>
          <w:spacing w:val="-15"/>
          <w:sz w:val="20"/>
          <w:szCs w:val="20"/>
        </w:rPr>
        <w:t xml:space="preserve"> </w:t>
      </w:r>
      <w:r w:rsidRPr="00B004EE">
        <w:rPr>
          <w:rFonts w:ascii="Tahoma" w:hAnsi="Tahoma" w:cs="Tahoma"/>
          <w:sz w:val="20"/>
          <w:szCs w:val="20"/>
        </w:rPr>
        <w:t>indispensable,</w:t>
      </w:r>
      <w:r w:rsidR="00DB1635" w:rsidRPr="00B004EE">
        <w:rPr>
          <w:rFonts w:ascii="Tahoma" w:hAnsi="Tahoma" w:cs="Tahoma"/>
          <w:spacing w:val="-15"/>
          <w:sz w:val="20"/>
          <w:szCs w:val="20"/>
        </w:rPr>
        <w:t xml:space="preserve"> </w:t>
      </w:r>
      <w:r w:rsidRPr="00B004EE">
        <w:rPr>
          <w:rFonts w:ascii="Tahoma" w:hAnsi="Tahoma" w:cs="Tahoma"/>
          <w:sz w:val="20"/>
          <w:szCs w:val="20"/>
        </w:rPr>
        <w:t>pour</w:t>
      </w:r>
      <w:r w:rsidR="00DB1635" w:rsidRPr="00B004EE">
        <w:rPr>
          <w:rFonts w:ascii="Tahoma" w:hAnsi="Tahoma" w:cs="Tahoma"/>
          <w:spacing w:val="-16"/>
          <w:sz w:val="20"/>
          <w:szCs w:val="20"/>
        </w:rPr>
        <w:t xml:space="preserve"> </w:t>
      </w:r>
      <w:r w:rsidRPr="00B004EE">
        <w:rPr>
          <w:rFonts w:ascii="Tahoma" w:hAnsi="Tahoma" w:cs="Tahoma"/>
          <w:sz w:val="20"/>
          <w:szCs w:val="20"/>
        </w:rPr>
        <w:t>assurer</w:t>
      </w:r>
      <w:r w:rsidR="00DB1635" w:rsidRPr="00B004EE">
        <w:rPr>
          <w:rFonts w:ascii="Tahoma" w:hAnsi="Tahoma" w:cs="Tahoma"/>
          <w:w w:val="92"/>
          <w:sz w:val="20"/>
          <w:szCs w:val="20"/>
        </w:rPr>
        <w:t xml:space="preserve"> </w:t>
      </w:r>
      <w:r w:rsidRPr="00B004EE">
        <w:rPr>
          <w:rFonts w:ascii="Tahoma" w:hAnsi="Tahoma" w:cs="Tahoma"/>
          <w:sz w:val="20"/>
          <w:szCs w:val="20"/>
        </w:rPr>
        <w:t>sa</w:t>
      </w:r>
      <w:r w:rsidR="00DB1635" w:rsidRPr="00B004EE">
        <w:rPr>
          <w:rFonts w:ascii="Tahoma" w:hAnsi="Tahoma" w:cs="Tahoma"/>
          <w:sz w:val="20"/>
          <w:szCs w:val="20"/>
        </w:rPr>
        <w:t xml:space="preserve"> </w:t>
      </w:r>
      <w:r w:rsidRPr="00B004EE">
        <w:rPr>
          <w:rFonts w:ascii="Tahoma" w:hAnsi="Tahoma" w:cs="Tahoma"/>
          <w:sz w:val="20"/>
          <w:szCs w:val="20"/>
        </w:rPr>
        <w:t>mission</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respect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dispositions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présente</w:t>
      </w:r>
      <w:r w:rsidR="00DB1635" w:rsidRPr="00B004EE">
        <w:rPr>
          <w:rFonts w:ascii="Tahoma" w:hAnsi="Tahoma" w:cs="Tahoma"/>
          <w:sz w:val="20"/>
          <w:szCs w:val="20"/>
        </w:rPr>
        <w:t xml:space="preserve"> </w:t>
      </w:r>
      <w:r w:rsidRPr="00B004EE">
        <w:rPr>
          <w:rFonts w:ascii="Tahoma" w:hAnsi="Tahoma" w:cs="Tahoma"/>
          <w:sz w:val="20"/>
          <w:szCs w:val="20"/>
        </w:rPr>
        <w:t>Loi</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ses</w:t>
      </w:r>
      <w:r w:rsidR="00DB1635" w:rsidRPr="00B004EE">
        <w:rPr>
          <w:rFonts w:ascii="Tahoma" w:hAnsi="Tahoma" w:cs="Tahoma"/>
          <w:spacing w:val="-2"/>
          <w:sz w:val="20"/>
          <w:szCs w:val="20"/>
        </w:rPr>
        <w:t xml:space="preserve"> </w:t>
      </w:r>
      <w:r w:rsidRPr="00B004EE">
        <w:rPr>
          <w:rFonts w:ascii="Tahoma" w:hAnsi="Tahoma" w:cs="Tahoma"/>
          <w:sz w:val="20"/>
          <w:szCs w:val="20"/>
        </w:rPr>
        <w:t>règlements</w:t>
      </w:r>
      <w:r w:rsidR="00DB1635" w:rsidRPr="00B004EE">
        <w:rPr>
          <w:rFonts w:ascii="Tahoma" w:hAnsi="Tahoma" w:cs="Tahoma"/>
          <w:w w:val="95"/>
          <w:sz w:val="20"/>
          <w:szCs w:val="20"/>
        </w:rPr>
        <w:t xml:space="preserve"> </w:t>
      </w:r>
      <w:r w:rsidRPr="00B004EE">
        <w:rPr>
          <w:rFonts w:ascii="Tahoma" w:eastAsia="American Typewriter" w:hAnsi="Tahoma" w:cs="Tahoma"/>
          <w:sz w:val="20"/>
          <w:szCs w:val="20"/>
        </w:rPr>
        <w:t>d’application.</w:t>
      </w:r>
    </w:p>
    <w:p w14:paraId="7FDBC9A0" w14:textId="77777777" w:rsidR="001E7C3C" w:rsidRPr="00B004EE" w:rsidRDefault="001E7C3C" w:rsidP="00B004EE">
      <w:pPr>
        <w:rPr>
          <w:rFonts w:ascii="Tahoma" w:eastAsia="American Typewriter" w:hAnsi="Tahoma" w:cs="Tahoma"/>
          <w:sz w:val="20"/>
          <w:szCs w:val="20"/>
        </w:rPr>
      </w:pPr>
    </w:p>
    <w:p w14:paraId="69B9ADC4" w14:textId="1E08A9D7" w:rsidR="001E7C3C" w:rsidRPr="00B004EE" w:rsidRDefault="001E7C3C" w:rsidP="00B004EE">
      <w:pPr>
        <w:pStyle w:val="Corpsdetexte"/>
        <w:ind w:right="161"/>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70</w:t>
      </w:r>
      <w:r w:rsidR="00DB1635" w:rsidRPr="00B004EE">
        <w:rPr>
          <w:rFonts w:ascii="Tahoma" w:hAnsi="Tahoma" w:cs="Tahoma"/>
          <w:bCs/>
          <w:sz w:val="20"/>
          <w:szCs w:val="20"/>
        </w:rPr>
        <w:t xml:space="preserve"> </w:t>
      </w:r>
      <w:r w:rsidRPr="00B004EE">
        <w:rPr>
          <w:rFonts w:ascii="Tahoma" w:hAnsi="Tahoma" w:cs="Tahoma"/>
          <w:bCs/>
          <w:sz w:val="20"/>
          <w:szCs w:val="20"/>
        </w:rPr>
        <w:t>:</w:t>
      </w:r>
      <w:r w:rsidR="00DB1635" w:rsidRPr="00B004EE">
        <w:rPr>
          <w:rFonts w:ascii="Tahoma" w:eastAsia="American Typewriter" w:hAnsi="Tahoma" w:cs="Tahoma"/>
          <w:b/>
          <w:bCs/>
          <w:spacing w:val="-11"/>
          <w:sz w:val="20"/>
          <w:szCs w:val="20"/>
        </w:rPr>
        <w:t xml:space="preserve"> </w:t>
      </w:r>
      <w:r w:rsidRPr="00B004EE">
        <w:rPr>
          <w:rFonts w:ascii="Tahoma" w:eastAsia="American Typewriter" w:hAnsi="Tahoma" w:cs="Tahoma"/>
          <w:sz w:val="20"/>
          <w:szCs w:val="20"/>
        </w:rPr>
        <w:t>Lorsqu’au</w:t>
      </w:r>
      <w:r w:rsidR="00DB1635" w:rsidRPr="00B004EE">
        <w:rPr>
          <w:rFonts w:ascii="Tahoma" w:eastAsia="American Typewriter" w:hAnsi="Tahoma" w:cs="Tahoma"/>
          <w:spacing w:val="-14"/>
          <w:sz w:val="20"/>
          <w:szCs w:val="20"/>
        </w:rPr>
        <w:t xml:space="preserve"> </w:t>
      </w:r>
      <w:r w:rsidRPr="00B004EE">
        <w:rPr>
          <w:rFonts w:ascii="Tahoma" w:hAnsi="Tahoma" w:cs="Tahoma"/>
          <w:sz w:val="20"/>
          <w:szCs w:val="20"/>
        </w:rPr>
        <w:t>cours</w:t>
      </w:r>
      <w:r w:rsidR="00DB1635" w:rsidRPr="00B004EE">
        <w:rPr>
          <w:rFonts w:ascii="Tahoma" w:hAnsi="Tahoma" w:cs="Tahoma"/>
          <w:spacing w:val="-15"/>
          <w:sz w:val="20"/>
          <w:szCs w:val="20"/>
        </w:rPr>
        <w:t xml:space="preserve"> </w:t>
      </w:r>
      <w:r w:rsidRPr="00B004EE">
        <w:rPr>
          <w:rFonts w:ascii="Tahoma" w:hAnsi="Tahoma" w:cs="Tahoma"/>
          <w:sz w:val="20"/>
          <w:szCs w:val="20"/>
        </w:rPr>
        <w:t>des</w:t>
      </w:r>
      <w:r w:rsidR="00DB1635" w:rsidRPr="00B004EE">
        <w:rPr>
          <w:rFonts w:ascii="Tahoma" w:hAnsi="Tahoma" w:cs="Tahoma"/>
          <w:spacing w:val="-15"/>
          <w:sz w:val="20"/>
          <w:szCs w:val="20"/>
        </w:rPr>
        <w:t xml:space="preserve"> </w:t>
      </w:r>
      <w:r w:rsidRPr="00B004EE">
        <w:rPr>
          <w:rFonts w:ascii="Tahoma" w:hAnsi="Tahoma" w:cs="Tahoma"/>
          <w:sz w:val="20"/>
          <w:szCs w:val="20"/>
        </w:rPr>
        <w:t>opérations</w:t>
      </w:r>
      <w:r w:rsidR="00DB1635" w:rsidRPr="00B004EE">
        <w:rPr>
          <w:rFonts w:ascii="Tahoma" w:hAnsi="Tahoma" w:cs="Tahoma"/>
          <w:spacing w:val="-14"/>
          <w:sz w:val="20"/>
          <w:szCs w:val="20"/>
        </w:rPr>
        <w:t xml:space="preserve"> </w:t>
      </w:r>
      <w:r w:rsidRPr="00B004EE">
        <w:rPr>
          <w:rFonts w:ascii="Tahoma" w:hAnsi="Tahoma" w:cs="Tahoma"/>
          <w:sz w:val="20"/>
          <w:szCs w:val="20"/>
        </w:rPr>
        <w:t>d'inspection</w:t>
      </w:r>
      <w:r w:rsidR="00DB1635" w:rsidRPr="00B004EE">
        <w:rPr>
          <w:rFonts w:ascii="Tahoma" w:hAnsi="Tahoma" w:cs="Tahoma"/>
          <w:spacing w:val="-15"/>
          <w:sz w:val="20"/>
          <w:szCs w:val="20"/>
        </w:rPr>
        <w:t xml:space="preserve"> </w:t>
      </w:r>
      <w:r w:rsidRPr="00B004EE">
        <w:rPr>
          <w:rFonts w:ascii="Tahoma" w:hAnsi="Tahoma" w:cs="Tahoma"/>
          <w:sz w:val="20"/>
          <w:szCs w:val="20"/>
        </w:rPr>
        <w:t>ou</w:t>
      </w:r>
      <w:r w:rsidR="00DB1635" w:rsidRPr="00B004EE">
        <w:rPr>
          <w:rFonts w:ascii="Tahoma" w:hAnsi="Tahoma" w:cs="Tahoma"/>
          <w:spacing w:val="-14"/>
          <w:sz w:val="20"/>
          <w:szCs w:val="20"/>
        </w:rPr>
        <w:t xml:space="preserve"> </w:t>
      </w:r>
      <w:r w:rsidRPr="00B004EE">
        <w:rPr>
          <w:rFonts w:ascii="Tahoma" w:hAnsi="Tahoma" w:cs="Tahoma"/>
          <w:sz w:val="20"/>
          <w:szCs w:val="20"/>
        </w:rPr>
        <w:t>de</w:t>
      </w:r>
      <w:r w:rsidR="00DB1635" w:rsidRPr="00B004EE">
        <w:rPr>
          <w:rFonts w:ascii="Tahoma" w:hAnsi="Tahoma" w:cs="Tahoma"/>
          <w:spacing w:val="-15"/>
          <w:sz w:val="20"/>
          <w:szCs w:val="20"/>
        </w:rPr>
        <w:t xml:space="preserve"> </w:t>
      </w:r>
      <w:r w:rsidRPr="00B004EE">
        <w:rPr>
          <w:rFonts w:ascii="Tahoma" w:hAnsi="Tahoma" w:cs="Tahoma"/>
          <w:sz w:val="20"/>
          <w:szCs w:val="20"/>
        </w:rPr>
        <w:t>contrôle,</w:t>
      </w:r>
      <w:r w:rsidR="00DB1635" w:rsidRPr="00B004EE">
        <w:rPr>
          <w:rFonts w:ascii="Tahoma" w:hAnsi="Tahoma" w:cs="Tahoma"/>
          <w:spacing w:val="-16"/>
          <w:sz w:val="20"/>
          <w:szCs w:val="20"/>
        </w:rPr>
        <w:t xml:space="preserve"> </w:t>
      </w:r>
      <w:r w:rsidRPr="00B004EE">
        <w:rPr>
          <w:rFonts w:ascii="Tahoma" w:hAnsi="Tahoma" w:cs="Tahoma"/>
          <w:sz w:val="20"/>
          <w:szCs w:val="20"/>
        </w:rPr>
        <w:t>les</w:t>
      </w:r>
      <w:r w:rsidR="00DB1635" w:rsidRPr="00B004EE">
        <w:rPr>
          <w:rFonts w:ascii="Tahoma" w:hAnsi="Tahoma" w:cs="Tahoma"/>
          <w:spacing w:val="-16"/>
          <w:sz w:val="20"/>
          <w:szCs w:val="20"/>
        </w:rPr>
        <w:t xml:space="preserve"> </w:t>
      </w:r>
      <w:r w:rsidRPr="00B004EE">
        <w:rPr>
          <w:rFonts w:ascii="Tahoma" w:hAnsi="Tahoma" w:cs="Tahoma"/>
          <w:sz w:val="20"/>
          <w:szCs w:val="20"/>
        </w:rPr>
        <w:t>agents</w:t>
      </w:r>
      <w:r w:rsidR="00DB1635" w:rsidRPr="00B004EE">
        <w:rPr>
          <w:rFonts w:ascii="Tahoma" w:hAnsi="Tahoma" w:cs="Tahoma"/>
          <w:w w:val="95"/>
          <w:sz w:val="20"/>
          <w:szCs w:val="20"/>
        </w:rPr>
        <w:t xml:space="preserve"> </w:t>
      </w:r>
      <w:r w:rsidRPr="00B004EE">
        <w:rPr>
          <w:rFonts w:ascii="Tahoma" w:hAnsi="Tahoma" w:cs="Tahoma"/>
          <w:sz w:val="20"/>
          <w:szCs w:val="20"/>
        </w:rPr>
        <w:t>constatent</w:t>
      </w:r>
      <w:r w:rsidR="00DB1635" w:rsidRPr="00B004EE">
        <w:rPr>
          <w:rFonts w:ascii="Tahoma" w:hAnsi="Tahoma" w:cs="Tahoma"/>
          <w:spacing w:val="-12"/>
          <w:sz w:val="20"/>
          <w:szCs w:val="20"/>
        </w:rPr>
        <w:t xml:space="preserve"> </w:t>
      </w:r>
      <w:r w:rsidRPr="00B004EE">
        <w:rPr>
          <w:rFonts w:ascii="Tahoma" w:hAnsi="Tahoma" w:cs="Tahoma"/>
          <w:sz w:val="20"/>
          <w:szCs w:val="20"/>
        </w:rPr>
        <w:t>qu'une</w:t>
      </w:r>
      <w:r w:rsidR="00DB1635" w:rsidRPr="00B004EE">
        <w:rPr>
          <w:rFonts w:ascii="Tahoma" w:hAnsi="Tahoma" w:cs="Tahoma"/>
          <w:spacing w:val="-12"/>
          <w:sz w:val="20"/>
          <w:szCs w:val="20"/>
        </w:rPr>
        <w:t xml:space="preserve"> </w:t>
      </w:r>
      <w:r w:rsidRPr="00B004EE">
        <w:rPr>
          <w:rFonts w:ascii="Tahoma" w:hAnsi="Tahoma" w:cs="Tahoma"/>
          <w:sz w:val="20"/>
          <w:szCs w:val="20"/>
        </w:rPr>
        <w:t>infraction</w:t>
      </w:r>
      <w:r w:rsidR="00DB1635" w:rsidRPr="00B004EE">
        <w:rPr>
          <w:rFonts w:ascii="Tahoma" w:hAnsi="Tahoma" w:cs="Tahoma"/>
          <w:spacing w:val="-12"/>
          <w:sz w:val="20"/>
          <w:szCs w:val="20"/>
        </w:rPr>
        <w:t xml:space="preserve"> </w:t>
      </w:r>
      <w:r w:rsidRPr="00B004EE">
        <w:rPr>
          <w:rFonts w:ascii="Tahoma" w:hAnsi="Tahoma" w:cs="Tahoma"/>
          <w:sz w:val="20"/>
          <w:szCs w:val="20"/>
        </w:rPr>
        <w:t>aux</w:t>
      </w:r>
      <w:r w:rsidR="00DB1635" w:rsidRPr="00B004EE">
        <w:rPr>
          <w:rFonts w:ascii="Tahoma" w:hAnsi="Tahoma" w:cs="Tahoma"/>
          <w:spacing w:val="-13"/>
          <w:sz w:val="20"/>
          <w:szCs w:val="20"/>
        </w:rPr>
        <w:t xml:space="preserve"> </w:t>
      </w:r>
      <w:r w:rsidRPr="00B004EE">
        <w:rPr>
          <w:rFonts w:ascii="Tahoma" w:hAnsi="Tahoma" w:cs="Tahoma"/>
          <w:sz w:val="20"/>
          <w:szCs w:val="20"/>
        </w:rPr>
        <w:t>dispositions</w:t>
      </w:r>
      <w:r w:rsidR="00DB1635" w:rsidRPr="00B004EE">
        <w:rPr>
          <w:rFonts w:ascii="Tahoma" w:hAnsi="Tahoma" w:cs="Tahoma"/>
          <w:spacing w:val="-14"/>
          <w:sz w:val="20"/>
          <w:szCs w:val="20"/>
        </w:rPr>
        <w:t xml:space="preserve"> </w:t>
      </w:r>
      <w:r w:rsidRPr="00B004EE">
        <w:rPr>
          <w:rFonts w:ascii="Tahoma" w:hAnsi="Tahoma" w:cs="Tahoma"/>
          <w:sz w:val="20"/>
          <w:szCs w:val="20"/>
        </w:rPr>
        <w:t>de</w:t>
      </w:r>
      <w:r w:rsidR="00DB1635" w:rsidRPr="00B004EE">
        <w:rPr>
          <w:rFonts w:ascii="Tahoma" w:hAnsi="Tahoma" w:cs="Tahoma"/>
          <w:spacing w:val="-13"/>
          <w:sz w:val="20"/>
          <w:szCs w:val="20"/>
        </w:rPr>
        <w:t xml:space="preserve"> </w:t>
      </w:r>
      <w:r w:rsidRPr="00B004EE">
        <w:rPr>
          <w:rFonts w:ascii="Tahoma" w:hAnsi="Tahoma" w:cs="Tahoma"/>
          <w:sz w:val="20"/>
          <w:szCs w:val="20"/>
        </w:rPr>
        <w:t>la</w:t>
      </w:r>
      <w:r w:rsidR="00DB1635" w:rsidRPr="00B004EE">
        <w:rPr>
          <w:rFonts w:ascii="Tahoma" w:hAnsi="Tahoma" w:cs="Tahoma"/>
          <w:spacing w:val="-13"/>
          <w:sz w:val="20"/>
          <w:szCs w:val="20"/>
        </w:rPr>
        <w:t xml:space="preserve"> </w:t>
      </w:r>
      <w:r w:rsidRPr="00B004EE">
        <w:rPr>
          <w:rFonts w:ascii="Tahoma" w:hAnsi="Tahoma" w:cs="Tahoma"/>
          <w:sz w:val="20"/>
          <w:szCs w:val="20"/>
        </w:rPr>
        <w:t>présente</w:t>
      </w:r>
      <w:r w:rsidR="00DB1635" w:rsidRPr="00B004EE">
        <w:rPr>
          <w:rFonts w:ascii="Tahoma" w:hAnsi="Tahoma" w:cs="Tahoma"/>
          <w:spacing w:val="-13"/>
          <w:sz w:val="20"/>
          <w:szCs w:val="20"/>
        </w:rPr>
        <w:t xml:space="preserve"> </w:t>
      </w:r>
      <w:r w:rsidRPr="00B004EE">
        <w:rPr>
          <w:rFonts w:ascii="Tahoma" w:hAnsi="Tahoma" w:cs="Tahoma"/>
          <w:sz w:val="20"/>
          <w:szCs w:val="20"/>
        </w:rPr>
        <w:t>Loi</w:t>
      </w:r>
      <w:r w:rsidR="00DB1635" w:rsidRPr="00B004EE">
        <w:rPr>
          <w:rFonts w:ascii="Tahoma" w:hAnsi="Tahoma" w:cs="Tahoma"/>
          <w:spacing w:val="-13"/>
          <w:sz w:val="20"/>
          <w:szCs w:val="20"/>
        </w:rPr>
        <w:t xml:space="preserve"> </w:t>
      </w:r>
      <w:r w:rsidRPr="00B004EE">
        <w:rPr>
          <w:rFonts w:ascii="Tahoma" w:hAnsi="Tahoma" w:cs="Tahoma"/>
          <w:sz w:val="20"/>
          <w:szCs w:val="20"/>
        </w:rPr>
        <w:t>et</w:t>
      </w:r>
      <w:r w:rsidR="00DB1635" w:rsidRPr="00B004EE">
        <w:rPr>
          <w:rFonts w:ascii="Tahoma" w:hAnsi="Tahoma" w:cs="Tahoma"/>
          <w:spacing w:val="-13"/>
          <w:sz w:val="20"/>
          <w:szCs w:val="20"/>
        </w:rPr>
        <w:t xml:space="preserve"> </w:t>
      </w:r>
      <w:r w:rsidRPr="00B004EE">
        <w:rPr>
          <w:rFonts w:ascii="Tahoma" w:hAnsi="Tahoma" w:cs="Tahoma"/>
          <w:sz w:val="20"/>
          <w:szCs w:val="20"/>
        </w:rPr>
        <w:t>des</w:t>
      </w:r>
      <w:r w:rsidR="00DB1635" w:rsidRPr="00B004EE">
        <w:rPr>
          <w:rFonts w:ascii="Tahoma" w:hAnsi="Tahoma" w:cs="Tahoma"/>
          <w:spacing w:val="-13"/>
          <w:sz w:val="20"/>
          <w:szCs w:val="20"/>
        </w:rPr>
        <w:t xml:space="preserve"> </w:t>
      </w:r>
      <w:r w:rsidR="00337E3A" w:rsidRPr="00B004EE">
        <w:rPr>
          <w:rFonts w:ascii="Tahoma" w:hAnsi="Tahoma" w:cs="Tahoma"/>
          <w:sz w:val="20"/>
          <w:szCs w:val="20"/>
        </w:rPr>
        <w:t>règlements</w:t>
      </w:r>
      <w:r w:rsidR="00DB1635" w:rsidRPr="00B004EE">
        <w:rPr>
          <w:rFonts w:ascii="Tahoma" w:hAnsi="Tahoma" w:cs="Tahoma"/>
          <w:sz w:val="20"/>
          <w:szCs w:val="20"/>
        </w:rPr>
        <w:t xml:space="preserve"> </w:t>
      </w:r>
      <w:r w:rsidRPr="00B004EE">
        <w:rPr>
          <w:rFonts w:ascii="Tahoma" w:hAnsi="Tahoma" w:cs="Tahoma"/>
          <w:sz w:val="20"/>
          <w:szCs w:val="20"/>
        </w:rPr>
        <w:t>pris</w:t>
      </w:r>
      <w:r w:rsidR="00DB1635" w:rsidRPr="00B004EE">
        <w:rPr>
          <w:rFonts w:ascii="Tahoma" w:hAnsi="Tahoma" w:cs="Tahoma"/>
          <w:spacing w:val="35"/>
          <w:sz w:val="20"/>
          <w:szCs w:val="20"/>
        </w:rPr>
        <w:t xml:space="preserve"> </w:t>
      </w:r>
      <w:r w:rsidRPr="00B004EE">
        <w:rPr>
          <w:rFonts w:ascii="Tahoma" w:hAnsi="Tahoma" w:cs="Tahoma"/>
          <w:sz w:val="20"/>
          <w:szCs w:val="20"/>
        </w:rPr>
        <w:t>pour</w:t>
      </w:r>
      <w:r w:rsidR="00DB1635" w:rsidRPr="00B004EE">
        <w:rPr>
          <w:rFonts w:ascii="Tahoma" w:hAnsi="Tahoma" w:cs="Tahoma"/>
          <w:spacing w:val="34"/>
          <w:sz w:val="20"/>
          <w:szCs w:val="20"/>
        </w:rPr>
        <w:t xml:space="preserve"> </w:t>
      </w:r>
      <w:r w:rsidRPr="00B004EE">
        <w:rPr>
          <w:rFonts w:ascii="Tahoma" w:hAnsi="Tahoma" w:cs="Tahoma"/>
          <w:sz w:val="20"/>
          <w:szCs w:val="20"/>
        </w:rPr>
        <w:t>leur</w:t>
      </w:r>
      <w:r w:rsidR="00DB1635" w:rsidRPr="00B004EE">
        <w:rPr>
          <w:rFonts w:ascii="Tahoma" w:hAnsi="Tahoma" w:cs="Tahoma"/>
          <w:spacing w:val="34"/>
          <w:sz w:val="20"/>
          <w:szCs w:val="20"/>
        </w:rPr>
        <w:t xml:space="preserve"> </w:t>
      </w:r>
      <w:r w:rsidRPr="00B004EE">
        <w:rPr>
          <w:rFonts w:ascii="Tahoma" w:hAnsi="Tahoma" w:cs="Tahoma"/>
          <w:sz w:val="20"/>
          <w:szCs w:val="20"/>
        </w:rPr>
        <w:t>application</w:t>
      </w:r>
      <w:r w:rsidR="00DB1635" w:rsidRPr="00B004EE">
        <w:rPr>
          <w:rFonts w:ascii="Tahoma" w:hAnsi="Tahoma" w:cs="Tahoma"/>
          <w:spacing w:val="33"/>
          <w:sz w:val="20"/>
          <w:szCs w:val="20"/>
        </w:rPr>
        <w:t xml:space="preserve"> </w:t>
      </w:r>
      <w:r w:rsidRPr="00B004EE">
        <w:rPr>
          <w:rFonts w:ascii="Tahoma" w:hAnsi="Tahoma" w:cs="Tahoma"/>
          <w:sz w:val="20"/>
          <w:szCs w:val="20"/>
        </w:rPr>
        <w:t>a</w:t>
      </w:r>
      <w:r w:rsidR="00DB1635" w:rsidRPr="00B004EE">
        <w:rPr>
          <w:rFonts w:ascii="Tahoma" w:hAnsi="Tahoma" w:cs="Tahoma"/>
          <w:spacing w:val="34"/>
          <w:sz w:val="20"/>
          <w:szCs w:val="20"/>
        </w:rPr>
        <w:t xml:space="preserve"> </w:t>
      </w:r>
      <w:r w:rsidRPr="00B004EE">
        <w:rPr>
          <w:rFonts w:ascii="Tahoma" w:hAnsi="Tahoma" w:cs="Tahoma"/>
          <w:sz w:val="20"/>
          <w:szCs w:val="20"/>
        </w:rPr>
        <w:t>été</w:t>
      </w:r>
      <w:r w:rsidR="00DB1635" w:rsidRPr="00B004EE">
        <w:rPr>
          <w:rFonts w:ascii="Tahoma" w:hAnsi="Tahoma" w:cs="Tahoma"/>
          <w:spacing w:val="33"/>
          <w:sz w:val="20"/>
          <w:szCs w:val="20"/>
        </w:rPr>
        <w:t xml:space="preserve"> </w:t>
      </w:r>
      <w:r w:rsidRPr="00B004EE">
        <w:rPr>
          <w:rFonts w:ascii="Tahoma" w:hAnsi="Tahoma" w:cs="Tahoma"/>
          <w:sz w:val="20"/>
          <w:szCs w:val="20"/>
        </w:rPr>
        <w:t>commise,</w:t>
      </w:r>
      <w:r w:rsidR="00DB1635" w:rsidRPr="00B004EE">
        <w:rPr>
          <w:rFonts w:ascii="Tahoma" w:hAnsi="Tahoma" w:cs="Tahoma"/>
          <w:spacing w:val="33"/>
          <w:sz w:val="20"/>
          <w:szCs w:val="20"/>
        </w:rPr>
        <w:t xml:space="preserve"> </w:t>
      </w:r>
      <w:r w:rsidRPr="00B004EE">
        <w:rPr>
          <w:rFonts w:ascii="Tahoma" w:hAnsi="Tahoma" w:cs="Tahoma"/>
          <w:sz w:val="20"/>
          <w:szCs w:val="20"/>
        </w:rPr>
        <w:t>ils</w:t>
      </w:r>
      <w:r w:rsidR="00DB1635" w:rsidRPr="00B004EE">
        <w:rPr>
          <w:rFonts w:ascii="Tahoma" w:hAnsi="Tahoma" w:cs="Tahoma"/>
          <w:spacing w:val="32"/>
          <w:sz w:val="20"/>
          <w:szCs w:val="20"/>
        </w:rPr>
        <w:t xml:space="preserve"> </w:t>
      </w:r>
      <w:r w:rsidRPr="00B004EE">
        <w:rPr>
          <w:rFonts w:ascii="Tahoma" w:hAnsi="Tahoma" w:cs="Tahoma"/>
          <w:sz w:val="20"/>
          <w:szCs w:val="20"/>
        </w:rPr>
        <w:t>pourront</w:t>
      </w:r>
      <w:r w:rsidR="00DB1635" w:rsidRPr="00B004EE">
        <w:rPr>
          <w:rFonts w:ascii="Tahoma" w:hAnsi="Tahoma" w:cs="Tahoma"/>
          <w:spacing w:val="33"/>
          <w:sz w:val="20"/>
          <w:szCs w:val="20"/>
        </w:rPr>
        <w:t xml:space="preserve"> </w:t>
      </w:r>
      <w:r w:rsidRPr="00B004EE">
        <w:rPr>
          <w:rFonts w:ascii="Tahoma" w:hAnsi="Tahoma" w:cs="Tahoma"/>
          <w:sz w:val="20"/>
          <w:szCs w:val="20"/>
        </w:rPr>
        <w:t>en</w:t>
      </w:r>
      <w:r w:rsidR="00DB1635" w:rsidRPr="00B004EE">
        <w:rPr>
          <w:rFonts w:ascii="Tahoma" w:hAnsi="Tahoma" w:cs="Tahoma"/>
          <w:spacing w:val="33"/>
          <w:sz w:val="20"/>
          <w:szCs w:val="20"/>
        </w:rPr>
        <w:t xml:space="preserve"> </w:t>
      </w:r>
      <w:r w:rsidRPr="00B004EE">
        <w:rPr>
          <w:rFonts w:ascii="Tahoma" w:hAnsi="Tahoma" w:cs="Tahoma"/>
          <w:sz w:val="20"/>
          <w:szCs w:val="20"/>
        </w:rPr>
        <w:t>l'absence</w:t>
      </w:r>
      <w:r w:rsidR="00DB1635" w:rsidRPr="00B004EE">
        <w:rPr>
          <w:rFonts w:ascii="Tahoma" w:hAnsi="Tahoma" w:cs="Tahoma"/>
          <w:spacing w:val="33"/>
          <w:sz w:val="20"/>
          <w:szCs w:val="20"/>
        </w:rPr>
        <w:t xml:space="preserve"> </w:t>
      </w:r>
      <w:r w:rsidRPr="00B004EE">
        <w:rPr>
          <w:rFonts w:ascii="Tahoma" w:hAnsi="Tahoma" w:cs="Tahoma"/>
          <w:sz w:val="20"/>
          <w:szCs w:val="20"/>
        </w:rPr>
        <w:t>de</w:t>
      </w:r>
      <w:r w:rsidR="00DB1635" w:rsidRPr="00B004EE">
        <w:rPr>
          <w:rFonts w:ascii="Tahoma" w:hAnsi="Tahoma" w:cs="Tahoma"/>
          <w:spacing w:val="33"/>
          <w:sz w:val="20"/>
          <w:szCs w:val="20"/>
        </w:rPr>
        <w:t xml:space="preserve"> </w:t>
      </w:r>
      <w:r w:rsidRPr="00B004EE">
        <w:rPr>
          <w:rFonts w:ascii="Tahoma" w:hAnsi="Tahoma" w:cs="Tahoma"/>
          <w:sz w:val="20"/>
          <w:szCs w:val="20"/>
        </w:rPr>
        <w:t>mandat</w:t>
      </w:r>
      <w:r w:rsidR="00DB1635" w:rsidRPr="00B004EE">
        <w:rPr>
          <w:rFonts w:ascii="Tahoma" w:hAnsi="Tahoma" w:cs="Tahoma"/>
          <w:w w:val="97"/>
          <w:sz w:val="20"/>
          <w:szCs w:val="20"/>
        </w:rPr>
        <w:t xml:space="preserve"> </w:t>
      </w:r>
      <w:r w:rsidRPr="00B004EE">
        <w:rPr>
          <w:rFonts w:ascii="Tahoma" w:hAnsi="Tahoma" w:cs="Tahoma"/>
          <w:sz w:val="20"/>
          <w:szCs w:val="20"/>
        </w:rPr>
        <w:t>spécial</w:t>
      </w:r>
      <w:r w:rsidR="00DB1635" w:rsidRPr="00B004EE">
        <w:rPr>
          <w:rFonts w:ascii="Tahoma" w:hAnsi="Tahoma" w:cs="Tahoma"/>
          <w:spacing w:val="-16"/>
          <w:sz w:val="20"/>
          <w:szCs w:val="20"/>
        </w:rPr>
        <w:t xml:space="preserve"> </w:t>
      </w:r>
      <w:r w:rsidRPr="00B004EE">
        <w:rPr>
          <w:rFonts w:ascii="Tahoma" w:hAnsi="Tahoma" w:cs="Tahoma"/>
          <w:sz w:val="20"/>
          <w:szCs w:val="20"/>
        </w:rPr>
        <w:t>à</w:t>
      </w:r>
      <w:r w:rsidR="00DB1635" w:rsidRPr="00B004EE">
        <w:rPr>
          <w:rFonts w:ascii="Tahoma" w:hAnsi="Tahoma" w:cs="Tahoma"/>
          <w:spacing w:val="-16"/>
          <w:sz w:val="20"/>
          <w:szCs w:val="20"/>
        </w:rPr>
        <w:t xml:space="preserve"> </w:t>
      </w:r>
      <w:r w:rsidRPr="00B004EE">
        <w:rPr>
          <w:rFonts w:ascii="Tahoma" w:hAnsi="Tahoma" w:cs="Tahoma"/>
          <w:sz w:val="20"/>
          <w:szCs w:val="20"/>
        </w:rPr>
        <w:t>cet</w:t>
      </w:r>
      <w:r w:rsidR="00DB1635" w:rsidRPr="00B004EE">
        <w:rPr>
          <w:rFonts w:ascii="Tahoma" w:hAnsi="Tahoma" w:cs="Tahoma"/>
          <w:spacing w:val="-16"/>
          <w:sz w:val="20"/>
          <w:szCs w:val="20"/>
        </w:rPr>
        <w:t xml:space="preserve"> </w:t>
      </w:r>
      <w:r w:rsidRPr="00B004EE">
        <w:rPr>
          <w:rFonts w:ascii="Tahoma" w:hAnsi="Tahoma" w:cs="Tahoma"/>
          <w:sz w:val="20"/>
          <w:szCs w:val="20"/>
        </w:rPr>
        <w:t>effet</w:t>
      </w:r>
      <w:r w:rsidR="00DB1635" w:rsidRPr="00B004EE">
        <w:rPr>
          <w:rFonts w:ascii="Tahoma" w:hAnsi="Tahoma" w:cs="Tahoma"/>
          <w:spacing w:val="-16"/>
          <w:sz w:val="20"/>
          <w:szCs w:val="20"/>
        </w:rPr>
        <w:t xml:space="preserve"> </w:t>
      </w:r>
      <w:r w:rsidRPr="00B004EE">
        <w:rPr>
          <w:rFonts w:ascii="Tahoma" w:hAnsi="Tahoma" w:cs="Tahoma"/>
          <w:sz w:val="20"/>
          <w:szCs w:val="20"/>
        </w:rPr>
        <w:t>:</w:t>
      </w:r>
    </w:p>
    <w:p w14:paraId="134C37F5" w14:textId="0DC9F4B1" w:rsidR="001E7C3C" w:rsidRPr="00B004EE" w:rsidRDefault="001E7C3C" w:rsidP="00420DDA">
      <w:pPr>
        <w:pStyle w:val="Paragraphedeliste"/>
        <w:widowControl w:val="0"/>
        <w:numPr>
          <w:ilvl w:val="0"/>
          <w:numId w:val="35"/>
        </w:numPr>
        <w:tabs>
          <w:tab w:val="left" w:pos="1154"/>
        </w:tabs>
        <w:ind w:left="567" w:right="161"/>
        <w:jc w:val="both"/>
        <w:rPr>
          <w:rFonts w:ascii="Tahoma" w:eastAsia="American Typewriter" w:hAnsi="Tahoma" w:cs="Tahoma"/>
          <w:sz w:val="20"/>
          <w:szCs w:val="20"/>
        </w:rPr>
      </w:pPr>
      <w:proofErr w:type="gramStart"/>
      <w:r w:rsidRPr="00B004EE">
        <w:rPr>
          <w:rFonts w:ascii="Tahoma" w:hAnsi="Tahoma" w:cs="Tahoma"/>
          <w:sz w:val="20"/>
          <w:szCs w:val="20"/>
        </w:rPr>
        <w:t>saisir</w:t>
      </w:r>
      <w:proofErr w:type="gramEnd"/>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titre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mesure</w:t>
      </w:r>
      <w:r w:rsidR="00DB1635" w:rsidRPr="00B004EE">
        <w:rPr>
          <w:rFonts w:ascii="Tahoma" w:hAnsi="Tahoma" w:cs="Tahoma"/>
          <w:sz w:val="20"/>
          <w:szCs w:val="20"/>
        </w:rPr>
        <w:t xml:space="preserve"> </w:t>
      </w:r>
      <w:r w:rsidRPr="00B004EE">
        <w:rPr>
          <w:rFonts w:ascii="Tahoma" w:hAnsi="Tahoma" w:cs="Tahoma"/>
          <w:sz w:val="20"/>
          <w:szCs w:val="20"/>
        </w:rPr>
        <w:t>conservatoire</w:t>
      </w:r>
      <w:r w:rsidR="00DB1635" w:rsidRPr="00B004EE">
        <w:rPr>
          <w:rFonts w:ascii="Tahoma" w:hAnsi="Tahoma" w:cs="Tahoma"/>
          <w:sz w:val="20"/>
          <w:szCs w:val="20"/>
        </w:rPr>
        <w:t xml:space="preserve"> </w:t>
      </w:r>
      <w:r w:rsidRPr="00B004EE">
        <w:rPr>
          <w:rFonts w:ascii="Tahoma" w:hAnsi="Tahoma" w:cs="Tahoma"/>
          <w:sz w:val="20"/>
          <w:szCs w:val="20"/>
        </w:rPr>
        <w:t>tout</w:t>
      </w:r>
      <w:r w:rsidR="00DB1635" w:rsidRPr="00B004EE">
        <w:rPr>
          <w:rFonts w:ascii="Tahoma" w:hAnsi="Tahoma" w:cs="Tahoma"/>
          <w:sz w:val="20"/>
          <w:szCs w:val="20"/>
        </w:rPr>
        <w:t xml:space="preserve"> </w:t>
      </w:r>
      <w:r w:rsidRPr="00B004EE">
        <w:rPr>
          <w:rFonts w:ascii="Tahoma" w:hAnsi="Tahoma" w:cs="Tahoma"/>
          <w:sz w:val="20"/>
          <w:szCs w:val="20"/>
        </w:rPr>
        <w:t>véhicule,</w:t>
      </w:r>
      <w:r w:rsidR="00DB1635" w:rsidRPr="00B004EE">
        <w:rPr>
          <w:rFonts w:ascii="Tahoma" w:hAnsi="Tahoma" w:cs="Tahoma"/>
          <w:sz w:val="20"/>
          <w:szCs w:val="20"/>
        </w:rPr>
        <w:t xml:space="preserve"> </w:t>
      </w:r>
      <w:r w:rsidRPr="00B004EE">
        <w:rPr>
          <w:rFonts w:ascii="Tahoma" w:hAnsi="Tahoma" w:cs="Tahoma"/>
          <w:sz w:val="20"/>
          <w:szCs w:val="20"/>
        </w:rPr>
        <w:t>engin,</w:t>
      </w:r>
      <w:r w:rsidR="00DB1635" w:rsidRPr="00B004EE">
        <w:rPr>
          <w:rFonts w:ascii="Tahoma" w:hAnsi="Tahoma" w:cs="Tahoma"/>
          <w:sz w:val="20"/>
          <w:szCs w:val="20"/>
        </w:rPr>
        <w:t xml:space="preserve"> </w:t>
      </w:r>
      <w:r w:rsidRPr="00B004EE">
        <w:rPr>
          <w:rFonts w:ascii="Tahoma" w:hAnsi="Tahoma" w:cs="Tahoma"/>
          <w:sz w:val="20"/>
          <w:szCs w:val="20"/>
        </w:rPr>
        <w:t>matériel</w:t>
      </w:r>
      <w:r w:rsidR="00DB1635" w:rsidRPr="00B004EE">
        <w:rPr>
          <w:rFonts w:ascii="Tahoma" w:hAnsi="Tahoma" w:cs="Tahoma"/>
          <w:spacing w:val="49"/>
          <w:sz w:val="20"/>
          <w:szCs w:val="20"/>
        </w:rPr>
        <w:t xml:space="preserve"> </w:t>
      </w:r>
      <w:r w:rsidRPr="00B004EE">
        <w:rPr>
          <w:rFonts w:ascii="Tahoma" w:hAnsi="Tahoma" w:cs="Tahoma"/>
          <w:sz w:val="20"/>
          <w:szCs w:val="20"/>
        </w:rPr>
        <w:t>de</w:t>
      </w:r>
      <w:r w:rsidR="00DB1635" w:rsidRPr="00B004EE">
        <w:rPr>
          <w:rFonts w:ascii="Tahoma" w:hAnsi="Tahoma" w:cs="Tahoma"/>
          <w:w w:val="94"/>
          <w:sz w:val="20"/>
          <w:szCs w:val="20"/>
        </w:rPr>
        <w:t xml:space="preserve"> </w:t>
      </w:r>
      <w:r w:rsidRPr="00B004EE">
        <w:rPr>
          <w:rFonts w:ascii="Tahoma" w:hAnsi="Tahoma" w:cs="Tahoma"/>
          <w:sz w:val="20"/>
          <w:szCs w:val="20"/>
        </w:rPr>
        <w:t>pêche,</w:t>
      </w:r>
      <w:r w:rsidR="00DB1635" w:rsidRPr="00B004EE">
        <w:rPr>
          <w:rFonts w:ascii="Tahoma" w:hAnsi="Tahoma" w:cs="Tahoma"/>
          <w:spacing w:val="-18"/>
          <w:sz w:val="20"/>
          <w:szCs w:val="20"/>
        </w:rPr>
        <w:t xml:space="preserve"> </w:t>
      </w:r>
      <w:r w:rsidRPr="00B004EE">
        <w:rPr>
          <w:rFonts w:ascii="Tahoma" w:hAnsi="Tahoma" w:cs="Tahoma"/>
          <w:sz w:val="20"/>
          <w:szCs w:val="20"/>
        </w:rPr>
        <w:t>filets</w:t>
      </w:r>
      <w:r w:rsidR="00DB1635" w:rsidRPr="00B004EE">
        <w:rPr>
          <w:rFonts w:ascii="Tahoma" w:hAnsi="Tahoma" w:cs="Tahoma"/>
          <w:spacing w:val="-18"/>
          <w:sz w:val="20"/>
          <w:szCs w:val="20"/>
        </w:rPr>
        <w:t xml:space="preserve"> </w:t>
      </w:r>
      <w:r w:rsidRPr="00B004EE">
        <w:rPr>
          <w:rFonts w:ascii="Tahoma" w:hAnsi="Tahoma" w:cs="Tahoma"/>
          <w:sz w:val="20"/>
          <w:szCs w:val="20"/>
        </w:rPr>
        <w:t>ou</w:t>
      </w:r>
      <w:r w:rsidR="00DB1635" w:rsidRPr="00B004EE">
        <w:rPr>
          <w:rFonts w:ascii="Tahoma" w:hAnsi="Tahoma" w:cs="Tahoma"/>
          <w:spacing w:val="-18"/>
          <w:sz w:val="20"/>
          <w:szCs w:val="20"/>
        </w:rPr>
        <w:t xml:space="preserve"> </w:t>
      </w:r>
      <w:r w:rsidRPr="00B004EE">
        <w:rPr>
          <w:rFonts w:ascii="Tahoma" w:hAnsi="Tahoma" w:cs="Tahoma"/>
          <w:sz w:val="20"/>
          <w:szCs w:val="20"/>
        </w:rPr>
        <w:t>autres</w:t>
      </w:r>
      <w:r w:rsidR="00DB1635" w:rsidRPr="00B004EE">
        <w:rPr>
          <w:rFonts w:ascii="Tahoma" w:hAnsi="Tahoma" w:cs="Tahoma"/>
          <w:spacing w:val="-18"/>
          <w:sz w:val="20"/>
          <w:szCs w:val="20"/>
        </w:rPr>
        <w:t xml:space="preserve"> </w:t>
      </w:r>
      <w:r w:rsidRPr="00B004EE">
        <w:rPr>
          <w:rFonts w:ascii="Tahoma" w:hAnsi="Tahoma" w:cs="Tahoma"/>
          <w:sz w:val="20"/>
          <w:szCs w:val="20"/>
        </w:rPr>
        <w:t>instruments</w:t>
      </w:r>
      <w:r w:rsidR="00DB1635" w:rsidRPr="00B004EE">
        <w:rPr>
          <w:rFonts w:ascii="Tahoma" w:hAnsi="Tahoma" w:cs="Tahoma"/>
          <w:spacing w:val="-19"/>
          <w:sz w:val="20"/>
          <w:szCs w:val="20"/>
        </w:rPr>
        <w:t xml:space="preserve"> </w:t>
      </w:r>
      <w:r w:rsidRPr="00B004EE">
        <w:rPr>
          <w:rFonts w:ascii="Tahoma" w:hAnsi="Tahoma" w:cs="Tahoma"/>
          <w:sz w:val="20"/>
          <w:szCs w:val="20"/>
        </w:rPr>
        <w:t>qu'ils</w:t>
      </w:r>
      <w:r w:rsidR="00DB1635" w:rsidRPr="00B004EE">
        <w:rPr>
          <w:rFonts w:ascii="Tahoma" w:hAnsi="Tahoma" w:cs="Tahoma"/>
          <w:spacing w:val="-20"/>
          <w:sz w:val="20"/>
          <w:szCs w:val="20"/>
        </w:rPr>
        <w:t xml:space="preserve"> </w:t>
      </w:r>
      <w:r w:rsidRPr="00B004EE">
        <w:rPr>
          <w:rFonts w:ascii="Tahoma" w:hAnsi="Tahoma" w:cs="Tahoma"/>
          <w:sz w:val="20"/>
          <w:szCs w:val="20"/>
        </w:rPr>
        <w:t>soupçonnent</w:t>
      </w:r>
      <w:r w:rsidR="00DB1635" w:rsidRPr="00B004EE">
        <w:rPr>
          <w:rFonts w:ascii="Tahoma" w:hAnsi="Tahoma" w:cs="Tahoma"/>
          <w:spacing w:val="-19"/>
          <w:sz w:val="20"/>
          <w:szCs w:val="20"/>
        </w:rPr>
        <w:t xml:space="preserve"> </w:t>
      </w:r>
      <w:r w:rsidRPr="00B004EE">
        <w:rPr>
          <w:rFonts w:ascii="Tahoma" w:hAnsi="Tahoma" w:cs="Tahoma"/>
          <w:sz w:val="20"/>
          <w:szCs w:val="20"/>
        </w:rPr>
        <w:t>avoir</w:t>
      </w:r>
      <w:r w:rsidR="00DB1635" w:rsidRPr="00B004EE">
        <w:rPr>
          <w:rFonts w:ascii="Tahoma" w:hAnsi="Tahoma" w:cs="Tahoma"/>
          <w:spacing w:val="-20"/>
          <w:sz w:val="20"/>
          <w:szCs w:val="20"/>
        </w:rPr>
        <w:t xml:space="preserve"> </w:t>
      </w:r>
      <w:r w:rsidRPr="00B004EE">
        <w:rPr>
          <w:rFonts w:ascii="Tahoma" w:hAnsi="Tahoma" w:cs="Tahoma"/>
          <w:sz w:val="20"/>
          <w:szCs w:val="20"/>
        </w:rPr>
        <w:t>été</w:t>
      </w:r>
      <w:r w:rsidR="00DB1635" w:rsidRPr="00B004EE">
        <w:rPr>
          <w:rFonts w:ascii="Tahoma" w:hAnsi="Tahoma" w:cs="Tahoma"/>
          <w:spacing w:val="-19"/>
          <w:sz w:val="20"/>
          <w:szCs w:val="20"/>
        </w:rPr>
        <w:t xml:space="preserve"> </w:t>
      </w:r>
      <w:r w:rsidRPr="00B004EE">
        <w:rPr>
          <w:rFonts w:ascii="Tahoma" w:hAnsi="Tahoma" w:cs="Tahoma"/>
          <w:sz w:val="20"/>
          <w:szCs w:val="20"/>
        </w:rPr>
        <w:t>employés</w:t>
      </w:r>
      <w:r w:rsidR="00DB1635" w:rsidRPr="00B004EE">
        <w:rPr>
          <w:rFonts w:ascii="Tahoma" w:hAnsi="Tahoma" w:cs="Tahoma"/>
          <w:w w:val="94"/>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commission</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ladite</w:t>
      </w:r>
      <w:r w:rsidR="00DB1635" w:rsidRPr="00B004EE">
        <w:rPr>
          <w:rFonts w:ascii="Tahoma" w:hAnsi="Tahoma" w:cs="Tahoma"/>
          <w:spacing w:val="16"/>
          <w:sz w:val="20"/>
          <w:szCs w:val="20"/>
        </w:rPr>
        <w:t xml:space="preserve"> </w:t>
      </w:r>
      <w:r w:rsidRPr="00B004EE">
        <w:rPr>
          <w:rFonts w:ascii="Tahoma" w:hAnsi="Tahoma" w:cs="Tahoma"/>
          <w:sz w:val="20"/>
          <w:szCs w:val="20"/>
        </w:rPr>
        <w:t>infraction;</w:t>
      </w:r>
    </w:p>
    <w:p w14:paraId="6E0B803A" w14:textId="3CED61CD" w:rsidR="001E7C3C" w:rsidRPr="00B004EE" w:rsidRDefault="001E7C3C" w:rsidP="00420DDA">
      <w:pPr>
        <w:pStyle w:val="Paragraphedeliste"/>
        <w:widowControl w:val="0"/>
        <w:numPr>
          <w:ilvl w:val="0"/>
          <w:numId w:val="35"/>
        </w:numPr>
        <w:tabs>
          <w:tab w:val="left" w:pos="1154"/>
        </w:tabs>
        <w:ind w:left="567" w:right="158"/>
        <w:jc w:val="both"/>
        <w:rPr>
          <w:rFonts w:ascii="Tahoma" w:eastAsia="American Typewriter" w:hAnsi="Tahoma" w:cs="Tahoma"/>
          <w:sz w:val="20"/>
          <w:szCs w:val="20"/>
        </w:rPr>
      </w:pPr>
      <w:proofErr w:type="gramStart"/>
      <w:r w:rsidRPr="00B004EE">
        <w:rPr>
          <w:rFonts w:ascii="Tahoma" w:hAnsi="Tahoma" w:cs="Tahoma"/>
          <w:sz w:val="20"/>
          <w:szCs w:val="20"/>
        </w:rPr>
        <w:t>saisir</w:t>
      </w:r>
      <w:proofErr w:type="gramEnd"/>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titre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mesure</w:t>
      </w:r>
      <w:r w:rsidR="00DB1635" w:rsidRPr="00B004EE">
        <w:rPr>
          <w:rFonts w:ascii="Tahoma" w:hAnsi="Tahoma" w:cs="Tahoma"/>
          <w:sz w:val="20"/>
          <w:szCs w:val="20"/>
        </w:rPr>
        <w:t xml:space="preserve"> </w:t>
      </w:r>
      <w:r w:rsidRPr="00B004EE">
        <w:rPr>
          <w:rFonts w:ascii="Tahoma" w:hAnsi="Tahoma" w:cs="Tahoma"/>
          <w:sz w:val="20"/>
          <w:szCs w:val="20"/>
        </w:rPr>
        <w:t>conservatoire,</w:t>
      </w:r>
      <w:r w:rsidR="00DB1635" w:rsidRPr="00B004EE">
        <w:rPr>
          <w:rFonts w:ascii="Tahoma" w:hAnsi="Tahoma" w:cs="Tahoma"/>
          <w:sz w:val="20"/>
          <w:szCs w:val="20"/>
        </w:rPr>
        <w:t xml:space="preserve"> </w:t>
      </w:r>
      <w:r w:rsidRPr="00B004EE">
        <w:rPr>
          <w:rFonts w:ascii="Tahoma" w:hAnsi="Tahoma" w:cs="Tahoma"/>
          <w:sz w:val="20"/>
          <w:szCs w:val="20"/>
        </w:rPr>
        <w:t>toutes</w:t>
      </w:r>
      <w:r w:rsidR="00DB1635" w:rsidRPr="00B004EE">
        <w:rPr>
          <w:rFonts w:ascii="Tahoma" w:hAnsi="Tahoma" w:cs="Tahoma"/>
          <w:sz w:val="20"/>
          <w:szCs w:val="20"/>
        </w:rPr>
        <w:t xml:space="preserve"> </w:t>
      </w:r>
      <w:r w:rsidRPr="00B004EE">
        <w:rPr>
          <w:rFonts w:ascii="Tahoma" w:hAnsi="Tahoma" w:cs="Tahoma"/>
          <w:sz w:val="20"/>
          <w:szCs w:val="20"/>
        </w:rPr>
        <w:t>captures</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pacing w:val="-12"/>
          <w:sz w:val="20"/>
          <w:szCs w:val="20"/>
        </w:rPr>
        <w:t xml:space="preserve"> </w:t>
      </w:r>
      <w:r w:rsidRPr="00B004EE">
        <w:rPr>
          <w:rFonts w:ascii="Tahoma" w:hAnsi="Tahoma" w:cs="Tahoma"/>
          <w:sz w:val="20"/>
          <w:szCs w:val="20"/>
        </w:rPr>
        <w:t>qu'ils</w:t>
      </w:r>
      <w:r w:rsidR="00DB1635" w:rsidRPr="00B004EE">
        <w:rPr>
          <w:rFonts w:ascii="Tahoma" w:hAnsi="Tahoma" w:cs="Tahoma"/>
          <w:w w:val="94"/>
          <w:sz w:val="20"/>
          <w:szCs w:val="20"/>
        </w:rPr>
        <w:t xml:space="preserve"> </w:t>
      </w:r>
      <w:r w:rsidRPr="00B004EE">
        <w:rPr>
          <w:rFonts w:ascii="Tahoma" w:hAnsi="Tahoma" w:cs="Tahoma"/>
          <w:sz w:val="20"/>
          <w:szCs w:val="20"/>
        </w:rPr>
        <w:t>soupçonnent</w:t>
      </w:r>
      <w:r w:rsidR="00DB1635" w:rsidRPr="00B004EE">
        <w:rPr>
          <w:rFonts w:ascii="Tahoma" w:hAnsi="Tahoma" w:cs="Tahoma"/>
          <w:spacing w:val="-20"/>
          <w:sz w:val="20"/>
          <w:szCs w:val="20"/>
        </w:rPr>
        <w:t xml:space="preserve"> </w:t>
      </w:r>
      <w:r w:rsidRPr="00B004EE">
        <w:rPr>
          <w:rFonts w:ascii="Tahoma" w:hAnsi="Tahoma" w:cs="Tahoma"/>
          <w:sz w:val="20"/>
          <w:szCs w:val="20"/>
        </w:rPr>
        <w:t>avoir</w:t>
      </w:r>
      <w:r w:rsidR="00DB1635" w:rsidRPr="00B004EE">
        <w:rPr>
          <w:rFonts w:ascii="Tahoma" w:hAnsi="Tahoma" w:cs="Tahoma"/>
          <w:spacing w:val="-21"/>
          <w:sz w:val="20"/>
          <w:szCs w:val="20"/>
        </w:rPr>
        <w:t xml:space="preserve"> </w:t>
      </w:r>
      <w:r w:rsidRPr="00B004EE">
        <w:rPr>
          <w:rFonts w:ascii="Tahoma" w:hAnsi="Tahoma" w:cs="Tahoma"/>
          <w:sz w:val="20"/>
          <w:szCs w:val="20"/>
        </w:rPr>
        <w:t>été</w:t>
      </w:r>
      <w:r w:rsidR="00DB1635" w:rsidRPr="00B004EE">
        <w:rPr>
          <w:rFonts w:ascii="Tahoma" w:hAnsi="Tahoma" w:cs="Tahoma"/>
          <w:spacing w:val="-20"/>
          <w:sz w:val="20"/>
          <w:szCs w:val="20"/>
        </w:rPr>
        <w:t xml:space="preserve"> </w:t>
      </w:r>
      <w:r w:rsidRPr="00B004EE">
        <w:rPr>
          <w:rFonts w:ascii="Tahoma" w:hAnsi="Tahoma" w:cs="Tahoma"/>
          <w:sz w:val="20"/>
          <w:szCs w:val="20"/>
        </w:rPr>
        <w:t>réalisés</w:t>
      </w:r>
      <w:r w:rsidR="00DB1635" w:rsidRPr="00B004EE">
        <w:rPr>
          <w:rFonts w:ascii="Tahoma" w:hAnsi="Tahoma" w:cs="Tahoma"/>
          <w:spacing w:val="-21"/>
          <w:sz w:val="20"/>
          <w:szCs w:val="20"/>
        </w:rPr>
        <w:t xml:space="preserve"> </w:t>
      </w:r>
      <w:r w:rsidRPr="00B004EE">
        <w:rPr>
          <w:rFonts w:ascii="Tahoma" w:hAnsi="Tahoma" w:cs="Tahoma"/>
          <w:sz w:val="20"/>
          <w:szCs w:val="20"/>
        </w:rPr>
        <w:t>au</w:t>
      </w:r>
      <w:r w:rsidR="00DB1635" w:rsidRPr="00B004EE">
        <w:rPr>
          <w:rFonts w:ascii="Tahoma" w:hAnsi="Tahoma" w:cs="Tahoma"/>
          <w:spacing w:val="-21"/>
          <w:sz w:val="20"/>
          <w:szCs w:val="20"/>
        </w:rPr>
        <w:t xml:space="preserve"> </w:t>
      </w:r>
      <w:r w:rsidRPr="00B004EE">
        <w:rPr>
          <w:rFonts w:ascii="Tahoma" w:hAnsi="Tahoma" w:cs="Tahoma"/>
          <w:sz w:val="20"/>
          <w:szCs w:val="20"/>
        </w:rPr>
        <w:t>cours</w:t>
      </w:r>
      <w:r w:rsidR="00DB1635" w:rsidRPr="00B004EE">
        <w:rPr>
          <w:rFonts w:ascii="Tahoma" w:hAnsi="Tahoma" w:cs="Tahoma"/>
          <w:spacing w:val="-21"/>
          <w:sz w:val="20"/>
          <w:szCs w:val="20"/>
        </w:rPr>
        <w:t xml:space="preserve"> </w:t>
      </w:r>
      <w:r w:rsidRPr="00B004EE">
        <w:rPr>
          <w:rFonts w:ascii="Tahoma" w:hAnsi="Tahoma" w:cs="Tahoma"/>
          <w:sz w:val="20"/>
          <w:szCs w:val="20"/>
        </w:rPr>
        <w:t>de</w:t>
      </w:r>
      <w:r w:rsidR="00DB1635" w:rsidRPr="00B004EE">
        <w:rPr>
          <w:rFonts w:ascii="Tahoma" w:hAnsi="Tahoma" w:cs="Tahoma"/>
          <w:spacing w:val="-21"/>
          <w:sz w:val="20"/>
          <w:szCs w:val="20"/>
        </w:rPr>
        <w:t xml:space="preserve"> </w:t>
      </w:r>
      <w:r w:rsidRPr="00B004EE">
        <w:rPr>
          <w:rFonts w:ascii="Tahoma" w:hAnsi="Tahoma" w:cs="Tahoma"/>
          <w:sz w:val="20"/>
          <w:szCs w:val="20"/>
        </w:rPr>
        <w:t>la</w:t>
      </w:r>
      <w:r w:rsidR="00DB1635" w:rsidRPr="00B004EE">
        <w:rPr>
          <w:rFonts w:ascii="Tahoma" w:hAnsi="Tahoma" w:cs="Tahoma"/>
          <w:spacing w:val="-20"/>
          <w:sz w:val="20"/>
          <w:szCs w:val="20"/>
        </w:rPr>
        <w:t xml:space="preserve"> </w:t>
      </w:r>
      <w:r w:rsidRPr="00B004EE">
        <w:rPr>
          <w:rFonts w:ascii="Tahoma" w:hAnsi="Tahoma" w:cs="Tahoma"/>
          <w:sz w:val="20"/>
          <w:szCs w:val="20"/>
        </w:rPr>
        <w:t>commission</w:t>
      </w:r>
      <w:r w:rsidR="00DB1635" w:rsidRPr="00B004EE">
        <w:rPr>
          <w:rFonts w:ascii="Tahoma" w:hAnsi="Tahoma" w:cs="Tahoma"/>
          <w:spacing w:val="-21"/>
          <w:sz w:val="20"/>
          <w:szCs w:val="20"/>
        </w:rPr>
        <w:t xml:space="preserve"> </w:t>
      </w:r>
      <w:r w:rsidRPr="00B004EE">
        <w:rPr>
          <w:rFonts w:ascii="Tahoma" w:hAnsi="Tahoma" w:cs="Tahoma"/>
          <w:sz w:val="20"/>
          <w:szCs w:val="20"/>
        </w:rPr>
        <w:t>d'une</w:t>
      </w:r>
      <w:r w:rsidR="00DB1635" w:rsidRPr="00B004EE">
        <w:rPr>
          <w:rFonts w:ascii="Tahoma" w:hAnsi="Tahoma" w:cs="Tahoma"/>
          <w:spacing w:val="-21"/>
          <w:sz w:val="20"/>
          <w:szCs w:val="20"/>
        </w:rPr>
        <w:t xml:space="preserve"> </w:t>
      </w:r>
      <w:r w:rsidRPr="00B004EE">
        <w:rPr>
          <w:rFonts w:ascii="Tahoma" w:hAnsi="Tahoma" w:cs="Tahoma"/>
          <w:sz w:val="20"/>
          <w:szCs w:val="20"/>
        </w:rPr>
        <w:t>infraction</w:t>
      </w:r>
      <w:r w:rsidR="00DB1635" w:rsidRPr="00B004EE">
        <w:rPr>
          <w:rFonts w:ascii="Tahoma" w:hAnsi="Tahoma" w:cs="Tahoma"/>
          <w:w w:val="93"/>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qui</w:t>
      </w:r>
      <w:r w:rsidR="00DB1635" w:rsidRPr="00B004EE">
        <w:rPr>
          <w:rFonts w:ascii="Tahoma" w:hAnsi="Tahoma" w:cs="Tahoma"/>
          <w:sz w:val="20"/>
          <w:szCs w:val="20"/>
        </w:rPr>
        <w:t xml:space="preserve"> </w:t>
      </w:r>
      <w:r w:rsidRPr="00B004EE">
        <w:rPr>
          <w:rFonts w:ascii="Tahoma" w:hAnsi="Tahoma" w:cs="Tahoma"/>
          <w:sz w:val="20"/>
          <w:szCs w:val="20"/>
        </w:rPr>
        <w:t>soient</w:t>
      </w:r>
      <w:r w:rsidR="00DB1635" w:rsidRPr="00B004EE">
        <w:rPr>
          <w:rFonts w:ascii="Tahoma" w:hAnsi="Tahoma" w:cs="Tahoma"/>
          <w:sz w:val="20"/>
          <w:szCs w:val="20"/>
        </w:rPr>
        <w:t xml:space="preserve"> </w:t>
      </w:r>
      <w:r w:rsidRPr="00B004EE">
        <w:rPr>
          <w:rFonts w:ascii="Tahoma" w:hAnsi="Tahoma" w:cs="Tahoma"/>
          <w:sz w:val="20"/>
          <w:szCs w:val="20"/>
        </w:rPr>
        <w:t>conservés</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infraction</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présente</w:t>
      </w:r>
      <w:r w:rsidR="00DB1635" w:rsidRPr="00B004EE">
        <w:rPr>
          <w:rFonts w:ascii="Tahoma" w:hAnsi="Tahoma" w:cs="Tahoma"/>
          <w:sz w:val="20"/>
          <w:szCs w:val="20"/>
        </w:rPr>
        <w:t xml:space="preserve"> </w:t>
      </w:r>
      <w:r w:rsidRPr="00B004EE">
        <w:rPr>
          <w:rFonts w:ascii="Tahoma" w:hAnsi="Tahoma" w:cs="Tahoma"/>
          <w:sz w:val="20"/>
          <w:szCs w:val="20"/>
        </w:rPr>
        <w:t>Loi.</w:t>
      </w:r>
    </w:p>
    <w:p w14:paraId="4A432330" w14:textId="2855C5CB" w:rsidR="001E7C3C" w:rsidRPr="00B004EE" w:rsidRDefault="001E7C3C" w:rsidP="00B004EE">
      <w:pPr>
        <w:pStyle w:val="Corpsdetexte"/>
        <w:ind w:right="159"/>
        <w:rPr>
          <w:rFonts w:ascii="Tahoma" w:hAnsi="Tahoma" w:cs="Tahoma"/>
          <w:sz w:val="20"/>
          <w:szCs w:val="20"/>
        </w:rPr>
      </w:pP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agents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contrôle</w:t>
      </w:r>
      <w:r w:rsidR="00DB1635" w:rsidRPr="00B004EE">
        <w:rPr>
          <w:rFonts w:ascii="Tahoma" w:hAnsi="Tahoma" w:cs="Tahoma"/>
          <w:sz w:val="20"/>
          <w:szCs w:val="20"/>
        </w:rPr>
        <w:t xml:space="preserve"> </w:t>
      </w:r>
      <w:r w:rsidRPr="00B004EE">
        <w:rPr>
          <w:rFonts w:ascii="Tahoma" w:hAnsi="Tahoma" w:cs="Tahoma"/>
          <w:sz w:val="20"/>
          <w:szCs w:val="20"/>
        </w:rPr>
        <w:t>dressent</w:t>
      </w:r>
      <w:r w:rsidR="00DB1635" w:rsidRPr="00B004EE">
        <w:rPr>
          <w:rFonts w:ascii="Tahoma" w:hAnsi="Tahoma" w:cs="Tahoma"/>
          <w:sz w:val="20"/>
          <w:szCs w:val="20"/>
        </w:rPr>
        <w:t xml:space="preserve"> </w:t>
      </w: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relevé</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objets,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captures</w:t>
      </w:r>
      <w:r w:rsidR="00DB1635" w:rsidRPr="00B004EE">
        <w:rPr>
          <w:rFonts w:ascii="Tahoma" w:hAnsi="Tahoma" w:cs="Tahoma"/>
          <w:spacing w:val="13"/>
          <w:sz w:val="20"/>
          <w:szCs w:val="20"/>
        </w:rPr>
        <w:t xml:space="preserve"> </w:t>
      </w:r>
      <w:r w:rsidRPr="00B004EE">
        <w:rPr>
          <w:rFonts w:ascii="Tahoma" w:hAnsi="Tahoma" w:cs="Tahoma"/>
          <w:sz w:val="20"/>
          <w:szCs w:val="20"/>
        </w:rPr>
        <w:t>saisis,</w:t>
      </w:r>
      <w:r w:rsidR="00DB1635" w:rsidRPr="00B004EE">
        <w:rPr>
          <w:rFonts w:ascii="Tahoma" w:hAnsi="Tahoma" w:cs="Tahoma"/>
          <w:w w:val="96"/>
          <w:sz w:val="20"/>
          <w:szCs w:val="20"/>
        </w:rPr>
        <w:t xml:space="preserve"> </w:t>
      </w:r>
      <w:r w:rsidRPr="00B004EE">
        <w:rPr>
          <w:rFonts w:ascii="Tahoma" w:hAnsi="Tahoma" w:cs="Tahoma"/>
          <w:sz w:val="20"/>
          <w:szCs w:val="20"/>
        </w:rPr>
        <w:t>spécifiant</w:t>
      </w:r>
      <w:r w:rsidR="00DB1635" w:rsidRPr="00B004EE">
        <w:rPr>
          <w:rFonts w:ascii="Tahoma" w:hAnsi="Tahoma" w:cs="Tahoma"/>
          <w:spacing w:val="-32"/>
          <w:sz w:val="20"/>
          <w:szCs w:val="20"/>
        </w:rPr>
        <w:t xml:space="preserve"> </w:t>
      </w:r>
      <w:r w:rsidRPr="00B004EE">
        <w:rPr>
          <w:rFonts w:ascii="Tahoma" w:hAnsi="Tahoma" w:cs="Tahoma"/>
          <w:sz w:val="20"/>
          <w:szCs w:val="20"/>
        </w:rPr>
        <w:t>leur</w:t>
      </w:r>
      <w:r w:rsidR="00DB1635" w:rsidRPr="00B004EE">
        <w:rPr>
          <w:rFonts w:ascii="Tahoma" w:hAnsi="Tahoma" w:cs="Tahoma"/>
          <w:spacing w:val="-32"/>
          <w:sz w:val="20"/>
          <w:szCs w:val="20"/>
        </w:rPr>
        <w:t xml:space="preserve"> </w:t>
      </w:r>
      <w:r w:rsidRPr="00B004EE">
        <w:rPr>
          <w:rFonts w:ascii="Tahoma" w:hAnsi="Tahoma" w:cs="Tahoma"/>
          <w:sz w:val="20"/>
          <w:szCs w:val="20"/>
        </w:rPr>
        <w:t>quantité,</w:t>
      </w:r>
      <w:r w:rsidR="00DB1635" w:rsidRPr="00B004EE">
        <w:rPr>
          <w:rFonts w:ascii="Tahoma" w:hAnsi="Tahoma" w:cs="Tahoma"/>
          <w:spacing w:val="-31"/>
          <w:sz w:val="20"/>
          <w:szCs w:val="20"/>
        </w:rPr>
        <w:t xml:space="preserve"> </w:t>
      </w:r>
      <w:r w:rsidRPr="00B004EE">
        <w:rPr>
          <w:rFonts w:ascii="Tahoma" w:hAnsi="Tahoma" w:cs="Tahoma"/>
          <w:sz w:val="20"/>
          <w:szCs w:val="20"/>
        </w:rPr>
        <w:t>état</w:t>
      </w:r>
      <w:r w:rsidR="00DB1635" w:rsidRPr="00B004EE">
        <w:rPr>
          <w:rFonts w:ascii="Tahoma" w:hAnsi="Tahoma" w:cs="Tahoma"/>
          <w:spacing w:val="-32"/>
          <w:sz w:val="20"/>
          <w:szCs w:val="20"/>
        </w:rPr>
        <w:t xml:space="preserve"> </w:t>
      </w:r>
      <w:r w:rsidRPr="00B004EE">
        <w:rPr>
          <w:rFonts w:ascii="Tahoma" w:hAnsi="Tahoma" w:cs="Tahoma"/>
          <w:sz w:val="20"/>
          <w:szCs w:val="20"/>
        </w:rPr>
        <w:t>et</w:t>
      </w:r>
      <w:r w:rsidR="00DB1635" w:rsidRPr="00B004EE">
        <w:rPr>
          <w:rFonts w:ascii="Tahoma" w:hAnsi="Tahoma" w:cs="Tahoma"/>
          <w:spacing w:val="-31"/>
          <w:sz w:val="20"/>
          <w:szCs w:val="20"/>
        </w:rPr>
        <w:t xml:space="preserve"> </w:t>
      </w:r>
      <w:r w:rsidRPr="00B004EE">
        <w:rPr>
          <w:rFonts w:ascii="Tahoma" w:hAnsi="Tahoma" w:cs="Tahoma"/>
          <w:sz w:val="20"/>
          <w:szCs w:val="20"/>
        </w:rPr>
        <w:t>toutes</w:t>
      </w:r>
      <w:r w:rsidR="00DB1635" w:rsidRPr="00B004EE">
        <w:rPr>
          <w:rFonts w:ascii="Tahoma" w:hAnsi="Tahoma" w:cs="Tahoma"/>
          <w:spacing w:val="-32"/>
          <w:sz w:val="20"/>
          <w:szCs w:val="20"/>
        </w:rPr>
        <w:t xml:space="preserve"> </w:t>
      </w:r>
      <w:r w:rsidRPr="00B004EE">
        <w:rPr>
          <w:rFonts w:ascii="Tahoma" w:hAnsi="Tahoma" w:cs="Tahoma"/>
          <w:sz w:val="20"/>
          <w:szCs w:val="20"/>
        </w:rPr>
        <w:t>autres</w:t>
      </w:r>
      <w:r w:rsidR="00DB1635" w:rsidRPr="00B004EE">
        <w:rPr>
          <w:rFonts w:ascii="Tahoma" w:hAnsi="Tahoma" w:cs="Tahoma"/>
          <w:spacing w:val="-32"/>
          <w:sz w:val="20"/>
          <w:szCs w:val="20"/>
        </w:rPr>
        <w:t xml:space="preserve"> </w:t>
      </w:r>
      <w:r w:rsidRPr="00B004EE">
        <w:rPr>
          <w:rFonts w:ascii="Tahoma" w:hAnsi="Tahoma" w:cs="Tahoma"/>
          <w:sz w:val="20"/>
          <w:szCs w:val="20"/>
        </w:rPr>
        <w:t>données</w:t>
      </w:r>
      <w:r w:rsidR="00DB1635" w:rsidRPr="00B004EE">
        <w:rPr>
          <w:rFonts w:ascii="Tahoma" w:hAnsi="Tahoma" w:cs="Tahoma"/>
          <w:spacing w:val="-32"/>
          <w:sz w:val="20"/>
          <w:szCs w:val="20"/>
        </w:rPr>
        <w:t xml:space="preserve"> </w:t>
      </w:r>
      <w:r w:rsidRPr="00B004EE">
        <w:rPr>
          <w:rFonts w:ascii="Tahoma" w:hAnsi="Tahoma" w:cs="Tahoma"/>
          <w:sz w:val="20"/>
          <w:szCs w:val="20"/>
        </w:rPr>
        <w:t>pertinentes.</w:t>
      </w:r>
    </w:p>
    <w:p w14:paraId="0CA9B47E" w14:textId="77777777" w:rsidR="001E7C3C" w:rsidRPr="00B004EE" w:rsidRDefault="001E7C3C" w:rsidP="00B004EE">
      <w:pPr>
        <w:rPr>
          <w:rFonts w:ascii="Tahoma" w:eastAsia="American Typewriter" w:hAnsi="Tahoma" w:cs="Tahoma"/>
          <w:sz w:val="20"/>
          <w:szCs w:val="20"/>
        </w:rPr>
      </w:pPr>
    </w:p>
    <w:p w14:paraId="657E0742" w14:textId="016A14E2" w:rsidR="001E7C3C" w:rsidRPr="00B004EE" w:rsidRDefault="001E7C3C" w:rsidP="00B004EE">
      <w:pPr>
        <w:pStyle w:val="Lgende"/>
        <w:jc w:val="center"/>
        <w:rPr>
          <w:rFonts w:ascii="Tahoma" w:eastAsia="American Typewriter" w:hAnsi="Tahoma" w:cs="Tahoma"/>
        </w:rPr>
      </w:pPr>
      <w:bookmarkStart w:id="111" w:name="_Toc16279088"/>
      <w:bookmarkStart w:id="112" w:name="_Toc16279457"/>
      <w:r w:rsidRPr="00B004EE">
        <w:rPr>
          <w:rFonts w:ascii="Tahoma" w:eastAsia="American Typewriter" w:hAnsi="Tahoma" w:cs="Tahoma"/>
        </w:rPr>
        <w:t>Section</w:t>
      </w:r>
      <w:r w:rsidR="00DB1635" w:rsidRPr="00B004EE">
        <w:rPr>
          <w:rFonts w:ascii="Tahoma" w:eastAsia="American Typewriter" w:hAnsi="Tahoma" w:cs="Tahoma"/>
        </w:rPr>
        <w:t xml:space="preserve"> </w:t>
      </w:r>
      <w:r w:rsidRPr="00B004EE">
        <w:rPr>
          <w:rFonts w:ascii="Tahoma" w:eastAsia="American Typewriter" w:hAnsi="Tahoma" w:cs="Tahoma"/>
        </w:rPr>
        <w:t>5</w:t>
      </w:r>
      <w:r w:rsidR="00DB1635" w:rsidRPr="00B004EE">
        <w:rPr>
          <w:rFonts w:ascii="Tahoma" w:eastAsia="American Typewriter" w:hAnsi="Tahoma" w:cs="Tahoma"/>
        </w:rPr>
        <w:t xml:space="preserve"> </w:t>
      </w:r>
      <w:r w:rsidRPr="00B004EE">
        <w:rPr>
          <w:rFonts w:ascii="Tahoma" w:eastAsia="American Typewriter" w:hAnsi="Tahoma" w:cs="Tahoma"/>
        </w:rPr>
        <w:t>:</w:t>
      </w:r>
      <w:r w:rsidR="00DB1635" w:rsidRPr="00B004EE">
        <w:rPr>
          <w:rFonts w:ascii="Tahoma" w:eastAsia="American Typewriter" w:hAnsi="Tahoma" w:cs="Tahoma"/>
        </w:rPr>
        <w:t xml:space="preserve"> </w:t>
      </w:r>
      <w:r w:rsidRPr="00B004EE">
        <w:rPr>
          <w:rFonts w:ascii="Tahoma" w:eastAsia="American Typewriter" w:hAnsi="Tahoma" w:cs="Tahoma"/>
        </w:rPr>
        <w:t>De</w:t>
      </w:r>
      <w:r w:rsidR="00DB1635" w:rsidRPr="00B004EE">
        <w:rPr>
          <w:rFonts w:ascii="Tahoma" w:eastAsia="American Typewriter" w:hAnsi="Tahoma" w:cs="Tahoma"/>
        </w:rPr>
        <w:t xml:space="preserve"> </w:t>
      </w:r>
      <w:r w:rsidRPr="00B004EE">
        <w:rPr>
          <w:rFonts w:ascii="Tahoma" w:eastAsia="American Typewriter" w:hAnsi="Tahoma" w:cs="Tahoma"/>
        </w:rPr>
        <w:t>la</w:t>
      </w:r>
      <w:r w:rsidR="00DB1635" w:rsidRPr="00B004EE">
        <w:rPr>
          <w:rFonts w:ascii="Tahoma" w:eastAsia="American Typewriter" w:hAnsi="Tahoma" w:cs="Tahoma"/>
        </w:rPr>
        <w:t xml:space="preserve"> </w:t>
      </w:r>
      <w:r w:rsidRPr="00B004EE">
        <w:rPr>
          <w:rFonts w:ascii="Tahoma" w:eastAsia="American Typewriter" w:hAnsi="Tahoma" w:cs="Tahoma"/>
        </w:rPr>
        <w:t>procédure</w:t>
      </w:r>
      <w:r w:rsidR="00DB1635" w:rsidRPr="00B004EE">
        <w:rPr>
          <w:rFonts w:ascii="Tahoma" w:eastAsia="American Typewriter" w:hAnsi="Tahoma" w:cs="Tahoma"/>
        </w:rPr>
        <w:t xml:space="preserve"> </w:t>
      </w:r>
      <w:r w:rsidRPr="00B004EE">
        <w:rPr>
          <w:rFonts w:ascii="Tahoma" w:eastAsia="American Typewriter" w:hAnsi="Tahoma" w:cs="Tahoma"/>
        </w:rPr>
        <w:t>de</w:t>
      </w:r>
      <w:r w:rsidR="00DB1635" w:rsidRPr="00B004EE">
        <w:rPr>
          <w:rFonts w:ascii="Tahoma" w:eastAsia="American Typewriter" w:hAnsi="Tahoma" w:cs="Tahoma"/>
        </w:rPr>
        <w:t xml:space="preserve"> </w:t>
      </w:r>
      <w:r w:rsidRPr="00B004EE">
        <w:rPr>
          <w:rFonts w:ascii="Tahoma" w:eastAsia="American Typewriter" w:hAnsi="Tahoma" w:cs="Tahoma"/>
        </w:rPr>
        <w:t>constatation</w:t>
      </w:r>
      <w:r w:rsidR="00DB1635" w:rsidRPr="00B004EE">
        <w:rPr>
          <w:rFonts w:ascii="Tahoma" w:eastAsia="American Typewriter" w:hAnsi="Tahoma" w:cs="Tahoma"/>
        </w:rPr>
        <w:t xml:space="preserve"> </w:t>
      </w:r>
      <w:r w:rsidRPr="00B004EE">
        <w:rPr>
          <w:rFonts w:ascii="Tahoma" w:eastAsia="American Typewriter" w:hAnsi="Tahoma" w:cs="Tahoma"/>
        </w:rPr>
        <w:t>des</w:t>
      </w:r>
      <w:r w:rsidR="00DB1635" w:rsidRPr="00B004EE">
        <w:rPr>
          <w:rFonts w:ascii="Tahoma" w:eastAsia="American Typewriter" w:hAnsi="Tahoma" w:cs="Tahoma"/>
        </w:rPr>
        <w:t xml:space="preserve"> </w:t>
      </w:r>
      <w:r w:rsidRPr="00B004EE">
        <w:rPr>
          <w:rFonts w:ascii="Tahoma" w:eastAsia="American Typewriter" w:hAnsi="Tahoma" w:cs="Tahoma"/>
        </w:rPr>
        <w:t>infractions</w:t>
      </w:r>
      <w:bookmarkEnd w:id="111"/>
      <w:bookmarkEnd w:id="112"/>
    </w:p>
    <w:p w14:paraId="2EE965BD" w14:textId="77777777" w:rsidR="001E7C3C" w:rsidRPr="00B004EE" w:rsidRDefault="001E7C3C" w:rsidP="00B004EE">
      <w:pPr>
        <w:rPr>
          <w:rFonts w:ascii="Tahoma" w:eastAsia="American Typewriter" w:hAnsi="Tahoma" w:cs="Tahoma"/>
          <w:b/>
          <w:bCs/>
          <w:sz w:val="20"/>
          <w:szCs w:val="20"/>
        </w:rPr>
      </w:pPr>
    </w:p>
    <w:p w14:paraId="4AF0D9AD" w14:textId="5162FBB4" w:rsidR="001E7C3C" w:rsidRPr="00B004EE" w:rsidRDefault="001E7C3C" w:rsidP="00B004EE">
      <w:pPr>
        <w:pStyle w:val="Corpsdetexte"/>
        <w:ind w:right="159"/>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71</w:t>
      </w:r>
      <w:r w:rsidR="00DB1635" w:rsidRPr="00B004EE">
        <w:rPr>
          <w:rFonts w:ascii="Tahoma" w:hAnsi="Tahoma" w:cs="Tahoma"/>
          <w:bCs/>
          <w:sz w:val="20"/>
          <w:szCs w:val="20"/>
        </w:rPr>
        <w:t xml:space="preserve"> </w:t>
      </w:r>
      <w:r w:rsidRPr="00B004EE">
        <w:rPr>
          <w:rFonts w:ascii="Tahoma" w:hAnsi="Tahoma" w:cs="Tahoma"/>
          <w:bCs/>
          <w:sz w:val="20"/>
          <w:szCs w:val="20"/>
        </w:rPr>
        <w:t>:</w:t>
      </w:r>
      <w:r w:rsidR="00DB1635" w:rsidRPr="00B004EE">
        <w:rPr>
          <w:rFonts w:ascii="Tahoma" w:hAnsi="Tahoma" w:cs="Tahoma"/>
          <w:b/>
          <w:sz w:val="20"/>
          <w:szCs w:val="20"/>
        </w:rPr>
        <w:t xml:space="preserve"> </w:t>
      </w:r>
      <w:r w:rsidRPr="00B004EE">
        <w:rPr>
          <w:rFonts w:ascii="Tahoma" w:hAnsi="Tahoma" w:cs="Tahoma"/>
          <w:sz w:val="20"/>
          <w:szCs w:val="20"/>
        </w:rPr>
        <w:t>Compte</w:t>
      </w:r>
      <w:r w:rsidR="00DB1635" w:rsidRPr="00B004EE">
        <w:rPr>
          <w:rFonts w:ascii="Tahoma" w:hAnsi="Tahoma" w:cs="Tahoma"/>
          <w:sz w:val="20"/>
          <w:szCs w:val="20"/>
        </w:rPr>
        <w:t xml:space="preserve"> </w:t>
      </w:r>
      <w:r w:rsidRPr="00B004EE">
        <w:rPr>
          <w:rFonts w:ascii="Tahoma" w:hAnsi="Tahoma" w:cs="Tahoma"/>
          <w:sz w:val="20"/>
          <w:szCs w:val="20"/>
        </w:rPr>
        <w:t>tenu</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conditions</w:t>
      </w:r>
      <w:r w:rsidR="00DB1635" w:rsidRPr="00B004EE">
        <w:rPr>
          <w:rFonts w:ascii="Tahoma" w:hAnsi="Tahoma" w:cs="Tahoma"/>
          <w:sz w:val="20"/>
          <w:szCs w:val="20"/>
        </w:rPr>
        <w:t xml:space="preserve"> </w:t>
      </w:r>
      <w:r w:rsidRPr="00B004EE">
        <w:rPr>
          <w:rFonts w:ascii="Tahoma" w:hAnsi="Tahoma" w:cs="Tahoma"/>
          <w:sz w:val="20"/>
          <w:szCs w:val="20"/>
        </w:rPr>
        <w:t>météorologiques,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nature</w:t>
      </w:r>
      <w:r w:rsidR="00DB1635" w:rsidRPr="00B004EE">
        <w:rPr>
          <w:rFonts w:ascii="Tahoma" w:hAnsi="Tahoma" w:cs="Tahoma"/>
          <w:spacing w:val="2"/>
          <w:sz w:val="20"/>
          <w:szCs w:val="20"/>
        </w:rPr>
        <w:t xml:space="preserve"> </w:t>
      </w:r>
      <w:r w:rsidRPr="00B004EE">
        <w:rPr>
          <w:rFonts w:ascii="Tahoma" w:hAnsi="Tahoma" w:cs="Tahoma"/>
          <w:sz w:val="20"/>
          <w:szCs w:val="20"/>
        </w:rPr>
        <w:t>de</w:t>
      </w:r>
      <w:r w:rsidR="00DB1635" w:rsidRPr="00B004EE">
        <w:rPr>
          <w:rFonts w:ascii="Tahoma" w:hAnsi="Tahoma" w:cs="Tahoma"/>
          <w:w w:val="94"/>
          <w:sz w:val="20"/>
          <w:szCs w:val="20"/>
        </w:rPr>
        <w:t xml:space="preserve"> </w:t>
      </w:r>
      <w:r w:rsidRPr="00B004EE">
        <w:rPr>
          <w:rFonts w:ascii="Tahoma" w:hAnsi="Tahoma" w:cs="Tahoma"/>
          <w:sz w:val="20"/>
          <w:szCs w:val="20"/>
        </w:rPr>
        <w:t>l'infraction</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difficultés</w:t>
      </w:r>
      <w:r w:rsidR="00DB1635" w:rsidRPr="00B004EE">
        <w:rPr>
          <w:rFonts w:ascii="Tahoma" w:hAnsi="Tahoma" w:cs="Tahoma"/>
          <w:sz w:val="20"/>
          <w:szCs w:val="20"/>
        </w:rPr>
        <w:t xml:space="preserve"> </w:t>
      </w:r>
      <w:r w:rsidRPr="00B004EE">
        <w:rPr>
          <w:rFonts w:ascii="Tahoma" w:hAnsi="Tahoma" w:cs="Tahoma"/>
          <w:sz w:val="20"/>
          <w:szCs w:val="20"/>
        </w:rPr>
        <w:t>que</w:t>
      </w:r>
      <w:r w:rsidR="00DB1635" w:rsidRPr="00B004EE">
        <w:rPr>
          <w:rFonts w:ascii="Tahoma" w:hAnsi="Tahoma" w:cs="Tahoma"/>
          <w:sz w:val="20"/>
          <w:szCs w:val="20"/>
        </w:rPr>
        <w:t xml:space="preserve"> </w:t>
      </w:r>
      <w:r w:rsidRPr="00B004EE">
        <w:rPr>
          <w:rFonts w:ascii="Tahoma" w:hAnsi="Tahoma" w:cs="Tahoma"/>
          <w:sz w:val="20"/>
          <w:szCs w:val="20"/>
        </w:rPr>
        <w:t>peut</w:t>
      </w:r>
      <w:r w:rsidR="00DB1635" w:rsidRPr="00B004EE">
        <w:rPr>
          <w:rFonts w:ascii="Tahoma" w:hAnsi="Tahoma" w:cs="Tahoma"/>
          <w:sz w:val="20"/>
          <w:szCs w:val="20"/>
        </w:rPr>
        <w:t xml:space="preserve"> </w:t>
      </w:r>
      <w:r w:rsidRPr="00B004EE">
        <w:rPr>
          <w:rFonts w:ascii="Tahoma" w:hAnsi="Tahoma" w:cs="Tahoma"/>
          <w:sz w:val="20"/>
          <w:szCs w:val="20"/>
        </w:rPr>
        <w:t>rencontrer</w:t>
      </w:r>
      <w:r w:rsidR="00DB1635" w:rsidRPr="00B004EE">
        <w:rPr>
          <w:rFonts w:ascii="Tahoma" w:hAnsi="Tahoma" w:cs="Tahoma"/>
          <w:sz w:val="20"/>
          <w:szCs w:val="20"/>
        </w:rPr>
        <w:t xml:space="preserve"> </w:t>
      </w:r>
      <w:r w:rsidRPr="00B004EE">
        <w:rPr>
          <w:rFonts w:ascii="Tahoma" w:hAnsi="Tahoma" w:cs="Tahoma"/>
          <w:sz w:val="20"/>
          <w:szCs w:val="20"/>
        </w:rPr>
        <w:t>l'aéronef</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navire</w:t>
      </w:r>
      <w:r w:rsidR="00DB1635" w:rsidRPr="00B004EE">
        <w:rPr>
          <w:rFonts w:ascii="Tahoma" w:hAnsi="Tahoma" w:cs="Tahoma"/>
          <w:spacing w:val="22"/>
          <w:sz w:val="20"/>
          <w:szCs w:val="20"/>
        </w:rPr>
        <w:t xml:space="preserve"> </w:t>
      </w:r>
      <w:r w:rsidRPr="00B004EE">
        <w:rPr>
          <w:rFonts w:ascii="Tahoma" w:hAnsi="Tahoma" w:cs="Tahoma"/>
          <w:sz w:val="20"/>
          <w:szCs w:val="20"/>
        </w:rPr>
        <w:t>de</w:t>
      </w:r>
      <w:r w:rsidR="00DB1635" w:rsidRPr="00B004EE">
        <w:rPr>
          <w:rFonts w:ascii="Tahoma" w:hAnsi="Tahoma" w:cs="Tahoma"/>
          <w:w w:val="94"/>
          <w:sz w:val="20"/>
          <w:szCs w:val="20"/>
        </w:rPr>
        <w:t xml:space="preserve"> </w:t>
      </w:r>
      <w:r w:rsidRPr="00B004EE">
        <w:rPr>
          <w:rFonts w:ascii="Tahoma" w:hAnsi="Tahoma" w:cs="Tahoma"/>
          <w:sz w:val="20"/>
          <w:szCs w:val="20"/>
        </w:rPr>
        <w:t>surveillance</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l'exécution</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sa</w:t>
      </w:r>
      <w:r w:rsidR="00DB1635" w:rsidRPr="00B004EE">
        <w:rPr>
          <w:rFonts w:ascii="Tahoma" w:hAnsi="Tahoma" w:cs="Tahoma"/>
          <w:sz w:val="20"/>
          <w:szCs w:val="20"/>
        </w:rPr>
        <w:t xml:space="preserve"> </w:t>
      </w:r>
      <w:r w:rsidRPr="00B004EE">
        <w:rPr>
          <w:rFonts w:ascii="Tahoma" w:hAnsi="Tahoma" w:cs="Tahoma"/>
          <w:sz w:val="20"/>
          <w:szCs w:val="20"/>
        </w:rPr>
        <w:t>mission,</w:t>
      </w:r>
      <w:r w:rsidR="00DB1635" w:rsidRPr="00B004EE">
        <w:rPr>
          <w:rFonts w:ascii="Tahoma" w:hAnsi="Tahoma" w:cs="Tahoma"/>
          <w:sz w:val="20"/>
          <w:szCs w:val="20"/>
        </w:rPr>
        <w:t xml:space="preserve"> </w:t>
      </w:r>
      <w:r w:rsidRPr="00B004EE">
        <w:rPr>
          <w:rFonts w:ascii="Tahoma" w:hAnsi="Tahoma" w:cs="Tahoma"/>
          <w:sz w:val="20"/>
          <w:szCs w:val="20"/>
        </w:rPr>
        <w:t>deux</w:t>
      </w:r>
      <w:r w:rsidR="00DB1635" w:rsidRPr="00B004EE">
        <w:rPr>
          <w:rFonts w:ascii="Tahoma" w:hAnsi="Tahoma" w:cs="Tahoma"/>
          <w:sz w:val="20"/>
          <w:szCs w:val="20"/>
        </w:rPr>
        <w:t xml:space="preserve"> </w:t>
      </w:r>
      <w:r w:rsidRPr="00B004EE">
        <w:rPr>
          <w:rFonts w:ascii="Tahoma" w:hAnsi="Tahoma" w:cs="Tahoma"/>
          <w:sz w:val="20"/>
          <w:szCs w:val="20"/>
        </w:rPr>
        <w:t>procédures</w:t>
      </w:r>
      <w:r w:rsidR="00DB1635" w:rsidRPr="00B004EE">
        <w:rPr>
          <w:rFonts w:ascii="Tahoma" w:hAnsi="Tahoma" w:cs="Tahoma"/>
          <w:sz w:val="20"/>
          <w:szCs w:val="20"/>
        </w:rPr>
        <w:t xml:space="preserve"> </w:t>
      </w:r>
      <w:r w:rsidRPr="00B004EE">
        <w:rPr>
          <w:rFonts w:ascii="Tahoma" w:hAnsi="Tahoma" w:cs="Tahoma"/>
          <w:sz w:val="20"/>
          <w:szCs w:val="20"/>
        </w:rPr>
        <w:t>peuvent</w:t>
      </w:r>
      <w:r w:rsidR="00DB1635" w:rsidRPr="00B004EE">
        <w:rPr>
          <w:rFonts w:ascii="Tahoma" w:hAnsi="Tahoma" w:cs="Tahoma"/>
          <w:spacing w:val="58"/>
          <w:sz w:val="20"/>
          <w:szCs w:val="20"/>
        </w:rPr>
        <w:t xml:space="preserve"> </w:t>
      </w:r>
      <w:r w:rsidRPr="00B004EE">
        <w:rPr>
          <w:rFonts w:ascii="Tahoma" w:hAnsi="Tahoma" w:cs="Tahoma"/>
          <w:sz w:val="20"/>
          <w:szCs w:val="20"/>
        </w:rPr>
        <w:t>être</w:t>
      </w:r>
      <w:r w:rsidR="00DB1635" w:rsidRPr="00B004EE">
        <w:rPr>
          <w:rFonts w:ascii="Tahoma" w:hAnsi="Tahoma" w:cs="Tahoma"/>
          <w:w w:val="94"/>
          <w:sz w:val="20"/>
          <w:szCs w:val="20"/>
        </w:rPr>
        <w:t xml:space="preserve"> </w:t>
      </w:r>
      <w:r w:rsidRPr="00B004EE">
        <w:rPr>
          <w:rFonts w:ascii="Tahoma" w:hAnsi="Tahoma" w:cs="Tahoma"/>
          <w:sz w:val="20"/>
          <w:szCs w:val="20"/>
        </w:rPr>
        <w:t>employées</w:t>
      </w:r>
      <w:r w:rsidR="00DB1635" w:rsidRPr="00B004EE">
        <w:rPr>
          <w:rFonts w:ascii="Tahoma" w:hAnsi="Tahoma" w:cs="Tahoma"/>
          <w:spacing w:val="-11"/>
          <w:sz w:val="20"/>
          <w:szCs w:val="20"/>
        </w:rPr>
        <w:t xml:space="preserve"> </w:t>
      </w:r>
      <w:r w:rsidRPr="00B004EE">
        <w:rPr>
          <w:rFonts w:ascii="Tahoma" w:hAnsi="Tahoma" w:cs="Tahoma"/>
          <w:sz w:val="20"/>
          <w:szCs w:val="20"/>
        </w:rPr>
        <w:t>pour</w:t>
      </w:r>
      <w:r w:rsidR="00DB1635" w:rsidRPr="00B004EE">
        <w:rPr>
          <w:rFonts w:ascii="Tahoma" w:hAnsi="Tahoma" w:cs="Tahoma"/>
          <w:spacing w:val="-11"/>
          <w:sz w:val="20"/>
          <w:szCs w:val="20"/>
        </w:rPr>
        <w:t xml:space="preserve"> </w:t>
      </w:r>
      <w:r w:rsidRPr="00B004EE">
        <w:rPr>
          <w:rFonts w:ascii="Tahoma" w:hAnsi="Tahoma" w:cs="Tahoma"/>
          <w:sz w:val="20"/>
          <w:szCs w:val="20"/>
        </w:rPr>
        <w:t>rechercher</w:t>
      </w:r>
      <w:r w:rsidR="00DB1635" w:rsidRPr="00B004EE">
        <w:rPr>
          <w:rFonts w:ascii="Tahoma" w:hAnsi="Tahoma" w:cs="Tahoma"/>
          <w:spacing w:val="-12"/>
          <w:sz w:val="20"/>
          <w:szCs w:val="20"/>
        </w:rPr>
        <w:t xml:space="preserve"> </w:t>
      </w:r>
      <w:r w:rsidRPr="00B004EE">
        <w:rPr>
          <w:rFonts w:ascii="Tahoma" w:hAnsi="Tahoma" w:cs="Tahoma"/>
          <w:sz w:val="20"/>
          <w:szCs w:val="20"/>
        </w:rPr>
        <w:t>et</w:t>
      </w:r>
      <w:r w:rsidR="00DB1635" w:rsidRPr="00B004EE">
        <w:rPr>
          <w:rFonts w:ascii="Tahoma" w:hAnsi="Tahoma" w:cs="Tahoma"/>
          <w:spacing w:val="-11"/>
          <w:sz w:val="20"/>
          <w:szCs w:val="20"/>
        </w:rPr>
        <w:t xml:space="preserve"> </w:t>
      </w:r>
      <w:r w:rsidRPr="00B004EE">
        <w:rPr>
          <w:rFonts w:ascii="Tahoma" w:hAnsi="Tahoma" w:cs="Tahoma"/>
          <w:sz w:val="20"/>
          <w:szCs w:val="20"/>
        </w:rPr>
        <w:t>constater</w:t>
      </w:r>
      <w:r w:rsidR="00DB1635" w:rsidRPr="00B004EE">
        <w:rPr>
          <w:rFonts w:ascii="Tahoma" w:hAnsi="Tahoma" w:cs="Tahoma"/>
          <w:spacing w:val="-11"/>
          <w:sz w:val="20"/>
          <w:szCs w:val="20"/>
        </w:rPr>
        <w:t xml:space="preserve"> </w:t>
      </w:r>
      <w:r w:rsidRPr="00B004EE">
        <w:rPr>
          <w:rFonts w:ascii="Tahoma" w:hAnsi="Tahoma" w:cs="Tahoma"/>
          <w:sz w:val="20"/>
          <w:szCs w:val="20"/>
        </w:rPr>
        <w:t>les</w:t>
      </w:r>
      <w:r w:rsidR="00DB1635" w:rsidRPr="00B004EE">
        <w:rPr>
          <w:rFonts w:ascii="Tahoma" w:hAnsi="Tahoma" w:cs="Tahoma"/>
          <w:spacing w:val="-11"/>
          <w:sz w:val="20"/>
          <w:szCs w:val="20"/>
        </w:rPr>
        <w:t xml:space="preserve"> </w:t>
      </w:r>
      <w:r w:rsidRPr="00B004EE">
        <w:rPr>
          <w:rFonts w:ascii="Tahoma" w:hAnsi="Tahoma" w:cs="Tahoma"/>
          <w:sz w:val="20"/>
          <w:szCs w:val="20"/>
        </w:rPr>
        <w:t>infractions</w:t>
      </w:r>
      <w:r w:rsidR="00DB1635" w:rsidRPr="00B004EE">
        <w:rPr>
          <w:rFonts w:ascii="Tahoma" w:hAnsi="Tahoma" w:cs="Tahoma"/>
          <w:spacing w:val="-13"/>
          <w:sz w:val="20"/>
          <w:szCs w:val="20"/>
        </w:rPr>
        <w:t xml:space="preserve"> </w:t>
      </w:r>
      <w:r w:rsidRPr="00B004EE">
        <w:rPr>
          <w:rFonts w:ascii="Tahoma" w:hAnsi="Tahoma" w:cs="Tahoma"/>
          <w:sz w:val="20"/>
          <w:szCs w:val="20"/>
        </w:rPr>
        <w:t>pratiquées</w:t>
      </w:r>
      <w:r w:rsidR="00DB1635" w:rsidRPr="00B004EE">
        <w:rPr>
          <w:rFonts w:ascii="Tahoma" w:hAnsi="Tahoma" w:cs="Tahoma"/>
          <w:spacing w:val="-13"/>
          <w:sz w:val="20"/>
          <w:szCs w:val="20"/>
        </w:rPr>
        <w:t xml:space="preserve"> </w:t>
      </w:r>
      <w:r w:rsidRPr="00B004EE">
        <w:rPr>
          <w:rFonts w:ascii="Tahoma" w:hAnsi="Tahoma" w:cs="Tahoma"/>
          <w:sz w:val="20"/>
          <w:szCs w:val="20"/>
        </w:rPr>
        <w:t>par</w:t>
      </w:r>
      <w:r w:rsidR="00DB1635" w:rsidRPr="00B004EE">
        <w:rPr>
          <w:rFonts w:ascii="Tahoma" w:hAnsi="Tahoma" w:cs="Tahoma"/>
          <w:spacing w:val="-13"/>
          <w:sz w:val="20"/>
          <w:szCs w:val="20"/>
        </w:rPr>
        <w:t xml:space="preserve"> </w:t>
      </w:r>
      <w:r w:rsidRPr="00B004EE">
        <w:rPr>
          <w:rFonts w:ascii="Tahoma" w:hAnsi="Tahoma" w:cs="Tahoma"/>
          <w:sz w:val="20"/>
          <w:szCs w:val="20"/>
        </w:rPr>
        <w:t>les</w:t>
      </w:r>
      <w:r w:rsidR="00DB1635" w:rsidRPr="00B004EE">
        <w:rPr>
          <w:rFonts w:ascii="Tahoma" w:hAnsi="Tahoma" w:cs="Tahoma"/>
          <w:spacing w:val="-12"/>
          <w:sz w:val="20"/>
          <w:szCs w:val="20"/>
        </w:rPr>
        <w:t xml:space="preserve"> </w:t>
      </w:r>
      <w:r w:rsidRPr="00B004EE">
        <w:rPr>
          <w:rFonts w:ascii="Tahoma" w:hAnsi="Tahoma" w:cs="Tahoma"/>
          <w:sz w:val="20"/>
          <w:szCs w:val="20"/>
        </w:rPr>
        <w:t>navires</w:t>
      </w:r>
      <w:r w:rsidR="00DB1635" w:rsidRPr="00B004EE">
        <w:rPr>
          <w:rFonts w:ascii="Tahoma" w:hAnsi="Tahoma" w:cs="Tahoma"/>
          <w:w w:val="94"/>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pacing w:val="-47"/>
          <w:sz w:val="20"/>
          <w:szCs w:val="20"/>
        </w:rPr>
        <w:t xml:space="preserve"> </w:t>
      </w:r>
      <w:r w:rsidRPr="00B004EE">
        <w:rPr>
          <w:rFonts w:ascii="Tahoma" w:hAnsi="Tahoma" w:cs="Tahoma"/>
          <w:sz w:val="20"/>
          <w:szCs w:val="20"/>
        </w:rPr>
        <w:t>:</w:t>
      </w:r>
    </w:p>
    <w:p w14:paraId="14DBAFC5" w14:textId="7319712F" w:rsidR="001E7C3C" w:rsidRPr="00B004EE" w:rsidRDefault="001E7C3C" w:rsidP="00420DDA">
      <w:pPr>
        <w:pStyle w:val="Paragraphedeliste"/>
        <w:widowControl w:val="0"/>
        <w:numPr>
          <w:ilvl w:val="0"/>
          <w:numId w:val="34"/>
        </w:numPr>
        <w:tabs>
          <w:tab w:val="left" w:pos="1154"/>
        </w:tabs>
        <w:ind w:left="709" w:right="559"/>
        <w:rPr>
          <w:rFonts w:ascii="Tahoma" w:eastAsia="American Typewriter" w:hAnsi="Tahoma" w:cs="Tahoma"/>
          <w:sz w:val="20"/>
          <w:szCs w:val="20"/>
        </w:rPr>
      </w:pPr>
      <w:proofErr w:type="gramStart"/>
      <w:r w:rsidRPr="00B004EE">
        <w:rPr>
          <w:rFonts w:ascii="Tahoma" w:hAnsi="Tahoma" w:cs="Tahoma"/>
          <w:sz w:val="20"/>
          <w:szCs w:val="20"/>
        </w:rPr>
        <w:t>la</w:t>
      </w:r>
      <w:proofErr w:type="gramEnd"/>
      <w:r w:rsidR="00DB1635" w:rsidRPr="00B004EE">
        <w:rPr>
          <w:rFonts w:ascii="Tahoma" w:hAnsi="Tahoma" w:cs="Tahoma"/>
          <w:sz w:val="20"/>
          <w:szCs w:val="20"/>
        </w:rPr>
        <w:t xml:space="preserve"> </w:t>
      </w:r>
      <w:r w:rsidRPr="00B004EE">
        <w:rPr>
          <w:rFonts w:ascii="Tahoma" w:hAnsi="Tahoma" w:cs="Tahoma"/>
          <w:sz w:val="20"/>
          <w:szCs w:val="20"/>
        </w:rPr>
        <w:t>procédure</w:t>
      </w:r>
      <w:r w:rsidR="00DB1635" w:rsidRPr="00B004EE">
        <w:rPr>
          <w:rFonts w:ascii="Tahoma" w:hAnsi="Tahoma" w:cs="Tahoma"/>
          <w:sz w:val="20"/>
          <w:szCs w:val="20"/>
        </w:rPr>
        <w:t xml:space="preserve"> </w:t>
      </w:r>
      <w:r w:rsidRPr="00B004EE">
        <w:rPr>
          <w:rFonts w:ascii="Tahoma" w:hAnsi="Tahoma" w:cs="Tahoma"/>
          <w:sz w:val="20"/>
          <w:szCs w:val="20"/>
        </w:rPr>
        <w:t>ordinaire</w:t>
      </w:r>
      <w:r w:rsidR="00DB1635" w:rsidRPr="00B004EE">
        <w:rPr>
          <w:rFonts w:ascii="Tahoma" w:hAnsi="Tahoma" w:cs="Tahoma"/>
          <w:spacing w:val="14"/>
          <w:sz w:val="20"/>
          <w:szCs w:val="20"/>
        </w:rPr>
        <w:t xml:space="preserve"> </w:t>
      </w:r>
      <w:r w:rsidRPr="00B004EE">
        <w:rPr>
          <w:rFonts w:ascii="Tahoma" w:hAnsi="Tahoma" w:cs="Tahoma"/>
          <w:sz w:val="20"/>
          <w:szCs w:val="20"/>
        </w:rPr>
        <w:t>;</w:t>
      </w:r>
    </w:p>
    <w:p w14:paraId="4AF2DDF3" w14:textId="6F2147ED" w:rsidR="001E7C3C" w:rsidRPr="00B004EE" w:rsidRDefault="001E7C3C" w:rsidP="00420DDA">
      <w:pPr>
        <w:pStyle w:val="Paragraphedeliste"/>
        <w:widowControl w:val="0"/>
        <w:numPr>
          <w:ilvl w:val="0"/>
          <w:numId w:val="34"/>
        </w:numPr>
        <w:tabs>
          <w:tab w:val="left" w:pos="1154"/>
        </w:tabs>
        <w:ind w:left="709" w:right="559"/>
        <w:rPr>
          <w:rFonts w:ascii="Tahoma" w:eastAsia="American Typewriter" w:hAnsi="Tahoma" w:cs="Tahoma"/>
          <w:sz w:val="20"/>
          <w:szCs w:val="20"/>
        </w:rPr>
      </w:pPr>
      <w:proofErr w:type="gramStart"/>
      <w:r w:rsidRPr="00B004EE">
        <w:rPr>
          <w:rFonts w:ascii="Tahoma" w:hAnsi="Tahoma" w:cs="Tahoma"/>
          <w:sz w:val="20"/>
          <w:szCs w:val="20"/>
        </w:rPr>
        <w:t>la</w:t>
      </w:r>
      <w:proofErr w:type="gramEnd"/>
      <w:r w:rsidR="00DB1635" w:rsidRPr="00B004EE">
        <w:rPr>
          <w:rFonts w:ascii="Tahoma" w:hAnsi="Tahoma" w:cs="Tahoma"/>
          <w:sz w:val="20"/>
          <w:szCs w:val="20"/>
        </w:rPr>
        <w:t xml:space="preserve"> </w:t>
      </w:r>
      <w:r w:rsidRPr="00B004EE">
        <w:rPr>
          <w:rFonts w:ascii="Tahoma" w:hAnsi="Tahoma" w:cs="Tahoma"/>
          <w:sz w:val="20"/>
          <w:szCs w:val="20"/>
        </w:rPr>
        <w:t>procédure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pacing w:val="16"/>
          <w:sz w:val="20"/>
          <w:szCs w:val="20"/>
        </w:rPr>
        <w:t xml:space="preserve"> </w:t>
      </w:r>
      <w:r w:rsidRPr="00B004EE">
        <w:rPr>
          <w:rFonts w:ascii="Tahoma" w:hAnsi="Tahoma" w:cs="Tahoma"/>
          <w:sz w:val="20"/>
          <w:szCs w:val="20"/>
        </w:rPr>
        <w:t>vue.</w:t>
      </w:r>
    </w:p>
    <w:p w14:paraId="623994C2" w14:textId="77777777" w:rsidR="001E7C3C" w:rsidRPr="00B004EE" w:rsidRDefault="001E7C3C" w:rsidP="00B004EE">
      <w:pPr>
        <w:ind w:left="709"/>
        <w:rPr>
          <w:rFonts w:ascii="Tahoma" w:eastAsia="American Typewriter" w:hAnsi="Tahoma" w:cs="Tahoma"/>
          <w:sz w:val="20"/>
          <w:szCs w:val="20"/>
        </w:rPr>
      </w:pPr>
    </w:p>
    <w:p w14:paraId="560CBC61" w14:textId="23D77E75" w:rsidR="001E7C3C" w:rsidRPr="00B004EE" w:rsidRDefault="001E7C3C" w:rsidP="00B004EE">
      <w:pPr>
        <w:pStyle w:val="Corpsdetexte"/>
        <w:ind w:right="164"/>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72</w:t>
      </w:r>
      <w:r w:rsidR="00DB1635" w:rsidRPr="00B004EE">
        <w:rPr>
          <w:rFonts w:ascii="Tahoma" w:hAnsi="Tahoma" w:cs="Tahoma"/>
          <w:bCs/>
          <w:sz w:val="20"/>
          <w:szCs w:val="20"/>
        </w:rPr>
        <w:t xml:space="preserve"> </w:t>
      </w:r>
      <w:r w:rsidRPr="00B004EE">
        <w:rPr>
          <w:rFonts w:ascii="Tahoma" w:hAnsi="Tahoma" w:cs="Tahoma"/>
          <w:bCs/>
          <w:sz w:val="20"/>
          <w:szCs w:val="20"/>
        </w:rPr>
        <w:t>:</w:t>
      </w:r>
      <w:r w:rsidR="00DB1635" w:rsidRPr="00B004EE">
        <w:rPr>
          <w:rFonts w:ascii="Tahoma" w:hAnsi="Tahoma" w:cs="Tahoma"/>
          <w:b/>
          <w:spacing w:val="17"/>
          <w:sz w:val="20"/>
          <w:szCs w:val="20"/>
        </w:rPr>
        <w:t xml:space="preserve"> </w:t>
      </w:r>
      <w:r w:rsidRPr="00B004EE">
        <w:rPr>
          <w:rFonts w:ascii="Tahoma" w:hAnsi="Tahoma" w:cs="Tahoma"/>
          <w:sz w:val="20"/>
          <w:szCs w:val="20"/>
        </w:rPr>
        <w:t>La</w:t>
      </w:r>
      <w:r w:rsidR="00DB1635" w:rsidRPr="00B004EE">
        <w:rPr>
          <w:rFonts w:ascii="Tahoma" w:hAnsi="Tahoma" w:cs="Tahoma"/>
          <w:spacing w:val="14"/>
          <w:sz w:val="20"/>
          <w:szCs w:val="20"/>
        </w:rPr>
        <w:t xml:space="preserve"> </w:t>
      </w:r>
      <w:r w:rsidRPr="00B004EE">
        <w:rPr>
          <w:rFonts w:ascii="Tahoma" w:hAnsi="Tahoma" w:cs="Tahoma"/>
          <w:sz w:val="20"/>
          <w:szCs w:val="20"/>
        </w:rPr>
        <w:t>procédure</w:t>
      </w:r>
      <w:r w:rsidR="00DB1635" w:rsidRPr="00B004EE">
        <w:rPr>
          <w:rFonts w:ascii="Tahoma" w:hAnsi="Tahoma" w:cs="Tahoma"/>
          <w:spacing w:val="13"/>
          <w:sz w:val="20"/>
          <w:szCs w:val="20"/>
        </w:rPr>
        <w:t xml:space="preserve"> </w:t>
      </w:r>
      <w:r w:rsidRPr="00B004EE">
        <w:rPr>
          <w:rFonts w:ascii="Tahoma" w:hAnsi="Tahoma" w:cs="Tahoma"/>
          <w:sz w:val="20"/>
          <w:szCs w:val="20"/>
        </w:rPr>
        <w:t>ordinaire</w:t>
      </w:r>
      <w:r w:rsidR="00DB1635" w:rsidRPr="00B004EE">
        <w:rPr>
          <w:rFonts w:ascii="Tahoma" w:hAnsi="Tahoma" w:cs="Tahoma"/>
          <w:spacing w:val="13"/>
          <w:sz w:val="20"/>
          <w:szCs w:val="20"/>
        </w:rPr>
        <w:t xml:space="preserve"> </w:t>
      </w:r>
      <w:r w:rsidRPr="00B004EE">
        <w:rPr>
          <w:rFonts w:ascii="Tahoma" w:hAnsi="Tahoma" w:cs="Tahoma"/>
          <w:sz w:val="20"/>
          <w:szCs w:val="20"/>
        </w:rPr>
        <w:t>est</w:t>
      </w:r>
      <w:r w:rsidR="00DB1635" w:rsidRPr="00B004EE">
        <w:rPr>
          <w:rFonts w:ascii="Tahoma" w:hAnsi="Tahoma" w:cs="Tahoma"/>
          <w:spacing w:val="13"/>
          <w:sz w:val="20"/>
          <w:szCs w:val="20"/>
        </w:rPr>
        <w:t xml:space="preserve"> </w:t>
      </w:r>
      <w:r w:rsidRPr="00B004EE">
        <w:rPr>
          <w:rFonts w:ascii="Tahoma" w:hAnsi="Tahoma" w:cs="Tahoma"/>
          <w:sz w:val="20"/>
          <w:szCs w:val="20"/>
        </w:rPr>
        <w:t>employée</w:t>
      </w:r>
      <w:r w:rsidR="00DB1635" w:rsidRPr="00B004EE">
        <w:rPr>
          <w:rFonts w:ascii="Tahoma" w:hAnsi="Tahoma" w:cs="Tahoma"/>
          <w:spacing w:val="13"/>
          <w:sz w:val="20"/>
          <w:szCs w:val="20"/>
        </w:rPr>
        <w:t xml:space="preserve"> </w:t>
      </w:r>
      <w:r w:rsidRPr="00B004EE">
        <w:rPr>
          <w:rFonts w:ascii="Tahoma" w:hAnsi="Tahoma" w:cs="Tahoma"/>
          <w:sz w:val="20"/>
          <w:szCs w:val="20"/>
        </w:rPr>
        <w:t>dans</w:t>
      </w:r>
      <w:r w:rsidR="00DB1635" w:rsidRPr="00B004EE">
        <w:rPr>
          <w:rFonts w:ascii="Tahoma" w:hAnsi="Tahoma" w:cs="Tahoma"/>
          <w:spacing w:val="12"/>
          <w:sz w:val="20"/>
          <w:szCs w:val="20"/>
        </w:rPr>
        <w:t xml:space="preserve"> </w:t>
      </w:r>
      <w:r w:rsidRPr="00B004EE">
        <w:rPr>
          <w:rFonts w:ascii="Tahoma" w:hAnsi="Tahoma" w:cs="Tahoma"/>
          <w:sz w:val="20"/>
          <w:szCs w:val="20"/>
        </w:rPr>
        <w:t>les</w:t>
      </w:r>
      <w:r w:rsidR="00DB1635" w:rsidRPr="00B004EE">
        <w:rPr>
          <w:rFonts w:ascii="Tahoma" w:hAnsi="Tahoma" w:cs="Tahoma"/>
          <w:spacing w:val="11"/>
          <w:sz w:val="20"/>
          <w:szCs w:val="20"/>
        </w:rPr>
        <w:t xml:space="preserve"> </w:t>
      </w:r>
      <w:r w:rsidRPr="00B004EE">
        <w:rPr>
          <w:rFonts w:ascii="Tahoma" w:hAnsi="Tahoma" w:cs="Tahoma"/>
          <w:sz w:val="20"/>
          <w:szCs w:val="20"/>
        </w:rPr>
        <w:t>cas</w:t>
      </w:r>
      <w:r w:rsidR="00DB1635" w:rsidRPr="00B004EE">
        <w:rPr>
          <w:rFonts w:ascii="Tahoma" w:hAnsi="Tahoma" w:cs="Tahoma"/>
          <w:spacing w:val="11"/>
          <w:sz w:val="20"/>
          <w:szCs w:val="20"/>
        </w:rPr>
        <w:t xml:space="preserve"> </w:t>
      </w:r>
      <w:r w:rsidRPr="00B004EE">
        <w:rPr>
          <w:rFonts w:ascii="Tahoma" w:hAnsi="Tahoma" w:cs="Tahoma"/>
          <w:sz w:val="20"/>
          <w:szCs w:val="20"/>
        </w:rPr>
        <w:t>où</w:t>
      </w:r>
      <w:r w:rsidR="00DB1635" w:rsidRPr="00B004EE">
        <w:rPr>
          <w:rFonts w:ascii="Tahoma" w:hAnsi="Tahoma" w:cs="Tahoma"/>
          <w:spacing w:val="11"/>
          <w:sz w:val="20"/>
          <w:szCs w:val="20"/>
        </w:rPr>
        <w:t xml:space="preserve"> </w:t>
      </w:r>
      <w:r w:rsidRPr="00B004EE">
        <w:rPr>
          <w:rFonts w:ascii="Tahoma" w:hAnsi="Tahoma" w:cs="Tahoma"/>
          <w:sz w:val="20"/>
          <w:szCs w:val="20"/>
        </w:rPr>
        <w:t>les</w:t>
      </w:r>
      <w:r w:rsidR="00DB1635" w:rsidRPr="00B004EE">
        <w:rPr>
          <w:rFonts w:ascii="Tahoma" w:hAnsi="Tahoma" w:cs="Tahoma"/>
          <w:spacing w:val="11"/>
          <w:sz w:val="20"/>
          <w:szCs w:val="20"/>
        </w:rPr>
        <w:t xml:space="preserve"> </w:t>
      </w:r>
      <w:r w:rsidRPr="00B004EE">
        <w:rPr>
          <w:rFonts w:ascii="Tahoma" w:hAnsi="Tahoma" w:cs="Tahoma"/>
          <w:sz w:val="20"/>
          <w:szCs w:val="20"/>
        </w:rPr>
        <w:t>conditions</w:t>
      </w:r>
      <w:r w:rsidR="00DB1635" w:rsidRPr="00B004EE">
        <w:rPr>
          <w:rFonts w:ascii="Tahoma" w:hAnsi="Tahoma" w:cs="Tahoma"/>
          <w:w w:val="93"/>
          <w:sz w:val="20"/>
          <w:szCs w:val="20"/>
        </w:rPr>
        <w:t xml:space="preserve"> </w:t>
      </w:r>
      <w:r w:rsidRPr="00B004EE">
        <w:rPr>
          <w:rFonts w:ascii="Tahoma" w:hAnsi="Tahoma" w:cs="Tahoma"/>
          <w:sz w:val="20"/>
          <w:szCs w:val="20"/>
        </w:rPr>
        <w:t>autorisent</w:t>
      </w:r>
      <w:r w:rsidR="00DB1635" w:rsidRPr="00B004EE">
        <w:rPr>
          <w:rFonts w:ascii="Tahoma" w:hAnsi="Tahoma" w:cs="Tahoma"/>
          <w:spacing w:val="33"/>
          <w:sz w:val="20"/>
          <w:szCs w:val="20"/>
        </w:rPr>
        <w:t xml:space="preserve"> </w:t>
      </w:r>
      <w:r w:rsidRPr="00B004EE">
        <w:rPr>
          <w:rFonts w:ascii="Tahoma" w:hAnsi="Tahoma" w:cs="Tahoma"/>
          <w:sz w:val="20"/>
          <w:szCs w:val="20"/>
        </w:rPr>
        <w:t>la</w:t>
      </w:r>
      <w:r w:rsidR="00DB1635" w:rsidRPr="00B004EE">
        <w:rPr>
          <w:rFonts w:ascii="Tahoma" w:hAnsi="Tahoma" w:cs="Tahoma"/>
          <w:spacing w:val="33"/>
          <w:sz w:val="20"/>
          <w:szCs w:val="20"/>
        </w:rPr>
        <w:t xml:space="preserve"> </w:t>
      </w:r>
      <w:r w:rsidRPr="00B004EE">
        <w:rPr>
          <w:rFonts w:ascii="Tahoma" w:hAnsi="Tahoma" w:cs="Tahoma"/>
          <w:sz w:val="20"/>
          <w:szCs w:val="20"/>
        </w:rPr>
        <w:t>visite</w:t>
      </w:r>
      <w:r w:rsidR="00DB1635" w:rsidRPr="00B004EE">
        <w:rPr>
          <w:rFonts w:ascii="Tahoma" w:hAnsi="Tahoma" w:cs="Tahoma"/>
          <w:spacing w:val="33"/>
          <w:sz w:val="20"/>
          <w:szCs w:val="20"/>
        </w:rPr>
        <w:t xml:space="preserve"> </w:t>
      </w:r>
      <w:r w:rsidRPr="00B004EE">
        <w:rPr>
          <w:rFonts w:ascii="Tahoma" w:hAnsi="Tahoma" w:cs="Tahoma"/>
          <w:sz w:val="20"/>
          <w:szCs w:val="20"/>
        </w:rPr>
        <w:t>du</w:t>
      </w:r>
      <w:r w:rsidR="00DB1635" w:rsidRPr="00B004EE">
        <w:rPr>
          <w:rFonts w:ascii="Tahoma" w:hAnsi="Tahoma" w:cs="Tahoma"/>
          <w:spacing w:val="33"/>
          <w:sz w:val="20"/>
          <w:szCs w:val="20"/>
        </w:rPr>
        <w:t xml:space="preserve"> </w:t>
      </w:r>
      <w:r w:rsidRPr="00B004EE">
        <w:rPr>
          <w:rFonts w:ascii="Tahoma" w:hAnsi="Tahoma" w:cs="Tahoma"/>
          <w:sz w:val="20"/>
          <w:szCs w:val="20"/>
        </w:rPr>
        <w:t>navire,</w:t>
      </w:r>
      <w:r w:rsidR="00DB1635" w:rsidRPr="00B004EE">
        <w:rPr>
          <w:rFonts w:ascii="Tahoma" w:hAnsi="Tahoma" w:cs="Tahoma"/>
          <w:spacing w:val="33"/>
          <w:sz w:val="20"/>
          <w:szCs w:val="20"/>
        </w:rPr>
        <w:t xml:space="preserve"> </w:t>
      </w:r>
      <w:r w:rsidRPr="00B004EE">
        <w:rPr>
          <w:rFonts w:ascii="Tahoma" w:hAnsi="Tahoma" w:cs="Tahoma"/>
          <w:sz w:val="20"/>
          <w:szCs w:val="20"/>
        </w:rPr>
        <w:t>le</w:t>
      </w:r>
      <w:r w:rsidR="00DB1635" w:rsidRPr="00B004EE">
        <w:rPr>
          <w:rFonts w:ascii="Tahoma" w:hAnsi="Tahoma" w:cs="Tahoma"/>
          <w:spacing w:val="31"/>
          <w:sz w:val="20"/>
          <w:szCs w:val="20"/>
        </w:rPr>
        <w:t xml:space="preserve"> </w:t>
      </w:r>
      <w:r w:rsidRPr="00B004EE">
        <w:rPr>
          <w:rFonts w:ascii="Tahoma" w:hAnsi="Tahoma" w:cs="Tahoma"/>
          <w:sz w:val="20"/>
          <w:szCs w:val="20"/>
        </w:rPr>
        <w:t>navire</w:t>
      </w:r>
      <w:r w:rsidR="00DB1635" w:rsidRPr="00B004EE">
        <w:rPr>
          <w:rFonts w:ascii="Tahoma" w:hAnsi="Tahoma" w:cs="Tahoma"/>
          <w:spacing w:val="31"/>
          <w:sz w:val="20"/>
          <w:szCs w:val="20"/>
        </w:rPr>
        <w:t xml:space="preserve"> </w:t>
      </w:r>
      <w:r w:rsidRPr="00B004EE">
        <w:rPr>
          <w:rFonts w:ascii="Tahoma" w:hAnsi="Tahoma" w:cs="Tahoma"/>
          <w:sz w:val="20"/>
          <w:szCs w:val="20"/>
        </w:rPr>
        <w:t>contrôlé</w:t>
      </w:r>
      <w:r w:rsidR="00DB1635" w:rsidRPr="00B004EE">
        <w:rPr>
          <w:rFonts w:ascii="Tahoma" w:hAnsi="Tahoma" w:cs="Tahoma"/>
          <w:spacing w:val="31"/>
          <w:sz w:val="20"/>
          <w:szCs w:val="20"/>
        </w:rPr>
        <w:t xml:space="preserve"> </w:t>
      </w:r>
      <w:r w:rsidRPr="00B004EE">
        <w:rPr>
          <w:rFonts w:ascii="Tahoma" w:hAnsi="Tahoma" w:cs="Tahoma"/>
          <w:sz w:val="20"/>
          <w:szCs w:val="20"/>
        </w:rPr>
        <w:t>ayant</w:t>
      </w:r>
      <w:r w:rsidR="00DB1635" w:rsidRPr="00B004EE">
        <w:rPr>
          <w:rFonts w:ascii="Tahoma" w:hAnsi="Tahoma" w:cs="Tahoma"/>
          <w:spacing w:val="31"/>
          <w:sz w:val="20"/>
          <w:szCs w:val="20"/>
        </w:rPr>
        <w:t xml:space="preserve"> </w:t>
      </w:r>
      <w:r w:rsidRPr="00B004EE">
        <w:rPr>
          <w:rFonts w:ascii="Tahoma" w:hAnsi="Tahoma" w:cs="Tahoma"/>
          <w:sz w:val="20"/>
          <w:szCs w:val="20"/>
        </w:rPr>
        <w:t>obtempéré</w:t>
      </w:r>
      <w:r w:rsidR="00DB1635" w:rsidRPr="00B004EE">
        <w:rPr>
          <w:rFonts w:ascii="Tahoma" w:hAnsi="Tahoma" w:cs="Tahoma"/>
          <w:spacing w:val="31"/>
          <w:sz w:val="20"/>
          <w:szCs w:val="20"/>
        </w:rPr>
        <w:t xml:space="preserve"> </w:t>
      </w:r>
      <w:r w:rsidRPr="00B004EE">
        <w:rPr>
          <w:rFonts w:ascii="Tahoma" w:hAnsi="Tahoma" w:cs="Tahoma"/>
          <w:sz w:val="20"/>
          <w:szCs w:val="20"/>
        </w:rPr>
        <w:t>à</w:t>
      </w:r>
      <w:r w:rsidR="00DB1635" w:rsidRPr="00B004EE">
        <w:rPr>
          <w:rFonts w:ascii="Tahoma" w:hAnsi="Tahoma" w:cs="Tahoma"/>
          <w:spacing w:val="32"/>
          <w:sz w:val="20"/>
          <w:szCs w:val="20"/>
        </w:rPr>
        <w:t xml:space="preserve"> </w:t>
      </w:r>
      <w:r w:rsidRPr="00B004EE">
        <w:rPr>
          <w:rFonts w:ascii="Tahoma" w:hAnsi="Tahoma" w:cs="Tahoma"/>
          <w:sz w:val="20"/>
          <w:szCs w:val="20"/>
        </w:rPr>
        <w:t>l'ordre</w:t>
      </w:r>
      <w:r w:rsidR="00DB1635" w:rsidRPr="00B004EE">
        <w:rPr>
          <w:rFonts w:ascii="Tahoma" w:hAnsi="Tahoma" w:cs="Tahoma"/>
          <w:spacing w:val="31"/>
          <w:sz w:val="20"/>
          <w:szCs w:val="20"/>
        </w:rPr>
        <w:t xml:space="preserve"> </w:t>
      </w:r>
      <w:r w:rsidRPr="00B004EE">
        <w:rPr>
          <w:rFonts w:ascii="Tahoma" w:hAnsi="Tahoma" w:cs="Tahoma"/>
          <w:sz w:val="20"/>
          <w:szCs w:val="20"/>
        </w:rPr>
        <w:t>de</w:t>
      </w:r>
      <w:r w:rsidR="00DB1635" w:rsidRPr="00B004EE">
        <w:rPr>
          <w:rFonts w:ascii="Tahoma" w:hAnsi="Tahoma" w:cs="Tahoma"/>
          <w:w w:val="94"/>
          <w:sz w:val="20"/>
          <w:szCs w:val="20"/>
        </w:rPr>
        <w:t xml:space="preserve"> </w:t>
      </w:r>
      <w:r w:rsidRPr="00B004EE">
        <w:rPr>
          <w:rFonts w:ascii="Tahoma" w:hAnsi="Tahoma" w:cs="Tahoma"/>
          <w:sz w:val="20"/>
          <w:szCs w:val="20"/>
        </w:rPr>
        <w:t>stopper.</w:t>
      </w:r>
    </w:p>
    <w:p w14:paraId="41A3B047" w14:textId="77777777" w:rsidR="001E7C3C" w:rsidRPr="00B004EE" w:rsidRDefault="001E7C3C" w:rsidP="00B004EE">
      <w:pPr>
        <w:rPr>
          <w:rFonts w:ascii="Tahoma" w:eastAsia="American Typewriter" w:hAnsi="Tahoma" w:cs="Tahoma"/>
          <w:sz w:val="20"/>
          <w:szCs w:val="20"/>
        </w:rPr>
      </w:pPr>
    </w:p>
    <w:p w14:paraId="3FAE61DE" w14:textId="65F7487B" w:rsidR="001E7C3C" w:rsidRPr="00B004EE" w:rsidRDefault="001E7C3C" w:rsidP="00B004EE">
      <w:pPr>
        <w:pStyle w:val="Corpsdetexte"/>
        <w:ind w:right="164"/>
        <w:rPr>
          <w:rFonts w:ascii="Tahoma" w:hAnsi="Tahoma" w:cs="Tahoma"/>
          <w:sz w:val="20"/>
          <w:szCs w:val="20"/>
        </w:rPr>
      </w:pPr>
      <w:r w:rsidRPr="00B004EE">
        <w:rPr>
          <w:rFonts w:ascii="Tahoma" w:hAnsi="Tahoma" w:cs="Tahoma"/>
          <w:sz w:val="20"/>
          <w:szCs w:val="20"/>
        </w:rPr>
        <w:t>Une</w:t>
      </w:r>
      <w:r w:rsidR="00DB1635" w:rsidRPr="00B004EE">
        <w:rPr>
          <w:rFonts w:ascii="Tahoma" w:hAnsi="Tahoma" w:cs="Tahoma"/>
          <w:spacing w:val="21"/>
          <w:sz w:val="20"/>
          <w:szCs w:val="20"/>
        </w:rPr>
        <w:t xml:space="preserve"> </w:t>
      </w:r>
      <w:r w:rsidRPr="00B004EE">
        <w:rPr>
          <w:rFonts w:ascii="Tahoma" w:hAnsi="Tahoma" w:cs="Tahoma"/>
          <w:sz w:val="20"/>
          <w:szCs w:val="20"/>
        </w:rPr>
        <w:t>équipe</w:t>
      </w:r>
      <w:r w:rsidR="00DB1635" w:rsidRPr="00B004EE">
        <w:rPr>
          <w:rFonts w:ascii="Tahoma" w:hAnsi="Tahoma" w:cs="Tahoma"/>
          <w:spacing w:val="21"/>
          <w:sz w:val="20"/>
          <w:szCs w:val="20"/>
        </w:rPr>
        <w:t xml:space="preserve"> </w:t>
      </w:r>
      <w:r w:rsidRPr="00B004EE">
        <w:rPr>
          <w:rFonts w:ascii="Tahoma" w:hAnsi="Tahoma" w:cs="Tahoma"/>
          <w:sz w:val="20"/>
          <w:szCs w:val="20"/>
        </w:rPr>
        <w:t>de</w:t>
      </w:r>
      <w:r w:rsidR="00DB1635" w:rsidRPr="00B004EE">
        <w:rPr>
          <w:rFonts w:ascii="Tahoma" w:hAnsi="Tahoma" w:cs="Tahoma"/>
          <w:spacing w:val="21"/>
          <w:sz w:val="20"/>
          <w:szCs w:val="20"/>
        </w:rPr>
        <w:t xml:space="preserve"> </w:t>
      </w:r>
      <w:r w:rsidRPr="00B004EE">
        <w:rPr>
          <w:rFonts w:ascii="Tahoma" w:hAnsi="Tahoma" w:cs="Tahoma"/>
          <w:sz w:val="20"/>
          <w:szCs w:val="20"/>
        </w:rPr>
        <w:t>contrôleurs</w:t>
      </w:r>
      <w:r w:rsidR="00DB1635" w:rsidRPr="00B004EE">
        <w:rPr>
          <w:rFonts w:ascii="Tahoma" w:hAnsi="Tahoma" w:cs="Tahoma"/>
          <w:spacing w:val="21"/>
          <w:sz w:val="20"/>
          <w:szCs w:val="20"/>
        </w:rPr>
        <w:t xml:space="preserve"> </w:t>
      </w:r>
      <w:r w:rsidRPr="00B004EE">
        <w:rPr>
          <w:rFonts w:ascii="Tahoma" w:hAnsi="Tahoma" w:cs="Tahoma"/>
          <w:sz w:val="20"/>
          <w:szCs w:val="20"/>
        </w:rPr>
        <w:t>est</w:t>
      </w:r>
      <w:r w:rsidR="00DB1635" w:rsidRPr="00B004EE">
        <w:rPr>
          <w:rFonts w:ascii="Tahoma" w:hAnsi="Tahoma" w:cs="Tahoma"/>
          <w:spacing w:val="21"/>
          <w:sz w:val="20"/>
          <w:szCs w:val="20"/>
        </w:rPr>
        <w:t xml:space="preserve"> </w:t>
      </w:r>
      <w:r w:rsidRPr="00B004EE">
        <w:rPr>
          <w:rFonts w:ascii="Tahoma" w:hAnsi="Tahoma" w:cs="Tahoma"/>
          <w:sz w:val="20"/>
          <w:szCs w:val="20"/>
        </w:rPr>
        <w:t>envoyée</w:t>
      </w:r>
      <w:r w:rsidR="00DB1635" w:rsidRPr="00B004EE">
        <w:rPr>
          <w:rFonts w:ascii="Tahoma" w:hAnsi="Tahoma" w:cs="Tahoma"/>
          <w:spacing w:val="21"/>
          <w:sz w:val="20"/>
          <w:szCs w:val="20"/>
        </w:rPr>
        <w:t xml:space="preserve"> </w:t>
      </w:r>
      <w:r w:rsidRPr="00B004EE">
        <w:rPr>
          <w:rFonts w:ascii="Tahoma" w:hAnsi="Tahoma" w:cs="Tahoma"/>
          <w:sz w:val="20"/>
          <w:szCs w:val="20"/>
        </w:rPr>
        <w:t>à</w:t>
      </w:r>
      <w:r w:rsidR="00DB1635" w:rsidRPr="00B004EE">
        <w:rPr>
          <w:rFonts w:ascii="Tahoma" w:hAnsi="Tahoma" w:cs="Tahoma"/>
          <w:spacing w:val="22"/>
          <w:sz w:val="20"/>
          <w:szCs w:val="20"/>
        </w:rPr>
        <w:t xml:space="preserve"> </w:t>
      </w:r>
      <w:r w:rsidRPr="00B004EE">
        <w:rPr>
          <w:rFonts w:ascii="Tahoma" w:hAnsi="Tahoma" w:cs="Tahoma"/>
          <w:sz w:val="20"/>
          <w:szCs w:val="20"/>
        </w:rPr>
        <w:t>bord</w:t>
      </w:r>
      <w:r w:rsidR="00DB1635" w:rsidRPr="00B004EE">
        <w:rPr>
          <w:rFonts w:ascii="Tahoma" w:hAnsi="Tahoma" w:cs="Tahoma"/>
          <w:spacing w:val="21"/>
          <w:sz w:val="20"/>
          <w:szCs w:val="20"/>
        </w:rPr>
        <w:t xml:space="preserve"> </w:t>
      </w:r>
      <w:r w:rsidRPr="00B004EE">
        <w:rPr>
          <w:rFonts w:ascii="Tahoma" w:hAnsi="Tahoma" w:cs="Tahoma"/>
          <w:sz w:val="20"/>
          <w:szCs w:val="20"/>
        </w:rPr>
        <w:t>du</w:t>
      </w:r>
      <w:r w:rsidR="00DB1635" w:rsidRPr="00B004EE">
        <w:rPr>
          <w:rFonts w:ascii="Tahoma" w:hAnsi="Tahoma" w:cs="Tahoma"/>
          <w:spacing w:val="21"/>
          <w:sz w:val="20"/>
          <w:szCs w:val="20"/>
        </w:rPr>
        <w:t xml:space="preserve"> </w:t>
      </w:r>
      <w:r w:rsidRPr="00B004EE">
        <w:rPr>
          <w:rFonts w:ascii="Tahoma" w:hAnsi="Tahoma" w:cs="Tahoma"/>
          <w:sz w:val="20"/>
          <w:szCs w:val="20"/>
        </w:rPr>
        <w:t>navire</w:t>
      </w:r>
      <w:r w:rsidR="00DB1635" w:rsidRPr="00B004EE">
        <w:rPr>
          <w:rFonts w:ascii="Tahoma" w:hAnsi="Tahoma" w:cs="Tahoma"/>
          <w:spacing w:val="21"/>
          <w:sz w:val="20"/>
          <w:szCs w:val="20"/>
        </w:rPr>
        <w:t xml:space="preserve"> </w:t>
      </w:r>
      <w:r w:rsidRPr="00B004EE">
        <w:rPr>
          <w:rFonts w:ascii="Tahoma" w:hAnsi="Tahoma" w:cs="Tahoma"/>
          <w:sz w:val="20"/>
          <w:szCs w:val="20"/>
        </w:rPr>
        <w:t>de</w:t>
      </w:r>
      <w:r w:rsidR="00DB1635" w:rsidRPr="00B004EE">
        <w:rPr>
          <w:rFonts w:ascii="Tahoma" w:hAnsi="Tahoma" w:cs="Tahoma"/>
          <w:spacing w:val="21"/>
          <w:sz w:val="20"/>
          <w:szCs w:val="20"/>
        </w:rPr>
        <w:t xml:space="preserve"> </w:t>
      </w:r>
      <w:r w:rsidRPr="00B004EE">
        <w:rPr>
          <w:rFonts w:ascii="Tahoma" w:hAnsi="Tahoma" w:cs="Tahoma"/>
          <w:sz w:val="20"/>
          <w:szCs w:val="20"/>
        </w:rPr>
        <w:t>pêche</w:t>
      </w:r>
      <w:r w:rsidR="00DB1635" w:rsidRPr="00B004EE">
        <w:rPr>
          <w:rFonts w:ascii="Tahoma" w:hAnsi="Tahoma" w:cs="Tahoma"/>
          <w:spacing w:val="20"/>
          <w:sz w:val="20"/>
          <w:szCs w:val="20"/>
        </w:rPr>
        <w:t xml:space="preserve"> </w:t>
      </w:r>
      <w:r w:rsidRPr="00B004EE">
        <w:rPr>
          <w:rFonts w:ascii="Tahoma" w:hAnsi="Tahoma" w:cs="Tahoma"/>
          <w:sz w:val="20"/>
          <w:szCs w:val="20"/>
        </w:rPr>
        <w:t>pour</w:t>
      </w:r>
      <w:r w:rsidR="00DB1635" w:rsidRPr="00B004EE">
        <w:rPr>
          <w:rFonts w:ascii="Tahoma" w:hAnsi="Tahoma" w:cs="Tahoma"/>
          <w:spacing w:val="19"/>
          <w:sz w:val="20"/>
          <w:szCs w:val="20"/>
        </w:rPr>
        <w:t xml:space="preserve"> </w:t>
      </w:r>
      <w:r w:rsidRPr="00B004EE">
        <w:rPr>
          <w:rFonts w:ascii="Tahoma" w:hAnsi="Tahoma" w:cs="Tahoma"/>
          <w:sz w:val="20"/>
          <w:szCs w:val="20"/>
        </w:rPr>
        <w:t>vérifier</w:t>
      </w:r>
      <w:r w:rsidR="00DB1635" w:rsidRPr="00B004EE">
        <w:rPr>
          <w:rFonts w:ascii="Tahoma" w:hAnsi="Tahoma" w:cs="Tahoma"/>
          <w:w w:val="95"/>
          <w:sz w:val="20"/>
          <w:szCs w:val="20"/>
        </w:rPr>
        <w:t xml:space="preserve"> </w:t>
      </w:r>
      <w:r w:rsidRPr="00B004EE">
        <w:rPr>
          <w:rFonts w:ascii="Tahoma" w:hAnsi="Tahoma" w:cs="Tahoma"/>
          <w:sz w:val="20"/>
          <w:szCs w:val="20"/>
        </w:rPr>
        <w:t>notamment</w:t>
      </w:r>
      <w:r w:rsidR="00DB1635" w:rsidRPr="00B004EE">
        <w:rPr>
          <w:rFonts w:ascii="Tahoma" w:hAnsi="Tahoma" w:cs="Tahoma"/>
          <w:spacing w:val="-14"/>
          <w:sz w:val="20"/>
          <w:szCs w:val="20"/>
        </w:rPr>
        <w:t xml:space="preserve"> </w:t>
      </w:r>
      <w:r w:rsidRPr="00B004EE">
        <w:rPr>
          <w:rFonts w:ascii="Tahoma" w:hAnsi="Tahoma" w:cs="Tahoma"/>
          <w:sz w:val="20"/>
          <w:szCs w:val="20"/>
        </w:rPr>
        <w:t>les</w:t>
      </w:r>
      <w:r w:rsidR="00DB1635" w:rsidRPr="00B004EE">
        <w:rPr>
          <w:rFonts w:ascii="Tahoma" w:hAnsi="Tahoma" w:cs="Tahoma"/>
          <w:spacing w:val="-14"/>
          <w:sz w:val="20"/>
          <w:szCs w:val="20"/>
        </w:rPr>
        <w:t xml:space="preserve"> </w:t>
      </w:r>
      <w:r w:rsidRPr="00B004EE">
        <w:rPr>
          <w:rFonts w:ascii="Tahoma" w:hAnsi="Tahoma" w:cs="Tahoma"/>
          <w:sz w:val="20"/>
          <w:szCs w:val="20"/>
        </w:rPr>
        <w:t>documents</w:t>
      </w:r>
      <w:r w:rsidR="00DB1635" w:rsidRPr="00B004EE">
        <w:rPr>
          <w:rFonts w:ascii="Tahoma" w:hAnsi="Tahoma" w:cs="Tahoma"/>
          <w:spacing w:val="-14"/>
          <w:sz w:val="20"/>
          <w:szCs w:val="20"/>
        </w:rPr>
        <w:t xml:space="preserve"> </w:t>
      </w:r>
      <w:r w:rsidRPr="00B004EE">
        <w:rPr>
          <w:rFonts w:ascii="Tahoma" w:hAnsi="Tahoma" w:cs="Tahoma"/>
          <w:sz w:val="20"/>
          <w:szCs w:val="20"/>
        </w:rPr>
        <w:t>de</w:t>
      </w:r>
      <w:r w:rsidR="00DB1635" w:rsidRPr="00B004EE">
        <w:rPr>
          <w:rFonts w:ascii="Tahoma" w:hAnsi="Tahoma" w:cs="Tahoma"/>
          <w:spacing w:val="-14"/>
          <w:sz w:val="20"/>
          <w:szCs w:val="20"/>
        </w:rPr>
        <w:t xml:space="preserve"> </w:t>
      </w:r>
      <w:r w:rsidRPr="00B004EE">
        <w:rPr>
          <w:rFonts w:ascii="Tahoma" w:hAnsi="Tahoma" w:cs="Tahoma"/>
          <w:sz w:val="20"/>
          <w:szCs w:val="20"/>
        </w:rPr>
        <w:t>bord</w:t>
      </w:r>
      <w:r w:rsidR="00DB1635" w:rsidRPr="00B004EE">
        <w:rPr>
          <w:rFonts w:ascii="Tahoma" w:hAnsi="Tahoma" w:cs="Tahoma"/>
          <w:spacing w:val="-14"/>
          <w:sz w:val="20"/>
          <w:szCs w:val="20"/>
        </w:rPr>
        <w:t xml:space="preserve"> </w:t>
      </w:r>
      <w:r w:rsidRPr="00B004EE">
        <w:rPr>
          <w:rFonts w:ascii="Tahoma" w:hAnsi="Tahoma" w:cs="Tahoma"/>
          <w:sz w:val="20"/>
          <w:szCs w:val="20"/>
        </w:rPr>
        <w:t>et</w:t>
      </w:r>
      <w:r w:rsidR="00DB1635" w:rsidRPr="00B004EE">
        <w:rPr>
          <w:rFonts w:ascii="Tahoma" w:hAnsi="Tahoma" w:cs="Tahoma"/>
          <w:spacing w:val="-14"/>
          <w:sz w:val="20"/>
          <w:szCs w:val="20"/>
        </w:rPr>
        <w:t xml:space="preserve"> </w:t>
      </w:r>
      <w:r w:rsidRPr="00B004EE">
        <w:rPr>
          <w:rFonts w:ascii="Tahoma" w:hAnsi="Tahoma" w:cs="Tahoma"/>
          <w:sz w:val="20"/>
          <w:szCs w:val="20"/>
        </w:rPr>
        <w:t>le</w:t>
      </w:r>
      <w:r w:rsidR="00DB1635" w:rsidRPr="00B004EE">
        <w:rPr>
          <w:rFonts w:ascii="Tahoma" w:hAnsi="Tahoma" w:cs="Tahoma"/>
          <w:spacing w:val="-14"/>
          <w:sz w:val="20"/>
          <w:szCs w:val="20"/>
        </w:rPr>
        <w:t xml:space="preserve"> </w:t>
      </w:r>
      <w:r w:rsidRPr="00B004EE">
        <w:rPr>
          <w:rFonts w:ascii="Tahoma" w:hAnsi="Tahoma" w:cs="Tahoma"/>
          <w:sz w:val="20"/>
          <w:szCs w:val="20"/>
        </w:rPr>
        <w:t>journal</w:t>
      </w:r>
      <w:r w:rsidR="00DB1635" w:rsidRPr="00B004EE">
        <w:rPr>
          <w:rFonts w:ascii="Tahoma" w:hAnsi="Tahoma" w:cs="Tahoma"/>
          <w:spacing w:val="-13"/>
          <w:sz w:val="20"/>
          <w:szCs w:val="20"/>
        </w:rPr>
        <w:t xml:space="preserve"> </w:t>
      </w:r>
      <w:r w:rsidRPr="00B004EE">
        <w:rPr>
          <w:rFonts w:ascii="Tahoma" w:hAnsi="Tahoma" w:cs="Tahoma"/>
          <w:sz w:val="20"/>
          <w:szCs w:val="20"/>
        </w:rPr>
        <w:t>de</w:t>
      </w:r>
      <w:r w:rsidR="00DB1635" w:rsidRPr="00B004EE">
        <w:rPr>
          <w:rFonts w:ascii="Tahoma" w:hAnsi="Tahoma" w:cs="Tahoma"/>
          <w:spacing w:val="-15"/>
          <w:sz w:val="20"/>
          <w:szCs w:val="20"/>
        </w:rPr>
        <w:t xml:space="preserve"> </w:t>
      </w:r>
      <w:r w:rsidRPr="00B004EE">
        <w:rPr>
          <w:rFonts w:ascii="Tahoma" w:hAnsi="Tahoma" w:cs="Tahoma"/>
          <w:sz w:val="20"/>
          <w:szCs w:val="20"/>
        </w:rPr>
        <w:t>pêche,</w:t>
      </w:r>
      <w:r w:rsidR="00DB1635" w:rsidRPr="00B004EE">
        <w:rPr>
          <w:rFonts w:ascii="Tahoma" w:hAnsi="Tahoma" w:cs="Tahoma"/>
          <w:spacing w:val="-15"/>
          <w:sz w:val="20"/>
          <w:szCs w:val="20"/>
        </w:rPr>
        <w:t xml:space="preserve"> </w:t>
      </w:r>
      <w:r w:rsidRPr="00B004EE">
        <w:rPr>
          <w:rFonts w:ascii="Tahoma" w:hAnsi="Tahoma" w:cs="Tahoma"/>
          <w:sz w:val="20"/>
          <w:szCs w:val="20"/>
        </w:rPr>
        <w:t>les</w:t>
      </w:r>
      <w:r w:rsidR="00DB1635" w:rsidRPr="00B004EE">
        <w:rPr>
          <w:rFonts w:ascii="Tahoma" w:hAnsi="Tahoma" w:cs="Tahoma"/>
          <w:spacing w:val="-15"/>
          <w:sz w:val="20"/>
          <w:szCs w:val="20"/>
        </w:rPr>
        <w:t xml:space="preserve"> </w:t>
      </w:r>
      <w:r w:rsidRPr="00B004EE">
        <w:rPr>
          <w:rFonts w:ascii="Tahoma" w:hAnsi="Tahoma" w:cs="Tahoma"/>
          <w:sz w:val="20"/>
          <w:szCs w:val="20"/>
        </w:rPr>
        <w:t>engins</w:t>
      </w:r>
      <w:r w:rsidR="00DB1635" w:rsidRPr="00B004EE">
        <w:rPr>
          <w:rFonts w:ascii="Tahoma" w:hAnsi="Tahoma" w:cs="Tahoma"/>
          <w:spacing w:val="-16"/>
          <w:sz w:val="20"/>
          <w:szCs w:val="20"/>
        </w:rPr>
        <w:t xml:space="preserve"> </w:t>
      </w:r>
      <w:r w:rsidRPr="00B004EE">
        <w:rPr>
          <w:rFonts w:ascii="Tahoma" w:hAnsi="Tahoma" w:cs="Tahoma"/>
          <w:sz w:val="20"/>
          <w:szCs w:val="20"/>
        </w:rPr>
        <w:t>de</w:t>
      </w:r>
      <w:r w:rsidR="00DB1635" w:rsidRPr="00B004EE">
        <w:rPr>
          <w:rFonts w:ascii="Tahoma" w:hAnsi="Tahoma" w:cs="Tahoma"/>
          <w:spacing w:val="-15"/>
          <w:sz w:val="20"/>
          <w:szCs w:val="20"/>
        </w:rPr>
        <w:t xml:space="preserve"> </w:t>
      </w:r>
      <w:r w:rsidRPr="00B004EE">
        <w:rPr>
          <w:rFonts w:ascii="Tahoma" w:hAnsi="Tahoma" w:cs="Tahoma"/>
          <w:sz w:val="20"/>
          <w:szCs w:val="20"/>
        </w:rPr>
        <w:t>pêche</w:t>
      </w:r>
      <w:r w:rsidR="00DB1635" w:rsidRPr="00B004EE">
        <w:rPr>
          <w:rFonts w:ascii="Tahoma" w:hAnsi="Tahoma" w:cs="Tahoma"/>
          <w:spacing w:val="-15"/>
          <w:sz w:val="20"/>
          <w:szCs w:val="20"/>
        </w:rPr>
        <w:t xml:space="preserve"> </w:t>
      </w:r>
      <w:r w:rsidRPr="00B004EE">
        <w:rPr>
          <w:rFonts w:ascii="Tahoma" w:hAnsi="Tahoma" w:cs="Tahoma"/>
          <w:sz w:val="20"/>
          <w:szCs w:val="20"/>
        </w:rPr>
        <w:t>et</w:t>
      </w:r>
      <w:r w:rsidR="00DB1635" w:rsidRPr="00B004EE">
        <w:rPr>
          <w:rFonts w:ascii="Tahoma" w:hAnsi="Tahoma" w:cs="Tahoma"/>
          <w:spacing w:val="-15"/>
          <w:sz w:val="20"/>
          <w:szCs w:val="20"/>
        </w:rPr>
        <w:t xml:space="preserve"> </w:t>
      </w:r>
      <w:r w:rsidRPr="00B004EE">
        <w:rPr>
          <w:rFonts w:ascii="Tahoma" w:hAnsi="Tahoma" w:cs="Tahoma"/>
          <w:sz w:val="20"/>
          <w:szCs w:val="20"/>
        </w:rPr>
        <w:t>les</w:t>
      </w:r>
      <w:r w:rsidR="00DB1635" w:rsidRPr="00B004EE">
        <w:rPr>
          <w:rFonts w:ascii="Tahoma" w:hAnsi="Tahoma" w:cs="Tahoma"/>
          <w:w w:val="94"/>
          <w:sz w:val="20"/>
          <w:szCs w:val="20"/>
        </w:rPr>
        <w:t xml:space="preserve"> </w:t>
      </w:r>
      <w:r w:rsidRPr="00B004EE">
        <w:rPr>
          <w:rFonts w:ascii="Tahoma" w:hAnsi="Tahoma" w:cs="Tahoma"/>
          <w:sz w:val="20"/>
          <w:szCs w:val="20"/>
        </w:rPr>
        <w:t>captures.</w:t>
      </w:r>
      <w:r w:rsidR="00DB1635" w:rsidRPr="00B004EE">
        <w:rPr>
          <w:rFonts w:ascii="Tahoma" w:hAnsi="Tahoma" w:cs="Tahoma"/>
          <w:spacing w:val="48"/>
          <w:sz w:val="20"/>
          <w:szCs w:val="20"/>
        </w:rPr>
        <w:t xml:space="preserve"> </w:t>
      </w:r>
      <w:r w:rsidRPr="00B004EE">
        <w:rPr>
          <w:rFonts w:ascii="Tahoma" w:hAnsi="Tahoma" w:cs="Tahoma"/>
          <w:sz w:val="20"/>
          <w:szCs w:val="20"/>
        </w:rPr>
        <w:t>Lorsqu'il</w:t>
      </w:r>
      <w:r w:rsidR="00DB1635" w:rsidRPr="00B004EE">
        <w:rPr>
          <w:rFonts w:ascii="Tahoma" w:hAnsi="Tahoma" w:cs="Tahoma"/>
          <w:spacing w:val="49"/>
          <w:sz w:val="20"/>
          <w:szCs w:val="20"/>
        </w:rPr>
        <w:t xml:space="preserve"> </w:t>
      </w:r>
      <w:r w:rsidRPr="00B004EE">
        <w:rPr>
          <w:rFonts w:ascii="Tahoma" w:hAnsi="Tahoma" w:cs="Tahoma"/>
          <w:sz w:val="20"/>
          <w:szCs w:val="20"/>
        </w:rPr>
        <w:t>apparaît</w:t>
      </w:r>
      <w:r w:rsidR="00DB1635" w:rsidRPr="00B004EE">
        <w:rPr>
          <w:rFonts w:ascii="Tahoma" w:hAnsi="Tahoma" w:cs="Tahoma"/>
          <w:spacing w:val="48"/>
          <w:sz w:val="20"/>
          <w:szCs w:val="20"/>
        </w:rPr>
        <w:t xml:space="preserve"> </w:t>
      </w:r>
      <w:r w:rsidRPr="00B004EE">
        <w:rPr>
          <w:rFonts w:ascii="Tahoma" w:hAnsi="Tahoma" w:cs="Tahoma"/>
          <w:sz w:val="20"/>
          <w:szCs w:val="20"/>
        </w:rPr>
        <w:t>qu'une</w:t>
      </w:r>
      <w:r w:rsidR="00DB1635" w:rsidRPr="00B004EE">
        <w:rPr>
          <w:rFonts w:ascii="Tahoma" w:hAnsi="Tahoma" w:cs="Tahoma"/>
          <w:spacing w:val="47"/>
          <w:sz w:val="20"/>
          <w:szCs w:val="20"/>
        </w:rPr>
        <w:t xml:space="preserve"> </w:t>
      </w:r>
      <w:r w:rsidRPr="00B004EE">
        <w:rPr>
          <w:rFonts w:ascii="Tahoma" w:hAnsi="Tahoma" w:cs="Tahoma"/>
          <w:sz w:val="20"/>
          <w:szCs w:val="20"/>
        </w:rPr>
        <w:t>infraction</w:t>
      </w:r>
      <w:r w:rsidR="00DB1635" w:rsidRPr="00B004EE">
        <w:rPr>
          <w:rFonts w:ascii="Tahoma" w:hAnsi="Tahoma" w:cs="Tahoma"/>
          <w:spacing w:val="46"/>
          <w:sz w:val="20"/>
          <w:szCs w:val="20"/>
        </w:rPr>
        <w:t xml:space="preserve"> </w:t>
      </w:r>
      <w:r w:rsidRPr="00B004EE">
        <w:rPr>
          <w:rFonts w:ascii="Tahoma" w:hAnsi="Tahoma" w:cs="Tahoma"/>
          <w:sz w:val="20"/>
          <w:szCs w:val="20"/>
        </w:rPr>
        <w:t>a</w:t>
      </w:r>
      <w:r w:rsidR="00DB1635" w:rsidRPr="00B004EE">
        <w:rPr>
          <w:rFonts w:ascii="Tahoma" w:hAnsi="Tahoma" w:cs="Tahoma"/>
          <w:spacing w:val="46"/>
          <w:sz w:val="20"/>
          <w:szCs w:val="20"/>
        </w:rPr>
        <w:t xml:space="preserve"> </w:t>
      </w:r>
      <w:r w:rsidRPr="00B004EE">
        <w:rPr>
          <w:rFonts w:ascii="Tahoma" w:hAnsi="Tahoma" w:cs="Tahoma"/>
          <w:sz w:val="20"/>
          <w:szCs w:val="20"/>
        </w:rPr>
        <w:t>été</w:t>
      </w:r>
      <w:r w:rsidR="00DB1635" w:rsidRPr="00B004EE">
        <w:rPr>
          <w:rFonts w:ascii="Tahoma" w:hAnsi="Tahoma" w:cs="Tahoma"/>
          <w:spacing w:val="46"/>
          <w:sz w:val="20"/>
          <w:szCs w:val="20"/>
        </w:rPr>
        <w:t xml:space="preserve"> </w:t>
      </w:r>
      <w:r w:rsidRPr="00B004EE">
        <w:rPr>
          <w:rFonts w:ascii="Tahoma" w:hAnsi="Tahoma" w:cs="Tahoma"/>
          <w:sz w:val="20"/>
          <w:szCs w:val="20"/>
        </w:rPr>
        <w:t>commise,</w:t>
      </w:r>
      <w:r w:rsidR="00DB1635" w:rsidRPr="00B004EE">
        <w:rPr>
          <w:rFonts w:ascii="Tahoma" w:hAnsi="Tahoma" w:cs="Tahoma"/>
          <w:spacing w:val="46"/>
          <w:sz w:val="20"/>
          <w:szCs w:val="20"/>
        </w:rPr>
        <w:t xml:space="preserve"> </w:t>
      </w:r>
      <w:r w:rsidRPr="00B004EE">
        <w:rPr>
          <w:rFonts w:ascii="Tahoma" w:hAnsi="Tahoma" w:cs="Tahoma"/>
          <w:sz w:val="20"/>
          <w:szCs w:val="20"/>
        </w:rPr>
        <w:t>le</w:t>
      </w:r>
      <w:r w:rsidR="00DB1635" w:rsidRPr="00B004EE">
        <w:rPr>
          <w:rFonts w:ascii="Tahoma" w:hAnsi="Tahoma" w:cs="Tahoma"/>
          <w:spacing w:val="46"/>
          <w:sz w:val="20"/>
          <w:szCs w:val="20"/>
        </w:rPr>
        <w:t xml:space="preserve"> </w:t>
      </w:r>
      <w:r w:rsidRPr="00B004EE">
        <w:rPr>
          <w:rFonts w:ascii="Tahoma" w:hAnsi="Tahoma" w:cs="Tahoma"/>
          <w:sz w:val="20"/>
          <w:szCs w:val="20"/>
        </w:rPr>
        <w:t>chef</w:t>
      </w:r>
      <w:r w:rsidR="00DB1635" w:rsidRPr="00B004EE">
        <w:rPr>
          <w:rFonts w:ascii="Tahoma" w:hAnsi="Tahoma" w:cs="Tahoma"/>
          <w:spacing w:val="45"/>
          <w:sz w:val="20"/>
          <w:szCs w:val="20"/>
        </w:rPr>
        <w:t xml:space="preserve"> </w:t>
      </w:r>
      <w:r w:rsidRPr="00B004EE">
        <w:rPr>
          <w:rFonts w:ascii="Tahoma" w:hAnsi="Tahoma" w:cs="Tahoma"/>
          <w:sz w:val="20"/>
          <w:szCs w:val="20"/>
        </w:rPr>
        <w:t>d'équipe</w:t>
      </w:r>
      <w:r w:rsidR="00DB1635" w:rsidRPr="00B004EE">
        <w:rPr>
          <w:rFonts w:ascii="Tahoma" w:hAnsi="Tahoma" w:cs="Tahoma"/>
          <w:w w:val="94"/>
          <w:sz w:val="20"/>
          <w:szCs w:val="20"/>
        </w:rPr>
        <w:t xml:space="preserve"> </w:t>
      </w:r>
      <w:r w:rsidRPr="00B004EE">
        <w:rPr>
          <w:rFonts w:ascii="Tahoma" w:hAnsi="Tahoma" w:cs="Tahoma"/>
          <w:w w:val="95"/>
          <w:sz w:val="20"/>
          <w:szCs w:val="20"/>
        </w:rPr>
        <w:t>dresse</w:t>
      </w:r>
      <w:r w:rsidR="00DB1635" w:rsidRPr="00B004EE">
        <w:rPr>
          <w:rFonts w:ascii="Tahoma" w:hAnsi="Tahoma" w:cs="Tahoma"/>
          <w:w w:val="95"/>
          <w:sz w:val="20"/>
          <w:szCs w:val="20"/>
        </w:rPr>
        <w:t xml:space="preserve"> </w:t>
      </w:r>
      <w:r w:rsidRPr="00B004EE">
        <w:rPr>
          <w:rFonts w:ascii="Tahoma" w:hAnsi="Tahoma" w:cs="Tahoma"/>
          <w:w w:val="95"/>
          <w:sz w:val="20"/>
          <w:szCs w:val="20"/>
        </w:rPr>
        <w:t>procès-verbal</w:t>
      </w:r>
      <w:r w:rsidR="00DB1635" w:rsidRPr="00B004EE">
        <w:rPr>
          <w:rFonts w:ascii="Tahoma" w:hAnsi="Tahoma" w:cs="Tahoma"/>
          <w:w w:val="95"/>
          <w:sz w:val="20"/>
          <w:szCs w:val="20"/>
        </w:rPr>
        <w:t xml:space="preserve"> </w:t>
      </w:r>
      <w:r w:rsidRPr="00B004EE">
        <w:rPr>
          <w:rFonts w:ascii="Tahoma" w:hAnsi="Tahoma" w:cs="Tahoma"/>
          <w:w w:val="95"/>
          <w:sz w:val="20"/>
          <w:szCs w:val="20"/>
        </w:rPr>
        <w:t>de</w:t>
      </w:r>
      <w:r w:rsidR="00DB1635" w:rsidRPr="00B004EE">
        <w:rPr>
          <w:rFonts w:ascii="Tahoma" w:hAnsi="Tahoma" w:cs="Tahoma"/>
          <w:spacing w:val="12"/>
          <w:w w:val="95"/>
          <w:sz w:val="20"/>
          <w:szCs w:val="20"/>
        </w:rPr>
        <w:t xml:space="preserve"> </w:t>
      </w:r>
      <w:r w:rsidRPr="00B004EE">
        <w:rPr>
          <w:rFonts w:ascii="Tahoma" w:hAnsi="Tahoma" w:cs="Tahoma"/>
          <w:w w:val="95"/>
          <w:sz w:val="20"/>
          <w:szCs w:val="20"/>
        </w:rPr>
        <w:t>l'infraction.</w:t>
      </w:r>
    </w:p>
    <w:p w14:paraId="1FED65D4" w14:textId="77777777" w:rsidR="001E7C3C" w:rsidRPr="00B004EE" w:rsidRDefault="001E7C3C" w:rsidP="00B004EE">
      <w:pPr>
        <w:rPr>
          <w:rFonts w:ascii="Tahoma" w:eastAsia="American Typewriter" w:hAnsi="Tahoma" w:cs="Tahoma"/>
          <w:sz w:val="20"/>
          <w:szCs w:val="20"/>
        </w:rPr>
      </w:pPr>
    </w:p>
    <w:p w14:paraId="71684A3B" w14:textId="25D39535" w:rsidR="001E7C3C" w:rsidRPr="00B004EE" w:rsidRDefault="001E7C3C" w:rsidP="00B004EE">
      <w:pPr>
        <w:pStyle w:val="Corpsdetexte"/>
        <w:ind w:right="163"/>
        <w:rPr>
          <w:rFonts w:ascii="Tahoma" w:hAnsi="Tahoma" w:cs="Tahoma"/>
          <w:sz w:val="20"/>
          <w:szCs w:val="20"/>
        </w:rPr>
      </w:pP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procédure</w:t>
      </w:r>
      <w:r w:rsidR="00DB1635" w:rsidRPr="00B004EE">
        <w:rPr>
          <w:rFonts w:ascii="Tahoma" w:hAnsi="Tahoma" w:cs="Tahoma"/>
          <w:sz w:val="20"/>
          <w:szCs w:val="20"/>
        </w:rPr>
        <w:t xml:space="preserve"> </w:t>
      </w:r>
      <w:r w:rsidRPr="00B004EE">
        <w:rPr>
          <w:rFonts w:ascii="Tahoma" w:hAnsi="Tahoma" w:cs="Tahoma"/>
          <w:sz w:val="20"/>
          <w:szCs w:val="20"/>
        </w:rPr>
        <w:t>ordinaire</w:t>
      </w:r>
      <w:r w:rsidR="00DB1635" w:rsidRPr="00B004EE">
        <w:rPr>
          <w:rFonts w:ascii="Tahoma" w:hAnsi="Tahoma" w:cs="Tahoma"/>
          <w:sz w:val="20"/>
          <w:szCs w:val="20"/>
        </w:rPr>
        <w:t xml:space="preserve"> </w:t>
      </w:r>
      <w:r w:rsidRPr="00B004EE">
        <w:rPr>
          <w:rFonts w:ascii="Tahoma" w:hAnsi="Tahoma" w:cs="Tahoma"/>
          <w:sz w:val="20"/>
          <w:szCs w:val="20"/>
        </w:rPr>
        <w:t>comprend</w:t>
      </w:r>
      <w:r w:rsidR="00DB1635" w:rsidRPr="00B004EE">
        <w:rPr>
          <w:rFonts w:ascii="Tahoma" w:hAnsi="Tahoma" w:cs="Tahoma"/>
          <w:sz w:val="20"/>
          <w:szCs w:val="20"/>
        </w:rPr>
        <w:t xml:space="preserve"> </w:t>
      </w:r>
      <w:r w:rsidRPr="00B004EE">
        <w:rPr>
          <w:rFonts w:ascii="Tahoma" w:hAnsi="Tahoma" w:cs="Tahoma"/>
          <w:sz w:val="20"/>
          <w:szCs w:val="20"/>
        </w:rPr>
        <w:t>également</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constatation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pacing w:val="12"/>
          <w:sz w:val="20"/>
          <w:szCs w:val="20"/>
        </w:rPr>
        <w:t xml:space="preserve"> </w:t>
      </w:r>
      <w:r w:rsidRPr="00B004EE">
        <w:rPr>
          <w:rFonts w:ascii="Tahoma" w:hAnsi="Tahoma" w:cs="Tahoma"/>
          <w:sz w:val="20"/>
          <w:szCs w:val="20"/>
        </w:rPr>
        <w:t>infractions</w:t>
      </w:r>
      <w:r w:rsidR="00DB1635" w:rsidRPr="00B004EE">
        <w:rPr>
          <w:rFonts w:ascii="Tahoma" w:hAnsi="Tahoma" w:cs="Tahoma"/>
          <w:w w:val="93"/>
          <w:sz w:val="20"/>
          <w:szCs w:val="20"/>
        </w:rPr>
        <w:t xml:space="preserve"> </w:t>
      </w:r>
      <w:r w:rsidRPr="00B004EE">
        <w:rPr>
          <w:rFonts w:ascii="Tahoma" w:hAnsi="Tahoma" w:cs="Tahoma"/>
          <w:sz w:val="20"/>
          <w:szCs w:val="20"/>
        </w:rPr>
        <w:t>relevées</w:t>
      </w:r>
      <w:r w:rsidR="00DB1635" w:rsidRPr="00B004EE">
        <w:rPr>
          <w:rFonts w:ascii="Tahoma" w:hAnsi="Tahoma" w:cs="Tahoma"/>
          <w:spacing w:val="-20"/>
          <w:sz w:val="20"/>
          <w:szCs w:val="20"/>
        </w:rPr>
        <w:t xml:space="preserve"> </w:t>
      </w:r>
      <w:r w:rsidRPr="00B004EE">
        <w:rPr>
          <w:rFonts w:ascii="Tahoma" w:hAnsi="Tahoma" w:cs="Tahoma"/>
          <w:sz w:val="20"/>
          <w:szCs w:val="20"/>
        </w:rPr>
        <w:t>à</w:t>
      </w:r>
      <w:r w:rsidR="00DB1635" w:rsidRPr="00B004EE">
        <w:rPr>
          <w:rFonts w:ascii="Tahoma" w:hAnsi="Tahoma" w:cs="Tahoma"/>
          <w:spacing w:val="-20"/>
          <w:sz w:val="20"/>
          <w:szCs w:val="20"/>
        </w:rPr>
        <w:t xml:space="preserve"> </w:t>
      </w:r>
      <w:r w:rsidRPr="00B004EE">
        <w:rPr>
          <w:rFonts w:ascii="Tahoma" w:hAnsi="Tahoma" w:cs="Tahoma"/>
          <w:sz w:val="20"/>
          <w:szCs w:val="20"/>
        </w:rPr>
        <w:t>distance</w:t>
      </w:r>
      <w:r w:rsidR="00DB1635" w:rsidRPr="00B004EE">
        <w:rPr>
          <w:rFonts w:ascii="Tahoma" w:hAnsi="Tahoma" w:cs="Tahoma"/>
          <w:spacing w:val="-20"/>
          <w:sz w:val="20"/>
          <w:szCs w:val="20"/>
        </w:rPr>
        <w:t xml:space="preserve"> </w:t>
      </w:r>
      <w:r w:rsidRPr="00B004EE">
        <w:rPr>
          <w:rFonts w:ascii="Tahoma" w:hAnsi="Tahoma" w:cs="Tahoma"/>
          <w:sz w:val="20"/>
          <w:szCs w:val="20"/>
        </w:rPr>
        <w:t>par</w:t>
      </w:r>
      <w:r w:rsidR="00DB1635" w:rsidRPr="00B004EE">
        <w:rPr>
          <w:rFonts w:ascii="Tahoma" w:hAnsi="Tahoma" w:cs="Tahoma"/>
          <w:spacing w:val="-21"/>
          <w:sz w:val="20"/>
          <w:szCs w:val="20"/>
        </w:rPr>
        <w:t xml:space="preserve"> </w:t>
      </w:r>
      <w:r w:rsidRPr="00B004EE">
        <w:rPr>
          <w:rFonts w:ascii="Tahoma" w:hAnsi="Tahoma" w:cs="Tahoma"/>
          <w:sz w:val="20"/>
          <w:szCs w:val="20"/>
        </w:rPr>
        <w:t>des</w:t>
      </w:r>
      <w:r w:rsidR="00DB1635" w:rsidRPr="00B004EE">
        <w:rPr>
          <w:rFonts w:ascii="Tahoma" w:hAnsi="Tahoma" w:cs="Tahoma"/>
          <w:spacing w:val="-21"/>
          <w:sz w:val="20"/>
          <w:szCs w:val="20"/>
        </w:rPr>
        <w:t xml:space="preserve"> </w:t>
      </w:r>
      <w:r w:rsidRPr="00B004EE">
        <w:rPr>
          <w:rFonts w:ascii="Tahoma" w:hAnsi="Tahoma" w:cs="Tahoma"/>
          <w:sz w:val="20"/>
          <w:szCs w:val="20"/>
        </w:rPr>
        <w:t>moyens</w:t>
      </w:r>
      <w:r w:rsidR="00DB1635" w:rsidRPr="00B004EE">
        <w:rPr>
          <w:rFonts w:ascii="Tahoma" w:hAnsi="Tahoma" w:cs="Tahoma"/>
          <w:spacing w:val="-22"/>
          <w:sz w:val="20"/>
          <w:szCs w:val="20"/>
        </w:rPr>
        <w:t xml:space="preserve"> </w:t>
      </w:r>
      <w:r w:rsidRPr="00B004EE">
        <w:rPr>
          <w:rFonts w:ascii="Tahoma" w:hAnsi="Tahoma" w:cs="Tahoma"/>
          <w:sz w:val="20"/>
          <w:szCs w:val="20"/>
        </w:rPr>
        <w:t>techniques</w:t>
      </w:r>
      <w:r w:rsidR="00DB1635" w:rsidRPr="00B004EE">
        <w:rPr>
          <w:rFonts w:ascii="Tahoma" w:hAnsi="Tahoma" w:cs="Tahoma"/>
          <w:spacing w:val="-22"/>
          <w:sz w:val="20"/>
          <w:szCs w:val="20"/>
        </w:rPr>
        <w:t xml:space="preserve"> </w:t>
      </w:r>
      <w:r w:rsidRPr="00B004EE">
        <w:rPr>
          <w:rFonts w:ascii="Tahoma" w:hAnsi="Tahoma" w:cs="Tahoma"/>
          <w:sz w:val="20"/>
          <w:szCs w:val="20"/>
        </w:rPr>
        <w:t>de</w:t>
      </w:r>
      <w:r w:rsidR="00DB1635" w:rsidRPr="00B004EE">
        <w:rPr>
          <w:rFonts w:ascii="Tahoma" w:hAnsi="Tahoma" w:cs="Tahoma"/>
          <w:spacing w:val="-22"/>
          <w:sz w:val="20"/>
          <w:szCs w:val="20"/>
        </w:rPr>
        <w:t xml:space="preserve"> </w:t>
      </w:r>
      <w:r w:rsidRPr="00B004EE">
        <w:rPr>
          <w:rFonts w:ascii="Tahoma" w:hAnsi="Tahoma" w:cs="Tahoma"/>
          <w:sz w:val="20"/>
          <w:szCs w:val="20"/>
        </w:rPr>
        <w:t>surveillance</w:t>
      </w:r>
      <w:r w:rsidR="00DB1635" w:rsidRPr="00B004EE">
        <w:rPr>
          <w:rFonts w:ascii="Tahoma" w:hAnsi="Tahoma" w:cs="Tahoma"/>
          <w:spacing w:val="-22"/>
          <w:sz w:val="20"/>
          <w:szCs w:val="20"/>
        </w:rPr>
        <w:t xml:space="preserve"> </w:t>
      </w:r>
      <w:r w:rsidRPr="00B004EE">
        <w:rPr>
          <w:rFonts w:ascii="Tahoma" w:hAnsi="Tahoma" w:cs="Tahoma"/>
          <w:sz w:val="20"/>
          <w:szCs w:val="20"/>
        </w:rPr>
        <w:t>électronique</w:t>
      </w:r>
      <w:r w:rsidR="00DB1635" w:rsidRPr="00B004EE">
        <w:rPr>
          <w:rFonts w:ascii="Tahoma" w:hAnsi="Tahoma" w:cs="Tahoma"/>
          <w:spacing w:val="-22"/>
          <w:sz w:val="20"/>
          <w:szCs w:val="20"/>
        </w:rPr>
        <w:t xml:space="preserve"> </w:t>
      </w:r>
      <w:r w:rsidRPr="00B004EE">
        <w:rPr>
          <w:rFonts w:ascii="Tahoma" w:hAnsi="Tahoma" w:cs="Tahoma"/>
          <w:sz w:val="20"/>
          <w:szCs w:val="20"/>
        </w:rPr>
        <w:t>ou</w:t>
      </w:r>
      <w:r w:rsidR="00DB1635" w:rsidRPr="00B004EE">
        <w:rPr>
          <w:rFonts w:ascii="Tahoma" w:hAnsi="Tahoma" w:cs="Tahoma"/>
          <w:spacing w:val="-22"/>
          <w:sz w:val="20"/>
          <w:szCs w:val="20"/>
        </w:rPr>
        <w:t xml:space="preserve"> </w:t>
      </w:r>
      <w:r w:rsidRPr="00B004EE">
        <w:rPr>
          <w:rFonts w:ascii="Tahoma" w:hAnsi="Tahoma" w:cs="Tahoma"/>
          <w:sz w:val="20"/>
          <w:szCs w:val="20"/>
        </w:rPr>
        <w:t>par</w:t>
      </w:r>
      <w:r w:rsidR="00DB1635" w:rsidRPr="00B004EE">
        <w:rPr>
          <w:rFonts w:ascii="Tahoma" w:hAnsi="Tahoma" w:cs="Tahoma"/>
          <w:w w:val="90"/>
          <w:sz w:val="20"/>
          <w:szCs w:val="20"/>
        </w:rPr>
        <w:t xml:space="preserve"> </w:t>
      </w:r>
      <w:r w:rsidRPr="00B004EE">
        <w:rPr>
          <w:rFonts w:ascii="Tahoma" w:hAnsi="Tahoma" w:cs="Tahoma"/>
          <w:sz w:val="20"/>
          <w:szCs w:val="20"/>
        </w:rPr>
        <w:t>satellite</w:t>
      </w:r>
      <w:r w:rsidR="00DB1635" w:rsidRPr="00B004EE">
        <w:rPr>
          <w:rFonts w:ascii="Tahoma" w:hAnsi="Tahoma" w:cs="Tahoma"/>
          <w:spacing w:val="-11"/>
          <w:sz w:val="20"/>
          <w:szCs w:val="20"/>
        </w:rPr>
        <w:t xml:space="preserve"> </w:t>
      </w:r>
      <w:r w:rsidRPr="00B004EE">
        <w:rPr>
          <w:rFonts w:ascii="Tahoma" w:hAnsi="Tahoma" w:cs="Tahoma"/>
          <w:sz w:val="20"/>
          <w:szCs w:val="20"/>
        </w:rPr>
        <w:t>dont</w:t>
      </w:r>
      <w:r w:rsidR="00DB1635" w:rsidRPr="00B004EE">
        <w:rPr>
          <w:rFonts w:ascii="Tahoma" w:hAnsi="Tahoma" w:cs="Tahoma"/>
          <w:spacing w:val="-11"/>
          <w:sz w:val="20"/>
          <w:szCs w:val="20"/>
        </w:rPr>
        <w:t xml:space="preserve"> </w:t>
      </w:r>
      <w:r w:rsidRPr="00B004EE">
        <w:rPr>
          <w:rFonts w:ascii="Tahoma" w:hAnsi="Tahoma" w:cs="Tahoma"/>
          <w:sz w:val="20"/>
          <w:szCs w:val="20"/>
        </w:rPr>
        <w:t>la</w:t>
      </w:r>
      <w:r w:rsidR="00DB1635" w:rsidRPr="00B004EE">
        <w:rPr>
          <w:rFonts w:ascii="Tahoma" w:hAnsi="Tahoma" w:cs="Tahoma"/>
          <w:spacing w:val="-11"/>
          <w:sz w:val="20"/>
          <w:szCs w:val="20"/>
        </w:rPr>
        <w:t xml:space="preserve"> </w:t>
      </w:r>
      <w:r w:rsidRPr="00B004EE">
        <w:rPr>
          <w:rFonts w:ascii="Tahoma" w:hAnsi="Tahoma" w:cs="Tahoma"/>
          <w:sz w:val="20"/>
          <w:szCs w:val="20"/>
        </w:rPr>
        <w:t>fiabilité</w:t>
      </w:r>
      <w:r w:rsidR="00DB1635" w:rsidRPr="00B004EE">
        <w:rPr>
          <w:rFonts w:ascii="Tahoma" w:hAnsi="Tahoma" w:cs="Tahoma"/>
          <w:spacing w:val="-11"/>
          <w:sz w:val="20"/>
          <w:szCs w:val="20"/>
        </w:rPr>
        <w:t xml:space="preserve"> </w:t>
      </w:r>
      <w:r w:rsidRPr="00B004EE">
        <w:rPr>
          <w:rFonts w:ascii="Tahoma" w:hAnsi="Tahoma" w:cs="Tahoma"/>
          <w:sz w:val="20"/>
          <w:szCs w:val="20"/>
        </w:rPr>
        <w:t>est</w:t>
      </w:r>
      <w:r w:rsidR="00DB1635" w:rsidRPr="00B004EE">
        <w:rPr>
          <w:rFonts w:ascii="Tahoma" w:hAnsi="Tahoma" w:cs="Tahoma"/>
          <w:spacing w:val="-12"/>
          <w:sz w:val="20"/>
          <w:szCs w:val="20"/>
        </w:rPr>
        <w:t xml:space="preserve"> </w:t>
      </w:r>
      <w:r w:rsidRPr="00B004EE">
        <w:rPr>
          <w:rFonts w:ascii="Tahoma" w:hAnsi="Tahoma" w:cs="Tahoma"/>
          <w:sz w:val="20"/>
          <w:szCs w:val="20"/>
        </w:rPr>
        <w:t>communément</w:t>
      </w:r>
      <w:r w:rsidR="00DB1635" w:rsidRPr="00B004EE">
        <w:rPr>
          <w:rFonts w:ascii="Tahoma" w:hAnsi="Tahoma" w:cs="Tahoma"/>
          <w:spacing w:val="-11"/>
          <w:sz w:val="20"/>
          <w:szCs w:val="20"/>
        </w:rPr>
        <w:t xml:space="preserve"> </w:t>
      </w:r>
      <w:r w:rsidRPr="00B004EE">
        <w:rPr>
          <w:rFonts w:ascii="Tahoma" w:hAnsi="Tahoma" w:cs="Tahoma"/>
          <w:sz w:val="20"/>
          <w:szCs w:val="20"/>
        </w:rPr>
        <w:t>reconnue.</w:t>
      </w:r>
      <w:r w:rsidR="00DB1635" w:rsidRPr="00B004EE">
        <w:rPr>
          <w:rFonts w:ascii="Tahoma" w:hAnsi="Tahoma" w:cs="Tahoma"/>
          <w:spacing w:val="-11"/>
          <w:sz w:val="20"/>
          <w:szCs w:val="20"/>
        </w:rPr>
        <w:t xml:space="preserve"> </w:t>
      </w:r>
      <w:r w:rsidRPr="00B004EE">
        <w:rPr>
          <w:rFonts w:ascii="Tahoma" w:hAnsi="Tahoma" w:cs="Tahoma"/>
          <w:sz w:val="20"/>
          <w:szCs w:val="20"/>
        </w:rPr>
        <w:t>Ces</w:t>
      </w:r>
      <w:r w:rsidR="00DB1635" w:rsidRPr="00B004EE">
        <w:rPr>
          <w:rFonts w:ascii="Tahoma" w:hAnsi="Tahoma" w:cs="Tahoma"/>
          <w:spacing w:val="-12"/>
          <w:sz w:val="20"/>
          <w:szCs w:val="20"/>
        </w:rPr>
        <w:t xml:space="preserve"> </w:t>
      </w:r>
      <w:r w:rsidRPr="00B004EE">
        <w:rPr>
          <w:rFonts w:ascii="Tahoma" w:hAnsi="Tahoma" w:cs="Tahoma"/>
          <w:sz w:val="20"/>
          <w:szCs w:val="20"/>
        </w:rPr>
        <w:t>moyens</w:t>
      </w:r>
      <w:r w:rsidR="00DB1635" w:rsidRPr="00B004EE">
        <w:rPr>
          <w:rFonts w:ascii="Tahoma" w:hAnsi="Tahoma" w:cs="Tahoma"/>
          <w:spacing w:val="-13"/>
          <w:sz w:val="20"/>
          <w:szCs w:val="20"/>
        </w:rPr>
        <w:t xml:space="preserve"> </w:t>
      </w:r>
      <w:r w:rsidRPr="00B004EE">
        <w:rPr>
          <w:rFonts w:ascii="Tahoma" w:hAnsi="Tahoma" w:cs="Tahoma"/>
          <w:sz w:val="20"/>
          <w:szCs w:val="20"/>
        </w:rPr>
        <w:t>constituent</w:t>
      </w:r>
      <w:r w:rsidR="00DB1635" w:rsidRPr="00B004EE">
        <w:rPr>
          <w:rFonts w:ascii="Tahoma" w:hAnsi="Tahoma" w:cs="Tahoma"/>
          <w:spacing w:val="-12"/>
          <w:sz w:val="20"/>
          <w:szCs w:val="20"/>
        </w:rPr>
        <w:t xml:space="preserve"> </w:t>
      </w:r>
      <w:r w:rsidRPr="00B004EE">
        <w:rPr>
          <w:rFonts w:ascii="Tahoma" w:hAnsi="Tahoma" w:cs="Tahoma"/>
          <w:sz w:val="20"/>
          <w:szCs w:val="20"/>
        </w:rPr>
        <w:t>des</w:t>
      </w:r>
      <w:r w:rsidR="00DB1635" w:rsidRPr="00B004EE">
        <w:rPr>
          <w:rFonts w:ascii="Tahoma" w:hAnsi="Tahoma" w:cs="Tahoma"/>
          <w:w w:val="94"/>
          <w:sz w:val="20"/>
          <w:szCs w:val="20"/>
        </w:rPr>
        <w:t xml:space="preserve"> </w:t>
      </w:r>
      <w:r w:rsidRPr="00B004EE">
        <w:rPr>
          <w:rFonts w:ascii="Tahoma" w:hAnsi="Tahoma" w:cs="Tahoma"/>
          <w:sz w:val="20"/>
          <w:szCs w:val="20"/>
        </w:rPr>
        <w:t>preuves</w:t>
      </w:r>
      <w:r w:rsidR="00DB1635" w:rsidRPr="00B004EE">
        <w:rPr>
          <w:rFonts w:ascii="Tahoma" w:hAnsi="Tahoma" w:cs="Tahoma"/>
          <w:spacing w:val="-38"/>
          <w:sz w:val="20"/>
          <w:szCs w:val="20"/>
        </w:rPr>
        <w:t xml:space="preserve"> </w:t>
      </w:r>
      <w:r w:rsidRPr="00B004EE">
        <w:rPr>
          <w:rFonts w:ascii="Tahoma" w:hAnsi="Tahoma" w:cs="Tahoma"/>
          <w:sz w:val="20"/>
          <w:szCs w:val="20"/>
        </w:rPr>
        <w:t>faisant</w:t>
      </w:r>
      <w:r w:rsidR="00DB1635" w:rsidRPr="00B004EE">
        <w:rPr>
          <w:rFonts w:ascii="Tahoma" w:hAnsi="Tahoma" w:cs="Tahoma"/>
          <w:spacing w:val="-38"/>
          <w:sz w:val="20"/>
          <w:szCs w:val="20"/>
        </w:rPr>
        <w:t xml:space="preserve"> </w:t>
      </w:r>
      <w:r w:rsidRPr="00B004EE">
        <w:rPr>
          <w:rFonts w:ascii="Tahoma" w:hAnsi="Tahoma" w:cs="Tahoma"/>
          <w:sz w:val="20"/>
          <w:szCs w:val="20"/>
        </w:rPr>
        <w:t>foi</w:t>
      </w:r>
      <w:r w:rsidR="00DB1635" w:rsidRPr="00B004EE">
        <w:rPr>
          <w:rFonts w:ascii="Tahoma" w:hAnsi="Tahoma" w:cs="Tahoma"/>
          <w:spacing w:val="-38"/>
          <w:sz w:val="20"/>
          <w:szCs w:val="20"/>
        </w:rPr>
        <w:t xml:space="preserve"> </w:t>
      </w:r>
      <w:r w:rsidRPr="00B004EE">
        <w:rPr>
          <w:rFonts w:ascii="Tahoma" w:hAnsi="Tahoma" w:cs="Tahoma"/>
          <w:sz w:val="20"/>
          <w:szCs w:val="20"/>
        </w:rPr>
        <w:t>jusqu'à</w:t>
      </w:r>
      <w:r w:rsidR="00DB1635" w:rsidRPr="00B004EE">
        <w:rPr>
          <w:rFonts w:ascii="Tahoma" w:hAnsi="Tahoma" w:cs="Tahoma"/>
          <w:spacing w:val="-38"/>
          <w:sz w:val="20"/>
          <w:szCs w:val="20"/>
        </w:rPr>
        <w:t xml:space="preserve"> </w:t>
      </w:r>
      <w:r w:rsidRPr="00B004EE">
        <w:rPr>
          <w:rFonts w:ascii="Tahoma" w:hAnsi="Tahoma" w:cs="Tahoma"/>
          <w:sz w:val="20"/>
          <w:szCs w:val="20"/>
        </w:rPr>
        <w:t>preuve</w:t>
      </w:r>
      <w:r w:rsidR="00DB1635" w:rsidRPr="00B004EE">
        <w:rPr>
          <w:rFonts w:ascii="Tahoma" w:hAnsi="Tahoma" w:cs="Tahoma"/>
          <w:spacing w:val="-38"/>
          <w:sz w:val="20"/>
          <w:szCs w:val="20"/>
        </w:rPr>
        <w:t xml:space="preserve"> </w:t>
      </w:r>
      <w:r w:rsidRPr="00B004EE">
        <w:rPr>
          <w:rFonts w:ascii="Tahoma" w:hAnsi="Tahoma" w:cs="Tahoma"/>
          <w:sz w:val="20"/>
          <w:szCs w:val="20"/>
        </w:rPr>
        <w:t>contraire.</w:t>
      </w:r>
    </w:p>
    <w:p w14:paraId="48F4BFEE" w14:textId="77777777" w:rsidR="001E7C3C" w:rsidRPr="00B004EE" w:rsidRDefault="001E7C3C" w:rsidP="00B004EE">
      <w:pPr>
        <w:rPr>
          <w:rFonts w:ascii="Tahoma" w:eastAsia="American Typewriter" w:hAnsi="Tahoma" w:cs="Tahoma"/>
          <w:sz w:val="20"/>
          <w:szCs w:val="20"/>
        </w:rPr>
      </w:pPr>
    </w:p>
    <w:p w14:paraId="7073E918" w14:textId="31D82499" w:rsidR="001E7C3C" w:rsidRPr="00B004EE" w:rsidRDefault="001E7C3C" w:rsidP="00B004EE">
      <w:pPr>
        <w:pStyle w:val="Corpsdetexte"/>
        <w:ind w:right="161"/>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73</w:t>
      </w:r>
      <w:r w:rsidR="00DB1635" w:rsidRPr="00B004EE">
        <w:rPr>
          <w:rFonts w:ascii="Tahoma" w:hAnsi="Tahoma" w:cs="Tahoma"/>
          <w:bCs/>
          <w:sz w:val="20"/>
          <w:szCs w:val="20"/>
        </w:rPr>
        <w:t xml:space="preserve"> </w:t>
      </w:r>
      <w:r w:rsidRPr="00B004EE">
        <w:rPr>
          <w:rFonts w:ascii="Tahoma" w:hAnsi="Tahoma" w:cs="Tahoma"/>
          <w:bCs/>
          <w:sz w:val="20"/>
          <w:szCs w:val="20"/>
        </w:rPr>
        <w:t>:</w:t>
      </w:r>
      <w:r w:rsidR="00DB1635" w:rsidRPr="00B004EE">
        <w:rPr>
          <w:rFonts w:ascii="Tahoma" w:hAnsi="Tahoma" w:cs="Tahoma"/>
          <w:b/>
          <w:spacing w:val="-10"/>
          <w:sz w:val="20"/>
          <w:szCs w:val="20"/>
        </w:rPr>
        <w:t xml:space="preserve"> </w:t>
      </w:r>
      <w:r w:rsidRPr="00B004EE">
        <w:rPr>
          <w:rFonts w:ascii="Tahoma" w:hAnsi="Tahoma" w:cs="Tahoma"/>
          <w:sz w:val="20"/>
          <w:szCs w:val="20"/>
        </w:rPr>
        <w:t>La</w:t>
      </w:r>
      <w:r w:rsidR="00DB1635" w:rsidRPr="00B004EE">
        <w:rPr>
          <w:rFonts w:ascii="Tahoma" w:hAnsi="Tahoma" w:cs="Tahoma"/>
          <w:spacing w:val="-12"/>
          <w:sz w:val="20"/>
          <w:szCs w:val="20"/>
        </w:rPr>
        <w:t xml:space="preserve"> </w:t>
      </w:r>
      <w:r w:rsidRPr="00B004EE">
        <w:rPr>
          <w:rFonts w:ascii="Tahoma" w:hAnsi="Tahoma" w:cs="Tahoma"/>
          <w:sz w:val="20"/>
          <w:szCs w:val="20"/>
        </w:rPr>
        <w:t>procédure</w:t>
      </w:r>
      <w:r w:rsidR="00DB1635" w:rsidRPr="00B004EE">
        <w:rPr>
          <w:rFonts w:ascii="Tahoma" w:hAnsi="Tahoma" w:cs="Tahoma"/>
          <w:spacing w:val="-13"/>
          <w:sz w:val="20"/>
          <w:szCs w:val="20"/>
        </w:rPr>
        <w:t xml:space="preserve"> </w:t>
      </w:r>
      <w:r w:rsidRPr="00B004EE">
        <w:rPr>
          <w:rFonts w:ascii="Tahoma" w:hAnsi="Tahoma" w:cs="Tahoma"/>
          <w:sz w:val="20"/>
          <w:szCs w:val="20"/>
        </w:rPr>
        <w:t>à</w:t>
      </w:r>
      <w:r w:rsidR="00DB1635" w:rsidRPr="00B004EE">
        <w:rPr>
          <w:rFonts w:ascii="Tahoma" w:hAnsi="Tahoma" w:cs="Tahoma"/>
          <w:spacing w:val="-12"/>
          <w:sz w:val="20"/>
          <w:szCs w:val="20"/>
        </w:rPr>
        <w:t xml:space="preserve"> </w:t>
      </w:r>
      <w:r w:rsidRPr="00B004EE">
        <w:rPr>
          <w:rFonts w:ascii="Tahoma" w:hAnsi="Tahoma" w:cs="Tahoma"/>
          <w:sz w:val="20"/>
          <w:szCs w:val="20"/>
        </w:rPr>
        <w:t>vue</w:t>
      </w:r>
      <w:r w:rsidR="00DB1635" w:rsidRPr="00B004EE">
        <w:rPr>
          <w:rFonts w:ascii="Tahoma" w:hAnsi="Tahoma" w:cs="Tahoma"/>
          <w:spacing w:val="-13"/>
          <w:sz w:val="20"/>
          <w:szCs w:val="20"/>
        </w:rPr>
        <w:t xml:space="preserve"> </w:t>
      </w:r>
      <w:r w:rsidRPr="00B004EE">
        <w:rPr>
          <w:rFonts w:ascii="Tahoma" w:hAnsi="Tahoma" w:cs="Tahoma"/>
          <w:sz w:val="20"/>
          <w:szCs w:val="20"/>
        </w:rPr>
        <w:t>est</w:t>
      </w:r>
      <w:r w:rsidR="00DB1635" w:rsidRPr="00B004EE">
        <w:rPr>
          <w:rFonts w:ascii="Tahoma" w:hAnsi="Tahoma" w:cs="Tahoma"/>
          <w:spacing w:val="-13"/>
          <w:sz w:val="20"/>
          <w:szCs w:val="20"/>
        </w:rPr>
        <w:t xml:space="preserve"> </w:t>
      </w:r>
      <w:r w:rsidRPr="00B004EE">
        <w:rPr>
          <w:rFonts w:ascii="Tahoma" w:hAnsi="Tahoma" w:cs="Tahoma"/>
          <w:sz w:val="20"/>
          <w:szCs w:val="20"/>
        </w:rPr>
        <w:t>utilisée</w:t>
      </w:r>
      <w:r w:rsidR="00DB1635" w:rsidRPr="00B004EE">
        <w:rPr>
          <w:rFonts w:ascii="Tahoma" w:hAnsi="Tahoma" w:cs="Tahoma"/>
          <w:spacing w:val="-15"/>
          <w:sz w:val="20"/>
          <w:szCs w:val="20"/>
        </w:rPr>
        <w:t xml:space="preserve"> </w:t>
      </w:r>
      <w:r w:rsidRPr="00B004EE">
        <w:rPr>
          <w:rFonts w:ascii="Tahoma" w:hAnsi="Tahoma" w:cs="Tahoma"/>
          <w:sz w:val="20"/>
          <w:szCs w:val="20"/>
        </w:rPr>
        <w:t>lorsque</w:t>
      </w:r>
      <w:r w:rsidR="00DB1635" w:rsidRPr="00B004EE">
        <w:rPr>
          <w:rFonts w:ascii="Tahoma" w:hAnsi="Tahoma" w:cs="Tahoma"/>
          <w:spacing w:val="-14"/>
          <w:sz w:val="20"/>
          <w:szCs w:val="20"/>
        </w:rPr>
        <w:t xml:space="preserve"> </w:t>
      </w:r>
      <w:r w:rsidRPr="00B004EE">
        <w:rPr>
          <w:rFonts w:ascii="Tahoma" w:hAnsi="Tahoma" w:cs="Tahoma"/>
          <w:sz w:val="20"/>
          <w:szCs w:val="20"/>
        </w:rPr>
        <w:t>les</w:t>
      </w:r>
      <w:r w:rsidR="00DB1635" w:rsidRPr="00B004EE">
        <w:rPr>
          <w:rFonts w:ascii="Tahoma" w:hAnsi="Tahoma" w:cs="Tahoma"/>
          <w:spacing w:val="-15"/>
          <w:sz w:val="20"/>
          <w:szCs w:val="20"/>
        </w:rPr>
        <w:t xml:space="preserve"> </w:t>
      </w:r>
      <w:r w:rsidRPr="00B004EE">
        <w:rPr>
          <w:rFonts w:ascii="Tahoma" w:hAnsi="Tahoma" w:cs="Tahoma"/>
          <w:sz w:val="20"/>
          <w:szCs w:val="20"/>
        </w:rPr>
        <w:t>conditions</w:t>
      </w:r>
      <w:r w:rsidR="00DB1635" w:rsidRPr="00B004EE">
        <w:rPr>
          <w:rFonts w:ascii="Tahoma" w:hAnsi="Tahoma" w:cs="Tahoma"/>
          <w:spacing w:val="-15"/>
          <w:sz w:val="20"/>
          <w:szCs w:val="20"/>
        </w:rPr>
        <w:t xml:space="preserve"> </w:t>
      </w:r>
      <w:r w:rsidRPr="00B004EE">
        <w:rPr>
          <w:rFonts w:ascii="Tahoma" w:hAnsi="Tahoma" w:cs="Tahoma"/>
          <w:sz w:val="20"/>
          <w:szCs w:val="20"/>
        </w:rPr>
        <w:t>n'autorisent</w:t>
      </w:r>
      <w:r w:rsidR="00DB1635" w:rsidRPr="00B004EE">
        <w:rPr>
          <w:rFonts w:ascii="Tahoma" w:hAnsi="Tahoma" w:cs="Tahoma"/>
          <w:spacing w:val="-14"/>
          <w:sz w:val="20"/>
          <w:szCs w:val="20"/>
        </w:rPr>
        <w:t xml:space="preserve"> </w:t>
      </w:r>
      <w:r w:rsidRPr="00B004EE">
        <w:rPr>
          <w:rFonts w:ascii="Tahoma" w:hAnsi="Tahoma" w:cs="Tahoma"/>
          <w:sz w:val="20"/>
          <w:szCs w:val="20"/>
        </w:rPr>
        <w:t>pas</w:t>
      </w:r>
      <w:r w:rsidR="00DB1635" w:rsidRPr="00B004EE">
        <w:rPr>
          <w:rFonts w:ascii="Tahoma" w:hAnsi="Tahoma" w:cs="Tahoma"/>
          <w:w w:val="94"/>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visite</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navire,</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navire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n'ayant</w:t>
      </w:r>
      <w:r w:rsidR="00DB1635" w:rsidRPr="00B004EE">
        <w:rPr>
          <w:rFonts w:ascii="Tahoma" w:hAnsi="Tahoma" w:cs="Tahoma"/>
          <w:sz w:val="20"/>
          <w:szCs w:val="20"/>
        </w:rPr>
        <w:t xml:space="preserve"> </w:t>
      </w:r>
      <w:r w:rsidRPr="00B004EE">
        <w:rPr>
          <w:rFonts w:ascii="Tahoma" w:hAnsi="Tahoma" w:cs="Tahoma"/>
          <w:sz w:val="20"/>
          <w:szCs w:val="20"/>
        </w:rPr>
        <w:t>pas</w:t>
      </w:r>
      <w:r w:rsidR="00DB1635" w:rsidRPr="00B004EE">
        <w:rPr>
          <w:rFonts w:ascii="Tahoma" w:hAnsi="Tahoma" w:cs="Tahoma"/>
          <w:sz w:val="20"/>
          <w:szCs w:val="20"/>
        </w:rPr>
        <w:t xml:space="preserve"> </w:t>
      </w:r>
      <w:r w:rsidRPr="00B004EE">
        <w:rPr>
          <w:rFonts w:ascii="Tahoma" w:hAnsi="Tahoma" w:cs="Tahoma"/>
          <w:sz w:val="20"/>
          <w:szCs w:val="20"/>
        </w:rPr>
        <w:t>obtempéré</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sommations</w:t>
      </w:r>
      <w:r w:rsidR="00DB1635" w:rsidRPr="00B004EE">
        <w:rPr>
          <w:rFonts w:ascii="Tahoma" w:hAnsi="Tahoma" w:cs="Tahoma"/>
          <w:spacing w:val="-10"/>
          <w:sz w:val="20"/>
          <w:szCs w:val="20"/>
        </w:rPr>
        <w:t xml:space="preserve"> </w:t>
      </w:r>
      <w:r w:rsidRPr="00B004EE">
        <w:rPr>
          <w:rFonts w:ascii="Tahoma" w:hAnsi="Tahoma" w:cs="Tahoma"/>
          <w:sz w:val="20"/>
          <w:szCs w:val="20"/>
        </w:rPr>
        <w:t>ou</w:t>
      </w:r>
      <w:r w:rsidR="00DB1635" w:rsidRPr="00B004EE">
        <w:rPr>
          <w:rFonts w:ascii="Tahoma" w:hAnsi="Tahoma" w:cs="Tahoma"/>
          <w:w w:val="95"/>
          <w:sz w:val="20"/>
          <w:szCs w:val="20"/>
        </w:rPr>
        <w:t xml:space="preserve"> </w:t>
      </w:r>
      <w:r w:rsidRPr="00B004EE">
        <w:rPr>
          <w:rFonts w:ascii="Tahoma" w:hAnsi="Tahoma" w:cs="Tahoma"/>
          <w:sz w:val="20"/>
          <w:szCs w:val="20"/>
        </w:rPr>
        <w:t>ayant</w:t>
      </w:r>
      <w:r w:rsidR="00DB1635" w:rsidRPr="00B004EE">
        <w:rPr>
          <w:rFonts w:ascii="Tahoma" w:hAnsi="Tahoma" w:cs="Tahoma"/>
          <w:spacing w:val="-18"/>
          <w:sz w:val="20"/>
          <w:szCs w:val="20"/>
        </w:rPr>
        <w:t xml:space="preserve"> </w:t>
      </w:r>
      <w:r w:rsidRPr="00B004EE">
        <w:rPr>
          <w:rFonts w:ascii="Tahoma" w:hAnsi="Tahoma" w:cs="Tahoma"/>
          <w:sz w:val="20"/>
          <w:szCs w:val="20"/>
        </w:rPr>
        <w:t>pris</w:t>
      </w:r>
      <w:r w:rsidR="00DB1635" w:rsidRPr="00B004EE">
        <w:rPr>
          <w:rFonts w:ascii="Tahoma" w:hAnsi="Tahoma" w:cs="Tahoma"/>
          <w:spacing w:val="-18"/>
          <w:sz w:val="20"/>
          <w:szCs w:val="20"/>
        </w:rPr>
        <w:t xml:space="preserve"> </w:t>
      </w:r>
      <w:r w:rsidRPr="00B004EE">
        <w:rPr>
          <w:rFonts w:ascii="Tahoma" w:hAnsi="Tahoma" w:cs="Tahoma"/>
          <w:sz w:val="20"/>
          <w:szCs w:val="20"/>
        </w:rPr>
        <w:t>la</w:t>
      </w:r>
      <w:r w:rsidR="00DB1635" w:rsidRPr="00B004EE">
        <w:rPr>
          <w:rFonts w:ascii="Tahoma" w:hAnsi="Tahoma" w:cs="Tahoma"/>
          <w:spacing w:val="-17"/>
          <w:sz w:val="20"/>
          <w:szCs w:val="20"/>
        </w:rPr>
        <w:t xml:space="preserve"> </w:t>
      </w:r>
      <w:r w:rsidRPr="00B004EE">
        <w:rPr>
          <w:rFonts w:ascii="Tahoma" w:hAnsi="Tahoma" w:cs="Tahoma"/>
          <w:sz w:val="20"/>
          <w:szCs w:val="20"/>
        </w:rPr>
        <w:t>fuite</w:t>
      </w:r>
      <w:r w:rsidR="00DB1635" w:rsidRPr="00B004EE">
        <w:rPr>
          <w:rFonts w:ascii="Tahoma" w:hAnsi="Tahoma" w:cs="Tahoma"/>
          <w:spacing w:val="-17"/>
          <w:sz w:val="20"/>
          <w:szCs w:val="20"/>
        </w:rPr>
        <w:t xml:space="preserve"> </w:t>
      </w:r>
      <w:r w:rsidRPr="00B004EE">
        <w:rPr>
          <w:rFonts w:ascii="Tahoma" w:hAnsi="Tahoma" w:cs="Tahoma"/>
          <w:sz w:val="20"/>
          <w:szCs w:val="20"/>
        </w:rPr>
        <w:t>ou</w:t>
      </w:r>
      <w:r w:rsidR="00DB1635" w:rsidRPr="00B004EE">
        <w:rPr>
          <w:rFonts w:ascii="Tahoma" w:hAnsi="Tahoma" w:cs="Tahoma"/>
          <w:spacing w:val="-18"/>
          <w:sz w:val="20"/>
          <w:szCs w:val="20"/>
        </w:rPr>
        <w:t xml:space="preserve"> </w:t>
      </w:r>
      <w:r w:rsidRPr="00B004EE">
        <w:rPr>
          <w:rFonts w:ascii="Tahoma" w:hAnsi="Tahoma" w:cs="Tahoma"/>
          <w:sz w:val="20"/>
          <w:szCs w:val="20"/>
        </w:rPr>
        <w:t>lorsque</w:t>
      </w:r>
      <w:r w:rsidR="00DB1635" w:rsidRPr="00B004EE">
        <w:rPr>
          <w:rFonts w:ascii="Tahoma" w:hAnsi="Tahoma" w:cs="Tahoma"/>
          <w:spacing w:val="-18"/>
          <w:sz w:val="20"/>
          <w:szCs w:val="20"/>
        </w:rPr>
        <w:t xml:space="preserve"> </w:t>
      </w:r>
      <w:r w:rsidRPr="00B004EE">
        <w:rPr>
          <w:rFonts w:ascii="Tahoma" w:hAnsi="Tahoma" w:cs="Tahoma"/>
          <w:sz w:val="20"/>
          <w:szCs w:val="20"/>
        </w:rPr>
        <w:t>les</w:t>
      </w:r>
      <w:r w:rsidR="00DB1635" w:rsidRPr="00B004EE">
        <w:rPr>
          <w:rFonts w:ascii="Tahoma" w:hAnsi="Tahoma" w:cs="Tahoma"/>
          <w:spacing w:val="-18"/>
          <w:sz w:val="20"/>
          <w:szCs w:val="20"/>
        </w:rPr>
        <w:t xml:space="preserve"> </w:t>
      </w:r>
      <w:r w:rsidRPr="00B004EE">
        <w:rPr>
          <w:rFonts w:ascii="Tahoma" w:hAnsi="Tahoma" w:cs="Tahoma"/>
          <w:sz w:val="20"/>
          <w:szCs w:val="20"/>
        </w:rPr>
        <w:t>navires</w:t>
      </w:r>
      <w:r w:rsidR="00DB1635" w:rsidRPr="00B004EE">
        <w:rPr>
          <w:rFonts w:ascii="Tahoma" w:hAnsi="Tahoma" w:cs="Tahoma"/>
          <w:spacing w:val="-18"/>
          <w:sz w:val="20"/>
          <w:szCs w:val="20"/>
        </w:rPr>
        <w:t xml:space="preserve"> </w:t>
      </w:r>
      <w:r w:rsidRPr="00B004EE">
        <w:rPr>
          <w:rFonts w:ascii="Tahoma" w:hAnsi="Tahoma" w:cs="Tahoma"/>
          <w:sz w:val="20"/>
          <w:szCs w:val="20"/>
        </w:rPr>
        <w:t>de</w:t>
      </w:r>
      <w:r w:rsidR="00DB1635" w:rsidRPr="00B004EE">
        <w:rPr>
          <w:rFonts w:ascii="Tahoma" w:hAnsi="Tahoma" w:cs="Tahoma"/>
          <w:spacing w:val="-18"/>
          <w:sz w:val="20"/>
          <w:szCs w:val="20"/>
        </w:rPr>
        <w:t xml:space="preserve"> </w:t>
      </w:r>
      <w:r w:rsidRPr="00B004EE">
        <w:rPr>
          <w:rFonts w:ascii="Tahoma" w:hAnsi="Tahoma" w:cs="Tahoma"/>
          <w:sz w:val="20"/>
          <w:szCs w:val="20"/>
        </w:rPr>
        <w:t>pêche</w:t>
      </w:r>
      <w:r w:rsidR="00DB1635" w:rsidRPr="00B004EE">
        <w:rPr>
          <w:rFonts w:ascii="Tahoma" w:hAnsi="Tahoma" w:cs="Tahoma"/>
          <w:spacing w:val="-18"/>
          <w:sz w:val="20"/>
          <w:szCs w:val="20"/>
        </w:rPr>
        <w:t xml:space="preserve"> </w:t>
      </w:r>
      <w:r w:rsidRPr="00B004EE">
        <w:rPr>
          <w:rFonts w:ascii="Tahoma" w:hAnsi="Tahoma" w:cs="Tahoma"/>
          <w:sz w:val="20"/>
          <w:szCs w:val="20"/>
        </w:rPr>
        <w:t>dans</w:t>
      </w:r>
      <w:r w:rsidR="00DB1635" w:rsidRPr="00B004EE">
        <w:rPr>
          <w:rFonts w:ascii="Tahoma" w:hAnsi="Tahoma" w:cs="Tahoma"/>
          <w:spacing w:val="-20"/>
          <w:sz w:val="20"/>
          <w:szCs w:val="20"/>
        </w:rPr>
        <w:t xml:space="preserve"> </w:t>
      </w:r>
      <w:r w:rsidRPr="00B004EE">
        <w:rPr>
          <w:rFonts w:ascii="Tahoma" w:hAnsi="Tahoma" w:cs="Tahoma"/>
          <w:sz w:val="20"/>
          <w:szCs w:val="20"/>
        </w:rPr>
        <w:t>la</w:t>
      </w:r>
      <w:r w:rsidR="00DB1635" w:rsidRPr="00B004EE">
        <w:rPr>
          <w:rFonts w:ascii="Tahoma" w:hAnsi="Tahoma" w:cs="Tahoma"/>
          <w:spacing w:val="-18"/>
          <w:sz w:val="20"/>
          <w:szCs w:val="20"/>
        </w:rPr>
        <w:t xml:space="preserve"> </w:t>
      </w:r>
      <w:r w:rsidRPr="00B004EE">
        <w:rPr>
          <w:rFonts w:ascii="Tahoma" w:hAnsi="Tahoma" w:cs="Tahoma"/>
          <w:sz w:val="20"/>
          <w:szCs w:val="20"/>
        </w:rPr>
        <w:t>zone</w:t>
      </w:r>
      <w:r w:rsidR="00DB1635" w:rsidRPr="00B004EE">
        <w:rPr>
          <w:rFonts w:ascii="Tahoma" w:hAnsi="Tahoma" w:cs="Tahoma"/>
          <w:spacing w:val="-20"/>
          <w:sz w:val="20"/>
          <w:szCs w:val="20"/>
        </w:rPr>
        <w:t xml:space="preserve"> </w:t>
      </w:r>
      <w:r w:rsidRPr="00B004EE">
        <w:rPr>
          <w:rFonts w:ascii="Tahoma" w:hAnsi="Tahoma" w:cs="Tahoma"/>
          <w:sz w:val="20"/>
          <w:szCs w:val="20"/>
        </w:rPr>
        <w:t>sont</w:t>
      </w:r>
      <w:r w:rsidR="00DB1635" w:rsidRPr="00B004EE">
        <w:rPr>
          <w:rFonts w:ascii="Tahoma" w:hAnsi="Tahoma" w:cs="Tahoma"/>
          <w:spacing w:val="-19"/>
          <w:sz w:val="20"/>
          <w:szCs w:val="20"/>
        </w:rPr>
        <w:t xml:space="preserve"> </w:t>
      </w:r>
      <w:r w:rsidRPr="00B004EE">
        <w:rPr>
          <w:rFonts w:ascii="Tahoma" w:hAnsi="Tahoma" w:cs="Tahoma"/>
          <w:sz w:val="20"/>
          <w:szCs w:val="20"/>
        </w:rPr>
        <w:t>trop</w:t>
      </w:r>
      <w:r w:rsidR="00DB1635" w:rsidRPr="00B004EE">
        <w:rPr>
          <w:rFonts w:ascii="Tahoma" w:hAnsi="Tahoma" w:cs="Tahoma"/>
          <w:spacing w:val="-20"/>
          <w:sz w:val="20"/>
          <w:szCs w:val="20"/>
        </w:rPr>
        <w:t xml:space="preserve"> </w:t>
      </w:r>
      <w:r w:rsidRPr="00B004EE">
        <w:rPr>
          <w:rFonts w:ascii="Tahoma" w:hAnsi="Tahoma" w:cs="Tahoma"/>
          <w:sz w:val="20"/>
          <w:szCs w:val="20"/>
        </w:rPr>
        <w:t>nombreux</w:t>
      </w:r>
      <w:r w:rsidR="00DB1635" w:rsidRPr="00B004EE">
        <w:rPr>
          <w:rFonts w:ascii="Tahoma" w:hAnsi="Tahoma" w:cs="Tahoma"/>
          <w:w w:val="92"/>
          <w:sz w:val="20"/>
          <w:szCs w:val="20"/>
        </w:rPr>
        <w:t xml:space="preserve"> </w:t>
      </w:r>
      <w:r w:rsidRPr="00B004EE">
        <w:rPr>
          <w:rFonts w:ascii="Tahoma" w:hAnsi="Tahoma" w:cs="Tahoma"/>
          <w:w w:val="95"/>
          <w:sz w:val="20"/>
          <w:szCs w:val="20"/>
        </w:rPr>
        <w:t>pour</w:t>
      </w:r>
      <w:r w:rsidR="00DB1635" w:rsidRPr="00B004EE">
        <w:rPr>
          <w:rFonts w:ascii="Tahoma" w:hAnsi="Tahoma" w:cs="Tahoma"/>
          <w:w w:val="95"/>
          <w:sz w:val="20"/>
          <w:szCs w:val="20"/>
        </w:rPr>
        <w:t xml:space="preserve"> </w:t>
      </w:r>
      <w:r w:rsidRPr="00B004EE">
        <w:rPr>
          <w:rFonts w:ascii="Tahoma" w:hAnsi="Tahoma" w:cs="Tahoma"/>
          <w:w w:val="95"/>
          <w:sz w:val="20"/>
          <w:szCs w:val="20"/>
        </w:rPr>
        <w:t>être</w:t>
      </w:r>
      <w:r w:rsidR="00DB1635" w:rsidRPr="00B004EE">
        <w:rPr>
          <w:rFonts w:ascii="Tahoma" w:hAnsi="Tahoma" w:cs="Tahoma"/>
          <w:w w:val="95"/>
          <w:sz w:val="20"/>
          <w:szCs w:val="20"/>
        </w:rPr>
        <w:t xml:space="preserve"> </w:t>
      </w:r>
      <w:r w:rsidRPr="00B004EE">
        <w:rPr>
          <w:rFonts w:ascii="Tahoma" w:hAnsi="Tahoma" w:cs="Tahoma"/>
          <w:w w:val="95"/>
          <w:sz w:val="20"/>
          <w:szCs w:val="20"/>
        </w:rPr>
        <w:t>contrôlés</w:t>
      </w:r>
      <w:r w:rsidR="00DB1635" w:rsidRPr="00B004EE">
        <w:rPr>
          <w:rFonts w:ascii="Tahoma" w:hAnsi="Tahoma" w:cs="Tahoma"/>
          <w:spacing w:val="30"/>
          <w:w w:val="95"/>
          <w:sz w:val="20"/>
          <w:szCs w:val="20"/>
        </w:rPr>
        <w:t xml:space="preserve"> </w:t>
      </w:r>
      <w:r w:rsidRPr="00B004EE">
        <w:rPr>
          <w:rFonts w:ascii="Tahoma" w:hAnsi="Tahoma" w:cs="Tahoma"/>
          <w:w w:val="95"/>
          <w:sz w:val="20"/>
          <w:szCs w:val="20"/>
        </w:rPr>
        <w:t>individuellement.</w:t>
      </w:r>
    </w:p>
    <w:p w14:paraId="29C2438B" w14:textId="2BB32D41" w:rsidR="001E7C3C" w:rsidRPr="00B004EE" w:rsidRDefault="001E7C3C" w:rsidP="00B004EE">
      <w:pPr>
        <w:pStyle w:val="Corpsdetexte"/>
        <w:ind w:right="164"/>
        <w:rPr>
          <w:rFonts w:ascii="Tahoma" w:hAnsi="Tahoma" w:cs="Tahoma"/>
          <w:sz w:val="20"/>
          <w:szCs w:val="20"/>
        </w:rPr>
      </w:pPr>
      <w:r w:rsidRPr="00B004EE">
        <w:rPr>
          <w:rFonts w:ascii="Tahoma" w:eastAsia="American Typewriter" w:hAnsi="Tahoma" w:cs="Tahoma"/>
          <w:sz w:val="20"/>
          <w:szCs w:val="20"/>
        </w:rPr>
        <w:t>La</w:t>
      </w:r>
      <w:r w:rsidR="00DB1635" w:rsidRPr="00B004EE">
        <w:rPr>
          <w:rFonts w:ascii="Tahoma" w:eastAsia="American Typewriter" w:hAnsi="Tahoma" w:cs="Tahoma"/>
          <w:spacing w:val="-13"/>
          <w:sz w:val="20"/>
          <w:szCs w:val="20"/>
        </w:rPr>
        <w:t xml:space="preserve"> </w:t>
      </w:r>
      <w:r w:rsidRPr="00B004EE">
        <w:rPr>
          <w:rFonts w:ascii="Tahoma" w:eastAsia="American Typewriter" w:hAnsi="Tahoma" w:cs="Tahoma"/>
          <w:sz w:val="20"/>
          <w:szCs w:val="20"/>
        </w:rPr>
        <w:t>procédure</w:t>
      </w:r>
      <w:r w:rsidR="00DB1635" w:rsidRPr="00B004EE">
        <w:rPr>
          <w:rFonts w:ascii="Tahoma" w:eastAsia="American Typewriter" w:hAnsi="Tahoma" w:cs="Tahoma"/>
          <w:spacing w:val="-13"/>
          <w:sz w:val="20"/>
          <w:szCs w:val="20"/>
        </w:rPr>
        <w:t xml:space="preserve"> </w:t>
      </w:r>
      <w:r w:rsidRPr="00B004EE">
        <w:rPr>
          <w:rFonts w:ascii="Tahoma" w:eastAsia="American Typewriter" w:hAnsi="Tahoma" w:cs="Tahoma"/>
          <w:sz w:val="20"/>
          <w:szCs w:val="20"/>
        </w:rPr>
        <w:t>à</w:t>
      </w:r>
      <w:r w:rsidR="00DB1635" w:rsidRPr="00B004EE">
        <w:rPr>
          <w:rFonts w:ascii="Tahoma" w:eastAsia="American Typewriter" w:hAnsi="Tahoma" w:cs="Tahoma"/>
          <w:spacing w:val="-13"/>
          <w:sz w:val="20"/>
          <w:szCs w:val="20"/>
        </w:rPr>
        <w:t xml:space="preserve"> </w:t>
      </w:r>
      <w:r w:rsidRPr="00B004EE">
        <w:rPr>
          <w:rFonts w:ascii="Tahoma" w:eastAsia="American Typewriter" w:hAnsi="Tahoma" w:cs="Tahoma"/>
          <w:sz w:val="20"/>
          <w:szCs w:val="20"/>
        </w:rPr>
        <w:t>vue</w:t>
      </w:r>
      <w:r w:rsidR="00DB1635" w:rsidRPr="00B004EE">
        <w:rPr>
          <w:rFonts w:ascii="Tahoma" w:eastAsia="American Typewriter" w:hAnsi="Tahoma" w:cs="Tahoma"/>
          <w:spacing w:val="-13"/>
          <w:sz w:val="20"/>
          <w:szCs w:val="20"/>
        </w:rPr>
        <w:t xml:space="preserve"> </w:t>
      </w:r>
      <w:r w:rsidRPr="00B004EE">
        <w:rPr>
          <w:rFonts w:ascii="Tahoma" w:eastAsia="American Typewriter" w:hAnsi="Tahoma" w:cs="Tahoma"/>
          <w:sz w:val="20"/>
          <w:szCs w:val="20"/>
        </w:rPr>
        <w:t>n’est</w:t>
      </w:r>
      <w:r w:rsidR="00DB1635" w:rsidRPr="00B004EE">
        <w:rPr>
          <w:rFonts w:ascii="Tahoma" w:eastAsia="American Typewriter" w:hAnsi="Tahoma" w:cs="Tahoma"/>
          <w:spacing w:val="-14"/>
          <w:sz w:val="20"/>
          <w:szCs w:val="20"/>
        </w:rPr>
        <w:t xml:space="preserve"> </w:t>
      </w:r>
      <w:r w:rsidRPr="00B004EE">
        <w:rPr>
          <w:rFonts w:ascii="Tahoma" w:eastAsia="American Typewriter" w:hAnsi="Tahoma" w:cs="Tahoma"/>
          <w:sz w:val="20"/>
          <w:szCs w:val="20"/>
        </w:rPr>
        <w:t>valable</w:t>
      </w:r>
      <w:r w:rsidR="00DB1635" w:rsidRPr="00B004EE">
        <w:rPr>
          <w:rFonts w:ascii="Tahoma" w:eastAsia="American Typewriter" w:hAnsi="Tahoma" w:cs="Tahoma"/>
          <w:spacing w:val="-13"/>
          <w:sz w:val="20"/>
          <w:szCs w:val="20"/>
        </w:rPr>
        <w:t xml:space="preserve"> </w:t>
      </w:r>
      <w:r w:rsidRPr="00B004EE">
        <w:rPr>
          <w:rFonts w:ascii="Tahoma" w:eastAsia="American Typewriter" w:hAnsi="Tahoma" w:cs="Tahoma"/>
          <w:sz w:val="20"/>
          <w:szCs w:val="20"/>
        </w:rPr>
        <w:t>que</w:t>
      </w:r>
      <w:r w:rsidR="00DB1635" w:rsidRPr="00B004EE">
        <w:rPr>
          <w:rFonts w:ascii="Tahoma" w:eastAsia="American Typewriter" w:hAnsi="Tahoma" w:cs="Tahoma"/>
          <w:spacing w:val="-13"/>
          <w:sz w:val="20"/>
          <w:szCs w:val="20"/>
        </w:rPr>
        <w:t xml:space="preserve"> </w:t>
      </w:r>
      <w:r w:rsidRPr="00B004EE">
        <w:rPr>
          <w:rFonts w:ascii="Tahoma" w:eastAsia="American Typewriter" w:hAnsi="Tahoma" w:cs="Tahoma"/>
          <w:sz w:val="20"/>
          <w:szCs w:val="20"/>
        </w:rPr>
        <w:t>pour</w:t>
      </w:r>
      <w:r w:rsidR="00DB1635" w:rsidRPr="00B004EE">
        <w:rPr>
          <w:rFonts w:ascii="Tahoma" w:eastAsia="American Typewriter" w:hAnsi="Tahoma" w:cs="Tahoma"/>
          <w:spacing w:val="-14"/>
          <w:sz w:val="20"/>
          <w:szCs w:val="20"/>
        </w:rPr>
        <w:t xml:space="preserve"> </w:t>
      </w:r>
      <w:r w:rsidRPr="00B004EE">
        <w:rPr>
          <w:rFonts w:ascii="Tahoma" w:eastAsia="American Typewriter" w:hAnsi="Tahoma" w:cs="Tahoma"/>
          <w:sz w:val="20"/>
          <w:szCs w:val="20"/>
        </w:rPr>
        <w:t>la</w:t>
      </w:r>
      <w:r w:rsidR="00DB1635" w:rsidRPr="00B004EE">
        <w:rPr>
          <w:rFonts w:ascii="Tahoma" w:eastAsia="American Typewriter" w:hAnsi="Tahoma" w:cs="Tahoma"/>
          <w:spacing w:val="-14"/>
          <w:sz w:val="20"/>
          <w:szCs w:val="20"/>
        </w:rPr>
        <w:t xml:space="preserve"> </w:t>
      </w:r>
      <w:r w:rsidRPr="00B004EE">
        <w:rPr>
          <w:rFonts w:ascii="Tahoma" w:eastAsia="American Typewriter" w:hAnsi="Tahoma" w:cs="Tahoma"/>
          <w:sz w:val="20"/>
          <w:szCs w:val="20"/>
        </w:rPr>
        <w:t>constatation</w:t>
      </w:r>
      <w:r w:rsidR="00DB1635" w:rsidRPr="00B004EE">
        <w:rPr>
          <w:rFonts w:ascii="Tahoma" w:eastAsia="American Typewriter" w:hAnsi="Tahoma" w:cs="Tahoma"/>
          <w:spacing w:val="-15"/>
          <w:sz w:val="20"/>
          <w:szCs w:val="20"/>
        </w:rPr>
        <w:t xml:space="preserve"> </w:t>
      </w:r>
      <w:r w:rsidRPr="00B004EE">
        <w:rPr>
          <w:rFonts w:ascii="Tahoma" w:eastAsia="American Typewriter" w:hAnsi="Tahoma" w:cs="Tahoma"/>
          <w:sz w:val="20"/>
          <w:szCs w:val="20"/>
        </w:rPr>
        <w:t>des</w:t>
      </w:r>
      <w:r w:rsidR="00DB1635" w:rsidRPr="00B004EE">
        <w:rPr>
          <w:rFonts w:ascii="Tahoma" w:eastAsia="American Typewriter" w:hAnsi="Tahoma" w:cs="Tahoma"/>
          <w:spacing w:val="-15"/>
          <w:sz w:val="20"/>
          <w:szCs w:val="20"/>
        </w:rPr>
        <w:t xml:space="preserve"> </w:t>
      </w:r>
      <w:r w:rsidRPr="00B004EE">
        <w:rPr>
          <w:rFonts w:ascii="Tahoma" w:eastAsia="American Typewriter" w:hAnsi="Tahoma" w:cs="Tahoma"/>
          <w:sz w:val="20"/>
          <w:szCs w:val="20"/>
        </w:rPr>
        <w:t>infractions</w:t>
      </w:r>
      <w:r w:rsidR="00DB1635" w:rsidRPr="00B004EE">
        <w:rPr>
          <w:rFonts w:ascii="Tahoma" w:eastAsia="American Typewriter" w:hAnsi="Tahoma" w:cs="Tahoma"/>
          <w:spacing w:val="-15"/>
          <w:sz w:val="20"/>
          <w:szCs w:val="20"/>
        </w:rPr>
        <w:t xml:space="preserve"> </w:t>
      </w:r>
      <w:r w:rsidRPr="00B004EE">
        <w:rPr>
          <w:rFonts w:ascii="Tahoma" w:eastAsia="American Typewriter" w:hAnsi="Tahoma" w:cs="Tahoma"/>
          <w:sz w:val="20"/>
          <w:szCs w:val="20"/>
        </w:rPr>
        <w:t>relatives</w:t>
      </w:r>
      <w:r w:rsidR="00DB1635" w:rsidRPr="00B004EE">
        <w:rPr>
          <w:rFonts w:ascii="Tahoma" w:eastAsia="American Typewriter" w:hAnsi="Tahoma" w:cs="Tahoma"/>
          <w:w w:val="94"/>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défaut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licence,</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refus</w:t>
      </w:r>
      <w:r w:rsidR="00DB1635" w:rsidRPr="00B004EE">
        <w:rPr>
          <w:rFonts w:ascii="Tahoma" w:hAnsi="Tahoma" w:cs="Tahoma"/>
          <w:sz w:val="20"/>
          <w:szCs w:val="20"/>
        </w:rPr>
        <w:t xml:space="preserve"> </w:t>
      </w:r>
      <w:r w:rsidRPr="00B004EE">
        <w:rPr>
          <w:rFonts w:ascii="Tahoma" w:hAnsi="Tahoma" w:cs="Tahoma"/>
          <w:sz w:val="20"/>
          <w:szCs w:val="20"/>
        </w:rPr>
        <w:t>d'obtempérer</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l'ordre</w:t>
      </w:r>
      <w:r w:rsidR="00DB1635" w:rsidRPr="00B004EE">
        <w:rPr>
          <w:rFonts w:ascii="Tahoma" w:hAnsi="Tahoma" w:cs="Tahoma"/>
          <w:sz w:val="20"/>
          <w:szCs w:val="20"/>
        </w:rPr>
        <w:t xml:space="preserve"> </w:t>
      </w:r>
      <w:r w:rsidRPr="00B004EE">
        <w:rPr>
          <w:rFonts w:ascii="Tahoma" w:hAnsi="Tahoma" w:cs="Tahoma"/>
          <w:sz w:val="20"/>
          <w:szCs w:val="20"/>
        </w:rPr>
        <w:t>donné</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agents</w:t>
      </w:r>
      <w:r w:rsidR="00DB1635" w:rsidRPr="00B004EE">
        <w:rPr>
          <w:rFonts w:ascii="Tahoma" w:hAnsi="Tahoma" w:cs="Tahoma"/>
          <w:spacing w:val="42"/>
          <w:sz w:val="20"/>
          <w:szCs w:val="20"/>
        </w:rPr>
        <w:t xml:space="preserve"> </w:t>
      </w:r>
      <w:r w:rsidRPr="00B004EE">
        <w:rPr>
          <w:rFonts w:ascii="Tahoma" w:hAnsi="Tahoma" w:cs="Tahoma"/>
          <w:sz w:val="20"/>
          <w:szCs w:val="20"/>
        </w:rPr>
        <w:t>de</w:t>
      </w:r>
      <w:r w:rsidR="00DB1635" w:rsidRPr="00B004EE">
        <w:rPr>
          <w:rFonts w:ascii="Tahoma" w:hAnsi="Tahoma" w:cs="Tahoma"/>
          <w:w w:val="94"/>
          <w:sz w:val="20"/>
          <w:szCs w:val="20"/>
        </w:rPr>
        <w:t xml:space="preserve"> </w:t>
      </w:r>
      <w:r w:rsidRPr="00B004EE">
        <w:rPr>
          <w:rFonts w:ascii="Tahoma" w:hAnsi="Tahoma" w:cs="Tahoma"/>
          <w:sz w:val="20"/>
          <w:szCs w:val="20"/>
        </w:rPr>
        <w:t>contrôle</w:t>
      </w:r>
      <w:r w:rsidR="00DB1635" w:rsidRPr="00B004EE">
        <w:rPr>
          <w:rFonts w:ascii="Tahoma" w:hAnsi="Tahoma" w:cs="Tahoma"/>
          <w:spacing w:val="18"/>
          <w:sz w:val="20"/>
          <w:szCs w:val="20"/>
        </w:rPr>
        <w:t xml:space="preserve"> </w:t>
      </w:r>
      <w:r w:rsidRPr="00B004EE">
        <w:rPr>
          <w:rFonts w:ascii="Tahoma" w:hAnsi="Tahoma" w:cs="Tahoma"/>
          <w:sz w:val="20"/>
          <w:szCs w:val="20"/>
        </w:rPr>
        <w:t>de</w:t>
      </w:r>
      <w:r w:rsidR="00DB1635" w:rsidRPr="00B004EE">
        <w:rPr>
          <w:rFonts w:ascii="Tahoma" w:hAnsi="Tahoma" w:cs="Tahoma"/>
          <w:spacing w:val="18"/>
          <w:sz w:val="20"/>
          <w:szCs w:val="20"/>
        </w:rPr>
        <w:t xml:space="preserve"> </w:t>
      </w:r>
      <w:r w:rsidRPr="00B004EE">
        <w:rPr>
          <w:rFonts w:ascii="Tahoma" w:hAnsi="Tahoma" w:cs="Tahoma"/>
          <w:sz w:val="20"/>
          <w:szCs w:val="20"/>
        </w:rPr>
        <w:t>stopper,</w:t>
      </w:r>
      <w:r w:rsidR="00DB1635" w:rsidRPr="00B004EE">
        <w:rPr>
          <w:rFonts w:ascii="Tahoma" w:hAnsi="Tahoma" w:cs="Tahoma"/>
          <w:spacing w:val="18"/>
          <w:sz w:val="20"/>
          <w:szCs w:val="20"/>
        </w:rPr>
        <w:t xml:space="preserve"> </w:t>
      </w:r>
      <w:r w:rsidRPr="00B004EE">
        <w:rPr>
          <w:rFonts w:ascii="Tahoma" w:hAnsi="Tahoma" w:cs="Tahoma"/>
          <w:sz w:val="20"/>
          <w:szCs w:val="20"/>
        </w:rPr>
        <w:t>à</w:t>
      </w:r>
      <w:r w:rsidR="00DB1635" w:rsidRPr="00B004EE">
        <w:rPr>
          <w:rFonts w:ascii="Tahoma" w:hAnsi="Tahoma" w:cs="Tahoma"/>
          <w:spacing w:val="16"/>
          <w:sz w:val="20"/>
          <w:szCs w:val="20"/>
        </w:rPr>
        <w:t xml:space="preserve"> </w:t>
      </w:r>
      <w:r w:rsidRPr="00B004EE">
        <w:rPr>
          <w:rFonts w:ascii="Tahoma" w:hAnsi="Tahoma" w:cs="Tahoma"/>
          <w:sz w:val="20"/>
          <w:szCs w:val="20"/>
        </w:rPr>
        <w:t>la</w:t>
      </w:r>
      <w:r w:rsidR="00DB1635" w:rsidRPr="00B004EE">
        <w:rPr>
          <w:rFonts w:ascii="Tahoma" w:hAnsi="Tahoma" w:cs="Tahoma"/>
          <w:spacing w:val="16"/>
          <w:sz w:val="20"/>
          <w:szCs w:val="20"/>
        </w:rPr>
        <w:t xml:space="preserve"> </w:t>
      </w:r>
      <w:r w:rsidRPr="00B004EE">
        <w:rPr>
          <w:rFonts w:ascii="Tahoma" w:hAnsi="Tahoma" w:cs="Tahoma"/>
          <w:sz w:val="20"/>
          <w:szCs w:val="20"/>
        </w:rPr>
        <w:t>pêche</w:t>
      </w:r>
      <w:r w:rsidR="00DB1635" w:rsidRPr="00B004EE">
        <w:rPr>
          <w:rFonts w:ascii="Tahoma" w:hAnsi="Tahoma" w:cs="Tahoma"/>
          <w:spacing w:val="15"/>
          <w:sz w:val="20"/>
          <w:szCs w:val="20"/>
        </w:rPr>
        <w:t xml:space="preserve"> </w:t>
      </w:r>
      <w:r w:rsidRPr="00B004EE">
        <w:rPr>
          <w:rFonts w:ascii="Tahoma" w:hAnsi="Tahoma" w:cs="Tahoma"/>
          <w:sz w:val="20"/>
          <w:szCs w:val="20"/>
        </w:rPr>
        <w:t>pendant</w:t>
      </w:r>
      <w:r w:rsidR="00DB1635" w:rsidRPr="00B004EE">
        <w:rPr>
          <w:rFonts w:ascii="Tahoma" w:hAnsi="Tahoma" w:cs="Tahoma"/>
          <w:spacing w:val="15"/>
          <w:sz w:val="20"/>
          <w:szCs w:val="20"/>
        </w:rPr>
        <w:t xml:space="preserve"> </w:t>
      </w:r>
      <w:r w:rsidRPr="00B004EE">
        <w:rPr>
          <w:rFonts w:ascii="Tahoma" w:hAnsi="Tahoma" w:cs="Tahoma"/>
          <w:sz w:val="20"/>
          <w:szCs w:val="20"/>
        </w:rPr>
        <w:t>une</w:t>
      </w:r>
      <w:r w:rsidR="00DB1635" w:rsidRPr="00B004EE">
        <w:rPr>
          <w:rFonts w:ascii="Tahoma" w:hAnsi="Tahoma" w:cs="Tahoma"/>
          <w:spacing w:val="15"/>
          <w:sz w:val="20"/>
          <w:szCs w:val="20"/>
        </w:rPr>
        <w:t xml:space="preserve"> </w:t>
      </w:r>
      <w:r w:rsidRPr="00B004EE">
        <w:rPr>
          <w:rFonts w:ascii="Tahoma" w:hAnsi="Tahoma" w:cs="Tahoma"/>
          <w:sz w:val="20"/>
          <w:szCs w:val="20"/>
        </w:rPr>
        <w:t>période</w:t>
      </w:r>
      <w:r w:rsidR="00DB1635" w:rsidRPr="00B004EE">
        <w:rPr>
          <w:rFonts w:ascii="Tahoma" w:hAnsi="Tahoma" w:cs="Tahoma"/>
          <w:spacing w:val="15"/>
          <w:sz w:val="20"/>
          <w:szCs w:val="20"/>
        </w:rPr>
        <w:t xml:space="preserve"> </w:t>
      </w:r>
      <w:r w:rsidRPr="00B004EE">
        <w:rPr>
          <w:rFonts w:ascii="Tahoma" w:hAnsi="Tahoma" w:cs="Tahoma"/>
          <w:sz w:val="20"/>
          <w:szCs w:val="20"/>
        </w:rPr>
        <w:t>interdite</w:t>
      </w:r>
      <w:r w:rsidR="00DB1635" w:rsidRPr="00B004EE">
        <w:rPr>
          <w:rFonts w:ascii="Tahoma" w:hAnsi="Tahoma" w:cs="Tahoma"/>
          <w:spacing w:val="16"/>
          <w:sz w:val="20"/>
          <w:szCs w:val="20"/>
        </w:rPr>
        <w:t xml:space="preserve"> </w:t>
      </w:r>
      <w:r w:rsidRPr="00B004EE">
        <w:rPr>
          <w:rFonts w:ascii="Tahoma" w:hAnsi="Tahoma" w:cs="Tahoma"/>
          <w:sz w:val="20"/>
          <w:szCs w:val="20"/>
        </w:rPr>
        <w:t>ou</w:t>
      </w:r>
      <w:r w:rsidR="00DB1635" w:rsidRPr="00B004EE">
        <w:rPr>
          <w:rFonts w:ascii="Tahoma" w:hAnsi="Tahoma" w:cs="Tahoma"/>
          <w:spacing w:val="15"/>
          <w:sz w:val="20"/>
          <w:szCs w:val="20"/>
        </w:rPr>
        <w:t xml:space="preserve"> </w:t>
      </w:r>
      <w:r w:rsidRPr="00B004EE">
        <w:rPr>
          <w:rFonts w:ascii="Tahoma" w:hAnsi="Tahoma" w:cs="Tahoma"/>
          <w:sz w:val="20"/>
          <w:szCs w:val="20"/>
        </w:rPr>
        <w:t>dans</w:t>
      </w:r>
      <w:r w:rsidR="00DB1635" w:rsidRPr="00B004EE">
        <w:rPr>
          <w:rFonts w:ascii="Tahoma" w:hAnsi="Tahoma" w:cs="Tahoma"/>
          <w:spacing w:val="15"/>
          <w:sz w:val="20"/>
          <w:szCs w:val="20"/>
        </w:rPr>
        <w:t xml:space="preserve"> </w:t>
      </w:r>
      <w:r w:rsidRPr="00B004EE">
        <w:rPr>
          <w:rFonts w:ascii="Tahoma" w:hAnsi="Tahoma" w:cs="Tahoma"/>
          <w:sz w:val="20"/>
          <w:szCs w:val="20"/>
        </w:rPr>
        <w:t>une</w:t>
      </w:r>
      <w:r w:rsidR="00DB1635" w:rsidRPr="00B004EE">
        <w:rPr>
          <w:rFonts w:ascii="Tahoma" w:hAnsi="Tahoma" w:cs="Tahoma"/>
          <w:spacing w:val="15"/>
          <w:sz w:val="20"/>
          <w:szCs w:val="20"/>
        </w:rPr>
        <w:t xml:space="preserve"> </w:t>
      </w:r>
      <w:r w:rsidRPr="00B004EE">
        <w:rPr>
          <w:rFonts w:ascii="Tahoma" w:hAnsi="Tahoma" w:cs="Tahoma"/>
          <w:sz w:val="20"/>
          <w:szCs w:val="20"/>
        </w:rPr>
        <w:t>zone</w:t>
      </w:r>
      <w:r w:rsidR="00DB1635" w:rsidRPr="00B004EE">
        <w:rPr>
          <w:rFonts w:ascii="Tahoma" w:hAnsi="Tahoma" w:cs="Tahoma"/>
          <w:w w:val="93"/>
          <w:sz w:val="20"/>
          <w:szCs w:val="20"/>
        </w:rPr>
        <w:t xml:space="preserve"> </w:t>
      </w:r>
      <w:r w:rsidRPr="00B004EE">
        <w:rPr>
          <w:rFonts w:ascii="Tahoma" w:hAnsi="Tahoma" w:cs="Tahoma"/>
          <w:sz w:val="20"/>
          <w:szCs w:val="20"/>
        </w:rPr>
        <w:t>interdite</w:t>
      </w:r>
      <w:r w:rsidR="00DB1635" w:rsidRPr="00B004EE">
        <w:rPr>
          <w:rFonts w:ascii="Tahoma" w:hAnsi="Tahoma" w:cs="Tahoma"/>
          <w:spacing w:val="-30"/>
          <w:sz w:val="20"/>
          <w:szCs w:val="20"/>
        </w:rPr>
        <w:t xml:space="preserve"> </w:t>
      </w:r>
      <w:r w:rsidRPr="00B004EE">
        <w:rPr>
          <w:rFonts w:ascii="Tahoma" w:hAnsi="Tahoma" w:cs="Tahoma"/>
          <w:sz w:val="20"/>
          <w:szCs w:val="20"/>
        </w:rPr>
        <w:t>et</w:t>
      </w:r>
      <w:r w:rsidR="00DB1635" w:rsidRPr="00B004EE">
        <w:rPr>
          <w:rFonts w:ascii="Tahoma" w:hAnsi="Tahoma" w:cs="Tahoma"/>
          <w:spacing w:val="-29"/>
          <w:sz w:val="20"/>
          <w:szCs w:val="20"/>
        </w:rPr>
        <w:t xml:space="preserve"> </w:t>
      </w:r>
      <w:r w:rsidRPr="00B004EE">
        <w:rPr>
          <w:rFonts w:ascii="Tahoma" w:hAnsi="Tahoma" w:cs="Tahoma"/>
          <w:sz w:val="20"/>
          <w:szCs w:val="20"/>
        </w:rPr>
        <w:t>à</w:t>
      </w:r>
      <w:r w:rsidR="00DB1635" w:rsidRPr="00B004EE">
        <w:rPr>
          <w:rFonts w:ascii="Tahoma" w:hAnsi="Tahoma" w:cs="Tahoma"/>
          <w:spacing w:val="-29"/>
          <w:sz w:val="20"/>
          <w:szCs w:val="20"/>
        </w:rPr>
        <w:t xml:space="preserve"> </w:t>
      </w:r>
      <w:r w:rsidRPr="00B004EE">
        <w:rPr>
          <w:rFonts w:ascii="Tahoma" w:hAnsi="Tahoma" w:cs="Tahoma"/>
          <w:sz w:val="20"/>
          <w:szCs w:val="20"/>
        </w:rPr>
        <w:t>des</w:t>
      </w:r>
      <w:r w:rsidR="00DB1635" w:rsidRPr="00B004EE">
        <w:rPr>
          <w:rFonts w:ascii="Tahoma" w:hAnsi="Tahoma" w:cs="Tahoma"/>
          <w:spacing w:val="-30"/>
          <w:sz w:val="20"/>
          <w:szCs w:val="20"/>
        </w:rPr>
        <w:t xml:space="preserve"> </w:t>
      </w:r>
      <w:r w:rsidRPr="00B004EE">
        <w:rPr>
          <w:rFonts w:ascii="Tahoma" w:hAnsi="Tahoma" w:cs="Tahoma"/>
          <w:sz w:val="20"/>
          <w:szCs w:val="20"/>
        </w:rPr>
        <w:t>opérations</w:t>
      </w:r>
      <w:r w:rsidR="00DB1635" w:rsidRPr="00B004EE">
        <w:rPr>
          <w:rFonts w:ascii="Tahoma" w:hAnsi="Tahoma" w:cs="Tahoma"/>
          <w:spacing w:val="-30"/>
          <w:sz w:val="20"/>
          <w:szCs w:val="20"/>
        </w:rPr>
        <w:t xml:space="preserve"> </w:t>
      </w:r>
      <w:r w:rsidRPr="00B004EE">
        <w:rPr>
          <w:rFonts w:ascii="Tahoma" w:hAnsi="Tahoma" w:cs="Tahoma"/>
          <w:sz w:val="20"/>
          <w:szCs w:val="20"/>
        </w:rPr>
        <w:t>connexes</w:t>
      </w:r>
      <w:r w:rsidR="00DB1635" w:rsidRPr="00B004EE">
        <w:rPr>
          <w:rFonts w:ascii="Tahoma" w:hAnsi="Tahoma" w:cs="Tahoma"/>
          <w:spacing w:val="-30"/>
          <w:sz w:val="20"/>
          <w:szCs w:val="20"/>
        </w:rPr>
        <w:t xml:space="preserve"> </w:t>
      </w:r>
      <w:r w:rsidRPr="00B004EE">
        <w:rPr>
          <w:rFonts w:ascii="Tahoma" w:hAnsi="Tahoma" w:cs="Tahoma"/>
          <w:sz w:val="20"/>
          <w:szCs w:val="20"/>
        </w:rPr>
        <w:t>à</w:t>
      </w:r>
      <w:r w:rsidR="00DB1635" w:rsidRPr="00B004EE">
        <w:rPr>
          <w:rFonts w:ascii="Tahoma" w:hAnsi="Tahoma" w:cs="Tahoma"/>
          <w:spacing w:val="-29"/>
          <w:sz w:val="20"/>
          <w:szCs w:val="20"/>
        </w:rPr>
        <w:t xml:space="preserve"> </w:t>
      </w:r>
      <w:r w:rsidRPr="00B004EE">
        <w:rPr>
          <w:rFonts w:ascii="Tahoma" w:hAnsi="Tahoma" w:cs="Tahoma"/>
          <w:sz w:val="20"/>
          <w:szCs w:val="20"/>
        </w:rPr>
        <w:t>la</w:t>
      </w:r>
      <w:r w:rsidR="00DB1635" w:rsidRPr="00B004EE">
        <w:rPr>
          <w:rFonts w:ascii="Tahoma" w:hAnsi="Tahoma" w:cs="Tahoma"/>
          <w:spacing w:val="-29"/>
          <w:sz w:val="20"/>
          <w:szCs w:val="20"/>
        </w:rPr>
        <w:t xml:space="preserve"> </w:t>
      </w:r>
      <w:r w:rsidRPr="00B004EE">
        <w:rPr>
          <w:rFonts w:ascii="Tahoma" w:hAnsi="Tahoma" w:cs="Tahoma"/>
          <w:sz w:val="20"/>
          <w:szCs w:val="20"/>
        </w:rPr>
        <w:t>pêche</w:t>
      </w:r>
      <w:r w:rsidR="00DB1635" w:rsidRPr="00B004EE">
        <w:rPr>
          <w:rFonts w:ascii="Tahoma" w:hAnsi="Tahoma" w:cs="Tahoma"/>
          <w:spacing w:val="-30"/>
          <w:sz w:val="20"/>
          <w:szCs w:val="20"/>
        </w:rPr>
        <w:t xml:space="preserve"> </w:t>
      </w:r>
      <w:r w:rsidRPr="00B004EE">
        <w:rPr>
          <w:rFonts w:ascii="Tahoma" w:hAnsi="Tahoma" w:cs="Tahoma"/>
          <w:sz w:val="20"/>
          <w:szCs w:val="20"/>
        </w:rPr>
        <w:t>non</w:t>
      </w:r>
      <w:r w:rsidR="00DB1635" w:rsidRPr="00B004EE">
        <w:rPr>
          <w:rFonts w:ascii="Tahoma" w:hAnsi="Tahoma" w:cs="Tahoma"/>
          <w:spacing w:val="-30"/>
          <w:sz w:val="20"/>
          <w:szCs w:val="20"/>
        </w:rPr>
        <w:t xml:space="preserve"> </w:t>
      </w:r>
      <w:r w:rsidRPr="00B004EE">
        <w:rPr>
          <w:rFonts w:ascii="Tahoma" w:hAnsi="Tahoma" w:cs="Tahoma"/>
          <w:sz w:val="20"/>
          <w:szCs w:val="20"/>
        </w:rPr>
        <w:t>autorisées.</w:t>
      </w:r>
    </w:p>
    <w:p w14:paraId="1CA5EEDC" w14:textId="39845167" w:rsidR="001E7C3C" w:rsidRPr="00B004EE" w:rsidRDefault="001E7C3C" w:rsidP="00B004EE">
      <w:pPr>
        <w:pStyle w:val="Corpsdetexte"/>
        <w:ind w:right="161"/>
        <w:rPr>
          <w:rFonts w:ascii="Tahoma" w:hAnsi="Tahoma" w:cs="Tahoma"/>
          <w:sz w:val="20"/>
          <w:szCs w:val="20"/>
        </w:rPr>
      </w:pPr>
      <w:r w:rsidRPr="00B004EE">
        <w:rPr>
          <w:rFonts w:ascii="Tahoma" w:hAnsi="Tahoma" w:cs="Tahoma"/>
          <w:sz w:val="20"/>
          <w:szCs w:val="20"/>
        </w:rPr>
        <w:t>Dans</w:t>
      </w:r>
      <w:r w:rsidR="00DB1635" w:rsidRPr="00B004EE">
        <w:rPr>
          <w:rFonts w:ascii="Tahoma" w:hAnsi="Tahoma" w:cs="Tahoma"/>
          <w:spacing w:val="22"/>
          <w:sz w:val="20"/>
          <w:szCs w:val="20"/>
        </w:rPr>
        <w:t xml:space="preserve"> </w:t>
      </w:r>
      <w:r w:rsidRPr="00B004EE">
        <w:rPr>
          <w:rFonts w:ascii="Tahoma" w:hAnsi="Tahoma" w:cs="Tahoma"/>
          <w:sz w:val="20"/>
          <w:szCs w:val="20"/>
        </w:rPr>
        <w:t>le</w:t>
      </w:r>
      <w:r w:rsidR="00DB1635" w:rsidRPr="00B004EE">
        <w:rPr>
          <w:rFonts w:ascii="Tahoma" w:hAnsi="Tahoma" w:cs="Tahoma"/>
          <w:spacing w:val="22"/>
          <w:sz w:val="20"/>
          <w:szCs w:val="20"/>
        </w:rPr>
        <w:t xml:space="preserve"> </w:t>
      </w:r>
      <w:r w:rsidRPr="00B004EE">
        <w:rPr>
          <w:rFonts w:ascii="Tahoma" w:hAnsi="Tahoma" w:cs="Tahoma"/>
          <w:sz w:val="20"/>
          <w:szCs w:val="20"/>
        </w:rPr>
        <w:t>cas</w:t>
      </w:r>
      <w:r w:rsidR="00DB1635" w:rsidRPr="00B004EE">
        <w:rPr>
          <w:rFonts w:ascii="Tahoma" w:hAnsi="Tahoma" w:cs="Tahoma"/>
          <w:spacing w:val="22"/>
          <w:sz w:val="20"/>
          <w:szCs w:val="20"/>
        </w:rPr>
        <w:t xml:space="preserve"> </w:t>
      </w:r>
      <w:r w:rsidRPr="00B004EE">
        <w:rPr>
          <w:rFonts w:ascii="Tahoma" w:hAnsi="Tahoma" w:cs="Tahoma"/>
          <w:sz w:val="20"/>
          <w:szCs w:val="20"/>
        </w:rPr>
        <w:t>particulier</w:t>
      </w:r>
      <w:r w:rsidR="00DB1635" w:rsidRPr="00B004EE">
        <w:rPr>
          <w:rFonts w:ascii="Tahoma" w:hAnsi="Tahoma" w:cs="Tahoma"/>
          <w:spacing w:val="22"/>
          <w:sz w:val="20"/>
          <w:szCs w:val="20"/>
        </w:rPr>
        <w:t xml:space="preserve"> </w:t>
      </w:r>
      <w:r w:rsidRPr="00B004EE">
        <w:rPr>
          <w:rFonts w:ascii="Tahoma" w:hAnsi="Tahoma" w:cs="Tahoma"/>
          <w:sz w:val="20"/>
          <w:szCs w:val="20"/>
        </w:rPr>
        <w:t>de</w:t>
      </w:r>
      <w:r w:rsidR="00DB1635" w:rsidRPr="00B004EE">
        <w:rPr>
          <w:rFonts w:ascii="Tahoma" w:hAnsi="Tahoma" w:cs="Tahoma"/>
          <w:spacing w:val="22"/>
          <w:sz w:val="20"/>
          <w:szCs w:val="20"/>
        </w:rPr>
        <w:t xml:space="preserve"> </w:t>
      </w:r>
      <w:r w:rsidRPr="00B004EE">
        <w:rPr>
          <w:rFonts w:ascii="Tahoma" w:hAnsi="Tahoma" w:cs="Tahoma"/>
          <w:sz w:val="20"/>
          <w:szCs w:val="20"/>
        </w:rPr>
        <w:t>la</w:t>
      </w:r>
      <w:r w:rsidR="00DB1635" w:rsidRPr="00B004EE">
        <w:rPr>
          <w:rFonts w:ascii="Tahoma" w:hAnsi="Tahoma" w:cs="Tahoma"/>
          <w:spacing w:val="23"/>
          <w:sz w:val="20"/>
          <w:szCs w:val="20"/>
        </w:rPr>
        <w:t xml:space="preserve"> </w:t>
      </w:r>
      <w:r w:rsidRPr="00B004EE">
        <w:rPr>
          <w:rFonts w:ascii="Tahoma" w:hAnsi="Tahoma" w:cs="Tahoma"/>
          <w:sz w:val="20"/>
          <w:szCs w:val="20"/>
        </w:rPr>
        <w:t>recherche</w:t>
      </w:r>
      <w:r w:rsidR="00DB1635" w:rsidRPr="00B004EE">
        <w:rPr>
          <w:rFonts w:ascii="Tahoma" w:hAnsi="Tahoma" w:cs="Tahoma"/>
          <w:spacing w:val="22"/>
          <w:sz w:val="20"/>
          <w:szCs w:val="20"/>
        </w:rPr>
        <w:t xml:space="preserve"> </w:t>
      </w:r>
      <w:r w:rsidRPr="00B004EE">
        <w:rPr>
          <w:rFonts w:ascii="Tahoma" w:hAnsi="Tahoma" w:cs="Tahoma"/>
          <w:sz w:val="20"/>
          <w:szCs w:val="20"/>
        </w:rPr>
        <w:t>et</w:t>
      </w:r>
      <w:r w:rsidR="00DB1635" w:rsidRPr="00B004EE">
        <w:rPr>
          <w:rFonts w:ascii="Tahoma" w:hAnsi="Tahoma" w:cs="Tahoma"/>
          <w:spacing w:val="22"/>
          <w:sz w:val="20"/>
          <w:szCs w:val="20"/>
        </w:rPr>
        <w:t xml:space="preserve"> </w:t>
      </w:r>
      <w:r w:rsidRPr="00B004EE">
        <w:rPr>
          <w:rFonts w:ascii="Tahoma" w:hAnsi="Tahoma" w:cs="Tahoma"/>
          <w:sz w:val="20"/>
          <w:szCs w:val="20"/>
        </w:rPr>
        <w:t>la</w:t>
      </w:r>
      <w:r w:rsidR="00DB1635" w:rsidRPr="00B004EE">
        <w:rPr>
          <w:rFonts w:ascii="Tahoma" w:hAnsi="Tahoma" w:cs="Tahoma"/>
          <w:spacing w:val="23"/>
          <w:sz w:val="20"/>
          <w:szCs w:val="20"/>
        </w:rPr>
        <w:t xml:space="preserve"> </w:t>
      </w:r>
      <w:r w:rsidRPr="00B004EE">
        <w:rPr>
          <w:rFonts w:ascii="Tahoma" w:hAnsi="Tahoma" w:cs="Tahoma"/>
          <w:sz w:val="20"/>
          <w:szCs w:val="20"/>
        </w:rPr>
        <w:t>constatation</w:t>
      </w:r>
      <w:r w:rsidR="00DB1635" w:rsidRPr="00B004EE">
        <w:rPr>
          <w:rFonts w:ascii="Tahoma" w:hAnsi="Tahoma" w:cs="Tahoma"/>
          <w:spacing w:val="22"/>
          <w:sz w:val="20"/>
          <w:szCs w:val="20"/>
        </w:rPr>
        <w:t xml:space="preserve"> </w:t>
      </w:r>
      <w:r w:rsidRPr="00B004EE">
        <w:rPr>
          <w:rFonts w:ascii="Tahoma" w:hAnsi="Tahoma" w:cs="Tahoma"/>
          <w:sz w:val="20"/>
          <w:szCs w:val="20"/>
        </w:rPr>
        <w:t>des</w:t>
      </w:r>
      <w:r w:rsidR="00DB1635" w:rsidRPr="00B004EE">
        <w:rPr>
          <w:rFonts w:ascii="Tahoma" w:hAnsi="Tahoma" w:cs="Tahoma"/>
          <w:spacing w:val="20"/>
          <w:sz w:val="20"/>
          <w:szCs w:val="20"/>
        </w:rPr>
        <w:t xml:space="preserve"> </w:t>
      </w:r>
      <w:r w:rsidRPr="00B004EE">
        <w:rPr>
          <w:rFonts w:ascii="Tahoma" w:hAnsi="Tahoma" w:cs="Tahoma"/>
          <w:sz w:val="20"/>
          <w:szCs w:val="20"/>
        </w:rPr>
        <w:t>infractions</w:t>
      </w:r>
      <w:r w:rsidR="00DB1635" w:rsidRPr="00B004EE">
        <w:rPr>
          <w:rFonts w:ascii="Tahoma" w:hAnsi="Tahoma" w:cs="Tahoma"/>
          <w:spacing w:val="20"/>
          <w:sz w:val="20"/>
          <w:szCs w:val="20"/>
        </w:rPr>
        <w:t xml:space="preserve"> </w:t>
      </w:r>
      <w:r w:rsidRPr="00B004EE">
        <w:rPr>
          <w:rFonts w:ascii="Tahoma" w:hAnsi="Tahoma" w:cs="Tahoma"/>
          <w:sz w:val="20"/>
          <w:szCs w:val="20"/>
        </w:rPr>
        <w:t>par</w:t>
      </w:r>
      <w:r w:rsidR="00DB1635" w:rsidRPr="00B004EE">
        <w:rPr>
          <w:rFonts w:ascii="Tahoma" w:hAnsi="Tahoma" w:cs="Tahoma"/>
          <w:spacing w:val="20"/>
          <w:sz w:val="20"/>
          <w:szCs w:val="20"/>
        </w:rPr>
        <w:t xml:space="preserve"> </w:t>
      </w:r>
      <w:r w:rsidRPr="00B004EE">
        <w:rPr>
          <w:rFonts w:ascii="Tahoma" w:hAnsi="Tahoma" w:cs="Tahoma"/>
          <w:sz w:val="20"/>
          <w:szCs w:val="20"/>
        </w:rPr>
        <w:t>le</w:t>
      </w:r>
      <w:r w:rsidR="00DB1635" w:rsidRPr="00B004EE">
        <w:rPr>
          <w:rFonts w:ascii="Tahoma" w:hAnsi="Tahoma" w:cs="Tahoma"/>
          <w:w w:val="94"/>
          <w:sz w:val="20"/>
          <w:szCs w:val="20"/>
        </w:rPr>
        <w:t xml:space="preserve"> </w:t>
      </w:r>
      <w:r w:rsidRPr="00B004EE">
        <w:rPr>
          <w:rFonts w:ascii="Tahoma" w:hAnsi="Tahoma" w:cs="Tahoma"/>
          <w:sz w:val="20"/>
          <w:szCs w:val="20"/>
        </w:rPr>
        <w:t>système</w:t>
      </w:r>
      <w:r w:rsidR="00DB1635" w:rsidRPr="00B004EE">
        <w:rPr>
          <w:rFonts w:ascii="Tahoma" w:hAnsi="Tahoma" w:cs="Tahoma"/>
          <w:spacing w:val="-25"/>
          <w:sz w:val="20"/>
          <w:szCs w:val="20"/>
        </w:rPr>
        <w:t xml:space="preserve"> </w:t>
      </w:r>
      <w:r w:rsidRPr="00B004EE">
        <w:rPr>
          <w:rFonts w:ascii="Tahoma" w:hAnsi="Tahoma" w:cs="Tahoma"/>
          <w:sz w:val="20"/>
          <w:szCs w:val="20"/>
        </w:rPr>
        <w:t>de</w:t>
      </w:r>
      <w:r w:rsidR="00DB1635" w:rsidRPr="00B004EE">
        <w:rPr>
          <w:rFonts w:ascii="Tahoma" w:hAnsi="Tahoma" w:cs="Tahoma"/>
          <w:spacing w:val="-26"/>
          <w:sz w:val="20"/>
          <w:szCs w:val="20"/>
        </w:rPr>
        <w:t xml:space="preserve"> </w:t>
      </w:r>
      <w:r w:rsidRPr="00B004EE">
        <w:rPr>
          <w:rFonts w:ascii="Tahoma" w:hAnsi="Tahoma" w:cs="Tahoma"/>
          <w:sz w:val="20"/>
          <w:szCs w:val="20"/>
        </w:rPr>
        <w:t>suivi</w:t>
      </w:r>
      <w:r w:rsidR="00DB1635" w:rsidRPr="00B004EE">
        <w:rPr>
          <w:rFonts w:ascii="Tahoma" w:hAnsi="Tahoma" w:cs="Tahoma"/>
          <w:spacing w:val="-25"/>
          <w:sz w:val="20"/>
          <w:szCs w:val="20"/>
        </w:rPr>
        <w:t xml:space="preserve"> </w:t>
      </w:r>
      <w:r w:rsidRPr="00B004EE">
        <w:rPr>
          <w:rFonts w:ascii="Tahoma" w:hAnsi="Tahoma" w:cs="Tahoma"/>
          <w:sz w:val="20"/>
          <w:szCs w:val="20"/>
        </w:rPr>
        <w:t>des</w:t>
      </w:r>
      <w:r w:rsidR="00DB1635" w:rsidRPr="00B004EE">
        <w:rPr>
          <w:rFonts w:ascii="Tahoma" w:hAnsi="Tahoma" w:cs="Tahoma"/>
          <w:spacing w:val="-27"/>
          <w:sz w:val="20"/>
          <w:szCs w:val="20"/>
        </w:rPr>
        <w:t xml:space="preserve"> </w:t>
      </w:r>
      <w:r w:rsidRPr="00B004EE">
        <w:rPr>
          <w:rFonts w:ascii="Tahoma" w:hAnsi="Tahoma" w:cs="Tahoma"/>
          <w:sz w:val="20"/>
          <w:szCs w:val="20"/>
        </w:rPr>
        <w:t>navires</w:t>
      </w:r>
      <w:r w:rsidR="00DB1635" w:rsidRPr="00B004EE">
        <w:rPr>
          <w:rFonts w:ascii="Tahoma" w:hAnsi="Tahoma" w:cs="Tahoma"/>
          <w:spacing w:val="-27"/>
          <w:sz w:val="20"/>
          <w:szCs w:val="20"/>
        </w:rPr>
        <w:t xml:space="preserve"> </w:t>
      </w:r>
      <w:r w:rsidRPr="00B004EE">
        <w:rPr>
          <w:rFonts w:ascii="Tahoma" w:hAnsi="Tahoma" w:cs="Tahoma"/>
          <w:sz w:val="20"/>
          <w:szCs w:val="20"/>
        </w:rPr>
        <w:t>ou</w:t>
      </w:r>
      <w:r w:rsidR="00DB1635" w:rsidRPr="00B004EE">
        <w:rPr>
          <w:rFonts w:ascii="Tahoma" w:hAnsi="Tahoma" w:cs="Tahoma"/>
          <w:spacing w:val="-27"/>
          <w:sz w:val="20"/>
          <w:szCs w:val="20"/>
        </w:rPr>
        <w:t xml:space="preserve"> </w:t>
      </w:r>
      <w:r w:rsidRPr="00B004EE">
        <w:rPr>
          <w:rFonts w:ascii="Tahoma" w:hAnsi="Tahoma" w:cs="Tahoma"/>
          <w:sz w:val="20"/>
          <w:szCs w:val="20"/>
        </w:rPr>
        <w:t>par</w:t>
      </w:r>
      <w:r w:rsidR="00DB1635" w:rsidRPr="00B004EE">
        <w:rPr>
          <w:rFonts w:ascii="Tahoma" w:hAnsi="Tahoma" w:cs="Tahoma"/>
          <w:spacing w:val="-27"/>
          <w:sz w:val="20"/>
          <w:szCs w:val="20"/>
        </w:rPr>
        <w:t xml:space="preserve"> </w:t>
      </w:r>
      <w:r w:rsidRPr="00B004EE">
        <w:rPr>
          <w:rFonts w:ascii="Tahoma" w:hAnsi="Tahoma" w:cs="Tahoma"/>
          <w:sz w:val="20"/>
          <w:szCs w:val="20"/>
        </w:rPr>
        <w:t>un</w:t>
      </w:r>
      <w:r w:rsidR="00DB1635" w:rsidRPr="00B004EE">
        <w:rPr>
          <w:rFonts w:ascii="Tahoma" w:hAnsi="Tahoma" w:cs="Tahoma"/>
          <w:spacing w:val="-27"/>
          <w:sz w:val="20"/>
          <w:szCs w:val="20"/>
        </w:rPr>
        <w:t xml:space="preserve"> </w:t>
      </w:r>
      <w:r w:rsidRPr="00B004EE">
        <w:rPr>
          <w:rFonts w:ascii="Tahoma" w:hAnsi="Tahoma" w:cs="Tahoma"/>
          <w:sz w:val="20"/>
          <w:szCs w:val="20"/>
        </w:rPr>
        <w:t>aéronef,</w:t>
      </w:r>
      <w:r w:rsidR="00DB1635" w:rsidRPr="00B004EE">
        <w:rPr>
          <w:rFonts w:ascii="Tahoma" w:hAnsi="Tahoma" w:cs="Tahoma"/>
          <w:spacing w:val="-27"/>
          <w:sz w:val="20"/>
          <w:szCs w:val="20"/>
        </w:rPr>
        <w:t xml:space="preserve"> </w:t>
      </w:r>
      <w:r w:rsidRPr="00B004EE">
        <w:rPr>
          <w:rFonts w:ascii="Tahoma" w:hAnsi="Tahoma" w:cs="Tahoma"/>
          <w:sz w:val="20"/>
          <w:szCs w:val="20"/>
        </w:rPr>
        <w:t>les</w:t>
      </w:r>
      <w:r w:rsidR="00DB1635" w:rsidRPr="00B004EE">
        <w:rPr>
          <w:rFonts w:ascii="Tahoma" w:hAnsi="Tahoma" w:cs="Tahoma"/>
          <w:spacing w:val="-27"/>
          <w:sz w:val="20"/>
          <w:szCs w:val="20"/>
        </w:rPr>
        <w:t xml:space="preserve"> </w:t>
      </w:r>
      <w:r w:rsidRPr="00B004EE">
        <w:rPr>
          <w:rFonts w:ascii="Tahoma" w:hAnsi="Tahoma" w:cs="Tahoma"/>
          <w:sz w:val="20"/>
          <w:szCs w:val="20"/>
        </w:rPr>
        <w:t>renseignements</w:t>
      </w:r>
      <w:r w:rsidR="00DB1635" w:rsidRPr="00B004EE">
        <w:rPr>
          <w:rFonts w:ascii="Tahoma" w:hAnsi="Tahoma" w:cs="Tahoma"/>
          <w:spacing w:val="-27"/>
          <w:sz w:val="20"/>
          <w:szCs w:val="20"/>
        </w:rPr>
        <w:t xml:space="preserve"> </w:t>
      </w:r>
      <w:r w:rsidRPr="00B004EE">
        <w:rPr>
          <w:rFonts w:ascii="Tahoma" w:hAnsi="Tahoma" w:cs="Tahoma"/>
          <w:sz w:val="20"/>
          <w:szCs w:val="20"/>
        </w:rPr>
        <w:t>pertinents</w:t>
      </w:r>
      <w:r w:rsidR="00DB1635" w:rsidRPr="00B004EE">
        <w:rPr>
          <w:rFonts w:ascii="Tahoma" w:hAnsi="Tahoma" w:cs="Tahoma"/>
          <w:spacing w:val="-27"/>
          <w:sz w:val="20"/>
          <w:szCs w:val="20"/>
        </w:rPr>
        <w:t xml:space="preserve"> </w:t>
      </w:r>
      <w:r w:rsidRPr="00B004EE">
        <w:rPr>
          <w:rFonts w:ascii="Tahoma" w:hAnsi="Tahoma" w:cs="Tahoma"/>
          <w:sz w:val="20"/>
          <w:szCs w:val="20"/>
        </w:rPr>
        <w:t>sont</w:t>
      </w:r>
      <w:r w:rsidR="00DB1635" w:rsidRPr="00B004EE">
        <w:rPr>
          <w:rFonts w:ascii="Tahoma" w:hAnsi="Tahoma" w:cs="Tahoma"/>
          <w:w w:val="97"/>
          <w:sz w:val="20"/>
          <w:szCs w:val="20"/>
        </w:rPr>
        <w:t xml:space="preserve"> </w:t>
      </w:r>
      <w:r w:rsidRPr="00B004EE">
        <w:rPr>
          <w:rFonts w:ascii="Tahoma" w:hAnsi="Tahoma" w:cs="Tahoma"/>
          <w:sz w:val="20"/>
          <w:szCs w:val="20"/>
        </w:rPr>
        <w:t>relevés</w:t>
      </w:r>
      <w:r w:rsidR="00DB1635" w:rsidRPr="00B004EE">
        <w:rPr>
          <w:rFonts w:ascii="Tahoma" w:hAnsi="Tahoma" w:cs="Tahoma"/>
          <w:spacing w:val="-13"/>
          <w:sz w:val="20"/>
          <w:szCs w:val="20"/>
        </w:rPr>
        <w:t xml:space="preserve"> </w:t>
      </w:r>
      <w:r w:rsidRPr="00B004EE">
        <w:rPr>
          <w:rFonts w:ascii="Tahoma" w:hAnsi="Tahoma" w:cs="Tahoma"/>
          <w:sz w:val="20"/>
          <w:szCs w:val="20"/>
        </w:rPr>
        <w:t>par</w:t>
      </w:r>
      <w:r w:rsidR="00DB1635" w:rsidRPr="00B004EE">
        <w:rPr>
          <w:rFonts w:ascii="Tahoma" w:hAnsi="Tahoma" w:cs="Tahoma"/>
          <w:spacing w:val="-13"/>
          <w:sz w:val="20"/>
          <w:szCs w:val="20"/>
        </w:rPr>
        <w:t xml:space="preserve"> </w:t>
      </w:r>
      <w:r w:rsidRPr="00B004EE">
        <w:rPr>
          <w:rFonts w:ascii="Tahoma" w:hAnsi="Tahoma" w:cs="Tahoma"/>
          <w:sz w:val="20"/>
          <w:szCs w:val="20"/>
        </w:rPr>
        <w:t>les</w:t>
      </w:r>
      <w:r w:rsidR="00DB1635" w:rsidRPr="00B004EE">
        <w:rPr>
          <w:rFonts w:ascii="Tahoma" w:hAnsi="Tahoma" w:cs="Tahoma"/>
          <w:spacing w:val="-13"/>
          <w:sz w:val="20"/>
          <w:szCs w:val="20"/>
        </w:rPr>
        <w:t xml:space="preserve"> </w:t>
      </w:r>
      <w:r w:rsidRPr="00B004EE">
        <w:rPr>
          <w:rFonts w:ascii="Tahoma" w:hAnsi="Tahoma" w:cs="Tahoma"/>
          <w:sz w:val="20"/>
          <w:szCs w:val="20"/>
        </w:rPr>
        <w:t>agents</w:t>
      </w:r>
      <w:r w:rsidR="00DB1635" w:rsidRPr="00B004EE">
        <w:rPr>
          <w:rFonts w:ascii="Tahoma" w:hAnsi="Tahoma" w:cs="Tahoma"/>
          <w:spacing w:val="-13"/>
          <w:sz w:val="20"/>
          <w:szCs w:val="20"/>
        </w:rPr>
        <w:t xml:space="preserve"> </w:t>
      </w:r>
      <w:r w:rsidRPr="00B004EE">
        <w:rPr>
          <w:rFonts w:ascii="Tahoma" w:hAnsi="Tahoma" w:cs="Tahoma"/>
          <w:sz w:val="20"/>
          <w:szCs w:val="20"/>
        </w:rPr>
        <w:t>de</w:t>
      </w:r>
      <w:r w:rsidR="00DB1635" w:rsidRPr="00B004EE">
        <w:rPr>
          <w:rFonts w:ascii="Tahoma" w:hAnsi="Tahoma" w:cs="Tahoma"/>
          <w:spacing w:val="-13"/>
          <w:sz w:val="20"/>
          <w:szCs w:val="20"/>
        </w:rPr>
        <w:t xml:space="preserve"> </w:t>
      </w:r>
      <w:r w:rsidRPr="00B004EE">
        <w:rPr>
          <w:rFonts w:ascii="Tahoma" w:hAnsi="Tahoma" w:cs="Tahoma"/>
          <w:sz w:val="20"/>
          <w:szCs w:val="20"/>
        </w:rPr>
        <w:t>contrôle.</w:t>
      </w:r>
      <w:r w:rsidR="00DB1635" w:rsidRPr="00B004EE">
        <w:rPr>
          <w:rFonts w:ascii="Tahoma" w:hAnsi="Tahoma" w:cs="Tahoma"/>
          <w:spacing w:val="-13"/>
          <w:sz w:val="20"/>
          <w:szCs w:val="20"/>
        </w:rPr>
        <w:t xml:space="preserve"> </w:t>
      </w:r>
      <w:r w:rsidRPr="00B004EE">
        <w:rPr>
          <w:rFonts w:ascii="Tahoma" w:hAnsi="Tahoma" w:cs="Tahoma"/>
          <w:sz w:val="20"/>
          <w:szCs w:val="20"/>
        </w:rPr>
        <w:t>Ces</w:t>
      </w:r>
      <w:r w:rsidR="00DB1635" w:rsidRPr="00B004EE">
        <w:rPr>
          <w:rFonts w:ascii="Tahoma" w:hAnsi="Tahoma" w:cs="Tahoma"/>
          <w:spacing w:val="-13"/>
          <w:sz w:val="20"/>
          <w:szCs w:val="20"/>
        </w:rPr>
        <w:t xml:space="preserve"> </w:t>
      </w:r>
      <w:r w:rsidRPr="00B004EE">
        <w:rPr>
          <w:rFonts w:ascii="Tahoma" w:hAnsi="Tahoma" w:cs="Tahoma"/>
          <w:sz w:val="20"/>
          <w:szCs w:val="20"/>
        </w:rPr>
        <w:t>renseignements</w:t>
      </w:r>
      <w:r w:rsidR="00DB1635" w:rsidRPr="00B004EE">
        <w:rPr>
          <w:rFonts w:ascii="Tahoma" w:hAnsi="Tahoma" w:cs="Tahoma"/>
          <w:spacing w:val="-13"/>
          <w:sz w:val="20"/>
          <w:szCs w:val="20"/>
        </w:rPr>
        <w:t xml:space="preserve"> </w:t>
      </w:r>
      <w:r w:rsidRPr="00B004EE">
        <w:rPr>
          <w:rFonts w:ascii="Tahoma" w:hAnsi="Tahoma" w:cs="Tahoma"/>
          <w:sz w:val="20"/>
          <w:szCs w:val="20"/>
        </w:rPr>
        <w:t>constituent</w:t>
      </w:r>
      <w:r w:rsidR="00DB1635" w:rsidRPr="00B004EE">
        <w:rPr>
          <w:rFonts w:ascii="Tahoma" w:hAnsi="Tahoma" w:cs="Tahoma"/>
          <w:spacing w:val="-13"/>
          <w:sz w:val="20"/>
          <w:szCs w:val="20"/>
        </w:rPr>
        <w:t xml:space="preserve"> </w:t>
      </w:r>
      <w:r w:rsidRPr="00B004EE">
        <w:rPr>
          <w:rFonts w:ascii="Tahoma" w:hAnsi="Tahoma" w:cs="Tahoma"/>
          <w:sz w:val="20"/>
          <w:szCs w:val="20"/>
        </w:rPr>
        <w:t>des</w:t>
      </w:r>
      <w:r w:rsidR="00DB1635" w:rsidRPr="00B004EE">
        <w:rPr>
          <w:rFonts w:ascii="Tahoma" w:hAnsi="Tahoma" w:cs="Tahoma"/>
          <w:spacing w:val="-13"/>
          <w:sz w:val="20"/>
          <w:szCs w:val="20"/>
        </w:rPr>
        <w:t xml:space="preserve"> </w:t>
      </w:r>
      <w:r w:rsidRPr="00B004EE">
        <w:rPr>
          <w:rFonts w:ascii="Tahoma" w:hAnsi="Tahoma" w:cs="Tahoma"/>
          <w:sz w:val="20"/>
          <w:szCs w:val="20"/>
        </w:rPr>
        <w:t>moyens</w:t>
      </w:r>
      <w:r w:rsidR="00DB1635" w:rsidRPr="00B004EE">
        <w:rPr>
          <w:rFonts w:ascii="Tahoma" w:hAnsi="Tahoma" w:cs="Tahoma"/>
          <w:spacing w:val="-13"/>
          <w:sz w:val="20"/>
          <w:szCs w:val="20"/>
        </w:rPr>
        <w:t xml:space="preserve"> </w:t>
      </w:r>
      <w:r w:rsidRPr="00B004EE">
        <w:rPr>
          <w:rFonts w:ascii="Tahoma" w:hAnsi="Tahoma" w:cs="Tahoma"/>
          <w:sz w:val="20"/>
          <w:szCs w:val="20"/>
        </w:rPr>
        <w:t>de</w:t>
      </w:r>
      <w:r w:rsidR="00DB1635" w:rsidRPr="00B004EE">
        <w:rPr>
          <w:rFonts w:ascii="Tahoma" w:hAnsi="Tahoma" w:cs="Tahoma"/>
          <w:w w:val="94"/>
          <w:sz w:val="20"/>
          <w:szCs w:val="20"/>
        </w:rPr>
        <w:t xml:space="preserve"> </w:t>
      </w:r>
      <w:r w:rsidRPr="00B004EE">
        <w:rPr>
          <w:rFonts w:ascii="Tahoma" w:hAnsi="Tahoma" w:cs="Tahoma"/>
          <w:sz w:val="20"/>
          <w:szCs w:val="20"/>
        </w:rPr>
        <w:t>preuve</w:t>
      </w:r>
      <w:r w:rsidR="00DB1635" w:rsidRPr="00B004EE">
        <w:rPr>
          <w:rFonts w:ascii="Tahoma" w:hAnsi="Tahoma" w:cs="Tahoma"/>
          <w:spacing w:val="-37"/>
          <w:sz w:val="20"/>
          <w:szCs w:val="20"/>
        </w:rPr>
        <w:t xml:space="preserve"> </w:t>
      </w:r>
      <w:r w:rsidRPr="00B004EE">
        <w:rPr>
          <w:rFonts w:ascii="Tahoma" w:hAnsi="Tahoma" w:cs="Tahoma"/>
          <w:sz w:val="20"/>
          <w:szCs w:val="20"/>
        </w:rPr>
        <w:t>faisant</w:t>
      </w:r>
      <w:r w:rsidR="00DB1635" w:rsidRPr="00B004EE">
        <w:rPr>
          <w:rFonts w:ascii="Tahoma" w:hAnsi="Tahoma" w:cs="Tahoma"/>
          <w:spacing w:val="-37"/>
          <w:sz w:val="20"/>
          <w:szCs w:val="20"/>
        </w:rPr>
        <w:t xml:space="preserve"> </w:t>
      </w:r>
      <w:r w:rsidRPr="00B004EE">
        <w:rPr>
          <w:rFonts w:ascii="Tahoma" w:hAnsi="Tahoma" w:cs="Tahoma"/>
          <w:sz w:val="20"/>
          <w:szCs w:val="20"/>
        </w:rPr>
        <w:t>foi</w:t>
      </w:r>
      <w:r w:rsidR="00DB1635" w:rsidRPr="00B004EE">
        <w:rPr>
          <w:rFonts w:ascii="Tahoma" w:hAnsi="Tahoma" w:cs="Tahoma"/>
          <w:spacing w:val="-37"/>
          <w:sz w:val="20"/>
          <w:szCs w:val="20"/>
        </w:rPr>
        <w:t xml:space="preserve"> </w:t>
      </w:r>
      <w:r w:rsidRPr="00B004EE">
        <w:rPr>
          <w:rFonts w:ascii="Tahoma" w:hAnsi="Tahoma" w:cs="Tahoma"/>
          <w:sz w:val="20"/>
          <w:szCs w:val="20"/>
        </w:rPr>
        <w:t>jusqu'à</w:t>
      </w:r>
      <w:r w:rsidR="00DB1635" w:rsidRPr="00B004EE">
        <w:rPr>
          <w:rFonts w:ascii="Tahoma" w:hAnsi="Tahoma" w:cs="Tahoma"/>
          <w:spacing w:val="-37"/>
          <w:sz w:val="20"/>
          <w:szCs w:val="20"/>
        </w:rPr>
        <w:t xml:space="preserve"> </w:t>
      </w:r>
      <w:r w:rsidRPr="00B004EE">
        <w:rPr>
          <w:rFonts w:ascii="Tahoma" w:hAnsi="Tahoma" w:cs="Tahoma"/>
          <w:sz w:val="20"/>
          <w:szCs w:val="20"/>
        </w:rPr>
        <w:t>preuve</w:t>
      </w:r>
      <w:r w:rsidR="00DB1635" w:rsidRPr="00B004EE">
        <w:rPr>
          <w:rFonts w:ascii="Tahoma" w:hAnsi="Tahoma" w:cs="Tahoma"/>
          <w:spacing w:val="-37"/>
          <w:sz w:val="20"/>
          <w:szCs w:val="20"/>
        </w:rPr>
        <w:t xml:space="preserve"> </w:t>
      </w:r>
      <w:r w:rsidRPr="00B004EE">
        <w:rPr>
          <w:rFonts w:ascii="Tahoma" w:hAnsi="Tahoma" w:cs="Tahoma"/>
          <w:sz w:val="20"/>
          <w:szCs w:val="20"/>
        </w:rPr>
        <w:t>contraire.</w:t>
      </w:r>
    </w:p>
    <w:p w14:paraId="24C92CB7" w14:textId="77777777" w:rsidR="001E7C3C" w:rsidRPr="00B004EE" w:rsidRDefault="001E7C3C" w:rsidP="00B004EE">
      <w:pPr>
        <w:jc w:val="both"/>
        <w:rPr>
          <w:rFonts w:ascii="Tahoma" w:hAnsi="Tahoma" w:cs="Tahoma"/>
          <w:sz w:val="20"/>
          <w:szCs w:val="20"/>
        </w:rPr>
      </w:pPr>
    </w:p>
    <w:p w14:paraId="54C52433" w14:textId="0702C865" w:rsidR="001E7C3C" w:rsidRPr="00B004EE" w:rsidRDefault="001E7C3C" w:rsidP="00B004EE">
      <w:pPr>
        <w:pStyle w:val="Corpsdetexte"/>
        <w:ind w:right="158"/>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74</w:t>
      </w:r>
      <w:r w:rsidR="00DB1635" w:rsidRPr="00B004EE">
        <w:rPr>
          <w:rFonts w:ascii="Tahoma" w:hAnsi="Tahoma" w:cs="Tahoma"/>
          <w:bCs/>
          <w:sz w:val="20"/>
          <w:szCs w:val="20"/>
        </w:rPr>
        <w:t xml:space="preserve"> </w:t>
      </w:r>
      <w:r w:rsidRPr="00B004EE">
        <w:rPr>
          <w:rFonts w:ascii="Tahoma" w:hAnsi="Tahoma" w:cs="Tahoma"/>
          <w:bCs/>
          <w:sz w:val="20"/>
          <w:szCs w:val="20"/>
        </w:rPr>
        <w:t>:</w:t>
      </w:r>
      <w:r w:rsidR="00DB1635" w:rsidRPr="00B004EE">
        <w:rPr>
          <w:rFonts w:ascii="Tahoma" w:eastAsia="American Typewriter" w:hAnsi="Tahoma" w:cs="Tahoma"/>
          <w:b/>
          <w:bCs/>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procédures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contrôle</w:t>
      </w:r>
      <w:r w:rsidR="00DB1635" w:rsidRPr="00B004EE">
        <w:rPr>
          <w:rFonts w:ascii="Tahoma" w:hAnsi="Tahoma" w:cs="Tahoma"/>
          <w:sz w:val="20"/>
          <w:szCs w:val="20"/>
        </w:rPr>
        <w:t xml:space="preserve"> </w:t>
      </w:r>
      <w:r w:rsidRPr="00B004EE">
        <w:rPr>
          <w:rFonts w:ascii="Tahoma" w:hAnsi="Tahoma" w:cs="Tahoma"/>
          <w:sz w:val="20"/>
          <w:szCs w:val="20"/>
        </w:rPr>
        <w:t>prévues</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articles</w:t>
      </w:r>
      <w:r w:rsidR="00DB1635" w:rsidRPr="00B004EE">
        <w:rPr>
          <w:rFonts w:ascii="Tahoma" w:hAnsi="Tahoma" w:cs="Tahoma"/>
          <w:sz w:val="20"/>
          <w:szCs w:val="20"/>
        </w:rPr>
        <w:t xml:space="preserve"> </w:t>
      </w:r>
      <w:r w:rsidRPr="00B004EE">
        <w:rPr>
          <w:rFonts w:ascii="Tahoma" w:hAnsi="Tahoma" w:cs="Tahoma"/>
          <w:sz w:val="20"/>
          <w:szCs w:val="20"/>
        </w:rPr>
        <w:t>ci-dessus</w:t>
      </w:r>
      <w:r w:rsidR="00DB1635" w:rsidRPr="00B004EE">
        <w:rPr>
          <w:rFonts w:ascii="Tahoma" w:hAnsi="Tahoma" w:cs="Tahoma"/>
          <w:spacing w:val="37"/>
          <w:sz w:val="20"/>
          <w:szCs w:val="20"/>
        </w:rPr>
        <w:t xml:space="preserve"> </w:t>
      </w:r>
      <w:r w:rsidRPr="00B004EE">
        <w:rPr>
          <w:rFonts w:ascii="Tahoma" w:hAnsi="Tahoma" w:cs="Tahoma"/>
          <w:sz w:val="20"/>
          <w:szCs w:val="20"/>
        </w:rPr>
        <w:t>seront</w:t>
      </w:r>
      <w:r w:rsidR="00DB1635" w:rsidRPr="00B004EE">
        <w:rPr>
          <w:rFonts w:ascii="Tahoma" w:hAnsi="Tahoma" w:cs="Tahoma"/>
          <w:w w:val="94"/>
          <w:sz w:val="20"/>
          <w:szCs w:val="20"/>
        </w:rPr>
        <w:t xml:space="preserve"> </w:t>
      </w:r>
      <w:r w:rsidRPr="00B004EE">
        <w:rPr>
          <w:rFonts w:ascii="Tahoma" w:hAnsi="Tahoma" w:cs="Tahoma"/>
          <w:sz w:val="20"/>
          <w:szCs w:val="20"/>
        </w:rPr>
        <w:t>précisées</w:t>
      </w:r>
      <w:r w:rsidR="00DB1635" w:rsidRPr="00B004EE">
        <w:rPr>
          <w:rFonts w:ascii="Tahoma" w:hAnsi="Tahoma" w:cs="Tahoma"/>
          <w:spacing w:val="-8"/>
          <w:sz w:val="20"/>
          <w:szCs w:val="20"/>
        </w:rPr>
        <w:t xml:space="preserve"> </w:t>
      </w:r>
      <w:r w:rsidRPr="00B004EE">
        <w:rPr>
          <w:rFonts w:ascii="Tahoma" w:hAnsi="Tahoma" w:cs="Tahoma"/>
          <w:sz w:val="20"/>
          <w:szCs w:val="20"/>
        </w:rPr>
        <w:t>par</w:t>
      </w:r>
      <w:r w:rsidR="00DB1635" w:rsidRPr="00B004EE">
        <w:rPr>
          <w:rFonts w:ascii="Tahoma" w:hAnsi="Tahoma" w:cs="Tahoma"/>
          <w:spacing w:val="-8"/>
          <w:sz w:val="20"/>
          <w:szCs w:val="20"/>
        </w:rPr>
        <w:t xml:space="preserve"> </w:t>
      </w:r>
      <w:r w:rsidRPr="00B004EE">
        <w:rPr>
          <w:rFonts w:ascii="Tahoma" w:hAnsi="Tahoma" w:cs="Tahoma"/>
          <w:sz w:val="20"/>
          <w:szCs w:val="20"/>
        </w:rPr>
        <w:t>décret</w:t>
      </w:r>
      <w:r w:rsidR="00DB1635" w:rsidRPr="00B004EE">
        <w:rPr>
          <w:rFonts w:ascii="Tahoma" w:hAnsi="Tahoma" w:cs="Tahoma"/>
          <w:spacing w:val="-7"/>
          <w:sz w:val="20"/>
          <w:szCs w:val="20"/>
        </w:rPr>
        <w:t xml:space="preserve"> </w:t>
      </w:r>
      <w:r w:rsidRPr="00B004EE">
        <w:rPr>
          <w:rFonts w:ascii="Tahoma" w:hAnsi="Tahoma" w:cs="Tahoma"/>
          <w:sz w:val="20"/>
          <w:szCs w:val="20"/>
        </w:rPr>
        <w:t>pris</w:t>
      </w:r>
      <w:r w:rsidR="00DB1635" w:rsidRPr="00B004EE">
        <w:rPr>
          <w:rFonts w:ascii="Tahoma" w:hAnsi="Tahoma" w:cs="Tahoma"/>
          <w:spacing w:val="-8"/>
          <w:sz w:val="20"/>
          <w:szCs w:val="20"/>
        </w:rPr>
        <w:t xml:space="preserve"> </w:t>
      </w:r>
      <w:r w:rsidRPr="00B004EE">
        <w:rPr>
          <w:rFonts w:ascii="Tahoma" w:hAnsi="Tahoma" w:cs="Tahoma"/>
          <w:sz w:val="20"/>
          <w:szCs w:val="20"/>
        </w:rPr>
        <w:t>en</w:t>
      </w:r>
      <w:r w:rsidR="00DB1635" w:rsidRPr="00B004EE">
        <w:rPr>
          <w:rFonts w:ascii="Tahoma" w:hAnsi="Tahoma" w:cs="Tahoma"/>
          <w:spacing w:val="-7"/>
          <w:sz w:val="20"/>
          <w:szCs w:val="20"/>
        </w:rPr>
        <w:t xml:space="preserve"> </w:t>
      </w:r>
      <w:r w:rsidRPr="00B004EE">
        <w:rPr>
          <w:rFonts w:ascii="Tahoma" w:hAnsi="Tahoma" w:cs="Tahoma"/>
          <w:sz w:val="20"/>
          <w:szCs w:val="20"/>
        </w:rPr>
        <w:t>Conseil</w:t>
      </w:r>
      <w:r w:rsidR="00DB1635" w:rsidRPr="00B004EE">
        <w:rPr>
          <w:rFonts w:ascii="Tahoma" w:hAnsi="Tahoma" w:cs="Tahoma"/>
          <w:spacing w:val="-7"/>
          <w:sz w:val="20"/>
          <w:szCs w:val="20"/>
        </w:rPr>
        <w:t xml:space="preserve"> </w:t>
      </w:r>
      <w:r w:rsidRPr="00B004EE">
        <w:rPr>
          <w:rFonts w:ascii="Tahoma" w:hAnsi="Tahoma" w:cs="Tahoma"/>
          <w:sz w:val="20"/>
          <w:szCs w:val="20"/>
        </w:rPr>
        <w:t>des</w:t>
      </w:r>
      <w:r w:rsidR="00DB1635" w:rsidRPr="00B004EE">
        <w:rPr>
          <w:rFonts w:ascii="Tahoma" w:hAnsi="Tahoma" w:cs="Tahoma"/>
          <w:spacing w:val="-6"/>
          <w:sz w:val="20"/>
          <w:szCs w:val="20"/>
        </w:rPr>
        <w:t xml:space="preserve"> </w:t>
      </w:r>
      <w:r w:rsidRPr="00B004EE">
        <w:rPr>
          <w:rFonts w:ascii="Tahoma" w:hAnsi="Tahoma" w:cs="Tahoma"/>
          <w:sz w:val="20"/>
          <w:szCs w:val="20"/>
        </w:rPr>
        <w:t>Ministres</w:t>
      </w:r>
      <w:r w:rsidR="00DB1635" w:rsidRPr="00B004EE">
        <w:rPr>
          <w:rFonts w:ascii="Tahoma" w:hAnsi="Tahoma" w:cs="Tahoma"/>
          <w:spacing w:val="-8"/>
          <w:sz w:val="20"/>
          <w:szCs w:val="20"/>
        </w:rPr>
        <w:t xml:space="preserve"> </w:t>
      </w:r>
      <w:r w:rsidRPr="00B004EE">
        <w:rPr>
          <w:rFonts w:ascii="Tahoma" w:hAnsi="Tahoma" w:cs="Tahoma"/>
          <w:sz w:val="20"/>
          <w:szCs w:val="20"/>
        </w:rPr>
        <w:t>sur</w:t>
      </w:r>
      <w:r w:rsidR="00DB1635" w:rsidRPr="00B004EE">
        <w:rPr>
          <w:rFonts w:ascii="Tahoma" w:hAnsi="Tahoma" w:cs="Tahoma"/>
          <w:spacing w:val="-8"/>
          <w:sz w:val="20"/>
          <w:szCs w:val="20"/>
        </w:rPr>
        <w:t xml:space="preserve"> </w:t>
      </w:r>
      <w:r w:rsidRPr="00B004EE">
        <w:rPr>
          <w:rFonts w:ascii="Tahoma" w:hAnsi="Tahoma" w:cs="Tahoma"/>
          <w:sz w:val="20"/>
          <w:szCs w:val="20"/>
        </w:rPr>
        <w:t>rapport</w:t>
      </w:r>
      <w:r w:rsidR="00DB1635" w:rsidRPr="00B004EE">
        <w:rPr>
          <w:rFonts w:ascii="Tahoma" w:hAnsi="Tahoma" w:cs="Tahoma"/>
          <w:spacing w:val="-7"/>
          <w:sz w:val="20"/>
          <w:szCs w:val="20"/>
        </w:rPr>
        <w:t xml:space="preserve"> </w:t>
      </w:r>
      <w:r w:rsidRPr="00B004EE">
        <w:rPr>
          <w:rFonts w:ascii="Tahoma" w:hAnsi="Tahoma" w:cs="Tahoma"/>
          <w:sz w:val="20"/>
          <w:szCs w:val="20"/>
        </w:rPr>
        <w:t>du</w:t>
      </w:r>
      <w:r w:rsidR="00DB1635" w:rsidRPr="00B004EE">
        <w:rPr>
          <w:rFonts w:ascii="Tahoma" w:hAnsi="Tahoma" w:cs="Tahoma"/>
          <w:spacing w:val="-7"/>
          <w:sz w:val="20"/>
          <w:szCs w:val="20"/>
        </w:rPr>
        <w:t xml:space="preserve"> </w:t>
      </w:r>
      <w:r w:rsidRPr="00B004EE">
        <w:rPr>
          <w:rFonts w:ascii="Tahoma" w:hAnsi="Tahoma" w:cs="Tahoma"/>
          <w:sz w:val="20"/>
          <w:szCs w:val="20"/>
        </w:rPr>
        <w:t>ministre</w:t>
      </w:r>
      <w:r w:rsidR="00DB1635" w:rsidRPr="00B004EE">
        <w:rPr>
          <w:rFonts w:ascii="Tahoma" w:hAnsi="Tahoma" w:cs="Tahoma"/>
          <w:spacing w:val="-9"/>
          <w:sz w:val="20"/>
          <w:szCs w:val="20"/>
        </w:rPr>
        <w:t xml:space="preserve"> </w:t>
      </w:r>
      <w:r w:rsidRPr="00B004EE">
        <w:rPr>
          <w:rFonts w:ascii="Tahoma" w:hAnsi="Tahoma" w:cs="Tahoma"/>
          <w:sz w:val="20"/>
          <w:szCs w:val="20"/>
        </w:rPr>
        <w:t>chargé</w:t>
      </w:r>
      <w:r w:rsidR="00DB1635" w:rsidRPr="00B004EE">
        <w:rPr>
          <w:rFonts w:ascii="Tahoma" w:hAnsi="Tahoma" w:cs="Tahoma"/>
          <w:w w:val="94"/>
          <w:sz w:val="20"/>
          <w:szCs w:val="20"/>
        </w:rPr>
        <w:t xml:space="preserve"> </w:t>
      </w:r>
      <w:r w:rsidRPr="00B004EE">
        <w:rPr>
          <w:rFonts w:ascii="Tahoma" w:eastAsia="American Typewriter" w:hAnsi="Tahoma" w:cs="Tahoma"/>
          <w:sz w:val="20"/>
          <w:szCs w:val="20"/>
        </w:rPr>
        <w:t>des</w:t>
      </w:r>
      <w:r w:rsidR="00DB1635" w:rsidRPr="00B004EE">
        <w:rPr>
          <w:rFonts w:ascii="Tahoma" w:eastAsia="American Typewriter" w:hAnsi="Tahoma" w:cs="Tahoma"/>
          <w:spacing w:val="38"/>
          <w:sz w:val="20"/>
          <w:szCs w:val="20"/>
        </w:rPr>
        <w:t xml:space="preserve"> </w:t>
      </w:r>
      <w:r w:rsidRPr="00B004EE">
        <w:rPr>
          <w:rFonts w:ascii="Tahoma" w:eastAsia="American Typewriter" w:hAnsi="Tahoma" w:cs="Tahoma"/>
          <w:sz w:val="20"/>
          <w:szCs w:val="20"/>
        </w:rPr>
        <w:t>pêches.</w:t>
      </w:r>
      <w:r w:rsidR="00DB1635" w:rsidRPr="00B004EE">
        <w:rPr>
          <w:rFonts w:ascii="Tahoma" w:eastAsia="American Typewriter" w:hAnsi="Tahoma" w:cs="Tahoma"/>
          <w:spacing w:val="37"/>
          <w:sz w:val="20"/>
          <w:szCs w:val="20"/>
        </w:rPr>
        <w:t xml:space="preserve"> </w:t>
      </w:r>
      <w:r w:rsidRPr="00B004EE">
        <w:rPr>
          <w:rFonts w:ascii="Tahoma" w:eastAsia="American Typewriter" w:hAnsi="Tahoma" w:cs="Tahoma"/>
          <w:sz w:val="20"/>
          <w:szCs w:val="20"/>
        </w:rPr>
        <w:t>Ce</w:t>
      </w:r>
      <w:r w:rsidR="00DB1635" w:rsidRPr="00B004EE">
        <w:rPr>
          <w:rFonts w:ascii="Tahoma" w:eastAsia="American Typewriter" w:hAnsi="Tahoma" w:cs="Tahoma"/>
          <w:spacing w:val="36"/>
          <w:sz w:val="20"/>
          <w:szCs w:val="20"/>
        </w:rPr>
        <w:t xml:space="preserve"> </w:t>
      </w:r>
      <w:r w:rsidRPr="00B004EE">
        <w:rPr>
          <w:rFonts w:ascii="Tahoma" w:eastAsia="American Typewriter" w:hAnsi="Tahoma" w:cs="Tahoma"/>
          <w:sz w:val="20"/>
          <w:szCs w:val="20"/>
        </w:rPr>
        <w:t>décret</w:t>
      </w:r>
      <w:r w:rsidR="00DB1635" w:rsidRPr="00B004EE">
        <w:rPr>
          <w:rFonts w:ascii="Tahoma" w:eastAsia="American Typewriter" w:hAnsi="Tahoma" w:cs="Tahoma"/>
          <w:spacing w:val="37"/>
          <w:sz w:val="20"/>
          <w:szCs w:val="20"/>
        </w:rPr>
        <w:t xml:space="preserve"> </w:t>
      </w:r>
      <w:r w:rsidRPr="00B004EE">
        <w:rPr>
          <w:rFonts w:ascii="Tahoma" w:eastAsia="American Typewriter" w:hAnsi="Tahoma" w:cs="Tahoma"/>
          <w:sz w:val="20"/>
          <w:szCs w:val="20"/>
        </w:rPr>
        <w:t>précisera</w:t>
      </w:r>
      <w:r w:rsidR="00DB1635" w:rsidRPr="00B004EE">
        <w:rPr>
          <w:rFonts w:ascii="Tahoma" w:eastAsia="American Typewriter" w:hAnsi="Tahoma" w:cs="Tahoma"/>
          <w:spacing w:val="37"/>
          <w:sz w:val="20"/>
          <w:szCs w:val="20"/>
        </w:rPr>
        <w:t xml:space="preserve"> </w:t>
      </w:r>
      <w:r w:rsidRPr="00B004EE">
        <w:rPr>
          <w:rFonts w:ascii="Tahoma" w:eastAsia="American Typewriter" w:hAnsi="Tahoma" w:cs="Tahoma"/>
          <w:sz w:val="20"/>
          <w:szCs w:val="20"/>
        </w:rPr>
        <w:t>notamment</w:t>
      </w:r>
      <w:r w:rsidR="00DB1635" w:rsidRPr="00B004EE">
        <w:rPr>
          <w:rFonts w:ascii="Tahoma" w:eastAsia="American Typewriter" w:hAnsi="Tahoma" w:cs="Tahoma"/>
          <w:spacing w:val="37"/>
          <w:sz w:val="20"/>
          <w:szCs w:val="20"/>
        </w:rPr>
        <w:t xml:space="preserve"> </w:t>
      </w:r>
      <w:r w:rsidRPr="00B004EE">
        <w:rPr>
          <w:rFonts w:ascii="Tahoma" w:eastAsia="American Typewriter" w:hAnsi="Tahoma" w:cs="Tahoma"/>
          <w:sz w:val="20"/>
          <w:szCs w:val="20"/>
        </w:rPr>
        <w:t>les</w:t>
      </w:r>
      <w:r w:rsidR="00DB1635" w:rsidRPr="00B004EE">
        <w:rPr>
          <w:rFonts w:ascii="Tahoma" w:eastAsia="American Typewriter" w:hAnsi="Tahoma" w:cs="Tahoma"/>
          <w:spacing w:val="36"/>
          <w:sz w:val="20"/>
          <w:szCs w:val="20"/>
        </w:rPr>
        <w:t xml:space="preserve"> </w:t>
      </w:r>
      <w:r w:rsidRPr="00B004EE">
        <w:rPr>
          <w:rFonts w:ascii="Tahoma" w:eastAsia="American Typewriter" w:hAnsi="Tahoma" w:cs="Tahoma"/>
          <w:sz w:val="20"/>
          <w:szCs w:val="20"/>
        </w:rPr>
        <w:t>modalités</w:t>
      </w:r>
      <w:r w:rsidR="00DB1635" w:rsidRPr="00B004EE">
        <w:rPr>
          <w:rFonts w:ascii="Tahoma" w:eastAsia="American Typewriter" w:hAnsi="Tahoma" w:cs="Tahoma"/>
          <w:spacing w:val="36"/>
          <w:sz w:val="20"/>
          <w:szCs w:val="20"/>
        </w:rPr>
        <w:t xml:space="preserve"> </w:t>
      </w:r>
      <w:r w:rsidRPr="00B004EE">
        <w:rPr>
          <w:rFonts w:ascii="Tahoma" w:eastAsia="American Typewriter" w:hAnsi="Tahoma" w:cs="Tahoma"/>
          <w:sz w:val="20"/>
          <w:szCs w:val="20"/>
        </w:rPr>
        <w:t>d’emploi</w:t>
      </w:r>
      <w:r w:rsidR="00DB1635" w:rsidRPr="00B004EE">
        <w:rPr>
          <w:rFonts w:ascii="Tahoma" w:eastAsia="American Typewriter" w:hAnsi="Tahoma" w:cs="Tahoma"/>
          <w:spacing w:val="38"/>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pacing w:val="37"/>
          <w:sz w:val="20"/>
          <w:szCs w:val="20"/>
        </w:rPr>
        <w:t xml:space="preserve"> </w:t>
      </w:r>
      <w:r w:rsidRPr="00B004EE">
        <w:rPr>
          <w:rFonts w:ascii="Tahoma" w:eastAsia="American Typewriter" w:hAnsi="Tahoma" w:cs="Tahoma"/>
          <w:sz w:val="20"/>
          <w:szCs w:val="20"/>
        </w:rPr>
        <w:t>la</w:t>
      </w:r>
      <w:r w:rsidR="00DB1635" w:rsidRPr="00B004EE">
        <w:rPr>
          <w:rFonts w:ascii="Tahoma" w:eastAsia="American Typewriter" w:hAnsi="Tahoma" w:cs="Tahoma"/>
          <w:spacing w:val="37"/>
          <w:sz w:val="20"/>
          <w:szCs w:val="20"/>
        </w:rPr>
        <w:t xml:space="preserve"> </w:t>
      </w:r>
      <w:r w:rsidRPr="00B004EE">
        <w:rPr>
          <w:rFonts w:ascii="Tahoma" w:eastAsia="American Typewriter" w:hAnsi="Tahoma" w:cs="Tahoma"/>
          <w:sz w:val="20"/>
          <w:szCs w:val="20"/>
        </w:rPr>
        <w:t>force</w:t>
      </w:r>
      <w:r w:rsidR="00DB1635" w:rsidRPr="00B004EE">
        <w:rPr>
          <w:rFonts w:ascii="Tahoma" w:eastAsia="American Typewriter" w:hAnsi="Tahoma" w:cs="Tahoma"/>
          <w:w w:val="94"/>
          <w:sz w:val="20"/>
          <w:szCs w:val="20"/>
        </w:rPr>
        <w:t xml:space="preserve"> </w:t>
      </w:r>
      <w:r w:rsidRPr="00B004EE">
        <w:rPr>
          <w:rFonts w:ascii="Tahoma" w:hAnsi="Tahoma" w:cs="Tahoma"/>
          <w:w w:val="95"/>
          <w:sz w:val="20"/>
          <w:szCs w:val="20"/>
        </w:rPr>
        <w:t>armée</w:t>
      </w:r>
      <w:r w:rsidR="00DB1635" w:rsidRPr="00B004EE">
        <w:rPr>
          <w:rFonts w:ascii="Tahoma" w:hAnsi="Tahoma" w:cs="Tahoma"/>
          <w:w w:val="95"/>
          <w:sz w:val="20"/>
          <w:szCs w:val="20"/>
        </w:rPr>
        <w:t xml:space="preserve"> </w:t>
      </w:r>
      <w:r w:rsidRPr="00B004EE">
        <w:rPr>
          <w:rFonts w:ascii="Tahoma" w:hAnsi="Tahoma" w:cs="Tahoma"/>
          <w:w w:val="95"/>
          <w:sz w:val="20"/>
          <w:szCs w:val="20"/>
        </w:rPr>
        <w:t>lors</w:t>
      </w:r>
      <w:r w:rsidR="00DB1635" w:rsidRPr="00B004EE">
        <w:rPr>
          <w:rFonts w:ascii="Tahoma" w:hAnsi="Tahoma" w:cs="Tahoma"/>
          <w:w w:val="95"/>
          <w:sz w:val="20"/>
          <w:szCs w:val="20"/>
        </w:rPr>
        <w:t xml:space="preserve"> </w:t>
      </w:r>
      <w:r w:rsidRPr="00B004EE">
        <w:rPr>
          <w:rFonts w:ascii="Tahoma" w:hAnsi="Tahoma" w:cs="Tahoma"/>
          <w:w w:val="95"/>
          <w:sz w:val="20"/>
          <w:szCs w:val="20"/>
        </w:rPr>
        <w:t>des</w:t>
      </w:r>
      <w:r w:rsidR="00DB1635" w:rsidRPr="00B004EE">
        <w:rPr>
          <w:rFonts w:ascii="Tahoma" w:hAnsi="Tahoma" w:cs="Tahoma"/>
          <w:w w:val="95"/>
          <w:sz w:val="20"/>
          <w:szCs w:val="20"/>
        </w:rPr>
        <w:t xml:space="preserve"> </w:t>
      </w:r>
      <w:r w:rsidRPr="00B004EE">
        <w:rPr>
          <w:rFonts w:ascii="Tahoma" w:hAnsi="Tahoma" w:cs="Tahoma"/>
          <w:w w:val="95"/>
          <w:sz w:val="20"/>
          <w:szCs w:val="20"/>
        </w:rPr>
        <w:t>opérations</w:t>
      </w:r>
      <w:r w:rsidR="00DB1635" w:rsidRPr="00B004EE">
        <w:rPr>
          <w:rFonts w:ascii="Tahoma" w:hAnsi="Tahoma" w:cs="Tahoma"/>
          <w:w w:val="95"/>
          <w:sz w:val="20"/>
          <w:szCs w:val="20"/>
        </w:rPr>
        <w:t xml:space="preserve"> </w:t>
      </w:r>
      <w:r w:rsidRPr="00B004EE">
        <w:rPr>
          <w:rFonts w:ascii="Tahoma" w:hAnsi="Tahoma" w:cs="Tahoma"/>
          <w:w w:val="95"/>
          <w:sz w:val="20"/>
          <w:szCs w:val="20"/>
        </w:rPr>
        <w:t>de</w:t>
      </w:r>
      <w:r w:rsidR="00DB1635" w:rsidRPr="00B004EE">
        <w:rPr>
          <w:rFonts w:ascii="Tahoma" w:hAnsi="Tahoma" w:cs="Tahoma"/>
          <w:spacing w:val="15"/>
          <w:w w:val="95"/>
          <w:sz w:val="20"/>
          <w:szCs w:val="20"/>
        </w:rPr>
        <w:t xml:space="preserve"> </w:t>
      </w:r>
      <w:r w:rsidRPr="00B004EE">
        <w:rPr>
          <w:rFonts w:ascii="Tahoma" w:hAnsi="Tahoma" w:cs="Tahoma"/>
          <w:w w:val="95"/>
          <w:sz w:val="20"/>
          <w:szCs w:val="20"/>
        </w:rPr>
        <w:t>contrôle.</w:t>
      </w:r>
    </w:p>
    <w:p w14:paraId="2A0A8974" w14:textId="77777777" w:rsidR="001E7C3C" w:rsidRPr="00B004EE" w:rsidRDefault="001E7C3C" w:rsidP="00B004EE">
      <w:pPr>
        <w:rPr>
          <w:rFonts w:ascii="Tahoma" w:eastAsia="American Typewriter" w:hAnsi="Tahoma" w:cs="Tahoma"/>
          <w:sz w:val="20"/>
          <w:szCs w:val="20"/>
        </w:rPr>
      </w:pPr>
    </w:p>
    <w:p w14:paraId="7147E135" w14:textId="028CA5A5" w:rsidR="001E7C3C" w:rsidRPr="00B004EE" w:rsidRDefault="001E7C3C" w:rsidP="00B004EE">
      <w:pPr>
        <w:pStyle w:val="Lgende"/>
        <w:jc w:val="center"/>
        <w:rPr>
          <w:rFonts w:ascii="Tahoma" w:eastAsia="American Typewriter" w:hAnsi="Tahoma" w:cs="Tahoma"/>
        </w:rPr>
      </w:pPr>
      <w:bookmarkStart w:id="113" w:name="_Toc16279089"/>
      <w:bookmarkStart w:id="114" w:name="_Toc16279458"/>
      <w:r w:rsidRPr="00B004EE">
        <w:rPr>
          <w:rFonts w:ascii="Tahoma" w:eastAsia="American Typewriter" w:hAnsi="Tahoma" w:cs="Tahoma"/>
        </w:rPr>
        <w:lastRenderedPageBreak/>
        <w:t>Section</w:t>
      </w:r>
      <w:r w:rsidR="00DB1635" w:rsidRPr="00B004EE">
        <w:rPr>
          <w:rFonts w:ascii="Tahoma" w:eastAsia="American Typewriter" w:hAnsi="Tahoma" w:cs="Tahoma"/>
        </w:rPr>
        <w:t xml:space="preserve"> </w:t>
      </w:r>
      <w:r w:rsidRPr="00B004EE">
        <w:rPr>
          <w:rFonts w:ascii="Tahoma" w:eastAsia="American Typewriter" w:hAnsi="Tahoma" w:cs="Tahoma"/>
        </w:rPr>
        <w:t>6</w:t>
      </w:r>
      <w:r w:rsidR="00DB1635" w:rsidRPr="00B004EE">
        <w:rPr>
          <w:rFonts w:ascii="Tahoma" w:eastAsia="American Typewriter" w:hAnsi="Tahoma" w:cs="Tahoma"/>
        </w:rPr>
        <w:t xml:space="preserve"> </w:t>
      </w:r>
      <w:r w:rsidRPr="00B004EE">
        <w:rPr>
          <w:rFonts w:ascii="Tahoma" w:eastAsia="American Typewriter" w:hAnsi="Tahoma" w:cs="Tahoma"/>
        </w:rPr>
        <w:t>:</w:t>
      </w:r>
      <w:r w:rsidR="00DB1635" w:rsidRPr="00B004EE">
        <w:rPr>
          <w:rFonts w:ascii="Tahoma" w:eastAsia="American Typewriter" w:hAnsi="Tahoma" w:cs="Tahoma"/>
        </w:rPr>
        <w:t xml:space="preserve"> </w:t>
      </w:r>
      <w:r w:rsidRPr="00B004EE">
        <w:rPr>
          <w:rFonts w:ascii="Tahoma" w:eastAsia="American Typewriter" w:hAnsi="Tahoma" w:cs="Tahoma"/>
        </w:rPr>
        <w:t>Du</w:t>
      </w:r>
      <w:r w:rsidR="00DB1635" w:rsidRPr="00B004EE">
        <w:rPr>
          <w:rFonts w:ascii="Tahoma" w:eastAsia="American Typewriter" w:hAnsi="Tahoma" w:cs="Tahoma"/>
        </w:rPr>
        <w:t xml:space="preserve"> </w:t>
      </w:r>
      <w:r w:rsidRPr="00B004EE">
        <w:rPr>
          <w:rFonts w:ascii="Tahoma" w:eastAsia="American Typewriter" w:hAnsi="Tahoma" w:cs="Tahoma"/>
        </w:rPr>
        <w:t>droit</w:t>
      </w:r>
      <w:r w:rsidR="00DB1635" w:rsidRPr="00B004EE">
        <w:rPr>
          <w:rFonts w:ascii="Tahoma" w:eastAsia="American Typewriter" w:hAnsi="Tahoma" w:cs="Tahoma"/>
        </w:rPr>
        <w:t xml:space="preserve"> </w:t>
      </w:r>
      <w:r w:rsidRPr="00B004EE">
        <w:rPr>
          <w:rFonts w:ascii="Tahoma" w:eastAsia="American Typewriter" w:hAnsi="Tahoma" w:cs="Tahoma"/>
        </w:rPr>
        <w:t>de</w:t>
      </w:r>
      <w:r w:rsidR="00DB1635" w:rsidRPr="00B004EE">
        <w:rPr>
          <w:rFonts w:ascii="Tahoma" w:eastAsia="American Typewriter" w:hAnsi="Tahoma" w:cs="Tahoma"/>
        </w:rPr>
        <w:t xml:space="preserve"> </w:t>
      </w:r>
      <w:r w:rsidRPr="00B004EE">
        <w:rPr>
          <w:rFonts w:ascii="Tahoma" w:eastAsia="American Typewriter" w:hAnsi="Tahoma" w:cs="Tahoma"/>
        </w:rPr>
        <w:t>poursuite</w:t>
      </w:r>
      <w:bookmarkEnd w:id="113"/>
      <w:bookmarkEnd w:id="114"/>
    </w:p>
    <w:p w14:paraId="6D97A5B0" w14:textId="77777777" w:rsidR="001E7C3C" w:rsidRPr="00B004EE" w:rsidRDefault="001E7C3C" w:rsidP="00B004EE">
      <w:pPr>
        <w:rPr>
          <w:rFonts w:ascii="Tahoma" w:hAnsi="Tahoma" w:cs="Tahoma"/>
          <w:bCs/>
          <w:sz w:val="20"/>
          <w:szCs w:val="20"/>
        </w:rPr>
      </w:pPr>
    </w:p>
    <w:p w14:paraId="6DBC3F74" w14:textId="09D01804" w:rsidR="001E7C3C" w:rsidRPr="00B004EE" w:rsidRDefault="001E7C3C" w:rsidP="00B004EE">
      <w:pPr>
        <w:pStyle w:val="Corpsdetexte"/>
        <w:ind w:right="158"/>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75</w:t>
      </w:r>
      <w:r w:rsidR="00DB1635" w:rsidRPr="00B004EE">
        <w:rPr>
          <w:rFonts w:ascii="Tahoma" w:hAnsi="Tahoma" w:cs="Tahoma"/>
          <w:bCs/>
          <w:sz w:val="20"/>
          <w:szCs w:val="20"/>
        </w:rPr>
        <w:t xml:space="preserve"> </w:t>
      </w:r>
      <w:r w:rsidRPr="00B004EE">
        <w:rPr>
          <w:rFonts w:ascii="Tahoma" w:hAnsi="Tahoma" w:cs="Tahoma"/>
          <w:bCs/>
          <w:sz w:val="20"/>
          <w:szCs w:val="20"/>
        </w:rPr>
        <w:t>:</w:t>
      </w:r>
      <w:r w:rsidR="00DB1635" w:rsidRPr="00B004EE">
        <w:rPr>
          <w:rFonts w:ascii="Tahoma" w:hAnsi="Tahoma" w:cs="Tahoma"/>
          <w:b/>
          <w:sz w:val="20"/>
          <w:szCs w:val="20"/>
        </w:rPr>
        <w:t xml:space="preserve"> </w:t>
      </w:r>
      <w:r w:rsidRPr="00B004EE">
        <w:rPr>
          <w:rFonts w:ascii="Tahoma" w:hAnsi="Tahoma" w:cs="Tahoma"/>
          <w:sz w:val="20"/>
          <w:szCs w:val="20"/>
        </w:rPr>
        <w:t>L'arraisonnement</w:t>
      </w:r>
      <w:r w:rsidR="00DB1635" w:rsidRPr="00B004EE">
        <w:rPr>
          <w:rFonts w:ascii="Tahoma" w:hAnsi="Tahoma" w:cs="Tahoma"/>
          <w:sz w:val="20"/>
          <w:szCs w:val="20"/>
        </w:rPr>
        <w:t xml:space="preserve"> </w:t>
      </w:r>
      <w:r w:rsidRPr="00B004EE">
        <w:rPr>
          <w:rFonts w:ascii="Tahoma" w:hAnsi="Tahoma" w:cs="Tahoma"/>
          <w:sz w:val="20"/>
          <w:szCs w:val="20"/>
        </w:rPr>
        <w:t>d'un</w:t>
      </w:r>
      <w:r w:rsidR="00DB1635" w:rsidRPr="00B004EE">
        <w:rPr>
          <w:rFonts w:ascii="Tahoma" w:hAnsi="Tahoma" w:cs="Tahoma"/>
          <w:sz w:val="20"/>
          <w:szCs w:val="20"/>
        </w:rPr>
        <w:t xml:space="preserve"> </w:t>
      </w:r>
      <w:r w:rsidRPr="00B004EE">
        <w:rPr>
          <w:rFonts w:ascii="Tahoma" w:hAnsi="Tahoma" w:cs="Tahoma"/>
          <w:sz w:val="20"/>
          <w:szCs w:val="20"/>
        </w:rPr>
        <w:t>navire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pourra</w:t>
      </w:r>
      <w:r w:rsidR="00DB1635" w:rsidRPr="00B004EE">
        <w:rPr>
          <w:rFonts w:ascii="Tahoma" w:hAnsi="Tahoma" w:cs="Tahoma"/>
          <w:sz w:val="20"/>
          <w:szCs w:val="20"/>
        </w:rPr>
        <w:t xml:space="preserve"> </w:t>
      </w:r>
      <w:r w:rsidRPr="00B004EE">
        <w:rPr>
          <w:rFonts w:ascii="Tahoma" w:hAnsi="Tahoma" w:cs="Tahoma"/>
          <w:sz w:val="20"/>
          <w:szCs w:val="20"/>
        </w:rPr>
        <w:t>avoir</w:t>
      </w:r>
      <w:r w:rsidR="00DB1635" w:rsidRPr="00B004EE">
        <w:rPr>
          <w:rFonts w:ascii="Tahoma" w:hAnsi="Tahoma" w:cs="Tahoma"/>
          <w:sz w:val="20"/>
          <w:szCs w:val="20"/>
        </w:rPr>
        <w:t xml:space="preserve"> </w:t>
      </w:r>
      <w:r w:rsidRPr="00B004EE">
        <w:rPr>
          <w:rFonts w:ascii="Tahoma" w:hAnsi="Tahoma" w:cs="Tahoma"/>
          <w:sz w:val="20"/>
          <w:szCs w:val="20"/>
        </w:rPr>
        <w:t>lieu</w:t>
      </w:r>
      <w:r w:rsidR="00DB1635" w:rsidRPr="00B004EE">
        <w:rPr>
          <w:rFonts w:ascii="Tahoma" w:hAnsi="Tahoma" w:cs="Tahoma"/>
          <w:sz w:val="20"/>
          <w:szCs w:val="20"/>
        </w:rPr>
        <w:t xml:space="preserve"> </w:t>
      </w:r>
      <w:r w:rsidRPr="00B004EE">
        <w:rPr>
          <w:rFonts w:ascii="Tahoma" w:hAnsi="Tahoma" w:cs="Tahoma"/>
          <w:sz w:val="20"/>
          <w:szCs w:val="20"/>
        </w:rPr>
        <w:t>au-delà</w:t>
      </w:r>
      <w:r w:rsidR="00DB1635" w:rsidRPr="00B004EE">
        <w:rPr>
          <w:rFonts w:ascii="Tahoma" w:hAnsi="Tahoma" w:cs="Tahoma"/>
          <w:spacing w:val="-23"/>
          <w:sz w:val="20"/>
          <w:szCs w:val="20"/>
        </w:rPr>
        <w:t xml:space="preserve"> </w:t>
      </w:r>
      <w:r w:rsidRPr="00B004EE">
        <w:rPr>
          <w:rFonts w:ascii="Tahoma" w:hAnsi="Tahoma" w:cs="Tahoma"/>
          <w:sz w:val="20"/>
          <w:szCs w:val="20"/>
        </w:rPr>
        <w:t>des</w:t>
      </w:r>
      <w:r w:rsidR="00DB1635" w:rsidRPr="00B004EE">
        <w:rPr>
          <w:rFonts w:ascii="Tahoma" w:hAnsi="Tahoma" w:cs="Tahoma"/>
          <w:w w:val="94"/>
          <w:sz w:val="20"/>
          <w:szCs w:val="20"/>
        </w:rPr>
        <w:t xml:space="preserve"> </w:t>
      </w:r>
      <w:r w:rsidRPr="00B004EE">
        <w:rPr>
          <w:rFonts w:ascii="Tahoma" w:hAnsi="Tahoma" w:cs="Tahoma"/>
          <w:sz w:val="20"/>
          <w:szCs w:val="20"/>
        </w:rPr>
        <w:t>limites</w:t>
      </w:r>
      <w:r w:rsidR="00DB1635" w:rsidRPr="00B004EE">
        <w:rPr>
          <w:rFonts w:ascii="Tahoma" w:hAnsi="Tahoma" w:cs="Tahoma"/>
          <w:spacing w:val="-5"/>
          <w:sz w:val="20"/>
          <w:szCs w:val="20"/>
        </w:rPr>
        <w:t xml:space="preserve"> </w:t>
      </w:r>
      <w:r w:rsidRPr="00B004EE">
        <w:rPr>
          <w:rFonts w:ascii="Tahoma" w:hAnsi="Tahoma" w:cs="Tahoma"/>
          <w:sz w:val="20"/>
          <w:szCs w:val="20"/>
        </w:rPr>
        <w:t>de</w:t>
      </w:r>
      <w:r w:rsidR="00DB1635" w:rsidRPr="00B004EE">
        <w:rPr>
          <w:rFonts w:ascii="Tahoma" w:hAnsi="Tahoma" w:cs="Tahoma"/>
          <w:spacing w:val="-5"/>
          <w:sz w:val="20"/>
          <w:szCs w:val="20"/>
        </w:rPr>
        <w:t xml:space="preserve"> </w:t>
      </w:r>
      <w:r w:rsidRPr="00B004EE">
        <w:rPr>
          <w:rFonts w:ascii="Tahoma" w:hAnsi="Tahoma" w:cs="Tahoma"/>
          <w:sz w:val="20"/>
          <w:szCs w:val="20"/>
        </w:rPr>
        <w:t>la</w:t>
      </w:r>
      <w:r w:rsidR="00DB1635" w:rsidRPr="00B004EE">
        <w:rPr>
          <w:rFonts w:ascii="Tahoma" w:hAnsi="Tahoma" w:cs="Tahoma"/>
          <w:spacing w:val="-4"/>
          <w:sz w:val="20"/>
          <w:szCs w:val="20"/>
        </w:rPr>
        <w:t xml:space="preserve"> </w:t>
      </w:r>
      <w:r w:rsidRPr="00B004EE">
        <w:rPr>
          <w:rFonts w:ascii="Tahoma" w:hAnsi="Tahoma" w:cs="Tahoma"/>
          <w:sz w:val="20"/>
          <w:szCs w:val="20"/>
        </w:rPr>
        <w:t>zone</w:t>
      </w:r>
      <w:r w:rsidR="00DB1635" w:rsidRPr="00B004EE">
        <w:rPr>
          <w:rFonts w:ascii="Tahoma" w:hAnsi="Tahoma" w:cs="Tahoma"/>
          <w:spacing w:val="-5"/>
          <w:sz w:val="20"/>
          <w:szCs w:val="20"/>
        </w:rPr>
        <w:t xml:space="preserve"> </w:t>
      </w:r>
      <w:r w:rsidRPr="00B004EE">
        <w:rPr>
          <w:rFonts w:ascii="Tahoma" w:hAnsi="Tahoma" w:cs="Tahoma"/>
          <w:sz w:val="20"/>
          <w:szCs w:val="20"/>
        </w:rPr>
        <w:t>économique</w:t>
      </w:r>
      <w:r w:rsidR="00DB1635" w:rsidRPr="00B004EE">
        <w:rPr>
          <w:rFonts w:ascii="Tahoma" w:hAnsi="Tahoma" w:cs="Tahoma"/>
          <w:spacing w:val="-5"/>
          <w:sz w:val="20"/>
          <w:szCs w:val="20"/>
        </w:rPr>
        <w:t xml:space="preserve"> </w:t>
      </w:r>
      <w:r w:rsidRPr="00B004EE">
        <w:rPr>
          <w:rFonts w:ascii="Tahoma" w:hAnsi="Tahoma" w:cs="Tahoma"/>
          <w:sz w:val="20"/>
          <w:szCs w:val="20"/>
        </w:rPr>
        <w:t>exclusive</w:t>
      </w:r>
      <w:r w:rsidR="00DB1635" w:rsidRPr="00B004EE">
        <w:rPr>
          <w:rFonts w:ascii="Tahoma" w:hAnsi="Tahoma" w:cs="Tahoma"/>
          <w:spacing w:val="-6"/>
          <w:sz w:val="20"/>
          <w:szCs w:val="20"/>
        </w:rPr>
        <w:t xml:space="preserve"> </w:t>
      </w:r>
      <w:r w:rsidRPr="00B004EE">
        <w:rPr>
          <w:rFonts w:ascii="Tahoma" w:hAnsi="Tahoma" w:cs="Tahoma"/>
          <w:sz w:val="20"/>
          <w:szCs w:val="20"/>
        </w:rPr>
        <w:t>si</w:t>
      </w:r>
      <w:r w:rsidR="00DB1635" w:rsidRPr="00B004EE">
        <w:rPr>
          <w:rFonts w:ascii="Tahoma" w:hAnsi="Tahoma" w:cs="Tahoma"/>
          <w:spacing w:val="-6"/>
          <w:sz w:val="20"/>
          <w:szCs w:val="20"/>
        </w:rPr>
        <w:t xml:space="preserve"> </w:t>
      </w:r>
      <w:r w:rsidRPr="00B004EE">
        <w:rPr>
          <w:rFonts w:ascii="Tahoma" w:hAnsi="Tahoma" w:cs="Tahoma"/>
          <w:sz w:val="20"/>
          <w:szCs w:val="20"/>
        </w:rPr>
        <w:t>sa</w:t>
      </w:r>
      <w:r w:rsidR="00DB1635" w:rsidRPr="00B004EE">
        <w:rPr>
          <w:rFonts w:ascii="Tahoma" w:hAnsi="Tahoma" w:cs="Tahoma"/>
          <w:spacing w:val="-6"/>
          <w:sz w:val="20"/>
          <w:szCs w:val="20"/>
        </w:rPr>
        <w:t xml:space="preserve"> </w:t>
      </w:r>
      <w:r w:rsidRPr="00B004EE">
        <w:rPr>
          <w:rFonts w:ascii="Tahoma" w:hAnsi="Tahoma" w:cs="Tahoma"/>
          <w:sz w:val="20"/>
          <w:szCs w:val="20"/>
        </w:rPr>
        <w:t>poursuite</w:t>
      </w:r>
      <w:r w:rsidR="00DB1635" w:rsidRPr="00B004EE">
        <w:rPr>
          <w:rFonts w:ascii="Tahoma" w:hAnsi="Tahoma" w:cs="Tahoma"/>
          <w:spacing w:val="-6"/>
          <w:sz w:val="20"/>
          <w:szCs w:val="20"/>
        </w:rPr>
        <w:t xml:space="preserve"> </w:t>
      </w:r>
      <w:r w:rsidRPr="00B004EE">
        <w:rPr>
          <w:rFonts w:ascii="Tahoma" w:hAnsi="Tahoma" w:cs="Tahoma"/>
          <w:sz w:val="20"/>
          <w:szCs w:val="20"/>
        </w:rPr>
        <w:t>a</w:t>
      </w:r>
      <w:r w:rsidR="00DB1635" w:rsidRPr="00B004EE">
        <w:rPr>
          <w:rFonts w:ascii="Tahoma" w:hAnsi="Tahoma" w:cs="Tahoma"/>
          <w:spacing w:val="-6"/>
          <w:sz w:val="20"/>
          <w:szCs w:val="20"/>
        </w:rPr>
        <w:t xml:space="preserve"> </w:t>
      </w:r>
      <w:r w:rsidRPr="00B004EE">
        <w:rPr>
          <w:rFonts w:ascii="Tahoma" w:hAnsi="Tahoma" w:cs="Tahoma"/>
          <w:sz w:val="20"/>
          <w:szCs w:val="20"/>
        </w:rPr>
        <w:t>été</w:t>
      </w:r>
      <w:r w:rsidR="00DB1635" w:rsidRPr="00B004EE">
        <w:rPr>
          <w:rFonts w:ascii="Tahoma" w:hAnsi="Tahoma" w:cs="Tahoma"/>
          <w:spacing w:val="-6"/>
          <w:sz w:val="20"/>
          <w:szCs w:val="20"/>
        </w:rPr>
        <w:t xml:space="preserve"> </w:t>
      </w:r>
      <w:r w:rsidRPr="00B004EE">
        <w:rPr>
          <w:rFonts w:ascii="Tahoma" w:hAnsi="Tahoma" w:cs="Tahoma"/>
          <w:sz w:val="20"/>
          <w:szCs w:val="20"/>
        </w:rPr>
        <w:t>initiée</w:t>
      </w:r>
      <w:r w:rsidR="00DB1635" w:rsidRPr="00B004EE">
        <w:rPr>
          <w:rFonts w:ascii="Tahoma" w:hAnsi="Tahoma" w:cs="Tahoma"/>
          <w:spacing w:val="-6"/>
          <w:sz w:val="20"/>
          <w:szCs w:val="20"/>
        </w:rPr>
        <w:t xml:space="preserve"> </w:t>
      </w:r>
      <w:r w:rsidRPr="00B004EE">
        <w:rPr>
          <w:rFonts w:ascii="Tahoma" w:hAnsi="Tahoma" w:cs="Tahoma"/>
          <w:sz w:val="20"/>
          <w:szCs w:val="20"/>
        </w:rPr>
        <w:t>dans</w:t>
      </w:r>
      <w:r w:rsidR="00DB1635" w:rsidRPr="00B004EE">
        <w:rPr>
          <w:rFonts w:ascii="Tahoma" w:hAnsi="Tahoma" w:cs="Tahoma"/>
          <w:spacing w:val="-7"/>
          <w:sz w:val="20"/>
          <w:szCs w:val="20"/>
        </w:rPr>
        <w:t xml:space="preserve"> </w:t>
      </w:r>
      <w:r w:rsidRPr="00B004EE">
        <w:rPr>
          <w:rFonts w:ascii="Tahoma" w:hAnsi="Tahoma" w:cs="Tahoma"/>
          <w:sz w:val="20"/>
          <w:szCs w:val="20"/>
        </w:rPr>
        <w:t>les</w:t>
      </w:r>
      <w:r w:rsidR="00DB1635" w:rsidRPr="00B004EE">
        <w:rPr>
          <w:rFonts w:ascii="Tahoma" w:hAnsi="Tahoma" w:cs="Tahoma"/>
          <w:spacing w:val="-7"/>
          <w:sz w:val="20"/>
          <w:szCs w:val="20"/>
        </w:rPr>
        <w:t xml:space="preserve"> </w:t>
      </w:r>
      <w:r w:rsidRPr="00B004EE">
        <w:rPr>
          <w:rFonts w:ascii="Tahoma" w:hAnsi="Tahoma" w:cs="Tahoma"/>
          <w:sz w:val="20"/>
          <w:szCs w:val="20"/>
        </w:rPr>
        <w:t>eaux</w:t>
      </w:r>
      <w:r w:rsidR="00DB1635" w:rsidRPr="00B004EE">
        <w:rPr>
          <w:rFonts w:ascii="Tahoma" w:hAnsi="Tahoma" w:cs="Tahoma"/>
          <w:w w:val="91"/>
          <w:sz w:val="20"/>
          <w:szCs w:val="20"/>
        </w:rPr>
        <w:t xml:space="preserve"> </w:t>
      </w:r>
      <w:r w:rsidRPr="00B004EE">
        <w:rPr>
          <w:rFonts w:ascii="Tahoma" w:hAnsi="Tahoma" w:cs="Tahoma"/>
          <w:w w:val="95"/>
          <w:sz w:val="20"/>
          <w:szCs w:val="20"/>
        </w:rPr>
        <w:t>sous</w:t>
      </w:r>
      <w:r w:rsidR="00DB1635" w:rsidRPr="00B004EE">
        <w:rPr>
          <w:rFonts w:ascii="Tahoma" w:hAnsi="Tahoma" w:cs="Tahoma"/>
          <w:w w:val="95"/>
          <w:sz w:val="20"/>
          <w:szCs w:val="20"/>
        </w:rPr>
        <w:t xml:space="preserve"> </w:t>
      </w:r>
      <w:r w:rsidRPr="00B004EE">
        <w:rPr>
          <w:rFonts w:ascii="Tahoma" w:hAnsi="Tahoma" w:cs="Tahoma"/>
          <w:w w:val="95"/>
          <w:sz w:val="20"/>
          <w:szCs w:val="20"/>
        </w:rPr>
        <w:t>juridiction</w:t>
      </w:r>
      <w:r w:rsidR="00DB1635" w:rsidRPr="00B004EE">
        <w:rPr>
          <w:rFonts w:ascii="Tahoma" w:hAnsi="Tahoma" w:cs="Tahoma"/>
          <w:spacing w:val="50"/>
          <w:w w:val="95"/>
          <w:sz w:val="20"/>
          <w:szCs w:val="20"/>
        </w:rPr>
        <w:t xml:space="preserve"> </w:t>
      </w:r>
      <w:r w:rsidRPr="00B004EE">
        <w:rPr>
          <w:rFonts w:ascii="Tahoma" w:hAnsi="Tahoma" w:cs="Tahoma"/>
          <w:w w:val="95"/>
          <w:sz w:val="20"/>
          <w:szCs w:val="20"/>
        </w:rPr>
        <w:t>mauritanienne.</w:t>
      </w:r>
    </w:p>
    <w:p w14:paraId="69DB4258" w14:textId="04655BBE" w:rsidR="001E7C3C" w:rsidRPr="00B004EE" w:rsidRDefault="001E7C3C" w:rsidP="00B004EE">
      <w:pPr>
        <w:pStyle w:val="Corpsdetexte"/>
        <w:ind w:right="163"/>
        <w:rPr>
          <w:rFonts w:ascii="Tahoma" w:hAnsi="Tahoma" w:cs="Tahoma"/>
          <w:sz w:val="20"/>
          <w:szCs w:val="20"/>
        </w:rPr>
      </w:pPr>
      <w:r w:rsidRPr="00B004EE">
        <w:rPr>
          <w:rFonts w:ascii="Tahoma" w:hAnsi="Tahoma" w:cs="Tahoma"/>
          <w:sz w:val="20"/>
          <w:szCs w:val="20"/>
        </w:rPr>
        <w:t>Le</w:t>
      </w:r>
      <w:r w:rsidR="00DB1635" w:rsidRPr="00B004EE">
        <w:rPr>
          <w:rFonts w:ascii="Tahoma" w:hAnsi="Tahoma" w:cs="Tahoma"/>
          <w:spacing w:val="-8"/>
          <w:sz w:val="20"/>
          <w:szCs w:val="20"/>
        </w:rPr>
        <w:t xml:space="preserve"> </w:t>
      </w:r>
      <w:r w:rsidRPr="00B004EE">
        <w:rPr>
          <w:rFonts w:ascii="Tahoma" w:hAnsi="Tahoma" w:cs="Tahoma"/>
          <w:sz w:val="20"/>
          <w:szCs w:val="20"/>
        </w:rPr>
        <w:t>droit</w:t>
      </w:r>
      <w:r w:rsidR="00DB1635" w:rsidRPr="00B004EE">
        <w:rPr>
          <w:rFonts w:ascii="Tahoma" w:hAnsi="Tahoma" w:cs="Tahoma"/>
          <w:spacing w:val="-8"/>
          <w:sz w:val="20"/>
          <w:szCs w:val="20"/>
        </w:rPr>
        <w:t xml:space="preserve"> </w:t>
      </w:r>
      <w:r w:rsidRPr="00B004EE">
        <w:rPr>
          <w:rFonts w:ascii="Tahoma" w:hAnsi="Tahoma" w:cs="Tahoma"/>
          <w:sz w:val="20"/>
          <w:szCs w:val="20"/>
        </w:rPr>
        <w:t>de</w:t>
      </w:r>
      <w:r w:rsidR="00DB1635" w:rsidRPr="00B004EE">
        <w:rPr>
          <w:rFonts w:ascii="Tahoma" w:hAnsi="Tahoma" w:cs="Tahoma"/>
          <w:spacing w:val="-8"/>
          <w:sz w:val="20"/>
          <w:szCs w:val="20"/>
        </w:rPr>
        <w:t xml:space="preserve"> </w:t>
      </w:r>
      <w:r w:rsidRPr="00B004EE">
        <w:rPr>
          <w:rFonts w:ascii="Tahoma" w:hAnsi="Tahoma" w:cs="Tahoma"/>
          <w:sz w:val="20"/>
          <w:szCs w:val="20"/>
        </w:rPr>
        <w:t>poursuite</w:t>
      </w:r>
      <w:r w:rsidR="00DB1635" w:rsidRPr="00B004EE">
        <w:rPr>
          <w:rFonts w:ascii="Tahoma" w:hAnsi="Tahoma" w:cs="Tahoma"/>
          <w:spacing w:val="-8"/>
          <w:sz w:val="20"/>
          <w:szCs w:val="20"/>
        </w:rPr>
        <w:t xml:space="preserve"> </w:t>
      </w:r>
      <w:r w:rsidRPr="00B004EE">
        <w:rPr>
          <w:rFonts w:ascii="Tahoma" w:hAnsi="Tahoma" w:cs="Tahoma"/>
          <w:sz w:val="20"/>
          <w:szCs w:val="20"/>
        </w:rPr>
        <w:t>est</w:t>
      </w:r>
      <w:r w:rsidR="00DB1635" w:rsidRPr="00B004EE">
        <w:rPr>
          <w:rFonts w:ascii="Tahoma" w:hAnsi="Tahoma" w:cs="Tahoma"/>
          <w:spacing w:val="-10"/>
          <w:sz w:val="20"/>
          <w:szCs w:val="20"/>
        </w:rPr>
        <w:t xml:space="preserve"> </w:t>
      </w:r>
      <w:r w:rsidRPr="00B004EE">
        <w:rPr>
          <w:rFonts w:ascii="Tahoma" w:hAnsi="Tahoma" w:cs="Tahoma"/>
          <w:sz w:val="20"/>
          <w:szCs w:val="20"/>
        </w:rPr>
        <w:t>exercé</w:t>
      </w:r>
      <w:r w:rsidR="00DB1635" w:rsidRPr="00B004EE">
        <w:rPr>
          <w:rFonts w:ascii="Tahoma" w:hAnsi="Tahoma" w:cs="Tahoma"/>
          <w:spacing w:val="-10"/>
          <w:sz w:val="20"/>
          <w:szCs w:val="20"/>
        </w:rPr>
        <w:t xml:space="preserve"> </w:t>
      </w:r>
      <w:r w:rsidRPr="00B004EE">
        <w:rPr>
          <w:rFonts w:ascii="Tahoma" w:hAnsi="Tahoma" w:cs="Tahoma"/>
          <w:sz w:val="20"/>
          <w:szCs w:val="20"/>
        </w:rPr>
        <w:t>conformément</w:t>
      </w:r>
      <w:r w:rsidR="00DB1635" w:rsidRPr="00B004EE">
        <w:rPr>
          <w:rFonts w:ascii="Tahoma" w:hAnsi="Tahoma" w:cs="Tahoma"/>
          <w:spacing w:val="-9"/>
          <w:sz w:val="20"/>
          <w:szCs w:val="20"/>
        </w:rPr>
        <w:t xml:space="preserve"> </w:t>
      </w:r>
      <w:r w:rsidRPr="00B004EE">
        <w:rPr>
          <w:rFonts w:ascii="Tahoma" w:hAnsi="Tahoma" w:cs="Tahoma"/>
          <w:sz w:val="20"/>
          <w:szCs w:val="20"/>
        </w:rPr>
        <w:t>au</w:t>
      </w:r>
      <w:r w:rsidR="00DB1635" w:rsidRPr="00B004EE">
        <w:rPr>
          <w:rFonts w:ascii="Tahoma" w:hAnsi="Tahoma" w:cs="Tahoma"/>
          <w:spacing w:val="-10"/>
          <w:sz w:val="20"/>
          <w:szCs w:val="20"/>
        </w:rPr>
        <w:t xml:space="preserve"> </w:t>
      </w:r>
      <w:r w:rsidRPr="00B004EE">
        <w:rPr>
          <w:rFonts w:ascii="Tahoma" w:hAnsi="Tahoma" w:cs="Tahoma"/>
          <w:sz w:val="20"/>
          <w:szCs w:val="20"/>
        </w:rPr>
        <w:t>droit</w:t>
      </w:r>
      <w:r w:rsidR="00DB1635" w:rsidRPr="00B004EE">
        <w:rPr>
          <w:rFonts w:ascii="Tahoma" w:hAnsi="Tahoma" w:cs="Tahoma"/>
          <w:spacing w:val="-10"/>
          <w:sz w:val="20"/>
          <w:szCs w:val="20"/>
        </w:rPr>
        <w:t xml:space="preserve"> </w:t>
      </w:r>
      <w:r w:rsidRPr="00B004EE">
        <w:rPr>
          <w:rFonts w:ascii="Tahoma" w:hAnsi="Tahoma" w:cs="Tahoma"/>
          <w:sz w:val="20"/>
          <w:szCs w:val="20"/>
        </w:rPr>
        <w:t>international</w:t>
      </w:r>
      <w:r w:rsidR="00DB1635" w:rsidRPr="00B004EE">
        <w:rPr>
          <w:rFonts w:ascii="Tahoma" w:hAnsi="Tahoma" w:cs="Tahoma"/>
          <w:spacing w:val="-9"/>
          <w:sz w:val="20"/>
          <w:szCs w:val="20"/>
        </w:rPr>
        <w:t xml:space="preserve"> </w:t>
      </w:r>
      <w:r w:rsidRPr="00B004EE">
        <w:rPr>
          <w:rFonts w:ascii="Tahoma" w:hAnsi="Tahoma" w:cs="Tahoma"/>
          <w:sz w:val="20"/>
          <w:szCs w:val="20"/>
        </w:rPr>
        <w:t>et</w:t>
      </w:r>
      <w:r w:rsidR="00DB1635" w:rsidRPr="00B004EE">
        <w:rPr>
          <w:rFonts w:ascii="Tahoma" w:hAnsi="Tahoma" w:cs="Tahoma"/>
          <w:spacing w:val="-10"/>
          <w:sz w:val="20"/>
          <w:szCs w:val="20"/>
        </w:rPr>
        <w:t xml:space="preserve"> </w:t>
      </w:r>
      <w:r w:rsidRPr="00B004EE">
        <w:rPr>
          <w:rFonts w:ascii="Tahoma" w:hAnsi="Tahoma" w:cs="Tahoma"/>
          <w:sz w:val="20"/>
          <w:szCs w:val="20"/>
        </w:rPr>
        <w:t>cesse</w:t>
      </w:r>
      <w:r w:rsidR="00DB1635" w:rsidRPr="00B004EE">
        <w:rPr>
          <w:rFonts w:ascii="Tahoma" w:hAnsi="Tahoma" w:cs="Tahoma"/>
          <w:spacing w:val="-10"/>
          <w:sz w:val="20"/>
          <w:szCs w:val="20"/>
        </w:rPr>
        <w:t xml:space="preserve"> </w:t>
      </w:r>
      <w:r w:rsidRPr="00B004EE">
        <w:rPr>
          <w:rFonts w:ascii="Tahoma" w:hAnsi="Tahoma" w:cs="Tahoma"/>
          <w:sz w:val="20"/>
          <w:szCs w:val="20"/>
        </w:rPr>
        <w:t>dès</w:t>
      </w:r>
      <w:r w:rsidR="00DB1635" w:rsidRPr="00B004EE">
        <w:rPr>
          <w:rFonts w:ascii="Tahoma" w:hAnsi="Tahoma" w:cs="Tahoma"/>
          <w:w w:val="94"/>
          <w:sz w:val="20"/>
          <w:szCs w:val="20"/>
        </w:rPr>
        <w:t xml:space="preserve"> </w:t>
      </w:r>
      <w:r w:rsidRPr="00B004EE">
        <w:rPr>
          <w:rFonts w:ascii="Tahoma" w:eastAsia="American Typewriter" w:hAnsi="Tahoma" w:cs="Tahoma"/>
          <w:sz w:val="20"/>
          <w:szCs w:val="20"/>
        </w:rPr>
        <w:t>lors</w:t>
      </w:r>
      <w:r w:rsidR="00DB1635" w:rsidRPr="00B004EE">
        <w:rPr>
          <w:rFonts w:ascii="Tahoma" w:eastAsia="American Typewriter" w:hAnsi="Tahoma" w:cs="Tahoma"/>
          <w:spacing w:val="33"/>
          <w:sz w:val="20"/>
          <w:szCs w:val="20"/>
        </w:rPr>
        <w:t xml:space="preserve"> </w:t>
      </w:r>
      <w:r w:rsidRPr="00B004EE">
        <w:rPr>
          <w:rFonts w:ascii="Tahoma" w:eastAsia="American Typewriter" w:hAnsi="Tahoma" w:cs="Tahoma"/>
          <w:sz w:val="20"/>
          <w:szCs w:val="20"/>
        </w:rPr>
        <w:t>que</w:t>
      </w:r>
      <w:r w:rsidR="00DB1635" w:rsidRPr="00B004EE">
        <w:rPr>
          <w:rFonts w:ascii="Tahoma" w:eastAsia="American Typewriter" w:hAnsi="Tahoma" w:cs="Tahoma"/>
          <w:spacing w:val="34"/>
          <w:sz w:val="20"/>
          <w:szCs w:val="20"/>
        </w:rPr>
        <w:t xml:space="preserve"> </w:t>
      </w:r>
      <w:r w:rsidRPr="00B004EE">
        <w:rPr>
          <w:rFonts w:ascii="Tahoma" w:eastAsia="American Typewriter" w:hAnsi="Tahoma" w:cs="Tahoma"/>
          <w:sz w:val="20"/>
          <w:szCs w:val="20"/>
        </w:rPr>
        <w:t>le</w:t>
      </w:r>
      <w:r w:rsidR="00DB1635" w:rsidRPr="00B004EE">
        <w:rPr>
          <w:rFonts w:ascii="Tahoma" w:eastAsia="American Typewriter" w:hAnsi="Tahoma" w:cs="Tahoma"/>
          <w:spacing w:val="34"/>
          <w:sz w:val="20"/>
          <w:szCs w:val="20"/>
        </w:rPr>
        <w:t xml:space="preserve"> </w:t>
      </w:r>
      <w:r w:rsidRPr="00B004EE">
        <w:rPr>
          <w:rFonts w:ascii="Tahoma" w:eastAsia="American Typewriter" w:hAnsi="Tahoma" w:cs="Tahoma"/>
          <w:sz w:val="20"/>
          <w:szCs w:val="20"/>
        </w:rPr>
        <w:t>navire</w:t>
      </w:r>
      <w:r w:rsidR="00DB1635" w:rsidRPr="00B004EE">
        <w:rPr>
          <w:rFonts w:ascii="Tahoma" w:eastAsia="American Typewriter" w:hAnsi="Tahoma" w:cs="Tahoma"/>
          <w:spacing w:val="34"/>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pacing w:val="34"/>
          <w:sz w:val="20"/>
          <w:szCs w:val="20"/>
        </w:rPr>
        <w:t xml:space="preserve"> </w:t>
      </w:r>
      <w:r w:rsidRPr="00B004EE">
        <w:rPr>
          <w:rFonts w:ascii="Tahoma" w:eastAsia="American Typewriter" w:hAnsi="Tahoma" w:cs="Tahoma"/>
          <w:sz w:val="20"/>
          <w:szCs w:val="20"/>
        </w:rPr>
        <w:t>pêche</w:t>
      </w:r>
      <w:r w:rsidR="00DB1635" w:rsidRPr="00B004EE">
        <w:rPr>
          <w:rFonts w:ascii="Tahoma" w:eastAsia="American Typewriter" w:hAnsi="Tahoma" w:cs="Tahoma"/>
          <w:spacing w:val="34"/>
          <w:sz w:val="20"/>
          <w:szCs w:val="20"/>
        </w:rPr>
        <w:t xml:space="preserve"> </w:t>
      </w:r>
      <w:r w:rsidRPr="00B004EE">
        <w:rPr>
          <w:rFonts w:ascii="Tahoma" w:eastAsia="American Typewriter" w:hAnsi="Tahoma" w:cs="Tahoma"/>
          <w:sz w:val="20"/>
          <w:szCs w:val="20"/>
        </w:rPr>
        <w:t>entre</w:t>
      </w:r>
      <w:r w:rsidR="00DB1635" w:rsidRPr="00B004EE">
        <w:rPr>
          <w:rFonts w:ascii="Tahoma" w:eastAsia="American Typewriter" w:hAnsi="Tahoma" w:cs="Tahoma"/>
          <w:spacing w:val="34"/>
          <w:sz w:val="20"/>
          <w:szCs w:val="20"/>
        </w:rPr>
        <w:t xml:space="preserve"> </w:t>
      </w:r>
      <w:r w:rsidRPr="00B004EE">
        <w:rPr>
          <w:rFonts w:ascii="Tahoma" w:eastAsia="American Typewriter" w:hAnsi="Tahoma" w:cs="Tahoma"/>
          <w:sz w:val="20"/>
          <w:szCs w:val="20"/>
        </w:rPr>
        <w:t>dans</w:t>
      </w:r>
      <w:r w:rsidR="00DB1635" w:rsidRPr="00B004EE">
        <w:rPr>
          <w:rFonts w:ascii="Tahoma" w:eastAsia="American Typewriter" w:hAnsi="Tahoma" w:cs="Tahoma"/>
          <w:spacing w:val="33"/>
          <w:sz w:val="20"/>
          <w:szCs w:val="20"/>
        </w:rPr>
        <w:t xml:space="preserve"> </w:t>
      </w:r>
      <w:r w:rsidRPr="00B004EE">
        <w:rPr>
          <w:rFonts w:ascii="Tahoma" w:eastAsia="American Typewriter" w:hAnsi="Tahoma" w:cs="Tahoma"/>
          <w:sz w:val="20"/>
          <w:szCs w:val="20"/>
        </w:rPr>
        <w:t>la</w:t>
      </w:r>
      <w:r w:rsidR="00DB1635" w:rsidRPr="00B004EE">
        <w:rPr>
          <w:rFonts w:ascii="Tahoma" w:eastAsia="American Typewriter" w:hAnsi="Tahoma" w:cs="Tahoma"/>
          <w:spacing w:val="35"/>
          <w:sz w:val="20"/>
          <w:szCs w:val="20"/>
        </w:rPr>
        <w:t xml:space="preserve"> </w:t>
      </w:r>
      <w:r w:rsidRPr="00B004EE">
        <w:rPr>
          <w:rFonts w:ascii="Tahoma" w:eastAsia="American Typewriter" w:hAnsi="Tahoma" w:cs="Tahoma"/>
          <w:sz w:val="20"/>
          <w:szCs w:val="20"/>
        </w:rPr>
        <w:t>mer</w:t>
      </w:r>
      <w:r w:rsidR="00DB1635" w:rsidRPr="00B004EE">
        <w:rPr>
          <w:rFonts w:ascii="Tahoma" w:eastAsia="American Typewriter" w:hAnsi="Tahoma" w:cs="Tahoma"/>
          <w:spacing w:val="33"/>
          <w:sz w:val="20"/>
          <w:szCs w:val="20"/>
        </w:rPr>
        <w:t xml:space="preserve"> </w:t>
      </w:r>
      <w:r w:rsidRPr="00B004EE">
        <w:rPr>
          <w:rFonts w:ascii="Tahoma" w:eastAsia="American Typewriter" w:hAnsi="Tahoma" w:cs="Tahoma"/>
          <w:sz w:val="20"/>
          <w:szCs w:val="20"/>
        </w:rPr>
        <w:t>territoriale</w:t>
      </w:r>
      <w:r w:rsidR="00DB1635" w:rsidRPr="00B004EE">
        <w:rPr>
          <w:rFonts w:ascii="Tahoma" w:eastAsia="American Typewriter" w:hAnsi="Tahoma" w:cs="Tahoma"/>
          <w:spacing w:val="31"/>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pacing w:val="31"/>
          <w:sz w:val="20"/>
          <w:szCs w:val="20"/>
        </w:rPr>
        <w:t xml:space="preserve"> </w:t>
      </w:r>
      <w:r w:rsidRPr="00B004EE">
        <w:rPr>
          <w:rFonts w:ascii="Tahoma" w:eastAsia="American Typewriter" w:hAnsi="Tahoma" w:cs="Tahoma"/>
          <w:sz w:val="20"/>
          <w:szCs w:val="20"/>
        </w:rPr>
        <w:t>l’État</w:t>
      </w:r>
      <w:r w:rsidR="00DB1635" w:rsidRPr="00B004EE">
        <w:rPr>
          <w:rFonts w:ascii="Tahoma" w:eastAsia="American Typewriter" w:hAnsi="Tahoma" w:cs="Tahoma"/>
          <w:spacing w:val="32"/>
          <w:sz w:val="20"/>
          <w:szCs w:val="20"/>
        </w:rPr>
        <w:t xml:space="preserve"> </w:t>
      </w:r>
      <w:r w:rsidRPr="00B004EE">
        <w:rPr>
          <w:rFonts w:ascii="Tahoma" w:eastAsia="American Typewriter" w:hAnsi="Tahoma" w:cs="Tahoma"/>
          <w:sz w:val="20"/>
          <w:szCs w:val="20"/>
        </w:rPr>
        <w:t>dont</w:t>
      </w:r>
      <w:r w:rsidR="00DB1635" w:rsidRPr="00B004EE">
        <w:rPr>
          <w:rFonts w:ascii="Tahoma" w:eastAsia="American Typewriter" w:hAnsi="Tahoma" w:cs="Tahoma"/>
          <w:spacing w:val="31"/>
          <w:sz w:val="20"/>
          <w:szCs w:val="20"/>
        </w:rPr>
        <w:t xml:space="preserve"> </w:t>
      </w:r>
      <w:r w:rsidRPr="00B004EE">
        <w:rPr>
          <w:rFonts w:ascii="Tahoma" w:eastAsia="American Typewriter" w:hAnsi="Tahoma" w:cs="Tahoma"/>
          <w:sz w:val="20"/>
          <w:szCs w:val="20"/>
        </w:rPr>
        <w:t>il</w:t>
      </w:r>
      <w:r w:rsidR="00DB1635" w:rsidRPr="00B004EE">
        <w:rPr>
          <w:rFonts w:ascii="Tahoma" w:eastAsia="American Typewriter" w:hAnsi="Tahoma" w:cs="Tahoma"/>
          <w:spacing w:val="32"/>
          <w:sz w:val="20"/>
          <w:szCs w:val="20"/>
        </w:rPr>
        <w:t xml:space="preserve"> </w:t>
      </w:r>
      <w:r w:rsidRPr="00B004EE">
        <w:rPr>
          <w:rFonts w:ascii="Tahoma" w:eastAsia="American Typewriter" w:hAnsi="Tahoma" w:cs="Tahoma"/>
          <w:sz w:val="20"/>
          <w:szCs w:val="20"/>
        </w:rPr>
        <w:t>bat</w:t>
      </w:r>
      <w:r w:rsidR="00DB1635" w:rsidRPr="00B004EE">
        <w:rPr>
          <w:rFonts w:ascii="Tahoma" w:eastAsia="American Typewriter" w:hAnsi="Tahoma" w:cs="Tahoma"/>
          <w:w w:val="97"/>
          <w:sz w:val="20"/>
          <w:szCs w:val="20"/>
        </w:rPr>
        <w:t xml:space="preserve"> </w:t>
      </w:r>
      <w:r w:rsidRPr="00B004EE">
        <w:rPr>
          <w:rFonts w:ascii="Tahoma" w:hAnsi="Tahoma" w:cs="Tahoma"/>
          <w:sz w:val="20"/>
          <w:szCs w:val="20"/>
        </w:rPr>
        <w:t>pavillon</w:t>
      </w:r>
      <w:r w:rsidR="00DB1635" w:rsidRPr="00B004EE">
        <w:rPr>
          <w:rFonts w:ascii="Tahoma" w:hAnsi="Tahoma" w:cs="Tahoma"/>
          <w:spacing w:val="-22"/>
          <w:sz w:val="20"/>
          <w:szCs w:val="20"/>
        </w:rPr>
        <w:t xml:space="preserve"> </w:t>
      </w:r>
      <w:r w:rsidRPr="00B004EE">
        <w:rPr>
          <w:rFonts w:ascii="Tahoma" w:hAnsi="Tahoma" w:cs="Tahoma"/>
          <w:sz w:val="20"/>
          <w:szCs w:val="20"/>
        </w:rPr>
        <w:t>ou</w:t>
      </w:r>
      <w:r w:rsidR="00DB1635" w:rsidRPr="00B004EE">
        <w:rPr>
          <w:rFonts w:ascii="Tahoma" w:hAnsi="Tahoma" w:cs="Tahoma"/>
          <w:spacing w:val="-22"/>
          <w:sz w:val="20"/>
          <w:szCs w:val="20"/>
        </w:rPr>
        <w:t xml:space="preserve"> </w:t>
      </w:r>
      <w:r w:rsidRPr="00B004EE">
        <w:rPr>
          <w:rFonts w:ascii="Tahoma" w:hAnsi="Tahoma" w:cs="Tahoma"/>
          <w:sz w:val="20"/>
          <w:szCs w:val="20"/>
        </w:rPr>
        <w:t>d'un</w:t>
      </w:r>
      <w:r w:rsidR="00DB1635" w:rsidRPr="00B004EE">
        <w:rPr>
          <w:rFonts w:ascii="Tahoma" w:hAnsi="Tahoma" w:cs="Tahoma"/>
          <w:spacing w:val="-22"/>
          <w:sz w:val="20"/>
          <w:szCs w:val="20"/>
        </w:rPr>
        <w:t xml:space="preserve"> </w:t>
      </w:r>
      <w:r w:rsidRPr="00B004EE">
        <w:rPr>
          <w:rFonts w:ascii="Tahoma" w:hAnsi="Tahoma" w:cs="Tahoma"/>
          <w:sz w:val="20"/>
          <w:szCs w:val="20"/>
        </w:rPr>
        <w:t>État</w:t>
      </w:r>
      <w:r w:rsidR="00DB1635" w:rsidRPr="00B004EE">
        <w:rPr>
          <w:rFonts w:ascii="Tahoma" w:hAnsi="Tahoma" w:cs="Tahoma"/>
          <w:spacing w:val="-21"/>
          <w:sz w:val="20"/>
          <w:szCs w:val="20"/>
        </w:rPr>
        <w:t xml:space="preserve"> </w:t>
      </w:r>
      <w:r w:rsidRPr="00B004EE">
        <w:rPr>
          <w:rFonts w:ascii="Tahoma" w:hAnsi="Tahoma" w:cs="Tahoma"/>
          <w:sz w:val="20"/>
          <w:szCs w:val="20"/>
        </w:rPr>
        <w:t>tiers.</w:t>
      </w:r>
      <w:r w:rsidR="00DB1635" w:rsidRPr="00B004EE">
        <w:rPr>
          <w:rFonts w:ascii="Tahoma" w:hAnsi="Tahoma" w:cs="Tahoma"/>
          <w:spacing w:val="-23"/>
          <w:sz w:val="20"/>
          <w:szCs w:val="20"/>
        </w:rPr>
        <w:t xml:space="preserve"> </w:t>
      </w:r>
      <w:r w:rsidRPr="00B004EE">
        <w:rPr>
          <w:rFonts w:ascii="Tahoma" w:hAnsi="Tahoma" w:cs="Tahoma"/>
          <w:sz w:val="20"/>
          <w:szCs w:val="20"/>
        </w:rPr>
        <w:t>Ces</w:t>
      </w:r>
      <w:r w:rsidR="00DB1635" w:rsidRPr="00B004EE">
        <w:rPr>
          <w:rFonts w:ascii="Tahoma" w:hAnsi="Tahoma" w:cs="Tahoma"/>
          <w:spacing w:val="-24"/>
          <w:sz w:val="20"/>
          <w:szCs w:val="20"/>
        </w:rPr>
        <w:t xml:space="preserve"> </w:t>
      </w:r>
      <w:r w:rsidRPr="00B004EE">
        <w:rPr>
          <w:rFonts w:ascii="Tahoma" w:hAnsi="Tahoma" w:cs="Tahoma"/>
          <w:sz w:val="20"/>
          <w:szCs w:val="20"/>
        </w:rPr>
        <w:t>dispositions</w:t>
      </w:r>
      <w:r w:rsidR="00DB1635" w:rsidRPr="00B004EE">
        <w:rPr>
          <w:rFonts w:ascii="Tahoma" w:hAnsi="Tahoma" w:cs="Tahoma"/>
          <w:spacing w:val="-24"/>
          <w:sz w:val="20"/>
          <w:szCs w:val="20"/>
        </w:rPr>
        <w:t xml:space="preserve"> </w:t>
      </w:r>
      <w:r w:rsidRPr="00B004EE">
        <w:rPr>
          <w:rFonts w:ascii="Tahoma" w:hAnsi="Tahoma" w:cs="Tahoma"/>
          <w:sz w:val="20"/>
          <w:szCs w:val="20"/>
        </w:rPr>
        <w:t>sont</w:t>
      </w:r>
      <w:r w:rsidR="00DB1635" w:rsidRPr="00B004EE">
        <w:rPr>
          <w:rFonts w:ascii="Tahoma" w:hAnsi="Tahoma" w:cs="Tahoma"/>
          <w:spacing w:val="-23"/>
          <w:sz w:val="20"/>
          <w:szCs w:val="20"/>
        </w:rPr>
        <w:t xml:space="preserve"> </w:t>
      </w:r>
      <w:r w:rsidRPr="00B004EE">
        <w:rPr>
          <w:rFonts w:ascii="Tahoma" w:hAnsi="Tahoma" w:cs="Tahoma"/>
          <w:sz w:val="20"/>
          <w:szCs w:val="20"/>
        </w:rPr>
        <w:t>cependant</w:t>
      </w:r>
      <w:r w:rsidR="00DB1635" w:rsidRPr="00B004EE">
        <w:rPr>
          <w:rFonts w:ascii="Tahoma" w:hAnsi="Tahoma" w:cs="Tahoma"/>
          <w:spacing w:val="-23"/>
          <w:sz w:val="20"/>
          <w:szCs w:val="20"/>
        </w:rPr>
        <w:t xml:space="preserve"> </w:t>
      </w:r>
      <w:r w:rsidRPr="00B004EE">
        <w:rPr>
          <w:rFonts w:ascii="Tahoma" w:hAnsi="Tahoma" w:cs="Tahoma"/>
          <w:sz w:val="20"/>
          <w:szCs w:val="20"/>
        </w:rPr>
        <w:t>sans</w:t>
      </w:r>
      <w:r w:rsidR="00DB1635" w:rsidRPr="00B004EE">
        <w:rPr>
          <w:rFonts w:ascii="Tahoma" w:hAnsi="Tahoma" w:cs="Tahoma"/>
          <w:spacing w:val="-24"/>
          <w:sz w:val="20"/>
          <w:szCs w:val="20"/>
        </w:rPr>
        <w:t xml:space="preserve"> </w:t>
      </w:r>
      <w:r w:rsidRPr="00B004EE">
        <w:rPr>
          <w:rFonts w:ascii="Tahoma" w:hAnsi="Tahoma" w:cs="Tahoma"/>
          <w:sz w:val="20"/>
          <w:szCs w:val="20"/>
        </w:rPr>
        <w:t>préjudice</w:t>
      </w:r>
      <w:r w:rsidR="00DB1635" w:rsidRPr="00B004EE">
        <w:rPr>
          <w:rFonts w:ascii="Tahoma" w:hAnsi="Tahoma" w:cs="Tahoma"/>
          <w:spacing w:val="-23"/>
          <w:sz w:val="20"/>
          <w:szCs w:val="20"/>
        </w:rPr>
        <w:t xml:space="preserve"> </w:t>
      </w:r>
      <w:r w:rsidRPr="00B004EE">
        <w:rPr>
          <w:rFonts w:ascii="Tahoma" w:hAnsi="Tahoma" w:cs="Tahoma"/>
          <w:sz w:val="20"/>
          <w:szCs w:val="20"/>
        </w:rPr>
        <w:t>de</w:t>
      </w:r>
      <w:r w:rsidR="00DB1635" w:rsidRPr="00B004EE">
        <w:rPr>
          <w:rFonts w:ascii="Tahoma" w:hAnsi="Tahoma" w:cs="Tahoma"/>
          <w:spacing w:val="-23"/>
          <w:sz w:val="20"/>
          <w:szCs w:val="20"/>
        </w:rPr>
        <w:t xml:space="preserve"> </w:t>
      </w:r>
      <w:r w:rsidRPr="00B004EE">
        <w:rPr>
          <w:rFonts w:ascii="Tahoma" w:hAnsi="Tahoma" w:cs="Tahoma"/>
          <w:sz w:val="20"/>
          <w:szCs w:val="20"/>
        </w:rPr>
        <w:t>celles</w:t>
      </w:r>
      <w:r w:rsidR="00DB1635" w:rsidRPr="00B004EE">
        <w:rPr>
          <w:rFonts w:ascii="Tahoma" w:hAnsi="Tahoma" w:cs="Tahoma"/>
          <w:w w:val="94"/>
          <w:sz w:val="20"/>
          <w:szCs w:val="20"/>
        </w:rPr>
        <w:t xml:space="preserve"> </w:t>
      </w:r>
      <w:r w:rsidRPr="00B004EE">
        <w:rPr>
          <w:rFonts w:ascii="Tahoma" w:hAnsi="Tahoma" w:cs="Tahoma"/>
          <w:sz w:val="20"/>
          <w:szCs w:val="20"/>
        </w:rPr>
        <w:t>d'Accords</w:t>
      </w:r>
      <w:r w:rsidR="00DB1635" w:rsidRPr="00B004EE">
        <w:rPr>
          <w:rFonts w:ascii="Tahoma" w:hAnsi="Tahoma" w:cs="Tahoma"/>
          <w:sz w:val="20"/>
          <w:szCs w:val="20"/>
        </w:rPr>
        <w:t xml:space="preserve"> </w:t>
      </w:r>
      <w:r w:rsidRPr="00B004EE">
        <w:rPr>
          <w:rFonts w:ascii="Tahoma" w:hAnsi="Tahoma" w:cs="Tahoma"/>
          <w:sz w:val="20"/>
          <w:szCs w:val="20"/>
        </w:rPr>
        <w:t>bilatéraux,</w:t>
      </w:r>
      <w:r w:rsidR="00DB1635" w:rsidRPr="00B004EE">
        <w:rPr>
          <w:rFonts w:ascii="Tahoma" w:hAnsi="Tahoma" w:cs="Tahoma"/>
          <w:sz w:val="20"/>
          <w:szCs w:val="20"/>
        </w:rPr>
        <w:t xml:space="preserve"> </w:t>
      </w:r>
      <w:r w:rsidRPr="00B004EE">
        <w:rPr>
          <w:rFonts w:ascii="Tahoma" w:hAnsi="Tahoma" w:cs="Tahoma"/>
          <w:sz w:val="20"/>
          <w:szCs w:val="20"/>
        </w:rPr>
        <w:t>sous</w:t>
      </w:r>
      <w:r w:rsidR="00DB1635" w:rsidRPr="00B004EE">
        <w:rPr>
          <w:rFonts w:ascii="Tahoma" w:hAnsi="Tahoma" w:cs="Tahoma"/>
          <w:sz w:val="20"/>
          <w:szCs w:val="20"/>
        </w:rPr>
        <w:t xml:space="preserve"> </w:t>
      </w:r>
      <w:r w:rsidRPr="00B004EE">
        <w:rPr>
          <w:rFonts w:ascii="Tahoma" w:hAnsi="Tahoma" w:cs="Tahoma"/>
          <w:sz w:val="20"/>
          <w:szCs w:val="20"/>
        </w:rPr>
        <w:t>régionaux</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internationaux</w:t>
      </w:r>
      <w:r w:rsidR="00DB1635" w:rsidRPr="00B004EE">
        <w:rPr>
          <w:rFonts w:ascii="Tahoma" w:hAnsi="Tahoma" w:cs="Tahoma"/>
          <w:sz w:val="20"/>
          <w:szCs w:val="20"/>
        </w:rPr>
        <w:t xml:space="preserve"> </w:t>
      </w:r>
      <w:r w:rsidRPr="00B004EE">
        <w:rPr>
          <w:rFonts w:ascii="Tahoma" w:hAnsi="Tahoma" w:cs="Tahoma"/>
          <w:sz w:val="20"/>
          <w:szCs w:val="20"/>
        </w:rPr>
        <w:t>qui</w:t>
      </w:r>
      <w:r w:rsidR="00DB1635" w:rsidRPr="00B004EE">
        <w:rPr>
          <w:rFonts w:ascii="Tahoma" w:hAnsi="Tahoma" w:cs="Tahoma"/>
          <w:sz w:val="20"/>
          <w:szCs w:val="20"/>
        </w:rPr>
        <w:t xml:space="preserve"> </w:t>
      </w:r>
      <w:r w:rsidRPr="00B004EE">
        <w:rPr>
          <w:rFonts w:ascii="Tahoma" w:hAnsi="Tahoma" w:cs="Tahoma"/>
          <w:sz w:val="20"/>
          <w:szCs w:val="20"/>
        </w:rPr>
        <w:t>pourraient</w:t>
      </w:r>
      <w:r w:rsidR="00DB1635" w:rsidRPr="00B004EE">
        <w:rPr>
          <w:rFonts w:ascii="Tahoma" w:hAnsi="Tahoma" w:cs="Tahoma"/>
          <w:spacing w:val="26"/>
          <w:sz w:val="20"/>
          <w:szCs w:val="20"/>
        </w:rPr>
        <w:t xml:space="preserve"> </w:t>
      </w:r>
      <w:r w:rsidRPr="00B004EE">
        <w:rPr>
          <w:rFonts w:ascii="Tahoma" w:hAnsi="Tahoma" w:cs="Tahoma"/>
          <w:sz w:val="20"/>
          <w:szCs w:val="20"/>
        </w:rPr>
        <w:t>stipuler</w:t>
      </w:r>
      <w:r w:rsidR="00DB1635" w:rsidRPr="00B004EE">
        <w:rPr>
          <w:rFonts w:ascii="Tahoma" w:hAnsi="Tahoma" w:cs="Tahoma"/>
          <w:w w:val="92"/>
          <w:sz w:val="20"/>
          <w:szCs w:val="20"/>
        </w:rPr>
        <w:t xml:space="preserve"> </w:t>
      </w:r>
      <w:r w:rsidRPr="00B004EE">
        <w:rPr>
          <w:rFonts w:ascii="Tahoma" w:hAnsi="Tahoma" w:cs="Tahoma"/>
          <w:sz w:val="20"/>
          <w:szCs w:val="20"/>
        </w:rPr>
        <w:t>autrement.</w:t>
      </w:r>
    </w:p>
    <w:p w14:paraId="1B8D17E4" w14:textId="77777777" w:rsidR="001E7C3C" w:rsidRPr="00B004EE" w:rsidRDefault="001E7C3C" w:rsidP="00B004EE">
      <w:pPr>
        <w:rPr>
          <w:rFonts w:ascii="Tahoma" w:eastAsia="American Typewriter" w:hAnsi="Tahoma" w:cs="Tahoma"/>
          <w:sz w:val="20"/>
          <w:szCs w:val="20"/>
        </w:rPr>
      </w:pPr>
    </w:p>
    <w:p w14:paraId="0EDA4B37" w14:textId="6B23DCD5" w:rsidR="001E7C3C" w:rsidRPr="00B004EE" w:rsidRDefault="001E7C3C" w:rsidP="00B004EE">
      <w:pPr>
        <w:pStyle w:val="Lgende"/>
        <w:jc w:val="center"/>
        <w:rPr>
          <w:rFonts w:ascii="Tahoma" w:eastAsia="American Typewriter" w:hAnsi="Tahoma" w:cs="Tahoma"/>
        </w:rPr>
      </w:pPr>
      <w:bookmarkStart w:id="115" w:name="_Toc16279090"/>
      <w:bookmarkStart w:id="116" w:name="_Toc16279459"/>
      <w:r w:rsidRPr="00B004EE">
        <w:rPr>
          <w:rFonts w:ascii="Tahoma" w:eastAsia="American Typewriter" w:hAnsi="Tahoma" w:cs="Tahoma"/>
        </w:rPr>
        <w:t>Section</w:t>
      </w:r>
      <w:r w:rsidR="00DB1635" w:rsidRPr="00B004EE">
        <w:rPr>
          <w:rFonts w:ascii="Tahoma" w:eastAsia="American Typewriter" w:hAnsi="Tahoma" w:cs="Tahoma"/>
        </w:rPr>
        <w:t xml:space="preserve"> </w:t>
      </w:r>
      <w:r w:rsidRPr="00B004EE">
        <w:rPr>
          <w:rFonts w:ascii="Tahoma" w:eastAsia="American Typewriter" w:hAnsi="Tahoma" w:cs="Tahoma"/>
        </w:rPr>
        <w:t>7</w:t>
      </w:r>
      <w:r w:rsidR="00DB1635" w:rsidRPr="00B004EE">
        <w:rPr>
          <w:rFonts w:ascii="Tahoma" w:eastAsia="American Typewriter" w:hAnsi="Tahoma" w:cs="Tahoma"/>
        </w:rPr>
        <w:t xml:space="preserve"> </w:t>
      </w:r>
      <w:r w:rsidRPr="00B004EE">
        <w:rPr>
          <w:rFonts w:ascii="Tahoma" w:eastAsia="American Typewriter" w:hAnsi="Tahoma" w:cs="Tahoma"/>
        </w:rPr>
        <w:t>:</w:t>
      </w:r>
      <w:r w:rsidR="00DB1635" w:rsidRPr="00B004EE">
        <w:rPr>
          <w:rFonts w:ascii="Tahoma" w:eastAsia="American Typewriter" w:hAnsi="Tahoma" w:cs="Tahoma"/>
        </w:rPr>
        <w:t xml:space="preserve"> </w:t>
      </w:r>
      <w:r w:rsidRPr="00B004EE">
        <w:rPr>
          <w:rFonts w:ascii="Tahoma" w:eastAsia="American Typewriter" w:hAnsi="Tahoma" w:cs="Tahoma"/>
        </w:rPr>
        <w:t>Du</w:t>
      </w:r>
      <w:r w:rsidR="00DB1635" w:rsidRPr="00B004EE">
        <w:rPr>
          <w:rFonts w:ascii="Tahoma" w:eastAsia="American Typewriter" w:hAnsi="Tahoma" w:cs="Tahoma"/>
        </w:rPr>
        <w:t xml:space="preserve"> </w:t>
      </w:r>
      <w:r w:rsidRPr="00B004EE">
        <w:rPr>
          <w:rFonts w:ascii="Tahoma" w:eastAsia="American Typewriter" w:hAnsi="Tahoma" w:cs="Tahoma"/>
        </w:rPr>
        <w:t>procès-verbal</w:t>
      </w:r>
      <w:r w:rsidR="00DB1635" w:rsidRPr="00B004EE">
        <w:rPr>
          <w:rFonts w:ascii="Tahoma" w:eastAsia="American Typewriter" w:hAnsi="Tahoma" w:cs="Tahoma"/>
        </w:rPr>
        <w:t xml:space="preserve"> </w:t>
      </w:r>
      <w:r w:rsidRPr="00B004EE">
        <w:rPr>
          <w:rFonts w:ascii="Tahoma" w:eastAsia="American Typewriter" w:hAnsi="Tahoma" w:cs="Tahoma"/>
        </w:rPr>
        <w:t>des</w:t>
      </w:r>
      <w:r w:rsidR="00DB1635" w:rsidRPr="00B004EE">
        <w:rPr>
          <w:rFonts w:ascii="Tahoma" w:eastAsia="American Typewriter" w:hAnsi="Tahoma" w:cs="Tahoma"/>
        </w:rPr>
        <w:t xml:space="preserve"> </w:t>
      </w:r>
      <w:r w:rsidRPr="00B004EE">
        <w:rPr>
          <w:rFonts w:ascii="Tahoma" w:eastAsia="American Typewriter" w:hAnsi="Tahoma" w:cs="Tahoma"/>
        </w:rPr>
        <w:t>infractions</w:t>
      </w:r>
      <w:bookmarkEnd w:id="115"/>
      <w:bookmarkEnd w:id="116"/>
    </w:p>
    <w:p w14:paraId="67843819" w14:textId="77777777" w:rsidR="001E7C3C" w:rsidRPr="00B004EE" w:rsidRDefault="001E7C3C" w:rsidP="00B004EE">
      <w:pPr>
        <w:rPr>
          <w:rFonts w:ascii="Tahoma" w:eastAsia="American Typewriter" w:hAnsi="Tahoma" w:cs="Tahoma"/>
          <w:b/>
          <w:bCs/>
          <w:sz w:val="20"/>
          <w:szCs w:val="20"/>
        </w:rPr>
      </w:pPr>
    </w:p>
    <w:p w14:paraId="5668FCFC" w14:textId="313E5FCA" w:rsidR="001E7C3C" w:rsidRPr="00B004EE" w:rsidRDefault="001E7C3C" w:rsidP="00B004EE">
      <w:pPr>
        <w:pStyle w:val="Corpsdetexte"/>
        <w:ind w:right="161"/>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76</w:t>
      </w:r>
      <w:r w:rsidR="00DB1635" w:rsidRPr="00B004EE">
        <w:rPr>
          <w:rFonts w:ascii="Tahoma" w:hAnsi="Tahoma" w:cs="Tahoma"/>
          <w:bCs/>
          <w:sz w:val="20"/>
          <w:szCs w:val="20"/>
        </w:rPr>
        <w:t xml:space="preserve"> </w:t>
      </w:r>
      <w:r w:rsidRPr="00B004EE">
        <w:rPr>
          <w:rFonts w:ascii="Tahoma" w:hAnsi="Tahoma" w:cs="Tahoma"/>
          <w:bCs/>
          <w:sz w:val="20"/>
          <w:szCs w:val="20"/>
        </w:rPr>
        <w:t>:</w:t>
      </w:r>
      <w:r w:rsidR="00DB1635" w:rsidRPr="00B004EE">
        <w:rPr>
          <w:rFonts w:ascii="Tahoma" w:hAnsi="Tahoma" w:cs="Tahoma"/>
          <w:b/>
          <w:spacing w:val="-26"/>
          <w:sz w:val="20"/>
          <w:szCs w:val="20"/>
        </w:rPr>
        <w:t xml:space="preserve"> </w:t>
      </w:r>
      <w:r w:rsidRPr="00B004EE">
        <w:rPr>
          <w:rFonts w:ascii="Tahoma" w:hAnsi="Tahoma" w:cs="Tahoma"/>
          <w:sz w:val="20"/>
          <w:szCs w:val="20"/>
        </w:rPr>
        <w:t>Lors</w:t>
      </w:r>
      <w:r w:rsidR="00DB1635" w:rsidRPr="00B004EE">
        <w:rPr>
          <w:rFonts w:ascii="Tahoma" w:hAnsi="Tahoma" w:cs="Tahoma"/>
          <w:spacing w:val="-29"/>
          <w:sz w:val="20"/>
          <w:szCs w:val="20"/>
        </w:rPr>
        <w:t xml:space="preserve"> </w:t>
      </w:r>
      <w:r w:rsidRPr="00B004EE">
        <w:rPr>
          <w:rFonts w:ascii="Tahoma" w:hAnsi="Tahoma" w:cs="Tahoma"/>
          <w:sz w:val="20"/>
          <w:szCs w:val="20"/>
        </w:rPr>
        <w:t>de</w:t>
      </w:r>
      <w:r w:rsidR="00DB1635" w:rsidRPr="00B004EE">
        <w:rPr>
          <w:rFonts w:ascii="Tahoma" w:hAnsi="Tahoma" w:cs="Tahoma"/>
          <w:spacing w:val="-29"/>
          <w:sz w:val="20"/>
          <w:szCs w:val="20"/>
        </w:rPr>
        <w:t xml:space="preserve"> </w:t>
      </w:r>
      <w:r w:rsidRPr="00B004EE">
        <w:rPr>
          <w:rFonts w:ascii="Tahoma" w:hAnsi="Tahoma" w:cs="Tahoma"/>
          <w:sz w:val="20"/>
          <w:szCs w:val="20"/>
        </w:rPr>
        <w:t>la</w:t>
      </w:r>
      <w:r w:rsidR="00DB1635" w:rsidRPr="00B004EE">
        <w:rPr>
          <w:rFonts w:ascii="Tahoma" w:hAnsi="Tahoma" w:cs="Tahoma"/>
          <w:spacing w:val="-28"/>
          <w:sz w:val="20"/>
          <w:szCs w:val="20"/>
        </w:rPr>
        <w:t xml:space="preserve"> </w:t>
      </w:r>
      <w:r w:rsidRPr="00B004EE">
        <w:rPr>
          <w:rFonts w:ascii="Tahoma" w:hAnsi="Tahoma" w:cs="Tahoma"/>
          <w:sz w:val="20"/>
          <w:szCs w:val="20"/>
        </w:rPr>
        <w:t>constatation</w:t>
      </w:r>
      <w:r w:rsidR="00DB1635" w:rsidRPr="00B004EE">
        <w:rPr>
          <w:rFonts w:ascii="Tahoma" w:hAnsi="Tahoma" w:cs="Tahoma"/>
          <w:spacing w:val="-29"/>
          <w:sz w:val="20"/>
          <w:szCs w:val="20"/>
        </w:rPr>
        <w:t xml:space="preserve"> </w:t>
      </w:r>
      <w:r w:rsidRPr="00B004EE">
        <w:rPr>
          <w:rFonts w:ascii="Tahoma" w:hAnsi="Tahoma" w:cs="Tahoma"/>
          <w:sz w:val="20"/>
          <w:szCs w:val="20"/>
        </w:rPr>
        <w:t>d'une</w:t>
      </w:r>
      <w:r w:rsidR="00DB1635" w:rsidRPr="00B004EE">
        <w:rPr>
          <w:rFonts w:ascii="Tahoma" w:hAnsi="Tahoma" w:cs="Tahoma"/>
          <w:spacing w:val="-29"/>
          <w:sz w:val="20"/>
          <w:szCs w:val="20"/>
        </w:rPr>
        <w:t xml:space="preserve"> </w:t>
      </w:r>
      <w:r w:rsidRPr="00B004EE">
        <w:rPr>
          <w:rFonts w:ascii="Tahoma" w:hAnsi="Tahoma" w:cs="Tahoma"/>
          <w:sz w:val="20"/>
          <w:szCs w:val="20"/>
        </w:rPr>
        <w:t>infraction,</w:t>
      </w:r>
      <w:r w:rsidR="00DB1635" w:rsidRPr="00B004EE">
        <w:rPr>
          <w:rFonts w:ascii="Tahoma" w:hAnsi="Tahoma" w:cs="Tahoma"/>
          <w:spacing w:val="-29"/>
          <w:sz w:val="20"/>
          <w:szCs w:val="20"/>
        </w:rPr>
        <w:t xml:space="preserve"> </w:t>
      </w:r>
      <w:r w:rsidRPr="00B004EE">
        <w:rPr>
          <w:rFonts w:ascii="Tahoma" w:hAnsi="Tahoma" w:cs="Tahoma"/>
          <w:sz w:val="20"/>
          <w:szCs w:val="20"/>
        </w:rPr>
        <w:t>les</w:t>
      </w:r>
      <w:r w:rsidR="00DB1635" w:rsidRPr="00B004EE">
        <w:rPr>
          <w:rFonts w:ascii="Tahoma" w:hAnsi="Tahoma" w:cs="Tahoma"/>
          <w:spacing w:val="-29"/>
          <w:sz w:val="20"/>
          <w:szCs w:val="20"/>
        </w:rPr>
        <w:t xml:space="preserve"> </w:t>
      </w:r>
      <w:r w:rsidRPr="00B004EE">
        <w:rPr>
          <w:rFonts w:ascii="Tahoma" w:hAnsi="Tahoma" w:cs="Tahoma"/>
          <w:sz w:val="20"/>
          <w:szCs w:val="20"/>
        </w:rPr>
        <w:t>agents</w:t>
      </w:r>
      <w:r w:rsidR="00DB1635" w:rsidRPr="00B004EE">
        <w:rPr>
          <w:rFonts w:ascii="Tahoma" w:hAnsi="Tahoma" w:cs="Tahoma"/>
          <w:spacing w:val="-29"/>
          <w:sz w:val="20"/>
          <w:szCs w:val="20"/>
        </w:rPr>
        <w:t xml:space="preserve"> </w:t>
      </w:r>
      <w:r w:rsidRPr="00B004EE">
        <w:rPr>
          <w:rFonts w:ascii="Tahoma" w:hAnsi="Tahoma" w:cs="Tahoma"/>
          <w:sz w:val="20"/>
          <w:szCs w:val="20"/>
        </w:rPr>
        <w:t>de</w:t>
      </w:r>
      <w:r w:rsidR="00DB1635" w:rsidRPr="00B004EE">
        <w:rPr>
          <w:rFonts w:ascii="Tahoma" w:hAnsi="Tahoma" w:cs="Tahoma"/>
          <w:spacing w:val="-29"/>
          <w:sz w:val="20"/>
          <w:szCs w:val="20"/>
        </w:rPr>
        <w:t xml:space="preserve"> </w:t>
      </w:r>
      <w:r w:rsidRPr="00B004EE">
        <w:rPr>
          <w:rFonts w:ascii="Tahoma" w:hAnsi="Tahoma" w:cs="Tahoma"/>
          <w:sz w:val="20"/>
          <w:szCs w:val="20"/>
        </w:rPr>
        <w:t>contrôle</w:t>
      </w:r>
      <w:r w:rsidR="00DB1635" w:rsidRPr="00B004EE">
        <w:rPr>
          <w:rFonts w:ascii="Tahoma" w:hAnsi="Tahoma" w:cs="Tahoma"/>
          <w:spacing w:val="-29"/>
          <w:sz w:val="20"/>
          <w:szCs w:val="20"/>
        </w:rPr>
        <w:t xml:space="preserve"> </w:t>
      </w:r>
      <w:r w:rsidRPr="00B004EE">
        <w:rPr>
          <w:rFonts w:ascii="Tahoma" w:hAnsi="Tahoma" w:cs="Tahoma"/>
          <w:sz w:val="20"/>
          <w:szCs w:val="20"/>
        </w:rPr>
        <w:t>dressent</w:t>
      </w:r>
      <w:r w:rsidR="00DB1635" w:rsidRPr="00B004EE">
        <w:rPr>
          <w:rFonts w:ascii="Tahoma" w:hAnsi="Tahoma" w:cs="Tahoma"/>
          <w:w w:val="95"/>
          <w:sz w:val="20"/>
          <w:szCs w:val="20"/>
        </w:rPr>
        <w:t xml:space="preserve"> </w:t>
      </w:r>
      <w:r w:rsidR="000B56FC" w:rsidRPr="00B004EE">
        <w:rPr>
          <w:rFonts w:ascii="Tahoma" w:hAnsi="Tahoma" w:cs="Tahoma"/>
          <w:sz w:val="20"/>
          <w:szCs w:val="20"/>
        </w:rPr>
        <w:t>un</w:t>
      </w:r>
      <w:r w:rsidR="00DB1635" w:rsidRPr="00B004EE">
        <w:rPr>
          <w:rFonts w:ascii="Tahoma" w:hAnsi="Tahoma" w:cs="Tahoma"/>
          <w:sz w:val="20"/>
          <w:szCs w:val="20"/>
        </w:rPr>
        <w:t xml:space="preserve"> </w:t>
      </w:r>
      <w:r w:rsidR="000B56FC" w:rsidRPr="00B004EE">
        <w:rPr>
          <w:rFonts w:ascii="Tahoma" w:hAnsi="Tahoma" w:cs="Tahoma"/>
          <w:sz w:val="20"/>
          <w:szCs w:val="20"/>
        </w:rPr>
        <w:t>procès-</w:t>
      </w:r>
      <w:r w:rsidRPr="00B004EE">
        <w:rPr>
          <w:rFonts w:ascii="Tahoma" w:hAnsi="Tahoma" w:cs="Tahoma"/>
          <w:sz w:val="20"/>
          <w:szCs w:val="20"/>
        </w:rPr>
        <w:t>verbal</w:t>
      </w:r>
      <w:r w:rsidR="00DB1635" w:rsidRPr="00B004EE">
        <w:rPr>
          <w:rFonts w:ascii="Tahoma" w:hAnsi="Tahoma" w:cs="Tahoma"/>
          <w:sz w:val="20"/>
          <w:szCs w:val="20"/>
        </w:rPr>
        <w:t xml:space="preserve"> </w:t>
      </w:r>
      <w:r w:rsidRPr="00B004EE">
        <w:rPr>
          <w:rFonts w:ascii="Tahoma" w:hAnsi="Tahoma" w:cs="Tahoma"/>
          <w:sz w:val="20"/>
          <w:szCs w:val="20"/>
        </w:rPr>
        <w:t>d'infraction,</w:t>
      </w:r>
      <w:r w:rsidR="00DB1635" w:rsidRPr="00B004EE">
        <w:rPr>
          <w:rFonts w:ascii="Tahoma" w:hAnsi="Tahoma" w:cs="Tahoma"/>
          <w:sz w:val="20"/>
          <w:szCs w:val="20"/>
        </w:rPr>
        <w:t xml:space="preserve"> </w:t>
      </w:r>
      <w:r w:rsidRPr="00B004EE">
        <w:rPr>
          <w:rFonts w:ascii="Tahoma" w:hAnsi="Tahoma" w:cs="Tahoma"/>
          <w:sz w:val="20"/>
          <w:szCs w:val="20"/>
        </w:rPr>
        <w:t>contenant</w:t>
      </w:r>
      <w:r w:rsidR="00DB1635" w:rsidRPr="00B004EE">
        <w:rPr>
          <w:rFonts w:ascii="Tahoma" w:hAnsi="Tahoma" w:cs="Tahoma"/>
          <w:sz w:val="20"/>
          <w:szCs w:val="20"/>
        </w:rPr>
        <w:t xml:space="preserve"> </w:t>
      </w:r>
      <w:r w:rsidRPr="00B004EE">
        <w:rPr>
          <w:rFonts w:ascii="Tahoma" w:hAnsi="Tahoma" w:cs="Tahoma"/>
          <w:sz w:val="20"/>
          <w:szCs w:val="20"/>
        </w:rPr>
        <w:t>l'exposé</w:t>
      </w:r>
      <w:r w:rsidR="00DB1635" w:rsidRPr="00B004EE">
        <w:rPr>
          <w:rFonts w:ascii="Tahoma" w:hAnsi="Tahoma" w:cs="Tahoma"/>
          <w:sz w:val="20"/>
          <w:szCs w:val="20"/>
        </w:rPr>
        <w:t xml:space="preserve"> </w:t>
      </w:r>
      <w:r w:rsidRPr="00B004EE">
        <w:rPr>
          <w:rFonts w:ascii="Tahoma" w:hAnsi="Tahoma" w:cs="Tahoma"/>
          <w:sz w:val="20"/>
          <w:szCs w:val="20"/>
        </w:rPr>
        <w:t>précis</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faits,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toutes</w:t>
      </w:r>
      <w:r w:rsidR="00DB1635" w:rsidRPr="00B004EE">
        <w:rPr>
          <w:rFonts w:ascii="Tahoma" w:hAnsi="Tahoma" w:cs="Tahoma"/>
          <w:spacing w:val="10"/>
          <w:sz w:val="20"/>
          <w:szCs w:val="20"/>
        </w:rPr>
        <w:t xml:space="preserve"> </w:t>
      </w:r>
      <w:r w:rsidRPr="00B004EE">
        <w:rPr>
          <w:rFonts w:ascii="Tahoma" w:hAnsi="Tahoma" w:cs="Tahoma"/>
          <w:sz w:val="20"/>
          <w:szCs w:val="20"/>
        </w:rPr>
        <w:t>les</w:t>
      </w:r>
      <w:r w:rsidR="00DB1635" w:rsidRPr="00B004EE">
        <w:rPr>
          <w:rFonts w:ascii="Tahoma" w:hAnsi="Tahoma" w:cs="Tahoma"/>
          <w:w w:val="94"/>
          <w:sz w:val="20"/>
          <w:szCs w:val="20"/>
        </w:rPr>
        <w:t xml:space="preserve"> </w:t>
      </w:r>
      <w:r w:rsidRPr="00B004EE">
        <w:rPr>
          <w:rFonts w:ascii="Tahoma" w:hAnsi="Tahoma" w:cs="Tahoma"/>
          <w:sz w:val="20"/>
          <w:szCs w:val="20"/>
        </w:rPr>
        <w:t>circonstances</w:t>
      </w:r>
      <w:r w:rsidR="00DB1635" w:rsidRPr="00B004EE">
        <w:rPr>
          <w:rFonts w:ascii="Tahoma" w:hAnsi="Tahoma" w:cs="Tahoma"/>
          <w:sz w:val="20"/>
          <w:szCs w:val="20"/>
        </w:rPr>
        <w:t xml:space="preserve"> </w:t>
      </w:r>
      <w:r w:rsidRPr="00B004EE">
        <w:rPr>
          <w:rFonts w:ascii="Tahoma" w:hAnsi="Tahoma" w:cs="Tahoma"/>
          <w:sz w:val="20"/>
          <w:szCs w:val="20"/>
        </w:rPr>
        <w:t>pertinentes</w:t>
      </w:r>
      <w:r w:rsidR="00DB1635" w:rsidRPr="00B004EE">
        <w:rPr>
          <w:rFonts w:ascii="Tahoma" w:hAnsi="Tahoma" w:cs="Tahoma"/>
          <w:sz w:val="20"/>
          <w:szCs w:val="20"/>
        </w:rPr>
        <w:t xml:space="preserve"> </w:t>
      </w:r>
      <w:r w:rsidRPr="00B004EE">
        <w:rPr>
          <w:rFonts w:ascii="Tahoma" w:hAnsi="Tahoma" w:cs="Tahoma"/>
          <w:sz w:val="20"/>
          <w:szCs w:val="20"/>
        </w:rPr>
        <w:t>entourant</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commission</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l'infraction</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pacing w:val="56"/>
          <w:sz w:val="20"/>
          <w:szCs w:val="20"/>
        </w:rPr>
        <w:t xml:space="preserve"> </w:t>
      </w:r>
      <w:r w:rsidRPr="00B004EE">
        <w:rPr>
          <w:rFonts w:ascii="Tahoma" w:hAnsi="Tahoma" w:cs="Tahoma"/>
          <w:sz w:val="20"/>
          <w:szCs w:val="20"/>
        </w:rPr>
        <w:t>les</w:t>
      </w:r>
      <w:r w:rsidR="00DB1635" w:rsidRPr="00B004EE">
        <w:rPr>
          <w:rFonts w:ascii="Tahoma" w:hAnsi="Tahoma" w:cs="Tahoma"/>
          <w:w w:val="94"/>
          <w:sz w:val="20"/>
          <w:szCs w:val="20"/>
        </w:rPr>
        <w:t xml:space="preserve"> </w:t>
      </w:r>
      <w:r w:rsidRPr="00B004EE">
        <w:rPr>
          <w:rFonts w:ascii="Tahoma" w:hAnsi="Tahoma" w:cs="Tahoma"/>
          <w:w w:val="95"/>
          <w:sz w:val="20"/>
          <w:szCs w:val="20"/>
        </w:rPr>
        <w:t>témoignages</w:t>
      </w:r>
      <w:r w:rsidR="00DB1635" w:rsidRPr="00B004EE">
        <w:rPr>
          <w:rFonts w:ascii="Tahoma" w:hAnsi="Tahoma" w:cs="Tahoma"/>
          <w:spacing w:val="32"/>
          <w:w w:val="95"/>
          <w:sz w:val="20"/>
          <w:szCs w:val="20"/>
        </w:rPr>
        <w:t xml:space="preserve"> </w:t>
      </w:r>
      <w:r w:rsidRPr="00B004EE">
        <w:rPr>
          <w:rFonts w:ascii="Tahoma" w:hAnsi="Tahoma" w:cs="Tahoma"/>
          <w:w w:val="95"/>
          <w:sz w:val="20"/>
          <w:szCs w:val="20"/>
        </w:rPr>
        <w:t>éventuels.</w:t>
      </w:r>
    </w:p>
    <w:p w14:paraId="14BE2A96" w14:textId="77777777" w:rsidR="001E7C3C" w:rsidRPr="00B004EE" w:rsidRDefault="001E7C3C" w:rsidP="00B004EE">
      <w:pPr>
        <w:rPr>
          <w:rFonts w:ascii="Tahoma" w:eastAsia="American Typewriter" w:hAnsi="Tahoma" w:cs="Tahoma"/>
          <w:sz w:val="20"/>
          <w:szCs w:val="20"/>
        </w:rPr>
      </w:pPr>
    </w:p>
    <w:p w14:paraId="5E748A91" w14:textId="0B6057FD" w:rsidR="001E7C3C" w:rsidRPr="00B004EE" w:rsidRDefault="001E7C3C" w:rsidP="00B004EE">
      <w:pPr>
        <w:pStyle w:val="Corpsdetexte"/>
        <w:ind w:right="165"/>
        <w:rPr>
          <w:rFonts w:ascii="Tahoma" w:hAnsi="Tahoma" w:cs="Tahoma"/>
          <w:sz w:val="20"/>
          <w:szCs w:val="20"/>
        </w:rPr>
      </w:pPr>
      <w:r w:rsidRPr="00B004EE">
        <w:rPr>
          <w:rFonts w:ascii="Tahoma" w:hAnsi="Tahoma" w:cs="Tahoma"/>
          <w:sz w:val="20"/>
          <w:szCs w:val="20"/>
        </w:rPr>
        <w:t>Le</w:t>
      </w:r>
      <w:r w:rsidR="00DB1635" w:rsidRPr="00B004EE">
        <w:rPr>
          <w:rFonts w:ascii="Tahoma" w:hAnsi="Tahoma" w:cs="Tahoma"/>
          <w:spacing w:val="28"/>
          <w:sz w:val="20"/>
          <w:szCs w:val="20"/>
        </w:rPr>
        <w:t xml:space="preserve"> </w:t>
      </w:r>
      <w:r w:rsidRPr="00B004EE">
        <w:rPr>
          <w:rFonts w:ascii="Tahoma" w:hAnsi="Tahoma" w:cs="Tahoma"/>
          <w:sz w:val="20"/>
          <w:szCs w:val="20"/>
        </w:rPr>
        <w:t>modèle</w:t>
      </w:r>
      <w:r w:rsidR="00DB1635" w:rsidRPr="00B004EE">
        <w:rPr>
          <w:rFonts w:ascii="Tahoma" w:hAnsi="Tahoma" w:cs="Tahoma"/>
          <w:spacing w:val="28"/>
          <w:sz w:val="20"/>
          <w:szCs w:val="20"/>
        </w:rPr>
        <w:t xml:space="preserve"> </w:t>
      </w:r>
      <w:r w:rsidRPr="00B004EE">
        <w:rPr>
          <w:rFonts w:ascii="Tahoma" w:hAnsi="Tahoma" w:cs="Tahoma"/>
          <w:sz w:val="20"/>
          <w:szCs w:val="20"/>
        </w:rPr>
        <w:t>de</w:t>
      </w:r>
      <w:r w:rsidR="00DB1635" w:rsidRPr="00B004EE">
        <w:rPr>
          <w:rFonts w:ascii="Tahoma" w:hAnsi="Tahoma" w:cs="Tahoma"/>
          <w:spacing w:val="26"/>
          <w:sz w:val="20"/>
          <w:szCs w:val="20"/>
        </w:rPr>
        <w:t xml:space="preserve"> </w:t>
      </w:r>
      <w:r w:rsidRPr="00B004EE">
        <w:rPr>
          <w:rFonts w:ascii="Tahoma" w:hAnsi="Tahoma" w:cs="Tahoma"/>
          <w:sz w:val="20"/>
          <w:szCs w:val="20"/>
        </w:rPr>
        <w:t>procès-verbal</w:t>
      </w:r>
      <w:r w:rsidR="00DB1635" w:rsidRPr="00B004EE">
        <w:rPr>
          <w:rFonts w:ascii="Tahoma" w:hAnsi="Tahoma" w:cs="Tahoma"/>
          <w:spacing w:val="27"/>
          <w:sz w:val="20"/>
          <w:szCs w:val="20"/>
        </w:rPr>
        <w:t xml:space="preserve"> </w:t>
      </w:r>
      <w:r w:rsidRPr="00B004EE">
        <w:rPr>
          <w:rFonts w:ascii="Tahoma" w:hAnsi="Tahoma" w:cs="Tahoma"/>
          <w:sz w:val="20"/>
          <w:szCs w:val="20"/>
        </w:rPr>
        <w:t>utilisé</w:t>
      </w:r>
      <w:r w:rsidR="00DB1635" w:rsidRPr="00B004EE">
        <w:rPr>
          <w:rFonts w:ascii="Tahoma" w:hAnsi="Tahoma" w:cs="Tahoma"/>
          <w:spacing w:val="26"/>
          <w:sz w:val="20"/>
          <w:szCs w:val="20"/>
        </w:rPr>
        <w:t xml:space="preserve"> </w:t>
      </w:r>
      <w:r w:rsidRPr="00B004EE">
        <w:rPr>
          <w:rFonts w:ascii="Tahoma" w:hAnsi="Tahoma" w:cs="Tahoma"/>
          <w:sz w:val="20"/>
          <w:szCs w:val="20"/>
        </w:rPr>
        <w:t>par</w:t>
      </w:r>
      <w:r w:rsidR="00DB1635" w:rsidRPr="00B004EE">
        <w:rPr>
          <w:rFonts w:ascii="Tahoma" w:hAnsi="Tahoma" w:cs="Tahoma"/>
          <w:spacing w:val="25"/>
          <w:sz w:val="20"/>
          <w:szCs w:val="20"/>
        </w:rPr>
        <w:t xml:space="preserve"> </w:t>
      </w:r>
      <w:r w:rsidRPr="00B004EE">
        <w:rPr>
          <w:rFonts w:ascii="Tahoma" w:hAnsi="Tahoma" w:cs="Tahoma"/>
          <w:sz w:val="20"/>
          <w:szCs w:val="20"/>
        </w:rPr>
        <w:t>les</w:t>
      </w:r>
      <w:r w:rsidR="00DB1635" w:rsidRPr="00B004EE">
        <w:rPr>
          <w:rFonts w:ascii="Tahoma" w:hAnsi="Tahoma" w:cs="Tahoma"/>
          <w:spacing w:val="26"/>
          <w:sz w:val="20"/>
          <w:szCs w:val="20"/>
        </w:rPr>
        <w:t xml:space="preserve"> </w:t>
      </w:r>
      <w:r w:rsidRPr="00B004EE">
        <w:rPr>
          <w:rFonts w:ascii="Tahoma" w:hAnsi="Tahoma" w:cs="Tahoma"/>
          <w:sz w:val="20"/>
          <w:szCs w:val="20"/>
        </w:rPr>
        <w:t>agents</w:t>
      </w:r>
      <w:r w:rsidR="00DB1635" w:rsidRPr="00B004EE">
        <w:rPr>
          <w:rFonts w:ascii="Tahoma" w:hAnsi="Tahoma" w:cs="Tahoma"/>
          <w:spacing w:val="26"/>
          <w:sz w:val="20"/>
          <w:szCs w:val="20"/>
        </w:rPr>
        <w:t xml:space="preserve"> </w:t>
      </w:r>
      <w:r w:rsidRPr="00B004EE">
        <w:rPr>
          <w:rFonts w:ascii="Tahoma" w:hAnsi="Tahoma" w:cs="Tahoma"/>
          <w:sz w:val="20"/>
          <w:szCs w:val="20"/>
        </w:rPr>
        <w:t>de</w:t>
      </w:r>
      <w:r w:rsidR="00DB1635" w:rsidRPr="00B004EE">
        <w:rPr>
          <w:rFonts w:ascii="Tahoma" w:hAnsi="Tahoma" w:cs="Tahoma"/>
          <w:spacing w:val="26"/>
          <w:sz w:val="20"/>
          <w:szCs w:val="20"/>
        </w:rPr>
        <w:t xml:space="preserve"> </w:t>
      </w:r>
      <w:r w:rsidRPr="00B004EE">
        <w:rPr>
          <w:rFonts w:ascii="Tahoma" w:hAnsi="Tahoma" w:cs="Tahoma"/>
          <w:sz w:val="20"/>
          <w:szCs w:val="20"/>
        </w:rPr>
        <w:t>contrôle</w:t>
      </w:r>
      <w:r w:rsidR="00DB1635" w:rsidRPr="00B004EE">
        <w:rPr>
          <w:rFonts w:ascii="Tahoma" w:hAnsi="Tahoma" w:cs="Tahoma"/>
          <w:spacing w:val="26"/>
          <w:sz w:val="20"/>
          <w:szCs w:val="20"/>
        </w:rPr>
        <w:t xml:space="preserve"> </w:t>
      </w:r>
      <w:r w:rsidRPr="00B004EE">
        <w:rPr>
          <w:rFonts w:ascii="Tahoma" w:hAnsi="Tahoma" w:cs="Tahoma"/>
          <w:sz w:val="20"/>
          <w:szCs w:val="20"/>
        </w:rPr>
        <w:t>est</w:t>
      </w:r>
      <w:r w:rsidR="00DB1635" w:rsidRPr="00B004EE">
        <w:rPr>
          <w:rFonts w:ascii="Tahoma" w:hAnsi="Tahoma" w:cs="Tahoma"/>
          <w:spacing w:val="26"/>
          <w:sz w:val="20"/>
          <w:szCs w:val="20"/>
        </w:rPr>
        <w:t xml:space="preserve"> </w:t>
      </w:r>
      <w:r w:rsidRPr="00B004EE">
        <w:rPr>
          <w:rFonts w:ascii="Tahoma" w:hAnsi="Tahoma" w:cs="Tahoma"/>
          <w:sz w:val="20"/>
          <w:szCs w:val="20"/>
        </w:rPr>
        <w:t>approuvé</w:t>
      </w:r>
      <w:r w:rsidR="00DB1635" w:rsidRPr="00B004EE">
        <w:rPr>
          <w:rFonts w:ascii="Tahoma" w:hAnsi="Tahoma" w:cs="Tahoma"/>
          <w:spacing w:val="27"/>
          <w:sz w:val="20"/>
          <w:szCs w:val="20"/>
        </w:rPr>
        <w:t xml:space="preserve"> </w:t>
      </w:r>
      <w:r w:rsidRPr="00B004EE">
        <w:rPr>
          <w:rFonts w:ascii="Tahoma" w:hAnsi="Tahoma" w:cs="Tahoma"/>
          <w:sz w:val="20"/>
          <w:szCs w:val="20"/>
        </w:rPr>
        <w:t>par</w:t>
      </w:r>
      <w:r w:rsidR="00DB1635" w:rsidRPr="00B004EE">
        <w:rPr>
          <w:rFonts w:ascii="Tahoma" w:hAnsi="Tahoma" w:cs="Tahoma"/>
          <w:w w:val="90"/>
          <w:sz w:val="20"/>
          <w:szCs w:val="20"/>
        </w:rPr>
        <w:t xml:space="preserve"> </w:t>
      </w:r>
      <w:r w:rsidRPr="00B004EE">
        <w:rPr>
          <w:rFonts w:ascii="Tahoma" w:hAnsi="Tahoma" w:cs="Tahoma"/>
          <w:sz w:val="20"/>
          <w:szCs w:val="20"/>
        </w:rPr>
        <w:t>arrêté</w:t>
      </w:r>
      <w:r w:rsidR="00DB1635" w:rsidRPr="00B004EE">
        <w:rPr>
          <w:rFonts w:ascii="Tahoma" w:hAnsi="Tahoma" w:cs="Tahoma"/>
          <w:spacing w:val="-37"/>
          <w:sz w:val="20"/>
          <w:szCs w:val="20"/>
        </w:rPr>
        <w:t xml:space="preserve"> </w:t>
      </w:r>
      <w:r w:rsidRPr="00B004EE">
        <w:rPr>
          <w:rFonts w:ascii="Tahoma" w:hAnsi="Tahoma" w:cs="Tahoma"/>
          <w:sz w:val="20"/>
          <w:szCs w:val="20"/>
        </w:rPr>
        <w:t>du</w:t>
      </w:r>
      <w:r w:rsidR="00DB1635" w:rsidRPr="00B004EE">
        <w:rPr>
          <w:rFonts w:ascii="Tahoma" w:hAnsi="Tahoma" w:cs="Tahoma"/>
          <w:spacing w:val="-37"/>
          <w:sz w:val="20"/>
          <w:szCs w:val="20"/>
        </w:rPr>
        <w:t xml:space="preserve"> </w:t>
      </w:r>
      <w:r w:rsidRPr="00B004EE">
        <w:rPr>
          <w:rFonts w:ascii="Tahoma" w:hAnsi="Tahoma" w:cs="Tahoma"/>
          <w:sz w:val="20"/>
          <w:szCs w:val="20"/>
        </w:rPr>
        <w:t>ministre</w:t>
      </w:r>
      <w:r w:rsidR="00DB1635" w:rsidRPr="00B004EE">
        <w:rPr>
          <w:rFonts w:ascii="Tahoma" w:hAnsi="Tahoma" w:cs="Tahoma"/>
          <w:spacing w:val="-36"/>
          <w:sz w:val="20"/>
          <w:szCs w:val="20"/>
        </w:rPr>
        <w:t xml:space="preserve"> </w:t>
      </w:r>
      <w:r w:rsidRPr="00B004EE">
        <w:rPr>
          <w:rFonts w:ascii="Tahoma" w:hAnsi="Tahoma" w:cs="Tahoma"/>
          <w:sz w:val="20"/>
          <w:szCs w:val="20"/>
        </w:rPr>
        <w:t>chargé</w:t>
      </w:r>
      <w:r w:rsidR="00DB1635" w:rsidRPr="00B004EE">
        <w:rPr>
          <w:rFonts w:ascii="Tahoma" w:hAnsi="Tahoma" w:cs="Tahoma"/>
          <w:spacing w:val="-37"/>
          <w:sz w:val="20"/>
          <w:szCs w:val="20"/>
        </w:rPr>
        <w:t xml:space="preserve"> </w:t>
      </w:r>
      <w:r w:rsidRPr="00B004EE">
        <w:rPr>
          <w:rFonts w:ascii="Tahoma" w:hAnsi="Tahoma" w:cs="Tahoma"/>
          <w:sz w:val="20"/>
          <w:szCs w:val="20"/>
        </w:rPr>
        <w:t>des</w:t>
      </w:r>
      <w:r w:rsidR="00DB1635" w:rsidRPr="00B004EE">
        <w:rPr>
          <w:rFonts w:ascii="Tahoma" w:hAnsi="Tahoma" w:cs="Tahoma"/>
          <w:spacing w:val="-37"/>
          <w:sz w:val="20"/>
          <w:szCs w:val="20"/>
        </w:rPr>
        <w:t xml:space="preserve"> </w:t>
      </w:r>
      <w:r w:rsidRPr="00B004EE">
        <w:rPr>
          <w:rFonts w:ascii="Tahoma" w:hAnsi="Tahoma" w:cs="Tahoma"/>
          <w:sz w:val="20"/>
          <w:szCs w:val="20"/>
        </w:rPr>
        <w:t>pêches.</w:t>
      </w:r>
    </w:p>
    <w:p w14:paraId="37F4C0DB" w14:textId="560BC18C" w:rsidR="001E7C3C" w:rsidRPr="00B004EE" w:rsidRDefault="001E7C3C" w:rsidP="00B004EE">
      <w:pPr>
        <w:pStyle w:val="Corpsdetexte"/>
        <w:ind w:right="158"/>
        <w:rPr>
          <w:rFonts w:ascii="Tahoma" w:hAnsi="Tahoma" w:cs="Tahoma"/>
          <w:sz w:val="20"/>
          <w:szCs w:val="20"/>
        </w:rPr>
      </w:pPr>
      <w:r w:rsidRPr="00B004EE">
        <w:rPr>
          <w:rFonts w:ascii="Tahoma" w:hAnsi="Tahoma" w:cs="Tahoma"/>
          <w:sz w:val="20"/>
          <w:szCs w:val="20"/>
        </w:rPr>
        <w:t>Le</w:t>
      </w:r>
      <w:r w:rsidR="00DB1635" w:rsidRPr="00B004EE">
        <w:rPr>
          <w:rFonts w:ascii="Tahoma" w:hAnsi="Tahoma" w:cs="Tahoma"/>
          <w:spacing w:val="-10"/>
          <w:sz w:val="20"/>
          <w:szCs w:val="20"/>
        </w:rPr>
        <w:t xml:space="preserve"> </w:t>
      </w:r>
      <w:r w:rsidRPr="00B004EE">
        <w:rPr>
          <w:rFonts w:ascii="Tahoma" w:hAnsi="Tahoma" w:cs="Tahoma"/>
          <w:sz w:val="20"/>
          <w:szCs w:val="20"/>
        </w:rPr>
        <w:t>procès-verbal</w:t>
      </w:r>
      <w:r w:rsidR="00DB1635" w:rsidRPr="00B004EE">
        <w:rPr>
          <w:rFonts w:ascii="Tahoma" w:hAnsi="Tahoma" w:cs="Tahoma"/>
          <w:spacing w:val="-10"/>
          <w:sz w:val="20"/>
          <w:szCs w:val="20"/>
        </w:rPr>
        <w:t xml:space="preserve"> </w:t>
      </w:r>
      <w:r w:rsidRPr="00B004EE">
        <w:rPr>
          <w:rFonts w:ascii="Tahoma" w:hAnsi="Tahoma" w:cs="Tahoma"/>
          <w:sz w:val="20"/>
          <w:szCs w:val="20"/>
        </w:rPr>
        <w:t>est</w:t>
      </w:r>
      <w:r w:rsidR="00DB1635" w:rsidRPr="00B004EE">
        <w:rPr>
          <w:rFonts w:ascii="Tahoma" w:hAnsi="Tahoma" w:cs="Tahoma"/>
          <w:spacing w:val="-11"/>
          <w:sz w:val="20"/>
          <w:szCs w:val="20"/>
        </w:rPr>
        <w:t xml:space="preserve"> </w:t>
      </w:r>
      <w:r w:rsidRPr="00B004EE">
        <w:rPr>
          <w:rFonts w:ascii="Tahoma" w:hAnsi="Tahoma" w:cs="Tahoma"/>
          <w:sz w:val="20"/>
          <w:szCs w:val="20"/>
        </w:rPr>
        <w:t>signé</w:t>
      </w:r>
      <w:r w:rsidR="00DB1635" w:rsidRPr="00B004EE">
        <w:rPr>
          <w:rFonts w:ascii="Tahoma" w:hAnsi="Tahoma" w:cs="Tahoma"/>
          <w:spacing w:val="-12"/>
          <w:sz w:val="20"/>
          <w:szCs w:val="20"/>
        </w:rPr>
        <w:t xml:space="preserve"> </w:t>
      </w:r>
      <w:r w:rsidRPr="00B004EE">
        <w:rPr>
          <w:rFonts w:ascii="Tahoma" w:hAnsi="Tahoma" w:cs="Tahoma"/>
          <w:sz w:val="20"/>
          <w:szCs w:val="20"/>
        </w:rPr>
        <w:t>par</w:t>
      </w:r>
      <w:r w:rsidR="00DB1635" w:rsidRPr="00B004EE">
        <w:rPr>
          <w:rFonts w:ascii="Tahoma" w:hAnsi="Tahoma" w:cs="Tahoma"/>
          <w:spacing w:val="-12"/>
          <w:sz w:val="20"/>
          <w:szCs w:val="20"/>
        </w:rPr>
        <w:t xml:space="preserve"> </w:t>
      </w:r>
      <w:r w:rsidRPr="00B004EE">
        <w:rPr>
          <w:rFonts w:ascii="Tahoma" w:hAnsi="Tahoma" w:cs="Tahoma"/>
          <w:sz w:val="20"/>
          <w:szCs w:val="20"/>
        </w:rPr>
        <w:t>les</w:t>
      </w:r>
      <w:r w:rsidR="00DB1635" w:rsidRPr="00B004EE">
        <w:rPr>
          <w:rFonts w:ascii="Tahoma" w:hAnsi="Tahoma" w:cs="Tahoma"/>
          <w:spacing w:val="-12"/>
          <w:sz w:val="20"/>
          <w:szCs w:val="20"/>
        </w:rPr>
        <w:t xml:space="preserve"> </w:t>
      </w:r>
      <w:r w:rsidRPr="00B004EE">
        <w:rPr>
          <w:rFonts w:ascii="Tahoma" w:hAnsi="Tahoma" w:cs="Tahoma"/>
          <w:sz w:val="20"/>
          <w:szCs w:val="20"/>
        </w:rPr>
        <w:t>agents</w:t>
      </w:r>
      <w:r w:rsidR="00DB1635" w:rsidRPr="00B004EE">
        <w:rPr>
          <w:rFonts w:ascii="Tahoma" w:hAnsi="Tahoma" w:cs="Tahoma"/>
          <w:spacing w:val="-12"/>
          <w:sz w:val="20"/>
          <w:szCs w:val="20"/>
        </w:rPr>
        <w:t xml:space="preserve"> </w:t>
      </w:r>
      <w:r w:rsidRPr="00B004EE">
        <w:rPr>
          <w:rFonts w:ascii="Tahoma" w:hAnsi="Tahoma" w:cs="Tahoma"/>
          <w:sz w:val="20"/>
          <w:szCs w:val="20"/>
        </w:rPr>
        <w:t>de</w:t>
      </w:r>
      <w:r w:rsidR="00DB1635" w:rsidRPr="00B004EE">
        <w:rPr>
          <w:rFonts w:ascii="Tahoma" w:hAnsi="Tahoma" w:cs="Tahoma"/>
          <w:spacing w:val="-12"/>
          <w:sz w:val="20"/>
          <w:szCs w:val="20"/>
        </w:rPr>
        <w:t xml:space="preserve"> </w:t>
      </w:r>
      <w:r w:rsidRPr="00B004EE">
        <w:rPr>
          <w:rFonts w:ascii="Tahoma" w:hAnsi="Tahoma" w:cs="Tahoma"/>
          <w:sz w:val="20"/>
          <w:szCs w:val="20"/>
        </w:rPr>
        <w:t>contrôle,</w:t>
      </w:r>
      <w:r w:rsidR="00DB1635" w:rsidRPr="00B004EE">
        <w:rPr>
          <w:rFonts w:ascii="Tahoma" w:hAnsi="Tahoma" w:cs="Tahoma"/>
          <w:spacing w:val="-12"/>
          <w:sz w:val="20"/>
          <w:szCs w:val="20"/>
        </w:rPr>
        <w:t xml:space="preserve"> </w:t>
      </w:r>
      <w:r w:rsidRPr="00B004EE">
        <w:rPr>
          <w:rFonts w:ascii="Tahoma" w:hAnsi="Tahoma" w:cs="Tahoma"/>
          <w:sz w:val="20"/>
          <w:szCs w:val="20"/>
        </w:rPr>
        <w:t>par</w:t>
      </w:r>
      <w:r w:rsidR="00DB1635" w:rsidRPr="00B004EE">
        <w:rPr>
          <w:rFonts w:ascii="Tahoma" w:hAnsi="Tahoma" w:cs="Tahoma"/>
          <w:spacing w:val="-12"/>
          <w:sz w:val="20"/>
          <w:szCs w:val="20"/>
        </w:rPr>
        <w:t xml:space="preserve"> </w:t>
      </w:r>
      <w:r w:rsidRPr="00B004EE">
        <w:rPr>
          <w:rFonts w:ascii="Tahoma" w:hAnsi="Tahoma" w:cs="Tahoma"/>
          <w:sz w:val="20"/>
          <w:szCs w:val="20"/>
        </w:rPr>
        <w:t>les</w:t>
      </w:r>
      <w:r w:rsidR="00DB1635" w:rsidRPr="00B004EE">
        <w:rPr>
          <w:rFonts w:ascii="Tahoma" w:hAnsi="Tahoma" w:cs="Tahoma"/>
          <w:spacing w:val="-12"/>
          <w:sz w:val="20"/>
          <w:szCs w:val="20"/>
        </w:rPr>
        <w:t xml:space="preserve"> </w:t>
      </w:r>
      <w:r w:rsidRPr="00B004EE">
        <w:rPr>
          <w:rFonts w:ascii="Tahoma" w:hAnsi="Tahoma" w:cs="Tahoma"/>
          <w:sz w:val="20"/>
          <w:szCs w:val="20"/>
        </w:rPr>
        <w:t>témoins</w:t>
      </w:r>
      <w:r w:rsidR="00DB1635" w:rsidRPr="00B004EE">
        <w:rPr>
          <w:rFonts w:ascii="Tahoma" w:hAnsi="Tahoma" w:cs="Tahoma"/>
          <w:spacing w:val="-12"/>
          <w:sz w:val="20"/>
          <w:szCs w:val="20"/>
        </w:rPr>
        <w:t xml:space="preserve"> </w:t>
      </w:r>
      <w:r w:rsidRPr="00B004EE">
        <w:rPr>
          <w:rFonts w:ascii="Tahoma" w:hAnsi="Tahoma" w:cs="Tahoma"/>
          <w:sz w:val="20"/>
          <w:szCs w:val="20"/>
        </w:rPr>
        <w:t>éventuels</w:t>
      </w:r>
      <w:r w:rsidR="00DB1635" w:rsidRPr="00B004EE">
        <w:rPr>
          <w:rFonts w:ascii="Tahoma" w:hAnsi="Tahoma" w:cs="Tahoma"/>
          <w:spacing w:val="-12"/>
          <w:sz w:val="20"/>
          <w:szCs w:val="20"/>
        </w:rPr>
        <w:t xml:space="preserve"> </w:t>
      </w:r>
      <w:r w:rsidRPr="00B004EE">
        <w:rPr>
          <w:rFonts w:ascii="Tahoma" w:hAnsi="Tahoma" w:cs="Tahoma"/>
          <w:sz w:val="20"/>
          <w:szCs w:val="20"/>
        </w:rPr>
        <w:t>et,</w:t>
      </w:r>
      <w:r w:rsidR="00DB1635" w:rsidRPr="00B004EE">
        <w:rPr>
          <w:rFonts w:ascii="Tahoma" w:hAnsi="Tahoma" w:cs="Tahoma"/>
          <w:w w:val="97"/>
          <w:sz w:val="20"/>
          <w:szCs w:val="20"/>
        </w:rPr>
        <w:t xml:space="preserve"> </w:t>
      </w:r>
      <w:r w:rsidRPr="00B004EE">
        <w:rPr>
          <w:rFonts w:ascii="Tahoma" w:hAnsi="Tahoma" w:cs="Tahoma"/>
          <w:sz w:val="20"/>
          <w:szCs w:val="20"/>
        </w:rPr>
        <w:t>dans</w:t>
      </w:r>
      <w:r w:rsidR="00DB1635" w:rsidRPr="00B004EE">
        <w:rPr>
          <w:rFonts w:ascii="Tahoma" w:hAnsi="Tahoma" w:cs="Tahoma"/>
          <w:spacing w:val="20"/>
          <w:sz w:val="20"/>
          <w:szCs w:val="20"/>
        </w:rPr>
        <w:t xml:space="preserve"> </w:t>
      </w:r>
      <w:r w:rsidRPr="00B004EE">
        <w:rPr>
          <w:rFonts w:ascii="Tahoma" w:hAnsi="Tahoma" w:cs="Tahoma"/>
          <w:sz w:val="20"/>
          <w:szCs w:val="20"/>
        </w:rPr>
        <w:t>la</w:t>
      </w:r>
      <w:r w:rsidR="00DB1635" w:rsidRPr="00B004EE">
        <w:rPr>
          <w:rFonts w:ascii="Tahoma" w:hAnsi="Tahoma" w:cs="Tahoma"/>
          <w:spacing w:val="20"/>
          <w:sz w:val="20"/>
          <w:szCs w:val="20"/>
        </w:rPr>
        <w:t xml:space="preserve"> </w:t>
      </w:r>
      <w:r w:rsidRPr="00B004EE">
        <w:rPr>
          <w:rFonts w:ascii="Tahoma" w:hAnsi="Tahoma" w:cs="Tahoma"/>
          <w:sz w:val="20"/>
          <w:szCs w:val="20"/>
        </w:rPr>
        <w:t>mesure</w:t>
      </w:r>
      <w:r w:rsidR="00DB1635" w:rsidRPr="00B004EE">
        <w:rPr>
          <w:rFonts w:ascii="Tahoma" w:hAnsi="Tahoma" w:cs="Tahoma"/>
          <w:spacing w:val="20"/>
          <w:sz w:val="20"/>
          <w:szCs w:val="20"/>
        </w:rPr>
        <w:t xml:space="preserve"> </w:t>
      </w:r>
      <w:r w:rsidRPr="00B004EE">
        <w:rPr>
          <w:rFonts w:ascii="Tahoma" w:hAnsi="Tahoma" w:cs="Tahoma"/>
          <w:sz w:val="20"/>
          <w:szCs w:val="20"/>
        </w:rPr>
        <w:t>du</w:t>
      </w:r>
      <w:r w:rsidR="00DB1635" w:rsidRPr="00B004EE">
        <w:rPr>
          <w:rFonts w:ascii="Tahoma" w:hAnsi="Tahoma" w:cs="Tahoma"/>
          <w:spacing w:val="20"/>
          <w:sz w:val="20"/>
          <w:szCs w:val="20"/>
        </w:rPr>
        <w:t xml:space="preserve"> </w:t>
      </w:r>
      <w:r w:rsidRPr="00B004EE">
        <w:rPr>
          <w:rFonts w:ascii="Tahoma" w:hAnsi="Tahoma" w:cs="Tahoma"/>
          <w:sz w:val="20"/>
          <w:szCs w:val="20"/>
        </w:rPr>
        <w:t>possible,</w:t>
      </w:r>
      <w:r w:rsidR="00DB1635" w:rsidRPr="00B004EE">
        <w:rPr>
          <w:rFonts w:ascii="Tahoma" w:hAnsi="Tahoma" w:cs="Tahoma"/>
          <w:spacing w:val="20"/>
          <w:sz w:val="20"/>
          <w:szCs w:val="20"/>
        </w:rPr>
        <w:t xml:space="preserve"> </w:t>
      </w:r>
      <w:r w:rsidRPr="00B004EE">
        <w:rPr>
          <w:rFonts w:ascii="Tahoma" w:hAnsi="Tahoma" w:cs="Tahoma"/>
          <w:sz w:val="20"/>
          <w:szCs w:val="20"/>
        </w:rPr>
        <w:t>par</w:t>
      </w:r>
      <w:r w:rsidR="00DB1635" w:rsidRPr="00B004EE">
        <w:rPr>
          <w:rFonts w:ascii="Tahoma" w:hAnsi="Tahoma" w:cs="Tahoma"/>
          <w:spacing w:val="20"/>
          <w:sz w:val="20"/>
          <w:szCs w:val="20"/>
        </w:rPr>
        <w:t xml:space="preserve"> </w:t>
      </w:r>
      <w:r w:rsidRPr="00B004EE">
        <w:rPr>
          <w:rFonts w:ascii="Tahoma" w:hAnsi="Tahoma" w:cs="Tahoma"/>
          <w:sz w:val="20"/>
          <w:szCs w:val="20"/>
        </w:rPr>
        <w:t>l'auteur</w:t>
      </w:r>
      <w:r w:rsidR="00DB1635" w:rsidRPr="00B004EE">
        <w:rPr>
          <w:rFonts w:ascii="Tahoma" w:hAnsi="Tahoma" w:cs="Tahoma"/>
          <w:spacing w:val="19"/>
          <w:sz w:val="20"/>
          <w:szCs w:val="20"/>
        </w:rPr>
        <w:t xml:space="preserve"> </w:t>
      </w:r>
      <w:r w:rsidRPr="00B004EE">
        <w:rPr>
          <w:rFonts w:ascii="Tahoma" w:hAnsi="Tahoma" w:cs="Tahoma"/>
          <w:sz w:val="20"/>
          <w:szCs w:val="20"/>
        </w:rPr>
        <w:t>de</w:t>
      </w:r>
      <w:r w:rsidR="00DB1635" w:rsidRPr="00B004EE">
        <w:rPr>
          <w:rFonts w:ascii="Tahoma" w:hAnsi="Tahoma" w:cs="Tahoma"/>
          <w:spacing w:val="20"/>
          <w:sz w:val="20"/>
          <w:szCs w:val="20"/>
        </w:rPr>
        <w:t xml:space="preserve"> </w:t>
      </w:r>
      <w:r w:rsidRPr="00B004EE">
        <w:rPr>
          <w:rFonts w:ascii="Tahoma" w:hAnsi="Tahoma" w:cs="Tahoma"/>
          <w:sz w:val="20"/>
          <w:szCs w:val="20"/>
        </w:rPr>
        <w:t>l'infraction</w:t>
      </w:r>
      <w:r w:rsidR="00DB1635" w:rsidRPr="00B004EE">
        <w:rPr>
          <w:rFonts w:ascii="Tahoma" w:hAnsi="Tahoma" w:cs="Tahoma"/>
          <w:spacing w:val="20"/>
          <w:sz w:val="20"/>
          <w:szCs w:val="20"/>
        </w:rPr>
        <w:t xml:space="preserve"> </w:t>
      </w:r>
      <w:r w:rsidRPr="00B004EE">
        <w:rPr>
          <w:rFonts w:ascii="Tahoma" w:hAnsi="Tahoma" w:cs="Tahoma"/>
          <w:sz w:val="20"/>
          <w:szCs w:val="20"/>
        </w:rPr>
        <w:t>qui</w:t>
      </w:r>
      <w:r w:rsidR="00DB1635" w:rsidRPr="00B004EE">
        <w:rPr>
          <w:rFonts w:ascii="Tahoma" w:hAnsi="Tahoma" w:cs="Tahoma"/>
          <w:spacing w:val="20"/>
          <w:sz w:val="20"/>
          <w:szCs w:val="20"/>
        </w:rPr>
        <w:t xml:space="preserve"> </w:t>
      </w:r>
      <w:r w:rsidRPr="00B004EE">
        <w:rPr>
          <w:rFonts w:ascii="Tahoma" w:hAnsi="Tahoma" w:cs="Tahoma"/>
          <w:sz w:val="20"/>
          <w:szCs w:val="20"/>
        </w:rPr>
        <w:t>pourra</w:t>
      </w:r>
      <w:r w:rsidR="00DB1635" w:rsidRPr="00B004EE">
        <w:rPr>
          <w:rFonts w:ascii="Tahoma" w:hAnsi="Tahoma" w:cs="Tahoma"/>
          <w:spacing w:val="20"/>
          <w:sz w:val="20"/>
          <w:szCs w:val="20"/>
        </w:rPr>
        <w:t xml:space="preserve"> </w:t>
      </w:r>
      <w:r w:rsidRPr="00B004EE">
        <w:rPr>
          <w:rFonts w:ascii="Tahoma" w:hAnsi="Tahoma" w:cs="Tahoma"/>
          <w:sz w:val="20"/>
          <w:szCs w:val="20"/>
        </w:rPr>
        <w:t>formuler</w:t>
      </w:r>
      <w:r w:rsidR="00DB1635" w:rsidRPr="00B004EE">
        <w:rPr>
          <w:rFonts w:ascii="Tahoma" w:hAnsi="Tahoma" w:cs="Tahoma"/>
          <w:spacing w:val="17"/>
          <w:sz w:val="20"/>
          <w:szCs w:val="20"/>
        </w:rPr>
        <w:t xml:space="preserve"> </w:t>
      </w:r>
      <w:r w:rsidRPr="00B004EE">
        <w:rPr>
          <w:rFonts w:ascii="Tahoma" w:hAnsi="Tahoma" w:cs="Tahoma"/>
          <w:sz w:val="20"/>
          <w:szCs w:val="20"/>
        </w:rPr>
        <w:t>ses</w:t>
      </w:r>
      <w:r w:rsidR="00DB1635" w:rsidRPr="00B004EE">
        <w:rPr>
          <w:rFonts w:ascii="Tahoma" w:hAnsi="Tahoma" w:cs="Tahoma"/>
          <w:w w:val="94"/>
          <w:sz w:val="20"/>
          <w:szCs w:val="20"/>
        </w:rPr>
        <w:t xml:space="preserve"> </w:t>
      </w:r>
      <w:r w:rsidRPr="00B004EE">
        <w:rPr>
          <w:rFonts w:ascii="Tahoma" w:hAnsi="Tahoma" w:cs="Tahoma"/>
          <w:sz w:val="20"/>
          <w:szCs w:val="20"/>
        </w:rPr>
        <w:t>observations.</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copie</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procès-</w:t>
      </w:r>
      <w:r w:rsidRPr="00B004EE">
        <w:rPr>
          <w:rFonts w:ascii="Tahoma" w:eastAsia="American Typewriter" w:hAnsi="Tahoma" w:cs="Tahoma"/>
          <w:sz w:val="20"/>
          <w:szCs w:val="20"/>
        </w:rPr>
        <w:t>verbal</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est</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remise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à</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l’auteur</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l’infraction,</w:t>
      </w:r>
      <w:r w:rsidR="00DB1635" w:rsidRPr="00B004EE">
        <w:rPr>
          <w:rFonts w:ascii="Tahoma" w:eastAsia="American Typewriter" w:hAnsi="Tahoma" w:cs="Tahoma"/>
          <w:spacing w:val="5"/>
          <w:sz w:val="20"/>
          <w:szCs w:val="20"/>
        </w:rPr>
        <w:t xml:space="preserve"> </w:t>
      </w:r>
      <w:r w:rsidRPr="00B004EE">
        <w:rPr>
          <w:rFonts w:ascii="Tahoma" w:eastAsia="American Typewriter" w:hAnsi="Tahoma" w:cs="Tahoma"/>
          <w:sz w:val="20"/>
          <w:szCs w:val="20"/>
        </w:rPr>
        <w:t>s’il</w:t>
      </w:r>
      <w:r w:rsidR="00DB1635" w:rsidRPr="00B004EE">
        <w:rPr>
          <w:rFonts w:ascii="Tahoma" w:eastAsia="American Typewriter" w:hAnsi="Tahoma" w:cs="Tahoma"/>
          <w:w w:val="101"/>
          <w:sz w:val="20"/>
          <w:szCs w:val="20"/>
        </w:rPr>
        <w:t xml:space="preserve"> </w:t>
      </w:r>
      <w:r w:rsidRPr="00B004EE">
        <w:rPr>
          <w:rFonts w:ascii="Tahoma" w:eastAsia="American Typewriter" w:hAnsi="Tahoma" w:cs="Tahoma"/>
          <w:sz w:val="20"/>
          <w:szCs w:val="20"/>
        </w:rPr>
        <w:t>l’accepte</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Mention</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faite</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cas</w:t>
      </w:r>
      <w:r w:rsidR="00DB1635" w:rsidRPr="00B004EE">
        <w:rPr>
          <w:rFonts w:ascii="Tahoma" w:hAnsi="Tahoma" w:cs="Tahoma"/>
          <w:sz w:val="20"/>
          <w:szCs w:val="20"/>
        </w:rPr>
        <w:t xml:space="preserve"> </w:t>
      </w:r>
      <w:r w:rsidRPr="00B004EE">
        <w:rPr>
          <w:rFonts w:ascii="Tahoma" w:hAnsi="Tahoma" w:cs="Tahoma"/>
          <w:sz w:val="20"/>
          <w:szCs w:val="20"/>
        </w:rPr>
        <w:t>échéant</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refus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signer</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procès-verbal</w:t>
      </w:r>
      <w:r w:rsidR="00DB1635" w:rsidRPr="00B004EE">
        <w:rPr>
          <w:rFonts w:ascii="Tahoma" w:hAnsi="Tahoma" w:cs="Tahoma"/>
          <w:spacing w:val="25"/>
          <w:sz w:val="20"/>
          <w:szCs w:val="20"/>
        </w:rPr>
        <w:t xml:space="preserve"> </w:t>
      </w:r>
      <w:r w:rsidRPr="00B004EE">
        <w:rPr>
          <w:rFonts w:ascii="Tahoma" w:hAnsi="Tahoma" w:cs="Tahoma"/>
          <w:sz w:val="20"/>
          <w:szCs w:val="20"/>
        </w:rPr>
        <w:t>ou</w:t>
      </w:r>
      <w:r w:rsidR="00DB1635" w:rsidRPr="00B004EE">
        <w:rPr>
          <w:rFonts w:ascii="Tahoma" w:hAnsi="Tahoma" w:cs="Tahoma"/>
          <w:w w:val="95"/>
          <w:sz w:val="20"/>
          <w:szCs w:val="20"/>
        </w:rPr>
        <w:t xml:space="preserve"> </w:t>
      </w:r>
      <w:r w:rsidRPr="00B004EE">
        <w:rPr>
          <w:rFonts w:ascii="Tahoma" w:eastAsia="American Typewriter" w:hAnsi="Tahoma" w:cs="Tahoma"/>
          <w:w w:val="95"/>
          <w:sz w:val="20"/>
          <w:szCs w:val="20"/>
        </w:rPr>
        <w:t>d’en</w:t>
      </w:r>
      <w:r w:rsidR="00DB1635" w:rsidRPr="00B004EE">
        <w:rPr>
          <w:rFonts w:ascii="Tahoma" w:eastAsia="American Typewriter" w:hAnsi="Tahoma" w:cs="Tahoma"/>
          <w:w w:val="95"/>
          <w:sz w:val="20"/>
          <w:szCs w:val="20"/>
        </w:rPr>
        <w:t xml:space="preserve"> </w:t>
      </w:r>
      <w:r w:rsidRPr="00B004EE">
        <w:rPr>
          <w:rFonts w:ascii="Tahoma" w:hAnsi="Tahoma" w:cs="Tahoma"/>
          <w:w w:val="95"/>
          <w:sz w:val="20"/>
          <w:szCs w:val="20"/>
        </w:rPr>
        <w:t>recevoir</w:t>
      </w:r>
      <w:r w:rsidR="00DB1635" w:rsidRPr="00B004EE">
        <w:rPr>
          <w:rFonts w:ascii="Tahoma" w:hAnsi="Tahoma" w:cs="Tahoma"/>
          <w:spacing w:val="-30"/>
          <w:w w:val="95"/>
          <w:sz w:val="20"/>
          <w:szCs w:val="20"/>
        </w:rPr>
        <w:t xml:space="preserve"> </w:t>
      </w:r>
      <w:r w:rsidRPr="00B004EE">
        <w:rPr>
          <w:rFonts w:ascii="Tahoma" w:hAnsi="Tahoma" w:cs="Tahoma"/>
          <w:w w:val="95"/>
          <w:sz w:val="20"/>
          <w:szCs w:val="20"/>
        </w:rPr>
        <w:t>copie.</w:t>
      </w:r>
    </w:p>
    <w:p w14:paraId="439765C7" w14:textId="2CBF1AEA" w:rsidR="001E7C3C" w:rsidRPr="00B004EE" w:rsidRDefault="001E7C3C" w:rsidP="00B004EE">
      <w:pPr>
        <w:pStyle w:val="Corpsdetexte"/>
        <w:ind w:right="159"/>
        <w:rPr>
          <w:rFonts w:ascii="Tahoma" w:hAnsi="Tahoma" w:cs="Tahoma"/>
          <w:sz w:val="20"/>
          <w:szCs w:val="20"/>
        </w:rPr>
      </w:pPr>
      <w:r w:rsidRPr="00B004EE">
        <w:rPr>
          <w:rFonts w:ascii="Tahoma" w:hAnsi="Tahoma" w:cs="Tahoma"/>
          <w:sz w:val="20"/>
          <w:szCs w:val="20"/>
        </w:rPr>
        <w:t>Il</w:t>
      </w:r>
      <w:r w:rsidR="00DB1635" w:rsidRPr="00B004EE">
        <w:rPr>
          <w:rFonts w:ascii="Tahoma" w:hAnsi="Tahoma" w:cs="Tahoma"/>
          <w:spacing w:val="-3"/>
          <w:sz w:val="20"/>
          <w:szCs w:val="20"/>
        </w:rPr>
        <w:t xml:space="preserve"> </w:t>
      </w:r>
      <w:r w:rsidRPr="00B004EE">
        <w:rPr>
          <w:rFonts w:ascii="Tahoma" w:hAnsi="Tahoma" w:cs="Tahoma"/>
          <w:sz w:val="20"/>
          <w:szCs w:val="20"/>
        </w:rPr>
        <w:t>est,</w:t>
      </w:r>
      <w:r w:rsidR="00DB1635" w:rsidRPr="00B004EE">
        <w:rPr>
          <w:rFonts w:ascii="Tahoma" w:hAnsi="Tahoma" w:cs="Tahoma"/>
          <w:spacing w:val="-4"/>
          <w:sz w:val="20"/>
          <w:szCs w:val="20"/>
        </w:rPr>
        <w:t xml:space="preserve"> </w:t>
      </w:r>
      <w:r w:rsidRPr="00B004EE">
        <w:rPr>
          <w:rFonts w:ascii="Tahoma" w:hAnsi="Tahoma" w:cs="Tahoma"/>
          <w:sz w:val="20"/>
          <w:szCs w:val="20"/>
        </w:rPr>
        <w:t>dès</w:t>
      </w:r>
      <w:r w:rsidR="00DB1635" w:rsidRPr="00B004EE">
        <w:rPr>
          <w:rFonts w:ascii="Tahoma" w:hAnsi="Tahoma" w:cs="Tahoma"/>
          <w:spacing w:val="-5"/>
          <w:sz w:val="20"/>
          <w:szCs w:val="20"/>
        </w:rPr>
        <w:t xml:space="preserve"> </w:t>
      </w:r>
      <w:r w:rsidRPr="00B004EE">
        <w:rPr>
          <w:rFonts w:ascii="Tahoma" w:hAnsi="Tahoma" w:cs="Tahoma"/>
          <w:sz w:val="20"/>
          <w:szCs w:val="20"/>
        </w:rPr>
        <w:t>que</w:t>
      </w:r>
      <w:r w:rsidR="00DB1635" w:rsidRPr="00B004EE">
        <w:rPr>
          <w:rFonts w:ascii="Tahoma" w:hAnsi="Tahoma" w:cs="Tahoma"/>
          <w:spacing w:val="-5"/>
          <w:sz w:val="20"/>
          <w:szCs w:val="20"/>
        </w:rPr>
        <w:t xml:space="preserve"> </w:t>
      </w:r>
      <w:r w:rsidRPr="00B004EE">
        <w:rPr>
          <w:rFonts w:ascii="Tahoma" w:hAnsi="Tahoma" w:cs="Tahoma"/>
          <w:sz w:val="20"/>
          <w:szCs w:val="20"/>
        </w:rPr>
        <w:t>possible,</w:t>
      </w:r>
      <w:r w:rsidR="00DB1635" w:rsidRPr="00B004EE">
        <w:rPr>
          <w:rFonts w:ascii="Tahoma" w:hAnsi="Tahoma" w:cs="Tahoma"/>
          <w:spacing w:val="-4"/>
          <w:sz w:val="20"/>
          <w:szCs w:val="20"/>
        </w:rPr>
        <w:t xml:space="preserve"> </w:t>
      </w:r>
      <w:r w:rsidRPr="00B004EE">
        <w:rPr>
          <w:rFonts w:ascii="Tahoma" w:hAnsi="Tahoma" w:cs="Tahoma"/>
          <w:sz w:val="20"/>
          <w:szCs w:val="20"/>
        </w:rPr>
        <w:t>transmis</w:t>
      </w:r>
      <w:r w:rsidR="00DB1635" w:rsidRPr="00B004EE">
        <w:rPr>
          <w:rFonts w:ascii="Tahoma" w:hAnsi="Tahoma" w:cs="Tahoma"/>
          <w:spacing w:val="-2"/>
          <w:sz w:val="20"/>
          <w:szCs w:val="20"/>
        </w:rPr>
        <w:t xml:space="preserve"> </w:t>
      </w:r>
      <w:r w:rsidRPr="00B004EE">
        <w:rPr>
          <w:rFonts w:ascii="Tahoma" w:eastAsia="American Typewriter" w:hAnsi="Tahoma" w:cs="Tahoma"/>
          <w:sz w:val="20"/>
          <w:szCs w:val="20"/>
        </w:rPr>
        <w:t>à</w:t>
      </w:r>
      <w:r w:rsidR="00DB1635" w:rsidRPr="00B004EE">
        <w:rPr>
          <w:rFonts w:ascii="Tahoma" w:eastAsia="American Typewriter" w:hAnsi="Tahoma" w:cs="Tahoma"/>
          <w:spacing w:val="-4"/>
          <w:sz w:val="20"/>
          <w:szCs w:val="20"/>
        </w:rPr>
        <w:t xml:space="preserve"> </w:t>
      </w:r>
      <w:r w:rsidRPr="00B004EE">
        <w:rPr>
          <w:rFonts w:ascii="Tahoma" w:eastAsia="American Typewriter" w:hAnsi="Tahoma" w:cs="Tahoma"/>
          <w:sz w:val="20"/>
          <w:szCs w:val="20"/>
        </w:rPr>
        <w:t>l’autorité</w:t>
      </w:r>
      <w:r w:rsidR="00DB1635" w:rsidRPr="00B004EE">
        <w:rPr>
          <w:rFonts w:ascii="Tahoma" w:eastAsia="American Typewriter" w:hAnsi="Tahoma" w:cs="Tahoma"/>
          <w:spacing w:val="-3"/>
          <w:sz w:val="20"/>
          <w:szCs w:val="20"/>
        </w:rPr>
        <w:t xml:space="preserve"> </w:t>
      </w:r>
      <w:r w:rsidRPr="00B004EE">
        <w:rPr>
          <w:rFonts w:ascii="Tahoma" w:hAnsi="Tahoma" w:cs="Tahoma"/>
          <w:sz w:val="20"/>
          <w:szCs w:val="20"/>
        </w:rPr>
        <w:t>compétente</w:t>
      </w:r>
      <w:r w:rsidR="00DB1635" w:rsidRPr="00B004EE">
        <w:rPr>
          <w:rFonts w:ascii="Tahoma" w:hAnsi="Tahoma" w:cs="Tahoma"/>
          <w:spacing w:val="-4"/>
          <w:sz w:val="20"/>
          <w:szCs w:val="20"/>
        </w:rPr>
        <w:t xml:space="preserve"> </w:t>
      </w:r>
      <w:r w:rsidRPr="00B004EE">
        <w:rPr>
          <w:rFonts w:ascii="Tahoma" w:hAnsi="Tahoma" w:cs="Tahoma"/>
          <w:sz w:val="20"/>
          <w:szCs w:val="20"/>
        </w:rPr>
        <w:t>désignée</w:t>
      </w:r>
      <w:r w:rsidR="00DB1635" w:rsidRPr="00B004EE">
        <w:rPr>
          <w:rFonts w:ascii="Tahoma" w:hAnsi="Tahoma" w:cs="Tahoma"/>
          <w:spacing w:val="-4"/>
          <w:sz w:val="20"/>
          <w:szCs w:val="20"/>
        </w:rPr>
        <w:t xml:space="preserve"> </w:t>
      </w:r>
      <w:r w:rsidRPr="00B004EE">
        <w:rPr>
          <w:rFonts w:ascii="Tahoma" w:hAnsi="Tahoma" w:cs="Tahoma"/>
          <w:sz w:val="20"/>
          <w:szCs w:val="20"/>
        </w:rPr>
        <w:t>qui</w:t>
      </w:r>
      <w:r w:rsidR="00DB1635" w:rsidRPr="00B004EE">
        <w:rPr>
          <w:rFonts w:ascii="Tahoma" w:hAnsi="Tahoma" w:cs="Tahoma"/>
          <w:spacing w:val="-4"/>
          <w:sz w:val="20"/>
          <w:szCs w:val="20"/>
        </w:rPr>
        <w:t xml:space="preserve"> </w:t>
      </w:r>
      <w:r w:rsidRPr="00B004EE">
        <w:rPr>
          <w:rFonts w:ascii="Tahoma" w:hAnsi="Tahoma" w:cs="Tahoma"/>
          <w:sz w:val="20"/>
          <w:szCs w:val="20"/>
        </w:rPr>
        <w:t>prendra</w:t>
      </w:r>
      <w:r w:rsidR="00DB1635" w:rsidRPr="00B004EE">
        <w:rPr>
          <w:rFonts w:ascii="Tahoma" w:hAnsi="Tahoma" w:cs="Tahoma"/>
          <w:spacing w:val="-5"/>
          <w:sz w:val="20"/>
          <w:szCs w:val="20"/>
        </w:rPr>
        <w:t xml:space="preserve"> </w:t>
      </w:r>
      <w:r w:rsidRPr="00B004EE">
        <w:rPr>
          <w:rFonts w:ascii="Tahoma" w:hAnsi="Tahoma" w:cs="Tahoma"/>
          <w:sz w:val="20"/>
          <w:szCs w:val="20"/>
        </w:rPr>
        <w:t>les</w:t>
      </w:r>
      <w:r w:rsidR="00DB1635" w:rsidRPr="00B004EE">
        <w:rPr>
          <w:rFonts w:ascii="Tahoma" w:hAnsi="Tahoma" w:cs="Tahoma"/>
          <w:w w:val="94"/>
          <w:sz w:val="20"/>
          <w:szCs w:val="20"/>
        </w:rPr>
        <w:t xml:space="preserve"> </w:t>
      </w:r>
      <w:r w:rsidRPr="00B004EE">
        <w:rPr>
          <w:rFonts w:ascii="Tahoma" w:hAnsi="Tahoma" w:cs="Tahoma"/>
          <w:sz w:val="20"/>
          <w:szCs w:val="20"/>
        </w:rPr>
        <w:t>décisions</w:t>
      </w:r>
      <w:r w:rsidR="00DB1635" w:rsidRPr="00B004EE">
        <w:rPr>
          <w:rFonts w:ascii="Tahoma" w:hAnsi="Tahoma" w:cs="Tahoma"/>
          <w:spacing w:val="-27"/>
          <w:sz w:val="20"/>
          <w:szCs w:val="20"/>
        </w:rPr>
        <w:t xml:space="preserve"> </w:t>
      </w:r>
      <w:r w:rsidRPr="00B004EE">
        <w:rPr>
          <w:rFonts w:ascii="Tahoma" w:eastAsia="American Typewriter" w:hAnsi="Tahoma" w:cs="Tahoma"/>
          <w:sz w:val="20"/>
          <w:szCs w:val="20"/>
        </w:rPr>
        <w:t>qui</w:t>
      </w:r>
      <w:r w:rsidR="00DB1635" w:rsidRPr="00B004EE">
        <w:rPr>
          <w:rFonts w:ascii="Tahoma" w:eastAsia="American Typewriter" w:hAnsi="Tahoma" w:cs="Tahoma"/>
          <w:spacing w:val="-26"/>
          <w:sz w:val="20"/>
          <w:szCs w:val="20"/>
        </w:rPr>
        <w:t xml:space="preserve"> </w:t>
      </w:r>
      <w:r w:rsidRPr="00B004EE">
        <w:rPr>
          <w:rFonts w:ascii="Tahoma" w:eastAsia="American Typewriter" w:hAnsi="Tahoma" w:cs="Tahoma"/>
          <w:sz w:val="20"/>
          <w:szCs w:val="20"/>
        </w:rPr>
        <w:t>s’imposent</w:t>
      </w:r>
      <w:r w:rsidR="00DB1635" w:rsidRPr="00B004EE">
        <w:rPr>
          <w:rFonts w:ascii="Tahoma" w:eastAsia="American Typewriter" w:hAnsi="Tahoma" w:cs="Tahoma"/>
          <w:spacing w:val="-27"/>
          <w:sz w:val="20"/>
          <w:szCs w:val="20"/>
        </w:rPr>
        <w:t xml:space="preserve"> </w:t>
      </w:r>
      <w:r w:rsidRPr="00B004EE">
        <w:rPr>
          <w:rFonts w:ascii="Tahoma" w:eastAsia="American Typewriter" w:hAnsi="Tahoma" w:cs="Tahoma"/>
          <w:sz w:val="20"/>
          <w:szCs w:val="20"/>
        </w:rPr>
        <w:t>en</w:t>
      </w:r>
      <w:r w:rsidR="00DB1635" w:rsidRPr="00B004EE">
        <w:rPr>
          <w:rFonts w:ascii="Tahoma" w:eastAsia="American Typewriter" w:hAnsi="Tahoma" w:cs="Tahoma"/>
          <w:spacing w:val="-26"/>
          <w:sz w:val="20"/>
          <w:szCs w:val="20"/>
        </w:rPr>
        <w:t xml:space="preserve"> </w:t>
      </w:r>
      <w:r w:rsidRPr="00B004EE">
        <w:rPr>
          <w:rFonts w:ascii="Tahoma" w:eastAsia="American Typewriter" w:hAnsi="Tahoma" w:cs="Tahoma"/>
          <w:sz w:val="20"/>
          <w:szCs w:val="20"/>
        </w:rPr>
        <w:t>vertu</w:t>
      </w:r>
      <w:r w:rsidR="00DB1635" w:rsidRPr="00B004EE">
        <w:rPr>
          <w:rFonts w:ascii="Tahoma" w:eastAsia="American Typewriter" w:hAnsi="Tahoma" w:cs="Tahoma"/>
          <w:spacing w:val="-27"/>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pacing w:val="-27"/>
          <w:sz w:val="20"/>
          <w:szCs w:val="20"/>
        </w:rPr>
        <w:t xml:space="preserve"> </w:t>
      </w:r>
      <w:r w:rsidRPr="00B004EE">
        <w:rPr>
          <w:rFonts w:ascii="Tahoma" w:eastAsia="American Typewriter" w:hAnsi="Tahoma" w:cs="Tahoma"/>
          <w:sz w:val="20"/>
          <w:szCs w:val="20"/>
        </w:rPr>
        <w:t>la</w:t>
      </w:r>
      <w:r w:rsidR="00DB1635" w:rsidRPr="00B004EE">
        <w:rPr>
          <w:rFonts w:ascii="Tahoma" w:eastAsia="American Typewriter" w:hAnsi="Tahoma" w:cs="Tahoma"/>
          <w:spacing w:val="-26"/>
          <w:sz w:val="20"/>
          <w:szCs w:val="20"/>
        </w:rPr>
        <w:t xml:space="preserve"> </w:t>
      </w:r>
      <w:r w:rsidRPr="00B004EE">
        <w:rPr>
          <w:rFonts w:ascii="Tahoma" w:eastAsia="American Typewriter" w:hAnsi="Tahoma" w:cs="Tahoma"/>
          <w:sz w:val="20"/>
          <w:szCs w:val="20"/>
        </w:rPr>
        <w:t>présente</w:t>
      </w:r>
      <w:r w:rsidR="00DB1635" w:rsidRPr="00B004EE">
        <w:rPr>
          <w:rFonts w:ascii="Tahoma" w:eastAsia="American Typewriter" w:hAnsi="Tahoma" w:cs="Tahoma"/>
          <w:spacing w:val="-27"/>
          <w:sz w:val="20"/>
          <w:szCs w:val="20"/>
        </w:rPr>
        <w:t xml:space="preserve"> </w:t>
      </w:r>
      <w:r w:rsidRPr="00B004EE">
        <w:rPr>
          <w:rFonts w:ascii="Tahoma" w:eastAsia="American Typewriter" w:hAnsi="Tahoma" w:cs="Tahoma"/>
          <w:sz w:val="20"/>
          <w:szCs w:val="20"/>
        </w:rPr>
        <w:t>loi</w:t>
      </w:r>
      <w:r w:rsidRPr="00B004EE">
        <w:rPr>
          <w:rFonts w:ascii="Tahoma" w:hAnsi="Tahoma" w:cs="Tahoma"/>
          <w:sz w:val="20"/>
          <w:szCs w:val="20"/>
        </w:rPr>
        <w:t>.</w:t>
      </w:r>
    </w:p>
    <w:p w14:paraId="2228636E" w14:textId="380B8DDE" w:rsidR="001E7C3C" w:rsidRPr="00B004EE" w:rsidRDefault="001E7C3C" w:rsidP="00B004EE">
      <w:pPr>
        <w:pStyle w:val="Corpsdetexte"/>
        <w:ind w:right="163"/>
        <w:rPr>
          <w:rFonts w:ascii="Tahoma" w:hAnsi="Tahoma" w:cs="Tahoma"/>
          <w:sz w:val="20"/>
          <w:szCs w:val="20"/>
        </w:rPr>
      </w:pPr>
      <w:r w:rsidRPr="00B004EE">
        <w:rPr>
          <w:rFonts w:ascii="Tahoma" w:hAnsi="Tahoma" w:cs="Tahoma"/>
          <w:sz w:val="20"/>
          <w:szCs w:val="20"/>
        </w:rPr>
        <w:t>Les</w:t>
      </w:r>
      <w:r w:rsidR="00DB1635" w:rsidRPr="00B004EE">
        <w:rPr>
          <w:rFonts w:ascii="Tahoma" w:hAnsi="Tahoma" w:cs="Tahoma"/>
          <w:spacing w:val="-9"/>
          <w:sz w:val="20"/>
          <w:szCs w:val="20"/>
        </w:rPr>
        <w:t xml:space="preserve"> </w:t>
      </w:r>
      <w:r w:rsidRPr="00B004EE">
        <w:rPr>
          <w:rFonts w:ascii="Tahoma" w:hAnsi="Tahoma" w:cs="Tahoma"/>
          <w:sz w:val="20"/>
          <w:szCs w:val="20"/>
        </w:rPr>
        <w:t>procès-verbaux</w:t>
      </w:r>
      <w:r w:rsidR="00DB1635" w:rsidRPr="00B004EE">
        <w:rPr>
          <w:rFonts w:ascii="Tahoma" w:hAnsi="Tahoma" w:cs="Tahoma"/>
          <w:spacing w:val="-9"/>
          <w:sz w:val="20"/>
          <w:szCs w:val="20"/>
        </w:rPr>
        <w:t xml:space="preserve"> </w:t>
      </w:r>
      <w:r w:rsidRPr="00B004EE">
        <w:rPr>
          <w:rFonts w:ascii="Tahoma" w:hAnsi="Tahoma" w:cs="Tahoma"/>
          <w:sz w:val="20"/>
          <w:szCs w:val="20"/>
        </w:rPr>
        <w:t>d'infraction</w:t>
      </w:r>
      <w:r w:rsidR="00DB1635" w:rsidRPr="00B004EE">
        <w:rPr>
          <w:rFonts w:ascii="Tahoma" w:hAnsi="Tahoma" w:cs="Tahoma"/>
          <w:spacing w:val="-9"/>
          <w:sz w:val="20"/>
          <w:szCs w:val="20"/>
        </w:rPr>
        <w:t xml:space="preserve"> </w:t>
      </w:r>
      <w:r w:rsidRPr="00B004EE">
        <w:rPr>
          <w:rFonts w:ascii="Tahoma" w:hAnsi="Tahoma" w:cs="Tahoma"/>
          <w:sz w:val="20"/>
          <w:szCs w:val="20"/>
        </w:rPr>
        <w:t>dûment</w:t>
      </w:r>
      <w:r w:rsidR="00DB1635" w:rsidRPr="00B004EE">
        <w:rPr>
          <w:rFonts w:ascii="Tahoma" w:hAnsi="Tahoma" w:cs="Tahoma"/>
          <w:spacing w:val="-9"/>
          <w:sz w:val="20"/>
          <w:szCs w:val="20"/>
        </w:rPr>
        <w:t xml:space="preserve"> </w:t>
      </w:r>
      <w:r w:rsidRPr="00B004EE">
        <w:rPr>
          <w:rFonts w:ascii="Tahoma" w:hAnsi="Tahoma" w:cs="Tahoma"/>
          <w:sz w:val="20"/>
          <w:szCs w:val="20"/>
        </w:rPr>
        <w:t>établis</w:t>
      </w:r>
      <w:r w:rsidR="00DB1635" w:rsidRPr="00B004EE">
        <w:rPr>
          <w:rFonts w:ascii="Tahoma" w:hAnsi="Tahoma" w:cs="Tahoma"/>
          <w:spacing w:val="-9"/>
          <w:sz w:val="20"/>
          <w:szCs w:val="20"/>
        </w:rPr>
        <w:t xml:space="preserve"> </w:t>
      </w:r>
      <w:r w:rsidRPr="00B004EE">
        <w:rPr>
          <w:rFonts w:ascii="Tahoma" w:hAnsi="Tahoma" w:cs="Tahoma"/>
          <w:sz w:val="20"/>
          <w:szCs w:val="20"/>
        </w:rPr>
        <w:t>par</w:t>
      </w:r>
      <w:r w:rsidR="00DB1635" w:rsidRPr="00B004EE">
        <w:rPr>
          <w:rFonts w:ascii="Tahoma" w:hAnsi="Tahoma" w:cs="Tahoma"/>
          <w:spacing w:val="-9"/>
          <w:sz w:val="20"/>
          <w:szCs w:val="20"/>
        </w:rPr>
        <w:t xml:space="preserve"> </w:t>
      </w:r>
      <w:r w:rsidRPr="00B004EE">
        <w:rPr>
          <w:rFonts w:ascii="Tahoma" w:hAnsi="Tahoma" w:cs="Tahoma"/>
          <w:sz w:val="20"/>
          <w:szCs w:val="20"/>
        </w:rPr>
        <w:t>ces</w:t>
      </w:r>
      <w:r w:rsidR="00DB1635" w:rsidRPr="00B004EE">
        <w:rPr>
          <w:rFonts w:ascii="Tahoma" w:hAnsi="Tahoma" w:cs="Tahoma"/>
          <w:spacing w:val="-9"/>
          <w:sz w:val="20"/>
          <w:szCs w:val="20"/>
        </w:rPr>
        <w:t xml:space="preserve"> </w:t>
      </w:r>
      <w:r w:rsidRPr="00B004EE">
        <w:rPr>
          <w:rFonts w:ascii="Tahoma" w:hAnsi="Tahoma" w:cs="Tahoma"/>
          <w:sz w:val="20"/>
          <w:szCs w:val="20"/>
        </w:rPr>
        <w:t>agents</w:t>
      </w:r>
      <w:r w:rsidR="00DB1635" w:rsidRPr="00B004EE">
        <w:rPr>
          <w:rFonts w:ascii="Tahoma" w:hAnsi="Tahoma" w:cs="Tahoma"/>
          <w:spacing w:val="-11"/>
          <w:sz w:val="20"/>
          <w:szCs w:val="20"/>
        </w:rPr>
        <w:t xml:space="preserve"> </w:t>
      </w:r>
      <w:r w:rsidRPr="00B004EE">
        <w:rPr>
          <w:rFonts w:ascii="Tahoma" w:hAnsi="Tahoma" w:cs="Tahoma"/>
          <w:sz w:val="20"/>
          <w:szCs w:val="20"/>
        </w:rPr>
        <w:t>de</w:t>
      </w:r>
      <w:r w:rsidR="00DB1635" w:rsidRPr="00B004EE">
        <w:rPr>
          <w:rFonts w:ascii="Tahoma" w:hAnsi="Tahoma" w:cs="Tahoma"/>
          <w:spacing w:val="-10"/>
          <w:sz w:val="20"/>
          <w:szCs w:val="20"/>
        </w:rPr>
        <w:t xml:space="preserve"> </w:t>
      </w:r>
      <w:r w:rsidRPr="00B004EE">
        <w:rPr>
          <w:rFonts w:ascii="Tahoma" w:hAnsi="Tahoma" w:cs="Tahoma"/>
          <w:sz w:val="20"/>
          <w:szCs w:val="20"/>
        </w:rPr>
        <w:t>contrôle</w:t>
      </w:r>
      <w:r w:rsidR="00DB1635" w:rsidRPr="00B004EE">
        <w:rPr>
          <w:rFonts w:ascii="Tahoma" w:hAnsi="Tahoma" w:cs="Tahoma"/>
          <w:spacing w:val="-10"/>
          <w:sz w:val="20"/>
          <w:szCs w:val="20"/>
        </w:rPr>
        <w:t xml:space="preserve"> </w:t>
      </w:r>
      <w:r w:rsidRPr="00B004EE">
        <w:rPr>
          <w:rFonts w:ascii="Tahoma" w:hAnsi="Tahoma" w:cs="Tahoma"/>
          <w:sz w:val="20"/>
          <w:szCs w:val="20"/>
        </w:rPr>
        <w:t>font</w:t>
      </w:r>
      <w:r w:rsidR="00DB1635" w:rsidRPr="00B004EE">
        <w:rPr>
          <w:rFonts w:ascii="Tahoma" w:hAnsi="Tahoma" w:cs="Tahoma"/>
          <w:spacing w:val="-10"/>
          <w:sz w:val="20"/>
          <w:szCs w:val="20"/>
        </w:rPr>
        <w:t xml:space="preserve"> </w:t>
      </w:r>
      <w:r w:rsidRPr="00B004EE">
        <w:rPr>
          <w:rFonts w:ascii="Tahoma" w:hAnsi="Tahoma" w:cs="Tahoma"/>
          <w:sz w:val="20"/>
          <w:szCs w:val="20"/>
        </w:rPr>
        <w:t>foi</w:t>
      </w:r>
      <w:r w:rsidR="00DB1635" w:rsidRPr="00B004EE">
        <w:rPr>
          <w:rFonts w:ascii="Tahoma" w:hAnsi="Tahoma" w:cs="Tahoma"/>
          <w:w w:val="95"/>
          <w:sz w:val="20"/>
          <w:szCs w:val="20"/>
        </w:rPr>
        <w:t xml:space="preserve"> </w:t>
      </w:r>
      <w:r w:rsidRPr="00B004EE">
        <w:rPr>
          <w:rFonts w:ascii="Tahoma" w:hAnsi="Tahoma" w:cs="Tahoma"/>
          <w:sz w:val="20"/>
          <w:szCs w:val="20"/>
        </w:rPr>
        <w:t>jusqu'à</w:t>
      </w:r>
      <w:r w:rsidR="00DB1635" w:rsidRPr="00B004EE">
        <w:rPr>
          <w:rFonts w:ascii="Tahoma" w:hAnsi="Tahoma" w:cs="Tahoma"/>
          <w:spacing w:val="-15"/>
          <w:sz w:val="20"/>
          <w:szCs w:val="20"/>
        </w:rPr>
        <w:t xml:space="preserve"> </w:t>
      </w:r>
      <w:r w:rsidRPr="00B004EE">
        <w:rPr>
          <w:rFonts w:ascii="Tahoma" w:hAnsi="Tahoma" w:cs="Tahoma"/>
          <w:sz w:val="20"/>
          <w:szCs w:val="20"/>
        </w:rPr>
        <w:t>inscription</w:t>
      </w:r>
      <w:r w:rsidR="00DB1635" w:rsidRPr="00B004EE">
        <w:rPr>
          <w:rFonts w:ascii="Tahoma" w:hAnsi="Tahoma" w:cs="Tahoma"/>
          <w:spacing w:val="-15"/>
          <w:sz w:val="20"/>
          <w:szCs w:val="20"/>
        </w:rPr>
        <w:t xml:space="preserve"> </w:t>
      </w:r>
      <w:r w:rsidRPr="00B004EE">
        <w:rPr>
          <w:rFonts w:ascii="Tahoma" w:hAnsi="Tahoma" w:cs="Tahoma"/>
          <w:sz w:val="20"/>
          <w:szCs w:val="20"/>
        </w:rPr>
        <w:t>de</w:t>
      </w:r>
      <w:r w:rsidR="00DB1635" w:rsidRPr="00B004EE">
        <w:rPr>
          <w:rFonts w:ascii="Tahoma" w:hAnsi="Tahoma" w:cs="Tahoma"/>
          <w:spacing w:val="-15"/>
          <w:sz w:val="20"/>
          <w:szCs w:val="20"/>
        </w:rPr>
        <w:t xml:space="preserve"> </w:t>
      </w:r>
      <w:r w:rsidRPr="00B004EE">
        <w:rPr>
          <w:rFonts w:ascii="Tahoma" w:hAnsi="Tahoma" w:cs="Tahoma"/>
          <w:sz w:val="20"/>
          <w:szCs w:val="20"/>
        </w:rPr>
        <w:t>faux</w:t>
      </w:r>
      <w:r w:rsidR="00DB1635" w:rsidRPr="00B004EE">
        <w:rPr>
          <w:rFonts w:ascii="Tahoma" w:hAnsi="Tahoma" w:cs="Tahoma"/>
          <w:spacing w:val="-15"/>
          <w:sz w:val="20"/>
          <w:szCs w:val="20"/>
        </w:rPr>
        <w:t xml:space="preserve"> </w:t>
      </w:r>
      <w:r w:rsidRPr="00B004EE">
        <w:rPr>
          <w:rFonts w:ascii="Tahoma" w:hAnsi="Tahoma" w:cs="Tahoma"/>
          <w:sz w:val="20"/>
          <w:szCs w:val="20"/>
        </w:rPr>
        <w:t>pour</w:t>
      </w:r>
      <w:r w:rsidR="00DB1635" w:rsidRPr="00B004EE">
        <w:rPr>
          <w:rFonts w:ascii="Tahoma" w:hAnsi="Tahoma" w:cs="Tahoma"/>
          <w:spacing w:val="-16"/>
          <w:sz w:val="20"/>
          <w:szCs w:val="20"/>
        </w:rPr>
        <w:t xml:space="preserve"> </w:t>
      </w:r>
      <w:r w:rsidRPr="00B004EE">
        <w:rPr>
          <w:rFonts w:ascii="Tahoma" w:hAnsi="Tahoma" w:cs="Tahoma"/>
          <w:sz w:val="20"/>
          <w:szCs w:val="20"/>
        </w:rPr>
        <w:t>les</w:t>
      </w:r>
      <w:r w:rsidR="00DB1635" w:rsidRPr="00B004EE">
        <w:rPr>
          <w:rFonts w:ascii="Tahoma" w:hAnsi="Tahoma" w:cs="Tahoma"/>
          <w:spacing w:val="-15"/>
          <w:sz w:val="20"/>
          <w:szCs w:val="20"/>
        </w:rPr>
        <w:t xml:space="preserve"> </w:t>
      </w:r>
      <w:r w:rsidRPr="00B004EE">
        <w:rPr>
          <w:rFonts w:ascii="Tahoma" w:hAnsi="Tahoma" w:cs="Tahoma"/>
          <w:sz w:val="20"/>
          <w:szCs w:val="20"/>
        </w:rPr>
        <w:t>opérations</w:t>
      </w:r>
      <w:r w:rsidR="00DB1635" w:rsidRPr="00B004EE">
        <w:rPr>
          <w:rFonts w:ascii="Tahoma" w:hAnsi="Tahoma" w:cs="Tahoma"/>
          <w:spacing w:val="-15"/>
          <w:sz w:val="20"/>
          <w:szCs w:val="20"/>
        </w:rPr>
        <w:t xml:space="preserve"> </w:t>
      </w:r>
      <w:r w:rsidRPr="00B004EE">
        <w:rPr>
          <w:rFonts w:ascii="Tahoma" w:hAnsi="Tahoma" w:cs="Tahoma"/>
          <w:sz w:val="20"/>
          <w:szCs w:val="20"/>
        </w:rPr>
        <w:t>qu'ils</w:t>
      </w:r>
      <w:r w:rsidR="00DB1635" w:rsidRPr="00B004EE">
        <w:rPr>
          <w:rFonts w:ascii="Tahoma" w:hAnsi="Tahoma" w:cs="Tahoma"/>
          <w:spacing w:val="-15"/>
          <w:sz w:val="20"/>
          <w:szCs w:val="20"/>
        </w:rPr>
        <w:t xml:space="preserve"> </w:t>
      </w:r>
      <w:r w:rsidRPr="00B004EE">
        <w:rPr>
          <w:rFonts w:ascii="Tahoma" w:hAnsi="Tahoma" w:cs="Tahoma"/>
          <w:sz w:val="20"/>
          <w:szCs w:val="20"/>
        </w:rPr>
        <w:t>constatent,</w:t>
      </w:r>
      <w:r w:rsidR="00DB1635" w:rsidRPr="00B004EE">
        <w:rPr>
          <w:rFonts w:ascii="Tahoma" w:hAnsi="Tahoma" w:cs="Tahoma"/>
          <w:spacing w:val="-15"/>
          <w:sz w:val="20"/>
          <w:szCs w:val="20"/>
        </w:rPr>
        <w:t xml:space="preserve"> </w:t>
      </w:r>
      <w:r w:rsidRPr="00B004EE">
        <w:rPr>
          <w:rFonts w:ascii="Tahoma" w:hAnsi="Tahoma" w:cs="Tahoma"/>
          <w:sz w:val="20"/>
          <w:szCs w:val="20"/>
        </w:rPr>
        <w:t>jusqu'à</w:t>
      </w:r>
      <w:r w:rsidR="00DB1635" w:rsidRPr="00B004EE">
        <w:rPr>
          <w:rFonts w:ascii="Tahoma" w:hAnsi="Tahoma" w:cs="Tahoma"/>
          <w:spacing w:val="-15"/>
          <w:sz w:val="20"/>
          <w:szCs w:val="20"/>
        </w:rPr>
        <w:t xml:space="preserve"> </w:t>
      </w:r>
      <w:r w:rsidRPr="00B004EE">
        <w:rPr>
          <w:rFonts w:ascii="Tahoma" w:hAnsi="Tahoma" w:cs="Tahoma"/>
          <w:sz w:val="20"/>
          <w:szCs w:val="20"/>
        </w:rPr>
        <w:t>preuve</w:t>
      </w:r>
      <w:r w:rsidR="00DB1635" w:rsidRPr="00B004EE">
        <w:rPr>
          <w:rFonts w:ascii="Tahoma" w:hAnsi="Tahoma" w:cs="Tahoma"/>
          <w:spacing w:val="-15"/>
          <w:sz w:val="20"/>
          <w:szCs w:val="20"/>
        </w:rPr>
        <w:t xml:space="preserve"> </w:t>
      </w:r>
      <w:r w:rsidRPr="00B004EE">
        <w:rPr>
          <w:rFonts w:ascii="Tahoma" w:hAnsi="Tahoma" w:cs="Tahoma"/>
          <w:sz w:val="20"/>
          <w:szCs w:val="20"/>
        </w:rPr>
        <w:t>du</w:t>
      </w:r>
      <w:r w:rsidR="00DB1635" w:rsidRPr="00B004EE">
        <w:rPr>
          <w:rFonts w:ascii="Tahoma" w:hAnsi="Tahoma" w:cs="Tahoma"/>
          <w:w w:val="98"/>
          <w:sz w:val="20"/>
          <w:szCs w:val="20"/>
        </w:rPr>
        <w:t xml:space="preserve"> </w:t>
      </w:r>
      <w:r w:rsidRPr="00B004EE">
        <w:rPr>
          <w:rFonts w:ascii="Tahoma" w:hAnsi="Tahoma" w:cs="Tahoma"/>
          <w:sz w:val="20"/>
          <w:szCs w:val="20"/>
        </w:rPr>
        <w:t>contraire</w:t>
      </w:r>
      <w:r w:rsidR="00DB1635" w:rsidRPr="00B004EE">
        <w:rPr>
          <w:rFonts w:ascii="Tahoma" w:hAnsi="Tahoma" w:cs="Tahoma"/>
          <w:spacing w:val="-26"/>
          <w:sz w:val="20"/>
          <w:szCs w:val="20"/>
        </w:rPr>
        <w:t xml:space="preserve"> </w:t>
      </w:r>
      <w:r w:rsidRPr="00B004EE">
        <w:rPr>
          <w:rFonts w:ascii="Tahoma" w:hAnsi="Tahoma" w:cs="Tahoma"/>
          <w:sz w:val="20"/>
          <w:szCs w:val="20"/>
        </w:rPr>
        <w:t>pour</w:t>
      </w:r>
      <w:r w:rsidR="00DB1635" w:rsidRPr="00B004EE">
        <w:rPr>
          <w:rFonts w:ascii="Tahoma" w:hAnsi="Tahoma" w:cs="Tahoma"/>
          <w:spacing w:val="-27"/>
          <w:sz w:val="20"/>
          <w:szCs w:val="20"/>
        </w:rPr>
        <w:t xml:space="preserve"> </w:t>
      </w:r>
      <w:r w:rsidRPr="00B004EE">
        <w:rPr>
          <w:rFonts w:ascii="Tahoma" w:hAnsi="Tahoma" w:cs="Tahoma"/>
          <w:sz w:val="20"/>
          <w:szCs w:val="20"/>
        </w:rPr>
        <w:t>les</w:t>
      </w:r>
      <w:r w:rsidR="00DB1635" w:rsidRPr="00B004EE">
        <w:rPr>
          <w:rFonts w:ascii="Tahoma" w:hAnsi="Tahoma" w:cs="Tahoma"/>
          <w:spacing w:val="-26"/>
          <w:sz w:val="20"/>
          <w:szCs w:val="20"/>
        </w:rPr>
        <w:t xml:space="preserve"> </w:t>
      </w:r>
      <w:r w:rsidRPr="00B004EE">
        <w:rPr>
          <w:rFonts w:ascii="Tahoma" w:hAnsi="Tahoma" w:cs="Tahoma"/>
          <w:sz w:val="20"/>
          <w:szCs w:val="20"/>
        </w:rPr>
        <w:t>témoignages</w:t>
      </w:r>
      <w:r w:rsidR="00DB1635" w:rsidRPr="00B004EE">
        <w:rPr>
          <w:rFonts w:ascii="Tahoma" w:hAnsi="Tahoma" w:cs="Tahoma"/>
          <w:spacing w:val="-26"/>
          <w:sz w:val="20"/>
          <w:szCs w:val="20"/>
        </w:rPr>
        <w:t xml:space="preserve"> </w:t>
      </w:r>
      <w:r w:rsidRPr="00B004EE">
        <w:rPr>
          <w:rFonts w:ascii="Tahoma" w:hAnsi="Tahoma" w:cs="Tahoma"/>
          <w:sz w:val="20"/>
          <w:szCs w:val="20"/>
        </w:rPr>
        <w:t>et</w:t>
      </w:r>
      <w:r w:rsidR="00DB1635" w:rsidRPr="00B004EE">
        <w:rPr>
          <w:rFonts w:ascii="Tahoma" w:hAnsi="Tahoma" w:cs="Tahoma"/>
          <w:spacing w:val="-26"/>
          <w:sz w:val="20"/>
          <w:szCs w:val="20"/>
        </w:rPr>
        <w:t xml:space="preserve"> </w:t>
      </w:r>
      <w:r w:rsidRPr="00B004EE">
        <w:rPr>
          <w:rFonts w:ascii="Tahoma" w:hAnsi="Tahoma" w:cs="Tahoma"/>
          <w:sz w:val="20"/>
          <w:szCs w:val="20"/>
        </w:rPr>
        <w:t>aveux</w:t>
      </w:r>
      <w:r w:rsidR="00DB1635" w:rsidRPr="00B004EE">
        <w:rPr>
          <w:rFonts w:ascii="Tahoma" w:hAnsi="Tahoma" w:cs="Tahoma"/>
          <w:spacing w:val="-25"/>
          <w:sz w:val="20"/>
          <w:szCs w:val="20"/>
        </w:rPr>
        <w:t xml:space="preserve"> </w:t>
      </w:r>
      <w:r w:rsidRPr="00B004EE">
        <w:rPr>
          <w:rFonts w:ascii="Tahoma" w:hAnsi="Tahoma" w:cs="Tahoma"/>
          <w:sz w:val="20"/>
          <w:szCs w:val="20"/>
        </w:rPr>
        <w:t>et</w:t>
      </w:r>
      <w:r w:rsidR="00DB1635" w:rsidRPr="00B004EE">
        <w:rPr>
          <w:rFonts w:ascii="Tahoma" w:hAnsi="Tahoma" w:cs="Tahoma"/>
          <w:spacing w:val="-26"/>
          <w:sz w:val="20"/>
          <w:szCs w:val="20"/>
        </w:rPr>
        <w:t xml:space="preserve"> </w:t>
      </w:r>
      <w:r w:rsidRPr="00B004EE">
        <w:rPr>
          <w:rFonts w:ascii="Tahoma" w:hAnsi="Tahoma" w:cs="Tahoma"/>
          <w:sz w:val="20"/>
          <w:szCs w:val="20"/>
        </w:rPr>
        <w:t>ne</w:t>
      </w:r>
      <w:r w:rsidR="00DB1635" w:rsidRPr="00B004EE">
        <w:rPr>
          <w:rFonts w:ascii="Tahoma" w:hAnsi="Tahoma" w:cs="Tahoma"/>
          <w:spacing w:val="-25"/>
          <w:sz w:val="20"/>
          <w:szCs w:val="20"/>
        </w:rPr>
        <w:t xml:space="preserve"> </w:t>
      </w:r>
      <w:r w:rsidRPr="00B004EE">
        <w:rPr>
          <w:rFonts w:ascii="Tahoma" w:hAnsi="Tahoma" w:cs="Tahoma"/>
          <w:sz w:val="20"/>
          <w:szCs w:val="20"/>
        </w:rPr>
        <w:t>sont</w:t>
      </w:r>
      <w:r w:rsidR="00DB1635" w:rsidRPr="00B004EE">
        <w:rPr>
          <w:rFonts w:ascii="Tahoma" w:hAnsi="Tahoma" w:cs="Tahoma"/>
          <w:spacing w:val="-26"/>
          <w:sz w:val="20"/>
          <w:szCs w:val="20"/>
        </w:rPr>
        <w:t xml:space="preserve"> </w:t>
      </w:r>
      <w:r w:rsidRPr="00B004EE">
        <w:rPr>
          <w:rFonts w:ascii="Tahoma" w:hAnsi="Tahoma" w:cs="Tahoma"/>
          <w:sz w:val="20"/>
          <w:szCs w:val="20"/>
        </w:rPr>
        <w:t>pas</w:t>
      </w:r>
      <w:r w:rsidR="00DB1635" w:rsidRPr="00B004EE">
        <w:rPr>
          <w:rFonts w:ascii="Tahoma" w:hAnsi="Tahoma" w:cs="Tahoma"/>
          <w:spacing w:val="-26"/>
          <w:sz w:val="20"/>
          <w:szCs w:val="20"/>
        </w:rPr>
        <w:t xml:space="preserve"> </w:t>
      </w:r>
      <w:r w:rsidRPr="00B004EE">
        <w:rPr>
          <w:rFonts w:ascii="Tahoma" w:hAnsi="Tahoma" w:cs="Tahoma"/>
          <w:sz w:val="20"/>
          <w:szCs w:val="20"/>
        </w:rPr>
        <w:t>soumis</w:t>
      </w:r>
      <w:r w:rsidR="00DB1635" w:rsidRPr="00B004EE">
        <w:rPr>
          <w:rFonts w:ascii="Tahoma" w:hAnsi="Tahoma" w:cs="Tahoma"/>
          <w:spacing w:val="-26"/>
          <w:sz w:val="20"/>
          <w:szCs w:val="20"/>
        </w:rPr>
        <w:t xml:space="preserve"> </w:t>
      </w:r>
      <w:r w:rsidRPr="00B004EE">
        <w:rPr>
          <w:rFonts w:ascii="Tahoma" w:hAnsi="Tahoma" w:cs="Tahoma"/>
          <w:sz w:val="20"/>
          <w:szCs w:val="20"/>
        </w:rPr>
        <w:t>à</w:t>
      </w:r>
      <w:r w:rsidR="00DB1635" w:rsidRPr="00B004EE">
        <w:rPr>
          <w:rFonts w:ascii="Tahoma" w:hAnsi="Tahoma" w:cs="Tahoma"/>
          <w:spacing w:val="-25"/>
          <w:sz w:val="20"/>
          <w:szCs w:val="20"/>
        </w:rPr>
        <w:t xml:space="preserve"> </w:t>
      </w:r>
      <w:r w:rsidRPr="00B004EE">
        <w:rPr>
          <w:rFonts w:ascii="Tahoma" w:hAnsi="Tahoma" w:cs="Tahoma"/>
          <w:sz w:val="20"/>
          <w:szCs w:val="20"/>
        </w:rPr>
        <w:t>l'affirmation.</w:t>
      </w:r>
    </w:p>
    <w:p w14:paraId="027B282A" w14:textId="6219FBBA" w:rsidR="001E7C3C" w:rsidRPr="00B004EE" w:rsidRDefault="001E7C3C" w:rsidP="00B004EE">
      <w:pPr>
        <w:pStyle w:val="Corpsdetexte"/>
        <w:rPr>
          <w:rFonts w:ascii="Tahoma" w:hAnsi="Tahoma" w:cs="Tahoma"/>
          <w:sz w:val="20"/>
          <w:szCs w:val="20"/>
        </w:rPr>
      </w:pPr>
      <w:r w:rsidRPr="00B004EE">
        <w:rPr>
          <w:rFonts w:ascii="Tahoma" w:hAnsi="Tahoma" w:cs="Tahoma"/>
          <w:sz w:val="20"/>
          <w:szCs w:val="20"/>
        </w:rPr>
        <w:t>Ils</w:t>
      </w:r>
      <w:r w:rsidR="00DB1635" w:rsidRPr="00B004EE">
        <w:rPr>
          <w:rFonts w:ascii="Tahoma" w:hAnsi="Tahoma" w:cs="Tahoma"/>
          <w:spacing w:val="-38"/>
          <w:sz w:val="20"/>
          <w:szCs w:val="20"/>
        </w:rPr>
        <w:t xml:space="preserve"> </w:t>
      </w:r>
      <w:r w:rsidRPr="00B004EE">
        <w:rPr>
          <w:rFonts w:ascii="Tahoma" w:hAnsi="Tahoma" w:cs="Tahoma"/>
          <w:sz w:val="20"/>
          <w:szCs w:val="20"/>
        </w:rPr>
        <w:t>sont</w:t>
      </w:r>
      <w:r w:rsidR="00DB1635" w:rsidRPr="00B004EE">
        <w:rPr>
          <w:rFonts w:ascii="Tahoma" w:hAnsi="Tahoma" w:cs="Tahoma"/>
          <w:spacing w:val="-38"/>
          <w:sz w:val="20"/>
          <w:szCs w:val="20"/>
        </w:rPr>
        <w:t xml:space="preserve"> </w:t>
      </w:r>
      <w:r w:rsidRPr="00B004EE">
        <w:rPr>
          <w:rFonts w:ascii="Tahoma" w:hAnsi="Tahoma" w:cs="Tahoma"/>
          <w:sz w:val="20"/>
          <w:szCs w:val="20"/>
        </w:rPr>
        <w:t>exemptés</w:t>
      </w:r>
      <w:r w:rsidR="00DB1635" w:rsidRPr="00B004EE">
        <w:rPr>
          <w:rFonts w:ascii="Tahoma" w:hAnsi="Tahoma" w:cs="Tahoma"/>
          <w:spacing w:val="-38"/>
          <w:sz w:val="20"/>
          <w:szCs w:val="20"/>
        </w:rPr>
        <w:t xml:space="preserve"> </w:t>
      </w:r>
      <w:r w:rsidRPr="00B004EE">
        <w:rPr>
          <w:rFonts w:ascii="Tahoma" w:hAnsi="Tahoma" w:cs="Tahoma"/>
          <w:sz w:val="20"/>
          <w:szCs w:val="20"/>
        </w:rPr>
        <w:t>des</w:t>
      </w:r>
      <w:r w:rsidR="00DB1635" w:rsidRPr="00B004EE">
        <w:rPr>
          <w:rFonts w:ascii="Tahoma" w:hAnsi="Tahoma" w:cs="Tahoma"/>
          <w:spacing w:val="-38"/>
          <w:sz w:val="20"/>
          <w:szCs w:val="20"/>
        </w:rPr>
        <w:t xml:space="preserve"> </w:t>
      </w:r>
      <w:r w:rsidRPr="00B004EE">
        <w:rPr>
          <w:rFonts w:ascii="Tahoma" w:hAnsi="Tahoma" w:cs="Tahoma"/>
          <w:sz w:val="20"/>
          <w:szCs w:val="20"/>
        </w:rPr>
        <w:t>timbres</w:t>
      </w:r>
      <w:r w:rsidR="00DB1635" w:rsidRPr="00B004EE">
        <w:rPr>
          <w:rFonts w:ascii="Tahoma" w:hAnsi="Tahoma" w:cs="Tahoma"/>
          <w:spacing w:val="-38"/>
          <w:sz w:val="20"/>
          <w:szCs w:val="20"/>
        </w:rPr>
        <w:t xml:space="preserve"> </w:t>
      </w:r>
      <w:r w:rsidRPr="00B004EE">
        <w:rPr>
          <w:rFonts w:ascii="Tahoma" w:hAnsi="Tahoma" w:cs="Tahoma"/>
          <w:sz w:val="20"/>
          <w:szCs w:val="20"/>
        </w:rPr>
        <w:t>et</w:t>
      </w:r>
      <w:r w:rsidR="00DB1635" w:rsidRPr="00B004EE">
        <w:rPr>
          <w:rFonts w:ascii="Tahoma" w:hAnsi="Tahoma" w:cs="Tahoma"/>
          <w:spacing w:val="-38"/>
          <w:sz w:val="20"/>
          <w:szCs w:val="20"/>
        </w:rPr>
        <w:t xml:space="preserve"> </w:t>
      </w:r>
      <w:r w:rsidRPr="00B004EE">
        <w:rPr>
          <w:rFonts w:ascii="Tahoma" w:hAnsi="Tahoma" w:cs="Tahoma"/>
          <w:sz w:val="20"/>
          <w:szCs w:val="20"/>
        </w:rPr>
        <w:t>droits</w:t>
      </w:r>
      <w:r w:rsidR="00DB1635" w:rsidRPr="00B004EE">
        <w:rPr>
          <w:rFonts w:ascii="Tahoma" w:hAnsi="Tahoma" w:cs="Tahoma"/>
          <w:spacing w:val="-38"/>
          <w:sz w:val="20"/>
          <w:szCs w:val="20"/>
        </w:rPr>
        <w:t xml:space="preserve"> </w:t>
      </w:r>
      <w:r w:rsidRPr="00B004EE">
        <w:rPr>
          <w:rFonts w:ascii="Tahoma" w:hAnsi="Tahoma" w:cs="Tahoma"/>
          <w:sz w:val="20"/>
          <w:szCs w:val="20"/>
        </w:rPr>
        <w:t>d'enregistrement.</w:t>
      </w:r>
    </w:p>
    <w:p w14:paraId="49C08562" w14:textId="77777777" w:rsidR="001E7C3C" w:rsidRPr="00B004EE" w:rsidRDefault="001E7C3C" w:rsidP="00B004EE">
      <w:pPr>
        <w:rPr>
          <w:rFonts w:ascii="Tahoma" w:hAnsi="Tahoma" w:cs="Tahoma"/>
          <w:bCs/>
          <w:sz w:val="20"/>
          <w:szCs w:val="20"/>
        </w:rPr>
      </w:pPr>
    </w:p>
    <w:p w14:paraId="79C9EE4C" w14:textId="669E3D14" w:rsidR="001E7C3C" w:rsidRPr="00B004EE" w:rsidRDefault="001E7C3C" w:rsidP="00B004EE">
      <w:pPr>
        <w:pStyle w:val="Corpsdetexte"/>
        <w:ind w:right="163"/>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77</w:t>
      </w:r>
      <w:r w:rsidR="00DB1635" w:rsidRPr="00B004EE">
        <w:rPr>
          <w:rFonts w:ascii="Tahoma" w:hAnsi="Tahoma" w:cs="Tahoma"/>
          <w:bCs/>
          <w:sz w:val="20"/>
          <w:szCs w:val="20"/>
        </w:rPr>
        <w:t xml:space="preserve"> </w:t>
      </w:r>
      <w:r w:rsidRPr="00B004EE">
        <w:rPr>
          <w:rFonts w:ascii="Tahoma" w:hAnsi="Tahoma" w:cs="Tahoma"/>
          <w:bCs/>
          <w:sz w:val="20"/>
          <w:szCs w:val="20"/>
        </w:rPr>
        <w:t>:</w:t>
      </w:r>
      <w:r w:rsidR="00DB1635" w:rsidRPr="00B004EE">
        <w:rPr>
          <w:rFonts w:ascii="Tahoma" w:hAnsi="Tahoma" w:cs="Tahoma"/>
          <w:b/>
          <w:sz w:val="20"/>
          <w:szCs w:val="20"/>
        </w:rPr>
        <w:t xml:space="preserve"> </w:t>
      </w:r>
      <w:r w:rsidRPr="00B004EE">
        <w:rPr>
          <w:rFonts w:ascii="Tahoma" w:hAnsi="Tahoma" w:cs="Tahoma"/>
          <w:sz w:val="20"/>
          <w:szCs w:val="20"/>
        </w:rPr>
        <w:t>Si</w:t>
      </w:r>
      <w:r w:rsidR="00DB1635" w:rsidRPr="00B004EE">
        <w:rPr>
          <w:rFonts w:ascii="Tahoma" w:hAnsi="Tahoma" w:cs="Tahoma"/>
          <w:sz w:val="20"/>
          <w:szCs w:val="20"/>
        </w:rPr>
        <w:t xml:space="preserve"> </w:t>
      </w:r>
      <w:r w:rsidRPr="00B004EE">
        <w:rPr>
          <w:rFonts w:ascii="Tahoma" w:hAnsi="Tahoma" w:cs="Tahoma"/>
          <w:sz w:val="20"/>
          <w:szCs w:val="20"/>
        </w:rPr>
        <w:t>nécessaire</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sauvegarder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preuves</w:t>
      </w:r>
      <w:r w:rsidR="00DB1635" w:rsidRPr="00B004EE">
        <w:rPr>
          <w:rFonts w:ascii="Tahoma" w:hAnsi="Tahoma" w:cs="Tahoma"/>
          <w:sz w:val="20"/>
          <w:szCs w:val="20"/>
        </w:rPr>
        <w:t xml:space="preserve"> </w:t>
      </w:r>
      <w:r w:rsidRPr="00B004EE">
        <w:rPr>
          <w:rFonts w:ascii="Tahoma" w:hAnsi="Tahoma" w:cs="Tahoma"/>
          <w:sz w:val="20"/>
          <w:szCs w:val="20"/>
        </w:rPr>
        <w:t>d'une</w:t>
      </w:r>
      <w:r w:rsidR="00DB1635" w:rsidRPr="00B004EE">
        <w:rPr>
          <w:rFonts w:ascii="Tahoma" w:hAnsi="Tahoma" w:cs="Tahoma"/>
          <w:sz w:val="20"/>
          <w:szCs w:val="20"/>
        </w:rPr>
        <w:t xml:space="preserve"> </w:t>
      </w:r>
      <w:r w:rsidRPr="00B004EE">
        <w:rPr>
          <w:rFonts w:ascii="Tahoma" w:hAnsi="Tahoma" w:cs="Tahoma"/>
          <w:sz w:val="20"/>
          <w:szCs w:val="20"/>
        </w:rPr>
        <w:t>infraction</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pacing w:val="12"/>
          <w:sz w:val="20"/>
          <w:szCs w:val="20"/>
        </w:rPr>
        <w:t xml:space="preserve"> </w:t>
      </w:r>
      <w:r w:rsidRPr="00B004EE">
        <w:rPr>
          <w:rFonts w:ascii="Tahoma" w:hAnsi="Tahoma" w:cs="Tahoma"/>
          <w:sz w:val="20"/>
          <w:szCs w:val="20"/>
        </w:rPr>
        <w:t>pour</w:t>
      </w:r>
      <w:r w:rsidR="00DB1635" w:rsidRPr="00B004EE">
        <w:rPr>
          <w:rFonts w:ascii="Tahoma" w:hAnsi="Tahoma" w:cs="Tahoma"/>
          <w:w w:val="93"/>
          <w:sz w:val="20"/>
          <w:szCs w:val="20"/>
        </w:rPr>
        <w:t xml:space="preserve"> </w:t>
      </w:r>
      <w:r w:rsidRPr="00B004EE">
        <w:rPr>
          <w:rFonts w:ascii="Tahoma" w:hAnsi="Tahoma" w:cs="Tahoma"/>
          <w:w w:val="95"/>
          <w:sz w:val="20"/>
          <w:szCs w:val="20"/>
        </w:rPr>
        <w:t>garantir</w:t>
      </w:r>
      <w:r w:rsidR="00DB1635" w:rsidRPr="00B004EE">
        <w:rPr>
          <w:rFonts w:ascii="Tahoma" w:hAnsi="Tahoma" w:cs="Tahoma"/>
          <w:w w:val="95"/>
          <w:sz w:val="20"/>
          <w:szCs w:val="20"/>
        </w:rPr>
        <w:t xml:space="preserve"> </w:t>
      </w:r>
      <w:r w:rsidRPr="00B004EE">
        <w:rPr>
          <w:rFonts w:ascii="Tahoma" w:hAnsi="Tahoma" w:cs="Tahoma"/>
          <w:w w:val="95"/>
          <w:sz w:val="20"/>
          <w:szCs w:val="20"/>
        </w:rPr>
        <w:t>des</w:t>
      </w:r>
      <w:r w:rsidR="00DB1635" w:rsidRPr="00B004EE">
        <w:rPr>
          <w:rFonts w:ascii="Tahoma" w:hAnsi="Tahoma" w:cs="Tahoma"/>
          <w:w w:val="95"/>
          <w:sz w:val="20"/>
          <w:szCs w:val="20"/>
        </w:rPr>
        <w:t xml:space="preserve"> </w:t>
      </w:r>
      <w:r w:rsidRPr="00B004EE">
        <w:rPr>
          <w:rFonts w:ascii="Tahoma" w:hAnsi="Tahoma" w:cs="Tahoma"/>
          <w:w w:val="95"/>
          <w:sz w:val="20"/>
          <w:szCs w:val="20"/>
        </w:rPr>
        <w:t>condamnations</w:t>
      </w:r>
      <w:r w:rsidR="00DB1635" w:rsidRPr="00B004EE">
        <w:rPr>
          <w:rFonts w:ascii="Tahoma" w:hAnsi="Tahoma" w:cs="Tahoma"/>
          <w:w w:val="95"/>
          <w:sz w:val="20"/>
          <w:szCs w:val="20"/>
        </w:rPr>
        <w:t xml:space="preserve"> </w:t>
      </w:r>
      <w:r w:rsidRPr="00B004EE">
        <w:rPr>
          <w:rFonts w:ascii="Tahoma" w:hAnsi="Tahoma" w:cs="Tahoma"/>
          <w:w w:val="95"/>
          <w:sz w:val="20"/>
          <w:szCs w:val="20"/>
        </w:rPr>
        <w:t>qui</w:t>
      </w:r>
      <w:r w:rsidR="00DB1635" w:rsidRPr="00B004EE">
        <w:rPr>
          <w:rFonts w:ascii="Tahoma" w:hAnsi="Tahoma" w:cs="Tahoma"/>
          <w:w w:val="95"/>
          <w:sz w:val="20"/>
          <w:szCs w:val="20"/>
        </w:rPr>
        <w:t xml:space="preserve"> </w:t>
      </w:r>
      <w:r w:rsidRPr="00B004EE">
        <w:rPr>
          <w:rFonts w:ascii="Tahoma" w:hAnsi="Tahoma" w:cs="Tahoma"/>
          <w:w w:val="95"/>
          <w:sz w:val="20"/>
          <w:szCs w:val="20"/>
        </w:rPr>
        <w:t>pourraient</w:t>
      </w:r>
      <w:r w:rsidR="00DB1635" w:rsidRPr="00B004EE">
        <w:rPr>
          <w:rFonts w:ascii="Tahoma" w:hAnsi="Tahoma" w:cs="Tahoma"/>
          <w:w w:val="95"/>
          <w:sz w:val="20"/>
          <w:szCs w:val="20"/>
        </w:rPr>
        <w:t xml:space="preserve"> </w:t>
      </w:r>
      <w:r w:rsidRPr="00B004EE">
        <w:rPr>
          <w:rFonts w:ascii="Tahoma" w:hAnsi="Tahoma" w:cs="Tahoma"/>
          <w:w w:val="95"/>
          <w:sz w:val="20"/>
          <w:szCs w:val="20"/>
        </w:rPr>
        <w:t>être</w:t>
      </w:r>
      <w:r w:rsidR="00DB1635" w:rsidRPr="00B004EE">
        <w:rPr>
          <w:rFonts w:ascii="Tahoma" w:hAnsi="Tahoma" w:cs="Tahoma"/>
          <w:w w:val="95"/>
          <w:sz w:val="20"/>
          <w:szCs w:val="20"/>
        </w:rPr>
        <w:t xml:space="preserve"> </w:t>
      </w:r>
      <w:r w:rsidRPr="00B004EE">
        <w:rPr>
          <w:rFonts w:ascii="Tahoma" w:hAnsi="Tahoma" w:cs="Tahoma"/>
          <w:w w:val="95"/>
          <w:sz w:val="20"/>
          <w:szCs w:val="20"/>
        </w:rPr>
        <w:t>prononcées,</w:t>
      </w:r>
      <w:r w:rsidR="00DB1635" w:rsidRPr="00B004EE">
        <w:rPr>
          <w:rFonts w:ascii="Tahoma" w:hAnsi="Tahoma" w:cs="Tahoma"/>
          <w:w w:val="95"/>
          <w:sz w:val="20"/>
          <w:szCs w:val="20"/>
        </w:rPr>
        <w:t xml:space="preserve"> </w:t>
      </w:r>
      <w:r w:rsidRPr="00B004EE">
        <w:rPr>
          <w:rFonts w:ascii="Tahoma" w:hAnsi="Tahoma" w:cs="Tahoma"/>
          <w:w w:val="95"/>
          <w:sz w:val="20"/>
          <w:szCs w:val="20"/>
        </w:rPr>
        <w:t>tout</w:t>
      </w:r>
      <w:r w:rsidR="00DB1635" w:rsidRPr="00B004EE">
        <w:rPr>
          <w:rFonts w:ascii="Tahoma" w:hAnsi="Tahoma" w:cs="Tahoma"/>
          <w:w w:val="95"/>
          <w:sz w:val="20"/>
          <w:szCs w:val="20"/>
        </w:rPr>
        <w:t xml:space="preserve"> </w:t>
      </w:r>
      <w:r w:rsidRPr="00B004EE">
        <w:rPr>
          <w:rFonts w:ascii="Tahoma" w:hAnsi="Tahoma" w:cs="Tahoma"/>
          <w:w w:val="95"/>
          <w:sz w:val="20"/>
          <w:szCs w:val="20"/>
        </w:rPr>
        <w:t>navire</w:t>
      </w:r>
      <w:r w:rsidR="00DB1635" w:rsidRPr="00B004EE">
        <w:rPr>
          <w:rFonts w:ascii="Tahoma" w:hAnsi="Tahoma" w:cs="Tahoma"/>
          <w:spacing w:val="31"/>
          <w:w w:val="95"/>
          <w:sz w:val="20"/>
          <w:szCs w:val="20"/>
        </w:rPr>
        <w:t xml:space="preserve"> </w:t>
      </w:r>
      <w:r w:rsidRPr="00B004EE">
        <w:rPr>
          <w:rFonts w:ascii="Tahoma" w:hAnsi="Tahoma" w:cs="Tahoma"/>
          <w:w w:val="95"/>
          <w:sz w:val="20"/>
          <w:szCs w:val="20"/>
        </w:rPr>
        <w:t>arraisonné</w:t>
      </w:r>
      <w:r w:rsidR="00DB1635" w:rsidRPr="00B004EE">
        <w:rPr>
          <w:rFonts w:ascii="Tahoma" w:hAnsi="Tahoma" w:cs="Tahoma"/>
          <w:w w:val="95"/>
          <w:sz w:val="20"/>
          <w:szCs w:val="20"/>
        </w:rPr>
        <w:t xml:space="preserve"> </w:t>
      </w:r>
      <w:r w:rsidRPr="00B004EE">
        <w:rPr>
          <w:rFonts w:ascii="Tahoma" w:hAnsi="Tahoma" w:cs="Tahoma"/>
          <w:sz w:val="20"/>
          <w:szCs w:val="20"/>
        </w:rPr>
        <w:t>aux</w:t>
      </w:r>
      <w:r w:rsidR="00DB1635" w:rsidRPr="00B004EE">
        <w:rPr>
          <w:rFonts w:ascii="Tahoma" w:hAnsi="Tahoma" w:cs="Tahoma"/>
          <w:spacing w:val="45"/>
          <w:sz w:val="20"/>
          <w:szCs w:val="20"/>
        </w:rPr>
        <w:t xml:space="preserve"> </w:t>
      </w:r>
      <w:r w:rsidRPr="00B004EE">
        <w:rPr>
          <w:rFonts w:ascii="Tahoma" w:hAnsi="Tahoma" w:cs="Tahoma"/>
          <w:sz w:val="20"/>
          <w:szCs w:val="20"/>
        </w:rPr>
        <w:t>termes</w:t>
      </w:r>
      <w:r w:rsidR="00DB1635" w:rsidRPr="00B004EE">
        <w:rPr>
          <w:rFonts w:ascii="Tahoma" w:hAnsi="Tahoma" w:cs="Tahoma"/>
          <w:spacing w:val="45"/>
          <w:sz w:val="20"/>
          <w:szCs w:val="20"/>
        </w:rPr>
        <w:t xml:space="preserve"> </w:t>
      </w:r>
      <w:r w:rsidRPr="00B004EE">
        <w:rPr>
          <w:rFonts w:ascii="Tahoma" w:hAnsi="Tahoma" w:cs="Tahoma"/>
          <w:sz w:val="20"/>
          <w:szCs w:val="20"/>
        </w:rPr>
        <w:t>du</w:t>
      </w:r>
      <w:r w:rsidR="00DB1635" w:rsidRPr="00B004EE">
        <w:rPr>
          <w:rFonts w:ascii="Tahoma" w:hAnsi="Tahoma" w:cs="Tahoma"/>
          <w:spacing w:val="45"/>
          <w:sz w:val="20"/>
          <w:szCs w:val="20"/>
        </w:rPr>
        <w:t xml:space="preserve"> </w:t>
      </w:r>
      <w:r w:rsidRPr="00B004EE">
        <w:rPr>
          <w:rFonts w:ascii="Tahoma" w:hAnsi="Tahoma" w:cs="Tahoma"/>
          <w:sz w:val="20"/>
          <w:szCs w:val="20"/>
        </w:rPr>
        <w:t>paragraphe</w:t>
      </w:r>
      <w:r w:rsidR="00DB1635" w:rsidRPr="00B004EE">
        <w:rPr>
          <w:rFonts w:ascii="Tahoma" w:hAnsi="Tahoma" w:cs="Tahoma"/>
          <w:spacing w:val="45"/>
          <w:sz w:val="20"/>
          <w:szCs w:val="20"/>
        </w:rPr>
        <w:t xml:space="preserve"> </w:t>
      </w:r>
      <w:r w:rsidRPr="00B004EE">
        <w:rPr>
          <w:rFonts w:ascii="Tahoma" w:hAnsi="Tahoma" w:cs="Tahoma"/>
          <w:sz w:val="20"/>
          <w:szCs w:val="20"/>
        </w:rPr>
        <w:t>précédent</w:t>
      </w:r>
      <w:r w:rsidR="00DB1635" w:rsidRPr="00B004EE">
        <w:rPr>
          <w:rFonts w:ascii="Tahoma" w:hAnsi="Tahoma" w:cs="Tahoma"/>
          <w:spacing w:val="45"/>
          <w:sz w:val="20"/>
          <w:szCs w:val="20"/>
        </w:rPr>
        <w:t xml:space="preserve"> </w:t>
      </w:r>
      <w:r w:rsidRPr="00B004EE">
        <w:rPr>
          <w:rFonts w:ascii="Tahoma" w:hAnsi="Tahoma" w:cs="Tahoma"/>
          <w:sz w:val="20"/>
          <w:szCs w:val="20"/>
        </w:rPr>
        <w:t>et</w:t>
      </w:r>
      <w:r w:rsidR="00DB1635" w:rsidRPr="00B004EE">
        <w:rPr>
          <w:rFonts w:ascii="Tahoma" w:hAnsi="Tahoma" w:cs="Tahoma"/>
          <w:spacing w:val="45"/>
          <w:sz w:val="20"/>
          <w:szCs w:val="20"/>
        </w:rPr>
        <w:t xml:space="preserve"> </w:t>
      </w:r>
      <w:r w:rsidRPr="00B004EE">
        <w:rPr>
          <w:rFonts w:ascii="Tahoma" w:hAnsi="Tahoma" w:cs="Tahoma"/>
          <w:sz w:val="20"/>
          <w:szCs w:val="20"/>
        </w:rPr>
        <w:t>son</w:t>
      </w:r>
      <w:r w:rsidR="00DB1635" w:rsidRPr="00B004EE">
        <w:rPr>
          <w:rFonts w:ascii="Tahoma" w:hAnsi="Tahoma" w:cs="Tahoma"/>
          <w:spacing w:val="43"/>
          <w:sz w:val="20"/>
          <w:szCs w:val="20"/>
        </w:rPr>
        <w:t xml:space="preserve"> </w:t>
      </w:r>
      <w:r w:rsidRPr="00B004EE">
        <w:rPr>
          <w:rFonts w:ascii="Tahoma" w:hAnsi="Tahoma" w:cs="Tahoma"/>
          <w:sz w:val="20"/>
          <w:szCs w:val="20"/>
        </w:rPr>
        <w:t>équipage</w:t>
      </w:r>
      <w:r w:rsidR="00DB1635" w:rsidRPr="00B004EE">
        <w:rPr>
          <w:rFonts w:ascii="Tahoma" w:hAnsi="Tahoma" w:cs="Tahoma"/>
          <w:spacing w:val="44"/>
          <w:sz w:val="20"/>
          <w:szCs w:val="20"/>
        </w:rPr>
        <w:t xml:space="preserve"> </w:t>
      </w:r>
      <w:r w:rsidRPr="00B004EE">
        <w:rPr>
          <w:rFonts w:ascii="Tahoma" w:hAnsi="Tahoma" w:cs="Tahoma"/>
          <w:sz w:val="20"/>
          <w:szCs w:val="20"/>
        </w:rPr>
        <w:t>pourront</w:t>
      </w:r>
      <w:r w:rsidR="00DB1635" w:rsidRPr="00B004EE">
        <w:rPr>
          <w:rFonts w:ascii="Tahoma" w:hAnsi="Tahoma" w:cs="Tahoma"/>
          <w:spacing w:val="44"/>
          <w:sz w:val="20"/>
          <w:szCs w:val="20"/>
        </w:rPr>
        <w:t xml:space="preserve"> </w:t>
      </w:r>
      <w:r w:rsidRPr="00B004EE">
        <w:rPr>
          <w:rFonts w:ascii="Tahoma" w:hAnsi="Tahoma" w:cs="Tahoma"/>
          <w:sz w:val="20"/>
          <w:szCs w:val="20"/>
        </w:rPr>
        <w:t>être</w:t>
      </w:r>
      <w:r w:rsidR="00DB1635" w:rsidRPr="00B004EE">
        <w:rPr>
          <w:rFonts w:ascii="Tahoma" w:hAnsi="Tahoma" w:cs="Tahoma"/>
          <w:spacing w:val="44"/>
          <w:sz w:val="20"/>
          <w:szCs w:val="20"/>
        </w:rPr>
        <w:t xml:space="preserve"> </w:t>
      </w:r>
      <w:r w:rsidRPr="00B004EE">
        <w:rPr>
          <w:rFonts w:ascii="Tahoma" w:hAnsi="Tahoma" w:cs="Tahoma"/>
          <w:sz w:val="20"/>
          <w:szCs w:val="20"/>
        </w:rPr>
        <w:t>conduits</w:t>
      </w:r>
      <w:r w:rsidR="00DB1635" w:rsidRPr="00B004EE">
        <w:rPr>
          <w:rFonts w:ascii="Tahoma" w:hAnsi="Tahoma" w:cs="Tahoma"/>
          <w:spacing w:val="-1"/>
          <w:w w:val="95"/>
          <w:sz w:val="20"/>
          <w:szCs w:val="20"/>
        </w:rPr>
        <w:t xml:space="preserve"> </w:t>
      </w:r>
      <w:r w:rsidRPr="00B004EE">
        <w:rPr>
          <w:rFonts w:ascii="Tahoma" w:hAnsi="Tahoma" w:cs="Tahoma"/>
          <w:sz w:val="20"/>
          <w:szCs w:val="20"/>
        </w:rPr>
        <w:t>jusqu'au</w:t>
      </w:r>
      <w:r w:rsidR="00DB1635" w:rsidRPr="00B004EE">
        <w:rPr>
          <w:rFonts w:ascii="Tahoma" w:hAnsi="Tahoma" w:cs="Tahoma"/>
          <w:spacing w:val="-10"/>
          <w:sz w:val="20"/>
          <w:szCs w:val="20"/>
        </w:rPr>
        <w:t xml:space="preserve"> </w:t>
      </w:r>
      <w:r w:rsidRPr="00B004EE">
        <w:rPr>
          <w:rFonts w:ascii="Tahoma" w:hAnsi="Tahoma" w:cs="Tahoma"/>
          <w:sz w:val="20"/>
          <w:szCs w:val="20"/>
        </w:rPr>
        <w:t>port</w:t>
      </w:r>
      <w:r w:rsidR="00DB1635" w:rsidRPr="00B004EE">
        <w:rPr>
          <w:rFonts w:ascii="Tahoma" w:hAnsi="Tahoma" w:cs="Tahoma"/>
          <w:spacing w:val="-10"/>
          <w:sz w:val="20"/>
          <w:szCs w:val="20"/>
        </w:rPr>
        <w:t xml:space="preserve"> </w:t>
      </w:r>
      <w:r w:rsidRPr="00B004EE">
        <w:rPr>
          <w:rFonts w:ascii="Tahoma" w:hAnsi="Tahoma" w:cs="Tahoma"/>
          <w:sz w:val="20"/>
          <w:szCs w:val="20"/>
        </w:rPr>
        <w:t>le</w:t>
      </w:r>
      <w:r w:rsidR="00DB1635" w:rsidRPr="00B004EE">
        <w:rPr>
          <w:rFonts w:ascii="Tahoma" w:hAnsi="Tahoma" w:cs="Tahoma"/>
          <w:spacing w:val="-10"/>
          <w:sz w:val="20"/>
          <w:szCs w:val="20"/>
        </w:rPr>
        <w:t xml:space="preserve"> </w:t>
      </w:r>
      <w:r w:rsidRPr="00B004EE">
        <w:rPr>
          <w:rFonts w:ascii="Tahoma" w:hAnsi="Tahoma" w:cs="Tahoma"/>
          <w:sz w:val="20"/>
          <w:szCs w:val="20"/>
        </w:rPr>
        <w:t>plus</w:t>
      </w:r>
      <w:r w:rsidR="00DB1635" w:rsidRPr="00B004EE">
        <w:rPr>
          <w:rFonts w:ascii="Tahoma" w:hAnsi="Tahoma" w:cs="Tahoma"/>
          <w:spacing w:val="-11"/>
          <w:sz w:val="20"/>
          <w:szCs w:val="20"/>
        </w:rPr>
        <w:t xml:space="preserve"> </w:t>
      </w:r>
      <w:r w:rsidRPr="00B004EE">
        <w:rPr>
          <w:rFonts w:ascii="Tahoma" w:hAnsi="Tahoma" w:cs="Tahoma"/>
          <w:sz w:val="20"/>
          <w:szCs w:val="20"/>
        </w:rPr>
        <w:t>proche</w:t>
      </w:r>
      <w:r w:rsidR="00DB1635" w:rsidRPr="00B004EE">
        <w:rPr>
          <w:rFonts w:ascii="Tahoma" w:hAnsi="Tahoma" w:cs="Tahoma"/>
          <w:spacing w:val="-10"/>
          <w:sz w:val="20"/>
          <w:szCs w:val="20"/>
        </w:rPr>
        <w:t xml:space="preserve"> </w:t>
      </w:r>
      <w:r w:rsidRPr="00B004EE">
        <w:rPr>
          <w:rFonts w:ascii="Tahoma" w:hAnsi="Tahoma" w:cs="Tahoma"/>
          <w:sz w:val="20"/>
          <w:szCs w:val="20"/>
        </w:rPr>
        <w:t>ou</w:t>
      </w:r>
      <w:r w:rsidR="00DB1635" w:rsidRPr="00B004EE">
        <w:rPr>
          <w:rFonts w:ascii="Tahoma" w:hAnsi="Tahoma" w:cs="Tahoma"/>
          <w:spacing w:val="-10"/>
          <w:sz w:val="20"/>
          <w:szCs w:val="20"/>
        </w:rPr>
        <w:t xml:space="preserve"> </w:t>
      </w:r>
      <w:r w:rsidRPr="00B004EE">
        <w:rPr>
          <w:rFonts w:ascii="Tahoma" w:hAnsi="Tahoma" w:cs="Tahoma"/>
          <w:sz w:val="20"/>
          <w:szCs w:val="20"/>
        </w:rPr>
        <w:t>le</w:t>
      </w:r>
      <w:r w:rsidR="00DB1635" w:rsidRPr="00B004EE">
        <w:rPr>
          <w:rFonts w:ascii="Tahoma" w:hAnsi="Tahoma" w:cs="Tahoma"/>
          <w:spacing w:val="-11"/>
          <w:sz w:val="20"/>
          <w:szCs w:val="20"/>
        </w:rPr>
        <w:t xml:space="preserve"> </w:t>
      </w:r>
      <w:r w:rsidRPr="00B004EE">
        <w:rPr>
          <w:rFonts w:ascii="Tahoma" w:hAnsi="Tahoma" w:cs="Tahoma"/>
          <w:sz w:val="20"/>
          <w:szCs w:val="20"/>
        </w:rPr>
        <w:t>plus</w:t>
      </w:r>
      <w:r w:rsidR="00DB1635" w:rsidRPr="00B004EE">
        <w:rPr>
          <w:rFonts w:ascii="Tahoma" w:hAnsi="Tahoma" w:cs="Tahoma"/>
          <w:spacing w:val="-12"/>
          <w:sz w:val="20"/>
          <w:szCs w:val="20"/>
        </w:rPr>
        <w:t xml:space="preserve"> </w:t>
      </w:r>
      <w:r w:rsidRPr="00B004EE">
        <w:rPr>
          <w:rFonts w:ascii="Tahoma" w:hAnsi="Tahoma" w:cs="Tahoma"/>
          <w:sz w:val="20"/>
          <w:szCs w:val="20"/>
        </w:rPr>
        <w:t>convenable</w:t>
      </w:r>
      <w:r w:rsidR="00DB1635" w:rsidRPr="00B004EE">
        <w:rPr>
          <w:rFonts w:ascii="Tahoma" w:hAnsi="Tahoma" w:cs="Tahoma"/>
          <w:spacing w:val="-11"/>
          <w:sz w:val="20"/>
          <w:szCs w:val="20"/>
        </w:rPr>
        <w:t xml:space="preserve"> </w:t>
      </w:r>
      <w:r w:rsidRPr="00B004EE">
        <w:rPr>
          <w:rFonts w:ascii="Tahoma" w:hAnsi="Tahoma" w:cs="Tahoma"/>
          <w:sz w:val="20"/>
          <w:szCs w:val="20"/>
        </w:rPr>
        <w:t>de</w:t>
      </w:r>
      <w:r w:rsidR="00DB1635" w:rsidRPr="00B004EE">
        <w:rPr>
          <w:rFonts w:ascii="Tahoma" w:hAnsi="Tahoma" w:cs="Tahoma"/>
          <w:spacing w:val="-11"/>
          <w:sz w:val="20"/>
          <w:szCs w:val="20"/>
        </w:rPr>
        <w:t xml:space="preserve"> </w:t>
      </w:r>
      <w:r w:rsidRPr="00B004EE">
        <w:rPr>
          <w:rFonts w:ascii="Tahoma" w:hAnsi="Tahoma" w:cs="Tahoma"/>
          <w:sz w:val="20"/>
          <w:szCs w:val="20"/>
        </w:rPr>
        <w:t>la</w:t>
      </w:r>
      <w:r w:rsidR="00DB1635" w:rsidRPr="00B004EE">
        <w:rPr>
          <w:rFonts w:ascii="Tahoma" w:hAnsi="Tahoma" w:cs="Tahoma"/>
          <w:spacing w:val="-11"/>
          <w:sz w:val="20"/>
          <w:szCs w:val="20"/>
        </w:rPr>
        <w:t xml:space="preserve"> </w:t>
      </w:r>
      <w:r w:rsidRPr="00B004EE">
        <w:rPr>
          <w:rFonts w:ascii="Tahoma" w:hAnsi="Tahoma" w:cs="Tahoma"/>
          <w:sz w:val="20"/>
          <w:szCs w:val="20"/>
        </w:rPr>
        <w:t>Mauritanie</w:t>
      </w:r>
      <w:r w:rsidR="00DB1635" w:rsidRPr="00B004EE">
        <w:rPr>
          <w:rFonts w:ascii="Tahoma" w:hAnsi="Tahoma" w:cs="Tahoma"/>
          <w:spacing w:val="-11"/>
          <w:sz w:val="20"/>
          <w:szCs w:val="20"/>
        </w:rPr>
        <w:t xml:space="preserve"> </w:t>
      </w:r>
      <w:r w:rsidRPr="00B004EE">
        <w:rPr>
          <w:rFonts w:ascii="Tahoma" w:hAnsi="Tahoma" w:cs="Tahoma"/>
          <w:sz w:val="20"/>
          <w:szCs w:val="20"/>
        </w:rPr>
        <w:t>et</w:t>
      </w:r>
      <w:r w:rsidR="00DB1635" w:rsidRPr="00B004EE">
        <w:rPr>
          <w:rFonts w:ascii="Tahoma" w:hAnsi="Tahoma" w:cs="Tahoma"/>
          <w:spacing w:val="-11"/>
          <w:sz w:val="20"/>
          <w:szCs w:val="20"/>
        </w:rPr>
        <w:t xml:space="preserve"> </w:t>
      </w:r>
      <w:r w:rsidRPr="00B004EE">
        <w:rPr>
          <w:rFonts w:ascii="Tahoma" w:hAnsi="Tahoma" w:cs="Tahoma"/>
          <w:sz w:val="20"/>
          <w:szCs w:val="20"/>
        </w:rPr>
        <w:t>être</w:t>
      </w:r>
      <w:r w:rsidR="00DB1635" w:rsidRPr="00B004EE">
        <w:rPr>
          <w:rFonts w:ascii="Tahoma" w:hAnsi="Tahoma" w:cs="Tahoma"/>
          <w:spacing w:val="-11"/>
          <w:sz w:val="20"/>
          <w:szCs w:val="20"/>
        </w:rPr>
        <w:t xml:space="preserve"> </w:t>
      </w:r>
      <w:r w:rsidRPr="00B004EE">
        <w:rPr>
          <w:rFonts w:ascii="Tahoma" w:hAnsi="Tahoma" w:cs="Tahoma"/>
          <w:sz w:val="20"/>
          <w:szCs w:val="20"/>
        </w:rPr>
        <w:t>retenus</w:t>
      </w:r>
      <w:r w:rsidR="00DB1635" w:rsidRPr="00B004EE">
        <w:rPr>
          <w:rFonts w:ascii="Tahoma" w:hAnsi="Tahoma" w:cs="Tahoma"/>
          <w:w w:val="95"/>
          <w:sz w:val="20"/>
          <w:szCs w:val="20"/>
        </w:rPr>
        <w:t xml:space="preserve"> </w:t>
      </w:r>
      <w:r w:rsidRPr="00B004EE">
        <w:rPr>
          <w:rFonts w:ascii="Tahoma" w:hAnsi="Tahoma" w:cs="Tahoma"/>
          <w:sz w:val="20"/>
          <w:szCs w:val="20"/>
        </w:rPr>
        <w:t>jusqu'à</w:t>
      </w:r>
      <w:r w:rsidR="00DB1635" w:rsidRPr="00B004EE">
        <w:rPr>
          <w:rFonts w:ascii="Tahoma" w:hAnsi="Tahoma" w:cs="Tahoma"/>
          <w:spacing w:val="-11"/>
          <w:sz w:val="20"/>
          <w:szCs w:val="20"/>
        </w:rPr>
        <w:t xml:space="preserve"> </w:t>
      </w:r>
      <w:r w:rsidRPr="00B004EE">
        <w:rPr>
          <w:rFonts w:ascii="Tahoma" w:hAnsi="Tahoma" w:cs="Tahoma"/>
          <w:sz w:val="20"/>
          <w:szCs w:val="20"/>
        </w:rPr>
        <w:t>la</w:t>
      </w:r>
      <w:r w:rsidR="00DB1635" w:rsidRPr="00B004EE">
        <w:rPr>
          <w:rFonts w:ascii="Tahoma" w:hAnsi="Tahoma" w:cs="Tahoma"/>
          <w:spacing w:val="-11"/>
          <w:sz w:val="20"/>
          <w:szCs w:val="20"/>
        </w:rPr>
        <w:t xml:space="preserve"> </w:t>
      </w:r>
      <w:r w:rsidRPr="00B004EE">
        <w:rPr>
          <w:rFonts w:ascii="Tahoma" w:hAnsi="Tahoma" w:cs="Tahoma"/>
          <w:sz w:val="20"/>
          <w:szCs w:val="20"/>
        </w:rPr>
        <w:t>fin</w:t>
      </w:r>
      <w:r w:rsidR="00DB1635" w:rsidRPr="00B004EE">
        <w:rPr>
          <w:rFonts w:ascii="Tahoma" w:hAnsi="Tahoma" w:cs="Tahoma"/>
          <w:spacing w:val="-11"/>
          <w:sz w:val="20"/>
          <w:szCs w:val="20"/>
        </w:rPr>
        <w:t xml:space="preserve"> </w:t>
      </w:r>
      <w:r w:rsidRPr="00B004EE">
        <w:rPr>
          <w:rFonts w:ascii="Tahoma" w:hAnsi="Tahoma" w:cs="Tahoma"/>
          <w:sz w:val="20"/>
          <w:szCs w:val="20"/>
        </w:rPr>
        <w:t>des</w:t>
      </w:r>
      <w:r w:rsidR="00DB1635" w:rsidRPr="00B004EE">
        <w:rPr>
          <w:rFonts w:ascii="Tahoma" w:hAnsi="Tahoma" w:cs="Tahoma"/>
          <w:spacing w:val="-12"/>
          <w:sz w:val="20"/>
          <w:szCs w:val="20"/>
        </w:rPr>
        <w:t xml:space="preserve"> </w:t>
      </w:r>
      <w:r w:rsidRPr="00B004EE">
        <w:rPr>
          <w:rFonts w:ascii="Tahoma" w:hAnsi="Tahoma" w:cs="Tahoma"/>
          <w:sz w:val="20"/>
          <w:szCs w:val="20"/>
        </w:rPr>
        <w:t>procédures</w:t>
      </w:r>
      <w:r w:rsidR="00DB1635" w:rsidRPr="00B004EE">
        <w:rPr>
          <w:rFonts w:ascii="Tahoma" w:hAnsi="Tahoma" w:cs="Tahoma"/>
          <w:spacing w:val="-12"/>
          <w:sz w:val="20"/>
          <w:szCs w:val="20"/>
        </w:rPr>
        <w:t xml:space="preserve"> </w:t>
      </w:r>
      <w:r w:rsidRPr="00B004EE">
        <w:rPr>
          <w:rFonts w:ascii="Tahoma" w:hAnsi="Tahoma" w:cs="Tahoma"/>
          <w:sz w:val="20"/>
          <w:szCs w:val="20"/>
        </w:rPr>
        <w:t>prévues</w:t>
      </w:r>
      <w:r w:rsidR="00DB1635" w:rsidRPr="00B004EE">
        <w:rPr>
          <w:rFonts w:ascii="Tahoma" w:hAnsi="Tahoma" w:cs="Tahoma"/>
          <w:spacing w:val="-12"/>
          <w:sz w:val="20"/>
          <w:szCs w:val="20"/>
        </w:rPr>
        <w:t xml:space="preserve"> </w:t>
      </w:r>
      <w:r w:rsidRPr="00B004EE">
        <w:rPr>
          <w:rFonts w:ascii="Tahoma" w:hAnsi="Tahoma" w:cs="Tahoma"/>
          <w:sz w:val="20"/>
          <w:szCs w:val="20"/>
        </w:rPr>
        <w:t>par</w:t>
      </w:r>
      <w:r w:rsidR="00DB1635" w:rsidRPr="00B004EE">
        <w:rPr>
          <w:rFonts w:ascii="Tahoma" w:hAnsi="Tahoma" w:cs="Tahoma"/>
          <w:spacing w:val="-12"/>
          <w:sz w:val="20"/>
          <w:szCs w:val="20"/>
        </w:rPr>
        <w:t xml:space="preserve"> </w:t>
      </w:r>
      <w:r w:rsidRPr="00B004EE">
        <w:rPr>
          <w:rFonts w:ascii="Tahoma" w:hAnsi="Tahoma" w:cs="Tahoma"/>
          <w:sz w:val="20"/>
          <w:szCs w:val="20"/>
        </w:rPr>
        <w:t>la</w:t>
      </w:r>
      <w:r w:rsidR="00DB1635" w:rsidRPr="00B004EE">
        <w:rPr>
          <w:rFonts w:ascii="Tahoma" w:hAnsi="Tahoma" w:cs="Tahoma"/>
          <w:spacing w:val="-11"/>
          <w:sz w:val="20"/>
          <w:szCs w:val="20"/>
        </w:rPr>
        <w:t xml:space="preserve"> </w:t>
      </w:r>
      <w:r w:rsidRPr="00B004EE">
        <w:rPr>
          <w:rFonts w:ascii="Tahoma" w:hAnsi="Tahoma" w:cs="Tahoma"/>
          <w:sz w:val="20"/>
          <w:szCs w:val="20"/>
        </w:rPr>
        <w:t>présente</w:t>
      </w:r>
      <w:r w:rsidR="00DB1635" w:rsidRPr="00B004EE">
        <w:rPr>
          <w:rFonts w:ascii="Tahoma" w:hAnsi="Tahoma" w:cs="Tahoma"/>
          <w:spacing w:val="-13"/>
          <w:sz w:val="20"/>
          <w:szCs w:val="20"/>
        </w:rPr>
        <w:t xml:space="preserve"> </w:t>
      </w:r>
      <w:r w:rsidRPr="00B004EE">
        <w:rPr>
          <w:rFonts w:ascii="Tahoma" w:hAnsi="Tahoma" w:cs="Tahoma"/>
          <w:sz w:val="20"/>
          <w:szCs w:val="20"/>
        </w:rPr>
        <w:t>Loi</w:t>
      </w:r>
      <w:r w:rsidR="00DB1635" w:rsidRPr="00B004EE">
        <w:rPr>
          <w:rFonts w:ascii="Tahoma" w:hAnsi="Tahoma" w:cs="Tahoma"/>
          <w:spacing w:val="-12"/>
          <w:sz w:val="20"/>
          <w:szCs w:val="20"/>
        </w:rPr>
        <w:t xml:space="preserve"> </w:t>
      </w:r>
      <w:r w:rsidRPr="00B004EE">
        <w:rPr>
          <w:rFonts w:ascii="Tahoma" w:hAnsi="Tahoma" w:cs="Tahoma"/>
          <w:sz w:val="20"/>
          <w:szCs w:val="20"/>
        </w:rPr>
        <w:t>ou</w:t>
      </w:r>
      <w:r w:rsidR="00DB1635" w:rsidRPr="00B004EE">
        <w:rPr>
          <w:rFonts w:ascii="Tahoma" w:hAnsi="Tahoma" w:cs="Tahoma"/>
          <w:spacing w:val="-13"/>
          <w:sz w:val="20"/>
          <w:szCs w:val="20"/>
        </w:rPr>
        <w:t xml:space="preserve"> </w:t>
      </w:r>
      <w:r w:rsidRPr="00B004EE">
        <w:rPr>
          <w:rFonts w:ascii="Tahoma" w:hAnsi="Tahoma" w:cs="Tahoma"/>
          <w:sz w:val="20"/>
          <w:szCs w:val="20"/>
        </w:rPr>
        <w:t>jusqu'à</w:t>
      </w:r>
      <w:r w:rsidR="00DB1635" w:rsidRPr="00B004EE">
        <w:rPr>
          <w:rFonts w:ascii="Tahoma" w:hAnsi="Tahoma" w:cs="Tahoma"/>
          <w:spacing w:val="-12"/>
          <w:sz w:val="20"/>
          <w:szCs w:val="20"/>
        </w:rPr>
        <w:t xml:space="preserve"> </w:t>
      </w:r>
      <w:r w:rsidRPr="00B004EE">
        <w:rPr>
          <w:rFonts w:ascii="Tahoma" w:hAnsi="Tahoma" w:cs="Tahoma"/>
          <w:sz w:val="20"/>
          <w:szCs w:val="20"/>
        </w:rPr>
        <w:t>paiement</w:t>
      </w:r>
      <w:r w:rsidR="00DB1635" w:rsidRPr="00B004EE">
        <w:rPr>
          <w:rFonts w:ascii="Tahoma" w:hAnsi="Tahoma" w:cs="Tahoma"/>
          <w:spacing w:val="-13"/>
          <w:sz w:val="20"/>
          <w:szCs w:val="20"/>
        </w:rPr>
        <w:t xml:space="preserve"> </w:t>
      </w:r>
      <w:r w:rsidRPr="00B004EE">
        <w:rPr>
          <w:rFonts w:ascii="Tahoma" w:hAnsi="Tahoma" w:cs="Tahoma"/>
          <w:sz w:val="20"/>
          <w:szCs w:val="20"/>
        </w:rPr>
        <w:t>de</w:t>
      </w:r>
      <w:r w:rsidR="00DB1635" w:rsidRPr="00B004EE">
        <w:rPr>
          <w:rFonts w:ascii="Tahoma" w:hAnsi="Tahoma" w:cs="Tahoma"/>
          <w:spacing w:val="-13"/>
          <w:sz w:val="20"/>
          <w:szCs w:val="20"/>
        </w:rPr>
        <w:t xml:space="preserve"> </w:t>
      </w:r>
      <w:r w:rsidRPr="00B004EE">
        <w:rPr>
          <w:rFonts w:ascii="Tahoma" w:hAnsi="Tahoma" w:cs="Tahoma"/>
          <w:sz w:val="20"/>
          <w:szCs w:val="20"/>
        </w:rPr>
        <w:t>la</w:t>
      </w:r>
      <w:r w:rsidR="00DB1635" w:rsidRPr="00B004EE">
        <w:rPr>
          <w:rFonts w:ascii="Tahoma" w:hAnsi="Tahoma" w:cs="Tahoma"/>
          <w:w w:val="98"/>
          <w:sz w:val="20"/>
          <w:szCs w:val="20"/>
        </w:rPr>
        <w:t xml:space="preserve"> </w:t>
      </w:r>
      <w:r w:rsidRPr="00B004EE">
        <w:rPr>
          <w:rFonts w:ascii="Tahoma" w:hAnsi="Tahoma" w:cs="Tahoma"/>
          <w:sz w:val="20"/>
          <w:szCs w:val="20"/>
        </w:rPr>
        <w:t>caution</w:t>
      </w:r>
      <w:r w:rsidR="00DB1635" w:rsidRPr="00B004EE">
        <w:rPr>
          <w:rFonts w:ascii="Tahoma" w:hAnsi="Tahoma" w:cs="Tahoma"/>
          <w:spacing w:val="-38"/>
          <w:sz w:val="20"/>
          <w:szCs w:val="20"/>
        </w:rPr>
        <w:t xml:space="preserve"> </w:t>
      </w:r>
      <w:r w:rsidRPr="00B004EE">
        <w:rPr>
          <w:rFonts w:ascii="Tahoma" w:hAnsi="Tahoma" w:cs="Tahoma"/>
          <w:sz w:val="20"/>
          <w:szCs w:val="20"/>
        </w:rPr>
        <w:t>prévue</w:t>
      </w:r>
      <w:r w:rsidR="00DB1635" w:rsidRPr="00B004EE">
        <w:rPr>
          <w:rFonts w:ascii="Tahoma" w:hAnsi="Tahoma" w:cs="Tahoma"/>
          <w:spacing w:val="-38"/>
          <w:sz w:val="20"/>
          <w:szCs w:val="20"/>
        </w:rPr>
        <w:t xml:space="preserve"> </w:t>
      </w:r>
      <w:r w:rsidRPr="00B004EE">
        <w:rPr>
          <w:rFonts w:ascii="Tahoma" w:hAnsi="Tahoma" w:cs="Tahoma"/>
          <w:sz w:val="20"/>
          <w:szCs w:val="20"/>
        </w:rPr>
        <w:t>à</w:t>
      </w:r>
      <w:r w:rsidR="00DB1635" w:rsidRPr="00B004EE">
        <w:rPr>
          <w:rFonts w:ascii="Tahoma" w:hAnsi="Tahoma" w:cs="Tahoma"/>
          <w:spacing w:val="-38"/>
          <w:sz w:val="20"/>
          <w:szCs w:val="20"/>
        </w:rPr>
        <w:t xml:space="preserve"> </w:t>
      </w:r>
      <w:r w:rsidRPr="00B004EE">
        <w:rPr>
          <w:rFonts w:ascii="Tahoma" w:hAnsi="Tahoma" w:cs="Tahoma"/>
          <w:sz w:val="20"/>
          <w:szCs w:val="20"/>
        </w:rPr>
        <w:t>l'article</w:t>
      </w:r>
      <w:r w:rsidR="00DB1635" w:rsidRPr="00B004EE">
        <w:rPr>
          <w:rFonts w:ascii="Tahoma" w:hAnsi="Tahoma" w:cs="Tahoma"/>
          <w:spacing w:val="-37"/>
          <w:sz w:val="20"/>
          <w:szCs w:val="20"/>
        </w:rPr>
        <w:t xml:space="preserve"> </w:t>
      </w:r>
      <w:r w:rsidRPr="00B004EE">
        <w:rPr>
          <w:rFonts w:ascii="Tahoma" w:hAnsi="Tahoma" w:cs="Tahoma"/>
          <w:sz w:val="20"/>
          <w:szCs w:val="20"/>
        </w:rPr>
        <w:t>95</w:t>
      </w:r>
      <w:r w:rsidR="00DB1635" w:rsidRPr="00B004EE">
        <w:rPr>
          <w:rFonts w:ascii="Tahoma" w:hAnsi="Tahoma" w:cs="Tahoma"/>
          <w:spacing w:val="-37"/>
          <w:sz w:val="20"/>
          <w:szCs w:val="20"/>
        </w:rPr>
        <w:t xml:space="preserve"> </w:t>
      </w:r>
      <w:r w:rsidRPr="00B004EE">
        <w:rPr>
          <w:rFonts w:ascii="Tahoma" w:hAnsi="Tahoma" w:cs="Tahoma"/>
          <w:sz w:val="20"/>
          <w:szCs w:val="20"/>
        </w:rPr>
        <w:t>ci-dessous.</w:t>
      </w:r>
    </w:p>
    <w:p w14:paraId="52C7C774" w14:textId="77777777" w:rsidR="001E7C3C" w:rsidRPr="00B004EE" w:rsidRDefault="001E7C3C" w:rsidP="00B004EE">
      <w:pPr>
        <w:rPr>
          <w:rFonts w:ascii="Tahoma" w:eastAsia="American Typewriter" w:hAnsi="Tahoma" w:cs="Tahoma"/>
          <w:sz w:val="20"/>
          <w:szCs w:val="20"/>
        </w:rPr>
      </w:pPr>
    </w:p>
    <w:p w14:paraId="553B9211" w14:textId="28E7D690" w:rsidR="001E7C3C" w:rsidRPr="00B004EE" w:rsidRDefault="001E7C3C" w:rsidP="00B004EE">
      <w:pPr>
        <w:pStyle w:val="Corpsdetexte"/>
        <w:ind w:right="158"/>
        <w:rPr>
          <w:rFonts w:ascii="Tahoma" w:hAnsi="Tahoma" w:cs="Tahoma"/>
          <w:sz w:val="20"/>
          <w:szCs w:val="20"/>
        </w:rPr>
      </w:pPr>
      <w:r w:rsidRPr="00B004EE">
        <w:rPr>
          <w:rFonts w:ascii="Tahoma" w:hAnsi="Tahoma" w:cs="Tahoma"/>
          <w:sz w:val="20"/>
          <w:szCs w:val="20"/>
        </w:rPr>
        <w:t>Dans</w:t>
      </w:r>
      <w:r w:rsidR="00DB1635" w:rsidRPr="00B004EE">
        <w:rPr>
          <w:rFonts w:ascii="Tahoma" w:hAnsi="Tahoma" w:cs="Tahoma"/>
          <w:spacing w:val="-24"/>
          <w:sz w:val="20"/>
          <w:szCs w:val="20"/>
        </w:rPr>
        <w:t xml:space="preserve"> </w:t>
      </w:r>
      <w:r w:rsidRPr="00B004EE">
        <w:rPr>
          <w:rFonts w:ascii="Tahoma" w:hAnsi="Tahoma" w:cs="Tahoma"/>
          <w:sz w:val="20"/>
          <w:szCs w:val="20"/>
        </w:rPr>
        <w:t>tous</w:t>
      </w:r>
      <w:r w:rsidR="00DB1635" w:rsidRPr="00B004EE">
        <w:rPr>
          <w:rFonts w:ascii="Tahoma" w:hAnsi="Tahoma" w:cs="Tahoma"/>
          <w:spacing w:val="-23"/>
          <w:sz w:val="20"/>
          <w:szCs w:val="20"/>
        </w:rPr>
        <w:t xml:space="preserve"> </w:t>
      </w:r>
      <w:r w:rsidRPr="00B004EE">
        <w:rPr>
          <w:rFonts w:ascii="Tahoma" w:hAnsi="Tahoma" w:cs="Tahoma"/>
          <w:sz w:val="20"/>
          <w:szCs w:val="20"/>
        </w:rPr>
        <w:t>les</w:t>
      </w:r>
      <w:r w:rsidR="00DB1635" w:rsidRPr="00B004EE">
        <w:rPr>
          <w:rFonts w:ascii="Tahoma" w:hAnsi="Tahoma" w:cs="Tahoma"/>
          <w:spacing w:val="-23"/>
          <w:sz w:val="20"/>
          <w:szCs w:val="20"/>
        </w:rPr>
        <w:t xml:space="preserve"> </w:t>
      </w:r>
      <w:r w:rsidRPr="00B004EE">
        <w:rPr>
          <w:rFonts w:ascii="Tahoma" w:hAnsi="Tahoma" w:cs="Tahoma"/>
          <w:sz w:val="20"/>
          <w:szCs w:val="20"/>
        </w:rPr>
        <w:t>cas,</w:t>
      </w:r>
      <w:r w:rsidR="00DB1635" w:rsidRPr="00B004EE">
        <w:rPr>
          <w:rFonts w:ascii="Tahoma" w:hAnsi="Tahoma" w:cs="Tahoma"/>
          <w:spacing w:val="-23"/>
          <w:sz w:val="20"/>
          <w:szCs w:val="20"/>
        </w:rPr>
        <w:t xml:space="preserve"> </w:t>
      </w:r>
      <w:r w:rsidRPr="00B004EE">
        <w:rPr>
          <w:rFonts w:ascii="Tahoma" w:hAnsi="Tahoma" w:cs="Tahoma"/>
          <w:sz w:val="20"/>
          <w:szCs w:val="20"/>
        </w:rPr>
        <w:t>la</w:t>
      </w:r>
      <w:r w:rsidR="00DB1635" w:rsidRPr="00B004EE">
        <w:rPr>
          <w:rFonts w:ascii="Tahoma" w:hAnsi="Tahoma" w:cs="Tahoma"/>
          <w:spacing w:val="-24"/>
          <w:sz w:val="20"/>
          <w:szCs w:val="20"/>
        </w:rPr>
        <w:t xml:space="preserve"> </w:t>
      </w:r>
      <w:r w:rsidRPr="00B004EE">
        <w:rPr>
          <w:rFonts w:ascii="Tahoma" w:hAnsi="Tahoma" w:cs="Tahoma"/>
          <w:sz w:val="20"/>
          <w:szCs w:val="20"/>
        </w:rPr>
        <w:t>procédure</w:t>
      </w:r>
      <w:r w:rsidR="00DB1635" w:rsidRPr="00B004EE">
        <w:rPr>
          <w:rFonts w:ascii="Tahoma" w:hAnsi="Tahoma" w:cs="Tahoma"/>
          <w:spacing w:val="-24"/>
          <w:sz w:val="20"/>
          <w:szCs w:val="20"/>
        </w:rPr>
        <w:t xml:space="preserve"> </w:t>
      </w:r>
      <w:r w:rsidRPr="00B004EE">
        <w:rPr>
          <w:rFonts w:ascii="Tahoma" w:hAnsi="Tahoma" w:cs="Tahoma"/>
          <w:sz w:val="20"/>
          <w:szCs w:val="20"/>
        </w:rPr>
        <w:t>de</w:t>
      </w:r>
      <w:r w:rsidR="00DB1635" w:rsidRPr="00B004EE">
        <w:rPr>
          <w:rFonts w:ascii="Tahoma" w:hAnsi="Tahoma" w:cs="Tahoma"/>
          <w:spacing w:val="-24"/>
          <w:sz w:val="20"/>
          <w:szCs w:val="20"/>
        </w:rPr>
        <w:t xml:space="preserve"> </w:t>
      </w:r>
      <w:r w:rsidRPr="00B004EE">
        <w:rPr>
          <w:rFonts w:ascii="Tahoma" w:hAnsi="Tahoma" w:cs="Tahoma"/>
          <w:sz w:val="20"/>
          <w:szCs w:val="20"/>
        </w:rPr>
        <w:t>déroutement</w:t>
      </w:r>
      <w:r w:rsidR="00DB1635" w:rsidRPr="00B004EE">
        <w:rPr>
          <w:rFonts w:ascii="Tahoma" w:hAnsi="Tahoma" w:cs="Tahoma"/>
          <w:spacing w:val="-24"/>
          <w:sz w:val="20"/>
          <w:szCs w:val="20"/>
        </w:rPr>
        <w:t xml:space="preserve"> </w:t>
      </w:r>
      <w:r w:rsidRPr="00B004EE">
        <w:rPr>
          <w:rFonts w:ascii="Tahoma" w:hAnsi="Tahoma" w:cs="Tahoma"/>
          <w:sz w:val="20"/>
          <w:szCs w:val="20"/>
        </w:rPr>
        <w:t>prévue</w:t>
      </w:r>
      <w:r w:rsidR="00DB1635" w:rsidRPr="00B004EE">
        <w:rPr>
          <w:rFonts w:ascii="Tahoma" w:hAnsi="Tahoma" w:cs="Tahoma"/>
          <w:spacing w:val="-24"/>
          <w:sz w:val="20"/>
          <w:szCs w:val="20"/>
        </w:rPr>
        <w:t xml:space="preserve"> </w:t>
      </w:r>
      <w:r w:rsidRPr="00B004EE">
        <w:rPr>
          <w:rFonts w:ascii="Tahoma" w:hAnsi="Tahoma" w:cs="Tahoma"/>
          <w:sz w:val="20"/>
          <w:szCs w:val="20"/>
        </w:rPr>
        <w:t>au</w:t>
      </w:r>
      <w:r w:rsidR="00DB1635" w:rsidRPr="00B004EE">
        <w:rPr>
          <w:rFonts w:ascii="Tahoma" w:hAnsi="Tahoma" w:cs="Tahoma"/>
          <w:spacing w:val="-24"/>
          <w:sz w:val="20"/>
          <w:szCs w:val="20"/>
        </w:rPr>
        <w:t xml:space="preserve"> </w:t>
      </w:r>
      <w:r w:rsidRPr="00B004EE">
        <w:rPr>
          <w:rFonts w:ascii="Tahoma" w:hAnsi="Tahoma" w:cs="Tahoma"/>
          <w:sz w:val="20"/>
          <w:szCs w:val="20"/>
        </w:rPr>
        <w:t>paragraphe</w:t>
      </w:r>
      <w:r w:rsidR="00DB1635" w:rsidRPr="00B004EE">
        <w:rPr>
          <w:rFonts w:ascii="Tahoma" w:hAnsi="Tahoma" w:cs="Tahoma"/>
          <w:spacing w:val="-24"/>
          <w:sz w:val="20"/>
          <w:szCs w:val="20"/>
        </w:rPr>
        <w:t xml:space="preserve"> </w:t>
      </w:r>
      <w:r w:rsidRPr="00B004EE">
        <w:rPr>
          <w:rFonts w:ascii="Tahoma" w:hAnsi="Tahoma" w:cs="Tahoma"/>
          <w:sz w:val="20"/>
          <w:szCs w:val="20"/>
        </w:rPr>
        <w:t>ci-dessus</w:t>
      </w:r>
      <w:r w:rsidR="00DB1635" w:rsidRPr="00B004EE">
        <w:rPr>
          <w:rFonts w:ascii="Tahoma" w:hAnsi="Tahoma" w:cs="Tahoma"/>
          <w:spacing w:val="-25"/>
          <w:sz w:val="20"/>
          <w:szCs w:val="20"/>
        </w:rPr>
        <w:t xml:space="preserve"> </w:t>
      </w:r>
      <w:r w:rsidRPr="00B004EE">
        <w:rPr>
          <w:rFonts w:ascii="Tahoma" w:hAnsi="Tahoma" w:cs="Tahoma"/>
          <w:sz w:val="20"/>
          <w:szCs w:val="20"/>
        </w:rPr>
        <w:t>est</w:t>
      </w:r>
      <w:r w:rsidR="00DB1635" w:rsidRPr="00B004EE">
        <w:rPr>
          <w:rFonts w:ascii="Tahoma" w:hAnsi="Tahoma" w:cs="Tahoma"/>
          <w:w w:val="95"/>
          <w:sz w:val="20"/>
          <w:szCs w:val="20"/>
        </w:rPr>
        <w:t xml:space="preserve"> </w:t>
      </w:r>
      <w:r w:rsidRPr="00B004EE">
        <w:rPr>
          <w:rFonts w:ascii="Tahoma" w:hAnsi="Tahoma" w:cs="Tahoma"/>
          <w:sz w:val="20"/>
          <w:szCs w:val="20"/>
        </w:rPr>
        <w:t>appliquée</w:t>
      </w:r>
      <w:r w:rsidR="00DB1635" w:rsidRPr="00B004EE">
        <w:rPr>
          <w:rFonts w:ascii="Tahoma" w:hAnsi="Tahoma" w:cs="Tahoma"/>
          <w:spacing w:val="-8"/>
          <w:sz w:val="20"/>
          <w:szCs w:val="20"/>
        </w:rPr>
        <w:t xml:space="preserve"> </w:t>
      </w:r>
      <w:r w:rsidRPr="00B004EE">
        <w:rPr>
          <w:rFonts w:ascii="Tahoma" w:hAnsi="Tahoma" w:cs="Tahoma"/>
          <w:sz w:val="20"/>
          <w:szCs w:val="20"/>
        </w:rPr>
        <w:t>aux</w:t>
      </w:r>
      <w:r w:rsidR="00DB1635" w:rsidRPr="00B004EE">
        <w:rPr>
          <w:rFonts w:ascii="Tahoma" w:hAnsi="Tahoma" w:cs="Tahoma"/>
          <w:spacing w:val="-8"/>
          <w:sz w:val="20"/>
          <w:szCs w:val="20"/>
        </w:rPr>
        <w:t xml:space="preserve"> </w:t>
      </w:r>
      <w:r w:rsidRPr="00B004EE">
        <w:rPr>
          <w:rFonts w:ascii="Tahoma" w:hAnsi="Tahoma" w:cs="Tahoma"/>
          <w:sz w:val="20"/>
          <w:szCs w:val="20"/>
        </w:rPr>
        <w:t>navires</w:t>
      </w:r>
      <w:r w:rsidR="00DB1635" w:rsidRPr="00B004EE">
        <w:rPr>
          <w:rFonts w:ascii="Tahoma" w:hAnsi="Tahoma" w:cs="Tahoma"/>
          <w:spacing w:val="-8"/>
          <w:sz w:val="20"/>
          <w:szCs w:val="20"/>
        </w:rPr>
        <w:t xml:space="preserve"> </w:t>
      </w:r>
      <w:r w:rsidRPr="00B004EE">
        <w:rPr>
          <w:rFonts w:ascii="Tahoma" w:hAnsi="Tahoma" w:cs="Tahoma"/>
          <w:sz w:val="20"/>
          <w:szCs w:val="20"/>
        </w:rPr>
        <w:t>ayant</w:t>
      </w:r>
      <w:r w:rsidR="00DB1635" w:rsidRPr="00B004EE">
        <w:rPr>
          <w:rFonts w:ascii="Tahoma" w:hAnsi="Tahoma" w:cs="Tahoma"/>
          <w:spacing w:val="-8"/>
          <w:sz w:val="20"/>
          <w:szCs w:val="20"/>
        </w:rPr>
        <w:t xml:space="preserve"> </w:t>
      </w:r>
      <w:r w:rsidRPr="00B004EE">
        <w:rPr>
          <w:rFonts w:ascii="Tahoma" w:hAnsi="Tahoma" w:cs="Tahoma"/>
          <w:sz w:val="20"/>
          <w:szCs w:val="20"/>
        </w:rPr>
        <w:t>fait</w:t>
      </w:r>
      <w:r w:rsidR="00DB1635" w:rsidRPr="00B004EE">
        <w:rPr>
          <w:rFonts w:ascii="Tahoma" w:hAnsi="Tahoma" w:cs="Tahoma"/>
          <w:spacing w:val="-8"/>
          <w:sz w:val="20"/>
          <w:szCs w:val="20"/>
        </w:rPr>
        <w:t xml:space="preserve"> </w:t>
      </w:r>
      <w:r w:rsidRPr="00B004EE">
        <w:rPr>
          <w:rFonts w:ascii="Tahoma" w:hAnsi="Tahoma" w:cs="Tahoma"/>
          <w:sz w:val="20"/>
          <w:szCs w:val="20"/>
        </w:rPr>
        <w:t>l'objet</w:t>
      </w:r>
      <w:r w:rsidR="00DB1635" w:rsidRPr="00B004EE">
        <w:rPr>
          <w:rFonts w:ascii="Tahoma" w:hAnsi="Tahoma" w:cs="Tahoma"/>
          <w:spacing w:val="-8"/>
          <w:sz w:val="20"/>
          <w:szCs w:val="20"/>
        </w:rPr>
        <w:t xml:space="preserve"> </w:t>
      </w:r>
      <w:r w:rsidRPr="00B004EE">
        <w:rPr>
          <w:rFonts w:ascii="Tahoma" w:hAnsi="Tahoma" w:cs="Tahoma"/>
          <w:sz w:val="20"/>
          <w:szCs w:val="20"/>
        </w:rPr>
        <w:t>d'un</w:t>
      </w:r>
      <w:r w:rsidR="00DB1635" w:rsidRPr="00B004EE">
        <w:rPr>
          <w:rFonts w:ascii="Tahoma" w:hAnsi="Tahoma" w:cs="Tahoma"/>
          <w:spacing w:val="-8"/>
          <w:sz w:val="20"/>
          <w:szCs w:val="20"/>
        </w:rPr>
        <w:t xml:space="preserve"> </w:t>
      </w:r>
      <w:r w:rsidRPr="00B004EE">
        <w:rPr>
          <w:rFonts w:ascii="Tahoma" w:hAnsi="Tahoma" w:cs="Tahoma"/>
          <w:sz w:val="20"/>
          <w:szCs w:val="20"/>
        </w:rPr>
        <w:t>procès-verbal</w:t>
      </w:r>
      <w:r w:rsidR="00DB1635" w:rsidRPr="00B004EE">
        <w:rPr>
          <w:rFonts w:ascii="Tahoma" w:hAnsi="Tahoma" w:cs="Tahoma"/>
          <w:spacing w:val="-9"/>
          <w:sz w:val="20"/>
          <w:szCs w:val="20"/>
        </w:rPr>
        <w:t xml:space="preserve"> </w:t>
      </w:r>
      <w:r w:rsidRPr="00B004EE">
        <w:rPr>
          <w:rFonts w:ascii="Tahoma" w:hAnsi="Tahoma" w:cs="Tahoma"/>
          <w:sz w:val="20"/>
          <w:szCs w:val="20"/>
        </w:rPr>
        <w:t>pour</w:t>
      </w:r>
      <w:r w:rsidR="00DB1635" w:rsidRPr="00B004EE">
        <w:rPr>
          <w:rFonts w:ascii="Tahoma" w:hAnsi="Tahoma" w:cs="Tahoma"/>
          <w:spacing w:val="-9"/>
          <w:sz w:val="20"/>
          <w:szCs w:val="20"/>
        </w:rPr>
        <w:t xml:space="preserve"> </w:t>
      </w:r>
      <w:r w:rsidRPr="00B004EE">
        <w:rPr>
          <w:rFonts w:ascii="Tahoma" w:eastAsia="American Typewriter" w:hAnsi="Tahoma" w:cs="Tahoma"/>
          <w:sz w:val="20"/>
          <w:szCs w:val="20"/>
        </w:rPr>
        <w:t>l’une</w:t>
      </w:r>
      <w:r w:rsidR="00DB1635" w:rsidRPr="00B004EE">
        <w:rPr>
          <w:rFonts w:ascii="Tahoma" w:eastAsia="American Typewriter" w:hAnsi="Tahoma" w:cs="Tahoma"/>
          <w:spacing w:val="-10"/>
          <w:sz w:val="20"/>
          <w:szCs w:val="20"/>
        </w:rPr>
        <w:t xml:space="preserve"> </w:t>
      </w:r>
      <w:r w:rsidRPr="00B004EE">
        <w:rPr>
          <w:rFonts w:ascii="Tahoma" w:hAnsi="Tahoma" w:cs="Tahoma"/>
          <w:sz w:val="20"/>
          <w:szCs w:val="20"/>
        </w:rPr>
        <w:t>ou</w:t>
      </w:r>
      <w:r w:rsidR="00DB1635" w:rsidRPr="00B004EE">
        <w:rPr>
          <w:rFonts w:ascii="Tahoma" w:hAnsi="Tahoma" w:cs="Tahoma"/>
          <w:spacing w:val="-10"/>
          <w:sz w:val="20"/>
          <w:szCs w:val="20"/>
        </w:rPr>
        <w:t xml:space="preserve"> </w:t>
      </w:r>
      <w:r w:rsidRPr="00B004EE">
        <w:rPr>
          <w:rFonts w:ascii="Tahoma" w:hAnsi="Tahoma" w:cs="Tahoma"/>
          <w:sz w:val="20"/>
          <w:szCs w:val="20"/>
        </w:rPr>
        <w:t>plusieurs</w:t>
      </w:r>
      <w:r w:rsidR="00DB1635" w:rsidRPr="00B004EE">
        <w:rPr>
          <w:rFonts w:ascii="Tahoma" w:hAnsi="Tahoma" w:cs="Tahoma"/>
          <w:w w:val="94"/>
          <w:sz w:val="20"/>
          <w:szCs w:val="20"/>
        </w:rPr>
        <w:t xml:space="preserve"> </w:t>
      </w:r>
      <w:r w:rsidRPr="00B004EE">
        <w:rPr>
          <w:rFonts w:ascii="Tahoma" w:hAnsi="Tahoma" w:cs="Tahoma"/>
          <w:sz w:val="20"/>
          <w:szCs w:val="20"/>
        </w:rPr>
        <w:t>infractions</w:t>
      </w:r>
      <w:r w:rsidR="00DB1635" w:rsidRPr="00B004EE">
        <w:rPr>
          <w:rFonts w:ascii="Tahoma" w:hAnsi="Tahoma" w:cs="Tahoma"/>
          <w:spacing w:val="-33"/>
          <w:sz w:val="20"/>
          <w:szCs w:val="20"/>
        </w:rPr>
        <w:t xml:space="preserve"> </w:t>
      </w:r>
      <w:r w:rsidRPr="00B004EE">
        <w:rPr>
          <w:rFonts w:ascii="Tahoma" w:hAnsi="Tahoma" w:cs="Tahoma"/>
          <w:sz w:val="20"/>
          <w:szCs w:val="20"/>
        </w:rPr>
        <w:t>de</w:t>
      </w:r>
      <w:r w:rsidR="00DB1635" w:rsidRPr="00B004EE">
        <w:rPr>
          <w:rFonts w:ascii="Tahoma" w:hAnsi="Tahoma" w:cs="Tahoma"/>
          <w:spacing w:val="-33"/>
          <w:sz w:val="20"/>
          <w:szCs w:val="20"/>
        </w:rPr>
        <w:t xml:space="preserve"> </w:t>
      </w:r>
      <w:r w:rsidRPr="00B004EE">
        <w:rPr>
          <w:rFonts w:ascii="Tahoma" w:hAnsi="Tahoma" w:cs="Tahoma"/>
          <w:sz w:val="20"/>
          <w:szCs w:val="20"/>
        </w:rPr>
        <w:t>pêche</w:t>
      </w:r>
      <w:r w:rsidR="00DB1635" w:rsidRPr="00B004EE">
        <w:rPr>
          <w:rFonts w:ascii="Tahoma" w:hAnsi="Tahoma" w:cs="Tahoma"/>
          <w:spacing w:val="-33"/>
          <w:sz w:val="20"/>
          <w:szCs w:val="20"/>
        </w:rPr>
        <w:t xml:space="preserve"> </w:t>
      </w:r>
      <w:r w:rsidRPr="00B004EE">
        <w:rPr>
          <w:rFonts w:ascii="Tahoma" w:hAnsi="Tahoma" w:cs="Tahoma"/>
          <w:sz w:val="20"/>
          <w:szCs w:val="20"/>
        </w:rPr>
        <w:t>très</w:t>
      </w:r>
      <w:r w:rsidR="00DB1635" w:rsidRPr="00B004EE">
        <w:rPr>
          <w:rFonts w:ascii="Tahoma" w:hAnsi="Tahoma" w:cs="Tahoma"/>
          <w:spacing w:val="-33"/>
          <w:sz w:val="20"/>
          <w:szCs w:val="20"/>
        </w:rPr>
        <w:t xml:space="preserve"> </w:t>
      </w:r>
      <w:r w:rsidRPr="00B004EE">
        <w:rPr>
          <w:rFonts w:ascii="Tahoma" w:hAnsi="Tahoma" w:cs="Tahoma"/>
          <w:sz w:val="20"/>
          <w:szCs w:val="20"/>
        </w:rPr>
        <w:t>graves</w:t>
      </w:r>
      <w:r w:rsidR="00DB1635" w:rsidRPr="00B004EE">
        <w:rPr>
          <w:rFonts w:ascii="Tahoma" w:hAnsi="Tahoma" w:cs="Tahoma"/>
          <w:spacing w:val="-33"/>
          <w:sz w:val="20"/>
          <w:szCs w:val="20"/>
        </w:rPr>
        <w:t xml:space="preserve"> </w:t>
      </w:r>
      <w:r w:rsidRPr="00B004EE">
        <w:rPr>
          <w:rFonts w:ascii="Tahoma" w:hAnsi="Tahoma" w:cs="Tahoma"/>
          <w:sz w:val="20"/>
          <w:szCs w:val="20"/>
        </w:rPr>
        <w:t>telles</w:t>
      </w:r>
      <w:r w:rsidR="00DB1635" w:rsidRPr="00B004EE">
        <w:rPr>
          <w:rFonts w:ascii="Tahoma" w:hAnsi="Tahoma" w:cs="Tahoma"/>
          <w:spacing w:val="-33"/>
          <w:sz w:val="20"/>
          <w:szCs w:val="20"/>
        </w:rPr>
        <w:t xml:space="preserve"> </w:t>
      </w:r>
      <w:r w:rsidRPr="00B004EE">
        <w:rPr>
          <w:rFonts w:ascii="Tahoma" w:hAnsi="Tahoma" w:cs="Tahoma"/>
          <w:sz w:val="20"/>
          <w:szCs w:val="20"/>
        </w:rPr>
        <w:t>que</w:t>
      </w:r>
      <w:r w:rsidR="00DB1635" w:rsidRPr="00B004EE">
        <w:rPr>
          <w:rFonts w:ascii="Tahoma" w:hAnsi="Tahoma" w:cs="Tahoma"/>
          <w:spacing w:val="-33"/>
          <w:sz w:val="20"/>
          <w:szCs w:val="20"/>
        </w:rPr>
        <w:t xml:space="preserve"> </w:t>
      </w:r>
      <w:r w:rsidRPr="00B004EE">
        <w:rPr>
          <w:rFonts w:ascii="Tahoma" w:hAnsi="Tahoma" w:cs="Tahoma"/>
          <w:sz w:val="20"/>
          <w:szCs w:val="20"/>
        </w:rPr>
        <w:t>prévues</w:t>
      </w:r>
      <w:r w:rsidR="00DB1635" w:rsidRPr="00B004EE">
        <w:rPr>
          <w:rFonts w:ascii="Tahoma" w:hAnsi="Tahoma" w:cs="Tahoma"/>
          <w:spacing w:val="-33"/>
          <w:sz w:val="20"/>
          <w:szCs w:val="20"/>
        </w:rPr>
        <w:t xml:space="preserve"> </w:t>
      </w:r>
      <w:r w:rsidRPr="00B004EE">
        <w:rPr>
          <w:rFonts w:ascii="Tahoma" w:hAnsi="Tahoma" w:cs="Tahoma"/>
          <w:sz w:val="20"/>
          <w:szCs w:val="20"/>
        </w:rPr>
        <w:t>à</w:t>
      </w:r>
      <w:r w:rsidR="00DB1635" w:rsidRPr="00B004EE">
        <w:rPr>
          <w:rFonts w:ascii="Tahoma" w:hAnsi="Tahoma" w:cs="Tahoma"/>
          <w:spacing w:val="-32"/>
          <w:sz w:val="20"/>
          <w:szCs w:val="20"/>
        </w:rPr>
        <w:t xml:space="preserve"> </w:t>
      </w:r>
      <w:r w:rsidRPr="00B004EE">
        <w:rPr>
          <w:rFonts w:ascii="Tahoma" w:hAnsi="Tahoma" w:cs="Tahoma"/>
          <w:sz w:val="20"/>
          <w:szCs w:val="20"/>
        </w:rPr>
        <w:t>l'article</w:t>
      </w:r>
      <w:r w:rsidR="00DB1635" w:rsidRPr="00B004EE">
        <w:rPr>
          <w:rFonts w:ascii="Tahoma" w:hAnsi="Tahoma" w:cs="Tahoma"/>
          <w:spacing w:val="-30"/>
          <w:sz w:val="20"/>
          <w:szCs w:val="20"/>
        </w:rPr>
        <w:t xml:space="preserve"> </w:t>
      </w:r>
      <w:r w:rsidRPr="00B004EE">
        <w:rPr>
          <w:rFonts w:ascii="Tahoma" w:hAnsi="Tahoma" w:cs="Tahoma"/>
          <w:sz w:val="20"/>
          <w:szCs w:val="20"/>
        </w:rPr>
        <w:t>84</w:t>
      </w:r>
      <w:r w:rsidR="00DB1635" w:rsidRPr="00B004EE">
        <w:rPr>
          <w:rFonts w:ascii="Tahoma" w:hAnsi="Tahoma" w:cs="Tahoma"/>
          <w:spacing w:val="-32"/>
          <w:sz w:val="20"/>
          <w:szCs w:val="20"/>
        </w:rPr>
        <w:t xml:space="preserve"> </w:t>
      </w:r>
      <w:r w:rsidRPr="00B004EE">
        <w:rPr>
          <w:rFonts w:ascii="Tahoma" w:hAnsi="Tahoma" w:cs="Tahoma"/>
          <w:sz w:val="20"/>
          <w:szCs w:val="20"/>
        </w:rPr>
        <w:t>ci-dessous.</w:t>
      </w:r>
    </w:p>
    <w:p w14:paraId="73B859C1" w14:textId="77777777" w:rsidR="00337E3A" w:rsidRPr="00B004EE" w:rsidRDefault="00337E3A" w:rsidP="00B004EE">
      <w:pPr>
        <w:pStyle w:val="Corpsdetexte"/>
        <w:ind w:right="161"/>
        <w:rPr>
          <w:rFonts w:ascii="Tahoma" w:hAnsi="Tahoma" w:cs="Tahoma"/>
          <w:sz w:val="20"/>
          <w:szCs w:val="20"/>
        </w:rPr>
      </w:pPr>
    </w:p>
    <w:p w14:paraId="11330EC5" w14:textId="587B363A" w:rsidR="001E7C3C" w:rsidRPr="00B004EE" w:rsidRDefault="001E7C3C" w:rsidP="00B004EE">
      <w:pPr>
        <w:pStyle w:val="Corpsdetexte"/>
        <w:ind w:right="161"/>
        <w:rPr>
          <w:rFonts w:ascii="Tahoma" w:hAnsi="Tahoma" w:cs="Tahoma"/>
          <w:sz w:val="20"/>
          <w:szCs w:val="20"/>
        </w:rPr>
      </w:pPr>
      <w:r w:rsidRPr="00B004EE">
        <w:rPr>
          <w:rFonts w:ascii="Tahoma" w:hAnsi="Tahoma" w:cs="Tahoma"/>
          <w:sz w:val="20"/>
          <w:szCs w:val="20"/>
        </w:rPr>
        <w:t>L'administration</w:t>
      </w:r>
      <w:r w:rsidR="00DB1635" w:rsidRPr="00B004EE">
        <w:rPr>
          <w:rFonts w:ascii="Tahoma" w:hAnsi="Tahoma" w:cs="Tahoma"/>
          <w:spacing w:val="-12"/>
          <w:sz w:val="20"/>
          <w:szCs w:val="20"/>
        </w:rPr>
        <w:t xml:space="preserve"> </w:t>
      </w:r>
      <w:r w:rsidRPr="00B004EE">
        <w:rPr>
          <w:rFonts w:ascii="Tahoma" w:hAnsi="Tahoma" w:cs="Tahoma"/>
          <w:sz w:val="20"/>
          <w:szCs w:val="20"/>
        </w:rPr>
        <w:t>chargée</w:t>
      </w:r>
      <w:r w:rsidR="00DB1635" w:rsidRPr="00B004EE">
        <w:rPr>
          <w:rFonts w:ascii="Tahoma" w:hAnsi="Tahoma" w:cs="Tahoma"/>
          <w:spacing w:val="-12"/>
          <w:sz w:val="20"/>
          <w:szCs w:val="20"/>
        </w:rPr>
        <w:t xml:space="preserve"> </w:t>
      </w:r>
      <w:r w:rsidRPr="00B004EE">
        <w:rPr>
          <w:rFonts w:ascii="Tahoma" w:hAnsi="Tahoma" w:cs="Tahoma"/>
          <w:sz w:val="20"/>
          <w:szCs w:val="20"/>
        </w:rPr>
        <w:t>de</w:t>
      </w:r>
      <w:r w:rsidR="00DB1635" w:rsidRPr="00B004EE">
        <w:rPr>
          <w:rFonts w:ascii="Tahoma" w:hAnsi="Tahoma" w:cs="Tahoma"/>
          <w:spacing w:val="-12"/>
          <w:sz w:val="20"/>
          <w:szCs w:val="20"/>
        </w:rPr>
        <w:t xml:space="preserve"> </w:t>
      </w:r>
      <w:r w:rsidRPr="00B004EE">
        <w:rPr>
          <w:rFonts w:ascii="Tahoma" w:hAnsi="Tahoma" w:cs="Tahoma"/>
          <w:sz w:val="20"/>
          <w:szCs w:val="20"/>
        </w:rPr>
        <w:t>la</w:t>
      </w:r>
      <w:r w:rsidR="00DB1635" w:rsidRPr="00B004EE">
        <w:rPr>
          <w:rFonts w:ascii="Tahoma" w:hAnsi="Tahoma" w:cs="Tahoma"/>
          <w:spacing w:val="-11"/>
          <w:sz w:val="20"/>
          <w:szCs w:val="20"/>
        </w:rPr>
        <w:t xml:space="preserve"> </w:t>
      </w:r>
      <w:r w:rsidRPr="00B004EE">
        <w:rPr>
          <w:rFonts w:ascii="Tahoma" w:hAnsi="Tahoma" w:cs="Tahoma"/>
          <w:sz w:val="20"/>
          <w:szCs w:val="20"/>
        </w:rPr>
        <w:t>surveillance</w:t>
      </w:r>
      <w:r w:rsidR="00DB1635" w:rsidRPr="00B004EE">
        <w:rPr>
          <w:rFonts w:ascii="Tahoma" w:hAnsi="Tahoma" w:cs="Tahoma"/>
          <w:spacing w:val="-12"/>
          <w:sz w:val="20"/>
          <w:szCs w:val="20"/>
        </w:rPr>
        <w:t xml:space="preserve"> </w:t>
      </w:r>
      <w:r w:rsidRPr="00B004EE">
        <w:rPr>
          <w:rFonts w:ascii="Tahoma" w:hAnsi="Tahoma" w:cs="Tahoma"/>
          <w:sz w:val="20"/>
          <w:szCs w:val="20"/>
        </w:rPr>
        <w:t>et</w:t>
      </w:r>
      <w:r w:rsidR="00DB1635" w:rsidRPr="00B004EE">
        <w:rPr>
          <w:rFonts w:ascii="Tahoma" w:hAnsi="Tahoma" w:cs="Tahoma"/>
          <w:spacing w:val="-11"/>
          <w:sz w:val="20"/>
          <w:szCs w:val="20"/>
        </w:rPr>
        <w:t xml:space="preserve"> </w:t>
      </w:r>
      <w:r w:rsidRPr="00B004EE">
        <w:rPr>
          <w:rFonts w:ascii="Tahoma" w:hAnsi="Tahoma" w:cs="Tahoma"/>
          <w:sz w:val="20"/>
          <w:szCs w:val="20"/>
        </w:rPr>
        <w:t>du</w:t>
      </w:r>
      <w:r w:rsidR="00DB1635" w:rsidRPr="00B004EE">
        <w:rPr>
          <w:rFonts w:ascii="Tahoma" w:hAnsi="Tahoma" w:cs="Tahoma"/>
          <w:spacing w:val="-13"/>
          <w:sz w:val="20"/>
          <w:szCs w:val="20"/>
        </w:rPr>
        <w:t xml:space="preserve"> </w:t>
      </w:r>
      <w:r w:rsidRPr="00B004EE">
        <w:rPr>
          <w:rFonts w:ascii="Tahoma" w:hAnsi="Tahoma" w:cs="Tahoma"/>
          <w:sz w:val="20"/>
          <w:szCs w:val="20"/>
        </w:rPr>
        <w:t>contrôle</w:t>
      </w:r>
      <w:r w:rsidR="00DB1635" w:rsidRPr="00B004EE">
        <w:rPr>
          <w:rFonts w:ascii="Tahoma" w:hAnsi="Tahoma" w:cs="Tahoma"/>
          <w:spacing w:val="-9"/>
          <w:sz w:val="20"/>
          <w:szCs w:val="20"/>
        </w:rPr>
        <w:t xml:space="preserve"> </w:t>
      </w:r>
      <w:r w:rsidRPr="00B004EE">
        <w:rPr>
          <w:rFonts w:ascii="Tahoma" w:hAnsi="Tahoma" w:cs="Tahoma"/>
          <w:sz w:val="20"/>
          <w:szCs w:val="20"/>
        </w:rPr>
        <w:t>des</w:t>
      </w:r>
      <w:r w:rsidR="00DB1635" w:rsidRPr="00B004EE">
        <w:rPr>
          <w:rFonts w:ascii="Tahoma" w:hAnsi="Tahoma" w:cs="Tahoma"/>
          <w:spacing w:val="-14"/>
          <w:sz w:val="20"/>
          <w:szCs w:val="20"/>
        </w:rPr>
        <w:t xml:space="preserve"> </w:t>
      </w:r>
      <w:r w:rsidRPr="00B004EE">
        <w:rPr>
          <w:rFonts w:ascii="Tahoma" w:hAnsi="Tahoma" w:cs="Tahoma"/>
          <w:sz w:val="20"/>
          <w:szCs w:val="20"/>
        </w:rPr>
        <w:t>pêches</w:t>
      </w:r>
      <w:r w:rsidR="00DB1635" w:rsidRPr="00B004EE">
        <w:rPr>
          <w:rFonts w:ascii="Tahoma" w:hAnsi="Tahoma" w:cs="Tahoma"/>
          <w:spacing w:val="-14"/>
          <w:sz w:val="20"/>
          <w:szCs w:val="20"/>
        </w:rPr>
        <w:t xml:space="preserve"> </w:t>
      </w:r>
      <w:r w:rsidRPr="00B004EE">
        <w:rPr>
          <w:rFonts w:ascii="Tahoma" w:hAnsi="Tahoma" w:cs="Tahoma"/>
          <w:sz w:val="20"/>
          <w:szCs w:val="20"/>
        </w:rPr>
        <w:t>a</w:t>
      </w:r>
      <w:r w:rsidR="00DB1635" w:rsidRPr="00B004EE">
        <w:rPr>
          <w:rFonts w:ascii="Tahoma" w:hAnsi="Tahoma" w:cs="Tahoma"/>
          <w:spacing w:val="-13"/>
          <w:sz w:val="20"/>
          <w:szCs w:val="20"/>
        </w:rPr>
        <w:t xml:space="preserve"> </w:t>
      </w:r>
      <w:r w:rsidRPr="00B004EE">
        <w:rPr>
          <w:rFonts w:ascii="Tahoma" w:hAnsi="Tahoma" w:cs="Tahoma"/>
          <w:sz w:val="20"/>
          <w:szCs w:val="20"/>
        </w:rPr>
        <w:t>la</w:t>
      </w:r>
      <w:r w:rsidR="00DB1635" w:rsidRPr="00B004EE">
        <w:rPr>
          <w:rFonts w:ascii="Tahoma" w:hAnsi="Tahoma" w:cs="Tahoma"/>
          <w:spacing w:val="-13"/>
          <w:sz w:val="20"/>
          <w:szCs w:val="20"/>
        </w:rPr>
        <w:t xml:space="preserve"> </w:t>
      </w:r>
      <w:r w:rsidRPr="00B004EE">
        <w:rPr>
          <w:rFonts w:ascii="Tahoma" w:hAnsi="Tahoma" w:cs="Tahoma"/>
          <w:sz w:val="20"/>
          <w:szCs w:val="20"/>
        </w:rPr>
        <w:t>garde</w:t>
      </w:r>
      <w:r w:rsidR="00DB1635" w:rsidRPr="00B004EE">
        <w:rPr>
          <w:rFonts w:ascii="Tahoma" w:hAnsi="Tahoma" w:cs="Tahoma"/>
          <w:spacing w:val="-13"/>
          <w:sz w:val="20"/>
          <w:szCs w:val="20"/>
        </w:rPr>
        <w:t xml:space="preserve"> </w:t>
      </w:r>
      <w:r w:rsidRPr="00B004EE">
        <w:rPr>
          <w:rFonts w:ascii="Tahoma" w:hAnsi="Tahoma" w:cs="Tahoma"/>
          <w:sz w:val="20"/>
          <w:szCs w:val="20"/>
        </w:rPr>
        <w:t>et</w:t>
      </w:r>
      <w:r w:rsidR="00DB1635" w:rsidRPr="00B004EE">
        <w:rPr>
          <w:rFonts w:ascii="Tahoma" w:hAnsi="Tahoma" w:cs="Tahoma"/>
          <w:w w:val="95"/>
          <w:sz w:val="20"/>
          <w:szCs w:val="20"/>
        </w:rPr>
        <w:t xml:space="preserve"> </w:t>
      </w:r>
      <w:r w:rsidRPr="00B004EE">
        <w:rPr>
          <w:rFonts w:ascii="Tahoma" w:hAnsi="Tahoma" w:cs="Tahoma"/>
          <w:sz w:val="20"/>
          <w:szCs w:val="20"/>
        </w:rPr>
        <w:t>la</w:t>
      </w:r>
      <w:r w:rsidR="00DB1635" w:rsidRPr="00B004EE">
        <w:rPr>
          <w:rFonts w:ascii="Tahoma" w:hAnsi="Tahoma" w:cs="Tahoma"/>
          <w:spacing w:val="-9"/>
          <w:sz w:val="20"/>
          <w:szCs w:val="20"/>
        </w:rPr>
        <w:t xml:space="preserve"> </w:t>
      </w:r>
      <w:r w:rsidRPr="00B004EE">
        <w:rPr>
          <w:rFonts w:ascii="Tahoma" w:hAnsi="Tahoma" w:cs="Tahoma"/>
          <w:sz w:val="20"/>
          <w:szCs w:val="20"/>
        </w:rPr>
        <w:t>surveillance</w:t>
      </w:r>
      <w:r w:rsidR="00DB1635" w:rsidRPr="00B004EE">
        <w:rPr>
          <w:rFonts w:ascii="Tahoma" w:hAnsi="Tahoma" w:cs="Tahoma"/>
          <w:spacing w:val="-9"/>
          <w:sz w:val="20"/>
          <w:szCs w:val="20"/>
        </w:rPr>
        <w:t xml:space="preserve"> </w:t>
      </w:r>
      <w:r w:rsidRPr="00B004EE">
        <w:rPr>
          <w:rFonts w:ascii="Tahoma" w:hAnsi="Tahoma" w:cs="Tahoma"/>
          <w:sz w:val="20"/>
          <w:szCs w:val="20"/>
        </w:rPr>
        <w:t>du</w:t>
      </w:r>
      <w:r w:rsidR="00DB1635" w:rsidRPr="00B004EE">
        <w:rPr>
          <w:rFonts w:ascii="Tahoma" w:hAnsi="Tahoma" w:cs="Tahoma"/>
          <w:spacing w:val="-11"/>
          <w:sz w:val="20"/>
          <w:szCs w:val="20"/>
        </w:rPr>
        <w:t xml:space="preserve"> </w:t>
      </w:r>
      <w:r w:rsidRPr="00B004EE">
        <w:rPr>
          <w:rFonts w:ascii="Tahoma" w:hAnsi="Tahoma" w:cs="Tahoma"/>
          <w:sz w:val="20"/>
          <w:szCs w:val="20"/>
        </w:rPr>
        <w:t>navire</w:t>
      </w:r>
      <w:r w:rsidR="00DB1635" w:rsidRPr="00B004EE">
        <w:rPr>
          <w:rFonts w:ascii="Tahoma" w:hAnsi="Tahoma" w:cs="Tahoma"/>
          <w:spacing w:val="-11"/>
          <w:sz w:val="20"/>
          <w:szCs w:val="20"/>
        </w:rPr>
        <w:t xml:space="preserve"> </w:t>
      </w:r>
      <w:r w:rsidRPr="00B004EE">
        <w:rPr>
          <w:rFonts w:ascii="Tahoma" w:hAnsi="Tahoma" w:cs="Tahoma"/>
          <w:sz w:val="20"/>
          <w:szCs w:val="20"/>
        </w:rPr>
        <w:t>pendant</w:t>
      </w:r>
      <w:r w:rsidR="00DB1635" w:rsidRPr="00B004EE">
        <w:rPr>
          <w:rFonts w:ascii="Tahoma" w:hAnsi="Tahoma" w:cs="Tahoma"/>
          <w:spacing w:val="-11"/>
          <w:sz w:val="20"/>
          <w:szCs w:val="20"/>
        </w:rPr>
        <w:t xml:space="preserve"> </w:t>
      </w:r>
      <w:r w:rsidRPr="00B004EE">
        <w:rPr>
          <w:rFonts w:ascii="Tahoma" w:hAnsi="Tahoma" w:cs="Tahoma"/>
          <w:sz w:val="20"/>
          <w:szCs w:val="20"/>
        </w:rPr>
        <w:t>la</w:t>
      </w:r>
      <w:r w:rsidR="00DB1635" w:rsidRPr="00B004EE">
        <w:rPr>
          <w:rFonts w:ascii="Tahoma" w:hAnsi="Tahoma" w:cs="Tahoma"/>
          <w:spacing w:val="-10"/>
          <w:sz w:val="20"/>
          <w:szCs w:val="20"/>
        </w:rPr>
        <w:t xml:space="preserve"> </w:t>
      </w:r>
      <w:r w:rsidRPr="00B004EE">
        <w:rPr>
          <w:rFonts w:ascii="Tahoma" w:hAnsi="Tahoma" w:cs="Tahoma"/>
          <w:sz w:val="20"/>
          <w:szCs w:val="20"/>
        </w:rPr>
        <w:t>période</w:t>
      </w:r>
      <w:r w:rsidR="00DB1635" w:rsidRPr="00B004EE">
        <w:rPr>
          <w:rFonts w:ascii="Tahoma" w:hAnsi="Tahoma" w:cs="Tahoma"/>
          <w:spacing w:val="-11"/>
          <w:sz w:val="20"/>
          <w:szCs w:val="20"/>
        </w:rPr>
        <w:t xml:space="preserve"> </w:t>
      </w:r>
      <w:r w:rsidRPr="00B004EE">
        <w:rPr>
          <w:rFonts w:ascii="Tahoma" w:hAnsi="Tahoma" w:cs="Tahoma"/>
          <w:sz w:val="20"/>
          <w:szCs w:val="20"/>
        </w:rPr>
        <w:t>d'immobilisation.</w:t>
      </w:r>
      <w:r w:rsidR="00DB1635" w:rsidRPr="00B004EE">
        <w:rPr>
          <w:rFonts w:ascii="Tahoma" w:hAnsi="Tahoma" w:cs="Tahoma"/>
          <w:spacing w:val="-10"/>
          <w:sz w:val="20"/>
          <w:szCs w:val="20"/>
        </w:rPr>
        <w:t xml:space="preserve"> </w:t>
      </w:r>
      <w:r w:rsidRPr="00B004EE">
        <w:rPr>
          <w:rFonts w:ascii="Tahoma" w:hAnsi="Tahoma" w:cs="Tahoma"/>
          <w:sz w:val="20"/>
          <w:szCs w:val="20"/>
        </w:rPr>
        <w:t>Les</w:t>
      </w:r>
      <w:r w:rsidR="00DB1635" w:rsidRPr="00B004EE">
        <w:rPr>
          <w:rFonts w:ascii="Tahoma" w:hAnsi="Tahoma" w:cs="Tahoma"/>
          <w:spacing w:val="-11"/>
          <w:sz w:val="20"/>
          <w:szCs w:val="20"/>
        </w:rPr>
        <w:t xml:space="preserve"> </w:t>
      </w:r>
      <w:r w:rsidRPr="00B004EE">
        <w:rPr>
          <w:rFonts w:ascii="Tahoma" w:hAnsi="Tahoma" w:cs="Tahoma"/>
          <w:sz w:val="20"/>
          <w:szCs w:val="20"/>
        </w:rPr>
        <w:t>frais</w:t>
      </w:r>
      <w:r w:rsidR="00DB1635" w:rsidRPr="00B004EE">
        <w:rPr>
          <w:rFonts w:ascii="Tahoma" w:hAnsi="Tahoma" w:cs="Tahoma"/>
          <w:spacing w:val="-11"/>
          <w:sz w:val="20"/>
          <w:szCs w:val="20"/>
        </w:rPr>
        <w:t xml:space="preserve"> </w:t>
      </w:r>
      <w:r w:rsidRPr="00B004EE">
        <w:rPr>
          <w:rFonts w:ascii="Tahoma" w:hAnsi="Tahoma" w:cs="Tahoma"/>
          <w:sz w:val="20"/>
          <w:szCs w:val="20"/>
        </w:rPr>
        <w:t>découlant</w:t>
      </w:r>
      <w:r w:rsidR="00DB1635" w:rsidRPr="00B004EE">
        <w:rPr>
          <w:rFonts w:ascii="Tahoma" w:hAnsi="Tahoma" w:cs="Tahoma"/>
          <w:w w:val="96"/>
          <w:sz w:val="20"/>
          <w:szCs w:val="20"/>
        </w:rPr>
        <w:t xml:space="preserve"> </w:t>
      </w:r>
      <w:r w:rsidRPr="00B004EE">
        <w:rPr>
          <w:rFonts w:ascii="Tahoma" w:hAnsi="Tahoma" w:cs="Tahoma"/>
          <w:sz w:val="20"/>
          <w:szCs w:val="20"/>
        </w:rPr>
        <w:t>de</w:t>
      </w:r>
      <w:r w:rsidR="00DB1635" w:rsidRPr="00B004EE">
        <w:rPr>
          <w:rFonts w:ascii="Tahoma" w:hAnsi="Tahoma" w:cs="Tahoma"/>
          <w:spacing w:val="-26"/>
          <w:sz w:val="20"/>
          <w:szCs w:val="20"/>
        </w:rPr>
        <w:t xml:space="preserve"> </w:t>
      </w:r>
      <w:r w:rsidRPr="00B004EE">
        <w:rPr>
          <w:rFonts w:ascii="Tahoma" w:hAnsi="Tahoma" w:cs="Tahoma"/>
          <w:sz w:val="20"/>
          <w:szCs w:val="20"/>
        </w:rPr>
        <w:t>cette</w:t>
      </w:r>
      <w:r w:rsidR="00DB1635" w:rsidRPr="00B004EE">
        <w:rPr>
          <w:rFonts w:ascii="Tahoma" w:hAnsi="Tahoma" w:cs="Tahoma"/>
          <w:spacing w:val="-26"/>
          <w:sz w:val="20"/>
          <w:szCs w:val="20"/>
        </w:rPr>
        <w:t xml:space="preserve"> </w:t>
      </w:r>
      <w:r w:rsidRPr="00B004EE">
        <w:rPr>
          <w:rFonts w:ascii="Tahoma" w:hAnsi="Tahoma" w:cs="Tahoma"/>
          <w:sz w:val="20"/>
          <w:szCs w:val="20"/>
        </w:rPr>
        <w:t>surveillance</w:t>
      </w:r>
      <w:r w:rsidR="00DB1635" w:rsidRPr="00B004EE">
        <w:rPr>
          <w:rFonts w:ascii="Tahoma" w:hAnsi="Tahoma" w:cs="Tahoma"/>
          <w:spacing w:val="-26"/>
          <w:sz w:val="20"/>
          <w:szCs w:val="20"/>
        </w:rPr>
        <w:t xml:space="preserve"> </w:t>
      </w:r>
      <w:r w:rsidRPr="00B004EE">
        <w:rPr>
          <w:rFonts w:ascii="Tahoma" w:hAnsi="Tahoma" w:cs="Tahoma"/>
          <w:sz w:val="20"/>
          <w:szCs w:val="20"/>
        </w:rPr>
        <w:t>sont</w:t>
      </w:r>
      <w:r w:rsidR="00DB1635" w:rsidRPr="00B004EE">
        <w:rPr>
          <w:rFonts w:ascii="Tahoma" w:hAnsi="Tahoma" w:cs="Tahoma"/>
          <w:spacing w:val="-26"/>
          <w:sz w:val="20"/>
          <w:szCs w:val="20"/>
        </w:rPr>
        <w:t xml:space="preserve"> </w:t>
      </w:r>
      <w:r w:rsidRPr="00B004EE">
        <w:rPr>
          <w:rFonts w:ascii="Tahoma" w:hAnsi="Tahoma" w:cs="Tahoma"/>
          <w:sz w:val="20"/>
          <w:szCs w:val="20"/>
        </w:rPr>
        <w:t>à</w:t>
      </w:r>
      <w:r w:rsidR="00DB1635" w:rsidRPr="00B004EE">
        <w:rPr>
          <w:rFonts w:ascii="Tahoma" w:hAnsi="Tahoma" w:cs="Tahoma"/>
          <w:spacing w:val="-26"/>
          <w:sz w:val="20"/>
          <w:szCs w:val="20"/>
        </w:rPr>
        <w:t xml:space="preserve"> </w:t>
      </w:r>
      <w:r w:rsidRPr="00B004EE">
        <w:rPr>
          <w:rFonts w:ascii="Tahoma" w:hAnsi="Tahoma" w:cs="Tahoma"/>
          <w:sz w:val="20"/>
          <w:szCs w:val="20"/>
        </w:rPr>
        <w:t>la</w:t>
      </w:r>
      <w:r w:rsidR="00DB1635" w:rsidRPr="00B004EE">
        <w:rPr>
          <w:rFonts w:ascii="Tahoma" w:hAnsi="Tahoma" w:cs="Tahoma"/>
          <w:spacing w:val="-26"/>
          <w:sz w:val="20"/>
          <w:szCs w:val="20"/>
        </w:rPr>
        <w:t xml:space="preserve"> </w:t>
      </w:r>
      <w:r w:rsidRPr="00B004EE">
        <w:rPr>
          <w:rFonts w:ascii="Tahoma" w:hAnsi="Tahoma" w:cs="Tahoma"/>
          <w:sz w:val="20"/>
          <w:szCs w:val="20"/>
        </w:rPr>
        <w:t>charge</w:t>
      </w:r>
      <w:r w:rsidR="00DB1635" w:rsidRPr="00B004EE">
        <w:rPr>
          <w:rFonts w:ascii="Tahoma" w:hAnsi="Tahoma" w:cs="Tahoma"/>
          <w:spacing w:val="-26"/>
          <w:sz w:val="20"/>
          <w:szCs w:val="20"/>
        </w:rPr>
        <w:t xml:space="preserve"> </w:t>
      </w:r>
      <w:r w:rsidRPr="00B004EE">
        <w:rPr>
          <w:rFonts w:ascii="Tahoma" w:hAnsi="Tahoma" w:cs="Tahoma"/>
          <w:sz w:val="20"/>
          <w:szCs w:val="20"/>
        </w:rPr>
        <w:t>du</w:t>
      </w:r>
      <w:r w:rsidR="00DB1635" w:rsidRPr="00B004EE">
        <w:rPr>
          <w:rFonts w:ascii="Tahoma" w:hAnsi="Tahoma" w:cs="Tahoma"/>
          <w:spacing w:val="-26"/>
          <w:sz w:val="20"/>
          <w:szCs w:val="20"/>
        </w:rPr>
        <w:t xml:space="preserve"> </w:t>
      </w:r>
      <w:r w:rsidRPr="00B004EE">
        <w:rPr>
          <w:rFonts w:ascii="Tahoma" w:hAnsi="Tahoma" w:cs="Tahoma"/>
          <w:sz w:val="20"/>
          <w:szCs w:val="20"/>
        </w:rPr>
        <w:t>propriétaire</w:t>
      </w:r>
      <w:r w:rsidR="00DB1635" w:rsidRPr="00B004EE">
        <w:rPr>
          <w:rFonts w:ascii="Tahoma" w:hAnsi="Tahoma" w:cs="Tahoma"/>
          <w:spacing w:val="-26"/>
          <w:sz w:val="20"/>
          <w:szCs w:val="20"/>
        </w:rPr>
        <w:t xml:space="preserve"> </w:t>
      </w:r>
      <w:r w:rsidRPr="00B004EE">
        <w:rPr>
          <w:rFonts w:ascii="Tahoma" w:hAnsi="Tahoma" w:cs="Tahoma"/>
          <w:sz w:val="20"/>
          <w:szCs w:val="20"/>
        </w:rPr>
        <w:t>ou</w:t>
      </w:r>
      <w:r w:rsidR="00DB1635" w:rsidRPr="00B004EE">
        <w:rPr>
          <w:rFonts w:ascii="Tahoma" w:hAnsi="Tahoma" w:cs="Tahoma"/>
          <w:spacing w:val="-26"/>
          <w:sz w:val="20"/>
          <w:szCs w:val="20"/>
        </w:rPr>
        <w:t xml:space="preserve"> </w:t>
      </w:r>
      <w:r w:rsidRPr="00B004EE">
        <w:rPr>
          <w:rFonts w:ascii="Tahoma" w:hAnsi="Tahoma" w:cs="Tahoma"/>
          <w:sz w:val="20"/>
          <w:szCs w:val="20"/>
        </w:rPr>
        <w:t>de</w:t>
      </w:r>
      <w:r w:rsidR="00DB1635" w:rsidRPr="00B004EE">
        <w:rPr>
          <w:rFonts w:ascii="Tahoma" w:hAnsi="Tahoma" w:cs="Tahoma"/>
          <w:spacing w:val="-26"/>
          <w:sz w:val="20"/>
          <w:szCs w:val="20"/>
        </w:rPr>
        <w:t xml:space="preserve"> </w:t>
      </w:r>
      <w:r w:rsidRPr="00B004EE">
        <w:rPr>
          <w:rFonts w:ascii="Tahoma" w:hAnsi="Tahoma" w:cs="Tahoma"/>
          <w:sz w:val="20"/>
          <w:szCs w:val="20"/>
        </w:rPr>
        <w:t>l'exploitant</w:t>
      </w:r>
      <w:r w:rsidR="00DB1635" w:rsidRPr="00B004EE">
        <w:rPr>
          <w:rFonts w:ascii="Tahoma" w:hAnsi="Tahoma" w:cs="Tahoma"/>
          <w:spacing w:val="-26"/>
          <w:sz w:val="20"/>
          <w:szCs w:val="20"/>
        </w:rPr>
        <w:t xml:space="preserve"> </w:t>
      </w:r>
      <w:r w:rsidRPr="00B004EE">
        <w:rPr>
          <w:rFonts w:ascii="Tahoma" w:hAnsi="Tahoma" w:cs="Tahoma"/>
          <w:sz w:val="20"/>
          <w:szCs w:val="20"/>
        </w:rPr>
        <w:t>du</w:t>
      </w:r>
      <w:r w:rsidR="00DB1635" w:rsidRPr="00B004EE">
        <w:rPr>
          <w:rFonts w:ascii="Tahoma" w:hAnsi="Tahoma" w:cs="Tahoma"/>
          <w:spacing w:val="-26"/>
          <w:sz w:val="20"/>
          <w:szCs w:val="20"/>
        </w:rPr>
        <w:t xml:space="preserve"> </w:t>
      </w:r>
      <w:r w:rsidRPr="00B004EE">
        <w:rPr>
          <w:rFonts w:ascii="Tahoma" w:hAnsi="Tahoma" w:cs="Tahoma"/>
          <w:sz w:val="20"/>
          <w:szCs w:val="20"/>
        </w:rPr>
        <w:t>navire.</w:t>
      </w:r>
    </w:p>
    <w:p w14:paraId="6ECA5482" w14:textId="77777777" w:rsidR="001E7C3C" w:rsidRPr="00B004EE" w:rsidRDefault="001E7C3C" w:rsidP="00B004EE">
      <w:pPr>
        <w:rPr>
          <w:rFonts w:ascii="Tahoma" w:eastAsia="American Typewriter" w:hAnsi="Tahoma" w:cs="Tahoma"/>
          <w:sz w:val="20"/>
          <w:szCs w:val="20"/>
        </w:rPr>
      </w:pPr>
    </w:p>
    <w:p w14:paraId="6319013A" w14:textId="1C582B8F" w:rsidR="001E7C3C" w:rsidRPr="00B004EE" w:rsidRDefault="001E7C3C" w:rsidP="00B004EE">
      <w:pPr>
        <w:pStyle w:val="Corpsdetexte"/>
        <w:ind w:right="160"/>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78</w:t>
      </w:r>
      <w:r w:rsidR="00DB1635" w:rsidRPr="00B004EE">
        <w:rPr>
          <w:rFonts w:ascii="Tahoma" w:hAnsi="Tahoma" w:cs="Tahoma"/>
          <w:bCs/>
          <w:sz w:val="20"/>
          <w:szCs w:val="20"/>
        </w:rPr>
        <w:t xml:space="preserve"> </w:t>
      </w:r>
      <w:r w:rsidRPr="00B004EE">
        <w:rPr>
          <w:rFonts w:ascii="Tahoma" w:hAnsi="Tahoma" w:cs="Tahoma"/>
          <w:bCs/>
          <w:sz w:val="20"/>
          <w:szCs w:val="20"/>
        </w:rPr>
        <w:t>:</w:t>
      </w:r>
      <w:r w:rsidR="00DB1635" w:rsidRPr="00B004EE">
        <w:rPr>
          <w:rFonts w:ascii="Tahoma" w:eastAsia="American Typewriter" w:hAnsi="Tahoma" w:cs="Tahoma"/>
          <w:b/>
          <w:bCs/>
          <w:spacing w:val="-16"/>
          <w:sz w:val="20"/>
          <w:szCs w:val="20"/>
        </w:rPr>
        <w:t xml:space="preserve"> </w:t>
      </w:r>
      <w:r w:rsidRPr="00B004EE">
        <w:rPr>
          <w:rFonts w:ascii="Tahoma" w:hAnsi="Tahoma" w:cs="Tahoma"/>
          <w:sz w:val="20"/>
          <w:szCs w:val="20"/>
        </w:rPr>
        <w:t>Les</w:t>
      </w:r>
      <w:r w:rsidR="00DB1635" w:rsidRPr="00B004EE">
        <w:rPr>
          <w:rFonts w:ascii="Tahoma" w:hAnsi="Tahoma" w:cs="Tahoma"/>
          <w:spacing w:val="-19"/>
          <w:sz w:val="20"/>
          <w:szCs w:val="20"/>
        </w:rPr>
        <w:t xml:space="preserve"> </w:t>
      </w:r>
      <w:r w:rsidRPr="00B004EE">
        <w:rPr>
          <w:rFonts w:ascii="Tahoma" w:hAnsi="Tahoma" w:cs="Tahoma"/>
          <w:sz w:val="20"/>
          <w:szCs w:val="20"/>
        </w:rPr>
        <w:t>agents</w:t>
      </w:r>
      <w:r w:rsidR="00DB1635" w:rsidRPr="00B004EE">
        <w:rPr>
          <w:rFonts w:ascii="Tahoma" w:hAnsi="Tahoma" w:cs="Tahoma"/>
          <w:spacing w:val="-19"/>
          <w:sz w:val="20"/>
          <w:szCs w:val="20"/>
        </w:rPr>
        <w:t xml:space="preserve"> </w:t>
      </w:r>
      <w:r w:rsidRPr="00B004EE">
        <w:rPr>
          <w:rFonts w:ascii="Tahoma" w:hAnsi="Tahoma" w:cs="Tahoma"/>
          <w:sz w:val="20"/>
          <w:szCs w:val="20"/>
        </w:rPr>
        <w:t>de</w:t>
      </w:r>
      <w:r w:rsidR="00DB1635" w:rsidRPr="00B004EE">
        <w:rPr>
          <w:rFonts w:ascii="Tahoma" w:hAnsi="Tahoma" w:cs="Tahoma"/>
          <w:spacing w:val="-19"/>
          <w:sz w:val="20"/>
          <w:szCs w:val="20"/>
        </w:rPr>
        <w:t xml:space="preserve"> </w:t>
      </w:r>
      <w:r w:rsidRPr="00B004EE">
        <w:rPr>
          <w:rFonts w:ascii="Tahoma" w:hAnsi="Tahoma" w:cs="Tahoma"/>
          <w:sz w:val="20"/>
          <w:szCs w:val="20"/>
        </w:rPr>
        <w:t>contrôle</w:t>
      </w:r>
      <w:r w:rsidR="00DB1635" w:rsidRPr="00B004EE">
        <w:rPr>
          <w:rFonts w:ascii="Tahoma" w:hAnsi="Tahoma" w:cs="Tahoma"/>
          <w:spacing w:val="-19"/>
          <w:sz w:val="20"/>
          <w:szCs w:val="20"/>
        </w:rPr>
        <w:t xml:space="preserve"> </w:t>
      </w:r>
      <w:r w:rsidRPr="00B004EE">
        <w:rPr>
          <w:rFonts w:ascii="Tahoma" w:hAnsi="Tahoma" w:cs="Tahoma"/>
          <w:sz w:val="20"/>
          <w:szCs w:val="20"/>
        </w:rPr>
        <w:t>qui</w:t>
      </w:r>
      <w:r w:rsidR="00DB1635" w:rsidRPr="00B004EE">
        <w:rPr>
          <w:rFonts w:ascii="Tahoma" w:hAnsi="Tahoma" w:cs="Tahoma"/>
          <w:spacing w:val="-19"/>
          <w:sz w:val="20"/>
          <w:szCs w:val="20"/>
        </w:rPr>
        <w:t xml:space="preserve"> </w:t>
      </w:r>
      <w:r w:rsidRPr="00B004EE">
        <w:rPr>
          <w:rFonts w:ascii="Tahoma" w:hAnsi="Tahoma" w:cs="Tahoma"/>
          <w:sz w:val="20"/>
          <w:szCs w:val="20"/>
        </w:rPr>
        <w:t>auront</w:t>
      </w:r>
      <w:r w:rsidR="00DB1635" w:rsidRPr="00B004EE">
        <w:rPr>
          <w:rFonts w:ascii="Tahoma" w:hAnsi="Tahoma" w:cs="Tahoma"/>
          <w:spacing w:val="-19"/>
          <w:sz w:val="20"/>
          <w:szCs w:val="20"/>
        </w:rPr>
        <w:t xml:space="preserve"> </w:t>
      </w:r>
      <w:r w:rsidRPr="00B004EE">
        <w:rPr>
          <w:rFonts w:ascii="Tahoma" w:hAnsi="Tahoma" w:cs="Tahoma"/>
          <w:sz w:val="20"/>
          <w:szCs w:val="20"/>
        </w:rPr>
        <w:t>dressé</w:t>
      </w:r>
      <w:r w:rsidR="00DB1635" w:rsidRPr="00B004EE">
        <w:rPr>
          <w:rFonts w:ascii="Tahoma" w:hAnsi="Tahoma" w:cs="Tahoma"/>
          <w:spacing w:val="-19"/>
          <w:sz w:val="20"/>
          <w:szCs w:val="20"/>
        </w:rPr>
        <w:t xml:space="preserve"> </w:t>
      </w:r>
      <w:r w:rsidRPr="00B004EE">
        <w:rPr>
          <w:rFonts w:ascii="Tahoma" w:hAnsi="Tahoma" w:cs="Tahoma"/>
          <w:sz w:val="20"/>
          <w:szCs w:val="20"/>
        </w:rPr>
        <w:t>un</w:t>
      </w:r>
      <w:r w:rsidR="00DB1635" w:rsidRPr="00B004EE">
        <w:rPr>
          <w:rFonts w:ascii="Tahoma" w:hAnsi="Tahoma" w:cs="Tahoma"/>
          <w:spacing w:val="-19"/>
          <w:sz w:val="20"/>
          <w:szCs w:val="20"/>
        </w:rPr>
        <w:t xml:space="preserve"> </w:t>
      </w:r>
      <w:r w:rsidRPr="00B004EE">
        <w:rPr>
          <w:rFonts w:ascii="Tahoma" w:hAnsi="Tahoma" w:cs="Tahoma"/>
          <w:sz w:val="20"/>
          <w:szCs w:val="20"/>
        </w:rPr>
        <w:t>procès-</w:t>
      </w:r>
      <w:r w:rsidRPr="00B004EE">
        <w:rPr>
          <w:rFonts w:ascii="Tahoma" w:eastAsia="American Typewriter" w:hAnsi="Tahoma" w:cs="Tahoma"/>
          <w:sz w:val="20"/>
          <w:szCs w:val="20"/>
        </w:rPr>
        <w:t>verbal</w:t>
      </w:r>
      <w:r w:rsidR="00DB1635" w:rsidRPr="00B004EE">
        <w:rPr>
          <w:rFonts w:ascii="Tahoma" w:eastAsia="American Typewriter" w:hAnsi="Tahoma" w:cs="Tahoma"/>
          <w:spacing w:val="-20"/>
          <w:sz w:val="20"/>
          <w:szCs w:val="20"/>
        </w:rPr>
        <w:t xml:space="preserve"> </w:t>
      </w:r>
      <w:r w:rsidRPr="00B004EE">
        <w:rPr>
          <w:rFonts w:ascii="Tahoma" w:eastAsia="American Typewriter" w:hAnsi="Tahoma" w:cs="Tahoma"/>
          <w:sz w:val="20"/>
          <w:szCs w:val="20"/>
        </w:rPr>
        <w:t>d’infraction</w:t>
      </w:r>
      <w:r w:rsidR="00DB1635" w:rsidRPr="00B004EE">
        <w:rPr>
          <w:rFonts w:ascii="Tahoma" w:eastAsia="American Typewriter" w:hAnsi="Tahoma" w:cs="Tahoma"/>
          <w:w w:val="93"/>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présente</w:t>
      </w:r>
      <w:r w:rsidR="00DB1635" w:rsidRPr="00B004EE">
        <w:rPr>
          <w:rFonts w:ascii="Tahoma" w:hAnsi="Tahoma" w:cs="Tahoma"/>
          <w:sz w:val="20"/>
          <w:szCs w:val="20"/>
        </w:rPr>
        <w:t xml:space="preserve"> </w:t>
      </w:r>
      <w:r w:rsidRPr="00B004EE">
        <w:rPr>
          <w:rFonts w:ascii="Tahoma" w:hAnsi="Tahoma" w:cs="Tahoma"/>
          <w:sz w:val="20"/>
          <w:szCs w:val="20"/>
        </w:rPr>
        <w:t>Loi</w:t>
      </w:r>
      <w:r w:rsidR="00DB1635" w:rsidRPr="00B004EE">
        <w:rPr>
          <w:rFonts w:ascii="Tahoma" w:hAnsi="Tahoma" w:cs="Tahoma"/>
          <w:sz w:val="20"/>
          <w:szCs w:val="20"/>
        </w:rPr>
        <w:t xml:space="preserve"> </w:t>
      </w:r>
      <w:r w:rsidRPr="00B004EE">
        <w:rPr>
          <w:rFonts w:ascii="Tahoma" w:eastAsia="American Typewriter" w:hAnsi="Tahoma" w:cs="Tahoma"/>
          <w:sz w:val="20"/>
          <w:szCs w:val="20"/>
        </w:rPr>
        <w:t>et</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à</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ses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règlements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d’application</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doivent</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pacing w:val="41"/>
          <w:sz w:val="20"/>
          <w:szCs w:val="20"/>
        </w:rPr>
        <w:t xml:space="preserve"> </w:t>
      </w:r>
      <w:r w:rsidRPr="00B004EE">
        <w:rPr>
          <w:rFonts w:ascii="Tahoma" w:hAnsi="Tahoma" w:cs="Tahoma"/>
          <w:sz w:val="20"/>
          <w:szCs w:val="20"/>
        </w:rPr>
        <w:t>notifier</w:t>
      </w:r>
      <w:r w:rsidR="00DB1635" w:rsidRPr="00B004EE">
        <w:rPr>
          <w:rFonts w:ascii="Tahoma" w:hAnsi="Tahoma" w:cs="Tahoma"/>
          <w:w w:val="95"/>
          <w:sz w:val="20"/>
          <w:szCs w:val="20"/>
        </w:rPr>
        <w:t xml:space="preserve"> </w:t>
      </w:r>
      <w:r w:rsidRPr="00B004EE">
        <w:rPr>
          <w:rFonts w:ascii="Tahoma" w:hAnsi="Tahoma" w:cs="Tahoma"/>
          <w:sz w:val="20"/>
          <w:szCs w:val="20"/>
        </w:rPr>
        <w:t>immédiatement</w:t>
      </w:r>
      <w:r w:rsidR="00DB1635" w:rsidRPr="00B004EE">
        <w:rPr>
          <w:rFonts w:ascii="Tahoma" w:hAnsi="Tahoma" w:cs="Tahoma"/>
          <w:sz w:val="20"/>
          <w:szCs w:val="20"/>
        </w:rPr>
        <w:t xml:space="preserve"> </w:t>
      </w:r>
      <w:r w:rsidRPr="00B004EE">
        <w:rPr>
          <w:rFonts w:ascii="Tahoma" w:eastAsia="American Typewriter" w:hAnsi="Tahoma" w:cs="Tahoma"/>
          <w:sz w:val="20"/>
          <w:szCs w:val="20"/>
        </w:rPr>
        <w:t>au</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ministre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chargé</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pêches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ou</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à</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l’autorité</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désignée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à</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cet</w:t>
      </w:r>
      <w:r w:rsidR="00DB1635" w:rsidRPr="00B004EE">
        <w:rPr>
          <w:rFonts w:ascii="Tahoma" w:eastAsia="American Typewriter" w:hAnsi="Tahoma" w:cs="Tahoma"/>
          <w:spacing w:val="-23"/>
          <w:sz w:val="20"/>
          <w:szCs w:val="20"/>
        </w:rPr>
        <w:t xml:space="preserve"> </w:t>
      </w:r>
      <w:r w:rsidRPr="00B004EE">
        <w:rPr>
          <w:rFonts w:ascii="Tahoma" w:eastAsia="American Typewriter" w:hAnsi="Tahoma" w:cs="Tahoma"/>
          <w:sz w:val="20"/>
          <w:szCs w:val="20"/>
        </w:rPr>
        <w:t>effet</w:t>
      </w:r>
      <w:r w:rsidR="00DB1635" w:rsidRPr="00B004EE">
        <w:rPr>
          <w:rFonts w:ascii="Tahoma" w:eastAsia="American Typewriter" w:hAnsi="Tahoma" w:cs="Tahoma"/>
          <w:w w:val="95"/>
          <w:sz w:val="20"/>
          <w:szCs w:val="20"/>
        </w:rPr>
        <w:t xml:space="preserve"> </w:t>
      </w:r>
      <w:r w:rsidRPr="00B004EE">
        <w:rPr>
          <w:rFonts w:ascii="Tahoma" w:hAnsi="Tahoma" w:cs="Tahoma"/>
          <w:sz w:val="20"/>
          <w:szCs w:val="20"/>
        </w:rPr>
        <w:t>qui</w:t>
      </w:r>
      <w:r w:rsidR="00DB1635" w:rsidRPr="00B004EE">
        <w:rPr>
          <w:rFonts w:ascii="Tahoma" w:hAnsi="Tahoma" w:cs="Tahoma"/>
          <w:spacing w:val="-30"/>
          <w:sz w:val="20"/>
          <w:szCs w:val="20"/>
        </w:rPr>
        <w:t xml:space="preserve"> </w:t>
      </w:r>
      <w:r w:rsidRPr="00B004EE">
        <w:rPr>
          <w:rFonts w:ascii="Tahoma" w:hAnsi="Tahoma" w:cs="Tahoma"/>
          <w:sz w:val="20"/>
          <w:szCs w:val="20"/>
        </w:rPr>
        <w:t>prendra</w:t>
      </w:r>
      <w:r w:rsidR="00DB1635" w:rsidRPr="00B004EE">
        <w:rPr>
          <w:rFonts w:ascii="Tahoma" w:hAnsi="Tahoma" w:cs="Tahoma"/>
          <w:spacing w:val="-30"/>
          <w:sz w:val="20"/>
          <w:szCs w:val="20"/>
        </w:rPr>
        <w:t xml:space="preserve"> </w:t>
      </w:r>
      <w:r w:rsidRPr="00B004EE">
        <w:rPr>
          <w:rFonts w:ascii="Tahoma" w:hAnsi="Tahoma" w:cs="Tahoma"/>
          <w:sz w:val="20"/>
          <w:szCs w:val="20"/>
        </w:rPr>
        <w:t>les</w:t>
      </w:r>
      <w:r w:rsidR="00DB1635" w:rsidRPr="00B004EE">
        <w:rPr>
          <w:rFonts w:ascii="Tahoma" w:hAnsi="Tahoma" w:cs="Tahoma"/>
          <w:spacing w:val="-31"/>
          <w:sz w:val="20"/>
          <w:szCs w:val="20"/>
        </w:rPr>
        <w:t xml:space="preserve"> </w:t>
      </w:r>
      <w:r w:rsidRPr="00B004EE">
        <w:rPr>
          <w:rFonts w:ascii="Tahoma" w:hAnsi="Tahoma" w:cs="Tahoma"/>
          <w:sz w:val="20"/>
          <w:szCs w:val="20"/>
        </w:rPr>
        <w:t>mesures,</w:t>
      </w:r>
      <w:r w:rsidR="00DB1635" w:rsidRPr="00B004EE">
        <w:rPr>
          <w:rFonts w:ascii="Tahoma" w:hAnsi="Tahoma" w:cs="Tahoma"/>
          <w:spacing w:val="-31"/>
          <w:sz w:val="20"/>
          <w:szCs w:val="20"/>
        </w:rPr>
        <w:t xml:space="preserve"> </w:t>
      </w:r>
      <w:r w:rsidRPr="00B004EE">
        <w:rPr>
          <w:rFonts w:ascii="Tahoma" w:hAnsi="Tahoma" w:cs="Tahoma"/>
          <w:sz w:val="20"/>
          <w:szCs w:val="20"/>
        </w:rPr>
        <w:t>notamment</w:t>
      </w:r>
      <w:r w:rsidR="00DB1635" w:rsidRPr="00B004EE">
        <w:rPr>
          <w:rFonts w:ascii="Tahoma" w:hAnsi="Tahoma" w:cs="Tahoma"/>
          <w:spacing w:val="-30"/>
          <w:sz w:val="20"/>
          <w:szCs w:val="20"/>
        </w:rPr>
        <w:t xml:space="preserve"> </w:t>
      </w:r>
      <w:r w:rsidRPr="00B004EE">
        <w:rPr>
          <w:rFonts w:ascii="Tahoma" w:hAnsi="Tahoma" w:cs="Tahoma"/>
          <w:sz w:val="20"/>
          <w:szCs w:val="20"/>
        </w:rPr>
        <w:t>:</w:t>
      </w:r>
    </w:p>
    <w:p w14:paraId="5150ED9A" w14:textId="698F8E5E" w:rsidR="001E7C3C" w:rsidRPr="00B004EE" w:rsidRDefault="001E7C3C" w:rsidP="00420DDA">
      <w:pPr>
        <w:pStyle w:val="Paragraphedeliste"/>
        <w:widowControl w:val="0"/>
        <w:numPr>
          <w:ilvl w:val="0"/>
          <w:numId w:val="33"/>
        </w:numPr>
        <w:tabs>
          <w:tab w:val="left" w:pos="1154"/>
        </w:tabs>
        <w:ind w:left="426" w:right="161"/>
        <w:jc w:val="both"/>
        <w:rPr>
          <w:rFonts w:ascii="Tahoma" w:eastAsia="American Typewriter" w:hAnsi="Tahoma" w:cs="Tahoma"/>
          <w:sz w:val="20"/>
          <w:szCs w:val="20"/>
        </w:rPr>
      </w:pPr>
      <w:proofErr w:type="gramStart"/>
      <w:r w:rsidRPr="00B004EE">
        <w:rPr>
          <w:rFonts w:ascii="Tahoma" w:eastAsia="American Typewriter" w:hAnsi="Tahoma" w:cs="Tahoma"/>
          <w:sz w:val="20"/>
          <w:szCs w:val="20"/>
        </w:rPr>
        <w:t>décider</w:t>
      </w:r>
      <w:proofErr w:type="gramEnd"/>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la</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destination</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captures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saisies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à</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titre</w:t>
      </w:r>
      <w:r w:rsidR="00DB1635" w:rsidRPr="00B004EE">
        <w:rPr>
          <w:rFonts w:ascii="Tahoma" w:eastAsia="American Typewriter" w:hAnsi="Tahoma" w:cs="Tahoma"/>
          <w:spacing w:val="50"/>
          <w:sz w:val="20"/>
          <w:szCs w:val="20"/>
        </w:rPr>
        <w:t xml:space="preserve"> </w:t>
      </w:r>
      <w:r w:rsidRPr="00B004EE">
        <w:rPr>
          <w:rFonts w:ascii="Tahoma" w:eastAsia="American Typewriter" w:hAnsi="Tahoma" w:cs="Tahoma"/>
          <w:sz w:val="20"/>
          <w:szCs w:val="20"/>
        </w:rPr>
        <w:t>conservatoire,</w:t>
      </w:r>
      <w:r w:rsidR="00DB1635" w:rsidRPr="00B004EE">
        <w:rPr>
          <w:rFonts w:ascii="Tahoma" w:eastAsia="American Typewriter" w:hAnsi="Tahoma" w:cs="Tahoma"/>
          <w:w w:val="97"/>
          <w:sz w:val="20"/>
          <w:szCs w:val="20"/>
        </w:rPr>
        <w:t xml:space="preserve"> </w:t>
      </w:r>
      <w:r w:rsidRPr="00B004EE">
        <w:rPr>
          <w:rFonts w:ascii="Tahoma" w:eastAsia="American Typewriter" w:hAnsi="Tahoma" w:cs="Tahoma"/>
          <w:sz w:val="20"/>
          <w:szCs w:val="20"/>
        </w:rPr>
        <w:t>conformément</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aux</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dispositions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l’article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70</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ci-dessus</w:t>
      </w:r>
      <w:r w:rsidR="00DB1635" w:rsidRPr="00B004EE">
        <w:rPr>
          <w:rFonts w:ascii="Tahoma" w:eastAsia="American Typewriter" w:hAnsi="Tahoma" w:cs="Tahoma"/>
          <w:spacing w:val="-14"/>
          <w:sz w:val="20"/>
          <w:szCs w:val="20"/>
        </w:rPr>
        <w:t xml:space="preserve"> </w:t>
      </w:r>
      <w:r w:rsidRPr="00B004EE">
        <w:rPr>
          <w:rFonts w:ascii="Tahoma" w:eastAsia="American Typewriter" w:hAnsi="Tahoma" w:cs="Tahoma"/>
          <w:sz w:val="20"/>
          <w:szCs w:val="20"/>
        </w:rPr>
        <w:t>;</w:t>
      </w:r>
    </w:p>
    <w:p w14:paraId="28B81D7D" w14:textId="799692ED" w:rsidR="001E7C3C" w:rsidRPr="00B004EE" w:rsidRDefault="001E7C3C" w:rsidP="00420DDA">
      <w:pPr>
        <w:pStyle w:val="Paragraphedeliste"/>
        <w:widowControl w:val="0"/>
        <w:numPr>
          <w:ilvl w:val="0"/>
          <w:numId w:val="33"/>
        </w:numPr>
        <w:tabs>
          <w:tab w:val="left" w:pos="1154"/>
        </w:tabs>
        <w:ind w:left="426" w:right="165"/>
        <w:jc w:val="both"/>
        <w:rPr>
          <w:rFonts w:ascii="Tahoma" w:eastAsia="American Typewriter" w:hAnsi="Tahoma" w:cs="Tahoma"/>
          <w:sz w:val="20"/>
          <w:szCs w:val="20"/>
        </w:rPr>
      </w:pPr>
      <w:proofErr w:type="gramStart"/>
      <w:r w:rsidRPr="00B004EE">
        <w:rPr>
          <w:rFonts w:ascii="Tahoma" w:eastAsia="American Typewriter" w:hAnsi="Tahoma" w:cs="Tahoma"/>
          <w:sz w:val="20"/>
          <w:szCs w:val="20"/>
        </w:rPr>
        <w:t>notifier</w:t>
      </w:r>
      <w:proofErr w:type="gramEnd"/>
      <w:r w:rsidR="00DB1635" w:rsidRPr="00B004EE">
        <w:rPr>
          <w:rFonts w:ascii="Tahoma" w:eastAsia="American Typewriter" w:hAnsi="Tahoma" w:cs="Tahoma"/>
          <w:spacing w:val="21"/>
          <w:sz w:val="20"/>
          <w:szCs w:val="20"/>
        </w:rPr>
        <w:t xml:space="preserve"> </w:t>
      </w:r>
      <w:r w:rsidRPr="00B004EE">
        <w:rPr>
          <w:rFonts w:ascii="Tahoma" w:eastAsia="American Typewriter" w:hAnsi="Tahoma" w:cs="Tahoma"/>
          <w:sz w:val="20"/>
          <w:szCs w:val="20"/>
        </w:rPr>
        <w:t>ou</w:t>
      </w:r>
      <w:r w:rsidR="00DB1635" w:rsidRPr="00B004EE">
        <w:rPr>
          <w:rFonts w:ascii="Tahoma" w:eastAsia="American Typewriter" w:hAnsi="Tahoma" w:cs="Tahoma"/>
          <w:spacing w:val="21"/>
          <w:sz w:val="20"/>
          <w:szCs w:val="20"/>
        </w:rPr>
        <w:t xml:space="preserve"> </w:t>
      </w:r>
      <w:r w:rsidRPr="00B004EE">
        <w:rPr>
          <w:rFonts w:ascii="Tahoma" w:eastAsia="American Typewriter" w:hAnsi="Tahoma" w:cs="Tahoma"/>
          <w:sz w:val="20"/>
          <w:szCs w:val="20"/>
        </w:rPr>
        <w:t>faire</w:t>
      </w:r>
      <w:r w:rsidR="00DB1635" w:rsidRPr="00B004EE">
        <w:rPr>
          <w:rFonts w:ascii="Tahoma" w:eastAsia="American Typewriter" w:hAnsi="Tahoma" w:cs="Tahoma"/>
          <w:spacing w:val="20"/>
          <w:sz w:val="20"/>
          <w:szCs w:val="20"/>
        </w:rPr>
        <w:t xml:space="preserve"> </w:t>
      </w:r>
      <w:r w:rsidRPr="00B004EE">
        <w:rPr>
          <w:rFonts w:ascii="Tahoma" w:eastAsia="American Typewriter" w:hAnsi="Tahoma" w:cs="Tahoma"/>
          <w:sz w:val="20"/>
          <w:szCs w:val="20"/>
        </w:rPr>
        <w:t>notifier</w:t>
      </w:r>
      <w:r w:rsidR="00DB1635" w:rsidRPr="00B004EE">
        <w:rPr>
          <w:rFonts w:ascii="Tahoma" w:eastAsia="American Typewriter" w:hAnsi="Tahoma" w:cs="Tahoma"/>
          <w:spacing w:val="19"/>
          <w:sz w:val="20"/>
          <w:szCs w:val="20"/>
        </w:rPr>
        <w:t xml:space="preserve"> </w:t>
      </w:r>
      <w:r w:rsidRPr="00B004EE">
        <w:rPr>
          <w:rFonts w:ascii="Tahoma" w:eastAsia="American Typewriter" w:hAnsi="Tahoma" w:cs="Tahoma"/>
          <w:sz w:val="20"/>
          <w:szCs w:val="20"/>
        </w:rPr>
        <w:t>le</w:t>
      </w:r>
      <w:r w:rsidR="00DB1635" w:rsidRPr="00B004EE">
        <w:rPr>
          <w:rFonts w:ascii="Tahoma" w:eastAsia="American Typewriter" w:hAnsi="Tahoma" w:cs="Tahoma"/>
          <w:spacing w:val="20"/>
          <w:sz w:val="20"/>
          <w:szCs w:val="20"/>
        </w:rPr>
        <w:t xml:space="preserve"> </w:t>
      </w:r>
      <w:r w:rsidRPr="00B004EE">
        <w:rPr>
          <w:rFonts w:ascii="Tahoma" w:eastAsia="American Typewriter" w:hAnsi="Tahoma" w:cs="Tahoma"/>
          <w:sz w:val="20"/>
          <w:szCs w:val="20"/>
        </w:rPr>
        <w:t>fait,</w:t>
      </w:r>
      <w:r w:rsidR="00DB1635" w:rsidRPr="00B004EE">
        <w:rPr>
          <w:rFonts w:ascii="Tahoma" w:eastAsia="American Typewriter" w:hAnsi="Tahoma" w:cs="Tahoma"/>
          <w:spacing w:val="20"/>
          <w:sz w:val="20"/>
          <w:szCs w:val="20"/>
        </w:rPr>
        <w:t xml:space="preserve"> </w:t>
      </w:r>
      <w:r w:rsidRPr="00B004EE">
        <w:rPr>
          <w:rFonts w:ascii="Tahoma" w:eastAsia="American Typewriter" w:hAnsi="Tahoma" w:cs="Tahoma"/>
          <w:sz w:val="20"/>
          <w:szCs w:val="20"/>
        </w:rPr>
        <w:t>le</w:t>
      </w:r>
      <w:r w:rsidR="00DB1635" w:rsidRPr="00B004EE">
        <w:rPr>
          <w:rFonts w:ascii="Tahoma" w:eastAsia="American Typewriter" w:hAnsi="Tahoma" w:cs="Tahoma"/>
          <w:spacing w:val="20"/>
          <w:sz w:val="20"/>
          <w:szCs w:val="20"/>
        </w:rPr>
        <w:t xml:space="preserve"> </w:t>
      </w:r>
      <w:r w:rsidRPr="00B004EE">
        <w:rPr>
          <w:rFonts w:ascii="Tahoma" w:eastAsia="American Typewriter" w:hAnsi="Tahoma" w:cs="Tahoma"/>
          <w:sz w:val="20"/>
          <w:szCs w:val="20"/>
        </w:rPr>
        <w:t>cas</w:t>
      </w:r>
      <w:r w:rsidR="00DB1635" w:rsidRPr="00B004EE">
        <w:rPr>
          <w:rFonts w:ascii="Tahoma" w:eastAsia="American Typewriter" w:hAnsi="Tahoma" w:cs="Tahoma"/>
          <w:spacing w:val="19"/>
          <w:sz w:val="20"/>
          <w:szCs w:val="20"/>
        </w:rPr>
        <w:t xml:space="preserve"> </w:t>
      </w:r>
      <w:r w:rsidRPr="00B004EE">
        <w:rPr>
          <w:rFonts w:ascii="Tahoma" w:eastAsia="American Typewriter" w:hAnsi="Tahoma" w:cs="Tahoma"/>
          <w:sz w:val="20"/>
          <w:szCs w:val="20"/>
        </w:rPr>
        <w:t>échéant,</w:t>
      </w:r>
      <w:r w:rsidR="00DB1635" w:rsidRPr="00B004EE">
        <w:rPr>
          <w:rFonts w:ascii="Tahoma" w:eastAsia="American Typewriter" w:hAnsi="Tahoma" w:cs="Tahoma"/>
          <w:spacing w:val="20"/>
          <w:sz w:val="20"/>
          <w:szCs w:val="20"/>
        </w:rPr>
        <w:t xml:space="preserve"> </w:t>
      </w:r>
      <w:r w:rsidRPr="00B004EE">
        <w:rPr>
          <w:rFonts w:ascii="Tahoma" w:eastAsia="American Typewriter" w:hAnsi="Tahoma" w:cs="Tahoma"/>
          <w:sz w:val="20"/>
          <w:szCs w:val="20"/>
        </w:rPr>
        <w:t>au</w:t>
      </w:r>
      <w:r w:rsidR="00DB1635" w:rsidRPr="00B004EE">
        <w:rPr>
          <w:rFonts w:ascii="Tahoma" w:eastAsia="American Typewriter" w:hAnsi="Tahoma" w:cs="Tahoma"/>
          <w:spacing w:val="20"/>
          <w:sz w:val="20"/>
          <w:szCs w:val="20"/>
        </w:rPr>
        <w:t xml:space="preserve"> </w:t>
      </w:r>
      <w:r w:rsidRPr="00B004EE">
        <w:rPr>
          <w:rFonts w:ascii="Tahoma" w:eastAsia="American Typewriter" w:hAnsi="Tahoma" w:cs="Tahoma"/>
          <w:sz w:val="20"/>
          <w:szCs w:val="20"/>
        </w:rPr>
        <w:t>ministre</w:t>
      </w:r>
      <w:r w:rsidR="00DB1635" w:rsidRPr="00B004EE">
        <w:rPr>
          <w:rFonts w:ascii="Tahoma" w:eastAsia="American Typewriter" w:hAnsi="Tahoma" w:cs="Tahoma"/>
          <w:spacing w:val="20"/>
          <w:sz w:val="20"/>
          <w:szCs w:val="20"/>
        </w:rPr>
        <w:t xml:space="preserve"> </w:t>
      </w:r>
      <w:r w:rsidRPr="00B004EE">
        <w:rPr>
          <w:rFonts w:ascii="Tahoma" w:eastAsia="American Typewriter" w:hAnsi="Tahoma" w:cs="Tahoma"/>
          <w:sz w:val="20"/>
          <w:szCs w:val="20"/>
        </w:rPr>
        <w:t>des</w:t>
      </w:r>
      <w:r w:rsidR="00DB1635" w:rsidRPr="00B004EE">
        <w:rPr>
          <w:rFonts w:ascii="Tahoma" w:eastAsia="American Typewriter" w:hAnsi="Tahoma" w:cs="Tahoma"/>
          <w:spacing w:val="19"/>
          <w:sz w:val="20"/>
          <w:szCs w:val="20"/>
        </w:rPr>
        <w:t xml:space="preserve"> </w:t>
      </w:r>
      <w:r w:rsidRPr="00B004EE">
        <w:rPr>
          <w:rFonts w:ascii="Tahoma" w:eastAsia="American Typewriter" w:hAnsi="Tahoma" w:cs="Tahoma"/>
          <w:sz w:val="20"/>
          <w:szCs w:val="20"/>
        </w:rPr>
        <w:t>affaires</w:t>
      </w:r>
      <w:r w:rsidR="00DB1635" w:rsidRPr="00B004EE">
        <w:rPr>
          <w:rFonts w:ascii="Tahoma" w:eastAsia="American Typewriter" w:hAnsi="Tahoma" w:cs="Tahoma"/>
          <w:w w:val="94"/>
          <w:sz w:val="20"/>
          <w:szCs w:val="20"/>
        </w:rPr>
        <w:t xml:space="preserve"> </w:t>
      </w:r>
      <w:r w:rsidRPr="00B004EE">
        <w:rPr>
          <w:rFonts w:ascii="Tahoma" w:eastAsia="American Typewriter" w:hAnsi="Tahoma" w:cs="Tahoma"/>
          <w:sz w:val="20"/>
          <w:szCs w:val="20"/>
        </w:rPr>
        <w:t>étrangères,</w:t>
      </w:r>
      <w:r w:rsidR="00DB1635" w:rsidRPr="00B004EE">
        <w:rPr>
          <w:rFonts w:ascii="Tahoma" w:eastAsia="American Typewriter" w:hAnsi="Tahoma" w:cs="Tahoma"/>
          <w:spacing w:val="-9"/>
          <w:sz w:val="20"/>
          <w:szCs w:val="20"/>
        </w:rPr>
        <w:t xml:space="preserve"> </w:t>
      </w:r>
      <w:r w:rsidRPr="00B004EE">
        <w:rPr>
          <w:rFonts w:ascii="Tahoma" w:eastAsia="American Typewriter" w:hAnsi="Tahoma" w:cs="Tahoma"/>
          <w:sz w:val="20"/>
          <w:szCs w:val="20"/>
        </w:rPr>
        <w:t>lequel</w:t>
      </w:r>
      <w:r w:rsidR="00DB1635" w:rsidRPr="00B004EE">
        <w:rPr>
          <w:rFonts w:ascii="Tahoma" w:eastAsia="American Typewriter" w:hAnsi="Tahoma" w:cs="Tahoma"/>
          <w:spacing w:val="-9"/>
          <w:sz w:val="20"/>
          <w:szCs w:val="20"/>
        </w:rPr>
        <w:t xml:space="preserve"> </w:t>
      </w:r>
      <w:r w:rsidRPr="00B004EE">
        <w:rPr>
          <w:rFonts w:ascii="Tahoma" w:eastAsia="American Typewriter" w:hAnsi="Tahoma" w:cs="Tahoma"/>
          <w:sz w:val="20"/>
          <w:szCs w:val="20"/>
        </w:rPr>
        <w:t>en</w:t>
      </w:r>
      <w:r w:rsidR="00DB1635" w:rsidRPr="00B004EE">
        <w:rPr>
          <w:rFonts w:ascii="Tahoma" w:eastAsia="American Typewriter" w:hAnsi="Tahoma" w:cs="Tahoma"/>
          <w:spacing w:val="-9"/>
          <w:sz w:val="20"/>
          <w:szCs w:val="20"/>
        </w:rPr>
        <w:t xml:space="preserve"> </w:t>
      </w:r>
      <w:r w:rsidRPr="00B004EE">
        <w:rPr>
          <w:rFonts w:ascii="Tahoma" w:eastAsia="American Typewriter" w:hAnsi="Tahoma" w:cs="Tahoma"/>
          <w:sz w:val="20"/>
          <w:szCs w:val="20"/>
        </w:rPr>
        <w:t>informera</w:t>
      </w:r>
      <w:r w:rsidR="00DB1635" w:rsidRPr="00B004EE">
        <w:rPr>
          <w:rFonts w:ascii="Tahoma" w:eastAsia="American Typewriter" w:hAnsi="Tahoma" w:cs="Tahoma"/>
          <w:spacing w:val="-9"/>
          <w:sz w:val="20"/>
          <w:szCs w:val="20"/>
        </w:rPr>
        <w:t xml:space="preserve"> </w:t>
      </w:r>
      <w:r w:rsidRPr="00B004EE">
        <w:rPr>
          <w:rFonts w:ascii="Tahoma" w:eastAsia="American Typewriter" w:hAnsi="Tahoma" w:cs="Tahoma"/>
          <w:sz w:val="20"/>
          <w:szCs w:val="20"/>
        </w:rPr>
        <w:t>le</w:t>
      </w:r>
      <w:r w:rsidR="00DB1635" w:rsidRPr="00B004EE">
        <w:rPr>
          <w:rFonts w:ascii="Tahoma" w:eastAsia="American Typewriter" w:hAnsi="Tahoma" w:cs="Tahoma"/>
          <w:spacing w:val="-9"/>
          <w:sz w:val="20"/>
          <w:szCs w:val="20"/>
        </w:rPr>
        <w:t xml:space="preserve"> </w:t>
      </w:r>
      <w:r w:rsidRPr="00B004EE">
        <w:rPr>
          <w:rFonts w:ascii="Tahoma" w:eastAsia="American Typewriter" w:hAnsi="Tahoma" w:cs="Tahoma"/>
          <w:sz w:val="20"/>
          <w:szCs w:val="20"/>
        </w:rPr>
        <w:t>Gouvernement</w:t>
      </w:r>
      <w:r w:rsidR="00DB1635" w:rsidRPr="00B004EE">
        <w:rPr>
          <w:rFonts w:ascii="Tahoma" w:eastAsia="American Typewriter" w:hAnsi="Tahoma" w:cs="Tahoma"/>
          <w:spacing w:val="-11"/>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pacing w:val="-11"/>
          <w:sz w:val="20"/>
          <w:szCs w:val="20"/>
        </w:rPr>
        <w:t xml:space="preserve"> </w:t>
      </w:r>
      <w:r w:rsidRPr="00B004EE">
        <w:rPr>
          <w:rFonts w:ascii="Tahoma" w:eastAsia="American Typewriter" w:hAnsi="Tahoma" w:cs="Tahoma"/>
          <w:sz w:val="20"/>
          <w:szCs w:val="20"/>
        </w:rPr>
        <w:t>l’État</w:t>
      </w:r>
      <w:r w:rsidR="00DB1635" w:rsidRPr="00B004EE">
        <w:rPr>
          <w:rFonts w:ascii="Tahoma" w:eastAsia="American Typewriter" w:hAnsi="Tahoma" w:cs="Tahoma"/>
          <w:spacing w:val="-10"/>
          <w:sz w:val="20"/>
          <w:szCs w:val="20"/>
        </w:rPr>
        <w:t xml:space="preserve"> </w:t>
      </w:r>
      <w:r w:rsidRPr="00B004EE">
        <w:rPr>
          <w:rFonts w:ascii="Tahoma" w:eastAsia="American Typewriter" w:hAnsi="Tahoma" w:cs="Tahoma"/>
          <w:sz w:val="20"/>
          <w:szCs w:val="20"/>
        </w:rPr>
        <w:t>dont</w:t>
      </w:r>
      <w:r w:rsidR="00DB1635" w:rsidRPr="00B004EE">
        <w:rPr>
          <w:rFonts w:ascii="Tahoma" w:eastAsia="American Typewriter" w:hAnsi="Tahoma" w:cs="Tahoma"/>
          <w:spacing w:val="-11"/>
          <w:sz w:val="20"/>
          <w:szCs w:val="20"/>
        </w:rPr>
        <w:t xml:space="preserve"> </w:t>
      </w:r>
      <w:r w:rsidRPr="00B004EE">
        <w:rPr>
          <w:rFonts w:ascii="Tahoma" w:eastAsia="American Typewriter" w:hAnsi="Tahoma" w:cs="Tahoma"/>
          <w:sz w:val="20"/>
          <w:szCs w:val="20"/>
        </w:rPr>
        <w:t>le</w:t>
      </w:r>
      <w:r w:rsidR="00DB1635" w:rsidRPr="00B004EE">
        <w:rPr>
          <w:rFonts w:ascii="Tahoma" w:eastAsia="American Typewriter" w:hAnsi="Tahoma" w:cs="Tahoma"/>
          <w:spacing w:val="-11"/>
          <w:sz w:val="20"/>
          <w:szCs w:val="20"/>
        </w:rPr>
        <w:t xml:space="preserve"> </w:t>
      </w:r>
      <w:r w:rsidRPr="00B004EE">
        <w:rPr>
          <w:rFonts w:ascii="Tahoma" w:eastAsia="American Typewriter" w:hAnsi="Tahoma" w:cs="Tahoma"/>
          <w:sz w:val="20"/>
          <w:szCs w:val="20"/>
        </w:rPr>
        <w:t>navire</w:t>
      </w:r>
      <w:r w:rsidR="00DB1635" w:rsidRPr="00B004EE">
        <w:rPr>
          <w:rFonts w:ascii="Tahoma" w:eastAsia="American Typewriter" w:hAnsi="Tahoma" w:cs="Tahoma"/>
          <w:w w:val="94"/>
          <w:sz w:val="20"/>
          <w:szCs w:val="20"/>
        </w:rPr>
        <w:t xml:space="preserve"> </w:t>
      </w:r>
      <w:r w:rsidRPr="00B004EE">
        <w:rPr>
          <w:rFonts w:ascii="Tahoma" w:eastAsia="American Typewriter" w:hAnsi="Tahoma" w:cs="Tahoma"/>
          <w:sz w:val="20"/>
          <w:szCs w:val="20"/>
        </w:rPr>
        <w:t>bat</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le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pavillon</w:t>
      </w:r>
      <w:r w:rsidR="00DB1635" w:rsidRPr="00B004EE">
        <w:rPr>
          <w:rFonts w:ascii="Tahoma" w:eastAsia="American Typewriter" w:hAnsi="Tahoma" w:cs="Tahoma"/>
          <w:spacing w:val="19"/>
          <w:sz w:val="20"/>
          <w:szCs w:val="20"/>
        </w:rPr>
        <w:t xml:space="preserve"> </w:t>
      </w:r>
      <w:r w:rsidRPr="00B004EE">
        <w:rPr>
          <w:rFonts w:ascii="Tahoma" w:eastAsia="American Typewriter" w:hAnsi="Tahoma" w:cs="Tahoma"/>
          <w:sz w:val="20"/>
          <w:szCs w:val="20"/>
        </w:rPr>
        <w:t>;</w:t>
      </w:r>
    </w:p>
    <w:p w14:paraId="3A501782" w14:textId="3808291B" w:rsidR="001E7C3C" w:rsidRPr="00B004EE" w:rsidRDefault="001E7C3C" w:rsidP="00420DDA">
      <w:pPr>
        <w:pStyle w:val="Paragraphedeliste"/>
        <w:widowControl w:val="0"/>
        <w:numPr>
          <w:ilvl w:val="0"/>
          <w:numId w:val="33"/>
        </w:numPr>
        <w:tabs>
          <w:tab w:val="left" w:pos="1154"/>
        </w:tabs>
        <w:ind w:left="426" w:right="163"/>
        <w:jc w:val="both"/>
        <w:rPr>
          <w:rFonts w:ascii="Tahoma" w:eastAsia="American Typewriter" w:hAnsi="Tahoma" w:cs="Tahoma"/>
          <w:sz w:val="20"/>
          <w:szCs w:val="20"/>
        </w:rPr>
      </w:pPr>
      <w:proofErr w:type="gramStart"/>
      <w:r w:rsidRPr="00B004EE">
        <w:rPr>
          <w:rFonts w:ascii="Tahoma" w:eastAsia="American Typewriter" w:hAnsi="Tahoma" w:cs="Tahoma"/>
          <w:sz w:val="20"/>
          <w:szCs w:val="20"/>
        </w:rPr>
        <w:t>transmettre</w:t>
      </w:r>
      <w:proofErr w:type="gramEnd"/>
      <w:r w:rsidRPr="00B004EE">
        <w:rPr>
          <w:rFonts w:ascii="Tahoma" w:eastAsia="American Typewriter" w:hAnsi="Tahoma" w:cs="Tahoma"/>
          <w:sz w:val="20"/>
          <w:szCs w:val="20"/>
        </w:rPr>
        <w:t>,</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dans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un</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délai</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trente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jours,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le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dossier</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au</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Procureur</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pacing w:val="16"/>
          <w:sz w:val="20"/>
          <w:szCs w:val="20"/>
        </w:rPr>
        <w:t xml:space="preserve"> </w:t>
      </w:r>
      <w:r w:rsidRPr="00B004EE">
        <w:rPr>
          <w:rFonts w:ascii="Tahoma" w:eastAsia="American Typewriter" w:hAnsi="Tahoma" w:cs="Tahoma"/>
          <w:sz w:val="20"/>
          <w:szCs w:val="20"/>
        </w:rPr>
        <w:t>la</w:t>
      </w:r>
      <w:r w:rsidR="00DB1635" w:rsidRPr="00B004EE">
        <w:rPr>
          <w:rFonts w:ascii="Tahoma" w:eastAsia="American Typewriter" w:hAnsi="Tahoma" w:cs="Tahoma"/>
          <w:w w:val="98"/>
          <w:sz w:val="20"/>
          <w:szCs w:val="20"/>
        </w:rPr>
        <w:t xml:space="preserve"> </w:t>
      </w:r>
      <w:r w:rsidRPr="00B004EE">
        <w:rPr>
          <w:rFonts w:ascii="Tahoma" w:eastAsia="American Typewriter" w:hAnsi="Tahoma" w:cs="Tahoma"/>
          <w:sz w:val="20"/>
          <w:szCs w:val="20"/>
        </w:rPr>
        <w:t>République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près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le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tribunal</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territorialement</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compétent,</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à</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moins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qu’il</w:t>
      </w:r>
      <w:r w:rsidR="00DB1635" w:rsidRPr="00B004EE">
        <w:rPr>
          <w:rFonts w:ascii="Tahoma" w:eastAsia="American Typewriter" w:hAnsi="Tahoma" w:cs="Tahoma"/>
          <w:spacing w:val="-13"/>
          <w:sz w:val="20"/>
          <w:szCs w:val="20"/>
        </w:rPr>
        <w:t xml:space="preserve"> </w:t>
      </w:r>
      <w:r w:rsidRPr="00B004EE">
        <w:rPr>
          <w:rFonts w:ascii="Tahoma" w:eastAsia="American Typewriter" w:hAnsi="Tahoma" w:cs="Tahoma"/>
          <w:sz w:val="20"/>
          <w:szCs w:val="20"/>
        </w:rPr>
        <w:t>ne</w:t>
      </w:r>
      <w:r w:rsidR="00DB1635" w:rsidRPr="00B004EE">
        <w:rPr>
          <w:rFonts w:ascii="Tahoma" w:eastAsia="American Typewriter" w:hAnsi="Tahoma" w:cs="Tahoma"/>
          <w:w w:val="95"/>
          <w:sz w:val="20"/>
          <w:szCs w:val="20"/>
        </w:rPr>
        <w:t xml:space="preserve"> </w:t>
      </w:r>
      <w:r w:rsidRPr="00B004EE">
        <w:rPr>
          <w:rFonts w:ascii="Tahoma" w:eastAsia="American Typewriter" w:hAnsi="Tahoma" w:cs="Tahoma"/>
          <w:w w:val="95"/>
          <w:sz w:val="20"/>
          <w:szCs w:val="20"/>
        </w:rPr>
        <w:t>décide</w:t>
      </w:r>
      <w:r w:rsidR="00DB1635" w:rsidRPr="00B004EE">
        <w:rPr>
          <w:rFonts w:ascii="Tahoma" w:eastAsia="American Typewriter" w:hAnsi="Tahoma" w:cs="Tahoma"/>
          <w:w w:val="95"/>
          <w:sz w:val="20"/>
          <w:szCs w:val="20"/>
        </w:rPr>
        <w:t xml:space="preserve"> </w:t>
      </w:r>
      <w:r w:rsidRPr="00B004EE">
        <w:rPr>
          <w:rFonts w:ascii="Tahoma" w:eastAsia="American Typewriter" w:hAnsi="Tahoma" w:cs="Tahoma"/>
          <w:w w:val="95"/>
          <w:sz w:val="20"/>
          <w:szCs w:val="20"/>
        </w:rPr>
        <w:t>de</w:t>
      </w:r>
      <w:r w:rsidR="00DB1635" w:rsidRPr="00B004EE">
        <w:rPr>
          <w:rFonts w:ascii="Tahoma" w:eastAsia="American Typewriter" w:hAnsi="Tahoma" w:cs="Tahoma"/>
          <w:w w:val="95"/>
          <w:sz w:val="20"/>
          <w:szCs w:val="20"/>
        </w:rPr>
        <w:t xml:space="preserve"> </w:t>
      </w:r>
      <w:r w:rsidRPr="00B004EE">
        <w:rPr>
          <w:rFonts w:ascii="Tahoma" w:eastAsia="American Typewriter" w:hAnsi="Tahoma" w:cs="Tahoma"/>
          <w:w w:val="95"/>
          <w:sz w:val="20"/>
          <w:szCs w:val="20"/>
        </w:rPr>
        <w:t>transiger,</w:t>
      </w:r>
      <w:r w:rsidR="00DB1635" w:rsidRPr="00B004EE">
        <w:rPr>
          <w:rFonts w:ascii="Tahoma" w:eastAsia="American Typewriter" w:hAnsi="Tahoma" w:cs="Tahoma"/>
          <w:w w:val="95"/>
          <w:sz w:val="20"/>
          <w:szCs w:val="20"/>
        </w:rPr>
        <w:t xml:space="preserve"> </w:t>
      </w:r>
      <w:r w:rsidRPr="00B004EE">
        <w:rPr>
          <w:rFonts w:ascii="Tahoma" w:eastAsia="American Typewriter" w:hAnsi="Tahoma" w:cs="Tahoma"/>
          <w:w w:val="95"/>
          <w:sz w:val="20"/>
          <w:szCs w:val="20"/>
        </w:rPr>
        <w:t>conformément</w:t>
      </w:r>
      <w:r w:rsidR="00DB1635" w:rsidRPr="00B004EE">
        <w:rPr>
          <w:rFonts w:ascii="Tahoma" w:eastAsia="American Typewriter" w:hAnsi="Tahoma" w:cs="Tahoma"/>
          <w:w w:val="95"/>
          <w:sz w:val="20"/>
          <w:szCs w:val="20"/>
        </w:rPr>
        <w:t xml:space="preserve"> </w:t>
      </w:r>
      <w:r w:rsidRPr="00B004EE">
        <w:rPr>
          <w:rFonts w:ascii="Tahoma" w:eastAsia="American Typewriter" w:hAnsi="Tahoma" w:cs="Tahoma"/>
          <w:w w:val="95"/>
          <w:sz w:val="20"/>
          <w:szCs w:val="20"/>
        </w:rPr>
        <w:t>aux</w:t>
      </w:r>
      <w:r w:rsidR="00DB1635" w:rsidRPr="00B004EE">
        <w:rPr>
          <w:rFonts w:ascii="Tahoma" w:eastAsia="American Typewriter" w:hAnsi="Tahoma" w:cs="Tahoma"/>
          <w:w w:val="95"/>
          <w:sz w:val="20"/>
          <w:szCs w:val="20"/>
        </w:rPr>
        <w:t xml:space="preserve"> </w:t>
      </w:r>
      <w:r w:rsidRPr="00B004EE">
        <w:rPr>
          <w:rFonts w:ascii="Tahoma" w:eastAsia="American Typewriter" w:hAnsi="Tahoma" w:cs="Tahoma"/>
          <w:w w:val="95"/>
          <w:sz w:val="20"/>
          <w:szCs w:val="20"/>
        </w:rPr>
        <w:t>dispositions</w:t>
      </w:r>
      <w:r w:rsidR="00DB1635" w:rsidRPr="00B004EE">
        <w:rPr>
          <w:rFonts w:ascii="Tahoma" w:eastAsia="American Typewriter" w:hAnsi="Tahoma" w:cs="Tahoma"/>
          <w:w w:val="95"/>
          <w:sz w:val="20"/>
          <w:szCs w:val="20"/>
        </w:rPr>
        <w:t xml:space="preserve"> </w:t>
      </w:r>
      <w:r w:rsidRPr="00B004EE">
        <w:rPr>
          <w:rFonts w:ascii="Tahoma" w:eastAsia="American Typewriter" w:hAnsi="Tahoma" w:cs="Tahoma"/>
          <w:w w:val="95"/>
          <w:sz w:val="20"/>
          <w:szCs w:val="20"/>
        </w:rPr>
        <w:t>l’article</w:t>
      </w:r>
      <w:r w:rsidR="00DB1635" w:rsidRPr="00B004EE">
        <w:rPr>
          <w:rFonts w:ascii="Tahoma" w:eastAsia="American Typewriter" w:hAnsi="Tahoma" w:cs="Tahoma"/>
          <w:w w:val="95"/>
          <w:sz w:val="20"/>
          <w:szCs w:val="20"/>
        </w:rPr>
        <w:t xml:space="preserve"> </w:t>
      </w:r>
      <w:r w:rsidRPr="00B004EE">
        <w:rPr>
          <w:rFonts w:ascii="Tahoma" w:eastAsia="American Typewriter" w:hAnsi="Tahoma" w:cs="Tahoma"/>
          <w:w w:val="95"/>
          <w:sz w:val="20"/>
          <w:szCs w:val="20"/>
        </w:rPr>
        <w:t>92</w:t>
      </w:r>
      <w:r w:rsidR="00DB1635" w:rsidRPr="00B004EE">
        <w:rPr>
          <w:rFonts w:ascii="Tahoma" w:eastAsia="American Typewriter" w:hAnsi="Tahoma" w:cs="Tahoma"/>
          <w:spacing w:val="38"/>
          <w:w w:val="95"/>
          <w:sz w:val="20"/>
          <w:szCs w:val="20"/>
        </w:rPr>
        <w:t xml:space="preserve"> </w:t>
      </w:r>
      <w:r w:rsidRPr="00B004EE">
        <w:rPr>
          <w:rFonts w:ascii="Tahoma" w:eastAsia="American Typewriter" w:hAnsi="Tahoma" w:cs="Tahoma"/>
          <w:w w:val="95"/>
          <w:sz w:val="20"/>
          <w:szCs w:val="20"/>
        </w:rPr>
        <w:t>ci-dessous.</w:t>
      </w:r>
    </w:p>
    <w:p w14:paraId="2DA29A90" w14:textId="77777777" w:rsidR="001E7C3C" w:rsidRPr="00B004EE" w:rsidRDefault="001E7C3C" w:rsidP="00B004EE">
      <w:pPr>
        <w:rPr>
          <w:rFonts w:ascii="Tahoma" w:eastAsia="American Typewriter" w:hAnsi="Tahoma" w:cs="Tahoma"/>
          <w:sz w:val="20"/>
          <w:szCs w:val="20"/>
        </w:rPr>
      </w:pPr>
    </w:p>
    <w:p w14:paraId="521052F7" w14:textId="1DC32771" w:rsidR="001E7C3C" w:rsidRPr="00B004EE" w:rsidRDefault="001E7C3C" w:rsidP="00B004EE">
      <w:pPr>
        <w:pStyle w:val="Lgende"/>
        <w:jc w:val="center"/>
        <w:rPr>
          <w:rFonts w:ascii="Tahoma" w:eastAsia="American Typewriter" w:hAnsi="Tahoma" w:cs="Tahoma"/>
        </w:rPr>
      </w:pPr>
      <w:bookmarkStart w:id="117" w:name="_Toc16279091"/>
      <w:bookmarkStart w:id="118" w:name="_Toc16279460"/>
      <w:r w:rsidRPr="00B004EE">
        <w:rPr>
          <w:rFonts w:ascii="Tahoma" w:eastAsia="American Typewriter" w:hAnsi="Tahoma" w:cs="Tahoma"/>
        </w:rPr>
        <w:lastRenderedPageBreak/>
        <w:t>Section</w:t>
      </w:r>
      <w:r w:rsidR="00DB1635" w:rsidRPr="00B004EE">
        <w:rPr>
          <w:rFonts w:ascii="Tahoma" w:eastAsia="American Typewriter" w:hAnsi="Tahoma" w:cs="Tahoma"/>
        </w:rPr>
        <w:t xml:space="preserve"> </w:t>
      </w:r>
      <w:r w:rsidRPr="00B004EE">
        <w:rPr>
          <w:rFonts w:ascii="Tahoma" w:eastAsia="American Typewriter" w:hAnsi="Tahoma" w:cs="Tahoma"/>
        </w:rPr>
        <w:t>7</w:t>
      </w:r>
      <w:r w:rsidR="00DB1635" w:rsidRPr="00B004EE">
        <w:rPr>
          <w:rFonts w:ascii="Tahoma" w:eastAsia="American Typewriter" w:hAnsi="Tahoma" w:cs="Tahoma"/>
        </w:rPr>
        <w:t xml:space="preserve"> </w:t>
      </w:r>
      <w:r w:rsidRPr="00B004EE">
        <w:rPr>
          <w:rFonts w:ascii="Tahoma" w:eastAsia="American Typewriter" w:hAnsi="Tahoma" w:cs="Tahoma"/>
        </w:rPr>
        <w:t>:</w:t>
      </w:r>
      <w:r w:rsidR="00DB1635" w:rsidRPr="00B004EE">
        <w:rPr>
          <w:rFonts w:ascii="Tahoma" w:eastAsia="American Typewriter" w:hAnsi="Tahoma" w:cs="Tahoma"/>
        </w:rPr>
        <w:t xml:space="preserve"> </w:t>
      </w:r>
      <w:r w:rsidRPr="00B004EE">
        <w:rPr>
          <w:rFonts w:ascii="Tahoma" w:eastAsia="American Typewriter" w:hAnsi="Tahoma" w:cs="Tahoma"/>
        </w:rPr>
        <w:t>De</w:t>
      </w:r>
      <w:r w:rsidR="00DB1635" w:rsidRPr="00B004EE">
        <w:rPr>
          <w:rFonts w:ascii="Tahoma" w:eastAsia="American Typewriter" w:hAnsi="Tahoma" w:cs="Tahoma"/>
        </w:rPr>
        <w:t xml:space="preserve"> </w:t>
      </w:r>
      <w:r w:rsidRPr="00B004EE">
        <w:rPr>
          <w:rFonts w:ascii="Tahoma" w:eastAsia="American Typewriter" w:hAnsi="Tahoma" w:cs="Tahoma"/>
        </w:rPr>
        <w:t>la</w:t>
      </w:r>
      <w:r w:rsidR="00DB1635" w:rsidRPr="00B004EE">
        <w:rPr>
          <w:rFonts w:ascii="Tahoma" w:eastAsia="American Typewriter" w:hAnsi="Tahoma" w:cs="Tahoma"/>
        </w:rPr>
        <w:t xml:space="preserve"> </w:t>
      </w:r>
      <w:r w:rsidRPr="00B004EE">
        <w:rPr>
          <w:rFonts w:ascii="Tahoma" w:eastAsia="American Typewriter" w:hAnsi="Tahoma" w:cs="Tahoma"/>
        </w:rPr>
        <w:t>destination</w:t>
      </w:r>
      <w:r w:rsidR="00DB1635" w:rsidRPr="00B004EE">
        <w:rPr>
          <w:rFonts w:ascii="Tahoma" w:eastAsia="American Typewriter" w:hAnsi="Tahoma" w:cs="Tahoma"/>
        </w:rPr>
        <w:t xml:space="preserve"> </w:t>
      </w:r>
      <w:r w:rsidRPr="00B004EE">
        <w:rPr>
          <w:rFonts w:ascii="Tahoma" w:eastAsia="American Typewriter" w:hAnsi="Tahoma" w:cs="Tahoma"/>
        </w:rPr>
        <w:t>des</w:t>
      </w:r>
      <w:r w:rsidR="00DB1635" w:rsidRPr="00B004EE">
        <w:rPr>
          <w:rFonts w:ascii="Tahoma" w:eastAsia="American Typewriter" w:hAnsi="Tahoma" w:cs="Tahoma"/>
        </w:rPr>
        <w:t xml:space="preserve"> </w:t>
      </w:r>
      <w:r w:rsidRPr="00B004EE">
        <w:rPr>
          <w:rFonts w:ascii="Tahoma" w:eastAsia="American Typewriter" w:hAnsi="Tahoma" w:cs="Tahoma"/>
        </w:rPr>
        <w:t>capt</w:t>
      </w:r>
      <w:r w:rsidR="000B56FC" w:rsidRPr="00B004EE">
        <w:rPr>
          <w:rFonts w:ascii="Tahoma" w:eastAsia="American Typewriter" w:hAnsi="Tahoma" w:cs="Tahoma"/>
        </w:rPr>
        <w:t>ures</w:t>
      </w:r>
      <w:r w:rsidR="00DB1635" w:rsidRPr="00B004EE">
        <w:rPr>
          <w:rFonts w:ascii="Tahoma" w:eastAsia="American Typewriter" w:hAnsi="Tahoma" w:cs="Tahoma"/>
        </w:rPr>
        <w:t xml:space="preserve"> </w:t>
      </w:r>
      <w:r w:rsidR="000B56FC" w:rsidRPr="00B004EE">
        <w:rPr>
          <w:rFonts w:ascii="Tahoma" w:eastAsia="American Typewriter" w:hAnsi="Tahoma" w:cs="Tahoma"/>
        </w:rPr>
        <w:t>saisies</w:t>
      </w:r>
      <w:r w:rsidR="00DB1635" w:rsidRPr="00B004EE">
        <w:rPr>
          <w:rFonts w:ascii="Tahoma" w:eastAsia="American Typewriter" w:hAnsi="Tahoma" w:cs="Tahoma"/>
        </w:rPr>
        <w:t xml:space="preserve"> </w:t>
      </w:r>
      <w:r w:rsidR="000B56FC" w:rsidRPr="00B004EE">
        <w:rPr>
          <w:rFonts w:ascii="Tahoma" w:eastAsia="American Typewriter" w:hAnsi="Tahoma" w:cs="Tahoma"/>
        </w:rPr>
        <w:t>à</w:t>
      </w:r>
      <w:r w:rsidR="00DB1635" w:rsidRPr="00B004EE">
        <w:rPr>
          <w:rFonts w:ascii="Tahoma" w:eastAsia="American Typewriter" w:hAnsi="Tahoma" w:cs="Tahoma"/>
        </w:rPr>
        <w:t xml:space="preserve"> </w:t>
      </w:r>
      <w:r w:rsidR="000B56FC" w:rsidRPr="00B004EE">
        <w:rPr>
          <w:rFonts w:ascii="Tahoma" w:eastAsia="American Typewriter" w:hAnsi="Tahoma" w:cs="Tahoma"/>
        </w:rPr>
        <w:t>titre</w:t>
      </w:r>
      <w:r w:rsidR="00DB1635" w:rsidRPr="00B004EE">
        <w:rPr>
          <w:rFonts w:ascii="Tahoma" w:eastAsia="American Typewriter" w:hAnsi="Tahoma" w:cs="Tahoma"/>
        </w:rPr>
        <w:t xml:space="preserve"> </w:t>
      </w:r>
      <w:r w:rsidR="000B56FC" w:rsidRPr="00B004EE">
        <w:rPr>
          <w:rFonts w:ascii="Tahoma" w:eastAsia="American Typewriter" w:hAnsi="Tahoma" w:cs="Tahoma"/>
        </w:rPr>
        <w:t>de</w:t>
      </w:r>
      <w:r w:rsidR="00DB1635" w:rsidRPr="00B004EE">
        <w:rPr>
          <w:rFonts w:ascii="Tahoma" w:eastAsia="American Typewriter" w:hAnsi="Tahoma" w:cs="Tahoma"/>
        </w:rPr>
        <w:t xml:space="preserve"> </w:t>
      </w:r>
      <w:r w:rsidR="000B56FC" w:rsidRPr="00B004EE">
        <w:rPr>
          <w:rFonts w:ascii="Tahoma" w:eastAsia="American Typewriter" w:hAnsi="Tahoma" w:cs="Tahoma"/>
        </w:rPr>
        <w:t>mesure</w:t>
      </w:r>
      <w:r w:rsidR="00DB1635" w:rsidRPr="00B004EE">
        <w:rPr>
          <w:rFonts w:ascii="Tahoma" w:eastAsia="American Typewriter" w:hAnsi="Tahoma" w:cs="Tahoma"/>
        </w:rPr>
        <w:t xml:space="preserve"> </w:t>
      </w:r>
      <w:r w:rsidRPr="00B004EE">
        <w:rPr>
          <w:rFonts w:ascii="Tahoma" w:eastAsia="American Typewriter" w:hAnsi="Tahoma" w:cs="Tahoma"/>
        </w:rPr>
        <w:t>conservatoire</w:t>
      </w:r>
      <w:bookmarkEnd w:id="117"/>
      <w:bookmarkEnd w:id="118"/>
    </w:p>
    <w:p w14:paraId="574BA09A" w14:textId="77777777" w:rsidR="001E7C3C" w:rsidRPr="00B004EE" w:rsidRDefault="001E7C3C" w:rsidP="00B004EE">
      <w:pPr>
        <w:pStyle w:val="Lgende"/>
        <w:jc w:val="center"/>
        <w:rPr>
          <w:rFonts w:ascii="Tahoma" w:eastAsia="American Typewriter" w:hAnsi="Tahoma" w:cs="Tahoma"/>
        </w:rPr>
      </w:pPr>
    </w:p>
    <w:p w14:paraId="0B5D09BE" w14:textId="5E391F59" w:rsidR="001E7C3C" w:rsidRPr="00B004EE" w:rsidRDefault="001E7C3C" w:rsidP="00B004EE">
      <w:pPr>
        <w:pStyle w:val="Corpsdetexte"/>
        <w:ind w:right="158"/>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79</w:t>
      </w:r>
      <w:r w:rsidR="00DB1635" w:rsidRPr="00B004EE">
        <w:rPr>
          <w:rFonts w:ascii="Tahoma" w:eastAsia="American Typewriter" w:hAnsi="Tahoma" w:cs="Tahoma"/>
          <w:b/>
          <w:bCs/>
          <w:spacing w:val="-1"/>
          <w:sz w:val="20"/>
          <w:szCs w:val="20"/>
        </w:rPr>
        <w:t xml:space="preserve"> </w:t>
      </w:r>
      <w:r w:rsidRPr="00B004EE">
        <w:rPr>
          <w:rFonts w:ascii="Tahoma" w:eastAsia="American Typewriter" w:hAnsi="Tahoma" w:cs="Tahoma"/>
          <w:b/>
          <w:bCs/>
          <w:sz w:val="20"/>
          <w:szCs w:val="20"/>
        </w:rPr>
        <w:t>:</w:t>
      </w:r>
      <w:r w:rsidR="00DB1635" w:rsidRPr="00B004EE">
        <w:rPr>
          <w:rFonts w:ascii="Tahoma" w:eastAsia="American Typewriter" w:hAnsi="Tahoma" w:cs="Tahoma"/>
          <w:b/>
          <w:bCs/>
          <w:spacing w:val="1"/>
          <w:sz w:val="20"/>
          <w:szCs w:val="20"/>
        </w:rPr>
        <w:t xml:space="preserve"> </w:t>
      </w:r>
      <w:r w:rsidRPr="00B004EE">
        <w:rPr>
          <w:rFonts w:ascii="Tahoma" w:hAnsi="Tahoma" w:cs="Tahoma"/>
          <w:sz w:val="20"/>
          <w:szCs w:val="20"/>
        </w:rPr>
        <w:t>Si</w:t>
      </w:r>
      <w:r w:rsidR="00DB1635" w:rsidRPr="00B004EE">
        <w:rPr>
          <w:rFonts w:ascii="Tahoma" w:hAnsi="Tahoma" w:cs="Tahoma"/>
          <w:spacing w:val="-2"/>
          <w:sz w:val="20"/>
          <w:szCs w:val="20"/>
        </w:rPr>
        <w:t xml:space="preserve"> </w:t>
      </w:r>
      <w:r w:rsidRPr="00B004EE">
        <w:rPr>
          <w:rFonts w:ascii="Tahoma" w:hAnsi="Tahoma" w:cs="Tahoma"/>
          <w:sz w:val="20"/>
          <w:szCs w:val="20"/>
        </w:rPr>
        <w:t>les</w:t>
      </w:r>
      <w:r w:rsidR="00DB1635" w:rsidRPr="00B004EE">
        <w:rPr>
          <w:rFonts w:ascii="Tahoma" w:hAnsi="Tahoma" w:cs="Tahoma"/>
          <w:spacing w:val="-3"/>
          <w:sz w:val="20"/>
          <w:szCs w:val="20"/>
        </w:rPr>
        <w:t xml:space="preserve"> </w:t>
      </w:r>
      <w:r w:rsidRPr="00B004EE">
        <w:rPr>
          <w:rFonts w:ascii="Tahoma" w:hAnsi="Tahoma" w:cs="Tahoma"/>
          <w:sz w:val="20"/>
          <w:szCs w:val="20"/>
        </w:rPr>
        <w:t>captures</w:t>
      </w:r>
      <w:r w:rsidR="00DB1635" w:rsidRPr="00B004EE">
        <w:rPr>
          <w:rFonts w:ascii="Tahoma" w:hAnsi="Tahoma" w:cs="Tahoma"/>
          <w:spacing w:val="-4"/>
          <w:sz w:val="20"/>
          <w:szCs w:val="20"/>
        </w:rPr>
        <w:t xml:space="preserve"> </w:t>
      </w:r>
      <w:r w:rsidRPr="00B004EE">
        <w:rPr>
          <w:rFonts w:ascii="Tahoma" w:hAnsi="Tahoma" w:cs="Tahoma"/>
          <w:sz w:val="20"/>
          <w:szCs w:val="20"/>
        </w:rPr>
        <w:t>saisies</w:t>
      </w:r>
      <w:r w:rsidR="00DB1635" w:rsidRPr="00B004EE">
        <w:rPr>
          <w:rFonts w:ascii="Tahoma" w:hAnsi="Tahoma" w:cs="Tahoma"/>
          <w:spacing w:val="-4"/>
          <w:sz w:val="20"/>
          <w:szCs w:val="20"/>
        </w:rPr>
        <w:t xml:space="preserve"> </w:t>
      </w:r>
      <w:r w:rsidRPr="00B004EE">
        <w:rPr>
          <w:rFonts w:ascii="Tahoma" w:hAnsi="Tahoma" w:cs="Tahoma"/>
          <w:sz w:val="20"/>
          <w:szCs w:val="20"/>
        </w:rPr>
        <w:t>aux</w:t>
      </w:r>
      <w:r w:rsidR="00DB1635" w:rsidRPr="00B004EE">
        <w:rPr>
          <w:rFonts w:ascii="Tahoma" w:hAnsi="Tahoma" w:cs="Tahoma"/>
          <w:spacing w:val="-4"/>
          <w:sz w:val="20"/>
          <w:szCs w:val="20"/>
        </w:rPr>
        <w:t xml:space="preserve"> </w:t>
      </w:r>
      <w:r w:rsidRPr="00B004EE">
        <w:rPr>
          <w:rFonts w:ascii="Tahoma" w:hAnsi="Tahoma" w:cs="Tahoma"/>
          <w:sz w:val="20"/>
          <w:szCs w:val="20"/>
        </w:rPr>
        <w:t>termes</w:t>
      </w:r>
      <w:r w:rsidR="00DB1635" w:rsidRPr="00B004EE">
        <w:rPr>
          <w:rFonts w:ascii="Tahoma" w:hAnsi="Tahoma" w:cs="Tahoma"/>
          <w:spacing w:val="-4"/>
          <w:sz w:val="20"/>
          <w:szCs w:val="20"/>
        </w:rPr>
        <w:t xml:space="preserve"> </w:t>
      </w:r>
      <w:r w:rsidRPr="00B004EE">
        <w:rPr>
          <w:rFonts w:ascii="Tahoma" w:hAnsi="Tahoma" w:cs="Tahoma"/>
          <w:sz w:val="20"/>
          <w:szCs w:val="20"/>
        </w:rPr>
        <w:t>de</w:t>
      </w:r>
      <w:r w:rsidR="00DB1635" w:rsidRPr="00B004EE">
        <w:rPr>
          <w:rFonts w:ascii="Tahoma" w:hAnsi="Tahoma" w:cs="Tahoma"/>
          <w:spacing w:val="-4"/>
          <w:sz w:val="20"/>
          <w:szCs w:val="20"/>
        </w:rPr>
        <w:t xml:space="preserve"> </w:t>
      </w:r>
      <w:r w:rsidRPr="00B004EE">
        <w:rPr>
          <w:rFonts w:ascii="Tahoma" w:hAnsi="Tahoma" w:cs="Tahoma"/>
          <w:sz w:val="20"/>
          <w:szCs w:val="20"/>
        </w:rPr>
        <w:t>l'article</w:t>
      </w:r>
      <w:r w:rsidR="00DB1635" w:rsidRPr="00B004EE">
        <w:rPr>
          <w:rFonts w:ascii="Tahoma" w:hAnsi="Tahoma" w:cs="Tahoma"/>
          <w:spacing w:val="-18"/>
          <w:sz w:val="20"/>
          <w:szCs w:val="20"/>
        </w:rPr>
        <w:t xml:space="preserve"> </w:t>
      </w:r>
      <w:r w:rsidRPr="00B004EE">
        <w:rPr>
          <w:rFonts w:ascii="Tahoma" w:hAnsi="Tahoma" w:cs="Tahoma"/>
          <w:sz w:val="20"/>
          <w:szCs w:val="20"/>
        </w:rPr>
        <w:t>70</w:t>
      </w:r>
      <w:r w:rsidR="00DB1635" w:rsidRPr="00B004EE">
        <w:rPr>
          <w:rFonts w:ascii="Tahoma" w:hAnsi="Tahoma" w:cs="Tahoma"/>
          <w:spacing w:val="-4"/>
          <w:sz w:val="20"/>
          <w:szCs w:val="20"/>
        </w:rPr>
        <w:t xml:space="preserve"> </w:t>
      </w:r>
      <w:r w:rsidRPr="00B004EE">
        <w:rPr>
          <w:rFonts w:ascii="Tahoma" w:hAnsi="Tahoma" w:cs="Tahoma"/>
          <w:sz w:val="20"/>
          <w:szCs w:val="20"/>
        </w:rPr>
        <w:t>ci-dessus</w:t>
      </w:r>
      <w:r w:rsidR="00DB1635" w:rsidRPr="00B004EE">
        <w:rPr>
          <w:rFonts w:ascii="Tahoma" w:hAnsi="Tahoma" w:cs="Tahoma"/>
          <w:spacing w:val="-4"/>
          <w:sz w:val="20"/>
          <w:szCs w:val="20"/>
        </w:rPr>
        <w:t xml:space="preserve"> </w:t>
      </w:r>
      <w:r w:rsidRPr="00B004EE">
        <w:rPr>
          <w:rFonts w:ascii="Tahoma" w:hAnsi="Tahoma" w:cs="Tahoma"/>
          <w:sz w:val="20"/>
          <w:szCs w:val="20"/>
        </w:rPr>
        <w:t>provenant</w:t>
      </w:r>
      <w:r w:rsidR="00DB1635" w:rsidRPr="00B004EE">
        <w:rPr>
          <w:rFonts w:ascii="Tahoma" w:hAnsi="Tahoma" w:cs="Tahoma"/>
          <w:w w:val="96"/>
          <w:sz w:val="20"/>
          <w:szCs w:val="20"/>
        </w:rPr>
        <w:t xml:space="preserve"> </w:t>
      </w:r>
      <w:r w:rsidRPr="00B004EE">
        <w:rPr>
          <w:rFonts w:ascii="Tahoma" w:hAnsi="Tahoma" w:cs="Tahoma"/>
          <w:sz w:val="20"/>
          <w:szCs w:val="20"/>
        </w:rPr>
        <w:t>d'activités</w:t>
      </w:r>
      <w:r w:rsidR="00DB1635" w:rsidRPr="00B004EE">
        <w:rPr>
          <w:rFonts w:ascii="Tahoma" w:hAnsi="Tahoma" w:cs="Tahoma"/>
          <w:spacing w:val="-28"/>
          <w:sz w:val="20"/>
          <w:szCs w:val="20"/>
        </w:rPr>
        <w:t xml:space="preserve"> </w:t>
      </w:r>
      <w:r w:rsidRPr="00B004EE">
        <w:rPr>
          <w:rFonts w:ascii="Tahoma" w:hAnsi="Tahoma" w:cs="Tahoma"/>
          <w:sz w:val="20"/>
          <w:szCs w:val="20"/>
        </w:rPr>
        <w:t>de</w:t>
      </w:r>
      <w:r w:rsidR="00DB1635" w:rsidRPr="00B004EE">
        <w:rPr>
          <w:rFonts w:ascii="Tahoma" w:hAnsi="Tahoma" w:cs="Tahoma"/>
          <w:spacing w:val="-27"/>
          <w:sz w:val="20"/>
          <w:szCs w:val="20"/>
        </w:rPr>
        <w:t xml:space="preserve"> </w:t>
      </w:r>
      <w:r w:rsidRPr="00B004EE">
        <w:rPr>
          <w:rFonts w:ascii="Tahoma" w:hAnsi="Tahoma" w:cs="Tahoma"/>
          <w:sz w:val="20"/>
          <w:szCs w:val="20"/>
        </w:rPr>
        <w:t>pêche</w:t>
      </w:r>
      <w:r w:rsidR="00DB1635" w:rsidRPr="00B004EE">
        <w:rPr>
          <w:rFonts w:ascii="Tahoma" w:hAnsi="Tahoma" w:cs="Tahoma"/>
          <w:spacing w:val="-28"/>
          <w:sz w:val="20"/>
          <w:szCs w:val="20"/>
        </w:rPr>
        <w:t xml:space="preserve"> </w:t>
      </w:r>
      <w:r w:rsidRPr="00B004EE">
        <w:rPr>
          <w:rFonts w:ascii="Tahoma" w:hAnsi="Tahoma" w:cs="Tahoma"/>
          <w:sz w:val="20"/>
          <w:szCs w:val="20"/>
        </w:rPr>
        <w:t>prohibées</w:t>
      </w:r>
      <w:r w:rsidR="00DB1635" w:rsidRPr="00B004EE">
        <w:rPr>
          <w:rFonts w:ascii="Tahoma" w:hAnsi="Tahoma" w:cs="Tahoma"/>
          <w:spacing w:val="-28"/>
          <w:sz w:val="20"/>
          <w:szCs w:val="20"/>
        </w:rPr>
        <w:t xml:space="preserve"> </w:t>
      </w:r>
      <w:r w:rsidRPr="00B004EE">
        <w:rPr>
          <w:rFonts w:ascii="Tahoma" w:hAnsi="Tahoma" w:cs="Tahoma"/>
          <w:sz w:val="20"/>
          <w:szCs w:val="20"/>
        </w:rPr>
        <w:t>sont</w:t>
      </w:r>
      <w:r w:rsidR="00DB1635" w:rsidRPr="00B004EE">
        <w:rPr>
          <w:rFonts w:ascii="Tahoma" w:hAnsi="Tahoma" w:cs="Tahoma"/>
          <w:spacing w:val="-27"/>
          <w:sz w:val="20"/>
          <w:szCs w:val="20"/>
        </w:rPr>
        <w:t xml:space="preserve"> </w:t>
      </w:r>
      <w:r w:rsidRPr="00B004EE">
        <w:rPr>
          <w:rFonts w:ascii="Tahoma" w:hAnsi="Tahoma" w:cs="Tahoma"/>
          <w:sz w:val="20"/>
          <w:szCs w:val="20"/>
        </w:rPr>
        <w:t>susceptibles</w:t>
      </w:r>
      <w:r w:rsidR="00DB1635" w:rsidRPr="00B004EE">
        <w:rPr>
          <w:rFonts w:ascii="Tahoma" w:hAnsi="Tahoma" w:cs="Tahoma"/>
          <w:spacing w:val="-28"/>
          <w:sz w:val="20"/>
          <w:szCs w:val="20"/>
        </w:rPr>
        <w:t xml:space="preserve"> </w:t>
      </w:r>
      <w:r w:rsidRPr="00B004EE">
        <w:rPr>
          <w:rFonts w:ascii="Tahoma" w:hAnsi="Tahoma" w:cs="Tahoma"/>
          <w:sz w:val="20"/>
          <w:szCs w:val="20"/>
        </w:rPr>
        <w:t>de</w:t>
      </w:r>
      <w:r w:rsidR="00DB1635" w:rsidRPr="00B004EE">
        <w:rPr>
          <w:rFonts w:ascii="Tahoma" w:hAnsi="Tahoma" w:cs="Tahoma"/>
          <w:spacing w:val="-27"/>
          <w:sz w:val="20"/>
          <w:szCs w:val="20"/>
        </w:rPr>
        <w:t xml:space="preserve"> </w:t>
      </w:r>
      <w:r w:rsidRPr="00B004EE">
        <w:rPr>
          <w:rFonts w:ascii="Tahoma" w:hAnsi="Tahoma" w:cs="Tahoma"/>
          <w:sz w:val="20"/>
          <w:szCs w:val="20"/>
        </w:rPr>
        <w:t>se</w:t>
      </w:r>
      <w:r w:rsidR="00DB1635" w:rsidRPr="00B004EE">
        <w:rPr>
          <w:rFonts w:ascii="Tahoma" w:hAnsi="Tahoma" w:cs="Tahoma"/>
          <w:spacing w:val="-29"/>
          <w:sz w:val="20"/>
          <w:szCs w:val="20"/>
        </w:rPr>
        <w:t xml:space="preserve"> </w:t>
      </w:r>
      <w:r w:rsidRPr="00B004EE">
        <w:rPr>
          <w:rFonts w:ascii="Tahoma" w:hAnsi="Tahoma" w:cs="Tahoma"/>
          <w:sz w:val="20"/>
          <w:szCs w:val="20"/>
        </w:rPr>
        <w:t>détériorer,</w:t>
      </w:r>
      <w:r w:rsidR="00DB1635" w:rsidRPr="00B004EE">
        <w:rPr>
          <w:rFonts w:ascii="Tahoma" w:hAnsi="Tahoma" w:cs="Tahoma"/>
          <w:spacing w:val="-26"/>
          <w:sz w:val="20"/>
          <w:szCs w:val="20"/>
        </w:rPr>
        <w:t xml:space="preserve"> </w:t>
      </w:r>
      <w:r w:rsidRPr="00B004EE">
        <w:rPr>
          <w:rFonts w:ascii="Tahoma" w:hAnsi="Tahoma" w:cs="Tahoma"/>
          <w:sz w:val="20"/>
          <w:szCs w:val="20"/>
        </w:rPr>
        <w:t>le</w:t>
      </w:r>
      <w:r w:rsidR="00DB1635" w:rsidRPr="00B004EE">
        <w:rPr>
          <w:rFonts w:ascii="Tahoma" w:hAnsi="Tahoma" w:cs="Tahoma"/>
          <w:spacing w:val="-29"/>
          <w:sz w:val="20"/>
          <w:szCs w:val="20"/>
        </w:rPr>
        <w:t xml:space="preserve"> </w:t>
      </w:r>
      <w:r w:rsidRPr="00B004EE">
        <w:rPr>
          <w:rFonts w:ascii="Tahoma" w:hAnsi="Tahoma" w:cs="Tahoma"/>
          <w:sz w:val="20"/>
          <w:szCs w:val="20"/>
        </w:rPr>
        <w:t>ministre</w:t>
      </w:r>
      <w:r w:rsidR="00DB1635" w:rsidRPr="00B004EE">
        <w:rPr>
          <w:rFonts w:ascii="Tahoma" w:hAnsi="Tahoma" w:cs="Tahoma"/>
          <w:spacing w:val="-28"/>
          <w:sz w:val="20"/>
          <w:szCs w:val="20"/>
        </w:rPr>
        <w:t xml:space="preserve"> </w:t>
      </w:r>
      <w:r w:rsidRPr="00B004EE">
        <w:rPr>
          <w:rFonts w:ascii="Tahoma" w:hAnsi="Tahoma" w:cs="Tahoma"/>
          <w:sz w:val="20"/>
          <w:szCs w:val="20"/>
        </w:rPr>
        <w:t>chargé</w:t>
      </w:r>
      <w:r w:rsidR="00DB1635" w:rsidRPr="00B004EE">
        <w:rPr>
          <w:rFonts w:ascii="Tahoma" w:hAnsi="Tahoma" w:cs="Tahoma"/>
          <w:w w:val="94"/>
          <w:sz w:val="20"/>
          <w:szCs w:val="20"/>
        </w:rPr>
        <w:t xml:space="preserve"> </w:t>
      </w:r>
      <w:r w:rsidRPr="00B004EE">
        <w:rPr>
          <w:rFonts w:ascii="Tahoma" w:hAnsi="Tahoma" w:cs="Tahoma"/>
          <w:sz w:val="20"/>
          <w:szCs w:val="20"/>
        </w:rPr>
        <w:t>des</w:t>
      </w:r>
      <w:r w:rsidR="00DB1635" w:rsidRPr="00B004EE">
        <w:rPr>
          <w:rFonts w:ascii="Tahoma" w:hAnsi="Tahoma" w:cs="Tahoma"/>
          <w:spacing w:val="-7"/>
          <w:sz w:val="20"/>
          <w:szCs w:val="20"/>
        </w:rPr>
        <w:t xml:space="preserve"> </w:t>
      </w:r>
      <w:r w:rsidRPr="00B004EE">
        <w:rPr>
          <w:rFonts w:ascii="Tahoma" w:hAnsi="Tahoma" w:cs="Tahoma"/>
          <w:sz w:val="20"/>
          <w:szCs w:val="20"/>
        </w:rPr>
        <w:t>pêches</w:t>
      </w:r>
      <w:r w:rsidR="00DB1635" w:rsidRPr="00B004EE">
        <w:rPr>
          <w:rFonts w:ascii="Tahoma" w:hAnsi="Tahoma" w:cs="Tahoma"/>
          <w:spacing w:val="-7"/>
          <w:sz w:val="20"/>
          <w:szCs w:val="20"/>
        </w:rPr>
        <w:t xml:space="preserve"> </w:t>
      </w:r>
      <w:r w:rsidRPr="00B004EE">
        <w:rPr>
          <w:rFonts w:ascii="Tahoma" w:hAnsi="Tahoma" w:cs="Tahoma"/>
          <w:sz w:val="20"/>
          <w:szCs w:val="20"/>
        </w:rPr>
        <w:t>ou</w:t>
      </w:r>
      <w:r w:rsidR="00DB1635" w:rsidRPr="00B004EE">
        <w:rPr>
          <w:rFonts w:ascii="Tahoma" w:hAnsi="Tahoma" w:cs="Tahoma"/>
          <w:spacing w:val="-6"/>
          <w:sz w:val="20"/>
          <w:szCs w:val="20"/>
        </w:rPr>
        <w:t xml:space="preserve"> </w:t>
      </w:r>
      <w:r w:rsidRPr="00B004EE">
        <w:rPr>
          <w:rFonts w:ascii="Tahoma" w:eastAsia="American Typewriter" w:hAnsi="Tahoma" w:cs="Tahoma"/>
          <w:sz w:val="20"/>
          <w:szCs w:val="20"/>
        </w:rPr>
        <w:t>l’autorité</w:t>
      </w:r>
      <w:r w:rsidR="00DB1635" w:rsidRPr="00B004EE">
        <w:rPr>
          <w:rFonts w:ascii="Tahoma" w:eastAsia="American Typewriter" w:hAnsi="Tahoma" w:cs="Tahoma"/>
          <w:spacing w:val="-6"/>
          <w:sz w:val="20"/>
          <w:szCs w:val="20"/>
        </w:rPr>
        <w:t xml:space="preserve"> </w:t>
      </w:r>
      <w:r w:rsidRPr="00B004EE">
        <w:rPr>
          <w:rFonts w:ascii="Tahoma" w:eastAsia="American Typewriter" w:hAnsi="Tahoma" w:cs="Tahoma"/>
          <w:sz w:val="20"/>
          <w:szCs w:val="20"/>
        </w:rPr>
        <w:t>compét</w:t>
      </w:r>
      <w:r w:rsidRPr="00B004EE">
        <w:rPr>
          <w:rFonts w:ascii="Tahoma" w:hAnsi="Tahoma" w:cs="Tahoma"/>
          <w:sz w:val="20"/>
          <w:szCs w:val="20"/>
        </w:rPr>
        <w:t>ente</w:t>
      </w:r>
      <w:r w:rsidR="00DB1635" w:rsidRPr="00B004EE">
        <w:rPr>
          <w:rFonts w:ascii="Tahoma" w:hAnsi="Tahoma" w:cs="Tahoma"/>
          <w:spacing w:val="-6"/>
          <w:sz w:val="20"/>
          <w:szCs w:val="20"/>
        </w:rPr>
        <w:t xml:space="preserve"> </w:t>
      </w:r>
      <w:r w:rsidRPr="00B004EE">
        <w:rPr>
          <w:rFonts w:ascii="Tahoma" w:hAnsi="Tahoma" w:cs="Tahoma"/>
          <w:sz w:val="20"/>
          <w:szCs w:val="20"/>
        </w:rPr>
        <w:t>désignée</w:t>
      </w:r>
      <w:r w:rsidR="00DB1635" w:rsidRPr="00B004EE">
        <w:rPr>
          <w:rFonts w:ascii="Tahoma" w:hAnsi="Tahoma" w:cs="Tahoma"/>
          <w:spacing w:val="-6"/>
          <w:sz w:val="20"/>
          <w:szCs w:val="20"/>
        </w:rPr>
        <w:t xml:space="preserve"> </w:t>
      </w:r>
      <w:r w:rsidRPr="00B004EE">
        <w:rPr>
          <w:rFonts w:ascii="Tahoma" w:hAnsi="Tahoma" w:cs="Tahoma"/>
          <w:sz w:val="20"/>
          <w:szCs w:val="20"/>
        </w:rPr>
        <w:t>à</w:t>
      </w:r>
      <w:r w:rsidR="00DB1635" w:rsidRPr="00B004EE">
        <w:rPr>
          <w:rFonts w:ascii="Tahoma" w:hAnsi="Tahoma" w:cs="Tahoma"/>
          <w:spacing w:val="-6"/>
          <w:sz w:val="20"/>
          <w:szCs w:val="20"/>
        </w:rPr>
        <w:t xml:space="preserve"> </w:t>
      </w:r>
      <w:r w:rsidRPr="00B004EE">
        <w:rPr>
          <w:rFonts w:ascii="Tahoma" w:hAnsi="Tahoma" w:cs="Tahoma"/>
          <w:sz w:val="20"/>
          <w:szCs w:val="20"/>
        </w:rPr>
        <w:t>cet</w:t>
      </w:r>
      <w:r w:rsidR="00DB1635" w:rsidRPr="00B004EE">
        <w:rPr>
          <w:rFonts w:ascii="Tahoma" w:hAnsi="Tahoma" w:cs="Tahoma"/>
          <w:spacing w:val="-6"/>
          <w:sz w:val="20"/>
          <w:szCs w:val="20"/>
        </w:rPr>
        <w:t xml:space="preserve"> </w:t>
      </w:r>
      <w:r w:rsidRPr="00B004EE">
        <w:rPr>
          <w:rFonts w:ascii="Tahoma" w:hAnsi="Tahoma" w:cs="Tahoma"/>
          <w:sz w:val="20"/>
          <w:szCs w:val="20"/>
        </w:rPr>
        <w:t>effet</w:t>
      </w:r>
      <w:r w:rsidR="00DB1635" w:rsidRPr="00B004EE">
        <w:rPr>
          <w:rFonts w:ascii="Tahoma" w:hAnsi="Tahoma" w:cs="Tahoma"/>
          <w:spacing w:val="-6"/>
          <w:sz w:val="20"/>
          <w:szCs w:val="20"/>
        </w:rPr>
        <w:t xml:space="preserve"> </w:t>
      </w:r>
      <w:r w:rsidRPr="00B004EE">
        <w:rPr>
          <w:rFonts w:ascii="Tahoma" w:hAnsi="Tahoma" w:cs="Tahoma"/>
          <w:sz w:val="20"/>
          <w:szCs w:val="20"/>
        </w:rPr>
        <w:t>fait</w:t>
      </w:r>
      <w:r w:rsidR="00DB1635" w:rsidRPr="00B004EE">
        <w:rPr>
          <w:rFonts w:ascii="Tahoma" w:hAnsi="Tahoma" w:cs="Tahoma"/>
          <w:spacing w:val="-6"/>
          <w:sz w:val="20"/>
          <w:szCs w:val="20"/>
        </w:rPr>
        <w:t xml:space="preserve"> </w:t>
      </w:r>
      <w:r w:rsidRPr="00B004EE">
        <w:rPr>
          <w:rFonts w:ascii="Tahoma" w:hAnsi="Tahoma" w:cs="Tahoma"/>
          <w:sz w:val="20"/>
          <w:szCs w:val="20"/>
        </w:rPr>
        <w:t>procéder</w:t>
      </w:r>
      <w:r w:rsidR="00DB1635" w:rsidRPr="00B004EE">
        <w:rPr>
          <w:rFonts w:ascii="Tahoma" w:hAnsi="Tahoma" w:cs="Tahoma"/>
          <w:spacing w:val="-7"/>
          <w:sz w:val="20"/>
          <w:szCs w:val="20"/>
        </w:rPr>
        <w:t xml:space="preserve"> </w:t>
      </w:r>
      <w:r w:rsidRPr="00B004EE">
        <w:rPr>
          <w:rFonts w:ascii="Tahoma" w:hAnsi="Tahoma" w:cs="Tahoma"/>
          <w:sz w:val="20"/>
          <w:szCs w:val="20"/>
        </w:rPr>
        <w:t>à</w:t>
      </w:r>
      <w:r w:rsidR="00DB1635" w:rsidRPr="00B004EE">
        <w:rPr>
          <w:rFonts w:ascii="Tahoma" w:hAnsi="Tahoma" w:cs="Tahoma"/>
          <w:spacing w:val="-6"/>
          <w:sz w:val="20"/>
          <w:szCs w:val="20"/>
        </w:rPr>
        <w:t xml:space="preserve"> </w:t>
      </w:r>
      <w:r w:rsidRPr="00B004EE">
        <w:rPr>
          <w:rFonts w:ascii="Tahoma" w:hAnsi="Tahoma" w:cs="Tahoma"/>
          <w:sz w:val="20"/>
          <w:szCs w:val="20"/>
        </w:rPr>
        <w:t>leur</w:t>
      </w:r>
      <w:r w:rsidR="00DB1635" w:rsidRPr="00B004EE">
        <w:rPr>
          <w:rFonts w:ascii="Tahoma" w:hAnsi="Tahoma" w:cs="Tahoma"/>
          <w:spacing w:val="-8"/>
          <w:sz w:val="20"/>
          <w:szCs w:val="20"/>
        </w:rPr>
        <w:t xml:space="preserve"> </w:t>
      </w:r>
      <w:r w:rsidRPr="00B004EE">
        <w:rPr>
          <w:rFonts w:ascii="Tahoma" w:hAnsi="Tahoma" w:cs="Tahoma"/>
          <w:sz w:val="20"/>
          <w:szCs w:val="20"/>
        </w:rPr>
        <w:t>vente</w:t>
      </w:r>
      <w:r w:rsidR="00DB1635" w:rsidRPr="00B004EE">
        <w:rPr>
          <w:rFonts w:ascii="Tahoma" w:hAnsi="Tahoma" w:cs="Tahoma"/>
          <w:w w:val="95"/>
          <w:sz w:val="20"/>
          <w:szCs w:val="20"/>
        </w:rPr>
        <w:t xml:space="preserve"> </w:t>
      </w:r>
      <w:r w:rsidRPr="00B004EE">
        <w:rPr>
          <w:rFonts w:ascii="Tahoma" w:hAnsi="Tahoma" w:cs="Tahoma"/>
          <w:sz w:val="20"/>
          <w:szCs w:val="20"/>
        </w:rPr>
        <w:t>immédiate</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défaut,</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leur</w:t>
      </w:r>
      <w:r w:rsidR="00DB1635" w:rsidRPr="00B004EE">
        <w:rPr>
          <w:rFonts w:ascii="Tahoma" w:hAnsi="Tahoma" w:cs="Tahoma"/>
          <w:sz w:val="20"/>
          <w:szCs w:val="20"/>
        </w:rPr>
        <w:t xml:space="preserve"> </w:t>
      </w:r>
      <w:r w:rsidRPr="00B004EE">
        <w:rPr>
          <w:rFonts w:ascii="Tahoma" w:hAnsi="Tahoma" w:cs="Tahoma"/>
          <w:sz w:val="20"/>
          <w:szCs w:val="20"/>
        </w:rPr>
        <w:t>cession</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collectivités</w:t>
      </w:r>
      <w:r w:rsidR="00DB1635" w:rsidRPr="00B004EE">
        <w:rPr>
          <w:rFonts w:ascii="Tahoma" w:hAnsi="Tahoma" w:cs="Tahoma"/>
          <w:sz w:val="20"/>
          <w:szCs w:val="20"/>
        </w:rPr>
        <w:t xml:space="preserve"> </w:t>
      </w:r>
      <w:r w:rsidRPr="00B004EE">
        <w:rPr>
          <w:rFonts w:ascii="Tahoma" w:hAnsi="Tahoma" w:cs="Tahoma"/>
          <w:sz w:val="20"/>
          <w:szCs w:val="20"/>
        </w:rPr>
        <w:t>locales</w:t>
      </w:r>
      <w:r w:rsidR="00DB1635" w:rsidRPr="00B004EE">
        <w:rPr>
          <w:rFonts w:ascii="Tahoma" w:hAnsi="Tahoma" w:cs="Tahoma"/>
          <w:sz w:val="20"/>
          <w:szCs w:val="20"/>
        </w:rPr>
        <w:t xml:space="preserve"> </w:t>
      </w:r>
      <w:r w:rsidRPr="00B004EE">
        <w:rPr>
          <w:rFonts w:ascii="Tahoma" w:hAnsi="Tahoma" w:cs="Tahoma"/>
          <w:sz w:val="20"/>
          <w:szCs w:val="20"/>
        </w:rPr>
        <w:t>qu'elle</w:t>
      </w:r>
      <w:r w:rsidR="00DB1635" w:rsidRPr="00B004EE">
        <w:rPr>
          <w:rFonts w:ascii="Tahoma" w:hAnsi="Tahoma" w:cs="Tahoma"/>
          <w:spacing w:val="23"/>
          <w:sz w:val="20"/>
          <w:szCs w:val="20"/>
        </w:rPr>
        <w:t xml:space="preserve"> </w:t>
      </w:r>
      <w:r w:rsidRPr="00B004EE">
        <w:rPr>
          <w:rFonts w:ascii="Tahoma" w:hAnsi="Tahoma" w:cs="Tahoma"/>
          <w:sz w:val="20"/>
          <w:szCs w:val="20"/>
        </w:rPr>
        <w:t>aura</w:t>
      </w:r>
      <w:r w:rsidR="00DB1635" w:rsidRPr="00B004EE">
        <w:rPr>
          <w:rFonts w:ascii="Tahoma" w:hAnsi="Tahoma" w:cs="Tahoma"/>
          <w:w w:val="98"/>
          <w:sz w:val="20"/>
          <w:szCs w:val="20"/>
        </w:rPr>
        <w:t xml:space="preserve"> </w:t>
      </w:r>
      <w:r w:rsidRPr="00B004EE">
        <w:rPr>
          <w:rFonts w:ascii="Tahoma" w:hAnsi="Tahoma" w:cs="Tahoma"/>
          <w:sz w:val="20"/>
          <w:szCs w:val="20"/>
        </w:rPr>
        <w:t>désignées.</w:t>
      </w:r>
      <w:r w:rsidR="00DB1635" w:rsidRPr="00B004EE">
        <w:rPr>
          <w:rFonts w:ascii="Tahoma" w:hAnsi="Tahoma" w:cs="Tahoma"/>
          <w:spacing w:val="-22"/>
          <w:sz w:val="20"/>
          <w:szCs w:val="20"/>
        </w:rPr>
        <w:t xml:space="preserve"> </w:t>
      </w:r>
      <w:r w:rsidRPr="00B004EE">
        <w:rPr>
          <w:rFonts w:ascii="Tahoma" w:hAnsi="Tahoma" w:cs="Tahoma"/>
          <w:sz w:val="20"/>
          <w:szCs w:val="20"/>
        </w:rPr>
        <w:t>Le</w:t>
      </w:r>
      <w:r w:rsidR="00DB1635" w:rsidRPr="00B004EE">
        <w:rPr>
          <w:rFonts w:ascii="Tahoma" w:hAnsi="Tahoma" w:cs="Tahoma"/>
          <w:spacing w:val="-22"/>
          <w:sz w:val="20"/>
          <w:szCs w:val="20"/>
        </w:rPr>
        <w:t xml:space="preserve"> </w:t>
      </w:r>
      <w:r w:rsidRPr="00B004EE">
        <w:rPr>
          <w:rFonts w:ascii="Tahoma" w:hAnsi="Tahoma" w:cs="Tahoma"/>
          <w:sz w:val="20"/>
          <w:szCs w:val="20"/>
        </w:rPr>
        <w:t>produit</w:t>
      </w:r>
      <w:r w:rsidR="00DB1635" w:rsidRPr="00B004EE">
        <w:rPr>
          <w:rFonts w:ascii="Tahoma" w:hAnsi="Tahoma" w:cs="Tahoma"/>
          <w:spacing w:val="-22"/>
          <w:sz w:val="20"/>
          <w:szCs w:val="20"/>
        </w:rPr>
        <w:t xml:space="preserve"> </w:t>
      </w:r>
      <w:r w:rsidRPr="00B004EE">
        <w:rPr>
          <w:rFonts w:ascii="Tahoma" w:hAnsi="Tahoma" w:cs="Tahoma"/>
          <w:sz w:val="20"/>
          <w:szCs w:val="20"/>
        </w:rPr>
        <w:t>de</w:t>
      </w:r>
      <w:r w:rsidR="00DB1635" w:rsidRPr="00B004EE">
        <w:rPr>
          <w:rFonts w:ascii="Tahoma" w:hAnsi="Tahoma" w:cs="Tahoma"/>
          <w:spacing w:val="-22"/>
          <w:sz w:val="20"/>
          <w:szCs w:val="20"/>
        </w:rPr>
        <w:t xml:space="preserve"> </w:t>
      </w:r>
      <w:r w:rsidRPr="00B004EE">
        <w:rPr>
          <w:rFonts w:ascii="Tahoma" w:hAnsi="Tahoma" w:cs="Tahoma"/>
          <w:sz w:val="20"/>
          <w:szCs w:val="20"/>
        </w:rPr>
        <w:t>la</w:t>
      </w:r>
      <w:r w:rsidR="00DB1635" w:rsidRPr="00B004EE">
        <w:rPr>
          <w:rFonts w:ascii="Tahoma" w:hAnsi="Tahoma" w:cs="Tahoma"/>
          <w:spacing w:val="-22"/>
          <w:sz w:val="20"/>
          <w:szCs w:val="20"/>
        </w:rPr>
        <w:t xml:space="preserve"> </w:t>
      </w:r>
      <w:r w:rsidRPr="00B004EE">
        <w:rPr>
          <w:rFonts w:ascii="Tahoma" w:hAnsi="Tahoma" w:cs="Tahoma"/>
          <w:sz w:val="20"/>
          <w:szCs w:val="20"/>
        </w:rPr>
        <w:t>vente</w:t>
      </w:r>
      <w:r w:rsidR="00DB1635" w:rsidRPr="00B004EE">
        <w:rPr>
          <w:rFonts w:ascii="Tahoma" w:hAnsi="Tahoma" w:cs="Tahoma"/>
          <w:spacing w:val="-22"/>
          <w:sz w:val="20"/>
          <w:szCs w:val="20"/>
        </w:rPr>
        <w:t xml:space="preserve"> </w:t>
      </w:r>
      <w:r w:rsidRPr="00B004EE">
        <w:rPr>
          <w:rFonts w:ascii="Tahoma" w:hAnsi="Tahoma" w:cs="Tahoma"/>
          <w:sz w:val="20"/>
          <w:szCs w:val="20"/>
        </w:rPr>
        <w:t>des</w:t>
      </w:r>
      <w:r w:rsidR="00DB1635" w:rsidRPr="00B004EE">
        <w:rPr>
          <w:rFonts w:ascii="Tahoma" w:hAnsi="Tahoma" w:cs="Tahoma"/>
          <w:spacing w:val="-23"/>
          <w:sz w:val="20"/>
          <w:szCs w:val="20"/>
        </w:rPr>
        <w:t xml:space="preserve"> </w:t>
      </w:r>
      <w:r w:rsidRPr="00B004EE">
        <w:rPr>
          <w:rFonts w:ascii="Tahoma" w:hAnsi="Tahoma" w:cs="Tahoma"/>
          <w:sz w:val="20"/>
          <w:szCs w:val="20"/>
        </w:rPr>
        <w:t>captures</w:t>
      </w:r>
      <w:r w:rsidR="00DB1635" w:rsidRPr="00B004EE">
        <w:rPr>
          <w:rFonts w:ascii="Tahoma" w:hAnsi="Tahoma" w:cs="Tahoma"/>
          <w:spacing w:val="-23"/>
          <w:sz w:val="20"/>
          <w:szCs w:val="20"/>
        </w:rPr>
        <w:t xml:space="preserve"> </w:t>
      </w:r>
      <w:r w:rsidRPr="00B004EE">
        <w:rPr>
          <w:rFonts w:ascii="Tahoma" w:hAnsi="Tahoma" w:cs="Tahoma"/>
          <w:sz w:val="20"/>
          <w:szCs w:val="20"/>
        </w:rPr>
        <w:t>est</w:t>
      </w:r>
      <w:r w:rsidR="00DB1635" w:rsidRPr="00B004EE">
        <w:rPr>
          <w:rFonts w:ascii="Tahoma" w:hAnsi="Tahoma" w:cs="Tahoma"/>
          <w:spacing w:val="-23"/>
          <w:sz w:val="20"/>
          <w:szCs w:val="20"/>
        </w:rPr>
        <w:t xml:space="preserve"> </w:t>
      </w:r>
      <w:r w:rsidRPr="00B004EE">
        <w:rPr>
          <w:rFonts w:ascii="Tahoma" w:hAnsi="Tahoma" w:cs="Tahoma"/>
          <w:sz w:val="20"/>
          <w:szCs w:val="20"/>
        </w:rPr>
        <w:t>consigné</w:t>
      </w:r>
      <w:r w:rsidR="00DB1635" w:rsidRPr="00B004EE">
        <w:rPr>
          <w:rFonts w:ascii="Tahoma" w:hAnsi="Tahoma" w:cs="Tahoma"/>
          <w:spacing w:val="-24"/>
          <w:sz w:val="20"/>
          <w:szCs w:val="20"/>
        </w:rPr>
        <w:t xml:space="preserve"> </w:t>
      </w:r>
      <w:r w:rsidRPr="00B004EE">
        <w:rPr>
          <w:rFonts w:ascii="Tahoma" w:hAnsi="Tahoma" w:cs="Tahoma"/>
          <w:sz w:val="20"/>
          <w:szCs w:val="20"/>
        </w:rPr>
        <w:t>auprès</w:t>
      </w:r>
      <w:r w:rsidR="00DB1635" w:rsidRPr="00B004EE">
        <w:rPr>
          <w:rFonts w:ascii="Tahoma" w:hAnsi="Tahoma" w:cs="Tahoma"/>
          <w:spacing w:val="-24"/>
          <w:sz w:val="20"/>
          <w:szCs w:val="20"/>
        </w:rPr>
        <w:t xml:space="preserve"> </w:t>
      </w:r>
      <w:r w:rsidRPr="00B004EE">
        <w:rPr>
          <w:rFonts w:ascii="Tahoma" w:hAnsi="Tahoma" w:cs="Tahoma"/>
          <w:sz w:val="20"/>
          <w:szCs w:val="20"/>
        </w:rPr>
        <w:t>du</w:t>
      </w:r>
      <w:r w:rsidR="00DB1635" w:rsidRPr="00B004EE">
        <w:rPr>
          <w:rFonts w:ascii="Tahoma" w:hAnsi="Tahoma" w:cs="Tahoma"/>
          <w:spacing w:val="-24"/>
          <w:sz w:val="20"/>
          <w:szCs w:val="20"/>
        </w:rPr>
        <w:t xml:space="preserve"> </w:t>
      </w:r>
      <w:r w:rsidRPr="00B004EE">
        <w:rPr>
          <w:rFonts w:ascii="Tahoma" w:hAnsi="Tahoma" w:cs="Tahoma"/>
          <w:sz w:val="20"/>
          <w:szCs w:val="20"/>
        </w:rPr>
        <w:t>Trésor</w:t>
      </w:r>
      <w:r w:rsidR="00DB1635" w:rsidRPr="00B004EE">
        <w:rPr>
          <w:rFonts w:ascii="Tahoma" w:hAnsi="Tahoma" w:cs="Tahoma"/>
          <w:spacing w:val="-24"/>
          <w:sz w:val="20"/>
          <w:szCs w:val="20"/>
        </w:rPr>
        <w:t xml:space="preserve"> </w:t>
      </w:r>
      <w:r w:rsidRPr="00B004EE">
        <w:rPr>
          <w:rFonts w:ascii="Tahoma" w:hAnsi="Tahoma" w:cs="Tahoma"/>
          <w:sz w:val="20"/>
          <w:szCs w:val="20"/>
        </w:rPr>
        <w:t>public</w:t>
      </w:r>
      <w:r w:rsidR="00DB1635" w:rsidRPr="00B004EE">
        <w:rPr>
          <w:rFonts w:ascii="Tahoma" w:hAnsi="Tahoma" w:cs="Tahoma"/>
          <w:w w:val="87"/>
          <w:sz w:val="20"/>
          <w:szCs w:val="20"/>
        </w:rPr>
        <w:t xml:space="preserve"> </w:t>
      </w:r>
      <w:r w:rsidRPr="00B004EE">
        <w:rPr>
          <w:rFonts w:ascii="Tahoma" w:hAnsi="Tahoma" w:cs="Tahoma"/>
          <w:sz w:val="20"/>
          <w:szCs w:val="20"/>
        </w:rPr>
        <w:t>jusqu'à</w:t>
      </w:r>
      <w:r w:rsidR="00DB1635" w:rsidRPr="00B004EE">
        <w:rPr>
          <w:rFonts w:ascii="Tahoma" w:hAnsi="Tahoma" w:cs="Tahoma"/>
          <w:spacing w:val="-35"/>
          <w:sz w:val="20"/>
          <w:szCs w:val="20"/>
        </w:rPr>
        <w:t xml:space="preserve"> </w:t>
      </w:r>
      <w:r w:rsidRPr="00B004EE">
        <w:rPr>
          <w:rFonts w:ascii="Tahoma" w:hAnsi="Tahoma" w:cs="Tahoma"/>
          <w:sz w:val="20"/>
          <w:szCs w:val="20"/>
        </w:rPr>
        <w:t>la</w:t>
      </w:r>
      <w:r w:rsidR="00DB1635" w:rsidRPr="00B004EE">
        <w:rPr>
          <w:rFonts w:ascii="Tahoma" w:hAnsi="Tahoma" w:cs="Tahoma"/>
          <w:spacing w:val="-35"/>
          <w:sz w:val="20"/>
          <w:szCs w:val="20"/>
        </w:rPr>
        <w:t xml:space="preserve"> </w:t>
      </w:r>
      <w:r w:rsidRPr="00B004EE">
        <w:rPr>
          <w:rFonts w:ascii="Tahoma" w:hAnsi="Tahoma" w:cs="Tahoma"/>
          <w:sz w:val="20"/>
          <w:szCs w:val="20"/>
        </w:rPr>
        <w:t>décision</w:t>
      </w:r>
      <w:r w:rsidR="00DB1635" w:rsidRPr="00B004EE">
        <w:rPr>
          <w:rFonts w:ascii="Tahoma" w:hAnsi="Tahoma" w:cs="Tahoma"/>
          <w:spacing w:val="-35"/>
          <w:sz w:val="20"/>
          <w:szCs w:val="20"/>
        </w:rPr>
        <w:t xml:space="preserve"> </w:t>
      </w:r>
      <w:r w:rsidRPr="00B004EE">
        <w:rPr>
          <w:rFonts w:ascii="Tahoma" w:hAnsi="Tahoma" w:cs="Tahoma"/>
          <w:sz w:val="20"/>
          <w:szCs w:val="20"/>
        </w:rPr>
        <w:t>des</w:t>
      </w:r>
      <w:r w:rsidR="00DB1635" w:rsidRPr="00B004EE">
        <w:rPr>
          <w:rFonts w:ascii="Tahoma" w:hAnsi="Tahoma" w:cs="Tahoma"/>
          <w:spacing w:val="-35"/>
          <w:sz w:val="20"/>
          <w:szCs w:val="20"/>
        </w:rPr>
        <w:t xml:space="preserve"> </w:t>
      </w:r>
      <w:r w:rsidRPr="00B004EE">
        <w:rPr>
          <w:rFonts w:ascii="Tahoma" w:hAnsi="Tahoma" w:cs="Tahoma"/>
          <w:sz w:val="20"/>
          <w:szCs w:val="20"/>
        </w:rPr>
        <w:t>autorités</w:t>
      </w:r>
      <w:r w:rsidR="00DB1635" w:rsidRPr="00B004EE">
        <w:rPr>
          <w:rFonts w:ascii="Tahoma" w:hAnsi="Tahoma" w:cs="Tahoma"/>
          <w:spacing w:val="-35"/>
          <w:sz w:val="20"/>
          <w:szCs w:val="20"/>
        </w:rPr>
        <w:t xml:space="preserve"> </w:t>
      </w:r>
      <w:r w:rsidRPr="00B004EE">
        <w:rPr>
          <w:rFonts w:ascii="Tahoma" w:hAnsi="Tahoma" w:cs="Tahoma"/>
          <w:sz w:val="20"/>
          <w:szCs w:val="20"/>
        </w:rPr>
        <w:t>mentionnées.</w:t>
      </w:r>
    </w:p>
    <w:p w14:paraId="0B4B70AE" w14:textId="642D65B4" w:rsidR="001E7C3C" w:rsidRPr="00B004EE" w:rsidRDefault="001E7C3C" w:rsidP="00B004EE">
      <w:pPr>
        <w:pStyle w:val="Corpsdetexte"/>
        <w:ind w:right="164"/>
        <w:rPr>
          <w:rFonts w:ascii="Tahoma" w:hAnsi="Tahoma" w:cs="Tahoma"/>
          <w:sz w:val="20"/>
          <w:szCs w:val="20"/>
        </w:rPr>
      </w:pPr>
      <w:r w:rsidRPr="00B004EE">
        <w:rPr>
          <w:rFonts w:ascii="Tahoma" w:hAnsi="Tahoma" w:cs="Tahoma"/>
          <w:sz w:val="20"/>
          <w:szCs w:val="20"/>
        </w:rPr>
        <w:t>S'il</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établi</w:t>
      </w:r>
      <w:r w:rsidR="00DB1635" w:rsidRPr="00B004EE">
        <w:rPr>
          <w:rFonts w:ascii="Tahoma" w:hAnsi="Tahoma" w:cs="Tahoma"/>
          <w:sz w:val="20"/>
          <w:szCs w:val="20"/>
        </w:rPr>
        <w:t xml:space="preserve"> </w:t>
      </w:r>
      <w:r w:rsidRPr="00B004EE">
        <w:rPr>
          <w:rFonts w:ascii="Tahoma" w:hAnsi="Tahoma" w:cs="Tahoma"/>
          <w:sz w:val="20"/>
          <w:szCs w:val="20"/>
        </w:rPr>
        <w:t>que</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captures</w:t>
      </w:r>
      <w:r w:rsidR="00DB1635" w:rsidRPr="00B004EE">
        <w:rPr>
          <w:rFonts w:ascii="Tahoma" w:hAnsi="Tahoma" w:cs="Tahoma"/>
          <w:sz w:val="20"/>
          <w:szCs w:val="20"/>
        </w:rPr>
        <w:t xml:space="preserve"> </w:t>
      </w:r>
      <w:r w:rsidRPr="00B004EE">
        <w:rPr>
          <w:rFonts w:ascii="Tahoma" w:hAnsi="Tahoma" w:cs="Tahoma"/>
          <w:sz w:val="20"/>
          <w:szCs w:val="20"/>
        </w:rPr>
        <w:t>saisies,</w:t>
      </w:r>
      <w:r w:rsidR="00DB1635" w:rsidRPr="00B004EE">
        <w:rPr>
          <w:rFonts w:ascii="Tahoma" w:hAnsi="Tahoma" w:cs="Tahoma"/>
          <w:sz w:val="20"/>
          <w:szCs w:val="20"/>
        </w:rPr>
        <w:t xml:space="preserve"> </w:t>
      </w:r>
      <w:r w:rsidRPr="00B004EE">
        <w:rPr>
          <w:rFonts w:ascii="Tahoma" w:hAnsi="Tahoma" w:cs="Tahoma"/>
          <w:sz w:val="20"/>
          <w:szCs w:val="20"/>
        </w:rPr>
        <w:t>vendues</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cédées</w:t>
      </w:r>
      <w:r w:rsidR="00DB1635" w:rsidRPr="00B004EE">
        <w:rPr>
          <w:rFonts w:ascii="Tahoma" w:hAnsi="Tahoma" w:cs="Tahoma"/>
          <w:sz w:val="20"/>
          <w:szCs w:val="20"/>
        </w:rPr>
        <w:t xml:space="preserve"> </w:t>
      </w:r>
      <w:r w:rsidRPr="00B004EE">
        <w:rPr>
          <w:rFonts w:ascii="Tahoma" w:hAnsi="Tahoma" w:cs="Tahoma"/>
          <w:sz w:val="20"/>
          <w:szCs w:val="20"/>
        </w:rPr>
        <w:t>conformément</w:t>
      </w:r>
      <w:r w:rsidR="00DB1635" w:rsidRPr="00B004EE">
        <w:rPr>
          <w:rFonts w:ascii="Tahoma" w:hAnsi="Tahoma" w:cs="Tahoma"/>
          <w:spacing w:val="32"/>
          <w:sz w:val="20"/>
          <w:szCs w:val="20"/>
        </w:rPr>
        <w:t xml:space="preserve"> </w:t>
      </w:r>
      <w:r w:rsidRPr="00B004EE">
        <w:rPr>
          <w:rFonts w:ascii="Tahoma" w:hAnsi="Tahoma" w:cs="Tahoma"/>
          <w:sz w:val="20"/>
          <w:szCs w:val="20"/>
        </w:rPr>
        <w:t>au</w:t>
      </w:r>
      <w:r w:rsidR="00DB1635" w:rsidRPr="00B004EE">
        <w:rPr>
          <w:rFonts w:ascii="Tahoma" w:hAnsi="Tahoma" w:cs="Tahoma"/>
          <w:w w:val="98"/>
          <w:sz w:val="20"/>
          <w:szCs w:val="20"/>
        </w:rPr>
        <w:t xml:space="preserve"> </w:t>
      </w:r>
      <w:r w:rsidRPr="00B004EE">
        <w:rPr>
          <w:rFonts w:ascii="Tahoma" w:hAnsi="Tahoma" w:cs="Tahoma"/>
          <w:sz w:val="20"/>
          <w:szCs w:val="20"/>
        </w:rPr>
        <w:t>paragraphe</w:t>
      </w:r>
      <w:r w:rsidR="00DB1635" w:rsidRPr="00B004EE">
        <w:rPr>
          <w:rFonts w:ascii="Tahoma" w:hAnsi="Tahoma" w:cs="Tahoma"/>
          <w:sz w:val="20"/>
          <w:szCs w:val="20"/>
        </w:rPr>
        <w:t xml:space="preserve"> </w:t>
      </w:r>
      <w:r w:rsidRPr="00B004EE">
        <w:rPr>
          <w:rFonts w:ascii="Tahoma" w:hAnsi="Tahoma" w:cs="Tahoma"/>
          <w:sz w:val="20"/>
          <w:szCs w:val="20"/>
        </w:rPr>
        <w:t>précédent</w:t>
      </w:r>
      <w:r w:rsidR="00DB1635" w:rsidRPr="00B004EE">
        <w:rPr>
          <w:rFonts w:ascii="Tahoma" w:hAnsi="Tahoma" w:cs="Tahoma"/>
          <w:sz w:val="20"/>
          <w:szCs w:val="20"/>
        </w:rPr>
        <w:t xml:space="preserve"> </w:t>
      </w:r>
      <w:r w:rsidRPr="00B004EE">
        <w:rPr>
          <w:rFonts w:ascii="Tahoma" w:hAnsi="Tahoma" w:cs="Tahoma"/>
          <w:sz w:val="20"/>
          <w:szCs w:val="20"/>
        </w:rPr>
        <w:t>n'ont</w:t>
      </w:r>
      <w:r w:rsidR="00DB1635" w:rsidRPr="00B004EE">
        <w:rPr>
          <w:rFonts w:ascii="Tahoma" w:hAnsi="Tahoma" w:cs="Tahoma"/>
          <w:sz w:val="20"/>
          <w:szCs w:val="20"/>
        </w:rPr>
        <w:t xml:space="preserve"> </w:t>
      </w:r>
      <w:r w:rsidRPr="00B004EE">
        <w:rPr>
          <w:rFonts w:ascii="Tahoma" w:hAnsi="Tahoma" w:cs="Tahoma"/>
          <w:sz w:val="20"/>
          <w:szCs w:val="20"/>
        </w:rPr>
        <w:t>pas</w:t>
      </w:r>
      <w:r w:rsidR="00DB1635" w:rsidRPr="00B004EE">
        <w:rPr>
          <w:rFonts w:ascii="Tahoma" w:hAnsi="Tahoma" w:cs="Tahoma"/>
          <w:sz w:val="20"/>
          <w:szCs w:val="20"/>
        </w:rPr>
        <w:t xml:space="preserve"> </w:t>
      </w:r>
      <w:r w:rsidRPr="00B004EE">
        <w:rPr>
          <w:rFonts w:ascii="Tahoma" w:hAnsi="Tahoma" w:cs="Tahoma"/>
          <w:sz w:val="20"/>
          <w:szCs w:val="20"/>
        </w:rPr>
        <w:t>été</w:t>
      </w:r>
      <w:r w:rsidR="00DB1635" w:rsidRPr="00B004EE">
        <w:rPr>
          <w:rFonts w:ascii="Tahoma" w:hAnsi="Tahoma" w:cs="Tahoma"/>
          <w:sz w:val="20"/>
          <w:szCs w:val="20"/>
        </w:rPr>
        <w:t xml:space="preserve"> </w:t>
      </w:r>
      <w:r w:rsidRPr="00B004EE">
        <w:rPr>
          <w:rFonts w:ascii="Tahoma" w:hAnsi="Tahoma" w:cs="Tahoma"/>
          <w:sz w:val="20"/>
          <w:szCs w:val="20"/>
        </w:rPr>
        <w:t>effectuées</w:t>
      </w:r>
      <w:r w:rsidR="00DB1635" w:rsidRPr="00B004EE">
        <w:rPr>
          <w:rFonts w:ascii="Tahoma" w:hAnsi="Tahoma" w:cs="Tahoma"/>
          <w:sz w:val="20"/>
          <w:szCs w:val="20"/>
        </w:rPr>
        <w:t xml:space="preserve"> </w:t>
      </w:r>
      <w:r w:rsidRPr="00B004EE">
        <w:rPr>
          <w:rFonts w:ascii="Tahoma" w:hAnsi="Tahoma" w:cs="Tahoma"/>
          <w:sz w:val="20"/>
          <w:szCs w:val="20"/>
        </w:rPr>
        <w:t>lors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commission</w:t>
      </w:r>
      <w:r w:rsidR="00DB1635" w:rsidRPr="00B004EE">
        <w:rPr>
          <w:rFonts w:ascii="Tahoma" w:hAnsi="Tahoma" w:cs="Tahoma"/>
          <w:spacing w:val="18"/>
          <w:sz w:val="20"/>
          <w:szCs w:val="20"/>
        </w:rPr>
        <w:t xml:space="preserve"> </w:t>
      </w:r>
      <w:r w:rsidRPr="00B004EE">
        <w:rPr>
          <w:rFonts w:ascii="Tahoma" w:hAnsi="Tahoma" w:cs="Tahoma"/>
          <w:sz w:val="20"/>
          <w:szCs w:val="20"/>
        </w:rPr>
        <w:t>d'une</w:t>
      </w:r>
      <w:r w:rsidR="00DB1635" w:rsidRPr="00B004EE">
        <w:rPr>
          <w:rFonts w:ascii="Tahoma" w:hAnsi="Tahoma" w:cs="Tahoma"/>
          <w:w w:val="96"/>
          <w:sz w:val="20"/>
          <w:szCs w:val="20"/>
        </w:rPr>
        <w:t xml:space="preserve"> </w:t>
      </w:r>
      <w:r w:rsidRPr="00B004EE">
        <w:rPr>
          <w:rFonts w:ascii="Tahoma" w:hAnsi="Tahoma" w:cs="Tahoma"/>
          <w:sz w:val="20"/>
          <w:szCs w:val="20"/>
        </w:rPr>
        <w:t>infraction,</w:t>
      </w:r>
      <w:r w:rsidR="00DB1635" w:rsidRPr="00B004EE">
        <w:rPr>
          <w:rFonts w:ascii="Tahoma" w:hAnsi="Tahoma" w:cs="Tahoma"/>
          <w:spacing w:val="-35"/>
          <w:sz w:val="20"/>
          <w:szCs w:val="20"/>
        </w:rPr>
        <w:t xml:space="preserve"> </w:t>
      </w:r>
      <w:r w:rsidRPr="00B004EE">
        <w:rPr>
          <w:rFonts w:ascii="Tahoma" w:hAnsi="Tahoma" w:cs="Tahoma"/>
          <w:sz w:val="20"/>
          <w:szCs w:val="20"/>
        </w:rPr>
        <w:t>la</w:t>
      </w:r>
      <w:r w:rsidR="00DB1635" w:rsidRPr="00B004EE">
        <w:rPr>
          <w:rFonts w:ascii="Tahoma" w:hAnsi="Tahoma" w:cs="Tahoma"/>
          <w:spacing w:val="-34"/>
          <w:sz w:val="20"/>
          <w:szCs w:val="20"/>
        </w:rPr>
        <w:t xml:space="preserve"> </w:t>
      </w:r>
      <w:r w:rsidRPr="00B004EE">
        <w:rPr>
          <w:rFonts w:ascii="Tahoma" w:hAnsi="Tahoma" w:cs="Tahoma"/>
          <w:sz w:val="20"/>
          <w:szCs w:val="20"/>
        </w:rPr>
        <w:t>valeur</w:t>
      </w:r>
      <w:r w:rsidR="00DB1635" w:rsidRPr="00B004EE">
        <w:rPr>
          <w:rFonts w:ascii="Tahoma" w:hAnsi="Tahoma" w:cs="Tahoma"/>
          <w:spacing w:val="-35"/>
          <w:sz w:val="20"/>
          <w:szCs w:val="20"/>
        </w:rPr>
        <w:t xml:space="preserve"> </w:t>
      </w:r>
      <w:r w:rsidRPr="00B004EE">
        <w:rPr>
          <w:rFonts w:ascii="Tahoma" w:hAnsi="Tahoma" w:cs="Tahoma"/>
          <w:sz w:val="20"/>
          <w:szCs w:val="20"/>
        </w:rPr>
        <w:t>desdites</w:t>
      </w:r>
      <w:r w:rsidR="00DB1635" w:rsidRPr="00B004EE">
        <w:rPr>
          <w:rFonts w:ascii="Tahoma" w:hAnsi="Tahoma" w:cs="Tahoma"/>
          <w:spacing w:val="-35"/>
          <w:sz w:val="20"/>
          <w:szCs w:val="20"/>
        </w:rPr>
        <w:t xml:space="preserve"> </w:t>
      </w:r>
      <w:r w:rsidRPr="00B004EE">
        <w:rPr>
          <w:rFonts w:ascii="Tahoma" w:hAnsi="Tahoma" w:cs="Tahoma"/>
          <w:sz w:val="20"/>
          <w:szCs w:val="20"/>
        </w:rPr>
        <w:t>captures</w:t>
      </w:r>
      <w:r w:rsidR="00DB1635" w:rsidRPr="00B004EE">
        <w:rPr>
          <w:rFonts w:ascii="Tahoma" w:hAnsi="Tahoma" w:cs="Tahoma"/>
          <w:spacing w:val="-35"/>
          <w:sz w:val="20"/>
          <w:szCs w:val="20"/>
        </w:rPr>
        <w:t xml:space="preserve"> </w:t>
      </w:r>
      <w:r w:rsidRPr="00B004EE">
        <w:rPr>
          <w:rFonts w:ascii="Tahoma" w:hAnsi="Tahoma" w:cs="Tahoma"/>
          <w:sz w:val="20"/>
          <w:szCs w:val="20"/>
        </w:rPr>
        <w:t>est</w:t>
      </w:r>
      <w:r w:rsidR="00DB1635" w:rsidRPr="00B004EE">
        <w:rPr>
          <w:rFonts w:ascii="Tahoma" w:hAnsi="Tahoma" w:cs="Tahoma"/>
          <w:spacing w:val="-35"/>
          <w:sz w:val="20"/>
          <w:szCs w:val="20"/>
        </w:rPr>
        <w:t xml:space="preserve"> </w:t>
      </w:r>
      <w:r w:rsidRPr="00B004EE">
        <w:rPr>
          <w:rFonts w:ascii="Tahoma" w:hAnsi="Tahoma" w:cs="Tahoma"/>
          <w:sz w:val="20"/>
          <w:szCs w:val="20"/>
        </w:rPr>
        <w:t>restituée</w:t>
      </w:r>
      <w:r w:rsidR="00DB1635" w:rsidRPr="00B004EE">
        <w:rPr>
          <w:rFonts w:ascii="Tahoma" w:hAnsi="Tahoma" w:cs="Tahoma"/>
          <w:spacing w:val="-35"/>
          <w:sz w:val="20"/>
          <w:szCs w:val="20"/>
        </w:rPr>
        <w:t xml:space="preserve"> </w:t>
      </w:r>
      <w:r w:rsidRPr="00B004EE">
        <w:rPr>
          <w:rFonts w:ascii="Tahoma" w:hAnsi="Tahoma" w:cs="Tahoma"/>
          <w:sz w:val="20"/>
          <w:szCs w:val="20"/>
        </w:rPr>
        <w:t>à</w:t>
      </w:r>
      <w:r w:rsidR="00DB1635" w:rsidRPr="00B004EE">
        <w:rPr>
          <w:rFonts w:ascii="Tahoma" w:hAnsi="Tahoma" w:cs="Tahoma"/>
          <w:spacing w:val="-34"/>
          <w:sz w:val="20"/>
          <w:szCs w:val="20"/>
        </w:rPr>
        <w:t xml:space="preserve"> </w:t>
      </w:r>
      <w:r w:rsidRPr="00B004EE">
        <w:rPr>
          <w:rFonts w:ascii="Tahoma" w:hAnsi="Tahoma" w:cs="Tahoma"/>
          <w:sz w:val="20"/>
          <w:szCs w:val="20"/>
        </w:rPr>
        <w:t>leur</w:t>
      </w:r>
      <w:r w:rsidR="00DB1635" w:rsidRPr="00B004EE">
        <w:rPr>
          <w:rFonts w:ascii="Tahoma" w:hAnsi="Tahoma" w:cs="Tahoma"/>
          <w:spacing w:val="-35"/>
          <w:sz w:val="20"/>
          <w:szCs w:val="20"/>
        </w:rPr>
        <w:t xml:space="preserve"> </w:t>
      </w:r>
      <w:r w:rsidRPr="00B004EE">
        <w:rPr>
          <w:rFonts w:ascii="Tahoma" w:hAnsi="Tahoma" w:cs="Tahoma"/>
          <w:sz w:val="20"/>
          <w:szCs w:val="20"/>
        </w:rPr>
        <w:t>propriétaire.</w:t>
      </w:r>
    </w:p>
    <w:p w14:paraId="682E6E98" w14:textId="77777777" w:rsidR="001E7C3C" w:rsidRPr="00B004EE" w:rsidRDefault="001E7C3C" w:rsidP="00B004EE">
      <w:pPr>
        <w:rPr>
          <w:rFonts w:ascii="Tahoma" w:eastAsia="American Typewriter" w:hAnsi="Tahoma" w:cs="Tahoma"/>
          <w:sz w:val="20"/>
          <w:szCs w:val="20"/>
        </w:rPr>
      </w:pPr>
    </w:p>
    <w:p w14:paraId="58559D93" w14:textId="15D55963" w:rsidR="001E7C3C" w:rsidRPr="00B004EE" w:rsidRDefault="001E7C3C" w:rsidP="00B004EE">
      <w:pPr>
        <w:pStyle w:val="Lgende"/>
        <w:jc w:val="center"/>
        <w:rPr>
          <w:rFonts w:ascii="Tahoma" w:eastAsia="American Typewriter" w:hAnsi="Tahoma" w:cs="Tahoma"/>
        </w:rPr>
      </w:pPr>
      <w:bookmarkStart w:id="119" w:name="_Toc16279092"/>
      <w:bookmarkStart w:id="120" w:name="_Toc16279461"/>
      <w:r w:rsidRPr="00B004EE">
        <w:rPr>
          <w:rFonts w:ascii="Tahoma" w:eastAsia="American Typewriter" w:hAnsi="Tahoma" w:cs="Tahoma"/>
        </w:rPr>
        <w:t>Section</w:t>
      </w:r>
      <w:r w:rsidR="00DB1635" w:rsidRPr="00B004EE">
        <w:rPr>
          <w:rFonts w:ascii="Tahoma" w:eastAsia="American Typewriter" w:hAnsi="Tahoma" w:cs="Tahoma"/>
        </w:rPr>
        <w:t xml:space="preserve"> </w:t>
      </w:r>
      <w:r w:rsidRPr="00B004EE">
        <w:rPr>
          <w:rFonts w:ascii="Tahoma" w:eastAsia="American Typewriter" w:hAnsi="Tahoma" w:cs="Tahoma"/>
        </w:rPr>
        <w:t>8</w:t>
      </w:r>
      <w:r w:rsidR="00DB1635" w:rsidRPr="00B004EE">
        <w:rPr>
          <w:rFonts w:ascii="Tahoma" w:eastAsia="American Typewriter" w:hAnsi="Tahoma" w:cs="Tahoma"/>
        </w:rPr>
        <w:t xml:space="preserve"> </w:t>
      </w:r>
      <w:r w:rsidRPr="00B004EE">
        <w:rPr>
          <w:rFonts w:ascii="Tahoma" w:eastAsia="American Typewriter" w:hAnsi="Tahoma" w:cs="Tahoma"/>
        </w:rPr>
        <w:t>:</w:t>
      </w:r>
      <w:r w:rsidR="00DB1635" w:rsidRPr="00B004EE">
        <w:rPr>
          <w:rFonts w:ascii="Tahoma" w:eastAsia="American Typewriter" w:hAnsi="Tahoma" w:cs="Tahoma"/>
        </w:rPr>
        <w:t xml:space="preserve"> </w:t>
      </w:r>
      <w:r w:rsidRPr="00B004EE">
        <w:rPr>
          <w:rFonts w:ascii="Tahoma" w:eastAsia="American Typewriter" w:hAnsi="Tahoma" w:cs="Tahoma"/>
        </w:rPr>
        <w:t>Du</w:t>
      </w:r>
      <w:r w:rsidR="00DB1635" w:rsidRPr="00B004EE">
        <w:rPr>
          <w:rFonts w:ascii="Tahoma" w:eastAsia="American Typewriter" w:hAnsi="Tahoma" w:cs="Tahoma"/>
        </w:rPr>
        <w:t xml:space="preserve"> </w:t>
      </w:r>
      <w:r w:rsidRPr="00B004EE">
        <w:rPr>
          <w:rFonts w:ascii="Tahoma" w:eastAsia="American Typewriter" w:hAnsi="Tahoma" w:cs="Tahoma"/>
        </w:rPr>
        <w:t>procès-verbal</w:t>
      </w:r>
      <w:r w:rsidR="00DB1635" w:rsidRPr="00B004EE">
        <w:rPr>
          <w:rFonts w:ascii="Tahoma" w:eastAsia="American Typewriter" w:hAnsi="Tahoma" w:cs="Tahoma"/>
        </w:rPr>
        <w:t xml:space="preserve"> </w:t>
      </w:r>
      <w:r w:rsidRPr="00B004EE">
        <w:rPr>
          <w:rFonts w:ascii="Tahoma" w:eastAsia="American Typewriter" w:hAnsi="Tahoma" w:cs="Tahoma"/>
        </w:rPr>
        <w:t>de</w:t>
      </w:r>
      <w:r w:rsidR="00DB1635" w:rsidRPr="00B004EE">
        <w:rPr>
          <w:rFonts w:ascii="Tahoma" w:eastAsia="American Typewriter" w:hAnsi="Tahoma" w:cs="Tahoma"/>
        </w:rPr>
        <w:t xml:space="preserve"> </w:t>
      </w:r>
      <w:r w:rsidRPr="00B004EE">
        <w:rPr>
          <w:rFonts w:ascii="Tahoma" w:eastAsia="American Typewriter" w:hAnsi="Tahoma" w:cs="Tahoma"/>
        </w:rPr>
        <w:t>prélèvement</w:t>
      </w:r>
      <w:r w:rsidR="00DB1635" w:rsidRPr="00B004EE">
        <w:rPr>
          <w:rFonts w:ascii="Tahoma" w:eastAsia="American Typewriter" w:hAnsi="Tahoma" w:cs="Tahoma"/>
        </w:rPr>
        <w:t xml:space="preserve"> </w:t>
      </w:r>
      <w:r w:rsidRPr="00B004EE">
        <w:rPr>
          <w:rFonts w:ascii="Tahoma" w:eastAsia="American Typewriter" w:hAnsi="Tahoma" w:cs="Tahoma"/>
        </w:rPr>
        <w:t>d'échantillons</w:t>
      </w:r>
      <w:bookmarkEnd w:id="119"/>
      <w:bookmarkEnd w:id="120"/>
    </w:p>
    <w:p w14:paraId="678B00DE" w14:textId="77777777" w:rsidR="001E7C3C" w:rsidRPr="00B004EE" w:rsidRDefault="001E7C3C" w:rsidP="00B004EE">
      <w:pPr>
        <w:rPr>
          <w:rFonts w:ascii="Tahoma" w:eastAsia="American Typewriter" w:hAnsi="Tahoma" w:cs="Tahoma"/>
          <w:b/>
          <w:bCs/>
          <w:sz w:val="20"/>
          <w:szCs w:val="20"/>
        </w:rPr>
      </w:pPr>
    </w:p>
    <w:p w14:paraId="5AAD3723" w14:textId="61184EC8" w:rsidR="001E7C3C" w:rsidRPr="00B004EE" w:rsidRDefault="001E7C3C" w:rsidP="00B004EE">
      <w:pPr>
        <w:pStyle w:val="Corpsdetexte"/>
        <w:ind w:right="157"/>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80</w:t>
      </w:r>
      <w:r w:rsidR="00DB1635" w:rsidRPr="00B004EE">
        <w:rPr>
          <w:rFonts w:ascii="Tahoma" w:hAnsi="Tahoma" w:cs="Tahoma"/>
          <w:bCs/>
          <w:sz w:val="20"/>
          <w:szCs w:val="20"/>
        </w:rPr>
        <w:t xml:space="preserve"> </w:t>
      </w:r>
      <w:r w:rsidRPr="00B004EE">
        <w:rPr>
          <w:rFonts w:ascii="Tahoma" w:hAnsi="Tahoma" w:cs="Tahoma"/>
          <w:bCs/>
          <w:sz w:val="20"/>
          <w:szCs w:val="20"/>
        </w:rPr>
        <w:t>:</w:t>
      </w:r>
      <w:r w:rsidR="00DB1635" w:rsidRPr="00B004EE">
        <w:rPr>
          <w:rFonts w:ascii="Tahoma" w:hAnsi="Tahoma" w:cs="Tahoma"/>
          <w:b/>
          <w:sz w:val="20"/>
          <w:szCs w:val="20"/>
        </w:rPr>
        <w:t xml:space="preserve"> </w:t>
      </w:r>
      <w:r w:rsidRPr="00B004EE">
        <w:rPr>
          <w:rFonts w:ascii="Tahoma" w:hAnsi="Tahoma" w:cs="Tahoma"/>
          <w:sz w:val="20"/>
          <w:szCs w:val="20"/>
        </w:rPr>
        <w:t>Tout</w:t>
      </w:r>
      <w:r w:rsidR="00DB1635" w:rsidRPr="00B004EE">
        <w:rPr>
          <w:rFonts w:ascii="Tahoma" w:hAnsi="Tahoma" w:cs="Tahoma"/>
          <w:sz w:val="20"/>
          <w:szCs w:val="20"/>
        </w:rPr>
        <w:t xml:space="preserve"> </w:t>
      </w:r>
      <w:r w:rsidRPr="00B004EE">
        <w:rPr>
          <w:rFonts w:ascii="Tahoma" w:hAnsi="Tahoma" w:cs="Tahoma"/>
          <w:sz w:val="20"/>
          <w:szCs w:val="20"/>
        </w:rPr>
        <w:t>agent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contrôle</w:t>
      </w:r>
      <w:r w:rsidR="00DB1635" w:rsidRPr="00B004EE">
        <w:rPr>
          <w:rFonts w:ascii="Tahoma" w:hAnsi="Tahoma" w:cs="Tahoma"/>
          <w:sz w:val="20"/>
          <w:szCs w:val="20"/>
        </w:rPr>
        <w:t xml:space="preserve"> </w:t>
      </w:r>
      <w:r w:rsidRPr="00B004EE">
        <w:rPr>
          <w:rFonts w:ascii="Tahoma" w:hAnsi="Tahoma" w:cs="Tahoma"/>
          <w:sz w:val="20"/>
          <w:szCs w:val="20"/>
        </w:rPr>
        <w:t>qui</w:t>
      </w:r>
      <w:r w:rsidR="00DB1635" w:rsidRPr="00B004EE">
        <w:rPr>
          <w:rFonts w:ascii="Tahoma" w:hAnsi="Tahoma" w:cs="Tahoma"/>
          <w:sz w:val="20"/>
          <w:szCs w:val="20"/>
        </w:rPr>
        <w:t xml:space="preserve"> </w:t>
      </w:r>
      <w:r w:rsidRPr="00B004EE">
        <w:rPr>
          <w:rFonts w:ascii="Tahoma" w:hAnsi="Tahoma" w:cs="Tahoma"/>
          <w:sz w:val="20"/>
          <w:szCs w:val="20"/>
        </w:rPr>
        <w:t>aura</w:t>
      </w:r>
      <w:r w:rsidR="00DB1635" w:rsidRPr="00B004EE">
        <w:rPr>
          <w:rFonts w:ascii="Tahoma" w:hAnsi="Tahoma" w:cs="Tahoma"/>
          <w:sz w:val="20"/>
          <w:szCs w:val="20"/>
        </w:rPr>
        <w:t xml:space="preserve"> </w:t>
      </w:r>
      <w:r w:rsidRPr="00B004EE">
        <w:rPr>
          <w:rFonts w:ascii="Tahoma" w:hAnsi="Tahoma" w:cs="Tahoma"/>
          <w:sz w:val="20"/>
          <w:szCs w:val="20"/>
        </w:rPr>
        <w:t>effectué</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pacing w:val="14"/>
          <w:sz w:val="20"/>
          <w:szCs w:val="20"/>
        </w:rPr>
        <w:t xml:space="preserve"> </w:t>
      </w:r>
      <w:r w:rsidRPr="00B004EE">
        <w:rPr>
          <w:rFonts w:ascii="Tahoma" w:hAnsi="Tahoma" w:cs="Tahoma"/>
          <w:sz w:val="20"/>
          <w:szCs w:val="20"/>
        </w:rPr>
        <w:t>prélèvements</w:t>
      </w:r>
      <w:r w:rsidR="00DB1635" w:rsidRPr="00B004EE">
        <w:rPr>
          <w:rFonts w:ascii="Tahoma" w:hAnsi="Tahoma" w:cs="Tahoma"/>
          <w:w w:val="95"/>
          <w:sz w:val="20"/>
          <w:szCs w:val="20"/>
        </w:rPr>
        <w:t xml:space="preserve"> </w:t>
      </w:r>
      <w:r w:rsidRPr="00B004EE">
        <w:rPr>
          <w:rFonts w:ascii="Tahoma" w:hAnsi="Tahoma" w:cs="Tahoma"/>
          <w:sz w:val="20"/>
          <w:szCs w:val="20"/>
        </w:rPr>
        <w:t>d'échantillons</w:t>
      </w:r>
      <w:r w:rsidR="00DB1635" w:rsidRPr="00B004EE">
        <w:rPr>
          <w:rFonts w:ascii="Tahoma" w:hAnsi="Tahoma" w:cs="Tahoma"/>
          <w:spacing w:val="-4"/>
          <w:sz w:val="20"/>
          <w:szCs w:val="20"/>
        </w:rPr>
        <w:t xml:space="preserve"> </w:t>
      </w:r>
      <w:r w:rsidRPr="00B004EE">
        <w:rPr>
          <w:rFonts w:ascii="Tahoma" w:hAnsi="Tahoma" w:cs="Tahoma"/>
          <w:sz w:val="20"/>
          <w:szCs w:val="20"/>
        </w:rPr>
        <w:t>de</w:t>
      </w:r>
      <w:r w:rsidR="00DB1635" w:rsidRPr="00B004EE">
        <w:rPr>
          <w:rFonts w:ascii="Tahoma" w:hAnsi="Tahoma" w:cs="Tahoma"/>
          <w:spacing w:val="-3"/>
          <w:sz w:val="20"/>
          <w:szCs w:val="20"/>
        </w:rPr>
        <w:t xml:space="preserve"> </w:t>
      </w:r>
      <w:r w:rsidRPr="00B004EE">
        <w:rPr>
          <w:rFonts w:ascii="Tahoma" w:hAnsi="Tahoma" w:cs="Tahoma"/>
          <w:sz w:val="20"/>
          <w:szCs w:val="20"/>
        </w:rPr>
        <w:t>produits</w:t>
      </w:r>
      <w:r w:rsidR="00DB1635" w:rsidRPr="00B004EE">
        <w:rPr>
          <w:rFonts w:ascii="Tahoma" w:hAnsi="Tahoma" w:cs="Tahoma"/>
          <w:spacing w:val="-5"/>
          <w:sz w:val="20"/>
          <w:szCs w:val="20"/>
        </w:rPr>
        <w:t xml:space="preserve"> </w:t>
      </w:r>
      <w:r w:rsidRPr="00B004EE">
        <w:rPr>
          <w:rFonts w:ascii="Tahoma" w:hAnsi="Tahoma" w:cs="Tahoma"/>
          <w:sz w:val="20"/>
          <w:szCs w:val="20"/>
        </w:rPr>
        <w:t>de</w:t>
      </w:r>
      <w:r w:rsidR="00DB1635" w:rsidRPr="00B004EE">
        <w:rPr>
          <w:rFonts w:ascii="Tahoma" w:hAnsi="Tahoma" w:cs="Tahoma"/>
          <w:spacing w:val="-4"/>
          <w:sz w:val="20"/>
          <w:szCs w:val="20"/>
        </w:rPr>
        <w:t xml:space="preserve"> </w:t>
      </w:r>
      <w:r w:rsidRPr="00B004EE">
        <w:rPr>
          <w:rFonts w:ascii="Tahoma" w:hAnsi="Tahoma" w:cs="Tahoma"/>
          <w:sz w:val="20"/>
          <w:szCs w:val="20"/>
        </w:rPr>
        <w:t>pêche</w:t>
      </w:r>
      <w:r w:rsidR="00DB1635" w:rsidRPr="00B004EE">
        <w:rPr>
          <w:rFonts w:ascii="Tahoma" w:hAnsi="Tahoma" w:cs="Tahoma"/>
          <w:spacing w:val="-5"/>
          <w:sz w:val="20"/>
          <w:szCs w:val="20"/>
        </w:rPr>
        <w:t xml:space="preserve"> </w:t>
      </w:r>
      <w:r w:rsidRPr="00B004EE">
        <w:rPr>
          <w:rFonts w:ascii="Tahoma" w:hAnsi="Tahoma" w:cs="Tahoma"/>
          <w:sz w:val="20"/>
          <w:szCs w:val="20"/>
        </w:rPr>
        <w:t>à</w:t>
      </w:r>
      <w:r w:rsidR="00DB1635" w:rsidRPr="00B004EE">
        <w:rPr>
          <w:rFonts w:ascii="Tahoma" w:hAnsi="Tahoma" w:cs="Tahoma"/>
          <w:spacing w:val="-4"/>
          <w:sz w:val="20"/>
          <w:szCs w:val="20"/>
        </w:rPr>
        <w:t xml:space="preserve"> </w:t>
      </w:r>
      <w:r w:rsidRPr="00B004EE">
        <w:rPr>
          <w:rFonts w:ascii="Tahoma" w:hAnsi="Tahoma" w:cs="Tahoma"/>
          <w:sz w:val="20"/>
          <w:szCs w:val="20"/>
        </w:rPr>
        <w:t>bord</w:t>
      </w:r>
      <w:r w:rsidR="00DB1635" w:rsidRPr="00B004EE">
        <w:rPr>
          <w:rFonts w:ascii="Tahoma" w:hAnsi="Tahoma" w:cs="Tahoma"/>
          <w:spacing w:val="-5"/>
          <w:sz w:val="20"/>
          <w:szCs w:val="20"/>
        </w:rPr>
        <w:t xml:space="preserve"> </w:t>
      </w:r>
      <w:r w:rsidRPr="00B004EE">
        <w:rPr>
          <w:rFonts w:ascii="Tahoma" w:hAnsi="Tahoma" w:cs="Tahoma"/>
          <w:sz w:val="20"/>
          <w:szCs w:val="20"/>
        </w:rPr>
        <w:t>d'un</w:t>
      </w:r>
      <w:r w:rsidR="00DB1635" w:rsidRPr="00B004EE">
        <w:rPr>
          <w:rFonts w:ascii="Tahoma" w:hAnsi="Tahoma" w:cs="Tahoma"/>
          <w:spacing w:val="-5"/>
          <w:sz w:val="20"/>
          <w:szCs w:val="20"/>
        </w:rPr>
        <w:t xml:space="preserve"> </w:t>
      </w:r>
      <w:r w:rsidRPr="00B004EE">
        <w:rPr>
          <w:rFonts w:ascii="Tahoma" w:hAnsi="Tahoma" w:cs="Tahoma"/>
          <w:sz w:val="20"/>
          <w:szCs w:val="20"/>
        </w:rPr>
        <w:t>navire,</w:t>
      </w:r>
      <w:r w:rsidR="00DB1635" w:rsidRPr="00B004EE">
        <w:rPr>
          <w:rFonts w:ascii="Tahoma" w:hAnsi="Tahoma" w:cs="Tahoma"/>
          <w:spacing w:val="-4"/>
          <w:sz w:val="20"/>
          <w:szCs w:val="20"/>
        </w:rPr>
        <w:t xml:space="preserve"> </w:t>
      </w:r>
      <w:r w:rsidRPr="00B004EE">
        <w:rPr>
          <w:rFonts w:ascii="Tahoma" w:hAnsi="Tahoma" w:cs="Tahoma"/>
          <w:sz w:val="20"/>
          <w:szCs w:val="20"/>
        </w:rPr>
        <w:t>dans</w:t>
      </w:r>
      <w:r w:rsidR="00DB1635" w:rsidRPr="00B004EE">
        <w:rPr>
          <w:rFonts w:ascii="Tahoma" w:hAnsi="Tahoma" w:cs="Tahoma"/>
          <w:spacing w:val="-5"/>
          <w:sz w:val="20"/>
          <w:szCs w:val="20"/>
        </w:rPr>
        <w:t xml:space="preserve"> </w:t>
      </w:r>
      <w:r w:rsidRPr="00B004EE">
        <w:rPr>
          <w:rFonts w:ascii="Tahoma" w:hAnsi="Tahoma" w:cs="Tahoma"/>
          <w:sz w:val="20"/>
          <w:szCs w:val="20"/>
        </w:rPr>
        <w:t>un</w:t>
      </w:r>
      <w:r w:rsidR="00DB1635" w:rsidRPr="00B004EE">
        <w:rPr>
          <w:rFonts w:ascii="Tahoma" w:hAnsi="Tahoma" w:cs="Tahoma"/>
          <w:spacing w:val="-5"/>
          <w:sz w:val="20"/>
          <w:szCs w:val="20"/>
        </w:rPr>
        <w:t xml:space="preserve"> </w:t>
      </w:r>
      <w:r w:rsidRPr="00B004EE">
        <w:rPr>
          <w:rFonts w:ascii="Tahoma" w:hAnsi="Tahoma" w:cs="Tahoma"/>
          <w:sz w:val="20"/>
          <w:szCs w:val="20"/>
        </w:rPr>
        <w:t>établissement,</w:t>
      </w:r>
      <w:r w:rsidR="00DB1635" w:rsidRPr="00B004EE">
        <w:rPr>
          <w:rFonts w:ascii="Tahoma" w:hAnsi="Tahoma" w:cs="Tahoma"/>
          <w:spacing w:val="-2"/>
          <w:sz w:val="20"/>
          <w:szCs w:val="20"/>
        </w:rPr>
        <w:t xml:space="preserve"> </w:t>
      </w:r>
      <w:r w:rsidRPr="00B004EE">
        <w:rPr>
          <w:rFonts w:ascii="Tahoma" w:hAnsi="Tahoma" w:cs="Tahoma"/>
          <w:sz w:val="20"/>
          <w:szCs w:val="20"/>
        </w:rPr>
        <w:t>ou</w:t>
      </w:r>
      <w:r w:rsidR="00DB1635" w:rsidRPr="00B004EE">
        <w:rPr>
          <w:rFonts w:ascii="Tahoma" w:hAnsi="Tahoma" w:cs="Tahoma"/>
          <w:w w:val="95"/>
          <w:sz w:val="20"/>
          <w:szCs w:val="20"/>
        </w:rPr>
        <w:t xml:space="preserve"> </w:t>
      </w:r>
      <w:r w:rsidRPr="00B004EE">
        <w:rPr>
          <w:rFonts w:ascii="Tahoma" w:hAnsi="Tahoma" w:cs="Tahoma"/>
          <w:sz w:val="20"/>
          <w:szCs w:val="20"/>
        </w:rPr>
        <w:t>véhicule</w:t>
      </w:r>
      <w:r w:rsidR="00DB1635" w:rsidRPr="00B004EE">
        <w:rPr>
          <w:rFonts w:ascii="Tahoma" w:hAnsi="Tahoma" w:cs="Tahoma"/>
          <w:spacing w:val="37"/>
          <w:sz w:val="20"/>
          <w:szCs w:val="20"/>
        </w:rPr>
        <w:t xml:space="preserve"> </w:t>
      </w:r>
      <w:r w:rsidRPr="00B004EE">
        <w:rPr>
          <w:rFonts w:ascii="Tahoma" w:hAnsi="Tahoma" w:cs="Tahoma"/>
          <w:sz w:val="20"/>
          <w:szCs w:val="20"/>
        </w:rPr>
        <w:t>objet</w:t>
      </w:r>
      <w:r w:rsidR="00DB1635" w:rsidRPr="00B004EE">
        <w:rPr>
          <w:rFonts w:ascii="Tahoma" w:hAnsi="Tahoma" w:cs="Tahoma"/>
          <w:spacing w:val="37"/>
          <w:sz w:val="20"/>
          <w:szCs w:val="20"/>
        </w:rPr>
        <w:t xml:space="preserve"> </w:t>
      </w:r>
      <w:r w:rsidRPr="00B004EE">
        <w:rPr>
          <w:rFonts w:ascii="Tahoma" w:hAnsi="Tahoma" w:cs="Tahoma"/>
          <w:sz w:val="20"/>
          <w:szCs w:val="20"/>
        </w:rPr>
        <w:t>d'inspection</w:t>
      </w:r>
      <w:r w:rsidR="00DB1635" w:rsidRPr="00B004EE">
        <w:rPr>
          <w:rFonts w:ascii="Tahoma" w:hAnsi="Tahoma" w:cs="Tahoma"/>
          <w:spacing w:val="36"/>
          <w:sz w:val="20"/>
          <w:szCs w:val="20"/>
        </w:rPr>
        <w:t xml:space="preserve"> </w:t>
      </w:r>
      <w:r w:rsidRPr="00B004EE">
        <w:rPr>
          <w:rFonts w:ascii="Tahoma" w:hAnsi="Tahoma" w:cs="Tahoma"/>
          <w:sz w:val="20"/>
          <w:szCs w:val="20"/>
        </w:rPr>
        <w:t>aux</w:t>
      </w:r>
      <w:r w:rsidR="00DB1635" w:rsidRPr="00B004EE">
        <w:rPr>
          <w:rFonts w:ascii="Tahoma" w:hAnsi="Tahoma" w:cs="Tahoma"/>
          <w:spacing w:val="36"/>
          <w:sz w:val="20"/>
          <w:szCs w:val="20"/>
        </w:rPr>
        <w:t xml:space="preserve"> </w:t>
      </w:r>
      <w:r w:rsidRPr="00B004EE">
        <w:rPr>
          <w:rFonts w:ascii="Tahoma" w:hAnsi="Tahoma" w:cs="Tahoma"/>
          <w:sz w:val="20"/>
          <w:szCs w:val="20"/>
        </w:rPr>
        <w:t>termes</w:t>
      </w:r>
      <w:r w:rsidR="00DB1635" w:rsidRPr="00B004EE">
        <w:rPr>
          <w:rFonts w:ascii="Tahoma" w:hAnsi="Tahoma" w:cs="Tahoma"/>
          <w:spacing w:val="36"/>
          <w:sz w:val="20"/>
          <w:szCs w:val="20"/>
        </w:rPr>
        <w:t xml:space="preserve"> </w:t>
      </w:r>
      <w:r w:rsidRPr="00B004EE">
        <w:rPr>
          <w:rFonts w:ascii="Tahoma" w:hAnsi="Tahoma" w:cs="Tahoma"/>
          <w:sz w:val="20"/>
          <w:szCs w:val="20"/>
        </w:rPr>
        <w:t>de</w:t>
      </w:r>
      <w:r w:rsidR="00DB1635" w:rsidRPr="00B004EE">
        <w:rPr>
          <w:rFonts w:ascii="Tahoma" w:hAnsi="Tahoma" w:cs="Tahoma"/>
          <w:spacing w:val="36"/>
          <w:sz w:val="20"/>
          <w:szCs w:val="20"/>
        </w:rPr>
        <w:t xml:space="preserve"> </w:t>
      </w:r>
      <w:r w:rsidRPr="00B004EE">
        <w:rPr>
          <w:rFonts w:ascii="Tahoma" w:hAnsi="Tahoma" w:cs="Tahoma"/>
          <w:sz w:val="20"/>
          <w:szCs w:val="20"/>
        </w:rPr>
        <w:t>l'article</w:t>
      </w:r>
      <w:r w:rsidR="00DB1635" w:rsidRPr="00B004EE">
        <w:rPr>
          <w:rFonts w:ascii="Tahoma" w:hAnsi="Tahoma" w:cs="Tahoma"/>
          <w:spacing w:val="-11"/>
          <w:sz w:val="20"/>
          <w:szCs w:val="20"/>
        </w:rPr>
        <w:t xml:space="preserve"> </w:t>
      </w:r>
      <w:r w:rsidRPr="00B004EE">
        <w:rPr>
          <w:rFonts w:ascii="Tahoma" w:hAnsi="Tahoma" w:cs="Tahoma"/>
          <w:sz w:val="20"/>
          <w:szCs w:val="20"/>
        </w:rPr>
        <w:t>68</w:t>
      </w:r>
      <w:r w:rsidR="00DB1635" w:rsidRPr="00B004EE">
        <w:rPr>
          <w:rFonts w:ascii="Tahoma" w:hAnsi="Tahoma" w:cs="Tahoma"/>
          <w:spacing w:val="-14"/>
          <w:sz w:val="20"/>
          <w:szCs w:val="20"/>
        </w:rPr>
        <w:t xml:space="preserve"> </w:t>
      </w:r>
      <w:r w:rsidRPr="00B004EE">
        <w:rPr>
          <w:rFonts w:ascii="Tahoma" w:hAnsi="Tahoma" w:cs="Tahoma"/>
          <w:sz w:val="20"/>
          <w:szCs w:val="20"/>
        </w:rPr>
        <w:t>(c),</w:t>
      </w:r>
      <w:r w:rsidR="00DB1635" w:rsidRPr="00B004EE">
        <w:rPr>
          <w:rFonts w:ascii="Tahoma" w:hAnsi="Tahoma" w:cs="Tahoma"/>
          <w:spacing w:val="36"/>
          <w:sz w:val="20"/>
          <w:szCs w:val="20"/>
        </w:rPr>
        <w:t xml:space="preserve"> </w:t>
      </w:r>
      <w:r w:rsidRPr="00B004EE">
        <w:rPr>
          <w:rFonts w:ascii="Tahoma" w:hAnsi="Tahoma" w:cs="Tahoma"/>
          <w:sz w:val="20"/>
          <w:szCs w:val="20"/>
        </w:rPr>
        <w:t>en</w:t>
      </w:r>
      <w:r w:rsidR="00DB1635" w:rsidRPr="00B004EE">
        <w:rPr>
          <w:rFonts w:ascii="Tahoma" w:hAnsi="Tahoma" w:cs="Tahoma"/>
          <w:spacing w:val="36"/>
          <w:sz w:val="20"/>
          <w:szCs w:val="20"/>
        </w:rPr>
        <w:t xml:space="preserve"> </w:t>
      </w:r>
      <w:r w:rsidRPr="00B004EE">
        <w:rPr>
          <w:rFonts w:ascii="Tahoma" w:hAnsi="Tahoma" w:cs="Tahoma"/>
          <w:sz w:val="20"/>
          <w:szCs w:val="20"/>
        </w:rPr>
        <w:t>dresse</w:t>
      </w:r>
      <w:r w:rsidR="00DB1635" w:rsidRPr="00B004EE">
        <w:rPr>
          <w:rFonts w:ascii="Tahoma" w:hAnsi="Tahoma" w:cs="Tahoma"/>
          <w:spacing w:val="36"/>
          <w:sz w:val="20"/>
          <w:szCs w:val="20"/>
        </w:rPr>
        <w:t xml:space="preserve"> </w:t>
      </w:r>
      <w:r w:rsidRPr="00B004EE">
        <w:rPr>
          <w:rFonts w:ascii="Tahoma" w:hAnsi="Tahoma" w:cs="Tahoma"/>
          <w:sz w:val="20"/>
          <w:szCs w:val="20"/>
        </w:rPr>
        <w:t>un</w:t>
      </w:r>
      <w:r w:rsidR="00DB1635" w:rsidRPr="00B004EE">
        <w:rPr>
          <w:rFonts w:ascii="Tahoma" w:hAnsi="Tahoma" w:cs="Tahoma"/>
          <w:spacing w:val="35"/>
          <w:sz w:val="20"/>
          <w:szCs w:val="20"/>
        </w:rPr>
        <w:t xml:space="preserve"> </w:t>
      </w:r>
      <w:r w:rsidRPr="00B004EE">
        <w:rPr>
          <w:rFonts w:ascii="Tahoma" w:hAnsi="Tahoma" w:cs="Tahoma"/>
          <w:sz w:val="20"/>
          <w:szCs w:val="20"/>
        </w:rPr>
        <w:t>procès-</w:t>
      </w:r>
      <w:r w:rsidR="00DB1635" w:rsidRPr="00B004EE">
        <w:rPr>
          <w:rFonts w:ascii="Tahoma" w:hAnsi="Tahoma" w:cs="Tahoma"/>
          <w:w w:val="107"/>
          <w:sz w:val="20"/>
          <w:szCs w:val="20"/>
        </w:rPr>
        <w:t xml:space="preserve"> </w:t>
      </w:r>
      <w:r w:rsidRPr="00B004EE">
        <w:rPr>
          <w:rFonts w:ascii="Tahoma" w:hAnsi="Tahoma" w:cs="Tahoma"/>
          <w:sz w:val="20"/>
          <w:szCs w:val="20"/>
        </w:rPr>
        <w:t>verbal.</w:t>
      </w:r>
    </w:p>
    <w:p w14:paraId="42292889" w14:textId="516EA1E4" w:rsidR="001E7C3C" w:rsidRPr="00B004EE" w:rsidRDefault="001E7C3C" w:rsidP="00B004EE">
      <w:pPr>
        <w:pStyle w:val="Corpsdetexte"/>
        <w:ind w:right="165"/>
        <w:rPr>
          <w:rFonts w:ascii="Tahoma" w:hAnsi="Tahoma" w:cs="Tahoma"/>
          <w:sz w:val="20"/>
          <w:szCs w:val="20"/>
        </w:rPr>
      </w:pP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procès-verbal</w:t>
      </w:r>
      <w:r w:rsidR="00DB1635" w:rsidRPr="00B004EE">
        <w:rPr>
          <w:rFonts w:ascii="Tahoma" w:hAnsi="Tahoma" w:cs="Tahoma"/>
          <w:sz w:val="20"/>
          <w:szCs w:val="20"/>
        </w:rPr>
        <w:t xml:space="preserve"> </w:t>
      </w:r>
      <w:r w:rsidRPr="00B004EE">
        <w:rPr>
          <w:rFonts w:ascii="Tahoma" w:hAnsi="Tahoma" w:cs="Tahoma"/>
          <w:sz w:val="20"/>
          <w:szCs w:val="20"/>
        </w:rPr>
        <w:t>visé</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paragraphe</w:t>
      </w:r>
      <w:r w:rsidR="00DB1635" w:rsidRPr="00B004EE">
        <w:rPr>
          <w:rFonts w:ascii="Tahoma" w:hAnsi="Tahoma" w:cs="Tahoma"/>
          <w:sz w:val="20"/>
          <w:szCs w:val="20"/>
        </w:rPr>
        <w:t xml:space="preserve"> </w:t>
      </w:r>
      <w:r w:rsidRPr="00B004EE">
        <w:rPr>
          <w:rFonts w:ascii="Tahoma" w:hAnsi="Tahoma" w:cs="Tahoma"/>
          <w:sz w:val="20"/>
          <w:szCs w:val="20"/>
        </w:rPr>
        <w:t>précédent</w:t>
      </w:r>
      <w:r w:rsidR="00DB1635" w:rsidRPr="00B004EE">
        <w:rPr>
          <w:rFonts w:ascii="Tahoma" w:hAnsi="Tahoma" w:cs="Tahoma"/>
          <w:sz w:val="20"/>
          <w:szCs w:val="20"/>
        </w:rPr>
        <w:t xml:space="preserve"> </w:t>
      </w:r>
      <w:r w:rsidRPr="00B004EE">
        <w:rPr>
          <w:rFonts w:ascii="Tahoma" w:hAnsi="Tahoma" w:cs="Tahoma"/>
          <w:sz w:val="20"/>
          <w:szCs w:val="20"/>
        </w:rPr>
        <w:t>spécifie</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espèces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pacing w:val="35"/>
          <w:sz w:val="20"/>
          <w:szCs w:val="20"/>
        </w:rPr>
        <w:t xml:space="preserve"> </w:t>
      </w:r>
      <w:r w:rsidRPr="00B004EE">
        <w:rPr>
          <w:rFonts w:ascii="Tahoma" w:hAnsi="Tahoma" w:cs="Tahoma"/>
          <w:sz w:val="20"/>
          <w:szCs w:val="20"/>
        </w:rPr>
        <w:t>quantités</w:t>
      </w:r>
      <w:r w:rsidR="00DB1635" w:rsidRPr="00B004EE">
        <w:rPr>
          <w:rFonts w:ascii="Tahoma" w:hAnsi="Tahoma" w:cs="Tahoma"/>
          <w:spacing w:val="-1"/>
          <w:w w:val="95"/>
          <w:sz w:val="20"/>
          <w:szCs w:val="20"/>
        </w:rPr>
        <w:t xml:space="preserve"> </w:t>
      </w:r>
      <w:r w:rsidRPr="00B004EE">
        <w:rPr>
          <w:rFonts w:ascii="Tahoma" w:hAnsi="Tahoma" w:cs="Tahoma"/>
          <w:sz w:val="20"/>
          <w:szCs w:val="20"/>
        </w:rPr>
        <w:t>prélevées</w:t>
      </w:r>
      <w:r w:rsidR="00DB1635" w:rsidRPr="00B004EE">
        <w:rPr>
          <w:rFonts w:ascii="Tahoma" w:hAnsi="Tahoma" w:cs="Tahoma"/>
          <w:spacing w:val="-22"/>
          <w:sz w:val="20"/>
          <w:szCs w:val="20"/>
        </w:rPr>
        <w:t xml:space="preserve"> </w:t>
      </w:r>
      <w:r w:rsidRPr="00B004EE">
        <w:rPr>
          <w:rFonts w:ascii="Tahoma" w:hAnsi="Tahoma" w:cs="Tahoma"/>
          <w:sz w:val="20"/>
          <w:szCs w:val="20"/>
        </w:rPr>
        <w:t>et</w:t>
      </w:r>
      <w:r w:rsidR="00DB1635" w:rsidRPr="00B004EE">
        <w:rPr>
          <w:rFonts w:ascii="Tahoma" w:hAnsi="Tahoma" w:cs="Tahoma"/>
          <w:spacing w:val="-22"/>
          <w:sz w:val="20"/>
          <w:szCs w:val="20"/>
        </w:rPr>
        <w:t xml:space="preserve"> </w:t>
      </w:r>
      <w:r w:rsidRPr="00B004EE">
        <w:rPr>
          <w:rFonts w:ascii="Tahoma" w:hAnsi="Tahoma" w:cs="Tahoma"/>
          <w:sz w:val="20"/>
          <w:szCs w:val="20"/>
        </w:rPr>
        <w:t>est</w:t>
      </w:r>
      <w:r w:rsidR="00DB1635" w:rsidRPr="00B004EE">
        <w:rPr>
          <w:rFonts w:ascii="Tahoma" w:hAnsi="Tahoma" w:cs="Tahoma"/>
          <w:spacing w:val="-22"/>
          <w:sz w:val="20"/>
          <w:szCs w:val="20"/>
        </w:rPr>
        <w:t xml:space="preserve"> </w:t>
      </w:r>
      <w:r w:rsidRPr="00B004EE">
        <w:rPr>
          <w:rFonts w:ascii="Tahoma" w:hAnsi="Tahoma" w:cs="Tahoma"/>
          <w:sz w:val="20"/>
          <w:szCs w:val="20"/>
        </w:rPr>
        <w:t>signé</w:t>
      </w:r>
      <w:r w:rsidR="00DB1635" w:rsidRPr="00B004EE">
        <w:rPr>
          <w:rFonts w:ascii="Tahoma" w:hAnsi="Tahoma" w:cs="Tahoma"/>
          <w:spacing w:val="-22"/>
          <w:sz w:val="20"/>
          <w:szCs w:val="20"/>
        </w:rPr>
        <w:t xml:space="preserve"> </w:t>
      </w:r>
      <w:r w:rsidRPr="00B004EE">
        <w:rPr>
          <w:rFonts w:ascii="Tahoma" w:hAnsi="Tahoma" w:cs="Tahoma"/>
          <w:sz w:val="20"/>
          <w:szCs w:val="20"/>
        </w:rPr>
        <w:t>par</w:t>
      </w:r>
      <w:r w:rsidR="00DB1635" w:rsidRPr="00B004EE">
        <w:rPr>
          <w:rFonts w:ascii="Tahoma" w:hAnsi="Tahoma" w:cs="Tahoma"/>
          <w:spacing w:val="-23"/>
          <w:sz w:val="20"/>
          <w:szCs w:val="20"/>
        </w:rPr>
        <w:t xml:space="preserve"> </w:t>
      </w:r>
      <w:r w:rsidRPr="00B004EE">
        <w:rPr>
          <w:rFonts w:ascii="Tahoma" w:hAnsi="Tahoma" w:cs="Tahoma"/>
          <w:sz w:val="20"/>
          <w:szCs w:val="20"/>
        </w:rPr>
        <w:t>la</w:t>
      </w:r>
      <w:r w:rsidR="00DB1635" w:rsidRPr="00B004EE">
        <w:rPr>
          <w:rFonts w:ascii="Tahoma" w:hAnsi="Tahoma" w:cs="Tahoma"/>
          <w:spacing w:val="-22"/>
          <w:sz w:val="20"/>
          <w:szCs w:val="20"/>
        </w:rPr>
        <w:t xml:space="preserve"> </w:t>
      </w:r>
      <w:r w:rsidRPr="00B004EE">
        <w:rPr>
          <w:rFonts w:ascii="Tahoma" w:hAnsi="Tahoma" w:cs="Tahoma"/>
          <w:sz w:val="20"/>
          <w:szCs w:val="20"/>
        </w:rPr>
        <w:t>personne</w:t>
      </w:r>
      <w:r w:rsidR="00DB1635" w:rsidRPr="00B004EE">
        <w:rPr>
          <w:rFonts w:ascii="Tahoma" w:hAnsi="Tahoma" w:cs="Tahoma"/>
          <w:spacing w:val="-22"/>
          <w:sz w:val="20"/>
          <w:szCs w:val="20"/>
        </w:rPr>
        <w:t xml:space="preserve"> </w:t>
      </w:r>
      <w:r w:rsidRPr="00B004EE">
        <w:rPr>
          <w:rFonts w:ascii="Tahoma" w:hAnsi="Tahoma" w:cs="Tahoma"/>
          <w:sz w:val="20"/>
          <w:szCs w:val="20"/>
        </w:rPr>
        <w:t>responsable</w:t>
      </w:r>
      <w:r w:rsidR="00DB1635" w:rsidRPr="00B004EE">
        <w:rPr>
          <w:rFonts w:ascii="Tahoma" w:hAnsi="Tahoma" w:cs="Tahoma"/>
          <w:spacing w:val="-22"/>
          <w:sz w:val="20"/>
          <w:szCs w:val="20"/>
        </w:rPr>
        <w:t xml:space="preserve"> </w:t>
      </w:r>
      <w:r w:rsidRPr="00B004EE">
        <w:rPr>
          <w:rFonts w:ascii="Tahoma" w:hAnsi="Tahoma" w:cs="Tahoma"/>
          <w:sz w:val="20"/>
          <w:szCs w:val="20"/>
        </w:rPr>
        <w:t>en</w:t>
      </w:r>
      <w:r w:rsidR="00DB1635" w:rsidRPr="00B004EE">
        <w:rPr>
          <w:rFonts w:ascii="Tahoma" w:hAnsi="Tahoma" w:cs="Tahoma"/>
          <w:spacing w:val="-22"/>
          <w:sz w:val="20"/>
          <w:szCs w:val="20"/>
        </w:rPr>
        <w:t xml:space="preserve"> </w:t>
      </w:r>
      <w:r w:rsidRPr="00B004EE">
        <w:rPr>
          <w:rFonts w:ascii="Tahoma" w:hAnsi="Tahoma" w:cs="Tahoma"/>
          <w:sz w:val="20"/>
          <w:szCs w:val="20"/>
        </w:rPr>
        <w:t>possession</w:t>
      </w:r>
      <w:r w:rsidR="00DB1635" w:rsidRPr="00B004EE">
        <w:rPr>
          <w:rFonts w:ascii="Tahoma" w:hAnsi="Tahoma" w:cs="Tahoma"/>
          <w:spacing w:val="-22"/>
          <w:sz w:val="20"/>
          <w:szCs w:val="20"/>
        </w:rPr>
        <w:t xml:space="preserve"> </w:t>
      </w:r>
      <w:r w:rsidRPr="00B004EE">
        <w:rPr>
          <w:rFonts w:ascii="Tahoma" w:hAnsi="Tahoma" w:cs="Tahoma"/>
          <w:sz w:val="20"/>
          <w:szCs w:val="20"/>
        </w:rPr>
        <w:t>des</w:t>
      </w:r>
      <w:r w:rsidR="00DB1635" w:rsidRPr="00B004EE">
        <w:rPr>
          <w:rFonts w:ascii="Tahoma" w:hAnsi="Tahoma" w:cs="Tahoma"/>
          <w:spacing w:val="-22"/>
          <w:sz w:val="20"/>
          <w:szCs w:val="20"/>
        </w:rPr>
        <w:t xml:space="preserve"> </w:t>
      </w:r>
      <w:r w:rsidRPr="00B004EE">
        <w:rPr>
          <w:rFonts w:ascii="Tahoma" w:hAnsi="Tahoma" w:cs="Tahoma"/>
          <w:sz w:val="20"/>
          <w:szCs w:val="20"/>
        </w:rPr>
        <w:t>captures</w:t>
      </w:r>
      <w:r w:rsidR="00DB1635" w:rsidRPr="00B004EE">
        <w:rPr>
          <w:rFonts w:ascii="Tahoma" w:hAnsi="Tahoma" w:cs="Tahoma"/>
          <w:spacing w:val="-22"/>
          <w:sz w:val="20"/>
          <w:szCs w:val="20"/>
        </w:rPr>
        <w:t xml:space="preserve"> </w:t>
      </w:r>
      <w:r w:rsidRPr="00B004EE">
        <w:rPr>
          <w:rFonts w:ascii="Tahoma" w:hAnsi="Tahoma" w:cs="Tahoma"/>
          <w:sz w:val="20"/>
          <w:szCs w:val="20"/>
        </w:rPr>
        <w:t>à</w:t>
      </w:r>
      <w:r w:rsidR="00DB1635" w:rsidRPr="00B004EE">
        <w:rPr>
          <w:rFonts w:ascii="Tahoma" w:hAnsi="Tahoma" w:cs="Tahoma"/>
          <w:spacing w:val="-23"/>
          <w:sz w:val="20"/>
          <w:szCs w:val="20"/>
        </w:rPr>
        <w:t xml:space="preserve"> </w:t>
      </w:r>
      <w:r w:rsidRPr="00B004EE">
        <w:rPr>
          <w:rFonts w:ascii="Tahoma" w:hAnsi="Tahoma" w:cs="Tahoma"/>
          <w:sz w:val="20"/>
          <w:szCs w:val="20"/>
        </w:rPr>
        <w:t>qui</w:t>
      </w:r>
      <w:r w:rsidR="00DB1635" w:rsidRPr="00B004EE">
        <w:rPr>
          <w:rFonts w:ascii="Tahoma" w:hAnsi="Tahoma" w:cs="Tahoma"/>
          <w:w w:val="99"/>
          <w:sz w:val="20"/>
          <w:szCs w:val="20"/>
        </w:rPr>
        <w:t xml:space="preserve"> </w:t>
      </w:r>
      <w:r w:rsidRPr="00B004EE">
        <w:rPr>
          <w:rFonts w:ascii="Tahoma" w:hAnsi="Tahoma" w:cs="Tahoma"/>
          <w:sz w:val="20"/>
          <w:szCs w:val="20"/>
        </w:rPr>
        <w:t>est</w:t>
      </w:r>
      <w:r w:rsidR="00DB1635" w:rsidRPr="00B004EE">
        <w:rPr>
          <w:rFonts w:ascii="Tahoma" w:hAnsi="Tahoma" w:cs="Tahoma"/>
          <w:spacing w:val="-37"/>
          <w:sz w:val="20"/>
          <w:szCs w:val="20"/>
        </w:rPr>
        <w:t xml:space="preserve"> </w:t>
      </w:r>
      <w:r w:rsidRPr="00B004EE">
        <w:rPr>
          <w:rFonts w:ascii="Tahoma" w:hAnsi="Tahoma" w:cs="Tahoma"/>
          <w:sz w:val="20"/>
          <w:szCs w:val="20"/>
        </w:rPr>
        <w:t>remise</w:t>
      </w:r>
      <w:r w:rsidR="00DB1635" w:rsidRPr="00B004EE">
        <w:rPr>
          <w:rFonts w:ascii="Tahoma" w:hAnsi="Tahoma" w:cs="Tahoma"/>
          <w:spacing w:val="-37"/>
          <w:sz w:val="20"/>
          <w:szCs w:val="20"/>
        </w:rPr>
        <w:t xml:space="preserve"> </w:t>
      </w:r>
      <w:r w:rsidRPr="00B004EE">
        <w:rPr>
          <w:rFonts w:ascii="Tahoma" w:hAnsi="Tahoma" w:cs="Tahoma"/>
          <w:sz w:val="20"/>
          <w:szCs w:val="20"/>
        </w:rPr>
        <w:t>copie</w:t>
      </w:r>
      <w:r w:rsidR="00DB1635" w:rsidRPr="00B004EE">
        <w:rPr>
          <w:rFonts w:ascii="Tahoma" w:hAnsi="Tahoma" w:cs="Tahoma"/>
          <w:spacing w:val="-37"/>
          <w:sz w:val="20"/>
          <w:szCs w:val="20"/>
        </w:rPr>
        <w:t xml:space="preserve"> </w:t>
      </w:r>
      <w:r w:rsidRPr="00B004EE">
        <w:rPr>
          <w:rFonts w:ascii="Tahoma" w:hAnsi="Tahoma" w:cs="Tahoma"/>
          <w:sz w:val="20"/>
          <w:szCs w:val="20"/>
        </w:rPr>
        <w:t>du</w:t>
      </w:r>
      <w:r w:rsidR="00DB1635" w:rsidRPr="00B004EE">
        <w:rPr>
          <w:rFonts w:ascii="Tahoma" w:hAnsi="Tahoma" w:cs="Tahoma"/>
          <w:spacing w:val="-37"/>
          <w:sz w:val="20"/>
          <w:szCs w:val="20"/>
        </w:rPr>
        <w:t xml:space="preserve"> </w:t>
      </w:r>
      <w:r w:rsidRPr="00B004EE">
        <w:rPr>
          <w:rFonts w:ascii="Tahoma" w:hAnsi="Tahoma" w:cs="Tahoma"/>
          <w:sz w:val="20"/>
          <w:szCs w:val="20"/>
        </w:rPr>
        <w:t>document.</w:t>
      </w:r>
    </w:p>
    <w:p w14:paraId="4004DC0C" w14:textId="360ED818" w:rsidR="001E7C3C" w:rsidRPr="00B004EE" w:rsidRDefault="001E7C3C" w:rsidP="00B004EE">
      <w:pPr>
        <w:pStyle w:val="Corpsdetexte"/>
        <w:ind w:right="161"/>
        <w:rPr>
          <w:rFonts w:ascii="Tahoma" w:hAnsi="Tahoma" w:cs="Tahoma"/>
          <w:sz w:val="20"/>
          <w:szCs w:val="20"/>
        </w:rPr>
      </w:pPr>
      <w:r w:rsidRPr="00B004EE">
        <w:rPr>
          <w:rFonts w:ascii="Tahoma" w:hAnsi="Tahoma" w:cs="Tahoma"/>
          <w:sz w:val="20"/>
          <w:szCs w:val="20"/>
        </w:rPr>
        <w:t>Le</w:t>
      </w:r>
      <w:r w:rsidR="00DB1635" w:rsidRPr="00B004EE">
        <w:rPr>
          <w:rFonts w:ascii="Tahoma" w:hAnsi="Tahoma" w:cs="Tahoma"/>
          <w:spacing w:val="-21"/>
          <w:sz w:val="20"/>
          <w:szCs w:val="20"/>
        </w:rPr>
        <w:t xml:space="preserve"> </w:t>
      </w:r>
      <w:r w:rsidRPr="00B004EE">
        <w:rPr>
          <w:rFonts w:ascii="Tahoma" w:hAnsi="Tahoma" w:cs="Tahoma"/>
          <w:sz w:val="20"/>
          <w:szCs w:val="20"/>
        </w:rPr>
        <w:t>modèle</w:t>
      </w:r>
      <w:r w:rsidR="00DB1635" w:rsidRPr="00B004EE">
        <w:rPr>
          <w:rFonts w:ascii="Tahoma" w:hAnsi="Tahoma" w:cs="Tahoma"/>
          <w:spacing w:val="-21"/>
          <w:sz w:val="20"/>
          <w:szCs w:val="20"/>
        </w:rPr>
        <w:t xml:space="preserve"> </w:t>
      </w:r>
      <w:r w:rsidRPr="00B004EE">
        <w:rPr>
          <w:rFonts w:ascii="Tahoma" w:hAnsi="Tahoma" w:cs="Tahoma"/>
          <w:sz w:val="20"/>
          <w:szCs w:val="20"/>
        </w:rPr>
        <w:t>du</w:t>
      </w:r>
      <w:r w:rsidR="00DB1635" w:rsidRPr="00B004EE">
        <w:rPr>
          <w:rFonts w:ascii="Tahoma" w:hAnsi="Tahoma" w:cs="Tahoma"/>
          <w:spacing w:val="-21"/>
          <w:sz w:val="20"/>
          <w:szCs w:val="20"/>
        </w:rPr>
        <w:t xml:space="preserve"> </w:t>
      </w:r>
      <w:r w:rsidRPr="00B004EE">
        <w:rPr>
          <w:rFonts w:ascii="Tahoma" w:hAnsi="Tahoma" w:cs="Tahoma"/>
          <w:sz w:val="20"/>
          <w:szCs w:val="20"/>
        </w:rPr>
        <w:t>procès-verbal</w:t>
      </w:r>
      <w:r w:rsidR="00DB1635" w:rsidRPr="00B004EE">
        <w:rPr>
          <w:rFonts w:ascii="Tahoma" w:hAnsi="Tahoma" w:cs="Tahoma"/>
          <w:spacing w:val="-20"/>
          <w:sz w:val="20"/>
          <w:szCs w:val="20"/>
        </w:rPr>
        <w:t xml:space="preserve"> </w:t>
      </w:r>
      <w:r w:rsidRPr="00B004EE">
        <w:rPr>
          <w:rFonts w:ascii="Tahoma" w:hAnsi="Tahoma" w:cs="Tahoma"/>
          <w:sz w:val="20"/>
          <w:szCs w:val="20"/>
        </w:rPr>
        <w:t>de</w:t>
      </w:r>
      <w:r w:rsidR="00DB1635" w:rsidRPr="00B004EE">
        <w:rPr>
          <w:rFonts w:ascii="Tahoma" w:hAnsi="Tahoma" w:cs="Tahoma"/>
          <w:spacing w:val="-22"/>
          <w:sz w:val="20"/>
          <w:szCs w:val="20"/>
        </w:rPr>
        <w:t xml:space="preserve"> </w:t>
      </w:r>
      <w:r w:rsidRPr="00B004EE">
        <w:rPr>
          <w:rFonts w:ascii="Tahoma" w:hAnsi="Tahoma" w:cs="Tahoma"/>
          <w:sz w:val="20"/>
          <w:szCs w:val="20"/>
        </w:rPr>
        <w:t>prélèvement</w:t>
      </w:r>
      <w:r w:rsidR="00DB1635" w:rsidRPr="00B004EE">
        <w:rPr>
          <w:rFonts w:ascii="Tahoma" w:hAnsi="Tahoma" w:cs="Tahoma"/>
          <w:spacing w:val="-22"/>
          <w:sz w:val="20"/>
          <w:szCs w:val="20"/>
        </w:rPr>
        <w:t xml:space="preserve"> </w:t>
      </w:r>
      <w:r w:rsidRPr="00B004EE">
        <w:rPr>
          <w:rFonts w:ascii="Tahoma" w:hAnsi="Tahoma" w:cs="Tahoma"/>
          <w:sz w:val="20"/>
          <w:szCs w:val="20"/>
        </w:rPr>
        <w:t>d'échantillons</w:t>
      </w:r>
      <w:r w:rsidR="00DB1635" w:rsidRPr="00B004EE">
        <w:rPr>
          <w:rFonts w:ascii="Tahoma" w:hAnsi="Tahoma" w:cs="Tahoma"/>
          <w:spacing w:val="-22"/>
          <w:sz w:val="20"/>
          <w:szCs w:val="20"/>
        </w:rPr>
        <w:t xml:space="preserve"> </w:t>
      </w:r>
      <w:r w:rsidRPr="00B004EE">
        <w:rPr>
          <w:rFonts w:ascii="Tahoma" w:hAnsi="Tahoma" w:cs="Tahoma"/>
          <w:sz w:val="20"/>
          <w:szCs w:val="20"/>
        </w:rPr>
        <w:t>est</w:t>
      </w:r>
      <w:r w:rsidR="00DB1635" w:rsidRPr="00B004EE">
        <w:rPr>
          <w:rFonts w:ascii="Tahoma" w:hAnsi="Tahoma" w:cs="Tahoma"/>
          <w:spacing w:val="-22"/>
          <w:sz w:val="20"/>
          <w:szCs w:val="20"/>
        </w:rPr>
        <w:t xml:space="preserve"> </w:t>
      </w:r>
      <w:r w:rsidRPr="00B004EE">
        <w:rPr>
          <w:rFonts w:ascii="Tahoma" w:hAnsi="Tahoma" w:cs="Tahoma"/>
          <w:sz w:val="20"/>
          <w:szCs w:val="20"/>
        </w:rPr>
        <w:t>approuvé</w:t>
      </w:r>
      <w:r w:rsidR="00DB1635" w:rsidRPr="00B004EE">
        <w:rPr>
          <w:rFonts w:ascii="Tahoma" w:hAnsi="Tahoma" w:cs="Tahoma"/>
          <w:spacing w:val="-22"/>
          <w:sz w:val="20"/>
          <w:szCs w:val="20"/>
        </w:rPr>
        <w:t xml:space="preserve"> </w:t>
      </w:r>
      <w:r w:rsidRPr="00B004EE">
        <w:rPr>
          <w:rFonts w:ascii="Tahoma" w:hAnsi="Tahoma" w:cs="Tahoma"/>
          <w:sz w:val="20"/>
          <w:szCs w:val="20"/>
        </w:rPr>
        <w:t>par</w:t>
      </w:r>
      <w:r w:rsidR="00DB1635" w:rsidRPr="00B004EE">
        <w:rPr>
          <w:rFonts w:ascii="Tahoma" w:hAnsi="Tahoma" w:cs="Tahoma"/>
          <w:spacing w:val="-22"/>
          <w:sz w:val="20"/>
          <w:szCs w:val="20"/>
        </w:rPr>
        <w:t xml:space="preserve"> </w:t>
      </w:r>
      <w:r w:rsidRPr="00B004EE">
        <w:rPr>
          <w:rFonts w:ascii="Tahoma" w:hAnsi="Tahoma" w:cs="Tahoma"/>
          <w:sz w:val="20"/>
          <w:szCs w:val="20"/>
        </w:rPr>
        <w:t>arrêté</w:t>
      </w:r>
      <w:r w:rsidR="00DB1635" w:rsidRPr="00B004EE">
        <w:rPr>
          <w:rFonts w:ascii="Tahoma" w:hAnsi="Tahoma" w:cs="Tahoma"/>
          <w:w w:val="95"/>
          <w:sz w:val="20"/>
          <w:szCs w:val="20"/>
        </w:rPr>
        <w:t xml:space="preserve"> </w:t>
      </w:r>
      <w:r w:rsidRPr="00B004EE">
        <w:rPr>
          <w:rFonts w:ascii="Tahoma" w:hAnsi="Tahoma" w:cs="Tahoma"/>
          <w:sz w:val="20"/>
          <w:szCs w:val="20"/>
        </w:rPr>
        <w:t>du</w:t>
      </w:r>
      <w:r w:rsidR="00DB1635" w:rsidRPr="00B004EE">
        <w:rPr>
          <w:rFonts w:ascii="Tahoma" w:hAnsi="Tahoma" w:cs="Tahoma"/>
          <w:spacing w:val="-38"/>
          <w:sz w:val="20"/>
          <w:szCs w:val="20"/>
        </w:rPr>
        <w:t xml:space="preserve"> </w:t>
      </w:r>
      <w:r w:rsidRPr="00B004EE">
        <w:rPr>
          <w:rFonts w:ascii="Tahoma" w:hAnsi="Tahoma" w:cs="Tahoma"/>
          <w:sz w:val="20"/>
          <w:szCs w:val="20"/>
        </w:rPr>
        <w:t>ministre</w:t>
      </w:r>
      <w:r w:rsidR="00DB1635" w:rsidRPr="00B004EE">
        <w:rPr>
          <w:rFonts w:ascii="Tahoma" w:hAnsi="Tahoma" w:cs="Tahoma"/>
          <w:spacing w:val="-38"/>
          <w:sz w:val="20"/>
          <w:szCs w:val="20"/>
        </w:rPr>
        <w:t xml:space="preserve"> </w:t>
      </w:r>
      <w:r w:rsidRPr="00B004EE">
        <w:rPr>
          <w:rFonts w:ascii="Tahoma" w:hAnsi="Tahoma" w:cs="Tahoma"/>
          <w:sz w:val="20"/>
          <w:szCs w:val="20"/>
        </w:rPr>
        <w:t>chargé</w:t>
      </w:r>
      <w:r w:rsidR="00DB1635" w:rsidRPr="00B004EE">
        <w:rPr>
          <w:rFonts w:ascii="Tahoma" w:hAnsi="Tahoma" w:cs="Tahoma"/>
          <w:spacing w:val="-38"/>
          <w:sz w:val="20"/>
          <w:szCs w:val="20"/>
        </w:rPr>
        <w:t xml:space="preserve"> </w:t>
      </w:r>
      <w:r w:rsidRPr="00B004EE">
        <w:rPr>
          <w:rFonts w:ascii="Tahoma" w:hAnsi="Tahoma" w:cs="Tahoma"/>
          <w:sz w:val="20"/>
          <w:szCs w:val="20"/>
        </w:rPr>
        <w:t>des</w:t>
      </w:r>
      <w:r w:rsidR="00DB1635" w:rsidRPr="00B004EE">
        <w:rPr>
          <w:rFonts w:ascii="Tahoma" w:hAnsi="Tahoma" w:cs="Tahoma"/>
          <w:spacing w:val="-38"/>
          <w:sz w:val="20"/>
          <w:szCs w:val="20"/>
        </w:rPr>
        <w:t xml:space="preserve"> </w:t>
      </w:r>
      <w:r w:rsidRPr="00B004EE">
        <w:rPr>
          <w:rFonts w:ascii="Tahoma" w:hAnsi="Tahoma" w:cs="Tahoma"/>
          <w:sz w:val="20"/>
          <w:szCs w:val="20"/>
        </w:rPr>
        <w:t>pêches.</w:t>
      </w:r>
    </w:p>
    <w:p w14:paraId="157A8EC1" w14:textId="77777777" w:rsidR="001E7C3C" w:rsidRPr="00B004EE" w:rsidRDefault="001E7C3C" w:rsidP="00B004EE">
      <w:pPr>
        <w:rPr>
          <w:rFonts w:ascii="Tahoma" w:eastAsia="American Typewriter" w:hAnsi="Tahoma" w:cs="Tahoma"/>
          <w:sz w:val="20"/>
          <w:szCs w:val="20"/>
        </w:rPr>
      </w:pPr>
    </w:p>
    <w:p w14:paraId="19C34627" w14:textId="523DAC8E" w:rsidR="001E7C3C" w:rsidRPr="00B004EE" w:rsidRDefault="001E7C3C" w:rsidP="00B004EE">
      <w:pPr>
        <w:pStyle w:val="Lgende"/>
        <w:jc w:val="center"/>
        <w:rPr>
          <w:rFonts w:ascii="Tahoma" w:eastAsia="American Typewriter" w:hAnsi="Tahoma" w:cs="Tahoma"/>
        </w:rPr>
      </w:pPr>
      <w:bookmarkStart w:id="121" w:name="_Toc16279093"/>
      <w:bookmarkStart w:id="122" w:name="_Toc16279462"/>
      <w:r w:rsidRPr="00B004EE">
        <w:rPr>
          <w:rFonts w:ascii="Tahoma" w:eastAsia="American Typewriter" w:hAnsi="Tahoma" w:cs="Tahoma"/>
        </w:rPr>
        <w:t>Section</w:t>
      </w:r>
      <w:r w:rsidR="00DB1635" w:rsidRPr="00B004EE">
        <w:rPr>
          <w:rFonts w:ascii="Tahoma" w:eastAsia="American Typewriter" w:hAnsi="Tahoma" w:cs="Tahoma"/>
        </w:rPr>
        <w:t xml:space="preserve"> </w:t>
      </w:r>
      <w:r w:rsidRPr="00B004EE">
        <w:rPr>
          <w:rFonts w:ascii="Tahoma" w:eastAsia="American Typewriter" w:hAnsi="Tahoma" w:cs="Tahoma"/>
        </w:rPr>
        <w:t>9</w:t>
      </w:r>
      <w:r w:rsidR="00DB1635" w:rsidRPr="00B004EE">
        <w:rPr>
          <w:rFonts w:ascii="Tahoma" w:eastAsia="American Typewriter" w:hAnsi="Tahoma" w:cs="Tahoma"/>
        </w:rPr>
        <w:t xml:space="preserve"> </w:t>
      </w:r>
      <w:r w:rsidRPr="00B004EE">
        <w:rPr>
          <w:rFonts w:ascii="Tahoma" w:eastAsia="American Typewriter" w:hAnsi="Tahoma" w:cs="Tahoma"/>
        </w:rPr>
        <w:t>:</w:t>
      </w:r>
      <w:r w:rsidR="00DB1635" w:rsidRPr="00B004EE">
        <w:rPr>
          <w:rFonts w:ascii="Tahoma" w:eastAsia="American Typewriter" w:hAnsi="Tahoma" w:cs="Tahoma"/>
        </w:rPr>
        <w:t xml:space="preserve"> </w:t>
      </w:r>
      <w:r w:rsidRPr="00B004EE">
        <w:rPr>
          <w:rFonts w:ascii="Tahoma" w:eastAsia="American Typewriter" w:hAnsi="Tahoma" w:cs="Tahoma"/>
        </w:rPr>
        <w:t>De</w:t>
      </w:r>
      <w:r w:rsidR="00DB1635" w:rsidRPr="00B004EE">
        <w:rPr>
          <w:rFonts w:ascii="Tahoma" w:eastAsia="American Typewriter" w:hAnsi="Tahoma" w:cs="Tahoma"/>
        </w:rPr>
        <w:t xml:space="preserve"> </w:t>
      </w:r>
      <w:r w:rsidRPr="00B004EE">
        <w:rPr>
          <w:rFonts w:ascii="Tahoma" w:eastAsia="American Typewriter" w:hAnsi="Tahoma" w:cs="Tahoma"/>
        </w:rPr>
        <w:t>la</w:t>
      </w:r>
      <w:r w:rsidR="00DB1635" w:rsidRPr="00B004EE">
        <w:rPr>
          <w:rFonts w:ascii="Tahoma" w:eastAsia="American Typewriter" w:hAnsi="Tahoma" w:cs="Tahoma"/>
        </w:rPr>
        <w:t xml:space="preserve"> </w:t>
      </w:r>
      <w:r w:rsidRPr="00B004EE">
        <w:rPr>
          <w:rFonts w:ascii="Tahoma" w:eastAsia="American Typewriter" w:hAnsi="Tahoma" w:cs="Tahoma"/>
        </w:rPr>
        <w:t>responsabilité</w:t>
      </w:r>
      <w:r w:rsidR="00DB1635" w:rsidRPr="00B004EE">
        <w:rPr>
          <w:rFonts w:ascii="Tahoma" w:eastAsia="American Typewriter" w:hAnsi="Tahoma" w:cs="Tahoma"/>
        </w:rPr>
        <w:t xml:space="preserve"> </w:t>
      </w:r>
      <w:r w:rsidRPr="00B004EE">
        <w:rPr>
          <w:rFonts w:ascii="Tahoma" w:eastAsia="American Typewriter" w:hAnsi="Tahoma" w:cs="Tahoma"/>
        </w:rPr>
        <w:t>des</w:t>
      </w:r>
      <w:r w:rsidR="00DB1635" w:rsidRPr="00B004EE">
        <w:rPr>
          <w:rFonts w:ascii="Tahoma" w:eastAsia="American Typewriter" w:hAnsi="Tahoma" w:cs="Tahoma"/>
        </w:rPr>
        <w:t xml:space="preserve"> </w:t>
      </w:r>
      <w:r w:rsidRPr="00B004EE">
        <w:rPr>
          <w:rFonts w:ascii="Tahoma" w:eastAsia="American Typewriter" w:hAnsi="Tahoma" w:cs="Tahoma"/>
        </w:rPr>
        <w:t>agents</w:t>
      </w:r>
      <w:r w:rsidR="00DB1635" w:rsidRPr="00B004EE">
        <w:rPr>
          <w:rFonts w:ascii="Tahoma" w:eastAsia="American Typewriter" w:hAnsi="Tahoma" w:cs="Tahoma"/>
        </w:rPr>
        <w:t xml:space="preserve"> </w:t>
      </w:r>
      <w:r w:rsidRPr="00B004EE">
        <w:rPr>
          <w:rFonts w:ascii="Tahoma" w:eastAsia="American Typewriter" w:hAnsi="Tahoma" w:cs="Tahoma"/>
        </w:rPr>
        <w:t>de</w:t>
      </w:r>
      <w:r w:rsidR="00DB1635" w:rsidRPr="00B004EE">
        <w:rPr>
          <w:rFonts w:ascii="Tahoma" w:eastAsia="American Typewriter" w:hAnsi="Tahoma" w:cs="Tahoma"/>
        </w:rPr>
        <w:t xml:space="preserve"> </w:t>
      </w:r>
      <w:r w:rsidRPr="00B004EE">
        <w:rPr>
          <w:rFonts w:ascii="Tahoma" w:eastAsia="American Typewriter" w:hAnsi="Tahoma" w:cs="Tahoma"/>
        </w:rPr>
        <w:t>contrôle</w:t>
      </w:r>
      <w:bookmarkEnd w:id="121"/>
      <w:bookmarkEnd w:id="122"/>
    </w:p>
    <w:p w14:paraId="7366F6F2" w14:textId="77777777" w:rsidR="001E7C3C" w:rsidRPr="00B004EE" w:rsidRDefault="001E7C3C" w:rsidP="00B004EE">
      <w:pPr>
        <w:rPr>
          <w:rFonts w:ascii="Tahoma" w:eastAsia="American Typewriter" w:hAnsi="Tahoma" w:cs="Tahoma"/>
          <w:b/>
          <w:bCs/>
          <w:sz w:val="20"/>
          <w:szCs w:val="20"/>
        </w:rPr>
      </w:pPr>
    </w:p>
    <w:p w14:paraId="501C8545" w14:textId="785DE4DD" w:rsidR="001E7C3C" w:rsidRPr="00B004EE" w:rsidRDefault="001E7C3C" w:rsidP="00B004EE">
      <w:pPr>
        <w:pStyle w:val="Corpsdetexte"/>
        <w:ind w:right="160"/>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81</w:t>
      </w:r>
      <w:r w:rsidR="00DB1635" w:rsidRPr="00B004EE">
        <w:rPr>
          <w:rFonts w:ascii="Tahoma" w:hAnsi="Tahoma" w:cs="Tahoma"/>
          <w:bCs/>
          <w:sz w:val="20"/>
          <w:szCs w:val="20"/>
        </w:rPr>
        <w:t xml:space="preserve"> </w:t>
      </w:r>
      <w:r w:rsidRPr="00B004EE">
        <w:rPr>
          <w:rFonts w:ascii="Tahoma" w:hAnsi="Tahoma" w:cs="Tahoma"/>
          <w:bCs/>
          <w:sz w:val="20"/>
          <w:szCs w:val="20"/>
        </w:rPr>
        <w:t>:</w:t>
      </w:r>
      <w:r w:rsidR="00DB1635" w:rsidRPr="00B004EE">
        <w:rPr>
          <w:rFonts w:ascii="Tahoma" w:hAnsi="Tahoma" w:cs="Tahoma"/>
          <w:b/>
          <w:spacing w:val="25"/>
          <w:sz w:val="20"/>
          <w:szCs w:val="20"/>
        </w:rPr>
        <w:t xml:space="preserve"> </w:t>
      </w:r>
      <w:r w:rsidRPr="00B004EE">
        <w:rPr>
          <w:rFonts w:ascii="Tahoma" w:hAnsi="Tahoma" w:cs="Tahoma"/>
          <w:sz w:val="20"/>
          <w:szCs w:val="20"/>
        </w:rPr>
        <w:t>Sauf</w:t>
      </w:r>
      <w:r w:rsidR="00DB1635" w:rsidRPr="00B004EE">
        <w:rPr>
          <w:rFonts w:ascii="Tahoma" w:hAnsi="Tahoma" w:cs="Tahoma"/>
          <w:spacing w:val="20"/>
          <w:sz w:val="20"/>
          <w:szCs w:val="20"/>
        </w:rPr>
        <w:t xml:space="preserve"> </w:t>
      </w:r>
      <w:r w:rsidRPr="00B004EE">
        <w:rPr>
          <w:rFonts w:ascii="Tahoma" w:hAnsi="Tahoma" w:cs="Tahoma"/>
          <w:sz w:val="20"/>
          <w:szCs w:val="20"/>
        </w:rPr>
        <w:t>cas</w:t>
      </w:r>
      <w:r w:rsidR="00DB1635" w:rsidRPr="00B004EE">
        <w:rPr>
          <w:rFonts w:ascii="Tahoma" w:hAnsi="Tahoma" w:cs="Tahoma"/>
          <w:spacing w:val="20"/>
          <w:sz w:val="20"/>
          <w:szCs w:val="20"/>
        </w:rPr>
        <w:t xml:space="preserve"> </w:t>
      </w:r>
      <w:r w:rsidRPr="00B004EE">
        <w:rPr>
          <w:rFonts w:ascii="Tahoma" w:hAnsi="Tahoma" w:cs="Tahoma"/>
          <w:sz w:val="20"/>
          <w:szCs w:val="20"/>
        </w:rPr>
        <w:t>de</w:t>
      </w:r>
      <w:r w:rsidR="00DB1635" w:rsidRPr="00B004EE">
        <w:rPr>
          <w:rFonts w:ascii="Tahoma" w:hAnsi="Tahoma" w:cs="Tahoma"/>
          <w:spacing w:val="21"/>
          <w:sz w:val="20"/>
          <w:szCs w:val="20"/>
        </w:rPr>
        <w:t xml:space="preserve"> </w:t>
      </w:r>
      <w:r w:rsidRPr="00B004EE">
        <w:rPr>
          <w:rFonts w:ascii="Tahoma" w:hAnsi="Tahoma" w:cs="Tahoma"/>
          <w:sz w:val="20"/>
          <w:szCs w:val="20"/>
        </w:rPr>
        <w:t>négligence</w:t>
      </w:r>
      <w:r w:rsidR="00DB1635" w:rsidRPr="00B004EE">
        <w:rPr>
          <w:rFonts w:ascii="Tahoma" w:hAnsi="Tahoma" w:cs="Tahoma"/>
          <w:spacing w:val="21"/>
          <w:sz w:val="20"/>
          <w:szCs w:val="20"/>
        </w:rPr>
        <w:t xml:space="preserve"> </w:t>
      </w:r>
      <w:r w:rsidRPr="00B004EE">
        <w:rPr>
          <w:rFonts w:ascii="Tahoma" w:hAnsi="Tahoma" w:cs="Tahoma"/>
          <w:sz w:val="20"/>
          <w:szCs w:val="20"/>
        </w:rPr>
        <w:t>ou</w:t>
      </w:r>
      <w:r w:rsidR="00DB1635" w:rsidRPr="00B004EE">
        <w:rPr>
          <w:rFonts w:ascii="Tahoma" w:hAnsi="Tahoma" w:cs="Tahoma"/>
          <w:spacing w:val="20"/>
          <w:sz w:val="20"/>
          <w:szCs w:val="20"/>
        </w:rPr>
        <w:t xml:space="preserve"> </w:t>
      </w:r>
      <w:r w:rsidRPr="00B004EE">
        <w:rPr>
          <w:rFonts w:ascii="Tahoma" w:hAnsi="Tahoma" w:cs="Tahoma"/>
          <w:sz w:val="20"/>
          <w:szCs w:val="20"/>
        </w:rPr>
        <w:t>de</w:t>
      </w:r>
      <w:r w:rsidR="00DB1635" w:rsidRPr="00B004EE">
        <w:rPr>
          <w:rFonts w:ascii="Tahoma" w:hAnsi="Tahoma" w:cs="Tahoma"/>
          <w:spacing w:val="21"/>
          <w:sz w:val="20"/>
          <w:szCs w:val="20"/>
        </w:rPr>
        <w:t xml:space="preserve"> </w:t>
      </w:r>
      <w:r w:rsidRPr="00B004EE">
        <w:rPr>
          <w:rFonts w:ascii="Tahoma" w:hAnsi="Tahoma" w:cs="Tahoma"/>
          <w:sz w:val="20"/>
          <w:szCs w:val="20"/>
        </w:rPr>
        <w:t>faute</w:t>
      </w:r>
      <w:r w:rsidR="00DB1635" w:rsidRPr="00B004EE">
        <w:rPr>
          <w:rFonts w:ascii="Tahoma" w:hAnsi="Tahoma" w:cs="Tahoma"/>
          <w:spacing w:val="21"/>
          <w:sz w:val="20"/>
          <w:szCs w:val="20"/>
        </w:rPr>
        <w:t xml:space="preserve"> </w:t>
      </w:r>
      <w:r w:rsidRPr="00B004EE">
        <w:rPr>
          <w:rFonts w:ascii="Tahoma" w:hAnsi="Tahoma" w:cs="Tahoma"/>
          <w:sz w:val="20"/>
          <w:szCs w:val="20"/>
        </w:rPr>
        <w:t>grave,</w:t>
      </w:r>
      <w:r w:rsidR="00DB1635" w:rsidRPr="00B004EE">
        <w:rPr>
          <w:rFonts w:ascii="Tahoma" w:hAnsi="Tahoma" w:cs="Tahoma"/>
          <w:spacing w:val="21"/>
          <w:sz w:val="20"/>
          <w:szCs w:val="20"/>
        </w:rPr>
        <w:t xml:space="preserve"> </w:t>
      </w:r>
      <w:r w:rsidRPr="00B004EE">
        <w:rPr>
          <w:rFonts w:ascii="Tahoma" w:hAnsi="Tahoma" w:cs="Tahoma"/>
          <w:sz w:val="20"/>
          <w:szCs w:val="20"/>
        </w:rPr>
        <w:t>il</w:t>
      </w:r>
      <w:r w:rsidR="00DB1635" w:rsidRPr="00B004EE">
        <w:rPr>
          <w:rFonts w:ascii="Tahoma" w:hAnsi="Tahoma" w:cs="Tahoma"/>
          <w:spacing w:val="19"/>
          <w:sz w:val="20"/>
          <w:szCs w:val="20"/>
        </w:rPr>
        <w:t xml:space="preserve"> </w:t>
      </w:r>
      <w:r w:rsidRPr="00B004EE">
        <w:rPr>
          <w:rFonts w:ascii="Tahoma" w:hAnsi="Tahoma" w:cs="Tahoma"/>
          <w:sz w:val="20"/>
          <w:szCs w:val="20"/>
        </w:rPr>
        <w:t>ne</w:t>
      </w:r>
      <w:r w:rsidR="00DB1635" w:rsidRPr="00B004EE">
        <w:rPr>
          <w:rFonts w:ascii="Tahoma" w:hAnsi="Tahoma" w:cs="Tahoma"/>
          <w:spacing w:val="19"/>
          <w:sz w:val="20"/>
          <w:szCs w:val="20"/>
        </w:rPr>
        <w:t xml:space="preserve"> </w:t>
      </w:r>
      <w:r w:rsidRPr="00B004EE">
        <w:rPr>
          <w:rFonts w:ascii="Tahoma" w:hAnsi="Tahoma" w:cs="Tahoma"/>
          <w:sz w:val="20"/>
          <w:szCs w:val="20"/>
        </w:rPr>
        <w:t>pourra</w:t>
      </w:r>
      <w:r w:rsidR="00DB1635" w:rsidRPr="00B004EE">
        <w:rPr>
          <w:rFonts w:ascii="Tahoma" w:hAnsi="Tahoma" w:cs="Tahoma"/>
          <w:spacing w:val="19"/>
          <w:sz w:val="20"/>
          <w:szCs w:val="20"/>
        </w:rPr>
        <w:t xml:space="preserve"> </w:t>
      </w:r>
      <w:r w:rsidRPr="00B004EE">
        <w:rPr>
          <w:rFonts w:ascii="Tahoma" w:hAnsi="Tahoma" w:cs="Tahoma"/>
          <w:sz w:val="20"/>
          <w:szCs w:val="20"/>
        </w:rPr>
        <w:t>être</w:t>
      </w:r>
      <w:r w:rsidR="00DB1635" w:rsidRPr="00B004EE">
        <w:rPr>
          <w:rFonts w:ascii="Tahoma" w:hAnsi="Tahoma" w:cs="Tahoma"/>
          <w:spacing w:val="19"/>
          <w:sz w:val="20"/>
          <w:szCs w:val="20"/>
        </w:rPr>
        <w:t xml:space="preserve"> </w:t>
      </w:r>
      <w:r w:rsidRPr="00B004EE">
        <w:rPr>
          <w:rFonts w:ascii="Tahoma" w:hAnsi="Tahoma" w:cs="Tahoma"/>
          <w:sz w:val="20"/>
          <w:szCs w:val="20"/>
        </w:rPr>
        <w:t>intenté</w:t>
      </w:r>
      <w:r w:rsidR="00DB1635" w:rsidRPr="00B004EE">
        <w:rPr>
          <w:rFonts w:ascii="Tahoma" w:hAnsi="Tahoma" w:cs="Tahoma"/>
          <w:w w:val="95"/>
          <w:sz w:val="20"/>
          <w:szCs w:val="20"/>
        </w:rPr>
        <w:t xml:space="preserve"> </w:t>
      </w:r>
      <w:r w:rsidRPr="00B004EE">
        <w:rPr>
          <w:rFonts w:ascii="Tahoma" w:hAnsi="Tahoma" w:cs="Tahoma"/>
          <w:sz w:val="20"/>
          <w:szCs w:val="20"/>
        </w:rPr>
        <w:t>aucune</w:t>
      </w:r>
      <w:r w:rsidR="00DB1635" w:rsidRPr="00B004EE">
        <w:rPr>
          <w:rFonts w:ascii="Tahoma" w:hAnsi="Tahoma" w:cs="Tahoma"/>
          <w:spacing w:val="-12"/>
          <w:sz w:val="20"/>
          <w:szCs w:val="20"/>
        </w:rPr>
        <w:t xml:space="preserve"> </w:t>
      </w:r>
      <w:r w:rsidRPr="00B004EE">
        <w:rPr>
          <w:rFonts w:ascii="Tahoma" w:hAnsi="Tahoma" w:cs="Tahoma"/>
          <w:sz w:val="20"/>
          <w:szCs w:val="20"/>
        </w:rPr>
        <w:t>action</w:t>
      </w:r>
      <w:r w:rsidR="00DB1635" w:rsidRPr="00B004EE">
        <w:rPr>
          <w:rFonts w:ascii="Tahoma" w:hAnsi="Tahoma" w:cs="Tahoma"/>
          <w:spacing w:val="-12"/>
          <w:sz w:val="20"/>
          <w:szCs w:val="20"/>
        </w:rPr>
        <w:t xml:space="preserve"> </w:t>
      </w:r>
      <w:r w:rsidRPr="00B004EE">
        <w:rPr>
          <w:rFonts w:ascii="Tahoma" w:hAnsi="Tahoma" w:cs="Tahoma"/>
          <w:sz w:val="20"/>
          <w:szCs w:val="20"/>
        </w:rPr>
        <w:t>contre</w:t>
      </w:r>
      <w:r w:rsidR="00DB1635" w:rsidRPr="00B004EE">
        <w:rPr>
          <w:rFonts w:ascii="Tahoma" w:hAnsi="Tahoma" w:cs="Tahoma"/>
          <w:spacing w:val="-12"/>
          <w:sz w:val="20"/>
          <w:szCs w:val="20"/>
        </w:rPr>
        <w:t xml:space="preserve"> </w:t>
      </w:r>
      <w:r w:rsidRPr="00B004EE">
        <w:rPr>
          <w:rFonts w:ascii="Tahoma" w:hAnsi="Tahoma" w:cs="Tahoma"/>
          <w:sz w:val="20"/>
          <w:szCs w:val="20"/>
        </w:rPr>
        <w:t>un</w:t>
      </w:r>
      <w:r w:rsidR="00DB1635" w:rsidRPr="00B004EE">
        <w:rPr>
          <w:rFonts w:ascii="Tahoma" w:hAnsi="Tahoma" w:cs="Tahoma"/>
          <w:spacing w:val="-12"/>
          <w:sz w:val="20"/>
          <w:szCs w:val="20"/>
        </w:rPr>
        <w:t xml:space="preserve"> </w:t>
      </w:r>
      <w:r w:rsidRPr="00B004EE">
        <w:rPr>
          <w:rFonts w:ascii="Tahoma" w:hAnsi="Tahoma" w:cs="Tahoma"/>
          <w:sz w:val="20"/>
          <w:szCs w:val="20"/>
        </w:rPr>
        <w:t>agent</w:t>
      </w:r>
      <w:r w:rsidR="00DB1635" w:rsidRPr="00B004EE">
        <w:rPr>
          <w:rFonts w:ascii="Tahoma" w:hAnsi="Tahoma" w:cs="Tahoma"/>
          <w:spacing w:val="-12"/>
          <w:sz w:val="20"/>
          <w:szCs w:val="20"/>
        </w:rPr>
        <w:t xml:space="preserve"> </w:t>
      </w:r>
      <w:r w:rsidRPr="00B004EE">
        <w:rPr>
          <w:rFonts w:ascii="Tahoma" w:hAnsi="Tahoma" w:cs="Tahoma"/>
          <w:sz w:val="20"/>
          <w:szCs w:val="20"/>
        </w:rPr>
        <w:t>de</w:t>
      </w:r>
      <w:r w:rsidR="00DB1635" w:rsidRPr="00B004EE">
        <w:rPr>
          <w:rFonts w:ascii="Tahoma" w:hAnsi="Tahoma" w:cs="Tahoma"/>
          <w:spacing w:val="-12"/>
          <w:sz w:val="20"/>
          <w:szCs w:val="20"/>
        </w:rPr>
        <w:t xml:space="preserve"> </w:t>
      </w:r>
      <w:r w:rsidRPr="00B004EE">
        <w:rPr>
          <w:rFonts w:ascii="Tahoma" w:hAnsi="Tahoma" w:cs="Tahoma"/>
          <w:sz w:val="20"/>
          <w:szCs w:val="20"/>
        </w:rPr>
        <w:t>contrôle</w:t>
      </w:r>
      <w:r w:rsidR="00DB1635" w:rsidRPr="00B004EE">
        <w:rPr>
          <w:rFonts w:ascii="Tahoma" w:hAnsi="Tahoma" w:cs="Tahoma"/>
          <w:spacing w:val="-12"/>
          <w:sz w:val="20"/>
          <w:szCs w:val="20"/>
        </w:rPr>
        <w:t xml:space="preserve"> </w:t>
      </w:r>
      <w:r w:rsidRPr="00B004EE">
        <w:rPr>
          <w:rFonts w:ascii="Tahoma" w:hAnsi="Tahoma" w:cs="Tahoma"/>
          <w:sz w:val="20"/>
          <w:szCs w:val="20"/>
        </w:rPr>
        <w:t>pour</w:t>
      </w:r>
      <w:r w:rsidR="00DB1635" w:rsidRPr="00B004EE">
        <w:rPr>
          <w:rFonts w:ascii="Tahoma" w:hAnsi="Tahoma" w:cs="Tahoma"/>
          <w:spacing w:val="-13"/>
          <w:sz w:val="20"/>
          <w:szCs w:val="20"/>
        </w:rPr>
        <w:t xml:space="preserve"> </w:t>
      </w:r>
      <w:r w:rsidRPr="00B004EE">
        <w:rPr>
          <w:rFonts w:ascii="Tahoma" w:hAnsi="Tahoma" w:cs="Tahoma"/>
          <w:sz w:val="20"/>
          <w:szCs w:val="20"/>
        </w:rPr>
        <w:t>tout</w:t>
      </w:r>
      <w:r w:rsidR="00DB1635" w:rsidRPr="00B004EE">
        <w:rPr>
          <w:rFonts w:ascii="Tahoma" w:hAnsi="Tahoma" w:cs="Tahoma"/>
          <w:spacing w:val="-12"/>
          <w:sz w:val="20"/>
          <w:szCs w:val="20"/>
        </w:rPr>
        <w:t xml:space="preserve"> </w:t>
      </w:r>
      <w:r w:rsidRPr="00B004EE">
        <w:rPr>
          <w:rFonts w:ascii="Tahoma" w:hAnsi="Tahoma" w:cs="Tahoma"/>
          <w:sz w:val="20"/>
          <w:szCs w:val="20"/>
        </w:rPr>
        <w:t>fait</w:t>
      </w:r>
      <w:r w:rsidR="00DB1635" w:rsidRPr="00B004EE">
        <w:rPr>
          <w:rFonts w:ascii="Tahoma" w:hAnsi="Tahoma" w:cs="Tahoma"/>
          <w:spacing w:val="-12"/>
          <w:sz w:val="20"/>
          <w:szCs w:val="20"/>
        </w:rPr>
        <w:t xml:space="preserve"> </w:t>
      </w:r>
      <w:r w:rsidRPr="00B004EE">
        <w:rPr>
          <w:rFonts w:ascii="Tahoma" w:hAnsi="Tahoma" w:cs="Tahoma"/>
          <w:sz w:val="20"/>
          <w:szCs w:val="20"/>
        </w:rPr>
        <w:t>commis</w:t>
      </w:r>
      <w:r w:rsidR="00DB1635" w:rsidRPr="00B004EE">
        <w:rPr>
          <w:rFonts w:ascii="Tahoma" w:hAnsi="Tahoma" w:cs="Tahoma"/>
          <w:spacing w:val="-14"/>
          <w:sz w:val="20"/>
          <w:szCs w:val="20"/>
        </w:rPr>
        <w:t xml:space="preserve"> </w:t>
      </w:r>
      <w:r w:rsidRPr="00B004EE">
        <w:rPr>
          <w:rFonts w:ascii="Tahoma" w:hAnsi="Tahoma" w:cs="Tahoma"/>
          <w:sz w:val="20"/>
          <w:szCs w:val="20"/>
        </w:rPr>
        <w:t>de</w:t>
      </w:r>
      <w:r w:rsidR="00DB1635" w:rsidRPr="00B004EE">
        <w:rPr>
          <w:rFonts w:ascii="Tahoma" w:hAnsi="Tahoma" w:cs="Tahoma"/>
          <w:spacing w:val="-13"/>
          <w:sz w:val="20"/>
          <w:szCs w:val="20"/>
        </w:rPr>
        <w:t xml:space="preserve"> </w:t>
      </w:r>
      <w:r w:rsidRPr="00B004EE">
        <w:rPr>
          <w:rFonts w:ascii="Tahoma" w:hAnsi="Tahoma" w:cs="Tahoma"/>
          <w:sz w:val="20"/>
          <w:szCs w:val="20"/>
        </w:rPr>
        <w:t>bonne</w:t>
      </w:r>
      <w:r w:rsidR="00DB1635" w:rsidRPr="00B004EE">
        <w:rPr>
          <w:rFonts w:ascii="Tahoma" w:hAnsi="Tahoma" w:cs="Tahoma"/>
          <w:spacing w:val="-13"/>
          <w:sz w:val="20"/>
          <w:szCs w:val="20"/>
        </w:rPr>
        <w:t xml:space="preserve"> </w:t>
      </w:r>
      <w:r w:rsidRPr="00B004EE">
        <w:rPr>
          <w:rFonts w:ascii="Tahoma" w:hAnsi="Tahoma" w:cs="Tahoma"/>
          <w:sz w:val="20"/>
          <w:szCs w:val="20"/>
        </w:rPr>
        <w:t>foi</w:t>
      </w:r>
      <w:r w:rsidR="00DB1635" w:rsidRPr="00B004EE">
        <w:rPr>
          <w:rFonts w:ascii="Tahoma" w:hAnsi="Tahoma" w:cs="Tahoma"/>
          <w:spacing w:val="-13"/>
          <w:sz w:val="20"/>
          <w:szCs w:val="20"/>
        </w:rPr>
        <w:t xml:space="preserve"> </w:t>
      </w:r>
      <w:r w:rsidRPr="00B004EE">
        <w:rPr>
          <w:rFonts w:ascii="Tahoma" w:hAnsi="Tahoma" w:cs="Tahoma"/>
          <w:sz w:val="20"/>
          <w:szCs w:val="20"/>
        </w:rPr>
        <w:t>dans</w:t>
      </w:r>
      <w:r w:rsidR="00DB1635" w:rsidRPr="00B004EE">
        <w:rPr>
          <w:rFonts w:ascii="Tahoma" w:hAnsi="Tahoma" w:cs="Tahoma"/>
          <w:w w:val="95"/>
          <w:sz w:val="20"/>
          <w:szCs w:val="20"/>
        </w:rPr>
        <w:t xml:space="preserve"> </w:t>
      </w:r>
      <w:r w:rsidRPr="00B004EE">
        <w:rPr>
          <w:rFonts w:ascii="Tahoma" w:hAnsi="Tahoma" w:cs="Tahoma"/>
          <w:w w:val="95"/>
          <w:sz w:val="20"/>
          <w:szCs w:val="20"/>
        </w:rPr>
        <w:t>l'exercice</w:t>
      </w:r>
      <w:r w:rsidR="00DB1635" w:rsidRPr="00B004EE">
        <w:rPr>
          <w:rFonts w:ascii="Tahoma" w:hAnsi="Tahoma" w:cs="Tahoma"/>
          <w:w w:val="95"/>
          <w:sz w:val="20"/>
          <w:szCs w:val="20"/>
        </w:rPr>
        <w:t xml:space="preserve"> </w:t>
      </w:r>
      <w:r w:rsidRPr="00B004EE">
        <w:rPr>
          <w:rFonts w:ascii="Tahoma" w:hAnsi="Tahoma" w:cs="Tahoma"/>
          <w:w w:val="95"/>
          <w:sz w:val="20"/>
          <w:szCs w:val="20"/>
        </w:rPr>
        <w:t>de</w:t>
      </w:r>
      <w:r w:rsidR="00DB1635" w:rsidRPr="00B004EE">
        <w:rPr>
          <w:rFonts w:ascii="Tahoma" w:hAnsi="Tahoma" w:cs="Tahoma"/>
          <w:w w:val="95"/>
          <w:sz w:val="20"/>
          <w:szCs w:val="20"/>
        </w:rPr>
        <w:t xml:space="preserve"> </w:t>
      </w:r>
      <w:r w:rsidRPr="00B004EE">
        <w:rPr>
          <w:rFonts w:ascii="Tahoma" w:hAnsi="Tahoma" w:cs="Tahoma"/>
          <w:w w:val="95"/>
          <w:sz w:val="20"/>
          <w:szCs w:val="20"/>
        </w:rPr>
        <w:t>ses</w:t>
      </w:r>
      <w:r w:rsidR="00DB1635" w:rsidRPr="00B004EE">
        <w:rPr>
          <w:rFonts w:ascii="Tahoma" w:hAnsi="Tahoma" w:cs="Tahoma"/>
          <w:spacing w:val="-16"/>
          <w:w w:val="95"/>
          <w:sz w:val="20"/>
          <w:szCs w:val="20"/>
        </w:rPr>
        <w:t xml:space="preserve"> </w:t>
      </w:r>
      <w:r w:rsidRPr="00B004EE">
        <w:rPr>
          <w:rFonts w:ascii="Tahoma" w:hAnsi="Tahoma" w:cs="Tahoma"/>
          <w:w w:val="95"/>
          <w:sz w:val="20"/>
          <w:szCs w:val="20"/>
        </w:rPr>
        <w:t>fonctions.</w:t>
      </w:r>
    </w:p>
    <w:p w14:paraId="71317C82" w14:textId="77777777" w:rsidR="001E7C3C" w:rsidRPr="00B004EE" w:rsidRDefault="001E7C3C" w:rsidP="00B004EE">
      <w:pPr>
        <w:jc w:val="both"/>
        <w:rPr>
          <w:rFonts w:ascii="Tahoma" w:hAnsi="Tahoma" w:cs="Tahoma"/>
          <w:sz w:val="20"/>
          <w:szCs w:val="20"/>
        </w:rPr>
      </w:pPr>
    </w:p>
    <w:p w14:paraId="12827C45" w14:textId="033A0415" w:rsidR="001E7C3C" w:rsidRPr="00B004EE" w:rsidRDefault="001E7C3C" w:rsidP="00B004EE">
      <w:pPr>
        <w:pStyle w:val="Lgende"/>
        <w:jc w:val="center"/>
        <w:rPr>
          <w:rFonts w:ascii="Tahoma" w:eastAsia="American Typewriter" w:hAnsi="Tahoma" w:cs="Tahoma"/>
        </w:rPr>
      </w:pPr>
      <w:bookmarkStart w:id="123" w:name="_Toc16279094"/>
      <w:bookmarkStart w:id="124" w:name="_Toc16279463"/>
      <w:r w:rsidRPr="00B004EE">
        <w:rPr>
          <w:rFonts w:ascii="Tahoma" w:eastAsia="American Typewriter" w:hAnsi="Tahoma" w:cs="Tahoma"/>
        </w:rPr>
        <w:t>CHAPITRE</w:t>
      </w:r>
      <w:r w:rsidR="00DB1635" w:rsidRPr="00B004EE">
        <w:rPr>
          <w:rFonts w:ascii="Tahoma" w:eastAsia="American Typewriter" w:hAnsi="Tahoma" w:cs="Tahoma"/>
        </w:rPr>
        <w:t xml:space="preserve"> </w:t>
      </w:r>
      <w:r w:rsidRPr="00B004EE">
        <w:rPr>
          <w:rFonts w:ascii="Tahoma" w:eastAsia="American Typewriter" w:hAnsi="Tahoma" w:cs="Tahoma"/>
        </w:rPr>
        <w:t>II</w:t>
      </w:r>
      <w:r w:rsidR="00DB1635" w:rsidRPr="00B004EE">
        <w:rPr>
          <w:rFonts w:ascii="Tahoma" w:eastAsia="American Typewriter" w:hAnsi="Tahoma" w:cs="Tahoma"/>
        </w:rPr>
        <w:t xml:space="preserve"> </w:t>
      </w:r>
      <w:r w:rsidRPr="00B004EE">
        <w:rPr>
          <w:rFonts w:ascii="Tahoma" w:eastAsia="American Typewriter" w:hAnsi="Tahoma" w:cs="Tahoma"/>
        </w:rPr>
        <w:t>:</w:t>
      </w:r>
      <w:r w:rsidR="00DB1635" w:rsidRPr="00B004EE">
        <w:rPr>
          <w:rFonts w:ascii="Tahoma" w:eastAsia="American Typewriter" w:hAnsi="Tahoma" w:cs="Tahoma"/>
        </w:rPr>
        <w:t xml:space="preserve"> </w:t>
      </w:r>
      <w:r w:rsidRPr="00B004EE">
        <w:rPr>
          <w:rFonts w:ascii="Tahoma" w:eastAsia="American Typewriter" w:hAnsi="Tahoma" w:cs="Tahoma"/>
        </w:rPr>
        <w:t>DES</w:t>
      </w:r>
      <w:r w:rsidR="00DB1635" w:rsidRPr="00B004EE">
        <w:rPr>
          <w:rFonts w:ascii="Tahoma" w:eastAsia="American Typewriter" w:hAnsi="Tahoma" w:cs="Tahoma"/>
        </w:rPr>
        <w:t xml:space="preserve"> </w:t>
      </w:r>
      <w:r w:rsidRPr="00B004EE">
        <w:rPr>
          <w:rFonts w:ascii="Tahoma" w:eastAsia="American Typewriter" w:hAnsi="Tahoma" w:cs="Tahoma"/>
        </w:rPr>
        <w:t>INFRACTIONS</w:t>
      </w:r>
      <w:r w:rsidR="00DB1635" w:rsidRPr="00B004EE">
        <w:rPr>
          <w:rFonts w:ascii="Tahoma" w:eastAsia="American Typewriter" w:hAnsi="Tahoma" w:cs="Tahoma"/>
        </w:rPr>
        <w:t xml:space="preserve"> </w:t>
      </w:r>
      <w:r w:rsidRPr="00B004EE">
        <w:rPr>
          <w:rFonts w:ascii="Tahoma" w:eastAsia="American Typewriter" w:hAnsi="Tahoma" w:cs="Tahoma"/>
        </w:rPr>
        <w:t>ET</w:t>
      </w:r>
      <w:r w:rsidR="00DB1635" w:rsidRPr="00B004EE">
        <w:rPr>
          <w:rFonts w:ascii="Tahoma" w:eastAsia="American Typewriter" w:hAnsi="Tahoma" w:cs="Tahoma"/>
        </w:rPr>
        <w:t xml:space="preserve"> </w:t>
      </w:r>
      <w:r w:rsidRPr="00B004EE">
        <w:rPr>
          <w:rFonts w:ascii="Tahoma" w:eastAsia="American Typewriter" w:hAnsi="Tahoma" w:cs="Tahoma"/>
        </w:rPr>
        <w:t>SANCTIONS</w:t>
      </w:r>
      <w:bookmarkEnd w:id="123"/>
      <w:bookmarkEnd w:id="124"/>
    </w:p>
    <w:p w14:paraId="32E60C0E" w14:textId="77777777" w:rsidR="001E7C3C" w:rsidRPr="00B004EE" w:rsidRDefault="001E7C3C" w:rsidP="00B004EE">
      <w:pPr>
        <w:pStyle w:val="Lgende"/>
        <w:jc w:val="center"/>
        <w:rPr>
          <w:rFonts w:ascii="Tahoma" w:eastAsia="American Typewriter" w:hAnsi="Tahoma" w:cs="Tahoma"/>
        </w:rPr>
      </w:pPr>
    </w:p>
    <w:p w14:paraId="3E693646" w14:textId="5D124CF4" w:rsidR="001E7C3C" w:rsidRPr="00B004EE" w:rsidRDefault="001E7C3C" w:rsidP="00B004EE">
      <w:pPr>
        <w:pStyle w:val="Lgende"/>
        <w:jc w:val="center"/>
        <w:rPr>
          <w:rFonts w:ascii="Tahoma" w:eastAsia="American Typewriter" w:hAnsi="Tahoma" w:cs="Tahoma"/>
        </w:rPr>
      </w:pPr>
      <w:r w:rsidRPr="00B004EE">
        <w:rPr>
          <w:rFonts w:ascii="Tahoma" w:eastAsia="American Typewriter" w:hAnsi="Tahoma" w:cs="Tahoma"/>
        </w:rPr>
        <w:t>Section</w:t>
      </w:r>
      <w:r w:rsidR="00DB1635" w:rsidRPr="00B004EE">
        <w:rPr>
          <w:rFonts w:ascii="Tahoma" w:eastAsia="American Typewriter" w:hAnsi="Tahoma" w:cs="Tahoma"/>
        </w:rPr>
        <w:t xml:space="preserve"> </w:t>
      </w:r>
      <w:r w:rsidRPr="00B004EE">
        <w:rPr>
          <w:rFonts w:ascii="Tahoma" w:eastAsia="American Typewriter" w:hAnsi="Tahoma" w:cs="Tahoma"/>
        </w:rPr>
        <w:t>première</w:t>
      </w:r>
      <w:r w:rsidR="00DB1635" w:rsidRPr="00B004EE">
        <w:rPr>
          <w:rFonts w:ascii="Tahoma" w:eastAsia="American Typewriter" w:hAnsi="Tahoma" w:cs="Tahoma"/>
        </w:rPr>
        <w:t xml:space="preserve"> </w:t>
      </w:r>
      <w:r w:rsidRPr="00B004EE">
        <w:rPr>
          <w:rFonts w:ascii="Tahoma" w:eastAsia="American Typewriter" w:hAnsi="Tahoma" w:cs="Tahoma"/>
        </w:rPr>
        <w:t>:</w:t>
      </w:r>
      <w:r w:rsidR="00DB1635" w:rsidRPr="00B004EE">
        <w:rPr>
          <w:rFonts w:ascii="Tahoma" w:eastAsia="American Typewriter" w:hAnsi="Tahoma" w:cs="Tahoma"/>
        </w:rPr>
        <w:t xml:space="preserve"> </w:t>
      </w:r>
      <w:r w:rsidRPr="00B004EE">
        <w:rPr>
          <w:rFonts w:ascii="Tahoma" w:eastAsia="American Typewriter" w:hAnsi="Tahoma" w:cs="Tahoma"/>
        </w:rPr>
        <w:t>De</w:t>
      </w:r>
      <w:r w:rsidR="00DB1635" w:rsidRPr="00B004EE">
        <w:rPr>
          <w:rFonts w:ascii="Tahoma" w:eastAsia="American Typewriter" w:hAnsi="Tahoma" w:cs="Tahoma"/>
        </w:rPr>
        <w:t xml:space="preserve"> </w:t>
      </w:r>
      <w:r w:rsidRPr="00B004EE">
        <w:rPr>
          <w:rFonts w:ascii="Tahoma" w:eastAsia="American Typewriter" w:hAnsi="Tahoma" w:cs="Tahoma"/>
        </w:rPr>
        <w:t>la</w:t>
      </w:r>
      <w:r w:rsidR="00DB1635" w:rsidRPr="00B004EE">
        <w:rPr>
          <w:rFonts w:ascii="Tahoma" w:eastAsia="American Typewriter" w:hAnsi="Tahoma" w:cs="Tahoma"/>
        </w:rPr>
        <w:t xml:space="preserve"> </w:t>
      </w:r>
      <w:r w:rsidRPr="00B004EE">
        <w:rPr>
          <w:rFonts w:ascii="Tahoma" w:eastAsia="American Typewriter" w:hAnsi="Tahoma" w:cs="Tahoma"/>
        </w:rPr>
        <w:t>responsabilité</w:t>
      </w:r>
      <w:r w:rsidR="00DB1635" w:rsidRPr="00B004EE">
        <w:rPr>
          <w:rFonts w:ascii="Tahoma" w:eastAsia="American Typewriter" w:hAnsi="Tahoma" w:cs="Tahoma"/>
        </w:rPr>
        <w:t xml:space="preserve"> </w:t>
      </w:r>
      <w:r w:rsidRPr="00B004EE">
        <w:rPr>
          <w:rFonts w:ascii="Tahoma" w:eastAsia="American Typewriter" w:hAnsi="Tahoma" w:cs="Tahoma"/>
        </w:rPr>
        <w:t>pénale</w:t>
      </w:r>
    </w:p>
    <w:p w14:paraId="6553F651" w14:textId="77777777" w:rsidR="001E7C3C" w:rsidRPr="00B004EE" w:rsidRDefault="001E7C3C" w:rsidP="00B004EE">
      <w:pPr>
        <w:rPr>
          <w:rFonts w:ascii="Tahoma" w:eastAsia="American Typewriter" w:hAnsi="Tahoma" w:cs="Tahoma"/>
          <w:b/>
          <w:bCs/>
          <w:sz w:val="20"/>
          <w:szCs w:val="20"/>
        </w:rPr>
      </w:pPr>
    </w:p>
    <w:p w14:paraId="611D67ED" w14:textId="0A0EA75D" w:rsidR="001E7C3C" w:rsidRPr="00B004EE" w:rsidRDefault="001E7C3C" w:rsidP="00B004EE">
      <w:pPr>
        <w:pStyle w:val="Corpsdetexte"/>
        <w:ind w:right="158"/>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82</w:t>
      </w:r>
      <w:r w:rsidR="00DB1635" w:rsidRPr="00B004EE">
        <w:rPr>
          <w:rFonts w:ascii="Tahoma" w:hAnsi="Tahoma" w:cs="Tahoma"/>
          <w:bCs/>
          <w:sz w:val="20"/>
          <w:szCs w:val="20"/>
        </w:rPr>
        <w:t xml:space="preserve"> </w:t>
      </w:r>
      <w:r w:rsidRPr="00B004EE">
        <w:rPr>
          <w:rFonts w:ascii="Tahoma" w:hAnsi="Tahoma" w:cs="Tahoma"/>
          <w:bCs/>
          <w:sz w:val="20"/>
          <w:szCs w:val="20"/>
        </w:rPr>
        <w:t>:</w:t>
      </w:r>
      <w:r w:rsidR="00DB1635" w:rsidRPr="00B004EE">
        <w:rPr>
          <w:rFonts w:ascii="Tahoma" w:hAnsi="Tahoma" w:cs="Tahoma"/>
          <w:b/>
          <w:spacing w:val="-26"/>
          <w:sz w:val="20"/>
          <w:szCs w:val="20"/>
        </w:rPr>
        <w:t xml:space="preserve"> </w:t>
      </w:r>
      <w:r w:rsidRPr="00B004EE">
        <w:rPr>
          <w:rFonts w:ascii="Tahoma" w:hAnsi="Tahoma" w:cs="Tahoma"/>
          <w:sz w:val="20"/>
          <w:szCs w:val="20"/>
        </w:rPr>
        <w:t>Sauf</w:t>
      </w:r>
      <w:r w:rsidR="00DB1635" w:rsidRPr="00B004EE">
        <w:rPr>
          <w:rFonts w:ascii="Tahoma" w:hAnsi="Tahoma" w:cs="Tahoma"/>
          <w:spacing w:val="-29"/>
          <w:sz w:val="20"/>
          <w:szCs w:val="20"/>
        </w:rPr>
        <w:t xml:space="preserve"> </w:t>
      </w:r>
      <w:r w:rsidRPr="00B004EE">
        <w:rPr>
          <w:rFonts w:ascii="Tahoma" w:hAnsi="Tahoma" w:cs="Tahoma"/>
          <w:sz w:val="20"/>
          <w:szCs w:val="20"/>
        </w:rPr>
        <w:t>les</w:t>
      </w:r>
      <w:r w:rsidR="00DB1635" w:rsidRPr="00B004EE">
        <w:rPr>
          <w:rFonts w:ascii="Tahoma" w:hAnsi="Tahoma" w:cs="Tahoma"/>
          <w:spacing w:val="-29"/>
          <w:sz w:val="20"/>
          <w:szCs w:val="20"/>
        </w:rPr>
        <w:t xml:space="preserve"> </w:t>
      </w:r>
      <w:r w:rsidRPr="00B004EE">
        <w:rPr>
          <w:rFonts w:ascii="Tahoma" w:hAnsi="Tahoma" w:cs="Tahoma"/>
          <w:sz w:val="20"/>
          <w:szCs w:val="20"/>
        </w:rPr>
        <w:t>cas</w:t>
      </w:r>
      <w:r w:rsidR="00DB1635" w:rsidRPr="00B004EE">
        <w:rPr>
          <w:rFonts w:ascii="Tahoma" w:hAnsi="Tahoma" w:cs="Tahoma"/>
          <w:spacing w:val="-30"/>
          <w:sz w:val="20"/>
          <w:szCs w:val="20"/>
        </w:rPr>
        <w:t xml:space="preserve"> </w:t>
      </w:r>
      <w:r w:rsidRPr="00B004EE">
        <w:rPr>
          <w:rFonts w:ascii="Tahoma" w:hAnsi="Tahoma" w:cs="Tahoma"/>
          <w:sz w:val="20"/>
          <w:szCs w:val="20"/>
        </w:rPr>
        <w:t>visés</w:t>
      </w:r>
      <w:r w:rsidR="00DB1635" w:rsidRPr="00B004EE">
        <w:rPr>
          <w:rFonts w:ascii="Tahoma" w:hAnsi="Tahoma" w:cs="Tahoma"/>
          <w:spacing w:val="-31"/>
          <w:sz w:val="20"/>
          <w:szCs w:val="20"/>
        </w:rPr>
        <w:t xml:space="preserve"> </w:t>
      </w:r>
      <w:r w:rsidRPr="00B004EE">
        <w:rPr>
          <w:rFonts w:ascii="Tahoma" w:hAnsi="Tahoma" w:cs="Tahoma"/>
          <w:sz w:val="20"/>
          <w:szCs w:val="20"/>
        </w:rPr>
        <w:t>aux</w:t>
      </w:r>
      <w:r w:rsidR="00DB1635" w:rsidRPr="00B004EE">
        <w:rPr>
          <w:rFonts w:ascii="Tahoma" w:hAnsi="Tahoma" w:cs="Tahoma"/>
          <w:spacing w:val="-30"/>
          <w:sz w:val="20"/>
          <w:szCs w:val="20"/>
        </w:rPr>
        <w:t xml:space="preserve"> </w:t>
      </w:r>
      <w:r w:rsidRPr="00B004EE">
        <w:rPr>
          <w:rFonts w:ascii="Tahoma" w:hAnsi="Tahoma" w:cs="Tahoma"/>
          <w:sz w:val="20"/>
          <w:szCs w:val="20"/>
        </w:rPr>
        <w:t>articles</w:t>
      </w:r>
      <w:r w:rsidR="00DB1635" w:rsidRPr="00B004EE">
        <w:rPr>
          <w:rFonts w:ascii="Tahoma" w:hAnsi="Tahoma" w:cs="Tahoma"/>
          <w:spacing w:val="-28"/>
          <w:sz w:val="20"/>
          <w:szCs w:val="20"/>
        </w:rPr>
        <w:t xml:space="preserve"> </w:t>
      </w:r>
      <w:r w:rsidRPr="00B004EE">
        <w:rPr>
          <w:rFonts w:ascii="Tahoma" w:hAnsi="Tahoma" w:cs="Tahoma"/>
          <w:sz w:val="20"/>
          <w:szCs w:val="20"/>
        </w:rPr>
        <w:t>89</w:t>
      </w:r>
      <w:r w:rsidR="00DB1635" w:rsidRPr="00B004EE">
        <w:rPr>
          <w:rFonts w:ascii="Tahoma" w:hAnsi="Tahoma" w:cs="Tahoma"/>
          <w:spacing w:val="-29"/>
          <w:sz w:val="20"/>
          <w:szCs w:val="20"/>
        </w:rPr>
        <w:t xml:space="preserve"> </w:t>
      </w:r>
      <w:r w:rsidRPr="00B004EE">
        <w:rPr>
          <w:rFonts w:ascii="Tahoma" w:hAnsi="Tahoma" w:cs="Tahoma"/>
          <w:sz w:val="20"/>
          <w:szCs w:val="20"/>
        </w:rPr>
        <w:t>et</w:t>
      </w:r>
      <w:r w:rsidR="00DB1635" w:rsidRPr="00B004EE">
        <w:rPr>
          <w:rFonts w:ascii="Tahoma" w:hAnsi="Tahoma" w:cs="Tahoma"/>
          <w:spacing w:val="-30"/>
          <w:sz w:val="20"/>
          <w:szCs w:val="20"/>
        </w:rPr>
        <w:t xml:space="preserve"> </w:t>
      </w:r>
      <w:r w:rsidRPr="00B004EE">
        <w:rPr>
          <w:rFonts w:ascii="Tahoma" w:hAnsi="Tahoma" w:cs="Tahoma"/>
          <w:sz w:val="20"/>
          <w:szCs w:val="20"/>
        </w:rPr>
        <w:t>90</w:t>
      </w:r>
      <w:r w:rsidR="00DB1635" w:rsidRPr="00B004EE">
        <w:rPr>
          <w:rFonts w:ascii="Tahoma" w:hAnsi="Tahoma" w:cs="Tahoma"/>
          <w:spacing w:val="-29"/>
          <w:sz w:val="20"/>
          <w:szCs w:val="20"/>
        </w:rPr>
        <w:t xml:space="preserve"> </w:t>
      </w:r>
      <w:r w:rsidRPr="00B004EE">
        <w:rPr>
          <w:rFonts w:ascii="Tahoma" w:hAnsi="Tahoma" w:cs="Tahoma"/>
          <w:sz w:val="20"/>
          <w:szCs w:val="20"/>
        </w:rPr>
        <w:t>ci-dessous,</w:t>
      </w:r>
      <w:r w:rsidR="00DB1635" w:rsidRPr="00B004EE">
        <w:rPr>
          <w:rFonts w:ascii="Tahoma" w:hAnsi="Tahoma" w:cs="Tahoma"/>
          <w:spacing w:val="-30"/>
          <w:sz w:val="20"/>
          <w:szCs w:val="20"/>
        </w:rPr>
        <w:t xml:space="preserve"> </w:t>
      </w:r>
      <w:r w:rsidRPr="00B004EE">
        <w:rPr>
          <w:rFonts w:ascii="Tahoma" w:hAnsi="Tahoma" w:cs="Tahoma"/>
          <w:sz w:val="20"/>
          <w:szCs w:val="20"/>
        </w:rPr>
        <w:t>les</w:t>
      </w:r>
      <w:r w:rsidR="00DB1635" w:rsidRPr="00B004EE">
        <w:rPr>
          <w:rFonts w:ascii="Tahoma" w:hAnsi="Tahoma" w:cs="Tahoma"/>
          <w:spacing w:val="-30"/>
          <w:sz w:val="20"/>
          <w:szCs w:val="20"/>
        </w:rPr>
        <w:t xml:space="preserve"> </w:t>
      </w:r>
      <w:r w:rsidRPr="00B004EE">
        <w:rPr>
          <w:rFonts w:ascii="Tahoma" w:hAnsi="Tahoma" w:cs="Tahoma"/>
          <w:sz w:val="20"/>
          <w:szCs w:val="20"/>
        </w:rPr>
        <w:t>sanctions</w:t>
      </w:r>
      <w:r w:rsidR="00DB1635" w:rsidRPr="00B004EE">
        <w:rPr>
          <w:rFonts w:ascii="Tahoma" w:hAnsi="Tahoma" w:cs="Tahoma"/>
          <w:spacing w:val="-31"/>
          <w:sz w:val="20"/>
          <w:szCs w:val="20"/>
        </w:rPr>
        <w:t xml:space="preserve"> </w:t>
      </w:r>
      <w:r w:rsidRPr="00B004EE">
        <w:rPr>
          <w:rFonts w:ascii="Tahoma" w:hAnsi="Tahoma" w:cs="Tahoma"/>
          <w:sz w:val="20"/>
          <w:szCs w:val="20"/>
        </w:rPr>
        <w:t>prévues</w:t>
      </w:r>
      <w:r w:rsidR="00DB1635" w:rsidRPr="00B004EE">
        <w:rPr>
          <w:rFonts w:ascii="Tahoma" w:hAnsi="Tahoma" w:cs="Tahoma"/>
          <w:w w:val="96"/>
          <w:sz w:val="20"/>
          <w:szCs w:val="20"/>
        </w:rPr>
        <w:t xml:space="preserve"> </w:t>
      </w:r>
      <w:r w:rsidRPr="00B004EE">
        <w:rPr>
          <w:rFonts w:ascii="Tahoma" w:hAnsi="Tahoma" w:cs="Tahoma"/>
          <w:sz w:val="20"/>
          <w:szCs w:val="20"/>
        </w:rPr>
        <w:t>dans</w:t>
      </w:r>
      <w:r w:rsidR="00DB1635" w:rsidRPr="00B004EE">
        <w:rPr>
          <w:rFonts w:ascii="Tahoma" w:hAnsi="Tahoma" w:cs="Tahoma"/>
          <w:spacing w:val="-11"/>
          <w:sz w:val="20"/>
          <w:szCs w:val="20"/>
        </w:rPr>
        <w:t xml:space="preserve"> </w:t>
      </w:r>
      <w:r w:rsidRPr="00B004EE">
        <w:rPr>
          <w:rFonts w:ascii="Tahoma" w:hAnsi="Tahoma" w:cs="Tahoma"/>
          <w:sz w:val="20"/>
          <w:szCs w:val="20"/>
        </w:rPr>
        <w:t>la</w:t>
      </w:r>
      <w:r w:rsidR="00DB1635" w:rsidRPr="00B004EE">
        <w:rPr>
          <w:rFonts w:ascii="Tahoma" w:hAnsi="Tahoma" w:cs="Tahoma"/>
          <w:spacing w:val="-10"/>
          <w:sz w:val="20"/>
          <w:szCs w:val="20"/>
        </w:rPr>
        <w:t xml:space="preserve"> </w:t>
      </w:r>
      <w:r w:rsidRPr="00B004EE">
        <w:rPr>
          <w:rFonts w:ascii="Tahoma" w:hAnsi="Tahoma" w:cs="Tahoma"/>
          <w:sz w:val="20"/>
          <w:szCs w:val="20"/>
        </w:rPr>
        <w:t>présente</w:t>
      </w:r>
      <w:r w:rsidR="00DB1635" w:rsidRPr="00B004EE">
        <w:rPr>
          <w:rFonts w:ascii="Tahoma" w:hAnsi="Tahoma" w:cs="Tahoma"/>
          <w:spacing w:val="-10"/>
          <w:sz w:val="20"/>
          <w:szCs w:val="20"/>
        </w:rPr>
        <w:t xml:space="preserve"> </w:t>
      </w:r>
      <w:r w:rsidRPr="00B004EE">
        <w:rPr>
          <w:rFonts w:ascii="Tahoma" w:hAnsi="Tahoma" w:cs="Tahoma"/>
          <w:sz w:val="20"/>
          <w:szCs w:val="20"/>
        </w:rPr>
        <w:t>Loi</w:t>
      </w:r>
      <w:r w:rsidR="00DB1635" w:rsidRPr="00B004EE">
        <w:rPr>
          <w:rFonts w:ascii="Tahoma" w:hAnsi="Tahoma" w:cs="Tahoma"/>
          <w:spacing w:val="-10"/>
          <w:sz w:val="20"/>
          <w:szCs w:val="20"/>
        </w:rPr>
        <w:t xml:space="preserve"> </w:t>
      </w:r>
      <w:r w:rsidRPr="00B004EE">
        <w:rPr>
          <w:rFonts w:ascii="Tahoma" w:hAnsi="Tahoma" w:cs="Tahoma"/>
          <w:sz w:val="20"/>
          <w:szCs w:val="20"/>
        </w:rPr>
        <w:t>sont</w:t>
      </w:r>
      <w:r w:rsidR="00DB1635" w:rsidRPr="00B004EE">
        <w:rPr>
          <w:rFonts w:ascii="Tahoma" w:hAnsi="Tahoma" w:cs="Tahoma"/>
          <w:spacing w:val="-12"/>
          <w:sz w:val="20"/>
          <w:szCs w:val="20"/>
        </w:rPr>
        <w:t xml:space="preserve"> </w:t>
      </w:r>
      <w:r w:rsidRPr="00B004EE">
        <w:rPr>
          <w:rFonts w:ascii="Tahoma" w:hAnsi="Tahoma" w:cs="Tahoma"/>
          <w:sz w:val="20"/>
          <w:szCs w:val="20"/>
        </w:rPr>
        <w:t>applicables</w:t>
      </w:r>
      <w:r w:rsidR="00DB1635" w:rsidRPr="00B004EE">
        <w:rPr>
          <w:rFonts w:ascii="Tahoma" w:hAnsi="Tahoma" w:cs="Tahoma"/>
          <w:spacing w:val="-13"/>
          <w:sz w:val="20"/>
          <w:szCs w:val="20"/>
        </w:rPr>
        <w:t xml:space="preserve"> </w:t>
      </w:r>
      <w:r w:rsidRPr="00B004EE">
        <w:rPr>
          <w:rFonts w:ascii="Tahoma" w:hAnsi="Tahoma" w:cs="Tahoma"/>
          <w:sz w:val="20"/>
          <w:szCs w:val="20"/>
        </w:rPr>
        <w:t>au</w:t>
      </w:r>
      <w:r w:rsidR="00DB1635" w:rsidRPr="00B004EE">
        <w:rPr>
          <w:rFonts w:ascii="Tahoma" w:hAnsi="Tahoma" w:cs="Tahoma"/>
          <w:spacing w:val="-13"/>
          <w:sz w:val="20"/>
          <w:szCs w:val="20"/>
        </w:rPr>
        <w:t xml:space="preserve"> </w:t>
      </w:r>
      <w:r w:rsidRPr="00B004EE">
        <w:rPr>
          <w:rFonts w:ascii="Tahoma" w:hAnsi="Tahoma" w:cs="Tahoma"/>
          <w:sz w:val="20"/>
          <w:szCs w:val="20"/>
        </w:rPr>
        <w:t>capitaine</w:t>
      </w:r>
      <w:r w:rsidR="00DB1635" w:rsidRPr="00B004EE">
        <w:rPr>
          <w:rFonts w:ascii="Tahoma" w:hAnsi="Tahoma" w:cs="Tahoma"/>
          <w:spacing w:val="-13"/>
          <w:sz w:val="20"/>
          <w:szCs w:val="20"/>
        </w:rPr>
        <w:t xml:space="preserve"> </w:t>
      </w:r>
      <w:r w:rsidRPr="00B004EE">
        <w:rPr>
          <w:rFonts w:ascii="Tahoma" w:hAnsi="Tahoma" w:cs="Tahoma"/>
          <w:sz w:val="20"/>
          <w:szCs w:val="20"/>
        </w:rPr>
        <w:t>ou</w:t>
      </w:r>
      <w:r w:rsidR="00DB1635" w:rsidRPr="00B004EE">
        <w:rPr>
          <w:rFonts w:ascii="Tahoma" w:hAnsi="Tahoma" w:cs="Tahoma"/>
          <w:spacing w:val="-13"/>
          <w:sz w:val="20"/>
          <w:szCs w:val="20"/>
        </w:rPr>
        <w:t xml:space="preserve"> </w:t>
      </w:r>
      <w:r w:rsidRPr="00B004EE">
        <w:rPr>
          <w:rFonts w:ascii="Tahoma" w:hAnsi="Tahoma" w:cs="Tahoma"/>
          <w:sz w:val="20"/>
          <w:szCs w:val="20"/>
        </w:rPr>
        <w:t>patron</w:t>
      </w:r>
      <w:r w:rsidR="00DB1635" w:rsidRPr="00B004EE">
        <w:rPr>
          <w:rFonts w:ascii="Tahoma" w:hAnsi="Tahoma" w:cs="Tahoma"/>
          <w:spacing w:val="-13"/>
          <w:sz w:val="20"/>
          <w:szCs w:val="20"/>
        </w:rPr>
        <w:t xml:space="preserve"> </w:t>
      </w:r>
      <w:r w:rsidRPr="00B004EE">
        <w:rPr>
          <w:rFonts w:ascii="Tahoma" w:hAnsi="Tahoma" w:cs="Tahoma"/>
          <w:sz w:val="20"/>
          <w:szCs w:val="20"/>
        </w:rPr>
        <w:t>de</w:t>
      </w:r>
      <w:r w:rsidR="00DB1635" w:rsidRPr="00B004EE">
        <w:rPr>
          <w:rFonts w:ascii="Tahoma" w:hAnsi="Tahoma" w:cs="Tahoma"/>
          <w:spacing w:val="-12"/>
          <w:sz w:val="20"/>
          <w:szCs w:val="20"/>
        </w:rPr>
        <w:t xml:space="preserve"> </w:t>
      </w:r>
      <w:r w:rsidRPr="00B004EE">
        <w:rPr>
          <w:rFonts w:ascii="Tahoma" w:hAnsi="Tahoma" w:cs="Tahoma"/>
          <w:sz w:val="20"/>
          <w:szCs w:val="20"/>
        </w:rPr>
        <w:t>navire</w:t>
      </w:r>
      <w:r w:rsidR="00DB1635" w:rsidRPr="00B004EE">
        <w:rPr>
          <w:rFonts w:ascii="Tahoma" w:hAnsi="Tahoma" w:cs="Tahoma"/>
          <w:spacing w:val="-12"/>
          <w:sz w:val="20"/>
          <w:szCs w:val="20"/>
        </w:rPr>
        <w:t xml:space="preserve"> </w:t>
      </w:r>
      <w:r w:rsidRPr="00B004EE">
        <w:rPr>
          <w:rFonts w:ascii="Tahoma" w:hAnsi="Tahoma" w:cs="Tahoma"/>
          <w:sz w:val="20"/>
          <w:szCs w:val="20"/>
        </w:rPr>
        <w:t>de</w:t>
      </w:r>
      <w:r w:rsidR="00DB1635" w:rsidRPr="00B004EE">
        <w:rPr>
          <w:rFonts w:ascii="Tahoma" w:hAnsi="Tahoma" w:cs="Tahoma"/>
          <w:spacing w:val="-12"/>
          <w:sz w:val="20"/>
          <w:szCs w:val="20"/>
        </w:rPr>
        <w:t xml:space="preserve"> </w:t>
      </w:r>
      <w:r w:rsidRPr="00B004EE">
        <w:rPr>
          <w:rFonts w:ascii="Tahoma" w:hAnsi="Tahoma" w:cs="Tahoma"/>
          <w:sz w:val="20"/>
          <w:szCs w:val="20"/>
        </w:rPr>
        <w:t>pêche,</w:t>
      </w:r>
      <w:r w:rsidR="00DB1635" w:rsidRPr="00B004EE">
        <w:rPr>
          <w:rFonts w:ascii="Tahoma" w:hAnsi="Tahoma" w:cs="Tahoma"/>
          <w:spacing w:val="-7"/>
          <w:sz w:val="20"/>
          <w:szCs w:val="20"/>
        </w:rPr>
        <w:t xml:space="preserve"> </w:t>
      </w:r>
      <w:r w:rsidRPr="00B004EE">
        <w:rPr>
          <w:rFonts w:ascii="Tahoma" w:hAnsi="Tahoma" w:cs="Tahoma"/>
          <w:sz w:val="20"/>
          <w:szCs w:val="20"/>
        </w:rPr>
        <w:t>le</w:t>
      </w:r>
      <w:r w:rsidR="00DB1635" w:rsidRPr="00B004EE">
        <w:rPr>
          <w:rFonts w:ascii="Tahoma" w:hAnsi="Tahoma" w:cs="Tahoma"/>
          <w:w w:val="94"/>
          <w:sz w:val="20"/>
          <w:szCs w:val="20"/>
        </w:rPr>
        <w:t xml:space="preserve"> </w:t>
      </w:r>
      <w:r w:rsidRPr="00B004EE">
        <w:rPr>
          <w:rFonts w:ascii="Tahoma" w:hAnsi="Tahoma" w:cs="Tahoma"/>
          <w:sz w:val="20"/>
          <w:szCs w:val="20"/>
        </w:rPr>
        <w:t>concessionnaire</w:t>
      </w:r>
      <w:r w:rsidR="00DB1635" w:rsidRPr="00B004EE">
        <w:rPr>
          <w:rFonts w:ascii="Tahoma" w:hAnsi="Tahoma" w:cs="Tahoma"/>
          <w:spacing w:val="-8"/>
          <w:sz w:val="20"/>
          <w:szCs w:val="20"/>
        </w:rPr>
        <w:t xml:space="preserve"> </w:t>
      </w:r>
      <w:r w:rsidRPr="00B004EE">
        <w:rPr>
          <w:rFonts w:ascii="Tahoma" w:hAnsi="Tahoma" w:cs="Tahoma"/>
          <w:sz w:val="20"/>
          <w:szCs w:val="20"/>
        </w:rPr>
        <w:t>ou</w:t>
      </w:r>
      <w:r w:rsidR="00DB1635" w:rsidRPr="00B004EE">
        <w:rPr>
          <w:rFonts w:ascii="Tahoma" w:hAnsi="Tahoma" w:cs="Tahoma"/>
          <w:spacing w:val="-8"/>
          <w:sz w:val="20"/>
          <w:szCs w:val="20"/>
        </w:rPr>
        <w:t xml:space="preserve"> </w:t>
      </w:r>
      <w:r w:rsidRPr="00B004EE">
        <w:rPr>
          <w:rFonts w:ascii="Tahoma" w:hAnsi="Tahoma" w:cs="Tahoma"/>
          <w:sz w:val="20"/>
          <w:szCs w:val="20"/>
        </w:rPr>
        <w:t>l'armateur</w:t>
      </w:r>
      <w:r w:rsidR="00DB1635" w:rsidRPr="00B004EE">
        <w:rPr>
          <w:rFonts w:ascii="Tahoma" w:hAnsi="Tahoma" w:cs="Tahoma"/>
          <w:spacing w:val="-7"/>
          <w:sz w:val="20"/>
          <w:szCs w:val="20"/>
        </w:rPr>
        <w:t xml:space="preserve"> </w:t>
      </w:r>
      <w:r w:rsidRPr="00B004EE">
        <w:rPr>
          <w:rFonts w:ascii="Tahoma" w:hAnsi="Tahoma" w:cs="Tahoma"/>
          <w:sz w:val="20"/>
          <w:szCs w:val="20"/>
        </w:rPr>
        <w:t>étant</w:t>
      </w:r>
      <w:r w:rsidR="00DB1635" w:rsidRPr="00B004EE">
        <w:rPr>
          <w:rFonts w:ascii="Tahoma" w:hAnsi="Tahoma" w:cs="Tahoma"/>
          <w:spacing w:val="-8"/>
          <w:sz w:val="20"/>
          <w:szCs w:val="20"/>
        </w:rPr>
        <w:t xml:space="preserve"> </w:t>
      </w:r>
      <w:r w:rsidRPr="00B004EE">
        <w:rPr>
          <w:rFonts w:ascii="Tahoma" w:hAnsi="Tahoma" w:cs="Tahoma"/>
          <w:sz w:val="20"/>
          <w:szCs w:val="20"/>
        </w:rPr>
        <w:t>solidairement</w:t>
      </w:r>
      <w:r w:rsidR="00DB1635" w:rsidRPr="00B004EE">
        <w:rPr>
          <w:rFonts w:ascii="Tahoma" w:hAnsi="Tahoma" w:cs="Tahoma"/>
          <w:spacing w:val="-9"/>
          <w:sz w:val="20"/>
          <w:szCs w:val="20"/>
        </w:rPr>
        <w:t xml:space="preserve"> </w:t>
      </w:r>
      <w:r w:rsidRPr="00B004EE">
        <w:rPr>
          <w:rFonts w:ascii="Tahoma" w:hAnsi="Tahoma" w:cs="Tahoma"/>
          <w:sz w:val="20"/>
          <w:szCs w:val="20"/>
        </w:rPr>
        <w:t>responsables</w:t>
      </w:r>
      <w:r w:rsidR="00DB1635" w:rsidRPr="00B004EE">
        <w:rPr>
          <w:rFonts w:ascii="Tahoma" w:hAnsi="Tahoma" w:cs="Tahoma"/>
          <w:spacing w:val="-9"/>
          <w:sz w:val="20"/>
          <w:szCs w:val="20"/>
        </w:rPr>
        <w:t xml:space="preserve"> </w:t>
      </w:r>
      <w:r w:rsidRPr="00B004EE">
        <w:rPr>
          <w:rFonts w:ascii="Tahoma" w:hAnsi="Tahoma" w:cs="Tahoma"/>
          <w:sz w:val="20"/>
          <w:szCs w:val="20"/>
        </w:rPr>
        <w:t>du</w:t>
      </w:r>
      <w:r w:rsidR="00DB1635" w:rsidRPr="00B004EE">
        <w:rPr>
          <w:rFonts w:ascii="Tahoma" w:hAnsi="Tahoma" w:cs="Tahoma"/>
          <w:spacing w:val="-9"/>
          <w:sz w:val="20"/>
          <w:szCs w:val="20"/>
        </w:rPr>
        <w:t xml:space="preserve"> </w:t>
      </w:r>
      <w:r w:rsidRPr="00B004EE">
        <w:rPr>
          <w:rFonts w:ascii="Tahoma" w:hAnsi="Tahoma" w:cs="Tahoma"/>
          <w:sz w:val="20"/>
          <w:szCs w:val="20"/>
        </w:rPr>
        <w:t>paiement</w:t>
      </w:r>
      <w:r w:rsidR="00DB1635" w:rsidRPr="00B004EE">
        <w:rPr>
          <w:rFonts w:ascii="Tahoma" w:hAnsi="Tahoma" w:cs="Tahoma"/>
          <w:spacing w:val="-9"/>
          <w:sz w:val="20"/>
          <w:szCs w:val="20"/>
        </w:rPr>
        <w:t xml:space="preserve"> </w:t>
      </w:r>
      <w:r w:rsidRPr="00B004EE">
        <w:rPr>
          <w:rFonts w:ascii="Tahoma" w:hAnsi="Tahoma" w:cs="Tahoma"/>
          <w:sz w:val="20"/>
          <w:szCs w:val="20"/>
        </w:rPr>
        <w:t>des</w:t>
      </w:r>
      <w:r w:rsidR="00DB1635" w:rsidRPr="00B004EE">
        <w:rPr>
          <w:rFonts w:ascii="Tahoma" w:hAnsi="Tahoma" w:cs="Tahoma"/>
          <w:w w:val="94"/>
          <w:sz w:val="20"/>
          <w:szCs w:val="20"/>
        </w:rPr>
        <w:t xml:space="preserve"> </w:t>
      </w:r>
      <w:r w:rsidRPr="00B004EE">
        <w:rPr>
          <w:rFonts w:ascii="Tahoma" w:hAnsi="Tahoma" w:cs="Tahoma"/>
          <w:sz w:val="20"/>
          <w:szCs w:val="20"/>
        </w:rPr>
        <w:t>amendes.</w:t>
      </w:r>
    </w:p>
    <w:p w14:paraId="4028DB85" w14:textId="5F3012EB" w:rsidR="001E7C3C" w:rsidRPr="00B004EE" w:rsidRDefault="001E7C3C" w:rsidP="00B004EE">
      <w:pPr>
        <w:pStyle w:val="Corpsdetexte"/>
        <w:ind w:right="163"/>
        <w:rPr>
          <w:rFonts w:ascii="Tahoma" w:hAnsi="Tahoma" w:cs="Tahoma"/>
          <w:sz w:val="20"/>
          <w:szCs w:val="20"/>
        </w:rPr>
      </w:pPr>
      <w:r w:rsidRPr="00B004EE">
        <w:rPr>
          <w:rFonts w:ascii="Tahoma" w:hAnsi="Tahoma" w:cs="Tahoma"/>
          <w:sz w:val="20"/>
          <w:szCs w:val="20"/>
        </w:rPr>
        <w:t>Les</w:t>
      </w:r>
      <w:r w:rsidR="00DB1635" w:rsidRPr="00B004EE">
        <w:rPr>
          <w:rFonts w:ascii="Tahoma" w:hAnsi="Tahoma" w:cs="Tahoma"/>
          <w:spacing w:val="-24"/>
          <w:sz w:val="20"/>
          <w:szCs w:val="20"/>
        </w:rPr>
        <w:t xml:space="preserve"> </w:t>
      </w:r>
      <w:r w:rsidRPr="00B004EE">
        <w:rPr>
          <w:rFonts w:ascii="Tahoma" w:hAnsi="Tahoma" w:cs="Tahoma"/>
          <w:sz w:val="20"/>
          <w:szCs w:val="20"/>
        </w:rPr>
        <w:t>concessionnaires</w:t>
      </w:r>
      <w:r w:rsidR="00DB1635" w:rsidRPr="00B004EE">
        <w:rPr>
          <w:rFonts w:ascii="Tahoma" w:hAnsi="Tahoma" w:cs="Tahoma"/>
          <w:spacing w:val="-24"/>
          <w:sz w:val="20"/>
          <w:szCs w:val="20"/>
        </w:rPr>
        <w:t xml:space="preserve"> </w:t>
      </w:r>
      <w:r w:rsidRPr="00B004EE">
        <w:rPr>
          <w:rFonts w:ascii="Tahoma" w:hAnsi="Tahoma" w:cs="Tahoma"/>
          <w:sz w:val="20"/>
          <w:szCs w:val="20"/>
        </w:rPr>
        <w:t>et</w:t>
      </w:r>
      <w:r w:rsidR="00DB1635" w:rsidRPr="00B004EE">
        <w:rPr>
          <w:rFonts w:ascii="Tahoma" w:hAnsi="Tahoma" w:cs="Tahoma"/>
          <w:spacing w:val="-24"/>
          <w:sz w:val="20"/>
          <w:szCs w:val="20"/>
        </w:rPr>
        <w:t xml:space="preserve"> </w:t>
      </w:r>
      <w:r w:rsidRPr="00B004EE">
        <w:rPr>
          <w:rFonts w:ascii="Tahoma" w:hAnsi="Tahoma" w:cs="Tahoma"/>
          <w:sz w:val="20"/>
          <w:szCs w:val="20"/>
        </w:rPr>
        <w:t>exploitants</w:t>
      </w:r>
      <w:r w:rsidR="00DB1635" w:rsidRPr="00B004EE">
        <w:rPr>
          <w:rFonts w:ascii="Tahoma" w:hAnsi="Tahoma" w:cs="Tahoma"/>
          <w:spacing w:val="-24"/>
          <w:sz w:val="20"/>
          <w:szCs w:val="20"/>
        </w:rPr>
        <w:t xml:space="preserve"> </w:t>
      </w:r>
      <w:r w:rsidRPr="00B004EE">
        <w:rPr>
          <w:rFonts w:ascii="Tahoma" w:hAnsi="Tahoma" w:cs="Tahoma"/>
          <w:sz w:val="20"/>
          <w:szCs w:val="20"/>
        </w:rPr>
        <w:t>des</w:t>
      </w:r>
      <w:r w:rsidR="00DB1635" w:rsidRPr="00B004EE">
        <w:rPr>
          <w:rFonts w:ascii="Tahoma" w:hAnsi="Tahoma" w:cs="Tahoma"/>
          <w:spacing w:val="-24"/>
          <w:sz w:val="20"/>
          <w:szCs w:val="20"/>
        </w:rPr>
        <w:t xml:space="preserve"> </w:t>
      </w:r>
      <w:r w:rsidRPr="00B004EE">
        <w:rPr>
          <w:rFonts w:ascii="Tahoma" w:hAnsi="Tahoma" w:cs="Tahoma"/>
          <w:sz w:val="20"/>
          <w:szCs w:val="20"/>
        </w:rPr>
        <w:t>établissements</w:t>
      </w:r>
      <w:r w:rsidR="00DB1635" w:rsidRPr="00B004EE">
        <w:rPr>
          <w:rFonts w:ascii="Tahoma" w:hAnsi="Tahoma" w:cs="Tahoma"/>
          <w:spacing w:val="-24"/>
          <w:sz w:val="20"/>
          <w:szCs w:val="20"/>
        </w:rPr>
        <w:t xml:space="preserve"> </w:t>
      </w:r>
      <w:r w:rsidRPr="00B004EE">
        <w:rPr>
          <w:rFonts w:ascii="Tahoma" w:hAnsi="Tahoma" w:cs="Tahoma"/>
          <w:sz w:val="20"/>
          <w:szCs w:val="20"/>
        </w:rPr>
        <w:t>de</w:t>
      </w:r>
      <w:r w:rsidR="00DB1635" w:rsidRPr="00B004EE">
        <w:rPr>
          <w:rFonts w:ascii="Tahoma" w:hAnsi="Tahoma" w:cs="Tahoma"/>
          <w:spacing w:val="-24"/>
          <w:sz w:val="20"/>
          <w:szCs w:val="20"/>
        </w:rPr>
        <w:t xml:space="preserve"> </w:t>
      </w:r>
      <w:r w:rsidRPr="00B004EE">
        <w:rPr>
          <w:rFonts w:ascii="Tahoma" w:hAnsi="Tahoma" w:cs="Tahoma"/>
          <w:sz w:val="20"/>
          <w:szCs w:val="20"/>
        </w:rPr>
        <w:t>pêche,</w:t>
      </w:r>
      <w:r w:rsidR="00DB1635" w:rsidRPr="00B004EE">
        <w:rPr>
          <w:rFonts w:ascii="Tahoma" w:hAnsi="Tahoma" w:cs="Tahoma"/>
          <w:spacing w:val="-25"/>
          <w:sz w:val="20"/>
          <w:szCs w:val="20"/>
        </w:rPr>
        <w:t xml:space="preserve"> </w:t>
      </w:r>
      <w:r w:rsidRPr="00B004EE">
        <w:rPr>
          <w:rFonts w:ascii="Tahoma" w:hAnsi="Tahoma" w:cs="Tahoma"/>
          <w:sz w:val="20"/>
          <w:szCs w:val="20"/>
        </w:rPr>
        <w:t>de</w:t>
      </w:r>
      <w:r w:rsidR="00DB1635" w:rsidRPr="00B004EE">
        <w:rPr>
          <w:rFonts w:ascii="Tahoma" w:hAnsi="Tahoma" w:cs="Tahoma"/>
          <w:spacing w:val="-25"/>
          <w:sz w:val="20"/>
          <w:szCs w:val="20"/>
        </w:rPr>
        <w:t xml:space="preserve"> </w:t>
      </w:r>
      <w:r w:rsidRPr="00B004EE">
        <w:rPr>
          <w:rFonts w:ascii="Tahoma" w:hAnsi="Tahoma" w:cs="Tahoma"/>
          <w:sz w:val="20"/>
          <w:szCs w:val="20"/>
        </w:rPr>
        <w:t>traitement,</w:t>
      </w:r>
      <w:r w:rsidR="00DB1635" w:rsidRPr="00B004EE">
        <w:rPr>
          <w:rFonts w:ascii="Tahoma" w:hAnsi="Tahoma" w:cs="Tahoma"/>
          <w:spacing w:val="-25"/>
          <w:sz w:val="20"/>
          <w:szCs w:val="20"/>
        </w:rPr>
        <w:t xml:space="preserve"> </w:t>
      </w:r>
      <w:r w:rsidRPr="00B004EE">
        <w:rPr>
          <w:rFonts w:ascii="Tahoma" w:hAnsi="Tahoma" w:cs="Tahoma"/>
          <w:sz w:val="20"/>
          <w:szCs w:val="20"/>
        </w:rPr>
        <w:t>de</w:t>
      </w:r>
      <w:r w:rsidR="00DB1635" w:rsidRPr="00B004EE">
        <w:rPr>
          <w:rFonts w:ascii="Tahoma" w:hAnsi="Tahoma" w:cs="Tahoma"/>
          <w:w w:val="94"/>
          <w:sz w:val="20"/>
          <w:szCs w:val="20"/>
        </w:rPr>
        <w:t xml:space="preserve"> </w:t>
      </w:r>
      <w:r w:rsidRPr="00B004EE">
        <w:rPr>
          <w:rFonts w:ascii="Tahoma" w:hAnsi="Tahoma" w:cs="Tahoma"/>
          <w:sz w:val="20"/>
          <w:szCs w:val="20"/>
        </w:rPr>
        <w:t>transformation</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transport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halieutiques</w:t>
      </w:r>
      <w:r w:rsidR="00DB1635" w:rsidRPr="00B004EE">
        <w:rPr>
          <w:rFonts w:ascii="Tahoma" w:hAnsi="Tahoma" w:cs="Tahoma"/>
          <w:sz w:val="20"/>
          <w:szCs w:val="20"/>
        </w:rPr>
        <w:t xml:space="preserve"> </w:t>
      </w:r>
      <w:r w:rsidRPr="00B004EE">
        <w:rPr>
          <w:rFonts w:ascii="Tahoma" w:hAnsi="Tahoma" w:cs="Tahoma"/>
          <w:sz w:val="20"/>
          <w:szCs w:val="20"/>
        </w:rPr>
        <w:t>seront</w:t>
      </w:r>
      <w:r w:rsidR="00DB1635" w:rsidRPr="00B004EE">
        <w:rPr>
          <w:rFonts w:ascii="Tahoma" w:hAnsi="Tahoma" w:cs="Tahoma"/>
          <w:spacing w:val="30"/>
          <w:sz w:val="20"/>
          <w:szCs w:val="20"/>
        </w:rPr>
        <w:t xml:space="preserve"> </w:t>
      </w:r>
      <w:r w:rsidRPr="00B004EE">
        <w:rPr>
          <w:rFonts w:ascii="Tahoma" w:hAnsi="Tahoma" w:cs="Tahoma"/>
          <w:sz w:val="20"/>
          <w:szCs w:val="20"/>
        </w:rPr>
        <w:t>solidairement</w:t>
      </w:r>
      <w:r w:rsidR="00DB1635" w:rsidRPr="00B004EE">
        <w:rPr>
          <w:rFonts w:ascii="Tahoma" w:hAnsi="Tahoma" w:cs="Tahoma"/>
          <w:w w:val="95"/>
          <w:sz w:val="20"/>
          <w:szCs w:val="20"/>
        </w:rPr>
        <w:t xml:space="preserve"> </w:t>
      </w:r>
      <w:r w:rsidRPr="00B004EE">
        <w:rPr>
          <w:rFonts w:ascii="Tahoma" w:hAnsi="Tahoma" w:cs="Tahoma"/>
          <w:sz w:val="20"/>
          <w:szCs w:val="20"/>
        </w:rPr>
        <w:t>responsables</w:t>
      </w:r>
      <w:r w:rsidR="00DB1635" w:rsidRPr="00B004EE">
        <w:rPr>
          <w:rFonts w:ascii="Tahoma" w:hAnsi="Tahoma" w:cs="Tahoma"/>
          <w:spacing w:val="-20"/>
          <w:sz w:val="20"/>
          <w:szCs w:val="20"/>
        </w:rPr>
        <w:t xml:space="preserve"> </w:t>
      </w:r>
      <w:r w:rsidRPr="00B004EE">
        <w:rPr>
          <w:rFonts w:ascii="Tahoma" w:hAnsi="Tahoma" w:cs="Tahoma"/>
          <w:sz w:val="20"/>
          <w:szCs w:val="20"/>
        </w:rPr>
        <w:t>du</w:t>
      </w:r>
      <w:r w:rsidR="00DB1635" w:rsidRPr="00B004EE">
        <w:rPr>
          <w:rFonts w:ascii="Tahoma" w:hAnsi="Tahoma" w:cs="Tahoma"/>
          <w:spacing w:val="-20"/>
          <w:sz w:val="20"/>
          <w:szCs w:val="20"/>
        </w:rPr>
        <w:t xml:space="preserve"> </w:t>
      </w:r>
      <w:r w:rsidRPr="00B004EE">
        <w:rPr>
          <w:rFonts w:ascii="Tahoma" w:hAnsi="Tahoma" w:cs="Tahoma"/>
          <w:sz w:val="20"/>
          <w:szCs w:val="20"/>
        </w:rPr>
        <w:t>paiement</w:t>
      </w:r>
      <w:r w:rsidR="00DB1635" w:rsidRPr="00B004EE">
        <w:rPr>
          <w:rFonts w:ascii="Tahoma" w:hAnsi="Tahoma" w:cs="Tahoma"/>
          <w:spacing w:val="-20"/>
          <w:sz w:val="20"/>
          <w:szCs w:val="20"/>
        </w:rPr>
        <w:t xml:space="preserve"> </w:t>
      </w:r>
      <w:r w:rsidRPr="00B004EE">
        <w:rPr>
          <w:rFonts w:ascii="Tahoma" w:hAnsi="Tahoma" w:cs="Tahoma"/>
          <w:sz w:val="20"/>
          <w:szCs w:val="20"/>
        </w:rPr>
        <w:t>des</w:t>
      </w:r>
      <w:r w:rsidR="00DB1635" w:rsidRPr="00B004EE">
        <w:rPr>
          <w:rFonts w:ascii="Tahoma" w:hAnsi="Tahoma" w:cs="Tahoma"/>
          <w:spacing w:val="-20"/>
          <w:sz w:val="20"/>
          <w:szCs w:val="20"/>
        </w:rPr>
        <w:t xml:space="preserve"> </w:t>
      </w:r>
      <w:r w:rsidRPr="00B004EE">
        <w:rPr>
          <w:rFonts w:ascii="Tahoma" w:hAnsi="Tahoma" w:cs="Tahoma"/>
          <w:sz w:val="20"/>
          <w:szCs w:val="20"/>
        </w:rPr>
        <w:t>amendes</w:t>
      </w:r>
      <w:r w:rsidR="00DB1635" w:rsidRPr="00B004EE">
        <w:rPr>
          <w:rFonts w:ascii="Tahoma" w:hAnsi="Tahoma" w:cs="Tahoma"/>
          <w:spacing w:val="-20"/>
          <w:sz w:val="20"/>
          <w:szCs w:val="20"/>
        </w:rPr>
        <w:t xml:space="preserve"> </w:t>
      </w:r>
      <w:r w:rsidRPr="00B004EE">
        <w:rPr>
          <w:rFonts w:ascii="Tahoma" w:hAnsi="Tahoma" w:cs="Tahoma"/>
          <w:sz w:val="20"/>
          <w:szCs w:val="20"/>
        </w:rPr>
        <w:t>prononcées</w:t>
      </w:r>
      <w:r w:rsidR="00DB1635" w:rsidRPr="00B004EE">
        <w:rPr>
          <w:rFonts w:ascii="Tahoma" w:hAnsi="Tahoma" w:cs="Tahoma"/>
          <w:spacing w:val="-21"/>
          <w:sz w:val="20"/>
          <w:szCs w:val="20"/>
        </w:rPr>
        <w:t xml:space="preserve"> </w:t>
      </w:r>
      <w:r w:rsidRPr="00B004EE">
        <w:rPr>
          <w:rFonts w:ascii="Tahoma" w:hAnsi="Tahoma" w:cs="Tahoma"/>
          <w:sz w:val="20"/>
          <w:szCs w:val="20"/>
        </w:rPr>
        <w:t>à</w:t>
      </w:r>
      <w:r w:rsidR="00DB1635" w:rsidRPr="00B004EE">
        <w:rPr>
          <w:rFonts w:ascii="Tahoma" w:hAnsi="Tahoma" w:cs="Tahoma"/>
          <w:spacing w:val="-21"/>
          <w:sz w:val="20"/>
          <w:szCs w:val="20"/>
        </w:rPr>
        <w:t xml:space="preserve"> </w:t>
      </w:r>
      <w:r w:rsidRPr="00B004EE">
        <w:rPr>
          <w:rFonts w:ascii="Tahoma" w:hAnsi="Tahoma" w:cs="Tahoma"/>
          <w:sz w:val="20"/>
          <w:szCs w:val="20"/>
        </w:rPr>
        <w:t>l'encontre</w:t>
      </w:r>
      <w:r w:rsidR="00DB1635" w:rsidRPr="00B004EE">
        <w:rPr>
          <w:rFonts w:ascii="Tahoma" w:hAnsi="Tahoma" w:cs="Tahoma"/>
          <w:spacing w:val="-21"/>
          <w:sz w:val="20"/>
          <w:szCs w:val="20"/>
        </w:rPr>
        <w:t xml:space="preserve"> </w:t>
      </w:r>
      <w:r w:rsidRPr="00B004EE">
        <w:rPr>
          <w:rFonts w:ascii="Tahoma" w:hAnsi="Tahoma" w:cs="Tahoma"/>
          <w:sz w:val="20"/>
          <w:szCs w:val="20"/>
        </w:rPr>
        <w:t>de</w:t>
      </w:r>
      <w:r w:rsidR="00DB1635" w:rsidRPr="00B004EE">
        <w:rPr>
          <w:rFonts w:ascii="Tahoma" w:hAnsi="Tahoma" w:cs="Tahoma"/>
          <w:spacing w:val="-21"/>
          <w:sz w:val="20"/>
          <w:szCs w:val="20"/>
        </w:rPr>
        <w:t xml:space="preserve"> </w:t>
      </w:r>
      <w:r w:rsidRPr="00B004EE">
        <w:rPr>
          <w:rFonts w:ascii="Tahoma" w:hAnsi="Tahoma" w:cs="Tahoma"/>
          <w:sz w:val="20"/>
          <w:szCs w:val="20"/>
        </w:rPr>
        <w:t>leurs</w:t>
      </w:r>
      <w:r w:rsidR="00DB1635" w:rsidRPr="00B004EE">
        <w:rPr>
          <w:rFonts w:ascii="Tahoma" w:hAnsi="Tahoma" w:cs="Tahoma"/>
          <w:spacing w:val="-21"/>
          <w:sz w:val="20"/>
          <w:szCs w:val="20"/>
        </w:rPr>
        <w:t xml:space="preserve"> </w:t>
      </w:r>
      <w:r w:rsidRPr="00B004EE">
        <w:rPr>
          <w:rFonts w:ascii="Tahoma" w:hAnsi="Tahoma" w:cs="Tahoma"/>
          <w:sz w:val="20"/>
          <w:szCs w:val="20"/>
        </w:rPr>
        <w:t>employés</w:t>
      </w:r>
      <w:r w:rsidR="00DB1635" w:rsidRPr="00B004EE">
        <w:rPr>
          <w:rFonts w:ascii="Tahoma" w:hAnsi="Tahoma" w:cs="Tahoma"/>
          <w:w w:val="94"/>
          <w:sz w:val="20"/>
          <w:szCs w:val="20"/>
        </w:rPr>
        <w:t xml:space="preserve"> </w:t>
      </w:r>
      <w:r w:rsidRPr="00B004EE">
        <w:rPr>
          <w:rFonts w:ascii="Tahoma" w:hAnsi="Tahoma" w:cs="Tahoma"/>
          <w:sz w:val="20"/>
          <w:szCs w:val="20"/>
        </w:rPr>
        <w:t>ou</w:t>
      </w:r>
      <w:r w:rsidR="00DB1635" w:rsidRPr="00B004EE">
        <w:rPr>
          <w:rFonts w:ascii="Tahoma" w:hAnsi="Tahoma" w:cs="Tahoma"/>
          <w:spacing w:val="-35"/>
          <w:sz w:val="20"/>
          <w:szCs w:val="20"/>
        </w:rPr>
        <w:t xml:space="preserve"> </w:t>
      </w:r>
      <w:r w:rsidRPr="00B004EE">
        <w:rPr>
          <w:rFonts w:ascii="Tahoma" w:hAnsi="Tahoma" w:cs="Tahoma"/>
          <w:sz w:val="20"/>
          <w:szCs w:val="20"/>
        </w:rPr>
        <w:t>ayants</w:t>
      </w:r>
      <w:r w:rsidR="00DB1635" w:rsidRPr="00B004EE">
        <w:rPr>
          <w:rFonts w:ascii="Tahoma" w:hAnsi="Tahoma" w:cs="Tahoma"/>
          <w:spacing w:val="-35"/>
          <w:sz w:val="20"/>
          <w:szCs w:val="20"/>
        </w:rPr>
        <w:t xml:space="preserve"> </w:t>
      </w:r>
      <w:r w:rsidRPr="00B004EE">
        <w:rPr>
          <w:rFonts w:ascii="Tahoma" w:hAnsi="Tahoma" w:cs="Tahoma"/>
          <w:sz w:val="20"/>
          <w:szCs w:val="20"/>
        </w:rPr>
        <w:t>cause.</w:t>
      </w:r>
    </w:p>
    <w:p w14:paraId="7A7A50C9" w14:textId="77777777" w:rsidR="001E7C3C" w:rsidRPr="00B004EE" w:rsidRDefault="001E7C3C" w:rsidP="00B004EE">
      <w:pPr>
        <w:rPr>
          <w:rFonts w:ascii="Tahoma" w:eastAsia="American Typewriter" w:hAnsi="Tahoma" w:cs="Tahoma"/>
          <w:sz w:val="20"/>
          <w:szCs w:val="20"/>
        </w:rPr>
      </w:pPr>
    </w:p>
    <w:p w14:paraId="417A1632" w14:textId="5585C11F" w:rsidR="001E7C3C" w:rsidRPr="00B004EE" w:rsidRDefault="001E7C3C" w:rsidP="00B004EE">
      <w:pPr>
        <w:pStyle w:val="Lgende"/>
        <w:jc w:val="center"/>
        <w:rPr>
          <w:rFonts w:ascii="Tahoma" w:eastAsia="American Typewriter" w:hAnsi="Tahoma" w:cs="Tahoma"/>
        </w:rPr>
      </w:pPr>
      <w:bookmarkStart w:id="125" w:name="_Toc16279095"/>
      <w:bookmarkStart w:id="126" w:name="_Toc16279464"/>
      <w:r w:rsidRPr="00B004EE">
        <w:rPr>
          <w:rFonts w:ascii="Tahoma" w:eastAsia="American Typewriter" w:hAnsi="Tahoma" w:cs="Tahoma"/>
        </w:rPr>
        <w:t>Section</w:t>
      </w:r>
      <w:r w:rsidR="00DB1635" w:rsidRPr="00B004EE">
        <w:rPr>
          <w:rFonts w:ascii="Tahoma" w:eastAsia="American Typewriter" w:hAnsi="Tahoma" w:cs="Tahoma"/>
        </w:rPr>
        <w:t xml:space="preserve"> </w:t>
      </w:r>
      <w:r w:rsidRPr="00B004EE">
        <w:rPr>
          <w:rFonts w:ascii="Tahoma" w:eastAsia="American Typewriter" w:hAnsi="Tahoma" w:cs="Tahoma"/>
        </w:rPr>
        <w:t>2</w:t>
      </w:r>
      <w:r w:rsidR="00DB1635" w:rsidRPr="00B004EE">
        <w:rPr>
          <w:rFonts w:ascii="Tahoma" w:eastAsia="American Typewriter" w:hAnsi="Tahoma" w:cs="Tahoma"/>
        </w:rPr>
        <w:t xml:space="preserve"> </w:t>
      </w:r>
      <w:r w:rsidRPr="00B004EE">
        <w:rPr>
          <w:rFonts w:ascii="Tahoma" w:eastAsia="American Typewriter" w:hAnsi="Tahoma" w:cs="Tahoma"/>
        </w:rPr>
        <w:t>:</w:t>
      </w:r>
      <w:r w:rsidR="00DB1635" w:rsidRPr="00B004EE">
        <w:rPr>
          <w:rFonts w:ascii="Tahoma" w:eastAsia="American Typewriter" w:hAnsi="Tahoma" w:cs="Tahoma"/>
        </w:rPr>
        <w:t xml:space="preserve"> </w:t>
      </w:r>
      <w:r w:rsidRPr="00B004EE">
        <w:rPr>
          <w:rFonts w:ascii="Tahoma" w:eastAsia="American Typewriter" w:hAnsi="Tahoma" w:cs="Tahoma"/>
        </w:rPr>
        <w:t>Des</w:t>
      </w:r>
      <w:r w:rsidR="00DB1635" w:rsidRPr="00B004EE">
        <w:rPr>
          <w:rFonts w:ascii="Tahoma" w:eastAsia="American Typewriter" w:hAnsi="Tahoma" w:cs="Tahoma"/>
        </w:rPr>
        <w:t xml:space="preserve"> </w:t>
      </w:r>
      <w:r w:rsidRPr="00B004EE">
        <w:rPr>
          <w:rFonts w:ascii="Tahoma" w:eastAsia="American Typewriter" w:hAnsi="Tahoma" w:cs="Tahoma"/>
        </w:rPr>
        <w:t>activités</w:t>
      </w:r>
      <w:r w:rsidR="00DB1635" w:rsidRPr="00B004EE">
        <w:rPr>
          <w:rFonts w:ascii="Tahoma" w:eastAsia="American Typewriter" w:hAnsi="Tahoma" w:cs="Tahoma"/>
        </w:rPr>
        <w:t xml:space="preserve"> </w:t>
      </w:r>
      <w:r w:rsidRPr="00B004EE">
        <w:rPr>
          <w:rFonts w:ascii="Tahoma" w:eastAsia="American Typewriter" w:hAnsi="Tahoma" w:cs="Tahoma"/>
        </w:rPr>
        <w:t>de</w:t>
      </w:r>
      <w:r w:rsidR="00DB1635" w:rsidRPr="00B004EE">
        <w:rPr>
          <w:rFonts w:ascii="Tahoma" w:eastAsia="American Typewriter" w:hAnsi="Tahoma" w:cs="Tahoma"/>
        </w:rPr>
        <w:t xml:space="preserve"> </w:t>
      </w:r>
      <w:r w:rsidRPr="00B004EE">
        <w:rPr>
          <w:rFonts w:ascii="Tahoma" w:eastAsia="American Typewriter" w:hAnsi="Tahoma" w:cs="Tahoma"/>
        </w:rPr>
        <w:t>pêche</w:t>
      </w:r>
      <w:r w:rsidR="00DB1635" w:rsidRPr="00B004EE">
        <w:rPr>
          <w:rFonts w:ascii="Tahoma" w:eastAsia="American Typewriter" w:hAnsi="Tahoma" w:cs="Tahoma"/>
        </w:rPr>
        <w:t xml:space="preserve"> </w:t>
      </w:r>
      <w:r w:rsidRPr="00B004EE">
        <w:rPr>
          <w:rFonts w:ascii="Tahoma" w:eastAsia="American Typewriter" w:hAnsi="Tahoma" w:cs="Tahoma"/>
        </w:rPr>
        <w:t>de</w:t>
      </w:r>
      <w:r w:rsidR="00DB1635" w:rsidRPr="00B004EE">
        <w:rPr>
          <w:rFonts w:ascii="Tahoma" w:eastAsia="American Typewriter" w:hAnsi="Tahoma" w:cs="Tahoma"/>
        </w:rPr>
        <w:t xml:space="preserve"> </w:t>
      </w:r>
      <w:r w:rsidRPr="00B004EE">
        <w:rPr>
          <w:rFonts w:ascii="Tahoma" w:eastAsia="American Typewriter" w:hAnsi="Tahoma" w:cs="Tahoma"/>
        </w:rPr>
        <w:t>navires</w:t>
      </w:r>
      <w:r w:rsidR="00DB1635" w:rsidRPr="00B004EE">
        <w:rPr>
          <w:rFonts w:ascii="Tahoma" w:eastAsia="American Typewriter" w:hAnsi="Tahoma" w:cs="Tahoma"/>
        </w:rPr>
        <w:t xml:space="preserve"> </w:t>
      </w:r>
      <w:r w:rsidRPr="00B004EE">
        <w:rPr>
          <w:rFonts w:ascii="Tahoma" w:eastAsia="American Typewriter" w:hAnsi="Tahoma" w:cs="Tahoma"/>
        </w:rPr>
        <w:t>étrangers</w:t>
      </w:r>
      <w:r w:rsidR="00DB1635" w:rsidRPr="00B004EE">
        <w:rPr>
          <w:rFonts w:ascii="Tahoma" w:eastAsia="American Typewriter" w:hAnsi="Tahoma" w:cs="Tahoma"/>
        </w:rPr>
        <w:t xml:space="preserve"> </w:t>
      </w:r>
      <w:r w:rsidRPr="00B004EE">
        <w:rPr>
          <w:rFonts w:ascii="Tahoma" w:eastAsia="American Typewriter" w:hAnsi="Tahoma" w:cs="Tahoma"/>
        </w:rPr>
        <w:t>non</w:t>
      </w:r>
      <w:r w:rsidR="00DB1635" w:rsidRPr="00B004EE">
        <w:rPr>
          <w:rFonts w:ascii="Tahoma" w:eastAsia="American Typewriter" w:hAnsi="Tahoma" w:cs="Tahoma"/>
        </w:rPr>
        <w:t xml:space="preserve"> </w:t>
      </w:r>
      <w:r w:rsidRPr="00B004EE">
        <w:rPr>
          <w:rFonts w:ascii="Tahoma" w:eastAsia="American Typewriter" w:hAnsi="Tahoma" w:cs="Tahoma"/>
        </w:rPr>
        <w:t>autorisés</w:t>
      </w:r>
      <w:bookmarkEnd w:id="125"/>
      <w:bookmarkEnd w:id="126"/>
    </w:p>
    <w:p w14:paraId="4D46E3DD" w14:textId="77777777" w:rsidR="00681151" w:rsidRPr="00B004EE" w:rsidRDefault="00681151" w:rsidP="00B004EE">
      <w:pPr>
        <w:rPr>
          <w:rFonts w:ascii="Tahoma" w:eastAsia="American Typewriter" w:hAnsi="Tahoma" w:cs="Tahoma"/>
          <w:sz w:val="20"/>
          <w:szCs w:val="20"/>
        </w:rPr>
      </w:pPr>
    </w:p>
    <w:p w14:paraId="03B25AA7" w14:textId="600C33D8" w:rsidR="001E7C3C" w:rsidRPr="00B004EE" w:rsidRDefault="001E7C3C" w:rsidP="00B004EE">
      <w:pPr>
        <w:pStyle w:val="Corpsdetexte"/>
        <w:ind w:right="159"/>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83</w:t>
      </w:r>
      <w:r w:rsidR="00DB1635" w:rsidRPr="00B004EE">
        <w:rPr>
          <w:rFonts w:ascii="Tahoma" w:hAnsi="Tahoma" w:cs="Tahoma"/>
          <w:bCs/>
          <w:sz w:val="20"/>
          <w:szCs w:val="20"/>
        </w:rPr>
        <w:t xml:space="preserve"> </w:t>
      </w:r>
      <w:r w:rsidRPr="00B004EE">
        <w:rPr>
          <w:rFonts w:ascii="Tahoma" w:hAnsi="Tahoma" w:cs="Tahoma"/>
          <w:bCs/>
          <w:sz w:val="20"/>
          <w:szCs w:val="20"/>
        </w:rPr>
        <w:t>:</w:t>
      </w:r>
      <w:r w:rsidR="00DB1635" w:rsidRPr="00B004EE">
        <w:rPr>
          <w:rFonts w:ascii="Tahoma" w:eastAsia="American Typewriter" w:hAnsi="Tahoma" w:cs="Tahoma"/>
          <w:b/>
          <w:bCs/>
          <w:sz w:val="20"/>
          <w:szCs w:val="20"/>
        </w:rPr>
        <w:t xml:space="preserve"> </w:t>
      </w:r>
      <w:r w:rsidRPr="00B004EE">
        <w:rPr>
          <w:rFonts w:ascii="Tahoma" w:hAnsi="Tahoma" w:cs="Tahoma"/>
          <w:sz w:val="20"/>
          <w:szCs w:val="20"/>
        </w:rPr>
        <w:t>Tout</w:t>
      </w:r>
      <w:r w:rsidR="00DB1635" w:rsidRPr="00B004EE">
        <w:rPr>
          <w:rFonts w:ascii="Tahoma" w:hAnsi="Tahoma" w:cs="Tahoma"/>
          <w:sz w:val="20"/>
          <w:szCs w:val="20"/>
        </w:rPr>
        <w:t xml:space="preserve"> </w:t>
      </w:r>
      <w:r w:rsidRPr="00B004EE">
        <w:rPr>
          <w:rFonts w:ascii="Tahoma" w:hAnsi="Tahoma" w:cs="Tahoma"/>
          <w:sz w:val="20"/>
          <w:szCs w:val="20"/>
        </w:rPr>
        <w:t>navire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étranger</w:t>
      </w:r>
      <w:r w:rsidR="00DB1635" w:rsidRPr="00B004EE">
        <w:rPr>
          <w:rFonts w:ascii="Tahoma" w:hAnsi="Tahoma" w:cs="Tahoma"/>
          <w:sz w:val="20"/>
          <w:szCs w:val="20"/>
        </w:rPr>
        <w:t xml:space="preserve"> </w:t>
      </w:r>
      <w:r w:rsidRPr="00B004EE">
        <w:rPr>
          <w:rFonts w:ascii="Tahoma" w:hAnsi="Tahoma" w:cs="Tahoma"/>
          <w:sz w:val="20"/>
          <w:szCs w:val="20"/>
        </w:rPr>
        <w:t>qui</w:t>
      </w:r>
      <w:r w:rsidR="00DB1635" w:rsidRPr="00B004EE">
        <w:rPr>
          <w:rFonts w:ascii="Tahoma" w:hAnsi="Tahoma" w:cs="Tahoma"/>
          <w:sz w:val="20"/>
          <w:szCs w:val="20"/>
        </w:rPr>
        <w:t xml:space="preserve"> </w:t>
      </w:r>
      <w:r w:rsidRPr="00B004EE">
        <w:rPr>
          <w:rFonts w:ascii="Tahoma" w:hAnsi="Tahoma" w:cs="Tahoma"/>
          <w:sz w:val="20"/>
          <w:szCs w:val="20"/>
        </w:rPr>
        <w:t>aura</w:t>
      </w:r>
      <w:r w:rsidR="00DB1635" w:rsidRPr="00B004EE">
        <w:rPr>
          <w:rFonts w:ascii="Tahoma" w:hAnsi="Tahoma" w:cs="Tahoma"/>
          <w:sz w:val="20"/>
          <w:szCs w:val="20"/>
        </w:rPr>
        <w:t xml:space="preserve"> </w:t>
      </w:r>
      <w:r w:rsidRPr="00B004EE">
        <w:rPr>
          <w:rFonts w:ascii="Tahoma" w:hAnsi="Tahoma" w:cs="Tahoma"/>
          <w:sz w:val="20"/>
          <w:szCs w:val="20"/>
        </w:rPr>
        <w:t>entrepris</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opérations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w w:val="94"/>
          <w:sz w:val="20"/>
          <w:szCs w:val="20"/>
        </w:rPr>
        <w:t xml:space="preserve"> </w:t>
      </w:r>
      <w:r w:rsidRPr="00B004EE">
        <w:rPr>
          <w:rFonts w:ascii="Tahoma" w:hAnsi="Tahoma" w:cs="Tahoma"/>
          <w:sz w:val="20"/>
          <w:szCs w:val="20"/>
        </w:rPr>
        <w:t>pêche</w:t>
      </w:r>
      <w:r w:rsidR="00DB1635" w:rsidRPr="00B004EE">
        <w:rPr>
          <w:rFonts w:ascii="Tahoma" w:hAnsi="Tahoma" w:cs="Tahoma"/>
          <w:spacing w:val="33"/>
          <w:sz w:val="20"/>
          <w:szCs w:val="20"/>
        </w:rPr>
        <w:t xml:space="preserve"> </w:t>
      </w:r>
      <w:r w:rsidRPr="00B004EE">
        <w:rPr>
          <w:rFonts w:ascii="Tahoma" w:hAnsi="Tahoma" w:cs="Tahoma"/>
          <w:sz w:val="20"/>
          <w:szCs w:val="20"/>
        </w:rPr>
        <w:t>dans</w:t>
      </w:r>
      <w:r w:rsidR="00DB1635" w:rsidRPr="00B004EE">
        <w:rPr>
          <w:rFonts w:ascii="Tahoma" w:hAnsi="Tahoma" w:cs="Tahoma"/>
          <w:spacing w:val="32"/>
          <w:sz w:val="20"/>
          <w:szCs w:val="20"/>
        </w:rPr>
        <w:t xml:space="preserve"> </w:t>
      </w:r>
      <w:r w:rsidRPr="00B004EE">
        <w:rPr>
          <w:rFonts w:ascii="Tahoma" w:hAnsi="Tahoma" w:cs="Tahoma"/>
          <w:sz w:val="20"/>
          <w:szCs w:val="20"/>
        </w:rPr>
        <w:t>la</w:t>
      </w:r>
      <w:r w:rsidR="00DB1635" w:rsidRPr="00B004EE">
        <w:rPr>
          <w:rFonts w:ascii="Tahoma" w:hAnsi="Tahoma" w:cs="Tahoma"/>
          <w:spacing w:val="34"/>
          <w:sz w:val="20"/>
          <w:szCs w:val="20"/>
        </w:rPr>
        <w:t xml:space="preserve"> </w:t>
      </w:r>
      <w:r w:rsidRPr="00B004EE">
        <w:rPr>
          <w:rFonts w:ascii="Tahoma" w:hAnsi="Tahoma" w:cs="Tahoma"/>
          <w:sz w:val="20"/>
          <w:szCs w:val="20"/>
        </w:rPr>
        <w:t>limite</w:t>
      </w:r>
      <w:r w:rsidR="00DB1635" w:rsidRPr="00B004EE">
        <w:rPr>
          <w:rFonts w:ascii="Tahoma" w:hAnsi="Tahoma" w:cs="Tahoma"/>
          <w:spacing w:val="33"/>
          <w:sz w:val="20"/>
          <w:szCs w:val="20"/>
        </w:rPr>
        <w:t xml:space="preserve"> </w:t>
      </w:r>
      <w:r w:rsidRPr="00B004EE">
        <w:rPr>
          <w:rFonts w:ascii="Tahoma" w:hAnsi="Tahoma" w:cs="Tahoma"/>
          <w:sz w:val="20"/>
          <w:szCs w:val="20"/>
        </w:rPr>
        <w:t>des</w:t>
      </w:r>
      <w:r w:rsidR="00DB1635" w:rsidRPr="00B004EE">
        <w:rPr>
          <w:rFonts w:ascii="Tahoma" w:hAnsi="Tahoma" w:cs="Tahoma"/>
          <w:spacing w:val="32"/>
          <w:sz w:val="20"/>
          <w:szCs w:val="20"/>
        </w:rPr>
        <w:t xml:space="preserve"> </w:t>
      </w:r>
      <w:r w:rsidRPr="00B004EE">
        <w:rPr>
          <w:rFonts w:ascii="Tahoma" w:hAnsi="Tahoma" w:cs="Tahoma"/>
          <w:sz w:val="20"/>
          <w:szCs w:val="20"/>
        </w:rPr>
        <w:t>eaux</w:t>
      </w:r>
      <w:r w:rsidR="00DB1635" w:rsidRPr="00B004EE">
        <w:rPr>
          <w:rFonts w:ascii="Tahoma" w:hAnsi="Tahoma" w:cs="Tahoma"/>
          <w:spacing w:val="33"/>
          <w:sz w:val="20"/>
          <w:szCs w:val="20"/>
        </w:rPr>
        <w:t xml:space="preserve"> </w:t>
      </w:r>
      <w:r w:rsidRPr="00B004EE">
        <w:rPr>
          <w:rFonts w:ascii="Tahoma" w:hAnsi="Tahoma" w:cs="Tahoma"/>
          <w:sz w:val="20"/>
          <w:szCs w:val="20"/>
        </w:rPr>
        <w:t>sous</w:t>
      </w:r>
      <w:r w:rsidR="00DB1635" w:rsidRPr="00B004EE">
        <w:rPr>
          <w:rFonts w:ascii="Tahoma" w:hAnsi="Tahoma" w:cs="Tahoma"/>
          <w:spacing w:val="30"/>
          <w:sz w:val="20"/>
          <w:szCs w:val="20"/>
        </w:rPr>
        <w:t xml:space="preserve"> </w:t>
      </w:r>
      <w:r w:rsidRPr="00B004EE">
        <w:rPr>
          <w:rFonts w:ascii="Tahoma" w:hAnsi="Tahoma" w:cs="Tahoma"/>
          <w:sz w:val="20"/>
          <w:szCs w:val="20"/>
        </w:rPr>
        <w:t>juridiction</w:t>
      </w:r>
      <w:r w:rsidR="00DB1635" w:rsidRPr="00B004EE">
        <w:rPr>
          <w:rFonts w:ascii="Tahoma" w:hAnsi="Tahoma" w:cs="Tahoma"/>
          <w:spacing w:val="30"/>
          <w:sz w:val="20"/>
          <w:szCs w:val="20"/>
        </w:rPr>
        <w:t xml:space="preserve"> </w:t>
      </w:r>
      <w:r w:rsidRPr="00B004EE">
        <w:rPr>
          <w:rFonts w:ascii="Tahoma" w:hAnsi="Tahoma" w:cs="Tahoma"/>
          <w:sz w:val="20"/>
          <w:szCs w:val="20"/>
        </w:rPr>
        <w:t>mauritanienne</w:t>
      </w:r>
      <w:r w:rsidR="00DB1635" w:rsidRPr="00B004EE">
        <w:rPr>
          <w:rFonts w:ascii="Tahoma" w:hAnsi="Tahoma" w:cs="Tahoma"/>
          <w:spacing w:val="30"/>
          <w:sz w:val="20"/>
          <w:szCs w:val="20"/>
        </w:rPr>
        <w:t xml:space="preserve"> </w:t>
      </w:r>
      <w:r w:rsidRPr="00B004EE">
        <w:rPr>
          <w:rFonts w:ascii="Tahoma" w:hAnsi="Tahoma" w:cs="Tahoma"/>
          <w:sz w:val="20"/>
          <w:szCs w:val="20"/>
        </w:rPr>
        <w:t>sans</w:t>
      </w:r>
      <w:r w:rsidR="00DB1635" w:rsidRPr="00B004EE">
        <w:rPr>
          <w:rFonts w:ascii="Tahoma" w:hAnsi="Tahoma" w:cs="Tahoma"/>
          <w:spacing w:val="30"/>
          <w:sz w:val="20"/>
          <w:szCs w:val="20"/>
        </w:rPr>
        <w:t xml:space="preserve"> </w:t>
      </w:r>
      <w:r w:rsidRPr="00B004EE">
        <w:rPr>
          <w:rFonts w:ascii="Tahoma" w:hAnsi="Tahoma" w:cs="Tahoma"/>
          <w:sz w:val="20"/>
          <w:szCs w:val="20"/>
        </w:rPr>
        <w:t>y</w:t>
      </w:r>
      <w:r w:rsidR="00DB1635" w:rsidRPr="00B004EE">
        <w:rPr>
          <w:rFonts w:ascii="Tahoma" w:hAnsi="Tahoma" w:cs="Tahoma"/>
          <w:spacing w:val="31"/>
          <w:sz w:val="20"/>
          <w:szCs w:val="20"/>
        </w:rPr>
        <w:t xml:space="preserve"> </w:t>
      </w:r>
      <w:r w:rsidRPr="00B004EE">
        <w:rPr>
          <w:rFonts w:ascii="Tahoma" w:hAnsi="Tahoma" w:cs="Tahoma"/>
          <w:sz w:val="20"/>
          <w:szCs w:val="20"/>
        </w:rPr>
        <w:t>avoir</w:t>
      </w:r>
      <w:r w:rsidR="00DB1635" w:rsidRPr="00B004EE">
        <w:rPr>
          <w:rFonts w:ascii="Tahoma" w:hAnsi="Tahoma" w:cs="Tahoma"/>
          <w:spacing w:val="30"/>
          <w:sz w:val="20"/>
          <w:szCs w:val="20"/>
        </w:rPr>
        <w:t xml:space="preserve"> </w:t>
      </w:r>
      <w:r w:rsidRPr="00B004EE">
        <w:rPr>
          <w:rFonts w:ascii="Tahoma" w:hAnsi="Tahoma" w:cs="Tahoma"/>
          <w:sz w:val="20"/>
          <w:szCs w:val="20"/>
        </w:rPr>
        <w:t>été</w:t>
      </w:r>
      <w:r w:rsidR="00DB1635" w:rsidRPr="00B004EE">
        <w:rPr>
          <w:rFonts w:ascii="Tahoma" w:hAnsi="Tahoma" w:cs="Tahoma"/>
          <w:w w:val="95"/>
          <w:sz w:val="20"/>
          <w:szCs w:val="20"/>
        </w:rPr>
        <w:t xml:space="preserve"> </w:t>
      </w:r>
      <w:r w:rsidRPr="00B004EE">
        <w:rPr>
          <w:rFonts w:ascii="Tahoma" w:hAnsi="Tahoma" w:cs="Tahoma"/>
          <w:sz w:val="20"/>
          <w:szCs w:val="20"/>
        </w:rPr>
        <w:t>dûment</w:t>
      </w:r>
      <w:r w:rsidR="00DB1635" w:rsidRPr="00B004EE">
        <w:rPr>
          <w:rFonts w:ascii="Tahoma" w:hAnsi="Tahoma" w:cs="Tahoma"/>
          <w:spacing w:val="25"/>
          <w:sz w:val="20"/>
          <w:szCs w:val="20"/>
        </w:rPr>
        <w:t xml:space="preserve"> </w:t>
      </w:r>
      <w:r w:rsidRPr="00B004EE">
        <w:rPr>
          <w:rFonts w:ascii="Tahoma" w:hAnsi="Tahoma" w:cs="Tahoma"/>
          <w:sz w:val="20"/>
          <w:szCs w:val="20"/>
        </w:rPr>
        <w:t>autorisé</w:t>
      </w:r>
      <w:r w:rsidR="00DB1635" w:rsidRPr="00B004EE">
        <w:rPr>
          <w:rFonts w:ascii="Tahoma" w:hAnsi="Tahoma" w:cs="Tahoma"/>
          <w:spacing w:val="24"/>
          <w:sz w:val="20"/>
          <w:szCs w:val="20"/>
        </w:rPr>
        <w:t xml:space="preserve"> </w:t>
      </w:r>
      <w:r w:rsidRPr="00B004EE">
        <w:rPr>
          <w:rFonts w:ascii="Tahoma" w:hAnsi="Tahoma" w:cs="Tahoma"/>
          <w:sz w:val="20"/>
          <w:szCs w:val="20"/>
        </w:rPr>
        <w:t>conformément</w:t>
      </w:r>
      <w:r w:rsidR="00DB1635" w:rsidRPr="00B004EE">
        <w:rPr>
          <w:rFonts w:ascii="Tahoma" w:hAnsi="Tahoma" w:cs="Tahoma"/>
          <w:spacing w:val="26"/>
          <w:sz w:val="20"/>
          <w:szCs w:val="20"/>
        </w:rPr>
        <w:t xml:space="preserve"> </w:t>
      </w:r>
      <w:r w:rsidRPr="00B004EE">
        <w:rPr>
          <w:rFonts w:ascii="Tahoma" w:hAnsi="Tahoma" w:cs="Tahoma"/>
          <w:sz w:val="20"/>
          <w:szCs w:val="20"/>
        </w:rPr>
        <w:t>à</w:t>
      </w:r>
      <w:r w:rsidR="00DB1635" w:rsidRPr="00B004EE">
        <w:rPr>
          <w:rFonts w:ascii="Tahoma" w:hAnsi="Tahoma" w:cs="Tahoma"/>
          <w:spacing w:val="23"/>
          <w:sz w:val="20"/>
          <w:szCs w:val="20"/>
        </w:rPr>
        <w:t xml:space="preserve"> </w:t>
      </w:r>
      <w:r w:rsidRPr="00B004EE">
        <w:rPr>
          <w:rFonts w:ascii="Tahoma" w:hAnsi="Tahoma" w:cs="Tahoma"/>
          <w:sz w:val="20"/>
          <w:szCs w:val="20"/>
        </w:rPr>
        <w:t>l'article</w:t>
      </w:r>
      <w:r w:rsidR="00DB1635" w:rsidRPr="00B004EE">
        <w:rPr>
          <w:rFonts w:ascii="Tahoma" w:hAnsi="Tahoma" w:cs="Tahoma"/>
          <w:spacing w:val="-12"/>
          <w:sz w:val="20"/>
          <w:szCs w:val="20"/>
        </w:rPr>
        <w:t xml:space="preserve"> </w:t>
      </w:r>
      <w:r w:rsidRPr="00B004EE">
        <w:rPr>
          <w:rFonts w:ascii="Tahoma" w:hAnsi="Tahoma" w:cs="Tahoma"/>
          <w:sz w:val="20"/>
          <w:szCs w:val="20"/>
        </w:rPr>
        <w:t>23</w:t>
      </w:r>
      <w:r w:rsidR="00DB1635" w:rsidRPr="00B004EE">
        <w:rPr>
          <w:rFonts w:ascii="Tahoma" w:hAnsi="Tahoma" w:cs="Tahoma"/>
          <w:spacing w:val="24"/>
          <w:sz w:val="20"/>
          <w:szCs w:val="20"/>
        </w:rPr>
        <w:t xml:space="preserve"> </w:t>
      </w:r>
      <w:r w:rsidRPr="00B004EE">
        <w:rPr>
          <w:rFonts w:ascii="Tahoma" w:hAnsi="Tahoma" w:cs="Tahoma"/>
          <w:sz w:val="20"/>
          <w:szCs w:val="20"/>
        </w:rPr>
        <w:t>de</w:t>
      </w:r>
      <w:r w:rsidR="00DB1635" w:rsidRPr="00B004EE">
        <w:rPr>
          <w:rFonts w:ascii="Tahoma" w:hAnsi="Tahoma" w:cs="Tahoma"/>
          <w:spacing w:val="23"/>
          <w:sz w:val="20"/>
          <w:szCs w:val="20"/>
        </w:rPr>
        <w:t xml:space="preserve"> </w:t>
      </w:r>
      <w:r w:rsidRPr="00B004EE">
        <w:rPr>
          <w:rFonts w:ascii="Tahoma" w:hAnsi="Tahoma" w:cs="Tahoma"/>
          <w:sz w:val="20"/>
          <w:szCs w:val="20"/>
        </w:rPr>
        <w:t>la</w:t>
      </w:r>
      <w:r w:rsidR="00DB1635" w:rsidRPr="00B004EE">
        <w:rPr>
          <w:rFonts w:ascii="Tahoma" w:hAnsi="Tahoma" w:cs="Tahoma"/>
          <w:spacing w:val="23"/>
          <w:sz w:val="20"/>
          <w:szCs w:val="20"/>
        </w:rPr>
        <w:t xml:space="preserve"> </w:t>
      </w:r>
      <w:r w:rsidRPr="00B004EE">
        <w:rPr>
          <w:rFonts w:ascii="Tahoma" w:hAnsi="Tahoma" w:cs="Tahoma"/>
          <w:sz w:val="20"/>
          <w:szCs w:val="20"/>
        </w:rPr>
        <w:t>présente</w:t>
      </w:r>
      <w:r w:rsidR="00DB1635" w:rsidRPr="00B004EE">
        <w:rPr>
          <w:rFonts w:ascii="Tahoma" w:hAnsi="Tahoma" w:cs="Tahoma"/>
          <w:spacing w:val="23"/>
          <w:sz w:val="20"/>
          <w:szCs w:val="20"/>
        </w:rPr>
        <w:t xml:space="preserve"> </w:t>
      </w:r>
      <w:r w:rsidRPr="00B004EE">
        <w:rPr>
          <w:rFonts w:ascii="Tahoma" w:hAnsi="Tahoma" w:cs="Tahoma"/>
          <w:sz w:val="20"/>
          <w:szCs w:val="20"/>
        </w:rPr>
        <w:t>Loi,</w:t>
      </w:r>
      <w:r w:rsidR="00DB1635" w:rsidRPr="00B004EE">
        <w:rPr>
          <w:rFonts w:ascii="Tahoma" w:hAnsi="Tahoma" w:cs="Tahoma"/>
          <w:spacing w:val="23"/>
          <w:sz w:val="20"/>
          <w:szCs w:val="20"/>
        </w:rPr>
        <w:t xml:space="preserve"> </w:t>
      </w:r>
      <w:r w:rsidRPr="00B004EE">
        <w:rPr>
          <w:rFonts w:ascii="Tahoma" w:hAnsi="Tahoma" w:cs="Tahoma"/>
          <w:sz w:val="20"/>
          <w:szCs w:val="20"/>
        </w:rPr>
        <w:t>sera</w:t>
      </w:r>
      <w:r w:rsidR="00DB1635" w:rsidRPr="00B004EE">
        <w:rPr>
          <w:rFonts w:ascii="Tahoma" w:hAnsi="Tahoma" w:cs="Tahoma"/>
          <w:spacing w:val="23"/>
          <w:sz w:val="20"/>
          <w:szCs w:val="20"/>
        </w:rPr>
        <w:t xml:space="preserve"> </w:t>
      </w:r>
      <w:r w:rsidRPr="00B004EE">
        <w:rPr>
          <w:rFonts w:ascii="Tahoma" w:hAnsi="Tahoma" w:cs="Tahoma"/>
          <w:sz w:val="20"/>
          <w:szCs w:val="20"/>
        </w:rPr>
        <w:t>confisqué</w:t>
      </w:r>
      <w:r w:rsidR="00DB1635" w:rsidRPr="00B004EE">
        <w:rPr>
          <w:rFonts w:ascii="Tahoma" w:hAnsi="Tahoma" w:cs="Tahoma"/>
          <w:w w:val="96"/>
          <w:sz w:val="20"/>
          <w:szCs w:val="20"/>
        </w:rPr>
        <w:t xml:space="preserve"> </w:t>
      </w:r>
      <w:r w:rsidRPr="00B004EE">
        <w:rPr>
          <w:rFonts w:ascii="Tahoma" w:hAnsi="Tahoma" w:cs="Tahoma"/>
          <w:sz w:val="20"/>
          <w:szCs w:val="20"/>
        </w:rPr>
        <w:t>d'office,</w:t>
      </w:r>
      <w:r w:rsidR="00DB1635" w:rsidRPr="00B004EE">
        <w:rPr>
          <w:rFonts w:ascii="Tahoma" w:hAnsi="Tahoma" w:cs="Tahoma"/>
          <w:spacing w:val="40"/>
          <w:sz w:val="20"/>
          <w:szCs w:val="20"/>
        </w:rPr>
        <w:t xml:space="preserve"> </w:t>
      </w:r>
      <w:r w:rsidRPr="00B004EE">
        <w:rPr>
          <w:rFonts w:ascii="Tahoma" w:hAnsi="Tahoma" w:cs="Tahoma"/>
          <w:sz w:val="20"/>
          <w:szCs w:val="20"/>
        </w:rPr>
        <w:t>avec</w:t>
      </w:r>
      <w:r w:rsidR="00DB1635" w:rsidRPr="00B004EE">
        <w:rPr>
          <w:rFonts w:ascii="Tahoma" w:hAnsi="Tahoma" w:cs="Tahoma"/>
          <w:spacing w:val="39"/>
          <w:sz w:val="20"/>
          <w:szCs w:val="20"/>
        </w:rPr>
        <w:t xml:space="preserve"> </w:t>
      </w:r>
      <w:r w:rsidRPr="00B004EE">
        <w:rPr>
          <w:rFonts w:ascii="Tahoma" w:hAnsi="Tahoma" w:cs="Tahoma"/>
          <w:sz w:val="20"/>
          <w:szCs w:val="20"/>
        </w:rPr>
        <w:t>ses</w:t>
      </w:r>
      <w:r w:rsidR="00DB1635" w:rsidRPr="00B004EE">
        <w:rPr>
          <w:rFonts w:ascii="Tahoma" w:hAnsi="Tahoma" w:cs="Tahoma"/>
          <w:spacing w:val="39"/>
          <w:sz w:val="20"/>
          <w:szCs w:val="20"/>
        </w:rPr>
        <w:t xml:space="preserve"> </w:t>
      </w:r>
      <w:r w:rsidRPr="00B004EE">
        <w:rPr>
          <w:rFonts w:ascii="Tahoma" w:hAnsi="Tahoma" w:cs="Tahoma"/>
          <w:sz w:val="20"/>
          <w:szCs w:val="20"/>
        </w:rPr>
        <w:t>filets,</w:t>
      </w:r>
      <w:r w:rsidR="00DB1635" w:rsidRPr="00B004EE">
        <w:rPr>
          <w:rFonts w:ascii="Tahoma" w:hAnsi="Tahoma" w:cs="Tahoma"/>
          <w:spacing w:val="39"/>
          <w:sz w:val="20"/>
          <w:szCs w:val="20"/>
        </w:rPr>
        <w:t xml:space="preserve"> </w:t>
      </w:r>
      <w:r w:rsidRPr="00B004EE">
        <w:rPr>
          <w:rFonts w:ascii="Tahoma" w:hAnsi="Tahoma" w:cs="Tahoma"/>
          <w:sz w:val="20"/>
          <w:szCs w:val="20"/>
        </w:rPr>
        <w:t>engins</w:t>
      </w:r>
      <w:r w:rsidR="00DB1635" w:rsidRPr="00B004EE">
        <w:rPr>
          <w:rFonts w:ascii="Tahoma" w:hAnsi="Tahoma" w:cs="Tahoma"/>
          <w:spacing w:val="37"/>
          <w:sz w:val="20"/>
          <w:szCs w:val="20"/>
        </w:rPr>
        <w:t xml:space="preserve"> </w:t>
      </w:r>
      <w:r w:rsidRPr="00B004EE">
        <w:rPr>
          <w:rFonts w:ascii="Tahoma" w:hAnsi="Tahoma" w:cs="Tahoma"/>
          <w:sz w:val="20"/>
          <w:szCs w:val="20"/>
        </w:rPr>
        <w:t>et</w:t>
      </w:r>
      <w:r w:rsidR="00DB1635" w:rsidRPr="00B004EE">
        <w:rPr>
          <w:rFonts w:ascii="Tahoma" w:hAnsi="Tahoma" w:cs="Tahoma"/>
          <w:spacing w:val="38"/>
          <w:sz w:val="20"/>
          <w:szCs w:val="20"/>
        </w:rPr>
        <w:t xml:space="preserve"> </w:t>
      </w:r>
      <w:r w:rsidRPr="00B004EE">
        <w:rPr>
          <w:rFonts w:ascii="Tahoma" w:hAnsi="Tahoma" w:cs="Tahoma"/>
          <w:sz w:val="20"/>
          <w:szCs w:val="20"/>
        </w:rPr>
        <w:t>produits</w:t>
      </w:r>
      <w:r w:rsidR="00DB1635" w:rsidRPr="00B004EE">
        <w:rPr>
          <w:rFonts w:ascii="Tahoma" w:hAnsi="Tahoma" w:cs="Tahoma"/>
          <w:spacing w:val="37"/>
          <w:sz w:val="20"/>
          <w:szCs w:val="20"/>
        </w:rPr>
        <w:t xml:space="preserve"> </w:t>
      </w:r>
      <w:r w:rsidRPr="00B004EE">
        <w:rPr>
          <w:rFonts w:ascii="Tahoma" w:hAnsi="Tahoma" w:cs="Tahoma"/>
          <w:sz w:val="20"/>
          <w:szCs w:val="20"/>
        </w:rPr>
        <w:t>de</w:t>
      </w:r>
      <w:r w:rsidR="00DB1635" w:rsidRPr="00B004EE">
        <w:rPr>
          <w:rFonts w:ascii="Tahoma" w:hAnsi="Tahoma" w:cs="Tahoma"/>
          <w:spacing w:val="38"/>
          <w:sz w:val="20"/>
          <w:szCs w:val="20"/>
        </w:rPr>
        <w:t xml:space="preserve"> </w:t>
      </w:r>
      <w:r w:rsidRPr="00B004EE">
        <w:rPr>
          <w:rFonts w:ascii="Tahoma" w:hAnsi="Tahoma" w:cs="Tahoma"/>
          <w:sz w:val="20"/>
          <w:szCs w:val="20"/>
        </w:rPr>
        <w:t>l</w:t>
      </w:r>
      <w:r w:rsidRPr="00B004EE">
        <w:rPr>
          <w:rFonts w:ascii="Tahoma" w:eastAsia="American Typewriter" w:hAnsi="Tahoma" w:cs="Tahoma"/>
          <w:sz w:val="20"/>
          <w:szCs w:val="20"/>
        </w:rPr>
        <w:t>a</w:t>
      </w:r>
      <w:r w:rsidR="00DB1635" w:rsidRPr="00B004EE">
        <w:rPr>
          <w:rFonts w:ascii="Tahoma" w:eastAsia="American Typewriter" w:hAnsi="Tahoma" w:cs="Tahoma"/>
          <w:spacing w:val="38"/>
          <w:sz w:val="20"/>
          <w:szCs w:val="20"/>
        </w:rPr>
        <w:t xml:space="preserve"> </w:t>
      </w:r>
      <w:r w:rsidRPr="00B004EE">
        <w:rPr>
          <w:rFonts w:ascii="Tahoma" w:eastAsia="American Typewriter" w:hAnsi="Tahoma" w:cs="Tahoma"/>
          <w:sz w:val="20"/>
          <w:szCs w:val="20"/>
        </w:rPr>
        <w:t>pêche,</w:t>
      </w:r>
      <w:r w:rsidR="00DB1635" w:rsidRPr="00B004EE">
        <w:rPr>
          <w:rFonts w:ascii="Tahoma" w:eastAsia="American Typewriter" w:hAnsi="Tahoma" w:cs="Tahoma"/>
          <w:spacing w:val="38"/>
          <w:sz w:val="20"/>
          <w:szCs w:val="20"/>
        </w:rPr>
        <w:t xml:space="preserve"> </w:t>
      </w:r>
      <w:r w:rsidRPr="00B004EE">
        <w:rPr>
          <w:rFonts w:ascii="Tahoma" w:eastAsia="American Typewriter" w:hAnsi="Tahoma" w:cs="Tahoma"/>
          <w:sz w:val="20"/>
          <w:szCs w:val="20"/>
        </w:rPr>
        <w:t>au</w:t>
      </w:r>
      <w:r w:rsidR="00DB1635" w:rsidRPr="00B004EE">
        <w:rPr>
          <w:rFonts w:ascii="Tahoma" w:eastAsia="American Typewriter" w:hAnsi="Tahoma" w:cs="Tahoma"/>
          <w:spacing w:val="37"/>
          <w:sz w:val="20"/>
          <w:szCs w:val="20"/>
        </w:rPr>
        <w:t xml:space="preserve"> </w:t>
      </w:r>
      <w:r w:rsidRPr="00B004EE">
        <w:rPr>
          <w:rFonts w:ascii="Tahoma" w:eastAsia="American Typewriter" w:hAnsi="Tahoma" w:cs="Tahoma"/>
          <w:sz w:val="20"/>
          <w:szCs w:val="20"/>
        </w:rPr>
        <w:t>profit</w:t>
      </w:r>
      <w:r w:rsidR="00DB1635" w:rsidRPr="00B004EE">
        <w:rPr>
          <w:rFonts w:ascii="Tahoma" w:eastAsia="American Typewriter" w:hAnsi="Tahoma" w:cs="Tahoma"/>
          <w:spacing w:val="38"/>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pacing w:val="38"/>
          <w:sz w:val="20"/>
          <w:szCs w:val="20"/>
        </w:rPr>
        <w:t xml:space="preserve"> </w:t>
      </w:r>
      <w:r w:rsidRPr="00B004EE">
        <w:rPr>
          <w:rFonts w:ascii="Tahoma" w:eastAsia="American Typewriter" w:hAnsi="Tahoma" w:cs="Tahoma"/>
          <w:sz w:val="20"/>
          <w:szCs w:val="20"/>
        </w:rPr>
        <w:t>l’État,</w:t>
      </w:r>
      <w:r w:rsidR="00DB1635" w:rsidRPr="00B004EE">
        <w:rPr>
          <w:rFonts w:ascii="Tahoma" w:eastAsia="American Typewriter" w:hAnsi="Tahoma" w:cs="Tahoma"/>
          <w:spacing w:val="38"/>
          <w:sz w:val="20"/>
          <w:szCs w:val="20"/>
        </w:rPr>
        <w:t xml:space="preserve"> </w:t>
      </w:r>
      <w:r w:rsidRPr="00B004EE">
        <w:rPr>
          <w:rFonts w:ascii="Tahoma" w:eastAsia="American Typewriter" w:hAnsi="Tahoma" w:cs="Tahoma"/>
          <w:sz w:val="20"/>
          <w:szCs w:val="20"/>
        </w:rPr>
        <w:t>sur</w:t>
      </w:r>
      <w:r w:rsidR="00DB1635" w:rsidRPr="00B004EE">
        <w:rPr>
          <w:rFonts w:ascii="Tahoma" w:eastAsia="American Typewriter" w:hAnsi="Tahoma" w:cs="Tahoma"/>
          <w:w w:val="90"/>
          <w:sz w:val="20"/>
          <w:szCs w:val="20"/>
        </w:rPr>
        <w:t xml:space="preserve"> </w:t>
      </w:r>
      <w:r w:rsidRPr="00B004EE">
        <w:rPr>
          <w:rFonts w:ascii="Tahoma" w:hAnsi="Tahoma" w:cs="Tahoma"/>
          <w:sz w:val="20"/>
          <w:szCs w:val="20"/>
        </w:rPr>
        <w:t>décision</w:t>
      </w:r>
      <w:r w:rsidR="00DB1635" w:rsidRPr="00B004EE">
        <w:rPr>
          <w:rFonts w:ascii="Tahoma" w:hAnsi="Tahoma" w:cs="Tahoma"/>
          <w:spacing w:val="-36"/>
          <w:sz w:val="20"/>
          <w:szCs w:val="20"/>
        </w:rPr>
        <w:t xml:space="preserve"> </w:t>
      </w:r>
      <w:r w:rsidRPr="00B004EE">
        <w:rPr>
          <w:rFonts w:ascii="Tahoma" w:hAnsi="Tahoma" w:cs="Tahoma"/>
          <w:sz w:val="20"/>
          <w:szCs w:val="20"/>
        </w:rPr>
        <w:t>du</w:t>
      </w:r>
      <w:r w:rsidR="00DB1635" w:rsidRPr="00B004EE">
        <w:rPr>
          <w:rFonts w:ascii="Tahoma" w:hAnsi="Tahoma" w:cs="Tahoma"/>
          <w:spacing w:val="-37"/>
          <w:sz w:val="20"/>
          <w:szCs w:val="20"/>
        </w:rPr>
        <w:t xml:space="preserve"> </w:t>
      </w:r>
      <w:r w:rsidRPr="00B004EE">
        <w:rPr>
          <w:rFonts w:ascii="Tahoma" w:hAnsi="Tahoma" w:cs="Tahoma"/>
          <w:sz w:val="20"/>
          <w:szCs w:val="20"/>
        </w:rPr>
        <w:t>Ministre</w:t>
      </w:r>
      <w:r w:rsidR="00DB1635" w:rsidRPr="00B004EE">
        <w:rPr>
          <w:rFonts w:ascii="Tahoma" w:hAnsi="Tahoma" w:cs="Tahoma"/>
          <w:spacing w:val="-37"/>
          <w:sz w:val="20"/>
          <w:szCs w:val="20"/>
        </w:rPr>
        <w:t xml:space="preserve"> </w:t>
      </w:r>
      <w:r w:rsidRPr="00B004EE">
        <w:rPr>
          <w:rFonts w:ascii="Tahoma" w:hAnsi="Tahoma" w:cs="Tahoma"/>
          <w:sz w:val="20"/>
          <w:szCs w:val="20"/>
        </w:rPr>
        <w:t>chargé</w:t>
      </w:r>
      <w:r w:rsidR="00DB1635" w:rsidRPr="00B004EE">
        <w:rPr>
          <w:rFonts w:ascii="Tahoma" w:hAnsi="Tahoma" w:cs="Tahoma"/>
          <w:spacing w:val="-37"/>
          <w:sz w:val="20"/>
          <w:szCs w:val="20"/>
        </w:rPr>
        <w:t xml:space="preserve"> </w:t>
      </w:r>
      <w:r w:rsidRPr="00B004EE">
        <w:rPr>
          <w:rFonts w:ascii="Tahoma" w:hAnsi="Tahoma" w:cs="Tahoma"/>
          <w:sz w:val="20"/>
          <w:szCs w:val="20"/>
        </w:rPr>
        <w:t>des</w:t>
      </w:r>
      <w:r w:rsidR="00DB1635" w:rsidRPr="00B004EE">
        <w:rPr>
          <w:rFonts w:ascii="Tahoma" w:hAnsi="Tahoma" w:cs="Tahoma"/>
          <w:spacing w:val="-37"/>
          <w:sz w:val="20"/>
          <w:szCs w:val="20"/>
        </w:rPr>
        <w:t xml:space="preserve"> </w:t>
      </w:r>
      <w:r w:rsidRPr="00B004EE">
        <w:rPr>
          <w:rFonts w:ascii="Tahoma" w:hAnsi="Tahoma" w:cs="Tahoma"/>
          <w:sz w:val="20"/>
          <w:szCs w:val="20"/>
        </w:rPr>
        <w:t>pêches,</w:t>
      </w:r>
      <w:r w:rsidR="00DB1635" w:rsidRPr="00B004EE">
        <w:rPr>
          <w:rFonts w:ascii="Tahoma" w:hAnsi="Tahoma" w:cs="Tahoma"/>
          <w:spacing w:val="-36"/>
          <w:sz w:val="20"/>
          <w:szCs w:val="20"/>
        </w:rPr>
        <w:t xml:space="preserve"> </w:t>
      </w:r>
      <w:r w:rsidRPr="00B004EE">
        <w:rPr>
          <w:rFonts w:ascii="Tahoma" w:hAnsi="Tahoma" w:cs="Tahoma"/>
          <w:sz w:val="20"/>
          <w:szCs w:val="20"/>
        </w:rPr>
        <w:t>non</w:t>
      </w:r>
      <w:r w:rsidR="00DB1635" w:rsidRPr="00B004EE">
        <w:rPr>
          <w:rFonts w:ascii="Tahoma" w:hAnsi="Tahoma" w:cs="Tahoma"/>
          <w:spacing w:val="-37"/>
          <w:sz w:val="20"/>
          <w:szCs w:val="20"/>
        </w:rPr>
        <w:t xml:space="preserve"> </w:t>
      </w:r>
      <w:r w:rsidRPr="00B004EE">
        <w:rPr>
          <w:rFonts w:ascii="Tahoma" w:hAnsi="Tahoma" w:cs="Tahoma"/>
          <w:sz w:val="20"/>
          <w:szCs w:val="20"/>
        </w:rPr>
        <w:t>susceptible</w:t>
      </w:r>
      <w:r w:rsidR="00DB1635" w:rsidRPr="00B004EE">
        <w:rPr>
          <w:rFonts w:ascii="Tahoma" w:hAnsi="Tahoma" w:cs="Tahoma"/>
          <w:spacing w:val="-37"/>
          <w:sz w:val="20"/>
          <w:szCs w:val="20"/>
        </w:rPr>
        <w:t xml:space="preserve"> </w:t>
      </w:r>
      <w:r w:rsidRPr="00B004EE">
        <w:rPr>
          <w:rFonts w:ascii="Tahoma" w:hAnsi="Tahoma" w:cs="Tahoma"/>
          <w:sz w:val="20"/>
          <w:szCs w:val="20"/>
        </w:rPr>
        <w:t>de</w:t>
      </w:r>
      <w:r w:rsidR="00DB1635" w:rsidRPr="00B004EE">
        <w:rPr>
          <w:rFonts w:ascii="Tahoma" w:hAnsi="Tahoma" w:cs="Tahoma"/>
          <w:spacing w:val="-37"/>
          <w:sz w:val="20"/>
          <w:szCs w:val="20"/>
        </w:rPr>
        <w:t xml:space="preserve"> </w:t>
      </w:r>
      <w:r w:rsidRPr="00B004EE">
        <w:rPr>
          <w:rFonts w:ascii="Tahoma" w:hAnsi="Tahoma" w:cs="Tahoma"/>
          <w:sz w:val="20"/>
          <w:szCs w:val="20"/>
        </w:rPr>
        <w:t>recours.</w:t>
      </w:r>
    </w:p>
    <w:p w14:paraId="6C4C6E04" w14:textId="4902B1D3" w:rsidR="001E7C3C" w:rsidRPr="00B004EE" w:rsidRDefault="001E7C3C" w:rsidP="00B004EE">
      <w:pPr>
        <w:pStyle w:val="Corpsdetexte"/>
        <w:ind w:right="157"/>
        <w:rPr>
          <w:rFonts w:ascii="Tahoma" w:hAnsi="Tahoma" w:cs="Tahoma"/>
          <w:sz w:val="20"/>
          <w:szCs w:val="20"/>
        </w:rPr>
      </w:pPr>
      <w:r w:rsidRPr="00B004EE">
        <w:rPr>
          <w:rFonts w:ascii="Tahoma" w:hAnsi="Tahoma" w:cs="Tahoma"/>
          <w:sz w:val="20"/>
          <w:szCs w:val="20"/>
        </w:rPr>
        <w:t>I</w:t>
      </w:r>
      <w:r w:rsidRPr="00B004EE">
        <w:rPr>
          <w:rFonts w:ascii="Tahoma" w:eastAsia="American Typewriter" w:hAnsi="Tahoma" w:cs="Tahoma"/>
          <w:sz w:val="20"/>
          <w:szCs w:val="20"/>
        </w:rPr>
        <w:t>l</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sera</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prononcé</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à</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l’encontre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du</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capitaine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w:t>
      </w:r>
      <w:r w:rsidRPr="00B004EE">
        <w:rPr>
          <w:rFonts w:ascii="Tahoma" w:hAnsi="Tahoma" w:cs="Tahoma"/>
          <w:sz w:val="20"/>
          <w:szCs w:val="20"/>
        </w:rPr>
        <w:t>u</w:t>
      </w:r>
      <w:r w:rsidR="00DB1635" w:rsidRPr="00B004EE">
        <w:rPr>
          <w:rFonts w:ascii="Tahoma" w:hAnsi="Tahoma" w:cs="Tahoma"/>
          <w:sz w:val="20"/>
          <w:szCs w:val="20"/>
        </w:rPr>
        <w:t xml:space="preserve"> </w:t>
      </w:r>
      <w:r w:rsidRPr="00B004EE">
        <w:rPr>
          <w:rFonts w:ascii="Tahoma" w:hAnsi="Tahoma" w:cs="Tahoma"/>
          <w:sz w:val="20"/>
          <w:szCs w:val="20"/>
        </w:rPr>
        <w:t>navire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étranger</w:t>
      </w:r>
      <w:r w:rsidR="00DB1635" w:rsidRPr="00B004EE">
        <w:rPr>
          <w:rFonts w:ascii="Tahoma" w:hAnsi="Tahoma" w:cs="Tahoma"/>
          <w:spacing w:val="37"/>
          <w:sz w:val="20"/>
          <w:szCs w:val="20"/>
        </w:rPr>
        <w:t xml:space="preserve"> </w:t>
      </w:r>
      <w:r w:rsidRPr="00B004EE">
        <w:rPr>
          <w:rFonts w:ascii="Tahoma" w:hAnsi="Tahoma" w:cs="Tahoma"/>
          <w:sz w:val="20"/>
          <w:szCs w:val="20"/>
        </w:rPr>
        <w:t>une</w:t>
      </w:r>
      <w:r w:rsidR="00DB1635" w:rsidRPr="00B004EE">
        <w:rPr>
          <w:rFonts w:ascii="Tahoma" w:hAnsi="Tahoma" w:cs="Tahoma"/>
          <w:w w:val="96"/>
          <w:sz w:val="20"/>
          <w:szCs w:val="20"/>
        </w:rPr>
        <w:t xml:space="preserve"> </w:t>
      </w:r>
      <w:r w:rsidRPr="00B004EE">
        <w:rPr>
          <w:rFonts w:ascii="Tahoma" w:eastAsia="American Typewriter" w:hAnsi="Tahoma" w:cs="Tahoma"/>
          <w:sz w:val="20"/>
          <w:szCs w:val="20"/>
        </w:rPr>
        <w:t>interdiction</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d’exercice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la</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profession</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dans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les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eaux</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sous</w:t>
      </w:r>
      <w:r w:rsidR="00DB1635" w:rsidRPr="00B004EE">
        <w:rPr>
          <w:rFonts w:ascii="Tahoma" w:eastAsia="American Typewriter" w:hAnsi="Tahoma" w:cs="Tahoma"/>
          <w:spacing w:val="57"/>
          <w:sz w:val="20"/>
          <w:szCs w:val="20"/>
        </w:rPr>
        <w:t xml:space="preserve"> </w:t>
      </w:r>
      <w:r w:rsidRPr="00B004EE">
        <w:rPr>
          <w:rFonts w:ascii="Tahoma" w:eastAsia="American Typewriter" w:hAnsi="Tahoma" w:cs="Tahoma"/>
          <w:sz w:val="20"/>
          <w:szCs w:val="20"/>
        </w:rPr>
        <w:t>juridiction</w:t>
      </w:r>
      <w:r w:rsidR="00DB1635" w:rsidRPr="00B004EE">
        <w:rPr>
          <w:rFonts w:ascii="Tahoma" w:eastAsia="American Typewriter" w:hAnsi="Tahoma" w:cs="Tahoma"/>
          <w:w w:val="93"/>
          <w:sz w:val="20"/>
          <w:szCs w:val="20"/>
        </w:rPr>
        <w:t xml:space="preserve"> </w:t>
      </w:r>
      <w:r w:rsidRPr="00B004EE">
        <w:rPr>
          <w:rFonts w:ascii="Tahoma" w:hAnsi="Tahoma" w:cs="Tahoma"/>
          <w:sz w:val="20"/>
          <w:szCs w:val="20"/>
        </w:rPr>
        <w:t>mauritanienne.</w:t>
      </w:r>
    </w:p>
    <w:p w14:paraId="4B2575E1" w14:textId="77777777" w:rsidR="001E7C3C" w:rsidRPr="00B004EE" w:rsidRDefault="001E7C3C" w:rsidP="00B004EE">
      <w:pPr>
        <w:rPr>
          <w:rFonts w:ascii="Tahoma" w:eastAsia="American Typewriter" w:hAnsi="Tahoma" w:cs="Tahoma"/>
          <w:sz w:val="20"/>
          <w:szCs w:val="20"/>
        </w:rPr>
      </w:pPr>
    </w:p>
    <w:p w14:paraId="77281E43" w14:textId="58BA802F" w:rsidR="001E7C3C" w:rsidRPr="00B004EE" w:rsidRDefault="001E7C3C" w:rsidP="00B004EE">
      <w:pPr>
        <w:pStyle w:val="Corpsdetexte"/>
        <w:rPr>
          <w:rFonts w:ascii="Tahoma" w:hAnsi="Tahoma" w:cs="Tahoma"/>
          <w:sz w:val="20"/>
          <w:szCs w:val="20"/>
        </w:rPr>
      </w:pPr>
      <w:r w:rsidRPr="00B004EE">
        <w:rPr>
          <w:rFonts w:ascii="Tahoma" w:hAnsi="Tahoma" w:cs="Tahoma"/>
          <w:sz w:val="20"/>
          <w:szCs w:val="20"/>
        </w:rPr>
        <w:t>En</w:t>
      </w:r>
      <w:r w:rsidR="00DB1635" w:rsidRPr="00B004EE">
        <w:rPr>
          <w:rFonts w:ascii="Tahoma" w:hAnsi="Tahoma" w:cs="Tahoma"/>
          <w:spacing w:val="-21"/>
          <w:sz w:val="20"/>
          <w:szCs w:val="20"/>
        </w:rPr>
        <w:t xml:space="preserve"> </w:t>
      </w:r>
      <w:r w:rsidRPr="00B004EE">
        <w:rPr>
          <w:rFonts w:ascii="Tahoma" w:hAnsi="Tahoma" w:cs="Tahoma"/>
          <w:sz w:val="20"/>
          <w:szCs w:val="20"/>
        </w:rPr>
        <w:t>outre,</w:t>
      </w:r>
      <w:r w:rsidR="00DB1635" w:rsidRPr="00B004EE">
        <w:rPr>
          <w:rFonts w:ascii="Tahoma" w:hAnsi="Tahoma" w:cs="Tahoma"/>
          <w:spacing w:val="-21"/>
          <w:sz w:val="20"/>
          <w:szCs w:val="20"/>
        </w:rPr>
        <w:t xml:space="preserve"> </w:t>
      </w:r>
      <w:r w:rsidRPr="00B004EE">
        <w:rPr>
          <w:rFonts w:ascii="Tahoma" w:hAnsi="Tahoma" w:cs="Tahoma"/>
          <w:sz w:val="20"/>
          <w:szCs w:val="20"/>
        </w:rPr>
        <w:t>il</w:t>
      </w:r>
      <w:r w:rsidR="00DB1635" w:rsidRPr="00B004EE">
        <w:rPr>
          <w:rFonts w:ascii="Tahoma" w:hAnsi="Tahoma" w:cs="Tahoma"/>
          <w:spacing w:val="-21"/>
          <w:sz w:val="20"/>
          <w:szCs w:val="20"/>
        </w:rPr>
        <w:t xml:space="preserve"> </w:t>
      </w:r>
      <w:r w:rsidRPr="00B004EE">
        <w:rPr>
          <w:rFonts w:ascii="Tahoma" w:hAnsi="Tahoma" w:cs="Tahoma"/>
          <w:sz w:val="20"/>
          <w:szCs w:val="20"/>
        </w:rPr>
        <w:t>sera</w:t>
      </w:r>
      <w:r w:rsidR="00DB1635" w:rsidRPr="00B004EE">
        <w:rPr>
          <w:rFonts w:ascii="Tahoma" w:hAnsi="Tahoma" w:cs="Tahoma"/>
          <w:spacing w:val="-21"/>
          <w:sz w:val="20"/>
          <w:szCs w:val="20"/>
        </w:rPr>
        <w:t xml:space="preserve"> </w:t>
      </w:r>
      <w:r w:rsidRPr="00B004EE">
        <w:rPr>
          <w:rFonts w:ascii="Tahoma" w:hAnsi="Tahoma" w:cs="Tahoma"/>
          <w:sz w:val="20"/>
          <w:szCs w:val="20"/>
        </w:rPr>
        <w:t>prononcé</w:t>
      </w:r>
      <w:r w:rsidR="00DB1635" w:rsidRPr="00B004EE">
        <w:rPr>
          <w:rFonts w:ascii="Tahoma" w:hAnsi="Tahoma" w:cs="Tahoma"/>
          <w:spacing w:val="-20"/>
          <w:sz w:val="20"/>
          <w:szCs w:val="20"/>
        </w:rPr>
        <w:t xml:space="preserve"> </w:t>
      </w:r>
      <w:r w:rsidRPr="00B004EE">
        <w:rPr>
          <w:rFonts w:ascii="Tahoma" w:hAnsi="Tahoma" w:cs="Tahoma"/>
          <w:sz w:val="20"/>
          <w:szCs w:val="20"/>
        </w:rPr>
        <w:t>à</w:t>
      </w:r>
      <w:r w:rsidR="00DB1635" w:rsidRPr="00B004EE">
        <w:rPr>
          <w:rFonts w:ascii="Tahoma" w:hAnsi="Tahoma" w:cs="Tahoma"/>
          <w:spacing w:val="-21"/>
          <w:sz w:val="20"/>
          <w:szCs w:val="20"/>
        </w:rPr>
        <w:t xml:space="preserve"> </w:t>
      </w:r>
      <w:r w:rsidRPr="00B004EE">
        <w:rPr>
          <w:rFonts w:ascii="Tahoma" w:hAnsi="Tahoma" w:cs="Tahoma"/>
          <w:sz w:val="20"/>
          <w:szCs w:val="20"/>
        </w:rPr>
        <w:t>son</w:t>
      </w:r>
      <w:r w:rsidR="00DB1635" w:rsidRPr="00B004EE">
        <w:rPr>
          <w:rFonts w:ascii="Tahoma" w:hAnsi="Tahoma" w:cs="Tahoma"/>
          <w:spacing w:val="-21"/>
          <w:sz w:val="20"/>
          <w:szCs w:val="20"/>
        </w:rPr>
        <w:t xml:space="preserve"> </w:t>
      </w:r>
      <w:r w:rsidRPr="00B004EE">
        <w:rPr>
          <w:rFonts w:ascii="Tahoma" w:hAnsi="Tahoma" w:cs="Tahoma"/>
          <w:sz w:val="20"/>
          <w:szCs w:val="20"/>
        </w:rPr>
        <w:t>encontre</w:t>
      </w:r>
      <w:r w:rsidR="00DB1635" w:rsidRPr="00B004EE">
        <w:rPr>
          <w:rFonts w:ascii="Tahoma" w:hAnsi="Tahoma" w:cs="Tahoma"/>
          <w:spacing w:val="-21"/>
          <w:sz w:val="20"/>
          <w:szCs w:val="20"/>
        </w:rPr>
        <w:t xml:space="preserve"> </w:t>
      </w:r>
      <w:r w:rsidRPr="00B004EE">
        <w:rPr>
          <w:rFonts w:ascii="Tahoma" w:hAnsi="Tahoma" w:cs="Tahoma"/>
          <w:sz w:val="20"/>
          <w:szCs w:val="20"/>
        </w:rPr>
        <w:t>une</w:t>
      </w:r>
      <w:r w:rsidR="00DB1635" w:rsidRPr="00B004EE">
        <w:rPr>
          <w:rFonts w:ascii="Tahoma" w:hAnsi="Tahoma" w:cs="Tahoma"/>
          <w:spacing w:val="-21"/>
          <w:sz w:val="20"/>
          <w:szCs w:val="20"/>
        </w:rPr>
        <w:t xml:space="preserve"> </w:t>
      </w:r>
      <w:r w:rsidRPr="00B004EE">
        <w:rPr>
          <w:rFonts w:ascii="Tahoma" w:hAnsi="Tahoma" w:cs="Tahoma"/>
          <w:sz w:val="20"/>
          <w:szCs w:val="20"/>
        </w:rPr>
        <w:t>amende</w:t>
      </w:r>
      <w:r w:rsidR="00DB1635" w:rsidRPr="00B004EE">
        <w:rPr>
          <w:rFonts w:ascii="Tahoma" w:hAnsi="Tahoma" w:cs="Tahoma"/>
          <w:spacing w:val="-21"/>
          <w:sz w:val="20"/>
          <w:szCs w:val="20"/>
        </w:rPr>
        <w:t xml:space="preserve"> </w:t>
      </w:r>
      <w:r w:rsidRPr="00B004EE">
        <w:rPr>
          <w:rFonts w:ascii="Tahoma" w:hAnsi="Tahoma" w:cs="Tahoma"/>
          <w:sz w:val="20"/>
          <w:szCs w:val="20"/>
        </w:rPr>
        <w:t>de</w:t>
      </w:r>
      <w:r w:rsidR="00DB1635" w:rsidRPr="00B004EE">
        <w:rPr>
          <w:rFonts w:ascii="Tahoma" w:hAnsi="Tahoma" w:cs="Tahoma"/>
          <w:spacing w:val="-21"/>
          <w:sz w:val="20"/>
          <w:szCs w:val="20"/>
        </w:rPr>
        <w:t xml:space="preserve"> </w:t>
      </w:r>
      <w:r w:rsidRPr="00B004EE">
        <w:rPr>
          <w:rFonts w:ascii="Tahoma" w:hAnsi="Tahoma" w:cs="Tahoma"/>
          <w:sz w:val="20"/>
          <w:szCs w:val="20"/>
        </w:rPr>
        <w:t>:</w:t>
      </w:r>
    </w:p>
    <w:p w14:paraId="591DF543" w14:textId="317A2125" w:rsidR="001E7C3C" w:rsidRPr="00B004EE" w:rsidRDefault="001E7C3C" w:rsidP="00420DDA">
      <w:pPr>
        <w:pStyle w:val="Paragraphedeliste"/>
        <w:widowControl w:val="0"/>
        <w:numPr>
          <w:ilvl w:val="0"/>
          <w:numId w:val="72"/>
        </w:numPr>
        <w:tabs>
          <w:tab w:val="left" w:pos="401"/>
          <w:tab w:val="left" w:pos="1134"/>
        </w:tabs>
        <w:ind w:left="426"/>
        <w:rPr>
          <w:rFonts w:ascii="Tahoma" w:eastAsia="American Typewriter" w:hAnsi="Tahoma" w:cs="Tahoma"/>
          <w:sz w:val="20"/>
          <w:szCs w:val="20"/>
        </w:rPr>
      </w:pPr>
      <w:r w:rsidRPr="00B004EE">
        <w:rPr>
          <w:rFonts w:ascii="Tahoma" w:hAnsi="Tahoma" w:cs="Tahoma"/>
          <w:sz w:val="20"/>
          <w:szCs w:val="20"/>
        </w:rPr>
        <w:t>Un</w:t>
      </w:r>
      <w:r w:rsidR="00DB1635" w:rsidRPr="00B004EE">
        <w:rPr>
          <w:rFonts w:ascii="Tahoma" w:hAnsi="Tahoma" w:cs="Tahoma"/>
          <w:spacing w:val="-17"/>
          <w:sz w:val="20"/>
          <w:szCs w:val="20"/>
        </w:rPr>
        <w:t xml:space="preserve"> </w:t>
      </w:r>
      <w:r w:rsidRPr="00B004EE">
        <w:rPr>
          <w:rFonts w:ascii="Tahoma" w:hAnsi="Tahoma" w:cs="Tahoma"/>
          <w:sz w:val="20"/>
          <w:szCs w:val="20"/>
        </w:rPr>
        <w:t>million</w:t>
      </w:r>
      <w:r w:rsidR="00DB1635" w:rsidRPr="00B004EE">
        <w:rPr>
          <w:rFonts w:ascii="Tahoma" w:hAnsi="Tahoma" w:cs="Tahoma"/>
          <w:spacing w:val="-17"/>
          <w:sz w:val="20"/>
          <w:szCs w:val="20"/>
        </w:rPr>
        <w:t xml:space="preserve"> </w:t>
      </w:r>
      <w:r w:rsidRPr="00B004EE">
        <w:rPr>
          <w:rFonts w:ascii="Tahoma" w:hAnsi="Tahoma" w:cs="Tahoma"/>
          <w:sz w:val="20"/>
          <w:szCs w:val="20"/>
        </w:rPr>
        <w:t>(1.000.000)</w:t>
      </w:r>
      <w:r w:rsidR="00DB1635" w:rsidRPr="00B004EE">
        <w:rPr>
          <w:rFonts w:ascii="Tahoma" w:hAnsi="Tahoma" w:cs="Tahoma"/>
          <w:spacing w:val="-17"/>
          <w:sz w:val="20"/>
          <w:szCs w:val="20"/>
        </w:rPr>
        <w:t xml:space="preserve"> </w:t>
      </w:r>
      <w:r w:rsidRPr="00B004EE">
        <w:rPr>
          <w:rFonts w:ascii="Tahoma" w:hAnsi="Tahoma" w:cs="Tahoma"/>
          <w:sz w:val="20"/>
          <w:szCs w:val="20"/>
        </w:rPr>
        <w:t>d'ouguiya</w:t>
      </w:r>
      <w:r w:rsidR="00DB1635" w:rsidRPr="00B004EE">
        <w:rPr>
          <w:rFonts w:ascii="Tahoma" w:hAnsi="Tahoma" w:cs="Tahoma"/>
          <w:spacing w:val="-17"/>
          <w:sz w:val="20"/>
          <w:szCs w:val="20"/>
        </w:rPr>
        <w:t xml:space="preserve"> </w:t>
      </w:r>
      <w:r w:rsidRPr="00B004EE">
        <w:rPr>
          <w:rFonts w:ascii="Tahoma" w:hAnsi="Tahoma" w:cs="Tahoma"/>
          <w:sz w:val="20"/>
          <w:szCs w:val="20"/>
        </w:rPr>
        <w:t>pour</w:t>
      </w:r>
      <w:r w:rsidR="00DB1635" w:rsidRPr="00B004EE">
        <w:rPr>
          <w:rFonts w:ascii="Tahoma" w:hAnsi="Tahoma" w:cs="Tahoma"/>
          <w:spacing w:val="-18"/>
          <w:sz w:val="20"/>
          <w:szCs w:val="20"/>
        </w:rPr>
        <w:t xml:space="preserve"> </w:t>
      </w:r>
      <w:r w:rsidRPr="00B004EE">
        <w:rPr>
          <w:rFonts w:ascii="Tahoma" w:hAnsi="Tahoma" w:cs="Tahoma"/>
          <w:sz w:val="20"/>
          <w:szCs w:val="20"/>
        </w:rPr>
        <w:t>les</w:t>
      </w:r>
      <w:r w:rsidR="00DB1635" w:rsidRPr="00B004EE">
        <w:rPr>
          <w:rFonts w:ascii="Tahoma" w:hAnsi="Tahoma" w:cs="Tahoma"/>
          <w:spacing w:val="-17"/>
          <w:sz w:val="20"/>
          <w:szCs w:val="20"/>
        </w:rPr>
        <w:t xml:space="preserve"> </w:t>
      </w:r>
      <w:r w:rsidRPr="00B004EE">
        <w:rPr>
          <w:rFonts w:ascii="Tahoma" w:hAnsi="Tahoma" w:cs="Tahoma"/>
          <w:sz w:val="20"/>
          <w:szCs w:val="20"/>
        </w:rPr>
        <w:t>navires</w:t>
      </w:r>
      <w:r w:rsidR="00DB1635" w:rsidRPr="00B004EE">
        <w:rPr>
          <w:rFonts w:ascii="Tahoma" w:hAnsi="Tahoma" w:cs="Tahoma"/>
          <w:spacing w:val="-17"/>
          <w:sz w:val="20"/>
          <w:szCs w:val="20"/>
        </w:rPr>
        <w:t xml:space="preserve"> </w:t>
      </w:r>
      <w:r w:rsidRPr="00B004EE">
        <w:rPr>
          <w:rFonts w:ascii="Tahoma" w:hAnsi="Tahoma" w:cs="Tahoma"/>
          <w:sz w:val="20"/>
          <w:szCs w:val="20"/>
        </w:rPr>
        <w:t>non</w:t>
      </w:r>
      <w:r w:rsidR="00DB1635" w:rsidRPr="00B004EE">
        <w:rPr>
          <w:rFonts w:ascii="Tahoma" w:hAnsi="Tahoma" w:cs="Tahoma"/>
          <w:spacing w:val="-17"/>
          <w:sz w:val="20"/>
          <w:szCs w:val="20"/>
        </w:rPr>
        <w:t xml:space="preserve"> </w:t>
      </w:r>
      <w:r w:rsidRPr="00B004EE">
        <w:rPr>
          <w:rFonts w:ascii="Tahoma" w:hAnsi="Tahoma" w:cs="Tahoma"/>
          <w:sz w:val="20"/>
          <w:szCs w:val="20"/>
        </w:rPr>
        <w:t>pontés</w:t>
      </w:r>
      <w:r w:rsidR="00F81386" w:rsidRPr="00B004EE">
        <w:rPr>
          <w:rFonts w:ascii="Tahoma" w:hAnsi="Tahoma" w:cs="Tahoma"/>
          <w:sz w:val="20"/>
          <w:szCs w:val="20"/>
        </w:rPr>
        <w:t> ;</w:t>
      </w:r>
    </w:p>
    <w:p w14:paraId="6D56EE2B" w14:textId="02FE81EB" w:rsidR="001E7C3C" w:rsidRPr="00B004EE" w:rsidRDefault="001E7C3C" w:rsidP="00420DDA">
      <w:pPr>
        <w:pStyle w:val="Paragraphedeliste"/>
        <w:widowControl w:val="0"/>
        <w:numPr>
          <w:ilvl w:val="0"/>
          <w:numId w:val="72"/>
        </w:numPr>
        <w:tabs>
          <w:tab w:val="left" w:pos="1134"/>
        </w:tabs>
        <w:ind w:left="426" w:right="161"/>
        <w:rPr>
          <w:rFonts w:ascii="Tahoma" w:eastAsia="American Typewriter" w:hAnsi="Tahoma" w:cs="Tahoma"/>
          <w:sz w:val="20"/>
          <w:szCs w:val="20"/>
        </w:rPr>
      </w:pPr>
      <w:r w:rsidRPr="00B004EE">
        <w:rPr>
          <w:rFonts w:ascii="Tahoma" w:hAnsi="Tahoma" w:cs="Tahoma"/>
          <w:sz w:val="20"/>
          <w:szCs w:val="20"/>
        </w:rPr>
        <w:t>Trois</w:t>
      </w:r>
      <w:r w:rsidR="00DB1635" w:rsidRPr="00B004EE">
        <w:rPr>
          <w:rFonts w:ascii="Tahoma" w:hAnsi="Tahoma" w:cs="Tahoma"/>
          <w:spacing w:val="45"/>
          <w:sz w:val="20"/>
          <w:szCs w:val="20"/>
        </w:rPr>
        <w:t xml:space="preserve"> </w:t>
      </w:r>
      <w:r w:rsidRPr="00B004EE">
        <w:rPr>
          <w:rFonts w:ascii="Tahoma" w:hAnsi="Tahoma" w:cs="Tahoma"/>
          <w:sz w:val="20"/>
          <w:szCs w:val="20"/>
        </w:rPr>
        <w:t>millions</w:t>
      </w:r>
      <w:r w:rsidR="00DB1635" w:rsidRPr="00B004EE">
        <w:rPr>
          <w:rFonts w:ascii="Tahoma" w:hAnsi="Tahoma" w:cs="Tahoma"/>
          <w:spacing w:val="45"/>
          <w:sz w:val="20"/>
          <w:szCs w:val="20"/>
        </w:rPr>
        <w:t xml:space="preserve"> </w:t>
      </w:r>
      <w:r w:rsidRPr="00B004EE">
        <w:rPr>
          <w:rFonts w:ascii="Tahoma" w:hAnsi="Tahoma" w:cs="Tahoma"/>
          <w:sz w:val="20"/>
          <w:szCs w:val="20"/>
        </w:rPr>
        <w:t>(3.000.000)</w:t>
      </w:r>
      <w:r w:rsidR="00DB1635" w:rsidRPr="00B004EE">
        <w:rPr>
          <w:rFonts w:ascii="Tahoma" w:hAnsi="Tahoma" w:cs="Tahoma"/>
          <w:spacing w:val="45"/>
          <w:sz w:val="20"/>
          <w:szCs w:val="20"/>
        </w:rPr>
        <w:t xml:space="preserve"> </w:t>
      </w:r>
      <w:r w:rsidRPr="00B004EE">
        <w:rPr>
          <w:rFonts w:ascii="Tahoma" w:hAnsi="Tahoma" w:cs="Tahoma"/>
          <w:sz w:val="20"/>
          <w:szCs w:val="20"/>
        </w:rPr>
        <w:t>d'ouguiya</w:t>
      </w:r>
      <w:r w:rsidR="00DB1635" w:rsidRPr="00B004EE">
        <w:rPr>
          <w:rFonts w:ascii="Tahoma" w:hAnsi="Tahoma" w:cs="Tahoma"/>
          <w:spacing w:val="47"/>
          <w:sz w:val="20"/>
          <w:szCs w:val="20"/>
        </w:rPr>
        <w:t xml:space="preserve"> </w:t>
      </w:r>
      <w:r w:rsidRPr="00B004EE">
        <w:rPr>
          <w:rFonts w:ascii="Tahoma" w:hAnsi="Tahoma" w:cs="Tahoma"/>
          <w:sz w:val="20"/>
          <w:szCs w:val="20"/>
        </w:rPr>
        <w:t>pour</w:t>
      </w:r>
      <w:r w:rsidR="00DB1635" w:rsidRPr="00B004EE">
        <w:rPr>
          <w:rFonts w:ascii="Tahoma" w:hAnsi="Tahoma" w:cs="Tahoma"/>
          <w:spacing w:val="45"/>
          <w:sz w:val="20"/>
          <w:szCs w:val="20"/>
        </w:rPr>
        <w:t xml:space="preserve"> </w:t>
      </w:r>
      <w:r w:rsidRPr="00B004EE">
        <w:rPr>
          <w:rFonts w:ascii="Tahoma" w:hAnsi="Tahoma" w:cs="Tahoma"/>
          <w:sz w:val="20"/>
          <w:szCs w:val="20"/>
        </w:rPr>
        <w:t>les</w:t>
      </w:r>
      <w:r w:rsidR="00DB1635" w:rsidRPr="00B004EE">
        <w:rPr>
          <w:rFonts w:ascii="Tahoma" w:hAnsi="Tahoma" w:cs="Tahoma"/>
          <w:spacing w:val="45"/>
          <w:sz w:val="20"/>
          <w:szCs w:val="20"/>
        </w:rPr>
        <w:t xml:space="preserve"> </w:t>
      </w:r>
      <w:r w:rsidRPr="00B004EE">
        <w:rPr>
          <w:rFonts w:ascii="Tahoma" w:hAnsi="Tahoma" w:cs="Tahoma"/>
          <w:sz w:val="20"/>
          <w:szCs w:val="20"/>
        </w:rPr>
        <w:t>navires</w:t>
      </w:r>
      <w:r w:rsidR="00DB1635" w:rsidRPr="00B004EE">
        <w:rPr>
          <w:rFonts w:ascii="Tahoma" w:hAnsi="Tahoma" w:cs="Tahoma"/>
          <w:spacing w:val="45"/>
          <w:sz w:val="20"/>
          <w:szCs w:val="20"/>
        </w:rPr>
        <w:t xml:space="preserve"> </w:t>
      </w:r>
      <w:r w:rsidRPr="00B004EE">
        <w:rPr>
          <w:rFonts w:ascii="Tahoma" w:hAnsi="Tahoma" w:cs="Tahoma"/>
          <w:sz w:val="20"/>
          <w:szCs w:val="20"/>
        </w:rPr>
        <w:t>de</w:t>
      </w:r>
      <w:r w:rsidR="00DB1635" w:rsidRPr="00B004EE">
        <w:rPr>
          <w:rFonts w:ascii="Tahoma" w:hAnsi="Tahoma" w:cs="Tahoma"/>
          <w:spacing w:val="46"/>
          <w:sz w:val="20"/>
          <w:szCs w:val="20"/>
        </w:rPr>
        <w:t xml:space="preserve"> </w:t>
      </w:r>
      <w:r w:rsidRPr="00B004EE">
        <w:rPr>
          <w:rFonts w:ascii="Tahoma" w:hAnsi="Tahoma" w:cs="Tahoma"/>
          <w:sz w:val="20"/>
          <w:szCs w:val="20"/>
        </w:rPr>
        <w:t>tonnage</w:t>
      </w:r>
      <w:r w:rsidR="00DB1635" w:rsidRPr="00B004EE">
        <w:rPr>
          <w:rFonts w:ascii="Tahoma" w:hAnsi="Tahoma" w:cs="Tahoma"/>
          <w:w w:val="94"/>
          <w:sz w:val="20"/>
          <w:szCs w:val="20"/>
        </w:rPr>
        <w:t xml:space="preserve"> </w:t>
      </w:r>
      <w:r w:rsidRPr="00B004EE">
        <w:rPr>
          <w:rFonts w:ascii="Tahoma" w:hAnsi="Tahoma" w:cs="Tahoma"/>
          <w:sz w:val="20"/>
          <w:szCs w:val="20"/>
        </w:rPr>
        <w:t>inférieur</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100</w:t>
      </w:r>
      <w:r w:rsidR="00DB1635" w:rsidRPr="00B004EE">
        <w:rPr>
          <w:rFonts w:ascii="Tahoma" w:hAnsi="Tahoma" w:cs="Tahoma"/>
          <w:spacing w:val="16"/>
          <w:sz w:val="20"/>
          <w:szCs w:val="20"/>
        </w:rPr>
        <w:t xml:space="preserve"> </w:t>
      </w:r>
      <w:r w:rsidR="00852255" w:rsidRPr="00B004EE">
        <w:rPr>
          <w:rFonts w:ascii="Tahoma" w:hAnsi="Tahoma" w:cs="Tahoma"/>
          <w:sz w:val="20"/>
          <w:szCs w:val="20"/>
        </w:rPr>
        <w:t>GT ;</w:t>
      </w:r>
    </w:p>
    <w:p w14:paraId="3AFBD7DD" w14:textId="33786D6E" w:rsidR="001E7C3C" w:rsidRPr="00B004EE" w:rsidRDefault="001E7C3C" w:rsidP="00420DDA">
      <w:pPr>
        <w:pStyle w:val="Paragraphedeliste"/>
        <w:widowControl w:val="0"/>
        <w:numPr>
          <w:ilvl w:val="0"/>
          <w:numId w:val="72"/>
        </w:numPr>
        <w:tabs>
          <w:tab w:val="left" w:pos="1134"/>
        </w:tabs>
        <w:ind w:left="426" w:right="559"/>
        <w:rPr>
          <w:rFonts w:ascii="Tahoma" w:eastAsia="American Typewriter" w:hAnsi="Tahoma" w:cs="Tahoma"/>
          <w:sz w:val="20"/>
          <w:szCs w:val="20"/>
        </w:rPr>
      </w:pPr>
      <w:r w:rsidRPr="00B004EE">
        <w:rPr>
          <w:rFonts w:ascii="Tahoma" w:hAnsi="Tahoma" w:cs="Tahoma"/>
          <w:sz w:val="20"/>
          <w:szCs w:val="20"/>
        </w:rPr>
        <w:t>Six</w:t>
      </w:r>
      <w:r w:rsidR="00DB1635" w:rsidRPr="00B004EE">
        <w:rPr>
          <w:rFonts w:ascii="Tahoma" w:hAnsi="Tahoma" w:cs="Tahoma"/>
          <w:sz w:val="20"/>
          <w:szCs w:val="20"/>
        </w:rPr>
        <w:t xml:space="preserve"> </w:t>
      </w:r>
      <w:r w:rsidRPr="00B004EE">
        <w:rPr>
          <w:rFonts w:ascii="Tahoma" w:hAnsi="Tahoma" w:cs="Tahoma"/>
          <w:sz w:val="20"/>
          <w:szCs w:val="20"/>
        </w:rPr>
        <w:t>millions</w:t>
      </w:r>
      <w:r w:rsidR="00DB1635" w:rsidRPr="00B004EE">
        <w:rPr>
          <w:rFonts w:ascii="Tahoma" w:hAnsi="Tahoma" w:cs="Tahoma"/>
          <w:sz w:val="20"/>
          <w:szCs w:val="20"/>
        </w:rPr>
        <w:t xml:space="preserve"> </w:t>
      </w:r>
      <w:r w:rsidRPr="00B004EE">
        <w:rPr>
          <w:rFonts w:ascii="Tahoma" w:hAnsi="Tahoma" w:cs="Tahoma"/>
          <w:sz w:val="20"/>
          <w:szCs w:val="20"/>
        </w:rPr>
        <w:t>(6.000.000)</w:t>
      </w:r>
      <w:r w:rsidR="00DB1635" w:rsidRPr="00B004EE">
        <w:rPr>
          <w:rFonts w:ascii="Tahoma" w:hAnsi="Tahoma" w:cs="Tahoma"/>
          <w:sz w:val="20"/>
          <w:szCs w:val="20"/>
        </w:rPr>
        <w:t xml:space="preserve"> </w:t>
      </w:r>
      <w:r w:rsidRPr="00B004EE">
        <w:rPr>
          <w:rFonts w:ascii="Tahoma" w:hAnsi="Tahoma" w:cs="Tahoma"/>
          <w:sz w:val="20"/>
          <w:szCs w:val="20"/>
        </w:rPr>
        <w:t>d'ouguiya</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navires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pacing w:val="41"/>
          <w:sz w:val="20"/>
          <w:szCs w:val="20"/>
        </w:rPr>
        <w:t xml:space="preserve"> </w:t>
      </w:r>
      <w:r w:rsidRPr="00B004EE">
        <w:rPr>
          <w:rFonts w:ascii="Tahoma" w:hAnsi="Tahoma" w:cs="Tahoma"/>
          <w:sz w:val="20"/>
          <w:szCs w:val="20"/>
        </w:rPr>
        <w:t>tonnage</w:t>
      </w:r>
      <w:r w:rsidR="00DB1635" w:rsidRPr="00B004EE">
        <w:rPr>
          <w:rFonts w:ascii="Tahoma" w:hAnsi="Tahoma" w:cs="Tahoma"/>
          <w:w w:val="94"/>
          <w:sz w:val="20"/>
          <w:szCs w:val="20"/>
        </w:rPr>
        <w:t xml:space="preserve"> </w:t>
      </w:r>
      <w:r w:rsidRPr="00B004EE">
        <w:rPr>
          <w:rFonts w:ascii="Tahoma" w:hAnsi="Tahoma" w:cs="Tahoma"/>
          <w:sz w:val="20"/>
          <w:szCs w:val="20"/>
        </w:rPr>
        <w:t>supérieur</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égale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100</w:t>
      </w:r>
      <w:r w:rsidR="00DB1635" w:rsidRPr="00B004EE">
        <w:rPr>
          <w:rFonts w:ascii="Tahoma" w:hAnsi="Tahoma" w:cs="Tahoma"/>
          <w:sz w:val="20"/>
          <w:szCs w:val="20"/>
        </w:rPr>
        <w:t xml:space="preserve"> </w:t>
      </w:r>
      <w:r w:rsidRPr="00B004EE">
        <w:rPr>
          <w:rFonts w:ascii="Tahoma" w:hAnsi="Tahoma" w:cs="Tahoma"/>
          <w:sz w:val="20"/>
          <w:szCs w:val="20"/>
        </w:rPr>
        <w:t>Gt</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inférieur</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250</w:t>
      </w:r>
      <w:r w:rsidR="00DB1635" w:rsidRPr="00B004EE">
        <w:rPr>
          <w:rFonts w:ascii="Tahoma" w:hAnsi="Tahoma" w:cs="Tahoma"/>
          <w:spacing w:val="15"/>
          <w:sz w:val="20"/>
          <w:szCs w:val="20"/>
        </w:rPr>
        <w:t xml:space="preserve"> </w:t>
      </w:r>
      <w:r w:rsidRPr="00B004EE">
        <w:rPr>
          <w:rFonts w:ascii="Tahoma" w:hAnsi="Tahoma" w:cs="Tahoma"/>
          <w:sz w:val="20"/>
          <w:szCs w:val="20"/>
        </w:rPr>
        <w:t>GT</w:t>
      </w:r>
      <w:r w:rsidR="00F81386" w:rsidRPr="00B004EE">
        <w:rPr>
          <w:rFonts w:ascii="Tahoma" w:hAnsi="Tahoma" w:cs="Tahoma"/>
          <w:sz w:val="20"/>
          <w:szCs w:val="20"/>
        </w:rPr>
        <w:t> ;</w:t>
      </w:r>
    </w:p>
    <w:p w14:paraId="6A951705" w14:textId="1424983B" w:rsidR="001E7C3C" w:rsidRPr="00B004EE" w:rsidRDefault="001E7C3C" w:rsidP="00420DDA">
      <w:pPr>
        <w:pStyle w:val="Paragraphedeliste"/>
        <w:widowControl w:val="0"/>
        <w:numPr>
          <w:ilvl w:val="0"/>
          <w:numId w:val="72"/>
        </w:numPr>
        <w:tabs>
          <w:tab w:val="left" w:pos="1134"/>
        </w:tabs>
        <w:ind w:left="426" w:right="161"/>
        <w:rPr>
          <w:rFonts w:ascii="Tahoma" w:eastAsia="American Typewriter" w:hAnsi="Tahoma" w:cs="Tahoma"/>
          <w:sz w:val="20"/>
          <w:szCs w:val="20"/>
        </w:rPr>
      </w:pPr>
      <w:r w:rsidRPr="00B004EE">
        <w:rPr>
          <w:rFonts w:ascii="Tahoma" w:hAnsi="Tahoma" w:cs="Tahoma"/>
          <w:sz w:val="20"/>
          <w:szCs w:val="20"/>
        </w:rPr>
        <w:t>Douze</w:t>
      </w:r>
      <w:r w:rsidR="00DB1635" w:rsidRPr="00B004EE">
        <w:rPr>
          <w:rFonts w:ascii="Tahoma" w:hAnsi="Tahoma" w:cs="Tahoma"/>
          <w:spacing w:val="-17"/>
          <w:sz w:val="20"/>
          <w:szCs w:val="20"/>
        </w:rPr>
        <w:t xml:space="preserve"> </w:t>
      </w:r>
      <w:r w:rsidRPr="00B004EE">
        <w:rPr>
          <w:rFonts w:ascii="Tahoma" w:hAnsi="Tahoma" w:cs="Tahoma"/>
          <w:sz w:val="20"/>
          <w:szCs w:val="20"/>
        </w:rPr>
        <w:t>millions</w:t>
      </w:r>
      <w:r w:rsidR="00DB1635" w:rsidRPr="00B004EE">
        <w:rPr>
          <w:rFonts w:ascii="Tahoma" w:hAnsi="Tahoma" w:cs="Tahoma"/>
          <w:spacing w:val="-18"/>
          <w:sz w:val="20"/>
          <w:szCs w:val="20"/>
        </w:rPr>
        <w:t xml:space="preserve"> </w:t>
      </w:r>
      <w:r w:rsidRPr="00B004EE">
        <w:rPr>
          <w:rFonts w:ascii="Tahoma" w:hAnsi="Tahoma" w:cs="Tahoma"/>
          <w:sz w:val="20"/>
          <w:szCs w:val="20"/>
        </w:rPr>
        <w:t>(12.000.000)</w:t>
      </w:r>
      <w:r w:rsidR="00DB1635" w:rsidRPr="00B004EE">
        <w:rPr>
          <w:rFonts w:ascii="Tahoma" w:hAnsi="Tahoma" w:cs="Tahoma"/>
          <w:spacing w:val="-18"/>
          <w:sz w:val="20"/>
          <w:szCs w:val="20"/>
        </w:rPr>
        <w:t xml:space="preserve"> </w:t>
      </w:r>
      <w:r w:rsidRPr="00B004EE">
        <w:rPr>
          <w:rFonts w:ascii="Tahoma" w:hAnsi="Tahoma" w:cs="Tahoma"/>
          <w:sz w:val="20"/>
          <w:szCs w:val="20"/>
        </w:rPr>
        <w:t>d'ouguiya</w:t>
      </w:r>
      <w:r w:rsidR="00DB1635" w:rsidRPr="00B004EE">
        <w:rPr>
          <w:rFonts w:ascii="Tahoma" w:hAnsi="Tahoma" w:cs="Tahoma"/>
          <w:spacing w:val="-16"/>
          <w:sz w:val="20"/>
          <w:szCs w:val="20"/>
        </w:rPr>
        <w:t xml:space="preserve"> </w:t>
      </w:r>
      <w:r w:rsidRPr="00B004EE">
        <w:rPr>
          <w:rFonts w:ascii="Tahoma" w:hAnsi="Tahoma" w:cs="Tahoma"/>
          <w:sz w:val="20"/>
          <w:szCs w:val="20"/>
        </w:rPr>
        <w:t>pour</w:t>
      </w:r>
      <w:r w:rsidR="00DB1635" w:rsidRPr="00B004EE">
        <w:rPr>
          <w:rFonts w:ascii="Tahoma" w:hAnsi="Tahoma" w:cs="Tahoma"/>
          <w:spacing w:val="-19"/>
          <w:sz w:val="20"/>
          <w:szCs w:val="20"/>
        </w:rPr>
        <w:t xml:space="preserve"> </w:t>
      </w:r>
      <w:r w:rsidRPr="00B004EE">
        <w:rPr>
          <w:rFonts w:ascii="Tahoma" w:hAnsi="Tahoma" w:cs="Tahoma"/>
          <w:sz w:val="20"/>
          <w:szCs w:val="20"/>
        </w:rPr>
        <w:t>les</w:t>
      </w:r>
      <w:r w:rsidR="00DB1635" w:rsidRPr="00B004EE">
        <w:rPr>
          <w:rFonts w:ascii="Tahoma" w:hAnsi="Tahoma" w:cs="Tahoma"/>
          <w:spacing w:val="-19"/>
          <w:sz w:val="20"/>
          <w:szCs w:val="20"/>
        </w:rPr>
        <w:t xml:space="preserve"> </w:t>
      </w:r>
      <w:r w:rsidRPr="00B004EE">
        <w:rPr>
          <w:rFonts w:ascii="Tahoma" w:hAnsi="Tahoma" w:cs="Tahoma"/>
          <w:sz w:val="20"/>
          <w:szCs w:val="20"/>
        </w:rPr>
        <w:t>navires</w:t>
      </w:r>
      <w:r w:rsidR="00DB1635" w:rsidRPr="00B004EE">
        <w:rPr>
          <w:rFonts w:ascii="Tahoma" w:hAnsi="Tahoma" w:cs="Tahoma"/>
          <w:spacing w:val="-19"/>
          <w:sz w:val="20"/>
          <w:szCs w:val="20"/>
        </w:rPr>
        <w:t xml:space="preserve"> </w:t>
      </w:r>
      <w:r w:rsidRPr="00B004EE">
        <w:rPr>
          <w:rFonts w:ascii="Tahoma" w:hAnsi="Tahoma" w:cs="Tahoma"/>
          <w:sz w:val="20"/>
          <w:szCs w:val="20"/>
        </w:rPr>
        <w:t>supérieur</w:t>
      </w:r>
      <w:r w:rsidR="00DB1635" w:rsidRPr="00B004EE">
        <w:rPr>
          <w:rFonts w:ascii="Tahoma" w:hAnsi="Tahoma" w:cs="Tahoma"/>
          <w:spacing w:val="23"/>
          <w:sz w:val="20"/>
          <w:szCs w:val="20"/>
        </w:rPr>
        <w:t xml:space="preserve"> </w:t>
      </w:r>
      <w:r w:rsidRPr="00B004EE">
        <w:rPr>
          <w:rFonts w:ascii="Tahoma" w:hAnsi="Tahoma" w:cs="Tahoma"/>
          <w:sz w:val="20"/>
          <w:szCs w:val="20"/>
        </w:rPr>
        <w:t>ou</w:t>
      </w:r>
      <w:r w:rsidR="00DB1635" w:rsidRPr="00B004EE">
        <w:rPr>
          <w:rFonts w:ascii="Tahoma" w:hAnsi="Tahoma" w:cs="Tahoma"/>
          <w:w w:val="95"/>
          <w:sz w:val="20"/>
          <w:szCs w:val="20"/>
        </w:rPr>
        <w:t xml:space="preserve"> </w:t>
      </w:r>
      <w:r w:rsidRPr="00B004EE">
        <w:rPr>
          <w:rFonts w:ascii="Tahoma" w:hAnsi="Tahoma" w:cs="Tahoma"/>
          <w:sz w:val="20"/>
          <w:szCs w:val="20"/>
        </w:rPr>
        <w:t>égal</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250</w:t>
      </w:r>
      <w:r w:rsidR="00DB1635" w:rsidRPr="00B004EE">
        <w:rPr>
          <w:rFonts w:ascii="Tahoma" w:hAnsi="Tahoma" w:cs="Tahoma"/>
          <w:spacing w:val="19"/>
          <w:sz w:val="20"/>
          <w:szCs w:val="20"/>
        </w:rPr>
        <w:t xml:space="preserve"> </w:t>
      </w:r>
      <w:r w:rsidRPr="00B004EE">
        <w:rPr>
          <w:rFonts w:ascii="Tahoma" w:hAnsi="Tahoma" w:cs="Tahoma"/>
          <w:sz w:val="20"/>
          <w:szCs w:val="20"/>
        </w:rPr>
        <w:t>GT.</w:t>
      </w:r>
    </w:p>
    <w:p w14:paraId="4A6D3BC8" w14:textId="77777777" w:rsidR="00CC17C3" w:rsidRPr="00B004EE" w:rsidRDefault="00CC17C3" w:rsidP="00B004EE">
      <w:pPr>
        <w:pStyle w:val="Paragraphedeliste"/>
        <w:widowControl w:val="0"/>
        <w:tabs>
          <w:tab w:val="left" w:pos="1134"/>
        </w:tabs>
        <w:ind w:left="426" w:right="161"/>
        <w:rPr>
          <w:rFonts w:ascii="Tahoma" w:eastAsia="American Typewriter" w:hAnsi="Tahoma" w:cs="Tahoma"/>
          <w:sz w:val="20"/>
          <w:szCs w:val="20"/>
        </w:rPr>
      </w:pPr>
    </w:p>
    <w:p w14:paraId="5B9B4B3C" w14:textId="64BA3882" w:rsidR="00CC17C3" w:rsidRPr="00B004EE" w:rsidRDefault="001E7C3C" w:rsidP="00B004EE">
      <w:pPr>
        <w:pStyle w:val="Lgende"/>
        <w:jc w:val="center"/>
        <w:rPr>
          <w:rFonts w:ascii="Tahoma" w:eastAsia="American Typewriter" w:hAnsi="Tahoma" w:cs="Tahoma"/>
          <w:rtl/>
        </w:rPr>
      </w:pPr>
      <w:bookmarkStart w:id="127" w:name="_Toc16279096"/>
      <w:bookmarkStart w:id="128" w:name="_Toc16279465"/>
      <w:r w:rsidRPr="00B004EE">
        <w:rPr>
          <w:rFonts w:ascii="Tahoma" w:eastAsia="American Typewriter" w:hAnsi="Tahoma" w:cs="Tahoma"/>
        </w:rPr>
        <w:lastRenderedPageBreak/>
        <w:t>Section</w:t>
      </w:r>
      <w:r w:rsidR="00DB1635" w:rsidRPr="00B004EE">
        <w:rPr>
          <w:rFonts w:ascii="Tahoma" w:eastAsia="American Typewriter" w:hAnsi="Tahoma" w:cs="Tahoma"/>
        </w:rPr>
        <w:t xml:space="preserve"> </w:t>
      </w:r>
      <w:r w:rsidRPr="00B004EE">
        <w:rPr>
          <w:rFonts w:ascii="Tahoma" w:eastAsia="American Typewriter" w:hAnsi="Tahoma" w:cs="Tahoma"/>
        </w:rPr>
        <w:t>3</w:t>
      </w:r>
      <w:r w:rsidR="00DB1635" w:rsidRPr="00B004EE">
        <w:rPr>
          <w:rFonts w:ascii="Tahoma" w:eastAsia="American Typewriter" w:hAnsi="Tahoma" w:cs="Tahoma"/>
        </w:rPr>
        <w:t xml:space="preserve"> </w:t>
      </w:r>
      <w:r w:rsidRPr="00B004EE">
        <w:rPr>
          <w:rFonts w:ascii="Tahoma" w:eastAsia="American Typewriter" w:hAnsi="Tahoma" w:cs="Tahoma"/>
        </w:rPr>
        <w:t>:</w:t>
      </w:r>
      <w:r w:rsidR="00DB1635" w:rsidRPr="00B004EE">
        <w:rPr>
          <w:rFonts w:ascii="Tahoma" w:eastAsia="American Typewriter" w:hAnsi="Tahoma" w:cs="Tahoma"/>
        </w:rPr>
        <w:t xml:space="preserve"> </w:t>
      </w:r>
      <w:r w:rsidRPr="00B004EE">
        <w:rPr>
          <w:rFonts w:ascii="Tahoma" w:eastAsia="American Typewriter" w:hAnsi="Tahoma" w:cs="Tahoma"/>
        </w:rPr>
        <w:t>De</w:t>
      </w:r>
      <w:r w:rsidR="00DB1635" w:rsidRPr="00B004EE">
        <w:rPr>
          <w:rFonts w:ascii="Tahoma" w:eastAsia="American Typewriter" w:hAnsi="Tahoma" w:cs="Tahoma"/>
        </w:rPr>
        <w:t xml:space="preserve"> </w:t>
      </w:r>
      <w:r w:rsidRPr="00B004EE">
        <w:rPr>
          <w:rFonts w:ascii="Tahoma" w:eastAsia="American Typewriter" w:hAnsi="Tahoma" w:cs="Tahoma"/>
        </w:rPr>
        <w:t>la</w:t>
      </w:r>
      <w:r w:rsidR="00DB1635" w:rsidRPr="00B004EE">
        <w:rPr>
          <w:rFonts w:ascii="Tahoma" w:eastAsia="American Typewriter" w:hAnsi="Tahoma" w:cs="Tahoma"/>
        </w:rPr>
        <w:t xml:space="preserve"> </w:t>
      </w:r>
      <w:r w:rsidRPr="00B004EE">
        <w:rPr>
          <w:rFonts w:ascii="Tahoma" w:eastAsia="American Typewriter" w:hAnsi="Tahoma" w:cs="Tahoma"/>
        </w:rPr>
        <w:t>classification</w:t>
      </w:r>
      <w:r w:rsidR="00DB1635" w:rsidRPr="00B004EE">
        <w:rPr>
          <w:rFonts w:ascii="Tahoma" w:eastAsia="American Typewriter" w:hAnsi="Tahoma" w:cs="Tahoma"/>
        </w:rPr>
        <w:t xml:space="preserve"> </w:t>
      </w:r>
      <w:r w:rsidRPr="00B004EE">
        <w:rPr>
          <w:rFonts w:ascii="Tahoma" w:eastAsia="American Typewriter" w:hAnsi="Tahoma" w:cs="Tahoma"/>
        </w:rPr>
        <w:t>des</w:t>
      </w:r>
      <w:r w:rsidR="00DB1635" w:rsidRPr="00B004EE">
        <w:rPr>
          <w:rFonts w:ascii="Tahoma" w:eastAsia="American Typewriter" w:hAnsi="Tahoma" w:cs="Tahoma"/>
        </w:rPr>
        <w:t xml:space="preserve"> </w:t>
      </w:r>
      <w:r w:rsidRPr="00B004EE">
        <w:rPr>
          <w:rFonts w:ascii="Tahoma" w:eastAsia="American Typewriter" w:hAnsi="Tahoma" w:cs="Tahoma"/>
        </w:rPr>
        <w:t>infractions</w:t>
      </w:r>
      <w:r w:rsidR="00DB1635" w:rsidRPr="00B004EE">
        <w:rPr>
          <w:rFonts w:ascii="Tahoma" w:eastAsia="American Typewriter" w:hAnsi="Tahoma" w:cs="Tahoma"/>
        </w:rPr>
        <w:t xml:space="preserve"> </w:t>
      </w:r>
    </w:p>
    <w:p w14:paraId="5F2CB350" w14:textId="2AA52679" w:rsidR="001E7C3C" w:rsidRPr="00B004EE" w:rsidRDefault="00852255" w:rsidP="00B004EE">
      <w:pPr>
        <w:pStyle w:val="Lgende"/>
        <w:jc w:val="center"/>
        <w:rPr>
          <w:rFonts w:ascii="Tahoma" w:eastAsia="American Typewriter" w:hAnsi="Tahoma" w:cs="Tahoma"/>
        </w:rPr>
      </w:pPr>
      <w:r w:rsidRPr="00B004EE">
        <w:rPr>
          <w:rFonts w:ascii="Tahoma" w:eastAsia="American Typewriter" w:hAnsi="Tahoma" w:cs="Tahoma"/>
        </w:rPr>
        <w:t>Sous-Section</w:t>
      </w:r>
      <w:r w:rsidR="00DB1635" w:rsidRPr="00B004EE">
        <w:rPr>
          <w:rFonts w:ascii="Tahoma" w:eastAsia="American Typewriter" w:hAnsi="Tahoma" w:cs="Tahoma"/>
        </w:rPr>
        <w:t xml:space="preserve"> </w:t>
      </w:r>
      <w:r w:rsidR="001E7C3C" w:rsidRPr="00B004EE">
        <w:rPr>
          <w:rFonts w:ascii="Tahoma" w:eastAsia="American Typewriter" w:hAnsi="Tahoma" w:cs="Tahoma"/>
        </w:rPr>
        <w:t>1</w:t>
      </w:r>
      <w:r w:rsidR="00DB1635" w:rsidRPr="00B004EE">
        <w:rPr>
          <w:rFonts w:ascii="Tahoma" w:eastAsia="American Typewriter" w:hAnsi="Tahoma" w:cs="Tahoma"/>
        </w:rPr>
        <w:t xml:space="preserve"> </w:t>
      </w:r>
      <w:r w:rsidR="001E7C3C" w:rsidRPr="00B004EE">
        <w:rPr>
          <w:rFonts w:ascii="Tahoma" w:eastAsia="American Typewriter" w:hAnsi="Tahoma" w:cs="Tahoma"/>
        </w:rPr>
        <w:t>:</w:t>
      </w:r>
      <w:r w:rsidR="00DB1635" w:rsidRPr="00B004EE">
        <w:rPr>
          <w:rFonts w:ascii="Tahoma" w:eastAsia="American Typewriter" w:hAnsi="Tahoma" w:cs="Tahoma"/>
        </w:rPr>
        <w:t xml:space="preserve"> </w:t>
      </w:r>
      <w:r w:rsidR="001E7C3C" w:rsidRPr="00B004EE">
        <w:rPr>
          <w:rFonts w:ascii="Tahoma" w:eastAsia="American Typewriter" w:hAnsi="Tahoma" w:cs="Tahoma"/>
        </w:rPr>
        <w:t>Des</w:t>
      </w:r>
      <w:r w:rsidR="00DB1635" w:rsidRPr="00B004EE">
        <w:rPr>
          <w:rFonts w:ascii="Tahoma" w:eastAsia="American Typewriter" w:hAnsi="Tahoma" w:cs="Tahoma"/>
        </w:rPr>
        <w:t xml:space="preserve"> </w:t>
      </w:r>
      <w:r w:rsidR="001E7C3C" w:rsidRPr="00B004EE">
        <w:rPr>
          <w:rFonts w:ascii="Tahoma" w:eastAsia="American Typewriter" w:hAnsi="Tahoma" w:cs="Tahoma"/>
        </w:rPr>
        <w:t>infractions</w:t>
      </w:r>
      <w:r w:rsidR="00DB1635" w:rsidRPr="00B004EE">
        <w:rPr>
          <w:rFonts w:ascii="Tahoma" w:eastAsia="American Typewriter" w:hAnsi="Tahoma" w:cs="Tahoma"/>
        </w:rPr>
        <w:t xml:space="preserve"> </w:t>
      </w:r>
      <w:r w:rsidR="001E7C3C" w:rsidRPr="00B004EE">
        <w:rPr>
          <w:rFonts w:ascii="Tahoma" w:eastAsia="American Typewriter" w:hAnsi="Tahoma" w:cs="Tahoma"/>
        </w:rPr>
        <w:t>de</w:t>
      </w:r>
      <w:r w:rsidR="00DB1635" w:rsidRPr="00B004EE">
        <w:rPr>
          <w:rFonts w:ascii="Tahoma" w:eastAsia="American Typewriter" w:hAnsi="Tahoma" w:cs="Tahoma"/>
        </w:rPr>
        <w:t xml:space="preserve"> </w:t>
      </w:r>
      <w:r w:rsidR="001E7C3C" w:rsidRPr="00B004EE">
        <w:rPr>
          <w:rFonts w:ascii="Tahoma" w:eastAsia="American Typewriter" w:hAnsi="Tahoma" w:cs="Tahoma"/>
        </w:rPr>
        <w:t>pêche</w:t>
      </w:r>
      <w:bookmarkEnd w:id="127"/>
      <w:bookmarkEnd w:id="128"/>
      <w:r w:rsidR="00DB1635" w:rsidRPr="00B004EE">
        <w:rPr>
          <w:rFonts w:ascii="Tahoma" w:eastAsia="American Typewriter" w:hAnsi="Tahoma" w:cs="Tahoma"/>
        </w:rPr>
        <w:t xml:space="preserve"> </w:t>
      </w:r>
      <w:r w:rsidR="001E7C3C" w:rsidRPr="00B004EE">
        <w:rPr>
          <w:rFonts w:ascii="Tahoma" w:eastAsia="American Typewriter" w:hAnsi="Tahoma" w:cs="Tahoma"/>
        </w:rPr>
        <w:t>très</w:t>
      </w:r>
      <w:r w:rsidR="00DB1635" w:rsidRPr="00B004EE">
        <w:rPr>
          <w:rFonts w:ascii="Tahoma" w:eastAsia="American Typewriter" w:hAnsi="Tahoma" w:cs="Tahoma"/>
        </w:rPr>
        <w:t xml:space="preserve"> </w:t>
      </w:r>
      <w:r w:rsidR="001E7C3C" w:rsidRPr="00B004EE">
        <w:rPr>
          <w:rFonts w:ascii="Tahoma" w:eastAsia="American Typewriter" w:hAnsi="Tahoma" w:cs="Tahoma"/>
        </w:rPr>
        <w:t>graves</w:t>
      </w:r>
    </w:p>
    <w:p w14:paraId="50E7E5D8" w14:textId="77777777" w:rsidR="001E7C3C" w:rsidRPr="00B004EE" w:rsidRDefault="001E7C3C" w:rsidP="00B004EE">
      <w:pPr>
        <w:rPr>
          <w:rFonts w:ascii="Tahoma" w:eastAsia="American Typewriter" w:hAnsi="Tahoma" w:cs="Tahoma"/>
          <w:b/>
          <w:bCs/>
          <w:sz w:val="20"/>
          <w:szCs w:val="20"/>
        </w:rPr>
      </w:pPr>
    </w:p>
    <w:p w14:paraId="6B696AE1" w14:textId="32618669" w:rsidR="001E7C3C" w:rsidRPr="00B004EE" w:rsidRDefault="001E7C3C" w:rsidP="00B004EE">
      <w:pPr>
        <w:ind w:left="162"/>
        <w:jc w:val="both"/>
        <w:rPr>
          <w:rFonts w:ascii="Tahoma" w:eastAsia="American Typewriter"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84</w:t>
      </w:r>
      <w:r w:rsidR="00DB1635" w:rsidRPr="00B004EE">
        <w:rPr>
          <w:rFonts w:ascii="Tahoma" w:hAnsi="Tahoma" w:cs="Tahoma"/>
          <w:bCs/>
          <w:sz w:val="20"/>
          <w:szCs w:val="20"/>
        </w:rPr>
        <w:t xml:space="preserve"> </w:t>
      </w:r>
      <w:r w:rsidRPr="00B004EE">
        <w:rPr>
          <w:rFonts w:ascii="Tahoma" w:hAnsi="Tahoma" w:cs="Tahoma"/>
          <w:bCs/>
          <w:sz w:val="20"/>
          <w:szCs w:val="20"/>
        </w:rPr>
        <w:t>:</w:t>
      </w:r>
      <w:r w:rsidR="00DB1635" w:rsidRPr="00B004EE">
        <w:rPr>
          <w:rFonts w:ascii="Tahoma" w:hAnsi="Tahoma" w:cs="Tahoma"/>
          <w:b/>
          <w:spacing w:val="-31"/>
          <w:sz w:val="20"/>
          <w:szCs w:val="20"/>
        </w:rPr>
        <w:t xml:space="preserve"> </w:t>
      </w:r>
      <w:r w:rsidRPr="00B004EE">
        <w:rPr>
          <w:rFonts w:ascii="Tahoma" w:hAnsi="Tahoma" w:cs="Tahoma"/>
          <w:sz w:val="20"/>
          <w:szCs w:val="20"/>
        </w:rPr>
        <w:t>Constituent</w:t>
      </w:r>
      <w:r w:rsidR="00DB1635" w:rsidRPr="00B004EE">
        <w:rPr>
          <w:rFonts w:ascii="Tahoma" w:hAnsi="Tahoma" w:cs="Tahoma"/>
          <w:spacing w:val="-33"/>
          <w:sz w:val="20"/>
          <w:szCs w:val="20"/>
        </w:rPr>
        <w:t xml:space="preserve"> </w:t>
      </w:r>
      <w:r w:rsidRPr="00B004EE">
        <w:rPr>
          <w:rFonts w:ascii="Tahoma" w:hAnsi="Tahoma" w:cs="Tahoma"/>
          <w:sz w:val="20"/>
          <w:szCs w:val="20"/>
        </w:rPr>
        <w:t>des</w:t>
      </w:r>
      <w:r w:rsidR="00DB1635" w:rsidRPr="00B004EE">
        <w:rPr>
          <w:rFonts w:ascii="Tahoma" w:hAnsi="Tahoma" w:cs="Tahoma"/>
          <w:spacing w:val="-34"/>
          <w:sz w:val="20"/>
          <w:szCs w:val="20"/>
        </w:rPr>
        <w:t xml:space="preserve"> </w:t>
      </w:r>
      <w:r w:rsidRPr="00B004EE">
        <w:rPr>
          <w:rFonts w:ascii="Tahoma" w:hAnsi="Tahoma" w:cs="Tahoma"/>
          <w:sz w:val="20"/>
          <w:szCs w:val="20"/>
        </w:rPr>
        <w:t>infractions</w:t>
      </w:r>
      <w:r w:rsidR="00DB1635" w:rsidRPr="00B004EE">
        <w:rPr>
          <w:rFonts w:ascii="Tahoma" w:hAnsi="Tahoma" w:cs="Tahoma"/>
          <w:spacing w:val="-34"/>
          <w:sz w:val="20"/>
          <w:szCs w:val="20"/>
        </w:rPr>
        <w:t xml:space="preserve"> </w:t>
      </w:r>
      <w:r w:rsidRPr="00B004EE">
        <w:rPr>
          <w:rFonts w:ascii="Tahoma" w:hAnsi="Tahoma" w:cs="Tahoma"/>
          <w:sz w:val="20"/>
          <w:szCs w:val="20"/>
        </w:rPr>
        <w:t>de</w:t>
      </w:r>
      <w:r w:rsidR="00DB1635" w:rsidRPr="00B004EE">
        <w:rPr>
          <w:rFonts w:ascii="Tahoma" w:hAnsi="Tahoma" w:cs="Tahoma"/>
          <w:spacing w:val="-34"/>
          <w:sz w:val="20"/>
          <w:szCs w:val="20"/>
        </w:rPr>
        <w:t xml:space="preserve"> </w:t>
      </w:r>
      <w:r w:rsidRPr="00B004EE">
        <w:rPr>
          <w:rFonts w:ascii="Tahoma" w:hAnsi="Tahoma" w:cs="Tahoma"/>
          <w:sz w:val="20"/>
          <w:szCs w:val="20"/>
        </w:rPr>
        <w:t>pêche</w:t>
      </w:r>
      <w:r w:rsidR="00DB1635" w:rsidRPr="00B004EE">
        <w:rPr>
          <w:rFonts w:ascii="Tahoma" w:hAnsi="Tahoma" w:cs="Tahoma"/>
          <w:spacing w:val="-34"/>
          <w:sz w:val="20"/>
          <w:szCs w:val="20"/>
        </w:rPr>
        <w:t xml:space="preserve"> </w:t>
      </w:r>
      <w:r w:rsidRPr="00B004EE">
        <w:rPr>
          <w:rFonts w:ascii="Tahoma" w:hAnsi="Tahoma" w:cs="Tahoma"/>
          <w:sz w:val="20"/>
          <w:szCs w:val="20"/>
        </w:rPr>
        <w:t>très</w:t>
      </w:r>
      <w:r w:rsidR="00DB1635" w:rsidRPr="00B004EE">
        <w:rPr>
          <w:rFonts w:ascii="Tahoma" w:hAnsi="Tahoma" w:cs="Tahoma"/>
          <w:spacing w:val="-34"/>
          <w:sz w:val="20"/>
          <w:szCs w:val="20"/>
        </w:rPr>
        <w:t xml:space="preserve"> </w:t>
      </w:r>
      <w:r w:rsidRPr="00B004EE">
        <w:rPr>
          <w:rFonts w:ascii="Tahoma" w:hAnsi="Tahoma" w:cs="Tahoma"/>
          <w:sz w:val="20"/>
          <w:szCs w:val="20"/>
        </w:rPr>
        <w:t>graves</w:t>
      </w:r>
      <w:r w:rsidR="00DB1635" w:rsidRPr="00B004EE">
        <w:rPr>
          <w:rFonts w:ascii="Tahoma" w:hAnsi="Tahoma" w:cs="Tahoma"/>
          <w:spacing w:val="-34"/>
          <w:sz w:val="20"/>
          <w:szCs w:val="20"/>
        </w:rPr>
        <w:t xml:space="preserve"> </w:t>
      </w:r>
      <w:r w:rsidRPr="00B004EE">
        <w:rPr>
          <w:rFonts w:ascii="Tahoma" w:hAnsi="Tahoma" w:cs="Tahoma"/>
          <w:sz w:val="20"/>
          <w:szCs w:val="20"/>
        </w:rPr>
        <w:t>:</w:t>
      </w:r>
    </w:p>
    <w:p w14:paraId="46362AA8" w14:textId="6BE28851" w:rsidR="001E7C3C" w:rsidRPr="00B004EE" w:rsidRDefault="001E7C3C" w:rsidP="00420DDA">
      <w:pPr>
        <w:pStyle w:val="Paragraphedeliste"/>
        <w:widowControl w:val="0"/>
        <w:numPr>
          <w:ilvl w:val="0"/>
          <w:numId w:val="32"/>
        </w:numPr>
        <w:tabs>
          <w:tab w:val="left" w:pos="709"/>
        </w:tabs>
        <w:ind w:left="567" w:right="165"/>
        <w:jc w:val="both"/>
        <w:rPr>
          <w:rFonts w:ascii="Tahoma" w:eastAsia="American Typewriter" w:hAnsi="Tahoma" w:cs="Tahoma"/>
          <w:sz w:val="20"/>
          <w:szCs w:val="20"/>
        </w:rPr>
      </w:pPr>
      <w:r w:rsidRPr="00B004EE">
        <w:rPr>
          <w:rFonts w:ascii="Tahoma" w:eastAsia="American Typewriter" w:hAnsi="Tahoma" w:cs="Tahoma"/>
          <w:sz w:val="20"/>
          <w:szCs w:val="20"/>
        </w:rPr>
        <w:t>L’exercice</w:t>
      </w:r>
      <w:r w:rsidR="00DB1635" w:rsidRPr="00B004EE">
        <w:rPr>
          <w:rFonts w:ascii="Tahoma" w:eastAsia="American Typewriter" w:hAnsi="Tahoma" w:cs="Tahoma"/>
          <w:spacing w:val="-9"/>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pacing w:val="-10"/>
          <w:sz w:val="20"/>
          <w:szCs w:val="20"/>
        </w:rPr>
        <w:t xml:space="preserve"> </w:t>
      </w:r>
      <w:r w:rsidRPr="00B004EE">
        <w:rPr>
          <w:rFonts w:ascii="Tahoma" w:eastAsia="American Typewriter" w:hAnsi="Tahoma" w:cs="Tahoma"/>
          <w:sz w:val="20"/>
          <w:szCs w:val="20"/>
        </w:rPr>
        <w:t>la</w:t>
      </w:r>
      <w:r w:rsidR="00DB1635" w:rsidRPr="00B004EE">
        <w:rPr>
          <w:rFonts w:ascii="Tahoma" w:eastAsia="American Typewriter" w:hAnsi="Tahoma" w:cs="Tahoma"/>
          <w:spacing w:val="-9"/>
          <w:sz w:val="20"/>
          <w:szCs w:val="20"/>
        </w:rPr>
        <w:t xml:space="preserve"> </w:t>
      </w:r>
      <w:r w:rsidRPr="00B004EE">
        <w:rPr>
          <w:rFonts w:ascii="Tahoma" w:eastAsia="American Typewriter" w:hAnsi="Tahoma" w:cs="Tahoma"/>
          <w:sz w:val="20"/>
          <w:szCs w:val="20"/>
        </w:rPr>
        <w:t>pêche</w:t>
      </w:r>
      <w:r w:rsidR="00DB1635" w:rsidRPr="00B004EE">
        <w:rPr>
          <w:rFonts w:ascii="Tahoma" w:eastAsia="American Typewriter" w:hAnsi="Tahoma" w:cs="Tahoma"/>
          <w:spacing w:val="-10"/>
          <w:sz w:val="20"/>
          <w:szCs w:val="20"/>
        </w:rPr>
        <w:t xml:space="preserve"> </w:t>
      </w:r>
      <w:r w:rsidRPr="00B004EE">
        <w:rPr>
          <w:rFonts w:ascii="Tahoma" w:eastAsia="American Typewriter" w:hAnsi="Tahoma" w:cs="Tahoma"/>
          <w:sz w:val="20"/>
          <w:szCs w:val="20"/>
        </w:rPr>
        <w:t>dans</w:t>
      </w:r>
      <w:r w:rsidR="00DB1635" w:rsidRPr="00B004EE">
        <w:rPr>
          <w:rFonts w:ascii="Tahoma" w:eastAsia="American Typewriter" w:hAnsi="Tahoma" w:cs="Tahoma"/>
          <w:spacing w:val="-11"/>
          <w:sz w:val="20"/>
          <w:szCs w:val="20"/>
        </w:rPr>
        <w:t xml:space="preserve"> </w:t>
      </w:r>
      <w:r w:rsidRPr="00B004EE">
        <w:rPr>
          <w:rFonts w:ascii="Tahoma" w:eastAsia="American Typewriter" w:hAnsi="Tahoma" w:cs="Tahoma"/>
          <w:sz w:val="20"/>
          <w:szCs w:val="20"/>
        </w:rPr>
        <w:t>les</w:t>
      </w:r>
      <w:r w:rsidR="00DB1635" w:rsidRPr="00B004EE">
        <w:rPr>
          <w:rFonts w:ascii="Tahoma" w:eastAsia="American Typewriter" w:hAnsi="Tahoma" w:cs="Tahoma"/>
          <w:spacing w:val="-11"/>
          <w:sz w:val="20"/>
          <w:szCs w:val="20"/>
        </w:rPr>
        <w:t xml:space="preserve"> </w:t>
      </w:r>
      <w:r w:rsidRPr="00B004EE">
        <w:rPr>
          <w:rFonts w:ascii="Tahoma" w:eastAsia="American Typewriter" w:hAnsi="Tahoma" w:cs="Tahoma"/>
          <w:sz w:val="20"/>
          <w:szCs w:val="20"/>
        </w:rPr>
        <w:t>eaux</w:t>
      </w:r>
      <w:r w:rsidR="00DB1635" w:rsidRPr="00B004EE">
        <w:rPr>
          <w:rFonts w:ascii="Tahoma" w:eastAsia="American Typewriter" w:hAnsi="Tahoma" w:cs="Tahoma"/>
          <w:spacing w:val="-9"/>
          <w:sz w:val="20"/>
          <w:szCs w:val="20"/>
        </w:rPr>
        <w:t xml:space="preserve"> </w:t>
      </w:r>
      <w:r w:rsidRPr="00B004EE">
        <w:rPr>
          <w:rFonts w:ascii="Tahoma" w:eastAsia="American Typewriter" w:hAnsi="Tahoma" w:cs="Tahoma"/>
          <w:sz w:val="20"/>
          <w:szCs w:val="20"/>
        </w:rPr>
        <w:t>sous</w:t>
      </w:r>
      <w:r w:rsidR="00DB1635" w:rsidRPr="00B004EE">
        <w:rPr>
          <w:rFonts w:ascii="Tahoma" w:eastAsia="American Typewriter" w:hAnsi="Tahoma" w:cs="Tahoma"/>
          <w:spacing w:val="-11"/>
          <w:sz w:val="20"/>
          <w:szCs w:val="20"/>
        </w:rPr>
        <w:t xml:space="preserve"> </w:t>
      </w:r>
      <w:r w:rsidRPr="00B004EE">
        <w:rPr>
          <w:rFonts w:ascii="Tahoma" w:eastAsia="American Typewriter" w:hAnsi="Tahoma" w:cs="Tahoma"/>
          <w:sz w:val="20"/>
          <w:szCs w:val="20"/>
        </w:rPr>
        <w:t>juridiction</w:t>
      </w:r>
      <w:r w:rsidR="00DB1635" w:rsidRPr="00B004EE">
        <w:rPr>
          <w:rFonts w:ascii="Tahoma" w:eastAsia="American Typewriter" w:hAnsi="Tahoma" w:cs="Tahoma"/>
          <w:spacing w:val="-10"/>
          <w:sz w:val="20"/>
          <w:szCs w:val="20"/>
        </w:rPr>
        <w:t xml:space="preserve"> </w:t>
      </w:r>
      <w:r w:rsidRPr="00B004EE">
        <w:rPr>
          <w:rFonts w:ascii="Tahoma" w:eastAsia="American Typewriter" w:hAnsi="Tahoma" w:cs="Tahoma"/>
          <w:sz w:val="20"/>
          <w:szCs w:val="20"/>
        </w:rPr>
        <w:t>mauritanienne</w:t>
      </w:r>
      <w:r w:rsidR="00DB1635" w:rsidRPr="00B004EE">
        <w:rPr>
          <w:rFonts w:ascii="Tahoma" w:eastAsia="American Typewriter" w:hAnsi="Tahoma" w:cs="Tahoma"/>
          <w:spacing w:val="-10"/>
          <w:sz w:val="20"/>
          <w:szCs w:val="20"/>
        </w:rPr>
        <w:t xml:space="preserve"> </w:t>
      </w:r>
      <w:r w:rsidRPr="00B004EE">
        <w:rPr>
          <w:rFonts w:ascii="Tahoma" w:eastAsia="American Typewriter" w:hAnsi="Tahoma" w:cs="Tahoma"/>
          <w:sz w:val="20"/>
          <w:szCs w:val="20"/>
        </w:rPr>
        <w:t>sans</w:t>
      </w:r>
      <w:r w:rsidR="00DB1635" w:rsidRPr="00B004EE">
        <w:rPr>
          <w:rFonts w:ascii="Tahoma" w:eastAsia="American Typewriter" w:hAnsi="Tahoma" w:cs="Tahoma"/>
          <w:w w:val="95"/>
          <w:sz w:val="20"/>
          <w:szCs w:val="20"/>
        </w:rPr>
        <w:t xml:space="preserve"> </w:t>
      </w:r>
      <w:r w:rsidRPr="00B004EE">
        <w:rPr>
          <w:rFonts w:ascii="Tahoma" w:eastAsia="American Typewriter" w:hAnsi="Tahoma" w:cs="Tahoma"/>
          <w:sz w:val="20"/>
          <w:szCs w:val="20"/>
        </w:rPr>
        <w:t>être</w:t>
      </w:r>
      <w:r w:rsidR="00DB1635" w:rsidRPr="00B004EE">
        <w:rPr>
          <w:rFonts w:ascii="Tahoma" w:eastAsia="American Typewriter" w:hAnsi="Tahoma" w:cs="Tahoma"/>
          <w:spacing w:val="-11"/>
          <w:sz w:val="20"/>
          <w:szCs w:val="20"/>
        </w:rPr>
        <w:t xml:space="preserve"> </w:t>
      </w:r>
      <w:r w:rsidRPr="00B004EE">
        <w:rPr>
          <w:rFonts w:ascii="Tahoma" w:eastAsia="American Typewriter" w:hAnsi="Tahoma" w:cs="Tahoma"/>
          <w:sz w:val="20"/>
          <w:szCs w:val="20"/>
        </w:rPr>
        <w:t>titulaire</w:t>
      </w:r>
      <w:r w:rsidR="00DB1635" w:rsidRPr="00B004EE">
        <w:rPr>
          <w:rFonts w:ascii="Tahoma" w:eastAsia="American Typewriter" w:hAnsi="Tahoma" w:cs="Tahoma"/>
          <w:spacing w:val="-11"/>
          <w:sz w:val="20"/>
          <w:szCs w:val="20"/>
        </w:rPr>
        <w:t xml:space="preserve"> </w:t>
      </w:r>
      <w:r w:rsidRPr="00B004EE">
        <w:rPr>
          <w:rFonts w:ascii="Tahoma" w:eastAsia="American Typewriter" w:hAnsi="Tahoma" w:cs="Tahoma"/>
          <w:sz w:val="20"/>
          <w:szCs w:val="20"/>
        </w:rPr>
        <w:t>d’un</w:t>
      </w:r>
      <w:r w:rsidR="00DB1635" w:rsidRPr="00B004EE">
        <w:rPr>
          <w:rFonts w:ascii="Tahoma" w:eastAsia="American Typewriter" w:hAnsi="Tahoma" w:cs="Tahoma"/>
          <w:spacing w:val="-11"/>
          <w:sz w:val="20"/>
          <w:szCs w:val="20"/>
        </w:rPr>
        <w:t xml:space="preserve"> </w:t>
      </w:r>
      <w:r w:rsidRPr="00B004EE">
        <w:rPr>
          <w:rFonts w:ascii="Tahoma" w:eastAsia="American Typewriter" w:hAnsi="Tahoma" w:cs="Tahoma"/>
          <w:sz w:val="20"/>
          <w:szCs w:val="20"/>
        </w:rPr>
        <w:t>droit</w:t>
      </w:r>
      <w:r w:rsidR="00DB1635" w:rsidRPr="00B004EE">
        <w:rPr>
          <w:rFonts w:ascii="Tahoma" w:eastAsia="American Typewriter" w:hAnsi="Tahoma" w:cs="Tahoma"/>
          <w:spacing w:val="-11"/>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pacing w:val="-11"/>
          <w:sz w:val="20"/>
          <w:szCs w:val="20"/>
        </w:rPr>
        <w:t xml:space="preserve"> </w:t>
      </w:r>
      <w:r w:rsidRPr="00B004EE">
        <w:rPr>
          <w:rFonts w:ascii="Tahoma" w:eastAsia="American Typewriter" w:hAnsi="Tahoma" w:cs="Tahoma"/>
          <w:sz w:val="20"/>
          <w:szCs w:val="20"/>
        </w:rPr>
        <w:t>pêche</w:t>
      </w:r>
      <w:r w:rsidR="00DB1635" w:rsidRPr="00B004EE">
        <w:rPr>
          <w:rFonts w:ascii="Tahoma" w:eastAsia="American Typewriter" w:hAnsi="Tahoma" w:cs="Tahoma"/>
          <w:spacing w:val="-11"/>
          <w:sz w:val="20"/>
          <w:szCs w:val="20"/>
        </w:rPr>
        <w:t xml:space="preserve"> </w:t>
      </w:r>
      <w:r w:rsidRPr="00B004EE">
        <w:rPr>
          <w:rFonts w:ascii="Tahoma" w:eastAsia="American Typewriter" w:hAnsi="Tahoma" w:cs="Tahoma"/>
          <w:sz w:val="20"/>
          <w:szCs w:val="20"/>
        </w:rPr>
        <w:t>et</w:t>
      </w:r>
      <w:r w:rsidR="00DB1635" w:rsidRPr="00B004EE">
        <w:rPr>
          <w:rFonts w:ascii="Tahoma" w:eastAsia="American Typewriter" w:hAnsi="Tahoma" w:cs="Tahoma"/>
          <w:spacing w:val="-10"/>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pacing w:val="-11"/>
          <w:sz w:val="20"/>
          <w:szCs w:val="20"/>
        </w:rPr>
        <w:t xml:space="preserve"> </w:t>
      </w:r>
      <w:r w:rsidRPr="00B004EE">
        <w:rPr>
          <w:rFonts w:ascii="Tahoma" w:eastAsia="American Typewriter" w:hAnsi="Tahoma" w:cs="Tahoma"/>
          <w:sz w:val="20"/>
          <w:szCs w:val="20"/>
        </w:rPr>
        <w:t>la</w:t>
      </w:r>
      <w:r w:rsidR="00DB1635" w:rsidRPr="00B004EE">
        <w:rPr>
          <w:rFonts w:ascii="Tahoma" w:eastAsia="American Typewriter" w:hAnsi="Tahoma" w:cs="Tahoma"/>
          <w:spacing w:val="-10"/>
          <w:sz w:val="20"/>
          <w:szCs w:val="20"/>
        </w:rPr>
        <w:t xml:space="preserve"> </w:t>
      </w:r>
      <w:r w:rsidRPr="00B004EE">
        <w:rPr>
          <w:rFonts w:ascii="Tahoma" w:eastAsia="American Typewriter" w:hAnsi="Tahoma" w:cs="Tahoma"/>
          <w:sz w:val="20"/>
          <w:szCs w:val="20"/>
        </w:rPr>
        <w:t>licence</w:t>
      </w:r>
      <w:r w:rsidR="00DB1635" w:rsidRPr="00B004EE">
        <w:rPr>
          <w:rFonts w:ascii="Tahoma" w:eastAsia="American Typewriter" w:hAnsi="Tahoma" w:cs="Tahoma"/>
          <w:spacing w:val="-11"/>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pacing w:val="-11"/>
          <w:sz w:val="20"/>
          <w:szCs w:val="20"/>
        </w:rPr>
        <w:t xml:space="preserve"> </w:t>
      </w:r>
      <w:r w:rsidRPr="00B004EE">
        <w:rPr>
          <w:rFonts w:ascii="Tahoma" w:eastAsia="American Typewriter" w:hAnsi="Tahoma" w:cs="Tahoma"/>
          <w:sz w:val="20"/>
          <w:szCs w:val="20"/>
        </w:rPr>
        <w:t>pêche</w:t>
      </w:r>
      <w:r w:rsidR="00DB1635" w:rsidRPr="00B004EE">
        <w:rPr>
          <w:rFonts w:ascii="Tahoma" w:eastAsia="American Typewriter" w:hAnsi="Tahoma" w:cs="Tahoma"/>
          <w:spacing w:val="-11"/>
          <w:sz w:val="20"/>
          <w:szCs w:val="20"/>
        </w:rPr>
        <w:t xml:space="preserve"> </w:t>
      </w:r>
      <w:r w:rsidRPr="00B004EE">
        <w:rPr>
          <w:rFonts w:ascii="Tahoma" w:eastAsia="American Typewriter" w:hAnsi="Tahoma" w:cs="Tahoma"/>
          <w:sz w:val="20"/>
          <w:szCs w:val="20"/>
        </w:rPr>
        <w:t>y</w:t>
      </w:r>
      <w:r w:rsidR="00DB1635" w:rsidRPr="00B004EE">
        <w:rPr>
          <w:rFonts w:ascii="Tahoma" w:eastAsia="American Typewriter" w:hAnsi="Tahoma" w:cs="Tahoma"/>
          <w:spacing w:val="-10"/>
          <w:sz w:val="20"/>
          <w:szCs w:val="20"/>
        </w:rPr>
        <w:t xml:space="preserve"> </w:t>
      </w:r>
      <w:r w:rsidR="00F81386" w:rsidRPr="00B004EE">
        <w:rPr>
          <w:rFonts w:ascii="Tahoma" w:eastAsia="American Typewriter" w:hAnsi="Tahoma" w:cs="Tahoma"/>
          <w:sz w:val="20"/>
          <w:szCs w:val="20"/>
        </w:rPr>
        <w:t>afférente ;</w:t>
      </w:r>
    </w:p>
    <w:p w14:paraId="270F3EAF" w14:textId="20322973" w:rsidR="001E7C3C" w:rsidRPr="00B004EE" w:rsidRDefault="00F81386" w:rsidP="00420DDA">
      <w:pPr>
        <w:pStyle w:val="Paragraphedeliste"/>
        <w:widowControl w:val="0"/>
        <w:numPr>
          <w:ilvl w:val="0"/>
          <w:numId w:val="32"/>
        </w:numPr>
        <w:tabs>
          <w:tab w:val="left" w:pos="709"/>
        </w:tabs>
        <w:ind w:left="567" w:right="559"/>
        <w:rPr>
          <w:rFonts w:ascii="Tahoma" w:eastAsia="American Typewriter" w:hAnsi="Tahoma" w:cs="Tahoma"/>
          <w:sz w:val="20"/>
          <w:szCs w:val="20"/>
        </w:rPr>
      </w:pPr>
      <w:r w:rsidRPr="00B004EE">
        <w:rPr>
          <w:rFonts w:ascii="Tahoma" w:hAnsi="Tahoma" w:cs="Tahoma"/>
          <w:sz w:val="20"/>
          <w:szCs w:val="20"/>
        </w:rPr>
        <w:t>Les</w:t>
      </w:r>
      <w:r w:rsidR="00DB1635" w:rsidRPr="00B004EE">
        <w:rPr>
          <w:rFonts w:ascii="Tahoma" w:hAnsi="Tahoma" w:cs="Tahoma"/>
          <w:sz w:val="20"/>
          <w:szCs w:val="20"/>
        </w:rPr>
        <w:t xml:space="preserve"> </w:t>
      </w:r>
      <w:r w:rsidR="001E7C3C" w:rsidRPr="00B004EE">
        <w:rPr>
          <w:rFonts w:ascii="Tahoma" w:hAnsi="Tahoma" w:cs="Tahoma"/>
          <w:sz w:val="20"/>
          <w:szCs w:val="20"/>
        </w:rPr>
        <w:t>fausses</w:t>
      </w:r>
      <w:r w:rsidR="00DB1635" w:rsidRPr="00B004EE">
        <w:rPr>
          <w:rFonts w:ascii="Tahoma" w:hAnsi="Tahoma" w:cs="Tahoma"/>
          <w:sz w:val="20"/>
          <w:szCs w:val="20"/>
        </w:rPr>
        <w:t xml:space="preserve"> </w:t>
      </w:r>
      <w:r w:rsidR="001E7C3C" w:rsidRPr="00B004EE">
        <w:rPr>
          <w:rFonts w:ascii="Tahoma" w:hAnsi="Tahoma" w:cs="Tahoma"/>
          <w:sz w:val="20"/>
          <w:szCs w:val="20"/>
        </w:rPr>
        <w:t>déclarations</w:t>
      </w:r>
      <w:r w:rsidR="00DB1635" w:rsidRPr="00B004EE">
        <w:rPr>
          <w:rFonts w:ascii="Tahoma" w:hAnsi="Tahoma" w:cs="Tahoma"/>
          <w:sz w:val="20"/>
          <w:szCs w:val="20"/>
        </w:rPr>
        <w:t xml:space="preserve"> </w:t>
      </w:r>
      <w:r w:rsidR="001E7C3C" w:rsidRPr="00B004EE">
        <w:rPr>
          <w:rFonts w:ascii="Tahoma" w:hAnsi="Tahoma" w:cs="Tahoma"/>
          <w:sz w:val="20"/>
          <w:szCs w:val="20"/>
        </w:rPr>
        <w:t>de</w:t>
      </w:r>
      <w:r w:rsidR="00DB1635" w:rsidRPr="00B004EE">
        <w:rPr>
          <w:rFonts w:ascii="Tahoma" w:hAnsi="Tahoma" w:cs="Tahoma"/>
          <w:spacing w:val="11"/>
          <w:sz w:val="20"/>
          <w:szCs w:val="20"/>
        </w:rPr>
        <w:t xml:space="preserve"> </w:t>
      </w:r>
      <w:r w:rsidRPr="00B004EE">
        <w:rPr>
          <w:rFonts w:ascii="Tahoma" w:hAnsi="Tahoma" w:cs="Tahoma"/>
          <w:sz w:val="20"/>
          <w:szCs w:val="20"/>
        </w:rPr>
        <w:t>captures ;</w:t>
      </w:r>
    </w:p>
    <w:p w14:paraId="6D9A25D5" w14:textId="174B35B2" w:rsidR="001E7C3C" w:rsidRPr="00B004EE" w:rsidRDefault="001E7C3C" w:rsidP="00420DDA">
      <w:pPr>
        <w:pStyle w:val="Paragraphedeliste"/>
        <w:widowControl w:val="0"/>
        <w:numPr>
          <w:ilvl w:val="0"/>
          <w:numId w:val="32"/>
        </w:numPr>
        <w:tabs>
          <w:tab w:val="left" w:pos="709"/>
        </w:tabs>
        <w:ind w:left="567" w:right="165"/>
        <w:jc w:val="both"/>
        <w:rPr>
          <w:rFonts w:ascii="Tahoma" w:eastAsia="American Typewriter" w:hAnsi="Tahoma" w:cs="Tahoma"/>
          <w:sz w:val="20"/>
          <w:szCs w:val="20"/>
        </w:rPr>
      </w:pPr>
      <w:proofErr w:type="gramStart"/>
      <w:r w:rsidRPr="00B004EE">
        <w:rPr>
          <w:rFonts w:ascii="Tahoma" w:hAnsi="Tahoma" w:cs="Tahoma"/>
          <w:sz w:val="20"/>
          <w:szCs w:val="20"/>
        </w:rPr>
        <w:t>le</w:t>
      </w:r>
      <w:proofErr w:type="gramEnd"/>
      <w:r w:rsidR="00DB1635" w:rsidRPr="00B004EE">
        <w:rPr>
          <w:rFonts w:ascii="Tahoma" w:hAnsi="Tahoma" w:cs="Tahoma"/>
          <w:spacing w:val="-22"/>
          <w:sz w:val="20"/>
          <w:szCs w:val="20"/>
        </w:rPr>
        <w:t xml:space="preserve"> </w:t>
      </w:r>
      <w:r w:rsidRPr="00B004EE">
        <w:rPr>
          <w:rFonts w:ascii="Tahoma" w:hAnsi="Tahoma" w:cs="Tahoma"/>
          <w:sz w:val="20"/>
          <w:szCs w:val="20"/>
        </w:rPr>
        <w:t>non-respect</w:t>
      </w:r>
      <w:r w:rsidR="00DB1635" w:rsidRPr="00B004EE">
        <w:rPr>
          <w:rFonts w:ascii="Tahoma" w:hAnsi="Tahoma" w:cs="Tahoma"/>
          <w:spacing w:val="-22"/>
          <w:sz w:val="20"/>
          <w:szCs w:val="20"/>
        </w:rPr>
        <w:t xml:space="preserve"> </w:t>
      </w:r>
      <w:r w:rsidRPr="00B004EE">
        <w:rPr>
          <w:rFonts w:ascii="Tahoma" w:hAnsi="Tahoma" w:cs="Tahoma"/>
          <w:sz w:val="20"/>
          <w:szCs w:val="20"/>
        </w:rPr>
        <w:t>de</w:t>
      </w:r>
      <w:r w:rsidR="00DB1635" w:rsidRPr="00B004EE">
        <w:rPr>
          <w:rFonts w:ascii="Tahoma" w:hAnsi="Tahoma" w:cs="Tahoma"/>
          <w:spacing w:val="-22"/>
          <w:sz w:val="20"/>
          <w:szCs w:val="20"/>
        </w:rPr>
        <w:t xml:space="preserve"> </w:t>
      </w:r>
      <w:r w:rsidRPr="00B004EE">
        <w:rPr>
          <w:rFonts w:ascii="Tahoma" w:hAnsi="Tahoma" w:cs="Tahoma"/>
          <w:sz w:val="20"/>
          <w:szCs w:val="20"/>
        </w:rPr>
        <w:t>l'obligation</w:t>
      </w:r>
      <w:r w:rsidR="00DB1635" w:rsidRPr="00B004EE">
        <w:rPr>
          <w:rFonts w:ascii="Tahoma" w:hAnsi="Tahoma" w:cs="Tahoma"/>
          <w:spacing w:val="-22"/>
          <w:sz w:val="20"/>
          <w:szCs w:val="20"/>
        </w:rPr>
        <w:t xml:space="preserve"> </w:t>
      </w:r>
      <w:r w:rsidRPr="00B004EE">
        <w:rPr>
          <w:rFonts w:ascii="Tahoma" w:hAnsi="Tahoma" w:cs="Tahoma"/>
          <w:sz w:val="20"/>
          <w:szCs w:val="20"/>
        </w:rPr>
        <w:t>de</w:t>
      </w:r>
      <w:r w:rsidR="00DB1635" w:rsidRPr="00B004EE">
        <w:rPr>
          <w:rFonts w:ascii="Tahoma" w:hAnsi="Tahoma" w:cs="Tahoma"/>
          <w:spacing w:val="-22"/>
          <w:sz w:val="20"/>
          <w:szCs w:val="20"/>
        </w:rPr>
        <w:t xml:space="preserve"> </w:t>
      </w:r>
      <w:r w:rsidRPr="00B004EE">
        <w:rPr>
          <w:rFonts w:ascii="Tahoma" w:hAnsi="Tahoma" w:cs="Tahoma"/>
          <w:sz w:val="20"/>
          <w:szCs w:val="20"/>
        </w:rPr>
        <w:t>débarquement</w:t>
      </w:r>
      <w:r w:rsidR="00DB1635" w:rsidRPr="00B004EE">
        <w:rPr>
          <w:rFonts w:ascii="Tahoma" w:hAnsi="Tahoma" w:cs="Tahoma"/>
          <w:spacing w:val="-23"/>
          <w:sz w:val="20"/>
          <w:szCs w:val="20"/>
        </w:rPr>
        <w:t xml:space="preserve"> </w:t>
      </w:r>
      <w:r w:rsidRPr="00B004EE">
        <w:rPr>
          <w:rFonts w:ascii="Tahoma" w:hAnsi="Tahoma" w:cs="Tahoma"/>
          <w:sz w:val="20"/>
          <w:szCs w:val="20"/>
        </w:rPr>
        <w:t>des</w:t>
      </w:r>
      <w:r w:rsidR="00DB1635" w:rsidRPr="00B004EE">
        <w:rPr>
          <w:rFonts w:ascii="Tahoma" w:hAnsi="Tahoma" w:cs="Tahoma"/>
          <w:spacing w:val="-23"/>
          <w:sz w:val="20"/>
          <w:szCs w:val="20"/>
        </w:rPr>
        <w:t xml:space="preserve"> </w:t>
      </w:r>
      <w:r w:rsidRPr="00B004EE">
        <w:rPr>
          <w:rFonts w:ascii="Tahoma" w:hAnsi="Tahoma" w:cs="Tahoma"/>
          <w:sz w:val="20"/>
          <w:szCs w:val="20"/>
        </w:rPr>
        <w:t>produits</w:t>
      </w:r>
      <w:r w:rsidR="00DB1635" w:rsidRPr="00B004EE">
        <w:rPr>
          <w:rFonts w:ascii="Tahoma" w:hAnsi="Tahoma" w:cs="Tahoma"/>
          <w:spacing w:val="-23"/>
          <w:sz w:val="20"/>
          <w:szCs w:val="20"/>
        </w:rPr>
        <w:t xml:space="preserve"> </w:t>
      </w:r>
      <w:r w:rsidRPr="00B004EE">
        <w:rPr>
          <w:rFonts w:ascii="Tahoma" w:hAnsi="Tahoma" w:cs="Tahoma"/>
          <w:sz w:val="20"/>
          <w:szCs w:val="20"/>
        </w:rPr>
        <w:t>de</w:t>
      </w:r>
      <w:r w:rsidR="00DB1635" w:rsidRPr="00B004EE">
        <w:rPr>
          <w:rFonts w:ascii="Tahoma" w:hAnsi="Tahoma" w:cs="Tahoma"/>
          <w:spacing w:val="-22"/>
          <w:sz w:val="20"/>
          <w:szCs w:val="20"/>
        </w:rPr>
        <w:t xml:space="preserve"> </w:t>
      </w:r>
      <w:r w:rsidRPr="00B004EE">
        <w:rPr>
          <w:rFonts w:ascii="Tahoma" w:hAnsi="Tahoma" w:cs="Tahoma"/>
          <w:sz w:val="20"/>
          <w:szCs w:val="20"/>
        </w:rPr>
        <w:t>la</w:t>
      </w:r>
      <w:r w:rsidR="00DB1635" w:rsidRPr="00B004EE">
        <w:rPr>
          <w:rFonts w:ascii="Tahoma" w:hAnsi="Tahoma" w:cs="Tahoma"/>
          <w:spacing w:val="-24"/>
          <w:sz w:val="20"/>
          <w:szCs w:val="20"/>
        </w:rPr>
        <w:t xml:space="preserve"> </w:t>
      </w:r>
      <w:r w:rsidRPr="00B004EE">
        <w:rPr>
          <w:rFonts w:ascii="Tahoma" w:hAnsi="Tahoma" w:cs="Tahoma"/>
          <w:sz w:val="20"/>
          <w:szCs w:val="20"/>
        </w:rPr>
        <w:t>pêche</w:t>
      </w:r>
      <w:r w:rsidR="00DB1635" w:rsidRPr="00B004EE">
        <w:rPr>
          <w:rFonts w:ascii="Tahoma" w:hAnsi="Tahoma" w:cs="Tahoma"/>
          <w:spacing w:val="-24"/>
          <w:sz w:val="20"/>
          <w:szCs w:val="20"/>
        </w:rPr>
        <w:t xml:space="preserve"> </w:t>
      </w:r>
      <w:r w:rsidRPr="00B004EE">
        <w:rPr>
          <w:rFonts w:ascii="Tahoma" w:hAnsi="Tahoma" w:cs="Tahoma"/>
          <w:sz w:val="20"/>
          <w:szCs w:val="20"/>
        </w:rPr>
        <w:t>en</w:t>
      </w:r>
      <w:r w:rsidR="00DB1635" w:rsidRPr="00B004EE">
        <w:rPr>
          <w:rFonts w:ascii="Tahoma" w:hAnsi="Tahoma" w:cs="Tahoma"/>
          <w:w w:val="95"/>
          <w:sz w:val="20"/>
          <w:szCs w:val="20"/>
        </w:rPr>
        <w:t xml:space="preserve"> </w:t>
      </w:r>
      <w:r w:rsidRPr="00B004EE">
        <w:rPr>
          <w:rFonts w:ascii="Tahoma" w:hAnsi="Tahoma" w:cs="Tahoma"/>
          <w:sz w:val="20"/>
          <w:szCs w:val="20"/>
        </w:rPr>
        <w:t>Mauritanie,</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transbordements</w:t>
      </w:r>
      <w:r w:rsidR="00DB1635" w:rsidRPr="00B004EE">
        <w:rPr>
          <w:rFonts w:ascii="Tahoma" w:hAnsi="Tahoma" w:cs="Tahoma"/>
          <w:sz w:val="20"/>
          <w:szCs w:val="20"/>
        </w:rPr>
        <w:t xml:space="preserve"> </w:t>
      </w:r>
      <w:r w:rsidRPr="00B004EE">
        <w:rPr>
          <w:rFonts w:ascii="Tahoma" w:hAnsi="Tahoma" w:cs="Tahoma"/>
          <w:sz w:val="20"/>
          <w:szCs w:val="20"/>
        </w:rPr>
        <w:t>illicites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captures</w:t>
      </w:r>
      <w:r w:rsidR="00DB1635" w:rsidRPr="00B004EE">
        <w:rPr>
          <w:rFonts w:ascii="Tahoma" w:hAnsi="Tahoma" w:cs="Tahoma"/>
          <w:sz w:val="20"/>
          <w:szCs w:val="20"/>
        </w:rPr>
        <w:t xml:space="preserve"> </w:t>
      </w:r>
      <w:r w:rsidRPr="00B004EE">
        <w:rPr>
          <w:rFonts w:ascii="Tahoma" w:hAnsi="Tahoma" w:cs="Tahoma"/>
          <w:sz w:val="20"/>
          <w:szCs w:val="20"/>
        </w:rPr>
        <w:t>sous</w:t>
      </w:r>
      <w:r w:rsidR="00DB1635" w:rsidRPr="00B004EE">
        <w:rPr>
          <w:rFonts w:ascii="Tahoma" w:hAnsi="Tahoma" w:cs="Tahoma"/>
          <w:spacing w:val="18"/>
          <w:sz w:val="20"/>
          <w:szCs w:val="20"/>
        </w:rPr>
        <w:t xml:space="preserve"> </w:t>
      </w:r>
      <w:r w:rsidRPr="00B004EE">
        <w:rPr>
          <w:rFonts w:ascii="Tahoma" w:hAnsi="Tahoma" w:cs="Tahoma"/>
          <w:sz w:val="20"/>
          <w:szCs w:val="20"/>
        </w:rPr>
        <w:t>quelque</w:t>
      </w:r>
      <w:r w:rsidR="00DB1635" w:rsidRPr="00B004EE">
        <w:rPr>
          <w:rFonts w:ascii="Tahoma" w:hAnsi="Tahoma" w:cs="Tahoma"/>
          <w:w w:val="96"/>
          <w:sz w:val="20"/>
          <w:szCs w:val="20"/>
        </w:rPr>
        <w:t xml:space="preserve"> </w:t>
      </w:r>
      <w:r w:rsidRPr="00B004EE">
        <w:rPr>
          <w:rFonts w:ascii="Tahoma" w:hAnsi="Tahoma" w:cs="Tahoma"/>
          <w:sz w:val="20"/>
          <w:szCs w:val="20"/>
        </w:rPr>
        <w:t>circonstance</w:t>
      </w:r>
      <w:r w:rsidR="00DB1635" w:rsidRPr="00B004EE">
        <w:rPr>
          <w:rFonts w:ascii="Tahoma" w:hAnsi="Tahoma" w:cs="Tahoma"/>
          <w:spacing w:val="-8"/>
          <w:sz w:val="20"/>
          <w:szCs w:val="20"/>
        </w:rPr>
        <w:t xml:space="preserve"> </w:t>
      </w:r>
      <w:r w:rsidRPr="00B004EE">
        <w:rPr>
          <w:rFonts w:ascii="Tahoma" w:hAnsi="Tahoma" w:cs="Tahoma"/>
          <w:sz w:val="20"/>
          <w:szCs w:val="20"/>
        </w:rPr>
        <w:t>que</w:t>
      </w:r>
      <w:r w:rsidR="00DB1635" w:rsidRPr="00B004EE">
        <w:rPr>
          <w:rFonts w:ascii="Tahoma" w:hAnsi="Tahoma" w:cs="Tahoma"/>
          <w:spacing w:val="-9"/>
          <w:sz w:val="20"/>
          <w:szCs w:val="20"/>
        </w:rPr>
        <w:t xml:space="preserve"> </w:t>
      </w:r>
      <w:r w:rsidRPr="00B004EE">
        <w:rPr>
          <w:rFonts w:ascii="Tahoma" w:hAnsi="Tahoma" w:cs="Tahoma"/>
          <w:sz w:val="20"/>
          <w:szCs w:val="20"/>
        </w:rPr>
        <w:t>ce</w:t>
      </w:r>
      <w:r w:rsidR="00DB1635" w:rsidRPr="00B004EE">
        <w:rPr>
          <w:rFonts w:ascii="Tahoma" w:hAnsi="Tahoma" w:cs="Tahoma"/>
          <w:spacing w:val="-9"/>
          <w:sz w:val="20"/>
          <w:szCs w:val="20"/>
        </w:rPr>
        <w:t xml:space="preserve"> </w:t>
      </w:r>
      <w:r w:rsidRPr="00B004EE">
        <w:rPr>
          <w:rFonts w:ascii="Tahoma" w:hAnsi="Tahoma" w:cs="Tahoma"/>
          <w:sz w:val="20"/>
          <w:szCs w:val="20"/>
        </w:rPr>
        <w:t>soit</w:t>
      </w:r>
      <w:r w:rsidR="00DB1635" w:rsidRPr="00B004EE">
        <w:rPr>
          <w:rFonts w:ascii="Tahoma" w:hAnsi="Tahoma" w:cs="Tahoma"/>
          <w:spacing w:val="-9"/>
          <w:sz w:val="20"/>
          <w:szCs w:val="20"/>
        </w:rPr>
        <w:t xml:space="preserve"> </w:t>
      </w:r>
      <w:r w:rsidRPr="00B004EE">
        <w:rPr>
          <w:rFonts w:ascii="Tahoma" w:hAnsi="Tahoma" w:cs="Tahoma"/>
          <w:sz w:val="20"/>
          <w:szCs w:val="20"/>
        </w:rPr>
        <w:t>et</w:t>
      </w:r>
      <w:r w:rsidR="00DB1635" w:rsidRPr="00B004EE">
        <w:rPr>
          <w:rFonts w:ascii="Tahoma" w:hAnsi="Tahoma" w:cs="Tahoma"/>
          <w:spacing w:val="-9"/>
          <w:sz w:val="20"/>
          <w:szCs w:val="20"/>
        </w:rPr>
        <w:t xml:space="preserve"> </w:t>
      </w:r>
      <w:r w:rsidRPr="00B004EE">
        <w:rPr>
          <w:rFonts w:ascii="Tahoma" w:hAnsi="Tahoma" w:cs="Tahoma"/>
          <w:sz w:val="20"/>
          <w:szCs w:val="20"/>
        </w:rPr>
        <w:t>l'utilisation</w:t>
      </w:r>
      <w:r w:rsidR="00DB1635" w:rsidRPr="00B004EE">
        <w:rPr>
          <w:rFonts w:ascii="Tahoma" w:hAnsi="Tahoma" w:cs="Tahoma"/>
          <w:spacing w:val="-9"/>
          <w:sz w:val="20"/>
          <w:szCs w:val="20"/>
        </w:rPr>
        <w:t xml:space="preserve"> </w:t>
      </w:r>
      <w:r w:rsidRPr="00B004EE">
        <w:rPr>
          <w:rFonts w:ascii="Tahoma" w:hAnsi="Tahoma" w:cs="Tahoma"/>
          <w:sz w:val="20"/>
          <w:szCs w:val="20"/>
        </w:rPr>
        <w:t>des</w:t>
      </w:r>
      <w:r w:rsidR="00DB1635" w:rsidRPr="00B004EE">
        <w:rPr>
          <w:rFonts w:ascii="Tahoma" w:hAnsi="Tahoma" w:cs="Tahoma"/>
          <w:spacing w:val="-10"/>
          <w:sz w:val="20"/>
          <w:szCs w:val="20"/>
        </w:rPr>
        <w:t xml:space="preserve"> </w:t>
      </w:r>
      <w:r w:rsidRPr="00B004EE">
        <w:rPr>
          <w:rFonts w:ascii="Tahoma" w:hAnsi="Tahoma" w:cs="Tahoma"/>
          <w:sz w:val="20"/>
          <w:szCs w:val="20"/>
        </w:rPr>
        <w:t>départs</w:t>
      </w:r>
      <w:r w:rsidR="00DB1635" w:rsidRPr="00B004EE">
        <w:rPr>
          <w:rFonts w:ascii="Tahoma" w:hAnsi="Tahoma" w:cs="Tahoma"/>
          <w:spacing w:val="-10"/>
          <w:sz w:val="20"/>
          <w:szCs w:val="20"/>
        </w:rPr>
        <w:t xml:space="preserve"> </w:t>
      </w:r>
      <w:r w:rsidRPr="00B004EE">
        <w:rPr>
          <w:rFonts w:ascii="Tahoma" w:hAnsi="Tahoma" w:cs="Tahoma"/>
          <w:sz w:val="20"/>
          <w:szCs w:val="20"/>
        </w:rPr>
        <w:t>en</w:t>
      </w:r>
      <w:r w:rsidR="00DB1635" w:rsidRPr="00B004EE">
        <w:rPr>
          <w:rFonts w:ascii="Tahoma" w:hAnsi="Tahoma" w:cs="Tahoma"/>
          <w:spacing w:val="-9"/>
          <w:sz w:val="20"/>
          <w:szCs w:val="20"/>
        </w:rPr>
        <w:t xml:space="preserve"> </w:t>
      </w:r>
      <w:r w:rsidRPr="00B004EE">
        <w:rPr>
          <w:rFonts w:ascii="Tahoma" w:hAnsi="Tahoma" w:cs="Tahoma"/>
          <w:sz w:val="20"/>
          <w:szCs w:val="20"/>
        </w:rPr>
        <w:t>carénage</w:t>
      </w:r>
      <w:r w:rsidR="00DB1635" w:rsidRPr="00B004EE">
        <w:rPr>
          <w:rFonts w:ascii="Tahoma" w:hAnsi="Tahoma" w:cs="Tahoma"/>
          <w:spacing w:val="-9"/>
          <w:sz w:val="20"/>
          <w:szCs w:val="20"/>
        </w:rPr>
        <w:t xml:space="preserve"> </w:t>
      </w:r>
      <w:r w:rsidRPr="00B004EE">
        <w:rPr>
          <w:rFonts w:ascii="Tahoma" w:hAnsi="Tahoma" w:cs="Tahoma"/>
          <w:sz w:val="20"/>
          <w:szCs w:val="20"/>
        </w:rPr>
        <w:t>à</w:t>
      </w:r>
      <w:r w:rsidR="00DB1635" w:rsidRPr="00B004EE">
        <w:rPr>
          <w:rFonts w:ascii="Tahoma" w:hAnsi="Tahoma" w:cs="Tahoma"/>
          <w:spacing w:val="-8"/>
          <w:sz w:val="20"/>
          <w:szCs w:val="20"/>
        </w:rPr>
        <w:t xml:space="preserve"> </w:t>
      </w:r>
      <w:r w:rsidRPr="00B004EE">
        <w:rPr>
          <w:rFonts w:ascii="Tahoma" w:hAnsi="Tahoma" w:cs="Tahoma"/>
          <w:sz w:val="20"/>
          <w:szCs w:val="20"/>
        </w:rPr>
        <w:t>des</w:t>
      </w:r>
      <w:r w:rsidR="00DB1635" w:rsidRPr="00B004EE">
        <w:rPr>
          <w:rFonts w:ascii="Tahoma" w:hAnsi="Tahoma" w:cs="Tahoma"/>
          <w:spacing w:val="-10"/>
          <w:sz w:val="20"/>
          <w:szCs w:val="20"/>
        </w:rPr>
        <w:t xml:space="preserve"> </w:t>
      </w:r>
      <w:r w:rsidRPr="00B004EE">
        <w:rPr>
          <w:rFonts w:ascii="Tahoma" w:hAnsi="Tahoma" w:cs="Tahoma"/>
          <w:sz w:val="20"/>
          <w:szCs w:val="20"/>
        </w:rPr>
        <w:t>fins</w:t>
      </w:r>
      <w:r w:rsidR="00DB1635" w:rsidRPr="00B004EE">
        <w:rPr>
          <w:rFonts w:ascii="Tahoma" w:hAnsi="Tahoma" w:cs="Tahoma"/>
          <w:w w:val="96"/>
          <w:sz w:val="20"/>
          <w:szCs w:val="20"/>
        </w:rPr>
        <w:t xml:space="preserve"> </w:t>
      </w:r>
      <w:r w:rsidRPr="00B004EE">
        <w:rPr>
          <w:rFonts w:ascii="Tahoma" w:hAnsi="Tahoma" w:cs="Tahoma"/>
          <w:sz w:val="20"/>
          <w:szCs w:val="20"/>
        </w:rPr>
        <w:t>de</w:t>
      </w:r>
      <w:r w:rsidR="00DB1635" w:rsidRPr="00B004EE">
        <w:rPr>
          <w:rFonts w:ascii="Tahoma" w:hAnsi="Tahoma" w:cs="Tahoma"/>
          <w:spacing w:val="5"/>
          <w:sz w:val="20"/>
          <w:szCs w:val="20"/>
        </w:rPr>
        <w:t xml:space="preserve"> </w:t>
      </w:r>
      <w:r w:rsidRPr="00B004EE">
        <w:rPr>
          <w:rFonts w:ascii="Tahoma" w:hAnsi="Tahoma" w:cs="Tahoma"/>
          <w:sz w:val="20"/>
          <w:szCs w:val="20"/>
        </w:rPr>
        <w:t>pêche;</w:t>
      </w:r>
    </w:p>
    <w:p w14:paraId="4DAA4461" w14:textId="15765B2E" w:rsidR="001E7C3C" w:rsidRPr="00B004EE" w:rsidRDefault="001E7C3C" w:rsidP="00420DDA">
      <w:pPr>
        <w:pStyle w:val="Paragraphedeliste"/>
        <w:widowControl w:val="0"/>
        <w:numPr>
          <w:ilvl w:val="0"/>
          <w:numId w:val="32"/>
        </w:numPr>
        <w:tabs>
          <w:tab w:val="left" w:pos="709"/>
        </w:tabs>
        <w:ind w:left="567" w:right="161"/>
        <w:jc w:val="both"/>
        <w:rPr>
          <w:rFonts w:ascii="Tahoma" w:eastAsia="American Typewriter" w:hAnsi="Tahoma" w:cs="Tahoma"/>
          <w:sz w:val="20"/>
          <w:szCs w:val="20"/>
        </w:rPr>
      </w:pPr>
      <w:proofErr w:type="gramStart"/>
      <w:r w:rsidRPr="00B004EE">
        <w:rPr>
          <w:rFonts w:ascii="Tahoma" w:hAnsi="Tahoma" w:cs="Tahoma"/>
          <w:sz w:val="20"/>
          <w:szCs w:val="20"/>
        </w:rPr>
        <w:t>la</w:t>
      </w:r>
      <w:proofErr w:type="gramEnd"/>
      <w:r w:rsidR="00DB1635" w:rsidRPr="00B004EE">
        <w:rPr>
          <w:rFonts w:ascii="Tahoma" w:hAnsi="Tahoma" w:cs="Tahoma"/>
          <w:sz w:val="20"/>
          <w:szCs w:val="20"/>
        </w:rPr>
        <w:t xml:space="preserve"> </w:t>
      </w:r>
      <w:r w:rsidRPr="00B004EE">
        <w:rPr>
          <w:rFonts w:ascii="Tahoma" w:hAnsi="Tahoma" w:cs="Tahoma"/>
          <w:sz w:val="20"/>
          <w:szCs w:val="20"/>
        </w:rPr>
        <w:t>vente,</w:t>
      </w:r>
      <w:r w:rsidR="00DB1635" w:rsidRPr="00B004EE">
        <w:rPr>
          <w:rFonts w:ascii="Tahoma" w:hAnsi="Tahoma" w:cs="Tahoma"/>
          <w:sz w:val="20"/>
          <w:szCs w:val="20"/>
        </w:rPr>
        <w:t xml:space="preserve"> </w:t>
      </w:r>
      <w:r w:rsidRPr="00B004EE">
        <w:rPr>
          <w:rFonts w:ascii="Tahoma" w:hAnsi="Tahoma" w:cs="Tahoma"/>
          <w:sz w:val="20"/>
          <w:szCs w:val="20"/>
        </w:rPr>
        <w:t>l'achat,</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transport,</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colportage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espèces</w:t>
      </w:r>
      <w:r w:rsidR="00DB1635" w:rsidRPr="00B004EE">
        <w:rPr>
          <w:rFonts w:ascii="Tahoma" w:hAnsi="Tahoma" w:cs="Tahoma"/>
          <w:spacing w:val="5"/>
          <w:sz w:val="20"/>
          <w:szCs w:val="20"/>
        </w:rPr>
        <w:t xml:space="preserve"> </w:t>
      </w:r>
      <w:r w:rsidRPr="00B004EE">
        <w:rPr>
          <w:rFonts w:ascii="Tahoma" w:hAnsi="Tahoma" w:cs="Tahoma"/>
          <w:sz w:val="20"/>
          <w:szCs w:val="20"/>
        </w:rPr>
        <w:t>biologiques</w:t>
      </w:r>
      <w:r w:rsidR="00DB1635" w:rsidRPr="00B004EE">
        <w:rPr>
          <w:rFonts w:ascii="Tahoma" w:hAnsi="Tahoma" w:cs="Tahoma"/>
          <w:w w:val="96"/>
          <w:sz w:val="20"/>
          <w:szCs w:val="20"/>
        </w:rPr>
        <w:t xml:space="preserve"> </w:t>
      </w:r>
      <w:r w:rsidRPr="00B004EE">
        <w:rPr>
          <w:rFonts w:ascii="Tahoma" w:hAnsi="Tahoma" w:cs="Tahoma"/>
          <w:sz w:val="20"/>
          <w:szCs w:val="20"/>
        </w:rPr>
        <w:t>destinées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l'élevage</w:t>
      </w:r>
      <w:r w:rsidR="00DB1635" w:rsidRPr="00B004EE">
        <w:rPr>
          <w:rFonts w:ascii="Tahoma" w:hAnsi="Tahoma" w:cs="Tahoma"/>
          <w:sz w:val="20"/>
          <w:szCs w:val="20"/>
        </w:rPr>
        <w:t xml:space="preserve"> </w:t>
      </w:r>
      <w:r w:rsidRPr="00B004EE">
        <w:rPr>
          <w:rFonts w:ascii="Tahoma" w:hAnsi="Tahoma" w:cs="Tahoma"/>
          <w:sz w:val="20"/>
          <w:szCs w:val="20"/>
        </w:rPr>
        <w:t>sans</w:t>
      </w:r>
      <w:r w:rsidR="00DB1635" w:rsidRPr="00B004EE">
        <w:rPr>
          <w:rFonts w:ascii="Tahoma" w:hAnsi="Tahoma" w:cs="Tahoma"/>
          <w:sz w:val="20"/>
          <w:szCs w:val="20"/>
        </w:rPr>
        <w:t xml:space="preserve"> </w:t>
      </w:r>
      <w:r w:rsidRPr="00B004EE">
        <w:rPr>
          <w:rFonts w:ascii="Tahoma" w:hAnsi="Tahoma" w:cs="Tahoma"/>
          <w:sz w:val="20"/>
          <w:szCs w:val="20"/>
        </w:rPr>
        <w:t>autorisation</w:t>
      </w:r>
      <w:r w:rsidR="00DB1635" w:rsidRPr="00B004EE">
        <w:rPr>
          <w:rFonts w:ascii="Tahoma" w:hAnsi="Tahoma" w:cs="Tahoma"/>
          <w:sz w:val="20"/>
          <w:szCs w:val="20"/>
        </w:rPr>
        <w:t xml:space="preserve"> </w:t>
      </w:r>
      <w:r w:rsidRPr="00B004EE">
        <w:rPr>
          <w:rFonts w:ascii="Tahoma" w:hAnsi="Tahoma" w:cs="Tahoma"/>
          <w:sz w:val="20"/>
          <w:szCs w:val="20"/>
        </w:rPr>
        <w:t>préalable</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ministre</w:t>
      </w:r>
      <w:r w:rsidR="00DB1635" w:rsidRPr="00B004EE">
        <w:rPr>
          <w:rFonts w:ascii="Tahoma" w:hAnsi="Tahoma" w:cs="Tahoma"/>
          <w:sz w:val="20"/>
          <w:szCs w:val="20"/>
        </w:rPr>
        <w:t xml:space="preserve"> </w:t>
      </w:r>
      <w:r w:rsidRPr="00B004EE">
        <w:rPr>
          <w:rFonts w:ascii="Tahoma" w:hAnsi="Tahoma" w:cs="Tahoma"/>
          <w:sz w:val="20"/>
          <w:szCs w:val="20"/>
        </w:rPr>
        <w:t>chargé</w:t>
      </w:r>
      <w:r w:rsidR="00DB1635" w:rsidRPr="00B004EE">
        <w:rPr>
          <w:rFonts w:ascii="Tahoma" w:hAnsi="Tahoma" w:cs="Tahoma"/>
          <w:spacing w:val="41"/>
          <w:sz w:val="20"/>
          <w:szCs w:val="20"/>
        </w:rPr>
        <w:t xml:space="preserve"> </w:t>
      </w:r>
      <w:r w:rsidRPr="00B004EE">
        <w:rPr>
          <w:rFonts w:ascii="Tahoma" w:hAnsi="Tahoma" w:cs="Tahoma"/>
          <w:sz w:val="20"/>
          <w:szCs w:val="20"/>
        </w:rPr>
        <w:t>des</w:t>
      </w:r>
      <w:r w:rsidR="00DB1635" w:rsidRPr="00B004EE">
        <w:rPr>
          <w:rFonts w:ascii="Tahoma" w:hAnsi="Tahoma" w:cs="Tahoma"/>
          <w:w w:val="94"/>
          <w:sz w:val="20"/>
          <w:szCs w:val="20"/>
        </w:rPr>
        <w:t xml:space="preserve"> </w:t>
      </w:r>
      <w:r w:rsidRPr="00B004EE">
        <w:rPr>
          <w:rFonts w:ascii="Tahoma" w:hAnsi="Tahoma" w:cs="Tahoma"/>
          <w:sz w:val="20"/>
          <w:szCs w:val="20"/>
        </w:rPr>
        <w:t>pêches;</w:t>
      </w:r>
    </w:p>
    <w:p w14:paraId="180E1B93" w14:textId="705E6EFE" w:rsidR="001E7C3C" w:rsidRPr="00B004EE" w:rsidRDefault="001E7C3C" w:rsidP="00420DDA">
      <w:pPr>
        <w:pStyle w:val="Paragraphedeliste"/>
        <w:widowControl w:val="0"/>
        <w:numPr>
          <w:ilvl w:val="0"/>
          <w:numId w:val="32"/>
        </w:numPr>
        <w:tabs>
          <w:tab w:val="left" w:pos="709"/>
        </w:tabs>
        <w:ind w:left="567" w:right="160"/>
        <w:jc w:val="both"/>
        <w:rPr>
          <w:rFonts w:ascii="Tahoma" w:eastAsia="American Typewriter" w:hAnsi="Tahoma" w:cs="Tahoma"/>
          <w:sz w:val="20"/>
          <w:szCs w:val="20"/>
        </w:rPr>
      </w:pPr>
      <w:proofErr w:type="gramStart"/>
      <w:r w:rsidRPr="00B004EE">
        <w:rPr>
          <w:rFonts w:ascii="Tahoma" w:hAnsi="Tahoma" w:cs="Tahoma"/>
          <w:sz w:val="20"/>
          <w:szCs w:val="20"/>
        </w:rPr>
        <w:t>l'importation</w:t>
      </w:r>
      <w:proofErr w:type="gramEnd"/>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l'exportation,</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construction,</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transformation</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pacing w:val="25"/>
          <w:sz w:val="20"/>
          <w:szCs w:val="20"/>
        </w:rPr>
        <w:t xml:space="preserve"> </w:t>
      </w:r>
      <w:r w:rsidRPr="00B004EE">
        <w:rPr>
          <w:rFonts w:ascii="Tahoma" w:hAnsi="Tahoma" w:cs="Tahoma"/>
          <w:sz w:val="20"/>
          <w:szCs w:val="20"/>
        </w:rPr>
        <w:t>la</w:t>
      </w:r>
      <w:r w:rsidR="00DB1635" w:rsidRPr="00B004EE">
        <w:rPr>
          <w:rFonts w:ascii="Tahoma" w:hAnsi="Tahoma" w:cs="Tahoma"/>
          <w:w w:val="98"/>
          <w:sz w:val="20"/>
          <w:szCs w:val="20"/>
        </w:rPr>
        <w:t xml:space="preserve"> </w:t>
      </w:r>
      <w:r w:rsidRPr="00B004EE">
        <w:rPr>
          <w:rFonts w:ascii="Tahoma" w:hAnsi="Tahoma" w:cs="Tahoma"/>
          <w:sz w:val="20"/>
          <w:szCs w:val="20"/>
        </w:rPr>
        <w:t>modification</w:t>
      </w:r>
      <w:r w:rsidR="00DB1635" w:rsidRPr="00B004EE">
        <w:rPr>
          <w:rFonts w:ascii="Tahoma" w:hAnsi="Tahoma" w:cs="Tahoma"/>
          <w:spacing w:val="-6"/>
          <w:sz w:val="20"/>
          <w:szCs w:val="20"/>
        </w:rPr>
        <w:t xml:space="preserve"> </w:t>
      </w:r>
      <w:r w:rsidRPr="00B004EE">
        <w:rPr>
          <w:rFonts w:ascii="Tahoma" w:hAnsi="Tahoma" w:cs="Tahoma"/>
          <w:sz w:val="20"/>
          <w:szCs w:val="20"/>
        </w:rPr>
        <w:t>de</w:t>
      </w:r>
      <w:r w:rsidR="00DB1635" w:rsidRPr="00B004EE">
        <w:rPr>
          <w:rFonts w:ascii="Tahoma" w:hAnsi="Tahoma" w:cs="Tahoma"/>
          <w:spacing w:val="-6"/>
          <w:sz w:val="20"/>
          <w:szCs w:val="20"/>
        </w:rPr>
        <w:t xml:space="preserve"> </w:t>
      </w:r>
      <w:r w:rsidRPr="00B004EE">
        <w:rPr>
          <w:rFonts w:ascii="Tahoma" w:hAnsi="Tahoma" w:cs="Tahoma"/>
          <w:sz w:val="20"/>
          <w:szCs w:val="20"/>
        </w:rPr>
        <w:t>l'une</w:t>
      </w:r>
      <w:r w:rsidR="00DB1635" w:rsidRPr="00B004EE">
        <w:rPr>
          <w:rFonts w:ascii="Tahoma" w:hAnsi="Tahoma" w:cs="Tahoma"/>
          <w:spacing w:val="-6"/>
          <w:sz w:val="20"/>
          <w:szCs w:val="20"/>
        </w:rPr>
        <w:t xml:space="preserve"> </w:t>
      </w:r>
      <w:r w:rsidRPr="00B004EE">
        <w:rPr>
          <w:rFonts w:ascii="Tahoma" w:hAnsi="Tahoma" w:cs="Tahoma"/>
          <w:sz w:val="20"/>
          <w:szCs w:val="20"/>
        </w:rPr>
        <w:t>des</w:t>
      </w:r>
      <w:r w:rsidR="00DB1635" w:rsidRPr="00B004EE">
        <w:rPr>
          <w:rFonts w:ascii="Tahoma" w:hAnsi="Tahoma" w:cs="Tahoma"/>
          <w:spacing w:val="-6"/>
          <w:sz w:val="20"/>
          <w:szCs w:val="20"/>
        </w:rPr>
        <w:t xml:space="preserve"> </w:t>
      </w:r>
      <w:r w:rsidRPr="00B004EE">
        <w:rPr>
          <w:rFonts w:ascii="Tahoma" w:hAnsi="Tahoma" w:cs="Tahoma"/>
          <w:sz w:val="20"/>
          <w:szCs w:val="20"/>
        </w:rPr>
        <w:t>caractéristiques</w:t>
      </w:r>
      <w:r w:rsidR="00DB1635" w:rsidRPr="00B004EE">
        <w:rPr>
          <w:rFonts w:ascii="Tahoma" w:hAnsi="Tahoma" w:cs="Tahoma"/>
          <w:spacing w:val="-6"/>
          <w:sz w:val="20"/>
          <w:szCs w:val="20"/>
        </w:rPr>
        <w:t xml:space="preserve"> </w:t>
      </w:r>
      <w:r w:rsidRPr="00B004EE">
        <w:rPr>
          <w:rFonts w:ascii="Tahoma" w:hAnsi="Tahoma" w:cs="Tahoma"/>
          <w:sz w:val="20"/>
          <w:szCs w:val="20"/>
        </w:rPr>
        <w:t>techniques</w:t>
      </w:r>
      <w:r w:rsidR="00DB1635" w:rsidRPr="00B004EE">
        <w:rPr>
          <w:rFonts w:ascii="Tahoma" w:hAnsi="Tahoma" w:cs="Tahoma"/>
          <w:spacing w:val="-8"/>
          <w:sz w:val="20"/>
          <w:szCs w:val="20"/>
        </w:rPr>
        <w:t xml:space="preserve"> </w:t>
      </w:r>
      <w:r w:rsidRPr="00B004EE">
        <w:rPr>
          <w:rFonts w:ascii="Tahoma" w:hAnsi="Tahoma" w:cs="Tahoma"/>
          <w:sz w:val="20"/>
          <w:szCs w:val="20"/>
        </w:rPr>
        <w:t>du</w:t>
      </w:r>
      <w:r w:rsidR="00DB1635" w:rsidRPr="00B004EE">
        <w:rPr>
          <w:rFonts w:ascii="Tahoma" w:hAnsi="Tahoma" w:cs="Tahoma"/>
          <w:spacing w:val="-7"/>
          <w:sz w:val="20"/>
          <w:szCs w:val="20"/>
        </w:rPr>
        <w:t xml:space="preserve"> </w:t>
      </w:r>
      <w:r w:rsidRPr="00B004EE">
        <w:rPr>
          <w:rFonts w:ascii="Tahoma" w:hAnsi="Tahoma" w:cs="Tahoma"/>
          <w:sz w:val="20"/>
          <w:szCs w:val="20"/>
        </w:rPr>
        <w:t>navire</w:t>
      </w:r>
      <w:r w:rsidR="00DB1635" w:rsidRPr="00B004EE">
        <w:rPr>
          <w:rFonts w:ascii="Tahoma" w:hAnsi="Tahoma" w:cs="Tahoma"/>
          <w:spacing w:val="-7"/>
          <w:sz w:val="20"/>
          <w:szCs w:val="20"/>
        </w:rPr>
        <w:t xml:space="preserve"> </w:t>
      </w:r>
      <w:r w:rsidRPr="00B004EE">
        <w:rPr>
          <w:rFonts w:ascii="Tahoma" w:hAnsi="Tahoma" w:cs="Tahoma"/>
          <w:sz w:val="20"/>
          <w:szCs w:val="20"/>
        </w:rPr>
        <w:t>de</w:t>
      </w:r>
      <w:r w:rsidR="00DB1635" w:rsidRPr="00B004EE">
        <w:rPr>
          <w:rFonts w:ascii="Tahoma" w:hAnsi="Tahoma" w:cs="Tahoma"/>
          <w:spacing w:val="-7"/>
          <w:sz w:val="20"/>
          <w:szCs w:val="20"/>
        </w:rPr>
        <w:t xml:space="preserve"> </w:t>
      </w:r>
      <w:r w:rsidRPr="00B004EE">
        <w:rPr>
          <w:rFonts w:ascii="Tahoma" w:hAnsi="Tahoma" w:cs="Tahoma"/>
          <w:sz w:val="20"/>
          <w:szCs w:val="20"/>
        </w:rPr>
        <w:t>pêche</w:t>
      </w:r>
      <w:r w:rsidR="00DB1635" w:rsidRPr="00B004EE">
        <w:rPr>
          <w:rFonts w:ascii="Tahoma" w:hAnsi="Tahoma" w:cs="Tahoma"/>
          <w:w w:val="95"/>
          <w:sz w:val="20"/>
          <w:szCs w:val="20"/>
        </w:rPr>
        <w:t xml:space="preserve"> </w:t>
      </w:r>
      <w:r w:rsidRPr="00B004EE">
        <w:rPr>
          <w:rFonts w:ascii="Tahoma" w:hAnsi="Tahoma" w:cs="Tahoma"/>
          <w:sz w:val="20"/>
          <w:szCs w:val="20"/>
        </w:rPr>
        <w:t>sans</w:t>
      </w:r>
      <w:r w:rsidR="00DB1635" w:rsidRPr="00B004EE">
        <w:rPr>
          <w:rFonts w:ascii="Tahoma" w:hAnsi="Tahoma" w:cs="Tahoma"/>
          <w:sz w:val="20"/>
          <w:szCs w:val="20"/>
        </w:rPr>
        <w:t xml:space="preserve"> </w:t>
      </w:r>
      <w:r w:rsidRPr="00B004EE">
        <w:rPr>
          <w:rFonts w:ascii="Tahoma" w:hAnsi="Tahoma" w:cs="Tahoma"/>
          <w:sz w:val="20"/>
          <w:szCs w:val="20"/>
        </w:rPr>
        <w:t>autorisation</w:t>
      </w:r>
      <w:r w:rsidR="00DB1635" w:rsidRPr="00B004EE">
        <w:rPr>
          <w:rFonts w:ascii="Tahoma" w:hAnsi="Tahoma" w:cs="Tahoma"/>
          <w:sz w:val="20"/>
          <w:szCs w:val="20"/>
        </w:rPr>
        <w:t xml:space="preserve"> </w:t>
      </w:r>
      <w:r w:rsidRPr="00B004EE">
        <w:rPr>
          <w:rFonts w:ascii="Tahoma" w:hAnsi="Tahoma" w:cs="Tahoma"/>
          <w:sz w:val="20"/>
          <w:szCs w:val="20"/>
        </w:rPr>
        <w:t>préalable</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Ministre</w:t>
      </w:r>
      <w:r w:rsidR="00DB1635" w:rsidRPr="00B004EE">
        <w:rPr>
          <w:rFonts w:ascii="Tahoma" w:hAnsi="Tahoma" w:cs="Tahoma"/>
          <w:sz w:val="20"/>
          <w:szCs w:val="20"/>
        </w:rPr>
        <w:t xml:space="preserve"> </w:t>
      </w:r>
      <w:r w:rsidRPr="00B004EE">
        <w:rPr>
          <w:rFonts w:ascii="Tahoma" w:hAnsi="Tahoma" w:cs="Tahoma"/>
          <w:sz w:val="20"/>
          <w:szCs w:val="20"/>
        </w:rPr>
        <w:t>chargé</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pacing w:val="-18"/>
          <w:sz w:val="20"/>
          <w:szCs w:val="20"/>
        </w:rPr>
        <w:t xml:space="preserve"> </w:t>
      </w:r>
      <w:r w:rsidRPr="00B004EE">
        <w:rPr>
          <w:rFonts w:ascii="Tahoma" w:hAnsi="Tahoma" w:cs="Tahoma"/>
          <w:sz w:val="20"/>
          <w:szCs w:val="20"/>
        </w:rPr>
        <w:t>pêches;</w:t>
      </w:r>
    </w:p>
    <w:p w14:paraId="7044A42D" w14:textId="6B7AC843" w:rsidR="001E7C3C" w:rsidRPr="00B004EE" w:rsidRDefault="001E7C3C" w:rsidP="00420DDA">
      <w:pPr>
        <w:pStyle w:val="Paragraphedeliste"/>
        <w:widowControl w:val="0"/>
        <w:numPr>
          <w:ilvl w:val="0"/>
          <w:numId w:val="32"/>
        </w:numPr>
        <w:tabs>
          <w:tab w:val="left" w:pos="709"/>
        </w:tabs>
        <w:ind w:left="567" w:right="559"/>
        <w:rPr>
          <w:rFonts w:ascii="Tahoma" w:eastAsia="American Typewriter" w:hAnsi="Tahoma" w:cs="Tahoma"/>
          <w:sz w:val="20"/>
          <w:szCs w:val="20"/>
        </w:rPr>
      </w:pPr>
      <w:proofErr w:type="gramStart"/>
      <w:r w:rsidRPr="00B004EE">
        <w:rPr>
          <w:rFonts w:ascii="Tahoma" w:hAnsi="Tahoma" w:cs="Tahoma"/>
          <w:sz w:val="20"/>
          <w:szCs w:val="20"/>
        </w:rPr>
        <w:t>la</w:t>
      </w:r>
      <w:proofErr w:type="gramEnd"/>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pendant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périodes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fermeture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pacing w:val="-1"/>
          <w:sz w:val="20"/>
          <w:szCs w:val="20"/>
        </w:rPr>
        <w:t xml:space="preserve"> </w:t>
      </w:r>
      <w:r w:rsidRPr="00B004EE">
        <w:rPr>
          <w:rFonts w:ascii="Tahoma" w:hAnsi="Tahoma" w:cs="Tahoma"/>
          <w:sz w:val="20"/>
          <w:szCs w:val="20"/>
        </w:rPr>
        <w:t>pêche;</w:t>
      </w:r>
    </w:p>
    <w:p w14:paraId="145B4105" w14:textId="023FE3C4" w:rsidR="001E7C3C" w:rsidRPr="00B004EE" w:rsidRDefault="001E7C3C" w:rsidP="00420DDA">
      <w:pPr>
        <w:pStyle w:val="Paragraphedeliste"/>
        <w:widowControl w:val="0"/>
        <w:numPr>
          <w:ilvl w:val="0"/>
          <w:numId w:val="32"/>
        </w:numPr>
        <w:tabs>
          <w:tab w:val="left" w:pos="709"/>
        </w:tabs>
        <w:ind w:left="567" w:right="161"/>
        <w:jc w:val="both"/>
        <w:rPr>
          <w:rFonts w:ascii="Tahoma" w:eastAsia="American Typewriter" w:hAnsi="Tahoma" w:cs="Tahoma"/>
          <w:sz w:val="20"/>
          <w:szCs w:val="20"/>
        </w:rPr>
      </w:pPr>
      <w:proofErr w:type="gramStart"/>
      <w:r w:rsidRPr="00B004EE">
        <w:rPr>
          <w:rFonts w:ascii="Tahoma" w:hAnsi="Tahoma" w:cs="Tahoma"/>
          <w:sz w:val="20"/>
          <w:szCs w:val="20"/>
        </w:rPr>
        <w:t>la</w:t>
      </w:r>
      <w:proofErr w:type="gramEnd"/>
      <w:r w:rsidR="00DB1635" w:rsidRPr="00B004EE">
        <w:rPr>
          <w:rFonts w:ascii="Tahoma" w:hAnsi="Tahoma" w:cs="Tahoma"/>
          <w:spacing w:val="-6"/>
          <w:sz w:val="20"/>
          <w:szCs w:val="20"/>
        </w:rPr>
        <w:t xml:space="preserve"> </w:t>
      </w:r>
      <w:r w:rsidRPr="00B004EE">
        <w:rPr>
          <w:rFonts w:ascii="Tahoma" w:hAnsi="Tahoma" w:cs="Tahoma"/>
          <w:sz w:val="20"/>
          <w:szCs w:val="20"/>
        </w:rPr>
        <w:t>destruction</w:t>
      </w:r>
      <w:r w:rsidR="00DB1635" w:rsidRPr="00B004EE">
        <w:rPr>
          <w:rFonts w:ascii="Tahoma" w:hAnsi="Tahoma" w:cs="Tahoma"/>
          <w:spacing w:val="-6"/>
          <w:sz w:val="20"/>
          <w:szCs w:val="20"/>
        </w:rPr>
        <w:t xml:space="preserve"> </w:t>
      </w:r>
      <w:r w:rsidRPr="00B004EE">
        <w:rPr>
          <w:rFonts w:ascii="Tahoma" w:hAnsi="Tahoma" w:cs="Tahoma"/>
          <w:sz w:val="20"/>
          <w:szCs w:val="20"/>
        </w:rPr>
        <w:t>ou</w:t>
      </w:r>
      <w:r w:rsidR="00DB1635" w:rsidRPr="00B004EE">
        <w:rPr>
          <w:rFonts w:ascii="Tahoma" w:hAnsi="Tahoma" w:cs="Tahoma"/>
          <w:spacing w:val="-6"/>
          <w:sz w:val="20"/>
          <w:szCs w:val="20"/>
        </w:rPr>
        <w:t xml:space="preserve"> </w:t>
      </w:r>
      <w:r w:rsidRPr="00B004EE">
        <w:rPr>
          <w:rFonts w:ascii="Tahoma" w:hAnsi="Tahoma" w:cs="Tahoma"/>
          <w:sz w:val="20"/>
          <w:szCs w:val="20"/>
        </w:rPr>
        <w:t>l'endommagement</w:t>
      </w:r>
      <w:r w:rsidR="00DB1635" w:rsidRPr="00B004EE">
        <w:rPr>
          <w:rFonts w:ascii="Tahoma" w:hAnsi="Tahoma" w:cs="Tahoma"/>
          <w:spacing w:val="-6"/>
          <w:sz w:val="20"/>
          <w:szCs w:val="20"/>
        </w:rPr>
        <w:t xml:space="preserve"> </w:t>
      </w:r>
      <w:r w:rsidRPr="00B004EE">
        <w:rPr>
          <w:rFonts w:ascii="Tahoma" w:hAnsi="Tahoma" w:cs="Tahoma"/>
          <w:sz w:val="20"/>
          <w:szCs w:val="20"/>
        </w:rPr>
        <w:t>intentionnel</w:t>
      </w:r>
      <w:r w:rsidR="00DB1635" w:rsidRPr="00B004EE">
        <w:rPr>
          <w:rFonts w:ascii="Tahoma" w:hAnsi="Tahoma" w:cs="Tahoma"/>
          <w:spacing w:val="-6"/>
          <w:sz w:val="20"/>
          <w:szCs w:val="20"/>
        </w:rPr>
        <w:t xml:space="preserve"> </w:t>
      </w:r>
      <w:r w:rsidRPr="00B004EE">
        <w:rPr>
          <w:rFonts w:ascii="Tahoma" w:hAnsi="Tahoma" w:cs="Tahoma"/>
          <w:sz w:val="20"/>
          <w:szCs w:val="20"/>
        </w:rPr>
        <w:t>de</w:t>
      </w:r>
      <w:r w:rsidR="00DB1635" w:rsidRPr="00B004EE">
        <w:rPr>
          <w:rFonts w:ascii="Tahoma" w:hAnsi="Tahoma" w:cs="Tahoma"/>
          <w:spacing w:val="-8"/>
          <w:sz w:val="20"/>
          <w:szCs w:val="20"/>
        </w:rPr>
        <w:t xml:space="preserve"> </w:t>
      </w:r>
      <w:r w:rsidRPr="00B004EE">
        <w:rPr>
          <w:rFonts w:ascii="Tahoma" w:hAnsi="Tahoma" w:cs="Tahoma"/>
          <w:sz w:val="20"/>
          <w:szCs w:val="20"/>
        </w:rPr>
        <w:t>navires</w:t>
      </w:r>
      <w:r w:rsidR="00DB1635" w:rsidRPr="00B004EE">
        <w:rPr>
          <w:rFonts w:ascii="Tahoma" w:hAnsi="Tahoma" w:cs="Tahoma"/>
          <w:spacing w:val="-8"/>
          <w:sz w:val="20"/>
          <w:szCs w:val="20"/>
        </w:rPr>
        <w:t xml:space="preserve"> </w:t>
      </w:r>
      <w:r w:rsidRPr="00B004EE">
        <w:rPr>
          <w:rFonts w:ascii="Tahoma" w:hAnsi="Tahoma" w:cs="Tahoma"/>
          <w:sz w:val="20"/>
          <w:szCs w:val="20"/>
        </w:rPr>
        <w:t>de</w:t>
      </w:r>
      <w:r w:rsidR="00DB1635" w:rsidRPr="00B004EE">
        <w:rPr>
          <w:rFonts w:ascii="Tahoma" w:hAnsi="Tahoma" w:cs="Tahoma"/>
          <w:spacing w:val="-8"/>
          <w:sz w:val="20"/>
          <w:szCs w:val="20"/>
        </w:rPr>
        <w:t xml:space="preserve"> </w:t>
      </w:r>
      <w:r w:rsidRPr="00B004EE">
        <w:rPr>
          <w:rFonts w:ascii="Tahoma" w:hAnsi="Tahoma" w:cs="Tahoma"/>
          <w:sz w:val="20"/>
          <w:szCs w:val="20"/>
        </w:rPr>
        <w:t>pêche,</w:t>
      </w:r>
      <w:r w:rsidR="00DB1635" w:rsidRPr="00B004EE">
        <w:rPr>
          <w:rFonts w:ascii="Tahoma" w:hAnsi="Tahoma" w:cs="Tahoma"/>
          <w:spacing w:val="-7"/>
          <w:sz w:val="20"/>
          <w:szCs w:val="20"/>
        </w:rPr>
        <w:t xml:space="preserve"> </w:t>
      </w:r>
      <w:r w:rsidRPr="00B004EE">
        <w:rPr>
          <w:rFonts w:ascii="Tahoma" w:hAnsi="Tahoma" w:cs="Tahoma"/>
          <w:sz w:val="20"/>
          <w:szCs w:val="20"/>
        </w:rPr>
        <w:t>de</w:t>
      </w:r>
      <w:r w:rsidR="00DB1635" w:rsidRPr="00B004EE">
        <w:rPr>
          <w:rFonts w:ascii="Tahoma" w:hAnsi="Tahoma" w:cs="Tahoma"/>
          <w:w w:val="94"/>
          <w:sz w:val="20"/>
          <w:szCs w:val="20"/>
        </w:rPr>
        <w:t xml:space="preserve"> </w:t>
      </w:r>
      <w:r w:rsidRPr="00B004EE">
        <w:rPr>
          <w:rFonts w:ascii="Tahoma" w:hAnsi="Tahoma" w:cs="Tahoma"/>
          <w:sz w:val="20"/>
          <w:szCs w:val="20"/>
        </w:rPr>
        <w:t>filets</w:t>
      </w:r>
      <w:r w:rsidR="00DB1635" w:rsidRPr="00B004EE">
        <w:rPr>
          <w:rFonts w:ascii="Tahoma" w:hAnsi="Tahoma" w:cs="Tahoma"/>
          <w:spacing w:val="20"/>
          <w:sz w:val="20"/>
          <w:szCs w:val="20"/>
        </w:rPr>
        <w:t xml:space="preserve"> </w:t>
      </w:r>
      <w:r w:rsidRPr="00B004EE">
        <w:rPr>
          <w:rFonts w:ascii="Tahoma" w:hAnsi="Tahoma" w:cs="Tahoma"/>
          <w:sz w:val="20"/>
          <w:szCs w:val="20"/>
        </w:rPr>
        <w:t>ou</w:t>
      </w:r>
      <w:r w:rsidR="00DB1635" w:rsidRPr="00B004EE">
        <w:rPr>
          <w:rFonts w:ascii="Tahoma" w:hAnsi="Tahoma" w:cs="Tahoma"/>
          <w:spacing w:val="41"/>
          <w:sz w:val="20"/>
          <w:szCs w:val="20"/>
        </w:rPr>
        <w:t xml:space="preserve"> </w:t>
      </w:r>
      <w:r w:rsidRPr="00B004EE">
        <w:rPr>
          <w:rFonts w:ascii="Tahoma" w:hAnsi="Tahoma" w:cs="Tahoma"/>
          <w:sz w:val="20"/>
          <w:szCs w:val="20"/>
        </w:rPr>
        <w:t>des</w:t>
      </w:r>
      <w:r w:rsidR="00DB1635" w:rsidRPr="00B004EE">
        <w:rPr>
          <w:rFonts w:ascii="Tahoma" w:hAnsi="Tahoma" w:cs="Tahoma"/>
          <w:spacing w:val="20"/>
          <w:sz w:val="20"/>
          <w:szCs w:val="20"/>
        </w:rPr>
        <w:t xml:space="preserve"> </w:t>
      </w:r>
      <w:r w:rsidRPr="00B004EE">
        <w:rPr>
          <w:rFonts w:ascii="Tahoma" w:hAnsi="Tahoma" w:cs="Tahoma"/>
          <w:sz w:val="20"/>
          <w:szCs w:val="20"/>
        </w:rPr>
        <w:t>balises</w:t>
      </w:r>
      <w:r w:rsidR="00DB1635" w:rsidRPr="00B004EE">
        <w:rPr>
          <w:rFonts w:ascii="Tahoma" w:hAnsi="Tahoma" w:cs="Tahoma"/>
          <w:spacing w:val="19"/>
          <w:sz w:val="20"/>
          <w:szCs w:val="20"/>
        </w:rPr>
        <w:t xml:space="preserve"> </w:t>
      </w:r>
      <w:r w:rsidRPr="00B004EE">
        <w:rPr>
          <w:rFonts w:ascii="Tahoma" w:hAnsi="Tahoma" w:cs="Tahoma"/>
          <w:sz w:val="20"/>
          <w:szCs w:val="20"/>
        </w:rPr>
        <w:t>de</w:t>
      </w:r>
      <w:r w:rsidR="00DB1635" w:rsidRPr="00B004EE">
        <w:rPr>
          <w:rFonts w:ascii="Tahoma" w:hAnsi="Tahoma" w:cs="Tahoma"/>
          <w:spacing w:val="20"/>
          <w:sz w:val="20"/>
          <w:szCs w:val="20"/>
        </w:rPr>
        <w:t xml:space="preserve"> </w:t>
      </w:r>
      <w:r w:rsidRPr="00B004EE">
        <w:rPr>
          <w:rFonts w:ascii="Tahoma" w:hAnsi="Tahoma" w:cs="Tahoma"/>
          <w:sz w:val="20"/>
          <w:szCs w:val="20"/>
        </w:rPr>
        <w:t>suivi</w:t>
      </w:r>
      <w:r w:rsidR="00DB1635" w:rsidRPr="00B004EE">
        <w:rPr>
          <w:rFonts w:ascii="Tahoma" w:hAnsi="Tahoma" w:cs="Tahoma"/>
          <w:spacing w:val="21"/>
          <w:sz w:val="20"/>
          <w:szCs w:val="20"/>
        </w:rPr>
        <w:t xml:space="preserve"> </w:t>
      </w:r>
      <w:r w:rsidRPr="00B004EE">
        <w:rPr>
          <w:rFonts w:ascii="Tahoma" w:hAnsi="Tahoma" w:cs="Tahoma"/>
          <w:sz w:val="20"/>
          <w:szCs w:val="20"/>
        </w:rPr>
        <w:t>des</w:t>
      </w:r>
      <w:r w:rsidR="00DB1635" w:rsidRPr="00B004EE">
        <w:rPr>
          <w:rFonts w:ascii="Tahoma" w:hAnsi="Tahoma" w:cs="Tahoma"/>
          <w:spacing w:val="20"/>
          <w:sz w:val="20"/>
          <w:szCs w:val="20"/>
        </w:rPr>
        <w:t xml:space="preserve"> </w:t>
      </w:r>
      <w:r w:rsidRPr="00B004EE">
        <w:rPr>
          <w:rFonts w:ascii="Tahoma" w:hAnsi="Tahoma" w:cs="Tahoma"/>
          <w:sz w:val="20"/>
          <w:szCs w:val="20"/>
        </w:rPr>
        <w:t>navires</w:t>
      </w:r>
      <w:r w:rsidR="00DB1635" w:rsidRPr="00B004EE">
        <w:rPr>
          <w:rFonts w:ascii="Tahoma" w:hAnsi="Tahoma" w:cs="Tahoma"/>
          <w:spacing w:val="18"/>
          <w:sz w:val="20"/>
          <w:szCs w:val="20"/>
        </w:rPr>
        <w:t xml:space="preserve"> </w:t>
      </w:r>
      <w:r w:rsidRPr="00B004EE">
        <w:rPr>
          <w:rFonts w:ascii="Tahoma" w:hAnsi="Tahoma" w:cs="Tahoma"/>
          <w:sz w:val="20"/>
          <w:szCs w:val="20"/>
        </w:rPr>
        <w:t>de</w:t>
      </w:r>
      <w:r w:rsidR="00DB1635" w:rsidRPr="00B004EE">
        <w:rPr>
          <w:rFonts w:ascii="Tahoma" w:hAnsi="Tahoma" w:cs="Tahoma"/>
          <w:spacing w:val="18"/>
          <w:sz w:val="20"/>
          <w:szCs w:val="20"/>
        </w:rPr>
        <w:t xml:space="preserve"> </w:t>
      </w:r>
      <w:r w:rsidRPr="00B004EE">
        <w:rPr>
          <w:rFonts w:ascii="Tahoma" w:hAnsi="Tahoma" w:cs="Tahoma"/>
          <w:sz w:val="20"/>
          <w:szCs w:val="20"/>
        </w:rPr>
        <w:t>filets</w:t>
      </w:r>
      <w:r w:rsidR="00DB1635" w:rsidRPr="00B004EE">
        <w:rPr>
          <w:rFonts w:ascii="Tahoma" w:hAnsi="Tahoma" w:cs="Tahoma"/>
          <w:spacing w:val="18"/>
          <w:sz w:val="20"/>
          <w:szCs w:val="20"/>
        </w:rPr>
        <w:t xml:space="preserve"> </w:t>
      </w:r>
      <w:r w:rsidRPr="00B004EE">
        <w:rPr>
          <w:rFonts w:ascii="Tahoma" w:hAnsi="Tahoma" w:cs="Tahoma"/>
          <w:sz w:val="20"/>
          <w:szCs w:val="20"/>
        </w:rPr>
        <w:t>ou</w:t>
      </w:r>
      <w:r w:rsidR="00DB1635" w:rsidRPr="00B004EE">
        <w:rPr>
          <w:rFonts w:ascii="Tahoma" w:hAnsi="Tahoma" w:cs="Tahoma"/>
          <w:spacing w:val="18"/>
          <w:sz w:val="20"/>
          <w:szCs w:val="20"/>
        </w:rPr>
        <w:t xml:space="preserve"> </w:t>
      </w:r>
      <w:r w:rsidRPr="00B004EE">
        <w:rPr>
          <w:rFonts w:ascii="Tahoma" w:hAnsi="Tahoma" w:cs="Tahoma"/>
          <w:sz w:val="20"/>
          <w:szCs w:val="20"/>
        </w:rPr>
        <w:t>d'engins</w:t>
      </w:r>
      <w:r w:rsidR="00DB1635" w:rsidRPr="00B004EE">
        <w:rPr>
          <w:rFonts w:ascii="Tahoma" w:hAnsi="Tahoma" w:cs="Tahoma"/>
          <w:spacing w:val="18"/>
          <w:sz w:val="20"/>
          <w:szCs w:val="20"/>
        </w:rPr>
        <w:t xml:space="preserve"> </w:t>
      </w:r>
      <w:r w:rsidRPr="00B004EE">
        <w:rPr>
          <w:rFonts w:ascii="Tahoma" w:hAnsi="Tahoma" w:cs="Tahoma"/>
          <w:sz w:val="20"/>
          <w:szCs w:val="20"/>
        </w:rPr>
        <w:t>de</w:t>
      </w:r>
      <w:r w:rsidR="00DB1635" w:rsidRPr="00B004EE">
        <w:rPr>
          <w:rFonts w:ascii="Tahoma" w:hAnsi="Tahoma" w:cs="Tahoma"/>
          <w:spacing w:val="18"/>
          <w:sz w:val="20"/>
          <w:szCs w:val="20"/>
        </w:rPr>
        <w:t xml:space="preserve"> </w:t>
      </w:r>
      <w:r w:rsidRPr="00B004EE">
        <w:rPr>
          <w:rFonts w:ascii="Tahoma" w:hAnsi="Tahoma" w:cs="Tahoma"/>
          <w:sz w:val="20"/>
          <w:szCs w:val="20"/>
        </w:rPr>
        <w:t>pêche</w:t>
      </w:r>
      <w:r w:rsidR="00DB1635" w:rsidRPr="00B004EE">
        <w:rPr>
          <w:rFonts w:ascii="Tahoma" w:hAnsi="Tahoma" w:cs="Tahoma"/>
          <w:w w:val="95"/>
          <w:sz w:val="20"/>
          <w:szCs w:val="20"/>
        </w:rPr>
        <w:t xml:space="preserve"> </w:t>
      </w:r>
      <w:r w:rsidRPr="00B004EE">
        <w:rPr>
          <w:rFonts w:ascii="Tahoma" w:hAnsi="Tahoma" w:cs="Tahoma"/>
          <w:sz w:val="20"/>
          <w:szCs w:val="20"/>
        </w:rPr>
        <w:t>appartenant</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pacing w:val="14"/>
          <w:sz w:val="20"/>
          <w:szCs w:val="20"/>
        </w:rPr>
        <w:t xml:space="preserve"> </w:t>
      </w:r>
      <w:r w:rsidRPr="00B004EE">
        <w:rPr>
          <w:rFonts w:ascii="Tahoma" w:hAnsi="Tahoma" w:cs="Tahoma"/>
          <w:sz w:val="20"/>
          <w:szCs w:val="20"/>
        </w:rPr>
        <w:t>tiers;</w:t>
      </w:r>
    </w:p>
    <w:p w14:paraId="0BDA1B3C" w14:textId="3AFEE60D" w:rsidR="001E7C3C" w:rsidRPr="00B004EE" w:rsidRDefault="001E7C3C" w:rsidP="00420DDA">
      <w:pPr>
        <w:pStyle w:val="Paragraphedeliste"/>
        <w:widowControl w:val="0"/>
        <w:numPr>
          <w:ilvl w:val="0"/>
          <w:numId w:val="32"/>
        </w:numPr>
        <w:tabs>
          <w:tab w:val="left" w:pos="709"/>
        </w:tabs>
        <w:ind w:left="567" w:right="167"/>
        <w:jc w:val="both"/>
        <w:rPr>
          <w:rFonts w:ascii="Tahoma" w:eastAsia="American Typewriter" w:hAnsi="Tahoma" w:cs="Tahoma"/>
          <w:sz w:val="20"/>
          <w:szCs w:val="20"/>
        </w:rPr>
      </w:pPr>
      <w:proofErr w:type="gramStart"/>
      <w:r w:rsidRPr="00B004EE">
        <w:rPr>
          <w:rFonts w:ascii="Tahoma" w:hAnsi="Tahoma" w:cs="Tahoma"/>
          <w:sz w:val="20"/>
          <w:szCs w:val="20"/>
        </w:rPr>
        <w:t>la</w:t>
      </w:r>
      <w:proofErr w:type="gramEnd"/>
      <w:r w:rsidR="00DB1635" w:rsidRPr="00B004EE">
        <w:rPr>
          <w:rFonts w:ascii="Tahoma" w:hAnsi="Tahoma" w:cs="Tahoma"/>
          <w:sz w:val="20"/>
          <w:szCs w:val="20"/>
        </w:rPr>
        <w:t xml:space="preserve"> </w:t>
      </w:r>
      <w:r w:rsidRPr="00B004EE">
        <w:rPr>
          <w:rFonts w:ascii="Tahoma" w:hAnsi="Tahoma" w:cs="Tahoma"/>
          <w:sz w:val="20"/>
          <w:szCs w:val="20"/>
        </w:rPr>
        <w:t>rupture</w:t>
      </w:r>
      <w:r w:rsidR="00DB1635" w:rsidRPr="00B004EE">
        <w:rPr>
          <w:rFonts w:ascii="Tahoma" w:hAnsi="Tahoma" w:cs="Tahoma"/>
          <w:sz w:val="20"/>
          <w:szCs w:val="20"/>
        </w:rPr>
        <w:t xml:space="preserve"> </w:t>
      </w:r>
      <w:r w:rsidRPr="00B004EE">
        <w:rPr>
          <w:rFonts w:ascii="Tahoma" w:hAnsi="Tahoma" w:cs="Tahoma"/>
          <w:sz w:val="20"/>
          <w:szCs w:val="20"/>
        </w:rPr>
        <w:t>intempestive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communication</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position</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l'utilisation</w:t>
      </w:r>
      <w:r w:rsidR="00DB1635" w:rsidRPr="00B004EE">
        <w:rPr>
          <w:rFonts w:ascii="Tahoma" w:hAnsi="Tahoma" w:cs="Tahoma"/>
          <w:spacing w:val="-12"/>
          <w:sz w:val="20"/>
          <w:szCs w:val="20"/>
        </w:rPr>
        <w:t xml:space="preserve"> </w:t>
      </w:r>
      <w:r w:rsidRPr="00B004EE">
        <w:rPr>
          <w:rFonts w:ascii="Tahoma" w:hAnsi="Tahoma" w:cs="Tahoma"/>
          <w:sz w:val="20"/>
          <w:szCs w:val="20"/>
        </w:rPr>
        <w:t>de</w:t>
      </w:r>
      <w:r w:rsidR="00DB1635" w:rsidRPr="00B004EE">
        <w:rPr>
          <w:rFonts w:ascii="Tahoma" w:hAnsi="Tahoma" w:cs="Tahoma"/>
          <w:w w:val="94"/>
          <w:sz w:val="20"/>
          <w:szCs w:val="20"/>
        </w:rPr>
        <w:t xml:space="preserve"> </w:t>
      </w:r>
      <w:r w:rsidRPr="00B004EE">
        <w:rPr>
          <w:rFonts w:ascii="Tahoma" w:hAnsi="Tahoma" w:cs="Tahoma"/>
          <w:sz w:val="20"/>
          <w:szCs w:val="20"/>
        </w:rPr>
        <w:t>procédés</w:t>
      </w:r>
      <w:r w:rsidR="00DB1635" w:rsidRPr="00B004EE">
        <w:rPr>
          <w:rFonts w:ascii="Tahoma" w:hAnsi="Tahoma" w:cs="Tahoma"/>
          <w:sz w:val="20"/>
          <w:szCs w:val="20"/>
        </w:rPr>
        <w:t xml:space="preserve"> </w:t>
      </w:r>
      <w:r w:rsidRPr="00B004EE">
        <w:rPr>
          <w:rFonts w:ascii="Tahoma" w:hAnsi="Tahoma" w:cs="Tahoma"/>
          <w:sz w:val="20"/>
          <w:szCs w:val="20"/>
        </w:rPr>
        <w:t>gênant</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fonctionnement</w:t>
      </w:r>
      <w:r w:rsidR="00DB1635" w:rsidRPr="00B004EE">
        <w:rPr>
          <w:rFonts w:ascii="Tahoma" w:hAnsi="Tahoma" w:cs="Tahoma"/>
          <w:sz w:val="20"/>
          <w:szCs w:val="20"/>
        </w:rPr>
        <w:t xml:space="preserve"> </w:t>
      </w:r>
      <w:r w:rsidRPr="00B004EE">
        <w:rPr>
          <w:rFonts w:ascii="Tahoma" w:hAnsi="Tahoma" w:cs="Tahoma"/>
          <w:sz w:val="20"/>
          <w:szCs w:val="20"/>
        </w:rPr>
        <w:t>normal</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pacing w:val="-4"/>
          <w:sz w:val="20"/>
          <w:szCs w:val="20"/>
        </w:rPr>
        <w:t xml:space="preserve"> </w:t>
      </w:r>
      <w:r w:rsidRPr="00B004EE">
        <w:rPr>
          <w:rFonts w:ascii="Tahoma" w:hAnsi="Tahoma" w:cs="Tahoma"/>
          <w:sz w:val="20"/>
          <w:szCs w:val="20"/>
        </w:rPr>
        <w:t>balise;</w:t>
      </w:r>
    </w:p>
    <w:p w14:paraId="49538C09" w14:textId="4149CB66" w:rsidR="001E7C3C" w:rsidRPr="00B004EE" w:rsidRDefault="001E7C3C" w:rsidP="00420DDA">
      <w:pPr>
        <w:pStyle w:val="Paragraphedeliste"/>
        <w:widowControl w:val="0"/>
        <w:numPr>
          <w:ilvl w:val="0"/>
          <w:numId w:val="32"/>
        </w:numPr>
        <w:tabs>
          <w:tab w:val="left" w:pos="709"/>
        </w:tabs>
        <w:ind w:left="567" w:right="559"/>
        <w:rPr>
          <w:rFonts w:ascii="Tahoma" w:eastAsia="American Typewriter" w:hAnsi="Tahoma" w:cs="Tahoma"/>
          <w:sz w:val="20"/>
          <w:szCs w:val="20"/>
        </w:rPr>
      </w:pPr>
      <w:proofErr w:type="gramStart"/>
      <w:r w:rsidRPr="00B004EE">
        <w:rPr>
          <w:rFonts w:ascii="Tahoma" w:hAnsi="Tahoma" w:cs="Tahoma"/>
          <w:sz w:val="20"/>
          <w:szCs w:val="20"/>
        </w:rPr>
        <w:t>la</w:t>
      </w:r>
      <w:proofErr w:type="gramEnd"/>
      <w:r w:rsidR="00DB1635" w:rsidRPr="00B004EE">
        <w:rPr>
          <w:rFonts w:ascii="Tahoma" w:hAnsi="Tahoma" w:cs="Tahoma"/>
          <w:spacing w:val="-5"/>
          <w:sz w:val="20"/>
          <w:szCs w:val="20"/>
        </w:rPr>
        <w:t xml:space="preserve"> </w:t>
      </w:r>
      <w:r w:rsidRPr="00B004EE">
        <w:rPr>
          <w:rFonts w:ascii="Tahoma" w:hAnsi="Tahoma" w:cs="Tahoma"/>
          <w:sz w:val="20"/>
          <w:szCs w:val="20"/>
        </w:rPr>
        <w:t>mise</w:t>
      </w:r>
      <w:r w:rsidR="00DB1635" w:rsidRPr="00B004EE">
        <w:rPr>
          <w:rFonts w:ascii="Tahoma" w:hAnsi="Tahoma" w:cs="Tahoma"/>
          <w:spacing w:val="-6"/>
          <w:sz w:val="20"/>
          <w:szCs w:val="20"/>
        </w:rPr>
        <w:t xml:space="preserve"> </w:t>
      </w:r>
      <w:r w:rsidRPr="00B004EE">
        <w:rPr>
          <w:rFonts w:ascii="Tahoma" w:hAnsi="Tahoma" w:cs="Tahoma"/>
          <w:sz w:val="20"/>
          <w:szCs w:val="20"/>
        </w:rPr>
        <w:t>en</w:t>
      </w:r>
      <w:r w:rsidR="00DB1635" w:rsidRPr="00B004EE">
        <w:rPr>
          <w:rFonts w:ascii="Tahoma" w:hAnsi="Tahoma" w:cs="Tahoma"/>
          <w:spacing w:val="-6"/>
          <w:sz w:val="20"/>
          <w:szCs w:val="20"/>
        </w:rPr>
        <w:t xml:space="preserve"> </w:t>
      </w:r>
      <w:r w:rsidRPr="00B004EE">
        <w:rPr>
          <w:rFonts w:ascii="Tahoma" w:hAnsi="Tahoma" w:cs="Tahoma"/>
          <w:sz w:val="20"/>
          <w:szCs w:val="20"/>
        </w:rPr>
        <w:t>fonction</w:t>
      </w:r>
      <w:r w:rsidR="00DB1635" w:rsidRPr="00B004EE">
        <w:rPr>
          <w:rFonts w:ascii="Tahoma" w:hAnsi="Tahoma" w:cs="Tahoma"/>
          <w:spacing w:val="-6"/>
          <w:sz w:val="20"/>
          <w:szCs w:val="20"/>
        </w:rPr>
        <w:t xml:space="preserve"> </w:t>
      </w:r>
      <w:r w:rsidRPr="00B004EE">
        <w:rPr>
          <w:rFonts w:ascii="Tahoma" w:hAnsi="Tahoma" w:cs="Tahoma"/>
          <w:sz w:val="20"/>
          <w:szCs w:val="20"/>
        </w:rPr>
        <w:t>d'un</w:t>
      </w:r>
      <w:r w:rsidR="00DB1635" w:rsidRPr="00B004EE">
        <w:rPr>
          <w:rFonts w:ascii="Tahoma" w:hAnsi="Tahoma" w:cs="Tahoma"/>
          <w:spacing w:val="-6"/>
          <w:sz w:val="20"/>
          <w:szCs w:val="20"/>
        </w:rPr>
        <w:t xml:space="preserve"> </w:t>
      </w:r>
      <w:r w:rsidRPr="00B004EE">
        <w:rPr>
          <w:rFonts w:ascii="Tahoma" w:hAnsi="Tahoma" w:cs="Tahoma"/>
          <w:sz w:val="20"/>
          <w:szCs w:val="20"/>
        </w:rPr>
        <w:t>établissement</w:t>
      </w:r>
      <w:r w:rsidR="00DB1635" w:rsidRPr="00B004EE">
        <w:rPr>
          <w:rFonts w:ascii="Tahoma" w:hAnsi="Tahoma" w:cs="Tahoma"/>
          <w:spacing w:val="-5"/>
          <w:sz w:val="20"/>
          <w:szCs w:val="20"/>
        </w:rPr>
        <w:t xml:space="preserve"> </w:t>
      </w:r>
      <w:r w:rsidRPr="00B004EE">
        <w:rPr>
          <w:rFonts w:ascii="Tahoma" w:hAnsi="Tahoma" w:cs="Tahoma"/>
          <w:sz w:val="20"/>
          <w:szCs w:val="20"/>
        </w:rPr>
        <w:t>de</w:t>
      </w:r>
      <w:r w:rsidR="00DB1635" w:rsidRPr="00B004EE">
        <w:rPr>
          <w:rFonts w:ascii="Tahoma" w:hAnsi="Tahoma" w:cs="Tahoma"/>
          <w:spacing w:val="-6"/>
          <w:sz w:val="20"/>
          <w:szCs w:val="20"/>
        </w:rPr>
        <w:t xml:space="preserve"> </w:t>
      </w:r>
      <w:r w:rsidRPr="00B004EE">
        <w:rPr>
          <w:rFonts w:ascii="Tahoma" w:hAnsi="Tahoma" w:cs="Tahoma"/>
          <w:sz w:val="20"/>
          <w:szCs w:val="20"/>
        </w:rPr>
        <w:t>pêche</w:t>
      </w:r>
      <w:r w:rsidR="00DB1635" w:rsidRPr="00B004EE">
        <w:rPr>
          <w:rFonts w:ascii="Tahoma" w:hAnsi="Tahoma" w:cs="Tahoma"/>
          <w:spacing w:val="-6"/>
          <w:sz w:val="20"/>
          <w:szCs w:val="20"/>
        </w:rPr>
        <w:t xml:space="preserve"> </w:t>
      </w:r>
      <w:r w:rsidRPr="00B004EE">
        <w:rPr>
          <w:rFonts w:ascii="Tahoma" w:hAnsi="Tahoma" w:cs="Tahoma"/>
          <w:sz w:val="20"/>
          <w:szCs w:val="20"/>
        </w:rPr>
        <w:t>sans</w:t>
      </w:r>
      <w:r w:rsidR="00DB1635" w:rsidRPr="00B004EE">
        <w:rPr>
          <w:rFonts w:ascii="Tahoma" w:hAnsi="Tahoma" w:cs="Tahoma"/>
          <w:spacing w:val="-6"/>
          <w:sz w:val="20"/>
          <w:szCs w:val="20"/>
        </w:rPr>
        <w:t xml:space="preserve"> </w:t>
      </w:r>
      <w:r w:rsidRPr="00B004EE">
        <w:rPr>
          <w:rFonts w:ascii="Tahoma" w:hAnsi="Tahoma" w:cs="Tahoma"/>
          <w:sz w:val="20"/>
          <w:szCs w:val="20"/>
        </w:rPr>
        <w:t>autorisation;</w:t>
      </w:r>
    </w:p>
    <w:p w14:paraId="25301ACD" w14:textId="4F856826" w:rsidR="001E7C3C" w:rsidRPr="00B004EE" w:rsidRDefault="001E7C3C" w:rsidP="00420DDA">
      <w:pPr>
        <w:pStyle w:val="Paragraphedeliste"/>
        <w:widowControl w:val="0"/>
        <w:numPr>
          <w:ilvl w:val="0"/>
          <w:numId w:val="32"/>
        </w:numPr>
        <w:tabs>
          <w:tab w:val="left" w:pos="709"/>
        </w:tabs>
        <w:ind w:left="567" w:right="559"/>
        <w:rPr>
          <w:rFonts w:ascii="Tahoma" w:eastAsia="American Typewriter" w:hAnsi="Tahoma" w:cs="Tahoma"/>
          <w:sz w:val="20"/>
          <w:szCs w:val="20"/>
        </w:rPr>
      </w:pPr>
      <w:proofErr w:type="gramStart"/>
      <w:r w:rsidRPr="00B004EE">
        <w:rPr>
          <w:rFonts w:ascii="Tahoma" w:hAnsi="Tahoma" w:cs="Tahoma"/>
          <w:sz w:val="20"/>
          <w:szCs w:val="20"/>
        </w:rPr>
        <w:t>la</w:t>
      </w:r>
      <w:proofErr w:type="gramEnd"/>
      <w:r w:rsidR="00DB1635" w:rsidRPr="00B004EE">
        <w:rPr>
          <w:rFonts w:ascii="Tahoma" w:hAnsi="Tahoma" w:cs="Tahoma"/>
          <w:sz w:val="20"/>
          <w:szCs w:val="20"/>
        </w:rPr>
        <w:t xml:space="preserve"> </w:t>
      </w:r>
      <w:r w:rsidRPr="00B004EE">
        <w:rPr>
          <w:rFonts w:ascii="Tahoma" w:hAnsi="Tahoma" w:cs="Tahoma"/>
          <w:sz w:val="20"/>
          <w:szCs w:val="20"/>
        </w:rPr>
        <w:t>mise</w:t>
      </w:r>
      <w:r w:rsidR="00DB1635" w:rsidRPr="00B004EE">
        <w:rPr>
          <w:rFonts w:ascii="Tahoma" w:hAnsi="Tahoma" w:cs="Tahoma"/>
          <w:sz w:val="20"/>
          <w:szCs w:val="20"/>
        </w:rPr>
        <w:t xml:space="preserve"> </w:t>
      </w:r>
      <w:r w:rsidRPr="00B004EE">
        <w:rPr>
          <w:rFonts w:ascii="Tahoma" w:hAnsi="Tahoma" w:cs="Tahoma"/>
          <w:sz w:val="20"/>
          <w:szCs w:val="20"/>
        </w:rPr>
        <w:t>sur</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marché</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produit</w:t>
      </w:r>
      <w:r w:rsidR="00DB1635" w:rsidRPr="00B004EE">
        <w:rPr>
          <w:rFonts w:ascii="Tahoma" w:hAnsi="Tahoma" w:cs="Tahoma"/>
          <w:sz w:val="20"/>
          <w:szCs w:val="20"/>
        </w:rPr>
        <w:t xml:space="preserve"> </w:t>
      </w:r>
      <w:r w:rsidRPr="00B004EE">
        <w:rPr>
          <w:rFonts w:ascii="Tahoma" w:hAnsi="Tahoma" w:cs="Tahoma"/>
          <w:sz w:val="20"/>
          <w:szCs w:val="20"/>
        </w:rPr>
        <w:t>sans</w:t>
      </w:r>
      <w:r w:rsidR="00DB1635" w:rsidRPr="00B004EE">
        <w:rPr>
          <w:rFonts w:ascii="Tahoma" w:hAnsi="Tahoma" w:cs="Tahoma"/>
          <w:sz w:val="20"/>
          <w:szCs w:val="20"/>
        </w:rPr>
        <w:t xml:space="preserve"> </w:t>
      </w:r>
      <w:r w:rsidRPr="00B004EE">
        <w:rPr>
          <w:rFonts w:ascii="Tahoma" w:hAnsi="Tahoma" w:cs="Tahoma"/>
          <w:sz w:val="20"/>
          <w:szCs w:val="20"/>
        </w:rPr>
        <w:t>certificat</w:t>
      </w:r>
      <w:r w:rsidR="00DB1635" w:rsidRPr="00B004EE">
        <w:rPr>
          <w:rFonts w:ascii="Tahoma" w:hAnsi="Tahoma" w:cs="Tahoma"/>
          <w:spacing w:val="-5"/>
          <w:sz w:val="20"/>
          <w:szCs w:val="20"/>
        </w:rPr>
        <w:t xml:space="preserve"> </w:t>
      </w:r>
      <w:r w:rsidRPr="00B004EE">
        <w:rPr>
          <w:rFonts w:ascii="Tahoma" w:hAnsi="Tahoma" w:cs="Tahoma"/>
          <w:sz w:val="20"/>
          <w:szCs w:val="20"/>
        </w:rPr>
        <w:t>sanitaire.</w:t>
      </w:r>
    </w:p>
    <w:p w14:paraId="4180E2AB" w14:textId="77777777" w:rsidR="001E7C3C" w:rsidRPr="00B004EE" w:rsidRDefault="001E7C3C" w:rsidP="00B004EE">
      <w:pPr>
        <w:rPr>
          <w:rFonts w:ascii="Tahoma" w:eastAsia="American Typewriter" w:hAnsi="Tahoma" w:cs="Tahoma"/>
          <w:sz w:val="20"/>
          <w:szCs w:val="20"/>
        </w:rPr>
      </w:pPr>
    </w:p>
    <w:p w14:paraId="628046C7" w14:textId="5A324182" w:rsidR="001E7C3C" w:rsidRPr="00B004EE" w:rsidRDefault="001E7C3C" w:rsidP="00B004EE">
      <w:pPr>
        <w:pStyle w:val="Corpsdetexte"/>
        <w:ind w:right="559"/>
        <w:rPr>
          <w:rFonts w:ascii="Tahoma" w:hAnsi="Tahoma" w:cs="Tahoma"/>
          <w:sz w:val="20"/>
          <w:szCs w:val="20"/>
        </w:rPr>
      </w:pPr>
      <w:r w:rsidRPr="00B004EE">
        <w:rPr>
          <w:rFonts w:ascii="Tahoma" w:hAnsi="Tahoma" w:cs="Tahoma"/>
          <w:sz w:val="20"/>
          <w:szCs w:val="20"/>
        </w:rPr>
        <w:t>Les</w:t>
      </w:r>
      <w:r w:rsidR="00DB1635" w:rsidRPr="00B004EE">
        <w:rPr>
          <w:rFonts w:ascii="Tahoma" w:hAnsi="Tahoma" w:cs="Tahoma"/>
          <w:spacing w:val="-29"/>
          <w:sz w:val="20"/>
          <w:szCs w:val="20"/>
        </w:rPr>
        <w:t xml:space="preserve"> </w:t>
      </w:r>
      <w:r w:rsidRPr="00B004EE">
        <w:rPr>
          <w:rFonts w:ascii="Tahoma" w:hAnsi="Tahoma" w:cs="Tahoma"/>
          <w:sz w:val="20"/>
          <w:szCs w:val="20"/>
        </w:rPr>
        <w:t>infractions</w:t>
      </w:r>
      <w:r w:rsidR="00DB1635" w:rsidRPr="00B004EE">
        <w:rPr>
          <w:rFonts w:ascii="Tahoma" w:hAnsi="Tahoma" w:cs="Tahoma"/>
          <w:spacing w:val="-29"/>
          <w:sz w:val="20"/>
          <w:szCs w:val="20"/>
        </w:rPr>
        <w:t xml:space="preserve"> </w:t>
      </w:r>
      <w:r w:rsidRPr="00B004EE">
        <w:rPr>
          <w:rFonts w:ascii="Tahoma" w:hAnsi="Tahoma" w:cs="Tahoma"/>
          <w:sz w:val="20"/>
          <w:szCs w:val="20"/>
        </w:rPr>
        <w:t>de</w:t>
      </w:r>
      <w:r w:rsidR="00DB1635" w:rsidRPr="00B004EE">
        <w:rPr>
          <w:rFonts w:ascii="Tahoma" w:hAnsi="Tahoma" w:cs="Tahoma"/>
          <w:spacing w:val="-29"/>
          <w:sz w:val="20"/>
          <w:szCs w:val="20"/>
        </w:rPr>
        <w:t xml:space="preserve"> </w:t>
      </w:r>
      <w:r w:rsidRPr="00B004EE">
        <w:rPr>
          <w:rFonts w:ascii="Tahoma" w:hAnsi="Tahoma" w:cs="Tahoma"/>
          <w:sz w:val="20"/>
          <w:szCs w:val="20"/>
        </w:rPr>
        <w:t>pêche</w:t>
      </w:r>
      <w:r w:rsidR="00DB1635" w:rsidRPr="00B004EE">
        <w:rPr>
          <w:rFonts w:ascii="Tahoma" w:hAnsi="Tahoma" w:cs="Tahoma"/>
          <w:spacing w:val="-29"/>
          <w:sz w:val="20"/>
          <w:szCs w:val="20"/>
        </w:rPr>
        <w:t xml:space="preserve"> </w:t>
      </w:r>
      <w:r w:rsidRPr="00B004EE">
        <w:rPr>
          <w:rFonts w:ascii="Tahoma" w:hAnsi="Tahoma" w:cs="Tahoma"/>
          <w:sz w:val="20"/>
          <w:szCs w:val="20"/>
        </w:rPr>
        <w:t>très</w:t>
      </w:r>
      <w:r w:rsidR="00DB1635" w:rsidRPr="00B004EE">
        <w:rPr>
          <w:rFonts w:ascii="Tahoma" w:hAnsi="Tahoma" w:cs="Tahoma"/>
          <w:spacing w:val="-29"/>
          <w:sz w:val="20"/>
          <w:szCs w:val="20"/>
        </w:rPr>
        <w:t xml:space="preserve"> </w:t>
      </w:r>
      <w:r w:rsidRPr="00B004EE">
        <w:rPr>
          <w:rFonts w:ascii="Tahoma" w:hAnsi="Tahoma" w:cs="Tahoma"/>
          <w:sz w:val="20"/>
          <w:szCs w:val="20"/>
        </w:rPr>
        <w:t>graves</w:t>
      </w:r>
      <w:r w:rsidR="00DB1635" w:rsidRPr="00B004EE">
        <w:rPr>
          <w:rFonts w:ascii="Tahoma" w:hAnsi="Tahoma" w:cs="Tahoma"/>
          <w:spacing w:val="-29"/>
          <w:sz w:val="20"/>
          <w:szCs w:val="20"/>
        </w:rPr>
        <w:t xml:space="preserve"> </w:t>
      </w:r>
      <w:r w:rsidRPr="00B004EE">
        <w:rPr>
          <w:rFonts w:ascii="Tahoma" w:hAnsi="Tahoma" w:cs="Tahoma"/>
          <w:sz w:val="20"/>
          <w:szCs w:val="20"/>
        </w:rPr>
        <w:t>seront</w:t>
      </w:r>
      <w:r w:rsidR="00DB1635" w:rsidRPr="00B004EE">
        <w:rPr>
          <w:rFonts w:ascii="Tahoma" w:hAnsi="Tahoma" w:cs="Tahoma"/>
          <w:spacing w:val="-29"/>
          <w:sz w:val="20"/>
          <w:szCs w:val="20"/>
        </w:rPr>
        <w:t xml:space="preserve"> </w:t>
      </w:r>
      <w:r w:rsidRPr="00B004EE">
        <w:rPr>
          <w:rFonts w:ascii="Tahoma" w:hAnsi="Tahoma" w:cs="Tahoma"/>
          <w:sz w:val="20"/>
          <w:szCs w:val="20"/>
        </w:rPr>
        <w:t>punies,</w:t>
      </w:r>
      <w:r w:rsidR="00DB1635" w:rsidRPr="00B004EE">
        <w:rPr>
          <w:rFonts w:ascii="Tahoma" w:hAnsi="Tahoma" w:cs="Tahoma"/>
          <w:spacing w:val="-29"/>
          <w:sz w:val="20"/>
          <w:szCs w:val="20"/>
        </w:rPr>
        <w:t xml:space="preserve"> </w:t>
      </w:r>
      <w:r w:rsidRPr="00B004EE">
        <w:rPr>
          <w:rFonts w:ascii="Tahoma" w:hAnsi="Tahoma" w:cs="Tahoma"/>
          <w:sz w:val="20"/>
          <w:szCs w:val="20"/>
        </w:rPr>
        <w:t>d'une</w:t>
      </w:r>
      <w:r w:rsidR="00DB1635" w:rsidRPr="00B004EE">
        <w:rPr>
          <w:rFonts w:ascii="Tahoma" w:hAnsi="Tahoma" w:cs="Tahoma"/>
          <w:spacing w:val="-29"/>
          <w:sz w:val="20"/>
          <w:szCs w:val="20"/>
        </w:rPr>
        <w:t xml:space="preserve"> </w:t>
      </w:r>
      <w:r w:rsidRPr="00B004EE">
        <w:rPr>
          <w:rFonts w:ascii="Tahoma" w:hAnsi="Tahoma" w:cs="Tahoma"/>
          <w:sz w:val="20"/>
          <w:szCs w:val="20"/>
        </w:rPr>
        <w:t>amende</w:t>
      </w:r>
      <w:r w:rsidR="00DB1635" w:rsidRPr="00B004EE">
        <w:rPr>
          <w:rFonts w:ascii="Tahoma" w:hAnsi="Tahoma" w:cs="Tahoma"/>
          <w:spacing w:val="-29"/>
          <w:sz w:val="20"/>
          <w:szCs w:val="20"/>
        </w:rPr>
        <w:t xml:space="preserve"> </w:t>
      </w:r>
      <w:r w:rsidRPr="00B004EE">
        <w:rPr>
          <w:rFonts w:ascii="Tahoma" w:hAnsi="Tahoma" w:cs="Tahoma"/>
          <w:sz w:val="20"/>
          <w:szCs w:val="20"/>
        </w:rPr>
        <w:t>:</w:t>
      </w:r>
    </w:p>
    <w:p w14:paraId="6E28261E" w14:textId="1524D868" w:rsidR="001E7C3C" w:rsidRPr="00B004EE" w:rsidRDefault="001E7C3C" w:rsidP="00420DDA">
      <w:pPr>
        <w:pStyle w:val="Paragraphedeliste"/>
        <w:widowControl w:val="0"/>
        <w:numPr>
          <w:ilvl w:val="0"/>
          <w:numId w:val="34"/>
        </w:numPr>
        <w:tabs>
          <w:tab w:val="left" w:pos="1154"/>
        </w:tabs>
        <w:ind w:left="567" w:right="161"/>
        <w:jc w:val="both"/>
        <w:rPr>
          <w:rFonts w:ascii="Tahoma" w:eastAsia="American Typewriter" w:hAnsi="Tahoma" w:cs="Tahoma"/>
          <w:sz w:val="20"/>
          <w:szCs w:val="20"/>
        </w:rPr>
      </w:pPr>
      <w:proofErr w:type="gramStart"/>
      <w:r w:rsidRPr="00B004EE">
        <w:rPr>
          <w:rFonts w:ascii="Tahoma" w:hAnsi="Tahoma" w:cs="Tahoma"/>
          <w:sz w:val="20"/>
          <w:szCs w:val="20"/>
        </w:rPr>
        <w:t>de</w:t>
      </w:r>
      <w:proofErr w:type="gramEnd"/>
      <w:r w:rsidR="00DB1635" w:rsidRPr="00B004EE">
        <w:rPr>
          <w:rFonts w:ascii="Tahoma" w:hAnsi="Tahoma" w:cs="Tahoma"/>
          <w:spacing w:val="-30"/>
          <w:sz w:val="20"/>
          <w:szCs w:val="20"/>
        </w:rPr>
        <w:t xml:space="preserve"> </w:t>
      </w:r>
      <w:r w:rsidRPr="00B004EE">
        <w:rPr>
          <w:rFonts w:ascii="Tahoma" w:hAnsi="Tahoma" w:cs="Tahoma"/>
          <w:sz w:val="20"/>
          <w:szCs w:val="20"/>
        </w:rPr>
        <w:t>cent</w:t>
      </w:r>
      <w:r w:rsidR="00DB1635" w:rsidRPr="00B004EE">
        <w:rPr>
          <w:rFonts w:ascii="Tahoma" w:hAnsi="Tahoma" w:cs="Tahoma"/>
          <w:spacing w:val="-30"/>
          <w:sz w:val="20"/>
          <w:szCs w:val="20"/>
        </w:rPr>
        <w:t xml:space="preserve"> </w:t>
      </w:r>
      <w:r w:rsidRPr="00B004EE">
        <w:rPr>
          <w:rFonts w:ascii="Tahoma" w:hAnsi="Tahoma" w:cs="Tahoma"/>
          <w:sz w:val="20"/>
          <w:szCs w:val="20"/>
        </w:rPr>
        <w:t>mille</w:t>
      </w:r>
      <w:r w:rsidR="00DB1635" w:rsidRPr="00B004EE">
        <w:rPr>
          <w:rFonts w:ascii="Tahoma" w:hAnsi="Tahoma" w:cs="Tahoma"/>
          <w:spacing w:val="-30"/>
          <w:sz w:val="20"/>
          <w:szCs w:val="20"/>
        </w:rPr>
        <w:t xml:space="preserve"> </w:t>
      </w:r>
      <w:r w:rsidRPr="00B004EE">
        <w:rPr>
          <w:rFonts w:ascii="Tahoma" w:hAnsi="Tahoma" w:cs="Tahoma"/>
          <w:sz w:val="20"/>
          <w:szCs w:val="20"/>
        </w:rPr>
        <w:t>(100.000)</w:t>
      </w:r>
      <w:r w:rsidR="00DB1635" w:rsidRPr="00B004EE">
        <w:rPr>
          <w:rFonts w:ascii="Tahoma" w:hAnsi="Tahoma" w:cs="Tahoma"/>
          <w:spacing w:val="-31"/>
          <w:sz w:val="20"/>
          <w:szCs w:val="20"/>
        </w:rPr>
        <w:t xml:space="preserve"> </w:t>
      </w:r>
      <w:r w:rsidRPr="00B004EE">
        <w:rPr>
          <w:rFonts w:ascii="Tahoma" w:hAnsi="Tahoma" w:cs="Tahoma"/>
          <w:sz w:val="20"/>
          <w:szCs w:val="20"/>
        </w:rPr>
        <w:t>ouguiya</w:t>
      </w:r>
      <w:r w:rsidR="00DB1635" w:rsidRPr="00B004EE">
        <w:rPr>
          <w:rFonts w:ascii="Tahoma" w:hAnsi="Tahoma" w:cs="Tahoma"/>
          <w:spacing w:val="-30"/>
          <w:sz w:val="20"/>
          <w:szCs w:val="20"/>
        </w:rPr>
        <w:t xml:space="preserve"> </w:t>
      </w:r>
      <w:r w:rsidRPr="00B004EE">
        <w:rPr>
          <w:rFonts w:ascii="Tahoma" w:hAnsi="Tahoma" w:cs="Tahoma"/>
          <w:sz w:val="20"/>
          <w:szCs w:val="20"/>
        </w:rPr>
        <w:t>jusqu'à</w:t>
      </w:r>
      <w:r w:rsidR="00DB1635" w:rsidRPr="00B004EE">
        <w:rPr>
          <w:rFonts w:ascii="Tahoma" w:hAnsi="Tahoma" w:cs="Tahoma"/>
          <w:spacing w:val="-30"/>
          <w:sz w:val="20"/>
          <w:szCs w:val="20"/>
        </w:rPr>
        <w:t xml:space="preserve"> </w:t>
      </w:r>
      <w:r w:rsidRPr="00B004EE">
        <w:rPr>
          <w:rFonts w:ascii="Tahoma" w:hAnsi="Tahoma" w:cs="Tahoma"/>
          <w:sz w:val="20"/>
          <w:szCs w:val="20"/>
        </w:rPr>
        <w:t>huit</w:t>
      </w:r>
      <w:r w:rsidR="00DB1635" w:rsidRPr="00B004EE">
        <w:rPr>
          <w:rFonts w:ascii="Tahoma" w:hAnsi="Tahoma" w:cs="Tahoma"/>
          <w:spacing w:val="-30"/>
          <w:sz w:val="20"/>
          <w:szCs w:val="20"/>
        </w:rPr>
        <w:t xml:space="preserve"> </w:t>
      </w:r>
      <w:r w:rsidRPr="00B004EE">
        <w:rPr>
          <w:rFonts w:ascii="Tahoma" w:hAnsi="Tahoma" w:cs="Tahoma"/>
          <w:sz w:val="20"/>
          <w:szCs w:val="20"/>
        </w:rPr>
        <w:t>cent</w:t>
      </w:r>
      <w:r w:rsidR="00DB1635" w:rsidRPr="00B004EE">
        <w:rPr>
          <w:rFonts w:ascii="Tahoma" w:hAnsi="Tahoma" w:cs="Tahoma"/>
          <w:spacing w:val="-30"/>
          <w:sz w:val="20"/>
          <w:szCs w:val="20"/>
        </w:rPr>
        <w:t xml:space="preserve"> </w:t>
      </w:r>
      <w:r w:rsidRPr="00B004EE">
        <w:rPr>
          <w:rFonts w:ascii="Tahoma" w:hAnsi="Tahoma" w:cs="Tahoma"/>
          <w:sz w:val="20"/>
          <w:szCs w:val="20"/>
        </w:rPr>
        <w:t>mille</w:t>
      </w:r>
      <w:r w:rsidR="00DB1635" w:rsidRPr="00B004EE">
        <w:rPr>
          <w:rFonts w:ascii="Tahoma" w:hAnsi="Tahoma" w:cs="Tahoma"/>
          <w:spacing w:val="-30"/>
          <w:sz w:val="20"/>
          <w:szCs w:val="20"/>
        </w:rPr>
        <w:t xml:space="preserve"> </w:t>
      </w:r>
      <w:r w:rsidRPr="00B004EE">
        <w:rPr>
          <w:rFonts w:ascii="Tahoma" w:hAnsi="Tahoma" w:cs="Tahoma"/>
          <w:sz w:val="20"/>
          <w:szCs w:val="20"/>
        </w:rPr>
        <w:t>(800.000)</w:t>
      </w:r>
      <w:r w:rsidR="00DB1635" w:rsidRPr="00B004EE">
        <w:rPr>
          <w:rFonts w:ascii="Tahoma" w:hAnsi="Tahoma" w:cs="Tahoma"/>
          <w:sz w:val="20"/>
          <w:szCs w:val="20"/>
        </w:rPr>
        <w:t xml:space="preserve"> </w:t>
      </w:r>
      <w:r w:rsidRPr="00B004EE">
        <w:rPr>
          <w:rFonts w:ascii="Tahoma" w:hAnsi="Tahoma" w:cs="Tahoma"/>
          <w:sz w:val="20"/>
          <w:szCs w:val="20"/>
        </w:rPr>
        <w:t>ouguiya</w:t>
      </w:r>
      <w:r w:rsidR="00DB1635" w:rsidRPr="00B004EE">
        <w:rPr>
          <w:rFonts w:ascii="Tahoma" w:hAnsi="Tahoma" w:cs="Tahoma"/>
          <w:w w:val="98"/>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navires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petite</w:t>
      </w:r>
      <w:r w:rsidR="00DB1635" w:rsidRPr="00B004EE">
        <w:rPr>
          <w:rFonts w:ascii="Tahoma" w:hAnsi="Tahoma" w:cs="Tahoma"/>
          <w:spacing w:val="19"/>
          <w:sz w:val="20"/>
          <w:szCs w:val="20"/>
        </w:rPr>
        <w:t xml:space="preserve"> </w:t>
      </w:r>
      <w:r w:rsidRPr="00B004EE">
        <w:rPr>
          <w:rFonts w:ascii="Tahoma" w:hAnsi="Tahoma" w:cs="Tahoma"/>
          <w:sz w:val="20"/>
          <w:szCs w:val="20"/>
        </w:rPr>
        <w:t>taille;</w:t>
      </w:r>
    </w:p>
    <w:p w14:paraId="154B4756" w14:textId="5D024698" w:rsidR="001E7C3C" w:rsidRPr="00B004EE" w:rsidRDefault="001E7C3C" w:rsidP="00420DDA">
      <w:pPr>
        <w:pStyle w:val="Paragraphedeliste"/>
        <w:widowControl w:val="0"/>
        <w:numPr>
          <w:ilvl w:val="0"/>
          <w:numId w:val="34"/>
        </w:numPr>
        <w:tabs>
          <w:tab w:val="left" w:pos="1154"/>
        </w:tabs>
        <w:ind w:left="567" w:right="158"/>
        <w:jc w:val="both"/>
        <w:rPr>
          <w:rFonts w:ascii="Tahoma" w:eastAsia="American Typewriter" w:hAnsi="Tahoma" w:cs="Tahoma"/>
          <w:sz w:val="20"/>
          <w:szCs w:val="20"/>
        </w:rPr>
      </w:pPr>
      <w:proofErr w:type="gramStart"/>
      <w:r w:rsidRPr="00B004EE">
        <w:rPr>
          <w:rFonts w:ascii="Tahoma" w:eastAsia="American Typewriter" w:hAnsi="Tahoma" w:cs="Tahoma"/>
          <w:sz w:val="20"/>
          <w:szCs w:val="20"/>
        </w:rPr>
        <w:t>de</w:t>
      </w:r>
      <w:proofErr w:type="gramEnd"/>
      <w:r w:rsidR="00DB1635" w:rsidRPr="00B004EE">
        <w:rPr>
          <w:rFonts w:ascii="Tahoma" w:eastAsia="American Typewriter" w:hAnsi="Tahoma" w:cs="Tahoma"/>
          <w:spacing w:val="30"/>
          <w:sz w:val="20"/>
          <w:szCs w:val="20"/>
        </w:rPr>
        <w:t xml:space="preserve"> </w:t>
      </w:r>
      <w:r w:rsidRPr="00B004EE">
        <w:rPr>
          <w:rFonts w:ascii="Tahoma" w:eastAsia="American Typewriter" w:hAnsi="Tahoma" w:cs="Tahoma"/>
          <w:sz w:val="20"/>
          <w:szCs w:val="20"/>
        </w:rPr>
        <w:t>cinq</w:t>
      </w:r>
      <w:r w:rsidR="00DB1635" w:rsidRPr="00B004EE">
        <w:rPr>
          <w:rFonts w:ascii="Tahoma" w:eastAsia="American Typewriter" w:hAnsi="Tahoma" w:cs="Tahoma"/>
          <w:spacing w:val="31"/>
          <w:sz w:val="20"/>
          <w:szCs w:val="20"/>
        </w:rPr>
        <w:t xml:space="preserve"> </w:t>
      </w:r>
      <w:r w:rsidRPr="00B004EE">
        <w:rPr>
          <w:rFonts w:ascii="Tahoma" w:eastAsia="American Typewriter" w:hAnsi="Tahoma" w:cs="Tahoma"/>
          <w:sz w:val="20"/>
          <w:szCs w:val="20"/>
        </w:rPr>
        <w:t>cent</w:t>
      </w:r>
      <w:r w:rsidR="00DB1635" w:rsidRPr="00B004EE">
        <w:rPr>
          <w:rFonts w:ascii="Tahoma" w:eastAsia="American Typewriter" w:hAnsi="Tahoma" w:cs="Tahoma"/>
          <w:spacing w:val="30"/>
          <w:sz w:val="20"/>
          <w:szCs w:val="20"/>
        </w:rPr>
        <w:t xml:space="preserve"> </w:t>
      </w:r>
      <w:r w:rsidRPr="00B004EE">
        <w:rPr>
          <w:rFonts w:ascii="Tahoma" w:eastAsia="American Typewriter" w:hAnsi="Tahoma" w:cs="Tahoma"/>
          <w:sz w:val="20"/>
          <w:szCs w:val="20"/>
        </w:rPr>
        <w:t>mille</w:t>
      </w:r>
      <w:r w:rsidR="00DB1635" w:rsidRPr="00B004EE">
        <w:rPr>
          <w:rFonts w:ascii="Tahoma" w:eastAsia="American Typewriter" w:hAnsi="Tahoma" w:cs="Tahoma"/>
          <w:spacing w:val="29"/>
          <w:sz w:val="20"/>
          <w:szCs w:val="20"/>
        </w:rPr>
        <w:t xml:space="preserve"> </w:t>
      </w:r>
      <w:r w:rsidRPr="00B004EE">
        <w:rPr>
          <w:rFonts w:ascii="Tahoma" w:eastAsia="American Typewriter" w:hAnsi="Tahoma" w:cs="Tahoma"/>
          <w:sz w:val="20"/>
          <w:szCs w:val="20"/>
        </w:rPr>
        <w:t>(500.000)</w:t>
      </w:r>
      <w:r w:rsidR="00DB1635" w:rsidRPr="00B004EE">
        <w:rPr>
          <w:rFonts w:ascii="Tahoma" w:eastAsia="American Typewriter" w:hAnsi="Tahoma" w:cs="Tahoma"/>
          <w:spacing w:val="29"/>
          <w:sz w:val="20"/>
          <w:szCs w:val="20"/>
        </w:rPr>
        <w:t xml:space="preserve"> </w:t>
      </w:r>
      <w:r w:rsidRPr="00B004EE">
        <w:rPr>
          <w:rFonts w:ascii="Tahoma" w:eastAsia="American Typewriter" w:hAnsi="Tahoma" w:cs="Tahoma"/>
          <w:sz w:val="20"/>
          <w:szCs w:val="20"/>
        </w:rPr>
        <w:t>ouguiya</w:t>
      </w:r>
      <w:r w:rsidR="00DB1635" w:rsidRPr="00B004EE">
        <w:rPr>
          <w:rFonts w:ascii="Tahoma" w:eastAsia="American Typewriter" w:hAnsi="Tahoma" w:cs="Tahoma"/>
          <w:spacing w:val="30"/>
          <w:sz w:val="20"/>
          <w:szCs w:val="20"/>
        </w:rPr>
        <w:t xml:space="preserve"> </w:t>
      </w:r>
      <w:r w:rsidRPr="00B004EE">
        <w:rPr>
          <w:rFonts w:ascii="Tahoma" w:eastAsia="American Typewriter" w:hAnsi="Tahoma" w:cs="Tahoma"/>
          <w:sz w:val="20"/>
          <w:szCs w:val="20"/>
        </w:rPr>
        <w:t>jusqu'à</w:t>
      </w:r>
      <w:r w:rsidR="00DB1635" w:rsidRPr="00B004EE">
        <w:rPr>
          <w:rFonts w:ascii="Tahoma" w:eastAsia="American Typewriter" w:hAnsi="Tahoma" w:cs="Tahoma"/>
          <w:spacing w:val="30"/>
          <w:sz w:val="20"/>
          <w:szCs w:val="20"/>
        </w:rPr>
        <w:t xml:space="preserve"> </w:t>
      </w:r>
      <w:r w:rsidRPr="00B004EE">
        <w:rPr>
          <w:rFonts w:ascii="Tahoma" w:eastAsia="American Typewriter" w:hAnsi="Tahoma" w:cs="Tahoma"/>
          <w:sz w:val="20"/>
          <w:szCs w:val="20"/>
        </w:rPr>
        <w:t>six</w:t>
      </w:r>
      <w:r w:rsidR="00DB1635" w:rsidRPr="00B004EE">
        <w:rPr>
          <w:rFonts w:ascii="Tahoma" w:eastAsia="American Typewriter" w:hAnsi="Tahoma" w:cs="Tahoma"/>
          <w:spacing w:val="30"/>
          <w:sz w:val="20"/>
          <w:szCs w:val="20"/>
        </w:rPr>
        <w:t xml:space="preserve"> </w:t>
      </w:r>
      <w:r w:rsidRPr="00B004EE">
        <w:rPr>
          <w:rFonts w:ascii="Tahoma" w:eastAsia="American Typewriter" w:hAnsi="Tahoma" w:cs="Tahoma"/>
          <w:sz w:val="20"/>
          <w:szCs w:val="20"/>
        </w:rPr>
        <w:t>millions</w:t>
      </w:r>
      <w:r w:rsidR="00DB1635" w:rsidRPr="00B004EE">
        <w:rPr>
          <w:rFonts w:ascii="Tahoma" w:eastAsia="American Typewriter" w:hAnsi="Tahoma" w:cs="Tahoma"/>
          <w:spacing w:val="29"/>
          <w:sz w:val="20"/>
          <w:szCs w:val="20"/>
        </w:rPr>
        <w:t xml:space="preserve"> </w:t>
      </w:r>
      <w:r w:rsidRPr="00B004EE">
        <w:rPr>
          <w:rFonts w:ascii="Tahoma" w:eastAsia="American Typewriter" w:hAnsi="Tahoma" w:cs="Tahoma"/>
          <w:sz w:val="20"/>
          <w:szCs w:val="20"/>
        </w:rPr>
        <w:t>(6.000.000)</w:t>
      </w:r>
      <w:r w:rsidR="00DB1635" w:rsidRPr="00B004EE">
        <w:rPr>
          <w:rFonts w:ascii="Tahoma" w:eastAsia="American Typewriter" w:hAnsi="Tahoma" w:cs="Tahoma"/>
          <w:w w:val="73"/>
          <w:sz w:val="20"/>
          <w:szCs w:val="20"/>
        </w:rPr>
        <w:t xml:space="preserve"> </w:t>
      </w:r>
      <w:r w:rsidRPr="00B004EE">
        <w:rPr>
          <w:rFonts w:ascii="Tahoma" w:eastAsia="American Typewriter" w:hAnsi="Tahoma" w:cs="Tahoma"/>
          <w:sz w:val="20"/>
          <w:szCs w:val="20"/>
        </w:rPr>
        <w:t>d’ouguiya</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pour</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les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navires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pêche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d’un</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tonnage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égal</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ou</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inférieur</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à</w:t>
      </w:r>
      <w:r w:rsidR="00DB1635" w:rsidRPr="00B004EE">
        <w:rPr>
          <w:rFonts w:ascii="Tahoma" w:eastAsia="American Typewriter" w:hAnsi="Tahoma" w:cs="Tahoma"/>
          <w:spacing w:val="22"/>
          <w:sz w:val="20"/>
          <w:szCs w:val="20"/>
        </w:rPr>
        <w:t xml:space="preserve"> </w:t>
      </w:r>
      <w:r w:rsidRPr="00B004EE">
        <w:rPr>
          <w:rFonts w:ascii="Tahoma" w:eastAsia="American Typewriter" w:hAnsi="Tahoma" w:cs="Tahoma"/>
          <w:sz w:val="20"/>
          <w:szCs w:val="20"/>
        </w:rPr>
        <w:t>50</w:t>
      </w:r>
      <w:r w:rsidR="00DB1635" w:rsidRPr="00B004EE">
        <w:rPr>
          <w:rFonts w:ascii="Tahoma" w:eastAsia="American Typewriter" w:hAnsi="Tahoma" w:cs="Tahoma"/>
          <w:w w:val="87"/>
          <w:sz w:val="20"/>
          <w:szCs w:val="20"/>
        </w:rPr>
        <w:t xml:space="preserve"> </w:t>
      </w:r>
      <w:r w:rsidRPr="00B004EE">
        <w:rPr>
          <w:rFonts w:ascii="Tahoma" w:eastAsia="American Typewriter" w:hAnsi="Tahoma" w:cs="Tahoma"/>
          <w:sz w:val="20"/>
          <w:szCs w:val="20"/>
        </w:rPr>
        <w:t>GT;</w:t>
      </w:r>
    </w:p>
    <w:p w14:paraId="03FC5A3B" w14:textId="79153CFF" w:rsidR="001E7C3C" w:rsidRPr="00B004EE" w:rsidRDefault="001E7C3C" w:rsidP="00420DDA">
      <w:pPr>
        <w:pStyle w:val="Paragraphedeliste"/>
        <w:widowControl w:val="0"/>
        <w:numPr>
          <w:ilvl w:val="0"/>
          <w:numId w:val="34"/>
        </w:numPr>
        <w:tabs>
          <w:tab w:val="left" w:pos="1154"/>
        </w:tabs>
        <w:ind w:left="567" w:right="159"/>
        <w:jc w:val="both"/>
        <w:rPr>
          <w:rFonts w:ascii="Tahoma" w:eastAsia="American Typewriter" w:hAnsi="Tahoma" w:cs="Tahoma"/>
          <w:sz w:val="20"/>
          <w:szCs w:val="20"/>
        </w:rPr>
      </w:pPr>
      <w:proofErr w:type="gramStart"/>
      <w:r w:rsidRPr="00B004EE">
        <w:rPr>
          <w:rFonts w:ascii="Tahoma" w:eastAsia="American Typewriter" w:hAnsi="Tahoma" w:cs="Tahoma"/>
          <w:sz w:val="20"/>
          <w:szCs w:val="20"/>
        </w:rPr>
        <w:t>de</w:t>
      </w:r>
      <w:proofErr w:type="gramEnd"/>
      <w:r w:rsidR="00DB1635" w:rsidRPr="00B004EE">
        <w:rPr>
          <w:rFonts w:ascii="Tahoma" w:eastAsia="American Typewriter" w:hAnsi="Tahoma" w:cs="Tahoma"/>
          <w:spacing w:val="-19"/>
          <w:sz w:val="20"/>
          <w:szCs w:val="20"/>
        </w:rPr>
        <w:t xml:space="preserve"> </w:t>
      </w:r>
      <w:r w:rsidRPr="00B004EE">
        <w:rPr>
          <w:rFonts w:ascii="Tahoma" w:eastAsia="American Typewriter" w:hAnsi="Tahoma" w:cs="Tahoma"/>
          <w:sz w:val="20"/>
          <w:szCs w:val="20"/>
        </w:rPr>
        <w:t>sept</w:t>
      </w:r>
      <w:r w:rsidR="00DB1635" w:rsidRPr="00B004EE">
        <w:rPr>
          <w:rFonts w:ascii="Tahoma" w:eastAsia="American Typewriter" w:hAnsi="Tahoma" w:cs="Tahoma"/>
          <w:spacing w:val="-20"/>
          <w:sz w:val="20"/>
          <w:szCs w:val="20"/>
        </w:rPr>
        <w:t xml:space="preserve"> </w:t>
      </w:r>
      <w:r w:rsidRPr="00B004EE">
        <w:rPr>
          <w:rFonts w:ascii="Tahoma" w:eastAsia="American Typewriter" w:hAnsi="Tahoma" w:cs="Tahoma"/>
          <w:sz w:val="20"/>
          <w:szCs w:val="20"/>
        </w:rPr>
        <w:t>millions</w:t>
      </w:r>
      <w:r w:rsidR="00DB1635" w:rsidRPr="00B004EE">
        <w:rPr>
          <w:rFonts w:ascii="Tahoma" w:eastAsia="American Typewriter" w:hAnsi="Tahoma" w:cs="Tahoma"/>
          <w:spacing w:val="-20"/>
          <w:sz w:val="20"/>
          <w:szCs w:val="20"/>
        </w:rPr>
        <w:t xml:space="preserve"> </w:t>
      </w:r>
      <w:r w:rsidRPr="00B004EE">
        <w:rPr>
          <w:rFonts w:ascii="Tahoma" w:eastAsia="American Typewriter" w:hAnsi="Tahoma" w:cs="Tahoma"/>
          <w:sz w:val="20"/>
          <w:szCs w:val="20"/>
        </w:rPr>
        <w:t>(7.000.000)</w:t>
      </w:r>
      <w:r w:rsidR="00DB1635" w:rsidRPr="00B004EE">
        <w:rPr>
          <w:rFonts w:ascii="Tahoma" w:eastAsia="American Typewriter" w:hAnsi="Tahoma" w:cs="Tahoma"/>
          <w:spacing w:val="-20"/>
          <w:sz w:val="20"/>
          <w:szCs w:val="20"/>
        </w:rPr>
        <w:t xml:space="preserve"> </w:t>
      </w:r>
      <w:r w:rsidRPr="00B004EE">
        <w:rPr>
          <w:rFonts w:ascii="Tahoma" w:eastAsia="American Typewriter" w:hAnsi="Tahoma" w:cs="Tahoma"/>
          <w:sz w:val="20"/>
          <w:szCs w:val="20"/>
        </w:rPr>
        <w:t>ouguiya</w:t>
      </w:r>
      <w:r w:rsidR="00DB1635" w:rsidRPr="00B004EE">
        <w:rPr>
          <w:rFonts w:ascii="Tahoma" w:eastAsia="American Typewriter" w:hAnsi="Tahoma" w:cs="Tahoma"/>
          <w:spacing w:val="-20"/>
          <w:sz w:val="20"/>
          <w:szCs w:val="20"/>
        </w:rPr>
        <w:t xml:space="preserve"> </w:t>
      </w:r>
      <w:r w:rsidRPr="00B004EE">
        <w:rPr>
          <w:rFonts w:ascii="Tahoma" w:eastAsia="American Typewriter" w:hAnsi="Tahoma" w:cs="Tahoma"/>
          <w:sz w:val="20"/>
          <w:szCs w:val="20"/>
        </w:rPr>
        <w:t>jusqu’à</w:t>
      </w:r>
      <w:r w:rsidR="00DB1635" w:rsidRPr="00B004EE">
        <w:rPr>
          <w:rFonts w:ascii="Tahoma" w:eastAsia="American Typewriter" w:hAnsi="Tahoma" w:cs="Tahoma"/>
          <w:spacing w:val="-20"/>
          <w:sz w:val="20"/>
          <w:szCs w:val="20"/>
        </w:rPr>
        <w:t xml:space="preserve"> </w:t>
      </w:r>
      <w:r w:rsidRPr="00B004EE">
        <w:rPr>
          <w:rFonts w:ascii="Tahoma" w:eastAsia="American Typewriter" w:hAnsi="Tahoma" w:cs="Tahoma"/>
          <w:sz w:val="20"/>
          <w:szCs w:val="20"/>
        </w:rPr>
        <w:t>vingt</w:t>
      </w:r>
      <w:r w:rsidR="00DB1635" w:rsidRPr="00B004EE">
        <w:rPr>
          <w:rFonts w:ascii="Tahoma" w:eastAsia="American Typewriter" w:hAnsi="Tahoma" w:cs="Tahoma"/>
          <w:spacing w:val="-20"/>
          <w:sz w:val="20"/>
          <w:szCs w:val="20"/>
        </w:rPr>
        <w:t xml:space="preserve"> </w:t>
      </w:r>
      <w:r w:rsidRPr="00B004EE">
        <w:rPr>
          <w:rFonts w:ascii="Tahoma" w:eastAsia="American Typewriter" w:hAnsi="Tahoma" w:cs="Tahoma"/>
          <w:sz w:val="20"/>
          <w:szCs w:val="20"/>
        </w:rPr>
        <w:t>millions</w:t>
      </w:r>
      <w:r w:rsidR="00DB1635" w:rsidRPr="00B004EE">
        <w:rPr>
          <w:rFonts w:ascii="Tahoma" w:eastAsia="American Typewriter" w:hAnsi="Tahoma" w:cs="Tahoma"/>
          <w:spacing w:val="-20"/>
          <w:sz w:val="20"/>
          <w:szCs w:val="20"/>
        </w:rPr>
        <w:t xml:space="preserve"> </w:t>
      </w:r>
      <w:r w:rsidRPr="00B004EE">
        <w:rPr>
          <w:rFonts w:ascii="Tahoma" w:eastAsia="American Typewriter" w:hAnsi="Tahoma" w:cs="Tahoma"/>
          <w:sz w:val="20"/>
          <w:szCs w:val="20"/>
        </w:rPr>
        <w:t>(20.000.000)</w:t>
      </w:r>
      <w:r w:rsidR="00DB1635" w:rsidRPr="00B004EE">
        <w:rPr>
          <w:rFonts w:ascii="Tahoma" w:eastAsia="American Typewriter" w:hAnsi="Tahoma" w:cs="Tahoma"/>
          <w:w w:val="73"/>
          <w:sz w:val="20"/>
          <w:szCs w:val="20"/>
        </w:rPr>
        <w:t xml:space="preserve"> </w:t>
      </w:r>
      <w:r w:rsidRPr="00B004EE">
        <w:rPr>
          <w:rFonts w:ascii="Tahoma" w:eastAsia="American Typewriter" w:hAnsi="Tahoma" w:cs="Tahoma"/>
          <w:sz w:val="20"/>
          <w:szCs w:val="20"/>
        </w:rPr>
        <w:t>d’ouguiya</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pour</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les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navires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pêche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d’un</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tonnage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supérieur</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à</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50</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GT</w:t>
      </w:r>
      <w:r w:rsidR="00DB1635" w:rsidRPr="00B004EE">
        <w:rPr>
          <w:rFonts w:ascii="Tahoma" w:eastAsia="American Typewriter" w:hAnsi="Tahoma" w:cs="Tahoma"/>
          <w:spacing w:val="7"/>
          <w:sz w:val="20"/>
          <w:szCs w:val="20"/>
        </w:rPr>
        <w:t xml:space="preserve"> </w:t>
      </w:r>
      <w:r w:rsidRPr="00B004EE">
        <w:rPr>
          <w:rFonts w:ascii="Tahoma" w:eastAsia="American Typewriter" w:hAnsi="Tahoma" w:cs="Tahoma"/>
          <w:sz w:val="20"/>
          <w:szCs w:val="20"/>
        </w:rPr>
        <w:t>et</w:t>
      </w:r>
      <w:r w:rsidR="00DB1635" w:rsidRPr="00B004EE">
        <w:rPr>
          <w:rFonts w:ascii="Tahoma" w:eastAsia="American Typewriter" w:hAnsi="Tahoma" w:cs="Tahoma"/>
          <w:w w:val="95"/>
          <w:sz w:val="20"/>
          <w:szCs w:val="20"/>
        </w:rPr>
        <w:t xml:space="preserve"> </w:t>
      </w:r>
      <w:r w:rsidRPr="00B004EE">
        <w:rPr>
          <w:rFonts w:ascii="Tahoma" w:eastAsia="American Typewriter" w:hAnsi="Tahoma" w:cs="Tahoma"/>
          <w:sz w:val="20"/>
          <w:szCs w:val="20"/>
        </w:rPr>
        <w:t>inférieur</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à</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100</w:t>
      </w:r>
      <w:r w:rsidR="00DB1635" w:rsidRPr="00B004EE">
        <w:rPr>
          <w:rFonts w:ascii="Tahoma" w:eastAsia="American Typewriter" w:hAnsi="Tahoma" w:cs="Tahoma"/>
          <w:spacing w:val="16"/>
          <w:sz w:val="20"/>
          <w:szCs w:val="20"/>
        </w:rPr>
        <w:t xml:space="preserve"> </w:t>
      </w:r>
      <w:r w:rsidRPr="00B004EE">
        <w:rPr>
          <w:rFonts w:ascii="Tahoma" w:eastAsia="American Typewriter" w:hAnsi="Tahoma" w:cs="Tahoma"/>
          <w:sz w:val="20"/>
          <w:szCs w:val="20"/>
        </w:rPr>
        <w:t>GT;</w:t>
      </w:r>
    </w:p>
    <w:p w14:paraId="031E2E74" w14:textId="49E8F77F" w:rsidR="001E7C3C" w:rsidRPr="00B004EE" w:rsidRDefault="001E7C3C" w:rsidP="00420DDA">
      <w:pPr>
        <w:pStyle w:val="Paragraphedeliste"/>
        <w:widowControl w:val="0"/>
        <w:numPr>
          <w:ilvl w:val="0"/>
          <w:numId w:val="34"/>
        </w:numPr>
        <w:tabs>
          <w:tab w:val="left" w:pos="1154"/>
        </w:tabs>
        <w:ind w:left="567" w:right="165"/>
        <w:jc w:val="both"/>
        <w:rPr>
          <w:rFonts w:ascii="Tahoma" w:eastAsia="American Typewriter" w:hAnsi="Tahoma" w:cs="Tahoma"/>
          <w:sz w:val="20"/>
          <w:szCs w:val="20"/>
        </w:rPr>
      </w:pPr>
      <w:proofErr w:type="gramStart"/>
      <w:r w:rsidRPr="00B004EE">
        <w:rPr>
          <w:rFonts w:ascii="Tahoma" w:eastAsia="American Typewriter" w:hAnsi="Tahoma" w:cs="Tahoma"/>
          <w:sz w:val="20"/>
          <w:szCs w:val="20"/>
        </w:rPr>
        <w:t>de</w:t>
      </w:r>
      <w:proofErr w:type="gramEnd"/>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quinze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millions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(15.000.000)</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d’ouguiya</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jusqu'à</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quarante</w:t>
      </w:r>
      <w:r w:rsidR="00DB1635" w:rsidRPr="00B004EE">
        <w:rPr>
          <w:rFonts w:ascii="Tahoma" w:eastAsia="American Typewriter" w:hAnsi="Tahoma" w:cs="Tahoma"/>
          <w:spacing w:val="34"/>
          <w:sz w:val="20"/>
          <w:szCs w:val="20"/>
        </w:rPr>
        <w:t xml:space="preserve"> </w:t>
      </w:r>
      <w:r w:rsidRPr="00B004EE">
        <w:rPr>
          <w:rFonts w:ascii="Tahoma" w:eastAsia="American Typewriter" w:hAnsi="Tahoma" w:cs="Tahoma"/>
          <w:sz w:val="20"/>
          <w:szCs w:val="20"/>
        </w:rPr>
        <w:t>millions</w:t>
      </w:r>
      <w:r w:rsidR="00DB1635" w:rsidRPr="00B004EE">
        <w:rPr>
          <w:rFonts w:ascii="Tahoma" w:eastAsia="American Typewriter" w:hAnsi="Tahoma" w:cs="Tahoma"/>
          <w:w w:val="93"/>
          <w:sz w:val="20"/>
          <w:szCs w:val="20"/>
        </w:rPr>
        <w:t xml:space="preserve"> </w:t>
      </w:r>
      <w:r w:rsidRPr="00B004EE">
        <w:rPr>
          <w:rFonts w:ascii="Tahoma" w:eastAsia="American Typewriter" w:hAnsi="Tahoma" w:cs="Tahoma"/>
          <w:sz w:val="20"/>
          <w:szCs w:val="20"/>
        </w:rPr>
        <w:t>(40.000.000)</w:t>
      </w:r>
      <w:r w:rsidR="00DB1635" w:rsidRPr="00B004EE">
        <w:rPr>
          <w:rFonts w:ascii="Tahoma" w:eastAsia="American Typewriter" w:hAnsi="Tahoma" w:cs="Tahoma"/>
          <w:spacing w:val="-22"/>
          <w:sz w:val="20"/>
          <w:szCs w:val="20"/>
        </w:rPr>
        <w:t xml:space="preserve"> </w:t>
      </w:r>
      <w:r w:rsidRPr="00B004EE">
        <w:rPr>
          <w:rFonts w:ascii="Tahoma" w:eastAsia="American Typewriter" w:hAnsi="Tahoma" w:cs="Tahoma"/>
          <w:sz w:val="20"/>
          <w:szCs w:val="20"/>
        </w:rPr>
        <w:t>d’ouguiya</w:t>
      </w:r>
      <w:r w:rsidR="00DB1635" w:rsidRPr="00B004EE">
        <w:rPr>
          <w:rFonts w:ascii="Tahoma" w:eastAsia="American Typewriter" w:hAnsi="Tahoma" w:cs="Tahoma"/>
          <w:spacing w:val="-22"/>
          <w:sz w:val="20"/>
          <w:szCs w:val="20"/>
        </w:rPr>
        <w:t xml:space="preserve"> </w:t>
      </w:r>
      <w:r w:rsidRPr="00B004EE">
        <w:rPr>
          <w:rFonts w:ascii="Tahoma" w:eastAsia="American Typewriter" w:hAnsi="Tahoma" w:cs="Tahoma"/>
          <w:sz w:val="20"/>
          <w:szCs w:val="20"/>
        </w:rPr>
        <w:t>pour</w:t>
      </w:r>
      <w:r w:rsidR="00DB1635" w:rsidRPr="00B004EE">
        <w:rPr>
          <w:rFonts w:ascii="Tahoma" w:eastAsia="American Typewriter" w:hAnsi="Tahoma" w:cs="Tahoma"/>
          <w:spacing w:val="-23"/>
          <w:sz w:val="20"/>
          <w:szCs w:val="20"/>
        </w:rPr>
        <w:t xml:space="preserve"> </w:t>
      </w:r>
      <w:r w:rsidRPr="00B004EE">
        <w:rPr>
          <w:rFonts w:ascii="Tahoma" w:eastAsia="American Typewriter" w:hAnsi="Tahoma" w:cs="Tahoma"/>
          <w:sz w:val="20"/>
          <w:szCs w:val="20"/>
        </w:rPr>
        <w:t>les</w:t>
      </w:r>
      <w:r w:rsidR="00DB1635" w:rsidRPr="00B004EE">
        <w:rPr>
          <w:rFonts w:ascii="Tahoma" w:eastAsia="American Typewriter" w:hAnsi="Tahoma" w:cs="Tahoma"/>
          <w:spacing w:val="-22"/>
          <w:sz w:val="20"/>
          <w:szCs w:val="20"/>
        </w:rPr>
        <w:t xml:space="preserve"> </w:t>
      </w:r>
      <w:r w:rsidRPr="00B004EE">
        <w:rPr>
          <w:rFonts w:ascii="Tahoma" w:eastAsia="American Typewriter" w:hAnsi="Tahoma" w:cs="Tahoma"/>
          <w:sz w:val="20"/>
          <w:szCs w:val="20"/>
        </w:rPr>
        <w:t>navires</w:t>
      </w:r>
      <w:r w:rsidR="00DB1635" w:rsidRPr="00B004EE">
        <w:rPr>
          <w:rFonts w:ascii="Tahoma" w:eastAsia="American Typewriter" w:hAnsi="Tahoma" w:cs="Tahoma"/>
          <w:spacing w:val="-22"/>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pacing w:val="-23"/>
          <w:sz w:val="20"/>
          <w:szCs w:val="20"/>
        </w:rPr>
        <w:t xml:space="preserve"> </w:t>
      </w:r>
      <w:r w:rsidRPr="00B004EE">
        <w:rPr>
          <w:rFonts w:ascii="Tahoma" w:eastAsia="American Typewriter" w:hAnsi="Tahoma" w:cs="Tahoma"/>
          <w:sz w:val="20"/>
          <w:szCs w:val="20"/>
        </w:rPr>
        <w:t>pêche</w:t>
      </w:r>
      <w:r w:rsidR="00DB1635" w:rsidRPr="00B004EE">
        <w:rPr>
          <w:rFonts w:ascii="Tahoma" w:eastAsia="American Typewriter" w:hAnsi="Tahoma" w:cs="Tahoma"/>
          <w:spacing w:val="-23"/>
          <w:sz w:val="20"/>
          <w:szCs w:val="20"/>
        </w:rPr>
        <w:t xml:space="preserve"> </w:t>
      </w:r>
      <w:r w:rsidRPr="00B004EE">
        <w:rPr>
          <w:rFonts w:ascii="Tahoma" w:eastAsia="American Typewriter" w:hAnsi="Tahoma" w:cs="Tahoma"/>
          <w:sz w:val="20"/>
          <w:szCs w:val="20"/>
        </w:rPr>
        <w:t>d'un</w:t>
      </w:r>
      <w:r w:rsidR="00DB1635" w:rsidRPr="00B004EE">
        <w:rPr>
          <w:rFonts w:ascii="Tahoma" w:eastAsia="American Typewriter" w:hAnsi="Tahoma" w:cs="Tahoma"/>
          <w:spacing w:val="-23"/>
          <w:sz w:val="20"/>
          <w:szCs w:val="20"/>
        </w:rPr>
        <w:t xml:space="preserve"> </w:t>
      </w:r>
      <w:r w:rsidRPr="00B004EE">
        <w:rPr>
          <w:rFonts w:ascii="Tahoma" w:eastAsia="American Typewriter" w:hAnsi="Tahoma" w:cs="Tahoma"/>
          <w:sz w:val="20"/>
          <w:szCs w:val="20"/>
        </w:rPr>
        <w:t>tonnage</w:t>
      </w:r>
      <w:r w:rsidR="00DB1635" w:rsidRPr="00B004EE">
        <w:rPr>
          <w:rFonts w:ascii="Tahoma" w:eastAsia="American Typewriter" w:hAnsi="Tahoma" w:cs="Tahoma"/>
          <w:spacing w:val="-23"/>
          <w:sz w:val="20"/>
          <w:szCs w:val="20"/>
        </w:rPr>
        <w:t xml:space="preserve"> </w:t>
      </w:r>
      <w:r w:rsidRPr="00B004EE">
        <w:rPr>
          <w:rFonts w:ascii="Tahoma" w:eastAsia="American Typewriter" w:hAnsi="Tahoma" w:cs="Tahoma"/>
          <w:sz w:val="20"/>
          <w:szCs w:val="20"/>
        </w:rPr>
        <w:t>supérieur</w:t>
      </w:r>
      <w:r w:rsidR="00DB1635" w:rsidRPr="00B004EE">
        <w:rPr>
          <w:rFonts w:ascii="Tahoma" w:eastAsia="American Typewriter" w:hAnsi="Tahoma" w:cs="Tahoma"/>
          <w:w w:val="94"/>
          <w:sz w:val="20"/>
          <w:szCs w:val="20"/>
        </w:rPr>
        <w:t xml:space="preserve"> </w:t>
      </w:r>
      <w:r w:rsidRPr="00B004EE">
        <w:rPr>
          <w:rFonts w:ascii="Tahoma" w:eastAsia="American Typewriter" w:hAnsi="Tahoma" w:cs="Tahoma"/>
          <w:sz w:val="20"/>
          <w:szCs w:val="20"/>
        </w:rPr>
        <w:t>ou</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égal</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à</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100</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GT</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et</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inférieur</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à</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250</w:t>
      </w:r>
      <w:r w:rsidR="00DB1635" w:rsidRPr="00B004EE">
        <w:rPr>
          <w:rFonts w:ascii="Tahoma" w:eastAsia="American Typewriter" w:hAnsi="Tahoma" w:cs="Tahoma"/>
          <w:spacing w:val="47"/>
          <w:sz w:val="20"/>
          <w:szCs w:val="20"/>
        </w:rPr>
        <w:t xml:space="preserve"> </w:t>
      </w:r>
      <w:r w:rsidRPr="00B004EE">
        <w:rPr>
          <w:rFonts w:ascii="Tahoma" w:eastAsia="American Typewriter" w:hAnsi="Tahoma" w:cs="Tahoma"/>
          <w:sz w:val="20"/>
          <w:szCs w:val="20"/>
        </w:rPr>
        <w:t>GT;</w:t>
      </w:r>
    </w:p>
    <w:p w14:paraId="37E8C147" w14:textId="08111091" w:rsidR="001E7C3C" w:rsidRPr="00B004EE" w:rsidRDefault="001E7C3C" w:rsidP="00420DDA">
      <w:pPr>
        <w:pStyle w:val="Paragraphedeliste"/>
        <w:widowControl w:val="0"/>
        <w:numPr>
          <w:ilvl w:val="0"/>
          <w:numId w:val="34"/>
        </w:numPr>
        <w:tabs>
          <w:tab w:val="left" w:pos="1154"/>
        </w:tabs>
        <w:ind w:left="567" w:right="165"/>
        <w:jc w:val="both"/>
        <w:rPr>
          <w:rFonts w:ascii="Tahoma" w:eastAsia="American Typewriter" w:hAnsi="Tahoma" w:cs="Tahoma"/>
          <w:sz w:val="20"/>
          <w:szCs w:val="20"/>
        </w:rPr>
      </w:pPr>
      <w:proofErr w:type="gramStart"/>
      <w:r w:rsidRPr="00B004EE">
        <w:rPr>
          <w:rFonts w:ascii="Tahoma" w:eastAsia="American Typewriter" w:hAnsi="Tahoma" w:cs="Tahoma"/>
          <w:sz w:val="20"/>
          <w:szCs w:val="20"/>
        </w:rPr>
        <w:t>de</w:t>
      </w:r>
      <w:proofErr w:type="gramEnd"/>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vingt</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millions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(20.000.000)</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d’ouguiya</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jusqu'à</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quatre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vingt</w:t>
      </w:r>
      <w:r w:rsidR="00DB1635" w:rsidRPr="00B004EE">
        <w:rPr>
          <w:rFonts w:ascii="Tahoma" w:eastAsia="American Typewriter" w:hAnsi="Tahoma" w:cs="Tahoma"/>
          <w:spacing w:val="9"/>
          <w:sz w:val="20"/>
          <w:szCs w:val="20"/>
        </w:rPr>
        <w:t xml:space="preserve"> </w:t>
      </w:r>
      <w:r w:rsidRPr="00B004EE">
        <w:rPr>
          <w:rFonts w:ascii="Tahoma" w:eastAsia="American Typewriter" w:hAnsi="Tahoma" w:cs="Tahoma"/>
          <w:sz w:val="20"/>
          <w:szCs w:val="20"/>
        </w:rPr>
        <w:t>millions</w:t>
      </w:r>
      <w:r w:rsidR="00DB1635" w:rsidRPr="00B004EE">
        <w:rPr>
          <w:rFonts w:ascii="Tahoma" w:eastAsia="American Typewriter" w:hAnsi="Tahoma" w:cs="Tahoma"/>
          <w:w w:val="93"/>
          <w:sz w:val="20"/>
          <w:szCs w:val="20"/>
        </w:rPr>
        <w:t xml:space="preserve"> </w:t>
      </w:r>
      <w:r w:rsidRPr="00B004EE">
        <w:rPr>
          <w:rFonts w:ascii="Tahoma" w:eastAsia="American Typewriter" w:hAnsi="Tahoma" w:cs="Tahoma"/>
          <w:sz w:val="20"/>
          <w:szCs w:val="20"/>
        </w:rPr>
        <w:t>(80.000.000)</w:t>
      </w:r>
      <w:r w:rsidR="00DB1635" w:rsidRPr="00B004EE">
        <w:rPr>
          <w:rFonts w:ascii="Tahoma" w:eastAsia="American Typewriter" w:hAnsi="Tahoma" w:cs="Tahoma"/>
          <w:spacing w:val="-22"/>
          <w:sz w:val="20"/>
          <w:szCs w:val="20"/>
        </w:rPr>
        <w:t xml:space="preserve"> </w:t>
      </w:r>
      <w:r w:rsidRPr="00B004EE">
        <w:rPr>
          <w:rFonts w:ascii="Tahoma" w:eastAsia="American Typewriter" w:hAnsi="Tahoma" w:cs="Tahoma"/>
          <w:sz w:val="20"/>
          <w:szCs w:val="20"/>
        </w:rPr>
        <w:t>d’ouguiya</w:t>
      </w:r>
      <w:r w:rsidR="00DB1635" w:rsidRPr="00B004EE">
        <w:rPr>
          <w:rFonts w:ascii="Tahoma" w:eastAsia="American Typewriter" w:hAnsi="Tahoma" w:cs="Tahoma"/>
          <w:spacing w:val="-22"/>
          <w:sz w:val="20"/>
          <w:szCs w:val="20"/>
        </w:rPr>
        <w:t xml:space="preserve"> </w:t>
      </w:r>
      <w:r w:rsidRPr="00B004EE">
        <w:rPr>
          <w:rFonts w:ascii="Tahoma" w:eastAsia="American Typewriter" w:hAnsi="Tahoma" w:cs="Tahoma"/>
          <w:sz w:val="20"/>
          <w:szCs w:val="20"/>
        </w:rPr>
        <w:t>pour</w:t>
      </w:r>
      <w:r w:rsidR="00DB1635" w:rsidRPr="00B004EE">
        <w:rPr>
          <w:rFonts w:ascii="Tahoma" w:eastAsia="American Typewriter" w:hAnsi="Tahoma" w:cs="Tahoma"/>
          <w:spacing w:val="-23"/>
          <w:sz w:val="20"/>
          <w:szCs w:val="20"/>
        </w:rPr>
        <w:t xml:space="preserve"> </w:t>
      </w:r>
      <w:r w:rsidRPr="00B004EE">
        <w:rPr>
          <w:rFonts w:ascii="Tahoma" w:eastAsia="American Typewriter" w:hAnsi="Tahoma" w:cs="Tahoma"/>
          <w:sz w:val="20"/>
          <w:szCs w:val="20"/>
        </w:rPr>
        <w:t>les</w:t>
      </w:r>
      <w:r w:rsidR="00DB1635" w:rsidRPr="00B004EE">
        <w:rPr>
          <w:rFonts w:ascii="Tahoma" w:eastAsia="American Typewriter" w:hAnsi="Tahoma" w:cs="Tahoma"/>
          <w:spacing w:val="-22"/>
          <w:sz w:val="20"/>
          <w:szCs w:val="20"/>
        </w:rPr>
        <w:t xml:space="preserve"> </w:t>
      </w:r>
      <w:r w:rsidRPr="00B004EE">
        <w:rPr>
          <w:rFonts w:ascii="Tahoma" w:eastAsia="American Typewriter" w:hAnsi="Tahoma" w:cs="Tahoma"/>
          <w:sz w:val="20"/>
          <w:szCs w:val="20"/>
        </w:rPr>
        <w:t>navires</w:t>
      </w:r>
      <w:r w:rsidR="00DB1635" w:rsidRPr="00B004EE">
        <w:rPr>
          <w:rFonts w:ascii="Tahoma" w:eastAsia="American Typewriter" w:hAnsi="Tahoma" w:cs="Tahoma"/>
          <w:spacing w:val="-22"/>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pacing w:val="-23"/>
          <w:sz w:val="20"/>
          <w:szCs w:val="20"/>
        </w:rPr>
        <w:t xml:space="preserve"> </w:t>
      </w:r>
      <w:r w:rsidRPr="00B004EE">
        <w:rPr>
          <w:rFonts w:ascii="Tahoma" w:eastAsia="American Typewriter" w:hAnsi="Tahoma" w:cs="Tahoma"/>
          <w:sz w:val="20"/>
          <w:szCs w:val="20"/>
        </w:rPr>
        <w:t>pêche</w:t>
      </w:r>
      <w:r w:rsidR="00DB1635" w:rsidRPr="00B004EE">
        <w:rPr>
          <w:rFonts w:ascii="Tahoma" w:eastAsia="American Typewriter" w:hAnsi="Tahoma" w:cs="Tahoma"/>
          <w:spacing w:val="-23"/>
          <w:sz w:val="20"/>
          <w:szCs w:val="20"/>
        </w:rPr>
        <w:t xml:space="preserve"> </w:t>
      </w:r>
      <w:r w:rsidRPr="00B004EE">
        <w:rPr>
          <w:rFonts w:ascii="Tahoma" w:eastAsia="American Typewriter" w:hAnsi="Tahoma" w:cs="Tahoma"/>
          <w:sz w:val="20"/>
          <w:szCs w:val="20"/>
        </w:rPr>
        <w:t>d'un</w:t>
      </w:r>
      <w:r w:rsidR="00DB1635" w:rsidRPr="00B004EE">
        <w:rPr>
          <w:rFonts w:ascii="Tahoma" w:eastAsia="American Typewriter" w:hAnsi="Tahoma" w:cs="Tahoma"/>
          <w:spacing w:val="-23"/>
          <w:sz w:val="20"/>
          <w:szCs w:val="20"/>
        </w:rPr>
        <w:t xml:space="preserve"> </w:t>
      </w:r>
      <w:r w:rsidRPr="00B004EE">
        <w:rPr>
          <w:rFonts w:ascii="Tahoma" w:eastAsia="American Typewriter" w:hAnsi="Tahoma" w:cs="Tahoma"/>
          <w:sz w:val="20"/>
          <w:szCs w:val="20"/>
        </w:rPr>
        <w:t>tonnage</w:t>
      </w:r>
      <w:r w:rsidR="00DB1635" w:rsidRPr="00B004EE">
        <w:rPr>
          <w:rFonts w:ascii="Tahoma" w:eastAsia="American Typewriter" w:hAnsi="Tahoma" w:cs="Tahoma"/>
          <w:spacing w:val="-23"/>
          <w:sz w:val="20"/>
          <w:szCs w:val="20"/>
        </w:rPr>
        <w:t xml:space="preserve"> </w:t>
      </w:r>
      <w:r w:rsidRPr="00B004EE">
        <w:rPr>
          <w:rFonts w:ascii="Tahoma" w:eastAsia="American Typewriter" w:hAnsi="Tahoma" w:cs="Tahoma"/>
          <w:sz w:val="20"/>
          <w:szCs w:val="20"/>
        </w:rPr>
        <w:t>supérieur</w:t>
      </w:r>
      <w:r w:rsidR="00DB1635" w:rsidRPr="00B004EE">
        <w:rPr>
          <w:rFonts w:ascii="Tahoma" w:eastAsia="American Typewriter" w:hAnsi="Tahoma" w:cs="Tahoma"/>
          <w:w w:val="94"/>
          <w:sz w:val="20"/>
          <w:szCs w:val="20"/>
        </w:rPr>
        <w:t xml:space="preserve"> </w:t>
      </w:r>
      <w:r w:rsidRPr="00B004EE">
        <w:rPr>
          <w:rFonts w:ascii="Tahoma" w:eastAsia="American Typewriter" w:hAnsi="Tahoma" w:cs="Tahoma"/>
          <w:sz w:val="20"/>
          <w:szCs w:val="20"/>
        </w:rPr>
        <w:t>ou</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égal</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à</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250</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GT</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et</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inférieur</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à</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600</w:t>
      </w:r>
      <w:r w:rsidR="00DB1635" w:rsidRPr="00B004EE">
        <w:rPr>
          <w:rFonts w:ascii="Tahoma" w:eastAsia="American Typewriter" w:hAnsi="Tahoma" w:cs="Tahoma"/>
          <w:spacing w:val="40"/>
          <w:sz w:val="20"/>
          <w:szCs w:val="20"/>
        </w:rPr>
        <w:t xml:space="preserve"> </w:t>
      </w:r>
      <w:r w:rsidRPr="00B004EE">
        <w:rPr>
          <w:rFonts w:ascii="Tahoma" w:eastAsia="American Typewriter" w:hAnsi="Tahoma" w:cs="Tahoma"/>
          <w:sz w:val="20"/>
          <w:szCs w:val="20"/>
        </w:rPr>
        <w:t>GT;</w:t>
      </w:r>
    </w:p>
    <w:p w14:paraId="774B8FEB" w14:textId="3F507EE2" w:rsidR="001E7C3C" w:rsidRPr="00B004EE" w:rsidRDefault="001E7C3C" w:rsidP="00420DDA">
      <w:pPr>
        <w:pStyle w:val="Paragraphedeliste"/>
        <w:widowControl w:val="0"/>
        <w:numPr>
          <w:ilvl w:val="0"/>
          <w:numId w:val="34"/>
        </w:numPr>
        <w:tabs>
          <w:tab w:val="left" w:pos="1154"/>
        </w:tabs>
        <w:ind w:left="567" w:right="162"/>
        <w:jc w:val="both"/>
        <w:rPr>
          <w:rFonts w:ascii="Tahoma" w:eastAsia="American Typewriter" w:hAnsi="Tahoma" w:cs="Tahoma"/>
          <w:sz w:val="20"/>
          <w:szCs w:val="20"/>
        </w:rPr>
      </w:pPr>
      <w:proofErr w:type="gramStart"/>
      <w:r w:rsidRPr="00B004EE">
        <w:rPr>
          <w:rFonts w:ascii="Tahoma" w:eastAsia="American Typewriter" w:hAnsi="Tahoma" w:cs="Tahoma"/>
          <w:sz w:val="20"/>
          <w:szCs w:val="20"/>
        </w:rPr>
        <w:t>de</w:t>
      </w:r>
      <w:proofErr w:type="gramEnd"/>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trente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millions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(30.000.000)</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ouguiya</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jusqu'à</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cent</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cinquante</w:t>
      </w:r>
      <w:r w:rsidR="00DB1635" w:rsidRPr="00B004EE">
        <w:rPr>
          <w:rFonts w:ascii="Tahoma" w:eastAsia="American Typewriter" w:hAnsi="Tahoma" w:cs="Tahoma"/>
          <w:spacing w:val="-3"/>
          <w:sz w:val="20"/>
          <w:szCs w:val="20"/>
        </w:rPr>
        <w:t xml:space="preserve"> </w:t>
      </w:r>
      <w:r w:rsidRPr="00B004EE">
        <w:rPr>
          <w:rFonts w:ascii="Tahoma" w:eastAsia="American Typewriter" w:hAnsi="Tahoma" w:cs="Tahoma"/>
          <w:sz w:val="20"/>
          <w:szCs w:val="20"/>
        </w:rPr>
        <w:t>millions</w:t>
      </w:r>
      <w:r w:rsidR="00DB1635" w:rsidRPr="00B004EE">
        <w:rPr>
          <w:rFonts w:ascii="Tahoma" w:eastAsia="American Typewriter" w:hAnsi="Tahoma" w:cs="Tahoma"/>
          <w:w w:val="93"/>
          <w:sz w:val="20"/>
          <w:szCs w:val="20"/>
        </w:rPr>
        <w:t xml:space="preserve"> </w:t>
      </w:r>
      <w:r w:rsidRPr="00B004EE">
        <w:rPr>
          <w:rFonts w:ascii="Tahoma" w:eastAsia="American Typewriter" w:hAnsi="Tahoma" w:cs="Tahoma"/>
          <w:w w:val="95"/>
          <w:sz w:val="20"/>
          <w:szCs w:val="20"/>
        </w:rPr>
        <w:t>(150.000.000)</w:t>
      </w:r>
      <w:r w:rsidR="00DB1635" w:rsidRPr="00B004EE">
        <w:rPr>
          <w:rFonts w:ascii="Tahoma" w:eastAsia="American Typewriter" w:hAnsi="Tahoma" w:cs="Tahoma"/>
          <w:w w:val="95"/>
          <w:sz w:val="20"/>
          <w:szCs w:val="20"/>
        </w:rPr>
        <w:t xml:space="preserve"> </w:t>
      </w:r>
      <w:r w:rsidRPr="00B004EE">
        <w:rPr>
          <w:rFonts w:ascii="Tahoma" w:eastAsia="American Typewriter" w:hAnsi="Tahoma" w:cs="Tahoma"/>
          <w:w w:val="95"/>
          <w:sz w:val="20"/>
          <w:szCs w:val="20"/>
        </w:rPr>
        <w:t>d’ouguiya</w:t>
      </w:r>
      <w:r w:rsidR="00DB1635" w:rsidRPr="00B004EE">
        <w:rPr>
          <w:rFonts w:ascii="Tahoma" w:eastAsia="American Typewriter" w:hAnsi="Tahoma" w:cs="Tahoma"/>
          <w:w w:val="95"/>
          <w:sz w:val="20"/>
          <w:szCs w:val="20"/>
        </w:rPr>
        <w:t xml:space="preserve"> </w:t>
      </w:r>
      <w:r w:rsidRPr="00B004EE">
        <w:rPr>
          <w:rFonts w:ascii="Tahoma" w:eastAsia="American Typewriter" w:hAnsi="Tahoma" w:cs="Tahoma"/>
          <w:w w:val="95"/>
          <w:sz w:val="20"/>
          <w:szCs w:val="20"/>
        </w:rPr>
        <w:t>pour</w:t>
      </w:r>
      <w:r w:rsidR="00DB1635" w:rsidRPr="00B004EE">
        <w:rPr>
          <w:rFonts w:ascii="Tahoma" w:eastAsia="American Typewriter" w:hAnsi="Tahoma" w:cs="Tahoma"/>
          <w:w w:val="95"/>
          <w:sz w:val="20"/>
          <w:szCs w:val="20"/>
        </w:rPr>
        <w:t xml:space="preserve"> </w:t>
      </w:r>
      <w:r w:rsidRPr="00B004EE">
        <w:rPr>
          <w:rFonts w:ascii="Tahoma" w:eastAsia="American Typewriter" w:hAnsi="Tahoma" w:cs="Tahoma"/>
          <w:w w:val="95"/>
          <w:sz w:val="20"/>
          <w:szCs w:val="20"/>
        </w:rPr>
        <w:t>les</w:t>
      </w:r>
      <w:r w:rsidR="00DB1635" w:rsidRPr="00B004EE">
        <w:rPr>
          <w:rFonts w:ascii="Tahoma" w:eastAsia="American Typewriter" w:hAnsi="Tahoma" w:cs="Tahoma"/>
          <w:w w:val="95"/>
          <w:sz w:val="20"/>
          <w:szCs w:val="20"/>
        </w:rPr>
        <w:t xml:space="preserve"> </w:t>
      </w:r>
      <w:r w:rsidRPr="00B004EE">
        <w:rPr>
          <w:rFonts w:ascii="Tahoma" w:eastAsia="American Typewriter" w:hAnsi="Tahoma" w:cs="Tahoma"/>
          <w:w w:val="95"/>
          <w:sz w:val="20"/>
          <w:szCs w:val="20"/>
        </w:rPr>
        <w:t>navires</w:t>
      </w:r>
      <w:r w:rsidR="00DB1635" w:rsidRPr="00B004EE">
        <w:rPr>
          <w:rFonts w:ascii="Tahoma" w:eastAsia="American Typewriter" w:hAnsi="Tahoma" w:cs="Tahoma"/>
          <w:w w:val="95"/>
          <w:sz w:val="20"/>
          <w:szCs w:val="20"/>
        </w:rPr>
        <w:t xml:space="preserve"> </w:t>
      </w:r>
      <w:r w:rsidRPr="00B004EE">
        <w:rPr>
          <w:rFonts w:ascii="Tahoma" w:eastAsia="American Typewriter" w:hAnsi="Tahoma" w:cs="Tahoma"/>
          <w:w w:val="95"/>
          <w:sz w:val="20"/>
          <w:szCs w:val="20"/>
        </w:rPr>
        <w:t>de</w:t>
      </w:r>
      <w:r w:rsidR="00DB1635" w:rsidRPr="00B004EE">
        <w:rPr>
          <w:rFonts w:ascii="Tahoma" w:eastAsia="American Typewriter" w:hAnsi="Tahoma" w:cs="Tahoma"/>
          <w:w w:val="95"/>
          <w:sz w:val="20"/>
          <w:szCs w:val="20"/>
        </w:rPr>
        <w:t xml:space="preserve"> </w:t>
      </w:r>
      <w:r w:rsidRPr="00B004EE">
        <w:rPr>
          <w:rFonts w:ascii="Tahoma" w:eastAsia="American Typewriter" w:hAnsi="Tahoma" w:cs="Tahoma"/>
          <w:w w:val="95"/>
          <w:sz w:val="20"/>
          <w:szCs w:val="20"/>
        </w:rPr>
        <w:t>pêche</w:t>
      </w:r>
      <w:r w:rsidR="00DB1635" w:rsidRPr="00B004EE">
        <w:rPr>
          <w:rFonts w:ascii="Tahoma" w:eastAsia="American Typewriter" w:hAnsi="Tahoma" w:cs="Tahoma"/>
          <w:w w:val="95"/>
          <w:sz w:val="20"/>
          <w:szCs w:val="20"/>
        </w:rPr>
        <w:t xml:space="preserve"> </w:t>
      </w:r>
      <w:r w:rsidRPr="00B004EE">
        <w:rPr>
          <w:rFonts w:ascii="Tahoma" w:eastAsia="American Typewriter" w:hAnsi="Tahoma" w:cs="Tahoma"/>
          <w:w w:val="95"/>
          <w:sz w:val="20"/>
          <w:szCs w:val="20"/>
        </w:rPr>
        <w:t>d'un</w:t>
      </w:r>
      <w:r w:rsidR="00DB1635" w:rsidRPr="00B004EE">
        <w:rPr>
          <w:rFonts w:ascii="Tahoma" w:eastAsia="American Typewriter" w:hAnsi="Tahoma" w:cs="Tahoma"/>
          <w:w w:val="95"/>
          <w:sz w:val="20"/>
          <w:szCs w:val="20"/>
        </w:rPr>
        <w:t xml:space="preserve"> </w:t>
      </w:r>
      <w:r w:rsidRPr="00B004EE">
        <w:rPr>
          <w:rFonts w:ascii="Tahoma" w:eastAsia="American Typewriter" w:hAnsi="Tahoma" w:cs="Tahoma"/>
          <w:w w:val="95"/>
          <w:sz w:val="20"/>
          <w:szCs w:val="20"/>
        </w:rPr>
        <w:t>tonnage</w:t>
      </w:r>
      <w:r w:rsidR="00DB1635" w:rsidRPr="00B004EE">
        <w:rPr>
          <w:rFonts w:ascii="Tahoma" w:eastAsia="American Typewriter" w:hAnsi="Tahoma" w:cs="Tahoma"/>
          <w:spacing w:val="13"/>
          <w:w w:val="95"/>
          <w:sz w:val="20"/>
          <w:szCs w:val="20"/>
        </w:rPr>
        <w:t xml:space="preserve"> </w:t>
      </w:r>
      <w:r w:rsidRPr="00B004EE">
        <w:rPr>
          <w:rFonts w:ascii="Tahoma" w:eastAsia="American Typewriter" w:hAnsi="Tahoma" w:cs="Tahoma"/>
          <w:w w:val="95"/>
          <w:sz w:val="20"/>
          <w:szCs w:val="20"/>
        </w:rPr>
        <w:t>supérieur</w:t>
      </w:r>
      <w:r w:rsidR="00DB1635" w:rsidRPr="00B004EE">
        <w:rPr>
          <w:rFonts w:ascii="Tahoma" w:eastAsia="American Typewriter" w:hAnsi="Tahoma" w:cs="Tahoma"/>
          <w:w w:val="94"/>
          <w:sz w:val="20"/>
          <w:szCs w:val="20"/>
        </w:rPr>
        <w:t xml:space="preserve"> </w:t>
      </w:r>
      <w:r w:rsidRPr="00B004EE">
        <w:rPr>
          <w:rFonts w:ascii="Tahoma" w:eastAsia="American Typewriter" w:hAnsi="Tahoma" w:cs="Tahoma"/>
          <w:sz w:val="20"/>
          <w:szCs w:val="20"/>
        </w:rPr>
        <w:t>ou</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égal</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à</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600</w:t>
      </w:r>
      <w:r w:rsidR="00DB1635" w:rsidRPr="00B004EE">
        <w:rPr>
          <w:rFonts w:ascii="Tahoma" w:eastAsia="American Typewriter" w:hAnsi="Tahoma" w:cs="Tahoma"/>
          <w:spacing w:val="24"/>
          <w:sz w:val="20"/>
          <w:szCs w:val="20"/>
        </w:rPr>
        <w:t xml:space="preserve"> </w:t>
      </w:r>
      <w:r w:rsidRPr="00B004EE">
        <w:rPr>
          <w:rFonts w:ascii="Tahoma" w:eastAsia="American Typewriter" w:hAnsi="Tahoma" w:cs="Tahoma"/>
          <w:sz w:val="20"/>
          <w:szCs w:val="20"/>
        </w:rPr>
        <w:t>GT.</w:t>
      </w:r>
    </w:p>
    <w:p w14:paraId="28DD1406" w14:textId="77777777" w:rsidR="001E7C3C" w:rsidRPr="00B004EE" w:rsidRDefault="001E7C3C" w:rsidP="00B004EE">
      <w:pPr>
        <w:ind w:left="567"/>
        <w:rPr>
          <w:rFonts w:ascii="Tahoma" w:eastAsia="American Typewriter" w:hAnsi="Tahoma" w:cs="Tahoma"/>
          <w:sz w:val="20"/>
          <w:szCs w:val="20"/>
        </w:rPr>
      </w:pPr>
    </w:p>
    <w:p w14:paraId="2DD1BFF2" w14:textId="29E6391E" w:rsidR="001E7C3C" w:rsidRPr="00B004EE" w:rsidRDefault="001E7C3C" w:rsidP="00B004EE">
      <w:pPr>
        <w:pStyle w:val="Corpsdetexte"/>
        <w:ind w:right="164"/>
        <w:rPr>
          <w:rFonts w:ascii="Tahoma" w:hAnsi="Tahoma" w:cs="Tahoma"/>
          <w:sz w:val="20"/>
          <w:szCs w:val="20"/>
        </w:rPr>
      </w:pPr>
      <w:r w:rsidRPr="00B004EE">
        <w:rPr>
          <w:rFonts w:ascii="Tahoma" w:hAnsi="Tahoma" w:cs="Tahoma"/>
          <w:sz w:val="20"/>
          <w:szCs w:val="20"/>
        </w:rPr>
        <w:t>A</w:t>
      </w:r>
      <w:r w:rsidR="00DB1635" w:rsidRPr="00B004EE">
        <w:rPr>
          <w:rFonts w:ascii="Tahoma" w:hAnsi="Tahoma" w:cs="Tahoma"/>
          <w:spacing w:val="-26"/>
          <w:sz w:val="20"/>
          <w:szCs w:val="20"/>
        </w:rPr>
        <w:t xml:space="preserve"> </w:t>
      </w:r>
      <w:r w:rsidRPr="00B004EE">
        <w:rPr>
          <w:rFonts w:ascii="Tahoma" w:hAnsi="Tahoma" w:cs="Tahoma"/>
          <w:sz w:val="20"/>
          <w:szCs w:val="20"/>
        </w:rPr>
        <w:t>l'intérieur</w:t>
      </w:r>
      <w:r w:rsidR="00DB1635" w:rsidRPr="00B004EE">
        <w:rPr>
          <w:rFonts w:ascii="Tahoma" w:hAnsi="Tahoma" w:cs="Tahoma"/>
          <w:spacing w:val="-26"/>
          <w:sz w:val="20"/>
          <w:szCs w:val="20"/>
        </w:rPr>
        <w:t xml:space="preserve"> </w:t>
      </w:r>
      <w:r w:rsidRPr="00B004EE">
        <w:rPr>
          <w:rFonts w:ascii="Tahoma" w:hAnsi="Tahoma" w:cs="Tahoma"/>
          <w:sz w:val="20"/>
          <w:szCs w:val="20"/>
        </w:rPr>
        <w:t>des</w:t>
      </w:r>
      <w:r w:rsidR="00DB1635" w:rsidRPr="00B004EE">
        <w:rPr>
          <w:rFonts w:ascii="Tahoma" w:hAnsi="Tahoma" w:cs="Tahoma"/>
          <w:spacing w:val="-26"/>
          <w:sz w:val="20"/>
          <w:szCs w:val="20"/>
        </w:rPr>
        <w:t xml:space="preserve"> </w:t>
      </w:r>
      <w:r w:rsidRPr="00B004EE">
        <w:rPr>
          <w:rFonts w:ascii="Tahoma" w:hAnsi="Tahoma" w:cs="Tahoma"/>
          <w:sz w:val="20"/>
          <w:szCs w:val="20"/>
        </w:rPr>
        <w:t>intervalles</w:t>
      </w:r>
      <w:r w:rsidR="00DB1635" w:rsidRPr="00B004EE">
        <w:rPr>
          <w:rFonts w:ascii="Tahoma" w:hAnsi="Tahoma" w:cs="Tahoma"/>
          <w:spacing w:val="-26"/>
          <w:sz w:val="20"/>
          <w:szCs w:val="20"/>
        </w:rPr>
        <w:t xml:space="preserve"> </w:t>
      </w:r>
      <w:r w:rsidRPr="00B004EE">
        <w:rPr>
          <w:rFonts w:ascii="Tahoma" w:hAnsi="Tahoma" w:cs="Tahoma"/>
          <w:sz w:val="20"/>
          <w:szCs w:val="20"/>
        </w:rPr>
        <w:t>ci-dessus,</w:t>
      </w:r>
      <w:r w:rsidR="00DB1635" w:rsidRPr="00B004EE">
        <w:rPr>
          <w:rFonts w:ascii="Tahoma" w:hAnsi="Tahoma" w:cs="Tahoma"/>
          <w:spacing w:val="-25"/>
          <w:sz w:val="20"/>
          <w:szCs w:val="20"/>
        </w:rPr>
        <w:t xml:space="preserve"> </w:t>
      </w:r>
      <w:r w:rsidRPr="00B004EE">
        <w:rPr>
          <w:rFonts w:ascii="Tahoma" w:hAnsi="Tahoma" w:cs="Tahoma"/>
          <w:sz w:val="20"/>
          <w:szCs w:val="20"/>
        </w:rPr>
        <w:t>l'amplitude</w:t>
      </w:r>
      <w:r w:rsidR="00DB1635" w:rsidRPr="00B004EE">
        <w:rPr>
          <w:rFonts w:ascii="Tahoma" w:hAnsi="Tahoma" w:cs="Tahoma"/>
          <w:spacing w:val="-26"/>
          <w:sz w:val="20"/>
          <w:szCs w:val="20"/>
        </w:rPr>
        <w:t xml:space="preserve"> </w:t>
      </w:r>
      <w:r w:rsidRPr="00B004EE">
        <w:rPr>
          <w:rFonts w:ascii="Tahoma" w:hAnsi="Tahoma" w:cs="Tahoma"/>
          <w:sz w:val="20"/>
          <w:szCs w:val="20"/>
        </w:rPr>
        <w:t>des</w:t>
      </w:r>
      <w:r w:rsidR="00DB1635" w:rsidRPr="00B004EE">
        <w:rPr>
          <w:rFonts w:ascii="Tahoma" w:hAnsi="Tahoma" w:cs="Tahoma"/>
          <w:spacing w:val="-26"/>
          <w:sz w:val="20"/>
          <w:szCs w:val="20"/>
        </w:rPr>
        <w:t xml:space="preserve"> </w:t>
      </w:r>
      <w:r w:rsidRPr="00B004EE">
        <w:rPr>
          <w:rFonts w:ascii="Tahoma" w:hAnsi="Tahoma" w:cs="Tahoma"/>
          <w:sz w:val="20"/>
          <w:szCs w:val="20"/>
        </w:rPr>
        <w:t>amendes</w:t>
      </w:r>
      <w:r w:rsidR="00DB1635" w:rsidRPr="00B004EE">
        <w:rPr>
          <w:rFonts w:ascii="Tahoma" w:hAnsi="Tahoma" w:cs="Tahoma"/>
          <w:spacing w:val="-25"/>
          <w:sz w:val="20"/>
          <w:szCs w:val="20"/>
        </w:rPr>
        <w:t xml:space="preserve"> </w:t>
      </w:r>
      <w:r w:rsidRPr="00B004EE">
        <w:rPr>
          <w:rFonts w:ascii="Tahoma" w:hAnsi="Tahoma" w:cs="Tahoma"/>
          <w:sz w:val="20"/>
          <w:szCs w:val="20"/>
        </w:rPr>
        <w:t>sera</w:t>
      </w:r>
      <w:r w:rsidR="00DB1635" w:rsidRPr="00B004EE">
        <w:rPr>
          <w:rFonts w:ascii="Tahoma" w:hAnsi="Tahoma" w:cs="Tahoma"/>
          <w:spacing w:val="-25"/>
          <w:sz w:val="20"/>
          <w:szCs w:val="20"/>
        </w:rPr>
        <w:t xml:space="preserve"> </w:t>
      </w:r>
      <w:r w:rsidRPr="00B004EE">
        <w:rPr>
          <w:rFonts w:ascii="Tahoma" w:hAnsi="Tahoma" w:cs="Tahoma"/>
          <w:sz w:val="20"/>
          <w:szCs w:val="20"/>
        </w:rPr>
        <w:t>ajustée</w:t>
      </w:r>
      <w:r w:rsidR="00DB1635" w:rsidRPr="00B004EE">
        <w:rPr>
          <w:rFonts w:ascii="Tahoma" w:hAnsi="Tahoma" w:cs="Tahoma"/>
          <w:spacing w:val="-25"/>
          <w:sz w:val="20"/>
          <w:szCs w:val="20"/>
        </w:rPr>
        <w:t xml:space="preserve"> </w:t>
      </w:r>
      <w:r w:rsidRPr="00B004EE">
        <w:rPr>
          <w:rFonts w:ascii="Tahoma" w:hAnsi="Tahoma" w:cs="Tahoma"/>
          <w:sz w:val="20"/>
          <w:szCs w:val="20"/>
        </w:rPr>
        <w:t>à</w:t>
      </w:r>
      <w:r w:rsidR="00DB1635" w:rsidRPr="00B004EE">
        <w:rPr>
          <w:rFonts w:ascii="Tahoma" w:hAnsi="Tahoma" w:cs="Tahoma"/>
          <w:w w:val="98"/>
          <w:sz w:val="20"/>
          <w:szCs w:val="20"/>
        </w:rPr>
        <w:t xml:space="preserve"> </w:t>
      </w:r>
      <w:r w:rsidRPr="00B004EE">
        <w:rPr>
          <w:rFonts w:ascii="Tahoma" w:hAnsi="Tahoma" w:cs="Tahoma"/>
          <w:sz w:val="20"/>
          <w:szCs w:val="20"/>
        </w:rPr>
        <w:t>la</w:t>
      </w:r>
      <w:r w:rsidR="00DB1635" w:rsidRPr="00B004EE">
        <w:rPr>
          <w:rFonts w:ascii="Tahoma" w:hAnsi="Tahoma" w:cs="Tahoma"/>
          <w:spacing w:val="-15"/>
          <w:sz w:val="20"/>
          <w:szCs w:val="20"/>
        </w:rPr>
        <w:t xml:space="preserve"> </w:t>
      </w:r>
      <w:r w:rsidRPr="00B004EE">
        <w:rPr>
          <w:rFonts w:ascii="Tahoma" w:hAnsi="Tahoma" w:cs="Tahoma"/>
          <w:sz w:val="20"/>
          <w:szCs w:val="20"/>
        </w:rPr>
        <w:t>taille</w:t>
      </w:r>
      <w:r w:rsidR="00DB1635" w:rsidRPr="00B004EE">
        <w:rPr>
          <w:rFonts w:ascii="Tahoma" w:hAnsi="Tahoma" w:cs="Tahoma"/>
          <w:spacing w:val="-16"/>
          <w:sz w:val="20"/>
          <w:szCs w:val="20"/>
        </w:rPr>
        <w:t xml:space="preserve"> </w:t>
      </w:r>
      <w:r w:rsidRPr="00B004EE">
        <w:rPr>
          <w:rFonts w:ascii="Tahoma" w:hAnsi="Tahoma" w:cs="Tahoma"/>
          <w:sz w:val="20"/>
          <w:szCs w:val="20"/>
        </w:rPr>
        <w:t>des</w:t>
      </w:r>
      <w:r w:rsidR="00DB1635" w:rsidRPr="00B004EE">
        <w:rPr>
          <w:rFonts w:ascii="Tahoma" w:hAnsi="Tahoma" w:cs="Tahoma"/>
          <w:spacing w:val="-16"/>
          <w:sz w:val="20"/>
          <w:szCs w:val="20"/>
        </w:rPr>
        <w:t xml:space="preserve"> </w:t>
      </w:r>
      <w:r w:rsidRPr="00B004EE">
        <w:rPr>
          <w:rFonts w:ascii="Tahoma" w:hAnsi="Tahoma" w:cs="Tahoma"/>
          <w:sz w:val="20"/>
          <w:szCs w:val="20"/>
        </w:rPr>
        <w:t>navires</w:t>
      </w:r>
      <w:r w:rsidR="00DB1635" w:rsidRPr="00B004EE">
        <w:rPr>
          <w:rFonts w:ascii="Tahoma" w:hAnsi="Tahoma" w:cs="Tahoma"/>
          <w:spacing w:val="-16"/>
          <w:sz w:val="20"/>
          <w:szCs w:val="20"/>
        </w:rPr>
        <w:t xml:space="preserve"> </w:t>
      </w:r>
      <w:r w:rsidRPr="00B004EE">
        <w:rPr>
          <w:rFonts w:ascii="Tahoma" w:hAnsi="Tahoma" w:cs="Tahoma"/>
          <w:sz w:val="20"/>
          <w:szCs w:val="20"/>
        </w:rPr>
        <w:t>par</w:t>
      </w:r>
      <w:r w:rsidR="00DB1635" w:rsidRPr="00B004EE">
        <w:rPr>
          <w:rFonts w:ascii="Tahoma" w:hAnsi="Tahoma" w:cs="Tahoma"/>
          <w:spacing w:val="-16"/>
          <w:sz w:val="20"/>
          <w:szCs w:val="20"/>
        </w:rPr>
        <w:t xml:space="preserve"> </w:t>
      </w:r>
      <w:r w:rsidRPr="00B004EE">
        <w:rPr>
          <w:rFonts w:ascii="Tahoma" w:hAnsi="Tahoma" w:cs="Tahoma"/>
          <w:sz w:val="20"/>
          <w:szCs w:val="20"/>
        </w:rPr>
        <w:t>décret</w:t>
      </w:r>
      <w:r w:rsidR="00DB1635" w:rsidRPr="00B004EE">
        <w:rPr>
          <w:rFonts w:ascii="Tahoma" w:hAnsi="Tahoma" w:cs="Tahoma"/>
          <w:spacing w:val="-16"/>
          <w:sz w:val="20"/>
          <w:szCs w:val="20"/>
        </w:rPr>
        <w:t xml:space="preserve"> </w:t>
      </w:r>
      <w:r w:rsidRPr="00B004EE">
        <w:rPr>
          <w:rFonts w:ascii="Tahoma" w:hAnsi="Tahoma" w:cs="Tahoma"/>
          <w:sz w:val="20"/>
          <w:szCs w:val="20"/>
        </w:rPr>
        <w:t>pris</w:t>
      </w:r>
      <w:r w:rsidR="00DB1635" w:rsidRPr="00B004EE">
        <w:rPr>
          <w:rFonts w:ascii="Tahoma" w:hAnsi="Tahoma" w:cs="Tahoma"/>
          <w:spacing w:val="-16"/>
          <w:sz w:val="20"/>
          <w:szCs w:val="20"/>
        </w:rPr>
        <w:t xml:space="preserve"> </w:t>
      </w:r>
      <w:r w:rsidRPr="00B004EE">
        <w:rPr>
          <w:rFonts w:ascii="Tahoma" w:hAnsi="Tahoma" w:cs="Tahoma"/>
          <w:sz w:val="20"/>
          <w:szCs w:val="20"/>
        </w:rPr>
        <w:t>en</w:t>
      </w:r>
      <w:r w:rsidR="00DB1635" w:rsidRPr="00B004EE">
        <w:rPr>
          <w:rFonts w:ascii="Tahoma" w:hAnsi="Tahoma" w:cs="Tahoma"/>
          <w:spacing w:val="-16"/>
          <w:sz w:val="20"/>
          <w:szCs w:val="20"/>
        </w:rPr>
        <w:t xml:space="preserve"> </w:t>
      </w:r>
      <w:r w:rsidRPr="00B004EE">
        <w:rPr>
          <w:rFonts w:ascii="Tahoma" w:hAnsi="Tahoma" w:cs="Tahoma"/>
          <w:sz w:val="20"/>
          <w:szCs w:val="20"/>
        </w:rPr>
        <w:t>conseil</w:t>
      </w:r>
      <w:r w:rsidR="00DB1635" w:rsidRPr="00B004EE">
        <w:rPr>
          <w:rFonts w:ascii="Tahoma" w:hAnsi="Tahoma" w:cs="Tahoma"/>
          <w:spacing w:val="-15"/>
          <w:sz w:val="20"/>
          <w:szCs w:val="20"/>
        </w:rPr>
        <w:t xml:space="preserve"> </w:t>
      </w:r>
      <w:r w:rsidRPr="00B004EE">
        <w:rPr>
          <w:rFonts w:ascii="Tahoma" w:hAnsi="Tahoma" w:cs="Tahoma"/>
          <w:sz w:val="20"/>
          <w:szCs w:val="20"/>
        </w:rPr>
        <w:t>des</w:t>
      </w:r>
      <w:r w:rsidR="00DB1635" w:rsidRPr="00B004EE">
        <w:rPr>
          <w:rFonts w:ascii="Tahoma" w:hAnsi="Tahoma" w:cs="Tahoma"/>
          <w:spacing w:val="-16"/>
          <w:sz w:val="20"/>
          <w:szCs w:val="20"/>
        </w:rPr>
        <w:t xml:space="preserve"> </w:t>
      </w:r>
      <w:r w:rsidRPr="00B004EE">
        <w:rPr>
          <w:rFonts w:ascii="Tahoma" w:hAnsi="Tahoma" w:cs="Tahoma"/>
          <w:sz w:val="20"/>
          <w:szCs w:val="20"/>
        </w:rPr>
        <w:t>Ministres</w:t>
      </w:r>
      <w:r w:rsidR="00DB1635" w:rsidRPr="00B004EE">
        <w:rPr>
          <w:rFonts w:ascii="Tahoma" w:hAnsi="Tahoma" w:cs="Tahoma"/>
          <w:spacing w:val="-16"/>
          <w:sz w:val="20"/>
          <w:szCs w:val="20"/>
        </w:rPr>
        <w:t xml:space="preserve"> </w:t>
      </w:r>
      <w:r w:rsidRPr="00B004EE">
        <w:rPr>
          <w:rFonts w:ascii="Tahoma" w:hAnsi="Tahoma" w:cs="Tahoma"/>
          <w:sz w:val="20"/>
          <w:szCs w:val="20"/>
        </w:rPr>
        <w:t>sur</w:t>
      </w:r>
      <w:r w:rsidR="00DB1635" w:rsidRPr="00B004EE">
        <w:rPr>
          <w:rFonts w:ascii="Tahoma" w:hAnsi="Tahoma" w:cs="Tahoma"/>
          <w:spacing w:val="-16"/>
          <w:sz w:val="20"/>
          <w:szCs w:val="20"/>
        </w:rPr>
        <w:t xml:space="preserve"> </w:t>
      </w:r>
      <w:r w:rsidRPr="00B004EE">
        <w:rPr>
          <w:rFonts w:ascii="Tahoma" w:hAnsi="Tahoma" w:cs="Tahoma"/>
          <w:sz w:val="20"/>
          <w:szCs w:val="20"/>
        </w:rPr>
        <w:t>rapport</w:t>
      </w:r>
      <w:r w:rsidR="00DB1635" w:rsidRPr="00B004EE">
        <w:rPr>
          <w:rFonts w:ascii="Tahoma" w:hAnsi="Tahoma" w:cs="Tahoma"/>
          <w:spacing w:val="-16"/>
          <w:sz w:val="20"/>
          <w:szCs w:val="20"/>
        </w:rPr>
        <w:t xml:space="preserve"> </w:t>
      </w:r>
      <w:r w:rsidRPr="00B004EE">
        <w:rPr>
          <w:rFonts w:ascii="Tahoma" w:hAnsi="Tahoma" w:cs="Tahoma"/>
          <w:sz w:val="20"/>
          <w:szCs w:val="20"/>
        </w:rPr>
        <w:t>du</w:t>
      </w:r>
      <w:r w:rsidR="00DB1635" w:rsidRPr="00B004EE">
        <w:rPr>
          <w:rFonts w:ascii="Tahoma" w:hAnsi="Tahoma" w:cs="Tahoma"/>
          <w:spacing w:val="-1"/>
          <w:w w:val="97"/>
          <w:sz w:val="20"/>
          <w:szCs w:val="20"/>
        </w:rPr>
        <w:t xml:space="preserve"> </w:t>
      </w:r>
      <w:r w:rsidRPr="00B004EE">
        <w:rPr>
          <w:rFonts w:ascii="Tahoma" w:hAnsi="Tahoma" w:cs="Tahoma"/>
          <w:w w:val="95"/>
          <w:sz w:val="20"/>
          <w:szCs w:val="20"/>
        </w:rPr>
        <w:t>Ministre</w:t>
      </w:r>
      <w:r w:rsidR="00DB1635" w:rsidRPr="00B004EE">
        <w:rPr>
          <w:rFonts w:ascii="Tahoma" w:hAnsi="Tahoma" w:cs="Tahoma"/>
          <w:w w:val="95"/>
          <w:sz w:val="20"/>
          <w:szCs w:val="20"/>
        </w:rPr>
        <w:t xml:space="preserve"> </w:t>
      </w:r>
      <w:r w:rsidRPr="00B004EE">
        <w:rPr>
          <w:rFonts w:ascii="Tahoma" w:hAnsi="Tahoma" w:cs="Tahoma"/>
          <w:w w:val="95"/>
          <w:sz w:val="20"/>
          <w:szCs w:val="20"/>
        </w:rPr>
        <w:t>chargé</w:t>
      </w:r>
      <w:r w:rsidR="00DB1635" w:rsidRPr="00B004EE">
        <w:rPr>
          <w:rFonts w:ascii="Tahoma" w:hAnsi="Tahoma" w:cs="Tahoma"/>
          <w:w w:val="95"/>
          <w:sz w:val="20"/>
          <w:szCs w:val="20"/>
        </w:rPr>
        <w:t xml:space="preserve"> </w:t>
      </w:r>
      <w:r w:rsidRPr="00B004EE">
        <w:rPr>
          <w:rFonts w:ascii="Tahoma" w:hAnsi="Tahoma" w:cs="Tahoma"/>
          <w:w w:val="95"/>
          <w:sz w:val="20"/>
          <w:szCs w:val="20"/>
        </w:rPr>
        <w:t>des</w:t>
      </w:r>
      <w:r w:rsidR="00DB1635" w:rsidRPr="00B004EE">
        <w:rPr>
          <w:rFonts w:ascii="Tahoma" w:hAnsi="Tahoma" w:cs="Tahoma"/>
          <w:spacing w:val="24"/>
          <w:w w:val="95"/>
          <w:sz w:val="20"/>
          <w:szCs w:val="20"/>
        </w:rPr>
        <w:t xml:space="preserve"> </w:t>
      </w:r>
      <w:r w:rsidRPr="00B004EE">
        <w:rPr>
          <w:rFonts w:ascii="Tahoma" w:hAnsi="Tahoma" w:cs="Tahoma"/>
          <w:w w:val="95"/>
          <w:sz w:val="20"/>
          <w:szCs w:val="20"/>
        </w:rPr>
        <w:t>pêches.</w:t>
      </w:r>
    </w:p>
    <w:p w14:paraId="62BD6F38" w14:textId="594C191A" w:rsidR="001E7C3C" w:rsidRPr="00B004EE" w:rsidRDefault="001E7C3C" w:rsidP="00B004EE">
      <w:pPr>
        <w:pStyle w:val="Corpsdetexte"/>
        <w:ind w:right="559"/>
        <w:rPr>
          <w:rFonts w:ascii="Tahoma" w:hAnsi="Tahoma" w:cs="Tahoma"/>
          <w:sz w:val="20"/>
          <w:szCs w:val="20"/>
        </w:rPr>
      </w:pPr>
      <w:r w:rsidRPr="00B004EE">
        <w:rPr>
          <w:rFonts w:ascii="Tahoma" w:hAnsi="Tahoma" w:cs="Tahoma"/>
          <w:sz w:val="20"/>
          <w:szCs w:val="20"/>
        </w:rPr>
        <w:t>En</w:t>
      </w:r>
      <w:r w:rsidR="00DB1635" w:rsidRPr="00B004EE">
        <w:rPr>
          <w:rFonts w:ascii="Tahoma" w:hAnsi="Tahoma" w:cs="Tahoma"/>
          <w:spacing w:val="-27"/>
          <w:sz w:val="20"/>
          <w:szCs w:val="20"/>
        </w:rPr>
        <w:t xml:space="preserve"> </w:t>
      </w:r>
      <w:r w:rsidRPr="00B004EE">
        <w:rPr>
          <w:rFonts w:ascii="Tahoma" w:hAnsi="Tahoma" w:cs="Tahoma"/>
          <w:sz w:val="20"/>
          <w:szCs w:val="20"/>
        </w:rPr>
        <w:t>outre,</w:t>
      </w:r>
      <w:r w:rsidR="00DB1635" w:rsidRPr="00B004EE">
        <w:rPr>
          <w:rFonts w:ascii="Tahoma" w:hAnsi="Tahoma" w:cs="Tahoma"/>
          <w:spacing w:val="-27"/>
          <w:sz w:val="20"/>
          <w:szCs w:val="20"/>
        </w:rPr>
        <w:t xml:space="preserve"> </w:t>
      </w:r>
      <w:r w:rsidRPr="00B004EE">
        <w:rPr>
          <w:rFonts w:ascii="Tahoma" w:hAnsi="Tahoma" w:cs="Tahoma"/>
          <w:sz w:val="20"/>
          <w:szCs w:val="20"/>
        </w:rPr>
        <w:t>le</w:t>
      </w:r>
      <w:r w:rsidR="00DB1635" w:rsidRPr="00B004EE">
        <w:rPr>
          <w:rFonts w:ascii="Tahoma" w:hAnsi="Tahoma" w:cs="Tahoma"/>
          <w:spacing w:val="-27"/>
          <w:sz w:val="20"/>
          <w:szCs w:val="20"/>
        </w:rPr>
        <w:t xml:space="preserve"> </w:t>
      </w:r>
      <w:r w:rsidRPr="00B004EE">
        <w:rPr>
          <w:rFonts w:ascii="Tahoma" w:hAnsi="Tahoma" w:cs="Tahoma"/>
          <w:sz w:val="20"/>
          <w:szCs w:val="20"/>
        </w:rPr>
        <w:t>tribunal</w:t>
      </w:r>
      <w:r w:rsidR="00DB1635" w:rsidRPr="00B004EE">
        <w:rPr>
          <w:rFonts w:ascii="Tahoma" w:hAnsi="Tahoma" w:cs="Tahoma"/>
          <w:spacing w:val="-26"/>
          <w:sz w:val="20"/>
          <w:szCs w:val="20"/>
        </w:rPr>
        <w:t xml:space="preserve"> </w:t>
      </w:r>
      <w:r w:rsidRPr="00B004EE">
        <w:rPr>
          <w:rFonts w:ascii="Tahoma" w:hAnsi="Tahoma" w:cs="Tahoma"/>
          <w:sz w:val="20"/>
          <w:szCs w:val="20"/>
        </w:rPr>
        <w:t>pourra</w:t>
      </w:r>
      <w:r w:rsidR="00DB1635" w:rsidRPr="00B004EE">
        <w:rPr>
          <w:rFonts w:ascii="Tahoma" w:hAnsi="Tahoma" w:cs="Tahoma"/>
          <w:spacing w:val="-27"/>
          <w:sz w:val="20"/>
          <w:szCs w:val="20"/>
        </w:rPr>
        <w:t xml:space="preserve"> </w:t>
      </w:r>
      <w:r w:rsidRPr="00B004EE">
        <w:rPr>
          <w:rFonts w:ascii="Tahoma" w:hAnsi="Tahoma" w:cs="Tahoma"/>
          <w:sz w:val="20"/>
          <w:szCs w:val="20"/>
        </w:rPr>
        <w:t>prononcer</w:t>
      </w:r>
      <w:r w:rsidR="00DB1635" w:rsidRPr="00B004EE">
        <w:rPr>
          <w:rFonts w:ascii="Tahoma" w:hAnsi="Tahoma" w:cs="Tahoma"/>
          <w:spacing w:val="-28"/>
          <w:sz w:val="20"/>
          <w:szCs w:val="20"/>
        </w:rPr>
        <w:t xml:space="preserve"> </w:t>
      </w:r>
      <w:r w:rsidRPr="00B004EE">
        <w:rPr>
          <w:rFonts w:ascii="Tahoma" w:hAnsi="Tahoma" w:cs="Tahoma"/>
          <w:sz w:val="20"/>
          <w:szCs w:val="20"/>
        </w:rPr>
        <w:t>:</w:t>
      </w:r>
    </w:p>
    <w:p w14:paraId="18609C0D" w14:textId="3E2A86DE" w:rsidR="001E7C3C" w:rsidRPr="00B004EE" w:rsidRDefault="001E7C3C" w:rsidP="00420DDA">
      <w:pPr>
        <w:pStyle w:val="Paragraphedeliste"/>
        <w:widowControl w:val="0"/>
        <w:numPr>
          <w:ilvl w:val="0"/>
          <w:numId w:val="34"/>
        </w:numPr>
        <w:tabs>
          <w:tab w:val="left" w:pos="1154"/>
        </w:tabs>
        <w:ind w:left="567" w:right="559"/>
        <w:rPr>
          <w:rFonts w:ascii="Tahoma" w:eastAsia="American Typewriter" w:hAnsi="Tahoma" w:cs="Tahoma"/>
          <w:sz w:val="20"/>
          <w:szCs w:val="20"/>
        </w:rPr>
      </w:pPr>
      <w:proofErr w:type="gramStart"/>
      <w:r w:rsidRPr="00B004EE">
        <w:rPr>
          <w:rFonts w:ascii="Tahoma" w:hAnsi="Tahoma" w:cs="Tahoma"/>
          <w:sz w:val="20"/>
          <w:szCs w:val="20"/>
        </w:rPr>
        <w:t>la</w:t>
      </w:r>
      <w:proofErr w:type="gramEnd"/>
      <w:r w:rsidR="00DB1635" w:rsidRPr="00B004EE">
        <w:rPr>
          <w:rFonts w:ascii="Tahoma" w:hAnsi="Tahoma" w:cs="Tahoma"/>
          <w:sz w:val="20"/>
          <w:szCs w:val="20"/>
        </w:rPr>
        <w:t xml:space="preserve"> </w:t>
      </w:r>
      <w:r w:rsidRPr="00B004EE">
        <w:rPr>
          <w:rFonts w:ascii="Tahoma" w:hAnsi="Tahoma" w:cs="Tahoma"/>
          <w:sz w:val="20"/>
          <w:szCs w:val="20"/>
        </w:rPr>
        <w:t>confiscation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captures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bord</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produit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leur</w:t>
      </w:r>
      <w:r w:rsidR="00DB1635" w:rsidRPr="00B004EE">
        <w:rPr>
          <w:rFonts w:ascii="Tahoma" w:hAnsi="Tahoma" w:cs="Tahoma"/>
          <w:spacing w:val="-40"/>
          <w:sz w:val="20"/>
          <w:szCs w:val="20"/>
        </w:rPr>
        <w:t xml:space="preserve"> </w:t>
      </w:r>
      <w:r w:rsidRPr="00B004EE">
        <w:rPr>
          <w:rFonts w:ascii="Tahoma" w:hAnsi="Tahoma" w:cs="Tahoma"/>
          <w:sz w:val="20"/>
          <w:szCs w:val="20"/>
        </w:rPr>
        <w:t>vente;</w:t>
      </w:r>
    </w:p>
    <w:p w14:paraId="4D4F56FE" w14:textId="67C073B5" w:rsidR="001E7C3C" w:rsidRPr="00B004EE" w:rsidRDefault="001E7C3C" w:rsidP="00420DDA">
      <w:pPr>
        <w:pStyle w:val="Paragraphedeliste"/>
        <w:widowControl w:val="0"/>
        <w:numPr>
          <w:ilvl w:val="0"/>
          <w:numId w:val="34"/>
        </w:numPr>
        <w:tabs>
          <w:tab w:val="left" w:pos="1154"/>
        </w:tabs>
        <w:ind w:left="567" w:right="165"/>
        <w:jc w:val="both"/>
        <w:rPr>
          <w:rFonts w:ascii="Tahoma" w:eastAsia="American Typewriter" w:hAnsi="Tahoma" w:cs="Tahoma"/>
          <w:sz w:val="20"/>
          <w:szCs w:val="20"/>
        </w:rPr>
      </w:pPr>
      <w:proofErr w:type="gramStart"/>
      <w:r w:rsidRPr="00B004EE">
        <w:rPr>
          <w:rFonts w:ascii="Tahoma" w:hAnsi="Tahoma" w:cs="Tahoma"/>
          <w:sz w:val="20"/>
          <w:szCs w:val="20"/>
        </w:rPr>
        <w:t>la</w:t>
      </w:r>
      <w:proofErr w:type="gramEnd"/>
      <w:r w:rsidR="00DB1635" w:rsidRPr="00B004EE">
        <w:rPr>
          <w:rFonts w:ascii="Tahoma" w:hAnsi="Tahoma" w:cs="Tahoma"/>
          <w:sz w:val="20"/>
          <w:szCs w:val="20"/>
        </w:rPr>
        <w:t xml:space="preserve"> </w:t>
      </w:r>
      <w:r w:rsidRPr="00B004EE">
        <w:rPr>
          <w:rFonts w:ascii="Tahoma" w:hAnsi="Tahoma" w:cs="Tahoma"/>
          <w:sz w:val="20"/>
          <w:szCs w:val="20"/>
        </w:rPr>
        <w:t>confiscation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engins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substances</w:t>
      </w:r>
      <w:r w:rsidR="00DB1635" w:rsidRPr="00B004EE">
        <w:rPr>
          <w:rFonts w:ascii="Tahoma" w:hAnsi="Tahoma" w:cs="Tahoma"/>
          <w:sz w:val="20"/>
          <w:szCs w:val="20"/>
        </w:rPr>
        <w:t xml:space="preserve"> </w:t>
      </w:r>
      <w:r w:rsidRPr="00B004EE">
        <w:rPr>
          <w:rFonts w:ascii="Tahoma" w:hAnsi="Tahoma" w:cs="Tahoma"/>
          <w:sz w:val="20"/>
          <w:szCs w:val="20"/>
        </w:rPr>
        <w:t>employés</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pacing w:val="1"/>
          <w:sz w:val="20"/>
          <w:szCs w:val="20"/>
        </w:rPr>
        <w:t xml:space="preserve"> </w:t>
      </w:r>
      <w:r w:rsidRPr="00B004EE">
        <w:rPr>
          <w:rFonts w:ascii="Tahoma" w:hAnsi="Tahoma" w:cs="Tahoma"/>
          <w:sz w:val="20"/>
          <w:szCs w:val="20"/>
        </w:rPr>
        <w:t>la</w:t>
      </w:r>
      <w:r w:rsidR="00DB1635" w:rsidRPr="00B004EE">
        <w:rPr>
          <w:rFonts w:ascii="Tahoma" w:hAnsi="Tahoma" w:cs="Tahoma"/>
          <w:w w:val="98"/>
          <w:sz w:val="20"/>
          <w:szCs w:val="20"/>
        </w:rPr>
        <w:t xml:space="preserve"> </w:t>
      </w:r>
      <w:r w:rsidRPr="00B004EE">
        <w:rPr>
          <w:rFonts w:ascii="Tahoma" w:hAnsi="Tahoma" w:cs="Tahoma"/>
          <w:sz w:val="20"/>
          <w:szCs w:val="20"/>
        </w:rPr>
        <w:t>commission</w:t>
      </w:r>
      <w:r w:rsidR="00DB1635" w:rsidRPr="00B004EE">
        <w:rPr>
          <w:rFonts w:ascii="Tahoma" w:hAnsi="Tahoma" w:cs="Tahoma"/>
          <w:sz w:val="20"/>
          <w:szCs w:val="20"/>
        </w:rPr>
        <w:t xml:space="preserve"> </w:t>
      </w:r>
      <w:r w:rsidRPr="00B004EE">
        <w:rPr>
          <w:rFonts w:ascii="Tahoma" w:hAnsi="Tahoma" w:cs="Tahoma"/>
          <w:sz w:val="20"/>
          <w:szCs w:val="20"/>
        </w:rPr>
        <w:t>desdites</w:t>
      </w:r>
      <w:r w:rsidR="00DB1635" w:rsidRPr="00B004EE">
        <w:rPr>
          <w:rFonts w:ascii="Tahoma" w:hAnsi="Tahoma" w:cs="Tahoma"/>
          <w:spacing w:val="6"/>
          <w:sz w:val="20"/>
          <w:szCs w:val="20"/>
        </w:rPr>
        <w:t xml:space="preserve"> </w:t>
      </w:r>
      <w:r w:rsidRPr="00B004EE">
        <w:rPr>
          <w:rFonts w:ascii="Tahoma" w:hAnsi="Tahoma" w:cs="Tahoma"/>
          <w:sz w:val="20"/>
          <w:szCs w:val="20"/>
        </w:rPr>
        <w:t>infractions.</w:t>
      </w:r>
    </w:p>
    <w:p w14:paraId="2F3B149F" w14:textId="77777777" w:rsidR="00681151" w:rsidRPr="00B004EE" w:rsidRDefault="00681151" w:rsidP="00B004EE">
      <w:pPr>
        <w:pStyle w:val="Lgende"/>
        <w:jc w:val="center"/>
        <w:rPr>
          <w:rFonts w:ascii="Tahoma" w:eastAsia="American Typewriter" w:hAnsi="Tahoma" w:cs="Tahoma"/>
        </w:rPr>
      </w:pPr>
      <w:bookmarkStart w:id="129" w:name="_Toc16279097"/>
      <w:bookmarkStart w:id="130" w:name="_Toc16279466"/>
    </w:p>
    <w:p w14:paraId="7D7336EA" w14:textId="0E549F13" w:rsidR="001E7C3C" w:rsidRPr="00B004EE" w:rsidRDefault="001E7C3C" w:rsidP="00B004EE">
      <w:pPr>
        <w:pStyle w:val="Lgende"/>
        <w:jc w:val="center"/>
        <w:rPr>
          <w:rFonts w:ascii="Tahoma" w:eastAsia="American Typewriter" w:hAnsi="Tahoma" w:cs="Tahoma"/>
        </w:rPr>
      </w:pPr>
      <w:r w:rsidRPr="00B004EE">
        <w:rPr>
          <w:rFonts w:ascii="Tahoma" w:eastAsia="American Typewriter" w:hAnsi="Tahoma" w:cs="Tahoma"/>
        </w:rPr>
        <w:t>Sous-section</w:t>
      </w:r>
      <w:r w:rsidR="00DB1635" w:rsidRPr="00B004EE">
        <w:rPr>
          <w:rFonts w:ascii="Tahoma" w:eastAsia="American Typewriter" w:hAnsi="Tahoma" w:cs="Tahoma"/>
        </w:rPr>
        <w:t xml:space="preserve"> </w:t>
      </w:r>
      <w:r w:rsidRPr="00B004EE">
        <w:rPr>
          <w:rFonts w:ascii="Tahoma" w:eastAsia="American Typewriter" w:hAnsi="Tahoma" w:cs="Tahoma"/>
        </w:rPr>
        <w:t>2</w:t>
      </w:r>
      <w:r w:rsidR="00DB1635" w:rsidRPr="00B004EE">
        <w:rPr>
          <w:rFonts w:ascii="Tahoma" w:eastAsia="American Typewriter" w:hAnsi="Tahoma" w:cs="Tahoma"/>
        </w:rPr>
        <w:t xml:space="preserve"> </w:t>
      </w:r>
      <w:r w:rsidRPr="00B004EE">
        <w:rPr>
          <w:rFonts w:ascii="Tahoma" w:eastAsia="American Typewriter" w:hAnsi="Tahoma" w:cs="Tahoma"/>
        </w:rPr>
        <w:t>:</w:t>
      </w:r>
      <w:r w:rsidR="00DB1635" w:rsidRPr="00B004EE">
        <w:rPr>
          <w:rFonts w:ascii="Tahoma" w:eastAsia="American Typewriter" w:hAnsi="Tahoma" w:cs="Tahoma"/>
        </w:rPr>
        <w:t xml:space="preserve"> </w:t>
      </w:r>
      <w:r w:rsidRPr="00B004EE">
        <w:rPr>
          <w:rFonts w:ascii="Tahoma" w:eastAsia="American Typewriter" w:hAnsi="Tahoma" w:cs="Tahoma"/>
        </w:rPr>
        <w:t>Des</w:t>
      </w:r>
      <w:r w:rsidR="00DB1635" w:rsidRPr="00B004EE">
        <w:rPr>
          <w:rFonts w:ascii="Tahoma" w:eastAsia="American Typewriter" w:hAnsi="Tahoma" w:cs="Tahoma"/>
        </w:rPr>
        <w:t xml:space="preserve"> </w:t>
      </w:r>
      <w:r w:rsidRPr="00B004EE">
        <w:rPr>
          <w:rFonts w:ascii="Tahoma" w:eastAsia="American Typewriter" w:hAnsi="Tahoma" w:cs="Tahoma"/>
        </w:rPr>
        <w:t>infractions</w:t>
      </w:r>
      <w:r w:rsidR="00DB1635" w:rsidRPr="00B004EE">
        <w:rPr>
          <w:rFonts w:ascii="Tahoma" w:eastAsia="American Typewriter" w:hAnsi="Tahoma" w:cs="Tahoma"/>
        </w:rPr>
        <w:t xml:space="preserve"> </w:t>
      </w:r>
      <w:r w:rsidRPr="00B004EE">
        <w:rPr>
          <w:rFonts w:ascii="Tahoma" w:eastAsia="American Typewriter" w:hAnsi="Tahoma" w:cs="Tahoma"/>
        </w:rPr>
        <w:t>de</w:t>
      </w:r>
      <w:r w:rsidR="00DB1635" w:rsidRPr="00B004EE">
        <w:rPr>
          <w:rFonts w:ascii="Tahoma" w:eastAsia="American Typewriter" w:hAnsi="Tahoma" w:cs="Tahoma"/>
        </w:rPr>
        <w:t xml:space="preserve"> </w:t>
      </w:r>
      <w:r w:rsidRPr="00B004EE">
        <w:rPr>
          <w:rFonts w:ascii="Tahoma" w:eastAsia="American Typewriter" w:hAnsi="Tahoma" w:cs="Tahoma"/>
        </w:rPr>
        <w:t>pêche</w:t>
      </w:r>
      <w:r w:rsidR="00DB1635" w:rsidRPr="00B004EE">
        <w:rPr>
          <w:rFonts w:ascii="Tahoma" w:eastAsia="American Typewriter" w:hAnsi="Tahoma" w:cs="Tahoma"/>
        </w:rPr>
        <w:t xml:space="preserve"> </w:t>
      </w:r>
      <w:r w:rsidRPr="00B004EE">
        <w:rPr>
          <w:rFonts w:ascii="Tahoma" w:eastAsia="American Typewriter" w:hAnsi="Tahoma" w:cs="Tahoma"/>
        </w:rPr>
        <w:t>graves</w:t>
      </w:r>
      <w:bookmarkEnd w:id="129"/>
      <w:bookmarkEnd w:id="130"/>
    </w:p>
    <w:p w14:paraId="480EBBA6" w14:textId="77777777" w:rsidR="001E7C3C" w:rsidRPr="00B004EE" w:rsidRDefault="001E7C3C" w:rsidP="00B004EE">
      <w:pPr>
        <w:rPr>
          <w:rFonts w:ascii="Tahoma" w:eastAsia="American Typewriter" w:hAnsi="Tahoma" w:cs="Tahoma"/>
          <w:b/>
          <w:bCs/>
          <w:sz w:val="20"/>
          <w:szCs w:val="20"/>
        </w:rPr>
      </w:pPr>
    </w:p>
    <w:p w14:paraId="7841A6E5" w14:textId="63CD3D50" w:rsidR="001E7C3C" w:rsidRPr="00B004EE" w:rsidRDefault="001E7C3C" w:rsidP="00B004EE">
      <w:pPr>
        <w:ind w:left="162" w:right="559"/>
        <w:rPr>
          <w:rFonts w:ascii="Tahoma" w:eastAsia="American Typewriter"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85</w:t>
      </w:r>
      <w:r w:rsidR="00DB1635" w:rsidRPr="00B004EE">
        <w:rPr>
          <w:rFonts w:ascii="Tahoma" w:hAnsi="Tahoma" w:cs="Tahoma"/>
          <w:bCs/>
          <w:sz w:val="20"/>
          <w:szCs w:val="20"/>
        </w:rPr>
        <w:t xml:space="preserve"> </w:t>
      </w:r>
      <w:r w:rsidRPr="00B004EE">
        <w:rPr>
          <w:rFonts w:ascii="Tahoma" w:hAnsi="Tahoma" w:cs="Tahoma"/>
          <w:bCs/>
          <w:sz w:val="20"/>
          <w:szCs w:val="20"/>
        </w:rPr>
        <w:t>:</w:t>
      </w:r>
      <w:r w:rsidR="00DB1635" w:rsidRPr="00B004EE">
        <w:rPr>
          <w:rFonts w:ascii="Tahoma" w:hAnsi="Tahoma" w:cs="Tahoma"/>
          <w:b/>
          <w:spacing w:val="-32"/>
          <w:sz w:val="20"/>
          <w:szCs w:val="20"/>
        </w:rPr>
        <w:t xml:space="preserve"> </w:t>
      </w:r>
      <w:r w:rsidRPr="00B004EE">
        <w:rPr>
          <w:rFonts w:ascii="Tahoma" w:hAnsi="Tahoma" w:cs="Tahoma"/>
          <w:sz w:val="20"/>
          <w:szCs w:val="20"/>
        </w:rPr>
        <w:t>Constituent</w:t>
      </w:r>
      <w:r w:rsidR="00DB1635" w:rsidRPr="00B004EE">
        <w:rPr>
          <w:rFonts w:ascii="Tahoma" w:hAnsi="Tahoma" w:cs="Tahoma"/>
          <w:spacing w:val="-34"/>
          <w:sz w:val="20"/>
          <w:szCs w:val="20"/>
        </w:rPr>
        <w:t xml:space="preserve"> </w:t>
      </w:r>
      <w:r w:rsidRPr="00B004EE">
        <w:rPr>
          <w:rFonts w:ascii="Tahoma" w:hAnsi="Tahoma" w:cs="Tahoma"/>
          <w:sz w:val="20"/>
          <w:szCs w:val="20"/>
        </w:rPr>
        <w:t>des</w:t>
      </w:r>
      <w:r w:rsidR="00DB1635" w:rsidRPr="00B004EE">
        <w:rPr>
          <w:rFonts w:ascii="Tahoma" w:hAnsi="Tahoma" w:cs="Tahoma"/>
          <w:spacing w:val="-35"/>
          <w:sz w:val="20"/>
          <w:szCs w:val="20"/>
        </w:rPr>
        <w:t xml:space="preserve"> </w:t>
      </w:r>
      <w:r w:rsidRPr="00B004EE">
        <w:rPr>
          <w:rFonts w:ascii="Tahoma" w:hAnsi="Tahoma" w:cs="Tahoma"/>
          <w:sz w:val="20"/>
          <w:szCs w:val="20"/>
        </w:rPr>
        <w:t>infractions</w:t>
      </w:r>
      <w:r w:rsidR="00DB1635" w:rsidRPr="00B004EE">
        <w:rPr>
          <w:rFonts w:ascii="Tahoma" w:hAnsi="Tahoma" w:cs="Tahoma"/>
          <w:spacing w:val="-35"/>
          <w:sz w:val="20"/>
          <w:szCs w:val="20"/>
        </w:rPr>
        <w:t xml:space="preserve"> </w:t>
      </w:r>
      <w:r w:rsidRPr="00B004EE">
        <w:rPr>
          <w:rFonts w:ascii="Tahoma" w:hAnsi="Tahoma" w:cs="Tahoma"/>
          <w:sz w:val="20"/>
          <w:szCs w:val="20"/>
        </w:rPr>
        <w:t>de</w:t>
      </w:r>
      <w:r w:rsidR="00DB1635" w:rsidRPr="00B004EE">
        <w:rPr>
          <w:rFonts w:ascii="Tahoma" w:hAnsi="Tahoma" w:cs="Tahoma"/>
          <w:spacing w:val="-34"/>
          <w:sz w:val="20"/>
          <w:szCs w:val="20"/>
        </w:rPr>
        <w:t xml:space="preserve"> </w:t>
      </w:r>
      <w:r w:rsidRPr="00B004EE">
        <w:rPr>
          <w:rFonts w:ascii="Tahoma" w:hAnsi="Tahoma" w:cs="Tahoma"/>
          <w:sz w:val="20"/>
          <w:szCs w:val="20"/>
        </w:rPr>
        <w:t>pêche</w:t>
      </w:r>
      <w:r w:rsidR="00DB1635" w:rsidRPr="00B004EE">
        <w:rPr>
          <w:rFonts w:ascii="Tahoma" w:hAnsi="Tahoma" w:cs="Tahoma"/>
          <w:spacing w:val="-34"/>
          <w:sz w:val="20"/>
          <w:szCs w:val="20"/>
        </w:rPr>
        <w:t xml:space="preserve"> </w:t>
      </w:r>
      <w:r w:rsidRPr="00B004EE">
        <w:rPr>
          <w:rFonts w:ascii="Tahoma" w:hAnsi="Tahoma" w:cs="Tahoma"/>
          <w:sz w:val="20"/>
          <w:szCs w:val="20"/>
        </w:rPr>
        <w:t>graves</w:t>
      </w:r>
      <w:r w:rsidR="00DB1635" w:rsidRPr="00B004EE">
        <w:rPr>
          <w:rFonts w:ascii="Tahoma" w:hAnsi="Tahoma" w:cs="Tahoma"/>
          <w:spacing w:val="-34"/>
          <w:sz w:val="20"/>
          <w:szCs w:val="20"/>
        </w:rPr>
        <w:t xml:space="preserve"> </w:t>
      </w:r>
      <w:r w:rsidRPr="00B004EE">
        <w:rPr>
          <w:rFonts w:ascii="Tahoma" w:hAnsi="Tahoma" w:cs="Tahoma"/>
          <w:sz w:val="20"/>
          <w:szCs w:val="20"/>
        </w:rPr>
        <w:t>:</w:t>
      </w:r>
    </w:p>
    <w:p w14:paraId="09AC85FF" w14:textId="5E8E237C" w:rsidR="001E7C3C" w:rsidRPr="00B004EE" w:rsidRDefault="001E7C3C" w:rsidP="00420DDA">
      <w:pPr>
        <w:pStyle w:val="Paragraphedeliste"/>
        <w:widowControl w:val="0"/>
        <w:numPr>
          <w:ilvl w:val="0"/>
          <w:numId w:val="31"/>
        </w:numPr>
        <w:tabs>
          <w:tab w:val="left" w:pos="870"/>
        </w:tabs>
        <w:ind w:right="157"/>
        <w:jc w:val="both"/>
        <w:rPr>
          <w:rFonts w:ascii="Tahoma" w:eastAsia="American Typewriter" w:hAnsi="Tahoma" w:cs="Tahoma"/>
          <w:sz w:val="20"/>
          <w:szCs w:val="20"/>
        </w:rPr>
      </w:pPr>
      <w:proofErr w:type="gramStart"/>
      <w:r w:rsidRPr="00B004EE">
        <w:rPr>
          <w:rFonts w:ascii="Tahoma" w:eastAsia="American Typewriter" w:hAnsi="Tahoma" w:cs="Tahoma"/>
          <w:sz w:val="20"/>
          <w:szCs w:val="20"/>
        </w:rPr>
        <w:t>l’exercice</w:t>
      </w:r>
      <w:proofErr w:type="gramEnd"/>
      <w:r w:rsidR="00DB1635" w:rsidRPr="00B004EE">
        <w:rPr>
          <w:rFonts w:ascii="Tahoma" w:eastAsia="American Typewriter" w:hAnsi="Tahoma" w:cs="Tahoma"/>
          <w:spacing w:val="-12"/>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pacing w:val="-12"/>
          <w:sz w:val="20"/>
          <w:szCs w:val="20"/>
        </w:rPr>
        <w:t xml:space="preserve"> </w:t>
      </w:r>
      <w:r w:rsidRPr="00B004EE">
        <w:rPr>
          <w:rFonts w:ascii="Tahoma" w:eastAsia="American Typewriter" w:hAnsi="Tahoma" w:cs="Tahoma"/>
          <w:sz w:val="20"/>
          <w:szCs w:val="20"/>
        </w:rPr>
        <w:t>l’activité</w:t>
      </w:r>
      <w:r w:rsidR="00DB1635" w:rsidRPr="00B004EE">
        <w:rPr>
          <w:rFonts w:ascii="Tahoma" w:eastAsia="American Typewriter" w:hAnsi="Tahoma" w:cs="Tahoma"/>
          <w:spacing w:val="-12"/>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pacing w:val="-12"/>
          <w:sz w:val="20"/>
          <w:szCs w:val="20"/>
        </w:rPr>
        <w:t xml:space="preserve"> </w:t>
      </w:r>
      <w:r w:rsidRPr="00B004EE">
        <w:rPr>
          <w:rFonts w:ascii="Tahoma" w:eastAsia="American Typewriter" w:hAnsi="Tahoma" w:cs="Tahoma"/>
          <w:sz w:val="20"/>
          <w:szCs w:val="20"/>
        </w:rPr>
        <w:t>pêche</w:t>
      </w:r>
      <w:r w:rsidR="00DB1635" w:rsidRPr="00B004EE">
        <w:rPr>
          <w:rFonts w:ascii="Tahoma" w:eastAsia="American Typewriter" w:hAnsi="Tahoma" w:cs="Tahoma"/>
          <w:spacing w:val="-12"/>
          <w:sz w:val="20"/>
          <w:szCs w:val="20"/>
        </w:rPr>
        <w:t xml:space="preserve"> </w:t>
      </w:r>
      <w:r w:rsidRPr="00B004EE">
        <w:rPr>
          <w:rFonts w:ascii="Tahoma" w:eastAsia="American Typewriter" w:hAnsi="Tahoma" w:cs="Tahoma"/>
          <w:sz w:val="20"/>
          <w:szCs w:val="20"/>
        </w:rPr>
        <w:t>par</w:t>
      </w:r>
      <w:r w:rsidR="00DB1635" w:rsidRPr="00B004EE">
        <w:rPr>
          <w:rFonts w:ascii="Tahoma" w:eastAsia="American Typewriter" w:hAnsi="Tahoma" w:cs="Tahoma"/>
          <w:spacing w:val="-13"/>
          <w:sz w:val="20"/>
          <w:szCs w:val="20"/>
        </w:rPr>
        <w:t xml:space="preserve"> </w:t>
      </w:r>
      <w:r w:rsidRPr="00B004EE">
        <w:rPr>
          <w:rFonts w:ascii="Tahoma" w:eastAsia="American Typewriter" w:hAnsi="Tahoma" w:cs="Tahoma"/>
          <w:sz w:val="20"/>
          <w:szCs w:val="20"/>
        </w:rPr>
        <w:t>des</w:t>
      </w:r>
      <w:r w:rsidR="00DB1635" w:rsidRPr="00B004EE">
        <w:rPr>
          <w:rFonts w:ascii="Tahoma" w:eastAsia="American Typewriter" w:hAnsi="Tahoma" w:cs="Tahoma"/>
          <w:spacing w:val="-13"/>
          <w:sz w:val="20"/>
          <w:szCs w:val="20"/>
        </w:rPr>
        <w:t xml:space="preserve"> </w:t>
      </w:r>
      <w:r w:rsidRPr="00B004EE">
        <w:rPr>
          <w:rFonts w:ascii="Tahoma" w:eastAsia="American Typewriter" w:hAnsi="Tahoma" w:cs="Tahoma"/>
          <w:sz w:val="20"/>
          <w:szCs w:val="20"/>
        </w:rPr>
        <w:t>navires</w:t>
      </w:r>
      <w:r w:rsidR="00DB1635" w:rsidRPr="00B004EE">
        <w:rPr>
          <w:rFonts w:ascii="Tahoma" w:eastAsia="American Typewriter" w:hAnsi="Tahoma" w:cs="Tahoma"/>
          <w:spacing w:val="-13"/>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pacing w:val="-13"/>
          <w:sz w:val="20"/>
          <w:szCs w:val="20"/>
        </w:rPr>
        <w:t xml:space="preserve"> </w:t>
      </w:r>
      <w:r w:rsidRPr="00B004EE">
        <w:rPr>
          <w:rFonts w:ascii="Tahoma" w:eastAsia="American Typewriter" w:hAnsi="Tahoma" w:cs="Tahoma"/>
          <w:sz w:val="20"/>
          <w:szCs w:val="20"/>
        </w:rPr>
        <w:t>pêche</w:t>
      </w:r>
      <w:r w:rsidR="00DB1635" w:rsidRPr="00B004EE">
        <w:rPr>
          <w:rFonts w:ascii="Tahoma" w:eastAsia="American Typewriter" w:hAnsi="Tahoma" w:cs="Tahoma"/>
          <w:spacing w:val="-14"/>
          <w:sz w:val="20"/>
          <w:szCs w:val="20"/>
        </w:rPr>
        <w:t xml:space="preserve"> </w:t>
      </w:r>
      <w:r w:rsidRPr="00B004EE">
        <w:rPr>
          <w:rFonts w:ascii="Tahoma" w:eastAsia="American Typewriter" w:hAnsi="Tahoma" w:cs="Tahoma"/>
          <w:sz w:val="20"/>
          <w:szCs w:val="20"/>
        </w:rPr>
        <w:t>mauritaniens</w:t>
      </w:r>
      <w:r w:rsidR="00DB1635" w:rsidRPr="00B004EE">
        <w:rPr>
          <w:rFonts w:ascii="Tahoma" w:eastAsia="American Typewriter" w:hAnsi="Tahoma" w:cs="Tahoma"/>
          <w:spacing w:val="-14"/>
          <w:sz w:val="20"/>
          <w:szCs w:val="20"/>
        </w:rPr>
        <w:t xml:space="preserve"> </w:t>
      </w:r>
      <w:r w:rsidRPr="00B004EE">
        <w:rPr>
          <w:rFonts w:ascii="Tahoma" w:eastAsia="American Typewriter" w:hAnsi="Tahoma" w:cs="Tahoma"/>
          <w:sz w:val="20"/>
          <w:szCs w:val="20"/>
        </w:rPr>
        <w:t>sans</w:t>
      </w:r>
      <w:r w:rsidR="00DB1635" w:rsidRPr="00B004EE">
        <w:rPr>
          <w:rFonts w:ascii="Tahoma" w:eastAsia="American Typewriter" w:hAnsi="Tahoma" w:cs="Tahoma"/>
          <w:w w:val="95"/>
          <w:sz w:val="20"/>
          <w:szCs w:val="20"/>
        </w:rPr>
        <w:t xml:space="preserve"> </w:t>
      </w:r>
      <w:r w:rsidRPr="00B004EE">
        <w:rPr>
          <w:rFonts w:ascii="Tahoma" w:eastAsia="American Typewriter" w:hAnsi="Tahoma" w:cs="Tahoma"/>
          <w:sz w:val="20"/>
          <w:szCs w:val="20"/>
        </w:rPr>
        <w:t>concession</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ou</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licence</w:t>
      </w:r>
      <w:r w:rsidR="00DB1635" w:rsidRPr="00B004EE">
        <w:rPr>
          <w:rFonts w:ascii="Tahoma" w:eastAsia="American Typewriter" w:hAnsi="Tahoma" w:cs="Tahoma"/>
          <w:spacing w:val="21"/>
          <w:sz w:val="20"/>
          <w:szCs w:val="20"/>
        </w:rPr>
        <w:t xml:space="preserve"> </w:t>
      </w:r>
      <w:r w:rsidRPr="00B004EE">
        <w:rPr>
          <w:rFonts w:ascii="Tahoma" w:eastAsia="American Typewriter" w:hAnsi="Tahoma" w:cs="Tahoma"/>
          <w:sz w:val="20"/>
          <w:szCs w:val="20"/>
        </w:rPr>
        <w:t>;</w:t>
      </w:r>
    </w:p>
    <w:p w14:paraId="3A9D4335" w14:textId="39688886" w:rsidR="001E7C3C" w:rsidRPr="00B004EE" w:rsidRDefault="001E7C3C" w:rsidP="00420DDA">
      <w:pPr>
        <w:pStyle w:val="Paragraphedeliste"/>
        <w:widowControl w:val="0"/>
        <w:numPr>
          <w:ilvl w:val="0"/>
          <w:numId w:val="31"/>
        </w:numPr>
        <w:tabs>
          <w:tab w:val="left" w:pos="870"/>
        </w:tabs>
        <w:ind w:right="166"/>
        <w:jc w:val="both"/>
        <w:rPr>
          <w:rFonts w:ascii="Tahoma" w:eastAsia="American Typewriter" w:hAnsi="Tahoma" w:cs="Tahoma"/>
          <w:sz w:val="20"/>
          <w:szCs w:val="20"/>
        </w:rPr>
      </w:pPr>
      <w:proofErr w:type="gramStart"/>
      <w:r w:rsidRPr="00B004EE">
        <w:rPr>
          <w:rFonts w:ascii="Tahoma" w:eastAsia="American Typewriter" w:hAnsi="Tahoma" w:cs="Tahoma"/>
          <w:sz w:val="20"/>
          <w:szCs w:val="20"/>
        </w:rPr>
        <w:t>l’emploi</w:t>
      </w:r>
      <w:proofErr w:type="gramEnd"/>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d’un</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navire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pêche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pour</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un</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type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d’opération</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différente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pacing w:val="12"/>
          <w:sz w:val="20"/>
          <w:szCs w:val="20"/>
        </w:rPr>
        <w:t xml:space="preserve"> </w:t>
      </w:r>
      <w:r w:rsidRPr="00B004EE">
        <w:rPr>
          <w:rFonts w:ascii="Tahoma" w:eastAsia="American Typewriter" w:hAnsi="Tahoma" w:cs="Tahoma"/>
          <w:sz w:val="20"/>
          <w:szCs w:val="20"/>
        </w:rPr>
        <w:t>celui</w:t>
      </w:r>
      <w:r w:rsidR="00DB1635" w:rsidRPr="00B004EE">
        <w:rPr>
          <w:rFonts w:ascii="Tahoma" w:eastAsia="American Typewriter" w:hAnsi="Tahoma" w:cs="Tahoma"/>
          <w:w w:val="99"/>
          <w:sz w:val="20"/>
          <w:szCs w:val="20"/>
        </w:rPr>
        <w:t xml:space="preserve"> </w:t>
      </w:r>
      <w:r w:rsidRPr="00B004EE">
        <w:rPr>
          <w:rFonts w:ascii="Tahoma" w:eastAsia="American Typewriter" w:hAnsi="Tahoma" w:cs="Tahoma"/>
          <w:sz w:val="20"/>
          <w:szCs w:val="20"/>
        </w:rPr>
        <w:t>pour</w:t>
      </w:r>
      <w:r w:rsidR="00DB1635" w:rsidRPr="00B004EE">
        <w:rPr>
          <w:rFonts w:ascii="Tahoma" w:eastAsia="American Typewriter" w:hAnsi="Tahoma" w:cs="Tahoma"/>
          <w:spacing w:val="41"/>
          <w:sz w:val="20"/>
          <w:szCs w:val="20"/>
        </w:rPr>
        <w:t xml:space="preserve"> </w:t>
      </w:r>
      <w:r w:rsidR="00852255" w:rsidRPr="00B004EE">
        <w:rPr>
          <w:rFonts w:ascii="Tahoma" w:eastAsia="American Typewriter" w:hAnsi="Tahoma" w:cs="Tahoma"/>
          <w:sz w:val="20"/>
          <w:szCs w:val="20"/>
        </w:rPr>
        <w:t>le</w:t>
      </w:r>
      <w:r w:rsidR="00852255" w:rsidRPr="00B004EE">
        <w:rPr>
          <w:rFonts w:ascii="Tahoma" w:eastAsia="American Typewriter" w:hAnsi="Tahoma" w:cs="Tahoma"/>
          <w:spacing w:val="21"/>
          <w:sz w:val="20"/>
          <w:szCs w:val="20"/>
        </w:rPr>
        <w:t>q</w:t>
      </w:r>
      <w:r w:rsidR="00852255" w:rsidRPr="00B004EE">
        <w:rPr>
          <w:rFonts w:ascii="Tahoma" w:eastAsia="American Typewriter" w:hAnsi="Tahoma" w:cs="Tahoma"/>
          <w:sz w:val="20"/>
          <w:szCs w:val="20"/>
        </w:rPr>
        <w:t>uel</w:t>
      </w:r>
      <w:r w:rsidR="00DB1635" w:rsidRPr="00B004EE">
        <w:rPr>
          <w:rFonts w:ascii="Tahoma" w:eastAsia="American Typewriter" w:hAnsi="Tahoma" w:cs="Tahoma"/>
          <w:spacing w:val="21"/>
          <w:sz w:val="20"/>
          <w:szCs w:val="20"/>
        </w:rPr>
        <w:t xml:space="preserve"> </w:t>
      </w:r>
      <w:r w:rsidRPr="00B004EE">
        <w:rPr>
          <w:rFonts w:ascii="Tahoma" w:eastAsia="American Typewriter" w:hAnsi="Tahoma" w:cs="Tahoma"/>
          <w:sz w:val="20"/>
          <w:szCs w:val="20"/>
        </w:rPr>
        <w:t>il</w:t>
      </w:r>
      <w:r w:rsidR="00DB1635" w:rsidRPr="00B004EE">
        <w:rPr>
          <w:rFonts w:ascii="Tahoma" w:eastAsia="American Typewriter" w:hAnsi="Tahoma" w:cs="Tahoma"/>
          <w:spacing w:val="21"/>
          <w:sz w:val="20"/>
          <w:szCs w:val="20"/>
        </w:rPr>
        <w:t xml:space="preserve"> </w:t>
      </w:r>
      <w:r w:rsidRPr="00B004EE">
        <w:rPr>
          <w:rFonts w:ascii="Tahoma" w:eastAsia="American Typewriter" w:hAnsi="Tahoma" w:cs="Tahoma"/>
          <w:sz w:val="20"/>
          <w:szCs w:val="20"/>
        </w:rPr>
        <w:t>est</w:t>
      </w:r>
      <w:r w:rsidR="00DB1635" w:rsidRPr="00B004EE">
        <w:rPr>
          <w:rFonts w:ascii="Tahoma" w:eastAsia="American Typewriter" w:hAnsi="Tahoma" w:cs="Tahoma"/>
          <w:spacing w:val="20"/>
          <w:sz w:val="20"/>
          <w:szCs w:val="20"/>
        </w:rPr>
        <w:t xml:space="preserve"> </w:t>
      </w:r>
      <w:r w:rsidRPr="00B004EE">
        <w:rPr>
          <w:rFonts w:ascii="Tahoma" w:eastAsia="American Typewriter" w:hAnsi="Tahoma" w:cs="Tahoma"/>
          <w:sz w:val="20"/>
          <w:szCs w:val="20"/>
        </w:rPr>
        <w:t>autorisé</w:t>
      </w:r>
      <w:r w:rsidR="00DB1635" w:rsidRPr="00B004EE">
        <w:rPr>
          <w:rFonts w:ascii="Tahoma" w:eastAsia="American Typewriter" w:hAnsi="Tahoma" w:cs="Tahoma"/>
          <w:spacing w:val="20"/>
          <w:sz w:val="20"/>
          <w:szCs w:val="20"/>
        </w:rPr>
        <w:t xml:space="preserve"> </w:t>
      </w:r>
      <w:r w:rsidRPr="00B004EE">
        <w:rPr>
          <w:rFonts w:ascii="Tahoma" w:eastAsia="American Typewriter" w:hAnsi="Tahoma" w:cs="Tahoma"/>
          <w:sz w:val="20"/>
          <w:szCs w:val="20"/>
        </w:rPr>
        <w:t>dans</w:t>
      </w:r>
      <w:r w:rsidR="00DB1635" w:rsidRPr="00B004EE">
        <w:rPr>
          <w:rFonts w:ascii="Tahoma" w:eastAsia="American Typewriter" w:hAnsi="Tahoma" w:cs="Tahoma"/>
          <w:spacing w:val="20"/>
          <w:sz w:val="20"/>
          <w:szCs w:val="20"/>
        </w:rPr>
        <w:t xml:space="preserve"> </w:t>
      </w:r>
      <w:r w:rsidRPr="00B004EE">
        <w:rPr>
          <w:rFonts w:ascii="Tahoma" w:eastAsia="American Typewriter" w:hAnsi="Tahoma" w:cs="Tahoma"/>
          <w:sz w:val="20"/>
          <w:szCs w:val="20"/>
        </w:rPr>
        <w:t>le</w:t>
      </w:r>
      <w:r w:rsidR="00DB1635" w:rsidRPr="00B004EE">
        <w:rPr>
          <w:rFonts w:ascii="Tahoma" w:eastAsia="American Typewriter" w:hAnsi="Tahoma" w:cs="Tahoma"/>
          <w:spacing w:val="20"/>
          <w:sz w:val="20"/>
          <w:szCs w:val="20"/>
        </w:rPr>
        <w:t xml:space="preserve"> </w:t>
      </w:r>
      <w:r w:rsidRPr="00B004EE">
        <w:rPr>
          <w:rFonts w:ascii="Tahoma" w:eastAsia="American Typewriter" w:hAnsi="Tahoma" w:cs="Tahoma"/>
          <w:sz w:val="20"/>
          <w:szCs w:val="20"/>
        </w:rPr>
        <w:t>cadre</w:t>
      </w:r>
      <w:r w:rsidR="00DB1635" w:rsidRPr="00B004EE">
        <w:rPr>
          <w:rFonts w:ascii="Tahoma" w:eastAsia="American Typewriter" w:hAnsi="Tahoma" w:cs="Tahoma"/>
          <w:spacing w:val="19"/>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pacing w:val="19"/>
          <w:sz w:val="20"/>
          <w:szCs w:val="20"/>
        </w:rPr>
        <w:t xml:space="preserve"> </w:t>
      </w:r>
      <w:r w:rsidRPr="00B004EE">
        <w:rPr>
          <w:rFonts w:ascii="Tahoma" w:eastAsia="American Typewriter" w:hAnsi="Tahoma" w:cs="Tahoma"/>
          <w:sz w:val="20"/>
          <w:szCs w:val="20"/>
        </w:rPr>
        <w:t>la</w:t>
      </w:r>
      <w:r w:rsidR="00DB1635" w:rsidRPr="00B004EE">
        <w:rPr>
          <w:rFonts w:ascii="Tahoma" w:eastAsia="American Typewriter" w:hAnsi="Tahoma" w:cs="Tahoma"/>
          <w:spacing w:val="20"/>
          <w:sz w:val="20"/>
          <w:szCs w:val="20"/>
        </w:rPr>
        <w:t xml:space="preserve"> </w:t>
      </w:r>
      <w:r w:rsidRPr="00B004EE">
        <w:rPr>
          <w:rFonts w:ascii="Tahoma" w:eastAsia="American Typewriter" w:hAnsi="Tahoma" w:cs="Tahoma"/>
          <w:sz w:val="20"/>
          <w:szCs w:val="20"/>
        </w:rPr>
        <w:t>catégorie</w:t>
      </w:r>
      <w:r w:rsidR="00DB1635" w:rsidRPr="00B004EE">
        <w:rPr>
          <w:rFonts w:ascii="Tahoma" w:eastAsia="American Typewriter" w:hAnsi="Tahoma" w:cs="Tahoma"/>
          <w:spacing w:val="19"/>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pacing w:val="19"/>
          <w:sz w:val="20"/>
          <w:szCs w:val="20"/>
        </w:rPr>
        <w:t xml:space="preserve"> </w:t>
      </w:r>
      <w:r w:rsidRPr="00B004EE">
        <w:rPr>
          <w:rFonts w:ascii="Tahoma" w:eastAsia="American Typewriter" w:hAnsi="Tahoma" w:cs="Tahoma"/>
          <w:sz w:val="20"/>
          <w:szCs w:val="20"/>
        </w:rPr>
        <w:t>licence</w:t>
      </w:r>
      <w:r w:rsidR="00DB1635" w:rsidRPr="00B004EE">
        <w:rPr>
          <w:rFonts w:ascii="Tahoma" w:eastAsia="American Typewriter" w:hAnsi="Tahoma" w:cs="Tahoma"/>
          <w:spacing w:val="19"/>
          <w:sz w:val="20"/>
          <w:szCs w:val="20"/>
        </w:rPr>
        <w:t xml:space="preserve"> </w:t>
      </w:r>
      <w:r w:rsidRPr="00B004EE">
        <w:rPr>
          <w:rFonts w:ascii="Tahoma" w:eastAsia="American Typewriter" w:hAnsi="Tahoma" w:cs="Tahoma"/>
          <w:sz w:val="20"/>
          <w:szCs w:val="20"/>
        </w:rPr>
        <w:t>ou</w:t>
      </w:r>
      <w:r w:rsidR="00DB1635" w:rsidRPr="00B004EE">
        <w:rPr>
          <w:rFonts w:ascii="Tahoma" w:eastAsia="American Typewriter" w:hAnsi="Tahoma" w:cs="Tahoma"/>
          <w:spacing w:val="19"/>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w w:val="94"/>
          <w:sz w:val="20"/>
          <w:szCs w:val="20"/>
        </w:rPr>
        <w:t xml:space="preserve"> </w:t>
      </w:r>
      <w:r w:rsidRPr="00B004EE">
        <w:rPr>
          <w:rFonts w:ascii="Tahoma" w:eastAsia="American Typewriter" w:hAnsi="Tahoma" w:cs="Tahoma"/>
          <w:sz w:val="20"/>
          <w:szCs w:val="20"/>
        </w:rPr>
        <w:t>l’autorisation</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dont</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il</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est</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titulaire</w:t>
      </w:r>
      <w:r w:rsidR="00DB1635" w:rsidRPr="00B004EE">
        <w:rPr>
          <w:rFonts w:ascii="Tahoma" w:eastAsia="American Typewriter" w:hAnsi="Tahoma" w:cs="Tahoma"/>
          <w:spacing w:val="26"/>
          <w:sz w:val="20"/>
          <w:szCs w:val="20"/>
        </w:rPr>
        <w:t xml:space="preserve"> </w:t>
      </w:r>
      <w:r w:rsidRPr="00B004EE">
        <w:rPr>
          <w:rFonts w:ascii="Tahoma" w:eastAsia="American Typewriter" w:hAnsi="Tahoma" w:cs="Tahoma"/>
          <w:sz w:val="20"/>
          <w:szCs w:val="20"/>
        </w:rPr>
        <w:t>;</w:t>
      </w:r>
    </w:p>
    <w:p w14:paraId="3E280B3E" w14:textId="064ABC70" w:rsidR="001E7C3C" w:rsidRPr="00B004EE" w:rsidRDefault="001E7C3C" w:rsidP="00420DDA">
      <w:pPr>
        <w:pStyle w:val="Paragraphedeliste"/>
        <w:widowControl w:val="0"/>
        <w:numPr>
          <w:ilvl w:val="0"/>
          <w:numId w:val="31"/>
        </w:numPr>
        <w:tabs>
          <w:tab w:val="left" w:pos="870"/>
        </w:tabs>
        <w:ind w:right="165"/>
        <w:jc w:val="both"/>
        <w:rPr>
          <w:rFonts w:ascii="Tahoma" w:eastAsia="American Typewriter" w:hAnsi="Tahoma" w:cs="Tahoma"/>
          <w:sz w:val="20"/>
          <w:szCs w:val="20"/>
        </w:rPr>
      </w:pPr>
      <w:proofErr w:type="gramStart"/>
      <w:r w:rsidRPr="00B004EE">
        <w:rPr>
          <w:rFonts w:ascii="Tahoma" w:hAnsi="Tahoma" w:cs="Tahoma"/>
          <w:sz w:val="20"/>
          <w:szCs w:val="20"/>
        </w:rPr>
        <w:t>la</w:t>
      </w:r>
      <w:proofErr w:type="gramEnd"/>
      <w:r w:rsidR="00DB1635" w:rsidRPr="00B004EE">
        <w:rPr>
          <w:rFonts w:ascii="Tahoma" w:hAnsi="Tahoma" w:cs="Tahoma"/>
          <w:spacing w:val="-7"/>
          <w:sz w:val="20"/>
          <w:szCs w:val="20"/>
        </w:rPr>
        <w:t xml:space="preserve"> </w:t>
      </w:r>
      <w:r w:rsidRPr="00B004EE">
        <w:rPr>
          <w:rFonts w:ascii="Tahoma" w:hAnsi="Tahoma" w:cs="Tahoma"/>
          <w:sz w:val="20"/>
          <w:szCs w:val="20"/>
        </w:rPr>
        <w:t>pêche</w:t>
      </w:r>
      <w:r w:rsidR="00DB1635" w:rsidRPr="00B004EE">
        <w:rPr>
          <w:rFonts w:ascii="Tahoma" w:hAnsi="Tahoma" w:cs="Tahoma"/>
          <w:spacing w:val="-8"/>
          <w:sz w:val="20"/>
          <w:szCs w:val="20"/>
        </w:rPr>
        <w:t xml:space="preserve"> </w:t>
      </w:r>
      <w:r w:rsidRPr="00B004EE">
        <w:rPr>
          <w:rFonts w:ascii="Tahoma" w:hAnsi="Tahoma" w:cs="Tahoma"/>
          <w:sz w:val="20"/>
          <w:szCs w:val="20"/>
        </w:rPr>
        <w:t>dans</w:t>
      </w:r>
      <w:r w:rsidR="00DB1635" w:rsidRPr="00B004EE">
        <w:rPr>
          <w:rFonts w:ascii="Tahoma" w:hAnsi="Tahoma" w:cs="Tahoma"/>
          <w:spacing w:val="-8"/>
          <w:sz w:val="20"/>
          <w:szCs w:val="20"/>
        </w:rPr>
        <w:t xml:space="preserve"> </w:t>
      </w:r>
      <w:r w:rsidRPr="00B004EE">
        <w:rPr>
          <w:rFonts w:ascii="Tahoma" w:hAnsi="Tahoma" w:cs="Tahoma"/>
          <w:sz w:val="20"/>
          <w:szCs w:val="20"/>
        </w:rPr>
        <w:t>les</w:t>
      </w:r>
      <w:r w:rsidR="00DB1635" w:rsidRPr="00B004EE">
        <w:rPr>
          <w:rFonts w:ascii="Tahoma" w:hAnsi="Tahoma" w:cs="Tahoma"/>
          <w:spacing w:val="-8"/>
          <w:sz w:val="20"/>
          <w:szCs w:val="20"/>
        </w:rPr>
        <w:t xml:space="preserve"> </w:t>
      </w:r>
      <w:r w:rsidRPr="00B004EE">
        <w:rPr>
          <w:rFonts w:ascii="Tahoma" w:hAnsi="Tahoma" w:cs="Tahoma"/>
          <w:sz w:val="20"/>
          <w:szCs w:val="20"/>
        </w:rPr>
        <w:t>zones</w:t>
      </w:r>
      <w:r w:rsidR="00DB1635" w:rsidRPr="00B004EE">
        <w:rPr>
          <w:rFonts w:ascii="Tahoma" w:hAnsi="Tahoma" w:cs="Tahoma"/>
          <w:spacing w:val="-8"/>
          <w:sz w:val="20"/>
          <w:szCs w:val="20"/>
        </w:rPr>
        <w:t xml:space="preserve"> </w:t>
      </w:r>
      <w:r w:rsidRPr="00B004EE">
        <w:rPr>
          <w:rFonts w:ascii="Tahoma" w:hAnsi="Tahoma" w:cs="Tahoma"/>
          <w:sz w:val="20"/>
          <w:szCs w:val="20"/>
        </w:rPr>
        <w:t>interdites</w:t>
      </w:r>
      <w:r w:rsidR="00DB1635" w:rsidRPr="00B004EE">
        <w:rPr>
          <w:rFonts w:ascii="Tahoma" w:hAnsi="Tahoma" w:cs="Tahoma"/>
          <w:spacing w:val="-9"/>
          <w:sz w:val="20"/>
          <w:szCs w:val="20"/>
        </w:rPr>
        <w:t xml:space="preserve"> </w:t>
      </w:r>
      <w:r w:rsidRPr="00B004EE">
        <w:rPr>
          <w:rFonts w:ascii="Tahoma" w:hAnsi="Tahoma" w:cs="Tahoma"/>
          <w:sz w:val="20"/>
          <w:szCs w:val="20"/>
        </w:rPr>
        <w:t>ou</w:t>
      </w:r>
      <w:r w:rsidR="00DB1635" w:rsidRPr="00B004EE">
        <w:rPr>
          <w:rFonts w:ascii="Tahoma" w:hAnsi="Tahoma" w:cs="Tahoma"/>
          <w:spacing w:val="-9"/>
          <w:sz w:val="20"/>
          <w:szCs w:val="20"/>
        </w:rPr>
        <w:t xml:space="preserve"> </w:t>
      </w:r>
      <w:r w:rsidRPr="00B004EE">
        <w:rPr>
          <w:rFonts w:ascii="Tahoma" w:hAnsi="Tahoma" w:cs="Tahoma"/>
          <w:sz w:val="20"/>
          <w:szCs w:val="20"/>
        </w:rPr>
        <w:t>avec</w:t>
      </w:r>
      <w:r w:rsidR="00DB1635" w:rsidRPr="00B004EE">
        <w:rPr>
          <w:rFonts w:ascii="Tahoma" w:hAnsi="Tahoma" w:cs="Tahoma"/>
          <w:spacing w:val="-10"/>
          <w:sz w:val="20"/>
          <w:szCs w:val="20"/>
        </w:rPr>
        <w:t xml:space="preserve"> </w:t>
      </w:r>
      <w:r w:rsidRPr="00B004EE">
        <w:rPr>
          <w:rFonts w:ascii="Tahoma" w:hAnsi="Tahoma" w:cs="Tahoma"/>
          <w:sz w:val="20"/>
          <w:szCs w:val="20"/>
        </w:rPr>
        <w:t>des</w:t>
      </w:r>
      <w:r w:rsidR="00DB1635" w:rsidRPr="00B004EE">
        <w:rPr>
          <w:rFonts w:ascii="Tahoma" w:hAnsi="Tahoma" w:cs="Tahoma"/>
          <w:spacing w:val="-10"/>
          <w:sz w:val="20"/>
          <w:szCs w:val="20"/>
        </w:rPr>
        <w:t xml:space="preserve"> </w:t>
      </w:r>
      <w:r w:rsidRPr="00B004EE">
        <w:rPr>
          <w:rFonts w:ascii="Tahoma" w:hAnsi="Tahoma" w:cs="Tahoma"/>
          <w:sz w:val="20"/>
          <w:szCs w:val="20"/>
        </w:rPr>
        <w:t>engins</w:t>
      </w:r>
      <w:r w:rsidR="00DB1635" w:rsidRPr="00B004EE">
        <w:rPr>
          <w:rFonts w:ascii="Tahoma" w:hAnsi="Tahoma" w:cs="Tahoma"/>
          <w:spacing w:val="-10"/>
          <w:sz w:val="20"/>
          <w:szCs w:val="20"/>
        </w:rPr>
        <w:t xml:space="preserve"> </w:t>
      </w:r>
      <w:r w:rsidRPr="00B004EE">
        <w:rPr>
          <w:rFonts w:ascii="Tahoma" w:hAnsi="Tahoma" w:cs="Tahoma"/>
          <w:sz w:val="20"/>
          <w:szCs w:val="20"/>
        </w:rPr>
        <w:t>de</w:t>
      </w:r>
      <w:r w:rsidR="00DB1635" w:rsidRPr="00B004EE">
        <w:rPr>
          <w:rFonts w:ascii="Tahoma" w:hAnsi="Tahoma" w:cs="Tahoma"/>
          <w:spacing w:val="-9"/>
          <w:sz w:val="20"/>
          <w:szCs w:val="20"/>
        </w:rPr>
        <w:t xml:space="preserve"> </w:t>
      </w:r>
      <w:r w:rsidRPr="00B004EE">
        <w:rPr>
          <w:rFonts w:ascii="Tahoma" w:hAnsi="Tahoma" w:cs="Tahoma"/>
          <w:sz w:val="20"/>
          <w:szCs w:val="20"/>
        </w:rPr>
        <w:t>pêche</w:t>
      </w:r>
      <w:r w:rsidR="00DB1635" w:rsidRPr="00B004EE">
        <w:rPr>
          <w:rFonts w:ascii="Tahoma" w:hAnsi="Tahoma" w:cs="Tahoma"/>
          <w:spacing w:val="-9"/>
          <w:sz w:val="20"/>
          <w:szCs w:val="20"/>
        </w:rPr>
        <w:t xml:space="preserve"> </w:t>
      </w:r>
      <w:r w:rsidRPr="00B004EE">
        <w:rPr>
          <w:rFonts w:ascii="Tahoma" w:hAnsi="Tahoma" w:cs="Tahoma"/>
          <w:sz w:val="20"/>
          <w:szCs w:val="20"/>
        </w:rPr>
        <w:t>ou</w:t>
      </w:r>
      <w:r w:rsidR="00DB1635" w:rsidRPr="00B004EE">
        <w:rPr>
          <w:rFonts w:ascii="Tahoma" w:hAnsi="Tahoma" w:cs="Tahoma"/>
          <w:spacing w:val="-9"/>
          <w:sz w:val="20"/>
          <w:szCs w:val="20"/>
        </w:rPr>
        <w:t xml:space="preserve"> </w:t>
      </w:r>
      <w:r w:rsidRPr="00B004EE">
        <w:rPr>
          <w:rFonts w:ascii="Tahoma" w:hAnsi="Tahoma" w:cs="Tahoma"/>
          <w:sz w:val="20"/>
          <w:szCs w:val="20"/>
        </w:rPr>
        <w:t>technique</w:t>
      </w:r>
      <w:r w:rsidR="00DB1635" w:rsidRPr="00B004EE">
        <w:rPr>
          <w:rFonts w:ascii="Tahoma" w:hAnsi="Tahoma" w:cs="Tahoma"/>
          <w:w w:val="96"/>
          <w:sz w:val="20"/>
          <w:szCs w:val="20"/>
        </w:rPr>
        <w:t xml:space="preserve"> </w:t>
      </w:r>
      <w:r w:rsidRPr="00B004EE">
        <w:rPr>
          <w:rFonts w:ascii="Tahoma" w:hAnsi="Tahoma" w:cs="Tahoma"/>
          <w:sz w:val="20"/>
          <w:szCs w:val="20"/>
        </w:rPr>
        <w:t>prohibée</w:t>
      </w:r>
      <w:r w:rsidR="00DB1635" w:rsidRPr="00B004EE">
        <w:rPr>
          <w:rFonts w:ascii="Tahoma" w:hAnsi="Tahoma" w:cs="Tahoma"/>
          <w:spacing w:val="6"/>
          <w:sz w:val="20"/>
          <w:szCs w:val="20"/>
        </w:rPr>
        <w:t xml:space="preserve"> </w:t>
      </w:r>
      <w:r w:rsidRPr="00B004EE">
        <w:rPr>
          <w:rFonts w:ascii="Tahoma" w:hAnsi="Tahoma" w:cs="Tahoma"/>
          <w:sz w:val="20"/>
          <w:szCs w:val="20"/>
        </w:rPr>
        <w:t>;</w:t>
      </w:r>
    </w:p>
    <w:p w14:paraId="21440BD6" w14:textId="41CA49DB" w:rsidR="001E7C3C" w:rsidRPr="00B004EE" w:rsidRDefault="001E7C3C" w:rsidP="00420DDA">
      <w:pPr>
        <w:pStyle w:val="Paragraphedeliste"/>
        <w:widowControl w:val="0"/>
        <w:numPr>
          <w:ilvl w:val="0"/>
          <w:numId w:val="31"/>
        </w:numPr>
        <w:tabs>
          <w:tab w:val="left" w:pos="870"/>
        </w:tabs>
        <w:ind w:right="158"/>
        <w:jc w:val="both"/>
        <w:rPr>
          <w:rFonts w:ascii="Tahoma" w:eastAsia="American Typewriter" w:hAnsi="Tahoma" w:cs="Tahoma"/>
          <w:sz w:val="20"/>
          <w:szCs w:val="20"/>
        </w:rPr>
      </w:pPr>
      <w:proofErr w:type="gramStart"/>
      <w:r w:rsidRPr="00B004EE">
        <w:rPr>
          <w:rFonts w:ascii="Tahoma" w:eastAsia="American Typewriter" w:hAnsi="Tahoma" w:cs="Tahoma"/>
          <w:sz w:val="20"/>
          <w:szCs w:val="20"/>
        </w:rPr>
        <w:lastRenderedPageBreak/>
        <w:t>la</w:t>
      </w:r>
      <w:proofErr w:type="gramEnd"/>
      <w:r w:rsidR="00DB1635" w:rsidRPr="00B004EE">
        <w:rPr>
          <w:rFonts w:ascii="Tahoma" w:eastAsia="American Typewriter" w:hAnsi="Tahoma" w:cs="Tahoma"/>
          <w:spacing w:val="-10"/>
          <w:sz w:val="20"/>
          <w:szCs w:val="20"/>
        </w:rPr>
        <w:t xml:space="preserve"> </w:t>
      </w:r>
      <w:r w:rsidRPr="00B004EE">
        <w:rPr>
          <w:rFonts w:ascii="Tahoma" w:eastAsia="American Typewriter" w:hAnsi="Tahoma" w:cs="Tahoma"/>
          <w:sz w:val="20"/>
          <w:szCs w:val="20"/>
        </w:rPr>
        <w:t>détention</w:t>
      </w:r>
      <w:r w:rsidR="00DB1635" w:rsidRPr="00B004EE">
        <w:rPr>
          <w:rFonts w:ascii="Tahoma" w:eastAsia="American Typewriter" w:hAnsi="Tahoma" w:cs="Tahoma"/>
          <w:spacing w:val="-12"/>
          <w:sz w:val="20"/>
          <w:szCs w:val="20"/>
        </w:rPr>
        <w:t xml:space="preserve"> </w:t>
      </w:r>
      <w:r w:rsidRPr="00B004EE">
        <w:rPr>
          <w:rFonts w:ascii="Tahoma" w:eastAsia="American Typewriter" w:hAnsi="Tahoma" w:cs="Tahoma"/>
          <w:sz w:val="20"/>
          <w:szCs w:val="20"/>
        </w:rPr>
        <w:t>à</w:t>
      </w:r>
      <w:r w:rsidR="00DB1635" w:rsidRPr="00B004EE">
        <w:rPr>
          <w:rFonts w:ascii="Tahoma" w:eastAsia="American Typewriter" w:hAnsi="Tahoma" w:cs="Tahoma"/>
          <w:spacing w:val="-12"/>
          <w:sz w:val="20"/>
          <w:szCs w:val="20"/>
        </w:rPr>
        <w:t xml:space="preserve"> </w:t>
      </w:r>
      <w:r w:rsidRPr="00B004EE">
        <w:rPr>
          <w:rFonts w:ascii="Tahoma" w:eastAsia="American Typewriter" w:hAnsi="Tahoma" w:cs="Tahoma"/>
          <w:sz w:val="20"/>
          <w:szCs w:val="20"/>
        </w:rPr>
        <w:t>bord</w:t>
      </w:r>
      <w:r w:rsidR="00DB1635" w:rsidRPr="00B004EE">
        <w:rPr>
          <w:rFonts w:ascii="Tahoma" w:eastAsia="American Typewriter" w:hAnsi="Tahoma" w:cs="Tahoma"/>
          <w:spacing w:val="-13"/>
          <w:sz w:val="20"/>
          <w:szCs w:val="20"/>
        </w:rPr>
        <w:t xml:space="preserve"> </w:t>
      </w:r>
      <w:r w:rsidRPr="00B004EE">
        <w:rPr>
          <w:rFonts w:ascii="Tahoma" w:eastAsia="American Typewriter" w:hAnsi="Tahoma" w:cs="Tahoma"/>
          <w:sz w:val="20"/>
          <w:szCs w:val="20"/>
        </w:rPr>
        <w:t>le</w:t>
      </w:r>
      <w:r w:rsidR="00DB1635" w:rsidRPr="00B004EE">
        <w:rPr>
          <w:rFonts w:ascii="Tahoma" w:eastAsia="American Typewriter" w:hAnsi="Tahoma" w:cs="Tahoma"/>
          <w:spacing w:val="-12"/>
          <w:sz w:val="20"/>
          <w:szCs w:val="20"/>
        </w:rPr>
        <w:t xml:space="preserve"> </w:t>
      </w:r>
      <w:r w:rsidRPr="00B004EE">
        <w:rPr>
          <w:rFonts w:ascii="Tahoma" w:eastAsia="American Typewriter" w:hAnsi="Tahoma" w:cs="Tahoma"/>
          <w:sz w:val="20"/>
          <w:szCs w:val="20"/>
        </w:rPr>
        <w:t>transport</w:t>
      </w:r>
      <w:r w:rsidR="00DB1635" w:rsidRPr="00B004EE">
        <w:rPr>
          <w:rFonts w:ascii="Tahoma" w:eastAsia="American Typewriter" w:hAnsi="Tahoma" w:cs="Tahoma"/>
          <w:spacing w:val="-12"/>
          <w:sz w:val="20"/>
          <w:szCs w:val="20"/>
        </w:rPr>
        <w:t xml:space="preserve"> </w:t>
      </w:r>
      <w:r w:rsidRPr="00B004EE">
        <w:rPr>
          <w:rFonts w:ascii="Tahoma" w:eastAsia="American Typewriter" w:hAnsi="Tahoma" w:cs="Tahoma"/>
          <w:sz w:val="20"/>
          <w:szCs w:val="20"/>
        </w:rPr>
        <w:t>ou</w:t>
      </w:r>
      <w:r w:rsidR="00DB1635" w:rsidRPr="00B004EE">
        <w:rPr>
          <w:rFonts w:ascii="Tahoma" w:eastAsia="American Typewriter" w:hAnsi="Tahoma" w:cs="Tahoma"/>
          <w:spacing w:val="-12"/>
          <w:sz w:val="20"/>
          <w:szCs w:val="20"/>
        </w:rPr>
        <w:t xml:space="preserve"> </w:t>
      </w:r>
      <w:r w:rsidRPr="00B004EE">
        <w:rPr>
          <w:rFonts w:ascii="Tahoma" w:eastAsia="American Typewriter" w:hAnsi="Tahoma" w:cs="Tahoma"/>
          <w:sz w:val="20"/>
          <w:szCs w:val="20"/>
        </w:rPr>
        <w:t>l’emploi</w:t>
      </w:r>
      <w:r w:rsidR="00DB1635" w:rsidRPr="00B004EE">
        <w:rPr>
          <w:rFonts w:ascii="Tahoma" w:eastAsia="American Typewriter" w:hAnsi="Tahoma" w:cs="Tahoma"/>
          <w:spacing w:val="-12"/>
          <w:sz w:val="20"/>
          <w:szCs w:val="20"/>
        </w:rPr>
        <w:t xml:space="preserve"> </w:t>
      </w:r>
      <w:r w:rsidRPr="00B004EE">
        <w:rPr>
          <w:rFonts w:ascii="Tahoma" w:eastAsia="American Typewriter" w:hAnsi="Tahoma" w:cs="Tahoma"/>
          <w:sz w:val="20"/>
          <w:szCs w:val="20"/>
        </w:rPr>
        <w:t>d’explosifs</w:t>
      </w:r>
      <w:r w:rsidR="00DB1635" w:rsidRPr="00B004EE">
        <w:rPr>
          <w:rFonts w:ascii="Tahoma" w:eastAsia="American Typewriter" w:hAnsi="Tahoma" w:cs="Tahoma"/>
          <w:spacing w:val="-13"/>
          <w:sz w:val="20"/>
          <w:szCs w:val="20"/>
        </w:rPr>
        <w:t xml:space="preserve"> </w:t>
      </w:r>
      <w:r w:rsidRPr="00B004EE">
        <w:rPr>
          <w:rFonts w:ascii="Tahoma" w:eastAsia="American Typewriter" w:hAnsi="Tahoma" w:cs="Tahoma"/>
          <w:sz w:val="20"/>
          <w:szCs w:val="20"/>
        </w:rPr>
        <w:t>ou</w:t>
      </w:r>
      <w:r w:rsidR="00DB1635" w:rsidRPr="00B004EE">
        <w:rPr>
          <w:rFonts w:ascii="Tahoma" w:eastAsia="American Typewriter" w:hAnsi="Tahoma" w:cs="Tahoma"/>
          <w:spacing w:val="-12"/>
          <w:sz w:val="20"/>
          <w:szCs w:val="20"/>
        </w:rPr>
        <w:t xml:space="preserve"> </w:t>
      </w:r>
      <w:r w:rsidRPr="00B004EE">
        <w:rPr>
          <w:rFonts w:ascii="Tahoma" w:eastAsia="American Typewriter" w:hAnsi="Tahoma" w:cs="Tahoma"/>
          <w:sz w:val="20"/>
          <w:szCs w:val="20"/>
        </w:rPr>
        <w:t>autres</w:t>
      </w:r>
      <w:r w:rsidR="00DB1635" w:rsidRPr="00B004EE">
        <w:rPr>
          <w:rFonts w:ascii="Tahoma" w:eastAsia="American Typewriter" w:hAnsi="Tahoma" w:cs="Tahoma"/>
          <w:spacing w:val="-12"/>
          <w:sz w:val="20"/>
          <w:szCs w:val="20"/>
        </w:rPr>
        <w:t xml:space="preserve"> </w:t>
      </w:r>
      <w:r w:rsidRPr="00B004EE">
        <w:rPr>
          <w:rFonts w:ascii="Tahoma" w:eastAsia="American Typewriter" w:hAnsi="Tahoma" w:cs="Tahoma"/>
          <w:sz w:val="20"/>
          <w:szCs w:val="20"/>
        </w:rPr>
        <w:t>substances</w:t>
      </w:r>
      <w:r w:rsidR="00DB1635" w:rsidRPr="00B004EE">
        <w:rPr>
          <w:rFonts w:ascii="Tahoma" w:eastAsia="American Typewriter" w:hAnsi="Tahoma" w:cs="Tahoma"/>
          <w:w w:val="94"/>
          <w:sz w:val="20"/>
          <w:szCs w:val="20"/>
        </w:rPr>
        <w:t xml:space="preserve"> </w:t>
      </w:r>
      <w:r w:rsidRPr="00B004EE">
        <w:rPr>
          <w:rFonts w:ascii="Tahoma" w:eastAsia="American Typewriter" w:hAnsi="Tahoma" w:cs="Tahoma"/>
          <w:sz w:val="20"/>
          <w:szCs w:val="20"/>
        </w:rPr>
        <w:t>toxiques</w:t>
      </w:r>
      <w:r w:rsidR="00DB1635" w:rsidRPr="00B004EE">
        <w:rPr>
          <w:rFonts w:ascii="Tahoma" w:eastAsia="American Typewriter" w:hAnsi="Tahoma" w:cs="Tahoma"/>
          <w:spacing w:val="-23"/>
          <w:sz w:val="20"/>
          <w:szCs w:val="20"/>
        </w:rPr>
        <w:t xml:space="preserve"> </w:t>
      </w:r>
      <w:r w:rsidRPr="00B004EE">
        <w:rPr>
          <w:rFonts w:ascii="Tahoma" w:eastAsia="American Typewriter" w:hAnsi="Tahoma" w:cs="Tahoma"/>
          <w:sz w:val="20"/>
          <w:szCs w:val="20"/>
        </w:rPr>
        <w:t>ou</w:t>
      </w:r>
      <w:r w:rsidR="00DB1635" w:rsidRPr="00B004EE">
        <w:rPr>
          <w:rFonts w:ascii="Tahoma" w:eastAsia="American Typewriter" w:hAnsi="Tahoma" w:cs="Tahoma"/>
          <w:spacing w:val="-22"/>
          <w:sz w:val="20"/>
          <w:szCs w:val="20"/>
        </w:rPr>
        <w:t xml:space="preserve"> </w:t>
      </w:r>
      <w:r w:rsidRPr="00B004EE">
        <w:rPr>
          <w:rFonts w:ascii="Tahoma" w:eastAsia="American Typewriter" w:hAnsi="Tahoma" w:cs="Tahoma"/>
          <w:sz w:val="20"/>
          <w:szCs w:val="20"/>
        </w:rPr>
        <w:t>non</w:t>
      </w:r>
      <w:r w:rsidR="00DB1635" w:rsidRPr="00B004EE">
        <w:rPr>
          <w:rFonts w:ascii="Tahoma" w:eastAsia="American Typewriter" w:hAnsi="Tahoma" w:cs="Tahoma"/>
          <w:spacing w:val="-22"/>
          <w:sz w:val="20"/>
          <w:szCs w:val="20"/>
        </w:rPr>
        <w:t xml:space="preserve"> </w:t>
      </w:r>
      <w:r w:rsidRPr="00B004EE">
        <w:rPr>
          <w:rFonts w:ascii="Tahoma" w:eastAsia="American Typewriter" w:hAnsi="Tahoma" w:cs="Tahoma"/>
          <w:sz w:val="20"/>
          <w:szCs w:val="20"/>
        </w:rPr>
        <w:t>autorisées,</w:t>
      </w:r>
      <w:r w:rsidR="00DB1635" w:rsidRPr="00B004EE">
        <w:rPr>
          <w:rFonts w:ascii="Tahoma" w:eastAsia="American Typewriter" w:hAnsi="Tahoma" w:cs="Tahoma"/>
          <w:spacing w:val="-22"/>
          <w:sz w:val="20"/>
          <w:szCs w:val="20"/>
        </w:rPr>
        <w:t xml:space="preserve"> </w:t>
      </w:r>
      <w:r w:rsidRPr="00B004EE">
        <w:rPr>
          <w:rFonts w:ascii="Tahoma" w:eastAsia="American Typewriter" w:hAnsi="Tahoma" w:cs="Tahoma"/>
          <w:sz w:val="20"/>
          <w:szCs w:val="20"/>
        </w:rPr>
        <w:t>ou</w:t>
      </w:r>
      <w:r w:rsidR="00DB1635" w:rsidRPr="00B004EE">
        <w:rPr>
          <w:rFonts w:ascii="Tahoma" w:eastAsia="American Typewriter" w:hAnsi="Tahoma" w:cs="Tahoma"/>
          <w:spacing w:val="-22"/>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pacing w:val="-22"/>
          <w:sz w:val="20"/>
          <w:szCs w:val="20"/>
        </w:rPr>
        <w:t xml:space="preserve"> </w:t>
      </w:r>
      <w:r w:rsidRPr="00B004EE">
        <w:rPr>
          <w:rFonts w:ascii="Tahoma" w:eastAsia="American Typewriter" w:hAnsi="Tahoma" w:cs="Tahoma"/>
          <w:sz w:val="20"/>
          <w:szCs w:val="20"/>
        </w:rPr>
        <w:t>tous</w:t>
      </w:r>
      <w:r w:rsidR="00DB1635" w:rsidRPr="00B004EE">
        <w:rPr>
          <w:rFonts w:ascii="Tahoma" w:eastAsia="American Typewriter" w:hAnsi="Tahoma" w:cs="Tahoma"/>
          <w:spacing w:val="-22"/>
          <w:sz w:val="20"/>
          <w:szCs w:val="20"/>
        </w:rPr>
        <w:t xml:space="preserve"> </w:t>
      </w:r>
      <w:r w:rsidRPr="00B004EE">
        <w:rPr>
          <w:rFonts w:ascii="Tahoma" w:eastAsia="American Typewriter" w:hAnsi="Tahoma" w:cs="Tahoma"/>
          <w:sz w:val="20"/>
          <w:szCs w:val="20"/>
        </w:rPr>
        <w:t>moyens</w:t>
      </w:r>
      <w:r w:rsidR="00DB1635" w:rsidRPr="00B004EE">
        <w:rPr>
          <w:rFonts w:ascii="Tahoma" w:eastAsia="American Typewriter" w:hAnsi="Tahoma" w:cs="Tahoma"/>
          <w:spacing w:val="-24"/>
          <w:sz w:val="20"/>
          <w:szCs w:val="20"/>
        </w:rPr>
        <w:t xml:space="preserve"> </w:t>
      </w:r>
      <w:r w:rsidRPr="00B004EE">
        <w:rPr>
          <w:rFonts w:ascii="Tahoma" w:eastAsia="American Typewriter" w:hAnsi="Tahoma" w:cs="Tahoma"/>
          <w:sz w:val="20"/>
          <w:szCs w:val="20"/>
        </w:rPr>
        <w:t>ou</w:t>
      </w:r>
      <w:r w:rsidR="00DB1635" w:rsidRPr="00B004EE">
        <w:rPr>
          <w:rFonts w:ascii="Tahoma" w:eastAsia="American Typewriter" w:hAnsi="Tahoma" w:cs="Tahoma"/>
          <w:spacing w:val="-24"/>
          <w:sz w:val="20"/>
          <w:szCs w:val="20"/>
        </w:rPr>
        <w:t xml:space="preserve"> </w:t>
      </w:r>
      <w:r w:rsidRPr="00B004EE">
        <w:rPr>
          <w:rFonts w:ascii="Tahoma" w:eastAsia="American Typewriter" w:hAnsi="Tahoma" w:cs="Tahoma"/>
          <w:sz w:val="20"/>
          <w:szCs w:val="20"/>
        </w:rPr>
        <w:t>dispositifs</w:t>
      </w:r>
      <w:r w:rsidR="00DB1635" w:rsidRPr="00B004EE">
        <w:rPr>
          <w:rFonts w:ascii="Tahoma" w:eastAsia="American Typewriter" w:hAnsi="Tahoma" w:cs="Tahoma"/>
          <w:spacing w:val="-25"/>
          <w:sz w:val="20"/>
          <w:szCs w:val="20"/>
        </w:rPr>
        <w:t xml:space="preserve"> </w:t>
      </w:r>
      <w:r w:rsidRPr="00B004EE">
        <w:rPr>
          <w:rFonts w:ascii="Tahoma" w:eastAsia="American Typewriter" w:hAnsi="Tahoma" w:cs="Tahoma"/>
          <w:sz w:val="20"/>
          <w:szCs w:val="20"/>
        </w:rPr>
        <w:t>ayant</w:t>
      </w:r>
      <w:r w:rsidR="00DB1635" w:rsidRPr="00B004EE">
        <w:rPr>
          <w:rFonts w:ascii="Tahoma" w:eastAsia="American Typewriter" w:hAnsi="Tahoma" w:cs="Tahoma"/>
          <w:spacing w:val="-24"/>
          <w:sz w:val="20"/>
          <w:szCs w:val="20"/>
        </w:rPr>
        <w:t xml:space="preserve"> </w:t>
      </w:r>
      <w:r w:rsidRPr="00B004EE">
        <w:rPr>
          <w:rFonts w:ascii="Tahoma" w:eastAsia="American Typewriter" w:hAnsi="Tahoma" w:cs="Tahoma"/>
          <w:sz w:val="20"/>
          <w:szCs w:val="20"/>
        </w:rPr>
        <w:t>pour</w:t>
      </w:r>
      <w:r w:rsidR="00DB1635" w:rsidRPr="00B004EE">
        <w:rPr>
          <w:rFonts w:ascii="Tahoma" w:eastAsia="American Typewriter" w:hAnsi="Tahoma" w:cs="Tahoma"/>
          <w:spacing w:val="-24"/>
          <w:sz w:val="20"/>
          <w:szCs w:val="20"/>
        </w:rPr>
        <w:t xml:space="preserve"> </w:t>
      </w:r>
      <w:r w:rsidRPr="00B004EE">
        <w:rPr>
          <w:rFonts w:ascii="Tahoma" w:eastAsia="American Typewriter" w:hAnsi="Tahoma" w:cs="Tahoma"/>
          <w:sz w:val="20"/>
          <w:szCs w:val="20"/>
        </w:rPr>
        <w:t>effet</w:t>
      </w:r>
      <w:r w:rsidR="00DB1635" w:rsidRPr="00B004EE">
        <w:rPr>
          <w:rFonts w:ascii="Tahoma" w:eastAsia="American Typewriter" w:hAnsi="Tahoma" w:cs="Tahoma"/>
          <w:w w:val="95"/>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réduire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l’action</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sélective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engins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pêche</w:t>
      </w:r>
      <w:r w:rsidR="00DB1635" w:rsidRPr="00B004EE">
        <w:rPr>
          <w:rFonts w:ascii="Tahoma" w:eastAsia="American Typewriter" w:hAnsi="Tahoma" w:cs="Tahoma"/>
          <w:spacing w:val="10"/>
          <w:sz w:val="20"/>
          <w:szCs w:val="20"/>
        </w:rPr>
        <w:t xml:space="preserve"> </w:t>
      </w:r>
      <w:r w:rsidRPr="00B004EE">
        <w:rPr>
          <w:rFonts w:ascii="Tahoma" w:eastAsia="American Typewriter" w:hAnsi="Tahoma" w:cs="Tahoma"/>
          <w:sz w:val="20"/>
          <w:szCs w:val="20"/>
        </w:rPr>
        <w:t>;</w:t>
      </w:r>
    </w:p>
    <w:p w14:paraId="4A86E111" w14:textId="43E80178" w:rsidR="001E7C3C" w:rsidRPr="00B004EE" w:rsidRDefault="001E7C3C" w:rsidP="00420DDA">
      <w:pPr>
        <w:pStyle w:val="Paragraphedeliste"/>
        <w:widowControl w:val="0"/>
        <w:numPr>
          <w:ilvl w:val="0"/>
          <w:numId w:val="31"/>
        </w:numPr>
        <w:tabs>
          <w:tab w:val="left" w:pos="870"/>
        </w:tabs>
        <w:ind w:right="162"/>
        <w:jc w:val="both"/>
        <w:rPr>
          <w:rFonts w:ascii="Tahoma" w:eastAsia="American Typewriter" w:hAnsi="Tahoma" w:cs="Tahoma"/>
          <w:sz w:val="20"/>
          <w:szCs w:val="20"/>
        </w:rPr>
      </w:pPr>
      <w:proofErr w:type="gramStart"/>
      <w:r w:rsidRPr="00B004EE">
        <w:rPr>
          <w:rFonts w:ascii="Tahoma" w:eastAsia="American Typewriter" w:hAnsi="Tahoma" w:cs="Tahoma"/>
          <w:sz w:val="20"/>
          <w:szCs w:val="20"/>
        </w:rPr>
        <w:t>la</w:t>
      </w:r>
      <w:proofErr w:type="gramEnd"/>
      <w:r w:rsidR="00DB1635" w:rsidRPr="00B004EE">
        <w:rPr>
          <w:rFonts w:ascii="Tahoma" w:eastAsia="American Typewriter" w:hAnsi="Tahoma" w:cs="Tahoma"/>
          <w:spacing w:val="52"/>
          <w:sz w:val="20"/>
          <w:szCs w:val="20"/>
        </w:rPr>
        <w:t xml:space="preserve"> </w:t>
      </w:r>
      <w:r w:rsidRPr="00B004EE">
        <w:rPr>
          <w:rFonts w:ascii="Tahoma" w:eastAsia="American Typewriter" w:hAnsi="Tahoma" w:cs="Tahoma"/>
          <w:sz w:val="20"/>
          <w:szCs w:val="20"/>
        </w:rPr>
        <w:t>capture,</w:t>
      </w:r>
      <w:r w:rsidR="00DB1635" w:rsidRPr="00B004EE">
        <w:rPr>
          <w:rFonts w:ascii="Tahoma" w:eastAsia="American Typewriter" w:hAnsi="Tahoma" w:cs="Tahoma"/>
          <w:spacing w:val="52"/>
          <w:sz w:val="20"/>
          <w:szCs w:val="20"/>
        </w:rPr>
        <w:t xml:space="preserve"> </w:t>
      </w:r>
      <w:r w:rsidRPr="00B004EE">
        <w:rPr>
          <w:rFonts w:ascii="Tahoma" w:eastAsia="American Typewriter" w:hAnsi="Tahoma" w:cs="Tahoma"/>
          <w:sz w:val="20"/>
          <w:szCs w:val="20"/>
        </w:rPr>
        <w:t>la</w:t>
      </w:r>
      <w:r w:rsidR="00DB1635" w:rsidRPr="00B004EE">
        <w:rPr>
          <w:rFonts w:ascii="Tahoma" w:eastAsia="American Typewriter" w:hAnsi="Tahoma" w:cs="Tahoma"/>
          <w:spacing w:val="52"/>
          <w:sz w:val="20"/>
          <w:szCs w:val="20"/>
        </w:rPr>
        <w:t xml:space="preserve"> </w:t>
      </w:r>
      <w:r w:rsidRPr="00B004EE">
        <w:rPr>
          <w:rFonts w:ascii="Tahoma" w:eastAsia="American Typewriter" w:hAnsi="Tahoma" w:cs="Tahoma"/>
          <w:sz w:val="20"/>
          <w:szCs w:val="20"/>
        </w:rPr>
        <w:t>détention,</w:t>
      </w:r>
      <w:r w:rsidR="00DB1635" w:rsidRPr="00B004EE">
        <w:rPr>
          <w:rFonts w:ascii="Tahoma" w:eastAsia="American Typewriter" w:hAnsi="Tahoma" w:cs="Tahoma"/>
          <w:spacing w:val="51"/>
          <w:sz w:val="20"/>
          <w:szCs w:val="20"/>
        </w:rPr>
        <w:t xml:space="preserve"> </w:t>
      </w:r>
      <w:r w:rsidRPr="00B004EE">
        <w:rPr>
          <w:rFonts w:ascii="Tahoma" w:eastAsia="American Typewriter" w:hAnsi="Tahoma" w:cs="Tahoma"/>
          <w:sz w:val="20"/>
          <w:szCs w:val="20"/>
        </w:rPr>
        <w:t>le</w:t>
      </w:r>
      <w:r w:rsidR="00DB1635" w:rsidRPr="00B004EE">
        <w:rPr>
          <w:rFonts w:ascii="Tahoma" w:eastAsia="American Typewriter" w:hAnsi="Tahoma" w:cs="Tahoma"/>
          <w:spacing w:val="51"/>
          <w:sz w:val="20"/>
          <w:szCs w:val="20"/>
        </w:rPr>
        <w:t xml:space="preserve"> </w:t>
      </w:r>
      <w:r w:rsidRPr="00B004EE">
        <w:rPr>
          <w:rFonts w:ascii="Tahoma" w:eastAsia="American Typewriter" w:hAnsi="Tahoma" w:cs="Tahoma"/>
          <w:sz w:val="20"/>
          <w:szCs w:val="20"/>
        </w:rPr>
        <w:t>traitement,</w:t>
      </w:r>
      <w:r w:rsidR="00DB1635" w:rsidRPr="00B004EE">
        <w:rPr>
          <w:rFonts w:ascii="Tahoma" w:eastAsia="American Typewriter" w:hAnsi="Tahoma" w:cs="Tahoma"/>
          <w:spacing w:val="52"/>
          <w:sz w:val="20"/>
          <w:szCs w:val="20"/>
        </w:rPr>
        <w:t xml:space="preserve"> </w:t>
      </w:r>
      <w:r w:rsidRPr="00B004EE">
        <w:rPr>
          <w:rFonts w:ascii="Tahoma" w:eastAsia="American Typewriter" w:hAnsi="Tahoma" w:cs="Tahoma"/>
          <w:sz w:val="20"/>
          <w:szCs w:val="20"/>
        </w:rPr>
        <w:t>le</w:t>
      </w:r>
      <w:r w:rsidR="00DB1635" w:rsidRPr="00B004EE">
        <w:rPr>
          <w:rFonts w:ascii="Tahoma" w:eastAsia="American Typewriter" w:hAnsi="Tahoma" w:cs="Tahoma"/>
          <w:spacing w:val="51"/>
          <w:sz w:val="20"/>
          <w:szCs w:val="20"/>
        </w:rPr>
        <w:t xml:space="preserve"> </w:t>
      </w:r>
      <w:r w:rsidRPr="00B004EE">
        <w:rPr>
          <w:rFonts w:ascii="Tahoma" w:eastAsia="American Typewriter" w:hAnsi="Tahoma" w:cs="Tahoma"/>
          <w:sz w:val="20"/>
          <w:szCs w:val="20"/>
        </w:rPr>
        <w:t>débarquement,</w:t>
      </w:r>
      <w:r w:rsidR="00DB1635" w:rsidRPr="00B004EE">
        <w:rPr>
          <w:rFonts w:ascii="Tahoma" w:eastAsia="American Typewriter" w:hAnsi="Tahoma" w:cs="Tahoma"/>
          <w:spacing w:val="51"/>
          <w:sz w:val="20"/>
          <w:szCs w:val="20"/>
        </w:rPr>
        <w:t xml:space="preserve"> </w:t>
      </w:r>
      <w:r w:rsidRPr="00B004EE">
        <w:rPr>
          <w:rFonts w:ascii="Tahoma" w:eastAsia="American Typewriter" w:hAnsi="Tahoma" w:cs="Tahoma"/>
          <w:sz w:val="20"/>
          <w:szCs w:val="20"/>
        </w:rPr>
        <w:t>la</w:t>
      </w:r>
      <w:r w:rsidR="00DB1635" w:rsidRPr="00B004EE">
        <w:rPr>
          <w:rFonts w:ascii="Tahoma" w:eastAsia="American Typewriter" w:hAnsi="Tahoma" w:cs="Tahoma"/>
          <w:spacing w:val="52"/>
          <w:sz w:val="20"/>
          <w:szCs w:val="20"/>
        </w:rPr>
        <w:t xml:space="preserve"> </w:t>
      </w:r>
      <w:r w:rsidRPr="00B004EE">
        <w:rPr>
          <w:rFonts w:ascii="Tahoma" w:eastAsia="American Typewriter" w:hAnsi="Tahoma" w:cs="Tahoma"/>
          <w:sz w:val="20"/>
          <w:szCs w:val="20"/>
        </w:rPr>
        <w:t>vente</w:t>
      </w:r>
      <w:r w:rsidR="00DB1635" w:rsidRPr="00B004EE">
        <w:rPr>
          <w:rFonts w:ascii="Tahoma" w:eastAsia="American Typewriter" w:hAnsi="Tahoma" w:cs="Tahoma"/>
          <w:spacing w:val="51"/>
          <w:sz w:val="20"/>
          <w:szCs w:val="20"/>
        </w:rPr>
        <w:t xml:space="preserve"> </w:t>
      </w:r>
      <w:r w:rsidRPr="00B004EE">
        <w:rPr>
          <w:rFonts w:ascii="Tahoma" w:eastAsia="American Typewriter" w:hAnsi="Tahoma" w:cs="Tahoma"/>
          <w:sz w:val="20"/>
          <w:szCs w:val="20"/>
        </w:rPr>
        <w:t>et</w:t>
      </w:r>
      <w:r w:rsidR="00DB1635" w:rsidRPr="00B004EE">
        <w:rPr>
          <w:rFonts w:ascii="Tahoma" w:eastAsia="American Typewriter" w:hAnsi="Tahoma" w:cs="Tahoma"/>
          <w:spacing w:val="51"/>
          <w:sz w:val="20"/>
          <w:szCs w:val="20"/>
        </w:rPr>
        <w:t xml:space="preserve"> </w:t>
      </w:r>
      <w:r w:rsidRPr="00B004EE">
        <w:rPr>
          <w:rFonts w:ascii="Tahoma" w:eastAsia="American Typewriter" w:hAnsi="Tahoma" w:cs="Tahoma"/>
          <w:sz w:val="20"/>
          <w:szCs w:val="20"/>
        </w:rPr>
        <w:t>la</w:t>
      </w:r>
      <w:r w:rsidR="00DB1635" w:rsidRPr="00B004EE">
        <w:rPr>
          <w:rFonts w:ascii="Tahoma" w:eastAsia="American Typewriter" w:hAnsi="Tahoma" w:cs="Tahoma"/>
          <w:w w:val="98"/>
          <w:sz w:val="20"/>
          <w:szCs w:val="20"/>
        </w:rPr>
        <w:t xml:space="preserve"> </w:t>
      </w:r>
      <w:r w:rsidRPr="00B004EE">
        <w:rPr>
          <w:rFonts w:ascii="Tahoma" w:eastAsia="American Typewriter" w:hAnsi="Tahoma" w:cs="Tahoma"/>
          <w:sz w:val="20"/>
          <w:szCs w:val="20"/>
        </w:rPr>
        <w:t>commercialisation</w:t>
      </w:r>
      <w:r w:rsidR="00DB1635" w:rsidRPr="00B004EE">
        <w:rPr>
          <w:rFonts w:ascii="Tahoma" w:eastAsia="American Typewriter" w:hAnsi="Tahoma" w:cs="Tahoma"/>
          <w:spacing w:val="27"/>
          <w:sz w:val="20"/>
          <w:szCs w:val="20"/>
        </w:rPr>
        <w:t xml:space="preserve"> </w:t>
      </w:r>
      <w:r w:rsidRPr="00B004EE">
        <w:rPr>
          <w:rFonts w:ascii="Tahoma" w:eastAsia="American Typewriter" w:hAnsi="Tahoma" w:cs="Tahoma"/>
          <w:sz w:val="20"/>
          <w:szCs w:val="20"/>
        </w:rPr>
        <w:t>d’espèces</w:t>
      </w:r>
      <w:r w:rsidR="00DB1635" w:rsidRPr="00B004EE">
        <w:rPr>
          <w:rFonts w:ascii="Tahoma" w:eastAsia="American Typewriter" w:hAnsi="Tahoma" w:cs="Tahoma"/>
          <w:spacing w:val="27"/>
          <w:sz w:val="20"/>
          <w:szCs w:val="20"/>
        </w:rPr>
        <w:t xml:space="preserve"> </w:t>
      </w:r>
      <w:r w:rsidRPr="00B004EE">
        <w:rPr>
          <w:rFonts w:ascii="Tahoma" w:eastAsia="American Typewriter" w:hAnsi="Tahoma" w:cs="Tahoma"/>
          <w:sz w:val="20"/>
          <w:szCs w:val="20"/>
        </w:rPr>
        <w:t>dont</w:t>
      </w:r>
      <w:r w:rsidR="00DB1635" w:rsidRPr="00B004EE">
        <w:rPr>
          <w:rFonts w:ascii="Tahoma" w:eastAsia="American Typewriter" w:hAnsi="Tahoma" w:cs="Tahoma"/>
          <w:spacing w:val="27"/>
          <w:sz w:val="20"/>
          <w:szCs w:val="20"/>
        </w:rPr>
        <w:t xml:space="preserve"> </w:t>
      </w:r>
      <w:r w:rsidRPr="00B004EE">
        <w:rPr>
          <w:rFonts w:ascii="Tahoma" w:eastAsia="American Typewriter" w:hAnsi="Tahoma" w:cs="Tahoma"/>
          <w:sz w:val="20"/>
          <w:szCs w:val="20"/>
        </w:rPr>
        <w:t>les</w:t>
      </w:r>
      <w:r w:rsidR="00DB1635" w:rsidRPr="00B004EE">
        <w:rPr>
          <w:rFonts w:ascii="Tahoma" w:eastAsia="American Typewriter" w:hAnsi="Tahoma" w:cs="Tahoma"/>
          <w:spacing w:val="29"/>
          <w:sz w:val="20"/>
          <w:szCs w:val="20"/>
        </w:rPr>
        <w:t xml:space="preserve"> </w:t>
      </w:r>
      <w:r w:rsidRPr="00B004EE">
        <w:rPr>
          <w:rFonts w:ascii="Tahoma" w:eastAsia="American Typewriter" w:hAnsi="Tahoma" w:cs="Tahoma"/>
          <w:sz w:val="20"/>
          <w:szCs w:val="20"/>
        </w:rPr>
        <w:t>tailles</w:t>
      </w:r>
      <w:r w:rsidR="00DB1635" w:rsidRPr="00B004EE">
        <w:rPr>
          <w:rFonts w:ascii="Tahoma" w:eastAsia="American Typewriter" w:hAnsi="Tahoma" w:cs="Tahoma"/>
          <w:spacing w:val="27"/>
          <w:sz w:val="20"/>
          <w:szCs w:val="20"/>
        </w:rPr>
        <w:t xml:space="preserve"> </w:t>
      </w:r>
      <w:r w:rsidRPr="00B004EE">
        <w:rPr>
          <w:rFonts w:ascii="Tahoma" w:eastAsia="American Typewriter" w:hAnsi="Tahoma" w:cs="Tahoma"/>
          <w:sz w:val="20"/>
          <w:szCs w:val="20"/>
        </w:rPr>
        <w:t>ou</w:t>
      </w:r>
      <w:r w:rsidR="00DB1635" w:rsidRPr="00B004EE">
        <w:rPr>
          <w:rFonts w:ascii="Tahoma" w:eastAsia="American Typewriter" w:hAnsi="Tahoma" w:cs="Tahoma"/>
          <w:spacing w:val="27"/>
          <w:sz w:val="20"/>
          <w:szCs w:val="20"/>
        </w:rPr>
        <w:t xml:space="preserve"> </w:t>
      </w:r>
      <w:r w:rsidRPr="00B004EE">
        <w:rPr>
          <w:rFonts w:ascii="Tahoma" w:eastAsia="American Typewriter" w:hAnsi="Tahoma" w:cs="Tahoma"/>
          <w:sz w:val="20"/>
          <w:szCs w:val="20"/>
        </w:rPr>
        <w:t>poids</w:t>
      </w:r>
      <w:r w:rsidR="00DB1635" w:rsidRPr="00B004EE">
        <w:rPr>
          <w:rFonts w:ascii="Tahoma" w:eastAsia="American Typewriter" w:hAnsi="Tahoma" w:cs="Tahoma"/>
          <w:spacing w:val="27"/>
          <w:sz w:val="20"/>
          <w:szCs w:val="20"/>
        </w:rPr>
        <w:t xml:space="preserve"> </w:t>
      </w:r>
      <w:r w:rsidRPr="00B004EE">
        <w:rPr>
          <w:rFonts w:ascii="Tahoma" w:eastAsia="American Typewriter" w:hAnsi="Tahoma" w:cs="Tahoma"/>
          <w:sz w:val="20"/>
          <w:szCs w:val="20"/>
        </w:rPr>
        <w:t>sont</w:t>
      </w:r>
      <w:r w:rsidR="00DB1635" w:rsidRPr="00B004EE">
        <w:rPr>
          <w:rFonts w:ascii="Tahoma" w:eastAsia="American Typewriter" w:hAnsi="Tahoma" w:cs="Tahoma"/>
          <w:spacing w:val="27"/>
          <w:sz w:val="20"/>
          <w:szCs w:val="20"/>
        </w:rPr>
        <w:t xml:space="preserve"> </w:t>
      </w:r>
      <w:r w:rsidRPr="00B004EE">
        <w:rPr>
          <w:rFonts w:ascii="Tahoma" w:eastAsia="American Typewriter" w:hAnsi="Tahoma" w:cs="Tahoma"/>
          <w:sz w:val="20"/>
          <w:szCs w:val="20"/>
        </w:rPr>
        <w:t>inférieurs</w:t>
      </w:r>
      <w:r w:rsidR="00DB1635" w:rsidRPr="00B004EE">
        <w:rPr>
          <w:rFonts w:ascii="Tahoma" w:eastAsia="American Typewriter" w:hAnsi="Tahoma" w:cs="Tahoma"/>
          <w:spacing w:val="27"/>
          <w:sz w:val="20"/>
          <w:szCs w:val="20"/>
        </w:rPr>
        <w:t xml:space="preserve"> </w:t>
      </w:r>
      <w:r w:rsidRPr="00B004EE">
        <w:rPr>
          <w:rFonts w:ascii="Tahoma" w:eastAsia="American Typewriter" w:hAnsi="Tahoma" w:cs="Tahoma"/>
          <w:sz w:val="20"/>
          <w:szCs w:val="20"/>
        </w:rPr>
        <w:t>aux</w:t>
      </w:r>
      <w:r w:rsidR="00DB1635" w:rsidRPr="00B004EE">
        <w:rPr>
          <w:rFonts w:ascii="Tahoma" w:eastAsia="American Typewriter" w:hAnsi="Tahoma" w:cs="Tahoma"/>
          <w:w w:val="91"/>
          <w:sz w:val="20"/>
          <w:szCs w:val="20"/>
        </w:rPr>
        <w:t xml:space="preserve"> </w:t>
      </w:r>
      <w:r w:rsidRPr="00B004EE">
        <w:rPr>
          <w:rFonts w:ascii="Tahoma" w:eastAsia="American Typewriter" w:hAnsi="Tahoma" w:cs="Tahoma"/>
          <w:sz w:val="20"/>
          <w:szCs w:val="20"/>
        </w:rPr>
        <w:t>minima</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autorisés</w:t>
      </w:r>
      <w:r w:rsidR="00DB1635" w:rsidRPr="00B004EE">
        <w:rPr>
          <w:rFonts w:ascii="Tahoma" w:eastAsia="American Typewriter" w:hAnsi="Tahoma" w:cs="Tahoma"/>
          <w:spacing w:val="12"/>
          <w:sz w:val="20"/>
          <w:szCs w:val="20"/>
        </w:rPr>
        <w:t xml:space="preserve"> </w:t>
      </w:r>
      <w:r w:rsidRPr="00B004EE">
        <w:rPr>
          <w:rFonts w:ascii="Tahoma" w:eastAsia="American Typewriter" w:hAnsi="Tahoma" w:cs="Tahoma"/>
          <w:sz w:val="20"/>
          <w:szCs w:val="20"/>
        </w:rPr>
        <w:t>;</w:t>
      </w:r>
    </w:p>
    <w:p w14:paraId="3375183A" w14:textId="53DF43F7" w:rsidR="001E7C3C" w:rsidRPr="00B004EE" w:rsidRDefault="001E7C3C" w:rsidP="00420DDA">
      <w:pPr>
        <w:pStyle w:val="Paragraphedeliste"/>
        <w:widowControl w:val="0"/>
        <w:numPr>
          <w:ilvl w:val="0"/>
          <w:numId w:val="31"/>
        </w:numPr>
        <w:tabs>
          <w:tab w:val="left" w:pos="870"/>
        </w:tabs>
        <w:ind w:right="559"/>
        <w:rPr>
          <w:rFonts w:ascii="Tahoma" w:eastAsia="American Typewriter" w:hAnsi="Tahoma" w:cs="Tahoma"/>
          <w:sz w:val="20"/>
          <w:szCs w:val="20"/>
        </w:rPr>
      </w:pPr>
      <w:proofErr w:type="gramStart"/>
      <w:r w:rsidRPr="00B004EE">
        <w:rPr>
          <w:rFonts w:ascii="Tahoma" w:hAnsi="Tahoma" w:cs="Tahoma"/>
          <w:sz w:val="20"/>
          <w:szCs w:val="20"/>
        </w:rPr>
        <w:t>le</w:t>
      </w:r>
      <w:proofErr w:type="gramEnd"/>
      <w:r w:rsidR="00DB1635" w:rsidRPr="00B004EE">
        <w:rPr>
          <w:rFonts w:ascii="Tahoma" w:hAnsi="Tahoma" w:cs="Tahoma"/>
          <w:spacing w:val="-9"/>
          <w:sz w:val="20"/>
          <w:szCs w:val="20"/>
        </w:rPr>
        <w:t xml:space="preserve"> </w:t>
      </w:r>
      <w:r w:rsidRPr="00B004EE">
        <w:rPr>
          <w:rFonts w:ascii="Tahoma" w:hAnsi="Tahoma" w:cs="Tahoma"/>
          <w:sz w:val="20"/>
          <w:szCs w:val="20"/>
        </w:rPr>
        <w:t>dépassement</w:t>
      </w:r>
      <w:r w:rsidR="00DB1635" w:rsidRPr="00B004EE">
        <w:rPr>
          <w:rFonts w:ascii="Tahoma" w:hAnsi="Tahoma" w:cs="Tahoma"/>
          <w:spacing w:val="-8"/>
          <w:sz w:val="20"/>
          <w:szCs w:val="20"/>
        </w:rPr>
        <w:t xml:space="preserve"> </w:t>
      </w:r>
      <w:r w:rsidRPr="00B004EE">
        <w:rPr>
          <w:rFonts w:ascii="Tahoma" w:hAnsi="Tahoma" w:cs="Tahoma"/>
          <w:sz w:val="20"/>
          <w:szCs w:val="20"/>
        </w:rPr>
        <w:t>des</w:t>
      </w:r>
      <w:r w:rsidR="00DB1635" w:rsidRPr="00B004EE">
        <w:rPr>
          <w:rFonts w:ascii="Tahoma" w:hAnsi="Tahoma" w:cs="Tahoma"/>
          <w:spacing w:val="-9"/>
          <w:sz w:val="20"/>
          <w:szCs w:val="20"/>
        </w:rPr>
        <w:t xml:space="preserve"> </w:t>
      </w:r>
      <w:r w:rsidRPr="00B004EE">
        <w:rPr>
          <w:rFonts w:ascii="Tahoma" w:hAnsi="Tahoma" w:cs="Tahoma"/>
          <w:sz w:val="20"/>
          <w:szCs w:val="20"/>
        </w:rPr>
        <w:t>quotas</w:t>
      </w:r>
      <w:r w:rsidR="00DB1635" w:rsidRPr="00B004EE">
        <w:rPr>
          <w:rFonts w:ascii="Tahoma" w:hAnsi="Tahoma" w:cs="Tahoma"/>
          <w:spacing w:val="-9"/>
          <w:sz w:val="20"/>
          <w:szCs w:val="20"/>
        </w:rPr>
        <w:t xml:space="preserve"> </w:t>
      </w:r>
      <w:r w:rsidRPr="00B004EE">
        <w:rPr>
          <w:rFonts w:ascii="Tahoma" w:hAnsi="Tahoma" w:cs="Tahoma"/>
          <w:sz w:val="20"/>
          <w:szCs w:val="20"/>
        </w:rPr>
        <w:t>autorisés</w:t>
      </w:r>
      <w:r w:rsidR="00DB1635" w:rsidRPr="00B004EE">
        <w:rPr>
          <w:rFonts w:ascii="Tahoma" w:hAnsi="Tahoma" w:cs="Tahoma"/>
          <w:spacing w:val="-10"/>
          <w:sz w:val="20"/>
          <w:szCs w:val="20"/>
        </w:rPr>
        <w:t xml:space="preserve"> </w:t>
      </w:r>
      <w:r w:rsidRPr="00B004EE">
        <w:rPr>
          <w:rFonts w:ascii="Tahoma" w:hAnsi="Tahoma" w:cs="Tahoma"/>
          <w:sz w:val="20"/>
          <w:szCs w:val="20"/>
        </w:rPr>
        <w:t>ou</w:t>
      </w:r>
      <w:r w:rsidR="00DB1635" w:rsidRPr="00B004EE">
        <w:rPr>
          <w:rFonts w:ascii="Tahoma" w:hAnsi="Tahoma" w:cs="Tahoma"/>
          <w:spacing w:val="-8"/>
          <w:sz w:val="20"/>
          <w:szCs w:val="20"/>
        </w:rPr>
        <w:t xml:space="preserve"> </w:t>
      </w:r>
      <w:r w:rsidRPr="00B004EE">
        <w:rPr>
          <w:rFonts w:ascii="Tahoma" w:hAnsi="Tahoma" w:cs="Tahoma"/>
          <w:sz w:val="20"/>
          <w:szCs w:val="20"/>
        </w:rPr>
        <w:t>du</w:t>
      </w:r>
      <w:r w:rsidR="00DB1635" w:rsidRPr="00B004EE">
        <w:rPr>
          <w:rFonts w:ascii="Tahoma" w:hAnsi="Tahoma" w:cs="Tahoma"/>
          <w:spacing w:val="-9"/>
          <w:sz w:val="20"/>
          <w:szCs w:val="20"/>
        </w:rPr>
        <w:t xml:space="preserve"> </w:t>
      </w:r>
      <w:r w:rsidRPr="00B004EE">
        <w:rPr>
          <w:rFonts w:ascii="Tahoma" w:hAnsi="Tahoma" w:cs="Tahoma"/>
          <w:sz w:val="20"/>
          <w:szCs w:val="20"/>
        </w:rPr>
        <w:t>taux</w:t>
      </w:r>
      <w:r w:rsidR="00DB1635" w:rsidRPr="00B004EE">
        <w:rPr>
          <w:rFonts w:ascii="Tahoma" w:hAnsi="Tahoma" w:cs="Tahoma"/>
          <w:spacing w:val="-8"/>
          <w:sz w:val="20"/>
          <w:szCs w:val="20"/>
        </w:rPr>
        <w:t xml:space="preserve"> </w:t>
      </w:r>
      <w:r w:rsidRPr="00B004EE">
        <w:rPr>
          <w:rFonts w:ascii="Tahoma" w:hAnsi="Tahoma" w:cs="Tahoma"/>
          <w:sz w:val="20"/>
          <w:szCs w:val="20"/>
        </w:rPr>
        <w:t>de</w:t>
      </w:r>
      <w:r w:rsidR="00DB1635" w:rsidRPr="00B004EE">
        <w:rPr>
          <w:rFonts w:ascii="Tahoma" w:hAnsi="Tahoma" w:cs="Tahoma"/>
          <w:spacing w:val="-9"/>
          <w:sz w:val="20"/>
          <w:szCs w:val="20"/>
        </w:rPr>
        <w:t xml:space="preserve"> </w:t>
      </w:r>
      <w:r w:rsidRPr="00B004EE">
        <w:rPr>
          <w:rFonts w:ascii="Tahoma" w:hAnsi="Tahoma" w:cs="Tahoma"/>
          <w:sz w:val="20"/>
          <w:szCs w:val="20"/>
        </w:rPr>
        <w:t>prises</w:t>
      </w:r>
      <w:r w:rsidR="00DB1635" w:rsidRPr="00B004EE">
        <w:rPr>
          <w:rFonts w:ascii="Tahoma" w:hAnsi="Tahoma" w:cs="Tahoma"/>
          <w:spacing w:val="-10"/>
          <w:sz w:val="20"/>
          <w:szCs w:val="20"/>
        </w:rPr>
        <w:t xml:space="preserve"> </w:t>
      </w:r>
      <w:r w:rsidRPr="00B004EE">
        <w:rPr>
          <w:rFonts w:ascii="Tahoma" w:hAnsi="Tahoma" w:cs="Tahoma"/>
          <w:sz w:val="20"/>
          <w:szCs w:val="20"/>
        </w:rPr>
        <w:t>accessoires</w:t>
      </w:r>
      <w:r w:rsidR="00DB1635" w:rsidRPr="00B004EE">
        <w:rPr>
          <w:rFonts w:ascii="Tahoma" w:hAnsi="Tahoma" w:cs="Tahoma"/>
          <w:spacing w:val="-5"/>
          <w:sz w:val="20"/>
          <w:szCs w:val="20"/>
        </w:rPr>
        <w:t xml:space="preserve"> </w:t>
      </w:r>
      <w:r w:rsidRPr="00B004EE">
        <w:rPr>
          <w:rFonts w:ascii="Tahoma" w:hAnsi="Tahoma" w:cs="Tahoma"/>
          <w:sz w:val="20"/>
          <w:szCs w:val="20"/>
        </w:rPr>
        <w:t>;</w:t>
      </w:r>
    </w:p>
    <w:p w14:paraId="2E2F34C0" w14:textId="1FB9E28F" w:rsidR="001E7C3C" w:rsidRPr="00B004EE" w:rsidRDefault="001E7C3C" w:rsidP="00420DDA">
      <w:pPr>
        <w:pStyle w:val="Paragraphedeliste"/>
        <w:widowControl w:val="0"/>
        <w:numPr>
          <w:ilvl w:val="0"/>
          <w:numId w:val="31"/>
        </w:numPr>
        <w:tabs>
          <w:tab w:val="left" w:pos="870"/>
        </w:tabs>
        <w:ind w:right="559"/>
        <w:rPr>
          <w:rFonts w:ascii="Tahoma" w:eastAsia="American Typewriter" w:hAnsi="Tahoma" w:cs="Tahoma"/>
          <w:sz w:val="20"/>
          <w:szCs w:val="20"/>
        </w:rPr>
      </w:pPr>
      <w:proofErr w:type="gramStart"/>
      <w:r w:rsidRPr="00B004EE">
        <w:rPr>
          <w:rFonts w:ascii="Tahoma" w:hAnsi="Tahoma" w:cs="Tahoma"/>
          <w:sz w:val="20"/>
          <w:szCs w:val="20"/>
        </w:rPr>
        <w:t>les</w:t>
      </w:r>
      <w:proofErr w:type="gramEnd"/>
      <w:r w:rsidR="00DB1635" w:rsidRPr="00B004EE">
        <w:rPr>
          <w:rFonts w:ascii="Tahoma" w:hAnsi="Tahoma" w:cs="Tahoma"/>
          <w:spacing w:val="-12"/>
          <w:sz w:val="20"/>
          <w:szCs w:val="20"/>
        </w:rPr>
        <w:t xml:space="preserve"> </w:t>
      </w:r>
      <w:r w:rsidRPr="00B004EE">
        <w:rPr>
          <w:rFonts w:ascii="Tahoma" w:hAnsi="Tahoma" w:cs="Tahoma"/>
          <w:sz w:val="20"/>
          <w:szCs w:val="20"/>
        </w:rPr>
        <w:t>infractions</w:t>
      </w:r>
      <w:r w:rsidR="00DB1635" w:rsidRPr="00B004EE">
        <w:rPr>
          <w:rFonts w:ascii="Tahoma" w:hAnsi="Tahoma" w:cs="Tahoma"/>
          <w:spacing w:val="-12"/>
          <w:sz w:val="20"/>
          <w:szCs w:val="20"/>
        </w:rPr>
        <w:t xml:space="preserve"> </w:t>
      </w:r>
      <w:r w:rsidRPr="00B004EE">
        <w:rPr>
          <w:rFonts w:ascii="Tahoma" w:hAnsi="Tahoma" w:cs="Tahoma"/>
          <w:sz w:val="20"/>
          <w:szCs w:val="20"/>
        </w:rPr>
        <w:t>aux</w:t>
      </w:r>
      <w:r w:rsidR="00DB1635" w:rsidRPr="00B004EE">
        <w:rPr>
          <w:rFonts w:ascii="Tahoma" w:hAnsi="Tahoma" w:cs="Tahoma"/>
          <w:spacing w:val="-11"/>
          <w:sz w:val="20"/>
          <w:szCs w:val="20"/>
        </w:rPr>
        <w:t xml:space="preserve"> </w:t>
      </w:r>
      <w:r w:rsidRPr="00B004EE">
        <w:rPr>
          <w:rFonts w:ascii="Tahoma" w:hAnsi="Tahoma" w:cs="Tahoma"/>
          <w:sz w:val="20"/>
          <w:szCs w:val="20"/>
        </w:rPr>
        <w:t>règles</w:t>
      </w:r>
      <w:r w:rsidR="00DB1635" w:rsidRPr="00B004EE">
        <w:rPr>
          <w:rFonts w:ascii="Tahoma" w:hAnsi="Tahoma" w:cs="Tahoma"/>
          <w:spacing w:val="-12"/>
          <w:sz w:val="20"/>
          <w:szCs w:val="20"/>
        </w:rPr>
        <w:t xml:space="preserve"> </w:t>
      </w:r>
      <w:r w:rsidRPr="00B004EE">
        <w:rPr>
          <w:rFonts w:ascii="Tahoma" w:hAnsi="Tahoma" w:cs="Tahoma"/>
          <w:sz w:val="20"/>
          <w:szCs w:val="20"/>
        </w:rPr>
        <w:t>relatives</w:t>
      </w:r>
      <w:r w:rsidR="00DB1635" w:rsidRPr="00B004EE">
        <w:rPr>
          <w:rFonts w:ascii="Tahoma" w:hAnsi="Tahoma" w:cs="Tahoma"/>
          <w:spacing w:val="-12"/>
          <w:sz w:val="20"/>
          <w:szCs w:val="20"/>
        </w:rPr>
        <w:t xml:space="preserve"> </w:t>
      </w:r>
      <w:r w:rsidRPr="00B004EE">
        <w:rPr>
          <w:rFonts w:ascii="Tahoma" w:hAnsi="Tahoma" w:cs="Tahoma"/>
          <w:sz w:val="20"/>
          <w:szCs w:val="20"/>
        </w:rPr>
        <w:t>aux</w:t>
      </w:r>
      <w:r w:rsidR="00DB1635" w:rsidRPr="00B004EE">
        <w:rPr>
          <w:rFonts w:ascii="Tahoma" w:hAnsi="Tahoma" w:cs="Tahoma"/>
          <w:spacing w:val="-11"/>
          <w:sz w:val="20"/>
          <w:szCs w:val="20"/>
        </w:rPr>
        <w:t xml:space="preserve"> </w:t>
      </w:r>
      <w:r w:rsidRPr="00B004EE">
        <w:rPr>
          <w:rFonts w:ascii="Tahoma" w:hAnsi="Tahoma" w:cs="Tahoma"/>
          <w:sz w:val="20"/>
          <w:szCs w:val="20"/>
        </w:rPr>
        <w:t>opérations</w:t>
      </w:r>
      <w:r w:rsidR="00DB1635" w:rsidRPr="00B004EE">
        <w:rPr>
          <w:rFonts w:ascii="Tahoma" w:hAnsi="Tahoma" w:cs="Tahoma"/>
          <w:spacing w:val="-12"/>
          <w:sz w:val="20"/>
          <w:szCs w:val="20"/>
        </w:rPr>
        <w:t xml:space="preserve"> </w:t>
      </w:r>
      <w:r w:rsidRPr="00B004EE">
        <w:rPr>
          <w:rFonts w:ascii="Tahoma" w:hAnsi="Tahoma" w:cs="Tahoma"/>
          <w:sz w:val="20"/>
          <w:szCs w:val="20"/>
        </w:rPr>
        <w:t>connexes</w:t>
      </w:r>
      <w:r w:rsidR="00DB1635" w:rsidRPr="00B004EE">
        <w:rPr>
          <w:rFonts w:ascii="Tahoma" w:hAnsi="Tahoma" w:cs="Tahoma"/>
          <w:spacing w:val="-12"/>
          <w:sz w:val="20"/>
          <w:szCs w:val="20"/>
        </w:rPr>
        <w:t xml:space="preserve"> </w:t>
      </w:r>
      <w:r w:rsidRPr="00B004EE">
        <w:rPr>
          <w:rFonts w:ascii="Tahoma" w:hAnsi="Tahoma" w:cs="Tahoma"/>
          <w:sz w:val="20"/>
          <w:szCs w:val="20"/>
        </w:rPr>
        <w:t>de</w:t>
      </w:r>
      <w:r w:rsidR="00DB1635" w:rsidRPr="00B004EE">
        <w:rPr>
          <w:rFonts w:ascii="Tahoma" w:hAnsi="Tahoma" w:cs="Tahoma"/>
          <w:spacing w:val="-12"/>
          <w:sz w:val="20"/>
          <w:szCs w:val="20"/>
        </w:rPr>
        <w:t xml:space="preserve"> </w:t>
      </w:r>
      <w:r w:rsidRPr="00B004EE">
        <w:rPr>
          <w:rFonts w:ascii="Tahoma" w:hAnsi="Tahoma" w:cs="Tahoma"/>
          <w:sz w:val="20"/>
          <w:szCs w:val="20"/>
        </w:rPr>
        <w:t>pêche</w:t>
      </w:r>
      <w:r w:rsidR="00DB1635" w:rsidRPr="00B004EE">
        <w:rPr>
          <w:rFonts w:ascii="Tahoma" w:hAnsi="Tahoma" w:cs="Tahoma"/>
          <w:spacing w:val="-12"/>
          <w:sz w:val="20"/>
          <w:szCs w:val="20"/>
        </w:rPr>
        <w:t xml:space="preserve"> </w:t>
      </w:r>
      <w:r w:rsidRPr="00B004EE">
        <w:rPr>
          <w:rFonts w:ascii="Tahoma" w:hAnsi="Tahoma" w:cs="Tahoma"/>
          <w:sz w:val="20"/>
          <w:szCs w:val="20"/>
        </w:rPr>
        <w:t>;</w:t>
      </w:r>
    </w:p>
    <w:p w14:paraId="64076EC2" w14:textId="7510D56F" w:rsidR="001E7C3C" w:rsidRPr="00B004EE" w:rsidRDefault="001E7C3C" w:rsidP="00420DDA">
      <w:pPr>
        <w:pStyle w:val="Paragraphedeliste"/>
        <w:widowControl w:val="0"/>
        <w:numPr>
          <w:ilvl w:val="0"/>
          <w:numId w:val="31"/>
        </w:numPr>
        <w:tabs>
          <w:tab w:val="left" w:pos="870"/>
        </w:tabs>
        <w:ind w:right="164"/>
        <w:rPr>
          <w:rFonts w:ascii="Tahoma" w:eastAsia="American Typewriter" w:hAnsi="Tahoma" w:cs="Tahoma"/>
          <w:sz w:val="20"/>
          <w:szCs w:val="20"/>
        </w:rPr>
      </w:pPr>
      <w:proofErr w:type="gramStart"/>
      <w:r w:rsidRPr="00B004EE">
        <w:rPr>
          <w:rFonts w:ascii="Tahoma" w:hAnsi="Tahoma" w:cs="Tahoma"/>
          <w:sz w:val="20"/>
          <w:szCs w:val="20"/>
        </w:rPr>
        <w:t>les</w:t>
      </w:r>
      <w:proofErr w:type="gramEnd"/>
      <w:r w:rsidR="00DB1635" w:rsidRPr="00B004EE">
        <w:rPr>
          <w:rFonts w:ascii="Tahoma" w:hAnsi="Tahoma" w:cs="Tahoma"/>
          <w:spacing w:val="-21"/>
          <w:sz w:val="20"/>
          <w:szCs w:val="20"/>
        </w:rPr>
        <w:t xml:space="preserve"> </w:t>
      </w:r>
      <w:r w:rsidRPr="00B004EE">
        <w:rPr>
          <w:rFonts w:ascii="Tahoma" w:hAnsi="Tahoma" w:cs="Tahoma"/>
          <w:sz w:val="20"/>
          <w:szCs w:val="20"/>
        </w:rPr>
        <w:t>fausses</w:t>
      </w:r>
      <w:r w:rsidR="00DB1635" w:rsidRPr="00B004EE">
        <w:rPr>
          <w:rFonts w:ascii="Tahoma" w:hAnsi="Tahoma" w:cs="Tahoma"/>
          <w:spacing w:val="-21"/>
          <w:sz w:val="20"/>
          <w:szCs w:val="20"/>
        </w:rPr>
        <w:t xml:space="preserve"> </w:t>
      </w:r>
      <w:r w:rsidRPr="00B004EE">
        <w:rPr>
          <w:rFonts w:ascii="Tahoma" w:hAnsi="Tahoma" w:cs="Tahoma"/>
          <w:sz w:val="20"/>
          <w:szCs w:val="20"/>
        </w:rPr>
        <w:t>déclarations</w:t>
      </w:r>
      <w:r w:rsidR="00DB1635" w:rsidRPr="00B004EE">
        <w:rPr>
          <w:rFonts w:ascii="Tahoma" w:hAnsi="Tahoma" w:cs="Tahoma"/>
          <w:spacing w:val="-21"/>
          <w:sz w:val="20"/>
          <w:szCs w:val="20"/>
        </w:rPr>
        <w:t xml:space="preserve"> </w:t>
      </w:r>
      <w:r w:rsidRPr="00B004EE">
        <w:rPr>
          <w:rFonts w:ascii="Tahoma" w:hAnsi="Tahoma" w:cs="Tahoma"/>
          <w:sz w:val="20"/>
          <w:szCs w:val="20"/>
        </w:rPr>
        <w:t>des</w:t>
      </w:r>
      <w:r w:rsidR="00DB1635" w:rsidRPr="00B004EE">
        <w:rPr>
          <w:rFonts w:ascii="Tahoma" w:hAnsi="Tahoma" w:cs="Tahoma"/>
          <w:spacing w:val="-21"/>
          <w:sz w:val="20"/>
          <w:szCs w:val="20"/>
        </w:rPr>
        <w:t xml:space="preserve"> </w:t>
      </w:r>
      <w:r w:rsidRPr="00B004EE">
        <w:rPr>
          <w:rFonts w:ascii="Tahoma" w:hAnsi="Tahoma" w:cs="Tahoma"/>
          <w:sz w:val="20"/>
          <w:szCs w:val="20"/>
        </w:rPr>
        <w:t>spécifications</w:t>
      </w:r>
      <w:r w:rsidR="00DB1635" w:rsidRPr="00B004EE">
        <w:rPr>
          <w:rFonts w:ascii="Tahoma" w:hAnsi="Tahoma" w:cs="Tahoma"/>
          <w:spacing w:val="-21"/>
          <w:sz w:val="20"/>
          <w:szCs w:val="20"/>
        </w:rPr>
        <w:t xml:space="preserve"> </w:t>
      </w:r>
      <w:r w:rsidRPr="00B004EE">
        <w:rPr>
          <w:rFonts w:ascii="Tahoma" w:hAnsi="Tahoma" w:cs="Tahoma"/>
          <w:sz w:val="20"/>
          <w:szCs w:val="20"/>
        </w:rPr>
        <w:t>techniques</w:t>
      </w:r>
      <w:r w:rsidR="00DB1635" w:rsidRPr="00B004EE">
        <w:rPr>
          <w:rFonts w:ascii="Tahoma" w:hAnsi="Tahoma" w:cs="Tahoma"/>
          <w:spacing w:val="-21"/>
          <w:sz w:val="20"/>
          <w:szCs w:val="20"/>
        </w:rPr>
        <w:t xml:space="preserve"> </w:t>
      </w:r>
      <w:r w:rsidRPr="00B004EE">
        <w:rPr>
          <w:rFonts w:ascii="Tahoma" w:hAnsi="Tahoma" w:cs="Tahoma"/>
          <w:sz w:val="20"/>
          <w:szCs w:val="20"/>
        </w:rPr>
        <w:t>des</w:t>
      </w:r>
      <w:r w:rsidR="00DB1635" w:rsidRPr="00B004EE">
        <w:rPr>
          <w:rFonts w:ascii="Tahoma" w:hAnsi="Tahoma" w:cs="Tahoma"/>
          <w:spacing w:val="-21"/>
          <w:sz w:val="20"/>
          <w:szCs w:val="20"/>
        </w:rPr>
        <w:t xml:space="preserve"> </w:t>
      </w:r>
      <w:r w:rsidRPr="00B004EE">
        <w:rPr>
          <w:rFonts w:ascii="Tahoma" w:hAnsi="Tahoma" w:cs="Tahoma"/>
          <w:sz w:val="20"/>
          <w:szCs w:val="20"/>
        </w:rPr>
        <w:t>navires</w:t>
      </w:r>
      <w:r w:rsidR="00DB1635" w:rsidRPr="00B004EE">
        <w:rPr>
          <w:rFonts w:ascii="Tahoma" w:hAnsi="Tahoma" w:cs="Tahoma"/>
          <w:spacing w:val="-21"/>
          <w:sz w:val="20"/>
          <w:szCs w:val="20"/>
        </w:rPr>
        <w:t xml:space="preserve"> </w:t>
      </w:r>
      <w:r w:rsidRPr="00B004EE">
        <w:rPr>
          <w:rFonts w:ascii="Tahoma" w:hAnsi="Tahoma" w:cs="Tahoma"/>
          <w:sz w:val="20"/>
          <w:szCs w:val="20"/>
        </w:rPr>
        <w:t>de</w:t>
      </w:r>
      <w:r w:rsidR="00DB1635" w:rsidRPr="00B004EE">
        <w:rPr>
          <w:rFonts w:ascii="Tahoma" w:hAnsi="Tahoma" w:cs="Tahoma"/>
          <w:spacing w:val="-21"/>
          <w:sz w:val="20"/>
          <w:szCs w:val="20"/>
        </w:rPr>
        <w:t xml:space="preserve"> </w:t>
      </w:r>
      <w:r w:rsidRPr="00B004EE">
        <w:rPr>
          <w:rFonts w:ascii="Tahoma" w:hAnsi="Tahoma" w:cs="Tahoma"/>
          <w:sz w:val="20"/>
          <w:szCs w:val="20"/>
        </w:rPr>
        <w:t>pêche;</w:t>
      </w:r>
    </w:p>
    <w:p w14:paraId="0C30ED7C" w14:textId="5481F148" w:rsidR="001E7C3C" w:rsidRPr="00B004EE" w:rsidRDefault="001E7C3C" w:rsidP="00420DDA">
      <w:pPr>
        <w:pStyle w:val="Paragraphedeliste"/>
        <w:widowControl w:val="0"/>
        <w:numPr>
          <w:ilvl w:val="0"/>
          <w:numId w:val="31"/>
        </w:numPr>
        <w:tabs>
          <w:tab w:val="left" w:pos="870"/>
        </w:tabs>
        <w:ind w:right="158"/>
        <w:jc w:val="both"/>
        <w:rPr>
          <w:rFonts w:ascii="Tahoma" w:eastAsia="American Typewriter" w:hAnsi="Tahoma" w:cs="Tahoma"/>
          <w:sz w:val="20"/>
          <w:szCs w:val="20"/>
        </w:rPr>
      </w:pPr>
      <w:proofErr w:type="gramStart"/>
      <w:r w:rsidRPr="00B004EE">
        <w:rPr>
          <w:rFonts w:ascii="Tahoma" w:hAnsi="Tahoma" w:cs="Tahoma"/>
          <w:sz w:val="20"/>
          <w:szCs w:val="20"/>
        </w:rPr>
        <w:t>le</w:t>
      </w:r>
      <w:proofErr w:type="gramEnd"/>
      <w:r w:rsidR="00DB1635" w:rsidRPr="00B004EE">
        <w:rPr>
          <w:rFonts w:ascii="Tahoma" w:hAnsi="Tahoma" w:cs="Tahoma"/>
          <w:sz w:val="20"/>
          <w:szCs w:val="20"/>
        </w:rPr>
        <w:t xml:space="preserve"> </w:t>
      </w:r>
      <w:r w:rsidRPr="00B004EE">
        <w:rPr>
          <w:rFonts w:ascii="Tahoma" w:hAnsi="Tahoma" w:cs="Tahoma"/>
          <w:sz w:val="20"/>
          <w:szCs w:val="20"/>
        </w:rPr>
        <w:t>défaut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communication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entrées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sorties</w:t>
      </w:r>
      <w:r w:rsidR="00DB1635" w:rsidRPr="00B004EE">
        <w:rPr>
          <w:rFonts w:ascii="Tahoma" w:hAnsi="Tahoma" w:cs="Tahoma"/>
          <w:sz w:val="20"/>
          <w:szCs w:val="20"/>
        </w:rPr>
        <w:t xml:space="preserve"> </w:t>
      </w:r>
      <w:r w:rsidRPr="00B004EE">
        <w:rPr>
          <w:rFonts w:ascii="Tahoma" w:hAnsi="Tahoma" w:cs="Tahoma"/>
          <w:sz w:val="20"/>
          <w:szCs w:val="20"/>
        </w:rPr>
        <w:t>ainsi</w:t>
      </w:r>
      <w:r w:rsidR="00DB1635" w:rsidRPr="00B004EE">
        <w:rPr>
          <w:rFonts w:ascii="Tahoma" w:hAnsi="Tahoma" w:cs="Tahoma"/>
          <w:sz w:val="20"/>
          <w:szCs w:val="20"/>
        </w:rPr>
        <w:t xml:space="preserve"> </w:t>
      </w:r>
      <w:r w:rsidRPr="00B004EE">
        <w:rPr>
          <w:rFonts w:ascii="Tahoma" w:hAnsi="Tahoma" w:cs="Tahoma"/>
          <w:sz w:val="20"/>
          <w:szCs w:val="20"/>
        </w:rPr>
        <w:t>que</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positions</w:t>
      </w:r>
      <w:r w:rsidR="00DB1635" w:rsidRPr="00B004EE">
        <w:rPr>
          <w:rFonts w:ascii="Tahoma" w:hAnsi="Tahoma" w:cs="Tahoma"/>
          <w:spacing w:val="8"/>
          <w:sz w:val="20"/>
          <w:szCs w:val="20"/>
        </w:rPr>
        <w:t xml:space="preserve"> </w:t>
      </w:r>
      <w:r w:rsidRPr="00B004EE">
        <w:rPr>
          <w:rFonts w:ascii="Tahoma" w:hAnsi="Tahoma" w:cs="Tahoma"/>
          <w:sz w:val="20"/>
          <w:szCs w:val="20"/>
        </w:rPr>
        <w:t>et</w:t>
      </w:r>
      <w:r w:rsidR="00DB1635" w:rsidRPr="00B004EE">
        <w:rPr>
          <w:rFonts w:ascii="Tahoma" w:hAnsi="Tahoma" w:cs="Tahoma"/>
          <w:w w:val="95"/>
          <w:sz w:val="20"/>
          <w:szCs w:val="20"/>
        </w:rPr>
        <w:t xml:space="preserve"> </w:t>
      </w:r>
      <w:r w:rsidRPr="00B004EE">
        <w:rPr>
          <w:rFonts w:ascii="Tahoma" w:hAnsi="Tahoma" w:cs="Tahoma"/>
          <w:sz w:val="20"/>
          <w:szCs w:val="20"/>
        </w:rPr>
        <w:t>captures</w:t>
      </w:r>
      <w:r w:rsidR="00DB1635" w:rsidRPr="00B004EE">
        <w:rPr>
          <w:rFonts w:ascii="Tahoma" w:hAnsi="Tahoma" w:cs="Tahoma"/>
          <w:spacing w:val="5"/>
          <w:sz w:val="20"/>
          <w:szCs w:val="20"/>
        </w:rPr>
        <w:t xml:space="preserve"> </w:t>
      </w:r>
      <w:r w:rsidRPr="00B004EE">
        <w:rPr>
          <w:rFonts w:ascii="Tahoma" w:hAnsi="Tahoma" w:cs="Tahoma"/>
          <w:sz w:val="20"/>
          <w:szCs w:val="20"/>
        </w:rPr>
        <w:t>;</w:t>
      </w:r>
    </w:p>
    <w:p w14:paraId="4C135BD4" w14:textId="79EB0510" w:rsidR="001E7C3C" w:rsidRPr="00B004EE" w:rsidRDefault="001E7C3C" w:rsidP="00420DDA">
      <w:pPr>
        <w:pStyle w:val="Paragraphedeliste"/>
        <w:widowControl w:val="0"/>
        <w:numPr>
          <w:ilvl w:val="0"/>
          <w:numId w:val="31"/>
        </w:numPr>
        <w:tabs>
          <w:tab w:val="left" w:pos="870"/>
        </w:tabs>
        <w:ind w:right="559"/>
        <w:rPr>
          <w:rFonts w:ascii="Tahoma" w:eastAsia="American Typewriter" w:hAnsi="Tahoma" w:cs="Tahoma"/>
          <w:sz w:val="20"/>
          <w:szCs w:val="20"/>
        </w:rPr>
      </w:pPr>
      <w:proofErr w:type="gramStart"/>
      <w:r w:rsidRPr="00B004EE">
        <w:rPr>
          <w:rFonts w:ascii="Tahoma" w:eastAsia="American Typewriter" w:hAnsi="Tahoma" w:cs="Tahoma"/>
          <w:sz w:val="20"/>
          <w:szCs w:val="20"/>
        </w:rPr>
        <w:t>les</w:t>
      </w:r>
      <w:proofErr w:type="gramEnd"/>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infractions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aux</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dispositions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l’article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39</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ci-dessus</w:t>
      </w:r>
      <w:r w:rsidR="00DB1635" w:rsidRPr="00B004EE">
        <w:rPr>
          <w:rFonts w:ascii="Tahoma" w:eastAsia="American Typewriter" w:hAnsi="Tahoma" w:cs="Tahoma"/>
          <w:spacing w:val="-2"/>
          <w:sz w:val="20"/>
          <w:szCs w:val="20"/>
        </w:rPr>
        <w:t xml:space="preserve"> </w:t>
      </w:r>
      <w:r w:rsidRPr="00B004EE">
        <w:rPr>
          <w:rFonts w:ascii="Tahoma" w:eastAsia="American Typewriter" w:hAnsi="Tahoma" w:cs="Tahoma"/>
          <w:sz w:val="20"/>
          <w:szCs w:val="20"/>
        </w:rPr>
        <w:t>;</w:t>
      </w:r>
    </w:p>
    <w:p w14:paraId="1DB6AD2F" w14:textId="50BE5AB0" w:rsidR="001E7C3C" w:rsidRPr="00B004EE" w:rsidRDefault="001E7C3C" w:rsidP="00420DDA">
      <w:pPr>
        <w:pStyle w:val="Paragraphedeliste"/>
        <w:widowControl w:val="0"/>
        <w:numPr>
          <w:ilvl w:val="0"/>
          <w:numId w:val="31"/>
        </w:numPr>
        <w:tabs>
          <w:tab w:val="left" w:pos="870"/>
        </w:tabs>
        <w:ind w:right="157"/>
        <w:jc w:val="both"/>
        <w:rPr>
          <w:rFonts w:ascii="Tahoma" w:eastAsia="American Typewriter" w:hAnsi="Tahoma" w:cs="Tahoma"/>
          <w:sz w:val="20"/>
          <w:szCs w:val="20"/>
        </w:rPr>
      </w:pPr>
      <w:proofErr w:type="gramStart"/>
      <w:r w:rsidRPr="00B004EE">
        <w:rPr>
          <w:rFonts w:ascii="Tahoma" w:eastAsia="American Typewriter" w:hAnsi="Tahoma" w:cs="Tahoma"/>
          <w:sz w:val="20"/>
          <w:szCs w:val="20"/>
        </w:rPr>
        <w:t>l’abandon</w:t>
      </w:r>
      <w:proofErr w:type="gramEnd"/>
      <w:r w:rsidR="00DB1635" w:rsidRPr="00B004EE">
        <w:rPr>
          <w:rFonts w:ascii="Tahoma" w:eastAsia="American Typewriter" w:hAnsi="Tahoma" w:cs="Tahoma"/>
          <w:spacing w:val="15"/>
          <w:sz w:val="20"/>
          <w:szCs w:val="20"/>
        </w:rPr>
        <w:t xml:space="preserve"> </w:t>
      </w:r>
      <w:r w:rsidRPr="00B004EE">
        <w:rPr>
          <w:rFonts w:ascii="Tahoma" w:eastAsia="American Typewriter" w:hAnsi="Tahoma" w:cs="Tahoma"/>
          <w:sz w:val="20"/>
          <w:szCs w:val="20"/>
        </w:rPr>
        <w:t>en</w:t>
      </w:r>
      <w:r w:rsidR="00DB1635" w:rsidRPr="00B004EE">
        <w:rPr>
          <w:rFonts w:ascii="Tahoma" w:eastAsia="American Typewriter" w:hAnsi="Tahoma" w:cs="Tahoma"/>
          <w:spacing w:val="15"/>
          <w:sz w:val="20"/>
          <w:szCs w:val="20"/>
        </w:rPr>
        <w:t xml:space="preserve"> </w:t>
      </w:r>
      <w:r w:rsidRPr="00B004EE">
        <w:rPr>
          <w:rFonts w:ascii="Tahoma" w:eastAsia="American Typewriter" w:hAnsi="Tahoma" w:cs="Tahoma"/>
          <w:sz w:val="20"/>
          <w:szCs w:val="20"/>
        </w:rPr>
        <w:t>mer</w:t>
      </w:r>
      <w:r w:rsidR="00DB1635" w:rsidRPr="00B004EE">
        <w:rPr>
          <w:rFonts w:ascii="Tahoma" w:eastAsia="American Typewriter" w:hAnsi="Tahoma" w:cs="Tahoma"/>
          <w:spacing w:val="15"/>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pacing w:val="15"/>
          <w:sz w:val="20"/>
          <w:szCs w:val="20"/>
        </w:rPr>
        <w:t xml:space="preserve"> </w:t>
      </w:r>
      <w:r w:rsidRPr="00B004EE">
        <w:rPr>
          <w:rFonts w:ascii="Tahoma" w:eastAsia="American Typewriter" w:hAnsi="Tahoma" w:cs="Tahoma"/>
          <w:sz w:val="20"/>
          <w:szCs w:val="20"/>
        </w:rPr>
        <w:t>filets</w:t>
      </w:r>
      <w:r w:rsidR="00DB1635" w:rsidRPr="00B004EE">
        <w:rPr>
          <w:rFonts w:ascii="Tahoma" w:eastAsia="American Typewriter" w:hAnsi="Tahoma" w:cs="Tahoma"/>
          <w:spacing w:val="15"/>
          <w:sz w:val="20"/>
          <w:szCs w:val="20"/>
        </w:rPr>
        <w:t xml:space="preserve"> </w:t>
      </w:r>
      <w:r w:rsidRPr="00B004EE">
        <w:rPr>
          <w:rFonts w:ascii="Tahoma" w:eastAsia="American Typewriter" w:hAnsi="Tahoma" w:cs="Tahoma"/>
          <w:sz w:val="20"/>
          <w:szCs w:val="20"/>
        </w:rPr>
        <w:t>ou</w:t>
      </w:r>
      <w:r w:rsidR="00DB1635" w:rsidRPr="00B004EE">
        <w:rPr>
          <w:rFonts w:ascii="Tahoma" w:eastAsia="American Typewriter" w:hAnsi="Tahoma" w:cs="Tahoma"/>
          <w:spacing w:val="14"/>
          <w:sz w:val="20"/>
          <w:szCs w:val="20"/>
        </w:rPr>
        <w:t xml:space="preserve"> </w:t>
      </w:r>
      <w:r w:rsidRPr="00B004EE">
        <w:rPr>
          <w:rFonts w:ascii="Tahoma" w:eastAsia="American Typewriter" w:hAnsi="Tahoma" w:cs="Tahoma"/>
          <w:sz w:val="20"/>
          <w:szCs w:val="20"/>
        </w:rPr>
        <w:t>engins</w:t>
      </w:r>
      <w:r w:rsidR="00DB1635" w:rsidRPr="00B004EE">
        <w:rPr>
          <w:rFonts w:ascii="Tahoma" w:eastAsia="American Typewriter" w:hAnsi="Tahoma" w:cs="Tahoma"/>
          <w:spacing w:val="13"/>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pacing w:val="14"/>
          <w:sz w:val="20"/>
          <w:szCs w:val="20"/>
        </w:rPr>
        <w:t xml:space="preserve"> </w:t>
      </w:r>
      <w:r w:rsidRPr="00B004EE">
        <w:rPr>
          <w:rFonts w:ascii="Tahoma" w:eastAsia="American Typewriter" w:hAnsi="Tahoma" w:cs="Tahoma"/>
          <w:sz w:val="20"/>
          <w:szCs w:val="20"/>
        </w:rPr>
        <w:t>pêche</w:t>
      </w:r>
      <w:r w:rsidR="00DB1635" w:rsidRPr="00B004EE">
        <w:rPr>
          <w:rFonts w:ascii="Tahoma" w:eastAsia="American Typewriter" w:hAnsi="Tahoma" w:cs="Tahoma"/>
          <w:spacing w:val="14"/>
          <w:sz w:val="20"/>
          <w:szCs w:val="20"/>
        </w:rPr>
        <w:t xml:space="preserve"> </w:t>
      </w:r>
      <w:r w:rsidRPr="00B004EE">
        <w:rPr>
          <w:rFonts w:ascii="Tahoma" w:eastAsia="American Typewriter" w:hAnsi="Tahoma" w:cs="Tahoma"/>
          <w:sz w:val="20"/>
          <w:szCs w:val="20"/>
        </w:rPr>
        <w:t>non</w:t>
      </w:r>
      <w:r w:rsidR="00DB1635" w:rsidRPr="00B004EE">
        <w:rPr>
          <w:rFonts w:ascii="Tahoma" w:eastAsia="American Typewriter" w:hAnsi="Tahoma" w:cs="Tahoma"/>
          <w:spacing w:val="14"/>
          <w:sz w:val="20"/>
          <w:szCs w:val="20"/>
        </w:rPr>
        <w:t xml:space="preserve"> </w:t>
      </w:r>
      <w:r w:rsidRPr="00B004EE">
        <w:rPr>
          <w:rFonts w:ascii="Tahoma" w:eastAsia="American Typewriter" w:hAnsi="Tahoma" w:cs="Tahoma"/>
          <w:sz w:val="20"/>
          <w:szCs w:val="20"/>
        </w:rPr>
        <w:t>autorisé,</w:t>
      </w:r>
      <w:r w:rsidR="00DB1635" w:rsidRPr="00B004EE">
        <w:rPr>
          <w:rFonts w:ascii="Tahoma" w:eastAsia="American Typewriter" w:hAnsi="Tahoma" w:cs="Tahoma"/>
          <w:spacing w:val="14"/>
          <w:sz w:val="20"/>
          <w:szCs w:val="20"/>
        </w:rPr>
        <w:t xml:space="preserve"> </w:t>
      </w:r>
      <w:r w:rsidRPr="00B004EE">
        <w:rPr>
          <w:rFonts w:ascii="Tahoma" w:eastAsia="American Typewriter" w:hAnsi="Tahoma" w:cs="Tahoma"/>
          <w:sz w:val="20"/>
          <w:szCs w:val="20"/>
        </w:rPr>
        <w:t>sauf</w:t>
      </w:r>
      <w:r w:rsidR="00DB1635" w:rsidRPr="00B004EE">
        <w:rPr>
          <w:rFonts w:ascii="Tahoma" w:eastAsia="American Typewriter" w:hAnsi="Tahoma" w:cs="Tahoma"/>
          <w:spacing w:val="13"/>
          <w:sz w:val="20"/>
          <w:szCs w:val="20"/>
        </w:rPr>
        <w:t xml:space="preserve"> </w:t>
      </w:r>
      <w:r w:rsidRPr="00B004EE">
        <w:rPr>
          <w:rFonts w:ascii="Tahoma" w:eastAsia="American Typewriter" w:hAnsi="Tahoma" w:cs="Tahoma"/>
          <w:sz w:val="20"/>
          <w:szCs w:val="20"/>
        </w:rPr>
        <w:t>pour</w:t>
      </w:r>
      <w:r w:rsidR="00DB1635" w:rsidRPr="00B004EE">
        <w:rPr>
          <w:rFonts w:ascii="Tahoma" w:eastAsia="American Typewriter" w:hAnsi="Tahoma" w:cs="Tahoma"/>
          <w:spacing w:val="13"/>
          <w:sz w:val="20"/>
          <w:szCs w:val="20"/>
        </w:rPr>
        <w:t xml:space="preserve"> </w:t>
      </w:r>
      <w:r w:rsidRPr="00B004EE">
        <w:rPr>
          <w:rFonts w:ascii="Tahoma" w:eastAsia="American Typewriter" w:hAnsi="Tahoma" w:cs="Tahoma"/>
          <w:sz w:val="20"/>
          <w:szCs w:val="20"/>
        </w:rPr>
        <w:t>des</w:t>
      </w:r>
      <w:r w:rsidR="00DB1635" w:rsidRPr="00B004EE">
        <w:rPr>
          <w:rFonts w:ascii="Tahoma" w:eastAsia="American Typewriter" w:hAnsi="Tahoma" w:cs="Tahoma"/>
          <w:w w:val="94"/>
          <w:sz w:val="20"/>
          <w:szCs w:val="20"/>
        </w:rPr>
        <w:t xml:space="preserve"> </w:t>
      </w:r>
      <w:r w:rsidRPr="00B004EE">
        <w:rPr>
          <w:rFonts w:ascii="Tahoma" w:eastAsia="American Typewriter" w:hAnsi="Tahoma" w:cs="Tahoma"/>
          <w:sz w:val="20"/>
          <w:szCs w:val="20"/>
        </w:rPr>
        <w:t>raisons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techniques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ou</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sécurité</w:t>
      </w:r>
      <w:r w:rsidR="00DB1635" w:rsidRPr="00B004EE">
        <w:rPr>
          <w:rFonts w:ascii="Tahoma" w:eastAsia="American Typewriter" w:hAnsi="Tahoma" w:cs="Tahoma"/>
          <w:spacing w:val="20"/>
          <w:sz w:val="20"/>
          <w:szCs w:val="20"/>
        </w:rPr>
        <w:t xml:space="preserve"> </w:t>
      </w:r>
      <w:r w:rsidRPr="00B004EE">
        <w:rPr>
          <w:rFonts w:ascii="Tahoma" w:eastAsia="American Typewriter" w:hAnsi="Tahoma" w:cs="Tahoma"/>
          <w:sz w:val="20"/>
          <w:szCs w:val="20"/>
        </w:rPr>
        <w:t>;</w:t>
      </w:r>
    </w:p>
    <w:p w14:paraId="041E9D66" w14:textId="78CE2F64" w:rsidR="001E7C3C" w:rsidRPr="00B004EE" w:rsidRDefault="001E7C3C" w:rsidP="00420DDA">
      <w:pPr>
        <w:pStyle w:val="Paragraphedeliste"/>
        <w:widowControl w:val="0"/>
        <w:numPr>
          <w:ilvl w:val="0"/>
          <w:numId w:val="31"/>
        </w:numPr>
        <w:tabs>
          <w:tab w:val="left" w:pos="870"/>
        </w:tabs>
        <w:ind w:right="559"/>
        <w:rPr>
          <w:rFonts w:ascii="Tahoma" w:eastAsia="American Typewriter" w:hAnsi="Tahoma" w:cs="Tahoma"/>
          <w:sz w:val="20"/>
          <w:szCs w:val="20"/>
        </w:rPr>
      </w:pPr>
      <w:proofErr w:type="gramStart"/>
      <w:r w:rsidRPr="00B004EE">
        <w:rPr>
          <w:rFonts w:ascii="Tahoma" w:eastAsia="American Typewriter" w:hAnsi="Tahoma" w:cs="Tahoma"/>
          <w:sz w:val="20"/>
          <w:szCs w:val="20"/>
        </w:rPr>
        <w:t>le</w:t>
      </w:r>
      <w:proofErr w:type="gramEnd"/>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défaut</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d’embarquement</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du</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quota</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marins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mauritaniens</w:t>
      </w:r>
      <w:r w:rsidR="00DB1635" w:rsidRPr="00B004EE">
        <w:rPr>
          <w:rFonts w:ascii="Tahoma" w:eastAsia="American Typewriter" w:hAnsi="Tahoma" w:cs="Tahoma"/>
          <w:spacing w:val="-3"/>
          <w:sz w:val="20"/>
          <w:szCs w:val="20"/>
        </w:rPr>
        <w:t xml:space="preserve"> </w:t>
      </w:r>
      <w:r w:rsidRPr="00B004EE">
        <w:rPr>
          <w:rFonts w:ascii="Tahoma" w:eastAsia="American Typewriter" w:hAnsi="Tahoma" w:cs="Tahoma"/>
          <w:sz w:val="20"/>
          <w:szCs w:val="20"/>
        </w:rPr>
        <w:t>;</w:t>
      </w:r>
    </w:p>
    <w:p w14:paraId="258903CF" w14:textId="1C0D5464" w:rsidR="001E7C3C" w:rsidRPr="00B004EE" w:rsidRDefault="001E7C3C" w:rsidP="00420DDA">
      <w:pPr>
        <w:pStyle w:val="Paragraphedeliste"/>
        <w:widowControl w:val="0"/>
        <w:numPr>
          <w:ilvl w:val="0"/>
          <w:numId w:val="31"/>
        </w:numPr>
        <w:tabs>
          <w:tab w:val="left" w:pos="870"/>
        </w:tabs>
        <w:ind w:right="559"/>
        <w:rPr>
          <w:rFonts w:ascii="Tahoma" w:eastAsia="American Typewriter" w:hAnsi="Tahoma" w:cs="Tahoma"/>
          <w:sz w:val="20"/>
          <w:szCs w:val="20"/>
        </w:rPr>
      </w:pPr>
      <w:proofErr w:type="gramStart"/>
      <w:r w:rsidRPr="00B004EE">
        <w:rPr>
          <w:rFonts w:ascii="Tahoma" w:hAnsi="Tahoma" w:cs="Tahoma"/>
          <w:sz w:val="20"/>
          <w:szCs w:val="20"/>
        </w:rPr>
        <w:t>le</w:t>
      </w:r>
      <w:proofErr w:type="gramEnd"/>
      <w:r w:rsidR="00DB1635" w:rsidRPr="00B004EE">
        <w:rPr>
          <w:rFonts w:ascii="Tahoma" w:hAnsi="Tahoma" w:cs="Tahoma"/>
          <w:spacing w:val="-5"/>
          <w:sz w:val="20"/>
          <w:szCs w:val="20"/>
        </w:rPr>
        <w:t xml:space="preserve"> </w:t>
      </w:r>
      <w:r w:rsidRPr="00B004EE">
        <w:rPr>
          <w:rFonts w:ascii="Tahoma" w:hAnsi="Tahoma" w:cs="Tahoma"/>
          <w:sz w:val="20"/>
          <w:szCs w:val="20"/>
        </w:rPr>
        <w:t>refus</w:t>
      </w:r>
      <w:r w:rsidR="00DB1635" w:rsidRPr="00B004EE">
        <w:rPr>
          <w:rFonts w:ascii="Tahoma" w:hAnsi="Tahoma" w:cs="Tahoma"/>
          <w:spacing w:val="-6"/>
          <w:sz w:val="20"/>
          <w:szCs w:val="20"/>
        </w:rPr>
        <w:t xml:space="preserve"> </w:t>
      </w:r>
      <w:r w:rsidRPr="00B004EE">
        <w:rPr>
          <w:rFonts w:ascii="Tahoma" w:hAnsi="Tahoma" w:cs="Tahoma"/>
          <w:sz w:val="20"/>
          <w:szCs w:val="20"/>
        </w:rPr>
        <w:t>d'obtempérer</w:t>
      </w:r>
      <w:r w:rsidR="00DB1635" w:rsidRPr="00B004EE">
        <w:rPr>
          <w:rFonts w:ascii="Tahoma" w:hAnsi="Tahoma" w:cs="Tahoma"/>
          <w:spacing w:val="-6"/>
          <w:sz w:val="20"/>
          <w:szCs w:val="20"/>
        </w:rPr>
        <w:t xml:space="preserve"> </w:t>
      </w:r>
      <w:r w:rsidRPr="00B004EE">
        <w:rPr>
          <w:rFonts w:ascii="Tahoma" w:hAnsi="Tahoma" w:cs="Tahoma"/>
          <w:sz w:val="20"/>
          <w:szCs w:val="20"/>
        </w:rPr>
        <w:t>à</w:t>
      </w:r>
      <w:r w:rsidR="00DB1635" w:rsidRPr="00B004EE">
        <w:rPr>
          <w:rFonts w:ascii="Tahoma" w:hAnsi="Tahoma" w:cs="Tahoma"/>
          <w:spacing w:val="-4"/>
          <w:sz w:val="20"/>
          <w:szCs w:val="20"/>
        </w:rPr>
        <w:t xml:space="preserve"> </w:t>
      </w:r>
      <w:r w:rsidRPr="00B004EE">
        <w:rPr>
          <w:rFonts w:ascii="Tahoma" w:hAnsi="Tahoma" w:cs="Tahoma"/>
          <w:sz w:val="20"/>
          <w:szCs w:val="20"/>
        </w:rPr>
        <w:t>un</w:t>
      </w:r>
      <w:r w:rsidR="00DB1635" w:rsidRPr="00B004EE">
        <w:rPr>
          <w:rFonts w:ascii="Tahoma" w:hAnsi="Tahoma" w:cs="Tahoma"/>
          <w:spacing w:val="-5"/>
          <w:sz w:val="20"/>
          <w:szCs w:val="20"/>
        </w:rPr>
        <w:t xml:space="preserve"> </w:t>
      </w:r>
      <w:r w:rsidRPr="00B004EE">
        <w:rPr>
          <w:rFonts w:ascii="Tahoma" w:hAnsi="Tahoma" w:cs="Tahoma"/>
          <w:sz w:val="20"/>
          <w:szCs w:val="20"/>
        </w:rPr>
        <w:t>ordre</w:t>
      </w:r>
      <w:r w:rsidR="00DB1635" w:rsidRPr="00B004EE">
        <w:rPr>
          <w:rFonts w:ascii="Tahoma" w:hAnsi="Tahoma" w:cs="Tahoma"/>
          <w:spacing w:val="-5"/>
          <w:sz w:val="20"/>
          <w:szCs w:val="20"/>
        </w:rPr>
        <w:t xml:space="preserve"> </w:t>
      </w:r>
      <w:r w:rsidRPr="00B004EE">
        <w:rPr>
          <w:rFonts w:ascii="Tahoma" w:hAnsi="Tahoma" w:cs="Tahoma"/>
          <w:sz w:val="20"/>
          <w:szCs w:val="20"/>
        </w:rPr>
        <w:t>donné</w:t>
      </w:r>
      <w:r w:rsidR="00DB1635" w:rsidRPr="00B004EE">
        <w:rPr>
          <w:rFonts w:ascii="Tahoma" w:hAnsi="Tahoma" w:cs="Tahoma"/>
          <w:spacing w:val="-5"/>
          <w:sz w:val="20"/>
          <w:szCs w:val="20"/>
        </w:rPr>
        <w:t xml:space="preserve"> </w:t>
      </w:r>
      <w:r w:rsidRPr="00B004EE">
        <w:rPr>
          <w:rFonts w:ascii="Tahoma" w:hAnsi="Tahoma" w:cs="Tahoma"/>
          <w:sz w:val="20"/>
          <w:szCs w:val="20"/>
        </w:rPr>
        <w:t>par</w:t>
      </w:r>
      <w:r w:rsidR="00DB1635" w:rsidRPr="00B004EE">
        <w:rPr>
          <w:rFonts w:ascii="Tahoma" w:hAnsi="Tahoma" w:cs="Tahoma"/>
          <w:spacing w:val="-6"/>
          <w:sz w:val="20"/>
          <w:szCs w:val="20"/>
        </w:rPr>
        <w:t xml:space="preserve"> </w:t>
      </w:r>
      <w:r w:rsidRPr="00B004EE">
        <w:rPr>
          <w:rFonts w:ascii="Tahoma" w:hAnsi="Tahoma" w:cs="Tahoma"/>
          <w:sz w:val="20"/>
          <w:szCs w:val="20"/>
        </w:rPr>
        <w:t>les</w:t>
      </w:r>
      <w:r w:rsidR="00DB1635" w:rsidRPr="00B004EE">
        <w:rPr>
          <w:rFonts w:ascii="Tahoma" w:hAnsi="Tahoma" w:cs="Tahoma"/>
          <w:spacing w:val="-5"/>
          <w:sz w:val="20"/>
          <w:szCs w:val="20"/>
        </w:rPr>
        <w:t xml:space="preserve"> </w:t>
      </w:r>
      <w:r w:rsidRPr="00B004EE">
        <w:rPr>
          <w:rFonts w:ascii="Tahoma" w:hAnsi="Tahoma" w:cs="Tahoma"/>
          <w:sz w:val="20"/>
          <w:szCs w:val="20"/>
        </w:rPr>
        <w:t>agents</w:t>
      </w:r>
      <w:r w:rsidR="00DB1635" w:rsidRPr="00B004EE">
        <w:rPr>
          <w:rFonts w:ascii="Tahoma" w:hAnsi="Tahoma" w:cs="Tahoma"/>
          <w:spacing w:val="-5"/>
          <w:sz w:val="20"/>
          <w:szCs w:val="20"/>
        </w:rPr>
        <w:t xml:space="preserve"> </w:t>
      </w:r>
      <w:r w:rsidRPr="00B004EE">
        <w:rPr>
          <w:rFonts w:ascii="Tahoma" w:hAnsi="Tahoma" w:cs="Tahoma"/>
          <w:sz w:val="20"/>
          <w:szCs w:val="20"/>
        </w:rPr>
        <w:t>de</w:t>
      </w:r>
      <w:r w:rsidR="00DB1635" w:rsidRPr="00B004EE">
        <w:rPr>
          <w:rFonts w:ascii="Tahoma" w:hAnsi="Tahoma" w:cs="Tahoma"/>
          <w:spacing w:val="-3"/>
          <w:sz w:val="20"/>
          <w:szCs w:val="20"/>
        </w:rPr>
        <w:t xml:space="preserve"> </w:t>
      </w:r>
      <w:r w:rsidRPr="00B004EE">
        <w:rPr>
          <w:rFonts w:ascii="Tahoma" w:hAnsi="Tahoma" w:cs="Tahoma"/>
          <w:sz w:val="20"/>
          <w:szCs w:val="20"/>
        </w:rPr>
        <w:t>contrôle</w:t>
      </w:r>
      <w:r w:rsidR="00DB1635" w:rsidRPr="00B004EE">
        <w:rPr>
          <w:rFonts w:ascii="Tahoma" w:hAnsi="Tahoma" w:cs="Tahoma"/>
          <w:spacing w:val="-4"/>
          <w:sz w:val="20"/>
          <w:szCs w:val="20"/>
        </w:rPr>
        <w:t xml:space="preserve"> </w:t>
      </w:r>
      <w:r w:rsidRPr="00B004EE">
        <w:rPr>
          <w:rFonts w:ascii="Tahoma" w:hAnsi="Tahoma" w:cs="Tahoma"/>
          <w:sz w:val="20"/>
          <w:szCs w:val="20"/>
        </w:rPr>
        <w:t>;</w:t>
      </w:r>
    </w:p>
    <w:p w14:paraId="1463E70E" w14:textId="2E0AD6C0" w:rsidR="001E7C3C" w:rsidRPr="00B004EE" w:rsidRDefault="001E7C3C" w:rsidP="00420DDA">
      <w:pPr>
        <w:pStyle w:val="Paragraphedeliste"/>
        <w:widowControl w:val="0"/>
        <w:numPr>
          <w:ilvl w:val="0"/>
          <w:numId w:val="31"/>
        </w:numPr>
        <w:tabs>
          <w:tab w:val="left" w:pos="870"/>
        </w:tabs>
        <w:ind w:right="164"/>
        <w:jc w:val="both"/>
        <w:rPr>
          <w:rFonts w:ascii="Tahoma" w:eastAsia="American Typewriter" w:hAnsi="Tahoma" w:cs="Tahoma"/>
          <w:sz w:val="20"/>
          <w:szCs w:val="20"/>
        </w:rPr>
      </w:pPr>
      <w:proofErr w:type="gramStart"/>
      <w:r w:rsidRPr="00B004EE">
        <w:rPr>
          <w:rFonts w:ascii="Tahoma" w:hAnsi="Tahoma" w:cs="Tahoma"/>
          <w:sz w:val="20"/>
          <w:szCs w:val="20"/>
        </w:rPr>
        <w:t>le</w:t>
      </w:r>
      <w:proofErr w:type="gramEnd"/>
      <w:r w:rsidR="00DB1635" w:rsidRPr="00B004EE">
        <w:rPr>
          <w:rFonts w:ascii="Tahoma" w:hAnsi="Tahoma" w:cs="Tahoma"/>
          <w:sz w:val="20"/>
          <w:szCs w:val="20"/>
        </w:rPr>
        <w:t xml:space="preserve"> </w:t>
      </w:r>
      <w:r w:rsidRPr="00B004EE">
        <w:rPr>
          <w:rFonts w:ascii="Tahoma" w:hAnsi="Tahoma" w:cs="Tahoma"/>
          <w:sz w:val="20"/>
          <w:szCs w:val="20"/>
        </w:rPr>
        <w:t>refus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communiquer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informations</w:t>
      </w:r>
      <w:r w:rsidR="00DB1635" w:rsidRPr="00B004EE">
        <w:rPr>
          <w:rFonts w:ascii="Tahoma" w:hAnsi="Tahoma" w:cs="Tahoma"/>
          <w:sz w:val="20"/>
          <w:szCs w:val="20"/>
        </w:rPr>
        <w:t xml:space="preserve"> </w:t>
      </w:r>
      <w:r w:rsidRPr="00B004EE">
        <w:rPr>
          <w:rFonts w:ascii="Tahoma" w:hAnsi="Tahoma" w:cs="Tahoma"/>
          <w:sz w:val="20"/>
          <w:szCs w:val="20"/>
        </w:rPr>
        <w:t>sur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captures</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pacing w:val="-21"/>
          <w:sz w:val="20"/>
          <w:szCs w:val="20"/>
        </w:rPr>
        <w:t xml:space="preserve"> </w:t>
      </w:r>
      <w:r w:rsidRPr="00B004EE">
        <w:rPr>
          <w:rFonts w:ascii="Tahoma" w:hAnsi="Tahoma" w:cs="Tahoma"/>
          <w:sz w:val="20"/>
          <w:szCs w:val="20"/>
        </w:rPr>
        <w:t>faire</w:t>
      </w:r>
      <w:r w:rsidR="00DB1635" w:rsidRPr="00B004EE">
        <w:rPr>
          <w:rFonts w:ascii="Tahoma" w:hAnsi="Tahoma" w:cs="Tahoma"/>
          <w:w w:val="94"/>
          <w:sz w:val="20"/>
          <w:szCs w:val="20"/>
        </w:rPr>
        <w:t xml:space="preserve"> </w:t>
      </w:r>
      <w:r w:rsidRPr="00B004EE">
        <w:rPr>
          <w:rFonts w:ascii="Tahoma" w:hAnsi="Tahoma" w:cs="Tahoma"/>
          <w:sz w:val="20"/>
          <w:szCs w:val="20"/>
        </w:rPr>
        <w:t>mention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captures</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journaux</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pacing w:val="35"/>
          <w:sz w:val="20"/>
          <w:szCs w:val="20"/>
        </w:rPr>
        <w:t xml:space="preserve"> </w:t>
      </w:r>
      <w:r w:rsidRPr="00B004EE">
        <w:rPr>
          <w:rFonts w:ascii="Tahoma" w:hAnsi="Tahoma" w:cs="Tahoma"/>
          <w:sz w:val="20"/>
          <w:szCs w:val="20"/>
        </w:rPr>
        <w:t>fourniture</w:t>
      </w:r>
      <w:r w:rsidR="00DB1635" w:rsidRPr="00B004EE">
        <w:rPr>
          <w:rFonts w:ascii="Tahoma" w:hAnsi="Tahoma" w:cs="Tahoma"/>
          <w:w w:val="94"/>
          <w:sz w:val="20"/>
          <w:szCs w:val="20"/>
        </w:rPr>
        <w:t xml:space="preserve"> </w:t>
      </w:r>
      <w:r w:rsidRPr="00B004EE">
        <w:rPr>
          <w:rFonts w:ascii="Tahoma" w:hAnsi="Tahoma" w:cs="Tahoma"/>
          <w:sz w:val="20"/>
          <w:szCs w:val="20"/>
        </w:rPr>
        <w:t>intentionnelle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données</w:t>
      </w:r>
      <w:r w:rsidR="00DB1635" w:rsidRPr="00B004EE">
        <w:rPr>
          <w:rFonts w:ascii="Tahoma" w:hAnsi="Tahoma" w:cs="Tahoma"/>
          <w:sz w:val="20"/>
          <w:szCs w:val="20"/>
        </w:rPr>
        <w:t xml:space="preserve"> </w:t>
      </w:r>
      <w:r w:rsidRPr="00B004EE">
        <w:rPr>
          <w:rFonts w:ascii="Tahoma" w:hAnsi="Tahoma" w:cs="Tahoma"/>
          <w:sz w:val="20"/>
          <w:szCs w:val="20"/>
        </w:rPr>
        <w:t>fausses</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incomplètes;</w:t>
      </w:r>
    </w:p>
    <w:p w14:paraId="57A3C92B" w14:textId="1BEA1626" w:rsidR="001E7C3C" w:rsidRPr="00B004EE" w:rsidRDefault="001E7C3C" w:rsidP="00420DDA">
      <w:pPr>
        <w:pStyle w:val="Paragraphedeliste"/>
        <w:widowControl w:val="0"/>
        <w:numPr>
          <w:ilvl w:val="0"/>
          <w:numId w:val="31"/>
        </w:numPr>
        <w:tabs>
          <w:tab w:val="left" w:pos="870"/>
        </w:tabs>
        <w:ind w:right="165"/>
        <w:jc w:val="both"/>
        <w:rPr>
          <w:rFonts w:ascii="Tahoma" w:eastAsia="American Typewriter" w:hAnsi="Tahoma" w:cs="Tahoma"/>
          <w:sz w:val="20"/>
          <w:szCs w:val="20"/>
        </w:rPr>
      </w:pPr>
      <w:proofErr w:type="gramStart"/>
      <w:r w:rsidRPr="00B004EE">
        <w:rPr>
          <w:rFonts w:ascii="Tahoma" w:eastAsia="American Typewriter" w:hAnsi="Tahoma" w:cs="Tahoma"/>
          <w:sz w:val="20"/>
          <w:szCs w:val="20"/>
        </w:rPr>
        <w:t>la</w:t>
      </w:r>
      <w:proofErr w:type="gramEnd"/>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destruction</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ou</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la</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dissimulation</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du</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marquage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ou</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autres</w:t>
      </w:r>
      <w:r w:rsidR="00DB1635" w:rsidRPr="00B004EE">
        <w:rPr>
          <w:rFonts w:ascii="Tahoma" w:eastAsia="American Typewriter" w:hAnsi="Tahoma" w:cs="Tahoma"/>
          <w:spacing w:val="17"/>
          <w:sz w:val="20"/>
          <w:szCs w:val="20"/>
        </w:rPr>
        <w:t xml:space="preserve"> </w:t>
      </w:r>
      <w:r w:rsidRPr="00B004EE">
        <w:rPr>
          <w:rFonts w:ascii="Tahoma" w:eastAsia="American Typewriter" w:hAnsi="Tahoma" w:cs="Tahoma"/>
          <w:sz w:val="20"/>
          <w:szCs w:val="20"/>
        </w:rPr>
        <w:t>dispositifs</w:t>
      </w:r>
      <w:r w:rsidR="00DB1635" w:rsidRPr="00B004EE">
        <w:rPr>
          <w:rFonts w:ascii="Tahoma" w:eastAsia="American Typewriter" w:hAnsi="Tahoma" w:cs="Tahoma"/>
          <w:w w:val="94"/>
          <w:sz w:val="20"/>
          <w:szCs w:val="20"/>
        </w:rPr>
        <w:t xml:space="preserve"> </w:t>
      </w:r>
      <w:r w:rsidRPr="00B004EE">
        <w:rPr>
          <w:rFonts w:ascii="Tahoma" w:eastAsia="American Typewriter" w:hAnsi="Tahoma" w:cs="Tahoma"/>
          <w:sz w:val="20"/>
          <w:szCs w:val="20"/>
        </w:rPr>
        <w:t>d’identification</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navires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pacing w:val="12"/>
          <w:sz w:val="20"/>
          <w:szCs w:val="20"/>
        </w:rPr>
        <w:t xml:space="preserve"> </w:t>
      </w:r>
      <w:r w:rsidRPr="00B004EE">
        <w:rPr>
          <w:rFonts w:ascii="Tahoma" w:eastAsia="American Typewriter" w:hAnsi="Tahoma" w:cs="Tahoma"/>
          <w:sz w:val="20"/>
          <w:szCs w:val="20"/>
        </w:rPr>
        <w:t>pêche;</w:t>
      </w:r>
    </w:p>
    <w:p w14:paraId="0892F19B" w14:textId="77777777" w:rsidR="00681151" w:rsidRPr="00B004EE" w:rsidRDefault="00681151" w:rsidP="00B004EE">
      <w:pPr>
        <w:pStyle w:val="Corpsdetexte"/>
        <w:ind w:right="559"/>
        <w:rPr>
          <w:rFonts w:ascii="Tahoma" w:hAnsi="Tahoma" w:cs="Tahoma"/>
          <w:sz w:val="20"/>
          <w:szCs w:val="20"/>
        </w:rPr>
      </w:pPr>
    </w:p>
    <w:p w14:paraId="41696298" w14:textId="25D36A3B" w:rsidR="001E7C3C" w:rsidRPr="00B004EE" w:rsidRDefault="001E7C3C" w:rsidP="00B004EE">
      <w:pPr>
        <w:pStyle w:val="Corpsdetexte"/>
        <w:ind w:right="559"/>
        <w:rPr>
          <w:rFonts w:ascii="Tahoma" w:hAnsi="Tahoma" w:cs="Tahoma"/>
          <w:sz w:val="20"/>
          <w:szCs w:val="20"/>
        </w:rPr>
      </w:pPr>
      <w:r w:rsidRPr="00B004EE">
        <w:rPr>
          <w:rFonts w:ascii="Tahoma" w:hAnsi="Tahoma" w:cs="Tahoma"/>
          <w:sz w:val="20"/>
          <w:szCs w:val="20"/>
        </w:rPr>
        <w:t>Les</w:t>
      </w:r>
      <w:r w:rsidR="00DB1635" w:rsidRPr="00B004EE">
        <w:rPr>
          <w:rFonts w:ascii="Tahoma" w:hAnsi="Tahoma" w:cs="Tahoma"/>
          <w:spacing w:val="-29"/>
          <w:sz w:val="20"/>
          <w:szCs w:val="20"/>
        </w:rPr>
        <w:t xml:space="preserve"> </w:t>
      </w:r>
      <w:r w:rsidRPr="00B004EE">
        <w:rPr>
          <w:rFonts w:ascii="Tahoma" w:hAnsi="Tahoma" w:cs="Tahoma"/>
          <w:sz w:val="20"/>
          <w:szCs w:val="20"/>
        </w:rPr>
        <w:t>infractions</w:t>
      </w:r>
      <w:r w:rsidR="00DB1635" w:rsidRPr="00B004EE">
        <w:rPr>
          <w:rFonts w:ascii="Tahoma" w:hAnsi="Tahoma" w:cs="Tahoma"/>
          <w:spacing w:val="-30"/>
          <w:sz w:val="20"/>
          <w:szCs w:val="20"/>
        </w:rPr>
        <w:t xml:space="preserve"> </w:t>
      </w:r>
      <w:r w:rsidRPr="00B004EE">
        <w:rPr>
          <w:rFonts w:ascii="Tahoma" w:hAnsi="Tahoma" w:cs="Tahoma"/>
          <w:sz w:val="20"/>
          <w:szCs w:val="20"/>
        </w:rPr>
        <w:t>de</w:t>
      </w:r>
      <w:r w:rsidR="00DB1635" w:rsidRPr="00B004EE">
        <w:rPr>
          <w:rFonts w:ascii="Tahoma" w:hAnsi="Tahoma" w:cs="Tahoma"/>
          <w:spacing w:val="-29"/>
          <w:sz w:val="20"/>
          <w:szCs w:val="20"/>
        </w:rPr>
        <w:t xml:space="preserve"> </w:t>
      </w:r>
      <w:r w:rsidRPr="00B004EE">
        <w:rPr>
          <w:rFonts w:ascii="Tahoma" w:hAnsi="Tahoma" w:cs="Tahoma"/>
          <w:sz w:val="20"/>
          <w:szCs w:val="20"/>
        </w:rPr>
        <w:t>pêche</w:t>
      </w:r>
      <w:r w:rsidR="00DB1635" w:rsidRPr="00B004EE">
        <w:rPr>
          <w:rFonts w:ascii="Tahoma" w:hAnsi="Tahoma" w:cs="Tahoma"/>
          <w:spacing w:val="-29"/>
          <w:sz w:val="20"/>
          <w:szCs w:val="20"/>
        </w:rPr>
        <w:t xml:space="preserve"> </w:t>
      </w:r>
      <w:r w:rsidRPr="00B004EE">
        <w:rPr>
          <w:rFonts w:ascii="Tahoma" w:hAnsi="Tahoma" w:cs="Tahoma"/>
          <w:sz w:val="20"/>
          <w:szCs w:val="20"/>
        </w:rPr>
        <w:t>graves</w:t>
      </w:r>
      <w:r w:rsidR="00DB1635" w:rsidRPr="00B004EE">
        <w:rPr>
          <w:rFonts w:ascii="Tahoma" w:hAnsi="Tahoma" w:cs="Tahoma"/>
          <w:spacing w:val="-28"/>
          <w:sz w:val="20"/>
          <w:szCs w:val="20"/>
        </w:rPr>
        <w:t xml:space="preserve"> </w:t>
      </w:r>
      <w:r w:rsidRPr="00B004EE">
        <w:rPr>
          <w:rFonts w:ascii="Tahoma" w:hAnsi="Tahoma" w:cs="Tahoma"/>
          <w:sz w:val="20"/>
          <w:szCs w:val="20"/>
        </w:rPr>
        <w:t>seront</w:t>
      </w:r>
      <w:r w:rsidR="00DB1635" w:rsidRPr="00B004EE">
        <w:rPr>
          <w:rFonts w:ascii="Tahoma" w:hAnsi="Tahoma" w:cs="Tahoma"/>
          <w:spacing w:val="-29"/>
          <w:sz w:val="20"/>
          <w:szCs w:val="20"/>
        </w:rPr>
        <w:t xml:space="preserve"> </w:t>
      </w:r>
      <w:r w:rsidRPr="00B004EE">
        <w:rPr>
          <w:rFonts w:ascii="Tahoma" w:hAnsi="Tahoma" w:cs="Tahoma"/>
          <w:sz w:val="20"/>
          <w:szCs w:val="20"/>
        </w:rPr>
        <w:t>punies</w:t>
      </w:r>
      <w:r w:rsidR="00DB1635" w:rsidRPr="00B004EE">
        <w:rPr>
          <w:rFonts w:ascii="Tahoma" w:hAnsi="Tahoma" w:cs="Tahoma"/>
          <w:spacing w:val="-29"/>
          <w:sz w:val="20"/>
          <w:szCs w:val="20"/>
        </w:rPr>
        <w:t xml:space="preserve"> </w:t>
      </w:r>
      <w:r w:rsidRPr="00B004EE">
        <w:rPr>
          <w:rFonts w:ascii="Tahoma" w:hAnsi="Tahoma" w:cs="Tahoma"/>
          <w:sz w:val="20"/>
          <w:szCs w:val="20"/>
        </w:rPr>
        <w:t>d'une</w:t>
      </w:r>
      <w:r w:rsidR="00DB1635" w:rsidRPr="00B004EE">
        <w:rPr>
          <w:rFonts w:ascii="Tahoma" w:hAnsi="Tahoma" w:cs="Tahoma"/>
          <w:spacing w:val="-29"/>
          <w:sz w:val="20"/>
          <w:szCs w:val="20"/>
        </w:rPr>
        <w:t xml:space="preserve"> </w:t>
      </w:r>
      <w:r w:rsidRPr="00B004EE">
        <w:rPr>
          <w:rFonts w:ascii="Tahoma" w:hAnsi="Tahoma" w:cs="Tahoma"/>
          <w:sz w:val="20"/>
          <w:szCs w:val="20"/>
        </w:rPr>
        <w:t>amende</w:t>
      </w:r>
      <w:r w:rsidR="00DB1635" w:rsidRPr="00B004EE">
        <w:rPr>
          <w:rFonts w:ascii="Tahoma" w:hAnsi="Tahoma" w:cs="Tahoma"/>
          <w:spacing w:val="-29"/>
          <w:sz w:val="20"/>
          <w:szCs w:val="20"/>
        </w:rPr>
        <w:t xml:space="preserve"> </w:t>
      </w:r>
      <w:r w:rsidRPr="00B004EE">
        <w:rPr>
          <w:rFonts w:ascii="Tahoma" w:hAnsi="Tahoma" w:cs="Tahoma"/>
          <w:sz w:val="20"/>
          <w:szCs w:val="20"/>
        </w:rPr>
        <w:t>:</w:t>
      </w:r>
    </w:p>
    <w:p w14:paraId="02F8313F" w14:textId="48358BB0" w:rsidR="001E7C3C" w:rsidRPr="00B004EE" w:rsidRDefault="001E7C3C" w:rsidP="00420DDA">
      <w:pPr>
        <w:pStyle w:val="Paragraphedeliste"/>
        <w:widowControl w:val="0"/>
        <w:numPr>
          <w:ilvl w:val="1"/>
          <w:numId w:val="31"/>
        </w:numPr>
        <w:tabs>
          <w:tab w:val="left" w:pos="851"/>
        </w:tabs>
        <w:ind w:left="851" w:right="167"/>
        <w:jc w:val="both"/>
        <w:rPr>
          <w:rFonts w:ascii="Tahoma" w:eastAsia="American Typewriter" w:hAnsi="Tahoma" w:cs="Tahoma"/>
          <w:sz w:val="20"/>
          <w:szCs w:val="20"/>
        </w:rPr>
      </w:pPr>
      <w:proofErr w:type="gramStart"/>
      <w:r w:rsidRPr="00B004EE">
        <w:rPr>
          <w:rFonts w:ascii="Tahoma" w:hAnsi="Tahoma" w:cs="Tahoma"/>
          <w:sz w:val="20"/>
          <w:szCs w:val="20"/>
        </w:rPr>
        <w:t>de</w:t>
      </w:r>
      <w:proofErr w:type="gramEnd"/>
      <w:r w:rsidR="00DB1635" w:rsidRPr="00B004EE">
        <w:rPr>
          <w:rFonts w:ascii="Tahoma" w:hAnsi="Tahoma" w:cs="Tahoma"/>
          <w:sz w:val="20"/>
          <w:szCs w:val="20"/>
        </w:rPr>
        <w:t xml:space="preserve"> </w:t>
      </w:r>
      <w:r w:rsidRPr="00B004EE">
        <w:rPr>
          <w:rFonts w:ascii="Tahoma" w:hAnsi="Tahoma" w:cs="Tahoma"/>
          <w:sz w:val="20"/>
          <w:szCs w:val="20"/>
        </w:rPr>
        <w:t>cinquante</w:t>
      </w:r>
      <w:r w:rsidR="00DB1635" w:rsidRPr="00B004EE">
        <w:rPr>
          <w:rFonts w:ascii="Tahoma" w:hAnsi="Tahoma" w:cs="Tahoma"/>
          <w:sz w:val="20"/>
          <w:szCs w:val="20"/>
        </w:rPr>
        <w:t xml:space="preserve"> </w:t>
      </w:r>
      <w:r w:rsidRPr="00B004EE">
        <w:rPr>
          <w:rFonts w:ascii="Tahoma" w:hAnsi="Tahoma" w:cs="Tahoma"/>
          <w:sz w:val="20"/>
          <w:szCs w:val="20"/>
        </w:rPr>
        <w:t>mille</w:t>
      </w:r>
      <w:r w:rsidR="00DB1635" w:rsidRPr="00B004EE">
        <w:rPr>
          <w:rFonts w:ascii="Tahoma" w:hAnsi="Tahoma" w:cs="Tahoma"/>
          <w:sz w:val="20"/>
          <w:szCs w:val="20"/>
        </w:rPr>
        <w:t xml:space="preserve"> </w:t>
      </w:r>
      <w:r w:rsidRPr="00B004EE">
        <w:rPr>
          <w:rFonts w:ascii="Tahoma" w:hAnsi="Tahoma" w:cs="Tahoma"/>
          <w:sz w:val="20"/>
          <w:szCs w:val="20"/>
        </w:rPr>
        <w:t>(50.000)</w:t>
      </w:r>
      <w:r w:rsidR="00DB1635" w:rsidRPr="00B004EE">
        <w:rPr>
          <w:rFonts w:ascii="Tahoma" w:hAnsi="Tahoma" w:cs="Tahoma"/>
          <w:sz w:val="20"/>
          <w:szCs w:val="20"/>
        </w:rPr>
        <w:t xml:space="preserve"> </w:t>
      </w:r>
      <w:r w:rsidRPr="00B004EE">
        <w:rPr>
          <w:rFonts w:ascii="Tahoma" w:hAnsi="Tahoma" w:cs="Tahoma"/>
          <w:sz w:val="20"/>
          <w:szCs w:val="20"/>
        </w:rPr>
        <w:t>ouguiya</w:t>
      </w:r>
      <w:r w:rsidR="00DB1635" w:rsidRPr="00B004EE">
        <w:rPr>
          <w:rFonts w:ascii="Tahoma" w:hAnsi="Tahoma" w:cs="Tahoma"/>
          <w:sz w:val="20"/>
          <w:szCs w:val="20"/>
        </w:rPr>
        <w:t xml:space="preserve"> </w:t>
      </w:r>
      <w:r w:rsidRPr="00B004EE">
        <w:rPr>
          <w:rFonts w:ascii="Tahoma" w:hAnsi="Tahoma" w:cs="Tahoma"/>
          <w:sz w:val="20"/>
          <w:szCs w:val="20"/>
        </w:rPr>
        <w:t>jusqu'à</w:t>
      </w:r>
      <w:r w:rsidR="00DB1635" w:rsidRPr="00B004EE">
        <w:rPr>
          <w:rFonts w:ascii="Tahoma" w:hAnsi="Tahoma" w:cs="Tahoma"/>
          <w:sz w:val="20"/>
          <w:szCs w:val="20"/>
        </w:rPr>
        <w:t xml:space="preserve"> </w:t>
      </w:r>
      <w:r w:rsidRPr="00B004EE">
        <w:rPr>
          <w:rFonts w:ascii="Tahoma" w:hAnsi="Tahoma" w:cs="Tahoma"/>
          <w:sz w:val="20"/>
          <w:szCs w:val="20"/>
        </w:rPr>
        <w:t>cinq</w:t>
      </w:r>
      <w:r w:rsidR="00DB1635" w:rsidRPr="00B004EE">
        <w:rPr>
          <w:rFonts w:ascii="Tahoma" w:hAnsi="Tahoma" w:cs="Tahoma"/>
          <w:sz w:val="20"/>
          <w:szCs w:val="20"/>
        </w:rPr>
        <w:t xml:space="preserve"> </w:t>
      </w:r>
      <w:r w:rsidRPr="00B004EE">
        <w:rPr>
          <w:rFonts w:ascii="Tahoma" w:hAnsi="Tahoma" w:cs="Tahoma"/>
          <w:sz w:val="20"/>
          <w:szCs w:val="20"/>
        </w:rPr>
        <w:t>cent</w:t>
      </w:r>
      <w:r w:rsidR="00DB1635" w:rsidRPr="00B004EE">
        <w:rPr>
          <w:rFonts w:ascii="Tahoma" w:hAnsi="Tahoma" w:cs="Tahoma"/>
          <w:sz w:val="20"/>
          <w:szCs w:val="20"/>
        </w:rPr>
        <w:t xml:space="preserve"> </w:t>
      </w:r>
      <w:r w:rsidRPr="00B004EE">
        <w:rPr>
          <w:rFonts w:ascii="Tahoma" w:hAnsi="Tahoma" w:cs="Tahoma"/>
          <w:sz w:val="20"/>
          <w:szCs w:val="20"/>
        </w:rPr>
        <w:t>milles</w:t>
      </w:r>
      <w:r w:rsidR="00DB1635" w:rsidRPr="00B004EE">
        <w:rPr>
          <w:rFonts w:ascii="Tahoma" w:hAnsi="Tahoma" w:cs="Tahoma"/>
          <w:spacing w:val="10"/>
          <w:sz w:val="20"/>
          <w:szCs w:val="20"/>
        </w:rPr>
        <w:t xml:space="preserve"> </w:t>
      </w:r>
      <w:r w:rsidRPr="00B004EE">
        <w:rPr>
          <w:rFonts w:ascii="Tahoma" w:hAnsi="Tahoma" w:cs="Tahoma"/>
          <w:sz w:val="20"/>
          <w:szCs w:val="20"/>
        </w:rPr>
        <w:t>(500.000)</w:t>
      </w:r>
      <w:r w:rsidR="00DB1635" w:rsidRPr="00B004EE">
        <w:rPr>
          <w:rFonts w:ascii="Tahoma" w:hAnsi="Tahoma" w:cs="Tahoma"/>
          <w:w w:val="73"/>
          <w:sz w:val="20"/>
          <w:szCs w:val="20"/>
        </w:rPr>
        <w:t xml:space="preserve"> </w:t>
      </w:r>
      <w:r w:rsidRPr="00B004EE">
        <w:rPr>
          <w:rFonts w:ascii="Tahoma" w:hAnsi="Tahoma" w:cs="Tahoma"/>
          <w:sz w:val="20"/>
          <w:szCs w:val="20"/>
        </w:rPr>
        <w:t>ouguiya</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navires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petite</w:t>
      </w:r>
      <w:r w:rsidR="00DB1635" w:rsidRPr="00B004EE">
        <w:rPr>
          <w:rFonts w:ascii="Tahoma" w:hAnsi="Tahoma" w:cs="Tahoma"/>
          <w:spacing w:val="19"/>
          <w:sz w:val="20"/>
          <w:szCs w:val="20"/>
        </w:rPr>
        <w:t xml:space="preserve"> </w:t>
      </w:r>
      <w:r w:rsidRPr="00B004EE">
        <w:rPr>
          <w:rFonts w:ascii="Tahoma" w:hAnsi="Tahoma" w:cs="Tahoma"/>
          <w:sz w:val="20"/>
          <w:szCs w:val="20"/>
        </w:rPr>
        <w:t>taille;</w:t>
      </w:r>
    </w:p>
    <w:p w14:paraId="0685F111" w14:textId="23849B2C" w:rsidR="001E7C3C" w:rsidRPr="00B004EE" w:rsidRDefault="001E7C3C" w:rsidP="00420DDA">
      <w:pPr>
        <w:pStyle w:val="Paragraphedeliste"/>
        <w:widowControl w:val="0"/>
        <w:numPr>
          <w:ilvl w:val="1"/>
          <w:numId w:val="31"/>
        </w:numPr>
        <w:tabs>
          <w:tab w:val="left" w:pos="851"/>
        </w:tabs>
        <w:ind w:left="851" w:right="160"/>
        <w:jc w:val="both"/>
        <w:rPr>
          <w:rFonts w:ascii="Tahoma" w:eastAsia="American Typewriter" w:hAnsi="Tahoma" w:cs="Tahoma"/>
          <w:sz w:val="20"/>
          <w:szCs w:val="20"/>
        </w:rPr>
      </w:pPr>
      <w:proofErr w:type="gramStart"/>
      <w:r w:rsidRPr="00B004EE">
        <w:rPr>
          <w:rFonts w:ascii="Tahoma" w:eastAsia="American Typewriter" w:hAnsi="Tahoma" w:cs="Tahoma"/>
          <w:sz w:val="20"/>
          <w:szCs w:val="20"/>
        </w:rPr>
        <w:t>de</w:t>
      </w:r>
      <w:proofErr w:type="gramEnd"/>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quatre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cents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mille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(400.000)</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ouguiya</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jusqu'à</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quatre</w:t>
      </w:r>
      <w:r w:rsidR="00DB1635" w:rsidRPr="00B004EE">
        <w:rPr>
          <w:rFonts w:ascii="Tahoma" w:eastAsia="American Typewriter" w:hAnsi="Tahoma" w:cs="Tahoma"/>
          <w:spacing w:val="33"/>
          <w:sz w:val="20"/>
          <w:szCs w:val="20"/>
        </w:rPr>
        <w:t xml:space="preserve"> </w:t>
      </w:r>
      <w:r w:rsidRPr="00B004EE">
        <w:rPr>
          <w:rFonts w:ascii="Tahoma" w:eastAsia="American Typewriter" w:hAnsi="Tahoma" w:cs="Tahoma"/>
          <w:sz w:val="20"/>
          <w:szCs w:val="20"/>
        </w:rPr>
        <w:t>millions</w:t>
      </w:r>
      <w:r w:rsidR="00DB1635" w:rsidRPr="00B004EE">
        <w:rPr>
          <w:rFonts w:ascii="Tahoma" w:eastAsia="American Typewriter" w:hAnsi="Tahoma" w:cs="Tahoma"/>
          <w:w w:val="93"/>
          <w:sz w:val="20"/>
          <w:szCs w:val="20"/>
        </w:rPr>
        <w:t xml:space="preserve"> </w:t>
      </w:r>
      <w:r w:rsidRPr="00B004EE">
        <w:rPr>
          <w:rFonts w:ascii="Tahoma" w:eastAsia="American Typewriter" w:hAnsi="Tahoma" w:cs="Tahoma"/>
          <w:sz w:val="20"/>
          <w:szCs w:val="20"/>
        </w:rPr>
        <w:t>(4.000.000)</w:t>
      </w:r>
      <w:r w:rsidR="00DB1635" w:rsidRPr="00B004EE">
        <w:rPr>
          <w:rFonts w:ascii="Tahoma" w:eastAsia="American Typewriter" w:hAnsi="Tahoma" w:cs="Tahoma"/>
          <w:spacing w:val="46"/>
          <w:sz w:val="20"/>
          <w:szCs w:val="20"/>
        </w:rPr>
        <w:t xml:space="preserve"> </w:t>
      </w:r>
      <w:r w:rsidRPr="00B004EE">
        <w:rPr>
          <w:rFonts w:ascii="Tahoma" w:eastAsia="American Typewriter" w:hAnsi="Tahoma" w:cs="Tahoma"/>
          <w:sz w:val="20"/>
          <w:szCs w:val="20"/>
        </w:rPr>
        <w:t>ouguiya</w:t>
      </w:r>
      <w:r w:rsidR="00DB1635" w:rsidRPr="00B004EE">
        <w:rPr>
          <w:rFonts w:ascii="Tahoma" w:eastAsia="American Typewriter" w:hAnsi="Tahoma" w:cs="Tahoma"/>
          <w:spacing w:val="46"/>
          <w:sz w:val="20"/>
          <w:szCs w:val="20"/>
        </w:rPr>
        <w:t xml:space="preserve"> </w:t>
      </w:r>
      <w:r w:rsidRPr="00B004EE">
        <w:rPr>
          <w:rFonts w:ascii="Tahoma" w:eastAsia="American Typewriter" w:hAnsi="Tahoma" w:cs="Tahoma"/>
          <w:sz w:val="20"/>
          <w:szCs w:val="20"/>
        </w:rPr>
        <w:t>pour</w:t>
      </w:r>
      <w:r w:rsidR="00DB1635" w:rsidRPr="00B004EE">
        <w:rPr>
          <w:rFonts w:ascii="Tahoma" w:eastAsia="American Typewriter" w:hAnsi="Tahoma" w:cs="Tahoma"/>
          <w:spacing w:val="44"/>
          <w:sz w:val="20"/>
          <w:szCs w:val="20"/>
        </w:rPr>
        <w:t xml:space="preserve"> </w:t>
      </w:r>
      <w:r w:rsidRPr="00B004EE">
        <w:rPr>
          <w:rFonts w:ascii="Tahoma" w:eastAsia="American Typewriter" w:hAnsi="Tahoma" w:cs="Tahoma"/>
          <w:sz w:val="20"/>
          <w:szCs w:val="20"/>
        </w:rPr>
        <w:t>les</w:t>
      </w:r>
      <w:r w:rsidR="00DB1635" w:rsidRPr="00B004EE">
        <w:rPr>
          <w:rFonts w:ascii="Tahoma" w:eastAsia="American Typewriter" w:hAnsi="Tahoma" w:cs="Tahoma"/>
          <w:spacing w:val="45"/>
          <w:sz w:val="20"/>
          <w:szCs w:val="20"/>
        </w:rPr>
        <w:t xml:space="preserve"> </w:t>
      </w:r>
      <w:r w:rsidRPr="00B004EE">
        <w:rPr>
          <w:rFonts w:ascii="Tahoma" w:eastAsia="American Typewriter" w:hAnsi="Tahoma" w:cs="Tahoma"/>
          <w:sz w:val="20"/>
          <w:szCs w:val="20"/>
        </w:rPr>
        <w:t>navires</w:t>
      </w:r>
      <w:r w:rsidR="00DB1635" w:rsidRPr="00B004EE">
        <w:rPr>
          <w:rFonts w:ascii="Tahoma" w:eastAsia="American Typewriter" w:hAnsi="Tahoma" w:cs="Tahoma"/>
          <w:spacing w:val="45"/>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pacing w:val="45"/>
          <w:sz w:val="20"/>
          <w:szCs w:val="20"/>
        </w:rPr>
        <w:t xml:space="preserve"> </w:t>
      </w:r>
      <w:r w:rsidRPr="00B004EE">
        <w:rPr>
          <w:rFonts w:ascii="Tahoma" w:eastAsia="American Typewriter" w:hAnsi="Tahoma" w:cs="Tahoma"/>
          <w:sz w:val="20"/>
          <w:szCs w:val="20"/>
        </w:rPr>
        <w:t>pêche</w:t>
      </w:r>
      <w:r w:rsidR="00DB1635" w:rsidRPr="00B004EE">
        <w:rPr>
          <w:rFonts w:ascii="Tahoma" w:eastAsia="American Typewriter" w:hAnsi="Tahoma" w:cs="Tahoma"/>
          <w:spacing w:val="45"/>
          <w:sz w:val="20"/>
          <w:szCs w:val="20"/>
        </w:rPr>
        <w:t xml:space="preserve"> </w:t>
      </w:r>
      <w:r w:rsidRPr="00B004EE">
        <w:rPr>
          <w:rFonts w:ascii="Tahoma" w:eastAsia="American Typewriter" w:hAnsi="Tahoma" w:cs="Tahoma"/>
          <w:sz w:val="20"/>
          <w:szCs w:val="20"/>
        </w:rPr>
        <w:t>d’un</w:t>
      </w:r>
      <w:r w:rsidR="00DB1635" w:rsidRPr="00B004EE">
        <w:rPr>
          <w:rFonts w:ascii="Tahoma" w:eastAsia="American Typewriter" w:hAnsi="Tahoma" w:cs="Tahoma"/>
          <w:spacing w:val="45"/>
          <w:sz w:val="20"/>
          <w:szCs w:val="20"/>
        </w:rPr>
        <w:t xml:space="preserve"> </w:t>
      </w:r>
      <w:r w:rsidRPr="00B004EE">
        <w:rPr>
          <w:rFonts w:ascii="Tahoma" w:eastAsia="American Typewriter" w:hAnsi="Tahoma" w:cs="Tahoma"/>
          <w:sz w:val="20"/>
          <w:szCs w:val="20"/>
        </w:rPr>
        <w:t>tonnage</w:t>
      </w:r>
      <w:r w:rsidR="00DB1635" w:rsidRPr="00B004EE">
        <w:rPr>
          <w:rFonts w:ascii="Tahoma" w:eastAsia="American Typewriter" w:hAnsi="Tahoma" w:cs="Tahoma"/>
          <w:spacing w:val="45"/>
          <w:sz w:val="20"/>
          <w:szCs w:val="20"/>
        </w:rPr>
        <w:t xml:space="preserve"> </w:t>
      </w:r>
      <w:r w:rsidRPr="00B004EE">
        <w:rPr>
          <w:rFonts w:ascii="Tahoma" w:eastAsia="American Typewriter" w:hAnsi="Tahoma" w:cs="Tahoma"/>
          <w:sz w:val="20"/>
          <w:szCs w:val="20"/>
        </w:rPr>
        <w:t>égal</w:t>
      </w:r>
      <w:r w:rsidR="00DB1635" w:rsidRPr="00B004EE">
        <w:rPr>
          <w:rFonts w:ascii="Tahoma" w:eastAsia="American Typewriter" w:hAnsi="Tahoma" w:cs="Tahoma"/>
          <w:spacing w:val="46"/>
          <w:sz w:val="20"/>
          <w:szCs w:val="20"/>
        </w:rPr>
        <w:t xml:space="preserve"> </w:t>
      </w:r>
      <w:r w:rsidRPr="00B004EE">
        <w:rPr>
          <w:rFonts w:ascii="Tahoma" w:eastAsia="American Typewriter" w:hAnsi="Tahoma" w:cs="Tahoma"/>
          <w:sz w:val="20"/>
          <w:szCs w:val="20"/>
        </w:rPr>
        <w:t>ou</w:t>
      </w:r>
      <w:r w:rsidR="00DB1635" w:rsidRPr="00B004EE">
        <w:rPr>
          <w:rFonts w:ascii="Tahoma" w:eastAsia="American Typewriter" w:hAnsi="Tahoma" w:cs="Tahoma"/>
          <w:w w:val="95"/>
          <w:sz w:val="20"/>
          <w:szCs w:val="20"/>
        </w:rPr>
        <w:t xml:space="preserve"> </w:t>
      </w:r>
      <w:r w:rsidRPr="00B004EE">
        <w:rPr>
          <w:rFonts w:ascii="Tahoma" w:eastAsia="American Typewriter" w:hAnsi="Tahoma" w:cs="Tahoma"/>
          <w:sz w:val="20"/>
          <w:szCs w:val="20"/>
        </w:rPr>
        <w:t>inférieur</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à</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50</w:t>
      </w:r>
      <w:r w:rsidR="00DB1635" w:rsidRPr="00B004EE">
        <w:rPr>
          <w:rFonts w:ascii="Tahoma" w:eastAsia="American Typewriter" w:hAnsi="Tahoma" w:cs="Tahoma"/>
          <w:spacing w:val="17"/>
          <w:sz w:val="20"/>
          <w:szCs w:val="20"/>
        </w:rPr>
        <w:t xml:space="preserve"> </w:t>
      </w:r>
      <w:r w:rsidRPr="00B004EE">
        <w:rPr>
          <w:rFonts w:ascii="Tahoma" w:eastAsia="American Typewriter" w:hAnsi="Tahoma" w:cs="Tahoma"/>
          <w:sz w:val="20"/>
          <w:szCs w:val="20"/>
        </w:rPr>
        <w:t>GT;</w:t>
      </w:r>
    </w:p>
    <w:p w14:paraId="5B7DCEFA" w14:textId="7AE35ED3" w:rsidR="001E7C3C" w:rsidRPr="00B004EE" w:rsidRDefault="001E7C3C" w:rsidP="00420DDA">
      <w:pPr>
        <w:pStyle w:val="Paragraphedeliste"/>
        <w:widowControl w:val="0"/>
        <w:numPr>
          <w:ilvl w:val="1"/>
          <w:numId w:val="31"/>
        </w:numPr>
        <w:tabs>
          <w:tab w:val="left" w:pos="851"/>
        </w:tabs>
        <w:ind w:left="851" w:right="166"/>
        <w:jc w:val="both"/>
        <w:rPr>
          <w:rFonts w:ascii="Tahoma" w:eastAsia="American Typewriter" w:hAnsi="Tahoma" w:cs="Tahoma"/>
          <w:sz w:val="20"/>
          <w:szCs w:val="20"/>
        </w:rPr>
      </w:pPr>
      <w:proofErr w:type="gramStart"/>
      <w:r w:rsidRPr="00B004EE">
        <w:rPr>
          <w:rFonts w:ascii="Tahoma" w:eastAsia="American Typewriter" w:hAnsi="Tahoma" w:cs="Tahoma"/>
          <w:sz w:val="20"/>
          <w:szCs w:val="20"/>
        </w:rPr>
        <w:t>d'un</w:t>
      </w:r>
      <w:proofErr w:type="gramEnd"/>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million</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(1.000.000)</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ouguiya</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jusqu'à</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huit</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millions</w:t>
      </w:r>
      <w:r w:rsidR="00DB1635" w:rsidRPr="00B004EE">
        <w:rPr>
          <w:rFonts w:ascii="Tahoma" w:eastAsia="American Typewriter" w:hAnsi="Tahoma" w:cs="Tahoma"/>
          <w:spacing w:val="30"/>
          <w:sz w:val="20"/>
          <w:szCs w:val="20"/>
        </w:rPr>
        <w:t xml:space="preserve"> </w:t>
      </w:r>
      <w:r w:rsidRPr="00B004EE">
        <w:rPr>
          <w:rFonts w:ascii="Tahoma" w:eastAsia="American Typewriter" w:hAnsi="Tahoma" w:cs="Tahoma"/>
          <w:sz w:val="20"/>
          <w:szCs w:val="20"/>
        </w:rPr>
        <w:t>(8.000.000)</w:t>
      </w:r>
      <w:r w:rsidR="00DB1635" w:rsidRPr="00B004EE">
        <w:rPr>
          <w:rFonts w:ascii="Tahoma" w:eastAsia="American Typewriter" w:hAnsi="Tahoma" w:cs="Tahoma"/>
          <w:w w:val="73"/>
          <w:sz w:val="20"/>
          <w:szCs w:val="20"/>
        </w:rPr>
        <w:t xml:space="preserve"> </w:t>
      </w:r>
      <w:r w:rsidRPr="00B004EE">
        <w:rPr>
          <w:rFonts w:ascii="Tahoma" w:eastAsia="American Typewriter" w:hAnsi="Tahoma" w:cs="Tahoma"/>
          <w:sz w:val="20"/>
          <w:szCs w:val="20"/>
        </w:rPr>
        <w:t>d’ouguiya</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pour</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les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navires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pêche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d’un</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tonnage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supérieur</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à</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50</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GT</w:t>
      </w:r>
      <w:r w:rsidR="00DB1635" w:rsidRPr="00B004EE">
        <w:rPr>
          <w:rFonts w:ascii="Tahoma" w:eastAsia="American Typewriter" w:hAnsi="Tahoma" w:cs="Tahoma"/>
          <w:spacing w:val="2"/>
          <w:sz w:val="20"/>
          <w:szCs w:val="20"/>
        </w:rPr>
        <w:t xml:space="preserve"> </w:t>
      </w:r>
      <w:r w:rsidRPr="00B004EE">
        <w:rPr>
          <w:rFonts w:ascii="Tahoma" w:eastAsia="American Typewriter" w:hAnsi="Tahoma" w:cs="Tahoma"/>
          <w:sz w:val="20"/>
          <w:szCs w:val="20"/>
        </w:rPr>
        <w:t>et</w:t>
      </w:r>
      <w:r w:rsidR="00DB1635" w:rsidRPr="00B004EE">
        <w:rPr>
          <w:rFonts w:ascii="Tahoma" w:eastAsia="American Typewriter" w:hAnsi="Tahoma" w:cs="Tahoma"/>
          <w:w w:val="95"/>
          <w:sz w:val="20"/>
          <w:szCs w:val="20"/>
        </w:rPr>
        <w:t xml:space="preserve"> </w:t>
      </w:r>
      <w:r w:rsidRPr="00B004EE">
        <w:rPr>
          <w:rFonts w:ascii="Tahoma" w:eastAsia="American Typewriter" w:hAnsi="Tahoma" w:cs="Tahoma"/>
          <w:sz w:val="20"/>
          <w:szCs w:val="20"/>
        </w:rPr>
        <w:t>inférieur</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à</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100</w:t>
      </w:r>
      <w:r w:rsidR="00DB1635" w:rsidRPr="00B004EE">
        <w:rPr>
          <w:rFonts w:ascii="Tahoma" w:eastAsia="American Typewriter" w:hAnsi="Tahoma" w:cs="Tahoma"/>
          <w:spacing w:val="16"/>
          <w:sz w:val="20"/>
          <w:szCs w:val="20"/>
        </w:rPr>
        <w:t xml:space="preserve"> </w:t>
      </w:r>
      <w:r w:rsidRPr="00B004EE">
        <w:rPr>
          <w:rFonts w:ascii="Tahoma" w:eastAsia="American Typewriter" w:hAnsi="Tahoma" w:cs="Tahoma"/>
          <w:sz w:val="20"/>
          <w:szCs w:val="20"/>
        </w:rPr>
        <w:t>GT;</w:t>
      </w:r>
    </w:p>
    <w:p w14:paraId="047A2754" w14:textId="6A4DF823" w:rsidR="001E7C3C" w:rsidRPr="00B004EE" w:rsidRDefault="001E7C3C" w:rsidP="00420DDA">
      <w:pPr>
        <w:pStyle w:val="Paragraphedeliste"/>
        <w:widowControl w:val="0"/>
        <w:numPr>
          <w:ilvl w:val="1"/>
          <w:numId w:val="31"/>
        </w:numPr>
        <w:tabs>
          <w:tab w:val="left" w:pos="851"/>
        </w:tabs>
        <w:ind w:left="851" w:right="158"/>
        <w:jc w:val="both"/>
        <w:rPr>
          <w:rFonts w:ascii="Tahoma" w:eastAsia="American Typewriter" w:hAnsi="Tahoma" w:cs="Tahoma"/>
          <w:sz w:val="20"/>
          <w:szCs w:val="20"/>
        </w:rPr>
      </w:pPr>
      <w:proofErr w:type="gramStart"/>
      <w:r w:rsidRPr="00B004EE">
        <w:rPr>
          <w:rFonts w:ascii="Tahoma" w:eastAsia="American Typewriter" w:hAnsi="Tahoma" w:cs="Tahoma"/>
          <w:sz w:val="20"/>
          <w:szCs w:val="20"/>
        </w:rPr>
        <w:t>de</w:t>
      </w:r>
      <w:proofErr w:type="gramEnd"/>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deux</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millions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(2.000.000)</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d’ouguiyas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jusqu'à</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quinze</w:t>
      </w:r>
      <w:r w:rsidR="00DB1635" w:rsidRPr="00B004EE">
        <w:rPr>
          <w:rFonts w:ascii="Tahoma" w:eastAsia="American Typewriter" w:hAnsi="Tahoma" w:cs="Tahoma"/>
          <w:spacing w:val="10"/>
          <w:sz w:val="20"/>
          <w:szCs w:val="20"/>
        </w:rPr>
        <w:t xml:space="preserve"> </w:t>
      </w:r>
      <w:r w:rsidRPr="00B004EE">
        <w:rPr>
          <w:rFonts w:ascii="Tahoma" w:eastAsia="American Typewriter" w:hAnsi="Tahoma" w:cs="Tahoma"/>
          <w:sz w:val="20"/>
          <w:szCs w:val="20"/>
        </w:rPr>
        <w:t>millions</w:t>
      </w:r>
      <w:r w:rsidR="00DB1635" w:rsidRPr="00B004EE">
        <w:rPr>
          <w:rFonts w:ascii="Tahoma" w:eastAsia="American Typewriter" w:hAnsi="Tahoma" w:cs="Tahoma"/>
          <w:w w:val="93"/>
          <w:sz w:val="20"/>
          <w:szCs w:val="20"/>
        </w:rPr>
        <w:t xml:space="preserve"> </w:t>
      </w:r>
      <w:r w:rsidRPr="00B004EE">
        <w:rPr>
          <w:rFonts w:ascii="Tahoma" w:eastAsia="American Typewriter" w:hAnsi="Tahoma" w:cs="Tahoma"/>
          <w:w w:val="95"/>
          <w:sz w:val="20"/>
          <w:szCs w:val="20"/>
        </w:rPr>
        <w:t>(15.000.000)</w:t>
      </w:r>
      <w:r w:rsidR="00DB1635" w:rsidRPr="00B004EE">
        <w:rPr>
          <w:rFonts w:ascii="Tahoma" w:eastAsia="American Typewriter" w:hAnsi="Tahoma" w:cs="Tahoma"/>
          <w:w w:val="95"/>
          <w:sz w:val="20"/>
          <w:szCs w:val="20"/>
        </w:rPr>
        <w:t xml:space="preserve"> </w:t>
      </w:r>
      <w:r w:rsidRPr="00B004EE">
        <w:rPr>
          <w:rFonts w:ascii="Tahoma" w:eastAsia="American Typewriter" w:hAnsi="Tahoma" w:cs="Tahoma"/>
          <w:w w:val="95"/>
          <w:sz w:val="20"/>
          <w:szCs w:val="20"/>
        </w:rPr>
        <w:t>d’ouguiyas</w:t>
      </w:r>
      <w:r w:rsidR="00DB1635" w:rsidRPr="00B004EE">
        <w:rPr>
          <w:rFonts w:ascii="Tahoma" w:eastAsia="American Typewriter" w:hAnsi="Tahoma" w:cs="Tahoma"/>
          <w:w w:val="95"/>
          <w:sz w:val="20"/>
          <w:szCs w:val="20"/>
        </w:rPr>
        <w:t xml:space="preserve"> </w:t>
      </w:r>
      <w:r w:rsidRPr="00B004EE">
        <w:rPr>
          <w:rFonts w:ascii="Tahoma" w:eastAsia="American Typewriter" w:hAnsi="Tahoma" w:cs="Tahoma"/>
          <w:w w:val="95"/>
          <w:sz w:val="20"/>
          <w:szCs w:val="20"/>
        </w:rPr>
        <w:t>pour</w:t>
      </w:r>
      <w:r w:rsidR="00DB1635" w:rsidRPr="00B004EE">
        <w:rPr>
          <w:rFonts w:ascii="Tahoma" w:eastAsia="American Typewriter" w:hAnsi="Tahoma" w:cs="Tahoma"/>
          <w:w w:val="95"/>
          <w:sz w:val="20"/>
          <w:szCs w:val="20"/>
        </w:rPr>
        <w:t xml:space="preserve"> </w:t>
      </w:r>
      <w:r w:rsidRPr="00B004EE">
        <w:rPr>
          <w:rFonts w:ascii="Tahoma" w:eastAsia="American Typewriter" w:hAnsi="Tahoma" w:cs="Tahoma"/>
          <w:w w:val="95"/>
          <w:sz w:val="20"/>
          <w:szCs w:val="20"/>
        </w:rPr>
        <w:t>les</w:t>
      </w:r>
      <w:r w:rsidR="00DB1635" w:rsidRPr="00B004EE">
        <w:rPr>
          <w:rFonts w:ascii="Tahoma" w:eastAsia="American Typewriter" w:hAnsi="Tahoma" w:cs="Tahoma"/>
          <w:w w:val="95"/>
          <w:sz w:val="20"/>
          <w:szCs w:val="20"/>
        </w:rPr>
        <w:t xml:space="preserve"> </w:t>
      </w:r>
      <w:r w:rsidRPr="00B004EE">
        <w:rPr>
          <w:rFonts w:ascii="Tahoma" w:eastAsia="American Typewriter" w:hAnsi="Tahoma" w:cs="Tahoma"/>
          <w:w w:val="95"/>
          <w:sz w:val="20"/>
          <w:szCs w:val="20"/>
        </w:rPr>
        <w:t>navires</w:t>
      </w:r>
      <w:r w:rsidR="00DB1635" w:rsidRPr="00B004EE">
        <w:rPr>
          <w:rFonts w:ascii="Tahoma" w:eastAsia="American Typewriter" w:hAnsi="Tahoma" w:cs="Tahoma"/>
          <w:w w:val="95"/>
          <w:sz w:val="20"/>
          <w:szCs w:val="20"/>
        </w:rPr>
        <w:t xml:space="preserve"> </w:t>
      </w:r>
      <w:r w:rsidRPr="00B004EE">
        <w:rPr>
          <w:rFonts w:ascii="Tahoma" w:eastAsia="American Typewriter" w:hAnsi="Tahoma" w:cs="Tahoma"/>
          <w:w w:val="95"/>
          <w:sz w:val="20"/>
          <w:szCs w:val="20"/>
        </w:rPr>
        <w:t>de</w:t>
      </w:r>
      <w:r w:rsidR="00DB1635" w:rsidRPr="00B004EE">
        <w:rPr>
          <w:rFonts w:ascii="Tahoma" w:eastAsia="American Typewriter" w:hAnsi="Tahoma" w:cs="Tahoma"/>
          <w:w w:val="95"/>
          <w:sz w:val="20"/>
          <w:szCs w:val="20"/>
        </w:rPr>
        <w:t xml:space="preserve"> </w:t>
      </w:r>
      <w:r w:rsidRPr="00B004EE">
        <w:rPr>
          <w:rFonts w:ascii="Tahoma" w:eastAsia="American Typewriter" w:hAnsi="Tahoma" w:cs="Tahoma"/>
          <w:w w:val="95"/>
          <w:sz w:val="20"/>
          <w:szCs w:val="20"/>
        </w:rPr>
        <w:t>pêche</w:t>
      </w:r>
      <w:r w:rsidR="00DB1635" w:rsidRPr="00B004EE">
        <w:rPr>
          <w:rFonts w:ascii="Tahoma" w:eastAsia="American Typewriter" w:hAnsi="Tahoma" w:cs="Tahoma"/>
          <w:w w:val="95"/>
          <w:sz w:val="20"/>
          <w:szCs w:val="20"/>
        </w:rPr>
        <w:t xml:space="preserve"> </w:t>
      </w:r>
      <w:r w:rsidRPr="00B004EE">
        <w:rPr>
          <w:rFonts w:ascii="Tahoma" w:eastAsia="American Typewriter" w:hAnsi="Tahoma" w:cs="Tahoma"/>
          <w:w w:val="95"/>
          <w:sz w:val="20"/>
          <w:szCs w:val="20"/>
        </w:rPr>
        <w:t>d'un</w:t>
      </w:r>
      <w:r w:rsidR="00DB1635" w:rsidRPr="00B004EE">
        <w:rPr>
          <w:rFonts w:ascii="Tahoma" w:eastAsia="American Typewriter" w:hAnsi="Tahoma" w:cs="Tahoma"/>
          <w:w w:val="95"/>
          <w:sz w:val="20"/>
          <w:szCs w:val="20"/>
        </w:rPr>
        <w:t xml:space="preserve"> </w:t>
      </w:r>
      <w:r w:rsidRPr="00B004EE">
        <w:rPr>
          <w:rFonts w:ascii="Tahoma" w:eastAsia="American Typewriter" w:hAnsi="Tahoma" w:cs="Tahoma"/>
          <w:w w:val="95"/>
          <w:sz w:val="20"/>
          <w:szCs w:val="20"/>
        </w:rPr>
        <w:t>tonnage</w:t>
      </w:r>
      <w:r w:rsidR="00DB1635" w:rsidRPr="00B004EE">
        <w:rPr>
          <w:rFonts w:ascii="Tahoma" w:eastAsia="American Typewriter" w:hAnsi="Tahoma" w:cs="Tahoma"/>
          <w:spacing w:val="46"/>
          <w:w w:val="95"/>
          <w:sz w:val="20"/>
          <w:szCs w:val="20"/>
        </w:rPr>
        <w:t xml:space="preserve"> </w:t>
      </w:r>
      <w:r w:rsidRPr="00B004EE">
        <w:rPr>
          <w:rFonts w:ascii="Tahoma" w:eastAsia="American Typewriter" w:hAnsi="Tahoma" w:cs="Tahoma"/>
          <w:w w:val="95"/>
          <w:sz w:val="20"/>
          <w:szCs w:val="20"/>
        </w:rPr>
        <w:t>supérieur</w:t>
      </w:r>
      <w:r w:rsidR="00DB1635" w:rsidRPr="00B004EE">
        <w:rPr>
          <w:rFonts w:ascii="Tahoma" w:eastAsia="American Typewriter" w:hAnsi="Tahoma" w:cs="Tahoma"/>
          <w:w w:val="94"/>
          <w:sz w:val="20"/>
          <w:szCs w:val="20"/>
        </w:rPr>
        <w:t xml:space="preserve"> </w:t>
      </w:r>
      <w:r w:rsidRPr="00B004EE">
        <w:rPr>
          <w:rFonts w:ascii="Tahoma" w:eastAsia="American Typewriter" w:hAnsi="Tahoma" w:cs="Tahoma"/>
          <w:sz w:val="20"/>
          <w:szCs w:val="20"/>
        </w:rPr>
        <w:t>ou</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égal</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à</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100</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GT</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et</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inférieur</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à</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250</w:t>
      </w:r>
      <w:r w:rsidR="00DB1635" w:rsidRPr="00B004EE">
        <w:rPr>
          <w:rFonts w:ascii="Tahoma" w:eastAsia="American Typewriter" w:hAnsi="Tahoma" w:cs="Tahoma"/>
          <w:spacing w:val="47"/>
          <w:sz w:val="20"/>
          <w:szCs w:val="20"/>
        </w:rPr>
        <w:t xml:space="preserve"> </w:t>
      </w:r>
      <w:r w:rsidRPr="00B004EE">
        <w:rPr>
          <w:rFonts w:ascii="Tahoma" w:eastAsia="American Typewriter" w:hAnsi="Tahoma" w:cs="Tahoma"/>
          <w:sz w:val="20"/>
          <w:szCs w:val="20"/>
        </w:rPr>
        <w:t>GT;</w:t>
      </w:r>
    </w:p>
    <w:p w14:paraId="5D4375E4" w14:textId="78663C2F" w:rsidR="001E7C3C" w:rsidRPr="00B004EE" w:rsidRDefault="001E7C3C" w:rsidP="00420DDA">
      <w:pPr>
        <w:pStyle w:val="Paragraphedeliste"/>
        <w:widowControl w:val="0"/>
        <w:numPr>
          <w:ilvl w:val="1"/>
          <w:numId w:val="31"/>
        </w:numPr>
        <w:tabs>
          <w:tab w:val="left" w:pos="851"/>
        </w:tabs>
        <w:ind w:left="851" w:right="159"/>
        <w:jc w:val="both"/>
        <w:rPr>
          <w:rFonts w:ascii="Tahoma" w:eastAsia="American Typewriter" w:hAnsi="Tahoma" w:cs="Tahoma"/>
          <w:sz w:val="20"/>
          <w:szCs w:val="20"/>
        </w:rPr>
      </w:pPr>
      <w:proofErr w:type="gramStart"/>
      <w:r w:rsidRPr="00B004EE">
        <w:rPr>
          <w:rFonts w:ascii="Tahoma" w:eastAsia="American Typewriter" w:hAnsi="Tahoma" w:cs="Tahoma"/>
          <w:sz w:val="20"/>
          <w:szCs w:val="20"/>
        </w:rPr>
        <w:t>de</w:t>
      </w:r>
      <w:proofErr w:type="gramEnd"/>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deux</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millions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cinq</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cent</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mille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(2.500.000)</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ouguiya</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jusqu'à</w:t>
      </w:r>
      <w:r w:rsidR="00DB1635" w:rsidRPr="00B004EE">
        <w:rPr>
          <w:rFonts w:ascii="Tahoma" w:eastAsia="American Typewriter" w:hAnsi="Tahoma" w:cs="Tahoma"/>
          <w:sz w:val="20"/>
          <w:szCs w:val="20"/>
        </w:rPr>
        <w:t xml:space="preserve"> </w:t>
      </w:r>
      <w:r w:rsidR="00852255" w:rsidRPr="00B004EE">
        <w:rPr>
          <w:rFonts w:ascii="Tahoma" w:eastAsia="American Typewriter" w:hAnsi="Tahoma" w:cs="Tahoma"/>
          <w:sz w:val="20"/>
          <w:szCs w:val="20"/>
        </w:rPr>
        <w:t>vingt</w:t>
      </w:r>
      <w:r w:rsidR="00852255" w:rsidRPr="00B004EE">
        <w:rPr>
          <w:rFonts w:ascii="Tahoma" w:eastAsia="American Typewriter" w:hAnsi="Tahoma" w:cs="Tahoma"/>
          <w:spacing w:val="37"/>
          <w:sz w:val="20"/>
          <w:szCs w:val="20"/>
        </w:rPr>
        <w:t>-</w:t>
      </w:r>
      <w:r w:rsidR="00852255" w:rsidRPr="00B004EE">
        <w:rPr>
          <w:rFonts w:ascii="Tahoma" w:eastAsia="American Typewriter" w:hAnsi="Tahoma" w:cs="Tahoma"/>
          <w:sz w:val="20"/>
          <w:szCs w:val="20"/>
        </w:rPr>
        <w:t>cinq</w:t>
      </w:r>
      <w:r w:rsidR="00DB1635" w:rsidRPr="00B004EE">
        <w:rPr>
          <w:rFonts w:ascii="Tahoma" w:eastAsia="American Typewriter" w:hAnsi="Tahoma" w:cs="Tahoma"/>
          <w:w w:val="97"/>
          <w:sz w:val="20"/>
          <w:szCs w:val="20"/>
        </w:rPr>
        <w:t xml:space="preserve"> </w:t>
      </w:r>
      <w:r w:rsidRPr="00B004EE">
        <w:rPr>
          <w:rFonts w:ascii="Tahoma" w:eastAsia="American Typewriter" w:hAnsi="Tahoma" w:cs="Tahoma"/>
          <w:sz w:val="20"/>
          <w:szCs w:val="20"/>
        </w:rPr>
        <w:t>millions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(25.000.000)</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d’ouguiya</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pour</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les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navires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pêche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d'un</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tonnage</w:t>
      </w:r>
      <w:r w:rsidR="00DB1635" w:rsidRPr="00B004EE">
        <w:rPr>
          <w:rFonts w:ascii="Tahoma" w:eastAsia="American Typewriter" w:hAnsi="Tahoma" w:cs="Tahoma"/>
          <w:w w:val="94"/>
          <w:sz w:val="20"/>
          <w:szCs w:val="20"/>
        </w:rPr>
        <w:t xml:space="preserve"> </w:t>
      </w:r>
      <w:r w:rsidRPr="00B004EE">
        <w:rPr>
          <w:rFonts w:ascii="Tahoma" w:eastAsia="American Typewriter" w:hAnsi="Tahoma" w:cs="Tahoma"/>
          <w:sz w:val="20"/>
          <w:szCs w:val="20"/>
        </w:rPr>
        <w:t>supérieur</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ou</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égal</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à</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250</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GT</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et</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inférieur</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à</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600</w:t>
      </w:r>
      <w:r w:rsidR="00DB1635" w:rsidRPr="00B004EE">
        <w:rPr>
          <w:rFonts w:ascii="Tahoma" w:eastAsia="American Typewriter" w:hAnsi="Tahoma" w:cs="Tahoma"/>
          <w:spacing w:val="26"/>
          <w:sz w:val="20"/>
          <w:szCs w:val="20"/>
        </w:rPr>
        <w:t xml:space="preserve"> </w:t>
      </w:r>
      <w:r w:rsidRPr="00B004EE">
        <w:rPr>
          <w:rFonts w:ascii="Tahoma" w:eastAsia="American Typewriter" w:hAnsi="Tahoma" w:cs="Tahoma"/>
          <w:sz w:val="20"/>
          <w:szCs w:val="20"/>
        </w:rPr>
        <w:t>GT;</w:t>
      </w:r>
    </w:p>
    <w:p w14:paraId="000E8466" w14:textId="0AFF0F15" w:rsidR="001E7C3C" w:rsidRPr="00B004EE" w:rsidRDefault="001E7C3C" w:rsidP="00420DDA">
      <w:pPr>
        <w:pStyle w:val="Paragraphedeliste"/>
        <w:widowControl w:val="0"/>
        <w:numPr>
          <w:ilvl w:val="1"/>
          <w:numId w:val="31"/>
        </w:numPr>
        <w:tabs>
          <w:tab w:val="left" w:pos="851"/>
        </w:tabs>
        <w:ind w:left="851" w:right="165"/>
        <w:jc w:val="both"/>
        <w:rPr>
          <w:rFonts w:ascii="Tahoma" w:eastAsia="American Typewriter" w:hAnsi="Tahoma" w:cs="Tahoma"/>
          <w:sz w:val="20"/>
          <w:szCs w:val="20"/>
        </w:rPr>
      </w:pPr>
      <w:proofErr w:type="gramStart"/>
      <w:r w:rsidRPr="00B004EE">
        <w:rPr>
          <w:rFonts w:ascii="Tahoma" w:eastAsia="American Typewriter" w:hAnsi="Tahoma" w:cs="Tahoma"/>
          <w:sz w:val="20"/>
          <w:szCs w:val="20"/>
        </w:rPr>
        <w:t>de</w:t>
      </w:r>
      <w:proofErr w:type="gramEnd"/>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quatre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millions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(4.000.</w:t>
      </w:r>
      <w:r w:rsidR="00CC17C3" w:rsidRPr="00B004EE">
        <w:rPr>
          <w:rFonts w:ascii="Tahoma" w:eastAsia="American Typewriter" w:hAnsi="Tahoma" w:cs="Tahoma"/>
          <w:sz w:val="20"/>
          <w:szCs w:val="20"/>
        </w:rPr>
        <w:t>000)</w:t>
      </w:r>
      <w:r w:rsidR="00DB1635" w:rsidRPr="00B004EE">
        <w:rPr>
          <w:rFonts w:ascii="Tahoma" w:eastAsia="American Typewriter" w:hAnsi="Tahoma" w:cs="Tahoma"/>
          <w:sz w:val="20"/>
          <w:szCs w:val="20"/>
        </w:rPr>
        <w:t xml:space="preserve"> </w:t>
      </w:r>
      <w:r w:rsidR="00CC17C3" w:rsidRPr="00B004EE">
        <w:rPr>
          <w:rFonts w:ascii="Tahoma" w:eastAsia="American Typewriter" w:hAnsi="Tahoma" w:cs="Tahoma"/>
          <w:sz w:val="20"/>
          <w:szCs w:val="20"/>
        </w:rPr>
        <w:t>d’ouguiya</w:t>
      </w:r>
      <w:r w:rsidR="00DB1635" w:rsidRPr="00B004EE">
        <w:rPr>
          <w:rFonts w:ascii="Tahoma" w:eastAsia="American Typewriter" w:hAnsi="Tahoma" w:cs="Tahoma"/>
          <w:sz w:val="20"/>
          <w:szCs w:val="20"/>
        </w:rPr>
        <w:t xml:space="preserve"> </w:t>
      </w:r>
      <w:r w:rsidR="00CC17C3" w:rsidRPr="00B004EE">
        <w:rPr>
          <w:rFonts w:ascii="Tahoma" w:eastAsia="American Typewriter" w:hAnsi="Tahoma" w:cs="Tahoma"/>
          <w:sz w:val="20"/>
          <w:szCs w:val="20"/>
        </w:rPr>
        <w:t>jusqu'à</w:t>
      </w:r>
      <w:r w:rsidR="00DB1635" w:rsidRPr="00B004EE">
        <w:rPr>
          <w:rFonts w:ascii="Tahoma" w:eastAsia="American Typewriter" w:hAnsi="Tahoma" w:cs="Tahoma"/>
          <w:sz w:val="20"/>
          <w:szCs w:val="20"/>
        </w:rPr>
        <w:t xml:space="preserve"> </w:t>
      </w:r>
      <w:r w:rsidR="00852255" w:rsidRPr="00B004EE">
        <w:rPr>
          <w:rFonts w:ascii="Tahoma" w:eastAsia="American Typewriter" w:hAnsi="Tahoma" w:cs="Tahoma"/>
          <w:sz w:val="20"/>
          <w:szCs w:val="20"/>
        </w:rPr>
        <w:t>quarante-cinq</w:t>
      </w:r>
      <w:r w:rsidR="00DB1635" w:rsidRPr="00B004EE">
        <w:rPr>
          <w:rFonts w:ascii="Tahoma" w:eastAsia="American Typewriter" w:hAnsi="Tahoma" w:cs="Tahoma"/>
          <w:spacing w:val="8"/>
          <w:sz w:val="20"/>
          <w:szCs w:val="20"/>
        </w:rPr>
        <w:t xml:space="preserve"> </w:t>
      </w:r>
      <w:r w:rsidRPr="00B004EE">
        <w:rPr>
          <w:rFonts w:ascii="Tahoma" w:eastAsia="American Typewriter" w:hAnsi="Tahoma" w:cs="Tahoma"/>
          <w:sz w:val="20"/>
          <w:szCs w:val="20"/>
        </w:rPr>
        <w:t>millions</w:t>
      </w:r>
      <w:r w:rsidR="00DB1635" w:rsidRPr="00B004EE">
        <w:rPr>
          <w:rFonts w:ascii="Tahoma" w:eastAsia="American Typewriter" w:hAnsi="Tahoma" w:cs="Tahoma"/>
          <w:w w:val="93"/>
          <w:sz w:val="20"/>
          <w:szCs w:val="20"/>
        </w:rPr>
        <w:t xml:space="preserve"> </w:t>
      </w:r>
      <w:r w:rsidRPr="00B004EE">
        <w:rPr>
          <w:rFonts w:ascii="Tahoma" w:eastAsia="American Typewriter" w:hAnsi="Tahoma" w:cs="Tahoma"/>
          <w:sz w:val="20"/>
          <w:szCs w:val="20"/>
        </w:rPr>
        <w:t>(45.000.000)</w:t>
      </w:r>
      <w:r w:rsidR="00DB1635" w:rsidRPr="00B004EE">
        <w:rPr>
          <w:rFonts w:ascii="Tahoma" w:eastAsia="American Typewriter" w:hAnsi="Tahoma" w:cs="Tahoma"/>
          <w:spacing w:val="-22"/>
          <w:sz w:val="20"/>
          <w:szCs w:val="20"/>
        </w:rPr>
        <w:t xml:space="preserve"> </w:t>
      </w:r>
      <w:r w:rsidRPr="00B004EE">
        <w:rPr>
          <w:rFonts w:ascii="Tahoma" w:eastAsia="American Typewriter" w:hAnsi="Tahoma" w:cs="Tahoma"/>
          <w:sz w:val="20"/>
          <w:szCs w:val="20"/>
        </w:rPr>
        <w:t>d’ouguiya</w:t>
      </w:r>
      <w:r w:rsidR="00DB1635" w:rsidRPr="00B004EE">
        <w:rPr>
          <w:rFonts w:ascii="Tahoma" w:eastAsia="American Typewriter" w:hAnsi="Tahoma" w:cs="Tahoma"/>
          <w:spacing w:val="-22"/>
          <w:sz w:val="20"/>
          <w:szCs w:val="20"/>
        </w:rPr>
        <w:t xml:space="preserve"> </w:t>
      </w:r>
      <w:r w:rsidRPr="00B004EE">
        <w:rPr>
          <w:rFonts w:ascii="Tahoma" w:eastAsia="American Typewriter" w:hAnsi="Tahoma" w:cs="Tahoma"/>
          <w:sz w:val="20"/>
          <w:szCs w:val="20"/>
        </w:rPr>
        <w:t>pour</w:t>
      </w:r>
      <w:r w:rsidR="00DB1635" w:rsidRPr="00B004EE">
        <w:rPr>
          <w:rFonts w:ascii="Tahoma" w:eastAsia="American Typewriter" w:hAnsi="Tahoma" w:cs="Tahoma"/>
          <w:spacing w:val="-23"/>
          <w:sz w:val="20"/>
          <w:szCs w:val="20"/>
        </w:rPr>
        <w:t xml:space="preserve"> </w:t>
      </w:r>
      <w:r w:rsidRPr="00B004EE">
        <w:rPr>
          <w:rFonts w:ascii="Tahoma" w:eastAsia="American Typewriter" w:hAnsi="Tahoma" w:cs="Tahoma"/>
          <w:sz w:val="20"/>
          <w:szCs w:val="20"/>
        </w:rPr>
        <w:t>les</w:t>
      </w:r>
      <w:r w:rsidR="00DB1635" w:rsidRPr="00B004EE">
        <w:rPr>
          <w:rFonts w:ascii="Tahoma" w:eastAsia="American Typewriter" w:hAnsi="Tahoma" w:cs="Tahoma"/>
          <w:spacing w:val="-22"/>
          <w:sz w:val="20"/>
          <w:szCs w:val="20"/>
        </w:rPr>
        <w:t xml:space="preserve"> </w:t>
      </w:r>
      <w:r w:rsidRPr="00B004EE">
        <w:rPr>
          <w:rFonts w:ascii="Tahoma" w:eastAsia="American Typewriter" w:hAnsi="Tahoma" w:cs="Tahoma"/>
          <w:sz w:val="20"/>
          <w:szCs w:val="20"/>
        </w:rPr>
        <w:t>navires</w:t>
      </w:r>
      <w:r w:rsidR="00DB1635" w:rsidRPr="00B004EE">
        <w:rPr>
          <w:rFonts w:ascii="Tahoma" w:eastAsia="American Typewriter" w:hAnsi="Tahoma" w:cs="Tahoma"/>
          <w:spacing w:val="-22"/>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pacing w:val="-23"/>
          <w:sz w:val="20"/>
          <w:szCs w:val="20"/>
        </w:rPr>
        <w:t xml:space="preserve"> </w:t>
      </w:r>
      <w:r w:rsidRPr="00B004EE">
        <w:rPr>
          <w:rFonts w:ascii="Tahoma" w:eastAsia="American Typewriter" w:hAnsi="Tahoma" w:cs="Tahoma"/>
          <w:sz w:val="20"/>
          <w:szCs w:val="20"/>
        </w:rPr>
        <w:t>pêche</w:t>
      </w:r>
      <w:r w:rsidR="00DB1635" w:rsidRPr="00B004EE">
        <w:rPr>
          <w:rFonts w:ascii="Tahoma" w:eastAsia="American Typewriter" w:hAnsi="Tahoma" w:cs="Tahoma"/>
          <w:spacing w:val="-23"/>
          <w:sz w:val="20"/>
          <w:szCs w:val="20"/>
        </w:rPr>
        <w:t xml:space="preserve"> </w:t>
      </w:r>
      <w:r w:rsidRPr="00B004EE">
        <w:rPr>
          <w:rFonts w:ascii="Tahoma" w:eastAsia="American Typewriter" w:hAnsi="Tahoma" w:cs="Tahoma"/>
          <w:sz w:val="20"/>
          <w:szCs w:val="20"/>
        </w:rPr>
        <w:t>d'un</w:t>
      </w:r>
      <w:r w:rsidR="00DB1635" w:rsidRPr="00B004EE">
        <w:rPr>
          <w:rFonts w:ascii="Tahoma" w:eastAsia="American Typewriter" w:hAnsi="Tahoma" w:cs="Tahoma"/>
          <w:spacing w:val="-23"/>
          <w:sz w:val="20"/>
          <w:szCs w:val="20"/>
        </w:rPr>
        <w:t xml:space="preserve"> </w:t>
      </w:r>
      <w:r w:rsidRPr="00B004EE">
        <w:rPr>
          <w:rFonts w:ascii="Tahoma" w:eastAsia="American Typewriter" w:hAnsi="Tahoma" w:cs="Tahoma"/>
          <w:sz w:val="20"/>
          <w:szCs w:val="20"/>
        </w:rPr>
        <w:t>tonnage</w:t>
      </w:r>
      <w:r w:rsidR="00DB1635" w:rsidRPr="00B004EE">
        <w:rPr>
          <w:rFonts w:ascii="Tahoma" w:eastAsia="American Typewriter" w:hAnsi="Tahoma" w:cs="Tahoma"/>
          <w:spacing w:val="-23"/>
          <w:sz w:val="20"/>
          <w:szCs w:val="20"/>
        </w:rPr>
        <w:t xml:space="preserve"> </w:t>
      </w:r>
      <w:r w:rsidRPr="00B004EE">
        <w:rPr>
          <w:rFonts w:ascii="Tahoma" w:eastAsia="American Typewriter" w:hAnsi="Tahoma" w:cs="Tahoma"/>
          <w:sz w:val="20"/>
          <w:szCs w:val="20"/>
        </w:rPr>
        <w:t>supérieur</w:t>
      </w:r>
      <w:r w:rsidR="00DB1635" w:rsidRPr="00B004EE">
        <w:rPr>
          <w:rFonts w:ascii="Tahoma" w:eastAsia="American Typewriter" w:hAnsi="Tahoma" w:cs="Tahoma"/>
          <w:w w:val="94"/>
          <w:sz w:val="20"/>
          <w:szCs w:val="20"/>
        </w:rPr>
        <w:t xml:space="preserve"> </w:t>
      </w:r>
      <w:r w:rsidRPr="00B004EE">
        <w:rPr>
          <w:rFonts w:ascii="Tahoma" w:eastAsia="American Typewriter" w:hAnsi="Tahoma" w:cs="Tahoma"/>
          <w:sz w:val="20"/>
          <w:szCs w:val="20"/>
        </w:rPr>
        <w:t>ou</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égal</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à</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600</w:t>
      </w:r>
      <w:r w:rsidR="00DB1635" w:rsidRPr="00B004EE">
        <w:rPr>
          <w:rFonts w:ascii="Tahoma" w:eastAsia="American Typewriter" w:hAnsi="Tahoma" w:cs="Tahoma"/>
          <w:spacing w:val="24"/>
          <w:sz w:val="20"/>
          <w:szCs w:val="20"/>
        </w:rPr>
        <w:t xml:space="preserve"> </w:t>
      </w:r>
      <w:r w:rsidRPr="00B004EE">
        <w:rPr>
          <w:rFonts w:ascii="Tahoma" w:eastAsia="American Typewriter" w:hAnsi="Tahoma" w:cs="Tahoma"/>
          <w:sz w:val="20"/>
          <w:szCs w:val="20"/>
        </w:rPr>
        <w:t>GT.</w:t>
      </w:r>
    </w:p>
    <w:p w14:paraId="1944ABBD" w14:textId="77777777" w:rsidR="00AE28C4" w:rsidRPr="00B004EE" w:rsidRDefault="00AE28C4" w:rsidP="00B004EE">
      <w:pPr>
        <w:pStyle w:val="Corpsdetexte"/>
        <w:ind w:right="159"/>
        <w:rPr>
          <w:rFonts w:ascii="Tahoma" w:eastAsia="American Typewriter" w:hAnsi="Tahoma" w:cs="Tahoma"/>
          <w:sz w:val="20"/>
          <w:szCs w:val="20"/>
        </w:rPr>
      </w:pPr>
    </w:p>
    <w:p w14:paraId="58D2B6FF" w14:textId="38AEAD4C" w:rsidR="001E7C3C" w:rsidRPr="00B004EE" w:rsidRDefault="001E7C3C" w:rsidP="00B004EE">
      <w:pPr>
        <w:pStyle w:val="Corpsdetexte"/>
        <w:ind w:right="159"/>
        <w:rPr>
          <w:rFonts w:ascii="Tahoma" w:hAnsi="Tahoma" w:cs="Tahoma"/>
          <w:sz w:val="20"/>
          <w:szCs w:val="20"/>
        </w:rPr>
      </w:pPr>
      <w:r w:rsidRPr="00B004EE">
        <w:rPr>
          <w:rFonts w:ascii="Tahoma" w:hAnsi="Tahoma" w:cs="Tahoma"/>
          <w:sz w:val="20"/>
          <w:szCs w:val="20"/>
        </w:rPr>
        <w:t>A</w:t>
      </w:r>
      <w:r w:rsidR="00DB1635" w:rsidRPr="00B004EE">
        <w:rPr>
          <w:rFonts w:ascii="Tahoma" w:hAnsi="Tahoma" w:cs="Tahoma"/>
          <w:spacing w:val="-16"/>
          <w:sz w:val="20"/>
          <w:szCs w:val="20"/>
        </w:rPr>
        <w:t xml:space="preserve"> </w:t>
      </w:r>
      <w:r w:rsidRPr="00B004EE">
        <w:rPr>
          <w:rFonts w:ascii="Tahoma" w:hAnsi="Tahoma" w:cs="Tahoma"/>
          <w:sz w:val="20"/>
          <w:szCs w:val="20"/>
        </w:rPr>
        <w:t>l'intérieur</w:t>
      </w:r>
      <w:r w:rsidR="00DB1635" w:rsidRPr="00B004EE">
        <w:rPr>
          <w:rFonts w:ascii="Tahoma" w:hAnsi="Tahoma" w:cs="Tahoma"/>
          <w:spacing w:val="-17"/>
          <w:sz w:val="20"/>
          <w:szCs w:val="20"/>
        </w:rPr>
        <w:t xml:space="preserve"> </w:t>
      </w:r>
      <w:r w:rsidRPr="00B004EE">
        <w:rPr>
          <w:rFonts w:ascii="Tahoma" w:hAnsi="Tahoma" w:cs="Tahoma"/>
          <w:sz w:val="20"/>
          <w:szCs w:val="20"/>
        </w:rPr>
        <w:t>des</w:t>
      </w:r>
      <w:r w:rsidR="00DB1635" w:rsidRPr="00B004EE">
        <w:rPr>
          <w:rFonts w:ascii="Tahoma" w:hAnsi="Tahoma" w:cs="Tahoma"/>
          <w:spacing w:val="-17"/>
          <w:sz w:val="20"/>
          <w:szCs w:val="20"/>
        </w:rPr>
        <w:t xml:space="preserve"> </w:t>
      </w:r>
      <w:r w:rsidRPr="00B004EE">
        <w:rPr>
          <w:rFonts w:ascii="Tahoma" w:hAnsi="Tahoma" w:cs="Tahoma"/>
          <w:sz w:val="20"/>
          <w:szCs w:val="20"/>
        </w:rPr>
        <w:t>intervalles</w:t>
      </w:r>
      <w:r w:rsidR="00DB1635" w:rsidRPr="00B004EE">
        <w:rPr>
          <w:rFonts w:ascii="Tahoma" w:hAnsi="Tahoma" w:cs="Tahoma"/>
          <w:spacing w:val="-17"/>
          <w:sz w:val="20"/>
          <w:szCs w:val="20"/>
        </w:rPr>
        <w:t xml:space="preserve"> </w:t>
      </w:r>
      <w:r w:rsidRPr="00B004EE">
        <w:rPr>
          <w:rFonts w:ascii="Tahoma" w:hAnsi="Tahoma" w:cs="Tahoma"/>
          <w:sz w:val="20"/>
          <w:szCs w:val="20"/>
        </w:rPr>
        <w:t>ci-dessus,</w:t>
      </w:r>
      <w:r w:rsidR="00DB1635" w:rsidRPr="00B004EE">
        <w:rPr>
          <w:rFonts w:ascii="Tahoma" w:hAnsi="Tahoma" w:cs="Tahoma"/>
          <w:spacing w:val="-16"/>
          <w:sz w:val="20"/>
          <w:szCs w:val="20"/>
        </w:rPr>
        <w:t xml:space="preserve"> </w:t>
      </w:r>
      <w:r w:rsidRPr="00B004EE">
        <w:rPr>
          <w:rFonts w:ascii="Tahoma" w:hAnsi="Tahoma" w:cs="Tahoma"/>
          <w:sz w:val="20"/>
          <w:szCs w:val="20"/>
        </w:rPr>
        <w:t>l'amplitude</w:t>
      </w:r>
      <w:r w:rsidR="00DB1635" w:rsidRPr="00B004EE">
        <w:rPr>
          <w:rFonts w:ascii="Tahoma" w:hAnsi="Tahoma" w:cs="Tahoma"/>
          <w:spacing w:val="-17"/>
          <w:sz w:val="20"/>
          <w:szCs w:val="20"/>
        </w:rPr>
        <w:t xml:space="preserve"> </w:t>
      </w:r>
      <w:r w:rsidRPr="00B004EE">
        <w:rPr>
          <w:rFonts w:ascii="Tahoma" w:hAnsi="Tahoma" w:cs="Tahoma"/>
          <w:sz w:val="20"/>
          <w:szCs w:val="20"/>
        </w:rPr>
        <w:t>des</w:t>
      </w:r>
      <w:r w:rsidR="00DB1635" w:rsidRPr="00B004EE">
        <w:rPr>
          <w:rFonts w:ascii="Tahoma" w:hAnsi="Tahoma" w:cs="Tahoma"/>
          <w:spacing w:val="-18"/>
          <w:sz w:val="20"/>
          <w:szCs w:val="20"/>
        </w:rPr>
        <w:t xml:space="preserve"> </w:t>
      </w:r>
      <w:r w:rsidRPr="00B004EE">
        <w:rPr>
          <w:rFonts w:ascii="Tahoma" w:hAnsi="Tahoma" w:cs="Tahoma"/>
          <w:sz w:val="20"/>
          <w:szCs w:val="20"/>
        </w:rPr>
        <w:t>amendes</w:t>
      </w:r>
      <w:r w:rsidR="00DB1635" w:rsidRPr="00B004EE">
        <w:rPr>
          <w:rFonts w:ascii="Tahoma" w:hAnsi="Tahoma" w:cs="Tahoma"/>
          <w:spacing w:val="-18"/>
          <w:sz w:val="20"/>
          <w:szCs w:val="20"/>
        </w:rPr>
        <w:t xml:space="preserve"> </w:t>
      </w:r>
      <w:r w:rsidRPr="00B004EE">
        <w:rPr>
          <w:rFonts w:ascii="Tahoma" w:hAnsi="Tahoma" w:cs="Tahoma"/>
          <w:sz w:val="20"/>
          <w:szCs w:val="20"/>
        </w:rPr>
        <w:t>sera</w:t>
      </w:r>
      <w:r w:rsidR="00DB1635" w:rsidRPr="00B004EE">
        <w:rPr>
          <w:rFonts w:ascii="Tahoma" w:hAnsi="Tahoma" w:cs="Tahoma"/>
          <w:spacing w:val="-17"/>
          <w:sz w:val="20"/>
          <w:szCs w:val="20"/>
        </w:rPr>
        <w:t xml:space="preserve"> </w:t>
      </w:r>
      <w:r w:rsidRPr="00B004EE">
        <w:rPr>
          <w:rFonts w:ascii="Tahoma" w:hAnsi="Tahoma" w:cs="Tahoma"/>
          <w:sz w:val="20"/>
          <w:szCs w:val="20"/>
        </w:rPr>
        <w:t>ajustée</w:t>
      </w:r>
      <w:r w:rsidR="00DB1635" w:rsidRPr="00B004EE">
        <w:rPr>
          <w:rFonts w:ascii="Tahoma" w:hAnsi="Tahoma" w:cs="Tahoma"/>
          <w:spacing w:val="-17"/>
          <w:sz w:val="20"/>
          <w:szCs w:val="20"/>
        </w:rPr>
        <w:t xml:space="preserve"> </w:t>
      </w:r>
      <w:r w:rsidRPr="00B004EE">
        <w:rPr>
          <w:rFonts w:ascii="Tahoma" w:hAnsi="Tahoma" w:cs="Tahoma"/>
          <w:sz w:val="20"/>
          <w:szCs w:val="20"/>
        </w:rPr>
        <w:t>à</w:t>
      </w:r>
      <w:r w:rsidR="00DB1635" w:rsidRPr="00B004EE">
        <w:rPr>
          <w:rFonts w:ascii="Tahoma" w:hAnsi="Tahoma" w:cs="Tahoma"/>
          <w:w w:val="98"/>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taille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navires</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décret</w:t>
      </w:r>
      <w:r w:rsidR="00DB1635" w:rsidRPr="00B004EE">
        <w:rPr>
          <w:rFonts w:ascii="Tahoma" w:hAnsi="Tahoma" w:cs="Tahoma"/>
          <w:sz w:val="20"/>
          <w:szCs w:val="20"/>
        </w:rPr>
        <w:t xml:space="preserve"> </w:t>
      </w:r>
      <w:r w:rsidRPr="00B004EE">
        <w:rPr>
          <w:rFonts w:ascii="Tahoma" w:hAnsi="Tahoma" w:cs="Tahoma"/>
          <w:sz w:val="20"/>
          <w:szCs w:val="20"/>
        </w:rPr>
        <w:t>pris</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conseil</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Ministres</w:t>
      </w:r>
      <w:r w:rsidR="00DB1635" w:rsidRPr="00B004EE">
        <w:rPr>
          <w:rFonts w:ascii="Tahoma" w:hAnsi="Tahoma" w:cs="Tahoma"/>
          <w:sz w:val="20"/>
          <w:szCs w:val="20"/>
        </w:rPr>
        <w:t xml:space="preserve"> </w:t>
      </w:r>
      <w:r w:rsidRPr="00B004EE">
        <w:rPr>
          <w:rFonts w:ascii="Tahoma" w:hAnsi="Tahoma" w:cs="Tahoma"/>
          <w:sz w:val="20"/>
          <w:szCs w:val="20"/>
        </w:rPr>
        <w:t>sur</w:t>
      </w:r>
      <w:r w:rsidR="00DB1635" w:rsidRPr="00B004EE">
        <w:rPr>
          <w:rFonts w:ascii="Tahoma" w:hAnsi="Tahoma" w:cs="Tahoma"/>
          <w:sz w:val="20"/>
          <w:szCs w:val="20"/>
        </w:rPr>
        <w:t xml:space="preserve"> </w:t>
      </w:r>
      <w:r w:rsidRPr="00B004EE">
        <w:rPr>
          <w:rFonts w:ascii="Tahoma" w:hAnsi="Tahoma" w:cs="Tahoma"/>
          <w:sz w:val="20"/>
          <w:szCs w:val="20"/>
        </w:rPr>
        <w:t>rapport</w:t>
      </w:r>
      <w:r w:rsidR="00DB1635" w:rsidRPr="00B004EE">
        <w:rPr>
          <w:rFonts w:ascii="Tahoma" w:hAnsi="Tahoma" w:cs="Tahoma"/>
          <w:spacing w:val="48"/>
          <w:sz w:val="20"/>
          <w:szCs w:val="20"/>
        </w:rPr>
        <w:t xml:space="preserve"> </w:t>
      </w:r>
      <w:r w:rsidRPr="00B004EE">
        <w:rPr>
          <w:rFonts w:ascii="Tahoma" w:hAnsi="Tahoma" w:cs="Tahoma"/>
          <w:sz w:val="20"/>
          <w:szCs w:val="20"/>
        </w:rPr>
        <w:t>du</w:t>
      </w:r>
      <w:r w:rsidR="00DB1635" w:rsidRPr="00B004EE">
        <w:rPr>
          <w:rFonts w:ascii="Tahoma" w:hAnsi="Tahoma" w:cs="Tahoma"/>
          <w:w w:val="98"/>
          <w:sz w:val="20"/>
          <w:szCs w:val="20"/>
        </w:rPr>
        <w:t xml:space="preserve"> </w:t>
      </w:r>
      <w:r w:rsidRPr="00B004EE">
        <w:rPr>
          <w:rFonts w:ascii="Tahoma" w:hAnsi="Tahoma" w:cs="Tahoma"/>
          <w:sz w:val="20"/>
          <w:szCs w:val="20"/>
        </w:rPr>
        <w:t>Ministre</w:t>
      </w:r>
      <w:r w:rsidR="00DB1635" w:rsidRPr="00B004EE">
        <w:rPr>
          <w:rFonts w:ascii="Tahoma" w:hAnsi="Tahoma" w:cs="Tahoma"/>
          <w:spacing w:val="-33"/>
          <w:sz w:val="20"/>
          <w:szCs w:val="20"/>
        </w:rPr>
        <w:t xml:space="preserve"> </w:t>
      </w:r>
      <w:r w:rsidRPr="00B004EE">
        <w:rPr>
          <w:rFonts w:ascii="Tahoma" w:hAnsi="Tahoma" w:cs="Tahoma"/>
          <w:sz w:val="20"/>
          <w:szCs w:val="20"/>
        </w:rPr>
        <w:t>chargé</w:t>
      </w:r>
      <w:r w:rsidR="00DB1635" w:rsidRPr="00B004EE">
        <w:rPr>
          <w:rFonts w:ascii="Tahoma" w:hAnsi="Tahoma" w:cs="Tahoma"/>
          <w:spacing w:val="-33"/>
          <w:sz w:val="20"/>
          <w:szCs w:val="20"/>
        </w:rPr>
        <w:t xml:space="preserve"> </w:t>
      </w:r>
      <w:r w:rsidRPr="00B004EE">
        <w:rPr>
          <w:rFonts w:ascii="Tahoma" w:hAnsi="Tahoma" w:cs="Tahoma"/>
          <w:sz w:val="20"/>
          <w:szCs w:val="20"/>
        </w:rPr>
        <w:t>des</w:t>
      </w:r>
      <w:r w:rsidR="00DB1635" w:rsidRPr="00B004EE">
        <w:rPr>
          <w:rFonts w:ascii="Tahoma" w:hAnsi="Tahoma" w:cs="Tahoma"/>
          <w:spacing w:val="-34"/>
          <w:sz w:val="20"/>
          <w:szCs w:val="20"/>
        </w:rPr>
        <w:t xml:space="preserve"> </w:t>
      </w:r>
      <w:r w:rsidR="00852255" w:rsidRPr="00B004EE">
        <w:rPr>
          <w:rFonts w:ascii="Tahoma" w:hAnsi="Tahoma" w:cs="Tahoma"/>
          <w:sz w:val="20"/>
          <w:szCs w:val="20"/>
        </w:rPr>
        <w:t>pêches :</w:t>
      </w:r>
    </w:p>
    <w:p w14:paraId="2834177F" w14:textId="12E9ECCD" w:rsidR="001E7C3C" w:rsidRPr="00B004EE" w:rsidRDefault="001E7C3C" w:rsidP="00B004EE">
      <w:pPr>
        <w:pStyle w:val="Corpsdetexte"/>
        <w:rPr>
          <w:rFonts w:ascii="Tahoma" w:hAnsi="Tahoma" w:cs="Tahoma"/>
          <w:sz w:val="20"/>
          <w:szCs w:val="20"/>
        </w:rPr>
      </w:pPr>
      <w:r w:rsidRPr="00B004EE">
        <w:rPr>
          <w:rFonts w:ascii="Tahoma" w:hAnsi="Tahoma" w:cs="Tahoma"/>
          <w:sz w:val="20"/>
          <w:szCs w:val="20"/>
        </w:rPr>
        <w:t>En</w:t>
      </w:r>
      <w:r w:rsidR="00DB1635" w:rsidRPr="00B004EE">
        <w:rPr>
          <w:rFonts w:ascii="Tahoma" w:hAnsi="Tahoma" w:cs="Tahoma"/>
          <w:spacing w:val="-27"/>
          <w:sz w:val="20"/>
          <w:szCs w:val="20"/>
        </w:rPr>
        <w:t xml:space="preserve"> </w:t>
      </w:r>
      <w:r w:rsidRPr="00B004EE">
        <w:rPr>
          <w:rFonts w:ascii="Tahoma" w:hAnsi="Tahoma" w:cs="Tahoma"/>
          <w:sz w:val="20"/>
          <w:szCs w:val="20"/>
        </w:rPr>
        <w:t>outre,</w:t>
      </w:r>
      <w:r w:rsidR="00DB1635" w:rsidRPr="00B004EE">
        <w:rPr>
          <w:rFonts w:ascii="Tahoma" w:hAnsi="Tahoma" w:cs="Tahoma"/>
          <w:spacing w:val="-27"/>
          <w:sz w:val="20"/>
          <w:szCs w:val="20"/>
        </w:rPr>
        <w:t xml:space="preserve"> </w:t>
      </w:r>
      <w:r w:rsidRPr="00B004EE">
        <w:rPr>
          <w:rFonts w:ascii="Tahoma" w:hAnsi="Tahoma" w:cs="Tahoma"/>
          <w:sz w:val="20"/>
          <w:szCs w:val="20"/>
        </w:rPr>
        <w:t>le</w:t>
      </w:r>
      <w:r w:rsidR="00DB1635" w:rsidRPr="00B004EE">
        <w:rPr>
          <w:rFonts w:ascii="Tahoma" w:hAnsi="Tahoma" w:cs="Tahoma"/>
          <w:spacing w:val="-26"/>
          <w:sz w:val="20"/>
          <w:szCs w:val="20"/>
        </w:rPr>
        <w:t xml:space="preserve"> </w:t>
      </w:r>
      <w:r w:rsidRPr="00B004EE">
        <w:rPr>
          <w:rFonts w:ascii="Tahoma" w:hAnsi="Tahoma" w:cs="Tahoma"/>
          <w:sz w:val="20"/>
          <w:szCs w:val="20"/>
        </w:rPr>
        <w:t>tribunal</w:t>
      </w:r>
      <w:r w:rsidR="00DB1635" w:rsidRPr="00B004EE">
        <w:rPr>
          <w:rFonts w:ascii="Tahoma" w:hAnsi="Tahoma" w:cs="Tahoma"/>
          <w:spacing w:val="-26"/>
          <w:sz w:val="20"/>
          <w:szCs w:val="20"/>
        </w:rPr>
        <w:t xml:space="preserve"> </w:t>
      </w:r>
      <w:r w:rsidRPr="00B004EE">
        <w:rPr>
          <w:rFonts w:ascii="Tahoma" w:hAnsi="Tahoma" w:cs="Tahoma"/>
          <w:sz w:val="20"/>
          <w:szCs w:val="20"/>
        </w:rPr>
        <w:t>pourra</w:t>
      </w:r>
      <w:r w:rsidR="00DB1635" w:rsidRPr="00B004EE">
        <w:rPr>
          <w:rFonts w:ascii="Tahoma" w:hAnsi="Tahoma" w:cs="Tahoma"/>
          <w:spacing w:val="-26"/>
          <w:sz w:val="20"/>
          <w:szCs w:val="20"/>
        </w:rPr>
        <w:t xml:space="preserve"> </w:t>
      </w:r>
      <w:r w:rsidRPr="00B004EE">
        <w:rPr>
          <w:rFonts w:ascii="Tahoma" w:hAnsi="Tahoma" w:cs="Tahoma"/>
          <w:sz w:val="20"/>
          <w:szCs w:val="20"/>
        </w:rPr>
        <w:t>prononcer</w:t>
      </w:r>
      <w:r w:rsidR="00DB1635" w:rsidRPr="00B004EE">
        <w:rPr>
          <w:rFonts w:ascii="Tahoma" w:hAnsi="Tahoma" w:cs="Tahoma"/>
          <w:spacing w:val="-27"/>
          <w:sz w:val="20"/>
          <w:szCs w:val="20"/>
        </w:rPr>
        <w:t xml:space="preserve"> </w:t>
      </w:r>
      <w:r w:rsidRPr="00B004EE">
        <w:rPr>
          <w:rFonts w:ascii="Tahoma" w:hAnsi="Tahoma" w:cs="Tahoma"/>
          <w:sz w:val="20"/>
          <w:szCs w:val="20"/>
        </w:rPr>
        <w:t>:</w:t>
      </w:r>
    </w:p>
    <w:p w14:paraId="71761F00" w14:textId="06C22F07" w:rsidR="001E7C3C" w:rsidRPr="00B004EE" w:rsidRDefault="001E7C3C" w:rsidP="00420DDA">
      <w:pPr>
        <w:pStyle w:val="Paragraphedeliste"/>
        <w:widowControl w:val="0"/>
        <w:numPr>
          <w:ilvl w:val="0"/>
          <w:numId w:val="30"/>
        </w:numPr>
        <w:tabs>
          <w:tab w:val="left" w:pos="1154"/>
        </w:tabs>
        <w:ind w:left="851"/>
        <w:jc w:val="both"/>
        <w:rPr>
          <w:rFonts w:ascii="Tahoma" w:eastAsia="American Typewriter" w:hAnsi="Tahoma" w:cs="Tahoma"/>
          <w:sz w:val="20"/>
          <w:szCs w:val="20"/>
        </w:rPr>
      </w:pPr>
      <w:proofErr w:type="gramStart"/>
      <w:r w:rsidRPr="00B004EE">
        <w:rPr>
          <w:rFonts w:ascii="Tahoma" w:hAnsi="Tahoma" w:cs="Tahoma"/>
          <w:sz w:val="20"/>
          <w:szCs w:val="20"/>
        </w:rPr>
        <w:t>la</w:t>
      </w:r>
      <w:proofErr w:type="gramEnd"/>
      <w:r w:rsidR="00DB1635" w:rsidRPr="00B004EE">
        <w:rPr>
          <w:rFonts w:ascii="Tahoma" w:hAnsi="Tahoma" w:cs="Tahoma"/>
          <w:sz w:val="20"/>
          <w:szCs w:val="20"/>
        </w:rPr>
        <w:t xml:space="preserve"> </w:t>
      </w:r>
      <w:r w:rsidRPr="00B004EE">
        <w:rPr>
          <w:rFonts w:ascii="Tahoma" w:hAnsi="Tahoma" w:cs="Tahoma"/>
          <w:sz w:val="20"/>
          <w:szCs w:val="20"/>
        </w:rPr>
        <w:t>confiscation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captures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bord</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produit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leur</w:t>
      </w:r>
      <w:r w:rsidR="00DB1635" w:rsidRPr="00B004EE">
        <w:rPr>
          <w:rFonts w:ascii="Tahoma" w:hAnsi="Tahoma" w:cs="Tahoma"/>
          <w:spacing w:val="-38"/>
          <w:sz w:val="20"/>
          <w:szCs w:val="20"/>
        </w:rPr>
        <w:t xml:space="preserve"> </w:t>
      </w:r>
      <w:r w:rsidRPr="00B004EE">
        <w:rPr>
          <w:rFonts w:ascii="Tahoma" w:hAnsi="Tahoma" w:cs="Tahoma"/>
          <w:sz w:val="20"/>
          <w:szCs w:val="20"/>
        </w:rPr>
        <w:t>vente;</w:t>
      </w:r>
    </w:p>
    <w:p w14:paraId="5B904839" w14:textId="780AA2D4" w:rsidR="001E7C3C" w:rsidRPr="00B004EE" w:rsidRDefault="001E7C3C" w:rsidP="00420DDA">
      <w:pPr>
        <w:pStyle w:val="Paragraphedeliste"/>
        <w:widowControl w:val="0"/>
        <w:numPr>
          <w:ilvl w:val="0"/>
          <w:numId w:val="30"/>
        </w:numPr>
        <w:tabs>
          <w:tab w:val="left" w:pos="1154"/>
        </w:tabs>
        <w:ind w:left="851" w:right="559"/>
        <w:rPr>
          <w:rFonts w:ascii="Tahoma" w:eastAsia="American Typewriter" w:hAnsi="Tahoma" w:cs="Tahoma"/>
          <w:sz w:val="20"/>
          <w:szCs w:val="20"/>
        </w:rPr>
      </w:pPr>
      <w:proofErr w:type="gramStart"/>
      <w:r w:rsidRPr="00B004EE">
        <w:rPr>
          <w:rFonts w:ascii="Tahoma" w:hAnsi="Tahoma" w:cs="Tahoma"/>
          <w:sz w:val="20"/>
          <w:szCs w:val="20"/>
        </w:rPr>
        <w:t>la</w:t>
      </w:r>
      <w:proofErr w:type="gramEnd"/>
      <w:r w:rsidR="00DB1635" w:rsidRPr="00B004EE">
        <w:rPr>
          <w:rFonts w:ascii="Tahoma" w:hAnsi="Tahoma" w:cs="Tahoma"/>
          <w:sz w:val="20"/>
          <w:szCs w:val="20"/>
        </w:rPr>
        <w:t xml:space="preserve"> </w:t>
      </w:r>
      <w:r w:rsidRPr="00B004EE">
        <w:rPr>
          <w:rFonts w:ascii="Tahoma" w:hAnsi="Tahoma" w:cs="Tahoma"/>
          <w:sz w:val="20"/>
          <w:szCs w:val="20"/>
        </w:rPr>
        <w:t>confiscation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engins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substances</w:t>
      </w:r>
      <w:r w:rsidR="00DB1635" w:rsidRPr="00B004EE">
        <w:rPr>
          <w:rFonts w:ascii="Tahoma" w:hAnsi="Tahoma" w:cs="Tahoma"/>
          <w:sz w:val="20"/>
          <w:szCs w:val="20"/>
        </w:rPr>
        <w:t xml:space="preserve"> </w:t>
      </w:r>
      <w:r w:rsidRPr="00B004EE">
        <w:rPr>
          <w:rFonts w:ascii="Tahoma" w:hAnsi="Tahoma" w:cs="Tahoma"/>
          <w:sz w:val="20"/>
          <w:szCs w:val="20"/>
        </w:rPr>
        <w:t>employées</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pacing w:val="55"/>
          <w:sz w:val="20"/>
          <w:szCs w:val="20"/>
        </w:rPr>
        <w:t xml:space="preserve"> </w:t>
      </w:r>
      <w:r w:rsidRPr="00B004EE">
        <w:rPr>
          <w:rFonts w:ascii="Tahoma" w:hAnsi="Tahoma" w:cs="Tahoma"/>
          <w:sz w:val="20"/>
          <w:szCs w:val="20"/>
        </w:rPr>
        <w:t>la</w:t>
      </w:r>
      <w:r w:rsidR="00DB1635" w:rsidRPr="00B004EE">
        <w:rPr>
          <w:rFonts w:ascii="Tahoma" w:hAnsi="Tahoma" w:cs="Tahoma"/>
          <w:w w:val="98"/>
          <w:sz w:val="20"/>
          <w:szCs w:val="20"/>
        </w:rPr>
        <w:t xml:space="preserve"> </w:t>
      </w:r>
      <w:r w:rsidRPr="00B004EE">
        <w:rPr>
          <w:rFonts w:ascii="Tahoma" w:hAnsi="Tahoma" w:cs="Tahoma"/>
          <w:sz w:val="20"/>
          <w:szCs w:val="20"/>
        </w:rPr>
        <w:t>commission</w:t>
      </w:r>
      <w:r w:rsidR="00DB1635" w:rsidRPr="00B004EE">
        <w:rPr>
          <w:rFonts w:ascii="Tahoma" w:hAnsi="Tahoma" w:cs="Tahoma"/>
          <w:sz w:val="20"/>
          <w:szCs w:val="20"/>
        </w:rPr>
        <w:t xml:space="preserve"> </w:t>
      </w:r>
      <w:r w:rsidRPr="00B004EE">
        <w:rPr>
          <w:rFonts w:ascii="Tahoma" w:hAnsi="Tahoma" w:cs="Tahoma"/>
          <w:sz w:val="20"/>
          <w:szCs w:val="20"/>
        </w:rPr>
        <w:t>desdites</w:t>
      </w:r>
      <w:r w:rsidR="00DB1635" w:rsidRPr="00B004EE">
        <w:rPr>
          <w:rFonts w:ascii="Tahoma" w:hAnsi="Tahoma" w:cs="Tahoma"/>
          <w:spacing w:val="6"/>
          <w:sz w:val="20"/>
          <w:szCs w:val="20"/>
        </w:rPr>
        <w:t xml:space="preserve"> </w:t>
      </w:r>
      <w:r w:rsidRPr="00B004EE">
        <w:rPr>
          <w:rFonts w:ascii="Tahoma" w:hAnsi="Tahoma" w:cs="Tahoma"/>
          <w:sz w:val="20"/>
          <w:szCs w:val="20"/>
        </w:rPr>
        <w:t>infractions.</w:t>
      </w:r>
    </w:p>
    <w:p w14:paraId="492F8B0C" w14:textId="77777777" w:rsidR="001E7C3C" w:rsidRPr="00B004EE" w:rsidRDefault="001E7C3C" w:rsidP="00B004EE">
      <w:pPr>
        <w:ind w:left="851"/>
        <w:rPr>
          <w:rFonts w:ascii="Tahoma" w:eastAsia="American Typewriter" w:hAnsi="Tahoma" w:cs="Tahoma"/>
          <w:sz w:val="20"/>
          <w:szCs w:val="20"/>
        </w:rPr>
      </w:pPr>
    </w:p>
    <w:p w14:paraId="3FF62B1E" w14:textId="7020A094" w:rsidR="001E7C3C" w:rsidRPr="00B004EE" w:rsidRDefault="001E7C3C" w:rsidP="00B004EE">
      <w:pPr>
        <w:pStyle w:val="Corpsdetexte"/>
        <w:ind w:right="161"/>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86</w:t>
      </w:r>
      <w:r w:rsidR="00DB1635" w:rsidRPr="00B004EE">
        <w:rPr>
          <w:rFonts w:ascii="Tahoma" w:hAnsi="Tahoma" w:cs="Tahoma"/>
          <w:bCs/>
          <w:sz w:val="20"/>
          <w:szCs w:val="20"/>
        </w:rPr>
        <w:t xml:space="preserve"> </w:t>
      </w:r>
      <w:r w:rsidRPr="00B004EE">
        <w:rPr>
          <w:rFonts w:ascii="Tahoma" w:hAnsi="Tahoma" w:cs="Tahoma"/>
          <w:bCs/>
          <w:sz w:val="20"/>
          <w:szCs w:val="20"/>
        </w:rPr>
        <w:t>:</w:t>
      </w:r>
      <w:r w:rsidR="00DB1635" w:rsidRPr="00B004EE">
        <w:rPr>
          <w:rFonts w:ascii="Tahoma" w:eastAsia="American Typewriter" w:hAnsi="Tahoma" w:cs="Tahoma"/>
          <w:b/>
          <w:bCs/>
          <w:spacing w:val="-7"/>
          <w:sz w:val="20"/>
          <w:szCs w:val="20"/>
        </w:rPr>
        <w:t xml:space="preserve"> </w:t>
      </w:r>
      <w:r w:rsidRPr="00B004EE">
        <w:rPr>
          <w:rFonts w:ascii="Tahoma" w:hAnsi="Tahoma" w:cs="Tahoma"/>
          <w:sz w:val="20"/>
          <w:szCs w:val="20"/>
        </w:rPr>
        <w:t>Le</w:t>
      </w:r>
      <w:r w:rsidR="00DB1635" w:rsidRPr="00B004EE">
        <w:rPr>
          <w:rFonts w:ascii="Tahoma" w:hAnsi="Tahoma" w:cs="Tahoma"/>
          <w:spacing w:val="-11"/>
          <w:sz w:val="20"/>
          <w:szCs w:val="20"/>
        </w:rPr>
        <w:t xml:space="preserve"> </w:t>
      </w:r>
      <w:r w:rsidRPr="00B004EE">
        <w:rPr>
          <w:rFonts w:ascii="Tahoma" w:hAnsi="Tahoma" w:cs="Tahoma"/>
          <w:sz w:val="20"/>
          <w:szCs w:val="20"/>
        </w:rPr>
        <w:t>montant</w:t>
      </w:r>
      <w:r w:rsidR="00DB1635" w:rsidRPr="00B004EE">
        <w:rPr>
          <w:rFonts w:ascii="Tahoma" w:hAnsi="Tahoma" w:cs="Tahoma"/>
          <w:spacing w:val="-11"/>
          <w:sz w:val="20"/>
          <w:szCs w:val="20"/>
        </w:rPr>
        <w:t xml:space="preserve"> </w:t>
      </w:r>
      <w:r w:rsidRPr="00B004EE">
        <w:rPr>
          <w:rFonts w:ascii="Tahoma" w:hAnsi="Tahoma" w:cs="Tahoma"/>
          <w:sz w:val="20"/>
          <w:szCs w:val="20"/>
        </w:rPr>
        <w:t>des</w:t>
      </w:r>
      <w:r w:rsidR="00DB1635" w:rsidRPr="00B004EE">
        <w:rPr>
          <w:rFonts w:ascii="Tahoma" w:hAnsi="Tahoma" w:cs="Tahoma"/>
          <w:spacing w:val="-11"/>
          <w:sz w:val="20"/>
          <w:szCs w:val="20"/>
        </w:rPr>
        <w:t xml:space="preserve"> </w:t>
      </w:r>
      <w:r w:rsidRPr="00B004EE">
        <w:rPr>
          <w:rFonts w:ascii="Tahoma" w:hAnsi="Tahoma" w:cs="Tahoma"/>
          <w:sz w:val="20"/>
          <w:szCs w:val="20"/>
        </w:rPr>
        <w:t>amendes</w:t>
      </w:r>
      <w:r w:rsidR="00DB1635" w:rsidRPr="00B004EE">
        <w:rPr>
          <w:rFonts w:ascii="Tahoma" w:hAnsi="Tahoma" w:cs="Tahoma"/>
          <w:spacing w:val="-11"/>
          <w:sz w:val="20"/>
          <w:szCs w:val="20"/>
        </w:rPr>
        <w:t xml:space="preserve"> </w:t>
      </w:r>
      <w:r w:rsidRPr="00B004EE">
        <w:rPr>
          <w:rFonts w:ascii="Tahoma" w:hAnsi="Tahoma" w:cs="Tahoma"/>
          <w:sz w:val="20"/>
          <w:szCs w:val="20"/>
        </w:rPr>
        <w:t>prévues</w:t>
      </w:r>
      <w:r w:rsidR="00DB1635" w:rsidRPr="00B004EE">
        <w:rPr>
          <w:rFonts w:ascii="Tahoma" w:hAnsi="Tahoma" w:cs="Tahoma"/>
          <w:spacing w:val="-11"/>
          <w:sz w:val="20"/>
          <w:szCs w:val="20"/>
        </w:rPr>
        <w:t xml:space="preserve"> </w:t>
      </w:r>
      <w:r w:rsidRPr="00B004EE">
        <w:rPr>
          <w:rFonts w:ascii="Tahoma" w:hAnsi="Tahoma" w:cs="Tahoma"/>
          <w:sz w:val="20"/>
          <w:szCs w:val="20"/>
        </w:rPr>
        <w:t>aux</w:t>
      </w:r>
      <w:r w:rsidR="00DB1635" w:rsidRPr="00B004EE">
        <w:rPr>
          <w:rFonts w:ascii="Tahoma" w:hAnsi="Tahoma" w:cs="Tahoma"/>
          <w:spacing w:val="-11"/>
          <w:sz w:val="20"/>
          <w:szCs w:val="20"/>
        </w:rPr>
        <w:t xml:space="preserve"> </w:t>
      </w:r>
      <w:r w:rsidRPr="00B004EE">
        <w:rPr>
          <w:rFonts w:ascii="Tahoma" w:hAnsi="Tahoma" w:cs="Tahoma"/>
          <w:sz w:val="20"/>
          <w:szCs w:val="20"/>
        </w:rPr>
        <w:t>articles</w:t>
      </w:r>
      <w:r w:rsidR="00DB1635" w:rsidRPr="00B004EE">
        <w:rPr>
          <w:rFonts w:ascii="Tahoma" w:hAnsi="Tahoma" w:cs="Tahoma"/>
          <w:spacing w:val="-11"/>
          <w:sz w:val="20"/>
          <w:szCs w:val="20"/>
        </w:rPr>
        <w:t xml:space="preserve"> </w:t>
      </w:r>
      <w:r w:rsidRPr="00B004EE">
        <w:rPr>
          <w:rFonts w:ascii="Tahoma" w:hAnsi="Tahoma" w:cs="Tahoma"/>
          <w:sz w:val="20"/>
          <w:szCs w:val="20"/>
        </w:rPr>
        <w:t>précédents</w:t>
      </w:r>
      <w:r w:rsidR="00DB1635" w:rsidRPr="00B004EE">
        <w:rPr>
          <w:rFonts w:ascii="Tahoma" w:hAnsi="Tahoma" w:cs="Tahoma"/>
          <w:spacing w:val="-11"/>
          <w:sz w:val="20"/>
          <w:szCs w:val="20"/>
        </w:rPr>
        <w:t xml:space="preserve"> </w:t>
      </w:r>
      <w:r w:rsidRPr="00B004EE">
        <w:rPr>
          <w:rFonts w:ascii="Tahoma" w:hAnsi="Tahoma" w:cs="Tahoma"/>
          <w:sz w:val="20"/>
          <w:szCs w:val="20"/>
        </w:rPr>
        <w:t>sera</w:t>
      </w:r>
      <w:r w:rsidR="00DB1635" w:rsidRPr="00B004EE">
        <w:rPr>
          <w:rFonts w:ascii="Tahoma" w:hAnsi="Tahoma" w:cs="Tahoma"/>
          <w:spacing w:val="-11"/>
          <w:sz w:val="20"/>
          <w:szCs w:val="20"/>
        </w:rPr>
        <w:t xml:space="preserve"> </w:t>
      </w:r>
      <w:r w:rsidRPr="00B004EE">
        <w:rPr>
          <w:rFonts w:ascii="Tahoma" w:hAnsi="Tahoma" w:cs="Tahoma"/>
          <w:sz w:val="20"/>
          <w:szCs w:val="20"/>
        </w:rPr>
        <w:t>ajusté</w:t>
      </w:r>
      <w:r w:rsidR="00DB1635" w:rsidRPr="00B004EE">
        <w:rPr>
          <w:rFonts w:ascii="Tahoma" w:hAnsi="Tahoma" w:cs="Tahoma"/>
          <w:spacing w:val="-1"/>
          <w:w w:val="95"/>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limites</w:t>
      </w:r>
      <w:r w:rsidR="00DB1635" w:rsidRPr="00B004EE">
        <w:rPr>
          <w:rFonts w:ascii="Tahoma" w:hAnsi="Tahoma" w:cs="Tahoma"/>
          <w:sz w:val="20"/>
          <w:szCs w:val="20"/>
        </w:rPr>
        <w:t xml:space="preserve"> </w:t>
      </w:r>
      <w:r w:rsidRPr="00B004EE">
        <w:rPr>
          <w:rFonts w:ascii="Tahoma" w:hAnsi="Tahoma" w:cs="Tahoma"/>
          <w:sz w:val="20"/>
          <w:szCs w:val="20"/>
        </w:rPr>
        <w:t>fixées</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présente</w:t>
      </w:r>
      <w:r w:rsidR="00DB1635" w:rsidRPr="00B004EE">
        <w:rPr>
          <w:rFonts w:ascii="Tahoma" w:hAnsi="Tahoma" w:cs="Tahoma"/>
          <w:sz w:val="20"/>
          <w:szCs w:val="20"/>
        </w:rPr>
        <w:t xml:space="preserve"> </w:t>
      </w:r>
      <w:r w:rsidRPr="00B004EE">
        <w:rPr>
          <w:rFonts w:ascii="Tahoma" w:hAnsi="Tahoma" w:cs="Tahoma"/>
          <w:sz w:val="20"/>
          <w:szCs w:val="20"/>
        </w:rPr>
        <w:t>Loi</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fonction</w:t>
      </w:r>
      <w:r w:rsidR="00DB1635" w:rsidRPr="00B004EE">
        <w:rPr>
          <w:rFonts w:ascii="Tahoma" w:hAnsi="Tahoma" w:cs="Tahoma"/>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la</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nature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pacing w:val="-18"/>
          <w:sz w:val="20"/>
          <w:szCs w:val="20"/>
        </w:rPr>
        <w:t xml:space="preserve"> </w:t>
      </w:r>
      <w:r w:rsidRPr="00B004EE">
        <w:rPr>
          <w:rFonts w:ascii="Tahoma" w:eastAsia="American Typewriter" w:hAnsi="Tahoma" w:cs="Tahoma"/>
          <w:sz w:val="20"/>
          <w:szCs w:val="20"/>
        </w:rPr>
        <w:t>l’infraction,</w:t>
      </w:r>
      <w:r w:rsidR="00DB1635" w:rsidRPr="00B004EE">
        <w:rPr>
          <w:rFonts w:ascii="Tahoma" w:eastAsia="American Typewriter" w:hAnsi="Tahoma" w:cs="Tahoma"/>
          <w:w w:val="95"/>
          <w:sz w:val="20"/>
          <w:szCs w:val="20"/>
        </w:rPr>
        <w:t xml:space="preserve"> </w:t>
      </w:r>
      <w:r w:rsidRPr="00B004EE">
        <w:rPr>
          <w:rFonts w:ascii="Tahoma" w:hAnsi="Tahoma" w:cs="Tahoma"/>
          <w:sz w:val="20"/>
          <w:szCs w:val="20"/>
        </w:rPr>
        <w:t>des</w:t>
      </w:r>
      <w:r w:rsidR="00DB1635" w:rsidRPr="00B004EE">
        <w:rPr>
          <w:rFonts w:ascii="Tahoma" w:hAnsi="Tahoma" w:cs="Tahoma"/>
          <w:spacing w:val="41"/>
          <w:sz w:val="20"/>
          <w:szCs w:val="20"/>
        </w:rPr>
        <w:t xml:space="preserve"> </w:t>
      </w:r>
      <w:r w:rsidRPr="00B004EE">
        <w:rPr>
          <w:rFonts w:ascii="Tahoma" w:hAnsi="Tahoma" w:cs="Tahoma"/>
          <w:sz w:val="20"/>
          <w:szCs w:val="20"/>
        </w:rPr>
        <w:t>caractéristiques</w:t>
      </w:r>
      <w:r w:rsidR="00DB1635" w:rsidRPr="00B004EE">
        <w:rPr>
          <w:rFonts w:ascii="Tahoma" w:hAnsi="Tahoma" w:cs="Tahoma"/>
          <w:spacing w:val="41"/>
          <w:sz w:val="20"/>
          <w:szCs w:val="20"/>
        </w:rPr>
        <w:t xml:space="preserve"> </w:t>
      </w:r>
      <w:r w:rsidRPr="00B004EE">
        <w:rPr>
          <w:rFonts w:ascii="Tahoma" w:hAnsi="Tahoma" w:cs="Tahoma"/>
          <w:sz w:val="20"/>
          <w:szCs w:val="20"/>
        </w:rPr>
        <w:t>techniques</w:t>
      </w:r>
      <w:r w:rsidR="00DB1635" w:rsidRPr="00B004EE">
        <w:rPr>
          <w:rFonts w:ascii="Tahoma" w:hAnsi="Tahoma" w:cs="Tahoma"/>
          <w:spacing w:val="39"/>
          <w:sz w:val="20"/>
          <w:szCs w:val="20"/>
        </w:rPr>
        <w:t xml:space="preserve"> </w:t>
      </w:r>
      <w:r w:rsidRPr="00B004EE">
        <w:rPr>
          <w:rFonts w:ascii="Tahoma" w:hAnsi="Tahoma" w:cs="Tahoma"/>
          <w:sz w:val="20"/>
          <w:szCs w:val="20"/>
        </w:rPr>
        <w:t>et</w:t>
      </w:r>
      <w:r w:rsidR="00DB1635" w:rsidRPr="00B004EE">
        <w:rPr>
          <w:rFonts w:ascii="Tahoma" w:hAnsi="Tahoma" w:cs="Tahoma"/>
          <w:spacing w:val="40"/>
          <w:sz w:val="20"/>
          <w:szCs w:val="20"/>
        </w:rPr>
        <w:t xml:space="preserve"> </w:t>
      </w:r>
      <w:r w:rsidRPr="00B004EE">
        <w:rPr>
          <w:rFonts w:ascii="Tahoma" w:hAnsi="Tahoma" w:cs="Tahoma"/>
          <w:sz w:val="20"/>
          <w:szCs w:val="20"/>
        </w:rPr>
        <w:t>économiques</w:t>
      </w:r>
      <w:r w:rsidR="00DB1635" w:rsidRPr="00B004EE">
        <w:rPr>
          <w:rFonts w:ascii="Tahoma" w:hAnsi="Tahoma" w:cs="Tahoma"/>
          <w:spacing w:val="39"/>
          <w:sz w:val="20"/>
          <w:szCs w:val="20"/>
        </w:rPr>
        <w:t xml:space="preserve"> </w:t>
      </w:r>
      <w:r w:rsidRPr="00B004EE">
        <w:rPr>
          <w:rFonts w:ascii="Tahoma" w:hAnsi="Tahoma" w:cs="Tahoma"/>
          <w:sz w:val="20"/>
          <w:szCs w:val="20"/>
        </w:rPr>
        <w:t>du</w:t>
      </w:r>
      <w:r w:rsidR="00DB1635" w:rsidRPr="00B004EE">
        <w:rPr>
          <w:rFonts w:ascii="Tahoma" w:hAnsi="Tahoma" w:cs="Tahoma"/>
          <w:spacing w:val="40"/>
          <w:sz w:val="20"/>
          <w:szCs w:val="20"/>
        </w:rPr>
        <w:t xml:space="preserve"> </w:t>
      </w:r>
      <w:r w:rsidRPr="00B004EE">
        <w:rPr>
          <w:rFonts w:ascii="Tahoma" w:hAnsi="Tahoma" w:cs="Tahoma"/>
          <w:sz w:val="20"/>
          <w:szCs w:val="20"/>
        </w:rPr>
        <w:t>navire,</w:t>
      </w:r>
      <w:r w:rsidR="00DB1635" w:rsidRPr="00B004EE">
        <w:rPr>
          <w:rFonts w:ascii="Tahoma" w:hAnsi="Tahoma" w:cs="Tahoma"/>
          <w:spacing w:val="40"/>
          <w:sz w:val="20"/>
          <w:szCs w:val="20"/>
        </w:rPr>
        <w:t xml:space="preserve"> </w:t>
      </w:r>
      <w:r w:rsidRPr="00B004EE">
        <w:rPr>
          <w:rFonts w:ascii="Tahoma" w:hAnsi="Tahoma" w:cs="Tahoma"/>
          <w:sz w:val="20"/>
          <w:szCs w:val="20"/>
        </w:rPr>
        <w:t>du</w:t>
      </w:r>
      <w:r w:rsidR="00DB1635" w:rsidRPr="00B004EE">
        <w:rPr>
          <w:rFonts w:ascii="Tahoma" w:hAnsi="Tahoma" w:cs="Tahoma"/>
          <w:spacing w:val="40"/>
          <w:sz w:val="20"/>
          <w:szCs w:val="20"/>
        </w:rPr>
        <w:t xml:space="preserve"> </w:t>
      </w:r>
      <w:r w:rsidRPr="00B004EE">
        <w:rPr>
          <w:rFonts w:ascii="Tahoma" w:hAnsi="Tahoma" w:cs="Tahoma"/>
          <w:sz w:val="20"/>
          <w:szCs w:val="20"/>
        </w:rPr>
        <w:t>genre</w:t>
      </w:r>
      <w:r w:rsidR="00DB1635" w:rsidRPr="00B004EE">
        <w:rPr>
          <w:rFonts w:ascii="Tahoma" w:hAnsi="Tahoma" w:cs="Tahoma"/>
          <w:spacing w:val="40"/>
          <w:sz w:val="20"/>
          <w:szCs w:val="20"/>
        </w:rPr>
        <w:t xml:space="preserve"> </w:t>
      </w:r>
      <w:r w:rsidRPr="00B004EE">
        <w:rPr>
          <w:rFonts w:ascii="Tahoma" w:hAnsi="Tahoma" w:cs="Tahoma"/>
          <w:sz w:val="20"/>
          <w:szCs w:val="20"/>
        </w:rPr>
        <w:t>de</w:t>
      </w:r>
      <w:r w:rsidR="00DB1635" w:rsidRPr="00B004EE">
        <w:rPr>
          <w:rFonts w:ascii="Tahoma" w:hAnsi="Tahoma" w:cs="Tahoma"/>
          <w:spacing w:val="40"/>
          <w:sz w:val="20"/>
          <w:szCs w:val="20"/>
        </w:rPr>
        <w:t xml:space="preserve"> </w:t>
      </w:r>
      <w:r w:rsidRPr="00B004EE">
        <w:rPr>
          <w:rFonts w:ascii="Tahoma" w:hAnsi="Tahoma" w:cs="Tahoma"/>
          <w:sz w:val="20"/>
          <w:szCs w:val="20"/>
        </w:rPr>
        <w:t>pêche</w:t>
      </w:r>
      <w:r w:rsidR="00DB1635" w:rsidRPr="00B004EE">
        <w:rPr>
          <w:rFonts w:ascii="Tahoma" w:hAnsi="Tahoma" w:cs="Tahoma"/>
          <w:w w:val="95"/>
          <w:sz w:val="20"/>
          <w:szCs w:val="20"/>
        </w:rPr>
        <w:t xml:space="preserve"> </w:t>
      </w:r>
      <w:r w:rsidRPr="00B004EE">
        <w:rPr>
          <w:rFonts w:ascii="Tahoma" w:eastAsia="American Typewriter" w:hAnsi="Tahoma" w:cs="Tahoma"/>
          <w:sz w:val="20"/>
          <w:szCs w:val="20"/>
        </w:rPr>
        <w:t>pratiqué,</w:t>
      </w:r>
      <w:r w:rsidR="00DB1635" w:rsidRPr="00B004EE">
        <w:rPr>
          <w:rFonts w:ascii="Tahoma" w:eastAsia="American Typewriter" w:hAnsi="Tahoma" w:cs="Tahoma"/>
          <w:spacing w:val="-4"/>
          <w:sz w:val="20"/>
          <w:szCs w:val="20"/>
        </w:rPr>
        <w:t xml:space="preserve"> </w:t>
      </w:r>
      <w:r w:rsidRPr="00B004EE">
        <w:rPr>
          <w:rFonts w:ascii="Tahoma" w:eastAsia="American Typewriter" w:hAnsi="Tahoma" w:cs="Tahoma"/>
          <w:sz w:val="20"/>
          <w:szCs w:val="20"/>
        </w:rPr>
        <w:t>des</w:t>
      </w:r>
      <w:r w:rsidR="00DB1635" w:rsidRPr="00B004EE">
        <w:rPr>
          <w:rFonts w:ascii="Tahoma" w:eastAsia="American Typewriter" w:hAnsi="Tahoma" w:cs="Tahoma"/>
          <w:spacing w:val="-5"/>
          <w:sz w:val="20"/>
          <w:szCs w:val="20"/>
        </w:rPr>
        <w:t xml:space="preserve"> </w:t>
      </w:r>
      <w:r w:rsidRPr="00B004EE">
        <w:rPr>
          <w:rFonts w:ascii="Tahoma" w:eastAsia="American Typewriter" w:hAnsi="Tahoma" w:cs="Tahoma"/>
          <w:sz w:val="20"/>
          <w:szCs w:val="20"/>
        </w:rPr>
        <w:t>circonstances</w:t>
      </w:r>
      <w:r w:rsidR="00DB1635" w:rsidRPr="00B004EE">
        <w:rPr>
          <w:rFonts w:ascii="Tahoma" w:eastAsia="American Typewriter" w:hAnsi="Tahoma" w:cs="Tahoma"/>
          <w:spacing w:val="-5"/>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pacing w:val="-5"/>
          <w:sz w:val="20"/>
          <w:szCs w:val="20"/>
        </w:rPr>
        <w:t xml:space="preserve"> </w:t>
      </w:r>
      <w:r w:rsidRPr="00B004EE">
        <w:rPr>
          <w:rFonts w:ascii="Tahoma" w:eastAsia="American Typewriter" w:hAnsi="Tahoma" w:cs="Tahoma"/>
          <w:sz w:val="20"/>
          <w:szCs w:val="20"/>
        </w:rPr>
        <w:t>l’espèce</w:t>
      </w:r>
      <w:r w:rsidR="00DB1635" w:rsidRPr="00B004EE">
        <w:rPr>
          <w:rFonts w:ascii="Tahoma" w:eastAsia="American Typewriter" w:hAnsi="Tahoma" w:cs="Tahoma"/>
          <w:spacing w:val="-5"/>
          <w:sz w:val="20"/>
          <w:szCs w:val="20"/>
        </w:rPr>
        <w:t xml:space="preserve"> </w:t>
      </w:r>
      <w:r w:rsidRPr="00B004EE">
        <w:rPr>
          <w:rFonts w:ascii="Tahoma" w:eastAsia="American Typewriter" w:hAnsi="Tahoma" w:cs="Tahoma"/>
          <w:sz w:val="20"/>
          <w:szCs w:val="20"/>
        </w:rPr>
        <w:t>et</w:t>
      </w:r>
      <w:r w:rsidR="00DB1635" w:rsidRPr="00B004EE">
        <w:rPr>
          <w:rFonts w:ascii="Tahoma" w:eastAsia="American Typewriter" w:hAnsi="Tahoma" w:cs="Tahoma"/>
          <w:spacing w:val="-4"/>
          <w:sz w:val="20"/>
          <w:szCs w:val="20"/>
        </w:rPr>
        <w:t xml:space="preserve"> </w:t>
      </w:r>
      <w:r w:rsidRPr="00B004EE">
        <w:rPr>
          <w:rFonts w:ascii="Tahoma" w:eastAsia="American Typewriter" w:hAnsi="Tahoma" w:cs="Tahoma"/>
          <w:sz w:val="20"/>
          <w:szCs w:val="20"/>
        </w:rPr>
        <w:t>du</w:t>
      </w:r>
      <w:r w:rsidR="00DB1635" w:rsidRPr="00B004EE">
        <w:rPr>
          <w:rFonts w:ascii="Tahoma" w:eastAsia="American Typewriter" w:hAnsi="Tahoma" w:cs="Tahoma"/>
          <w:spacing w:val="-5"/>
          <w:sz w:val="20"/>
          <w:szCs w:val="20"/>
        </w:rPr>
        <w:t xml:space="preserve"> </w:t>
      </w:r>
      <w:r w:rsidRPr="00B004EE">
        <w:rPr>
          <w:rFonts w:ascii="Tahoma" w:eastAsia="American Typewriter" w:hAnsi="Tahoma" w:cs="Tahoma"/>
          <w:sz w:val="20"/>
          <w:szCs w:val="20"/>
        </w:rPr>
        <w:t>bénéfice</w:t>
      </w:r>
      <w:r w:rsidR="00DB1635" w:rsidRPr="00B004EE">
        <w:rPr>
          <w:rFonts w:ascii="Tahoma" w:eastAsia="American Typewriter" w:hAnsi="Tahoma" w:cs="Tahoma"/>
          <w:spacing w:val="-5"/>
          <w:sz w:val="20"/>
          <w:szCs w:val="20"/>
        </w:rPr>
        <w:t xml:space="preserve"> </w:t>
      </w:r>
      <w:r w:rsidRPr="00B004EE">
        <w:rPr>
          <w:rFonts w:ascii="Tahoma" w:eastAsia="American Typewriter" w:hAnsi="Tahoma" w:cs="Tahoma"/>
          <w:sz w:val="20"/>
          <w:szCs w:val="20"/>
        </w:rPr>
        <w:t>économique</w:t>
      </w:r>
      <w:r w:rsidR="00DB1635" w:rsidRPr="00B004EE">
        <w:rPr>
          <w:rFonts w:ascii="Tahoma" w:eastAsia="American Typewriter" w:hAnsi="Tahoma" w:cs="Tahoma"/>
          <w:spacing w:val="-5"/>
          <w:sz w:val="20"/>
          <w:szCs w:val="20"/>
        </w:rPr>
        <w:t xml:space="preserve"> </w:t>
      </w:r>
      <w:r w:rsidRPr="00B004EE">
        <w:rPr>
          <w:rFonts w:ascii="Tahoma" w:eastAsia="American Typewriter" w:hAnsi="Tahoma" w:cs="Tahoma"/>
          <w:sz w:val="20"/>
          <w:szCs w:val="20"/>
        </w:rPr>
        <w:t>que</w:t>
      </w:r>
      <w:r w:rsidR="00DB1635" w:rsidRPr="00B004EE">
        <w:rPr>
          <w:rFonts w:ascii="Tahoma" w:eastAsia="American Typewriter" w:hAnsi="Tahoma" w:cs="Tahoma"/>
          <w:spacing w:val="-5"/>
          <w:sz w:val="20"/>
          <w:szCs w:val="20"/>
        </w:rPr>
        <w:t xml:space="preserve"> </w:t>
      </w:r>
      <w:r w:rsidRPr="00B004EE">
        <w:rPr>
          <w:rFonts w:ascii="Tahoma" w:eastAsia="American Typewriter" w:hAnsi="Tahoma" w:cs="Tahoma"/>
          <w:sz w:val="20"/>
          <w:szCs w:val="20"/>
        </w:rPr>
        <w:t>l’auteur</w:t>
      </w:r>
      <w:r w:rsidR="00DB1635" w:rsidRPr="00B004EE">
        <w:rPr>
          <w:rFonts w:ascii="Tahoma" w:eastAsia="American Typewriter" w:hAnsi="Tahoma" w:cs="Tahoma"/>
          <w:spacing w:val="-7"/>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w w:val="94"/>
          <w:sz w:val="20"/>
          <w:szCs w:val="20"/>
        </w:rPr>
        <w:t xml:space="preserve"> </w:t>
      </w:r>
      <w:r w:rsidRPr="00B004EE">
        <w:rPr>
          <w:rFonts w:ascii="Tahoma" w:eastAsia="American Typewriter" w:hAnsi="Tahoma" w:cs="Tahoma"/>
          <w:w w:val="95"/>
          <w:sz w:val="20"/>
          <w:szCs w:val="20"/>
        </w:rPr>
        <w:t>l’infraction</w:t>
      </w:r>
      <w:r w:rsidR="00DB1635" w:rsidRPr="00B004EE">
        <w:rPr>
          <w:rFonts w:ascii="Tahoma" w:eastAsia="American Typewriter" w:hAnsi="Tahoma" w:cs="Tahoma"/>
          <w:w w:val="95"/>
          <w:sz w:val="20"/>
          <w:szCs w:val="20"/>
        </w:rPr>
        <w:t xml:space="preserve"> </w:t>
      </w:r>
      <w:r w:rsidRPr="00B004EE">
        <w:rPr>
          <w:rFonts w:ascii="Tahoma" w:eastAsia="American Typewriter" w:hAnsi="Tahoma" w:cs="Tahoma"/>
          <w:w w:val="95"/>
          <w:sz w:val="20"/>
          <w:szCs w:val="20"/>
        </w:rPr>
        <w:t>en</w:t>
      </w:r>
      <w:r w:rsidR="00DB1635" w:rsidRPr="00B004EE">
        <w:rPr>
          <w:rFonts w:ascii="Tahoma" w:eastAsia="American Typewriter" w:hAnsi="Tahoma" w:cs="Tahoma"/>
          <w:w w:val="95"/>
          <w:sz w:val="20"/>
          <w:szCs w:val="20"/>
        </w:rPr>
        <w:t xml:space="preserve"> </w:t>
      </w:r>
      <w:r w:rsidRPr="00B004EE">
        <w:rPr>
          <w:rFonts w:ascii="Tahoma" w:eastAsia="American Typewriter" w:hAnsi="Tahoma" w:cs="Tahoma"/>
          <w:w w:val="95"/>
          <w:sz w:val="20"/>
          <w:szCs w:val="20"/>
        </w:rPr>
        <w:t>aura</w:t>
      </w:r>
      <w:r w:rsidR="00DB1635" w:rsidRPr="00B004EE">
        <w:rPr>
          <w:rFonts w:ascii="Tahoma" w:eastAsia="American Typewriter" w:hAnsi="Tahoma" w:cs="Tahoma"/>
          <w:spacing w:val="30"/>
          <w:w w:val="95"/>
          <w:sz w:val="20"/>
          <w:szCs w:val="20"/>
        </w:rPr>
        <w:t xml:space="preserve"> </w:t>
      </w:r>
      <w:r w:rsidRPr="00B004EE">
        <w:rPr>
          <w:rFonts w:ascii="Tahoma" w:eastAsia="American Typewriter" w:hAnsi="Tahoma" w:cs="Tahoma"/>
          <w:w w:val="95"/>
          <w:sz w:val="20"/>
          <w:szCs w:val="20"/>
        </w:rPr>
        <w:t>retiré.</w:t>
      </w:r>
    </w:p>
    <w:p w14:paraId="61E0FCFB" w14:textId="61C4C8B9" w:rsidR="001E7C3C" w:rsidRPr="00B004EE" w:rsidRDefault="001E7C3C" w:rsidP="00B004EE">
      <w:pPr>
        <w:pStyle w:val="Corpsdetexte"/>
        <w:ind w:right="159"/>
        <w:rPr>
          <w:rFonts w:ascii="Tahoma" w:hAnsi="Tahoma" w:cs="Tahoma"/>
          <w:sz w:val="20"/>
          <w:szCs w:val="20"/>
        </w:rPr>
      </w:pPr>
      <w:r w:rsidRPr="00B004EE">
        <w:rPr>
          <w:rFonts w:ascii="Tahoma" w:eastAsia="American Typewriter" w:hAnsi="Tahoma" w:cs="Tahoma"/>
          <w:sz w:val="20"/>
          <w:szCs w:val="20"/>
        </w:rPr>
        <w:t>Le</w:t>
      </w:r>
      <w:r w:rsidR="00DB1635" w:rsidRPr="00B004EE">
        <w:rPr>
          <w:rFonts w:ascii="Tahoma" w:eastAsia="American Typewriter" w:hAnsi="Tahoma" w:cs="Tahoma"/>
          <w:spacing w:val="-12"/>
          <w:sz w:val="20"/>
          <w:szCs w:val="20"/>
        </w:rPr>
        <w:t xml:space="preserve"> </w:t>
      </w:r>
      <w:r w:rsidRPr="00B004EE">
        <w:rPr>
          <w:rFonts w:ascii="Tahoma" w:eastAsia="American Typewriter" w:hAnsi="Tahoma" w:cs="Tahoma"/>
          <w:sz w:val="20"/>
          <w:szCs w:val="20"/>
        </w:rPr>
        <w:t>paiement</w:t>
      </w:r>
      <w:r w:rsidR="00DB1635" w:rsidRPr="00B004EE">
        <w:rPr>
          <w:rFonts w:ascii="Tahoma" w:eastAsia="American Typewriter" w:hAnsi="Tahoma" w:cs="Tahoma"/>
          <w:spacing w:val="-12"/>
          <w:sz w:val="20"/>
          <w:szCs w:val="20"/>
        </w:rPr>
        <w:t xml:space="preserve"> </w:t>
      </w:r>
      <w:r w:rsidRPr="00B004EE">
        <w:rPr>
          <w:rFonts w:ascii="Tahoma" w:eastAsia="American Typewriter" w:hAnsi="Tahoma" w:cs="Tahoma"/>
          <w:sz w:val="20"/>
          <w:szCs w:val="20"/>
        </w:rPr>
        <w:t>des</w:t>
      </w:r>
      <w:r w:rsidR="00DB1635" w:rsidRPr="00B004EE">
        <w:rPr>
          <w:rFonts w:ascii="Tahoma" w:eastAsia="American Typewriter" w:hAnsi="Tahoma" w:cs="Tahoma"/>
          <w:spacing w:val="-14"/>
          <w:sz w:val="20"/>
          <w:szCs w:val="20"/>
        </w:rPr>
        <w:t xml:space="preserve"> </w:t>
      </w:r>
      <w:r w:rsidRPr="00B004EE">
        <w:rPr>
          <w:rFonts w:ascii="Tahoma" w:eastAsia="American Typewriter" w:hAnsi="Tahoma" w:cs="Tahoma"/>
          <w:sz w:val="20"/>
          <w:szCs w:val="20"/>
        </w:rPr>
        <w:t>amendes</w:t>
      </w:r>
      <w:r w:rsidR="00DB1635" w:rsidRPr="00B004EE">
        <w:rPr>
          <w:rFonts w:ascii="Tahoma" w:eastAsia="American Typewriter" w:hAnsi="Tahoma" w:cs="Tahoma"/>
          <w:spacing w:val="-14"/>
          <w:sz w:val="20"/>
          <w:szCs w:val="20"/>
        </w:rPr>
        <w:t xml:space="preserve"> </w:t>
      </w:r>
      <w:r w:rsidRPr="00B004EE">
        <w:rPr>
          <w:rFonts w:ascii="Tahoma" w:eastAsia="American Typewriter" w:hAnsi="Tahoma" w:cs="Tahoma"/>
          <w:sz w:val="20"/>
          <w:szCs w:val="20"/>
        </w:rPr>
        <w:t>prononcées</w:t>
      </w:r>
      <w:r w:rsidR="00DB1635" w:rsidRPr="00B004EE">
        <w:rPr>
          <w:rFonts w:ascii="Tahoma" w:eastAsia="American Typewriter" w:hAnsi="Tahoma" w:cs="Tahoma"/>
          <w:spacing w:val="-14"/>
          <w:sz w:val="20"/>
          <w:szCs w:val="20"/>
        </w:rPr>
        <w:t xml:space="preserve"> </w:t>
      </w:r>
      <w:r w:rsidRPr="00B004EE">
        <w:rPr>
          <w:rFonts w:ascii="Tahoma" w:eastAsia="American Typewriter" w:hAnsi="Tahoma" w:cs="Tahoma"/>
          <w:sz w:val="20"/>
          <w:szCs w:val="20"/>
        </w:rPr>
        <w:t>à</w:t>
      </w:r>
      <w:r w:rsidR="00DB1635" w:rsidRPr="00B004EE">
        <w:rPr>
          <w:rFonts w:ascii="Tahoma" w:eastAsia="American Typewriter" w:hAnsi="Tahoma" w:cs="Tahoma"/>
          <w:spacing w:val="-13"/>
          <w:sz w:val="20"/>
          <w:szCs w:val="20"/>
        </w:rPr>
        <w:t xml:space="preserve"> </w:t>
      </w:r>
      <w:r w:rsidRPr="00B004EE">
        <w:rPr>
          <w:rFonts w:ascii="Tahoma" w:eastAsia="American Typewriter" w:hAnsi="Tahoma" w:cs="Tahoma"/>
          <w:sz w:val="20"/>
          <w:szCs w:val="20"/>
        </w:rPr>
        <w:t>l’</w:t>
      </w:r>
      <w:r w:rsidRPr="00B004EE">
        <w:rPr>
          <w:rFonts w:ascii="Tahoma" w:hAnsi="Tahoma" w:cs="Tahoma"/>
          <w:sz w:val="20"/>
          <w:szCs w:val="20"/>
        </w:rPr>
        <w:t>encontre</w:t>
      </w:r>
      <w:r w:rsidR="00DB1635" w:rsidRPr="00B004EE">
        <w:rPr>
          <w:rFonts w:ascii="Tahoma" w:hAnsi="Tahoma" w:cs="Tahoma"/>
          <w:spacing w:val="-13"/>
          <w:sz w:val="20"/>
          <w:szCs w:val="20"/>
        </w:rPr>
        <w:t xml:space="preserve"> </w:t>
      </w:r>
      <w:r w:rsidRPr="00B004EE">
        <w:rPr>
          <w:rFonts w:ascii="Tahoma" w:hAnsi="Tahoma" w:cs="Tahoma"/>
          <w:sz w:val="20"/>
          <w:szCs w:val="20"/>
        </w:rPr>
        <w:t>des</w:t>
      </w:r>
      <w:r w:rsidR="00DB1635" w:rsidRPr="00B004EE">
        <w:rPr>
          <w:rFonts w:ascii="Tahoma" w:hAnsi="Tahoma" w:cs="Tahoma"/>
          <w:spacing w:val="-14"/>
          <w:sz w:val="20"/>
          <w:szCs w:val="20"/>
        </w:rPr>
        <w:t xml:space="preserve"> </w:t>
      </w:r>
      <w:r w:rsidRPr="00B004EE">
        <w:rPr>
          <w:rFonts w:ascii="Tahoma" w:hAnsi="Tahoma" w:cs="Tahoma"/>
          <w:sz w:val="20"/>
          <w:szCs w:val="20"/>
        </w:rPr>
        <w:t>navires</w:t>
      </w:r>
      <w:r w:rsidR="00DB1635" w:rsidRPr="00B004EE">
        <w:rPr>
          <w:rFonts w:ascii="Tahoma" w:hAnsi="Tahoma" w:cs="Tahoma"/>
          <w:spacing w:val="-14"/>
          <w:sz w:val="20"/>
          <w:szCs w:val="20"/>
        </w:rPr>
        <w:t xml:space="preserve"> </w:t>
      </w:r>
      <w:r w:rsidRPr="00B004EE">
        <w:rPr>
          <w:rFonts w:ascii="Tahoma" w:hAnsi="Tahoma" w:cs="Tahoma"/>
          <w:sz w:val="20"/>
          <w:szCs w:val="20"/>
        </w:rPr>
        <w:t>de</w:t>
      </w:r>
      <w:r w:rsidR="00DB1635" w:rsidRPr="00B004EE">
        <w:rPr>
          <w:rFonts w:ascii="Tahoma" w:hAnsi="Tahoma" w:cs="Tahoma"/>
          <w:spacing w:val="-13"/>
          <w:sz w:val="20"/>
          <w:szCs w:val="20"/>
        </w:rPr>
        <w:t xml:space="preserve"> </w:t>
      </w:r>
      <w:r w:rsidRPr="00B004EE">
        <w:rPr>
          <w:rFonts w:ascii="Tahoma" w:hAnsi="Tahoma" w:cs="Tahoma"/>
          <w:sz w:val="20"/>
          <w:szCs w:val="20"/>
        </w:rPr>
        <w:t>pêche</w:t>
      </w:r>
      <w:r w:rsidR="00DB1635" w:rsidRPr="00B004EE">
        <w:rPr>
          <w:rFonts w:ascii="Tahoma" w:hAnsi="Tahoma" w:cs="Tahoma"/>
          <w:spacing w:val="-13"/>
          <w:sz w:val="20"/>
          <w:szCs w:val="20"/>
        </w:rPr>
        <w:t xml:space="preserve"> </w:t>
      </w:r>
      <w:r w:rsidRPr="00B004EE">
        <w:rPr>
          <w:rFonts w:ascii="Tahoma" w:hAnsi="Tahoma" w:cs="Tahoma"/>
          <w:sz w:val="20"/>
          <w:szCs w:val="20"/>
        </w:rPr>
        <w:t>étrangers</w:t>
      </w:r>
      <w:r w:rsidR="00DB1635" w:rsidRPr="00B004EE">
        <w:rPr>
          <w:rFonts w:ascii="Tahoma" w:hAnsi="Tahoma" w:cs="Tahoma"/>
          <w:w w:val="94"/>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infractions</w:t>
      </w:r>
      <w:r w:rsidR="00DB1635" w:rsidRPr="00B004EE">
        <w:rPr>
          <w:rFonts w:ascii="Tahoma" w:hAnsi="Tahoma" w:cs="Tahoma"/>
          <w:sz w:val="20"/>
          <w:szCs w:val="20"/>
        </w:rPr>
        <w:t xml:space="preserve"> </w:t>
      </w:r>
      <w:r w:rsidRPr="00B004EE">
        <w:rPr>
          <w:rFonts w:ascii="Tahoma" w:hAnsi="Tahoma" w:cs="Tahoma"/>
          <w:sz w:val="20"/>
          <w:szCs w:val="20"/>
        </w:rPr>
        <w:t>prévues</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présente</w:t>
      </w:r>
      <w:r w:rsidR="00DB1635" w:rsidRPr="00B004EE">
        <w:rPr>
          <w:rFonts w:ascii="Tahoma" w:hAnsi="Tahoma" w:cs="Tahoma"/>
          <w:sz w:val="20"/>
          <w:szCs w:val="20"/>
        </w:rPr>
        <w:t xml:space="preserve"> </w:t>
      </w:r>
      <w:r w:rsidRPr="00B004EE">
        <w:rPr>
          <w:rFonts w:ascii="Tahoma" w:hAnsi="Tahoma" w:cs="Tahoma"/>
          <w:sz w:val="20"/>
          <w:szCs w:val="20"/>
        </w:rPr>
        <w:t>Loi</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effectué</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pacing w:val="48"/>
          <w:sz w:val="20"/>
          <w:szCs w:val="20"/>
        </w:rPr>
        <w:t xml:space="preserve"> </w:t>
      </w:r>
      <w:r w:rsidRPr="00B004EE">
        <w:rPr>
          <w:rFonts w:ascii="Tahoma" w:hAnsi="Tahoma" w:cs="Tahoma"/>
          <w:sz w:val="20"/>
          <w:szCs w:val="20"/>
        </w:rPr>
        <w:t>monnaies</w:t>
      </w:r>
      <w:r w:rsidR="00DB1635" w:rsidRPr="00B004EE">
        <w:rPr>
          <w:rFonts w:ascii="Tahoma" w:hAnsi="Tahoma" w:cs="Tahoma"/>
          <w:w w:val="94"/>
          <w:sz w:val="20"/>
          <w:szCs w:val="20"/>
        </w:rPr>
        <w:t xml:space="preserve"> </w:t>
      </w:r>
      <w:r w:rsidRPr="00B004EE">
        <w:rPr>
          <w:rFonts w:ascii="Tahoma" w:hAnsi="Tahoma" w:cs="Tahoma"/>
          <w:sz w:val="20"/>
          <w:szCs w:val="20"/>
        </w:rPr>
        <w:t>convertibles.</w:t>
      </w:r>
    </w:p>
    <w:p w14:paraId="0F561648" w14:textId="6BF852FE" w:rsidR="001E7C3C" w:rsidRPr="00B004EE" w:rsidRDefault="001E7C3C" w:rsidP="00B004EE">
      <w:pPr>
        <w:pStyle w:val="Corpsdetexte"/>
        <w:ind w:right="160"/>
        <w:rPr>
          <w:rFonts w:ascii="Tahoma" w:hAnsi="Tahoma" w:cs="Tahoma"/>
          <w:sz w:val="20"/>
          <w:szCs w:val="20"/>
        </w:rPr>
      </w:pPr>
      <w:r w:rsidRPr="00B004EE">
        <w:rPr>
          <w:rFonts w:ascii="Tahoma" w:hAnsi="Tahoma" w:cs="Tahoma"/>
          <w:sz w:val="20"/>
          <w:szCs w:val="20"/>
        </w:rPr>
        <w:t>En</w:t>
      </w:r>
      <w:r w:rsidR="00DB1635" w:rsidRPr="00B004EE">
        <w:rPr>
          <w:rFonts w:ascii="Tahoma" w:hAnsi="Tahoma" w:cs="Tahoma"/>
          <w:spacing w:val="-21"/>
          <w:sz w:val="20"/>
          <w:szCs w:val="20"/>
        </w:rPr>
        <w:t xml:space="preserve"> </w:t>
      </w:r>
      <w:r w:rsidRPr="00B004EE">
        <w:rPr>
          <w:rFonts w:ascii="Tahoma" w:hAnsi="Tahoma" w:cs="Tahoma"/>
          <w:sz w:val="20"/>
          <w:szCs w:val="20"/>
        </w:rPr>
        <w:t>ce</w:t>
      </w:r>
      <w:r w:rsidR="00DB1635" w:rsidRPr="00B004EE">
        <w:rPr>
          <w:rFonts w:ascii="Tahoma" w:hAnsi="Tahoma" w:cs="Tahoma"/>
          <w:spacing w:val="-21"/>
          <w:sz w:val="20"/>
          <w:szCs w:val="20"/>
        </w:rPr>
        <w:t xml:space="preserve"> </w:t>
      </w:r>
      <w:r w:rsidRPr="00B004EE">
        <w:rPr>
          <w:rFonts w:ascii="Tahoma" w:hAnsi="Tahoma" w:cs="Tahoma"/>
          <w:sz w:val="20"/>
          <w:szCs w:val="20"/>
        </w:rPr>
        <w:t>qui</w:t>
      </w:r>
      <w:r w:rsidR="00DB1635" w:rsidRPr="00B004EE">
        <w:rPr>
          <w:rFonts w:ascii="Tahoma" w:hAnsi="Tahoma" w:cs="Tahoma"/>
          <w:spacing w:val="-20"/>
          <w:sz w:val="20"/>
          <w:szCs w:val="20"/>
        </w:rPr>
        <w:t xml:space="preserve"> </w:t>
      </w:r>
      <w:r w:rsidRPr="00B004EE">
        <w:rPr>
          <w:rFonts w:ascii="Tahoma" w:hAnsi="Tahoma" w:cs="Tahoma"/>
          <w:sz w:val="20"/>
          <w:szCs w:val="20"/>
        </w:rPr>
        <w:t>concerne</w:t>
      </w:r>
      <w:r w:rsidR="00DB1635" w:rsidRPr="00B004EE">
        <w:rPr>
          <w:rFonts w:ascii="Tahoma" w:hAnsi="Tahoma" w:cs="Tahoma"/>
          <w:spacing w:val="-21"/>
          <w:sz w:val="20"/>
          <w:szCs w:val="20"/>
        </w:rPr>
        <w:t xml:space="preserve"> </w:t>
      </w:r>
      <w:r w:rsidRPr="00B004EE">
        <w:rPr>
          <w:rFonts w:ascii="Tahoma" w:hAnsi="Tahoma" w:cs="Tahoma"/>
          <w:sz w:val="20"/>
          <w:szCs w:val="20"/>
        </w:rPr>
        <w:t>les</w:t>
      </w:r>
      <w:r w:rsidR="00DB1635" w:rsidRPr="00B004EE">
        <w:rPr>
          <w:rFonts w:ascii="Tahoma" w:hAnsi="Tahoma" w:cs="Tahoma"/>
          <w:spacing w:val="-21"/>
          <w:sz w:val="20"/>
          <w:szCs w:val="20"/>
        </w:rPr>
        <w:t xml:space="preserve"> </w:t>
      </w:r>
      <w:r w:rsidRPr="00B004EE">
        <w:rPr>
          <w:rFonts w:ascii="Tahoma" w:hAnsi="Tahoma" w:cs="Tahoma"/>
          <w:sz w:val="20"/>
          <w:szCs w:val="20"/>
        </w:rPr>
        <w:t>capitaines</w:t>
      </w:r>
      <w:r w:rsidR="00DB1635" w:rsidRPr="00B004EE">
        <w:rPr>
          <w:rFonts w:ascii="Tahoma" w:hAnsi="Tahoma" w:cs="Tahoma"/>
          <w:spacing w:val="-21"/>
          <w:sz w:val="20"/>
          <w:szCs w:val="20"/>
        </w:rPr>
        <w:t xml:space="preserve"> </w:t>
      </w:r>
      <w:r w:rsidRPr="00B004EE">
        <w:rPr>
          <w:rFonts w:ascii="Tahoma" w:hAnsi="Tahoma" w:cs="Tahoma"/>
          <w:sz w:val="20"/>
          <w:szCs w:val="20"/>
        </w:rPr>
        <w:t>de</w:t>
      </w:r>
      <w:r w:rsidR="00DB1635" w:rsidRPr="00B004EE">
        <w:rPr>
          <w:rFonts w:ascii="Tahoma" w:hAnsi="Tahoma" w:cs="Tahoma"/>
          <w:spacing w:val="-21"/>
          <w:sz w:val="20"/>
          <w:szCs w:val="20"/>
        </w:rPr>
        <w:t xml:space="preserve"> </w:t>
      </w:r>
      <w:r w:rsidRPr="00B004EE">
        <w:rPr>
          <w:rFonts w:ascii="Tahoma" w:hAnsi="Tahoma" w:cs="Tahoma"/>
          <w:sz w:val="20"/>
          <w:szCs w:val="20"/>
        </w:rPr>
        <w:t>navires,</w:t>
      </w:r>
      <w:r w:rsidR="00DB1635" w:rsidRPr="00B004EE">
        <w:rPr>
          <w:rFonts w:ascii="Tahoma" w:hAnsi="Tahoma" w:cs="Tahoma"/>
          <w:spacing w:val="-21"/>
          <w:sz w:val="20"/>
          <w:szCs w:val="20"/>
        </w:rPr>
        <w:t xml:space="preserve"> </w:t>
      </w:r>
      <w:r w:rsidRPr="00B004EE">
        <w:rPr>
          <w:rFonts w:ascii="Tahoma" w:hAnsi="Tahoma" w:cs="Tahoma"/>
          <w:sz w:val="20"/>
          <w:szCs w:val="20"/>
        </w:rPr>
        <w:t>les</w:t>
      </w:r>
      <w:r w:rsidR="00DB1635" w:rsidRPr="00B004EE">
        <w:rPr>
          <w:rFonts w:ascii="Tahoma" w:hAnsi="Tahoma" w:cs="Tahoma"/>
          <w:spacing w:val="-21"/>
          <w:sz w:val="20"/>
          <w:szCs w:val="20"/>
        </w:rPr>
        <w:t xml:space="preserve"> </w:t>
      </w:r>
      <w:r w:rsidRPr="00B004EE">
        <w:rPr>
          <w:rFonts w:ascii="Tahoma" w:hAnsi="Tahoma" w:cs="Tahoma"/>
          <w:sz w:val="20"/>
          <w:szCs w:val="20"/>
        </w:rPr>
        <w:t>dispositions</w:t>
      </w:r>
      <w:r w:rsidR="00DB1635" w:rsidRPr="00B004EE">
        <w:rPr>
          <w:rFonts w:ascii="Tahoma" w:hAnsi="Tahoma" w:cs="Tahoma"/>
          <w:spacing w:val="-21"/>
          <w:sz w:val="20"/>
          <w:szCs w:val="20"/>
        </w:rPr>
        <w:t xml:space="preserve"> </w:t>
      </w:r>
      <w:r w:rsidRPr="00B004EE">
        <w:rPr>
          <w:rFonts w:ascii="Tahoma" w:hAnsi="Tahoma" w:cs="Tahoma"/>
          <w:sz w:val="20"/>
          <w:szCs w:val="20"/>
        </w:rPr>
        <w:t>de</w:t>
      </w:r>
      <w:r w:rsidR="00DB1635" w:rsidRPr="00B004EE">
        <w:rPr>
          <w:rFonts w:ascii="Tahoma" w:hAnsi="Tahoma" w:cs="Tahoma"/>
          <w:spacing w:val="-21"/>
          <w:sz w:val="20"/>
          <w:szCs w:val="20"/>
        </w:rPr>
        <w:t xml:space="preserve"> </w:t>
      </w:r>
      <w:r w:rsidRPr="00B004EE">
        <w:rPr>
          <w:rFonts w:ascii="Tahoma" w:hAnsi="Tahoma" w:cs="Tahoma"/>
          <w:sz w:val="20"/>
          <w:szCs w:val="20"/>
        </w:rPr>
        <w:t>l'article</w:t>
      </w:r>
      <w:r w:rsidR="00DB1635" w:rsidRPr="00B004EE">
        <w:rPr>
          <w:rFonts w:ascii="Tahoma" w:hAnsi="Tahoma" w:cs="Tahoma"/>
          <w:spacing w:val="-17"/>
          <w:sz w:val="20"/>
          <w:szCs w:val="20"/>
        </w:rPr>
        <w:t xml:space="preserve"> </w:t>
      </w:r>
      <w:r w:rsidRPr="00B004EE">
        <w:rPr>
          <w:rFonts w:ascii="Tahoma" w:hAnsi="Tahoma" w:cs="Tahoma"/>
          <w:sz w:val="20"/>
          <w:szCs w:val="20"/>
        </w:rPr>
        <w:t>82</w:t>
      </w:r>
      <w:r w:rsidR="00DB1635" w:rsidRPr="00B004EE">
        <w:rPr>
          <w:rFonts w:ascii="Tahoma" w:hAnsi="Tahoma" w:cs="Tahoma"/>
          <w:spacing w:val="-20"/>
          <w:sz w:val="20"/>
          <w:szCs w:val="20"/>
        </w:rPr>
        <w:t xml:space="preserve"> </w:t>
      </w:r>
      <w:r w:rsidRPr="00B004EE">
        <w:rPr>
          <w:rFonts w:ascii="Tahoma" w:hAnsi="Tahoma" w:cs="Tahoma"/>
          <w:sz w:val="20"/>
          <w:szCs w:val="20"/>
        </w:rPr>
        <w:t>alinéa</w:t>
      </w:r>
      <w:r w:rsidR="00DB1635" w:rsidRPr="00B004EE">
        <w:rPr>
          <w:rFonts w:ascii="Tahoma" w:hAnsi="Tahoma" w:cs="Tahoma"/>
          <w:spacing w:val="-21"/>
          <w:sz w:val="20"/>
          <w:szCs w:val="20"/>
        </w:rPr>
        <w:t xml:space="preserve"> </w:t>
      </w:r>
      <w:r w:rsidRPr="00B004EE">
        <w:rPr>
          <w:rFonts w:ascii="Tahoma" w:hAnsi="Tahoma" w:cs="Tahoma"/>
          <w:sz w:val="20"/>
          <w:szCs w:val="20"/>
        </w:rPr>
        <w:t>2</w:t>
      </w:r>
      <w:r w:rsidR="00DB1635" w:rsidRPr="00B004EE">
        <w:rPr>
          <w:rFonts w:ascii="Tahoma" w:hAnsi="Tahoma" w:cs="Tahoma"/>
          <w:w w:val="87"/>
          <w:sz w:val="20"/>
          <w:szCs w:val="20"/>
        </w:rPr>
        <w:t xml:space="preserve"> </w:t>
      </w:r>
      <w:r w:rsidRPr="00B004EE">
        <w:rPr>
          <w:rFonts w:ascii="Tahoma" w:hAnsi="Tahoma" w:cs="Tahoma"/>
          <w:sz w:val="20"/>
          <w:szCs w:val="20"/>
        </w:rPr>
        <w:t>s'appliquent</w:t>
      </w:r>
      <w:r w:rsidR="00DB1635" w:rsidRPr="00B004EE">
        <w:rPr>
          <w:rFonts w:ascii="Tahoma" w:hAnsi="Tahoma" w:cs="Tahoma"/>
          <w:spacing w:val="-29"/>
          <w:sz w:val="20"/>
          <w:szCs w:val="20"/>
        </w:rPr>
        <w:t xml:space="preserve"> </w:t>
      </w:r>
      <w:r w:rsidRPr="00B004EE">
        <w:rPr>
          <w:rFonts w:ascii="Tahoma" w:hAnsi="Tahoma" w:cs="Tahoma"/>
          <w:sz w:val="20"/>
          <w:szCs w:val="20"/>
        </w:rPr>
        <w:t>de</w:t>
      </w:r>
      <w:r w:rsidR="00DB1635" w:rsidRPr="00B004EE">
        <w:rPr>
          <w:rFonts w:ascii="Tahoma" w:hAnsi="Tahoma" w:cs="Tahoma"/>
          <w:spacing w:val="-29"/>
          <w:sz w:val="20"/>
          <w:szCs w:val="20"/>
        </w:rPr>
        <w:t xml:space="preserve"> </w:t>
      </w:r>
      <w:r w:rsidRPr="00B004EE">
        <w:rPr>
          <w:rFonts w:ascii="Tahoma" w:hAnsi="Tahoma" w:cs="Tahoma"/>
          <w:sz w:val="20"/>
          <w:szCs w:val="20"/>
        </w:rPr>
        <w:t>plein</w:t>
      </w:r>
      <w:r w:rsidR="00DB1635" w:rsidRPr="00B004EE">
        <w:rPr>
          <w:rFonts w:ascii="Tahoma" w:hAnsi="Tahoma" w:cs="Tahoma"/>
          <w:spacing w:val="-29"/>
          <w:sz w:val="20"/>
          <w:szCs w:val="20"/>
        </w:rPr>
        <w:t xml:space="preserve"> </w:t>
      </w:r>
      <w:r w:rsidRPr="00B004EE">
        <w:rPr>
          <w:rFonts w:ascii="Tahoma" w:hAnsi="Tahoma" w:cs="Tahoma"/>
          <w:sz w:val="20"/>
          <w:szCs w:val="20"/>
        </w:rPr>
        <w:t>droit.</w:t>
      </w:r>
    </w:p>
    <w:p w14:paraId="74A18D9D" w14:textId="77777777" w:rsidR="001E7C3C" w:rsidRPr="00B004EE" w:rsidRDefault="001E7C3C" w:rsidP="00B004EE">
      <w:pPr>
        <w:rPr>
          <w:rFonts w:ascii="Tahoma" w:eastAsia="American Typewriter" w:hAnsi="Tahoma" w:cs="Tahoma"/>
          <w:sz w:val="20"/>
          <w:szCs w:val="20"/>
        </w:rPr>
      </w:pPr>
    </w:p>
    <w:p w14:paraId="74C2A87B" w14:textId="1EA02E95" w:rsidR="001E7C3C" w:rsidRPr="00B004EE" w:rsidRDefault="001E7C3C" w:rsidP="00B004EE">
      <w:pPr>
        <w:pStyle w:val="Corpsdetexte"/>
        <w:ind w:right="158"/>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87</w:t>
      </w:r>
      <w:r w:rsidR="00DB1635" w:rsidRPr="00B004EE">
        <w:rPr>
          <w:rFonts w:ascii="Tahoma" w:hAnsi="Tahoma" w:cs="Tahoma"/>
          <w:bCs/>
          <w:sz w:val="20"/>
          <w:szCs w:val="20"/>
        </w:rPr>
        <w:t xml:space="preserve"> </w:t>
      </w:r>
      <w:r w:rsidRPr="00B004EE">
        <w:rPr>
          <w:rFonts w:ascii="Tahoma" w:hAnsi="Tahoma" w:cs="Tahoma"/>
          <w:bCs/>
          <w:sz w:val="20"/>
          <w:szCs w:val="20"/>
        </w:rPr>
        <w:t>:</w:t>
      </w:r>
      <w:r w:rsidR="00DB1635" w:rsidRPr="00B004EE">
        <w:rPr>
          <w:rFonts w:ascii="Tahoma" w:hAnsi="Tahoma" w:cs="Tahoma"/>
          <w:b/>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cas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récidive</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infractions</w:t>
      </w:r>
      <w:r w:rsidR="00DB1635" w:rsidRPr="00B004EE">
        <w:rPr>
          <w:rFonts w:ascii="Tahoma" w:hAnsi="Tahoma" w:cs="Tahoma"/>
          <w:sz w:val="20"/>
          <w:szCs w:val="20"/>
        </w:rPr>
        <w:t xml:space="preserve"> </w:t>
      </w:r>
      <w:r w:rsidRPr="00B004EE">
        <w:rPr>
          <w:rFonts w:ascii="Tahoma" w:hAnsi="Tahoma" w:cs="Tahoma"/>
          <w:sz w:val="20"/>
          <w:szCs w:val="20"/>
        </w:rPr>
        <w:t>prévues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l'article</w:t>
      </w:r>
      <w:r w:rsidR="00DB1635" w:rsidRPr="00B004EE">
        <w:rPr>
          <w:rFonts w:ascii="Tahoma" w:hAnsi="Tahoma" w:cs="Tahoma"/>
          <w:sz w:val="20"/>
          <w:szCs w:val="20"/>
        </w:rPr>
        <w:t xml:space="preserve"> </w:t>
      </w:r>
      <w:r w:rsidRPr="00B004EE">
        <w:rPr>
          <w:rFonts w:ascii="Tahoma" w:hAnsi="Tahoma" w:cs="Tahoma"/>
          <w:sz w:val="20"/>
          <w:szCs w:val="20"/>
        </w:rPr>
        <w:t>84,</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grille</w:t>
      </w:r>
      <w:r w:rsidR="00DB1635" w:rsidRPr="00B004EE">
        <w:rPr>
          <w:rFonts w:ascii="Tahoma" w:hAnsi="Tahoma" w:cs="Tahoma"/>
          <w:spacing w:val="-1"/>
          <w:sz w:val="20"/>
          <w:szCs w:val="20"/>
        </w:rPr>
        <w:t xml:space="preserve"> </w:t>
      </w:r>
      <w:r w:rsidRPr="00B004EE">
        <w:rPr>
          <w:rFonts w:ascii="Tahoma" w:hAnsi="Tahoma" w:cs="Tahoma"/>
          <w:sz w:val="20"/>
          <w:szCs w:val="20"/>
        </w:rPr>
        <w:t>des</w:t>
      </w:r>
      <w:r w:rsidR="00DB1635" w:rsidRPr="00B004EE">
        <w:rPr>
          <w:rFonts w:ascii="Tahoma" w:hAnsi="Tahoma" w:cs="Tahoma"/>
          <w:w w:val="94"/>
          <w:sz w:val="20"/>
          <w:szCs w:val="20"/>
        </w:rPr>
        <w:t xml:space="preserve"> </w:t>
      </w:r>
      <w:r w:rsidRPr="00B004EE">
        <w:rPr>
          <w:rFonts w:ascii="Tahoma" w:hAnsi="Tahoma" w:cs="Tahoma"/>
          <w:sz w:val="20"/>
          <w:szCs w:val="20"/>
        </w:rPr>
        <w:t>amendes</w:t>
      </w:r>
      <w:r w:rsidR="00DB1635" w:rsidRPr="00B004EE">
        <w:rPr>
          <w:rFonts w:ascii="Tahoma" w:hAnsi="Tahoma" w:cs="Tahoma"/>
          <w:spacing w:val="-13"/>
          <w:sz w:val="20"/>
          <w:szCs w:val="20"/>
        </w:rPr>
        <w:t xml:space="preserve"> </w:t>
      </w:r>
      <w:r w:rsidRPr="00B004EE">
        <w:rPr>
          <w:rFonts w:ascii="Tahoma" w:hAnsi="Tahoma" w:cs="Tahoma"/>
          <w:sz w:val="20"/>
          <w:szCs w:val="20"/>
        </w:rPr>
        <w:t>prévues</w:t>
      </w:r>
      <w:r w:rsidR="00DB1635" w:rsidRPr="00B004EE">
        <w:rPr>
          <w:rFonts w:ascii="Tahoma" w:hAnsi="Tahoma" w:cs="Tahoma"/>
          <w:spacing w:val="-15"/>
          <w:sz w:val="20"/>
          <w:szCs w:val="20"/>
        </w:rPr>
        <w:t xml:space="preserve"> </w:t>
      </w:r>
      <w:r w:rsidRPr="00B004EE">
        <w:rPr>
          <w:rFonts w:ascii="Tahoma" w:hAnsi="Tahoma" w:cs="Tahoma"/>
          <w:sz w:val="20"/>
          <w:szCs w:val="20"/>
        </w:rPr>
        <w:t>au</w:t>
      </w:r>
      <w:r w:rsidR="00DB1635" w:rsidRPr="00B004EE">
        <w:rPr>
          <w:rFonts w:ascii="Tahoma" w:hAnsi="Tahoma" w:cs="Tahoma"/>
          <w:spacing w:val="-15"/>
          <w:sz w:val="20"/>
          <w:szCs w:val="20"/>
        </w:rPr>
        <w:t xml:space="preserve"> </w:t>
      </w:r>
      <w:r w:rsidRPr="00B004EE">
        <w:rPr>
          <w:rFonts w:ascii="Tahoma" w:hAnsi="Tahoma" w:cs="Tahoma"/>
          <w:sz w:val="20"/>
          <w:szCs w:val="20"/>
        </w:rPr>
        <w:t>dit</w:t>
      </w:r>
      <w:r w:rsidR="00DB1635" w:rsidRPr="00B004EE">
        <w:rPr>
          <w:rFonts w:ascii="Tahoma" w:hAnsi="Tahoma" w:cs="Tahoma"/>
          <w:spacing w:val="-15"/>
          <w:sz w:val="20"/>
          <w:szCs w:val="20"/>
        </w:rPr>
        <w:t xml:space="preserve"> </w:t>
      </w:r>
      <w:r w:rsidRPr="00B004EE">
        <w:rPr>
          <w:rFonts w:ascii="Tahoma" w:hAnsi="Tahoma" w:cs="Tahoma"/>
          <w:sz w:val="20"/>
          <w:szCs w:val="20"/>
        </w:rPr>
        <w:t>article,</w:t>
      </w:r>
      <w:r w:rsidR="00DB1635" w:rsidRPr="00B004EE">
        <w:rPr>
          <w:rFonts w:ascii="Tahoma" w:hAnsi="Tahoma" w:cs="Tahoma"/>
          <w:spacing w:val="-14"/>
          <w:sz w:val="20"/>
          <w:szCs w:val="20"/>
        </w:rPr>
        <w:t xml:space="preserve"> </w:t>
      </w:r>
      <w:r w:rsidRPr="00B004EE">
        <w:rPr>
          <w:rFonts w:ascii="Tahoma" w:hAnsi="Tahoma" w:cs="Tahoma"/>
          <w:sz w:val="20"/>
          <w:szCs w:val="20"/>
        </w:rPr>
        <w:t>sera</w:t>
      </w:r>
      <w:r w:rsidR="00DB1635" w:rsidRPr="00B004EE">
        <w:rPr>
          <w:rFonts w:ascii="Tahoma" w:hAnsi="Tahoma" w:cs="Tahoma"/>
          <w:spacing w:val="-14"/>
          <w:sz w:val="20"/>
          <w:szCs w:val="20"/>
        </w:rPr>
        <w:t xml:space="preserve"> </w:t>
      </w:r>
      <w:r w:rsidRPr="00B004EE">
        <w:rPr>
          <w:rFonts w:ascii="Tahoma" w:hAnsi="Tahoma" w:cs="Tahoma"/>
          <w:sz w:val="20"/>
          <w:szCs w:val="20"/>
        </w:rPr>
        <w:t>portée</w:t>
      </w:r>
      <w:r w:rsidR="00DB1635" w:rsidRPr="00B004EE">
        <w:rPr>
          <w:rFonts w:ascii="Tahoma" w:hAnsi="Tahoma" w:cs="Tahoma"/>
          <w:spacing w:val="-14"/>
          <w:sz w:val="20"/>
          <w:szCs w:val="20"/>
        </w:rPr>
        <w:t xml:space="preserve"> </w:t>
      </w:r>
      <w:r w:rsidRPr="00B004EE">
        <w:rPr>
          <w:rFonts w:ascii="Tahoma" w:hAnsi="Tahoma" w:cs="Tahoma"/>
          <w:sz w:val="20"/>
          <w:szCs w:val="20"/>
        </w:rPr>
        <w:t>au</w:t>
      </w:r>
      <w:r w:rsidR="00DB1635" w:rsidRPr="00B004EE">
        <w:rPr>
          <w:rFonts w:ascii="Tahoma" w:hAnsi="Tahoma" w:cs="Tahoma"/>
          <w:spacing w:val="-15"/>
          <w:sz w:val="20"/>
          <w:szCs w:val="20"/>
        </w:rPr>
        <w:t xml:space="preserve"> </w:t>
      </w:r>
      <w:r w:rsidRPr="00B004EE">
        <w:rPr>
          <w:rFonts w:ascii="Tahoma" w:hAnsi="Tahoma" w:cs="Tahoma"/>
          <w:sz w:val="20"/>
          <w:szCs w:val="20"/>
        </w:rPr>
        <w:t>double,</w:t>
      </w:r>
      <w:r w:rsidR="00DB1635" w:rsidRPr="00B004EE">
        <w:rPr>
          <w:rFonts w:ascii="Tahoma" w:hAnsi="Tahoma" w:cs="Tahoma"/>
          <w:spacing w:val="-14"/>
          <w:sz w:val="20"/>
          <w:szCs w:val="20"/>
        </w:rPr>
        <w:t xml:space="preserve"> </w:t>
      </w:r>
      <w:r w:rsidRPr="00B004EE">
        <w:rPr>
          <w:rFonts w:ascii="Tahoma" w:hAnsi="Tahoma" w:cs="Tahoma"/>
          <w:sz w:val="20"/>
          <w:szCs w:val="20"/>
        </w:rPr>
        <w:t>En</w:t>
      </w:r>
      <w:r w:rsidR="00DB1635" w:rsidRPr="00B004EE">
        <w:rPr>
          <w:rFonts w:ascii="Tahoma" w:hAnsi="Tahoma" w:cs="Tahoma"/>
          <w:spacing w:val="-15"/>
          <w:sz w:val="20"/>
          <w:szCs w:val="20"/>
        </w:rPr>
        <w:t xml:space="preserve"> </w:t>
      </w:r>
      <w:r w:rsidRPr="00B004EE">
        <w:rPr>
          <w:rFonts w:ascii="Tahoma" w:hAnsi="Tahoma" w:cs="Tahoma"/>
          <w:sz w:val="20"/>
          <w:szCs w:val="20"/>
        </w:rPr>
        <w:t>outre</w:t>
      </w:r>
      <w:r w:rsidR="00DB1635" w:rsidRPr="00B004EE">
        <w:rPr>
          <w:rFonts w:ascii="Tahoma" w:hAnsi="Tahoma" w:cs="Tahoma"/>
          <w:spacing w:val="32"/>
          <w:sz w:val="20"/>
          <w:szCs w:val="20"/>
        </w:rPr>
        <w:t xml:space="preserve"> </w:t>
      </w:r>
      <w:r w:rsidRPr="00B004EE">
        <w:rPr>
          <w:rFonts w:ascii="Tahoma" w:hAnsi="Tahoma" w:cs="Tahoma"/>
          <w:sz w:val="20"/>
          <w:szCs w:val="20"/>
        </w:rPr>
        <w:t>le</w:t>
      </w:r>
      <w:r w:rsidR="00DB1635" w:rsidRPr="00B004EE">
        <w:rPr>
          <w:rFonts w:ascii="Tahoma" w:hAnsi="Tahoma" w:cs="Tahoma"/>
          <w:spacing w:val="-15"/>
          <w:sz w:val="20"/>
          <w:szCs w:val="20"/>
        </w:rPr>
        <w:t xml:space="preserve"> </w:t>
      </w:r>
      <w:r w:rsidRPr="00B004EE">
        <w:rPr>
          <w:rFonts w:ascii="Tahoma" w:hAnsi="Tahoma" w:cs="Tahoma"/>
          <w:sz w:val="20"/>
          <w:szCs w:val="20"/>
        </w:rPr>
        <w:t>tribunal</w:t>
      </w:r>
      <w:r w:rsidR="00DB1635" w:rsidRPr="00B004EE">
        <w:rPr>
          <w:rFonts w:ascii="Tahoma" w:hAnsi="Tahoma" w:cs="Tahoma"/>
          <w:spacing w:val="-13"/>
          <w:sz w:val="20"/>
          <w:szCs w:val="20"/>
        </w:rPr>
        <w:t xml:space="preserve"> </w:t>
      </w:r>
      <w:r w:rsidRPr="00B004EE">
        <w:rPr>
          <w:rFonts w:ascii="Tahoma" w:hAnsi="Tahoma" w:cs="Tahoma"/>
          <w:sz w:val="20"/>
          <w:szCs w:val="20"/>
        </w:rPr>
        <w:t>pourra</w:t>
      </w:r>
      <w:r w:rsidR="00DB1635" w:rsidRPr="00B004EE">
        <w:rPr>
          <w:rFonts w:ascii="Tahoma" w:hAnsi="Tahoma" w:cs="Tahoma"/>
          <w:w w:val="98"/>
          <w:sz w:val="20"/>
          <w:szCs w:val="20"/>
        </w:rPr>
        <w:t xml:space="preserve"> </w:t>
      </w:r>
      <w:r w:rsidRPr="00B004EE">
        <w:rPr>
          <w:rFonts w:ascii="Tahoma" w:hAnsi="Tahoma" w:cs="Tahoma"/>
          <w:sz w:val="20"/>
          <w:szCs w:val="20"/>
        </w:rPr>
        <w:t>prononcer</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confiscation</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navire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utilisé</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commission</w:t>
      </w:r>
      <w:r w:rsidR="00DB1635" w:rsidRPr="00B004EE">
        <w:rPr>
          <w:rFonts w:ascii="Tahoma" w:hAnsi="Tahoma" w:cs="Tahoma"/>
          <w:spacing w:val="-9"/>
          <w:sz w:val="20"/>
          <w:szCs w:val="20"/>
        </w:rPr>
        <w:t xml:space="preserve"> </w:t>
      </w:r>
      <w:r w:rsidRPr="00B004EE">
        <w:rPr>
          <w:rFonts w:ascii="Tahoma" w:hAnsi="Tahoma" w:cs="Tahoma"/>
          <w:sz w:val="20"/>
          <w:szCs w:val="20"/>
        </w:rPr>
        <w:t>desdites</w:t>
      </w:r>
      <w:r w:rsidR="00DB1635" w:rsidRPr="00B004EE">
        <w:rPr>
          <w:rFonts w:ascii="Tahoma" w:hAnsi="Tahoma" w:cs="Tahoma"/>
          <w:spacing w:val="-1"/>
          <w:w w:val="95"/>
          <w:sz w:val="20"/>
          <w:szCs w:val="20"/>
        </w:rPr>
        <w:t xml:space="preserve"> </w:t>
      </w:r>
      <w:r w:rsidRPr="00B004EE">
        <w:rPr>
          <w:rFonts w:ascii="Tahoma" w:hAnsi="Tahoma" w:cs="Tahoma"/>
          <w:sz w:val="20"/>
          <w:szCs w:val="20"/>
        </w:rPr>
        <w:t>infractions.</w:t>
      </w:r>
    </w:p>
    <w:p w14:paraId="6AC67EFA" w14:textId="71442AE7" w:rsidR="001E7C3C" w:rsidRPr="00B004EE" w:rsidRDefault="001E7C3C" w:rsidP="00B004EE">
      <w:pPr>
        <w:pStyle w:val="Corpsdetexte"/>
        <w:ind w:right="160"/>
        <w:rPr>
          <w:rFonts w:ascii="Tahoma" w:hAnsi="Tahoma" w:cs="Tahoma"/>
          <w:sz w:val="20"/>
          <w:szCs w:val="20"/>
        </w:rPr>
      </w:pPr>
      <w:r w:rsidRPr="00B004EE">
        <w:rPr>
          <w:rFonts w:ascii="Tahoma" w:hAnsi="Tahoma" w:cs="Tahoma"/>
          <w:sz w:val="20"/>
          <w:szCs w:val="20"/>
        </w:rPr>
        <w:lastRenderedPageBreak/>
        <w:t>E</w:t>
      </w:r>
      <w:r w:rsidRPr="00B004EE">
        <w:rPr>
          <w:rFonts w:ascii="Tahoma" w:eastAsia="American Typewriter" w:hAnsi="Tahoma" w:cs="Tahoma"/>
          <w:sz w:val="20"/>
          <w:szCs w:val="20"/>
        </w:rPr>
        <w:t>n</w:t>
      </w:r>
      <w:r w:rsidR="00DB1635" w:rsidRPr="00B004EE">
        <w:rPr>
          <w:rFonts w:ascii="Tahoma" w:eastAsia="American Typewriter" w:hAnsi="Tahoma" w:cs="Tahoma"/>
          <w:spacing w:val="27"/>
          <w:sz w:val="20"/>
          <w:szCs w:val="20"/>
        </w:rPr>
        <w:t xml:space="preserve"> </w:t>
      </w:r>
      <w:r w:rsidRPr="00B004EE">
        <w:rPr>
          <w:rFonts w:ascii="Tahoma" w:eastAsia="American Typewriter" w:hAnsi="Tahoma" w:cs="Tahoma"/>
          <w:sz w:val="20"/>
          <w:szCs w:val="20"/>
        </w:rPr>
        <w:t>cas</w:t>
      </w:r>
      <w:r w:rsidR="00DB1635" w:rsidRPr="00B004EE">
        <w:rPr>
          <w:rFonts w:ascii="Tahoma" w:eastAsia="American Typewriter" w:hAnsi="Tahoma" w:cs="Tahoma"/>
          <w:spacing w:val="27"/>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pacing w:val="28"/>
          <w:sz w:val="20"/>
          <w:szCs w:val="20"/>
        </w:rPr>
        <w:t xml:space="preserve"> </w:t>
      </w:r>
      <w:r w:rsidRPr="00B004EE">
        <w:rPr>
          <w:rFonts w:ascii="Tahoma" w:eastAsia="American Typewriter" w:hAnsi="Tahoma" w:cs="Tahoma"/>
          <w:sz w:val="20"/>
          <w:szCs w:val="20"/>
        </w:rPr>
        <w:t>récidive</w:t>
      </w:r>
      <w:r w:rsidR="00DB1635" w:rsidRPr="00B004EE">
        <w:rPr>
          <w:rFonts w:ascii="Tahoma" w:eastAsia="American Typewriter" w:hAnsi="Tahoma" w:cs="Tahoma"/>
          <w:spacing w:val="28"/>
          <w:sz w:val="20"/>
          <w:szCs w:val="20"/>
        </w:rPr>
        <w:t xml:space="preserve"> </w:t>
      </w:r>
      <w:r w:rsidRPr="00B004EE">
        <w:rPr>
          <w:rFonts w:ascii="Tahoma" w:eastAsia="American Typewriter" w:hAnsi="Tahoma" w:cs="Tahoma"/>
          <w:sz w:val="20"/>
          <w:szCs w:val="20"/>
        </w:rPr>
        <w:t>aux</w:t>
      </w:r>
      <w:r w:rsidR="00DB1635" w:rsidRPr="00B004EE">
        <w:rPr>
          <w:rFonts w:ascii="Tahoma" w:eastAsia="American Typewriter" w:hAnsi="Tahoma" w:cs="Tahoma"/>
          <w:spacing w:val="27"/>
          <w:sz w:val="20"/>
          <w:szCs w:val="20"/>
        </w:rPr>
        <w:t xml:space="preserve"> </w:t>
      </w:r>
      <w:r w:rsidRPr="00B004EE">
        <w:rPr>
          <w:rFonts w:ascii="Tahoma" w:eastAsia="American Typewriter" w:hAnsi="Tahoma" w:cs="Tahoma"/>
          <w:sz w:val="20"/>
          <w:szCs w:val="20"/>
        </w:rPr>
        <w:t>infractions</w:t>
      </w:r>
      <w:r w:rsidR="00DB1635" w:rsidRPr="00B004EE">
        <w:rPr>
          <w:rFonts w:ascii="Tahoma" w:eastAsia="American Typewriter" w:hAnsi="Tahoma" w:cs="Tahoma"/>
          <w:spacing w:val="25"/>
          <w:sz w:val="20"/>
          <w:szCs w:val="20"/>
        </w:rPr>
        <w:t xml:space="preserve"> </w:t>
      </w:r>
      <w:r w:rsidRPr="00B004EE">
        <w:rPr>
          <w:rFonts w:ascii="Tahoma" w:eastAsia="American Typewriter" w:hAnsi="Tahoma" w:cs="Tahoma"/>
          <w:sz w:val="20"/>
          <w:szCs w:val="20"/>
        </w:rPr>
        <w:t>prévues</w:t>
      </w:r>
      <w:r w:rsidR="00DB1635" w:rsidRPr="00B004EE">
        <w:rPr>
          <w:rFonts w:ascii="Tahoma" w:eastAsia="American Typewriter" w:hAnsi="Tahoma" w:cs="Tahoma"/>
          <w:spacing w:val="25"/>
          <w:sz w:val="20"/>
          <w:szCs w:val="20"/>
        </w:rPr>
        <w:t xml:space="preserve"> </w:t>
      </w:r>
      <w:r w:rsidRPr="00B004EE">
        <w:rPr>
          <w:rFonts w:ascii="Tahoma" w:eastAsia="American Typewriter" w:hAnsi="Tahoma" w:cs="Tahoma"/>
          <w:sz w:val="20"/>
          <w:szCs w:val="20"/>
        </w:rPr>
        <w:t>à</w:t>
      </w:r>
      <w:r w:rsidR="00DB1635" w:rsidRPr="00B004EE">
        <w:rPr>
          <w:rFonts w:ascii="Tahoma" w:eastAsia="American Typewriter" w:hAnsi="Tahoma" w:cs="Tahoma"/>
          <w:spacing w:val="27"/>
          <w:sz w:val="20"/>
          <w:szCs w:val="20"/>
        </w:rPr>
        <w:t xml:space="preserve"> </w:t>
      </w:r>
      <w:r w:rsidRPr="00B004EE">
        <w:rPr>
          <w:rFonts w:ascii="Tahoma" w:eastAsia="American Typewriter" w:hAnsi="Tahoma" w:cs="Tahoma"/>
          <w:sz w:val="20"/>
          <w:szCs w:val="20"/>
        </w:rPr>
        <w:t>l’article</w:t>
      </w:r>
      <w:r w:rsidR="00DB1635" w:rsidRPr="00B004EE">
        <w:rPr>
          <w:rFonts w:ascii="Tahoma" w:eastAsia="American Typewriter" w:hAnsi="Tahoma" w:cs="Tahoma"/>
          <w:spacing w:val="-7"/>
          <w:sz w:val="20"/>
          <w:szCs w:val="20"/>
        </w:rPr>
        <w:t xml:space="preserve"> </w:t>
      </w:r>
      <w:r w:rsidRPr="00B004EE">
        <w:rPr>
          <w:rFonts w:ascii="Tahoma" w:hAnsi="Tahoma" w:cs="Tahoma"/>
          <w:sz w:val="20"/>
          <w:szCs w:val="20"/>
        </w:rPr>
        <w:t>85,</w:t>
      </w:r>
      <w:r w:rsidR="00DB1635" w:rsidRPr="00B004EE">
        <w:rPr>
          <w:rFonts w:ascii="Tahoma" w:hAnsi="Tahoma" w:cs="Tahoma"/>
          <w:spacing w:val="27"/>
          <w:sz w:val="20"/>
          <w:szCs w:val="20"/>
        </w:rPr>
        <w:t xml:space="preserve"> </w:t>
      </w:r>
      <w:r w:rsidRPr="00B004EE">
        <w:rPr>
          <w:rFonts w:ascii="Tahoma" w:hAnsi="Tahoma" w:cs="Tahoma"/>
          <w:sz w:val="20"/>
          <w:szCs w:val="20"/>
        </w:rPr>
        <w:t>la</w:t>
      </w:r>
      <w:r w:rsidR="00DB1635" w:rsidRPr="00B004EE">
        <w:rPr>
          <w:rFonts w:ascii="Tahoma" w:hAnsi="Tahoma" w:cs="Tahoma"/>
          <w:spacing w:val="27"/>
          <w:sz w:val="20"/>
          <w:szCs w:val="20"/>
        </w:rPr>
        <w:t xml:space="preserve"> </w:t>
      </w:r>
      <w:r w:rsidRPr="00B004EE">
        <w:rPr>
          <w:rFonts w:ascii="Tahoma" w:hAnsi="Tahoma" w:cs="Tahoma"/>
          <w:sz w:val="20"/>
          <w:szCs w:val="20"/>
        </w:rPr>
        <w:t>grille</w:t>
      </w:r>
      <w:r w:rsidR="00DB1635" w:rsidRPr="00B004EE">
        <w:rPr>
          <w:rFonts w:ascii="Tahoma" w:hAnsi="Tahoma" w:cs="Tahoma"/>
          <w:spacing w:val="26"/>
          <w:sz w:val="20"/>
          <w:szCs w:val="20"/>
        </w:rPr>
        <w:t xml:space="preserve"> </w:t>
      </w:r>
      <w:r w:rsidRPr="00B004EE">
        <w:rPr>
          <w:rFonts w:ascii="Tahoma" w:hAnsi="Tahoma" w:cs="Tahoma"/>
          <w:sz w:val="20"/>
          <w:szCs w:val="20"/>
        </w:rPr>
        <w:t>des</w:t>
      </w:r>
      <w:r w:rsidR="00DB1635" w:rsidRPr="00B004EE">
        <w:rPr>
          <w:rFonts w:ascii="Tahoma" w:hAnsi="Tahoma" w:cs="Tahoma"/>
          <w:spacing w:val="26"/>
          <w:sz w:val="20"/>
          <w:szCs w:val="20"/>
        </w:rPr>
        <w:t xml:space="preserve"> </w:t>
      </w:r>
      <w:r w:rsidRPr="00B004EE">
        <w:rPr>
          <w:rFonts w:ascii="Tahoma" w:hAnsi="Tahoma" w:cs="Tahoma"/>
          <w:sz w:val="20"/>
          <w:szCs w:val="20"/>
        </w:rPr>
        <w:t>amendes</w:t>
      </w:r>
      <w:r w:rsidR="00DB1635" w:rsidRPr="00B004EE">
        <w:rPr>
          <w:rFonts w:ascii="Tahoma" w:hAnsi="Tahoma" w:cs="Tahoma"/>
          <w:w w:val="94"/>
          <w:sz w:val="20"/>
          <w:szCs w:val="20"/>
        </w:rPr>
        <w:t xml:space="preserve"> </w:t>
      </w:r>
      <w:r w:rsidRPr="00B004EE">
        <w:rPr>
          <w:rFonts w:ascii="Tahoma" w:hAnsi="Tahoma" w:cs="Tahoma"/>
          <w:sz w:val="20"/>
          <w:szCs w:val="20"/>
        </w:rPr>
        <w:t>prévues</w:t>
      </w:r>
      <w:r w:rsidR="00DB1635" w:rsidRPr="00B004EE">
        <w:rPr>
          <w:rFonts w:ascii="Tahoma" w:hAnsi="Tahoma" w:cs="Tahoma"/>
          <w:spacing w:val="-31"/>
          <w:sz w:val="20"/>
          <w:szCs w:val="20"/>
        </w:rPr>
        <w:t xml:space="preserve"> </w:t>
      </w:r>
      <w:r w:rsidRPr="00B004EE">
        <w:rPr>
          <w:rFonts w:ascii="Tahoma" w:hAnsi="Tahoma" w:cs="Tahoma"/>
          <w:sz w:val="20"/>
          <w:szCs w:val="20"/>
        </w:rPr>
        <w:t>aux</w:t>
      </w:r>
      <w:r w:rsidR="00DB1635" w:rsidRPr="00B004EE">
        <w:rPr>
          <w:rFonts w:ascii="Tahoma" w:hAnsi="Tahoma" w:cs="Tahoma"/>
          <w:spacing w:val="-30"/>
          <w:sz w:val="20"/>
          <w:szCs w:val="20"/>
        </w:rPr>
        <w:t xml:space="preserve"> </w:t>
      </w:r>
      <w:r w:rsidRPr="00B004EE">
        <w:rPr>
          <w:rFonts w:ascii="Tahoma" w:hAnsi="Tahoma" w:cs="Tahoma"/>
          <w:sz w:val="20"/>
          <w:szCs w:val="20"/>
        </w:rPr>
        <w:t>dits</w:t>
      </w:r>
      <w:r w:rsidR="00DB1635" w:rsidRPr="00B004EE">
        <w:rPr>
          <w:rFonts w:ascii="Tahoma" w:hAnsi="Tahoma" w:cs="Tahoma"/>
          <w:spacing w:val="-31"/>
          <w:sz w:val="20"/>
          <w:szCs w:val="20"/>
        </w:rPr>
        <w:t xml:space="preserve"> </w:t>
      </w:r>
      <w:r w:rsidRPr="00B004EE">
        <w:rPr>
          <w:rFonts w:ascii="Tahoma" w:hAnsi="Tahoma" w:cs="Tahoma"/>
          <w:sz w:val="20"/>
          <w:szCs w:val="20"/>
        </w:rPr>
        <w:t>articles</w:t>
      </w:r>
      <w:r w:rsidR="00DB1635" w:rsidRPr="00B004EE">
        <w:rPr>
          <w:rFonts w:ascii="Tahoma" w:hAnsi="Tahoma" w:cs="Tahoma"/>
          <w:spacing w:val="-31"/>
          <w:sz w:val="20"/>
          <w:szCs w:val="20"/>
        </w:rPr>
        <w:t xml:space="preserve"> </w:t>
      </w:r>
      <w:r w:rsidRPr="00B004EE">
        <w:rPr>
          <w:rFonts w:ascii="Tahoma" w:hAnsi="Tahoma" w:cs="Tahoma"/>
          <w:sz w:val="20"/>
          <w:szCs w:val="20"/>
        </w:rPr>
        <w:t>sera</w:t>
      </w:r>
      <w:r w:rsidR="00DB1635" w:rsidRPr="00B004EE">
        <w:rPr>
          <w:rFonts w:ascii="Tahoma" w:hAnsi="Tahoma" w:cs="Tahoma"/>
          <w:spacing w:val="-30"/>
          <w:sz w:val="20"/>
          <w:szCs w:val="20"/>
        </w:rPr>
        <w:t xml:space="preserve"> </w:t>
      </w:r>
      <w:r w:rsidRPr="00B004EE">
        <w:rPr>
          <w:rFonts w:ascii="Tahoma" w:hAnsi="Tahoma" w:cs="Tahoma"/>
          <w:sz w:val="20"/>
          <w:szCs w:val="20"/>
        </w:rPr>
        <w:t>portée</w:t>
      </w:r>
      <w:r w:rsidR="00DB1635" w:rsidRPr="00B004EE">
        <w:rPr>
          <w:rFonts w:ascii="Tahoma" w:hAnsi="Tahoma" w:cs="Tahoma"/>
          <w:spacing w:val="-30"/>
          <w:sz w:val="20"/>
          <w:szCs w:val="20"/>
        </w:rPr>
        <w:t xml:space="preserve"> </w:t>
      </w:r>
      <w:r w:rsidRPr="00B004EE">
        <w:rPr>
          <w:rFonts w:ascii="Tahoma" w:hAnsi="Tahoma" w:cs="Tahoma"/>
          <w:sz w:val="20"/>
          <w:szCs w:val="20"/>
        </w:rPr>
        <w:t>au</w:t>
      </w:r>
      <w:r w:rsidR="00DB1635" w:rsidRPr="00B004EE">
        <w:rPr>
          <w:rFonts w:ascii="Tahoma" w:hAnsi="Tahoma" w:cs="Tahoma"/>
          <w:spacing w:val="-31"/>
          <w:sz w:val="20"/>
          <w:szCs w:val="20"/>
        </w:rPr>
        <w:t xml:space="preserve"> </w:t>
      </w:r>
      <w:r w:rsidRPr="00B004EE">
        <w:rPr>
          <w:rFonts w:ascii="Tahoma" w:hAnsi="Tahoma" w:cs="Tahoma"/>
          <w:sz w:val="20"/>
          <w:szCs w:val="20"/>
        </w:rPr>
        <w:t>double.</w:t>
      </w:r>
    </w:p>
    <w:p w14:paraId="5C02263E" w14:textId="45AFAA74" w:rsidR="001E7C3C" w:rsidRPr="00B004EE" w:rsidRDefault="001E7C3C" w:rsidP="00B004EE">
      <w:pPr>
        <w:pStyle w:val="Corpsdetexte"/>
        <w:ind w:right="161"/>
        <w:rPr>
          <w:rFonts w:ascii="Tahoma" w:hAnsi="Tahoma" w:cs="Tahoma"/>
          <w:sz w:val="20"/>
          <w:szCs w:val="20"/>
        </w:rPr>
      </w:pPr>
      <w:r w:rsidRPr="00B004EE">
        <w:rPr>
          <w:rFonts w:ascii="Tahoma" w:hAnsi="Tahoma" w:cs="Tahoma"/>
          <w:sz w:val="20"/>
          <w:szCs w:val="20"/>
        </w:rPr>
        <w:t>Il</w:t>
      </w:r>
      <w:r w:rsidR="00DB1635" w:rsidRPr="00B004EE">
        <w:rPr>
          <w:rFonts w:ascii="Tahoma" w:hAnsi="Tahoma" w:cs="Tahoma"/>
          <w:spacing w:val="-18"/>
          <w:sz w:val="20"/>
          <w:szCs w:val="20"/>
        </w:rPr>
        <w:t xml:space="preserve"> </w:t>
      </w:r>
      <w:r w:rsidRPr="00B004EE">
        <w:rPr>
          <w:rFonts w:ascii="Tahoma" w:hAnsi="Tahoma" w:cs="Tahoma"/>
          <w:sz w:val="20"/>
          <w:szCs w:val="20"/>
        </w:rPr>
        <w:t>y</w:t>
      </w:r>
      <w:r w:rsidR="00DB1635" w:rsidRPr="00B004EE">
        <w:rPr>
          <w:rFonts w:ascii="Tahoma" w:hAnsi="Tahoma" w:cs="Tahoma"/>
          <w:spacing w:val="-19"/>
          <w:sz w:val="20"/>
          <w:szCs w:val="20"/>
        </w:rPr>
        <w:t xml:space="preserve"> </w:t>
      </w:r>
      <w:r w:rsidRPr="00B004EE">
        <w:rPr>
          <w:rFonts w:ascii="Tahoma" w:hAnsi="Tahoma" w:cs="Tahoma"/>
          <w:sz w:val="20"/>
          <w:szCs w:val="20"/>
        </w:rPr>
        <w:t>a</w:t>
      </w:r>
      <w:r w:rsidR="00DB1635" w:rsidRPr="00B004EE">
        <w:rPr>
          <w:rFonts w:ascii="Tahoma" w:hAnsi="Tahoma" w:cs="Tahoma"/>
          <w:spacing w:val="-20"/>
          <w:sz w:val="20"/>
          <w:szCs w:val="20"/>
        </w:rPr>
        <w:t xml:space="preserve"> </w:t>
      </w:r>
      <w:r w:rsidRPr="00B004EE">
        <w:rPr>
          <w:rFonts w:ascii="Tahoma" w:hAnsi="Tahoma" w:cs="Tahoma"/>
          <w:sz w:val="20"/>
          <w:szCs w:val="20"/>
        </w:rPr>
        <w:t>récidive</w:t>
      </w:r>
      <w:r w:rsidR="00DB1635" w:rsidRPr="00B004EE">
        <w:rPr>
          <w:rFonts w:ascii="Tahoma" w:hAnsi="Tahoma" w:cs="Tahoma"/>
          <w:spacing w:val="-20"/>
          <w:sz w:val="20"/>
          <w:szCs w:val="20"/>
        </w:rPr>
        <w:t xml:space="preserve"> </w:t>
      </w:r>
      <w:r w:rsidRPr="00B004EE">
        <w:rPr>
          <w:rFonts w:ascii="Tahoma" w:hAnsi="Tahoma" w:cs="Tahoma"/>
          <w:sz w:val="20"/>
          <w:szCs w:val="20"/>
        </w:rPr>
        <w:t>lorsque,</w:t>
      </w:r>
      <w:r w:rsidR="00DB1635" w:rsidRPr="00B004EE">
        <w:rPr>
          <w:rFonts w:ascii="Tahoma" w:hAnsi="Tahoma" w:cs="Tahoma"/>
          <w:spacing w:val="-20"/>
          <w:sz w:val="20"/>
          <w:szCs w:val="20"/>
        </w:rPr>
        <w:t xml:space="preserve"> </w:t>
      </w:r>
      <w:r w:rsidRPr="00B004EE">
        <w:rPr>
          <w:rFonts w:ascii="Tahoma" w:hAnsi="Tahoma" w:cs="Tahoma"/>
          <w:sz w:val="20"/>
          <w:szCs w:val="20"/>
        </w:rPr>
        <w:t>dans</w:t>
      </w:r>
      <w:r w:rsidR="00DB1635" w:rsidRPr="00B004EE">
        <w:rPr>
          <w:rFonts w:ascii="Tahoma" w:hAnsi="Tahoma" w:cs="Tahoma"/>
          <w:spacing w:val="-21"/>
          <w:sz w:val="20"/>
          <w:szCs w:val="20"/>
        </w:rPr>
        <w:t xml:space="preserve"> </w:t>
      </w:r>
      <w:r w:rsidRPr="00B004EE">
        <w:rPr>
          <w:rFonts w:ascii="Tahoma" w:hAnsi="Tahoma" w:cs="Tahoma"/>
          <w:sz w:val="20"/>
          <w:szCs w:val="20"/>
        </w:rPr>
        <w:t>les</w:t>
      </w:r>
      <w:r w:rsidR="00DB1635" w:rsidRPr="00B004EE">
        <w:rPr>
          <w:rFonts w:ascii="Tahoma" w:hAnsi="Tahoma" w:cs="Tahoma"/>
          <w:spacing w:val="-18"/>
          <w:sz w:val="20"/>
          <w:szCs w:val="20"/>
        </w:rPr>
        <w:t xml:space="preserve"> </w:t>
      </w:r>
      <w:r w:rsidRPr="00B004EE">
        <w:rPr>
          <w:rFonts w:ascii="Tahoma" w:hAnsi="Tahoma" w:cs="Tahoma"/>
          <w:sz w:val="20"/>
          <w:szCs w:val="20"/>
        </w:rPr>
        <w:t>douze</w:t>
      </w:r>
      <w:r w:rsidR="00DB1635" w:rsidRPr="00B004EE">
        <w:rPr>
          <w:rFonts w:ascii="Tahoma" w:hAnsi="Tahoma" w:cs="Tahoma"/>
          <w:spacing w:val="-20"/>
          <w:sz w:val="20"/>
          <w:szCs w:val="20"/>
        </w:rPr>
        <w:t xml:space="preserve"> </w:t>
      </w:r>
      <w:r w:rsidRPr="00B004EE">
        <w:rPr>
          <w:rFonts w:ascii="Tahoma" w:hAnsi="Tahoma" w:cs="Tahoma"/>
          <w:sz w:val="20"/>
          <w:szCs w:val="20"/>
        </w:rPr>
        <w:t>(12)</w:t>
      </w:r>
      <w:r w:rsidR="00DB1635" w:rsidRPr="00B004EE">
        <w:rPr>
          <w:rFonts w:ascii="Tahoma" w:hAnsi="Tahoma" w:cs="Tahoma"/>
          <w:spacing w:val="21"/>
          <w:sz w:val="20"/>
          <w:szCs w:val="20"/>
        </w:rPr>
        <w:t xml:space="preserve"> </w:t>
      </w:r>
      <w:r w:rsidRPr="00B004EE">
        <w:rPr>
          <w:rFonts w:ascii="Tahoma" w:hAnsi="Tahoma" w:cs="Tahoma"/>
          <w:sz w:val="20"/>
          <w:szCs w:val="20"/>
        </w:rPr>
        <w:t>mois</w:t>
      </w:r>
      <w:r w:rsidR="00DB1635" w:rsidRPr="00B004EE">
        <w:rPr>
          <w:rFonts w:ascii="Tahoma" w:hAnsi="Tahoma" w:cs="Tahoma"/>
          <w:spacing w:val="-20"/>
          <w:sz w:val="20"/>
          <w:szCs w:val="20"/>
        </w:rPr>
        <w:t xml:space="preserve"> </w:t>
      </w:r>
      <w:r w:rsidRPr="00B004EE">
        <w:rPr>
          <w:rFonts w:ascii="Tahoma" w:hAnsi="Tahoma" w:cs="Tahoma"/>
          <w:sz w:val="20"/>
          <w:szCs w:val="20"/>
        </w:rPr>
        <w:t>qui</w:t>
      </w:r>
      <w:r w:rsidR="00DB1635" w:rsidRPr="00B004EE">
        <w:rPr>
          <w:rFonts w:ascii="Tahoma" w:hAnsi="Tahoma" w:cs="Tahoma"/>
          <w:spacing w:val="-20"/>
          <w:sz w:val="20"/>
          <w:szCs w:val="20"/>
        </w:rPr>
        <w:t xml:space="preserve"> </w:t>
      </w:r>
      <w:r w:rsidRPr="00B004EE">
        <w:rPr>
          <w:rFonts w:ascii="Tahoma" w:hAnsi="Tahoma" w:cs="Tahoma"/>
          <w:sz w:val="20"/>
          <w:szCs w:val="20"/>
        </w:rPr>
        <w:t>précèdent</w:t>
      </w:r>
      <w:r w:rsidR="00DB1635" w:rsidRPr="00B004EE">
        <w:rPr>
          <w:rFonts w:ascii="Tahoma" w:hAnsi="Tahoma" w:cs="Tahoma"/>
          <w:spacing w:val="-20"/>
          <w:sz w:val="20"/>
          <w:szCs w:val="20"/>
        </w:rPr>
        <w:t xml:space="preserve"> </w:t>
      </w:r>
      <w:r w:rsidRPr="00B004EE">
        <w:rPr>
          <w:rFonts w:ascii="Tahoma" w:hAnsi="Tahoma" w:cs="Tahoma"/>
          <w:sz w:val="20"/>
          <w:szCs w:val="20"/>
        </w:rPr>
        <w:t>la</w:t>
      </w:r>
      <w:r w:rsidR="00DB1635" w:rsidRPr="00B004EE">
        <w:rPr>
          <w:rFonts w:ascii="Tahoma" w:hAnsi="Tahoma" w:cs="Tahoma"/>
          <w:spacing w:val="-20"/>
          <w:sz w:val="20"/>
          <w:szCs w:val="20"/>
        </w:rPr>
        <w:t xml:space="preserve"> </w:t>
      </w:r>
      <w:r w:rsidRPr="00B004EE">
        <w:rPr>
          <w:rFonts w:ascii="Tahoma" w:hAnsi="Tahoma" w:cs="Tahoma"/>
          <w:sz w:val="20"/>
          <w:szCs w:val="20"/>
        </w:rPr>
        <w:t>commission</w:t>
      </w:r>
      <w:r w:rsidR="00DB1635" w:rsidRPr="00B004EE">
        <w:rPr>
          <w:rFonts w:ascii="Tahoma" w:hAnsi="Tahoma" w:cs="Tahoma"/>
          <w:spacing w:val="-20"/>
          <w:sz w:val="20"/>
          <w:szCs w:val="20"/>
        </w:rPr>
        <w:t xml:space="preserve"> </w:t>
      </w:r>
      <w:r w:rsidRPr="00B004EE">
        <w:rPr>
          <w:rFonts w:ascii="Tahoma" w:hAnsi="Tahoma" w:cs="Tahoma"/>
          <w:sz w:val="20"/>
          <w:szCs w:val="20"/>
        </w:rPr>
        <w:t>d'une</w:t>
      </w:r>
      <w:r w:rsidR="00DB1635" w:rsidRPr="00B004EE">
        <w:rPr>
          <w:rFonts w:ascii="Tahoma" w:hAnsi="Tahoma" w:cs="Tahoma"/>
          <w:w w:val="96"/>
          <w:sz w:val="20"/>
          <w:szCs w:val="20"/>
        </w:rPr>
        <w:t xml:space="preserve"> </w:t>
      </w:r>
      <w:r w:rsidRPr="00B004EE">
        <w:rPr>
          <w:rFonts w:ascii="Tahoma" w:hAnsi="Tahoma" w:cs="Tahoma"/>
          <w:sz w:val="20"/>
          <w:szCs w:val="20"/>
        </w:rPr>
        <w:t>infraction</w:t>
      </w:r>
      <w:r w:rsidR="00DB1635" w:rsidRPr="00B004EE">
        <w:rPr>
          <w:rFonts w:ascii="Tahoma" w:hAnsi="Tahoma" w:cs="Tahoma"/>
          <w:spacing w:val="-17"/>
          <w:sz w:val="20"/>
          <w:szCs w:val="20"/>
        </w:rPr>
        <w:t xml:space="preserve"> </w:t>
      </w:r>
      <w:r w:rsidRPr="00B004EE">
        <w:rPr>
          <w:rFonts w:ascii="Tahoma" w:hAnsi="Tahoma" w:cs="Tahoma"/>
          <w:sz w:val="20"/>
          <w:szCs w:val="20"/>
        </w:rPr>
        <w:t>aux</w:t>
      </w:r>
      <w:r w:rsidR="00DB1635" w:rsidRPr="00B004EE">
        <w:rPr>
          <w:rFonts w:ascii="Tahoma" w:hAnsi="Tahoma" w:cs="Tahoma"/>
          <w:spacing w:val="-16"/>
          <w:sz w:val="20"/>
          <w:szCs w:val="20"/>
        </w:rPr>
        <w:t xml:space="preserve"> </w:t>
      </w:r>
      <w:r w:rsidRPr="00B004EE">
        <w:rPr>
          <w:rFonts w:ascii="Tahoma" w:hAnsi="Tahoma" w:cs="Tahoma"/>
          <w:sz w:val="20"/>
          <w:szCs w:val="20"/>
        </w:rPr>
        <w:t>dispositions</w:t>
      </w:r>
      <w:r w:rsidR="00DB1635" w:rsidRPr="00B004EE">
        <w:rPr>
          <w:rFonts w:ascii="Tahoma" w:hAnsi="Tahoma" w:cs="Tahoma"/>
          <w:spacing w:val="-17"/>
          <w:sz w:val="20"/>
          <w:szCs w:val="20"/>
        </w:rPr>
        <w:t xml:space="preserve"> </w:t>
      </w:r>
      <w:r w:rsidRPr="00B004EE">
        <w:rPr>
          <w:rFonts w:ascii="Tahoma" w:hAnsi="Tahoma" w:cs="Tahoma"/>
          <w:sz w:val="20"/>
          <w:szCs w:val="20"/>
        </w:rPr>
        <w:t>de</w:t>
      </w:r>
      <w:r w:rsidR="00DB1635" w:rsidRPr="00B004EE">
        <w:rPr>
          <w:rFonts w:ascii="Tahoma" w:hAnsi="Tahoma" w:cs="Tahoma"/>
          <w:spacing w:val="-16"/>
          <w:sz w:val="20"/>
          <w:szCs w:val="20"/>
        </w:rPr>
        <w:t xml:space="preserve"> </w:t>
      </w:r>
      <w:r w:rsidRPr="00B004EE">
        <w:rPr>
          <w:rFonts w:ascii="Tahoma" w:hAnsi="Tahoma" w:cs="Tahoma"/>
          <w:sz w:val="20"/>
          <w:szCs w:val="20"/>
        </w:rPr>
        <w:t>la</w:t>
      </w:r>
      <w:r w:rsidR="00DB1635" w:rsidRPr="00B004EE">
        <w:rPr>
          <w:rFonts w:ascii="Tahoma" w:hAnsi="Tahoma" w:cs="Tahoma"/>
          <w:spacing w:val="-14"/>
          <w:sz w:val="20"/>
          <w:szCs w:val="20"/>
        </w:rPr>
        <w:t xml:space="preserve"> </w:t>
      </w:r>
      <w:r w:rsidRPr="00B004EE">
        <w:rPr>
          <w:rFonts w:ascii="Tahoma" w:hAnsi="Tahoma" w:cs="Tahoma"/>
          <w:sz w:val="20"/>
          <w:szCs w:val="20"/>
        </w:rPr>
        <w:t>présente</w:t>
      </w:r>
      <w:r w:rsidR="00DB1635" w:rsidRPr="00B004EE">
        <w:rPr>
          <w:rFonts w:ascii="Tahoma" w:hAnsi="Tahoma" w:cs="Tahoma"/>
          <w:spacing w:val="-16"/>
          <w:sz w:val="20"/>
          <w:szCs w:val="20"/>
        </w:rPr>
        <w:t xml:space="preserve"> </w:t>
      </w:r>
      <w:r w:rsidRPr="00B004EE">
        <w:rPr>
          <w:rFonts w:ascii="Tahoma" w:hAnsi="Tahoma" w:cs="Tahoma"/>
          <w:sz w:val="20"/>
          <w:szCs w:val="20"/>
        </w:rPr>
        <w:t>Loi</w:t>
      </w:r>
      <w:r w:rsidR="00DB1635" w:rsidRPr="00B004EE">
        <w:rPr>
          <w:rFonts w:ascii="Tahoma" w:hAnsi="Tahoma" w:cs="Tahoma"/>
          <w:spacing w:val="30"/>
          <w:sz w:val="20"/>
          <w:szCs w:val="20"/>
        </w:rPr>
        <w:t xml:space="preserve"> </w:t>
      </w:r>
      <w:r w:rsidRPr="00B004EE">
        <w:rPr>
          <w:rFonts w:ascii="Tahoma" w:hAnsi="Tahoma" w:cs="Tahoma"/>
          <w:sz w:val="20"/>
          <w:szCs w:val="20"/>
        </w:rPr>
        <w:t>et</w:t>
      </w:r>
      <w:r w:rsidR="00DB1635" w:rsidRPr="00B004EE">
        <w:rPr>
          <w:rFonts w:ascii="Tahoma" w:hAnsi="Tahoma" w:cs="Tahoma"/>
          <w:spacing w:val="-16"/>
          <w:sz w:val="20"/>
          <w:szCs w:val="20"/>
        </w:rPr>
        <w:t xml:space="preserve"> </w:t>
      </w:r>
      <w:r w:rsidRPr="00B004EE">
        <w:rPr>
          <w:rFonts w:ascii="Tahoma" w:hAnsi="Tahoma" w:cs="Tahoma"/>
          <w:sz w:val="20"/>
          <w:szCs w:val="20"/>
        </w:rPr>
        <w:t>de</w:t>
      </w:r>
      <w:r w:rsidR="00DB1635" w:rsidRPr="00B004EE">
        <w:rPr>
          <w:rFonts w:ascii="Tahoma" w:hAnsi="Tahoma" w:cs="Tahoma"/>
          <w:spacing w:val="-16"/>
          <w:sz w:val="20"/>
          <w:szCs w:val="20"/>
        </w:rPr>
        <w:t xml:space="preserve"> </w:t>
      </w:r>
      <w:r w:rsidRPr="00B004EE">
        <w:rPr>
          <w:rFonts w:ascii="Tahoma" w:eastAsia="American Typewriter" w:hAnsi="Tahoma" w:cs="Tahoma"/>
          <w:sz w:val="20"/>
          <w:szCs w:val="20"/>
        </w:rPr>
        <w:t>ses</w:t>
      </w:r>
      <w:r w:rsidR="00DB1635" w:rsidRPr="00B004EE">
        <w:rPr>
          <w:rFonts w:ascii="Tahoma" w:eastAsia="American Typewriter" w:hAnsi="Tahoma" w:cs="Tahoma"/>
          <w:spacing w:val="-17"/>
          <w:sz w:val="20"/>
          <w:szCs w:val="20"/>
        </w:rPr>
        <w:t xml:space="preserve"> </w:t>
      </w:r>
      <w:r w:rsidRPr="00B004EE">
        <w:rPr>
          <w:rFonts w:ascii="Tahoma" w:eastAsia="American Typewriter" w:hAnsi="Tahoma" w:cs="Tahoma"/>
          <w:sz w:val="20"/>
          <w:szCs w:val="20"/>
        </w:rPr>
        <w:t>règlements</w:t>
      </w:r>
      <w:r w:rsidR="00DB1635" w:rsidRPr="00B004EE">
        <w:rPr>
          <w:rFonts w:ascii="Tahoma" w:eastAsia="American Typewriter" w:hAnsi="Tahoma" w:cs="Tahoma"/>
          <w:spacing w:val="-18"/>
          <w:sz w:val="20"/>
          <w:szCs w:val="20"/>
        </w:rPr>
        <w:t xml:space="preserve"> </w:t>
      </w:r>
      <w:r w:rsidRPr="00B004EE">
        <w:rPr>
          <w:rFonts w:ascii="Tahoma" w:eastAsia="American Typewriter" w:hAnsi="Tahoma" w:cs="Tahoma"/>
          <w:sz w:val="20"/>
          <w:szCs w:val="20"/>
        </w:rPr>
        <w:t>d’application,</w:t>
      </w:r>
      <w:r w:rsidR="00DB1635" w:rsidRPr="00B004EE">
        <w:rPr>
          <w:rFonts w:ascii="Tahoma" w:eastAsia="American Typewriter" w:hAnsi="Tahoma" w:cs="Tahoma"/>
          <w:spacing w:val="-17"/>
          <w:sz w:val="20"/>
          <w:szCs w:val="20"/>
        </w:rPr>
        <w:t xml:space="preserve"> </w:t>
      </w:r>
      <w:r w:rsidRPr="00B004EE">
        <w:rPr>
          <w:rFonts w:ascii="Tahoma" w:eastAsia="American Typewriter" w:hAnsi="Tahoma" w:cs="Tahoma"/>
          <w:sz w:val="20"/>
          <w:szCs w:val="20"/>
        </w:rPr>
        <w:t>il</w:t>
      </w:r>
      <w:r w:rsidR="00DB1635" w:rsidRPr="00B004EE">
        <w:rPr>
          <w:rFonts w:ascii="Tahoma" w:eastAsia="American Typewriter" w:hAnsi="Tahoma" w:cs="Tahoma"/>
          <w:w w:val="101"/>
          <w:sz w:val="20"/>
          <w:szCs w:val="20"/>
        </w:rPr>
        <w:t xml:space="preserve"> </w:t>
      </w:r>
      <w:r w:rsidRPr="00B004EE">
        <w:rPr>
          <w:rFonts w:ascii="Tahoma" w:hAnsi="Tahoma" w:cs="Tahoma"/>
          <w:sz w:val="20"/>
          <w:szCs w:val="20"/>
        </w:rPr>
        <w:t>a</w:t>
      </w:r>
      <w:r w:rsidR="00DB1635" w:rsidRPr="00B004EE">
        <w:rPr>
          <w:rFonts w:ascii="Tahoma" w:hAnsi="Tahoma" w:cs="Tahoma"/>
          <w:spacing w:val="32"/>
          <w:sz w:val="20"/>
          <w:szCs w:val="20"/>
        </w:rPr>
        <w:t xml:space="preserve"> </w:t>
      </w:r>
      <w:r w:rsidRPr="00B004EE">
        <w:rPr>
          <w:rFonts w:ascii="Tahoma" w:hAnsi="Tahoma" w:cs="Tahoma"/>
          <w:sz w:val="20"/>
          <w:szCs w:val="20"/>
        </w:rPr>
        <w:t>été</w:t>
      </w:r>
      <w:r w:rsidR="00DB1635" w:rsidRPr="00B004EE">
        <w:rPr>
          <w:rFonts w:ascii="Tahoma" w:hAnsi="Tahoma" w:cs="Tahoma"/>
          <w:spacing w:val="32"/>
          <w:sz w:val="20"/>
          <w:szCs w:val="20"/>
        </w:rPr>
        <w:t xml:space="preserve"> </w:t>
      </w:r>
      <w:r w:rsidRPr="00B004EE">
        <w:rPr>
          <w:rFonts w:ascii="Tahoma" w:hAnsi="Tahoma" w:cs="Tahoma"/>
          <w:sz w:val="20"/>
          <w:szCs w:val="20"/>
        </w:rPr>
        <w:t>rendu</w:t>
      </w:r>
      <w:r w:rsidR="00DB1635" w:rsidRPr="00B004EE">
        <w:rPr>
          <w:rFonts w:ascii="Tahoma" w:hAnsi="Tahoma" w:cs="Tahoma"/>
          <w:spacing w:val="32"/>
          <w:sz w:val="20"/>
          <w:szCs w:val="20"/>
        </w:rPr>
        <w:t xml:space="preserve"> </w:t>
      </w:r>
      <w:r w:rsidRPr="00B004EE">
        <w:rPr>
          <w:rFonts w:ascii="Tahoma" w:hAnsi="Tahoma" w:cs="Tahoma"/>
          <w:sz w:val="20"/>
          <w:szCs w:val="20"/>
        </w:rPr>
        <w:t>contre</w:t>
      </w:r>
      <w:r w:rsidR="00DB1635" w:rsidRPr="00B004EE">
        <w:rPr>
          <w:rFonts w:ascii="Tahoma" w:hAnsi="Tahoma" w:cs="Tahoma"/>
          <w:spacing w:val="30"/>
          <w:sz w:val="20"/>
          <w:szCs w:val="20"/>
        </w:rPr>
        <w:t xml:space="preserve"> </w:t>
      </w:r>
      <w:r w:rsidRPr="00B004EE">
        <w:rPr>
          <w:rFonts w:ascii="Tahoma" w:hAnsi="Tahoma" w:cs="Tahoma"/>
          <w:sz w:val="20"/>
          <w:szCs w:val="20"/>
        </w:rPr>
        <w:t>le</w:t>
      </w:r>
      <w:r w:rsidR="00DB1635" w:rsidRPr="00B004EE">
        <w:rPr>
          <w:rFonts w:ascii="Tahoma" w:hAnsi="Tahoma" w:cs="Tahoma"/>
          <w:spacing w:val="30"/>
          <w:sz w:val="20"/>
          <w:szCs w:val="20"/>
        </w:rPr>
        <w:t xml:space="preserve"> </w:t>
      </w:r>
      <w:r w:rsidRPr="00B004EE">
        <w:rPr>
          <w:rFonts w:ascii="Tahoma" w:hAnsi="Tahoma" w:cs="Tahoma"/>
          <w:sz w:val="20"/>
          <w:szCs w:val="20"/>
        </w:rPr>
        <w:t>contrevenant</w:t>
      </w:r>
      <w:r w:rsidR="00DB1635" w:rsidRPr="00B004EE">
        <w:rPr>
          <w:rFonts w:ascii="Tahoma" w:hAnsi="Tahoma" w:cs="Tahoma"/>
          <w:spacing w:val="30"/>
          <w:sz w:val="20"/>
          <w:szCs w:val="20"/>
        </w:rPr>
        <w:t xml:space="preserve"> </w:t>
      </w:r>
      <w:r w:rsidRPr="00B004EE">
        <w:rPr>
          <w:rFonts w:ascii="Tahoma" w:hAnsi="Tahoma" w:cs="Tahoma"/>
          <w:sz w:val="20"/>
          <w:szCs w:val="20"/>
        </w:rPr>
        <w:t>un</w:t>
      </w:r>
      <w:r w:rsidR="00DB1635" w:rsidRPr="00B004EE">
        <w:rPr>
          <w:rFonts w:ascii="Tahoma" w:hAnsi="Tahoma" w:cs="Tahoma"/>
          <w:spacing w:val="30"/>
          <w:sz w:val="20"/>
          <w:szCs w:val="20"/>
        </w:rPr>
        <w:t xml:space="preserve"> </w:t>
      </w:r>
      <w:r w:rsidRPr="00B004EE">
        <w:rPr>
          <w:rFonts w:ascii="Tahoma" w:hAnsi="Tahoma" w:cs="Tahoma"/>
          <w:sz w:val="20"/>
          <w:szCs w:val="20"/>
        </w:rPr>
        <w:t>jugement</w:t>
      </w:r>
      <w:r w:rsidR="00DB1635" w:rsidRPr="00B004EE">
        <w:rPr>
          <w:rFonts w:ascii="Tahoma" w:hAnsi="Tahoma" w:cs="Tahoma"/>
          <w:spacing w:val="30"/>
          <w:sz w:val="20"/>
          <w:szCs w:val="20"/>
        </w:rPr>
        <w:t xml:space="preserve"> </w:t>
      </w:r>
      <w:r w:rsidRPr="00B004EE">
        <w:rPr>
          <w:rFonts w:ascii="Tahoma" w:hAnsi="Tahoma" w:cs="Tahoma"/>
          <w:sz w:val="20"/>
          <w:szCs w:val="20"/>
        </w:rPr>
        <w:t>pour</w:t>
      </w:r>
      <w:r w:rsidR="00DB1635" w:rsidRPr="00B004EE">
        <w:rPr>
          <w:rFonts w:ascii="Tahoma" w:hAnsi="Tahoma" w:cs="Tahoma"/>
          <w:spacing w:val="30"/>
          <w:sz w:val="20"/>
          <w:szCs w:val="20"/>
        </w:rPr>
        <w:t xml:space="preserve"> </w:t>
      </w:r>
      <w:r w:rsidRPr="00B004EE">
        <w:rPr>
          <w:rFonts w:ascii="Tahoma" w:hAnsi="Tahoma" w:cs="Tahoma"/>
          <w:sz w:val="20"/>
          <w:szCs w:val="20"/>
        </w:rPr>
        <w:t>une</w:t>
      </w:r>
      <w:r w:rsidR="00DB1635" w:rsidRPr="00B004EE">
        <w:rPr>
          <w:rFonts w:ascii="Tahoma" w:hAnsi="Tahoma" w:cs="Tahoma"/>
          <w:spacing w:val="30"/>
          <w:sz w:val="20"/>
          <w:szCs w:val="20"/>
        </w:rPr>
        <w:t xml:space="preserve"> </w:t>
      </w:r>
      <w:r w:rsidRPr="00B004EE">
        <w:rPr>
          <w:rFonts w:ascii="Tahoma" w:hAnsi="Tahoma" w:cs="Tahoma"/>
          <w:sz w:val="20"/>
          <w:szCs w:val="20"/>
        </w:rPr>
        <w:t>infraction</w:t>
      </w:r>
      <w:r w:rsidR="00DB1635" w:rsidRPr="00B004EE">
        <w:rPr>
          <w:rFonts w:ascii="Tahoma" w:hAnsi="Tahoma" w:cs="Tahoma"/>
          <w:spacing w:val="30"/>
          <w:sz w:val="20"/>
          <w:szCs w:val="20"/>
        </w:rPr>
        <w:t xml:space="preserve"> </w:t>
      </w:r>
      <w:r w:rsidRPr="00B004EE">
        <w:rPr>
          <w:rFonts w:ascii="Tahoma" w:hAnsi="Tahoma" w:cs="Tahoma"/>
          <w:sz w:val="20"/>
          <w:szCs w:val="20"/>
        </w:rPr>
        <w:t>de</w:t>
      </w:r>
      <w:r w:rsidR="00DB1635" w:rsidRPr="00B004EE">
        <w:rPr>
          <w:rFonts w:ascii="Tahoma" w:hAnsi="Tahoma" w:cs="Tahoma"/>
          <w:spacing w:val="30"/>
          <w:sz w:val="20"/>
          <w:szCs w:val="20"/>
        </w:rPr>
        <w:t xml:space="preserve"> </w:t>
      </w:r>
      <w:r w:rsidRPr="00B004EE">
        <w:rPr>
          <w:rFonts w:ascii="Tahoma" w:hAnsi="Tahoma" w:cs="Tahoma"/>
          <w:sz w:val="20"/>
          <w:szCs w:val="20"/>
        </w:rPr>
        <w:t>même</w:t>
      </w:r>
      <w:r w:rsidR="00DB1635" w:rsidRPr="00B004EE">
        <w:rPr>
          <w:rFonts w:ascii="Tahoma" w:hAnsi="Tahoma" w:cs="Tahoma"/>
          <w:spacing w:val="-1"/>
          <w:w w:val="95"/>
          <w:sz w:val="20"/>
          <w:szCs w:val="20"/>
        </w:rPr>
        <w:t xml:space="preserve"> </w:t>
      </w:r>
      <w:r w:rsidRPr="00B004EE">
        <w:rPr>
          <w:rFonts w:ascii="Tahoma" w:hAnsi="Tahoma" w:cs="Tahoma"/>
          <w:sz w:val="20"/>
          <w:szCs w:val="20"/>
        </w:rPr>
        <w:t>nature.</w:t>
      </w:r>
      <w:r w:rsidR="00DB1635" w:rsidRPr="00B004EE">
        <w:rPr>
          <w:rFonts w:ascii="Tahoma" w:hAnsi="Tahoma" w:cs="Tahoma"/>
          <w:spacing w:val="20"/>
          <w:sz w:val="20"/>
          <w:szCs w:val="20"/>
        </w:rPr>
        <w:t xml:space="preserve"> </w:t>
      </w:r>
      <w:r w:rsidRPr="00B004EE">
        <w:rPr>
          <w:rFonts w:ascii="Tahoma" w:hAnsi="Tahoma" w:cs="Tahoma"/>
          <w:sz w:val="20"/>
          <w:szCs w:val="20"/>
        </w:rPr>
        <w:t>Au</w:t>
      </w:r>
      <w:r w:rsidR="00DB1635" w:rsidRPr="00B004EE">
        <w:rPr>
          <w:rFonts w:ascii="Tahoma" w:hAnsi="Tahoma" w:cs="Tahoma"/>
          <w:spacing w:val="19"/>
          <w:sz w:val="20"/>
          <w:szCs w:val="20"/>
        </w:rPr>
        <w:t xml:space="preserve"> </w:t>
      </w:r>
      <w:r w:rsidRPr="00B004EE">
        <w:rPr>
          <w:rFonts w:ascii="Tahoma" w:hAnsi="Tahoma" w:cs="Tahoma"/>
          <w:sz w:val="20"/>
          <w:szCs w:val="20"/>
        </w:rPr>
        <w:t>sens</w:t>
      </w:r>
      <w:r w:rsidR="00DB1635" w:rsidRPr="00B004EE">
        <w:rPr>
          <w:rFonts w:ascii="Tahoma" w:hAnsi="Tahoma" w:cs="Tahoma"/>
          <w:spacing w:val="19"/>
          <w:sz w:val="20"/>
          <w:szCs w:val="20"/>
        </w:rPr>
        <w:t xml:space="preserve"> </w:t>
      </w:r>
      <w:r w:rsidRPr="00B004EE">
        <w:rPr>
          <w:rFonts w:ascii="Tahoma" w:hAnsi="Tahoma" w:cs="Tahoma"/>
          <w:sz w:val="20"/>
          <w:szCs w:val="20"/>
        </w:rPr>
        <w:t>des</w:t>
      </w:r>
      <w:r w:rsidR="00DB1635" w:rsidRPr="00B004EE">
        <w:rPr>
          <w:rFonts w:ascii="Tahoma" w:hAnsi="Tahoma" w:cs="Tahoma"/>
          <w:spacing w:val="19"/>
          <w:sz w:val="20"/>
          <w:szCs w:val="20"/>
        </w:rPr>
        <w:t xml:space="preserve"> </w:t>
      </w:r>
      <w:r w:rsidRPr="00B004EE">
        <w:rPr>
          <w:rFonts w:ascii="Tahoma" w:hAnsi="Tahoma" w:cs="Tahoma"/>
          <w:sz w:val="20"/>
          <w:szCs w:val="20"/>
        </w:rPr>
        <w:t>présentes</w:t>
      </w:r>
      <w:r w:rsidR="00DB1635" w:rsidRPr="00B004EE">
        <w:rPr>
          <w:rFonts w:ascii="Tahoma" w:hAnsi="Tahoma" w:cs="Tahoma"/>
          <w:spacing w:val="19"/>
          <w:sz w:val="20"/>
          <w:szCs w:val="20"/>
        </w:rPr>
        <w:t xml:space="preserve"> </w:t>
      </w:r>
      <w:r w:rsidRPr="00B004EE">
        <w:rPr>
          <w:rFonts w:ascii="Tahoma" w:hAnsi="Tahoma" w:cs="Tahoma"/>
          <w:sz w:val="20"/>
          <w:szCs w:val="20"/>
        </w:rPr>
        <w:t>dispositions,</w:t>
      </w:r>
      <w:r w:rsidR="00DB1635" w:rsidRPr="00B004EE">
        <w:rPr>
          <w:rFonts w:ascii="Tahoma" w:hAnsi="Tahoma" w:cs="Tahoma"/>
          <w:spacing w:val="20"/>
          <w:sz w:val="20"/>
          <w:szCs w:val="20"/>
        </w:rPr>
        <w:t xml:space="preserve"> </w:t>
      </w:r>
      <w:r w:rsidRPr="00B004EE">
        <w:rPr>
          <w:rFonts w:ascii="Tahoma" w:hAnsi="Tahoma" w:cs="Tahoma"/>
          <w:sz w:val="20"/>
          <w:szCs w:val="20"/>
        </w:rPr>
        <w:t>on</w:t>
      </w:r>
      <w:r w:rsidR="00DB1635" w:rsidRPr="00B004EE">
        <w:rPr>
          <w:rFonts w:ascii="Tahoma" w:hAnsi="Tahoma" w:cs="Tahoma"/>
          <w:spacing w:val="20"/>
          <w:sz w:val="20"/>
          <w:szCs w:val="20"/>
        </w:rPr>
        <w:t xml:space="preserve"> </w:t>
      </w:r>
      <w:r w:rsidRPr="00B004EE">
        <w:rPr>
          <w:rFonts w:ascii="Tahoma" w:hAnsi="Tahoma" w:cs="Tahoma"/>
          <w:sz w:val="20"/>
          <w:szCs w:val="20"/>
        </w:rPr>
        <w:t>entend</w:t>
      </w:r>
      <w:r w:rsidR="00DB1635" w:rsidRPr="00B004EE">
        <w:rPr>
          <w:rFonts w:ascii="Tahoma" w:hAnsi="Tahoma" w:cs="Tahoma"/>
          <w:spacing w:val="17"/>
          <w:sz w:val="20"/>
          <w:szCs w:val="20"/>
        </w:rPr>
        <w:t xml:space="preserve"> </w:t>
      </w:r>
      <w:r w:rsidRPr="00B004EE">
        <w:rPr>
          <w:rFonts w:ascii="Tahoma" w:hAnsi="Tahoma" w:cs="Tahoma"/>
          <w:sz w:val="20"/>
          <w:szCs w:val="20"/>
        </w:rPr>
        <w:t>par</w:t>
      </w:r>
      <w:r w:rsidR="00DB1635" w:rsidRPr="00B004EE">
        <w:rPr>
          <w:rFonts w:ascii="Tahoma" w:hAnsi="Tahoma" w:cs="Tahoma"/>
          <w:spacing w:val="18"/>
          <w:sz w:val="20"/>
          <w:szCs w:val="20"/>
        </w:rPr>
        <w:t xml:space="preserve"> </w:t>
      </w:r>
      <w:r w:rsidRPr="00B004EE">
        <w:rPr>
          <w:rFonts w:ascii="Tahoma" w:hAnsi="Tahoma" w:cs="Tahoma"/>
          <w:sz w:val="20"/>
          <w:szCs w:val="20"/>
        </w:rPr>
        <w:t>infractions</w:t>
      </w:r>
      <w:r w:rsidR="00DB1635" w:rsidRPr="00B004EE">
        <w:rPr>
          <w:rFonts w:ascii="Tahoma" w:hAnsi="Tahoma" w:cs="Tahoma"/>
          <w:spacing w:val="18"/>
          <w:sz w:val="20"/>
          <w:szCs w:val="20"/>
        </w:rPr>
        <w:t xml:space="preserve"> </w:t>
      </w:r>
      <w:r w:rsidRPr="00B004EE">
        <w:rPr>
          <w:rFonts w:ascii="Tahoma" w:hAnsi="Tahoma" w:cs="Tahoma"/>
          <w:sz w:val="20"/>
          <w:szCs w:val="20"/>
        </w:rPr>
        <w:t>de</w:t>
      </w:r>
      <w:r w:rsidR="00DB1635" w:rsidRPr="00B004EE">
        <w:rPr>
          <w:rFonts w:ascii="Tahoma" w:hAnsi="Tahoma" w:cs="Tahoma"/>
          <w:spacing w:val="18"/>
          <w:sz w:val="20"/>
          <w:szCs w:val="20"/>
        </w:rPr>
        <w:t xml:space="preserve"> </w:t>
      </w:r>
      <w:r w:rsidRPr="00B004EE">
        <w:rPr>
          <w:rFonts w:ascii="Tahoma" w:hAnsi="Tahoma" w:cs="Tahoma"/>
          <w:sz w:val="20"/>
          <w:szCs w:val="20"/>
        </w:rPr>
        <w:t>même</w:t>
      </w:r>
      <w:r w:rsidR="00DB1635" w:rsidRPr="00B004EE">
        <w:rPr>
          <w:rFonts w:ascii="Tahoma" w:hAnsi="Tahoma" w:cs="Tahoma"/>
          <w:spacing w:val="-1"/>
          <w:w w:val="95"/>
          <w:sz w:val="20"/>
          <w:szCs w:val="20"/>
        </w:rPr>
        <w:t xml:space="preserve"> </w:t>
      </w:r>
      <w:r w:rsidRPr="00B004EE">
        <w:rPr>
          <w:rFonts w:ascii="Tahoma" w:hAnsi="Tahoma" w:cs="Tahoma"/>
          <w:sz w:val="20"/>
          <w:szCs w:val="20"/>
        </w:rPr>
        <w:t>nature,</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infractions</w:t>
      </w:r>
      <w:r w:rsidR="00DB1635" w:rsidRPr="00B004EE">
        <w:rPr>
          <w:rFonts w:ascii="Tahoma" w:hAnsi="Tahoma" w:cs="Tahoma"/>
          <w:sz w:val="20"/>
          <w:szCs w:val="20"/>
        </w:rPr>
        <w:t xml:space="preserve"> </w:t>
      </w:r>
      <w:r w:rsidRPr="00B004EE">
        <w:rPr>
          <w:rFonts w:ascii="Tahoma" w:hAnsi="Tahoma" w:cs="Tahoma"/>
          <w:sz w:val="20"/>
          <w:szCs w:val="20"/>
        </w:rPr>
        <w:t>prévues</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dispositions</w:t>
      </w:r>
      <w:r w:rsidR="00DB1635" w:rsidRPr="00B004EE">
        <w:rPr>
          <w:rFonts w:ascii="Tahoma" w:hAnsi="Tahoma" w:cs="Tahoma"/>
          <w:sz w:val="20"/>
          <w:szCs w:val="20"/>
        </w:rPr>
        <w:t xml:space="preserve"> </w:t>
      </w:r>
      <w:r w:rsidRPr="00B004EE">
        <w:rPr>
          <w:rFonts w:ascii="Tahoma" w:hAnsi="Tahoma" w:cs="Tahoma"/>
          <w:sz w:val="20"/>
          <w:szCs w:val="20"/>
        </w:rPr>
        <w:t>d'un</w:t>
      </w:r>
      <w:r w:rsidR="00DB1635" w:rsidRPr="00B004EE">
        <w:rPr>
          <w:rFonts w:ascii="Tahoma" w:hAnsi="Tahoma" w:cs="Tahoma"/>
          <w:sz w:val="20"/>
          <w:szCs w:val="20"/>
        </w:rPr>
        <w:t xml:space="preserve"> </w:t>
      </w:r>
      <w:r w:rsidRPr="00B004EE">
        <w:rPr>
          <w:rFonts w:ascii="Tahoma" w:hAnsi="Tahoma" w:cs="Tahoma"/>
          <w:sz w:val="20"/>
          <w:szCs w:val="20"/>
        </w:rPr>
        <w:t>même</w:t>
      </w:r>
      <w:r w:rsidR="00DB1635" w:rsidRPr="00B004EE">
        <w:rPr>
          <w:rFonts w:ascii="Tahoma" w:hAnsi="Tahoma" w:cs="Tahoma"/>
          <w:sz w:val="20"/>
          <w:szCs w:val="20"/>
        </w:rPr>
        <w:t xml:space="preserve"> </w:t>
      </w:r>
      <w:r w:rsidRPr="00B004EE">
        <w:rPr>
          <w:rFonts w:ascii="Tahoma" w:hAnsi="Tahoma" w:cs="Tahoma"/>
          <w:sz w:val="20"/>
          <w:szCs w:val="20"/>
        </w:rPr>
        <w:t>article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pacing w:val="48"/>
          <w:sz w:val="20"/>
          <w:szCs w:val="20"/>
        </w:rPr>
        <w:t xml:space="preserve"> </w:t>
      </w:r>
      <w:r w:rsidRPr="00B004EE">
        <w:rPr>
          <w:rFonts w:ascii="Tahoma" w:hAnsi="Tahoma" w:cs="Tahoma"/>
          <w:sz w:val="20"/>
          <w:szCs w:val="20"/>
        </w:rPr>
        <w:t>la</w:t>
      </w:r>
      <w:r w:rsidR="00DB1635" w:rsidRPr="00B004EE">
        <w:rPr>
          <w:rFonts w:ascii="Tahoma" w:hAnsi="Tahoma" w:cs="Tahoma"/>
          <w:w w:val="98"/>
          <w:sz w:val="20"/>
          <w:szCs w:val="20"/>
        </w:rPr>
        <w:t xml:space="preserve"> </w:t>
      </w:r>
      <w:r w:rsidRPr="00B004EE">
        <w:rPr>
          <w:rFonts w:ascii="Tahoma" w:eastAsia="American Typewriter" w:hAnsi="Tahoma" w:cs="Tahoma"/>
          <w:sz w:val="20"/>
          <w:szCs w:val="20"/>
        </w:rPr>
        <w:t>législation</w:t>
      </w:r>
      <w:r w:rsidR="00DB1635" w:rsidRPr="00B004EE">
        <w:rPr>
          <w:rFonts w:ascii="Tahoma" w:eastAsia="American Typewriter" w:hAnsi="Tahoma" w:cs="Tahoma"/>
          <w:spacing w:val="-33"/>
          <w:sz w:val="20"/>
          <w:szCs w:val="20"/>
        </w:rPr>
        <w:t xml:space="preserve"> </w:t>
      </w:r>
      <w:r w:rsidRPr="00B004EE">
        <w:rPr>
          <w:rFonts w:ascii="Tahoma" w:eastAsia="American Typewriter" w:hAnsi="Tahoma" w:cs="Tahoma"/>
          <w:sz w:val="20"/>
          <w:szCs w:val="20"/>
        </w:rPr>
        <w:t>sur</w:t>
      </w:r>
      <w:r w:rsidR="00DB1635" w:rsidRPr="00B004EE">
        <w:rPr>
          <w:rFonts w:ascii="Tahoma" w:eastAsia="American Typewriter" w:hAnsi="Tahoma" w:cs="Tahoma"/>
          <w:spacing w:val="-34"/>
          <w:sz w:val="20"/>
          <w:szCs w:val="20"/>
        </w:rPr>
        <w:t xml:space="preserve"> </w:t>
      </w:r>
      <w:r w:rsidRPr="00B004EE">
        <w:rPr>
          <w:rFonts w:ascii="Tahoma" w:eastAsia="American Typewriter" w:hAnsi="Tahoma" w:cs="Tahoma"/>
          <w:sz w:val="20"/>
          <w:szCs w:val="20"/>
        </w:rPr>
        <w:t>les</w:t>
      </w:r>
      <w:r w:rsidR="00DB1635" w:rsidRPr="00B004EE">
        <w:rPr>
          <w:rFonts w:ascii="Tahoma" w:eastAsia="American Typewriter" w:hAnsi="Tahoma" w:cs="Tahoma"/>
          <w:spacing w:val="-33"/>
          <w:sz w:val="20"/>
          <w:szCs w:val="20"/>
        </w:rPr>
        <w:t xml:space="preserve"> </w:t>
      </w:r>
      <w:r w:rsidRPr="00B004EE">
        <w:rPr>
          <w:rFonts w:ascii="Tahoma" w:eastAsia="American Typewriter" w:hAnsi="Tahoma" w:cs="Tahoma"/>
          <w:sz w:val="20"/>
          <w:szCs w:val="20"/>
        </w:rPr>
        <w:t>pêches</w:t>
      </w:r>
      <w:r w:rsidR="00DB1635" w:rsidRPr="00B004EE">
        <w:rPr>
          <w:rFonts w:ascii="Tahoma" w:eastAsia="American Typewriter" w:hAnsi="Tahoma" w:cs="Tahoma"/>
          <w:spacing w:val="-34"/>
          <w:sz w:val="20"/>
          <w:szCs w:val="20"/>
        </w:rPr>
        <w:t xml:space="preserve"> </w:t>
      </w:r>
      <w:r w:rsidRPr="00B004EE">
        <w:rPr>
          <w:rFonts w:ascii="Tahoma" w:eastAsia="American Typewriter" w:hAnsi="Tahoma" w:cs="Tahoma"/>
          <w:sz w:val="20"/>
          <w:szCs w:val="20"/>
        </w:rPr>
        <w:t>et</w:t>
      </w:r>
      <w:r w:rsidR="00DB1635" w:rsidRPr="00B004EE">
        <w:rPr>
          <w:rFonts w:ascii="Tahoma" w:eastAsia="American Typewriter" w:hAnsi="Tahoma" w:cs="Tahoma"/>
          <w:spacing w:val="-33"/>
          <w:sz w:val="20"/>
          <w:szCs w:val="20"/>
        </w:rPr>
        <w:t xml:space="preserve"> </w:t>
      </w:r>
      <w:r w:rsidRPr="00B004EE">
        <w:rPr>
          <w:rFonts w:ascii="Tahoma" w:eastAsia="American Typewriter" w:hAnsi="Tahoma" w:cs="Tahoma"/>
          <w:sz w:val="20"/>
          <w:szCs w:val="20"/>
        </w:rPr>
        <w:t>ses</w:t>
      </w:r>
      <w:r w:rsidR="00DB1635" w:rsidRPr="00B004EE">
        <w:rPr>
          <w:rFonts w:ascii="Tahoma" w:eastAsia="American Typewriter" w:hAnsi="Tahoma" w:cs="Tahoma"/>
          <w:spacing w:val="-34"/>
          <w:sz w:val="20"/>
          <w:szCs w:val="20"/>
        </w:rPr>
        <w:t xml:space="preserve"> </w:t>
      </w:r>
      <w:r w:rsidRPr="00B004EE">
        <w:rPr>
          <w:rFonts w:ascii="Tahoma" w:eastAsia="American Typewriter" w:hAnsi="Tahoma" w:cs="Tahoma"/>
          <w:sz w:val="20"/>
          <w:szCs w:val="20"/>
        </w:rPr>
        <w:t>règlements</w:t>
      </w:r>
      <w:r w:rsidR="00DB1635" w:rsidRPr="00B004EE">
        <w:rPr>
          <w:rFonts w:ascii="Tahoma" w:eastAsia="American Typewriter" w:hAnsi="Tahoma" w:cs="Tahoma"/>
          <w:spacing w:val="-33"/>
          <w:sz w:val="20"/>
          <w:szCs w:val="20"/>
        </w:rPr>
        <w:t xml:space="preserve"> </w:t>
      </w:r>
      <w:r w:rsidRPr="00B004EE">
        <w:rPr>
          <w:rFonts w:ascii="Tahoma" w:eastAsia="American Typewriter" w:hAnsi="Tahoma" w:cs="Tahoma"/>
          <w:sz w:val="20"/>
          <w:szCs w:val="20"/>
        </w:rPr>
        <w:t>d’application.</w:t>
      </w:r>
    </w:p>
    <w:p w14:paraId="5982083E" w14:textId="30D13853" w:rsidR="001E7C3C" w:rsidRPr="00B004EE" w:rsidRDefault="001E7C3C" w:rsidP="00B004EE">
      <w:pPr>
        <w:pStyle w:val="Corpsdetexte"/>
        <w:ind w:right="159"/>
        <w:rPr>
          <w:rFonts w:ascii="Tahoma" w:hAnsi="Tahoma" w:cs="Tahoma"/>
          <w:sz w:val="20"/>
          <w:szCs w:val="20"/>
        </w:rPr>
      </w:pP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deux</w:t>
      </w:r>
      <w:r w:rsidR="00DB1635" w:rsidRPr="00B004EE">
        <w:rPr>
          <w:rFonts w:ascii="Tahoma" w:hAnsi="Tahoma" w:cs="Tahoma"/>
          <w:sz w:val="20"/>
          <w:szCs w:val="20"/>
        </w:rPr>
        <w:t xml:space="preserve"> </w:t>
      </w:r>
      <w:r w:rsidRPr="00B004EE">
        <w:rPr>
          <w:rFonts w:ascii="Tahoma" w:hAnsi="Tahoma" w:cs="Tahoma"/>
          <w:sz w:val="20"/>
          <w:szCs w:val="20"/>
        </w:rPr>
        <w:t>cas</w:t>
      </w:r>
      <w:r w:rsidR="00DB1635" w:rsidRPr="00B004EE">
        <w:rPr>
          <w:rFonts w:ascii="Tahoma" w:hAnsi="Tahoma" w:cs="Tahoma"/>
          <w:sz w:val="20"/>
          <w:szCs w:val="20"/>
        </w:rPr>
        <w:t xml:space="preserve"> </w:t>
      </w:r>
      <w:r w:rsidRPr="00B004EE">
        <w:rPr>
          <w:rFonts w:ascii="Tahoma" w:hAnsi="Tahoma" w:cs="Tahoma"/>
          <w:sz w:val="20"/>
          <w:szCs w:val="20"/>
        </w:rPr>
        <w:t>visés</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alinéas</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1</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2</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présent</w:t>
      </w:r>
      <w:r w:rsidR="00DB1635" w:rsidRPr="00B004EE">
        <w:rPr>
          <w:rFonts w:ascii="Tahoma" w:hAnsi="Tahoma" w:cs="Tahoma"/>
          <w:sz w:val="20"/>
          <w:szCs w:val="20"/>
        </w:rPr>
        <w:t xml:space="preserve"> </w:t>
      </w:r>
      <w:r w:rsidRPr="00B004EE">
        <w:rPr>
          <w:rFonts w:ascii="Tahoma" w:hAnsi="Tahoma" w:cs="Tahoma"/>
          <w:sz w:val="20"/>
          <w:szCs w:val="20"/>
        </w:rPr>
        <w:t>article,</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dispositions</w:t>
      </w:r>
      <w:r w:rsidR="00DB1635" w:rsidRPr="00B004EE">
        <w:rPr>
          <w:rFonts w:ascii="Tahoma" w:hAnsi="Tahoma" w:cs="Tahoma"/>
          <w:spacing w:val="36"/>
          <w:sz w:val="20"/>
          <w:szCs w:val="20"/>
        </w:rPr>
        <w:t xml:space="preserve"> </w:t>
      </w:r>
      <w:r w:rsidRPr="00B004EE">
        <w:rPr>
          <w:rFonts w:ascii="Tahoma" w:hAnsi="Tahoma" w:cs="Tahoma"/>
          <w:sz w:val="20"/>
          <w:szCs w:val="20"/>
        </w:rPr>
        <w:t>de</w:t>
      </w:r>
      <w:r w:rsidR="00DB1635" w:rsidRPr="00B004EE">
        <w:rPr>
          <w:rFonts w:ascii="Tahoma" w:hAnsi="Tahoma" w:cs="Tahoma"/>
          <w:w w:val="94"/>
          <w:sz w:val="20"/>
          <w:szCs w:val="20"/>
        </w:rPr>
        <w:t xml:space="preserve"> </w:t>
      </w:r>
      <w:r w:rsidRPr="00B004EE">
        <w:rPr>
          <w:rFonts w:ascii="Tahoma" w:hAnsi="Tahoma" w:cs="Tahoma"/>
          <w:sz w:val="20"/>
          <w:szCs w:val="20"/>
        </w:rPr>
        <w:t>l'article</w:t>
      </w:r>
      <w:r w:rsidR="00DB1635" w:rsidRPr="00B004EE">
        <w:rPr>
          <w:rFonts w:ascii="Tahoma" w:hAnsi="Tahoma" w:cs="Tahoma"/>
          <w:spacing w:val="-26"/>
          <w:sz w:val="20"/>
          <w:szCs w:val="20"/>
        </w:rPr>
        <w:t xml:space="preserve"> </w:t>
      </w:r>
      <w:r w:rsidRPr="00B004EE">
        <w:rPr>
          <w:rFonts w:ascii="Tahoma" w:hAnsi="Tahoma" w:cs="Tahoma"/>
          <w:sz w:val="20"/>
          <w:szCs w:val="20"/>
        </w:rPr>
        <w:t>82</w:t>
      </w:r>
      <w:r w:rsidR="00DB1635" w:rsidRPr="00B004EE">
        <w:rPr>
          <w:rFonts w:ascii="Tahoma" w:hAnsi="Tahoma" w:cs="Tahoma"/>
          <w:spacing w:val="-26"/>
          <w:sz w:val="20"/>
          <w:szCs w:val="20"/>
        </w:rPr>
        <w:t xml:space="preserve"> </w:t>
      </w:r>
      <w:r w:rsidRPr="00B004EE">
        <w:rPr>
          <w:rFonts w:ascii="Tahoma" w:eastAsia="American Typewriter" w:hAnsi="Tahoma" w:cs="Tahoma"/>
          <w:sz w:val="20"/>
          <w:szCs w:val="20"/>
        </w:rPr>
        <w:t>s’appliquent</w:t>
      </w:r>
      <w:r w:rsidR="00DB1635" w:rsidRPr="00B004EE">
        <w:rPr>
          <w:rFonts w:ascii="Tahoma" w:eastAsia="American Typewriter" w:hAnsi="Tahoma" w:cs="Tahoma"/>
          <w:spacing w:val="-27"/>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pacing w:val="-27"/>
          <w:sz w:val="20"/>
          <w:szCs w:val="20"/>
        </w:rPr>
        <w:t xml:space="preserve"> </w:t>
      </w:r>
      <w:r w:rsidRPr="00B004EE">
        <w:rPr>
          <w:rFonts w:ascii="Tahoma" w:eastAsia="American Typewriter" w:hAnsi="Tahoma" w:cs="Tahoma"/>
          <w:sz w:val="20"/>
          <w:szCs w:val="20"/>
        </w:rPr>
        <w:t>plein</w:t>
      </w:r>
      <w:r w:rsidR="00DB1635" w:rsidRPr="00B004EE">
        <w:rPr>
          <w:rFonts w:ascii="Tahoma" w:eastAsia="American Typewriter" w:hAnsi="Tahoma" w:cs="Tahoma"/>
          <w:spacing w:val="-27"/>
          <w:sz w:val="20"/>
          <w:szCs w:val="20"/>
        </w:rPr>
        <w:t xml:space="preserve"> </w:t>
      </w:r>
      <w:r w:rsidRPr="00B004EE">
        <w:rPr>
          <w:rFonts w:ascii="Tahoma" w:eastAsia="American Typewriter" w:hAnsi="Tahoma" w:cs="Tahoma"/>
          <w:sz w:val="20"/>
          <w:szCs w:val="20"/>
        </w:rPr>
        <w:t>droit</w:t>
      </w:r>
      <w:r w:rsidRPr="00B004EE">
        <w:rPr>
          <w:rFonts w:ascii="Tahoma" w:hAnsi="Tahoma" w:cs="Tahoma"/>
          <w:sz w:val="20"/>
          <w:szCs w:val="20"/>
        </w:rPr>
        <w:t>,</w:t>
      </w:r>
      <w:r w:rsidR="00DB1635" w:rsidRPr="00B004EE">
        <w:rPr>
          <w:rFonts w:ascii="Tahoma" w:hAnsi="Tahoma" w:cs="Tahoma"/>
          <w:spacing w:val="-27"/>
          <w:sz w:val="20"/>
          <w:szCs w:val="20"/>
        </w:rPr>
        <w:t xml:space="preserve"> </w:t>
      </w:r>
      <w:r w:rsidRPr="00B004EE">
        <w:rPr>
          <w:rFonts w:ascii="Tahoma" w:hAnsi="Tahoma" w:cs="Tahoma"/>
          <w:sz w:val="20"/>
          <w:szCs w:val="20"/>
        </w:rPr>
        <w:t>en</w:t>
      </w:r>
      <w:r w:rsidR="00DB1635" w:rsidRPr="00B004EE">
        <w:rPr>
          <w:rFonts w:ascii="Tahoma" w:hAnsi="Tahoma" w:cs="Tahoma"/>
          <w:spacing w:val="-27"/>
          <w:sz w:val="20"/>
          <w:szCs w:val="20"/>
        </w:rPr>
        <w:t xml:space="preserve"> </w:t>
      </w:r>
      <w:r w:rsidRPr="00B004EE">
        <w:rPr>
          <w:rFonts w:ascii="Tahoma" w:hAnsi="Tahoma" w:cs="Tahoma"/>
          <w:sz w:val="20"/>
          <w:szCs w:val="20"/>
        </w:rPr>
        <w:t>ce</w:t>
      </w:r>
      <w:r w:rsidR="00DB1635" w:rsidRPr="00B004EE">
        <w:rPr>
          <w:rFonts w:ascii="Tahoma" w:hAnsi="Tahoma" w:cs="Tahoma"/>
          <w:spacing w:val="-27"/>
          <w:sz w:val="20"/>
          <w:szCs w:val="20"/>
        </w:rPr>
        <w:t xml:space="preserve"> </w:t>
      </w:r>
      <w:r w:rsidRPr="00B004EE">
        <w:rPr>
          <w:rFonts w:ascii="Tahoma" w:hAnsi="Tahoma" w:cs="Tahoma"/>
          <w:sz w:val="20"/>
          <w:szCs w:val="20"/>
        </w:rPr>
        <w:t>qui</w:t>
      </w:r>
      <w:r w:rsidR="00DB1635" w:rsidRPr="00B004EE">
        <w:rPr>
          <w:rFonts w:ascii="Tahoma" w:hAnsi="Tahoma" w:cs="Tahoma"/>
          <w:spacing w:val="-27"/>
          <w:sz w:val="20"/>
          <w:szCs w:val="20"/>
        </w:rPr>
        <w:t xml:space="preserve"> </w:t>
      </w:r>
      <w:r w:rsidRPr="00B004EE">
        <w:rPr>
          <w:rFonts w:ascii="Tahoma" w:hAnsi="Tahoma" w:cs="Tahoma"/>
          <w:sz w:val="20"/>
          <w:szCs w:val="20"/>
        </w:rPr>
        <w:t>concerne</w:t>
      </w:r>
      <w:r w:rsidR="00DB1635" w:rsidRPr="00B004EE">
        <w:rPr>
          <w:rFonts w:ascii="Tahoma" w:hAnsi="Tahoma" w:cs="Tahoma"/>
          <w:spacing w:val="-27"/>
          <w:sz w:val="20"/>
          <w:szCs w:val="20"/>
        </w:rPr>
        <w:t xml:space="preserve"> </w:t>
      </w:r>
      <w:r w:rsidRPr="00B004EE">
        <w:rPr>
          <w:rFonts w:ascii="Tahoma" w:hAnsi="Tahoma" w:cs="Tahoma"/>
          <w:sz w:val="20"/>
          <w:szCs w:val="20"/>
        </w:rPr>
        <w:t>les</w:t>
      </w:r>
      <w:r w:rsidR="00DB1635" w:rsidRPr="00B004EE">
        <w:rPr>
          <w:rFonts w:ascii="Tahoma" w:hAnsi="Tahoma" w:cs="Tahoma"/>
          <w:spacing w:val="-27"/>
          <w:sz w:val="20"/>
          <w:szCs w:val="20"/>
        </w:rPr>
        <w:t xml:space="preserve"> </w:t>
      </w:r>
      <w:r w:rsidRPr="00B004EE">
        <w:rPr>
          <w:rFonts w:ascii="Tahoma" w:hAnsi="Tahoma" w:cs="Tahoma"/>
          <w:sz w:val="20"/>
          <w:szCs w:val="20"/>
        </w:rPr>
        <w:t>capitaines</w:t>
      </w:r>
      <w:r w:rsidR="00DB1635" w:rsidRPr="00B004EE">
        <w:rPr>
          <w:rFonts w:ascii="Tahoma" w:hAnsi="Tahoma" w:cs="Tahoma"/>
          <w:spacing w:val="-28"/>
          <w:sz w:val="20"/>
          <w:szCs w:val="20"/>
        </w:rPr>
        <w:t xml:space="preserve"> </w:t>
      </w:r>
      <w:r w:rsidRPr="00B004EE">
        <w:rPr>
          <w:rFonts w:ascii="Tahoma" w:hAnsi="Tahoma" w:cs="Tahoma"/>
          <w:sz w:val="20"/>
          <w:szCs w:val="20"/>
        </w:rPr>
        <w:t>de</w:t>
      </w:r>
      <w:r w:rsidR="00DB1635" w:rsidRPr="00B004EE">
        <w:rPr>
          <w:rFonts w:ascii="Tahoma" w:hAnsi="Tahoma" w:cs="Tahoma"/>
          <w:spacing w:val="-27"/>
          <w:sz w:val="20"/>
          <w:szCs w:val="20"/>
        </w:rPr>
        <w:t xml:space="preserve"> </w:t>
      </w:r>
      <w:r w:rsidRPr="00B004EE">
        <w:rPr>
          <w:rFonts w:ascii="Tahoma" w:hAnsi="Tahoma" w:cs="Tahoma"/>
          <w:sz w:val="20"/>
          <w:szCs w:val="20"/>
        </w:rPr>
        <w:t>navires.</w:t>
      </w:r>
    </w:p>
    <w:p w14:paraId="6C8305B1" w14:textId="77777777" w:rsidR="001E7C3C" w:rsidRPr="00B004EE" w:rsidRDefault="001E7C3C" w:rsidP="00B004EE">
      <w:pPr>
        <w:rPr>
          <w:rFonts w:ascii="Tahoma" w:eastAsia="American Typewriter" w:hAnsi="Tahoma" w:cs="Tahoma"/>
          <w:sz w:val="20"/>
          <w:szCs w:val="20"/>
        </w:rPr>
      </w:pPr>
    </w:p>
    <w:p w14:paraId="797E48F7" w14:textId="40D0086B" w:rsidR="001E7C3C" w:rsidRPr="00B004EE" w:rsidRDefault="001E7C3C" w:rsidP="00B004EE">
      <w:pPr>
        <w:pStyle w:val="Corpsdetexte"/>
        <w:ind w:right="164"/>
        <w:rPr>
          <w:rFonts w:ascii="Tahoma" w:hAnsi="Tahoma" w:cs="Tahoma"/>
          <w:sz w:val="20"/>
          <w:szCs w:val="20"/>
        </w:rPr>
      </w:pPr>
      <w:r w:rsidRPr="00B004EE">
        <w:rPr>
          <w:rFonts w:ascii="Tahoma" w:hAnsi="Tahoma" w:cs="Tahoma"/>
          <w:sz w:val="20"/>
          <w:szCs w:val="20"/>
        </w:rPr>
        <w:t>Les</w:t>
      </w:r>
      <w:r w:rsidR="00DB1635" w:rsidRPr="00B004EE">
        <w:rPr>
          <w:rFonts w:ascii="Tahoma" w:hAnsi="Tahoma" w:cs="Tahoma"/>
          <w:spacing w:val="-10"/>
          <w:sz w:val="20"/>
          <w:szCs w:val="20"/>
        </w:rPr>
        <w:t xml:space="preserve"> </w:t>
      </w:r>
      <w:r w:rsidRPr="00B004EE">
        <w:rPr>
          <w:rFonts w:ascii="Tahoma" w:hAnsi="Tahoma" w:cs="Tahoma"/>
          <w:sz w:val="20"/>
          <w:szCs w:val="20"/>
        </w:rPr>
        <w:t>captures</w:t>
      </w:r>
      <w:r w:rsidR="00DB1635" w:rsidRPr="00B004EE">
        <w:rPr>
          <w:rFonts w:ascii="Tahoma" w:hAnsi="Tahoma" w:cs="Tahoma"/>
          <w:spacing w:val="-12"/>
          <w:sz w:val="20"/>
          <w:szCs w:val="20"/>
        </w:rPr>
        <w:t xml:space="preserve"> </w:t>
      </w:r>
      <w:r w:rsidRPr="00B004EE">
        <w:rPr>
          <w:rFonts w:ascii="Tahoma" w:hAnsi="Tahoma" w:cs="Tahoma"/>
          <w:sz w:val="20"/>
          <w:szCs w:val="20"/>
        </w:rPr>
        <w:t>et</w:t>
      </w:r>
      <w:r w:rsidR="00DB1635" w:rsidRPr="00B004EE">
        <w:rPr>
          <w:rFonts w:ascii="Tahoma" w:hAnsi="Tahoma" w:cs="Tahoma"/>
          <w:spacing w:val="-11"/>
          <w:sz w:val="20"/>
          <w:szCs w:val="20"/>
        </w:rPr>
        <w:t xml:space="preserve"> </w:t>
      </w:r>
      <w:r w:rsidRPr="00B004EE">
        <w:rPr>
          <w:rFonts w:ascii="Tahoma" w:hAnsi="Tahoma" w:cs="Tahoma"/>
          <w:sz w:val="20"/>
          <w:szCs w:val="20"/>
        </w:rPr>
        <w:t>produits</w:t>
      </w:r>
      <w:r w:rsidR="00DB1635" w:rsidRPr="00B004EE">
        <w:rPr>
          <w:rFonts w:ascii="Tahoma" w:hAnsi="Tahoma" w:cs="Tahoma"/>
          <w:spacing w:val="-12"/>
          <w:sz w:val="20"/>
          <w:szCs w:val="20"/>
        </w:rPr>
        <w:t xml:space="preserve"> </w:t>
      </w:r>
      <w:r w:rsidRPr="00B004EE">
        <w:rPr>
          <w:rFonts w:ascii="Tahoma" w:hAnsi="Tahoma" w:cs="Tahoma"/>
          <w:sz w:val="20"/>
          <w:szCs w:val="20"/>
        </w:rPr>
        <w:t>de</w:t>
      </w:r>
      <w:r w:rsidR="00DB1635" w:rsidRPr="00B004EE">
        <w:rPr>
          <w:rFonts w:ascii="Tahoma" w:hAnsi="Tahoma" w:cs="Tahoma"/>
          <w:spacing w:val="-12"/>
          <w:sz w:val="20"/>
          <w:szCs w:val="20"/>
        </w:rPr>
        <w:t xml:space="preserve"> </w:t>
      </w:r>
      <w:r w:rsidRPr="00B004EE">
        <w:rPr>
          <w:rFonts w:ascii="Tahoma" w:hAnsi="Tahoma" w:cs="Tahoma"/>
          <w:sz w:val="20"/>
          <w:szCs w:val="20"/>
        </w:rPr>
        <w:t>pêche</w:t>
      </w:r>
      <w:r w:rsidR="00DB1635" w:rsidRPr="00B004EE">
        <w:rPr>
          <w:rFonts w:ascii="Tahoma" w:hAnsi="Tahoma" w:cs="Tahoma"/>
          <w:spacing w:val="-12"/>
          <w:sz w:val="20"/>
          <w:szCs w:val="20"/>
        </w:rPr>
        <w:t xml:space="preserve"> </w:t>
      </w:r>
      <w:r w:rsidRPr="00B004EE">
        <w:rPr>
          <w:rFonts w:ascii="Tahoma" w:hAnsi="Tahoma" w:cs="Tahoma"/>
          <w:sz w:val="20"/>
          <w:szCs w:val="20"/>
        </w:rPr>
        <w:t>trouvés</w:t>
      </w:r>
      <w:r w:rsidR="00DB1635" w:rsidRPr="00B004EE">
        <w:rPr>
          <w:rFonts w:ascii="Tahoma" w:hAnsi="Tahoma" w:cs="Tahoma"/>
          <w:spacing w:val="-12"/>
          <w:sz w:val="20"/>
          <w:szCs w:val="20"/>
        </w:rPr>
        <w:t xml:space="preserve"> </w:t>
      </w:r>
      <w:r w:rsidRPr="00B004EE">
        <w:rPr>
          <w:rFonts w:ascii="Tahoma" w:hAnsi="Tahoma" w:cs="Tahoma"/>
          <w:sz w:val="20"/>
          <w:szCs w:val="20"/>
        </w:rPr>
        <w:t>à</w:t>
      </w:r>
      <w:r w:rsidR="00DB1635" w:rsidRPr="00B004EE">
        <w:rPr>
          <w:rFonts w:ascii="Tahoma" w:hAnsi="Tahoma" w:cs="Tahoma"/>
          <w:spacing w:val="-11"/>
          <w:sz w:val="20"/>
          <w:szCs w:val="20"/>
        </w:rPr>
        <w:t xml:space="preserve"> </w:t>
      </w:r>
      <w:r w:rsidRPr="00B004EE">
        <w:rPr>
          <w:rFonts w:ascii="Tahoma" w:hAnsi="Tahoma" w:cs="Tahoma"/>
          <w:sz w:val="20"/>
          <w:szCs w:val="20"/>
        </w:rPr>
        <w:t>bord</w:t>
      </w:r>
      <w:r w:rsidR="00DB1635" w:rsidRPr="00B004EE">
        <w:rPr>
          <w:rFonts w:ascii="Tahoma" w:hAnsi="Tahoma" w:cs="Tahoma"/>
          <w:spacing w:val="-12"/>
          <w:sz w:val="20"/>
          <w:szCs w:val="20"/>
        </w:rPr>
        <w:t xml:space="preserve"> </w:t>
      </w:r>
      <w:r w:rsidRPr="00B004EE">
        <w:rPr>
          <w:rFonts w:ascii="Tahoma" w:hAnsi="Tahoma" w:cs="Tahoma"/>
          <w:sz w:val="20"/>
          <w:szCs w:val="20"/>
        </w:rPr>
        <w:t>d'un</w:t>
      </w:r>
      <w:r w:rsidR="00DB1635" w:rsidRPr="00B004EE">
        <w:rPr>
          <w:rFonts w:ascii="Tahoma" w:hAnsi="Tahoma" w:cs="Tahoma"/>
          <w:spacing w:val="-12"/>
          <w:sz w:val="20"/>
          <w:szCs w:val="20"/>
        </w:rPr>
        <w:t xml:space="preserve"> </w:t>
      </w:r>
      <w:r w:rsidRPr="00B004EE">
        <w:rPr>
          <w:rFonts w:ascii="Tahoma" w:hAnsi="Tahoma" w:cs="Tahoma"/>
          <w:sz w:val="20"/>
          <w:szCs w:val="20"/>
        </w:rPr>
        <w:t>navire</w:t>
      </w:r>
      <w:r w:rsidR="00DB1635" w:rsidRPr="00B004EE">
        <w:rPr>
          <w:rFonts w:ascii="Tahoma" w:hAnsi="Tahoma" w:cs="Tahoma"/>
          <w:spacing w:val="-12"/>
          <w:sz w:val="20"/>
          <w:szCs w:val="20"/>
        </w:rPr>
        <w:t xml:space="preserve"> </w:t>
      </w:r>
      <w:r w:rsidRPr="00B004EE">
        <w:rPr>
          <w:rFonts w:ascii="Tahoma" w:hAnsi="Tahoma" w:cs="Tahoma"/>
          <w:sz w:val="20"/>
          <w:szCs w:val="20"/>
        </w:rPr>
        <w:t>de</w:t>
      </w:r>
      <w:r w:rsidR="00DB1635" w:rsidRPr="00B004EE">
        <w:rPr>
          <w:rFonts w:ascii="Tahoma" w:hAnsi="Tahoma" w:cs="Tahoma"/>
          <w:spacing w:val="-12"/>
          <w:sz w:val="20"/>
          <w:szCs w:val="20"/>
        </w:rPr>
        <w:t xml:space="preserve"> </w:t>
      </w:r>
      <w:r w:rsidRPr="00B004EE">
        <w:rPr>
          <w:rFonts w:ascii="Tahoma" w:hAnsi="Tahoma" w:cs="Tahoma"/>
          <w:sz w:val="20"/>
          <w:szCs w:val="20"/>
        </w:rPr>
        <w:t>pêche</w:t>
      </w:r>
      <w:r w:rsidR="00DB1635" w:rsidRPr="00B004EE">
        <w:rPr>
          <w:rFonts w:ascii="Tahoma" w:hAnsi="Tahoma" w:cs="Tahoma"/>
          <w:spacing w:val="-12"/>
          <w:sz w:val="20"/>
          <w:szCs w:val="20"/>
        </w:rPr>
        <w:t xml:space="preserve"> </w:t>
      </w:r>
      <w:r w:rsidRPr="00B004EE">
        <w:rPr>
          <w:rFonts w:ascii="Tahoma" w:hAnsi="Tahoma" w:cs="Tahoma"/>
          <w:sz w:val="20"/>
          <w:szCs w:val="20"/>
        </w:rPr>
        <w:t>utilisé</w:t>
      </w:r>
      <w:r w:rsidR="00DB1635" w:rsidRPr="00B004EE">
        <w:rPr>
          <w:rFonts w:ascii="Tahoma" w:hAnsi="Tahoma" w:cs="Tahoma"/>
          <w:spacing w:val="-12"/>
          <w:sz w:val="20"/>
          <w:szCs w:val="20"/>
        </w:rPr>
        <w:t xml:space="preserve"> </w:t>
      </w:r>
      <w:r w:rsidRPr="00B004EE">
        <w:rPr>
          <w:rFonts w:ascii="Tahoma" w:hAnsi="Tahoma" w:cs="Tahoma"/>
          <w:sz w:val="20"/>
          <w:szCs w:val="20"/>
        </w:rPr>
        <w:t>dans</w:t>
      </w:r>
      <w:r w:rsidR="00DB1635" w:rsidRPr="00B004EE">
        <w:rPr>
          <w:rFonts w:ascii="Tahoma" w:hAnsi="Tahoma" w:cs="Tahoma"/>
          <w:w w:val="95"/>
          <w:sz w:val="20"/>
          <w:szCs w:val="20"/>
        </w:rPr>
        <w:t xml:space="preserve"> </w:t>
      </w:r>
      <w:r w:rsidRPr="00B004EE">
        <w:rPr>
          <w:rFonts w:ascii="Tahoma" w:hAnsi="Tahoma" w:cs="Tahoma"/>
          <w:sz w:val="20"/>
          <w:szCs w:val="20"/>
        </w:rPr>
        <w:t>la</w:t>
      </w:r>
      <w:r w:rsidR="00DB1635" w:rsidRPr="00B004EE">
        <w:rPr>
          <w:rFonts w:ascii="Tahoma" w:hAnsi="Tahoma" w:cs="Tahoma"/>
          <w:spacing w:val="-7"/>
          <w:sz w:val="20"/>
          <w:szCs w:val="20"/>
        </w:rPr>
        <w:t xml:space="preserve"> </w:t>
      </w:r>
      <w:r w:rsidRPr="00B004EE">
        <w:rPr>
          <w:rFonts w:ascii="Tahoma" w:hAnsi="Tahoma" w:cs="Tahoma"/>
          <w:sz w:val="20"/>
          <w:szCs w:val="20"/>
        </w:rPr>
        <w:t>commission</w:t>
      </w:r>
      <w:r w:rsidR="00DB1635" w:rsidRPr="00B004EE">
        <w:rPr>
          <w:rFonts w:ascii="Tahoma" w:hAnsi="Tahoma" w:cs="Tahoma"/>
          <w:spacing w:val="-7"/>
          <w:sz w:val="20"/>
          <w:szCs w:val="20"/>
        </w:rPr>
        <w:t xml:space="preserve"> </w:t>
      </w:r>
      <w:r w:rsidRPr="00B004EE">
        <w:rPr>
          <w:rFonts w:ascii="Tahoma" w:hAnsi="Tahoma" w:cs="Tahoma"/>
          <w:sz w:val="20"/>
          <w:szCs w:val="20"/>
        </w:rPr>
        <w:t>d'une</w:t>
      </w:r>
      <w:r w:rsidR="00DB1635" w:rsidRPr="00B004EE">
        <w:rPr>
          <w:rFonts w:ascii="Tahoma" w:hAnsi="Tahoma" w:cs="Tahoma"/>
          <w:spacing w:val="-9"/>
          <w:sz w:val="20"/>
          <w:szCs w:val="20"/>
        </w:rPr>
        <w:t xml:space="preserve"> </w:t>
      </w:r>
      <w:r w:rsidRPr="00B004EE">
        <w:rPr>
          <w:rFonts w:ascii="Tahoma" w:hAnsi="Tahoma" w:cs="Tahoma"/>
          <w:sz w:val="20"/>
          <w:szCs w:val="20"/>
        </w:rPr>
        <w:t>infraction</w:t>
      </w:r>
      <w:r w:rsidR="00DB1635" w:rsidRPr="00B004EE">
        <w:rPr>
          <w:rFonts w:ascii="Tahoma" w:hAnsi="Tahoma" w:cs="Tahoma"/>
          <w:spacing w:val="-9"/>
          <w:sz w:val="20"/>
          <w:szCs w:val="20"/>
        </w:rPr>
        <w:t xml:space="preserve"> </w:t>
      </w:r>
      <w:r w:rsidRPr="00B004EE">
        <w:rPr>
          <w:rFonts w:ascii="Tahoma" w:hAnsi="Tahoma" w:cs="Tahoma"/>
          <w:sz w:val="20"/>
          <w:szCs w:val="20"/>
        </w:rPr>
        <w:t>à</w:t>
      </w:r>
      <w:r w:rsidR="00DB1635" w:rsidRPr="00B004EE">
        <w:rPr>
          <w:rFonts w:ascii="Tahoma" w:hAnsi="Tahoma" w:cs="Tahoma"/>
          <w:spacing w:val="-8"/>
          <w:sz w:val="20"/>
          <w:szCs w:val="20"/>
        </w:rPr>
        <w:t xml:space="preserve"> </w:t>
      </w:r>
      <w:r w:rsidRPr="00B004EE">
        <w:rPr>
          <w:rFonts w:ascii="Tahoma" w:hAnsi="Tahoma" w:cs="Tahoma"/>
          <w:sz w:val="20"/>
          <w:szCs w:val="20"/>
        </w:rPr>
        <w:t>la</w:t>
      </w:r>
      <w:r w:rsidR="00DB1635" w:rsidRPr="00B004EE">
        <w:rPr>
          <w:rFonts w:ascii="Tahoma" w:hAnsi="Tahoma" w:cs="Tahoma"/>
          <w:spacing w:val="-8"/>
          <w:sz w:val="20"/>
          <w:szCs w:val="20"/>
        </w:rPr>
        <w:t xml:space="preserve"> </w:t>
      </w:r>
      <w:r w:rsidRPr="00B004EE">
        <w:rPr>
          <w:rFonts w:ascii="Tahoma" w:hAnsi="Tahoma" w:cs="Tahoma"/>
          <w:sz w:val="20"/>
          <w:szCs w:val="20"/>
        </w:rPr>
        <w:t>présente</w:t>
      </w:r>
      <w:r w:rsidR="00DB1635" w:rsidRPr="00B004EE">
        <w:rPr>
          <w:rFonts w:ascii="Tahoma" w:hAnsi="Tahoma" w:cs="Tahoma"/>
          <w:spacing w:val="-9"/>
          <w:sz w:val="20"/>
          <w:szCs w:val="20"/>
        </w:rPr>
        <w:t xml:space="preserve"> </w:t>
      </w:r>
      <w:r w:rsidRPr="00B004EE">
        <w:rPr>
          <w:rFonts w:ascii="Tahoma" w:hAnsi="Tahoma" w:cs="Tahoma"/>
          <w:sz w:val="20"/>
          <w:szCs w:val="20"/>
        </w:rPr>
        <w:t>Loi,</w:t>
      </w:r>
      <w:r w:rsidR="00DB1635" w:rsidRPr="00B004EE">
        <w:rPr>
          <w:rFonts w:ascii="Tahoma" w:hAnsi="Tahoma" w:cs="Tahoma"/>
          <w:spacing w:val="-9"/>
          <w:sz w:val="20"/>
          <w:szCs w:val="20"/>
        </w:rPr>
        <w:t xml:space="preserve"> </w:t>
      </w:r>
      <w:r w:rsidRPr="00B004EE">
        <w:rPr>
          <w:rFonts w:ascii="Tahoma" w:hAnsi="Tahoma" w:cs="Tahoma"/>
          <w:sz w:val="20"/>
          <w:szCs w:val="20"/>
        </w:rPr>
        <w:t>à</w:t>
      </w:r>
      <w:r w:rsidR="00DB1635" w:rsidRPr="00B004EE">
        <w:rPr>
          <w:rFonts w:ascii="Tahoma" w:hAnsi="Tahoma" w:cs="Tahoma"/>
          <w:spacing w:val="-8"/>
          <w:sz w:val="20"/>
          <w:szCs w:val="20"/>
        </w:rPr>
        <w:t xml:space="preserve"> </w:t>
      </w:r>
      <w:r w:rsidRPr="00B004EE">
        <w:rPr>
          <w:rFonts w:ascii="Tahoma" w:hAnsi="Tahoma" w:cs="Tahoma"/>
          <w:sz w:val="20"/>
          <w:szCs w:val="20"/>
        </w:rPr>
        <w:t>ses</w:t>
      </w:r>
      <w:r w:rsidR="00DB1635" w:rsidRPr="00B004EE">
        <w:rPr>
          <w:rFonts w:ascii="Tahoma" w:hAnsi="Tahoma" w:cs="Tahoma"/>
          <w:spacing w:val="-10"/>
          <w:sz w:val="20"/>
          <w:szCs w:val="20"/>
        </w:rPr>
        <w:t xml:space="preserve"> </w:t>
      </w:r>
      <w:r w:rsidRPr="00B004EE">
        <w:rPr>
          <w:rFonts w:ascii="Tahoma" w:hAnsi="Tahoma" w:cs="Tahoma"/>
          <w:sz w:val="20"/>
          <w:szCs w:val="20"/>
        </w:rPr>
        <w:t>règlements</w:t>
      </w:r>
      <w:r w:rsidR="00DB1635" w:rsidRPr="00B004EE">
        <w:rPr>
          <w:rFonts w:ascii="Tahoma" w:hAnsi="Tahoma" w:cs="Tahoma"/>
          <w:spacing w:val="-9"/>
          <w:sz w:val="20"/>
          <w:szCs w:val="20"/>
        </w:rPr>
        <w:t xml:space="preserve"> </w:t>
      </w:r>
      <w:r w:rsidRPr="00B004EE">
        <w:rPr>
          <w:rFonts w:ascii="Tahoma" w:hAnsi="Tahoma" w:cs="Tahoma"/>
          <w:sz w:val="20"/>
          <w:szCs w:val="20"/>
        </w:rPr>
        <w:t>d'application</w:t>
      </w:r>
      <w:r w:rsidR="00DB1635" w:rsidRPr="00B004EE">
        <w:rPr>
          <w:rFonts w:ascii="Tahoma" w:hAnsi="Tahoma" w:cs="Tahoma"/>
          <w:spacing w:val="-9"/>
          <w:sz w:val="20"/>
          <w:szCs w:val="20"/>
        </w:rPr>
        <w:t xml:space="preserve"> </w:t>
      </w:r>
      <w:r w:rsidRPr="00B004EE">
        <w:rPr>
          <w:rFonts w:ascii="Tahoma" w:hAnsi="Tahoma" w:cs="Tahoma"/>
          <w:sz w:val="20"/>
          <w:szCs w:val="20"/>
        </w:rPr>
        <w:t>et</w:t>
      </w:r>
      <w:r w:rsidR="00DB1635" w:rsidRPr="00B004EE">
        <w:rPr>
          <w:rFonts w:ascii="Tahoma" w:hAnsi="Tahoma" w:cs="Tahoma"/>
          <w:w w:val="95"/>
          <w:sz w:val="20"/>
          <w:szCs w:val="20"/>
        </w:rPr>
        <w:t xml:space="preserve"> </w:t>
      </w:r>
      <w:r w:rsidRPr="00B004EE">
        <w:rPr>
          <w:rFonts w:ascii="Tahoma" w:hAnsi="Tahoma" w:cs="Tahoma"/>
          <w:sz w:val="20"/>
          <w:szCs w:val="20"/>
        </w:rPr>
        <w:t>aux</w:t>
      </w:r>
      <w:r w:rsidR="00DB1635" w:rsidRPr="00B004EE">
        <w:rPr>
          <w:rFonts w:ascii="Tahoma" w:hAnsi="Tahoma" w:cs="Tahoma"/>
          <w:spacing w:val="-11"/>
          <w:sz w:val="20"/>
          <w:szCs w:val="20"/>
        </w:rPr>
        <w:t xml:space="preserve"> </w:t>
      </w:r>
      <w:r w:rsidRPr="00B004EE">
        <w:rPr>
          <w:rFonts w:ascii="Tahoma" w:hAnsi="Tahoma" w:cs="Tahoma"/>
          <w:sz w:val="20"/>
          <w:szCs w:val="20"/>
        </w:rPr>
        <w:t>conditions</w:t>
      </w:r>
      <w:r w:rsidR="00DB1635" w:rsidRPr="00B004EE">
        <w:rPr>
          <w:rFonts w:ascii="Tahoma" w:hAnsi="Tahoma" w:cs="Tahoma"/>
          <w:spacing w:val="-11"/>
          <w:sz w:val="20"/>
          <w:szCs w:val="20"/>
        </w:rPr>
        <w:t xml:space="preserve"> </w:t>
      </w:r>
      <w:r w:rsidRPr="00B004EE">
        <w:rPr>
          <w:rFonts w:ascii="Tahoma" w:hAnsi="Tahoma" w:cs="Tahoma"/>
          <w:sz w:val="20"/>
          <w:szCs w:val="20"/>
        </w:rPr>
        <w:t>auxquelles</w:t>
      </w:r>
      <w:r w:rsidR="00DB1635" w:rsidRPr="00B004EE">
        <w:rPr>
          <w:rFonts w:ascii="Tahoma" w:hAnsi="Tahoma" w:cs="Tahoma"/>
          <w:spacing w:val="-11"/>
          <w:sz w:val="20"/>
          <w:szCs w:val="20"/>
        </w:rPr>
        <w:t xml:space="preserve"> </w:t>
      </w:r>
      <w:r w:rsidRPr="00B004EE">
        <w:rPr>
          <w:rFonts w:ascii="Tahoma" w:hAnsi="Tahoma" w:cs="Tahoma"/>
          <w:sz w:val="20"/>
          <w:szCs w:val="20"/>
        </w:rPr>
        <w:t>sont</w:t>
      </w:r>
      <w:r w:rsidR="00DB1635" w:rsidRPr="00B004EE">
        <w:rPr>
          <w:rFonts w:ascii="Tahoma" w:hAnsi="Tahoma" w:cs="Tahoma"/>
          <w:spacing w:val="-11"/>
          <w:sz w:val="20"/>
          <w:szCs w:val="20"/>
        </w:rPr>
        <w:t xml:space="preserve"> </w:t>
      </w:r>
      <w:r w:rsidRPr="00B004EE">
        <w:rPr>
          <w:rFonts w:ascii="Tahoma" w:hAnsi="Tahoma" w:cs="Tahoma"/>
          <w:sz w:val="20"/>
          <w:szCs w:val="20"/>
        </w:rPr>
        <w:t>assujetties</w:t>
      </w:r>
      <w:r w:rsidR="00DB1635" w:rsidRPr="00B004EE">
        <w:rPr>
          <w:rFonts w:ascii="Tahoma" w:hAnsi="Tahoma" w:cs="Tahoma"/>
          <w:spacing w:val="-11"/>
          <w:sz w:val="20"/>
          <w:szCs w:val="20"/>
        </w:rPr>
        <w:t xml:space="preserve"> </w:t>
      </w:r>
      <w:r w:rsidRPr="00B004EE">
        <w:rPr>
          <w:rFonts w:ascii="Tahoma" w:hAnsi="Tahoma" w:cs="Tahoma"/>
          <w:sz w:val="20"/>
          <w:szCs w:val="20"/>
        </w:rPr>
        <w:t>les</w:t>
      </w:r>
      <w:r w:rsidR="00DB1635" w:rsidRPr="00B004EE">
        <w:rPr>
          <w:rFonts w:ascii="Tahoma" w:hAnsi="Tahoma" w:cs="Tahoma"/>
          <w:spacing w:val="-11"/>
          <w:sz w:val="20"/>
          <w:szCs w:val="20"/>
        </w:rPr>
        <w:t xml:space="preserve"> </w:t>
      </w:r>
      <w:r w:rsidRPr="00B004EE">
        <w:rPr>
          <w:rFonts w:ascii="Tahoma" w:hAnsi="Tahoma" w:cs="Tahoma"/>
          <w:sz w:val="20"/>
          <w:szCs w:val="20"/>
        </w:rPr>
        <w:t>concessions</w:t>
      </w:r>
      <w:r w:rsidR="00DB1635" w:rsidRPr="00B004EE">
        <w:rPr>
          <w:rFonts w:ascii="Tahoma" w:hAnsi="Tahoma" w:cs="Tahoma"/>
          <w:spacing w:val="-11"/>
          <w:sz w:val="20"/>
          <w:szCs w:val="20"/>
        </w:rPr>
        <w:t xml:space="preserve"> </w:t>
      </w:r>
      <w:r w:rsidRPr="00B004EE">
        <w:rPr>
          <w:rFonts w:ascii="Tahoma" w:hAnsi="Tahoma" w:cs="Tahoma"/>
          <w:sz w:val="20"/>
          <w:szCs w:val="20"/>
        </w:rPr>
        <w:t>et</w:t>
      </w:r>
      <w:r w:rsidR="00DB1635" w:rsidRPr="00B004EE">
        <w:rPr>
          <w:rFonts w:ascii="Tahoma" w:hAnsi="Tahoma" w:cs="Tahoma"/>
          <w:spacing w:val="-11"/>
          <w:sz w:val="20"/>
          <w:szCs w:val="20"/>
        </w:rPr>
        <w:t xml:space="preserve"> </w:t>
      </w:r>
      <w:r w:rsidRPr="00B004EE">
        <w:rPr>
          <w:rFonts w:ascii="Tahoma" w:hAnsi="Tahoma" w:cs="Tahoma"/>
          <w:sz w:val="20"/>
          <w:szCs w:val="20"/>
        </w:rPr>
        <w:t>les</w:t>
      </w:r>
      <w:r w:rsidR="00DB1635" w:rsidRPr="00B004EE">
        <w:rPr>
          <w:rFonts w:ascii="Tahoma" w:hAnsi="Tahoma" w:cs="Tahoma"/>
          <w:spacing w:val="-11"/>
          <w:sz w:val="20"/>
          <w:szCs w:val="20"/>
        </w:rPr>
        <w:t xml:space="preserve"> </w:t>
      </w:r>
      <w:r w:rsidRPr="00B004EE">
        <w:rPr>
          <w:rFonts w:ascii="Tahoma" w:hAnsi="Tahoma" w:cs="Tahoma"/>
          <w:sz w:val="20"/>
          <w:szCs w:val="20"/>
        </w:rPr>
        <w:t>licences</w:t>
      </w:r>
      <w:r w:rsidR="00DB1635" w:rsidRPr="00B004EE">
        <w:rPr>
          <w:rFonts w:ascii="Tahoma" w:hAnsi="Tahoma" w:cs="Tahoma"/>
          <w:spacing w:val="-13"/>
          <w:sz w:val="20"/>
          <w:szCs w:val="20"/>
        </w:rPr>
        <w:t xml:space="preserve"> </w:t>
      </w:r>
      <w:r w:rsidRPr="00B004EE">
        <w:rPr>
          <w:rFonts w:ascii="Tahoma" w:hAnsi="Tahoma" w:cs="Tahoma"/>
          <w:sz w:val="20"/>
          <w:szCs w:val="20"/>
        </w:rPr>
        <w:t>de</w:t>
      </w:r>
      <w:r w:rsidR="00DB1635" w:rsidRPr="00B004EE">
        <w:rPr>
          <w:rFonts w:ascii="Tahoma" w:hAnsi="Tahoma" w:cs="Tahoma"/>
          <w:spacing w:val="-12"/>
          <w:sz w:val="20"/>
          <w:szCs w:val="20"/>
        </w:rPr>
        <w:t xml:space="preserve"> </w:t>
      </w:r>
      <w:r w:rsidRPr="00B004EE">
        <w:rPr>
          <w:rFonts w:ascii="Tahoma" w:hAnsi="Tahoma" w:cs="Tahoma"/>
          <w:sz w:val="20"/>
          <w:szCs w:val="20"/>
        </w:rPr>
        <w:t>pêche</w:t>
      </w:r>
      <w:r w:rsidR="00DB1635" w:rsidRPr="00B004EE">
        <w:rPr>
          <w:rFonts w:ascii="Tahoma" w:hAnsi="Tahoma" w:cs="Tahoma"/>
          <w:w w:val="95"/>
          <w:sz w:val="20"/>
          <w:szCs w:val="20"/>
        </w:rPr>
        <w:t xml:space="preserve"> </w:t>
      </w:r>
      <w:r w:rsidRPr="00B004EE">
        <w:rPr>
          <w:rFonts w:ascii="Tahoma" w:hAnsi="Tahoma" w:cs="Tahoma"/>
          <w:w w:val="95"/>
          <w:sz w:val="20"/>
          <w:szCs w:val="20"/>
        </w:rPr>
        <w:t>sont</w:t>
      </w:r>
      <w:r w:rsidR="00DB1635" w:rsidRPr="00B004EE">
        <w:rPr>
          <w:rFonts w:ascii="Tahoma" w:hAnsi="Tahoma" w:cs="Tahoma"/>
          <w:w w:val="95"/>
          <w:sz w:val="20"/>
          <w:szCs w:val="20"/>
        </w:rPr>
        <w:t xml:space="preserve"> </w:t>
      </w:r>
      <w:r w:rsidRPr="00B004EE">
        <w:rPr>
          <w:rFonts w:ascii="Tahoma" w:hAnsi="Tahoma" w:cs="Tahoma"/>
          <w:w w:val="95"/>
          <w:sz w:val="20"/>
          <w:szCs w:val="20"/>
        </w:rPr>
        <w:t>présumés,</w:t>
      </w:r>
      <w:r w:rsidR="00DB1635" w:rsidRPr="00B004EE">
        <w:rPr>
          <w:rFonts w:ascii="Tahoma" w:hAnsi="Tahoma" w:cs="Tahoma"/>
          <w:w w:val="95"/>
          <w:sz w:val="20"/>
          <w:szCs w:val="20"/>
        </w:rPr>
        <w:t xml:space="preserve"> </w:t>
      </w:r>
      <w:r w:rsidRPr="00B004EE">
        <w:rPr>
          <w:rFonts w:ascii="Tahoma" w:hAnsi="Tahoma" w:cs="Tahoma"/>
          <w:w w:val="95"/>
          <w:sz w:val="20"/>
          <w:szCs w:val="20"/>
        </w:rPr>
        <w:t>sauf</w:t>
      </w:r>
      <w:r w:rsidR="00DB1635" w:rsidRPr="00B004EE">
        <w:rPr>
          <w:rFonts w:ascii="Tahoma" w:hAnsi="Tahoma" w:cs="Tahoma"/>
          <w:w w:val="95"/>
          <w:sz w:val="20"/>
          <w:szCs w:val="20"/>
        </w:rPr>
        <w:t xml:space="preserve"> </w:t>
      </w:r>
      <w:r w:rsidRPr="00B004EE">
        <w:rPr>
          <w:rFonts w:ascii="Tahoma" w:hAnsi="Tahoma" w:cs="Tahoma"/>
          <w:w w:val="95"/>
          <w:sz w:val="20"/>
          <w:szCs w:val="20"/>
        </w:rPr>
        <w:t>preuve</w:t>
      </w:r>
      <w:r w:rsidR="00DB1635" w:rsidRPr="00B004EE">
        <w:rPr>
          <w:rFonts w:ascii="Tahoma" w:hAnsi="Tahoma" w:cs="Tahoma"/>
          <w:w w:val="95"/>
          <w:sz w:val="20"/>
          <w:szCs w:val="20"/>
        </w:rPr>
        <w:t xml:space="preserve"> </w:t>
      </w:r>
      <w:r w:rsidRPr="00B004EE">
        <w:rPr>
          <w:rFonts w:ascii="Tahoma" w:hAnsi="Tahoma" w:cs="Tahoma"/>
          <w:w w:val="95"/>
          <w:sz w:val="20"/>
          <w:szCs w:val="20"/>
        </w:rPr>
        <w:t>contraire,</w:t>
      </w:r>
      <w:r w:rsidR="00DB1635" w:rsidRPr="00B004EE">
        <w:rPr>
          <w:rFonts w:ascii="Tahoma" w:hAnsi="Tahoma" w:cs="Tahoma"/>
          <w:w w:val="95"/>
          <w:sz w:val="20"/>
          <w:szCs w:val="20"/>
        </w:rPr>
        <w:t xml:space="preserve"> </w:t>
      </w:r>
      <w:r w:rsidRPr="00B004EE">
        <w:rPr>
          <w:rFonts w:ascii="Tahoma" w:hAnsi="Tahoma" w:cs="Tahoma"/>
          <w:w w:val="95"/>
          <w:sz w:val="20"/>
          <w:szCs w:val="20"/>
        </w:rPr>
        <w:t>provenir</w:t>
      </w:r>
      <w:r w:rsidR="00DB1635" w:rsidRPr="00B004EE">
        <w:rPr>
          <w:rFonts w:ascii="Tahoma" w:hAnsi="Tahoma" w:cs="Tahoma"/>
          <w:w w:val="95"/>
          <w:sz w:val="20"/>
          <w:szCs w:val="20"/>
        </w:rPr>
        <w:t xml:space="preserve"> </w:t>
      </w:r>
      <w:r w:rsidRPr="00B004EE">
        <w:rPr>
          <w:rFonts w:ascii="Tahoma" w:hAnsi="Tahoma" w:cs="Tahoma"/>
          <w:w w:val="95"/>
          <w:sz w:val="20"/>
          <w:szCs w:val="20"/>
        </w:rPr>
        <w:t>de</w:t>
      </w:r>
      <w:r w:rsidR="00DB1635" w:rsidRPr="00B004EE">
        <w:rPr>
          <w:rFonts w:ascii="Tahoma" w:hAnsi="Tahoma" w:cs="Tahoma"/>
          <w:spacing w:val="43"/>
          <w:w w:val="95"/>
          <w:sz w:val="20"/>
          <w:szCs w:val="20"/>
        </w:rPr>
        <w:t xml:space="preserve"> </w:t>
      </w:r>
      <w:r w:rsidRPr="00B004EE">
        <w:rPr>
          <w:rFonts w:ascii="Tahoma" w:hAnsi="Tahoma" w:cs="Tahoma"/>
          <w:w w:val="95"/>
          <w:sz w:val="20"/>
          <w:szCs w:val="20"/>
        </w:rPr>
        <w:t>l'infraction.</w:t>
      </w:r>
    </w:p>
    <w:p w14:paraId="7CC21AB2" w14:textId="77777777" w:rsidR="001E7C3C" w:rsidRPr="00B004EE" w:rsidRDefault="001E7C3C" w:rsidP="00B004EE">
      <w:pPr>
        <w:rPr>
          <w:rFonts w:ascii="Tahoma" w:eastAsia="American Typewriter" w:hAnsi="Tahoma" w:cs="Tahoma"/>
          <w:sz w:val="20"/>
          <w:szCs w:val="20"/>
        </w:rPr>
      </w:pPr>
    </w:p>
    <w:p w14:paraId="3D871F51" w14:textId="2786938E" w:rsidR="001E7C3C" w:rsidRPr="00B004EE" w:rsidRDefault="001E7C3C" w:rsidP="00B004EE">
      <w:pPr>
        <w:pStyle w:val="Corpsdetexte"/>
        <w:ind w:right="157"/>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88</w:t>
      </w:r>
      <w:r w:rsidR="00DB1635" w:rsidRPr="00B004EE">
        <w:rPr>
          <w:rFonts w:ascii="Tahoma" w:hAnsi="Tahoma" w:cs="Tahoma"/>
          <w:bCs/>
          <w:sz w:val="20"/>
          <w:szCs w:val="20"/>
        </w:rPr>
        <w:t xml:space="preserve"> </w:t>
      </w:r>
      <w:r w:rsidRPr="00B004EE">
        <w:rPr>
          <w:rFonts w:ascii="Tahoma" w:hAnsi="Tahoma" w:cs="Tahoma"/>
          <w:bCs/>
          <w:sz w:val="20"/>
          <w:szCs w:val="20"/>
        </w:rPr>
        <w:t>:</w:t>
      </w:r>
      <w:r w:rsidR="00DB1635" w:rsidRPr="00B004EE">
        <w:rPr>
          <w:rFonts w:ascii="Tahoma" w:eastAsia="American Typewriter" w:hAnsi="Tahoma" w:cs="Tahoma"/>
          <w:b/>
          <w:bCs/>
          <w:spacing w:val="51"/>
          <w:sz w:val="20"/>
          <w:szCs w:val="20"/>
        </w:rPr>
        <w:t xml:space="preserve"> </w:t>
      </w:r>
      <w:r w:rsidRPr="00B004EE">
        <w:rPr>
          <w:rFonts w:ascii="Tahoma" w:hAnsi="Tahoma" w:cs="Tahoma"/>
          <w:sz w:val="20"/>
          <w:szCs w:val="20"/>
        </w:rPr>
        <w:t>Le</w:t>
      </w:r>
      <w:r w:rsidR="00DB1635" w:rsidRPr="00B004EE">
        <w:rPr>
          <w:rFonts w:ascii="Tahoma" w:hAnsi="Tahoma" w:cs="Tahoma"/>
          <w:spacing w:val="45"/>
          <w:sz w:val="20"/>
          <w:szCs w:val="20"/>
        </w:rPr>
        <w:t xml:space="preserve"> </w:t>
      </w:r>
      <w:r w:rsidRPr="00B004EE">
        <w:rPr>
          <w:rFonts w:ascii="Tahoma" w:hAnsi="Tahoma" w:cs="Tahoma"/>
          <w:sz w:val="20"/>
          <w:szCs w:val="20"/>
        </w:rPr>
        <w:t>ministre</w:t>
      </w:r>
      <w:r w:rsidR="00DB1635" w:rsidRPr="00B004EE">
        <w:rPr>
          <w:rFonts w:ascii="Tahoma" w:hAnsi="Tahoma" w:cs="Tahoma"/>
          <w:spacing w:val="45"/>
          <w:sz w:val="20"/>
          <w:szCs w:val="20"/>
        </w:rPr>
        <w:t xml:space="preserve"> </w:t>
      </w:r>
      <w:r w:rsidRPr="00B004EE">
        <w:rPr>
          <w:rFonts w:ascii="Tahoma" w:hAnsi="Tahoma" w:cs="Tahoma"/>
          <w:sz w:val="20"/>
          <w:szCs w:val="20"/>
        </w:rPr>
        <w:t>chargé</w:t>
      </w:r>
      <w:r w:rsidR="00DB1635" w:rsidRPr="00B004EE">
        <w:rPr>
          <w:rFonts w:ascii="Tahoma" w:hAnsi="Tahoma" w:cs="Tahoma"/>
          <w:spacing w:val="45"/>
          <w:sz w:val="20"/>
          <w:szCs w:val="20"/>
        </w:rPr>
        <w:t xml:space="preserve"> </w:t>
      </w:r>
      <w:r w:rsidRPr="00B004EE">
        <w:rPr>
          <w:rFonts w:ascii="Tahoma" w:hAnsi="Tahoma" w:cs="Tahoma"/>
          <w:sz w:val="20"/>
          <w:szCs w:val="20"/>
        </w:rPr>
        <w:t>des</w:t>
      </w:r>
      <w:r w:rsidR="00DB1635" w:rsidRPr="00B004EE">
        <w:rPr>
          <w:rFonts w:ascii="Tahoma" w:hAnsi="Tahoma" w:cs="Tahoma"/>
          <w:spacing w:val="44"/>
          <w:sz w:val="20"/>
          <w:szCs w:val="20"/>
        </w:rPr>
        <w:t xml:space="preserve"> </w:t>
      </w:r>
      <w:r w:rsidRPr="00B004EE">
        <w:rPr>
          <w:rFonts w:ascii="Tahoma" w:hAnsi="Tahoma" w:cs="Tahoma"/>
          <w:sz w:val="20"/>
          <w:szCs w:val="20"/>
        </w:rPr>
        <w:t>pêches</w:t>
      </w:r>
      <w:r w:rsidR="00DB1635" w:rsidRPr="00B004EE">
        <w:rPr>
          <w:rFonts w:ascii="Tahoma" w:hAnsi="Tahoma" w:cs="Tahoma"/>
          <w:spacing w:val="47"/>
          <w:sz w:val="20"/>
          <w:szCs w:val="20"/>
        </w:rPr>
        <w:t xml:space="preserve"> </w:t>
      </w:r>
      <w:r w:rsidRPr="00B004EE">
        <w:rPr>
          <w:rFonts w:ascii="Tahoma" w:hAnsi="Tahoma" w:cs="Tahoma"/>
          <w:sz w:val="20"/>
          <w:szCs w:val="20"/>
        </w:rPr>
        <w:t>pourra</w:t>
      </w:r>
      <w:r w:rsidR="00DB1635" w:rsidRPr="00B004EE">
        <w:rPr>
          <w:rFonts w:ascii="Tahoma" w:hAnsi="Tahoma" w:cs="Tahoma"/>
          <w:spacing w:val="45"/>
          <w:sz w:val="20"/>
          <w:szCs w:val="20"/>
        </w:rPr>
        <w:t xml:space="preserve"> </w:t>
      </w:r>
      <w:r w:rsidRPr="00B004EE">
        <w:rPr>
          <w:rFonts w:ascii="Tahoma" w:hAnsi="Tahoma" w:cs="Tahoma"/>
          <w:sz w:val="20"/>
          <w:szCs w:val="20"/>
        </w:rPr>
        <w:t>suspendre</w:t>
      </w:r>
      <w:r w:rsidR="00DB1635" w:rsidRPr="00B004EE">
        <w:rPr>
          <w:rFonts w:ascii="Tahoma" w:hAnsi="Tahoma" w:cs="Tahoma"/>
          <w:spacing w:val="45"/>
          <w:sz w:val="20"/>
          <w:szCs w:val="20"/>
        </w:rPr>
        <w:t xml:space="preserve"> </w:t>
      </w:r>
      <w:r w:rsidRPr="00B004EE">
        <w:rPr>
          <w:rFonts w:ascii="Tahoma" w:hAnsi="Tahoma" w:cs="Tahoma"/>
          <w:sz w:val="20"/>
          <w:szCs w:val="20"/>
        </w:rPr>
        <w:t>ou</w:t>
      </w:r>
      <w:r w:rsidR="00DB1635" w:rsidRPr="00B004EE">
        <w:rPr>
          <w:rFonts w:ascii="Tahoma" w:hAnsi="Tahoma" w:cs="Tahoma"/>
          <w:spacing w:val="44"/>
          <w:sz w:val="20"/>
          <w:szCs w:val="20"/>
        </w:rPr>
        <w:t xml:space="preserve"> </w:t>
      </w:r>
      <w:r w:rsidRPr="00B004EE">
        <w:rPr>
          <w:rFonts w:ascii="Tahoma" w:hAnsi="Tahoma" w:cs="Tahoma"/>
          <w:sz w:val="20"/>
          <w:szCs w:val="20"/>
        </w:rPr>
        <w:t>retirer</w:t>
      </w:r>
      <w:r w:rsidR="00DB1635" w:rsidRPr="00B004EE">
        <w:rPr>
          <w:rFonts w:ascii="Tahoma" w:hAnsi="Tahoma" w:cs="Tahoma"/>
          <w:spacing w:val="46"/>
          <w:sz w:val="20"/>
          <w:szCs w:val="20"/>
        </w:rPr>
        <w:t xml:space="preserve"> </w:t>
      </w:r>
      <w:r w:rsidRPr="00B004EE">
        <w:rPr>
          <w:rFonts w:ascii="Tahoma" w:hAnsi="Tahoma" w:cs="Tahoma"/>
          <w:sz w:val="20"/>
          <w:szCs w:val="20"/>
        </w:rPr>
        <w:t>une</w:t>
      </w:r>
      <w:r w:rsidR="00DB1635" w:rsidRPr="00B004EE">
        <w:rPr>
          <w:rFonts w:ascii="Tahoma" w:hAnsi="Tahoma" w:cs="Tahoma"/>
          <w:w w:val="96"/>
          <w:sz w:val="20"/>
          <w:szCs w:val="20"/>
        </w:rPr>
        <w:t xml:space="preserve"> </w:t>
      </w:r>
      <w:r w:rsidRPr="00B004EE">
        <w:rPr>
          <w:rFonts w:ascii="Tahoma" w:eastAsia="American Typewriter" w:hAnsi="Tahoma" w:cs="Tahoma"/>
          <w:sz w:val="20"/>
          <w:szCs w:val="20"/>
        </w:rPr>
        <w:t>concession</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droit</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d’usage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ou</w:t>
      </w:r>
      <w:r w:rsidR="00DB1635" w:rsidRPr="00B004EE">
        <w:rPr>
          <w:rFonts w:ascii="Tahoma" w:eastAsia="American Typewriter"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licence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s'il</w:t>
      </w:r>
      <w:r w:rsidR="00DB1635" w:rsidRPr="00B004EE">
        <w:rPr>
          <w:rFonts w:ascii="Tahoma" w:hAnsi="Tahoma" w:cs="Tahoma"/>
          <w:sz w:val="20"/>
          <w:szCs w:val="20"/>
        </w:rPr>
        <w:t xml:space="preserve"> </w:t>
      </w:r>
      <w:r w:rsidRPr="00B004EE">
        <w:rPr>
          <w:rFonts w:ascii="Tahoma" w:hAnsi="Tahoma" w:cs="Tahoma"/>
          <w:sz w:val="20"/>
          <w:szCs w:val="20"/>
        </w:rPr>
        <w:t>constate</w:t>
      </w:r>
      <w:r w:rsidR="00DB1635" w:rsidRPr="00B004EE">
        <w:rPr>
          <w:rFonts w:ascii="Tahoma" w:hAnsi="Tahoma" w:cs="Tahoma"/>
          <w:sz w:val="20"/>
          <w:szCs w:val="20"/>
        </w:rPr>
        <w:t xml:space="preserve"> </w:t>
      </w:r>
      <w:r w:rsidRPr="00B004EE">
        <w:rPr>
          <w:rFonts w:ascii="Tahoma" w:hAnsi="Tahoma" w:cs="Tahoma"/>
          <w:sz w:val="20"/>
          <w:szCs w:val="20"/>
        </w:rPr>
        <w:t>qu'un</w:t>
      </w:r>
      <w:r w:rsidR="00DB1635" w:rsidRPr="00B004EE">
        <w:rPr>
          <w:rFonts w:ascii="Tahoma" w:hAnsi="Tahoma" w:cs="Tahoma"/>
          <w:sz w:val="20"/>
          <w:szCs w:val="20"/>
        </w:rPr>
        <w:t xml:space="preserve"> </w:t>
      </w:r>
      <w:r w:rsidRPr="00B004EE">
        <w:rPr>
          <w:rFonts w:ascii="Tahoma" w:hAnsi="Tahoma" w:cs="Tahoma"/>
          <w:sz w:val="20"/>
          <w:szCs w:val="20"/>
        </w:rPr>
        <w:t>navire</w:t>
      </w:r>
      <w:r w:rsidR="00DB1635" w:rsidRPr="00B004EE">
        <w:rPr>
          <w:rFonts w:ascii="Tahoma" w:hAnsi="Tahoma" w:cs="Tahoma"/>
          <w:spacing w:val="-20"/>
          <w:sz w:val="20"/>
          <w:szCs w:val="20"/>
        </w:rPr>
        <w:t xml:space="preserve"> </w:t>
      </w:r>
      <w:r w:rsidRPr="00B004EE">
        <w:rPr>
          <w:rFonts w:ascii="Tahoma" w:hAnsi="Tahoma" w:cs="Tahoma"/>
          <w:sz w:val="20"/>
          <w:szCs w:val="20"/>
        </w:rPr>
        <w:t>de</w:t>
      </w:r>
      <w:r w:rsidR="00DB1635" w:rsidRPr="00B004EE">
        <w:rPr>
          <w:rFonts w:ascii="Tahoma" w:hAnsi="Tahoma" w:cs="Tahoma"/>
          <w:w w:val="94"/>
          <w:sz w:val="20"/>
          <w:szCs w:val="20"/>
        </w:rPr>
        <w:t xml:space="preserve"> </w:t>
      </w:r>
      <w:r w:rsidRPr="00B004EE">
        <w:rPr>
          <w:rFonts w:ascii="Tahoma" w:hAnsi="Tahoma" w:cs="Tahoma"/>
          <w:sz w:val="20"/>
          <w:szCs w:val="20"/>
        </w:rPr>
        <w:t>pêche</w:t>
      </w:r>
      <w:r w:rsidR="00DB1635" w:rsidRPr="00B004EE">
        <w:rPr>
          <w:rFonts w:ascii="Tahoma" w:hAnsi="Tahoma" w:cs="Tahoma"/>
          <w:spacing w:val="35"/>
          <w:sz w:val="20"/>
          <w:szCs w:val="20"/>
        </w:rPr>
        <w:t xml:space="preserve"> </w:t>
      </w:r>
      <w:r w:rsidRPr="00B004EE">
        <w:rPr>
          <w:rFonts w:ascii="Tahoma" w:hAnsi="Tahoma" w:cs="Tahoma"/>
          <w:sz w:val="20"/>
          <w:szCs w:val="20"/>
        </w:rPr>
        <w:t>a</w:t>
      </w:r>
      <w:r w:rsidR="00DB1635" w:rsidRPr="00B004EE">
        <w:rPr>
          <w:rFonts w:ascii="Tahoma" w:hAnsi="Tahoma" w:cs="Tahoma"/>
          <w:spacing w:val="35"/>
          <w:sz w:val="20"/>
          <w:szCs w:val="20"/>
        </w:rPr>
        <w:t xml:space="preserve"> </w:t>
      </w:r>
      <w:r w:rsidRPr="00B004EE">
        <w:rPr>
          <w:rFonts w:ascii="Tahoma" w:hAnsi="Tahoma" w:cs="Tahoma"/>
          <w:sz w:val="20"/>
          <w:szCs w:val="20"/>
        </w:rPr>
        <w:t>été</w:t>
      </w:r>
      <w:r w:rsidR="00DB1635" w:rsidRPr="00B004EE">
        <w:rPr>
          <w:rFonts w:ascii="Tahoma" w:hAnsi="Tahoma" w:cs="Tahoma"/>
          <w:spacing w:val="35"/>
          <w:sz w:val="20"/>
          <w:szCs w:val="20"/>
        </w:rPr>
        <w:t xml:space="preserve"> </w:t>
      </w:r>
      <w:r w:rsidRPr="00B004EE">
        <w:rPr>
          <w:rFonts w:ascii="Tahoma" w:hAnsi="Tahoma" w:cs="Tahoma"/>
          <w:sz w:val="20"/>
          <w:szCs w:val="20"/>
        </w:rPr>
        <w:t>utilisé</w:t>
      </w:r>
      <w:r w:rsidR="00DB1635" w:rsidRPr="00B004EE">
        <w:rPr>
          <w:rFonts w:ascii="Tahoma" w:hAnsi="Tahoma" w:cs="Tahoma"/>
          <w:spacing w:val="35"/>
          <w:sz w:val="20"/>
          <w:szCs w:val="20"/>
        </w:rPr>
        <w:t xml:space="preserve"> </w:t>
      </w:r>
      <w:r w:rsidRPr="00B004EE">
        <w:rPr>
          <w:rFonts w:ascii="Tahoma" w:hAnsi="Tahoma" w:cs="Tahoma"/>
          <w:sz w:val="20"/>
          <w:szCs w:val="20"/>
        </w:rPr>
        <w:t>dans</w:t>
      </w:r>
      <w:r w:rsidR="00DB1635" w:rsidRPr="00B004EE">
        <w:rPr>
          <w:rFonts w:ascii="Tahoma" w:hAnsi="Tahoma" w:cs="Tahoma"/>
          <w:spacing w:val="34"/>
          <w:sz w:val="20"/>
          <w:szCs w:val="20"/>
        </w:rPr>
        <w:t xml:space="preserve"> </w:t>
      </w:r>
      <w:r w:rsidRPr="00B004EE">
        <w:rPr>
          <w:rFonts w:ascii="Tahoma" w:hAnsi="Tahoma" w:cs="Tahoma"/>
          <w:sz w:val="20"/>
          <w:szCs w:val="20"/>
        </w:rPr>
        <w:t>la</w:t>
      </w:r>
      <w:r w:rsidR="00DB1635" w:rsidRPr="00B004EE">
        <w:rPr>
          <w:rFonts w:ascii="Tahoma" w:hAnsi="Tahoma" w:cs="Tahoma"/>
          <w:spacing w:val="35"/>
          <w:sz w:val="20"/>
          <w:szCs w:val="20"/>
        </w:rPr>
        <w:t xml:space="preserve"> </w:t>
      </w:r>
      <w:r w:rsidRPr="00B004EE">
        <w:rPr>
          <w:rFonts w:ascii="Tahoma" w:hAnsi="Tahoma" w:cs="Tahoma"/>
          <w:sz w:val="20"/>
          <w:szCs w:val="20"/>
        </w:rPr>
        <w:t>commission</w:t>
      </w:r>
      <w:r w:rsidR="00DB1635" w:rsidRPr="00B004EE">
        <w:rPr>
          <w:rFonts w:ascii="Tahoma" w:hAnsi="Tahoma" w:cs="Tahoma"/>
          <w:spacing w:val="35"/>
          <w:sz w:val="20"/>
          <w:szCs w:val="20"/>
        </w:rPr>
        <w:t xml:space="preserve"> </w:t>
      </w:r>
      <w:r w:rsidRPr="00B004EE">
        <w:rPr>
          <w:rFonts w:ascii="Tahoma" w:hAnsi="Tahoma" w:cs="Tahoma"/>
          <w:sz w:val="20"/>
          <w:szCs w:val="20"/>
        </w:rPr>
        <w:t>d'une</w:t>
      </w:r>
      <w:r w:rsidR="00DB1635" w:rsidRPr="00B004EE">
        <w:rPr>
          <w:rFonts w:ascii="Tahoma" w:hAnsi="Tahoma" w:cs="Tahoma"/>
          <w:spacing w:val="35"/>
          <w:sz w:val="20"/>
          <w:szCs w:val="20"/>
        </w:rPr>
        <w:t xml:space="preserve"> </w:t>
      </w:r>
      <w:r w:rsidRPr="00B004EE">
        <w:rPr>
          <w:rFonts w:ascii="Tahoma" w:hAnsi="Tahoma" w:cs="Tahoma"/>
          <w:sz w:val="20"/>
          <w:szCs w:val="20"/>
        </w:rPr>
        <w:t>infraction</w:t>
      </w:r>
      <w:r w:rsidR="00DB1635" w:rsidRPr="00B004EE">
        <w:rPr>
          <w:rFonts w:ascii="Tahoma" w:hAnsi="Tahoma" w:cs="Tahoma"/>
          <w:spacing w:val="35"/>
          <w:sz w:val="20"/>
          <w:szCs w:val="20"/>
        </w:rPr>
        <w:t xml:space="preserve"> </w:t>
      </w:r>
      <w:r w:rsidRPr="00B004EE">
        <w:rPr>
          <w:rFonts w:ascii="Tahoma" w:hAnsi="Tahoma" w:cs="Tahoma"/>
          <w:sz w:val="20"/>
          <w:szCs w:val="20"/>
        </w:rPr>
        <w:t>à</w:t>
      </w:r>
      <w:r w:rsidR="00DB1635" w:rsidRPr="00B004EE">
        <w:rPr>
          <w:rFonts w:ascii="Tahoma" w:hAnsi="Tahoma" w:cs="Tahoma"/>
          <w:spacing w:val="35"/>
          <w:sz w:val="20"/>
          <w:szCs w:val="20"/>
        </w:rPr>
        <w:t xml:space="preserve"> </w:t>
      </w:r>
      <w:r w:rsidRPr="00B004EE">
        <w:rPr>
          <w:rFonts w:ascii="Tahoma" w:hAnsi="Tahoma" w:cs="Tahoma"/>
          <w:sz w:val="20"/>
          <w:szCs w:val="20"/>
        </w:rPr>
        <w:t>la</w:t>
      </w:r>
      <w:r w:rsidR="00DB1635" w:rsidRPr="00B004EE">
        <w:rPr>
          <w:rFonts w:ascii="Tahoma" w:hAnsi="Tahoma" w:cs="Tahoma"/>
          <w:spacing w:val="34"/>
          <w:sz w:val="20"/>
          <w:szCs w:val="20"/>
        </w:rPr>
        <w:t xml:space="preserve"> </w:t>
      </w:r>
      <w:r w:rsidRPr="00B004EE">
        <w:rPr>
          <w:rFonts w:ascii="Tahoma" w:hAnsi="Tahoma" w:cs="Tahoma"/>
          <w:sz w:val="20"/>
          <w:szCs w:val="20"/>
        </w:rPr>
        <w:t>législation</w:t>
      </w:r>
      <w:r w:rsidR="00DB1635" w:rsidRPr="00B004EE">
        <w:rPr>
          <w:rFonts w:ascii="Tahoma" w:hAnsi="Tahoma" w:cs="Tahoma"/>
          <w:spacing w:val="33"/>
          <w:sz w:val="20"/>
          <w:szCs w:val="20"/>
        </w:rPr>
        <w:t xml:space="preserve"> </w:t>
      </w:r>
      <w:r w:rsidRPr="00B004EE">
        <w:rPr>
          <w:rFonts w:ascii="Tahoma" w:hAnsi="Tahoma" w:cs="Tahoma"/>
          <w:sz w:val="20"/>
          <w:szCs w:val="20"/>
        </w:rPr>
        <w:t>sur</w:t>
      </w:r>
      <w:r w:rsidR="00DB1635" w:rsidRPr="00B004EE">
        <w:rPr>
          <w:rFonts w:ascii="Tahoma" w:hAnsi="Tahoma" w:cs="Tahoma"/>
          <w:spacing w:val="32"/>
          <w:sz w:val="20"/>
          <w:szCs w:val="20"/>
        </w:rPr>
        <w:t xml:space="preserve"> </w:t>
      </w:r>
      <w:r w:rsidRPr="00B004EE">
        <w:rPr>
          <w:rFonts w:ascii="Tahoma" w:hAnsi="Tahoma" w:cs="Tahoma"/>
          <w:sz w:val="20"/>
          <w:szCs w:val="20"/>
        </w:rPr>
        <w:t>les</w:t>
      </w:r>
      <w:r w:rsidR="00DB1635" w:rsidRPr="00B004EE">
        <w:rPr>
          <w:rFonts w:ascii="Tahoma" w:hAnsi="Tahoma" w:cs="Tahoma"/>
          <w:w w:val="94"/>
          <w:sz w:val="20"/>
          <w:szCs w:val="20"/>
        </w:rPr>
        <w:t xml:space="preserve"> </w:t>
      </w:r>
      <w:r w:rsidRPr="00B004EE">
        <w:rPr>
          <w:rFonts w:ascii="Tahoma" w:hAnsi="Tahoma" w:cs="Tahoma"/>
          <w:sz w:val="20"/>
          <w:szCs w:val="20"/>
        </w:rPr>
        <w:t>pêches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ses</w:t>
      </w:r>
      <w:r w:rsidR="00DB1635" w:rsidRPr="00B004EE">
        <w:rPr>
          <w:rFonts w:ascii="Tahoma" w:hAnsi="Tahoma" w:cs="Tahoma"/>
          <w:sz w:val="20"/>
          <w:szCs w:val="20"/>
        </w:rPr>
        <w:t xml:space="preserve"> </w:t>
      </w:r>
      <w:r w:rsidRPr="00B004EE">
        <w:rPr>
          <w:rFonts w:ascii="Tahoma" w:hAnsi="Tahoma" w:cs="Tahoma"/>
          <w:sz w:val="20"/>
          <w:szCs w:val="20"/>
        </w:rPr>
        <w:t>règlements</w:t>
      </w:r>
      <w:r w:rsidR="00DB1635" w:rsidRPr="00B004EE">
        <w:rPr>
          <w:rFonts w:ascii="Tahoma" w:hAnsi="Tahoma" w:cs="Tahoma"/>
          <w:sz w:val="20"/>
          <w:szCs w:val="20"/>
        </w:rPr>
        <w:t xml:space="preserve"> </w:t>
      </w:r>
      <w:r w:rsidRPr="00B004EE">
        <w:rPr>
          <w:rFonts w:ascii="Tahoma" w:eastAsia="American Typewriter" w:hAnsi="Tahoma" w:cs="Tahoma"/>
          <w:sz w:val="20"/>
          <w:szCs w:val="20"/>
        </w:rPr>
        <w:t>d’application,</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ou</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aux</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conditions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auxquelles</w:t>
      </w:r>
      <w:r w:rsidR="00DB1635" w:rsidRPr="00B004EE">
        <w:rPr>
          <w:rFonts w:ascii="Tahoma" w:eastAsia="American Typewriter" w:hAnsi="Tahoma" w:cs="Tahoma"/>
          <w:spacing w:val="32"/>
          <w:sz w:val="20"/>
          <w:szCs w:val="20"/>
        </w:rPr>
        <w:t xml:space="preserve"> </w:t>
      </w:r>
      <w:r w:rsidRPr="00B004EE">
        <w:rPr>
          <w:rFonts w:ascii="Tahoma" w:eastAsia="American Typewriter" w:hAnsi="Tahoma" w:cs="Tahoma"/>
          <w:sz w:val="20"/>
          <w:szCs w:val="20"/>
        </w:rPr>
        <w:t>sont</w:t>
      </w:r>
      <w:r w:rsidR="00DB1635" w:rsidRPr="00B004EE">
        <w:rPr>
          <w:rFonts w:ascii="Tahoma" w:eastAsia="American Typewriter" w:hAnsi="Tahoma" w:cs="Tahoma"/>
          <w:w w:val="97"/>
          <w:sz w:val="20"/>
          <w:szCs w:val="20"/>
        </w:rPr>
        <w:t xml:space="preserve"> </w:t>
      </w:r>
      <w:r w:rsidRPr="00B004EE">
        <w:rPr>
          <w:rFonts w:ascii="Tahoma" w:hAnsi="Tahoma" w:cs="Tahoma"/>
          <w:sz w:val="20"/>
          <w:szCs w:val="20"/>
        </w:rPr>
        <w:t>assujetties</w:t>
      </w:r>
      <w:r w:rsidR="00DB1635" w:rsidRPr="00B004EE">
        <w:rPr>
          <w:rFonts w:ascii="Tahoma" w:hAnsi="Tahoma" w:cs="Tahoma"/>
          <w:spacing w:val="-30"/>
          <w:sz w:val="20"/>
          <w:szCs w:val="20"/>
        </w:rPr>
        <w:t xml:space="preserve"> </w:t>
      </w:r>
      <w:r w:rsidRPr="00B004EE">
        <w:rPr>
          <w:rFonts w:ascii="Tahoma" w:hAnsi="Tahoma" w:cs="Tahoma"/>
          <w:sz w:val="20"/>
          <w:szCs w:val="20"/>
        </w:rPr>
        <w:t>les</w:t>
      </w:r>
      <w:r w:rsidR="00DB1635" w:rsidRPr="00B004EE">
        <w:rPr>
          <w:rFonts w:ascii="Tahoma" w:hAnsi="Tahoma" w:cs="Tahoma"/>
          <w:spacing w:val="-30"/>
          <w:sz w:val="20"/>
          <w:szCs w:val="20"/>
        </w:rPr>
        <w:t xml:space="preserve"> </w:t>
      </w:r>
      <w:r w:rsidRPr="00B004EE">
        <w:rPr>
          <w:rFonts w:ascii="Tahoma" w:hAnsi="Tahoma" w:cs="Tahoma"/>
          <w:sz w:val="20"/>
          <w:szCs w:val="20"/>
        </w:rPr>
        <w:t>licences</w:t>
      </w:r>
      <w:r w:rsidR="00DB1635" w:rsidRPr="00B004EE">
        <w:rPr>
          <w:rFonts w:ascii="Tahoma" w:hAnsi="Tahoma" w:cs="Tahoma"/>
          <w:spacing w:val="-30"/>
          <w:sz w:val="20"/>
          <w:szCs w:val="20"/>
        </w:rPr>
        <w:t xml:space="preserve"> </w:t>
      </w:r>
      <w:r w:rsidRPr="00B004EE">
        <w:rPr>
          <w:rFonts w:ascii="Tahoma" w:hAnsi="Tahoma" w:cs="Tahoma"/>
          <w:sz w:val="20"/>
          <w:szCs w:val="20"/>
        </w:rPr>
        <w:t>ou</w:t>
      </w:r>
      <w:r w:rsidR="00DB1635" w:rsidRPr="00B004EE">
        <w:rPr>
          <w:rFonts w:ascii="Tahoma" w:hAnsi="Tahoma" w:cs="Tahoma"/>
          <w:spacing w:val="-30"/>
          <w:sz w:val="20"/>
          <w:szCs w:val="20"/>
        </w:rPr>
        <w:t xml:space="preserve"> </w:t>
      </w:r>
      <w:r w:rsidRPr="00B004EE">
        <w:rPr>
          <w:rFonts w:ascii="Tahoma" w:hAnsi="Tahoma" w:cs="Tahoma"/>
          <w:sz w:val="20"/>
          <w:szCs w:val="20"/>
        </w:rPr>
        <w:t>autorisations</w:t>
      </w:r>
      <w:r w:rsidR="00DB1635" w:rsidRPr="00B004EE">
        <w:rPr>
          <w:rFonts w:ascii="Tahoma" w:hAnsi="Tahoma" w:cs="Tahoma"/>
          <w:spacing w:val="1"/>
          <w:sz w:val="20"/>
          <w:szCs w:val="20"/>
        </w:rPr>
        <w:t xml:space="preserve"> </w:t>
      </w:r>
      <w:r w:rsidRPr="00B004EE">
        <w:rPr>
          <w:rFonts w:ascii="Tahoma" w:hAnsi="Tahoma" w:cs="Tahoma"/>
          <w:sz w:val="20"/>
          <w:szCs w:val="20"/>
        </w:rPr>
        <w:t>de</w:t>
      </w:r>
      <w:r w:rsidR="00DB1635" w:rsidRPr="00B004EE">
        <w:rPr>
          <w:rFonts w:ascii="Tahoma" w:hAnsi="Tahoma" w:cs="Tahoma"/>
          <w:spacing w:val="-30"/>
          <w:sz w:val="20"/>
          <w:szCs w:val="20"/>
        </w:rPr>
        <w:t xml:space="preserve"> </w:t>
      </w:r>
      <w:r w:rsidRPr="00B004EE">
        <w:rPr>
          <w:rFonts w:ascii="Tahoma" w:hAnsi="Tahoma" w:cs="Tahoma"/>
          <w:sz w:val="20"/>
          <w:szCs w:val="20"/>
        </w:rPr>
        <w:t>pêche.</w:t>
      </w:r>
    </w:p>
    <w:p w14:paraId="03C93BA0" w14:textId="77777777" w:rsidR="001E7C3C" w:rsidRPr="00B004EE" w:rsidRDefault="001E7C3C" w:rsidP="00B004EE">
      <w:pPr>
        <w:rPr>
          <w:rFonts w:ascii="Tahoma" w:eastAsia="American Typewriter" w:hAnsi="Tahoma" w:cs="Tahoma"/>
          <w:sz w:val="20"/>
          <w:szCs w:val="20"/>
        </w:rPr>
      </w:pPr>
    </w:p>
    <w:p w14:paraId="5A010A64" w14:textId="41ABD0B2" w:rsidR="001E7C3C" w:rsidRPr="00B004EE" w:rsidRDefault="001E7C3C" w:rsidP="00B004EE">
      <w:pPr>
        <w:pStyle w:val="Corpsdetexte"/>
        <w:ind w:right="159"/>
        <w:rPr>
          <w:rFonts w:ascii="Tahoma" w:hAnsi="Tahoma" w:cs="Tahoma"/>
          <w:sz w:val="20"/>
          <w:szCs w:val="20"/>
        </w:rPr>
      </w:pPr>
      <w:r w:rsidRPr="00B004EE">
        <w:rPr>
          <w:rFonts w:ascii="Tahoma" w:hAnsi="Tahoma" w:cs="Tahoma"/>
          <w:sz w:val="20"/>
          <w:szCs w:val="20"/>
        </w:rPr>
        <w:t>Outre</w:t>
      </w:r>
      <w:r w:rsidR="00DB1635" w:rsidRPr="00B004EE">
        <w:rPr>
          <w:rFonts w:ascii="Tahoma" w:hAnsi="Tahoma" w:cs="Tahoma"/>
          <w:spacing w:val="39"/>
          <w:sz w:val="20"/>
          <w:szCs w:val="20"/>
        </w:rPr>
        <w:t xml:space="preserve"> </w:t>
      </w:r>
      <w:r w:rsidRPr="00B004EE">
        <w:rPr>
          <w:rFonts w:ascii="Tahoma" w:hAnsi="Tahoma" w:cs="Tahoma"/>
          <w:sz w:val="20"/>
          <w:szCs w:val="20"/>
        </w:rPr>
        <w:t>une</w:t>
      </w:r>
      <w:r w:rsidR="00DB1635" w:rsidRPr="00B004EE">
        <w:rPr>
          <w:rFonts w:ascii="Tahoma" w:hAnsi="Tahoma" w:cs="Tahoma"/>
          <w:spacing w:val="40"/>
          <w:sz w:val="20"/>
          <w:szCs w:val="20"/>
        </w:rPr>
        <w:t xml:space="preserve"> </w:t>
      </w:r>
      <w:r w:rsidRPr="00B004EE">
        <w:rPr>
          <w:rFonts w:ascii="Tahoma" w:hAnsi="Tahoma" w:cs="Tahoma"/>
          <w:sz w:val="20"/>
          <w:szCs w:val="20"/>
        </w:rPr>
        <w:t>amende</w:t>
      </w:r>
      <w:r w:rsidR="00DB1635" w:rsidRPr="00B004EE">
        <w:rPr>
          <w:rFonts w:ascii="Tahoma" w:hAnsi="Tahoma" w:cs="Tahoma"/>
          <w:spacing w:val="40"/>
          <w:sz w:val="20"/>
          <w:szCs w:val="20"/>
        </w:rPr>
        <w:t xml:space="preserve"> </w:t>
      </w:r>
      <w:r w:rsidRPr="00B004EE">
        <w:rPr>
          <w:rFonts w:ascii="Tahoma" w:hAnsi="Tahoma" w:cs="Tahoma"/>
          <w:sz w:val="20"/>
          <w:szCs w:val="20"/>
        </w:rPr>
        <w:t>de</w:t>
      </w:r>
      <w:r w:rsidR="00DB1635" w:rsidRPr="00B004EE">
        <w:rPr>
          <w:rFonts w:ascii="Tahoma" w:hAnsi="Tahoma" w:cs="Tahoma"/>
          <w:spacing w:val="40"/>
          <w:sz w:val="20"/>
          <w:szCs w:val="20"/>
        </w:rPr>
        <w:t xml:space="preserve"> </w:t>
      </w:r>
      <w:r w:rsidRPr="00B004EE">
        <w:rPr>
          <w:rFonts w:ascii="Tahoma" w:hAnsi="Tahoma" w:cs="Tahoma"/>
          <w:sz w:val="20"/>
          <w:szCs w:val="20"/>
        </w:rPr>
        <w:t>cinq</w:t>
      </w:r>
      <w:r w:rsidR="00DB1635" w:rsidRPr="00B004EE">
        <w:rPr>
          <w:rFonts w:ascii="Tahoma" w:hAnsi="Tahoma" w:cs="Tahoma"/>
          <w:spacing w:val="41"/>
          <w:sz w:val="20"/>
          <w:szCs w:val="20"/>
        </w:rPr>
        <w:t xml:space="preserve"> </w:t>
      </w:r>
      <w:r w:rsidRPr="00B004EE">
        <w:rPr>
          <w:rFonts w:ascii="Tahoma" w:hAnsi="Tahoma" w:cs="Tahoma"/>
          <w:sz w:val="20"/>
          <w:szCs w:val="20"/>
        </w:rPr>
        <w:t>cent</w:t>
      </w:r>
      <w:r w:rsidR="00DB1635" w:rsidRPr="00B004EE">
        <w:rPr>
          <w:rFonts w:ascii="Tahoma" w:hAnsi="Tahoma" w:cs="Tahoma"/>
          <w:sz w:val="20"/>
          <w:szCs w:val="20"/>
        </w:rPr>
        <w:t xml:space="preserve"> </w:t>
      </w:r>
      <w:r w:rsidRPr="00B004EE">
        <w:rPr>
          <w:rFonts w:ascii="Tahoma" w:hAnsi="Tahoma" w:cs="Tahoma"/>
          <w:sz w:val="20"/>
          <w:szCs w:val="20"/>
        </w:rPr>
        <w:t>milles</w:t>
      </w:r>
      <w:r w:rsidR="00DB1635" w:rsidRPr="00B004EE">
        <w:rPr>
          <w:rFonts w:ascii="Tahoma" w:hAnsi="Tahoma" w:cs="Tahoma"/>
          <w:sz w:val="20"/>
          <w:szCs w:val="20"/>
        </w:rPr>
        <w:t xml:space="preserve"> </w:t>
      </w:r>
      <w:r w:rsidRPr="00B004EE">
        <w:rPr>
          <w:rFonts w:ascii="Tahoma" w:hAnsi="Tahoma" w:cs="Tahoma"/>
          <w:sz w:val="20"/>
          <w:szCs w:val="20"/>
        </w:rPr>
        <w:t>(500</w:t>
      </w:r>
      <w:r w:rsidR="00DB1635" w:rsidRPr="00B004EE">
        <w:rPr>
          <w:rFonts w:ascii="Tahoma" w:hAnsi="Tahoma" w:cs="Tahoma"/>
          <w:spacing w:val="-1"/>
          <w:sz w:val="20"/>
          <w:szCs w:val="20"/>
        </w:rPr>
        <w:t xml:space="preserve"> </w:t>
      </w:r>
      <w:r w:rsidRPr="00B004EE">
        <w:rPr>
          <w:rFonts w:ascii="Tahoma" w:hAnsi="Tahoma" w:cs="Tahoma"/>
          <w:sz w:val="20"/>
          <w:szCs w:val="20"/>
        </w:rPr>
        <w:t>000)</w:t>
      </w:r>
      <w:r w:rsidR="00DB1635" w:rsidRPr="00B004EE">
        <w:rPr>
          <w:rFonts w:ascii="Tahoma" w:hAnsi="Tahoma" w:cs="Tahoma"/>
          <w:sz w:val="20"/>
          <w:szCs w:val="20"/>
        </w:rPr>
        <w:t xml:space="preserve"> </w:t>
      </w:r>
      <w:r w:rsidRPr="00B004EE">
        <w:rPr>
          <w:rFonts w:ascii="Tahoma" w:hAnsi="Tahoma" w:cs="Tahoma"/>
          <w:sz w:val="20"/>
          <w:szCs w:val="20"/>
        </w:rPr>
        <w:t>ouguiya</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dix</w:t>
      </w:r>
      <w:r w:rsidR="00DB1635" w:rsidRPr="00B004EE">
        <w:rPr>
          <w:rFonts w:ascii="Tahoma" w:hAnsi="Tahoma" w:cs="Tahoma"/>
          <w:sz w:val="20"/>
          <w:szCs w:val="20"/>
        </w:rPr>
        <w:t xml:space="preserve"> </w:t>
      </w:r>
      <w:r w:rsidRPr="00B004EE">
        <w:rPr>
          <w:rFonts w:ascii="Tahoma" w:hAnsi="Tahoma" w:cs="Tahoma"/>
          <w:sz w:val="20"/>
          <w:szCs w:val="20"/>
        </w:rPr>
        <w:t>millions</w:t>
      </w:r>
      <w:r w:rsidR="00DB1635" w:rsidRPr="00B004EE">
        <w:rPr>
          <w:rFonts w:ascii="Tahoma" w:hAnsi="Tahoma" w:cs="Tahoma"/>
          <w:w w:val="93"/>
          <w:sz w:val="20"/>
          <w:szCs w:val="20"/>
        </w:rPr>
        <w:t xml:space="preserve"> </w:t>
      </w:r>
      <w:r w:rsidRPr="00B004EE">
        <w:rPr>
          <w:rFonts w:ascii="Tahoma" w:hAnsi="Tahoma" w:cs="Tahoma"/>
          <w:sz w:val="20"/>
          <w:szCs w:val="20"/>
        </w:rPr>
        <w:t>(10</w:t>
      </w:r>
      <w:r w:rsidR="00DB1635" w:rsidRPr="00B004EE">
        <w:rPr>
          <w:rFonts w:ascii="Tahoma" w:hAnsi="Tahoma" w:cs="Tahoma"/>
          <w:sz w:val="20"/>
          <w:szCs w:val="20"/>
        </w:rPr>
        <w:t xml:space="preserve"> </w:t>
      </w:r>
      <w:r w:rsidRPr="00B004EE">
        <w:rPr>
          <w:rFonts w:ascii="Tahoma" w:hAnsi="Tahoma" w:cs="Tahoma"/>
          <w:sz w:val="20"/>
          <w:szCs w:val="20"/>
        </w:rPr>
        <w:t>000</w:t>
      </w:r>
      <w:r w:rsidR="00DB1635" w:rsidRPr="00B004EE">
        <w:rPr>
          <w:rFonts w:ascii="Tahoma" w:hAnsi="Tahoma" w:cs="Tahoma"/>
          <w:sz w:val="20"/>
          <w:szCs w:val="20"/>
        </w:rPr>
        <w:t xml:space="preserve"> </w:t>
      </w:r>
      <w:r w:rsidRPr="00B004EE">
        <w:rPr>
          <w:rFonts w:ascii="Tahoma" w:hAnsi="Tahoma" w:cs="Tahoma"/>
          <w:sz w:val="20"/>
          <w:szCs w:val="20"/>
        </w:rPr>
        <w:t>000)</w:t>
      </w:r>
      <w:r w:rsidR="00DB1635" w:rsidRPr="00B004EE">
        <w:rPr>
          <w:rFonts w:ascii="Tahoma" w:hAnsi="Tahoma" w:cs="Tahoma"/>
          <w:sz w:val="20"/>
          <w:szCs w:val="20"/>
        </w:rPr>
        <w:t xml:space="preserve"> </w:t>
      </w:r>
      <w:r w:rsidRPr="00B004EE">
        <w:rPr>
          <w:rFonts w:ascii="Tahoma" w:hAnsi="Tahoma" w:cs="Tahoma"/>
          <w:sz w:val="20"/>
          <w:szCs w:val="20"/>
        </w:rPr>
        <w:t>ouguiy</w:t>
      </w:r>
      <w:r w:rsidRPr="00B004EE">
        <w:rPr>
          <w:rFonts w:ascii="Tahoma" w:eastAsia="American Typewriter" w:hAnsi="Tahoma" w:cs="Tahoma"/>
          <w:sz w:val="20"/>
          <w:szCs w:val="20"/>
        </w:rPr>
        <w:t>as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à</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l’encontre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du</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capitaine,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le</w:t>
      </w:r>
      <w:r w:rsidR="00DB1635" w:rsidRPr="00B004EE">
        <w:rPr>
          <w:rFonts w:ascii="Tahoma" w:eastAsia="American Typewriter" w:hAnsi="Tahoma" w:cs="Tahoma"/>
          <w:sz w:val="20"/>
          <w:szCs w:val="20"/>
        </w:rPr>
        <w:t xml:space="preserve"> </w:t>
      </w:r>
      <w:r w:rsidRPr="00B004EE">
        <w:rPr>
          <w:rFonts w:ascii="Tahoma" w:hAnsi="Tahoma" w:cs="Tahoma"/>
          <w:sz w:val="20"/>
          <w:szCs w:val="20"/>
        </w:rPr>
        <w:t>ministre</w:t>
      </w:r>
      <w:r w:rsidR="00DB1635" w:rsidRPr="00B004EE">
        <w:rPr>
          <w:rFonts w:ascii="Tahoma" w:hAnsi="Tahoma" w:cs="Tahoma"/>
          <w:sz w:val="20"/>
          <w:szCs w:val="20"/>
        </w:rPr>
        <w:t xml:space="preserve"> </w:t>
      </w:r>
      <w:r w:rsidRPr="00B004EE">
        <w:rPr>
          <w:rFonts w:ascii="Tahoma" w:hAnsi="Tahoma" w:cs="Tahoma"/>
          <w:sz w:val="20"/>
          <w:szCs w:val="20"/>
        </w:rPr>
        <w:t>chargé</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pacing w:val="53"/>
          <w:sz w:val="20"/>
          <w:szCs w:val="20"/>
        </w:rPr>
        <w:t xml:space="preserve"> </w:t>
      </w:r>
      <w:r w:rsidRPr="00B004EE">
        <w:rPr>
          <w:rFonts w:ascii="Tahoma" w:hAnsi="Tahoma" w:cs="Tahoma"/>
          <w:sz w:val="20"/>
          <w:szCs w:val="20"/>
        </w:rPr>
        <w:t>pêches</w:t>
      </w:r>
      <w:r w:rsidR="00DB1635" w:rsidRPr="00B004EE">
        <w:rPr>
          <w:rFonts w:ascii="Tahoma" w:hAnsi="Tahoma" w:cs="Tahoma"/>
          <w:w w:val="94"/>
          <w:sz w:val="20"/>
          <w:szCs w:val="20"/>
        </w:rPr>
        <w:t xml:space="preserve"> </w:t>
      </w:r>
      <w:r w:rsidRPr="00B004EE">
        <w:rPr>
          <w:rFonts w:ascii="Tahoma" w:eastAsia="American Typewriter" w:hAnsi="Tahoma" w:cs="Tahoma"/>
          <w:sz w:val="20"/>
          <w:szCs w:val="20"/>
        </w:rPr>
        <w:t>pourra</w:t>
      </w:r>
      <w:r w:rsidR="00DB1635" w:rsidRPr="00B004EE">
        <w:rPr>
          <w:rFonts w:ascii="Tahoma" w:eastAsia="American Typewriter" w:hAnsi="Tahoma" w:cs="Tahoma"/>
          <w:spacing w:val="-23"/>
          <w:sz w:val="20"/>
          <w:szCs w:val="20"/>
        </w:rPr>
        <w:t xml:space="preserve"> </w:t>
      </w:r>
      <w:r w:rsidRPr="00B004EE">
        <w:rPr>
          <w:rFonts w:ascii="Tahoma" w:eastAsia="American Typewriter" w:hAnsi="Tahoma" w:cs="Tahoma"/>
          <w:sz w:val="20"/>
          <w:szCs w:val="20"/>
        </w:rPr>
        <w:t>également</w:t>
      </w:r>
      <w:r w:rsidR="00DB1635" w:rsidRPr="00B004EE">
        <w:rPr>
          <w:rFonts w:ascii="Tahoma" w:eastAsia="American Typewriter" w:hAnsi="Tahoma" w:cs="Tahoma"/>
          <w:spacing w:val="-23"/>
          <w:sz w:val="20"/>
          <w:szCs w:val="20"/>
        </w:rPr>
        <w:t xml:space="preserve"> </w:t>
      </w:r>
      <w:r w:rsidRPr="00B004EE">
        <w:rPr>
          <w:rFonts w:ascii="Tahoma" w:eastAsia="American Typewriter" w:hAnsi="Tahoma" w:cs="Tahoma"/>
          <w:sz w:val="20"/>
          <w:szCs w:val="20"/>
        </w:rPr>
        <w:t>interdire</w:t>
      </w:r>
      <w:r w:rsidR="00DB1635" w:rsidRPr="00B004EE">
        <w:rPr>
          <w:rFonts w:ascii="Tahoma" w:eastAsia="American Typewriter" w:hAnsi="Tahoma" w:cs="Tahoma"/>
          <w:spacing w:val="-23"/>
          <w:sz w:val="20"/>
          <w:szCs w:val="20"/>
        </w:rPr>
        <w:t xml:space="preserve"> </w:t>
      </w:r>
      <w:r w:rsidRPr="00B004EE">
        <w:rPr>
          <w:rFonts w:ascii="Tahoma" w:eastAsia="American Typewriter" w:hAnsi="Tahoma" w:cs="Tahoma"/>
          <w:sz w:val="20"/>
          <w:szCs w:val="20"/>
        </w:rPr>
        <w:t>à</w:t>
      </w:r>
      <w:r w:rsidR="00DB1635" w:rsidRPr="00B004EE">
        <w:rPr>
          <w:rFonts w:ascii="Tahoma" w:eastAsia="American Typewriter" w:hAnsi="Tahoma" w:cs="Tahoma"/>
          <w:spacing w:val="-24"/>
          <w:sz w:val="20"/>
          <w:szCs w:val="20"/>
        </w:rPr>
        <w:t xml:space="preserve"> </w:t>
      </w:r>
      <w:r w:rsidRPr="00B004EE">
        <w:rPr>
          <w:rFonts w:ascii="Tahoma" w:eastAsia="American Typewriter" w:hAnsi="Tahoma" w:cs="Tahoma"/>
          <w:sz w:val="20"/>
          <w:szCs w:val="20"/>
        </w:rPr>
        <w:t>titre</w:t>
      </w:r>
      <w:r w:rsidR="00DB1635" w:rsidRPr="00B004EE">
        <w:rPr>
          <w:rFonts w:ascii="Tahoma" w:eastAsia="American Typewriter" w:hAnsi="Tahoma" w:cs="Tahoma"/>
          <w:spacing w:val="-24"/>
          <w:sz w:val="20"/>
          <w:szCs w:val="20"/>
        </w:rPr>
        <w:t xml:space="preserve"> </w:t>
      </w:r>
      <w:r w:rsidRPr="00B004EE">
        <w:rPr>
          <w:rFonts w:ascii="Tahoma" w:eastAsia="American Typewriter" w:hAnsi="Tahoma" w:cs="Tahoma"/>
          <w:sz w:val="20"/>
          <w:szCs w:val="20"/>
        </w:rPr>
        <w:t>provisoire</w:t>
      </w:r>
      <w:r w:rsidR="00DB1635" w:rsidRPr="00B004EE">
        <w:rPr>
          <w:rFonts w:ascii="Tahoma" w:eastAsia="American Typewriter" w:hAnsi="Tahoma" w:cs="Tahoma"/>
          <w:spacing w:val="-24"/>
          <w:sz w:val="20"/>
          <w:szCs w:val="20"/>
        </w:rPr>
        <w:t xml:space="preserve"> </w:t>
      </w:r>
      <w:r w:rsidRPr="00B004EE">
        <w:rPr>
          <w:rFonts w:ascii="Tahoma" w:eastAsia="American Typewriter" w:hAnsi="Tahoma" w:cs="Tahoma"/>
          <w:sz w:val="20"/>
          <w:szCs w:val="20"/>
        </w:rPr>
        <w:t>ou</w:t>
      </w:r>
      <w:r w:rsidR="00DB1635" w:rsidRPr="00B004EE">
        <w:rPr>
          <w:rFonts w:ascii="Tahoma" w:eastAsia="American Typewriter" w:hAnsi="Tahoma" w:cs="Tahoma"/>
          <w:spacing w:val="-24"/>
          <w:sz w:val="20"/>
          <w:szCs w:val="20"/>
        </w:rPr>
        <w:t xml:space="preserve"> </w:t>
      </w:r>
      <w:r w:rsidRPr="00B004EE">
        <w:rPr>
          <w:rFonts w:ascii="Tahoma" w:eastAsia="American Typewriter" w:hAnsi="Tahoma" w:cs="Tahoma"/>
          <w:sz w:val="20"/>
          <w:szCs w:val="20"/>
        </w:rPr>
        <w:t>définitif</w:t>
      </w:r>
      <w:r w:rsidR="00DB1635" w:rsidRPr="00B004EE">
        <w:rPr>
          <w:rFonts w:ascii="Tahoma" w:eastAsia="American Typewriter" w:hAnsi="Tahoma" w:cs="Tahoma"/>
          <w:spacing w:val="-24"/>
          <w:sz w:val="20"/>
          <w:szCs w:val="20"/>
        </w:rPr>
        <w:t xml:space="preserve"> </w:t>
      </w:r>
      <w:r w:rsidRPr="00B004EE">
        <w:rPr>
          <w:rFonts w:ascii="Tahoma" w:eastAsia="American Typewriter" w:hAnsi="Tahoma" w:cs="Tahoma"/>
          <w:sz w:val="20"/>
          <w:szCs w:val="20"/>
        </w:rPr>
        <w:t>l’exercice</w:t>
      </w:r>
      <w:r w:rsidR="00DB1635" w:rsidRPr="00B004EE">
        <w:rPr>
          <w:rFonts w:ascii="Tahoma" w:eastAsia="American Typewriter" w:hAnsi="Tahoma" w:cs="Tahoma"/>
          <w:spacing w:val="-24"/>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pacing w:val="-24"/>
          <w:sz w:val="20"/>
          <w:szCs w:val="20"/>
        </w:rPr>
        <w:t xml:space="preserve"> </w:t>
      </w:r>
      <w:r w:rsidRPr="00B004EE">
        <w:rPr>
          <w:rFonts w:ascii="Tahoma" w:eastAsia="American Typewriter" w:hAnsi="Tahoma" w:cs="Tahoma"/>
          <w:sz w:val="20"/>
          <w:szCs w:val="20"/>
        </w:rPr>
        <w:t>la</w:t>
      </w:r>
      <w:r w:rsidR="00DB1635" w:rsidRPr="00B004EE">
        <w:rPr>
          <w:rFonts w:ascii="Tahoma" w:eastAsia="American Typewriter" w:hAnsi="Tahoma" w:cs="Tahoma"/>
          <w:spacing w:val="-24"/>
          <w:sz w:val="20"/>
          <w:szCs w:val="20"/>
        </w:rPr>
        <w:t xml:space="preserve"> </w:t>
      </w:r>
      <w:r w:rsidRPr="00B004EE">
        <w:rPr>
          <w:rFonts w:ascii="Tahoma" w:eastAsia="American Typewriter" w:hAnsi="Tahoma" w:cs="Tahoma"/>
          <w:sz w:val="20"/>
          <w:szCs w:val="20"/>
        </w:rPr>
        <w:t>profession</w:t>
      </w:r>
    </w:p>
    <w:p w14:paraId="771D8396" w14:textId="77777777" w:rsidR="001E7C3C" w:rsidRPr="00B004EE" w:rsidRDefault="001E7C3C" w:rsidP="00B004EE">
      <w:pPr>
        <w:pStyle w:val="Corpsdetexte"/>
        <w:ind w:right="163"/>
        <w:rPr>
          <w:rFonts w:ascii="Tahoma" w:hAnsi="Tahoma" w:cs="Tahoma"/>
          <w:sz w:val="20"/>
          <w:szCs w:val="20"/>
        </w:rPr>
      </w:pPr>
    </w:p>
    <w:p w14:paraId="7EE1305A" w14:textId="7B0FE6EE" w:rsidR="001E7C3C" w:rsidRPr="00B004EE" w:rsidRDefault="00852255" w:rsidP="00B004EE">
      <w:pPr>
        <w:pStyle w:val="Corpsdetexte"/>
        <w:ind w:right="163"/>
        <w:rPr>
          <w:rFonts w:ascii="Tahoma" w:hAnsi="Tahoma" w:cs="Tahoma"/>
          <w:sz w:val="20"/>
          <w:szCs w:val="20"/>
        </w:rPr>
      </w:pPr>
      <w:r w:rsidRPr="00B004EE">
        <w:rPr>
          <w:rFonts w:ascii="Tahoma" w:hAnsi="Tahoma" w:cs="Tahoma"/>
          <w:sz w:val="20"/>
          <w:szCs w:val="20"/>
        </w:rPr>
        <w:t>Dans</w:t>
      </w:r>
      <w:r w:rsidR="00DB1635" w:rsidRPr="00B004EE">
        <w:rPr>
          <w:rFonts w:ascii="Tahoma" w:hAnsi="Tahoma" w:cs="Tahoma"/>
          <w:sz w:val="20"/>
          <w:szCs w:val="20"/>
        </w:rPr>
        <w:t xml:space="preserve"> </w:t>
      </w:r>
      <w:r w:rsidR="001E7C3C" w:rsidRPr="00B004EE">
        <w:rPr>
          <w:rFonts w:ascii="Tahoma" w:hAnsi="Tahoma" w:cs="Tahoma"/>
          <w:sz w:val="20"/>
          <w:szCs w:val="20"/>
        </w:rPr>
        <w:t>les</w:t>
      </w:r>
      <w:r w:rsidR="00DB1635" w:rsidRPr="00B004EE">
        <w:rPr>
          <w:rFonts w:ascii="Tahoma" w:hAnsi="Tahoma" w:cs="Tahoma"/>
          <w:sz w:val="20"/>
          <w:szCs w:val="20"/>
        </w:rPr>
        <w:t xml:space="preserve"> </w:t>
      </w:r>
      <w:r w:rsidR="001E7C3C" w:rsidRPr="00B004EE">
        <w:rPr>
          <w:rFonts w:ascii="Tahoma" w:hAnsi="Tahoma" w:cs="Tahoma"/>
          <w:sz w:val="20"/>
          <w:szCs w:val="20"/>
        </w:rPr>
        <w:t>eaux</w:t>
      </w:r>
      <w:r w:rsidR="00DB1635" w:rsidRPr="00B004EE">
        <w:rPr>
          <w:rFonts w:ascii="Tahoma" w:hAnsi="Tahoma" w:cs="Tahoma"/>
          <w:sz w:val="20"/>
          <w:szCs w:val="20"/>
        </w:rPr>
        <w:t xml:space="preserve"> </w:t>
      </w:r>
      <w:r w:rsidR="001E7C3C" w:rsidRPr="00B004EE">
        <w:rPr>
          <w:rFonts w:ascii="Tahoma" w:hAnsi="Tahoma" w:cs="Tahoma"/>
          <w:sz w:val="20"/>
          <w:szCs w:val="20"/>
        </w:rPr>
        <w:t>sous</w:t>
      </w:r>
      <w:r w:rsidR="00DB1635" w:rsidRPr="00B004EE">
        <w:rPr>
          <w:rFonts w:ascii="Tahoma" w:hAnsi="Tahoma" w:cs="Tahoma"/>
          <w:sz w:val="20"/>
          <w:szCs w:val="20"/>
        </w:rPr>
        <w:t xml:space="preserve"> </w:t>
      </w:r>
      <w:r w:rsidR="001E7C3C" w:rsidRPr="00B004EE">
        <w:rPr>
          <w:rFonts w:ascii="Tahoma" w:hAnsi="Tahoma" w:cs="Tahoma"/>
          <w:sz w:val="20"/>
          <w:szCs w:val="20"/>
        </w:rPr>
        <w:t>juridiction</w:t>
      </w:r>
      <w:r w:rsidR="00DB1635" w:rsidRPr="00B004EE">
        <w:rPr>
          <w:rFonts w:ascii="Tahoma" w:hAnsi="Tahoma" w:cs="Tahoma"/>
          <w:sz w:val="20"/>
          <w:szCs w:val="20"/>
        </w:rPr>
        <w:t xml:space="preserve"> </w:t>
      </w:r>
      <w:r w:rsidR="001E7C3C" w:rsidRPr="00B004EE">
        <w:rPr>
          <w:rFonts w:ascii="Tahoma" w:hAnsi="Tahoma" w:cs="Tahoma"/>
          <w:sz w:val="20"/>
          <w:szCs w:val="20"/>
        </w:rPr>
        <w:t>mauritanienne</w:t>
      </w:r>
      <w:r w:rsidR="00DB1635" w:rsidRPr="00B004EE">
        <w:rPr>
          <w:rFonts w:ascii="Tahoma" w:hAnsi="Tahoma" w:cs="Tahoma"/>
          <w:sz w:val="20"/>
          <w:szCs w:val="20"/>
        </w:rPr>
        <w:t xml:space="preserve"> </w:t>
      </w:r>
      <w:r w:rsidR="001E7C3C" w:rsidRPr="00B004EE">
        <w:rPr>
          <w:rFonts w:ascii="Tahoma" w:hAnsi="Tahoma" w:cs="Tahoma"/>
          <w:sz w:val="20"/>
          <w:szCs w:val="20"/>
        </w:rPr>
        <w:t>à</w:t>
      </w:r>
      <w:r w:rsidR="00DB1635" w:rsidRPr="00B004EE">
        <w:rPr>
          <w:rFonts w:ascii="Tahoma" w:hAnsi="Tahoma" w:cs="Tahoma"/>
          <w:sz w:val="20"/>
          <w:szCs w:val="20"/>
        </w:rPr>
        <w:t xml:space="preserve"> </w:t>
      </w:r>
      <w:r w:rsidR="001E7C3C" w:rsidRPr="00B004EE">
        <w:rPr>
          <w:rFonts w:ascii="Tahoma" w:hAnsi="Tahoma" w:cs="Tahoma"/>
          <w:sz w:val="20"/>
          <w:szCs w:val="20"/>
        </w:rPr>
        <w:t>tout</w:t>
      </w:r>
      <w:r w:rsidR="00DB1635" w:rsidRPr="00B004EE">
        <w:rPr>
          <w:rFonts w:ascii="Tahoma" w:hAnsi="Tahoma" w:cs="Tahoma"/>
          <w:sz w:val="20"/>
          <w:szCs w:val="20"/>
        </w:rPr>
        <w:t xml:space="preserve"> </w:t>
      </w:r>
      <w:r w:rsidR="001E7C3C" w:rsidRPr="00B004EE">
        <w:rPr>
          <w:rFonts w:ascii="Tahoma" w:hAnsi="Tahoma" w:cs="Tahoma"/>
          <w:sz w:val="20"/>
          <w:szCs w:val="20"/>
        </w:rPr>
        <w:t>capitaine</w:t>
      </w:r>
      <w:r w:rsidR="00DB1635" w:rsidRPr="00B004EE">
        <w:rPr>
          <w:rFonts w:ascii="Tahoma" w:hAnsi="Tahoma" w:cs="Tahoma"/>
          <w:sz w:val="20"/>
          <w:szCs w:val="20"/>
        </w:rPr>
        <w:t xml:space="preserve"> </w:t>
      </w:r>
      <w:r w:rsidR="001E7C3C" w:rsidRPr="00B004EE">
        <w:rPr>
          <w:rFonts w:ascii="Tahoma" w:hAnsi="Tahoma" w:cs="Tahoma"/>
          <w:sz w:val="20"/>
          <w:szCs w:val="20"/>
        </w:rPr>
        <w:t>ou</w:t>
      </w:r>
      <w:r w:rsidR="00DB1635" w:rsidRPr="00B004EE">
        <w:rPr>
          <w:rFonts w:ascii="Tahoma" w:hAnsi="Tahoma" w:cs="Tahoma"/>
          <w:spacing w:val="4"/>
          <w:sz w:val="20"/>
          <w:szCs w:val="20"/>
        </w:rPr>
        <w:t xml:space="preserve"> </w:t>
      </w:r>
      <w:r w:rsidR="001E7C3C" w:rsidRPr="00B004EE">
        <w:rPr>
          <w:rFonts w:ascii="Tahoma" w:hAnsi="Tahoma" w:cs="Tahoma"/>
          <w:sz w:val="20"/>
          <w:szCs w:val="20"/>
        </w:rPr>
        <w:t>membre</w:t>
      </w:r>
      <w:r w:rsidR="00DB1635" w:rsidRPr="00B004EE">
        <w:rPr>
          <w:rFonts w:ascii="Tahoma" w:hAnsi="Tahoma" w:cs="Tahoma"/>
          <w:w w:val="94"/>
          <w:sz w:val="20"/>
          <w:szCs w:val="20"/>
        </w:rPr>
        <w:t xml:space="preserve"> </w:t>
      </w:r>
      <w:r w:rsidR="001E7C3C" w:rsidRPr="00B004EE">
        <w:rPr>
          <w:rFonts w:ascii="Tahoma" w:eastAsia="American Typewriter" w:hAnsi="Tahoma" w:cs="Tahoma"/>
          <w:sz w:val="20"/>
          <w:szCs w:val="20"/>
        </w:rPr>
        <w:t>d’équipage</w:t>
      </w:r>
      <w:r w:rsidR="00DB1635" w:rsidRPr="00B004EE">
        <w:rPr>
          <w:rFonts w:ascii="Tahoma" w:eastAsia="American Typewriter" w:hAnsi="Tahoma" w:cs="Tahoma"/>
          <w:spacing w:val="-6"/>
          <w:sz w:val="20"/>
          <w:szCs w:val="20"/>
        </w:rPr>
        <w:t xml:space="preserve"> </w:t>
      </w:r>
      <w:r w:rsidR="001E7C3C" w:rsidRPr="00B004EE">
        <w:rPr>
          <w:rFonts w:ascii="Tahoma" w:eastAsia="American Typewriter" w:hAnsi="Tahoma" w:cs="Tahoma"/>
          <w:sz w:val="20"/>
          <w:szCs w:val="20"/>
        </w:rPr>
        <w:t>d’un</w:t>
      </w:r>
      <w:r w:rsidR="00DB1635" w:rsidRPr="00B004EE">
        <w:rPr>
          <w:rFonts w:ascii="Tahoma" w:eastAsia="American Typewriter" w:hAnsi="Tahoma" w:cs="Tahoma"/>
          <w:spacing w:val="-7"/>
          <w:sz w:val="20"/>
          <w:szCs w:val="20"/>
        </w:rPr>
        <w:t xml:space="preserve"> </w:t>
      </w:r>
      <w:r w:rsidR="001E7C3C" w:rsidRPr="00B004EE">
        <w:rPr>
          <w:rFonts w:ascii="Tahoma" w:eastAsia="American Typewriter" w:hAnsi="Tahoma" w:cs="Tahoma"/>
          <w:sz w:val="20"/>
          <w:szCs w:val="20"/>
        </w:rPr>
        <w:t>navire</w:t>
      </w:r>
      <w:r w:rsidR="00DB1635" w:rsidRPr="00B004EE">
        <w:rPr>
          <w:rFonts w:ascii="Tahoma" w:eastAsia="American Typewriter" w:hAnsi="Tahoma" w:cs="Tahoma"/>
          <w:spacing w:val="-6"/>
          <w:sz w:val="20"/>
          <w:szCs w:val="20"/>
        </w:rPr>
        <w:t xml:space="preserve"> </w:t>
      </w:r>
      <w:r w:rsidR="001E7C3C" w:rsidRPr="00B004EE">
        <w:rPr>
          <w:rFonts w:ascii="Tahoma" w:eastAsia="American Typewriter" w:hAnsi="Tahoma" w:cs="Tahoma"/>
          <w:sz w:val="20"/>
          <w:szCs w:val="20"/>
        </w:rPr>
        <w:t>utilisé</w:t>
      </w:r>
      <w:r w:rsidR="00DB1635" w:rsidRPr="00B004EE">
        <w:rPr>
          <w:rFonts w:ascii="Tahoma" w:eastAsia="American Typewriter" w:hAnsi="Tahoma" w:cs="Tahoma"/>
          <w:spacing w:val="-7"/>
          <w:sz w:val="20"/>
          <w:szCs w:val="20"/>
        </w:rPr>
        <w:t xml:space="preserve"> </w:t>
      </w:r>
      <w:r w:rsidR="001E7C3C" w:rsidRPr="00B004EE">
        <w:rPr>
          <w:rFonts w:ascii="Tahoma" w:eastAsia="American Typewriter" w:hAnsi="Tahoma" w:cs="Tahoma"/>
          <w:sz w:val="20"/>
          <w:szCs w:val="20"/>
        </w:rPr>
        <w:t>dans</w:t>
      </w:r>
      <w:r w:rsidR="00DB1635" w:rsidRPr="00B004EE">
        <w:rPr>
          <w:rFonts w:ascii="Tahoma" w:eastAsia="American Typewriter" w:hAnsi="Tahoma" w:cs="Tahoma"/>
          <w:spacing w:val="-7"/>
          <w:sz w:val="20"/>
          <w:szCs w:val="20"/>
        </w:rPr>
        <w:t xml:space="preserve"> </w:t>
      </w:r>
      <w:r w:rsidR="001E7C3C" w:rsidRPr="00B004EE">
        <w:rPr>
          <w:rFonts w:ascii="Tahoma" w:eastAsia="American Typewriter" w:hAnsi="Tahoma" w:cs="Tahoma"/>
          <w:sz w:val="20"/>
          <w:szCs w:val="20"/>
        </w:rPr>
        <w:t>la</w:t>
      </w:r>
      <w:r w:rsidR="00DB1635" w:rsidRPr="00B004EE">
        <w:rPr>
          <w:rFonts w:ascii="Tahoma" w:eastAsia="American Typewriter" w:hAnsi="Tahoma" w:cs="Tahoma"/>
          <w:spacing w:val="-6"/>
          <w:sz w:val="20"/>
          <w:szCs w:val="20"/>
        </w:rPr>
        <w:t xml:space="preserve"> </w:t>
      </w:r>
      <w:r w:rsidR="001E7C3C" w:rsidRPr="00B004EE">
        <w:rPr>
          <w:rFonts w:ascii="Tahoma" w:eastAsia="American Typewriter" w:hAnsi="Tahoma" w:cs="Tahoma"/>
          <w:sz w:val="20"/>
          <w:szCs w:val="20"/>
        </w:rPr>
        <w:t>commission</w:t>
      </w:r>
      <w:r w:rsidR="00DB1635" w:rsidRPr="00B004EE">
        <w:rPr>
          <w:rFonts w:ascii="Tahoma" w:eastAsia="American Typewriter" w:hAnsi="Tahoma" w:cs="Tahoma"/>
          <w:spacing w:val="-7"/>
          <w:sz w:val="20"/>
          <w:szCs w:val="20"/>
        </w:rPr>
        <w:t xml:space="preserve"> </w:t>
      </w:r>
      <w:r w:rsidR="001E7C3C" w:rsidRPr="00B004EE">
        <w:rPr>
          <w:rFonts w:ascii="Tahoma" w:eastAsia="American Typewriter" w:hAnsi="Tahoma" w:cs="Tahoma"/>
          <w:sz w:val="20"/>
          <w:szCs w:val="20"/>
        </w:rPr>
        <w:t>d’une</w:t>
      </w:r>
      <w:r w:rsidR="00DB1635" w:rsidRPr="00B004EE">
        <w:rPr>
          <w:rFonts w:ascii="Tahoma" w:eastAsia="American Typewriter" w:hAnsi="Tahoma" w:cs="Tahoma"/>
          <w:spacing w:val="-7"/>
          <w:sz w:val="20"/>
          <w:szCs w:val="20"/>
        </w:rPr>
        <w:t xml:space="preserve"> </w:t>
      </w:r>
      <w:r w:rsidR="001E7C3C" w:rsidRPr="00B004EE">
        <w:rPr>
          <w:rFonts w:ascii="Tahoma" w:eastAsia="American Typewriter" w:hAnsi="Tahoma" w:cs="Tahoma"/>
          <w:sz w:val="20"/>
          <w:szCs w:val="20"/>
        </w:rPr>
        <w:t>infraction</w:t>
      </w:r>
      <w:r w:rsidR="00DB1635" w:rsidRPr="00B004EE">
        <w:rPr>
          <w:rFonts w:ascii="Tahoma" w:eastAsia="American Typewriter" w:hAnsi="Tahoma" w:cs="Tahoma"/>
          <w:spacing w:val="-7"/>
          <w:sz w:val="20"/>
          <w:szCs w:val="20"/>
        </w:rPr>
        <w:t xml:space="preserve"> </w:t>
      </w:r>
      <w:r w:rsidR="001E7C3C" w:rsidRPr="00B004EE">
        <w:rPr>
          <w:rFonts w:ascii="Tahoma" w:eastAsia="American Typewriter" w:hAnsi="Tahoma" w:cs="Tahoma"/>
          <w:sz w:val="20"/>
          <w:szCs w:val="20"/>
        </w:rPr>
        <w:t>à</w:t>
      </w:r>
      <w:r w:rsidR="00DB1635" w:rsidRPr="00B004EE">
        <w:rPr>
          <w:rFonts w:ascii="Tahoma" w:eastAsia="American Typewriter" w:hAnsi="Tahoma" w:cs="Tahoma"/>
          <w:spacing w:val="-7"/>
          <w:sz w:val="20"/>
          <w:szCs w:val="20"/>
        </w:rPr>
        <w:t xml:space="preserve"> </w:t>
      </w:r>
      <w:r w:rsidR="001E7C3C" w:rsidRPr="00B004EE">
        <w:rPr>
          <w:rFonts w:ascii="Tahoma" w:eastAsia="American Typewriter" w:hAnsi="Tahoma" w:cs="Tahoma"/>
          <w:sz w:val="20"/>
          <w:szCs w:val="20"/>
        </w:rPr>
        <w:t>la</w:t>
      </w:r>
      <w:r w:rsidR="00DB1635" w:rsidRPr="00B004EE">
        <w:rPr>
          <w:rFonts w:ascii="Tahoma" w:eastAsia="American Typewriter" w:hAnsi="Tahoma" w:cs="Tahoma"/>
          <w:spacing w:val="-7"/>
          <w:sz w:val="20"/>
          <w:szCs w:val="20"/>
        </w:rPr>
        <w:t xml:space="preserve"> </w:t>
      </w:r>
      <w:r w:rsidR="001E7C3C" w:rsidRPr="00B004EE">
        <w:rPr>
          <w:rFonts w:ascii="Tahoma" w:eastAsia="American Typewriter" w:hAnsi="Tahoma" w:cs="Tahoma"/>
          <w:sz w:val="20"/>
          <w:szCs w:val="20"/>
        </w:rPr>
        <w:t>législation</w:t>
      </w:r>
      <w:r w:rsidR="00DB1635" w:rsidRPr="00B004EE">
        <w:rPr>
          <w:rFonts w:ascii="Tahoma" w:eastAsia="American Typewriter" w:hAnsi="Tahoma" w:cs="Tahoma"/>
          <w:w w:val="93"/>
          <w:sz w:val="20"/>
          <w:szCs w:val="20"/>
        </w:rPr>
        <w:t xml:space="preserve"> </w:t>
      </w:r>
      <w:r w:rsidR="001E7C3C" w:rsidRPr="00B004EE">
        <w:rPr>
          <w:rFonts w:ascii="Tahoma" w:eastAsia="American Typewriter" w:hAnsi="Tahoma" w:cs="Tahoma"/>
          <w:sz w:val="20"/>
          <w:szCs w:val="20"/>
        </w:rPr>
        <w:t>sur</w:t>
      </w:r>
      <w:r w:rsidR="00DB1635" w:rsidRPr="00B004EE">
        <w:rPr>
          <w:rFonts w:ascii="Tahoma" w:eastAsia="American Typewriter" w:hAnsi="Tahoma" w:cs="Tahoma"/>
          <w:sz w:val="20"/>
          <w:szCs w:val="20"/>
        </w:rPr>
        <w:t xml:space="preserve"> </w:t>
      </w:r>
      <w:r w:rsidR="001E7C3C" w:rsidRPr="00B004EE">
        <w:rPr>
          <w:rFonts w:ascii="Tahoma" w:eastAsia="American Typewriter" w:hAnsi="Tahoma" w:cs="Tahoma"/>
          <w:sz w:val="20"/>
          <w:szCs w:val="20"/>
        </w:rPr>
        <w:t>les</w:t>
      </w:r>
      <w:r w:rsidR="00DB1635" w:rsidRPr="00B004EE">
        <w:rPr>
          <w:rFonts w:ascii="Tahoma" w:eastAsia="American Typewriter" w:hAnsi="Tahoma" w:cs="Tahoma"/>
          <w:sz w:val="20"/>
          <w:szCs w:val="20"/>
        </w:rPr>
        <w:t xml:space="preserve"> </w:t>
      </w:r>
      <w:r w:rsidR="001E7C3C" w:rsidRPr="00B004EE">
        <w:rPr>
          <w:rFonts w:ascii="Tahoma" w:eastAsia="American Typewriter" w:hAnsi="Tahoma" w:cs="Tahoma"/>
          <w:sz w:val="20"/>
          <w:szCs w:val="20"/>
        </w:rPr>
        <w:t>pêches</w:t>
      </w:r>
      <w:r w:rsidR="00DB1635" w:rsidRPr="00B004EE">
        <w:rPr>
          <w:rFonts w:ascii="Tahoma" w:eastAsia="American Typewriter" w:hAnsi="Tahoma" w:cs="Tahoma"/>
          <w:sz w:val="20"/>
          <w:szCs w:val="20"/>
        </w:rPr>
        <w:t xml:space="preserve"> </w:t>
      </w:r>
      <w:r w:rsidR="001E7C3C" w:rsidRPr="00B004EE">
        <w:rPr>
          <w:rFonts w:ascii="Tahoma" w:eastAsia="American Typewriter" w:hAnsi="Tahoma" w:cs="Tahoma"/>
          <w:sz w:val="20"/>
          <w:szCs w:val="20"/>
        </w:rPr>
        <w:t>et</w:t>
      </w:r>
      <w:r w:rsidR="00DB1635" w:rsidRPr="00B004EE">
        <w:rPr>
          <w:rFonts w:ascii="Tahoma" w:eastAsia="American Typewriter" w:hAnsi="Tahoma" w:cs="Tahoma"/>
          <w:sz w:val="20"/>
          <w:szCs w:val="20"/>
        </w:rPr>
        <w:t xml:space="preserve"> </w:t>
      </w:r>
      <w:r w:rsidR="001E7C3C" w:rsidRPr="00B004EE">
        <w:rPr>
          <w:rFonts w:ascii="Tahoma" w:eastAsia="American Typewriter" w:hAnsi="Tahoma" w:cs="Tahoma"/>
          <w:sz w:val="20"/>
          <w:szCs w:val="20"/>
        </w:rPr>
        <w:t>ses</w:t>
      </w:r>
      <w:r w:rsidR="00DB1635" w:rsidRPr="00B004EE">
        <w:rPr>
          <w:rFonts w:ascii="Tahoma" w:eastAsia="American Typewriter" w:hAnsi="Tahoma" w:cs="Tahoma"/>
          <w:sz w:val="20"/>
          <w:szCs w:val="20"/>
        </w:rPr>
        <w:t xml:space="preserve"> </w:t>
      </w:r>
      <w:r w:rsidR="001E7C3C" w:rsidRPr="00B004EE">
        <w:rPr>
          <w:rFonts w:ascii="Tahoma" w:eastAsia="American Typewriter" w:hAnsi="Tahoma" w:cs="Tahoma"/>
          <w:sz w:val="20"/>
          <w:szCs w:val="20"/>
        </w:rPr>
        <w:t>règlement</w:t>
      </w:r>
      <w:r w:rsidR="00DB1635" w:rsidRPr="00B004EE">
        <w:rPr>
          <w:rFonts w:ascii="Tahoma" w:eastAsia="American Typewriter" w:hAnsi="Tahoma" w:cs="Tahoma"/>
          <w:sz w:val="20"/>
          <w:szCs w:val="20"/>
        </w:rPr>
        <w:t xml:space="preserve"> </w:t>
      </w:r>
      <w:r w:rsidR="001E7C3C" w:rsidRPr="00B004EE">
        <w:rPr>
          <w:rFonts w:ascii="Tahoma" w:eastAsia="American Typewriter" w:hAnsi="Tahoma" w:cs="Tahoma"/>
          <w:sz w:val="20"/>
          <w:szCs w:val="20"/>
        </w:rPr>
        <w:t>d’application</w:t>
      </w:r>
      <w:r w:rsidR="00DB1635" w:rsidRPr="00B004EE">
        <w:rPr>
          <w:rFonts w:ascii="Tahoma" w:eastAsia="American Typewriter" w:hAnsi="Tahoma" w:cs="Tahoma"/>
          <w:sz w:val="20"/>
          <w:szCs w:val="20"/>
        </w:rPr>
        <w:t xml:space="preserve"> </w:t>
      </w:r>
      <w:r w:rsidR="001E7C3C" w:rsidRPr="00B004EE">
        <w:rPr>
          <w:rFonts w:ascii="Tahoma" w:eastAsia="American Typewriter" w:hAnsi="Tahoma" w:cs="Tahoma"/>
          <w:sz w:val="20"/>
          <w:szCs w:val="20"/>
        </w:rPr>
        <w:t>ou</w:t>
      </w:r>
      <w:r w:rsidR="00DB1635" w:rsidRPr="00B004EE">
        <w:rPr>
          <w:rFonts w:ascii="Tahoma" w:eastAsia="American Typewriter" w:hAnsi="Tahoma" w:cs="Tahoma"/>
          <w:sz w:val="20"/>
          <w:szCs w:val="20"/>
        </w:rPr>
        <w:t xml:space="preserve"> </w:t>
      </w:r>
      <w:r w:rsidR="001E7C3C" w:rsidRPr="00B004EE">
        <w:rPr>
          <w:rFonts w:ascii="Tahoma" w:eastAsia="American Typewriter" w:hAnsi="Tahoma" w:cs="Tahoma"/>
          <w:sz w:val="20"/>
          <w:szCs w:val="20"/>
        </w:rPr>
        <w:t>aux</w:t>
      </w:r>
      <w:r w:rsidR="00DB1635" w:rsidRPr="00B004EE">
        <w:rPr>
          <w:rFonts w:ascii="Tahoma" w:eastAsia="American Typewriter" w:hAnsi="Tahoma" w:cs="Tahoma"/>
          <w:sz w:val="20"/>
          <w:szCs w:val="20"/>
        </w:rPr>
        <w:t xml:space="preserve"> </w:t>
      </w:r>
      <w:r w:rsidR="001E7C3C" w:rsidRPr="00B004EE">
        <w:rPr>
          <w:rFonts w:ascii="Tahoma" w:eastAsia="American Typewriter" w:hAnsi="Tahoma" w:cs="Tahoma"/>
          <w:sz w:val="20"/>
          <w:szCs w:val="20"/>
        </w:rPr>
        <w:t>conditions</w:t>
      </w:r>
      <w:r w:rsidR="00DB1635" w:rsidRPr="00B004EE">
        <w:rPr>
          <w:rFonts w:ascii="Tahoma" w:eastAsia="American Typewriter" w:hAnsi="Tahoma" w:cs="Tahoma"/>
          <w:sz w:val="20"/>
          <w:szCs w:val="20"/>
        </w:rPr>
        <w:t xml:space="preserve"> </w:t>
      </w:r>
      <w:r w:rsidR="001E7C3C" w:rsidRPr="00B004EE">
        <w:rPr>
          <w:rFonts w:ascii="Tahoma" w:eastAsia="American Typewriter" w:hAnsi="Tahoma" w:cs="Tahoma"/>
          <w:sz w:val="20"/>
          <w:szCs w:val="20"/>
        </w:rPr>
        <w:t>auxquelles</w:t>
      </w:r>
      <w:r w:rsidR="00DB1635" w:rsidRPr="00B004EE">
        <w:rPr>
          <w:rFonts w:ascii="Tahoma" w:eastAsia="American Typewriter" w:hAnsi="Tahoma" w:cs="Tahoma"/>
          <w:spacing w:val="52"/>
          <w:sz w:val="20"/>
          <w:szCs w:val="20"/>
        </w:rPr>
        <w:t xml:space="preserve"> </w:t>
      </w:r>
      <w:r w:rsidR="001E7C3C" w:rsidRPr="00B004EE">
        <w:rPr>
          <w:rFonts w:ascii="Tahoma" w:eastAsia="American Typewriter" w:hAnsi="Tahoma" w:cs="Tahoma"/>
          <w:sz w:val="20"/>
          <w:szCs w:val="20"/>
        </w:rPr>
        <w:t>sont</w:t>
      </w:r>
      <w:r w:rsidR="00DB1635" w:rsidRPr="00B004EE">
        <w:rPr>
          <w:rFonts w:ascii="Tahoma" w:eastAsia="American Typewriter" w:hAnsi="Tahoma" w:cs="Tahoma"/>
          <w:w w:val="97"/>
          <w:sz w:val="20"/>
          <w:szCs w:val="20"/>
        </w:rPr>
        <w:t xml:space="preserve"> </w:t>
      </w:r>
      <w:r w:rsidR="001E7C3C" w:rsidRPr="00B004EE">
        <w:rPr>
          <w:rFonts w:ascii="Tahoma" w:hAnsi="Tahoma" w:cs="Tahoma"/>
          <w:sz w:val="20"/>
          <w:szCs w:val="20"/>
        </w:rPr>
        <w:t>assujetties</w:t>
      </w:r>
      <w:r w:rsidR="00DB1635" w:rsidRPr="00B004EE">
        <w:rPr>
          <w:rFonts w:ascii="Tahoma" w:hAnsi="Tahoma" w:cs="Tahoma"/>
          <w:spacing w:val="-31"/>
          <w:sz w:val="20"/>
          <w:szCs w:val="20"/>
        </w:rPr>
        <w:t xml:space="preserve"> </w:t>
      </w:r>
      <w:r w:rsidR="001E7C3C" w:rsidRPr="00B004EE">
        <w:rPr>
          <w:rFonts w:ascii="Tahoma" w:hAnsi="Tahoma" w:cs="Tahoma"/>
          <w:sz w:val="20"/>
          <w:szCs w:val="20"/>
        </w:rPr>
        <w:t>les</w:t>
      </w:r>
      <w:r w:rsidR="00DB1635" w:rsidRPr="00B004EE">
        <w:rPr>
          <w:rFonts w:ascii="Tahoma" w:hAnsi="Tahoma" w:cs="Tahoma"/>
          <w:spacing w:val="-31"/>
          <w:sz w:val="20"/>
          <w:szCs w:val="20"/>
        </w:rPr>
        <w:t xml:space="preserve"> </w:t>
      </w:r>
      <w:r w:rsidR="001E7C3C" w:rsidRPr="00B004EE">
        <w:rPr>
          <w:rFonts w:ascii="Tahoma" w:eastAsia="American Typewriter" w:hAnsi="Tahoma" w:cs="Tahoma"/>
          <w:sz w:val="20"/>
          <w:szCs w:val="20"/>
        </w:rPr>
        <w:t>concessions</w:t>
      </w:r>
      <w:r w:rsidR="00DB1635" w:rsidRPr="00B004EE">
        <w:rPr>
          <w:rFonts w:ascii="Tahoma" w:eastAsia="American Typewriter" w:hAnsi="Tahoma" w:cs="Tahoma"/>
          <w:spacing w:val="-32"/>
          <w:sz w:val="20"/>
          <w:szCs w:val="20"/>
        </w:rPr>
        <w:t xml:space="preserve"> </w:t>
      </w:r>
      <w:r w:rsidR="001E7C3C" w:rsidRPr="00B004EE">
        <w:rPr>
          <w:rFonts w:ascii="Tahoma" w:eastAsia="American Typewriter" w:hAnsi="Tahoma" w:cs="Tahoma"/>
          <w:sz w:val="20"/>
          <w:szCs w:val="20"/>
        </w:rPr>
        <w:t>de</w:t>
      </w:r>
      <w:r w:rsidR="00DB1635" w:rsidRPr="00B004EE">
        <w:rPr>
          <w:rFonts w:ascii="Tahoma" w:eastAsia="American Typewriter" w:hAnsi="Tahoma" w:cs="Tahoma"/>
          <w:spacing w:val="-31"/>
          <w:sz w:val="20"/>
          <w:szCs w:val="20"/>
        </w:rPr>
        <w:t xml:space="preserve"> </w:t>
      </w:r>
      <w:r w:rsidR="001E7C3C" w:rsidRPr="00B004EE">
        <w:rPr>
          <w:rFonts w:ascii="Tahoma" w:eastAsia="American Typewriter" w:hAnsi="Tahoma" w:cs="Tahoma"/>
          <w:sz w:val="20"/>
          <w:szCs w:val="20"/>
        </w:rPr>
        <w:t>droits</w:t>
      </w:r>
      <w:r w:rsidR="00DB1635" w:rsidRPr="00B004EE">
        <w:rPr>
          <w:rFonts w:ascii="Tahoma" w:eastAsia="American Typewriter" w:hAnsi="Tahoma" w:cs="Tahoma"/>
          <w:spacing w:val="-31"/>
          <w:sz w:val="20"/>
          <w:szCs w:val="20"/>
        </w:rPr>
        <w:t xml:space="preserve"> </w:t>
      </w:r>
      <w:r w:rsidR="001E7C3C" w:rsidRPr="00B004EE">
        <w:rPr>
          <w:rFonts w:ascii="Tahoma" w:eastAsia="American Typewriter" w:hAnsi="Tahoma" w:cs="Tahoma"/>
          <w:sz w:val="20"/>
          <w:szCs w:val="20"/>
        </w:rPr>
        <w:t>d’usage</w:t>
      </w:r>
      <w:r w:rsidR="00DB1635" w:rsidRPr="00B004EE">
        <w:rPr>
          <w:rFonts w:ascii="Tahoma" w:eastAsia="American Typewriter" w:hAnsi="Tahoma" w:cs="Tahoma"/>
          <w:spacing w:val="-31"/>
          <w:sz w:val="20"/>
          <w:szCs w:val="20"/>
        </w:rPr>
        <w:t xml:space="preserve"> </w:t>
      </w:r>
      <w:r w:rsidR="001E7C3C" w:rsidRPr="00B004EE">
        <w:rPr>
          <w:rFonts w:ascii="Tahoma" w:eastAsia="American Typewriter" w:hAnsi="Tahoma" w:cs="Tahoma"/>
          <w:sz w:val="20"/>
          <w:szCs w:val="20"/>
        </w:rPr>
        <w:t>e</w:t>
      </w:r>
      <w:r w:rsidR="001E7C3C" w:rsidRPr="00B004EE">
        <w:rPr>
          <w:rFonts w:ascii="Tahoma" w:hAnsi="Tahoma" w:cs="Tahoma"/>
          <w:sz w:val="20"/>
          <w:szCs w:val="20"/>
        </w:rPr>
        <w:t>t</w:t>
      </w:r>
      <w:r w:rsidR="00DB1635" w:rsidRPr="00B004EE">
        <w:rPr>
          <w:rFonts w:ascii="Tahoma" w:hAnsi="Tahoma" w:cs="Tahoma"/>
          <w:spacing w:val="-31"/>
          <w:sz w:val="20"/>
          <w:szCs w:val="20"/>
        </w:rPr>
        <w:t xml:space="preserve"> </w:t>
      </w:r>
      <w:r w:rsidR="001E7C3C" w:rsidRPr="00B004EE">
        <w:rPr>
          <w:rFonts w:ascii="Tahoma" w:hAnsi="Tahoma" w:cs="Tahoma"/>
          <w:sz w:val="20"/>
          <w:szCs w:val="20"/>
        </w:rPr>
        <w:t>licences</w:t>
      </w:r>
      <w:r w:rsidR="00DB1635" w:rsidRPr="00B004EE">
        <w:rPr>
          <w:rFonts w:ascii="Tahoma" w:hAnsi="Tahoma" w:cs="Tahoma"/>
          <w:spacing w:val="-2"/>
          <w:sz w:val="20"/>
          <w:szCs w:val="20"/>
        </w:rPr>
        <w:t xml:space="preserve"> </w:t>
      </w:r>
      <w:r w:rsidR="001E7C3C" w:rsidRPr="00B004EE">
        <w:rPr>
          <w:rFonts w:ascii="Tahoma" w:hAnsi="Tahoma" w:cs="Tahoma"/>
          <w:sz w:val="20"/>
          <w:szCs w:val="20"/>
        </w:rPr>
        <w:t>de</w:t>
      </w:r>
      <w:r w:rsidR="00DB1635" w:rsidRPr="00B004EE">
        <w:rPr>
          <w:rFonts w:ascii="Tahoma" w:hAnsi="Tahoma" w:cs="Tahoma"/>
          <w:spacing w:val="-31"/>
          <w:sz w:val="20"/>
          <w:szCs w:val="20"/>
        </w:rPr>
        <w:t xml:space="preserve"> </w:t>
      </w:r>
      <w:r w:rsidR="001E7C3C" w:rsidRPr="00B004EE">
        <w:rPr>
          <w:rFonts w:ascii="Tahoma" w:hAnsi="Tahoma" w:cs="Tahoma"/>
          <w:sz w:val="20"/>
          <w:szCs w:val="20"/>
        </w:rPr>
        <w:t>pêche.</w:t>
      </w:r>
    </w:p>
    <w:p w14:paraId="3BA459D5" w14:textId="77777777" w:rsidR="00EE25BA" w:rsidRPr="00B004EE" w:rsidRDefault="00EE25BA" w:rsidP="00B004EE">
      <w:pPr>
        <w:pStyle w:val="Lgende"/>
        <w:rPr>
          <w:rFonts w:ascii="Tahoma" w:eastAsia="American Typewriter" w:hAnsi="Tahoma" w:cs="Tahoma"/>
        </w:rPr>
      </w:pPr>
      <w:bookmarkStart w:id="131" w:name="_Toc16279098"/>
      <w:bookmarkStart w:id="132" w:name="_Toc16279467"/>
    </w:p>
    <w:p w14:paraId="1357EF94" w14:textId="39B7B2FB" w:rsidR="001E7C3C" w:rsidRPr="00B004EE" w:rsidRDefault="001E7C3C" w:rsidP="00B004EE">
      <w:pPr>
        <w:pStyle w:val="Lgende"/>
        <w:jc w:val="center"/>
        <w:rPr>
          <w:rFonts w:ascii="Tahoma" w:eastAsia="American Typewriter" w:hAnsi="Tahoma" w:cs="Tahoma"/>
        </w:rPr>
      </w:pPr>
      <w:r w:rsidRPr="00B004EE">
        <w:rPr>
          <w:rFonts w:ascii="Tahoma" w:eastAsia="American Typewriter" w:hAnsi="Tahoma" w:cs="Tahoma"/>
        </w:rPr>
        <w:t>Sous-section</w:t>
      </w:r>
      <w:r w:rsidR="00DB1635" w:rsidRPr="00B004EE">
        <w:rPr>
          <w:rFonts w:ascii="Tahoma" w:eastAsia="American Typewriter" w:hAnsi="Tahoma" w:cs="Tahoma"/>
        </w:rPr>
        <w:t xml:space="preserve"> </w:t>
      </w:r>
      <w:r w:rsidRPr="00B004EE">
        <w:rPr>
          <w:rFonts w:ascii="Tahoma" w:eastAsia="American Typewriter" w:hAnsi="Tahoma" w:cs="Tahoma"/>
        </w:rPr>
        <w:t>3</w:t>
      </w:r>
      <w:r w:rsidR="00DB1635" w:rsidRPr="00B004EE">
        <w:rPr>
          <w:rFonts w:ascii="Tahoma" w:eastAsia="American Typewriter" w:hAnsi="Tahoma" w:cs="Tahoma"/>
        </w:rPr>
        <w:t xml:space="preserve"> </w:t>
      </w:r>
      <w:r w:rsidRPr="00B004EE">
        <w:rPr>
          <w:rFonts w:ascii="Tahoma" w:eastAsia="American Typewriter" w:hAnsi="Tahoma" w:cs="Tahoma"/>
        </w:rPr>
        <w:t>:</w:t>
      </w:r>
      <w:r w:rsidR="00DB1635" w:rsidRPr="00B004EE">
        <w:rPr>
          <w:rFonts w:ascii="Tahoma" w:eastAsia="American Typewriter" w:hAnsi="Tahoma" w:cs="Tahoma"/>
        </w:rPr>
        <w:t xml:space="preserve"> </w:t>
      </w:r>
      <w:r w:rsidRPr="00B004EE">
        <w:rPr>
          <w:rFonts w:ascii="Tahoma" w:eastAsia="American Typewriter" w:hAnsi="Tahoma" w:cs="Tahoma"/>
        </w:rPr>
        <w:t>Des</w:t>
      </w:r>
      <w:r w:rsidR="00DB1635" w:rsidRPr="00B004EE">
        <w:rPr>
          <w:rFonts w:ascii="Tahoma" w:eastAsia="American Typewriter" w:hAnsi="Tahoma" w:cs="Tahoma"/>
        </w:rPr>
        <w:t xml:space="preserve"> </w:t>
      </w:r>
      <w:r w:rsidRPr="00B004EE">
        <w:rPr>
          <w:rFonts w:ascii="Tahoma" w:eastAsia="American Typewriter" w:hAnsi="Tahoma" w:cs="Tahoma"/>
        </w:rPr>
        <w:t>autres</w:t>
      </w:r>
      <w:r w:rsidR="00DB1635" w:rsidRPr="00B004EE">
        <w:rPr>
          <w:rFonts w:ascii="Tahoma" w:eastAsia="American Typewriter" w:hAnsi="Tahoma" w:cs="Tahoma"/>
        </w:rPr>
        <w:t xml:space="preserve"> </w:t>
      </w:r>
      <w:r w:rsidRPr="00B004EE">
        <w:rPr>
          <w:rFonts w:ascii="Tahoma" w:eastAsia="American Typewriter" w:hAnsi="Tahoma" w:cs="Tahoma"/>
        </w:rPr>
        <w:t>infractions</w:t>
      </w:r>
      <w:bookmarkEnd w:id="131"/>
      <w:bookmarkEnd w:id="132"/>
    </w:p>
    <w:p w14:paraId="2F8EB8F7" w14:textId="77777777" w:rsidR="001E7C3C" w:rsidRPr="00B004EE" w:rsidRDefault="001E7C3C" w:rsidP="00B004EE">
      <w:pPr>
        <w:rPr>
          <w:rFonts w:ascii="Tahoma" w:eastAsia="American Typewriter" w:hAnsi="Tahoma" w:cs="Tahoma"/>
          <w:b/>
          <w:bCs/>
          <w:sz w:val="20"/>
          <w:szCs w:val="20"/>
        </w:rPr>
      </w:pPr>
    </w:p>
    <w:p w14:paraId="115A980D" w14:textId="4ED4A268" w:rsidR="001E7C3C" w:rsidRPr="00B004EE" w:rsidRDefault="001E7C3C" w:rsidP="00B004EE">
      <w:pPr>
        <w:pStyle w:val="Corpsdetexte"/>
        <w:ind w:right="163"/>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89</w:t>
      </w:r>
      <w:r w:rsidR="00DB1635" w:rsidRPr="00B004EE">
        <w:rPr>
          <w:rFonts w:ascii="Tahoma" w:hAnsi="Tahoma" w:cs="Tahoma"/>
          <w:bCs/>
          <w:sz w:val="20"/>
          <w:szCs w:val="20"/>
        </w:rPr>
        <w:t xml:space="preserve"> </w:t>
      </w:r>
      <w:r w:rsidRPr="00B004EE">
        <w:rPr>
          <w:rFonts w:ascii="Tahoma" w:hAnsi="Tahoma" w:cs="Tahoma"/>
          <w:bCs/>
          <w:sz w:val="20"/>
          <w:szCs w:val="20"/>
        </w:rPr>
        <w:t>:</w:t>
      </w:r>
      <w:r w:rsidR="00DB1635" w:rsidRPr="00B004EE">
        <w:rPr>
          <w:rFonts w:ascii="Tahoma" w:hAnsi="Tahoma" w:cs="Tahoma"/>
          <w:b/>
          <w:sz w:val="20"/>
          <w:szCs w:val="20"/>
        </w:rPr>
        <w:t xml:space="preserve"> </w:t>
      </w:r>
      <w:r w:rsidRPr="00B004EE">
        <w:rPr>
          <w:rFonts w:ascii="Tahoma" w:hAnsi="Tahoma" w:cs="Tahoma"/>
          <w:sz w:val="20"/>
          <w:szCs w:val="20"/>
        </w:rPr>
        <w:t>Quiconque</w:t>
      </w:r>
      <w:r w:rsidR="00DB1635" w:rsidRPr="00B004EE">
        <w:rPr>
          <w:rFonts w:ascii="Tahoma" w:hAnsi="Tahoma" w:cs="Tahoma"/>
          <w:sz w:val="20"/>
          <w:szCs w:val="20"/>
        </w:rPr>
        <w:t xml:space="preserve"> </w:t>
      </w:r>
      <w:r w:rsidRPr="00B004EE">
        <w:rPr>
          <w:rFonts w:ascii="Tahoma" w:hAnsi="Tahoma" w:cs="Tahoma"/>
          <w:sz w:val="20"/>
          <w:szCs w:val="20"/>
        </w:rPr>
        <w:t>agresse</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s'oppose</w:t>
      </w:r>
      <w:r w:rsidR="00DB1635" w:rsidRPr="00B004EE">
        <w:rPr>
          <w:rFonts w:ascii="Tahoma" w:hAnsi="Tahoma" w:cs="Tahoma"/>
          <w:sz w:val="20"/>
          <w:szCs w:val="20"/>
        </w:rPr>
        <w:t xml:space="preserve"> </w:t>
      </w:r>
      <w:r w:rsidRPr="00B004EE">
        <w:rPr>
          <w:rFonts w:ascii="Tahoma" w:hAnsi="Tahoma" w:cs="Tahoma"/>
          <w:sz w:val="20"/>
          <w:szCs w:val="20"/>
        </w:rPr>
        <w:t>avec</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sans</w:t>
      </w:r>
      <w:r w:rsidR="00DB1635" w:rsidRPr="00B004EE">
        <w:rPr>
          <w:rFonts w:ascii="Tahoma" w:hAnsi="Tahoma" w:cs="Tahoma"/>
          <w:sz w:val="20"/>
          <w:szCs w:val="20"/>
        </w:rPr>
        <w:t xml:space="preserve"> </w:t>
      </w:r>
      <w:r w:rsidRPr="00B004EE">
        <w:rPr>
          <w:rFonts w:ascii="Tahoma" w:hAnsi="Tahoma" w:cs="Tahoma"/>
          <w:sz w:val="20"/>
          <w:szCs w:val="20"/>
        </w:rPr>
        <w:t>violence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l'action</w:t>
      </w:r>
      <w:r w:rsidR="00DB1635" w:rsidRPr="00B004EE">
        <w:rPr>
          <w:rFonts w:ascii="Tahoma" w:hAnsi="Tahoma" w:cs="Tahoma"/>
          <w:spacing w:val="30"/>
          <w:sz w:val="20"/>
          <w:szCs w:val="20"/>
        </w:rPr>
        <w:t xml:space="preserve"> </w:t>
      </w:r>
      <w:r w:rsidRPr="00B004EE">
        <w:rPr>
          <w:rFonts w:ascii="Tahoma" w:hAnsi="Tahoma" w:cs="Tahoma"/>
          <w:sz w:val="20"/>
          <w:szCs w:val="20"/>
        </w:rPr>
        <w:t>d'un</w:t>
      </w:r>
      <w:r w:rsidR="00DB1635" w:rsidRPr="00B004EE">
        <w:rPr>
          <w:rFonts w:ascii="Tahoma" w:hAnsi="Tahoma" w:cs="Tahoma"/>
          <w:w w:val="97"/>
          <w:sz w:val="20"/>
          <w:szCs w:val="20"/>
        </w:rPr>
        <w:t xml:space="preserve"> </w:t>
      </w:r>
      <w:r w:rsidRPr="00B004EE">
        <w:rPr>
          <w:rFonts w:ascii="Tahoma" w:hAnsi="Tahoma" w:cs="Tahoma"/>
          <w:sz w:val="20"/>
          <w:szCs w:val="20"/>
        </w:rPr>
        <w:t>agent</w:t>
      </w:r>
      <w:r w:rsidR="00DB1635" w:rsidRPr="00B004EE">
        <w:rPr>
          <w:rFonts w:ascii="Tahoma" w:hAnsi="Tahoma" w:cs="Tahoma"/>
          <w:spacing w:val="35"/>
          <w:sz w:val="20"/>
          <w:szCs w:val="20"/>
        </w:rPr>
        <w:t xml:space="preserve"> </w:t>
      </w:r>
      <w:r w:rsidRPr="00B004EE">
        <w:rPr>
          <w:rFonts w:ascii="Tahoma" w:hAnsi="Tahoma" w:cs="Tahoma"/>
          <w:sz w:val="20"/>
          <w:szCs w:val="20"/>
        </w:rPr>
        <w:t>de</w:t>
      </w:r>
      <w:r w:rsidR="00DB1635" w:rsidRPr="00B004EE">
        <w:rPr>
          <w:rFonts w:ascii="Tahoma" w:hAnsi="Tahoma" w:cs="Tahoma"/>
          <w:spacing w:val="35"/>
          <w:sz w:val="20"/>
          <w:szCs w:val="20"/>
        </w:rPr>
        <w:t xml:space="preserve"> </w:t>
      </w:r>
      <w:r w:rsidRPr="00B004EE">
        <w:rPr>
          <w:rFonts w:ascii="Tahoma" w:hAnsi="Tahoma" w:cs="Tahoma"/>
          <w:sz w:val="20"/>
          <w:szCs w:val="20"/>
        </w:rPr>
        <w:t>contrôle</w:t>
      </w:r>
      <w:r w:rsidR="00DB1635" w:rsidRPr="00B004EE">
        <w:rPr>
          <w:rFonts w:ascii="Tahoma" w:hAnsi="Tahoma" w:cs="Tahoma"/>
          <w:spacing w:val="35"/>
          <w:sz w:val="20"/>
          <w:szCs w:val="20"/>
        </w:rPr>
        <w:t xml:space="preserve"> </w:t>
      </w:r>
      <w:r w:rsidRPr="00B004EE">
        <w:rPr>
          <w:rFonts w:ascii="Tahoma" w:hAnsi="Tahoma" w:cs="Tahoma"/>
          <w:sz w:val="20"/>
          <w:szCs w:val="20"/>
        </w:rPr>
        <w:t>dans</w:t>
      </w:r>
      <w:r w:rsidR="00DB1635" w:rsidRPr="00B004EE">
        <w:rPr>
          <w:rFonts w:ascii="Tahoma" w:hAnsi="Tahoma" w:cs="Tahoma"/>
          <w:spacing w:val="34"/>
          <w:sz w:val="20"/>
          <w:szCs w:val="20"/>
        </w:rPr>
        <w:t xml:space="preserve"> </w:t>
      </w:r>
      <w:r w:rsidRPr="00B004EE">
        <w:rPr>
          <w:rFonts w:ascii="Tahoma" w:hAnsi="Tahoma" w:cs="Tahoma"/>
          <w:sz w:val="20"/>
          <w:szCs w:val="20"/>
        </w:rPr>
        <w:t>l'exercice</w:t>
      </w:r>
      <w:r w:rsidR="00DB1635" w:rsidRPr="00B004EE">
        <w:rPr>
          <w:rFonts w:ascii="Tahoma" w:hAnsi="Tahoma" w:cs="Tahoma"/>
          <w:spacing w:val="35"/>
          <w:sz w:val="20"/>
          <w:szCs w:val="20"/>
        </w:rPr>
        <w:t xml:space="preserve"> </w:t>
      </w:r>
      <w:r w:rsidRPr="00B004EE">
        <w:rPr>
          <w:rFonts w:ascii="Tahoma" w:hAnsi="Tahoma" w:cs="Tahoma"/>
          <w:sz w:val="20"/>
          <w:szCs w:val="20"/>
        </w:rPr>
        <w:t>de</w:t>
      </w:r>
      <w:r w:rsidR="00DB1635" w:rsidRPr="00B004EE">
        <w:rPr>
          <w:rFonts w:ascii="Tahoma" w:hAnsi="Tahoma" w:cs="Tahoma"/>
          <w:spacing w:val="35"/>
          <w:sz w:val="20"/>
          <w:szCs w:val="20"/>
        </w:rPr>
        <w:t xml:space="preserve"> </w:t>
      </w:r>
      <w:r w:rsidRPr="00B004EE">
        <w:rPr>
          <w:rFonts w:ascii="Tahoma" w:hAnsi="Tahoma" w:cs="Tahoma"/>
          <w:sz w:val="20"/>
          <w:szCs w:val="20"/>
        </w:rPr>
        <w:t>ses</w:t>
      </w:r>
      <w:r w:rsidR="00DB1635" w:rsidRPr="00B004EE">
        <w:rPr>
          <w:rFonts w:ascii="Tahoma" w:hAnsi="Tahoma" w:cs="Tahoma"/>
          <w:spacing w:val="32"/>
          <w:sz w:val="20"/>
          <w:szCs w:val="20"/>
        </w:rPr>
        <w:t xml:space="preserve"> </w:t>
      </w:r>
      <w:r w:rsidRPr="00B004EE">
        <w:rPr>
          <w:rFonts w:ascii="Tahoma" w:hAnsi="Tahoma" w:cs="Tahoma"/>
          <w:sz w:val="20"/>
          <w:szCs w:val="20"/>
        </w:rPr>
        <w:t>fonctions</w:t>
      </w:r>
      <w:r w:rsidR="00DB1635" w:rsidRPr="00B004EE">
        <w:rPr>
          <w:rFonts w:ascii="Tahoma" w:hAnsi="Tahoma" w:cs="Tahoma"/>
          <w:spacing w:val="33"/>
          <w:sz w:val="20"/>
          <w:szCs w:val="20"/>
        </w:rPr>
        <w:t xml:space="preserve"> </w:t>
      </w:r>
      <w:r w:rsidRPr="00B004EE">
        <w:rPr>
          <w:rFonts w:ascii="Tahoma" w:hAnsi="Tahoma" w:cs="Tahoma"/>
          <w:sz w:val="20"/>
          <w:szCs w:val="20"/>
        </w:rPr>
        <w:t>ou</w:t>
      </w:r>
      <w:r w:rsidR="00DB1635" w:rsidRPr="00B004EE">
        <w:rPr>
          <w:rFonts w:ascii="Tahoma" w:hAnsi="Tahoma" w:cs="Tahoma"/>
          <w:spacing w:val="34"/>
          <w:sz w:val="20"/>
          <w:szCs w:val="20"/>
        </w:rPr>
        <w:t xml:space="preserve"> </w:t>
      </w:r>
      <w:r w:rsidRPr="00B004EE">
        <w:rPr>
          <w:rFonts w:ascii="Tahoma" w:hAnsi="Tahoma" w:cs="Tahoma"/>
          <w:sz w:val="20"/>
          <w:szCs w:val="20"/>
        </w:rPr>
        <w:t>menace</w:t>
      </w:r>
      <w:r w:rsidR="00DB1635" w:rsidRPr="00B004EE">
        <w:rPr>
          <w:rFonts w:ascii="Tahoma" w:hAnsi="Tahoma" w:cs="Tahoma"/>
          <w:spacing w:val="34"/>
          <w:sz w:val="20"/>
          <w:szCs w:val="20"/>
        </w:rPr>
        <w:t xml:space="preserve"> </w:t>
      </w:r>
      <w:r w:rsidRPr="00B004EE">
        <w:rPr>
          <w:rFonts w:ascii="Tahoma" w:hAnsi="Tahoma" w:cs="Tahoma"/>
          <w:sz w:val="20"/>
          <w:szCs w:val="20"/>
        </w:rPr>
        <w:t>ledit</w:t>
      </w:r>
      <w:r w:rsidR="00DB1635" w:rsidRPr="00B004EE">
        <w:rPr>
          <w:rFonts w:ascii="Tahoma" w:hAnsi="Tahoma" w:cs="Tahoma"/>
          <w:spacing w:val="34"/>
          <w:sz w:val="20"/>
          <w:szCs w:val="20"/>
        </w:rPr>
        <w:t xml:space="preserve"> </w:t>
      </w:r>
      <w:r w:rsidRPr="00B004EE">
        <w:rPr>
          <w:rFonts w:ascii="Tahoma" w:hAnsi="Tahoma" w:cs="Tahoma"/>
          <w:sz w:val="20"/>
          <w:szCs w:val="20"/>
        </w:rPr>
        <w:t>agent,</w:t>
      </w:r>
      <w:r w:rsidR="00DB1635" w:rsidRPr="00B004EE">
        <w:rPr>
          <w:rFonts w:ascii="Tahoma" w:hAnsi="Tahoma" w:cs="Tahoma"/>
          <w:spacing w:val="34"/>
          <w:sz w:val="20"/>
          <w:szCs w:val="20"/>
        </w:rPr>
        <w:t xml:space="preserve"> </w:t>
      </w:r>
      <w:r w:rsidRPr="00B004EE">
        <w:rPr>
          <w:rFonts w:ascii="Tahoma" w:hAnsi="Tahoma" w:cs="Tahoma"/>
          <w:sz w:val="20"/>
          <w:szCs w:val="20"/>
        </w:rPr>
        <w:t>sera</w:t>
      </w:r>
      <w:r w:rsidR="00DB1635" w:rsidRPr="00B004EE">
        <w:rPr>
          <w:rFonts w:ascii="Tahoma" w:hAnsi="Tahoma" w:cs="Tahoma"/>
          <w:w w:val="98"/>
          <w:sz w:val="20"/>
          <w:szCs w:val="20"/>
        </w:rPr>
        <w:t xml:space="preserve"> </w:t>
      </w:r>
      <w:r w:rsidRPr="00B004EE">
        <w:rPr>
          <w:rFonts w:ascii="Tahoma" w:hAnsi="Tahoma" w:cs="Tahoma"/>
          <w:sz w:val="20"/>
          <w:szCs w:val="20"/>
        </w:rPr>
        <w:t>passible</w:t>
      </w:r>
      <w:r w:rsidR="00DB1635" w:rsidRPr="00B004EE">
        <w:rPr>
          <w:rFonts w:ascii="Tahoma" w:hAnsi="Tahoma" w:cs="Tahoma"/>
          <w:spacing w:val="-28"/>
          <w:sz w:val="20"/>
          <w:szCs w:val="20"/>
        </w:rPr>
        <w:t xml:space="preserve"> </w:t>
      </w:r>
      <w:r w:rsidRPr="00B004EE">
        <w:rPr>
          <w:rFonts w:ascii="Tahoma" w:hAnsi="Tahoma" w:cs="Tahoma"/>
          <w:sz w:val="20"/>
          <w:szCs w:val="20"/>
        </w:rPr>
        <w:t>d'une</w:t>
      </w:r>
      <w:r w:rsidR="00DB1635" w:rsidRPr="00B004EE">
        <w:rPr>
          <w:rFonts w:ascii="Tahoma" w:hAnsi="Tahoma" w:cs="Tahoma"/>
          <w:spacing w:val="-29"/>
          <w:sz w:val="20"/>
          <w:szCs w:val="20"/>
        </w:rPr>
        <w:t xml:space="preserve"> </w:t>
      </w:r>
      <w:r w:rsidRPr="00B004EE">
        <w:rPr>
          <w:rFonts w:ascii="Tahoma" w:hAnsi="Tahoma" w:cs="Tahoma"/>
          <w:sz w:val="20"/>
          <w:szCs w:val="20"/>
        </w:rPr>
        <w:t>amende</w:t>
      </w:r>
      <w:r w:rsidR="00DB1635" w:rsidRPr="00B004EE">
        <w:rPr>
          <w:rFonts w:ascii="Tahoma" w:hAnsi="Tahoma" w:cs="Tahoma"/>
          <w:spacing w:val="-28"/>
          <w:sz w:val="20"/>
          <w:szCs w:val="20"/>
        </w:rPr>
        <w:t xml:space="preserve"> </w:t>
      </w:r>
      <w:r w:rsidRPr="00B004EE">
        <w:rPr>
          <w:rFonts w:ascii="Tahoma" w:hAnsi="Tahoma" w:cs="Tahoma"/>
          <w:sz w:val="20"/>
          <w:szCs w:val="20"/>
        </w:rPr>
        <w:t>de</w:t>
      </w:r>
      <w:r w:rsidR="00DB1635" w:rsidRPr="00B004EE">
        <w:rPr>
          <w:rFonts w:ascii="Tahoma" w:hAnsi="Tahoma" w:cs="Tahoma"/>
          <w:spacing w:val="-28"/>
          <w:sz w:val="20"/>
          <w:szCs w:val="20"/>
        </w:rPr>
        <w:t xml:space="preserve"> </w:t>
      </w:r>
      <w:r w:rsidRPr="00B004EE">
        <w:rPr>
          <w:rFonts w:ascii="Tahoma" w:hAnsi="Tahoma" w:cs="Tahoma"/>
          <w:sz w:val="20"/>
          <w:szCs w:val="20"/>
        </w:rPr>
        <w:t>deux</w:t>
      </w:r>
      <w:r w:rsidR="00DB1635" w:rsidRPr="00B004EE">
        <w:rPr>
          <w:rFonts w:ascii="Tahoma" w:hAnsi="Tahoma" w:cs="Tahoma"/>
          <w:spacing w:val="-28"/>
          <w:sz w:val="20"/>
          <w:szCs w:val="20"/>
        </w:rPr>
        <w:t xml:space="preserve"> </w:t>
      </w:r>
      <w:r w:rsidRPr="00B004EE">
        <w:rPr>
          <w:rFonts w:ascii="Tahoma" w:hAnsi="Tahoma" w:cs="Tahoma"/>
          <w:sz w:val="20"/>
          <w:szCs w:val="20"/>
        </w:rPr>
        <w:t>cent</w:t>
      </w:r>
      <w:r w:rsidR="00DB1635" w:rsidRPr="00B004EE">
        <w:rPr>
          <w:rFonts w:ascii="Tahoma" w:hAnsi="Tahoma" w:cs="Tahoma"/>
          <w:spacing w:val="-30"/>
          <w:sz w:val="20"/>
          <w:szCs w:val="20"/>
        </w:rPr>
        <w:t xml:space="preserve"> </w:t>
      </w:r>
      <w:r w:rsidRPr="00B004EE">
        <w:rPr>
          <w:rFonts w:ascii="Tahoma" w:hAnsi="Tahoma" w:cs="Tahoma"/>
          <w:sz w:val="20"/>
          <w:szCs w:val="20"/>
        </w:rPr>
        <w:t>milles</w:t>
      </w:r>
      <w:r w:rsidR="00DB1635" w:rsidRPr="00B004EE">
        <w:rPr>
          <w:rFonts w:ascii="Tahoma" w:hAnsi="Tahoma" w:cs="Tahoma"/>
          <w:spacing w:val="-30"/>
          <w:sz w:val="20"/>
          <w:szCs w:val="20"/>
        </w:rPr>
        <w:t xml:space="preserve"> </w:t>
      </w:r>
      <w:r w:rsidRPr="00B004EE">
        <w:rPr>
          <w:rFonts w:ascii="Tahoma" w:hAnsi="Tahoma" w:cs="Tahoma"/>
          <w:sz w:val="20"/>
          <w:szCs w:val="20"/>
        </w:rPr>
        <w:t>(200.000)</w:t>
      </w:r>
      <w:r w:rsidR="00DB1635" w:rsidRPr="00B004EE">
        <w:rPr>
          <w:rFonts w:ascii="Tahoma" w:hAnsi="Tahoma" w:cs="Tahoma"/>
          <w:spacing w:val="-30"/>
          <w:sz w:val="20"/>
          <w:szCs w:val="20"/>
        </w:rPr>
        <w:t xml:space="preserve"> </w:t>
      </w:r>
      <w:r w:rsidRPr="00B004EE">
        <w:rPr>
          <w:rFonts w:ascii="Tahoma" w:hAnsi="Tahoma" w:cs="Tahoma"/>
          <w:sz w:val="20"/>
          <w:szCs w:val="20"/>
        </w:rPr>
        <w:t>ouguiya</w:t>
      </w:r>
      <w:r w:rsidR="00DB1635" w:rsidRPr="00B004EE">
        <w:rPr>
          <w:rFonts w:ascii="Tahoma" w:hAnsi="Tahoma" w:cs="Tahoma"/>
          <w:spacing w:val="-29"/>
          <w:sz w:val="20"/>
          <w:szCs w:val="20"/>
        </w:rPr>
        <w:t xml:space="preserve"> </w:t>
      </w:r>
      <w:r w:rsidRPr="00B004EE">
        <w:rPr>
          <w:rFonts w:ascii="Tahoma" w:hAnsi="Tahoma" w:cs="Tahoma"/>
          <w:sz w:val="20"/>
          <w:szCs w:val="20"/>
        </w:rPr>
        <w:t>à</w:t>
      </w:r>
      <w:r w:rsidR="00DB1635" w:rsidRPr="00B004EE">
        <w:rPr>
          <w:rFonts w:ascii="Tahoma" w:hAnsi="Tahoma" w:cs="Tahoma"/>
          <w:spacing w:val="-29"/>
          <w:sz w:val="20"/>
          <w:szCs w:val="20"/>
        </w:rPr>
        <w:t xml:space="preserve"> </w:t>
      </w:r>
      <w:r w:rsidRPr="00B004EE">
        <w:rPr>
          <w:rFonts w:ascii="Tahoma" w:hAnsi="Tahoma" w:cs="Tahoma"/>
          <w:sz w:val="20"/>
          <w:szCs w:val="20"/>
        </w:rPr>
        <w:t>un</w:t>
      </w:r>
      <w:r w:rsidR="00DB1635" w:rsidRPr="00B004EE">
        <w:rPr>
          <w:rFonts w:ascii="Tahoma" w:hAnsi="Tahoma" w:cs="Tahoma"/>
          <w:spacing w:val="-30"/>
          <w:sz w:val="20"/>
          <w:szCs w:val="20"/>
        </w:rPr>
        <w:t xml:space="preserve"> </w:t>
      </w:r>
      <w:r w:rsidRPr="00B004EE">
        <w:rPr>
          <w:rFonts w:ascii="Tahoma" w:hAnsi="Tahoma" w:cs="Tahoma"/>
          <w:sz w:val="20"/>
          <w:szCs w:val="20"/>
        </w:rPr>
        <w:t>million</w:t>
      </w:r>
      <w:r w:rsidR="00DB1635" w:rsidRPr="00B004EE">
        <w:rPr>
          <w:rFonts w:ascii="Tahoma" w:hAnsi="Tahoma" w:cs="Tahoma"/>
          <w:spacing w:val="-30"/>
          <w:sz w:val="20"/>
          <w:szCs w:val="20"/>
        </w:rPr>
        <w:t xml:space="preserve"> </w:t>
      </w:r>
      <w:r w:rsidRPr="00B004EE">
        <w:rPr>
          <w:rFonts w:ascii="Tahoma" w:hAnsi="Tahoma" w:cs="Tahoma"/>
          <w:sz w:val="20"/>
          <w:szCs w:val="20"/>
        </w:rPr>
        <w:t>cinq</w:t>
      </w:r>
      <w:r w:rsidR="00DB1635" w:rsidRPr="00B004EE">
        <w:rPr>
          <w:rFonts w:ascii="Tahoma" w:hAnsi="Tahoma" w:cs="Tahoma"/>
          <w:spacing w:val="-29"/>
          <w:sz w:val="20"/>
          <w:szCs w:val="20"/>
        </w:rPr>
        <w:t xml:space="preserve"> </w:t>
      </w:r>
      <w:r w:rsidRPr="00B004EE">
        <w:rPr>
          <w:rFonts w:ascii="Tahoma" w:hAnsi="Tahoma" w:cs="Tahoma"/>
          <w:sz w:val="20"/>
          <w:szCs w:val="20"/>
        </w:rPr>
        <w:t>cent</w:t>
      </w:r>
      <w:r w:rsidR="00DB1635" w:rsidRPr="00B004EE">
        <w:rPr>
          <w:rFonts w:ascii="Tahoma" w:hAnsi="Tahoma" w:cs="Tahoma"/>
          <w:w w:val="93"/>
          <w:sz w:val="20"/>
          <w:szCs w:val="20"/>
        </w:rPr>
        <w:t xml:space="preserve"> </w:t>
      </w:r>
      <w:r w:rsidRPr="00B004EE">
        <w:rPr>
          <w:rFonts w:ascii="Tahoma" w:hAnsi="Tahoma" w:cs="Tahoma"/>
          <w:sz w:val="20"/>
          <w:szCs w:val="20"/>
        </w:rPr>
        <w:t>milles</w:t>
      </w:r>
      <w:r w:rsidR="00DB1635" w:rsidRPr="00B004EE">
        <w:rPr>
          <w:rFonts w:ascii="Tahoma" w:hAnsi="Tahoma" w:cs="Tahoma"/>
          <w:spacing w:val="-16"/>
          <w:sz w:val="20"/>
          <w:szCs w:val="20"/>
        </w:rPr>
        <w:t xml:space="preserve"> </w:t>
      </w:r>
      <w:r w:rsidRPr="00B004EE">
        <w:rPr>
          <w:rFonts w:ascii="Tahoma" w:hAnsi="Tahoma" w:cs="Tahoma"/>
          <w:sz w:val="20"/>
          <w:szCs w:val="20"/>
        </w:rPr>
        <w:t>(1</w:t>
      </w:r>
      <w:r w:rsidR="00DB1635" w:rsidRPr="00B004EE">
        <w:rPr>
          <w:rFonts w:ascii="Tahoma" w:hAnsi="Tahoma" w:cs="Tahoma"/>
          <w:spacing w:val="-15"/>
          <w:sz w:val="20"/>
          <w:szCs w:val="20"/>
        </w:rPr>
        <w:t xml:space="preserve"> </w:t>
      </w:r>
      <w:r w:rsidRPr="00B004EE">
        <w:rPr>
          <w:rFonts w:ascii="Tahoma" w:hAnsi="Tahoma" w:cs="Tahoma"/>
          <w:sz w:val="20"/>
          <w:szCs w:val="20"/>
        </w:rPr>
        <w:t>500.000)</w:t>
      </w:r>
      <w:r w:rsidR="00DB1635" w:rsidRPr="00B004EE">
        <w:rPr>
          <w:rFonts w:ascii="Tahoma" w:hAnsi="Tahoma" w:cs="Tahoma"/>
          <w:spacing w:val="-16"/>
          <w:sz w:val="20"/>
          <w:szCs w:val="20"/>
        </w:rPr>
        <w:t xml:space="preserve"> </w:t>
      </w:r>
      <w:r w:rsidRPr="00B004EE">
        <w:rPr>
          <w:rFonts w:ascii="Tahoma" w:hAnsi="Tahoma" w:cs="Tahoma"/>
          <w:sz w:val="20"/>
          <w:szCs w:val="20"/>
        </w:rPr>
        <w:t>ouguiya</w:t>
      </w:r>
      <w:r w:rsidR="00DB1635" w:rsidRPr="00B004EE">
        <w:rPr>
          <w:rFonts w:ascii="Tahoma" w:hAnsi="Tahoma" w:cs="Tahoma"/>
          <w:spacing w:val="-15"/>
          <w:sz w:val="20"/>
          <w:szCs w:val="20"/>
        </w:rPr>
        <w:t xml:space="preserve"> </w:t>
      </w:r>
      <w:r w:rsidRPr="00B004EE">
        <w:rPr>
          <w:rFonts w:ascii="Tahoma" w:hAnsi="Tahoma" w:cs="Tahoma"/>
          <w:sz w:val="20"/>
          <w:szCs w:val="20"/>
        </w:rPr>
        <w:t>et</w:t>
      </w:r>
      <w:r w:rsidR="00DB1635" w:rsidRPr="00B004EE">
        <w:rPr>
          <w:rFonts w:ascii="Tahoma" w:hAnsi="Tahoma" w:cs="Tahoma"/>
          <w:spacing w:val="-15"/>
          <w:sz w:val="20"/>
          <w:szCs w:val="20"/>
        </w:rPr>
        <w:t xml:space="preserve"> </w:t>
      </w:r>
      <w:r w:rsidRPr="00B004EE">
        <w:rPr>
          <w:rFonts w:ascii="Tahoma" w:hAnsi="Tahoma" w:cs="Tahoma"/>
          <w:sz w:val="20"/>
          <w:szCs w:val="20"/>
        </w:rPr>
        <w:t>d'une</w:t>
      </w:r>
      <w:r w:rsidR="00DB1635" w:rsidRPr="00B004EE">
        <w:rPr>
          <w:rFonts w:ascii="Tahoma" w:hAnsi="Tahoma" w:cs="Tahoma"/>
          <w:spacing w:val="-16"/>
          <w:sz w:val="20"/>
          <w:szCs w:val="20"/>
        </w:rPr>
        <w:t xml:space="preserve"> </w:t>
      </w:r>
      <w:r w:rsidRPr="00B004EE">
        <w:rPr>
          <w:rFonts w:ascii="Tahoma" w:hAnsi="Tahoma" w:cs="Tahoma"/>
          <w:sz w:val="20"/>
          <w:szCs w:val="20"/>
        </w:rPr>
        <w:t>peine</w:t>
      </w:r>
      <w:r w:rsidR="00DB1635" w:rsidRPr="00B004EE">
        <w:rPr>
          <w:rFonts w:ascii="Tahoma" w:hAnsi="Tahoma" w:cs="Tahoma"/>
          <w:spacing w:val="-16"/>
          <w:sz w:val="20"/>
          <w:szCs w:val="20"/>
        </w:rPr>
        <w:t xml:space="preserve"> </w:t>
      </w:r>
      <w:r w:rsidRPr="00B004EE">
        <w:rPr>
          <w:rFonts w:ascii="Tahoma" w:hAnsi="Tahoma" w:cs="Tahoma"/>
          <w:sz w:val="20"/>
          <w:szCs w:val="20"/>
        </w:rPr>
        <w:t>de</w:t>
      </w:r>
      <w:r w:rsidR="00DB1635" w:rsidRPr="00B004EE">
        <w:rPr>
          <w:rFonts w:ascii="Tahoma" w:hAnsi="Tahoma" w:cs="Tahoma"/>
          <w:spacing w:val="-15"/>
          <w:sz w:val="20"/>
          <w:szCs w:val="20"/>
        </w:rPr>
        <w:t xml:space="preserve"> </w:t>
      </w:r>
      <w:r w:rsidRPr="00B004EE">
        <w:rPr>
          <w:rFonts w:ascii="Tahoma" w:hAnsi="Tahoma" w:cs="Tahoma"/>
          <w:sz w:val="20"/>
          <w:szCs w:val="20"/>
        </w:rPr>
        <w:t>prison</w:t>
      </w:r>
      <w:r w:rsidR="00DB1635" w:rsidRPr="00B004EE">
        <w:rPr>
          <w:rFonts w:ascii="Tahoma" w:hAnsi="Tahoma" w:cs="Tahoma"/>
          <w:spacing w:val="-16"/>
          <w:sz w:val="20"/>
          <w:szCs w:val="20"/>
        </w:rPr>
        <w:t xml:space="preserve"> </w:t>
      </w:r>
      <w:r w:rsidRPr="00B004EE">
        <w:rPr>
          <w:rFonts w:ascii="Tahoma" w:hAnsi="Tahoma" w:cs="Tahoma"/>
          <w:sz w:val="20"/>
          <w:szCs w:val="20"/>
        </w:rPr>
        <w:t>de</w:t>
      </w:r>
      <w:r w:rsidR="00DB1635" w:rsidRPr="00B004EE">
        <w:rPr>
          <w:rFonts w:ascii="Tahoma" w:hAnsi="Tahoma" w:cs="Tahoma"/>
          <w:spacing w:val="-15"/>
          <w:sz w:val="20"/>
          <w:szCs w:val="20"/>
        </w:rPr>
        <w:t xml:space="preserve"> </w:t>
      </w:r>
      <w:r w:rsidRPr="00B004EE">
        <w:rPr>
          <w:rFonts w:ascii="Tahoma" w:hAnsi="Tahoma" w:cs="Tahoma"/>
          <w:sz w:val="20"/>
          <w:szCs w:val="20"/>
        </w:rPr>
        <w:t>3</w:t>
      </w:r>
      <w:r w:rsidR="00DB1635" w:rsidRPr="00B004EE">
        <w:rPr>
          <w:rFonts w:ascii="Tahoma" w:hAnsi="Tahoma" w:cs="Tahoma"/>
          <w:spacing w:val="-16"/>
          <w:sz w:val="20"/>
          <w:szCs w:val="20"/>
        </w:rPr>
        <w:t xml:space="preserve"> </w:t>
      </w:r>
      <w:r w:rsidRPr="00B004EE">
        <w:rPr>
          <w:rFonts w:ascii="Tahoma" w:hAnsi="Tahoma" w:cs="Tahoma"/>
          <w:sz w:val="20"/>
          <w:szCs w:val="20"/>
        </w:rPr>
        <w:t>à</w:t>
      </w:r>
      <w:r w:rsidR="00DB1635" w:rsidRPr="00B004EE">
        <w:rPr>
          <w:rFonts w:ascii="Tahoma" w:hAnsi="Tahoma" w:cs="Tahoma"/>
          <w:spacing w:val="-16"/>
          <w:sz w:val="20"/>
          <w:szCs w:val="20"/>
        </w:rPr>
        <w:t xml:space="preserve"> </w:t>
      </w:r>
      <w:r w:rsidRPr="00B004EE">
        <w:rPr>
          <w:rFonts w:ascii="Tahoma" w:hAnsi="Tahoma" w:cs="Tahoma"/>
          <w:sz w:val="20"/>
          <w:szCs w:val="20"/>
        </w:rPr>
        <w:t>6</w:t>
      </w:r>
      <w:r w:rsidR="00DB1635" w:rsidRPr="00B004EE">
        <w:rPr>
          <w:rFonts w:ascii="Tahoma" w:hAnsi="Tahoma" w:cs="Tahoma"/>
          <w:spacing w:val="-16"/>
          <w:sz w:val="20"/>
          <w:szCs w:val="20"/>
        </w:rPr>
        <w:t xml:space="preserve"> </w:t>
      </w:r>
      <w:r w:rsidRPr="00B004EE">
        <w:rPr>
          <w:rFonts w:ascii="Tahoma" w:hAnsi="Tahoma" w:cs="Tahoma"/>
          <w:sz w:val="20"/>
          <w:szCs w:val="20"/>
        </w:rPr>
        <w:t>mois</w:t>
      </w:r>
      <w:r w:rsidR="00DB1635" w:rsidRPr="00B004EE">
        <w:rPr>
          <w:rFonts w:ascii="Tahoma" w:hAnsi="Tahoma" w:cs="Tahoma"/>
          <w:spacing w:val="-17"/>
          <w:sz w:val="20"/>
          <w:szCs w:val="20"/>
        </w:rPr>
        <w:t xml:space="preserve"> </w:t>
      </w:r>
      <w:r w:rsidRPr="00B004EE">
        <w:rPr>
          <w:rFonts w:ascii="Tahoma" w:hAnsi="Tahoma" w:cs="Tahoma"/>
          <w:sz w:val="20"/>
          <w:szCs w:val="20"/>
        </w:rPr>
        <w:t>ou</w:t>
      </w:r>
      <w:r w:rsidR="00DB1635" w:rsidRPr="00B004EE">
        <w:rPr>
          <w:rFonts w:ascii="Tahoma" w:hAnsi="Tahoma" w:cs="Tahoma"/>
          <w:spacing w:val="-17"/>
          <w:sz w:val="20"/>
          <w:szCs w:val="20"/>
        </w:rPr>
        <w:t xml:space="preserve"> </w:t>
      </w:r>
      <w:r w:rsidRPr="00B004EE">
        <w:rPr>
          <w:rFonts w:ascii="Tahoma" w:hAnsi="Tahoma" w:cs="Tahoma"/>
          <w:sz w:val="20"/>
          <w:szCs w:val="20"/>
        </w:rPr>
        <w:t>de</w:t>
      </w:r>
      <w:r w:rsidR="00DB1635" w:rsidRPr="00B004EE">
        <w:rPr>
          <w:rFonts w:ascii="Tahoma" w:hAnsi="Tahoma" w:cs="Tahoma"/>
          <w:spacing w:val="-17"/>
          <w:sz w:val="20"/>
          <w:szCs w:val="20"/>
        </w:rPr>
        <w:t xml:space="preserve"> </w:t>
      </w:r>
      <w:r w:rsidRPr="00B004EE">
        <w:rPr>
          <w:rFonts w:ascii="Tahoma" w:hAnsi="Tahoma" w:cs="Tahoma"/>
          <w:sz w:val="20"/>
          <w:szCs w:val="20"/>
        </w:rPr>
        <w:t>l'une</w:t>
      </w:r>
      <w:r w:rsidR="00DB1635" w:rsidRPr="00B004EE">
        <w:rPr>
          <w:rFonts w:ascii="Tahoma" w:hAnsi="Tahoma" w:cs="Tahoma"/>
          <w:spacing w:val="-17"/>
          <w:sz w:val="20"/>
          <w:szCs w:val="20"/>
        </w:rPr>
        <w:t xml:space="preserve"> </w:t>
      </w:r>
      <w:r w:rsidRPr="00B004EE">
        <w:rPr>
          <w:rFonts w:ascii="Tahoma" w:hAnsi="Tahoma" w:cs="Tahoma"/>
          <w:sz w:val="20"/>
          <w:szCs w:val="20"/>
        </w:rPr>
        <w:t>de</w:t>
      </w:r>
      <w:r w:rsidR="00DB1635" w:rsidRPr="00B004EE">
        <w:rPr>
          <w:rFonts w:ascii="Tahoma" w:hAnsi="Tahoma" w:cs="Tahoma"/>
          <w:spacing w:val="-17"/>
          <w:sz w:val="20"/>
          <w:szCs w:val="20"/>
        </w:rPr>
        <w:t xml:space="preserve"> </w:t>
      </w:r>
      <w:r w:rsidRPr="00B004EE">
        <w:rPr>
          <w:rFonts w:ascii="Tahoma" w:hAnsi="Tahoma" w:cs="Tahoma"/>
          <w:sz w:val="20"/>
          <w:szCs w:val="20"/>
        </w:rPr>
        <w:t>ces</w:t>
      </w:r>
      <w:r w:rsidR="00DB1635" w:rsidRPr="00B004EE">
        <w:rPr>
          <w:rFonts w:ascii="Tahoma" w:hAnsi="Tahoma" w:cs="Tahoma"/>
          <w:w w:val="94"/>
          <w:sz w:val="20"/>
          <w:szCs w:val="20"/>
        </w:rPr>
        <w:t xml:space="preserve"> </w:t>
      </w:r>
      <w:r w:rsidRPr="00B004EE">
        <w:rPr>
          <w:rFonts w:ascii="Tahoma" w:hAnsi="Tahoma" w:cs="Tahoma"/>
          <w:sz w:val="20"/>
          <w:szCs w:val="20"/>
        </w:rPr>
        <w:t>deux</w:t>
      </w:r>
      <w:r w:rsidR="00DB1635" w:rsidRPr="00B004EE">
        <w:rPr>
          <w:rFonts w:ascii="Tahoma" w:hAnsi="Tahoma" w:cs="Tahoma"/>
          <w:spacing w:val="35"/>
          <w:sz w:val="20"/>
          <w:szCs w:val="20"/>
        </w:rPr>
        <w:t xml:space="preserve"> </w:t>
      </w:r>
      <w:r w:rsidRPr="00B004EE">
        <w:rPr>
          <w:rFonts w:ascii="Tahoma" w:hAnsi="Tahoma" w:cs="Tahoma"/>
          <w:sz w:val="20"/>
          <w:szCs w:val="20"/>
        </w:rPr>
        <w:t>peines</w:t>
      </w:r>
      <w:r w:rsidR="00DB1635" w:rsidRPr="00B004EE">
        <w:rPr>
          <w:rFonts w:ascii="Tahoma" w:hAnsi="Tahoma" w:cs="Tahoma"/>
          <w:spacing w:val="33"/>
          <w:sz w:val="20"/>
          <w:szCs w:val="20"/>
        </w:rPr>
        <w:t xml:space="preserve"> </w:t>
      </w:r>
      <w:r w:rsidRPr="00B004EE">
        <w:rPr>
          <w:rFonts w:ascii="Tahoma" w:hAnsi="Tahoma" w:cs="Tahoma"/>
          <w:sz w:val="20"/>
          <w:szCs w:val="20"/>
        </w:rPr>
        <w:t>seulement,</w:t>
      </w:r>
      <w:r w:rsidR="00DB1635" w:rsidRPr="00B004EE">
        <w:rPr>
          <w:rFonts w:ascii="Tahoma" w:hAnsi="Tahoma" w:cs="Tahoma"/>
          <w:spacing w:val="35"/>
          <w:sz w:val="20"/>
          <w:szCs w:val="20"/>
        </w:rPr>
        <w:t xml:space="preserve"> </w:t>
      </w:r>
      <w:r w:rsidRPr="00B004EE">
        <w:rPr>
          <w:rFonts w:ascii="Tahoma" w:hAnsi="Tahoma" w:cs="Tahoma"/>
          <w:sz w:val="20"/>
          <w:szCs w:val="20"/>
        </w:rPr>
        <w:t>sans</w:t>
      </w:r>
      <w:r w:rsidR="00DB1635" w:rsidRPr="00B004EE">
        <w:rPr>
          <w:rFonts w:ascii="Tahoma" w:hAnsi="Tahoma" w:cs="Tahoma"/>
          <w:spacing w:val="32"/>
          <w:sz w:val="20"/>
          <w:szCs w:val="20"/>
        </w:rPr>
        <w:t xml:space="preserve"> </w:t>
      </w:r>
      <w:r w:rsidRPr="00B004EE">
        <w:rPr>
          <w:rFonts w:ascii="Tahoma" w:hAnsi="Tahoma" w:cs="Tahoma"/>
          <w:sz w:val="20"/>
          <w:szCs w:val="20"/>
        </w:rPr>
        <w:t>préjudice</w:t>
      </w:r>
      <w:r w:rsidR="00DB1635" w:rsidRPr="00B004EE">
        <w:rPr>
          <w:rFonts w:ascii="Tahoma" w:hAnsi="Tahoma" w:cs="Tahoma"/>
          <w:spacing w:val="33"/>
          <w:sz w:val="20"/>
          <w:szCs w:val="20"/>
        </w:rPr>
        <w:t xml:space="preserve"> </w:t>
      </w:r>
      <w:r w:rsidRPr="00B004EE">
        <w:rPr>
          <w:rFonts w:ascii="Tahoma" w:hAnsi="Tahoma" w:cs="Tahoma"/>
          <w:sz w:val="20"/>
          <w:szCs w:val="20"/>
        </w:rPr>
        <w:t>des</w:t>
      </w:r>
      <w:r w:rsidR="00DB1635" w:rsidRPr="00B004EE">
        <w:rPr>
          <w:rFonts w:ascii="Tahoma" w:hAnsi="Tahoma" w:cs="Tahoma"/>
          <w:spacing w:val="32"/>
          <w:sz w:val="20"/>
          <w:szCs w:val="20"/>
        </w:rPr>
        <w:t xml:space="preserve"> </w:t>
      </w:r>
      <w:r w:rsidRPr="00B004EE">
        <w:rPr>
          <w:rFonts w:ascii="Tahoma" w:hAnsi="Tahoma" w:cs="Tahoma"/>
          <w:sz w:val="20"/>
          <w:szCs w:val="20"/>
        </w:rPr>
        <w:t>peines</w:t>
      </w:r>
      <w:r w:rsidR="00DB1635" w:rsidRPr="00B004EE">
        <w:rPr>
          <w:rFonts w:ascii="Tahoma" w:hAnsi="Tahoma" w:cs="Tahoma"/>
          <w:spacing w:val="32"/>
          <w:sz w:val="20"/>
          <w:szCs w:val="20"/>
        </w:rPr>
        <w:t xml:space="preserve"> </w:t>
      </w:r>
      <w:r w:rsidRPr="00B004EE">
        <w:rPr>
          <w:rFonts w:ascii="Tahoma" w:hAnsi="Tahoma" w:cs="Tahoma"/>
          <w:sz w:val="20"/>
          <w:szCs w:val="20"/>
        </w:rPr>
        <w:t>plus</w:t>
      </w:r>
      <w:r w:rsidR="00DB1635" w:rsidRPr="00B004EE">
        <w:rPr>
          <w:rFonts w:ascii="Tahoma" w:hAnsi="Tahoma" w:cs="Tahoma"/>
          <w:spacing w:val="32"/>
          <w:sz w:val="20"/>
          <w:szCs w:val="20"/>
        </w:rPr>
        <w:t xml:space="preserve"> </w:t>
      </w:r>
      <w:r w:rsidRPr="00B004EE">
        <w:rPr>
          <w:rFonts w:ascii="Tahoma" w:hAnsi="Tahoma" w:cs="Tahoma"/>
          <w:sz w:val="20"/>
          <w:szCs w:val="20"/>
        </w:rPr>
        <w:t>graves</w:t>
      </w:r>
      <w:r w:rsidR="00DB1635" w:rsidRPr="00B004EE">
        <w:rPr>
          <w:rFonts w:ascii="Tahoma" w:hAnsi="Tahoma" w:cs="Tahoma"/>
          <w:spacing w:val="32"/>
          <w:sz w:val="20"/>
          <w:szCs w:val="20"/>
        </w:rPr>
        <w:t xml:space="preserve"> </w:t>
      </w:r>
      <w:r w:rsidRPr="00B004EE">
        <w:rPr>
          <w:rFonts w:ascii="Tahoma" w:hAnsi="Tahoma" w:cs="Tahoma"/>
          <w:sz w:val="20"/>
          <w:szCs w:val="20"/>
        </w:rPr>
        <w:t>prévues</w:t>
      </w:r>
      <w:r w:rsidR="00DB1635" w:rsidRPr="00B004EE">
        <w:rPr>
          <w:rFonts w:ascii="Tahoma" w:hAnsi="Tahoma" w:cs="Tahoma"/>
          <w:spacing w:val="32"/>
          <w:sz w:val="20"/>
          <w:szCs w:val="20"/>
        </w:rPr>
        <w:t xml:space="preserve"> </w:t>
      </w:r>
      <w:r w:rsidRPr="00B004EE">
        <w:rPr>
          <w:rFonts w:ascii="Tahoma" w:hAnsi="Tahoma" w:cs="Tahoma"/>
          <w:sz w:val="20"/>
          <w:szCs w:val="20"/>
        </w:rPr>
        <w:t>par</w:t>
      </w:r>
      <w:r w:rsidR="00DB1635" w:rsidRPr="00B004EE">
        <w:rPr>
          <w:rFonts w:ascii="Tahoma" w:hAnsi="Tahoma" w:cs="Tahoma"/>
          <w:spacing w:val="32"/>
          <w:sz w:val="20"/>
          <w:szCs w:val="20"/>
        </w:rPr>
        <w:t xml:space="preserve"> </w:t>
      </w:r>
      <w:r w:rsidRPr="00B004EE">
        <w:rPr>
          <w:rFonts w:ascii="Tahoma" w:hAnsi="Tahoma" w:cs="Tahoma"/>
          <w:sz w:val="20"/>
          <w:szCs w:val="20"/>
        </w:rPr>
        <w:t>les</w:t>
      </w:r>
      <w:r w:rsidR="00DB1635" w:rsidRPr="00B004EE">
        <w:rPr>
          <w:rFonts w:ascii="Tahoma" w:hAnsi="Tahoma" w:cs="Tahoma"/>
          <w:w w:val="94"/>
          <w:sz w:val="20"/>
          <w:szCs w:val="20"/>
        </w:rPr>
        <w:t xml:space="preserve"> </w:t>
      </w:r>
      <w:r w:rsidRPr="00B004EE">
        <w:rPr>
          <w:rFonts w:ascii="Tahoma" w:hAnsi="Tahoma" w:cs="Tahoma"/>
          <w:sz w:val="20"/>
          <w:szCs w:val="20"/>
        </w:rPr>
        <w:t>dispositions</w:t>
      </w:r>
      <w:r w:rsidR="00DB1635" w:rsidRPr="00B004EE">
        <w:rPr>
          <w:rFonts w:ascii="Tahoma" w:hAnsi="Tahoma" w:cs="Tahoma"/>
          <w:spacing w:val="-23"/>
          <w:sz w:val="20"/>
          <w:szCs w:val="20"/>
        </w:rPr>
        <w:t xml:space="preserve"> </w:t>
      </w:r>
      <w:r w:rsidRPr="00B004EE">
        <w:rPr>
          <w:rFonts w:ascii="Tahoma" w:hAnsi="Tahoma" w:cs="Tahoma"/>
          <w:sz w:val="20"/>
          <w:szCs w:val="20"/>
        </w:rPr>
        <w:t>du</w:t>
      </w:r>
      <w:r w:rsidR="00DB1635" w:rsidRPr="00B004EE">
        <w:rPr>
          <w:rFonts w:ascii="Tahoma" w:hAnsi="Tahoma" w:cs="Tahoma"/>
          <w:spacing w:val="-23"/>
          <w:sz w:val="20"/>
          <w:szCs w:val="20"/>
        </w:rPr>
        <w:t xml:space="preserve"> </w:t>
      </w:r>
      <w:r w:rsidRPr="00B004EE">
        <w:rPr>
          <w:rFonts w:ascii="Tahoma" w:hAnsi="Tahoma" w:cs="Tahoma"/>
          <w:sz w:val="20"/>
          <w:szCs w:val="20"/>
        </w:rPr>
        <w:t>Code</w:t>
      </w:r>
      <w:r w:rsidR="00DB1635" w:rsidRPr="00B004EE">
        <w:rPr>
          <w:rFonts w:ascii="Tahoma" w:hAnsi="Tahoma" w:cs="Tahoma"/>
          <w:spacing w:val="-23"/>
          <w:sz w:val="20"/>
          <w:szCs w:val="20"/>
        </w:rPr>
        <w:t xml:space="preserve"> </w:t>
      </w:r>
      <w:r w:rsidRPr="00B004EE">
        <w:rPr>
          <w:rFonts w:ascii="Tahoma" w:hAnsi="Tahoma" w:cs="Tahoma"/>
          <w:sz w:val="20"/>
          <w:szCs w:val="20"/>
        </w:rPr>
        <w:t>Pénal.</w:t>
      </w:r>
    </w:p>
    <w:p w14:paraId="5B87E6AA" w14:textId="77777777" w:rsidR="001E7C3C" w:rsidRPr="00B004EE" w:rsidRDefault="001E7C3C" w:rsidP="00B004EE">
      <w:pPr>
        <w:rPr>
          <w:rFonts w:ascii="Tahoma" w:eastAsia="American Typewriter" w:hAnsi="Tahoma" w:cs="Tahoma"/>
          <w:sz w:val="20"/>
          <w:szCs w:val="20"/>
        </w:rPr>
      </w:pPr>
    </w:p>
    <w:p w14:paraId="07A8ED97" w14:textId="4F7EFAB7" w:rsidR="001E7C3C" w:rsidRPr="00B004EE" w:rsidRDefault="001E7C3C" w:rsidP="00B004EE">
      <w:pPr>
        <w:pStyle w:val="Corpsdetexte"/>
        <w:ind w:right="160"/>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90</w:t>
      </w:r>
      <w:r w:rsidR="00DB1635" w:rsidRPr="00B004EE">
        <w:rPr>
          <w:rFonts w:ascii="Tahoma" w:hAnsi="Tahoma" w:cs="Tahoma"/>
          <w:bCs/>
          <w:sz w:val="20"/>
          <w:szCs w:val="20"/>
        </w:rPr>
        <w:t xml:space="preserve"> </w:t>
      </w:r>
      <w:r w:rsidRPr="00B004EE">
        <w:rPr>
          <w:rFonts w:ascii="Tahoma" w:hAnsi="Tahoma" w:cs="Tahoma"/>
          <w:bCs/>
          <w:sz w:val="20"/>
          <w:szCs w:val="20"/>
        </w:rPr>
        <w:t>:</w:t>
      </w:r>
      <w:r w:rsidR="00DB1635" w:rsidRPr="00B004EE">
        <w:rPr>
          <w:rFonts w:ascii="Tahoma" w:eastAsia="American Typewriter" w:hAnsi="Tahoma" w:cs="Tahoma"/>
          <w:b/>
          <w:bCs/>
          <w:sz w:val="20"/>
          <w:szCs w:val="20"/>
        </w:rPr>
        <w:t xml:space="preserve"> </w:t>
      </w:r>
      <w:r w:rsidRPr="00B004EE">
        <w:rPr>
          <w:rFonts w:ascii="Tahoma" w:hAnsi="Tahoma" w:cs="Tahoma"/>
          <w:sz w:val="20"/>
          <w:szCs w:val="20"/>
        </w:rPr>
        <w:t>Quiconque</w:t>
      </w:r>
      <w:r w:rsidR="00DB1635" w:rsidRPr="00B004EE">
        <w:rPr>
          <w:rFonts w:ascii="Tahoma" w:hAnsi="Tahoma" w:cs="Tahoma"/>
          <w:sz w:val="20"/>
          <w:szCs w:val="20"/>
        </w:rPr>
        <w:t xml:space="preserve"> </w:t>
      </w:r>
      <w:r w:rsidRPr="00B004EE">
        <w:rPr>
          <w:rFonts w:ascii="Tahoma" w:hAnsi="Tahoma" w:cs="Tahoma"/>
          <w:sz w:val="20"/>
          <w:szCs w:val="20"/>
        </w:rPr>
        <w:t>empêche</w:t>
      </w:r>
      <w:r w:rsidR="00DB1635" w:rsidRPr="00B004EE">
        <w:rPr>
          <w:rFonts w:ascii="Tahoma" w:hAnsi="Tahoma" w:cs="Tahoma"/>
          <w:sz w:val="20"/>
          <w:szCs w:val="20"/>
        </w:rPr>
        <w:t xml:space="preserve"> </w:t>
      </w:r>
      <w:r w:rsidRPr="00B004EE">
        <w:rPr>
          <w:rFonts w:ascii="Tahoma" w:hAnsi="Tahoma" w:cs="Tahoma"/>
          <w:sz w:val="20"/>
          <w:szCs w:val="20"/>
        </w:rPr>
        <w:t>intentionnellement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agents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pacing w:val="54"/>
          <w:sz w:val="20"/>
          <w:szCs w:val="20"/>
        </w:rPr>
        <w:t xml:space="preserve"> </w:t>
      </w:r>
      <w:r w:rsidRPr="00B004EE">
        <w:rPr>
          <w:rFonts w:ascii="Tahoma" w:hAnsi="Tahoma" w:cs="Tahoma"/>
          <w:sz w:val="20"/>
          <w:szCs w:val="20"/>
        </w:rPr>
        <w:t>contrôle</w:t>
      </w:r>
      <w:r w:rsidR="00DB1635" w:rsidRPr="00B004EE">
        <w:rPr>
          <w:rFonts w:ascii="Tahoma" w:hAnsi="Tahoma" w:cs="Tahoma"/>
          <w:w w:val="94"/>
          <w:sz w:val="20"/>
          <w:szCs w:val="20"/>
        </w:rPr>
        <w:t xml:space="preserve"> </w:t>
      </w:r>
      <w:r w:rsidRPr="00B004EE">
        <w:rPr>
          <w:rFonts w:ascii="Tahoma" w:hAnsi="Tahoma" w:cs="Tahoma"/>
          <w:sz w:val="20"/>
          <w:szCs w:val="20"/>
        </w:rPr>
        <w:t>d'exercer</w:t>
      </w:r>
      <w:r w:rsidR="00DB1635" w:rsidRPr="00B004EE">
        <w:rPr>
          <w:rFonts w:ascii="Tahoma" w:hAnsi="Tahoma" w:cs="Tahoma"/>
          <w:spacing w:val="-32"/>
          <w:sz w:val="20"/>
          <w:szCs w:val="20"/>
        </w:rPr>
        <w:t xml:space="preserve"> </w:t>
      </w:r>
      <w:r w:rsidRPr="00B004EE">
        <w:rPr>
          <w:rFonts w:ascii="Tahoma" w:hAnsi="Tahoma" w:cs="Tahoma"/>
          <w:sz w:val="20"/>
          <w:szCs w:val="20"/>
        </w:rPr>
        <w:t>leurs</w:t>
      </w:r>
      <w:r w:rsidR="00DB1635" w:rsidRPr="00B004EE">
        <w:rPr>
          <w:rFonts w:ascii="Tahoma" w:hAnsi="Tahoma" w:cs="Tahoma"/>
          <w:spacing w:val="-31"/>
          <w:sz w:val="20"/>
          <w:szCs w:val="20"/>
        </w:rPr>
        <w:t xml:space="preserve"> </w:t>
      </w:r>
      <w:r w:rsidRPr="00B004EE">
        <w:rPr>
          <w:rFonts w:ascii="Tahoma" w:hAnsi="Tahoma" w:cs="Tahoma"/>
          <w:sz w:val="20"/>
          <w:szCs w:val="20"/>
        </w:rPr>
        <w:t>fonctions,</w:t>
      </w:r>
      <w:r w:rsidR="00DB1635" w:rsidRPr="00B004EE">
        <w:rPr>
          <w:rFonts w:ascii="Tahoma" w:hAnsi="Tahoma" w:cs="Tahoma"/>
          <w:spacing w:val="-30"/>
          <w:sz w:val="20"/>
          <w:szCs w:val="20"/>
        </w:rPr>
        <w:t xml:space="preserve"> </w:t>
      </w:r>
      <w:r w:rsidRPr="00B004EE">
        <w:rPr>
          <w:rFonts w:ascii="Tahoma" w:hAnsi="Tahoma" w:cs="Tahoma"/>
          <w:sz w:val="20"/>
          <w:szCs w:val="20"/>
        </w:rPr>
        <w:t>détruit</w:t>
      </w:r>
      <w:r w:rsidR="00DB1635" w:rsidRPr="00B004EE">
        <w:rPr>
          <w:rFonts w:ascii="Tahoma" w:hAnsi="Tahoma" w:cs="Tahoma"/>
          <w:spacing w:val="-31"/>
          <w:sz w:val="20"/>
          <w:szCs w:val="20"/>
        </w:rPr>
        <w:t xml:space="preserve"> </w:t>
      </w:r>
      <w:r w:rsidRPr="00B004EE">
        <w:rPr>
          <w:rFonts w:ascii="Tahoma" w:hAnsi="Tahoma" w:cs="Tahoma"/>
          <w:sz w:val="20"/>
          <w:szCs w:val="20"/>
        </w:rPr>
        <w:t>ou</w:t>
      </w:r>
      <w:r w:rsidR="00DB1635" w:rsidRPr="00B004EE">
        <w:rPr>
          <w:rFonts w:ascii="Tahoma" w:hAnsi="Tahoma" w:cs="Tahoma"/>
          <w:spacing w:val="-32"/>
          <w:sz w:val="20"/>
          <w:szCs w:val="20"/>
        </w:rPr>
        <w:t xml:space="preserve"> </w:t>
      </w:r>
      <w:r w:rsidRPr="00B004EE">
        <w:rPr>
          <w:rFonts w:ascii="Tahoma" w:hAnsi="Tahoma" w:cs="Tahoma"/>
          <w:sz w:val="20"/>
          <w:szCs w:val="20"/>
        </w:rPr>
        <w:t>dissimule</w:t>
      </w:r>
      <w:r w:rsidR="00DB1635" w:rsidRPr="00B004EE">
        <w:rPr>
          <w:rFonts w:ascii="Tahoma" w:hAnsi="Tahoma" w:cs="Tahoma"/>
          <w:spacing w:val="-32"/>
          <w:sz w:val="20"/>
          <w:szCs w:val="20"/>
        </w:rPr>
        <w:t xml:space="preserve"> </w:t>
      </w:r>
      <w:r w:rsidRPr="00B004EE">
        <w:rPr>
          <w:rFonts w:ascii="Tahoma" w:hAnsi="Tahoma" w:cs="Tahoma"/>
          <w:sz w:val="20"/>
          <w:szCs w:val="20"/>
        </w:rPr>
        <w:t>les</w:t>
      </w:r>
      <w:r w:rsidR="00DB1635" w:rsidRPr="00B004EE">
        <w:rPr>
          <w:rFonts w:ascii="Tahoma" w:hAnsi="Tahoma" w:cs="Tahoma"/>
          <w:spacing w:val="-33"/>
          <w:sz w:val="20"/>
          <w:szCs w:val="20"/>
        </w:rPr>
        <w:t xml:space="preserve"> </w:t>
      </w:r>
      <w:r w:rsidRPr="00B004EE">
        <w:rPr>
          <w:rFonts w:ascii="Tahoma" w:hAnsi="Tahoma" w:cs="Tahoma"/>
          <w:sz w:val="20"/>
          <w:szCs w:val="20"/>
        </w:rPr>
        <w:t>preuves</w:t>
      </w:r>
      <w:r w:rsidR="00DB1635" w:rsidRPr="00B004EE">
        <w:rPr>
          <w:rFonts w:ascii="Tahoma" w:hAnsi="Tahoma" w:cs="Tahoma"/>
          <w:spacing w:val="-32"/>
          <w:sz w:val="20"/>
          <w:szCs w:val="20"/>
        </w:rPr>
        <w:t xml:space="preserve"> </w:t>
      </w:r>
      <w:r w:rsidRPr="00B004EE">
        <w:rPr>
          <w:rFonts w:ascii="Tahoma" w:hAnsi="Tahoma" w:cs="Tahoma"/>
          <w:sz w:val="20"/>
          <w:szCs w:val="20"/>
        </w:rPr>
        <w:t>d'une</w:t>
      </w:r>
      <w:r w:rsidR="00DB1635" w:rsidRPr="00B004EE">
        <w:rPr>
          <w:rFonts w:ascii="Tahoma" w:hAnsi="Tahoma" w:cs="Tahoma"/>
          <w:spacing w:val="-33"/>
          <w:sz w:val="20"/>
          <w:szCs w:val="20"/>
        </w:rPr>
        <w:t xml:space="preserve"> </w:t>
      </w:r>
      <w:r w:rsidRPr="00B004EE">
        <w:rPr>
          <w:rFonts w:ascii="Tahoma" w:hAnsi="Tahoma" w:cs="Tahoma"/>
          <w:sz w:val="20"/>
          <w:szCs w:val="20"/>
        </w:rPr>
        <w:t>infraction</w:t>
      </w:r>
      <w:r w:rsidR="00DB1635" w:rsidRPr="00B004EE">
        <w:rPr>
          <w:rFonts w:ascii="Tahoma" w:hAnsi="Tahoma" w:cs="Tahoma"/>
          <w:spacing w:val="-32"/>
          <w:sz w:val="20"/>
          <w:szCs w:val="20"/>
        </w:rPr>
        <w:t xml:space="preserve"> </w:t>
      </w:r>
      <w:r w:rsidRPr="00B004EE">
        <w:rPr>
          <w:rFonts w:ascii="Tahoma" w:hAnsi="Tahoma" w:cs="Tahoma"/>
          <w:sz w:val="20"/>
          <w:szCs w:val="20"/>
        </w:rPr>
        <w:t>de</w:t>
      </w:r>
      <w:r w:rsidR="00DB1635" w:rsidRPr="00B004EE">
        <w:rPr>
          <w:rFonts w:ascii="Tahoma" w:hAnsi="Tahoma" w:cs="Tahoma"/>
          <w:spacing w:val="-32"/>
          <w:sz w:val="20"/>
          <w:szCs w:val="20"/>
        </w:rPr>
        <w:t xml:space="preserve"> </w:t>
      </w:r>
      <w:r w:rsidRPr="00B004EE">
        <w:rPr>
          <w:rFonts w:ascii="Tahoma" w:hAnsi="Tahoma" w:cs="Tahoma"/>
          <w:sz w:val="20"/>
          <w:szCs w:val="20"/>
        </w:rPr>
        <w:t>pêche</w:t>
      </w:r>
      <w:r w:rsidR="00DB1635" w:rsidRPr="00B004EE">
        <w:rPr>
          <w:rFonts w:ascii="Tahoma" w:hAnsi="Tahoma" w:cs="Tahoma"/>
          <w:w w:val="95"/>
          <w:sz w:val="20"/>
          <w:szCs w:val="20"/>
        </w:rPr>
        <w:t xml:space="preserve"> </w:t>
      </w:r>
      <w:r w:rsidRPr="00B004EE">
        <w:rPr>
          <w:rFonts w:ascii="Tahoma" w:hAnsi="Tahoma" w:cs="Tahoma"/>
          <w:sz w:val="20"/>
          <w:szCs w:val="20"/>
        </w:rPr>
        <w:t>sera</w:t>
      </w:r>
      <w:r w:rsidR="00DB1635" w:rsidRPr="00B004EE">
        <w:rPr>
          <w:rFonts w:ascii="Tahoma" w:hAnsi="Tahoma" w:cs="Tahoma"/>
          <w:sz w:val="20"/>
          <w:szCs w:val="20"/>
        </w:rPr>
        <w:t xml:space="preserve"> </w:t>
      </w:r>
      <w:r w:rsidRPr="00B004EE">
        <w:rPr>
          <w:rFonts w:ascii="Tahoma" w:hAnsi="Tahoma" w:cs="Tahoma"/>
          <w:sz w:val="20"/>
          <w:szCs w:val="20"/>
        </w:rPr>
        <w:t>puni</w:t>
      </w:r>
      <w:r w:rsidR="00DB1635" w:rsidRPr="00B004EE">
        <w:rPr>
          <w:rFonts w:ascii="Tahoma" w:hAnsi="Tahoma" w:cs="Tahoma"/>
          <w:sz w:val="20"/>
          <w:szCs w:val="20"/>
        </w:rPr>
        <w:t xml:space="preserve"> </w:t>
      </w:r>
      <w:r w:rsidRPr="00B004EE">
        <w:rPr>
          <w:rFonts w:ascii="Tahoma" w:hAnsi="Tahoma" w:cs="Tahoma"/>
          <w:sz w:val="20"/>
          <w:szCs w:val="20"/>
        </w:rPr>
        <w:t>d'une</w:t>
      </w:r>
      <w:r w:rsidR="00DB1635" w:rsidRPr="00B004EE">
        <w:rPr>
          <w:rFonts w:ascii="Tahoma" w:hAnsi="Tahoma" w:cs="Tahoma"/>
          <w:sz w:val="20"/>
          <w:szCs w:val="20"/>
        </w:rPr>
        <w:t xml:space="preserve"> </w:t>
      </w:r>
      <w:r w:rsidRPr="00B004EE">
        <w:rPr>
          <w:rFonts w:ascii="Tahoma" w:hAnsi="Tahoma" w:cs="Tahoma"/>
          <w:sz w:val="20"/>
          <w:szCs w:val="20"/>
        </w:rPr>
        <w:t>amende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deux</w:t>
      </w:r>
      <w:r w:rsidR="00DB1635" w:rsidRPr="00B004EE">
        <w:rPr>
          <w:rFonts w:ascii="Tahoma" w:hAnsi="Tahoma" w:cs="Tahoma"/>
          <w:sz w:val="20"/>
          <w:szCs w:val="20"/>
        </w:rPr>
        <w:t xml:space="preserve"> </w:t>
      </w:r>
      <w:r w:rsidRPr="00B004EE">
        <w:rPr>
          <w:rFonts w:ascii="Tahoma" w:hAnsi="Tahoma" w:cs="Tahoma"/>
          <w:sz w:val="20"/>
          <w:szCs w:val="20"/>
        </w:rPr>
        <w:t>cent</w:t>
      </w:r>
      <w:r w:rsidR="00DB1635" w:rsidRPr="00B004EE">
        <w:rPr>
          <w:rFonts w:ascii="Tahoma" w:hAnsi="Tahoma" w:cs="Tahoma"/>
          <w:sz w:val="20"/>
          <w:szCs w:val="20"/>
        </w:rPr>
        <w:t xml:space="preserve"> </w:t>
      </w:r>
      <w:r w:rsidR="00681151" w:rsidRPr="00B004EE">
        <w:rPr>
          <w:rFonts w:ascii="Tahoma" w:hAnsi="Tahoma" w:cs="Tahoma"/>
          <w:sz w:val="20"/>
          <w:szCs w:val="20"/>
        </w:rPr>
        <w:t>mille</w:t>
      </w:r>
      <w:r w:rsidR="00DB1635" w:rsidRPr="00B004EE">
        <w:rPr>
          <w:rFonts w:ascii="Tahoma" w:hAnsi="Tahoma" w:cs="Tahoma"/>
          <w:sz w:val="20"/>
          <w:szCs w:val="20"/>
        </w:rPr>
        <w:t xml:space="preserve"> </w:t>
      </w:r>
      <w:r w:rsidRPr="00B004EE">
        <w:rPr>
          <w:rFonts w:ascii="Tahoma" w:hAnsi="Tahoma" w:cs="Tahoma"/>
          <w:sz w:val="20"/>
          <w:szCs w:val="20"/>
        </w:rPr>
        <w:t>(200.000)</w:t>
      </w:r>
      <w:r w:rsidR="00DB1635" w:rsidRPr="00B004EE">
        <w:rPr>
          <w:rFonts w:ascii="Tahoma" w:hAnsi="Tahoma" w:cs="Tahoma"/>
          <w:sz w:val="20"/>
          <w:szCs w:val="20"/>
        </w:rPr>
        <w:t xml:space="preserve"> </w:t>
      </w:r>
      <w:r w:rsidRPr="00B004EE">
        <w:rPr>
          <w:rFonts w:ascii="Tahoma" w:hAnsi="Tahoma" w:cs="Tahoma"/>
          <w:sz w:val="20"/>
          <w:szCs w:val="20"/>
        </w:rPr>
        <w:t>ouguiya</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deux</w:t>
      </w:r>
      <w:r w:rsidR="00DB1635" w:rsidRPr="00B004EE">
        <w:rPr>
          <w:rFonts w:ascii="Tahoma" w:hAnsi="Tahoma" w:cs="Tahoma"/>
          <w:spacing w:val="9"/>
          <w:sz w:val="20"/>
          <w:szCs w:val="20"/>
        </w:rPr>
        <w:t xml:space="preserve"> </w:t>
      </w:r>
      <w:r w:rsidRPr="00B004EE">
        <w:rPr>
          <w:rFonts w:ascii="Tahoma" w:hAnsi="Tahoma" w:cs="Tahoma"/>
          <w:sz w:val="20"/>
          <w:szCs w:val="20"/>
        </w:rPr>
        <w:t>millions</w:t>
      </w:r>
      <w:r w:rsidR="00DB1635" w:rsidRPr="00B004EE">
        <w:rPr>
          <w:rFonts w:ascii="Tahoma" w:hAnsi="Tahoma" w:cs="Tahoma"/>
          <w:w w:val="93"/>
          <w:sz w:val="20"/>
          <w:szCs w:val="20"/>
        </w:rPr>
        <w:t xml:space="preserve"> </w:t>
      </w:r>
      <w:r w:rsidRPr="00B004EE">
        <w:rPr>
          <w:rFonts w:ascii="Tahoma" w:eastAsia="American Typewriter" w:hAnsi="Tahoma" w:cs="Tahoma"/>
          <w:w w:val="90"/>
          <w:sz w:val="20"/>
          <w:szCs w:val="20"/>
        </w:rPr>
        <w:t>(2000.000)</w:t>
      </w:r>
      <w:r w:rsidR="00DB1635" w:rsidRPr="00B004EE">
        <w:rPr>
          <w:rFonts w:ascii="Tahoma" w:eastAsia="American Typewriter" w:hAnsi="Tahoma" w:cs="Tahoma"/>
          <w:spacing w:val="20"/>
          <w:w w:val="90"/>
          <w:sz w:val="20"/>
          <w:szCs w:val="20"/>
        </w:rPr>
        <w:t xml:space="preserve"> </w:t>
      </w:r>
      <w:r w:rsidRPr="00B004EE">
        <w:rPr>
          <w:rFonts w:ascii="Tahoma" w:eastAsia="American Typewriter" w:hAnsi="Tahoma" w:cs="Tahoma"/>
          <w:w w:val="90"/>
          <w:sz w:val="20"/>
          <w:szCs w:val="20"/>
        </w:rPr>
        <w:t>d’ouguiya.</w:t>
      </w:r>
    </w:p>
    <w:p w14:paraId="76AF678F" w14:textId="77777777" w:rsidR="001E7C3C" w:rsidRPr="00B004EE" w:rsidRDefault="001E7C3C" w:rsidP="00B004EE">
      <w:pPr>
        <w:rPr>
          <w:rFonts w:ascii="Tahoma" w:eastAsia="American Typewriter" w:hAnsi="Tahoma" w:cs="Tahoma"/>
          <w:sz w:val="20"/>
          <w:szCs w:val="20"/>
        </w:rPr>
      </w:pPr>
    </w:p>
    <w:p w14:paraId="4224D182" w14:textId="5FC68607" w:rsidR="001E7C3C" w:rsidRPr="00B004EE" w:rsidRDefault="001E7C3C" w:rsidP="00B004EE">
      <w:pPr>
        <w:pStyle w:val="Corpsdetexte"/>
        <w:ind w:right="157"/>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91</w:t>
      </w:r>
      <w:r w:rsidR="00DB1635" w:rsidRPr="00B004EE">
        <w:rPr>
          <w:rFonts w:ascii="Tahoma" w:hAnsi="Tahoma" w:cs="Tahoma"/>
          <w:bCs/>
          <w:sz w:val="20"/>
          <w:szCs w:val="20"/>
        </w:rPr>
        <w:t xml:space="preserve"> </w:t>
      </w:r>
      <w:r w:rsidRPr="00B004EE">
        <w:rPr>
          <w:rFonts w:ascii="Tahoma" w:hAnsi="Tahoma" w:cs="Tahoma"/>
          <w:bCs/>
          <w:sz w:val="20"/>
          <w:szCs w:val="20"/>
        </w:rPr>
        <w:t>:</w:t>
      </w:r>
      <w:r w:rsidR="00DB1635" w:rsidRPr="00B004EE">
        <w:rPr>
          <w:rFonts w:ascii="Tahoma" w:eastAsia="American Typewriter" w:hAnsi="Tahoma" w:cs="Tahoma"/>
          <w:b/>
          <w:bCs/>
          <w:spacing w:val="-4"/>
          <w:sz w:val="20"/>
          <w:szCs w:val="20"/>
        </w:rPr>
        <w:t xml:space="preserve"> </w:t>
      </w:r>
      <w:r w:rsidRPr="00B004EE">
        <w:rPr>
          <w:rFonts w:ascii="Tahoma" w:hAnsi="Tahoma" w:cs="Tahoma"/>
          <w:sz w:val="20"/>
          <w:szCs w:val="20"/>
        </w:rPr>
        <w:t>Les</w:t>
      </w:r>
      <w:r w:rsidR="00DB1635" w:rsidRPr="00B004EE">
        <w:rPr>
          <w:rFonts w:ascii="Tahoma" w:hAnsi="Tahoma" w:cs="Tahoma"/>
          <w:spacing w:val="-10"/>
          <w:sz w:val="20"/>
          <w:szCs w:val="20"/>
        </w:rPr>
        <w:t xml:space="preserve"> </w:t>
      </w:r>
      <w:r w:rsidRPr="00B004EE">
        <w:rPr>
          <w:rFonts w:ascii="Tahoma" w:hAnsi="Tahoma" w:cs="Tahoma"/>
          <w:sz w:val="20"/>
          <w:szCs w:val="20"/>
        </w:rPr>
        <w:t>autres</w:t>
      </w:r>
      <w:r w:rsidR="00DB1635" w:rsidRPr="00B004EE">
        <w:rPr>
          <w:rFonts w:ascii="Tahoma" w:hAnsi="Tahoma" w:cs="Tahoma"/>
          <w:spacing w:val="-10"/>
          <w:sz w:val="20"/>
          <w:szCs w:val="20"/>
        </w:rPr>
        <w:t xml:space="preserve"> </w:t>
      </w:r>
      <w:r w:rsidRPr="00B004EE">
        <w:rPr>
          <w:rFonts w:ascii="Tahoma" w:hAnsi="Tahoma" w:cs="Tahoma"/>
          <w:sz w:val="20"/>
          <w:szCs w:val="20"/>
        </w:rPr>
        <w:t>infractions</w:t>
      </w:r>
      <w:r w:rsidR="00DB1635" w:rsidRPr="00B004EE">
        <w:rPr>
          <w:rFonts w:ascii="Tahoma" w:hAnsi="Tahoma" w:cs="Tahoma"/>
          <w:spacing w:val="-10"/>
          <w:sz w:val="20"/>
          <w:szCs w:val="20"/>
        </w:rPr>
        <w:t xml:space="preserve"> </w:t>
      </w:r>
      <w:r w:rsidRPr="00B004EE">
        <w:rPr>
          <w:rFonts w:ascii="Tahoma" w:hAnsi="Tahoma" w:cs="Tahoma"/>
          <w:sz w:val="20"/>
          <w:szCs w:val="20"/>
        </w:rPr>
        <w:t>aux</w:t>
      </w:r>
      <w:r w:rsidR="00DB1635" w:rsidRPr="00B004EE">
        <w:rPr>
          <w:rFonts w:ascii="Tahoma" w:hAnsi="Tahoma" w:cs="Tahoma"/>
          <w:spacing w:val="-9"/>
          <w:sz w:val="20"/>
          <w:szCs w:val="20"/>
        </w:rPr>
        <w:t xml:space="preserve"> </w:t>
      </w:r>
      <w:r w:rsidRPr="00B004EE">
        <w:rPr>
          <w:rFonts w:ascii="Tahoma" w:hAnsi="Tahoma" w:cs="Tahoma"/>
          <w:sz w:val="20"/>
          <w:szCs w:val="20"/>
        </w:rPr>
        <w:t>règles</w:t>
      </w:r>
      <w:r w:rsidR="00DB1635" w:rsidRPr="00B004EE">
        <w:rPr>
          <w:rFonts w:ascii="Tahoma" w:hAnsi="Tahoma" w:cs="Tahoma"/>
          <w:spacing w:val="-10"/>
          <w:sz w:val="20"/>
          <w:szCs w:val="20"/>
        </w:rPr>
        <w:t xml:space="preserve"> </w:t>
      </w:r>
      <w:r w:rsidRPr="00B004EE">
        <w:rPr>
          <w:rFonts w:ascii="Tahoma" w:hAnsi="Tahoma" w:cs="Tahoma"/>
          <w:sz w:val="20"/>
          <w:szCs w:val="20"/>
        </w:rPr>
        <w:t>prescrites</w:t>
      </w:r>
      <w:r w:rsidR="00DB1635" w:rsidRPr="00B004EE">
        <w:rPr>
          <w:rFonts w:ascii="Tahoma" w:hAnsi="Tahoma" w:cs="Tahoma"/>
          <w:spacing w:val="-10"/>
          <w:sz w:val="20"/>
          <w:szCs w:val="20"/>
        </w:rPr>
        <w:t xml:space="preserve"> </w:t>
      </w:r>
      <w:r w:rsidRPr="00B004EE">
        <w:rPr>
          <w:rFonts w:ascii="Tahoma" w:hAnsi="Tahoma" w:cs="Tahoma"/>
          <w:sz w:val="20"/>
          <w:szCs w:val="20"/>
        </w:rPr>
        <w:t>par</w:t>
      </w:r>
      <w:r w:rsidR="00DB1635" w:rsidRPr="00B004EE">
        <w:rPr>
          <w:rFonts w:ascii="Tahoma" w:hAnsi="Tahoma" w:cs="Tahoma"/>
          <w:spacing w:val="-7"/>
          <w:sz w:val="20"/>
          <w:szCs w:val="20"/>
        </w:rPr>
        <w:t xml:space="preserve"> </w:t>
      </w:r>
      <w:r w:rsidRPr="00B004EE">
        <w:rPr>
          <w:rFonts w:ascii="Tahoma" w:hAnsi="Tahoma" w:cs="Tahoma"/>
          <w:sz w:val="20"/>
          <w:szCs w:val="20"/>
        </w:rPr>
        <w:t>la</w:t>
      </w:r>
      <w:r w:rsidR="00DB1635" w:rsidRPr="00B004EE">
        <w:rPr>
          <w:rFonts w:ascii="Tahoma" w:hAnsi="Tahoma" w:cs="Tahoma"/>
          <w:spacing w:val="-9"/>
          <w:sz w:val="20"/>
          <w:szCs w:val="20"/>
        </w:rPr>
        <w:t xml:space="preserve"> </w:t>
      </w:r>
      <w:r w:rsidRPr="00B004EE">
        <w:rPr>
          <w:rFonts w:ascii="Tahoma" w:hAnsi="Tahoma" w:cs="Tahoma"/>
          <w:sz w:val="20"/>
          <w:szCs w:val="20"/>
        </w:rPr>
        <w:t>présente</w:t>
      </w:r>
      <w:r w:rsidR="00DB1635" w:rsidRPr="00B004EE">
        <w:rPr>
          <w:rFonts w:ascii="Tahoma" w:hAnsi="Tahoma" w:cs="Tahoma"/>
          <w:spacing w:val="-9"/>
          <w:sz w:val="20"/>
          <w:szCs w:val="20"/>
        </w:rPr>
        <w:t xml:space="preserve"> </w:t>
      </w:r>
      <w:r w:rsidRPr="00B004EE">
        <w:rPr>
          <w:rFonts w:ascii="Tahoma" w:hAnsi="Tahoma" w:cs="Tahoma"/>
          <w:sz w:val="20"/>
          <w:szCs w:val="20"/>
        </w:rPr>
        <w:t>Loi</w:t>
      </w:r>
      <w:r w:rsidR="00DB1635" w:rsidRPr="00B004EE">
        <w:rPr>
          <w:rFonts w:ascii="Tahoma" w:hAnsi="Tahoma" w:cs="Tahoma"/>
          <w:spacing w:val="-7"/>
          <w:sz w:val="20"/>
          <w:szCs w:val="20"/>
        </w:rPr>
        <w:t xml:space="preserve"> </w:t>
      </w:r>
      <w:r w:rsidRPr="00B004EE">
        <w:rPr>
          <w:rFonts w:ascii="Tahoma" w:hAnsi="Tahoma" w:cs="Tahoma"/>
          <w:sz w:val="20"/>
          <w:szCs w:val="20"/>
        </w:rPr>
        <w:t>et</w:t>
      </w:r>
      <w:r w:rsidR="00DB1635" w:rsidRPr="00B004EE">
        <w:rPr>
          <w:rFonts w:ascii="Tahoma" w:hAnsi="Tahoma" w:cs="Tahoma"/>
          <w:spacing w:val="-9"/>
          <w:sz w:val="20"/>
          <w:szCs w:val="20"/>
        </w:rPr>
        <w:t xml:space="preserve"> </w:t>
      </w:r>
      <w:r w:rsidRPr="00B004EE">
        <w:rPr>
          <w:rFonts w:ascii="Tahoma" w:hAnsi="Tahoma" w:cs="Tahoma"/>
          <w:sz w:val="20"/>
          <w:szCs w:val="20"/>
        </w:rPr>
        <w:t>ses</w:t>
      </w:r>
      <w:r w:rsidR="00DB1635" w:rsidRPr="00B004EE">
        <w:rPr>
          <w:rFonts w:ascii="Tahoma" w:hAnsi="Tahoma" w:cs="Tahoma"/>
          <w:w w:val="94"/>
          <w:sz w:val="20"/>
          <w:szCs w:val="20"/>
        </w:rPr>
        <w:t xml:space="preserve"> </w:t>
      </w:r>
      <w:r w:rsidRPr="00B004EE">
        <w:rPr>
          <w:rFonts w:ascii="Tahoma" w:hAnsi="Tahoma" w:cs="Tahoma"/>
          <w:sz w:val="20"/>
          <w:szCs w:val="20"/>
        </w:rPr>
        <w:t>règlements</w:t>
      </w:r>
      <w:r w:rsidR="00DB1635" w:rsidRPr="00B004EE">
        <w:rPr>
          <w:rFonts w:ascii="Tahoma" w:hAnsi="Tahoma" w:cs="Tahoma"/>
          <w:spacing w:val="-33"/>
          <w:sz w:val="20"/>
          <w:szCs w:val="20"/>
        </w:rPr>
        <w:t xml:space="preserve"> </w:t>
      </w:r>
      <w:r w:rsidRPr="00B004EE">
        <w:rPr>
          <w:rFonts w:ascii="Tahoma" w:hAnsi="Tahoma" w:cs="Tahoma"/>
          <w:sz w:val="20"/>
          <w:szCs w:val="20"/>
        </w:rPr>
        <w:t>d</w:t>
      </w:r>
      <w:r w:rsidRPr="00B004EE">
        <w:rPr>
          <w:rFonts w:ascii="Tahoma" w:eastAsia="American Typewriter" w:hAnsi="Tahoma" w:cs="Tahoma"/>
          <w:sz w:val="20"/>
          <w:szCs w:val="20"/>
        </w:rPr>
        <w:t>’application</w:t>
      </w:r>
      <w:r w:rsidR="00DB1635" w:rsidRPr="00B004EE">
        <w:rPr>
          <w:rFonts w:ascii="Tahoma" w:eastAsia="American Typewriter" w:hAnsi="Tahoma" w:cs="Tahoma"/>
          <w:spacing w:val="-33"/>
          <w:sz w:val="20"/>
          <w:szCs w:val="20"/>
        </w:rPr>
        <w:t xml:space="preserve"> </w:t>
      </w:r>
      <w:r w:rsidRPr="00B004EE">
        <w:rPr>
          <w:rFonts w:ascii="Tahoma" w:eastAsia="American Typewriter" w:hAnsi="Tahoma" w:cs="Tahoma"/>
          <w:sz w:val="20"/>
          <w:szCs w:val="20"/>
        </w:rPr>
        <w:t>qui</w:t>
      </w:r>
      <w:r w:rsidR="00DB1635" w:rsidRPr="00B004EE">
        <w:rPr>
          <w:rFonts w:ascii="Tahoma" w:eastAsia="American Typewriter" w:hAnsi="Tahoma" w:cs="Tahoma"/>
          <w:spacing w:val="-32"/>
          <w:sz w:val="20"/>
          <w:szCs w:val="20"/>
        </w:rPr>
        <w:t xml:space="preserve"> </w:t>
      </w:r>
      <w:r w:rsidRPr="00B004EE">
        <w:rPr>
          <w:rFonts w:ascii="Tahoma" w:eastAsia="American Typewriter" w:hAnsi="Tahoma" w:cs="Tahoma"/>
          <w:sz w:val="20"/>
          <w:szCs w:val="20"/>
        </w:rPr>
        <w:t>ne</w:t>
      </w:r>
      <w:r w:rsidR="00DB1635" w:rsidRPr="00B004EE">
        <w:rPr>
          <w:rFonts w:ascii="Tahoma" w:eastAsia="American Typewriter" w:hAnsi="Tahoma" w:cs="Tahoma"/>
          <w:spacing w:val="-33"/>
          <w:sz w:val="20"/>
          <w:szCs w:val="20"/>
        </w:rPr>
        <w:t xml:space="preserve"> </w:t>
      </w:r>
      <w:r w:rsidRPr="00B004EE">
        <w:rPr>
          <w:rFonts w:ascii="Tahoma" w:eastAsia="American Typewriter" w:hAnsi="Tahoma" w:cs="Tahoma"/>
          <w:sz w:val="20"/>
          <w:szCs w:val="20"/>
        </w:rPr>
        <w:t>sont</w:t>
      </w:r>
      <w:r w:rsidR="00DB1635" w:rsidRPr="00B004EE">
        <w:rPr>
          <w:rFonts w:ascii="Tahoma" w:eastAsia="American Typewriter" w:hAnsi="Tahoma" w:cs="Tahoma"/>
          <w:spacing w:val="-33"/>
          <w:sz w:val="20"/>
          <w:szCs w:val="20"/>
        </w:rPr>
        <w:t xml:space="preserve"> </w:t>
      </w:r>
      <w:r w:rsidRPr="00B004EE">
        <w:rPr>
          <w:rFonts w:ascii="Tahoma" w:eastAsia="American Typewriter" w:hAnsi="Tahoma" w:cs="Tahoma"/>
          <w:sz w:val="20"/>
          <w:szCs w:val="20"/>
        </w:rPr>
        <w:t>pas</w:t>
      </w:r>
      <w:r w:rsidR="00DB1635" w:rsidRPr="00B004EE">
        <w:rPr>
          <w:rFonts w:ascii="Tahoma" w:eastAsia="American Typewriter" w:hAnsi="Tahoma" w:cs="Tahoma"/>
          <w:spacing w:val="-34"/>
          <w:sz w:val="20"/>
          <w:szCs w:val="20"/>
        </w:rPr>
        <w:t xml:space="preserve"> </w:t>
      </w:r>
      <w:r w:rsidRPr="00B004EE">
        <w:rPr>
          <w:rFonts w:ascii="Tahoma" w:eastAsia="American Typewriter" w:hAnsi="Tahoma" w:cs="Tahoma"/>
          <w:sz w:val="20"/>
          <w:szCs w:val="20"/>
        </w:rPr>
        <w:t>expressément</w:t>
      </w:r>
      <w:r w:rsidR="00DB1635" w:rsidRPr="00B004EE">
        <w:rPr>
          <w:rFonts w:ascii="Tahoma" w:eastAsia="American Typewriter" w:hAnsi="Tahoma" w:cs="Tahoma"/>
          <w:spacing w:val="-34"/>
          <w:sz w:val="20"/>
          <w:szCs w:val="20"/>
        </w:rPr>
        <w:t xml:space="preserve"> </w:t>
      </w:r>
      <w:r w:rsidRPr="00B004EE">
        <w:rPr>
          <w:rFonts w:ascii="Tahoma" w:eastAsia="American Typewriter" w:hAnsi="Tahoma" w:cs="Tahoma"/>
          <w:sz w:val="20"/>
          <w:szCs w:val="20"/>
        </w:rPr>
        <w:t>définies</w:t>
      </w:r>
      <w:r w:rsidR="00DB1635" w:rsidRPr="00B004EE">
        <w:rPr>
          <w:rFonts w:ascii="Tahoma" w:eastAsia="American Typewriter" w:hAnsi="Tahoma" w:cs="Tahoma"/>
          <w:spacing w:val="-34"/>
          <w:sz w:val="20"/>
          <w:szCs w:val="20"/>
        </w:rPr>
        <w:t xml:space="preserve"> </w:t>
      </w:r>
      <w:r w:rsidRPr="00B004EE">
        <w:rPr>
          <w:rFonts w:ascii="Tahoma" w:eastAsia="American Typewriter" w:hAnsi="Tahoma" w:cs="Tahoma"/>
          <w:sz w:val="20"/>
          <w:szCs w:val="20"/>
        </w:rPr>
        <w:t>seront</w:t>
      </w:r>
      <w:r w:rsidR="00DB1635" w:rsidRPr="00B004EE">
        <w:rPr>
          <w:rFonts w:ascii="Tahoma" w:eastAsia="American Typewriter" w:hAnsi="Tahoma" w:cs="Tahoma"/>
          <w:spacing w:val="-34"/>
          <w:sz w:val="20"/>
          <w:szCs w:val="20"/>
        </w:rPr>
        <w:t xml:space="preserve"> </w:t>
      </w:r>
      <w:r w:rsidRPr="00B004EE">
        <w:rPr>
          <w:rFonts w:ascii="Tahoma" w:eastAsia="American Typewriter" w:hAnsi="Tahoma" w:cs="Tahoma"/>
          <w:sz w:val="20"/>
          <w:szCs w:val="20"/>
        </w:rPr>
        <w:t>punies</w:t>
      </w:r>
      <w:r w:rsidR="00DB1635" w:rsidRPr="00B004EE">
        <w:rPr>
          <w:rFonts w:ascii="Tahoma" w:eastAsia="American Typewriter" w:hAnsi="Tahoma" w:cs="Tahoma"/>
          <w:spacing w:val="-34"/>
          <w:sz w:val="20"/>
          <w:szCs w:val="20"/>
        </w:rPr>
        <w:t xml:space="preserve"> </w:t>
      </w:r>
      <w:r w:rsidRPr="00B004EE">
        <w:rPr>
          <w:rFonts w:ascii="Tahoma" w:eastAsia="American Typewriter" w:hAnsi="Tahoma" w:cs="Tahoma"/>
          <w:sz w:val="20"/>
          <w:szCs w:val="20"/>
        </w:rPr>
        <w:t>d'une</w:t>
      </w:r>
      <w:r w:rsidR="00DB1635" w:rsidRPr="00B004EE">
        <w:rPr>
          <w:rFonts w:ascii="Tahoma" w:eastAsia="American Typewriter" w:hAnsi="Tahoma" w:cs="Tahoma"/>
          <w:w w:val="96"/>
          <w:sz w:val="20"/>
          <w:szCs w:val="20"/>
        </w:rPr>
        <w:t xml:space="preserve"> </w:t>
      </w:r>
      <w:r w:rsidRPr="00B004EE">
        <w:rPr>
          <w:rFonts w:ascii="Tahoma" w:hAnsi="Tahoma" w:cs="Tahoma"/>
          <w:sz w:val="20"/>
          <w:szCs w:val="20"/>
        </w:rPr>
        <w:t>amende</w:t>
      </w:r>
      <w:r w:rsidR="00DB1635" w:rsidRPr="00B004EE">
        <w:rPr>
          <w:rFonts w:ascii="Tahoma" w:hAnsi="Tahoma" w:cs="Tahoma"/>
          <w:spacing w:val="34"/>
          <w:sz w:val="20"/>
          <w:szCs w:val="20"/>
        </w:rPr>
        <w:t xml:space="preserve"> </w:t>
      </w:r>
      <w:r w:rsidRPr="00B004EE">
        <w:rPr>
          <w:rFonts w:ascii="Tahoma" w:hAnsi="Tahoma" w:cs="Tahoma"/>
          <w:sz w:val="20"/>
          <w:szCs w:val="20"/>
        </w:rPr>
        <w:t>de</w:t>
      </w:r>
      <w:r w:rsidR="00DB1635" w:rsidRPr="00B004EE">
        <w:rPr>
          <w:rFonts w:ascii="Tahoma" w:hAnsi="Tahoma" w:cs="Tahoma"/>
          <w:spacing w:val="34"/>
          <w:sz w:val="20"/>
          <w:szCs w:val="20"/>
        </w:rPr>
        <w:t xml:space="preserve"> </w:t>
      </w:r>
      <w:r w:rsidRPr="00B004EE">
        <w:rPr>
          <w:rFonts w:ascii="Tahoma" w:hAnsi="Tahoma" w:cs="Tahoma"/>
          <w:sz w:val="20"/>
          <w:szCs w:val="20"/>
        </w:rPr>
        <w:t>deux</w:t>
      </w:r>
      <w:r w:rsidR="00DB1635" w:rsidRPr="00B004EE">
        <w:rPr>
          <w:rFonts w:ascii="Tahoma" w:hAnsi="Tahoma" w:cs="Tahoma"/>
          <w:spacing w:val="35"/>
          <w:sz w:val="20"/>
          <w:szCs w:val="20"/>
        </w:rPr>
        <w:t xml:space="preserve"> </w:t>
      </w:r>
      <w:r w:rsidRPr="00B004EE">
        <w:rPr>
          <w:rFonts w:ascii="Tahoma" w:hAnsi="Tahoma" w:cs="Tahoma"/>
          <w:sz w:val="20"/>
          <w:szCs w:val="20"/>
        </w:rPr>
        <w:t>cent</w:t>
      </w:r>
      <w:r w:rsidR="00DB1635" w:rsidRPr="00B004EE">
        <w:rPr>
          <w:rFonts w:ascii="Tahoma" w:hAnsi="Tahoma" w:cs="Tahoma"/>
          <w:spacing w:val="34"/>
          <w:sz w:val="20"/>
          <w:szCs w:val="20"/>
        </w:rPr>
        <w:t xml:space="preserve"> </w:t>
      </w:r>
      <w:r w:rsidRPr="00B004EE">
        <w:rPr>
          <w:rFonts w:ascii="Tahoma" w:hAnsi="Tahoma" w:cs="Tahoma"/>
          <w:sz w:val="20"/>
          <w:szCs w:val="20"/>
        </w:rPr>
        <w:t>mille</w:t>
      </w:r>
      <w:r w:rsidR="00DB1635" w:rsidRPr="00B004EE">
        <w:rPr>
          <w:rFonts w:ascii="Tahoma" w:hAnsi="Tahoma" w:cs="Tahoma"/>
          <w:spacing w:val="34"/>
          <w:sz w:val="20"/>
          <w:szCs w:val="20"/>
        </w:rPr>
        <w:t xml:space="preserve"> </w:t>
      </w:r>
      <w:r w:rsidRPr="00B004EE">
        <w:rPr>
          <w:rFonts w:ascii="Tahoma" w:hAnsi="Tahoma" w:cs="Tahoma"/>
          <w:sz w:val="20"/>
          <w:szCs w:val="20"/>
        </w:rPr>
        <w:t>(200.000)</w:t>
      </w:r>
      <w:r w:rsidR="00DB1635" w:rsidRPr="00B004EE">
        <w:rPr>
          <w:rFonts w:ascii="Tahoma" w:hAnsi="Tahoma" w:cs="Tahoma"/>
          <w:spacing w:val="34"/>
          <w:sz w:val="20"/>
          <w:szCs w:val="20"/>
        </w:rPr>
        <w:t xml:space="preserve"> </w:t>
      </w:r>
      <w:r w:rsidRPr="00B004EE">
        <w:rPr>
          <w:rFonts w:ascii="Tahoma" w:hAnsi="Tahoma" w:cs="Tahoma"/>
          <w:sz w:val="20"/>
          <w:szCs w:val="20"/>
        </w:rPr>
        <w:t>ouguiya</w:t>
      </w:r>
      <w:r w:rsidR="00DB1635" w:rsidRPr="00B004EE">
        <w:rPr>
          <w:rFonts w:ascii="Tahoma" w:hAnsi="Tahoma" w:cs="Tahoma"/>
          <w:spacing w:val="34"/>
          <w:sz w:val="20"/>
          <w:szCs w:val="20"/>
        </w:rPr>
        <w:t xml:space="preserve"> </w:t>
      </w:r>
      <w:r w:rsidRPr="00B004EE">
        <w:rPr>
          <w:rFonts w:ascii="Tahoma" w:hAnsi="Tahoma" w:cs="Tahoma"/>
          <w:sz w:val="20"/>
          <w:szCs w:val="20"/>
        </w:rPr>
        <w:t>à</w:t>
      </w:r>
      <w:r w:rsidR="00DB1635" w:rsidRPr="00B004EE">
        <w:rPr>
          <w:rFonts w:ascii="Tahoma" w:hAnsi="Tahoma" w:cs="Tahoma"/>
          <w:spacing w:val="34"/>
          <w:sz w:val="20"/>
          <w:szCs w:val="20"/>
        </w:rPr>
        <w:t xml:space="preserve"> </w:t>
      </w:r>
      <w:r w:rsidRPr="00B004EE">
        <w:rPr>
          <w:rFonts w:ascii="Tahoma" w:hAnsi="Tahoma" w:cs="Tahoma"/>
          <w:sz w:val="20"/>
          <w:szCs w:val="20"/>
        </w:rPr>
        <w:t>vingt</w:t>
      </w:r>
      <w:r w:rsidR="00DB1635" w:rsidRPr="00B004EE">
        <w:rPr>
          <w:rFonts w:ascii="Tahoma" w:hAnsi="Tahoma" w:cs="Tahoma"/>
          <w:spacing w:val="33"/>
          <w:sz w:val="20"/>
          <w:szCs w:val="20"/>
        </w:rPr>
        <w:t xml:space="preserve"> </w:t>
      </w:r>
      <w:r w:rsidRPr="00B004EE">
        <w:rPr>
          <w:rFonts w:ascii="Tahoma" w:hAnsi="Tahoma" w:cs="Tahoma"/>
          <w:sz w:val="20"/>
          <w:szCs w:val="20"/>
        </w:rPr>
        <w:t>millions</w:t>
      </w:r>
      <w:r w:rsidR="00DB1635" w:rsidRPr="00B004EE">
        <w:rPr>
          <w:rFonts w:ascii="Tahoma" w:hAnsi="Tahoma" w:cs="Tahoma"/>
          <w:spacing w:val="32"/>
          <w:sz w:val="20"/>
          <w:szCs w:val="20"/>
        </w:rPr>
        <w:t xml:space="preserve"> </w:t>
      </w:r>
      <w:r w:rsidRPr="00B004EE">
        <w:rPr>
          <w:rFonts w:ascii="Tahoma" w:hAnsi="Tahoma" w:cs="Tahoma"/>
          <w:sz w:val="20"/>
          <w:szCs w:val="20"/>
        </w:rPr>
        <w:t>(20.000.000)</w:t>
      </w:r>
      <w:r w:rsidR="00DB1635" w:rsidRPr="00B004EE">
        <w:rPr>
          <w:rFonts w:ascii="Tahoma" w:hAnsi="Tahoma" w:cs="Tahoma"/>
          <w:w w:val="73"/>
          <w:sz w:val="20"/>
          <w:szCs w:val="20"/>
        </w:rPr>
        <w:t xml:space="preserve"> </w:t>
      </w:r>
      <w:r w:rsidRPr="00B004EE">
        <w:rPr>
          <w:rFonts w:ascii="Tahoma" w:eastAsia="American Typewriter" w:hAnsi="Tahoma" w:cs="Tahoma"/>
          <w:sz w:val="20"/>
          <w:szCs w:val="20"/>
        </w:rPr>
        <w:t>d’ouguiya.</w:t>
      </w:r>
    </w:p>
    <w:p w14:paraId="19864C1C" w14:textId="5F9AA318" w:rsidR="001E7C3C" w:rsidRPr="00B004EE" w:rsidRDefault="001E7C3C" w:rsidP="00B004EE">
      <w:pPr>
        <w:pStyle w:val="Corpsdetexte"/>
        <w:ind w:left="841" w:right="559"/>
        <w:rPr>
          <w:rFonts w:ascii="Tahoma" w:hAnsi="Tahoma" w:cs="Tahoma"/>
          <w:sz w:val="20"/>
          <w:szCs w:val="20"/>
        </w:rPr>
      </w:pPr>
      <w:r w:rsidRPr="00B004EE">
        <w:rPr>
          <w:rFonts w:ascii="Tahoma" w:hAnsi="Tahoma" w:cs="Tahoma"/>
          <w:sz w:val="20"/>
          <w:szCs w:val="20"/>
        </w:rPr>
        <w:t>En</w:t>
      </w:r>
      <w:r w:rsidR="00DB1635" w:rsidRPr="00B004EE">
        <w:rPr>
          <w:rFonts w:ascii="Tahoma" w:hAnsi="Tahoma" w:cs="Tahoma"/>
          <w:spacing w:val="-27"/>
          <w:sz w:val="20"/>
          <w:szCs w:val="20"/>
        </w:rPr>
        <w:t xml:space="preserve"> </w:t>
      </w:r>
      <w:r w:rsidRPr="00B004EE">
        <w:rPr>
          <w:rFonts w:ascii="Tahoma" w:hAnsi="Tahoma" w:cs="Tahoma"/>
          <w:sz w:val="20"/>
          <w:szCs w:val="20"/>
        </w:rPr>
        <w:t>outre,</w:t>
      </w:r>
      <w:r w:rsidR="00DB1635" w:rsidRPr="00B004EE">
        <w:rPr>
          <w:rFonts w:ascii="Tahoma" w:hAnsi="Tahoma" w:cs="Tahoma"/>
          <w:spacing w:val="-27"/>
          <w:sz w:val="20"/>
          <w:szCs w:val="20"/>
        </w:rPr>
        <w:t xml:space="preserve"> </w:t>
      </w:r>
      <w:r w:rsidRPr="00B004EE">
        <w:rPr>
          <w:rFonts w:ascii="Tahoma" w:hAnsi="Tahoma" w:cs="Tahoma"/>
          <w:sz w:val="20"/>
          <w:szCs w:val="20"/>
        </w:rPr>
        <w:t>le</w:t>
      </w:r>
      <w:r w:rsidR="00DB1635" w:rsidRPr="00B004EE">
        <w:rPr>
          <w:rFonts w:ascii="Tahoma" w:hAnsi="Tahoma" w:cs="Tahoma"/>
          <w:spacing w:val="-27"/>
          <w:sz w:val="20"/>
          <w:szCs w:val="20"/>
        </w:rPr>
        <w:t xml:space="preserve"> </w:t>
      </w:r>
      <w:r w:rsidRPr="00B004EE">
        <w:rPr>
          <w:rFonts w:ascii="Tahoma" w:hAnsi="Tahoma" w:cs="Tahoma"/>
          <w:sz w:val="20"/>
          <w:szCs w:val="20"/>
        </w:rPr>
        <w:t>tribunal</w:t>
      </w:r>
      <w:r w:rsidR="00DB1635" w:rsidRPr="00B004EE">
        <w:rPr>
          <w:rFonts w:ascii="Tahoma" w:hAnsi="Tahoma" w:cs="Tahoma"/>
          <w:spacing w:val="-26"/>
          <w:sz w:val="20"/>
          <w:szCs w:val="20"/>
        </w:rPr>
        <w:t xml:space="preserve"> </w:t>
      </w:r>
      <w:r w:rsidRPr="00B004EE">
        <w:rPr>
          <w:rFonts w:ascii="Tahoma" w:hAnsi="Tahoma" w:cs="Tahoma"/>
          <w:sz w:val="20"/>
          <w:szCs w:val="20"/>
        </w:rPr>
        <w:t>pourra</w:t>
      </w:r>
      <w:r w:rsidR="00DB1635" w:rsidRPr="00B004EE">
        <w:rPr>
          <w:rFonts w:ascii="Tahoma" w:hAnsi="Tahoma" w:cs="Tahoma"/>
          <w:spacing w:val="-27"/>
          <w:sz w:val="20"/>
          <w:szCs w:val="20"/>
        </w:rPr>
        <w:t xml:space="preserve"> </w:t>
      </w:r>
      <w:r w:rsidRPr="00B004EE">
        <w:rPr>
          <w:rFonts w:ascii="Tahoma" w:hAnsi="Tahoma" w:cs="Tahoma"/>
          <w:sz w:val="20"/>
          <w:szCs w:val="20"/>
        </w:rPr>
        <w:t>prononcer</w:t>
      </w:r>
      <w:r w:rsidR="00DB1635" w:rsidRPr="00B004EE">
        <w:rPr>
          <w:rFonts w:ascii="Tahoma" w:hAnsi="Tahoma" w:cs="Tahoma"/>
          <w:spacing w:val="-28"/>
          <w:sz w:val="20"/>
          <w:szCs w:val="20"/>
        </w:rPr>
        <w:t xml:space="preserve"> </w:t>
      </w:r>
      <w:r w:rsidRPr="00B004EE">
        <w:rPr>
          <w:rFonts w:ascii="Tahoma" w:hAnsi="Tahoma" w:cs="Tahoma"/>
          <w:sz w:val="20"/>
          <w:szCs w:val="20"/>
        </w:rPr>
        <w:t>:</w:t>
      </w:r>
    </w:p>
    <w:p w14:paraId="50228684" w14:textId="28DBBDCC" w:rsidR="001E7C3C" w:rsidRPr="00B004EE" w:rsidRDefault="001E7C3C" w:rsidP="00420DDA">
      <w:pPr>
        <w:pStyle w:val="Paragraphedeliste"/>
        <w:widowControl w:val="0"/>
        <w:numPr>
          <w:ilvl w:val="0"/>
          <w:numId w:val="29"/>
        </w:numPr>
        <w:tabs>
          <w:tab w:val="left" w:pos="1154"/>
        </w:tabs>
        <w:ind w:right="559"/>
        <w:rPr>
          <w:rFonts w:ascii="Tahoma" w:eastAsia="American Typewriter" w:hAnsi="Tahoma" w:cs="Tahoma"/>
          <w:sz w:val="20"/>
          <w:szCs w:val="20"/>
        </w:rPr>
      </w:pPr>
      <w:proofErr w:type="gramStart"/>
      <w:r w:rsidRPr="00B004EE">
        <w:rPr>
          <w:rFonts w:ascii="Tahoma" w:hAnsi="Tahoma" w:cs="Tahoma"/>
          <w:sz w:val="20"/>
          <w:szCs w:val="20"/>
        </w:rPr>
        <w:t>la</w:t>
      </w:r>
      <w:proofErr w:type="gramEnd"/>
      <w:r w:rsidR="00DB1635" w:rsidRPr="00B004EE">
        <w:rPr>
          <w:rFonts w:ascii="Tahoma" w:hAnsi="Tahoma" w:cs="Tahoma"/>
          <w:spacing w:val="-3"/>
          <w:sz w:val="20"/>
          <w:szCs w:val="20"/>
        </w:rPr>
        <w:t xml:space="preserve"> </w:t>
      </w:r>
      <w:r w:rsidRPr="00B004EE">
        <w:rPr>
          <w:rFonts w:ascii="Tahoma" w:hAnsi="Tahoma" w:cs="Tahoma"/>
          <w:sz w:val="20"/>
          <w:szCs w:val="20"/>
        </w:rPr>
        <w:t>confiscation</w:t>
      </w:r>
      <w:r w:rsidR="00DB1635" w:rsidRPr="00B004EE">
        <w:rPr>
          <w:rFonts w:ascii="Tahoma" w:hAnsi="Tahoma" w:cs="Tahoma"/>
          <w:spacing w:val="-4"/>
          <w:sz w:val="20"/>
          <w:szCs w:val="20"/>
        </w:rPr>
        <w:t xml:space="preserve"> </w:t>
      </w:r>
      <w:r w:rsidRPr="00B004EE">
        <w:rPr>
          <w:rFonts w:ascii="Tahoma" w:hAnsi="Tahoma" w:cs="Tahoma"/>
          <w:sz w:val="20"/>
          <w:szCs w:val="20"/>
        </w:rPr>
        <w:t>des</w:t>
      </w:r>
      <w:r w:rsidR="00DB1635" w:rsidRPr="00B004EE">
        <w:rPr>
          <w:rFonts w:ascii="Tahoma" w:hAnsi="Tahoma" w:cs="Tahoma"/>
          <w:spacing w:val="-4"/>
          <w:sz w:val="20"/>
          <w:szCs w:val="20"/>
        </w:rPr>
        <w:t xml:space="preserve"> </w:t>
      </w:r>
      <w:r w:rsidRPr="00B004EE">
        <w:rPr>
          <w:rFonts w:ascii="Tahoma" w:hAnsi="Tahoma" w:cs="Tahoma"/>
          <w:sz w:val="20"/>
          <w:szCs w:val="20"/>
        </w:rPr>
        <w:t>captures</w:t>
      </w:r>
      <w:r w:rsidR="00DB1635" w:rsidRPr="00B004EE">
        <w:rPr>
          <w:rFonts w:ascii="Tahoma" w:hAnsi="Tahoma" w:cs="Tahoma"/>
          <w:spacing w:val="-4"/>
          <w:sz w:val="20"/>
          <w:szCs w:val="20"/>
        </w:rPr>
        <w:t xml:space="preserve"> </w:t>
      </w:r>
      <w:r w:rsidRPr="00B004EE">
        <w:rPr>
          <w:rFonts w:ascii="Tahoma" w:hAnsi="Tahoma" w:cs="Tahoma"/>
          <w:sz w:val="20"/>
          <w:szCs w:val="20"/>
        </w:rPr>
        <w:t>à</w:t>
      </w:r>
      <w:r w:rsidR="00DB1635" w:rsidRPr="00B004EE">
        <w:rPr>
          <w:rFonts w:ascii="Tahoma" w:hAnsi="Tahoma" w:cs="Tahoma"/>
          <w:spacing w:val="-3"/>
          <w:sz w:val="20"/>
          <w:szCs w:val="20"/>
        </w:rPr>
        <w:t xml:space="preserve"> </w:t>
      </w:r>
      <w:r w:rsidRPr="00B004EE">
        <w:rPr>
          <w:rFonts w:ascii="Tahoma" w:hAnsi="Tahoma" w:cs="Tahoma"/>
          <w:sz w:val="20"/>
          <w:szCs w:val="20"/>
        </w:rPr>
        <w:t>bord</w:t>
      </w:r>
      <w:r w:rsidR="00DB1635" w:rsidRPr="00B004EE">
        <w:rPr>
          <w:rFonts w:ascii="Tahoma" w:hAnsi="Tahoma" w:cs="Tahoma"/>
          <w:spacing w:val="-5"/>
          <w:sz w:val="20"/>
          <w:szCs w:val="20"/>
        </w:rPr>
        <w:t xml:space="preserve"> </w:t>
      </w:r>
      <w:r w:rsidRPr="00B004EE">
        <w:rPr>
          <w:rFonts w:ascii="Tahoma" w:hAnsi="Tahoma" w:cs="Tahoma"/>
          <w:sz w:val="20"/>
          <w:szCs w:val="20"/>
        </w:rPr>
        <w:t>ou</w:t>
      </w:r>
      <w:r w:rsidR="00DB1635" w:rsidRPr="00B004EE">
        <w:rPr>
          <w:rFonts w:ascii="Tahoma" w:hAnsi="Tahoma" w:cs="Tahoma"/>
          <w:spacing w:val="-3"/>
          <w:sz w:val="20"/>
          <w:szCs w:val="20"/>
        </w:rPr>
        <w:t xml:space="preserve"> </w:t>
      </w:r>
      <w:r w:rsidRPr="00B004EE">
        <w:rPr>
          <w:rFonts w:ascii="Tahoma" w:hAnsi="Tahoma" w:cs="Tahoma"/>
          <w:sz w:val="20"/>
          <w:szCs w:val="20"/>
        </w:rPr>
        <w:t>du</w:t>
      </w:r>
      <w:r w:rsidR="00DB1635" w:rsidRPr="00B004EE">
        <w:rPr>
          <w:rFonts w:ascii="Tahoma" w:hAnsi="Tahoma" w:cs="Tahoma"/>
          <w:spacing w:val="-4"/>
          <w:sz w:val="20"/>
          <w:szCs w:val="20"/>
        </w:rPr>
        <w:t xml:space="preserve"> </w:t>
      </w:r>
      <w:r w:rsidRPr="00B004EE">
        <w:rPr>
          <w:rFonts w:ascii="Tahoma" w:hAnsi="Tahoma" w:cs="Tahoma"/>
          <w:sz w:val="20"/>
          <w:szCs w:val="20"/>
        </w:rPr>
        <w:t>produit</w:t>
      </w:r>
      <w:r w:rsidR="00DB1635" w:rsidRPr="00B004EE">
        <w:rPr>
          <w:rFonts w:ascii="Tahoma" w:hAnsi="Tahoma" w:cs="Tahoma"/>
          <w:spacing w:val="-4"/>
          <w:sz w:val="20"/>
          <w:szCs w:val="20"/>
        </w:rPr>
        <w:t xml:space="preserve"> </w:t>
      </w:r>
      <w:r w:rsidRPr="00B004EE">
        <w:rPr>
          <w:rFonts w:ascii="Tahoma" w:hAnsi="Tahoma" w:cs="Tahoma"/>
          <w:sz w:val="20"/>
          <w:szCs w:val="20"/>
        </w:rPr>
        <w:t>de</w:t>
      </w:r>
      <w:r w:rsidR="00DB1635" w:rsidRPr="00B004EE">
        <w:rPr>
          <w:rFonts w:ascii="Tahoma" w:hAnsi="Tahoma" w:cs="Tahoma"/>
          <w:spacing w:val="-4"/>
          <w:sz w:val="20"/>
          <w:szCs w:val="20"/>
        </w:rPr>
        <w:t xml:space="preserve"> </w:t>
      </w:r>
      <w:r w:rsidRPr="00B004EE">
        <w:rPr>
          <w:rFonts w:ascii="Tahoma" w:hAnsi="Tahoma" w:cs="Tahoma"/>
          <w:sz w:val="20"/>
          <w:szCs w:val="20"/>
        </w:rPr>
        <w:t>leur</w:t>
      </w:r>
      <w:r w:rsidR="00DB1635" w:rsidRPr="00B004EE">
        <w:rPr>
          <w:rFonts w:ascii="Tahoma" w:hAnsi="Tahoma" w:cs="Tahoma"/>
          <w:spacing w:val="-5"/>
          <w:sz w:val="20"/>
          <w:szCs w:val="20"/>
        </w:rPr>
        <w:t xml:space="preserve"> </w:t>
      </w:r>
      <w:r w:rsidRPr="00B004EE">
        <w:rPr>
          <w:rFonts w:ascii="Tahoma" w:hAnsi="Tahoma" w:cs="Tahoma"/>
          <w:sz w:val="20"/>
          <w:szCs w:val="20"/>
        </w:rPr>
        <w:t>vente</w:t>
      </w:r>
      <w:r w:rsidR="00DB1635" w:rsidRPr="00B004EE">
        <w:rPr>
          <w:rFonts w:ascii="Tahoma" w:hAnsi="Tahoma" w:cs="Tahoma"/>
          <w:spacing w:val="-4"/>
          <w:sz w:val="20"/>
          <w:szCs w:val="20"/>
        </w:rPr>
        <w:t xml:space="preserve"> </w:t>
      </w:r>
      <w:r w:rsidRPr="00B004EE">
        <w:rPr>
          <w:rFonts w:ascii="Tahoma" w:hAnsi="Tahoma" w:cs="Tahoma"/>
          <w:sz w:val="20"/>
          <w:szCs w:val="20"/>
        </w:rPr>
        <w:t>;</w:t>
      </w:r>
    </w:p>
    <w:p w14:paraId="578F6692" w14:textId="5F9ED28F" w:rsidR="001E7C3C" w:rsidRPr="00B004EE" w:rsidRDefault="001E7C3C" w:rsidP="00420DDA">
      <w:pPr>
        <w:pStyle w:val="Paragraphedeliste"/>
        <w:widowControl w:val="0"/>
        <w:numPr>
          <w:ilvl w:val="0"/>
          <w:numId w:val="29"/>
        </w:numPr>
        <w:tabs>
          <w:tab w:val="left" w:pos="1154"/>
        </w:tabs>
        <w:ind w:right="559"/>
        <w:rPr>
          <w:rFonts w:ascii="Tahoma" w:eastAsia="American Typewriter" w:hAnsi="Tahoma" w:cs="Tahoma"/>
          <w:sz w:val="20"/>
          <w:szCs w:val="20"/>
        </w:rPr>
      </w:pPr>
      <w:proofErr w:type="gramStart"/>
      <w:r w:rsidRPr="00B004EE">
        <w:rPr>
          <w:rFonts w:ascii="Tahoma" w:hAnsi="Tahoma" w:cs="Tahoma"/>
          <w:sz w:val="20"/>
          <w:szCs w:val="20"/>
        </w:rPr>
        <w:t>la</w:t>
      </w:r>
      <w:proofErr w:type="gramEnd"/>
      <w:r w:rsidR="00DB1635" w:rsidRPr="00B004EE">
        <w:rPr>
          <w:rFonts w:ascii="Tahoma" w:hAnsi="Tahoma" w:cs="Tahoma"/>
          <w:sz w:val="20"/>
          <w:szCs w:val="20"/>
        </w:rPr>
        <w:t xml:space="preserve"> </w:t>
      </w:r>
      <w:r w:rsidRPr="00B004EE">
        <w:rPr>
          <w:rFonts w:ascii="Tahoma" w:hAnsi="Tahoma" w:cs="Tahoma"/>
          <w:sz w:val="20"/>
          <w:szCs w:val="20"/>
        </w:rPr>
        <w:t>confiscation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engins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substances</w:t>
      </w:r>
      <w:r w:rsidR="00DB1635" w:rsidRPr="00B004EE">
        <w:rPr>
          <w:rFonts w:ascii="Tahoma" w:hAnsi="Tahoma" w:cs="Tahoma"/>
          <w:sz w:val="20"/>
          <w:szCs w:val="20"/>
        </w:rPr>
        <w:t xml:space="preserve"> </w:t>
      </w:r>
      <w:r w:rsidRPr="00B004EE">
        <w:rPr>
          <w:rFonts w:ascii="Tahoma" w:hAnsi="Tahoma" w:cs="Tahoma"/>
          <w:sz w:val="20"/>
          <w:szCs w:val="20"/>
        </w:rPr>
        <w:t>employés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pacing w:val="55"/>
          <w:sz w:val="20"/>
          <w:szCs w:val="20"/>
        </w:rPr>
        <w:t xml:space="preserve"> </w:t>
      </w:r>
      <w:r w:rsidRPr="00B004EE">
        <w:rPr>
          <w:rFonts w:ascii="Tahoma" w:hAnsi="Tahoma" w:cs="Tahoma"/>
          <w:sz w:val="20"/>
          <w:szCs w:val="20"/>
        </w:rPr>
        <w:t>la</w:t>
      </w:r>
      <w:r w:rsidR="00DB1635" w:rsidRPr="00B004EE">
        <w:rPr>
          <w:rFonts w:ascii="Tahoma" w:hAnsi="Tahoma" w:cs="Tahoma"/>
          <w:w w:val="98"/>
          <w:sz w:val="20"/>
          <w:szCs w:val="20"/>
        </w:rPr>
        <w:t xml:space="preserve"> </w:t>
      </w:r>
      <w:r w:rsidRPr="00B004EE">
        <w:rPr>
          <w:rFonts w:ascii="Tahoma" w:hAnsi="Tahoma" w:cs="Tahoma"/>
          <w:sz w:val="20"/>
          <w:szCs w:val="20"/>
        </w:rPr>
        <w:t>commission</w:t>
      </w:r>
      <w:r w:rsidR="00DB1635" w:rsidRPr="00B004EE">
        <w:rPr>
          <w:rFonts w:ascii="Tahoma" w:hAnsi="Tahoma" w:cs="Tahoma"/>
          <w:sz w:val="20"/>
          <w:szCs w:val="20"/>
        </w:rPr>
        <w:t xml:space="preserve"> </w:t>
      </w:r>
      <w:r w:rsidRPr="00B004EE">
        <w:rPr>
          <w:rFonts w:ascii="Tahoma" w:hAnsi="Tahoma" w:cs="Tahoma"/>
          <w:sz w:val="20"/>
          <w:szCs w:val="20"/>
        </w:rPr>
        <w:t>desdites</w:t>
      </w:r>
      <w:r w:rsidR="00DB1635" w:rsidRPr="00B004EE">
        <w:rPr>
          <w:rFonts w:ascii="Tahoma" w:hAnsi="Tahoma" w:cs="Tahoma"/>
          <w:spacing w:val="6"/>
          <w:sz w:val="20"/>
          <w:szCs w:val="20"/>
        </w:rPr>
        <w:t xml:space="preserve"> </w:t>
      </w:r>
      <w:r w:rsidRPr="00B004EE">
        <w:rPr>
          <w:rFonts w:ascii="Tahoma" w:hAnsi="Tahoma" w:cs="Tahoma"/>
          <w:sz w:val="20"/>
          <w:szCs w:val="20"/>
        </w:rPr>
        <w:t>infractions.</w:t>
      </w:r>
    </w:p>
    <w:p w14:paraId="64CADB75" w14:textId="3D62D500" w:rsidR="00CC17C3" w:rsidRPr="00B004EE" w:rsidRDefault="00CC17C3" w:rsidP="00B004EE">
      <w:pPr>
        <w:rPr>
          <w:rFonts w:ascii="Tahoma" w:eastAsia="American Typewriter" w:hAnsi="Tahoma" w:cs="Tahoma"/>
          <w:sz w:val="20"/>
          <w:szCs w:val="20"/>
        </w:rPr>
      </w:pPr>
    </w:p>
    <w:p w14:paraId="13923645" w14:textId="4E8E8489" w:rsidR="00BB060F" w:rsidRPr="00B004EE" w:rsidRDefault="00BB060F" w:rsidP="00B004EE">
      <w:pPr>
        <w:rPr>
          <w:rFonts w:ascii="Tahoma" w:eastAsia="American Typewriter" w:hAnsi="Tahoma" w:cs="Tahoma"/>
          <w:sz w:val="20"/>
          <w:szCs w:val="20"/>
        </w:rPr>
      </w:pPr>
    </w:p>
    <w:p w14:paraId="4C7F4F2A" w14:textId="77777777" w:rsidR="00BB060F" w:rsidRPr="00B004EE" w:rsidRDefault="00BB060F" w:rsidP="00B004EE">
      <w:pPr>
        <w:rPr>
          <w:rFonts w:ascii="Tahoma" w:eastAsia="American Typewriter" w:hAnsi="Tahoma" w:cs="Tahoma"/>
          <w:sz w:val="20"/>
          <w:szCs w:val="20"/>
        </w:rPr>
      </w:pPr>
    </w:p>
    <w:p w14:paraId="5655D105" w14:textId="270DDF07" w:rsidR="001E7C3C" w:rsidRPr="00B004EE" w:rsidRDefault="001E7C3C" w:rsidP="00B004EE">
      <w:pPr>
        <w:pStyle w:val="Lgende"/>
        <w:jc w:val="center"/>
        <w:rPr>
          <w:rFonts w:ascii="Tahoma" w:eastAsia="American Typewriter" w:hAnsi="Tahoma" w:cs="Tahoma"/>
        </w:rPr>
      </w:pPr>
      <w:bookmarkStart w:id="133" w:name="_Toc16279099"/>
      <w:bookmarkStart w:id="134" w:name="_Toc16279468"/>
      <w:r w:rsidRPr="00B004EE">
        <w:rPr>
          <w:rFonts w:ascii="Tahoma" w:eastAsia="American Typewriter" w:hAnsi="Tahoma" w:cs="Tahoma"/>
        </w:rPr>
        <w:t>CHAPITRE</w:t>
      </w:r>
      <w:r w:rsidR="00DB1635" w:rsidRPr="00B004EE">
        <w:rPr>
          <w:rFonts w:ascii="Tahoma" w:eastAsia="American Typewriter" w:hAnsi="Tahoma" w:cs="Tahoma"/>
        </w:rPr>
        <w:t xml:space="preserve"> </w:t>
      </w:r>
      <w:r w:rsidRPr="00B004EE">
        <w:rPr>
          <w:rFonts w:ascii="Tahoma" w:eastAsia="American Typewriter" w:hAnsi="Tahoma" w:cs="Tahoma"/>
        </w:rPr>
        <w:t>III</w:t>
      </w:r>
      <w:r w:rsidR="00DB1635" w:rsidRPr="00B004EE">
        <w:rPr>
          <w:rFonts w:ascii="Tahoma" w:eastAsia="American Typewriter" w:hAnsi="Tahoma" w:cs="Tahoma"/>
        </w:rPr>
        <w:t xml:space="preserve"> </w:t>
      </w:r>
      <w:r w:rsidRPr="00B004EE">
        <w:rPr>
          <w:rFonts w:ascii="Tahoma" w:eastAsia="American Typewriter" w:hAnsi="Tahoma" w:cs="Tahoma"/>
        </w:rPr>
        <w:t>:</w:t>
      </w:r>
      <w:r w:rsidR="00DB1635" w:rsidRPr="00B004EE">
        <w:rPr>
          <w:rFonts w:ascii="Tahoma" w:eastAsia="American Typewriter" w:hAnsi="Tahoma" w:cs="Tahoma"/>
        </w:rPr>
        <w:t xml:space="preserve"> </w:t>
      </w:r>
      <w:r w:rsidRPr="00B004EE">
        <w:rPr>
          <w:rFonts w:ascii="Tahoma" w:eastAsia="American Typewriter" w:hAnsi="Tahoma" w:cs="Tahoma"/>
        </w:rPr>
        <w:t>DES</w:t>
      </w:r>
      <w:r w:rsidR="00DB1635" w:rsidRPr="00B004EE">
        <w:rPr>
          <w:rFonts w:ascii="Tahoma" w:eastAsia="American Typewriter" w:hAnsi="Tahoma" w:cs="Tahoma"/>
        </w:rPr>
        <w:t xml:space="preserve"> </w:t>
      </w:r>
      <w:r w:rsidRPr="00B004EE">
        <w:rPr>
          <w:rFonts w:ascii="Tahoma" w:eastAsia="American Typewriter" w:hAnsi="Tahoma" w:cs="Tahoma"/>
        </w:rPr>
        <w:t>COMPÉTENCES</w:t>
      </w:r>
      <w:r w:rsidR="00DB1635" w:rsidRPr="00B004EE">
        <w:rPr>
          <w:rFonts w:ascii="Tahoma" w:eastAsia="American Typewriter" w:hAnsi="Tahoma" w:cs="Tahoma"/>
        </w:rPr>
        <w:t xml:space="preserve"> </w:t>
      </w:r>
      <w:r w:rsidRPr="00B004EE">
        <w:rPr>
          <w:rFonts w:ascii="Tahoma" w:eastAsia="American Typewriter" w:hAnsi="Tahoma" w:cs="Tahoma"/>
        </w:rPr>
        <w:t>ET</w:t>
      </w:r>
      <w:r w:rsidR="00DB1635" w:rsidRPr="00B004EE">
        <w:rPr>
          <w:rFonts w:ascii="Tahoma" w:eastAsia="American Typewriter" w:hAnsi="Tahoma" w:cs="Tahoma"/>
        </w:rPr>
        <w:t xml:space="preserve"> </w:t>
      </w:r>
      <w:r w:rsidRPr="00B004EE">
        <w:rPr>
          <w:rFonts w:ascii="Tahoma" w:eastAsia="American Typewriter" w:hAnsi="Tahoma" w:cs="Tahoma"/>
        </w:rPr>
        <w:t>PROCÉDURES</w:t>
      </w:r>
      <w:r w:rsidR="00DB1635" w:rsidRPr="00B004EE">
        <w:rPr>
          <w:rFonts w:ascii="Tahoma" w:eastAsia="American Typewriter" w:hAnsi="Tahoma" w:cs="Tahoma"/>
        </w:rPr>
        <w:t xml:space="preserve"> </w:t>
      </w:r>
      <w:r w:rsidRPr="00B004EE">
        <w:rPr>
          <w:rFonts w:ascii="Tahoma" w:eastAsia="American Typewriter" w:hAnsi="Tahoma" w:cs="Tahoma"/>
        </w:rPr>
        <w:t>ADMINISTRATIVES</w:t>
      </w:r>
      <w:r w:rsidR="00DB1635" w:rsidRPr="00B004EE">
        <w:rPr>
          <w:rFonts w:ascii="Tahoma" w:eastAsia="American Typewriter" w:hAnsi="Tahoma" w:cs="Tahoma"/>
        </w:rPr>
        <w:t xml:space="preserve"> </w:t>
      </w:r>
      <w:r w:rsidRPr="00B004EE">
        <w:rPr>
          <w:rFonts w:ascii="Tahoma" w:eastAsia="American Typewriter" w:hAnsi="Tahoma" w:cs="Tahoma"/>
        </w:rPr>
        <w:t>ET</w:t>
      </w:r>
      <w:r w:rsidR="00DB1635" w:rsidRPr="00B004EE">
        <w:rPr>
          <w:rFonts w:ascii="Tahoma" w:eastAsia="American Typewriter" w:hAnsi="Tahoma" w:cs="Tahoma"/>
        </w:rPr>
        <w:t xml:space="preserve"> </w:t>
      </w:r>
      <w:r w:rsidRPr="00B004EE">
        <w:rPr>
          <w:rFonts w:ascii="Tahoma" w:eastAsia="American Typewriter" w:hAnsi="Tahoma" w:cs="Tahoma"/>
        </w:rPr>
        <w:t>JURIDICTIONNELLES</w:t>
      </w:r>
      <w:bookmarkEnd w:id="133"/>
      <w:bookmarkEnd w:id="134"/>
    </w:p>
    <w:p w14:paraId="3540A035" w14:textId="77777777" w:rsidR="001E7C3C" w:rsidRPr="00B004EE" w:rsidRDefault="001E7C3C" w:rsidP="00B004EE">
      <w:pPr>
        <w:pStyle w:val="Lgende"/>
        <w:jc w:val="center"/>
        <w:rPr>
          <w:rFonts w:ascii="Tahoma" w:eastAsia="American Typewriter" w:hAnsi="Tahoma" w:cs="Tahoma"/>
        </w:rPr>
      </w:pPr>
    </w:p>
    <w:p w14:paraId="0B4EE09B" w14:textId="02B3432C" w:rsidR="001E7C3C" w:rsidRPr="00B004EE" w:rsidRDefault="001E7C3C" w:rsidP="00B004EE">
      <w:pPr>
        <w:pStyle w:val="Lgende"/>
        <w:jc w:val="center"/>
        <w:rPr>
          <w:rFonts w:ascii="Tahoma" w:eastAsia="American Typewriter" w:hAnsi="Tahoma" w:cs="Tahoma"/>
        </w:rPr>
      </w:pPr>
      <w:r w:rsidRPr="00B004EE">
        <w:rPr>
          <w:rFonts w:ascii="Tahoma" w:eastAsia="American Typewriter" w:hAnsi="Tahoma" w:cs="Tahoma"/>
        </w:rPr>
        <w:t>Section</w:t>
      </w:r>
      <w:r w:rsidR="00DB1635" w:rsidRPr="00B004EE">
        <w:rPr>
          <w:rFonts w:ascii="Tahoma" w:eastAsia="American Typewriter" w:hAnsi="Tahoma" w:cs="Tahoma"/>
        </w:rPr>
        <w:t xml:space="preserve"> </w:t>
      </w:r>
      <w:r w:rsidRPr="00B004EE">
        <w:rPr>
          <w:rFonts w:ascii="Tahoma" w:eastAsia="American Typewriter" w:hAnsi="Tahoma" w:cs="Tahoma"/>
        </w:rPr>
        <w:t>première</w:t>
      </w:r>
      <w:r w:rsidR="00DB1635" w:rsidRPr="00B004EE">
        <w:rPr>
          <w:rFonts w:ascii="Tahoma" w:eastAsia="American Typewriter" w:hAnsi="Tahoma" w:cs="Tahoma"/>
        </w:rPr>
        <w:t xml:space="preserve"> </w:t>
      </w:r>
      <w:r w:rsidRPr="00B004EE">
        <w:rPr>
          <w:rFonts w:ascii="Tahoma" w:eastAsia="American Typewriter" w:hAnsi="Tahoma" w:cs="Tahoma"/>
        </w:rPr>
        <w:t>:</w:t>
      </w:r>
      <w:r w:rsidR="00DB1635" w:rsidRPr="00B004EE">
        <w:rPr>
          <w:rFonts w:ascii="Tahoma" w:eastAsia="American Typewriter" w:hAnsi="Tahoma" w:cs="Tahoma"/>
        </w:rPr>
        <w:t xml:space="preserve"> </w:t>
      </w:r>
      <w:r w:rsidRPr="00B004EE">
        <w:rPr>
          <w:rFonts w:ascii="Tahoma" w:eastAsia="American Typewriter" w:hAnsi="Tahoma" w:cs="Tahoma"/>
        </w:rPr>
        <w:t>De</w:t>
      </w:r>
      <w:r w:rsidR="00DB1635" w:rsidRPr="00B004EE">
        <w:rPr>
          <w:rFonts w:ascii="Tahoma" w:eastAsia="American Typewriter" w:hAnsi="Tahoma" w:cs="Tahoma"/>
        </w:rPr>
        <w:t xml:space="preserve"> </w:t>
      </w:r>
      <w:r w:rsidRPr="00B004EE">
        <w:rPr>
          <w:rFonts w:ascii="Tahoma" w:eastAsia="American Typewriter" w:hAnsi="Tahoma" w:cs="Tahoma"/>
        </w:rPr>
        <w:t>la</w:t>
      </w:r>
      <w:r w:rsidR="00DB1635" w:rsidRPr="00B004EE">
        <w:rPr>
          <w:rFonts w:ascii="Tahoma" w:eastAsia="American Typewriter" w:hAnsi="Tahoma" w:cs="Tahoma"/>
        </w:rPr>
        <w:t xml:space="preserve"> </w:t>
      </w:r>
      <w:r w:rsidRPr="00B004EE">
        <w:rPr>
          <w:rFonts w:ascii="Tahoma" w:eastAsia="American Typewriter" w:hAnsi="Tahoma" w:cs="Tahoma"/>
        </w:rPr>
        <w:t>transaction</w:t>
      </w:r>
    </w:p>
    <w:p w14:paraId="6C0B5B7E" w14:textId="77777777" w:rsidR="001E7C3C" w:rsidRPr="00B004EE" w:rsidRDefault="001E7C3C" w:rsidP="00B004EE">
      <w:pPr>
        <w:rPr>
          <w:rFonts w:ascii="Tahoma" w:hAnsi="Tahoma" w:cs="Tahoma"/>
          <w:bCs/>
          <w:sz w:val="20"/>
          <w:szCs w:val="20"/>
        </w:rPr>
      </w:pPr>
    </w:p>
    <w:p w14:paraId="0AC1F207" w14:textId="1CB474AA" w:rsidR="001E7C3C" w:rsidRPr="00B004EE" w:rsidRDefault="001E7C3C" w:rsidP="00B004EE">
      <w:pPr>
        <w:pStyle w:val="Corpsdetexte"/>
        <w:ind w:right="159"/>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92</w:t>
      </w:r>
      <w:r w:rsidR="00DB1635" w:rsidRPr="00B004EE">
        <w:rPr>
          <w:rFonts w:ascii="Tahoma" w:hAnsi="Tahoma" w:cs="Tahoma"/>
          <w:bCs/>
          <w:sz w:val="20"/>
          <w:szCs w:val="20"/>
        </w:rPr>
        <w:t xml:space="preserve"> </w:t>
      </w:r>
      <w:r w:rsidRPr="00B004EE">
        <w:rPr>
          <w:rFonts w:ascii="Tahoma" w:hAnsi="Tahoma" w:cs="Tahoma"/>
          <w:bCs/>
          <w:sz w:val="20"/>
          <w:szCs w:val="20"/>
        </w:rPr>
        <w:t>:</w:t>
      </w:r>
      <w:r w:rsidR="00DB1635" w:rsidRPr="00B004EE">
        <w:rPr>
          <w:rFonts w:ascii="Tahoma" w:eastAsia="American Typewriter" w:hAnsi="Tahoma" w:cs="Tahoma"/>
          <w:b/>
          <w:bCs/>
          <w:spacing w:val="-2"/>
          <w:sz w:val="20"/>
          <w:szCs w:val="20"/>
        </w:rPr>
        <w:t xml:space="preserve"> </w:t>
      </w:r>
      <w:r w:rsidRPr="00B004EE">
        <w:rPr>
          <w:rFonts w:ascii="Tahoma" w:hAnsi="Tahoma" w:cs="Tahoma"/>
          <w:sz w:val="20"/>
          <w:szCs w:val="20"/>
        </w:rPr>
        <w:t>Le</w:t>
      </w:r>
      <w:r w:rsidR="00DB1635" w:rsidRPr="00B004EE">
        <w:rPr>
          <w:rFonts w:ascii="Tahoma" w:hAnsi="Tahoma" w:cs="Tahoma"/>
          <w:spacing w:val="-6"/>
          <w:sz w:val="20"/>
          <w:szCs w:val="20"/>
        </w:rPr>
        <w:t xml:space="preserve"> </w:t>
      </w:r>
      <w:r w:rsidRPr="00B004EE">
        <w:rPr>
          <w:rFonts w:ascii="Tahoma" w:hAnsi="Tahoma" w:cs="Tahoma"/>
          <w:sz w:val="20"/>
          <w:szCs w:val="20"/>
        </w:rPr>
        <w:t>ministre</w:t>
      </w:r>
      <w:r w:rsidR="00DB1635" w:rsidRPr="00B004EE">
        <w:rPr>
          <w:rFonts w:ascii="Tahoma" w:hAnsi="Tahoma" w:cs="Tahoma"/>
          <w:spacing w:val="-6"/>
          <w:sz w:val="20"/>
          <w:szCs w:val="20"/>
        </w:rPr>
        <w:t xml:space="preserve"> </w:t>
      </w:r>
      <w:r w:rsidRPr="00B004EE">
        <w:rPr>
          <w:rFonts w:ascii="Tahoma" w:hAnsi="Tahoma" w:cs="Tahoma"/>
          <w:sz w:val="20"/>
          <w:szCs w:val="20"/>
        </w:rPr>
        <w:t>chargé</w:t>
      </w:r>
      <w:r w:rsidR="00DB1635" w:rsidRPr="00B004EE">
        <w:rPr>
          <w:rFonts w:ascii="Tahoma" w:hAnsi="Tahoma" w:cs="Tahoma"/>
          <w:spacing w:val="-6"/>
          <w:sz w:val="20"/>
          <w:szCs w:val="20"/>
        </w:rPr>
        <w:t xml:space="preserve"> </w:t>
      </w:r>
      <w:r w:rsidRPr="00B004EE">
        <w:rPr>
          <w:rFonts w:ascii="Tahoma" w:hAnsi="Tahoma" w:cs="Tahoma"/>
          <w:sz w:val="20"/>
          <w:szCs w:val="20"/>
        </w:rPr>
        <w:t>des</w:t>
      </w:r>
      <w:r w:rsidR="00DB1635" w:rsidRPr="00B004EE">
        <w:rPr>
          <w:rFonts w:ascii="Tahoma" w:hAnsi="Tahoma" w:cs="Tahoma"/>
          <w:spacing w:val="-6"/>
          <w:sz w:val="20"/>
          <w:szCs w:val="20"/>
        </w:rPr>
        <w:t xml:space="preserve"> </w:t>
      </w:r>
      <w:r w:rsidRPr="00B004EE">
        <w:rPr>
          <w:rFonts w:ascii="Tahoma" w:hAnsi="Tahoma" w:cs="Tahoma"/>
          <w:sz w:val="20"/>
          <w:szCs w:val="20"/>
        </w:rPr>
        <w:t>pêches,</w:t>
      </w:r>
      <w:r w:rsidR="00DB1635" w:rsidRPr="00B004EE">
        <w:rPr>
          <w:rFonts w:ascii="Tahoma" w:hAnsi="Tahoma" w:cs="Tahoma"/>
          <w:spacing w:val="-5"/>
          <w:sz w:val="20"/>
          <w:szCs w:val="20"/>
        </w:rPr>
        <w:t xml:space="preserve"> </w:t>
      </w:r>
      <w:r w:rsidRPr="00B004EE">
        <w:rPr>
          <w:rFonts w:ascii="Tahoma" w:eastAsia="American Typewriter" w:hAnsi="Tahoma" w:cs="Tahoma"/>
          <w:sz w:val="20"/>
          <w:szCs w:val="20"/>
        </w:rPr>
        <w:t>ou</w:t>
      </w:r>
      <w:r w:rsidR="00DB1635" w:rsidRPr="00B004EE">
        <w:rPr>
          <w:rFonts w:ascii="Tahoma" w:eastAsia="American Typewriter" w:hAnsi="Tahoma" w:cs="Tahoma"/>
          <w:spacing w:val="-6"/>
          <w:sz w:val="20"/>
          <w:szCs w:val="20"/>
        </w:rPr>
        <w:t xml:space="preserve"> </w:t>
      </w:r>
      <w:r w:rsidRPr="00B004EE">
        <w:rPr>
          <w:rFonts w:ascii="Tahoma" w:eastAsia="American Typewriter" w:hAnsi="Tahoma" w:cs="Tahoma"/>
          <w:sz w:val="20"/>
          <w:szCs w:val="20"/>
        </w:rPr>
        <w:t>l’autorité</w:t>
      </w:r>
      <w:r w:rsidR="00DB1635" w:rsidRPr="00B004EE">
        <w:rPr>
          <w:rFonts w:ascii="Tahoma" w:eastAsia="American Typewriter" w:hAnsi="Tahoma" w:cs="Tahoma"/>
          <w:spacing w:val="-6"/>
          <w:sz w:val="20"/>
          <w:szCs w:val="20"/>
        </w:rPr>
        <w:t xml:space="preserve"> </w:t>
      </w:r>
      <w:r w:rsidRPr="00B004EE">
        <w:rPr>
          <w:rFonts w:ascii="Tahoma" w:eastAsia="American Typewriter" w:hAnsi="Tahoma" w:cs="Tahoma"/>
          <w:sz w:val="20"/>
          <w:szCs w:val="20"/>
        </w:rPr>
        <w:t>déléguée</w:t>
      </w:r>
      <w:r w:rsidR="00DB1635" w:rsidRPr="00B004EE">
        <w:rPr>
          <w:rFonts w:ascii="Tahoma" w:eastAsia="American Typewriter" w:hAnsi="Tahoma" w:cs="Tahoma"/>
          <w:spacing w:val="-6"/>
          <w:sz w:val="20"/>
          <w:szCs w:val="20"/>
        </w:rPr>
        <w:t xml:space="preserve"> </w:t>
      </w:r>
      <w:r w:rsidRPr="00B004EE">
        <w:rPr>
          <w:rFonts w:ascii="Tahoma" w:eastAsia="American Typewriter" w:hAnsi="Tahoma" w:cs="Tahoma"/>
          <w:sz w:val="20"/>
          <w:szCs w:val="20"/>
        </w:rPr>
        <w:t>à</w:t>
      </w:r>
      <w:r w:rsidR="00DB1635" w:rsidRPr="00B004EE">
        <w:rPr>
          <w:rFonts w:ascii="Tahoma" w:eastAsia="American Typewriter" w:hAnsi="Tahoma" w:cs="Tahoma"/>
          <w:spacing w:val="-5"/>
          <w:sz w:val="20"/>
          <w:szCs w:val="20"/>
        </w:rPr>
        <w:t xml:space="preserve"> </w:t>
      </w:r>
      <w:r w:rsidRPr="00B004EE">
        <w:rPr>
          <w:rFonts w:ascii="Tahoma" w:eastAsia="American Typewriter" w:hAnsi="Tahoma" w:cs="Tahoma"/>
          <w:sz w:val="20"/>
          <w:szCs w:val="20"/>
        </w:rPr>
        <w:t>cet</w:t>
      </w:r>
      <w:r w:rsidR="00DB1635" w:rsidRPr="00B004EE">
        <w:rPr>
          <w:rFonts w:ascii="Tahoma" w:eastAsia="American Typewriter" w:hAnsi="Tahoma" w:cs="Tahoma"/>
          <w:spacing w:val="-6"/>
          <w:sz w:val="20"/>
          <w:szCs w:val="20"/>
        </w:rPr>
        <w:t xml:space="preserve"> </w:t>
      </w:r>
      <w:r w:rsidRPr="00B004EE">
        <w:rPr>
          <w:rFonts w:ascii="Tahoma" w:eastAsia="American Typewriter" w:hAnsi="Tahoma" w:cs="Tahoma"/>
          <w:sz w:val="20"/>
          <w:szCs w:val="20"/>
        </w:rPr>
        <w:t>effet,</w:t>
      </w:r>
      <w:r w:rsidR="00DB1635" w:rsidRPr="00B004EE">
        <w:rPr>
          <w:rFonts w:ascii="Tahoma" w:eastAsia="American Typewriter" w:hAnsi="Tahoma" w:cs="Tahoma"/>
          <w:spacing w:val="-5"/>
          <w:sz w:val="20"/>
          <w:szCs w:val="20"/>
        </w:rPr>
        <w:t xml:space="preserve"> </w:t>
      </w:r>
      <w:r w:rsidRPr="00B004EE">
        <w:rPr>
          <w:rFonts w:ascii="Tahoma" w:eastAsia="American Typewriter" w:hAnsi="Tahoma" w:cs="Tahoma"/>
          <w:sz w:val="20"/>
          <w:szCs w:val="20"/>
        </w:rPr>
        <w:t>peut</w:t>
      </w:r>
      <w:r w:rsidR="00DB1635" w:rsidRPr="00B004EE">
        <w:rPr>
          <w:rFonts w:ascii="Tahoma" w:eastAsia="American Typewriter" w:hAnsi="Tahoma" w:cs="Tahoma"/>
          <w:w w:val="96"/>
          <w:sz w:val="20"/>
          <w:szCs w:val="20"/>
        </w:rPr>
        <w:t xml:space="preserve"> </w:t>
      </w:r>
      <w:r w:rsidRPr="00B004EE">
        <w:rPr>
          <w:rFonts w:ascii="Tahoma" w:eastAsia="American Typewriter" w:hAnsi="Tahoma" w:cs="Tahoma"/>
          <w:sz w:val="20"/>
          <w:szCs w:val="20"/>
        </w:rPr>
        <w:t>transiger</w:t>
      </w:r>
      <w:r w:rsidR="00DB1635" w:rsidRPr="00B004EE">
        <w:rPr>
          <w:rFonts w:ascii="Tahoma" w:eastAsia="American Typewriter" w:hAnsi="Tahoma" w:cs="Tahoma"/>
          <w:spacing w:val="-14"/>
          <w:sz w:val="20"/>
          <w:szCs w:val="20"/>
        </w:rPr>
        <w:t xml:space="preserve"> </w:t>
      </w:r>
      <w:r w:rsidRPr="00B004EE">
        <w:rPr>
          <w:rFonts w:ascii="Tahoma" w:eastAsia="American Typewriter" w:hAnsi="Tahoma" w:cs="Tahoma"/>
          <w:sz w:val="20"/>
          <w:szCs w:val="20"/>
        </w:rPr>
        <w:t>au</w:t>
      </w:r>
      <w:r w:rsidR="00DB1635" w:rsidRPr="00B004EE">
        <w:rPr>
          <w:rFonts w:ascii="Tahoma" w:eastAsia="American Typewriter" w:hAnsi="Tahoma" w:cs="Tahoma"/>
          <w:spacing w:val="-14"/>
          <w:sz w:val="20"/>
          <w:szCs w:val="20"/>
        </w:rPr>
        <w:t xml:space="preserve"> </w:t>
      </w:r>
      <w:r w:rsidRPr="00B004EE">
        <w:rPr>
          <w:rFonts w:ascii="Tahoma" w:eastAsia="American Typewriter" w:hAnsi="Tahoma" w:cs="Tahoma"/>
          <w:sz w:val="20"/>
          <w:szCs w:val="20"/>
        </w:rPr>
        <w:t>nom</w:t>
      </w:r>
      <w:r w:rsidR="00DB1635" w:rsidRPr="00B004EE">
        <w:rPr>
          <w:rFonts w:ascii="Tahoma" w:eastAsia="American Typewriter" w:hAnsi="Tahoma" w:cs="Tahoma"/>
          <w:spacing w:val="-14"/>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pacing w:val="-14"/>
          <w:sz w:val="20"/>
          <w:szCs w:val="20"/>
        </w:rPr>
        <w:t xml:space="preserve"> </w:t>
      </w:r>
      <w:r w:rsidRPr="00B004EE">
        <w:rPr>
          <w:rFonts w:ascii="Tahoma" w:eastAsia="American Typewriter" w:hAnsi="Tahoma" w:cs="Tahoma"/>
          <w:sz w:val="20"/>
          <w:szCs w:val="20"/>
        </w:rPr>
        <w:t>l’État</w:t>
      </w:r>
      <w:r w:rsidR="00DB1635" w:rsidRPr="00B004EE">
        <w:rPr>
          <w:rFonts w:ascii="Tahoma" w:eastAsia="American Typewriter" w:hAnsi="Tahoma" w:cs="Tahoma"/>
          <w:spacing w:val="-13"/>
          <w:sz w:val="20"/>
          <w:szCs w:val="20"/>
        </w:rPr>
        <w:t xml:space="preserve"> </w:t>
      </w:r>
      <w:r w:rsidRPr="00B004EE">
        <w:rPr>
          <w:rFonts w:ascii="Tahoma" w:eastAsia="American Typewriter" w:hAnsi="Tahoma" w:cs="Tahoma"/>
          <w:sz w:val="20"/>
          <w:szCs w:val="20"/>
        </w:rPr>
        <w:t>à</w:t>
      </w:r>
      <w:r w:rsidR="00DB1635" w:rsidRPr="00B004EE">
        <w:rPr>
          <w:rFonts w:ascii="Tahoma" w:eastAsia="American Typewriter" w:hAnsi="Tahoma" w:cs="Tahoma"/>
          <w:spacing w:val="-13"/>
          <w:sz w:val="20"/>
          <w:szCs w:val="20"/>
        </w:rPr>
        <w:t xml:space="preserve"> </w:t>
      </w:r>
      <w:r w:rsidRPr="00B004EE">
        <w:rPr>
          <w:rFonts w:ascii="Tahoma" w:eastAsia="American Typewriter" w:hAnsi="Tahoma" w:cs="Tahoma"/>
          <w:sz w:val="20"/>
          <w:szCs w:val="20"/>
        </w:rPr>
        <w:t>l'égard</w:t>
      </w:r>
      <w:r w:rsidR="00DB1635" w:rsidRPr="00B004EE">
        <w:rPr>
          <w:rFonts w:ascii="Tahoma" w:eastAsia="American Typewriter" w:hAnsi="Tahoma" w:cs="Tahoma"/>
          <w:spacing w:val="-14"/>
          <w:sz w:val="20"/>
          <w:szCs w:val="20"/>
        </w:rPr>
        <w:t xml:space="preserve"> </w:t>
      </w:r>
      <w:r w:rsidRPr="00B004EE">
        <w:rPr>
          <w:rFonts w:ascii="Tahoma" w:eastAsia="American Typewriter" w:hAnsi="Tahoma" w:cs="Tahoma"/>
          <w:sz w:val="20"/>
          <w:szCs w:val="20"/>
        </w:rPr>
        <w:t>des</w:t>
      </w:r>
      <w:r w:rsidR="00DB1635" w:rsidRPr="00B004EE">
        <w:rPr>
          <w:rFonts w:ascii="Tahoma" w:eastAsia="American Typewriter" w:hAnsi="Tahoma" w:cs="Tahoma"/>
          <w:spacing w:val="-14"/>
          <w:sz w:val="20"/>
          <w:szCs w:val="20"/>
        </w:rPr>
        <w:t xml:space="preserve"> </w:t>
      </w:r>
      <w:r w:rsidRPr="00B004EE">
        <w:rPr>
          <w:rFonts w:ascii="Tahoma" w:eastAsia="American Typewriter" w:hAnsi="Tahoma" w:cs="Tahoma"/>
          <w:sz w:val="20"/>
          <w:szCs w:val="20"/>
        </w:rPr>
        <w:t>infractions</w:t>
      </w:r>
      <w:r w:rsidR="00DB1635" w:rsidRPr="00B004EE">
        <w:rPr>
          <w:rFonts w:ascii="Tahoma" w:eastAsia="American Typewriter" w:hAnsi="Tahoma" w:cs="Tahoma"/>
          <w:spacing w:val="-14"/>
          <w:sz w:val="20"/>
          <w:szCs w:val="20"/>
        </w:rPr>
        <w:t xml:space="preserve"> </w:t>
      </w:r>
      <w:r w:rsidRPr="00B004EE">
        <w:rPr>
          <w:rFonts w:ascii="Tahoma" w:eastAsia="American Typewriter" w:hAnsi="Tahoma" w:cs="Tahoma"/>
          <w:sz w:val="20"/>
          <w:szCs w:val="20"/>
        </w:rPr>
        <w:t>visées</w:t>
      </w:r>
      <w:r w:rsidR="00DB1635" w:rsidRPr="00B004EE">
        <w:rPr>
          <w:rFonts w:ascii="Tahoma" w:eastAsia="American Typewriter" w:hAnsi="Tahoma" w:cs="Tahoma"/>
          <w:spacing w:val="-14"/>
          <w:sz w:val="20"/>
          <w:szCs w:val="20"/>
        </w:rPr>
        <w:t xml:space="preserve"> </w:t>
      </w:r>
      <w:r w:rsidRPr="00B004EE">
        <w:rPr>
          <w:rFonts w:ascii="Tahoma" w:eastAsia="American Typewriter" w:hAnsi="Tahoma" w:cs="Tahoma"/>
          <w:sz w:val="20"/>
          <w:szCs w:val="20"/>
        </w:rPr>
        <w:t>aux</w:t>
      </w:r>
      <w:r w:rsidR="00DB1635" w:rsidRPr="00B004EE">
        <w:rPr>
          <w:rFonts w:ascii="Tahoma" w:eastAsia="American Typewriter" w:hAnsi="Tahoma" w:cs="Tahoma"/>
          <w:spacing w:val="-13"/>
          <w:sz w:val="20"/>
          <w:szCs w:val="20"/>
        </w:rPr>
        <w:t xml:space="preserve"> </w:t>
      </w:r>
      <w:r w:rsidRPr="00B004EE">
        <w:rPr>
          <w:rFonts w:ascii="Tahoma" w:eastAsia="American Typewriter" w:hAnsi="Tahoma" w:cs="Tahoma"/>
          <w:sz w:val="20"/>
          <w:szCs w:val="20"/>
        </w:rPr>
        <w:t>articles</w:t>
      </w:r>
      <w:r w:rsidR="00DB1635" w:rsidRPr="00B004EE">
        <w:rPr>
          <w:rFonts w:ascii="Tahoma" w:eastAsia="American Typewriter" w:hAnsi="Tahoma" w:cs="Tahoma"/>
          <w:spacing w:val="-9"/>
          <w:sz w:val="20"/>
          <w:szCs w:val="20"/>
        </w:rPr>
        <w:t xml:space="preserve"> </w:t>
      </w:r>
      <w:r w:rsidRPr="00B004EE">
        <w:rPr>
          <w:rFonts w:ascii="Tahoma" w:hAnsi="Tahoma" w:cs="Tahoma"/>
          <w:sz w:val="20"/>
          <w:szCs w:val="20"/>
        </w:rPr>
        <w:t>84,</w:t>
      </w:r>
      <w:r w:rsidR="00DB1635" w:rsidRPr="00B004EE">
        <w:rPr>
          <w:rFonts w:ascii="Tahoma" w:hAnsi="Tahoma" w:cs="Tahoma"/>
          <w:spacing w:val="-13"/>
          <w:sz w:val="20"/>
          <w:szCs w:val="20"/>
        </w:rPr>
        <w:t xml:space="preserve"> </w:t>
      </w:r>
      <w:r w:rsidRPr="00B004EE">
        <w:rPr>
          <w:rFonts w:ascii="Tahoma" w:hAnsi="Tahoma" w:cs="Tahoma"/>
          <w:sz w:val="20"/>
          <w:szCs w:val="20"/>
        </w:rPr>
        <w:t>85</w:t>
      </w:r>
      <w:r w:rsidR="00DB1635" w:rsidRPr="00B004EE">
        <w:rPr>
          <w:rFonts w:ascii="Tahoma" w:hAnsi="Tahoma" w:cs="Tahoma"/>
          <w:spacing w:val="-14"/>
          <w:sz w:val="20"/>
          <w:szCs w:val="20"/>
        </w:rPr>
        <w:t xml:space="preserve"> </w:t>
      </w:r>
      <w:r w:rsidRPr="00B004EE">
        <w:rPr>
          <w:rFonts w:ascii="Tahoma" w:hAnsi="Tahoma" w:cs="Tahoma"/>
          <w:sz w:val="20"/>
          <w:szCs w:val="20"/>
        </w:rPr>
        <w:t>et</w:t>
      </w:r>
      <w:r w:rsidR="00DB1635" w:rsidRPr="00B004EE">
        <w:rPr>
          <w:rFonts w:ascii="Tahoma" w:hAnsi="Tahoma" w:cs="Tahoma"/>
          <w:spacing w:val="-15"/>
          <w:sz w:val="20"/>
          <w:szCs w:val="20"/>
        </w:rPr>
        <w:t xml:space="preserve"> </w:t>
      </w:r>
      <w:r w:rsidRPr="00B004EE">
        <w:rPr>
          <w:rFonts w:ascii="Tahoma" w:hAnsi="Tahoma" w:cs="Tahoma"/>
          <w:sz w:val="20"/>
          <w:szCs w:val="20"/>
        </w:rPr>
        <w:t>91</w:t>
      </w:r>
      <w:r w:rsidR="00DB1635" w:rsidRPr="00B004EE">
        <w:rPr>
          <w:rFonts w:ascii="Tahoma" w:hAnsi="Tahoma" w:cs="Tahoma"/>
          <w:w w:val="87"/>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présente</w:t>
      </w:r>
      <w:r w:rsidR="00DB1635" w:rsidRPr="00B004EE">
        <w:rPr>
          <w:rFonts w:ascii="Tahoma" w:hAnsi="Tahoma" w:cs="Tahoma"/>
          <w:sz w:val="20"/>
          <w:szCs w:val="20"/>
        </w:rPr>
        <w:t xml:space="preserve"> </w:t>
      </w:r>
      <w:r w:rsidRPr="00B004EE">
        <w:rPr>
          <w:rFonts w:ascii="Tahoma" w:hAnsi="Tahoma" w:cs="Tahoma"/>
          <w:sz w:val="20"/>
          <w:szCs w:val="20"/>
        </w:rPr>
        <w:t>Loi.</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ce</w:t>
      </w:r>
      <w:r w:rsidR="00DB1635" w:rsidRPr="00B004EE">
        <w:rPr>
          <w:rFonts w:ascii="Tahoma" w:hAnsi="Tahoma" w:cs="Tahoma"/>
          <w:sz w:val="20"/>
          <w:szCs w:val="20"/>
        </w:rPr>
        <w:t xml:space="preserve"> </w:t>
      </w:r>
      <w:r w:rsidRPr="00B004EE">
        <w:rPr>
          <w:rFonts w:ascii="Tahoma" w:hAnsi="Tahoma" w:cs="Tahoma"/>
          <w:sz w:val="20"/>
          <w:szCs w:val="20"/>
        </w:rPr>
        <w:t>cas,</w:t>
      </w:r>
      <w:r w:rsidR="00DB1635" w:rsidRPr="00B004EE">
        <w:rPr>
          <w:rFonts w:ascii="Tahoma" w:hAnsi="Tahoma" w:cs="Tahoma"/>
          <w:sz w:val="20"/>
          <w:szCs w:val="20"/>
        </w:rPr>
        <w:t xml:space="preserve"> </w:t>
      </w:r>
      <w:r w:rsidRPr="00B004EE">
        <w:rPr>
          <w:rFonts w:ascii="Tahoma" w:hAnsi="Tahoma" w:cs="Tahoma"/>
          <w:sz w:val="20"/>
          <w:szCs w:val="20"/>
        </w:rPr>
        <w:t>il</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assisté</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commission</w:t>
      </w:r>
      <w:r w:rsidR="00DB1635" w:rsidRPr="00B004EE">
        <w:rPr>
          <w:rFonts w:ascii="Tahoma" w:hAnsi="Tahoma" w:cs="Tahoma"/>
          <w:spacing w:val="59"/>
          <w:sz w:val="20"/>
          <w:szCs w:val="20"/>
        </w:rPr>
        <w:t xml:space="preserve"> </w:t>
      </w:r>
      <w:r w:rsidRPr="00B004EE">
        <w:rPr>
          <w:rFonts w:ascii="Tahoma" w:hAnsi="Tahoma" w:cs="Tahoma"/>
          <w:sz w:val="20"/>
          <w:szCs w:val="20"/>
        </w:rPr>
        <w:t>dénommée</w:t>
      </w:r>
      <w:r w:rsidR="00DB1635" w:rsidRPr="00B004EE">
        <w:rPr>
          <w:rFonts w:ascii="Tahoma" w:hAnsi="Tahoma" w:cs="Tahoma"/>
          <w:w w:val="94"/>
          <w:sz w:val="20"/>
          <w:szCs w:val="20"/>
        </w:rPr>
        <w:t xml:space="preserve"> </w:t>
      </w:r>
      <w:r w:rsidRPr="00B004EE">
        <w:rPr>
          <w:rFonts w:ascii="Tahoma" w:hAnsi="Tahoma" w:cs="Tahoma"/>
          <w:sz w:val="20"/>
          <w:szCs w:val="20"/>
        </w:rPr>
        <w:t>Commission</w:t>
      </w:r>
      <w:r w:rsidR="00DB1635" w:rsidRPr="00B004EE">
        <w:rPr>
          <w:rFonts w:ascii="Tahoma" w:hAnsi="Tahoma" w:cs="Tahoma"/>
          <w:spacing w:val="-6"/>
          <w:sz w:val="20"/>
          <w:szCs w:val="20"/>
        </w:rPr>
        <w:t xml:space="preserve"> </w:t>
      </w:r>
      <w:r w:rsidRPr="00B004EE">
        <w:rPr>
          <w:rFonts w:ascii="Tahoma" w:hAnsi="Tahoma" w:cs="Tahoma"/>
          <w:sz w:val="20"/>
          <w:szCs w:val="20"/>
        </w:rPr>
        <w:t>de</w:t>
      </w:r>
      <w:r w:rsidR="00DB1635" w:rsidRPr="00B004EE">
        <w:rPr>
          <w:rFonts w:ascii="Tahoma" w:hAnsi="Tahoma" w:cs="Tahoma"/>
          <w:spacing w:val="-6"/>
          <w:sz w:val="20"/>
          <w:szCs w:val="20"/>
        </w:rPr>
        <w:t xml:space="preserve"> </w:t>
      </w:r>
      <w:r w:rsidRPr="00B004EE">
        <w:rPr>
          <w:rFonts w:ascii="Tahoma" w:hAnsi="Tahoma" w:cs="Tahoma"/>
          <w:sz w:val="20"/>
          <w:szCs w:val="20"/>
        </w:rPr>
        <w:t>transaction</w:t>
      </w:r>
      <w:r w:rsidR="00DB1635" w:rsidRPr="00B004EE">
        <w:rPr>
          <w:rFonts w:ascii="Tahoma" w:hAnsi="Tahoma" w:cs="Tahoma"/>
          <w:spacing w:val="-6"/>
          <w:sz w:val="20"/>
          <w:szCs w:val="20"/>
        </w:rPr>
        <w:t xml:space="preserve"> </w:t>
      </w:r>
      <w:r w:rsidRPr="00B004EE">
        <w:rPr>
          <w:rFonts w:ascii="Tahoma" w:hAnsi="Tahoma" w:cs="Tahoma"/>
          <w:sz w:val="20"/>
          <w:szCs w:val="20"/>
        </w:rPr>
        <w:t>dont</w:t>
      </w:r>
      <w:r w:rsidR="00DB1635" w:rsidRPr="00B004EE">
        <w:rPr>
          <w:rFonts w:ascii="Tahoma" w:hAnsi="Tahoma" w:cs="Tahoma"/>
          <w:spacing w:val="-6"/>
          <w:sz w:val="20"/>
          <w:szCs w:val="20"/>
        </w:rPr>
        <w:t xml:space="preserve"> </w:t>
      </w:r>
      <w:r w:rsidRPr="00B004EE">
        <w:rPr>
          <w:rFonts w:ascii="Tahoma" w:hAnsi="Tahoma" w:cs="Tahoma"/>
          <w:sz w:val="20"/>
          <w:szCs w:val="20"/>
        </w:rPr>
        <w:t>la</w:t>
      </w:r>
      <w:r w:rsidR="00DB1635" w:rsidRPr="00B004EE">
        <w:rPr>
          <w:rFonts w:ascii="Tahoma" w:hAnsi="Tahoma" w:cs="Tahoma"/>
          <w:spacing w:val="-5"/>
          <w:sz w:val="20"/>
          <w:szCs w:val="20"/>
        </w:rPr>
        <w:t xml:space="preserve"> </w:t>
      </w:r>
      <w:r w:rsidRPr="00B004EE">
        <w:rPr>
          <w:rFonts w:ascii="Tahoma" w:hAnsi="Tahoma" w:cs="Tahoma"/>
          <w:sz w:val="20"/>
          <w:szCs w:val="20"/>
        </w:rPr>
        <w:t>composition</w:t>
      </w:r>
      <w:r w:rsidR="00DB1635" w:rsidRPr="00B004EE">
        <w:rPr>
          <w:rFonts w:ascii="Tahoma" w:hAnsi="Tahoma" w:cs="Tahoma"/>
          <w:spacing w:val="-6"/>
          <w:sz w:val="20"/>
          <w:szCs w:val="20"/>
        </w:rPr>
        <w:t xml:space="preserve"> </w:t>
      </w:r>
      <w:r w:rsidRPr="00B004EE">
        <w:rPr>
          <w:rFonts w:ascii="Tahoma" w:hAnsi="Tahoma" w:cs="Tahoma"/>
          <w:sz w:val="20"/>
          <w:szCs w:val="20"/>
        </w:rPr>
        <w:t>et</w:t>
      </w:r>
      <w:r w:rsidR="00DB1635" w:rsidRPr="00B004EE">
        <w:rPr>
          <w:rFonts w:ascii="Tahoma" w:hAnsi="Tahoma" w:cs="Tahoma"/>
          <w:spacing w:val="-5"/>
          <w:sz w:val="20"/>
          <w:szCs w:val="20"/>
        </w:rPr>
        <w:t xml:space="preserve"> </w:t>
      </w:r>
      <w:r w:rsidRPr="00B004EE">
        <w:rPr>
          <w:rFonts w:ascii="Tahoma" w:hAnsi="Tahoma" w:cs="Tahoma"/>
          <w:sz w:val="20"/>
          <w:szCs w:val="20"/>
        </w:rPr>
        <w:t>les</w:t>
      </w:r>
      <w:r w:rsidR="00DB1635" w:rsidRPr="00B004EE">
        <w:rPr>
          <w:rFonts w:ascii="Tahoma" w:hAnsi="Tahoma" w:cs="Tahoma"/>
          <w:spacing w:val="-7"/>
          <w:sz w:val="20"/>
          <w:szCs w:val="20"/>
        </w:rPr>
        <w:t xml:space="preserve"> </w:t>
      </w:r>
      <w:r w:rsidRPr="00B004EE">
        <w:rPr>
          <w:rFonts w:ascii="Tahoma" w:hAnsi="Tahoma" w:cs="Tahoma"/>
          <w:sz w:val="20"/>
          <w:szCs w:val="20"/>
        </w:rPr>
        <w:t>attributions</w:t>
      </w:r>
      <w:r w:rsidR="00DB1635" w:rsidRPr="00B004EE">
        <w:rPr>
          <w:rFonts w:ascii="Tahoma" w:hAnsi="Tahoma" w:cs="Tahoma"/>
          <w:spacing w:val="-7"/>
          <w:sz w:val="20"/>
          <w:szCs w:val="20"/>
        </w:rPr>
        <w:t xml:space="preserve"> </w:t>
      </w:r>
      <w:r w:rsidRPr="00B004EE">
        <w:rPr>
          <w:rFonts w:ascii="Tahoma" w:hAnsi="Tahoma" w:cs="Tahoma"/>
          <w:sz w:val="20"/>
          <w:szCs w:val="20"/>
        </w:rPr>
        <w:t>sont</w:t>
      </w:r>
      <w:r w:rsidR="00DB1635" w:rsidRPr="00B004EE">
        <w:rPr>
          <w:rFonts w:ascii="Tahoma" w:hAnsi="Tahoma" w:cs="Tahoma"/>
          <w:spacing w:val="-7"/>
          <w:sz w:val="20"/>
          <w:szCs w:val="20"/>
        </w:rPr>
        <w:t xml:space="preserve"> </w:t>
      </w:r>
      <w:r w:rsidRPr="00B004EE">
        <w:rPr>
          <w:rFonts w:ascii="Tahoma" w:hAnsi="Tahoma" w:cs="Tahoma"/>
          <w:sz w:val="20"/>
          <w:szCs w:val="20"/>
        </w:rPr>
        <w:t>fixées</w:t>
      </w:r>
      <w:r w:rsidR="00DB1635" w:rsidRPr="00B004EE">
        <w:rPr>
          <w:rFonts w:ascii="Tahoma" w:hAnsi="Tahoma" w:cs="Tahoma"/>
          <w:spacing w:val="-7"/>
          <w:sz w:val="20"/>
          <w:szCs w:val="20"/>
        </w:rPr>
        <w:t xml:space="preserve"> </w:t>
      </w:r>
      <w:r w:rsidRPr="00B004EE">
        <w:rPr>
          <w:rFonts w:ascii="Tahoma" w:hAnsi="Tahoma" w:cs="Tahoma"/>
          <w:sz w:val="20"/>
          <w:szCs w:val="20"/>
        </w:rPr>
        <w:t>par</w:t>
      </w:r>
      <w:r w:rsidR="00DB1635" w:rsidRPr="00B004EE">
        <w:rPr>
          <w:rFonts w:ascii="Tahoma" w:hAnsi="Tahoma" w:cs="Tahoma"/>
          <w:w w:val="90"/>
          <w:sz w:val="20"/>
          <w:szCs w:val="20"/>
        </w:rPr>
        <w:t xml:space="preserve"> </w:t>
      </w:r>
      <w:r w:rsidRPr="00B004EE">
        <w:rPr>
          <w:rFonts w:ascii="Tahoma" w:hAnsi="Tahoma" w:cs="Tahoma"/>
          <w:sz w:val="20"/>
          <w:szCs w:val="20"/>
        </w:rPr>
        <w:t>arrêté.</w:t>
      </w:r>
    </w:p>
    <w:p w14:paraId="4D6EB6C2" w14:textId="78947EA4" w:rsidR="001E7C3C" w:rsidRPr="00B004EE" w:rsidRDefault="001E7C3C" w:rsidP="00B004EE">
      <w:pPr>
        <w:pStyle w:val="Corpsdetexte"/>
        <w:ind w:right="159"/>
        <w:rPr>
          <w:rFonts w:ascii="Tahoma" w:hAnsi="Tahoma" w:cs="Tahoma"/>
          <w:sz w:val="20"/>
          <w:szCs w:val="20"/>
        </w:rPr>
      </w:pPr>
      <w:r w:rsidRPr="00B004EE">
        <w:rPr>
          <w:rFonts w:ascii="Tahoma" w:hAnsi="Tahoma" w:cs="Tahoma"/>
          <w:sz w:val="20"/>
          <w:szCs w:val="20"/>
        </w:rPr>
        <w:t>Lorsque</w:t>
      </w:r>
      <w:r w:rsidR="00DB1635" w:rsidRPr="00B004EE">
        <w:rPr>
          <w:rFonts w:ascii="Tahoma" w:hAnsi="Tahoma" w:cs="Tahoma"/>
          <w:sz w:val="20"/>
          <w:szCs w:val="20"/>
        </w:rPr>
        <w:t xml:space="preserve"> </w:t>
      </w:r>
      <w:r w:rsidRPr="00B004EE">
        <w:rPr>
          <w:rFonts w:ascii="Tahoma" w:hAnsi="Tahoma" w:cs="Tahoma"/>
          <w:sz w:val="20"/>
          <w:szCs w:val="20"/>
        </w:rPr>
        <w:t>l'auteur</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l'infraction</w:t>
      </w:r>
      <w:r w:rsidR="00DB1635" w:rsidRPr="00B004EE">
        <w:rPr>
          <w:rFonts w:ascii="Tahoma" w:hAnsi="Tahoma" w:cs="Tahoma"/>
          <w:sz w:val="20"/>
          <w:szCs w:val="20"/>
        </w:rPr>
        <w:t xml:space="preserve"> </w:t>
      </w:r>
      <w:r w:rsidRPr="00B004EE">
        <w:rPr>
          <w:rFonts w:ascii="Tahoma" w:hAnsi="Tahoma" w:cs="Tahoma"/>
          <w:sz w:val="20"/>
          <w:szCs w:val="20"/>
        </w:rPr>
        <w:t>refuse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transaction</w:t>
      </w:r>
      <w:r w:rsidRPr="00B004EE">
        <w:rPr>
          <w:rFonts w:ascii="Tahoma" w:eastAsia="American Typewriter" w:hAnsi="Tahoma" w:cs="Tahoma"/>
          <w:sz w:val="20"/>
          <w:szCs w:val="20"/>
        </w:rPr>
        <w:t>,</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l’autorité</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compétente</w:t>
      </w:r>
      <w:r w:rsidR="00DB1635" w:rsidRPr="00B004EE">
        <w:rPr>
          <w:rFonts w:ascii="Tahoma" w:eastAsia="American Typewriter" w:hAnsi="Tahoma" w:cs="Tahoma"/>
          <w:w w:val="95"/>
          <w:sz w:val="20"/>
          <w:szCs w:val="20"/>
        </w:rPr>
        <w:t xml:space="preserve"> </w:t>
      </w:r>
      <w:r w:rsidRPr="00B004EE">
        <w:rPr>
          <w:rFonts w:ascii="Tahoma" w:hAnsi="Tahoma" w:cs="Tahoma"/>
          <w:sz w:val="20"/>
          <w:szCs w:val="20"/>
        </w:rPr>
        <w:t>transmet</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dossier,</w:t>
      </w:r>
      <w:r w:rsidR="00DB1635" w:rsidRPr="00B004EE">
        <w:rPr>
          <w:rFonts w:ascii="Tahoma" w:hAnsi="Tahoma" w:cs="Tahoma"/>
          <w:sz w:val="20"/>
          <w:szCs w:val="20"/>
        </w:rPr>
        <w:t xml:space="preserve"> </w:t>
      </w:r>
      <w:r w:rsidRPr="00B004EE">
        <w:rPr>
          <w:rFonts w:ascii="Tahoma" w:hAnsi="Tahoma" w:cs="Tahoma"/>
          <w:sz w:val="20"/>
          <w:szCs w:val="20"/>
        </w:rPr>
        <w:t>sans</w:t>
      </w:r>
      <w:r w:rsidR="00DB1635" w:rsidRPr="00B004EE">
        <w:rPr>
          <w:rFonts w:ascii="Tahoma" w:hAnsi="Tahoma" w:cs="Tahoma"/>
          <w:sz w:val="20"/>
          <w:szCs w:val="20"/>
        </w:rPr>
        <w:t xml:space="preserve"> </w:t>
      </w:r>
      <w:r w:rsidRPr="00B004EE">
        <w:rPr>
          <w:rFonts w:ascii="Tahoma" w:hAnsi="Tahoma" w:cs="Tahoma"/>
          <w:sz w:val="20"/>
          <w:szCs w:val="20"/>
        </w:rPr>
        <w:t>tarder,</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Procureur</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République</w:t>
      </w:r>
      <w:r w:rsidR="00DB1635" w:rsidRPr="00B004EE">
        <w:rPr>
          <w:rFonts w:ascii="Tahoma" w:hAnsi="Tahoma" w:cs="Tahoma"/>
          <w:sz w:val="20"/>
          <w:szCs w:val="20"/>
        </w:rPr>
        <w:t xml:space="preserve"> </w:t>
      </w:r>
      <w:r w:rsidRPr="00B004EE">
        <w:rPr>
          <w:rFonts w:ascii="Tahoma" w:hAnsi="Tahoma" w:cs="Tahoma"/>
          <w:sz w:val="20"/>
          <w:szCs w:val="20"/>
        </w:rPr>
        <w:t>compétent</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pacing w:val="-13"/>
          <w:sz w:val="20"/>
          <w:szCs w:val="20"/>
        </w:rPr>
        <w:t xml:space="preserve"> </w:t>
      </w:r>
      <w:r w:rsidRPr="00B004EE">
        <w:rPr>
          <w:rFonts w:ascii="Tahoma" w:hAnsi="Tahoma" w:cs="Tahoma"/>
          <w:sz w:val="20"/>
          <w:szCs w:val="20"/>
        </w:rPr>
        <w:t>lui</w:t>
      </w:r>
      <w:r w:rsidR="00DB1635" w:rsidRPr="00B004EE">
        <w:rPr>
          <w:rFonts w:ascii="Tahoma" w:hAnsi="Tahoma" w:cs="Tahoma"/>
          <w:w w:val="99"/>
          <w:sz w:val="20"/>
          <w:szCs w:val="20"/>
        </w:rPr>
        <w:t xml:space="preserve"> </w:t>
      </w:r>
      <w:r w:rsidRPr="00B004EE">
        <w:rPr>
          <w:rFonts w:ascii="Tahoma" w:hAnsi="Tahoma" w:cs="Tahoma"/>
          <w:sz w:val="20"/>
          <w:szCs w:val="20"/>
        </w:rPr>
        <w:t>demandant</w:t>
      </w:r>
      <w:r w:rsidR="00DB1635" w:rsidRPr="00B004EE">
        <w:rPr>
          <w:rFonts w:ascii="Tahoma" w:hAnsi="Tahoma" w:cs="Tahoma"/>
          <w:spacing w:val="-34"/>
          <w:sz w:val="20"/>
          <w:szCs w:val="20"/>
        </w:rPr>
        <w:t xml:space="preserve"> </w:t>
      </w:r>
      <w:r w:rsidRPr="00B004EE">
        <w:rPr>
          <w:rFonts w:ascii="Tahoma" w:hAnsi="Tahoma" w:cs="Tahoma"/>
          <w:sz w:val="20"/>
          <w:szCs w:val="20"/>
        </w:rPr>
        <w:t>de</w:t>
      </w:r>
      <w:r w:rsidR="00DB1635" w:rsidRPr="00B004EE">
        <w:rPr>
          <w:rFonts w:ascii="Tahoma" w:hAnsi="Tahoma" w:cs="Tahoma"/>
          <w:spacing w:val="-34"/>
          <w:sz w:val="20"/>
          <w:szCs w:val="20"/>
        </w:rPr>
        <w:t xml:space="preserve"> </w:t>
      </w:r>
      <w:r w:rsidRPr="00B004EE">
        <w:rPr>
          <w:rFonts w:ascii="Tahoma" w:hAnsi="Tahoma" w:cs="Tahoma"/>
          <w:sz w:val="20"/>
          <w:szCs w:val="20"/>
        </w:rPr>
        <w:t>mettre</w:t>
      </w:r>
      <w:r w:rsidR="00DB1635" w:rsidRPr="00B004EE">
        <w:rPr>
          <w:rFonts w:ascii="Tahoma" w:hAnsi="Tahoma" w:cs="Tahoma"/>
          <w:spacing w:val="-34"/>
          <w:sz w:val="20"/>
          <w:szCs w:val="20"/>
        </w:rPr>
        <w:t xml:space="preserve"> </w:t>
      </w:r>
      <w:r w:rsidRPr="00B004EE">
        <w:rPr>
          <w:rFonts w:ascii="Tahoma" w:hAnsi="Tahoma" w:cs="Tahoma"/>
          <w:sz w:val="20"/>
          <w:szCs w:val="20"/>
        </w:rPr>
        <w:t>en</w:t>
      </w:r>
      <w:r w:rsidR="00DB1635" w:rsidRPr="00B004EE">
        <w:rPr>
          <w:rFonts w:ascii="Tahoma" w:hAnsi="Tahoma" w:cs="Tahoma"/>
          <w:spacing w:val="-34"/>
          <w:sz w:val="20"/>
          <w:szCs w:val="20"/>
        </w:rPr>
        <w:t xml:space="preserve"> </w:t>
      </w:r>
      <w:r w:rsidRPr="00B004EE">
        <w:rPr>
          <w:rFonts w:ascii="Tahoma" w:hAnsi="Tahoma" w:cs="Tahoma"/>
          <w:sz w:val="20"/>
          <w:szCs w:val="20"/>
        </w:rPr>
        <w:t>mouvement</w:t>
      </w:r>
      <w:r w:rsidR="00DB1635" w:rsidRPr="00B004EE">
        <w:rPr>
          <w:rFonts w:ascii="Tahoma" w:hAnsi="Tahoma" w:cs="Tahoma"/>
          <w:spacing w:val="-34"/>
          <w:sz w:val="20"/>
          <w:szCs w:val="20"/>
        </w:rPr>
        <w:t xml:space="preserve"> </w:t>
      </w:r>
      <w:r w:rsidRPr="00B004EE">
        <w:rPr>
          <w:rFonts w:ascii="Tahoma" w:hAnsi="Tahoma" w:cs="Tahoma"/>
          <w:sz w:val="20"/>
          <w:szCs w:val="20"/>
        </w:rPr>
        <w:t>l'action</w:t>
      </w:r>
      <w:r w:rsidR="00DB1635" w:rsidRPr="00B004EE">
        <w:rPr>
          <w:rFonts w:ascii="Tahoma" w:hAnsi="Tahoma" w:cs="Tahoma"/>
          <w:spacing w:val="-33"/>
          <w:sz w:val="20"/>
          <w:szCs w:val="20"/>
        </w:rPr>
        <w:t xml:space="preserve"> </w:t>
      </w:r>
      <w:r w:rsidRPr="00B004EE">
        <w:rPr>
          <w:rFonts w:ascii="Tahoma" w:hAnsi="Tahoma" w:cs="Tahoma"/>
          <w:sz w:val="20"/>
          <w:szCs w:val="20"/>
        </w:rPr>
        <w:t>publique.</w:t>
      </w:r>
    </w:p>
    <w:p w14:paraId="2B65FD81" w14:textId="4907E08F" w:rsidR="001E7C3C" w:rsidRPr="00B004EE" w:rsidRDefault="001E7C3C" w:rsidP="00B004EE">
      <w:pPr>
        <w:pStyle w:val="Corpsdetexte"/>
        <w:ind w:right="168"/>
        <w:rPr>
          <w:rFonts w:ascii="Tahoma" w:hAnsi="Tahoma" w:cs="Tahoma"/>
          <w:sz w:val="20"/>
          <w:szCs w:val="20"/>
        </w:rPr>
      </w:pPr>
      <w:r w:rsidRPr="00B004EE">
        <w:rPr>
          <w:rFonts w:ascii="Tahoma" w:hAnsi="Tahoma" w:cs="Tahoma"/>
          <w:sz w:val="20"/>
          <w:szCs w:val="20"/>
        </w:rPr>
        <w:t>A</w:t>
      </w:r>
      <w:r w:rsidR="00DB1635" w:rsidRPr="00B004EE">
        <w:rPr>
          <w:rFonts w:ascii="Tahoma" w:hAnsi="Tahoma" w:cs="Tahoma"/>
          <w:spacing w:val="24"/>
          <w:sz w:val="20"/>
          <w:szCs w:val="20"/>
        </w:rPr>
        <w:t xml:space="preserve"> </w:t>
      </w:r>
      <w:r w:rsidRPr="00B004EE">
        <w:rPr>
          <w:rFonts w:ascii="Tahoma" w:hAnsi="Tahoma" w:cs="Tahoma"/>
          <w:sz w:val="20"/>
          <w:szCs w:val="20"/>
        </w:rPr>
        <w:t>cet</w:t>
      </w:r>
      <w:r w:rsidR="00DB1635" w:rsidRPr="00B004EE">
        <w:rPr>
          <w:rFonts w:ascii="Tahoma" w:hAnsi="Tahoma" w:cs="Tahoma"/>
          <w:spacing w:val="24"/>
          <w:sz w:val="20"/>
          <w:szCs w:val="20"/>
        </w:rPr>
        <w:t xml:space="preserve"> </w:t>
      </w:r>
      <w:r w:rsidRPr="00B004EE">
        <w:rPr>
          <w:rFonts w:ascii="Tahoma" w:hAnsi="Tahoma" w:cs="Tahoma"/>
          <w:sz w:val="20"/>
          <w:szCs w:val="20"/>
        </w:rPr>
        <w:t>effet,</w:t>
      </w:r>
      <w:r w:rsidR="00DB1635" w:rsidRPr="00B004EE">
        <w:rPr>
          <w:rFonts w:ascii="Tahoma" w:hAnsi="Tahoma" w:cs="Tahoma"/>
          <w:spacing w:val="24"/>
          <w:sz w:val="20"/>
          <w:szCs w:val="20"/>
        </w:rPr>
        <w:t xml:space="preserve"> </w:t>
      </w:r>
      <w:r w:rsidRPr="00B004EE">
        <w:rPr>
          <w:rFonts w:ascii="Tahoma" w:hAnsi="Tahoma" w:cs="Tahoma"/>
          <w:sz w:val="20"/>
          <w:szCs w:val="20"/>
        </w:rPr>
        <w:t>elle</w:t>
      </w:r>
      <w:r w:rsidR="00DB1635" w:rsidRPr="00B004EE">
        <w:rPr>
          <w:rFonts w:ascii="Tahoma" w:hAnsi="Tahoma" w:cs="Tahoma"/>
          <w:spacing w:val="24"/>
          <w:sz w:val="20"/>
          <w:szCs w:val="20"/>
        </w:rPr>
        <w:t xml:space="preserve"> </w:t>
      </w:r>
      <w:r w:rsidRPr="00B004EE">
        <w:rPr>
          <w:rFonts w:ascii="Tahoma" w:hAnsi="Tahoma" w:cs="Tahoma"/>
          <w:sz w:val="20"/>
          <w:szCs w:val="20"/>
        </w:rPr>
        <w:t>peut</w:t>
      </w:r>
      <w:r w:rsidR="00DB1635" w:rsidRPr="00B004EE">
        <w:rPr>
          <w:rFonts w:ascii="Tahoma" w:hAnsi="Tahoma" w:cs="Tahoma"/>
          <w:spacing w:val="22"/>
          <w:sz w:val="20"/>
          <w:szCs w:val="20"/>
        </w:rPr>
        <w:t xml:space="preserve"> </w:t>
      </w:r>
      <w:r w:rsidRPr="00B004EE">
        <w:rPr>
          <w:rFonts w:ascii="Tahoma" w:hAnsi="Tahoma" w:cs="Tahoma"/>
          <w:sz w:val="20"/>
          <w:szCs w:val="20"/>
        </w:rPr>
        <w:t>faire</w:t>
      </w:r>
      <w:r w:rsidR="00DB1635" w:rsidRPr="00B004EE">
        <w:rPr>
          <w:rFonts w:ascii="Tahoma" w:hAnsi="Tahoma" w:cs="Tahoma"/>
          <w:spacing w:val="22"/>
          <w:sz w:val="20"/>
          <w:szCs w:val="20"/>
        </w:rPr>
        <w:t xml:space="preserve"> </w:t>
      </w:r>
      <w:r w:rsidRPr="00B004EE">
        <w:rPr>
          <w:rFonts w:ascii="Tahoma" w:hAnsi="Tahoma" w:cs="Tahoma"/>
          <w:sz w:val="20"/>
          <w:szCs w:val="20"/>
        </w:rPr>
        <w:t>conduire,</w:t>
      </w:r>
      <w:r w:rsidR="00DB1635" w:rsidRPr="00B004EE">
        <w:rPr>
          <w:rFonts w:ascii="Tahoma" w:hAnsi="Tahoma" w:cs="Tahoma"/>
          <w:spacing w:val="23"/>
          <w:sz w:val="20"/>
          <w:szCs w:val="20"/>
        </w:rPr>
        <w:t xml:space="preserve"> </w:t>
      </w:r>
      <w:r w:rsidRPr="00B004EE">
        <w:rPr>
          <w:rFonts w:ascii="Tahoma" w:hAnsi="Tahoma" w:cs="Tahoma"/>
          <w:sz w:val="20"/>
          <w:szCs w:val="20"/>
        </w:rPr>
        <w:t>s'il</w:t>
      </w:r>
      <w:r w:rsidR="00DB1635" w:rsidRPr="00B004EE">
        <w:rPr>
          <w:rFonts w:ascii="Tahoma" w:hAnsi="Tahoma" w:cs="Tahoma"/>
          <w:spacing w:val="23"/>
          <w:sz w:val="20"/>
          <w:szCs w:val="20"/>
        </w:rPr>
        <w:t xml:space="preserve"> </w:t>
      </w:r>
      <w:r w:rsidRPr="00B004EE">
        <w:rPr>
          <w:rFonts w:ascii="Tahoma" w:hAnsi="Tahoma" w:cs="Tahoma"/>
          <w:sz w:val="20"/>
          <w:szCs w:val="20"/>
        </w:rPr>
        <w:t>y</w:t>
      </w:r>
      <w:r w:rsidR="00DB1635" w:rsidRPr="00B004EE">
        <w:rPr>
          <w:rFonts w:ascii="Tahoma" w:hAnsi="Tahoma" w:cs="Tahoma"/>
          <w:spacing w:val="23"/>
          <w:sz w:val="20"/>
          <w:szCs w:val="20"/>
        </w:rPr>
        <w:t xml:space="preserve"> </w:t>
      </w:r>
      <w:r w:rsidRPr="00B004EE">
        <w:rPr>
          <w:rFonts w:ascii="Tahoma" w:hAnsi="Tahoma" w:cs="Tahoma"/>
          <w:sz w:val="20"/>
          <w:szCs w:val="20"/>
        </w:rPr>
        <w:t>a</w:t>
      </w:r>
      <w:r w:rsidR="00DB1635" w:rsidRPr="00B004EE">
        <w:rPr>
          <w:rFonts w:ascii="Tahoma" w:hAnsi="Tahoma" w:cs="Tahoma"/>
          <w:spacing w:val="23"/>
          <w:sz w:val="20"/>
          <w:szCs w:val="20"/>
        </w:rPr>
        <w:t xml:space="preserve"> </w:t>
      </w:r>
      <w:r w:rsidRPr="00B004EE">
        <w:rPr>
          <w:rFonts w:ascii="Tahoma" w:hAnsi="Tahoma" w:cs="Tahoma"/>
          <w:sz w:val="20"/>
          <w:szCs w:val="20"/>
        </w:rPr>
        <w:t>lieu,</w:t>
      </w:r>
      <w:r w:rsidR="00DB1635" w:rsidRPr="00B004EE">
        <w:rPr>
          <w:rFonts w:ascii="Tahoma" w:hAnsi="Tahoma" w:cs="Tahoma"/>
          <w:spacing w:val="22"/>
          <w:sz w:val="20"/>
          <w:szCs w:val="20"/>
        </w:rPr>
        <w:t xml:space="preserve"> </w:t>
      </w:r>
      <w:r w:rsidRPr="00B004EE">
        <w:rPr>
          <w:rFonts w:ascii="Tahoma" w:hAnsi="Tahoma" w:cs="Tahoma"/>
          <w:sz w:val="20"/>
          <w:szCs w:val="20"/>
        </w:rPr>
        <w:t>le</w:t>
      </w:r>
      <w:r w:rsidR="00DB1635" w:rsidRPr="00B004EE">
        <w:rPr>
          <w:rFonts w:ascii="Tahoma" w:hAnsi="Tahoma" w:cs="Tahoma"/>
          <w:spacing w:val="22"/>
          <w:sz w:val="20"/>
          <w:szCs w:val="20"/>
        </w:rPr>
        <w:t xml:space="preserve"> </w:t>
      </w:r>
      <w:r w:rsidRPr="00B004EE">
        <w:rPr>
          <w:rFonts w:ascii="Tahoma" w:hAnsi="Tahoma" w:cs="Tahoma"/>
          <w:sz w:val="20"/>
          <w:szCs w:val="20"/>
        </w:rPr>
        <w:t>navire</w:t>
      </w:r>
      <w:r w:rsidR="00DB1635" w:rsidRPr="00B004EE">
        <w:rPr>
          <w:rFonts w:ascii="Tahoma" w:hAnsi="Tahoma" w:cs="Tahoma"/>
          <w:spacing w:val="22"/>
          <w:sz w:val="20"/>
          <w:szCs w:val="20"/>
        </w:rPr>
        <w:t xml:space="preserve"> </w:t>
      </w:r>
      <w:r w:rsidRPr="00B004EE">
        <w:rPr>
          <w:rFonts w:ascii="Tahoma" w:hAnsi="Tahoma" w:cs="Tahoma"/>
          <w:sz w:val="20"/>
          <w:szCs w:val="20"/>
        </w:rPr>
        <w:t>au</w:t>
      </w:r>
      <w:r w:rsidR="00DB1635" w:rsidRPr="00B004EE">
        <w:rPr>
          <w:rFonts w:ascii="Tahoma" w:hAnsi="Tahoma" w:cs="Tahoma"/>
          <w:spacing w:val="22"/>
          <w:sz w:val="20"/>
          <w:szCs w:val="20"/>
        </w:rPr>
        <w:t xml:space="preserve"> </w:t>
      </w:r>
      <w:r w:rsidRPr="00B004EE">
        <w:rPr>
          <w:rFonts w:ascii="Tahoma" w:hAnsi="Tahoma" w:cs="Tahoma"/>
          <w:sz w:val="20"/>
          <w:szCs w:val="20"/>
        </w:rPr>
        <w:t>port</w:t>
      </w:r>
      <w:r w:rsidR="00DB1635" w:rsidRPr="00B004EE">
        <w:rPr>
          <w:rFonts w:ascii="Tahoma" w:hAnsi="Tahoma" w:cs="Tahoma"/>
          <w:spacing w:val="22"/>
          <w:sz w:val="20"/>
          <w:szCs w:val="20"/>
        </w:rPr>
        <w:t xml:space="preserve"> </w:t>
      </w:r>
      <w:r w:rsidRPr="00B004EE">
        <w:rPr>
          <w:rFonts w:ascii="Tahoma" w:hAnsi="Tahoma" w:cs="Tahoma"/>
          <w:sz w:val="20"/>
          <w:szCs w:val="20"/>
        </w:rPr>
        <w:t>de</w:t>
      </w:r>
      <w:r w:rsidR="00DB1635" w:rsidRPr="00B004EE">
        <w:rPr>
          <w:rFonts w:ascii="Tahoma" w:hAnsi="Tahoma" w:cs="Tahoma"/>
          <w:spacing w:val="22"/>
          <w:sz w:val="20"/>
          <w:szCs w:val="20"/>
        </w:rPr>
        <w:t xml:space="preserve"> </w:t>
      </w:r>
      <w:r w:rsidRPr="00B004EE">
        <w:rPr>
          <w:rFonts w:ascii="Tahoma" w:hAnsi="Tahoma" w:cs="Tahoma"/>
          <w:sz w:val="20"/>
          <w:szCs w:val="20"/>
        </w:rPr>
        <w:t>la</w:t>
      </w:r>
      <w:r w:rsidR="00DB1635" w:rsidRPr="00B004EE">
        <w:rPr>
          <w:rFonts w:ascii="Tahoma" w:hAnsi="Tahoma" w:cs="Tahoma"/>
          <w:w w:val="98"/>
          <w:sz w:val="20"/>
          <w:szCs w:val="20"/>
        </w:rPr>
        <w:t xml:space="preserve"> </w:t>
      </w:r>
      <w:r w:rsidRPr="00B004EE">
        <w:rPr>
          <w:rFonts w:ascii="Tahoma" w:hAnsi="Tahoma" w:cs="Tahoma"/>
          <w:sz w:val="20"/>
          <w:szCs w:val="20"/>
        </w:rPr>
        <w:t>circonscription</w:t>
      </w:r>
      <w:r w:rsidR="00DB1635" w:rsidRPr="00B004EE">
        <w:rPr>
          <w:rFonts w:ascii="Tahoma" w:hAnsi="Tahoma" w:cs="Tahoma"/>
          <w:spacing w:val="-36"/>
          <w:sz w:val="20"/>
          <w:szCs w:val="20"/>
        </w:rPr>
        <w:t xml:space="preserve"> </w:t>
      </w:r>
      <w:r w:rsidRPr="00B004EE">
        <w:rPr>
          <w:rFonts w:ascii="Tahoma" w:hAnsi="Tahoma" w:cs="Tahoma"/>
          <w:sz w:val="20"/>
          <w:szCs w:val="20"/>
        </w:rPr>
        <w:t>administrative</w:t>
      </w:r>
      <w:r w:rsidR="00DB1635" w:rsidRPr="00B004EE">
        <w:rPr>
          <w:rFonts w:ascii="Tahoma" w:hAnsi="Tahoma" w:cs="Tahoma"/>
          <w:spacing w:val="-36"/>
          <w:sz w:val="20"/>
          <w:szCs w:val="20"/>
        </w:rPr>
        <w:t xml:space="preserve"> </w:t>
      </w:r>
      <w:r w:rsidRPr="00B004EE">
        <w:rPr>
          <w:rFonts w:ascii="Tahoma" w:hAnsi="Tahoma" w:cs="Tahoma"/>
          <w:sz w:val="20"/>
          <w:szCs w:val="20"/>
        </w:rPr>
        <w:t>du</w:t>
      </w:r>
      <w:r w:rsidR="00DB1635" w:rsidRPr="00B004EE">
        <w:rPr>
          <w:rFonts w:ascii="Tahoma" w:hAnsi="Tahoma" w:cs="Tahoma"/>
          <w:spacing w:val="-35"/>
          <w:sz w:val="20"/>
          <w:szCs w:val="20"/>
        </w:rPr>
        <w:t xml:space="preserve"> </w:t>
      </w:r>
      <w:r w:rsidRPr="00B004EE">
        <w:rPr>
          <w:rFonts w:ascii="Tahoma" w:hAnsi="Tahoma" w:cs="Tahoma"/>
          <w:sz w:val="20"/>
          <w:szCs w:val="20"/>
        </w:rPr>
        <w:t>tribunal</w:t>
      </w:r>
      <w:r w:rsidR="00DB1635" w:rsidRPr="00B004EE">
        <w:rPr>
          <w:rFonts w:ascii="Tahoma" w:hAnsi="Tahoma" w:cs="Tahoma"/>
          <w:spacing w:val="-35"/>
          <w:sz w:val="20"/>
          <w:szCs w:val="20"/>
        </w:rPr>
        <w:t xml:space="preserve"> </w:t>
      </w:r>
      <w:r w:rsidRPr="00B004EE">
        <w:rPr>
          <w:rFonts w:ascii="Tahoma" w:hAnsi="Tahoma" w:cs="Tahoma"/>
          <w:sz w:val="20"/>
          <w:szCs w:val="20"/>
        </w:rPr>
        <w:t>compétent</w:t>
      </w:r>
      <w:r w:rsidR="00DB1635" w:rsidRPr="00B004EE">
        <w:rPr>
          <w:rFonts w:ascii="Tahoma" w:hAnsi="Tahoma" w:cs="Tahoma"/>
          <w:spacing w:val="-35"/>
          <w:sz w:val="20"/>
          <w:szCs w:val="20"/>
        </w:rPr>
        <w:t xml:space="preserve"> </w:t>
      </w:r>
      <w:r w:rsidRPr="00B004EE">
        <w:rPr>
          <w:rFonts w:ascii="Tahoma" w:hAnsi="Tahoma" w:cs="Tahoma"/>
          <w:sz w:val="20"/>
          <w:szCs w:val="20"/>
        </w:rPr>
        <w:t>pour</w:t>
      </w:r>
      <w:r w:rsidR="00DB1635" w:rsidRPr="00B004EE">
        <w:rPr>
          <w:rFonts w:ascii="Tahoma" w:hAnsi="Tahoma" w:cs="Tahoma"/>
          <w:spacing w:val="-36"/>
          <w:sz w:val="20"/>
          <w:szCs w:val="20"/>
        </w:rPr>
        <w:t xml:space="preserve"> </w:t>
      </w:r>
      <w:r w:rsidRPr="00B004EE">
        <w:rPr>
          <w:rFonts w:ascii="Tahoma" w:hAnsi="Tahoma" w:cs="Tahoma"/>
          <w:sz w:val="20"/>
          <w:szCs w:val="20"/>
        </w:rPr>
        <w:t>y</w:t>
      </w:r>
      <w:r w:rsidR="00DB1635" w:rsidRPr="00B004EE">
        <w:rPr>
          <w:rFonts w:ascii="Tahoma" w:hAnsi="Tahoma" w:cs="Tahoma"/>
          <w:spacing w:val="-35"/>
          <w:sz w:val="20"/>
          <w:szCs w:val="20"/>
        </w:rPr>
        <w:t xml:space="preserve"> </w:t>
      </w:r>
      <w:r w:rsidRPr="00B004EE">
        <w:rPr>
          <w:rFonts w:ascii="Tahoma" w:hAnsi="Tahoma" w:cs="Tahoma"/>
          <w:sz w:val="20"/>
          <w:szCs w:val="20"/>
        </w:rPr>
        <w:t>être</w:t>
      </w:r>
      <w:r w:rsidR="00DB1635" w:rsidRPr="00B004EE">
        <w:rPr>
          <w:rFonts w:ascii="Tahoma" w:hAnsi="Tahoma" w:cs="Tahoma"/>
          <w:spacing w:val="-36"/>
          <w:sz w:val="20"/>
          <w:szCs w:val="20"/>
        </w:rPr>
        <w:t xml:space="preserve"> </w:t>
      </w:r>
      <w:r w:rsidRPr="00B004EE">
        <w:rPr>
          <w:rFonts w:ascii="Tahoma" w:hAnsi="Tahoma" w:cs="Tahoma"/>
          <w:sz w:val="20"/>
          <w:szCs w:val="20"/>
        </w:rPr>
        <w:t>remis</w:t>
      </w:r>
      <w:r w:rsidR="00DB1635" w:rsidRPr="00B004EE">
        <w:rPr>
          <w:rFonts w:ascii="Tahoma" w:hAnsi="Tahoma" w:cs="Tahoma"/>
          <w:spacing w:val="-36"/>
          <w:sz w:val="20"/>
          <w:szCs w:val="20"/>
        </w:rPr>
        <w:t xml:space="preserve"> </w:t>
      </w:r>
      <w:r w:rsidRPr="00B004EE">
        <w:rPr>
          <w:rFonts w:ascii="Tahoma" w:hAnsi="Tahoma" w:cs="Tahoma"/>
          <w:sz w:val="20"/>
          <w:szCs w:val="20"/>
        </w:rPr>
        <w:t>au</w:t>
      </w:r>
      <w:r w:rsidR="00DB1635" w:rsidRPr="00B004EE">
        <w:rPr>
          <w:rFonts w:ascii="Tahoma" w:hAnsi="Tahoma" w:cs="Tahoma"/>
          <w:spacing w:val="-36"/>
          <w:sz w:val="20"/>
          <w:szCs w:val="20"/>
        </w:rPr>
        <w:t xml:space="preserve"> </w:t>
      </w:r>
      <w:r w:rsidRPr="00B004EE">
        <w:rPr>
          <w:rFonts w:ascii="Tahoma" w:hAnsi="Tahoma" w:cs="Tahoma"/>
          <w:sz w:val="20"/>
          <w:szCs w:val="20"/>
        </w:rPr>
        <w:t>juge.</w:t>
      </w:r>
    </w:p>
    <w:p w14:paraId="02BB0D37" w14:textId="4F905E41" w:rsidR="001E7C3C" w:rsidRPr="00B004EE" w:rsidRDefault="001E7C3C" w:rsidP="00B004EE">
      <w:pPr>
        <w:pStyle w:val="Corpsdetexte"/>
        <w:rPr>
          <w:rFonts w:ascii="Tahoma" w:hAnsi="Tahoma" w:cs="Tahoma"/>
          <w:sz w:val="20"/>
          <w:szCs w:val="20"/>
        </w:rPr>
      </w:pPr>
      <w:r w:rsidRPr="00B004EE">
        <w:rPr>
          <w:rFonts w:ascii="Tahoma" w:hAnsi="Tahoma" w:cs="Tahoma"/>
          <w:sz w:val="20"/>
          <w:szCs w:val="20"/>
        </w:rPr>
        <w:t>Dans</w:t>
      </w:r>
      <w:r w:rsidR="00DB1635" w:rsidRPr="00B004EE">
        <w:rPr>
          <w:rFonts w:ascii="Tahoma" w:hAnsi="Tahoma" w:cs="Tahoma"/>
          <w:spacing w:val="-16"/>
          <w:sz w:val="20"/>
          <w:szCs w:val="20"/>
        </w:rPr>
        <w:t xml:space="preserve"> </w:t>
      </w:r>
      <w:r w:rsidRPr="00B004EE">
        <w:rPr>
          <w:rFonts w:ascii="Tahoma" w:hAnsi="Tahoma" w:cs="Tahoma"/>
          <w:sz w:val="20"/>
          <w:szCs w:val="20"/>
        </w:rPr>
        <w:t>ce</w:t>
      </w:r>
      <w:r w:rsidR="00DB1635" w:rsidRPr="00B004EE">
        <w:rPr>
          <w:rFonts w:ascii="Tahoma" w:hAnsi="Tahoma" w:cs="Tahoma"/>
          <w:spacing w:val="-15"/>
          <w:sz w:val="20"/>
          <w:szCs w:val="20"/>
        </w:rPr>
        <w:t xml:space="preserve"> </w:t>
      </w:r>
      <w:r w:rsidRPr="00B004EE">
        <w:rPr>
          <w:rFonts w:ascii="Tahoma" w:hAnsi="Tahoma" w:cs="Tahoma"/>
          <w:sz w:val="20"/>
          <w:szCs w:val="20"/>
        </w:rPr>
        <w:t>cas,</w:t>
      </w:r>
      <w:r w:rsidR="00DB1635" w:rsidRPr="00B004EE">
        <w:rPr>
          <w:rFonts w:ascii="Tahoma" w:hAnsi="Tahoma" w:cs="Tahoma"/>
          <w:spacing w:val="-15"/>
          <w:sz w:val="20"/>
          <w:szCs w:val="20"/>
        </w:rPr>
        <w:t xml:space="preserve"> </w:t>
      </w:r>
      <w:r w:rsidRPr="00B004EE">
        <w:rPr>
          <w:rFonts w:ascii="Tahoma" w:hAnsi="Tahoma" w:cs="Tahoma"/>
          <w:sz w:val="20"/>
          <w:szCs w:val="20"/>
        </w:rPr>
        <w:t>l'affaire</w:t>
      </w:r>
      <w:r w:rsidR="00DB1635" w:rsidRPr="00B004EE">
        <w:rPr>
          <w:rFonts w:ascii="Tahoma" w:hAnsi="Tahoma" w:cs="Tahoma"/>
          <w:spacing w:val="-15"/>
          <w:sz w:val="20"/>
          <w:szCs w:val="20"/>
        </w:rPr>
        <w:t xml:space="preserve"> </w:t>
      </w:r>
      <w:r w:rsidRPr="00B004EE">
        <w:rPr>
          <w:rFonts w:ascii="Tahoma" w:hAnsi="Tahoma" w:cs="Tahoma"/>
          <w:sz w:val="20"/>
          <w:szCs w:val="20"/>
        </w:rPr>
        <w:t>est</w:t>
      </w:r>
      <w:r w:rsidR="00DB1635" w:rsidRPr="00B004EE">
        <w:rPr>
          <w:rFonts w:ascii="Tahoma" w:hAnsi="Tahoma" w:cs="Tahoma"/>
          <w:spacing w:val="-15"/>
          <w:sz w:val="20"/>
          <w:szCs w:val="20"/>
        </w:rPr>
        <w:t xml:space="preserve"> </w:t>
      </w:r>
      <w:r w:rsidRPr="00B004EE">
        <w:rPr>
          <w:rFonts w:ascii="Tahoma" w:hAnsi="Tahoma" w:cs="Tahoma"/>
          <w:sz w:val="20"/>
          <w:szCs w:val="20"/>
        </w:rPr>
        <w:t>jugée</w:t>
      </w:r>
      <w:r w:rsidR="00DB1635" w:rsidRPr="00B004EE">
        <w:rPr>
          <w:rFonts w:ascii="Tahoma" w:hAnsi="Tahoma" w:cs="Tahoma"/>
          <w:spacing w:val="-15"/>
          <w:sz w:val="20"/>
          <w:szCs w:val="20"/>
        </w:rPr>
        <w:t xml:space="preserve"> </w:t>
      </w:r>
      <w:r w:rsidRPr="00B004EE">
        <w:rPr>
          <w:rFonts w:ascii="Tahoma" w:hAnsi="Tahoma" w:cs="Tahoma"/>
          <w:sz w:val="20"/>
          <w:szCs w:val="20"/>
        </w:rPr>
        <w:t>dans</w:t>
      </w:r>
      <w:r w:rsidR="00DB1635" w:rsidRPr="00B004EE">
        <w:rPr>
          <w:rFonts w:ascii="Tahoma" w:hAnsi="Tahoma" w:cs="Tahoma"/>
          <w:spacing w:val="-16"/>
          <w:sz w:val="20"/>
          <w:szCs w:val="20"/>
        </w:rPr>
        <w:t xml:space="preserve"> </w:t>
      </w:r>
      <w:r w:rsidRPr="00B004EE">
        <w:rPr>
          <w:rFonts w:ascii="Tahoma" w:hAnsi="Tahoma" w:cs="Tahoma"/>
          <w:sz w:val="20"/>
          <w:szCs w:val="20"/>
        </w:rPr>
        <w:t>un</w:t>
      </w:r>
      <w:r w:rsidR="00DB1635" w:rsidRPr="00B004EE">
        <w:rPr>
          <w:rFonts w:ascii="Tahoma" w:hAnsi="Tahoma" w:cs="Tahoma"/>
          <w:spacing w:val="-15"/>
          <w:sz w:val="20"/>
          <w:szCs w:val="20"/>
        </w:rPr>
        <w:t xml:space="preserve"> </w:t>
      </w:r>
      <w:r w:rsidRPr="00B004EE">
        <w:rPr>
          <w:rFonts w:ascii="Tahoma" w:hAnsi="Tahoma" w:cs="Tahoma"/>
          <w:sz w:val="20"/>
          <w:szCs w:val="20"/>
        </w:rPr>
        <w:t>délai</w:t>
      </w:r>
      <w:r w:rsidR="00DB1635" w:rsidRPr="00B004EE">
        <w:rPr>
          <w:rFonts w:ascii="Tahoma" w:hAnsi="Tahoma" w:cs="Tahoma"/>
          <w:spacing w:val="-15"/>
          <w:sz w:val="20"/>
          <w:szCs w:val="20"/>
        </w:rPr>
        <w:t xml:space="preserve"> </w:t>
      </w:r>
      <w:r w:rsidRPr="00B004EE">
        <w:rPr>
          <w:rFonts w:ascii="Tahoma" w:hAnsi="Tahoma" w:cs="Tahoma"/>
          <w:sz w:val="20"/>
          <w:szCs w:val="20"/>
        </w:rPr>
        <w:t>de</w:t>
      </w:r>
      <w:r w:rsidR="00DB1635" w:rsidRPr="00B004EE">
        <w:rPr>
          <w:rFonts w:ascii="Tahoma" w:hAnsi="Tahoma" w:cs="Tahoma"/>
          <w:spacing w:val="-15"/>
          <w:sz w:val="20"/>
          <w:szCs w:val="20"/>
        </w:rPr>
        <w:t xml:space="preserve"> </w:t>
      </w:r>
      <w:r w:rsidRPr="00B004EE">
        <w:rPr>
          <w:rFonts w:ascii="Tahoma" w:hAnsi="Tahoma" w:cs="Tahoma"/>
          <w:sz w:val="20"/>
          <w:szCs w:val="20"/>
        </w:rPr>
        <w:t>deux</w:t>
      </w:r>
      <w:r w:rsidR="00DB1635" w:rsidRPr="00B004EE">
        <w:rPr>
          <w:rFonts w:ascii="Tahoma" w:hAnsi="Tahoma" w:cs="Tahoma"/>
          <w:spacing w:val="-15"/>
          <w:sz w:val="20"/>
          <w:szCs w:val="20"/>
        </w:rPr>
        <w:t xml:space="preserve"> </w:t>
      </w:r>
      <w:r w:rsidRPr="00B004EE">
        <w:rPr>
          <w:rFonts w:ascii="Tahoma" w:hAnsi="Tahoma" w:cs="Tahoma"/>
          <w:sz w:val="20"/>
          <w:szCs w:val="20"/>
        </w:rPr>
        <w:t>mois.</w:t>
      </w:r>
    </w:p>
    <w:p w14:paraId="5CF6B82B" w14:textId="77777777" w:rsidR="001E7C3C" w:rsidRPr="00B004EE" w:rsidRDefault="001E7C3C" w:rsidP="00B004EE">
      <w:pPr>
        <w:rPr>
          <w:rFonts w:ascii="Tahoma" w:eastAsia="American Typewriter" w:hAnsi="Tahoma" w:cs="Tahoma"/>
          <w:sz w:val="20"/>
          <w:szCs w:val="20"/>
        </w:rPr>
      </w:pPr>
    </w:p>
    <w:p w14:paraId="00042484" w14:textId="4CC27227" w:rsidR="001E7C3C" w:rsidRPr="00B004EE" w:rsidRDefault="001E7C3C" w:rsidP="00B004EE">
      <w:pPr>
        <w:pStyle w:val="Corpsdetexte"/>
        <w:ind w:right="166"/>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93</w:t>
      </w:r>
      <w:r w:rsidR="00DB1635" w:rsidRPr="00B004EE">
        <w:rPr>
          <w:rFonts w:ascii="Tahoma" w:hAnsi="Tahoma" w:cs="Tahoma"/>
          <w:bCs/>
          <w:sz w:val="20"/>
          <w:szCs w:val="20"/>
        </w:rPr>
        <w:t xml:space="preserve"> </w:t>
      </w:r>
      <w:r w:rsidRPr="00B004EE">
        <w:rPr>
          <w:rFonts w:ascii="Tahoma" w:hAnsi="Tahoma" w:cs="Tahoma"/>
          <w:bCs/>
          <w:sz w:val="20"/>
          <w:szCs w:val="20"/>
        </w:rPr>
        <w:t>:</w:t>
      </w:r>
      <w:r w:rsidR="00DB1635" w:rsidRPr="00B004EE">
        <w:rPr>
          <w:rFonts w:ascii="Tahoma" w:hAnsi="Tahoma" w:cs="Tahoma"/>
          <w:b/>
          <w:spacing w:val="-8"/>
          <w:sz w:val="20"/>
          <w:szCs w:val="20"/>
        </w:rPr>
        <w:t xml:space="preserve"> </w:t>
      </w:r>
      <w:r w:rsidRPr="00B004EE">
        <w:rPr>
          <w:rFonts w:ascii="Tahoma" w:hAnsi="Tahoma" w:cs="Tahoma"/>
          <w:sz w:val="20"/>
          <w:szCs w:val="20"/>
        </w:rPr>
        <w:t>La</w:t>
      </w:r>
      <w:r w:rsidR="00DB1635" w:rsidRPr="00B004EE">
        <w:rPr>
          <w:rFonts w:ascii="Tahoma" w:hAnsi="Tahoma" w:cs="Tahoma"/>
          <w:spacing w:val="-10"/>
          <w:sz w:val="20"/>
          <w:szCs w:val="20"/>
        </w:rPr>
        <w:t xml:space="preserve"> </w:t>
      </w:r>
      <w:r w:rsidRPr="00B004EE">
        <w:rPr>
          <w:rFonts w:ascii="Tahoma" w:hAnsi="Tahoma" w:cs="Tahoma"/>
          <w:sz w:val="20"/>
          <w:szCs w:val="20"/>
        </w:rPr>
        <w:t>transaction</w:t>
      </w:r>
      <w:r w:rsidR="00DB1635" w:rsidRPr="00B004EE">
        <w:rPr>
          <w:rFonts w:ascii="Tahoma" w:hAnsi="Tahoma" w:cs="Tahoma"/>
          <w:spacing w:val="-13"/>
          <w:sz w:val="20"/>
          <w:szCs w:val="20"/>
        </w:rPr>
        <w:t xml:space="preserve"> </w:t>
      </w:r>
      <w:r w:rsidRPr="00B004EE">
        <w:rPr>
          <w:rFonts w:ascii="Tahoma" w:hAnsi="Tahoma" w:cs="Tahoma"/>
          <w:sz w:val="20"/>
          <w:szCs w:val="20"/>
        </w:rPr>
        <w:t>et</w:t>
      </w:r>
      <w:r w:rsidR="00DB1635" w:rsidRPr="00B004EE">
        <w:rPr>
          <w:rFonts w:ascii="Tahoma" w:hAnsi="Tahoma" w:cs="Tahoma"/>
          <w:spacing w:val="-12"/>
          <w:sz w:val="20"/>
          <w:szCs w:val="20"/>
        </w:rPr>
        <w:t xml:space="preserve"> </w:t>
      </w:r>
      <w:r w:rsidRPr="00B004EE">
        <w:rPr>
          <w:rFonts w:ascii="Tahoma" w:hAnsi="Tahoma" w:cs="Tahoma"/>
          <w:sz w:val="20"/>
          <w:szCs w:val="20"/>
        </w:rPr>
        <w:t>l'action</w:t>
      </w:r>
      <w:r w:rsidR="00DB1635" w:rsidRPr="00B004EE">
        <w:rPr>
          <w:rFonts w:ascii="Tahoma" w:hAnsi="Tahoma" w:cs="Tahoma"/>
          <w:spacing w:val="-13"/>
          <w:sz w:val="20"/>
          <w:szCs w:val="20"/>
        </w:rPr>
        <w:t xml:space="preserve"> </w:t>
      </w:r>
      <w:r w:rsidRPr="00B004EE">
        <w:rPr>
          <w:rFonts w:ascii="Tahoma" w:hAnsi="Tahoma" w:cs="Tahoma"/>
          <w:sz w:val="20"/>
          <w:szCs w:val="20"/>
        </w:rPr>
        <w:t>publique</w:t>
      </w:r>
      <w:r w:rsidR="00DB1635" w:rsidRPr="00B004EE">
        <w:rPr>
          <w:rFonts w:ascii="Tahoma" w:hAnsi="Tahoma" w:cs="Tahoma"/>
          <w:spacing w:val="-13"/>
          <w:sz w:val="20"/>
          <w:szCs w:val="20"/>
        </w:rPr>
        <w:t xml:space="preserve"> </w:t>
      </w:r>
      <w:r w:rsidRPr="00B004EE">
        <w:rPr>
          <w:rFonts w:ascii="Tahoma" w:hAnsi="Tahoma" w:cs="Tahoma"/>
          <w:sz w:val="20"/>
          <w:szCs w:val="20"/>
        </w:rPr>
        <w:t>sont</w:t>
      </w:r>
      <w:r w:rsidR="00DB1635" w:rsidRPr="00B004EE">
        <w:rPr>
          <w:rFonts w:ascii="Tahoma" w:hAnsi="Tahoma" w:cs="Tahoma"/>
          <w:spacing w:val="-12"/>
          <w:sz w:val="20"/>
          <w:szCs w:val="20"/>
        </w:rPr>
        <w:t xml:space="preserve"> </w:t>
      </w:r>
      <w:r w:rsidRPr="00B004EE">
        <w:rPr>
          <w:rFonts w:ascii="Tahoma" w:hAnsi="Tahoma" w:cs="Tahoma"/>
          <w:sz w:val="20"/>
          <w:szCs w:val="20"/>
        </w:rPr>
        <w:t>exclusives</w:t>
      </w:r>
      <w:r w:rsidR="00DB1635" w:rsidRPr="00B004EE">
        <w:rPr>
          <w:rFonts w:ascii="Tahoma" w:hAnsi="Tahoma" w:cs="Tahoma"/>
          <w:spacing w:val="-13"/>
          <w:sz w:val="20"/>
          <w:szCs w:val="20"/>
        </w:rPr>
        <w:t xml:space="preserve"> </w:t>
      </w:r>
      <w:r w:rsidRPr="00B004EE">
        <w:rPr>
          <w:rFonts w:ascii="Tahoma" w:hAnsi="Tahoma" w:cs="Tahoma"/>
          <w:sz w:val="20"/>
          <w:szCs w:val="20"/>
        </w:rPr>
        <w:t>l'une</w:t>
      </w:r>
      <w:r w:rsidR="00DB1635" w:rsidRPr="00B004EE">
        <w:rPr>
          <w:rFonts w:ascii="Tahoma" w:hAnsi="Tahoma" w:cs="Tahoma"/>
          <w:spacing w:val="-13"/>
          <w:sz w:val="20"/>
          <w:szCs w:val="20"/>
        </w:rPr>
        <w:t xml:space="preserve"> </w:t>
      </w:r>
      <w:r w:rsidRPr="00B004EE">
        <w:rPr>
          <w:rFonts w:ascii="Tahoma" w:hAnsi="Tahoma" w:cs="Tahoma"/>
          <w:sz w:val="20"/>
          <w:szCs w:val="20"/>
        </w:rPr>
        <w:t>de</w:t>
      </w:r>
      <w:r w:rsidR="00DB1635" w:rsidRPr="00B004EE">
        <w:rPr>
          <w:rFonts w:ascii="Tahoma" w:hAnsi="Tahoma" w:cs="Tahoma"/>
          <w:spacing w:val="-13"/>
          <w:sz w:val="20"/>
          <w:szCs w:val="20"/>
        </w:rPr>
        <w:t xml:space="preserve"> </w:t>
      </w:r>
      <w:r w:rsidRPr="00B004EE">
        <w:rPr>
          <w:rFonts w:ascii="Tahoma" w:hAnsi="Tahoma" w:cs="Tahoma"/>
          <w:sz w:val="20"/>
          <w:szCs w:val="20"/>
        </w:rPr>
        <w:t>l'autre.</w:t>
      </w:r>
      <w:r w:rsidR="00DB1635" w:rsidRPr="00B004EE">
        <w:rPr>
          <w:rFonts w:ascii="Tahoma" w:hAnsi="Tahoma" w:cs="Tahoma"/>
          <w:spacing w:val="-12"/>
          <w:sz w:val="20"/>
          <w:szCs w:val="20"/>
        </w:rPr>
        <w:t xml:space="preserve"> </w:t>
      </w:r>
      <w:r w:rsidRPr="00B004EE">
        <w:rPr>
          <w:rFonts w:ascii="Tahoma" w:hAnsi="Tahoma" w:cs="Tahoma"/>
          <w:sz w:val="20"/>
          <w:szCs w:val="20"/>
        </w:rPr>
        <w:t>S'il</w:t>
      </w:r>
      <w:r w:rsidR="00DB1635" w:rsidRPr="00B004EE">
        <w:rPr>
          <w:rFonts w:ascii="Tahoma" w:hAnsi="Tahoma" w:cs="Tahoma"/>
          <w:w w:val="101"/>
          <w:sz w:val="20"/>
          <w:szCs w:val="20"/>
        </w:rPr>
        <w:t xml:space="preserve"> </w:t>
      </w:r>
      <w:r w:rsidRPr="00B004EE">
        <w:rPr>
          <w:rFonts w:ascii="Tahoma" w:hAnsi="Tahoma" w:cs="Tahoma"/>
          <w:sz w:val="20"/>
          <w:szCs w:val="20"/>
        </w:rPr>
        <w:t>y</w:t>
      </w:r>
      <w:r w:rsidR="00DB1635" w:rsidRPr="00B004EE">
        <w:rPr>
          <w:rFonts w:ascii="Tahoma" w:hAnsi="Tahoma" w:cs="Tahoma"/>
          <w:spacing w:val="-33"/>
          <w:sz w:val="20"/>
          <w:szCs w:val="20"/>
        </w:rPr>
        <w:t xml:space="preserve"> </w:t>
      </w:r>
      <w:r w:rsidRPr="00B004EE">
        <w:rPr>
          <w:rFonts w:ascii="Tahoma" w:hAnsi="Tahoma" w:cs="Tahoma"/>
          <w:sz w:val="20"/>
          <w:szCs w:val="20"/>
        </w:rPr>
        <w:t>a</w:t>
      </w:r>
      <w:r w:rsidR="00DB1635" w:rsidRPr="00B004EE">
        <w:rPr>
          <w:rFonts w:ascii="Tahoma" w:hAnsi="Tahoma" w:cs="Tahoma"/>
          <w:spacing w:val="-33"/>
          <w:sz w:val="20"/>
          <w:szCs w:val="20"/>
        </w:rPr>
        <w:t xml:space="preserve"> </w:t>
      </w:r>
      <w:r w:rsidRPr="00B004EE">
        <w:rPr>
          <w:rFonts w:ascii="Tahoma" w:hAnsi="Tahoma" w:cs="Tahoma"/>
          <w:sz w:val="20"/>
          <w:szCs w:val="20"/>
        </w:rPr>
        <w:t>constitution</w:t>
      </w:r>
      <w:r w:rsidR="00DB1635" w:rsidRPr="00B004EE">
        <w:rPr>
          <w:rFonts w:ascii="Tahoma" w:hAnsi="Tahoma" w:cs="Tahoma"/>
          <w:spacing w:val="-34"/>
          <w:sz w:val="20"/>
          <w:szCs w:val="20"/>
        </w:rPr>
        <w:t xml:space="preserve"> </w:t>
      </w:r>
      <w:r w:rsidRPr="00B004EE">
        <w:rPr>
          <w:rFonts w:ascii="Tahoma" w:hAnsi="Tahoma" w:cs="Tahoma"/>
          <w:sz w:val="20"/>
          <w:szCs w:val="20"/>
        </w:rPr>
        <w:t>de</w:t>
      </w:r>
      <w:r w:rsidR="00DB1635" w:rsidRPr="00B004EE">
        <w:rPr>
          <w:rFonts w:ascii="Tahoma" w:hAnsi="Tahoma" w:cs="Tahoma"/>
          <w:spacing w:val="-34"/>
          <w:sz w:val="20"/>
          <w:szCs w:val="20"/>
        </w:rPr>
        <w:t xml:space="preserve"> </w:t>
      </w:r>
      <w:r w:rsidRPr="00B004EE">
        <w:rPr>
          <w:rFonts w:ascii="Tahoma" w:hAnsi="Tahoma" w:cs="Tahoma"/>
          <w:sz w:val="20"/>
          <w:szCs w:val="20"/>
        </w:rPr>
        <w:t>partie</w:t>
      </w:r>
      <w:r w:rsidR="00DB1635" w:rsidRPr="00B004EE">
        <w:rPr>
          <w:rFonts w:ascii="Tahoma" w:hAnsi="Tahoma" w:cs="Tahoma"/>
          <w:spacing w:val="-34"/>
          <w:sz w:val="20"/>
          <w:szCs w:val="20"/>
        </w:rPr>
        <w:t xml:space="preserve"> </w:t>
      </w:r>
      <w:r w:rsidRPr="00B004EE">
        <w:rPr>
          <w:rFonts w:ascii="Tahoma" w:hAnsi="Tahoma" w:cs="Tahoma"/>
          <w:sz w:val="20"/>
          <w:szCs w:val="20"/>
        </w:rPr>
        <w:t>civile,</w:t>
      </w:r>
      <w:r w:rsidR="00DB1635" w:rsidRPr="00B004EE">
        <w:rPr>
          <w:rFonts w:ascii="Tahoma" w:hAnsi="Tahoma" w:cs="Tahoma"/>
          <w:spacing w:val="-33"/>
          <w:sz w:val="20"/>
          <w:szCs w:val="20"/>
        </w:rPr>
        <w:t xml:space="preserve"> </w:t>
      </w:r>
      <w:r w:rsidRPr="00B004EE">
        <w:rPr>
          <w:rFonts w:ascii="Tahoma" w:hAnsi="Tahoma" w:cs="Tahoma"/>
          <w:sz w:val="20"/>
          <w:szCs w:val="20"/>
        </w:rPr>
        <w:t>celle-ci</w:t>
      </w:r>
      <w:r w:rsidR="00DB1635" w:rsidRPr="00B004EE">
        <w:rPr>
          <w:rFonts w:ascii="Tahoma" w:hAnsi="Tahoma" w:cs="Tahoma"/>
          <w:spacing w:val="-33"/>
          <w:sz w:val="20"/>
          <w:szCs w:val="20"/>
        </w:rPr>
        <w:t xml:space="preserve"> </w:t>
      </w:r>
      <w:r w:rsidRPr="00B004EE">
        <w:rPr>
          <w:rFonts w:ascii="Tahoma" w:hAnsi="Tahoma" w:cs="Tahoma"/>
          <w:sz w:val="20"/>
          <w:szCs w:val="20"/>
        </w:rPr>
        <w:t>doit</w:t>
      </w:r>
      <w:r w:rsidR="00DB1635" w:rsidRPr="00B004EE">
        <w:rPr>
          <w:rFonts w:ascii="Tahoma" w:hAnsi="Tahoma" w:cs="Tahoma"/>
          <w:spacing w:val="-34"/>
          <w:sz w:val="20"/>
          <w:szCs w:val="20"/>
        </w:rPr>
        <w:t xml:space="preserve"> </w:t>
      </w:r>
      <w:r w:rsidRPr="00B004EE">
        <w:rPr>
          <w:rFonts w:ascii="Tahoma" w:hAnsi="Tahoma" w:cs="Tahoma"/>
          <w:sz w:val="20"/>
          <w:szCs w:val="20"/>
        </w:rPr>
        <w:t>être</w:t>
      </w:r>
      <w:r w:rsidR="00DB1635" w:rsidRPr="00B004EE">
        <w:rPr>
          <w:rFonts w:ascii="Tahoma" w:hAnsi="Tahoma" w:cs="Tahoma"/>
          <w:spacing w:val="-34"/>
          <w:sz w:val="20"/>
          <w:szCs w:val="20"/>
        </w:rPr>
        <w:t xml:space="preserve"> </w:t>
      </w:r>
      <w:r w:rsidRPr="00B004EE">
        <w:rPr>
          <w:rFonts w:ascii="Tahoma" w:hAnsi="Tahoma" w:cs="Tahoma"/>
          <w:sz w:val="20"/>
          <w:szCs w:val="20"/>
        </w:rPr>
        <w:t>préalablement</w:t>
      </w:r>
      <w:r w:rsidR="00DB1635" w:rsidRPr="00B004EE">
        <w:rPr>
          <w:rFonts w:ascii="Tahoma" w:hAnsi="Tahoma" w:cs="Tahoma"/>
          <w:spacing w:val="-33"/>
          <w:sz w:val="20"/>
          <w:szCs w:val="20"/>
        </w:rPr>
        <w:t xml:space="preserve"> </w:t>
      </w:r>
      <w:r w:rsidRPr="00B004EE">
        <w:rPr>
          <w:rFonts w:ascii="Tahoma" w:hAnsi="Tahoma" w:cs="Tahoma"/>
          <w:sz w:val="20"/>
          <w:szCs w:val="20"/>
        </w:rPr>
        <w:t>désintéressée.</w:t>
      </w:r>
    </w:p>
    <w:p w14:paraId="0831BC9D" w14:textId="77777777" w:rsidR="001E7C3C" w:rsidRPr="00B004EE" w:rsidRDefault="001E7C3C" w:rsidP="00B004EE">
      <w:pPr>
        <w:pStyle w:val="Corpsdetexte"/>
        <w:ind w:right="163"/>
        <w:rPr>
          <w:rFonts w:ascii="Tahoma" w:hAnsi="Tahoma" w:cs="Tahoma"/>
          <w:sz w:val="20"/>
          <w:szCs w:val="20"/>
        </w:rPr>
      </w:pPr>
    </w:p>
    <w:p w14:paraId="3598C54A" w14:textId="58CD7D92" w:rsidR="001E7C3C" w:rsidRPr="00B004EE" w:rsidRDefault="001E7C3C" w:rsidP="00B004EE">
      <w:pPr>
        <w:pStyle w:val="Corpsdetexte"/>
        <w:ind w:right="163"/>
        <w:rPr>
          <w:rFonts w:ascii="Tahoma" w:hAnsi="Tahoma" w:cs="Tahoma"/>
          <w:sz w:val="20"/>
          <w:szCs w:val="20"/>
        </w:rPr>
      </w:pP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montant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l'amende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transaction</w:t>
      </w:r>
      <w:r w:rsidR="00DB1635" w:rsidRPr="00B004EE">
        <w:rPr>
          <w:rFonts w:ascii="Tahoma" w:hAnsi="Tahoma" w:cs="Tahoma"/>
          <w:sz w:val="20"/>
          <w:szCs w:val="20"/>
        </w:rPr>
        <w:t xml:space="preserve"> </w:t>
      </w:r>
      <w:r w:rsidRPr="00B004EE">
        <w:rPr>
          <w:rFonts w:ascii="Tahoma" w:hAnsi="Tahoma" w:cs="Tahoma"/>
          <w:sz w:val="20"/>
          <w:szCs w:val="20"/>
        </w:rPr>
        <w:t>ne</w:t>
      </w:r>
      <w:r w:rsidR="00DB1635" w:rsidRPr="00B004EE">
        <w:rPr>
          <w:rFonts w:ascii="Tahoma" w:hAnsi="Tahoma" w:cs="Tahoma"/>
          <w:sz w:val="20"/>
          <w:szCs w:val="20"/>
        </w:rPr>
        <w:t xml:space="preserve"> </w:t>
      </w:r>
      <w:r w:rsidRPr="00B004EE">
        <w:rPr>
          <w:rFonts w:ascii="Tahoma" w:hAnsi="Tahoma" w:cs="Tahoma"/>
          <w:sz w:val="20"/>
          <w:szCs w:val="20"/>
        </w:rPr>
        <w:t>saurait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inférieur</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minimum</w:t>
      </w:r>
      <w:r w:rsidR="00DB1635" w:rsidRPr="00B004EE">
        <w:rPr>
          <w:rFonts w:ascii="Tahoma" w:hAnsi="Tahoma" w:cs="Tahoma"/>
          <w:spacing w:val="4"/>
          <w:sz w:val="20"/>
          <w:szCs w:val="20"/>
        </w:rPr>
        <w:t xml:space="preserve"> </w:t>
      </w:r>
      <w:r w:rsidRPr="00B004EE">
        <w:rPr>
          <w:rFonts w:ascii="Tahoma" w:hAnsi="Tahoma" w:cs="Tahoma"/>
          <w:sz w:val="20"/>
          <w:szCs w:val="20"/>
        </w:rPr>
        <w:t>de</w:t>
      </w:r>
      <w:r w:rsidR="00DB1635" w:rsidRPr="00B004EE">
        <w:rPr>
          <w:rFonts w:ascii="Tahoma" w:hAnsi="Tahoma" w:cs="Tahoma"/>
          <w:w w:val="94"/>
          <w:sz w:val="20"/>
          <w:szCs w:val="20"/>
        </w:rPr>
        <w:t xml:space="preserve"> </w:t>
      </w:r>
      <w:r w:rsidRPr="00B004EE">
        <w:rPr>
          <w:rFonts w:ascii="Tahoma" w:hAnsi="Tahoma" w:cs="Tahoma"/>
          <w:sz w:val="20"/>
          <w:szCs w:val="20"/>
        </w:rPr>
        <w:t>l'amende</w:t>
      </w:r>
      <w:r w:rsidR="00DB1635" w:rsidRPr="00B004EE">
        <w:rPr>
          <w:rFonts w:ascii="Tahoma" w:hAnsi="Tahoma" w:cs="Tahoma"/>
          <w:spacing w:val="-19"/>
          <w:sz w:val="20"/>
          <w:szCs w:val="20"/>
        </w:rPr>
        <w:t xml:space="preserve"> </w:t>
      </w:r>
      <w:r w:rsidRPr="00B004EE">
        <w:rPr>
          <w:rFonts w:ascii="Tahoma" w:hAnsi="Tahoma" w:cs="Tahoma"/>
          <w:sz w:val="20"/>
          <w:szCs w:val="20"/>
        </w:rPr>
        <w:t>prévue</w:t>
      </w:r>
      <w:r w:rsidR="00DB1635" w:rsidRPr="00B004EE">
        <w:rPr>
          <w:rFonts w:ascii="Tahoma" w:hAnsi="Tahoma" w:cs="Tahoma"/>
          <w:spacing w:val="-19"/>
          <w:sz w:val="20"/>
          <w:szCs w:val="20"/>
        </w:rPr>
        <w:t xml:space="preserve"> </w:t>
      </w:r>
      <w:r w:rsidRPr="00B004EE">
        <w:rPr>
          <w:rFonts w:ascii="Tahoma" w:hAnsi="Tahoma" w:cs="Tahoma"/>
          <w:sz w:val="20"/>
          <w:szCs w:val="20"/>
        </w:rPr>
        <w:t>pour</w:t>
      </w:r>
      <w:r w:rsidR="00DB1635" w:rsidRPr="00B004EE">
        <w:rPr>
          <w:rFonts w:ascii="Tahoma" w:hAnsi="Tahoma" w:cs="Tahoma"/>
          <w:spacing w:val="-19"/>
          <w:sz w:val="20"/>
          <w:szCs w:val="20"/>
        </w:rPr>
        <w:t xml:space="preserve"> </w:t>
      </w:r>
      <w:r w:rsidRPr="00B004EE">
        <w:rPr>
          <w:rFonts w:ascii="Tahoma" w:hAnsi="Tahoma" w:cs="Tahoma"/>
          <w:sz w:val="20"/>
          <w:szCs w:val="20"/>
        </w:rPr>
        <w:t>l'infraction</w:t>
      </w:r>
      <w:r w:rsidR="00DB1635" w:rsidRPr="00B004EE">
        <w:rPr>
          <w:rFonts w:ascii="Tahoma" w:hAnsi="Tahoma" w:cs="Tahoma"/>
          <w:spacing w:val="-19"/>
          <w:sz w:val="20"/>
          <w:szCs w:val="20"/>
        </w:rPr>
        <w:t xml:space="preserve"> </w:t>
      </w:r>
      <w:r w:rsidRPr="00B004EE">
        <w:rPr>
          <w:rFonts w:ascii="Tahoma" w:hAnsi="Tahoma" w:cs="Tahoma"/>
          <w:sz w:val="20"/>
          <w:szCs w:val="20"/>
        </w:rPr>
        <w:t>commise</w:t>
      </w:r>
      <w:r w:rsidR="00DB1635" w:rsidRPr="00B004EE">
        <w:rPr>
          <w:rFonts w:ascii="Tahoma" w:hAnsi="Tahoma" w:cs="Tahoma"/>
          <w:spacing w:val="-19"/>
          <w:sz w:val="20"/>
          <w:szCs w:val="20"/>
        </w:rPr>
        <w:t xml:space="preserve"> </w:t>
      </w:r>
      <w:r w:rsidRPr="00B004EE">
        <w:rPr>
          <w:rFonts w:ascii="Tahoma" w:hAnsi="Tahoma" w:cs="Tahoma"/>
          <w:sz w:val="20"/>
          <w:szCs w:val="20"/>
        </w:rPr>
        <w:t>et</w:t>
      </w:r>
      <w:r w:rsidR="00DB1635" w:rsidRPr="00B004EE">
        <w:rPr>
          <w:rFonts w:ascii="Tahoma" w:hAnsi="Tahoma" w:cs="Tahoma"/>
          <w:spacing w:val="-18"/>
          <w:sz w:val="20"/>
          <w:szCs w:val="20"/>
        </w:rPr>
        <w:t xml:space="preserve"> </w:t>
      </w:r>
      <w:r w:rsidRPr="00B004EE">
        <w:rPr>
          <w:rFonts w:ascii="Tahoma" w:hAnsi="Tahoma" w:cs="Tahoma"/>
          <w:sz w:val="20"/>
          <w:szCs w:val="20"/>
        </w:rPr>
        <w:t>est</w:t>
      </w:r>
      <w:r w:rsidR="00DB1635" w:rsidRPr="00B004EE">
        <w:rPr>
          <w:rFonts w:ascii="Tahoma" w:hAnsi="Tahoma" w:cs="Tahoma"/>
          <w:spacing w:val="-20"/>
          <w:sz w:val="20"/>
          <w:szCs w:val="20"/>
        </w:rPr>
        <w:t xml:space="preserve"> </w:t>
      </w:r>
      <w:r w:rsidRPr="00B004EE">
        <w:rPr>
          <w:rFonts w:ascii="Tahoma" w:hAnsi="Tahoma" w:cs="Tahoma"/>
          <w:sz w:val="20"/>
          <w:szCs w:val="20"/>
        </w:rPr>
        <w:t>payable</w:t>
      </w:r>
      <w:r w:rsidR="00DB1635" w:rsidRPr="00B004EE">
        <w:rPr>
          <w:rFonts w:ascii="Tahoma" w:hAnsi="Tahoma" w:cs="Tahoma"/>
          <w:spacing w:val="-20"/>
          <w:sz w:val="20"/>
          <w:szCs w:val="20"/>
        </w:rPr>
        <w:t xml:space="preserve"> </w:t>
      </w:r>
      <w:r w:rsidRPr="00B004EE">
        <w:rPr>
          <w:rFonts w:ascii="Tahoma" w:hAnsi="Tahoma" w:cs="Tahoma"/>
          <w:sz w:val="20"/>
          <w:szCs w:val="20"/>
        </w:rPr>
        <w:t>dans</w:t>
      </w:r>
      <w:r w:rsidR="00DB1635" w:rsidRPr="00B004EE">
        <w:rPr>
          <w:rFonts w:ascii="Tahoma" w:hAnsi="Tahoma" w:cs="Tahoma"/>
          <w:spacing w:val="-20"/>
          <w:sz w:val="20"/>
          <w:szCs w:val="20"/>
        </w:rPr>
        <w:t xml:space="preserve"> </w:t>
      </w:r>
      <w:r w:rsidRPr="00B004EE">
        <w:rPr>
          <w:rFonts w:ascii="Tahoma" w:hAnsi="Tahoma" w:cs="Tahoma"/>
          <w:sz w:val="20"/>
          <w:szCs w:val="20"/>
        </w:rPr>
        <w:t>un</w:t>
      </w:r>
      <w:r w:rsidR="00DB1635" w:rsidRPr="00B004EE">
        <w:rPr>
          <w:rFonts w:ascii="Tahoma" w:hAnsi="Tahoma" w:cs="Tahoma"/>
          <w:spacing w:val="-20"/>
          <w:sz w:val="20"/>
          <w:szCs w:val="20"/>
        </w:rPr>
        <w:t xml:space="preserve"> </w:t>
      </w:r>
      <w:r w:rsidRPr="00B004EE">
        <w:rPr>
          <w:rFonts w:ascii="Tahoma" w:hAnsi="Tahoma" w:cs="Tahoma"/>
          <w:sz w:val="20"/>
          <w:szCs w:val="20"/>
        </w:rPr>
        <w:t>délai</w:t>
      </w:r>
      <w:r w:rsidR="00DB1635" w:rsidRPr="00B004EE">
        <w:rPr>
          <w:rFonts w:ascii="Tahoma" w:hAnsi="Tahoma" w:cs="Tahoma"/>
          <w:spacing w:val="-19"/>
          <w:sz w:val="20"/>
          <w:szCs w:val="20"/>
        </w:rPr>
        <w:t xml:space="preserve"> </w:t>
      </w:r>
      <w:r w:rsidRPr="00B004EE">
        <w:rPr>
          <w:rFonts w:ascii="Tahoma" w:hAnsi="Tahoma" w:cs="Tahoma"/>
          <w:sz w:val="20"/>
          <w:szCs w:val="20"/>
        </w:rPr>
        <w:t>n'excédant</w:t>
      </w:r>
      <w:r w:rsidR="00DB1635" w:rsidRPr="00B004EE">
        <w:rPr>
          <w:rFonts w:ascii="Tahoma" w:hAnsi="Tahoma" w:cs="Tahoma"/>
          <w:w w:val="96"/>
          <w:sz w:val="20"/>
          <w:szCs w:val="20"/>
        </w:rPr>
        <w:t xml:space="preserve"> </w:t>
      </w:r>
      <w:r w:rsidRPr="00B004EE">
        <w:rPr>
          <w:rFonts w:ascii="Tahoma" w:hAnsi="Tahoma" w:cs="Tahoma"/>
          <w:sz w:val="20"/>
          <w:szCs w:val="20"/>
        </w:rPr>
        <w:t>pas</w:t>
      </w:r>
      <w:r w:rsidR="00DB1635" w:rsidRPr="00B004EE">
        <w:rPr>
          <w:rFonts w:ascii="Tahoma" w:hAnsi="Tahoma" w:cs="Tahoma"/>
          <w:spacing w:val="-20"/>
          <w:sz w:val="20"/>
          <w:szCs w:val="20"/>
        </w:rPr>
        <w:t xml:space="preserve"> </w:t>
      </w:r>
      <w:r w:rsidRPr="00B004EE">
        <w:rPr>
          <w:rFonts w:ascii="Tahoma" w:hAnsi="Tahoma" w:cs="Tahoma"/>
          <w:sz w:val="20"/>
          <w:szCs w:val="20"/>
        </w:rPr>
        <w:t>un</w:t>
      </w:r>
      <w:r w:rsidR="00DB1635" w:rsidRPr="00B004EE">
        <w:rPr>
          <w:rFonts w:ascii="Tahoma" w:hAnsi="Tahoma" w:cs="Tahoma"/>
          <w:spacing w:val="-20"/>
          <w:sz w:val="20"/>
          <w:szCs w:val="20"/>
        </w:rPr>
        <w:t xml:space="preserve"> </w:t>
      </w:r>
      <w:r w:rsidRPr="00B004EE">
        <w:rPr>
          <w:rFonts w:ascii="Tahoma" w:hAnsi="Tahoma" w:cs="Tahoma"/>
          <w:sz w:val="20"/>
          <w:szCs w:val="20"/>
        </w:rPr>
        <w:t>mois.</w:t>
      </w:r>
      <w:r w:rsidR="00DB1635" w:rsidRPr="00B004EE">
        <w:rPr>
          <w:rFonts w:ascii="Tahoma" w:hAnsi="Tahoma" w:cs="Tahoma"/>
          <w:spacing w:val="-20"/>
          <w:sz w:val="20"/>
          <w:szCs w:val="20"/>
        </w:rPr>
        <w:t xml:space="preserve"> </w:t>
      </w:r>
      <w:r w:rsidRPr="00B004EE">
        <w:rPr>
          <w:rFonts w:ascii="Tahoma" w:hAnsi="Tahoma" w:cs="Tahoma"/>
          <w:sz w:val="20"/>
          <w:szCs w:val="20"/>
        </w:rPr>
        <w:t>Le</w:t>
      </w:r>
      <w:r w:rsidR="00DB1635" w:rsidRPr="00B004EE">
        <w:rPr>
          <w:rFonts w:ascii="Tahoma" w:hAnsi="Tahoma" w:cs="Tahoma"/>
          <w:spacing w:val="-20"/>
          <w:sz w:val="20"/>
          <w:szCs w:val="20"/>
        </w:rPr>
        <w:t xml:space="preserve"> </w:t>
      </w:r>
      <w:r w:rsidRPr="00B004EE">
        <w:rPr>
          <w:rFonts w:ascii="Tahoma" w:hAnsi="Tahoma" w:cs="Tahoma"/>
          <w:sz w:val="20"/>
          <w:szCs w:val="20"/>
        </w:rPr>
        <w:t>défaut</w:t>
      </w:r>
      <w:r w:rsidR="00DB1635" w:rsidRPr="00B004EE">
        <w:rPr>
          <w:rFonts w:ascii="Tahoma" w:hAnsi="Tahoma" w:cs="Tahoma"/>
          <w:spacing w:val="-20"/>
          <w:sz w:val="20"/>
          <w:szCs w:val="20"/>
        </w:rPr>
        <w:t xml:space="preserve"> </w:t>
      </w:r>
      <w:r w:rsidRPr="00B004EE">
        <w:rPr>
          <w:rFonts w:ascii="Tahoma" w:hAnsi="Tahoma" w:cs="Tahoma"/>
          <w:sz w:val="20"/>
          <w:szCs w:val="20"/>
        </w:rPr>
        <w:t>de</w:t>
      </w:r>
      <w:r w:rsidR="00DB1635" w:rsidRPr="00B004EE">
        <w:rPr>
          <w:rFonts w:ascii="Tahoma" w:hAnsi="Tahoma" w:cs="Tahoma"/>
          <w:spacing w:val="-20"/>
          <w:sz w:val="20"/>
          <w:szCs w:val="20"/>
        </w:rPr>
        <w:t xml:space="preserve"> </w:t>
      </w:r>
      <w:r w:rsidRPr="00B004EE">
        <w:rPr>
          <w:rFonts w:ascii="Tahoma" w:hAnsi="Tahoma" w:cs="Tahoma"/>
          <w:sz w:val="20"/>
          <w:szCs w:val="20"/>
        </w:rPr>
        <w:t>paiement</w:t>
      </w:r>
      <w:r w:rsidR="00DB1635" w:rsidRPr="00B004EE">
        <w:rPr>
          <w:rFonts w:ascii="Tahoma" w:hAnsi="Tahoma" w:cs="Tahoma"/>
          <w:spacing w:val="-19"/>
          <w:sz w:val="20"/>
          <w:szCs w:val="20"/>
        </w:rPr>
        <w:t xml:space="preserve"> </w:t>
      </w:r>
      <w:r w:rsidRPr="00B004EE">
        <w:rPr>
          <w:rFonts w:ascii="Tahoma" w:hAnsi="Tahoma" w:cs="Tahoma"/>
          <w:sz w:val="20"/>
          <w:szCs w:val="20"/>
        </w:rPr>
        <w:t>entraîne</w:t>
      </w:r>
      <w:r w:rsidR="00DB1635" w:rsidRPr="00B004EE">
        <w:rPr>
          <w:rFonts w:ascii="Tahoma" w:hAnsi="Tahoma" w:cs="Tahoma"/>
          <w:spacing w:val="-20"/>
          <w:sz w:val="20"/>
          <w:szCs w:val="20"/>
        </w:rPr>
        <w:t xml:space="preserve"> </w:t>
      </w:r>
      <w:r w:rsidRPr="00B004EE">
        <w:rPr>
          <w:rFonts w:ascii="Tahoma" w:hAnsi="Tahoma" w:cs="Tahoma"/>
          <w:sz w:val="20"/>
          <w:szCs w:val="20"/>
        </w:rPr>
        <w:t>la</w:t>
      </w:r>
      <w:r w:rsidR="00DB1635" w:rsidRPr="00B004EE">
        <w:rPr>
          <w:rFonts w:ascii="Tahoma" w:hAnsi="Tahoma" w:cs="Tahoma"/>
          <w:spacing w:val="-19"/>
          <w:sz w:val="20"/>
          <w:szCs w:val="20"/>
        </w:rPr>
        <w:t xml:space="preserve"> </w:t>
      </w:r>
      <w:r w:rsidRPr="00B004EE">
        <w:rPr>
          <w:rFonts w:ascii="Tahoma" w:hAnsi="Tahoma" w:cs="Tahoma"/>
          <w:sz w:val="20"/>
          <w:szCs w:val="20"/>
        </w:rPr>
        <w:t>saisie</w:t>
      </w:r>
      <w:r w:rsidR="00DB1635" w:rsidRPr="00B004EE">
        <w:rPr>
          <w:rFonts w:ascii="Tahoma" w:hAnsi="Tahoma" w:cs="Tahoma"/>
          <w:spacing w:val="-19"/>
          <w:sz w:val="20"/>
          <w:szCs w:val="20"/>
        </w:rPr>
        <w:t xml:space="preserve"> </w:t>
      </w:r>
      <w:r w:rsidRPr="00B004EE">
        <w:rPr>
          <w:rFonts w:ascii="Tahoma" w:hAnsi="Tahoma" w:cs="Tahoma"/>
          <w:sz w:val="20"/>
          <w:szCs w:val="20"/>
        </w:rPr>
        <w:t>de</w:t>
      </w:r>
      <w:r w:rsidR="00DB1635" w:rsidRPr="00B004EE">
        <w:rPr>
          <w:rFonts w:ascii="Tahoma" w:hAnsi="Tahoma" w:cs="Tahoma"/>
          <w:spacing w:val="-20"/>
          <w:sz w:val="20"/>
          <w:szCs w:val="20"/>
        </w:rPr>
        <w:t xml:space="preserve"> </w:t>
      </w:r>
      <w:r w:rsidRPr="00B004EE">
        <w:rPr>
          <w:rFonts w:ascii="Tahoma" w:hAnsi="Tahoma" w:cs="Tahoma"/>
          <w:sz w:val="20"/>
          <w:szCs w:val="20"/>
        </w:rPr>
        <w:t>la</w:t>
      </w:r>
      <w:r w:rsidR="00DB1635" w:rsidRPr="00B004EE">
        <w:rPr>
          <w:rFonts w:ascii="Tahoma" w:hAnsi="Tahoma" w:cs="Tahoma"/>
          <w:spacing w:val="-19"/>
          <w:sz w:val="20"/>
          <w:szCs w:val="20"/>
        </w:rPr>
        <w:t xml:space="preserve"> </w:t>
      </w:r>
      <w:r w:rsidRPr="00B004EE">
        <w:rPr>
          <w:rFonts w:ascii="Tahoma" w:hAnsi="Tahoma" w:cs="Tahoma"/>
          <w:sz w:val="20"/>
          <w:szCs w:val="20"/>
        </w:rPr>
        <w:t>juridiction</w:t>
      </w:r>
      <w:r w:rsidR="00DB1635" w:rsidRPr="00B004EE">
        <w:rPr>
          <w:rFonts w:ascii="Tahoma" w:hAnsi="Tahoma" w:cs="Tahoma"/>
          <w:spacing w:val="-20"/>
          <w:sz w:val="20"/>
          <w:szCs w:val="20"/>
        </w:rPr>
        <w:t xml:space="preserve"> </w:t>
      </w:r>
      <w:r w:rsidRPr="00B004EE">
        <w:rPr>
          <w:rFonts w:ascii="Tahoma" w:hAnsi="Tahoma" w:cs="Tahoma"/>
          <w:sz w:val="20"/>
          <w:szCs w:val="20"/>
        </w:rPr>
        <w:t>compétente.</w:t>
      </w:r>
    </w:p>
    <w:p w14:paraId="40D58A0A" w14:textId="77777777" w:rsidR="001E7C3C" w:rsidRPr="00B004EE" w:rsidRDefault="001E7C3C" w:rsidP="00B004EE">
      <w:pPr>
        <w:rPr>
          <w:rFonts w:ascii="Tahoma" w:eastAsia="American Typewriter" w:hAnsi="Tahoma" w:cs="Tahoma"/>
          <w:sz w:val="20"/>
          <w:szCs w:val="20"/>
        </w:rPr>
      </w:pPr>
    </w:p>
    <w:p w14:paraId="5B1D7986" w14:textId="55E8FC96" w:rsidR="001E7C3C" w:rsidRPr="00B004EE" w:rsidRDefault="001E7C3C" w:rsidP="00B004EE">
      <w:pPr>
        <w:pStyle w:val="Corpsdetexte"/>
        <w:ind w:right="161"/>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94</w:t>
      </w:r>
      <w:r w:rsidR="00DB1635" w:rsidRPr="00B004EE">
        <w:rPr>
          <w:rFonts w:ascii="Tahoma" w:hAnsi="Tahoma" w:cs="Tahoma"/>
          <w:bCs/>
          <w:sz w:val="20"/>
          <w:szCs w:val="20"/>
        </w:rPr>
        <w:t xml:space="preserve"> </w:t>
      </w:r>
      <w:r w:rsidRPr="00B004EE">
        <w:rPr>
          <w:rFonts w:ascii="Tahoma" w:hAnsi="Tahoma" w:cs="Tahoma"/>
          <w:bCs/>
          <w:sz w:val="20"/>
          <w:szCs w:val="20"/>
        </w:rPr>
        <w:t>:</w:t>
      </w:r>
      <w:r w:rsidR="00DB1635" w:rsidRPr="00B004EE">
        <w:rPr>
          <w:rFonts w:ascii="Tahoma" w:eastAsia="American Typewriter" w:hAnsi="Tahoma" w:cs="Tahoma"/>
          <w:b/>
          <w:bCs/>
          <w:spacing w:val="-21"/>
          <w:sz w:val="20"/>
          <w:szCs w:val="20"/>
        </w:rPr>
        <w:t xml:space="preserve"> </w:t>
      </w:r>
      <w:r w:rsidRPr="00B004EE">
        <w:rPr>
          <w:rFonts w:ascii="Tahoma" w:eastAsia="American Typewriter" w:hAnsi="Tahoma" w:cs="Tahoma"/>
          <w:sz w:val="20"/>
          <w:szCs w:val="20"/>
        </w:rPr>
        <w:t>L’autorité</w:t>
      </w:r>
      <w:r w:rsidR="00DB1635" w:rsidRPr="00B004EE">
        <w:rPr>
          <w:rFonts w:ascii="Tahoma" w:eastAsia="American Typewriter" w:hAnsi="Tahoma" w:cs="Tahoma"/>
          <w:spacing w:val="-24"/>
          <w:sz w:val="20"/>
          <w:szCs w:val="20"/>
        </w:rPr>
        <w:t xml:space="preserve"> </w:t>
      </w:r>
      <w:r w:rsidRPr="00B004EE">
        <w:rPr>
          <w:rFonts w:ascii="Tahoma" w:eastAsia="American Typewriter" w:hAnsi="Tahoma" w:cs="Tahoma"/>
          <w:sz w:val="20"/>
          <w:szCs w:val="20"/>
        </w:rPr>
        <w:t>compétente</w:t>
      </w:r>
      <w:r w:rsidR="00DB1635" w:rsidRPr="00B004EE">
        <w:rPr>
          <w:rFonts w:ascii="Tahoma" w:eastAsia="American Typewriter" w:hAnsi="Tahoma" w:cs="Tahoma"/>
          <w:spacing w:val="-24"/>
          <w:sz w:val="20"/>
          <w:szCs w:val="20"/>
        </w:rPr>
        <w:t xml:space="preserve"> </w:t>
      </w:r>
      <w:r w:rsidRPr="00B004EE">
        <w:rPr>
          <w:rFonts w:ascii="Tahoma" w:eastAsia="American Typewriter" w:hAnsi="Tahoma" w:cs="Tahoma"/>
          <w:sz w:val="20"/>
          <w:szCs w:val="20"/>
        </w:rPr>
        <w:t>peut,</w:t>
      </w:r>
      <w:r w:rsidR="00DB1635" w:rsidRPr="00B004EE">
        <w:rPr>
          <w:rFonts w:ascii="Tahoma" w:eastAsia="American Typewriter" w:hAnsi="Tahoma" w:cs="Tahoma"/>
          <w:spacing w:val="-24"/>
          <w:sz w:val="20"/>
          <w:szCs w:val="20"/>
        </w:rPr>
        <w:t xml:space="preserve"> </w:t>
      </w:r>
      <w:r w:rsidRPr="00B004EE">
        <w:rPr>
          <w:rFonts w:ascii="Tahoma" w:eastAsia="American Typewriter" w:hAnsi="Tahoma" w:cs="Tahoma"/>
          <w:sz w:val="20"/>
          <w:szCs w:val="20"/>
        </w:rPr>
        <w:t>dans</w:t>
      </w:r>
      <w:r w:rsidR="00DB1635" w:rsidRPr="00B004EE">
        <w:rPr>
          <w:rFonts w:ascii="Tahoma" w:eastAsia="American Typewriter" w:hAnsi="Tahoma" w:cs="Tahoma"/>
          <w:spacing w:val="-24"/>
          <w:sz w:val="20"/>
          <w:szCs w:val="20"/>
        </w:rPr>
        <w:t xml:space="preserve"> </w:t>
      </w:r>
      <w:r w:rsidRPr="00B004EE">
        <w:rPr>
          <w:rFonts w:ascii="Tahoma" w:eastAsia="American Typewriter" w:hAnsi="Tahoma" w:cs="Tahoma"/>
          <w:sz w:val="20"/>
          <w:szCs w:val="20"/>
        </w:rPr>
        <w:t>le</w:t>
      </w:r>
      <w:r w:rsidR="00DB1635" w:rsidRPr="00B004EE">
        <w:rPr>
          <w:rFonts w:ascii="Tahoma" w:eastAsia="American Typewriter" w:hAnsi="Tahoma" w:cs="Tahoma"/>
          <w:spacing w:val="-24"/>
          <w:sz w:val="20"/>
          <w:szCs w:val="20"/>
        </w:rPr>
        <w:t xml:space="preserve"> </w:t>
      </w:r>
      <w:r w:rsidRPr="00B004EE">
        <w:rPr>
          <w:rFonts w:ascii="Tahoma" w:eastAsia="American Typewriter" w:hAnsi="Tahoma" w:cs="Tahoma"/>
          <w:sz w:val="20"/>
          <w:szCs w:val="20"/>
        </w:rPr>
        <w:t>cadre</w:t>
      </w:r>
      <w:r w:rsidR="00DB1635" w:rsidRPr="00B004EE">
        <w:rPr>
          <w:rFonts w:ascii="Tahoma" w:eastAsia="American Typewriter" w:hAnsi="Tahoma" w:cs="Tahoma"/>
          <w:spacing w:val="-24"/>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pacing w:val="-24"/>
          <w:sz w:val="20"/>
          <w:szCs w:val="20"/>
        </w:rPr>
        <w:t xml:space="preserve"> </w:t>
      </w:r>
      <w:r w:rsidRPr="00B004EE">
        <w:rPr>
          <w:rFonts w:ascii="Tahoma" w:eastAsia="American Typewriter" w:hAnsi="Tahoma" w:cs="Tahoma"/>
          <w:sz w:val="20"/>
          <w:szCs w:val="20"/>
        </w:rPr>
        <w:t>la</w:t>
      </w:r>
      <w:r w:rsidR="00DB1635" w:rsidRPr="00B004EE">
        <w:rPr>
          <w:rFonts w:ascii="Tahoma" w:eastAsia="American Typewriter" w:hAnsi="Tahoma" w:cs="Tahoma"/>
          <w:spacing w:val="-24"/>
          <w:sz w:val="20"/>
          <w:szCs w:val="20"/>
        </w:rPr>
        <w:t xml:space="preserve"> </w:t>
      </w:r>
      <w:r w:rsidRPr="00B004EE">
        <w:rPr>
          <w:rFonts w:ascii="Tahoma" w:eastAsia="American Typewriter" w:hAnsi="Tahoma" w:cs="Tahoma"/>
          <w:sz w:val="20"/>
          <w:szCs w:val="20"/>
        </w:rPr>
        <w:t>transaction,</w:t>
      </w:r>
      <w:r w:rsidR="00DB1635" w:rsidRPr="00B004EE">
        <w:rPr>
          <w:rFonts w:ascii="Tahoma" w:eastAsia="American Typewriter" w:hAnsi="Tahoma" w:cs="Tahoma"/>
          <w:spacing w:val="-24"/>
          <w:sz w:val="20"/>
          <w:szCs w:val="20"/>
        </w:rPr>
        <w:t xml:space="preserve"> </w:t>
      </w:r>
      <w:r w:rsidRPr="00B004EE">
        <w:rPr>
          <w:rFonts w:ascii="Tahoma" w:eastAsia="American Typewriter" w:hAnsi="Tahoma" w:cs="Tahoma"/>
          <w:sz w:val="20"/>
          <w:szCs w:val="20"/>
        </w:rPr>
        <w:t>prononcer</w:t>
      </w:r>
      <w:r w:rsidR="00DB1635" w:rsidRPr="00B004EE">
        <w:rPr>
          <w:rFonts w:ascii="Tahoma" w:eastAsia="American Typewriter" w:hAnsi="Tahoma" w:cs="Tahoma"/>
          <w:w w:val="92"/>
          <w:sz w:val="20"/>
          <w:szCs w:val="20"/>
        </w:rPr>
        <w:t xml:space="preserve"> </w:t>
      </w:r>
      <w:r w:rsidRPr="00B004EE">
        <w:rPr>
          <w:rFonts w:ascii="Tahoma" w:hAnsi="Tahoma" w:cs="Tahoma"/>
          <w:sz w:val="20"/>
          <w:szCs w:val="20"/>
        </w:rPr>
        <w:t>la</w:t>
      </w:r>
      <w:r w:rsidR="00DB1635" w:rsidRPr="00B004EE">
        <w:rPr>
          <w:rFonts w:ascii="Tahoma" w:hAnsi="Tahoma" w:cs="Tahoma"/>
          <w:spacing w:val="31"/>
          <w:sz w:val="20"/>
          <w:szCs w:val="20"/>
        </w:rPr>
        <w:t xml:space="preserve"> </w:t>
      </w:r>
      <w:r w:rsidRPr="00B004EE">
        <w:rPr>
          <w:rFonts w:ascii="Tahoma" w:hAnsi="Tahoma" w:cs="Tahoma"/>
          <w:sz w:val="20"/>
          <w:szCs w:val="20"/>
        </w:rPr>
        <w:t>confiscation,</w:t>
      </w:r>
      <w:r w:rsidR="00DB1635" w:rsidRPr="00B004EE">
        <w:rPr>
          <w:rFonts w:ascii="Tahoma" w:hAnsi="Tahoma" w:cs="Tahoma"/>
          <w:spacing w:val="31"/>
          <w:sz w:val="20"/>
          <w:szCs w:val="20"/>
        </w:rPr>
        <w:t xml:space="preserve"> </w:t>
      </w:r>
      <w:r w:rsidRPr="00B004EE">
        <w:rPr>
          <w:rFonts w:ascii="Tahoma" w:eastAsia="American Typewriter" w:hAnsi="Tahoma" w:cs="Tahoma"/>
          <w:sz w:val="20"/>
          <w:szCs w:val="20"/>
        </w:rPr>
        <w:t>au</w:t>
      </w:r>
      <w:r w:rsidR="00DB1635" w:rsidRPr="00B004EE">
        <w:rPr>
          <w:rFonts w:ascii="Tahoma" w:eastAsia="American Typewriter" w:hAnsi="Tahoma" w:cs="Tahoma"/>
          <w:spacing w:val="30"/>
          <w:sz w:val="20"/>
          <w:szCs w:val="20"/>
        </w:rPr>
        <w:t xml:space="preserve"> </w:t>
      </w:r>
      <w:r w:rsidRPr="00B004EE">
        <w:rPr>
          <w:rFonts w:ascii="Tahoma" w:eastAsia="American Typewriter" w:hAnsi="Tahoma" w:cs="Tahoma"/>
          <w:sz w:val="20"/>
          <w:szCs w:val="20"/>
        </w:rPr>
        <w:t>profit</w:t>
      </w:r>
      <w:r w:rsidR="00DB1635" w:rsidRPr="00B004EE">
        <w:rPr>
          <w:rFonts w:ascii="Tahoma" w:eastAsia="American Typewriter" w:hAnsi="Tahoma" w:cs="Tahoma"/>
          <w:spacing w:val="31"/>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pacing w:val="30"/>
          <w:sz w:val="20"/>
          <w:szCs w:val="20"/>
        </w:rPr>
        <w:t xml:space="preserve"> </w:t>
      </w:r>
      <w:r w:rsidRPr="00B004EE">
        <w:rPr>
          <w:rFonts w:ascii="Tahoma" w:eastAsia="American Typewriter" w:hAnsi="Tahoma" w:cs="Tahoma"/>
          <w:sz w:val="20"/>
          <w:szCs w:val="20"/>
        </w:rPr>
        <w:t>l’État,</w:t>
      </w:r>
      <w:r w:rsidR="00DB1635" w:rsidRPr="00B004EE">
        <w:rPr>
          <w:rFonts w:ascii="Tahoma" w:eastAsia="American Typewriter" w:hAnsi="Tahoma" w:cs="Tahoma"/>
          <w:spacing w:val="33"/>
          <w:sz w:val="20"/>
          <w:szCs w:val="20"/>
        </w:rPr>
        <w:t xml:space="preserve"> </w:t>
      </w:r>
      <w:r w:rsidRPr="00B004EE">
        <w:rPr>
          <w:rFonts w:ascii="Tahoma" w:hAnsi="Tahoma" w:cs="Tahoma"/>
          <w:sz w:val="20"/>
          <w:szCs w:val="20"/>
        </w:rPr>
        <w:t>des</w:t>
      </w:r>
      <w:r w:rsidR="00DB1635" w:rsidRPr="00B004EE">
        <w:rPr>
          <w:rFonts w:ascii="Tahoma" w:hAnsi="Tahoma" w:cs="Tahoma"/>
          <w:spacing w:val="30"/>
          <w:sz w:val="20"/>
          <w:szCs w:val="20"/>
        </w:rPr>
        <w:t xml:space="preserve"> </w:t>
      </w:r>
      <w:r w:rsidRPr="00B004EE">
        <w:rPr>
          <w:rFonts w:ascii="Tahoma" w:hAnsi="Tahoma" w:cs="Tahoma"/>
          <w:sz w:val="20"/>
          <w:szCs w:val="20"/>
        </w:rPr>
        <w:t>captures</w:t>
      </w:r>
      <w:r w:rsidR="00DB1635" w:rsidRPr="00B004EE">
        <w:rPr>
          <w:rFonts w:ascii="Tahoma" w:hAnsi="Tahoma" w:cs="Tahoma"/>
          <w:spacing w:val="30"/>
          <w:sz w:val="20"/>
          <w:szCs w:val="20"/>
        </w:rPr>
        <w:t xml:space="preserve"> </w:t>
      </w:r>
      <w:r w:rsidRPr="00B004EE">
        <w:rPr>
          <w:rFonts w:ascii="Tahoma" w:hAnsi="Tahoma" w:cs="Tahoma"/>
          <w:sz w:val="20"/>
          <w:szCs w:val="20"/>
        </w:rPr>
        <w:t>ou</w:t>
      </w:r>
      <w:r w:rsidR="00DB1635" w:rsidRPr="00B004EE">
        <w:rPr>
          <w:rFonts w:ascii="Tahoma" w:hAnsi="Tahoma" w:cs="Tahoma"/>
          <w:spacing w:val="30"/>
          <w:sz w:val="20"/>
          <w:szCs w:val="20"/>
        </w:rPr>
        <w:t xml:space="preserve"> </w:t>
      </w:r>
      <w:r w:rsidRPr="00B004EE">
        <w:rPr>
          <w:rFonts w:ascii="Tahoma" w:hAnsi="Tahoma" w:cs="Tahoma"/>
          <w:sz w:val="20"/>
          <w:szCs w:val="20"/>
        </w:rPr>
        <w:t>produits</w:t>
      </w:r>
      <w:r w:rsidR="00DB1635" w:rsidRPr="00B004EE">
        <w:rPr>
          <w:rFonts w:ascii="Tahoma" w:hAnsi="Tahoma" w:cs="Tahoma"/>
          <w:spacing w:val="28"/>
          <w:sz w:val="20"/>
          <w:szCs w:val="20"/>
        </w:rPr>
        <w:t xml:space="preserve"> </w:t>
      </w:r>
      <w:r w:rsidRPr="00B004EE">
        <w:rPr>
          <w:rFonts w:ascii="Tahoma" w:hAnsi="Tahoma" w:cs="Tahoma"/>
          <w:sz w:val="20"/>
          <w:szCs w:val="20"/>
        </w:rPr>
        <w:t>de</w:t>
      </w:r>
      <w:r w:rsidR="00DB1635" w:rsidRPr="00B004EE">
        <w:rPr>
          <w:rFonts w:ascii="Tahoma" w:hAnsi="Tahoma" w:cs="Tahoma"/>
          <w:spacing w:val="29"/>
          <w:sz w:val="20"/>
          <w:szCs w:val="20"/>
        </w:rPr>
        <w:t xml:space="preserve"> </w:t>
      </w:r>
      <w:r w:rsidRPr="00B004EE">
        <w:rPr>
          <w:rFonts w:ascii="Tahoma" w:hAnsi="Tahoma" w:cs="Tahoma"/>
          <w:sz w:val="20"/>
          <w:szCs w:val="20"/>
        </w:rPr>
        <w:t>leur</w:t>
      </w:r>
      <w:r w:rsidR="00DB1635" w:rsidRPr="00B004EE">
        <w:rPr>
          <w:rFonts w:ascii="Tahoma" w:hAnsi="Tahoma" w:cs="Tahoma"/>
          <w:spacing w:val="28"/>
          <w:sz w:val="20"/>
          <w:szCs w:val="20"/>
        </w:rPr>
        <w:t xml:space="preserve"> </w:t>
      </w:r>
      <w:r w:rsidRPr="00B004EE">
        <w:rPr>
          <w:rFonts w:ascii="Tahoma" w:hAnsi="Tahoma" w:cs="Tahoma"/>
          <w:sz w:val="20"/>
          <w:szCs w:val="20"/>
        </w:rPr>
        <w:t>vente,</w:t>
      </w:r>
      <w:r w:rsidR="00DB1635" w:rsidRPr="00B004EE">
        <w:rPr>
          <w:rFonts w:ascii="Tahoma" w:hAnsi="Tahoma" w:cs="Tahoma"/>
          <w:spacing w:val="29"/>
          <w:sz w:val="20"/>
          <w:szCs w:val="20"/>
        </w:rPr>
        <w:t xml:space="preserve"> </w:t>
      </w:r>
      <w:r w:rsidRPr="00B004EE">
        <w:rPr>
          <w:rFonts w:ascii="Tahoma" w:hAnsi="Tahoma" w:cs="Tahoma"/>
          <w:sz w:val="20"/>
          <w:szCs w:val="20"/>
        </w:rPr>
        <w:t>des</w:t>
      </w:r>
      <w:r w:rsidR="00DB1635" w:rsidRPr="00B004EE">
        <w:rPr>
          <w:rFonts w:ascii="Tahoma" w:hAnsi="Tahoma" w:cs="Tahoma"/>
          <w:w w:val="94"/>
          <w:sz w:val="20"/>
          <w:szCs w:val="20"/>
        </w:rPr>
        <w:t xml:space="preserve"> </w:t>
      </w:r>
      <w:r w:rsidRPr="00B004EE">
        <w:rPr>
          <w:rFonts w:ascii="Tahoma" w:hAnsi="Tahoma" w:cs="Tahoma"/>
          <w:sz w:val="20"/>
          <w:szCs w:val="20"/>
        </w:rPr>
        <w:t>engins</w:t>
      </w:r>
      <w:r w:rsidR="00DB1635" w:rsidRPr="00B004EE">
        <w:rPr>
          <w:rFonts w:ascii="Tahoma" w:hAnsi="Tahoma" w:cs="Tahoma"/>
          <w:spacing w:val="-33"/>
          <w:sz w:val="20"/>
          <w:szCs w:val="20"/>
        </w:rPr>
        <w:t xml:space="preserve"> </w:t>
      </w:r>
      <w:r w:rsidRPr="00B004EE">
        <w:rPr>
          <w:rFonts w:ascii="Tahoma" w:hAnsi="Tahoma" w:cs="Tahoma"/>
          <w:sz w:val="20"/>
          <w:szCs w:val="20"/>
        </w:rPr>
        <w:t>de</w:t>
      </w:r>
      <w:r w:rsidR="00DB1635" w:rsidRPr="00B004EE">
        <w:rPr>
          <w:rFonts w:ascii="Tahoma" w:hAnsi="Tahoma" w:cs="Tahoma"/>
          <w:spacing w:val="-32"/>
          <w:sz w:val="20"/>
          <w:szCs w:val="20"/>
        </w:rPr>
        <w:t xml:space="preserve"> </w:t>
      </w:r>
      <w:r w:rsidRPr="00B004EE">
        <w:rPr>
          <w:rFonts w:ascii="Tahoma" w:hAnsi="Tahoma" w:cs="Tahoma"/>
          <w:sz w:val="20"/>
          <w:szCs w:val="20"/>
        </w:rPr>
        <w:t>pêche</w:t>
      </w:r>
      <w:r w:rsidR="00DB1635" w:rsidRPr="00B004EE">
        <w:rPr>
          <w:rFonts w:ascii="Tahoma" w:hAnsi="Tahoma" w:cs="Tahoma"/>
          <w:spacing w:val="-32"/>
          <w:sz w:val="20"/>
          <w:szCs w:val="20"/>
        </w:rPr>
        <w:t xml:space="preserve"> </w:t>
      </w:r>
      <w:r w:rsidRPr="00B004EE">
        <w:rPr>
          <w:rFonts w:ascii="Tahoma" w:hAnsi="Tahoma" w:cs="Tahoma"/>
          <w:sz w:val="20"/>
          <w:szCs w:val="20"/>
        </w:rPr>
        <w:t>et</w:t>
      </w:r>
      <w:r w:rsidR="00DB1635" w:rsidRPr="00B004EE">
        <w:rPr>
          <w:rFonts w:ascii="Tahoma" w:hAnsi="Tahoma" w:cs="Tahoma"/>
          <w:spacing w:val="-32"/>
          <w:sz w:val="20"/>
          <w:szCs w:val="20"/>
        </w:rPr>
        <w:t xml:space="preserve"> </w:t>
      </w:r>
      <w:r w:rsidRPr="00B004EE">
        <w:rPr>
          <w:rFonts w:ascii="Tahoma" w:hAnsi="Tahoma" w:cs="Tahoma"/>
          <w:sz w:val="20"/>
          <w:szCs w:val="20"/>
        </w:rPr>
        <w:t>autres</w:t>
      </w:r>
      <w:r w:rsidR="00DB1635" w:rsidRPr="00B004EE">
        <w:rPr>
          <w:rFonts w:ascii="Tahoma" w:hAnsi="Tahoma" w:cs="Tahoma"/>
          <w:spacing w:val="-32"/>
          <w:sz w:val="20"/>
          <w:szCs w:val="20"/>
        </w:rPr>
        <w:t xml:space="preserve"> </w:t>
      </w:r>
      <w:r w:rsidRPr="00B004EE">
        <w:rPr>
          <w:rFonts w:ascii="Tahoma" w:hAnsi="Tahoma" w:cs="Tahoma"/>
          <w:sz w:val="20"/>
          <w:szCs w:val="20"/>
        </w:rPr>
        <w:t>instruments</w:t>
      </w:r>
      <w:r w:rsidR="00DB1635" w:rsidRPr="00B004EE">
        <w:rPr>
          <w:rFonts w:ascii="Tahoma" w:hAnsi="Tahoma" w:cs="Tahoma"/>
          <w:spacing w:val="-33"/>
          <w:sz w:val="20"/>
          <w:szCs w:val="20"/>
        </w:rPr>
        <w:t xml:space="preserve"> </w:t>
      </w:r>
      <w:r w:rsidRPr="00B004EE">
        <w:rPr>
          <w:rFonts w:ascii="Tahoma" w:hAnsi="Tahoma" w:cs="Tahoma"/>
          <w:sz w:val="20"/>
          <w:szCs w:val="20"/>
        </w:rPr>
        <w:t>employés</w:t>
      </w:r>
      <w:r w:rsidR="00DB1635" w:rsidRPr="00B004EE">
        <w:rPr>
          <w:rFonts w:ascii="Tahoma" w:hAnsi="Tahoma" w:cs="Tahoma"/>
          <w:spacing w:val="-32"/>
          <w:sz w:val="20"/>
          <w:szCs w:val="20"/>
        </w:rPr>
        <w:t xml:space="preserve"> </w:t>
      </w:r>
      <w:r w:rsidRPr="00B004EE">
        <w:rPr>
          <w:rFonts w:ascii="Tahoma" w:hAnsi="Tahoma" w:cs="Tahoma"/>
          <w:sz w:val="20"/>
          <w:szCs w:val="20"/>
        </w:rPr>
        <w:t>dans</w:t>
      </w:r>
      <w:r w:rsidR="00DB1635" w:rsidRPr="00B004EE">
        <w:rPr>
          <w:rFonts w:ascii="Tahoma" w:hAnsi="Tahoma" w:cs="Tahoma"/>
          <w:spacing w:val="-33"/>
          <w:sz w:val="20"/>
          <w:szCs w:val="20"/>
        </w:rPr>
        <w:t xml:space="preserve"> </w:t>
      </w:r>
      <w:r w:rsidRPr="00B004EE">
        <w:rPr>
          <w:rFonts w:ascii="Tahoma" w:hAnsi="Tahoma" w:cs="Tahoma"/>
          <w:sz w:val="20"/>
          <w:szCs w:val="20"/>
        </w:rPr>
        <w:t>la</w:t>
      </w:r>
      <w:r w:rsidR="00DB1635" w:rsidRPr="00B004EE">
        <w:rPr>
          <w:rFonts w:ascii="Tahoma" w:hAnsi="Tahoma" w:cs="Tahoma"/>
          <w:spacing w:val="-32"/>
          <w:sz w:val="20"/>
          <w:szCs w:val="20"/>
        </w:rPr>
        <w:t xml:space="preserve"> </w:t>
      </w:r>
      <w:r w:rsidRPr="00B004EE">
        <w:rPr>
          <w:rFonts w:ascii="Tahoma" w:hAnsi="Tahoma" w:cs="Tahoma"/>
          <w:sz w:val="20"/>
          <w:szCs w:val="20"/>
        </w:rPr>
        <w:t>commission</w:t>
      </w:r>
      <w:r w:rsidR="00DB1635" w:rsidRPr="00B004EE">
        <w:rPr>
          <w:rFonts w:ascii="Tahoma" w:hAnsi="Tahoma" w:cs="Tahoma"/>
          <w:spacing w:val="-32"/>
          <w:sz w:val="20"/>
          <w:szCs w:val="20"/>
        </w:rPr>
        <w:t xml:space="preserve"> </w:t>
      </w:r>
      <w:r w:rsidRPr="00B004EE">
        <w:rPr>
          <w:rFonts w:ascii="Tahoma" w:hAnsi="Tahoma" w:cs="Tahoma"/>
          <w:sz w:val="20"/>
          <w:szCs w:val="20"/>
        </w:rPr>
        <w:t>de</w:t>
      </w:r>
      <w:r w:rsidR="00DB1635" w:rsidRPr="00B004EE">
        <w:rPr>
          <w:rFonts w:ascii="Tahoma" w:hAnsi="Tahoma" w:cs="Tahoma"/>
          <w:spacing w:val="-32"/>
          <w:sz w:val="20"/>
          <w:szCs w:val="20"/>
        </w:rPr>
        <w:t xml:space="preserve"> </w:t>
      </w:r>
      <w:r w:rsidRPr="00B004EE">
        <w:rPr>
          <w:rFonts w:ascii="Tahoma" w:hAnsi="Tahoma" w:cs="Tahoma"/>
          <w:sz w:val="20"/>
          <w:szCs w:val="20"/>
        </w:rPr>
        <w:t>l'infraction.</w:t>
      </w:r>
    </w:p>
    <w:p w14:paraId="14CBE5FF" w14:textId="676DD15B" w:rsidR="001E7C3C" w:rsidRPr="00B004EE" w:rsidRDefault="001E7C3C" w:rsidP="00B004EE">
      <w:pPr>
        <w:pStyle w:val="Corpsdetexte"/>
        <w:ind w:right="166"/>
        <w:rPr>
          <w:rFonts w:ascii="Tahoma" w:hAnsi="Tahoma" w:cs="Tahoma"/>
          <w:sz w:val="20"/>
          <w:szCs w:val="20"/>
        </w:rPr>
      </w:pPr>
      <w:r w:rsidRPr="00B004EE">
        <w:rPr>
          <w:rFonts w:ascii="Tahoma" w:hAnsi="Tahoma" w:cs="Tahoma"/>
          <w:sz w:val="20"/>
          <w:szCs w:val="20"/>
        </w:rPr>
        <w:t>Le</w:t>
      </w:r>
      <w:r w:rsidR="00DB1635" w:rsidRPr="00B004EE">
        <w:rPr>
          <w:rFonts w:ascii="Tahoma" w:hAnsi="Tahoma" w:cs="Tahoma"/>
          <w:spacing w:val="-17"/>
          <w:sz w:val="20"/>
          <w:szCs w:val="20"/>
        </w:rPr>
        <w:t xml:space="preserve"> </w:t>
      </w:r>
      <w:r w:rsidRPr="00B004EE">
        <w:rPr>
          <w:rFonts w:ascii="Tahoma" w:hAnsi="Tahoma" w:cs="Tahoma"/>
          <w:sz w:val="20"/>
          <w:szCs w:val="20"/>
        </w:rPr>
        <w:t>paiement</w:t>
      </w:r>
      <w:r w:rsidR="00DB1635" w:rsidRPr="00B004EE">
        <w:rPr>
          <w:rFonts w:ascii="Tahoma" w:hAnsi="Tahoma" w:cs="Tahoma"/>
          <w:spacing w:val="-17"/>
          <w:sz w:val="20"/>
          <w:szCs w:val="20"/>
        </w:rPr>
        <w:t xml:space="preserve"> </w:t>
      </w:r>
      <w:r w:rsidRPr="00B004EE">
        <w:rPr>
          <w:rFonts w:ascii="Tahoma" w:hAnsi="Tahoma" w:cs="Tahoma"/>
          <w:sz w:val="20"/>
          <w:szCs w:val="20"/>
        </w:rPr>
        <w:t>de</w:t>
      </w:r>
      <w:r w:rsidR="00DB1635" w:rsidRPr="00B004EE">
        <w:rPr>
          <w:rFonts w:ascii="Tahoma" w:hAnsi="Tahoma" w:cs="Tahoma"/>
          <w:spacing w:val="-17"/>
          <w:sz w:val="20"/>
          <w:szCs w:val="20"/>
        </w:rPr>
        <w:t xml:space="preserve"> </w:t>
      </w:r>
      <w:r w:rsidRPr="00B004EE">
        <w:rPr>
          <w:rFonts w:ascii="Tahoma" w:hAnsi="Tahoma" w:cs="Tahoma"/>
          <w:sz w:val="20"/>
          <w:szCs w:val="20"/>
        </w:rPr>
        <w:t>l'amende</w:t>
      </w:r>
      <w:r w:rsidR="00DB1635" w:rsidRPr="00B004EE">
        <w:rPr>
          <w:rFonts w:ascii="Tahoma" w:hAnsi="Tahoma" w:cs="Tahoma"/>
          <w:spacing w:val="-19"/>
          <w:sz w:val="20"/>
          <w:szCs w:val="20"/>
        </w:rPr>
        <w:t xml:space="preserve"> </w:t>
      </w:r>
      <w:r w:rsidRPr="00B004EE">
        <w:rPr>
          <w:rFonts w:ascii="Tahoma" w:hAnsi="Tahoma" w:cs="Tahoma"/>
          <w:sz w:val="20"/>
          <w:szCs w:val="20"/>
        </w:rPr>
        <w:t>de</w:t>
      </w:r>
      <w:r w:rsidR="00DB1635" w:rsidRPr="00B004EE">
        <w:rPr>
          <w:rFonts w:ascii="Tahoma" w:hAnsi="Tahoma" w:cs="Tahoma"/>
          <w:spacing w:val="-19"/>
          <w:sz w:val="20"/>
          <w:szCs w:val="20"/>
        </w:rPr>
        <w:t xml:space="preserve"> </w:t>
      </w:r>
      <w:r w:rsidRPr="00B004EE">
        <w:rPr>
          <w:rFonts w:ascii="Tahoma" w:hAnsi="Tahoma" w:cs="Tahoma"/>
          <w:sz w:val="20"/>
          <w:szCs w:val="20"/>
        </w:rPr>
        <w:t>transaction</w:t>
      </w:r>
      <w:r w:rsidR="00DB1635" w:rsidRPr="00B004EE">
        <w:rPr>
          <w:rFonts w:ascii="Tahoma" w:hAnsi="Tahoma" w:cs="Tahoma"/>
          <w:spacing w:val="-19"/>
          <w:sz w:val="20"/>
          <w:szCs w:val="20"/>
        </w:rPr>
        <w:t xml:space="preserve"> </w:t>
      </w:r>
      <w:r w:rsidRPr="00B004EE">
        <w:rPr>
          <w:rFonts w:ascii="Tahoma" w:hAnsi="Tahoma" w:cs="Tahoma"/>
          <w:sz w:val="20"/>
          <w:szCs w:val="20"/>
        </w:rPr>
        <w:t>implique</w:t>
      </w:r>
      <w:r w:rsidR="00DB1635" w:rsidRPr="00B004EE">
        <w:rPr>
          <w:rFonts w:ascii="Tahoma" w:hAnsi="Tahoma" w:cs="Tahoma"/>
          <w:spacing w:val="-19"/>
          <w:sz w:val="20"/>
          <w:szCs w:val="20"/>
        </w:rPr>
        <w:t xml:space="preserve"> </w:t>
      </w:r>
      <w:r w:rsidRPr="00B004EE">
        <w:rPr>
          <w:rFonts w:ascii="Tahoma" w:hAnsi="Tahoma" w:cs="Tahoma"/>
          <w:sz w:val="20"/>
          <w:szCs w:val="20"/>
        </w:rPr>
        <w:t>reconnaissance</w:t>
      </w:r>
      <w:r w:rsidR="00DB1635" w:rsidRPr="00B004EE">
        <w:rPr>
          <w:rFonts w:ascii="Tahoma" w:hAnsi="Tahoma" w:cs="Tahoma"/>
          <w:spacing w:val="-19"/>
          <w:sz w:val="20"/>
          <w:szCs w:val="20"/>
        </w:rPr>
        <w:t xml:space="preserve"> </w:t>
      </w:r>
      <w:r w:rsidRPr="00B004EE">
        <w:rPr>
          <w:rFonts w:ascii="Tahoma" w:hAnsi="Tahoma" w:cs="Tahoma"/>
          <w:sz w:val="20"/>
          <w:szCs w:val="20"/>
        </w:rPr>
        <w:t>de</w:t>
      </w:r>
      <w:r w:rsidR="00DB1635" w:rsidRPr="00B004EE">
        <w:rPr>
          <w:rFonts w:ascii="Tahoma" w:hAnsi="Tahoma" w:cs="Tahoma"/>
          <w:spacing w:val="-19"/>
          <w:sz w:val="20"/>
          <w:szCs w:val="20"/>
        </w:rPr>
        <w:t xml:space="preserve"> </w:t>
      </w:r>
      <w:r w:rsidRPr="00B004EE">
        <w:rPr>
          <w:rFonts w:ascii="Tahoma" w:hAnsi="Tahoma" w:cs="Tahoma"/>
          <w:sz w:val="20"/>
          <w:szCs w:val="20"/>
        </w:rPr>
        <w:t>l'infraction</w:t>
      </w:r>
      <w:r w:rsidR="00DB1635" w:rsidRPr="00B004EE">
        <w:rPr>
          <w:rFonts w:ascii="Tahoma" w:hAnsi="Tahoma" w:cs="Tahoma"/>
          <w:spacing w:val="-19"/>
          <w:sz w:val="20"/>
          <w:szCs w:val="20"/>
        </w:rPr>
        <w:t xml:space="preserve"> </w:t>
      </w:r>
      <w:r w:rsidRPr="00B004EE">
        <w:rPr>
          <w:rFonts w:ascii="Tahoma" w:hAnsi="Tahoma" w:cs="Tahoma"/>
          <w:sz w:val="20"/>
          <w:szCs w:val="20"/>
        </w:rPr>
        <w:t>et</w:t>
      </w:r>
      <w:r w:rsidR="00DB1635" w:rsidRPr="00B004EE">
        <w:rPr>
          <w:rFonts w:ascii="Tahoma" w:hAnsi="Tahoma" w:cs="Tahoma"/>
          <w:w w:val="95"/>
          <w:sz w:val="20"/>
          <w:szCs w:val="20"/>
        </w:rPr>
        <w:t xml:space="preserve"> </w:t>
      </w:r>
      <w:r w:rsidRPr="00B004EE">
        <w:rPr>
          <w:rFonts w:ascii="Tahoma" w:hAnsi="Tahoma" w:cs="Tahoma"/>
          <w:sz w:val="20"/>
          <w:szCs w:val="20"/>
        </w:rPr>
        <w:t>tient</w:t>
      </w:r>
      <w:r w:rsidR="00DB1635" w:rsidRPr="00B004EE">
        <w:rPr>
          <w:rFonts w:ascii="Tahoma" w:hAnsi="Tahoma" w:cs="Tahoma"/>
          <w:spacing w:val="-25"/>
          <w:sz w:val="20"/>
          <w:szCs w:val="20"/>
        </w:rPr>
        <w:t xml:space="preserve"> </w:t>
      </w:r>
      <w:r w:rsidRPr="00B004EE">
        <w:rPr>
          <w:rFonts w:ascii="Tahoma" w:hAnsi="Tahoma" w:cs="Tahoma"/>
          <w:sz w:val="20"/>
          <w:szCs w:val="20"/>
        </w:rPr>
        <w:t>lieu</w:t>
      </w:r>
      <w:r w:rsidR="00DB1635" w:rsidRPr="00B004EE">
        <w:rPr>
          <w:rFonts w:ascii="Tahoma" w:hAnsi="Tahoma" w:cs="Tahoma"/>
          <w:spacing w:val="-25"/>
          <w:sz w:val="20"/>
          <w:szCs w:val="20"/>
        </w:rPr>
        <w:t xml:space="preserve"> </w:t>
      </w:r>
      <w:r w:rsidRPr="00B004EE">
        <w:rPr>
          <w:rFonts w:ascii="Tahoma" w:hAnsi="Tahoma" w:cs="Tahoma"/>
          <w:sz w:val="20"/>
          <w:szCs w:val="20"/>
        </w:rPr>
        <w:t>de</w:t>
      </w:r>
      <w:r w:rsidR="00DB1635" w:rsidRPr="00B004EE">
        <w:rPr>
          <w:rFonts w:ascii="Tahoma" w:hAnsi="Tahoma" w:cs="Tahoma"/>
          <w:spacing w:val="-25"/>
          <w:sz w:val="20"/>
          <w:szCs w:val="20"/>
        </w:rPr>
        <w:t xml:space="preserve"> </w:t>
      </w:r>
      <w:r w:rsidRPr="00B004EE">
        <w:rPr>
          <w:rFonts w:ascii="Tahoma" w:hAnsi="Tahoma" w:cs="Tahoma"/>
          <w:sz w:val="20"/>
          <w:szCs w:val="20"/>
        </w:rPr>
        <w:t>premier</w:t>
      </w:r>
      <w:r w:rsidR="00DB1635" w:rsidRPr="00B004EE">
        <w:rPr>
          <w:rFonts w:ascii="Tahoma" w:hAnsi="Tahoma" w:cs="Tahoma"/>
          <w:spacing w:val="-25"/>
          <w:sz w:val="20"/>
          <w:szCs w:val="20"/>
        </w:rPr>
        <w:t xml:space="preserve"> </w:t>
      </w:r>
      <w:r w:rsidRPr="00B004EE">
        <w:rPr>
          <w:rFonts w:ascii="Tahoma" w:hAnsi="Tahoma" w:cs="Tahoma"/>
          <w:sz w:val="20"/>
          <w:szCs w:val="20"/>
        </w:rPr>
        <w:t>jugement</w:t>
      </w:r>
      <w:r w:rsidR="00DB1635" w:rsidRPr="00B004EE">
        <w:rPr>
          <w:rFonts w:ascii="Tahoma" w:hAnsi="Tahoma" w:cs="Tahoma"/>
          <w:spacing w:val="-25"/>
          <w:sz w:val="20"/>
          <w:szCs w:val="20"/>
        </w:rPr>
        <w:t xml:space="preserve"> </w:t>
      </w:r>
      <w:r w:rsidRPr="00B004EE">
        <w:rPr>
          <w:rFonts w:ascii="Tahoma" w:hAnsi="Tahoma" w:cs="Tahoma"/>
          <w:sz w:val="20"/>
          <w:szCs w:val="20"/>
        </w:rPr>
        <w:t>pour</w:t>
      </w:r>
      <w:r w:rsidR="00DB1635" w:rsidRPr="00B004EE">
        <w:rPr>
          <w:rFonts w:ascii="Tahoma" w:hAnsi="Tahoma" w:cs="Tahoma"/>
          <w:spacing w:val="-25"/>
          <w:sz w:val="20"/>
          <w:szCs w:val="20"/>
        </w:rPr>
        <w:t xml:space="preserve"> </w:t>
      </w:r>
      <w:r w:rsidRPr="00B004EE">
        <w:rPr>
          <w:rFonts w:ascii="Tahoma" w:hAnsi="Tahoma" w:cs="Tahoma"/>
          <w:sz w:val="20"/>
          <w:szCs w:val="20"/>
        </w:rPr>
        <w:t>la</w:t>
      </w:r>
      <w:r w:rsidR="00DB1635" w:rsidRPr="00B004EE">
        <w:rPr>
          <w:rFonts w:ascii="Tahoma" w:hAnsi="Tahoma" w:cs="Tahoma"/>
          <w:spacing w:val="-24"/>
          <w:sz w:val="20"/>
          <w:szCs w:val="20"/>
        </w:rPr>
        <w:t xml:space="preserve"> </w:t>
      </w:r>
      <w:r w:rsidRPr="00B004EE">
        <w:rPr>
          <w:rFonts w:ascii="Tahoma" w:hAnsi="Tahoma" w:cs="Tahoma"/>
          <w:sz w:val="20"/>
          <w:szCs w:val="20"/>
        </w:rPr>
        <w:t>détermination</w:t>
      </w:r>
      <w:r w:rsidR="00DB1635" w:rsidRPr="00B004EE">
        <w:rPr>
          <w:rFonts w:ascii="Tahoma" w:hAnsi="Tahoma" w:cs="Tahoma"/>
          <w:spacing w:val="-25"/>
          <w:sz w:val="20"/>
          <w:szCs w:val="20"/>
        </w:rPr>
        <w:t xml:space="preserve"> </w:t>
      </w:r>
      <w:r w:rsidRPr="00B004EE">
        <w:rPr>
          <w:rFonts w:ascii="Tahoma" w:hAnsi="Tahoma" w:cs="Tahoma"/>
          <w:sz w:val="20"/>
          <w:szCs w:val="20"/>
        </w:rPr>
        <w:t>de</w:t>
      </w:r>
      <w:r w:rsidR="00DB1635" w:rsidRPr="00B004EE">
        <w:rPr>
          <w:rFonts w:ascii="Tahoma" w:hAnsi="Tahoma" w:cs="Tahoma"/>
          <w:spacing w:val="-25"/>
          <w:sz w:val="20"/>
          <w:szCs w:val="20"/>
        </w:rPr>
        <w:t xml:space="preserve"> </w:t>
      </w:r>
      <w:r w:rsidRPr="00B004EE">
        <w:rPr>
          <w:rFonts w:ascii="Tahoma" w:hAnsi="Tahoma" w:cs="Tahoma"/>
          <w:sz w:val="20"/>
          <w:szCs w:val="20"/>
        </w:rPr>
        <w:t>la</w:t>
      </w:r>
      <w:r w:rsidR="00DB1635" w:rsidRPr="00B004EE">
        <w:rPr>
          <w:rFonts w:ascii="Tahoma" w:hAnsi="Tahoma" w:cs="Tahoma"/>
          <w:spacing w:val="-24"/>
          <w:sz w:val="20"/>
          <w:szCs w:val="20"/>
        </w:rPr>
        <w:t xml:space="preserve"> </w:t>
      </w:r>
      <w:r w:rsidRPr="00B004EE">
        <w:rPr>
          <w:rFonts w:ascii="Tahoma" w:hAnsi="Tahoma" w:cs="Tahoma"/>
          <w:sz w:val="20"/>
          <w:szCs w:val="20"/>
        </w:rPr>
        <w:t>récidive.</w:t>
      </w:r>
    </w:p>
    <w:p w14:paraId="6D4312B8" w14:textId="4D8A504B" w:rsidR="001E7C3C" w:rsidRPr="00B004EE" w:rsidRDefault="001E7C3C" w:rsidP="00B004EE">
      <w:pPr>
        <w:pStyle w:val="Corpsdetexte"/>
        <w:ind w:right="165"/>
        <w:rPr>
          <w:rFonts w:ascii="Tahoma" w:hAnsi="Tahoma" w:cs="Tahoma"/>
          <w:sz w:val="20"/>
          <w:szCs w:val="20"/>
        </w:rPr>
      </w:pPr>
      <w:r w:rsidRPr="00B004EE">
        <w:rPr>
          <w:rFonts w:ascii="Tahoma" w:eastAsia="American Typewriter" w:hAnsi="Tahoma" w:cs="Tahoma"/>
          <w:sz w:val="20"/>
          <w:szCs w:val="20"/>
        </w:rPr>
        <w:t>L’autorité</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compétente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décide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la</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destination</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des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biens,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objets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et</w:t>
      </w:r>
      <w:r w:rsidR="00DB1635" w:rsidRPr="00B004EE">
        <w:rPr>
          <w:rFonts w:ascii="Tahoma" w:eastAsia="American Typewriter" w:hAnsi="Tahoma" w:cs="Tahoma"/>
          <w:spacing w:val="25"/>
          <w:sz w:val="20"/>
          <w:szCs w:val="20"/>
        </w:rPr>
        <w:t xml:space="preserve"> </w:t>
      </w:r>
      <w:r w:rsidRPr="00B004EE">
        <w:rPr>
          <w:rFonts w:ascii="Tahoma" w:eastAsia="American Typewriter" w:hAnsi="Tahoma" w:cs="Tahoma"/>
          <w:sz w:val="20"/>
          <w:szCs w:val="20"/>
        </w:rPr>
        <w:t>produits</w:t>
      </w:r>
      <w:r w:rsidR="00DB1635" w:rsidRPr="00B004EE">
        <w:rPr>
          <w:rFonts w:ascii="Tahoma" w:eastAsia="American Typewriter" w:hAnsi="Tahoma" w:cs="Tahoma"/>
          <w:w w:val="95"/>
          <w:sz w:val="20"/>
          <w:szCs w:val="20"/>
        </w:rPr>
        <w:t xml:space="preserve"> </w:t>
      </w:r>
      <w:r w:rsidRPr="00B004EE">
        <w:rPr>
          <w:rFonts w:ascii="Tahoma" w:hAnsi="Tahoma" w:cs="Tahoma"/>
          <w:sz w:val="20"/>
          <w:szCs w:val="20"/>
        </w:rPr>
        <w:t>confisqués</w:t>
      </w:r>
      <w:r w:rsidR="00DB1635" w:rsidRPr="00B004EE">
        <w:rPr>
          <w:rFonts w:ascii="Tahoma" w:hAnsi="Tahoma" w:cs="Tahoma"/>
          <w:spacing w:val="-30"/>
          <w:sz w:val="20"/>
          <w:szCs w:val="20"/>
        </w:rPr>
        <w:t xml:space="preserve"> </w:t>
      </w:r>
      <w:r w:rsidRPr="00B004EE">
        <w:rPr>
          <w:rFonts w:ascii="Tahoma" w:hAnsi="Tahoma" w:cs="Tahoma"/>
          <w:sz w:val="20"/>
          <w:szCs w:val="20"/>
        </w:rPr>
        <w:t>aux</w:t>
      </w:r>
      <w:r w:rsidR="00DB1635" w:rsidRPr="00B004EE">
        <w:rPr>
          <w:rFonts w:ascii="Tahoma" w:hAnsi="Tahoma" w:cs="Tahoma"/>
          <w:spacing w:val="-29"/>
          <w:sz w:val="20"/>
          <w:szCs w:val="20"/>
        </w:rPr>
        <w:t xml:space="preserve"> </w:t>
      </w:r>
      <w:r w:rsidRPr="00B004EE">
        <w:rPr>
          <w:rFonts w:ascii="Tahoma" w:hAnsi="Tahoma" w:cs="Tahoma"/>
          <w:sz w:val="20"/>
          <w:szCs w:val="20"/>
        </w:rPr>
        <w:t>termes</w:t>
      </w:r>
      <w:r w:rsidR="00DB1635" w:rsidRPr="00B004EE">
        <w:rPr>
          <w:rFonts w:ascii="Tahoma" w:hAnsi="Tahoma" w:cs="Tahoma"/>
          <w:spacing w:val="-29"/>
          <w:sz w:val="20"/>
          <w:szCs w:val="20"/>
        </w:rPr>
        <w:t xml:space="preserve"> </w:t>
      </w:r>
      <w:r w:rsidRPr="00B004EE">
        <w:rPr>
          <w:rFonts w:ascii="Tahoma" w:hAnsi="Tahoma" w:cs="Tahoma"/>
          <w:sz w:val="20"/>
          <w:szCs w:val="20"/>
        </w:rPr>
        <w:t>de</w:t>
      </w:r>
      <w:r w:rsidR="00DB1635" w:rsidRPr="00B004EE">
        <w:rPr>
          <w:rFonts w:ascii="Tahoma" w:hAnsi="Tahoma" w:cs="Tahoma"/>
          <w:spacing w:val="-29"/>
          <w:sz w:val="20"/>
          <w:szCs w:val="20"/>
        </w:rPr>
        <w:t xml:space="preserve"> </w:t>
      </w:r>
      <w:r w:rsidRPr="00B004EE">
        <w:rPr>
          <w:rFonts w:ascii="Tahoma" w:hAnsi="Tahoma" w:cs="Tahoma"/>
          <w:sz w:val="20"/>
          <w:szCs w:val="20"/>
        </w:rPr>
        <w:t>la</w:t>
      </w:r>
      <w:r w:rsidR="00DB1635" w:rsidRPr="00B004EE">
        <w:rPr>
          <w:rFonts w:ascii="Tahoma" w:hAnsi="Tahoma" w:cs="Tahoma"/>
          <w:spacing w:val="-29"/>
          <w:sz w:val="20"/>
          <w:szCs w:val="20"/>
        </w:rPr>
        <w:t xml:space="preserve"> </w:t>
      </w:r>
      <w:r w:rsidRPr="00B004EE">
        <w:rPr>
          <w:rFonts w:ascii="Tahoma" w:hAnsi="Tahoma" w:cs="Tahoma"/>
          <w:sz w:val="20"/>
          <w:szCs w:val="20"/>
        </w:rPr>
        <w:t>présente</w:t>
      </w:r>
      <w:r w:rsidR="00DB1635" w:rsidRPr="00B004EE">
        <w:rPr>
          <w:rFonts w:ascii="Tahoma" w:hAnsi="Tahoma" w:cs="Tahoma"/>
          <w:spacing w:val="-29"/>
          <w:sz w:val="20"/>
          <w:szCs w:val="20"/>
        </w:rPr>
        <w:t xml:space="preserve"> </w:t>
      </w:r>
      <w:r w:rsidRPr="00B004EE">
        <w:rPr>
          <w:rFonts w:ascii="Tahoma" w:hAnsi="Tahoma" w:cs="Tahoma"/>
          <w:sz w:val="20"/>
          <w:szCs w:val="20"/>
        </w:rPr>
        <w:t>Loi.</w:t>
      </w:r>
    </w:p>
    <w:p w14:paraId="413207B1" w14:textId="77777777" w:rsidR="001E7C3C" w:rsidRPr="00B004EE" w:rsidRDefault="001E7C3C" w:rsidP="00B004EE">
      <w:pPr>
        <w:rPr>
          <w:rFonts w:ascii="Tahoma" w:eastAsia="American Typewriter" w:hAnsi="Tahoma" w:cs="Tahoma"/>
          <w:sz w:val="20"/>
          <w:szCs w:val="20"/>
        </w:rPr>
      </w:pPr>
    </w:p>
    <w:p w14:paraId="375DEC0A" w14:textId="5DE6854A" w:rsidR="001E7C3C" w:rsidRPr="00B004EE" w:rsidRDefault="001E7C3C" w:rsidP="00B004EE">
      <w:pPr>
        <w:pStyle w:val="Lgende"/>
        <w:jc w:val="center"/>
        <w:rPr>
          <w:rFonts w:ascii="Tahoma" w:eastAsia="American Typewriter" w:hAnsi="Tahoma" w:cs="Tahoma"/>
        </w:rPr>
      </w:pPr>
      <w:bookmarkStart w:id="135" w:name="_Toc16279100"/>
      <w:bookmarkStart w:id="136" w:name="_Toc16279469"/>
      <w:r w:rsidRPr="00B004EE">
        <w:rPr>
          <w:rFonts w:ascii="Tahoma" w:eastAsia="American Typewriter" w:hAnsi="Tahoma" w:cs="Tahoma"/>
        </w:rPr>
        <w:t>Section</w:t>
      </w:r>
      <w:r w:rsidR="00DB1635" w:rsidRPr="00B004EE">
        <w:rPr>
          <w:rFonts w:ascii="Tahoma" w:eastAsia="American Typewriter" w:hAnsi="Tahoma" w:cs="Tahoma"/>
        </w:rPr>
        <w:t xml:space="preserve"> </w:t>
      </w:r>
      <w:r w:rsidRPr="00B004EE">
        <w:rPr>
          <w:rFonts w:ascii="Tahoma" w:eastAsia="American Typewriter" w:hAnsi="Tahoma" w:cs="Tahoma"/>
        </w:rPr>
        <w:t>2</w:t>
      </w:r>
      <w:r w:rsidR="00DB1635" w:rsidRPr="00B004EE">
        <w:rPr>
          <w:rFonts w:ascii="Tahoma" w:eastAsia="American Typewriter" w:hAnsi="Tahoma" w:cs="Tahoma"/>
        </w:rPr>
        <w:t xml:space="preserve"> </w:t>
      </w:r>
      <w:r w:rsidRPr="00B004EE">
        <w:rPr>
          <w:rFonts w:ascii="Tahoma" w:eastAsia="American Typewriter" w:hAnsi="Tahoma" w:cs="Tahoma"/>
        </w:rPr>
        <w:t>:</w:t>
      </w:r>
      <w:r w:rsidR="00DB1635" w:rsidRPr="00B004EE">
        <w:rPr>
          <w:rFonts w:ascii="Tahoma" w:eastAsia="American Typewriter" w:hAnsi="Tahoma" w:cs="Tahoma"/>
        </w:rPr>
        <w:t xml:space="preserve"> </w:t>
      </w:r>
      <w:r w:rsidRPr="00B004EE">
        <w:rPr>
          <w:rFonts w:ascii="Tahoma" w:eastAsia="American Typewriter" w:hAnsi="Tahoma" w:cs="Tahoma"/>
        </w:rPr>
        <w:t>De</w:t>
      </w:r>
      <w:r w:rsidR="00DB1635" w:rsidRPr="00B004EE">
        <w:rPr>
          <w:rFonts w:ascii="Tahoma" w:eastAsia="American Typewriter" w:hAnsi="Tahoma" w:cs="Tahoma"/>
        </w:rPr>
        <w:t xml:space="preserve"> </w:t>
      </w:r>
      <w:r w:rsidRPr="00B004EE">
        <w:rPr>
          <w:rFonts w:ascii="Tahoma" w:eastAsia="American Typewriter" w:hAnsi="Tahoma" w:cs="Tahoma"/>
        </w:rPr>
        <w:t>la</w:t>
      </w:r>
      <w:r w:rsidR="00DB1635" w:rsidRPr="00B004EE">
        <w:rPr>
          <w:rFonts w:ascii="Tahoma" w:eastAsia="American Typewriter" w:hAnsi="Tahoma" w:cs="Tahoma"/>
        </w:rPr>
        <w:t xml:space="preserve"> </w:t>
      </w:r>
      <w:r w:rsidRPr="00B004EE">
        <w:rPr>
          <w:rFonts w:ascii="Tahoma" w:eastAsia="American Typewriter" w:hAnsi="Tahoma" w:cs="Tahoma"/>
        </w:rPr>
        <w:t>constitution</w:t>
      </w:r>
      <w:r w:rsidR="00DB1635" w:rsidRPr="00B004EE">
        <w:rPr>
          <w:rFonts w:ascii="Tahoma" w:eastAsia="American Typewriter" w:hAnsi="Tahoma" w:cs="Tahoma"/>
        </w:rPr>
        <w:t xml:space="preserve"> </w:t>
      </w:r>
      <w:r w:rsidRPr="00B004EE">
        <w:rPr>
          <w:rFonts w:ascii="Tahoma" w:eastAsia="American Typewriter" w:hAnsi="Tahoma" w:cs="Tahoma"/>
        </w:rPr>
        <w:t>d'une</w:t>
      </w:r>
      <w:r w:rsidR="00DB1635" w:rsidRPr="00B004EE">
        <w:rPr>
          <w:rFonts w:ascii="Tahoma" w:eastAsia="American Typewriter" w:hAnsi="Tahoma" w:cs="Tahoma"/>
        </w:rPr>
        <w:t xml:space="preserve"> </w:t>
      </w:r>
      <w:r w:rsidRPr="00B004EE">
        <w:rPr>
          <w:rFonts w:ascii="Tahoma" w:eastAsia="American Typewriter" w:hAnsi="Tahoma" w:cs="Tahoma"/>
        </w:rPr>
        <w:t>caution</w:t>
      </w:r>
      <w:bookmarkEnd w:id="135"/>
      <w:bookmarkEnd w:id="136"/>
    </w:p>
    <w:p w14:paraId="29351433" w14:textId="77777777" w:rsidR="001E7C3C" w:rsidRPr="00B004EE" w:rsidRDefault="001E7C3C" w:rsidP="00B004EE">
      <w:pPr>
        <w:rPr>
          <w:rFonts w:ascii="Tahoma" w:hAnsi="Tahoma" w:cs="Tahoma"/>
          <w:bCs/>
          <w:sz w:val="20"/>
          <w:szCs w:val="20"/>
        </w:rPr>
      </w:pPr>
    </w:p>
    <w:p w14:paraId="7454B6D3" w14:textId="0900E388" w:rsidR="001E7C3C" w:rsidRPr="00B004EE" w:rsidRDefault="001E7C3C" w:rsidP="00B004EE">
      <w:pPr>
        <w:pStyle w:val="Corpsdetexte"/>
        <w:ind w:right="159"/>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95</w:t>
      </w:r>
      <w:r w:rsidR="00DB1635" w:rsidRPr="00B004EE">
        <w:rPr>
          <w:rFonts w:ascii="Tahoma" w:eastAsia="American Typewriter" w:hAnsi="Tahoma" w:cs="Tahoma"/>
          <w:b/>
          <w:bCs/>
          <w:spacing w:val="41"/>
          <w:sz w:val="20"/>
          <w:szCs w:val="20"/>
        </w:rPr>
        <w:t xml:space="preserve"> </w:t>
      </w:r>
      <w:r w:rsidRPr="00B004EE">
        <w:rPr>
          <w:rFonts w:ascii="Tahoma" w:eastAsia="American Typewriter" w:hAnsi="Tahoma" w:cs="Tahoma"/>
          <w:b/>
          <w:bCs/>
          <w:sz w:val="20"/>
          <w:szCs w:val="20"/>
        </w:rPr>
        <w:t>:</w:t>
      </w:r>
      <w:r w:rsidR="00DB1635" w:rsidRPr="00B004EE">
        <w:rPr>
          <w:rFonts w:ascii="Tahoma" w:eastAsia="American Typewriter" w:hAnsi="Tahoma" w:cs="Tahoma"/>
          <w:b/>
          <w:bCs/>
          <w:spacing w:val="39"/>
          <w:sz w:val="20"/>
          <w:szCs w:val="20"/>
        </w:rPr>
        <w:t xml:space="preserve"> </w:t>
      </w:r>
      <w:r w:rsidRPr="00B004EE">
        <w:rPr>
          <w:rFonts w:ascii="Tahoma" w:eastAsia="American Typewriter" w:hAnsi="Tahoma" w:cs="Tahoma"/>
          <w:sz w:val="20"/>
          <w:szCs w:val="20"/>
        </w:rPr>
        <w:t>L’autorité</w:t>
      </w:r>
      <w:r w:rsidR="00DB1635" w:rsidRPr="00B004EE">
        <w:rPr>
          <w:rFonts w:ascii="Tahoma" w:eastAsia="American Typewriter" w:hAnsi="Tahoma" w:cs="Tahoma"/>
          <w:spacing w:val="36"/>
          <w:sz w:val="20"/>
          <w:szCs w:val="20"/>
        </w:rPr>
        <w:t xml:space="preserve"> </w:t>
      </w:r>
      <w:r w:rsidRPr="00B004EE">
        <w:rPr>
          <w:rFonts w:ascii="Tahoma" w:eastAsia="American Typewriter" w:hAnsi="Tahoma" w:cs="Tahoma"/>
          <w:sz w:val="20"/>
          <w:szCs w:val="20"/>
        </w:rPr>
        <w:t>compétente</w:t>
      </w:r>
      <w:r w:rsidR="00DB1635" w:rsidRPr="00B004EE">
        <w:rPr>
          <w:rFonts w:ascii="Tahoma" w:eastAsia="American Typewriter" w:hAnsi="Tahoma" w:cs="Tahoma"/>
          <w:spacing w:val="36"/>
          <w:sz w:val="20"/>
          <w:szCs w:val="20"/>
        </w:rPr>
        <w:t xml:space="preserve"> </w:t>
      </w:r>
      <w:r w:rsidRPr="00B004EE">
        <w:rPr>
          <w:rFonts w:ascii="Tahoma" w:eastAsia="American Typewriter" w:hAnsi="Tahoma" w:cs="Tahoma"/>
          <w:sz w:val="20"/>
          <w:szCs w:val="20"/>
        </w:rPr>
        <w:t>ou</w:t>
      </w:r>
      <w:r w:rsidR="00DB1635" w:rsidRPr="00B004EE">
        <w:rPr>
          <w:rFonts w:ascii="Tahoma" w:eastAsia="American Typewriter" w:hAnsi="Tahoma" w:cs="Tahoma"/>
          <w:spacing w:val="35"/>
          <w:sz w:val="20"/>
          <w:szCs w:val="20"/>
        </w:rPr>
        <w:t xml:space="preserve"> </w:t>
      </w:r>
      <w:r w:rsidRPr="00B004EE">
        <w:rPr>
          <w:rFonts w:ascii="Tahoma" w:eastAsia="American Typewriter" w:hAnsi="Tahoma" w:cs="Tahoma"/>
          <w:sz w:val="20"/>
          <w:szCs w:val="20"/>
        </w:rPr>
        <w:t>le</w:t>
      </w:r>
      <w:r w:rsidR="00DB1635" w:rsidRPr="00B004EE">
        <w:rPr>
          <w:rFonts w:ascii="Tahoma" w:eastAsia="American Typewriter" w:hAnsi="Tahoma" w:cs="Tahoma"/>
          <w:spacing w:val="35"/>
          <w:sz w:val="20"/>
          <w:szCs w:val="20"/>
        </w:rPr>
        <w:t xml:space="preserve"> </w:t>
      </w:r>
      <w:r w:rsidRPr="00B004EE">
        <w:rPr>
          <w:rFonts w:ascii="Tahoma" w:eastAsia="American Typewriter" w:hAnsi="Tahoma" w:cs="Tahoma"/>
          <w:sz w:val="20"/>
          <w:szCs w:val="20"/>
        </w:rPr>
        <w:t>tribunal</w:t>
      </w:r>
      <w:r w:rsidR="00DB1635" w:rsidRPr="00B004EE">
        <w:rPr>
          <w:rFonts w:ascii="Tahoma" w:eastAsia="American Typewriter" w:hAnsi="Tahoma" w:cs="Tahoma"/>
          <w:spacing w:val="36"/>
          <w:sz w:val="20"/>
          <w:szCs w:val="20"/>
        </w:rPr>
        <w:t xml:space="preserve"> </w:t>
      </w:r>
      <w:r w:rsidRPr="00B004EE">
        <w:rPr>
          <w:rFonts w:ascii="Tahoma" w:eastAsia="American Typewriter" w:hAnsi="Tahoma" w:cs="Tahoma"/>
          <w:sz w:val="20"/>
          <w:szCs w:val="20"/>
        </w:rPr>
        <w:t>compétent,</w:t>
      </w:r>
      <w:r w:rsidR="00DB1635" w:rsidRPr="00B004EE">
        <w:rPr>
          <w:rFonts w:ascii="Tahoma" w:eastAsia="American Typewriter" w:hAnsi="Tahoma" w:cs="Tahoma"/>
          <w:spacing w:val="36"/>
          <w:sz w:val="20"/>
          <w:szCs w:val="20"/>
        </w:rPr>
        <w:t xml:space="preserve"> </w:t>
      </w:r>
      <w:r w:rsidRPr="00B004EE">
        <w:rPr>
          <w:rFonts w:ascii="Tahoma" w:eastAsia="American Typewriter" w:hAnsi="Tahoma" w:cs="Tahoma"/>
          <w:sz w:val="20"/>
          <w:szCs w:val="20"/>
        </w:rPr>
        <w:t>selon</w:t>
      </w:r>
      <w:r w:rsidR="00DB1635" w:rsidRPr="00B004EE">
        <w:rPr>
          <w:rFonts w:ascii="Tahoma" w:eastAsia="American Typewriter" w:hAnsi="Tahoma" w:cs="Tahoma"/>
          <w:spacing w:val="36"/>
          <w:sz w:val="20"/>
          <w:szCs w:val="20"/>
        </w:rPr>
        <w:t xml:space="preserve"> </w:t>
      </w:r>
      <w:r w:rsidRPr="00B004EE">
        <w:rPr>
          <w:rFonts w:ascii="Tahoma" w:eastAsia="American Typewriter" w:hAnsi="Tahoma" w:cs="Tahoma"/>
          <w:sz w:val="20"/>
          <w:szCs w:val="20"/>
        </w:rPr>
        <w:t>le</w:t>
      </w:r>
      <w:r w:rsidR="00DB1635" w:rsidRPr="00B004EE">
        <w:rPr>
          <w:rFonts w:ascii="Tahoma" w:eastAsia="American Typewriter" w:hAnsi="Tahoma" w:cs="Tahoma"/>
          <w:spacing w:val="39"/>
          <w:sz w:val="20"/>
          <w:szCs w:val="20"/>
        </w:rPr>
        <w:t xml:space="preserve"> </w:t>
      </w:r>
      <w:r w:rsidRPr="00B004EE">
        <w:rPr>
          <w:rFonts w:ascii="Tahoma" w:hAnsi="Tahoma" w:cs="Tahoma"/>
          <w:sz w:val="20"/>
          <w:szCs w:val="20"/>
        </w:rPr>
        <w:t>cas,</w:t>
      </w:r>
      <w:r w:rsidR="00DB1635" w:rsidRPr="00B004EE">
        <w:rPr>
          <w:rFonts w:ascii="Tahoma" w:hAnsi="Tahoma" w:cs="Tahoma"/>
          <w:spacing w:val="35"/>
          <w:sz w:val="20"/>
          <w:szCs w:val="20"/>
        </w:rPr>
        <w:t xml:space="preserve"> </w:t>
      </w:r>
      <w:r w:rsidRPr="00B004EE">
        <w:rPr>
          <w:rFonts w:ascii="Tahoma" w:hAnsi="Tahoma" w:cs="Tahoma"/>
          <w:sz w:val="20"/>
          <w:szCs w:val="20"/>
        </w:rPr>
        <w:t>fait</w:t>
      </w:r>
      <w:r w:rsidR="00DB1635" w:rsidRPr="00B004EE">
        <w:rPr>
          <w:rFonts w:ascii="Tahoma" w:hAnsi="Tahoma" w:cs="Tahoma"/>
          <w:w w:val="97"/>
          <w:sz w:val="20"/>
          <w:szCs w:val="20"/>
        </w:rPr>
        <w:t xml:space="preserve"> </w:t>
      </w:r>
      <w:r w:rsidRPr="00B004EE">
        <w:rPr>
          <w:rFonts w:ascii="Tahoma" w:hAnsi="Tahoma" w:cs="Tahoma"/>
          <w:sz w:val="20"/>
          <w:szCs w:val="20"/>
        </w:rPr>
        <w:t>procéder</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libération</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navire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l'équipage</w:t>
      </w:r>
      <w:r w:rsidR="00DB1635" w:rsidRPr="00B004EE">
        <w:rPr>
          <w:rFonts w:ascii="Tahoma" w:hAnsi="Tahoma" w:cs="Tahoma"/>
          <w:sz w:val="20"/>
          <w:szCs w:val="20"/>
        </w:rPr>
        <w:t xml:space="preserve"> </w:t>
      </w:r>
      <w:r w:rsidRPr="00B004EE">
        <w:rPr>
          <w:rFonts w:ascii="Tahoma" w:hAnsi="Tahoma" w:cs="Tahoma"/>
          <w:sz w:val="20"/>
          <w:szCs w:val="20"/>
        </w:rPr>
        <w:t>sur</w:t>
      </w:r>
      <w:r w:rsidR="00DB1635" w:rsidRPr="00B004EE">
        <w:rPr>
          <w:rFonts w:ascii="Tahoma" w:hAnsi="Tahoma" w:cs="Tahoma"/>
          <w:sz w:val="20"/>
          <w:szCs w:val="20"/>
        </w:rPr>
        <w:t xml:space="preserve"> </w:t>
      </w:r>
      <w:r w:rsidRPr="00B004EE">
        <w:rPr>
          <w:rFonts w:ascii="Tahoma" w:hAnsi="Tahoma" w:cs="Tahoma"/>
          <w:sz w:val="20"/>
          <w:szCs w:val="20"/>
        </w:rPr>
        <w:t>demande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l'armateur,</w:t>
      </w:r>
      <w:r w:rsidR="00DB1635" w:rsidRPr="00B004EE">
        <w:rPr>
          <w:rFonts w:ascii="Tahoma" w:hAnsi="Tahoma" w:cs="Tahoma"/>
          <w:spacing w:val="6"/>
          <w:sz w:val="20"/>
          <w:szCs w:val="20"/>
        </w:rPr>
        <w:t xml:space="preserve"> </w:t>
      </w:r>
      <w:r w:rsidRPr="00B004EE">
        <w:rPr>
          <w:rFonts w:ascii="Tahoma" w:hAnsi="Tahoma" w:cs="Tahoma"/>
          <w:sz w:val="20"/>
          <w:szCs w:val="20"/>
        </w:rPr>
        <w:t>du</w:t>
      </w:r>
      <w:r w:rsidR="00DB1635" w:rsidRPr="00B004EE">
        <w:rPr>
          <w:rFonts w:ascii="Tahoma" w:hAnsi="Tahoma" w:cs="Tahoma"/>
          <w:w w:val="98"/>
          <w:sz w:val="20"/>
          <w:szCs w:val="20"/>
        </w:rPr>
        <w:t xml:space="preserve"> </w:t>
      </w:r>
      <w:r w:rsidRPr="00B004EE">
        <w:rPr>
          <w:rFonts w:ascii="Tahoma" w:hAnsi="Tahoma" w:cs="Tahoma"/>
          <w:sz w:val="20"/>
          <w:szCs w:val="20"/>
        </w:rPr>
        <w:t>capitaine</w:t>
      </w:r>
      <w:r w:rsidR="00DB1635" w:rsidRPr="00B004EE">
        <w:rPr>
          <w:rFonts w:ascii="Tahoma" w:hAnsi="Tahoma" w:cs="Tahoma"/>
          <w:spacing w:val="40"/>
          <w:sz w:val="20"/>
          <w:szCs w:val="20"/>
        </w:rPr>
        <w:t xml:space="preserve"> </w:t>
      </w:r>
      <w:r w:rsidRPr="00B004EE">
        <w:rPr>
          <w:rFonts w:ascii="Tahoma" w:hAnsi="Tahoma" w:cs="Tahoma"/>
          <w:sz w:val="20"/>
          <w:szCs w:val="20"/>
        </w:rPr>
        <w:t>ou</w:t>
      </w:r>
      <w:r w:rsidR="00DB1635" w:rsidRPr="00B004EE">
        <w:rPr>
          <w:rFonts w:ascii="Tahoma" w:hAnsi="Tahoma" w:cs="Tahoma"/>
          <w:spacing w:val="40"/>
          <w:sz w:val="20"/>
          <w:szCs w:val="20"/>
        </w:rPr>
        <w:t xml:space="preserve"> </w:t>
      </w:r>
      <w:r w:rsidRPr="00B004EE">
        <w:rPr>
          <w:rFonts w:ascii="Tahoma" w:hAnsi="Tahoma" w:cs="Tahoma"/>
          <w:sz w:val="20"/>
          <w:szCs w:val="20"/>
        </w:rPr>
        <w:t>maître</w:t>
      </w:r>
      <w:r w:rsidR="00DB1635" w:rsidRPr="00B004EE">
        <w:rPr>
          <w:rFonts w:ascii="Tahoma" w:hAnsi="Tahoma" w:cs="Tahoma"/>
          <w:spacing w:val="40"/>
          <w:sz w:val="20"/>
          <w:szCs w:val="20"/>
        </w:rPr>
        <w:t xml:space="preserve"> </w:t>
      </w:r>
      <w:r w:rsidRPr="00B004EE">
        <w:rPr>
          <w:rFonts w:ascii="Tahoma" w:hAnsi="Tahoma" w:cs="Tahoma"/>
          <w:sz w:val="20"/>
          <w:szCs w:val="20"/>
        </w:rPr>
        <w:t>de</w:t>
      </w:r>
      <w:r w:rsidR="00DB1635" w:rsidRPr="00B004EE">
        <w:rPr>
          <w:rFonts w:ascii="Tahoma" w:hAnsi="Tahoma" w:cs="Tahoma"/>
          <w:spacing w:val="40"/>
          <w:sz w:val="20"/>
          <w:szCs w:val="20"/>
        </w:rPr>
        <w:t xml:space="preserve"> </w:t>
      </w:r>
      <w:r w:rsidRPr="00B004EE">
        <w:rPr>
          <w:rFonts w:ascii="Tahoma" w:hAnsi="Tahoma" w:cs="Tahoma"/>
          <w:sz w:val="20"/>
          <w:szCs w:val="20"/>
        </w:rPr>
        <w:t>navire</w:t>
      </w:r>
      <w:r w:rsidR="00DB1635" w:rsidRPr="00B004EE">
        <w:rPr>
          <w:rFonts w:ascii="Tahoma" w:hAnsi="Tahoma" w:cs="Tahoma"/>
          <w:spacing w:val="40"/>
          <w:sz w:val="20"/>
          <w:szCs w:val="20"/>
        </w:rPr>
        <w:t xml:space="preserve"> </w:t>
      </w:r>
      <w:r w:rsidRPr="00B004EE">
        <w:rPr>
          <w:rFonts w:ascii="Tahoma" w:hAnsi="Tahoma" w:cs="Tahoma"/>
          <w:sz w:val="20"/>
          <w:szCs w:val="20"/>
        </w:rPr>
        <w:t>ou</w:t>
      </w:r>
      <w:r w:rsidR="00DB1635" w:rsidRPr="00B004EE">
        <w:rPr>
          <w:rFonts w:ascii="Tahoma" w:hAnsi="Tahoma" w:cs="Tahoma"/>
          <w:spacing w:val="40"/>
          <w:sz w:val="20"/>
          <w:szCs w:val="20"/>
        </w:rPr>
        <w:t xml:space="preserve"> </w:t>
      </w:r>
      <w:r w:rsidRPr="00B004EE">
        <w:rPr>
          <w:rFonts w:ascii="Tahoma" w:hAnsi="Tahoma" w:cs="Tahoma"/>
          <w:sz w:val="20"/>
          <w:szCs w:val="20"/>
        </w:rPr>
        <w:t>son</w:t>
      </w:r>
      <w:r w:rsidR="00DB1635" w:rsidRPr="00B004EE">
        <w:rPr>
          <w:rFonts w:ascii="Tahoma" w:hAnsi="Tahoma" w:cs="Tahoma"/>
          <w:spacing w:val="37"/>
          <w:sz w:val="20"/>
          <w:szCs w:val="20"/>
        </w:rPr>
        <w:t xml:space="preserve"> </w:t>
      </w:r>
      <w:r w:rsidRPr="00B004EE">
        <w:rPr>
          <w:rFonts w:ascii="Tahoma" w:hAnsi="Tahoma" w:cs="Tahoma"/>
          <w:sz w:val="20"/>
          <w:szCs w:val="20"/>
        </w:rPr>
        <w:t>représentant</w:t>
      </w:r>
      <w:r w:rsidR="00DB1635" w:rsidRPr="00B004EE">
        <w:rPr>
          <w:rFonts w:ascii="Tahoma" w:hAnsi="Tahoma" w:cs="Tahoma"/>
          <w:spacing w:val="38"/>
          <w:sz w:val="20"/>
          <w:szCs w:val="20"/>
        </w:rPr>
        <w:t xml:space="preserve"> </w:t>
      </w:r>
      <w:r w:rsidRPr="00B004EE">
        <w:rPr>
          <w:rFonts w:ascii="Tahoma" w:hAnsi="Tahoma" w:cs="Tahoma"/>
          <w:sz w:val="20"/>
          <w:szCs w:val="20"/>
        </w:rPr>
        <w:t>local,</w:t>
      </w:r>
      <w:r w:rsidR="00DB1635" w:rsidRPr="00B004EE">
        <w:rPr>
          <w:rFonts w:ascii="Tahoma" w:hAnsi="Tahoma" w:cs="Tahoma"/>
          <w:spacing w:val="39"/>
          <w:sz w:val="20"/>
          <w:szCs w:val="20"/>
        </w:rPr>
        <w:t xml:space="preserve"> </w:t>
      </w:r>
      <w:r w:rsidRPr="00B004EE">
        <w:rPr>
          <w:rFonts w:ascii="Tahoma" w:hAnsi="Tahoma" w:cs="Tahoma"/>
          <w:sz w:val="20"/>
          <w:szCs w:val="20"/>
        </w:rPr>
        <w:t>avant</w:t>
      </w:r>
      <w:r w:rsidR="00DB1635" w:rsidRPr="00B004EE">
        <w:rPr>
          <w:rFonts w:ascii="Tahoma" w:hAnsi="Tahoma" w:cs="Tahoma"/>
          <w:spacing w:val="38"/>
          <w:sz w:val="20"/>
          <w:szCs w:val="20"/>
        </w:rPr>
        <w:t xml:space="preserve"> </w:t>
      </w:r>
      <w:r w:rsidRPr="00B004EE">
        <w:rPr>
          <w:rFonts w:ascii="Tahoma" w:hAnsi="Tahoma" w:cs="Tahoma"/>
          <w:sz w:val="20"/>
          <w:szCs w:val="20"/>
        </w:rPr>
        <w:t>jugement,</w:t>
      </w:r>
      <w:r w:rsidR="00DB1635" w:rsidRPr="00B004EE">
        <w:rPr>
          <w:rFonts w:ascii="Tahoma" w:hAnsi="Tahoma" w:cs="Tahoma"/>
          <w:spacing w:val="39"/>
          <w:sz w:val="20"/>
          <w:szCs w:val="20"/>
        </w:rPr>
        <w:t xml:space="preserve"> </w:t>
      </w:r>
      <w:r w:rsidRPr="00B004EE">
        <w:rPr>
          <w:rFonts w:ascii="Tahoma" w:hAnsi="Tahoma" w:cs="Tahoma"/>
          <w:sz w:val="20"/>
          <w:szCs w:val="20"/>
        </w:rPr>
        <w:t>dès</w:t>
      </w:r>
      <w:r w:rsidR="00DB1635" w:rsidRPr="00B004EE">
        <w:rPr>
          <w:rFonts w:ascii="Tahoma" w:hAnsi="Tahoma" w:cs="Tahoma"/>
          <w:w w:val="94"/>
          <w:sz w:val="20"/>
          <w:szCs w:val="20"/>
        </w:rPr>
        <w:t xml:space="preserve"> </w:t>
      </w:r>
      <w:r w:rsidRPr="00B004EE">
        <w:rPr>
          <w:rFonts w:ascii="Tahoma" w:hAnsi="Tahoma" w:cs="Tahoma"/>
          <w:w w:val="95"/>
          <w:sz w:val="20"/>
          <w:szCs w:val="20"/>
        </w:rPr>
        <w:t>constitution</w:t>
      </w:r>
      <w:r w:rsidR="00DB1635" w:rsidRPr="00B004EE">
        <w:rPr>
          <w:rFonts w:ascii="Tahoma" w:hAnsi="Tahoma" w:cs="Tahoma"/>
          <w:w w:val="95"/>
          <w:sz w:val="20"/>
          <w:szCs w:val="20"/>
        </w:rPr>
        <w:t xml:space="preserve"> </w:t>
      </w:r>
      <w:r w:rsidRPr="00B004EE">
        <w:rPr>
          <w:rFonts w:ascii="Tahoma" w:hAnsi="Tahoma" w:cs="Tahoma"/>
          <w:w w:val="95"/>
          <w:sz w:val="20"/>
          <w:szCs w:val="20"/>
        </w:rPr>
        <w:t>d'un</w:t>
      </w:r>
      <w:r w:rsidR="00DB1635" w:rsidRPr="00B004EE">
        <w:rPr>
          <w:rFonts w:ascii="Tahoma" w:hAnsi="Tahoma" w:cs="Tahoma"/>
          <w:w w:val="95"/>
          <w:sz w:val="20"/>
          <w:szCs w:val="20"/>
        </w:rPr>
        <w:t xml:space="preserve"> </w:t>
      </w:r>
      <w:r w:rsidRPr="00B004EE">
        <w:rPr>
          <w:rFonts w:ascii="Tahoma" w:hAnsi="Tahoma" w:cs="Tahoma"/>
          <w:w w:val="95"/>
          <w:sz w:val="20"/>
          <w:szCs w:val="20"/>
        </w:rPr>
        <w:t>cautionnement</w:t>
      </w:r>
      <w:r w:rsidR="00DB1635" w:rsidRPr="00B004EE">
        <w:rPr>
          <w:rFonts w:ascii="Tahoma" w:hAnsi="Tahoma" w:cs="Tahoma"/>
          <w:w w:val="95"/>
          <w:sz w:val="20"/>
          <w:szCs w:val="20"/>
        </w:rPr>
        <w:t xml:space="preserve"> </w:t>
      </w:r>
      <w:r w:rsidRPr="00B004EE">
        <w:rPr>
          <w:rFonts w:ascii="Tahoma" w:hAnsi="Tahoma" w:cs="Tahoma"/>
          <w:w w:val="95"/>
          <w:sz w:val="20"/>
          <w:szCs w:val="20"/>
        </w:rPr>
        <w:t>suffisant.</w:t>
      </w:r>
    </w:p>
    <w:p w14:paraId="70F6B5BC" w14:textId="4D0BFF17" w:rsidR="001E7C3C" w:rsidRPr="00B004EE" w:rsidRDefault="001E7C3C" w:rsidP="00B004EE">
      <w:pPr>
        <w:pStyle w:val="Corpsdetexte"/>
        <w:ind w:right="161"/>
        <w:rPr>
          <w:rFonts w:ascii="Tahoma" w:hAnsi="Tahoma" w:cs="Tahoma"/>
          <w:sz w:val="20"/>
          <w:szCs w:val="20"/>
        </w:rPr>
      </w:pPr>
      <w:r w:rsidRPr="00B004EE">
        <w:rPr>
          <w:rFonts w:ascii="Tahoma" w:hAnsi="Tahoma" w:cs="Tahoma"/>
          <w:sz w:val="20"/>
          <w:szCs w:val="20"/>
        </w:rPr>
        <w:t>Le</w:t>
      </w:r>
      <w:r w:rsidR="00DB1635" w:rsidRPr="00B004EE">
        <w:rPr>
          <w:rFonts w:ascii="Tahoma" w:hAnsi="Tahoma" w:cs="Tahoma"/>
          <w:spacing w:val="32"/>
          <w:sz w:val="20"/>
          <w:szCs w:val="20"/>
        </w:rPr>
        <w:t xml:space="preserve"> </w:t>
      </w:r>
      <w:r w:rsidRPr="00B004EE">
        <w:rPr>
          <w:rFonts w:ascii="Tahoma" w:hAnsi="Tahoma" w:cs="Tahoma"/>
          <w:sz w:val="20"/>
          <w:szCs w:val="20"/>
        </w:rPr>
        <w:t>montant</w:t>
      </w:r>
      <w:r w:rsidR="00DB1635" w:rsidRPr="00B004EE">
        <w:rPr>
          <w:rFonts w:ascii="Tahoma" w:hAnsi="Tahoma" w:cs="Tahoma"/>
          <w:spacing w:val="32"/>
          <w:sz w:val="20"/>
          <w:szCs w:val="20"/>
        </w:rPr>
        <w:t xml:space="preserve"> </w:t>
      </w:r>
      <w:r w:rsidRPr="00B004EE">
        <w:rPr>
          <w:rFonts w:ascii="Tahoma" w:hAnsi="Tahoma" w:cs="Tahoma"/>
          <w:sz w:val="20"/>
          <w:szCs w:val="20"/>
        </w:rPr>
        <w:t>du</w:t>
      </w:r>
      <w:r w:rsidR="00DB1635" w:rsidRPr="00B004EE">
        <w:rPr>
          <w:rFonts w:ascii="Tahoma" w:hAnsi="Tahoma" w:cs="Tahoma"/>
          <w:spacing w:val="32"/>
          <w:sz w:val="20"/>
          <w:szCs w:val="20"/>
        </w:rPr>
        <w:t xml:space="preserve"> </w:t>
      </w:r>
      <w:r w:rsidRPr="00B004EE">
        <w:rPr>
          <w:rFonts w:ascii="Tahoma" w:hAnsi="Tahoma" w:cs="Tahoma"/>
          <w:sz w:val="20"/>
          <w:szCs w:val="20"/>
        </w:rPr>
        <w:t>cautionnement</w:t>
      </w:r>
      <w:r w:rsidR="00DB1635" w:rsidRPr="00B004EE">
        <w:rPr>
          <w:rFonts w:ascii="Tahoma" w:hAnsi="Tahoma" w:cs="Tahoma"/>
          <w:spacing w:val="32"/>
          <w:sz w:val="20"/>
          <w:szCs w:val="20"/>
        </w:rPr>
        <w:t xml:space="preserve"> </w:t>
      </w:r>
      <w:r w:rsidRPr="00B004EE">
        <w:rPr>
          <w:rFonts w:ascii="Tahoma" w:hAnsi="Tahoma" w:cs="Tahoma"/>
          <w:sz w:val="20"/>
          <w:szCs w:val="20"/>
        </w:rPr>
        <w:t>ne</w:t>
      </w:r>
      <w:r w:rsidR="00DB1635" w:rsidRPr="00B004EE">
        <w:rPr>
          <w:rFonts w:ascii="Tahoma" w:hAnsi="Tahoma" w:cs="Tahoma"/>
          <w:spacing w:val="32"/>
          <w:sz w:val="20"/>
          <w:szCs w:val="20"/>
        </w:rPr>
        <w:t xml:space="preserve"> </w:t>
      </w:r>
      <w:r w:rsidRPr="00B004EE">
        <w:rPr>
          <w:rFonts w:ascii="Tahoma" w:hAnsi="Tahoma" w:cs="Tahoma"/>
          <w:sz w:val="20"/>
          <w:szCs w:val="20"/>
        </w:rPr>
        <w:t>sera</w:t>
      </w:r>
      <w:r w:rsidR="00DB1635" w:rsidRPr="00B004EE">
        <w:rPr>
          <w:rFonts w:ascii="Tahoma" w:hAnsi="Tahoma" w:cs="Tahoma"/>
          <w:spacing w:val="31"/>
          <w:sz w:val="20"/>
          <w:szCs w:val="20"/>
        </w:rPr>
        <w:t xml:space="preserve"> </w:t>
      </w:r>
      <w:r w:rsidRPr="00B004EE">
        <w:rPr>
          <w:rFonts w:ascii="Tahoma" w:hAnsi="Tahoma" w:cs="Tahoma"/>
          <w:sz w:val="20"/>
          <w:szCs w:val="20"/>
        </w:rPr>
        <w:t>pas</w:t>
      </w:r>
      <w:r w:rsidR="00DB1635" w:rsidRPr="00B004EE">
        <w:rPr>
          <w:rFonts w:ascii="Tahoma" w:hAnsi="Tahoma" w:cs="Tahoma"/>
          <w:spacing w:val="30"/>
          <w:sz w:val="20"/>
          <w:szCs w:val="20"/>
        </w:rPr>
        <w:t xml:space="preserve"> </w:t>
      </w:r>
      <w:r w:rsidRPr="00B004EE">
        <w:rPr>
          <w:rFonts w:ascii="Tahoma" w:hAnsi="Tahoma" w:cs="Tahoma"/>
          <w:sz w:val="20"/>
          <w:szCs w:val="20"/>
        </w:rPr>
        <w:t>inférieur</w:t>
      </w:r>
      <w:r w:rsidR="00DB1635" w:rsidRPr="00B004EE">
        <w:rPr>
          <w:rFonts w:ascii="Tahoma" w:hAnsi="Tahoma" w:cs="Tahoma"/>
          <w:spacing w:val="30"/>
          <w:sz w:val="20"/>
          <w:szCs w:val="20"/>
        </w:rPr>
        <w:t xml:space="preserve"> </w:t>
      </w:r>
      <w:r w:rsidRPr="00B004EE">
        <w:rPr>
          <w:rFonts w:ascii="Tahoma" w:hAnsi="Tahoma" w:cs="Tahoma"/>
          <w:sz w:val="20"/>
          <w:szCs w:val="20"/>
        </w:rPr>
        <w:t>au</w:t>
      </w:r>
      <w:r w:rsidR="00DB1635" w:rsidRPr="00B004EE">
        <w:rPr>
          <w:rFonts w:ascii="Tahoma" w:hAnsi="Tahoma" w:cs="Tahoma"/>
          <w:spacing w:val="30"/>
          <w:sz w:val="20"/>
          <w:szCs w:val="20"/>
        </w:rPr>
        <w:t xml:space="preserve"> </w:t>
      </w:r>
      <w:r w:rsidRPr="00B004EE">
        <w:rPr>
          <w:rFonts w:ascii="Tahoma" w:hAnsi="Tahoma" w:cs="Tahoma"/>
          <w:sz w:val="20"/>
          <w:szCs w:val="20"/>
        </w:rPr>
        <w:t>montant</w:t>
      </w:r>
      <w:r w:rsidR="00DB1635" w:rsidRPr="00B004EE">
        <w:rPr>
          <w:rFonts w:ascii="Tahoma" w:hAnsi="Tahoma" w:cs="Tahoma"/>
          <w:spacing w:val="31"/>
          <w:sz w:val="20"/>
          <w:szCs w:val="20"/>
        </w:rPr>
        <w:t xml:space="preserve"> </w:t>
      </w:r>
      <w:r w:rsidRPr="00B004EE">
        <w:rPr>
          <w:rFonts w:ascii="Tahoma" w:hAnsi="Tahoma" w:cs="Tahoma"/>
          <w:sz w:val="20"/>
          <w:szCs w:val="20"/>
        </w:rPr>
        <w:t>maximum</w:t>
      </w:r>
      <w:r w:rsidR="00DB1635" w:rsidRPr="00B004EE">
        <w:rPr>
          <w:rFonts w:ascii="Tahoma" w:hAnsi="Tahoma" w:cs="Tahoma"/>
          <w:spacing w:val="31"/>
          <w:sz w:val="20"/>
          <w:szCs w:val="20"/>
        </w:rPr>
        <w:t xml:space="preserve"> </w:t>
      </w:r>
      <w:r w:rsidRPr="00B004EE">
        <w:rPr>
          <w:rFonts w:ascii="Tahoma" w:hAnsi="Tahoma" w:cs="Tahoma"/>
          <w:sz w:val="20"/>
          <w:szCs w:val="20"/>
        </w:rPr>
        <w:t>de</w:t>
      </w:r>
      <w:r w:rsidR="00DB1635" w:rsidRPr="00B004EE">
        <w:rPr>
          <w:rFonts w:ascii="Tahoma" w:hAnsi="Tahoma" w:cs="Tahoma"/>
          <w:w w:val="94"/>
          <w:sz w:val="20"/>
          <w:szCs w:val="20"/>
        </w:rPr>
        <w:t xml:space="preserve"> </w:t>
      </w:r>
      <w:r w:rsidRPr="00B004EE">
        <w:rPr>
          <w:rFonts w:ascii="Tahoma" w:hAnsi="Tahoma" w:cs="Tahoma"/>
          <w:sz w:val="20"/>
          <w:szCs w:val="20"/>
        </w:rPr>
        <w:t>l'amende</w:t>
      </w:r>
      <w:r w:rsidR="00DB1635" w:rsidRPr="00B004EE">
        <w:rPr>
          <w:rFonts w:ascii="Tahoma" w:hAnsi="Tahoma" w:cs="Tahoma"/>
          <w:sz w:val="20"/>
          <w:szCs w:val="20"/>
        </w:rPr>
        <w:t xml:space="preserve"> </w:t>
      </w:r>
      <w:r w:rsidRPr="00B004EE">
        <w:rPr>
          <w:rFonts w:ascii="Tahoma" w:hAnsi="Tahoma" w:cs="Tahoma"/>
          <w:sz w:val="20"/>
          <w:szCs w:val="20"/>
        </w:rPr>
        <w:t>dont</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passibles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auteurs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l'infraction,</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pacing w:val="48"/>
          <w:sz w:val="20"/>
          <w:szCs w:val="20"/>
        </w:rPr>
        <w:t xml:space="preserve"> </w:t>
      </w:r>
      <w:r w:rsidRPr="00B004EE">
        <w:rPr>
          <w:rFonts w:ascii="Tahoma" w:hAnsi="Tahoma" w:cs="Tahoma"/>
          <w:sz w:val="20"/>
          <w:szCs w:val="20"/>
        </w:rPr>
        <w:t>coûts</w:t>
      </w:r>
      <w:r w:rsidR="00DB1635" w:rsidRPr="00B004EE">
        <w:rPr>
          <w:rFonts w:ascii="Tahoma" w:hAnsi="Tahoma" w:cs="Tahoma"/>
          <w:w w:val="95"/>
          <w:sz w:val="20"/>
          <w:szCs w:val="20"/>
        </w:rPr>
        <w:t xml:space="preserve"> </w:t>
      </w:r>
      <w:r w:rsidRPr="00B004EE">
        <w:rPr>
          <w:rFonts w:ascii="Tahoma" w:hAnsi="Tahoma" w:cs="Tahoma"/>
          <w:sz w:val="20"/>
          <w:szCs w:val="20"/>
        </w:rPr>
        <w:t>d'arraisonnement</w:t>
      </w:r>
      <w:r w:rsidR="00DB1635" w:rsidRPr="00B004EE">
        <w:rPr>
          <w:rFonts w:ascii="Tahoma" w:hAnsi="Tahoma" w:cs="Tahoma"/>
          <w:spacing w:val="34"/>
          <w:sz w:val="20"/>
          <w:szCs w:val="20"/>
        </w:rPr>
        <w:t xml:space="preserve"> </w:t>
      </w:r>
      <w:r w:rsidRPr="00B004EE">
        <w:rPr>
          <w:rFonts w:ascii="Tahoma" w:hAnsi="Tahoma" w:cs="Tahoma"/>
          <w:sz w:val="20"/>
          <w:szCs w:val="20"/>
        </w:rPr>
        <w:t>et</w:t>
      </w:r>
      <w:r w:rsidR="00DB1635" w:rsidRPr="00B004EE">
        <w:rPr>
          <w:rFonts w:ascii="Tahoma" w:hAnsi="Tahoma" w:cs="Tahoma"/>
          <w:spacing w:val="34"/>
          <w:sz w:val="20"/>
          <w:szCs w:val="20"/>
        </w:rPr>
        <w:t xml:space="preserve"> </w:t>
      </w:r>
      <w:r w:rsidRPr="00B004EE">
        <w:rPr>
          <w:rFonts w:ascii="Tahoma" w:hAnsi="Tahoma" w:cs="Tahoma"/>
          <w:sz w:val="20"/>
          <w:szCs w:val="20"/>
        </w:rPr>
        <w:t>de</w:t>
      </w:r>
      <w:r w:rsidR="00DB1635" w:rsidRPr="00B004EE">
        <w:rPr>
          <w:rFonts w:ascii="Tahoma" w:hAnsi="Tahoma" w:cs="Tahoma"/>
          <w:spacing w:val="32"/>
          <w:sz w:val="20"/>
          <w:szCs w:val="20"/>
        </w:rPr>
        <w:t xml:space="preserve"> </w:t>
      </w:r>
      <w:r w:rsidRPr="00B004EE">
        <w:rPr>
          <w:rFonts w:ascii="Tahoma" w:hAnsi="Tahoma" w:cs="Tahoma"/>
          <w:sz w:val="20"/>
          <w:szCs w:val="20"/>
        </w:rPr>
        <w:t>détention</w:t>
      </w:r>
      <w:r w:rsidR="00DB1635" w:rsidRPr="00B004EE">
        <w:rPr>
          <w:rFonts w:ascii="Tahoma" w:hAnsi="Tahoma" w:cs="Tahoma"/>
          <w:spacing w:val="32"/>
          <w:sz w:val="20"/>
          <w:szCs w:val="20"/>
        </w:rPr>
        <w:t xml:space="preserve"> </w:t>
      </w:r>
      <w:r w:rsidRPr="00B004EE">
        <w:rPr>
          <w:rFonts w:ascii="Tahoma" w:hAnsi="Tahoma" w:cs="Tahoma"/>
          <w:sz w:val="20"/>
          <w:szCs w:val="20"/>
        </w:rPr>
        <w:t>du</w:t>
      </w:r>
      <w:r w:rsidR="00DB1635" w:rsidRPr="00B004EE">
        <w:rPr>
          <w:rFonts w:ascii="Tahoma" w:hAnsi="Tahoma" w:cs="Tahoma"/>
          <w:spacing w:val="32"/>
          <w:sz w:val="20"/>
          <w:szCs w:val="20"/>
        </w:rPr>
        <w:t xml:space="preserve"> </w:t>
      </w:r>
      <w:r w:rsidRPr="00B004EE">
        <w:rPr>
          <w:rFonts w:ascii="Tahoma" w:hAnsi="Tahoma" w:cs="Tahoma"/>
          <w:sz w:val="20"/>
          <w:szCs w:val="20"/>
        </w:rPr>
        <w:t>navire,</w:t>
      </w:r>
      <w:r w:rsidR="00DB1635" w:rsidRPr="00B004EE">
        <w:rPr>
          <w:rFonts w:ascii="Tahoma" w:hAnsi="Tahoma" w:cs="Tahoma"/>
          <w:spacing w:val="32"/>
          <w:sz w:val="20"/>
          <w:szCs w:val="20"/>
        </w:rPr>
        <w:t xml:space="preserve"> </w:t>
      </w:r>
      <w:r w:rsidRPr="00B004EE">
        <w:rPr>
          <w:rFonts w:ascii="Tahoma" w:hAnsi="Tahoma" w:cs="Tahoma"/>
          <w:sz w:val="20"/>
          <w:szCs w:val="20"/>
        </w:rPr>
        <w:t>et</w:t>
      </w:r>
      <w:r w:rsidR="00DB1635" w:rsidRPr="00B004EE">
        <w:rPr>
          <w:rFonts w:ascii="Tahoma" w:hAnsi="Tahoma" w:cs="Tahoma"/>
          <w:spacing w:val="32"/>
          <w:sz w:val="20"/>
          <w:szCs w:val="20"/>
        </w:rPr>
        <w:t xml:space="preserve"> </w:t>
      </w:r>
      <w:r w:rsidRPr="00B004EE">
        <w:rPr>
          <w:rFonts w:ascii="Tahoma" w:hAnsi="Tahoma" w:cs="Tahoma"/>
          <w:sz w:val="20"/>
          <w:szCs w:val="20"/>
        </w:rPr>
        <w:t>de</w:t>
      </w:r>
      <w:r w:rsidR="00DB1635" w:rsidRPr="00B004EE">
        <w:rPr>
          <w:rFonts w:ascii="Tahoma" w:hAnsi="Tahoma" w:cs="Tahoma"/>
          <w:spacing w:val="32"/>
          <w:sz w:val="20"/>
          <w:szCs w:val="20"/>
        </w:rPr>
        <w:t xml:space="preserve"> </w:t>
      </w:r>
      <w:r w:rsidRPr="00B004EE">
        <w:rPr>
          <w:rFonts w:ascii="Tahoma" w:hAnsi="Tahoma" w:cs="Tahoma"/>
          <w:sz w:val="20"/>
          <w:szCs w:val="20"/>
        </w:rPr>
        <w:t>l'éventuel</w:t>
      </w:r>
      <w:r w:rsidR="00DB1635" w:rsidRPr="00B004EE">
        <w:rPr>
          <w:rFonts w:ascii="Tahoma" w:hAnsi="Tahoma" w:cs="Tahoma"/>
          <w:spacing w:val="33"/>
          <w:sz w:val="20"/>
          <w:szCs w:val="20"/>
        </w:rPr>
        <w:t xml:space="preserve"> </w:t>
      </w:r>
      <w:r w:rsidRPr="00B004EE">
        <w:rPr>
          <w:rFonts w:ascii="Tahoma" w:hAnsi="Tahoma" w:cs="Tahoma"/>
          <w:sz w:val="20"/>
          <w:szCs w:val="20"/>
        </w:rPr>
        <w:t>rapatriement</w:t>
      </w:r>
      <w:r w:rsidR="00DB1635" w:rsidRPr="00B004EE">
        <w:rPr>
          <w:rFonts w:ascii="Tahoma" w:hAnsi="Tahoma" w:cs="Tahoma"/>
          <w:spacing w:val="32"/>
          <w:sz w:val="20"/>
          <w:szCs w:val="20"/>
        </w:rPr>
        <w:t xml:space="preserve"> </w:t>
      </w:r>
      <w:r w:rsidRPr="00B004EE">
        <w:rPr>
          <w:rFonts w:ascii="Tahoma" w:hAnsi="Tahoma" w:cs="Tahoma"/>
          <w:sz w:val="20"/>
          <w:szCs w:val="20"/>
        </w:rPr>
        <w:t>des</w:t>
      </w:r>
      <w:r w:rsidR="00DB1635" w:rsidRPr="00B004EE">
        <w:rPr>
          <w:rFonts w:ascii="Tahoma" w:hAnsi="Tahoma" w:cs="Tahoma"/>
          <w:w w:val="94"/>
          <w:sz w:val="20"/>
          <w:szCs w:val="20"/>
        </w:rPr>
        <w:t xml:space="preserve"> </w:t>
      </w:r>
      <w:r w:rsidRPr="00B004EE">
        <w:rPr>
          <w:rFonts w:ascii="Tahoma" w:hAnsi="Tahoma" w:cs="Tahoma"/>
          <w:sz w:val="20"/>
          <w:szCs w:val="20"/>
        </w:rPr>
        <w:t>équipages.</w:t>
      </w:r>
    </w:p>
    <w:p w14:paraId="43A6DB84" w14:textId="0078345B" w:rsidR="001E7C3C" w:rsidRPr="00B004EE" w:rsidRDefault="001E7C3C" w:rsidP="00B004EE">
      <w:pPr>
        <w:pStyle w:val="Corpsdetexte"/>
        <w:ind w:right="159"/>
        <w:rPr>
          <w:rFonts w:ascii="Tahoma" w:hAnsi="Tahoma" w:cs="Tahoma"/>
          <w:sz w:val="20"/>
          <w:szCs w:val="20"/>
        </w:rPr>
      </w:pPr>
      <w:r w:rsidRPr="00B004EE">
        <w:rPr>
          <w:rFonts w:ascii="Tahoma" w:hAnsi="Tahoma" w:cs="Tahoma"/>
          <w:sz w:val="20"/>
          <w:szCs w:val="20"/>
        </w:rPr>
        <w:t>La</w:t>
      </w:r>
      <w:r w:rsidR="00DB1635" w:rsidRPr="00B004EE">
        <w:rPr>
          <w:rFonts w:ascii="Tahoma" w:hAnsi="Tahoma" w:cs="Tahoma"/>
          <w:spacing w:val="-14"/>
          <w:sz w:val="20"/>
          <w:szCs w:val="20"/>
        </w:rPr>
        <w:t xml:space="preserve"> </w:t>
      </w:r>
      <w:r w:rsidRPr="00B004EE">
        <w:rPr>
          <w:rFonts w:ascii="Tahoma" w:hAnsi="Tahoma" w:cs="Tahoma"/>
          <w:sz w:val="20"/>
          <w:szCs w:val="20"/>
        </w:rPr>
        <w:t>décision</w:t>
      </w:r>
      <w:r w:rsidR="00DB1635" w:rsidRPr="00B004EE">
        <w:rPr>
          <w:rFonts w:ascii="Tahoma" w:hAnsi="Tahoma" w:cs="Tahoma"/>
          <w:spacing w:val="-14"/>
          <w:sz w:val="20"/>
          <w:szCs w:val="20"/>
        </w:rPr>
        <w:t xml:space="preserve"> </w:t>
      </w:r>
      <w:r w:rsidRPr="00B004EE">
        <w:rPr>
          <w:rFonts w:ascii="Tahoma" w:hAnsi="Tahoma" w:cs="Tahoma"/>
          <w:sz w:val="20"/>
          <w:szCs w:val="20"/>
        </w:rPr>
        <w:t>mentionnée</w:t>
      </w:r>
      <w:r w:rsidR="00DB1635" w:rsidRPr="00B004EE">
        <w:rPr>
          <w:rFonts w:ascii="Tahoma" w:hAnsi="Tahoma" w:cs="Tahoma"/>
          <w:spacing w:val="-14"/>
          <w:sz w:val="20"/>
          <w:szCs w:val="20"/>
        </w:rPr>
        <w:t xml:space="preserve"> </w:t>
      </w:r>
      <w:r w:rsidRPr="00B004EE">
        <w:rPr>
          <w:rFonts w:ascii="Tahoma" w:hAnsi="Tahoma" w:cs="Tahoma"/>
          <w:sz w:val="20"/>
          <w:szCs w:val="20"/>
        </w:rPr>
        <w:t>à</w:t>
      </w:r>
      <w:r w:rsidR="00DB1635" w:rsidRPr="00B004EE">
        <w:rPr>
          <w:rFonts w:ascii="Tahoma" w:hAnsi="Tahoma" w:cs="Tahoma"/>
          <w:spacing w:val="-14"/>
          <w:sz w:val="20"/>
          <w:szCs w:val="20"/>
        </w:rPr>
        <w:t xml:space="preserve"> </w:t>
      </w:r>
      <w:r w:rsidRPr="00B004EE">
        <w:rPr>
          <w:rFonts w:ascii="Tahoma" w:hAnsi="Tahoma" w:cs="Tahoma"/>
          <w:sz w:val="20"/>
          <w:szCs w:val="20"/>
        </w:rPr>
        <w:t>l'alinéa</w:t>
      </w:r>
      <w:r w:rsidR="00DB1635" w:rsidRPr="00B004EE">
        <w:rPr>
          <w:rFonts w:ascii="Tahoma" w:hAnsi="Tahoma" w:cs="Tahoma"/>
          <w:spacing w:val="-14"/>
          <w:sz w:val="20"/>
          <w:szCs w:val="20"/>
        </w:rPr>
        <w:t xml:space="preserve"> </w:t>
      </w:r>
      <w:r w:rsidRPr="00B004EE">
        <w:rPr>
          <w:rFonts w:ascii="Tahoma" w:hAnsi="Tahoma" w:cs="Tahoma"/>
          <w:sz w:val="20"/>
          <w:szCs w:val="20"/>
        </w:rPr>
        <w:t>précédent</w:t>
      </w:r>
      <w:r w:rsidR="00DB1635" w:rsidRPr="00B004EE">
        <w:rPr>
          <w:rFonts w:ascii="Tahoma" w:hAnsi="Tahoma" w:cs="Tahoma"/>
          <w:spacing w:val="-14"/>
          <w:sz w:val="20"/>
          <w:szCs w:val="20"/>
        </w:rPr>
        <w:t xml:space="preserve"> </w:t>
      </w:r>
      <w:r w:rsidRPr="00B004EE">
        <w:rPr>
          <w:rFonts w:ascii="Tahoma" w:hAnsi="Tahoma" w:cs="Tahoma"/>
          <w:sz w:val="20"/>
          <w:szCs w:val="20"/>
        </w:rPr>
        <w:t>intervient</w:t>
      </w:r>
      <w:r w:rsidR="00DB1635" w:rsidRPr="00B004EE">
        <w:rPr>
          <w:rFonts w:ascii="Tahoma" w:hAnsi="Tahoma" w:cs="Tahoma"/>
          <w:spacing w:val="-15"/>
          <w:sz w:val="20"/>
          <w:szCs w:val="20"/>
        </w:rPr>
        <w:t xml:space="preserve"> </w:t>
      </w:r>
      <w:r w:rsidRPr="00B004EE">
        <w:rPr>
          <w:rFonts w:ascii="Tahoma" w:hAnsi="Tahoma" w:cs="Tahoma"/>
          <w:sz w:val="20"/>
          <w:szCs w:val="20"/>
        </w:rPr>
        <w:t>dans</w:t>
      </w:r>
      <w:r w:rsidR="00DB1635" w:rsidRPr="00B004EE">
        <w:rPr>
          <w:rFonts w:ascii="Tahoma" w:hAnsi="Tahoma" w:cs="Tahoma"/>
          <w:spacing w:val="-16"/>
          <w:sz w:val="20"/>
          <w:szCs w:val="20"/>
        </w:rPr>
        <w:t xml:space="preserve"> </w:t>
      </w:r>
      <w:r w:rsidRPr="00B004EE">
        <w:rPr>
          <w:rFonts w:ascii="Tahoma" w:hAnsi="Tahoma" w:cs="Tahoma"/>
          <w:sz w:val="20"/>
          <w:szCs w:val="20"/>
        </w:rPr>
        <w:t>un</w:t>
      </w:r>
      <w:r w:rsidR="00DB1635" w:rsidRPr="00B004EE">
        <w:rPr>
          <w:rFonts w:ascii="Tahoma" w:hAnsi="Tahoma" w:cs="Tahoma"/>
          <w:spacing w:val="-15"/>
          <w:sz w:val="20"/>
          <w:szCs w:val="20"/>
        </w:rPr>
        <w:t xml:space="preserve"> </w:t>
      </w:r>
      <w:r w:rsidRPr="00B004EE">
        <w:rPr>
          <w:rFonts w:ascii="Tahoma" w:hAnsi="Tahoma" w:cs="Tahoma"/>
          <w:sz w:val="20"/>
          <w:szCs w:val="20"/>
        </w:rPr>
        <w:t>délai</w:t>
      </w:r>
      <w:r w:rsidR="00DB1635" w:rsidRPr="00B004EE">
        <w:rPr>
          <w:rFonts w:ascii="Tahoma" w:hAnsi="Tahoma" w:cs="Tahoma"/>
          <w:spacing w:val="-15"/>
          <w:sz w:val="20"/>
          <w:szCs w:val="20"/>
        </w:rPr>
        <w:t xml:space="preserve"> </w:t>
      </w:r>
      <w:r w:rsidRPr="00B004EE">
        <w:rPr>
          <w:rFonts w:ascii="Tahoma" w:hAnsi="Tahoma" w:cs="Tahoma"/>
          <w:sz w:val="20"/>
          <w:szCs w:val="20"/>
        </w:rPr>
        <w:t>maximum</w:t>
      </w:r>
      <w:r w:rsidR="00DB1635" w:rsidRPr="00B004EE">
        <w:rPr>
          <w:rFonts w:ascii="Tahoma" w:hAnsi="Tahoma" w:cs="Tahoma"/>
          <w:spacing w:val="-15"/>
          <w:sz w:val="20"/>
          <w:szCs w:val="20"/>
        </w:rPr>
        <w:t xml:space="preserve"> </w:t>
      </w:r>
      <w:r w:rsidRPr="00B004EE">
        <w:rPr>
          <w:rFonts w:ascii="Tahoma" w:hAnsi="Tahoma" w:cs="Tahoma"/>
          <w:sz w:val="20"/>
          <w:szCs w:val="20"/>
        </w:rPr>
        <w:t>de</w:t>
      </w:r>
      <w:r w:rsidR="00DB1635" w:rsidRPr="00B004EE">
        <w:rPr>
          <w:rFonts w:ascii="Tahoma" w:hAnsi="Tahoma" w:cs="Tahoma"/>
          <w:w w:val="94"/>
          <w:sz w:val="20"/>
          <w:szCs w:val="20"/>
        </w:rPr>
        <w:t xml:space="preserve"> </w:t>
      </w:r>
      <w:r w:rsidRPr="00B004EE">
        <w:rPr>
          <w:rFonts w:ascii="Tahoma" w:hAnsi="Tahoma" w:cs="Tahoma"/>
          <w:sz w:val="20"/>
          <w:szCs w:val="20"/>
        </w:rPr>
        <w:t>soixante</w:t>
      </w:r>
      <w:r w:rsidR="00DB1635" w:rsidRPr="00B004EE">
        <w:rPr>
          <w:rFonts w:ascii="Tahoma" w:hAnsi="Tahoma" w:cs="Tahoma"/>
          <w:spacing w:val="-26"/>
          <w:sz w:val="20"/>
          <w:szCs w:val="20"/>
        </w:rPr>
        <w:t xml:space="preserve"> </w:t>
      </w:r>
      <w:r w:rsidRPr="00B004EE">
        <w:rPr>
          <w:rFonts w:ascii="Tahoma" w:hAnsi="Tahoma" w:cs="Tahoma"/>
          <w:sz w:val="20"/>
          <w:szCs w:val="20"/>
        </w:rPr>
        <w:t>douze</w:t>
      </w:r>
      <w:r w:rsidR="00DB1635" w:rsidRPr="00B004EE">
        <w:rPr>
          <w:rFonts w:ascii="Tahoma" w:hAnsi="Tahoma" w:cs="Tahoma"/>
          <w:spacing w:val="10"/>
          <w:sz w:val="20"/>
          <w:szCs w:val="20"/>
        </w:rPr>
        <w:t xml:space="preserve"> </w:t>
      </w:r>
      <w:r w:rsidRPr="00B004EE">
        <w:rPr>
          <w:rFonts w:ascii="Tahoma" w:hAnsi="Tahoma" w:cs="Tahoma"/>
          <w:sz w:val="20"/>
          <w:szCs w:val="20"/>
        </w:rPr>
        <w:t>heures</w:t>
      </w:r>
      <w:r w:rsidR="00DB1635" w:rsidRPr="00B004EE">
        <w:rPr>
          <w:rFonts w:ascii="Tahoma" w:hAnsi="Tahoma" w:cs="Tahoma"/>
          <w:spacing w:val="-26"/>
          <w:sz w:val="20"/>
          <w:szCs w:val="20"/>
        </w:rPr>
        <w:t xml:space="preserve"> </w:t>
      </w:r>
      <w:r w:rsidRPr="00B004EE">
        <w:rPr>
          <w:rFonts w:ascii="Tahoma" w:hAnsi="Tahoma" w:cs="Tahoma"/>
          <w:sz w:val="20"/>
          <w:szCs w:val="20"/>
        </w:rPr>
        <w:t>à</w:t>
      </w:r>
      <w:r w:rsidR="00DB1635" w:rsidRPr="00B004EE">
        <w:rPr>
          <w:rFonts w:ascii="Tahoma" w:hAnsi="Tahoma" w:cs="Tahoma"/>
          <w:spacing w:val="-25"/>
          <w:sz w:val="20"/>
          <w:szCs w:val="20"/>
        </w:rPr>
        <w:t xml:space="preserve"> </w:t>
      </w:r>
      <w:r w:rsidRPr="00B004EE">
        <w:rPr>
          <w:rFonts w:ascii="Tahoma" w:hAnsi="Tahoma" w:cs="Tahoma"/>
          <w:sz w:val="20"/>
          <w:szCs w:val="20"/>
        </w:rPr>
        <w:t>compter</w:t>
      </w:r>
      <w:r w:rsidR="00DB1635" w:rsidRPr="00B004EE">
        <w:rPr>
          <w:rFonts w:ascii="Tahoma" w:hAnsi="Tahoma" w:cs="Tahoma"/>
          <w:spacing w:val="-26"/>
          <w:sz w:val="20"/>
          <w:szCs w:val="20"/>
        </w:rPr>
        <w:t xml:space="preserve"> </w:t>
      </w:r>
      <w:r w:rsidRPr="00B004EE">
        <w:rPr>
          <w:rFonts w:ascii="Tahoma" w:hAnsi="Tahoma" w:cs="Tahoma"/>
          <w:sz w:val="20"/>
          <w:szCs w:val="20"/>
        </w:rPr>
        <w:t>de</w:t>
      </w:r>
      <w:r w:rsidR="00DB1635" w:rsidRPr="00B004EE">
        <w:rPr>
          <w:rFonts w:ascii="Tahoma" w:hAnsi="Tahoma" w:cs="Tahoma"/>
          <w:spacing w:val="-26"/>
          <w:sz w:val="20"/>
          <w:szCs w:val="20"/>
        </w:rPr>
        <w:t xml:space="preserve"> </w:t>
      </w:r>
      <w:r w:rsidRPr="00B004EE">
        <w:rPr>
          <w:rFonts w:ascii="Tahoma" w:hAnsi="Tahoma" w:cs="Tahoma"/>
          <w:sz w:val="20"/>
          <w:szCs w:val="20"/>
        </w:rPr>
        <w:t>la</w:t>
      </w:r>
      <w:r w:rsidR="00DB1635" w:rsidRPr="00B004EE">
        <w:rPr>
          <w:rFonts w:ascii="Tahoma" w:hAnsi="Tahoma" w:cs="Tahoma"/>
          <w:spacing w:val="-25"/>
          <w:sz w:val="20"/>
          <w:szCs w:val="20"/>
        </w:rPr>
        <w:t xml:space="preserve"> </w:t>
      </w:r>
      <w:r w:rsidRPr="00B004EE">
        <w:rPr>
          <w:rFonts w:ascii="Tahoma" w:hAnsi="Tahoma" w:cs="Tahoma"/>
          <w:sz w:val="20"/>
          <w:szCs w:val="20"/>
        </w:rPr>
        <w:t>date</w:t>
      </w:r>
      <w:r w:rsidR="00DB1635" w:rsidRPr="00B004EE">
        <w:rPr>
          <w:rFonts w:ascii="Tahoma" w:hAnsi="Tahoma" w:cs="Tahoma"/>
          <w:spacing w:val="-26"/>
          <w:sz w:val="20"/>
          <w:szCs w:val="20"/>
        </w:rPr>
        <w:t xml:space="preserve"> </w:t>
      </w:r>
      <w:r w:rsidRPr="00B004EE">
        <w:rPr>
          <w:rFonts w:ascii="Tahoma" w:hAnsi="Tahoma" w:cs="Tahoma"/>
          <w:sz w:val="20"/>
          <w:szCs w:val="20"/>
        </w:rPr>
        <w:t>de</w:t>
      </w:r>
      <w:r w:rsidR="00DB1635" w:rsidRPr="00B004EE">
        <w:rPr>
          <w:rFonts w:ascii="Tahoma" w:hAnsi="Tahoma" w:cs="Tahoma"/>
          <w:spacing w:val="-26"/>
          <w:sz w:val="20"/>
          <w:szCs w:val="20"/>
        </w:rPr>
        <w:t xml:space="preserve"> </w:t>
      </w:r>
      <w:r w:rsidRPr="00B004EE">
        <w:rPr>
          <w:rFonts w:ascii="Tahoma" w:hAnsi="Tahoma" w:cs="Tahoma"/>
          <w:sz w:val="20"/>
          <w:szCs w:val="20"/>
        </w:rPr>
        <w:t>dépôt</w:t>
      </w:r>
      <w:r w:rsidR="00DB1635" w:rsidRPr="00B004EE">
        <w:rPr>
          <w:rFonts w:ascii="Tahoma" w:hAnsi="Tahoma" w:cs="Tahoma"/>
          <w:spacing w:val="-26"/>
          <w:sz w:val="20"/>
          <w:szCs w:val="20"/>
        </w:rPr>
        <w:t xml:space="preserve"> </w:t>
      </w:r>
      <w:r w:rsidRPr="00B004EE">
        <w:rPr>
          <w:rFonts w:ascii="Tahoma" w:hAnsi="Tahoma" w:cs="Tahoma"/>
          <w:sz w:val="20"/>
          <w:szCs w:val="20"/>
        </w:rPr>
        <w:t>du</w:t>
      </w:r>
      <w:r w:rsidR="00DB1635" w:rsidRPr="00B004EE">
        <w:rPr>
          <w:rFonts w:ascii="Tahoma" w:hAnsi="Tahoma" w:cs="Tahoma"/>
          <w:spacing w:val="-26"/>
          <w:sz w:val="20"/>
          <w:szCs w:val="20"/>
        </w:rPr>
        <w:t xml:space="preserve"> </w:t>
      </w:r>
      <w:r w:rsidRPr="00B004EE">
        <w:rPr>
          <w:rFonts w:ascii="Tahoma" w:hAnsi="Tahoma" w:cs="Tahoma"/>
          <w:sz w:val="20"/>
          <w:szCs w:val="20"/>
        </w:rPr>
        <w:t>cautionnement.</w:t>
      </w:r>
    </w:p>
    <w:p w14:paraId="73403848" w14:textId="34C4DFE9" w:rsidR="001E7C3C" w:rsidRPr="00B004EE" w:rsidRDefault="001E7C3C" w:rsidP="00B004EE">
      <w:pPr>
        <w:pStyle w:val="Corpsdetexte"/>
        <w:ind w:right="165"/>
        <w:rPr>
          <w:rFonts w:ascii="Tahoma" w:hAnsi="Tahoma" w:cs="Tahoma"/>
          <w:sz w:val="20"/>
          <w:szCs w:val="20"/>
        </w:rPr>
      </w:pP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cas</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infractions</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lesquelles</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législation</w:t>
      </w:r>
      <w:r w:rsidR="00DB1635" w:rsidRPr="00B004EE">
        <w:rPr>
          <w:rFonts w:ascii="Tahoma" w:hAnsi="Tahoma" w:cs="Tahoma"/>
          <w:sz w:val="20"/>
          <w:szCs w:val="20"/>
        </w:rPr>
        <w:t xml:space="preserve"> </w:t>
      </w:r>
      <w:r w:rsidRPr="00B004EE">
        <w:rPr>
          <w:rFonts w:ascii="Tahoma" w:hAnsi="Tahoma" w:cs="Tahoma"/>
          <w:sz w:val="20"/>
          <w:szCs w:val="20"/>
        </w:rPr>
        <w:t>sur</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pacing w:val="29"/>
          <w:sz w:val="20"/>
          <w:szCs w:val="20"/>
        </w:rPr>
        <w:t xml:space="preserve"> </w:t>
      </w:r>
      <w:r w:rsidRPr="00B004EE">
        <w:rPr>
          <w:rFonts w:ascii="Tahoma" w:hAnsi="Tahoma" w:cs="Tahoma"/>
          <w:sz w:val="20"/>
          <w:szCs w:val="20"/>
        </w:rPr>
        <w:t>prescrivent</w:t>
      </w:r>
      <w:r w:rsidR="00DB1635" w:rsidRPr="00B004EE">
        <w:rPr>
          <w:rFonts w:ascii="Tahoma" w:hAnsi="Tahoma" w:cs="Tahoma"/>
          <w:w w:val="95"/>
          <w:sz w:val="20"/>
          <w:szCs w:val="20"/>
        </w:rPr>
        <w:t xml:space="preserve"> </w:t>
      </w:r>
      <w:r w:rsidRPr="00B004EE">
        <w:rPr>
          <w:rFonts w:ascii="Tahoma" w:hAnsi="Tahoma" w:cs="Tahoma"/>
          <w:sz w:val="20"/>
          <w:szCs w:val="20"/>
        </w:rPr>
        <w:t>ou</w:t>
      </w:r>
      <w:r w:rsidR="00DB1635" w:rsidRPr="00B004EE">
        <w:rPr>
          <w:rFonts w:ascii="Tahoma" w:hAnsi="Tahoma" w:cs="Tahoma"/>
          <w:spacing w:val="8"/>
          <w:sz w:val="20"/>
          <w:szCs w:val="20"/>
        </w:rPr>
        <w:t xml:space="preserve"> </w:t>
      </w:r>
      <w:r w:rsidRPr="00B004EE">
        <w:rPr>
          <w:rFonts w:ascii="Tahoma" w:hAnsi="Tahoma" w:cs="Tahoma"/>
          <w:sz w:val="20"/>
          <w:szCs w:val="20"/>
        </w:rPr>
        <w:t>autorise</w:t>
      </w:r>
      <w:r w:rsidR="00DB1635" w:rsidRPr="00B004EE">
        <w:rPr>
          <w:rFonts w:ascii="Tahoma" w:hAnsi="Tahoma" w:cs="Tahoma"/>
          <w:spacing w:val="33"/>
          <w:sz w:val="20"/>
          <w:szCs w:val="20"/>
        </w:rPr>
        <w:t xml:space="preserve"> </w:t>
      </w:r>
      <w:r w:rsidRPr="00B004EE">
        <w:rPr>
          <w:rFonts w:ascii="Tahoma" w:hAnsi="Tahoma" w:cs="Tahoma"/>
          <w:sz w:val="20"/>
          <w:szCs w:val="20"/>
        </w:rPr>
        <w:t>la</w:t>
      </w:r>
      <w:r w:rsidR="00DB1635" w:rsidRPr="00B004EE">
        <w:rPr>
          <w:rFonts w:ascii="Tahoma" w:hAnsi="Tahoma" w:cs="Tahoma"/>
          <w:spacing w:val="34"/>
          <w:sz w:val="20"/>
          <w:szCs w:val="20"/>
        </w:rPr>
        <w:t xml:space="preserve"> </w:t>
      </w:r>
      <w:r w:rsidRPr="00B004EE">
        <w:rPr>
          <w:rFonts w:ascii="Tahoma" w:hAnsi="Tahoma" w:cs="Tahoma"/>
          <w:sz w:val="20"/>
          <w:szCs w:val="20"/>
        </w:rPr>
        <w:t>confiscation</w:t>
      </w:r>
      <w:r w:rsidR="00DB1635" w:rsidRPr="00B004EE">
        <w:rPr>
          <w:rFonts w:ascii="Tahoma" w:hAnsi="Tahoma" w:cs="Tahoma"/>
          <w:spacing w:val="33"/>
          <w:sz w:val="20"/>
          <w:szCs w:val="20"/>
        </w:rPr>
        <w:t xml:space="preserve"> </w:t>
      </w:r>
      <w:r w:rsidRPr="00B004EE">
        <w:rPr>
          <w:rFonts w:ascii="Tahoma" w:hAnsi="Tahoma" w:cs="Tahoma"/>
          <w:sz w:val="20"/>
          <w:szCs w:val="20"/>
        </w:rPr>
        <w:t>des</w:t>
      </w:r>
      <w:r w:rsidR="00DB1635" w:rsidRPr="00B004EE">
        <w:rPr>
          <w:rFonts w:ascii="Tahoma" w:hAnsi="Tahoma" w:cs="Tahoma"/>
          <w:spacing w:val="33"/>
          <w:sz w:val="20"/>
          <w:szCs w:val="20"/>
        </w:rPr>
        <w:t xml:space="preserve"> </w:t>
      </w:r>
      <w:r w:rsidRPr="00B004EE">
        <w:rPr>
          <w:rFonts w:ascii="Tahoma" w:hAnsi="Tahoma" w:cs="Tahoma"/>
          <w:sz w:val="20"/>
          <w:szCs w:val="20"/>
        </w:rPr>
        <w:t>captures,</w:t>
      </w:r>
      <w:r w:rsidR="00DB1635" w:rsidRPr="00B004EE">
        <w:rPr>
          <w:rFonts w:ascii="Tahoma" w:hAnsi="Tahoma" w:cs="Tahoma"/>
          <w:spacing w:val="34"/>
          <w:sz w:val="20"/>
          <w:szCs w:val="20"/>
        </w:rPr>
        <w:t xml:space="preserve"> </w:t>
      </w:r>
      <w:r w:rsidRPr="00B004EE">
        <w:rPr>
          <w:rFonts w:ascii="Tahoma" w:hAnsi="Tahoma" w:cs="Tahoma"/>
          <w:sz w:val="20"/>
          <w:szCs w:val="20"/>
        </w:rPr>
        <w:t>des</w:t>
      </w:r>
      <w:r w:rsidR="00DB1635" w:rsidRPr="00B004EE">
        <w:rPr>
          <w:rFonts w:ascii="Tahoma" w:hAnsi="Tahoma" w:cs="Tahoma"/>
          <w:spacing w:val="33"/>
          <w:sz w:val="20"/>
          <w:szCs w:val="20"/>
        </w:rPr>
        <w:t xml:space="preserve"> </w:t>
      </w:r>
      <w:r w:rsidRPr="00B004EE">
        <w:rPr>
          <w:rFonts w:ascii="Tahoma" w:hAnsi="Tahoma" w:cs="Tahoma"/>
          <w:sz w:val="20"/>
          <w:szCs w:val="20"/>
        </w:rPr>
        <w:t>engins</w:t>
      </w:r>
      <w:r w:rsidR="00DB1635" w:rsidRPr="00B004EE">
        <w:rPr>
          <w:rFonts w:ascii="Tahoma" w:hAnsi="Tahoma" w:cs="Tahoma"/>
          <w:spacing w:val="31"/>
          <w:sz w:val="20"/>
          <w:szCs w:val="20"/>
        </w:rPr>
        <w:t xml:space="preserve"> </w:t>
      </w:r>
      <w:r w:rsidRPr="00B004EE">
        <w:rPr>
          <w:rFonts w:ascii="Tahoma" w:hAnsi="Tahoma" w:cs="Tahoma"/>
          <w:sz w:val="20"/>
          <w:szCs w:val="20"/>
        </w:rPr>
        <w:t>de</w:t>
      </w:r>
      <w:r w:rsidR="00DB1635" w:rsidRPr="00B004EE">
        <w:rPr>
          <w:rFonts w:ascii="Tahoma" w:hAnsi="Tahoma" w:cs="Tahoma"/>
          <w:spacing w:val="32"/>
          <w:sz w:val="20"/>
          <w:szCs w:val="20"/>
        </w:rPr>
        <w:t xml:space="preserve"> </w:t>
      </w:r>
      <w:r w:rsidRPr="00B004EE">
        <w:rPr>
          <w:rFonts w:ascii="Tahoma" w:hAnsi="Tahoma" w:cs="Tahoma"/>
          <w:sz w:val="20"/>
          <w:szCs w:val="20"/>
        </w:rPr>
        <w:t>pêche</w:t>
      </w:r>
      <w:r w:rsidR="00DB1635" w:rsidRPr="00B004EE">
        <w:rPr>
          <w:rFonts w:ascii="Tahoma" w:hAnsi="Tahoma" w:cs="Tahoma"/>
          <w:spacing w:val="32"/>
          <w:sz w:val="20"/>
          <w:szCs w:val="20"/>
        </w:rPr>
        <w:t xml:space="preserve"> </w:t>
      </w:r>
      <w:r w:rsidRPr="00B004EE">
        <w:rPr>
          <w:rFonts w:ascii="Tahoma" w:hAnsi="Tahoma" w:cs="Tahoma"/>
          <w:sz w:val="20"/>
          <w:szCs w:val="20"/>
        </w:rPr>
        <w:t>et</w:t>
      </w:r>
      <w:r w:rsidR="00DB1635" w:rsidRPr="00B004EE">
        <w:rPr>
          <w:rFonts w:ascii="Tahoma" w:hAnsi="Tahoma" w:cs="Tahoma"/>
          <w:spacing w:val="32"/>
          <w:sz w:val="20"/>
          <w:szCs w:val="20"/>
        </w:rPr>
        <w:t xml:space="preserve"> </w:t>
      </w:r>
      <w:r w:rsidRPr="00B004EE">
        <w:rPr>
          <w:rFonts w:ascii="Tahoma" w:hAnsi="Tahoma" w:cs="Tahoma"/>
          <w:sz w:val="20"/>
          <w:szCs w:val="20"/>
        </w:rPr>
        <w:t>du</w:t>
      </w:r>
      <w:r w:rsidR="00DB1635" w:rsidRPr="00B004EE">
        <w:rPr>
          <w:rFonts w:ascii="Tahoma" w:hAnsi="Tahoma" w:cs="Tahoma"/>
          <w:spacing w:val="32"/>
          <w:sz w:val="20"/>
          <w:szCs w:val="20"/>
        </w:rPr>
        <w:t xml:space="preserve"> </w:t>
      </w:r>
      <w:r w:rsidRPr="00B004EE">
        <w:rPr>
          <w:rFonts w:ascii="Tahoma" w:hAnsi="Tahoma" w:cs="Tahoma"/>
          <w:sz w:val="20"/>
          <w:szCs w:val="20"/>
        </w:rPr>
        <w:t>navire,</w:t>
      </w:r>
      <w:r w:rsidR="00DB1635" w:rsidRPr="00B004EE">
        <w:rPr>
          <w:rFonts w:ascii="Tahoma" w:hAnsi="Tahoma" w:cs="Tahoma"/>
          <w:spacing w:val="32"/>
          <w:sz w:val="20"/>
          <w:szCs w:val="20"/>
        </w:rPr>
        <w:t xml:space="preserve"> </w:t>
      </w:r>
      <w:r w:rsidRPr="00B004EE">
        <w:rPr>
          <w:rFonts w:ascii="Tahoma" w:hAnsi="Tahoma" w:cs="Tahoma"/>
          <w:sz w:val="20"/>
          <w:szCs w:val="20"/>
        </w:rPr>
        <w:t>le</w:t>
      </w:r>
      <w:r w:rsidR="00DB1635" w:rsidRPr="00B004EE">
        <w:rPr>
          <w:rFonts w:ascii="Tahoma" w:hAnsi="Tahoma" w:cs="Tahoma"/>
          <w:w w:val="94"/>
          <w:sz w:val="20"/>
          <w:szCs w:val="20"/>
        </w:rPr>
        <w:t xml:space="preserve"> </w:t>
      </w:r>
      <w:r w:rsidRPr="00B004EE">
        <w:rPr>
          <w:rFonts w:ascii="Tahoma" w:hAnsi="Tahoma" w:cs="Tahoma"/>
          <w:sz w:val="20"/>
          <w:szCs w:val="20"/>
        </w:rPr>
        <w:t>Tribunal</w:t>
      </w:r>
      <w:r w:rsidR="00DB1635" w:rsidRPr="00B004EE">
        <w:rPr>
          <w:rFonts w:ascii="Tahoma" w:hAnsi="Tahoma" w:cs="Tahoma"/>
          <w:sz w:val="20"/>
          <w:szCs w:val="20"/>
        </w:rPr>
        <w:t xml:space="preserve"> </w:t>
      </w:r>
      <w:r w:rsidRPr="00B004EE">
        <w:rPr>
          <w:rFonts w:ascii="Tahoma" w:hAnsi="Tahoma" w:cs="Tahoma"/>
          <w:sz w:val="20"/>
          <w:szCs w:val="20"/>
        </w:rPr>
        <w:t>ajoutera</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valeur</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cautionnement,</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valeur</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dites</w:t>
      </w:r>
      <w:r w:rsidR="00DB1635" w:rsidRPr="00B004EE">
        <w:rPr>
          <w:rFonts w:ascii="Tahoma" w:hAnsi="Tahoma" w:cs="Tahoma"/>
          <w:sz w:val="20"/>
          <w:szCs w:val="20"/>
        </w:rPr>
        <w:t xml:space="preserve"> </w:t>
      </w:r>
      <w:r w:rsidRPr="00B004EE">
        <w:rPr>
          <w:rFonts w:ascii="Tahoma" w:hAnsi="Tahoma" w:cs="Tahoma"/>
          <w:sz w:val="20"/>
          <w:szCs w:val="20"/>
        </w:rPr>
        <w:t>captures,</w:t>
      </w:r>
      <w:r w:rsidR="00DB1635" w:rsidRPr="00B004EE">
        <w:rPr>
          <w:rFonts w:ascii="Tahoma" w:hAnsi="Tahoma" w:cs="Tahoma"/>
          <w:spacing w:val="-7"/>
          <w:sz w:val="20"/>
          <w:szCs w:val="20"/>
        </w:rPr>
        <w:t xml:space="preserve"> </w:t>
      </w:r>
      <w:r w:rsidRPr="00B004EE">
        <w:rPr>
          <w:rFonts w:ascii="Tahoma" w:hAnsi="Tahoma" w:cs="Tahoma"/>
          <w:sz w:val="20"/>
          <w:szCs w:val="20"/>
        </w:rPr>
        <w:t>des</w:t>
      </w:r>
      <w:r w:rsidR="00DB1635" w:rsidRPr="00B004EE">
        <w:rPr>
          <w:rFonts w:ascii="Tahoma" w:hAnsi="Tahoma" w:cs="Tahoma"/>
          <w:w w:val="94"/>
          <w:sz w:val="20"/>
          <w:szCs w:val="20"/>
        </w:rPr>
        <w:t xml:space="preserve"> </w:t>
      </w:r>
      <w:r w:rsidRPr="00B004EE">
        <w:rPr>
          <w:rFonts w:ascii="Tahoma" w:hAnsi="Tahoma" w:cs="Tahoma"/>
          <w:sz w:val="20"/>
          <w:szCs w:val="20"/>
        </w:rPr>
        <w:t>engins</w:t>
      </w:r>
      <w:r w:rsidR="00DB1635" w:rsidRPr="00B004EE">
        <w:rPr>
          <w:rFonts w:ascii="Tahoma" w:hAnsi="Tahoma" w:cs="Tahoma"/>
          <w:spacing w:val="-24"/>
          <w:sz w:val="20"/>
          <w:szCs w:val="20"/>
        </w:rPr>
        <w:t xml:space="preserve"> </w:t>
      </w:r>
      <w:r w:rsidRPr="00B004EE">
        <w:rPr>
          <w:rFonts w:ascii="Tahoma" w:hAnsi="Tahoma" w:cs="Tahoma"/>
          <w:sz w:val="20"/>
          <w:szCs w:val="20"/>
        </w:rPr>
        <w:t>de</w:t>
      </w:r>
      <w:r w:rsidR="00DB1635" w:rsidRPr="00B004EE">
        <w:rPr>
          <w:rFonts w:ascii="Tahoma" w:hAnsi="Tahoma" w:cs="Tahoma"/>
          <w:spacing w:val="-23"/>
          <w:sz w:val="20"/>
          <w:szCs w:val="20"/>
        </w:rPr>
        <w:t xml:space="preserve"> </w:t>
      </w:r>
      <w:r w:rsidRPr="00B004EE">
        <w:rPr>
          <w:rFonts w:ascii="Tahoma" w:hAnsi="Tahoma" w:cs="Tahoma"/>
          <w:sz w:val="20"/>
          <w:szCs w:val="20"/>
        </w:rPr>
        <w:t>pêche</w:t>
      </w:r>
      <w:r w:rsidR="00DB1635" w:rsidRPr="00B004EE">
        <w:rPr>
          <w:rFonts w:ascii="Tahoma" w:hAnsi="Tahoma" w:cs="Tahoma"/>
          <w:spacing w:val="-23"/>
          <w:sz w:val="20"/>
          <w:szCs w:val="20"/>
        </w:rPr>
        <w:t xml:space="preserve"> </w:t>
      </w:r>
      <w:r w:rsidRPr="00B004EE">
        <w:rPr>
          <w:rFonts w:ascii="Tahoma" w:hAnsi="Tahoma" w:cs="Tahoma"/>
          <w:sz w:val="20"/>
          <w:szCs w:val="20"/>
        </w:rPr>
        <w:t>et</w:t>
      </w:r>
      <w:r w:rsidR="00DB1635" w:rsidRPr="00B004EE">
        <w:rPr>
          <w:rFonts w:ascii="Tahoma" w:hAnsi="Tahoma" w:cs="Tahoma"/>
          <w:spacing w:val="-22"/>
          <w:sz w:val="20"/>
          <w:szCs w:val="20"/>
        </w:rPr>
        <w:t xml:space="preserve"> </w:t>
      </w:r>
      <w:r w:rsidRPr="00B004EE">
        <w:rPr>
          <w:rFonts w:ascii="Tahoma" w:hAnsi="Tahoma" w:cs="Tahoma"/>
          <w:sz w:val="20"/>
          <w:szCs w:val="20"/>
        </w:rPr>
        <w:t>du</w:t>
      </w:r>
      <w:r w:rsidR="00DB1635" w:rsidRPr="00B004EE">
        <w:rPr>
          <w:rFonts w:ascii="Tahoma" w:hAnsi="Tahoma" w:cs="Tahoma"/>
          <w:spacing w:val="-23"/>
          <w:sz w:val="20"/>
          <w:szCs w:val="20"/>
        </w:rPr>
        <w:t xml:space="preserve"> </w:t>
      </w:r>
      <w:r w:rsidRPr="00B004EE">
        <w:rPr>
          <w:rFonts w:ascii="Tahoma" w:hAnsi="Tahoma" w:cs="Tahoma"/>
          <w:sz w:val="20"/>
          <w:szCs w:val="20"/>
        </w:rPr>
        <w:t>navire.</w:t>
      </w:r>
    </w:p>
    <w:p w14:paraId="01BC207D" w14:textId="77777777" w:rsidR="001E7C3C" w:rsidRPr="00B004EE" w:rsidRDefault="001E7C3C" w:rsidP="00B004EE">
      <w:pPr>
        <w:rPr>
          <w:rFonts w:ascii="Tahoma" w:eastAsia="American Typewriter" w:hAnsi="Tahoma" w:cs="Tahoma"/>
          <w:sz w:val="20"/>
          <w:szCs w:val="20"/>
        </w:rPr>
      </w:pPr>
    </w:p>
    <w:p w14:paraId="2937187A" w14:textId="7046208D" w:rsidR="001E7C3C" w:rsidRPr="00B004EE" w:rsidRDefault="001E7C3C" w:rsidP="00B004EE">
      <w:pPr>
        <w:pStyle w:val="Corpsdetexte"/>
        <w:ind w:right="159"/>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96</w:t>
      </w:r>
      <w:r w:rsidR="00DB1635" w:rsidRPr="00B004EE">
        <w:rPr>
          <w:rFonts w:ascii="Tahoma" w:hAnsi="Tahoma" w:cs="Tahoma"/>
          <w:bCs/>
          <w:sz w:val="20"/>
          <w:szCs w:val="20"/>
        </w:rPr>
        <w:t xml:space="preserve"> </w:t>
      </w:r>
      <w:r w:rsidRPr="00B004EE">
        <w:rPr>
          <w:rFonts w:ascii="Tahoma" w:hAnsi="Tahoma" w:cs="Tahoma"/>
          <w:bCs/>
          <w:sz w:val="20"/>
          <w:szCs w:val="20"/>
        </w:rPr>
        <w:t>:</w:t>
      </w:r>
      <w:r w:rsidR="00DB1635" w:rsidRPr="00B004EE">
        <w:rPr>
          <w:rFonts w:ascii="Tahoma" w:hAnsi="Tahoma" w:cs="Tahoma"/>
          <w:b/>
          <w:spacing w:val="34"/>
          <w:sz w:val="20"/>
          <w:szCs w:val="20"/>
        </w:rPr>
        <w:t xml:space="preserve"> </w:t>
      </w:r>
      <w:r w:rsidRPr="00B004EE">
        <w:rPr>
          <w:rFonts w:ascii="Tahoma" w:hAnsi="Tahoma" w:cs="Tahoma"/>
          <w:sz w:val="20"/>
          <w:szCs w:val="20"/>
        </w:rPr>
        <w:t>Le</w:t>
      </w:r>
      <w:r w:rsidR="00DB1635" w:rsidRPr="00B004EE">
        <w:rPr>
          <w:rFonts w:ascii="Tahoma" w:hAnsi="Tahoma" w:cs="Tahoma"/>
          <w:spacing w:val="31"/>
          <w:sz w:val="20"/>
          <w:szCs w:val="20"/>
        </w:rPr>
        <w:t xml:space="preserve"> </w:t>
      </w:r>
      <w:r w:rsidRPr="00B004EE">
        <w:rPr>
          <w:rFonts w:ascii="Tahoma" w:hAnsi="Tahoma" w:cs="Tahoma"/>
          <w:sz w:val="20"/>
          <w:szCs w:val="20"/>
        </w:rPr>
        <w:t>cautionnement</w:t>
      </w:r>
      <w:r w:rsidR="00DB1635" w:rsidRPr="00B004EE">
        <w:rPr>
          <w:rFonts w:ascii="Tahoma" w:hAnsi="Tahoma" w:cs="Tahoma"/>
          <w:spacing w:val="30"/>
          <w:sz w:val="20"/>
          <w:szCs w:val="20"/>
        </w:rPr>
        <w:t xml:space="preserve"> </w:t>
      </w:r>
      <w:r w:rsidRPr="00B004EE">
        <w:rPr>
          <w:rFonts w:ascii="Tahoma" w:hAnsi="Tahoma" w:cs="Tahoma"/>
          <w:sz w:val="20"/>
          <w:szCs w:val="20"/>
        </w:rPr>
        <w:t>prévu</w:t>
      </w:r>
      <w:r w:rsidR="00DB1635" w:rsidRPr="00B004EE">
        <w:rPr>
          <w:rFonts w:ascii="Tahoma" w:hAnsi="Tahoma" w:cs="Tahoma"/>
          <w:spacing w:val="30"/>
          <w:sz w:val="20"/>
          <w:szCs w:val="20"/>
        </w:rPr>
        <w:t xml:space="preserve"> </w:t>
      </w:r>
      <w:r w:rsidRPr="00B004EE">
        <w:rPr>
          <w:rFonts w:ascii="Tahoma" w:hAnsi="Tahoma" w:cs="Tahoma"/>
          <w:sz w:val="20"/>
          <w:szCs w:val="20"/>
        </w:rPr>
        <w:t>aux</w:t>
      </w:r>
      <w:r w:rsidR="00DB1635" w:rsidRPr="00B004EE">
        <w:rPr>
          <w:rFonts w:ascii="Tahoma" w:hAnsi="Tahoma" w:cs="Tahoma"/>
          <w:spacing w:val="31"/>
          <w:sz w:val="20"/>
          <w:szCs w:val="20"/>
        </w:rPr>
        <w:t xml:space="preserve"> </w:t>
      </w:r>
      <w:r w:rsidRPr="00B004EE">
        <w:rPr>
          <w:rFonts w:ascii="Tahoma" w:hAnsi="Tahoma" w:cs="Tahoma"/>
          <w:sz w:val="20"/>
          <w:szCs w:val="20"/>
        </w:rPr>
        <w:t>termes</w:t>
      </w:r>
      <w:r w:rsidR="00DB1635" w:rsidRPr="00B004EE">
        <w:rPr>
          <w:rFonts w:ascii="Tahoma" w:hAnsi="Tahoma" w:cs="Tahoma"/>
          <w:spacing w:val="30"/>
          <w:sz w:val="20"/>
          <w:szCs w:val="20"/>
        </w:rPr>
        <w:t xml:space="preserve"> </w:t>
      </w:r>
      <w:r w:rsidRPr="00B004EE">
        <w:rPr>
          <w:rFonts w:ascii="Tahoma" w:hAnsi="Tahoma" w:cs="Tahoma"/>
          <w:sz w:val="20"/>
          <w:szCs w:val="20"/>
        </w:rPr>
        <w:t>de</w:t>
      </w:r>
      <w:r w:rsidR="00DB1635" w:rsidRPr="00B004EE">
        <w:rPr>
          <w:rFonts w:ascii="Tahoma" w:hAnsi="Tahoma" w:cs="Tahoma"/>
          <w:spacing w:val="29"/>
          <w:sz w:val="20"/>
          <w:szCs w:val="20"/>
        </w:rPr>
        <w:t xml:space="preserve"> </w:t>
      </w:r>
      <w:r w:rsidRPr="00B004EE">
        <w:rPr>
          <w:rFonts w:ascii="Tahoma" w:hAnsi="Tahoma" w:cs="Tahoma"/>
          <w:sz w:val="20"/>
          <w:szCs w:val="20"/>
        </w:rPr>
        <w:t>l'article</w:t>
      </w:r>
      <w:r w:rsidR="00DB1635" w:rsidRPr="00B004EE">
        <w:rPr>
          <w:rFonts w:ascii="Tahoma" w:hAnsi="Tahoma" w:cs="Tahoma"/>
          <w:spacing w:val="-12"/>
          <w:sz w:val="20"/>
          <w:szCs w:val="20"/>
        </w:rPr>
        <w:t xml:space="preserve"> </w:t>
      </w:r>
      <w:r w:rsidRPr="00B004EE">
        <w:rPr>
          <w:rFonts w:ascii="Tahoma" w:hAnsi="Tahoma" w:cs="Tahoma"/>
          <w:sz w:val="20"/>
          <w:szCs w:val="20"/>
        </w:rPr>
        <w:t>95</w:t>
      </w:r>
      <w:r w:rsidR="00DB1635" w:rsidRPr="00B004EE">
        <w:rPr>
          <w:rFonts w:ascii="Tahoma" w:hAnsi="Tahoma" w:cs="Tahoma"/>
          <w:spacing w:val="29"/>
          <w:sz w:val="20"/>
          <w:szCs w:val="20"/>
        </w:rPr>
        <w:t xml:space="preserve"> </w:t>
      </w:r>
      <w:r w:rsidRPr="00B004EE">
        <w:rPr>
          <w:rFonts w:ascii="Tahoma" w:hAnsi="Tahoma" w:cs="Tahoma"/>
          <w:sz w:val="20"/>
          <w:szCs w:val="20"/>
        </w:rPr>
        <w:t>ci-dessus</w:t>
      </w:r>
      <w:r w:rsidR="00DB1635" w:rsidRPr="00B004EE">
        <w:rPr>
          <w:rFonts w:ascii="Tahoma" w:hAnsi="Tahoma" w:cs="Tahoma"/>
          <w:spacing w:val="28"/>
          <w:sz w:val="20"/>
          <w:szCs w:val="20"/>
        </w:rPr>
        <w:t xml:space="preserve"> </w:t>
      </w:r>
      <w:r w:rsidRPr="00B004EE">
        <w:rPr>
          <w:rFonts w:ascii="Tahoma" w:hAnsi="Tahoma" w:cs="Tahoma"/>
          <w:sz w:val="20"/>
          <w:szCs w:val="20"/>
        </w:rPr>
        <w:t>sera</w:t>
      </w:r>
      <w:r w:rsidR="00DB1635" w:rsidRPr="00B004EE">
        <w:rPr>
          <w:rFonts w:ascii="Tahoma" w:hAnsi="Tahoma" w:cs="Tahoma"/>
          <w:w w:val="98"/>
          <w:sz w:val="20"/>
          <w:szCs w:val="20"/>
        </w:rPr>
        <w:t xml:space="preserve"> </w:t>
      </w:r>
      <w:r w:rsidRPr="00B004EE">
        <w:rPr>
          <w:rFonts w:ascii="Tahoma" w:hAnsi="Tahoma" w:cs="Tahoma"/>
          <w:w w:val="95"/>
          <w:sz w:val="20"/>
          <w:szCs w:val="20"/>
        </w:rPr>
        <w:t>immédiatement</w:t>
      </w:r>
      <w:r w:rsidR="00DB1635" w:rsidRPr="00B004EE">
        <w:rPr>
          <w:rFonts w:ascii="Tahoma" w:hAnsi="Tahoma" w:cs="Tahoma"/>
          <w:w w:val="95"/>
          <w:sz w:val="20"/>
          <w:szCs w:val="20"/>
        </w:rPr>
        <w:t xml:space="preserve"> </w:t>
      </w:r>
      <w:r w:rsidRPr="00B004EE">
        <w:rPr>
          <w:rFonts w:ascii="Tahoma" w:hAnsi="Tahoma" w:cs="Tahoma"/>
          <w:w w:val="95"/>
          <w:sz w:val="20"/>
          <w:szCs w:val="20"/>
        </w:rPr>
        <w:t>restitué</w:t>
      </w:r>
      <w:r w:rsidR="00DB1635" w:rsidRPr="00B004EE">
        <w:rPr>
          <w:rFonts w:ascii="Tahoma" w:hAnsi="Tahoma" w:cs="Tahoma"/>
          <w:spacing w:val="44"/>
          <w:w w:val="95"/>
          <w:sz w:val="20"/>
          <w:szCs w:val="20"/>
        </w:rPr>
        <w:t xml:space="preserve"> </w:t>
      </w:r>
      <w:r w:rsidRPr="00B004EE">
        <w:rPr>
          <w:rFonts w:ascii="Tahoma" w:hAnsi="Tahoma" w:cs="Tahoma"/>
          <w:w w:val="95"/>
          <w:sz w:val="20"/>
          <w:szCs w:val="20"/>
        </w:rPr>
        <w:t>:</w:t>
      </w:r>
    </w:p>
    <w:p w14:paraId="41B2DB96" w14:textId="31CE9C57" w:rsidR="001E7C3C" w:rsidRPr="00B004EE" w:rsidRDefault="001E7C3C" w:rsidP="00420DDA">
      <w:pPr>
        <w:pStyle w:val="Paragraphedeliste"/>
        <w:widowControl w:val="0"/>
        <w:numPr>
          <w:ilvl w:val="0"/>
          <w:numId w:val="26"/>
        </w:numPr>
        <w:tabs>
          <w:tab w:val="left" w:pos="1154"/>
        </w:tabs>
        <w:ind w:left="567"/>
        <w:rPr>
          <w:rFonts w:ascii="Tahoma" w:eastAsia="American Typewriter" w:hAnsi="Tahoma" w:cs="Tahoma"/>
          <w:sz w:val="20"/>
          <w:szCs w:val="20"/>
        </w:rPr>
      </w:pPr>
      <w:proofErr w:type="gramStart"/>
      <w:r w:rsidRPr="00B004EE">
        <w:rPr>
          <w:rFonts w:ascii="Tahoma" w:hAnsi="Tahoma" w:cs="Tahoma"/>
          <w:sz w:val="20"/>
          <w:szCs w:val="20"/>
        </w:rPr>
        <w:t>si</w:t>
      </w:r>
      <w:proofErr w:type="gramEnd"/>
      <w:r w:rsidR="00DB1635" w:rsidRPr="00B004EE">
        <w:rPr>
          <w:rFonts w:ascii="Tahoma" w:hAnsi="Tahoma" w:cs="Tahoma"/>
          <w:spacing w:val="-18"/>
          <w:sz w:val="20"/>
          <w:szCs w:val="20"/>
        </w:rPr>
        <w:t xml:space="preserve"> </w:t>
      </w:r>
      <w:r w:rsidRPr="00B004EE">
        <w:rPr>
          <w:rFonts w:ascii="Tahoma" w:hAnsi="Tahoma" w:cs="Tahoma"/>
          <w:sz w:val="20"/>
          <w:szCs w:val="20"/>
        </w:rPr>
        <w:t>le</w:t>
      </w:r>
      <w:r w:rsidR="00DB1635" w:rsidRPr="00B004EE">
        <w:rPr>
          <w:rFonts w:ascii="Tahoma" w:hAnsi="Tahoma" w:cs="Tahoma"/>
          <w:spacing w:val="-19"/>
          <w:sz w:val="20"/>
          <w:szCs w:val="20"/>
        </w:rPr>
        <w:t xml:space="preserve"> </w:t>
      </w:r>
      <w:r w:rsidRPr="00B004EE">
        <w:rPr>
          <w:rFonts w:ascii="Tahoma" w:hAnsi="Tahoma" w:cs="Tahoma"/>
          <w:sz w:val="20"/>
          <w:szCs w:val="20"/>
        </w:rPr>
        <w:t>montant</w:t>
      </w:r>
      <w:r w:rsidR="00DB1635" w:rsidRPr="00B004EE">
        <w:rPr>
          <w:rFonts w:ascii="Tahoma" w:hAnsi="Tahoma" w:cs="Tahoma"/>
          <w:spacing w:val="-19"/>
          <w:sz w:val="20"/>
          <w:szCs w:val="20"/>
        </w:rPr>
        <w:t xml:space="preserve"> </w:t>
      </w:r>
      <w:r w:rsidRPr="00B004EE">
        <w:rPr>
          <w:rFonts w:ascii="Tahoma" w:hAnsi="Tahoma" w:cs="Tahoma"/>
          <w:sz w:val="20"/>
          <w:szCs w:val="20"/>
        </w:rPr>
        <w:t>correspondant</w:t>
      </w:r>
      <w:r w:rsidR="00DB1635" w:rsidRPr="00B004EE">
        <w:rPr>
          <w:rFonts w:ascii="Tahoma" w:hAnsi="Tahoma" w:cs="Tahoma"/>
          <w:spacing w:val="-19"/>
          <w:sz w:val="20"/>
          <w:szCs w:val="20"/>
        </w:rPr>
        <w:t xml:space="preserve"> </w:t>
      </w:r>
      <w:r w:rsidRPr="00B004EE">
        <w:rPr>
          <w:rFonts w:ascii="Tahoma" w:hAnsi="Tahoma" w:cs="Tahoma"/>
          <w:sz w:val="20"/>
          <w:szCs w:val="20"/>
        </w:rPr>
        <w:t>à</w:t>
      </w:r>
      <w:r w:rsidR="00DB1635" w:rsidRPr="00B004EE">
        <w:rPr>
          <w:rFonts w:ascii="Tahoma" w:hAnsi="Tahoma" w:cs="Tahoma"/>
          <w:spacing w:val="-18"/>
          <w:sz w:val="20"/>
          <w:szCs w:val="20"/>
        </w:rPr>
        <w:t xml:space="preserve"> </w:t>
      </w:r>
      <w:r w:rsidRPr="00B004EE">
        <w:rPr>
          <w:rFonts w:ascii="Tahoma" w:hAnsi="Tahoma" w:cs="Tahoma"/>
          <w:sz w:val="20"/>
          <w:szCs w:val="20"/>
        </w:rPr>
        <w:t>une</w:t>
      </w:r>
      <w:r w:rsidR="00DB1635" w:rsidRPr="00B004EE">
        <w:rPr>
          <w:rFonts w:ascii="Tahoma" w:hAnsi="Tahoma" w:cs="Tahoma"/>
          <w:spacing w:val="-19"/>
          <w:sz w:val="20"/>
          <w:szCs w:val="20"/>
        </w:rPr>
        <w:t xml:space="preserve"> </w:t>
      </w:r>
      <w:r w:rsidRPr="00B004EE">
        <w:rPr>
          <w:rFonts w:ascii="Tahoma" w:hAnsi="Tahoma" w:cs="Tahoma"/>
          <w:sz w:val="20"/>
          <w:szCs w:val="20"/>
        </w:rPr>
        <w:t>transaction</w:t>
      </w:r>
      <w:r w:rsidR="00DB1635" w:rsidRPr="00B004EE">
        <w:rPr>
          <w:rFonts w:ascii="Tahoma" w:hAnsi="Tahoma" w:cs="Tahoma"/>
          <w:spacing w:val="-19"/>
          <w:sz w:val="20"/>
          <w:szCs w:val="20"/>
        </w:rPr>
        <w:t xml:space="preserve"> </w:t>
      </w:r>
      <w:r w:rsidRPr="00B004EE">
        <w:rPr>
          <w:rFonts w:ascii="Tahoma" w:hAnsi="Tahoma" w:cs="Tahoma"/>
          <w:sz w:val="20"/>
          <w:szCs w:val="20"/>
        </w:rPr>
        <w:t>a</w:t>
      </w:r>
      <w:r w:rsidR="00DB1635" w:rsidRPr="00B004EE">
        <w:rPr>
          <w:rFonts w:ascii="Tahoma" w:hAnsi="Tahoma" w:cs="Tahoma"/>
          <w:spacing w:val="-18"/>
          <w:sz w:val="20"/>
          <w:szCs w:val="20"/>
        </w:rPr>
        <w:t xml:space="preserve"> </w:t>
      </w:r>
      <w:r w:rsidRPr="00B004EE">
        <w:rPr>
          <w:rFonts w:ascii="Tahoma" w:hAnsi="Tahoma" w:cs="Tahoma"/>
          <w:sz w:val="20"/>
          <w:szCs w:val="20"/>
        </w:rPr>
        <w:t>été</w:t>
      </w:r>
      <w:r w:rsidR="00DB1635" w:rsidRPr="00B004EE">
        <w:rPr>
          <w:rFonts w:ascii="Tahoma" w:hAnsi="Tahoma" w:cs="Tahoma"/>
          <w:spacing w:val="-19"/>
          <w:sz w:val="20"/>
          <w:szCs w:val="20"/>
        </w:rPr>
        <w:t xml:space="preserve"> </w:t>
      </w:r>
      <w:r w:rsidRPr="00B004EE">
        <w:rPr>
          <w:rFonts w:ascii="Tahoma" w:hAnsi="Tahoma" w:cs="Tahoma"/>
          <w:sz w:val="20"/>
          <w:szCs w:val="20"/>
        </w:rPr>
        <w:t>intégralement</w:t>
      </w:r>
      <w:r w:rsidR="00DB1635" w:rsidRPr="00B004EE">
        <w:rPr>
          <w:rFonts w:ascii="Tahoma" w:hAnsi="Tahoma" w:cs="Tahoma"/>
          <w:spacing w:val="-18"/>
          <w:sz w:val="20"/>
          <w:szCs w:val="20"/>
        </w:rPr>
        <w:t xml:space="preserve"> </w:t>
      </w:r>
      <w:r w:rsidRPr="00B004EE">
        <w:rPr>
          <w:rFonts w:ascii="Tahoma" w:hAnsi="Tahoma" w:cs="Tahoma"/>
          <w:sz w:val="20"/>
          <w:szCs w:val="20"/>
        </w:rPr>
        <w:t>versé</w:t>
      </w:r>
      <w:r w:rsidR="00DB1635" w:rsidRPr="00B004EE">
        <w:rPr>
          <w:rFonts w:ascii="Tahoma" w:hAnsi="Tahoma" w:cs="Tahoma"/>
          <w:spacing w:val="-19"/>
          <w:sz w:val="20"/>
          <w:szCs w:val="20"/>
        </w:rPr>
        <w:t xml:space="preserve"> </w:t>
      </w:r>
      <w:r w:rsidRPr="00B004EE">
        <w:rPr>
          <w:rFonts w:ascii="Tahoma" w:hAnsi="Tahoma" w:cs="Tahoma"/>
          <w:sz w:val="20"/>
          <w:szCs w:val="20"/>
        </w:rPr>
        <w:t>;</w:t>
      </w:r>
    </w:p>
    <w:p w14:paraId="059EDD1E" w14:textId="3255D689" w:rsidR="001E7C3C" w:rsidRPr="00B004EE" w:rsidRDefault="001E7C3C" w:rsidP="00420DDA">
      <w:pPr>
        <w:pStyle w:val="Paragraphedeliste"/>
        <w:widowControl w:val="0"/>
        <w:numPr>
          <w:ilvl w:val="0"/>
          <w:numId w:val="26"/>
        </w:numPr>
        <w:tabs>
          <w:tab w:val="left" w:pos="1154"/>
        </w:tabs>
        <w:ind w:left="567" w:right="160"/>
        <w:jc w:val="both"/>
        <w:rPr>
          <w:rFonts w:ascii="Tahoma" w:eastAsia="American Typewriter" w:hAnsi="Tahoma" w:cs="Tahoma"/>
          <w:sz w:val="20"/>
          <w:szCs w:val="20"/>
        </w:rPr>
      </w:pPr>
      <w:proofErr w:type="gramStart"/>
      <w:r w:rsidRPr="00B004EE">
        <w:rPr>
          <w:rFonts w:ascii="Tahoma" w:hAnsi="Tahoma" w:cs="Tahoma"/>
          <w:sz w:val="20"/>
          <w:szCs w:val="20"/>
        </w:rPr>
        <w:t>s'il</w:t>
      </w:r>
      <w:proofErr w:type="gramEnd"/>
      <w:r w:rsidR="00DB1635" w:rsidRPr="00B004EE">
        <w:rPr>
          <w:rFonts w:ascii="Tahoma" w:hAnsi="Tahoma" w:cs="Tahoma"/>
          <w:sz w:val="20"/>
          <w:szCs w:val="20"/>
        </w:rPr>
        <w:t xml:space="preserve"> </w:t>
      </w:r>
      <w:r w:rsidRPr="00B004EE">
        <w:rPr>
          <w:rFonts w:ascii="Tahoma" w:hAnsi="Tahoma" w:cs="Tahoma"/>
          <w:sz w:val="20"/>
          <w:szCs w:val="20"/>
        </w:rPr>
        <w:t>a</w:t>
      </w:r>
      <w:r w:rsidR="00DB1635" w:rsidRPr="00B004EE">
        <w:rPr>
          <w:rFonts w:ascii="Tahoma" w:hAnsi="Tahoma" w:cs="Tahoma"/>
          <w:sz w:val="20"/>
          <w:szCs w:val="20"/>
        </w:rPr>
        <w:t xml:space="preserve"> </w:t>
      </w:r>
      <w:r w:rsidRPr="00B004EE">
        <w:rPr>
          <w:rFonts w:ascii="Tahoma" w:hAnsi="Tahoma" w:cs="Tahoma"/>
          <w:sz w:val="20"/>
          <w:szCs w:val="20"/>
        </w:rPr>
        <w:t>été</w:t>
      </w:r>
      <w:r w:rsidR="00DB1635" w:rsidRPr="00B004EE">
        <w:rPr>
          <w:rFonts w:ascii="Tahoma" w:hAnsi="Tahoma" w:cs="Tahoma"/>
          <w:sz w:val="20"/>
          <w:szCs w:val="20"/>
        </w:rPr>
        <w:t xml:space="preserve"> </w:t>
      </w:r>
      <w:r w:rsidRPr="00B004EE">
        <w:rPr>
          <w:rFonts w:ascii="Tahoma" w:hAnsi="Tahoma" w:cs="Tahoma"/>
          <w:sz w:val="20"/>
          <w:szCs w:val="20"/>
        </w:rPr>
        <w:t>prononcé</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décision</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non-lieu</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d'acquittement</w:t>
      </w:r>
      <w:r w:rsidR="00DB1635" w:rsidRPr="00B004EE">
        <w:rPr>
          <w:rFonts w:ascii="Tahoma" w:hAnsi="Tahoma" w:cs="Tahoma"/>
          <w:spacing w:val="13"/>
          <w:sz w:val="20"/>
          <w:szCs w:val="20"/>
        </w:rPr>
        <w:t xml:space="preserve"> </w:t>
      </w:r>
      <w:r w:rsidRPr="00B004EE">
        <w:rPr>
          <w:rFonts w:ascii="Tahoma" w:hAnsi="Tahoma" w:cs="Tahoma"/>
          <w:sz w:val="20"/>
          <w:szCs w:val="20"/>
        </w:rPr>
        <w:t>des</w:t>
      </w:r>
      <w:r w:rsidR="00DB1635" w:rsidRPr="00B004EE">
        <w:rPr>
          <w:rFonts w:ascii="Tahoma" w:hAnsi="Tahoma" w:cs="Tahoma"/>
          <w:w w:val="94"/>
          <w:sz w:val="20"/>
          <w:szCs w:val="20"/>
        </w:rPr>
        <w:t xml:space="preserve"> </w:t>
      </w:r>
      <w:r w:rsidRPr="00B004EE">
        <w:rPr>
          <w:rFonts w:ascii="Tahoma" w:hAnsi="Tahoma" w:cs="Tahoma"/>
          <w:sz w:val="20"/>
          <w:szCs w:val="20"/>
        </w:rPr>
        <w:t>prévenus</w:t>
      </w:r>
      <w:r w:rsidR="00DB1635" w:rsidRPr="00B004EE">
        <w:rPr>
          <w:rFonts w:ascii="Tahoma" w:hAnsi="Tahoma" w:cs="Tahoma"/>
          <w:spacing w:val="4"/>
          <w:sz w:val="20"/>
          <w:szCs w:val="20"/>
        </w:rPr>
        <w:t xml:space="preserve"> </w:t>
      </w:r>
      <w:r w:rsidRPr="00B004EE">
        <w:rPr>
          <w:rFonts w:ascii="Tahoma" w:hAnsi="Tahoma" w:cs="Tahoma"/>
          <w:sz w:val="20"/>
          <w:szCs w:val="20"/>
        </w:rPr>
        <w:t>;</w:t>
      </w:r>
    </w:p>
    <w:p w14:paraId="3A957049" w14:textId="4B1C50C0" w:rsidR="001E7C3C" w:rsidRPr="00B004EE" w:rsidRDefault="001E7C3C" w:rsidP="00420DDA">
      <w:pPr>
        <w:pStyle w:val="Paragraphedeliste"/>
        <w:widowControl w:val="0"/>
        <w:numPr>
          <w:ilvl w:val="0"/>
          <w:numId w:val="26"/>
        </w:numPr>
        <w:tabs>
          <w:tab w:val="left" w:pos="1154"/>
        </w:tabs>
        <w:ind w:left="567" w:right="163"/>
        <w:jc w:val="both"/>
        <w:rPr>
          <w:rFonts w:ascii="Tahoma" w:eastAsia="American Typewriter" w:hAnsi="Tahoma" w:cs="Tahoma"/>
          <w:sz w:val="20"/>
          <w:szCs w:val="20"/>
        </w:rPr>
      </w:pPr>
      <w:proofErr w:type="gramStart"/>
      <w:r w:rsidRPr="00B004EE">
        <w:rPr>
          <w:rFonts w:ascii="Tahoma" w:hAnsi="Tahoma" w:cs="Tahoma"/>
          <w:sz w:val="20"/>
          <w:szCs w:val="20"/>
        </w:rPr>
        <w:t>si</w:t>
      </w:r>
      <w:proofErr w:type="gramEnd"/>
      <w:r w:rsidR="00DB1635" w:rsidRPr="00B004EE">
        <w:rPr>
          <w:rFonts w:ascii="Tahoma" w:hAnsi="Tahoma" w:cs="Tahoma"/>
          <w:spacing w:val="31"/>
          <w:sz w:val="20"/>
          <w:szCs w:val="20"/>
        </w:rPr>
        <w:t xml:space="preserve"> </w:t>
      </w:r>
      <w:r w:rsidRPr="00B004EE">
        <w:rPr>
          <w:rFonts w:ascii="Tahoma" w:hAnsi="Tahoma" w:cs="Tahoma"/>
          <w:sz w:val="20"/>
          <w:szCs w:val="20"/>
        </w:rPr>
        <w:t>le</w:t>
      </w:r>
      <w:r w:rsidR="00DB1635" w:rsidRPr="00B004EE">
        <w:rPr>
          <w:rFonts w:ascii="Tahoma" w:hAnsi="Tahoma" w:cs="Tahoma"/>
          <w:spacing w:val="31"/>
          <w:sz w:val="20"/>
          <w:szCs w:val="20"/>
        </w:rPr>
        <w:t xml:space="preserve"> </w:t>
      </w:r>
      <w:r w:rsidRPr="00B004EE">
        <w:rPr>
          <w:rFonts w:ascii="Tahoma" w:hAnsi="Tahoma" w:cs="Tahoma"/>
          <w:sz w:val="20"/>
          <w:szCs w:val="20"/>
        </w:rPr>
        <w:t>Tribunal</w:t>
      </w:r>
      <w:r w:rsidR="00DB1635" w:rsidRPr="00B004EE">
        <w:rPr>
          <w:rFonts w:ascii="Tahoma" w:hAnsi="Tahoma" w:cs="Tahoma"/>
          <w:spacing w:val="32"/>
          <w:sz w:val="20"/>
          <w:szCs w:val="20"/>
        </w:rPr>
        <w:t xml:space="preserve"> </w:t>
      </w:r>
      <w:r w:rsidRPr="00B004EE">
        <w:rPr>
          <w:rFonts w:ascii="Tahoma" w:hAnsi="Tahoma" w:cs="Tahoma"/>
          <w:sz w:val="20"/>
          <w:szCs w:val="20"/>
        </w:rPr>
        <w:t>a</w:t>
      </w:r>
      <w:r w:rsidR="00DB1635" w:rsidRPr="00B004EE">
        <w:rPr>
          <w:rFonts w:ascii="Tahoma" w:hAnsi="Tahoma" w:cs="Tahoma"/>
          <w:spacing w:val="31"/>
          <w:sz w:val="20"/>
          <w:szCs w:val="20"/>
        </w:rPr>
        <w:t xml:space="preserve"> </w:t>
      </w:r>
      <w:r w:rsidRPr="00B004EE">
        <w:rPr>
          <w:rFonts w:ascii="Tahoma" w:hAnsi="Tahoma" w:cs="Tahoma"/>
          <w:sz w:val="20"/>
          <w:szCs w:val="20"/>
        </w:rPr>
        <w:t>condamné</w:t>
      </w:r>
      <w:r w:rsidR="00DB1635" w:rsidRPr="00B004EE">
        <w:rPr>
          <w:rFonts w:ascii="Tahoma" w:hAnsi="Tahoma" w:cs="Tahoma"/>
          <w:spacing w:val="31"/>
          <w:sz w:val="20"/>
          <w:szCs w:val="20"/>
        </w:rPr>
        <w:t xml:space="preserve"> </w:t>
      </w:r>
      <w:r w:rsidRPr="00B004EE">
        <w:rPr>
          <w:rFonts w:ascii="Tahoma" w:hAnsi="Tahoma" w:cs="Tahoma"/>
          <w:sz w:val="20"/>
          <w:szCs w:val="20"/>
        </w:rPr>
        <w:t>le</w:t>
      </w:r>
      <w:r w:rsidR="00DB1635" w:rsidRPr="00B004EE">
        <w:rPr>
          <w:rFonts w:ascii="Tahoma" w:hAnsi="Tahoma" w:cs="Tahoma"/>
          <w:spacing w:val="31"/>
          <w:sz w:val="20"/>
          <w:szCs w:val="20"/>
        </w:rPr>
        <w:t xml:space="preserve"> </w:t>
      </w:r>
      <w:r w:rsidRPr="00B004EE">
        <w:rPr>
          <w:rFonts w:ascii="Tahoma" w:hAnsi="Tahoma" w:cs="Tahoma"/>
          <w:sz w:val="20"/>
          <w:szCs w:val="20"/>
        </w:rPr>
        <w:t>ou</w:t>
      </w:r>
      <w:r w:rsidR="00DB1635" w:rsidRPr="00B004EE">
        <w:rPr>
          <w:rFonts w:ascii="Tahoma" w:hAnsi="Tahoma" w:cs="Tahoma"/>
          <w:spacing w:val="30"/>
          <w:sz w:val="20"/>
          <w:szCs w:val="20"/>
        </w:rPr>
        <w:t xml:space="preserve"> </w:t>
      </w:r>
      <w:r w:rsidRPr="00B004EE">
        <w:rPr>
          <w:rFonts w:ascii="Tahoma" w:hAnsi="Tahoma" w:cs="Tahoma"/>
          <w:sz w:val="20"/>
          <w:szCs w:val="20"/>
        </w:rPr>
        <w:t>les</w:t>
      </w:r>
      <w:r w:rsidR="00DB1635" w:rsidRPr="00B004EE">
        <w:rPr>
          <w:rFonts w:ascii="Tahoma" w:hAnsi="Tahoma" w:cs="Tahoma"/>
          <w:spacing w:val="30"/>
          <w:sz w:val="20"/>
          <w:szCs w:val="20"/>
        </w:rPr>
        <w:t xml:space="preserve"> </w:t>
      </w:r>
      <w:r w:rsidRPr="00B004EE">
        <w:rPr>
          <w:rFonts w:ascii="Tahoma" w:hAnsi="Tahoma" w:cs="Tahoma"/>
          <w:sz w:val="20"/>
          <w:szCs w:val="20"/>
        </w:rPr>
        <w:t>auteurs</w:t>
      </w:r>
      <w:r w:rsidR="00DB1635" w:rsidRPr="00B004EE">
        <w:rPr>
          <w:rFonts w:ascii="Tahoma" w:hAnsi="Tahoma" w:cs="Tahoma"/>
          <w:spacing w:val="30"/>
          <w:sz w:val="20"/>
          <w:szCs w:val="20"/>
        </w:rPr>
        <w:t xml:space="preserve"> </w:t>
      </w:r>
      <w:r w:rsidRPr="00B004EE">
        <w:rPr>
          <w:rFonts w:ascii="Tahoma" w:hAnsi="Tahoma" w:cs="Tahoma"/>
          <w:sz w:val="20"/>
          <w:szCs w:val="20"/>
        </w:rPr>
        <w:t>de</w:t>
      </w:r>
      <w:r w:rsidR="00DB1635" w:rsidRPr="00B004EE">
        <w:rPr>
          <w:rFonts w:ascii="Tahoma" w:hAnsi="Tahoma" w:cs="Tahoma"/>
          <w:spacing w:val="31"/>
          <w:sz w:val="20"/>
          <w:szCs w:val="20"/>
        </w:rPr>
        <w:t xml:space="preserve"> </w:t>
      </w:r>
      <w:r w:rsidRPr="00B004EE">
        <w:rPr>
          <w:rFonts w:ascii="Tahoma" w:hAnsi="Tahoma" w:cs="Tahoma"/>
          <w:sz w:val="20"/>
          <w:szCs w:val="20"/>
        </w:rPr>
        <w:t>l'infraction</w:t>
      </w:r>
      <w:r w:rsidR="00DB1635" w:rsidRPr="00B004EE">
        <w:rPr>
          <w:rFonts w:ascii="Tahoma" w:hAnsi="Tahoma" w:cs="Tahoma"/>
          <w:spacing w:val="30"/>
          <w:sz w:val="20"/>
          <w:szCs w:val="20"/>
        </w:rPr>
        <w:t xml:space="preserve"> </w:t>
      </w:r>
      <w:r w:rsidRPr="00B004EE">
        <w:rPr>
          <w:rFonts w:ascii="Tahoma" w:hAnsi="Tahoma" w:cs="Tahoma"/>
          <w:sz w:val="20"/>
          <w:szCs w:val="20"/>
        </w:rPr>
        <w:t>et</w:t>
      </w:r>
      <w:r w:rsidR="00DB1635" w:rsidRPr="00B004EE">
        <w:rPr>
          <w:rFonts w:ascii="Tahoma" w:hAnsi="Tahoma" w:cs="Tahoma"/>
          <w:spacing w:val="31"/>
          <w:sz w:val="20"/>
          <w:szCs w:val="20"/>
        </w:rPr>
        <w:t xml:space="preserve"> </w:t>
      </w:r>
      <w:r w:rsidRPr="00B004EE">
        <w:rPr>
          <w:rFonts w:ascii="Tahoma" w:hAnsi="Tahoma" w:cs="Tahoma"/>
          <w:sz w:val="20"/>
          <w:szCs w:val="20"/>
        </w:rPr>
        <w:t>s'il</w:t>
      </w:r>
      <w:r w:rsidR="00DB1635" w:rsidRPr="00B004EE">
        <w:rPr>
          <w:rFonts w:ascii="Tahoma" w:hAnsi="Tahoma" w:cs="Tahoma"/>
          <w:spacing w:val="30"/>
          <w:sz w:val="20"/>
          <w:szCs w:val="20"/>
        </w:rPr>
        <w:t xml:space="preserve"> </w:t>
      </w:r>
      <w:r w:rsidRPr="00B004EE">
        <w:rPr>
          <w:rFonts w:ascii="Tahoma" w:hAnsi="Tahoma" w:cs="Tahoma"/>
          <w:sz w:val="20"/>
          <w:szCs w:val="20"/>
        </w:rPr>
        <w:t>a</w:t>
      </w:r>
      <w:r w:rsidR="00DB1635" w:rsidRPr="00B004EE">
        <w:rPr>
          <w:rFonts w:ascii="Tahoma" w:hAnsi="Tahoma" w:cs="Tahoma"/>
          <w:spacing w:val="30"/>
          <w:sz w:val="20"/>
          <w:szCs w:val="20"/>
        </w:rPr>
        <w:t xml:space="preserve"> </w:t>
      </w:r>
      <w:r w:rsidRPr="00B004EE">
        <w:rPr>
          <w:rFonts w:ascii="Tahoma" w:hAnsi="Tahoma" w:cs="Tahoma"/>
          <w:sz w:val="20"/>
          <w:szCs w:val="20"/>
        </w:rPr>
        <w:t>été</w:t>
      </w:r>
      <w:r w:rsidR="00DB1635" w:rsidRPr="00B004EE">
        <w:rPr>
          <w:rFonts w:ascii="Tahoma" w:hAnsi="Tahoma" w:cs="Tahoma"/>
          <w:w w:val="95"/>
          <w:sz w:val="20"/>
          <w:szCs w:val="20"/>
        </w:rPr>
        <w:t xml:space="preserve"> </w:t>
      </w:r>
      <w:r w:rsidRPr="00B004EE">
        <w:rPr>
          <w:rFonts w:ascii="Tahoma" w:hAnsi="Tahoma" w:cs="Tahoma"/>
          <w:sz w:val="20"/>
          <w:szCs w:val="20"/>
        </w:rPr>
        <w:t>procédé</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paiement</w:t>
      </w:r>
      <w:r w:rsidR="00DB1635" w:rsidRPr="00B004EE">
        <w:rPr>
          <w:rFonts w:ascii="Tahoma" w:hAnsi="Tahoma" w:cs="Tahoma"/>
          <w:sz w:val="20"/>
          <w:szCs w:val="20"/>
        </w:rPr>
        <w:t xml:space="preserve"> </w:t>
      </w:r>
      <w:r w:rsidRPr="00B004EE">
        <w:rPr>
          <w:rFonts w:ascii="Tahoma" w:hAnsi="Tahoma" w:cs="Tahoma"/>
          <w:sz w:val="20"/>
          <w:szCs w:val="20"/>
        </w:rPr>
        <w:t>intégral</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toutes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amendes,</w:t>
      </w:r>
      <w:r w:rsidR="00DB1635" w:rsidRPr="00B004EE">
        <w:rPr>
          <w:rFonts w:ascii="Tahoma" w:hAnsi="Tahoma" w:cs="Tahoma"/>
          <w:sz w:val="20"/>
          <w:szCs w:val="20"/>
        </w:rPr>
        <w:t xml:space="preserve"> </w:t>
      </w:r>
      <w:r w:rsidRPr="00B004EE">
        <w:rPr>
          <w:rFonts w:ascii="Tahoma" w:hAnsi="Tahoma" w:cs="Tahoma"/>
          <w:sz w:val="20"/>
          <w:szCs w:val="20"/>
        </w:rPr>
        <w:t>dépenses</w:t>
      </w:r>
      <w:r w:rsidR="00DB1635" w:rsidRPr="00B004EE">
        <w:rPr>
          <w:rFonts w:ascii="Tahoma" w:hAnsi="Tahoma" w:cs="Tahoma"/>
          <w:spacing w:val="50"/>
          <w:sz w:val="20"/>
          <w:szCs w:val="20"/>
        </w:rPr>
        <w:t xml:space="preserve"> </w:t>
      </w:r>
      <w:r w:rsidRPr="00B004EE">
        <w:rPr>
          <w:rFonts w:ascii="Tahoma" w:hAnsi="Tahoma" w:cs="Tahoma"/>
          <w:sz w:val="20"/>
          <w:szCs w:val="20"/>
        </w:rPr>
        <w:t>et</w:t>
      </w:r>
      <w:r w:rsidR="00DB1635" w:rsidRPr="00B004EE">
        <w:rPr>
          <w:rFonts w:ascii="Tahoma" w:hAnsi="Tahoma" w:cs="Tahoma"/>
          <w:w w:val="95"/>
          <w:sz w:val="20"/>
          <w:szCs w:val="20"/>
        </w:rPr>
        <w:t xml:space="preserve"> </w:t>
      </w:r>
      <w:r w:rsidRPr="00B004EE">
        <w:rPr>
          <w:rFonts w:ascii="Tahoma" w:hAnsi="Tahoma" w:cs="Tahoma"/>
          <w:sz w:val="20"/>
          <w:szCs w:val="20"/>
        </w:rPr>
        <w:t>émoluments</w:t>
      </w:r>
      <w:r w:rsidR="00DB1635" w:rsidRPr="00B004EE">
        <w:rPr>
          <w:rFonts w:ascii="Tahoma" w:hAnsi="Tahoma" w:cs="Tahoma"/>
          <w:spacing w:val="41"/>
          <w:sz w:val="20"/>
          <w:szCs w:val="20"/>
        </w:rPr>
        <w:t xml:space="preserve"> </w:t>
      </w:r>
      <w:r w:rsidRPr="00B004EE">
        <w:rPr>
          <w:rFonts w:ascii="Tahoma" w:hAnsi="Tahoma" w:cs="Tahoma"/>
          <w:sz w:val="20"/>
          <w:szCs w:val="20"/>
        </w:rPr>
        <w:t>à</w:t>
      </w:r>
      <w:r w:rsidR="00DB1635" w:rsidRPr="00B004EE">
        <w:rPr>
          <w:rFonts w:ascii="Tahoma" w:hAnsi="Tahoma" w:cs="Tahoma"/>
          <w:spacing w:val="41"/>
          <w:sz w:val="20"/>
          <w:szCs w:val="20"/>
        </w:rPr>
        <w:t xml:space="preserve"> </w:t>
      </w:r>
      <w:r w:rsidRPr="00B004EE">
        <w:rPr>
          <w:rFonts w:ascii="Tahoma" w:hAnsi="Tahoma" w:cs="Tahoma"/>
          <w:sz w:val="20"/>
          <w:szCs w:val="20"/>
        </w:rPr>
        <w:t>la</w:t>
      </w:r>
      <w:r w:rsidR="00DB1635" w:rsidRPr="00B004EE">
        <w:rPr>
          <w:rFonts w:ascii="Tahoma" w:hAnsi="Tahoma" w:cs="Tahoma"/>
          <w:spacing w:val="41"/>
          <w:sz w:val="20"/>
          <w:szCs w:val="20"/>
        </w:rPr>
        <w:t xml:space="preserve"> </w:t>
      </w:r>
      <w:r w:rsidRPr="00B004EE">
        <w:rPr>
          <w:rFonts w:ascii="Tahoma" w:hAnsi="Tahoma" w:cs="Tahoma"/>
          <w:sz w:val="20"/>
          <w:szCs w:val="20"/>
        </w:rPr>
        <w:t>charge</w:t>
      </w:r>
      <w:r w:rsidR="00DB1635" w:rsidRPr="00B004EE">
        <w:rPr>
          <w:rFonts w:ascii="Tahoma" w:hAnsi="Tahoma" w:cs="Tahoma"/>
          <w:spacing w:val="40"/>
          <w:sz w:val="20"/>
          <w:szCs w:val="20"/>
        </w:rPr>
        <w:t xml:space="preserve"> </w:t>
      </w:r>
      <w:r w:rsidRPr="00B004EE">
        <w:rPr>
          <w:rFonts w:ascii="Tahoma" w:hAnsi="Tahoma" w:cs="Tahoma"/>
          <w:sz w:val="20"/>
          <w:szCs w:val="20"/>
        </w:rPr>
        <w:t>des</w:t>
      </w:r>
      <w:r w:rsidR="00DB1635" w:rsidRPr="00B004EE">
        <w:rPr>
          <w:rFonts w:ascii="Tahoma" w:hAnsi="Tahoma" w:cs="Tahoma"/>
          <w:spacing w:val="40"/>
          <w:sz w:val="20"/>
          <w:szCs w:val="20"/>
        </w:rPr>
        <w:t xml:space="preserve"> </w:t>
      </w:r>
      <w:r w:rsidRPr="00B004EE">
        <w:rPr>
          <w:rFonts w:ascii="Tahoma" w:hAnsi="Tahoma" w:cs="Tahoma"/>
          <w:sz w:val="20"/>
          <w:szCs w:val="20"/>
        </w:rPr>
        <w:t>auteurs</w:t>
      </w:r>
      <w:r w:rsidR="00DB1635" w:rsidRPr="00B004EE">
        <w:rPr>
          <w:rFonts w:ascii="Tahoma" w:hAnsi="Tahoma" w:cs="Tahoma"/>
          <w:spacing w:val="40"/>
          <w:sz w:val="20"/>
          <w:szCs w:val="20"/>
        </w:rPr>
        <w:t xml:space="preserve"> </w:t>
      </w:r>
      <w:r w:rsidRPr="00B004EE">
        <w:rPr>
          <w:rFonts w:ascii="Tahoma" w:hAnsi="Tahoma" w:cs="Tahoma"/>
          <w:sz w:val="20"/>
          <w:szCs w:val="20"/>
        </w:rPr>
        <w:t>de</w:t>
      </w:r>
      <w:r w:rsidR="00DB1635" w:rsidRPr="00B004EE">
        <w:rPr>
          <w:rFonts w:ascii="Tahoma" w:hAnsi="Tahoma" w:cs="Tahoma"/>
          <w:spacing w:val="40"/>
          <w:sz w:val="20"/>
          <w:szCs w:val="20"/>
        </w:rPr>
        <w:t xml:space="preserve"> </w:t>
      </w:r>
      <w:r w:rsidRPr="00B004EE">
        <w:rPr>
          <w:rFonts w:ascii="Tahoma" w:hAnsi="Tahoma" w:cs="Tahoma"/>
          <w:sz w:val="20"/>
          <w:szCs w:val="20"/>
        </w:rPr>
        <w:t>l'infraction</w:t>
      </w:r>
      <w:r w:rsidR="00DB1635" w:rsidRPr="00B004EE">
        <w:rPr>
          <w:rFonts w:ascii="Tahoma" w:hAnsi="Tahoma" w:cs="Tahoma"/>
          <w:spacing w:val="39"/>
          <w:sz w:val="20"/>
          <w:szCs w:val="20"/>
        </w:rPr>
        <w:t xml:space="preserve"> </w:t>
      </w:r>
      <w:r w:rsidRPr="00B004EE">
        <w:rPr>
          <w:rFonts w:ascii="Tahoma" w:hAnsi="Tahoma" w:cs="Tahoma"/>
          <w:sz w:val="20"/>
          <w:szCs w:val="20"/>
        </w:rPr>
        <w:t>conformément</w:t>
      </w:r>
      <w:r w:rsidR="00DB1635" w:rsidRPr="00B004EE">
        <w:rPr>
          <w:rFonts w:ascii="Tahoma" w:hAnsi="Tahoma" w:cs="Tahoma"/>
          <w:spacing w:val="39"/>
          <w:sz w:val="20"/>
          <w:szCs w:val="20"/>
        </w:rPr>
        <w:t xml:space="preserve"> </w:t>
      </w:r>
      <w:r w:rsidRPr="00B004EE">
        <w:rPr>
          <w:rFonts w:ascii="Tahoma" w:hAnsi="Tahoma" w:cs="Tahoma"/>
          <w:sz w:val="20"/>
          <w:szCs w:val="20"/>
        </w:rPr>
        <w:t>au</w:t>
      </w:r>
      <w:r w:rsidR="00DB1635" w:rsidRPr="00B004EE">
        <w:rPr>
          <w:rFonts w:ascii="Tahoma" w:hAnsi="Tahoma" w:cs="Tahoma"/>
          <w:w w:val="98"/>
          <w:sz w:val="20"/>
          <w:szCs w:val="20"/>
        </w:rPr>
        <w:t xml:space="preserve"> </w:t>
      </w:r>
      <w:r w:rsidRPr="00B004EE">
        <w:rPr>
          <w:rFonts w:ascii="Tahoma" w:hAnsi="Tahoma" w:cs="Tahoma"/>
          <w:sz w:val="20"/>
          <w:szCs w:val="20"/>
        </w:rPr>
        <w:t>jugement,</w:t>
      </w:r>
      <w:r w:rsidR="00DB1635" w:rsidRPr="00B004EE">
        <w:rPr>
          <w:rFonts w:ascii="Tahoma" w:hAnsi="Tahoma" w:cs="Tahoma"/>
          <w:spacing w:val="-6"/>
          <w:sz w:val="20"/>
          <w:szCs w:val="20"/>
        </w:rPr>
        <w:t xml:space="preserve"> </w:t>
      </w:r>
      <w:r w:rsidRPr="00B004EE">
        <w:rPr>
          <w:rFonts w:ascii="Tahoma" w:hAnsi="Tahoma" w:cs="Tahoma"/>
          <w:sz w:val="20"/>
          <w:szCs w:val="20"/>
        </w:rPr>
        <w:t>dans</w:t>
      </w:r>
      <w:r w:rsidR="00DB1635" w:rsidRPr="00B004EE">
        <w:rPr>
          <w:rFonts w:ascii="Tahoma" w:hAnsi="Tahoma" w:cs="Tahoma"/>
          <w:spacing w:val="-7"/>
          <w:sz w:val="20"/>
          <w:szCs w:val="20"/>
        </w:rPr>
        <w:t xml:space="preserve"> </w:t>
      </w:r>
      <w:r w:rsidRPr="00B004EE">
        <w:rPr>
          <w:rFonts w:ascii="Tahoma" w:hAnsi="Tahoma" w:cs="Tahoma"/>
          <w:sz w:val="20"/>
          <w:szCs w:val="20"/>
        </w:rPr>
        <w:t>les</w:t>
      </w:r>
      <w:r w:rsidR="00DB1635" w:rsidRPr="00B004EE">
        <w:rPr>
          <w:rFonts w:ascii="Tahoma" w:hAnsi="Tahoma" w:cs="Tahoma"/>
          <w:spacing w:val="-6"/>
          <w:sz w:val="20"/>
          <w:szCs w:val="20"/>
        </w:rPr>
        <w:t xml:space="preserve"> </w:t>
      </w:r>
      <w:r w:rsidRPr="00B004EE">
        <w:rPr>
          <w:rFonts w:ascii="Tahoma" w:hAnsi="Tahoma" w:cs="Tahoma"/>
          <w:sz w:val="20"/>
          <w:szCs w:val="20"/>
        </w:rPr>
        <w:t>trente</w:t>
      </w:r>
      <w:r w:rsidR="00DB1635" w:rsidRPr="00B004EE">
        <w:rPr>
          <w:rFonts w:ascii="Tahoma" w:hAnsi="Tahoma" w:cs="Tahoma"/>
          <w:spacing w:val="-6"/>
          <w:sz w:val="20"/>
          <w:szCs w:val="20"/>
        </w:rPr>
        <w:t xml:space="preserve"> </w:t>
      </w:r>
      <w:r w:rsidRPr="00B004EE">
        <w:rPr>
          <w:rFonts w:ascii="Tahoma" w:hAnsi="Tahoma" w:cs="Tahoma"/>
          <w:sz w:val="20"/>
          <w:szCs w:val="20"/>
        </w:rPr>
        <w:t>jours</w:t>
      </w:r>
      <w:r w:rsidR="00DB1635" w:rsidRPr="00B004EE">
        <w:rPr>
          <w:rFonts w:ascii="Tahoma" w:hAnsi="Tahoma" w:cs="Tahoma"/>
          <w:spacing w:val="-6"/>
          <w:sz w:val="20"/>
          <w:szCs w:val="20"/>
        </w:rPr>
        <w:t xml:space="preserve"> </w:t>
      </w:r>
      <w:r w:rsidRPr="00B004EE">
        <w:rPr>
          <w:rFonts w:ascii="Tahoma" w:hAnsi="Tahoma" w:cs="Tahoma"/>
          <w:sz w:val="20"/>
          <w:szCs w:val="20"/>
        </w:rPr>
        <w:t>suivant</w:t>
      </w:r>
      <w:r w:rsidR="00DB1635" w:rsidRPr="00B004EE">
        <w:rPr>
          <w:rFonts w:ascii="Tahoma" w:hAnsi="Tahoma" w:cs="Tahoma"/>
          <w:spacing w:val="-6"/>
          <w:sz w:val="20"/>
          <w:szCs w:val="20"/>
        </w:rPr>
        <w:t xml:space="preserve"> </w:t>
      </w:r>
      <w:r w:rsidRPr="00B004EE">
        <w:rPr>
          <w:rFonts w:ascii="Tahoma" w:hAnsi="Tahoma" w:cs="Tahoma"/>
          <w:sz w:val="20"/>
          <w:szCs w:val="20"/>
        </w:rPr>
        <w:t>ce</w:t>
      </w:r>
      <w:r w:rsidR="00DB1635" w:rsidRPr="00B004EE">
        <w:rPr>
          <w:rFonts w:ascii="Tahoma" w:hAnsi="Tahoma" w:cs="Tahoma"/>
          <w:spacing w:val="-6"/>
          <w:sz w:val="20"/>
          <w:szCs w:val="20"/>
        </w:rPr>
        <w:t xml:space="preserve"> </w:t>
      </w:r>
      <w:r w:rsidRPr="00B004EE">
        <w:rPr>
          <w:rFonts w:ascii="Tahoma" w:hAnsi="Tahoma" w:cs="Tahoma"/>
          <w:sz w:val="20"/>
          <w:szCs w:val="20"/>
        </w:rPr>
        <w:t>dernier,</w:t>
      </w:r>
      <w:r w:rsidR="00DB1635" w:rsidRPr="00B004EE">
        <w:rPr>
          <w:rFonts w:ascii="Tahoma" w:hAnsi="Tahoma" w:cs="Tahoma"/>
          <w:spacing w:val="-6"/>
          <w:sz w:val="20"/>
          <w:szCs w:val="20"/>
        </w:rPr>
        <w:t xml:space="preserve"> </w:t>
      </w:r>
      <w:r w:rsidRPr="00B004EE">
        <w:rPr>
          <w:rFonts w:ascii="Tahoma" w:hAnsi="Tahoma" w:cs="Tahoma"/>
          <w:sz w:val="20"/>
          <w:szCs w:val="20"/>
        </w:rPr>
        <w:t>et,</w:t>
      </w:r>
      <w:r w:rsidR="00DB1635" w:rsidRPr="00B004EE">
        <w:rPr>
          <w:rFonts w:ascii="Tahoma" w:hAnsi="Tahoma" w:cs="Tahoma"/>
          <w:spacing w:val="-6"/>
          <w:sz w:val="20"/>
          <w:szCs w:val="20"/>
        </w:rPr>
        <w:t xml:space="preserve"> </w:t>
      </w:r>
      <w:r w:rsidRPr="00B004EE">
        <w:rPr>
          <w:rFonts w:ascii="Tahoma" w:hAnsi="Tahoma" w:cs="Tahoma"/>
          <w:sz w:val="20"/>
          <w:szCs w:val="20"/>
        </w:rPr>
        <w:t>le</w:t>
      </w:r>
      <w:r w:rsidR="00DB1635" w:rsidRPr="00B004EE">
        <w:rPr>
          <w:rFonts w:ascii="Tahoma" w:hAnsi="Tahoma" w:cs="Tahoma"/>
          <w:spacing w:val="-6"/>
          <w:sz w:val="20"/>
          <w:szCs w:val="20"/>
        </w:rPr>
        <w:t xml:space="preserve"> </w:t>
      </w:r>
      <w:r w:rsidRPr="00B004EE">
        <w:rPr>
          <w:rFonts w:ascii="Tahoma" w:hAnsi="Tahoma" w:cs="Tahoma"/>
          <w:sz w:val="20"/>
          <w:szCs w:val="20"/>
        </w:rPr>
        <w:t>cas</w:t>
      </w:r>
      <w:r w:rsidR="00DB1635" w:rsidRPr="00B004EE">
        <w:rPr>
          <w:rFonts w:ascii="Tahoma" w:hAnsi="Tahoma" w:cs="Tahoma"/>
          <w:spacing w:val="-8"/>
          <w:sz w:val="20"/>
          <w:szCs w:val="20"/>
        </w:rPr>
        <w:t xml:space="preserve"> </w:t>
      </w:r>
      <w:r w:rsidRPr="00B004EE">
        <w:rPr>
          <w:rFonts w:ascii="Tahoma" w:hAnsi="Tahoma" w:cs="Tahoma"/>
          <w:sz w:val="20"/>
          <w:szCs w:val="20"/>
        </w:rPr>
        <w:t>échéant,</w:t>
      </w:r>
      <w:r w:rsidR="00DB1635" w:rsidRPr="00B004EE">
        <w:rPr>
          <w:rFonts w:ascii="Tahoma" w:hAnsi="Tahoma" w:cs="Tahoma"/>
          <w:spacing w:val="-7"/>
          <w:sz w:val="20"/>
          <w:szCs w:val="20"/>
        </w:rPr>
        <w:t xml:space="preserve"> </w:t>
      </w:r>
      <w:r w:rsidRPr="00B004EE">
        <w:rPr>
          <w:rFonts w:ascii="Tahoma" w:hAnsi="Tahoma" w:cs="Tahoma"/>
          <w:sz w:val="20"/>
          <w:szCs w:val="20"/>
        </w:rPr>
        <w:t>des</w:t>
      </w:r>
      <w:r w:rsidR="00DB1635" w:rsidRPr="00B004EE">
        <w:rPr>
          <w:rFonts w:ascii="Tahoma" w:hAnsi="Tahoma" w:cs="Tahoma"/>
          <w:w w:val="94"/>
          <w:sz w:val="20"/>
          <w:szCs w:val="20"/>
        </w:rPr>
        <w:t xml:space="preserve"> </w:t>
      </w:r>
      <w:r w:rsidRPr="00B004EE">
        <w:rPr>
          <w:rFonts w:ascii="Tahoma" w:hAnsi="Tahoma" w:cs="Tahoma"/>
          <w:sz w:val="20"/>
          <w:szCs w:val="20"/>
        </w:rPr>
        <w:t>pénalités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retard</w:t>
      </w:r>
      <w:r w:rsidR="00DB1635" w:rsidRPr="00B004EE">
        <w:rPr>
          <w:rFonts w:ascii="Tahoma" w:hAnsi="Tahoma" w:cs="Tahoma"/>
          <w:spacing w:val="13"/>
          <w:sz w:val="20"/>
          <w:szCs w:val="20"/>
        </w:rPr>
        <w:t xml:space="preserve"> </w:t>
      </w:r>
      <w:r w:rsidRPr="00B004EE">
        <w:rPr>
          <w:rFonts w:ascii="Tahoma" w:hAnsi="Tahoma" w:cs="Tahoma"/>
          <w:sz w:val="20"/>
          <w:szCs w:val="20"/>
        </w:rPr>
        <w:t>dues.</w:t>
      </w:r>
    </w:p>
    <w:p w14:paraId="120176B1" w14:textId="6AD237F5" w:rsidR="001E7C3C" w:rsidRPr="00B004EE" w:rsidRDefault="001E7C3C" w:rsidP="00B004EE">
      <w:pPr>
        <w:rPr>
          <w:rFonts w:ascii="Tahoma" w:eastAsia="American Typewriter" w:hAnsi="Tahoma" w:cs="Tahoma"/>
          <w:sz w:val="20"/>
          <w:szCs w:val="20"/>
        </w:rPr>
      </w:pPr>
    </w:p>
    <w:p w14:paraId="1DB9913D" w14:textId="77777777" w:rsidR="00BB060F" w:rsidRPr="00B004EE" w:rsidRDefault="00BB060F" w:rsidP="00B004EE">
      <w:pPr>
        <w:rPr>
          <w:rFonts w:ascii="Tahoma" w:eastAsia="American Typewriter" w:hAnsi="Tahoma" w:cs="Tahoma"/>
          <w:sz w:val="20"/>
          <w:szCs w:val="20"/>
        </w:rPr>
      </w:pPr>
    </w:p>
    <w:p w14:paraId="5D33136E" w14:textId="2EFB6738" w:rsidR="001E7C3C" w:rsidRPr="00B004EE" w:rsidRDefault="001E7C3C" w:rsidP="00B004EE">
      <w:pPr>
        <w:pStyle w:val="Lgende"/>
        <w:jc w:val="center"/>
        <w:rPr>
          <w:rFonts w:ascii="Tahoma" w:eastAsia="American Typewriter" w:hAnsi="Tahoma" w:cs="Tahoma"/>
        </w:rPr>
      </w:pPr>
      <w:bookmarkStart w:id="137" w:name="_Toc16279101"/>
      <w:bookmarkStart w:id="138" w:name="_Toc16279470"/>
      <w:r w:rsidRPr="00B004EE">
        <w:rPr>
          <w:rFonts w:ascii="Tahoma" w:eastAsia="American Typewriter" w:hAnsi="Tahoma" w:cs="Tahoma"/>
        </w:rPr>
        <w:t>Section</w:t>
      </w:r>
      <w:r w:rsidR="00DB1635" w:rsidRPr="00B004EE">
        <w:rPr>
          <w:rFonts w:ascii="Tahoma" w:eastAsia="American Typewriter" w:hAnsi="Tahoma" w:cs="Tahoma"/>
        </w:rPr>
        <w:t xml:space="preserve"> </w:t>
      </w:r>
      <w:r w:rsidRPr="00B004EE">
        <w:rPr>
          <w:rFonts w:ascii="Tahoma" w:eastAsia="American Typewriter" w:hAnsi="Tahoma" w:cs="Tahoma"/>
        </w:rPr>
        <w:t>3</w:t>
      </w:r>
      <w:r w:rsidR="00DB1635" w:rsidRPr="00B004EE">
        <w:rPr>
          <w:rFonts w:ascii="Tahoma" w:eastAsia="American Typewriter" w:hAnsi="Tahoma" w:cs="Tahoma"/>
        </w:rPr>
        <w:t xml:space="preserve"> </w:t>
      </w:r>
      <w:r w:rsidRPr="00B004EE">
        <w:rPr>
          <w:rFonts w:ascii="Tahoma" w:eastAsia="American Typewriter" w:hAnsi="Tahoma" w:cs="Tahoma"/>
        </w:rPr>
        <w:t>:</w:t>
      </w:r>
      <w:r w:rsidR="00DB1635" w:rsidRPr="00B004EE">
        <w:rPr>
          <w:rFonts w:ascii="Tahoma" w:eastAsia="American Typewriter" w:hAnsi="Tahoma" w:cs="Tahoma"/>
        </w:rPr>
        <w:t xml:space="preserve"> </w:t>
      </w:r>
      <w:r w:rsidRPr="00B004EE">
        <w:rPr>
          <w:rFonts w:ascii="Tahoma" w:eastAsia="American Typewriter" w:hAnsi="Tahoma" w:cs="Tahoma"/>
        </w:rPr>
        <w:t>Du</w:t>
      </w:r>
      <w:r w:rsidR="00DB1635" w:rsidRPr="00B004EE">
        <w:rPr>
          <w:rFonts w:ascii="Tahoma" w:eastAsia="American Typewriter" w:hAnsi="Tahoma" w:cs="Tahoma"/>
        </w:rPr>
        <w:t xml:space="preserve"> </w:t>
      </w:r>
      <w:r w:rsidRPr="00B004EE">
        <w:rPr>
          <w:rFonts w:ascii="Tahoma" w:eastAsia="American Typewriter" w:hAnsi="Tahoma" w:cs="Tahoma"/>
        </w:rPr>
        <w:t>régime</w:t>
      </w:r>
      <w:r w:rsidR="00DB1635" w:rsidRPr="00B004EE">
        <w:rPr>
          <w:rFonts w:ascii="Tahoma" w:eastAsia="American Typewriter" w:hAnsi="Tahoma" w:cs="Tahoma"/>
        </w:rPr>
        <w:t xml:space="preserve"> </w:t>
      </w:r>
      <w:r w:rsidRPr="00B004EE">
        <w:rPr>
          <w:rFonts w:ascii="Tahoma" w:eastAsia="American Typewriter" w:hAnsi="Tahoma" w:cs="Tahoma"/>
        </w:rPr>
        <w:t>financier</w:t>
      </w:r>
      <w:r w:rsidR="00DB1635" w:rsidRPr="00B004EE">
        <w:rPr>
          <w:rFonts w:ascii="Tahoma" w:eastAsia="American Typewriter" w:hAnsi="Tahoma" w:cs="Tahoma"/>
        </w:rPr>
        <w:t xml:space="preserve"> </w:t>
      </w:r>
      <w:r w:rsidRPr="00B004EE">
        <w:rPr>
          <w:rFonts w:ascii="Tahoma" w:eastAsia="American Typewriter" w:hAnsi="Tahoma" w:cs="Tahoma"/>
        </w:rPr>
        <w:t>des</w:t>
      </w:r>
      <w:r w:rsidR="00DB1635" w:rsidRPr="00B004EE">
        <w:rPr>
          <w:rFonts w:ascii="Tahoma" w:eastAsia="American Typewriter" w:hAnsi="Tahoma" w:cs="Tahoma"/>
        </w:rPr>
        <w:t xml:space="preserve"> </w:t>
      </w:r>
      <w:r w:rsidRPr="00B004EE">
        <w:rPr>
          <w:rFonts w:ascii="Tahoma" w:eastAsia="American Typewriter" w:hAnsi="Tahoma" w:cs="Tahoma"/>
        </w:rPr>
        <w:t>amendes</w:t>
      </w:r>
      <w:r w:rsidR="00DB1635" w:rsidRPr="00B004EE">
        <w:rPr>
          <w:rFonts w:ascii="Tahoma" w:eastAsia="American Typewriter" w:hAnsi="Tahoma" w:cs="Tahoma"/>
        </w:rPr>
        <w:t xml:space="preserve"> </w:t>
      </w:r>
      <w:r w:rsidRPr="00B004EE">
        <w:rPr>
          <w:rFonts w:ascii="Tahoma" w:eastAsia="American Typewriter" w:hAnsi="Tahoma" w:cs="Tahoma"/>
        </w:rPr>
        <w:t>et</w:t>
      </w:r>
      <w:r w:rsidR="00DB1635" w:rsidRPr="00B004EE">
        <w:rPr>
          <w:rFonts w:ascii="Tahoma" w:eastAsia="American Typewriter" w:hAnsi="Tahoma" w:cs="Tahoma"/>
        </w:rPr>
        <w:t xml:space="preserve"> </w:t>
      </w:r>
      <w:r w:rsidRPr="00B004EE">
        <w:rPr>
          <w:rFonts w:ascii="Tahoma" w:eastAsia="American Typewriter" w:hAnsi="Tahoma" w:cs="Tahoma"/>
        </w:rPr>
        <w:t>confiscations</w:t>
      </w:r>
      <w:bookmarkEnd w:id="137"/>
      <w:bookmarkEnd w:id="138"/>
    </w:p>
    <w:p w14:paraId="0B7D4678" w14:textId="77777777" w:rsidR="001E7C3C" w:rsidRPr="00B004EE" w:rsidRDefault="001E7C3C" w:rsidP="00B004EE">
      <w:pPr>
        <w:pStyle w:val="Lgende"/>
        <w:jc w:val="center"/>
        <w:rPr>
          <w:rFonts w:ascii="Tahoma" w:eastAsia="American Typewriter" w:hAnsi="Tahoma" w:cs="Tahoma"/>
        </w:rPr>
      </w:pPr>
    </w:p>
    <w:p w14:paraId="75DC18BD" w14:textId="459FA51C" w:rsidR="001E7C3C" w:rsidRPr="00B004EE" w:rsidRDefault="001E7C3C" w:rsidP="00B004EE">
      <w:pPr>
        <w:pStyle w:val="Corpsdetexte"/>
        <w:ind w:right="158"/>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97</w:t>
      </w:r>
      <w:r w:rsidR="00DB1635" w:rsidRPr="00B004EE">
        <w:rPr>
          <w:rFonts w:ascii="Tahoma" w:hAnsi="Tahoma" w:cs="Tahoma"/>
          <w:bCs/>
          <w:sz w:val="20"/>
          <w:szCs w:val="20"/>
        </w:rPr>
        <w:t xml:space="preserve"> </w:t>
      </w:r>
      <w:r w:rsidRPr="00B004EE">
        <w:rPr>
          <w:rFonts w:ascii="Tahoma" w:hAnsi="Tahoma" w:cs="Tahoma"/>
          <w:bCs/>
          <w:sz w:val="20"/>
          <w:szCs w:val="20"/>
        </w:rPr>
        <w:t>:</w:t>
      </w:r>
      <w:r w:rsidR="00DB1635" w:rsidRPr="00B004EE">
        <w:rPr>
          <w:rFonts w:ascii="Tahoma" w:hAnsi="Tahoma" w:cs="Tahoma"/>
          <w:b/>
          <w:spacing w:val="-14"/>
          <w:sz w:val="20"/>
          <w:szCs w:val="20"/>
        </w:rPr>
        <w:t xml:space="preserve"> </w:t>
      </w:r>
      <w:r w:rsidRPr="00B004EE">
        <w:rPr>
          <w:rFonts w:ascii="Tahoma" w:hAnsi="Tahoma" w:cs="Tahoma"/>
          <w:sz w:val="20"/>
          <w:szCs w:val="20"/>
        </w:rPr>
        <w:t>Le</w:t>
      </w:r>
      <w:r w:rsidR="00DB1635" w:rsidRPr="00B004EE">
        <w:rPr>
          <w:rFonts w:ascii="Tahoma" w:hAnsi="Tahoma" w:cs="Tahoma"/>
          <w:spacing w:val="-17"/>
          <w:sz w:val="20"/>
          <w:szCs w:val="20"/>
        </w:rPr>
        <w:t xml:space="preserve"> </w:t>
      </w:r>
      <w:r w:rsidRPr="00B004EE">
        <w:rPr>
          <w:rFonts w:ascii="Tahoma" w:hAnsi="Tahoma" w:cs="Tahoma"/>
          <w:sz w:val="20"/>
          <w:szCs w:val="20"/>
        </w:rPr>
        <w:t>produit</w:t>
      </w:r>
      <w:r w:rsidR="00DB1635" w:rsidRPr="00B004EE">
        <w:rPr>
          <w:rFonts w:ascii="Tahoma" w:hAnsi="Tahoma" w:cs="Tahoma"/>
          <w:spacing w:val="-17"/>
          <w:sz w:val="20"/>
          <w:szCs w:val="20"/>
        </w:rPr>
        <w:t xml:space="preserve"> </w:t>
      </w:r>
      <w:r w:rsidRPr="00B004EE">
        <w:rPr>
          <w:rFonts w:ascii="Tahoma" w:hAnsi="Tahoma" w:cs="Tahoma"/>
          <w:sz w:val="20"/>
          <w:szCs w:val="20"/>
        </w:rPr>
        <w:t>des</w:t>
      </w:r>
      <w:r w:rsidR="00DB1635" w:rsidRPr="00B004EE">
        <w:rPr>
          <w:rFonts w:ascii="Tahoma" w:hAnsi="Tahoma" w:cs="Tahoma"/>
          <w:spacing w:val="-18"/>
          <w:sz w:val="20"/>
          <w:szCs w:val="20"/>
        </w:rPr>
        <w:t xml:space="preserve"> </w:t>
      </w:r>
      <w:r w:rsidRPr="00B004EE">
        <w:rPr>
          <w:rFonts w:ascii="Tahoma" w:hAnsi="Tahoma" w:cs="Tahoma"/>
          <w:sz w:val="20"/>
          <w:szCs w:val="20"/>
        </w:rPr>
        <w:t>amendes</w:t>
      </w:r>
      <w:r w:rsidR="00DB1635" w:rsidRPr="00B004EE">
        <w:rPr>
          <w:rFonts w:ascii="Tahoma" w:hAnsi="Tahoma" w:cs="Tahoma"/>
          <w:spacing w:val="-17"/>
          <w:sz w:val="20"/>
          <w:szCs w:val="20"/>
        </w:rPr>
        <w:t xml:space="preserve"> </w:t>
      </w:r>
      <w:r w:rsidRPr="00B004EE">
        <w:rPr>
          <w:rFonts w:ascii="Tahoma" w:hAnsi="Tahoma" w:cs="Tahoma"/>
          <w:sz w:val="20"/>
          <w:szCs w:val="20"/>
        </w:rPr>
        <w:t>et</w:t>
      </w:r>
      <w:r w:rsidR="00DB1635" w:rsidRPr="00B004EE">
        <w:rPr>
          <w:rFonts w:ascii="Tahoma" w:hAnsi="Tahoma" w:cs="Tahoma"/>
          <w:spacing w:val="-18"/>
          <w:sz w:val="20"/>
          <w:szCs w:val="20"/>
        </w:rPr>
        <w:t xml:space="preserve"> </w:t>
      </w:r>
      <w:r w:rsidRPr="00B004EE">
        <w:rPr>
          <w:rFonts w:ascii="Tahoma" w:hAnsi="Tahoma" w:cs="Tahoma"/>
          <w:sz w:val="20"/>
          <w:szCs w:val="20"/>
        </w:rPr>
        <w:t>confiscations</w:t>
      </w:r>
      <w:r w:rsidR="00DB1635" w:rsidRPr="00B004EE">
        <w:rPr>
          <w:rFonts w:ascii="Tahoma" w:hAnsi="Tahoma" w:cs="Tahoma"/>
          <w:spacing w:val="-19"/>
          <w:sz w:val="20"/>
          <w:szCs w:val="20"/>
        </w:rPr>
        <w:t xml:space="preserve"> </w:t>
      </w:r>
      <w:r w:rsidRPr="00B004EE">
        <w:rPr>
          <w:rFonts w:ascii="Tahoma" w:hAnsi="Tahoma" w:cs="Tahoma"/>
          <w:sz w:val="20"/>
          <w:szCs w:val="20"/>
        </w:rPr>
        <w:t>prononcées</w:t>
      </w:r>
      <w:r w:rsidR="00DB1635" w:rsidRPr="00B004EE">
        <w:rPr>
          <w:rFonts w:ascii="Tahoma" w:hAnsi="Tahoma" w:cs="Tahoma"/>
          <w:spacing w:val="-18"/>
          <w:sz w:val="20"/>
          <w:szCs w:val="20"/>
        </w:rPr>
        <w:t xml:space="preserve"> </w:t>
      </w:r>
      <w:r w:rsidRPr="00B004EE">
        <w:rPr>
          <w:rFonts w:ascii="Tahoma" w:hAnsi="Tahoma" w:cs="Tahoma"/>
          <w:sz w:val="20"/>
          <w:szCs w:val="20"/>
        </w:rPr>
        <w:t>en</w:t>
      </w:r>
      <w:r w:rsidR="00DB1635" w:rsidRPr="00B004EE">
        <w:rPr>
          <w:rFonts w:ascii="Tahoma" w:hAnsi="Tahoma" w:cs="Tahoma"/>
          <w:spacing w:val="-18"/>
          <w:sz w:val="20"/>
          <w:szCs w:val="20"/>
        </w:rPr>
        <w:t xml:space="preserve"> </w:t>
      </w:r>
      <w:r w:rsidRPr="00B004EE">
        <w:rPr>
          <w:rFonts w:ascii="Tahoma" w:hAnsi="Tahoma" w:cs="Tahoma"/>
          <w:sz w:val="20"/>
          <w:szCs w:val="20"/>
        </w:rPr>
        <w:t>application</w:t>
      </w:r>
      <w:r w:rsidR="00DB1635" w:rsidRPr="00B004EE">
        <w:rPr>
          <w:rFonts w:ascii="Tahoma" w:hAnsi="Tahoma" w:cs="Tahoma"/>
          <w:spacing w:val="-18"/>
          <w:sz w:val="20"/>
          <w:szCs w:val="20"/>
        </w:rPr>
        <w:t xml:space="preserve"> </w:t>
      </w:r>
      <w:r w:rsidRPr="00B004EE">
        <w:rPr>
          <w:rFonts w:ascii="Tahoma" w:hAnsi="Tahoma" w:cs="Tahoma"/>
          <w:sz w:val="20"/>
          <w:szCs w:val="20"/>
        </w:rPr>
        <w:t>du</w:t>
      </w:r>
      <w:r w:rsidR="00DB1635" w:rsidRPr="00B004EE">
        <w:rPr>
          <w:rFonts w:ascii="Tahoma" w:hAnsi="Tahoma" w:cs="Tahoma"/>
          <w:w w:val="98"/>
          <w:sz w:val="20"/>
          <w:szCs w:val="20"/>
        </w:rPr>
        <w:t xml:space="preserve"> </w:t>
      </w:r>
      <w:r w:rsidRPr="00B004EE">
        <w:rPr>
          <w:rFonts w:ascii="Tahoma" w:hAnsi="Tahoma" w:cs="Tahoma"/>
          <w:sz w:val="20"/>
          <w:szCs w:val="20"/>
        </w:rPr>
        <w:t>présent</w:t>
      </w:r>
      <w:r w:rsidR="00DB1635" w:rsidRPr="00B004EE">
        <w:rPr>
          <w:rFonts w:ascii="Tahoma" w:hAnsi="Tahoma" w:cs="Tahoma"/>
          <w:spacing w:val="26"/>
          <w:sz w:val="20"/>
          <w:szCs w:val="20"/>
        </w:rPr>
        <w:t xml:space="preserve"> </w:t>
      </w:r>
      <w:r w:rsidRPr="00B004EE">
        <w:rPr>
          <w:rFonts w:ascii="Tahoma" w:hAnsi="Tahoma" w:cs="Tahoma"/>
          <w:sz w:val="20"/>
          <w:szCs w:val="20"/>
        </w:rPr>
        <w:t>Code</w:t>
      </w:r>
      <w:r w:rsidR="00DB1635" w:rsidRPr="00B004EE">
        <w:rPr>
          <w:rFonts w:ascii="Tahoma" w:hAnsi="Tahoma" w:cs="Tahoma"/>
          <w:spacing w:val="26"/>
          <w:sz w:val="20"/>
          <w:szCs w:val="20"/>
        </w:rPr>
        <w:t xml:space="preserve"> </w:t>
      </w:r>
      <w:r w:rsidRPr="00B004EE">
        <w:rPr>
          <w:rFonts w:ascii="Tahoma" w:hAnsi="Tahoma" w:cs="Tahoma"/>
          <w:sz w:val="20"/>
          <w:szCs w:val="20"/>
        </w:rPr>
        <w:t>est,</w:t>
      </w:r>
      <w:r w:rsidR="00DB1635" w:rsidRPr="00B004EE">
        <w:rPr>
          <w:rFonts w:ascii="Tahoma" w:hAnsi="Tahoma" w:cs="Tahoma"/>
          <w:spacing w:val="26"/>
          <w:sz w:val="20"/>
          <w:szCs w:val="20"/>
        </w:rPr>
        <w:t xml:space="preserve"> </w:t>
      </w:r>
      <w:r w:rsidRPr="00B004EE">
        <w:rPr>
          <w:rFonts w:ascii="Tahoma" w:hAnsi="Tahoma" w:cs="Tahoma"/>
          <w:sz w:val="20"/>
          <w:szCs w:val="20"/>
        </w:rPr>
        <w:t>après</w:t>
      </w:r>
      <w:r w:rsidR="00DB1635" w:rsidRPr="00B004EE">
        <w:rPr>
          <w:rFonts w:ascii="Tahoma" w:hAnsi="Tahoma" w:cs="Tahoma"/>
          <w:spacing w:val="26"/>
          <w:sz w:val="20"/>
          <w:szCs w:val="20"/>
        </w:rPr>
        <w:t xml:space="preserve"> </w:t>
      </w:r>
      <w:r w:rsidRPr="00B004EE">
        <w:rPr>
          <w:rFonts w:ascii="Tahoma" w:hAnsi="Tahoma" w:cs="Tahoma"/>
          <w:sz w:val="20"/>
          <w:szCs w:val="20"/>
        </w:rPr>
        <w:t>déduction</w:t>
      </w:r>
      <w:r w:rsidR="00DB1635" w:rsidRPr="00B004EE">
        <w:rPr>
          <w:rFonts w:ascii="Tahoma" w:hAnsi="Tahoma" w:cs="Tahoma"/>
          <w:spacing w:val="26"/>
          <w:sz w:val="20"/>
          <w:szCs w:val="20"/>
        </w:rPr>
        <w:t xml:space="preserve"> </w:t>
      </w:r>
      <w:r w:rsidRPr="00B004EE">
        <w:rPr>
          <w:rFonts w:ascii="Tahoma" w:hAnsi="Tahoma" w:cs="Tahoma"/>
          <w:sz w:val="20"/>
          <w:szCs w:val="20"/>
        </w:rPr>
        <w:t>des</w:t>
      </w:r>
      <w:r w:rsidR="00DB1635" w:rsidRPr="00B004EE">
        <w:rPr>
          <w:rFonts w:ascii="Tahoma" w:hAnsi="Tahoma" w:cs="Tahoma"/>
          <w:spacing w:val="26"/>
          <w:sz w:val="20"/>
          <w:szCs w:val="20"/>
        </w:rPr>
        <w:t xml:space="preserve"> </w:t>
      </w:r>
      <w:r w:rsidRPr="00B004EE">
        <w:rPr>
          <w:rFonts w:ascii="Tahoma" w:hAnsi="Tahoma" w:cs="Tahoma"/>
          <w:sz w:val="20"/>
          <w:szCs w:val="20"/>
        </w:rPr>
        <w:t>droits</w:t>
      </w:r>
      <w:r w:rsidR="00DB1635" w:rsidRPr="00B004EE">
        <w:rPr>
          <w:rFonts w:ascii="Tahoma" w:hAnsi="Tahoma" w:cs="Tahoma"/>
          <w:spacing w:val="26"/>
          <w:sz w:val="20"/>
          <w:szCs w:val="20"/>
        </w:rPr>
        <w:t xml:space="preserve"> </w:t>
      </w:r>
      <w:r w:rsidRPr="00B004EE">
        <w:rPr>
          <w:rFonts w:ascii="Tahoma" w:hAnsi="Tahoma" w:cs="Tahoma"/>
          <w:sz w:val="20"/>
          <w:szCs w:val="20"/>
        </w:rPr>
        <w:t>et</w:t>
      </w:r>
      <w:r w:rsidR="00DB1635" w:rsidRPr="00B004EE">
        <w:rPr>
          <w:rFonts w:ascii="Tahoma" w:hAnsi="Tahoma" w:cs="Tahoma"/>
          <w:spacing w:val="26"/>
          <w:sz w:val="20"/>
          <w:szCs w:val="20"/>
        </w:rPr>
        <w:t xml:space="preserve"> </w:t>
      </w:r>
      <w:r w:rsidRPr="00B004EE">
        <w:rPr>
          <w:rFonts w:ascii="Tahoma" w:hAnsi="Tahoma" w:cs="Tahoma"/>
          <w:sz w:val="20"/>
          <w:szCs w:val="20"/>
        </w:rPr>
        <w:t>taxes</w:t>
      </w:r>
      <w:r w:rsidR="00DB1635" w:rsidRPr="00B004EE">
        <w:rPr>
          <w:rFonts w:ascii="Tahoma" w:hAnsi="Tahoma" w:cs="Tahoma"/>
          <w:spacing w:val="26"/>
          <w:sz w:val="20"/>
          <w:szCs w:val="20"/>
        </w:rPr>
        <w:t xml:space="preserve"> </w:t>
      </w:r>
      <w:r w:rsidRPr="00B004EE">
        <w:rPr>
          <w:rFonts w:ascii="Tahoma" w:hAnsi="Tahoma" w:cs="Tahoma"/>
          <w:sz w:val="20"/>
          <w:szCs w:val="20"/>
        </w:rPr>
        <w:t>et</w:t>
      </w:r>
      <w:r w:rsidR="00DB1635" w:rsidRPr="00B004EE">
        <w:rPr>
          <w:rFonts w:ascii="Tahoma" w:hAnsi="Tahoma" w:cs="Tahoma"/>
          <w:spacing w:val="26"/>
          <w:sz w:val="20"/>
          <w:szCs w:val="20"/>
        </w:rPr>
        <w:t xml:space="preserve"> </w:t>
      </w:r>
      <w:r w:rsidRPr="00B004EE">
        <w:rPr>
          <w:rFonts w:ascii="Tahoma" w:hAnsi="Tahoma" w:cs="Tahoma"/>
          <w:sz w:val="20"/>
          <w:szCs w:val="20"/>
        </w:rPr>
        <w:t>autres</w:t>
      </w:r>
      <w:r w:rsidR="00DB1635" w:rsidRPr="00B004EE">
        <w:rPr>
          <w:rFonts w:ascii="Tahoma" w:hAnsi="Tahoma" w:cs="Tahoma"/>
          <w:spacing w:val="26"/>
          <w:sz w:val="20"/>
          <w:szCs w:val="20"/>
        </w:rPr>
        <w:t xml:space="preserve"> </w:t>
      </w:r>
      <w:r w:rsidRPr="00B004EE">
        <w:rPr>
          <w:rFonts w:ascii="Tahoma" w:hAnsi="Tahoma" w:cs="Tahoma"/>
          <w:sz w:val="20"/>
          <w:szCs w:val="20"/>
        </w:rPr>
        <w:t>frais,</w:t>
      </w:r>
      <w:r w:rsidR="00DB1635" w:rsidRPr="00B004EE">
        <w:rPr>
          <w:rFonts w:ascii="Tahoma" w:hAnsi="Tahoma" w:cs="Tahoma"/>
          <w:spacing w:val="24"/>
          <w:sz w:val="20"/>
          <w:szCs w:val="20"/>
        </w:rPr>
        <w:t xml:space="preserve"> </w:t>
      </w:r>
      <w:r w:rsidRPr="00B004EE">
        <w:rPr>
          <w:rFonts w:ascii="Tahoma" w:hAnsi="Tahoma" w:cs="Tahoma"/>
          <w:sz w:val="20"/>
          <w:szCs w:val="20"/>
        </w:rPr>
        <w:t>affecté</w:t>
      </w:r>
      <w:r w:rsidR="00DB1635" w:rsidRPr="00B004EE">
        <w:rPr>
          <w:rFonts w:ascii="Tahoma" w:hAnsi="Tahoma" w:cs="Tahoma"/>
          <w:spacing w:val="25"/>
          <w:sz w:val="20"/>
          <w:szCs w:val="20"/>
        </w:rPr>
        <w:t xml:space="preserve"> </w:t>
      </w:r>
      <w:r w:rsidRPr="00B004EE">
        <w:rPr>
          <w:rFonts w:ascii="Tahoma" w:hAnsi="Tahoma" w:cs="Tahoma"/>
          <w:sz w:val="20"/>
          <w:szCs w:val="20"/>
        </w:rPr>
        <w:t>et</w:t>
      </w:r>
      <w:r w:rsidR="00DB1635" w:rsidRPr="00B004EE">
        <w:rPr>
          <w:rFonts w:ascii="Tahoma" w:hAnsi="Tahoma" w:cs="Tahoma"/>
          <w:w w:val="95"/>
          <w:sz w:val="20"/>
          <w:szCs w:val="20"/>
        </w:rPr>
        <w:t xml:space="preserve"> </w:t>
      </w:r>
      <w:r w:rsidRPr="00B004EE">
        <w:rPr>
          <w:rFonts w:ascii="Tahoma" w:hAnsi="Tahoma" w:cs="Tahoma"/>
          <w:sz w:val="20"/>
          <w:szCs w:val="20"/>
        </w:rPr>
        <w:t>réparti</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conditions</w:t>
      </w:r>
      <w:r w:rsidR="00DB1635" w:rsidRPr="00B004EE">
        <w:rPr>
          <w:rFonts w:ascii="Tahoma" w:hAnsi="Tahoma" w:cs="Tahoma"/>
          <w:sz w:val="20"/>
          <w:szCs w:val="20"/>
        </w:rPr>
        <w:t xml:space="preserve"> </w:t>
      </w:r>
      <w:r w:rsidRPr="00B004EE">
        <w:rPr>
          <w:rFonts w:ascii="Tahoma" w:hAnsi="Tahoma" w:cs="Tahoma"/>
          <w:sz w:val="20"/>
          <w:szCs w:val="20"/>
        </w:rPr>
        <w:t>prévues</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décret</w:t>
      </w:r>
      <w:r w:rsidR="00DB1635" w:rsidRPr="00B004EE">
        <w:rPr>
          <w:rFonts w:ascii="Tahoma" w:hAnsi="Tahoma" w:cs="Tahoma"/>
          <w:sz w:val="20"/>
          <w:szCs w:val="20"/>
        </w:rPr>
        <w:t xml:space="preserve"> </w:t>
      </w:r>
      <w:r w:rsidRPr="00B004EE">
        <w:rPr>
          <w:rFonts w:ascii="Tahoma" w:hAnsi="Tahoma" w:cs="Tahoma"/>
          <w:sz w:val="20"/>
          <w:szCs w:val="20"/>
        </w:rPr>
        <w:lastRenderedPageBreak/>
        <w:t>pris</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Conseil</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ministres,</w:t>
      </w:r>
      <w:r w:rsidR="00DB1635" w:rsidRPr="00B004EE">
        <w:rPr>
          <w:rFonts w:ascii="Tahoma" w:hAnsi="Tahoma" w:cs="Tahoma"/>
          <w:spacing w:val="11"/>
          <w:sz w:val="20"/>
          <w:szCs w:val="20"/>
        </w:rPr>
        <w:t xml:space="preserve"> </w:t>
      </w:r>
      <w:r w:rsidRPr="00B004EE">
        <w:rPr>
          <w:rFonts w:ascii="Tahoma" w:hAnsi="Tahoma" w:cs="Tahoma"/>
          <w:sz w:val="20"/>
          <w:szCs w:val="20"/>
        </w:rPr>
        <w:t>sur</w:t>
      </w:r>
      <w:r w:rsidR="00DB1635" w:rsidRPr="00B004EE">
        <w:rPr>
          <w:rFonts w:ascii="Tahoma" w:hAnsi="Tahoma" w:cs="Tahoma"/>
          <w:w w:val="90"/>
          <w:sz w:val="20"/>
          <w:szCs w:val="20"/>
        </w:rPr>
        <w:t xml:space="preserve"> </w:t>
      </w:r>
      <w:r w:rsidRPr="00B004EE">
        <w:rPr>
          <w:rFonts w:ascii="Tahoma" w:hAnsi="Tahoma" w:cs="Tahoma"/>
          <w:sz w:val="20"/>
          <w:szCs w:val="20"/>
        </w:rPr>
        <w:t>rapport</w:t>
      </w:r>
      <w:r w:rsidR="00DB1635" w:rsidRPr="00B004EE">
        <w:rPr>
          <w:rFonts w:ascii="Tahoma" w:hAnsi="Tahoma" w:cs="Tahoma"/>
          <w:spacing w:val="-32"/>
          <w:sz w:val="20"/>
          <w:szCs w:val="20"/>
        </w:rPr>
        <w:t xml:space="preserve"> </w:t>
      </w:r>
      <w:r w:rsidRPr="00B004EE">
        <w:rPr>
          <w:rFonts w:ascii="Tahoma" w:hAnsi="Tahoma" w:cs="Tahoma"/>
          <w:sz w:val="20"/>
          <w:szCs w:val="20"/>
        </w:rPr>
        <w:t>conjoint</w:t>
      </w:r>
      <w:r w:rsidR="00DB1635" w:rsidRPr="00B004EE">
        <w:rPr>
          <w:rFonts w:ascii="Tahoma" w:hAnsi="Tahoma" w:cs="Tahoma"/>
          <w:spacing w:val="-32"/>
          <w:sz w:val="20"/>
          <w:szCs w:val="20"/>
        </w:rPr>
        <w:t xml:space="preserve"> </w:t>
      </w:r>
      <w:r w:rsidRPr="00B004EE">
        <w:rPr>
          <w:rFonts w:ascii="Tahoma" w:hAnsi="Tahoma" w:cs="Tahoma"/>
          <w:sz w:val="20"/>
          <w:szCs w:val="20"/>
        </w:rPr>
        <w:t>du</w:t>
      </w:r>
      <w:r w:rsidR="00DB1635" w:rsidRPr="00B004EE">
        <w:rPr>
          <w:rFonts w:ascii="Tahoma" w:hAnsi="Tahoma" w:cs="Tahoma"/>
          <w:spacing w:val="-32"/>
          <w:sz w:val="20"/>
          <w:szCs w:val="20"/>
        </w:rPr>
        <w:t xml:space="preserve"> </w:t>
      </w:r>
      <w:r w:rsidRPr="00B004EE">
        <w:rPr>
          <w:rFonts w:ascii="Tahoma" w:hAnsi="Tahoma" w:cs="Tahoma"/>
          <w:sz w:val="20"/>
          <w:szCs w:val="20"/>
        </w:rPr>
        <w:t>ministre</w:t>
      </w:r>
      <w:r w:rsidR="00DB1635" w:rsidRPr="00B004EE">
        <w:rPr>
          <w:rFonts w:ascii="Tahoma" w:hAnsi="Tahoma" w:cs="Tahoma"/>
          <w:spacing w:val="-32"/>
          <w:sz w:val="20"/>
          <w:szCs w:val="20"/>
        </w:rPr>
        <w:t xml:space="preserve"> </w:t>
      </w:r>
      <w:r w:rsidRPr="00B004EE">
        <w:rPr>
          <w:rFonts w:ascii="Tahoma" w:hAnsi="Tahoma" w:cs="Tahoma"/>
          <w:sz w:val="20"/>
          <w:szCs w:val="20"/>
        </w:rPr>
        <w:t>chargé</w:t>
      </w:r>
      <w:r w:rsidR="00DB1635" w:rsidRPr="00B004EE">
        <w:rPr>
          <w:rFonts w:ascii="Tahoma" w:hAnsi="Tahoma" w:cs="Tahoma"/>
          <w:spacing w:val="-32"/>
          <w:sz w:val="20"/>
          <w:szCs w:val="20"/>
        </w:rPr>
        <w:t xml:space="preserve"> </w:t>
      </w:r>
      <w:r w:rsidRPr="00B004EE">
        <w:rPr>
          <w:rFonts w:ascii="Tahoma" w:hAnsi="Tahoma" w:cs="Tahoma"/>
          <w:sz w:val="20"/>
          <w:szCs w:val="20"/>
        </w:rPr>
        <w:t>des</w:t>
      </w:r>
      <w:r w:rsidR="00DB1635" w:rsidRPr="00B004EE">
        <w:rPr>
          <w:rFonts w:ascii="Tahoma" w:hAnsi="Tahoma" w:cs="Tahoma"/>
          <w:spacing w:val="-33"/>
          <w:sz w:val="20"/>
          <w:szCs w:val="20"/>
        </w:rPr>
        <w:t xml:space="preserve"> </w:t>
      </w:r>
      <w:r w:rsidRPr="00B004EE">
        <w:rPr>
          <w:rFonts w:ascii="Tahoma" w:hAnsi="Tahoma" w:cs="Tahoma"/>
          <w:sz w:val="20"/>
          <w:szCs w:val="20"/>
        </w:rPr>
        <w:t>pêches</w:t>
      </w:r>
      <w:r w:rsidR="00DB1635" w:rsidRPr="00B004EE">
        <w:rPr>
          <w:rFonts w:ascii="Tahoma" w:hAnsi="Tahoma" w:cs="Tahoma"/>
          <w:spacing w:val="-32"/>
          <w:sz w:val="20"/>
          <w:szCs w:val="20"/>
        </w:rPr>
        <w:t xml:space="preserve"> </w:t>
      </w:r>
      <w:r w:rsidRPr="00B004EE">
        <w:rPr>
          <w:rFonts w:ascii="Tahoma" w:hAnsi="Tahoma" w:cs="Tahoma"/>
          <w:sz w:val="20"/>
          <w:szCs w:val="20"/>
        </w:rPr>
        <w:t>et</w:t>
      </w:r>
      <w:r w:rsidR="00DB1635" w:rsidRPr="00B004EE">
        <w:rPr>
          <w:rFonts w:ascii="Tahoma" w:hAnsi="Tahoma" w:cs="Tahoma"/>
          <w:spacing w:val="-32"/>
          <w:sz w:val="20"/>
          <w:szCs w:val="20"/>
        </w:rPr>
        <w:t xml:space="preserve"> </w:t>
      </w:r>
      <w:r w:rsidRPr="00B004EE">
        <w:rPr>
          <w:rFonts w:ascii="Tahoma" w:hAnsi="Tahoma" w:cs="Tahoma"/>
          <w:sz w:val="20"/>
          <w:szCs w:val="20"/>
        </w:rPr>
        <w:t>du</w:t>
      </w:r>
      <w:r w:rsidR="00DB1635" w:rsidRPr="00B004EE">
        <w:rPr>
          <w:rFonts w:ascii="Tahoma" w:hAnsi="Tahoma" w:cs="Tahoma"/>
          <w:spacing w:val="-32"/>
          <w:sz w:val="20"/>
          <w:szCs w:val="20"/>
        </w:rPr>
        <w:t xml:space="preserve"> </w:t>
      </w:r>
      <w:r w:rsidRPr="00B004EE">
        <w:rPr>
          <w:rFonts w:ascii="Tahoma" w:hAnsi="Tahoma" w:cs="Tahoma"/>
          <w:sz w:val="20"/>
          <w:szCs w:val="20"/>
        </w:rPr>
        <w:t>ministre</w:t>
      </w:r>
      <w:r w:rsidR="00DB1635" w:rsidRPr="00B004EE">
        <w:rPr>
          <w:rFonts w:ascii="Tahoma" w:hAnsi="Tahoma" w:cs="Tahoma"/>
          <w:spacing w:val="-32"/>
          <w:sz w:val="20"/>
          <w:szCs w:val="20"/>
        </w:rPr>
        <w:t xml:space="preserve"> </w:t>
      </w:r>
      <w:r w:rsidRPr="00B004EE">
        <w:rPr>
          <w:rFonts w:ascii="Tahoma" w:hAnsi="Tahoma" w:cs="Tahoma"/>
          <w:sz w:val="20"/>
          <w:szCs w:val="20"/>
        </w:rPr>
        <w:t>chargé</w:t>
      </w:r>
      <w:r w:rsidR="00DB1635" w:rsidRPr="00B004EE">
        <w:rPr>
          <w:rFonts w:ascii="Tahoma" w:hAnsi="Tahoma" w:cs="Tahoma"/>
          <w:spacing w:val="-32"/>
          <w:sz w:val="20"/>
          <w:szCs w:val="20"/>
        </w:rPr>
        <w:t xml:space="preserve"> </w:t>
      </w:r>
      <w:r w:rsidRPr="00B004EE">
        <w:rPr>
          <w:rFonts w:ascii="Tahoma" w:hAnsi="Tahoma" w:cs="Tahoma"/>
          <w:sz w:val="20"/>
          <w:szCs w:val="20"/>
        </w:rPr>
        <w:t>des</w:t>
      </w:r>
      <w:r w:rsidR="00DB1635" w:rsidRPr="00B004EE">
        <w:rPr>
          <w:rFonts w:ascii="Tahoma" w:hAnsi="Tahoma" w:cs="Tahoma"/>
          <w:spacing w:val="-33"/>
          <w:sz w:val="20"/>
          <w:szCs w:val="20"/>
        </w:rPr>
        <w:t xml:space="preserve"> </w:t>
      </w:r>
      <w:r w:rsidRPr="00B004EE">
        <w:rPr>
          <w:rFonts w:ascii="Tahoma" w:hAnsi="Tahoma" w:cs="Tahoma"/>
          <w:sz w:val="20"/>
          <w:szCs w:val="20"/>
        </w:rPr>
        <w:t>finances.</w:t>
      </w:r>
    </w:p>
    <w:p w14:paraId="498AFDC3" w14:textId="7FB70150" w:rsidR="001E7C3C" w:rsidRPr="00B004EE" w:rsidRDefault="001E7C3C" w:rsidP="00B004EE">
      <w:pPr>
        <w:pStyle w:val="Corpsdetexte"/>
        <w:ind w:right="158"/>
        <w:rPr>
          <w:rFonts w:ascii="Tahoma" w:hAnsi="Tahoma" w:cs="Tahoma"/>
          <w:b/>
          <w:bCs/>
          <w:sz w:val="20"/>
          <w:szCs w:val="20"/>
        </w:rPr>
      </w:pPr>
      <w:r w:rsidRPr="00B004EE">
        <w:rPr>
          <w:rFonts w:ascii="Tahoma" w:hAnsi="Tahoma" w:cs="Tahoma"/>
          <w:w w:val="95"/>
          <w:sz w:val="20"/>
          <w:szCs w:val="20"/>
        </w:rPr>
        <w:t>Section</w:t>
      </w:r>
      <w:r w:rsidR="00DB1635" w:rsidRPr="00B004EE">
        <w:rPr>
          <w:rFonts w:ascii="Tahoma" w:hAnsi="Tahoma" w:cs="Tahoma"/>
          <w:spacing w:val="-14"/>
          <w:w w:val="95"/>
          <w:sz w:val="20"/>
          <w:szCs w:val="20"/>
        </w:rPr>
        <w:t xml:space="preserve"> </w:t>
      </w:r>
      <w:r w:rsidRPr="00B004EE">
        <w:rPr>
          <w:rFonts w:ascii="Tahoma" w:hAnsi="Tahoma" w:cs="Tahoma"/>
          <w:w w:val="95"/>
          <w:sz w:val="20"/>
          <w:szCs w:val="20"/>
        </w:rPr>
        <w:t>4</w:t>
      </w:r>
      <w:r w:rsidR="00DB1635" w:rsidRPr="00B004EE">
        <w:rPr>
          <w:rFonts w:ascii="Tahoma" w:hAnsi="Tahoma" w:cs="Tahoma"/>
          <w:spacing w:val="-13"/>
          <w:w w:val="95"/>
          <w:sz w:val="20"/>
          <w:szCs w:val="20"/>
        </w:rPr>
        <w:t xml:space="preserve"> </w:t>
      </w:r>
      <w:r w:rsidRPr="00B004EE">
        <w:rPr>
          <w:rFonts w:ascii="Tahoma" w:hAnsi="Tahoma" w:cs="Tahoma"/>
          <w:w w:val="95"/>
          <w:sz w:val="20"/>
          <w:szCs w:val="20"/>
        </w:rPr>
        <w:t>:</w:t>
      </w:r>
      <w:r w:rsidR="00DB1635" w:rsidRPr="00B004EE">
        <w:rPr>
          <w:rFonts w:ascii="Tahoma" w:hAnsi="Tahoma" w:cs="Tahoma"/>
          <w:spacing w:val="-13"/>
          <w:w w:val="95"/>
          <w:sz w:val="20"/>
          <w:szCs w:val="20"/>
        </w:rPr>
        <w:t xml:space="preserve"> </w:t>
      </w:r>
      <w:r w:rsidRPr="00B004EE">
        <w:rPr>
          <w:rFonts w:ascii="Tahoma" w:hAnsi="Tahoma" w:cs="Tahoma"/>
          <w:w w:val="95"/>
          <w:sz w:val="20"/>
          <w:szCs w:val="20"/>
        </w:rPr>
        <w:t>De</w:t>
      </w:r>
      <w:r w:rsidR="00DB1635" w:rsidRPr="00B004EE">
        <w:rPr>
          <w:rFonts w:ascii="Tahoma" w:hAnsi="Tahoma" w:cs="Tahoma"/>
          <w:spacing w:val="-14"/>
          <w:w w:val="95"/>
          <w:sz w:val="20"/>
          <w:szCs w:val="20"/>
        </w:rPr>
        <w:t xml:space="preserve"> </w:t>
      </w:r>
      <w:r w:rsidRPr="00B004EE">
        <w:rPr>
          <w:rFonts w:ascii="Tahoma" w:hAnsi="Tahoma" w:cs="Tahoma"/>
          <w:w w:val="95"/>
          <w:sz w:val="20"/>
          <w:szCs w:val="20"/>
        </w:rPr>
        <w:t>la</w:t>
      </w:r>
      <w:r w:rsidR="00DB1635" w:rsidRPr="00B004EE">
        <w:rPr>
          <w:rFonts w:ascii="Tahoma" w:hAnsi="Tahoma" w:cs="Tahoma"/>
          <w:spacing w:val="-13"/>
          <w:w w:val="95"/>
          <w:sz w:val="20"/>
          <w:szCs w:val="20"/>
        </w:rPr>
        <w:t xml:space="preserve"> </w:t>
      </w:r>
      <w:r w:rsidRPr="00B004EE">
        <w:rPr>
          <w:rFonts w:ascii="Tahoma" w:hAnsi="Tahoma" w:cs="Tahoma"/>
          <w:w w:val="95"/>
          <w:sz w:val="20"/>
          <w:szCs w:val="20"/>
        </w:rPr>
        <w:t>procédure</w:t>
      </w:r>
      <w:r w:rsidR="00DB1635" w:rsidRPr="00B004EE">
        <w:rPr>
          <w:rFonts w:ascii="Tahoma" w:hAnsi="Tahoma" w:cs="Tahoma"/>
          <w:spacing w:val="-14"/>
          <w:w w:val="95"/>
          <w:sz w:val="20"/>
          <w:szCs w:val="20"/>
        </w:rPr>
        <w:t xml:space="preserve"> </w:t>
      </w:r>
      <w:r w:rsidRPr="00B004EE">
        <w:rPr>
          <w:rFonts w:ascii="Tahoma" w:hAnsi="Tahoma" w:cs="Tahoma"/>
          <w:w w:val="95"/>
          <w:sz w:val="20"/>
          <w:szCs w:val="20"/>
        </w:rPr>
        <w:t>juridictionnelle</w:t>
      </w:r>
    </w:p>
    <w:p w14:paraId="7435F3A9" w14:textId="77777777" w:rsidR="001E7C3C" w:rsidRPr="00B004EE" w:rsidRDefault="001E7C3C" w:rsidP="00B004EE">
      <w:pPr>
        <w:rPr>
          <w:rFonts w:ascii="Tahoma" w:hAnsi="Tahoma" w:cs="Tahoma"/>
          <w:bCs/>
          <w:sz w:val="20"/>
          <w:szCs w:val="20"/>
        </w:rPr>
      </w:pPr>
    </w:p>
    <w:p w14:paraId="54D181B8" w14:textId="772F76D9" w:rsidR="001E7C3C" w:rsidRPr="00B004EE" w:rsidRDefault="001E7C3C" w:rsidP="00B004EE">
      <w:pPr>
        <w:pStyle w:val="Corpsdetexte"/>
        <w:ind w:right="164"/>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98</w:t>
      </w:r>
      <w:r w:rsidR="00DB1635" w:rsidRPr="00B004EE">
        <w:rPr>
          <w:rFonts w:ascii="Tahoma" w:hAnsi="Tahoma" w:cs="Tahoma"/>
          <w:bCs/>
          <w:sz w:val="20"/>
          <w:szCs w:val="20"/>
        </w:rPr>
        <w:t xml:space="preserve"> </w:t>
      </w:r>
      <w:r w:rsidRPr="00B004EE">
        <w:rPr>
          <w:rFonts w:ascii="Tahoma" w:hAnsi="Tahoma" w:cs="Tahoma"/>
          <w:bCs/>
          <w:sz w:val="20"/>
          <w:szCs w:val="20"/>
        </w:rPr>
        <w:t>:</w:t>
      </w:r>
      <w:r w:rsidR="00DB1635" w:rsidRPr="00B004EE">
        <w:rPr>
          <w:rFonts w:ascii="Tahoma" w:eastAsia="American Typewriter" w:hAnsi="Tahoma" w:cs="Tahoma"/>
          <w:b/>
          <w:bCs/>
          <w:spacing w:val="-4"/>
          <w:sz w:val="20"/>
          <w:szCs w:val="20"/>
        </w:rPr>
        <w:t xml:space="preserve"> </w:t>
      </w:r>
      <w:r w:rsidRPr="00B004EE">
        <w:rPr>
          <w:rFonts w:ascii="Tahoma" w:hAnsi="Tahoma" w:cs="Tahoma"/>
          <w:sz w:val="20"/>
          <w:szCs w:val="20"/>
        </w:rPr>
        <w:t>Les</w:t>
      </w:r>
      <w:r w:rsidR="00DB1635" w:rsidRPr="00B004EE">
        <w:rPr>
          <w:rFonts w:ascii="Tahoma" w:hAnsi="Tahoma" w:cs="Tahoma"/>
          <w:spacing w:val="-7"/>
          <w:sz w:val="20"/>
          <w:szCs w:val="20"/>
        </w:rPr>
        <w:t xml:space="preserve"> </w:t>
      </w:r>
      <w:r w:rsidRPr="00B004EE">
        <w:rPr>
          <w:rFonts w:ascii="Tahoma" w:hAnsi="Tahoma" w:cs="Tahoma"/>
          <w:sz w:val="20"/>
          <w:szCs w:val="20"/>
        </w:rPr>
        <w:t>juridictions</w:t>
      </w:r>
      <w:r w:rsidR="00DB1635" w:rsidRPr="00B004EE">
        <w:rPr>
          <w:rFonts w:ascii="Tahoma" w:hAnsi="Tahoma" w:cs="Tahoma"/>
          <w:spacing w:val="-7"/>
          <w:sz w:val="20"/>
          <w:szCs w:val="20"/>
        </w:rPr>
        <w:t xml:space="preserve"> </w:t>
      </w:r>
      <w:r w:rsidRPr="00B004EE">
        <w:rPr>
          <w:rFonts w:ascii="Tahoma" w:hAnsi="Tahoma" w:cs="Tahoma"/>
          <w:sz w:val="20"/>
          <w:szCs w:val="20"/>
        </w:rPr>
        <w:t>mauritaniennes</w:t>
      </w:r>
      <w:r w:rsidR="00DB1635" w:rsidRPr="00B004EE">
        <w:rPr>
          <w:rFonts w:ascii="Tahoma" w:hAnsi="Tahoma" w:cs="Tahoma"/>
          <w:spacing w:val="-7"/>
          <w:sz w:val="20"/>
          <w:szCs w:val="20"/>
        </w:rPr>
        <w:t xml:space="preserve"> </w:t>
      </w:r>
      <w:r w:rsidRPr="00B004EE">
        <w:rPr>
          <w:rFonts w:ascii="Tahoma" w:hAnsi="Tahoma" w:cs="Tahoma"/>
          <w:sz w:val="20"/>
          <w:szCs w:val="20"/>
        </w:rPr>
        <w:t>sont</w:t>
      </w:r>
      <w:r w:rsidR="00DB1635" w:rsidRPr="00B004EE">
        <w:rPr>
          <w:rFonts w:ascii="Tahoma" w:hAnsi="Tahoma" w:cs="Tahoma"/>
          <w:spacing w:val="-6"/>
          <w:sz w:val="20"/>
          <w:szCs w:val="20"/>
        </w:rPr>
        <w:t xml:space="preserve"> </w:t>
      </w:r>
      <w:r w:rsidRPr="00B004EE">
        <w:rPr>
          <w:rFonts w:ascii="Tahoma" w:hAnsi="Tahoma" w:cs="Tahoma"/>
          <w:sz w:val="20"/>
          <w:szCs w:val="20"/>
        </w:rPr>
        <w:t>compétentes</w:t>
      </w:r>
      <w:r w:rsidR="00DB1635" w:rsidRPr="00B004EE">
        <w:rPr>
          <w:rFonts w:ascii="Tahoma" w:hAnsi="Tahoma" w:cs="Tahoma"/>
          <w:spacing w:val="-7"/>
          <w:sz w:val="20"/>
          <w:szCs w:val="20"/>
        </w:rPr>
        <w:t xml:space="preserve"> </w:t>
      </w:r>
      <w:r w:rsidRPr="00B004EE">
        <w:rPr>
          <w:rFonts w:ascii="Tahoma" w:hAnsi="Tahoma" w:cs="Tahoma"/>
          <w:sz w:val="20"/>
          <w:szCs w:val="20"/>
        </w:rPr>
        <w:t>pour</w:t>
      </w:r>
      <w:r w:rsidR="00DB1635" w:rsidRPr="00B004EE">
        <w:rPr>
          <w:rFonts w:ascii="Tahoma" w:hAnsi="Tahoma" w:cs="Tahoma"/>
          <w:spacing w:val="-7"/>
          <w:sz w:val="20"/>
          <w:szCs w:val="20"/>
        </w:rPr>
        <w:t xml:space="preserve"> </w:t>
      </w:r>
      <w:r w:rsidRPr="00B004EE">
        <w:rPr>
          <w:rFonts w:ascii="Tahoma" w:hAnsi="Tahoma" w:cs="Tahoma"/>
          <w:sz w:val="20"/>
          <w:szCs w:val="20"/>
        </w:rPr>
        <w:t>connaître</w:t>
      </w:r>
      <w:r w:rsidR="00DB1635" w:rsidRPr="00B004EE">
        <w:rPr>
          <w:rFonts w:ascii="Tahoma" w:hAnsi="Tahoma" w:cs="Tahoma"/>
          <w:spacing w:val="-8"/>
          <w:sz w:val="20"/>
          <w:szCs w:val="20"/>
        </w:rPr>
        <w:t xml:space="preserve"> </w:t>
      </w:r>
      <w:r w:rsidRPr="00B004EE">
        <w:rPr>
          <w:rFonts w:ascii="Tahoma" w:hAnsi="Tahoma" w:cs="Tahoma"/>
          <w:sz w:val="20"/>
          <w:szCs w:val="20"/>
        </w:rPr>
        <w:t>de</w:t>
      </w:r>
      <w:r w:rsidR="00DB1635" w:rsidRPr="00B004EE">
        <w:rPr>
          <w:rFonts w:ascii="Tahoma" w:hAnsi="Tahoma" w:cs="Tahoma"/>
          <w:w w:val="94"/>
          <w:sz w:val="20"/>
          <w:szCs w:val="20"/>
        </w:rPr>
        <w:t xml:space="preserve"> </w:t>
      </w:r>
      <w:r w:rsidRPr="00B004EE">
        <w:rPr>
          <w:rFonts w:ascii="Tahoma" w:hAnsi="Tahoma" w:cs="Tahoma"/>
          <w:sz w:val="20"/>
          <w:szCs w:val="20"/>
        </w:rPr>
        <w:t>toutes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infractions</w:t>
      </w:r>
      <w:r w:rsidR="00DB1635" w:rsidRPr="00B004EE">
        <w:rPr>
          <w:rFonts w:ascii="Tahoma" w:hAnsi="Tahoma" w:cs="Tahoma"/>
          <w:sz w:val="20"/>
          <w:szCs w:val="20"/>
        </w:rPr>
        <w:t xml:space="preserve"> </w:t>
      </w:r>
      <w:r w:rsidRPr="00B004EE">
        <w:rPr>
          <w:rFonts w:ascii="Tahoma" w:hAnsi="Tahoma" w:cs="Tahoma"/>
          <w:sz w:val="20"/>
          <w:szCs w:val="20"/>
        </w:rPr>
        <w:t>commises</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eaux</w:t>
      </w:r>
      <w:r w:rsidR="00DB1635" w:rsidRPr="00B004EE">
        <w:rPr>
          <w:rFonts w:ascii="Tahoma" w:hAnsi="Tahoma" w:cs="Tahoma"/>
          <w:sz w:val="20"/>
          <w:szCs w:val="20"/>
        </w:rPr>
        <w:t xml:space="preserve"> </w:t>
      </w:r>
      <w:r w:rsidRPr="00B004EE">
        <w:rPr>
          <w:rFonts w:ascii="Tahoma" w:hAnsi="Tahoma" w:cs="Tahoma"/>
          <w:sz w:val="20"/>
          <w:szCs w:val="20"/>
        </w:rPr>
        <w:t>sous</w:t>
      </w:r>
      <w:r w:rsidR="00DB1635" w:rsidRPr="00B004EE">
        <w:rPr>
          <w:rFonts w:ascii="Tahoma" w:hAnsi="Tahoma" w:cs="Tahoma"/>
          <w:sz w:val="20"/>
          <w:szCs w:val="20"/>
        </w:rPr>
        <w:t xml:space="preserve"> </w:t>
      </w:r>
      <w:r w:rsidRPr="00B004EE">
        <w:rPr>
          <w:rFonts w:ascii="Tahoma" w:hAnsi="Tahoma" w:cs="Tahoma"/>
          <w:sz w:val="20"/>
          <w:szCs w:val="20"/>
        </w:rPr>
        <w:t>juridiction</w:t>
      </w:r>
      <w:r w:rsidR="00DB1635" w:rsidRPr="00B004EE">
        <w:rPr>
          <w:rFonts w:ascii="Tahoma" w:hAnsi="Tahoma" w:cs="Tahoma"/>
          <w:sz w:val="20"/>
          <w:szCs w:val="20"/>
        </w:rPr>
        <w:t xml:space="preserve"> </w:t>
      </w:r>
      <w:r w:rsidRPr="00B004EE">
        <w:rPr>
          <w:rFonts w:ascii="Tahoma" w:hAnsi="Tahoma" w:cs="Tahoma"/>
          <w:sz w:val="20"/>
          <w:szCs w:val="20"/>
        </w:rPr>
        <w:t>mauritanienne</w:t>
      </w:r>
      <w:r w:rsidR="00DB1635" w:rsidRPr="00B004EE">
        <w:rPr>
          <w:rFonts w:ascii="Tahoma" w:hAnsi="Tahoma" w:cs="Tahoma"/>
          <w:spacing w:val="41"/>
          <w:sz w:val="20"/>
          <w:szCs w:val="20"/>
        </w:rPr>
        <w:t xml:space="preserve"> </w:t>
      </w:r>
      <w:r w:rsidRPr="00B004EE">
        <w:rPr>
          <w:rFonts w:ascii="Tahoma" w:hAnsi="Tahoma" w:cs="Tahoma"/>
          <w:sz w:val="20"/>
          <w:szCs w:val="20"/>
        </w:rPr>
        <w:t>en</w:t>
      </w:r>
      <w:r w:rsidR="00DB1635" w:rsidRPr="00B004EE">
        <w:rPr>
          <w:rFonts w:ascii="Tahoma" w:hAnsi="Tahoma" w:cs="Tahoma"/>
          <w:w w:val="95"/>
          <w:sz w:val="20"/>
          <w:szCs w:val="20"/>
        </w:rPr>
        <w:t xml:space="preserve"> </w:t>
      </w:r>
      <w:r w:rsidRPr="00B004EE">
        <w:rPr>
          <w:rFonts w:ascii="Tahoma" w:hAnsi="Tahoma" w:cs="Tahoma"/>
          <w:sz w:val="20"/>
          <w:szCs w:val="20"/>
        </w:rPr>
        <w:t>violation</w:t>
      </w:r>
      <w:r w:rsidR="00DB1635" w:rsidRPr="00B004EE">
        <w:rPr>
          <w:rFonts w:ascii="Tahoma" w:hAnsi="Tahoma" w:cs="Tahoma"/>
          <w:spacing w:val="-23"/>
          <w:sz w:val="20"/>
          <w:szCs w:val="20"/>
        </w:rPr>
        <w:t xml:space="preserve"> </w:t>
      </w:r>
      <w:r w:rsidRPr="00B004EE">
        <w:rPr>
          <w:rFonts w:ascii="Tahoma" w:hAnsi="Tahoma" w:cs="Tahoma"/>
          <w:sz w:val="20"/>
          <w:szCs w:val="20"/>
        </w:rPr>
        <w:t>des</w:t>
      </w:r>
      <w:r w:rsidR="00DB1635" w:rsidRPr="00B004EE">
        <w:rPr>
          <w:rFonts w:ascii="Tahoma" w:hAnsi="Tahoma" w:cs="Tahoma"/>
          <w:spacing w:val="-23"/>
          <w:sz w:val="20"/>
          <w:szCs w:val="20"/>
        </w:rPr>
        <w:t xml:space="preserve"> </w:t>
      </w:r>
      <w:r w:rsidRPr="00B004EE">
        <w:rPr>
          <w:rFonts w:ascii="Tahoma" w:hAnsi="Tahoma" w:cs="Tahoma"/>
          <w:sz w:val="20"/>
          <w:szCs w:val="20"/>
        </w:rPr>
        <w:t>dispositions</w:t>
      </w:r>
      <w:r w:rsidR="00DB1635" w:rsidRPr="00B004EE">
        <w:rPr>
          <w:rFonts w:ascii="Tahoma" w:hAnsi="Tahoma" w:cs="Tahoma"/>
          <w:spacing w:val="-24"/>
          <w:sz w:val="20"/>
          <w:szCs w:val="20"/>
        </w:rPr>
        <w:t xml:space="preserve"> </w:t>
      </w:r>
      <w:r w:rsidRPr="00B004EE">
        <w:rPr>
          <w:rFonts w:ascii="Tahoma" w:hAnsi="Tahoma" w:cs="Tahoma"/>
          <w:sz w:val="20"/>
          <w:szCs w:val="20"/>
        </w:rPr>
        <w:t>de</w:t>
      </w:r>
      <w:r w:rsidR="00DB1635" w:rsidRPr="00B004EE">
        <w:rPr>
          <w:rFonts w:ascii="Tahoma" w:hAnsi="Tahoma" w:cs="Tahoma"/>
          <w:spacing w:val="-23"/>
          <w:sz w:val="20"/>
          <w:szCs w:val="20"/>
        </w:rPr>
        <w:t xml:space="preserve"> </w:t>
      </w:r>
      <w:r w:rsidRPr="00B004EE">
        <w:rPr>
          <w:rFonts w:ascii="Tahoma" w:hAnsi="Tahoma" w:cs="Tahoma"/>
          <w:sz w:val="20"/>
          <w:szCs w:val="20"/>
        </w:rPr>
        <w:t>la</w:t>
      </w:r>
      <w:r w:rsidR="00DB1635" w:rsidRPr="00B004EE">
        <w:rPr>
          <w:rFonts w:ascii="Tahoma" w:hAnsi="Tahoma" w:cs="Tahoma"/>
          <w:spacing w:val="-23"/>
          <w:sz w:val="20"/>
          <w:szCs w:val="20"/>
        </w:rPr>
        <w:t xml:space="preserve"> </w:t>
      </w:r>
      <w:r w:rsidRPr="00B004EE">
        <w:rPr>
          <w:rFonts w:ascii="Tahoma" w:hAnsi="Tahoma" w:cs="Tahoma"/>
          <w:sz w:val="20"/>
          <w:szCs w:val="20"/>
        </w:rPr>
        <w:t>présente</w:t>
      </w:r>
      <w:r w:rsidR="00DB1635" w:rsidRPr="00B004EE">
        <w:rPr>
          <w:rFonts w:ascii="Tahoma" w:hAnsi="Tahoma" w:cs="Tahoma"/>
          <w:spacing w:val="-23"/>
          <w:sz w:val="20"/>
          <w:szCs w:val="20"/>
        </w:rPr>
        <w:t xml:space="preserve"> </w:t>
      </w:r>
      <w:r w:rsidRPr="00B004EE">
        <w:rPr>
          <w:rFonts w:ascii="Tahoma" w:hAnsi="Tahoma" w:cs="Tahoma"/>
          <w:sz w:val="20"/>
          <w:szCs w:val="20"/>
        </w:rPr>
        <w:t>Loi</w:t>
      </w:r>
      <w:r w:rsidR="00DB1635" w:rsidRPr="00B004EE">
        <w:rPr>
          <w:rFonts w:ascii="Tahoma" w:hAnsi="Tahoma" w:cs="Tahoma"/>
          <w:spacing w:val="-23"/>
          <w:sz w:val="20"/>
          <w:szCs w:val="20"/>
        </w:rPr>
        <w:t xml:space="preserve"> </w:t>
      </w:r>
      <w:r w:rsidRPr="00B004EE">
        <w:rPr>
          <w:rFonts w:ascii="Tahoma" w:hAnsi="Tahoma" w:cs="Tahoma"/>
          <w:sz w:val="20"/>
          <w:szCs w:val="20"/>
        </w:rPr>
        <w:t>et</w:t>
      </w:r>
      <w:r w:rsidR="00DB1635" w:rsidRPr="00B004EE">
        <w:rPr>
          <w:rFonts w:ascii="Tahoma" w:hAnsi="Tahoma" w:cs="Tahoma"/>
          <w:spacing w:val="-23"/>
          <w:sz w:val="20"/>
          <w:szCs w:val="20"/>
        </w:rPr>
        <w:t xml:space="preserve"> </w:t>
      </w:r>
      <w:r w:rsidRPr="00B004EE">
        <w:rPr>
          <w:rFonts w:ascii="Tahoma" w:hAnsi="Tahoma" w:cs="Tahoma"/>
          <w:sz w:val="20"/>
          <w:szCs w:val="20"/>
        </w:rPr>
        <w:t>des</w:t>
      </w:r>
      <w:r w:rsidR="00DB1635" w:rsidRPr="00B004EE">
        <w:rPr>
          <w:rFonts w:ascii="Tahoma" w:hAnsi="Tahoma" w:cs="Tahoma"/>
          <w:spacing w:val="-23"/>
          <w:sz w:val="20"/>
          <w:szCs w:val="20"/>
        </w:rPr>
        <w:t xml:space="preserve"> </w:t>
      </w:r>
      <w:r w:rsidRPr="00B004EE">
        <w:rPr>
          <w:rFonts w:ascii="Tahoma" w:hAnsi="Tahoma" w:cs="Tahoma"/>
          <w:sz w:val="20"/>
          <w:szCs w:val="20"/>
        </w:rPr>
        <w:t>textes</w:t>
      </w:r>
      <w:r w:rsidR="00DB1635" w:rsidRPr="00B004EE">
        <w:rPr>
          <w:rFonts w:ascii="Tahoma" w:hAnsi="Tahoma" w:cs="Tahoma"/>
          <w:spacing w:val="-23"/>
          <w:sz w:val="20"/>
          <w:szCs w:val="20"/>
        </w:rPr>
        <w:t xml:space="preserve"> </w:t>
      </w:r>
      <w:r w:rsidRPr="00B004EE">
        <w:rPr>
          <w:rFonts w:ascii="Tahoma" w:hAnsi="Tahoma" w:cs="Tahoma"/>
          <w:sz w:val="20"/>
          <w:szCs w:val="20"/>
        </w:rPr>
        <w:t>pris</w:t>
      </w:r>
      <w:r w:rsidR="00DB1635" w:rsidRPr="00B004EE">
        <w:rPr>
          <w:rFonts w:ascii="Tahoma" w:hAnsi="Tahoma" w:cs="Tahoma"/>
          <w:spacing w:val="-23"/>
          <w:sz w:val="20"/>
          <w:szCs w:val="20"/>
        </w:rPr>
        <w:t xml:space="preserve"> </w:t>
      </w:r>
      <w:r w:rsidRPr="00B004EE">
        <w:rPr>
          <w:rFonts w:ascii="Tahoma" w:hAnsi="Tahoma" w:cs="Tahoma"/>
          <w:sz w:val="20"/>
          <w:szCs w:val="20"/>
        </w:rPr>
        <w:t>pour</w:t>
      </w:r>
      <w:r w:rsidR="00DB1635" w:rsidRPr="00B004EE">
        <w:rPr>
          <w:rFonts w:ascii="Tahoma" w:hAnsi="Tahoma" w:cs="Tahoma"/>
          <w:spacing w:val="-24"/>
          <w:sz w:val="20"/>
          <w:szCs w:val="20"/>
        </w:rPr>
        <w:t xml:space="preserve"> </w:t>
      </w:r>
      <w:r w:rsidRPr="00B004EE">
        <w:rPr>
          <w:rFonts w:ascii="Tahoma" w:hAnsi="Tahoma" w:cs="Tahoma"/>
          <w:sz w:val="20"/>
          <w:szCs w:val="20"/>
        </w:rPr>
        <w:t>son</w:t>
      </w:r>
      <w:r w:rsidR="00DB1635" w:rsidRPr="00B004EE">
        <w:rPr>
          <w:rFonts w:ascii="Tahoma" w:hAnsi="Tahoma" w:cs="Tahoma"/>
          <w:spacing w:val="-23"/>
          <w:sz w:val="20"/>
          <w:szCs w:val="20"/>
        </w:rPr>
        <w:t xml:space="preserve"> </w:t>
      </w:r>
      <w:r w:rsidRPr="00B004EE">
        <w:rPr>
          <w:rFonts w:ascii="Tahoma" w:hAnsi="Tahoma" w:cs="Tahoma"/>
          <w:sz w:val="20"/>
          <w:szCs w:val="20"/>
        </w:rPr>
        <w:t>application.</w:t>
      </w:r>
      <w:r w:rsidR="00DB1635" w:rsidRPr="00B004EE">
        <w:rPr>
          <w:rFonts w:ascii="Tahoma" w:hAnsi="Tahoma" w:cs="Tahoma"/>
          <w:w w:val="95"/>
          <w:sz w:val="20"/>
          <w:szCs w:val="20"/>
        </w:rPr>
        <w:t xml:space="preserve"> </w:t>
      </w:r>
      <w:r w:rsidRPr="00B004EE">
        <w:rPr>
          <w:rFonts w:ascii="Tahoma" w:eastAsia="American Typewriter" w:hAnsi="Tahoma" w:cs="Tahoma"/>
          <w:sz w:val="20"/>
          <w:szCs w:val="20"/>
        </w:rPr>
        <w:t>Elles</w:t>
      </w:r>
      <w:r w:rsidR="00DB1635" w:rsidRPr="00B004EE">
        <w:rPr>
          <w:rFonts w:ascii="Tahoma" w:eastAsia="American Typewriter" w:hAnsi="Tahoma" w:cs="Tahoma"/>
          <w:spacing w:val="-7"/>
          <w:sz w:val="20"/>
          <w:szCs w:val="20"/>
        </w:rPr>
        <w:t xml:space="preserve"> </w:t>
      </w:r>
      <w:r w:rsidRPr="00B004EE">
        <w:rPr>
          <w:rFonts w:ascii="Tahoma" w:eastAsia="American Typewriter" w:hAnsi="Tahoma" w:cs="Tahoma"/>
          <w:sz w:val="20"/>
          <w:szCs w:val="20"/>
        </w:rPr>
        <w:t>sont</w:t>
      </w:r>
      <w:r w:rsidR="00DB1635" w:rsidRPr="00B004EE">
        <w:rPr>
          <w:rFonts w:ascii="Tahoma" w:eastAsia="American Typewriter" w:hAnsi="Tahoma" w:cs="Tahoma"/>
          <w:spacing w:val="-7"/>
          <w:sz w:val="20"/>
          <w:szCs w:val="20"/>
        </w:rPr>
        <w:t xml:space="preserve"> </w:t>
      </w:r>
      <w:r w:rsidRPr="00B004EE">
        <w:rPr>
          <w:rFonts w:ascii="Tahoma" w:eastAsia="American Typewriter" w:hAnsi="Tahoma" w:cs="Tahoma"/>
          <w:sz w:val="20"/>
          <w:szCs w:val="20"/>
        </w:rPr>
        <w:t>également</w:t>
      </w:r>
      <w:r w:rsidR="00DB1635" w:rsidRPr="00B004EE">
        <w:rPr>
          <w:rFonts w:ascii="Tahoma" w:eastAsia="American Typewriter" w:hAnsi="Tahoma" w:cs="Tahoma"/>
          <w:spacing w:val="-7"/>
          <w:sz w:val="20"/>
          <w:szCs w:val="20"/>
        </w:rPr>
        <w:t xml:space="preserve"> </w:t>
      </w:r>
      <w:r w:rsidRPr="00B004EE">
        <w:rPr>
          <w:rFonts w:ascii="Tahoma" w:eastAsia="American Typewriter" w:hAnsi="Tahoma" w:cs="Tahoma"/>
          <w:sz w:val="20"/>
          <w:szCs w:val="20"/>
        </w:rPr>
        <w:t>compétentes</w:t>
      </w:r>
      <w:r w:rsidR="00DB1635" w:rsidRPr="00B004EE">
        <w:rPr>
          <w:rFonts w:ascii="Tahoma" w:eastAsia="American Typewriter" w:hAnsi="Tahoma" w:cs="Tahoma"/>
          <w:spacing w:val="-7"/>
          <w:sz w:val="20"/>
          <w:szCs w:val="20"/>
        </w:rPr>
        <w:t xml:space="preserve"> </w:t>
      </w:r>
      <w:r w:rsidRPr="00B004EE">
        <w:rPr>
          <w:rFonts w:ascii="Tahoma" w:eastAsia="American Typewriter" w:hAnsi="Tahoma" w:cs="Tahoma"/>
          <w:sz w:val="20"/>
          <w:szCs w:val="20"/>
        </w:rPr>
        <w:t>en</w:t>
      </w:r>
      <w:r w:rsidR="00DB1635" w:rsidRPr="00B004EE">
        <w:rPr>
          <w:rFonts w:ascii="Tahoma" w:eastAsia="American Typewriter" w:hAnsi="Tahoma" w:cs="Tahoma"/>
          <w:spacing w:val="-7"/>
          <w:sz w:val="20"/>
          <w:szCs w:val="20"/>
        </w:rPr>
        <w:t xml:space="preserve"> </w:t>
      </w:r>
      <w:r w:rsidRPr="00B004EE">
        <w:rPr>
          <w:rFonts w:ascii="Tahoma" w:eastAsia="American Typewriter" w:hAnsi="Tahoma" w:cs="Tahoma"/>
          <w:sz w:val="20"/>
          <w:szCs w:val="20"/>
        </w:rPr>
        <w:t>cas</w:t>
      </w:r>
      <w:r w:rsidR="00DB1635" w:rsidRPr="00B004EE">
        <w:rPr>
          <w:rFonts w:ascii="Tahoma" w:eastAsia="American Typewriter" w:hAnsi="Tahoma" w:cs="Tahoma"/>
          <w:spacing w:val="-7"/>
          <w:sz w:val="20"/>
          <w:szCs w:val="20"/>
        </w:rPr>
        <w:t xml:space="preserve"> </w:t>
      </w:r>
      <w:r w:rsidRPr="00B004EE">
        <w:rPr>
          <w:rFonts w:ascii="Tahoma" w:eastAsia="American Typewriter" w:hAnsi="Tahoma" w:cs="Tahoma"/>
          <w:sz w:val="20"/>
          <w:szCs w:val="20"/>
        </w:rPr>
        <w:t>d’infractions</w:t>
      </w:r>
      <w:r w:rsidR="00DB1635" w:rsidRPr="00B004EE">
        <w:rPr>
          <w:rFonts w:ascii="Tahoma" w:eastAsia="American Typewriter" w:hAnsi="Tahoma" w:cs="Tahoma"/>
          <w:spacing w:val="-7"/>
          <w:sz w:val="20"/>
          <w:szCs w:val="20"/>
        </w:rPr>
        <w:t xml:space="preserve"> </w:t>
      </w:r>
      <w:r w:rsidRPr="00B004EE">
        <w:rPr>
          <w:rFonts w:ascii="Tahoma" w:eastAsia="American Typewriter" w:hAnsi="Tahoma" w:cs="Tahoma"/>
          <w:sz w:val="20"/>
          <w:szCs w:val="20"/>
        </w:rPr>
        <w:t>de</w:t>
      </w:r>
      <w:r w:rsidR="00DB1635" w:rsidRPr="00B004EE">
        <w:rPr>
          <w:rFonts w:ascii="Tahoma" w:eastAsia="American Typewriter" w:hAnsi="Tahoma" w:cs="Tahoma"/>
          <w:spacing w:val="-7"/>
          <w:sz w:val="20"/>
          <w:szCs w:val="20"/>
        </w:rPr>
        <w:t xml:space="preserve"> </w:t>
      </w:r>
      <w:r w:rsidRPr="00B004EE">
        <w:rPr>
          <w:rFonts w:ascii="Tahoma" w:eastAsia="American Typewriter" w:hAnsi="Tahoma" w:cs="Tahoma"/>
          <w:sz w:val="20"/>
          <w:szCs w:val="20"/>
        </w:rPr>
        <w:t>pêche</w:t>
      </w:r>
      <w:r w:rsidR="00DB1635" w:rsidRPr="00B004EE">
        <w:rPr>
          <w:rFonts w:ascii="Tahoma" w:eastAsia="American Typewriter" w:hAnsi="Tahoma" w:cs="Tahoma"/>
          <w:spacing w:val="-8"/>
          <w:sz w:val="20"/>
          <w:szCs w:val="20"/>
        </w:rPr>
        <w:t xml:space="preserve"> </w:t>
      </w:r>
      <w:r w:rsidRPr="00B004EE">
        <w:rPr>
          <w:rFonts w:ascii="Tahoma" w:eastAsia="American Typewriter" w:hAnsi="Tahoma" w:cs="Tahoma"/>
          <w:sz w:val="20"/>
          <w:szCs w:val="20"/>
        </w:rPr>
        <w:t>INN</w:t>
      </w:r>
      <w:r w:rsidR="00DB1635" w:rsidRPr="00B004EE">
        <w:rPr>
          <w:rFonts w:ascii="Tahoma" w:eastAsia="American Typewriter" w:hAnsi="Tahoma" w:cs="Tahoma"/>
          <w:spacing w:val="-7"/>
          <w:sz w:val="20"/>
          <w:szCs w:val="20"/>
        </w:rPr>
        <w:t xml:space="preserve"> </w:t>
      </w:r>
      <w:r w:rsidRPr="00B004EE">
        <w:rPr>
          <w:rFonts w:ascii="Tahoma" w:eastAsia="American Typewriter" w:hAnsi="Tahoma" w:cs="Tahoma"/>
          <w:sz w:val="20"/>
          <w:szCs w:val="20"/>
        </w:rPr>
        <w:t>commises</w:t>
      </w:r>
      <w:r w:rsidR="00DB1635" w:rsidRPr="00B004EE">
        <w:rPr>
          <w:rFonts w:ascii="Tahoma" w:eastAsia="American Typewriter" w:hAnsi="Tahoma" w:cs="Tahoma"/>
          <w:spacing w:val="-9"/>
          <w:sz w:val="20"/>
          <w:szCs w:val="20"/>
        </w:rPr>
        <w:t xml:space="preserve"> </w:t>
      </w:r>
      <w:r w:rsidRPr="00B004EE">
        <w:rPr>
          <w:rFonts w:ascii="Tahoma" w:eastAsia="American Typewriter" w:hAnsi="Tahoma" w:cs="Tahoma"/>
          <w:sz w:val="20"/>
          <w:szCs w:val="20"/>
        </w:rPr>
        <w:t>en</w:t>
      </w:r>
      <w:r w:rsidR="00DB1635" w:rsidRPr="00B004EE">
        <w:rPr>
          <w:rFonts w:ascii="Tahoma" w:eastAsia="American Typewriter" w:hAnsi="Tahoma" w:cs="Tahoma"/>
          <w:w w:val="95"/>
          <w:sz w:val="20"/>
          <w:szCs w:val="20"/>
        </w:rPr>
        <w:t xml:space="preserve"> </w:t>
      </w:r>
      <w:r w:rsidRPr="00B004EE">
        <w:rPr>
          <w:rFonts w:ascii="Tahoma" w:hAnsi="Tahoma" w:cs="Tahoma"/>
          <w:sz w:val="20"/>
          <w:szCs w:val="20"/>
        </w:rPr>
        <w:t>dehors</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eaux</w:t>
      </w:r>
      <w:r w:rsidR="00DB1635" w:rsidRPr="00B004EE">
        <w:rPr>
          <w:rFonts w:ascii="Tahoma" w:hAnsi="Tahoma" w:cs="Tahoma"/>
          <w:sz w:val="20"/>
          <w:szCs w:val="20"/>
        </w:rPr>
        <w:t xml:space="preserve"> </w:t>
      </w:r>
      <w:r w:rsidRPr="00B004EE">
        <w:rPr>
          <w:rFonts w:ascii="Tahoma" w:hAnsi="Tahoma" w:cs="Tahoma"/>
          <w:sz w:val="20"/>
          <w:szCs w:val="20"/>
        </w:rPr>
        <w:t>sous</w:t>
      </w:r>
      <w:r w:rsidR="00DB1635" w:rsidRPr="00B004EE">
        <w:rPr>
          <w:rFonts w:ascii="Tahoma" w:hAnsi="Tahoma" w:cs="Tahoma"/>
          <w:sz w:val="20"/>
          <w:szCs w:val="20"/>
        </w:rPr>
        <w:t xml:space="preserve"> </w:t>
      </w:r>
      <w:r w:rsidRPr="00B004EE">
        <w:rPr>
          <w:rFonts w:ascii="Tahoma" w:hAnsi="Tahoma" w:cs="Tahoma"/>
          <w:sz w:val="20"/>
          <w:szCs w:val="20"/>
        </w:rPr>
        <w:t>juridiction</w:t>
      </w:r>
      <w:r w:rsidR="00DB1635" w:rsidRPr="00B004EE">
        <w:rPr>
          <w:rFonts w:ascii="Tahoma" w:hAnsi="Tahoma" w:cs="Tahoma"/>
          <w:sz w:val="20"/>
          <w:szCs w:val="20"/>
        </w:rPr>
        <w:t xml:space="preserve"> </w:t>
      </w:r>
      <w:r w:rsidRPr="00B004EE">
        <w:rPr>
          <w:rFonts w:ascii="Tahoma" w:hAnsi="Tahoma" w:cs="Tahoma"/>
          <w:sz w:val="20"/>
          <w:szCs w:val="20"/>
        </w:rPr>
        <w:t>mauritaniennes,</w:t>
      </w:r>
      <w:r w:rsidR="00DB1635" w:rsidRPr="00B004EE">
        <w:rPr>
          <w:rFonts w:ascii="Tahoma" w:hAnsi="Tahoma" w:cs="Tahoma"/>
          <w:sz w:val="20"/>
          <w:szCs w:val="20"/>
        </w:rPr>
        <w:t xml:space="preserve"> </w:t>
      </w:r>
      <w:r w:rsidRPr="00B004EE">
        <w:rPr>
          <w:rFonts w:ascii="Tahoma" w:hAnsi="Tahoma" w:cs="Tahoma"/>
          <w:sz w:val="20"/>
          <w:szCs w:val="20"/>
        </w:rPr>
        <w:t>conformément</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pacing w:val="4"/>
          <w:sz w:val="20"/>
          <w:szCs w:val="20"/>
        </w:rPr>
        <w:t xml:space="preserve"> </w:t>
      </w:r>
      <w:r w:rsidRPr="00B004EE">
        <w:rPr>
          <w:rFonts w:ascii="Tahoma" w:hAnsi="Tahoma" w:cs="Tahoma"/>
          <w:sz w:val="20"/>
          <w:szCs w:val="20"/>
        </w:rPr>
        <w:t>droit</w:t>
      </w:r>
      <w:r w:rsidR="00DB1635" w:rsidRPr="00B004EE">
        <w:rPr>
          <w:rFonts w:ascii="Tahoma" w:hAnsi="Tahoma" w:cs="Tahoma"/>
          <w:w w:val="97"/>
          <w:sz w:val="20"/>
          <w:szCs w:val="20"/>
        </w:rPr>
        <w:t xml:space="preserve"> </w:t>
      </w:r>
      <w:r w:rsidRPr="00B004EE">
        <w:rPr>
          <w:rFonts w:ascii="Tahoma" w:hAnsi="Tahoma" w:cs="Tahoma"/>
          <w:sz w:val="20"/>
          <w:szCs w:val="20"/>
        </w:rPr>
        <w:t>international.</w:t>
      </w:r>
    </w:p>
    <w:p w14:paraId="046A5C45" w14:textId="77777777" w:rsidR="001E7C3C" w:rsidRPr="00B004EE" w:rsidRDefault="001E7C3C" w:rsidP="00B004EE">
      <w:pPr>
        <w:rPr>
          <w:rFonts w:ascii="Tahoma" w:eastAsia="American Typewriter" w:hAnsi="Tahoma" w:cs="Tahoma"/>
          <w:sz w:val="20"/>
          <w:szCs w:val="20"/>
        </w:rPr>
      </w:pPr>
    </w:p>
    <w:p w14:paraId="7F62702B" w14:textId="7CA05BE7" w:rsidR="001E7C3C" w:rsidRPr="00B004EE" w:rsidRDefault="001E7C3C" w:rsidP="00B004EE">
      <w:pPr>
        <w:pStyle w:val="Lgende"/>
        <w:jc w:val="center"/>
        <w:rPr>
          <w:rFonts w:ascii="Tahoma" w:eastAsia="American Typewriter" w:hAnsi="Tahoma" w:cs="Tahoma"/>
        </w:rPr>
      </w:pPr>
      <w:bookmarkStart w:id="139" w:name="_Toc16279102"/>
      <w:bookmarkStart w:id="140" w:name="_Toc16279471"/>
      <w:r w:rsidRPr="00B004EE">
        <w:rPr>
          <w:rFonts w:ascii="Tahoma" w:eastAsia="American Typewriter" w:hAnsi="Tahoma" w:cs="Tahoma"/>
        </w:rPr>
        <w:t>TITRE</w:t>
      </w:r>
      <w:r w:rsidR="00DB1635" w:rsidRPr="00B004EE">
        <w:rPr>
          <w:rFonts w:ascii="Tahoma" w:eastAsia="American Typewriter" w:hAnsi="Tahoma" w:cs="Tahoma"/>
        </w:rPr>
        <w:t xml:space="preserve"> </w:t>
      </w:r>
      <w:r w:rsidRPr="00B004EE">
        <w:rPr>
          <w:rFonts w:ascii="Tahoma" w:eastAsia="American Typewriter" w:hAnsi="Tahoma" w:cs="Tahoma"/>
        </w:rPr>
        <w:t>VII</w:t>
      </w:r>
      <w:r w:rsidR="00DB1635" w:rsidRPr="00B004EE">
        <w:rPr>
          <w:rFonts w:ascii="Tahoma" w:eastAsia="American Typewriter" w:hAnsi="Tahoma" w:cs="Tahoma"/>
        </w:rPr>
        <w:t xml:space="preserve"> </w:t>
      </w:r>
      <w:r w:rsidRPr="00B004EE">
        <w:rPr>
          <w:rFonts w:ascii="Tahoma" w:eastAsia="American Typewriter" w:hAnsi="Tahoma" w:cs="Tahoma"/>
        </w:rPr>
        <w:t>:</w:t>
      </w:r>
      <w:r w:rsidR="00DB1635" w:rsidRPr="00B004EE">
        <w:rPr>
          <w:rFonts w:ascii="Tahoma" w:eastAsia="American Typewriter" w:hAnsi="Tahoma" w:cs="Tahoma"/>
        </w:rPr>
        <w:t xml:space="preserve"> </w:t>
      </w:r>
      <w:r w:rsidRPr="00B004EE">
        <w:rPr>
          <w:rFonts w:ascii="Tahoma" w:eastAsia="American Typewriter" w:hAnsi="Tahoma" w:cs="Tahoma"/>
        </w:rPr>
        <w:t>DISPOSITIONS</w:t>
      </w:r>
      <w:r w:rsidR="00DB1635" w:rsidRPr="00B004EE">
        <w:rPr>
          <w:rFonts w:ascii="Tahoma" w:eastAsia="American Typewriter" w:hAnsi="Tahoma" w:cs="Tahoma"/>
        </w:rPr>
        <w:t xml:space="preserve"> </w:t>
      </w:r>
      <w:r w:rsidRPr="00B004EE">
        <w:rPr>
          <w:rFonts w:ascii="Tahoma" w:eastAsia="American Typewriter" w:hAnsi="Tahoma" w:cs="Tahoma"/>
        </w:rPr>
        <w:t>TRANSITOIRES</w:t>
      </w:r>
      <w:r w:rsidR="00DB1635" w:rsidRPr="00B004EE">
        <w:rPr>
          <w:rFonts w:ascii="Tahoma" w:eastAsia="American Typewriter" w:hAnsi="Tahoma" w:cs="Tahoma"/>
        </w:rPr>
        <w:t xml:space="preserve"> </w:t>
      </w:r>
      <w:r w:rsidRPr="00B004EE">
        <w:rPr>
          <w:rFonts w:ascii="Tahoma" w:eastAsia="American Typewriter" w:hAnsi="Tahoma" w:cs="Tahoma"/>
        </w:rPr>
        <w:t>ET</w:t>
      </w:r>
      <w:r w:rsidR="00DB1635" w:rsidRPr="00B004EE">
        <w:rPr>
          <w:rFonts w:ascii="Tahoma" w:eastAsia="American Typewriter" w:hAnsi="Tahoma" w:cs="Tahoma"/>
        </w:rPr>
        <w:t xml:space="preserve"> </w:t>
      </w:r>
      <w:r w:rsidRPr="00B004EE">
        <w:rPr>
          <w:rFonts w:ascii="Tahoma" w:eastAsia="American Typewriter" w:hAnsi="Tahoma" w:cs="Tahoma"/>
        </w:rPr>
        <w:t>FINALES</w:t>
      </w:r>
      <w:bookmarkEnd w:id="139"/>
      <w:bookmarkEnd w:id="140"/>
    </w:p>
    <w:p w14:paraId="7E762F28" w14:textId="77777777" w:rsidR="001E7C3C" w:rsidRPr="00B004EE" w:rsidRDefault="001E7C3C" w:rsidP="00B004EE">
      <w:pPr>
        <w:rPr>
          <w:rFonts w:ascii="Tahoma" w:eastAsia="American Typewriter" w:hAnsi="Tahoma" w:cs="Tahoma"/>
          <w:b/>
          <w:bCs/>
          <w:sz w:val="20"/>
          <w:szCs w:val="20"/>
        </w:rPr>
      </w:pPr>
    </w:p>
    <w:p w14:paraId="16FC1662" w14:textId="1E95A63E" w:rsidR="001E7C3C" w:rsidRPr="00B004EE" w:rsidRDefault="001E7C3C" w:rsidP="00B004EE">
      <w:pPr>
        <w:pStyle w:val="Corpsdetexte"/>
        <w:ind w:right="160"/>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99</w:t>
      </w:r>
      <w:r w:rsidR="00DB1635" w:rsidRPr="00B004EE">
        <w:rPr>
          <w:rFonts w:ascii="Tahoma" w:hAnsi="Tahoma" w:cs="Tahoma"/>
          <w:bCs/>
          <w:sz w:val="20"/>
          <w:szCs w:val="20"/>
        </w:rPr>
        <w:t xml:space="preserve"> </w:t>
      </w:r>
      <w:r w:rsidRPr="00B004EE">
        <w:rPr>
          <w:rFonts w:ascii="Tahoma" w:hAnsi="Tahoma" w:cs="Tahoma"/>
          <w:bCs/>
          <w:sz w:val="20"/>
          <w:szCs w:val="20"/>
        </w:rPr>
        <w:t>:</w:t>
      </w:r>
      <w:r w:rsidR="00DB1635" w:rsidRPr="00B004EE">
        <w:rPr>
          <w:rFonts w:ascii="Tahoma" w:hAnsi="Tahoma" w:cs="Tahoma"/>
          <w:b/>
          <w:spacing w:val="-10"/>
          <w:sz w:val="20"/>
          <w:szCs w:val="20"/>
        </w:rPr>
        <w:t xml:space="preserve"> </w:t>
      </w:r>
      <w:r w:rsidRPr="00B004EE">
        <w:rPr>
          <w:rFonts w:ascii="Tahoma" w:hAnsi="Tahoma" w:cs="Tahoma"/>
          <w:sz w:val="20"/>
          <w:szCs w:val="20"/>
        </w:rPr>
        <w:t>Les</w:t>
      </w:r>
      <w:r w:rsidR="00DB1635" w:rsidRPr="00B004EE">
        <w:rPr>
          <w:rFonts w:ascii="Tahoma" w:hAnsi="Tahoma" w:cs="Tahoma"/>
          <w:spacing w:val="-13"/>
          <w:sz w:val="20"/>
          <w:szCs w:val="20"/>
        </w:rPr>
        <w:t xml:space="preserve"> </w:t>
      </w:r>
      <w:r w:rsidRPr="00B004EE">
        <w:rPr>
          <w:rFonts w:ascii="Tahoma" w:hAnsi="Tahoma" w:cs="Tahoma"/>
          <w:sz w:val="20"/>
          <w:szCs w:val="20"/>
        </w:rPr>
        <w:t>dispositions</w:t>
      </w:r>
      <w:r w:rsidR="00DB1635" w:rsidRPr="00B004EE">
        <w:rPr>
          <w:rFonts w:ascii="Tahoma" w:hAnsi="Tahoma" w:cs="Tahoma"/>
          <w:spacing w:val="-13"/>
          <w:sz w:val="20"/>
          <w:szCs w:val="20"/>
        </w:rPr>
        <w:t xml:space="preserve"> </w:t>
      </w:r>
      <w:r w:rsidRPr="00B004EE">
        <w:rPr>
          <w:rFonts w:ascii="Tahoma" w:hAnsi="Tahoma" w:cs="Tahoma"/>
          <w:sz w:val="20"/>
          <w:szCs w:val="20"/>
        </w:rPr>
        <w:t>réglementaires</w:t>
      </w:r>
      <w:r w:rsidR="00DB1635" w:rsidRPr="00B004EE">
        <w:rPr>
          <w:rFonts w:ascii="Tahoma" w:hAnsi="Tahoma" w:cs="Tahoma"/>
          <w:spacing w:val="-13"/>
          <w:sz w:val="20"/>
          <w:szCs w:val="20"/>
        </w:rPr>
        <w:t xml:space="preserve"> </w:t>
      </w:r>
      <w:r w:rsidRPr="00B004EE">
        <w:rPr>
          <w:rFonts w:ascii="Tahoma" w:hAnsi="Tahoma" w:cs="Tahoma"/>
          <w:sz w:val="20"/>
          <w:szCs w:val="20"/>
        </w:rPr>
        <w:t>prises</w:t>
      </w:r>
      <w:r w:rsidR="00DB1635" w:rsidRPr="00B004EE">
        <w:rPr>
          <w:rFonts w:ascii="Tahoma" w:hAnsi="Tahoma" w:cs="Tahoma"/>
          <w:spacing w:val="-14"/>
          <w:sz w:val="20"/>
          <w:szCs w:val="20"/>
        </w:rPr>
        <w:t xml:space="preserve"> </w:t>
      </w:r>
      <w:r w:rsidRPr="00B004EE">
        <w:rPr>
          <w:rFonts w:ascii="Tahoma" w:hAnsi="Tahoma" w:cs="Tahoma"/>
          <w:sz w:val="20"/>
          <w:szCs w:val="20"/>
        </w:rPr>
        <w:t>en</w:t>
      </w:r>
      <w:r w:rsidR="00DB1635" w:rsidRPr="00B004EE">
        <w:rPr>
          <w:rFonts w:ascii="Tahoma" w:hAnsi="Tahoma" w:cs="Tahoma"/>
          <w:spacing w:val="-13"/>
          <w:sz w:val="20"/>
          <w:szCs w:val="20"/>
        </w:rPr>
        <w:t xml:space="preserve"> </w:t>
      </w:r>
      <w:r w:rsidRPr="00B004EE">
        <w:rPr>
          <w:rFonts w:ascii="Tahoma" w:hAnsi="Tahoma" w:cs="Tahoma"/>
          <w:sz w:val="20"/>
          <w:szCs w:val="20"/>
        </w:rPr>
        <w:t>application</w:t>
      </w:r>
      <w:r w:rsidR="00DB1635" w:rsidRPr="00B004EE">
        <w:rPr>
          <w:rFonts w:ascii="Tahoma" w:hAnsi="Tahoma" w:cs="Tahoma"/>
          <w:spacing w:val="-13"/>
          <w:sz w:val="20"/>
          <w:szCs w:val="20"/>
        </w:rPr>
        <w:t xml:space="preserve"> </w:t>
      </w:r>
      <w:r w:rsidRPr="00B004EE">
        <w:rPr>
          <w:rFonts w:ascii="Tahoma" w:hAnsi="Tahoma" w:cs="Tahoma"/>
          <w:sz w:val="20"/>
          <w:szCs w:val="20"/>
        </w:rPr>
        <w:t>de</w:t>
      </w:r>
      <w:r w:rsidR="00DB1635" w:rsidRPr="00B004EE">
        <w:rPr>
          <w:rFonts w:ascii="Tahoma" w:hAnsi="Tahoma" w:cs="Tahoma"/>
          <w:spacing w:val="-13"/>
          <w:sz w:val="20"/>
          <w:szCs w:val="20"/>
        </w:rPr>
        <w:t xml:space="preserve"> </w:t>
      </w:r>
      <w:r w:rsidRPr="00B004EE">
        <w:rPr>
          <w:rFonts w:ascii="Tahoma" w:hAnsi="Tahoma" w:cs="Tahoma"/>
          <w:sz w:val="20"/>
          <w:szCs w:val="20"/>
        </w:rPr>
        <w:t>la</w:t>
      </w:r>
      <w:r w:rsidR="00DB1635" w:rsidRPr="00B004EE">
        <w:rPr>
          <w:rFonts w:ascii="Tahoma" w:hAnsi="Tahoma" w:cs="Tahoma"/>
          <w:spacing w:val="-13"/>
          <w:sz w:val="20"/>
          <w:szCs w:val="20"/>
        </w:rPr>
        <w:t xml:space="preserve"> </w:t>
      </w:r>
      <w:r w:rsidRPr="00B004EE">
        <w:rPr>
          <w:rFonts w:ascii="Tahoma" w:hAnsi="Tahoma" w:cs="Tahoma"/>
          <w:sz w:val="20"/>
          <w:szCs w:val="20"/>
        </w:rPr>
        <w:t>législation</w:t>
      </w:r>
      <w:r w:rsidR="00DB1635" w:rsidRPr="00B004EE">
        <w:rPr>
          <w:rFonts w:ascii="Tahoma" w:hAnsi="Tahoma" w:cs="Tahoma"/>
          <w:w w:val="93"/>
          <w:sz w:val="20"/>
          <w:szCs w:val="20"/>
        </w:rPr>
        <w:t xml:space="preserve"> </w:t>
      </w:r>
      <w:r w:rsidRPr="00B004EE">
        <w:rPr>
          <w:rFonts w:ascii="Tahoma" w:hAnsi="Tahoma" w:cs="Tahoma"/>
          <w:sz w:val="20"/>
          <w:szCs w:val="20"/>
        </w:rPr>
        <w:t>des</w:t>
      </w:r>
      <w:r w:rsidR="00DB1635" w:rsidRPr="00B004EE">
        <w:rPr>
          <w:rFonts w:ascii="Tahoma" w:hAnsi="Tahoma" w:cs="Tahoma"/>
          <w:spacing w:val="-12"/>
          <w:sz w:val="20"/>
          <w:szCs w:val="20"/>
        </w:rPr>
        <w:t xml:space="preserve"> </w:t>
      </w:r>
      <w:r w:rsidRPr="00B004EE">
        <w:rPr>
          <w:rFonts w:ascii="Tahoma" w:hAnsi="Tahoma" w:cs="Tahoma"/>
          <w:sz w:val="20"/>
          <w:szCs w:val="20"/>
        </w:rPr>
        <w:t>pêches</w:t>
      </w:r>
      <w:r w:rsidR="00DB1635" w:rsidRPr="00B004EE">
        <w:rPr>
          <w:rFonts w:ascii="Tahoma" w:hAnsi="Tahoma" w:cs="Tahoma"/>
          <w:spacing w:val="-12"/>
          <w:sz w:val="20"/>
          <w:szCs w:val="20"/>
        </w:rPr>
        <w:t xml:space="preserve"> </w:t>
      </w:r>
      <w:r w:rsidRPr="00B004EE">
        <w:rPr>
          <w:rFonts w:ascii="Tahoma" w:hAnsi="Tahoma" w:cs="Tahoma"/>
          <w:sz w:val="20"/>
          <w:szCs w:val="20"/>
        </w:rPr>
        <w:t>antérieures</w:t>
      </w:r>
      <w:r w:rsidR="00DB1635" w:rsidRPr="00B004EE">
        <w:rPr>
          <w:rFonts w:ascii="Tahoma" w:hAnsi="Tahoma" w:cs="Tahoma"/>
          <w:spacing w:val="-12"/>
          <w:sz w:val="20"/>
          <w:szCs w:val="20"/>
        </w:rPr>
        <w:t xml:space="preserve"> </w:t>
      </w:r>
      <w:r w:rsidRPr="00B004EE">
        <w:rPr>
          <w:rFonts w:ascii="Tahoma" w:hAnsi="Tahoma" w:cs="Tahoma"/>
          <w:sz w:val="20"/>
          <w:szCs w:val="20"/>
        </w:rPr>
        <w:t>demeurent</w:t>
      </w:r>
      <w:r w:rsidR="00DB1635" w:rsidRPr="00B004EE">
        <w:rPr>
          <w:rFonts w:ascii="Tahoma" w:hAnsi="Tahoma" w:cs="Tahoma"/>
          <w:spacing w:val="-12"/>
          <w:sz w:val="20"/>
          <w:szCs w:val="20"/>
        </w:rPr>
        <w:t xml:space="preserve"> </w:t>
      </w:r>
      <w:r w:rsidRPr="00B004EE">
        <w:rPr>
          <w:rFonts w:ascii="Tahoma" w:hAnsi="Tahoma" w:cs="Tahoma"/>
          <w:sz w:val="20"/>
          <w:szCs w:val="20"/>
        </w:rPr>
        <w:t>en</w:t>
      </w:r>
      <w:r w:rsidR="00DB1635" w:rsidRPr="00B004EE">
        <w:rPr>
          <w:rFonts w:ascii="Tahoma" w:hAnsi="Tahoma" w:cs="Tahoma"/>
          <w:spacing w:val="-12"/>
          <w:sz w:val="20"/>
          <w:szCs w:val="20"/>
        </w:rPr>
        <w:t xml:space="preserve"> </w:t>
      </w:r>
      <w:r w:rsidRPr="00B004EE">
        <w:rPr>
          <w:rFonts w:ascii="Tahoma" w:hAnsi="Tahoma" w:cs="Tahoma"/>
          <w:sz w:val="20"/>
          <w:szCs w:val="20"/>
        </w:rPr>
        <w:t>vigueur</w:t>
      </w:r>
      <w:r w:rsidR="00DB1635" w:rsidRPr="00B004EE">
        <w:rPr>
          <w:rFonts w:ascii="Tahoma" w:hAnsi="Tahoma" w:cs="Tahoma"/>
          <w:spacing w:val="-13"/>
          <w:sz w:val="20"/>
          <w:szCs w:val="20"/>
        </w:rPr>
        <w:t xml:space="preserve"> </w:t>
      </w:r>
      <w:r w:rsidRPr="00B004EE">
        <w:rPr>
          <w:rFonts w:ascii="Tahoma" w:hAnsi="Tahoma" w:cs="Tahoma"/>
          <w:sz w:val="20"/>
          <w:szCs w:val="20"/>
        </w:rPr>
        <w:t>et</w:t>
      </w:r>
      <w:r w:rsidR="00DB1635" w:rsidRPr="00B004EE">
        <w:rPr>
          <w:rFonts w:ascii="Tahoma" w:hAnsi="Tahoma" w:cs="Tahoma"/>
          <w:spacing w:val="-12"/>
          <w:sz w:val="20"/>
          <w:szCs w:val="20"/>
        </w:rPr>
        <w:t xml:space="preserve"> </w:t>
      </w:r>
      <w:r w:rsidRPr="00B004EE">
        <w:rPr>
          <w:rFonts w:ascii="Tahoma" w:hAnsi="Tahoma" w:cs="Tahoma"/>
          <w:sz w:val="20"/>
          <w:szCs w:val="20"/>
        </w:rPr>
        <w:t>conservent</w:t>
      </w:r>
      <w:r w:rsidR="00DB1635" w:rsidRPr="00B004EE">
        <w:rPr>
          <w:rFonts w:ascii="Tahoma" w:hAnsi="Tahoma" w:cs="Tahoma"/>
          <w:spacing w:val="-12"/>
          <w:sz w:val="20"/>
          <w:szCs w:val="20"/>
        </w:rPr>
        <w:t xml:space="preserve"> </w:t>
      </w:r>
      <w:r w:rsidRPr="00B004EE">
        <w:rPr>
          <w:rFonts w:ascii="Tahoma" w:hAnsi="Tahoma" w:cs="Tahoma"/>
          <w:sz w:val="20"/>
          <w:szCs w:val="20"/>
        </w:rPr>
        <w:t>leur</w:t>
      </w:r>
      <w:r w:rsidR="00DB1635" w:rsidRPr="00B004EE">
        <w:rPr>
          <w:rFonts w:ascii="Tahoma" w:hAnsi="Tahoma" w:cs="Tahoma"/>
          <w:spacing w:val="-13"/>
          <w:sz w:val="20"/>
          <w:szCs w:val="20"/>
        </w:rPr>
        <w:t xml:space="preserve"> </w:t>
      </w:r>
      <w:r w:rsidRPr="00B004EE">
        <w:rPr>
          <w:rFonts w:ascii="Tahoma" w:hAnsi="Tahoma" w:cs="Tahoma"/>
          <w:sz w:val="20"/>
          <w:szCs w:val="20"/>
        </w:rPr>
        <w:t>nature</w:t>
      </w:r>
      <w:r w:rsidR="00DB1635" w:rsidRPr="00B004EE">
        <w:rPr>
          <w:rFonts w:ascii="Tahoma" w:hAnsi="Tahoma" w:cs="Tahoma"/>
          <w:spacing w:val="-12"/>
          <w:sz w:val="20"/>
          <w:szCs w:val="20"/>
        </w:rPr>
        <w:t xml:space="preserve"> </w:t>
      </w:r>
      <w:r w:rsidRPr="00B004EE">
        <w:rPr>
          <w:rFonts w:ascii="Tahoma" w:hAnsi="Tahoma" w:cs="Tahoma"/>
          <w:sz w:val="20"/>
          <w:szCs w:val="20"/>
        </w:rPr>
        <w:t>juridique</w:t>
      </w:r>
      <w:r w:rsidR="00DB1635" w:rsidRPr="00B004EE">
        <w:rPr>
          <w:rFonts w:ascii="Tahoma" w:hAnsi="Tahoma" w:cs="Tahoma"/>
          <w:w w:val="96"/>
          <w:sz w:val="20"/>
          <w:szCs w:val="20"/>
        </w:rPr>
        <w:t xml:space="preserve"> </w:t>
      </w:r>
      <w:r w:rsidRPr="00B004EE">
        <w:rPr>
          <w:rFonts w:ascii="Tahoma" w:hAnsi="Tahoma" w:cs="Tahoma"/>
          <w:sz w:val="20"/>
          <w:szCs w:val="20"/>
        </w:rPr>
        <w:t>d'origine</w:t>
      </w:r>
      <w:r w:rsidR="00DB1635" w:rsidRPr="00B004EE">
        <w:rPr>
          <w:rFonts w:ascii="Tahoma" w:hAnsi="Tahoma" w:cs="Tahoma"/>
          <w:spacing w:val="-5"/>
          <w:sz w:val="20"/>
          <w:szCs w:val="20"/>
        </w:rPr>
        <w:t xml:space="preserve"> </w:t>
      </w:r>
      <w:r w:rsidRPr="00B004EE">
        <w:rPr>
          <w:rFonts w:ascii="Tahoma" w:hAnsi="Tahoma" w:cs="Tahoma"/>
          <w:sz w:val="20"/>
          <w:szCs w:val="20"/>
        </w:rPr>
        <w:t>jusqu'à</w:t>
      </w:r>
      <w:r w:rsidR="00DB1635" w:rsidRPr="00B004EE">
        <w:rPr>
          <w:rFonts w:ascii="Tahoma" w:hAnsi="Tahoma" w:cs="Tahoma"/>
          <w:spacing w:val="-5"/>
          <w:sz w:val="20"/>
          <w:szCs w:val="20"/>
        </w:rPr>
        <w:t xml:space="preserve"> </w:t>
      </w:r>
      <w:r w:rsidRPr="00B004EE">
        <w:rPr>
          <w:rFonts w:ascii="Tahoma" w:hAnsi="Tahoma" w:cs="Tahoma"/>
          <w:sz w:val="20"/>
          <w:szCs w:val="20"/>
        </w:rPr>
        <w:t>la</w:t>
      </w:r>
      <w:r w:rsidR="00DB1635" w:rsidRPr="00B004EE">
        <w:rPr>
          <w:rFonts w:ascii="Tahoma" w:hAnsi="Tahoma" w:cs="Tahoma"/>
          <w:spacing w:val="-5"/>
          <w:sz w:val="20"/>
          <w:szCs w:val="20"/>
        </w:rPr>
        <w:t xml:space="preserve"> </w:t>
      </w:r>
      <w:r w:rsidRPr="00B004EE">
        <w:rPr>
          <w:rFonts w:ascii="Tahoma" w:hAnsi="Tahoma" w:cs="Tahoma"/>
          <w:sz w:val="20"/>
          <w:szCs w:val="20"/>
        </w:rPr>
        <w:t>publication</w:t>
      </w:r>
      <w:r w:rsidR="00DB1635" w:rsidRPr="00B004EE">
        <w:rPr>
          <w:rFonts w:ascii="Tahoma" w:hAnsi="Tahoma" w:cs="Tahoma"/>
          <w:spacing w:val="-5"/>
          <w:sz w:val="20"/>
          <w:szCs w:val="20"/>
        </w:rPr>
        <w:t xml:space="preserve"> </w:t>
      </w:r>
      <w:r w:rsidRPr="00B004EE">
        <w:rPr>
          <w:rFonts w:ascii="Tahoma" w:hAnsi="Tahoma" w:cs="Tahoma"/>
          <w:sz w:val="20"/>
          <w:szCs w:val="20"/>
        </w:rPr>
        <w:t>des</w:t>
      </w:r>
      <w:r w:rsidR="00DB1635" w:rsidRPr="00B004EE">
        <w:rPr>
          <w:rFonts w:ascii="Tahoma" w:hAnsi="Tahoma" w:cs="Tahoma"/>
          <w:spacing w:val="-5"/>
          <w:sz w:val="20"/>
          <w:szCs w:val="20"/>
        </w:rPr>
        <w:t xml:space="preserve"> </w:t>
      </w:r>
      <w:r w:rsidRPr="00B004EE">
        <w:rPr>
          <w:rFonts w:ascii="Tahoma" w:hAnsi="Tahoma" w:cs="Tahoma"/>
          <w:sz w:val="20"/>
          <w:szCs w:val="20"/>
        </w:rPr>
        <w:t>mesures</w:t>
      </w:r>
      <w:r w:rsidR="00DB1635" w:rsidRPr="00B004EE">
        <w:rPr>
          <w:rFonts w:ascii="Tahoma" w:hAnsi="Tahoma" w:cs="Tahoma"/>
          <w:spacing w:val="-5"/>
          <w:sz w:val="20"/>
          <w:szCs w:val="20"/>
        </w:rPr>
        <w:t xml:space="preserve"> </w:t>
      </w:r>
      <w:r w:rsidRPr="00B004EE">
        <w:rPr>
          <w:rFonts w:ascii="Tahoma" w:hAnsi="Tahoma" w:cs="Tahoma"/>
          <w:sz w:val="20"/>
          <w:szCs w:val="20"/>
        </w:rPr>
        <w:t>d'application</w:t>
      </w:r>
      <w:r w:rsidR="00DB1635" w:rsidRPr="00B004EE">
        <w:rPr>
          <w:rFonts w:ascii="Tahoma" w:hAnsi="Tahoma" w:cs="Tahoma"/>
          <w:spacing w:val="-5"/>
          <w:sz w:val="20"/>
          <w:szCs w:val="20"/>
        </w:rPr>
        <w:t xml:space="preserve"> </w:t>
      </w:r>
      <w:r w:rsidRPr="00B004EE">
        <w:rPr>
          <w:rFonts w:ascii="Tahoma" w:hAnsi="Tahoma" w:cs="Tahoma"/>
          <w:sz w:val="20"/>
          <w:szCs w:val="20"/>
        </w:rPr>
        <w:t>prévues</w:t>
      </w:r>
      <w:r w:rsidR="00DB1635" w:rsidRPr="00B004EE">
        <w:rPr>
          <w:rFonts w:ascii="Tahoma" w:hAnsi="Tahoma" w:cs="Tahoma"/>
          <w:spacing w:val="-7"/>
          <w:sz w:val="20"/>
          <w:szCs w:val="20"/>
        </w:rPr>
        <w:t xml:space="preserve"> </w:t>
      </w:r>
      <w:r w:rsidRPr="00B004EE">
        <w:rPr>
          <w:rFonts w:ascii="Tahoma" w:hAnsi="Tahoma" w:cs="Tahoma"/>
          <w:sz w:val="20"/>
          <w:szCs w:val="20"/>
        </w:rPr>
        <w:t>par</w:t>
      </w:r>
      <w:r w:rsidR="00DB1635" w:rsidRPr="00B004EE">
        <w:rPr>
          <w:rFonts w:ascii="Tahoma" w:hAnsi="Tahoma" w:cs="Tahoma"/>
          <w:spacing w:val="-7"/>
          <w:sz w:val="20"/>
          <w:szCs w:val="20"/>
        </w:rPr>
        <w:t xml:space="preserve"> </w:t>
      </w:r>
      <w:r w:rsidRPr="00B004EE">
        <w:rPr>
          <w:rFonts w:ascii="Tahoma" w:hAnsi="Tahoma" w:cs="Tahoma"/>
          <w:sz w:val="20"/>
          <w:szCs w:val="20"/>
        </w:rPr>
        <w:t>la</w:t>
      </w:r>
      <w:r w:rsidR="00DB1635" w:rsidRPr="00B004EE">
        <w:rPr>
          <w:rFonts w:ascii="Tahoma" w:hAnsi="Tahoma" w:cs="Tahoma"/>
          <w:spacing w:val="-6"/>
          <w:sz w:val="20"/>
          <w:szCs w:val="20"/>
        </w:rPr>
        <w:t xml:space="preserve"> </w:t>
      </w:r>
      <w:r w:rsidRPr="00B004EE">
        <w:rPr>
          <w:rFonts w:ascii="Tahoma" w:hAnsi="Tahoma" w:cs="Tahoma"/>
          <w:sz w:val="20"/>
          <w:szCs w:val="20"/>
        </w:rPr>
        <w:t>présente</w:t>
      </w:r>
      <w:r w:rsidR="00DB1635" w:rsidRPr="00B004EE">
        <w:rPr>
          <w:rFonts w:ascii="Tahoma" w:hAnsi="Tahoma" w:cs="Tahoma"/>
          <w:w w:val="95"/>
          <w:sz w:val="20"/>
          <w:szCs w:val="20"/>
        </w:rPr>
        <w:t xml:space="preserve"> </w:t>
      </w:r>
      <w:r w:rsidRPr="00B004EE">
        <w:rPr>
          <w:rFonts w:ascii="Tahoma" w:hAnsi="Tahoma" w:cs="Tahoma"/>
          <w:sz w:val="20"/>
          <w:szCs w:val="20"/>
        </w:rPr>
        <w:t>Loi.</w:t>
      </w:r>
    </w:p>
    <w:p w14:paraId="5FF36306" w14:textId="77777777" w:rsidR="001E7C3C" w:rsidRPr="00B004EE" w:rsidRDefault="001E7C3C" w:rsidP="00B004EE">
      <w:pPr>
        <w:rPr>
          <w:rFonts w:ascii="Tahoma" w:eastAsia="American Typewriter" w:hAnsi="Tahoma" w:cs="Tahoma"/>
          <w:sz w:val="20"/>
          <w:szCs w:val="20"/>
        </w:rPr>
      </w:pPr>
    </w:p>
    <w:p w14:paraId="172ACA94" w14:textId="3FB99FCF" w:rsidR="001E7C3C" w:rsidRPr="00B004EE" w:rsidRDefault="001E7C3C" w:rsidP="00B004EE">
      <w:pPr>
        <w:pStyle w:val="Corpsdetexte"/>
        <w:ind w:right="158"/>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100</w:t>
      </w:r>
      <w:r w:rsidR="00DB1635" w:rsidRPr="00B004EE">
        <w:rPr>
          <w:rFonts w:ascii="Tahoma" w:hAnsi="Tahoma" w:cs="Tahoma"/>
          <w:bCs/>
          <w:sz w:val="20"/>
          <w:szCs w:val="20"/>
        </w:rPr>
        <w:t xml:space="preserve"> </w:t>
      </w:r>
      <w:r w:rsidRPr="00B004EE">
        <w:rPr>
          <w:rFonts w:ascii="Tahoma" w:hAnsi="Tahoma" w:cs="Tahoma"/>
          <w:bCs/>
          <w:sz w:val="20"/>
          <w:szCs w:val="20"/>
        </w:rPr>
        <w:t>:</w:t>
      </w:r>
      <w:r w:rsidR="00DB1635" w:rsidRPr="00B004EE">
        <w:rPr>
          <w:rFonts w:ascii="Tahoma" w:eastAsia="American Typewriter" w:hAnsi="Tahoma" w:cs="Tahoma"/>
          <w:b/>
          <w:bCs/>
          <w:w w:val="95"/>
          <w:sz w:val="20"/>
          <w:szCs w:val="20"/>
        </w:rPr>
        <w:t xml:space="preserve"> </w:t>
      </w:r>
      <w:r w:rsidRPr="00B004EE">
        <w:rPr>
          <w:rFonts w:ascii="Tahoma" w:hAnsi="Tahoma" w:cs="Tahoma"/>
          <w:w w:val="95"/>
          <w:sz w:val="20"/>
          <w:szCs w:val="20"/>
        </w:rPr>
        <w:t>Sont</w:t>
      </w:r>
      <w:r w:rsidR="00DB1635" w:rsidRPr="00B004EE">
        <w:rPr>
          <w:rFonts w:ascii="Tahoma" w:hAnsi="Tahoma" w:cs="Tahoma"/>
          <w:w w:val="95"/>
          <w:sz w:val="20"/>
          <w:szCs w:val="20"/>
        </w:rPr>
        <w:t xml:space="preserve"> </w:t>
      </w:r>
      <w:r w:rsidRPr="00B004EE">
        <w:rPr>
          <w:rFonts w:ascii="Tahoma" w:hAnsi="Tahoma" w:cs="Tahoma"/>
          <w:w w:val="95"/>
          <w:sz w:val="20"/>
          <w:szCs w:val="20"/>
        </w:rPr>
        <w:t>abrogées</w:t>
      </w:r>
      <w:r w:rsidR="00DB1635" w:rsidRPr="00B004EE">
        <w:rPr>
          <w:rFonts w:ascii="Tahoma" w:hAnsi="Tahoma" w:cs="Tahoma"/>
          <w:w w:val="95"/>
          <w:sz w:val="20"/>
          <w:szCs w:val="20"/>
        </w:rPr>
        <w:t xml:space="preserve"> </w:t>
      </w:r>
      <w:r w:rsidRPr="00B004EE">
        <w:rPr>
          <w:rFonts w:ascii="Tahoma" w:hAnsi="Tahoma" w:cs="Tahoma"/>
          <w:w w:val="95"/>
          <w:sz w:val="20"/>
          <w:szCs w:val="20"/>
        </w:rPr>
        <w:t>les</w:t>
      </w:r>
      <w:r w:rsidR="00DB1635" w:rsidRPr="00B004EE">
        <w:rPr>
          <w:rFonts w:ascii="Tahoma" w:hAnsi="Tahoma" w:cs="Tahoma"/>
          <w:w w:val="95"/>
          <w:sz w:val="20"/>
          <w:szCs w:val="20"/>
        </w:rPr>
        <w:t xml:space="preserve"> </w:t>
      </w:r>
      <w:r w:rsidRPr="00B004EE">
        <w:rPr>
          <w:rFonts w:ascii="Tahoma" w:hAnsi="Tahoma" w:cs="Tahoma"/>
          <w:w w:val="95"/>
          <w:sz w:val="20"/>
          <w:szCs w:val="20"/>
        </w:rPr>
        <w:t>dispositions</w:t>
      </w:r>
      <w:r w:rsidR="00DB1635" w:rsidRPr="00B004EE">
        <w:rPr>
          <w:rFonts w:ascii="Tahoma" w:hAnsi="Tahoma" w:cs="Tahoma"/>
          <w:w w:val="95"/>
          <w:sz w:val="20"/>
          <w:szCs w:val="20"/>
        </w:rPr>
        <w:t xml:space="preserve"> </w:t>
      </w:r>
      <w:r w:rsidRPr="00B004EE">
        <w:rPr>
          <w:rFonts w:ascii="Tahoma" w:hAnsi="Tahoma" w:cs="Tahoma"/>
          <w:w w:val="95"/>
          <w:sz w:val="20"/>
          <w:szCs w:val="20"/>
        </w:rPr>
        <w:t>antérieures,</w:t>
      </w:r>
      <w:r w:rsidR="00DB1635" w:rsidRPr="00B004EE">
        <w:rPr>
          <w:rFonts w:ascii="Tahoma" w:hAnsi="Tahoma" w:cs="Tahoma"/>
          <w:w w:val="95"/>
          <w:sz w:val="20"/>
          <w:szCs w:val="20"/>
        </w:rPr>
        <w:t xml:space="preserve"> </w:t>
      </w:r>
      <w:r w:rsidRPr="00B004EE">
        <w:rPr>
          <w:rFonts w:ascii="Tahoma" w:hAnsi="Tahoma" w:cs="Tahoma"/>
          <w:w w:val="95"/>
          <w:sz w:val="20"/>
          <w:szCs w:val="20"/>
        </w:rPr>
        <w:t>contraires</w:t>
      </w:r>
      <w:r w:rsidR="00DB1635" w:rsidRPr="00B004EE">
        <w:rPr>
          <w:rFonts w:ascii="Tahoma" w:hAnsi="Tahoma" w:cs="Tahoma"/>
          <w:w w:val="95"/>
          <w:sz w:val="20"/>
          <w:szCs w:val="20"/>
        </w:rPr>
        <w:t xml:space="preserve"> </w:t>
      </w:r>
      <w:r w:rsidRPr="00B004EE">
        <w:rPr>
          <w:rFonts w:ascii="Tahoma" w:hAnsi="Tahoma" w:cs="Tahoma"/>
          <w:w w:val="95"/>
          <w:sz w:val="20"/>
          <w:szCs w:val="20"/>
        </w:rPr>
        <w:t>aux</w:t>
      </w:r>
      <w:r w:rsidR="00DB1635" w:rsidRPr="00B004EE">
        <w:rPr>
          <w:rFonts w:ascii="Tahoma" w:hAnsi="Tahoma" w:cs="Tahoma"/>
          <w:spacing w:val="43"/>
          <w:w w:val="95"/>
          <w:sz w:val="20"/>
          <w:szCs w:val="20"/>
        </w:rPr>
        <w:t xml:space="preserve"> </w:t>
      </w:r>
      <w:r w:rsidRPr="00B004EE">
        <w:rPr>
          <w:rFonts w:ascii="Tahoma" w:hAnsi="Tahoma" w:cs="Tahoma"/>
          <w:w w:val="95"/>
          <w:sz w:val="20"/>
          <w:szCs w:val="20"/>
        </w:rPr>
        <w:t>dispositions</w:t>
      </w:r>
      <w:r w:rsidR="00DB1635" w:rsidRPr="00B004EE">
        <w:rPr>
          <w:rFonts w:ascii="Tahoma" w:hAnsi="Tahoma" w:cs="Tahoma"/>
          <w:w w:val="93"/>
          <w:sz w:val="20"/>
          <w:szCs w:val="20"/>
        </w:rPr>
        <w:t xml:space="preserve"> </w:t>
      </w:r>
      <w:r w:rsidRPr="00B004EE">
        <w:rPr>
          <w:rFonts w:ascii="Tahoma" w:hAnsi="Tahoma" w:cs="Tahoma"/>
          <w:sz w:val="20"/>
          <w:szCs w:val="20"/>
        </w:rPr>
        <w:t>de</w:t>
      </w:r>
      <w:r w:rsidR="00DB1635" w:rsidRPr="00B004EE">
        <w:rPr>
          <w:rFonts w:ascii="Tahoma" w:hAnsi="Tahoma" w:cs="Tahoma"/>
          <w:spacing w:val="-20"/>
          <w:sz w:val="20"/>
          <w:szCs w:val="20"/>
        </w:rPr>
        <w:t xml:space="preserve"> </w:t>
      </w:r>
      <w:r w:rsidRPr="00B004EE">
        <w:rPr>
          <w:rFonts w:ascii="Tahoma" w:hAnsi="Tahoma" w:cs="Tahoma"/>
          <w:sz w:val="20"/>
          <w:szCs w:val="20"/>
        </w:rPr>
        <w:t>la</w:t>
      </w:r>
      <w:r w:rsidR="00DB1635" w:rsidRPr="00B004EE">
        <w:rPr>
          <w:rFonts w:ascii="Tahoma" w:hAnsi="Tahoma" w:cs="Tahoma"/>
          <w:spacing w:val="-19"/>
          <w:sz w:val="20"/>
          <w:szCs w:val="20"/>
        </w:rPr>
        <w:t xml:space="preserve"> </w:t>
      </w:r>
      <w:r w:rsidRPr="00B004EE">
        <w:rPr>
          <w:rFonts w:ascii="Tahoma" w:hAnsi="Tahoma" w:cs="Tahoma"/>
          <w:sz w:val="20"/>
          <w:szCs w:val="20"/>
        </w:rPr>
        <w:t>présente</w:t>
      </w:r>
      <w:r w:rsidR="00DB1635" w:rsidRPr="00B004EE">
        <w:rPr>
          <w:rFonts w:ascii="Tahoma" w:hAnsi="Tahoma" w:cs="Tahoma"/>
          <w:spacing w:val="-20"/>
          <w:sz w:val="20"/>
          <w:szCs w:val="20"/>
        </w:rPr>
        <w:t xml:space="preserve"> </w:t>
      </w:r>
      <w:r w:rsidRPr="00B004EE">
        <w:rPr>
          <w:rFonts w:ascii="Tahoma" w:hAnsi="Tahoma" w:cs="Tahoma"/>
          <w:sz w:val="20"/>
          <w:szCs w:val="20"/>
        </w:rPr>
        <w:t>Loi,</w:t>
      </w:r>
      <w:r w:rsidR="00DB1635" w:rsidRPr="00B004EE">
        <w:rPr>
          <w:rFonts w:ascii="Tahoma" w:hAnsi="Tahoma" w:cs="Tahoma"/>
          <w:spacing w:val="-19"/>
          <w:sz w:val="20"/>
          <w:szCs w:val="20"/>
        </w:rPr>
        <w:t xml:space="preserve"> </w:t>
      </w:r>
      <w:r w:rsidRPr="00B004EE">
        <w:rPr>
          <w:rFonts w:ascii="Tahoma" w:hAnsi="Tahoma" w:cs="Tahoma"/>
          <w:sz w:val="20"/>
          <w:szCs w:val="20"/>
        </w:rPr>
        <w:t>notamment</w:t>
      </w:r>
      <w:r w:rsidR="00DB1635" w:rsidRPr="00B004EE">
        <w:rPr>
          <w:rFonts w:ascii="Tahoma" w:hAnsi="Tahoma" w:cs="Tahoma"/>
          <w:spacing w:val="-19"/>
          <w:sz w:val="20"/>
          <w:szCs w:val="20"/>
        </w:rPr>
        <w:t xml:space="preserve"> </w:t>
      </w:r>
      <w:r w:rsidRPr="00B004EE">
        <w:rPr>
          <w:rFonts w:ascii="Tahoma" w:hAnsi="Tahoma" w:cs="Tahoma"/>
          <w:sz w:val="20"/>
          <w:szCs w:val="20"/>
        </w:rPr>
        <w:t>la</w:t>
      </w:r>
      <w:r w:rsidR="00DB1635" w:rsidRPr="00B004EE">
        <w:rPr>
          <w:rFonts w:ascii="Tahoma" w:hAnsi="Tahoma" w:cs="Tahoma"/>
          <w:spacing w:val="-19"/>
          <w:sz w:val="20"/>
          <w:szCs w:val="20"/>
        </w:rPr>
        <w:t xml:space="preserve"> </w:t>
      </w:r>
      <w:r w:rsidRPr="00B004EE">
        <w:rPr>
          <w:rFonts w:ascii="Tahoma" w:hAnsi="Tahoma" w:cs="Tahoma"/>
          <w:sz w:val="20"/>
          <w:szCs w:val="20"/>
        </w:rPr>
        <w:t>Loi</w:t>
      </w:r>
      <w:r w:rsidR="00DB1635" w:rsidRPr="00B004EE">
        <w:rPr>
          <w:rFonts w:ascii="Tahoma" w:hAnsi="Tahoma" w:cs="Tahoma"/>
          <w:spacing w:val="-19"/>
          <w:sz w:val="20"/>
          <w:szCs w:val="20"/>
        </w:rPr>
        <w:t xml:space="preserve"> </w:t>
      </w:r>
      <w:r w:rsidRPr="00B004EE">
        <w:rPr>
          <w:rFonts w:ascii="Tahoma" w:hAnsi="Tahoma" w:cs="Tahoma"/>
          <w:sz w:val="20"/>
          <w:szCs w:val="20"/>
        </w:rPr>
        <w:t>n°2000-025</w:t>
      </w:r>
      <w:r w:rsidR="00DB1635" w:rsidRPr="00B004EE">
        <w:rPr>
          <w:rFonts w:ascii="Tahoma" w:hAnsi="Tahoma" w:cs="Tahoma"/>
          <w:spacing w:val="-19"/>
          <w:sz w:val="20"/>
          <w:szCs w:val="20"/>
        </w:rPr>
        <w:t xml:space="preserve"> </w:t>
      </w:r>
      <w:r w:rsidRPr="00B004EE">
        <w:rPr>
          <w:rFonts w:ascii="Tahoma" w:hAnsi="Tahoma" w:cs="Tahoma"/>
          <w:sz w:val="20"/>
          <w:szCs w:val="20"/>
        </w:rPr>
        <w:t>du</w:t>
      </w:r>
      <w:r w:rsidR="00DB1635" w:rsidRPr="00B004EE">
        <w:rPr>
          <w:rFonts w:ascii="Tahoma" w:hAnsi="Tahoma" w:cs="Tahoma"/>
          <w:spacing w:val="-20"/>
          <w:sz w:val="20"/>
          <w:szCs w:val="20"/>
        </w:rPr>
        <w:t xml:space="preserve"> </w:t>
      </w:r>
      <w:r w:rsidRPr="00B004EE">
        <w:rPr>
          <w:rFonts w:ascii="Tahoma" w:hAnsi="Tahoma" w:cs="Tahoma"/>
          <w:sz w:val="20"/>
          <w:szCs w:val="20"/>
        </w:rPr>
        <w:t>24</w:t>
      </w:r>
      <w:r w:rsidR="00DB1635" w:rsidRPr="00B004EE">
        <w:rPr>
          <w:rFonts w:ascii="Tahoma" w:hAnsi="Tahoma" w:cs="Tahoma"/>
          <w:spacing w:val="-18"/>
          <w:sz w:val="20"/>
          <w:szCs w:val="20"/>
        </w:rPr>
        <w:t xml:space="preserve"> </w:t>
      </w:r>
      <w:r w:rsidRPr="00B004EE">
        <w:rPr>
          <w:rFonts w:ascii="Tahoma" w:hAnsi="Tahoma" w:cs="Tahoma"/>
          <w:sz w:val="20"/>
          <w:szCs w:val="20"/>
        </w:rPr>
        <w:t>janvier</w:t>
      </w:r>
      <w:r w:rsidR="00DB1635" w:rsidRPr="00B004EE">
        <w:rPr>
          <w:rFonts w:ascii="Tahoma" w:hAnsi="Tahoma" w:cs="Tahoma"/>
          <w:spacing w:val="-19"/>
          <w:sz w:val="20"/>
          <w:szCs w:val="20"/>
        </w:rPr>
        <w:t xml:space="preserve"> </w:t>
      </w:r>
      <w:r w:rsidRPr="00B004EE">
        <w:rPr>
          <w:rFonts w:ascii="Tahoma" w:hAnsi="Tahoma" w:cs="Tahoma"/>
          <w:sz w:val="20"/>
          <w:szCs w:val="20"/>
        </w:rPr>
        <w:t>2000</w:t>
      </w:r>
      <w:r w:rsidR="00DB1635" w:rsidRPr="00B004EE">
        <w:rPr>
          <w:rFonts w:ascii="Tahoma" w:hAnsi="Tahoma" w:cs="Tahoma"/>
          <w:spacing w:val="-19"/>
          <w:sz w:val="20"/>
          <w:szCs w:val="20"/>
        </w:rPr>
        <w:t xml:space="preserve"> </w:t>
      </w:r>
      <w:r w:rsidRPr="00B004EE">
        <w:rPr>
          <w:rFonts w:ascii="Tahoma" w:hAnsi="Tahoma" w:cs="Tahoma"/>
          <w:sz w:val="20"/>
          <w:szCs w:val="20"/>
        </w:rPr>
        <w:t>portant</w:t>
      </w:r>
      <w:r w:rsidR="00DB1635" w:rsidRPr="00B004EE">
        <w:rPr>
          <w:rFonts w:ascii="Tahoma" w:hAnsi="Tahoma" w:cs="Tahoma"/>
          <w:spacing w:val="-20"/>
          <w:sz w:val="20"/>
          <w:szCs w:val="20"/>
        </w:rPr>
        <w:t xml:space="preserve"> </w:t>
      </w:r>
      <w:r w:rsidRPr="00B004EE">
        <w:rPr>
          <w:rFonts w:ascii="Tahoma" w:hAnsi="Tahoma" w:cs="Tahoma"/>
          <w:sz w:val="20"/>
          <w:szCs w:val="20"/>
        </w:rPr>
        <w:t>Code</w:t>
      </w:r>
      <w:r w:rsidR="00DB1635" w:rsidRPr="00B004EE">
        <w:rPr>
          <w:rFonts w:ascii="Tahoma" w:hAnsi="Tahoma" w:cs="Tahoma"/>
          <w:w w:val="94"/>
          <w:sz w:val="20"/>
          <w:szCs w:val="20"/>
        </w:rPr>
        <w:t xml:space="preserve"> </w:t>
      </w:r>
      <w:r w:rsidRPr="00B004EE">
        <w:rPr>
          <w:rFonts w:ascii="Tahoma" w:eastAsia="American Typewriter" w:hAnsi="Tahoma" w:cs="Tahoma"/>
          <w:sz w:val="20"/>
          <w:szCs w:val="20"/>
        </w:rPr>
        <w:t>des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Pêches</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et</w:t>
      </w:r>
      <w:r w:rsidR="00DB1635" w:rsidRPr="00B004EE">
        <w:rPr>
          <w:rFonts w:ascii="Tahoma" w:eastAsia="American Typewriter" w:hAnsi="Tahoma" w:cs="Tahoma"/>
          <w:sz w:val="20"/>
          <w:szCs w:val="20"/>
        </w:rPr>
        <w:t xml:space="preserve"> </w:t>
      </w:r>
      <w:r w:rsidRPr="00B004EE">
        <w:rPr>
          <w:rFonts w:ascii="Tahoma" w:eastAsia="American Typewriter" w:hAnsi="Tahoma" w:cs="Tahoma"/>
          <w:sz w:val="20"/>
          <w:szCs w:val="20"/>
        </w:rPr>
        <w:t>l’Ordonnance</w:t>
      </w:r>
      <w:r w:rsidR="00DB1635" w:rsidRPr="00B004EE">
        <w:rPr>
          <w:rFonts w:ascii="Tahoma" w:eastAsia="American Typewriter" w:hAnsi="Tahoma" w:cs="Tahoma"/>
          <w:sz w:val="20"/>
          <w:szCs w:val="20"/>
        </w:rPr>
        <w:t xml:space="preserve"> </w:t>
      </w:r>
      <w:r w:rsidRPr="00B004EE">
        <w:rPr>
          <w:rFonts w:ascii="Tahoma" w:hAnsi="Tahoma" w:cs="Tahoma"/>
          <w:sz w:val="20"/>
          <w:szCs w:val="20"/>
        </w:rPr>
        <w:t>n°2007-022</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9</w:t>
      </w:r>
      <w:r w:rsidR="00DB1635" w:rsidRPr="00B004EE">
        <w:rPr>
          <w:rFonts w:ascii="Tahoma" w:hAnsi="Tahoma" w:cs="Tahoma"/>
          <w:sz w:val="20"/>
          <w:szCs w:val="20"/>
        </w:rPr>
        <w:t xml:space="preserve"> </w:t>
      </w:r>
      <w:r w:rsidRPr="00B004EE">
        <w:rPr>
          <w:rFonts w:ascii="Tahoma" w:hAnsi="Tahoma" w:cs="Tahoma"/>
          <w:sz w:val="20"/>
          <w:szCs w:val="20"/>
        </w:rPr>
        <w:t>avril</w:t>
      </w:r>
      <w:r w:rsidR="00DB1635" w:rsidRPr="00B004EE">
        <w:rPr>
          <w:rFonts w:ascii="Tahoma" w:hAnsi="Tahoma" w:cs="Tahoma"/>
          <w:sz w:val="20"/>
          <w:szCs w:val="20"/>
        </w:rPr>
        <w:t xml:space="preserve"> </w:t>
      </w:r>
      <w:r w:rsidRPr="00B004EE">
        <w:rPr>
          <w:rFonts w:ascii="Tahoma" w:hAnsi="Tahoma" w:cs="Tahoma"/>
          <w:sz w:val="20"/>
          <w:szCs w:val="20"/>
        </w:rPr>
        <w:t>2007</w:t>
      </w:r>
      <w:r w:rsidR="00DB1635" w:rsidRPr="00B004EE">
        <w:rPr>
          <w:rFonts w:ascii="Tahoma" w:hAnsi="Tahoma" w:cs="Tahoma"/>
          <w:sz w:val="20"/>
          <w:szCs w:val="20"/>
        </w:rPr>
        <w:t xml:space="preserve"> </w:t>
      </w:r>
      <w:r w:rsidRPr="00B004EE">
        <w:rPr>
          <w:rFonts w:ascii="Tahoma" w:hAnsi="Tahoma" w:cs="Tahoma"/>
          <w:sz w:val="20"/>
          <w:szCs w:val="20"/>
        </w:rPr>
        <w:t>modifiant</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pacing w:val="-25"/>
          <w:sz w:val="20"/>
          <w:szCs w:val="20"/>
        </w:rPr>
        <w:t xml:space="preserve"> </w:t>
      </w:r>
      <w:r w:rsidRPr="00B004EE">
        <w:rPr>
          <w:rFonts w:ascii="Tahoma" w:hAnsi="Tahoma" w:cs="Tahoma"/>
          <w:sz w:val="20"/>
          <w:szCs w:val="20"/>
        </w:rPr>
        <w:t>complétant</w:t>
      </w:r>
      <w:r w:rsidR="00DB1635" w:rsidRPr="00B004EE">
        <w:rPr>
          <w:rFonts w:ascii="Tahoma" w:hAnsi="Tahoma" w:cs="Tahoma"/>
          <w:w w:val="96"/>
          <w:sz w:val="20"/>
          <w:szCs w:val="20"/>
        </w:rPr>
        <w:t xml:space="preserve"> </w:t>
      </w:r>
      <w:r w:rsidRPr="00B004EE">
        <w:rPr>
          <w:rFonts w:ascii="Tahoma" w:hAnsi="Tahoma" w:cs="Tahoma"/>
          <w:sz w:val="20"/>
          <w:szCs w:val="20"/>
        </w:rPr>
        <w:t>certaines</w:t>
      </w:r>
      <w:r w:rsidR="00DB1635" w:rsidRPr="00B004EE">
        <w:rPr>
          <w:rFonts w:ascii="Tahoma" w:hAnsi="Tahoma" w:cs="Tahoma"/>
          <w:spacing w:val="24"/>
          <w:sz w:val="20"/>
          <w:szCs w:val="20"/>
        </w:rPr>
        <w:t xml:space="preserve"> </w:t>
      </w:r>
      <w:r w:rsidRPr="00B004EE">
        <w:rPr>
          <w:rFonts w:ascii="Tahoma" w:hAnsi="Tahoma" w:cs="Tahoma"/>
          <w:sz w:val="20"/>
          <w:szCs w:val="20"/>
        </w:rPr>
        <w:t>dispositions</w:t>
      </w:r>
      <w:r w:rsidR="00DB1635" w:rsidRPr="00B004EE">
        <w:rPr>
          <w:rFonts w:ascii="Tahoma" w:hAnsi="Tahoma" w:cs="Tahoma"/>
          <w:spacing w:val="24"/>
          <w:sz w:val="20"/>
          <w:szCs w:val="20"/>
        </w:rPr>
        <w:t xml:space="preserve"> </w:t>
      </w:r>
      <w:r w:rsidRPr="00B004EE">
        <w:rPr>
          <w:rFonts w:ascii="Tahoma" w:hAnsi="Tahoma" w:cs="Tahoma"/>
          <w:sz w:val="20"/>
          <w:szCs w:val="20"/>
        </w:rPr>
        <w:t>la</w:t>
      </w:r>
      <w:r w:rsidR="00DB1635" w:rsidRPr="00B004EE">
        <w:rPr>
          <w:rFonts w:ascii="Tahoma" w:hAnsi="Tahoma" w:cs="Tahoma"/>
          <w:spacing w:val="26"/>
          <w:sz w:val="20"/>
          <w:szCs w:val="20"/>
        </w:rPr>
        <w:t xml:space="preserve"> </w:t>
      </w:r>
      <w:r w:rsidRPr="00B004EE">
        <w:rPr>
          <w:rFonts w:ascii="Tahoma" w:hAnsi="Tahoma" w:cs="Tahoma"/>
          <w:sz w:val="20"/>
          <w:szCs w:val="20"/>
        </w:rPr>
        <w:t>loi</w:t>
      </w:r>
      <w:r w:rsidR="00DB1635" w:rsidRPr="00B004EE">
        <w:rPr>
          <w:rFonts w:ascii="Tahoma" w:hAnsi="Tahoma" w:cs="Tahoma"/>
          <w:spacing w:val="28"/>
          <w:sz w:val="20"/>
          <w:szCs w:val="20"/>
        </w:rPr>
        <w:t xml:space="preserve"> </w:t>
      </w:r>
      <w:r w:rsidRPr="00B004EE">
        <w:rPr>
          <w:rFonts w:ascii="Tahoma" w:hAnsi="Tahoma" w:cs="Tahoma"/>
          <w:sz w:val="20"/>
          <w:szCs w:val="20"/>
        </w:rPr>
        <w:t>n°</w:t>
      </w:r>
      <w:r w:rsidR="00DB1635" w:rsidRPr="00B004EE">
        <w:rPr>
          <w:rFonts w:ascii="Tahoma" w:hAnsi="Tahoma" w:cs="Tahoma"/>
          <w:spacing w:val="25"/>
          <w:sz w:val="20"/>
          <w:szCs w:val="20"/>
        </w:rPr>
        <w:t xml:space="preserve"> </w:t>
      </w:r>
      <w:r w:rsidRPr="00B004EE">
        <w:rPr>
          <w:rFonts w:ascii="Tahoma" w:hAnsi="Tahoma" w:cs="Tahoma"/>
          <w:sz w:val="20"/>
          <w:szCs w:val="20"/>
        </w:rPr>
        <w:t>2000-025</w:t>
      </w:r>
      <w:r w:rsidR="00DB1635" w:rsidRPr="00B004EE">
        <w:rPr>
          <w:rFonts w:ascii="Tahoma" w:hAnsi="Tahoma" w:cs="Tahoma"/>
          <w:spacing w:val="26"/>
          <w:sz w:val="20"/>
          <w:szCs w:val="20"/>
        </w:rPr>
        <w:t xml:space="preserve"> </w:t>
      </w:r>
      <w:r w:rsidRPr="00B004EE">
        <w:rPr>
          <w:rFonts w:ascii="Tahoma" w:hAnsi="Tahoma" w:cs="Tahoma"/>
          <w:sz w:val="20"/>
          <w:szCs w:val="20"/>
        </w:rPr>
        <w:t>du</w:t>
      </w:r>
      <w:r w:rsidR="00DB1635" w:rsidRPr="00B004EE">
        <w:rPr>
          <w:rFonts w:ascii="Tahoma" w:hAnsi="Tahoma" w:cs="Tahoma"/>
          <w:spacing w:val="25"/>
          <w:sz w:val="20"/>
          <w:szCs w:val="20"/>
        </w:rPr>
        <w:t xml:space="preserve"> </w:t>
      </w:r>
      <w:r w:rsidRPr="00B004EE">
        <w:rPr>
          <w:rFonts w:ascii="Tahoma" w:hAnsi="Tahoma" w:cs="Tahoma"/>
          <w:sz w:val="20"/>
          <w:szCs w:val="20"/>
        </w:rPr>
        <w:t>24</w:t>
      </w:r>
      <w:r w:rsidR="00DB1635" w:rsidRPr="00B004EE">
        <w:rPr>
          <w:rFonts w:ascii="Tahoma" w:hAnsi="Tahoma" w:cs="Tahoma"/>
          <w:spacing w:val="26"/>
          <w:sz w:val="20"/>
          <w:szCs w:val="20"/>
        </w:rPr>
        <w:t xml:space="preserve"> </w:t>
      </w:r>
      <w:r w:rsidRPr="00B004EE">
        <w:rPr>
          <w:rFonts w:ascii="Tahoma" w:hAnsi="Tahoma" w:cs="Tahoma"/>
          <w:sz w:val="20"/>
          <w:szCs w:val="20"/>
        </w:rPr>
        <w:t>janvier</w:t>
      </w:r>
      <w:r w:rsidR="00DB1635" w:rsidRPr="00B004EE">
        <w:rPr>
          <w:rFonts w:ascii="Tahoma" w:hAnsi="Tahoma" w:cs="Tahoma"/>
          <w:spacing w:val="23"/>
          <w:sz w:val="20"/>
          <w:szCs w:val="20"/>
        </w:rPr>
        <w:t xml:space="preserve"> </w:t>
      </w:r>
      <w:r w:rsidRPr="00B004EE">
        <w:rPr>
          <w:rFonts w:ascii="Tahoma" w:hAnsi="Tahoma" w:cs="Tahoma"/>
          <w:sz w:val="20"/>
          <w:szCs w:val="20"/>
        </w:rPr>
        <w:t>2000</w:t>
      </w:r>
      <w:r w:rsidR="00DB1635" w:rsidRPr="00B004EE">
        <w:rPr>
          <w:rFonts w:ascii="Tahoma" w:hAnsi="Tahoma" w:cs="Tahoma"/>
          <w:spacing w:val="24"/>
          <w:sz w:val="20"/>
          <w:szCs w:val="20"/>
        </w:rPr>
        <w:t xml:space="preserve"> </w:t>
      </w:r>
      <w:r w:rsidRPr="00B004EE">
        <w:rPr>
          <w:rFonts w:ascii="Tahoma" w:hAnsi="Tahoma" w:cs="Tahoma"/>
          <w:sz w:val="20"/>
          <w:szCs w:val="20"/>
        </w:rPr>
        <w:t>portant</w:t>
      </w:r>
      <w:r w:rsidR="00DB1635" w:rsidRPr="00B004EE">
        <w:rPr>
          <w:rFonts w:ascii="Tahoma" w:hAnsi="Tahoma" w:cs="Tahoma"/>
          <w:spacing w:val="23"/>
          <w:sz w:val="20"/>
          <w:szCs w:val="20"/>
        </w:rPr>
        <w:t xml:space="preserve"> </w:t>
      </w:r>
      <w:r w:rsidRPr="00B004EE">
        <w:rPr>
          <w:rFonts w:ascii="Tahoma" w:hAnsi="Tahoma" w:cs="Tahoma"/>
          <w:sz w:val="20"/>
          <w:szCs w:val="20"/>
        </w:rPr>
        <w:t>Code</w:t>
      </w:r>
      <w:r w:rsidR="00DB1635" w:rsidRPr="00B004EE">
        <w:rPr>
          <w:rFonts w:ascii="Tahoma" w:hAnsi="Tahoma" w:cs="Tahoma"/>
          <w:spacing w:val="23"/>
          <w:sz w:val="20"/>
          <w:szCs w:val="20"/>
        </w:rPr>
        <w:t xml:space="preserve"> </w:t>
      </w:r>
      <w:r w:rsidRPr="00B004EE">
        <w:rPr>
          <w:rFonts w:ascii="Tahoma" w:hAnsi="Tahoma" w:cs="Tahoma"/>
          <w:sz w:val="20"/>
          <w:szCs w:val="20"/>
        </w:rPr>
        <w:t>des</w:t>
      </w:r>
      <w:r w:rsidR="00DB1635" w:rsidRPr="00B004EE">
        <w:rPr>
          <w:rFonts w:ascii="Tahoma" w:hAnsi="Tahoma" w:cs="Tahoma"/>
          <w:w w:val="94"/>
          <w:sz w:val="20"/>
          <w:szCs w:val="20"/>
        </w:rPr>
        <w:t xml:space="preserve"> </w:t>
      </w:r>
      <w:r w:rsidRPr="00B004EE">
        <w:rPr>
          <w:rFonts w:ascii="Tahoma" w:hAnsi="Tahoma" w:cs="Tahoma"/>
          <w:sz w:val="20"/>
          <w:szCs w:val="20"/>
        </w:rPr>
        <w:t>Pêches.</w:t>
      </w:r>
    </w:p>
    <w:p w14:paraId="5FAA4ABC" w14:textId="77777777" w:rsidR="001E7C3C" w:rsidRPr="00B004EE" w:rsidRDefault="001E7C3C" w:rsidP="00B004EE">
      <w:pPr>
        <w:rPr>
          <w:rFonts w:ascii="Tahoma" w:eastAsia="American Typewriter" w:hAnsi="Tahoma" w:cs="Tahoma"/>
          <w:sz w:val="20"/>
          <w:szCs w:val="20"/>
        </w:rPr>
      </w:pPr>
    </w:p>
    <w:p w14:paraId="2301E644" w14:textId="0B9ED02E" w:rsidR="001E7C3C" w:rsidRPr="00B004EE" w:rsidRDefault="001E7C3C" w:rsidP="00B004EE">
      <w:pPr>
        <w:pStyle w:val="Corpsdetexte"/>
        <w:ind w:right="207"/>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pacing w:val="-19"/>
          <w:sz w:val="20"/>
          <w:szCs w:val="20"/>
        </w:rPr>
        <w:t xml:space="preserve"> </w:t>
      </w:r>
      <w:r w:rsidRPr="00B004EE">
        <w:rPr>
          <w:rFonts w:ascii="Tahoma" w:hAnsi="Tahoma" w:cs="Tahoma"/>
          <w:bCs/>
          <w:sz w:val="20"/>
          <w:szCs w:val="20"/>
        </w:rPr>
        <w:t>101</w:t>
      </w:r>
      <w:r w:rsidR="00DB1635" w:rsidRPr="00B004EE">
        <w:rPr>
          <w:rFonts w:ascii="Tahoma" w:hAnsi="Tahoma" w:cs="Tahoma"/>
          <w:b/>
          <w:spacing w:val="-18"/>
          <w:sz w:val="20"/>
          <w:szCs w:val="20"/>
        </w:rPr>
        <w:t xml:space="preserve"> </w:t>
      </w:r>
      <w:r w:rsidRPr="00B004EE">
        <w:rPr>
          <w:rFonts w:ascii="Tahoma" w:hAnsi="Tahoma" w:cs="Tahoma"/>
          <w:b/>
          <w:sz w:val="20"/>
          <w:szCs w:val="20"/>
        </w:rPr>
        <w:t>:</w:t>
      </w:r>
      <w:r w:rsidR="00DB1635" w:rsidRPr="00B004EE">
        <w:rPr>
          <w:rFonts w:ascii="Tahoma" w:hAnsi="Tahoma" w:cs="Tahoma"/>
          <w:b/>
          <w:spacing w:val="-18"/>
          <w:sz w:val="20"/>
          <w:szCs w:val="20"/>
        </w:rPr>
        <w:t xml:space="preserve"> </w:t>
      </w:r>
      <w:r w:rsidRPr="00B004EE">
        <w:rPr>
          <w:rFonts w:ascii="Tahoma" w:hAnsi="Tahoma" w:cs="Tahoma"/>
          <w:sz w:val="20"/>
          <w:szCs w:val="20"/>
        </w:rPr>
        <w:t>La</w:t>
      </w:r>
      <w:r w:rsidR="00DB1635" w:rsidRPr="00B004EE">
        <w:rPr>
          <w:rFonts w:ascii="Tahoma" w:hAnsi="Tahoma" w:cs="Tahoma"/>
          <w:spacing w:val="-21"/>
          <w:sz w:val="20"/>
          <w:szCs w:val="20"/>
        </w:rPr>
        <w:t xml:space="preserve"> </w:t>
      </w:r>
      <w:r w:rsidRPr="00B004EE">
        <w:rPr>
          <w:rFonts w:ascii="Tahoma" w:hAnsi="Tahoma" w:cs="Tahoma"/>
          <w:sz w:val="20"/>
          <w:szCs w:val="20"/>
        </w:rPr>
        <w:t>présente</w:t>
      </w:r>
      <w:r w:rsidR="00DB1635" w:rsidRPr="00B004EE">
        <w:rPr>
          <w:rFonts w:ascii="Tahoma" w:hAnsi="Tahoma" w:cs="Tahoma"/>
          <w:spacing w:val="-21"/>
          <w:sz w:val="20"/>
          <w:szCs w:val="20"/>
        </w:rPr>
        <w:t xml:space="preserve"> </w:t>
      </w:r>
      <w:r w:rsidRPr="00B004EE">
        <w:rPr>
          <w:rFonts w:ascii="Tahoma" w:hAnsi="Tahoma" w:cs="Tahoma"/>
          <w:sz w:val="20"/>
          <w:szCs w:val="20"/>
        </w:rPr>
        <w:t>Loi</w:t>
      </w:r>
      <w:r w:rsidR="00DB1635" w:rsidRPr="00B004EE">
        <w:rPr>
          <w:rFonts w:ascii="Tahoma" w:hAnsi="Tahoma" w:cs="Tahoma"/>
          <w:spacing w:val="-21"/>
          <w:sz w:val="20"/>
          <w:szCs w:val="20"/>
        </w:rPr>
        <w:t xml:space="preserve"> </w:t>
      </w:r>
      <w:r w:rsidRPr="00B004EE">
        <w:rPr>
          <w:rFonts w:ascii="Tahoma" w:hAnsi="Tahoma" w:cs="Tahoma"/>
          <w:sz w:val="20"/>
          <w:szCs w:val="20"/>
        </w:rPr>
        <w:t>sera</w:t>
      </w:r>
      <w:r w:rsidR="00DB1635" w:rsidRPr="00B004EE">
        <w:rPr>
          <w:rFonts w:ascii="Tahoma" w:hAnsi="Tahoma" w:cs="Tahoma"/>
          <w:spacing w:val="-21"/>
          <w:sz w:val="20"/>
          <w:szCs w:val="20"/>
        </w:rPr>
        <w:t xml:space="preserve"> </w:t>
      </w:r>
      <w:r w:rsidRPr="00B004EE">
        <w:rPr>
          <w:rFonts w:ascii="Tahoma" w:hAnsi="Tahoma" w:cs="Tahoma"/>
          <w:sz w:val="20"/>
          <w:szCs w:val="20"/>
        </w:rPr>
        <w:t>exécutée</w:t>
      </w:r>
      <w:r w:rsidR="00DB1635" w:rsidRPr="00B004EE">
        <w:rPr>
          <w:rFonts w:ascii="Tahoma" w:hAnsi="Tahoma" w:cs="Tahoma"/>
          <w:spacing w:val="-21"/>
          <w:sz w:val="20"/>
          <w:szCs w:val="20"/>
        </w:rPr>
        <w:t xml:space="preserve"> </w:t>
      </w:r>
      <w:r w:rsidRPr="00B004EE">
        <w:rPr>
          <w:rFonts w:ascii="Tahoma" w:hAnsi="Tahoma" w:cs="Tahoma"/>
          <w:sz w:val="20"/>
          <w:szCs w:val="20"/>
        </w:rPr>
        <w:t>en</w:t>
      </w:r>
      <w:r w:rsidR="00DB1635" w:rsidRPr="00B004EE">
        <w:rPr>
          <w:rFonts w:ascii="Tahoma" w:hAnsi="Tahoma" w:cs="Tahoma"/>
          <w:spacing w:val="-21"/>
          <w:sz w:val="20"/>
          <w:szCs w:val="20"/>
        </w:rPr>
        <w:t xml:space="preserve"> </w:t>
      </w:r>
      <w:r w:rsidRPr="00B004EE">
        <w:rPr>
          <w:rFonts w:ascii="Tahoma" w:hAnsi="Tahoma" w:cs="Tahoma"/>
          <w:sz w:val="20"/>
          <w:szCs w:val="20"/>
        </w:rPr>
        <w:t>tant</w:t>
      </w:r>
      <w:r w:rsidR="00DB1635" w:rsidRPr="00B004EE">
        <w:rPr>
          <w:rFonts w:ascii="Tahoma" w:hAnsi="Tahoma" w:cs="Tahoma"/>
          <w:spacing w:val="-21"/>
          <w:sz w:val="20"/>
          <w:szCs w:val="20"/>
        </w:rPr>
        <w:t xml:space="preserve"> </w:t>
      </w:r>
      <w:r w:rsidRPr="00B004EE">
        <w:rPr>
          <w:rFonts w:ascii="Tahoma" w:hAnsi="Tahoma" w:cs="Tahoma"/>
          <w:sz w:val="20"/>
          <w:szCs w:val="20"/>
        </w:rPr>
        <w:t>que</w:t>
      </w:r>
      <w:r w:rsidR="00DB1635" w:rsidRPr="00B004EE">
        <w:rPr>
          <w:rFonts w:ascii="Tahoma" w:hAnsi="Tahoma" w:cs="Tahoma"/>
          <w:spacing w:val="-21"/>
          <w:sz w:val="20"/>
          <w:szCs w:val="20"/>
        </w:rPr>
        <w:t xml:space="preserve"> </w:t>
      </w:r>
      <w:r w:rsidRPr="00B004EE">
        <w:rPr>
          <w:rFonts w:ascii="Tahoma" w:hAnsi="Tahoma" w:cs="Tahoma"/>
          <w:sz w:val="20"/>
          <w:szCs w:val="20"/>
        </w:rPr>
        <w:t>Loi</w:t>
      </w:r>
      <w:r w:rsidR="00DB1635" w:rsidRPr="00B004EE">
        <w:rPr>
          <w:rFonts w:ascii="Tahoma" w:hAnsi="Tahoma" w:cs="Tahoma"/>
          <w:spacing w:val="-21"/>
          <w:sz w:val="20"/>
          <w:szCs w:val="20"/>
        </w:rPr>
        <w:t xml:space="preserve"> </w:t>
      </w:r>
      <w:r w:rsidRPr="00B004EE">
        <w:rPr>
          <w:rFonts w:ascii="Tahoma" w:hAnsi="Tahoma" w:cs="Tahoma"/>
          <w:sz w:val="20"/>
          <w:szCs w:val="20"/>
        </w:rPr>
        <w:t>d'Etat</w:t>
      </w:r>
      <w:r w:rsidR="00DB1635" w:rsidRPr="00B004EE">
        <w:rPr>
          <w:rFonts w:ascii="Tahoma" w:hAnsi="Tahoma" w:cs="Tahoma"/>
          <w:spacing w:val="-21"/>
          <w:sz w:val="20"/>
          <w:szCs w:val="20"/>
        </w:rPr>
        <w:t xml:space="preserve"> </w:t>
      </w:r>
      <w:r w:rsidRPr="00B004EE">
        <w:rPr>
          <w:rFonts w:ascii="Tahoma" w:hAnsi="Tahoma" w:cs="Tahoma"/>
          <w:sz w:val="20"/>
          <w:szCs w:val="20"/>
        </w:rPr>
        <w:t>et</w:t>
      </w:r>
      <w:r w:rsidR="00DB1635" w:rsidRPr="00B004EE">
        <w:rPr>
          <w:rFonts w:ascii="Tahoma" w:hAnsi="Tahoma" w:cs="Tahoma"/>
          <w:spacing w:val="-21"/>
          <w:sz w:val="20"/>
          <w:szCs w:val="20"/>
        </w:rPr>
        <w:t xml:space="preserve"> </w:t>
      </w:r>
      <w:r w:rsidRPr="00B004EE">
        <w:rPr>
          <w:rFonts w:ascii="Tahoma" w:hAnsi="Tahoma" w:cs="Tahoma"/>
          <w:sz w:val="20"/>
          <w:szCs w:val="20"/>
        </w:rPr>
        <w:t>sera</w:t>
      </w:r>
      <w:r w:rsidR="00DB1635" w:rsidRPr="00B004EE">
        <w:rPr>
          <w:rFonts w:ascii="Tahoma" w:hAnsi="Tahoma" w:cs="Tahoma"/>
          <w:spacing w:val="-21"/>
          <w:sz w:val="20"/>
          <w:szCs w:val="20"/>
        </w:rPr>
        <w:t xml:space="preserve"> </w:t>
      </w:r>
      <w:r w:rsidRPr="00B004EE">
        <w:rPr>
          <w:rFonts w:ascii="Tahoma" w:hAnsi="Tahoma" w:cs="Tahoma"/>
          <w:sz w:val="20"/>
          <w:szCs w:val="20"/>
        </w:rPr>
        <w:t>publiée</w:t>
      </w:r>
      <w:r w:rsidR="00DB1635" w:rsidRPr="00B004EE">
        <w:rPr>
          <w:rFonts w:ascii="Tahoma" w:hAnsi="Tahoma" w:cs="Tahoma"/>
          <w:w w:val="94"/>
          <w:sz w:val="20"/>
          <w:szCs w:val="20"/>
        </w:rPr>
        <w:t xml:space="preserve"> </w:t>
      </w:r>
      <w:r w:rsidRPr="00B004EE">
        <w:rPr>
          <w:rFonts w:ascii="Tahoma" w:hAnsi="Tahoma" w:cs="Tahoma"/>
          <w:sz w:val="20"/>
          <w:szCs w:val="20"/>
        </w:rPr>
        <w:t>au</w:t>
      </w:r>
      <w:r w:rsidR="00DB1635" w:rsidRPr="00B004EE">
        <w:rPr>
          <w:rFonts w:ascii="Tahoma" w:hAnsi="Tahoma" w:cs="Tahoma"/>
          <w:spacing w:val="-16"/>
          <w:sz w:val="20"/>
          <w:szCs w:val="20"/>
        </w:rPr>
        <w:t xml:space="preserve"> </w:t>
      </w:r>
      <w:r w:rsidRPr="00B004EE">
        <w:rPr>
          <w:rFonts w:ascii="Tahoma" w:hAnsi="Tahoma" w:cs="Tahoma"/>
          <w:sz w:val="20"/>
          <w:szCs w:val="20"/>
        </w:rPr>
        <w:t>journal</w:t>
      </w:r>
      <w:r w:rsidR="00DB1635" w:rsidRPr="00B004EE">
        <w:rPr>
          <w:rFonts w:ascii="Tahoma" w:hAnsi="Tahoma" w:cs="Tahoma"/>
          <w:spacing w:val="-16"/>
          <w:sz w:val="20"/>
          <w:szCs w:val="20"/>
        </w:rPr>
        <w:t xml:space="preserve"> </w:t>
      </w:r>
      <w:r w:rsidRPr="00B004EE">
        <w:rPr>
          <w:rFonts w:ascii="Tahoma" w:hAnsi="Tahoma" w:cs="Tahoma"/>
          <w:sz w:val="20"/>
          <w:szCs w:val="20"/>
        </w:rPr>
        <w:t>officiel</w:t>
      </w:r>
      <w:r w:rsidR="00DB1635" w:rsidRPr="00B004EE">
        <w:rPr>
          <w:rFonts w:ascii="Tahoma" w:hAnsi="Tahoma" w:cs="Tahoma"/>
          <w:spacing w:val="-16"/>
          <w:sz w:val="20"/>
          <w:szCs w:val="20"/>
        </w:rPr>
        <w:t xml:space="preserve"> </w:t>
      </w:r>
      <w:r w:rsidRPr="00B004EE">
        <w:rPr>
          <w:rFonts w:ascii="Tahoma" w:hAnsi="Tahoma" w:cs="Tahoma"/>
          <w:sz w:val="20"/>
          <w:szCs w:val="20"/>
        </w:rPr>
        <w:t>de</w:t>
      </w:r>
      <w:r w:rsidR="00DB1635" w:rsidRPr="00B004EE">
        <w:rPr>
          <w:rFonts w:ascii="Tahoma" w:hAnsi="Tahoma" w:cs="Tahoma"/>
          <w:spacing w:val="-16"/>
          <w:sz w:val="20"/>
          <w:szCs w:val="20"/>
        </w:rPr>
        <w:t xml:space="preserve"> </w:t>
      </w:r>
      <w:r w:rsidR="00364649" w:rsidRPr="00B004EE">
        <w:rPr>
          <w:rFonts w:ascii="Tahoma" w:hAnsi="Tahoma" w:cs="Tahoma"/>
          <w:sz w:val="20"/>
          <w:szCs w:val="20"/>
        </w:rPr>
        <w:t>l</w:t>
      </w:r>
      <w:r w:rsidRPr="00B004EE">
        <w:rPr>
          <w:rFonts w:ascii="Tahoma" w:hAnsi="Tahoma" w:cs="Tahoma"/>
          <w:sz w:val="20"/>
          <w:szCs w:val="20"/>
        </w:rPr>
        <w:t>a</w:t>
      </w:r>
      <w:r w:rsidR="00DB1635" w:rsidRPr="00B004EE">
        <w:rPr>
          <w:rFonts w:ascii="Tahoma" w:hAnsi="Tahoma" w:cs="Tahoma"/>
          <w:spacing w:val="-16"/>
          <w:sz w:val="20"/>
          <w:szCs w:val="20"/>
        </w:rPr>
        <w:t xml:space="preserve"> </w:t>
      </w:r>
      <w:r w:rsidRPr="00B004EE">
        <w:rPr>
          <w:rFonts w:ascii="Tahoma" w:hAnsi="Tahoma" w:cs="Tahoma"/>
          <w:sz w:val="20"/>
          <w:szCs w:val="20"/>
        </w:rPr>
        <w:t>République</w:t>
      </w:r>
      <w:r w:rsidR="00DB1635" w:rsidRPr="00B004EE">
        <w:rPr>
          <w:rFonts w:ascii="Tahoma" w:hAnsi="Tahoma" w:cs="Tahoma"/>
          <w:spacing w:val="-16"/>
          <w:sz w:val="20"/>
          <w:szCs w:val="20"/>
        </w:rPr>
        <w:t xml:space="preserve"> </w:t>
      </w:r>
      <w:r w:rsidRPr="00B004EE">
        <w:rPr>
          <w:rFonts w:ascii="Tahoma" w:hAnsi="Tahoma" w:cs="Tahoma"/>
          <w:sz w:val="20"/>
          <w:szCs w:val="20"/>
        </w:rPr>
        <w:t>Islamique</w:t>
      </w:r>
      <w:r w:rsidR="00DB1635" w:rsidRPr="00B004EE">
        <w:rPr>
          <w:rFonts w:ascii="Tahoma" w:hAnsi="Tahoma" w:cs="Tahoma"/>
          <w:spacing w:val="-16"/>
          <w:sz w:val="20"/>
          <w:szCs w:val="20"/>
        </w:rPr>
        <w:t xml:space="preserve"> </w:t>
      </w:r>
      <w:r w:rsidRPr="00B004EE">
        <w:rPr>
          <w:rFonts w:ascii="Tahoma" w:hAnsi="Tahoma" w:cs="Tahoma"/>
          <w:sz w:val="20"/>
          <w:szCs w:val="20"/>
        </w:rPr>
        <w:t>de</w:t>
      </w:r>
      <w:r w:rsidR="00DB1635" w:rsidRPr="00B004EE">
        <w:rPr>
          <w:rFonts w:ascii="Tahoma" w:hAnsi="Tahoma" w:cs="Tahoma"/>
          <w:spacing w:val="-16"/>
          <w:sz w:val="20"/>
          <w:szCs w:val="20"/>
        </w:rPr>
        <w:t xml:space="preserve"> </w:t>
      </w:r>
      <w:r w:rsidRPr="00B004EE">
        <w:rPr>
          <w:rFonts w:ascii="Tahoma" w:hAnsi="Tahoma" w:cs="Tahoma"/>
          <w:sz w:val="20"/>
          <w:szCs w:val="20"/>
        </w:rPr>
        <w:t>Mauritanie.</w:t>
      </w:r>
    </w:p>
    <w:p w14:paraId="4CF72321" w14:textId="77777777" w:rsidR="00364649" w:rsidRPr="00B004EE" w:rsidRDefault="00364649" w:rsidP="00B004EE">
      <w:pPr>
        <w:pStyle w:val="Lgende"/>
        <w:jc w:val="both"/>
        <w:rPr>
          <w:rFonts w:ascii="Tahoma" w:hAnsi="Tahoma" w:cs="Tahoma"/>
          <w:b w:val="0"/>
          <w:bCs w:val="0"/>
        </w:rPr>
      </w:pPr>
    </w:p>
    <w:p w14:paraId="7796C510" w14:textId="77777777" w:rsidR="00834860" w:rsidRPr="00B004EE" w:rsidRDefault="00834860" w:rsidP="00B004EE">
      <w:pPr>
        <w:pStyle w:val="Lgende"/>
        <w:jc w:val="right"/>
        <w:rPr>
          <w:rFonts w:ascii="Tahoma" w:hAnsi="Tahoma" w:cs="Tahoma"/>
          <w:b w:val="0"/>
          <w:bCs w:val="0"/>
          <w:i/>
          <w:iCs/>
        </w:rPr>
      </w:pPr>
    </w:p>
    <w:p w14:paraId="186E1DF9" w14:textId="3060407D" w:rsidR="00DD35A6" w:rsidRPr="00B004EE" w:rsidRDefault="00364649" w:rsidP="00B004EE">
      <w:pPr>
        <w:pStyle w:val="Lgende"/>
        <w:jc w:val="right"/>
        <w:rPr>
          <w:rFonts w:ascii="Tahoma" w:hAnsi="Tahoma" w:cs="Tahoma"/>
          <w:b w:val="0"/>
          <w:bCs w:val="0"/>
        </w:rPr>
      </w:pPr>
      <w:r w:rsidRPr="00B004EE">
        <w:rPr>
          <w:rFonts w:ascii="Tahoma" w:hAnsi="Tahoma" w:cs="Tahoma"/>
          <w:b w:val="0"/>
          <w:bCs w:val="0"/>
          <w:i/>
          <w:iCs/>
        </w:rPr>
        <w:t>Fait à Nouakchott, le</w:t>
      </w:r>
      <w:r w:rsidRPr="00B004EE">
        <w:rPr>
          <w:rFonts w:ascii="Tahoma" w:hAnsi="Tahoma" w:cs="Tahoma"/>
          <w:b w:val="0"/>
          <w:bCs w:val="0"/>
        </w:rPr>
        <w:t xml:space="preserve"> 29 juillet 2015</w:t>
      </w:r>
    </w:p>
    <w:p w14:paraId="1090D97D" w14:textId="77777777" w:rsidR="0002624D" w:rsidRPr="00B004EE" w:rsidRDefault="0002624D" w:rsidP="00B004EE">
      <w:pPr>
        <w:pStyle w:val="Corpsdetexte"/>
        <w:tabs>
          <w:tab w:val="left" w:pos="7859"/>
        </w:tabs>
        <w:spacing w:line="20" w:lineRule="atLeast"/>
        <w:ind w:left="142" w:right="112"/>
        <w:jc w:val="center"/>
        <w:rPr>
          <w:rFonts w:ascii="Tahoma" w:hAnsi="Tahoma" w:cs="Tahoma"/>
          <w:b/>
          <w:bCs/>
          <w:sz w:val="20"/>
          <w:szCs w:val="20"/>
        </w:rPr>
      </w:pPr>
    </w:p>
    <w:p w14:paraId="11F0A2A6" w14:textId="77777777" w:rsidR="00834860" w:rsidRPr="00B004EE" w:rsidRDefault="00834860" w:rsidP="00B004EE">
      <w:pPr>
        <w:pStyle w:val="Corpsdetexte"/>
        <w:tabs>
          <w:tab w:val="left" w:pos="7859"/>
        </w:tabs>
        <w:spacing w:line="20" w:lineRule="atLeast"/>
        <w:ind w:left="142" w:right="112"/>
        <w:jc w:val="center"/>
        <w:rPr>
          <w:rFonts w:ascii="Tahoma" w:hAnsi="Tahoma" w:cs="Tahoma"/>
          <w:b/>
          <w:bCs/>
          <w:sz w:val="20"/>
          <w:szCs w:val="20"/>
        </w:rPr>
      </w:pPr>
    </w:p>
    <w:p w14:paraId="5B1451E6" w14:textId="77777777" w:rsidR="00834860" w:rsidRPr="00B004EE" w:rsidRDefault="00834860" w:rsidP="00B004EE">
      <w:pPr>
        <w:pStyle w:val="Corpsdetexte"/>
        <w:tabs>
          <w:tab w:val="left" w:pos="7859"/>
        </w:tabs>
        <w:spacing w:line="20" w:lineRule="atLeast"/>
        <w:ind w:left="142" w:right="112"/>
        <w:jc w:val="center"/>
        <w:rPr>
          <w:rFonts w:ascii="Tahoma" w:hAnsi="Tahoma" w:cs="Tahoma"/>
          <w:b/>
          <w:bCs/>
          <w:sz w:val="20"/>
          <w:szCs w:val="20"/>
        </w:rPr>
      </w:pPr>
    </w:p>
    <w:p w14:paraId="2B1B84D9" w14:textId="77777777" w:rsidR="00834860" w:rsidRPr="00B004EE" w:rsidRDefault="00834860" w:rsidP="00B004EE">
      <w:pPr>
        <w:pStyle w:val="Corpsdetexte"/>
        <w:tabs>
          <w:tab w:val="left" w:pos="7859"/>
        </w:tabs>
        <w:spacing w:line="20" w:lineRule="atLeast"/>
        <w:ind w:left="142" w:right="112"/>
        <w:jc w:val="center"/>
        <w:rPr>
          <w:rFonts w:ascii="Tahoma" w:hAnsi="Tahoma" w:cs="Tahoma"/>
          <w:b/>
          <w:bCs/>
          <w:sz w:val="20"/>
          <w:szCs w:val="20"/>
        </w:rPr>
      </w:pPr>
    </w:p>
    <w:p w14:paraId="36CA6D9A" w14:textId="77777777" w:rsidR="00834860" w:rsidRPr="00B004EE" w:rsidRDefault="00834860" w:rsidP="00B004EE">
      <w:pPr>
        <w:pStyle w:val="Corpsdetexte"/>
        <w:tabs>
          <w:tab w:val="left" w:pos="7859"/>
        </w:tabs>
        <w:spacing w:line="20" w:lineRule="atLeast"/>
        <w:ind w:left="142" w:right="112"/>
        <w:jc w:val="center"/>
        <w:rPr>
          <w:rFonts w:ascii="Tahoma" w:hAnsi="Tahoma" w:cs="Tahoma"/>
          <w:sz w:val="20"/>
          <w:szCs w:val="20"/>
        </w:rPr>
      </w:pPr>
    </w:p>
    <w:p w14:paraId="4F681314" w14:textId="6B4AFCA0" w:rsidR="0002624D" w:rsidRPr="00B004EE" w:rsidRDefault="0002624D" w:rsidP="00B004EE">
      <w:pPr>
        <w:pStyle w:val="Corpsdetexte"/>
        <w:tabs>
          <w:tab w:val="left" w:pos="7859"/>
        </w:tabs>
        <w:spacing w:line="20" w:lineRule="atLeast"/>
        <w:ind w:left="142" w:right="112"/>
        <w:jc w:val="center"/>
        <w:rPr>
          <w:rFonts w:ascii="Tahoma" w:hAnsi="Tahoma" w:cs="Tahoma"/>
          <w:sz w:val="20"/>
          <w:szCs w:val="20"/>
          <w:lang w:val="en-US"/>
        </w:rPr>
      </w:pPr>
      <w:r w:rsidRPr="00B004EE">
        <w:rPr>
          <w:rFonts w:ascii="Tahoma" w:hAnsi="Tahoma" w:cs="Tahoma"/>
          <w:sz w:val="20"/>
          <w:szCs w:val="20"/>
          <w:lang w:val="en-US"/>
        </w:rPr>
        <w:t>MOHAMED OULD ABDEL AZIZ</w:t>
      </w:r>
    </w:p>
    <w:p w14:paraId="66B0C8B8" w14:textId="77777777" w:rsidR="0002624D" w:rsidRPr="00B004EE" w:rsidRDefault="0002624D" w:rsidP="00B004EE">
      <w:pPr>
        <w:pStyle w:val="Corpsdetexte"/>
        <w:tabs>
          <w:tab w:val="left" w:pos="7859"/>
        </w:tabs>
        <w:spacing w:line="20" w:lineRule="atLeast"/>
        <w:ind w:left="142" w:right="112"/>
        <w:jc w:val="center"/>
        <w:rPr>
          <w:rFonts w:ascii="Tahoma" w:hAnsi="Tahoma" w:cs="Tahoma"/>
          <w:sz w:val="20"/>
          <w:szCs w:val="20"/>
          <w:lang w:val="en-US"/>
        </w:rPr>
      </w:pPr>
    </w:p>
    <w:p w14:paraId="2361E4B8" w14:textId="77777777" w:rsidR="00834860" w:rsidRPr="00B004EE" w:rsidRDefault="00834860" w:rsidP="00B004EE">
      <w:pPr>
        <w:pStyle w:val="Corpsdetexte"/>
        <w:tabs>
          <w:tab w:val="left" w:pos="7859"/>
        </w:tabs>
        <w:spacing w:line="20" w:lineRule="atLeast"/>
        <w:ind w:left="142" w:right="112"/>
        <w:jc w:val="center"/>
        <w:rPr>
          <w:rFonts w:ascii="Tahoma" w:hAnsi="Tahoma" w:cs="Tahoma"/>
          <w:sz w:val="20"/>
          <w:szCs w:val="20"/>
          <w:lang w:val="en-US"/>
        </w:rPr>
      </w:pPr>
    </w:p>
    <w:p w14:paraId="22D91BEF" w14:textId="77777777" w:rsidR="00834860" w:rsidRPr="00B004EE" w:rsidRDefault="00834860" w:rsidP="00B004EE">
      <w:pPr>
        <w:pStyle w:val="Corpsdetexte"/>
        <w:tabs>
          <w:tab w:val="left" w:pos="7859"/>
        </w:tabs>
        <w:spacing w:line="20" w:lineRule="atLeast"/>
        <w:ind w:left="142" w:right="112"/>
        <w:jc w:val="center"/>
        <w:rPr>
          <w:rFonts w:ascii="Tahoma" w:hAnsi="Tahoma" w:cs="Tahoma"/>
          <w:sz w:val="20"/>
          <w:szCs w:val="20"/>
          <w:lang w:val="en-US"/>
        </w:rPr>
      </w:pPr>
    </w:p>
    <w:p w14:paraId="1FEF5912" w14:textId="77777777" w:rsidR="00834860" w:rsidRPr="00B004EE" w:rsidRDefault="00834860" w:rsidP="00B004EE">
      <w:pPr>
        <w:pStyle w:val="Corpsdetexte"/>
        <w:tabs>
          <w:tab w:val="left" w:pos="7859"/>
        </w:tabs>
        <w:spacing w:line="20" w:lineRule="atLeast"/>
        <w:ind w:left="142" w:right="112"/>
        <w:jc w:val="center"/>
        <w:rPr>
          <w:rFonts w:ascii="Tahoma" w:hAnsi="Tahoma" w:cs="Tahoma"/>
          <w:sz w:val="20"/>
          <w:szCs w:val="20"/>
          <w:lang w:val="en-US"/>
        </w:rPr>
      </w:pPr>
    </w:p>
    <w:p w14:paraId="27112E9C" w14:textId="4E6BFDAB" w:rsidR="0002624D" w:rsidRPr="00B004EE" w:rsidRDefault="0002624D" w:rsidP="00B004EE">
      <w:pPr>
        <w:pStyle w:val="Corpsdetexte"/>
        <w:tabs>
          <w:tab w:val="left" w:pos="7859"/>
        </w:tabs>
        <w:spacing w:line="20" w:lineRule="atLeast"/>
        <w:ind w:left="142" w:right="112"/>
        <w:jc w:val="center"/>
        <w:rPr>
          <w:rFonts w:ascii="Tahoma" w:hAnsi="Tahoma" w:cs="Tahoma"/>
          <w:sz w:val="20"/>
          <w:szCs w:val="20"/>
          <w:lang w:val="en-US"/>
        </w:rPr>
      </w:pPr>
      <w:r w:rsidRPr="00B004EE">
        <w:rPr>
          <w:rFonts w:ascii="Tahoma" w:hAnsi="Tahoma" w:cs="Tahoma"/>
          <w:sz w:val="20"/>
          <w:szCs w:val="20"/>
          <w:lang w:val="en-US"/>
        </w:rPr>
        <w:t xml:space="preserve">Le Premier </w:t>
      </w:r>
      <w:r w:rsidR="00364649" w:rsidRPr="00B004EE">
        <w:rPr>
          <w:rFonts w:ascii="Tahoma" w:hAnsi="Tahoma" w:cs="Tahoma"/>
          <w:sz w:val="20"/>
          <w:szCs w:val="20"/>
          <w:lang w:val="en-US"/>
        </w:rPr>
        <w:t>Ministr</w:t>
      </w:r>
      <w:r w:rsidR="00C40988" w:rsidRPr="00B004EE">
        <w:rPr>
          <w:rFonts w:ascii="Tahoma" w:hAnsi="Tahoma" w:cs="Tahoma"/>
          <w:sz w:val="20"/>
          <w:szCs w:val="20"/>
          <w:lang w:val="en-US"/>
        </w:rPr>
        <w:t>e</w:t>
      </w:r>
    </w:p>
    <w:p w14:paraId="56021E7D" w14:textId="38BC8A69" w:rsidR="0002624D" w:rsidRPr="00B004EE" w:rsidRDefault="0002624D" w:rsidP="00B004EE">
      <w:pPr>
        <w:pStyle w:val="Corpsdetexte"/>
        <w:tabs>
          <w:tab w:val="left" w:pos="7859"/>
        </w:tabs>
        <w:spacing w:line="20" w:lineRule="atLeast"/>
        <w:ind w:left="142" w:right="112"/>
        <w:jc w:val="center"/>
        <w:rPr>
          <w:rFonts w:ascii="Tahoma" w:hAnsi="Tahoma" w:cs="Tahoma"/>
          <w:sz w:val="20"/>
          <w:szCs w:val="20"/>
          <w:lang w:val="en-US"/>
        </w:rPr>
      </w:pPr>
      <w:r w:rsidRPr="00B004EE">
        <w:rPr>
          <w:rFonts w:ascii="Tahoma" w:hAnsi="Tahoma" w:cs="Tahoma"/>
          <w:sz w:val="20"/>
          <w:szCs w:val="20"/>
          <w:lang w:val="en-US"/>
        </w:rPr>
        <w:t>YAHYA OULD HADEMINE</w:t>
      </w:r>
    </w:p>
    <w:p w14:paraId="43D7F90C" w14:textId="3936A49A" w:rsidR="0002624D" w:rsidRPr="00B004EE" w:rsidRDefault="0002624D" w:rsidP="00B004EE">
      <w:pPr>
        <w:rPr>
          <w:rFonts w:ascii="Tahoma" w:hAnsi="Tahoma" w:cs="Tahoma"/>
          <w:sz w:val="20"/>
          <w:szCs w:val="20"/>
          <w:lang w:val="en-US"/>
        </w:rPr>
      </w:pPr>
    </w:p>
    <w:p w14:paraId="00556DB5" w14:textId="5842565F" w:rsidR="0002624D" w:rsidRPr="00B004EE" w:rsidRDefault="0002624D" w:rsidP="00B004EE">
      <w:pPr>
        <w:rPr>
          <w:rFonts w:ascii="Tahoma" w:hAnsi="Tahoma" w:cs="Tahoma"/>
          <w:sz w:val="20"/>
          <w:szCs w:val="20"/>
          <w:lang w:val="en-US"/>
        </w:rPr>
      </w:pPr>
    </w:p>
    <w:p w14:paraId="03F8686F" w14:textId="77777777" w:rsidR="00834860" w:rsidRPr="00B004EE" w:rsidRDefault="00834860" w:rsidP="00B004EE">
      <w:pPr>
        <w:rPr>
          <w:rFonts w:ascii="Tahoma" w:hAnsi="Tahoma" w:cs="Tahoma"/>
          <w:sz w:val="20"/>
          <w:szCs w:val="20"/>
          <w:lang w:val="en-US"/>
        </w:rPr>
      </w:pPr>
    </w:p>
    <w:p w14:paraId="18D1826E" w14:textId="77777777" w:rsidR="00834860" w:rsidRPr="00B004EE" w:rsidRDefault="00364649" w:rsidP="00B004EE">
      <w:pPr>
        <w:pStyle w:val="Corpsdetexte"/>
        <w:tabs>
          <w:tab w:val="left" w:pos="7859"/>
        </w:tabs>
        <w:spacing w:line="20" w:lineRule="atLeast"/>
        <w:ind w:left="142" w:right="112"/>
        <w:jc w:val="center"/>
        <w:rPr>
          <w:rFonts w:ascii="Tahoma" w:hAnsi="Tahoma" w:cs="Tahoma"/>
          <w:sz w:val="20"/>
          <w:szCs w:val="20"/>
        </w:rPr>
      </w:pPr>
      <w:r w:rsidRPr="00B004EE">
        <w:rPr>
          <w:rFonts w:ascii="Tahoma" w:hAnsi="Tahoma" w:cs="Tahoma"/>
          <w:sz w:val="20"/>
          <w:szCs w:val="20"/>
        </w:rPr>
        <w:t xml:space="preserve">Le Ministre des Pêches </w:t>
      </w:r>
    </w:p>
    <w:p w14:paraId="0A229747" w14:textId="7448682D" w:rsidR="00364649" w:rsidRPr="00B004EE" w:rsidRDefault="00364649" w:rsidP="00B004EE">
      <w:pPr>
        <w:pStyle w:val="Corpsdetexte"/>
        <w:tabs>
          <w:tab w:val="left" w:pos="7859"/>
        </w:tabs>
        <w:spacing w:line="20" w:lineRule="atLeast"/>
        <w:ind w:left="142" w:right="112"/>
        <w:jc w:val="center"/>
        <w:rPr>
          <w:rFonts w:ascii="Tahoma" w:hAnsi="Tahoma" w:cs="Tahoma"/>
          <w:sz w:val="20"/>
          <w:szCs w:val="20"/>
        </w:rPr>
      </w:pPr>
      <w:proofErr w:type="gramStart"/>
      <w:r w:rsidRPr="00B004EE">
        <w:rPr>
          <w:rFonts w:ascii="Tahoma" w:hAnsi="Tahoma" w:cs="Tahoma"/>
          <w:sz w:val="20"/>
          <w:szCs w:val="20"/>
        </w:rPr>
        <w:t>et</w:t>
      </w:r>
      <w:proofErr w:type="gramEnd"/>
      <w:r w:rsidRPr="00B004EE">
        <w:rPr>
          <w:rFonts w:ascii="Tahoma" w:hAnsi="Tahoma" w:cs="Tahoma"/>
          <w:sz w:val="20"/>
          <w:szCs w:val="20"/>
        </w:rPr>
        <w:t xml:space="preserve"> de l’Economie Maritime</w:t>
      </w:r>
    </w:p>
    <w:p w14:paraId="0B1727A9" w14:textId="4BB8A193" w:rsidR="00364649" w:rsidRPr="00B004EE" w:rsidRDefault="00364649" w:rsidP="00B004EE">
      <w:pPr>
        <w:pStyle w:val="Corpsdetexte"/>
        <w:tabs>
          <w:tab w:val="left" w:pos="7859"/>
        </w:tabs>
        <w:spacing w:line="20" w:lineRule="atLeast"/>
        <w:ind w:left="142" w:right="112"/>
        <w:jc w:val="center"/>
        <w:rPr>
          <w:rFonts w:ascii="Tahoma" w:hAnsi="Tahoma" w:cs="Tahoma"/>
          <w:sz w:val="20"/>
          <w:szCs w:val="20"/>
        </w:rPr>
      </w:pPr>
      <w:r w:rsidRPr="00B004EE">
        <w:rPr>
          <w:rFonts w:ascii="Tahoma" w:hAnsi="Tahoma" w:cs="Tahoma"/>
          <w:sz w:val="20"/>
          <w:szCs w:val="20"/>
        </w:rPr>
        <w:t>NANI OULD CHROUGHA</w:t>
      </w:r>
    </w:p>
    <w:p w14:paraId="0CDD195A" w14:textId="19A3C79B" w:rsidR="00DD35A6" w:rsidRPr="00B004EE" w:rsidRDefault="00DD35A6" w:rsidP="00B004EE">
      <w:pPr>
        <w:rPr>
          <w:rFonts w:ascii="Tahoma" w:hAnsi="Tahoma" w:cs="Tahoma"/>
          <w:sz w:val="20"/>
          <w:szCs w:val="20"/>
        </w:rPr>
      </w:pPr>
    </w:p>
    <w:p w14:paraId="3B2D478C" w14:textId="2063AF34" w:rsidR="00DD35A6" w:rsidRPr="00B004EE" w:rsidRDefault="00DD35A6" w:rsidP="00B004EE">
      <w:pPr>
        <w:rPr>
          <w:rFonts w:ascii="Tahoma" w:hAnsi="Tahoma" w:cs="Tahoma"/>
          <w:sz w:val="20"/>
          <w:szCs w:val="20"/>
        </w:rPr>
      </w:pPr>
    </w:p>
    <w:p w14:paraId="2B451BDC" w14:textId="77777777" w:rsidR="00DD35A6" w:rsidRPr="00B004EE" w:rsidRDefault="00DD35A6" w:rsidP="00B004EE">
      <w:pPr>
        <w:rPr>
          <w:rFonts w:ascii="Tahoma" w:hAnsi="Tahoma" w:cs="Tahoma"/>
          <w:sz w:val="20"/>
          <w:szCs w:val="20"/>
        </w:rPr>
        <w:sectPr w:rsidR="00DD35A6" w:rsidRPr="00B004EE" w:rsidSect="00E92F7C">
          <w:footerReference w:type="first" r:id="rId23"/>
          <w:pgSz w:w="12240" w:h="15840"/>
          <w:pgMar w:top="1417" w:right="1417" w:bottom="1417" w:left="1417" w:header="720" w:footer="720" w:gutter="0"/>
          <w:cols w:space="720"/>
          <w:noEndnote/>
          <w:docGrid w:linePitch="326"/>
        </w:sectPr>
      </w:pPr>
    </w:p>
    <w:p w14:paraId="4D261BB1" w14:textId="77777777" w:rsidR="007E69F0" w:rsidRPr="00B004EE" w:rsidRDefault="007E69F0" w:rsidP="00B004EE">
      <w:pPr>
        <w:rPr>
          <w:sz w:val="20"/>
          <w:szCs w:val="20"/>
        </w:rPr>
      </w:pPr>
      <w:bookmarkStart w:id="141" w:name="_Toc317340026"/>
      <w:bookmarkStart w:id="142" w:name="_Toc16288663"/>
      <w:bookmarkStart w:id="143" w:name="_Toc17022005"/>
    </w:p>
    <w:p w14:paraId="69287461" w14:textId="77777777" w:rsidR="007E69F0" w:rsidRPr="00B004EE" w:rsidRDefault="007E69F0" w:rsidP="00B004EE">
      <w:pPr>
        <w:rPr>
          <w:sz w:val="20"/>
          <w:szCs w:val="20"/>
        </w:rPr>
      </w:pPr>
    </w:p>
    <w:p w14:paraId="50059FA7" w14:textId="77777777" w:rsidR="007E69F0" w:rsidRPr="00B004EE" w:rsidRDefault="007E69F0" w:rsidP="00B004EE">
      <w:pPr>
        <w:rPr>
          <w:sz w:val="20"/>
          <w:szCs w:val="20"/>
        </w:rPr>
      </w:pPr>
    </w:p>
    <w:p w14:paraId="02CAB186" w14:textId="5FA64C03" w:rsidR="007E69F0" w:rsidRPr="00B004EE" w:rsidRDefault="007E69F0" w:rsidP="00B004EE">
      <w:pPr>
        <w:rPr>
          <w:sz w:val="20"/>
          <w:szCs w:val="20"/>
        </w:rPr>
      </w:pPr>
    </w:p>
    <w:p w14:paraId="09BEF0F3" w14:textId="5FDB6E1A" w:rsidR="008F6E98" w:rsidRPr="00B004EE" w:rsidRDefault="008F6E98" w:rsidP="00B004EE">
      <w:pPr>
        <w:rPr>
          <w:sz w:val="20"/>
          <w:szCs w:val="20"/>
        </w:rPr>
      </w:pPr>
    </w:p>
    <w:p w14:paraId="001BB391" w14:textId="4BFD4F6A" w:rsidR="008F6E98" w:rsidRPr="00B004EE" w:rsidRDefault="008F6E98" w:rsidP="00B004EE">
      <w:pPr>
        <w:rPr>
          <w:sz w:val="20"/>
          <w:szCs w:val="20"/>
        </w:rPr>
      </w:pPr>
    </w:p>
    <w:p w14:paraId="4FDC6FA5" w14:textId="77777777" w:rsidR="008F6E98" w:rsidRPr="00B004EE" w:rsidRDefault="008F6E98" w:rsidP="00B004EE">
      <w:pPr>
        <w:rPr>
          <w:sz w:val="20"/>
          <w:szCs w:val="20"/>
        </w:rPr>
      </w:pPr>
    </w:p>
    <w:p w14:paraId="35090BB7" w14:textId="77777777" w:rsidR="007E69F0" w:rsidRPr="00B004EE" w:rsidRDefault="007E69F0" w:rsidP="00B004EE">
      <w:pPr>
        <w:rPr>
          <w:sz w:val="20"/>
          <w:szCs w:val="20"/>
        </w:rPr>
      </w:pPr>
    </w:p>
    <w:p w14:paraId="37134180" w14:textId="77777777" w:rsidR="007E69F0" w:rsidRPr="00B004EE" w:rsidRDefault="007E69F0" w:rsidP="00B004EE">
      <w:pPr>
        <w:rPr>
          <w:sz w:val="20"/>
          <w:szCs w:val="20"/>
        </w:rPr>
      </w:pPr>
    </w:p>
    <w:p w14:paraId="0888A85F" w14:textId="77777777" w:rsidR="007E69F0" w:rsidRPr="00B004EE" w:rsidRDefault="007E69F0" w:rsidP="00B004EE">
      <w:pPr>
        <w:rPr>
          <w:sz w:val="20"/>
          <w:szCs w:val="20"/>
        </w:rPr>
      </w:pPr>
    </w:p>
    <w:p w14:paraId="7DB00AF1" w14:textId="77777777" w:rsidR="007E69F0" w:rsidRPr="00B004EE" w:rsidRDefault="007E69F0" w:rsidP="00B004EE">
      <w:pPr>
        <w:rPr>
          <w:sz w:val="20"/>
          <w:szCs w:val="20"/>
        </w:rPr>
      </w:pPr>
    </w:p>
    <w:p w14:paraId="65A0B5DC" w14:textId="77777777" w:rsidR="007E69F0" w:rsidRPr="00B004EE" w:rsidRDefault="007E69F0" w:rsidP="00B004EE">
      <w:pPr>
        <w:rPr>
          <w:sz w:val="20"/>
          <w:szCs w:val="20"/>
        </w:rPr>
      </w:pPr>
    </w:p>
    <w:p w14:paraId="386DB53D" w14:textId="77777777" w:rsidR="008F6E98" w:rsidRPr="00B004EE" w:rsidRDefault="008F6E98" w:rsidP="00B004EE">
      <w:pPr>
        <w:jc w:val="center"/>
        <w:rPr>
          <w:b/>
          <w:bCs/>
          <w:color w:val="00B0F0"/>
          <w:sz w:val="20"/>
          <w:szCs w:val="20"/>
        </w:rPr>
      </w:pPr>
    </w:p>
    <w:p w14:paraId="2CB65004" w14:textId="22AB06D5" w:rsidR="007E69F0" w:rsidRPr="00C323AB" w:rsidRDefault="001938BD" w:rsidP="00B004EE">
      <w:pPr>
        <w:jc w:val="center"/>
        <w:rPr>
          <w:b/>
          <w:bCs/>
          <w:color w:val="538135" w:themeColor="accent6" w:themeShade="BF"/>
          <w:sz w:val="96"/>
          <w:szCs w:val="96"/>
        </w:rPr>
      </w:pPr>
      <w:r w:rsidRPr="00C323AB">
        <w:rPr>
          <w:b/>
          <w:bCs/>
          <w:color w:val="538135" w:themeColor="accent6" w:themeShade="BF"/>
          <w:sz w:val="96"/>
          <w:szCs w:val="96"/>
        </w:rPr>
        <w:t>DEUXIEME PARTIE</w:t>
      </w:r>
    </w:p>
    <w:p w14:paraId="5B0F7E8C" w14:textId="1D151728" w:rsidR="007E69F0" w:rsidRPr="00C323AB" w:rsidRDefault="007E69F0" w:rsidP="00C323AB">
      <w:pPr>
        <w:pStyle w:val="Lgende"/>
        <w:shd w:val="clear" w:color="auto" w:fill="A8D08D" w:themeFill="accent6" w:themeFillTint="99"/>
        <w:jc w:val="center"/>
        <w:outlineLvl w:val="0"/>
        <w:rPr>
          <w:rFonts w:ascii="Lucida Calligraphy" w:hAnsi="Lucida Calligraphy" w:cs="Tahoma"/>
          <w:i/>
          <w:iCs/>
          <w:color w:val="FFFFFF" w:themeColor="background1"/>
          <w:sz w:val="160"/>
          <w:szCs w:val="160"/>
        </w:rPr>
      </w:pPr>
      <w:bookmarkStart w:id="144" w:name="_Toc202214674"/>
      <w:r w:rsidRPr="00C323AB">
        <w:rPr>
          <w:rFonts w:ascii="Lucida Calligraphy" w:hAnsi="Lucida Calligraphy" w:cs="Tahoma"/>
          <w:i/>
          <w:iCs/>
          <w:color w:val="FFFFFF" w:themeColor="background1"/>
          <w:sz w:val="160"/>
          <w:szCs w:val="160"/>
        </w:rPr>
        <w:t>Les décrets</w:t>
      </w:r>
      <w:bookmarkEnd w:id="144"/>
    </w:p>
    <w:p w14:paraId="7C76AA35" w14:textId="77777777" w:rsidR="007E69F0" w:rsidRPr="00B004EE" w:rsidRDefault="007E69F0" w:rsidP="00B004EE">
      <w:pPr>
        <w:pStyle w:val="Lgende"/>
        <w:jc w:val="center"/>
        <w:outlineLvl w:val="0"/>
        <w:rPr>
          <w:rFonts w:ascii="Tahoma" w:hAnsi="Tahoma" w:cs="Tahoma"/>
        </w:rPr>
      </w:pPr>
    </w:p>
    <w:p w14:paraId="2E9C0873" w14:textId="77777777" w:rsidR="007E69F0" w:rsidRPr="00B004EE" w:rsidRDefault="007E69F0" w:rsidP="00B004EE">
      <w:pPr>
        <w:rPr>
          <w:sz w:val="20"/>
          <w:szCs w:val="20"/>
        </w:rPr>
      </w:pPr>
    </w:p>
    <w:p w14:paraId="68D460A9" w14:textId="77777777" w:rsidR="003A697D" w:rsidRPr="00B004EE" w:rsidRDefault="003A697D" w:rsidP="00B004EE">
      <w:pPr>
        <w:rPr>
          <w:sz w:val="20"/>
          <w:szCs w:val="20"/>
        </w:rPr>
        <w:sectPr w:rsidR="003A697D" w:rsidRPr="00B004EE" w:rsidSect="00983185">
          <w:pgSz w:w="12240" w:h="15840"/>
          <w:pgMar w:top="1417" w:right="1417" w:bottom="1417" w:left="1417" w:header="720" w:footer="720" w:gutter="0"/>
          <w:cols w:space="720"/>
          <w:noEndnote/>
          <w:docGrid w:linePitch="326"/>
        </w:sectPr>
      </w:pPr>
    </w:p>
    <w:p w14:paraId="038576BC" w14:textId="6798CE7E" w:rsidR="002F24E1" w:rsidRPr="00B004EE" w:rsidRDefault="002F24E1" w:rsidP="00B004EE">
      <w:pPr>
        <w:pStyle w:val="Titre1"/>
        <w:pBdr>
          <w:top w:val="thinThickMediumGap" w:sz="24" w:space="1" w:color="70AD47" w:themeColor="accent6"/>
          <w:left w:val="thinThickMediumGap" w:sz="24" w:space="4" w:color="70AD47" w:themeColor="accent6"/>
          <w:bottom w:val="thickThinMediumGap" w:sz="24" w:space="1" w:color="70AD47" w:themeColor="accent6"/>
          <w:right w:val="thickThinMediumGap" w:sz="24" w:space="4" w:color="70AD47" w:themeColor="accent6"/>
        </w:pBdr>
        <w:spacing w:line="276" w:lineRule="auto"/>
        <w:jc w:val="both"/>
        <w:rPr>
          <w:rFonts w:ascii="Tahoma" w:hAnsi="Tahoma" w:cs="Tahoma"/>
          <w:szCs w:val="22"/>
        </w:rPr>
      </w:pPr>
      <w:bookmarkStart w:id="145" w:name="_Toc202214675"/>
      <w:r w:rsidRPr="00B004EE">
        <w:rPr>
          <w:rFonts w:ascii="Tahoma" w:hAnsi="Tahoma" w:cs="Tahoma"/>
          <w:szCs w:val="22"/>
        </w:rPr>
        <w:lastRenderedPageBreak/>
        <w:t>Décret</w:t>
      </w:r>
      <w:r w:rsidR="00DB1635" w:rsidRPr="00B004EE">
        <w:rPr>
          <w:rFonts w:ascii="Tahoma" w:hAnsi="Tahoma" w:cs="Tahoma"/>
          <w:szCs w:val="22"/>
        </w:rPr>
        <w:t xml:space="preserve"> </w:t>
      </w:r>
      <w:r w:rsidRPr="00B004EE">
        <w:rPr>
          <w:rFonts w:ascii="Tahoma" w:hAnsi="Tahoma" w:cs="Tahoma"/>
          <w:szCs w:val="22"/>
        </w:rPr>
        <w:t>n°</w:t>
      </w:r>
      <w:r w:rsidR="00DB1635" w:rsidRPr="00B004EE">
        <w:rPr>
          <w:rFonts w:ascii="Tahoma" w:hAnsi="Tahoma" w:cs="Tahoma"/>
          <w:szCs w:val="22"/>
        </w:rPr>
        <w:t xml:space="preserve"> </w:t>
      </w:r>
      <w:r w:rsidRPr="00B004EE">
        <w:rPr>
          <w:rFonts w:ascii="Tahoma" w:hAnsi="Tahoma" w:cs="Tahoma"/>
          <w:szCs w:val="22"/>
        </w:rPr>
        <w:t>81.062</w:t>
      </w:r>
      <w:r w:rsidR="00DB1635" w:rsidRPr="00B004EE">
        <w:rPr>
          <w:rFonts w:ascii="Tahoma" w:hAnsi="Tahoma" w:cs="Tahoma"/>
          <w:szCs w:val="22"/>
        </w:rPr>
        <w:t xml:space="preserve"> </w:t>
      </w:r>
      <w:r w:rsidR="00771718" w:rsidRPr="00B004EE">
        <w:rPr>
          <w:rFonts w:ascii="Tahoma" w:hAnsi="Tahoma" w:cs="Tahoma"/>
          <w:szCs w:val="22"/>
        </w:rPr>
        <w:t>du</w:t>
      </w:r>
      <w:r w:rsidR="00DB1635" w:rsidRPr="00B004EE">
        <w:rPr>
          <w:rFonts w:ascii="Tahoma" w:hAnsi="Tahoma" w:cs="Tahoma"/>
          <w:szCs w:val="22"/>
        </w:rPr>
        <w:t xml:space="preserve"> </w:t>
      </w:r>
      <w:r w:rsidR="00771718" w:rsidRPr="00B004EE">
        <w:rPr>
          <w:rFonts w:ascii="Tahoma" w:hAnsi="Tahoma" w:cs="Tahoma"/>
          <w:szCs w:val="22"/>
        </w:rPr>
        <w:t>02</w:t>
      </w:r>
      <w:r w:rsidR="00DB1635" w:rsidRPr="00B004EE">
        <w:rPr>
          <w:rFonts w:ascii="Tahoma" w:hAnsi="Tahoma" w:cs="Tahoma"/>
          <w:szCs w:val="22"/>
        </w:rPr>
        <w:t xml:space="preserve"> </w:t>
      </w:r>
      <w:r w:rsidR="00771718" w:rsidRPr="00B004EE">
        <w:rPr>
          <w:rFonts w:ascii="Tahoma" w:hAnsi="Tahoma" w:cs="Tahoma"/>
          <w:szCs w:val="22"/>
        </w:rPr>
        <w:t>avril</w:t>
      </w:r>
      <w:r w:rsidR="00DB1635" w:rsidRPr="00B004EE">
        <w:rPr>
          <w:rFonts w:ascii="Tahoma" w:hAnsi="Tahoma" w:cs="Tahoma"/>
          <w:szCs w:val="22"/>
        </w:rPr>
        <w:t xml:space="preserve"> </w:t>
      </w:r>
      <w:r w:rsidR="00771718" w:rsidRPr="00B004EE">
        <w:rPr>
          <w:rFonts w:ascii="Tahoma" w:hAnsi="Tahoma" w:cs="Tahoma"/>
          <w:szCs w:val="22"/>
        </w:rPr>
        <w:t>1981,</w:t>
      </w:r>
      <w:r w:rsidR="00DB1635" w:rsidRPr="00B004EE">
        <w:rPr>
          <w:rFonts w:ascii="Tahoma" w:hAnsi="Tahoma" w:cs="Tahoma"/>
          <w:szCs w:val="22"/>
        </w:rPr>
        <w:t xml:space="preserve"> </w:t>
      </w:r>
      <w:r w:rsidRPr="00B004EE">
        <w:rPr>
          <w:rFonts w:ascii="Tahoma" w:hAnsi="Tahoma" w:cs="Tahoma"/>
          <w:szCs w:val="22"/>
        </w:rPr>
        <w:t>portant</w:t>
      </w:r>
      <w:r w:rsidR="00DB1635" w:rsidRPr="00B004EE">
        <w:rPr>
          <w:rFonts w:ascii="Tahoma" w:hAnsi="Tahoma" w:cs="Tahoma"/>
          <w:szCs w:val="22"/>
        </w:rPr>
        <w:t xml:space="preserve"> </w:t>
      </w:r>
      <w:r w:rsidRPr="00B004EE">
        <w:rPr>
          <w:rFonts w:ascii="Tahoma" w:hAnsi="Tahoma" w:cs="Tahoma"/>
          <w:szCs w:val="22"/>
        </w:rPr>
        <w:t>règlementation</w:t>
      </w:r>
      <w:r w:rsidR="00DB1635" w:rsidRPr="00B004EE">
        <w:rPr>
          <w:rFonts w:ascii="Tahoma" w:hAnsi="Tahoma" w:cs="Tahoma"/>
          <w:szCs w:val="22"/>
        </w:rPr>
        <w:t xml:space="preserve"> </w:t>
      </w:r>
      <w:r w:rsidRPr="00B004EE">
        <w:rPr>
          <w:rFonts w:ascii="Tahoma" w:hAnsi="Tahoma" w:cs="Tahoma"/>
          <w:szCs w:val="22"/>
        </w:rPr>
        <w:t>de</w:t>
      </w:r>
      <w:r w:rsidR="00DB1635" w:rsidRPr="00B004EE">
        <w:rPr>
          <w:rFonts w:ascii="Tahoma" w:hAnsi="Tahoma" w:cs="Tahoma"/>
          <w:szCs w:val="22"/>
        </w:rPr>
        <w:t xml:space="preserve"> </w:t>
      </w:r>
      <w:r w:rsidRPr="00B004EE">
        <w:rPr>
          <w:rFonts w:ascii="Tahoma" w:hAnsi="Tahoma" w:cs="Tahoma"/>
          <w:szCs w:val="22"/>
        </w:rPr>
        <w:t>l'inspection</w:t>
      </w:r>
      <w:r w:rsidR="00DB1635" w:rsidRPr="00B004EE">
        <w:rPr>
          <w:rFonts w:ascii="Tahoma" w:hAnsi="Tahoma" w:cs="Tahoma"/>
          <w:szCs w:val="22"/>
        </w:rPr>
        <w:t xml:space="preserve"> </w:t>
      </w:r>
      <w:r w:rsidRPr="00B004EE">
        <w:rPr>
          <w:rFonts w:ascii="Tahoma" w:hAnsi="Tahoma" w:cs="Tahoma"/>
          <w:szCs w:val="22"/>
        </w:rPr>
        <w:t>sanitaire</w:t>
      </w:r>
      <w:r w:rsidR="00DB1635" w:rsidRPr="00B004EE">
        <w:rPr>
          <w:rFonts w:ascii="Tahoma" w:hAnsi="Tahoma" w:cs="Tahoma"/>
          <w:szCs w:val="22"/>
        </w:rPr>
        <w:t xml:space="preserve"> </w:t>
      </w:r>
      <w:r w:rsidRPr="00B004EE">
        <w:rPr>
          <w:rFonts w:ascii="Tahoma" w:hAnsi="Tahoma" w:cs="Tahoma"/>
          <w:szCs w:val="22"/>
        </w:rPr>
        <w:t>et</w:t>
      </w:r>
      <w:r w:rsidR="00DB1635" w:rsidRPr="00B004EE">
        <w:rPr>
          <w:rFonts w:ascii="Tahoma" w:hAnsi="Tahoma" w:cs="Tahoma"/>
          <w:szCs w:val="22"/>
        </w:rPr>
        <w:t xml:space="preserve"> </w:t>
      </w:r>
      <w:r w:rsidRPr="00B004EE">
        <w:rPr>
          <w:rFonts w:ascii="Tahoma" w:hAnsi="Tahoma" w:cs="Tahoma"/>
          <w:szCs w:val="22"/>
        </w:rPr>
        <w:t>du</w:t>
      </w:r>
      <w:r w:rsidR="00DB1635" w:rsidRPr="00B004EE">
        <w:rPr>
          <w:rFonts w:ascii="Tahoma" w:hAnsi="Tahoma" w:cs="Tahoma"/>
          <w:szCs w:val="22"/>
        </w:rPr>
        <w:t xml:space="preserve"> </w:t>
      </w:r>
      <w:r w:rsidRPr="00B004EE">
        <w:rPr>
          <w:rFonts w:ascii="Tahoma" w:hAnsi="Tahoma" w:cs="Tahoma"/>
          <w:szCs w:val="22"/>
        </w:rPr>
        <w:t>contrôle</w:t>
      </w:r>
      <w:r w:rsidR="00DB1635" w:rsidRPr="00B004EE">
        <w:rPr>
          <w:rFonts w:ascii="Tahoma" w:hAnsi="Tahoma" w:cs="Tahoma"/>
          <w:szCs w:val="22"/>
        </w:rPr>
        <w:t xml:space="preserve"> </w:t>
      </w:r>
      <w:r w:rsidRPr="00B004EE">
        <w:rPr>
          <w:rFonts w:ascii="Tahoma" w:hAnsi="Tahoma" w:cs="Tahoma"/>
          <w:szCs w:val="22"/>
        </w:rPr>
        <w:t>de</w:t>
      </w:r>
      <w:r w:rsidR="00DB1635" w:rsidRPr="00B004EE">
        <w:rPr>
          <w:rFonts w:ascii="Tahoma" w:hAnsi="Tahoma" w:cs="Tahoma"/>
          <w:szCs w:val="22"/>
        </w:rPr>
        <w:t xml:space="preserve"> </w:t>
      </w:r>
      <w:r w:rsidRPr="00B004EE">
        <w:rPr>
          <w:rFonts w:ascii="Tahoma" w:hAnsi="Tahoma" w:cs="Tahoma"/>
          <w:szCs w:val="22"/>
        </w:rPr>
        <w:t>salubrité</w:t>
      </w:r>
      <w:r w:rsidR="00DB1635" w:rsidRPr="00B004EE">
        <w:rPr>
          <w:rFonts w:ascii="Tahoma" w:hAnsi="Tahoma" w:cs="Tahoma"/>
          <w:szCs w:val="22"/>
        </w:rPr>
        <w:t xml:space="preserve"> </w:t>
      </w:r>
      <w:r w:rsidRPr="00B004EE">
        <w:rPr>
          <w:rFonts w:ascii="Tahoma" w:hAnsi="Tahoma" w:cs="Tahoma"/>
          <w:szCs w:val="22"/>
        </w:rPr>
        <w:t>des</w:t>
      </w:r>
      <w:r w:rsidR="00DB1635" w:rsidRPr="00B004EE">
        <w:rPr>
          <w:rFonts w:ascii="Tahoma" w:hAnsi="Tahoma" w:cs="Tahoma"/>
          <w:szCs w:val="22"/>
        </w:rPr>
        <w:t xml:space="preserve"> </w:t>
      </w:r>
      <w:r w:rsidRPr="00B004EE">
        <w:rPr>
          <w:rFonts w:ascii="Tahoma" w:hAnsi="Tahoma" w:cs="Tahoma"/>
          <w:szCs w:val="22"/>
        </w:rPr>
        <w:t>produits</w:t>
      </w:r>
      <w:r w:rsidR="00DB1635" w:rsidRPr="00B004EE">
        <w:rPr>
          <w:rFonts w:ascii="Tahoma" w:hAnsi="Tahoma" w:cs="Tahoma"/>
          <w:szCs w:val="22"/>
        </w:rPr>
        <w:t xml:space="preserve"> </w:t>
      </w:r>
      <w:r w:rsidRPr="00B004EE">
        <w:rPr>
          <w:rFonts w:ascii="Tahoma" w:hAnsi="Tahoma" w:cs="Tahoma"/>
          <w:szCs w:val="22"/>
        </w:rPr>
        <w:t>de</w:t>
      </w:r>
      <w:r w:rsidR="00DB1635" w:rsidRPr="00B004EE">
        <w:rPr>
          <w:rFonts w:ascii="Tahoma" w:hAnsi="Tahoma" w:cs="Tahoma"/>
          <w:szCs w:val="22"/>
        </w:rPr>
        <w:t xml:space="preserve"> </w:t>
      </w:r>
      <w:r w:rsidRPr="00B004EE">
        <w:rPr>
          <w:rFonts w:ascii="Tahoma" w:hAnsi="Tahoma" w:cs="Tahoma"/>
          <w:szCs w:val="22"/>
        </w:rPr>
        <w:t>la</w:t>
      </w:r>
      <w:r w:rsidR="00DB1635" w:rsidRPr="00B004EE">
        <w:rPr>
          <w:rFonts w:ascii="Tahoma" w:hAnsi="Tahoma" w:cs="Tahoma"/>
          <w:szCs w:val="22"/>
        </w:rPr>
        <w:t xml:space="preserve"> </w:t>
      </w:r>
      <w:r w:rsidRPr="00B004EE">
        <w:rPr>
          <w:rFonts w:ascii="Tahoma" w:hAnsi="Tahoma" w:cs="Tahoma"/>
          <w:szCs w:val="22"/>
        </w:rPr>
        <w:t>pêche</w:t>
      </w:r>
      <w:r w:rsidR="00DB1635" w:rsidRPr="00B004EE">
        <w:rPr>
          <w:rFonts w:ascii="Tahoma" w:hAnsi="Tahoma" w:cs="Tahoma"/>
          <w:szCs w:val="22"/>
        </w:rPr>
        <w:t xml:space="preserve"> </w:t>
      </w:r>
      <w:r w:rsidRPr="00B004EE">
        <w:rPr>
          <w:rFonts w:ascii="Tahoma" w:hAnsi="Tahoma" w:cs="Tahoma"/>
          <w:szCs w:val="22"/>
        </w:rPr>
        <w:t>destinent</w:t>
      </w:r>
      <w:r w:rsidR="00DB1635" w:rsidRPr="00B004EE">
        <w:rPr>
          <w:rFonts w:ascii="Tahoma" w:hAnsi="Tahoma" w:cs="Tahoma"/>
          <w:szCs w:val="22"/>
        </w:rPr>
        <w:t xml:space="preserve"> </w:t>
      </w:r>
      <w:r w:rsidR="00842848" w:rsidRPr="00B004EE">
        <w:rPr>
          <w:rFonts w:ascii="Tahoma" w:hAnsi="Tahoma" w:cs="Tahoma"/>
          <w:szCs w:val="22"/>
        </w:rPr>
        <w:t>à</w:t>
      </w:r>
      <w:r w:rsidR="00DB1635" w:rsidRPr="00B004EE">
        <w:rPr>
          <w:rFonts w:ascii="Tahoma" w:hAnsi="Tahoma" w:cs="Tahoma"/>
          <w:szCs w:val="22"/>
        </w:rPr>
        <w:t xml:space="preserve"> </w:t>
      </w:r>
      <w:r w:rsidRPr="00B004EE">
        <w:rPr>
          <w:rFonts w:ascii="Tahoma" w:hAnsi="Tahoma" w:cs="Tahoma"/>
          <w:szCs w:val="22"/>
        </w:rPr>
        <w:t>l'alimentation</w:t>
      </w:r>
      <w:r w:rsidR="00DB1635" w:rsidRPr="00B004EE">
        <w:rPr>
          <w:rFonts w:ascii="Tahoma" w:hAnsi="Tahoma" w:cs="Tahoma"/>
          <w:szCs w:val="22"/>
        </w:rPr>
        <w:t xml:space="preserve"> </w:t>
      </w:r>
      <w:r w:rsidRPr="00B004EE">
        <w:rPr>
          <w:rFonts w:ascii="Tahoma" w:hAnsi="Tahoma" w:cs="Tahoma"/>
          <w:szCs w:val="22"/>
        </w:rPr>
        <w:t>humaine</w:t>
      </w:r>
      <w:bookmarkEnd w:id="141"/>
      <w:bookmarkEnd w:id="142"/>
      <w:bookmarkEnd w:id="143"/>
      <w:bookmarkEnd w:id="145"/>
    </w:p>
    <w:p w14:paraId="3228ACD7" w14:textId="77777777" w:rsidR="002F24E1" w:rsidRPr="00B004EE" w:rsidRDefault="002F24E1" w:rsidP="00B004EE">
      <w:pPr>
        <w:pStyle w:val="Lgende"/>
        <w:jc w:val="both"/>
        <w:rPr>
          <w:rFonts w:ascii="Tahoma" w:hAnsi="Tahoma" w:cs="Tahoma"/>
        </w:rPr>
      </w:pPr>
    </w:p>
    <w:p w14:paraId="5D7B83D4" w14:textId="5C7F28EA" w:rsidR="002F24E1" w:rsidRPr="00B004EE" w:rsidRDefault="00561F81" w:rsidP="00B004EE">
      <w:pPr>
        <w:pStyle w:val="Lgende"/>
        <w:jc w:val="both"/>
        <w:rPr>
          <w:rFonts w:ascii="Tahoma" w:hAnsi="Tahoma" w:cs="Tahoma"/>
          <w:b w:val="0"/>
          <w:bCs w:val="0"/>
        </w:rPr>
      </w:pPr>
      <w:r w:rsidRPr="00B004EE">
        <w:rPr>
          <w:rFonts w:ascii="Tahoma" w:hAnsi="Tahoma" w:cs="Tahoma"/>
          <w:b w:val="0"/>
          <w:bCs w:val="0"/>
        </w:rPr>
        <w:t>Article</w:t>
      </w:r>
      <w:r w:rsidR="00DB1635" w:rsidRPr="00B004EE">
        <w:rPr>
          <w:rFonts w:ascii="Tahoma" w:hAnsi="Tahoma" w:cs="Tahoma"/>
          <w:b w:val="0"/>
          <w:bCs w:val="0"/>
        </w:rPr>
        <w:t xml:space="preserve"> </w:t>
      </w:r>
      <w:r w:rsidRPr="00B004EE">
        <w:rPr>
          <w:rFonts w:ascii="Tahoma" w:hAnsi="Tahoma" w:cs="Tahoma"/>
          <w:b w:val="0"/>
          <w:bCs w:val="0"/>
        </w:rPr>
        <w:t>1</w:t>
      </w:r>
      <w:r w:rsidRPr="00B004EE">
        <w:rPr>
          <w:rFonts w:ascii="Tahoma" w:hAnsi="Tahoma" w:cs="Tahoma"/>
          <w:b w:val="0"/>
          <w:bCs w:val="0"/>
          <w:vertAlign w:val="superscript"/>
        </w:rPr>
        <w:t>er</w:t>
      </w:r>
      <w:r w:rsidRPr="00B004EE">
        <w:rPr>
          <w:rFonts w:ascii="Tahoma" w:hAnsi="Tahoma" w:cs="Tahoma"/>
        </w:rPr>
        <w:t xml:space="preserve"> </w:t>
      </w:r>
      <w:r w:rsidR="002F24E1" w:rsidRPr="00B004EE">
        <w:rPr>
          <w:rFonts w:ascii="Tahoma" w:hAnsi="Tahoma" w:cs="Tahoma"/>
        </w:rPr>
        <w:t>:</w:t>
      </w:r>
      <w:r w:rsidR="00DB1635" w:rsidRPr="00B004EE">
        <w:rPr>
          <w:rFonts w:ascii="Tahoma" w:hAnsi="Tahoma" w:cs="Tahoma"/>
          <w:b w:val="0"/>
          <w:bCs w:val="0"/>
        </w:rPr>
        <w:t xml:space="preserve"> </w:t>
      </w:r>
      <w:r w:rsidR="002F24E1" w:rsidRPr="00B004EE">
        <w:rPr>
          <w:rFonts w:ascii="Tahoma" w:hAnsi="Tahoma" w:cs="Tahoma"/>
          <w:b w:val="0"/>
          <w:bCs w:val="0"/>
        </w:rPr>
        <w:t>Le</w:t>
      </w:r>
      <w:r w:rsidR="00DB1635" w:rsidRPr="00B004EE">
        <w:rPr>
          <w:rFonts w:ascii="Tahoma" w:hAnsi="Tahoma" w:cs="Tahoma"/>
          <w:b w:val="0"/>
          <w:bCs w:val="0"/>
        </w:rPr>
        <w:t xml:space="preserve"> </w:t>
      </w:r>
      <w:r w:rsidR="002F24E1" w:rsidRPr="00B004EE">
        <w:rPr>
          <w:rFonts w:ascii="Tahoma" w:hAnsi="Tahoma" w:cs="Tahoma"/>
          <w:b w:val="0"/>
          <w:bCs w:val="0"/>
        </w:rPr>
        <w:t>contrôle</w:t>
      </w:r>
      <w:r w:rsidR="00DB1635" w:rsidRPr="00B004EE">
        <w:rPr>
          <w:rFonts w:ascii="Tahoma" w:hAnsi="Tahoma" w:cs="Tahoma"/>
          <w:b w:val="0"/>
          <w:bCs w:val="0"/>
        </w:rPr>
        <w:t xml:space="preserve"> </w:t>
      </w:r>
      <w:r w:rsidR="002F24E1" w:rsidRPr="00B004EE">
        <w:rPr>
          <w:rFonts w:ascii="Tahoma" w:hAnsi="Tahoma" w:cs="Tahoma"/>
          <w:b w:val="0"/>
          <w:bCs w:val="0"/>
        </w:rPr>
        <w:t>des</w:t>
      </w:r>
      <w:r w:rsidR="00DB1635" w:rsidRPr="00B004EE">
        <w:rPr>
          <w:rFonts w:ascii="Tahoma" w:hAnsi="Tahoma" w:cs="Tahoma"/>
          <w:b w:val="0"/>
          <w:bCs w:val="0"/>
        </w:rPr>
        <w:t xml:space="preserve"> </w:t>
      </w:r>
      <w:r w:rsidR="002F24E1" w:rsidRPr="00B004EE">
        <w:rPr>
          <w:rFonts w:ascii="Tahoma" w:hAnsi="Tahoma" w:cs="Tahoma"/>
          <w:b w:val="0"/>
          <w:bCs w:val="0"/>
        </w:rPr>
        <w:t>produits</w:t>
      </w:r>
      <w:r w:rsidR="00DB1635" w:rsidRPr="00B004EE">
        <w:rPr>
          <w:rFonts w:ascii="Tahoma" w:hAnsi="Tahoma" w:cs="Tahoma"/>
          <w:b w:val="0"/>
          <w:bCs w:val="0"/>
        </w:rPr>
        <w:t xml:space="preserve"> </w:t>
      </w:r>
      <w:r w:rsidR="002F24E1" w:rsidRPr="00B004EE">
        <w:rPr>
          <w:rFonts w:ascii="Tahoma" w:hAnsi="Tahoma" w:cs="Tahoma"/>
          <w:b w:val="0"/>
          <w:bCs w:val="0"/>
        </w:rPr>
        <w:t>de</w:t>
      </w:r>
      <w:r w:rsidR="00DB1635" w:rsidRPr="00B004EE">
        <w:rPr>
          <w:rFonts w:ascii="Tahoma" w:hAnsi="Tahoma" w:cs="Tahoma"/>
          <w:b w:val="0"/>
          <w:bCs w:val="0"/>
        </w:rPr>
        <w:t xml:space="preserve"> </w:t>
      </w:r>
      <w:r w:rsidR="002F24E1" w:rsidRPr="00B004EE">
        <w:rPr>
          <w:rFonts w:ascii="Tahoma" w:hAnsi="Tahoma" w:cs="Tahoma"/>
          <w:b w:val="0"/>
          <w:bCs w:val="0"/>
        </w:rPr>
        <w:t>la</w:t>
      </w:r>
      <w:r w:rsidR="00DB1635" w:rsidRPr="00B004EE">
        <w:rPr>
          <w:rFonts w:ascii="Tahoma" w:hAnsi="Tahoma" w:cs="Tahoma"/>
          <w:b w:val="0"/>
          <w:bCs w:val="0"/>
        </w:rPr>
        <w:t xml:space="preserve"> </w:t>
      </w:r>
      <w:r w:rsidR="002F24E1" w:rsidRPr="00B004EE">
        <w:rPr>
          <w:rFonts w:ascii="Tahoma" w:hAnsi="Tahoma" w:cs="Tahoma"/>
          <w:b w:val="0"/>
          <w:bCs w:val="0"/>
        </w:rPr>
        <w:t>pêche</w:t>
      </w:r>
      <w:r w:rsidR="00DB1635" w:rsidRPr="00B004EE">
        <w:rPr>
          <w:rFonts w:ascii="Tahoma" w:hAnsi="Tahoma" w:cs="Tahoma"/>
          <w:b w:val="0"/>
          <w:bCs w:val="0"/>
        </w:rPr>
        <w:t xml:space="preserve"> </w:t>
      </w:r>
      <w:r w:rsidR="002F24E1" w:rsidRPr="00B004EE">
        <w:rPr>
          <w:rFonts w:ascii="Tahoma" w:hAnsi="Tahoma" w:cs="Tahoma"/>
          <w:b w:val="0"/>
          <w:bCs w:val="0"/>
        </w:rPr>
        <w:t>maritime</w:t>
      </w:r>
      <w:r w:rsidR="00DB1635" w:rsidRPr="00B004EE">
        <w:rPr>
          <w:rFonts w:ascii="Tahoma" w:hAnsi="Tahoma" w:cs="Tahoma"/>
          <w:b w:val="0"/>
          <w:bCs w:val="0"/>
        </w:rPr>
        <w:t xml:space="preserve"> </w:t>
      </w:r>
      <w:r w:rsidR="002F24E1" w:rsidRPr="00B004EE">
        <w:rPr>
          <w:rFonts w:ascii="Tahoma" w:hAnsi="Tahoma" w:cs="Tahoma"/>
          <w:b w:val="0"/>
          <w:bCs w:val="0"/>
        </w:rPr>
        <w:t>et</w:t>
      </w:r>
      <w:r w:rsidR="00DB1635" w:rsidRPr="00B004EE">
        <w:rPr>
          <w:rFonts w:ascii="Tahoma" w:hAnsi="Tahoma" w:cs="Tahoma"/>
          <w:b w:val="0"/>
          <w:bCs w:val="0"/>
        </w:rPr>
        <w:t xml:space="preserve"> </w:t>
      </w:r>
      <w:r w:rsidR="002F24E1" w:rsidRPr="00B004EE">
        <w:rPr>
          <w:rFonts w:ascii="Tahoma" w:hAnsi="Tahoma" w:cs="Tahoma"/>
          <w:b w:val="0"/>
          <w:bCs w:val="0"/>
        </w:rPr>
        <w:t>fluviale</w:t>
      </w:r>
      <w:r w:rsidR="00DB1635" w:rsidRPr="00B004EE">
        <w:rPr>
          <w:rFonts w:ascii="Tahoma" w:hAnsi="Tahoma" w:cs="Tahoma"/>
          <w:b w:val="0"/>
          <w:bCs w:val="0"/>
        </w:rPr>
        <w:t xml:space="preserve"> </w:t>
      </w:r>
      <w:r w:rsidR="002F24E1" w:rsidRPr="00B004EE">
        <w:rPr>
          <w:rFonts w:ascii="Tahoma" w:hAnsi="Tahoma" w:cs="Tahoma"/>
          <w:b w:val="0"/>
          <w:bCs w:val="0"/>
        </w:rPr>
        <w:t>ci-après</w:t>
      </w:r>
      <w:r w:rsidR="00DB1635" w:rsidRPr="00B004EE">
        <w:rPr>
          <w:rFonts w:ascii="Tahoma" w:hAnsi="Tahoma" w:cs="Tahoma"/>
          <w:b w:val="0"/>
          <w:bCs w:val="0"/>
        </w:rPr>
        <w:t xml:space="preserve"> </w:t>
      </w:r>
      <w:r w:rsidR="002F24E1" w:rsidRPr="00B004EE">
        <w:rPr>
          <w:rFonts w:ascii="Tahoma" w:hAnsi="Tahoma" w:cs="Tahoma"/>
          <w:b w:val="0"/>
          <w:bCs w:val="0"/>
        </w:rPr>
        <w:t>dénommés</w:t>
      </w:r>
      <w:r w:rsidR="00DB1635" w:rsidRPr="00B004EE">
        <w:rPr>
          <w:rFonts w:ascii="Tahoma" w:hAnsi="Tahoma" w:cs="Tahoma"/>
          <w:b w:val="0"/>
          <w:bCs w:val="0"/>
        </w:rPr>
        <w:t xml:space="preserve"> </w:t>
      </w:r>
      <w:r w:rsidR="002F24E1" w:rsidRPr="00B004EE">
        <w:rPr>
          <w:rFonts w:ascii="Tahoma" w:hAnsi="Tahoma" w:cs="Tahoma"/>
          <w:b w:val="0"/>
          <w:bCs w:val="0"/>
        </w:rPr>
        <w:t>les</w:t>
      </w:r>
      <w:r w:rsidR="00DB1635" w:rsidRPr="00B004EE">
        <w:rPr>
          <w:rFonts w:ascii="Tahoma" w:hAnsi="Tahoma" w:cs="Tahoma"/>
          <w:b w:val="0"/>
          <w:bCs w:val="0"/>
        </w:rPr>
        <w:t xml:space="preserve"> </w:t>
      </w:r>
      <w:r w:rsidR="002F24E1" w:rsidRPr="00B004EE">
        <w:rPr>
          <w:rFonts w:ascii="Tahoma" w:hAnsi="Tahoma" w:cs="Tahoma"/>
          <w:b w:val="0"/>
          <w:bCs w:val="0"/>
        </w:rPr>
        <w:t>produits</w:t>
      </w:r>
      <w:r w:rsidR="00DB1635" w:rsidRPr="00B004EE">
        <w:rPr>
          <w:rFonts w:ascii="Tahoma" w:hAnsi="Tahoma" w:cs="Tahoma"/>
          <w:b w:val="0"/>
          <w:bCs w:val="0"/>
        </w:rPr>
        <w:t xml:space="preserve"> </w:t>
      </w:r>
      <w:r w:rsidR="002F24E1" w:rsidRPr="00B004EE">
        <w:rPr>
          <w:rFonts w:ascii="Tahoma" w:hAnsi="Tahoma" w:cs="Tahoma"/>
          <w:b w:val="0"/>
          <w:bCs w:val="0"/>
        </w:rPr>
        <w:t>de</w:t>
      </w:r>
      <w:r w:rsidR="00DB1635" w:rsidRPr="00B004EE">
        <w:rPr>
          <w:rFonts w:ascii="Tahoma" w:hAnsi="Tahoma" w:cs="Tahoma"/>
          <w:b w:val="0"/>
          <w:bCs w:val="0"/>
        </w:rPr>
        <w:t xml:space="preserve"> </w:t>
      </w:r>
      <w:r w:rsidR="002F24E1" w:rsidRPr="00B004EE">
        <w:rPr>
          <w:rFonts w:ascii="Tahoma" w:hAnsi="Tahoma" w:cs="Tahoma"/>
          <w:b w:val="0"/>
          <w:bCs w:val="0"/>
        </w:rPr>
        <w:t>la</w:t>
      </w:r>
      <w:r w:rsidR="00DB1635" w:rsidRPr="00B004EE">
        <w:rPr>
          <w:rFonts w:ascii="Tahoma" w:hAnsi="Tahoma" w:cs="Tahoma"/>
          <w:b w:val="0"/>
          <w:bCs w:val="0"/>
        </w:rPr>
        <w:t xml:space="preserve"> </w:t>
      </w:r>
      <w:r w:rsidR="002F24E1" w:rsidRPr="00B004EE">
        <w:rPr>
          <w:rFonts w:ascii="Tahoma" w:hAnsi="Tahoma" w:cs="Tahoma"/>
          <w:b w:val="0"/>
          <w:bCs w:val="0"/>
        </w:rPr>
        <w:t>pêche,</w:t>
      </w:r>
      <w:r w:rsidR="00DB1635" w:rsidRPr="00B004EE">
        <w:rPr>
          <w:rFonts w:ascii="Tahoma" w:hAnsi="Tahoma" w:cs="Tahoma"/>
          <w:b w:val="0"/>
          <w:bCs w:val="0"/>
        </w:rPr>
        <w:t xml:space="preserve"> </w:t>
      </w:r>
      <w:r w:rsidR="002F24E1" w:rsidRPr="00B004EE">
        <w:rPr>
          <w:rFonts w:ascii="Tahoma" w:hAnsi="Tahoma" w:cs="Tahoma"/>
          <w:b w:val="0"/>
          <w:bCs w:val="0"/>
        </w:rPr>
        <w:t>visé</w:t>
      </w:r>
      <w:r w:rsidR="00DB1635" w:rsidRPr="00B004EE">
        <w:rPr>
          <w:rFonts w:ascii="Tahoma" w:hAnsi="Tahoma" w:cs="Tahoma"/>
          <w:b w:val="0"/>
          <w:bCs w:val="0"/>
        </w:rPr>
        <w:t xml:space="preserve"> </w:t>
      </w:r>
      <w:r w:rsidR="002F24E1" w:rsidRPr="00B004EE">
        <w:rPr>
          <w:rFonts w:ascii="Tahoma" w:hAnsi="Tahoma" w:cs="Tahoma"/>
          <w:b w:val="0"/>
          <w:bCs w:val="0"/>
        </w:rPr>
        <w:t>dans</w:t>
      </w:r>
      <w:r w:rsidR="00DB1635" w:rsidRPr="00B004EE">
        <w:rPr>
          <w:rFonts w:ascii="Tahoma" w:hAnsi="Tahoma" w:cs="Tahoma"/>
          <w:b w:val="0"/>
          <w:bCs w:val="0"/>
        </w:rPr>
        <w:t xml:space="preserve"> </w:t>
      </w:r>
      <w:r w:rsidR="002F24E1" w:rsidRPr="00B004EE">
        <w:rPr>
          <w:rFonts w:ascii="Tahoma" w:hAnsi="Tahoma" w:cs="Tahoma"/>
          <w:b w:val="0"/>
          <w:bCs w:val="0"/>
        </w:rPr>
        <w:t>le</w:t>
      </w:r>
      <w:r w:rsidR="00DB1635" w:rsidRPr="00B004EE">
        <w:rPr>
          <w:rFonts w:ascii="Tahoma" w:hAnsi="Tahoma" w:cs="Tahoma"/>
          <w:b w:val="0"/>
          <w:bCs w:val="0"/>
        </w:rPr>
        <w:t xml:space="preserve"> </w:t>
      </w:r>
      <w:r w:rsidR="002F24E1" w:rsidRPr="00B004EE">
        <w:rPr>
          <w:rFonts w:ascii="Tahoma" w:hAnsi="Tahoma" w:cs="Tahoma"/>
          <w:b w:val="0"/>
          <w:bCs w:val="0"/>
        </w:rPr>
        <w:t>présent</w:t>
      </w:r>
      <w:r w:rsidR="00DB1635" w:rsidRPr="00B004EE">
        <w:rPr>
          <w:rFonts w:ascii="Tahoma" w:hAnsi="Tahoma" w:cs="Tahoma"/>
          <w:b w:val="0"/>
          <w:bCs w:val="0"/>
        </w:rPr>
        <w:t xml:space="preserve"> </w:t>
      </w:r>
      <w:r w:rsidR="002F24E1" w:rsidRPr="00B004EE">
        <w:rPr>
          <w:rFonts w:ascii="Tahoma" w:hAnsi="Tahoma" w:cs="Tahoma"/>
          <w:b w:val="0"/>
          <w:bCs w:val="0"/>
        </w:rPr>
        <w:t>décret,</w:t>
      </w:r>
      <w:r w:rsidR="00DB1635" w:rsidRPr="00B004EE">
        <w:rPr>
          <w:rFonts w:ascii="Tahoma" w:hAnsi="Tahoma" w:cs="Tahoma"/>
          <w:b w:val="0"/>
          <w:bCs w:val="0"/>
        </w:rPr>
        <w:t xml:space="preserve"> </w:t>
      </w:r>
      <w:r w:rsidR="002F24E1" w:rsidRPr="00B004EE">
        <w:rPr>
          <w:rFonts w:ascii="Tahoma" w:hAnsi="Tahoma" w:cs="Tahoma"/>
          <w:b w:val="0"/>
          <w:bCs w:val="0"/>
        </w:rPr>
        <w:t>porte</w:t>
      </w:r>
      <w:r w:rsidR="00DB1635" w:rsidRPr="00B004EE">
        <w:rPr>
          <w:rFonts w:ascii="Tahoma" w:hAnsi="Tahoma" w:cs="Tahoma"/>
          <w:b w:val="0"/>
          <w:bCs w:val="0"/>
        </w:rPr>
        <w:t xml:space="preserve"> </w:t>
      </w:r>
      <w:r w:rsidR="002F24E1" w:rsidRPr="00B004EE">
        <w:rPr>
          <w:rFonts w:ascii="Tahoma" w:hAnsi="Tahoma" w:cs="Tahoma"/>
          <w:b w:val="0"/>
          <w:bCs w:val="0"/>
        </w:rPr>
        <w:t>sur</w:t>
      </w:r>
      <w:r w:rsidR="00DB1635" w:rsidRPr="00B004EE">
        <w:rPr>
          <w:rFonts w:ascii="Tahoma" w:hAnsi="Tahoma" w:cs="Tahoma"/>
          <w:b w:val="0"/>
          <w:bCs w:val="0"/>
        </w:rPr>
        <w:t xml:space="preserve"> </w:t>
      </w:r>
      <w:r w:rsidR="002F24E1" w:rsidRPr="00B004EE">
        <w:rPr>
          <w:rFonts w:ascii="Tahoma" w:hAnsi="Tahoma" w:cs="Tahoma"/>
          <w:b w:val="0"/>
          <w:bCs w:val="0"/>
        </w:rPr>
        <w:t>les</w:t>
      </w:r>
      <w:r w:rsidR="00DB1635" w:rsidRPr="00B004EE">
        <w:rPr>
          <w:rFonts w:ascii="Tahoma" w:hAnsi="Tahoma" w:cs="Tahoma"/>
          <w:b w:val="0"/>
          <w:bCs w:val="0"/>
        </w:rPr>
        <w:t xml:space="preserve"> </w:t>
      </w:r>
      <w:r w:rsidR="002F24E1" w:rsidRPr="00B004EE">
        <w:rPr>
          <w:rFonts w:ascii="Tahoma" w:hAnsi="Tahoma" w:cs="Tahoma"/>
          <w:b w:val="0"/>
          <w:bCs w:val="0"/>
        </w:rPr>
        <w:t>points</w:t>
      </w:r>
      <w:r w:rsidR="00DB1635" w:rsidRPr="00B004EE">
        <w:rPr>
          <w:rFonts w:ascii="Tahoma" w:hAnsi="Tahoma" w:cs="Tahoma"/>
          <w:b w:val="0"/>
          <w:bCs w:val="0"/>
        </w:rPr>
        <w:t xml:space="preserve"> </w:t>
      </w:r>
      <w:r w:rsidR="002F24E1" w:rsidRPr="00B004EE">
        <w:rPr>
          <w:rFonts w:ascii="Tahoma" w:hAnsi="Tahoma" w:cs="Tahoma"/>
          <w:b w:val="0"/>
          <w:bCs w:val="0"/>
        </w:rPr>
        <w:t>suivants</w:t>
      </w:r>
      <w:r w:rsidR="00DB1635" w:rsidRPr="00B004EE">
        <w:rPr>
          <w:rFonts w:ascii="Tahoma" w:hAnsi="Tahoma" w:cs="Tahoma"/>
          <w:b w:val="0"/>
          <w:bCs w:val="0"/>
        </w:rPr>
        <w:t xml:space="preserve"> </w:t>
      </w:r>
      <w:r w:rsidR="002F24E1" w:rsidRPr="00B004EE">
        <w:rPr>
          <w:rFonts w:ascii="Tahoma" w:hAnsi="Tahoma" w:cs="Tahoma"/>
          <w:b w:val="0"/>
          <w:bCs w:val="0"/>
        </w:rPr>
        <w:t>:</w:t>
      </w:r>
    </w:p>
    <w:p w14:paraId="6E0ED2A4" w14:textId="0BAD685B" w:rsidR="002F24E1" w:rsidRPr="00B004EE" w:rsidRDefault="002F24E1" w:rsidP="00420DDA">
      <w:pPr>
        <w:pStyle w:val="Lgende"/>
        <w:numPr>
          <w:ilvl w:val="0"/>
          <w:numId w:val="147"/>
        </w:numPr>
        <w:jc w:val="both"/>
        <w:rPr>
          <w:rFonts w:ascii="Tahoma" w:hAnsi="Tahoma" w:cs="Tahoma"/>
          <w:b w:val="0"/>
          <w:bCs w:val="0"/>
        </w:rPr>
      </w:pPr>
      <w:r w:rsidRPr="00B004EE">
        <w:rPr>
          <w:rFonts w:ascii="Tahoma" w:hAnsi="Tahoma" w:cs="Tahoma"/>
          <w:b w:val="0"/>
          <w:bCs w:val="0"/>
        </w:rPr>
        <w:t>L'origine,</w:t>
      </w:r>
      <w:r w:rsidR="00DB1635" w:rsidRPr="00B004EE">
        <w:rPr>
          <w:rFonts w:ascii="Tahoma" w:hAnsi="Tahoma" w:cs="Tahoma"/>
          <w:b w:val="0"/>
          <w:bCs w:val="0"/>
        </w:rPr>
        <w:t xml:space="preserve"> </w:t>
      </w:r>
      <w:r w:rsidRPr="00B004EE">
        <w:rPr>
          <w:rFonts w:ascii="Tahoma" w:hAnsi="Tahoma" w:cs="Tahoma"/>
          <w:b w:val="0"/>
          <w:bCs w:val="0"/>
        </w:rPr>
        <w:t>la</w:t>
      </w:r>
      <w:r w:rsidR="00DB1635" w:rsidRPr="00B004EE">
        <w:rPr>
          <w:rFonts w:ascii="Tahoma" w:hAnsi="Tahoma" w:cs="Tahoma"/>
          <w:b w:val="0"/>
          <w:bCs w:val="0"/>
        </w:rPr>
        <w:t xml:space="preserve"> </w:t>
      </w:r>
      <w:r w:rsidRPr="00B004EE">
        <w:rPr>
          <w:rFonts w:ascii="Tahoma" w:hAnsi="Tahoma" w:cs="Tahoma"/>
          <w:b w:val="0"/>
          <w:bCs w:val="0"/>
        </w:rPr>
        <w:t>nature</w:t>
      </w:r>
      <w:r w:rsidR="00DB1635" w:rsidRPr="00B004EE">
        <w:rPr>
          <w:rFonts w:ascii="Tahoma" w:hAnsi="Tahoma" w:cs="Tahoma"/>
          <w:b w:val="0"/>
          <w:bCs w:val="0"/>
        </w:rPr>
        <w:t xml:space="preserve"> </w:t>
      </w:r>
      <w:r w:rsidRPr="00B004EE">
        <w:rPr>
          <w:rFonts w:ascii="Tahoma" w:hAnsi="Tahoma" w:cs="Tahoma"/>
          <w:b w:val="0"/>
          <w:bCs w:val="0"/>
        </w:rPr>
        <w:t>et</w:t>
      </w:r>
      <w:r w:rsidR="00DB1635" w:rsidRPr="00B004EE">
        <w:rPr>
          <w:rFonts w:ascii="Tahoma" w:hAnsi="Tahoma" w:cs="Tahoma"/>
          <w:b w:val="0"/>
          <w:bCs w:val="0"/>
        </w:rPr>
        <w:t xml:space="preserve"> </w:t>
      </w:r>
      <w:r w:rsidRPr="00B004EE">
        <w:rPr>
          <w:rFonts w:ascii="Tahoma" w:hAnsi="Tahoma" w:cs="Tahoma"/>
          <w:b w:val="0"/>
          <w:bCs w:val="0"/>
        </w:rPr>
        <w:t>la</w:t>
      </w:r>
      <w:r w:rsidR="00DB1635" w:rsidRPr="00B004EE">
        <w:rPr>
          <w:rFonts w:ascii="Tahoma" w:hAnsi="Tahoma" w:cs="Tahoma"/>
          <w:b w:val="0"/>
          <w:bCs w:val="0"/>
        </w:rPr>
        <w:t xml:space="preserve"> </w:t>
      </w:r>
      <w:r w:rsidRPr="00B004EE">
        <w:rPr>
          <w:rFonts w:ascii="Tahoma" w:hAnsi="Tahoma" w:cs="Tahoma"/>
          <w:b w:val="0"/>
          <w:bCs w:val="0"/>
        </w:rPr>
        <w:t>fraîcheur</w:t>
      </w:r>
      <w:r w:rsidR="00DB1635" w:rsidRPr="00B004EE">
        <w:rPr>
          <w:rFonts w:ascii="Tahoma" w:hAnsi="Tahoma" w:cs="Tahoma"/>
          <w:b w:val="0"/>
          <w:bCs w:val="0"/>
        </w:rPr>
        <w:t xml:space="preserve"> </w:t>
      </w:r>
      <w:r w:rsidRPr="00B004EE">
        <w:rPr>
          <w:rFonts w:ascii="Tahoma" w:hAnsi="Tahoma" w:cs="Tahoma"/>
          <w:b w:val="0"/>
          <w:bCs w:val="0"/>
        </w:rPr>
        <w:t>des</w:t>
      </w:r>
      <w:r w:rsidR="00DB1635" w:rsidRPr="00B004EE">
        <w:rPr>
          <w:rFonts w:ascii="Tahoma" w:hAnsi="Tahoma" w:cs="Tahoma"/>
          <w:b w:val="0"/>
          <w:bCs w:val="0"/>
        </w:rPr>
        <w:t xml:space="preserve"> </w:t>
      </w:r>
      <w:r w:rsidRPr="00B004EE">
        <w:rPr>
          <w:rFonts w:ascii="Tahoma" w:hAnsi="Tahoma" w:cs="Tahoma"/>
          <w:b w:val="0"/>
          <w:bCs w:val="0"/>
        </w:rPr>
        <w:t>produits</w:t>
      </w:r>
      <w:r w:rsidR="00DB1635" w:rsidRPr="00B004EE">
        <w:rPr>
          <w:rFonts w:ascii="Tahoma" w:hAnsi="Tahoma" w:cs="Tahoma"/>
          <w:b w:val="0"/>
          <w:bCs w:val="0"/>
        </w:rPr>
        <w:t xml:space="preserve"> </w:t>
      </w:r>
      <w:r w:rsidRPr="00B004EE">
        <w:rPr>
          <w:rFonts w:ascii="Tahoma" w:hAnsi="Tahoma" w:cs="Tahoma"/>
          <w:b w:val="0"/>
          <w:bCs w:val="0"/>
        </w:rPr>
        <w:t>de</w:t>
      </w:r>
      <w:r w:rsidR="00DB1635" w:rsidRPr="00B004EE">
        <w:rPr>
          <w:rFonts w:ascii="Tahoma" w:hAnsi="Tahoma" w:cs="Tahoma"/>
          <w:b w:val="0"/>
          <w:bCs w:val="0"/>
        </w:rPr>
        <w:t xml:space="preserve"> </w:t>
      </w:r>
      <w:r w:rsidRPr="00B004EE">
        <w:rPr>
          <w:rFonts w:ascii="Tahoma" w:hAnsi="Tahoma" w:cs="Tahoma"/>
          <w:b w:val="0"/>
          <w:bCs w:val="0"/>
        </w:rPr>
        <w:t>la</w:t>
      </w:r>
      <w:r w:rsidR="00DB1635" w:rsidRPr="00B004EE">
        <w:rPr>
          <w:rFonts w:ascii="Tahoma" w:hAnsi="Tahoma" w:cs="Tahoma"/>
          <w:b w:val="0"/>
          <w:bCs w:val="0"/>
        </w:rPr>
        <w:t xml:space="preserve"> </w:t>
      </w:r>
      <w:r w:rsidRPr="00B004EE">
        <w:rPr>
          <w:rFonts w:ascii="Tahoma" w:hAnsi="Tahoma" w:cs="Tahoma"/>
          <w:b w:val="0"/>
          <w:bCs w:val="0"/>
        </w:rPr>
        <w:t>pêche</w:t>
      </w:r>
      <w:r w:rsidR="00DB1635" w:rsidRPr="00B004EE">
        <w:rPr>
          <w:rFonts w:ascii="Tahoma" w:hAnsi="Tahoma" w:cs="Tahoma"/>
          <w:b w:val="0"/>
          <w:bCs w:val="0"/>
        </w:rPr>
        <w:t xml:space="preserve"> </w:t>
      </w:r>
      <w:r w:rsidRPr="00B004EE">
        <w:rPr>
          <w:rFonts w:ascii="Tahoma" w:hAnsi="Tahoma" w:cs="Tahoma"/>
          <w:b w:val="0"/>
          <w:bCs w:val="0"/>
        </w:rPr>
        <w:t>suivant</w:t>
      </w:r>
      <w:r w:rsidR="00DB1635" w:rsidRPr="00B004EE">
        <w:rPr>
          <w:rFonts w:ascii="Tahoma" w:hAnsi="Tahoma" w:cs="Tahoma"/>
          <w:b w:val="0"/>
          <w:bCs w:val="0"/>
        </w:rPr>
        <w:t xml:space="preserve"> </w:t>
      </w:r>
      <w:r w:rsidRPr="00B004EE">
        <w:rPr>
          <w:rFonts w:ascii="Tahoma" w:hAnsi="Tahoma" w:cs="Tahoma"/>
          <w:b w:val="0"/>
          <w:bCs w:val="0"/>
        </w:rPr>
        <w:t>les</w:t>
      </w:r>
      <w:r w:rsidR="00DB1635" w:rsidRPr="00B004EE">
        <w:rPr>
          <w:rFonts w:ascii="Tahoma" w:hAnsi="Tahoma" w:cs="Tahoma"/>
          <w:b w:val="0"/>
          <w:bCs w:val="0"/>
        </w:rPr>
        <w:t xml:space="preserve"> </w:t>
      </w:r>
      <w:r w:rsidRPr="00B004EE">
        <w:rPr>
          <w:rFonts w:ascii="Tahoma" w:hAnsi="Tahoma" w:cs="Tahoma"/>
          <w:b w:val="0"/>
          <w:bCs w:val="0"/>
        </w:rPr>
        <w:t>normes</w:t>
      </w:r>
      <w:r w:rsidR="00DB1635" w:rsidRPr="00B004EE">
        <w:rPr>
          <w:rFonts w:ascii="Tahoma" w:hAnsi="Tahoma" w:cs="Tahoma"/>
          <w:b w:val="0"/>
          <w:bCs w:val="0"/>
        </w:rPr>
        <w:t xml:space="preserve"> </w:t>
      </w:r>
      <w:r w:rsidRPr="00B004EE">
        <w:rPr>
          <w:rFonts w:ascii="Tahoma" w:hAnsi="Tahoma" w:cs="Tahoma"/>
          <w:b w:val="0"/>
          <w:bCs w:val="0"/>
        </w:rPr>
        <w:t>établies</w:t>
      </w:r>
      <w:r w:rsidR="00DB1635" w:rsidRPr="00B004EE">
        <w:rPr>
          <w:rFonts w:ascii="Tahoma" w:hAnsi="Tahoma" w:cs="Tahoma"/>
          <w:b w:val="0"/>
          <w:bCs w:val="0"/>
        </w:rPr>
        <w:t xml:space="preserve"> </w:t>
      </w:r>
      <w:r w:rsidRPr="00B004EE">
        <w:rPr>
          <w:rFonts w:ascii="Tahoma" w:hAnsi="Tahoma" w:cs="Tahoma"/>
          <w:b w:val="0"/>
          <w:bCs w:val="0"/>
        </w:rPr>
        <w:t>par</w:t>
      </w:r>
      <w:r w:rsidR="00DB1635" w:rsidRPr="00B004EE">
        <w:rPr>
          <w:rFonts w:ascii="Tahoma" w:hAnsi="Tahoma" w:cs="Tahoma"/>
          <w:b w:val="0"/>
          <w:bCs w:val="0"/>
        </w:rPr>
        <w:t xml:space="preserve"> </w:t>
      </w:r>
      <w:r w:rsidR="003A697D" w:rsidRPr="00B004EE">
        <w:rPr>
          <w:rFonts w:ascii="Tahoma" w:hAnsi="Tahoma" w:cs="Tahoma"/>
          <w:b w:val="0"/>
          <w:bCs w:val="0"/>
        </w:rPr>
        <w:t>les organismes compétents ;</w:t>
      </w:r>
    </w:p>
    <w:p w14:paraId="10BDFC88" w14:textId="125CE702" w:rsidR="002F24E1" w:rsidRPr="00B004EE" w:rsidRDefault="002F24E1" w:rsidP="00420DDA">
      <w:pPr>
        <w:pStyle w:val="Lgende"/>
        <w:numPr>
          <w:ilvl w:val="0"/>
          <w:numId w:val="147"/>
        </w:numPr>
        <w:jc w:val="both"/>
        <w:rPr>
          <w:rFonts w:ascii="Tahoma" w:hAnsi="Tahoma" w:cs="Tahoma"/>
          <w:b w:val="0"/>
          <w:bCs w:val="0"/>
        </w:rPr>
      </w:pPr>
      <w:r w:rsidRPr="00B004EE">
        <w:rPr>
          <w:rFonts w:ascii="Tahoma" w:hAnsi="Tahoma" w:cs="Tahoma"/>
          <w:b w:val="0"/>
          <w:bCs w:val="0"/>
        </w:rPr>
        <w:t>L'hygiène</w:t>
      </w:r>
      <w:r w:rsidR="00DB1635" w:rsidRPr="00B004EE">
        <w:rPr>
          <w:rFonts w:ascii="Tahoma" w:hAnsi="Tahoma" w:cs="Tahoma"/>
          <w:b w:val="0"/>
          <w:bCs w:val="0"/>
        </w:rPr>
        <w:t xml:space="preserve"> </w:t>
      </w:r>
      <w:r w:rsidRPr="00B004EE">
        <w:rPr>
          <w:rFonts w:ascii="Tahoma" w:hAnsi="Tahoma" w:cs="Tahoma"/>
          <w:b w:val="0"/>
          <w:bCs w:val="0"/>
        </w:rPr>
        <w:t>et</w:t>
      </w:r>
      <w:r w:rsidR="00DB1635" w:rsidRPr="00B004EE">
        <w:rPr>
          <w:rFonts w:ascii="Tahoma" w:hAnsi="Tahoma" w:cs="Tahoma"/>
          <w:b w:val="0"/>
          <w:bCs w:val="0"/>
        </w:rPr>
        <w:t xml:space="preserve"> </w:t>
      </w:r>
      <w:r w:rsidRPr="00B004EE">
        <w:rPr>
          <w:rFonts w:ascii="Tahoma" w:hAnsi="Tahoma" w:cs="Tahoma"/>
          <w:b w:val="0"/>
          <w:bCs w:val="0"/>
        </w:rPr>
        <w:t>la</w:t>
      </w:r>
      <w:r w:rsidR="00DB1635" w:rsidRPr="00B004EE">
        <w:rPr>
          <w:rFonts w:ascii="Tahoma" w:hAnsi="Tahoma" w:cs="Tahoma"/>
          <w:b w:val="0"/>
          <w:bCs w:val="0"/>
        </w:rPr>
        <w:t xml:space="preserve"> </w:t>
      </w:r>
      <w:r w:rsidRPr="00B004EE">
        <w:rPr>
          <w:rFonts w:ascii="Tahoma" w:hAnsi="Tahoma" w:cs="Tahoma"/>
          <w:b w:val="0"/>
          <w:bCs w:val="0"/>
        </w:rPr>
        <w:t>salubrité</w:t>
      </w:r>
      <w:r w:rsidR="00DB1635" w:rsidRPr="00B004EE">
        <w:rPr>
          <w:rFonts w:ascii="Tahoma" w:hAnsi="Tahoma" w:cs="Tahoma"/>
          <w:b w:val="0"/>
          <w:bCs w:val="0"/>
        </w:rPr>
        <w:t xml:space="preserve"> </w:t>
      </w:r>
      <w:r w:rsidRPr="00B004EE">
        <w:rPr>
          <w:rFonts w:ascii="Tahoma" w:hAnsi="Tahoma" w:cs="Tahoma"/>
          <w:b w:val="0"/>
          <w:bCs w:val="0"/>
        </w:rPr>
        <w:t>des</w:t>
      </w:r>
      <w:r w:rsidR="00DB1635" w:rsidRPr="00B004EE">
        <w:rPr>
          <w:rFonts w:ascii="Tahoma" w:hAnsi="Tahoma" w:cs="Tahoma"/>
          <w:b w:val="0"/>
          <w:bCs w:val="0"/>
        </w:rPr>
        <w:t xml:space="preserve"> </w:t>
      </w:r>
      <w:r w:rsidRPr="00B004EE">
        <w:rPr>
          <w:rFonts w:ascii="Tahoma" w:hAnsi="Tahoma" w:cs="Tahoma"/>
          <w:b w:val="0"/>
          <w:bCs w:val="0"/>
        </w:rPr>
        <w:t>opérations</w:t>
      </w:r>
      <w:r w:rsidR="00DB1635" w:rsidRPr="00B004EE">
        <w:rPr>
          <w:rFonts w:ascii="Tahoma" w:hAnsi="Tahoma" w:cs="Tahoma"/>
          <w:b w:val="0"/>
          <w:bCs w:val="0"/>
        </w:rPr>
        <w:t xml:space="preserve"> </w:t>
      </w:r>
      <w:r w:rsidRPr="00B004EE">
        <w:rPr>
          <w:rFonts w:ascii="Tahoma" w:hAnsi="Tahoma" w:cs="Tahoma"/>
          <w:b w:val="0"/>
          <w:bCs w:val="0"/>
        </w:rPr>
        <w:t>de</w:t>
      </w:r>
      <w:r w:rsidR="00DB1635" w:rsidRPr="00B004EE">
        <w:rPr>
          <w:rFonts w:ascii="Tahoma" w:hAnsi="Tahoma" w:cs="Tahoma"/>
          <w:b w:val="0"/>
          <w:bCs w:val="0"/>
        </w:rPr>
        <w:t xml:space="preserve"> </w:t>
      </w:r>
      <w:r w:rsidRPr="00B004EE">
        <w:rPr>
          <w:rFonts w:ascii="Tahoma" w:hAnsi="Tahoma" w:cs="Tahoma"/>
          <w:b w:val="0"/>
          <w:bCs w:val="0"/>
        </w:rPr>
        <w:t>manipulation,</w:t>
      </w:r>
      <w:r w:rsidR="00DB1635" w:rsidRPr="00B004EE">
        <w:rPr>
          <w:rFonts w:ascii="Tahoma" w:hAnsi="Tahoma" w:cs="Tahoma"/>
          <w:b w:val="0"/>
          <w:bCs w:val="0"/>
        </w:rPr>
        <w:t xml:space="preserve"> </w:t>
      </w:r>
      <w:r w:rsidRPr="00B004EE">
        <w:rPr>
          <w:rFonts w:ascii="Tahoma" w:hAnsi="Tahoma" w:cs="Tahoma"/>
          <w:b w:val="0"/>
          <w:bCs w:val="0"/>
        </w:rPr>
        <w:t>de</w:t>
      </w:r>
      <w:r w:rsidR="00DB1635" w:rsidRPr="00B004EE">
        <w:rPr>
          <w:rFonts w:ascii="Tahoma" w:hAnsi="Tahoma" w:cs="Tahoma"/>
          <w:b w:val="0"/>
          <w:bCs w:val="0"/>
        </w:rPr>
        <w:t xml:space="preserve"> </w:t>
      </w:r>
      <w:r w:rsidRPr="00B004EE">
        <w:rPr>
          <w:rFonts w:ascii="Tahoma" w:hAnsi="Tahoma" w:cs="Tahoma"/>
          <w:b w:val="0"/>
          <w:bCs w:val="0"/>
        </w:rPr>
        <w:t>traitement,</w:t>
      </w:r>
      <w:r w:rsidR="00DB1635" w:rsidRPr="00B004EE">
        <w:rPr>
          <w:rFonts w:ascii="Tahoma" w:hAnsi="Tahoma" w:cs="Tahoma"/>
          <w:b w:val="0"/>
          <w:bCs w:val="0"/>
        </w:rPr>
        <w:t xml:space="preserve"> </w:t>
      </w:r>
      <w:r w:rsidRPr="00B004EE">
        <w:rPr>
          <w:rFonts w:ascii="Tahoma" w:hAnsi="Tahoma" w:cs="Tahoma"/>
          <w:b w:val="0"/>
          <w:bCs w:val="0"/>
        </w:rPr>
        <w:t>de</w:t>
      </w:r>
      <w:r w:rsidR="00DB1635" w:rsidRPr="00B004EE">
        <w:rPr>
          <w:rFonts w:ascii="Tahoma" w:hAnsi="Tahoma" w:cs="Tahoma"/>
          <w:b w:val="0"/>
          <w:bCs w:val="0"/>
        </w:rPr>
        <w:t xml:space="preserve"> </w:t>
      </w:r>
      <w:r w:rsidRPr="00B004EE">
        <w:rPr>
          <w:rFonts w:ascii="Tahoma" w:hAnsi="Tahoma" w:cs="Tahoma"/>
          <w:b w:val="0"/>
          <w:bCs w:val="0"/>
        </w:rPr>
        <w:t>conditionnement,</w:t>
      </w:r>
      <w:r w:rsidR="00DB1635" w:rsidRPr="00B004EE">
        <w:rPr>
          <w:rFonts w:ascii="Tahoma" w:hAnsi="Tahoma" w:cs="Tahoma"/>
          <w:b w:val="0"/>
          <w:bCs w:val="0"/>
        </w:rPr>
        <w:t xml:space="preserve"> </w:t>
      </w:r>
      <w:r w:rsidRPr="00B004EE">
        <w:rPr>
          <w:rFonts w:ascii="Tahoma" w:hAnsi="Tahoma" w:cs="Tahoma"/>
          <w:b w:val="0"/>
          <w:bCs w:val="0"/>
        </w:rPr>
        <w:t>de</w:t>
      </w:r>
      <w:r w:rsidR="00DB1635" w:rsidRPr="00B004EE">
        <w:rPr>
          <w:rFonts w:ascii="Tahoma" w:hAnsi="Tahoma" w:cs="Tahoma"/>
          <w:b w:val="0"/>
          <w:bCs w:val="0"/>
        </w:rPr>
        <w:t xml:space="preserve"> </w:t>
      </w:r>
      <w:r w:rsidRPr="00B004EE">
        <w:rPr>
          <w:rFonts w:ascii="Tahoma" w:hAnsi="Tahoma" w:cs="Tahoma"/>
          <w:b w:val="0"/>
          <w:bCs w:val="0"/>
        </w:rPr>
        <w:t>stockage,</w:t>
      </w:r>
      <w:r w:rsidR="00DB1635" w:rsidRPr="00B004EE">
        <w:rPr>
          <w:rFonts w:ascii="Tahoma" w:hAnsi="Tahoma" w:cs="Tahoma"/>
          <w:b w:val="0"/>
          <w:bCs w:val="0"/>
        </w:rPr>
        <w:t xml:space="preserve"> </w:t>
      </w:r>
      <w:r w:rsidRPr="00B004EE">
        <w:rPr>
          <w:rFonts w:ascii="Tahoma" w:hAnsi="Tahoma" w:cs="Tahoma"/>
          <w:b w:val="0"/>
          <w:bCs w:val="0"/>
        </w:rPr>
        <w:t>de</w:t>
      </w:r>
      <w:r w:rsidR="00DB1635" w:rsidRPr="00B004EE">
        <w:rPr>
          <w:rFonts w:ascii="Tahoma" w:hAnsi="Tahoma" w:cs="Tahoma"/>
          <w:b w:val="0"/>
          <w:bCs w:val="0"/>
        </w:rPr>
        <w:t xml:space="preserve"> </w:t>
      </w:r>
      <w:r w:rsidRPr="00B004EE">
        <w:rPr>
          <w:rFonts w:ascii="Tahoma" w:hAnsi="Tahoma" w:cs="Tahoma"/>
          <w:b w:val="0"/>
          <w:bCs w:val="0"/>
        </w:rPr>
        <w:t>transport</w:t>
      </w:r>
      <w:r w:rsidR="00DB1635" w:rsidRPr="00B004EE">
        <w:rPr>
          <w:rFonts w:ascii="Tahoma" w:hAnsi="Tahoma" w:cs="Tahoma"/>
          <w:b w:val="0"/>
          <w:bCs w:val="0"/>
        </w:rPr>
        <w:t xml:space="preserve"> </w:t>
      </w:r>
      <w:r w:rsidRPr="00B004EE">
        <w:rPr>
          <w:rFonts w:ascii="Tahoma" w:hAnsi="Tahoma" w:cs="Tahoma"/>
          <w:b w:val="0"/>
          <w:bCs w:val="0"/>
        </w:rPr>
        <w:t>et</w:t>
      </w:r>
      <w:r w:rsidR="00DB1635" w:rsidRPr="00B004EE">
        <w:rPr>
          <w:rFonts w:ascii="Tahoma" w:hAnsi="Tahoma" w:cs="Tahoma"/>
          <w:b w:val="0"/>
          <w:bCs w:val="0"/>
        </w:rPr>
        <w:t xml:space="preserve"> </w:t>
      </w:r>
      <w:r w:rsidRPr="00B004EE">
        <w:rPr>
          <w:rFonts w:ascii="Tahoma" w:hAnsi="Tahoma" w:cs="Tahoma"/>
          <w:b w:val="0"/>
          <w:bCs w:val="0"/>
        </w:rPr>
        <w:t>de</w:t>
      </w:r>
      <w:r w:rsidR="00DB1635" w:rsidRPr="00B004EE">
        <w:rPr>
          <w:rFonts w:ascii="Tahoma" w:hAnsi="Tahoma" w:cs="Tahoma"/>
          <w:b w:val="0"/>
          <w:bCs w:val="0"/>
        </w:rPr>
        <w:t xml:space="preserve"> </w:t>
      </w:r>
      <w:r w:rsidRPr="00B004EE">
        <w:rPr>
          <w:rFonts w:ascii="Tahoma" w:hAnsi="Tahoma" w:cs="Tahoma"/>
          <w:b w:val="0"/>
          <w:bCs w:val="0"/>
        </w:rPr>
        <w:t>mise</w:t>
      </w:r>
      <w:r w:rsidR="00DB1635" w:rsidRPr="00B004EE">
        <w:rPr>
          <w:rFonts w:ascii="Tahoma" w:hAnsi="Tahoma" w:cs="Tahoma"/>
          <w:b w:val="0"/>
          <w:bCs w:val="0"/>
        </w:rPr>
        <w:t xml:space="preserve"> </w:t>
      </w:r>
      <w:r w:rsidRPr="00B004EE">
        <w:rPr>
          <w:rFonts w:ascii="Tahoma" w:hAnsi="Tahoma" w:cs="Tahoma"/>
          <w:b w:val="0"/>
          <w:bCs w:val="0"/>
        </w:rPr>
        <w:t>en</w:t>
      </w:r>
      <w:r w:rsidR="00DB1635" w:rsidRPr="00B004EE">
        <w:rPr>
          <w:rFonts w:ascii="Tahoma" w:hAnsi="Tahoma" w:cs="Tahoma"/>
          <w:b w:val="0"/>
          <w:bCs w:val="0"/>
        </w:rPr>
        <w:t xml:space="preserve"> </w:t>
      </w:r>
      <w:r w:rsidRPr="00B004EE">
        <w:rPr>
          <w:rFonts w:ascii="Tahoma" w:hAnsi="Tahoma" w:cs="Tahoma"/>
          <w:b w:val="0"/>
          <w:bCs w:val="0"/>
        </w:rPr>
        <w:t>vente</w:t>
      </w:r>
      <w:r w:rsidR="00DB1635" w:rsidRPr="00B004EE">
        <w:rPr>
          <w:rFonts w:ascii="Tahoma" w:hAnsi="Tahoma" w:cs="Tahoma"/>
          <w:b w:val="0"/>
          <w:bCs w:val="0"/>
        </w:rPr>
        <w:t xml:space="preserve"> </w:t>
      </w:r>
      <w:r w:rsidRPr="00B004EE">
        <w:rPr>
          <w:rFonts w:ascii="Tahoma" w:hAnsi="Tahoma" w:cs="Tahoma"/>
          <w:b w:val="0"/>
          <w:bCs w:val="0"/>
        </w:rPr>
        <w:t>des</w:t>
      </w:r>
      <w:r w:rsidR="00DB1635" w:rsidRPr="00B004EE">
        <w:rPr>
          <w:rFonts w:ascii="Tahoma" w:hAnsi="Tahoma" w:cs="Tahoma"/>
          <w:b w:val="0"/>
          <w:bCs w:val="0"/>
        </w:rPr>
        <w:t xml:space="preserve"> </w:t>
      </w:r>
      <w:r w:rsidRPr="00B004EE">
        <w:rPr>
          <w:rFonts w:ascii="Tahoma" w:hAnsi="Tahoma" w:cs="Tahoma"/>
          <w:b w:val="0"/>
          <w:bCs w:val="0"/>
        </w:rPr>
        <w:t>produits</w:t>
      </w:r>
      <w:r w:rsidR="00DB1635" w:rsidRPr="00B004EE">
        <w:rPr>
          <w:rFonts w:ascii="Tahoma" w:hAnsi="Tahoma" w:cs="Tahoma"/>
          <w:b w:val="0"/>
          <w:bCs w:val="0"/>
        </w:rPr>
        <w:t xml:space="preserve"> </w:t>
      </w:r>
      <w:r w:rsidRPr="00B004EE">
        <w:rPr>
          <w:rFonts w:ascii="Tahoma" w:hAnsi="Tahoma" w:cs="Tahoma"/>
          <w:b w:val="0"/>
          <w:bCs w:val="0"/>
        </w:rPr>
        <w:t>de</w:t>
      </w:r>
      <w:r w:rsidR="00DB1635" w:rsidRPr="00B004EE">
        <w:rPr>
          <w:rFonts w:ascii="Tahoma" w:hAnsi="Tahoma" w:cs="Tahoma"/>
          <w:b w:val="0"/>
          <w:bCs w:val="0"/>
        </w:rPr>
        <w:t xml:space="preserve"> </w:t>
      </w:r>
      <w:r w:rsidRPr="00B004EE">
        <w:rPr>
          <w:rFonts w:ascii="Tahoma" w:hAnsi="Tahoma" w:cs="Tahoma"/>
          <w:b w:val="0"/>
          <w:bCs w:val="0"/>
        </w:rPr>
        <w:t>la</w:t>
      </w:r>
      <w:r w:rsidR="00DB1635" w:rsidRPr="00B004EE">
        <w:rPr>
          <w:rFonts w:ascii="Tahoma" w:hAnsi="Tahoma" w:cs="Tahoma"/>
          <w:b w:val="0"/>
          <w:bCs w:val="0"/>
        </w:rPr>
        <w:t xml:space="preserve"> </w:t>
      </w:r>
      <w:r w:rsidR="003A697D" w:rsidRPr="00B004EE">
        <w:rPr>
          <w:rFonts w:ascii="Tahoma" w:hAnsi="Tahoma" w:cs="Tahoma"/>
          <w:b w:val="0"/>
          <w:bCs w:val="0"/>
        </w:rPr>
        <w:t>pêche ;</w:t>
      </w:r>
    </w:p>
    <w:p w14:paraId="61CD0A79" w14:textId="77777777" w:rsidR="00C73072" w:rsidRPr="00B004EE" w:rsidRDefault="002F24E1" w:rsidP="00420DDA">
      <w:pPr>
        <w:pStyle w:val="Lgende"/>
        <w:numPr>
          <w:ilvl w:val="0"/>
          <w:numId w:val="147"/>
        </w:numPr>
        <w:jc w:val="both"/>
        <w:rPr>
          <w:rFonts w:ascii="Tahoma" w:hAnsi="Tahoma" w:cs="Tahoma"/>
          <w:b w:val="0"/>
          <w:bCs w:val="0"/>
        </w:rPr>
      </w:pPr>
      <w:r w:rsidRPr="00B004EE">
        <w:rPr>
          <w:rFonts w:ascii="Tahoma" w:hAnsi="Tahoma" w:cs="Tahoma"/>
          <w:b w:val="0"/>
          <w:bCs w:val="0"/>
        </w:rPr>
        <w:t>La</w:t>
      </w:r>
      <w:r w:rsidR="00DB1635" w:rsidRPr="00B004EE">
        <w:rPr>
          <w:rFonts w:ascii="Tahoma" w:hAnsi="Tahoma" w:cs="Tahoma"/>
          <w:b w:val="0"/>
          <w:bCs w:val="0"/>
        </w:rPr>
        <w:t xml:space="preserve"> </w:t>
      </w:r>
      <w:r w:rsidRPr="00B004EE">
        <w:rPr>
          <w:rFonts w:ascii="Tahoma" w:hAnsi="Tahoma" w:cs="Tahoma"/>
          <w:b w:val="0"/>
          <w:bCs w:val="0"/>
        </w:rPr>
        <w:t>salubrité</w:t>
      </w:r>
      <w:r w:rsidR="00DB1635" w:rsidRPr="00B004EE">
        <w:rPr>
          <w:rFonts w:ascii="Tahoma" w:hAnsi="Tahoma" w:cs="Tahoma"/>
          <w:b w:val="0"/>
          <w:bCs w:val="0"/>
        </w:rPr>
        <w:t xml:space="preserve"> </w:t>
      </w:r>
      <w:r w:rsidRPr="00B004EE">
        <w:rPr>
          <w:rFonts w:ascii="Tahoma" w:hAnsi="Tahoma" w:cs="Tahoma"/>
          <w:b w:val="0"/>
          <w:bCs w:val="0"/>
        </w:rPr>
        <w:t>des</w:t>
      </w:r>
      <w:r w:rsidR="00DB1635" w:rsidRPr="00B004EE">
        <w:rPr>
          <w:rFonts w:ascii="Tahoma" w:hAnsi="Tahoma" w:cs="Tahoma"/>
          <w:b w:val="0"/>
          <w:bCs w:val="0"/>
        </w:rPr>
        <w:t xml:space="preserve"> </w:t>
      </w:r>
      <w:r w:rsidRPr="00B004EE">
        <w:rPr>
          <w:rFonts w:ascii="Tahoma" w:hAnsi="Tahoma" w:cs="Tahoma"/>
          <w:b w:val="0"/>
          <w:bCs w:val="0"/>
        </w:rPr>
        <w:t>ingrédients</w:t>
      </w:r>
      <w:r w:rsidR="00DB1635" w:rsidRPr="00B004EE">
        <w:rPr>
          <w:rFonts w:ascii="Tahoma" w:hAnsi="Tahoma" w:cs="Tahoma"/>
          <w:b w:val="0"/>
          <w:bCs w:val="0"/>
        </w:rPr>
        <w:t xml:space="preserve"> </w:t>
      </w:r>
      <w:r w:rsidRPr="00B004EE">
        <w:rPr>
          <w:rFonts w:ascii="Tahoma" w:hAnsi="Tahoma" w:cs="Tahoma"/>
          <w:b w:val="0"/>
          <w:bCs w:val="0"/>
        </w:rPr>
        <w:t>utilisés</w:t>
      </w:r>
      <w:r w:rsidR="00DB1635" w:rsidRPr="00B004EE">
        <w:rPr>
          <w:rFonts w:ascii="Tahoma" w:hAnsi="Tahoma" w:cs="Tahoma"/>
          <w:b w:val="0"/>
          <w:bCs w:val="0"/>
        </w:rPr>
        <w:t xml:space="preserve"> </w:t>
      </w:r>
      <w:r w:rsidRPr="00B004EE">
        <w:rPr>
          <w:rFonts w:ascii="Tahoma" w:hAnsi="Tahoma" w:cs="Tahoma"/>
          <w:b w:val="0"/>
          <w:bCs w:val="0"/>
        </w:rPr>
        <w:t>dans</w:t>
      </w:r>
      <w:r w:rsidR="00DB1635" w:rsidRPr="00B004EE">
        <w:rPr>
          <w:rFonts w:ascii="Tahoma" w:hAnsi="Tahoma" w:cs="Tahoma"/>
          <w:b w:val="0"/>
          <w:bCs w:val="0"/>
        </w:rPr>
        <w:t xml:space="preserve"> </w:t>
      </w:r>
      <w:r w:rsidRPr="00B004EE">
        <w:rPr>
          <w:rFonts w:ascii="Tahoma" w:hAnsi="Tahoma" w:cs="Tahoma"/>
          <w:b w:val="0"/>
          <w:bCs w:val="0"/>
        </w:rPr>
        <w:t>les</w:t>
      </w:r>
      <w:r w:rsidR="00DB1635" w:rsidRPr="00B004EE">
        <w:rPr>
          <w:rFonts w:ascii="Tahoma" w:hAnsi="Tahoma" w:cs="Tahoma"/>
          <w:b w:val="0"/>
          <w:bCs w:val="0"/>
        </w:rPr>
        <w:t xml:space="preserve"> </w:t>
      </w:r>
      <w:r w:rsidRPr="00B004EE">
        <w:rPr>
          <w:rFonts w:ascii="Tahoma" w:hAnsi="Tahoma" w:cs="Tahoma"/>
          <w:b w:val="0"/>
          <w:bCs w:val="0"/>
        </w:rPr>
        <w:t>procédés</w:t>
      </w:r>
      <w:r w:rsidR="00DB1635" w:rsidRPr="00B004EE">
        <w:rPr>
          <w:rFonts w:ascii="Tahoma" w:hAnsi="Tahoma" w:cs="Tahoma"/>
          <w:b w:val="0"/>
          <w:bCs w:val="0"/>
        </w:rPr>
        <w:t xml:space="preserve"> </w:t>
      </w:r>
      <w:r w:rsidRPr="00B004EE">
        <w:rPr>
          <w:rFonts w:ascii="Tahoma" w:hAnsi="Tahoma" w:cs="Tahoma"/>
          <w:b w:val="0"/>
          <w:bCs w:val="0"/>
        </w:rPr>
        <w:t>de</w:t>
      </w:r>
      <w:r w:rsidR="00DB1635" w:rsidRPr="00B004EE">
        <w:rPr>
          <w:rFonts w:ascii="Tahoma" w:hAnsi="Tahoma" w:cs="Tahoma"/>
          <w:b w:val="0"/>
          <w:bCs w:val="0"/>
        </w:rPr>
        <w:t xml:space="preserve"> </w:t>
      </w:r>
      <w:r w:rsidRPr="00B004EE">
        <w:rPr>
          <w:rFonts w:ascii="Tahoma" w:hAnsi="Tahoma" w:cs="Tahoma"/>
          <w:b w:val="0"/>
          <w:bCs w:val="0"/>
        </w:rPr>
        <w:t>fabrication</w:t>
      </w:r>
      <w:r w:rsidR="00DB1635" w:rsidRPr="00B004EE">
        <w:rPr>
          <w:rFonts w:ascii="Tahoma" w:hAnsi="Tahoma" w:cs="Tahoma"/>
          <w:b w:val="0"/>
          <w:bCs w:val="0"/>
        </w:rPr>
        <w:t xml:space="preserve"> </w:t>
      </w:r>
      <w:r w:rsidRPr="00B004EE">
        <w:rPr>
          <w:rFonts w:ascii="Tahoma" w:hAnsi="Tahoma" w:cs="Tahoma"/>
          <w:b w:val="0"/>
          <w:bCs w:val="0"/>
        </w:rPr>
        <w:t>et,</w:t>
      </w:r>
      <w:r w:rsidR="00DB1635" w:rsidRPr="00B004EE">
        <w:rPr>
          <w:rFonts w:ascii="Tahoma" w:hAnsi="Tahoma" w:cs="Tahoma"/>
          <w:b w:val="0"/>
          <w:bCs w:val="0"/>
        </w:rPr>
        <w:t xml:space="preserve"> </w:t>
      </w:r>
      <w:r w:rsidRPr="00B004EE">
        <w:rPr>
          <w:rFonts w:ascii="Tahoma" w:hAnsi="Tahoma" w:cs="Tahoma"/>
          <w:b w:val="0"/>
          <w:bCs w:val="0"/>
        </w:rPr>
        <w:t>notamment,</w:t>
      </w:r>
      <w:r w:rsidR="00DB1635" w:rsidRPr="00B004EE">
        <w:rPr>
          <w:rFonts w:ascii="Tahoma" w:hAnsi="Tahoma" w:cs="Tahoma"/>
          <w:b w:val="0"/>
          <w:bCs w:val="0"/>
        </w:rPr>
        <w:t xml:space="preserve"> </w:t>
      </w:r>
      <w:r w:rsidRPr="00B004EE">
        <w:rPr>
          <w:rFonts w:ascii="Tahoma" w:hAnsi="Tahoma" w:cs="Tahoma"/>
          <w:b w:val="0"/>
          <w:bCs w:val="0"/>
        </w:rPr>
        <w:t>les</w:t>
      </w:r>
      <w:r w:rsidR="00DB1635" w:rsidRPr="00B004EE">
        <w:rPr>
          <w:rFonts w:ascii="Tahoma" w:hAnsi="Tahoma" w:cs="Tahoma"/>
          <w:b w:val="0"/>
          <w:bCs w:val="0"/>
        </w:rPr>
        <w:t xml:space="preserve"> </w:t>
      </w:r>
      <w:r w:rsidRPr="00B004EE">
        <w:rPr>
          <w:rFonts w:ascii="Tahoma" w:hAnsi="Tahoma" w:cs="Tahoma"/>
          <w:b w:val="0"/>
          <w:bCs w:val="0"/>
        </w:rPr>
        <w:t>condiments</w:t>
      </w:r>
      <w:r w:rsidR="00DB1635" w:rsidRPr="00B004EE">
        <w:rPr>
          <w:rFonts w:ascii="Tahoma" w:hAnsi="Tahoma" w:cs="Tahoma"/>
          <w:b w:val="0"/>
          <w:bCs w:val="0"/>
        </w:rPr>
        <w:t xml:space="preserve"> </w:t>
      </w:r>
      <w:r w:rsidRPr="00B004EE">
        <w:rPr>
          <w:rFonts w:ascii="Tahoma" w:hAnsi="Tahoma" w:cs="Tahoma"/>
          <w:b w:val="0"/>
          <w:bCs w:val="0"/>
        </w:rPr>
        <w:t>et</w:t>
      </w:r>
      <w:r w:rsidR="00DB1635" w:rsidRPr="00B004EE">
        <w:rPr>
          <w:rFonts w:ascii="Tahoma" w:hAnsi="Tahoma" w:cs="Tahoma"/>
          <w:b w:val="0"/>
          <w:bCs w:val="0"/>
        </w:rPr>
        <w:t xml:space="preserve"> </w:t>
      </w:r>
      <w:r w:rsidR="003A697D" w:rsidRPr="00B004EE">
        <w:rPr>
          <w:rFonts w:ascii="Tahoma" w:hAnsi="Tahoma" w:cs="Tahoma"/>
          <w:b w:val="0"/>
          <w:bCs w:val="0"/>
        </w:rPr>
        <w:t>colorants ;</w:t>
      </w:r>
    </w:p>
    <w:p w14:paraId="4D48E248" w14:textId="3023A065" w:rsidR="002F24E1" w:rsidRPr="00B004EE" w:rsidRDefault="002F24E1" w:rsidP="00420DDA">
      <w:pPr>
        <w:pStyle w:val="Lgende"/>
        <w:numPr>
          <w:ilvl w:val="0"/>
          <w:numId w:val="147"/>
        </w:numPr>
        <w:jc w:val="both"/>
        <w:rPr>
          <w:rFonts w:ascii="Tahoma" w:hAnsi="Tahoma" w:cs="Tahoma"/>
          <w:b w:val="0"/>
          <w:bCs w:val="0"/>
        </w:rPr>
      </w:pPr>
      <w:r w:rsidRPr="00B004EE">
        <w:rPr>
          <w:rFonts w:ascii="Tahoma" w:hAnsi="Tahoma" w:cs="Tahoma"/>
          <w:b w:val="0"/>
          <w:bCs w:val="0"/>
        </w:rPr>
        <w:t>Les</w:t>
      </w:r>
      <w:r w:rsidR="00DB1635" w:rsidRPr="00B004EE">
        <w:rPr>
          <w:rFonts w:ascii="Tahoma" w:hAnsi="Tahoma" w:cs="Tahoma"/>
          <w:b w:val="0"/>
          <w:bCs w:val="0"/>
        </w:rPr>
        <w:t xml:space="preserve"> </w:t>
      </w:r>
      <w:r w:rsidRPr="00B004EE">
        <w:rPr>
          <w:rFonts w:ascii="Tahoma" w:hAnsi="Tahoma" w:cs="Tahoma"/>
          <w:b w:val="0"/>
          <w:bCs w:val="0"/>
        </w:rPr>
        <w:t>normes</w:t>
      </w:r>
      <w:r w:rsidR="00DB1635" w:rsidRPr="00B004EE">
        <w:rPr>
          <w:rFonts w:ascii="Tahoma" w:hAnsi="Tahoma" w:cs="Tahoma"/>
          <w:b w:val="0"/>
          <w:bCs w:val="0"/>
        </w:rPr>
        <w:t xml:space="preserve"> </w:t>
      </w:r>
      <w:r w:rsidRPr="00B004EE">
        <w:rPr>
          <w:rFonts w:ascii="Tahoma" w:hAnsi="Tahoma" w:cs="Tahoma"/>
          <w:b w:val="0"/>
          <w:bCs w:val="0"/>
        </w:rPr>
        <w:t>de</w:t>
      </w:r>
      <w:r w:rsidR="00DB1635" w:rsidRPr="00B004EE">
        <w:rPr>
          <w:rFonts w:ascii="Tahoma" w:hAnsi="Tahoma" w:cs="Tahoma"/>
          <w:b w:val="0"/>
          <w:bCs w:val="0"/>
        </w:rPr>
        <w:t xml:space="preserve"> </w:t>
      </w:r>
      <w:r w:rsidRPr="00B004EE">
        <w:rPr>
          <w:rFonts w:ascii="Tahoma" w:hAnsi="Tahoma" w:cs="Tahoma"/>
          <w:b w:val="0"/>
          <w:bCs w:val="0"/>
        </w:rPr>
        <w:t>qu</w:t>
      </w:r>
      <w:r w:rsidR="003A697D" w:rsidRPr="00B004EE">
        <w:rPr>
          <w:rFonts w:ascii="Tahoma" w:hAnsi="Tahoma" w:cs="Tahoma"/>
          <w:b w:val="0"/>
          <w:bCs w:val="0"/>
        </w:rPr>
        <w:t>al</w:t>
      </w:r>
      <w:r w:rsidRPr="00B004EE">
        <w:rPr>
          <w:rFonts w:ascii="Tahoma" w:hAnsi="Tahoma" w:cs="Tahoma"/>
          <w:b w:val="0"/>
          <w:bCs w:val="0"/>
        </w:rPr>
        <w:t>ité</w:t>
      </w:r>
      <w:r w:rsidR="00DB1635" w:rsidRPr="00B004EE">
        <w:rPr>
          <w:rFonts w:ascii="Tahoma" w:hAnsi="Tahoma" w:cs="Tahoma"/>
          <w:b w:val="0"/>
          <w:bCs w:val="0"/>
        </w:rPr>
        <w:t xml:space="preserve"> </w:t>
      </w:r>
      <w:r w:rsidRPr="00B004EE">
        <w:rPr>
          <w:rFonts w:ascii="Tahoma" w:hAnsi="Tahoma" w:cs="Tahoma"/>
          <w:b w:val="0"/>
          <w:bCs w:val="0"/>
        </w:rPr>
        <w:t>et</w:t>
      </w:r>
      <w:r w:rsidR="00DB1635" w:rsidRPr="00B004EE">
        <w:rPr>
          <w:rFonts w:ascii="Tahoma" w:hAnsi="Tahoma" w:cs="Tahoma"/>
          <w:b w:val="0"/>
          <w:bCs w:val="0"/>
        </w:rPr>
        <w:t xml:space="preserve"> </w:t>
      </w:r>
      <w:r w:rsidRPr="00B004EE">
        <w:rPr>
          <w:rFonts w:ascii="Tahoma" w:hAnsi="Tahoma" w:cs="Tahoma"/>
          <w:b w:val="0"/>
          <w:bCs w:val="0"/>
        </w:rPr>
        <w:t>d'hygiène</w:t>
      </w:r>
      <w:r w:rsidR="00DB1635" w:rsidRPr="00B004EE">
        <w:rPr>
          <w:rFonts w:ascii="Tahoma" w:hAnsi="Tahoma" w:cs="Tahoma"/>
          <w:b w:val="0"/>
          <w:bCs w:val="0"/>
        </w:rPr>
        <w:t xml:space="preserve"> </w:t>
      </w:r>
      <w:r w:rsidRPr="00B004EE">
        <w:rPr>
          <w:rFonts w:ascii="Tahoma" w:hAnsi="Tahoma" w:cs="Tahoma"/>
          <w:b w:val="0"/>
          <w:bCs w:val="0"/>
        </w:rPr>
        <w:t>des</w:t>
      </w:r>
      <w:r w:rsidR="00DB1635" w:rsidRPr="00B004EE">
        <w:rPr>
          <w:rFonts w:ascii="Tahoma" w:hAnsi="Tahoma" w:cs="Tahoma"/>
          <w:b w:val="0"/>
          <w:bCs w:val="0"/>
        </w:rPr>
        <w:t xml:space="preserve"> </w:t>
      </w:r>
      <w:r w:rsidRPr="00B004EE">
        <w:rPr>
          <w:rFonts w:ascii="Tahoma" w:hAnsi="Tahoma" w:cs="Tahoma"/>
          <w:b w:val="0"/>
          <w:bCs w:val="0"/>
        </w:rPr>
        <w:t>produits</w:t>
      </w:r>
      <w:r w:rsidR="00DB1635" w:rsidRPr="00B004EE">
        <w:rPr>
          <w:rFonts w:ascii="Tahoma" w:hAnsi="Tahoma" w:cs="Tahoma"/>
          <w:b w:val="0"/>
          <w:bCs w:val="0"/>
        </w:rPr>
        <w:t xml:space="preserve"> </w:t>
      </w:r>
      <w:r w:rsidRPr="00B004EE">
        <w:rPr>
          <w:rFonts w:ascii="Tahoma" w:hAnsi="Tahoma" w:cs="Tahoma"/>
          <w:b w:val="0"/>
          <w:bCs w:val="0"/>
        </w:rPr>
        <w:t>finis,</w:t>
      </w:r>
      <w:r w:rsidR="00DB1635" w:rsidRPr="00B004EE">
        <w:rPr>
          <w:rFonts w:ascii="Tahoma" w:hAnsi="Tahoma" w:cs="Tahoma"/>
          <w:b w:val="0"/>
          <w:bCs w:val="0"/>
        </w:rPr>
        <w:t xml:space="preserve"> </w:t>
      </w:r>
      <w:r w:rsidRPr="00B004EE">
        <w:rPr>
          <w:rFonts w:ascii="Tahoma" w:hAnsi="Tahoma" w:cs="Tahoma"/>
          <w:b w:val="0"/>
          <w:bCs w:val="0"/>
        </w:rPr>
        <w:t>des</w:t>
      </w:r>
      <w:r w:rsidR="00DB1635" w:rsidRPr="00B004EE">
        <w:rPr>
          <w:rFonts w:ascii="Tahoma" w:hAnsi="Tahoma" w:cs="Tahoma"/>
          <w:b w:val="0"/>
          <w:bCs w:val="0"/>
        </w:rPr>
        <w:t xml:space="preserve"> </w:t>
      </w:r>
      <w:r w:rsidRPr="00B004EE">
        <w:rPr>
          <w:rFonts w:ascii="Tahoma" w:hAnsi="Tahoma" w:cs="Tahoma"/>
          <w:b w:val="0"/>
          <w:bCs w:val="0"/>
        </w:rPr>
        <w:t>sous-produits</w:t>
      </w:r>
      <w:r w:rsidR="00DB1635" w:rsidRPr="00B004EE">
        <w:rPr>
          <w:rFonts w:ascii="Tahoma" w:hAnsi="Tahoma" w:cs="Tahoma"/>
          <w:b w:val="0"/>
          <w:bCs w:val="0"/>
        </w:rPr>
        <w:t xml:space="preserve"> </w:t>
      </w:r>
      <w:r w:rsidRPr="00B004EE">
        <w:rPr>
          <w:rFonts w:ascii="Tahoma" w:hAnsi="Tahoma" w:cs="Tahoma"/>
          <w:b w:val="0"/>
          <w:bCs w:val="0"/>
        </w:rPr>
        <w:t>ou</w:t>
      </w:r>
      <w:r w:rsidR="00DB1635" w:rsidRPr="00B004EE">
        <w:rPr>
          <w:rFonts w:ascii="Tahoma" w:hAnsi="Tahoma" w:cs="Tahoma"/>
          <w:b w:val="0"/>
          <w:bCs w:val="0"/>
        </w:rPr>
        <w:t xml:space="preserve"> </w:t>
      </w:r>
      <w:r w:rsidRPr="00B004EE">
        <w:rPr>
          <w:rFonts w:ascii="Tahoma" w:hAnsi="Tahoma" w:cs="Tahoma"/>
          <w:b w:val="0"/>
          <w:bCs w:val="0"/>
        </w:rPr>
        <w:t>des</w:t>
      </w:r>
      <w:r w:rsidR="00DB1635" w:rsidRPr="00B004EE">
        <w:rPr>
          <w:rFonts w:ascii="Tahoma" w:hAnsi="Tahoma" w:cs="Tahoma"/>
          <w:b w:val="0"/>
          <w:bCs w:val="0"/>
        </w:rPr>
        <w:t xml:space="preserve"> </w:t>
      </w:r>
      <w:r w:rsidRPr="00B004EE">
        <w:rPr>
          <w:rFonts w:ascii="Tahoma" w:hAnsi="Tahoma" w:cs="Tahoma"/>
          <w:b w:val="0"/>
          <w:bCs w:val="0"/>
        </w:rPr>
        <w:t>produits</w:t>
      </w:r>
      <w:r w:rsidR="00DB1635" w:rsidRPr="00B004EE">
        <w:rPr>
          <w:rFonts w:ascii="Tahoma" w:hAnsi="Tahoma" w:cs="Tahoma"/>
          <w:b w:val="0"/>
          <w:bCs w:val="0"/>
        </w:rPr>
        <w:t xml:space="preserve"> </w:t>
      </w:r>
      <w:r w:rsidRPr="00B004EE">
        <w:rPr>
          <w:rFonts w:ascii="Tahoma" w:hAnsi="Tahoma" w:cs="Tahoma"/>
          <w:b w:val="0"/>
          <w:bCs w:val="0"/>
        </w:rPr>
        <w:t>frais.</w:t>
      </w:r>
    </w:p>
    <w:p w14:paraId="001DC292" w14:textId="77777777" w:rsidR="002F24E1" w:rsidRPr="00B004EE" w:rsidRDefault="002F24E1" w:rsidP="00B004EE">
      <w:pPr>
        <w:pStyle w:val="Lgende"/>
        <w:jc w:val="both"/>
        <w:rPr>
          <w:rFonts w:ascii="Tahoma" w:hAnsi="Tahoma" w:cs="Tahoma"/>
          <w:b w:val="0"/>
          <w:bCs w:val="0"/>
        </w:rPr>
      </w:pPr>
    </w:p>
    <w:p w14:paraId="10BE096C" w14:textId="5A9794F7" w:rsidR="002F24E1" w:rsidRPr="00B004EE" w:rsidRDefault="00561F81" w:rsidP="00B004EE">
      <w:pPr>
        <w:pStyle w:val="Lgende"/>
        <w:jc w:val="both"/>
        <w:rPr>
          <w:rFonts w:ascii="Tahoma" w:hAnsi="Tahoma" w:cs="Tahoma"/>
          <w:b w:val="0"/>
          <w:bCs w:val="0"/>
        </w:rPr>
      </w:pPr>
      <w:r w:rsidRPr="00B004EE">
        <w:rPr>
          <w:rFonts w:ascii="Tahoma" w:hAnsi="Tahoma" w:cs="Tahoma"/>
          <w:b w:val="0"/>
          <w:bCs w:val="0"/>
        </w:rPr>
        <w:t xml:space="preserve">Article </w:t>
      </w:r>
      <w:r w:rsidR="002F24E1" w:rsidRPr="00B004EE">
        <w:rPr>
          <w:rFonts w:ascii="Tahoma" w:hAnsi="Tahoma" w:cs="Tahoma"/>
          <w:b w:val="0"/>
          <w:bCs w:val="0"/>
        </w:rPr>
        <w:t>2</w:t>
      </w:r>
      <w:r w:rsidR="00DB1635" w:rsidRPr="00B004EE">
        <w:rPr>
          <w:rFonts w:ascii="Tahoma" w:hAnsi="Tahoma" w:cs="Tahoma"/>
          <w:b w:val="0"/>
          <w:bCs w:val="0"/>
        </w:rPr>
        <w:t xml:space="preserve"> </w:t>
      </w:r>
      <w:r w:rsidR="002F24E1" w:rsidRPr="00B004EE">
        <w:rPr>
          <w:rFonts w:ascii="Tahoma" w:hAnsi="Tahoma" w:cs="Tahoma"/>
          <w:b w:val="0"/>
          <w:bCs w:val="0"/>
        </w:rPr>
        <w:t>:</w:t>
      </w:r>
      <w:r w:rsidR="00DB1635" w:rsidRPr="00B004EE">
        <w:rPr>
          <w:rFonts w:ascii="Tahoma" w:hAnsi="Tahoma" w:cs="Tahoma"/>
          <w:b w:val="0"/>
          <w:bCs w:val="0"/>
        </w:rPr>
        <w:t xml:space="preserve"> </w:t>
      </w:r>
      <w:r w:rsidR="002F24E1" w:rsidRPr="00B004EE">
        <w:rPr>
          <w:rFonts w:ascii="Tahoma" w:hAnsi="Tahoma" w:cs="Tahoma"/>
          <w:b w:val="0"/>
          <w:bCs w:val="0"/>
        </w:rPr>
        <w:t>Les</w:t>
      </w:r>
      <w:r w:rsidR="00DB1635" w:rsidRPr="00B004EE">
        <w:rPr>
          <w:rFonts w:ascii="Tahoma" w:hAnsi="Tahoma" w:cs="Tahoma"/>
          <w:b w:val="0"/>
          <w:bCs w:val="0"/>
        </w:rPr>
        <w:t xml:space="preserve"> </w:t>
      </w:r>
      <w:r w:rsidR="002F24E1" w:rsidRPr="00B004EE">
        <w:rPr>
          <w:rFonts w:ascii="Tahoma" w:hAnsi="Tahoma" w:cs="Tahoma"/>
          <w:b w:val="0"/>
          <w:bCs w:val="0"/>
        </w:rPr>
        <w:t>fabricants,</w:t>
      </w:r>
      <w:r w:rsidR="00DB1635" w:rsidRPr="00B004EE">
        <w:rPr>
          <w:rFonts w:ascii="Tahoma" w:hAnsi="Tahoma" w:cs="Tahoma"/>
          <w:b w:val="0"/>
          <w:bCs w:val="0"/>
        </w:rPr>
        <w:t xml:space="preserve"> </w:t>
      </w:r>
      <w:r w:rsidR="002F24E1" w:rsidRPr="00B004EE">
        <w:rPr>
          <w:rFonts w:ascii="Tahoma" w:hAnsi="Tahoma" w:cs="Tahoma"/>
          <w:b w:val="0"/>
          <w:bCs w:val="0"/>
        </w:rPr>
        <w:t>distributeurs</w:t>
      </w:r>
      <w:r w:rsidR="00DB1635" w:rsidRPr="00B004EE">
        <w:rPr>
          <w:rFonts w:ascii="Tahoma" w:hAnsi="Tahoma" w:cs="Tahoma"/>
          <w:b w:val="0"/>
          <w:bCs w:val="0"/>
        </w:rPr>
        <w:t xml:space="preserve"> </w:t>
      </w:r>
      <w:r w:rsidR="002F24E1" w:rsidRPr="00B004EE">
        <w:rPr>
          <w:rFonts w:ascii="Tahoma" w:hAnsi="Tahoma" w:cs="Tahoma"/>
          <w:b w:val="0"/>
          <w:bCs w:val="0"/>
        </w:rPr>
        <w:t>et</w:t>
      </w:r>
      <w:r w:rsidR="00DB1635" w:rsidRPr="00B004EE">
        <w:rPr>
          <w:rFonts w:ascii="Tahoma" w:hAnsi="Tahoma" w:cs="Tahoma"/>
          <w:b w:val="0"/>
          <w:bCs w:val="0"/>
        </w:rPr>
        <w:t xml:space="preserve"> </w:t>
      </w:r>
      <w:r w:rsidR="002F24E1" w:rsidRPr="00B004EE">
        <w:rPr>
          <w:rFonts w:ascii="Tahoma" w:hAnsi="Tahoma" w:cs="Tahoma"/>
          <w:b w:val="0"/>
          <w:bCs w:val="0"/>
        </w:rPr>
        <w:t>vendeurs</w:t>
      </w:r>
      <w:r w:rsidR="00DB1635" w:rsidRPr="00B004EE">
        <w:rPr>
          <w:rFonts w:ascii="Tahoma" w:hAnsi="Tahoma" w:cs="Tahoma"/>
          <w:b w:val="0"/>
          <w:bCs w:val="0"/>
        </w:rPr>
        <w:t xml:space="preserve"> </w:t>
      </w:r>
      <w:r w:rsidR="002F24E1" w:rsidRPr="00B004EE">
        <w:rPr>
          <w:rFonts w:ascii="Tahoma" w:hAnsi="Tahoma" w:cs="Tahoma"/>
          <w:b w:val="0"/>
          <w:bCs w:val="0"/>
        </w:rPr>
        <w:t>des</w:t>
      </w:r>
      <w:r w:rsidR="00DB1635" w:rsidRPr="00B004EE">
        <w:rPr>
          <w:rFonts w:ascii="Tahoma" w:hAnsi="Tahoma" w:cs="Tahoma"/>
          <w:b w:val="0"/>
          <w:bCs w:val="0"/>
        </w:rPr>
        <w:t xml:space="preserve"> </w:t>
      </w:r>
      <w:r w:rsidR="002F24E1" w:rsidRPr="00B004EE">
        <w:rPr>
          <w:rFonts w:ascii="Tahoma" w:hAnsi="Tahoma" w:cs="Tahoma"/>
          <w:b w:val="0"/>
          <w:bCs w:val="0"/>
        </w:rPr>
        <w:t>produits</w:t>
      </w:r>
      <w:r w:rsidR="00DB1635" w:rsidRPr="00B004EE">
        <w:rPr>
          <w:rFonts w:ascii="Tahoma" w:hAnsi="Tahoma" w:cs="Tahoma"/>
          <w:b w:val="0"/>
          <w:bCs w:val="0"/>
        </w:rPr>
        <w:t xml:space="preserve"> </w:t>
      </w:r>
      <w:r w:rsidR="002F24E1" w:rsidRPr="00B004EE">
        <w:rPr>
          <w:rFonts w:ascii="Tahoma" w:hAnsi="Tahoma" w:cs="Tahoma"/>
          <w:b w:val="0"/>
          <w:bCs w:val="0"/>
        </w:rPr>
        <w:t>de</w:t>
      </w:r>
      <w:r w:rsidR="00DB1635" w:rsidRPr="00B004EE">
        <w:rPr>
          <w:rFonts w:ascii="Tahoma" w:hAnsi="Tahoma" w:cs="Tahoma"/>
          <w:b w:val="0"/>
          <w:bCs w:val="0"/>
        </w:rPr>
        <w:t xml:space="preserve"> </w:t>
      </w:r>
      <w:r w:rsidR="002F24E1" w:rsidRPr="00B004EE">
        <w:rPr>
          <w:rFonts w:ascii="Tahoma" w:hAnsi="Tahoma" w:cs="Tahoma"/>
          <w:b w:val="0"/>
          <w:bCs w:val="0"/>
        </w:rPr>
        <w:t>la</w:t>
      </w:r>
      <w:r w:rsidR="00DB1635" w:rsidRPr="00B004EE">
        <w:rPr>
          <w:rFonts w:ascii="Tahoma" w:hAnsi="Tahoma" w:cs="Tahoma"/>
          <w:b w:val="0"/>
          <w:bCs w:val="0"/>
        </w:rPr>
        <w:t xml:space="preserve"> </w:t>
      </w:r>
      <w:r w:rsidR="002F24E1" w:rsidRPr="00B004EE">
        <w:rPr>
          <w:rFonts w:ascii="Tahoma" w:hAnsi="Tahoma" w:cs="Tahoma"/>
          <w:b w:val="0"/>
          <w:bCs w:val="0"/>
        </w:rPr>
        <w:t>mer</w:t>
      </w:r>
      <w:r w:rsidR="00DB1635" w:rsidRPr="00B004EE">
        <w:rPr>
          <w:rFonts w:ascii="Tahoma" w:hAnsi="Tahoma" w:cs="Tahoma"/>
          <w:b w:val="0"/>
          <w:bCs w:val="0"/>
        </w:rPr>
        <w:t xml:space="preserve"> </w:t>
      </w:r>
      <w:r w:rsidR="002F24E1" w:rsidRPr="00B004EE">
        <w:rPr>
          <w:rFonts w:ascii="Tahoma" w:hAnsi="Tahoma" w:cs="Tahoma"/>
          <w:b w:val="0"/>
          <w:bCs w:val="0"/>
        </w:rPr>
        <w:t>doivent</w:t>
      </w:r>
      <w:r w:rsidR="00DB1635" w:rsidRPr="00B004EE">
        <w:rPr>
          <w:rFonts w:ascii="Tahoma" w:hAnsi="Tahoma" w:cs="Tahoma"/>
          <w:b w:val="0"/>
          <w:bCs w:val="0"/>
        </w:rPr>
        <w:t xml:space="preserve"> </w:t>
      </w:r>
      <w:r w:rsidR="002F24E1" w:rsidRPr="00B004EE">
        <w:rPr>
          <w:rFonts w:ascii="Tahoma" w:hAnsi="Tahoma" w:cs="Tahoma"/>
          <w:b w:val="0"/>
          <w:bCs w:val="0"/>
        </w:rPr>
        <w:t>permettre</w:t>
      </w:r>
      <w:r w:rsidR="00DB1635" w:rsidRPr="00B004EE">
        <w:rPr>
          <w:rFonts w:ascii="Tahoma" w:hAnsi="Tahoma" w:cs="Tahoma"/>
          <w:b w:val="0"/>
          <w:bCs w:val="0"/>
        </w:rPr>
        <w:t xml:space="preserve"> </w:t>
      </w:r>
      <w:r w:rsidR="002F24E1" w:rsidRPr="00B004EE">
        <w:rPr>
          <w:rFonts w:ascii="Tahoma" w:hAnsi="Tahoma" w:cs="Tahoma"/>
          <w:b w:val="0"/>
          <w:bCs w:val="0"/>
        </w:rPr>
        <w:t>l'exécution</w:t>
      </w:r>
      <w:r w:rsidR="00DB1635" w:rsidRPr="00B004EE">
        <w:rPr>
          <w:rFonts w:ascii="Tahoma" w:hAnsi="Tahoma" w:cs="Tahoma"/>
          <w:b w:val="0"/>
          <w:bCs w:val="0"/>
        </w:rPr>
        <w:t xml:space="preserve"> </w:t>
      </w:r>
      <w:r w:rsidR="002F24E1" w:rsidRPr="00B004EE">
        <w:rPr>
          <w:rFonts w:ascii="Tahoma" w:hAnsi="Tahoma" w:cs="Tahoma"/>
          <w:b w:val="0"/>
          <w:bCs w:val="0"/>
        </w:rPr>
        <w:t>de</w:t>
      </w:r>
      <w:r w:rsidR="00DB1635" w:rsidRPr="00B004EE">
        <w:rPr>
          <w:rFonts w:ascii="Tahoma" w:hAnsi="Tahoma" w:cs="Tahoma"/>
          <w:b w:val="0"/>
          <w:bCs w:val="0"/>
        </w:rPr>
        <w:t xml:space="preserve"> </w:t>
      </w:r>
      <w:r w:rsidR="002F24E1" w:rsidRPr="00B004EE">
        <w:rPr>
          <w:rFonts w:ascii="Tahoma" w:hAnsi="Tahoma" w:cs="Tahoma"/>
          <w:b w:val="0"/>
          <w:bCs w:val="0"/>
        </w:rPr>
        <w:t>toutes</w:t>
      </w:r>
      <w:r w:rsidR="00DB1635" w:rsidRPr="00B004EE">
        <w:rPr>
          <w:rFonts w:ascii="Tahoma" w:hAnsi="Tahoma" w:cs="Tahoma"/>
          <w:b w:val="0"/>
          <w:bCs w:val="0"/>
        </w:rPr>
        <w:t xml:space="preserve"> </w:t>
      </w:r>
      <w:r w:rsidR="002F24E1" w:rsidRPr="00B004EE">
        <w:rPr>
          <w:rFonts w:ascii="Tahoma" w:hAnsi="Tahoma" w:cs="Tahoma"/>
          <w:b w:val="0"/>
          <w:bCs w:val="0"/>
        </w:rPr>
        <w:t>les</w:t>
      </w:r>
      <w:r w:rsidR="00DB1635" w:rsidRPr="00B004EE">
        <w:rPr>
          <w:rFonts w:ascii="Tahoma" w:hAnsi="Tahoma" w:cs="Tahoma"/>
          <w:b w:val="0"/>
          <w:bCs w:val="0"/>
        </w:rPr>
        <w:t xml:space="preserve"> </w:t>
      </w:r>
      <w:r w:rsidR="002F24E1" w:rsidRPr="00B004EE">
        <w:rPr>
          <w:rFonts w:ascii="Tahoma" w:hAnsi="Tahoma" w:cs="Tahoma"/>
          <w:b w:val="0"/>
          <w:bCs w:val="0"/>
        </w:rPr>
        <w:t>opérations</w:t>
      </w:r>
      <w:r w:rsidR="00DB1635" w:rsidRPr="00B004EE">
        <w:rPr>
          <w:rFonts w:ascii="Tahoma" w:hAnsi="Tahoma" w:cs="Tahoma"/>
          <w:b w:val="0"/>
          <w:bCs w:val="0"/>
        </w:rPr>
        <w:t xml:space="preserve"> </w:t>
      </w:r>
      <w:r w:rsidR="002F24E1" w:rsidRPr="00B004EE">
        <w:rPr>
          <w:rFonts w:ascii="Tahoma" w:hAnsi="Tahoma" w:cs="Tahoma"/>
          <w:b w:val="0"/>
          <w:bCs w:val="0"/>
        </w:rPr>
        <w:t>faites</w:t>
      </w:r>
      <w:r w:rsidR="00DB1635" w:rsidRPr="00B004EE">
        <w:rPr>
          <w:rFonts w:ascii="Tahoma" w:hAnsi="Tahoma" w:cs="Tahoma"/>
          <w:b w:val="0"/>
          <w:bCs w:val="0"/>
        </w:rPr>
        <w:t xml:space="preserve"> </w:t>
      </w:r>
      <w:r w:rsidR="002F24E1" w:rsidRPr="00B004EE">
        <w:rPr>
          <w:rFonts w:ascii="Tahoma" w:hAnsi="Tahoma" w:cs="Tahoma"/>
          <w:b w:val="0"/>
          <w:bCs w:val="0"/>
        </w:rPr>
        <w:t>par</w:t>
      </w:r>
      <w:r w:rsidR="00DB1635" w:rsidRPr="00B004EE">
        <w:rPr>
          <w:rFonts w:ascii="Tahoma" w:hAnsi="Tahoma" w:cs="Tahoma"/>
          <w:b w:val="0"/>
          <w:bCs w:val="0"/>
        </w:rPr>
        <w:t xml:space="preserve"> </w:t>
      </w:r>
      <w:r w:rsidR="002F24E1" w:rsidRPr="00B004EE">
        <w:rPr>
          <w:rFonts w:ascii="Tahoma" w:hAnsi="Tahoma" w:cs="Tahoma"/>
          <w:b w:val="0"/>
          <w:bCs w:val="0"/>
        </w:rPr>
        <w:t>les</w:t>
      </w:r>
      <w:r w:rsidR="00DB1635" w:rsidRPr="00B004EE">
        <w:rPr>
          <w:rFonts w:ascii="Tahoma" w:hAnsi="Tahoma" w:cs="Tahoma"/>
          <w:b w:val="0"/>
          <w:bCs w:val="0"/>
        </w:rPr>
        <w:t xml:space="preserve"> </w:t>
      </w:r>
      <w:r w:rsidR="002F24E1" w:rsidRPr="00B004EE">
        <w:rPr>
          <w:rFonts w:ascii="Tahoma" w:hAnsi="Tahoma" w:cs="Tahoma"/>
          <w:b w:val="0"/>
          <w:bCs w:val="0"/>
        </w:rPr>
        <w:t>agents</w:t>
      </w:r>
      <w:r w:rsidR="00DB1635" w:rsidRPr="00B004EE">
        <w:rPr>
          <w:rFonts w:ascii="Tahoma" w:hAnsi="Tahoma" w:cs="Tahoma"/>
          <w:b w:val="0"/>
          <w:bCs w:val="0"/>
        </w:rPr>
        <w:t xml:space="preserve"> </w:t>
      </w:r>
      <w:r w:rsidR="002F24E1" w:rsidRPr="00B004EE">
        <w:rPr>
          <w:rFonts w:ascii="Tahoma" w:hAnsi="Tahoma" w:cs="Tahoma"/>
          <w:b w:val="0"/>
          <w:bCs w:val="0"/>
        </w:rPr>
        <w:t>du</w:t>
      </w:r>
      <w:r w:rsidR="00DB1635" w:rsidRPr="00B004EE">
        <w:rPr>
          <w:rFonts w:ascii="Tahoma" w:hAnsi="Tahoma" w:cs="Tahoma"/>
          <w:b w:val="0"/>
          <w:bCs w:val="0"/>
        </w:rPr>
        <w:t xml:space="preserve"> </w:t>
      </w:r>
      <w:r w:rsidR="002F24E1" w:rsidRPr="00B004EE">
        <w:rPr>
          <w:rFonts w:ascii="Tahoma" w:hAnsi="Tahoma" w:cs="Tahoma"/>
          <w:b w:val="0"/>
          <w:bCs w:val="0"/>
        </w:rPr>
        <w:t>service</w:t>
      </w:r>
      <w:r w:rsidR="00DB1635" w:rsidRPr="00B004EE">
        <w:rPr>
          <w:rFonts w:ascii="Tahoma" w:hAnsi="Tahoma" w:cs="Tahoma"/>
          <w:b w:val="0"/>
          <w:bCs w:val="0"/>
        </w:rPr>
        <w:t xml:space="preserve"> </w:t>
      </w:r>
      <w:r w:rsidR="002F24E1" w:rsidRPr="00B004EE">
        <w:rPr>
          <w:rFonts w:ascii="Tahoma" w:hAnsi="Tahoma" w:cs="Tahoma"/>
          <w:b w:val="0"/>
          <w:bCs w:val="0"/>
        </w:rPr>
        <w:t>de</w:t>
      </w:r>
      <w:r w:rsidR="00DB1635" w:rsidRPr="00B004EE">
        <w:rPr>
          <w:rFonts w:ascii="Tahoma" w:hAnsi="Tahoma" w:cs="Tahoma"/>
          <w:b w:val="0"/>
          <w:bCs w:val="0"/>
        </w:rPr>
        <w:t xml:space="preserve"> </w:t>
      </w:r>
      <w:r w:rsidR="002F24E1" w:rsidRPr="00B004EE">
        <w:rPr>
          <w:rFonts w:ascii="Tahoma" w:hAnsi="Tahoma" w:cs="Tahoma"/>
          <w:b w:val="0"/>
          <w:bCs w:val="0"/>
        </w:rPr>
        <w:t>contrôle</w:t>
      </w:r>
      <w:r w:rsidR="00DB1635" w:rsidRPr="00B004EE">
        <w:rPr>
          <w:rFonts w:ascii="Tahoma" w:hAnsi="Tahoma" w:cs="Tahoma"/>
          <w:b w:val="0"/>
          <w:bCs w:val="0"/>
        </w:rPr>
        <w:t xml:space="preserve"> </w:t>
      </w:r>
      <w:r w:rsidR="002F24E1" w:rsidRPr="00B004EE">
        <w:rPr>
          <w:rFonts w:ascii="Tahoma" w:hAnsi="Tahoma" w:cs="Tahoma"/>
          <w:b w:val="0"/>
          <w:bCs w:val="0"/>
        </w:rPr>
        <w:t>dans</w:t>
      </w:r>
      <w:r w:rsidR="00DB1635" w:rsidRPr="00B004EE">
        <w:rPr>
          <w:rFonts w:ascii="Tahoma" w:hAnsi="Tahoma" w:cs="Tahoma"/>
          <w:b w:val="0"/>
          <w:bCs w:val="0"/>
        </w:rPr>
        <w:t xml:space="preserve"> </w:t>
      </w:r>
      <w:r w:rsidR="002F24E1" w:rsidRPr="00B004EE">
        <w:rPr>
          <w:rFonts w:ascii="Tahoma" w:hAnsi="Tahoma" w:cs="Tahoma"/>
          <w:b w:val="0"/>
          <w:bCs w:val="0"/>
        </w:rPr>
        <w:t>leurs</w:t>
      </w:r>
      <w:r w:rsidR="00DB1635" w:rsidRPr="00B004EE">
        <w:rPr>
          <w:rFonts w:ascii="Tahoma" w:hAnsi="Tahoma" w:cs="Tahoma"/>
          <w:b w:val="0"/>
          <w:bCs w:val="0"/>
        </w:rPr>
        <w:t xml:space="preserve"> </w:t>
      </w:r>
      <w:r w:rsidR="002F24E1" w:rsidRPr="00B004EE">
        <w:rPr>
          <w:rFonts w:ascii="Tahoma" w:hAnsi="Tahoma" w:cs="Tahoma"/>
          <w:b w:val="0"/>
          <w:bCs w:val="0"/>
        </w:rPr>
        <w:t>établissements.</w:t>
      </w:r>
      <w:r w:rsidR="00DB1635" w:rsidRPr="00B004EE">
        <w:rPr>
          <w:rFonts w:ascii="Tahoma" w:hAnsi="Tahoma" w:cs="Tahoma"/>
          <w:b w:val="0"/>
          <w:bCs w:val="0"/>
        </w:rPr>
        <w:t xml:space="preserve"> </w:t>
      </w:r>
      <w:r w:rsidR="002F24E1" w:rsidRPr="00B004EE">
        <w:rPr>
          <w:rFonts w:ascii="Tahoma" w:hAnsi="Tahoma" w:cs="Tahoma"/>
          <w:b w:val="0"/>
          <w:bCs w:val="0"/>
        </w:rPr>
        <w:t>Les</w:t>
      </w:r>
      <w:r w:rsidR="00DB1635" w:rsidRPr="00B004EE">
        <w:rPr>
          <w:rFonts w:ascii="Tahoma" w:hAnsi="Tahoma" w:cs="Tahoma"/>
          <w:b w:val="0"/>
          <w:bCs w:val="0"/>
        </w:rPr>
        <w:t xml:space="preserve"> </w:t>
      </w:r>
      <w:r w:rsidR="002F24E1" w:rsidRPr="00B004EE">
        <w:rPr>
          <w:rFonts w:ascii="Tahoma" w:hAnsi="Tahoma" w:cs="Tahoma"/>
          <w:b w:val="0"/>
          <w:bCs w:val="0"/>
        </w:rPr>
        <w:t>inspections</w:t>
      </w:r>
      <w:r w:rsidR="00DB1635" w:rsidRPr="00B004EE">
        <w:rPr>
          <w:rFonts w:ascii="Tahoma" w:hAnsi="Tahoma" w:cs="Tahoma"/>
          <w:b w:val="0"/>
          <w:bCs w:val="0"/>
        </w:rPr>
        <w:t xml:space="preserve"> </w:t>
      </w:r>
      <w:r w:rsidR="002F24E1" w:rsidRPr="00B004EE">
        <w:rPr>
          <w:rFonts w:ascii="Tahoma" w:hAnsi="Tahoma" w:cs="Tahoma"/>
          <w:b w:val="0"/>
          <w:bCs w:val="0"/>
        </w:rPr>
        <w:t>effectuées</w:t>
      </w:r>
      <w:r w:rsidR="00DB1635" w:rsidRPr="00B004EE">
        <w:rPr>
          <w:rFonts w:ascii="Tahoma" w:hAnsi="Tahoma" w:cs="Tahoma"/>
          <w:b w:val="0"/>
          <w:bCs w:val="0"/>
        </w:rPr>
        <w:t xml:space="preserve"> </w:t>
      </w:r>
      <w:r w:rsidR="002F24E1" w:rsidRPr="00B004EE">
        <w:rPr>
          <w:rFonts w:ascii="Tahoma" w:hAnsi="Tahoma" w:cs="Tahoma"/>
          <w:b w:val="0"/>
          <w:bCs w:val="0"/>
        </w:rPr>
        <w:t>sont</w:t>
      </w:r>
      <w:r w:rsidR="00DB1635" w:rsidRPr="00B004EE">
        <w:rPr>
          <w:rFonts w:ascii="Tahoma" w:hAnsi="Tahoma" w:cs="Tahoma"/>
          <w:b w:val="0"/>
          <w:bCs w:val="0"/>
        </w:rPr>
        <w:t xml:space="preserve"> </w:t>
      </w:r>
      <w:r w:rsidR="002F24E1" w:rsidRPr="00B004EE">
        <w:rPr>
          <w:rFonts w:ascii="Tahoma" w:hAnsi="Tahoma" w:cs="Tahoma"/>
          <w:b w:val="0"/>
          <w:bCs w:val="0"/>
        </w:rPr>
        <w:t>mentionnées</w:t>
      </w:r>
      <w:r w:rsidR="00DB1635" w:rsidRPr="00B004EE">
        <w:rPr>
          <w:rFonts w:ascii="Tahoma" w:hAnsi="Tahoma" w:cs="Tahoma"/>
          <w:b w:val="0"/>
          <w:bCs w:val="0"/>
        </w:rPr>
        <w:t xml:space="preserve"> </w:t>
      </w:r>
      <w:r w:rsidR="002F24E1" w:rsidRPr="00B004EE">
        <w:rPr>
          <w:rFonts w:ascii="Tahoma" w:hAnsi="Tahoma" w:cs="Tahoma"/>
          <w:b w:val="0"/>
          <w:bCs w:val="0"/>
        </w:rPr>
        <w:t>sur</w:t>
      </w:r>
      <w:r w:rsidR="00DB1635" w:rsidRPr="00B004EE">
        <w:rPr>
          <w:rFonts w:ascii="Tahoma" w:hAnsi="Tahoma" w:cs="Tahoma"/>
          <w:b w:val="0"/>
          <w:bCs w:val="0"/>
        </w:rPr>
        <w:t xml:space="preserve"> </w:t>
      </w:r>
      <w:r w:rsidR="002F24E1" w:rsidRPr="00B004EE">
        <w:rPr>
          <w:rFonts w:ascii="Tahoma" w:hAnsi="Tahoma" w:cs="Tahoma"/>
          <w:b w:val="0"/>
          <w:bCs w:val="0"/>
        </w:rPr>
        <w:t>un</w:t>
      </w:r>
      <w:r w:rsidR="00DB1635" w:rsidRPr="00B004EE">
        <w:rPr>
          <w:rFonts w:ascii="Tahoma" w:hAnsi="Tahoma" w:cs="Tahoma"/>
          <w:b w:val="0"/>
          <w:bCs w:val="0"/>
        </w:rPr>
        <w:t xml:space="preserve"> </w:t>
      </w:r>
      <w:r w:rsidR="002F24E1" w:rsidRPr="00B004EE">
        <w:rPr>
          <w:rFonts w:ascii="Tahoma" w:hAnsi="Tahoma" w:cs="Tahoma"/>
          <w:b w:val="0"/>
          <w:bCs w:val="0"/>
        </w:rPr>
        <w:t>registre</w:t>
      </w:r>
      <w:r w:rsidR="00DB1635" w:rsidRPr="00B004EE">
        <w:rPr>
          <w:rFonts w:ascii="Tahoma" w:hAnsi="Tahoma" w:cs="Tahoma"/>
          <w:b w:val="0"/>
          <w:bCs w:val="0"/>
        </w:rPr>
        <w:t xml:space="preserve"> </w:t>
      </w:r>
      <w:r w:rsidR="002F24E1" w:rsidRPr="00B004EE">
        <w:rPr>
          <w:rFonts w:ascii="Tahoma" w:hAnsi="Tahoma" w:cs="Tahoma"/>
          <w:b w:val="0"/>
          <w:bCs w:val="0"/>
        </w:rPr>
        <w:t>coté</w:t>
      </w:r>
      <w:r w:rsidR="00DB1635" w:rsidRPr="00B004EE">
        <w:rPr>
          <w:rFonts w:ascii="Tahoma" w:hAnsi="Tahoma" w:cs="Tahoma"/>
          <w:b w:val="0"/>
          <w:bCs w:val="0"/>
        </w:rPr>
        <w:t xml:space="preserve"> </w:t>
      </w:r>
      <w:r w:rsidR="002F24E1" w:rsidRPr="00B004EE">
        <w:rPr>
          <w:rFonts w:ascii="Tahoma" w:hAnsi="Tahoma" w:cs="Tahoma"/>
          <w:b w:val="0"/>
          <w:bCs w:val="0"/>
        </w:rPr>
        <w:t>et</w:t>
      </w:r>
      <w:r w:rsidR="00DB1635" w:rsidRPr="00B004EE">
        <w:rPr>
          <w:rFonts w:ascii="Tahoma" w:hAnsi="Tahoma" w:cs="Tahoma"/>
          <w:b w:val="0"/>
          <w:bCs w:val="0"/>
        </w:rPr>
        <w:t xml:space="preserve"> </w:t>
      </w:r>
      <w:r w:rsidR="002F24E1" w:rsidRPr="00B004EE">
        <w:rPr>
          <w:rFonts w:ascii="Tahoma" w:hAnsi="Tahoma" w:cs="Tahoma"/>
          <w:b w:val="0"/>
          <w:bCs w:val="0"/>
        </w:rPr>
        <w:t>paraphé,</w:t>
      </w:r>
      <w:r w:rsidR="00DB1635" w:rsidRPr="00B004EE">
        <w:rPr>
          <w:rFonts w:ascii="Tahoma" w:hAnsi="Tahoma" w:cs="Tahoma"/>
          <w:b w:val="0"/>
          <w:bCs w:val="0"/>
        </w:rPr>
        <w:t xml:space="preserve"> </w:t>
      </w:r>
      <w:r w:rsidR="002F24E1" w:rsidRPr="00B004EE">
        <w:rPr>
          <w:rFonts w:ascii="Tahoma" w:hAnsi="Tahoma" w:cs="Tahoma"/>
          <w:b w:val="0"/>
          <w:bCs w:val="0"/>
        </w:rPr>
        <w:t>sur</w:t>
      </w:r>
      <w:r w:rsidR="00DB1635" w:rsidRPr="00B004EE">
        <w:rPr>
          <w:rFonts w:ascii="Tahoma" w:hAnsi="Tahoma" w:cs="Tahoma"/>
          <w:b w:val="0"/>
          <w:bCs w:val="0"/>
        </w:rPr>
        <w:t xml:space="preserve"> </w:t>
      </w:r>
      <w:r w:rsidR="002F24E1" w:rsidRPr="00B004EE">
        <w:rPr>
          <w:rFonts w:ascii="Tahoma" w:hAnsi="Tahoma" w:cs="Tahoma"/>
          <w:b w:val="0"/>
          <w:bCs w:val="0"/>
        </w:rPr>
        <w:t>lequel</w:t>
      </w:r>
      <w:r w:rsidR="00DB1635" w:rsidRPr="00B004EE">
        <w:rPr>
          <w:rFonts w:ascii="Tahoma" w:hAnsi="Tahoma" w:cs="Tahoma"/>
          <w:b w:val="0"/>
          <w:bCs w:val="0"/>
        </w:rPr>
        <w:t xml:space="preserve"> </w:t>
      </w:r>
      <w:r w:rsidR="002F24E1" w:rsidRPr="00B004EE">
        <w:rPr>
          <w:rFonts w:ascii="Tahoma" w:hAnsi="Tahoma" w:cs="Tahoma"/>
          <w:b w:val="0"/>
          <w:bCs w:val="0"/>
        </w:rPr>
        <w:t>les</w:t>
      </w:r>
      <w:r w:rsidR="00DB1635" w:rsidRPr="00B004EE">
        <w:rPr>
          <w:rFonts w:ascii="Tahoma" w:hAnsi="Tahoma" w:cs="Tahoma"/>
          <w:b w:val="0"/>
          <w:bCs w:val="0"/>
        </w:rPr>
        <w:t xml:space="preserve"> </w:t>
      </w:r>
      <w:r w:rsidR="002F24E1" w:rsidRPr="00B004EE">
        <w:rPr>
          <w:rFonts w:ascii="Tahoma" w:hAnsi="Tahoma" w:cs="Tahoma"/>
          <w:b w:val="0"/>
          <w:bCs w:val="0"/>
        </w:rPr>
        <w:t>agents</w:t>
      </w:r>
      <w:r w:rsidR="00DB1635" w:rsidRPr="00B004EE">
        <w:rPr>
          <w:rFonts w:ascii="Tahoma" w:hAnsi="Tahoma" w:cs="Tahoma"/>
          <w:b w:val="0"/>
          <w:bCs w:val="0"/>
        </w:rPr>
        <w:t xml:space="preserve"> </w:t>
      </w:r>
      <w:r w:rsidR="002F24E1" w:rsidRPr="00B004EE">
        <w:rPr>
          <w:rFonts w:ascii="Tahoma" w:hAnsi="Tahoma" w:cs="Tahoma"/>
          <w:b w:val="0"/>
          <w:bCs w:val="0"/>
        </w:rPr>
        <w:t>de</w:t>
      </w:r>
      <w:r w:rsidR="00DB1635" w:rsidRPr="00B004EE">
        <w:rPr>
          <w:rFonts w:ascii="Tahoma" w:hAnsi="Tahoma" w:cs="Tahoma"/>
          <w:b w:val="0"/>
          <w:bCs w:val="0"/>
        </w:rPr>
        <w:t xml:space="preserve"> </w:t>
      </w:r>
      <w:r w:rsidR="002F24E1" w:rsidRPr="00B004EE">
        <w:rPr>
          <w:rFonts w:ascii="Tahoma" w:hAnsi="Tahoma" w:cs="Tahoma"/>
          <w:b w:val="0"/>
          <w:bCs w:val="0"/>
        </w:rPr>
        <w:t>contrôle</w:t>
      </w:r>
      <w:r w:rsidR="00DB1635" w:rsidRPr="00B004EE">
        <w:rPr>
          <w:rFonts w:ascii="Tahoma" w:hAnsi="Tahoma" w:cs="Tahoma"/>
          <w:b w:val="0"/>
          <w:bCs w:val="0"/>
        </w:rPr>
        <w:t xml:space="preserve"> </w:t>
      </w:r>
      <w:r w:rsidR="002F24E1" w:rsidRPr="00B004EE">
        <w:rPr>
          <w:rFonts w:ascii="Tahoma" w:hAnsi="Tahoma" w:cs="Tahoma"/>
          <w:b w:val="0"/>
          <w:bCs w:val="0"/>
        </w:rPr>
        <w:t>inscrivent</w:t>
      </w:r>
      <w:r w:rsidR="00DB1635" w:rsidRPr="00B004EE">
        <w:rPr>
          <w:rFonts w:ascii="Tahoma" w:hAnsi="Tahoma" w:cs="Tahoma"/>
          <w:b w:val="0"/>
          <w:bCs w:val="0"/>
        </w:rPr>
        <w:t xml:space="preserve"> </w:t>
      </w:r>
      <w:r w:rsidR="002F24E1" w:rsidRPr="00B004EE">
        <w:rPr>
          <w:rFonts w:ascii="Tahoma" w:hAnsi="Tahoma" w:cs="Tahoma"/>
          <w:b w:val="0"/>
          <w:bCs w:val="0"/>
        </w:rPr>
        <w:t>leurs</w:t>
      </w:r>
      <w:r w:rsidR="00DB1635" w:rsidRPr="00B004EE">
        <w:rPr>
          <w:rFonts w:ascii="Tahoma" w:hAnsi="Tahoma" w:cs="Tahoma"/>
          <w:b w:val="0"/>
          <w:bCs w:val="0"/>
        </w:rPr>
        <w:t xml:space="preserve"> </w:t>
      </w:r>
      <w:r w:rsidR="002F24E1" w:rsidRPr="00B004EE">
        <w:rPr>
          <w:rFonts w:ascii="Tahoma" w:hAnsi="Tahoma" w:cs="Tahoma"/>
          <w:b w:val="0"/>
          <w:bCs w:val="0"/>
        </w:rPr>
        <w:t>observations</w:t>
      </w:r>
      <w:r w:rsidR="00DB1635" w:rsidRPr="00B004EE">
        <w:rPr>
          <w:rFonts w:ascii="Tahoma" w:hAnsi="Tahoma" w:cs="Tahoma"/>
          <w:b w:val="0"/>
          <w:bCs w:val="0"/>
        </w:rPr>
        <w:t xml:space="preserve"> </w:t>
      </w:r>
      <w:r w:rsidR="002F24E1" w:rsidRPr="00B004EE">
        <w:rPr>
          <w:rFonts w:ascii="Tahoma" w:hAnsi="Tahoma" w:cs="Tahoma"/>
          <w:b w:val="0"/>
          <w:bCs w:val="0"/>
        </w:rPr>
        <w:t>et</w:t>
      </w:r>
      <w:r w:rsidR="00DB1635" w:rsidRPr="00B004EE">
        <w:rPr>
          <w:rFonts w:ascii="Tahoma" w:hAnsi="Tahoma" w:cs="Tahoma"/>
          <w:b w:val="0"/>
          <w:bCs w:val="0"/>
        </w:rPr>
        <w:t xml:space="preserve"> </w:t>
      </w:r>
      <w:r w:rsidR="002F24E1" w:rsidRPr="00B004EE">
        <w:rPr>
          <w:rFonts w:ascii="Tahoma" w:hAnsi="Tahoma" w:cs="Tahoma"/>
          <w:b w:val="0"/>
          <w:bCs w:val="0"/>
        </w:rPr>
        <w:t>les</w:t>
      </w:r>
      <w:r w:rsidR="00DB1635" w:rsidRPr="00B004EE">
        <w:rPr>
          <w:rFonts w:ascii="Tahoma" w:hAnsi="Tahoma" w:cs="Tahoma"/>
          <w:b w:val="0"/>
          <w:bCs w:val="0"/>
        </w:rPr>
        <w:t xml:space="preserve"> </w:t>
      </w:r>
      <w:r w:rsidR="002F24E1" w:rsidRPr="00B004EE">
        <w:rPr>
          <w:rFonts w:ascii="Tahoma" w:hAnsi="Tahoma" w:cs="Tahoma"/>
          <w:b w:val="0"/>
          <w:bCs w:val="0"/>
        </w:rPr>
        <w:t>décisions</w:t>
      </w:r>
      <w:r w:rsidR="00DB1635" w:rsidRPr="00B004EE">
        <w:rPr>
          <w:rFonts w:ascii="Tahoma" w:hAnsi="Tahoma" w:cs="Tahoma"/>
          <w:b w:val="0"/>
          <w:bCs w:val="0"/>
        </w:rPr>
        <w:t xml:space="preserve"> </w:t>
      </w:r>
      <w:r w:rsidR="002F24E1" w:rsidRPr="00B004EE">
        <w:rPr>
          <w:rFonts w:ascii="Tahoma" w:hAnsi="Tahoma" w:cs="Tahoma"/>
          <w:b w:val="0"/>
          <w:bCs w:val="0"/>
        </w:rPr>
        <w:t>prises</w:t>
      </w:r>
      <w:r w:rsidR="00DB1635" w:rsidRPr="00B004EE">
        <w:rPr>
          <w:rFonts w:ascii="Tahoma" w:hAnsi="Tahoma" w:cs="Tahoma"/>
          <w:b w:val="0"/>
          <w:bCs w:val="0"/>
        </w:rPr>
        <w:t xml:space="preserve"> </w:t>
      </w:r>
      <w:r w:rsidR="002F24E1" w:rsidRPr="00B004EE">
        <w:rPr>
          <w:rFonts w:ascii="Tahoma" w:hAnsi="Tahoma" w:cs="Tahoma"/>
          <w:b w:val="0"/>
          <w:bCs w:val="0"/>
        </w:rPr>
        <w:t>pour</w:t>
      </w:r>
      <w:r w:rsidR="00DB1635" w:rsidRPr="00B004EE">
        <w:rPr>
          <w:rFonts w:ascii="Tahoma" w:hAnsi="Tahoma" w:cs="Tahoma"/>
          <w:b w:val="0"/>
          <w:bCs w:val="0"/>
        </w:rPr>
        <w:t xml:space="preserve"> </w:t>
      </w:r>
      <w:r w:rsidR="002F24E1" w:rsidRPr="00B004EE">
        <w:rPr>
          <w:rFonts w:ascii="Tahoma" w:hAnsi="Tahoma" w:cs="Tahoma"/>
          <w:b w:val="0"/>
          <w:bCs w:val="0"/>
        </w:rPr>
        <w:t>l'application</w:t>
      </w:r>
      <w:r w:rsidR="00DB1635" w:rsidRPr="00B004EE">
        <w:rPr>
          <w:rFonts w:ascii="Tahoma" w:hAnsi="Tahoma" w:cs="Tahoma"/>
          <w:b w:val="0"/>
          <w:bCs w:val="0"/>
        </w:rPr>
        <w:t xml:space="preserve"> </w:t>
      </w:r>
      <w:r w:rsidR="002F24E1" w:rsidRPr="00B004EE">
        <w:rPr>
          <w:rFonts w:ascii="Tahoma" w:hAnsi="Tahoma" w:cs="Tahoma"/>
          <w:b w:val="0"/>
          <w:bCs w:val="0"/>
        </w:rPr>
        <w:t>des</w:t>
      </w:r>
      <w:r w:rsidR="00DB1635" w:rsidRPr="00B004EE">
        <w:rPr>
          <w:rFonts w:ascii="Tahoma" w:hAnsi="Tahoma" w:cs="Tahoma"/>
          <w:b w:val="0"/>
          <w:bCs w:val="0"/>
        </w:rPr>
        <w:t xml:space="preserve"> </w:t>
      </w:r>
      <w:r w:rsidR="002F24E1" w:rsidRPr="00B004EE">
        <w:rPr>
          <w:rFonts w:ascii="Tahoma" w:hAnsi="Tahoma" w:cs="Tahoma"/>
          <w:b w:val="0"/>
          <w:bCs w:val="0"/>
        </w:rPr>
        <w:t>dispositions</w:t>
      </w:r>
      <w:r w:rsidR="00DB1635" w:rsidRPr="00B004EE">
        <w:rPr>
          <w:rFonts w:ascii="Tahoma" w:hAnsi="Tahoma" w:cs="Tahoma"/>
          <w:b w:val="0"/>
          <w:bCs w:val="0"/>
        </w:rPr>
        <w:t xml:space="preserve"> </w:t>
      </w:r>
      <w:r w:rsidR="002F24E1" w:rsidRPr="00B004EE">
        <w:rPr>
          <w:rFonts w:ascii="Tahoma" w:hAnsi="Tahoma" w:cs="Tahoma"/>
          <w:b w:val="0"/>
          <w:bCs w:val="0"/>
        </w:rPr>
        <w:t>en</w:t>
      </w:r>
      <w:r w:rsidR="00DB1635" w:rsidRPr="00B004EE">
        <w:rPr>
          <w:rFonts w:ascii="Tahoma" w:hAnsi="Tahoma" w:cs="Tahoma"/>
          <w:b w:val="0"/>
          <w:bCs w:val="0"/>
        </w:rPr>
        <w:t xml:space="preserve"> </w:t>
      </w:r>
      <w:r w:rsidR="002F24E1" w:rsidRPr="00B004EE">
        <w:rPr>
          <w:rFonts w:ascii="Tahoma" w:hAnsi="Tahoma" w:cs="Tahoma"/>
          <w:b w:val="0"/>
          <w:bCs w:val="0"/>
        </w:rPr>
        <w:t>vigueur.</w:t>
      </w:r>
      <w:r w:rsidR="00DB1635" w:rsidRPr="00B004EE">
        <w:rPr>
          <w:rFonts w:ascii="Tahoma" w:hAnsi="Tahoma" w:cs="Tahoma"/>
          <w:b w:val="0"/>
          <w:bCs w:val="0"/>
        </w:rPr>
        <w:t xml:space="preserve"> </w:t>
      </w:r>
      <w:r w:rsidR="002F24E1" w:rsidRPr="00B004EE">
        <w:rPr>
          <w:rFonts w:ascii="Tahoma" w:hAnsi="Tahoma" w:cs="Tahoma"/>
          <w:b w:val="0"/>
          <w:bCs w:val="0"/>
        </w:rPr>
        <w:t>Les</w:t>
      </w:r>
      <w:r w:rsidR="00DB1635" w:rsidRPr="00B004EE">
        <w:rPr>
          <w:rFonts w:ascii="Tahoma" w:hAnsi="Tahoma" w:cs="Tahoma"/>
          <w:b w:val="0"/>
          <w:bCs w:val="0"/>
        </w:rPr>
        <w:t xml:space="preserve"> </w:t>
      </w:r>
      <w:r w:rsidR="002F24E1" w:rsidRPr="00B004EE">
        <w:rPr>
          <w:rFonts w:ascii="Tahoma" w:hAnsi="Tahoma" w:cs="Tahoma"/>
          <w:b w:val="0"/>
          <w:bCs w:val="0"/>
        </w:rPr>
        <w:t>fabricants,</w:t>
      </w:r>
      <w:r w:rsidR="00DB1635" w:rsidRPr="00B004EE">
        <w:rPr>
          <w:rFonts w:ascii="Tahoma" w:hAnsi="Tahoma" w:cs="Tahoma"/>
          <w:b w:val="0"/>
          <w:bCs w:val="0"/>
        </w:rPr>
        <w:t xml:space="preserve"> </w:t>
      </w:r>
      <w:r w:rsidR="002F24E1" w:rsidRPr="00B004EE">
        <w:rPr>
          <w:rFonts w:ascii="Tahoma" w:hAnsi="Tahoma" w:cs="Tahoma"/>
          <w:b w:val="0"/>
          <w:bCs w:val="0"/>
        </w:rPr>
        <w:t>distributeurs</w:t>
      </w:r>
      <w:r w:rsidR="00DB1635" w:rsidRPr="00B004EE">
        <w:rPr>
          <w:rFonts w:ascii="Tahoma" w:hAnsi="Tahoma" w:cs="Tahoma"/>
          <w:b w:val="0"/>
          <w:bCs w:val="0"/>
        </w:rPr>
        <w:t xml:space="preserve"> </w:t>
      </w:r>
      <w:r w:rsidR="002F24E1" w:rsidRPr="00B004EE">
        <w:rPr>
          <w:rFonts w:ascii="Tahoma" w:hAnsi="Tahoma" w:cs="Tahoma"/>
          <w:b w:val="0"/>
          <w:bCs w:val="0"/>
        </w:rPr>
        <w:t>et</w:t>
      </w:r>
      <w:r w:rsidR="00DB1635" w:rsidRPr="00B004EE">
        <w:rPr>
          <w:rFonts w:ascii="Tahoma" w:hAnsi="Tahoma" w:cs="Tahoma"/>
          <w:b w:val="0"/>
          <w:bCs w:val="0"/>
        </w:rPr>
        <w:t xml:space="preserve"> </w:t>
      </w:r>
      <w:r w:rsidR="002F24E1" w:rsidRPr="00B004EE">
        <w:rPr>
          <w:rFonts w:ascii="Tahoma" w:hAnsi="Tahoma" w:cs="Tahoma"/>
          <w:b w:val="0"/>
          <w:bCs w:val="0"/>
        </w:rPr>
        <w:t>vendeurs</w:t>
      </w:r>
      <w:r w:rsidR="00DB1635" w:rsidRPr="00B004EE">
        <w:rPr>
          <w:rFonts w:ascii="Tahoma" w:hAnsi="Tahoma" w:cs="Tahoma"/>
          <w:b w:val="0"/>
          <w:bCs w:val="0"/>
        </w:rPr>
        <w:t xml:space="preserve"> </w:t>
      </w:r>
      <w:r w:rsidR="002F24E1" w:rsidRPr="00B004EE">
        <w:rPr>
          <w:rFonts w:ascii="Tahoma" w:hAnsi="Tahoma" w:cs="Tahoma"/>
          <w:b w:val="0"/>
          <w:bCs w:val="0"/>
        </w:rPr>
        <w:t>ou</w:t>
      </w:r>
      <w:r w:rsidR="00DB1635" w:rsidRPr="00B004EE">
        <w:rPr>
          <w:rFonts w:ascii="Tahoma" w:hAnsi="Tahoma" w:cs="Tahoma"/>
          <w:b w:val="0"/>
          <w:bCs w:val="0"/>
        </w:rPr>
        <w:t xml:space="preserve"> </w:t>
      </w:r>
      <w:r w:rsidR="002F24E1" w:rsidRPr="00B004EE">
        <w:rPr>
          <w:rFonts w:ascii="Tahoma" w:hAnsi="Tahoma" w:cs="Tahoma"/>
          <w:b w:val="0"/>
          <w:bCs w:val="0"/>
        </w:rPr>
        <w:t>leurs</w:t>
      </w:r>
      <w:r w:rsidR="00DB1635" w:rsidRPr="00B004EE">
        <w:rPr>
          <w:rFonts w:ascii="Tahoma" w:hAnsi="Tahoma" w:cs="Tahoma"/>
          <w:b w:val="0"/>
          <w:bCs w:val="0"/>
        </w:rPr>
        <w:t xml:space="preserve"> </w:t>
      </w:r>
      <w:r w:rsidR="002F24E1" w:rsidRPr="00B004EE">
        <w:rPr>
          <w:rFonts w:ascii="Tahoma" w:hAnsi="Tahoma" w:cs="Tahoma"/>
          <w:b w:val="0"/>
          <w:bCs w:val="0"/>
        </w:rPr>
        <w:t>représentants</w:t>
      </w:r>
      <w:r w:rsidR="00DB1635" w:rsidRPr="00B004EE">
        <w:rPr>
          <w:rFonts w:ascii="Tahoma" w:hAnsi="Tahoma" w:cs="Tahoma"/>
          <w:b w:val="0"/>
          <w:bCs w:val="0"/>
        </w:rPr>
        <w:t xml:space="preserve"> </w:t>
      </w:r>
      <w:r w:rsidR="002F24E1" w:rsidRPr="00B004EE">
        <w:rPr>
          <w:rFonts w:ascii="Tahoma" w:hAnsi="Tahoma" w:cs="Tahoma"/>
          <w:b w:val="0"/>
          <w:bCs w:val="0"/>
        </w:rPr>
        <w:t>doivent</w:t>
      </w:r>
      <w:r w:rsidR="00DB1635" w:rsidRPr="00B004EE">
        <w:rPr>
          <w:rFonts w:ascii="Tahoma" w:hAnsi="Tahoma" w:cs="Tahoma"/>
          <w:b w:val="0"/>
          <w:bCs w:val="0"/>
        </w:rPr>
        <w:t xml:space="preserve"> </w:t>
      </w:r>
      <w:r w:rsidR="002F24E1" w:rsidRPr="00B004EE">
        <w:rPr>
          <w:rFonts w:ascii="Tahoma" w:hAnsi="Tahoma" w:cs="Tahoma"/>
          <w:b w:val="0"/>
          <w:bCs w:val="0"/>
        </w:rPr>
        <w:t>prendre</w:t>
      </w:r>
      <w:r w:rsidR="00DB1635" w:rsidRPr="00B004EE">
        <w:rPr>
          <w:rFonts w:ascii="Tahoma" w:hAnsi="Tahoma" w:cs="Tahoma"/>
          <w:b w:val="0"/>
          <w:bCs w:val="0"/>
        </w:rPr>
        <w:t xml:space="preserve"> </w:t>
      </w:r>
      <w:r w:rsidR="002F24E1" w:rsidRPr="00B004EE">
        <w:rPr>
          <w:rFonts w:ascii="Tahoma" w:hAnsi="Tahoma" w:cs="Tahoma"/>
          <w:b w:val="0"/>
          <w:bCs w:val="0"/>
        </w:rPr>
        <w:t>connaissance</w:t>
      </w:r>
      <w:r w:rsidR="00DB1635" w:rsidRPr="00B004EE">
        <w:rPr>
          <w:rFonts w:ascii="Tahoma" w:hAnsi="Tahoma" w:cs="Tahoma"/>
          <w:b w:val="0"/>
          <w:bCs w:val="0"/>
        </w:rPr>
        <w:t xml:space="preserve"> </w:t>
      </w:r>
      <w:r w:rsidR="002F24E1" w:rsidRPr="00B004EE">
        <w:rPr>
          <w:rFonts w:ascii="Tahoma" w:hAnsi="Tahoma" w:cs="Tahoma"/>
          <w:b w:val="0"/>
          <w:bCs w:val="0"/>
        </w:rPr>
        <w:t>de</w:t>
      </w:r>
      <w:r w:rsidR="00DB1635" w:rsidRPr="00B004EE">
        <w:rPr>
          <w:rFonts w:ascii="Tahoma" w:hAnsi="Tahoma" w:cs="Tahoma"/>
          <w:b w:val="0"/>
          <w:bCs w:val="0"/>
        </w:rPr>
        <w:t xml:space="preserve"> </w:t>
      </w:r>
      <w:r w:rsidR="002F24E1" w:rsidRPr="00B004EE">
        <w:rPr>
          <w:rFonts w:ascii="Tahoma" w:hAnsi="Tahoma" w:cs="Tahoma"/>
          <w:b w:val="0"/>
          <w:bCs w:val="0"/>
        </w:rPr>
        <w:t>ces</w:t>
      </w:r>
      <w:r w:rsidR="00DB1635" w:rsidRPr="00B004EE">
        <w:rPr>
          <w:rFonts w:ascii="Tahoma" w:hAnsi="Tahoma" w:cs="Tahoma"/>
          <w:b w:val="0"/>
          <w:bCs w:val="0"/>
        </w:rPr>
        <w:t xml:space="preserve"> </w:t>
      </w:r>
      <w:r w:rsidR="002F24E1" w:rsidRPr="00B004EE">
        <w:rPr>
          <w:rFonts w:ascii="Tahoma" w:hAnsi="Tahoma" w:cs="Tahoma"/>
          <w:b w:val="0"/>
          <w:bCs w:val="0"/>
        </w:rPr>
        <w:t>inscriptions</w:t>
      </w:r>
      <w:r w:rsidR="00DB1635" w:rsidRPr="00B004EE">
        <w:rPr>
          <w:rFonts w:ascii="Tahoma" w:hAnsi="Tahoma" w:cs="Tahoma"/>
          <w:b w:val="0"/>
          <w:bCs w:val="0"/>
        </w:rPr>
        <w:t xml:space="preserve"> </w:t>
      </w:r>
      <w:r w:rsidR="002F24E1" w:rsidRPr="00B004EE">
        <w:rPr>
          <w:rFonts w:ascii="Tahoma" w:hAnsi="Tahoma" w:cs="Tahoma"/>
          <w:b w:val="0"/>
          <w:bCs w:val="0"/>
        </w:rPr>
        <w:t>et</w:t>
      </w:r>
      <w:r w:rsidR="00DB1635" w:rsidRPr="00B004EE">
        <w:rPr>
          <w:rFonts w:ascii="Tahoma" w:hAnsi="Tahoma" w:cs="Tahoma"/>
          <w:b w:val="0"/>
          <w:bCs w:val="0"/>
        </w:rPr>
        <w:t xml:space="preserve"> </w:t>
      </w:r>
      <w:r w:rsidR="002F24E1" w:rsidRPr="00B004EE">
        <w:rPr>
          <w:rFonts w:ascii="Tahoma" w:hAnsi="Tahoma" w:cs="Tahoma"/>
          <w:b w:val="0"/>
          <w:bCs w:val="0"/>
        </w:rPr>
        <w:t>émarger</w:t>
      </w:r>
      <w:r w:rsidR="00DB1635" w:rsidRPr="00B004EE">
        <w:rPr>
          <w:rFonts w:ascii="Tahoma" w:hAnsi="Tahoma" w:cs="Tahoma"/>
          <w:b w:val="0"/>
          <w:bCs w:val="0"/>
        </w:rPr>
        <w:t xml:space="preserve"> </w:t>
      </w:r>
      <w:r w:rsidR="002F24E1" w:rsidRPr="00B004EE">
        <w:rPr>
          <w:rFonts w:ascii="Tahoma" w:hAnsi="Tahoma" w:cs="Tahoma"/>
          <w:b w:val="0"/>
          <w:bCs w:val="0"/>
        </w:rPr>
        <w:t>sur</w:t>
      </w:r>
      <w:r w:rsidR="00DB1635" w:rsidRPr="00B004EE">
        <w:rPr>
          <w:rFonts w:ascii="Tahoma" w:hAnsi="Tahoma" w:cs="Tahoma"/>
          <w:b w:val="0"/>
          <w:bCs w:val="0"/>
        </w:rPr>
        <w:t xml:space="preserve"> </w:t>
      </w:r>
      <w:r w:rsidR="002F24E1" w:rsidRPr="00B004EE">
        <w:rPr>
          <w:rFonts w:ascii="Tahoma" w:hAnsi="Tahoma" w:cs="Tahoma"/>
          <w:b w:val="0"/>
          <w:bCs w:val="0"/>
        </w:rPr>
        <w:t>ledit</w:t>
      </w:r>
      <w:r w:rsidR="00DB1635" w:rsidRPr="00B004EE">
        <w:rPr>
          <w:rFonts w:ascii="Tahoma" w:hAnsi="Tahoma" w:cs="Tahoma"/>
          <w:b w:val="0"/>
          <w:bCs w:val="0"/>
        </w:rPr>
        <w:t xml:space="preserve"> </w:t>
      </w:r>
      <w:r w:rsidR="002F24E1" w:rsidRPr="00B004EE">
        <w:rPr>
          <w:rFonts w:ascii="Tahoma" w:hAnsi="Tahoma" w:cs="Tahoma"/>
          <w:b w:val="0"/>
          <w:bCs w:val="0"/>
        </w:rPr>
        <w:t>registre</w:t>
      </w:r>
      <w:r w:rsidR="00DB1635" w:rsidRPr="00B004EE">
        <w:rPr>
          <w:rFonts w:ascii="Tahoma" w:hAnsi="Tahoma" w:cs="Tahoma"/>
          <w:b w:val="0"/>
          <w:bCs w:val="0"/>
        </w:rPr>
        <w:t xml:space="preserve"> </w:t>
      </w:r>
      <w:r w:rsidR="002F24E1" w:rsidRPr="00B004EE">
        <w:rPr>
          <w:rFonts w:ascii="Tahoma" w:hAnsi="Tahoma" w:cs="Tahoma"/>
          <w:b w:val="0"/>
          <w:bCs w:val="0"/>
        </w:rPr>
        <w:t>dont</w:t>
      </w:r>
      <w:r w:rsidR="00DB1635" w:rsidRPr="00B004EE">
        <w:rPr>
          <w:rFonts w:ascii="Tahoma" w:hAnsi="Tahoma" w:cs="Tahoma"/>
          <w:b w:val="0"/>
          <w:bCs w:val="0"/>
        </w:rPr>
        <w:t xml:space="preserve"> </w:t>
      </w:r>
      <w:r w:rsidR="002F24E1" w:rsidRPr="00B004EE">
        <w:rPr>
          <w:rFonts w:ascii="Tahoma" w:hAnsi="Tahoma" w:cs="Tahoma"/>
          <w:b w:val="0"/>
          <w:bCs w:val="0"/>
        </w:rPr>
        <w:t>ils</w:t>
      </w:r>
      <w:r w:rsidR="00DB1635" w:rsidRPr="00B004EE">
        <w:rPr>
          <w:rFonts w:ascii="Tahoma" w:hAnsi="Tahoma" w:cs="Tahoma"/>
          <w:b w:val="0"/>
          <w:bCs w:val="0"/>
        </w:rPr>
        <w:t xml:space="preserve"> </w:t>
      </w:r>
      <w:r w:rsidR="002F24E1" w:rsidRPr="00B004EE">
        <w:rPr>
          <w:rFonts w:ascii="Tahoma" w:hAnsi="Tahoma" w:cs="Tahoma"/>
          <w:b w:val="0"/>
          <w:bCs w:val="0"/>
        </w:rPr>
        <w:t>sont</w:t>
      </w:r>
      <w:r w:rsidR="00DB1635" w:rsidRPr="00B004EE">
        <w:rPr>
          <w:rFonts w:ascii="Tahoma" w:hAnsi="Tahoma" w:cs="Tahoma"/>
          <w:b w:val="0"/>
          <w:bCs w:val="0"/>
        </w:rPr>
        <w:t xml:space="preserve"> </w:t>
      </w:r>
      <w:r w:rsidR="002F24E1" w:rsidRPr="00B004EE">
        <w:rPr>
          <w:rFonts w:ascii="Tahoma" w:hAnsi="Tahoma" w:cs="Tahoma"/>
          <w:b w:val="0"/>
          <w:bCs w:val="0"/>
        </w:rPr>
        <w:t>responsables</w:t>
      </w:r>
      <w:r w:rsidR="00DB1635" w:rsidRPr="00B004EE">
        <w:rPr>
          <w:rFonts w:ascii="Tahoma" w:hAnsi="Tahoma" w:cs="Tahoma"/>
          <w:b w:val="0"/>
          <w:bCs w:val="0"/>
        </w:rPr>
        <w:t xml:space="preserve"> </w:t>
      </w:r>
      <w:r w:rsidR="002F24E1" w:rsidRPr="00B004EE">
        <w:rPr>
          <w:rFonts w:ascii="Tahoma" w:hAnsi="Tahoma" w:cs="Tahoma"/>
          <w:b w:val="0"/>
          <w:bCs w:val="0"/>
        </w:rPr>
        <w:t>de</w:t>
      </w:r>
      <w:r w:rsidR="00DB1635" w:rsidRPr="00B004EE">
        <w:rPr>
          <w:rFonts w:ascii="Tahoma" w:hAnsi="Tahoma" w:cs="Tahoma"/>
          <w:b w:val="0"/>
          <w:bCs w:val="0"/>
        </w:rPr>
        <w:t xml:space="preserve"> </w:t>
      </w:r>
      <w:r w:rsidR="002F24E1" w:rsidRPr="00B004EE">
        <w:rPr>
          <w:rFonts w:ascii="Tahoma" w:hAnsi="Tahoma" w:cs="Tahoma"/>
          <w:b w:val="0"/>
          <w:bCs w:val="0"/>
        </w:rPr>
        <w:t>la</w:t>
      </w:r>
      <w:r w:rsidR="00DB1635" w:rsidRPr="00B004EE">
        <w:rPr>
          <w:rFonts w:ascii="Tahoma" w:hAnsi="Tahoma" w:cs="Tahoma"/>
          <w:b w:val="0"/>
          <w:bCs w:val="0"/>
        </w:rPr>
        <w:t xml:space="preserve"> </w:t>
      </w:r>
      <w:r w:rsidR="002F24E1" w:rsidRPr="00B004EE">
        <w:rPr>
          <w:rFonts w:ascii="Tahoma" w:hAnsi="Tahoma" w:cs="Tahoma"/>
          <w:b w:val="0"/>
          <w:bCs w:val="0"/>
        </w:rPr>
        <w:t>conservation.</w:t>
      </w:r>
      <w:r w:rsidR="00DB1635" w:rsidRPr="00B004EE">
        <w:rPr>
          <w:rFonts w:ascii="Tahoma" w:hAnsi="Tahoma" w:cs="Tahoma"/>
          <w:b w:val="0"/>
          <w:bCs w:val="0"/>
        </w:rPr>
        <w:t xml:space="preserve"> </w:t>
      </w:r>
      <w:r w:rsidR="002F24E1" w:rsidRPr="00B004EE">
        <w:rPr>
          <w:rFonts w:ascii="Tahoma" w:hAnsi="Tahoma" w:cs="Tahoma"/>
          <w:b w:val="0"/>
          <w:bCs w:val="0"/>
        </w:rPr>
        <w:t>Ce</w:t>
      </w:r>
      <w:r w:rsidR="00DB1635" w:rsidRPr="00B004EE">
        <w:rPr>
          <w:rFonts w:ascii="Tahoma" w:hAnsi="Tahoma" w:cs="Tahoma"/>
          <w:b w:val="0"/>
          <w:bCs w:val="0"/>
        </w:rPr>
        <w:t xml:space="preserve"> </w:t>
      </w:r>
      <w:r w:rsidR="002F24E1" w:rsidRPr="00B004EE">
        <w:rPr>
          <w:rFonts w:ascii="Tahoma" w:hAnsi="Tahoma" w:cs="Tahoma"/>
          <w:b w:val="0"/>
          <w:bCs w:val="0"/>
        </w:rPr>
        <w:t>registre</w:t>
      </w:r>
      <w:r w:rsidR="00DB1635" w:rsidRPr="00B004EE">
        <w:rPr>
          <w:rFonts w:ascii="Tahoma" w:hAnsi="Tahoma" w:cs="Tahoma"/>
          <w:b w:val="0"/>
          <w:bCs w:val="0"/>
        </w:rPr>
        <w:t xml:space="preserve"> </w:t>
      </w:r>
      <w:r w:rsidR="002F24E1" w:rsidRPr="00B004EE">
        <w:rPr>
          <w:rFonts w:ascii="Tahoma" w:hAnsi="Tahoma" w:cs="Tahoma"/>
          <w:b w:val="0"/>
          <w:bCs w:val="0"/>
        </w:rPr>
        <w:t>doit</w:t>
      </w:r>
      <w:r w:rsidR="00DB1635" w:rsidRPr="00B004EE">
        <w:rPr>
          <w:rFonts w:ascii="Tahoma" w:hAnsi="Tahoma" w:cs="Tahoma"/>
          <w:b w:val="0"/>
          <w:bCs w:val="0"/>
        </w:rPr>
        <w:t xml:space="preserve"> </w:t>
      </w:r>
      <w:r w:rsidR="002F24E1" w:rsidRPr="00B004EE">
        <w:rPr>
          <w:rFonts w:ascii="Tahoma" w:hAnsi="Tahoma" w:cs="Tahoma"/>
          <w:b w:val="0"/>
          <w:bCs w:val="0"/>
        </w:rPr>
        <w:t>être</w:t>
      </w:r>
      <w:r w:rsidR="00DB1635" w:rsidRPr="00B004EE">
        <w:rPr>
          <w:rFonts w:ascii="Tahoma" w:hAnsi="Tahoma" w:cs="Tahoma"/>
          <w:b w:val="0"/>
          <w:bCs w:val="0"/>
        </w:rPr>
        <w:t xml:space="preserve"> </w:t>
      </w:r>
      <w:r w:rsidR="002F24E1" w:rsidRPr="00B004EE">
        <w:rPr>
          <w:rFonts w:ascii="Tahoma" w:hAnsi="Tahoma" w:cs="Tahoma"/>
          <w:b w:val="0"/>
          <w:bCs w:val="0"/>
        </w:rPr>
        <w:t>tenu</w:t>
      </w:r>
      <w:r w:rsidR="00DB1635" w:rsidRPr="00B004EE">
        <w:rPr>
          <w:rFonts w:ascii="Tahoma" w:hAnsi="Tahoma" w:cs="Tahoma"/>
          <w:b w:val="0"/>
          <w:bCs w:val="0"/>
        </w:rPr>
        <w:t xml:space="preserve"> </w:t>
      </w:r>
      <w:r w:rsidR="002F24E1" w:rsidRPr="00B004EE">
        <w:rPr>
          <w:rFonts w:ascii="Tahoma" w:hAnsi="Tahoma" w:cs="Tahoma"/>
          <w:b w:val="0"/>
          <w:bCs w:val="0"/>
        </w:rPr>
        <w:t>constamment</w:t>
      </w:r>
      <w:r w:rsidR="00DB1635" w:rsidRPr="00B004EE">
        <w:rPr>
          <w:rFonts w:ascii="Tahoma" w:hAnsi="Tahoma" w:cs="Tahoma"/>
          <w:b w:val="0"/>
          <w:bCs w:val="0"/>
        </w:rPr>
        <w:t xml:space="preserve"> </w:t>
      </w:r>
      <w:r w:rsidR="002F24E1" w:rsidRPr="00B004EE">
        <w:rPr>
          <w:rFonts w:ascii="Tahoma" w:hAnsi="Tahoma" w:cs="Tahoma"/>
          <w:b w:val="0"/>
          <w:bCs w:val="0"/>
        </w:rPr>
        <w:t>à</w:t>
      </w:r>
      <w:r w:rsidR="00DB1635" w:rsidRPr="00B004EE">
        <w:rPr>
          <w:rFonts w:ascii="Tahoma" w:hAnsi="Tahoma" w:cs="Tahoma"/>
          <w:b w:val="0"/>
          <w:bCs w:val="0"/>
        </w:rPr>
        <w:t xml:space="preserve"> </w:t>
      </w:r>
      <w:r w:rsidR="002F24E1" w:rsidRPr="00B004EE">
        <w:rPr>
          <w:rFonts w:ascii="Tahoma" w:hAnsi="Tahoma" w:cs="Tahoma"/>
          <w:b w:val="0"/>
          <w:bCs w:val="0"/>
        </w:rPr>
        <w:t>la</w:t>
      </w:r>
      <w:r w:rsidR="00DB1635" w:rsidRPr="00B004EE">
        <w:rPr>
          <w:rFonts w:ascii="Tahoma" w:hAnsi="Tahoma" w:cs="Tahoma"/>
          <w:b w:val="0"/>
          <w:bCs w:val="0"/>
        </w:rPr>
        <w:t xml:space="preserve"> </w:t>
      </w:r>
      <w:r w:rsidR="002F24E1" w:rsidRPr="00B004EE">
        <w:rPr>
          <w:rFonts w:ascii="Tahoma" w:hAnsi="Tahoma" w:cs="Tahoma"/>
          <w:b w:val="0"/>
          <w:bCs w:val="0"/>
        </w:rPr>
        <w:t>disposition</w:t>
      </w:r>
      <w:r w:rsidR="00DB1635" w:rsidRPr="00B004EE">
        <w:rPr>
          <w:rFonts w:ascii="Tahoma" w:hAnsi="Tahoma" w:cs="Tahoma"/>
          <w:b w:val="0"/>
          <w:bCs w:val="0"/>
        </w:rPr>
        <w:t xml:space="preserve"> </w:t>
      </w:r>
      <w:r w:rsidR="002F24E1" w:rsidRPr="00B004EE">
        <w:rPr>
          <w:rFonts w:ascii="Tahoma" w:hAnsi="Tahoma" w:cs="Tahoma"/>
          <w:b w:val="0"/>
          <w:bCs w:val="0"/>
        </w:rPr>
        <w:t>des</w:t>
      </w:r>
      <w:r w:rsidR="00DB1635" w:rsidRPr="00B004EE">
        <w:rPr>
          <w:rFonts w:ascii="Tahoma" w:hAnsi="Tahoma" w:cs="Tahoma"/>
          <w:b w:val="0"/>
          <w:bCs w:val="0"/>
        </w:rPr>
        <w:t xml:space="preserve"> </w:t>
      </w:r>
      <w:r w:rsidR="002F24E1" w:rsidRPr="00B004EE">
        <w:rPr>
          <w:rFonts w:ascii="Tahoma" w:hAnsi="Tahoma" w:cs="Tahoma"/>
          <w:b w:val="0"/>
          <w:bCs w:val="0"/>
        </w:rPr>
        <w:t>agents</w:t>
      </w:r>
      <w:r w:rsidR="00DB1635" w:rsidRPr="00B004EE">
        <w:rPr>
          <w:rFonts w:ascii="Tahoma" w:hAnsi="Tahoma" w:cs="Tahoma"/>
          <w:b w:val="0"/>
          <w:bCs w:val="0"/>
        </w:rPr>
        <w:t xml:space="preserve"> </w:t>
      </w:r>
      <w:r w:rsidR="002F24E1" w:rsidRPr="00B004EE">
        <w:rPr>
          <w:rFonts w:ascii="Tahoma" w:hAnsi="Tahoma" w:cs="Tahoma"/>
          <w:b w:val="0"/>
          <w:bCs w:val="0"/>
        </w:rPr>
        <w:t>de</w:t>
      </w:r>
      <w:r w:rsidR="00DB1635" w:rsidRPr="00B004EE">
        <w:rPr>
          <w:rFonts w:ascii="Tahoma" w:hAnsi="Tahoma" w:cs="Tahoma"/>
          <w:b w:val="0"/>
          <w:bCs w:val="0"/>
        </w:rPr>
        <w:t xml:space="preserve"> </w:t>
      </w:r>
      <w:r w:rsidR="002F24E1" w:rsidRPr="00B004EE">
        <w:rPr>
          <w:rFonts w:ascii="Tahoma" w:hAnsi="Tahoma" w:cs="Tahoma"/>
          <w:b w:val="0"/>
          <w:bCs w:val="0"/>
        </w:rPr>
        <w:t>contrôle.</w:t>
      </w:r>
    </w:p>
    <w:p w14:paraId="657C386B" w14:textId="77777777" w:rsidR="002F24E1" w:rsidRPr="00B004EE" w:rsidRDefault="002F24E1" w:rsidP="00B004EE">
      <w:pPr>
        <w:pStyle w:val="Lgende"/>
        <w:jc w:val="both"/>
        <w:rPr>
          <w:rFonts w:ascii="Tahoma" w:hAnsi="Tahoma" w:cs="Tahoma"/>
          <w:b w:val="0"/>
          <w:bCs w:val="0"/>
        </w:rPr>
      </w:pPr>
    </w:p>
    <w:p w14:paraId="698D5451" w14:textId="66AD9EC0" w:rsidR="002F24E1" w:rsidRPr="00B004EE" w:rsidRDefault="00561F81" w:rsidP="00B004EE">
      <w:pPr>
        <w:pStyle w:val="Lgende"/>
        <w:jc w:val="both"/>
        <w:rPr>
          <w:rFonts w:ascii="Tahoma" w:hAnsi="Tahoma" w:cs="Tahoma"/>
          <w:b w:val="0"/>
          <w:bCs w:val="0"/>
        </w:rPr>
      </w:pPr>
      <w:r w:rsidRPr="00B004EE">
        <w:rPr>
          <w:rFonts w:ascii="Tahoma" w:hAnsi="Tahoma" w:cs="Tahoma"/>
          <w:b w:val="0"/>
          <w:bCs w:val="0"/>
        </w:rPr>
        <w:t xml:space="preserve">Article </w:t>
      </w:r>
      <w:r w:rsidR="002F24E1" w:rsidRPr="00B004EE">
        <w:rPr>
          <w:rFonts w:ascii="Tahoma" w:hAnsi="Tahoma" w:cs="Tahoma"/>
          <w:b w:val="0"/>
          <w:bCs w:val="0"/>
        </w:rPr>
        <w:t>3</w:t>
      </w:r>
      <w:r w:rsidR="00DB1635" w:rsidRPr="00B004EE">
        <w:rPr>
          <w:rFonts w:ascii="Tahoma" w:hAnsi="Tahoma" w:cs="Tahoma"/>
          <w:b w:val="0"/>
          <w:bCs w:val="0"/>
        </w:rPr>
        <w:t xml:space="preserve"> </w:t>
      </w:r>
      <w:r w:rsidR="002F24E1" w:rsidRPr="00B004EE">
        <w:rPr>
          <w:rFonts w:ascii="Tahoma" w:hAnsi="Tahoma" w:cs="Tahoma"/>
          <w:b w:val="0"/>
          <w:bCs w:val="0"/>
        </w:rPr>
        <w:t>:</w:t>
      </w:r>
      <w:r w:rsidR="00DB1635" w:rsidRPr="00B004EE">
        <w:rPr>
          <w:rFonts w:ascii="Tahoma" w:hAnsi="Tahoma" w:cs="Tahoma"/>
          <w:b w:val="0"/>
          <w:bCs w:val="0"/>
        </w:rPr>
        <w:t xml:space="preserve"> </w:t>
      </w:r>
      <w:r w:rsidR="002F24E1" w:rsidRPr="00B004EE">
        <w:rPr>
          <w:rFonts w:ascii="Tahoma" w:hAnsi="Tahoma" w:cs="Tahoma"/>
          <w:b w:val="0"/>
          <w:bCs w:val="0"/>
        </w:rPr>
        <w:t>Outre</w:t>
      </w:r>
      <w:r w:rsidR="00DB1635" w:rsidRPr="00B004EE">
        <w:rPr>
          <w:rFonts w:ascii="Tahoma" w:hAnsi="Tahoma" w:cs="Tahoma"/>
          <w:b w:val="0"/>
          <w:bCs w:val="0"/>
        </w:rPr>
        <w:t xml:space="preserve"> </w:t>
      </w:r>
      <w:r w:rsidR="002F24E1" w:rsidRPr="00B004EE">
        <w:rPr>
          <w:rFonts w:ascii="Tahoma" w:hAnsi="Tahoma" w:cs="Tahoma"/>
          <w:b w:val="0"/>
          <w:bCs w:val="0"/>
        </w:rPr>
        <w:t>les</w:t>
      </w:r>
      <w:r w:rsidR="00DB1635" w:rsidRPr="00B004EE">
        <w:rPr>
          <w:rFonts w:ascii="Tahoma" w:hAnsi="Tahoma" w:cs="Tahoma"/>
          <w:b w:val="0"/>
          <w:bCs w:val="0"/>
        </w:rPr>
        <w:t xml:space="preserve"> </w:t>
      </w:r>
      <w:r w:rsidR="002F24E1" w:rsidRPr="00B004EE">
        <w:rPr>
          <w:rFonts w:ascii="Tahoma" w:hAnsi="Tahoma" w:cs="Tahoma"/>
          <w:b w:val="0"/>
          <w:bCs w:val="0"/>
        </w:rPr>
        <w:t>prélèvements</w:t>
      </w:r>
      <w:r w:rsidR="00DB1635" w:rsidRPr="00B004EE">
        <w:rPr>
          <w:rFonts w:ascii="Tahoma" w:hAnsi="Tahoma" w:cs="Tahoma"/>
          <w:b w:val="0"/>
          <w:bCs w:val="0"/>
        </w:rPr>
        <w:t xml:space="preserve"> </w:t>
      </w:r>
      <w:r w:rsidR="002F24E1" w:rsidRPr="00B004EE">
        <w:rPr>
          <w:rFonts w:ascii="Tahoma" w:hAnsi="Tahoma" w:cs="Tahoma"/>
          <w:b w:val="0"/>
          <w:bCs w:val="0"/>
        </w:rPr>
        <w:t>ordinaires</w:t>
      </w:r>
      <w:r w:rsidR="00DB1635" w:rsidRPr="00B004EE">
        <w:rPr>
          <w:rFonts w:ascii="Tahoma" w:hAnsi="Tahoma" w:cs="Tahoma"/>
          <w:b w:val="0"/>
          <w:bCs w:val="0"/>
        </w:rPr>
        <w:t xml:space="preserve"> </w:t>
      </w:r>
      <w:r w:rsidR="002F24E1" w:rsidRPr="00B004EE">
        <w:rPr>
          <w:rFonts w:ascii="Tahoma" w:hAnsi="Tahoma" w:cs="Tahoma"/>
          <w:b w:val="0"/>
          <w:bCs w:val="0"/>
        </w:rPr>
        <w:t>de</w:t>
      </w:r>
      <w:r w:rsidR="00DB1635" w:rsidRPr="00B004EE">
        <w:rPr>
          <w:rFonts w:ascii="Tahoma" w:hAnsi="Tahoma" w:cs="Tahoma"/>
          <w:b w:val="0"/>
          <w:bCs w:val="0"/>
        </w:rPr>
        <w:t xml:space="preserve"> </w:t>
      </w:r>
      <w:r w:rsidR="002F24E1" w:rsidRPr="00B004EE">
        <w:rPr>
          <w:rFonts w:ascii="Tahoma" w:hAnsi="Tahoma" w:cs="Tahoma"/>
          <w:b w:val="0"/>
          <w:bCs w:val="0"/>
        </w:rPr>
        <w:t>matières</w:t>
      </w:r>
      <w:r w:rsidR="00DB1635" w:rsidRPr="00B004EE">
        <w:rPr>
          <w:rFonts w:ascii="Tahoma" w:hAnsi="Tahoma" w:cs="Tahoma"/>
          <w:b w:val="0"/>
          <w:bCs w:val="0"/>
        </w:rPr>
        <w:t xml:space="preserve"> </w:t>
      </w:r>
      <w:r w:rsidR="002F24E1" w:rsidRPr="00B004EE">
        <w:rPr>
          <w:rFonts w:ascii="Tahoma" w:hAnsi="Tahoma" w:cs="Tahoma"/>
          <w:b w:val="0"/>
          <w:bCs w:val="0"/>
        </w:rPr>
        <w:t>premières</w:t>
      </w:r>
      <w:r w:rsidR="00DB1635" w:rsidRPr="00B004EE">
        <w:rPr>
          <w:rFonts w:ascii="Tahoma" w:hAnsi="Tahoma" w:cs="Tahoma"/>
          <w:b w:val="0"/>
          <w:bCs w:val="0"/>
        </w:rPr>
        <w:t xml:space="preserve"> </w:t>
      </w:r>
      <w:r w:rsidR="002F24E1" w:rsidRPr="00B004EE">
        <w:rPr>
          <w:rFonts w:ascii="Tahoma" w:hAnsi="Tahoma" w:cs="Tahoma"/>
          <w:b w:val="0"/>
          <w:bCs w:val="0"/>
        </w:rPr>
        <w:t>de</w:t>
      </w:r>
      <w:r w:rsidR="00DB1635" w:rsidRPr="00B004EE">
        <w:rPr>
          <w:rFonts w:ascii="Tahoma" w:hAnsi="Tahoma" w:cs="Tahoma"/>
          <w:b w:val="0"/>
          <w:bCs w:val="0"/>
        </w:rPr>
        <w:t xml:space="preserve"> </w:t>
      </w:r>
      <w:r w:rsidR="002F24E1" w:rsidRPr="00B004EE">
        <w:rPr>
          <w:rFonts w:ascii="Tahoma" w:hAnsi="Tahoma" w:cs="Tahoma"/>
          <w:b w:val="0"/>
          <w:bCs w:val="0"/>
        </w:rPr>
        <w:t>produits</w:t>
      </w:r>
      <w:r w:rsidR="00DB1635" w:rsidRPr="00B004EE">
        <w:rPr>
          <w:rFonts w:ascii="Tahoma" w:hAnsi="Tahoma" w:cs="Tahoma"/>
          <w:b w:val="0"/>
          <w:bCs w:val="0"/>
        </w:rPr>
        <w:t xml:space="preserve"> </w:t>
      </w:r>
      <w:r w:rsidR="002F24E1" w:rsidRPr="00B004EE">
        <w:rPr>
          <w:rFonts w:ascii="Tahoma" w:hAnsi="Tahoma" w:cs="Tahoma"/>
          <w:b w:val="0"/>
          <w:bCs w:val="0"/>
        </w:rPr>
        <w:t>finis</w:t>
      </w:r>
      <w:r w:rsidR="00DB1635" w:rsidRPr="00B004EE">
        <w:rPr>
          <w:rFonts w:ascii="Tahoma" w:hAnsi="Tahoma" w:cs="Tahoma"/>
          <w:b w:val="0"/>
          <w:bCs w:val="0"/>
        </w:rPr>
        <w:t xml:space="preserve"> </w:t>
      </w:r>
      <w:r w:rsidR="002F24E1" w:rsidRPr="00B004EE">
        <w:rPr>
          <w:rFonts w:ascii="Tahoma" w:hAnsi="Tahoma" w:cs="Tahoma"/>
          <w:b w:val="0"/>
          <w:bCs w:val="0"/>
        </w:rPr>
        <w:t>ou</w:t>
      </w:r>
      <w:r w:rsidR="00DB1635" w:rsidRPr="00B004EE">
        <w:rPr>
          <w:rFonts w:ascii="Tahoma" w:hAnsi="Tahoma" w:cs="Tahoma"/>
          <w:b w:val="0"/>
          <w:bCs w:val="0"/>
        </w:rPr>
        <w:t xml:space="preserve"> </w:t>
      </w:r>
      <w:r w:rsidR="002F24E1" w:rsidRPr="00B004EE">
        <w:rPr>
          <w:rFonts w:ascii="Tahoma" w:hAnsi="Tahoma" w:cs="Tahoma"/>
          <w:b w:val="0"/>
          <w:bCs w:val="0"/>
        </w:rPr>
        <w:t>de</w:t>
      </w:r>
      <w:r w:rsidR="00DB1635" w:rsidRPr="00B004EE">
        <w:rPr>
          <w:rFonts w:ascii="Tahoma" w:hAnsi="Tahoma" w:cs="Tahoma"/>
          <w:b w:val="0"/>
          <w:bCs w:val="0"/>
        </w:rPr>
        <w:t xml:space="preserve"> </w:t>
      </w:r>
      <w:r w:rsidR="002F24E1" w:rsidRPr="00B004EE">
        <w:rPr>
          <w:rFonts w:ascii="Tahoma" w:hAnsi="Tahoma" w:cs="Tahoma"/>
          <w:b w:val="0"/>
          <w:bCs w:val="0"/>
        </w:rPr>
        <w:t>matières</w:t>
      </w:r>
      <w:r w:rsidR="00DB1635" w:rsidRPr="00B004EE">
        <w:rPr>
          <w:rFonts w:ascii="Tahoma" w:hAnsi="Tahoma" w:cs="Tahoma"/>
          <w:b w:val="0"/>
          <w:bCs w:val="0"/>
        </w:rPr>
        <w:t xml:space="preserve"> </w:t>
      </w:r>
      <w:r w:rsidR="002F24E1" w:rsidRPr="00B004EE">
        <w:rPr>
          <w:rFonts w:ascii="Tahoma" w:hAnsi="Tahoma" w:cs="Tahoma"/>
          <w:b w:val="0"/>
          <w:bCs w:val="0"/>
        </w:rPr>
        <w:t>utilisées</w:t>
      </w:r>
      <w:r w:rsidR="00DB1635" w:rsidRPr="00B004EE">
        <w:rPr>
          <w:rFonts w:ascii="Tahoma" w:hAnsi="Tahoma" w:cs="Tahoma"/>
          <w:b w:val="0"/>
          <w:bCs w:val="0"/>
        </w:rPr>
        <w:t xml:space="preserve"> </w:t>
      </w:r>
      <w:r w:rsidR="002F24E1" w:rsidRPr="00B004EE">
        <w:rPr>
          <w:rFonts w:ascii="Tahoma" w:hAnsi="Tahoma" w:cs="Tahoma"/>
          <w:b w:val="0"/>
          <w:bCs w:val="0"/>
        </w:rPr>
        <w:t>en</w:t>
      </w:r>
      <w:r w:rsidR="00DB1635" w:rsidRPr="00B004EE">
        <w:rPr>
          <w:rFonts w:ascii="Tahoma" w:hAnsi="Tahoma" w:cs="Tahoma"/>
          <w:b w:val="0"/>
          <w:bCs w:val="0"/>
        </w:rPr>
        <w:t xml:space="preserve"> </w:t>
      </w:r>
      <w:r w:rsidR="002F24E1" w:rsidRPr="00B004EE">
        <w:rPr>
          <w:rFonts w:ascii="Tahoma" w:hAnsi="Tahoma" w:cs="Tahoma"/>
          <w:b w:val="0"/>
          <w:bCs w:val="0"/>
        </w:rPr>
        <w:t>fabrication,</w:t>
      </w:r>
      <w:r w:rsidR="00DB1635" w:rsidRPr="00B004EE">
        <w:rPr>
          <w:rFonts w:ascii="Tahoma" w:hAnsi="Tahoma" w:cs="Tahoma"/>
          <w:b w:val="0"/>
          <w:bCs w:val="0"/>
        </w:rPr>
        <w:t xml:space="preserve"> </w:t>
      </w:r>
      <w:r w:rsidR="002F24E1" w:rsidRPr="00B004EE">
        <w:rPr>
          <w:rFonts w:ascii="Tahoma" w:hAnsi="Tahoma" w:cs="Tahoma"/>
          <w:b w:val="0"/>
          <w:bCs w:val="0"/>
        </w:rPr>
        <w:t>faits</w:t>
      </w:r>
      <w:r w:rsidR="00DB1635" w:rsidRPr="00B004EE">
        <w:rPr>
          <w:rFonts w:ascii="Tahoma" w:hAnsi="Tahoma" w:cs="Tahoma"/>
          <w:b w:val="0"/>
          <w:bCs w:val="0"/>
        </w:rPr>
        <w:t xml:space="preserve"> </w:t>
      </w:r>
      <w:r w:rsidR="002F24E1" w:rsidRPr="00B004EE">
        <w:rPr>
          <w:rFonts w:ascii="Tahoma" w:hAnsi="Tahoma" w:cs="Tahoma"/>
          <w:b w:val="0"/>
          <w:bCs w:val="0"/>
        </w:rPr>
        <w:t>à</w:t>
      </w:r>
      <w:r w:rsidR="00DB1635" w:rsidRPr="00B004EE">
        <w:rPr>
          <w:rFonts w:ascii="Tahoma" w:hAnsi="Tahoma" w:cs="Tahoma"/>
          <w:b w:val="0"/>
          <w:bCs w:val="0"/>
        </w:rPr>
        <w:t xml:space="preserve"> </w:t>
      </w:r>
      <w:r w:rsidR="002F24E1" w:rsidRPr="00B004EE">
        <w:rPr>
          <w:rFonts w:ascii="Tahoma" w:hAnsi="Tahoma" w:cs="Tahoma"/>
          <w:b w:val="0"/>
          <w:bCs w:val="0"/>
        </w:rPr>
        <w:t>titre</w:t>
      </w:r>
      <w:r w:rsidR="00DB1635" w:rsidRPr="00B004EE">
        <w:rPr>
          <w:rFonts w:ascii="Tahoma" w:hAnsi="Tahoma" w:cs="Tahoma"/>
          <w:b w:val="0"/>
          <w:bCs w:val="0"/>
        </w:rPr>
        <w:t xml:space="preserve"> </w:t>
      </w:r>
      <w:r w:rsidR="002F24E1" w:rsidRPr="00B004EE">
        <w:rPr>
          <w:rFonts w:ascii="Tahoma" w:hAnsi="Tahoma" w:cs="Tahoma"/>
          <w:b w:val="0"/>
          <w:bCs w:val="0"/>
        </w:rPr>
        <w:t>de</w:t>
      </w:r>
      <w:r w:rsidR="00DB1635" w:rsidRPr="00B004EE">
        <w:rPr>
          <w:rFonts w:ascii="Tahoma" w:hAnsi="Tahoma" w:cs="Tahoma"/>
          <w:b w:val="0"/>
          <w:bCs w:val="0"/>
        </w:rPr>
        <w:t xml:space="preserve"> </w:t>
      </w:r>
      <w:r w:rsidR="002F24E1" w:rsidRPr="00B004EE">
        <w:rPr>
          <w:rFonts w:ascii="Tahoma" w:hAnsi="Tahoma" w:cs="Tahoma"/>
          <w:b w:val="0"/>
          <w:bCs w:val="0"/>
        </w:rPr>
        <w:t>sondage,</w:t>
      </w:r>
      <w:r w:rsidR="00DB1635" w:rsidRPr="00B004EE">
        <w:rPr>
          <w:rFonts w:ascii="Tahoma" w:hAnsi="Tahoma" w:cs="Tahoma"/>
          <w:b w:val="0"/>
          <w:bCs w:val="0"/>
        </w:rPr>
        <w:t xml:space="preserve"> </w:t>
      </w:r>
      <w:r w:rsidR="002F24E1" w:rsidRPr="00B004EE">
        <w:rPr>
          <w:rFonts w:ascii="Tahoma" w:hAnsi="Tahoma" w:cs="Tahoma"/>
          <w:b w:val="0"/>
          <w:bCs w:val="0"/>
        </w:rPr>
        <w:t>les</w:t>
      </w:r>
      <w:r w:rsidR="00DB1635" w:rsidRPr="00B004EE">
        <w:rPr>
          <w:rFonts w:ascii="Tahoma" w:hAnsi="Tahoma" w:cs="Tahoma"/>
          <w:b w:val="0"/>
          <w:bCs w:val="0"/>
        </w:rPr>
        <w:t xml:space="preserve"> </w:t>
      </w:r>
      <w:r w:rsidR="002F24E1" w:rsidRPr="00B004EE">
        <w:rPr>
          <w:rFonts w:ascii="Tahoma" w:hAnsi="Tahoma" w:cs="Tahoma"/>
          <w:b w:val="0"/>
          <w:bCs w:val="0"/>
        </w:rPr>
        <w:t>agents</w:t>
      </w:r>
      <w:r w:rsidR="00DB1635" w:rsidRPr="00B004EE">
        <w:rPr>
          <w:rFonts w:ascii="Tahoma" w:hAnsi="Tahoma" w:cs="Tahoma"/>
          <w:b w:val="0"/>
          <w:bCs w:val="0"/>
        </w:rPr>
        <w:t xml:space="preserve"> </w:t>
      </w:r>
      <w:r w:rsidR="002F24E1" w:rsidRPr="00B004EE">
        <w:rPr>
          <w:rFonts w:ascii="Tahoma" w:hAnsi="Tahoma" w:cs="Tahoma"/>
          <w:b w:val="0"/>
          <w:bCs w:val="0"/>
        </w:rPr>
        <w:t>de</w:t>
      </w:r>
      <w:r w:rsidR="00DB1635" w:rsidRPr="00B004EE">
        <w:rPr>
          <w:rFonts w:ascii="Tahoma" w:hAnsi="Tahoma" w:cs="Tahoma"/>
          <w:b w:val="0"/>
          <w:bCs w:val="0"/>
        </w:rPr>
        <w:t xml:space="preserve"> </w:t>
      </w:r>
      <w:r w:rsidR="002F24E1" w:rsidRPr="00B004EE">
        <w:rPr>
          <w:rFonts w:ascii="Tahoma" w:hAnsi="Tahoma" w:cs="Tahoma"/>
          <w:b w:val="0"/>
          <w:bCs w:val="0"/>
        </w:rPr>
        <w:t>contrôle</w:t>
      </w:r>
      <w:r w:rsidR="00DB1635" w:rsidRPr="00B004EE">
        <w:rPr>
          <w:rFonts w:ascii="Tahoma" w:hAnsi="Tahoma" w:cs="Tahoma"/>
          <w:b w:val="0"/>
          <w:bCs w:val="0"/>
        </w:rPr>
        <w:t xml:space="preserve"> </w:t>
      </w:r>
      <w:r w:rsidR="002F24E1" w:rsidRPr="00B004EE">
        <w:rPr>
          <w:rFonts w:ascii="Tahoma" w:hAnsi="Tahoma" w:cs="Tahoma"/>
          <w:b w:val="0"/>
          <w:bCs w:val="0"/>
        </w:rPr>
        <w:t>consignent,</w:t>
      </w:r>
      <w:r w:rsidR="00DB1635" w:rsidRPr="00B004EE">
        <w:rPr>
          <w:rFonts w:ascii="Tahoma" w:hAnsi="Tahoma" w:cs="Tahoma"/>
          <w:b w:val="0"/>
          <w:bCs w:val="0"/>
        </w:rPr>
        <w:t xml:space="preserve"> </w:t>
      </w:r>
      <w:r w:rsidR="002F24E1" w:rsidRPr="00B004EE">
        <w:rPr>
          <w:rFonts w:ascii="Tahoma" w:hAnsi="Tahoma" w:cs="Tahoma"/>
          <w:b w:val="0"/>
          <w:bCs w:val="0"/>
        </w:rPr>
        <w:t>en</w:t>
      </w:r>
      <w:r w:rsidR="00DB1635" w:rsidRPr="00B004EE">
        <w:rPr>
          <w:rFonts w:ascii="Tahoma" w:hAnsi="Tahoma" w:cs="Tahoma"/>
          <w:b w:val="0"/>
          <w:bCs w:val="0"/>
        </w:rPr>
        <w:t xml:space="preserve"> </w:t>
      </w:r>
      <w:r w:rsidR="002F24E1" w:rsidRPr="00B004EE">
        <w:rPr>
          <w:rFonts w:ascii="Tahoma" w:hAnsi="Tahoma" w:cs="Tahoma"/>
          <w:b w:val="0"/>
          <w:bCs w:val="0"/>
        </w:rPr>
        <w:t>usine</w:t>
      </w:r>
      <w:r w:rsidR="00DB1635" w:rsidRPr="00B004EE">
        <w:rPr>
          <w:rFonts w:ascii="Tahoma" w:hAnsi="Tahoma" w:cs="Tahoma"/>
          <w:b w:val="0"/>
          <w:bCs w:val="0"/>
        </w:rPr>
        <w:t xml:space="preserve"> </w:t>
      </w:r>
      <w:r w:rsidR="002F24E1" w:rsidRPr="00B004EE">
        <w:rPr>
          <w:rFonts w:ascii="Tahoma" w:hAnsi="Tahoma" w:cs="Tahoma"/>
          <w:b w:val="0"/>
          <w:bCs w:val="0"/>
        </w:rPr>
        <w:t>ou</w:t>
      </w:r>
      <w:r w:rsidR="00DB1635" w:rsidRPr="00B004EE">
        <w:rPr>
          <w:rFonts w:ascii="Tahoma" w:hAnsi="Tahoma" w:cs="Tahoma"/>
          <w:b w:val="0"/>
          <w:bCs w:val="0"/>
        </w:rPr>
        <w:t xml:space="preserve"> </w:t>
      </w:r>
      <w:r w:rsidR="002F24E1" w:rsidRPr="00B004EE">
        <w:rPr>
          <w:rFonts w:ascii="Tahoma" w:hAnsi="Tahoma" w:cs="Tahoma"/>
          <w:b w:val="0"/>
          <w:bCs w:val="0"/>
        </w:rPr>
        <w:t>en</w:t>
      </w:r>
      <w:r w:rsidR="00DB1635" w:rsidRPr="00B004EE">
        <w:rPr>
          <w:rFonts w:ascii="Tahoma" w:hAnsi="Tahoma" w:cs="Tahoma"/>
          <w:b w:val="0"/>
          <w:bCs w:val="0"/>
        </w:rPr>
        <w:t xml:space="preserve"> </w:t>
      </w:r>
      <w:r w:rsidR="002F24E1" w:rsidRPr="00B004EE">
        <w:rPr>
          <w:rFonts w:ascii="Tahoma" w:hAnsi="Tahoma" w:cs="Tahoma"/>
          <w:b w:val="0"/>
          <w:bCs w:val="0"/>
        </w:rPr>
        <w:t>entrepôt,</w:t>
      </w:r>
      <w:r w:rsidR="00DB1635" w:rsidRPr="00B004EE">
        <w:rPr>
          <w:rFonts w:ascii="Tahoma" w:hAnsi="Tahoma" w:cs="Tahoma"/>
          <w:b w:val="0"/>
          <w:bCs w:val="0"/>
        </w:rPr>
        <w:t xml:space="preserve"> </w:t>
      </w:r>
      <w:r w:rsidR="002F24E1" w:rsidRPr="00B004EE">
        <w:rPr>
          <w:rFonts w:ascii="Tahoma" w:hAnsi="Tahoma" w:cs="Tahoma"/>
          <w:b w:val="0"/>
          <w:bCs w:val="0"/>
        </w:rPr>
        <w:t>les</w:t>
      </w:r>
      <w:r w:rsidR="00DB1635" w:rsidRPr="00B004EE">
        <w:rPr>
          <w:rFonts w:ascii="Tahoma" w:hAnsi="Tahoma" w:cs="Tahoma"/>
          <w:b w:val="0"/>
          <w:bCs w:val="0"/>
        </w:rPr>
        <w:t xml:space="preserve"> </w:t>
      </w:r>
      <w:r w:rsidR="002F24E1" w:rsidRPr="00B004EE">
        <w:rPr>
          <w:rFonts w:ascii="Tahoma" w:hAnsi="Tahoma" w:cs="Tahoma"/>
          <w:b w:val="0"/>
          <w:bCs w:val="0"/>
        </w:rPr>
        <w:t>matières</w:t>
      </w:r>
      <w:r w:rsidR="00DB1635" w:rsidRPr="00B004EE">
        <w:rPr>
          <w:rFonts w:ascii="Tahoma" w:hAnsi="Tahoma" w:cs="Tahoma"/>
          <w:b w:val="0"/>
          <w:bCs w:val="0"/>
        </w:rPr>
        <w:t xml:space="preserve"> </w:t>
      </w:r>
      <w:r w:rsidR="002F24E1" w:rsidRPr="00B004EE">
        <w:rPr>
          <w:rFonts w:ascii="Tahoma" w:hAnsi="Tahoma" w:cs="Tahoma"/>
          <w:b w:val="0"/>
          <w:bCs w:val="0"/>
        </w:rPr>
        <w:t>premières</w:t>
      </w:r>
      <w:r w:rsidR="00DB1635" w:rsidRPr="00B004EE">
        <w:rPr>
          <w:rFonts w:ascii="Tahoma" w:hAnsi="Tahoma" w:cs="Tahoma"/>
          <w:b w:val="0"/>
          <w:bCs w:val="0"/>
        </w:rPr>
        <w:t xml:space="preserve"> </w:t>
      </w:r>
      <w:r w:rsidR="002F24E1" w:rsidRPr="00B004EE">
        <w:rPr>
          <w:rFonts w:ascii="Tahoma" w:hAnsi="Tahoma" w:cs="Tahoma"/>
          <w:b w:val="0"/>
          <w:bCs w:val="0"/>
        </w:rPr>
        <w:t>ou</w:t>
      </w:r>
      <w:r w:rsidR="00DB1635" w:rsidRPr="00B004EE">
        <w:rPr>
          <w:rFonts w:ascii="Tahoma" w:hAnsi="Tahoma" w:cs="Tahoma"/>
          <w:b w:val="0"/>
          <w:bCs w:val="0"/>
        </w:rPr>
        <w:t xml:space="preserve"> </w:t>
      </w:r>
      <w:r w:rsidR="002F24E1" w:rsidRPr="00B004EE">
        <w:rPr>
          <w:rFonts w:ascii="Tahoma" w:hAnsi="Tahoma" w:cs="Tahoma"/>
          <w:b w:val="0"/>
          <w:bCs w:val="0"/>
        </w:rPr>
        <w:t>fabriquées</w:t>
      </w:r>
      <w:r w:rsidR="00DB1635" w:rsidRPr="00B004EE">
        <w:rPr>
          <w:rFonts w:ascii="Tahoma" w:hAnsi="Tahoma" w:cs="Tahoma"/>
          <w:b w:val="0"/>
          <w:bCs w:val="0"/>
        </w:rPr>
        <w:t xml:space="preserve"> </w:t>
      </w:r>
      <w:r w:rsidR="002F24E1" w:rsidRPr="00B004EE">
        <w:rPr>
          <w:rFonts w:ascii="Tahoma" w:hAnsi="Tahoma" w:cs="Tahoma"/>
          <w:b w:val="0"/>
          <w:bCs w:val="0"/>
        </w:rPr>
        <w:t>qui</w:t>
      </w:r>
      <w:r w:rsidR="00DB1635" w:rsidRPr="00B004EE">
        <w:rPr>
          <w:rFonts w:ascii="Tahoma" w:hAnsi="Tahoma" w:cs="Tahoma"/>
          <w:b w:val="0"/>
          <w:bCs w:val="0"/>
        </w:rPr>
        <w:t xml:space="preserve"> </w:t>
      </w:r>
      <w:r w:rsidR="002F24E1" w:rsidRPr="00B004EE">
        <w:rPr>
          <w:rFonts w:ascii="Tahoma" w:hAnsi="Tahoma" w:cs="Tahoma"/>
          <w:b w:val="0"/>
          <w:bCs w:val="0"/>
        </w:rPr>
        <w:t>paraissent</w:t>
      </w:r>
      <w:r w:rsidR="00DB1635" w:rsidRPr="00B004EE">
        <w:rPr>
          <w:rFonts w:ascii="Tahoma" w:hAnsi="Tahoma" w:cs="Tahoma"/>
          <w:b w:val="0"/>
          <w:bCs w:val="0"/>
        </w:rPr>
        <w:t xml:space="preserve"> </w:t>
      </w:r>
      <w:r w:rsidR="002F24E1" w:rsidRPr="00B004EE">
        <w:rPr>
          <w:rFonts w:ascii="Tahoma" w:hAnsi="Tahoma" w:cs="Tahoma"/>
          <w:b w:val="0"/>
          <w:bCs w:val="0"/>
        </w:rPr>
        <w:t>corrompues,</w:t>
      </w:r>
      <w:r w:rsidR="00DB1635" w:rsidRPr="00B004EE">
        <w:rPr>
          <w:rFonts w:ascii="Tahoma" w:hAnsi="Tahoma" w:cs="Tahoma"/>
          <w:b w:val="0"/>
          <w:bCs w:val="0"/>
        </w:rPr>
        <w:t xml:space="preserve"> </w:t>
      </w:r>
      <w:r w:rsidR="002F24E1" w:rsidRPr="00B004EE">
        <w:rPr>
          <w:rFonts w:ascii="Tahoma" w:hAnsi="Tahoma" w:cs="Tahoma"/>
          <w:b w:val="0"/>
          <w:bCs w:val="0"/>
        </w:rPr>
        <w:t>toxiques</w:t>
      </w:r>
      <w:r w:rsidR="00DB1635" w:rsidRPr="00B004EE">
        <w:rPr>
          <w:rFonts w:ascii="Tahoma" w:hAnsi="Tahoma" w:cs="Tahoma"/>
          <w:b w:val="0"/>
          <w:bCs w:val="0"/>
        </w:rPr>
        <w:t xml:space="preserve"> </w:t>
      </w:r>
      <w:r w:rsidR="002F24E1" w:rsidRPr="00B004EE">
        <w:rPr>
          <w:rFonts w:ascii="Tahoma" w:hAnsi="Tahoma" w:cs="Tahoma"/>
          <w:b w:val="0"/>
          <w:bCs w:val="0"/>
        </w:rPr>
        <w:t>ou</w:t>
      </w:r>
      <w:r w:rsidR="00DB1635" w:rsidRPr="00B004EE">
        <w:rPr>
          <w:rFonts w:ascii="Tahoma" w:hAnsi="Tahoma" w:cs="Tahoma"/>
          <w:b w:val="0"/>
          <w:bCs w:val="0"/>
        </w:rPr>
        <w:t xml:space="preserve"> </w:t>
      </w:r>
      <w:r w:rsidR="002F24E1" w:rsidRPr="00B004EE">
        <w:rPr>
          <w:rFonts w:ascii="Tahoma" w:hAnsi="Tahoma" w:cs="Tahoma"/>
          <w:b w:val="0"/>
          <w:bCs w:val="0"/>
        </w:rPr>
        <w:t>impropres</w:t>
      </w:r>
      <w:r w:rsidR="00DB1635" w:rsidRPr="00B004EE">
        <w:rPr>
          <w:rFonts w:ascii="Tahoma" w:hAnsi="Tahoma" w:cs="Tahoma"/>
          <w:b w:val="0"/>
          <w:bCs w:val="0"/>
        </w:rPr>
        <w:t xml:space="preserve"> </w:t>
      </w:r>
      <w:r w:rsidR="002F24E1" w:rsidRPr="00B004EE">
        <w:rPr>
          <w:rFonts w:ascii="Tahoma" w:hAnsi="Tahoma" w:cs="Tahoma"/>
          <w:b w:val="0"/>
          <w:bCs w:val="0"/>
        </w:rPr>
        <w:t>à</w:t>
      </w:r>
      <w:r w:rsidR="00DB1635" w:rsidRPr="00B004EE">
        <w:rPr>
          <w:rFonts w:ascii="Tahoma" w:hAnsi="Tahoma" w:cs="Tahoma"/>
          <w:b w:val="0"/>
          <w:bCs w:val="0"/>
        </w:rPr>
        <w:t xml:space="preserve"> </w:t>
      </w:r>
      <w:r w:rsidR="002F24E1" w:rsidRPr="00B004EE">
        <w:rPr>
          <w:rFonts w:ascii="Tahoma" w:hAnsi="Tahoma" w:cs="Tahoma"/>
          <w:b w:val="0"/>
          <w:bCs w:val="0"/>
        </w:rPr>
        <w:t>la</w:t>
      </w:r>
      <w:r w:rsidR="00DB1635" w:rsidRPr="00B004EE">
        <w:rPr>
          <w:rFonts w:ascii="Tahoma" w:hAnsi="Tahoma" w:cs="Tahoma"/>
          <w:b w:val="0"/>
          <w:bCs w:val="0"/>
        </w:rPr>
        <w:t xml:space="preserve"> </w:t>
      </w:r>
      <w:r w:rsidR="002F24E1" w:rsidRPr="00B004EE">
        <w:rPr>
          <w:rFonts w:ascii="Tahoma" w:hAnsi="Tahoma" w:cs="Tahoma"/>
          <w:b w:val="0"/>
          <w:bCs w:val="0"/>
        </w:rPr>
        <w:t>consommation,</w:t>
      </w:r>
      <w:r w:rsidR="00DB1635" w:rsidRPr="00B004EE">
        <w:rPr>
          <w:rFonts w:ascii="Tahoma" w:hAnsi="Tahoma" w:cs="Tahoma"/>
          <w:b w:val="0"/>
          <w:bCs w:val="0"/>
        </w:rPr>
        <w:t xml:space="preserve"> </w:t>
      </w:r>
      <w:r w:rsidR="002F24E1" w:rsidRPr="00B004EE">
        <w:rPr>
          <w:rFonts w:ascii="Tahoma" w:hAnsi="Tahoma" w:cs="Tahoma"/>
          <w:b w:val="0"/>
          <w:bCs w:val="0"/>
        </w:rPr>
        <w:t>et</w:t>
      </w:r>
      <w:r w:rsidR="00DB1635" w:rsidRPr="00B004EE">
        <w:rPr>
          <w:rFonts w:ascii="Tahoma" w:hAnsi="Tahoma" w:cs="Tahoma"/>
          <w:b w:val="0"/>
          <w:bCs w:val="0"/>
        </w:rPr>
        <w:t xml:space="preserve"> </w:t>
      </w:r>
      <w:r w:rsidR="002F24E1" w:rsidRPr="00B004EE">
        <w:rPr>
          <w:rFonts w:ascii="Tahoma" w:hAnsi="Tahoma" w:cs="Tahoma"/>
          <w:b w:val="0"/>
          <w:bCs w:val="0"/>
        </w:rPr>
        <w:t>qui</w:t>
      </w:r>
      <w:r w:rsidR="00DB1635" w:rsidRPr="00B004EE">
        <w:rPr>
          <w:rFonts w:ascii="Tahoma" w:hAnsi="Tahoma" w:cs="Tahoma"/>
          <w:b w:val="0"/>
          <w:bCs w:val="0"/>
        </w:rPr>
        <w:t xml:space="preserve"> </w:t>
      </w:r>
      <w:r w:rsidR="002F24E1" w:rsidRPr="00B004EE">
        <w:rPr>
          <w:rFonts w:ascii="Tahoma" w:hAnsi="Tahoma" w:cs="Tahoma"/>
          <w:b w:val="0"/>
          <w:bCs w:val="0"/>
        </w:rPr>
        <w:t>ne</w:t>
      </w:r>
      <w:r w:rsidR="00DB1635" w:rsidRPr="00B004EE">
        <w:rPr>
          <w:rFonts w:ascii="Tahoma" w:hAnsi="Tahoma" w:cs="Tahoma"/>
          <w:b w:val="0"/>
          <w:bCs w:val="0"/>
        </w:rPr>
        <w:t xml:space="preserve"> </w:t>
      </w:r>
      <w:r w:rsidR="002F24E1" w:rsidRPr="00B004EE">
        <w:rPr>
          <w:rFonts w:ascii="Tahoma" w:hAnsi="Tahoma" w:cs="Tahoma"/>
          <w:b w:val="0"/>
          <w:bCs w:val="0"/>
        </w:rPr>
        <w:t>semblent</w:t>
      </w:r>
      <w:r w:rsidR="00DB1635" w:rsidRPr="00B004EE">
        <w:rPr>
          <w:rFonts w:ascii="Tahoma" w:hAnsi="Tahoma" w:cs="Tahoma"/>
          <w:b w:val="0"/>
          <w:bCs w:val="0"/>
        </w:rPr>
        <w:t xml:space="preserve"> </w:t>
      </w:r>
      <w:r w:rsidR="002F24E1" w:rsidRPr="00B004EE">
        <w:rPr>
          <w:rFonts w:ascii="Tahoma" w:hAnsi="Tahoma" w:cs="Tahoma"/>
          <w:b w:val="0"/>
          <w:bCs w:val="0"/>
        </w:rPr>
        <w:t>pas</w:t>
      </w:r>
      <w:r w:rsidR="00DB1635" w:rsidRPr="00B004EE">
        <w:rPr>
          <w:rFonts w:ascii="Tahoma" w:hAnsi="Tahoma" w:cs="Tahoma"/>
          <w:b w:val="0"/>
          <w:bCs w:val="0"/>
        </w:rPr>
        <w:t xml:space="preserve"> </w:t>
      </w:r>
      <w:r w:rsidR="002F24E1" w:rsidRPr="00B004EE">
        <w:rPr>
          <w:rFonts w:ascii="Tahoma" w:hAnsi="Tahoma" w:cs="Tahoma"/>
          <w:b w:val="0"/>
          <w:bCs w:val="0"/>
        </w:rPr>
        <w:t>correspondre</w:t>
      </w:r>
      <w:r w:rsidR="00DB1635" w:rsidRPr="00B004EE">
        <w:rPr>
          <w:rFonts w:ascii="Tahoma" w:hAnsi="Tahoma" w:cs="Tahoma"/>
          <w:b w:val="0"/>
          <w:bCs w:val="0"/>
        </w:rPr>
        <w:t xml:space="preserve"> </w:t>
      </w:r>
      <w:r w:rsidR="002F24E1" w:rsidRPr="00B004EE">
        <w:rPr>
          <w:rFonts w:ascii="Tahoma" w:hAnsi="Tahoma" w:cs="Tahoma"/>
          <w:b w:val="0"/>
          <w:bCs w:val="0"/>
        </w:rPr>
        <w:t>aux</w:t>
      </w:r>
      <w:r w:rsidR="00DB1635" w:rsidRPr="00B004EE">
        <w:rPr>
          <w:rFonts w:ascii="Tahoma" w:hAnsi="Tahoma" w:cs="Tahoma"/>
          <w:b w:val="0"/>
          <w:bCs w:val="0"/>
        </w:rPr>
        <w:t xml:space="preserve"> </w:t>
      </w:r>
      <w:r w:rsidR="002F24E1" w:rsidRPr="00B004EE">
        <w:rPr>
          <w:rFonts w:ascii="Tahoma" w:hAnsi="Tahoma" w:cs="Tahoma"/>
          <w:b w:val="0"/>
          <w:bCs w:val="0"/>
        </w:rPr>
        <w:t>dispositions</w:t>
      </w:r>
      <w:r w:rsidR="00DB1635" w:rsidRPr="00B004EE">
        <w:rPr>
          <w:rFonts w:ascii="Tahoma" w:hAnsi="Tahoma" w:cs="Tahoma"/>
          <w:b w:val="0"/>
          <w:bCs w:val="0"/>
        </w:rPr>
        <w:t xml:space="preserve"> </w:t>
      </w:r>
      <w:r w:rsidR="002F24E1" w:rsidRPr="00B004EE">
        <w:rPr>
          <w:rFonts w:ascii="Tahoma" w:hAnsi="Tahoma" w:cs="Tahoma"/>
          <w:b w:val="0"/>
          <w:bCs w:val="0"/>
        </w:rPr>
        <w:t>législatives</w:t>
      </w:r>
      <w:r w:rsidR="00DB1635" w:rsidRPr="00B004EE">
        <w:rPr>
          <w:rFonts w:ascii="Tahoma" w:hAnsi="Tahoma" w:cs="Tahoma"/>
          <w:b w:val="0"/>
          <w:bCs w:val="0"/>
        </w:rPr>
        <w:t xml:space="preserve"> </w:t>
      </w:r>
      <w:r w:rsidR="002F24E1" w:rsidRPr="00B004EE">
        <w:rPr>
          <w:rFonts w:ascii="Tahoma" w:hAnsi="Tahoma" w:cs="Tahoma"/>
          <w:b w:val="0"/>
          <w:bCs w:val="0"/>
        </w:rPr>
        <w:t>en</w:t>
      </w:r>
      <w:r w:rsidR="00DB1635" w:rsidRPr="00B004EE">
        <w:rPr>
          <w:rFonts w:ascii="Tahoma" w:hAnsi="Tahoma" w:cs="Tahoma"/>
          <w:b w:val="0"/>
          <w:bCs w:val="0"/>
        </w:rPr>
        <w:t xml:space="preserve"> </w:t>
      </w:r>
      <w:r w:rsidR="002F24E1" w:rsidRPr="00B004EE">
        <w:rPr>
          <w:rFonts w:ascii="Tahoma" w:hAnsi="Tahoma" w:cs="Tahoma"/>
          <w:b w:val="0"/>
          <w:bCs w:val="0"/>
        </w:rPr>
        <w:t>vigueur.</w:t>
      </w:r>
    </w:p>
    <w:p w14:paraId="6DE8859C" w14:textId="77777777" w:rsidR="002F24E1" w:rsidRPr="00B004EE" w:rsidRDefault="002F24E1" w:rsidP="00B004EE">
      <w:pPr>
        <w:pStyle w:val="Lgende"/>
        <w:jc w:val="both"/>
        <w:rPr>
          <w:rFonts w:ascii="Tahoma" w:hAnsi="Tahoma" w:cs="Tahoma"/>
          <w:b w:val="0"/>
          <w:bCs w:val="0"/>
        </w:rPr>
      </w:pPr>
    </w:p>
    <w:p w14:paraId="0C5A97E1" w14:textId="2EE48671" w:rsidR="002F24E1" w:rsidRPr="00B004EE" w:rsidRDefault="00561F81" w:rsidP="00B004EE">
      <w:pPr>
        <w:pStyle w:val="Lgende"/>
        <w:jc w:val="both"/>
        <w:rPr>
          <w:rFonts w:ascii="Tahoma" w:hAnsi="Tahoma" w:cs="Tahoma"/>
          <w:b w:val="0"/>
          <w:bCs w:val="0"/>
        </w:rPr>
      </w:pPr>
      <w:r w:rsidRPr="00B004EE">
        <w:rPr>
          <w:rFonts w:ascii="Tahoma" w:hAnsi="Tahoma" w:cs="Tahoma"/>
          <w:b w:val="0"/>
          <w:bCs w:val="0"/>
        </w:rPr>
        <w:t xml:space="preserve">Article </w:t>
      </w:r>
      <w:r w:rsidR="002F24E1" w:rsidRPr="00B004EE">
        <w:rPr>
          <w:rFonts w:ascii="Tahoma" w:hAnsi="Tahoma" w:cs="Tahoma"/>
          <w:b w:val="0"/>
          <w:bCs w:val="0"/>
        </w:rPr>
        <w:t>4</w:t>
      </w:r>
      <w:r w:rsidR="00DB1635" w:rsidRPr="00B004EE">
        <w:rPr>
          <w:rFonts w:ascii="Tahoma" w:hAnsi="Tahoma" w:cs="Tahoma"/>
          <w:b w:val="0"/>
          <w:bCs w:val="0"/>
        </w:rPr>
        <w:t xml:space="preserve"> </w:t>
      </w:r>
      <w:r w:rsidR="002F24E1" w:rsidRPr="00B004EE">
        <w:rPr>
          <w:rFonts w:ascii="Tahoma" w:hAnsi="Tahoma" w:cs="Tahoma"/>
          <w:b w:val="0"/>
          <w:bCs w:val="0"/>
        </w:rPr>
        <w:t>:</w:t>
      </w:r>
      <w:r w:rsidR="00DB1635" w:rsidRPr="00B004EE">
        <w:rPr>
          <w:rFonts w:ascii="Tahoma" w:hAnsi="Tahoma" w:cs="Tahoma"/>
          <w:b w:val="0"/>
          <w:bCs w:val="0"/>
        </w:rPr>
        <w:t xml:space="preserve"> </w:t>
      </w:r>
      <w:r w:rsidR="002F24E1" w:rsidRPr="00B004EE">
        <w:rPr>
          <w:rFonts w:ascii="Tahoma" w:hAnsi="Tahoma" w:cs="Tahoma"/>
          <w:b w:val="0"/>
          <w:bCs w:val="0"/>
        </w:rPr>
        <w:t>Les</w:t>
      </w:r>
      <w:r w:rsidR="00DB1635" w:rsidRPr="00B004EE">
        <w:rPr>
          <w:rFonts w:ascii="Tahoma" w:hAnsi="Tahoma" w:cs="Tahoma"/>
          <w:b w:val="0"/>
          <w:bCs w:val="0"/>
        </w:rPr>
        <w:t xml:space="preserve"> </w:t>
      </w:r>
      <w:r w:rsidR="002F24E1" w:rsidRPr="00B004EE">
        <w:rPr>
          <w:rFonts w:ascii="Tahoma" w:hAnsi="Tahoma" w:cs="Tahoma"/>
          <w:b w:val="0"/>
          <w:bCs w:val="0"/>
        </w:rPr>
        <w:t>matières</w:t>
      </w:r>
      <w:r w:rsidR="00DB1635" w:rsidRPr="00B004EE">
        <w:rPr>
          <w:rFonts w:ascii="Tahoma" w:hAnsi="Tahoma" w:cs="Tahoma"/>
          <w:b w:val="0"/>
          <w:bCs w:val="0"/>
        </w:rPr>
        <w:t xml:space="preserve"> </w:t>
      </w:r>
      <w:r w:rsidR="002F24E1" w:rsidRPr="00B004EE">
        <w:rPr>
          <w:rFonts w:ascii="Tahoma" w:hAnsi="Tahoma" w:cs="Tahoma"/>
          <w:b w:val="0"/>
          <w:bCs w:val="0"/>
        </w:rPr>
        <w:t>et</w:t>
      </w:r>
      <w:r w:rsidR="00DB1635" w:rsidRPr="00B004EE">
        <w:rPr>
          <w:rFonts w:ascii="Tahoma" w:hAnsi="Tahoma" w:cs="Tahoma"/>
          <w:b w:val="0"/>
          <w:bCs w:val="0"/>
        </w:rPr>
        <w:t xml:space="preserve"> </w:t>
      </w:r>
      <w:r w:rsidR="002F24E1" w:rsidRPr="00B004EE">
        <w:rPr>
          <w:rFonts w:ascii="Tahoma" w:hAnsi="Tahoma" w:cs="Tahoma"/>
          <w:b w:val="0"/>
          <w:bCs w:val="0"/>
        </w:rPr>
        <w:t>produits</w:t>
      </w:r>
      <w:r w:rsidR="00DB1635" w:rsidRPr="00B004EE">
        <w:rPr>
          <w:rFonts w:ascii="Tahoma" w:hAnsi="Tahoma" w:cs="Tahoma"/>
          <w:b w:val="0"/>
          <w:bCs w:val="0"/>
        </w:rPr>
        <w:t xml:space="preserve"> </w:t>
      </w:r>
      <w:r w:rsidR="002F24E1" w:rsidRPr="00B004EE">
        <w:rPr>
          <w:rFonts w:ascii="Tahoma" w:hAnsi="Tahoma" w:cs="Tahoma"/>
          <w:b w:val="0"/>
          <w:bCs w:val="0"/>
        </w:rPr>
        <w:t>consignés</w:t>
      </w:r>
      <w:r w:rsidR="00DB1635" w:rsidRPr="00B004EE">
        <w:rPr>
          <w:rFonts w:ascii="Tahoma" w:hAnsi="Tahoma" w:cs="Tahoma"/>
          <w:b w:val="0"/>
          <w:bCs w:val="0"/>
        </w:rPr>
        <w:t xml:space="preserve"> </w:t>
      </w:r>
      <w:r w:rsidR="002F24E1" w:rsidRPr="00B004EE">
        <w:rPr>
          <w:rFonts w:ascii="Tahoma" w:hAnsi="Tahoma" w:cs="Tahoma"/>
          <w:b w:val="0"/>
          <w:bCs w:val="0"/>
        </w:rPr>
        <w:t>sont</w:t>
      </w:r>
      <w:r w:rsidR="00DB1635" w:rsidRPr="00B004EE">
        <w:rPr>
          <w:rFonts w:ascii="Tahoma" w:hAnsi="Tahoma" w:cs="Tahoma"/>
          <w:b w:val="0"/>
          <w:bCs w:val="0"/>
        </w:rPr>
        <w:t xml:space="preserve"> </w:t>
      </w:r>
      <w:r w:rsidR="002F24E1" w:rsidRPr="00B004EE">
        <w:rPr>
          <w:rFonts w:ascii="Tahoma" w:hAnsi="Tahoma" w:cs="Tahoma"/>
          <w:b w:val="0"/>
          <w:bCs w:val="0"/>
        </w:rPr>
        <w:t>placés</w:t>
      </w:r>
      <w:r w:rsidR="00DB1635" w:rsidRPr="00B004EE">
        <w:rPr>
          <w:rFonts w:ascii="Tahoma" w:hAnsi="Tahoma" w:cs="Tahoma"/>
          <w:b w:val="0"/>
          <w:bCs w:val="0"/>
        </w:rPr>
        <w:t xml:space="preserve"> </w:t>
      </w:r>
      <w:r w:rsidR="002F24E1" w:rsidRPr="00B004EE">
        <w:rPr>
          <w:rFonts w:ascii="Tahoma" w:hAnsi="Tahoma" w:cs="Tahoma"/>
          <w:b w:val="0"/>
          <w:bCs w:val="0"/>
        </w:rPr>
        <w:t>sous</w:t>
      </w:r>
      <w:r w:rsidR="00DB1635" w:rsidRPr="00B004EE">
        <w:rPr>
          <w:rFonts w:ascii="Tahoma" w:hAnsi="Tahoma" w:cs="Tahoma"/>
          <w:b w:val="0"/>
          <w:bCs w:val="0"/>
        </w:rPr>
        <w:t xml:space="preserve"> </w:t>
      </w:r>
      <w:r w:rsidR="002F24E1" w:rsidRPr="00B004EE">
        <w:rPr>
          <w:rFonts w:ascii="Tahoma" w:hAnsi="Tahoma" w:cs="Tahoma"/>
          <w:b w:val="0"/>
          <w:bCs w:val="0"/>
        </w:rPr>
        <w:t>scellés</w:t>
      </w:r>
      <w:r w:rsidR="00DB1635" w:rsidRPr="00B004EE">
        <w:rPr>
          <w:rFonts w:ascii="Tahoma" w:hAnsi="Tahoma" w:cs="Tahoma"/>
          <w:b w:val="0"/>
          <w:bCs w:val="0"/>
        </w:rPr>
        <w:t xml:space="preserve"> </w:t>
      </w:r>
      <w:r w:rsidR="002F24E1" w:rsidRPr="00B004EE">
        <w:rPr>
          <w:rFonts w:ascii="Tahoma" w:hAnsi="Tahoma" w:cs="Tahoma"/>
          <w:b w:val="0"/>
          <w:bCs w:val="0"/>
        </w:rPr>
        <w:t>ou</w:t>
      </w:r>
      <w:r w:rsidR="00DB1635" w:rsidRPr="00B004EE">
        <w:rPr>
          <w:rFonts w:ascii="Tahoma" w:hAnsi="Tahoma" w:cs="Tahoma"/>
          <w:b w:val="0"/>
          <w:bCs w:val="0"/>
        </w:rPr>
        <w:t xml:space="preserve"> </w:t>
      </w:r>
      <w:r w:rsidR="002F24E1" w:rsidRPr="00B004EE">
        <w:rPr>
          <w:rFonts w:ascii="Tahoma" w:hAnsi="Tahoma" w:cs="Tahoma"/>
          <w:b w:val="0"/>
          <w:bCs w:val="0"/>
        </w:rPr>
        <w:t>dans</w:t>
      </w:r>
      <w:r w:rsidR="00DB1635" w:rsidRPr="00B004EE">
        <w:rPr>
          <w:rFonts w:ascii="Tahoma" w:hAnsi="Tahoma" w:cs="Tahoma"/>
          <w:b w:val="0"/>
          <w:bCs w:val="0"/>
        </w:rPr>
        <w:t xml:space="preserve"> </w:t>
      </w:r>
      <w:r w:rsidR="002F24E1" w:rsidRPr="00B004EE">
        <w:rPr>
          <w:rFonts w:ascii="Tahoma" w:hAnsi="Tahoma" w:cs="Tahoma"/>
          <w:b w:val="0"/>
          <w:bCs w:val="0"/>
        </w:rPr>
        <w:t>un</w:t>
      </w:r>
      <w:r w:rsidR="00DB1635" w:rsidRPr="00B004EE">
        <w:rPr>
          <w:rFonts w:ascii="Tahoma" w:hAnsi="Tahoma" w:cs="Tahoma"/>
          <w:b w:val="0"/>
          <w:bCs w:val="0"/>
        </w:rPr>
        <w:t xml:space="preserve"> </w:t>
      </w:r>
      <w:r w:rsidR="002F24E1" w:rsidRPr="00B004EE">
        <w:rPr>
          <w:rFonts w:ascii="Tahoma" w:hAnsi="Tahoma" w:cs="Tahoma"/>
          <w:b w:val="0"/>
          <w:bCs w:val="0"/>
        </w:rPr>
        <w:t>local</w:t>
      </w:r>
      <w:r w:rsidR="00DB1635" w:rsidRPr="00B004EE">
        <w:rPr>
          <w:rFonts w:ascii="Tahoma" w:hAnsi="Tahoma" w:cs="Tahoma"/>
          <w:b w:val="0"/>
          <w:bCs w:val="0"/>
        </w:rPr>
        <w:t xml:space="preserve"> </w:t>
      </w:r>
      <w:r w:rsidR="002F24E1" w:rsidRPr="00B004EE">
        <w:rPr>
          <w:rFonts w:ascii="Tahoma" w:hAnsi="Tahoma" w:cs="Tahoma"/>
          <w:b w:val="0"/>
          <w:bCs w:val="0"/>
        </w:rPr>
        <w:t>sous</w:t>
      </w:r>
      <w:r w:rsidR="00DB1635" w:rsidRPr="00B004EE">
        <w:rPr>
          <w:rFonts w:ascii="Tahoma" w:hAnsi="Tahoma" w:cs="Tahoma"/>
          <w:b w:val="0"/>
          <w:bCs w:val="0"/>
        </w:rPr>
        <w:t xml:space="preserve"> </w:t>
      </w:r>
      <w:r w:rsidR="002F24E1" w:rsidRPr="00B004EE">
        <w:rPr>
          <w:rFonts w:ascii="Tahoma" w:hAnsi="Tahoma" w:cs="Tahoma"/>
          <w:b w:val="0"/>
          <w:bCs w:val="0"/>
        </w:rPr>
        <w:t>scellés,</w:t>
      </w:r>
      <w:r w:rsidR="00DB1635" w:rsidRPr="00B004EE">
        <w:rPr>
          <w:rFonts w:ascii="Tahoma" w:hAnsi="Tahoma" w:cs="Tahoma"/>
          <w:b w:val="0"/>
          <w:bCs w:val="0"/>
        </w:rPr>
        <w:t xml:space="preserve"> </w:t>
      </w:r>
      <w:r w:rsidR="002F24E1" w:rsidRPr="00B004EE">
        <w:rPr>
          <w:rFonts w:ascii="Tahoma" w:hAnsi="Tahoma" w:cs="Tahoma"/>
          <w:b w:val="0"/>
          <w:bCs w:val="0"/>
        </w:rPr>
        <w:t>ou,</w:t>
      </w:r>
      <w:r w:rsidR="00DB1635" w:rsidRPr="00B004EE">
        <w:rPr>
          <w:rFonts w:ascii="Tahoma" w:hAnsi="Tahoma" w:cs="Tahoma"/>
          <w:b w:val="0"/>
          <w:bCs w:val="0"/>
        </w:rPr>
        <w:t xml:space="preserve"> </w:t>
      </w:r>
      <w:r w:rsidR="002F24E1" w:rsidRPr="00B004EE">
        <w:rPr>
          <w:rFonts w:ascii="Tahoma" w:hAnsi="Tahoma" w:cs="Tahoma"/>
          <w:b w:val="0"/>
          <w:bCs w:val="0"/>
        </w:rPr>
        <w:t>si</w:t>
      </w:r>
      <w:r w:rsidR="00DB1635" w:rsidRPr="00B004EE">
        <w:rPr>
          <w:rFonts w:ascii="Tahoma" w:hAnsi="Tahoma" w:cs="Tahoma"/>
          <w:b w:val="0"/>
          <w:bCs w:val="0"/>
        </w:rPr>
        <w:t xml:space="preserve"> </w:t>
      </w:r>
      <w:r w:rsidR="002F24E1" w:rsidRPr="00B004EE">
        <w:rPr>
          <w:rFonts w:ascii="Tahoma" w:hAnsi="Tahoma" w:cs="Tahoma"/>
          <w:b w:val="0"/>
          <w:bCs w:val="0"/>
        </w:rPr>
        <w:t>ces</w:t>
      </w:r>
      <w:r w:rsidR="00DB1635" w:rsidRPr="00B004EE">
        <w:rPr>
          <w:rFonts w:ascii="Tahoma" w:hAnsi="Tahoma" w:cs="Tahoma"/>
          <w:b w:val="0"/>
          <w:bCs w:val="0"/>
        </w:rPr>
        <w:t xml:space="preserve"> </w:t>
      </w:r>
      <w:r w:rsidR="002F24E1" w:rsidRPr="00B004EE">
        <w:rPr>
          <w:rFonts w:ascii="Tahoma" w:hAnsi="Tahoma" w:cs="Tahoma"/>
          <w:b w:val="0"/>
          <w:bCs w:val="0"/>
        </w:rPr>
        <w:t>opérations</w:t>
      </w:r>
      <w:r w:rsidR="00DB1635" w:rsidRPr="00B004EE">
        <w:rPr>
          <w:rFonts w:ascii="Tahoma" w:hAnsi="Tahoma" w:cs="Tahoma"/>
          <w:b w:val="0"/>
          <w:bCs w:val="0"/>
        </w:rPr>
        <w:t xml:space="preserve"> </w:t>
      </w:r>
      <w:r w:rsidR="002F24E1" w:rsidRPr="00B004EE">
        <w:rPr>
          <w:rFonts w:ascii="Tahoma" w:hAnsi="Tahoma" w:cs="Tahoma"/>
          <w:b w:val="0"/>
          <w:bCs w:val="0"/>
        </w:rPr>
        <w:t>sont</w:t>
      </w:r>
      <w:r w:rsidR="00DB1635" w:rsidRPr="00B004EE">
        <w:rPr>
          <w:rFonts w:ascii="Tahoma" w:hAnsi="Tahoma" w:cs="Tahoma"/>
          <w:b w:val="0"/>
          <w:bCs w:val="0"/>
        </w:rPr>
        <w:t xml:space="preserve"> </w:t>
      </w:r>
      <w:r w:rsidR="002F24E1" w:rsidRPr="00B004EE">
        <w:rPr>
          <w:rFonts w:ascii="Tahoma" w:hAnsi="Tahoma" w:cs="Tahoma"/>
          <w:b w:val="0"/>
          <w:bCs w:val="0"/>
        </w:rPr>
        <w:t>impossibles,</w:t>
      </w:r>
      <w:r w:rsidR="00DB1635" w:rsidRPr="00B004EE">
        <w:rPr>
          <w:rFonts w:ascii="Tahoma" w:hAnsi="Tahoma" w:cs="Tahoma"/>
          <w:b w:val="0"/>
          <w:bCs w:val="0"/>
        </w:rPr>
        <w:t xml:space="preserve"> </w:t>
      </w:r>
      <w:r w:rsidR="002F24E1" w:rsidRPr="00B004EE">
        <w:rPr>
          <w:rFonts w:ascii="Tahoma" w:hAnsi="Tahoma" w:cs="Tahoma"/>
          <w:b w:val="0"/>
          <w:bCs w:val="0"/>
        </w:rPr>
        <w:t>dans</w:t>
      </w:r>
      <w:r w:rsidR="00DB1635" w:rsidRPr="00B004EE">
        <w:rPr>
          <w:rFonts w:ascii="Tahoma" w:hAnsi="Tahoma" w:cs="Tahoma"/>
          <w:b w:val="0"/>
          <w:bCs w:val="0"/>
        </w:rPr>
        <w:t xml:space="preserve"> </w:t>
      </w:r>
      <w:r w:rsidR="002F24E1" w:rsidRPr="00B004EE">
        <w:rPr>
          <w:rFonts w:ascii="Tahoma" w:hAnsi="Tahoma" w:cs="Tahoma"/>
          <w:b w:val="0"/>
          <w:bCs w:val="0"/>
        </w:rPr>
        <w:t>un</w:t>
      </w:r>
      <w:r w:rsidR="00DB1635" w:rsidRPr="00B004EE">
        <w:rPr>
          <w:rFonts w:ascii="Tahoma" w:hAnsi="Tahoma" w:cs="Tahoma"/>
          <w:b w:val="0"/>
          <w:bCs w:val="0"/>
        </w:rPr>
        <w:t xml:space="preserve"> </w:t>
      </w:r>
      <w:r w:rsidR="002F24E1" w:rsidRPr="00B004EE">
        <w:rPr>
          <w:rFonts w:ascii="Tahoma" w:hAnsi="Tahoma" w:cs="Tahoma"/>
          <w:b w:val="0"/>
          <w:bCs w:val="0"/>
        </w:rPr>
        <w:t>local</w:t>
      </w:r>
      <w:r w:rsidR="00DB1635" w:rsidRPr="00B004EE">
        <w:rPr>
          <w:rFonts w:ascii="Tahoma" w:hAnsi="Tahoma" w:cs="Tahoma"/>
          <w:b w:val="0"/>
          <w:bCs w:val="0"/>
        </w:rPr>
        <w:t xml:space="preserve"> </w:t>
      </w:r>
      <w:r w:rsidR="002F24E1" w:rsidRPr="00B004EE">
        <w:rPr>
          <w:rFonts w:ascii="Tahoma" w:hAnsi="Tahoma" w:cs="Tahoma"/>
          <w:b w:val="0"/>
          <w:bCs w:val="0"/>
        </w:rPr>
        <w:t>ou</w:t>
      </w:r>
      <w:r w:rsidR="00DB1635" w:rsidRPr="00B004EE">
        <w:rPr>
          <w:rFonts w:ascii="Tahoma" w:hAnsi="Tahoma" w:cs="Tahoma"/>
          <w:b w:val="0"/>
          <w:bCs w:val="0"/>
        </w:rPr>
        <w:t xml:space="preserve"> </w:t>
      </w:r>
      <w:r w:rsidR="002F24E1" w:rsidRPr="00B004EE">
        <w:rPr>
          <w:rFonts w:ascii="Tahoma" w:hAnsi="Tahoma" w:cs="Tahoma"/>
          <w:b w:val="0"/>
          <w:bCs w:val="0"/>
        </w:rPr>
        <w:t>un</w:t>
      </w:r>
      <w:r w:rsidR="00DB1635" w:rsidRPr="00B004EE">
        <w:rPr>
          <w:rFonts w:ascii="Tahoma" w:hAnsi="Tahoma" w:cs="Tahoma"/>
          <w:b w:val="0"/>
          <w:bCs w:val="0"/>
        </w:rPr>
        <w:t xml:space="preserve"> </w:t>
      </w:r>
      <w:r w:rsidR="002F24E1" w:rsidRPr="00B004EE">
        <w:rPr>
          <w:rFonts w:ascii="Tahoma" w:hAnsi="Tahoma" w:cs="Tahoma"/>
          <w:b w:val="0"/>
          <w:bCs w:val="0"/>
        </w:rPr>
        <w:t>emplacement</w:t>
      </w:r>
      <w:r w:rsidR="00DB1635" w:rsidRPr="00B004EE">
        <w:rPr>
          <w:rFonts w:ascii="Tahoma" w:hAnsi="Tahoma" w:cs="Tahoma"/>
          <w:b w:val="0"/>
          <w:bCs w:val="0"/>
        </w:rPr>
        <w:t xml:space="preserve"> </w:t>
      </w:r>
      <w:r w:rsidR="002F24E1" w:rsidRPr="00B004EE">
        <w:rPr>
          <w:rFonts w:ascii="Tahoma" w:hAnsi="Tahoma" w:cs="Tahoma"/>
          <w:b w:val="0"/>
          <w:bCs w:val="0"/>
        </w:rPr>
        <w:t>spécial</w:t>
      </w:r>
      <w:r w:rsidR="00DB1635" w:rsidRPr="00B004EE">
        <w:rPr>
          <w:rFonts w:ascii="Tahoma" w:hAnsi="Tahoma" w:cs="Tahoma"/>
          <w:b w:val="0"/>
          <w:bCs w:val="0"/>
        </w:rPr>
        <w:t xml:space="preserve"> </w:t>
      </w:r>
      <w:r w:rsidR="002F24E1" w:rsidRPr="00B004EE">
        <w:rPr>
          <w:rFonts w:ascii="Tahoma" w:hAnsi="Tahoma" w:cs="Tahoma"/>
          <w:b w:val="0"/>
          <w:bCs w:val="0"/>
        </w:rPr>
        <w:t>dépendant</w:t>
      </w:r>
      <w:r w:rsidR="00DB1635" w:rsidRPr="00B004EE">
        <w:rPr>
          <w:rFonts w:ascii="Tahoma" w:hAnsi="Tahoma" w:cs="Tahoma"/>
          <w:b w:val="0"/>
          <w:bCs w:val="0"/>
        </w:rPr>
        <w:t xml:space="preserve"> </w:t>
      </w:r>
      <w:r w:rsidR="002F24E1" w:rsidRPr="00B004EE">
        <w:rPr>
          <w:rFonts w:ascii="Tahoma" w:hAnsi="Tahoma" w:cs="Tahoma"/>
          <w:b w:val="0"/>
          <w:bCs w:val="0"/>
        </w:rPr>
        <w:t>de</w:t>
      </w:r>
      <w:r w:rsidR="00DB1635" w:rsidRPr="00B004EE">
        <w:rPr>
          <w:rFonts w:ascii="Tahoma" w:hAnsi="Tahoma" w:cs="Tahoma"/>
          <w:b w:val="0"/>
          <w:bCs w:val="0"/>
        </w:rPr>
        <w:t xml:space="preserve"> </w:t>
      </w:r>
      <w:r w:rsidR="002F24E1" w:rsidRPr="00B004EE">
        <w:rPr>
          <w:rFonts w:ascii="Tahoma" w:hAnsi="Tahoma" w:cs="Tahoma"/>
          <w:b w:val="0"/>
          <w:bCs w:val="0"/>
        </w:rPr>
        <w:t>l'usine.</w:t>
      </w:r>
      <w:r w:rsidR="00DB1635" w:rsidRPr="00B004EE">
        <w:rPr>
          <w:rFonts w:ascii="Tahoma" w:hAnsi="Tahoma" w:cs="Tahoma"/>
          <w:b w:val="0"/>
          <w:bCs w:val="0"/>
        </w:rPr>
        <w:t xml:space="preserve"> </w:t>
      </w:r>
      <w:r w:rsidR="002F24E1" w:rsidRPr="00B004EE">
        <w:rPr>
          <w:rFonts w:ascii="Tahoma" w:hAnsi="Tahoma" w:cs="Tahoma"/>
          <w:b w:val="0"/>
          <w:bCs w:val="0"/>
        </w:rPr>
        <w:t>Les</w:t>
      </w:r>
      <w:r w:rsidR="00DB1635" w:rsidRPr="00B004EE">
        <w:rPr>
          <w:rFonts w:ascii="Tahoma" w:hAnsi="Tahoma" w:cs="Tahoma"/>
          <w:b w:val="0"/>
          <w:bCs w:val="0"/>
        </w:rPr>
        <w:t xml:space="preserve"> </w:t>
      </w:r>
      <w:r w:rsidR="002F24E1" w:rsidRPr="00B004EE">
        <w:rPr>
          <w:rFonts w:ascii="Tahoma" w:hAnsi="Tahoma" w:cs="Tahoma"/>
          <w:b w:val="0"/>
          <w:bCs w:val="0"/>
        </w:rPr>
        <w:t>mesures</w:t>
      </w:r>
      <w:r w:rsidR="00DB1635" w:rsidRPr="00B004EE">
        <w:rPr>
          <w:rFonts w:ascii="Tahoma" w:hAnsi="Tahoma" w:cs="Tahoma"/>
          <w:b w:val="0"/>
          <w:bCs w:val="0"/>
        </w:rPr>
        <w:t xml:space="preserve"> </w:t>
      </w:r>
      <w:r w:rsidR="002F24E1" w:rsidRPr="00B004EE">
        <w:rPr>
          <w:rFonts w:ascii="Tahoma" w:hAnsi="Tahoma" w:cs="Tahoma"/>
          <w:b w:val="0"/>
          <w:bCs w:val="0"/>
        </w:rPr>
        <w:t>de</w:t>
      </w:r>
      <w:r w:rsidR="00DB1635" w:rsidRPr="00B004EE">
        <w:rPr>
          <w:rFonts w:ascii="Tahoma" w:hAnsi="Tahoma" w:cs="Tahoma"/>
          <w:b w:val="0"/>
          <w:bCs w:val="0"/>
        </w:rPr>
        <w:t xml:space="preserve"> </w:t>
      </w:r>
      <w:r w:rsidR="002F24E1" w:rsidRPr="00B004EE">
        <w:rPr>
          <w:rFonts w:ascii="Tahoma" w:hAnsi="Tahoma" w:cs="Tahoma"/>
          <w:b w:val="0"/>
          <w:bCs w:val="0"/>
        </w:rPr>
        <w:t>consignation</w:t>
      </w:r>
      <w:r w:rsidR="00DB1635" w:rsidRPr="00B004EE">
        <w:rPr>
          <w:rFonts w:ascii="Tahoma" w:hAnsi="Tahoma" w:cs="Tahoma"/>
          <w:b w:val="0"/>
          <w:bCs w:val="0"/>
        </w:rPr>
        <w:t xml:space="preserve"> </w:t>
      </w:r>
      <w:r w:rsidR="002F24E1" w:rsidRPr="00B004EE">
        <w:rPr>
          <w:rFonts w:ascii="Tahoma" w:hAnsi="Tahoma" w:cs="Tahoma"/>
          <w:b w:val="0"/>
          <w:bCs w:val="0"/>
        </w:rPr>
        <w:t>sont</w:t>
      </w:r>
      <w:r w:rsidR="00DB1635" w:rsidRPr="00B004EE">
        <w:rPr>
          <w:rFonts w:ascii="Tahoma" w:hAnsi="Tahoma" w:cs="Tahoma"/>
          <w:b w:val="0"/>
          <w:bCs w:val="0"/>
        </w:rPr>
        <w:t xml:space="preserve"> </w:t>
      </w:r>
      <w:r w:rsidR="002F24E1" w:rsidRPr="00B004EE">
        <w:rPr>
          <w:rFonts w:ascii="Tahoma" w:hAnsi="Tahoma" w:cs="Tahoma"/>
          <w:b w:val="0"/>
          <w:bCs w:val="0"/>
        </w:rPr>
        <w:t>notées</w:t>
      </w:r>
      <w:r w:rsidR="00DB1635" w:rsidRPr="00B004EE">
        <w:rPr>
          <w:rFonts w:ascii="Tahoma" w:hAnsi="Tahoma" w:cs="Tahoma"/>
          <w:b w:val="0"/>
          <w:bCs w:val="0"/>
        </w:rPr>
        <w:t xml:space="preserve"> </w:t>
      </w:r>
      <w:r w:rsidR="002F24E1" w:rsidRPr="00B004EE">
        <w:rPr>
          <w:rFonts w:ascii="Tahoma" w:hAnsi="Tahoma" w:cs="Tahoma"/>
          <w:b w:val="0"/>
          <w:bCs w:val="0"/>
        </w:rPr>
        <w:t>par</w:t>
      </w:r>
      <w:r w:rsidR="00DB1635" w:rsidRPr="00B004EE">
        <w:rPr>
          <w:rFonts w:ascii="Tahoma" w:hAnsi="Tahoma" w:cs="Tahoma"/>
          <w:b w:val="0"/>
          <w:bCs w:val="0"/>
        </w:rPr>
        <w:t xml:space="preserve"> </w:t>
      </w:r>
      <w:r w:rsidR="002F24E1" w:rsidRPr="00B004EE">
        <w:rPr>
          <w:rFonts w:ascii="Tahoma" w:hAnsi="Tahoma" w:cs="Tahoma"/>
          <w:b w:val="0"/>
          <w:bCs w:val="0"/>
        </w:rPr>
        <w:t>l'agent</w:t>
      </w:r>
      <w:r w:rsidR="00DB1635" w:rsidRPr="00B004EE">
        <w:rPr>
          <w:rFonts w:ascii="Tahoma" w:hAnsi="Tahoma" w:cs="Tahoma"/>
          <w:b w:val="0"/>
          <w:bCs w:val="0"/>
        </w:rPr>
        <w:t xml:space="preserve"> </w:t>
      </w:r>
      <w:r w:rsidR="002F24E1" w:rsidRPr="00B004EE">
        <w:rPr>
          <w:rFonts w:ascii="Tahoma" w:hAnsi="Tahoma" w:cs="Tahoma"/>
          <w:b w:val="0"/>
          <w:bCs w:val="0"/>
        </w:rPr>
        <w:t>de</w:t>
      </w:r>
      <w:r w:rsidR="00DB1635" w:rsidRPr="00B004EE">
        <w:rPr>
          <w:rFonts w:ascii="Tahoma" w:hAnsi="Tahoma" w:cs="Tahoma"/>
          <w:b w:val="0"/>
          <w:bCs w:val="0"/>
        </w:rPr>
        <w:t xml:space="preserve"> </w:t>
      </w:r>
      <w:r w:rsidR="002F24E1" w:rsidRPr="00B004EE">
        <w:rPr>
          <w:rFonts w:ascii="Tahoma" w:hAnsi="Tahoma" w:cs="Tahoma"/>
          <w:b w:val="0"/>
          <w:bCs w:val="0"/>
        </w:rPr>
        <w:t>contrôle</w:t>
      </w:r>
      <w:r w:rsidR="00DB1635" w:rsidRPr="00B004EE">
        <w:rPr>
          <w:rFonts w:ascii="Tahoma" w:hAnsi="Tahoma" w:cs="Tahoma"/>
          <w:b w:val="0"/>
          <w:bCs w:val="0"/>
        </w:rPr>
        <w:t xml:space="preserve"> </w:t>
      </w:r>
      <w:r w:rsidR="002F24E1" w:rsidRPr="00B004EE">
        <w:rPr>
          <w:rFonts w:ascii="Tahoma" w:hAnsi="Tahoma" w:cs="Tahoma"/>
          <w:b w:val="0"/>
          <w:bCs w:val="0"/>
        </w:rPr>
        <w:t>sur</w:t>
      </w:r>
      <w:r w:rsidR="00DB1635" w:rsidRPr="00B004EE">
        <w:rPr>
          <w:rFonts w:ascii="Tahoma" w:hAnsi="Tahoma" w:cs="Tahoma"/>
          <w:b w:val="0"/>
          <w:bCs w:val="0"/>
        </w:rPr>
        <w:t xml:space="preserve"> </w:t>
      </w:r>
      <w:r w:rsidR="002F24E1" w:rsidRPr="00B004EE">
        <w:rPr>
          <w:rFonts w:ascii="Tahoma" w:hAnsi="Tahoma" w:cs="Tahoma"/>
          <w:b w:val="0"/>
          <w:bCs w:val="0"/>
        </w:rPr>
        <w:t>le</w:t>
      </w:r>
      <w:r w:rsidR="00DB1635" w:rsidRPr="00B004EE">
        <w:rPr>
          <w:rFonts w:ascii="Tahoma" w:hAnsi="Tahoma" w:cs="Tahoma"/>
          <w:b w:val="0"/>
          <w:bCs w:val="0"/>
        </w:rPr>
        <w:t xml:space="preserve"> </w:t>
      </w:r>
      <w:r w:rsidR="002F24E1" w:rsidRPr="00B004EE">
        <w:rPr>
          <w:rFonts w:ascii="Tahoma" w:hAnsi="Tahoma" w:cs="Tahoma"/>
          <w:b w:val="0"/>
          <w:bCs w:val="0"/>
        </w:rPr>
        <w:t>registre</w:t>
      </w:r>
      <w:r w:rsidR="00DB1635" w:rsidRPr="00B004EE">
        <w:rPr>
          <w:rFonts w:ascii="Tahoma" w:hAnsi="Tahoma" w:cs="Tahoma"/>
          <w:b w:val="0"/>
          <w:bCs w:val="0"/>
        </w:rPr>
        <w:t xml:space="preserve"> </w:t>
      </w:r>
      <w:r w:rsidR="002F24E1" w:rsidRPr="00B004EE">
        <w:rPr>
          <w:rFonts w:ascii="Tahoma" w:hAnsi="Tahoma" w:cs="Tahoma"/>
          <w:b w:val="0"/>
          <w:bCs w:val="0"/>
        </w:rPr>
        <w:t>visé</w:t>
      </w:r>
      <w:r w:rsidR="00DB1635" w:rsidRPr="00B004EE">
        <w:rPr>
          <w:rFonts w:ascii="Tahoma" w:hAnsi="Tahoma" w:cs="Tahoma"/>
          <w:b w:val="0"/>
          <w:bCs w:val="0"/>
        </w:rPr>
        <w:t xml:space="preserve"> </w:t>
      </w:r>
      <w:r w:rsidR="002F24E1" w:rsidRPr="00B004EE">
        <w:rPr>
          <w:rFonts w:ascii="Tahoma" w:hAnsi="Tahoma" w:cs="Tahoma"/>
          <w:b w:val="0"/>
          <w:bCs w:val="0"/>
        </w:rPr>
        <w:t>à</w:t>
      </w:r>
      <w:r w:rsidR="00DB1635" w:rsidRPr="00B004EE">
        <w:rPr>
          <w:rFonts w:ascii="Tahoma" w:hAnsi="Tahoma" w:cs="Tahoma"/>
          <w:b w:val="0"/>
          <w:bCs w:val="0"/>
        </w:rPr>
        <w:t xml:space="preserve"> </w:t>
      </w:r>
      <w:r w:rsidR="002F24E1" w:rsidRPr="00B004EE">
        <w:rPr>
          <w:rFonts w:ascii="Tahoma" w:hAnsi="Tahoma" w:cs="Tahoma"/>
          <w:b w:val="0"/>
          <w:bCs w:val="0"/>
        </w:rPr>
        <w:t>l'article</w:t>
      </w:r>
      <w:r w:rsidR="00DB1635" w:rsidRPr="00B004EE">
        <w:rPr>
          <w:rFonts w:ascii="Tahoma" w:hAnsi="Tahoma" w:cs="Tahoma"/>
          <w:b w:val="0"/>
          <w:bCs w:val="0"/>
        </w:rPr>
        <w:t xml:space="preserve"> </w:t>
      </w:r>
      <w:r w:rsidR="002F24E1" w:rsidRPr="00B004EE">
        <w:rPr>
          <w:rFonts w:ascii="Tahoma" w:hAnsi="Tahoma" w:cs="Tahoma"/>
          <w:b w:val="0"/>
          <w:bCs w:val="0"/>
        </w:rPr>
        <w:t>2.</w:t>
      </w:r>
      <w:r w:rsidR="00DB1635" w:rsidRPr="00B004EE">
        <w:rPr>
          <w:rFonts w:ascii="Tahoma" w:hAnsi="Tahoma" w:cs="Tahoma"/>
          <w:b w:val="0"/>
          <w:bCs w:val="0"/>
        </w:rPr>
        <w:t xml:space="preserve"> </w:t>
      </w:r>
      <w:r w:rsidR="002F24E1" w:rsidRPr="00B004EE">
        <w:rPr>
          <w:rFonts w:ascii="Tahoma" w:hAnsi="Tahoma" w:cs="Tahoma"/>
          <w:b w:val="0"/>
          <w:bCs w:val="0"/>
        </w:rPr>
        <w:t>Les</w:t>
      </w:r>
      <w:r w:rsidR="00DB1635" w:rsidRPr="00B004EE">
        <w:rPr>
          <w:rFonts w:ascii="Tahoma" w:hAnsi="Tahoma" w:cs="Tahoma"/>
          <w:b w:val="0"/>
          <w:bCs w:val="0"/>
        </w:rPr>
        <w:t xml:space="preserve"> </w:t>
      </w:r>
      <w:r w:rsidR="002F24E1" w:rsidRPr="00B004EE">
        <w:rPr>
          <w:rFonts w:ascii="Tahoma" w:hAnsi="Tahoma" w:cs="Tahoma"/>
          <w:b w:val="0"/>
          <w:bCs w:val="0"/>
        </w:rPr>
        <w:t>mentions</w:t>
      </w:r>
      <w:r w:rsidR="00DB1635" w:rsidRPr="00B004EE">
        <w:rPr>
          <w:rFonts w:ascii="Tahoma" w:hAnsi="Tahoma" w:cs="Tahoma"/>
          <w:b w:val="0"/>
          <w:bCs w:val="0"/>
        </w:rPr>
        <w:t xml:space="preserve"> </w:t>
      </w:r>
      <w:r w:rsidR="002F24E1" w:rsidRPr="00B004EE">
        <w:rPr>
          <w:rFonts w:ascii="Tahoma" w:hAnsi="Tahoma" w:cs="Tahoma"/>
          <w:b w:val="0"/>
          <w:bCs w:val="0"/>
        </w:rPr>
        <w:t>portées</w:t>
      </w:r>
      <w:r w:rsidR="00DB1635" w:rsidRPr="00B004EE">
        <w:rPr>
          <w:rFonts w:ascii="Tahoma" w:hAnsi="Tahoma" w:cs="Tahoma"/>
          <w:b w:val="0"/>
          <w:bCs w:val="0"/>
        </w:rPr>
        <w:t xml:space="preserve"> </w:t>
      </w:r>
      <w:r w:rsidR="002F24E1" w:rsidRPr="00B004EE">
        <w:rPr>
          <w:rFonts w:ascii="Tahoma" w:hAnsi="Tahoma" w:cs="Tahoma"/>
          <w:b w:val="0"/>
          <w:bCs w:val="0"/>
        </w:rPr>
        <w:t>au</w:t>
      </w:r>
      <w:r w:rsidR="00DB1635" w:rsidRPr="00B004EE">
        <w:rPr>
          <w:rFonts w:ascii="Tahoma" w:hAnsi="Tahoma" w:cs="Tahoma"/>
          <w:b w:val="0"/>
          <w:bCs w:val="0"/>
        </w:rPr>
        <w:t xml:space="preserve"> </w:t>
      </w:r>
      <w:r w:rsidR="002F24E1" w:rsidRPr="00B004EE">
        <w:rPr>
          <w:rFonts w:ascii="Tahoma" w:hAnsi="Tahoma" w:cs="Tahoma"/>
          <w:b w:val="0"/>
          <w:bCs w:val="0"/>
        </w:rPr>
        <w:t>registre</w:t>
      </w:r>
      <w:r w:rsidR="00DB1635" w:rsidRPr="00B004EE">
        <w:rPr>
          <w:rFonts w:ascii="Tahoma" w:hAnsi="Tahoma" w:cs="Tahoma"/>
          <w:b w:val="0"/>
          <w:bCs w:val="0"/>
        </w:rPr>
        <w:t xml:space="preserve"> </w:t>
      </w:r>
      <w:r w:rsidR="002F24E1" w:rsidRPr="00B004EE">
        <w:rPr>
          <w:rFonts w:ascii="Tahoma" w:hAnsi="Tahoma" w:cs="Tahoma"/>
          <w:b w:val="0"/>
          <w:bCs w:val="0"/>
        </w:rPr>
        <w:t>indiquent</w:t>
      </w:r>
      <w:r w:rsidR="00DB1635" w:rsidRPr="00B004EE">
        <w:rPr>
          <w:rFonts w:ascii="Tahoma" w:hAnsi="Tahoma" w:cs="Tahoma"/>
          <w:b w:val="0"/>
          <w:bCs w:val="0"/>
        </w:rPr>
        <w:t xml:space="preserve"> </w:t>
      </w:r>
      <w:r w:rsidR="002F24E1" w:rsidRPr="00B004EE">
        <w:rPr>
          <w:rFonts w:ascii="Tahoma" w:hAnsi="Tahoma" w:cs="Tahoma"/>
          <w:b w:val="0"/>
          <w:bCs w:val="0"/>
        </w:rPr>
        <w:t>notamment</w:t>
      </w:r>
      <w:r w:rsidR="00DB1635" w:rsidRPr="00B004EE">
        <w:rPr>
          <w:rFonts w:ascii="Tahoma" w:hAnsi="Tahoma" w:cs="Tahoma"/>
          <w:b w:val="0"/>
          <w:bCs w:val="0"/>
        </w:rPr>
        <w:t xml:space="preserve"> </w:t>
      </w:r>
      <w:r w:rsidR="002F24E1" w:rsidRPr="00B004EE">
        <w:rPr>
          <w:rFonts w:ascii="Tahoma" w:hAnsi="Tahoma" w:cs="Tahoma"/>
          <w:b w:val="0"/>
          <w:bCs w:val="0"/>
        </w:rPr>
        <w:t>la</w:t>
      </w:r>
      <w:r w:rsidR="00DB1635" w:rsidRPr="00B004EE">
        <w:rPr>
          <w:rFonts w:ascii="Tahoma" w:hAnsi="Tahoma" w:cs="Tahoma"/>
          <w:b w:val="0"/>
          <w:bCs w:val="0"/>
        </w:rPr>
        <w:t xml:space="preserve"> </w:t>
      </w:r>
      <w:r w:rsidR="002F24E1" w:rsidRPr="00B004EE">
        <w:rPr>
          <w:rFonts w:ascii="Tahoma" w:hAnsi="Tahoma" w:cs="Tahoma"/>
          <w:b w:val="0"/>
          <w:bCs w:val="0"/>
        </w:rPr>
        <w:t>désignation</w:t>
      </w:r>
      <w:r w:rsidR="00DB1635" w:rsidRPr="00B004EE">
        <w:rPr>
          <w:rFonts w:ascii="Tahoma" w:hAnsi="Tahoma" w:cs="Tahoma"/>
          <w:b w:val="0"/>
          <w:bCs w:val="0"/>
        </w:rPr>
        <w:t xml:space="preserve"> </w:t>
      </w:r>
      <w:r w:rsidR="002F24E1" w:rsidRPr="00B004EE">
        <w:rPr>
          <w:rFonts w:ascii="Tahoma" w:hAnsi="Tahoma" w:cs="Tahoma"/>
          <w:b w:val="0"/>
          <w:bCs w:val="0"/>
        </w:rPr>
        <w:t>des</w:t>
      </w:r>
      <w:r w:rsidR="00DB1635" w:rsidRPr="00B004EE">
        <w:rPr>
          <w:rFonts w:ascii="Tahoma" w:hAnsi="Tahoma" w:cs="Tahoma"/>
          <w:b w:val="0"/>
          <w:bCs w:val="0"/>
        </w:rPr>
        <w:t xml:space="preserve"> </w:t>
      </w:r>
      <w:r w:rsidR="002F24E1" w:rsidRPr="00B004EE">
        <w:rPr>
          <w:rFonts w:ascii="Tahoma" w:hAnsi="Tahoma" w:cs="Tahoma"/>
          <w:b w:val="0"/>
          <w:bCs w:val="0"/>
        </w:rPr>
        <w:t>matières</w:t>
      </w:r>
      <w:r w:rsidR="00DB1635" w:rsidRPr="00B004EE">
        <w:rPr>
          <w:rFonts w:ascii="Tahoma" w:hAnsi="Tahoma" w:cs="Tahoma"/>
          <w:b w:val="0"/>
          <w:bCs w:val="0"/>
        </w:rPr>
        <w:t xml:space="preserve"> </w:t>
      </w:r>
      <w:r w:rsidR="002F24E1" w:rsidRPr="00B004EE">
        <w:rPr>
          <w:rFonts w:ascii="Tahoma" w:hAnsi="Tahoma" w:cs="Tahoma"/>
          <w:b w:val="0"/>
          <w:bCs w:val="0"/>
        </w:rPr>
        <w:t>et</w:t>
      </w:r>
      <w:r w:rsidR="00DB1635" w:rsidRPr="00B004EE">
        <w:rPr>
          <w:rFonts w:ascii="Tahoma" w:hAnsi="Tahoma" w:cs="Tahoma"/>
          <w:b w:val="0"/>
          <w:bCs w:val="0"/>
        </w:rPr>
        <w:t xml:space="preserve"> </w:t>
      </w:r>
      <w:r w:rsidR="002F24E1" w:rsidRPr="00B004EE">
        <w:rPr>
          <w:rFonts w:ascii="Tahoma" w:hAnsi="Tahoma" w:cs="Tahoma"/>
          <w:b w:val="0"/>
          <w:bCs w:val="0"/>
        </w:rPr>
        <w:t>produits</w:t>
      </w:r>
      <w:r w:rsidR="00DB1635" w:rsidRPr="00B004EE">
        <w:rPr>
          <w:rFonts w:ascii="Tahoma" w:hAnsi="Tahoma" w:cs="Tahoma"/>
          <w:b w:val="0"/>
          <w:bCs w:val="0"/>
        </w:rPr>
        <w:t xml:space="preserve"> </w:t>
      </w:r>
      <w:r w:rsidR="002F24E1" w:rsidRPr="00B004EE">
        <w:rPr>
          <w:rFonts w:ascii="Tahoma" w:hAnsi="Tahoma" w:cs="Tahoma"/>
          <w:b w:val="0"/>
          <w:bCs w:val="0"/>
        </w:rPr>
        <w:t>consignés,</w:t>
      </w:r>
      <w:r w:rsidR="00DB1635" w:rsidRPr="00B004EE">
        <w:rPr>
          <w:rFonts w:ascii="Tahoma" w:hAnsi="Tahoma" w:cs="Tahoma"/>
          <w:b w:val="0"/>
          <w:bCs w:val="0"/>
        </w:rPr>
        <w:t xml:space="preserve"> </w:t>
      </w:r>
      <w:r w:rsidR="002F24E1" w:rsidRPr="00B004EE">
        <w:rPr>
          <w:rFonts w:ascii="Tahoma" w:hAnsi="Tahoma" w:cs="Tahoma"/>
          <w:b w:val="0"/>
          <w:bCs w:val="0"/>
        </w:rPr>
        <w:t>leur</w:t>
      </w:r>
      <w:r w:rsidR="00DB1635" w:rsidRPr="00B004EE">
        <w:rPr>
          <w:rFonts w:ascii="Tahoma" w:hAnsi="Tahoma" w:cs="Tahoma"/>
          <w:b w:val="0"/>
          <w:bCs w:val="0"/>
        </w:rPr>
        <w:t xml:space="preserve"> </w:t>
      </w:r>
      <w:r w:rsidR="002F24E1" w:rsidRPr="00B004EE">
        <w:rPr>
          <w:rFonts w:ascii="Tahoma" w:hAnsi="Tahoma" w:cs="Tahoma"/>
          <w:b w:val="0"/>
          <w:bCs w:val="0"/>
        </w:rPr>
        <w:t>qualité</w:t>
      </w:r>
      <w:r w:rsidR="00DB1635" w:rsidRPr="00B004EE">
        <w:rPr>
          <w:rFonts w:ascii="Tahoma" w:hAnsi="Tahoma" w:cs="Tahoma"/>
          <w:b w:val="0"/>
          <w:bCs w:val="0"/>
        </w:rPr>
        <w:t xml:space="preserve"> </w:t>
      </w:r>
      <w:r w:rsidR="002F24E1" w:rsidRPr="00B004EE">
        <w:rPr>
          <w:rFonts w:ascii="Tahoma" w:hAnsi="Tahoma" w:cs="Tahoma"/>
          <w:b w:val="0"/>
          <w:bCs w:val="0"/>
        </w:rPr>
        <w:t>et</w:t>
      </w:r>
      <w:r w:rsidR="00DB1635" w:rsidRPr="00B004EE">
        <w:rPr>
          <w:rFonts w:ascii="Tahoma" w:hAnsi="Tahoma" w:cs="Tahoma"/>
          <w:b w:val="0"/>
          <w:bCs w:val="0"/>
        </w:rPr>
        <w:t xml:space="preserve"> </w:t>
      </w:r>
      <w:r w:rsidR="002F24E1" w:rsidRPr="00B004EE">
        <w:rPr>
          <w:rFonts w:ascii="Tahoma" w:hAnsi="Tahoma" w:cs="Tahoma"/>
          <w:b w:val="0"/>
          <w:bCs w:val="0"/>
        </w:rPr>
        <w:t>le</w:t>
      </w:r>
      <w:r w:rsidR="00DB1635" w:rsidRPr="00B004EE">
        <w:rPr>
          <w:rFonts w:ascii="Tahoma" w:hAnsi="Tahoma" w:cs="Tahoma"/>
          <w:b w:val="0"/>
          <w:bCs w:val="0"/>
        </w:rPr>
        <w:t xml:space="preserve"> </w:t>
      </w:r>
      <w:r w:rsidR="002F24E1" w:rsidRPr="00B004EE">
        <w:rPr>
          <w:rFonts w:ascii="Tahoma" w:hAnsi="Tahoma" w:cs="Tahoma"/>
          <w:b w:val="0"/>
          <w:bCs w:val="0"/>
        </w:rPr>
        <w:t>motif</w:t>
      </w:r>
      <w:r w:rsidR="00DB1635" w:rsidRPr="00B004EE">
        <w:rPr>
          <w:rFonts w:ascii="Tahoma" w:hAnsi="Tahoma" w:cs="Tahoma"/>
          <w:b w:val="0"/>
          <w:bCs w:val="0"/>
        </w:rPr>
        <w:t xml:space="preserve"> </w:t>
      </w:r>
      <w:r w:rsidR="002F24E1" w:rsidRPr="00B004EE">
        <w:rPr>
          <w:rFonts w:ascii="Tahoma" w:hAnsi="Tahoma" w:cs="Tahoma"/>
          <w:b w:val="0"/>
          <w:bCs w:val="0"/>
        </w:rPr>
        <w:t>de</w:t>
      </w:r>
      <w:r w:rsidR="00DB1635" w:rsidRPr="00B004EE">
        <w:rPr>
          <w:rFonts w:ascii="Tahoma" w:hAnsi="Tahoma" w:cs="Tahoma"/>
          <w:b w:val="0"/>
          <w:bCs w:val="0"/>
        </w:rPr>
        <w:t xml:space="preserve"> </w:t>
      </w:r>
      <w:r w:rsidR="002F24E1" w:rsidRPr="00B004EE">
        <w:rPr>
          <w:rFonts w:ascii="Tahoma" w:hAnsi="Tahoma" w:cs="Tahoma"/>
          <w:b w:val="0"/>
          <w:bCs w:val="0"/>
        </w:rPr>
        <w:t>la</w:t>
      </w:r>
      <w:r w:rsidR="00DB1635" w:rsidRPr="00B004EE">
        <w:rPr>
          <w:rFonts w:ascii="Tahoma" w:hAnsi="Tahoma" w:cs="Tahoma"/>
          <w:b w:val="0"/>
          <w:bCs w:val="0"/>
        </w:rPr>
        <w:t xml:space="preserve"> </w:t>
      </w:r>
      <w:r w:rsidR="002F24E1" w:rsidRPr="00B004EE">
        <w:rPr>
          <w:rFonts w:ascii="Tahoma" w:hAnsi="Tahoma" w:cs="Tahoma"/>
          <w:b w:val="0"/>
          <w:bCs w:val="0"/>
        </w:rPr>
        <w:t>consignation.</w:t>
      </w:r>
    </w:p>
    <w:p w14:paraId="0A813CED" w14:textId="77777777" w:rsidR="002F24E1" w:rsidRPr="00B004EE" w:rsidRDefault="002F24E1" w:rsidP="00B004EE">
      <w:pPr>
        <w:pStyle w:val="Lgende"/>
        <w:jc w:val="both"/>
        <w:rPr>
          <w:rFonts w:ascii="Tahoma" w:hAnsi="Tahoma" w:cs="Tahoma"/>
          <w:b w:val="0"/>
          <w:bCs w:val="0"/>
        </w:rPr>
      </w:pPr>
    </w:p>
    <w:p w14:paraId="1B0B0DB1" w14:textId="1856E104" w:rsidR="002F24E1" w:rsidRPr="00B004EE" w:rsidRDefault="00561F81" w:rsidP="00B004EE">
      <w:pPr>
        <w:pStyle w:val="Lgende"/>
        <w:jc w:val="both"/>
        <w:rPr>
          <w:rFonts w:ascii="Tahoma" w:hAnsi="Tahoma" w:cs="Tahoma"/>
          <w:b w:val="0"/>
          <w:bCs w:val="0"/>
        </w:rPr>
      </w:pPr>
      <w:r w:rsidRPr="00B004EE">
        <w:rPr>
          <w:rFonts w:ascii="Tahoma" w:hAnsi="Tahoma" w:cs="Tahoma"/>
          <w:b w:val="0"/>
          <w:bCs w:val="0"/>
        </w:rPr>
        <w:t xml:space="preserve">Article </w:t>
      </w:r>
      <w:r w:rsidR="002F24E1" w:rsidRPr="00B004EE">
        <w:rPr>
          <w:rFonts w:ascii="Tahoma" w:hAnsi="Tahoma" w:cs="Tahoma"/>
          <w:b w:val="0"/>
          <w:bCs w:val="0"/>
        </w:rPr>
        <w:t>5</w:t>
      </w:r>
      <w:r w:rsidR="00DB1635" w:rsidRPr="00B004EE">
        <w:rPr>
          <w:rFonts w:ascii="Tahoma" w:hAnsi="Tahoma" w:cs="Tahoma"/>
          <w:b w:val="0"/>
          <w:bCs w:val="0"/>
        </w:rPr>
        <w:t xml:space="preserve"> </w:t>
      </w:r>
      <w:r w:rsidR="002F24E1" w:rsidRPr="00B004EE">
        <w:rPr>
          <w:rFonts w:ascii="Tahoma" w:hAnsi="Tahoma" w:cs="Tahoma"/>
          <w:b w:val="0"/>
          <w:bCs w:val="0"/>
        </w:rPr>
        <w:t>:</w:t>
      </w:r>
      <w:r w:rsidR="00DB1635" w:rsidRPr="00B004EE">
        <w:rPr>
          <w:rFonts w:ascii="Tahoma" w:hAnsi="Tahoma" w:cs="Tahoma"/>
          <w:b w:val="0"/>
          <w:bCs w:val="0"/>
        </w:rPr>
        <w:t xml:space="preserve"> </w:t>
      </w:r>
      <w:r w:rsidR="002F24E1" w:rsidRPr="00B004EE">
        <w:rPr>
          <w:rFonts w:ascii="Tahoma" w:hAnsi="Tahoma" w:cs="Tahoma"/>
          <w:b w:val="0"/>
          <w:bCs w:val="0"/>
        </w:rPr>
        <w:t>Lorsque,</w:t>
      </w:r>
      <w:r w:rsidR="00DB1635" w:rsidRPr="00B004EE">
        <w:rPr>
          <w:rFonts w:ascii="Tahoma" w:hAnsi="Tahoma" w:cs="Tahoma"/>
          <w:b w:val="0"/>
          <w:bCs w:val="0"/>
        </w:rPr>
        <w:t xml:space="preserve"> </w:t>
      </w:r>
      <w:r w:rsidR="002F24E1" w:rsidRPr="00B004EE">
        <w:rPr>
          <w:rFonts w:ascii="Tahoma" w:hAnsi="Tahoma" w:cs="Tahoma"/>
          <w:b w:val="0"/>
          <w:bCs w:val="0"/>
        </w:rPr>
        <w:t>à</w:t>
      </w:r>
      <w:r w:rsidR="00DB1635" w:rsidRPr="00B004EE">
        <w:rPr>
          <w:rFonts w:ascii="Tahoma" w:hAnsi="Tahoma" w:cs="Tahoma"/>
          <w:b w:val="0"/>
          <w:bCs w:val="0"/>
        </w:rPr>
        <w:t xml:space="preserve"> </w:t>
      </w:r>
      <w:r w:rsidR="002F24E1" w:rsidRPr="00B004EE">
        <w:rPr>
          <w:rFonts w:ascii="Tahoma" w:hAnsi="Tahoma" w:cs="Tahoma"/>
          <w:b w:val="0"/>
          <w:bCs w:val="0"/>
        </w:rPr>
        <w:t>la</w:t>
      </w:r>
      <w:r w:rsidR="00DB1635" w:rsidRPr="00B004EE">
        <w:rPr>
          <w:rFonts w:ascii="Tahoma" w:hAnsi="Tahoma" w:cs="Tahoma"/>
          <w:b w:val="0"/>
          <w:bCs w:val="0"/>
        </w:rPr>
        <w:t xml:space="preserve"> </w:t>
      </w:r>
      <w:r w:rsidR="002F24E1" w:rsidRPr="00B004EE">
        <w:rPr>
          <w:rFonts w:ascii="Tahoma" w:hAnsi="Tahoma" w:cs="Tahoma"/>
          <w:b w:val="0"/>
          <w:bCs w:val="0"/>
        </w:rPr>
        <w:t>suite</w:t>
      </w:r>
      <w:r w:rsidR="00DB1635" w:rsidRPr="00B004EE">
        <w:rPr>
          <w:rFonts w:ascii="Tahoma" w:hAnsi="Tahoma" w:cs="Tahoma"/>
          <w:b w:val="0"/>
          <w:bCs w:val="0"/>
        </w:rPr>
        <w:t xml:space="preserve"> </w:t>
      </w:r>
      <w:r w:rsidR="002F24E1" w:rsidRPr="00B004EE">
        <w:rPr>
          <w:rFonts w:ascii="Tahoma" w:hAnsi="Tahoma" w:cs="Tahoma"/>
          <w:b w:val="0"/>
          <w:bCs w:val="0"/>
        </w:rPr>
        <w:t>de</w:t>
      </w:r>
      <w:r w:rsidR="00DB1635" w:rsidRPr="00B004EE">
        <w:rPr>
          <w:rFonts w:ascii="Tahoma" w:hAnsi="Tahoma" w:cs="Tahoma"/>
          <w:b w:val="0"/>
          <w:bCs w:val="0"/>
        </w:rPr>
        <w:t xml:space="preserve"> </w:t>
      </w:r>
      <w:r w:rsidR="002F24E1" w:rsidRPr="00B004EE">
        <w:rPr>
          <w:rFonts w:ascii="Tahoma" w:hAnsi="Tahoma" w:cs="Tahoma"/>
          <w:b w:val="0"/>
          <w:bCs w:val="0"/>
        </w:rPr>
        <w:t>consignation,</w:t>
      </w:r>
      <w:r w:rsidR="00DB1635" w:rsidRPr="00B004EE">
        <w:rPr>
          <w:rFonts w:ascii="Tahoma" w:hAnsi="Tahoma" w:cs="Tahoma"/>
          <w:b w:val="0"/>
          <w:bCs w:val="0"/>
        </w:rPr>
        <w:t xml:space="preserve"> </w:t>
      </w:r>
      <w:r w:rsidR="002F24E1" w:rsidRPr="00B004EE">
        <w:rPr>
          <w:rFonts w:ascii="Tahoma" w:hAnsi="Tahoma" w:cs="Tahoma"/>
          <w:b w:val="0"/>
          <w:bCs w:val="0"/>
        </w:rPr>
        <w:t>des</w:t>
      </w:r>
      <w:r w:rsidR="00DB1635" w:rsidRPr="00B004EE">
        <w:rPr>
          <w:rFonts w:ascii="Tahoma" w:hAnsi="Tahoma" w:cs="Tahoma"/>
          <w:b w:val="0"/>
          <w:bCs w:val="0"/>
        </w:rPr>
        <w:t xml:space="preserve"> </w:t>
      </w:r>
      <w:r w:rsidR="002F24E1" w:rsidRPr="00B004EE">
        <w:rPr>
          <w:rFonts w:ascii="Tahoma" w:hAnsi="Tahoma" w:cs="Tahoma"/>
          <w:b w:val="0"/>
          <w:bCs w:val="0"/>
        </w:rPr>
        <w:t>examens</w:t>
      </w:r>
      <w:r w:rsidR="00DB1635" w:rsidRPr="00B004EE">
        <w:rPr>
          <w:rFonts w:ascii="Tahoma" w:hAnsi="Tahoma" w:cs="Tahoma"/>
          <w:b w:val="0"/>
          <w:bCs w:val="0"/>
        </w:rPr>
        <w:t xml:space="preserve"> </w:t>
      </w:r>
      <w:r w:rsidR="002F24E1" w:rsidRPr="00B004EE">
        <w:rPr>
          <w:rFonts w:ascii="Tahoma" w:hAnsi="Tahoma" w:cs="Tahoma"/>
          <w:b w:val="0"/>
          <w:bCs w:val="0"/>
        </w:rPr>
        <w:t>de</w:t>
      </w:r>
      <w:r w:rsidR="00DB1635" w:rsidRPr="00B004EE">
        <w:rPr>
          <w:rFonts w:ascii="Tahoma" w:hAnsi="Tahoma" w:cs="Tahoma"/>
          <w:b w:val="0"/>
          <w:bCs w:val="0"/>
        </w:rPr>
        <w:t xml:space="preserve"> </w:t>
      </w:r>
      <w:r w:rsidR="002F24E1" w:rsidRPr="00B004EE">
        <w:rPr>
          <w:rFonts w:ascii="Tahoma" w:hAnsi="Tahoma" w:cs="Tahoma"/>
          <w:b w:val="0"/>
          <w:bCs w:val="0"/>
        </w:rPr>
        <w:t>laboratoire</w:t>
      </w:r>
      <w:r w:rsidR="00DB1635" w:rsidRPr="00B004EE">
        <w:rPr>
          <w:rFonts w:ascii="Tahoma" w:hAnsi="Tahoma" w:cs="Tahoma"/>
          <w:b w:val="0"/>
          <w:bCs w:val="0"/>
        </w:rPr>
        <w:t xml:space="preserve"> </w:t>
      </w:r>
      <w:r w:rsidR="002F24E1" w:rsidRPr="00B004EE">
        <w:rPr>
          <w:rFonts w:ascii="Tahoma" w:hAnsi="Tahoma" w:cs="Tahoma"/>
          <w:b w:val="0"/>
          <w:bCs w:val="0"/>
        </w:rPr>
        <w:t>ou</w:t>
      </w:r>
      <w:r w:rsidR="00DB1635" w:rsidRPr="00B004EE">
        <w:rPr>
          <w:rFonts w:ascii="Tahoma" w:hAnsi="Tahoma" w:cs="Tahoma"/>
          <w:b w:val="0"/>
          <w:bCs w:val="0"/>
        </w:rPr>
        <w:t xml:space="preserve"> </w:t>
      </w:r>
      <w:r w:rsidR="002F24E1" w:rsidRPr="00B004EE">
        <w:rPr>
          <w:rFonts w:ascii="Tahoma" w:hAnsi="Tahoma" w:cs="Tahoma"/>
          <w:b w:val="0"/>
          <w:bCs w:val="0"/>
        </w:rPr>
        <w:t>des</w:t>
      </w:r>
      <w:r w:rsidR="00DB1635" w:rsidRPr="00B004EE">
        <w:rPr>
          <w:rFonts w:ascii="Tahoma" w:hAnsi="Tahoma" w:cs="Tahoma"/>
          <w:b w:val="0"/>
          <w:bCs w:val="0"/>
        </w:rPr>
        <w:t xml:space="preserve"> </w:t>
      </w:r>
      <w:r w:rsidR="002F24E1" w:rsidRPr="00B004EE">
        <w:rPr>
          <w:rFonts w:ascii="Tahoma" w:hAnsi="Tahoma" w:cs="Tahoma"/>
          <w:b w:val="0"/>
          <w:bCs w:val="0"/>
        </w:rPr>
        <w:t>vérifications</w:t>
      </w:r>
      <w:r w:rsidR="00DB1635" w:rsidRPr="00B004EE">
        <w:rPr>
          <w:rFonts w:ascii="Tahoma" w:hAnsi="Tahoma" w:cs="Tahoma"/>
          <w:b w:val="0"/>
          <w:bCs w:val="0"/>
        </w:rPr>
        <w:t xml:space="preserve"> </w:t>
      </w:r>
      <w:r w:rsidR="002F24E1" w:rsidRPr="00B004EE">
        <w:rPr>
          <w:rFonts w:ascii="Tahoma" w:hAnsi="Tahoma" w:cs="Tahoma"/>
          <w:b w:val="0"/>
          <w:bCs w:val="0"/>
        </w:rPr>
        <w:t>complémentaires</w:t>
      </w:r>
      <w:r w:rsidR="00DB1635" w:rsidRPr="00B004EE">
        <w:rPr>
          <w:rFonts w:ascii="Tahoma" w:hAnsi="Tahoma" w:cs="Tahoma"/>
          <w:b w:val="0"/>
          <w:bCs w:val="0"/>
        </w:rPr>
        <w:t xml:space="preserve"> </w:t>
      </w:r>
      <w:r w:rsidR="002F24E1" w:rsidRPr="00B004EE">
        <w:rPr>
          <w:rFonts w:ascii="Tahoma" w:hAnsi="Tahoma" w:cs="Tahoma"/>
          <w:b w:val="0"/>
          <w:bCs w:val="0"/>
        </w:rPr>
        <w:t>sont</w:t>
      </w:r>
      <w:r w:rsidR="00DB1635" w:rsidRPr="00B004EE">
        <w:rPr>
          <w:rFonts w:ascii="Tahoma" w:hAnsi="Tahoma" w:cs="Tahoma"/>
          <w:b w:val="0"/>
          <w:bCs w:val="0"/>
        </w:rPr>
        <w:t xml:space="preserve"> </w:t>
      </w:r>
      <w:r w:rsidR="002F24E1" w:rsidRPr="00B004EE">
        <w:rPr>
          <w:rFonts w:ascii="Tahoma" w:hAnsi="Tahoma" w:cs="Tahoma"/>
          <w:b w:val="0"/>
          <w:bCs w:val="0"/>
        </w:rPr>
        <w:t>nécessaires,</w:t>
      </w:r>
      <w:r w:rsidR="00DB1635" w:rsidRPr="00B004EE">
        <w:rPr>
          <w:rFonts w:ascii="Tahoma" w:hAnsi="Tahoma" w:cs="Tahoma"/>
          <w:b w:val="0"/>
          <w:bCs w:val="0"/>
        </w:rPr>
        <w:t xml:space="preserve"> </w:t>
      </w:r>
      <w:r w:rsidR="002F24E1" w:rsidRPr="00B004EE">
        <w:rPr>
          <w:rFonts w:ascii="Tahoma" w:hAnsi="Tahoma" w:cs="Tahoma"/>
          <w:b w:val="0"/>
          <w:bCs w:val="0"/>
        </w:rPr>
        <w:t>l'agent</w:t>
      </w:r>
      <w:r w:rsidR="00DB1635" w:rsidRPr="00B004EE">
        <w:rPr>
          <w:rFonts w:ascii="Tahoma" w:hAnsi="Tahoma" w:cs="Tahoma"/>
          <w:b w:val="0"/>
          <w:bCs w:val="0"/>
        </w:rPr>
        <w:t xml:space="preserve"> </w:t>
      </w:r>
      <w:r w:rsidR="002F24E1" w:rsidRPr="00B004EE">
        <w:rPr>
          <w:rFonts w:ascii="Tahoma" w:hAnsi="Tahoma" w:cs="Tahoma"/>
          <w:b w:val="0"/>
          <w:bCs w:val="0"/>
        </w:rPr>
        <w:t>de</w:t>
      </w:r>
      <w:r w:rsidR="00DB1635" w:rsidRPr="00B004EE">
        <w:rPr>
          <w:rFonts w:ascii="Tahoma" w:hAnsi="Tahoma" w:cs="Tahoma"/>
          <w:b w:val="0"/>
          <w:bCs w:val="0"/>
        </w:rPr>
        <w:t xml:space="preserve"> </w:t>
      </w:r>
      <w:r w:rsidR="002F24E1" w:rsidRPr="00B004EE">
        <w:rPr>
          <w:rFonts w:ascii="Tahoma" w:hAnsi="Tahoma" w:cs="Tahoma"/>
          <w:b w:val="0"/>
          <w:bCs w:val="0"/>
        </w:rPr>
        <w:t>contrôle</w:t>
      </w:r>
      <w:r w:rsidR="00DB1635" w:rsidRPr="00B004EE">
        <w:rPr>
          <w:rFonts w:ascii="Tahoma" w:hAnsi="Tahoma" w:cs="Tahoma"/>
          <w:b w:val="0"/>
          <w:bCs w:val="0"/>
        </w:rPr>
        <w:t xml:space="preserve"> </w:t>
      </w:r>
      <w:r w:rsidR="002F24E1" w:rsidRPr="00B004EE">
        <w:rPr>
          <w:rFonts w:ascii="Tahoma" w:hAnsi="Tahoma" w:cs="Tahoma"/>
          <w:b w:val="0"/>
          <w:bCs w:val="0"/>
        </w:rPr>
        <w:t>procède</w:t>
      </w:r>
      <w:r w:rsidR="00DB1635" w:rsidRPr="00B004EE">
        <w:rPr>
          <w:rFonts w:ascii="Tahoma" w:hAnsi="Tahoma" w:cs="Tahoma"/>
          <w:b w:val="0"/>
          <w:bCs w:val="0"/>
        </w:rPr>
        <w:t xml:space="preserve"> </w:t>
      </w:r>
      <w:r w:rsidR="002F24E1" w:rsidRPr="00B004EE">
        <w:rPr>
          <w:rFonts w:ascii="Tahoma" w:hAnsi="Tahoma" w:cs="Tahoma"/>
          <w:b w:val="0"/>
          <w:bCs w:val="0"/>
        </w:rPr>
        <w:t>à</w:t>
      </w:r>
      <w:r w:rsidR="00DB1635" w:rsidRPr="00B004EE">
        <w:rPr>
          <w:rFonts w:ascii="Tahoma" w:hAnsi="Tahoma" w:cs="Tahoma"/>
          <w:b w:val="0"/>
          <w:bCs w:val="0"/>
        </w:rPr>
        <w:t xml:space="preserve"> </w:t>
      </w:r>
      <w:r w:rsidR="002F24E1" w:rsidRPr="00B004EE">
        <w:rPr>
          <w:rFonts w:ascii="Tahoma" w:hAnsi="Tahoma" w:cs="Tahoma"/>
          <w:b w:val="0"/>
          <w:bCs w:val="0"/>
        </w:rPr>
        <w:t>un</w:t>
      </w:r>
      <w:r w:rsidR="00DB1635" w:rsidRPr="00B004EE">
        <w:rPr>
          <w:rFonts w:ascii="Tahoma" w:hAnsi="Tahoma" w:cs="Tahoma"/>
          <w:b w:val="0"/>
          <w:bCs w:val="0"/>
        </w:rPr>
        <w:t xml:space="preserve"> </w:t>
      </w:r>
      <w:r w:rsidR="002F24E1" w:rsidRPr="00B004EE">
        <w:rPr>
          <w:rFonts w:ascii="Tahoma" w:hAnsi="Tahoma" w:cs="Tahoma"/>
          <w:b w:val="0"/>
          <w:bCs w:val="0"/>
        </w:rPr>
        <w:t>prélèvement</w:t>
      </w:r>
      <w:r w:rsidR="00DB1635" w:rsidRPr="00B004EE">
        <w:rPr>
          <w:rFonts w:ascii="Tahoma" w:hAnsi="Tahoma" w:cs="Tahoma"/>
          <w:b w:val="0"/>
          <w:bCs w:val="0"/>
        </w:rPr>
        <w:t xml:space="preserve"> </w:t>
      </w:r>
      <w:r w:rsidR="002F24E1" w:rsidRPr="00B004EE">
        <w:rPr>
          <w:rFonts w:ascii="Tahoma" w:hAnsi="Tahoma" w:cs="Tahoma"/>
          <w:b w:val="0"/>
          <w:bCs w:val="0"/>
        </w:rPr>
        <w:t>d'échantillons</w:t>
      </w:r>
      <w:r w:rsidR="00DB1635" w:rsidRPr="00B004EE">
        <w:rPr>
          <w:rFonts w:ascii="Tahoma" w:hAnsi="Tahoma" w:cs="Tahoma"/>
          <w:b w:val="0"/>
          <w:bCs w:val="0"/>
        </w:rPr>
        <w:t xml:space="preserve"> </w:t>
      </w:r>
      <w:r w:rsidR="002F24E1" w:rsidRPr="00B004EE">
        <w:rPr>
          <w:rFonts w:ascii="Tahoma" w:hAnsi="Tahoma" w:cs="Tahoma"/>
          <w:b w:val="0"/>
          <w:bCs w:val="0"/>
        </w:rPr>
        <w:t>dont</w:t>
      </w:r>
      <w:r w:rsidR="00DB1635" w:rsidRPr="00B004EE">
        <w:rPr>
          <w:rFonts w:ascii="Tahoma" w:hAnsi="Tahoma" w:cs="Tahoma"/>
          <w:b w:val="0"/>
          <w:bCs w:val="0"/>
        </w:rPr>
        <w:t xml:space="preserve"> </w:t>
      </w:r>
      <w:r w:rsidR="002F24E1" w:rsidRPr="00B004EE">
        <w:rPr>
          <w:rFonts w:ascii="Tahoma" w:hAnsi="Tahoma" w:cs="Tahoma"/>
          <w:b w:val="0"/>
          <w:bCs w:val="0"/>
        </w:rPr>
        <w:t>le</w:t>
      </w:r>
      <w:r w:rsidR="00DB1635" w:rsidRPr="00B004EE">
        <w:rPr>
          <w:rFonts w:ascii="Tahoma" w:hAnsi="Tahoma" w:cs="Tahoma"/>
          <w:b w:val="0"/>
          <w:bCs w:val="0"/>
        </w:rPr>
        <w:t xml:space="preserve"> </w:t>
      </w:r>
      <w:r w:rsidR="002F24E1" w:rsidRPr="00B004EE">
        <w:rPr>
          <w:rFonts w:ascii="Tahoma" w:hAnsi="Tahoma" w:cs="Tahoma"/>
          <w:b w:val="0"/>
          <w:bCs w:val="0"/>
        </w:rPr>
        <w:t>nombre</w:t>
      </w:r>
      <w:r w:rsidR="00DB1635" w:rsidRPr="00B004EE">
        <w:rPr>
          <w:rFonts w:ascii="Tahoma" w:hAnsi="Tahoma" w:cs="Tahoma"/>
          <w:b w:val="0"/>
          <w:bCs w:val="0"/>
        </w:rPr>
        <w:t xml:space="preserve"> </w:t>
      </w:r>
      <w:r w:rsidR="002F24E1" w:rsidRPr="00B004EE">
        <w:rPr>
          <w:rFonts w:ascii="Tahoma" w:hAnsi="Tahoma" w:cs="Tahoma"/>
          <w:b w:val="0"/>
          <w:bCs w:val="0"/>
        </w:rPr>
        <w:t>et</w:t>
      </w:r>
      <w:r w:rsidR="00DB1635" w:rsidRPr="00B004EE">
        <w:rPr>
          <w:rFonts w:ascii="Tahoma" w:hAnsi="Tahoma" w:cs="Tahoma"/>
          <w:b w:val="0"/>
          <w:bCs w:val="0"/>
        </w:rPr>
        <w:t xml:space="preserve"> </w:t>
      </w:r>
      <w:r w:rsidR="002F24E1" w:rsidRPr="00B004EE">
        <w:rPr>
          <w:rFonts w:ascii="Tahoma" w:hAnsi="Tahoma" w:cs="Tahoma"/>
          <w:b w:val="0"/>
          <w:bCs w:val="0"/>
        </w:rPr>
        <w:t>la</w:t>
      </w:r>
      <w:r w:rsidR="00DB1635" w:rsidRPr="00B004EE">
        <w:rPr>
          <w:rFonts w:ascii="Tahoma" w:hAnsi="Tahoma" w:cs="Tahoma"/>
          <w:b w:val="0"/>
          <w:bCs w:val="0"/>
        </w:rPr>
        <w:t xml:space="preserve"> </w:t>
      </w:r>
      <w:r w:rsidR="002F24E1" w:rsidRPr="00B004EE">
        <w:rPr>
          <w:rFonts w:ascii="Tahoma" w:hAnsi="Tahoma" w:cs="Tahoma"/>
          <w:b w:val="0"/>
          <w:bCs w:val="0"/>
        </w:rPr>
        <w:t>quantité</w:t>
      </w:r>
      <w:r w:rsidR="00DB1635" w:rsidRPr="00B004EE">
        <w:rPr>
          <w:rFonts w:ascii="Tahoma" w:hAnsi="Tahoma" w:cs="Tahoma"/>
          <w:b w:val="0"/>
          <w:bCs w:val="0"/>
        </w:rPr>
        <w:t xml:space="preserve"> </w:t>
      </w:r>
      <w:r w:rsidR="002F24E1" w:rsidRPr="00B004EE">
        <w:rPr>
          <w:rFonts w:ascii="Tahoma" w:hAnsi="Tahoma" w:cs="Tahoma"/>
          <w:b w:val="0"/>
          <w:bCs w:val="0"/>
        </w:rPr>
        <w:t>de</w:t>
      </w:r>
      <w:r w:rsidR="00DB1635" w:rsidRPr="00B004EE">
        <w:rPr>
          <w:rFonts w:ascii="Tahoma" w:hAnsi="Tahoma" w:cs="Tahoma"/>
          <w:b w:val="0"/>
          <w:bCs w:val="0"/>
        </w:rPr>
        <w:t xml:space="preserve"> </w:t>
      </w:r>
      <w:r w:rsidR="002F24E1" w:rsidRPr="00B004EE">
        <w:rPr>
          <w:rFonts w:ascii="Tahoma" w:hAnsi="Tahoma" w:cs="Tahoma"/>
          <w:b w:val="0"/>
          <w:bCs w:val="0"/>
        </w:rPr>
        <w:t>matières</w:t>
      </w:r>
      <w:r w:rsidR="00DB1635" w:rsidRPr="00B004EE">
        <w:rPr>
          <w:rFonts w:ascii="Tahoma" w:hAnsi="Tahoma" w:cs="Tahoma"/>
          <w:b w:val="0"/>
          <w:bCs w:val="0"/>
        </w:rPr>
        <w:t xml:space="preserve"> </w:t>
      </w:r>
      <w:r w:rsidR="002F24E1" w:rsidRPr="00B004EE">
        <w:rPr>
          <w:rFonts w:ascii="Tahoma" w:hAnsi="Tahoma" w:cs="Tahoma"/>
          <w:b w:val="0"/>
          <w:bCs w:val="0"/>
        </w:rPr>
        <w:t>ou</w:t>
      </w:r>
      <w:r w:rsidR="00DB1635" w:rsidRPr="00B004EE">
        <w:rPr>
          <w:rFonts w:ascii="Tahoma" w:hAnsi="Tahoma" w:cs="Tahoma"/>
          <w:b w:val="0"/>
          <w:bCs w:val="0"/>
        </w:rPr>
        <w:t xml:space="preserve"> </w:t>
      </w:r>
      <w:r w:rsidR="002F24E1" w:rsidRPr="00B004EE">
        <w:rPr>
          <w:rFonts w:ascii="Tahoma" w:hAnsi="Tahoma" w:cs="Tahoma"/>
          <w:b w:val="0"/>
          <w:bCs w:val="0"/>
        </w:rPr>
        <w:t>de</w:t>
      </w:r>
      <w:r w:rsidR="00DB1635" w:rsidRPr="00B004EE">
        <w:rPr>
          <w:rFonts w:ascii="Tahoma" w:hAnsi="Tahoma" w:cs="Tahoma"/>
          <w:b w:val="0"/>
          <w:bCs w:val="0"/>
        </w:rPr>
        <w:t xml:space="preserve"> </w:t>
      </w:r>
      <w:r w:rsidR="002F24E1" w:rsidRPr="00B004EE">
        <w:rPr>
          <w:rFonts w:ascii="Tahoma" w:hAnsi="Tahoma" w:cs="Tahoma"/>
          <w:b w:val="0"/>
          <w:bCs w:val="0"/>
        </w:rPr>
        <w:t>produits</w:t>
      </w:r>
      <w:r w:rsidR="00DB1635" w:rsidRPr="00B004EE">
        <w:rPr>
          <w:rFonts w:ascii="Tahoma" w:hAnsi="Tahoma" w:cs="Tahoma"/>
          <w:b w:val="0"/>
          <w:bCs w:val="0"/>
        </w:rPr>
        <w:t xml:space="preserve"> </w:t>
      </w:r>
      <w:r w:rsidR="002F24E1" w:rsidRPr="00B004EE">
        <w:rPr>
          <w:rFonts w:ascii="Tahoma" w:hAnsi="Tahoma" w:cs="Tahoma"/>
          <w:b w:val="0"/>
          <w:bCs w:val="0"/>
        </w:rPr>
        <w:t>prélevés</w:t>
      </w:r>
      <w:r w:rsidR="00DB1635" w:rsidRPr="00B004EE">
        <w:rPr>
          <w:rFonts w:ascii="Tahoma" w:hAnsi="Tahoma" w:cs="Tahoma"/>
          <w:b w:val="0"/>
          <w:bCs w:val="0"/>
        </w:rPr>
        <w:t xml:space="preserve"> </w:t>
      </w:r>
      <w:r w:rsidR="002F24E1" w:rsidRPr="00B004EE">
        <w:rPr>
          <w:rFonts w:ascii="Tahoma" w:hAnsi="Tahoma" w:cs="Tahoma"/>
          <w:b w:val="0"/>
          <w:bCs w:val="0"/>
        </w:rPr>
        <w:t>sont</w:t>
      </w:r>
      <w:r w:rsidR="00DB1635" w:rsidRPr="00B004EE">
        <w:rPr>
          <w:rFonts w:ascii="Tahoma" w:hAnsi="Tahoma" w:cs="Tahoma"/>
          <w:b w:val="0"/>
          <w:bCs w:val="0"/>
        </w:rPr>
        <w:t xml:space="preserve"> </w:t>
      </w:r>
      <w:r w:rsidR="002F24E1" w:rsidRPr="00B004EE">
        <w:rPr>
          <w:rFonts w:ascii="Tahoma" w:hAnsi="Tahoma" w:cs="Tahoma"/>
          <w:b w:val="0"/>
          <w:bCs w:val="0"/>
        </w:rPr>
        <w:t>fixés</w:t>
      </w:r>
      <w:r w:rsidR="00DB1635" w:rsidRPr="00B004EE">
        <w:rPr>
          <w:rFonts w:ascii="Tahoma" w:hAnsi="Tahoma" w:cs="Tahoma"/>
          <w:b w:val="0"/>
          <w:bCs w:val="0"/>
        </w:rPr>
        <w:t xml:space="preserve"> </w:t>
      </w:r>
      <w:r w:rsidR="002F24E1" w:rsidRPr="00B004EE">
        <w:rPr>
          <w:rFonts w:ascii="Tahoma" w:hAnsi="Tahoma" w:cs="Tahoma"/>
          <w:b w:val="0"/>
          <w:bCs w:val="0"/>
        </w:rPr>
        <w:t>selon</w:t>
      </w:r>
      <w:r w:rsidR="00DB1635" w:rsidRPr="00B004EE">
        <w:rPr>
          <w:rFonts w:ascii="Tahoma" w:hAnsi="Tahoma" w:cs="Tahoma"/>
          <w:b w:val="0"/>
          <w:bCs w:val="0"/>
        </w:rPr>
        <w:t xml:space="preserve"> </w:t>
      </w:r>
      <w:r w:rsidR="002F24E1" w:rsidRPr="00B004EE">
        <w:rPr>
          <w:rFonts w:ascii="Tahoma" w:hAnsi="Tahoma" w:cs="Tahoma"/>
          <w:b w:val="0"/>
          <w:bCs w:val="0"/>
        </w:rPr>
        <w:t>la</w:t>
      </w:r>
      <w:r w:rsidR="00DB1635" w:rsidRPr="00B004EE">
        <w:rPr>
          <w:rFonts w:ascii="Tahoma" w:hAnsi="Tahoma" w:cs="Tahoma"/>
          <w:b w:val="0"/>
          <w:bCs w:val="0"/>
        </w:rPr>
        <w:t xml:space="preserve"> </w:t>
      </w:r>
      <w:r w:rsidR="002F24E1" w:rsidRPr="00B004EE">
        <w:rPr>
          <w:rFonts w:ascii="Tahoma" w:hAnsi="Tahoma" w:cs="Tahoma"/>
          <w:b w:val="0"/>
          <w:bCs w:val="0"/>
        </w:rPr>
        <w:t>nature</w:t>
      </w:r>
      <w:r w:rsidR="00DB1635" w:rsidRPr="00B004EE">
        <w:rPr>
          <w:rFonts w:ascii="Tahoma" w:hAnsi="Tahoma" w:cs="Tahoma"/>
          <w:b w:val="0"/>
          <w:bCs w:val="0"/>
        </w:rPr>
        <w:t xml:space="preserve"> </w:t>
      </w:r>
      <w:r w:rsidR="002F24E1" w:rsidRPr="00B004EE">
        <w:rPr>
          <w:rFonts w:ascii="Tahoma" w:hAnsi="Tahoma" w:cs="Tahoma"/>
          <w:b w:val="0"/>
          <w:bCs w:val="0"/>
        </w:rPr>
        <w:t>de</w:t>
      </w:r>
      <w:r w:rsidR="00DB1635" w:rsidRPr="00B004EE">
        <w:rPr>
          <w:rFonts w:ascii="Tahoma" w:hAnsi="Tahoma" w:cs="Tahoma"/>
          <w:b w:val="0"/>
          <w:bCs w:val="0"/>
        </w:rPr>
        <w:t xml:space="preserve"> </w:t>
      </w:r>
      <w:r w:rsidR="002F24E1" w:rsidRPr="00B004EE">
        <w:rPr>
          <w:rFonts w:ascii="Tahoma" w:hAnsi="Tahoma" w:cs="Tahoma"/>
          <w:b w:val="0"/>
          <w:bCs w:val="0"/>
        </w:rPr>
        <w:t>la</w:t>
      </w:r>
      <w:r w:rsidR="00DB1635" w:rsidRPr="00B004EE">
        <w:rPr>
          <w:rFonts w:ascii="Tahoma" w:hAnsi="Tahoma" w:cs="Tahoma"/>
          <w:b w:val="0"/>
          <w:bCs w:val="0"/>
        </w:rPr>
        <w:t xml:space="preserve"> </w:t>
      </w:r>
      <w:r w:rsidR="002F24E1" w:rsidRPr="00B004EE">
        <w:rPr>
          <w:rFonts w:ascii="Tahoma" w:hAnsi="Tahoma" w:cs="Tahoma"/>
          <w:b w:val="0"/>
          <w:bCs w:val="0"/>
        </w:rPr>
        <w:t>substance</w:t>
      </w:r>
      <w:r w:rsidR="00DB1635" w:rsidRPr="00B004EE">
        <w:rPr>
          <w:rFonts w:ascii="Tahoma" w:hAnsi="Tahoma" w:cs="Tahoma"/>
          <w:b w:val="0"/>
          <w:bCs w:val="0"/>
        </w:rPr>
        <w:t xml:space="preserve"> </w:t>
      </w:r>
      <w:r w:rsidR="002F24E1" w:rsidRPr="00B004EE">
        <w:rPr>
          <w:rFonts w:ascii="Tahoma" w:hAnsi="Tahoma" w:cs="Tahoma"/>
          <w:b w:val="0"/>
          <w:bCs w:val="0"/>
        </w:rPr>
        <w:t>à</w:t>
      </w:r>
      <w:r w:rsidR="00DB1635" w:rsidRPr="00B004EE">
        <w:rPr>
          <w:rFonts w:ascii="Tahoma" w:hAnsi="Tahoma" w:cs="Tahoma"/>
          <w:b w:val="0"/>
          <w:bCs w:val="0"/>
        </w:rPr>
        <w:t xml:space="preserve"> </w:t>
      </w:r>
      <w:r w:rsidR="002F24E1" w:rsidRPr="00B004EE">
        <w:rPr>
          <w:rFonts w:ascii="Tahoma" w:hAnsi="Tahoma" w:cs="Tahoma"/>
          <w:b w:val="0"/>
          <w:bCs w:val="0"/>
        </w:rPr>
        <w:t>examiner,</w:t>
      </w:r>
      <w:r w:rsidR="00DB1635" w:rsidRPr="00B004EE">
        <w:rPr>
          <w:rFonts w:ascii="Tahoma" w:hAnsi="Tahoma" w:cs="Tahoma"/>
          <w:b w:val="0"/>
          <w:bCs w:val="0"/>
        </w:rPr>
        <w:t xml:space="preserve"> </w:t>
      </w:r>
      <w:r w:rsidR="002F24E1" w:rsidRPr="00B004EE">
        <w:rPr>
          <w:rFonts w:ascii="Tahoma" w:hAnsi="Tahoma" w:cs="Tahoma"/>
          <w:b w:val="0"/>
          <w:bCs w:val="0"/>
        </w:rPr>
        <w:t>les</w:t>
      </w:r>
      <w:r w:rsidR="00DB1635" w:rsidRPr="00B004EE">
        <w:rPr>
          <w:rFonts w:ascii="Tahoma" w:hAnsi="Tahoma" w:cs="Tahoma"/>
          <w:b w:val="0"/>
          <w:bCs w:val="0"/>
        </w:rPr>
        <w:t xml:space="preserve"> </w:t>
      </w:r>
      <w:r w:rsidR="002F24E1" w:rsidRPr="00B004EE">
        <w:rPr>
          <w:rFonts w:ascii="Tahoma" w:hAnsi="Tahoma" w:cs="Tahoma"/>
          <w:b w:val="0"/>
          <w:bCs w:val="0"/>
        </w:rPr>
        <w:t>motifs</w:t>
      </w:r>
      <w:r w:rsidR="00DB1635" w:rsidRPr="00B004EE">
        <w:rPr>
          <w:rFonts w:ascii="Tahoma" w:hAnsi="Tahoma" w:cs="Tahoma"/>
          <w:b w:val="0"/>
          <w:bCs w:val="0"/>
        </w:rPr>
        <w:t xml:space="preserve"> </w:t>
      </w:r>
      <w:r w:rsidR="002F24E1" w:rsidRPr="00B004EE">
        <w:rPr>
          <w:rFonts w:ascii="Tahoma" w:hAnsi="Tahoma" w:cs="Tahoma"/>
          <w:b w:val="0"/>
          <w:bCs w:val="0"/>
        </w:rPr>
        <w:t>de</w:t>
      </w:r>
      <w:r w:rsidR="00DB1635" w:rsidRPr="00B004EE">
        <w:rPr>
          <w:rFonts w:ascii="Tahoma" w:hAnsi="Tahoma" w:cs="Tahoma"/>
          <w:b w:val="0"/>
          <w:bCs w:val="0"/>
        </w:rPr>
        <w:t xml:space="preserve"> </w:t>
      </w:r>
      <w:r w:rsidR="002F24E1" w:rsidRPr="00B004EE">
        <w:rPr>
          <w:rFonts w:ascii="Tahoma" w:hAnsi="Tahoma" w:cs="Tahoma"/>
          <w:b w:val="0"/>
          <w:bCs w:val="0"/>
        </w:rPr>
        <w:t>prélèvement</w:t>
      </w:r>
      <w:r w:rsidR="00DB1635" w:rsidRPr="00B004EE">
        <w:rPr>
          <w:rFonts w:ascii="Tahoma" w:hAnsi="Tahoma" w:cs="Tahoma"/>
          <w:b w:val="0"/>
          <w:bCs w:val="0"/>
        </w:rPr>
        <w:t xml:space="preserve"> </w:t>
      </w:r>
      <w:r w:rsidR="002F24E1" w:rsidRPr="00B004EE">
        <w:rPr>
          <w:rFonts w:ascii="Tahoma" w:hAnsi="Tahoma" w:cs="Tahoma"/>
          <w:b w:val="0"/>
          <w:bCs w:val="0"/>
        </w:rPr>
        <w:t>et</w:t>
      </w:r>
      <w:r w:rsidR="00DB1635" w:rsidRPr="00B004EE">
        <w:rPr>
          <w:rFonts w:ascii="Tahoma" w:hAnsi="Tahoma" w:cs="Tahoma"/>
          <w:b w:val="0"/>
          <w:bCs w:val="0"/>
        </w:rPr>
        <w:t xml:space="preserve"> </w:t>
      </w:r>
      <w:r w:rsidR="002F24E1" w:rsidRPr="00B004EE">
        <w:rPr>
          <w:rFonts w:ascii="Tahoma" w:hAnsi="Tahoma" w:cs="Tahoma"/>
          <w:b w:val="0"/>
          <w:bCs w:val="0"/>
        </w:rPr>
        <w:t>les</w:t>
      </w:r>
      <w:r w:rsidR="00DB1635" w:rsidRPr="00B004EE">
        <w:rPr>
          <w:rFonts w:ascii="Tahoma" w:hAnsi="Tahoma" w:cs="Tahoma"/>
          <w:b w:val="0"/>
          <w:bCs w:val="0"/>
        </w:rPr>
        <w:t xml:space="preserve"> </w:t>
      </w:r>
      <w:r w:rsidR="002F24E1" w:rsidRPr="00B004EE">
        <w:rPr>
          <w:rFonts w:ascii="Tahoma" w:hAnsi="Tahoma" w:cs="Tahoma"/>
          <w:b w:val="0"/>
          <w:bCs w:val="0"/>
        </w:rPr>
        <w:t>vérifications</w:t>
      </w:r>
      <w:r w:rsidR="00DB1635" w:rsidRPr="00B004EE">
        <w:rPr>
          <w:rFonts w:ascii="Tahoma" w:hAnsi="Tahoma" w:cs="Tahoma"/>
          <w:b w:val="0"/>
          <w:bCs w:val="0"/>
        </w:rPr>
        <w:t xml:space="preserve"> </w:t>
      </w:r>
      <w:r w:rsidR="002F24E1" w:rsidRPr="00B004EE">
        <w:rPr>
          <w:rFonts w:ascii="Tahoma" w:hAnsi="Tahoma" w:cs="Tahoma"/>
          <w:b w:val="0"/>
          <w:bCs w:val="0"/>
        </w:rPr>
        <w:t>à</w:t>
      </w:r>
      <w:r w:rsidR="00DB1635" w:rsidRPr="00B004EE">
        <w:rPr>
          <w:rFonts w:ascii="Tahoma" w:hAnsi="Tahoma" w:cs="Tahoma"/>
          <w:b w:val="0"/>
          <w:bCs w:val="0"/>
        </w:rPr>
        <w:t xml:space="preserve"> </w:t>
      </w:r>
      <w:r w:rsidR="002F24E1" w:rsidRPr="00B004EE">
        <w:rPr>
          <w:rFonts w:ascii="Tahoma" w:hAnsi="Tahoma" w:cs="Tahoma"/>
          <w:b w:val="0"/>
          <w:bCs w:val="0"/>
        </w:rPr>
        <w:t>opérer.</w:t>
      </w:r>
    </w:p>
    <w:p w14:paraId="1218FE9E" w14:textId="77777777" w:rsidR="002F24E1" w:rsidRPr="00B004EE" w:rsidRDefault="002F24E1" w:rsidP="00B004EE">
      <w:pPr>
        <w:pStyle w:val="Lgende"/>
        <w:jc w:val="both"/>
        <w:rPr>
          <w:rFonts w:ascii="Tahoma" w:hAnsi="Tahoma" w:cs="Tahoma"/>
          <w:b w:val="0"/>
          <w:bCs w:val="0"/>
        </w:rPr>
      </w:pPr>
    </w:p>
    <w:p w14:paraId="63ECB988" w14:textId="073DD020" w:rsidR="002F24E1" w:rsidRPr="00B004EE" w:rsidRDefault="002F24E1" w:rsidP="00B004EE">
      <w:pPr>
        <w:pStyle w:val="Lgende"/>
        <w:jc w:val="both"/>
        <w:rPr>
          <w:rFonts w:ascii="Tahoma" w:hAnsi="Tahoma" w:cs="Tahoma"/>
          <w:b w:val="0"/>
          <w:bCs w:val="0"/>
        </w:rPr>
      </w:pPr>
      <w:r w:rsidRPr="00B004EE">
        <w:rPr>
          <w:rFonts w:ascii="Tahoma" w:hAnsi="Tahoma" w:cs="Tahoma"/>
          <w:b w:val="0"/>
          <w:bCs w:val="0"/>
        </w:rPr>
        <w:t>Le</w:t>
      </w:r>
      <w:r w:rsidR="00DB1635" w:rsidRPr="00B004EE">
        <w:rPr>
          <w:rFonts w:ascii="Tahoma" w:hAnsi="Tahoma" w:cs="Tahoma"/>
          <w:b w:val="0"/>
          <w:bCs w:val="0"/>
        </w:rPr>
        <w:t xml:space="preserve"> </w:t>
      </w:r>
      <w:r w:rsidRPr="00B004EE">
        <w:rPr>
          <w:rFonts w:ascii="Tahoma" w:hAnsi="Tahoma" w:cs="Tahoma"/>
          <w:b w:val="0"/>
          <w:bCs w:val="0"/>
        </w:rPr>
        <w:t>fabricant,</w:t>
      </w:r>
      <w:r w:rsidR="00DB1635" w:rsidRPr="00B004EE">
        <w:rPr>
          <w:rFonts w:ascii="Tahoma" w:hAnsi="Tahoma" w:cs="Tahoma"/>
          <w:b w:val="0"/>
          <w:bCs w:val="0"/>
        </w:rPr>
        <w:t xml:space="preserve"> </w:t>
      </w:r>
      <w:r w:rsidRPr="00B004EE">
        <w:rPr>
          <w:rFonts w:ascii="Tahoma" w:hAnsi="Tahoma" w:cs="Tahoma"/>
          <w:b w:val="0"/>
          <w:bCs w:val="0"/>
        </w:rPr>
        <w:t>distributeur</w:t>
      </w:r>
      <w:r w:rsidR="00DB1635" w:rsidRPr="00B004EE">
        <w:rPr>
          <w:rFonts w:ascii="Tahoma" w:hAnsi="Tahoma" w:cs="Tahoma"/>
          <w:b w:val="0"/>
          <w:bCs w:val="0"/>
        </w:rPr>
        <w:t xml:space="preserve"> </w:t>
      </w:r>
      <w:r w:rsidRPr="00B004EE">
        <w:rPr>
          <w:rFonts w:ascii="Tahoma" w:hAnsi="Tahoma" w:cs="Tahoma"/>
          <w:b w:val="0"/>
          <w:bCs w:val="0"/>
        </w:rPr>
        <w:t>ou</w:t>
      </w:r>
      <w:r w:rsidR="00DB1635" w:rsidRPr="00B004EE">
        <w:rPr>
          <w:rFonts w:ascii="Tahoma" w:hAnsi="Tahoma" w:cs="Tahoma"/>
          <w:b w:val="0"/>
          <w:bCs w:val="0"/>
        </w:rPr>
        <w:t xml:space="preserve"> </w:t>
      </w:r>
      <w:r w:rsidRPr="00B004EE">
        <w:rPr>
          <w:rFonts w:ascii="Tahoma" w:hAnsi="Tahoma" w:cs="Tahoma"/>
          <w:b w:val="0"/>
          <w:bCs w:val="0"/>
        </w:rPr>
        <w:t>vendeur</w:t>
      </w:r>
      <w:r w:rsidR="00DB1635" w:rsidRPr="00B004EE">
        <w:rPr>
          <w:rFonts w:ascii="Tahoma" w:hAnsi="Tahoma" w:cs="Tahoma"/>
          <w:b w:val="0"/>
          <w:bCs w:val="0"/>
        </w:rPr>
        <w:t xml:space="preserve"> </w:t>
      </w:r>
      <w:r w:rsidRPr="00B004EE">
        <w:rPr>
          <w:rFonts w:ascii="Tahoma" w:hAnsi="Tahoma" w:cs="Tahoma"/>
          <w:b w:val="0"/>
          <w:bCs w:val="0"/>
        </w:rPr>
        <w:t>peut</w:t>
      </w:r>
      <w:r w:rsidR="00DB1635" w:rsidRPr="00B004EE">
        <w:rPr>
          <w:rFonts w:ascii="Tahoma" w:hAnsi="Tahoma" w:cs="Tahoma"/>
          <w:b w:val="0"/>
          <w:bCs w:val="0"/>
        </w:rPr>
        <w:t xml:space="preserve"> </w:t>
      </w:r>
      <w:r w:rsidRPr="00B004EE">
        <w:rPr>
          <w:rFonts w:ascii="Tahoma" w:hAnsi="Tahoma" w:cs="Tahoma"/>
          <w:b w:val="0"/>
          <w:bCs w:val="0"/>
        </w:rPr>
        <w:t>toujours</w:t>
      </w:r>
      <w:r w:rsidR="00DB1635" w:rsidRPr="00B004EE">
        <w:rPr>
          <w:rFonts w:ascii="Tahoma" w:hAnsi="Tahoma" w:cs="Tahoma"/>
          <w:b w:val="0"/>
          <w:bCs w:val="0"/>
        </w:rPr>
        <w:t xml:space="preserve"> </w:t>
      </w:r>
      <w:r w:rsidRPr="00B004EE">
        <w:rPr>
          <w:rFonts w:ascii="Tahoma" w:hAnsi="Tahoma" w:cs="Tahoma"/>
          <w:b w:val="0"/>
          <w:bCs w:val="0"/>
        </w:rPr>
        <w:t>demander</w:t>
      </w:r>
      <w:r w:rsidR="00DB1635" w:rsidRPr="00B004EE">
        <w:rPr>
          <w:rFonts w:ascii="Tahoma" w:hAnsi="Tahoma" w:cs="Tahoma"/>
          <w:b w:val="0"/>
          <w:bCs w:val="0"/>
        </w:rPr>
        <w:t xml:space="preserve"> </w:t>
      </w:r>
      <w:r w:rsidRPr="00B004EE">
        <w:rPr>
          <w:rFonts w:ascii="Tahoma" w:hAnsi="Tahoma" w:cs="Tahoma"/>
          <w:b w:val="0"/>
          <w:bCs w:val="0"/>
        </w:rPr>
        <w:t>que</w:t>
      </w:r>
      <w:r w:rsidR="00DB1635" w:rsidRPr="00B004EE">
        <w:rPr>
          <w:rFonts w:ascii="Tahoma" w:hAnsi="Tahoma" w:cs="Tahoma"/>
          <w:b w:val="0"/>
          <w:bCs w:val="0"/>
        </w:rPr>
        <w:t xml:space="preserve"> </w:t>
      </w:r>
      <w:r w:rsidRPr="00B004EE">
        <w:rPr>
          <w:rFonts w:ascii="Tahoma" w:hAnsi="Tahoma" w:cs="Tahoma"/>
          <w:b w:val="0"/>
          <w:bCs w:val="0"/>
        </w:rPr>
        <w:t>des</w:t>
      </w:r>
      <w:r w:rsidR="00DB1635" w:rsidRPr="00B004EE">
        <w:rPr>
          <w:rFonts w:ascii="Tahoma" w:hAnsi="Tahoma" w:cs="Tahoma"/>
          <w:b w:val="0"/>
          <w:bCs w:val="0"/>
        </w:rPr>
        <w:t xml:space="preserve"> </w:t>
      </w:r>
      <w:r w:rsidRPr="00B004EE">
        <w:rPr>
          <w:rFonts w:ascii="Tahoma" w:hAnsi="Tahoma" w:cs="Tahoma"/>
          <w:b w:val="0"/>
          <w:bCs w:val="0"/>
        </w:rPr>
        <w:t>échantillons</w:t>
      </w:r>
      <w:r w:rsidR="00DB1635" w:rsidRPr="00B004EE">
        <w:rPr>
          <w:rFonts w:ascii="Tahoma" w:hAnsi="Tahoma" w:cs="Tahoma"/>
          <w:b w:val="0"/>
          <w:bCs w:val="0"/>
        </w:rPr>
        <w:t xml:space="preserve"> </w:t>
      </w:r>
      <w:r w:rsidRPr="00B004EE">
        <w:rPr>
          <w:rFonts w:ascii="Tahoma" w:hAnsi="Tahoma" w:cs="Tahoma"/>
          <w:b w:val="0"/>
          <w:bCs w:val="0"/>
        </w:rPr>
        <w:t>soient</w:t>
      </w:r>
      <w:r w:rsidR="00DB1635" w:rsidRPr="00B004EE">
        <w:rPr>
          <w:rFonts w:ascii="Tahoma" w:hAnsi="Tahoma" w:cs="Tahoma"/>
          <w:b w:val="0"/>
          <w:bCs w:val="0"/>
        </w:rPr>
        <w:t xml:space="preserve"> </w:t>
      </w:r>
      <w:r w:rsidRPr="00B004EE">
        <w:rPr>
          <w:rFonts w:ascii="Tahoma" w:hAnsi="Tahoma" w:cs="Tahoma"/>
          <w:b w:val="0"/>
          <w:bCs w:val="0"/>
        </w:rPr>
        <w:t>placés</w:t>
      </w:r>
      <w:r w:rsidR="00DB1635" w:rsidRPr="00B004EE">
        <w:rPr>
          <w:rFonts w:ascii="Tahoma" w:hAnsi="Tahoma" w:cs="Tahoma"/>
          <w:b w:val="0"/>
          <w:bCs w:val="0"/>
        </w:rPr>
        <w:t xml:space="preserve"> </w:t>
      </w:r>
      <w:r w:rsidRPr="00B004EE">
        <w:rPr>
          <w:rFonts w:ascii="Tahoma" w:hAnsi="Tahoma" w:cs="Tahoma"/>
          <w:b w:val="0"/>
          <w:bCs w:val="0"/>
        </w:rPr>
        <w:t>sous</w:t>
      </w:r>
      <w:r w:rsidR="00DB1635" w:rsidRPr="00B004EE">
        <w:rPr>
          <w:rFonts w:ascii="Tahoma" w:hAnsi="Tahoma" w:cs="Tahoma"/>
          <w:b w:val="0"/>
          <w:bCs w:val="0"/>
        </w:rPr>
        <w:t xml:space="preserve"> </w:t>
      </w:r>
      <w:r w:rsidRPr="00B004EE">
        <w:rPr>
          <w:rFonts w:ascii="Tahoma" w:hAnsi="Tahoma" w:cs="Tahoma"/>
          <w:b w:val="0"/>
          <w:bCs w:val="0"/>
        </w:rPr>
        <w:t>scellés</w:t>
      </w:r>
      <w:r w:rsidR="00DB1635" w:rsidRPr="00B004EE">
        <w:rPr>
          <w:rFonts w:ascii="Tahoma" w:hAnsi="Tahoma" w:cs="Tahoma"/>
          <w:b w:val="0"/>
          <w:bCs w:val="0"/>
        </w:rPr>
        <w:t xml:space="preserve"> </w:t>
      </w:r>
      <w:r w:rsidRPr="00B004EE">
        <w:rPr>
          <w:rFonts w:ascii="Tahoma" w:hAnsi="Tahoma" w:cs="Tahoma"/>
          <w:b w:val="0"/>
          <w:bCs w:val="0"/>
        </w:rPr>
        <w:t>et</w:t>
      </w:r>
      <w:r w:rsidR="00DB1635" w:rsidRPr="00B004EE">
        <w:rPr>
          <w:rFonts w:ascii="Tahoma" w:hAnsi="Tahoma" w:cs="Tahoma"/>
          <w:b w:val="0"/>
          <w:bCs w:val="0"/>
        </w:rPr>
        <w:t xml:space="preserve"> </w:t>
      </w:r>
      <w:r w:rsidRPr="00B004EE">
        <w:rPr>
          <w:rFonts w:ascii="Tahoma" w:hAnsi="Tahoma" w:cs="Tahoma"/>
          <w:b w:val="0"/>
          <w:bCs w:val="0"/>
        </w:rPr>
        <w:t>tenus</w:t>
      </w:r>
      <w:r w:rsidR="00DB1635" w:rsidRPr="00B004EE">
        <w:rPr>
          <w:rFonts w:ascii="Tahoma" w:hAnsi="Tahoma" w:cs="Tahoma"/>
          <w:b w:val="0"/>
          <w:bCs w:val="0"/>
        </w:rPr>
        <w:t xml:space="preserve"> </w:t>
      </w:r>
      <w:r w:rsidRPr="00B004EE">
        <w:rPr>
          <w:rFonts w:ascii="Tahoma" w:hAnsi="Tahoma" w:cs="Tahoma"/>
          <w:b w:val="0"/>
          <w:bCs w:val="0"/>
        </w:rPr>
        <w:t>en</w:t>
      </w:r>
      <w:r w:rsidR="00DB1635" w:rsidRPr="00B004EE">
        <w:rPr>
          <w:rFonts w:ascii="Tahoma" w:hAnsi="Tahoma" w:cs="Tahoma"/>
          <w:b w:val="0"/>
          <w:bCs w:val="0"/>
        </w:rPr>
        <w:t xml:space="preserve"> </w:t>
      </w:r>
      <w:r w:rsidRPr="00B004EE">
        <w:rPr>
          <w:rFonts w:ascii="Tahoma" w:hAnsi="Tahoma" w:cs="Tahoma"/>
          <w:b w:val="0"/>
          <w:bCs w:val="0"/>
        </w:rPr>
        <w:t>réserve</w:t>
      </w:r>
      <w:r w:rsidR="00DB1635" w:rsidRPr="00B004EE">
        <w:rPr>
          <w:rFonts w:ascii="Tahoma" w:hAnsi="Tahoma" w:cs="Tahoma"/>
          <w:b w:val="0"/>
          <w:bCs w:val="0"/>
        </w:rPr>
        <w:t xml:space="preserve"> </w:t>
      </w:r>
      <w:r w:rsidRPr="00B004EE">
        <w:rPr>
          <w:rFonts w:ascii="Tahoma" w:hAnsi="Tahoma" w:cs="Tahoma"/>
          <w:b w:val="0"/>
          <w:bCs w:val="0"/>
        </w:rPr>
        <w:t>en</w:t>
      </w:r>
      <w:r w:rsidR="00DB1635" w:rsidRPr="00B004EE">
        <w:rPr>
          <w:rFonts w:ascii="Tahoma" w:hAnsi="Tahoma" w:cs="Tahoma"/>
          <w:b w:val="0"/>
          <w:bCs w:val="0"/>
        </w:rPr>
        <w:t xml:space="preserve"> </w:t>
      </w:r>
      <w:r w:rsidRPr="00B004EE">
        <w:rPr>
          <w:rFonts w:ascii="Tahoma" w:hAnsi="Tahoma" w:cs="Tahoma"/>
          <w:b w:val="0"/>
          <w:bCs w:val="0"/>
        </w:rPr>
        <w:t>vue</w:t>
      </w:r>
      <w:r w:rsidR="00DB1635" w:rsidRPr="00B004EE">
        <w:rPr>
          <w:rFonts w:ascii="Tahoma" w:hAnsi="Tahoma" w:cs="Tahoma"/>
          <w:b w:val="0"/>
          <w:bCs w:val="0"/>
        </w:rPr>
        <w:t xml:space="preserve"> </w:t>
      </w:r>
      <w:r w:rsidRPr="00B004EE">
        <w:rPr>
          <w:rFonts w:ascii="Tahoma" w:hAnsi="Tahoma" w:cs="Tahoma"/>
          <w:b w:val="0"/>
          <w:bCs w:val="0"/>
        </w:rPr>
        <w:t>d'une</w:t>
      </w:r>
      <w:r w:rsidR="00DB1635" w:rsidRPr="00B004EE">
        <w:rPr>
          <w:rFonts w:ascii="Tahoma" w:hAnsi="Tahoma" w:cs="Tahoma"/>
          <w:b w:val="0"/>
          <w:bCs w:val="0"/>
        </w:rPr>
        <w:t xml:space="preserve"> </w:t>
      </w:r>
      <w:r w:rsidRPr="00B004EE">
        <w:rPr>
          <w:rFonts w:ascii="Tahoma" w:hAnsi="Tahoma" w:cs="Tahoma"/>
          <w:b w:val="0"/>
          <w:bCs w:val="0"/>
        </w:rPr>
        <w:t>contre-analyse</w:t>
      </w:r>
      <w:r w:rsidR="00DB1635" w:rsidRPr="00B004EE">
        <w:rPr>
          <w:rFonts w:ascii="Tahoma" w:hAnsi="Tahoma" w:cs="Tahoma"/>
          <w:b w:val="0"/>
          <w:bCs w:val="0"/>
        </w:rPr>
        <w:t xml:space="preserve"> </w:t>
      </w:r>
      <w:r w:rsidRPr="00B004EE">
        <w:rPr>
          <w:rFonts w:ascii="Tahoma" w:hAnsi="Tahoma" w:cs="Tahoma"/>
          <w:b w:val="0"/>
          <w:bCs w:val="0"/>
        </w:rPr>
        <w:t>éventuelle.</w:t>
      </w:r>
    </w:p>
    <w:p w14:paraId="0B9670D9" w14:textId="77777777" w:rsidR="002F24E1" w:rsidRPr="00B004EE" w:rsidRDefault="002F24E1" w:rsidP="00B004EE">
      <w:pPr>
        <w:pStyle w:val="Lgende"/>
        <w:jc w:val="both"/>
        <w:rPr>
          <w:rFonts w:ascii="Tahoma" w:hAnsi="Tahoma" w:cs="Tahoma"/>
          <w:b w:val="0"/>
          <w:bCs w:val="0"/>
        </w:rPr>
      </w:pPr>
    </w:p>
    <w:p w14:paraId="2573F187" w14:textId="0193CB32" w:rsidR="002F24E1" w:rsidRPr="00B004EE" w:rsidRDefault="002F24E1" w:rsidP="00B004EE">
      <w:pPr>
        <w:pStyle w:val="Lgende"/>
        <w:jc w:val="both"/>
        <w:rPr>
          <w:rFonts w:ascii="Tahoma" w:hAnsi="Tahoma" w:cs="Tahoma"/>
          <w:b w:val="0"/>
          <w:bCs w:val="0"/>
        </w:rPr>
      </w:pPr>
      <w:r w:rsidRPr="00B004EE">
        <w:rPr>
          <w:rFonts w:ascii="Tahoma" w:hAnsi="Tahoma" w:cs="Tahoma"/>
          <w:b w:val="0"/>
          <w:bCs w:val="0"/>
        </w:rPr>
        <w:t>Les</w:t>
      </w:r>
      <w:r w:rsidR="00DB1635" w:rsidRPr="00B004EE">
        <w:rPr>
          <w:rFonts w:ascii="Tahoma" w:hAnsi="Tahoma" w:cs="Tahoma"/>
          <w:b w:val="0"/>
          <w:bCs w:val="0"/>
        </w:rPr>
        <w:t xml:space="preserve"> </w:t>
      </w:r>
      <w:r w:rsidRPr="00B004EE">
        <w:rPr>
          <w:rFonts w:ascii="Tahoma" w:hAnsi="Tahoma" w:cs="Tahoma"/>
          <w:b w:val="0"/>
          <w:bCs w:val="0"/>
        </w:rPr>
        <w:t>mentions</w:t>
      </w:r>
      <w:r w:rsidR="00DB1635" w:rsidRPr="00B004EE">
        <w:rPr>
          <w:rFonts w:ascii="Tahoma" w:hAnsi="Tahoma" w:cs="Tahoma"/>
          <w:b w:val="0"/>
          <w:bCs w:val="0"/>
        </w:rPr>
        <w:t xml:space="preserve"> </w:t>
      </w:r>
      <w:r w:rsidRPr="00B004EE">
        <w:rPr>
          <w:rFonts w:ascii="Tahoma" w:hAnsi="Tahoma" w:cs="Tahoma"/>
          <w:b w:val="0"/>
          <w:bCs w:val="0"/>
        </w:rPr>
        <w:t>de</w:t>
      </w:r>
      <w:r w:rsidR="00DB1635" w:rsidRPr="00B004EE">
        <w:rPr>
          <w:rFonts w:ascii="Tahoma" w:hAnsi="Tahoma" w:cs="Tahoma"/>
          <w:b w:val="0"/>
          <w:bCs w:val="0"/>
        </w:rPr>
        <w:t xml:space="preserve"> </w:t>
      </w:r>
      <w:r w:rsidRPr="00B004EE">
        <w:rPr>
          <w:rFonts w:ascii="Tahoma" w:hAnsi="Tahoma" w:cs="Tahoma"/>
          <w:b w:val="0"/>
          <w:bCs w:val="0"/>
        </w:rPr>
        <w:t>prises</w:t>
      </w:r>
      <w:r w:rsidR="00DB1635" w:rsidRPr="00B004EE">
        <w:rPr>
          <w:rFonts w:ascii="Tahoma" w:hAnsi="Tahoma" w:cs="Tahoma"/>
          <w:b w:val="0"/>
          <w:bCs w:val="0"/>
        </w:rPr>
        <w:t xml:space="preserve"> </w:t>
      </w:r>
      <w:r w:rsidRPr="00B004EE">
        <w:rPr>
          <w:rFonts w:ascii="Tahoma" w:hAnsi="Tahoma" w:cs="Tahoma"/>
          <w:b w:val="0"/>
          <w:bCs w:val="0"/>
        </w:rPr>
        <w:t>d'échantillons</w:t>
      </w:r>
      <w:r w:rsidR="00DB1635" w:rsidRPr="00B004EE">
        <w:rPr>
          <w:rFonts w:ascii="Tahoma" w:hAnsi="Tahoma" w:cs="Tahoma"/>
          <w:b w:val="0"/>
          <w:bCs w:val="0"/>
        </w:rPr>
        <w:t xml:space="preserve"> </w:t>
      </w:r>
      <w:r w:rsidRPr="00B004EE">
        <w:rPr>
          <w:rFonts w:ascii="Tahoma" w:hAnsi="Tahoma" w:cs="Tahoma"/>
          <w:b w:val="0"/>
          <w:bCs w:val="0"/>
        </w:rPr>
        <w:t>sont</w:t>
      </w:r>
      <w:r w:rsidR="00DB1635" w:rsidRPr="00B004EE">
        <w:rPr>
          <w:rFonts w:ascii="Tahoma" w:hAnsi="Tahoma" w:cs="Tahoma"/>
          <w:b w:val="0"/>
          <w:bCs w:val="0"/>
        </w:rPr>
        <w:t xml:space="preserve"> </w:t>
      </w:r>
      <w:r w:rsidRPr="00B004EE">
        <w:rPr>
          <w:rFonts w:ascii="Tahoma" w:hAnsi="Tahoma" w:cs="Tahoma"/>
          <w:b w:val="0"/>
          <w:bCs w:val="0"/>
        </w:rPr>
        <w:t>portées</w:t>
      </w:r>
      <w:r w:rsidR="00DB1635" w:rsidRPr="00B004EE">
        <w:rPr>
          <w:rFonts w:ascii="Tahoma" w:hAnsi="Tahoma" w:cs="Tahoma"/>
          <w:b w:val="0"/>
          <w:bCs w:val="0"/>
        </w:rPr>
        <w:t xml:space="preserve"> </w:t>
      </w:r>
      <w:r w:rsidRPr="00B004EE">
        <w:rPr>
          <w:rFonts w:ascii="Tahoma" w:hAnsi="Tahoma" w:cs="Tahoma"/>
          <w:b w:val="0"/>
          <w:bCs w:val="0"/>
        </w:rPr>
        <w:t>sur</w:t>
      </w:r>
      <w:r w:rsidR="00DB1635" w:rsidRPr="00B004EE">
        <w:rPr>
          <w:rFonts w:ascii="Tahoma" w:hAnsi="Tahoma" w:cs="Tahoma"/>
          <w:b w:val="0"/>
          <w:bCs w:val="0"/>
        </w:rPr>
        <w:t xml:space="preserve"> </w:t>
      </w:r>
      <w:r w:rsidRPr="00B004EE">
        <w:rPr>
          <w:rFonts w:ascii="Tahoma" w:hAnsi="Tahoma" w:cs="Tahoma"/>
          <w:b w:val="0"/>
          <w:bCs w:val="0"/>
        </w:rPr>
        <w:t>le</w:t>
      </w:r>
      <w:r w:rsidR="00DB1635" w:rsidRPr="00B004EE">
        <w:rPr>
          <w:rFonts w:ascii="Tahoma" w:hAnsi="Tahoma" w:cs="Tahoma"/>
          <w:b w:val="0"/>
          <w:bCs w:val="0"/>
        </w:rPr>
        <w:t xml:space="preserve"> </w:t>
      </w:r>
      <w:r w:rsidRPr="00B004EE">
        <w:rPr>
          <w:rFonts w:ascii="Tahoma" w:hAnsi="Tahoma" w:cs="Tahoma"/>
          <w:b w:val="0"/>
          <w:bCs w:val="0"/>
        </w:rPr>
        <w:t>registre</w:t>
      </w:r>
      <w:r w:rsidR="00DB1635" w:rsidRPr="00B004EE">
        <w:rPr>
          <w:rFonts w:ascii="Tahoma" w:hAnsi="Tahoma" w:cs="Tahoma"/>
          <w:b w:val="0"/>
          <w:bCs w:val="0"/>
        </w:rPr>
        <w:t xml:space="preserve"> </w:t>
      </w:r>
      <w:r w:rsidRPr="00B004EE">
        <w:rPr>
          <w:rFonts w:ascii="Tahoma" w:hAnsi="Tahoma" w:cs="Tahoma"/>
          <w:b w:val="0"/>
          <w:bCs w:val="0"/>
        </w:rPr>
        <w:t>visé</w:t>
      </w:r>
      <w:r w:rsidR="00DB1635" w:rsidRPr="00B004EE">
        <w:rPr>
          <w:rFonts w:ascii="Tahoma" w:hAnsi="Tahoma" w:cs="Tahoma"/>
          <w:b w:val="0"/>
          <w:bCs w:val="0"/>
        </w:rPr>
        <w:t xml:space="preserve"> </w:t>
      </w:r>
      <w:r w:rsidRPr="00B004EE">
        <w:rPr>
          <w:rFonts w:ascii="Tahoma" w:hAnsi="Tahoma" w:cs="Tahoma"/>
          <w:b w:val="0"/>
          <w:bCs w:val="0"/>
        </w:rPr>
        <w:t>à</w:t>
      </w:r>
      <w:r w:rsidR="00DB1635" w:rsidRPr="00B004EE">
        <w:rPr>
          <w:rFonts w:ascii="Tahoma" w:hAnsi="Tahoma" w:cs="Tahoma"/>
          <w:b w:val="0"/>
          <w:bCs w:val="0"/>
        </w:rPr>
        <w:t xml:space="preserve"> </w:t>
      </w:r>
      <w:r w:rsidRPr="00B004EE">
        <w:rPr>
          <w:rFonts w:ascii="Tahoma" w:hAnsi="Tahoma" w:cs="Tahoma"/>
          <w:b w:val="0"/>
          <w:bCs w:val="0"/>
        </w:rPr>
        <w:t>l'article</w:t>
      </w:r>
      <w:r w:rsidR="00DB1635" w:rsidRPr="00B004EE">
        <w:rPr>
          <w:rFonts w:ascii="Tahoma" w:hAnsi="Tahoma" w:cs="Tahoma"/>
          <w:b w:val="0"/>
          <w:bCs w:val="0"/>
        </w:rPr>
        <w:t xml:space="preserve"> </w:t>
      </w:r>
      <w:r w:rsidRPr="00B004EE">
        <w:rPr>
          <w:rFonts w:ascii="Tahoma" w:hAnsi="Tahoma" w:cs="Tahoma"/>
          <w:b w:val="0"/>
          <w:bCs w:val="0"/>
        </w:rPr>
        <w:t>2.</w:t>
      </w:r>
      <w:r w:rsidR="00DB1635" w:rsidRPr="00B004EE">
        <w:rPr>
          <w:rFonts w:ascii="Tahoma" w:hAnsi="Tahoma" w:cs="Tahoma"/>
          <w:b w:val="0"/>
          <w:bCs w:val="0"/>
        </w:rPr>
        <w:t xml:space="preserve"> </w:t>
      </w:r>
      <w:r w:rsidRPr="00B004EE">
        <w:rPr>
          <w:rFonts w:ascii="Tahoma" w:hAnsi="Tahoma" w:cs="Tahoma"/>
          <w:b w:val="0"/>
          <w:bCs w:val="0"/>
        </w:rPr>
        <w:t>Le</w:t>
      </w:r>
      <w:r w:rsidR="00DB1635" w:rsidRPr="00B004EE">
        <w:rPr>
          <w:rFonts w:ascii="Tahoma" w:hAnsi="Tahoma" w:cs="Tahoma"/>
          <w:b w:val="0"/>
          <w:bCs w:val="0"/>
        </w:rPr>
        <w:t xml:space="preserve"> </w:t>
      </w:r>
      <w:r w:rsidRPr="00B004EE">
        <w:rPr>
          <w:rFonts w:ascii="Tahoma" w:hAnsi="Tahoma" w:cs="Tahoma"/>
          <w:b w:val="0"/>
          <w:bCs w:val="0"/>
        </w:rPr>
        <w:t>fabricant,</w:t>
      </w:r>
      <w:r w:rsidR="00DB1635" w:rsidRPr="00B004EE">
        <w:rPr>
          <w:rFonts w:ascii="Tahoma" w:hAnsi="Tahoma" w:cs="Tahoma"/>
          <w:b w:val="0"/>
          <w:bCs w:val="0"/>
        </w:rPr>
        <w:t xml:space="preserve"> </w:t>
      </w:r>
      <w:r w:rsidRPr="00B004EE">
        <w:rPr>
          <w:rFonts w:ascii="Tahoma" w:hAnsi="Tahoma" w:cs="Tahoma"/>
          <w:b w:val="0"/>
          <w:bCs w:val="0"/>
        </w:rPr>
        <w:t>distributeur</w:t>
      </w:r>
      <w:r w:rsidR="00DB1635" w:rsidRPr="00B004EE">
        <w:rPr>
          <w:rFonts w:ascii="Tahoma" w:hAnsi="Tahoma" w:cs="Tahoma"/>
          <w:b w:val="0"/>
          <w:bCs w:val="0"/>
        </w:rPr>
        <w:t xml:space="preserve"> </w:t>
      </w:r>
      <w:r w:rsidRPr="00B004EE">
        <w:rPr>
          <w:rFonts w:ascii="Tahoma" w:hAnsi="Tahoma" w:cs="Tahoma"/>
          <w:b w:val="0"/>
          <w:bCs w:val="0"/>
        </w:rPr>
        <w:t>ou</w:t>
      </w:r>
      <w:r w:rsidR="00DB1635" w:rsidRPr="00B004EE">
        <w:rPr>
          <w:rFonts w:ascii="Tahoma" w:hAnsi="Tahoma" w:cs="Tahoma"/>
          <w:b w:val="0"/>
          <w:bCs w:val="0"/>
        </w:rPr>
        <w:t xml:space="preserve"> </w:t>
      </w:r>
      <w:r w:rsidRPr="00B004EE">
        <w:rPr>
          <w:rFonts w:ascii="Tahoma" w:hAnsi="Tahoma" w:cs="Tahoma"/>
          <w:b w:val="0"/>
          <w:bCs w:val="0"/>
        </w:rPr>
        <w:t>vendeur</w:t>
      </w:r>
      <w:r w:rsidR="00DB1635" w:rsidRPr="00B004EE">
        <w:rPr>
          <w:rFonts w:ascii="Tahoma" w:hAnsi="Tahoma" w:cs="Tahoma"/>
          <w:b w:val="0"/>
          <w:bCs w:val="0"/>
        </w:rPr>
        <w:t xml:space="preserve"> </w:t>
      </w:r>
      <w:r w:rsidRPr="00B004EE">
        <w:rPr>
          <w:rFonts w:ascii="Tahoma" w:hAnsi="Tahoma" w:cs="Tahoma"/>
          <w:b w:val="0"/>
          <w:bCs w:val="0"/>
        </w:rPr>
        <w:t>ou</w:t>
      </w:r>
      <w:r w:rsidR="00DB1635" w:rsidRPr="00B004EE">
        <w:rPr>
          <w:rFonts w:ascii="Tahoma" w:hAnsi="Tahoma" w:cs="Tahoma"/>
          <w:b w:val="0"/>
          <w:bCs w:val="0"/>
        </w:rPr>
        <w:t xml:space="preserve"> </w:t>
      </w:r>
      <w:r w:rsidRPr="00B004EE">
        <w:rPr>
          <w:rFonts w:ascii="Tahoma" w:hAnsi="Tahoma" w:cs="Tahoma"/>
          <w:b w:val="0"/>
          <w:bCs w:val="0"/>
        </w:rPr>
        <w:t>leur</w:t>
      </w:r>
      <w:r w:rsidR="00DB1635" w:rsidRPr="00B004EE">
        <w:rPr>
          <w:rFonts w:ascii="Tahoma" w:hAnsi="Tahoma" w:cs="Tahoma"/>
          <w:b w:val="0"/>
          <w:bCs w:val="0"/>
        </w:rPr>
        <w:t xml:space="preserve"> </w:t>
      </w:r>
      <w:r w:rsidRPr="00B004EE">
        <w:rPr>
          <w:rFonts w:ascii="Tahoma" w:hAnsi="Tahoma" w:cs="Tahoma"/>
          <w:b w:val="0"/>
          <w:bCs w:val="0"/>
        </w:rPr>
        <w:t>représentant,</w:t>
      </w:r>
      <w:r w:rsidR="00DB1635" w:rsidRPr="00B004EE">
        <w:rPr>
          <w:rFonts w:ascii="Tahoma" w:hAnsi="Tahoma" w:cs="Tahoma"/>
          <w:b w:val="0"/>
          <w:bCs w:val="0"/>
        </w:rPr>
        <w:t xml:space="preserve"> </w:t>
      </w:r>
      <w:r w:rsidRPr="00B004EE">
        <w:rPr>
          <w:rFonts w:ascii="Tahoma" w:hAnsi="Tahoma" w:cs="Tahoma"/>
          <w:b w:val="0"/>
          <w:bCs w:val="0"/>
        </w:rPr>
        <w:t>sont</w:t>
      </w:r>
      <w:r w:rsidR="00DB1635" w:rsidRPr="00B004EE">
        <w:rPr>
          <w:rFonts w:ascii="Tahoma" w:hAnsi="Tahoma" w:cs="Tahoma"/>
          <w:b w:val="0"/>
          <w:bCs w:val="0"/>
        </w:rPr>
        <w:t xml:space="preserve"> </w:t>
      </w:r>
      <w:r w:rsidRPr="00B004EE">
        <w:rPr>
          <w:rFonts w:ascii="Tahoma" w:hAnsi="Tahoma" w:cs="Tahoma"/>
          <w:b w:val="0"/>
          <w:bCs w:val="0"/>
        </w:rPr>
        <w:t>invités</w:t>
      </w:r>
      <w:r w:rsidR="00DB1635" w:rsidRPr="00B004EE">
        <w:rPr>
          <w:rFonts w:ascii="Tahoma" w:hAnsi="Tahoma" w:cs="Tahoma"/>
          <w:b w:val="0"/>
          <w:bCs w:val="0"/>
        </w:rPr>
        <w:t xml:space="preserve"> </w:t>
      </w:r>
      <w:r w:rsidRPr="00B004EE">
        <w:rPr>
          <w:rFonts w:ascii="Tahoma" w:hAnsi="Tahoma" w:cs="Tahoma"/>
          <w:b w:val="0"/>
          <w:bCs w:val="0"/>
        </w:rPr>
        <w:t>à</w:t>
      </w:r>
      <w:r w:rsidR="00DB1635" w:rsidRPr="00B004EE">
        <w:rPr>
          <w:rFonts w:ascii="Tahoma" w:hAnsi="Tahoma" w:cs="Tahoma"/>
          <w:b w:val="0"/>
          <w:bCs w:val="0"/>
        </w:rPr>
        <w:t xml:space="preserve"> </w:t>
      </w:r>
      <w:r w:rsidRPr="00B004EE">
        <w:rPr>
          <w:rFonts w:ascii="Tahoma" w:hAnsi="Tahoma" w:cs="Tahoma"/>
          <w:b w:val="0"/>
          <w:bCs w:val="0"/>
        </w:rPr>
        <w:t>émarger</w:t>
      </w:r>
      <w:r w:rsidR="00DB1635" w:rsidRPr="00B004EE">
        <w:rPr>
          <w:rFonts w:ascii="Tahoma" w:hAnsi="Tahoma" w:cs="Tahoma"/>
          <w:b w:val="0"/>
          <w:bCs w:val="0"/>
        </w:rPr>
        <w:t xml:space="preserve"> </w:t>
      </w:r>
      <w:r w:rsidRPr="00B004EE">
        <w:rPr>
          <w:rFonts w:ascii="Tahoma" w:hAnsi="Tahoma" w:cs="Tahoma"/>
          <w:b w:val="0"/>
          <w:bCs w:val="0"/>
        </w:rPr>
        <w:t>en</w:t>
      </w:r>
      <w:r w:rsidR="00DB1635" w:rsidRPr="00B004EE">
        <w:rPr>
          <w:rFonts w:ascii="Tahoma" w:hAnsi="Tahoma" w:cs="Tahoma"/>
          <w:b w:val="0"/>
          <w:bCs w:val="0"/>
        </w:rPr>
        <w:t xml:space="preserve"> </w:t>
      </w:r>
      <w:r w:rsidRPr="00B004EE">
        <w:rPr>
          <w:rFonts w:ascii="Tahoma" w:hAnsi="Tahoma" w:cs="Tahoma"/>
          <w:b w:val="0"/>
          <w:bCs w:val="0"/>
        </w:rPr>
        <w:t>regard</w:t>
      </w:r>
      <w:r w:rsidR="00DB1635" w:rsidRPr="00B004EE">
        <w:rPr>
          <w:rFonts w:ascii="Tahoma" w:hAnsi="Tahoma" w:cs="Tahoma"/>
          <w:b w:val="0"/>
          <w:bCs w:val="0"/>
        </w:rPr>
        <w:t xml:space="preserve"> </w:t>
      </w:r>
      <w:r w:rsidRPr="00B004EE">
        <w:rPr>
          <w:rFonts w:ascii="Tahoma" w:hAnsi="Tahoma" w:cs="Tahoma"/>
          <w:b w:val="0"/>
          <w:bCs w:val="0"/>
        </w:rPr>
        <w:t>de</w:t>
      </w:r>
      <w:r w:rsidR="00DB1635" w:rsidRPr="00B004EE">
        <w:rPr>
          <w:rFonts w:ascii="Tahoma" w:hAnsi="Tahoma" w:cs="Tahoma"/>
          <w:b w:val="0"/>
          <w:bCs w:val="0"/>
        </w:rPr>
        <w:t xml:space="preserve"> </w:t>
      </w:r>
      <w:r w:rsidRPr="00B004EE">
        <w:rPr>
          <w:rFonts w:ascii="Tahoma" w:hAnsi="Tahoma" w:cs="Tahoma"/>
          <w:b w:val="0"/>
          <w:bCs w:val="0"/>
        </w:rPr>
        <w:t>ces</w:t>
      </w:r>
      <w:r w:rsidR="00DB1635" w:rsidRPr="00B004EE">
        <w:rPr>
          <w:rFonts w:ascii="Tahoma" w:hAnsi="Tahoma" w:cs="Tahoma"/>
          <w:b w:val="0"/>
          <w:bCs w:val="0"/>
        </w:rPr>
        <w:t xml:space="preserve"> </w:t>
      </w:r>
      <w:r w:rsidRPr="00B004EE">
        <w:rPr>
          <w:rFonts w:ascii="Tahoma" w:hAnsi="Tahoma" w:cs="Tahoma"/>
          <w:b w:val="0"/>
          <w:bCs w:val="0"/>
        </w:rPr>
        <w:t>mentions.</w:t>
      </w:r>
    </w:p>
    <w:p w14:paraId="6C058076" w14:textId="77777777" w:rsidR="002F24E1" w:rsidRPr="00B004EE" w:rsidRDefault="002F24E1" w:rsidP="00B004EE">
      <w:pPr>
        <w:pStyle w:val="Lgende"/>
        <w:jc w:val="both"/>
        <w:rPr>
          <w:rFonts w:ascii="Tahoma" w:hAnsi="Tahoma" w:cs="Tahoma"/>
          <w:b w:val="0"/>
          <w:bCs w:val="0"/>
        </w:rPr>
      </w:pPr>
    </w:p>
    <w:p w14:paraId="2A1E2674" w14:textId="341F9A51" w:rsidR="002F24E1" w:rsidRPr="00B004EE" w:rsidRDefault="002F24E1" w:rsidP="00B004EE">
      <w:pPr>
        <w:pStyle w:val="Lgende"/>
        <w:jc w:val="both"/>
        <w:rPr>
          <w:rFonts w:ascii="Tahoma" w:hAnsi="Tahoma" w:cs="Tahoma"/>
          <w:b w:val="0"/>
          <w:bCs w:val="0"/>
        </w:rPr>
      </w:pPr>
      <w:r w:rsidRPr="00B004EE">
        <w:rPr>
          <w:rFonts w:ascii="Tahoma" w:hAnsi="Tahoma" w:cs="Tahoma"/>
          <w:b w:val="0"/>
          <w:bCs w:val="0"/>
        </w:rPr>
        <w:t>Les</w:t>
      </w:r>
      <w:r w:rsidR="00DB1635" w:rsidRPr="00B004EE">
        <w:rPr>
          <w:rFonts w:ascii="Tahoma" w:hAnsi="Tahoma" w:cs="Tahoma"/>
          <w:b w:val="0"/>
          <w:bCs w:val="0"/>
        </w:rPr>
        <w:t xml:space="preserve"> </w:t>
      </w:r>
      <w:r w:rsidRPr="00B004EE">
        <w:rPr>
          <w:rFonts w:ascii="Tahoma" w:hAnsi="Tahoma" w:cs="Tahoma"/>
          <w:b w:val="0"/>
          <w:bCs w:val="0"/>
        </w:rPr>
        <w:t>modalités</w:t>
      </w:r>
      <w:r w:rsidR="00DB1635" w:rsidRPr="00B004EE">
        <w:rPr>
          <w:rFonts w:ascii="Tahoma" w:hAnsi="Tahoma" w:cs="Tahoma"/>
          <w:b w:val="0"/>
          <w:bCs w:val="0"/>
        </w:rPr>
        <w:t xml:space="preserve"> </w:t>
      </w:r>
      <w:r w:rsidRPr="00B004EE">
        <w:rPr>
          <w:rFonts w:ascii="Tahoma" w:hAnsi="Tahoma" w:cs="Tahoma"/>
          <w:b w:val="0"/>
          <w:bCs w:val="0"/>
        </w:rPr>
        <w:t>d'exécution</w:t>
      </w:r>
      <w:r w:rsidR="00DB1635" w:rsidRPr="00B004EE">
        <w:rPr>
          <w:rFonts w:ascii="Tahoma" w:hAnsi="Tahoma" w:cs="Tahoma"/>
          <w:b w:val="0"/>
          <w:bCs w:val="0"/>
        </w:rPr>
        <w:t xml:space="preserve"> </w:t>
      </w:r>
      <w:r w:rsidRPr="00B004EE">
        <w:rPr>
          <w:rFonts w:ascii="Tahoma" w:hAnsi="Tahoma" w:cs="Tahoma"/>
          <w:b w:val="0"/>
          <w:bCs w:val="0"/>
        </w:rPr>
        <w:t>des</w:t>
      </w:r>
      <w:r w:rsidR="00DB1635" w:rsidRPr="00B004EE">
        <w:rPr>
          <w:rFonts w:ascii="Tahoma" w:hAnsi="Tahoma" w:cs="Tahoma"/>
          <w:b w:val="0"/>
          <w:bCs w:val="0"/>
        </w:rPr>
        <w:t xml:space="preserve"> </w:t>
      </w:r>
      <w:r w:rsidRPr="00B004EE">
        <w:rPr>
          <w:rFonts w:ascii="Tahoma" w:hAnsi="Tahoma" w:cs="Tahoma"/>
          <w:b w:val="0"/>
          <w:bCs w:val="0"/>
        </w:rPr>
        <w:t>prélèvements</w:t>
      </w:r>
      <w:r w:rsidR="00DB1635" w:rsidRPr="00B004EE">
        <w:rPr>
          <w:rFonts w:ascii="Tahoma" w:hAnsi="Tahoma" w:cs="Tahoma"/>
          <w:b w:val="0"/>
          <w:bCs w:val="0"/>
        </w:rPr>
        <w:t xml:space="preserve"> </w:t>
      </w:r>
      <w:r w:rsidRPr="00B004EE">
        <w:rPr>
          <w:rFonts w:ascii="Tahoma" w:hAnsi="Tahoma" w:cs="Tahoma"/>
          <w:b w:val="0"/>
          <w:bCs w:val="0"/>
        </w:rPr>
        <w:t>ci-dessus</w:t>
      </w:r>
      <w:r w:rsidR="00DB1635" w:rsidRPr="00B004EE">
        <w:rPr>
          <w:rFonts w:ascii="Tahoma" w:hAnsi="Tahoma" w:cs="Tahoma"/>
          <w:b w:val="0"/>
          <w:bCs w:val="0"/>
        </w:rPr>
        <w:t xml:space="preserve"> </w:t>
      </w:r>
      <w:r w:rsidRPr="00B004EE">
        <w:rPr>
          <w:rFonts w:ascii="Tahoma" w:hAnsi="Tahoma" w:cs="Tahoma"/>
          <w:b w:val="0"/>
          <w:bCs w:val="0"/>
        </w:rPr>
        <w:t>définies</w:t>
      </w:r>
      <w:r w:rsidR="00DB1635" w:rsidRPr="00B004EE">
        <w:rPr>
          <w:rFonts w:ascii="Tahoma" w:hAnsi="Tahoma" w:cs="Tahoma"/>
          <w:b w:val="0"/>
          <w:bCs w:val="0"/>
        </w:rPr>
        <w:t xml:space="preserve"> </w:t>
      </w:r>
      <w:r w:rsidRPr="00B004EE">
        <w:rPr>
          <w:rFonts w:ascii="Tahoma" w:hAnsi="Tahoma" w:cs="Tahoma"/>
          <w:b w:val="0"/>
          <w:bCs w:val="0"/>
        </w:rPr>
        <w:t>seront</w:t>
      </w:r>
      <w:r w:rsidR="00DB1635" w:rsidRPr="00B004EE">
        <w:rPr>
          <w:rFonts w:ascii="Tahoma" w:hAnsi="Tahoma" w:cs="Tahoma"/>
          <w:b w:val="0"/>
          <w:bCs w:val="0"/>
        </w:rPr>
        <w:t xml:space="preserve"> </w:t>
      </w:r>
      <w:r w:rsidRPr="00B004EE">
        <w:rPr>
          <w:rFonts w:ascii="Tahoma" w:hAnsi="Tahoma" w:cs="Tahoma"/>
          <w:b w:val="0"/>
          <w:bCs w:val="0"/>
        </w:rPr>
        <w:t>précisées</w:t>
      </w:r>
      <w:r w:rsidR="00DB1635" w:rsidRPr="00B004EE">
        <w:rPr>
          <w:rFonts w:ascii="Tahoma" w:hAnsi="Tahoma" w:cs="Tahoma"/>
          <w:b w:val="0"/>
          <w:bCs w:val="0"/>
        </w:rPr>
        <w:t xml:space="preserve"> </w:t>
      </w:r>
      <w:r w:rsidRPr="00B004EE">
        <w:rPr>
          <w:rFonts w:ascii="Tahoma" w:hAnsi="Tahoma" w:cs="Tahoma"/>
          <w:b w:val="0"/>
          <w:bCs w:val="0"/>
        </w:rPr>
        <w:t>par</w:t>
      </w:r>
      <w:r w:rsidR="00DB1635" w:rsidRPr="00B004EE">
        <w:rPr>
          <w:rFonts w:ascii="Tahoma" w:hAnsi="Tahoma" w:cs="Tahoma"/>
          <w:b w:val="0"/>
          <w:bCs w:val="0"/>
        </w:rPr>
        <w:t xml:space="preserve"> </w:t>
      </w:r>
      <w:r w:rsidRPr="00B004EE">
        <w:rPr>
          <w:rFonts w:ascii="Tahoma" w:hAnsi="Tahoma" w:cs="Tahoma"/>
          <w:b w:val="0"/>
          <w:bCs w:val="0"/>
        </w:rPr>
        <w:t>arrêté</w:t>
      </w:r>
      <w:r w:rsidR="00DB1635" w:rsidRPr="00B004EE">
        <w:rPr>
          <w:rFonts w:ascii="Tahoma" w:hAnsi="Tahoma" w:cs="Tahoma"/>
          <w:b w:val="0"/>
          <w:bCs w:val="0"/>
        </w:rPr>
        <w:t xml:space="preserve"> </w:t>
      </w:r>
      <w:r w:rsidRPr="00B004EE">
        <w:rPr>
          <w:rFonts w:ascii="Tahoma" w:hAnsi="Tahoma" w:cs="Tahoma"/>
          <w:b w:val="0"/>
          <w:bCs w:val="0"/>
        </w:rPr>
        <w:t>du</w:t>
      </w:r>
      <w:r w:rsidR="00DB1635" w:rsidRPr="00B004EE">
        <w:rPr>
          <w:rFonts w:ascii="Tahoma" w:hAnsi="Tahoma" w:cs="Tahoma"/>
          <w:b w:val="0"/>
          <w:bCs w:val="0"/>
        </w:rPr>
        <w:t xml:space="preserve"> </w:t>
      </w:r>
      <w:r w:rsidRPr="00B004EE">
        <w:rPr>
          <w:rFonts w:ascii="Tahoma" w:hAnsi="Tahoma" w:cs="Tahoma"/>
          <w:b w:val="0"/>
          <w:bCs w:val="0"/>
        </w:rPr>
        <w:t>ministre</w:t>
      </w:r>
      <w:r w:rsidR="00DB1635" w:rsidRPr="00B004EE">
        <w:rPr>
          <w:rFonts w:ascii="Tahoma" w:hAnsi="Tahoma" w:cs="Tahoma"/>
          <w:b w:val="0"/>
          <w:bCs w:val="0"/>
        </w:rPr>
        <w:t xml:space="preserve"> </w:t>
      </w:r>
      <w:r w:rsidRPr="00B004EE">
        <w:rPr>
          <w:rFonts w:ascii="Tahoma" w:hAnsi="Tahoma" w:cs="Tahoma"/>
          <w:b w:val="0"/>
          <w:bCs w:val="0"/>
        </w:rPr>
        <w:t>chargé</w:t>
      </w:r>
      <w:r w:rsidR="00DB1635" w:rsidRPr="00B004EE">
        <w:rPr>
          <w:rFonts w:ascii="Tahoma" w:hAnsi="Tahoma" w:cs="Tahoma"/>
          <w:b w:val="0"/>
          <w:bCs w:val="0"/>
        </w:rPr>
        <w:t xml:space="preserve"> </w:t>
      </w:r>
      <w:r w:rsidRPr="00B004EE">
        <w:rPr>
          <w:rFonts w:ascii="Tahoma" w:hAnsi="Tahoma" w:cs="Tahoma"/>
          <w:b w:val="0"/>
          <w:bCs w:val="0"/>
        </w:rPr>
        <w:t>des</w:t>
      </w:r>
      <w:r w:rsidR="00DB1635" w:rsidRPr="00B004EE">
        <w:rPr>
          <w:rFonts w:ascii="Tahoma" w:hAnsi="Tahoma" w:cs="Tahoma"/>
          <w:b w:val="0"/>
          <w:bCs w:val="0"/>
        </w:rPr>
        <w:t xml:space="preserve"> </w:t>
      </w:r>
      <w:r w:rsidRPr="00B004EE">
        <w:rPr>
          <w:rFonts w:ascii="Tahoma" w:hAnsi="Tahoma" w:cs="Tahoma"/>
          <w:b w:val="0"/>
          <w:bCs w:val="0"/>
        </w:rPr>
        <w:t>Pêches.</w:t>
      </w:r>
    </w:p>
    <w:p w14:paraId="61B60615" w14:textId="77777777" w:rsidR="002F24E1" w:rsidRPr="00B004EE" w:rsidRDefault="002F24E1" w:rsidP="00B004EE">
      <w:pPr>
        <w:pStyle w:val="Lgende"/>
        <w:jc w:val="both"/>
        <w:rPr>
          <w:rFonts w:ascii="Tahoma" w:hAnsi="Tahoma" w:cs="Tahoma"/>
          <w:b w:val="0"/>
          <w:bCs w:val="0"/>
        </w:rPr>
      </w:pPr>
    </w:p>
    <w:p w14:paraId="1F143A95" w14:textId="56380F12" w:rsidR="002F24E1" w:rsidRPr="00B004EE" w:rsidRDefault="00561F81" w:rsidP="00B004EE">
      <w:pPr>
        <w:pStyle w:val="Lgende"/>
        <w:jc w:val="both"/>
        <w:rPr>
          <w:rFonts w:ascii="Tahoma" w:hAnsi="Tahoma" w:cs="Tahoma"/>
          <w:b w:val="0"/>
          <w:bCs w:val="0"/>
        </w:rPr>
      </w:pPr>
      <w:r w:rsidRPr="00B004EE">
        <w:rPr>
          <w:rFonts w:ascii="Tahoma" w:hAnsi="Tahoma" w:cs="Tahoma"/>
          <w:b w:val="0"/>
          <w:bCs w:val="0"/>
        </w:rPr>
        <w:t xml:space="preserve">Article </w:t>
      </w:r>
      <w:r w:rsidR="002F24E1" w:rsidRPr="00B004EE">
        <w:rPr>
          <w:rFonts w:ascii="Tahoma" w:hAnsi="Tahoma" w:cs="Tahoma"/>
          <w:b w:val="0"/>
          <w:bCs w:val="0"/>
        </w:rPr>
        <w:t>6</w:t>
      </w:r>
      <w:r w:rsidR="00DB1635" w:rsidRPr="00B004EE">
        <w:rPr>
          <w:rFonts w:ascii="Tahoma" w:hAnsi="Tahoma" w:cs="Tahoma"/>
          <w:b w:val="0"/>
          <w:bCs w:val="0"/>
        </w:rPr>
        <w:t xml:space="preserve"> </w:t>
      </w:r>
      <w:r w:rsidR="002F24E1" w:rsidRPr="00B004EE">
        <w:rPr>
          <w:rFonts w:ascii="Tahoma" w:hAnsi="Tahoma" w:cs="Tahoma"/>
          <w:b w:val="0"/>
          <w:bCs w:val="0"/>
        </w:rPr>
        <w:t>:</w:t>
      </w:r>
      <w:r w:rsidR="00DB1635" w:rsidRPr="00B004EE">
        <w:rPr>
          <w:rFonts w:ascii="Tahoma" w:hAnsi="Tahoma" w:cs="Tahoma"/>
          <w:b w:val="0"/>
          <w:bCs w:val="0"/>
        </w:rPr>
        <w:t xml:space="preserve"> </w:t>
      </w:r>
      <w:r w:rsidR="002F24E1" w:rsidRPr="00B004EE">
        <w:rPr>
          <w:rFonts w:ascii="Tahoma" w:hAnsi="Tahoma" w:cs="Tahoma"/>
          <w:b w:val="0"/>
          <w:bCs w:val="0"/>
        </w:rPr>
        <w:t>Si</w:t>
      </w:r>
      <w:r w:rsidR="00DB1635" w:rsidRPr="00B004EE">
        <w:rPr>
          <w:rFonts w:ascii="Tahoma" w:hAnsi="Tahoma" w:cs="Tahoma"/>
          <w:b w:val="0"/>
          <w:bCs w:val="0"/>
        </w:rPr>
        <w:t xml:space="preserve"> </w:t>
      </w:r>
      <w:r w:rsidR="002F24E1" w:rsidRPr="00B004EE">
        <w:rPr>
          <w:rFonts w:ascii="Tahoma" w:hAnsi="Tahoma" w:cs="Tahoma"/>
          <w:b w:val="0"/>
          <w:bCs w:val="0"/>
        </w:rPr>
        <w:t>les</w:t>
      </w:r>
      <w:r w:rsidR="00DB1635" w:rsidRPr="00B004EE">
        <w:rPr>
          <w:rFonts w:ascii="Tahoma" w:hAnsi="Tahoma" w:cs="Tahoma"/>
          <w:b w:val="0"/>
          <w:bCs w:val="0"/>
        </w:rPr>
        <w:t xml:space="preserve"> </w:t>
      </w:r>
      <w:r w:rsidR="002F24E1" w:rsidRPr="00B004EE">
        <w:rPr>
          <w:rFonts w:ascii="Tahoma" w:hAnsi="Tahoma" w:cs="Tahoma"/>
          <w:b w:val="0"/>
          <w:bCs w:val="0"/>
        </w:rPr>
        <w:t>examens</w:t>
      </w:r>
      <w:r w:rsidR="00DB1635" w:rsidRPr="00B004EE">
        <w:rPr>
          <w:rFonts w:ascii="Tahoma" w:hAnsi="Tahoma" w:cs="Tahoma"/>
          <w:b w:val="0"/>
          <w:bCs w:val="0"/>
        </w:rPr>
        <w:t xml:space="preserve"> </w:t>
      </w:r>
      <w:r w:rsidR="002F24E1" w:rsidRPr="00B004EE">
        <w:rPr>
          <w:rFonts w:ascii="Tahoma" w:hAnsi="Tahoma" w:cs="Tahoma"/>
          <w:b w:val="0"/>
          <w:bCs w:val="0"/>
        </w:rPr>
        <w:t>de</w:t>
      </w:r>
      <w:r w:rsidR="00DB1635" w:rsidRPr="00B004EE">
        <w:rPr>
          <w:rFonts w:ascii="Tahoma" w:hAnsi="Tahoma" w:cs="Tahoma"/>
          <w:b w:val="0"/>
          <w:bCs w:val="0"/>
        </w:rPr>
        <w:t xml:space="preserve"> </w:t>
      </w:r>
      <w:r w:rsidR="002F24E1" w:rsidRPr="00B004EE">
        <w:rPr>
          <w:rFonts w:ascii="Tahoma" w:hAnsi="Tahoma" w:cs="Tahoma"/>
          <w:b w:val="0"/>
          <w:bCs w:val="0"/>
        </w:rPr>
        <w:t>laboratoire</w:t>
      </w:r>
      <w:r w:rsidR="00DB1635" w:rsidRPr="00B004EE">
        <w:rPr>
          <w:rFonts w:ascii="Tahoma" w:hAnsi="Tahoma" w:cs="Tahoma"/>
          <w:b w:val="0"/>
          <w:bCs w:val="0"/>
        </w:rPr>
        <w:t xml:space="preserve"> </w:t>
      </w:r>
      <w:r w:rsidR="002F24E1" w:rsidRPr="00B004EE">
        <w:rPr>
          <w:rFonts w:ascii="Tahoma" w:hAnsi="Tahoma" w:cs="Tahoma"/>
          <w:b w:val="0"/>
          <w:bCs w:val="0"/>
        </w:rPr>
        <w:t>ou</w:t>
      </w:r>
      <w:r w:rsidR="00DB1635" w:rsidRPr="00B004EE">
        <w:rPr>
          <w:rFonts w:ascii="Tahoma" w:hAnsi="Tahoma" w:cs="Tahoma"/>
          <w:b w:val="0"/>
          <w:bCs w:val="0"/>
        </w:rPr>
        <w:t xml:space="preserve"> </w:t>
      </w:r>
      <w:r w:rsidR="002F24E1" w:rsidRPr="00B004EE">
        <w:rPr>
          <w:rFonts w:ascii="Tahoma" w:hAnsi="Tahoma" w:cs="Tahoma"/>
          <w:b w:val="0"/>
          <w:bCs w:val="0"/>
        </w:rPr>
        <w:t>les</w:t>
      </w:r>
      <w:r w:rsidR="00DB1635" w:rsidRPr="00B004EE">
        <w:rPr>
          <w:rFonts w:ascii="Tahoma" w:hAnsi="Tahoma" w:cs="Tahoma"/>
          <w:b w:val="0"/>
          <w:bCs w:val="0"/>
        </w:rPr>
        <w:t xml:space="preserve"> </w:t>
      </w:r>
      <w:r w:rsidR="002F24E1" w:rsidRPr="00B004EE">
        <w:rPr>
          <w:rFonts w:ascii="Tahoma" w:hAnsi="Tahoma" w:cs="Tahoma"/>
          <w:b w:val="0"/>
          <w:bCs w:val="0"/>
        </w:rPr>
        <w:t>vérifications</w:t>
      </w:r>
      <w:r w:rsidR="00DB1635" w:rsidRPr="00B004EE">
        <w:rPr>
          <w:rFonts w:ascii="Tahoma" w:hAnsi="Tahoma" w:cs="Tahoma"/>
          <w:b w:val="0"/>
          <w:bCs w:val="0"/>
        </w:rPr>
        <w:t xml:space="preserve"> </w:t>
      </w:r>
      <w:r w:rsidR="002F24E1" w:rsidRPr="00B004EE">
        <w:rPr>
          <w:rFonts w:ascii="Tahoma" w:hAnsi="Tahoma" w:cs="Tahoma"/>
          <w:b w:val="0"/>
          <w:bCs w:val="0"/>
        </w:rPr>
        <w:t>opérées</w:t>
      </w:r>
      <w:r w:rsidR="00DB1635" w:rsidRPr="00B004EE">
        <w:rPr>
          <w:rFonts w:ascii="Tahoma" w:hAnsi="Tahoma" w:cs="Tahoma"/>
          <w:b w:val="0"/>
          <w:bCs w:val="0"/>
        </w:rPr>
        <w:t xml:space="preserve"> </w:t>
      </w:r>
      <w:r w:rsidR="002F24E1" w:rsidRPr="00B004EE">
        <w:rPr>
          <w:rFonts w:ascii="Tahoma" w:hAnsi="Tahoma" w:cs="Tahoma"/>
          <w:b w:val="0"/>
          <w:bCs w:val="0"/>
        </w:rPr>
        <w:t>font</w:t>
      </w:r>
      <w:r w:rsidR="00DB1635" w:rsidRPr="00B004EE">
        <w:rPr>
          <w:rFonts w:ascii="Tahoma" w:hAnsi="Tahoma" w:cs="Tahoma"/>
          <w:b w:val="0"/>
          <w:bCs w:val="0"/>
        </w:rPr>
        <w:t xml:space="preserve"> </w:t>
      </w:r>
      <w:r w:rsidR="002F24E1" w:rsidRPr="00B004EE">
        <w:rPr>
          <w:rFonts w:ascii="Tahoma" w:hAnsi="Tahoma" w:cs="Tahoma"/>
          <w:b w:val="0"/>
          <w:bCs w:val="0"/>
        </w:rPr>
        <w:t>apparaître</w:t>
      </w:r>
      <w:r w:rsidR="00DB1635" w:rsidRPr="00B004EE">
        <w:rPr>
          <w:rFonts w:ascii="Tahoma" w:hAnsi="Tahoma" w:cs="Tahoma"/>
          <w:b w:val="0"/>
          <w:bCs w:val="0"/>
        </w:rPr>
        <w:t xml:space="preserve"> </w:t>
      </w:r>
      <w:r w:rsidR="002F24E1" w:rsidRPr="00B004EE">
        <w:rPr>
          <w:rFonts w:ascii="Tahoma" w:hAnsi="Tahoma" w:cs="Tahoma"/>
          <w:b w:val="0"/>
          <w:bCs w:val="0"/>
        </w:rPr>
        <w:t>que</w:t>
      </w:r>
      <w:r w:rsidR="00DB1635" w:rsidRPr="00B004EE">
        <w:rPr>
          <w:rFonts w:ascii="Tahoma" w:hAnsi="Tahoma" w:cs="Tahoma"/>
          <w:b w:val="0"/>
          <w:bCs w:val="0"/>
        </w:rPr>
        <w:t xml:space="preserve"> </w:t>
      </w:r>
      <w:r w:rsidR="002F24E1" w:rsidRPr="00B004EE">
        <w:rPr>
          <w:rFonts w:ascii="Tahoma" w:hAnsi="Tahoma" w:cs="Tahoma"/>
          <w:b w:val="0"/>
          <w:bCs w:val="0"/>
        </w:rPr>
        <w:t>:</w:t>
      </w:r>
    </w:p>
    <w:p w14:paraId="66182FA2" w14:textId="77777777" w:rsidR="002F24E1" w:rsidRPr="00B004EE" w:rsidRDefault="002F24E1" w:rsidP="00B004EE">
      <w:pPr>
        <w:pStyle w:val="Lgende"/>
        <w:jc w:val="both"/>
        <w:rPr>
          <w:rFonts w:ascii="Tahoma" w:hAnsi="Tahoma" w:cs="Tahoma"/>
          <w:b w:val="0"/>
          <w:bCs w:val="0"/>
        </w:rPr>
      </w:pPr>
    </w:p>
    <w:p w14:paraId="48E83AF5" w14:textId="4C333743" w:rsidR="002F24E1" w:rsidRPr="00B004EE" w:rsidRDefault="002F24E1" w:rsidP="00420DDA">
      <w:pPr>
        <w:pStyle w:val="Lgende"/>
        <w:numPr>
          <w:ilvl w:val="0"/>
          <w:numId w:val="148"/>
        </w:numPr>
        <w:jc w:val="both"/>
        <w:rPr>
          <w:rFonts w:ascii="Tahoma" w:hAnsi="Tahoma" w:cs="Tahoma"/>
          <w:b w:val="0"/>
          <w:bCs w:val="0"/>
        </w:rPr>
      </w:pPr>
      <w:r w:rsidRPr="00B004EE">
        <w:rPr>
          <w:rFonts w:ascii="Tahoma" w:hAnsi="Tahoma" w:cs="Tahoma"/>
          <w:b w:val="0"/>
          <w:bCs w:val="0"/>
        </w:rPr>
        <w:t>Les</w:t>
      </w:r>
      <w:r w:rsidR="00DB1635" w:rsidRPr="00B004EE">
        <w:rPr>
          <w:rFonts w:ascii="Tahoma" w:hAnsi="Tahoma" w:cs="Tahoma"/>
          <w:b w:val="0"/>
          <w:bCs w:val="0"/>
        </w:rPr>
        <w:t xml:space="preserve"> </w:t>
      </w:r>
      <w:r w:rsidRPr="00B004EE">
        <w:rPr>
          <w:rFonts w:ascii="Tahoma" w:hAnsi="Tahoma" w:cs="Tahoma"/>
          <w:b w:val="0"/>
          <w:bCs w:val="0"/>
        </w:rPr>
        <w:t>matières</w:t>
      </w:r>
      <w:r w:rsidR="00DB1635" w:rsidRPr="00B004EE">
        <w:rPr>
          <w:rFonts w:ascii="Tahoma" w:hAnsi="Tahoma" w:cs="Tahoma"/>
          <w:b w:val="0"/>
          <w:bCs w:val="0"/>
        </w:rPr>
        <w:t xml:space="preserve"> </w:t>
      </w:r>
      <w:r w:rsidRPr="00B004EE">
        <w:rPr>
          <w:rFonts w:ascii="Tahoma" w:hAnsi="Tahoma" w:cs="Tahoma"/>
          <w:b w:val="0"/>
          <w:bCs w:val="0"/>
        </w:rPr>
        <w:t>ou</w:t>
      </w:r>
      <w:r w:rsidR="00DB1635" w:rsidRPr="00B004EE">
        <w:rPr>
          <w:rFonts w:ascii="Tahoma" w:hAnsi="Tahoma" w:cs="Tahoma"/>
          <w:b w:val="0"/>
          <w:bCs w:val="0"/>
        </w:rPr>
        <w:t xml:space="preserve"> </w:t>
      </w:r>
      <w:r w:rsidRPr="00B004EE">
        <w:rPr>
          <w:rFonts w:ascii="Tahoma" w:hAnsi="Tahoma" w:cs="Tahoma"/>
          <w:b w:val="0"/>
          <w:bCs w:val="0"/>
        </w:rPr>
        <w:t>produits</w:t>
      </w:r>
      <w:r w:rsidR="00DB1635" w:rsidRPr="00B004EE">
        <w:rPr>
          <w:rFonts w:ascii="Tahoma" w:hAnsi="Tahoma" w:cs="Tahoma"/>
          <w:b w:val="0"/>
          <w:bCs w:val="0"/>
        </w:rPr>
        <w:t xml:space="preserve"> </w:t>
      </w:r>
      <w:r w:rsidRPr="00B004EE">
        <w:rPr>
          <w:rFonts w:ascii="Tahoma" w:hAnsi="Tahoma" w:cs="Tahoma"/>
          <w:b w:val="0"/>
          <w:bCs w:val="0"/>
        </w:rPr>
        <w:t>consignés</w:t>
      </w:r>
      <w:r w:rsidR="00DB1635" w:rsidRPr="00B004EE">
        <w:rPr>
          <w:rFonts w:ascii="Tahoma" w:hAnsi="Tahoma" w:cs="Tahoma"/>
          <w:b w:val="0"/>
          <w:bCs w:val="0"/>
        </w:rPr>
        <w:t xml:space="preserve"> </w:t>
      </w:r>
      <w:r w:rsidRPr="00B004EE">
        <w:rPr>
          <w:rFonts w:ascii="Tahoma" w:hAnsi="Tahoma" w:cs="Tahoma"/>
          <w:b w:val="0"/>
          <w:bCs w:val="0"/>
        </w:rPr>
        <w:t>peuvent</w:t>
      </w:r>
      <w:r w:rsidR="00DB1635" w:rsidRPr="00B004EE">
        <w:rPr>
          <w:rFonts w:ascii="Tahoma" w:hAnsi="Tahoma" w:cs="Tahoma"/>
          <w:b w:val="0"/>
          <w:bCs w:val="0"/>
        </w:rPr>
        <w:t xml:space="preserve"> </w:t>
      </w:r>
      <w:r w:rsidRPr="00B004EE">
        <w:rPr>
          <w:rFonts w:ascii="Tahoma" w:hAnsi="Tahoma" w:cs="Tahoma"/>
          <w:b w:val="0"/>
          <w:bCs w:val="0"/>
        </w:rPr>
        <w:t>être</w:t>
      </w:r>
      <w:r w:rsidR="00DB1635" w:rsidRPr="00B004EE">
        <w:rPr>
          <w:rFonts w:ascii="Tahoma" w:hAnsi="Tahoma" w:cs="Tahoma"/>
          <w:b w:val="0"/>
          <w:bCs w:val="0"/>
        </w:rPr>
        <w:t xml:space="preserve"> </w:t>
      </w:r>
      <w:r w:rsidRPr="00B004EE">
        <w:rPr>
          <w:rFonts w:ascii="Tahoma" w:hAnsi="Tahoma" w:cs="Tahoma"/>
          <w:b w:val="0"/>
          <w:bCs w:val="0"/>
        </w:rPr>
        <w:t>mis</w:t>
      </w:r>
      <w:r w:rsidR="00DB1635" w:rsidRPr="00B004EE">
        <w:rPr>
          <w:rFonts w:ascii="Tahoma" w:hAnsi="Tahoma" w:cs="Tahoma"/>
          <w:b w:val="0"/>
          <w:bCs w:val="0"/>
        </w:rPr>
        <w:t xml:space="preserve"> </w:t>
      </w:r>
      <w:r w:rsidRPr="00B004EE">
        <w:rPr>
          <w:rFonts w:ascii="Tahoma" w:hAnsi="Tahoma" w:cs="Tahoma"/>
          <w:b w:val="0"/>
          <w:bCs w:val="0"/>
        </w:rPr>
        <w:t>en</w:t>
      </w:r>
      <w:r w:rsidR="00DB1635" w:rsidRPr="00B004EE">
        <w:rPr>
          <w:rFonts w:ascii="Tahoma" w:hAnsi="Tahoma" w:cs="Tahoma"/>
          <w:b w:val="0"/>
          <w:bCs w:val="0"/>
        </w:rPr>
        <w:t xml:space="preserve"> </w:t>
      </w:r>
      <w:r w:rsidRPr="00B004EE">
        <w:rPr>
          <w:rFonts w:ascii="Tahoma" w:hAnsi="Tahoma" w:cs="Tahoma"/>
          <w:b w:val="0"/>
          <w:bCs w:val="0"/>
        </w:rPr>
        <w:t>fabrication</w:t>
      </w:r>
      <w:r w:rsidR="00DB1635" w:rsidRPr="00B004EE">
        <w:rPr>
          <w:rFonts w:ascii="Tahoma" w:hAnsi="Tahoma" w:cs="Tahoma"/>
          <w:b w:val="0"/>
          <w:bCs w:val="0"/>
        </w:rPr>
        <w:t xml:space="preserve"> </w:t>
      </w:r>
      <w:r w:rsidRPr="00B004EE">
        <w:rPr>
          <w:rFonts w:ascii="Tahoma" w:hAnsi="Tahoma" w:cs="Tahoma"/>
          <w:b w:val="0"/>
          <w:bCs w:val="0"/>
        </w:rPr>
        <w:t>ou</w:t>
      </w:r>
      <w:r w:rsidR="00DB1635" w:rsidRPr="00B004EE">
        <w:rPr>
          <w:rFonts w:ascii="Tahoma" w:hAnsi="Tahoma" w:cs="Tahoma"/>
          <w:b w:val="0"/>
          <w:bCs w:val="0"/>
        </w:rPr>
        <w:t xml:space="preserve"> </w:t>
      </w:r>
      <w:r w:rsidRPr="00B004EE">
        <w:rPr>
          <w:rFonts w:ascii="Tahoma" w:hAnsi="Tahoma" w:cs="Tahoma"/>
          <w:b w:val="0"/>
          <w:bCs w:val="0"/>
        </w:rPr>
        <w:t>en</w:t>
      </w:r>
      <w:r w:rsidR="00DB1635" w:rsidRPr="00B004EE">
        <w:rPr>
          <w:rFonts w:ascii="Tahoma" w:hAnsi="Tahoma" w:cs="Tahoma"/>
          <w:b w:val="0"/>
          <w:bCs w:val="0"/>
        </w:rPr>
        <w:t xml:space="preserve"> </w:t>
      </w:r>
      <w:r w:rsidRPr="00B004EE">
        <w:rPr>
          <w:rFonts w:ascii="Tahoma" w:hAnsi="Tahoma" w:cs="Tahoma"/>
          <w:b w:val="0"/>
          <w:bCs w:val="0"/>
        </w:rPr>
        <w:t>vente</w:t>
      </w:r>
      <w:r w:rsidR="00DB1635" w:rsidRPr="00B004EE">
        <w:rPr>
          <w:rFonts w:ascii="Tahoma" w:hAnsi="Tahoma" w:cs="Tahoma"/>
          <w:b w:val="0"/>
          <w:bCs w:val="0"/>
        </w:rPr>
        <w:t xml:space="preserve"> </w:t>
      </w:r>
      <w:r w:rsidRPr="00B004EE">
        <w:rPr>
          <w:rFonts w:ascii="Tahoma" w:hAnsi="Tahoma" w:cs="Tahoma"/>
          <w:b w:val="0"/>
          <w:bCs w:val="0"/>
        </w:rPr>
        <w:t>pour</w:t>
      </w:r>
      <w:r w:rsidR="00DB1635" w:rsidRPr="00B004EE">
        <w:rPr>
          <w:rFonts w:ascii="Tahoma" w:hAnsi="Tahoma" w:cs="Tahoma"/>
          <w:b w:val="0"/>
          <w:bCs w:val="0"/>
        </w:rPr>
        <w:t xml:space="preserve"> </w:t>
      </w:r>
      <w:r w:rsidRPr="00B004EE">
        <w:rPr>
          <w:rFonts w:ascii="Tahoma" w:hAnsi="Tahoma" w:cs="Tahoma"/>
          <w:b w:val="0"/>
          <w:bCs w:val="0"/>
        </w:rPr>
        <w:t>la</w:t>
      </w:r>
      <w:r w:rsidR="00DB1635" w:rsidRPr="00B004EE">
        <w:rPr>
          <w:rFonts w:ascii="Tahoma" w:hAnsi="Tahoma" w:cs="Tahoma"/>
          <w:b w:val="0"/>
          <w:bCs w:val="0"/>
        </w:rPr>
        <w:t xml:space="preserve"> </w:t>
      </w:r>
      <w:r w:rsidRPr="00B004EE">
        <w:rPr>
          <w:rFonts w:ascii="Tahoma" w:hAnsi="Tahoma" w:cs="Tahoma"/>
          <w:b w:val="0"/>
          <w:bCs w:val="0"/>
        </w:rPr>
        <w:t>consommation</w:t>
      </w:r>
      <w:r w:rsidR="00DB1635" w:rsidRPr="00B004EE">
        <w:rPr>
          <w:rFonts w:ascii="Tahoma" w:hAnsi="Tahoma" w:cs="Tahoma"/>
          <w:b w:val="0"/>
          <w:bCs w:val="0"/>
        </w:rPr>
        <w:t xml:space="preserve"> </w:t>
      </w:r>
      <w:r w:rsidRPr="00B004EE">
        <w:rPr>
          <w:rFonts w:ascii="Tahoma" w:hAnsi="Tahoma" w:cs="Tahoma"/>
          <w:b w:val="0"/>
          <w:bCs w:val="0"/>
        </w:rPr>
        <w:t>humaine,</w:t>
      </w:r>
      <w:r w:rsidR="00DB1635" w:rsidRPr="00B004EE">
        <w:rPr>
          <w:rFonts w:ascii="Tahoma" w:hAnsi="Tahoma" w:cs="Tahoma"/>
          <w:b w:val="0"/>
          <w:bCs w:val="0"/>
        </w:rPr>
        <w:t xml:space="preserve"> </w:t>
      </w:r>
      <w:r w:rsidRPr="00B004EE">
        <w:rPr>
          <w:rFonts w:ascii="Tahoma" w:hAnsi="Tahoma" w:cs="Tahoma"/>
          <w:b w:val="0"/>
          <w:bCs w:val="0"/>
        </w:rPr>
        <w:t>l'agent</w:t>
      </w:r>
      <w:r w:rsidR="00DB1635" w:rsidRPr="00B004EE">
        <w:rPr>
          <w:rFonts w:ascii="Tahoma" w:hAnsi="Tahoma" w:cs="Tahoma"/>
          <w:b w:val="0"/>
          <w:bCs w:val="0"/>
        </w:rPr>
        <w:t xml:space="preserve"> </w:t>
      </w:r>
      <w:r w:rsidRPr="00B004EE">
        <w:rPr>
          <w:rFonts w:ascii="Tahoma" w:hAnsi="Tahoma" w:cs="Tahoma"/>
          <w:b w:val="0"/>
          <w:bCs w:val="0"/>
        </w:rPr>
        <w:t>de</w:t>
      </w:r>
      <w:r w:rsidR="00DB1635" w:rsidRPr="00B004EE">
        <w:rPr>
          <w:rFonts w:ascii="Tahoma" w:hAnsi="Tahoma" w:cs="Tahoma"/>
          <w:b w:val="0"/>
          <w:bCs w:val="0"/>
        </w:rPr>
        <w:t xml:space="preserve"> </w:t>
      </w:r>
      <w:r w:rsidRPr="00B004EE">
        <w:rPr>
          <w:rFonts w:ascii="Tahoma" w:hAnsi="Tahoma" w:cs="Tahoma"/>
          <w:b w:val="0"/>
          <w:bCs w:val="0"/>
        </w:rPr>
        <w:t>contrôle</w:t>
      </w:r>
      <w:r w:rsidR="00DB1635" w:rsidRPr="00B004EE">
        <w:rPr>
          <w:rFonts w:ascii="Tahoma" w:hAnsi="Tahoma" w:cs="Tahoma"/>
          <w:b w:val="0"/>
          <w:bCs w:val="0"/>
        </w:rPr>
        <w:t xml:space="preserve"> </w:t>
      </w:r>
      <w:r w:rsidRPr="00B004EE">
        <w:rPr>
          <w:rFonts w:ascii="Tahoma" w:hAnsi="Tahoma" w:cs="Tahoma"/>
          <w:b w:val="0"/>
          <w:bCs w:val="0"/>
        </w:rPr>
        <w:t>lève</w:t>
      </w:r>
      <w:r w:rsidR="00DB1635" w:rsidRPr="00B004EE">
        <w:rPr>
          <w:rFonts w:ascii="Tahoma" w:hAnsi="Tahoma" w:cs="Tahoma"/>
          <w:b w:val="0"/>
          <w:bCs w:val="0"/>
        </w:rPr>
        <w:t xml:space="preserve"> </w:t>
      </w:r>
      <w:r w:rsidRPr="00B004EE">
        <w:rPr>
          <w:rFonts w:ascii="Tahoma" w:hAnsi="Tahoma" w:cs="Tahoma"/>
          <w:b w:val="0"/>
          <w:bCs w:val="0"/>
        </w:rPr>
        <w:t>la</w:t>
      </w:r>
      <w:r w:rsidR="00DB1635" w:rsidRPr="00B004EE">
        <w:rPr>
          <w:rFonts w:ascii="Tahoma" w:hAnsi="Tahoma" w:cs="Tahoma"/>
          <w:b w:val="0"/>
          <w:bCs w:val="0"/>
        </w:rPr>
        <w:t xml:space="preserve"> </w:t>
      </w:r>
      <w:r w:rsidRPr="00B004EE">
        <w:rPr>
          <w:rFonts w:ascii="Tahoma" w:hAnsi="Tahoma" w:cs="Tahoma"/>
          <w:b w:val="0"/>
          <w:bCs w:val="0"/>
        </w:rPr>
        <w:t>consignation</w:t>
      </w:r>
      <w:r w:rsidR="00DB1635" w:rsidRPr="00B004EE">
        <w:rPr>
          <w:rFonts w:ascii="Tahoma" w:hAnsi="Tahoma" w:cs="Tahoma"/>
          <w:b w:val="0"/>
          <w:bCs w:val="0"/>
        </w:rPr>
        <w:t xml:space="preserve"> </w:t>
      </w:r>
      <w:r w:rsidRPr="00B004EE">
        <w:rPr>
          <w:rFonts w:ascii="Tahoma" w:hAnsi="Tahoma" w:cs="Tahoma"/>
          <w:b w:val="0"/>
          <w:bCs w:val="0"/>
        </w:rPr>
        <w:t>;</w:t>
      </w:r>
    </w:p>
    <w:p w14:paraId="510BEF3D" w14:textId="40657754" w:rsidR="002F24E1" w:rsidRPr="00B004EE" w:rsidRDefault="002F24E1" w:rsidP="00420DDA">
      <w:pPr>
        <w:pStyle w:val="Lgende"/>
        <w:numPr>
          <w:ilvl w:val="0"/>
          <w:numId w:val="148"/>
        </w:numPr>
        <w:jc w:val="both"/>
        <w:rPr>
          <w:rFonts w:ascii="Tahoma" w:hAnsi="Tahoma" w:cs="Tahoma"/>
          <w:b w:val="0"/>
          <w:bCs w:val="0"/>
        </w:rPr>
      </w:pPr>
      <w:r w:rsidRPr="00B004EE">
        <w:rPr>
          <w:rFonts w:ascii="Tahoma" w:hAnsi="Tahoma" w:cs="Tahoma"/>
          <w:b w:val="0"/>
          <w:bCs w:val="0"/>
        </w:rPr>
        <w:t>La</w:t>
      </w:r>
      <w:r w:rsidR="00DB1635" w:rsidRPr="00B004EE">
        <w:rPr>
          <w:rFonts w:ascii="Tahoma" w:hAnsi="Tahoma" w:cs="Tahoma"/>
          <w:b w:val="0"/>
          <w:bCs w:val="0"/>
        </w:rPr>
        <w:t xml:space="preserve"> </w:t>
      </w:r>
      <w:r w:rsidRPr="00B004EE">
        <w:rPr>
          <w:rFonts w:ascii="Tahoma" w:hAnsi="Tahoma" w:cs="Tahoma"/>
          <w:b w:val="0"/>
          <w:bCs w:val="0"/>
        </w:rPr>
        <w:t>mise</w:t>
      </w:r>
      <w:r w:rsidR="00DB1635" w:rsidRPr="00B004EE">
        <w:rPr>
          <w:rFonts w:ascii="Tahoma" w:hAnsi="Tahoma" w:cs="Tahoma"/>
          <w:b w:val="0"/>
          <w:bCs w:val="0"/>
        </w:rPr>
        <w:t xml:space="preserve"> </w:t>
      </w:r>
      <w:r w:rsidRPr="00B004EE">
        <w:rPr>
          <w:rFonts w:ascii="Tahoma" w:hAnsi="Tahoma" w:cs="Tahoma"/>
          <w:b w:val="0"/>
          <w:bCs w:val="0"/>
        </w:rPr>
        <w:t>en</w:t>
      </w:r>
      <w:r w:rsidR="00DB1635" w:rsidRPr="00B004EE">
        <w:rPr>
          <w:rFonts w:ascii="Tahoma" w:hAnsi="Tahoma" w:cs="Tahoma"/>
          <w:b w:val="0"/>
          <w:bCs w:val="0"/>
        </w:rPr>
        <w:t xml:space="preserve"> </w:t>
      </w:r>
      <w:r w:rsidRPr="00B004EE">
        <w:rPr>
          <w:rFonts w:ascii="Tahoma" w:hAnsi="Tahoma" w:cs="Tahoma"/>
          <w:b w:val="0"/>
          <w:bCs w:val="0"/>
        </w:rPr>
        <w:t>fabrication</w:t>
      </w:r>
      <w:r w:rsidR="00DB1635" w:rsidRPr="00B004EE">
        <w:rPr>
          <w:rFonts w:ascii="Tahoma" w:hAnsi="Tahoma" w:cs="Tahoma"/>
          <w:b w:val="0"/>
          <w:bCs w:val="0"/>
        </w:rPr>
        <w:t xml:space="preserve"> </w:t>
      </w:r>
      <w:r w:rsidRPr="00B004EE">
        <w:rPr>
          <w:rFonts w:ascii="Tahoma" w:hAnsi="Tahoma" w:cs="Tahoma"/>
          <w:b w:val="0"/>
          <w:bCs w:val="0"/>
        </w:rPr>
        <w:t>ou</w:t>
      </w:r>
      <w:r w:rsidR="00DB1635" w:rsidRPr="00B004EE">
        <w:rPr>
          <w:rFonts w:ascii="Tahoma" w:hAnsi="Tahoma" w:cs="Tahoma"/>
          <w:b w:val="0"/>
          <w:bCs w:val="0"/>
        </w:rPr>
        <w:t xml:space="preserve"> </w:t>
      </w:r>
      <w:r w:rsidRPr="00B004EE">
        <w:rPr>
          <w:rFonts w:ascii="Tahoma" w:hAnsi="Tahoma" w:cs="Tahoma"/>
          <w:b w:val="0"/>
          <w:bCs w:val="0"/>
        </w:rPr>
        <w:t>en</w:t>
      </w:r>
      <w:r w:rsidR="00DB1635" w:rsidRPr="00B004EE">
        <w:rPr>
          <w:rFonts w:ascii="Tahoma" w:hAnsi="Tahoma" w:cs="Tahoma"/>
          <w:b w:val="0"/>
          <w:bCs w:val="0"/>
        </w:rPr>
        <w:t xml:space="preserve"> </w:t>
      </w:r>
      <w:r w:rsidRPr="00B004EE">
        <w:rPr>
          <w:rFonts w:ascii="Tahoma" w:hAnsi="Tahoma" w:cs="Tahoma"/>
          <w:b w:val="0"/>
          <w:bCs w:val="0"/>
        </w:rPr>
        <w:t>vente</w:t>
      </w:r>
      <w:r w:rsidR="00DB1635" w:rsidRPr="00B004EE">
        <w:rPr>
          <w:rFonts w:ascii="Tahoma" w:hAnsi="Tahoma" w:cs="Tahoma"/>
          <w:b w:val="0"/>
          <w:bCs w:val="0"/>
        </w:rPr>
        <w:t xml:space="preserve"> </w:t>
      </w:r>
      <w:r w:rsidRPr="00B004EE">
        <w:rPr>
          <w:rFonts w:ascii="Tahoma" w:hAnsi="Tahoma" w:cs="Tahoma"/>
          <w:b w:val="0"/>
          <w:bCs w:val="0"/>
        </w:rPr>
        <w:t>ne</w:t>
      </w:r>
      <w:r w:rsidR="00DB1635" w:rsidRPr="00B004EE">
        <w:rPr>
          <w:rFonts w:ascii="Tahoma" w:hAnsi="Tahoma" w:cs="Tahoma"/>
          <w:b w:val="0"/>
          <w:bCs w:val="0"/>
        </w:rPr>
        <w:t xml:space="preserve"> </w:t>
      </w:r>
      <w:r w:rsidRPr="00B004EE">
        <w:rPr>
          <w:rFonts w:ascii="Tahoma" w:hAnsi="Tahoma" w:cs="Tahoma"/>
          <w:b w:val="0"/>
          <w:bCs w:val="0"/>
        </w:rPr>
        <w:t>peut</w:t>
      </w:r>
      <w:r w:rsidR="00DB1635" w:rsidRPr="00B004EE">
        <w:rPr>
          <w:rFonts w:ascii="Tahoma" w:hAnsi="Tahoma" w:cs="Tahoma"/>
          <w:b w:val="0"/>
          <w:bCs w:val="0"/>
        </w:rPr>
        <w:t xml:space="preserve"> </w:t>
      </w:r>
      <w:r w:rsidRPr="00B004EE">
        <w:rPr>
          <w:rFonts w:ascii="Tahoma" w:hAnsi="Tahoma" w:cs="Tahoma"/>
          <w:b w:val="0"/>
          <w:bCs w:val="0"/>
        </w:rPr>
        <w:t>être</w:t>
      </w:r>
      <w:r w:rsidR="00DB1635" w:rsidRPr="00B004EE">
        <w:rPr>
          <w:rFonts w:ascii="Tahoma" w:hAnsi="Tahoma" w:cs="Tahoma"/>
          <w:b w:val="0"/>
          <w:bCs w:val="0"/>
        </w:rPr>
        <w:t xml:space="preserve"> </w:t>
      </w:r>
      <w:r w:rsidRPr="00B004EE">
        <w:rPr>
          <w:rFonts w:ascii="Tahoma" w:hAnsi="Tahoma" w:cs="Tahoma"/>
          <w:b w:val="0"/>
          <w:bCs w:val="0"/>
        </w:rPr>
        <w:t>faite</w:t>
      </w:r>
      <w:r w:rsidR="00DB1635" w:rsidRPr="00B004EE">
        <w:rPr>
          <w:rFonts w:ascii="Tahoma" w:hAnsi="Tahoma" w:cs="Tahoma"/>
          <w:b w:val="0"/>
          <w:bCs w:val="0"/>
        </w:rPr>
        <w:t xml:space="preserve"> </w:t>
      </w:r>
      <w:r w:rsidRPr="00B004EE">
        <w:rPr>
          <w:rFonts w:ascii="Tahoma" w:hAnsi="Tahoma" w:cs="Tahoma"/>
          <w:b w:val="0"/>
          <w:bCs w:val="0"/>
        </w:rPr>
        <w:t>que</w:t>
      </w:r>
      <w:r w:rsidR="00DB1635" w:rsidRPr="00B004EE">
        <w:rPr>
          <w:rFonts w:ascii="Tahoma" w:hAnsi="Tahoma" w:cs="Tahoma"/>
          <w:b w:val="0"/>
          <w:bCs w:val="0"/>
        </w:rPr>
        <w:t xml:space="preserve"> </w:t>
      </w:r>
      <w:r w:rsidRPr="00B004EE">
        <w:rPr>
          <w:rFonts w:ascii="Tahoma" w:hAnsi="Tahoma" w:cs="Tahoma"/>
          <w:b w:val="0"/>
          <w:bCs w:val="0"/>
        </w:rPr>
        <w:t>dans</w:t>
      </w:r>
      <w:r w:rsidR="00DB1635" w:rsidRPr="00B004EE">
        <w:rPr>
          <w:rFonts w:ascii="Tahoma" w:hAnsi="Tahoma" w:cs="Tahoma"/>
          <w:b w:val="0"/>
          <w:bCs w:val="0"/>
        </w:rPr>
        <w:t xml:space="preserve"> </w:t>
      </w:r>
      <w:r w:rsidRPr="00B004EE">
        <w:rPr>
          <w:rFonts w:ascii="Tahoma" w:hAnsi="Tahoma" w:cs="Tahoma"/>
          <w:b w:val="0"/>
          <w:bCs w:val="0"/>
        </w:rPr>
        <w:t>certaines</w:t>
      </w:r>
      <w:r w:rsidR="00DB1635" w:rsidRPr="00B004EE">
        <w:rPr>
          <w:rFonts w:ascii="Tahoma" w:hAnsi="Tahoma" w:cs="Tahoma"/>
          <w:b w:val="0"/>
          <w:bCs w:val="0"/>
        </w:rPr>
        <w:t xml:space="preserve"> </w:t>
      </w:r>
      <w:r w:rsidRPr="00B004EE">
        <w:rPr>
          <w:rFonts w:ascii="Tahoma" w:hAnsi="Tahoma" w:cs="Tahoma"/>
          <w:b w:val="0"/>
          <w:bCs w:val="0"/>
        </w:rPr>
        <w:t>conditions,</w:t>
      </w:r>
      <w:r w:rsidR="00DB1635" w:rsidRPr="00B004EE">
        <w:rPr>
          <w:rFonts w:ascii="Tahoma" w:hAnsi="Tahoma" w:cs="Tahoma"/>
          <w:b w:val="0"/>
          <w:bCs w:val="0"/>
        </w:rPr>
        <w:t xml:space="preserve"> </w:t>
      </w:r>
      <w:r w:rsidRPr="00B004EE">
        <w:rPr>
          <w:rFonts w:ascii="Tahoma" w:hAnsi="Tahoma" w:cs="Tahoma"/>
          <w:b w:val="0"/>
          <w:bCs w:val="0"/>
        </w:rPr>
        <w:t>le</w:t>
      </w:r>
      <w:r w:rsidR="00DB1635" w:rsidRPr="00B004EE">
        <w:rPr>
          <w:rFonts w:ascii="Tahoma" w:hAnsi="Tahoma" w:cs="Tahoma"/>
          <w:b w:val="0"/>
          <w:bCs w:val="0"/>
        </w:rPr>
        <w:t xml:space="preserve"> </w:t>
      </w:r>
      <w:r w:rsidRPr="00B004EE">
        <w:rPr>
          <w:rFonts w:ascii="Tahoma" w:hAnsi="Tahoma" w:cs="Tahoma"/>
          <w:b w:val="0"/>
          <w:bCs w:val="0"/>
        </w:rPr>
        <w:t>fabricant</w:t>
      </w:r>
      <w:r w:rsidR="00DB1635" w:rsidRPr="00B004EE">
        <w:rPr>
          <w:rFonts w:ascii="Tahoma" w:hAnsi="Tahoma" w:cs="Tahoma"/>
          <w:b w:val="0"/>
          <w:bCs w:val="0"/>
        </w:rPr>
        <w:t xml:space="preserve"> </w:t>
      </w:r>
      <w:r w:rsidRPr="00B004EE">
        <w:rPr>
          <w:rFonts w:ascii="Tahoma" w:hAnsi="Tahoma" w:cs="Tahoma"/>
          <w:b w:val="0"/>
          <w:bCs w:val="0"/>
        </w:rPr>
        <w:t>est</w:t>
      </w:r>
      <w:r w:rsidR="00DB1635" w:rsidRPr="00B004EE">
        <w:rPr>
          <w:rFonts w:ascii="Tahoma" w:hAnsi="Tahoma" w:cs="Tahoma"/>
          <w:b w:val="0"/>
          <w:bCs w:val="0"/>
        </w:rPr>
        <w:t xml:space="preserve"> </w:t>
      </w:r>
      <w:r w:rsidRPr="00B004EE">
        <w:rPr>
          <w:rFonts w:ascii="Tahoma" w:hAnsi="Tahoma" w:cs="Tahoma"/>
          <w:b w:val="0"/>
          <w:bCs w:val="0"/>
        </w:rPr>
        <w:t>tenu</w:t>
      </w:r>
      <w:r w:rsidR="00DB1635" w:rsidRPr="00B004EE">
        <w:rPr>
          <w:rFonts w:ascii="Tahoma" w:hAnsi="Tahoma" w:cs="Tahoma"/>
          <w:b w:val="0"/>
          <w:bCs w:val="0"/>
        </w:rPr>
        <w:t xml:space="preserve"> </w:t>
      </w:r>
      <w:r w:rsidRPr="00B004EE">
        <w:rPr>
          <w:rFonts w:ascii="Tahoma" w:hAnsi="Tahoma" w:cs="Tahoma"/>
          <w:b w:val="0"/>
          <w:bCs w:val="0"/>
        </w:rPr>
        <w:t>de</w:t>
      </w:r>
      <w:r w:rsidR="00DB1635" w:rsidRPr="00B004EE">
        <w:rPr>
          <w:rFonts w:ascii="Tahoma" w:hAnsi="Tahoma" w:cs="Tahoma"/>
          <w:b w:val="0"/>
          <w:bCs w:val="0"/>
        </w:rPr>
        <w:t xml:space="preserve"> </w:t>
      </w:r>
      <w:r w:rsidRPr="00B004EE">
        <w:rPr>
          <w:rFonts w:ascii="Tahoma" w:hAnsi="Tahoma" w:cs="Tahoma"/>
          <w:b w:val="0"/>
          <w:bCs w:val="0"/>
        </w:rPr>
        <w:t>se</w:t>
      </w:r>
      <w:r w:rsidR="00DB1635" w:rsidRPr="00B004EE">
        <w:rPr>
          <w:rFonts w:ascii="Tahoma" w:hAnsi="Tahoma" w:cs="Tahoma"/>
          <w:b w:val="0"/>
          <w:bCs w:val="0"/>
        </w:rPr>
        <w:t xml:space="preserve"> </w:t>
      </w:r>
      <w:r w:rsidRPr="00B004EE">
        <w:rPr>
          <w:rFonts w:ascii="Tahoma" w:hAnsi="Tahoma" w:cs="Tahoma"/>
          <w:b w:val="0"/>
          <w:bCs w:val="0"/>
        </w:rPr>
        <w:t>conformer</w:t>
      </w:r>
      <w:r w:rsidR="00DB1635" w:rsidRPr="00B004EE">
        <w:rPr>
          <w:rFonts w:ascii="Tahoma" w:hAnsi="Tahoma" w:cs="Tahoma"/>
          <w:b w:val="0"/>
          <w:bCs w:val="0"/>
        </w:rPr>
        <w:t xml:space="preserve"> </w:t>
      </w:r>
      <w:r w:rsidRPr="00B004EE">
        <w:rPr>
          <w:rFonts w:ascii="Tahoma" w:hAnsi="Tahoma" w:cs="Tahoma"/>
          <w:b w:val="0"/>
          <w:bCs w:val="0"/>
        </w:rPr>
        <w:t>aux</w:t>
      </w:r>
      <w:r w:rsidR="00DB1635" w:rsidRPr="00B004EE">
        <w:rPr>
          <w:rFonts w:ascii="Tahoma" w:hAnsi="Tahoma" w:cs="Tahoma"/>
          <w:b w:val="0"/>
          <w:bCs w:val="0"/>
        </w:rPr>
        <w:t xml:space="preserve"> </w:t>
      </w:r>
      <w:r w:rsidRPr="00B004EE">
        <w:rPr>
          <w:rFonts w:ascii="Tahoma" w:hAnsi="Tahoma" w:cs="Tahoma"/>
          <w:b w:val="0"/>
          <w:bCs w:val="0"/>
        </w:rPr>
        <w:t>indications</w:t>
      </w:r>
      <w:r w:rsidR="00DB1635" w:rsidRPr="00B004EE">
        <w:rPr>
          <w:rFonts w:ascii="Tahoma" w:hAnsi="Tahoma" w:cs="Tahoma"/>
          <w:b w:val="0"/>
          <w:bCs w:val="0"/>
        </w:rPr>
        <w:t xml:space="preserve"> </w:t>
      </w:r>
      <w:r w:rsidRPr="00B004EE">
        <w:rPr>
          <w:rFonts w:ascii="Tahoma" w:hAnsi="Tahoma" w:cs="Tahoma"/>
          <w:b w:val="0"/>
          <w:bCs w:val="0"/>
        </w:rPr>
        <w:t>données</w:t>
      </w:r>
      <w:r w:rsidR="00DB1635" w:rsidRPr="00B004EE">
        <w:rPr>
          <w:rFonts w:ascii="Tahoma" w:hAnsi="Tahoma" w:cs="Tahoma"/>
          <w:b w:val="0"/>
          <w:bCs w:val="0"/>
        </w:rPr>
        <w:t xml:space="preserve"> </w:t>
      </w:r>
      <w:r w:rsidRPr="00B004EE">
        <w:rPr>
          <w:rFonts w:ascii="Tahoma" w:hAnsi="Tahoma" w:cs="Tahoma"/>
          <w:b w:val="0"/>
          <w:bCs w:val="0"/>
        </w:rPr>
        <w:t>à</w:t>
      </w:r>
      <w:r w:rsidR="00DB1635" w:rsidRPr="00B004EE">
        <w:rPr>
          <w:rFonts w:ascii="Tahoma" w:hAnsi="Tahoma" w:cs="Tahoma"/>
          <w:b w:val="0"/>
          <w:bCs w:val="0"/>
        </w:rPr>
        <w:t xml:space="preserve"> </w:t>
      </w:r>
      <w:r w:rsidRPr="00B004EE">
        <w:rPr>
          <w:rFonts w:ascii="Tahoma" w:hAnsi="Tahoma" w:cs="Tahoma"/>
          <w:b w:val="0"/>
          <w:bCs w:val="0"/>
        </w:rPr>
        <w:t>cette</w:t>
      </w:r>
      <w:r w:rsidR="00DB1635" w:rsidRPr="00B004EE">
        <w:rPr>
          <w:rFonts w:ascii="Tahoma" w:hAnsi="Tahoma" w:cs="Tahoma"/>
          <w:b w:val="0"/>
          <w:bCs w:val="0"/>
        </w:rPr>
        <w:t xml:space="preserve"> </w:t>
      </w:r>
      <w:r w:rsidRPr="00B004EE">
        <w:rPr>
          <w:rFonts w:ascii="Tahoma" w:hAnsi="Tahoma" w:cs="Tahoma"/>
          <w:b w:val="0"/>
          <w:bCs w:val="0"/>
        </w:rPr>
        <w:t>fin</w:t>
      </w:r>
      <w:r w:rsidR="00DB1635" w:rsidRPr="00B004EE">
        <w:rPr>
          <w:rFonts w:ascii="Tahoma" w:hAnsi="Tahoma" w:cs="Tahoma"/>
          <w:b w:val="0"/>
          <w:bCs w:val="0"/>
        </w:rPr>
        <w:t xml:space="preserve"> </w:t>
      </w:r>
      <w:r w:rsidRPr="00B004EE">
        <w:rPr>
          <w:rFonts w:ascii="Tahoma" w:hAnsi="Tahoma" w:cs="Tahoma"/>
          <w:b w:val="0"/>
          <w:bCs w:val="0"/>
        </w:rPr>
        <w:t>par</w:t>
      </w:r>
      <w:r w:rsidR="00DB1635" w:rsidRPr="00B004EE">
        <w:rPr>
          <w:rFonts w:ascii="Tahoma" w:hAnsi="Tahoma" w:cs="Tahoma"/>
          <w:b w:val="0"/>
          <w:bCs w:val="0"/>
        </w:rPr>
        <w:t xml:space="preserve"> </w:t>
      </w:r>
      <w:r w:rsidRPr="00B004EE">
        <w:rPr>
          <w:rFonts w:ascii="Tahoma" w:hAnsi="Tahoma" w:cs="Tahoma"/>
          <w:b w:val="0"/>
          <w:bCs w:val="0"/>
        </w:rPr>
        <w:t>l'agent</w:t>
      </w:r>
      <w:r w:rsidR="00DB1635" w:rsidRPr="00B004EE">
        <w:rPr>
          <w:rFonts w:ascii="Tahoma" w:hAnsi="Tahoma" w:cs="Tahoma"/>
          <w:b w:val="0"/>
          <w:bCs w:val="0"/>
        </w:rPr>
        <w:t xml:space="preserve"> </w:t>
      </w:r>
      <w:r w:rsidRPr="00B004EE">
        <w:rPr>
          <w:rFonts w:ascii="Tahoma" w:hAnsi="Tahoma" w:cs="Tahoma"/>
          <w:b w:val="0"/>
          <w:bCs w:val="0"/>
        </w:rPr>
        <w:t>de</w:t>
      </w:r>
      <w:r w:rsidR="00DB1635" w:rsidRPr="00B004EE">
        <w:rPr>
          <w:rFonts w:ascii="Tahoma" w:hAnsi="Tahoma" w:cs="Tahoma"/>
          <w:b w:val="0"/>
          <w:bCs w:val="0"/>
        </w:rPr>
        <w:t xml:space="preserve"> </w:t>
      </w:r>
      <w:r w:rsidRPr="00B004EE">
        <w:rPr>
          <w:rFonts w:ascii="Tahoma" w:hAnsi="Tahoma" w:cs="Tahoma"/>
          <w:b w:val="0"/>
          <w:bCs w:val="0"/>
        </w:rPr>
        <w:t>contrôle</w:t>
      </w:r>
      <w:r w:rsidR="00DB1635" w:rsidRPr="00B004EE">
        <w:rPr>
          <w:rFonts w:ascii="Tahoma" w:hAnsi="Tahoma" w:cs="Tahoma"/>
          <w:b w:val="0"/>
          <w:bCs w:val="0"/>
        </w:rPr>
        <w:t xml:space="preserve"> </w:t>
      </w:r>
      <w:r w:rsidRPr="00B004EE">
        <w:rPr>
          <w:rFonts w:ascii="Tahoma" w:hAnsi="Tahoma" w:cs="Tahoma"/>
          <w:b w:val="0"/>
          <w:bCs w:val="0"/>
        </w:rPr>
        <w:t>;</w:t>
      </w:r>
    </w:p>
    <w:p w14:paraId="7C4453FE" w14:textId="664DC23A" w:rsidR="002F24E1" w:rsidRPr="00B004EE" w:rsidRDefault="002F24E1" w:rsidP="00420DDA">
      <w:pPr>
        <w:pStyle w:val="Lgende"/>
        <w:numPr>
          <w:ilvl w:val="0"/>
          <w:numId w:val="148"/>
        </w:numPr>
        <w:jc w:val="both"/>
        <w:rPr>
          <w:rFonts w:ascii="Tahoma" w:hAnsi="Tahoma" w:cs="Tahoma"/>
          <w:b w:val="0"/>
          <w:bCs w:val="0"/>
        </w:rPr>
      </w:pPr>
      <w:r w:rsidRPr="00B004EE">
        <w:rPr>
          <w:rFonts w:ascii="Tahoma" w:hAnsi="Tahoma" w:cs="Tahoma"/>
          <w:b w:val="0"/>
          <w:bCs w:val="0"/>
        </w:rPr>
        <w:lastRenderedPageBreak/>
        <w:t>Les</w:t>
      </w:r>
      <w:r w:rsidR="00DB1635" w:rsidRPr="00B004EE">
        <w:rPr>
          <w:rFonts w:ascii="Tahoma" w:hAnsi="Tahoma" w:cs="Tahoma"/>
          <w:b w:val="0"/>
          <w:bCs w:val="0"/>
        </w:rPr>
        <w:t xml:space="preserve"> </w:t>
      </w:r>
      <w:r w:rsidRPr="00B004EE">
        <w:rPr>
          <w:rFonts w:ascii="Tahoma" w:hAnsi="Tahoma" w:cs="Tahoma"/>
          <w:b w:val="0"/>
          <w:bCs w:val="0"/>
        </w:rPr>
        <w:t>matières</w:t>
      </w:r>
      <w:r w:rsidR="00DB1635" w:rsidRPr="00B004EE">
        <w:rPr>
          <w:rFonts w:ascii="Tahoma" w:hAnsi="Tahoma" w:cs="Tahoma"/>
          <w:b w:val="0"/>
          <w:bCs w:val="0"/>
        </w:rPr>
        <w:t xml:space="preserve"> </w:t>
      </w:r>
      <w:r w:rsidRPr="00B004EE">
        <w:rPr>
          <w:rFonts w:ascii="Tahoma" w:hAnsi="Tahoma" w:cs="Tahoma"/>
          <w:b w:val="0"/>
          <w:bCs w:val="0"/>
        </w:rPr>
        <w:t>ou</w:t>
      </w:r>
      <w:r w:rsidR="00DB1635" w:rsidRPr="00B004EE">
        <w:rPr>
          <w:rFonts w:ascii="Tahoma" w:hAnsi="Tahoma" w:cs="Tahoma"/>
          <w:b w:val="0"/>
          <w:bCs w:val="0"/>
        </w:rPr>
        <w:t xml:space="preserve"> </w:t>
      </w:r>
      <w:r w:rsidRPr="00B004EE">
        <w:rPr>
          <w:rFonts w:ascii="Tahoma" w:hAnsi="Tahoma" w:cs="Tahoma"/>
          <w:b w:val="0"/>
          <w:bCs w:val="0"/>
        </w:rPr>
        <w:t>produits</w:t>
      </w:r>
      <w:r w:rsidR="00DB1635" w:rsidRPr="00B004EE">
        <w:rPr>
          <w:rFonts w:ascii="Tahoma" w:hAnsi="Tahoma" w:cs="Tahoma"/>
          <w:b w:val="0"/>
          <w:bCs w:val="0"/>
        </w:rPr>
        <w:t xml:space="preserve"> </w:t>
      </w:r>
      <w:r w:rsidRPr="00B004EE">
        <w:rPr>
          <w:rFonts w:ascii="Tahoma" w:hAnsi="Tahoma" w:cs="Tahoma"/>
          <w:b w:val="0"/>
          <w:bCs w:val="0"/>
        </w:rPr>
        <w:t>sont</w:t>
      </w:r>
      <w:r w:rsidR="00DB1635" w:rsidRPr="00B004EE">
        <w:rPr>
          <w:rFonts w:ascii="Tahoma" w:hAnsi="Tahoma" w:cs="Tahoma"/>
          <w:b w:val="0"/>
          <w:bCs w:val="0"/>
        </w:rPr>
        <w:t xml:space="preserve"> </w:t>
      </w:r>
      <w:r w:rsidRPr="00B004EE">
        <w:rPr>
          <w:rFonts w:ascii="Tahoma" w:hAnsi="Tahoma" w:cs="Tahoma"/>
          <w:b w:val="0"/>
          <w:bCs w:val="0"/>
        </w:rPr>
        <w:t>impropres</w:t>
      </w:r>
      <w:r w:rsidR="00DB1635" w:rsidRPr="00B004EE">
        <w:rPr>
          <w:rFonts w:ascii="Tahoma" w:hAnsi="Tahoma" w:cs="Tahoma"/>
          <w:b w:val="0"/>
          <w:bCs w:val="0"/>
        </w:rPr>
        <w:t xml:space="preserve"> </w:t>
      </w:r>
      <w:r w:rsidRPr="00B004EE">
        <w:rPr>
          <w:rFonts w:ascii="Tahoma" w:hAnsi="Tahoma" w:cs="Tahoma"/>
          <w:b w:val="0"/>
          <w:bCs w:val="0"/>
        </w:rPr>
        <w:t>à</w:t>
      </w:r>
      <w:r w:rsidR="00DB1635" w:rsidRPr="00B004EE">
        <w:rPr>
          <w:rFonts w:ascii="Tahoma" w:hAnsi="Tahoma" w:cs="Tahoma"/>
          <w:b w:val="0"/>
          <w:bCs w:val="0"/>
        </w:rPr>
        <w:t xml:space="preserve"> </w:t>
      </w:r>
      <w:r w:rsidRPr="00B004EE">
        <w:rPr>
          <w:rFonts w:ascii="Tahoma" w:hAnsi="Tahoma" w:cs="Tahoma"/>
          <w:b w:val="0"/>
          <w:bCs w:val="0"/>
        </w:rPr>
        <w:t>la</w:t>
      </w:r>
      <w:r w:rsidR="00DB1635" w:rsidRPr="00B004EE">
        <w:rPr>
          <w:rFonts w:ascii="Tahoma" w:hAnsi="Tahoma" w:cs="Tahoma"/>
          <w:b w:val="0"/>
          <w:bCs w:val="0"/>
        </w:rPr>
        <w:t xml:space="preserve"> </w:t>
      </w:r>
      <w:r w:rsidRPr="00B004EE">
        <w:rPr>
          <w:rFonts w:ascii="Tahoma" w:hAnsi="Tahoma" w:cs="Tahoma"/>
          <w:b w:val="0"/>
          <w:bCs w:val="0"/>
        </w:rPr>
        <w:t>consommation</w:t>
      </w:r>
      <w:r w:rsidR="00DB1635" w:rsidRPr="00B004EE">
        <w:rPr>
          <w:rFonts w:ascii="Tahoma" w:hAnsi="Tahoma" w:cs="Tahoma"/>
          <w:b w:val="0"/>
          <w:bCs w:val="0"/>
        </w:rPr>
        <w:t xml:space="preserve"> </w:t>
      </w:r>
      <w:r w:rsidRPr="00B004EE">
        <w:rPr>
          <w:rFonts w:ascii="Tahoma" w:hAnsi="Tahoma" w:cs="Tahoma"/>
          <w:b w:val="0"/>
          <w:bCs w:val="0"/>
        </w:rPr>
        <w:t>humaine,</w:t>
      </w:r>
      <w:r w:rsidR="00DB1635" w:rsidRPr="00B004EE">
        <w:rPr>
          <w:rFonts w:ascii="Tahoma" w:hAnsi="Tahoma" w:cs="Tahoma"/>
          <w:b w:val="0"/>
          <w:bCs w:val="0"/>
        </w:rPr>
        <w:t xml:space="preserve"> </w:t>
      </w:r>
      <w:r w:rsidRPr="00B004EE">
        <w:rPr>
          <w:rFonts w:ascii="Tahoma" w:hAnsi="Tahoma" w:cs="Tahoma"/>
          <w:b w:val="0"/>
          <w:bCs w:val="0"/>
        </w:rPr>
        <w:t>l'agent</w:t>
      </w:r>
      <w:r w:rsidR="00DB1635" w:rsidRPr="00B004EE">
        <w:rPr>
          <w:rFonts w:ascii="Tahoma" w:hAnsi="Tahoma" w:cs="Tahoma"/>
          <w:b w:val="0"/>
          <w:bCs w:val="0"/>
        </w:rPr>
        <w:t xml:space="preserve"> </w:t>
      </w:r>
      <w:r w:rsidRPr="00B004EE">
        <w:rPr>
          <w:rFonts w:ascii="Tahoma" w:hAnsi="Tahoma" w:cs="Tahoma"/>
          <w:b w:val="0"/>
          <w:bCs w:val="0"/>
        </w:rPr>
        <w:t>de</w:t>
      </w:r>
      <w:r w:rsidR="00DB1635" w:rsidRPr="00B004EE">
        <w:rPr>
          <w:rFonts w:ascii="Tahoma" w:hAnsi="Tahoma" w:cs="Tahoma"/>
          <w:b w:val="0"/>
          <w:bCs w:val="0"/>
        </w:rPr>
        <w:t xml:space="preserve"> </w:t>
      </w:r>
      <w:r w:rsidRPr="00B004EE">
        <w:rPr>
          <w:rFonts w:ascii="Tahoma" w:hAnsi="Tahoma" w:cs="Tahoma"/>
          <w:b w:val="0"/>
          <w:bCs w:val="0"/>
        </w:rPr>
        <w:t>contrôle</w:t>
      </w:r>
      <w:r w:rsidR="00DB1635" w:rsidRPr="00B004EE">
        <w:rPr>
          <w:rFonts w:ascii="Tahoma" w:hAnsi="Tahoma" w:cs="Tahoma"/>
          <w:b w:val="0"/>
          <w:bCs w:val="0"/>
        </w:rPr>
        <w:t xml:space="preserve"> </w:t>
      </w:r>
      <w:r w:rsidRPr="00B004EE">
        <w:rPr>
          <w:rFonts w:ascii="Tahoma" w:hAnsi="Tahoma" w:cs="Tahoma"/>
          <w:b w:val="0"/>
          <w:bCs w:val="0"/>
        </w:rPr>
        <w:t>fait</w:t>
      </w:r>
      <w:r w:rsidR="00DB1635" w:rsidRPr="00B004EE">
        <w:rPr>
          <w:rFonts w:ascii="Tahoma" w:hAnsi="Tahoma" w:cs="Tahoma"/>
          <w:b w:val="0"/>
          <w:bCs w:val="0"/>
        </w:rPr>
        <w:t xml:space="preserve"> </w:t>
      </w:r>
      <w:r w:rsidRPr="00B004EE">
        <w:rPr>
          <w:rFonts w:ascii="Tahoma" w:hAnsi="Tahoma" w:cs="Tahoma"/>
          <w:b w:val="0"/>
          <w:bCs w:val="0"/>
        </w:rPr>
        <w:t>procéder</w:t>
      </w:r>
      <w:r w:rsidR="00DB1635" w:rsidRPr="00B004EE">
        <w:rPr>
          <w:rFonts w:ascii="Tahoma" w:hAnsi="Tahoma" w:cs="Tahoma"/>
          <w:b w:val="0"/>
          <w:bCs w:val="0"/>
        </w:rPr>
        <w:t xml:space="preserve"> </w:t>
      </w:r>
      <w:r w:rsidRPr="00B004EE">
        <w:rPr>
          <w:rFonts w:ascii="Tahoma" w:hAnsi="Tahoma" w:cs="Tahoma"/>
          <w:b w:val="0"/>
          <w:bCs w:val="0"/>
        </w:rPr>
        <w:t>à</w:t>
      </w:r>
      <w:r w:rsidR="00DB1635" w:rsidRPr="00B004EE">
        <w:rPr>
          <w:rFonts w:ascii="Tahoma" w:hAnsi="Tahoma" w:cs="Tahoma"/>
          <w:b w:val="0"/>
          <w:bCs w:val="0"/>
        </w:rPr>
        <w:t xml:space="preserve"> </w:t>
      </w:r>
      <w:r w:rsidRPr="00B004EE">
        <w:rPr>
          <w:rFonts w:ascii="Tahoma" w:hAnsi="Tahoma" w:cs="Tahoma"/>
          <w:b w:val="0"/>
          <w:bCs w:val="0"/>
        </w:rPr>
        <w:t>leur</w:t>
      </w:r>
      <w:r w:rsidR="00DB1635" w:rsidRPr="00B004EE">
        <w:rPr>
          <w:rFonts w:ascii="Tahoma" w:hAnsi="Tahoma" w:cs="Tahoma"/>
          <w:b w:val="0"/>
          <w:bCs w:val="0"/>
        </w:rPr>
        <w:t xml:space="preserve"> </w:t>
      </w:r>
      <w:r w:rsidRPr="00B004EE">
        <w:rPr>
          <w:rFonts w:ascii="Tahoma" w:hAnsi="Tahoma" w:cs="Tahoma"/>
          <w:b w:val="0"/>
          <w:bCs w:val="0"/>
        </w:rPr>
        <w:t>destruction</w:t>
      </w:r>
      <w:r w:rsidR="00DB1635" w:rsidRPr="00B004EE">
        <w:rPr>
          <w:rFonts w:ascii="Tahoma" w:hAnsi="Tahoma" w:cs="Tahoma"/>
          <w:b w:val="0"/>
          <w:bCs w:val="0"/>
        </w:rPr>
        <w:t xml:space="preserve"> </w:t>
      </w:r>
      <w:r w:rsidRPr="00B004EE">
        <w:rPr>
          <w:rFonts w:ascii="Tahoma" w:hAnsi="Tahoma" w:cs="Tahoma"/>
          <w:b w:val="0"/>
          <w:bCs w:val="0"/>
        </w:rPr>
        <w:t>à</w:t>
      </w:r>
      <w:r w:rsidR="00DB1635" w:rsidRPr="00B004EE">
        <w:rPr>
          <w:rFonts w:ascii="Tahoma" w:hAnsi="Tahoma" w:cs="Tahoma"/>
          <w:b w:val="0"/>
          <w:bCs w:val="0"/>
        </w:rPr>
        <w:t xml:space="preserve"> </w:t>
      </w:r>
      <w:r w:rsidRPr="00B004EE">
        <w:rPr>
          <w:rFonts w:ascii="Tahoma" w:hAnsi="Tahoma" w:cs="Tahoma"/>
          <w:b w:val="0"/>
          <w:bCs w:val="0"/>
        </w:rPr>
        <w:t>moins</w:t>
      </w:r>
      <w:r w:rsidR="00DB1635" w:rsidRPr="00B004EE">
        <w:rPr>
          <w:rFonts w:ascii="Tahoma" w:hAnsi="Tahoma" w:cs="Tahoma"/>
          <w:b w:val="0"/>
          <w:bCs w:val="0"/>
        </w:rPr>
        <w:t xml:space="preserve"> </w:t>
      </w:r>
      <w:r w:rsidRPr="00B004EE">
        <w:rPr>
          <w:rFonts w:ascii="Tahoma" w:hAnsi="Tahoma" w:cs="Tahoma"/>
          <w:b w:val="0"/>
          <w:bCs w:val="0"/>
        </w:rPr>
        <w:t>qu'ils</w:t>
      </w:r>
      <w:r w:rsidR="00DB1635" w:rsidRPr="00B004EE">
        <w:rPr>
          <w:rFonts w:ascii="Tahoma" w:hAnsi="Tahoma" w:cs="Tahoma"/>
          <w:b w:val="0"/>
          <w:bCs w:val="0"/>
        </w:rPr>
        <w:t xml:space="preserve"> </w:t>
      </w:r>
      <w:r w:rsidRPr="00B004EE">
        <w:rPr>
          <w:rFonts w:ascii="Tahoma" w:hAnsi="Tahoma" w:cs="Tahoma"/>
          <w:b w:val="0"/>
          <w:bCs w:val="0"/>
        </w:rPr>
        <w:t>puissent</w:t>
      </w:r>
      <w:r w:rsidR="00DB1635" w:rsidRPr="00B004EE">
        <w:rPr>
          <w:rFonts w:ascii="Tahoma" w:hAnsi="Tahoma" w:cs="Tahoma"/>
          <w:b w:val="0"/>
          <w:bCs w:val="0"/>
        </w:rPr>
        <w:t xml:space="preserve"> </w:t>
      </w:r>
      <w:r w:rsidRPr="00B004EE">
        <w:rPr>
          <w:rFonts w:ascii="Tahoma" w:hAnsi="Tahoma" w:cs="Tahoma"/>
          <w:b w:val="0"/>
          <w:bCs w:val="0"/>
        </w:rPr>
        <w:t>être</w:t>
      </w:r>
      <w:r w:rsidR="00DB1635" w:rsidRPr="00B004EE">
        <w:rPr>
          <w:rFonts w:ascii="Tahoma" w:hAnsi="Tahoma" w:cs="Tahoma"/>
          <w:b w:val="0"/>
          <w:bCs w:val="0"/>
        </w:rPr>
        <w:t xml:space="preserve"> </w:t>
      </w:r>
      <w:r w:rsidRPr="00B004EE">
        <w:rPr>
          <w:rFonts w:ascii="Tahoma" w:hAnsi="Tahoma" w:cs="Tahoma"/>
          <w:b w:val="0"/>
          <w:bCs w:val="0"/>
        </w:rPr>
        <w:t>livrés</w:t>
      </w:r>
      <w:r w:rsidR="00DB1635" w:rsidRPr="00B004EE">
        <w:rPr>
          <w:rFonts w:ascii="Tahoma" w:hAnsi="Tahoma" w:cs="Tahoma"/>
          <w:b w:val="0"/>
          <w:bCs w:val="0"/>
        </w:rPr>
        <w:t xml:space="preserve"> </w:t>
      </w:r>
      <w:r w:rsidRPr="00B004EE">
        <w:rPr>
          <w:rFonts w:ascii="Tahoma" w:hAnsi="Tahoma" w:cs="Tahoma"/>
          <w:b w:val="0"/>
          <w:bCs w:val="0"/>
        </w:rPr>
        <w:t>à</w:t>
      </w:r>
      <w:r w:rsidR="00DB1635" w:rsidRPr="00B004EE">
        <w:rPr>
          <w:rFonts w:ascii="Tahoma" w:hAnsi="Tahoma" w:cs="Tahoma"/>
          <w:b w:val="0"/>
          <w:bCs w:val="0"/>
        </w:rPr>
        <w:t xml:space="preserve"> </w:t>
      </w:r>
      <w:r w:rsidRPr="00B004EE">
        <w:rPr>
          <w:rFonts w:ascii="Tahoma" w:hAnsi="Tahoma" w:cs="Tahoma"/>
          <w:b w:val="0"/>
          <w:bCs w:val="0"/>
        </w:rPr>
        <w:t>la</w:t>
      </w:r>
      <w:r w:rsidR="00DB1635" w:rsidRPr="00B004EE">
        <w:rPr>
          <w:rFonts w:ascii="Tahoma" w:hAnsi="Tahoma" w:cs="Tahoma"/>
          <w:b w:val="0"/>
          <w:bCs w:val="0"/>
        </w:rPr>
        <w:t xml:space="preserve"> </w:t>
      </w:r>
      <w:r w:rsidRPr="00B004EE">
        <w:rPr>
          <w:rFonts w:ascii="Tahoma" w:hAnsi="Tahoma" w:cs="Tahoma"/>
          <w:b w:val="0"/>
          <w:bCs w:val="0"/>
        </w:rPr>
        <w:t>consommation</w:t>
      </w:r>
      <w:r w:rsidR="00DB1635" w:rsidRPr="00B004EE">
        <w:rPr>
          <w:rFonts w:ascii="Tahoma" w:hAnsi="Tahoma" w:cs="Tahoma"/>
          <w:b w:val="0"/>
          <w:bCs w:val="0"/>
        </w:rPr>
        <w:t xml:space="preserve"> </w:t>
      </w:r>
      <w:r w:rsidRPr="00B004EE">
        <w:rPr>
          <w:rFonts w:ascii="Tahoma" w:hAnsi="Tahoma" w:cs="Tahoma"/>
          <w:b w:val="0"/>
          <w:bCs w:val="0"/>
        </w:rPr>
        <w:t>animale.</w:t>
      </w:r>
    </w:p>
    <w:p w14:paraId="645725CA" w14:textId="77777777" w:rsidR="002F24E1" w:rsidRPr="00B004EE" w:rsidRDefault="002F24E1" w:rsidP="00B004EE">
      <w:pPr>
        <w:pStyle w:val="Lgende"/>
        <w:jc w:val="both"/>
        <w:rPr>
          <w:rFonts w:ascii="Tahoma" w:hAnsi="Tahoma" w:cs="Tahoma"/>
          <w:b w:val="0"/>
          <w:bCs w:val="0"/>
        </w:rPr>
      </w:pPr>
    </w:p>
    <w:p w14:paraId="7E51B396" w14:textId="331516F0" w:rsidR="002F24E1" w:rsidRPr="00B004EE" w:rsidRDefault="00561F81" w:rsidP="00B004EE">
      <w:pPr>
        <w:pStyle w:val="Lgende"/>
        <w:jc w:val="both"/>
        <w:rPr>
          <w:rFonts w:ascii="Tahoma" w:hAnsi="Tahoma" w:cs="Tahoma"/>
          <w:b w:val="0"/>
          <w:bCs w:val="0"/>
        </w:rPr>
      </w:pPr>
      <w:r w:rsidRPr="00B004EE">
        <w:rPr>
          <w:rFonts w:ascii="Tahoma" w:hAnsi="Tahoma" w:cs="Tahoma"/>
          <w:b w:val="0"/>
          <w:bCs w:val="0"/>
        </w:rPr>
        <w:t xml:space="preserve">Article </w:t>
      </w:r>
      <w:r w:rsidR="002F24E1" w:rsidRPr="00B004EE">
        <w:rPr>
          <w:rFonts w:ascii="Tahoma" w:hAnsi="Tahoma" w:cs="Tahoma"/>
          <w:b w:val="0"/>
          <w:bCs w:val="0"/>
        </w:rPr>
        <w:t>7</w:t>
      </w:r>
      <w:r w:rsidR="00DB1635" w:rsidRPr="00B004EE">
        <w:rPr>
          <w:rFonts w:ascii="Tahoma" w:hAnsi="Tahoma" w:cs="Tahoma"/>
          <w:b w:val="0"/>
          <w:bCs w:val="0"/>
        </w:rPr>
        <w:t xml:space="preserve"> </w:t>
      </w:r>
      <w:r w:rsidR="002F24E1" w:rsidRPr="00B004EE">
        <w:rPr>
          <w:rFonts w:ascii="Tahoma" w:hAnsi="Tahoma" w:cs="Tahoma"/>
          <w:b w:val="0"/>
          <w:bCs w:val="0"/>
        </w:rPr>
        <w:t>:</w:t>
      </w:r>
      <w:r w:rsidR="00DB1635" w:rsidRPr="00B004EE">
        <w:rPr>
          <w:rFonts w:ascii="Tahoma" w:hAnsi="Tahoma" w:cs="Tahoma"/>
          <w:b w:val="0"/>
          <w:bCs w:val="0"/>
        </w:rPr>
        <w:t xml:space="preserve"> </w:t>
      </w:r>
      <w:r w:rsidR="002F24E1" w:rsidRPr="00B004EE">
        <w:rPr>
          <w:rFonts w:ascii="Tahoma" w:hAnsi="Tahoma" w:cs="Tahoma"/>
          <w:b w:val="0"/>
          <w:bCs w:val="0"/>
        </w:rPr>
        <w:t>Les</w:t>
      </w:r>
      <w:r w:rsidR="00DB1635" w:rsidRPr="00B004EE">
        <w:rPr>
          <w:rFonts w:ascii="Tahoma" w:hAnsi="Tahoma" w:cs="Tahoma"/>
          <w:b w:val="0"/>
          <w:bCs w:val="0"/>
        </w:rPr>
        <w:t xml:space="preserve"> </w:t>
      </w:r>
      <w:r w:rsidR="002F24E1" w:rsidRPr="00B004EE">
        <w:rPr>
          <w:rFonts w:ascii="Tahoma" w:hAnsi="Tahoma" w:cs="Tahoma"/>
          <w:b w:val="0"/>
          <w:bCs w:val="0"/>
        </w:rPr>
        <w:t>prélèvements</w:t>
      </w:r>
      <w:r w:rsidR="00DB1635" w:rsidRPr="00B004EE">
        <w:rPr>
          <w:rFonts w:ascii="Tahoma" w:hAnsi="Tahoma" w:cs="Tahoma"/>
          <w:b w:val="0"/>
          <w:bCs w:val="0"/>
        </w:rPr>
        <w:t xml:space="preserve"> </w:t>
      </w:r>
      <w:r w:rsidR="002F24E1" w:rsidRPr="00B004EE">
        <w:rPr>
          <w:rFonts w:ascii="Tahoma" w:hAnsi="Tahoma" w:cs="Tahoma"/>
          <w:b w:val="0"/>
          <w:bCs w:val="0"/>
        </w:rPr>
        <w:t>d'échantillons</w:t>
      </w:r>
      <w:r w:rsidR="00DB1635" w:rsidRPr="00B004EE">
        <w:rPr>
          <w:rFonts w:ascii="Tahoma" w:hAnsi="Tahoma" w:cs="Tahoma"/>
          <w:b w:val="0"/>
          <w:bCs w:val="0"/>
        </w:rPr>
        <w:t xml:space="preserve"> </w:t>
      </w:r>
      <w:r w:rsidR="002F24E1" w:rsidRPr="00B004EE">
        <w:rPr>
          <w:rFonts w:ascii="Tahoma" w:hAnsi="Tahoma" w:cs="Tahoma"/>
          <w:b w:val="0"/>
          <w:bCs w:val="0"/>
        </w:rPr>
        <w:t>sont</w:t>
      </w:r>
      <w:r w:rsidR="00DB1635" w:rsidRPr="00B004EE">
        <w:rPr>
          <w:rFonts w:ascii="Tahoma" w:hAnsi="Tahoma" w:cs="Tahoma"/>
          <w:b w:val="0"/>
          <w:bCs w:val="0"/>
        </w:rPr>
        <w:t xml:space="preserve"> </w:t>
      </w:r>
      <w:r w:rsidR="002F24E1" w:rsidRPr="00B004EE">
        <w:rPr>
          <w:rFonts w:ascii="Tahoma" w:hAnsi="Tahoma" w:cs="Tahoma"/>
          <w:b w:val="0"/>
          <w:bCs w:val="0"/>
        </w:rPr>
        <w:t>gratuits</w:t>
      </w:r>
      <w:r w:rsidR="00DB1635" w:rsidRPr="00B004EE">
        <w:rPr>
          <w:rFonts w:ascii="Tahoma" w:hAnsi="Tahoma" w:cs="Tahoma"/>
          <w:b w:val="0"/>
          <w:bCs w:val="0"/>
        </w:rPr>
        <w:t xml:space="preserve"> </w:t>
      </w:r>
      <w:r w:rsidR="002F24E1" w:rsidRPr="00B004EE">
        <w:rPr>
          <w:rFonts w:ascii="Tahoma" w:hAnsi="Tahoma" w:cs="Tahoma"/>
          <w:b w:val="0"/>
          <w:bCs w:val="0"/>
        </w:rPr>
        <w:t>et</w:t>
      </w:r>
      <w:r w:rsidR="00DB1635" w:rsidRPr="00B004EE">
        <w:rPr>
          <w:rFonts w:ascii="Tahoma" w:hAnsi="Tahoma" w:cs="Tahoma"/>
          <w:b w:val="0"/>
          <w:bCs w:val="0"/>
        </w:rPr>
        <w:t xml:space="preserve"> </w:t>
      </w:r>
      <w:r w:rsidR="002F24E1" w:rsidRPr="00B004EE">
        <w:rPr>
          <w:rFonts w:ascii="Tahoma" w:hAnsi="Tahoma" w:cs="Tahoma"/>
          <w:b w:val="0"/>
          <w:bCs w:val="0"/>
        </w:rPr>
        <w:t>ne</w:t>
      </w:r>
      <w:r w:rsidR="00DB1635" w:rsidRPr="00B004EE">
        <w:rPr>
          <w:rFonts w:ascii="Tahoma" w:hAnsi="Tahoma" w:cs="Tahoma"/>
          <w:b w:val="0"/>
          <w:bCs w:val="0"/>
        </w:rPr>
        <w:t xml:space="preserve"> </w:t>
      </w:r>
      <w:r w:rsidR="002F24E1" w:rsidRPr="00B004EE">
        <w:rPr>
          <w:rFonts w:ascii="Tahoma" w:hAnsi="Tahoma" w:cs="Tahoma"/>
          <w:b w:val="0"/>
          <w:bCs w:val="0"/>
        </w:rPr>
        <w:t>donnent</w:t>
      </w:r>
      <w:r w:rsidR="00DB1635" w:rsidRPr="00B004EE">
        <w:rPr>
          <w:rFonts w:ascii="Tahoma" w:hAnsi="Tahoma" w:cs="Tahoma"/>
          <w:b w:val="0"/>
          <w:bCs w:val="0"/>
        </w:rPr>
        <w:t xml:space="preserve"> </w:t>
      </w:r>
      <w:r w:rsidR="002F24E1" w:rsidRPr="00B004EE">
        <w:rPr>
          <w:rFonts w:ascii="Tahoma" w:hAnsi="Tahoma" w:cs="Tahoma"/>
          <w:b w:val="0"/>
          <w:bCs w:val="0"/>
        </w:rPr>
        <w:t>lieu</w:t>
      </w:r>
      <w:r w:rsidR="00DB1635" w:rsidRPr="00B004EE">
        <w:rPr>
          <w:rFonts w:ascii="Tahoma" w:hAnsi="Tahoma" w:cs="Tahoma"/>
          <w:b w:val="0"/>
          <w:bCs w:val="0"/>
        </w:rPr>
        <w:t xml:space="preserve"> </w:t>
      </w:r>
      <w:r w:rsidR="002F24E1" w:rsidRPr="00B004EE">
        <w:rPr>
          <w:rFonts w:ascii="Tahoma" w:hAnsi="Tahoma" w:cs="Tahoma"/>
          <w:b w:val="0"/>
          <w:bCs w:val="0"/>
        </w:rPr>
        <w:t>à</w:t>
      </w:r>
      <w:r w:rsidR="00DB1635" w:rsidRPr="00B004EE">
        <w:rPr>
          <w:rFonts w:ascii="Tahoma" w:hAnsi="Tahoma" w:cs="Tahoma"/>
          <w:b w:val="0"/>
          <w:bCs w:val="0"/>
        </w:rPr>
        <w:t xml:space="preserve"> </w:t>
      </w:r>
      <w:r w:rsidR="002F24E1" w:rsidRPr="00B004EE">
        <w:rPr>
          <w:rFonts w:ascii="Tahoma" w:hAnsi="Tahoma" w:cs="Tahoma"/>
          <w:b w:val="0"/>
          <w:bCs w:val="0"/>
        </w:rPr>
        <w:t>aucun</w:t>
      </w:r>
      <w:r w:rsidR="00DB1635" w:rsidRPr="00B004EE">
        <w:rPr>
          <w:rFonts w:ascii="Tahoma" w:hAnsi="Tahoma" w:cs="Tahoma"/>
          <w:b w:val="0"/>
          <w:bCs w:val="0"/>
        </w:rPr>
        <w:t xml:space="preserve"> </w:t>
      </w:r>
      <w:r w:rsidR="002F24E1" w:rsidRPr="00B004EE">
        <w:rPr>
          <w:rFonts w:ascii="Tahoma" w:hAnsi="Tahoma" w:cs="Tahoma"/>
          <w:b w:val="0"/>
          <w:bCs w:val="0"/>
        </w:rPr>
        <w:t>remboursement.</w:t>
      </w:r>
    </w:p>
    <w:p w14:paraId="1F636F57" w14:textId="049A8C9C" w:rsidR="002F24E1" w:rsidRPr="00B004EE" w:rsidRDefault="002F24E1" w:rsidP="00B004EE">
      <w:pPr>
        <w:pStyle w:val="Lgende"/>
        <w:jc w:val="both"/>
        <w:rPr>
          <w:rFonts w:ascii="Tahoma" w:hAnsi="Tahoma" w:cs="Tahoma"/>
          <w:b w:val="0"/>
          <w:bCs w:val="0"/>
        </w:rPr>
      </w:pPr>
      <w:r w:rsidRPr="00B004EE">
        <w:rPr>
          <w:rFonts w:ascii="Tahoma" w:hAnsi="Tahoma" w:cs="Tahoma"/>
          <w:b w:val="0"/>
          <w:bCs w:val="0"/>
        </w:rPr>
        <w:t>Les</w:t>
      </w:r>
      <w:r w:rsidR="00DB1635" w:rsidRPr="00B004EE">
        <w:rPr>
          <w:rFonts w:ascii="Tahoma" w:hAnsi="Tahoma" w:cs="Tahoma"/>
          <w:b w:val="0"/>
          <w:bCs w:val="0"/>
        </w:rPr>
        <w:t xml:space="preserve"> </w:t>
      </w:r>
      <w:r w:rsidRPr="00B004EE">
        <w:rPr>
          <w:rFonts w:ascii="Tahoma" w:hAnsi="Tahoma" w:cs="Tahoma"/>
          <w:b w:val="0"/>
          <w:bCs w:val="0"/>
        </w:rPr>
        <w:t>analyses</w:t>
      </w:r>
      <w:r w:rsidR="00DB1635" w:rsidRPr="00B004EE">
        <w:rPr>
          <w:rFonts w:ascii="Tahoma" w:hAnsi="Tahoma" w:cs="Tahoma"/>
          <w:b w:val="0"/>
          <w:bCs w:val="0"/>
        </w:rPr>
        <w:t xml:space="preserve"> </w:t>
      </w:r>
      <w:r w:rsidRPr="00B004EE">
        <w:rPr>
          <w:rFonts w:ascii="Tahoma" w:hAnsi="Tahoma" w:cs="Tahoma"/>
          <w:b w:val="0"/>
          <w:bCs w:val="0"/>
        </w:rPr>
        <w:t>nécessitées</w:t>
      </w:r>
      <w:r w:rsidR="00DB1635" w:rsidRPr="00B004EE">
        <w:rPr>
          <w:rFonts w:ascii="Tahoma" w:hAnsi="Tahoma" w:cs="Tahoma"/>
          <w:b w:val="0"/>
          <w:bCs w:val="0"/>
        </w:rPr>
        <w:t xml:space="preserve"> </w:t>
      </w:r>
      <w:r w:rsidRPr="00B004EE">
        <w:rPr>
          <w:rFonts w:ascii="Tahoma" w:hAnsi="Tahoma" w:cs="Tahoma"/>
          <w:b w:val="0"/>
          <w:bCs w:val="0"/>
        </w:rPr>
        <w:t>par</w:t>
      </w:r>
      <w:r w:rsidR="00DB1635" w:rsidRPr="00B004EE">
        <w:rPr>
          <w:rFonts w:ascii="Tahoma" w:hAnsi="Tahoma" w:cs="Tahoma"/>
          <w:b w:val="0"/>
          <w:bCs w:val="0"/>
        </w:rPr>
        <w:t xml:space="preserve"> </w:t>
      </w:r>
      <w:r w:rsidRPr="00B004EE">
        <w:rPr>
          <w:rFonts w:ascii="Tahoma" w:hAnsi="Tahoma" w:cs="Tahoma"/>
          <w:b w:val="0"/>
          <w:bCs w:val="0"/>
        </w:rPr>
        <w:t>l'exercice</w:t>
      </w:r>
      <w:r w:rsidR="00DB1635" w:rsidRPr="00B004EE">
        <w:rPr>
          <w:rFonts w:ascii="Tahoma" w:hAnsi="Tahoma" w:cs="Tahoma"/>
          <w:b w:val="0"/>
          <w:bCs w:val="0"/>
        </w:rPr>
        <w:t xml:space="preserve"> </w:t>
      </w:r>
      <w:r w:rsidRPr="00B004EE">
        <w:rPr>
          <w:rFonts w:ascii="Tahoma" w:hAnsi="Tahoma" w:cs="Tahoma"/>
          <w:b w:val="0"/>
          <w:bCs w:val="0"/>
        </w:rPr>
        <w:t>du</w:t>
      </w:r>
      <w:r w:rsidR="00DB1635" w:rsidRPr="00B004EE">
        <w:rPr>
          <w:rFonts w:ascii="Tahoma" w:hAnsi="Tahoma" w:cs="Tahoma"/>
          <w:b w:val="0"/>
          <w:bCs w:val="0"/>
        </w:rPr>
        <w:t xml:space="preserve"> </w:t>
      </w:r>
      <w:r w:rsidRPr="00B004EE">
        <w:rPr>
          <w:rFonts w:ascii="Tahoma" w:hAnsi="Tahoma" w:cs="Tahoma"/>
          <w:b w:val="0"/>
          <w:bCs w:val="0"/>
        </w:rPr>
        <w:t>contrôle</w:t>
      </w:r>
      <w:r w:rsidR="00DB1635" w:rsidRPr="00B004EE">
        <w:rPr>
          <w:rFonts w:ascii="Tahoma" w:hAnsi="Tahoma" w:cs="Tahoma"/>
          <w:b w:val="0"/>
          <w:bCs w:val="0"/>
        </w:rPr>
        <w:t xml:space="preserve"> </w:t>
      </w:r>
      <w:r w:rsidRPr="00B004EE">
        <w:rPr>
          <w:rFonts w:ascii="Tahoma" w:hAnsi="Tahoma" w:cs="Tahoma"/>
          <w:b w:val="0"/>
          <w:bCs w:val="0"/>
        </w:rPr>
        <w:t>sont</w:t>
      </w:r>
      <w:r w:rsidR="00DB1635" w:rsidRPr="00B004EE">
        <w:rPr>
          <w:rFonts w:ascii="Tahoma" w:hAnsi="Tahoma" w:cs="Tahoma"/>
          <w:b w:val="0"/>
          <w:bCs w:val="0"/>
        </w:rPr>
        <w:t xml:space="preserve"> </w:t>
      </w:r>
      <w:r w:rsidRPr="00B004EE">
        <w:rPr>
          <w:rFonts w:ascii="Tahoma" w:hAnsi="Tahoma" w:cs="Tahoma"/>
          <w:b w:val="0"/>
          <w:bCs w:val="0"/>
        </w:rPr>
        <w:t>exécutées</w:t>
      </w:r>
      <w:r w:rsidR="00DB1635" w:rsidRPr="00B004EE">
        <w:rPr>
          <w:rFonts w:ascii="Tahoma" w:hAnsi="Tahoma" w:cs="Tahoma"/>
          <w:b w:val="0"/>
          <w:bCs w:val="0"/>
        </w:rPr>
        <w:t xml:space="preserve"> </w:t>
      </w:r>
      <w:r w:rsidRPr="00B004EE">
        <w:rPr>
          <w:rFonts w:ascii="Tahoma" w:hAnsi="Tahoma" w:cs="Tahoma"/>
          <w:b w:val="0"/>
          <w:bCs w:val="0"/>
        </w:rPr>
        <w:t>par</w:t>
      </w:r>
      <w:r w:rsidR="00DB1635" w:rsidRPr="00B004EE">
        <w:rPr>
          <w:rFonts w:ascii="Tahoma" w:hAnsi="Tahoma" w:cs="Tahoma"/>
          <w:b w:val="0"/>
          <w:bCs w:val="0"/>
        </w:rPr>
        <w:t xml:space="preserve"> </w:t>
      </w:r>
      <w:r w:rsidRPr="00B004EE">
        <w:rPr>
          <w:rFonts w:ascii="Tahoma" w:hAnsi="Tahoma" w:cs="Tahoma"/>
          <w:b w:val="0"/>
          <w:bCs w:val="0"/>
        </w:rPr>
        <w:t>les</w:t>
      </w:r>
      <w:r w:rsidR="00DB1635" w:rsidRPr="00B004EE">
        <w:rPr>
          <w:rFonts w:ascii="Tahoma" w:hAnsi="Tahoma" w:cs="Tahoma"/>
          <w:b w:val="0"/>
          <w:bCs w:val="0"/>
        </w:rPr>
        <w:t xml:space="preserve"> </w:t>
      </w:r>
      <w:r w:rsidRPr="00B004EE">
        <w:rPr>
          <w:rFonts w:ascii="Tahoma" w:hAnsi="Tahoma" w:cs="Tahoma"/>
          <w:b w:val="0"/>
          <w:bCs w:val="0"/>
        </w:rPr>
        <w:t>laboratoires</w:t>
      </w:r>
      <w:r w:rsidR="00DB1635" w:rsidRPr="00B004EE">
        <w:rPr>
          <w:rFonts w:ascii="Tahoma" w:hAnsi="Tahoma" w:cs="Tahoma"/>
          <w:b w:val="0"/>
          <w:bCs w:val="0"/>
        </w:rPr>
        <w:t xml:space="preserve"> </w:t>
      </w:r>
      <w:r w:rsidRPr="00B004EE">
        <w:rPr>
          <w:rFonts w:ascii="Tahoma" w:hAnsi="Tahoma" w:cs="Tahoma"/>
          <w:b w:val="0"/>
          <w:bCs w:val="0"/>
        </w:rPr>
        <w:t>du</w:t>
      </w:r>
      <w:r w:rsidR="00DB1635" w:rsidRPr="00B004EE">
        <w:rPr>
          <w:rFonts w:ascii="Tahoma" w:hAnsi="Tahoma" w:cs="Tahoma"/>
          <w:b w:val="0"/>
          <w:bCs w:val="0"/>
        </w:rPr>
        <w:t xml:space="preserve"> </w:t>
      </w:r>
      <w:r w:rsidRPr="00B004EE">
        <w:rPr>
          <w:rFonts w:ascii="Tahoma" w:hAnsi="Tahoma" w:cs="Tahoma"/>
          <w:b w:val="0"/>
          <w:bCs w:val="0"/>
        </w:rPr>
        <w:t>Centre</w:t>
      </w:r>
      <w:r w:rsidR="00DB1635" w:rsidRPr="00B004EE">
        <w:rPr>
          <w:rFonts w:ascii="Tahoma" w:hAnsi="Tahoma" w:cs="Tahoma"/>
          <w:b w:val="0"/>
          <w:bCs w:val="0"/>
        </w:rPr>
        <w:t xml:space="preserve"> </w:t>
      </w:r>
      <w:r w:rsidRPr="00B004EE">
        <w:rPr>
          <w:rFonts w:ascii="Tahoma" w:hAnsi="Tahoma" w:cs="Tahoma"/>
          <w:b w:val="0"/>
          <w:bCs w:val="0"/>
        </w:rPr>
        <w:t>National</w:t>
      </w:r>
      <w:r w:rsidR="00DB1635" w:rsidRPr="00B004EE">
        <w:rPr>
          <w:rFonts w:ascii="Tahoma" w:hAnsi="Tahoma" w:cs="Tahoma"/>
          <w:b w:val="0"/>
          <w:bCs w:val="0"/>
        </w:rPr>
        <w:t xml:space="preserve"> </w:t>
      </w:r>
      <w:r w:rsidRPr="00B004EE">
        <w:rPr>
          <w:rFonts w:ascii="Tahoma" w:hAnsi="Tahoma" w:cs="Tahoma"/>
          <w:b w:val="0"/>
          <w:bCs w:val="0"/>
        </w:rPr>
        <w:t>de</w:t>
      </w:r>
      <w:r w:rsidR="00DB1635" w:rsidRPr="00B004EE">
        <w:rPr>
          <w:rFonts w:ascii="Tahoma" w:hAnsi="Tahoma" w:cs="Tahoma"/>
          <w:b w:val="0"/>
          <w:bCs w:val="0"/>
        </w:rPr>
        <w:t xml:space="preserve"> </w:t>
      </w:r>
      <w:r w:rsidRPr="00B004EE">
        <w:rPr>
          <w:rFonts w:ascii="Tahoma" w:hAnsi="Tahoma" w:cs="Tahoma"/>
          <w:b w:val="0"/>
          <w:bCs w:val="0"/>
        </w:rPr>
        <w:t>Recherches</w:t>
      </w:r>
      <w:r w:rsidR="00DB1635" w:rsidRPr="00B004EE">
        <w:rPr>
          <w:rFonts w:ascii="Tahoma" w:hAnsi="Tahoma" w:cs="Tahoma"/>
          <w:b w:val="0"/>
          <w:bCs w:val="0"/>
        </w:rPr>
        <w:t xml:space="preserve"> </w:t>
      </w:r>
      <w:r w:rsidRPr="00B004EE">
        <w:rPr>
          <w:rFonts w:ascii="Tahoma" w:hAnsi="Tahoma" w:cs="Tahoma"/>
          <w:b w:val="0"/>
          <w:bCs w:val="0"/>
        </w:rPr>
        <w:t>Océanographiques</w:t>
      </w:r>
      <w:r w:rsidR="00DB1635" w:rsidRPr="00B004EE">
        <w:rPr>
          <w:rFonts w:ascii="Tahoma" w:hAnsi="Tahoma" w:cs="Tahoma"/>
          <w:b w:val="0"/>
          <w:bCs w:val="0"/>
        </w:rPr>
        <w:t xml:space="preserve"> </w:t>
      </w:r>
      <w:r w:rsidRPr="00B004EE">
        <w:rPr>
          <w:rFonts w:ascii="Tahoma" w:hAnsi="Tahoma" w:cs="Tahoma"/>
          <w:b w:val="0"/>
          <w:bCs w:val="0"/>
        </w:rPr>
        <w:t>et</w:t>
      </w:r>
      <w:r w:rsidR="00DB1635" w:rsidRPr="00B004EE">
        <w:rPr>
          <w:rFonts w:ascii="Tahoma" w:hAnsi="Tahoma" w:cs="Tahoma"/>
          <w:b w:val="0"/>
          <w:bCs w:val="0"/>
        </w:rPr>
        <w:t xml:space="preserve"> </w:t>
      </w:r>
      <w:r w:rsidRPr="00B004EE">
        <w:rPr>
          <w:rFonts w:ascii="Tahoma" w:hAnsi="Tahoma" w:cs="Tahoma"/>
          <w:b w:val="0"/>
          <w:bCs w:val="0"/>
        </w:rPr>
        <w:t>des</w:t>
      </w:r>
      <w:r w:rsidR="00DB1635" w:rsidRPr="00B004EE">
        <w:rPr>
          <w:rFonts w:ascii="Tahoma" w:hAnsi="Tahoma" w:cs="Tahoma"/>
          <w:b w:val="0"/>
          <w:bCs w:val="0"/>
        </w:rPr>
        <w:t xml:space="preserve"> </w:t>
      </w:r>
      <w:r w:rsidRPr="00B004EE">
        <w:rPr>
          <w:rFonts w:ascii="Tahoma" w:hAnsi="Tahoma" w:cs="Tahoma"/>
          <w:b w:val="0"/>
          <w:bCs w:val="0"/>
        </w:rPr>
        <w:t>Pêches</w:t>
      </w:r>
      <w:r w:rsidR="00DB1635" w:rsidRPr="00B004EE">
        <w:rPr>
          <w:rFonts w:ascii="Tahoma" w:hAnsi="Tahoma" w:cs="Tahoma"/>
          <w:b w:val="0"/>
          <w:bCs w:val="0"/>
        </w:rPr>
        <w:t xml:space="preserve"> </w:t>
      </w:r>
      <w:r w:rsidRPr="00B004EE">
        <w:rPr>
          <w:rFonts w:ascii="Tahoma" w:hAnsi="Tahoma" w:cs="Tahoma"/>
          <w:b w:val="0"/>
          <w:bCs w:val="0"/>
        </w:rPr>
        <w:t>ou</w:t>
      </w:r>
      <w:r w:rsidR="00DB1635" w:rsidRPr="00B004EE">
        <w:rPr>
          <w:rFonts w:ascii="Tahoma" w:hAnsi="Tahoma" w:cs="Tahoma"/>
          <w:b w:val="0"/>
          <w:bCs w:val="0"/>
        </w:rPr>
        <w:t xml:space="preserve"> </w:t>
      </w:r>
      <w:r w:rsidRPr="00B004EE">
        <w:rPr>
          <w:rFonts w:ascii="Tahoma" w:hAnsi="Tahoma" w:cs="Tahoma"/>
          <w:b w:val="0"/>
          <w:bCs w:val="0"/>
        </w:rPr>
        <w:t>par</w:t>
      </w:r>
      <w:r w:rsidR="00DB1635" w:rsidRPr="00B004EE">
        <w:rPr>
          <w:rFonts w:ascii="Tahoma" w:hAnsi="Tahoma" w:cs="Tahoma"/>
          <w:b w:val="0"/>
          <w:bCs w:val="0"/>
        </w:rPr>
        <w:t xml:space="preserve"> </w:t>
      </w:r>
      <w:r w:rsidRPr="00B004EE">
        <w:rPr>
          <w:rFonts w:ascii="Tahoma" w:hAnsi="Tahoma" w:cs="Tahoma"/>
          <w:b w:val="0"/>
          <w:bCs w:val="0"/>
        </w:rPr>
        <w:t>les</w:t>
      </w:r>
      <w:r w:rsidR="00DB1635" w:rsidRPr="00B004EE">
        <w:rPr>
          <w:rFonts w:ascii="Tahoma" w:hAnsi="Tahoma" w:cs="Tahoma"/>
          <w:b w:val="0"/>
          <w:bCs w:val="0"/>
        </w:rPr>
        <w:t xml:space="preserve"> </w:t>
      </w:r>
      <w:r w:rsidRPr="00B004EE">
        <w:rPr>
          <w:rFonts w:ascii="Tahoma" w:hAnsi="Tahoma" w:cs="Tahoma"/>
          <w:b w:val="0"/>
          <w:bCs w:val="0"/>
        </w:rPr>
        <w:t>laboratoires</w:t>
      </w:r>
      <w:r w:rsidR="00DB1635" w:rsidRPr="00B004EE">
        <w:rPr>
          <w:rFonts w:ascii="Tahoma" w:hAnsi="Tahoma" w:cs="Tahoma"/>
          <w:b w:val="0"/>
          <w:bCs w:val="0"/>
        </w:rPr>
        <w:t xml:space="preserve"> </w:t>
      </w:r>
      <w:r w:rsidRPr="00B004EE">
        <w:rPr>
          <w:rFonts w:ascii="Tahoma" w:hAnsi="Tahoma" w:cs="Tahoma"/>
          <w:b w:val="0"/>
          <w:bCs w:val="0"/>
        </w:rPr>
        <w:t>agréés</w:t>
      </w:r>
      <w:r w:rsidR="00DB1635" w:rsidRPr="00B004EE">
        <w:rPr>
          <w:rFonts w:ascii="Tahoma" w:hAnsi="Tahoma" w:cs="Tahoma"/>
          <w:b w:val="0"/>
          <w:bCs w:val="0"/>
        </w:rPr>
        <w:t xml:space="preserve"> </w:t>
      </w:r>
      <w:r w:rsidRPr="00B004EE">
        <w:rPr>
          <w:rFonts w:ascii="Tahoma" w:hAnsi="Tahoma" w:cs="Tahoma"/>
          <w:b w:val="0"/>
          <w:bCs w:val="0"/>
        </w:rPr>
        <w:t>par</w:t>
      </w:r>
      <w:r w:rsidR="00DB1635" w:rsidRPr="00B004EE">
        <w:rPr>
          <w:rFonts w:ascii="Tahoma" w:hAnsi="Tahoma" w:cs="Tahoma"/>
          <w:b w:val="0"/>
          <w:bCs w:val="0"/>
        </w:rPr>
        <w:t xml:space="preserve"> </w:t>
      </w:r>
      <w:r w:rsidRPr="00B004EE">
        <w:rPr>
          <w:rFonts w:ascii="Tahoma" w:hAnsi="Tahoma" w:cs="Tahoma"/>
          <w:b w:val="0"/>
          <w:bCs w:val="0"/>
        </w:rPr>
        <w:t>le</w:t>
      </w:r>
      <w:r w:rsidR="00DB1635" w:rsidRPr="00B004EE">
        <w:rPr>
          <w:rFonts w:ascii="Tahoma" w:hAnsi="Tahoma" w:cs="Tahoma"/>
          <w:b w:val="0"/>
          <w:bCs w:val="0"/>
        </w:rPr>
        <w:t xml:space="preserve"> </w:t>
      </w:r>
      <w:r w:rsidRPr="00B004EE">
        <w:rPr>
          <w:rFonts w:ascii="Tahoma" w:hAnsi="Tahoma" w:cs="Tahoma"/>
          <w:b w:val="0"/>
          <w:bCs w:val="0"/>
        </w:rPr>
        <w:t>directeur</w:t>
      </w:r>
      <w:r w:rsidR="00DB1635" w:rsidRPr="00B004EE">
        <w:rPr>
          <w:rFonts w:ascii="Tahoma" w:hAnsi="Tahoma" w:cs="Tahoma"/>
          <w:b w:val="0"/>
          <w:bCs w:val="0"/>
        </w:rPr>
        <w:t xml:space="preserve"> </w:t>
      </w:r>
      <w:r w:rsidRPr="00B004EE">
        <w:rPr>
          <w:rFonts w:ascii="Tahoma" w:hAnsi="Tahoma" w:cs="Tahoma"/>
          <w:b w:val="0"/>
          <w:bCs w:val="0"/>
        </w:rPr>
        <w:t>du</w:t>
      </w:r>
      <w:r w:rsidR="00DB1635" w:rsidRPr="00B004EE">
        <w:rPr>
          <w:rFonts w:ascii="Tahoma" w:hAnsi="Tahoma" w:cs="Tahoma"/>
          <w:b w:val="0"/>
          <w:bCs w:val="0"/>
        </w:rPr>
        <w:t xml:space="preserve"> </w:t>
      </w:r>
      <w:r w:rsidRPr="00B004EE">
        <w:rPr>
          <w:rFonts w:ascii="Tahoma" w:hAnsi="Tahoma" w:cs="Tahoma"/>
          <w:b w:val="0"/>
          <w:bCs w:val="0"/>
        </w:rPr>
        <w:t>centre.</w:t>
      </w:r>
      <w:r w:rsidR="00DB1635" w:rsidRPr="00B004EE">
        <w:rPr>
          <w:rFonts w:ascii="Tahoma" w:hAnsi="Tahoma" w:cs="Tahoma"/>
          <w:b w:val="0"/>
          <w:bCs w:val="0"/>
        </w:rPr>
        <w:t xml:space="preserve"> </w:t>
      </w:r>
      <w:r w:rsidRPr="00B004EE">
        <w:rPr>
          <w:rFonts w:ascii="Tahoma" w:hAnsi="Tahoma" w:cs="Tahoma"/>
          <w:b w:val="0"/>
          <w:bCs w:val="0"/>
        </w:rPr>
        <w:t>Les</w:t>
      </w:r>
      <w:r w:rsidR="00DB1635" w:rsidRPr="00B004EE">
        <w:rPr>
          <w:rFonts w:ascii="Tahoma" w:hAnsi="Tahoma" w:cs="Tahoma"/>
          <w:b w:val="0"/>
          <w:bCs w:val="0"/>
        </w:rPr>
        <w:t xml:space="preserve"> </w:t>
      </w:r>
      <w:r w:rsidRPr="00B004EE">
        <w:rPr>
          <w:rFonts w:ascii="Tahoma" w:hAnsi="Tahoma" w:cs="Tahoma"/>
          <w:b w:val="0"/>
          <w:bCs w:val="0"/>
        </w:rPr>
        <w:t>conditions</w:t>
      </w:r>
      <w:r w:rsidR="00DB1635" w:rsidRPr="00B004EE">
        <w:rPr>
          <w:rFonts w:ascii="Tahoma" w:hAnsi="Tahoma" w:cs="Tahoma"/>
          <w:b w:val="0"/>
          <w:bCs w:val="0"/>
        </w:rPr>
        <w:t xml:space="preserve"> </w:t>
      </w:r>
      <w:r w:rsidRPr="00B004EE">
        <w:rPr>
          <w:rFonts w:ascii="Tahoma" w:hAnsi="Tahoma" w:cs="Tahoma"/>
          <w:b w:val="0"/>
          <w:bCs w:val="0"/>
        </w:rPr>
        <w:t>d'agrément</w:t>
      </w:r>
      <w:r w:rsidR="00DB1635" w:rsidRPr="00B004EE">
        <w:rPr>
          <w:rFonts w:ascii="Tahoma" w:hAnsi="Tahoma" w:cs="Tahoma"/>
          <w:b w:val="0"/>
          <w:bCs w:val="0"/>
        </w:rPr>
        <w:t xml:space="preserve"> </w:t>
      </w:r>
      <w:r w:rsidRPr="00B004EE">
        <w:rPr>
          <w:rFonts w:ascii="Tahoma" w:hAnsi="Tahoma" w:cs="Tahoma"/>
          <w:b w:val="0"/>
          <w:bCs w:val="0"/>
        </w:rPr>
        <w:t>seront</w:t>
      </w:r>
      <w:r w:rsidR="00DB1635" w:rsidRPr="00B004EE">
        <w:rPr>
          <w:rFonts w:ascii="Tahoma" w:hAnsi="Tahoma" w:cs="Tahoma"/>
          <w:b w:val="0"/>
          <w:bCs w:val="0"/>
        </w:rPr>
        <w:t xml:space="preserve"> </w:t>
      </w:r>
      <w:r w:rsidRPr="00B004EE">
        <w:rPr>
          <w:rFonts w:ascii="Tahoma" w:hAnsi="Tahoma" w:cs="Tahoma"/>
          <w:b w:val="0"/>
          <w:bCs w:val="0"/>
        </w:rPr>
        <w:t>fixées</w:t>
      </w:r>
      <w:r w:rsidR="00DB1635" w:rsidRPr="00B004EE">
        <w:rPr>
          <w:rFonts w:ascii="Tahoma" w:hAnsi="Tahoma" w:cs="Tahoma"/>
          <w:b w:val="0"/>
          <w:bCs w:val="0"/>
        </w:rPr>
        <w:t xml:space="preserve"> </w:t>
      </w:r>
      <w:r w:rsidRPr="00B004EE">
        <w:rPr>
          <w:rFonts w:ascii="Tahoma" w:hAnsi="Tahoma" w:cs="Tahoma"/>
          <w:b w:val="0"/>
          <w:bCs w:val="0"/>
        </w:rPr>
        <w:t>par</w:t>
      </w:r>
      <w:r w:rsidR="00DB1635" w:rsidRPr="00B004EE">
        <w:rPr>
          <w:rFonts w:ascii="Tahoma" w:hAnsi="Tahoma" w:cs="Tahoma"/>
          <w:b w:val="0"/>
          <w:bCs w:val="0"/>
        </w:rPr>
        <w:t xml:space="preserve"> </w:t>
      </w:r>
      <w:r w:rsidRPr="00B004EE">
        <w:rPr>
          <w:rFonts w:ascii="Tahoma" w:hAnsi="Tahoma" w:cs="Tahoma"/>
          <w:b w:val="0"/>
          <w:bCs w:val="0"/>
        </w:rPr>
        <w:t>arrêté</w:t>
      </w:r>
      <w:r w:rsidR="00DB1635" w:rsidRPr="00B004EE">
        <w:rPr>
          <w:rFonts w:ascii="Tahoma" w:hAnsi="Tahoma" w:cs="Tahoma"/>
          <w:b w:val="0"/>
          <w:bCs w:val="0"/>
        </w:rPr>
        <w:t xml:space="preserve"> </w:t>
      </w:r>
      <w:r w:rsidRPr="00B004EE">
        <w:rPr>
          <w:rFonts w:ascii="Tahoma" w:hAnsi="Tahoma" w:cs="Tahoma"/>
          <w:b w:val="0"/>
          <w:bCs w:val="0"/>
        </w:rPr>
        <w:t>du</w:t>
      </w:r>
      <w:r w:rsidR="00DB1635" w:rsidRPr="00B004EE">
        <w:rPr>
          <w:rFonts w:ascii="Tahoma" w:hAnsi="Tahoma" w:cs="Tahoma"/>
          <w:b w:val="0"/>
          <w:bCs w:val="0"/>
        </w:rPr>
        <w:t xml:space="preserve"> </w:t>
      </w:r>
      <w:r w:rsidRPr="00B004EE">
        <w:rPr>
          <w:rFonts w:ascii="Tahoma" w:hAnsi="Tahoma" w:cs="Tahoma"/>
          <w:b w:val="0"/>
          <w:bCs w:val="0"/>
        </w:rPr>
        <w:t>ministre</w:t>
      </w:r>
      <w:r w:rsidR="00DB1635" w:rsidRPr="00B004EE">
        <w:rPr>
          <w:rFonts w:ascii="Tahoma" w:hAnsi="Tahoma" w:cs="Tahoma"/>
          <w:b w:val="0"/>
          <w:bCs w:val="0"/>
        </w:rPr>
        <w:t xml:space="preserve"> </w:t>
      </w:r>
      <w:r w:rsidRPr="00B004EE">
        <w:rPr>
          <w:rFonts w:ascii="Tahoma" w:hAnsi="Tahoma" w:cs="Tahoma"/>
          <w:b w:val="0"/>
          <w:bCs w:val="0"/>
        </w:rPr>
        <w:t>chargé</w:t>
      </w:r>
      <w:r w:rsidR="00DB1635" w:rsidRPr="00B004EE">
        <w:rPr>
          <w:rFonts w:ascii="Tahoma" w:hAnsi="Tahoma" w:cs="Tahoma"/>
          <w:b w:val="0"/>
          <w:bCs w:val="0"/>
        </w:rPr>
        <w:t xml:space="preserve"> </w:t>
      </w:r>
      <w:r w:rsidRPr="00B004EE">
        <w:rPr>
          <w:rFonts w:ascii="Tahoma" w:hAnsi="Tahoma" w:cs="Tahoma"/>
          <w:b w:val="0"/>
          <w:bCs w:val="0"/>
        </w:rPr>
        <w:t>des</w:t>
      </w:r>
      <w:r w:rsidR="00DB1635" w:rsidRPr="00B004EE">
        <w:rPr>
          <w:rFonts w:ascii="Tahoma" w:hAnsi="Tahoma" w:cs="Tahoma"/>
          <w:b w:val="0"/>
          <w:bCs w:val="0"/>
        </w:rPr>
        <w:t xml:space="preserve"> </w:t>
      </w:r>
      <w:r w:rsidRPr="00B004EE">
        <w:rPr>
          <w:rFonts w:ascii="Tahoma" w:hAnsi="Tahoma" w:cs="Tahoma"/>
          <w:b w:val="0"/>
          <w:bCs w:val="0"/>
        </w:rPr>
        <w:t>Pêches.</w:t>
      </w:r>
    </w:p>
    <w:p w14:paraId="3F9ED121" w14:textId="77777777" w:rsidR="00572DF5" w:rsidRPr="00B004EE" w:rsidRDefault="00572DF5" w:rsidP="00B004EE">
      <w:pPr>
        <w:rPr>
          <w:rFonts w:ascii="Tahoma" w:hAnsi="Tahoma" w:cs="Tahoma"/>
          <w:sz w:val="20"/>
          <w:szCs w:val="20"/>
        </w:rPr>
      </w:pPr>
    </w:p>
    <w:p w14:paraId="44B31B2C" w14:textId="0438D12E" w:rsidR="002F24E1" w:rsidRPr="00B004EE" w:rsidRDefault="00561F81" w:rsidP="00B004EE">
      <w:pPr>
        <w:pStyle w:val="Lgende"/>
        <w:jc w:val="both"/>
        <w:rPr>
          <w:rFonts w:ascii="Tahoma" w:hAnsi="Tahoma" w:cs="Tahoma"/>
          <w:b w:val="0"/>
          <w:bCs w:val="0"/>
        </w:rPr>
      </w:pPr>
      <w:r w:rsidRPr="00B004EE">
        <w:rPr>
          <w:rFonts w:ascii="Tahoma" w:hAnsi="Tahoma" w:cs="Tahoma"/>
          <w:b w:val="0"/>
          <w:bCs w:val="0"/>
        </w:rPr>
        <w:t xml:space="preserve">Article </w:t>
      </w:r>
      <w:r w:rsidR="002F24E1" w:rsidRPr="00B004EE">
        <w:rPr>
          <w:rFonts w:ascii="Tahoma" w:hAnsi="Tahoma" w:cs="Tahoma"/>
          <w:b w:val="0"/>
          <w:bCs w:val="0"/>
        </w:rPr>
        <w:t>8</w:t>
      </w:r>
      <w:r w:rsidR="00DB1635" w:rsidRPr="00B004EE">
        <w:rPr>
          <w:rFonts w:ascii="Tahoma" w:hAnsi="Tahoma" w:cs="Tahoma"/>
          <w:b w:val="0"/>
          <w:bCs w:val="0"/>
        </w:rPr>
        <w:t xml:space="preserve"> </w:t>
      </w:r>
      <w:r w:rsidR="002F24E1" w:rsidRPr="00B004EE">
        <w:rPr>
          <w:rFonts w:ascii="Tahoma" w:hAnsi="Tahoma" w:cs="Tahoma"/>
          <w:b w:val="0"/>
          <w:bCs w:val="0"/>
        </w:rPr>
        <w:t>:</w:t>
      </w:r>
      <w:r w:rsidR="00DB1635" w:rsidRPr="00B004EE">
        <w:rPr>
          <w:rFonts w:ascii="Tahoma" w:hAnsi="Tahoma" w:cs="Tahoma"/>
        </w:rPr>
        <w:t xml:space="preserve"> </w:t>
      </w:r>
      <w:r w:rsidR="002F24E1" w:rsidRPr="00B004EE">
        <w:rPr>
          <w:rFonts w:ascii="Tahoma" w:hAnsi="Tahoma" w:cs="Tahoma"/>
          <w:b w:val="0"/>
          <w:bCs w:val="0"/>
        </w:rPr>
        <w:t>Les</w:t>
      </w:r>
      <w:r w:rsidR="00DB1635" w:rsidRPr="00B004EE">
        <w:rPr>
          <w:rFonts w:ascii="Tahoma" w:hAnsi="Tahoma" w:cs="Tahoma"/>
          <w:b w:val="0"/>
          <w:bCs w:val="0"/>
        </w:rPr>
        <w:t xml:space="preserve"> </w:t>
      </w:r>
      <w:r w:rsidR="002F24E1" w:rsidRPr="00B004EE">
        <w:rPr>
          <w:rFonts w:ascii="Tahoma" w:hAnsi="Tahoma" w:cs="Tahoma"/>
          <w:b w:val="0"/>
          <w:bCs w:val="0"/>
        </w:rPr>
        <w:t>frais</w:t>
      </w:r>
      <w:r w:rsidR="00DB1635" w:rsidRPr="00B004EE">
        <w:rPr>
          <w:rFonts w:ascii="Tahoma" w:hAnsi="Tahoma" w:cs="Tahoma"/>
          <w:b w:val="0"/>
          <w:bCs w:val="0"/>
        </w:rPr>
        <w:t xml:space="preserve"> </w:t>
      </w:r>
      <w:r w:rsidR="002F24E1" w:rsidRPr="00B004EE">
        <w:rPr>
          <w:rFonts w:ascii="Tahoma" w:hAnsi="Tahoma" w:cs="Tahoma"/>
          <w:b w:val="0"/>
          <w:bCs w:val="0"/>
        </w:rPr>
        <w:t>occasionnés</w:t>
      </w:r>
      <w:r w:rsidR="00DB1635" w:rsidRPr="00B004EE">
        <w:rPr>
          <w:rFonts w:ascii="Tahoma" w:hAnsi="Tahoma" w:cs="Tahoma"/>
          <w:b w:val="0"/>
          <w:bCs w:val="0"/>
        </w:rPr>
        <w:t xml:space="preserve"> </w:t>
      </w:r>
      <w:r w:rsidR="002F24E1" w:rsidRPr="00B004EE">
        <w:rPr>
          <w:rFonts w:ascii="Tahoma" w:hAnsi="Tahoma" w:cs="Tahoma"/>
          <w:b w:val="0"/>
          <w:bCs w:val="0"/>
        </w:rPr>
        <w:t>par</w:t>
      </w:r>
      <w:r w:rsidR="00DB1635" w:rsidRPr="00B004EE">
        <w:rPr>
          <w:rFonts w:ascii="Tahoma" w:hAnsi="Tahoma" w:cs="Tahoma"/>
          <w:b w:val="0"/>
          <w:bCs w:val="0"/>
        </w:rPr>
        <w:t xml:space="preserve"> </w:t>
      </w:r>
      <w:r w:rsidR="002F24E1" w:rsidRPr="00B004EE">
        <w:rPr>
          <w:rFonts w:ascii="Tahoma" w:hAnsi="Tahoma" w:cs="Tahoma"/>
          <w:b w:val="0"/>
          <w:bCs w:val="0"/>
        </w:rPr>
        <w:t>les</w:t>
      </w:r>
      <w:r w:rsidR="00DB1635" w:rsidRPr="00B004EE">
        <w:rPr>
          <w:rFonts w:ascii="Tahoma" w:hAnsi="Tahoma" w:cs="Tahoma"/>
          <w:b w:val="0"/>
          <w:bCs w:val="0"/>
        </w:rPr>
        <w:t xml:space="preserve"> </w:t>
      </w:r>
      <w:r w:rsidR="002F24E1" w:rsidRPr="00B004EE">
        <w:rPr>
          <w:rFonts w:ascii="Tahoma" w:hAnsi="Tahoma" w:cs="Tahoma"/>
          <w:b w:val="0"/>
          <w:bCs w:val="0"/>
        </w:rPr>
        <w:t>examens</w:t>
      </w:r>
      <w:r w:rsidR="00DB1635" w:rsidRPr="00B004EE">
        <w:rPr>
          <w:rFonts w:ascii="Tahoma" w:hAnsi="Tahoma" w:cs="Tahoma"/>
          <w:b w:val="0"/>
          <w:bCs w:val="0"/>
        </w:rPr>
        <w:t xml:space="preserve"> </w:t>
      </w:r>
      <w:r w:rsidR="002F24E1" w:rsidRPr="00B004EE">
        <w:rPr>
          <w:rFonts w:ascii="Tahoma" w:hAnsi="Tahoma" w:cs="Tahoma"/>
          <w:b w:val="0"/>
          <w:bCs w:val="0"/>
        </w:rPr>
        <w:t>de</w:t>
      </w:r>
      <w:r w:rsidR="00DB1635" w:rsidRPr="00B004EE">
        <w:rPr>
          <w:rFonts w:ascii="Tahoma" w:hAnsi="Tahoma" w:cs="Tahoma"/>
          <w:b w:val="0"/>
          <w:bCs w:val="0"/>
        </w:rPr>
        <w:t xml:space="preserve"> </w:t>
      </w:r>
      <w:r w:rsidR="002F24E1" w:rsidRPr="00B004EE">
        <w:rPr>
          <w:rFonts w:ascii="Tahoma" w:hAnsi="Tahoma" w:cs="Tahoma"/>
          <w:b w:val="0"/>
          <w:bCs w:val="0"/>
        </w:rPr>
        <w:t>laboratoire</w:t>
      </w:r>
      <w:r w:rsidR="00DB1635" w:rsidRPr="00B004EE">
        <w:rPr>
          <w:rFonts w:ascii="Tahoma" w:hAnsi="Tahoma" w:cs="Tahoma"/>
          <w:b w:val="0"/>
          <w:bCs w:val="0"/>
        </w:rPr>
        <w:t xml:space="preserve"> </w:t>
      </w:r>
      <w:r w:rsidR="002F24E1" w:rsidRPr="00B004EE">
        <w:rPr>
          <w:rFonts w:ascii="Tahoma" w:hAnsi="Tahoma" w:cs="Tahoma"/>
          <w:b w:val="0"/>
          <w:bCs w:val="0"/>
        </w:rPr>
        <w:t>et</w:t>
      </w:r>
      <w:r w:rsidR="00DB1635" w:rsidRPr="00B004EE">
        <w:rPr>
          <w:rFonts w:ascii="Tahoma" w:hAnsi="Tahoma" w:cs="Tahoma"/>
          <w:b w:val="0"/>
          <w:bCs w:val="0"/>
        </w:rPr>
        <w:t xml:space="preserve"> </w:t>
      </w:r>
      <w:r w:rsidR="002F24E1" w:rsidRPr="00B004EE">
        <w:rPr>
          <w:rFonts w:ascii="Tahoma" w:hAnsi="Tahoma" w:cs="Tahoma"/>
          <w:b w:val="0"/>
          <w:bCs w:val="0"/>
        </w:rPr>
        <w:t>les</w:t>
      </w:r>
      <w:r w:rsidR="00DB1635" w:rsidRPr="00B004EE">
        <w:rPr>
          <w:rFonts w:ascii="Tahoma" w:hAnsi="Tahoma" w:cs="Tahoma"/>
          <w:b w:val="0"/>
          <w:bCs w:val="0"/>
        </w:rPr>
        <w:t xml:space="preserve"> </w:t>
      </w:r>
      <w:r w:rsidR="002F24E1" w:rsidRPr="00B004EE">
        <w:rPr>
          <w:rFonts w:ascii="Tahoma" w:hAnsi="Tahoma" w:cs="Tahoma"/>
          <w:b w:val="0"/>
          <w:bCs w:val="0"/>
        </w:rPr>
        <w:t>vérifications</w:t>
      </w:r>
      <w:r w:rsidR="00DB1635" w:rsidRPr="00B004EE">
        <w:rPr>
          <w:rFonts w:ascii="Tahoma" w:hAnsi="Tahoma" w:cs="Tahoma"/>
          <w:b w:val="0"/>
          <w:bCs w:val="0"/>
        </w:rPr>
        <w:t xml:space="preserve"> </w:t>
      </w:r>
      <w:r w:rsidR="002F24E1" w:rsidRPr="00B004EE">
        <w:rPr>
          <w:rFonts w:ascii="Tahoma" w:hAnsi="Tahoma" w:cs="Tahoma"/>
          <w:b w:val="0"/>
          <w:bCs w:val="0"/>
        </w:rPr>
        <w:t>effectuées</w:t>
      </w:r>
      <w:r w:rsidR="00DB1635" w:rsidRPr="00B004EE">
        <w:rPr>
          <w:rFonts w:ascii="Tahoma" w:hAnsi="Tahoma" w:cs="Tahoma"/>
          <w:b w:val="0"/>
          <w:bCs w:val="0"/>
        </w:rPr>
        <w:t xml:space="preserve"> </w:t>
      </w:r>
      <w:r w:rsidR="002F24E1" w:rsidRPr="00B004EE">
        <w:rPr>
          <w:rFonts w:ascii="Tahoma" w:hAnsi="Tahoma" w:cs="Tahoma"/>
          <w:b w:val="0"/>
          <w:bCs w:val="0"/>
        </w:rPr>
        <w:t>sont</w:t>
      </w:r>
      <w:r w:rsidR="00DB1635" w:rsidRPr="00B004EE">
        <w:rPr>
          <w:rFonts w:ascii="Tahoma" w:hAnsi="Tahoma" w:cs="Tahoma"/>
          <w:b w:val="0"/>
          <w:bCs w:val="0"/>
        </w:rPr>
        <w:t xml:space="preserve"> </w:t>
      </w:r>
      <w:r w:rsidR="002F24E1" w:rsidRPr="00B004EE">
        <w:rPr>
          <w:rFonts w:ascii="Tahoma" w:hAnsi="Tahoma" w:cs="Tahoma"/>
          <w:b w:val="0"/>
          <w:bCs w:val="0"/>
        </w:rPr>
        <w:t>à</w:t>
      </w:r>
      <w:r w:rsidR="00DB1635" w:rsidRPr="00B004EE">
        <w:rPr>
          <w:rFonts w:ascii="Tahoma" w:hAnsi="Tahoma" w:cs="Tahoma"/>
          <w:b w:val="0"/>
          <w:bCs w:val="0"/>
        </w:rPr>
        <w:t xml:space="preserve"> </w:t>
      </w:r>
      <w:r w:rsidR="002F24E1" w:rsidRPr="00B004EE">
        <w:rPr>
          <w:rFonts w:ascii="Tahoma" w:hAnsi="Tahoma" w:cs="Tahoma"/>
          <w:b w:val="0"/>
          <w:bCs w:val="0"/>
        </w:rPr>
        <w:t>la</w:t>
      </w:r>
      <w:r w:rsidR="00DB1635" w:rsidRPr="00B004EE">
        <w:rPr>
          <w:rFonts w:ascii="Tahoma" w:hAnsi="Tahoma" w:cs="Tahoma"/>
          <w:b w:val="0"/>
          <w:bCs w:val="0"/>
        </w:rPr>
        <w:t xml:space="preserve"> </w:t>
      </w:r>
      <w:r w:rsidR="002F24E1" w:rsidRPr="00B004EE">
        <w:rPr>
          <w:rFonts w:ascii="Tahoma" w:hAnsi="Tahoma" w:cs="Tahoma"/>
          <w:b w:val="0"/>
          <w:bCs w:val="0"/>
        </w:rPr>
        <w:t>charge</w:t>
      </w:r>
      <w:r w:rsidR="00DB1635" w:rsidRPr="00B004EE">
        <w:rPr>
          <w:rFonts w:ascii="Tahoma" w:hAnsi="Tahoma" w:cs="Tahoma"/>
          <w:b w:val="0"/>
          <w:bCs w:val="0"/>
        </w:rPr>
        <w:t xml:space="preserve"> </w:t>
      </w:r>
      <w:r w:rsidR="002F24E1" w:rsidRPr="00B004EE">
        <w:rPr>
          <w:rFonts w:ascii="Tahoma" w:hAnsi="Tahoma" w:cs="Tahoma"/>
          <w:b w:val="0"/>
          <w:bCs w:val="0"/>
        </w:rPr>
        <w:t>du</w:t>
      </w:r>
      <w:r w:rsidR="00DB1635" w:rsidRPr="00B004EE">
        <w:rPr>
          <w:rFonts w:ascii="Tahoma" w:hAnsi="Tahoma" w:cs="Tahoma"/>
          <w:b w:val="0"/>
          <w:bCs w:val="0"/>
        </w:rPr>
        <w:t xml:space="preserve"> </w:t>
      </w:r>
      <w:r w:rsidR="002F24E1" w:rsidRPr="00B004EE">
        <w:rPr>
          <w:rFonts w:ascii="Tahoma" w:hAnsi="Tahoma" w:cs="Tahoma"/>
          <w:b w:val="0"/>
          <w:bCs w:val="0"/>
        </w:rPr>
        <w:t>fabricant,</w:t>
      </w:r>
      <w:r w:rsidR="00DB1635" w:rsidRPr="00B004EE">
        <w:rPr>
          <w:rFonts w:ascii="Tahoma" w:hAnsi="Tahoma" w:cs="Tahoma"/>
          <w:b w:val="0"/>
          <w:bCs w:val="0"/>
        </w:rPr>
        <w:t xml:space="preserve"> </w:t>
      </w:r>
      <w:r w:rsidR="002F24E1" w:rsidRPr="00B004EE">
        <w:rPr>
          <w:rFonts w:ascii="Tahoma" w:hAnsi="Tahoma" w:cs="Tahoma"/>
          <w:b w:val="0"/>
          <w:bCs w:val="0"/>
        </w:rPr>
        <w:t>distributeur</w:t>
      </w:r>
      <w:r w:rsidR="00DB1635" w:rsidRPr="00B004EE">
        <w:rPr>
          <w:rFonts w:ascii="Tahoma" w:hAnsi="Tahoma" w:cs="Tahoma"/>
          <w:b w:val="0"/>
          <w:bCs w:val="0"/>
        </w:rPr>
        <w:t xml:space="preserve"> </w:t>
      </w:r>
      <w:r w:rsidR="002F24E1" w:rsidRPr="00B004EE">
        <w:rPr>
          <w:rFonts w:ascii="Tahoma" w:hAnsi="Tahoma" w:cs="Tahoma"/>
          <w:b w:val="0"/>
          <w:bCs w:val="0"/>
        </w:rPr>
        <w:t>ou</w:t>
      </w:r>
      <w:r w:rsidR="00DB1635" w:rsidRPr="00B004EE">
        <w:rPr>
          <w:rFonts w:ascii="Tahoma" w:hAnsi="Tahoma" w:cs="Tahoma"/>
          <w:b w:val="0"/>
          <w:bCs w:val="0"/>
        </w:rPr>
        <w:t xml:space="preserve"> </w:t>
      </w:r>
      <w:r w:rsidR="002F24E1" w:rsidRPr="00B004EE">
        <w:rPr>
          <w:rFonts w:ascii="Tahoma" w:hAnsi="Tahoma" w:cs="Tahoma"/>
          <w:b w:val="0"/>
          <w:bCs w:val="0"/>
        </w:rPr>
        <w:t>vendeur.</w:t>
      </w:r>
      <w:r w:rsidR="00DB1635" w:rsidRPr="00B004EE">
        <w:rPr>
          <w:rFonts w:ascii="Tahoma" w:hAnsi="Tahoma" w:cs="Tahoma"/>
          <w:b w:val="0"/>
          <w:bCs w:val="0"/>
        </w:rPr>
        <w:t xml:space="preserve"> </w:t>
      </w:r>
      <w:r w:rsidR="002F24E1" w:rsidRPr="00B004EE">
        <w:rPr>
          <w:rFonts w:ascii="Tahoma" w:hAnsi="Tahoma" w:cs="Tahoma"/>
          <w:b w:val="0"/>
          <w:bCs w:val="0"/>
        </w:rPr>
        <w:t>Les</w:t>
      </w:r>
      <w:r w:rsidR="00DB1635" w:rsidRPr="00B004EE">
        <w:rPr>
          <w:rFonts w:ascii="Tahoma" w:hAnsi="Tahoma" w:cs="Tahoma"/>
          <w:b w:val="0"/>
          <w:bCs w:val="0"/>
        </w:rPr>
        <w:t xml:space="preserve"> </w:t>
      </w:r>
      <w:r w:rsidR="002F24E1" w:rsidRPr="00B004EE">
        <w:rPr>
          <w:rFonts w:ascii="Tahoma" w:hAnsi="Tahoma" w:cs="Tahoma"/>
          <w:b w:val="0"/>
          <w:bCs w:val="0"/>
        </w:rPr>
        <w:t>taux</w:t>
      </w:r>
      <w:r w:rsidR="00DB1635" w:rsidRPr="00B004EE">
        <w:rPr>
          <w:rFonts w:ascii="Tahoma" w:hAnsi="Tahoma" w:cs="Tahoma"/>
          <w:b w:val="0"/>
          <w:bCs w:val="0"/>
        </w:rPr>
        <w:t xml:space="preserve"> </w:t>
      </w:r>
      <w:r w:rsidR="002F24E1" w:rsidRPr="00B004EE">
        <w:rPr>
          <w:rFonts w:ascii="Tahoma" w:hAnsi="Tahoma" w:cs="Tahoma"/>
          <w:b w:val="0"/>
          <w:bCs w:val="0"/>
        </w:rPr>
        <w:t>et</w:t>
      </w:r>
      <w:r w:rsidR="00DB1635" w:rsidRPr="00B004EE">
        <w:rPr>
          <w:rFonts w:ascii="Tahoma" w:hAnsi="Tahoma" w:cs="Tahoma"/>
          <w:b w:val="0"/>
          <w:bCs w:val="0"/>
        </w:rPr>
        <w:t xml:space="preserve"> </w:t>
      </w:r>
      <w:r w:rsidR="002F24E1" w:rsidRPr="00B004EE">
        <w:rPr>
          <w:rFonts w:ascii="Tahoma" w:hAnsi="Tahoma" w:cs="Tahoma"/>
          <w:b w:val="0"/>
          <w:bCs w:val="0"/>
        </w:rPr>
        <w:t>le</w:t>
      </w:r>
      <w:r w:rsidR="00DB1635" w:rsidRPr="00B004EE">
        <w:rPr>
          <w:rFonts w:ascii="Tahoma" w:hAnsi="Tahoma" w:cs="Tahoma"/>
          <w:b w:val="0"/>
          <w:bCs w:val="0"/>
        </w:rPr>
        <w:t xml:space="preserve"> </w:t>
      </w:r>
      <w:r w:rsidR="002F24E1" w:rsidRPr="00B004EE">
        <w:rPr>
          <w:rFonts w:ascii="Tahoma" w:hAnsi="Tahoma" w:cs="Tahoma"/>
          <w:b w:val="0"/>
          <w:bCs w:val="0"/>
        </w:rPr>
        <w:t>mode</w:t>
      </w:r>
      <w:r w:rsidR="00DB1635" w:rsidRPr="00B004EE">
        <w:rPr>
          <w:rFonts w:ascii="Tahoma" w:hAnsi="Tahoma" w:cs="Tahoma"/>
          <w:b w:val="0"/>
          <w:bCs w:val="0"/>
        </w:rPr>
        <w:t xml:space="preserve"> </w:t>
      </w:r>
      <w:r w:rsidR="002F24E1" w:rsidRPr="00B004EE">
        <w:rPr>
          <w:rFonts w:ascii="Tahoma" w:hAnsi="Tahoma" w:cs="Tahoma"/>
          <w:b w:val="0"/>
          <w:bCs w:val="0"/>
        </w:rPr>
        <w:t>de</w:t>
      </w:r>
      <w:r w:rsidR="00DB1635" w:rsidRPr="00B004EE">
        <w:rPr>
          <w:rFonts w:ascii="Tahoma" w:hAnsi="Tahoma" w:cs="Tahoma"/>
          <w:b w:val="0"/>
          <w:bCs w:val="0"/>
        </w:rPr>
        <w:t xml:space="preserve"> </w:t>
      </w:r>
      <w:r w:rsidR="002F24E1" w:rsidRPr="00B004EE">
        <w:rPr>
          <w:rFonts w:ascii="Tahoma" w:hAnsi="Tahoma" w:cs="Tahoma"/>
          <w:b w:val="0"/>
          <w:bCs w:val="0"/>
        </w:rPr>
        <w:t>recouvrement</w:t>
      </w:r>
      <w:r w:rsidR="00DB1635" w:rsidRPr="00B004EE">
        <w:rPr>
          <w:rFonts w:ascii="Tahoma" w:hAnsi="Tahoma" w:cs="Tahoma"/>
          <w:b w:val="0"/>
          <w:bCs w:val="0"/>
        </w:rPr>
        <w:t xml:space="preserve"> </w:t>
      </w:r>
      <w:r w:rsidR="002F24E1" w:rsidRPr="00B004EE">
        <w:rPr>
          <w:rFonts w:ascii="Tahoma" w:hAnsi="Tahoma" w:cs="Tahoma"/>
          <w:b w:val="0"/>
          <w:bCs w:val="0"/>
        </w:rPr>
        <w:t>de</w:t>
      </w:r>
      <w:r w:rsidR="00DB1635" w:rsidRPr="00B004EE">
        <w:rPr>
          <w:rFonts w:ascii="Tahoma" w:hAnsi="Tahoma" w:cs="Tahoma"/>
          <w:b w:val="0"/>
          <w:bCs w:val="0"/>
        </w:rPr>
        <w:t xml:space="preserve"> </w:t>
      </w:r>
      <w:r w:rsidR="002F24E1" w:rsidRPr="00B004EE">
        <w:rPr>
          <w:rFonts w:ascii="Tahoma" w:hAnsi="Tahoma" w:cs="Tahoma"/>
          <w:b w:val="0"/>
          <w:bCs w:val="0"/>
        </w:rPr>
        <w:t>ces</w:t>
      </w:r>
      <w:r w:rsidR="00DB1635" w:rsidRPr="00B004EE">
        <w:rPr>
          <w:rFonts w:ascii="Tahoma" w:hAnsi="Tahoma" w:cs="Tahoma"/>
          <w:b w:val="0"/>
          <w:bCs w:val="0"/>
        </w:rPr>
        <w:t xml:space="preserve"> </w:t>
      </w:r>
      <w:r w:rsidR="002F24E1" w:rsidRPr="00B004EE">
        <w:rPr>
          <w:rFonts w:ascii="Tahoma" w:hAnsi="Tahoma" w:cs="Tahoma"/>
          <w:b w:val="0"/>
          <w:bCs w:val="0"/>
        </w:rPr>
        <w:t>frais</w:t>
      </w:r>
      <w:r w:rsidR="00DB1635" w:rsidRPr="00B004EE">
        <w:rPr>
          <w:rFonts w:ascii="Tahoma" w:hAnsi="Tahoma" w:cs="Tahoma"/>
          <w:b w:val="0"/>
          <w:bCs w:val="0"/>
        </w:rPr>
        <w:t xml:space="preserve"> </w:t>
      </w:r>
      <w:r w:rsidR="002F24E1" w:rsidRPr="00B004EE">
        <w:rPr>
          <w:rFonts w:ascii="Tahoma" w:hAnsi="Tahoma" w:cs="Tahoma"/>
          <w:b w:val="0"/>
          <w:bCs w:val="0"/>
        </w:rPr>
        <w:t>seront</w:t>
      </w:r>
      <w:r w:rsidR="00DB1635" w:rsidRPr="00B004EE">
        <w:rPr>
          <w:rFonts w:ascii="Tahoma" w:hAnsi="Tahoma" w:cs="Tahoma"/>
          <w:b w:val="0"/>
          <w:bCs w:val="0"/>
        </w:rPr>
        <w:t xml:space="preserve"> </w:t>
      </w:r>
      <w:r w:rsidR="002F24E1" w:rsidRPr="00B004EE">
        <w:rPr>
          <w:rFonts w:ascii="Tahoma" w:hAnsi="Tahoma" w:cs="Tahoma"/>
          <w:b w:val="0"/>
          <w:bCs w:val="0"/>
        </w:rPr>
        <w:t>fixés</w:t>
      </w:r>
      <w:r w:rsidR="00DB1635" w:rsidRPr="00B004EE">
        <w:rPr>
          <w:rFonts w:ascii="Tahoma" w:hAnsi="Tahoma" w:cs="Tahoma"/>
          <w:b w:val="0"/>
          <w:bCs w:val="0"/>
        </w:rPr>
        <w:t xml:space="preserve"> </w:t>
      </w:r>
      <w:r w:rsidR="002F24E1" w:rsidRPr="00B004EE">
        <w:rPr>
          <w:rFonts w:ascii="Tahoma" w:hAnsi="Tahoma" w:cs="Tahoma"/>
          <w:b w:val="0"/>
          <w:bCs w:val="0"/>
        </w:rPr>
        <w:t>par</w:t>
      </w:r>
      <w:r w:rsidR="00DB1635" w:rsidRPr="00B004EE">
        <w:rPr>
          <w:rFonts w:ascii="Tahoma" w:hAnsi="Tahoma" w:cs="Tahoma"/>
          <w:b w:val="0"/>
          <w:bCs w:val="0"/>
        </w:rPr>
        <w:t xml:space="preserve"> </w:t>
      </w:r>
      <w:r w:rsidR="002F24E1" w:rsidRPr="00B004EE">
        <w:rPr>
          <w:rFonts w:ascii="Tahoma" w:hAnsi="Tahoma" w:cs="Tahoma"/>
          <w:b w:val="0"/>
          <w:bCs w:val="0"/>
        </w:rPr>
        <w:t>arrêté</w:t>
      </w:r>
      <w:r w:rsidR="00DB1635" w:rsidRPr="00B004EE">
        <w:rPr>
          <w:rFonts w:ascii="Tahoma" w:hAnsi="Tahoma" w:cs="Tahoma"/>
          <w:b w:val="0"/>
          <w:bCs w:val="0"/>
        </w:rPr>
        <w:t xml:space="preserve"> </w:t>
      </w:r>
      <w:r w:rsidR="002F24E1" w:rsidRPr="00B004EE">
        <w:rPr>
          <w:rFonts w:ascii="Tahoma" w:hAnsi="Tahoma" w:cs="Tahoma"/>
          <w:b w:val="0"/>
          <w:bCs w:val="0"/>
        </w:rPr>
        <w:t>du</w:t>
      </w:r>
      <w:r w:rsidR="00DB1635" w:rsidRPr="00B004EE">
        <w:rPr>
          <w:rFonts w:ascii="Tahoma" w:hAnsi="Tahoma" w:cs="Tahoma"/>
          <w:b w:val="0"/>
          <w:bCs w:val="0"/>
        </w:rPr>
        <w:t xml:space="preserve"> </w:t>
      </w:r>
      <w:r w:rsidR="002F24E1" w:rsidRPr="00B004EE">
        <w:rPr>
          <w:rFonts w:ascii="Tahoma" w:hAnsi="Tahoma" w:cs="Tahoma"/>
          <w:b w:val="0"/>
          <w:bCs w:val="0"/>
        </w:rPr>
        <w:t>ministre</w:t>
      </w:r>
      <w:r w:rsidR="00DB1635" w:rsidRPr="00B004EE">
        <w:rPr>
          <w:rFonts w:ascii="Tahoma" w:hAnsi="Tahoma" w:cs="Tahoma"/>
          <w:b w:val="0"/>
          <w:bCs w:val="0"/>
        </w:rPr>
        <w:t xml:space="preserve"> </w:t>
      </w:r>
      <w:r w:rsidR="002F24E1" w:rsidRPr="00B004EE">
        <w:rPr>
          <w:rFonts w:ascii="Tahoma" w:hAnsi="Tahoma" w:cs="Tahoma"/>
          <w:b w:val="0"/>
          <w:bCs w:val="0"/>
        </w:rPr>
        <w:t>chargé</w:t>
      </w:r>
      <w:r w:rsidR="00DB1635" w:rsidRPr="00B004EE">
        <w:rPr>
          <w:rFonts w:ascii="Tahoma" w:hAnsi="Tahoma" w:cs="Tahoma"/>
          <w:b w:val="0"/>
          <w:bCs w:val="0"/>
        </w:rPr>
        <w:t xml:space="preserve"> </w:t>
      </w:r>
      <w:r w:rsidR="002F24E1" w:rsidRPr="00B004EE">
        <w:rPr>
          <w:rFonts w:ascii="Tahoma" w:hAnsi="Tahoma" w:cs="Tahoma"/>
          <w:b w:val="0"/>
          <w:bCs w:val="0"/>
        </w:rPr>
        <w:t>des</w:t>
      </w:r>
      <w:r w:rsidR="00DB1635" w:rsidRPr="00B004EE">
        <w:rPr>
          <w:rFonts w:ascii="Tahoma" w:hAnsi="Tahoma" w:cs="Tahoma"/>
          <w:b w:val="0"/>
          <w:bCs w:val="0"/>
        </w:rPr>
        <w:t xml:space="preserve"> </w:t>
      </w:r>
      <w:r w:rsidR="002F24E1" w:rsidRPr="00B004EE">
        <w:rPr>
          <w:rFonts w:ascii="Tahoma" w:hAnsi="Tahoma" w:cs="Tahoma"/>
          <w:b w:val="0"/>
          <w:bCs w:val="0"/>
        </w:rPr>
        <w:t>Pêches,</w:t>
      </w:r>
      <w:r w:rsidR="00DB1635" w:rsidRPr="00B004EE">
        <w:rPr>
          <w:rFonts w:ascii="Tahoma" w:hAnsi="Tahoma" w:cs="Tahoma"/>
          <w:b w:val="0"/>
          <w:bCs w:val="0"/>
        </w:rPr>
        <w:t xml:space="preserve"> </w:t>
      </w:r>
      <w:r w:rsidR="002F24E1" w:rsidRPr="00B004EE">
        <w:rPr>
          <w:rFonts w:ascii="Tahoma" w:hAnsi="Tahoma" w:cs="Tahoma"/>
          <w:b w:val="0"/>
          <w:bCs w:val="0"/>
        </w:rPr>
        <w:t>sur</w:t>
      </w:r>
      <w:r w:rsidR="00DB1635" w:rsidRPr="00B004EE">
        <w:rPr>
          <w:rFonts w:ascii="Tahoma" w:hAnsi="Tahoma" w:cs="Tahoma"/>
          <w:b w:val="0"/>
          <w:bCs w:val="0"/>
        </w:rPr>
        <w:t xml:space="preserve"> </w:t>
      </w:r>
      <w:r w:rsidR="002F24E1" w:rsidRPr="00B004EE">
        <w:rPr>
          <w:rFonts w:ascii="Tahoma" w:hAnsi="Tahoma" w:cs="Tahoma"/>
          <w:b w:val="0"/>
          <w:bCs w:val="0"/>
        </w:rPr>
        <w:t>proposition</w:t>
      </w:r>
      <w:r w:rsidR="00DB1635" w:rsidRPr="00B004EE">
        <w:rPr>
          <w:rFonts w:ascii="Tahoma" w:hAnsi="Tahoma" w:cs="Tahoma"/>
          <w:b w:val="0"/>
          <w:bCs w:val="0"/>
        </w:rPr>
        <w:t xml:space="preserve"> </w:t>
      </w:r>
      <w:r w:rsidR="002F24E1" w:rsidRPr="00B004EE">
        <w:rPr>
          <w:rFonts w:ascii="Tahoma" w:hAnsi="Tahoma" w:cs="Tahoma"/>
          <w:b w:val="0"/>
          <w:bCs w:val="0"/>
        </w:rPr>
        <w:t>du</w:t>
      </w:r>
      <w:r w:rsidR="00DB1635" w:rsidRPr="00B004EE">
        <w:rPr>
          <w:rFonts w:ascii="Tahoma" w:hAnsi="Tahoma" w:cs="Tahoma"/>
          <w:b w:val="0"/>
          <w:bCs w:val="0"/>
        </w:rPr>
        <w:t xml:space="preserve"> </w:t>
      </w:r>
      <w:r w:rsidR="002F24E1" w:rsidRPr="00B004EE">
        <w:rPr>
          <w:rFonts w:ascii="Tahoma" w:hAnsi="Tahoma" w:cs="Tahoma"/>
          <w:b w:val="0"/>
          <w:bCs w:val="0"/>
        </w:rPr>
        <w:t>conseil</w:t>
      </w:r>
      <w:r w:rsidR="00DB1635" w:rsidRPr="00B004EE">
        <w:rPr>
          <w:rFonts w:ascii="Tahoma" w:hAnsi="Tahoma" w:cs="Tahoma"/>
          <w:b w:val="0"/>
          <w:bCs w:val="0"/>
        </w:rPr>
        <w:t xml:space="preserve"> </w:t>
      </w:r>
      <w:r w:rsidR="002F24E1" w:rsidRPr="00B004EE">
        <w:rPr>
          <w:rFonts w:ascii="Tahoma" w:hAnsi="Tahoma" w:cs="Tahoma"/>
          <w:b w:val="0"/>
          <w:bCs w:val="0"/>
        </w:rPr>
        <w:t>d'administration</w:t>
      </w:r>
      <w:r w:rsidR="00DB1635" w:rsidRPr="00B004EE">
        <w:rPr>
          <w:rFonts w:ascii="Tahoma" w:hAnsi="Tahoma" w:cs="Tahoma"/>
          <w:b w:val="0"/>
          <w:bCs w:val="0"/>
        </w:rPr>
        <w:t xml:space="preserve"> </w:t>
      </w:r>
      <w:r w:rsidR="002F24E1" w:rsidRPr="00B004EE">
        <w:rPr>
          <w:rFonts w:ascii="Tahoma" w:hAnsi="Tahoma" w:cs="Tahoma"/>
          <w:b w:val="0"/>
          <w:bCs w:val="0"/>
        </w:rPr>
        <w:t>du</w:t>
      </w:r>
      <w:r w:rsidR="00DB1635" w:rsidRPr="00B004EE">
        <w:rPr>
          <w:rFonts w:ascii="Tahoma" w:hAnsi="Tahoma" w:cs="Tahoma"/>
          <w:b w:val="0"/>
          <w:bCs w:val="0"/>
        </w:rPr>
        <w:t xml:space="preserve"> </w:t>
      </w:r>
      <w:r w:rsidR="002F24E1" w:rsidRPr="00B004EE">
        <w:rPr>
          <w:rFonts w:ascii="Tahoma" w:hAnsi="Tahoma" w:cs="Tahoma"/>
          <w:b w:val="0"/>
          <w:bCs w:val="0"/>
        </w:rPr>
        <w:t>Centre</w:t>
      </w:r>
      <w:r w:rsidR="00DB1635" w:rsidRPr="00B004EE">
        <w:rPr>
          <w:rFonts w:ascii="Tahoma" w:hAnsi="Tahoma" w:cs="Tahoma"/>
          <w:b w:val="0"/>
          <w:bCs w:val="0"/>
        </w:rPr>
        <w:t xml:space="preserve"> </w:t>
      </w:r>
      <w:r w:rsidR="002F24E1" w:rsidRPr="00B004EE">
        <w:rPr>
          <w:rFonts w:ascii="Tahoma" w:hAnsi="Tahoma" w:cs="Tahoma"/>
          <w:b w:val="0"/>
          <w:bCs w:val="0"/>
        </w:rPr>
        <w:t>National</w:t>
      </w:r>
      <w:r w:rsidR="00DB1635" w:rsidRPr="00B004EE">
        <w:rPr>
          <w:rFonts w:ascii="Tahoma" w:hAnsi="Tahoma" w:cs="Tahoma"/>
          <w:b w:val="0"/>
          <w:bCs w:val="0"/>
        </w:rPr>
        <w:t xml:space="preserve"> </w:t>
      </w:r>
      <w:r w:rsidR="002F24E1" w:rsidRPr="00B004EE">
        <w:rPr>
          <w:rFonts w:ascii="Tahoma" w:hAnsi="Tahoma" w:cs="Tahoma"/>
          <w:b w:val="0"/>
          <w:bCs w:val="0"/>
        </w:rPr>
        <w:t>de</w:t>
      </w:r>
      <w:r w:rsidR="00DB1635" w:rsidRPr="00B004EE">
        <w:rPr>
          <w:rFonts w:ascii="Tahoma" w:hAnsi="Tahoma" w:cs="Tahoma"/>
          <w:b w:val="0"/>
          <w:bCs w:val="0"/>
        </w:rPr>
        <w:t xml:space="preserve"> </w:t>
      </w:r>
      <w:r w:rsidR="002F24E1" w:rsidRPr="00B004EE">
        <w:rPr>
          <w:rFonts w:ascii="Tahoma" w:hAnsi="Tahoma" w:cs="Tahoma"/>
          <w:b w:val="0"/>
          <w:bCs w:val="0"/>
        </w:rPr>
        <w:t>Recherches</w:t>
      </w:r>
      <w:r w:rsidR="00DB1635" w:rsidRPr="00B004EE">
        <w:rPr>
          <w:rFonts w:ascii="Tahoma" w:hAnsi="Tahoma" w:cs="Tahoma"/>
          <w:b w:val="0"/>
          <w:bCs w:val="0"/>
        </w:rPr>
        <w:t xml:space="preserve"> </w:t>
      </w:r>
      <w:r w:rsidR="002F24E1" w:rsidRPr="00B004EE">
        <w:rPr>
          <w:rFonts w:ascii="Tahoma" w:hAnsi="Tahoma" w:cs="Tahoma"/>
          <w:b w:val="0"/>
          <w:bCs w:val="0"/>
        </w:rPr>
        <w:t>Océanographiques</w:t>
      </w:r>
      <w:r w:rsidR="00DB1635" w:rsidRPr="00B004EE">
        <w:rPr>
          <w:rFonts w:ascii="Tahoma" w:hAnsi="Tahoma" w:cs="Tahoma"/>
          <w:b w:val="0"/>
          <w:bCs w:val="0"/>
        </w:rPr>
        <w:t xml:space="preserve"> </w:t>
      </w:r>
      <w:r w:rsidR="002F24E1" w:rsidRPr="00B004EE">
        <w:rPr>
          <w:rFonts w:ascii="Tahoma" w:hAnsi="Tahoma" w:cs="Tahoma"/>
          <w:b w:val="0"/>
          <w:bCs w:val="0"/>
        </w:rPr>
        <w:t>et</w:t>
      </w:r>
      <w:r w:rsidR="00DB1635" w:rsidRPr="00B004EE">
        <w:rPr>
          <w:rFonts w:ascii="Tahoma" w:hAnsi="Tahoma" w:cs="Tahoma"/>
          <w:b w:val="0"/>
          <w:bCs w:val="0"/>
        </w:rPr>
        <w:t xml:space="preserve"> </w:t>
      </w:r>
      <w:r w:rsidR="002F24E1" w:rsidRPr="00B004EE">
        <w:rPr>
          <w:rFonts w:ascii="Tahoma" w:hAnsi="Tahoma" w:cs="Tahoma"/>
          <w:b w:val="0"/>
          <w:bCs w:val="0"/>
        </w:rPr>
        <w:t>des</w:t>
      </w:r>
      <w:r w:rsidR="00DB1635" w:rsidRPr="00B004EE">
        <w:rPr>
          <w:rFonts w:ascii="Tahoma" w:hAnsi="Tahoma" w:cs="Tahoma"/>
          <w:b w:val="0"/>
          <w:bCs w:val="0"/>
        </w:rPr>
        <w:t xml:space="preserve"> </w:t>
      </w:r>
      <w:r w:rsidR="002F24E1" w:rsidRPr="00B004EE">
        <w:rPr>
          <w:rFonts w:ascii="Tahoma" w:hAnsi="Tahoma" w:cs="Tahoma"/>
          <w:b w:val="0"/>
          <w:bCs w:val="0"/>
        </w:rPr>
        <w:t>Pêches.</w:t>
      </w:r>
    </w:p>
    <w:p w14:paraId="2626342A" w14:textId="77777777" w:rsidR="002F24E1" w:rsidRPr="00B004EE" w:rsidRDefault="002F24E1" w:rsidP="00B004EE">
      <w:pPr>
        <w:pStyle w:val="Lgende"/>
        <w:jc w:val="both"/>
        <w:rPr>
          <w:rFonts w:ascii="Tahoma" w:hAnsi="Tahoma" w:cs="Tahoma"/>
          <w:b w:val="0"/>
          <w:bCs w:val="0"/>
        </w:rPr>
      </w:pPr>
    </w:p>
    <w:p w14:paraId="22ABE62F" w14:textId="1AA92AEA" w:rsidR="002F24E1" w:rsidRPr="00B004EE" w:rsidRDefault="00561F81" w:rsidP="00B004EE">
      <w:pPr>
        <w:pStyle w:val="Lgende"/>
        <w:jc w:val="both"/>
        <w:rPr>
          <w:rFonts w:ascii="Tahoma" w:hAnsi="Tahoma" w:cs="Tahoma"/>
          <w:b w:val="0"/>
          <w:bCs w:val="0"/>
        </w:rPr>
      </w:pPr>
      <w:r w:rsidRPr="00B004EE">
        <w:rPr>
          <w:rFonts w:ascii="Tahoma" w:hAnsi="Tahoma" w:cs="Tahoma"/>
          <w:b w:val="0"/>
          <w:bCs w:val="0"/>
        </w:rPr>
        <w:t xml:space="preserve">Article </w:t>
      </w:r>
      <w:r w:rsidR="002F24E1" w:rsidRPr="00B004EE">
        <w:rPr>
          <w:rFonts w:ascii="Tahoma" w:hAnsi="Tahoma" w:cs="Tahoma"/>
          <w:b w:val="0"/>
          <w:bCs w:val="0"/>
        </w:rPr>
        <w:t>9</w:t>
      </w:r>
      <w:r w:rsidR="00DB1635" w:rsidRPr="00B004EE">
        <w:rPr>
          <w:rFonts w:ascii="Tahoma" w:hAnsi="Tahoma" w:cs="Tahoma"/>
          <w:b w:val="0"/>
          <w:bCs w:val="0"/>
        </w:rPr>
        <w:t xml:space="preserve"> </w:t>
      </w:r>
      <w:r w:rsidR="002F24E1" w:rsidRPr="00B004EE">
        <w:rPr>
          <w:rFonts w:ascii="Tahoma" w:hAnsi="Tahoma" w:cs="Tahoma"/>
          <w:b w:val="0"/>
          <w:bCs w:val="0"/>
        </w:rPr>
        <w:t>:</w:t>
      </w:r>
      <w:r w:rsidR="00DB1635" w:rsidRPr="00B004EE">
        <w:rPr>
          <w:rFonts w:ascii="Tahoma" w:hAnsi="Tahoma" w:cs="Tahoma"/>
          <w:b w:val="0"/>
          <w:bCs w:val="0"/>
        </w:rPr>
        <w:t xml:space="preserve"> </w:t>
      </w:r>
      <w:r w:rsidR="002F24E1" w:rsidRPr="00B004EE">
        <w:rPr>
          <w:rFonts w:ascii="Tahoma" w:hAnsi="Tahoma" w:cs="Tahoma"/>
          <w:b w:val="0"/>
          <w:bCs w:val="0"/>
        </w:rPr>
        <w:t>Les</w:t>
      </w:r>
      <w:r w:rsidR="00DB1635" w:rsidRPr="00B004EE">
        <w:rPr>
          <w:rFonts w:ascii="Tahoma" w:hAnsi="Tahoma" w:cs="Tahoma"/>
          <w:b w:val="0"/>
          <w:bCs w:val="0"/>
        </w:rPr>
        <w:t xml:space="preserve"> </w:t>
      </w:r>
      <w:r w:rsidR="002F24E1" w:rsidRPr="00B004EE">
        <w:rPr>
          <w:rFonts w:ascii="Tahoma" w:hAnsi="Tahoma" w:cs="Tahoma"/>
          <w:b w:val="0"/>
          <w:bCs w:val="0"/>
        </w:rPr>
        <w:t>levées</w:t>
      </w:r>
      <w:r w:rsidR="00DB1635" w:rsidRPr="00B004EE">
        <w:rPr>
          <w:rFonts w:ascii="Tahoma" w:hAnsi="Tahoma" w:cs="Tahoma"/>
          <w:b w:val="0"/>
          <w:bCs w:val="0"/>
        </w:rPr>
        <w:t xml:space="preserve"> </w:t>
      </w:r>
      <w:r w:rsidR="002F24E1" w:rsidRPr="00B004EE">
        <w:rPr>
          <w:rFonts w:ascii="Tahoma" w:hAnsi="Tahoma" w:cs="Tahoma"/>
          <w:b w:val="0"/>
          <w:bCs w:val="0"/>
        </w:rPr>
        <w:t>de</w:t>
      </w:r>
      <w:r w:rsidR="00DB1635" w:rsidRPr="00B004EE">
        <w:rPr>
          <w:rFonts w:ascii="Tahoma" w:hAnsi="Tahoma" w:cs="Tahoma"/>
          <w:b w:val="0"/>
          <w:bCs w:val="0"/>
        </w:rPr>
        <w:t xml:space="preserve"> </w:t>
      </w:r>
      <w:r w:rsidR="002F24E1" w:rsidRPr="00B004EE">
        <w:rPr>
          <w:rFonts w:ascii="Tahoma" w:hAnsi="Tahoma" w:cs="Tahoma"/>
          <w:b w:val="0"/>
          <w:bCs w:val="0"/>
        </w:rPr>
        <w:t>consignation</w:t>
      </w:r>
      <w:r w:rsidR="00DB1635" w:rsidRPr="00B004EE">
        <w:rPr>
          <w:rFonts w:ascii="Tahoma" w:hAnsi="Tahoma" w:cs="Tahoma"/>
          <w:b w:val="0"/>
          <w:bCs w:val="0"/>
        </w:rPr>
        <w:t xml:space="preserve"> </w:t>
      </w:r>
      <w:r w:rsidR="002F24E1" w:rsidRPr="00B004EE">
        <w:rPr>
          <w:rFonts w:ascii="Tahoma" w:hAnsi="Tahoma" w:cs="Tahoma"/>
          <w:b w:val="0"/>
          <w:bCs w:val="0"/>
        </w:rPr>
        <w:t>et</w:t>
      </w:r>
      <w:r w:rsidR="00DB1635" w:rsidRPr="00B004EE">
        <w:rPr>
          <w:rFonts w:ascii="Tahoma" w:hAnsi="Tahoma" w:cs="Tahoma"/>
          <w:b w:val="0"/>
          <w:bCs w:val="0"/>
        </w:rPr>
        <w:t xml:space="preserve"> </w:t>
      </w:r>
      <w:r w:rsidR="002F24E1" w:rsidRPr="00B004EE">
        <w:rPr>
          <w:rFonts w:ascii="Tahoma" w:hAnsi="Tahoma" w:cs="Tahoma"/>
          <w:b w:val="0"/>
          <w:bCs w:val="0"/>
        </w:rPr>
        <w:t>les</w:t>
      </w:r>
      <w:r w:rsidR="00DB1635" w:rsidRPr="00B004EE">
        <w:rPr>
          <w:rFonts w:ascii="Tahoma" w:hAnsi="Tahoma" w:cs="Tahoma"/>
          <w:b w:val="0"/>
          <w:bCs w:val="0"/>
        </w:rPr>
        <w:t xml:space="preserve"> </w:t>
      </w:r>
      <w:r w:rsidR="002F24E1" w:rsidRPr="00B004EE">
        <w:rPr>
          <w:rFonts w:ascii="Tahoma" w:hAnsi="Tahoma" w:cs="Tahoma"/>
          <w:b w:val="0"/>
          <w:bCs w:val="0"/>
        </w:rPr>
        <w:t>destructions</w:t>
      </w:r>
      <w:r w:rsidR="00DB1635" w:rsidRPr="00B004EE">
        <w:rPr>
          <w:rFonts w:ascii="Tahoma" w:hAnsi="Tahoma" w:cs="Tahoma"/>
          <w:b w:val="0"/>
          <w:bCs w:val="0"/>
        </w:rPr>
        <w:t xml:space="preserve"> </w:t>
      </w:r>
      <w:r w:rsidR="002F24E1" w:rsidRPr="00B004EE">
        <w:rPr>
          <w:rFonts w:ascii="Tahoma" w:hAnsi="Tahoma" w:cs="Tahoma"/>
          <w:b w:val="0"/>
          <w:bCs w:val="0"/>
        </w:rPr>
        <w:t>sont</w:t>
      </w:r>
      <w:r w:rsidR="00DB1635" w:rsidRPr="00B004EE">
        <w:rPr>
          <w:rFonts w:ascii="Tahoma" w:hAnsi="Tahoma" w:cs="Tahoma"/>
          <w:b w:val="0"/>
          <w:bCs w:val="0"/>
        </w:rPr>
        <w:t xml:space="preserve"> </w:t>
      </w:r>
      <w:r w:rsidR="002F24E1" w:rsidRPr="00B004EE">
        <w:rPr>
          <w:rFonts w:ascii="Tahoma" w:hAnsi="Tahoma" w:cs="Tahoma"/>
          <w:b w:val="0"/>
          <w:bCs w:val="0"/>
        </w:rPr>
        <w:t>mentionnées</w:t>
      </w:r>
      <w:r w:rsidR="00DB1635" w:rsidRPr="00B004EE">
        <w:rPr>
          <w:rFonts w:ascii="Tahoma" w:hAnsi="Tahoma" w:cs="Tahoma"/>
          <w:b w:val="0"/>
          <w:bCs w:val="0"/>
        </w:rPr>
        <w:t xml:space="preserve"> </w:t>
      </w:r>
      <w:r w:rsidR="002F24E1" w:rsidRPr="00B004EE">
        <w:rPr>
          <w:rFonts w:ascii="Tahoma" w:hAnsi="Tahoma" w:cs="Tahoma"/>
          <w:b w:val="0"/>
          <w:bCs w:val="0"/>
        </w:rPr>
        <w:t>sur</w:t>
      </w:r>
      <w:r w:rsidR="00DB1635" w:rsidRPr="00B004EE">
        <w:rPr>
          <w:rFonts w:ascii="Tahoma" w:hAnsi="Tahoma" w:cs="Tahoma"/>
          <w:b w:val="0"/>
          <w:bCs w:val="0"/>
        </w:rPr>
        <w:t xml:space="preserve"> </w:t>
      </w:r>
      <w:r w:rsidR="002F24E1" w:rsidRPr="00B004EE">
        <w:rPr>
          <w:rFonts w:ascii="Tahoma" w:hAnsi="Tahoma" w:cs="Tahoma"/>
          <w:b w:val="0"/>
          <w:bCs w:val="0"/>
        </w:rPr>
        <w:t>le</w:t>
      </w:r>
      <w:r w:rsidR="00DB1635" w:rsidRPr="00B004EE">
        <w:rPr>
          <w:rFonts w:ascii="Tahoma" w:hAnsi="Tahoma" w:cs="Tahoma"/>
          <w:b w:val="0"/>
          <w:bCs w:val="0"/>
        </w:rPr>
        <w:t xml:space="preserve"> </w:t>
      </w:r>
      <w:r w:rsidR="002F24E1" w:rsidRPr="00B004EE">
        <w:rPr>
          <w:rFonts w:ascii="Tahoma" w:hAnsi="Tahoma" w:cs="Tahoma"/>
          <w:b w:val="0"/>
          <w:bCs w:val="0"/>
        </w:rPr>
        <w:t>registre</w:t>
      </w:r>
      <w:r w:rsidR="00DB1635" w:rsidRPr="00B004EE">
        <w:rPr>
          <w:rFonts w:ascii="Tahoma" w:hAnsi="Tahoma" w:cs="Tahoma"/>
          <w:b w:val="0"/>
          <w:bCs w:val="0"/>
        </w:rPr>
        <w:t xml:space="preserve"> </w:t>
      </w:r>
      <w:r w:rsidR="002F24E1" w:rsidRPr="00B004EE">
        <w:rPr>
          <w:rFonts w:ascii="Tahoma" w:hAnsi="Tahoma" w:cs="Tahoma"/>
          <w:b w:val="0"/>
          <w:bCs w:val="0"/>
        </w:rPr>
        <w:t>visé</w:t>
      </w:r>
      <w:r w:rsidR="00DB1635" w:rsidRPr="00B004EE">
        <w:rPr>
          <w:rFonts w:ascii="Tahoma" w:hAnsi="Tahoma" w:cs="Tahoma"/>
          <w:b w:val="0"/>
          <w:bCs w:val="0"/>
        </w:rPr>
        <w:t xml:space="preserve"> </w:t>
      </w:r>
      <w:r w:rsidR="002F24E1" w:rsidRPr="00B004EE">
        <w:rPr>
          <w:rFonts w:ascii="Tahoma" w:hAnsi="Tahoma" w:cs="Tahoma"/>
          <w:b w:val="0"/>
          <w:bCs w:val="0"/>
        </w:rPr>
        <w:t>à</w:t>
      </w:r>
      <w:r w:rsidR="00DB1635" w:rsidRPr="00B004EE">
        <w:rPr>
          <w:rFonts w:ascii="Tahoma" w:hAnsi="Tahoma" w:cs="Tahoma"/>
          <w:b w:val="0"/>
          <w:bCs w:val="0"/>
        </w:rPr>
        <w:t xml:space="preserve"> </w:t>
      </w:r>
      <w:r w:rsidR="002F24E1" w:rsidRPr="00B004EE">
        <w:rPr>
          <w:rFonts w:ascii="Tahoma" w:hAnsi="Tahoma" w:cs="Tahoma"/>
          <w:b w:val="0"/>
          <w:bCs w:val="0"/>
        </w:rPr>
        <w:t>l'article</w:t>
      </w:r>
      <w:r w:rsidR="00DB1635" w:rsidRPr="00B004EE">
        <w:rPr>
          <w:rFonts w:ascii="Tahoma" w:hAnsi="Tahoma" w:cs="Tahoma"/>
          <w:b w:val="0"/>
          <w:bCs w:val="0"/>
        </w:rPr>
        <w:t xml:space="preserve"> </w:t>
      </w:r>
      <w:r w:rsidR="002F24E1" w:rsidRPr="00B004EE">
        <w:rPr>
          <w:rFonts w:ascii="Tahoma" w:hAnsi="Tahoma" w:cs="Tahoma"/>
          <w:b w:val="0"/>
          <w:bCs w:val="0"/>
        </w:rPr>
        <w:t>2,</w:t>
      </w:r>
      <w:r w:rsidR="00DB1635" w:rsidRPr="00B004EE">
        <w:rPr>
          <w:rFonts w:ascii="Tahoma" w:hAnsi="Tahoma" w:cs="Tahoma"/>
          <w:b w:val="0"/>
          <w:bCs w:val="0"/>
        </w:rPr>
        <w:t xml:space="preserve"> </w:t>
      </w:r>
      <w:r w:rsidR="002F24E1" w:rsidRPr="00B004EE">
        <w:rPr>
          <w:rFonts w:ascii="Tahoma" w:hAnsi="Tahoma" w:cs="Tahoma"/>
          <w:b w:val="0"/>
          <w:bCs w:val="0"/>
        </w:rPr>
        <w:t>ainsi</w:t>
      </w:r>
      <w:r w:rsidR="00DB1635" w:rsidRPr="00B004EE">
        <w:rPr>
          <w:rFonts w:ascii="Tahoma" w:hAnsi="Tahoma" w:cs="Tahoma"/>
          <w:b w:val="0"/>
          <w:bCs w:val="0"/>
        </w:rPr>
        <w:t xml:space="preserve"> </w:t>
      </w:r>
      <w:r w:rsidR="002F24E1" w:rsidRPr="00B004EE">
        <w:rPr>
          <w:rFonts w:ascii="Tahoma" w:hAnsi="Tahoma" w:cs="Tahoma"/>
          <w:b w:val="0"/>
          <w:bCs w:val="0"/>
        </w:rPr>
        <w:t>que</w:t>
      </w:r>
      <w:r w:rsidR="00DB1635" w:rsidRPr="00B004EE">
        <w:rPr>
          <w:rFonts w:ascii="Tahoma" w:hAnsi="Tahoma" w:cs="Tahoma"/>
          <w:b w:val="0"/>
          <w:bCs w:val="0"/>
        </w:rPr>
        <w:t xml:space="preserve"> </w:t>
      </w:r>
      <w:r w:rsidR="002F24E1" w:rsidRPr="00B004EE">
        <w:rPr>
          <w:rFonts w:ascii="Tahoma" w:hAnsi="Tahoma" w:cs="Tahoma"/>
          <w:b w:val="0"/>
          <w:bCs w:val="0"/>
        </w:rPr>
        <w:t>les</w:t>
      </w:r>
      <w:r w:rsidR="00DB1635" w:rsidRPr="00B004EE">
        <w:rPr>
          <w:rFonts w:ascii="Tahoma" w:hAnsi="Tahoma" w:cs="Tahoma"/>
          <w:b w:val="0"/>
          <w:bCs w:val="0"/>
        </w:rPr>
        <w:t xml:space="preserve"> </w:t>
      </w:r>
      <w:r w:rsidR="002F24E1" w:rsidRPr="00B004EE">
        <w:rPr>
          <w:rFonts w:ascii="Tahoma" w:hAnsi="Tahoma" w:cs="Tahoma"/>
          <w:b w:val="0"/>
          <w:bCs w:val="0"/>
        </w:rPr>
        <w:t>livraisons</w:t>
      </w:r>
      <w:r w:rsidR="00DB1635" w:rsidRPr="00B004EE">
        <w:rPr>
          <w:rFonts w:ascii="Tahoma" w:hAnsi="Tahoma" w:cs="Tahoma"/>
          <w:b w:val="0"/>
          <w:bCs w:val="0"/>
        </w:rPr>
        <w:t xml:space="preserve"> </w:t>
      </w:r>
      <w:r w:rsidR="002F24E1" w:rsidRPr="00B004EE">
        <w:rPr>
          <w:rFonts w:ascii="Tahoma" w:hAnsi="Tahoma" w:cs="Tahoma"/>
          <w:b w:val="0"/>
          <w:bCs w:val="0"/>
        </w:rPr>
        <w:t>des</w:t>
      </w:r>
      <w:r w:rsidR="00DB1635" w:rsidRPr="00B004EE">
        <w:rPr>
          <w:rFonts w:ascii="Tahoma" w:hAnsi="Tahoma" w:cs="Tahoma"/>
          <w:b w:val="0"/>
          <w:bCs w:val="0"/>
        </w:rPr>
        <w:t xml:space="preserve"> </w:t>
      </w:r>
      <w:r w:rsidR="002F24E1" w:rsidRPr="00B004EE">
        <w:rPr>
          <w:rFonts w:ascii="Tahoma" w:hAnsi="Tahoma" w:cs="Tahoma"/>
          <w:b w:val="0"/>
          <w:bCs w:val="0"/>
        </w:rPr>
        <w:t>denrées</w:t>
      </w:r>
      <w:r w:rsidR="00DB1635" w:rsidRPr="00B004EE">
        <w:rPr>
          <w:rFonts w:ascii="Tahoma" w:hAnsi="Tahoma" w:cs="Tahoma"/>
          <w:b w:val="0"/>
          <w:bCs w:val="0"/>
        </w:rPr>
        <w:t xml:space="preserve"> </w:t>
      </w:r>
      <w:r w:rsidR="002F24E1" w:rsidRPr="00B004EE">
        <w:rPr>
          <w:rFonts w:ascii="Tahoma" w:hAnsi="Tahoma" w:cs="Tahoma"/>
          <w:b w:val="0"/>
          <w:bCs w:val="0"/>
        </w:rPr>
        <w:t>effectuées</w:t>
      </w:r>
      <w:r w:rsidR="00DB1635" w:rsidRPr="00B004EE">
        <w:rPr>
          <w:rFonts w:ascii="Tahoma" w:hAnsi="Tahoma" w:cs="Tahoma"/>
          <w:b w:val="0"/>
          <w:bCs w:val="0"/>
        </w:rPr>
        <w:t xml:space="preserve"> </w:t>
      </w:r>
      <w:r w:rsidR="002F24E1" w:rsidRPr="00B004EE">
        <w:rPr>
          <w:rFonts w:ascii="Tahoma" w:hAnsi="Tahoma" w:cs="Tahoma"/>
          <w:b w:val="0"/>
          <w:bCs w:val="0"/>
        </w:rPr>
        <w:t>pour</w:t>
      </w:r>
      <w:r w:rsidR="00DB1635" w:rsidRPr="00B004EE">
        <w:rPr>
          <w:rFonts w:ascii="Tahoma" w:hAnsi="Tahoma" w:cs="Tahoma"/>
          <w:b w:val="0"/>
          <w:bCs w:val="0"/>
        </w:rPr>
        <w:t xml:space="preserve"> </w:t>
      </w:r>
      <w:r w:rsidR="002F24E1" w:rsidRPr="00B004EE">
        <w:rPr>
          <w:rFonts w:ascii="Tahoma" w:hAnsi="Tahoma" w:cs="Tahoma"/>
          <w:b w:val="0"/>
          <w:bCs w:val="0"/>
        </w:rPr>
        <w:t>la</w:t>
      </w:r>
      <w:r w:rsidR="00DB1635" w:rsidRPr="00B004EE">
        <w:rPr>
          <w:rFonts w:ascii="Tahoma" w:hAnsi="Tahoma" w:cs="Tahoma"/>
          <w:b w:val="0"/>
          <w:bCs w:val="0"/>
        </w:rPr>
        <w:t xml:space="preserve"> </w:t>
      </w:r>
      <w:r w:rsidR="002F24E1" w:rsidRPr="00B004EE">
        <w:rPr>
          <w:rFonts w:ascii="Tahoma" w:hAnsi="Tahoma" w:cs="Tahoma"/>
          <w:b w:val="0"/>
          <w:bCs w:val="0"/>
        </w:rPr>
        <w:t>consommation</w:t>
      </w:r>
      <w:r w:rsidR="00DB1635" w:rsidRPr="00B004EE">
        <w:rPr>
          <w:rFonts w:ascii="Tahoma" w:hAnsi="Tahoma" w:cs="Tahoma"/>
          <w:b w:val="0"/>
          <w:bCs w:val="0"/>
        </w:rPr>
        <w:t xml:space="preserve"> </w:t>
      </w:r>
      <w:r w:rsidR="002F24E1" w:rsidRPr="00B004EE">
        <w:rPr>
          <w:rFonts w:ascii="Tahoma" w:hAnsi="Tahoma" w:cs="Tahoma"/>
          <w:b w:val="0"/>
          <w:bCs w:val="0"/>
        </w:rPr>
        <w:t>animale.</w:t>
      </w:r>
    </w:p>
    <w:p w14:paraId="37AA5205" w14:textId="77777777" w:rsidR="002F24E1" w:rsidRPr="00B004EE" w:rsidRDefault="002F24E1" w:rsidP="00B004EE">
      <w:pPr>
        <w:pStyle w:val="Lgende"/>
        <w:jc w:val="both"/>
        <w:rPr>
          <w:rFonts w:ascii="Tahoma" w:hAnsi="Tahoma" w:cs="Tahoma"/>
          <w:b w:val="0"/>
          <w:bCs w:val="0"/>
        </w:rPr>
      </w:pPr>
    </w:p>
    <w:p w14:paraId="1C196575" w14:textId="25FDCC38" w:rsidR="002F24E1" w:rsidRPr="00B004EE" w:rsidRDefault="00561F81" w:rsidP="00B004EE">
      <w:pPr>
        <w:pStyle w:val="Lgende"/>
        <w:jc w:val="both"/>
        <w:rPr>
          <w:rFonts w:ascii="Tahoma" w:hAnsi="Tahoma" w:cs="Tahoma"/>
          <w:b w:val="0"/>
          <w:bCs w:val="0"/>
        </w:rPr>
      </w:pPr>
      <w:r w:rsidRPr="00B004EE">
        <w:rPr>
          <w:rFonts w:ascii="Tahoma" w:hAnsi="Tahoma" w:cs="Tahoma"/>
          <w:b w:val="0"/>
          <w:bCs w:val="0"/>
        </w:rPr>
        <w:t xml:space="preserve">Article </w:t>
      </w:r>
      <w:r w:rsidR="002F24E1" w:rsidRPr="00B004EE">
        <w:rPr>
          <w:rFonts w:ascii="Tahoma" w:hAnsi="Tahoma" w:cs="Tahoma"/>
          <w:b w:val="0"/>
          <w:bCs w:val="0"/>
        </w:rPr>
        <w:t>10</w:t>
      </w:r>
      <w:r w:rsidR="00DB1635" w:rsidRPr="00B004EE">
        <w:rPr>
          <w:rFonts w:ascii="Tahoma" w:hAnsi="Tahoma" w:cs="Tahoma"/>
          <w:b w:val="0"/>
          <w:bCs w:val="0"/>
        </w:rPr>
        <w:t xml:space="preserve"> </w:t>
      </w:r>
      <w:r w:rsidR="002F24E1" w:rsidRPr="00B004EE">
        <w:rPr>
          <w:rFonts w:ascii="Tahoma" w:hAnsi="Tahoma" w:cs="Tahoma"/>
          <w:b w:val="0"/>
          <w:bCs w:val="0"/>
        </w:rPr>
        <w:t>:</w:t>
      </w:r>
      <w:r w:rsidR="00DB1635" w:rsidRPr="00B004EE">
        <w:rPr>
          <w:rFonts w:ascii="Tahoma" w:hAnsi="Tahoma" w:cs="Tahoma"/>
          <w:b w:val="0"/>
          <w:bCs w:val="0"/>
        </w:rPr>
        <w:t xml:space="preserve"> </w:t>
      </w:r>
      <w:r w:rsidR="002F24E1" w:rsidRPr="00B004EE">
        <w:rPr>
          <w:rFonts w:ascii="Tahoma" w:hAnsi="Tahoma" w:cs="Tahoma"/>
          <w:b w:val="0"/>
          <w:bCs w:val="0"/>
        </w:rPr>
        <w:t>Les</w:t>
      </w:r>
      <w:r w:rsidR="00DB1635" w:rsidRPr="00B004EE">
        <w:rPr>
          <w:rFonts w:ascii="Tahoma" w:hAnsi="Tahoma" w:cs="Tahoma"/>
          <w:b w:val="0"/>
          <w:bCs w:val="0"/>
        </w:rPr>
        <w:t xml:space="preserve"> </w:t>
      </w:r>
      <w:r w:rsidR="002F24E1" w:rsidRPr="00B004EE">
        <w:rPr>
          <w:rFonts w:ascii="Tahoma" w:hAnsi="Tahoma" w:cs="Tahoma"/>
          <w:b w:val="0"/>
          <w:bCs w:val="0"/>
        </w:rPr>
        <w:t>agents</w:t>
      </w:r>
      <w:r w:rsidR="00DB1635" w:rsidRPr="00B004EE">
        <w:rPr>
          <w:rFonts w:ascii="Tahoma" w:hAnsi="Tahoma" w:cs="Tahoma"/>
          <w:b w:val="0"/>
          <w:bCs w:val="0"/>
        </w:rPr>
        <w:t xml:space="preserve"> </w:t>
      </w:r>
      <w:r w:rsidR="002F24E1" w:rsidRPr="00B004EE">
        <w:rPr>
          <w:rFonts w:ascii="Tahoma" w:hAnsi="Tahoma" w:cs="Tahoma"/>
          <w:b w:val="0"/>
          <w:bCs w:val="0"/>
        </w:rPr>
        <w:t>de</w:t>
      </w:r>
      <w:r w:rsidR="00DB1635" w:rsidRPr="00B004EE">
        <w:rPr>
          <w:rFonts w:ascii="Tahoma" w:hAnsi="Tahoma" w:cs="Tahoma"/>
          <w:b w:val="0"/>
          <w:bCs w:val="0"/>
        </w:rPr>
        <w:t xml:space="preserve"> </w:t>
      </w:r>
      <w:r w:rsidR="002F24E1" w:rsidRPr="00B004EE">
        <w:rPr>
          <w:rFonts w:ascii="Tahoma" w:hAnsi="Tahoma" w:cs="Tahoma"/>
          <w:b w:val="0"/>
          <w:bCs w:val="0"/>
        </w:rPr>
        <w:t>contrôle</w:t>
      </w:r>
      <w:r w:rsidR="00DB1635" w:rsidRPr="00B004EE">
        <w:rPr>
          <w:rFonts w:ascii="Tahoma" w:hAnsi="Tahoma" w:cs="Tahoma"/>
          <w:b w:val="0"/>
          <w:bCs w:val="0"/>
        </w:rPr>
        <w:t xml:space="preserve"> </w:t>
      </w:r>
      <w:r w:rsidR="002F24E1" w:rsidRPr="00B004EE">
        <w:rPr>
          <w:rFonts w:ascii="Tahoma" w:hAnsi="Tahoma" w:cs="Tahoma"/>
          <w:b w:val="0"/>
          <w:bCs w:val="0"/>
        </w:rPr>
        <w:t>sont</w:t>
      </w:r>
      <w:r w:rsidR="00DB1635" w:rsidRPr="00B004EE">
        <w:rPr>
          <w:rFonts w:ascii="Tahoma" w:hAnsi="Tahoma" w:cs="Tahoma"/>
          <w:b w:val="0"/>
          <w:bCs w:val="0"/>
        </w:rPr>
        <w:t xml:space="preserve"> </w:t>
      </w:r>
      <w:r w:rsidR="002F24E1" w:rsidRPr="00B004EE">
        <w:rPr>
          <w:rFonts w:ascii="Tahoma" w:hAnsi="Tahoma" w:cs="Tahoma"/>
          <w:b w:val="0"/>
          <w:bCs w:val="0"/>
        </w:rPr>
        <w:t>pris</w:t>
      </w:r>
      <w:r w:rsidR="00DB1635" w:rsidRPr="00B004EE">
        <w:rPr>
          <w:rFonts w:ascii="Tahoma" w:hAnsi="Tahoma" w:cs="Tahoma"/>
          <w:b w:val="0"/>
          <w:bCs w:val="0"/>
        </w:rPr>
        <w:t xml:space="preserve"> </w:t>
      </w:r>
      <w:r w:rsidR="002F24E1" w:rsidRPr="00B004EE">
        <w:rPr>
          <w:rFonts w:ascii="Tahoma" w:hAnsi="Tahoma" w:cs="Tahoma"/>
          <w:b w:val="0"/>
          <w:bCs w:val="0"/>
        </w:rPr>
        <w:t>parmi</w:t>
      </w:r>
      <w:r w:rsidR="00DB1635" w:rsidRPr="00B004EE">
        <w:rPr>
          <w:rFonts w:ascii="Tahoma" w:hAnsi="Tahoma" w:cs="Tahoma"/>
          <w:b w:val="0"/>
          <w:bCs w:val="0"/>
        </w:rPr>
        <w:t xml:space="preserve"> </w:t>
      </w:r>
      <w:r w:rsidR="002F24E1" w:rsidRPr="00B004EE">
        <w:rPr>
          <w:rFonts w:ascii="Tahoma" w:hAnsi="Tahoma" w:cs="Tahoma"/>
          <w:b w:val="0"/>
          <w:bCs w:val="0"/>
        </w:rPr>
        <w:t>les</w:t>
      </w:r>
      <w:r w:rsidR="00DB1635" w:rsidRPr="00B004EE">
        <w:rPr>
          <w:rFonts w:ascii="Tahoma" w:hAnsi="Tahoma" w:cs="Tahoma"/>
          <w:b w:val="0"/>
          <w:bCs w:val="0"/>
        </w:rPr>
        <w:t xml:space="preserve"> </w:t>
      </w:r>
      <w:r w:rsidR="002F24E1" w:rsidRPr="00B004EE">
        <w:rPr>
          <w:rFonts w:ascii="Tahoma" w:hAnsi="Tahoma" w:cs="Tahoma"/>
          <w:b w:val="0"/>
          <w:bCs w:val="0"/>
        </w:rPr>
        <w:t>agents</w:t>
      </w:r>
      <w:r w:rsidR="00DB1635" w:rsidRPr="00B004EE">
        <w:rPr>
          <w:rFonts w:ascii="Tahoma" w:hAnsi="Tahoma" w:cs="Tahoma"/>
          <w:b w:val="0"/>
          <w:bCs w:val="0"/>
        </w:rPr>
        <w:t xml:space="preserve"> </w:t>
      </w:r>
      <w:r w:rsidR="002F24E1" w:rsidRPr="00B004EE">
        <w:rPr>
          <w:rFonts w:ascii="Tahoma" w:hAnsi="Tahoma" w:cs="Tahoma"/>
          <w:b w:val="0"/>
          <w:bCs w:val="0"/>
        </w:rPr>
        <w:t>du</w:t>
      </w:r>
      <w:r w:rsidR="00DB1635" w:rsidRPr="00B004EE">
        <w:rPr>
          <w:rFonts w:ascii="Tahoma" w:hAnsi="Tahoma" w:cs="Tahoma"/>
          <w:b w:val="0"/>
          <w:bCs w:val="0"/>
        </w:rPr>
        <w:t xml:space="preserve"> </w:t>
      </w:r>
      <w:r w:rsidR="002F24E1" w:rsidRPr="00B004EE">
        <w:rPr>
          <w:rFonts w:ascii="Tahoma" w:hAnsi="Tahoma" w:cs="Tahoma"/>
          <w:b w:val="0"/>
          <w:bCs w:val="0"/>
        </w:rPr>
        <w:t>Centre</w:t>
      </w:r>
      <w:r w:rsidR="00DB1635" w:rsidRPr="00B004EE">
        <w:rPr>
          <w:rFonts w:ascii="Tahoma" w:hAnsi="Tahoma" w:cs="Tahoma"/>
          <w:b w:val="0"/>
          <w:bCs w:val="0"/>
        </w:rPr>
        <w:t xml:space="preserve"> </w:t>
      </w:r>
      <w:r w:rsidR="002F24E1" w:rsidRPr="00B004EE">
        <w:rPr>
          <w:rFonts w:ascii="Tahoma" w:hAnsi="Tahoma" w:cs="Tahoma"/>
          <w:b w:val="0"/>
          <w:bCs w:val="0"/>
        </w:rPr>
        <w:t>National</w:t>
      </w:r>
      <w:r w:rsidR="00DB1635" w:rsidRPr="00B004EE">
        <w:rPr>
          <w:rFonts w:ascii="Tahoma" w:hAnsi="Tahoma" w:cs="Tahoma"/>
          <w:b w:val="0"/>
          <w:bCs w:val="0"/>
        </w:rPr>
        <w:t xml:space="preserve"> </w:t>
      </w:r>
      <w:r w:rsidR="002F24E1" w:rsidRPr="00B004EE">
        <w:rPr>
          <w:rFonts w:ascii="Tahoma" w:hAnsi="Tahoma" w:cs="Tahoma"/>
          <w:b w:val="0"/>
          <w:bCs w:val="0"/>
        </w:rPr>
        <w:t>de</w:t>
      </w:r>
      <w:r w:rsidR="00DB1635" w:rsidRPr="00B004EE">
        <w:rPr>
          <w:rFonts w:ascii="Tahoma" w:hAnsi="Tahoma" w:cs="Tahoma"/>
          <w:b w:val="0"/>
          <w:bCs w:val="0"/>
        </w:rPr>
        <w:t xml:space="preserve"> </w:t>
      </w:r>
      <w:r w:rsidR="002F24E1" w:rsidRPr="00B004EE">
        <w:rPr>
          <w:rFonts w:ascii="Tahoma" w:hAnsi="Tahoma" w:cs="Tahoma"/>
          <w:b w:val="0"/>
          <w:bCs w:val="0"/>
        </w:rPr>
        <w:t>Recherches</w:t>
      </w:r>
      <w:r w:rsidR="00DB1635" w:rsidRPr="00B004EE">
        <w:rPr>
          <w:rFonts w:ascii="Tahoma" w:hAnsi="Tahoma" w:cs="Tahoma"/>
          <w:b w:val="0"/>
          <w:bCs w:val="0"/>
        </w:rPr>
        <w:t xml:space="preserve"> </w:t>
      </w:r>
      <w:r w:rsidR="002F24E1" w:rsidRPr="00B004EE">
        <w:rPr>
          <w:rFonts w:ascii="Tahoma" w:hAnsi="Tahoma" w:cs="Tahoma"/>
          <w:b w:val="0"/>
          <w:bCs w:val="0"/>
        </w:rPr>
        <w:t>Océanographiques</w:t>
      </w:r>
      <w:r w:rsidR="00DB1635" w:rsidRPr="00B004EE">
        <w:rPr>
          <w:rFonts w:ascii="Tahoma" w:hAnsi="Tahoma" w:cs="Tahoma"/>
          <w:b w:val="0"/>
          <w:bCs w:val="0"/>
        </w:rPr>
        <w:t xml:space="preserve"> </w:t>
      </w:r>
      <w:r w:rsidR="002F24E1" w:rsidRPr="00B004EE">
        <w:rPr>
          <w:rFonts w:ascii="Tahoma" w:hAnsi="Tahoma" w:cs="Tahoma"/>
          <w:b w:val="0"/>
          <w:bCs w:val="0"/>
        </w:rPr>
        <w:t>et</w:t>
      </w:r>
      <w:r w:rsidR="00DB1635" w:rsidRPr="00B004EE">
        <w:rPr>
          <w:rFonts w:ascii="Tahoma" w:hAnsi="Tahoma" w:cs="Tahoma"/>
          <w:b w:val="0"/>
          <w:bCs w:val="0"/>
        </w:rPr>
        <w:t xml:space="preserve"> </w:t>
      </w:r>
      <w:r w:rsidR="002F24E1" w:rsidRPr="00B004EE">
        <w:rPr>
          <w:rFonts w:ascii="Tahoma" w:hAnsi="Tahoma" w:cs="Tahoma"/>
          <w:b w:val="0"/>
          <w:bCs w:val="0"/>
        </w:rPr>
        <w:t>des</w:t>
      </w:r>
      <w:r w:rsidR="00DB1635" w:rsidRPr="00B004EE">
        <w:rPr>
          <w:rFonts w:ascii="Tahoma" w:hAnsi="Tahoma" w:cs="Tahoma"/>
          <w:b w:val="0"/>
          <w:bCs w:val="0"/>
        </w:rPr>
        <w:t xml:space="preserve"> </w:t>
      </w:r>
      <w:r w:rsidR="002F24E1" w:rsidRPr="00B004EE">
        <w:rPr>
          <w:rFonts w:ascii="Tahoma" w:hAnsi="Tahoma" w:cs="Tahoma"/>
          <w:b w:val="0"/>
          <w:bCs w:val="0"/>
        </w:rPr>
        <w:t>Pêches,</w:t>
      </w:r>
      <w:r w:rsidR="00DB1635" w:rsidRPr="00B004EE">
        <w:rPr>
          <w:rFonts w:ascii="Tahoma" w:hAnsi="Tahoma" w:cs="Tahoma"/>
          <w:b w:val="0"/>
          <w:bCs w:val="0"/>
        </w:rPr>
        <w:t xml:space="preserve"> </w:t>
      </w:r>
      <w:r w:rsidR="002F24E1" w:rsidRPr="00B004EE">
        <w:rPr>
          <w:rFonts w:ascii="Tahoma" w:hAnsi="Tahoma" w:cs="Tahoma"/>
          <w:b w:val="0"/>
          <w:bCs w:val="0"/>
        </w:rPr>
        <w:t>ou</w:t>
      </w:r>
      <w:r w:rsidR="00DB1635" w:rsidRPr="00B004EE">
        <w:rPr>
          <w:rFonts w:ascii="Tahoma" w:hAnsi="Tahoma" w:cs="Tahoma"/>
          <w:b w:val="0"/>
          <w:bCs w:val="0"/>
        </w:rPr>
        <w:t xml:space="preserve"> </w:t>
      </w:r>
      <w:r w:rsidR="002F24E1" w:rsidRPr="00B004EE">
        <w:rPr>
          <w:rFonts w:ascii="Tahoma" w:hAnsi="Tahoma" w:cs="Tahoma"/>
          <w:b w:val="0"/>
          <w:bCs w:val="0"/>
        </w:rPr>
        <w:t>parmi</w:t>
      </w:r>
      <w:r w:rsidR="00DB1635" w:rsidRPr="00B004EE">
        <w:rPr>
          <w:rFonts w:ascii="Tahoma" w:hAnsi="Tahoma" w:cs="Tahoma"/>
          <w:b w:val="0"/>
          <w:bCs w:val="0"/>
        </w:rPr>
        <w:t xml:space="preserve"> </w:t>
      </w:r>
      <w:r w:rsidR="002F24E1" w:rsidRPr="00B004EE">
        <w:rPr>
          <w:rFonts w:ascii="Tahoma" w:hAnsi="Tahoma" w:cs="Tahoma"/>
          <w:b w:val="0"/>
          <w:bCs w:val="0"/>
        </w:rPr>
        <w:t>les</w:t>
      </w:r>
      <w:r w:rsidR="00DB1635" w:rsidRPr="00B004EE">
        <w:rPr>
          <w:rFonts w:ascii="Tahoma" w:hAnsi="Tahoma" w:cs="Tahoma"/>
          <w:b w:val="0"/>
          <w:bCs w:val="0"/>
        </w:rPr>
        <w:t xml:space="preserve"> </w:t>
      </w:r>
      <w:r w:rsidR="002F24E1" w:rsidRPr="00B004EE">
        <w:rPr>
          <w:rFonts w:ascii="Tahoma" w:hAnsi="Tahoma" w:cs="Tahoma"/>
          <w:b w:val="0"/>
          <w:bCs w:val="0"/>
        </w:rPr>
        <w:t>correspondants</w:t>
      </w:r>
      <w:r w:rsidR="00DB1635" w:rsidRPr="00B004EE">
        <w:rPr>
          <w:rFonts w:ascii="Tahoma" w:hAnsi="Tahoma" w:cs="Tahoma"/>
          <w:b w:val="0"/>
          <w:bCs w:val="0"/>
        </w:rPr>
        <w:t xml:space="preserve"> </w:t>
      </w:r>
      <w:r w:rsidR="002F24E1" w:rsidRPr="00B004EE">
        <w:rPr>
          <w:rFonts w:ascii="Tahoma" w:hAnsi="Tahoma" w:cs="Tahoma"/>
          <w:b w:val="0"/>
          <w:bCs w:val="0"/>
        </w:rPr>
        <w:t>assermentés</w:t>
      </w:r>
      <w:r w:rsidR="00DB1635" w:rsidRPr="00B004EE">
        <w:rPr>
          <w:rFonts w:ascii="Tahoma" w:hAnsi="Tahoma" w:cs="Tahoma"/>
          <w:b w:val="0"/>
          <w:bCs w:val="0"/>
        </w:rPr>
        <w:t xml:space="preserve"> </w:t>
      </w:r>
      <w:r w:rsidR="002F24E1" w:rsidRPr="00B004EE">
        <w:rPr>
          <w:rFonts w:ascii="Tahoma" w:hAnsi="Tahoma" w:cs="Tahoma"/>
          <w:b w:val="0"/>
          <w:bCs w:val="0"/>
        </w:rPr>
        <w:t>recrutés</w:t>
      </w:r>
      <w:r w:rsidR="00DB1635" w:rsidRPr="00B004EE">
        <w:rPr>
          <w:rFonts w:ascii="Tahoma" w:hAnsi="Tahoma" w:cs="Tahoma"/>
          <w:b w:val="0"/>
          <w:bCs w:val="0"/>
        </w:rPr>
        <w:t xml:space="preserve"> </w:t>
      </w:r>
      <w:r w:rsidR="002F24E1" w:rsidRPr="00B004EE">
        <w:rPr>
          <w:rFonts w:ascii="Tahoma" w:hAnsi="Tahoma" w:cs="Tahoma"/>
          <w:b w:val="0"/>
          <w:bCs w:val="0"/>
        </w:rPr>
        <w:t>parmi</w:t>
      </w:r>
      <w:r w:rsidR="00DB1635" w:rsidRPr="00B004EE">
        <w:rPr>
          <w:rFonts w:ascii="Tahoma" w:hAnsi="Tahoma" w:cs="Tahoma"/>
          <w:b w:val="0"/>
          <w:bCs w:val="0"/>
        </w:rPr>
        <w:t xml:space="preserve"> </w:t>
      </w:r>
      <w:r w:rsidR="002F24E1" w:rsidRPr="00B004EE">
        <w:rPr>
          <w:rFonts w:ascii="Tahoma" w:hAnsi="Tahoma" w:cs="Tahoma"/>
          <w:b w:val="0"/>
          <w:bCs w:val="0"/>
        </w:rPr>
        <w:t>les</w:t>
      </w:r>
      <w:r w:rsidR="00DB1635" w:rsidRPr="00B004EE">
        <w:rPr>
          <w:rFonts w:ascii="Tahoma" w:hAnsi="Tahoma" w:cs="Tahoma"/>
          <w:b w:val="0"/>
          <w:bCs w:val="0"/>
        </w:rPr>
        <w:t xml:space="preserve"> </w:t>
      </w:r>
      <w:r w:rsidR="002F24E1" w:rsidRPr="00B004EE">
        <w:rPr>
          <w:rFonts w:ascii="Tahoma" w:hAnsi="Tahoma" w:cs="Tahoma"/>
          <w:b w:val="0"/>
          <w:bCs w:val="0"/>
        </w:rPr>
        <w:t>agents</w:t>
      </w:r>
      <w:r w:rsidR="00DB1635" w:rsidRPr="00B004EE">
        <w:rPr>
          <w:rFonts w:ascii="Tahoma" w:hAnsi="Tahoma" w:cs="Tahoma"/>
          <w:b w:val="0"/>
          <w:bCs w:val="0"/>
        </w:rPr>
        <w:t xml:space="preserve"> </w:t>
      </w:r>
      <w:r w:rsidR="002F24E1" w:rsidRPr="00B004EE">
        <w:rPr>
          <w:rFonts w:ascii="Tahoma" w:hAnsi="Tahoma" w:cs="Tahoma"/>
          <w:b w:val="0"/>
          <w:bCs w:val="0"/>
        </w:rPr>
        <w:t>de</w:t>
      </w:r>
      <w:r w:rsidR="00DB1635" w:rsidRPr="00B004EE">
        <w:rPr>
          <w:rFonts w:ascii="Tahoma" w:hAnsi="Tahoma" w:cs="Tahoma"/>
          <w:b w:val="0"/>
          <w:bCs w:val="0"/>
        </w:rPr>
        <w:t xml:space="preserve"> </w:t>
      </w:r>
      <w:r w:rsidR="002F24E1" w:rsidRPr="00B004EE">
        <w:rPr>
          <w:rFonts w:ascii="Tahoma" w:hAnsi="Tahoma" w:cs="Tahoma"/>
          <w:b w:val="0"/>
          <w:bCs w:val="0"/>
        </w:rPr>
        <w:t>services</w:t>
      </w:r>
      <w:r w:rsidR="00DB1635" w:rsidRPr="00B004EE">
        <w:rPr>
          <w:rFonts w:ascii="Tahoma" w:hAnsi="Tahoma" w:cs="Tahoma"/>
          <w:b w:val="0"/>
          <w:bCs w:val="0"/>
        </w:rPr>
        <w:t xml:space="preserve"> </w:t>
      </w:r>
      <w:r w:rsidR="002F24E1" w:rsidRPr="00B004EE">
        <w:rPr>
          <w:rFonts w:ascii="Tahoma" w:hAnsi="Tahoma" w:cs="Tahoma"/>
          <w:b w:val="0"/>
          <w:bCs w:val="0"/>
        </w:rPr>
        <w:t>vétérinaires</w:t>
      </w:r>
      <w:r w:rsidR="00DB1635" w:rsidRPr="00B004EE">
        <w:rPr>
          <w:rFonts w:ascii="Tahoma" w:hAnsi="Tahoma" w:cs="Tahoma"/>
          <w:b w:val="0"/>
          <w:bCs w:val="0"/>
        </w:rPr>
        <w:t xml:space="preserve"> </w:t>
      </w:r>
      <w:r w:rsidR="002F24E1" w:rsidRPr="00B004EE">
        <w:rPr>
          <w:rFonts w:ascii="Tahoma" w:hAnsi="Tahoma" w:cs="Tahoma"/>
          <w:b w:val="0"/>
          <w:bCs w:val="0"/>
        </w:rPr>
        <w:t>et</w:t>
      </w:r>
      <w:r w:rsidR="00DB1635" w:rsidRPr="00B004EE">
        <w:rPr>
          <w:rFonts w:ascii="Tahoma" w:hAnsi="Tahoma" w:cs="Tahoma"/>
          <w:b w:val="0"/>
          <w:bCs w:val="0"/>
        </w:rPr>
        <w:t xml:space="preserve"> </w:t>
      </w:r>
      <w:r w:rsidR="002F24E1" w:rsidRPr="00B004EE">
        <w:rPr>
          <w:rFonts w:ascii="Tahoma" w:hAnsi="Tahoma" w:cs="Tahoma"/>
          <w:b w:val="0"/>
          <w:bCs w:val="0"/>
        </w:rPr>
        <w:t>d'hygiène.</w:t>
      </w:r>
      <w:r w:rsidR="00DB1635" w:rsidRPr="00B004EE">
        <w:rPr>
          <w:rFonts w:ascii="Tahoma" w:hAnsi="Tahoma" w:cs="Tahoma"/>
          <w:b w:val="0"/>
          <w:bCs w:val="0"/>
        </w:rPr>
        <w:t xml:space="preserve"> </w:t>
      </w:r>
      <w:r w:rsidR="002F24E1" w:rsidRPr="00B004EE">
        <w:rPr>
          <w:rFonts w:ascii="Tahoma" w:hAnsi="Tahoma" w:cs="Tahoma"/>
          <w:b w:val="0"/>
          <w:bCs w:val="0"/>
        </w:rPr>
        <w:t>Les</w:t>
      </w:r>
      <w:r w:rsidR="00DB1635" w:rsidRPr="00B004EE">
        <w:rPr>
          <w:rFonts w:ascii="Tahoma" w:hAnsi="Tahoma" w:cs="Tahoma"/>
          <w:b w:val="0"/>
          <w:bCs w:val="0"/>
        </w:rPr>
        <w:t xml:space="preserve"> </w:t>
      </w:r>
      <w:r w:rsidR="002F24E1" w:rsidRPr="00B004EE">
        <w:rPr>
          <w:rFonts w:ascii="Tahoma" w:hAnsi="Tahoma" w:cs="Tahoma"/>
          <w:b w:val="0"/>
          <w:bCs w:val="0"/>
        </w:rPr>
        <w:t>agents</w:t>
      </w:r>
      <w:r w:rsidR="00DB1635" w:rsidRPr="00B004EE">
        <w:rPr>
          <w:rFonts w:ascii="Tahoma" w:hAnsi="Tahoma" w:cs="Tahoma"/>
          <w:b w:val="0"/>
          <w:bCs w:val="0"/>
        </w:rPr>
        <w:t xml:space="preserve"> </w:t>
      </w:r>
      <w:r w:rsidR="002F24E1" w:rsidRPr="00B004EE">
        <w:rPr>
          <w:rFonts w:ascii="Tahoma" w:hAnsi="Tahoma" w:cs="Tahoma"/>
          <w:b w:val="0"/>
          <w:bCs w:val="0"/>
        </w:rPr>
        <w:t>de</w:t>
      </w:r>
      <w:r w:rsidR="00DB1635" w:rsidRPr="00B004EE">
        <w:rPr>
          <w:rFonts w:ascii="Tahoma" w:hAnsi="Tahoma" w:cs="Tahoma"/>
          <w:b w:val="0"/>
          <w:bCs w:val="0"/>
        </w:rPr>
        <w:t xml:space="preserve"> </w:t>
      </w:r>
      <w:r w:rsidR="002F24E1" w:rsidRPr="00B004EE">
        <w:rPr>
          <w:rFonts w:ascii="Tahoma" w:hAnsi="Tahoma" w:cs="Tahoma"/>
          <w:b w:val="0"/>
          <w:bCs w:val="0"/>
        </w:rPr>
        <w:t>contrôle</w:t>
      </w:r>
      <w:r w:rsidR="00DB1635" w:rsidRPr="00B004EE">
        <w:rPr>
          <w:rFonts w:ascii="Tahoma" w:hAnsi="Tahoma" w:cs="Tahoma"/>
          <w:b w:val="0"/>
          <w:bCs w:val="0"/>
        </w:rPr>
        <w:t xml:space="preserve"> </w:t>
      </w:r>
      <w:r w:rsidR="002F24E1" w:rsidRPr="00B004EE">
        <w:rPr>
          <w:rFonts w:ascii="Tahoma" w:hAnsi="Tahoma" w:cs="Tahoma"/>
          <w:b w:val="0"/>
          <w:bCs w:val="0"/>
        </w:rPr>
        <w:t>sont</w:t>
      </w:r>
      <w:r w:rsidR="00DB1635" w:rsidRPr="00B004EE">
        <w:rPr>
          <w:rFonts w:ascii="Tahoma" w:hAnsi="Tahoma" w:cs="Tahoma"/>
          <w:b w:val="0"/>
          <w:bCs w:val="0"/>
        </w:rPr>
        <w:t xml:space="preserve"> </w:t>
      </w:r>
      <w:r w:rsidR="002F24E1" w:rsidRPr="00B004EE">
        <w:rPr>
          <w:rFonts w:ascii="Tahoma" w:hAnsi="Tahoma" w:cs="Tahoma"/>
          <w:b w:val="0"/>
          <w:bCs w:val="0"/>
        </w:rPr>
        <w:t>agréés</w:t>
      </w:r>
      <w:r w:rsidR="00DB1635" w:rsidRPr="00B004EE">
        <w:rPr>
          <w:rFonts w:ascii="Tahoma" w:hAnsi="Tahoma" w:cs="Tahoma"/>
          <w:b w:val="0"/>
          <w:bCs w:val="0"/>
        </w:rPr>
        <w:t xml:space="preserve"> </w:t>
      </w:r>
      <w:r w:rsidR="002F24E1" w:rsidRPr="00B004EE">
        <w:rPr>
          <w:rFonts w:ascii="Tahoma" w:hAnsi="Tahoma" w:cs="Tahoma"/>
          <w:b w:val="0"/>
          <w:bCs w:val="0"/>
        </w:rPr>
        <w:t>par</w:t>
      </w:r>
      <w:r w:rsidR="00DB1635" w:rsidRPr="00B004EE">
        <w:rPr>
          <w:rFonts w:ascii="Tahoma" w:hAnsi="Tahoma" w:cs="Tahoma"/>
          <w:b w:val="0"/>
          <w:bCs w:val="0"/>
        </w:rPr>
        <w:t xml:space="preserve"> </w:t>
      </w:r>
      <w:r w:rsidR="002F24E1" w:rsidRPr="00B004EE">
        <w:rPr>
          <w:rFonts w:ascii="Tahoma" w:hAnsi="Tahoma" w:cs="Tahoma"/>
          <w:b w:val="0"/>
          <w:bCs w:val="0"/>
        </w:rPr>
        <w:t>arrêté</w:t>
      </w:r>
      <w:r w:rsidR="00DB1635" w:rsidRPr="00B004EE">
        <w:rPr>
          <w:rFonts w:ascii="Tahoma" w:hAnsi="Tahoma" w:cs="Tahoma"/>
          <w:b w:val="0"/>
          <w:bCs w:val="0"/>
        </w:rPr>
        <w:t xml:space="preserve"> </w:t>
      </w:r>
      <w:r w:rsidR="002F24E1" w:rsidRPr="00B004EE">
        <w:rPr>
          <w:rFonts w:ascii="Tahoma" w:hAnsi="Tahoma" w:cs="Tahoma"/>
          <w:b w:val="0"/>
          <w:bCs w:val="0"/>
        </w:rPr>
        <w:t>du</w:t>
      </w:r>
      <w:r w:rsidR="00DB1635" w:rsidRPr="00B004EE">
        <w:rPr>
          <w:rFonts w:ascii="Tahoma" w:hAnsi="Tahoma" w:cs="Tahoma"/>
          <w:b w:val="0"/>
          <w:bCs w:val="0"/>
        </w:rPr>
        <w:t xml:space="preserve"> </w:t>
      </w:r>
      <w:r w:rsidR="002F24E1" w:rsidRPr="00B004EE">
        <w:rPr>
          <w:rFonts w:ascii="Tahoma" w:hAnsi="Tahoma" w:cs="Tahoma"/>
          <w:b w:val="0"/>
          <w:bCs w:val="0"/>
        </w:rPr>
        <w:t>ministre</w:t>
      </w:r>
      <w:r w:rsidR="00DB1635" w:rsidRPr="00B004EE">
        <w:rPr>
          <w:rFonts w:ascii="Tahoma" w:hAnsi="Tahoma" w:cs="Tahoma"/>
          <w:b w:val="0"/>
          <w:bCs w:val="0"/>
        </w:rPr>
        <w:t xml:space="preserve"> </w:t>
      </w:r>
      <w:r w:rsidR="002F24E1" w:rsidRPr="00B004EE">
        <w:rPr>
          <w:rFonts w:ascii="Tahoma" w:hAnsi="Tahoma" w:cs="Tahoma"/>
          <w:b w:val="0"/>
          <w:bCs w:val="0"/>
        </w:rPr>
        <w:t>chargé</w:t>
      </w:r>
      <w:r w:rsidR="00DB1635" w:rsidRPr="00B004EE">
        <w:rPr>
          <w:rFonts w:ascii="Tahoma" w:hAnsi="Tahoma" w:cs="Tahoma"/>
          <w:b w:val="0"/>
          <w:bCs w:val="0"/>
        </w:rPr>
        <w:t xml:space="preserve"> </w:t>
      </w:r>
      <w:r w:rsidR="002F24E1" w:rsidRPr="00B004EE">
        <w:rPr>
          <w:rFonts w:ascii="Tahoma" w:hAnsi="Tahoma" w:cs="Tahoma"/>
          <w:b w:val="0"/>
          <w:bCs w:val="0"/>
        </w:rPr>
        <w:t>des</w:t>
      </w:r>
      <w:r w:rsidR="00DB1635" w:rsidRPr="00B004EE">
        <w:rPr>
          <w:rFonts w:ascii="Tahoma" w:hAnsi="Tahoma" w:cs="Tahoma"/>
          <w:b w:val="0"/>
          <w:bCs w:val="0"/>
        </w:rPr>
        <w:t xml:space="preserve"> </w:t>
      </w:r>
      <w:r w:rsidR="002F24E1" w:rsidRPr="00B004EE">
        <w:rPr>
          <w:rFonts w:ascii="Tahoma" w:hAnsi="Tahoma" w:cs="Tahoma"/>
          <w:b w:val="0"/>
          <w:bCs w:val="0"/>
        </w:rPr>
        <w:t>Pêches</w:t>
      </w:r>
      <w:r w:rsidR="00DB1635" w:rsidRPr="00B004EE">
        <w:rPr>
          <w:rFonts w:ascii="Tahoma" w:hAnsi="Tahoma" w:cs="Tahoma"/>
          <w:b w:val="0"/>
          <w:bCs w:val="0"/>
        </w:rPr>
        <w:t xml:space="preserve"> </w:t>
      </w:r>
      <w:r w:rsidR="002F24E1" w:rsidRPr="00B004EE">
        <w:rPr>
          <w:rFonts w:ascii="Tahoma" w:hAnsi="Tahoma" w:cs="Tahoma"/>
          <w:b w:val="0"/>
          <w:bCs w:val="0"/>
        </w:rPr>
        <w:t>sur</w:t>
      </w:r>
      <w:r w:rsidR="00DB1635" w:rsidRPr="00B004EE">
        <w:rPr>
          <w:rFonts w:ascii="Tahoma" w:hAnsi="Tahoma" w:cs="Tahoma"/>
          <w:b w:val="0"/>
          <w:bCs w:val="0"/>
        </w:rPr>
        <w:t xml:space="preserve"> </w:t>
      </w:r>
      <w:r w:rsidR="002F24E1" w:rsidRPr="00B004EE">
        <w:rPr>
          <w:rFonts w:ascii="Tahoma" w:hAnsi="Tahoma" w:cs="Tahoma"/>
          <w:b w:val="0"/>
          <w:bCs w:val="0"/>
        </w:rPr>
        <w:t>proposition</w:t>
      </w:r>
      <w:r w:rsidR="00DB1635" w:rsidRPr="00B004EE">
        <w:rPr>
          <w:rFonts w:ascii="Tahoma" w:hAnsi="Tahoma" w:cs="Tahoma"/>
          <w:b w:val="0"/>
          <w:bCs w:val="0"/>
        </w:rPr>
        <w:t xml:space="preserve"> </w:t>
      </w:r>
      <w:r w:rsidR="002F24E1" w:rsidRPr="00B004EE">
        <w:rPr>
          <w:rFonts w:ascii="Tahoma" w:hAnsi="Tahoma" w:cs="Tahoma"/>
          <w:b w:val="0"/>
          <w:bCs w:val="0"/>
        </w:rPr>
        <w:t>du</w:t>
      </w:r>
      <w:r w:rsidR="00DB1635" w:rsidRPr="00B004EE">
        <w:rPr>
          <w:rFonts w:ascii="Tahoma" w:hAnsi="Tahoma" w:cs="Tahoma"/>
          <w:b w:val="0"/>
          <w:bCs w:val="0"/>
        </w:rPr>
        <w:t xml:space="preserve"> </w:t>
      </w:r>
      <w:r w:rsidR="002F24E1" w:rsidRPr="00B004EE">
        <w:rPr>
          <w:rFonts w:ascii="Tahoma" w:hAnsi="Tahoma" w:cs="Tahoma"/>
          <w:b w:val="0"/>
          <w:bCs w:val="0"/>
        </w:rPr>
        <w:t>directeur</w:t>
      </w:r>
      <w:r w:rsidR="00DB1635" w:rsidRPr="00B004EE">
        <w:rPr>
          <w:rFonts w:ascii="Tahoma" w:hAnsi="Tahoma" w:cs="Tahoma"/>
          <w:b w:val="0"/>
          <w:bCs w:val="0"/>
        </w:rPr>
        <w:t xml:space="preserve"> </w:t>
      </w:r>
      <w:r w:rsidR="002F24E1" w:rsidRPr="00B004EE">
        <w:rPr>
          <w:rFonts w:ascii="Tahoma" w:hAnsi="Tahoma" w:cs="Tahoma"/>
          <w:b w:val="0"/>
          <w:bCs w:val="0"/>
        </w:rPr>
        <w:t>du</w:t>
      </w:r>
      <w:r w:rsidR="00DB1635" w:rsidRPr="00B004EE">
        <w:rPr>
          <w:rFonts w:ascii="Tahoma" w:hAnsi="Tahoma" w:cs="Tahoma"/>
          <w:b w:val="0"/>
          <w:bCs w:val="0"/>
        </w:rPr>
        <w:t xml:space="preserve"> </w:t>
      </w:r>
      <w:r w:rsidR="002F24E1" w:rsidRPr="00B004EE">
        <w:rPr>
          <w:rFonts w:ascii="Tahoma" w:hAnsi="Tahoma" w:cs="Tahoma"/>
          <w:b w:val="0"/>
          <w:bCs w:val="0"/>
        </w:rPr>
        <w:t>centre.</w:t>
      </w:r>
    </w:p>
    <w:p w14:paraId="1555F29A" w14:textId="77777777" w:rsidR="002F24E1" w:rsidRPr="00B004EE" w:rsidRDefault="002F24E1" w:rsidP="00B004EE">
      <w:pPr>
        <w:pStyle w:val="Lgende"/>
        <w:jc w:val="both"/>
        <w:rPr>
          <w:rFonts w:ascii="Tahoma" w:hAnsi="Tahoma" w:cs="Tahoma"/>
          <w:b w:val="0"/>
          <w:bCs w:val="0"/>
        </w:rPr>
      </w:pPr>
    </w:p>
    <w:p w14:paraId="1D48C129" w14:textId="536C1778" w:rsidR="002F24E1" w:rsidRPr="00B004EE" w:rsidRDefault="00561F81" w:rsidP="00B004EE">
      <w:pPr>
        <w:pStyle w:val="Lgende"/>
        <w:jc w:val="both"/>
        <w:rPr>
          <w:rFonts w:ascii="Tahoma" w:hAnsi="Tahoma" w:cs="Tahoma"/>
          <w:b w:val="0"/>
          <w:bCs w:val="0"/>
        </w:rPr>
      </w:pPr>
      <w:r w:rsidRPr="00B004EE">
        <w:rPr>
          <w:rFonts w:ascii="Tahoma" w:hAnsi="Tahoma" w:cs="Tahoma"/>
          <w:b w:val="0"/>
          <w:bCs w:val="0"/>
        </w:rPr>
        <w:t xml:space="preserve">Article </w:t>
      </w:r>
      <w:r w:rsidR="002F24E1" w:rsidRPr="00B004EE">
        <w:rPr>
          <w:rFonts w:ascii="Tahoma" w:hAnsi="Tahoma" w:cs="Tahoma"/>
          <w:b w:val="0"/>
          <w:bCs w:val="0"/>
        </w:rPr>
        <w:t>11</w:t>
      </w:r>
      <w:r w:rsidR="00DB1635" w:rsidRPr="00B004EE">
        <w:rPr>
          <w:rFonts w:ascii="Tahoma" w:hAnsi="Tahoma" w:cs="Tahoma"/>
          <w:b w:val="0"/>
          <w:bCs w:val="0"/>
        </w:rPr>
        <w:t xml:space="preserve"> </w:t>
      </w:r>
      <w:r w:rsidR="002F24E1" w:rsidRPr="00B004EE">
        <w:rPr>
          <w:rFonts w:ascii="Tahoma" w:hAnsi="Tahoma" w:cs="Tahoma"/>
          <w:b w:val="0"/>
          <w:bCs w:val="0"/>
        </w:rPr>
        <w:t>:</w:t>
      </w:r>
      <w:r w:rsidR="00DB1635" w:rsidRPr="00B004EE">
        <w:rPr>
          <w:rFonts w:ascii="Tahoma" w:hAnsi="Tahoma" w:cs="Tahoma"/>
          <w:b w:val="0"/>
          <w:bCs w:val="0"/>
        </w:rPr>
        <w:t xml:space="preserve"> </w:t>
      </w:r>
      <w:r w:rsidR="002F24E1" w:rsidRPr="00B004EE">
        <w:rPr>
          <w:rFonts w:ascii="Tahoma" w:hAnsi="Tahoma" w:cs="Tahoma"/>
          <w:b w:val="0"/>
          <w:bCs w:val="0"/>
        </w:rPr>
        <w:t>L'exploitation,</w:t>
      </w:r>
      <w:r w:rsidR="00DB1635" w:rsidRPr="00B004EE">
        <w:rPr>
          <w:rFonts w:ascii="Tahoma" w:hAnsi="Tahoma" w:cs="Tahoma"/>
          <w:b w:val="0"/>
          <w:bCs w:val="0"/>
        </w:rPr>
        <w:t xml:space="preserve"> </w:t>
      </w:r>
      <w:r w:rsidR="002F24E1" w:rsidRPr="00B004EE">
        <w:rPr>
          <w:rFonts w:ascii="Tahoma" w:hAnsi="Tahoma" w:cs="Tahoma"/>
          <w:b w:val="0"/>
          <w:bCs w:val="0"/>
        </w:rPr>
        <w:t>l'importation,</w:t>
      </w:r>
      <w:r w:rsidR="00DB1635" w:rsidRPr="00B004EE">
        <w:rPr>
          <w:rFonts w:ascii="Tahoma" w:hAnsi="Tahoma" w:cs="Tahoma"/>
          <w:b w:val="0"/>
          <w:bCs w:val="0"/>
        </w:rPr>
        <w:t xml:space="preserve"> </w:t>
      </w:r>
      <w:r w:rsidR="002F24E1" w:rsidRPr="00B004EE">
        <w:rPr>
          <w:rFonts w:ascii="Tahoma" w:hAnsi="Tahoma" w:cs="Tahoma"/>
          <w:b w:val="0"/>
          <w:bCs w:val="0"/>
        </w:rPr>
        <w:t>le</w:t>
      </w:r>
      <w:r w:rsidR="00DB1635" w:rsidRPr="00B004EE">
        <w:rPr>
          <w:rFonts w:ascii="Tahoma" w:hAnsi="Tahoma" w:cs="Tahoma"/>
          <w:b w:val="0"/>
          <w:bCs w:val="0"/>
        </w:rPr>
        <w:t xml:space="preserve"> </w:t>
      </w:r>
      <w:r w:rsidR="002F24E1" w:rsidRPr="00B004EE">
        <w:rPr>
          <w:rFonts w:ascii="Tahoma" w:hAnsi="Tahoma" w:cs="Tahoma"/>
          <w:b w:val="0"/>
          <w:bCs w:val="0"/>
        </w:rPr>
        <w:t>transport,</w:t>
      </w:r>
      <w:r w:rsidR="00DB1635" w:rsidRPr="00B004EE">
        <w:rPr>
          <w:rFonts w:ascii="Tahoma" w:hAnsi="Tahoma" w:cs="Tahoma"/>
          <w:b w:val="0"/>
          <w:bCs w:val="0"/>
        </w:rPr>
        <w:t xml:space="preserve"> </w:t>
      </w:r>
      <w:r w:rsidR="002F24E1" w:rsidRPr="00B004EE">
        <w:rPr>
          <w:rFonts w:ascii="Tahoma" w:hAnsi="Tahoma" w:cs="Tahoma"/>
          <w:b w:val="0"/>
          <w:bCs w:val="0"/>
        </w:rPr>
        <w:t>la</w:t>
      </w:r>
      <w:r w:rsidR="00DB1635" w:rsidRPr="00B004EE">
        <w:rPr>
          <w:rFonts w:ascii="Tahoma" w:hAnsi="Tahoma" w:cs="Tahoma"/>
          <w:b w:val="0"/>
          <w:bCs w:val="0"/>
        </w:rPr>
        <w:t xml:space="preserve"> </w:t>
      </w:r>
      <w:r w:rsidR="002F24E1" w:rsidRPr="00B004EE">
        <w:rPr>
          <w:rFonts w:ascii="Tahoma" w:hAnsi="Tahoma" w:cs="Tahoma"/>
          <w:b w:val="0"/>
          <w:bCs w:val="0"/>
        </w:rPr>
        <w:t>mise</w:t>
      </w:r>
      <w:r w:rsidR="00DB1635" w:rsidRPr="00B004EE">
        <w:rPr>
          <w:rFonts w:ascii="Tahoma" w:hAnsi="Tahoma" w:cs="Tahoma"/>
          <w:b w:val="0"/>
          <w:bCs w:val="0"/>
        </w:rPr>
        <w:t xml:space="preserve"> </w:t>
      </w:r>
      <w:r w:rsidR="002F24E1" w:rsidRPr="00B004EE">
        <w:rPr>
          <w:rFonts w:ascii="Tahoma" w:hAnsi="Tahoma" w:cs="Tahoma"/>
          <w:b w:val="0"/>
          <w:bCs w:val="0"/>
        </w:rPr>
        <w:t>en</w:t>
      </w:r>
      <w:r w:rsidR="00DB1635" w:rsidRPr="00B004EE">
        <w:rPr>
          <w:rFonts w:ascii="Tahoma" w:hAnsi="Tahoma" w:cs="Tahoma"/>
          <w:b w:val="0"/>
          <w:bCs w:val="0"/>
        </w:rPr>
        <w:t xml:space="preserve"> </w:t>
      </w:r>
      <w:r w:rsidR="002F24E1" w:rsidRPr="00B004EE">
        <w:rPr>
          <w:rFonts w:ascii="Tahoma" w:hAnsi="Tahoma" w:cs="Tahoma"/>
          <w:b w:val="0"/>
          <w:bCs w:val="0"/>
        </w:rPr>
        <w:t>vente</w:t>
      </w:r>
      <w:r w:rsidR="00DB1635" w:rsidRPr="00B004EE">
        <w:rPr>
          <w:rFonts w:ascii="Tahoma" w:hAnsi="Tahoma" w:cs="Tahoma"/>
          <w:b w:val="0"/>
          <w:bCs w:val="0"/>
        </w:rPr>
        <w:t xml:space="preserve"> </w:t>
      </w:r>
      <w:r w:rsidR="002F24E1" w:rsidRPr="00B004EE">
        <w:rPr>
          <w:rFonts w:ascii="Tahoma" w:hAnsi="Tahoma" w:cs="Tahoma"/>
          <w:b w:val="0"/>
          <w:bCs w:val="0"/>
        </w:rPr>
        <w:t>ou</w:t>
      </w:r>
      <w:r w:rsidR="00DB1635" w:rsidRPr="00B004EE">
        <w:rPr>
          <w:rFonts w:ascii="Tahoma" w:hAnsi="Tahoma" w:cs="Tahoma"/>
          <w:b w:val="0"/>
          <w:bCs w:val="0"/>
        </w:rPr>
        <w:t xml:space="preserve"> </w:t>
      </w:r>
      <w:r w:rsidR="002F24E1" w:rsidRPr="00B004EE">
        <w:rPr>
          <w:rFonts w:ascii="Tahoma" w:hAnsi="Tahoma" w:cs="Tahoma"/>
          <w:b w:val="0"/>
          <w:bCs w:val="0"/>
        </w:rPr>
        <w:t>la</w:t>
      </w:r>
      <w:r w:rsidR="00DB1635" w:rsidRPr="00B004EE">
        <w:rPr>
          <w:rFonts w:ascii="Tahoma" w:hAnsi="Tahoma" w:cs="Tahoma"/>
          <w:b w:val="0"/>
          <w:bCs w:val="0"/>
        </w:rPr>
        <w:t xml:space="preserve"> </w:t>
      </w:r>
      <w:r w:rsidR="002F24E1" w:rsidRPr="00B004EE">
        <w:rPr>
          <w:rFonts w:ascii="Tahoma" w:hAnsi="Tahoma" w:cs="Tahoma"/>
          <w:b w:val="0"/>
          <w:bCs w:val="0"/>
        </w:rPr>
        <w:t>vente</w:t>
      </w:r>
      <w:r w:rsidR="00DB1635" w:rsidRPr="00B004EE">
        <w:rPr>
          <w:rFonts w:ascii="Tahoma" w:hAnsi="Tahoma" w:cs="Tahoma"/>
          <w:b w:val="0"/>
          <w:bCs w:val="0"/>
        </w:rPr>
        <w:t xml:space="preserve"> </w:t>
      </w:r>
      <w:r w:rsidR="002F24E1" w:rsidRPr="00B004EE">
        <w:rPr>
          <w:rFonts w:ascii="Tahoma" w:hAnsi="Tahoma" w:cs="Tahoma"/>
          <w:b w:val="0"/>
          <w:bCs w:val="0"/>
        </w:rPr>
        <w:t>des</w:t>
      </w:r>
      <w:r w:rsidR="00DB1635" w:rsidRPr="00B004EE">
        <w:rPr>
          <w:rFonts w:ascii="Tahoma" w:hAnsi="Tahoma" w:cs="Tahoma"/>
          <w:b w:val="0"/>
          <w:bCs w:val="0"/>
        </w:rPr>
        <w:t xml:space="preserve"> </w:t>
      </w:r>
      <w:r w:rsidR="002F24E1" w:rsidRPr="00B004EE">
        <w:rPr>
          <w:rFonts w:ascii="Tahoma" w:hAnsi="Tahoma" w:cs="Tahoma"/>
          <w:b w:val="0"/>
          <w:bCs w:val="0"/>
        </w:rPr>
        <w:t>produits</w:t>
      </w:r>
      <w:r w:rsidR="00DB1635" w:rsidRPr="00B004EE">
        <w:rPr>
          <w:rFonts w:ascii="Tahoma" w:hAnsi="Tahoma" w:cs="Tahoma"/>
          <w:b w:val="0"/>
          <w:bCs w:val="0"/>
        </w:rPr>
        <w:t xml:space="preserve"> </w:t>
      </w:r>
      <w:r w:rsidR="002F24E1" w:rsidRPr="00B004EE">
        <w:rPr>
          <w:rFonts w:ascii="Tahoma" w:hAnsi="Tahoma" w:cs="Tahoma"/>
          <w:b w:val="0"/>
          <w:bCs w:val="0"/>
        </w:rPr>
        <w:t>visés</w:t>
      </w:r>
      <w:r w:rsidR="00DB1635" w:rsidRPr="00B004EE">
        <w:rPr>
          <w:rFonts w:ascii="Tahoma" w:hAnsi="Tahoma" w:cs="Tahoma"/>
          <w:b w:val="0"/>
          <w:bCs w:val="0"/>
        </w:rPr>
        <w:t xml:space="preserve"> </w:t>
      </w:r>
      <w:r w:rsidR="002F24E1" w:rsidRPr="00B004EE">
        <w:rPr>
          <w:rFonts w:ascii="Tahoma" w:hAnsi="Tahoma" w:cs="Tahoma"/>
          <w:b w:val="0"/>
          <w:bCs w:val="0"/>
        </w:rPr>
        <w:t>dans</w:t>
      </w:r>
      <w:r w:rsidR="00DB1635" w:rsidRPr="00B004EE">
        <w:rPr>
          <w:rFonts w:ascii="Tahoma" w:hAnsi="Tahoma" w:cs="Tahoma"/>
          <w:b w:val="0"/>
          <w:bCs w:val="0"/>
        </w:rPr>
        <w:t xml:space="preserve"> </w:t>
      </w:r>
      <w:r w:rsidR="002F24E1" w:rsidRPr="00B004EE">
        <w:rPr>
          <w:rFonts w:ascii="Tahoma" w:hAnsi="Tahoma" w:cs="Tahoma"/>
          <w:b w:val="0"/>
          <w:bCs w:val="0"/>
        </w:rPr>
        <w:t>le</w:t>
      </w:r>
      <w:r w:rsidR="00DB1635" w:rsidRPr="00B004EE">
        <w:rPr>
          <w:rFonts w:ascii="Tahoma" w:hAnsi="Tahoma" w:cs="Tahoma"/>
          <w:b w:val="0"/>
          <w:bCs w:val="0"/>
        </w:rPr>
        <w:t xml:space="preserve"> </w:t>
      </w:r>
      <w:r w:rsidR="002F24E1" w:rsidRPr="00B004EE">
        <w:rPr>
          <w:rFonts w:ascii="Tahoma" w:hAnsi="Tahoma" w:cs="Tahoma"/>
          <w:b w:val="0"/>
          <w:bCs w:val="0"/>
        </w:rPr>
        <w:t>présent</w:t>
      </w:r>
      <w:r w:rsidR="00DB1635" w:rsidRPr="00B004EE">
        <w:rPr>
          <w:rFonts w:ascii="Tahoma" w:hAnsi="Tahoma" w:cs="Tahoma"/>
          <w:b w:val="0"/>
          <w:bCs w:val="0"/>
        </w:rPr>
        <w:t xml:space="preserve"> </w:t>
      </w:r>
      <w:r w:rsidR="002F24E1" w:rsidRPr="00B004EE">
        <w:rPr>
          <w:rFonts w:ascii="Tahoma" w:hAnsi="Tahoma" w:cs="Tahoma"/>
          <w:b w:val="0"/>
          <w:bCs w:val="0"/>
        </w:rPr>
        <w:t>décret,</w:t>
      </w:r>
      <w:r w:rsidR="00DB1635" w:rsidRPr="00B004EE">
        <w:rPr>
          <w:rFonts w:ascii="Tahoma" w:hAnsi="Tahoma" w:cs="Tahoma"/>
          <w:b w:val="0"/>
          <w:bCs w:val="0"/>
        </w:rPr>
        <w:t xml:space="preserve"> </w:t>
      </w:r>
      <w:r w:rsidR="002F24E1" w:rsidRPr="00B004EE">
        <w:rPr>
          <w:rFonts w:ascii="Tahoma" w:hAnsi="Tahoma" w:cs="Tahoma"/>
          <w:b w:val="0"/>
          <w:bCs w:val="0"/>
        </w:rPr>
        <w:t>ne</w:t>
      </w:r>
      <w:r w:rsidR="00DB1635" w:rsidRPr="00B004EE">
        <w:rPr>
          <w:rFonts w:ascii="Tahoma" w:hAnsi="Tahoma" w:cs="Tahoma"/>
          <w:b w:val="0"/>
          <w:bCs w:val="0"/>
        </w:rPr>
        <w:t xml:space="preserve"> </w:t>
      </w:r>
      <w:r w:rsidR="002F24E1" w:rsidRPr="00B004EE">
        <w:rPr>
          <w:rFonts w:ascii="Tahoma" w:hAnsi="Tahoma" w:cs="Tahoma"/>
          <w:b w:val="0"/>
          <w:bCs w:val="0"/>
        </w:rPr>
        <w:t>peuvent</w:t>
      </w:r>
      <w:r w:rsidR="00DB1635" w:rsidRPr="00B004EE">
        <w:rPr>
          <w:rFonts w:ascii="Tahoma" w:hAnsi="Tahoma" w:cs="Tahoma"/>
          <w:b w:val="0"/>
          <w:bCs w:val="0"/>
        </w:rPr>
        <w:t xml:space="preserve"> </w:t>
      </w:r>
      <w:r w:rsidR="002F24E1" w:rsidRPr="00B004EE">
        <w:rPr>
          <w:rFonts w:ascii="Tahoma" w:hAnsi="Tahoma" w:cs="Tahoma"/>
          <w:b w:val="0"/>
          <w:bCs w:val="0"/>
        </w:rPr>
        <w:t>être</w:t>
      </w:r>
      <w:r w:rsidR="00DB1635" w:rsidRPr="00B004EE">
        <w:rPr>
          <w:rFonts w:ascii="Tahoma" w:hAnsi="Tahoma" w:cs="Tahoma"/>
          <w:b w:val="0"/>
          <w:bCs w:val="0"/>
        </w:rPr>
        <w:t xml:space="preserve"> </w:t>
      </w:r>
      <w:r w:rsidR="002F24E1" w:rsidRPr="00B004EE">
        <w:rPr>
          <w:rFonts w:ascii="Tahoma" w:hAnsi="Tahoma" w:cs="Tahoma"/>
          <w:b w:val="0"/>
          <w:bCs w:val="0"/>
        </w:rPr>
        <w:t>autorisés</w:t>
      </w:r>
      <w:r w:rsidR="00DB1635" w:rsidRPr="00B004EE">
        <w:rPr>
          <w:rFonts w:ascii="Tahoma" w:hAnsi="Tahoma" w:cs="Tahoma"/>
          <w:b w:val="0"/>
          <w:bCs w:val="0"/>
        </w:rPr>
        <w:t xml:space="preserve"> </w:t>
      </w:r>
      <w:r w:rsidR="002F24E1" w:rsidRPr="00B004EE">
        <w:rPr>
          <w:rFonts w:ascii="Tahoma" w:hAnsi="Tahoma" w:cs="Tahoma"/>
          <w:b w:val="0"/>
          <w:bCs w:val="0"/>
        </w:rPr>
        <w:t>que</w:t>
      </w:r>
      <w:r w:rsidR="00DB1635" w:rsidRPr="00B004EE">
        <w:rPr>
          <w:rFonts w:ascii="Tahoma" w:hAnsi="Tahoma" w:cs="Tahoma"/>
          <w:b w:val="0"/>
          <w:bCs w:val="0"/>
        </w:rPr>
        <w:t xml:space="preserve"> </w:t>
      </w:r>
      <w:r w:rsidR="002F24E1" w:rsidRPr="00B004EE">
        <w:rPr>
          <w:rFonts w:ascii="Tahoma" w:hAnsi="Tahoma" w:cs="Tahoma"/>
          <w:b w:val="0"/>
          <w:bCs w:val="0"/>
        </w:rPr>
        <w:t>pour</w:t>
      </w:r>
      <w:r w:rsidR="00DB1635" w:rsidRPr="00B004EE">
        <w:rPr>
          <w:rFonts w:ascii="Tahoma" w:hAnsi="Tahoma" w:cs="Tahoma"/>
          <w:b w:val="0"/>
          <w:bCs w:val="0"/>
        </w:rPr>
        <w:t xml:space="preserve"> </w:t>
      </w:r>
      <w:r w:rsidR="002F24E1" w:rsidRPr="00B004EE">
        <w:rPr>
          <w:rFonts w:ascii="Tahoma" w:hAnsi="Tahoma" w:cs="Tahoma"/>
          <w:b w:val="0"/>
          <w:bCs w:val="0"/>
        </w:rPr>
        <w:t>des</w:t>
      </w:r>
      <w:r w:rsidR="00DB1635" w:rsidRPr="00B004EE">
        <w:rPr>
          <w:rFonts w:ascii="Tahoma" w:hAnsi="Tahoma" w:cs="Tahoma"/>
          <w:b w:val="0"/>
          <w:bCs w:val="0"/>
        </w:rPr>
        <w:t xml:space="preserve"> </w:t>
      </w:r>
      <w:r w:rsidR="002F24E1" w:rsidRPr="00B004EE">
        <w:rPr>
          <w:rFonts w:ascii="Tahoma" w:hAnsi="Tahoma" w:cs="Tahoma"/>
          <w:b w:val="0"/>
          <w:bCs w:val="0"/>
        </w:rPr>
        <w:t>produits</w:t>
      </w:r>
      <w:r w:rsidR="00DB1635" w:rsidRPr="00B004EE">
        <w:rPr>
          <w:rFonts w:ascii="Tahoma" w:hAnsi="Tahoma" w:cs="Tahoma"/>
          <w:b w:val="0"/>
          <w:bCs w:val="0"/>
        </w:rPr>
        <w:t xml:space="preserve"> </w:t>
      </w:r>
      <w:r w:rsidR="002F24E1" w:rsidRPr="00B004EE">
        <w:rPr>
          <w:rFonts w:ascii="Tahoma" w:hAnsi="Tahoma" w:cs="Tahoma"/>
          <w:b w:val="0"/>
          <w:bCs w:val="0"/>
        </w:rPr>
        <w:t>ayant</w:t>
      </w:r>
      <w:r w:rsidR="00DB1635" w:rsidRPr="00B004EE">
        <w:rPr>
          <w:rFonts w:ascii="Tahoma" w:hAnsi="Tahoma" w:cs="Tahoma"/>
          <w:b w:val="0"/>
          <w:bCs w:val="0"/>
        </w:rPr>
        <w:t xml:space="preserve"> </w:t>
      </w:r>
      <w:r w:rsidR="002F24E1" w:rsidRPr="00B004EE">
        <w:rPr>
          <w:rFonts w:ascii="Tahoma" w:hAnsi="Tahoma" w:cs="Tahoma"/>
          <w:b w:val="0"/>
          <w:bCs w:val="0"/>
        </w:rPr>
        <w:t>fait</w:t>
      </w:r>
      <w:r w:rsidR="00DB1635" w:rsidRPr="00B004EE">
        <w:rPr>
          <w:rFonts w:ascii="Tahoma" w:hAnsi="Tahoma" w:cs="Tahoma"/>
          <w:b w:val="0"/>
          <w:bCs w:val="0"/>
        </w:rPr>
        <w:t xml:space="preserve"> </w:t>
      </w:r>
      <w:r w:rsidR="002F24E1" w:rsidRPr="00B004EE">
        <w:rPr>
          <w:rFonts w:ascii="Tahoma" w:hAnsi="Tahoma" w:cs="Tahoma"/>
          <w:b w:val="0"/>
          <w:bCs w:val="0"/>
        </w:rPr>
        <w:t>l'objet</w:t>
      </w:r>
      <w:r w:rsidR="00DB1635" w:rsidRPr="00B004EE">
        <w:rPr>
          <w:rFonts w:ascii="Tahoma" w:hAnsi="Tahoma" w:cs="Tahoma"/>
          <w:b w:val="0"/>
          <w:bCs w:val="0"/>
        </w:rPr>
        <w:t xml:space="preserve"> </w:t>
      </w:r>
      <w:r w:rsidR="002F24E1" w:rsidRPr="00B004EE">
        <w:rPr>
          <w:rFonts w:ascii="Tahoma" w:hAnsi="Tahoma" w:cs="Tahoma"/>
          <w:b w:val="0"/>
          <w:bCs w:val="0"/>
        </w:rPr>
        <w:t>d'une</w:t>
      </w:r>
      <w:r w:rsidR="00DB1635" w:rsidRPr="00B004EE">
        <w:rPr>
          <w:rFonts w:ascii="Tahoma" w:hAnsi="Tahoma" w:cs="Tahoma"/>
          <w:b w:val="0"/>
          <w:bCs w:val="0"/>
        </w:rPr>
        <w:t xml:space="preserve"> </w:t>
      </w:r>
      <w:r w:rsidR="002F24E1" w:rsidRPr="00B004EE">
        <w:rPr>
          <w:rFonts w:ascii="Tahoma" w:hAnsi="Tahoma" w:cs="Tahoma"/>
          <w:b w:val="0"/>
          <w:bCs w:val="0"/>
        </w:rPr>
        <w:t>inspection</w:t>
      </w:r>
      <w:r w:rsidR="00DB1635" w:rsidRPr="00B004EE">
        <w:rPr>
          <w:rFonts w:ascii="Tahoma" w:hAnsi="Tahoma" w:cs="Tahoma"/>
          <w:b w:val="0"/>
          <w:bCs w:val="0"/>
        </w:rPr>
        <w:t xml:space="preserve"> </w:t>
      </w:r>
      <w:r w:rsidR="002F24E1" w:rsidRPr="00B004EE">
        <w:rPr>
          <w:rFonts w:ascii="Tahoma" w:hAnsi="Tahoma" w:cs="Tahoma"/>
          <w:b w:val="0"/>
          <w:bCs w:val="0"/>
        </w:rPr>
        <w:t>sanitaire</w:t>
      </w:r>
      <w:r w:rsidR="00DB1635" w:rsidRPr="00B004EE">
        <w:rPr>
          <w:rFonts w:ascii="Tahoma" w:hAnsi="Tahoma" w:cs="Tahoma"/>
          <w:b w:val="0"/>
          <w:bCs w:val="0"/>
        </w:rPr>
        <w:t xml:space="preserve"> </w:t>
      </w:r>
      <w:r w:rsidR="002F24E1" w:rsidRPr="00B004EE">
        <w:rPr>
          <w:rFonts w:ascii="Tahoma" w:hAnsi="Tahoma" w:cs="Tahoma"/>
          <w:b w:val="0"/>
          <w:bCs w:val="0"/>
        </w:rPr>
        <w:t>par</w:t>
      </w:r>
      <w:r w:rsidR="00DB1635" w:rsidRPr="00B004EE">
        <w:rPr>
          <w:rFonts w:ascii="Tahoma" w:hAnsi="Tahoma" w:cs="Tahoma"/>
          <w:b w:val="0"/>
          <w:bCs w:val="0"/>
        </w:rPr>
        <w:t xml:space="preserve"> </w:t>
      </w:r>
      <w:r w:rsidR="002F24E1" w:rsidRPr="00B004EE">
        <w:rPr>
          <w:rFonts w:ascii="Tahoma" w:hAnsi="Tahoma" w:cs="Tahoma"/>
          <w:b w:val="0"/>
          <w:bCs w:val="0"/>
        </w:rPr>
        <w:t>les</w:t>
      </w:r>
      <w:r w:rsidR="00DB1635" w:rsidRPr="00B004EE">
        <w:rPr>
          <w:rFonts w:ascii="Tahoma" w:hAnsi="Tahoma" w:cs="Tahoma"/>
          <w:b w:val="0"/>
          <w:bCs w:val="0"/>
        </w:rPr>
        <w:t xml:space="preserve"> </w:t>
      </w:r>
      <w:r w:rsidR="002F24E1" w:rsidRPr="00B004EE">
        <w:rPr>
          <w:rFonts w:ascii="Tahoma" w:hAnsi="Tahoma" w:cs="Tahoma"/>
          <w:b w:val="0"/>
          <w:bCs w:val="0"/>
        </w:rPr>
        <w:t>autorités</w:t>
      </w:r>
      <w:r w:rsidR="00DB1635" w:rsidRPr="00B004EE">
        <w:rPr>
          <w:rFonts w:ascii="Tahoma" w:hAnsi="Tahoma" w:cs="Tahoma"/>
          <w:b w:val="0"/>
          <w:bCs w:val="0"/>
        </w:rPr>
        <w:t xml:space="preserve"> </w:t>
      </w:r>
      <w:r w:rsidR="002F24E1" w:rsidRPr="00B004EE">
        <w:rPr>
          <w:rFonts w:ascii="Tahoma" w:hAnsi="Tahoma" w:cs="Tahoma"/>
          <w:b w:val="0"/>
          <w:bCs w:val="0"/>
        </w:rPr>
        <w:t>habilitées.</w:t>
      </w:r>
    </w:p>
    <w:p w14:paraId="0B26F2C0" w14:textId="77777777" w:rsidR="002F24E1" w:rsidRPr="00B004EE" w:rsidRDefault="002F24E1" w:rsidP="00B004EE">
      <w:pPr>
        <w:pStyle w:val="Lgende"/>
        <w:jc w:val="both"/>
        <w:rPr>
          <w:rFonts w:ascii="Tahoma" w:hAnsi="Tahoma" w:cs="Tahoma"/>
          <w:b w:val="0"/>
          <w:bCs w:val="0"/>
        </w:rPr>
      </w:pPr>
    </w:p>
    <w:p w14:paraId="703B73B5" w14:textId="1083DE8B" w:rsidR="002F24E1" w:rsidRPr="00B004EE" w:rsidRDefault="00561F81" w:rsidP="00B004EE">
      <w:pPr>
        <w:pStyle w:val="Lgende"/>
        <w:jc w:val="both"/>
        <w:rPr>
          <w:rFonts w:ascii="Tahoma" w:hAnsi="Tahoma" w:cs="Tahoma"/>
          <w:b w:val="0"/>
          <w:bCs w:val="0"/>
        </w:rPr>
      </w:pPr>
      <w:r w:rsidRPr="00B004EE">
        <w:rPr>
          <w:rFonts w:ascii="Tahoma" w:hAnsi="Tahoma" w:cs="Tahoma"/>
          <w:b w:val="0"/>
          <w:bCs w:val="0"/>
        </w:rPr>
        <w:t xml:space="preserve">Article </w:t>
      </w:r>
      <w:r w:rsidR="002F24E1" w:rsidRPr="00B004EE">
        <w:rPr>
          <w:rFonts w:ascii="Tahoma" w:hAnsi="Tahoma" w:cs="Tahoma"/>
          <w:b w:val="0"/>
          <w:bCs w:val="0"/>
        </w:rPr>
        <w:t>12</w:t>
      </w:r>
      <w:r w:rsidR="00DB1635" w:rsidRPr="00B004EE">
        <w:rPr>
          <w:rFonts w:ascii="Tahoma" w:hAnsi="Tahoma" w:cs="Tahoma"/>
          <w:b w:val="0"/>
          <w:bCs w:val="0"/>
        </w:rPr>
        <w:t xml:space="preserve"> </w:t>
      </w:r>
      <w:r w:rsidR="002F24E1" w:rsidRPr="00B004EE">
        <w:rPr>
          <w:rFonts w:ascii="Tahoma" w:hAnsi="Tahoma" w:cs="Tahoma"/>
          <w:b w:val="0"/>
          <w:bCs w:val="0"/>
        </w:rPr>
        <w:t>:</w:t>
      </w:r>
      <w:r w:rsidR="00DB1635" w:rsidRPr="00B004EE">
        <w:rPr>
          <w:rFonts w:ascii="Tahoma" w:hAnsi="Tahoma" w:cs="Tahoma"/>
          <w:b w:val="0"/>
          <w:bCs w:val="0"/>
        </w:rPr>
        <w:t xml:space="preserve"> </w:t>
      </w:r>
      <w:r w:rsidR="002F24E1" w:rsidRPr="00B004EE">
        <w:rPr>
          <w:rFonts w:ascii="Tahoma" w:hAnsi="Tahoma" w:cs="Tahoma"/>
          <w:b w:val="0"/>
          <w:bCs w:val="0"/>
        </w:rPr>
        <w:t>Tous</w:t>
      </w:r>
      <w:r w:rsidR="00DB1635" w:rsidRPr="00B004EE">
        <w:rPr>
          <w:rFonts w:ascii="Tahoma" w:hAnsi="Tahoma" w:cs="Tahoma"/>
          <w:b w:val="0"/>
          <w:bCs w:val="0"/>
        </w:rPr>
        <w:t xml:space="preserve"> </w:t>
      </w:r>
      <w:r w:rsidR="002F24E1" w:rsidRPr="00B004EE">
        <w:rPr>
          <w:rFonts w:ascii="Tahoma" w:hAnsi="Tahoma" w:cs="Tahoma"/>
          <w:b w:val="0"/>
          <w:bCs w:val="0"/>
        </w:rPr>
        <w:t>les</w:t>
      </w:r>
      <w:r w:rsidR="00DB1635" w:rsidRPr="00B004EE">
        <w:rPr>
          <w:rFonts w:ascii="Tahoma" w:hAnsi="Tahoma" w:cs="Tahoma"/>
          <w:b w:val="0"/>
          <w:bCs w:val="0"/>
        </w:rPr>
        <w:t xml:space="preserve"> </w:t>
      </w:r>
      <w:r w:rsidR="002F24E1" w:rsidRPr="00B004EE">
        <w:rPr>
          <w:rFonts w:ascii="Tahoma" w:hAnsi="Tahoma" w:cs="Tahoma"/>
          <w:b w:val="0"/>
          <w:bCs w:val="0"/>
        </w:rPr>
        <w:t>produits</w:t>
      </w:r>
      <w:r w:rsidR="00DB1635" w:rsidRPr="00B004EE">
        <w:rPr>
          <w:rFonts w:ascii="Tahoma" w:hAnsi="Tahoma" w:cs="Tahoma"/>
          <w:b w:val="0"/>
          <w:bCs w:val="0"/>
        </w:rPr>
        <w:t xml:space="preserve"> </w:t>
      </w:r>
      <w:r w:rsidR="002F24E1" w:rsidRPr="00B004EE">
        <w:rPr>
          <w:rFonts w:ascii="Tahoma" w:hAnsi="Tahoma" w:cs="Tahoma"/>
          <w:b w:val="0"/>
          <w:bCs w:val="0"/>
        </w:rPr>
        <w:t>de</w:t>
      </w:r>
      <w:r w:rsidR="00DB1635" w:rsidRPr="00B004EE">
        <w:rPr>
          <w:rFonts w:ascii="Tahoma" w:hAnsi="Tahoma" w:cs="Tahoma"/>
          <w:b w:val="0"/>
          <w:bCs w:val="0"/>
        </w:rPr>
        <w:t xml:space="preserve"> </w:t>
      </w:r>
      <w:r w:rsidR="002F24E1" w:rsidRPr="00B004EE">
        <w:rPr>
          <w:rFonts w:ascii="Tahoma" w:hAnsi="Tahoma" w:cs="Tahoma"/>
          <w:b w:val="0"/>
          <w:bCs w:val="0"/>
        </w:rPr>
        <w:t>la</w:t>
      </w:r>
      <w:r w:rsidR="00DB1635" w:rsidRPr="00B004EE">
        <w:rPr>
          <w:rFonts w:ascii="Tahoma" w:hAnsi="Tahoma" w:cs="Tahoma"/>
          <w:b w:val="0"/>
          <w:bCs w:val="0"/>
        </w:rPr>
        <w:t xml:space="preserve"> </w:t>
      </w:r>
      <w:r w:rsidR="002F24E1" w:rsidRPr="00B004EE">
        <w:rPr>
          <w:rFonts w:ascii="Tahoma" w:hAnsi="Tahoma" w:cs="Tahoma"/>
          <w:b w:val="0"/>
          <w:bCs w:val="0"/>
        </w:rPr>
        <w:t>pêche</w:t>
      </w:r>
      <w:r w:rsidR="00DB1635" w:rsidRPr="00B004EE">
        <w:rPr>
          <w:rFonts w:ascii="Tahoma" w:hAnsi="Tahoma" w:cs="Tahoma"/>
          <w:b w:val="0"/>
          <w:bCs w:val="0"/>
        </w:rPr>
        <w:t xml:space="preserve"> </w:t>
      </w:r>
      <w:r w:rsidR="002F24E1" w:rsidRPr="00B004EE">
        <w:rPr>
          <w:rFonts w:ascii="Tahoma" w:hAnsi="Tahoma" w:cs="Tahoma"/>
          <w:b w:val="0"/>
          <w:bCs w:val="0"/>
        </w:rPr>
        <w:t>doivent</w:t>
      </w:r>
      <w:r w:rsidR="00DB1635" w:rsidRPr="00B004EE">
        <w:rPr>
          <w:rFonts w:ascii="Tahoma" w:hAnsi="Tahoma" w:cs="Tahoma"/>
          <w:b w:val="0"/>
          <w:bCs w:val="0"/>
        </w:rPr>
        <w:t xml:space="preserve"> </w:t>
      </w:r>
      <w:r w:rsidR="002F24E1" w:rsidRPr="00B004EE">
        <w:rPr>
          <w:rFonts w:ascii="Tahoma" w:hAnsi="Tahoma" w:cs="Tahoma"/>
          <w:b w:val="0"/>
          <w:bCs w:val="0"/>
        </w:rPr>
        <w:t>satisfaire</w:t>
      </w:r>
      <w:r w:rsidR="00DB1635" w:rsidRPr="00B004EE">
        <w:rPr>
          <w:rFonts w:ascii="Tahoma" w:hAnsi="Tahoma" w:cs="Tahoma"/>
          <w:b w:val="0"/>
          <w:bCs w:val="0"/>
        </w:rPr>
        <w:t xml:space="preserve"> </w:t>
      </w:r>
      <w:r w:rsidR="002F24E1" w:rsidRPr="00B004EE">
        <w:rPr>
          <w:rFonts w:ascii="Tahoma" w:hAnsi="Tahoma" w:cs="Tahoma"/>
          <w:b w:val="0"/>
          <w:bCs w:val="0"/>
        </w:rPr>
        <w:t>aux</w:t>
      </w:r>
      <w:r w:rsidR="00DB1635" w:rsidRPr="00B004EE">
        <w:rPr>
          <w:rFonts w:ascii="Tahoma" w:hAnsi="Tahoma" w:cs="Tahoma"/>
          <w:b w:val="0"/>
          <w:bCs w:val="0"/>
        </w:rPr>
        <w:t xml:space="preserve"> </w:t>
      </w:r>
      <w:r w:rsidR="002F24E1" w:rsidRPr="00B004EE">
        <w:rPr>
          <w:rFonts w:ascii="Tahoma" w:hAnsi="Tahoma" w:cs="Tahoma"/>
          <w:b w:val="0"/>
          <w:bCs w:val="0"/>
        </w:rPr>
        <w:t>exigences</w:t>
      </w:r>
      <w:r w:rsidR="00DB1635" w:rsidRPr="00B004EE">
        <w:rPr>
          <w:rFonts w:ascii="Tahoma" w:hAnsi="Tahoma" w:cs="Tahoma"/>
          <w:b w:val="0"/>
          <w:bCs w:val="0"/>
        </w:rPr>
        <w:t xml:space="preserve"> </w:t>
      </w:r>
      <w:r w:rsidR="002F24E1" w:rsidRPr="00B004EE">
        <w:rPr>
          <w:rFonts w:ascii="Tahoma" w:hAnsi="Tahoma" w:cs="Tahoma"/>
          <w:b w:val="0"/>
          <w:bCs w:val="0"/>
        </w:rPr>
        <w:t>du</w:t>
      </w:r>
      <w:r w:rsidR="00DB1635" w:rsidRPr="00B004EE">
        <w:rPr>
          <w:rFonts w:ascii="Tahoma" w:hAnsi="Tahoma" w:cs="Tahoma"/>
          <w:b w:val="0"/>
          <w:bCs w:val="0"/>
        </w:rPr>
        <w:t xml:space="preserve"> </w:t>
      </w:r>
      <w:r w:rsidR="002F24E1" w:rsidRPr="00B004EE">
        <w:rPr>
          <w:rFonts w:ascii="Tahoma" w:hAnsi="Tahoma" w:cs="Tahoma"/>
          <w:b w:val="0"/>
          <w:bCs w:val="0"/>
        </w:rPr>
        <w:t>contrôle</w:t>
      </w:r>
      <w:r w:rsidR="00DB1635" w:rsidRPr="00B004EE">
        <w:rPr>
          <w:rFonts w:ascii="Tahoma" w:hAnsi="Tahoma" w:cs="Tahoma"/>
          <w:b w:val="0"/>
          <w:bCs w:val="0"/>
        </w:rPr>
        <w:t xml:space="preserve"> </w:t>
      </w:r>
      <w:r w:rsidR="002F24E1" w:rsidRPr="00B004EE">
        <w:rPr>
          <w:rFonts w:ascii="Tahoma" w:hAnsi="Tahoma" w:cs="Tahoma"/>
          <w:b w:val="0"/>
          <w:bCs w:val="0"/>
        </w:rPr>
        <w:t>sanitaire</w:t>
      </w:r>
      <w:r w:rsidR="00DB1635" w:rsidRPr="00B004EE">
        <w:rPr>
          <w:rFonts w:ascii="Tahoma" w:hAnsi="Tahoma" w:cs="Tahoma"/>
          <w:b w:val="0"/>
          <w:bCs w:val="0"/>
        </w:rPr>
        <w:t xml:space="preserve"> </w:t>
      </w:r>
      <w:r w:rsidR="002F24E1" w:rsidRPr="00B004EE">
        <w:rPr>
          <w:rFonts w:ascii="Tahoma" w:hAnsi="Tahoma" w:cs="Tahoma"/>
          <w:b w:val="0"/>
          <w:bCs w:val="0"/>
        </w:rPr>
        <w:t>et</w:t>
      </w:r>
      <w:r w:rsidR="00DB1635" w:rsidRPr="00B004EE">
        <w:rPr>
          <w:rFonts w:ascii="Tahoma" w:hAnsi="Tahoma" w:cs="Tahoma"/>
          <w:b w:val="0"/>
          <w:bCs w:val="0"/>
        </w:rPr>
        <w:t xml:space="preserve"> </w:t>
      </w:r>
      <w:r w:rsidR="002F24E1" w:rsidRPr="00B004EE">
        <w:rPr>
          <w:rFonts w:ascii="Tahoma" w:hAnsi="Tahoma" w:cs="Tahoma"/>
          <w:b w:val="0"/>
          <w:bCs w:val="0"/>
        </w:rPr>
        <w:t>doivent</w:t>
      </w:r>
      <w:r w:rsidR="00DB1635" w:rsidRPr="00B004EE">
        <w:rPr>
          <w:rFonts w:ascii="Tahoma" w:hAnsi="Tahoma" w:cs="Tahoma"/>
          <w:b w:val="0"/>
          <w:bCs w:val="0"/>
        </w:rPr>
        <w:t xml:space="preserve"> </w:t>
      </w:r>
      <w:r w:rsidR="002F24E1" w:rsidRPr="00B004EE">
        <w:rPr>
          <w:rFonts w:ascii="Tahoma" w:hAnsi="Tahoma" w:cs="Tahoma"/>
          <w:b w:val="0"/>
          <w:bCs w:val="0"/>
        </w:rPr>
        <w:t>être</w:t>
      </w:r>
      <w:r w:rsidR="00DB1635" w:rsidRPr="00B004EE">
        <w:rPr>
          <w:rFonts w:ascii="Tahoma" w:hAnsi="Tahoma" w:cs="Tahoma"/>
          <w:b w:val="0"/>
          <w:bCs w:val="0"/>
        </w:rPr>
        <w:t xml:space="preserve"> </w:t>
      </w:r>
      <w:r w:rsidR="002F24E1" w:rsidRPr="00B004EE">
        <w:rPr>
          <w:rFonts w:ascii="Tahoma" w:hAnsi="Tahoma" w:cs="Tahoma"/>
          <w:b w:val="0"/>
          <w:bCs w:val="0"/>
        </w:rPr>
        <w:t>nantis</w:t>
      </w:r>
      <w:r w:rsidR="00DB1635" w:rsidRPr="00B004EE">
        <w:rPr>
          <w:rFonts w:ascii="Tahoma" w:hAnsi="Tahoma" w:cs="Tahoma"/>
          <w:b w:val="0"/>
          <w:bCs w:val="0"/>
        </w:rPr>
        <w:t xml:space="preserve"> </w:t>
      </w:r>
      <w:r w:rsidR="002F24E1" w:rsidRPr="00B004EE">
        <w:rPr>
          <w:rFonts w:ascii="Tahoma" w:hAnsi="Tahoma" w:cs="Tahoma"/>
          <w:b w:val="0"/>
          <w:bCs w:val="0"/>
        </w:rPr>
        <w:t>d'un</w:t>
      </w:r>
      <w:r w:rsidR="00DB1635" w:rsidRPr="00B004EE">
        <w:rPr>
          <w:rFonts w:ascii="Tahoma" w:hAnsi="Tahoma" w:cs="Tahoma"/>
          <w:b w:val="0"/>
          <w:bCs w:val="0"/>
        </w:rPr>
        <w:t xml:space="preserve"> </w:t>
      </w:r>
      <w:r w:rsidR="002F24E1" w:rsidRPr="00B004EE">
        <w:rPr>
          <w:rFonts w:ascii="Tahoma" w:hAnsi="Tahoma" w:cs="Tahoma"/>
          <w:b w:val="0"/>
          <w:bCs w:val="0"/>
        </w:rPr>
        <w:t>certificat</w:t>
      </w:r>
      <w:r w:rsidR="00DB1635" w:rsidRPr="00B004EE">
        <w:rPr>
          <w:rFonts w:ascii="Tahoma" w:hAnsi="Tahoma" w:cs="Tahoma"/>
          <w:b w:val="0"/>
          <w:bCs w:val="0"/>
        </w:rPr>
        <w:t xml:space="preserve"> </w:t>
      </w:r>
      <w:r w:rsidR="002F24E1" w:rsidRPr="00B004EE">
        <w:rPr>
          <w:rFonts w:ascii="Tahoma" w:hAnsi="Tahoma" w:cs="Tahoma"/>
          <w:b w:val="0"/>
          <w:bCs w:val="0"/>
        </w:rPr>
        <w:t>de</w:t>
      </w:r>
      <w:r w:rsidR="00DB1635" w:rsidRPr="00B004EE">
        <w:rPr>
          <w:rFonts w:ascii="Tahoma" w:hAnsi="Tahoma" w:cs="Tahoma"/>
          <w:b w:val="0"/>
          <w:bCs w:val="0"/>
        </w:rPr>
        <w:t xml:space="preserve"> </w:t>
      </w:r>
      <w:r w:rsidR="002F24E1" w:rsidRPr="00B004EE">
        <w:rPr>
          <w:rFonts w:ascii="Tahoma" w:hAnsi="Tahoma" w:cs="Tahoma"/>
          <w:b w:val="0"/>
          <w:bCs w:val="0"/>
        </w:rPr>
        <w:t>contrôle,</w:t>
      </w:r>
      <w:r w:rsidR="00DB1635" w:rsidRPr="00B004EE">
        <w:rPr>
          <w:rFonts w:ascii="Tahoma" w:hAnsi="Tahoma" w:cs="Tahoma"/>
          <w:b w:val="0"/>
          <w:bCs w:val="0"/>
        </w:rPr>
        <w:t xml:space="preserve"> </w:t>
      </w:r>
      <w:r w:rsidR="002F24E1" w:rsidRPr="00B004EE">
        <w:rPr>
          <w:rFonts w:ascii="Tahoma" w:hAnsi="Tahoma" w:cs="Tahoma"/>
          <w:b w:val="0"/>
          <w:bCs w:val="0"/>
        </w:rPr>
        <w:t>d'origine</w:t>
      </w:r>
      <w:r w:rsidR="00DB1635" w:rsidRPr="00B004EE">
        <w:rPr>
          <w:rFonts w:ascii="Tahoma" w:hAnsi="Tahoma" w:cs="Tahoma"/>
          <w:b w:val="0"/>
          <w:bCs w:val="0"/>
        </w:rPr>
        <w:t xml:space="preserve"> </w:t>
      </w:r>
      <w:r w:rsidR="002F24E1" w:rsidRPr="00B004EE">
        <w:rPr>
          <w:rFonts w:ascii="Tahoma" w:hAnsi="Tahoma" w:cs="Tahoma"/>
          <w:b w:val="0"/>
          <w:bCs w:val="0"/>
        </w:rPr>
        <w:t>et</w:t>
      </w:r>
      <w:r w:rsidR="00DB1635" w:rsidRPr="00B004EE">
        <w:rPr>
          <w:rFonts w:ascii="Tahoma" w:hAnsi="Tahoma" w:cs="Tahoma"/>
          <w:b w:val="0"/>
          <w:bCs w:val="0"/>
        </w:rPr>
        <w:t xml:space="preserve"> </w:t>
      </w:r>
      <w:r w:rsidR="002F24E1" w:rsidRPr="00B004EE">
        <w:rPr>
          <w:rFonts w:ascii="Tahoma" w:hAnsi="Tahoma" w:cs="Tahoma"/>
          <w:b w:val="0"/>
          <w:bCs w:val="0"/>
        </w:rPr>
        <w:t>de</w:t>
      </w:r>
      <w:r w:rsidR="00DB1635" w:rsidRPr="00B004EE">
        <w:rPr>
          <w:rFonts w:ascii="Tahoma" w:hAnsi="Tahoma" w:cs="Tahoma"/>
          <w:b w:val="0"/>
          <w:bCs w:val="0"/>
        </w:rPr>
        <w:t xml:space="preserve"> </w:t>
      </w:r>
      <w:r w:rsidR="002F24E1" w:rsidRPr="00B004EE">
        <w:rPr>
          <w:rFonts w:ascii="Tahoma" w:hAnsi="Tahoma" w:cs="Tahoma"/>
          <w:b w:val="0"/>
          <w:bCs w:val="0"/>
        </w:rPr>
        <w:t>salubrité.</w:t>
      </w:r>
    </w:p>
    <w:p w14:paraId="33D2DD4B" w14:textId="77777777" w:rsidR="002F24E1" w:rsidRPr="00B004EE" w:rsidRDefault="002F24E1" w:rsidP="00B004EE">
      <w:pPr>
        <w:pStyle w:val="Lgende"/>
        <w:jc w:val="both"/>
        <w:rPr>
          <w:rFonts w:ascii="Tahoma" w:hAnsi="Tahoma" w:cs="Tahoma"/>
          <w:b w:val="0"/>
          <w:bCs w:val="0"/>
        </w:rPr>
      </w:pPr>
    </w:p>
    <w:p w14:paraId="3B804782" w14:textId="02DF7934" w:rsidR="002F24E1" w:rsidRPr="00B004EE" w:rsidRDefault="002F24E1" w:rsidP="00B004EE">
      <w:pPr>
        <w:pStyle w:val="Lgende"/>
        <w:jc w:val="both"/>
        <w:rPr>
          <w:rFonts w:ascii="Tahoma" w:hAnsi="Tahoma" w:cs="Tahoma"/>
          <w:b w:val="0"/>
          <w:bCs w:val="0"/>
        </w:rPr>
      </w:pPr>
      <w:r w:rsidRPr="00B004EE">
        <w:rPr>
          <w:rFonts w:ascii="Tahoma" w:hAnsi="Tahoma" w:cs="Tahoma"/>
          <w:b w:val="0"/>
          <w:bCs w:val="0"/>
        </w:rPr>
        <w:t>Ce</w:t>
      </w:r>
      <w:r w:rsidR="00DB1635" w:rsidRPr="00B004EE">
        <w:rPr>
          <w:rFonts w:ascii="Tahoma" w:hAnsi="Tahoma" w:cs="Tahoma"/>
          <w:b w:val="0"/>
          <w:bCs w:val="0"/>
        </w:rPr>
        <w:t xml:space="preserve"> </w:t>
      </w:r>
      <w:r w:rsidRPr="00B004EE">
        <w:rPr>
          <w:rFonts w:ascii="Tahoma" w:hAnsi="Tahoma" w:cs="Tahoma"/>
          <w:b w:val="0"/>
          <w:bCs w:val="0"/>
        </w:rPr>
        <w:t>document</w:t>
      </w:r>
      <w:r w:rsidR="00DB1635" w:rsidRPr="00B004EE">
        <w:rPr>
          <w:rFonts w:ascii="Tahoma" w:hAnsi="Tahoma" w:cs="Tahoma"/>
          <w:b w:val="0"/>
          <w:bCs w:val="0"/>
        </w:rPr>
        <w:t xml:space="preserve"> </w:t>
      </w:r>
      <w:r w:rsidRPr="00B004EE">
        <w:rPr>
          <w:rFonts w:ascii="Tahoma" w:hAnsi="Tahoma" w:cs="Tahoma"/>
          <w:b w:val="0"/>
          <w:bCs w:val="0"/>
        </w:rPr>
        <w:t>est</w:t>
      </w:r>
      <w:r w:rsidR="00DB1635" w:rsidRPr="00B004EE">
        <w:rPr>
          <w:rFonts w:ascii="Tahoma" w:hAnsi="Tahoma" w:cs="Tahoma"/>
          <w:b w:val="0"/>
          <w:bCs w:val="0"/>
        </w:rPr>
        <w:t xml:space="preserve"> </w:t>
      </w:r>
      <w:r w:rsidRPr="00B004EE">
        <w:rPr>
          <w:rFonts w:ascii="Tahoma" w:hAnsi="Tahoma" w:cs="Tahoma"/>
          <w:b w:val="0"/>
          <w:bCs w:val="0"/>
        </w:rPr>
        <w:t>exigé</w:t>
      </w:r>
      <w:r w:rsidR="00DB1635" w:rsidRPr="00B004EE">
        <w:rPr>
          <w:rFonts w:ascii="Tahoma" w:hAnsi="Tahoma" w:cs="Tahoma"/>
          <w:b w:val="0"/>
          <w:bCs w:val="0"/>
        </w:rPr>
        <w:t xml:space="preserve"> </w:t>
      </w:r>
      <w:r w:rsidRPr="00B004EE">
        <w:rPr>
          <w:rFonts w:ascii="Tahoma" w:hAnsi="Tahoma" w:cs="Tahoma"/>
          <w:b w:val="0"/>
          <w:bCs w:val="0"/>
        </w:rPr>
        <w:t>pour</w:t>
      </w:r>
      <w:r w:rsidR="00DB1635" w:rsidRPr="00B004EE">
        <w:rPr>
          <w:rFonts w:ascii="Tahoma" w:hAnsi="Tahoma" w:cs="Tahoma"/>
          <w:b w:val="0"/>
          <w:bCs w:val="0"/>
        </w:rPr>
        <w:t xml:space="preserve"> </w:t>
      </w:r>
      <w:r w:rsidRPr="00B004EE">
        <w:rPr>
          <w:rFonts w:ascii="Tahoma" w:hAnsi="Tahoma" w:cs="Tahoma"/>
          <w:b w:val="0"/>
          <w:bCs w:val="0"/>
        </w:rPr>
        <w:t>tous</w:t>
      </w:r>
      <w:r w:rsidR="00DB1635" w:rsidRPr="00B004EE">
        <w:rPr>
          <w:rFonts w:ascii="Tahoma" w:hAnsi="Tahoma" w:cs="Tahoma"/>
          <w:b w:val="0"/>
          <w:bCs w:val="0"/>
        </w:rPr>
        <w:t xml:space="preserve"> </w:t>
      </w:r>
      <w:r w:rsidRPr="00B004EE">
        <w:rPr>
          <w:rFonts w:ascii="Tahoma" w:hAnsi="Tahoma" w:cs="Tahoma"/>
          <w:b w:val="0"/>
          <w:bCs w:val="0"/>
        </w:rPr>
        <w:t>les</w:t>
      </w:r>
      <w:r w:rsidR="00DB1635" w:rsidRPr="00B004EE">
        <w:rPr>
          <w:rFonts w:ascii="Tahoma" w:hAnsi="Tahoma" w:cs="Tahoma"/>
          <w:b w:val="0"/>
          <w:bCs w:val="0"/>
        </w:rPr>
        <w:t xml:space="preserve"> </w:t>
      </w:r>
      <w:r w:rsidRPr="00B004EE">
        <w:rPr>
          <w:rFonts w:ascii="Tahoma" w:hAnsi="Tahoma" w:cs="Tahoma"/>
          <w:b w:val="0"/>
          <w:bCs w:val="0"/>
        </w:rPr>
        <w:t>produits</w:t>
      </w:r>
      <w:r w:rsidR="00DB1635" w:rsidRPr="00B004EE">
        <w:rPr>
          <w:rFonts w:ascii="Tahoma" w:hAnsi="Tahoma" w:cs="Tahoma"/>
          <w:b w:val="0"/>
          <w:bCs w:val="0"/>
        </w:rPr>
        <w:t xml:space="preserve"> </w:t>
      </w:r>
      <w:r w:rsidRPr="00B004EE">
        <w:rPr>
          <w:rFonts w:ascii="Tahoma" w:hAnsi="Tahoma" w:cs="Tahoma"/>
          <w:b w:val="0"/>
          <w:bCs w:val="0"/>
        </w:rPr>
        <w:t>de</w:t>
      </w:r>
      <w:r w:rsidR="00DB1635" w:rsidRPr="00B004EE">
        <w:rPr>
          <w:rFonts w:ascii="Tahoma" w:hAnsi="Tahoma" w:cs="Tahoma"/>
          <w:b w:val="0"/>
          <w:bCs w:val="0"/>
        </w:rPr>
        <w:t xml:space="preserve"> </w:t>
      </w:r>
      <w:r w:rsidRPr="00B004EE">
        <w:rPr>
          <w:rFonts w:ascii="Tahoma" w:hAnsi="Tahoma" w:cs="Tahoma"/>
          <w:b w:val="0"/>
          <w:bCs w:val="0"/>
        </w:rPr>
        <w:t>la</w:t>
      </w:r>
      <w:r w:rsidR="00DB1635" w:rsidRPr="00B004EE">
        <w:rPr>
          <w:rFonts w:ascii="Tahoma" w:hAnsi="Tahoma" w:cs="Tahoma"/>
          <w:b w:val="0"/>
          <w:bCs w:val="0"/>
        </w:rPr>
        <w:t xml:space="preserve"> </w:t>
      </w:r>
      <w:r w:rsidRPr="00B004EE">
        <w:rPr>
          <w:rFonts w:ascii="Tahoma" w:hAnsi="Tahoma" w:cs="Tahoma"/>
          <w:b w:val="0"/>
          <w:bCs w:val="0"/>
        </w:rPr>
        <w:t>pêche,</w:t>
      </w:r>
      <w:r w:rsidR="00DB1635" w:rsidRPr="00B004EE">
        <w:rPr>
          <w:rFonts w:ascii="Tahoma" w:hAnsi="Tahoma" w:cs="Tahoma"/>
          <w:b w:val="0"/>
          <w:bCs w:val="0"/>
        </w:rPr>
        <w:t xml:space="preserve"> </w:t>
      </w:r>
      <w:r w:rsidRPr="00B004EE">
        <w:rPr>
          <w:rFonts w:ascii="Tahoma" w:hAnsi="Tahoma" w:cs="Tahoma"/>
          <w:b w:val="0"/>
          <w:bCs w:val="0"/>
        </w:rPr>
        <w:t>à</w:t>
      </w:r>
      <w:r w:rsidR="00DB1635" w:rsidRPr="00B004EE">
        <w:rPr>
          <w:rFonts w:ascii="Tahoma" w:hAnsi="Tahoma" w:cs="Tahoma"/>
          <w:b w:val="0"/>
          <w:bCs w:val="0"/>
        </w:rPr>
        <w:t xml:space="preserve"> </w:t>
      </w:r>
      <w:r w:rsidRPr="00B004EE">
        <w:rPr>
          <w:rFonts w:ascii="Tahoma" w:hAnsi="Tahoma" w:cs="Tahoma"/>
          <w:b w:val="0"/>
          <w:bCs w:val="0"/>
        </w:rPr>
        <w:t>l'importation</w:t>
      </w:r>
      <w:r w:rsidR="00DB1635" w:rsidRPr="00B004EE">
        <w:rPr>
          <w:rFonts w:ascii="Tahoma" w:hAnsi="Tahoma" w:cs="Tahoma"/>
          <w:b w:val="0"/>
          <w:bCs w:val="0"/>
        </w:rPr>
        <w:t xml:space="preserve"> </w:t>
      </w:r>
      <w:r w:rsidRPr="00B004EE">
        <w:rPr>
          <w:rFonts w:ascii="Tahoma" w:hAnsi="Tahoma" w:cs="Tahoma"/>
          <w:b w:val="0"/>
          <w:bCs w:val="0"/>
        </w:rPr>
        <w:t>et</w:t>
      </w:r>
      <w:r w:rsidR="00DB1635" w:rsidRPr="00B004EE">
        <w:rPr>
          <w:rFonts w:ascii="Tahoma" w:hAnsi="Tahoma" w:cs="Tahoma"/>
          <w:b w:val="0"/>
          <w:bCs w:val="0"/>
        </w:rPr>
        <w:t xml:space="preserve"> </w:t>
      </w:r>
      <w:r w:rsidRPr="00B004EE">
        <w:rPr>
          <w:rFonts w:ascii="Tahoma" w:hAnsi="Tahoma" w:cs="Tahoma"/>
          <w:b w:val="0"/>
          <w:bCs w:val="0"/>
        </w:rPr>
        <w:t>à</w:t>
      </w:r>
      <w:r w:rsidR="00DB1635" w:rsidRPr="00B004EE">
        <w:rPr>
          <w:rFonts w:ascii="Tahoma" w:hAnsi="Tahoma" w:cs="Tahoma"/>
          <w:b w:val="0"/>
          <w:bCs w:val="0"/>
        </w:rPr>
        <w:t xml:space="preserve"> </w:t>
      </w:r>
      <w:r w:rsidRPr="00B004EE">
        <w:rPr>
          <w:rFonts w:ascii="Tahoma" w:hAnsi="Tahoma" w:cs="Tahoma"/>
          <w:b w:val="0"/>
          <w:bCs w:val="0"/>
        </w:rPr>
        <w:t>l'exportation,</w:t>
      </w:r>
      <w:r w:rsidR="00DB1635" w:rsidRPr="00B004EE">
        <w:rPr>
          <w:rFonts w:ascii="Tahoma" w:hAnsi="Tahoma" w:cs="Tahoma"/>
          <w:b w:val="0"/>
          <w:bCs w:val="0"/>
        </w:rPr>
        <w:t xml:space="preserve"> </w:t>
      </w:r>
      <w:r w:rsidRPr="00B004EE">
        <w:rPr>
          <w:rFonts w:ascii="Tahoma" w:hAnsi="Tahoma" w:cs="Tahoma"/>
          <w:b w:val="0"/>
          <w:bCs w:val="0"/>
        </w:rPr>
        <w:t>ainsi</w:t>
      </w:r>
      <w:r w:rsidR="00DB1635" w:rsidRPr="00B004EE">
        <w:rPr>
          <w:rFonts w:ascii="Tahoma" w:hAnsi="Tahoma" w:cs="Tahoma"/>
          <w:b w:val="0"/>
          <w:bCs w:val="0"/>
        </w:rPr>
        <w:t xml:space="preserve"> </w:t>
      </w:r>
      <w:r w:rsidRPr="00B004EE">
        <w:rPr>
          <w:rFonts w:ascii="Tahoma" w:hAnsi="Tahoma" w:cs="Tahoma"/>
          <w:b w:val="0"/>
          <w:bCs w:val="0"/>
        </w:rPr>
        <w:t>que</w:t>
      </w:r>
      <w:r w:rsidR="00DB1635" w:rsidRPr="00B004EE">
        <w:rPr>
          <w:rFonts w:ascii="Tahoma" w:hAnsi="Tahoma" w:cs="Tahoma"/>
          <w:b w:val="0"/>
          <w:bCs w:val="0"/>
        </w:rPr>
        <w:t xml:space="preserve"> </w:t>
      </w:r>
      <w:r w:rsidRPr="00B004EE">
        <w:rPr>
          <w:rFonts w:ascii="Tahoma" w:hAnsi="Tahoma" w:cs="Tahoma"/>
          <w:b w:val="0"/>
          <w:bCs w:val="0"/>
        </w:rPr>
        <w:t>pour</w:t>
      </w:r>
      <w:r w:rsidR="00DB1635" w:rsidRPr="00B004EE">
        <w:rPr>
          <w:rFonts w:ascii="Tahoma" w:hAnsi="Tahoma" w:cs="Tahoma"/>
          <w:b w:val="0"/>
          <w:bCs w:val="0"/>
        </w:rPr>
        <w:t xml:space="preserve"> </w:t>
      </w:r>
      <w:r w:rsidRPr="00B004EE">
        <w:rPr>
          <w:rFonts w:ascii="Tahoma" w:hAnsi="Tahoma" w:cs="Tahoma"/>
          <w:b w:val="0"/>
          <w:bCs w:val="0"/>
        </w:rPr>
        <w:t>les</w:t>
      </w:r>
      <w:r w:rsidR="00DB1635" w:rsidRPr="00B004EE">
        <w:rPr>
          <w:rFonts w:ascii="Tahoma" w:hAnsi="Tahoma" w:cs="Tahoma"/>
          <w:b w:val="0"/>
          <w:bCs w:val="0"/>
        </w:rPr>
        <w:t xml:space="preserve"> </w:t>
      </w:r>
      <w:r w:rsidRPr="00B004EE">
        <w:rPr>
          <w:rFonts w:ascii="Tahoma" w:hAnsi="Tahoma" w:cs="Tahoma"/>
          <w:b w:val="0"/>
          <w:bCs w:val="0"/>
        </w:rPr>
        <w:t>produits</w:t>
      </w:r>
      <w:r w:rsidR="00DB1635" w:rsidRPr="00B004EE">
        <w:rPr>
          <w:rFonts w:ascii="Tahoma" w:hAnsi="Tahoma" w:cs="Tahoma"/>
          <w:b w:val="0"/>
          <w:bCs w:val="0"/>
        </w:rPr>
        <w:t xml:space="preserve"> </w:t>
      </w:r>
      <w:r w:rsidRPr="00B004EE">
        <w:rPr>
          <w:rFonts w:ascii="Tahoma" w:hAnsi="Tahoma" w:cs="Tahoma"/>
          <w:b w:val="0"/>
          <w:bCs w:val="0"/>
        </w:rPr>
        <w:t>circulant</w:t>
      </w:r>
      <w:r w:rsidR="00DB1635" w:rsidRPr="00B004EE">
        <w:rPr>
          <w:rFonts w:ascii="Tahoma" w:hAnsi="Tahoma" w:cs="Tahoma"/>
          <w:b w:val="0"/>
          <w:bCs w:val="0"/>
        </w:rPr>
        <w:t xml:space="preserve"> </w:t>
      </w:r>
      <w:r w:rsidRPr="00B004EE">
        <w:rPr>
          <w:rFonts w:ascii="Tahoma" w:hAnsi="Tahoma" w:cs="Tahoma"/>
          <w:b w:val="0"/>
          <w:bCs w:val="0"/>
        </w:rPr>
        <w:t>à</w:t>
      </w:r>
      <w:r w:rsidR="00DB1635" w:rsidRPr="00B004EE">
        <w:rPr>
          <w:rFonts w:ascii="Tahoma" w:hAnsi="Tahoma" w:cs="Tahoma"/>
          <w:b w:val="0"/>
          <w:bCs w:val="0"/>
        </w:rPr>
        <w:t xml:space="preserve"> </w:t>
      </w:r>
      <w:r w:rsidRPr="00B004EE">
        <w:rPr>
          <w:rFonts w:ascii="Tahoma" w:hAnsi="Tahoma" w:cs="Tahoma"/>
          <w:b w:val="0"/>
          <w:bCs w:val="0"/>
        </w:rPr>
        <w:t>l'intérieur</w:t>
      </w:r>
      <w:r w:rsidR="00DB1635" w:rsidRPr="00B004EE">
        <w:rPr>
          <w:rFonts w:ascii="Tahoma" w:hAnsi="Tahoma" w:cs="Tahoma"/>
          <w:b w:val="0"/>
          <w:bCs w:val="0"/>
        </w:rPr>
        <w:t xml:space="preserve"> </w:t>
      </w:r>
      <w:r w:rsidRPr="00B004EE">
        <w:rPr>
          <w:rFonts w:ascii="Tahoma" w:hAnsi="Tahoma" w:cs="Tahoma"/>
          <w:b w:val="0"/>
          <w:bCs w:val="0"/>
        </w:rPr>
        <w:t>de</w:t>
      </w:r>
      <w:r w:rsidR="00DB1635" w:rsidRPr="00B004EE">
        <w:rPr>
          <w:rFonts w:ascii="Tahoma" w:hAnsi="Tahoma" w:cs="Tahoma"/>
          <w:b w:val="0"/>
          <w:bCs w:val="0"/>
        </w:rPr>
        <w:t xml:space="preserve"> </w:t>
      </w:r>
      <w:r w:rsidRPr="00B004EE">
        <w:rPr>
          <w:rFonts w:ascii="Tahoma" w:hAnsi="Tahoma" w:cs="Tahoma"/>
          <w:b w:val="0"/>
          <w:bCs w:val="0"/>
        </w:rPr>
        <w:t>la</w:t>
      </w:r>
      <w:r w:rsidR="00DB1635" w:rsidRPr="00B004EE">
        <w:rPr>
          <w:rFonts w:ascii="Tahoma" w:hAnsi="Tahoma" w:cs="Tahoma"/>
          <w:b w:val="0"/>
          <w:bCs w:val="0"/>
        </w:rPr>
        <w:t xml:space="preserve"> </w:t>
      </w:r>
      <w:r w:rsidRPr="00B004EE">
        <w:rPr>
          <w:rFonts w:ascii="Tahoma" w:hAnsi="Tahoma" w:cs="Tahoma"/>
          <w:b w:val="0"/>
          <w:bCs w:val="0"/>
        </w:rPr>
        <w:t>Mauritanie.</w:t>
      </w:r>
    </w:p>
    <w:p w14:paraId="43442815" w14:textId="77777777" w:rsidR="002F24E1" w:rsidRPr="00B004EE" w:rsidRDefault="002F24E1" w:rsidP="00B004EE">
      <w:pPr>
        <w:pStyle w:val="Lgende"/>
        <w:jc w:val="both"/>
        <w:rPr>
          <w:rFonts w:ascii="Tahoma" w:hAnsi="Tahoma" w:cs="Tahoma"/>
          <w:b w:val="0"/>
          <w:bCs w:val="0"/>
        </w:rPr>
      </w:pPr>
    </w:p>
    <w:p w14:paraId="28C29003" w14:textId="7EAF5503" w:rsidR="002F24E1" w:rsidRPr="00B004EE" w:rsidRDefault="002F24E1" w:rsidP="00B004EE">
      <w:pPr>
        <w:pStyle w:val="Lgende"/>
        <w:jc w:val="both"/>
        <w:rPr>
          <w:rFonts w:ascii="Tahoma" w:hAnsi="Tahoma" w:cs="Tahoma"/>
          <w:b w:val="0"/>
          <w:bCs w:val="0"/>
        </w:rPr>
      </w:pPr>
      <w:r w:rsidRPr="00B004EE">
        <w:rPr>
          <w:rFonts w:ascii="Tahoma" w:hAnsi="Tahoma" w:cs="Tahoma"/>
          <w:b w:val="0"/>
          <w:bCs w:val="0"/>
        </w:rPr>
        <w:t>Ce</w:t>
      </w:r>
      <w:r w:rsidR="00DB1635" w:rsidRPr="00B004EE">
        <w:rPr>
          <w:rFonts w:ascii="Tahoma" w:hAnsi="Tahoma" w:cs="Tahoma"/>
          <w:b w:val="0"/>
          <w:bCs w:val="0"/>
        </w:rPr>
        <w:t xml:space="preserve"> </w:t>
      </w:r>
      <w:r w:rsidRPr="00B004EE">
        <w:rPr>
          <w:rFonts w:ascii="Tahoma" w:hAnsi="Tahoma" w:cs="Tahoma"/>
          <w:b w:val="0"/>
          <w:bCs w:val="0"/>
        </w:rPr>
        <w:t>certificat</w:t>
      </w:r>
      <w:r w:rsidR="00DB1635" w:rsidRPr="00B004EE">
        <w:rPr>
          <w:rFonts w:ascii="Tahoma" w:hAnsi="Tahoma" w:cs="Tahoma"/>
          <w:b w:val="0"/>
          <w:bCs w:val="0"/>
        </w:rPr>
        <w:t xml:space="preserve"> </w:t>
      </w:r>
      <w:r w:rsidRPr="00B004EE">
        <w:rPr>
          <w:rFonts w:ascii="Tahoma" w:hAnsi="Tahoma" w:cs="Tahoma"/>
          <w:b w:val="0"/>
          <w:bCs w:val="0"/>
        </w:rPr>
        <w:t>mentionne</w:t>
      </w:r>
      <w:r w:rsidR="00DB1635" w:rsidRPr="00B004EE">
        <w:rPr>
          <w:rFonts w:ascii="Tahoma" w:hAnsi="Tahoma" w:cs="Tahoma"/>
          <w:b w:val="0"/>
          <w:bCs w:val="0"/>
        </w:rPr>
        <w:t xml:space="preserve"> </w:t>
      </w:r>
      <w:r w:rsidRPr="00B004EE">
        <w:rPr>
          <w:rFonts w:ascii="Tahoma" w:hAnsi="Tahoma" w:cs="Tahoma"/>
          <w:b w:val="0"/>
          <w:bCs w:val="0"/>
        </w:rPr>
        <w:t>notamment,</w:t>
      </w:r>
      <w:r w:rsidR="00DB1635" w:rsidRPr="00B004EE">
        <w:rPr>
          <w:rFonts w:ascii="Tahoma" w:hAnsi="Tahoma" w:cs="Tahoma"/>
          <w:b w:val="0"/>
          <w:bCs w:val="0"/>
        </w:rPr>
        <w:t xml:space="preserve"> </w:t>
      </w:r>
      <w:r w:rsidRPr="00B004EE">
        <w:rPr>
          <w:rFonts w:ascii="Tahoma" w:hAnsi="Tahoma" w:cs="Tahoma"/>
          <w:b w:val="0"/>
          <w:bCs w:val="0"/>
        </w:rPr>
        <w:t>l'origine</w:t>
      </w:r>
      <w:r w:rsidR="00DB1635" w:rsidRPr="00B004EE">
        <w:rPr>
          <w:rFonts w:ascii="Tahoma" w:hAnsi="Tahoma" w:cs="Tahoma"/>
          <w:b w:val="0"/>
          <w:bCs w:val="0"/>
        </w:rPr>
        <w:t xml:space="preserve"> </w:t>
      </w:r>
      <w:r w:rsidRPr="00B004EE">
        <w:rPr>
          <w:rFonts w:ascii="Tahoma" w:hAnsi="Tahoma" w:cs="Tahoma"/>
          <w:b w:val="0"/>
          <w:bCs w:val="0"/>
        </w:rPr>
        <w:t>des</w:t>
      </w:r>
      <w:r w:rsidR="00DB1635" w:rsidRPr="00B004EE">
        <w:rPr>
          <w:rFonts w:ascii="Tahoma" w:hAnsi="Tahoma" w:cs="Tahoma"/>
          <w:b w:val="0"/>
          <w:bCs w:val="0"/>
        </w:rPr>
        <w:t xml:space="preserve"> </w:t>
      </w:r>
      <w:r w:rsidRPr="00B004EE">
        <w:rPr>
          <w:rFonts w:ascii="Tahoma" w:hAnsi="Tahoma" w:cs="Tahoma"/>
          <w:b w:val="0"/>
          <w:bCs w:val="0"/>
        </w:rPr>
        <w:t>produits,</w:t>
      </w:r>
      <w:r w:rsidR="00DB1635" w:rsidRPr="00B004EE">
        <w:rPr>
          <w:rFonts w:ascii="Tahoma" w:hAnsi="Tahoma" w:cs="Tahoma"/>
          <w:b w:val="0"/>
          <w:bCs w:val="0"/>
        </w:rPr>
        <w:t xml:space="preserve"> </w:t>
      </w:r>
      <w:r w:rsidRPr="00B004EE">
        <w:rPr>
          <w:rFonts w:ascii="Tahoma" w:hAnsi="Tahoma" w:cs="Tahoma"/>
          <w:b w:val="0"/>
          <w:bCs w:val="0"/>
        </w:rPr>
        <w:t>leur</w:t>
      </w:r>
      <w:r w:rsidR="00DB1635" w:rsidRPr="00B004EE">
        <w:rPr>
          <w:rFonts w:ascii="Tahoma" w:hAnsi="Tahoma" w:cs="Tahoma"/>
          <w:b w:val="0"/>
          <w:bCs w:val="0"/>
        </w:rPr>
        <w:t xml:space="preserve"> </w:t>
      </w:r>
      <w:r w:rsidRPr="00B004EE">
        <w:rPr>
          <w:rFonts w:ascii="Tahoma" w:hAnsi="Tahoma" w:cs="Tahoma"/>
          <w:b w:val="0"/>
          <w:bCs w:val="0"/>
        </w:rPr>
        <w:t>nature,</w:t>
      </w:r>
      <w:r w:rsidR="00DB1635" w:rsidRPr="00B004EE">
        <w:rPr>
          <w:rFonts w:ascii="Tahoma" w:hAnsi="Tahoma" w:cs="Tahoma"/>
          <w:b w:val="0"/>
          <w:bCs w:val="0"/>
        </w:rPr>
        <w:t xml:space="preserve"> </w:t>
      </w:r>
      <w:r w:rsidRPr="00B004EE">
        <w:rPr>
          <w:rFonts w:ascii="Tahoma" w:hAnsi="Tahoma" w:cs="Tahoma"/>
          <w:b w:val="0"/>
          <w:bCs w:val="0"/>
        </w:rPr>
        <w:t>la</w:t>
      </w:r>
      <w:r w:rsidR="00DB1635" w:rsidRPr="00B004EE">
        <w:rPr>
          <w:rFonts w:ascii="Tahoma" w:hAnsi="Tahoma" w:cs="Tahoma"/>
          <w:b w:val="0"/>
          <w:bCs w:val="0"/>
        </w:rPr>
        <w:t xml:space="preserve"> </w:t>
      </w:r>
      <w:r w:rsidRPr="00B004EE">
        <w:rPr>
          <w:rFonts w:ascii="Tahoma" w:hAnsi="Tahoma" w:cs="Tahoma"/>
          <w:b w:val="0"/>
          <w:bCs w:val="0"/>
        </w:rPr>
        <w:t>désignation</w:t>
      </w:r>
      <w:r w:rsidR="00DB1635" w:rsidRPr="00B004EE">
        <w:rPr>
          <w:rFonts w:ascii="Tahoma" w:hAnsi="Tahoma" w:cs="Tahoma"/>
          <w:b w:val="0"/>
          <w:bCs w:val="0"/>
        </w:rPr>
        <w:t xml:space="preserve"> </w:t>
      </w:r>
      <w:r w:rsidRPr="00B004EE">
        <w:rPr>
          <w:rFonts w:ascii="Tahoma" w:hAnsi="Tahoma" w:cs="Tahoma"/>
          <w:b w:val="0"/>
          <w:bCs w:val="0"/>
        </w:rPr>
        <w:t>du</w:t>
      </w:r>
      <w:r w:rsidR="00DB1635" w:rsidRPr="00B004EE">
        <w:rPr>
          <w:rFonts w:ascii="Tahoma" w:hAnsi="Tahoma" w:cs="Tahoma"/>
          <w:b w:val="0"/>
          <w:bCs w:val="0"/>
        </w:rPr>
        <w:t xml:space="preserve"> </w:t>
      </w:r>
      <w:r w:rsidRPr="00B004EE">
        <w:rPr>
          <w:rFonts w:ascii="Tahoma" w:hAnsi="Tahoma" w:cs="Tahoma"/>
          <w:b w:val="0"/>
          <w:bCs w:val="0"/>
        </w:rPr>
        <w:t>nom</w:t>
      </w:r>
      <w:r w:rsidR="00DB1635" w:rsidRPr="00B004EE">
        <w:rPr>
          <w:rFonts w:ascii="Tahoma" w:hAnsi="Tahoma" w:cs="Tahoma"/>
          <w:b w:val="0"/>
          <w:bCs w:val="0"/>
        </w:rPr>
        <w:t xml:space="preserve"> </w:t>
      </w:r>
      <w:r w:rsidRPr="00B004EE">
        <w:rPr>
          <w:rFonts w:ascii="Tahoma" w:hAnsi="Tahoma" w:cs="Tahoma"/>
          <w:b w:val="0"/>
          <w:bCs w:val="0"/>
        </w:rPr>
        <w:t>du</w:t>
      </w:r>
      <w:r w:rsidR="00DB1635" w:rsidRPr="00B004EE">
        <w:rPr>
          <w:rFonts w:ascii="Tahoma" w:hAnsi="Tahoma" w:cs="Tahoma"/>
          <w:b w:val="0"/>
          <w:bCs w:val="0"/>
        </w:rPr>
        <w:t xml:space="preserve"> </w:t>
      </w:r>
      <w:r w:rsidRPr="00B004EE">
        <w:rPr>
          <w:rFonts w:ascii="Tahoma" w:hAnsi="Tahoma" w:cs="Tahoma"/>
          <w:b w:val="0"/>
          <w:bCs w:val="0"/>
        </w:rPr>
        <w:t>produit</w:t>
      </w:r>
      <w:r w:rsidR="00DB1635" w:rsidRPr="00B004EE">
        <w:rPr>
          <w:rFonts w:ascii="Tahoma" w:hAnsi="Tahoma" w:cs="Tahoma"/>
          <w:b w:val="0"/>
          <w:bCs w:val="0"/>
        </w:rPr>
        <w:t xml:space="preserve"> </w:t>
      </w:r>
      <w:r w:rsidRPr="00B004EE">
        <w:rPr>
          <w:rFonts w:ascii="Tahoma" w:hAnsi="Tahoma" w:cs="Tahoma"/>
          <w:b w:val="0"/>
          <w:bCs w:val="0"/>
        </w:rPr>
        <w:t>en</w:t>
      </w:r>
      <w:r w:rsidR="00DB1635" w:rsidRPr="00B004EE">
        <w:rPr>
          <w:rFonts w:ascii="Tahoma" w:hAnsi="Tahoma" w:cs="Tahoma"/>
          <w:b w:val="0"/>
          <w:bCs w:val="0"/>
        </w:rPr>
        <w:t xml:space="preserve"> </w:t>
      </w:r>
      <w:r w:rsidRPr="00B004EE">
        <w:rPr>
          <w:rFonts w:ascii="Tahoma" w:hAnsi="Tahoma" w:cs="Tahoma"/>
          <w:b w:val="0"/>
          <w:bCs w:val="0"/>
        </w:rPr>
        <w:t>langue</w:t>
      </w:r>
      <w:r w:rsidR="00DB1635" w:rsidRPr="00B004EE">
        <w:rPr>
          <w:rFonts w:ascii="Tahoma" w:hAnsi="Tahoma" w:cs="Tahoma"/>
          <w:b w:val="0"/>
          <w:bCs w:val="0"/>
        </w:rPr>
        <w:t xml:space="preserve"> </w:t>
      </w:r>
      <w:r w:rsidRPr="00B004EE">
        <w:rPr>
          <w:rFonts w:ascii="Tahoma" w:hAnsi="Tahoma" w:cs="Tahoma"/>
          <w:b w:val="0"/>
          <w:bCs w:val="0"/>
        </w:rPr>
        <w:t>française</w:t>
      </w:r>
      <w:r w:rsidR="00DB1635" w:rsidRPr="00B004EE">
        <w:rPr>
          <w:rFonts w:ascii="Tahoma" w:hAnsi="Tahoma" w:cs="Tahoma"/>
          <w:b w:val="0"/>
          <w:bCs w:val="0"/>
        </w:rPr>
        <w:t xml:space="preserve"> </w:t>
      </w:r>
      <w:r w:rsidRPr="00B004EE">
        <w:rPr>
          <w:rFonts w:ascii="Tahoma" w:hAnsi="Tahoma" w:cs="Tahoma"/>
          <w:b w:val="0"/>
          <w:bCs w:val="0"/>
        </w:rPr>
        <w:t>ou</w:t>
      </w:r>
      <w:r w:rsidR="00DB1635" w:rsidRPr="00B004EE">
        <w:rPr>
          <w:rFonts w:ascii="Tahoma" w:hAnsi="Tahoma" w:cs="Tahoma"/>
          <w:b w:val="0"/>
          <w:bCs w:val="0"/>
        </w:rPr>
        <w:t xml:space="preserve"> </w:t>
      </w:r>
      <w:r w:rsidRPr="00B004EE">
        <w:rPr>
          <w:rFonts w:ascii="Tahoma" w:hAnsi="Tahoma" w:cs="Tahoma"/>
          <w:b w:val="0"/>
          <w:bCs w:val="0"/>
        </w:rPr>
        <w:t>son</w:t>
      </w:r>
      <w:r w:rsidR="00DB1635" w:rsidRPr="00B004EE">
        <w:rPr>
          <w:rFonts w:ascii="Tahoma" w:hAnsi="Tahoma" w:cs="Tahoma"/>
          <w:b w:val="0"/>
          <w:bCs w:val="0"/>
        </w:rPr>
        <w:t xml:space="preserve"> </w:t>
      </w:r>
      <w:r w:rsidRPr="00B004EE">
        <w:rPr>
          <w:rFonts w:ascii="Tahoma" w:hAnsi="Tahoma" w:cs="Tahoma"/>
          <w:b w:val="0"/>
          <w:bCs w:val="0"/>
        </w:rPr>
        <w:t>nom</w:t>
      </w:r>
      <w:r w:rsidR="00DB1635" w:rsidRPr="00B004EE">
        <w:rPr>
          <w:rFonts w:ascii="Tahoma" w:hAnsi="Tahoma" w:cs="Tahoma"/>
          <w:b w:val="0"/>
          <w:bCs w:val="0"/>
        </w:rPr>
        <w:t xml:space="preserve"> </w:t>
      </w:r>
      <w:r w:rsidRPr="00B004EE">
        <w:rPr>
          <w:rFonts w:ascii="Tahoma" w:hAnsi="Tahoma" w:cs="Tahoma"/>
          <w:b w:val="0"/>
          <w:bCs w:val="0"/>
        </w:rPr>
        <w:t>scientifique,</w:t>
      </w:r>
      <w:r w:rsidR="00DB1635" w:rsidRPr="00B004EE">
        <w:rPr>
          <w:rFonts w:ascii="Tahoma" w:hAnsi="Tahoma" w:cs="Tahoma"/>
          <w:b w:val="0"/>
          <w:bCs w:val="0"/>
        </w:rPr>
        <w:t xml:space="preserve"> </w:t>
      </w:r>
      <w:r w:rsidRPr="00B004EE">
        <w:rPr>
          <w:rFonts w:ascii="Tahoma" w:hAnsi="Tahoma" w:cs="Tahoma"/>
          <w:b w:val="0"/>
          <w:bCs w:val="0"/>
        </w:rPr>
        <w:t>leur</w:t>
      </w:r>
      <w:r w:rsidR="00DB1635" w:rsidRPr="00B004EE">
        <w:rPr>
          <w:rFonts w:ascii="Tahoma" w:hAnsi="Tahoma" w:cs="Tahoma"/>
          <w:b w:val="0"/>
          <w:bCs w:val="0"/>
        </w:rPr>
        <w:t xml:space="preserve"> </w:t>
      </w:r>
      <w:r w:rsidRPr="00B004EE">
        <w:rPr>
          <w:rFonts w:ascii="Tahoma" w:hAnsi="Tahoma" w:cs="Tahoma"/>
          <w:b w:val="0"/>
          <w:bCs w:val="0"/>
        </w:rPr>
        <w:t>poids</w:t>
      </w:r>
      <w:r w:rsidR="00DB1635" w:rsidRPr="00B004EE">
        <w:rPr>
          <w:rFonts w:ascii="Tahoma" w:hAnsi="Tahoma" w:cs="Tahoma"/>
          <w:b w:val="0"/>
          <w:bCs w:val="0"/>
        </w:rPr>
        <w:t xml:space="preserve"> </w:t>
      </w:r>
      <w:r w:rsidRPr="00B004EE">
        <w:rPr>
          <w:rFonts w:ascii="Tahoma" w:hAnsi="Tahoma" w:cs="Tahoma"/>
          <w:b w:val="0"/>
          <w:bCs w:val="0"/>
        </w:rPr>
        <w:t>brut</w:t>
      </w:r>
      <w:r w:rsidR="00DB1635" w:rsidRPr="00B004EE">
        <w:rPr>
          <w:rFonts w:ascii="Tahoma" w:hAnsi="Tahoma" w:cs="Tahoma"/>
          <w:b w:val="0"/>
          <w:bCs w:val="0"/>
        </w:rPr>
        <w:t xml:space="preserve"> </w:t>
      </w:r>
      <w:r w:rsidRPr="00B004EE">
        <w:rPr>
          <w:rFonts w:ascii="Tahoma" w:hAnsi="Tahoma" w:cs="Tahoma"/>
          <w:b w:val="0"/>
          <w:bCs w:val="0"/>
        </w:rPr>
        <w:t>et</w:t>
      </w:r>
      <w:r w:rsidR="00DB1635" w:rsidRPr="00B004EE">
        <w:rPr>
          <w:rFonts w:ascii="Tahoma" w:hAnsi="Tahoma" w:cs="Tahoma"/>
          <w:b w:val="0"/>
          <w:bCs w:val="0"/>
        </w:rPr>
        <w:t xml:space="preserve"> </w:t>
      </w:r>
      <w:r w:rsidRPr="00B004EE">
        <w:rPr>
          <w:rFonts w:ascii="Tahoma" w:hAnsi="Tahoma" w:cs="Tahoma"/>
          <w:b w:val="0"/>
          <w:bCs w:val="0"/>
        </w:rPr>
        <w:t>net,</w:t>
      </w:r>
      <w:r w:rsidR="00DB1635" w:rsidRPr="00B004EE">
        <w:rPr>
          <w:rFonts w:ascii="Tahoma" w:hAnsi="Tahoma" w:cs="Tahoma"/>
          <w:b w:val="0"/>
          <w:bCs w:val="0"/>
        </w:rPr>
        <w:t xml:space="preserve"> </w:t>
      </w:r>
      <w:r w:rsidRPr="00B004EE">
        <w:rPr>
          <w:rFonts w:ascii="Tahoma" w:hAnsi="Tahoma" w:cs="Tahoma"/>
          <w:b w:val="0"/>
          <w:bCs w:val="0"/>
        </w:rPr>
        <w:t>le</w:t>
      </w:r>
      <w:r w:rsidR="00DB1635" w:rsidRPr="00B004EE">
        <w:rPr>
          <w:rFonts w:ascii="Tahoma" w:hAnsi="Tahoma" w:cs="Tahoma"/>
          <w:b w:val="0"/>
          <w:bCs w:val="0"/>
        </w:rPr>
        <w:t xml:space="preserve"> </w:t>
      </w:r>
      <w:r w:rsidRPr="00B004EE">
        <w:rPr>
          <w:rFonts w:ascii="Tahoma" w:hAnsi="Tahoma" w:cs="Tahoma"/>
          <w:b w:val="0"/>
          <w:bCs w:val="0"/>
        </w:rPr>
        <w:t>nombre</w:t>
      </w:r>
      <w:r w:rsidR="00DB1635" w:rsidRPr="00B004EE">
        <w:rPr>
          <w:rFonts w:ascii="Tahoma" w:hAnsi="Tahoma" w:cs="Tahoma"/>
          <w:b w:val="0"/>
          <w:bCs w:val="0"/>
        </w:rPr>
        <w:t xml:space="preserve"> </w:t>
      </w:r>
      <w:r w:rsidRPr="00B004EE">
        <w:rPr>
          <w:rFonts w:ascii="Tahoma" w:hAnsi="Tahoma" w:cs="Tahoma"/>
          <w:b w:val="0"/>
          <w:bCs w:val="0"/>
        </w:rPr>
        <w:t>de</w:t>
      </w:r>
      <w:r w:rsidR="00DB1635" w:rsidRPr="00B004EE">
        <w:rPr>
          <w:rFonts w:ascii="Tahoma" w:hAnsi="Tahoma" w:cs="Tahoma"/>
          <w:b w:val="0"/>
          <w:bCs w:val="0"/>
        </w:rPr>
        <w:t xml:space="preserve"> </w:t>
      </w:r>
      <w:r w:rsidRPr="00B004EE">
        <w:rPr>
          <w:rFonts w:ascii="Tahoma" w:hAnsi="Tahoma" w:cs="Tahoma"/>
          <w:b w:val="0"/>
          <w:bCs w:val="0"/>
        </w:rPr>
        <w:t>colis,</w:t>
      </w:r>
      <w:r w:rsidR="00DB1635" w:rsidRPr="00B004EE">
        <w:rPr>
          <w:rFonts w:ascii="Tahoma" w:hAnsi="Tahoma" w:cs="Tahoma"/>
          <w:b w:val="0"/>
          <w:bCs w:val="0"/>
        </w:rPr>
        <w:t xml:space="preserve"> </w:t>
      </w:r>
      <w:r w:rsidRPr="00B004EE">
        <w:rPr>
          <w:rFonts w:ascii="Tahoma" w:hAnsi="Tahoma" w:cs="Tahoma"/>
          <w:b w:val="0"/>
          <w:bCs w:val="0"/>
        </w:rPr>
        <w:t>la</w:t>
      </w:r>
      <w:r w:rsidR="00DB1635" w:rsidRPr="00B004EE">
        <w:rPr>
          <w:rFonts w:ascii="Tahoma" w:hAnsi="Tahoma" w:cs="Tahoma"/>
          <w:b w:val="0"/>
          <w:bCs w:val="0"/>
        </w:rPr>
        <w:t xml:space="preserve"> </w:t>
      </w:r>
      <w:r w:rsidRPr="00B004EE">
        <w:rPr>
          <w:rFonts w:ascii="Tahoma" w:hAnsi="Tahoma" w:cs="Tahoma"/>
          <w:b w:val="0"/>
          <w:bCs w:val="0"/>
        </w:rPr>
        <w:t>date</w:t>
      </w:r>
      <w:r w:rsidR="00DB1635" w:rsidRPr="00B004EE">
        <w:rPr>
          <w:rFonts w:ascii="Tahoma" w:hAnsi="Tahoma" w:cs="Tahoma"/>
          <w:b w:val="0"/>
          <w:bCs w:val="0"/>
        </w:rPr>
        <w:t xml:space="preserve"> </w:t>
      </w:r>
      <w:r w:rsidRPr="00B004EE">
        <w:rPr>
          <w:rFonts w:ascii="Tahoma" w:hAnsi="Tahoma" w:cs="Tahoma"/>
          <w:b w:val="0"/>
          <w:bCs w:val="0"/>
        </w:rPr>
        <w:t>de</w:t>
      </w:r>
      <w:r w:rsidR="00DB1635" w:rsidRPr="00B004EE">
        <w:rPr>
          <w:rFonts w:ascii="Tahoma" w:hAnsi="Tahoma" w:cs="Tahoma"/>
          <w:b w:val="0"/>
          <w:bCs w:val="0"/>
        </w:rPr>
        <w:t xml:space="preserve"> </w:t>
      </w:r>
      <w:r w:rsidRPr="00B004EE">
        <w:rPr>
          <w:rFonts w:ascii="Tahoma" w:hAnsi="Tahoma" w:cs="Tahoma"/>
          <w:b w:val="0"/>
          <w:bCs w:val="0"/>
        </w:rPr>
        <w:t>l'expédition,</w:t>
      </w:r>
      <w:r w:rsidR="00DB1635" w:rsidRPr="00B004EE">
        <w:rPr>
          <w:rFonts w:ascii="Tahoma" w:hAnsi="Tahoma" w:cs="Tahoma"/>
          <w:b w:val="0"/>
          <w:bCs w:val="0"/>
        </w:rPr>
        <w:t xml:space="preserve"> </w:t>
      </w:r>
      <w:r w:rsidRPr="00B004EE">
        <w:rPr>
          <w:rFonts w:ascii="Tahoma" w:hAnsi="Tahoma" w:cs="Tahoma"/>
          <w:b w:val="0"/>
          <w:bCs w:val="0"/>
        </w:rPr>
        <w:t>la</w:t>
      </w:r>
      <w:r w:rsidR="00DB1635" w:rsidRPr="00B004EE">
        <w:rPr>
          <w:rFonts w:ascii="Tahoma" w:hAnsi="Tahoma" w:cs="Tahoma"/>
          <w:b w:val="0"/>
          <w:bCs w:val="0"/>
        </w:rPr>
        <w:t xml:space="preserve"> </w:t>
      </w:r>
      <w:r w:rsidRPr="00B004EE">
        <w:rPr>
          <w:rFonts w:ascii="Tahoma" w:hAnsi="Tahoma" w:cs="Tahoma"/>
          <w:b w:val="0"/>
          <w:bCs w:val="0"/>
        </w:rPr>
        <w:t>destination</w:t>
      </w:r>
      <w:r w:rsidR="00DB1635" w:rsidRPr="00B004EE">
        <w:rPr>
          <w:rFonts w:ascii="Tahoma" w:hAnsi="Tahoma" w:cs="Tahoma"/>
          <w:b w:val="0"/>
          <w:bCs w:val="0"/>
        </w:rPr>
        <w:t xml:space="preserve"> </w:t>
      </w:r>
      <w:r w:rsidRPr="00B004EE">
        <w:rPr>
          <w:rFonts w:ascii="Tahoma" w:hAnsi="Tahoma" w:cs="Tahoma"/>
          <w:b w:val="0"/>
          <w:bCs w:val="0"/>
        </w:rPr>
        <w:t>et</w:t>
      </w:r>
      <w:r w:rsidR="00DB1635" w:rsidRPr="00B004EE">
        <w:rPr>
          <w:rFonts w:ascii="Tahoma" w:hAnsi="Tahoma" w:cs="Tahoma"/>
          <w:b w:val="0"/>
          <w:bCs w:val="0"/>
        </w:rPr>
        <w:t xml:space="preserve"> </w:t>
      </w:r>
      <w:r w:rsidRPr="00B004EE">
        <w:rPr>
          <w:rFonts w:ascii="Tahoma" w:hAnsi="Tahoma" w:cs="Tahoma"/>
          <w:b w:val="0"/>
          <w:bCs w:val="0"/>
        </w:rPr>
        <w:t>les</w:t>
      </w:r>
      <w:r w:rsidR="00DB1635" w:rsidRPr="00B004EE">
        <w:rPr>
          <w:rFonts w:ascii="Tahoma" w:hAnsi="Tahoma" w:cs="Tahoma"/>
          <w:b w:val="0"/>
          <w:bCs w:val="0"/>
        </w:rPr>
        <w:t xml:space="preserve"> </w:t>
      </w:r>
      <w:r w:rsidRPr="00B004EE">
        <w:rPr>
          <w:rFonts w:ascii="Tahoma" w:hAnsi="Tahoma" w:cs="Tahoma"/>
          <w:b w:val="0"/>
          <w:bCs w:val="0"/>
        </w:rPr>
        <w:t>éventuels</w:t>
      </w:r>
      <w:r w:rsidR="00DB1635" w:rsidRPr="00B004EE">
        <w:rPr>
          <w:rFonts w:ascii="Tahoma" w:hAnsi="Tahoma" w:cs="Tahoma"/>
          <w:b w:val="0"/>
          <w:bCs w:val="0"/>
        </w:rPr>
        <w:t xml:space="preserve"> </w:t>
      </w:r>
      <w:r w:rsidRPr="00B004EE">
        <w:rPr>
          <w:rFonts w:ascii="Tahoma" w:hAnsi="Tahoma" w:cs="Tahoma"/>
          <w:b w:val="0"/>
          <w:bCs w:val="0"/>
        </w:rPr>
        <w:t>renseignements</w:t>
      </w:r>
      <w:r w:rsidR="00DB1635" w:rsidRPr="00B004EE">
        <w:rPr>
          <w:rFonts w:ascii="Tahoma" w:hAnsi="Tahoma" w:cs="Tahoma"/>
          <w:b w:val="0"/>
          <w:bCs w:val="0"/>
        </w:rPr>
        <w:t xml:space="preserve"> </w:t>
      </w:r>
      <w:r w:rsidRPr="00B004EE">
        <w:rPr>
          <w:rFonts w:ascii="Tahoma" w:hAnsi="Tahoma" w:cs="Tahoma"/>
          <w:b w:val="0"/>
          <w:bCs w:val="0"/>
        </w:rPr>
        <w:t>spécifiques</w:t>
      </w:r>
      <w:r w:rsidR="00DB1635" w:rsidRPr="00B004EE">
        <w:rPr>
          <w:rFonts w:ascii="Tahoma" w:hAnsi="Tahoma" w:cs="Tahoma"/>
          <w:b w:val="0"/>
          <w:bCs w:val="0"/>
        </w:rPr>
        <w:t xml:space="preserve"> </w:t>
      </w:r>
      <w:r w:rsidRPr="00B004EE">
        <w:rPr>
          <w:rFonts w:ascii="Tahoma" w:hAnsi="Tahoma" w:cs="Tahoma"/>
          <w:b w:val="0"/>
          <w:bCs w:val="0"/>
        </w:rPr>
        <w:t>aux</w:t>
      </w:r>
      <w:r w:rsidR="00DB1635" w:rsidRPr="00B004EE">
        <w:rPr>
          <w:rFonts w:ascii="Tahoma" w:hAnsi="Tahoma" w:cs="Tahoma"/>
          <w:b w:val="0"/>
          <w:bCs w:val="0"/>
        </w:rPr>
        <w:t xml:space="preserve"> </w:t>
      </w:r>
      <w:r w:rsidRPr="00B004EE">
        <w:rPr>
          <w:rFonts w:ascii="Tahoma" w:hAnsi="Tahoma" w:cs="Tahoma"/>
          <w:b w:val="0"/>
          <w:bCs w:val="0"/>
        </w:rPr>
        <w:t>produits</w:t>
      </w:r>
      <w:r w:rsidR="00DB1635" w:rsidRPr="00B004EE">
        <w:rPr>
          <w:rFonts w:ascii="Tahoma" w:hAnsi="Tahoma" w:cs="Tahoma"/>
          <w:b w:val="0"/>
          <w:bCs w:val="0"/>
        </w:rPr>
        <w:t xml:space="preserve"> </w:t>
      </w:r>
      <w:r w:rsidRPr="00B004EE">
        <w:rPr>
          <w:rFonts w:ascii="Tahoma" w:hAnsi="Tahoma" w:cs="Tahoma"/>
          <w:b w:val="0"/>
          <w:bCs w:val="0"/>
        </w:rPr>
        <w:t>d'importation</w:t>
      </w:r>
      <w:r w:rsidR="00DB1635" w:rsidRPr="00B004EE">
        <w:rPr>
          <w:rFonts w:ascii="Tahoma" w:hAnsi="Tahoma" w:cs="Tahoma"/>
          <w:b w:val="0"/>
          <w:bCs w:val="0"/>
        </w:rPr>
        <w:t xml:space="preserve"> </w:t>
      </w:r>
      <w:r w:rsidRPr="00B004EE">
        <w:rPr>
          <w:rFonts w:ascii="Tahoma" w:hAnsi="Tahoma" w:cs="Tahoma"/>
          <w:b w:val="0"/>
          <w:bCs w:val="0"/>
        </w:rPr>
        <w:t>et</w:t>
      </w:r>
      <w:r w:rsidR="00DB1635" w:rsidRPr="00B004EE">
        <w:rPr>
          <w:rFonts w:ascii="Tahoma" w:hAnsi="Tahoma" w:cs="Tahoma"/>
          <w:b w:val="0"/>
          <w:bCs w:val="0"/>
        </w:rPr>
        <w:t xml:space="preserve"> </w:t>
      </w:r>
      <w:r w:rsidRPr="00B004EE">
        <w:rPr>
          <w:rFonts w:ascii="Tahoma" w:hAnsi="Tahoma" w:cs="Tahoma"/>
          <w:b w:val="0"/>
          <w:bCs w:val="0"/>
        </w:rPr>
        <w:t>d'exportation.</w:t>
      </w:r>
    </w:p>
    <w:p w14:paraId="4B1B8986" w14:textId="77777777" w:rsidR="002F24E1" w:rsidRPr="00B004EE" w:rsidRDefault="002F24E1" w:rsidP="00B004EE">
      <w:pPr>
        <w:pStyle w:val="Lgende"/>
        <w:jc w:val="both"/>
        <w:rPr>
          <w:rFonts w:ascii="Tahoma" w:hAnsi="Tahoma" w:cs="Tahoma"/>
          <w:b w:val="0"/>
          <w:bCs w:val="0"/>
        </w:rPr>
      </w:pPr>
    </w:p>
    <w:p w14:paraId="7A77A9A0" w14:textId="134FCACA" w:rsidR="002F24E1" w:rsidRPr="00B004EE" w:rsidRDefault="002F24E1" w:rsidP="00B004EE">
      <w:pPr>
        <w:pStyle w:val="Lgende"/>
        <w:jc w:val="both"/>
        <w:rPr>
          <w:rFonts w:ascii="Tahoma" w:hAnsi="Tahoma" w:cs="Tahoma"/>
          <w:b w:val="0"/>
          <w:bCs w:val="0"/>
        </w:rPr>
      </w:pPr>
      <w:r w:rsidRPr="00B004EE">
        <w:rPr>
          <w:rFonts w:ascii="Tahoma" w:hAnsi="Tahoma" w:cs="Tahoma"/>
          <w:b w:val="0"/>
          <w:bCs w:val="0"/>
        </w:rPr>
        <w:t>Ce</w:t>
      </w:r>
      <w:r w:rsidR="00DB1635" w:rsidRPr="00B004EE">
        <w:rPr>
          <w:rFonts w:ascii="Tahoma" w:hAnsi="Tahoma" w:cs="Tahoma"/>
          <w:b w:val="0"/>
          <w:bCs w:val="0"/>
        </w:rPr>
        <w:t xml:space="preserve"> </w:t>
      </w:r>
      <w:r w:rsidRPr="00B004EE">
        <w:rPr>
          <w:rFonts w:ascii="Tahoma" w:hAnsi="Tahoma" w:cs="Tahoma"/>
          <w:b w:val="0"/>
          <w:bCs w:val="0"/>
        </w:rPr>
        <w:t>certificat</w:t>
      </w:r>
      <w:r w:rsidR="00DB1635" w:rsidRPr="00B004EE">
        <w:rPr>
          <w:rFonts w:ascii="Tahoma" w:hAnsi="Tahoma" w:cs="Tahoma"/>
          <w:b w:val="0"/>
          <w:bCs w:val="0"/>
        </w:rPr>
        <w:t xml:space="preserve"> </w:t>
      </w:r>
      <w:r w:rsidRPr="00B004EE">
        <w:rPr>
          <w:rFonts w:ascii="Tahoma" w:hAnsi="Tahoma" w:cs="Tahoma"/>
          <w:b w:val="0"/>
          <w:bCs w:val="0"/>
        </w:rPr>
        <w:t>est</w:t>
      </w:r>
      <w:r w:rsidR="00DB1635" w:rsidRPr="00B004EE">
        <w:rPr>
          <w:rFonts w:ascii="Tahoma" w:hAnsi="Tahoma" w:cs="Tahoma"/>
          <w:b w:val="0"/>
          <w:bCs w:val="0"/>
        </w:rPr>
        <w:t xml:space="preserve"> </w:t>
      </w:r>
      <w:r w:rsidRPr="00B004EE">
        <w:rPr>
          <w:rFonts w:ascii="Tahoma" w:hAnsi="Tahoma" w:cs="Tahoma"/>
          <w:b w:val="0"/>
          <w:bCs w:val="0"/>
        </w:rPr>
        <w:t>délivré</w:t>
      </w:r>
      <w:r w:rsidR="00DB1635" w:rsidRPr="00B004EE">
        <w:rPr>
          <w:rFonts w:ascii="Tahoma" w:hAnsi="Tahoma" w:cs="Tahoma"/>
          <w:b w:val="0"/>
          <w:bCs w:val="0"/>
        </w:rPr>
        <w:t xml:space="preserve"> </w:t>
      </w:r>
      <w:r w:rsidRPr="00B004EE">
        <w:rPr>
          <w:rFonts w:ascii="Tahoma" w:hAnsi="Tahoma" w:cs="Tahoma"/>
          <w:b w:val="0"/>
          <w:bCs w:val="0"/>
        </w:rPr>
        <w:t>dans</w:t>
      </w:r>
      <w:r w:rsidR="00DB1635" w:rsidRPr="00B004EE">
        <w:rPr>
          <w:rFonts w:ascii="Tahoma" w:hAnsi="Tahoma" w:cs="Tahoma"/>
          <w:b w:val="0"/>
          <w:bCs w:val="0"/>
        </w:rPr>
        <w:t xml:space="preserve"> </w:t>
      </w:r>
      <w:r w:rsidRPr="00B004EE">
        <w:rPr>
          <w:rFonts w:ascii="Tahoma" w:hAnsi="Tahoma" w:cs="Tahoma"/>
          <w:b w:val="0"/>
          <w:bCs w:val="0"/>
        </w:rPr>
        <w:t>les</w:t>
      </w:r>
      <w:r w:rsidR="00DB1635" w:rsidRPr="00B004EE">
        <w:rPr>
          <w:rFonts w:ascii="Tahoma" w:hAnsi="Tahoma" w:cs="Tahoma"/>
          <w:b w:val="0"/>
          <w:bCs w:val="0"/>
        </w:rPr>
        <w:t xml:space="preserve"> </w:t>
      </w:r>
      <w:r w:rsidRPr="00B004EE">
        <w:rPr>
          <w:rFonts w:ascii="Tahoma" w:hAnsi="Tahoma" w:cs="Tahoma"/>
          <w:b w:val="0"/>
          <w:bCs w:val="0"/>
        </w:rPr>
        <w:t>ports,</w:t>
      </w:r>
      <w:r w:rsidR="00DB1635" w:rsidRPr="00B004EE">
        <w:rPr>
          <w:rFonts w:ascii="Tahoma" w:hAnsi="Tahoma" w:cs="Tahoma"/>
          <w:b w:val="0"/>
          <w:bCs w:val="0"/>
        </w:rPr>
        <w:t xml:space="preserve"> </w:t>
      </w:r>
      <w:r w:rsidRPr="00B004EE">
        <w:rPr>
          <w:rFonts w:ascii="Tahoma" w:hAnsi="Tahoma" w:cs="Tahoma"/>
          <w:b w:val="0"/>
          <w:bCs w:val="0"/>
        </w:rPr>
        <w:t>aéroports,</w:t>
      </w:r>
      <w:r w:rsidR="00DB1635" w:rsidRPr="00B004EE">
        <w:rPr>
          <w:rFonts w:ascii="Tahoma" w:hAnsi="Tahoma" w:cs="Tahoma"/>
          <w:b w:val="0"/>
          <w:bCs w:val="0"/>
        </w:rPr>
        <w:t xml:space="preserve"> </w:t>
      </w:r>
      <w:r w:rsidRPr="00B004EE">
        <w:rPr>
          <w:rFonts w:ascii="Tahoma" w:hAnsi="Tahoma" w:cs="Tahoma"/>
          <w:b w:val="0"/>
          <w:bCs w:val="0"/>
        </w:rPr>
        <w:t>aérogares</w:t>
      </w:r>
      <w:r w:rsidR="00DB1635" w:rsidRPr="00B004EE">
        <w:rPr>
          <w:rFonts w:ascii="Tahoma" w:hAnsi="Tahoma" w:cs="Tahoma"/>
          <w:b w:val="0"/>
          <w:bCs w:val="0"/>
        </w:rPr>
        <w:t xml:space="preserve"> </w:t>
      </w:r>
      <w:r w:rsidRPr="00B004EE">
        <w:rPr>
          <w:rFonts w:ascii="Tahoma" w:hAnsi="Tahoma" w:cs="Tahoma"/>
          <w:b w:val="0"/>
          <w:bCs w:val="0"/>
        </w:rPr>
        <w:t>et</w:t>
      </w:r>
      <w:r w:rsidR="00DB1635" w:rsidRPr="00B004EE">
        <w:rPr>
          <w:rFonts w:ascii="Tahoma" w:hAnsi="Tahoma" w:cs="Tahoma"/>
          <w:b w:val="0"/>
          <w:bCs w:val="0"/>
        </w:rPr>
        <w:t xml:space="preserve"> </w:t>
      </w:r>
      <w:r w:rsidRPr="00B004EE">
        <w:rPr>
          <w:rFonts w:ascii="Tahoma" w:hAnsi="Tahoma" w:cs="Tahoma"/>
          <w:b w:val="0"/>
          <w:bCs w:val="0"/>
        </w:rPr>
        <w:t>tous</w:t>
      </w:r>
      <w:r w:rsidR="00DB1635" w:rsidRPr="00B004EE">
        <w:rPr>
          <w:rFonts w:ascii="Tahoma" w:hAnsi="Tahoma" w:cs="Tahoma"/>
          <w:b w:val="0"/>
          <w:bCs w:val="0"/>
        </w:rPr>
        <w:t xml:space="preserve"> </w:t>
      </w:r>
      <w:r w:rsidRPr="00B004EE">
        <w:rPr>
          <w:rFonts w:ascii="Tahoma" w:hAnsi="Tahoma" w:cs="Tahoma"/>
          <w:b w:val="0"/>
          <w:bCs w:val="0"/>
        </w:rPr>
        <w:t>les</w:t>
      </w:r>
      <w:r w:rsidR="00DB1635" w:rsidRPr="00B004EE">
        <w:rPr>
          <w:rFonts w:ascii="Tahoma" w:hAnsi="Tahoma" w:cs="Tahoma"/>
          <w:b w:val="0"/>
          <w:bCs w:val="0"/>
        </w:rPr>
        <w:t xml:space="preserve"> </w:t>
      </w:r>
      <w:r w:rsidRPr="00B004EE">
        <w:rPr>
          <w:rFonts w:ascii="Tahoma" w:hAnsi="Tahoma" w:cs="Tahoma"/>
          <w:b w:val="0"/>
          <w:bCs w:val="0"/>
        </w:rPr>
        <w:t>lieux</w:t>
      </w:r>
      <w:r w:rsidR="00DB1635" w:rsidRPr="00B004EE">
        <w:rPr>
          <w:rFonts w:ascii="Tahoma" w:hAnsi="Tahoma" w:cs="Tahoma"/>
          <w:b w:val="0"/>
          <w:bCs w:val="0"/>
        </w:rPr>
        <w:t xml:space="preserve"> </w:t>
      </w:r>
      <w:r w:rsidRPr="00B004EE">
        <w:rPr>
          <w:rFonts w:ascii="Tahoma" w:hAnsi="Tahoma" w:cs="Tahoma"/>
          <w:b w:val="0"/>
          <w:bCs w:val="0"/>
        </w:rPr>
        <w:t>de</w:t>
      </w:r>
      <w:r w:rsidR="00DB1635" w:rsidRPr="00B004EE">
        <w:rPr>
          <w:rFonts w:ascii="Tahoma" w:hAnsi="Tahoma" w:cs="Tahoma"/>
          <w:b w:val="0"/>
          <w:bCs w:val="0"/>
        </w:rPr>
        <w:t xml:space="preserve"> </w:t>
      </w:r>
      <w:r w:rsidRPr="00B004EE">
        <w:rPr>
          <w:rFonts w:ascii="Tahoma" w:hAnsi="Tahoma" w:cs="Tahoma"/>
          <w:b w:val="0"/>
          <w:bCs w:val="0"/>
        </w:rPr>
        <w:t>débarquement,</w:t>
      </w:r>
      <w:r w:rsidR="00DB1635" w:rsidRPr="00B004EE">
        <w:rPr>
          <w:rFonts w:ascii="Tahoma" w:hAnsi="Tahoma" w:cs="Tahoma"/>
          <w:b w:val="0"/>
          <w:bCs w:val="0"/>
        </w:rPr>
        <w:t xml:space="preserve"> </w:t>
      </w:r>
      <w:r w:rsidRPr="00B004EE">
        <w:rPr>
          <w:rFonts w:ascii="Tahoma" w:hAnsi="Tahoma" w:cs="Tahoma"/>
          <w:b w:val="0"/>
          <w:bCs w:val="0"/>
        </w:rPr>
        <w:t>de</w:t>
      </w:r>
      <w:r w:rsidR="00DB1635" w:rsidRPr="00B004EE">
        <w:rPr>
          <w:rFonts w:ascii="Tahoma" w:hAnsi="Tahoma" w:cs="Tahoma"/>
          <w:b w:val="0"/>
          <w:bCs w:val="0"/>
        </w:rPr>
        <w:t xml:space="preserve"> </w:t>
      </w:r>
      <w:r w:rsidRPr="00B004EE">
        <w:rPr>
          <w:rFonts w:ascii="Tahoma" w:hAnsi="Tahoma" w:cs="Tahoma"/>
          <w:b w:val="0"/>
          <w:bCs w:val="0"/>
        </w:rPr>
        <w:t>production</w:t>
      </w:r>
      <w:r w:rsidR="00DB1635" w:rsidRPr="00B004EE">
        <w:rPr>
          <w:rFonts w:ascii="Tahoma" w:hAnsi="Tahoma" w:cs="Tahoma"/>
          <w:b w:val="0"/>
          <w:bCs w:val="0"/>
        </w:rPr>
        <w:t xml:space="preserve"> </w:t>
      </w:r>
      <w:r w:rsidRPr="00B004EE">
        <w:rPr>
          <w:rFonts w:ascii="Tahoma" w:hAnsi="Tahoma" w:cs="Tahoma"/>
          <w:b w:val="0"/>
          <w:bCs w:val="0"/>
        </w:rPr>
        <w:t>ou</w:t>
      </w:r>
      <w:r w:rsidR="00DB1635" w:rsidRPr="00B004EE">
        <w:rPr>
          <w:rFonts w:ascii="Tahoma" w:hAnsi="Tahoma" w:cs="Tahoma"/>
          <w:b w:val="0"/>
          <w:bCs w:val="0"/>
        </w:rPr>
        <w:t xml:space="preserve"> </w:t>
      </w:r>
      <w:r w:rsidRPr="00B004EE">
        <w:rPr>
          <w:rFonts w:ascii="Tahoma" w:hAnsi="Tahoma" w:cs="Tahoma"/>
          <w:b w:val="0"/>
          <w:bCs w:val="0"/>
        </w:rPr>
        <w:t>de</w:t>
      </w:r>
      <w:r w:rsidR="00DB1635" w:rsidRPr="00B004EE">
        <w:rPr>
          <w:rFonts w:ascii="Tahoma" w:hAnsi="Tahoma" w:cs="Tahoma"/>
          <w:b w:val="0"/>
          <w:bCs w:val="0"/>
        </w:rPr>
        <w:t xml:space="preserve"> </w:t>
      </w:r>
      <w:r w:rsidRPr="00B004EE">
        <w:rPr>
          <w:rFonts w:ascii="Tahoma" w:hAnsi="Tahoma" w:cs="Tahoma"/>
          <w:b w:val="0"/>
          <w:bCs w:val="0"/>
        </w:rPr>
        <w:t>contrôle</w:t>
      </w:r>
      <w:r w:rsidR="00DB1635" w:rsidRPr="00B004EE">
        <w:rPr>
          <w:rFonts w:ascii="Tahoma" w:hAnsi="Tahoma" w:cs="Tahoma"/>
          <w:b w:val="0"/>
          <w:bCs w:val="0"/>
        </w:rPr>
        <w:t xml:space="preserve"> </w:t>
      </w:r>
      <w:r w:rsidRPr="00B004EE">
        <w:rPr>
          <w:rFonts w:ascii="Tahoma" w:hAnsi="Tahoma" w:cs="Tahoma"/>
          <w:b w:val="0"/>
          <w:bCs w:val="0"/>
        </w:rPr>
        <w:t>des</w:t>
      </w:r>
      <w:r w:rsidR="00DB1635" w:rsidRPr="00B004EE">
        <w:rPr>
          <w:rFonts w:ascii="Tahoma" w:hAnsi="Tahoma" w:cs="Tahoma"/>
          <w:b w:val="0"/>
          <w:bCs w:val="0"/>
        </w:rPr>
        <w:t xml:space="preserve"> </w:t>
      </w:r>
      <w:r w:rsidRPr="00B004EE">
        <w:rPr>
          <w:rFonts w:ascii="Tahoma" w:hAnsi="Tahoma" w:cs="Tahoma"/>
          <w:b w:val="0"/>
          <w:bCs w:val="0"/>
        </w:rPr>
        <w:t>produits</w:t>
      </w:r>
      <w:r w:rsidR="00DB1635" w:rsidRPr="00B004EE">
        <w:rPr>
          <w:rFonts w:ascii="Tahoma" w:hAnsi="Tahoma" w:cs="Tahoma"/>
          <w:b w:val="0"/>
          <w:bCs w:val="0"/>
        </w:rPr>
        <w:t xml:space="preserve"> </w:t>
      </w:r>
      <w:r w:rsidRPr="00B004EE">
        <w:rPr>
          <w:rFonts w:ascii="Tahoma" w:hAnsi="Tahoma" w:cs="Tahoma"/>
          <w:b w:val="0"/>
          <w:bCs w:val="0"/>
        </w:rPr>
        <w:t>de</w:t>
      </w:r>
      <w:r w:rsidR="00DB1635" w:rsidRPr="00B004EE">
        <w:rPr>
          <w:rFonts w:ascii="Tahoma" w:hAnsi="Tahoma" w:cs="Tahoma"/>
          <w:b w:val="0"/>
          <w:bCs w:val="0"/>
        </w:rPr>
        <w:t xml:space="preserve"> </w:t>
      </w:r>
      <w:r w:rsidRPr="00B004EE">
        <w:rPr>
          <w:rFonts w:ascii="Tahoma" w:hAnsi="Tahoma" w:cs="Tahoma"/>
          <w:b w:val="0"/>
          <w:bCs w:val="0"/>
        </w:rPr>
        <w:t>la</w:t>
      </w:r>
      <w:r w:rsidR="00DB1635" w:rsidRPr="00B004EE">
        <w:rPr>
          <w:rFonts w:ascii="Tahoma" w:hAnsi="Tahoma" w:cs="Tahoma"/>
          <w:b w:val="0"/>
          <w:bCs w:val="0"/>
        </w:rPr>
        <w:t xml:space="preserve"> </w:t>
      </w:r>
      <w:r w:rsidRPr="00B004EE">
        <w:rPr>
          <w:rFonts w:ascii="Tahoma" w:hAnsi="Tahoma" w:cs="Tahoma"/>
          <w:b w:val="0"/>
          <w:bCs w:val="0"/>
        </w:rPr>
        <w:t>pêche.</w:t>
      </w:r>
    </w:p>
    <w:p w14:paraId="5BB3580F" w14:textId="77777777" w:rsidR="002F24E1" w:rsidRPr="00B004EE" w:rsidRDefault="002F24E1" w:rsidP="00B004EE">
      <w:pPr>
        <w:pStyle w:val="Lgende"/>
        <w:jc w:val="both"/>
        <w:rPr>
          <w:rFonts w:ascii="Tahoma" w:hAnsi="Tahoma" w:cs="Tahoma"/>
          <w:b w:val="0"/>
          <w:bCs w:val="0"/>
        </w:rPr>
      </w:pPr>
    </w:p>
    <w:p w14:paraId="0A4617E3" w14:textId="44BF9DE9" w:rsidR="002F24E1" w:rsidRPr="00B004EE" w:rsidRDefault="00561F81" w:rsidP="00B004EE">
      <w:pPr>
        <w:pStyle w:val="Lgende"/>
        <w:jc w:val="both"/>
        <w:rPr>
          <w:rFonts w:ascii="Tahoma" w:hAnsi="Tahoma" w:cs="Tahoma"/>
          <w:b w:val="0"/>
          <w:bCs w:val="0"/>
        </w:rPr>
      </w:pPr>
      <w:r w:rsidRPr="00B004EE">
        <w:rPr>
          <w:rFonts w:ascii="Tahoma" w:hAnsi="Tahoma" w:cs="Tahoma"/>
          <w:b w:val="0"/>
          <w:bCs w:val="0"/>
        </w:rPr>
        <w:t xml:space="preserve">Article </w:t>
      </w:r>
      <w:r w:rsidR="002F24E1" w:rsidRPr="00B004EE">
        <w:rPr>
          <w:rFonts w:ascii="Tahoma" w:hAnsi="Tahoma" w:cs="Tahoma"/>
          <w:b w:val="0"/>
          <w:bCs w:val="0"/>
        </w:rPr>
        <w:t>13</w:t>
      </w:r>
      <w:r w:rsidR="00DB1635" w:rsidRPr="00B004EE">
        <w:rPr>
          <w:rFonts w:ascii="Tahoma" w:hAnsi="Tahoma" w:cs="Tahoma"/>
          <w:b w:val="0"/>
          <w:bCs w:val="0"/>
        </w:rPr>
        <w:t xml:space="preserve"> </w:t>
      </w:r>
      <w:r w:rsidR="002F24E1" w:rsidRPr="00B004EE">
        <w:rPr>
          <w:rFonts w:ascii="Tahoma" w:hAnsi="Tahoma" w:cs="Tahoma"/>
          <w:b w:val="0"/>
          <w:bCs w:val="0"/>
        </w:rPr>
        <w:t>:</w:t>
      </w:r>
      <w:r w:rsidR="00DB1635" w:rsidRPr="00B004EE">
        <w:rPr>
          <w:rFonts w:ascii="Tahoma" w:hAnsi="Tahoma" w:cs="Tahoma"/>
          <w:b w:val="0"/>
          <w:bCs w:val="0"/>
        </w:rPr>
        <w:t xml:space="preserve"> </w:t>
      </w:r>
      <w:r w:rsidR="002F24E1" w:rsidRPr="00B004EE">
        <w:rPr>
          <w:rFonts w:ascii="Tahoma" w:hAnsi="Tahoma" w:cs="Tahoma"/>
          <w:b w:val="0"/>
          <w:bCs w:val="0"/>
        </w:rPr>
        <w:t>Les</w:t>
      </w:r>
      <w:r w:rsidR="00DB1635" w:rsidRPr="00B004EE">
        <w:rPr>
          <w:rFonts w:ascii="Tahoma" w:hAnsi="Tahoma" w:cs="Tahoma"/>
          <w:b w:val="0"/>
          <w:bCs w:val="0"/>
        </w:rPr>
        <w:t xml:space="preserve"> </w:t>
      </w:r>
      <w:r w:rsidR="002F24E1" w:rsidRPr="00B004EE">
        <w:rPr>
          <w:rFonts w:ascii="Tahoma" w:hAnsi="Tahoma" w:cs="Tahoma"/>
          <w:b w:val="0"/>
          <w:bCs w:val="0"/>
        </w:rPr>
        <w:t>produits</w:t>
      </w:r>
      <w:r w:rsidR="00DB1635" w:rsidRPr="00B004EE">
        <w:rPr>
          <w:rFonts w:ascii="Tahoma" w:hAnsi="Tahoma" w:cs="Tahoma"/>
          <w:b w:val="0"/>
          <w:bCs w:val="0"/>
        </w:rPr>
        <w:t xml:space="preserve"> </w:t>
      </w:r>
      <w:r w:rsidR="002F24E1" w:rsidRPr="00B004EE">
        <w:rPr>
          <w:rFonts w:ascii="Tahoma" w:hAnsi="Tahoma" w:cs="Tahoma"/>
          <w:b w:val="0"/>
          <w:bCs w:val="0"/>
        </w:rPr>
        <w:t>de</w:t>
      </w:r>
      <w:r w:rsidR="00DB1635" w:rsidRPr="00B004EE">
        <w:rPr>
          <w:rFonts w:ascii="Tahoma" w:hAnsi="Tahoma" w:cs="Tahoma"/>
          <w:b w:val="0"/>
          <w:bCs w:val="0"/>
        </w:rPr>
        <w:t xml:space="preserve"> </w:t>
      </w:r>
      <w:r w:rsidR="002F24E1" w:rsidRPr="00B004EE">
        <w:rPr>
          <w:rFonts w:ascii="Tahoma" w:hAnsi="Tahoma" w:cs="Tahoma"/>
          <w:b w:val="0"/>
          <w:bCs w:val="0"/>
        </w:rPr>
        <w:t>la</w:t>
      </w:r>
      <w:r w:rsidR="00DB1635" w:rsidRPr="00B004EE">
        <w:rPr>
          <w:rFonts w:ascii="Tahoma" w:hAnsi="Tahoma" w:cs="Tahoma"/>
          <w:b w:val="0"/>
          <w:bCs w:val="0"/>
        </w:rPr>
        <w:t xml:space="preserve"> </w:t>
      </w:r>
      <w:r w:rsidR="002F24E1" w:rsidRPr="00B004EE">
        <w:rPr>
          <w:rFonts w:ascii="Tahoma" w:hAnsi="Tahoma" w:cs="Tahoma"/>
          <w:b w:val="0"/>
          <w:bCs w:val="0"/>
        </w:rPr>
        <w:t>pêche</w:t>
      </w:r>
      <w:r w:rsidR="00DB1635" w:rsidRPr="00B004EE">
        <w:rPr>
          <w:rFonts w:ascii="Tahoma" w:hAnsi="Tahoma" w:cs="Tahoma"/>
          <w:b w:val="0"/>
          <w:bCs w:val="0"/>
        </w:rPr>
        <w:t xml:space="preserve"> </w:t>
      </w:r>
      <w:r w:rsidR="002F24E1" w:rsidRPr="00B004EE">
        <w:rPr>
          <w:rFonts w:ascii="Tahoma" w:hAnsi="Tahoma" w:cs="Tahoma"/>
          <w:b w:val="0"/>
          <w:bCs w:val="0"/>
        </w:rPr>
        <w:t>transportés</w:t>
      </w:r>
      <w:r w:rsidR="00DB1635" w:rsidRPr="00B004EE">
        <w:rPr>
          <w:rFonts w:ascii="Tahoma" w:hAnsi="Tahoma" w:cs="Tahoma"/>
          <w:b w:val="0"/>
          <w:bCs w:val="0"/>
        </w:rPr>
        <w:t xml:space="preserve"> </w:t>
      </w:r>
      <w:r w:rsidR="002F24E1" w:rsidRPr="00B004EE">
        <w:rPr>
          <w:rFonts w:ascii="Tahoma" w:hAnsi="Tahoma" w:cs="Tahoma"/>
          <w:b w:val="0"/>
          <w:bCs w:val="0"/>
        </w:rPr>
        <w:t>ou</w:t>
      </w:r>
      <w:r w:rsidR="00DB1635" w:rsidRPr="00B004EE">
        <w:rPr>
          <w:rFonts w:ascii="Tahoma" w:hAnsi="Tahoma" w:cs="Tahoma"/>
          <w:b w:val="0"/>
          <w:bCs w:val="0"/>
        </w:rPr>
        <w:t xml:space="preserve"> </w:t>
      </w:r>
      <w:r w:rsidR="002F24E1" w:rsidRPr="00B004EE">
        <w:rPr>
          <w:rFonts w:ascii="Tahoma" w:hAnsi="Tahoma" w:cs="Tahoma"/>
          <w:b w:val="0"/>
          <w:bCs w:val="0"/>
        </w:rPr>
        <w:t>exposés</w:t>
      </w:r>
      <w:r w:rsidR="00DB1635" w:rsidRPr="00B004EE">
        <w:rPr>
          <w:rFonts w:ascii="Tahoma" w:hAnsi="Tahoma" w:cs="Tahoma"/>
          <w:b w:val="0"/>
          <w:bCs w:val="0"/>
        </w:rPr>
        <w:t xml:space="preserve"> </w:t>
      </w:r>
      <w:r w:rsidR="002F24E1" w:rsidRPr="00B004EE">
        <w:rPr>
          <w:rFonts w:ascii="Tahoma" w:hAnsi="Tahoma" w:cs="Tahoma"/>
          <w:b w:val="0"/>
          <w:bCs w:val="0"/>
        </w:rPr>
        <w:t>en</w:t>
      </w:r>
      <w:r w:rsidR="00DB1635" w:rsidRPr="00B004EE">
        <w:rPr>
          <w:rFonts w:ascii="Tahoma" w:hAnsi="Tahoma" w:cs="Tahoma"/>
          <w:b w:val="0"/>
          <w:bCs w:val="0"/>
        </w:rPr>
        <w:t xml:space="preserve"> </w:t>
      </w:r>
      <w:r w:rsidR="002F24E1" w:rsidRPr="00B004EE">
        <w:rPr>
          <w:rFonts w:ascii="Tahoma" w:hAnsi="Tahoma" w:cs="Tahoma"/>
          <w:b w:val="0"/>
          <w:bCs w:val="0"/>
        </w:rPr>
        <w:t>vue</w:t>
      </w:r>
      <w:r w:rsidR="00DB1635" w:rsidRPr="00B004EE">
        <w:rPr>
          <w:rFonts w:ascii="Tahoma" w:hAnsi="Tahoma" w:cs="Tahoma"/>
          <w:b w:val="0"/>
          <w:bCs w:val="0"/>
        </w:rPr>
        <w:t xml:space="preserve"> </w:t>
      </w:r>
      <w:r w:rsidR="002F24E1" w:rsidRPr="00B004EE">
        <w:rPr>
          <w:rFonts w:ascii="Tahoma" w:hAnsi="Tahoma" w:cs="Tahoma"/>
          <w:b w:val="0"/>
          <w:bCs w:val="0"/>
        </w:rPr>
        <w:t>de</w:t>
      </w:r>
      <w:r w:rsidR="00DB1635" w:rsidRPr="00B004EE">
        <w:rPr>
          <w:rFonts w:ascii="Tahoma" w:hAnsi="Tahoma" w:cs="Tahoma"/>
          <w:b w:val="0"/>
          <w:bCs w:val="0"/>
        </w:rPr>
        <w:t xml:space="preserve"> </w:t>
      </w:r>
      <w:r w:rsidR="002F24E1" w:rsidRPr="00B004EE">
        <w:rPr>
          <w:rFonts w:ascii="Tahoma" w:hAnsi="Tahoma" w:cs="Tahoma"/>
          <w:b w:val="0"/>
          <w:bCs w:val="0"/>
        </w:rPr>
        <w:t>leur</w:t>
      </w:r>
      <w:r w:rsidR="00DB1635" w:rsidRPr="00B004EE">
        <w:rPr>
          <w:rFonts w:ascii="Tahoma" w:hAnsi="Tahoma" w:cs="Tahoma"/>
          <w:b w:val="0"/>
          <w:bCs w:val="0"/>
        </w:rPr>
        <w:t xml:space="preserve"> </w:t>
      </w:r>
      <w:r w:rsidR="002F24E1" w:rsidRPr="00B004EE">
        <w:rPr>
          <w:rFonts w:ascii="Tahoma" w:hAnsi="Tahoma" w:cs="Tahoma"/>
          <w:b w:val="0"/>
          <w:bCs w:val="0"/>
        </w:rPr>
        <w:t>vente</w:t>
      </w:r>
      <w:r w:rsidR="00DB1635" w:rsidRPr="00B004EE">
        <w:rPr>
          <w:rFonts w:ascii="Tahoma" w:hAnsi="Tahoma" w:cs="Tahoma"/>
          <w:b w:val="0"/>
          <w:bCs w:val="0"/>
        </w:rPr>
        <w:t xml:space="preserve"> </w:t>
      </w:r>
      <w:r w:rsidR="002F24E1" w:rsidRPr="00B004EE">
        <w:rPr>
          <w:rFonts w:ascii="Tahoma" w:hAnsi="Tahoma" w:cs="Tahoma"/>
          <w:b w:val="0"/>
          <w:bCs w:val="0"/>
        </w:rPr>
        <w:t>sans</w:t>
      </w:r>
      <w:r w:rsidR="00DB1635" w:rsidRPr="00B004EE">
        <w:rPr>
          <w:rFonts w:ascii="Tahoma" w:hAnsi="Tahoma" w:cs="Tahoma"/>
          <w:b w:val="0"/>
          <w:bCs w:val="0"/>
        </w:rPr>
        <w:t xml:space="preserve"> </w:t>
      </w:r>
      <w:r w:rsidR="002F24E1" w:rsidRPr="00B004EE">
        <w:rPr>
          <w:rFonts w:ascii="Tahoma" w:hAnsi="Tahoma" w:cs="Tahoma"/>
          <w:b w:val="0"/>
          <w:bCs w:val="0"/>
        </w:rPr>
        <w:t>être</w:t>
      </w:r>
      <w:r w:rsidR="00DB1635" w:rsidRPr="00B004EE">
        <w:rPr>
          <w:rFonts w:ascii="Tahoma" w:hAnsi="Tahoma" w:cs="Tahoma"/>
          <w:b w:val="0"/>
          <w:bCs w:val="0"/>
        </w:rPr>
        <w:t xml:space="preserve"> </w:t>
      </w:r>
      <w:r w:rsidR="002F24E1" w:rsidRPr="00B004EE">
        <w:rPr>
          <w:rFonts w:ascii="Tahoma" w:hAnsi="Tahoma" w:cs="Tahoma"/>
          <w:b w:val="0"/>
          <w:bCs w:val="0"/>
        </w:rPr>
        <w:t>munis</w:t>
      </w:r>
      <w:r w:rsidR="00DB1635" w:rsidRPr="00B004EE">
        <w:rPr>
          <w:rFonts w:ascii="Tahoma" w:hAnsi="Tahoma" w:cs="Tahoma"/>
          <w:b w:val="0"/>
          <w:bCs w:val="0"/>
        </w:rPr>
        <w:t xml:space="preserve"> </w:t>
      </w:r>
      <w:r w:rsidR="002F24E1" w:rsidRPr="00B004EE">
        <w:rPr>
          <w:rFonts w:ascii="Tahoma" w:hAnsi="Tahoma" w:cs="Tahoma"/>
          <w:b w:val="0"/>
          <w:bCs w:val="0"/>
        </w:rPr>
        <w:t>de</w:t>
      </w:r>
      <w:r w:rsidR="00DB1635" w:rsidRPr="00B004EE">
        <w:rPr>
          <w:rFonts w:ascii="Tahoma" w:hAnsi="Tahoma" w:cs="Tahoma"/>
          <w:b w:val="0"/>
          <w:bCs w:val="0"/>
        </w:rPr>
        <w:t xml:space="preserve"> </w:t>
      </w:r>
      <w:r w:rsidR="002F24E1" w:rsidRPr="00B004EE">
        <w:rPr>
          <w:rFonts w:ascii="Tahoma" w:hAnsi="Tahoma" w:cs="Tahoma"/>
          <w:b w:val="0"/>
          <w:bCs w:val="0"/>
        </w:rPr>
        <w:t>certificat</w:t>
      </w:r>
      <w:r w:rsidR="00DB1635" w:rsidRPr="00B004EE">
        <w:rPr>
          <w:rFonts w:ascii="Tahoma" w:hAnsi="Tahoma" w:cs="Tahoma"/>
          <w:b w:val="0"/>
          <w:bCs w:val="0"/>
        </w:rPr>
        <w:t xml:space="preserve"> </w:t>
      </w:r>
      <w:r w:rsidR="002F24E1" w:rsidRPr="00B004EE">
        <w:rPr>
          <w:rFonts w:ascii="Tahoma" w:hAnsi="Tahoma" w:cs="Tahoma"/>
          <w:b w:val="0"/>
          <w:bCs w:val="0"/>
        </w:rPr>
        <w:t>de</w:t>
      </w:r>
      <w:r w:rsidR="00DB1635" w:rsidRPr="00B004EE">
        <w:rPr>
          <w:rFonts w:ascii="Tahoma" w:hAnsi="Tahoma" w:cs="Tahoma"/>
          <w:b w:val="0"/>
          <w:bCs w:val="0"/>
        </w:rPr>
        <w:t xml:space="preserve"> </w:t>
      </w:r>
      <w:r w:rsidR="002F24E1" w:rsidRPr="00B004EE">
        <w:rPr>
          <w:rFonts w:ascii="Tahoma" w:hAnsi="Tahoma" w:cs="Tahoma"/>
          <w:b w:val="0"/>
          <w:bCs w:val="0"/>
        </w:rPr>
        <w:t>contrôle</w:t>
      </w:r>
      <w:r w:rsidR="00DB1635" w:rsidRPr="00B004EE">
        <w:rPr>
          <w:rFonts w:ascii="Tahoma" w:hAnsi="Tahoma" w:cs="Tahoma"/>
          <w:b w:val="0"/>
          <w:bCs w:val="0"/>
        </w:rPr>
        <w:t xml:space="preserve"> </w:t>
      </w:r>
      <w:r w:rsidR="002F24E1" w:rsidRPr="00B004EE">
        <w:rPr>
          <w:rFonts w:ascii="Tahoma" w:hAnsi="Tahoma" w:cs="Tahoma"/>
          <w:b w:val="0"/>
          <w:bCs w:val="0"/>
        </w:rPr>
        <w:t>d'origine</w:t>
      </w:r>
      <w:r w:rsidR="00DB1635" w:rsidRPr="00B004EE">
        <w:rPr>
          <w:rFonts w:ascii="Tahoma" w:hAnsi="Tahoma" w:cs="Tahoma"/>
          <w:b w:val="0"/>
          <w:bCs w:val="0"/>
        </w:rPr>
        <w:t xml:space="preserve"> </w:t>
      </w:r>
      <w:r w:rsidR="002F24E1" w:rsidRPr="00B004EE">
        <w:rPr>
          <w:rFonts w:ascii="Tahoma" w:hAnsi="Tahoma" w:cs="Tahoma"/>
          <w:b w:val="0"/>
          <w:bCs w:val="0"/>
        </w:rPr>
        <w:t>et</w:t>
      </w:r>
      <w:r w:rsidR="00DB1635" w:rsidRPr="00B004EE">
        <w:rPr>
          <w:rFonts w:ascii="Tahoma" w:hAnsi="Tahoma" w:cs="Tahoma"/>
          <w:b w:val="0"/>
          <w:bCs w:val="0"/>
        </w:rPr>
        <w:t xml:space="preserve"> </w:t>
      </w:r>
      <w:r w:rsidR="002F24E1" w:rsidRPr="00B004EE">
        <w:rPr>
          <w:rFonts w:ascii="Tahoma" w:hAnsi="Tahoma" w:cs="Tahoma"/>
          <w:b w:val="0"/>
          <w:bCs w:val="0"/>
        </w:rPr>
        <w:t>de</w:t>
      </w:r>
      <w:r w:rsidR="00DB1635" w:rsidRPr="00B004EE">
        <w:rPr>
          <w:rFonts w:ascii="Tahoma" w:hAnsi="Tahoma" w:cs="Tahoma"/>
          <w:b w:val="0"/>
          <w:bCs w:val="0"/>
        </w:rPr>
        <w:t xml:space="preserve"> </w:t>
      </w:r>
      <w:r w:rsidR="002F24E1" w:rsidRPr="00B004EE">
        <w:rPr>
          <w:rFonts w:ascii="Tahoma" w:hAnsi="Tahoma" w:cs="Tahoma"/>
          <w:b w:val="0"/>
          <w:bCs w:val="0"/>
        </w:rPr>
        <w:t>salubrité</w:t>
      </w:r>
      <w:r w:rsidR="00DB1635" w:rsidRPr="00B004EE">
        <w:rPr>
          <w:rFonts w:ascii="Tahoma" w:hAnsi="Tahoma" w:cs="Tahoma"/>
          <w:b w:val="0"/>
          <w:bCs w:val="0"/>
        </w:rPr>
        <w:t xml:space="preserve"> </w:t>
      </w:r>
      <w:r w:rsidR="002F24E1" w:rsidRPr="00B004EE">
        <w:rPr>
          <w:rFonts w:ascii="Tahoma" w:hAnsi="Tahoma" w:cs="Tahoma"/>
          <w:b w:val="0"/>
          <w:bCs w:val="0"/>
        </w:rPr>
        <w:t>sont</w:t>
      </w:r>
      <w:r w:rsidR="00DB1635" w:rsidRPr="00B004EE">
        <w:rPr>
          <w:rFonts w:ascii="Tahoma" w:hAnsi="Tahoma" w:cs="Tahoma"/>
          <w:b w:val="0"/>
          <w:bCs w:val="0"/>
        </w:rPr>
        <w:t xml:space="preserve"> </w:t>
      </w:r>
      <w:r w:rsidR="002F24E1" w:rsidRPr="00B004EE">
        <w:rPr>
          <w:rFonts w:ascii="Tahoma" w:hAnsi="Tahoma" w:cs="Tahoma"/>
          <w:b w:val="0"/>
          <w:bCs w:val="0"/>
        </w:rPr>
        <w:t>saisis.</w:t>
      </w:r>
    </w:p>
    <w:p w14:paraId="3E0F0A2D" w14:textId="77777777" w:rsidR="002F24E1" w:rsidRPr="00B004EE" w:rsidRDefault="002F24E1" w:rsidP="00B004EE">
      <w:pPr>
        <w:pStyle w:val="Lgende"/>
        <w:jc w:val="both"/>
        <w:rPr>
          <w:rFonts w:ascii="Tahoma" w:hAnsi="Tahoma" w:cs="Tahoma"/>
          <w:b w:val="0"/>
          <w:bCs w:val="0"/>
        </w:rPr>
      </w:pPr>
    </w:p>
    <w:p w14:paraId="6206285A" w14:textId="6803FD95" w:rsidR="002F24E1" w:rsidRPr="00B004EE" w:rsidRDefault="00561F81" w:rsidP="00B004EE">
      <w:pPr>
        <w:pStyle w:val="Lgende"/>
        <w:jc w:val="both"/>
        <w:rPr>
          <w:rFonts w:ascii="Tahoma" w:hAnsi="Tahoma" w:cs="Tahoma"/>
          <w:b w:val="0"/>
          <w:bCs w:val="0"/>
        </w:rPr>
      </w:pPr>
      <w:r w:rsidRPr="00B004EE">
        <w:rPr>
          <w:rFonts w:ascii="Tahoma" w:hAnsi="Tahoma" w:cs="Tahoma"/>
          <w:b w:val="0"/>
          <w:bCs w:val="0"/>
        </w:rPr>
        <w:t xml:space="preserve">Article </w:t>
      </w:r>
      <w:r w:rsidR="002F24E1" w:rsidRPr="00B004EE">
        <w:rPr>
          <w:rFonts w:ascii="Tahoma" w:hAnsi="Tahoma" w:cs="Tahoma"/>
          <w:b w:val="0"/>
          <w:bCs w:val="0"/>
        </w:rPr>
        <w:t>14</w:t>
      </w:r>
      <w:r w:rsidR="00DB1635" w:rsidRPr="00B004EE">
        <w:rPr>
          <w:rFonts w:ascii="Tahoma" w:hAnsi="Tahoma" w:cs="Tahoma"/>
          <w:b w:val="0"/>
          <w:bCs w:val="0"/>
        </w:rPr>
        <w:t xml:space="preserve"> </w:t>
      </w:r>
      <w:r w:rsidR="002F24E1" w:rsidRPr="00B004EE">
        <w:rPr>
          <w:rFonts w:ascii="Tahoma" w:hAnsi="Tahoma" w:cs="Tahoma"/>
          <w:b w:val="0"/>
          <w:bCs w:val="0"/>
        </w:rPr>
        <w:t>:</w:t>
      </w:r>
      <w:r w:rsidR="00DB1635" w:rsidRPr="00B004EE">
        <w:rPr>
          <w:rFonts w:ascii="Tahoma" w:hAnsi="Tahoma" w:cs="Tahoma"/>
          <w:b w:val="0"/>
          <w:bCs w:val="0"/>
        </w:rPr>
        <w:t xml:space="preserve"> </w:t>
      </w:r>
      <w:r w:rsidR="002F24E1" w:rsidRPr="00B004EE">
        <w:rPr>
          <w:rFonts w:ascii="Tahoma" w:hAnsi="Tahoma" w:cs="Tahoma"/>
          <w:b w:val="0"/>
          <w:bCs w:val="0"/>
        </w:rPr>
        <w:t>Un</w:t>
      </w:r>
      <w:r w:rsidR="00DB1635" w:rsidRPr="00B004EE">
        <w:rPr>
          <w:rFonts w:ascii="Tahoma" w:hAnsi="Tahoma" w:cs="Tahoma"/>
          <w:b w:val="0"/>
          <w:bCs w:val="0"/>
        </w:rPr>
        <w:t xml:space="preserve"> </w:t>
      </w:r>
      <w:r w:rsidR="002F24E1" w:rsidRPr="00B004EE">
        <w:rPr>
          <w:rFonts w:ascii="Tahoma" w:hAnsi="Tahoma" w:cs="Tahoma"/>
          <w:b w:val="0"/>
          <w:bCs w:val="0"/>
        </w:rPr>
        <w:t>arrêté</w:t>
      </w:r>
      <w:r w:rsidR="00DB1635" w:rsidRPr="00B004EE">
        <w:rPr>
          <w:rFonts w:ascii="Tahoma" w:hAnsi="Tahoma" w:cs="Tahoma"/>
          <w:b w:val="0"/>
          <w:bCs w:val="0"/>
        </w:rPr>
        <w:t xml:space="preserve"> </w:t>
      </w:r>
      <w:r w:rsidR="002F24E1" w:rsidRPr="00B004EE">
        <w:rPr>
          <w:rFonts w:ascii="Tahoma" w:hAnsi="Tahoma" w:cs="Tahoma"/>
          <w:b w:val="0"/>
          <w:bCs w:val="0"/>
        </w:rPr>
        <w:t>du</w:t>
      </w:r>
      <w:r w:rsidR="00DB1635" w:rsidRPr="00B004EE">
        <w:rPr>
          <w:rFonts w:ascii="Tahoma" w:hAnsi="Tahoma" w:cs="Tahoma"/>
          <w:b w:val="0"/>
          <w:bCs w:val="0"/>
        </w:rPr>
        <w:t xml:space="preserve"> </w:t>
      </w:r>
      <w:r w:rsidR="002F24E1" w:rsidRPr="00B004EE">
        <w:rPr>
          <w:rFonts w:ascii="Tahoma" w:hAnsi="Tahoma" w:cs="Tahoma"/>
          <w:b w:val="0"/>
          <w:bCs w:val="0"/>
        </w:rPr>
        <w:t>ministre</w:t>
      </w:r>
      <w:r w:rsidR="00DB1635" w:rsidRPr="00B004EE">
        <w:rPr>
          <w:rFonts w:ascii="Tahoma" w:hAnsi="Tahoma" w:cs="Tahoma"/>
          <w:b w:val="0"/>
          <w:bCs w:val="0"/>
        </w:rPr>
        <w:t xml:space="preserve"> </w:t>
      </w:r>
      <w:r w:rsidR="002F24E1" w:rsidRPr="00B004EE">
        <w:rPr>
          <w:rFonts w:ascii="Tahoma" w:hAnsi="Tahoma" w:cs="Tahoma"/>
          <w:b w:val="0"/>
          <w:bCs w:val="0"/>
        </w:rPr>
        <w:t>chargé</w:t>
      </w:r>
      <w:r w:rsidR="00DB1635" w:rsidRPr="00B004EE">
        <w:rPr>
          <w:rFonts w:ascii="Tahoma" w:hAnsi="Tahoma" w:cs="Tahoma"/>
          <w:b w:val="0"/>
          <w:bCs w:val="0"/>
        </w:rPr>
        <w:t xml:space="preserve"> </w:t>
      </w:r>
      <w:r w:rsidR="002F24E1" w:rsidRPr="00B004EE">
        <w:rPr>
          <w:rFonts w:ascii="Tahoma" w:hAnsi="Tahoma" w:cs="Tahoma"/>
          <w:b w:val="0"/>
          <w:bCs w:val="0"/>
        </w:rPr>
        <w:t>des</w:t>
      </w:r>
      <w:r w:rsidR="00DB1635" w:rsidRPr="00B004EE">
        <w:rPr>
          <w:rFonts w:ascii="Tahoma" w:hAnsi="Tahoma" w:cs="Tahoma"/>
          <w:b w:val="0"/>
          <w:bCs w:val="0"/>
        </w:rPr>
        <w:t xml:space="preserve"> </w:t>
      </w:r>
      <w:r w:rsidR="002F24E1" w:rsidRPr="00B004EE">
        <w:rPr>
          <w:rFonts w:ascii="Tahoma" w:hAnsi="Tahoma" w:cs="Tahoma"/>
          <w:b w:val="0"/>
          <w:bCs w:val="0"/>
        </w:rPr>
        <w:t>Pêches</w:t>
      </w:r>
      <w:r w:rsidR="00DB1635" w:rsidRPr="00B004EE">
        <w:rPr>
          <w:rFonts w:ascii="Tahoma" w:hAnsi="Tahoma" w:cs="Tahoma"/>
          <w:b w:val="0"/>
          <w:bCs w:val="0"/>
        </w:rPr>
        <w:t xml:space="preserve"> </w:t>
      </w:r>
      <w:r w:rsidR="002F24E1" w:rsidRPr="00B004EE">
        <w:rPr>
          <w:rFonts w:ascii="Tahoma" w:hAnsi="Tahoma" w:cs="Tahoma"/>
          <w:b w:val="0"/>
          <w:bCs w:val="0"/>
        </w:rPr>
        <w:t>précisera</w:t>
      </w:r>
      <w:r w:rsidR="00DB1635" w:rsidRPr="00B004EE">
        <w:rPr>
          <w:rFonts w:ascii="Tahoma" w:hAnsi="Tahoma" w:cs="Tahoma"/>
          <w:b w:val="0"/>
          <w:bCs w:val="0"/>
        </w:rPr>
        <w:t xml:space="preserve"> </w:t>
      </w:r>
      <w:r w:rsidR="002F24E1" w:rsidRPr="00B004EE">
        <w:rPr>
          <w:rFonts w:ascii="Tahoma" w:hAnsi="Tahoma" w:cs="Tahoma"/>
          <w:b w:val="0"/>
          <w:bCs w:val="0"/>
        </w:rPr>
        <w:t>la</w:t>
      </w:r>
      <w:r w:rsidR="00DB1635" w:rsidRPr="00B004EE">
        <w:rPr>
          <w:rFonts w:ascii="Tahoma" w:hAnsi="Tahoma" w:cs="Tahoma"/>
          <w:b w:val="0"/>
          <w:bCs w:val="0"/>
        </w:rPr>
        <w:t xml:space="preserve"> </w:t>
      </w:r>
      <w:r w:rsidR="002F24E1" w:rsidRPr="00B004EE">
        <w:rPr>
          <w:rFonts w:ascii="Tahoma" w:hAnsi="Tahoma" w:cs="Tahoma"/>
          <w:b w:val="0"/>
          <w:bCs w:val="0"/>
        </w:rPr>
        <w:t>durée</w:t>
      </w:r>
      <w:r w:rsidR="00DB1635" w:rsidRPr="00B004EE">
        <w:rPr>
          <w:rFonts w:ascii="Tahoma" w:hAnsi="Tahoma" w:cs="Tahoma"/>
          <w:b w:val="0"/>
          <w:bCs w:val="0"/>
        </w:rPr>
        <w:t xml:space="preserve"> </w:t>
      </w:r>
      <w:r w:rsidR="002F24E1" w:rsidRPr="00B004EE">
        <w:rPr>
          <w:rFonts w:ascii="Tahoma" w:hAnsi="Tahoma" w:cs="Tahoma"/>
          <w:b w:val="0"/>
          <w:bCs w:val="0"/>
        </w:rPr>
        <w:t>de</w:t>
      </w:r>
      <w:r w:rsidR="00DB1635" w:rsidRPr="00B004EE">
        <w:rPr>
          <w:rFonts w:ascii="Tahoma" w:hAnsi="Tahoma" w:cs="Tahoma"/>
          <w:b w:val="0"/>
          <w:bCs w:val="0"/>
        </w:rPr>
        <w:t xml:space="preserve"> </w:t>
      </w:r>
      <w:r w:rsidR="002F24E1" w:rsidRPr="00B004EE">
        <w:rPr>
          <w:rFonts w:ascii="Tahoma" w:hAnsi="Tahoma" w:cs="Tahoma"/>
          <w:b w:val="0"/>
          <w:bCs w:val="0"/>
        </w:rPr>
        <w:t>validité</w:t>
      </w:r>
      <w:r w:rsidR="00DB1635" w:rsidRPr="00B004EE">
        <w:rPr>
          <w:rFonts w:ascii="Tahoma" w:hAnsi="Tahoma" w:cs="Tahoma"/>
          <w:b w:val="0"/>
          <w:bCs w:val="0"/>
        </w:rPr>
        <w:t xml:space="preserve"> </w:t>
      </w:r>
      <w:r w:rsidR="002F24E1" w:rsidRPr="00B004EE">
        <w:rPr>
          <w:rFonts w:ascii="Tahoma" w:hAnsi="Tahoma" w:cs="Tahoma"/>
          <w:b w:val="0"/>
          <w:bCs w:val="0"/>
        </w:rPr>
        <w:t>du</w:t>
      </w:r>
      <w:r w:rsidR="00DB1635" w:rsidRPr="00B004EE">
        <w:rPr>
          <w:rFonts w:ascii="Tahoma" w:hAnsi="Tahoma" w:cs="Tahoma"/>
          <w:b w:val="0"/>
          <w:bCs w:val="0"/>
        </w:rPr>
        <w:t xml:space="preserve"> </w:t>
      </w:r>
      <w:r w:rsidR="002F24E1" w:rsidRPr="00B004EE">
        <w:rPr>
          <w:rFonts w:ascii="Tahoma" w:hAnsi="Tahoma" w:cs="Tahoma"/>
          <w:b w:val="0"/>
          <w:bCs w:val="0"/>
        </w:rPr>
        <w:t>ce</w:t>
      </w:r>
      <w:r w:rsidR="00326F65" w:rsidRPr="00B004EE">
        <w:rPr>
          <w:rFonts w:ascii="Tahoma" w:hAnsi="Tahoma" w:cs="Tahoma"/>
          <w:b w:val="0"/>
          <w:bCs w:val="0"/>
        </w:rPr>
        <w:t>rtificat</w:t>
      </w:r>
      <w:r w:rsidR="00DB1635" w:rsidRPr="00B004EE">
        <w:rPr>
          <w:rFonts w:ascii="Tahoma" w:hAnsi="Tahoma" w:cs="Tahoma"/>
          <w:b w:val="0"/>
          <w:bCs w:val="0"/>
        </w:rPr>
        <w:t xml:space="preserve"> </w:t>
      </w:r>
      <w:r w:rsidR="00326F65" w:rsidRPr="00B004EE">
        <w:rPr>
          <w:rFonts w:ascii="Tahoma" w:hAnsi="Tahoma" w:cs="Tahoma"/>
          <w:b w:val="0"/>
          <w:bCs w:val="0"/>
        </w:rPr>
        <w:t>de</w:t>
      </w:r>
      <w:r w:rsidR="00DB1635" w:rsidRPr="00B004EE">
        <w:rPr>
          <w:rFonts w:ascii="Tahoma" w:hAnsi="Tahoma" w:cs="Tahoma"/>
          <w:b w:val="0"/>
          <w:bCs w:val="0"/>
        </w:rPr>
        <w:t xml:space="preserve"> </w:t>
      </w:r>
      <w:r w:rsidR="00326F65" w:rsidRPr="00B004EE">
        <w:rPr>
          <w:rFonts w:ascii="Tahoma" w:hAnsi="Tahoma" w:cs="Tahoma"/>
          <w:b w:val="0"/>
          <w:bCs w:val="0"/>
        </w:rPr>
        <w:t>contrôle</w:t>
      </w:r>
      <w:r w:rsidR="00DB1635" w:rsidRPr="00B004EE">
        <w:rPr>
          <w:rFonts w:ascii="Tahoma" w:hAnsi="Tahoma" w:cs="Tahoma"/>
          <w:b w:val="0"/>
          <w:bCs w:val="0"/>
        </w:rPr>
        <w:t xml:space="preserve"> </w:t>
      </w:r>
      <w:r w:rsidR="00326F65" w:rsidRPr="00B004EE">
        <w:rPr>
          <w:rFonts w:ascii="Tahoma" w:hAnsi="Tahoma" w:cs="Tahoma"/>
          <w:b w:val="0"/>
          <w:bCs w:val="0"/>
        </w:rPr>
        <w:t>d'origine</w:t>
      </w:r>
      <w:r w:rsidR="00DB1635" w:rsidRPr="00B004EE">
        <w:rPr>
          <w:rFonts w:ascii="Tahoma" w:hAnsi="Tahoma" w:cs="Tahoma"/>
          <w:b w:val="0"/>
          <w:bCs w:val="0"/>
        </w:rPr>
        <w:t xml:space="preserve"> </w:t>
      </w:r>
      <w:r w:rsidR="002F24E1" w:rsidRPr="00B004EE">
        <w:rPr>
          <w:rFonts w:ascii="Tahoma" w:hAnsi="Tahoma" w:cs="Tahoma"/>
          <w:b w:val="0"/>
          <w:bCs w:val="0"/>
        </w:rPr>
        <w:t>et</w:t>
      </w:r>
      <w:r w:rsidR="00DB1635" w:rsidRPr="00B004EE">
        <w:rPr>
          <w:rFonts w:ascii="Tahoma" w:hAnsi="Tahoma" w:cs="Tahoma"/>
          <w:b w:val="0"/>
          <w:bCs w:val="0"/>
        </w:rPr>
        <w:t xml:space="preserve"> </w:t>
      </w:r>
      <w:r w:rsidR="002F24E1" w:rsidRPr="00B004EE">
        <w:rPr>
          <w:rFonts w:ascii="Tahoma" w:hAnsi="Tahoma" w:cs="Tahoma"/>
          <w:b w:val="0"/>
          <w:bCs w:val="0"/>
        </w:rPr>
        <w:t>de</w:t>
      </w:r>
      <w:r w:rsidR="00DB1635" w:rsidRPr="00B004EE">
        <w:rPr>
          <w:rFonts w:ascii="Tahoma" w:hAnsi="Tahoma" w:cs="Tahoma"/>
          <w:b w:val="0"/>
          <w:bCs w:val="0"/>
        </w:rPr>
        <w:t xml:space="preserve"> </w:t>
      </w:r>
      <w:r w:rsidR="002F24E1" w:rsidRPr="00B004EE">
        <w:rPr>
          <w:rFonts w:ascii="Tahoma" w:hAnsi="Tahoma" w:cs="Tahoma"/>
          <w:b w:val="0"/>
          <w:bCs w:val="0"/>
        </w:rPr>
        <w:t>salubrité.</w:t>
      </w:r>
    </w:p>
    <w:p w14:paraId="2146F3E4" w14:textId="77777777" w:rsidR="002F24E1" w:rsidRPr="00B004EE" w:rsidRDefault="002F24E1" w:rsidP="00B004EE">
      <w:pPr>
        <w:rPr>
          <w:rFonts w:ascii="Tahoma" w:hAnsi="Tahoma" w:cs="Tahoma"/>
          <w:sz w:val="20"/>
          <w:szCs w:val="20"/>
        </w:rPr>
      </w:pPr>
    </w:p>
    <w:p w14:paraId="3A073A96" w14:textId="1D56478C" w:rsidR="002F24E1" w:rsidRPr="00B004EE" w:rsidRDefault="00561F81" w:rsidP="00B004EE">
      <w:pPr>
        <w:pStyle w:val="Lgende"/>
        <w:jc w:val="both"/>
        <w:rPr>
          <w:rFonts w:ascii="Tahoma" w:hAnsi="Tahoma" w:cs="Tahoma"/>
          <w:b w:val="0"/>
          <w:bCs w:val="0"/>
        </w:rPr>
      </w:pPr>
      <w:r w:rsidRPr="00B004EE">
        <w:rPr>
          <w:rFonts w:ascii="Tahoma" w:hAnsi="Tahoma" w:cs="Tahoma"/>
          <w:b w:val="0"/>
          <w:bCs w:val="0"/>
        </w:rPr>
        <w:t xml:space="preserve">Article </w:t>
      </w:r>
      <w:r w:rsidR="002F24E1" w:rsidRPr="00B004EE">
        <w:rPr>
          <w:rFonts w:ascii="Tahoma" w:hAnsi="Tahoma" w:cs="Tahoma"/>
          <w:b w:val="0"/>
          <w:bCs w:val="0"/>
        </w:rPr>
        <w:t>15</w:t>
      </w:r>
      <w:r w:rsidR="00DB1635" w:rsidRPr="00B004EE">
        <w:rPr>
          <w:rFonts w:ascii="Tahoma" w:hAnsi="Tahoma" w:cs="Tahoma"/>
          <w:b w:val="0"/>
          <w:bCs w:val="0"/>
        </w:rPr>
        <w:t xml:space="preserve"> </w:t>
      </w:r>
      <w:r w:rsidR="002F24E1" w:rsidRPr="00B004EE">
        <w:rPr>
          <w:rFonts w:ascii="Tahoma" w:hAnsi="Tahoma" w:cs="Tahoma"/>
          <w:b w:val="0"/>
          <w:bCs w:val="0"/>
        </w:rPr>
        <w:t>:</w:t>
      </w:r>
      <w:r w:rsidR="00DB1635" w:rsidRPr="00B004EE">
        <w:rPr>
          <w:rFonts w:ascii="Tahoma" w:hAnsi="Tahoma" w:cs="Tahoma"/>
          <w:b w:val="0"/>
          <w:bCs w:val="0"/>
        </w:rPr>
        <w:t xml:space="preserve"> </w:t>
      </w:r>
      <w:r w:rsidR="002F24E1" w:rsidRPr="00B004EE">
        <w:rPr>
          <w:rFonts w:ascii="Tahoma" w:hAnsi="Tahoma" w:cs="Tahoma"/>
          <w:b w:val="0"/>
          <w:bCs w:val="0"/>
        </w:rPr>
        <w:t>Les</w:t>
      </w:r>
      <w:r w:rsidR="00DB1635" w:rsidRPr="00B004EE">
        <w:rPr>
          <w:rFonts w:ascii="Tahoma" w:hAnsi="Tahoma" w:cs="Tahoma"/>
          <w:b w:val="0"/>
          <w:bCs w:val="0"/>
        </w:rPr>
        <w:t xml:space="preserve"> </w:t>
      </w:r>
      <w:r w:rsidR="002F24E1" w:rsidRPr="00B004EE">
        <w:rPr>
          <w:rFonts w:ascii="Tahoma" w:hAnsi="Tahoma" w:cs="Tahoma"/>
          <w:b w:val="0"/>
          <w:bCs w:val="0"/>
        </w:rPr>
        <w:t>agents</w:t>
      </w:r>
      <w:r w:rsidR="00DB1635" w:rsidRPr="00B004EE">
        <w:rPr>
          <w:rFonts w:ascii="Tahoma" w:hAnsi="Tahoma" w:cs="Tahoma"/>
          <w:b w:val="0"/>
          <w:bCs w:val="0"/>
        </w:rPr>
        <w:t xml:space="preserve"> </w:t>
      </w:r>
      <w:r w:rsidR="002F24E1" w:rsidRPr="00B004EE">
        <w:rPr>
          <w:rFonts w:ascii="Tahoma" w:hAnsi="Tahoma" w:cs="Tahoma"/>
          <w:b w:val="0"/>
          <w:bCs w:val="0"/>
        </w:rPr>
        <w:t>agréés</w:t>
      </w:r>
      <w:r w:rsidR="00DB1635" w:rsidRPr="00B004EE">
        <w:rPr>
          <w:rFonts w:ascii="Tahoma" w:hAnsi="Tahoma" w:cs="Tahoma"/>
          <w:b w:val="0"/>
          <w:bCs w:val="0"/>
        </w:rPr>
        <w:t xml:space="preserve"> </w:t>
      </w:r>
      <w:r w:rsidR="002F24E1" w:rsidRPr="00B004EE">
        <w:rPr>
          <w:rFonts w:ascii="Tahoma" w:hAnsi="Tahoma" w:cs="Tahoma"/>
          <w:b w:val="0"/>
          <w:bCs w:val="0"/>
        </w:rPr>
        <w:t>des</w:t>
      </w:r>
      <w:r w:rsidR="00DB1635" w:rsidRPr="00B004EE">
        <w:rPr>
          <w:rFonts w:ascii="Tahoma" w:hAnsi="Tahoma" w:cs="Tahoma"/>
          <w:b w:val="0"/>
          <w:bCs w:val="0"/>
        </w:rPr>
        <w:t xml:space="preserve"> </w:t>
      </w:r>
      <w:r w:rsidR="002F24E1" w:rsidRPr="00B004EE">
        <w:rPr>
          <w:rFonts w:ascii="Tahoma" w:hAnsi="Tahoma" w:cs="Tahoma"/>
          <w:b w:val="0"/>
          <w:bCs w:val="0"/>
        </w:rPr>
        <w:t>services</w:t>
      </w:r>
      <w:r w:rsidR="00DB1635" w:rsidRPr="00B004EE">
        <w:rPr>
          <w:rFonts w:ascii="Tahoma" w:hAnsi="Tahoma" w:cs="Tahoma"/>
          <w:b w:val="0"/>
          <w:bCs w:val="0"/>
        </w:rPr>
        <w:t xml:space="preserve"> </w:t>
      </w:r>
      <w:r w:rsidR="002F24E1" w:rsidRPr="00B004EE">
        <w:rPr>
          <w:rFonts w:ascii="Tahoma" w:hAnsi="Tahoma" w:cs="Tahoma"/>
          <w:b w:val="0"/>
          <w:bCs w:val="0"/>
        </w:rPr>
        <w:t>des</w:t>
      </w:r>
      <w:r w:rsidR="00DB1635" w:rsidRPr="00B004EE">
        <w:rPr>
          <w:rFonts w:ascii="Tahoma" w:hAnsi="Tahoma" w:cs="Tahoma"/>
          <w:b w:val="0"/>
          <w:bCs w:val="0"/>
        </w:rPr>
        <w:t xml:space="preserve"> </w:t>
      </w:r>
      <w:r w:rsidR="002F24E1" w:rsidRPr="00B004EE">
        <w:rPr>
          <w:rFonts w:ascii="Tahoma" w:hAnsi="Tahoma" w:cs="Tahoma"/>
          <w:b w:val="0"/>
          <w:bCs w:val="0"/>
        </w:rPr>
        <w:t>Pêches,</w:t>
      </w:r>
      <w:r w:rsidR="00DB1635" w:rsidRPr="00B004EE">
        <w:rPr>
          <w:rFonts w:ascii="Tahoma" w:hAnsi="Tahoma" w:cs="Tahoma"/>
          <w:b w:val="0"/>
          <w:bCs w:val="0"/>
        </w:rPr>
        <w:t xml:space="preserve"> </w:t>
      </w:r>
      <w:r w:rsidR="002F24E1" w:rsidRPr="00B004EE">
        <w:rPr>
          <w:rFonts w:ascii="Tahoma" w:hAnsi="Tahoma" w:cs="Tahoma"/>
          <w:b w:val="0"/>
          <w:bCs w:val="0"/>
        </w:rPr>
        <w:t>de</w:t>
      </w:r>
      <w:r w:rsidR="00DB1635" w:rsidRPr="00B004EE">
        <w:rPr>
          <w:rFonts w:ascii="Tahoma" w:hAnsi="Tahoma" w:cs="Tahoma"/>
          <w:b w:val="0"/>
          <w:bCs w:val="0"/>
        </w:rPr>
        <w:t xml:space="preserve"> </w:t>
      </w:r>
      <w:r w:rsidR="002F24E1" w:rsidRPr="00B004EE">
        <w:rPr>
          <w:rFonts w:ascii="Tahoma" w:hAnsi="Tahoma" w:cs="Tahoma"/>
          <w:b w:val="0"/>
          <w:bCs w:val="0"/>
        </w:rPr>
        <w:t>l'Elevage,</w:t>
      </w:r>
      <w:r w:rsidR="00DB1635" w:rsidRPr="00B004EE">
        <w:rPr>
          <w:rFonts w:ascii="Tahoma" w:hAnsi="Tahoma" w:cs="Tahoma"/>
          <w:b w:val="0"/>
          <w:bCs w:val="0"/>
        </w:rPr>
        <w:t xml:space="preserve"> </w:t>
      </w:r>
      <w:r w:rsidR="002F24E1" w:rsidRPr="00B004EE">
        <w:rPr>
          <w:rFonts w:ascii="Tahoma" w:hAnsi="Tahoma" w:cs="Tahoma"/>
          <w:b w:val="0"/>
          <w:bCs w:val="0"/>
        </w:rPr>
        <w:t>des</w:t>
      </w:r>
      <w:r w:rsidR="00DB1635" w:rsidRPr="00B004EE">
        <w:rPr>
          <w:rFonts w:ascii="Tahoma" w:hAnsi="Tahoma" w:cs="Tahoma"/>
          <w:b w:val="0"/>
          <w:bCs w:val="0"/>
        </w:rPr>
        <w:t xml:space="preserve"> </w:t>
      </w:r>
      <w:r w:rsidR="002F24E1" w:rsidRPr="00B004EE">
        <w:rPr>
          <w:rFonts w:ascii="Tahoma" w:hAnsi="Tahoma" w:cs="Tahoma"/>
          <w:b w:val="0"/>
          <w:bCs w:val="0"/>
        </w:rPr>
        <w:t>Douanes,</w:t>
      </w:r>
      <w:r w:rsidR="00DB1635" w:rsidRPr="00B004EE">
        <w:rPr>
          <w:rFonts w:ascii="Tahoma" w:hAnsi="Tahoma" w:cs="Tahoma"/>
          <w:b w:val="0"/>
          <w:bCs w:val="0"/>
        </w:rPr>
        <w:t xml:space="preserve"> </w:t>
      </w:r>
      <w:r w:rsidR="002F24E1" w:rsidRPr="00B004EE">
        <w:rPr>
          <w:rFonts w:ascii="Tahoma" w:hAnsi="Tahoma" w:cs="Tahoma"/>
          <w:b w:val="0"/>
          <w:bCs w:val="0"/>
        </w:rPr>
        <w:t>du</w:t>
      </w:r>
      <w:r w:rsidR="00DB1635" w:rsidRPr="00B004EE">
        <w:rPr>
          <w:rFonts w:ascii="Tahoma" w:hAnsi="Tahoma" w:cs="Tahoma"/>
          <w:b w:val="0"/>
          <w:bCs w:val="0"/>
        </w:rPr>
        <w:t xml:space="preserve"> </w:t>
      </w:r>
      <w:r w:rsidR="002F24E1" w:rsidRPr="00B004EE">
        <w:rPr>
          <w:rFonts w:ascii="Tahoma" w:hAnsi="Tahoma" w:cs="Tahoma"/>
          <w:b w:val="0"/>
          <w:bCs w:val="0"/>
        </w:rPr>
        <w:t>contrôle</w:t>
      </w:r>
      <w:r w:rsidR="00DB1635" w:rsidRPr="00B004EE">
        <w:rPr>
          <w:rFonts w:ascii="Tahoma" w:hAnsi="Tahoma" w:cs="Tahoma"/>
          <w:b w:val="0"/>
          <w:bCs w:val="0"/>
        </w:rPr>
        <w:t xml:space="preserve"> </w:t>
      </w:r>
      <w:r w:rsidR="002F24E1" w:rsidRPr="00B004EE">
        <w:rPr>
          <w:rFonts w:ascii="Tahoma" w:hAnsi="Tahoma" w:cs="Tahoma"/>
          <w:b w:val="0"/>
          <w:bCs w:val="0"/>
        </w:rPr>
        <w:t>économique</w:t>
      </w:r>
      <w:r w:rsidR="00DB1635" w:rsidRPr="00B004EE">
        <w:rPr>
          <w:rFonts w:ascii="Tahoma" w:hAnsi="Tahoma" w:cs="Tahoma"/>
          <w:b w:val="0"/>
          <w:bCs w:val="0"/>
        </w:rPr>
        <w:t xml:space="preserve"> </w:t>
      </w:r>
      <w:r w:rsidR="002F24E1" w:rsidRPr="00B004EE">
        <w:rPr>
          <w:rFonts w:ascii="Tahoma" w:hAnsi="Tahoma" w:cs="Tahoma"/>
          <w:b w:val="0"/>
          <w:bCs w:val="0"/>
        </w:rPr>
        <w:t>et</w:t>
      </w:r>
      <w:r w:rsidR="00DB1635" w:rsidRPr="00B004EE">
        <w:rPr>
          <w:rFonts w:ascii="Tahoma" w:hAnsi="Tahoma" w:cs="Tahoma"/>
          <w:b w:val="0"/>
          <w:bCs w:val="0"/>
        </w:rPr>
        <w:t xml:space="preserve"> </w:t>
      </w:r>
      <w:r w:rsidR="002F24E1" w:rsidRPr="00B004EE">
        <w:rPr>
          <w:rFonts w:ascii="Tahoma" w:hAnsi="Tahoma" w:cs="Tahoma"/>
          <w:b w:val="0"/>
          <w:bCs w:val="0"/>
        </w:rPr>
        <w:t>les</w:t>
      </w:r>
      <w:r w:rsidR="00DB1635" w:rsidRPr="00B004EE">
        <w:rPr>
          <w:rFonts w:ascii="Tahoma" w:hAnsi="Tahoma" w:cs="Tahoma"/>
          <w:b w:val="0"/>
          <w:bCs w:val="0"/>
        </w:rPr>
        <w:t xml:space="preserve"> </w:t>
      </w:r>
      <w:r w:rsidR="002F24E1" w:rsidRPr="00B004EE">
        <w:rPr>
          <w:rFonts w:ascii="Tahoma" w:hAnsi="Tahoma" w:cs="Tahoma"/>
          <w:b w:val="0"/>
          <w:bCs w:val="0"/>
        </w:rPr>
        <w:t>officiers</w:t>
      </w:r>
      <w:r w:rsidR="00DB1635" w:rsidRPr="00B004EE">
        <w:rPr>
          <w:rFonts w:ascii="Tahoma" w:hAnsi="Tahoma" w:cs="Tahoma"/>
          <w:b w:val="0"/>
          <w:bCs w:val="0"/>
        </w:rPr>
        <w:t xml:space="preserve"> </w:t>
      </w:r>
      <w:r w:rsidR="002F24E1" w:rsidRPr="00B004EE">
        <w:rPr>
          <w:rFonts w:ascii="Tahoma" w:hAnsi="Tahoma" w:cs="Tahoma"/>
          <w:b w:val="0"/>
          <w:bCs w:val="0"/>
        </w:rPr>
        <w:t>de</w:t>
      </w:r>
      <w:r w:rsidR="00DB1635" w:rsidRPr="00B004EE">
        <w:rPr>
          <w:rFonts w:ascii="Tahoma" w:hAnsi="Tahoma" w:cs="Tahoma"/>
          <w:b w:val="0"/>
          <w:bCs w:val="0"/>
        </w:rPr>
        <w:t xml:space="preserve"> </w:t>
      </w:r>
      <w:r w:rsidR="002F24E1" w:rsidRPr="00B004EE">
        <w:rPr>
          <w:rFonts w:ascii="Tahoma" w:hAnsi="Tahoma" w:cs="Tahoma"/>
          <w:b w:val="0"/>
          <w:bCs w:val="0"/>
        </w:rPr>
        <w:t>police</w:t>
      </w:r>
      <w:r w:rsidR="00DB1635" w:rsidRPr="00B004EE">
        <w:rPr>
          <w:rFonts w:ascii="Tahoma" w:hAnsi="Tahoma" w:cs="Tahoma"/>
          <w:b w:val="0"/>
          <w:bCs w:val="0"/>
        </w:rPr>
        <w:t xml:space="preserve"> </w:t>
      </w:r>
      <w:r w:rsidR="002F24E1" w:rsidRPr="00B004EE">
        <w:rPr>
          <w:rFonts w:ascii="Tahoma" w:hAnsi="Tahoma" w:cs="Tahoma"/>
          <w:b w:val="0"/>
          <w:bCs w:val="0"/>
        </w:rPr>
        <w:t>judiciaire</w:t>
      </w:r>
      <w:r w:rsidR="00DB1635" w:rsidRPr="00B004EE">
        <w:rPr>
          <w:rFonts w:ascii="Tahoma" w:hAnsi="Tahoma" w:cs="Tahoma"/>
          <w:b w:val="0"/>
          <w:bCs w:val="0"/>
        </w:rPr>
        <w:t xml:space="preserve"> </w:t>
      </w:r>
      <w:r w:rsidR="002F24E1" w:rsidRPr="00B004EE">
        <w:rPr>
          <w:rFonts w:ascii="Tahoma" w:hAnsi="Tahoma" w:cs="Tahoma"/>
          <w:b w:val="0"/>
          <w:bCs w:val="0"/>
        </w:rPr>
        <w:t>peuvent</w:t>
      </w:r>
      <w:r w:rsidR="00DB1635" w:rsidRPr="00B004EE">
        <w:rPr>
          <w:rFonts w:ascii="Tahoma" w:hAnsi="Tahoma" w:cs="Tahoma"/>
          <w:b w:val="0"/>
          <w:bCs w:val="0"/>
        </w:rPr>
        <w:t xml:space="preserve"> </w:t>
      </w:r>
      <w:r w:rsidR="002F24E1" w:rsidRPr="00B004EE">
        <w:rPr>
          <w:rFonts w:ascii="Tahoma" w:hAnsi="Tahoma" w:cs="Tahoma"/>
          <w:b w:val="0"/>
          <w:bCs w:val="0"/>
        </w:rPr>
        <w:t>pratiquer</w:t>
      </w:r>
      <w:r w:rsidR="00DB1635" w:rsidRPr="00B004EE">
        <w:rPr>
          <w:rFonts w:ascii="Tahoma" w:hAnsi="Tahoma" w:cs="Tahoma"/>
          <w:b w:val="0"/>
          <w:bCs w:val="0"/>
        </w:rPr>
        <w:t xml:space="preserve"> </w:t>
      </w:r>
      <w:r w:rsidR="002F24E1" w:rsidRPr="00B004EE">
        <w:rPr>
          <w:rFonts w:ascii="Tahoma" w:hAnsi="Tahoma" w:cs="Tahoma"/>
          <w:b w:val="0"/>
          <w:bCs w:val="0"/>
        </w:rPr>
        <w:t>la</w:t>
      </w:r>
      <w:r w:rsidR="00DB1635" w:rsidRPr="00B004EE">
        <w:rPr>
          <w:rFonts w:ascii="Tahoma" w:hAnsi="Tahoma" w:cs="Tahoma"/>
          <w:b w:val="0"/>
          <w:bCs w:val="0"/>
        </w:rPr>
        <w:t xml:space="preserve"> </w:t>
      </w:r>
      <w:r w:rsidR="002F24E1" w:rsidRPr="00B004EE">
        <w:rPr>
          <w:rFonts w:ascii="Tahoma" w:hAnsi="Tahoma" w:cs="Tahoma"/>
          <w:b w:val="0"/>
          <w:bCs w:val="0"/>
        </w:rPr>
        <w:t>saisie</w:t>
      </w:r>
      <w:r w:rsidR="00DB1635" w:rsidRPr="00B004EE">
        <w:rPr>
          <w:rFonts w:ascii="Tahoma" w:hAnsi="Tahoma" w:cs="Tahoma"/>
          <w:b w:val="0"/>
          <w:bCs w:val="0"/>
        </w:rPr>
        <w:t xml:space="preserve"> </w:t>
      </w:r>
      <w:r w:rsidR="002F24E1" w:rsidRPr="00B004EE">
        <w:rPr>
          <w:rFonts w:ascii="Tahoma" w:hAnsi="Tahoma" w:cs="Tahoma"/>
          <w:b w:val="0"/>
          <w:bCs w:val="0"/>
        </w:rPr>
        <w:t>des</w:t>
      </w:r>
      <w:r w:rsidR="00DB1635" w:rsidRPr="00B004EE">
        <w:rPr>
          <w:rFonts w:ascii="Tahoma" w:hAnsi="Tahoma" w:cs="Tahoma"/>
          <w:b w:val="0"/>
          <w:bCs w:val="0"/>
        </w:rPr>
        <w:t xml:space="preserve"> </w:t>
      </w:r>
      <w:r w:rsidR="002F24E1" w:rsidRPr="00B004EE">
        <w:rPr>
          <w:rFonts w:ascii="Tahoma" w:hAnsi="Tahoma" w:cs="Tahoma"/>
          <w:b w:val="0"/>
          <w:bCs w:val="0"/>
        </w:rPr>
        <w:t>produits.</w:t>
      </w:r>
    </w:p>
    <w:p w14:paraId="425F4E48" w14:textId="77777777" w:rsidR="002F24E1" w:rsidRPr="00B004EE" w:rsidRDefault="002F24E1" w:rsidP="00B004EE">
      <w:pPr>
        <w:pStyle w:val="Lgende"/>
        <w:jc w:val="both"/>
        <w:rPr>
          <w:rFonts w:ascii="Tahoma" w:hAnsi="Tahoma" w:cs="Tahoma"/>
          <w:b w:val="0"/>
          <w:bCs w:val="0"/>
        </w:rPr>
      </w:pPr>
    </w:p>
    <w:p w14:paraId="5D4AE610" w14:textId="47B16DE5" w:rsidR="002F24E1" w:rsidRPr="00B004EE" w:rsidRDefault="002F24E1" w:rsidP="00B004EE">
      <w:pPr>
        <w:pStyle w:val="Lgende"/>
        <w:jc w:val="both"/>
        <w:rPr>
          <w:rFonts w:ascii="Tahoma" w:hAnsi="Tahoma" w:cs="Tahoma"/>
          <w:b w:val="0"/>
          <w:bCs w:val="0"/>
        </w:rPr>
      </w:pPr>
      <w:r w:rsidRPr="00B004EE">
        <w:rPr>
          <w:rFonts w:ascii="Tahoma" w:hAnsi="Tahoma" w:cs="Tahoma"/>
          <w:b w:val="0"/>
          <w:bCs w:val="0"/>
        </w:rPr>
        <w:tab/>
        <w:t>Les</w:t>
      </w:r>
      <w:r w:rsidR="00DB1635" w:rsidRPr="00B004EE">
        <w:rPr>
          <w:rFonts w:ascii="Tahoma" w:hAnsi="Tahoma" w:cs="Tahoma"/>
          <w:b w:val="0"/>
          <w:bCs w:val="0"/>
        </w:rPr>
        <w:t xml:space="preserve"> </w:t>
      </w:r>
      <w:r w:rsidRPr="00B004EE">
        <w:rPr>
          <w:rFonts w:ascii="Tahoma" w:hAnsi="Tahoma" w:cs="Tahoma"/>
          <w:b w:val="0"/>
          <w:bCs w:val="0"/>
        </w:rPr>
        <w:t>produits</w:t>
      </w:r>
      <w:r w:rsidR="00DB1635" w:rsidRPr="00B004EE">
        <w:rPr>
          <w:rFonts w:ascii="Tahoma" w:hAnsi="Tahoma" w:cs="Tahoma"/>
          <w:b w:val="0"/>
          <w:bCs w:val="0"/>
        </w:rPr>
        <w:t xml:space="preserve"> </w:t>
      </w:r>
      <w:r w:rsidRPr="00B004EE">
        <w:rPr>
          <w:rFonts w:ascii="Tahoma" w:hAnsi="Tahoma" w:cs="Tahoma"/>
          <w:b w:val="0"/>
          <w:bCs w:val="0"/>
        </w:rPr>
        <w:t>saisis</w:t>
      </w:r>
      <w:r w:rsidR="00DB1635" w:rsidRPr="00B004EE">
        <w:rPr>
          <w:rFonts w:ascii="Tahoma" w:hAnsi="Tahoma" w:cs="Tahoma"/>
          <w:b w:val="0"/>
          <w:bCs w:val="0"/>
        </w:rPr>
        <w:t xml:space="preserve"> </w:t>
      </w:r>
      <w:r w:rsidRPr="00B004EE">
        <w:rPr>
          <w:rFonts w:ascii="Tahoma" w:hAnsi="Tahoma" w:cs="Tahoma"/>
          <w:b w:val="0"/>
          <w:bCs w:val="0"/>
        </w:rPr>
        <w:t>sont</w:t>
      </w:r>
      <w:r w:rsidR="00DB1635" w:rsidRPr="00B004EE">
        <w:rPr>
          <w:rFonts w:ascii="Tahoma" w:hAnsi="Tahoma" w:cs="Tahoma"/>
          <w:b w:val="0"/>
          <w:bCs w:val="0"/>
        </w:rPr>
        <w:t xml:space="preserve"> </w:t>
      </w:r>
      <w:r w:rsidRPr="00B004EE">
        <w:rPr>
          <w:rFonts w:ascii="Tahoma" w:hAnsi="Tahoma" w:cs="Tahoma"/>
          <w:b w:val="0"/>
          <w:bCs w:val="0"/>
        </w:rPr>
        <w:t>soumis</w:t>
      </w:r>
      <w:r w:rsidR="00DB1635" w:rsidRPr="00B004EE">
        <w:rPr>
          <w:rFonts w:ascii="Tahoma" w:hAnsi="Tahoma" w:cs="Tahoma"/>
          <w:b w:val="0"/>
          <w:bCs w:val="0"/>
        </w:rPr>
        <w:t xml:space="preserve"> </w:t>
      </w:r>
      <w:r w:rsidRPr="00B004EE">
        <w:rPr>
          <w:rFonts w:ascii="Tahoma" w:hAnsi="Tahoma" w:cs="Tahoma"/>
          <w:b w:val="0"/>
          <w:bCs w:val="0"/>
        </w:rPr>
        <w:t>à</w:t>
      </w:r>
      <w:r w:rsidR="00DB1635" w:rsidRPr="00B004EE">
        <w:rPr>
          <w:rFonts w:ascii="Tahoma" w:hAnsi="Tahoma" w:cs="Tahoma"/>
          <w:b w:val="0"/>
          <w:bCs w:val="0"/>
        </w:rPr>
        <w:t xml:space="preserve"> </w:t>
      </w:r>
      <w:r w:rsidRPr="00B004EE">
        <w:rPr>
          <w:rFonts w:ascii="Tahoma" w:hAnsi="Tahoma" w:cs="Tahoma"/>
          <w:b w:val="0"/>
          <w:bCs w:val="0"/>
        </w:rPr>
        <w:t>l'examen</w:t>
      </w:r>
      <w:r w:rsidR="00DB1635" w:rsidRPr="00B004EE">
        <w:rPr>
          <w:rFonts w:ascii="Tahoma" w:hAnsi="Tahoma" w:cs="Tahoma"/>
          <w:b w:val="0"/>
          <w:bCs w:val="0"/>
        </w:rPr>
        <w:t xml:space="preserve"> </w:t>
      </w:r>
      <w:r w:rsidRPr="00B004EE">
        <w:rPr>
          <w:rFonts w:ascii="Tahoma" w:hAnsi="Tahoma" w:cs="Tahoma"/>
          <w:b w:val="0"/>
          <w:bCs w:val="0"/>
        </w:rPr>
        <w:t>d'un</w:t>
      </w:r>
      <w:r w:rsidR="00DB1635" w:rsidRPr="00B004EE">
        <w:rPr>
          <w:rFonts w:ascii="Tahoma" w:hAnsi="Tahoma" w:cs="Tahoma"/>
          <w:b w:val="0"/>
          <w:bCs w:val="0"/>
        </w:rPr>
        <w:t xml:space="preserve"> </w:t>
      </w:r>
      <w:r w:rsidRPr="00B004EE">
        <w:rPr>
          <w:rFonts w:ascii="Tahoma" w:hAnsi="Tahoma" w:cs="Tahoma"/>
          <w:b w:val="0"/>
          <w:bCs w:val="0"/>
        </w:rPr>
        <w:t>agent</w:t>
      </w:r>
      <w:r w:rsidR="00DB1635" w:rsidRPr="00B004EE">
        <w:rPr>
          <w:rFonts w:ascii="Tahoma" w:hAnsi="Tahoma" w:cs="Tahoma"/>
          <w:b w:val="0"/>
          <w:bCs w:val="0"/>
        </w:rPr>
        <w:t xml:space="preserve"> </w:t>
      </w:r>
      <w:r w:rsidRPr="00B004EE">
        <w:rPr>
          <w:rFonts w:ascii="Tahoma" w:hAnsi="Tahoma" w:cs="Tahoma"/>
          <w:b w:val="0"/>
          <w:bCs w:val="0"/>
        </w:rPr>
        <w:t>de</w:t>
      </w:r>
      <w:r w:rsidR="00DB1635" w:rsidRPr="00B004EE">
        <w:rPr>
          <w:rFonts w:ascii="Tahoma" w:hAnsi="Tahoma" w:cs="Tahoma"/>
          <w:b w:val="0"/>
          <w:bCs w:val="0"/>
        </w:rPr>
        <w:t xml:space="preserve"> </w:t>
      </w:r>
      <w:r w:rsidRPr="00B004EE">
        <w:rPr>
          <w:rFonts w:ascii="Tahoma" w:hAnsi="Tahoma" w:cs="Tahoma"/>
          <w:b w:val="0"/>
          <w:bCs w:val="0"/>
        </w:rPr>
        <w:t>contrôle</w:t>
      </w:r>
      <w:r w:rsidR="00DB1635" w:rsidRPr="00B004EE">
        <w:rPr>
          <w:rFonts w:ascii="Tahoma" w:hAnsi="Tahoma" w:cs="Tahoma"/>
          <w:b w:val="0"/>
          <w:bCs w:val="0"/>
        </w:rPr>
        <w:t xml:space="preserve"> </w:t>
      </w:r>
      <w:r w:rsidRPr="00B004EE">
        <w:rPr>
          <w:rFonts w:ascii="Tahoma" w:hAnsi="Tahoma" w:cs="Tahoma"/>
          <w:b w:val="0"/>
          <w:bCs w:val="0"/>
        </w:rPr>
        <w:t>habilité</w:t>
      </w:r>
      <w:r w:rsidR="00DB1635" w:rsidRPr="00B004EE">
        <w:rPr>
          <w:rFonts w:ascii="Tahoma" w:hAnsi="Tahoma" w:cs="Tahoma"/>
          <w:b w:val="0"/>
          <w:bCs w:val="0"/>
        </w:rPr>
        <w:t xml:space="preserve"> </w:t>
      </w:r>
      <w:r w:rsidRPr="00B004EE">
        <w:rPr>
          <w:rFonts w:ascii="Tahoma" w:hAnsi="Tahoma" w:cs="Tahoma"/>
          <w:b w:val="0"/>
          <w:bCs w:val="0"/>
        </w:rPr>
        <w:t>du</w:t>
      </w:r>
      <w:r w:rsidR="00DB1635" w:rsidRPr="00B004EE">
        <w:rPr>
          <w:rFonts w:ascii="Tahoma" w:hAnsi="Tahoma" w:cs="Tahoma"/>
          <w:b w:val="0"/>
          <w:bCs w:val="0"/>
        </w:rPr>
        <w:t xml:space="preserve"> </w:t>
      </w:r>
      <w:r w:rsidRPr="00B004EE">
        <w:rPr>
          <w:rFonts w:ascii="Tahoma" w:hAnsi="Tahoma" w:cs="Tahoma"/>
          <w:b w:val="0"/>
          <w:bCs w:val="0"/>
        </w:rPr>
        <w:t>Centre</w:t>
      </w:r>
      <w:r w:rsidR="00DB1635" w:rsidRPr="00B004EE">
        <w:rPr>
          <w:rFonts w:ascii="Tahoma" w:hAnsi="Tahoma" w:cs="Tahoma"/>
          <w:b w:val="0"/>
          <w:bCs w:val="0"/>
        </w:rPr>
        <w:t xml:space="preserve"> </w:t>
      </w:r>
      <w:r w:rsidRPr="00B004EE">
        <w:rPr>
          <w:rFonts w:ascii="Tahoma" w:hAnsi="Tahoma" w:cs="Tahoma"/>
          <w:b w:val="0"/>
          <w:bCs w:val="0"/>
        </w:rPr>
        <w:t>National</w:t>
      </w:r>
      <w:r w:rsidR="00DB1635" w:rsidRPr="00B004EE">
        <w:rPr>
          <w:rFonts w:ascii="Tahoma" w:hAnsi="Tahoma" w:cs="Tahoma"/>
          <w:b w:val="0"/>
          <w:bCs w:val="0"/>
        </w:rPr>
        <w:t xml:space="preserve"> </w:t>
      </w:r>
      <w:r w:rsidRPr="00B004EE">
        <w:rPr>
          <w:rFonts w:ascii="Tahoma" w:hAnsi="Tahoma" w:cs="Tahoma"/>
          <w:b w:val="0"/>
          <w:bCs w:val="0"/>
        </w:rPr>
        <w:t>de</w:t>
      </w:r>
      <w:r w:rsidR="00DB1635" w:rsidRPr="00B004EE">
        <w:rPr>
          <w:rFonts w:ascii="Tahoma" w:hAnsi="Tahoma" w:cs="Tahoma"/>
          <w:b w:val="0"/>
          <w:bCs w:val="0"/>
        </w:rPr>
        <w:t xml:space="preserve"> </w:t>
      </w:r>
      <w:r w:rsidRPr="00B004EE">
        <w:rPr>
          <w:rFonts w:ascii="Tahoma" w:hAnsi="Tahoma" w:cs="Tahoma"/>
          <w:b w:val="0"/>
          <w:bCs w:val="0"/>
        </w:rPr>
        <w:t>Recherches</w:t>
      </w:r>
      <w:r w:rsidR="00DB1635" w:rsidRPr="00B004EE">
        <w:rPr>
          <w:rFonts w:ascii="Tahoma" w:hAnsi="Tahoma" w:cs="Tahoma"/>
          <w:b w:val="0"/>
          <w:bCs w:val="0"/>
        </w:rPr>
        <w:t xml:space="preserve"> </w:t>
      </w:r>
      <w:r w:rsidRPr="00B004EE">
        <w:rPr>
          <w:rFonts w:ascii="Tahoma" w:hAnsi="Tahoma" w:cs="Tahoma"/>
          <w:b w:val="0"/>
          <w:bCs w:val="0"/>
        </w:rPr>
        <w:t>Océanographiques</w:t>
      </w:r>
      <w:r w:rsidR="00DB1635" w:rsidRPr="00B004EE">
        <w:rPr>
          <w:rFonts w:ascii="Tahoma" w:hAnsi="Tahoma" w:cs="Tahoma"/>
          <w:b w:val="0"/>
          <w:bCs w:val="0"/>
        </w:rPr>
        <w:t xml:space="preserve"> </w:t>
      </w:r>
      <w:r w:rsidRPr="00B004EE">
        <w:rPr>
          <w:rFonts w:ascii="Tahoma" w:hAnsi="Tahoma" w:cs="Tahoma"/>
          <w:b w:val="0"/>
          <w:bCs w:val="0"/>
        </w:rPr>
        <w:t>et</w:t>
      </w:r>
      <w:r w:rsidR="00DB1635" w:rsidRPr="00B004EE">
        <w:rPr>
          <w:rFonts w:ascii="Tahoma" w:hAnsi="Tahoma" w:cs="Tahoma"/>
          <w:b w:val="0"/>
          <w:bCs w:val="0"/>
        </w:rPr>
        <w:t xml:space="preserve"> </w:t>
      </w:r>
      <w:r w:rsidRPr="00B004EE">
        <w:rPr>
          <w:rFonts w:ascii="Tahoma" w:hAnsi="Tahoma" w:cs="Tahoma"/>
          <w:b w:val="0"/>
          <w:bCs w:val="0"/>
        </w:rPr>
        <w:t>des</w:t>
      </w:r>
      <w:r w:rsidR="00DB1635" w:rsidRPr="00B004EE">
        <w:rPr>
          <w:rFonts w:ascii="Tahoma" w:hAnsi="Tahoma" w:cs="Tahoma"/>
          <w:b w:val="0"/>
          <w:bCs w:val="0"/>
        </w:rPr>
        <w:t xml:space="preserve"> </w:t>
      </w:r>
      <w:r w:rsidRPr="00B004EE">
        <w:rPr>
          <w:rFonts w:ascii="Tahoma" w:hAnsi="Tahoma" w:cs="Tahoma"/>
          <w:b w:val="0"/>
          <w:bCs w:val="0"/>
        </w:rPr>
        <w:t>Pêches</w:t>
      </w:r>
      <w:r w:rsidR="00DB1635" w:rsidRPr="00B004EE">
        <w:rPr>
          <w:rFonts w:ascii="Tahoma" w:hAnsi="Tahoma" w:cs="Tahoma"/>
          <w:b w:val="0"/>
          <w:bCs w:val="0"/>
        </w:rPr>
        <w:t xml:space="preserve"> </w:t>
      </w:r>
      <w:r w:rsidRPr="00B004EE">
        <w:rPr>
          <w:rFonts w:ascii="Tahoma" w:hAnsi="Tahoma" w:cs="Tahoma"/>
          <w:b w:val="0"/>
          <w:bCs w:val="0"/>
        </w:rPr>
        <w:t>ou</w:t>
      </w:r>
      <w:r w:rsidR="00DB1635" w:rsidRPr="00B004EE">
        <w:rPr>
          <w:rFonts w:ascii="Tahoma" w:hAnsi="Tahoma" w:cs="Tahoma"/>
          <w:b w:val="0"/>
          <w:bCs w:val="0"/>
        </w:rPr>
        <w:t xml:space="preserve"> </w:t>
      </w:r>
      <w:r w:rsidRPr="00B004EE">
        <w:rPr>
          <w:rFonts w:ascii="Tahoma" w:hAnsi="Tahoma" w:cs="Tahoma"/>
          <w:b w:val="0"/>
          <w:bCs w:val="0"/>
        </w:rPr>
        <w:t>d'un</w:t>
      </w:r>
      <w:r w:rsidR="00DB1635" w:rsidRPr="00B004EE">
        <w:rPr>
          <w:rFonts w:ascii="Tahoma" w:hAnsi="Tahoma" w:cs="Tahoma"/>
          <w:b w:val="0"/>
          <w:bCs w:val="0"/>
        </w:rPr>
        <w:t xml:space="preserve"> </w:t>
      </w:r>
      <w:r w:rsidRPr="00B004EE">
        <w:rPr>
          <w:rFonts w:ascii="Tahoma" w:hAnsi="Tahoma" w:cs="Tahoma"/>
          <w:b w:val="0"/>
          <w:bCs w:val="0"/>
        </w:rPr>
        <w:t>vétérinaire</w:t>
      </w:r>
      <w:r w:rsidR="00DB1635" w:rsidRPr="00B004EE">
        <w:rPr>
          <w:rFonts w:ascii="Tahoma" w:hAnsi="Tahoma" w:cs="Tahoma"/>
          <w:b w:val="0"/>
          <w:bCs w:val="0"/>
        </w:rPr>
        <w:t xml:space="preserve"> </w:t>
      </w:r>
      <w:r w:rsidRPr="00B004EE">
        <w:rPr>
          <w:rFonts w:ascii="Tahoma" w:hAnsi="Tahoma" w:cs="Tahoma"/>
          <w:b w:val="0"/>
          <w:bCs w:val="0"/>
        </w:rPr>
        <w:t>du</w:t>
      </w:r>
      <w:r w:rsidR="00DB1635" w:rsidRPr="00B004EE">
        <w:rPr>
          <w:rFonts w:ascii="Tahoma" w:hAnsi="Tahoma" w:cs="Tahoma"/>
          <w:b w:val="0"/>
          <w:bCs w:val="0"/>
        </w:rPr>
        <w:t xml:space="preserve"> </w:t>
      </w:r>
      <w:r w:rsidRPr="00B004EE">
        <w:rPr>
          <w:rFonts w:ascii="Tahoma" w:hAnsi="Tahoma" w:cs="Tahoma"/>
          <w:b w:val="0"/>
          <w:bCs w:val="0"/>
        </w:rPr>
        <w:t>service</w:t>
      </w:r>
      <w:r w:rsidR="00DB1635" w:rsidRPr="00B004EE">
        <w:rPr>
          <w:rFonts w:ascii="Tahoma" w:hAnsi="Tahoma" w:cs="Tahoma"/>
          <w:b w:val="0"/>
          <w:bCs w:val="0"/>
        </w:rPr>
        <w:t xml:space="preserve"> </w:t>
      </w:r>
      <w:r w:rsidRPr="00B004EE">
        <w:rPr>
          <w:rFonts w:ascii="Tahoma" w:hAnsi="Tahoma" w:cs="Tahoma"/>
          <w:b w:val="0"/>
          <w:bCs w:val="0"/>
        </w:rPr>
        <w:t>de</w:t>
      </w:r>
      <w:r w:rsidR="00DB1635" w:rsidRPr="00B004EE">
        <w:rPr>
          <w:rFonts w:ascii="Tahoma" w:hAnsi="Tahoma" w:cs="Tahoma"/>
          <w:b w:val="0"/>
          <w:bCs w:val="0"/>
        </w:rPr>
        <w:t xml:space="preserve"> </w:t>
      </w:r>
      <w:r w:rsidRPr="00B004EE">
        <w:rPr>
          <w:rFonts w:ascii="Tahoma" w:hAnsi="Tahoma" w:cs="Tahoma"/>
          <w:b w:val="0"/>
          <w:bCs w:val="0"/>
        </w:rPr>
        <w:t>l'Elevage.</w:t>
      </w:r>
      <w:r w:rsidR="00DB1635" w:rsidRPr="00B004EE">
        <w:rPr>
          <w:rFonts w:ascii="Tahoma" w:hAnsi="Tahoma" w:cs="Tahoma"/>
          <w:b w:val="0"/>
          <w:bCs w:val="0"/>
        </w:rPr>
        <w:t xml:space="preserve"> </w:t>
      </w:r>
      <w:r w:rsidRPr="00B004EE">
        <w:rPr>
          <w:rFonts w:ascii="Tahoma" w:hAnsi="Tahoma" w:cs="Tahoma"/>
          <w:b w:val="0"/>
          <w:bCs w:val="0"/>
        </w:rPr>
        <w:t>S'ils</w:t>
      </w:r>
      <w:r w:rsidR="00DB1635" w:rsidRPr="00B004EE">
        <w:rPr>
          <w:rFonts w:ascii="Tahoma" w:hAnsi="Tahoma" w:cs="Tahoma"/>
          <w:b w:val="0"/>
          <w:bCs w:val="0"/>
        </w:rPr>
        <w:t xml:space="preserve"> </w:t>
      </w:r>
      <w:r w:rsidRPr="00B004EE">
        <w:rPr>
          <w:rFonts w:ascii="Tahoma" w:hAnsi="Tahoma" w:cs="Tahoma"/>
          <w:b w:val="0"/>
          <w:bCs w:val="0"/>
        </w:rPr>
        <w:t>sont</w:t>
      </w:r>
      <w:r w:rsidR="00DB1635" w:rsidRPr="00B004EE">
        <w:rPr>
          <w:rFonts w:ascii="Tahoma" w:hAnsi="Tahoma" w:cs="Tahoma"/>
          <w:b w:val="0"/>
          <w:bCs w:val="0"/>
        </w:rPr>
        <w:t xml:space="preserve"> </w:t>
      </w:r>
      <w:r w:rsidRPr="00B004EE">
        <w:rPr>
          <w:rFonts w:ascii="Tahoma" w:hAnsi="Tahoma" w:cs="Tahoma"/>
          <w:b w:val="0"/>
          <w:bCs w:val="0"/>
        </w:rPr>
        <w:t>reconnus</w:t>
      </w:r>
      <w:r w:rsidR="00DB1635" w:rsidRPr="00B004EE">
        <w:rPr>
          <w:rFonts w:ascii="Tahoma" w:hAnsi="Tahoma" w:cs="Tahoma"/>
          <w:b w:val="0"/>
          <w:bCs w:val="0"/>
        </w:rPr>
        <w:t xml:space="preserve"> </w:t>
      </w:r>
      <w:r w:rsidRPr="00B004EE">
        <w:rPr>
          <w:rFonts w:ascii="Tahoma" w:hAnsi="Tahoma" w:cs="Tahoma"/>
          <w:b w:val="0"/>
          <w:bCs w:val="0"/>
        </w:rPr>
        <w:t>aptes</w:t>
      </w:r>
      <w:r w:rsidR="00DB1635" w:rsidRPr="00B004EE">
        <w:rPr>
          <w:rFonts w:ascii="Tahoma" w:hAnsi="Tahoma" w:cs="Tahoma"/>
          <w:b w:val="0"/>
          <w:bCs w:val="0"/>
        </w:rPr>
        <w:t xml:space="preserve"> </w:t>
      </w:r>
      <w:r w:rsidRPr="00B004EE">
        <w:rPr>
          <w:rFonts w:ascii="Tahoma" w:hAnsi="Tahoma" w:cs="Tahoma"/>
          <w:b w:val="0"/>
          <w:bCs w:val="0"/>
        </w:rPr>
        <w:t>à</w:t>
      </w:r>
      <w:r w:rsidR="00DB1635" w:rsidRPr="00B004EE">
        <w:rPr>
          <w:rFonts w:ascii="Tahoma" w:hAnsi="Tahoma" w:cs="Tahoma"/>
          <w:b w:val="0"/>
          <w:bCs w:val="0"/>
        </w:rPr>
        <w:t xml:space="preserve"> </w:t>
      </w:r>
      <w:r w:rsidRPr="00B004EE">
        <w:rPr>
          <w:rFonts w:ascii="Tahoma" w:hAnsi="Tahoma" w:cs="Tahoma"/>
          <w:b w:val="0"/>
          <w:bCs w:val="0"/>
        </w:rPr>
        <w:t>la</w:t>
      </w:r>
      <w:r w:rsidR="00DB1635" w:rsidRPr="00B004EE">
        <w:rPr>
          <w:rFonts w:ascii="Tahoma" w:hAnsi="Tahoma" w:cs="Tahoma"/>
          <w:b w:val="0"/>
          <w:bCs w:val="0"/>
        </w:rPr>
        <w:t xml:space="preserve"> </w:t>
      </w:r>
      <w:r w:rsidRPr="00B004EE">
        <w:rPr>
          <w:rFonts w:ascii="Tahoma" w:hAnsi="Tahoma" w:cs="Tahoma"/>
          <w:b w:val="0"/>
          <w:bCs w:val="0"/>
        </w:rPr>
        <w:t>consommation</w:t>
      </w:r>
      <w:r w:rsidR="00DB1635" w:rsidRPr="00B004EE">
        <w:rPr>
          <w:rFonts w:ascii="Tahoma" w:hAnsi="Tahoma" w:cs="Tahoma"/>
          <w:b w:val="0"/>
          <w:bCs w:val="0"/>
        </w:rPr>
        <w:t xml:space="preserve"> </w:t>
      </w:r>
      <w:r w:rsidRPr="00B004EE">
        <w:rPr>
          <w:rFonts w:ascii="Tahoma" w:hAnsi="Tahoma" w:cs="Tahoma"/>
          <w:b w:val="0"/>
          <w:bCs w:val="0"/>
        </w:rPr>
        <w:t>humaine,</w:t>
      </w:r>
      <w:r w:rsidR="00DB1635" w:rsidRPr="00B004EE">
        <w:rPr>
          <w:rFonts w:ascii="Tahoma" w:hAnsi="Tahoma" w:cs="Tahoma"/>
          <w:b w:val="0"/>
          <w:bCs w:val="0"/>
        </w:rPr>
        <w:t xml:space="preserve"> </w:t>
      </w:r>
      <w:r w:rsidRPr="00B004EE">
        <w:rPr>
          <w:rFonts w:ascii="Tahoma" w:hAnsi="Tahoma" w:cs="Tahoma"/>
          <w:b w:val="0"/>
          <w:bCs w:val="0"/>
        </w:rPr>
        <w:t>ces</w:t>
      </w:r>
      <w:r w:rsidR="00DB1635" w:rsidRPr="00B004EE">
        <w:rPr>
          <w:rFonts w:ascii="Tahoma" w:hAnsi="Tahoma" w:cs="Tahoma"/>
          <w:b w:val="0"/>
          <w:bCs w:val="0"/>
        </w:rPr>
        <w:t xml:space="preserve"> </w:t>
      </w:r>
      <w:r w:rsidRPr="00B004EE">
        <w:rPr>
          <w:rFonts w:ascii="Tahoma" w:hAnsi="Tahoma" w:cs="Tahoma"/>
          <w:b w:val="0"/>
          <w:bCs w:val="0"/>
        </w:rPr>
        <w:t>produits</w:t>
      </w:r>
      <w:r w:rsidR="00DB1635" w:rsidRPr="00B004EE">
        <w:rPr>
          <w:rFonts w:ascii="Tahoma" w:hAnsi="Tahoma" w:cs="Tahoma"/>
          <w:b w:val="0"/>
          <w:bCs w:val="0"/>
        </w:rPr>
        <w:t xml:space="preserve"> </w:t>
      </w:r>
      <w:r w:rsidRPr="00B004EE">
        <w:rPr>
          <w:rFonts w:ascii="Tahoma" w:hAnsi="Tahoma" w:cs="Tahoma"/>
          <w:b w:val="0"/>
          <w:bCs w:val="0"/>
        </w:rPr>
        <w:t>seront</w:t>
      </w:r>
      <w:r w:rsidR="00DB1635" w:rsidRPr="00B004EE">
        <w:rPr>
          <w:rFonts w:ascii="Tahoma" w:hAnsi="Tahoma" w:cs="Tahoma"/>
          <w:b w:val="0"/>
          <w:bCs w:val="0"/>
        </w:rPr>
        <w:t xml:space="preserve"> </w:t>
      </w:r>
      <w:r w:rsidRPr="00B004EE">
        <w:rPr>
          <w:rFonts w:ascii="Tahoma" w:hAnsi="Tahoma" w:cs="Tahoma"/>
          <w:b w:val="0"/>
          <w:bCs w:val="0"/>
        </w:rPr>
        <w:t>distribués</w:t>
      </w:r>
      <w:r w:rsidR="00DB1635" w:rsidRPr="00B004EE">
        <w:rPr>
          <w:rFonts w:ascii="Tahoma" w:hAnsi="Tahoma" w:cs="Tahoma"/>
          <w:b w:val="0"/>
          <w:bCs w:val="0"/>
        </w:rPr>
        <w:t xml:space="preserve"> </w:t>
      </w:r>
      <w:r w:rsidRPr="00B004EE">
        <w:rPr>
          <w:rFonts w:ascii="Tahoma" w:hAnsi="Tahoma" w:cs="Tahoma"/>
          <w:b w:val="0"/>
          <w:bCs w:val="0"/>
        </w:rPr>
        <w:t>gracieusement</w:t>
      </w:r>
      <w:r w:rsidR="00DB1635" w:rsidRPr="00B004EE">
        <w:rPr>
          <w:rFonts w:ascii="Tahoma" w:hAnsi="Tahoma" w:cs="Tahoma"/>
          <w:b w:val="0"/>
          <w:bCs w:val="0"/>
        </w:rPr>
        <w:t xml:space="preserve"> </w:t>
      </w:r>
      <w:r w:rsidRPr="00B004EE">
        <w:rPr>
          <w:rFonts w:ascii="Tahoma" w:hAnsi="Tahoma" w:cs="Tahoma"/>
          <w:b w:val="0"/>
          <w:bCs w:val="0"/>
        </w:rPr>
        <w:t>dans</w:t>
      </w:r>
      <w:r w:rsidR="00DB1635" w:rsidRPr="00B004EE">
        <w:rPr>
          <w:rFonts w:ascii="Tahoma" w:hAnsi="Tahoma" w:cs="Tahoma"/>
          <w:b w:val="0"/>
          <w:bCs w:val="0"/>
        </w:rPr>
        <w:t xml:space="preserve"> </w:t>
      </w:r>
      <w:r w:rsidRPr="00B004EE">
        <w:rPr>
          <w:rFonts w:ascii="Tahoma" w:hAnsi="Tahoma" w:cs="Tahoma"/>
          <w:b w:val="0"/>
          <w:bCs w:val="0"/>
        </w:rPr>
        <w:t>les</w:t>
      </w:r>
      <w:r w:rsidR="00DB1635" w:rsidRPr="00B004EE">
        <w:rPr>
          <w:rFonts w:ascii="Tahoma" w:hAnsi="Tahoma" w:cs="Tahoma"/>
          <w:b w:val="0"/>
          <w:bCs w:val="0"/>
        </w:rPr>
        <w:t xml:space="preserve"> </w:t>
      </w:r>
      <w:r w:rsidRPr="00B004EE">
        <w:rPr>
          <w:rFonts w:ascii="Tahoma" w:hAnsi="Tahoma" w:cs="Tahoma"/>
          <w:b w:val="0"/>
          <w:bCs w:val="0"/>
        </w:rPr>
        <w:t>établissements</w:t>
      </w:r>
      <w:r w:rsidR="00DB1635" w:rsidRPr="00B004EE">
        <w:rPr>
          <w:rFonts w:ascii="Tahoma" w:hAnsi="Tahoma" w:cs="Tahoma"/>
          <w:b w:val="0"/>
          <w:bCs w:val="0"/>
        </w:rPr>
        <w:t xml:space="preserve"> </w:t>
      </w:r>
      <w:r w:rsidRPr="00B004EE">
        <w:rPr>
          <w:rFonts w:ascii="Tahoma" w:hAnsi="Tahoma" w:cs="Tahoma"/>
          <w:b w:val="0"/>
          <w:bCs w:val="0"/>
        </w:rPr>
        <w:t>publics</w:t>
      </w:r>
      <w:r w:rsidR="00DB1635" w:rsidRPr="00B004EE">
        <w:rPr>
          <w:rFonts w:ascii="Tahoma" w:hAnsi="Tahoma" w:cs="Tahoma"/>
          <w:b w:val="0"/>
          <w:bCs w:val="0"/>
        </w:rPr>
        <w:t xml:space="preserve"> </w:t>
      </w:r>
      <w:r w:rsidRPr="00B004EE">
        <w:rPr>
          <w:rFonts w:ascii="Tahoma" w:hAnsi="Tahoma" w:cs="Tahoma"/>
          <w:b w:val="0"/>
          <w:bCs w:val="0"/>
        </w:rPr>
        <w:t>(hôpitaux,</w:t>
      </w:r>
      <w:r w:rsidR="00DB1635" w:rsidRPr="00B004EE">
        <w:rPr>
          <w:rFonts w:ascii="Tahoma" w:hAnsi="Tahoma" w:cs="Tahoma"/>
          <w:b w:val="0"/>
          <w:bCs w:val="0"/>
        </w:rPr>
        <w:t xml:space="preserve"> </w:t>
      </w:r>
      <w:r w:rsidRPr="00B004EE">
        <w:rPr>
          <w:rFonts w:ascii="Tahoma" w:hAnsi="Tahoma" w:cs="Tahoma"/>
          <w:b w:val="0"/>
          <w:bCs w:val="0"/>
        </w:rPr>
        <w:t>orphelinats,</w:t>
      </w:r>
      <w:r w:rsidR="00DB1635" w:rsidRPr="00B004EE">
        <w:rPr>
          <w:rFonts w:ascii="Tahoma" w:hAnsi="Tahoma" w:cs="Tahoma"/>
          <w:b w:val="0"/>
          <w:bCs w:val="0"/>
        </w:rPr>
        <w:t xml:space="preserve"> </w:t>
      </w:r>
      <w:r w:rsidRPr="00B004EE">
        <w:rPr>
          <w:rFonts w:ascii="Tahoma" w:hAnsi="Tahoma" w:cs="Tahoma"/>
          <w:b w:val="0"/>
          <w:bCs w:val="0"/>
        </w:rPr>
        <w:t>écoles)</w:t>
      </w:r>
      <w:r w:rsidR="00C73072" w:rsidRPr="00B004EE">
        <w:rPr>
          <w:rFonts w:ascii="Tahoma" w:hAnsi="Tahoma" w:cs="Tahoma"/>
          <w:b w:val="0"/>
          <w:bCs w:val="0"/>
        </w:rPr>
        <w:t> ;</w:t>
      </w:r>
      <w:r w:rsidR="00DB1635" w:rsidRPr="00B004EE">
        <w:rPr>
          <w:rFonts w:ascii="Tahoma" w:hAnsi="Tahoma" w:cs="Tahoma"/>
          <w:b w:val="0"/>
          <w:bCs w:val="0"/>
        </w:rPr>
        <w:t xml:space="preserve"> </w:t>
      </w:r>
      <w:r w:rsidRPr="00B004EE">
        <w:rPr>
          <w:rFonts w:ascii="Tahoma" w:hAnsi="Tahoma" w:cs="Tahoma"/>
          <w:b w:val="0"/>
          <w:bCs w:val="0"/>
        </w:rPr>
        <w:t>sinon</w:t>
      </w:r>
      <w:r w:rsidR="00DB1635" w:rsidRPr="00B004EE">
        <w:rPr>
          <w:rFonts w:ascii="Tahoma" w:hAnsi="Tahoma" w:cs="Tahoma"/>
          <w:b w:val="0"/>
          <w:bCs w:val="0"/>
        </w:rPr>
        <w:t xml:space="preserve"> </w:t>
      </w:r>
      <w:r w:rsidRPr="00B004EE">
        <w:rPr>
          <w:rFonts w:ascii="Tahoma" w:hAnsi="Tahoma" w:cs="Tahoma"/>
          <w:b w:val="0"/>
          <w:bCs w:val="0"/>
        </w:rPr>
        <w:t>ils</w:t>
      </w:r>
      <w:r w:rsidR="00DB1635" w:rsidRPr="00B004EE">
        <w:rPr>
          <w:rFonts w:ascii="Tahoma" w:hAnsi="Tahoma" w:cs="Tahoma"/>
          <w:b w:val="0"/>
          <w:bCs w:val="0"/>
        </w:rPr>
        <w:t xml:space="preserve"> </w:t>
      </w:r>
      <w:r w:rsidRPr="00B004EE">
        <w:rPr>
          <w:rFonts w:ascii="Tahoma" w:hAnsi="Tahoma" w:cs="Tahoma"/>
          <w:b w:val="0"/>
          <w:bCs w:val="0"/>
        </w:rPr>
        <w:t>seront</w:t>
      </w:r>
      <w:r w:rsidR="00DB1635" w:rsidRPr="00B004EE">
        <w:rPr>
          <w:rFonts w:ascii="Tahoma" w:hAnsi="Tahoma" w:cs="Tahoma"/>
          <w:b w:val="0"/>
          <w:bCs w:val="0"/>
        </w:rPr>
        <w:t xml:space="preserve"> </w:t>
      </w:r>
      <w:r w:rsidRPr="00B004EE">
        <w:rPr>
          <w:rFonts w:ascii="Tahoma" w:hAnsi="Tahoma" w:cs="Tahoma"/>
          <w:b w:val="0"/>
          <w:bCs w:val="0"/>
        </w:rPr>
        <w:t>détruits</w:t>
      </w:r>
      <w:r w:rsidR="00DB1635" w:rsidRPr="00B004EE">
        <w:rPr>
          <w:rFonts w:ascii="Tahoma" w:hAnsi="Tahoma" w:cs="Tahoma"/>
          <w:b w:val="0"/>
          <w:bCs w:val="0"/>
        </w:rPr>
        <w:t xml:space="preserve"> </w:t>
      </w:r>
      <w:r w:rsidRPr="00B004EE">
        <w:rPr>
          <w:rFonts w:ascii="Tahoma" w:hAnsi="Tahoma" w:cs="Tahoma"/>
          <w:b w:val="0"/>
          <w:bCs w:val="0"/>
        </w:rPr>
        <w:t>ou</w:t>
      </w:r>
      <w:r w:rsidR="00DB1635" w:rsidRPr="00B004EE">
        <w:rPr>
          <w:rFonts w:ascii="Tahoma" w:hAnsi="Tahoma" w:cs="Tahoma"/>
          <w:b w:val="0"/>
          <w:bCs w:val="0"/>
        </w:rPr>
        <w:t xml:space="preserve"> </w:t>
      </w:r>
      <w:r w:rsidRPr="00B004EE">
        <w:rPr>
          <w:rFonts w:ascii="Tahoma" w:hAnsi="Tahoma" w:cs="Tahoma"/>
          <w:b w:val="0"/>
          <w:bCs w:val="0"/>
        </w:rPr>
        <w:t>destinés</w:t>
      </w:r>
      <w:r w:rsidR="00DB1635" w:rsidRPr="00B004EE">
        <w:rPr>
          <w:rFonts w:ascii="Tahoma" w:hAnsi="Tahoma" w:cs="Tahoma"/>
          <w:b w:val="0"/>
          <w:bCs w:val="0"/>
        </w:rPr>
        <w:t xml:space="preserve"> </w:t>
      </w:r>
      <w:r w:rsidRPr="00B004EE">
        <w:rPr>
          <w:rFonts w:ascii="Tahoma" w:hAnsi="Tahoma" w:cs="Tahoma"/>
          <w:b w:val="0"/>
          <w:bCs w:val="0"/>
        </w:rPr>
        <w:t>à</w:t>
      </w:r>
      <w:r w:rsidR="00DB1635" w:rsidRPr="00B004EE">
        <w:rPr>
          <w:rFonts w:ascii="Tahoma" w:hAnsi="Tahoma" w:cs="Tahoma"/>
          <w:b w:val="0"/>
          <w:bCs w:val="0"/>
        </w:rPr>
        <w:t xml:space="preserve"> </w:t>
      </w:r>
      <w:r w:rsidRPr="00B004EE">
        <w:rPr>
          <w:rFonts w:ascii="Tahoma" w:hAnsi="Tahoma" w:cs="Tahoma"/>
          <w:b w:val="0"/>
          <w:bCs w:val="0"/>
        </w:rPr>
        <w:t>la</w:t>
      </w:r>
      <w:r w:rsidR="00DB1635" w:rsidRPr="00B004EE">
        <w:rPr>
          <w:rFonts w:ascii="Tahoma" w:hAnsi="Tahoma" w:cs="Tahoma"/>
          <w:b w:val="0"/>
          <w:bCs w:val="0"/>
        </w:rPr>
        <w:t xml:space="preserve"> </w:t>
      </w:r>
      <w:r w:rsidRPr="00B004EE">
        <w:rPr>
          <w:rFonts w:ascii="Tahoma" w:hAnsi="Tahoma" w:cs="Tahoma"/>
          <w:b w:val="0"/>
          <w:bCs w:val="0"/>
        </w:rPr>
        <w:t>consommation</w:t>
      </w:r>
      <w:r w:rsidR="00DB1635" w:rsidRPr="00B004EE">
        <w:rPr>
          <w:rFonts w:ascii="Tahoma" w:hAnsi="Tahoma" w:cs="Tahoma"/>
          <w:b w:val="0"/>
          <w:bCs w:val="0"/>
        </w:rPr>
        <w:t xml:space="preserve"> </w:t>
      </w:r>
      <w:r w:rsidRPr="00B004EE">
        <w:rPr>
          <w:rFonts w:ascii="Tahoma" w:hAnsi="Tahoma" w:cs="Tahoma"/>
          <w:b w:val="0"/>
          <w:bCs w:val="0"/>
        </w:rPr>
        <w:t>animale.</w:t>
      </w:r>
      <w:r w:rsidR="00DB1635" w:rsidRPr="00B004EE">
        <w:rPr>
          <w:rFonts w:ascii="Tahoma" w:hAnsi="Tahoma" w:cs="Tahoma"/>
          <w:b w:val="0"/>
          <w:bCs w:val="0"/>
        </w:rPr>
        <w:t xml:space="preserve"> </w:t>
      </w:r>
      <w:r w:rsidRPr="00B004EE">
        <w:rPr>
          <w:rFonts w:ascii="Tahoma" w:hAnsi="Tahoma" w:cs="Tahoma"/>
          <w:b w:val="0"/>
          <w:bCs w:val="0"/>
        </w:rPr>
        <w:t>La</w:t>
      </w:r>
      <w:r w:rsidR="00DB1635" w:rsidRPr="00B004EE">
        <w:rPr>
          <w:rFonts w:ascii="Tahoma" w:hAnsi="Tahoma" w:cs="Tahoma"/>
          <w:b w:val="0"/>
          <w:bCs w:val="0"/>
        </w:rPr>
        <w:t xml:space="preserve"> </w:t>
      </w:r>
      <w:r w:rsidRPr="00B004EE">
        <w:rPr>
          <w:rFonts w:ascii="Tahoma" w:hAnsi="Tahoma" w:cs="Tahoma"/>
          <w:b w:val="0"/>
          <w:bCs w:val="0"/>
        </w:rPr>
        <w:t>mention</w:t>
      </w:r>
      <w:r w:rsidR="00DB1635" w:rsidRPr="00B004EE">
        <w:rPr>
          <w:rFonts w:ascii="Tahoma" w:hAnsi="Tahoma" w:cs="Tahoma"/>
          <w:b w:val="0"/>
          <w:bCs w:val="0"/>
        </w:rPr>
        <w:t xml:space="preserve"> </w:t>
      </w:r>
      <w:r w:rsidRPr="00B004EE">
        <w:rPr>
          <w:rFonts w:ascii="Tahoma" w:hAnsi="Tahoma" w:cs="Tahoma"/>
          <w:b w:val="0"/>
          <w:bCs w:val="0"/>
        </w:rPr>
        <w:t>de</w:t>
      </w:r>
      <w:r w:rsidR="00DB1635" w:rsidRPr="00B004EE">
        <w:rPr>
          <w:rFonts w:ascii="Tahoma" w:hAnsi="Tahoma" w:cs="Tahoma"/>
          <w:b w:val="0"/>
          <w:bCs w:val="0"/>
        </w:rPr>
        <w:t xml:space="preserve"> </w:t>
      </w:r>
      <w:r w:rsidRPr="00B004EE">
        <w:rPr>
          <w:rFonts w:ascii="Tahoma" w:hAnsi="Tahoma" w:cs="Tahoma"/>
          <w:b w:val="0"/>
          <w:bCs w:val="0"/>
        </w:rPr>
        <w:t>la</w:t>
      </w:r>
      <w:r w:rsidR="00DB1635" w:rsidRPr="00B004EE">
        <w:rPr>
          <w:rFonts w:ascii="Tahoma" w:hAnsi="Tahoma" w:cs="Tahoma"/>
          <w:b w:val="0"/>
          <w:bCs w:val="0"/>
        </w:rPr>
        <w:t xml:space="preserve"> </w:t>
      </w:r>
      <w:r w:rsidRPr="00B004EE">
        <w:rPr>
          <w:rFonts w:ascii="Tahoma" w:hAnsi="Tahoma" w:cs="Tahoma"/>
          <w:b w:val="0"/>
          <w:bCs w:val="0"/>
        </w:rPr>
        <w:t>destination</w:t>
      </w:r>
      <w:r w:rsidR="00DB1635" w:rsidRPr="00B004EE">
        <w:rPr>
          <w:rFonts w:ascii="Tahoma" w:hAnsi="Tahoma" w:cs="Tahoma"/>
          <w:b w:val="0"/>
          <w:bCs w:val="0"/>
        </w:rPr>
        <w:t xml:space="preserve"> </w:t>
      </w:r>
      <w:r w:rsidRPr="00B004EE">
        <w:rPr>
          <w:rFonts w:ascii="Tahoma" w:hAnsi="Tahoma" w:cs="Tahoma"/>
          <w:b w:val="0"/>
          <w:bCs w:val="0"/>
        </w:rPr>
        <w:t>finale</w:t>
      </w:r>
      <w:r w:rsidR="00DB1635" w:rsidRPr="00B004EE">
        <w:rPr>
          <w:rFonts w:ascii="Tahoma" w:hAnsi="Tahoma" w:cs="Tahoma"/>
          <w:b w:val="0"/>
          <w:bCs w:val="0"/>
        </w:rPr>
        <w:t xml:space="preserve"> </w:t>
      </w:r>
      <w:r w:rsidRPr="00B004EE">
        <w:rPr>
          <w:rFonts w:ascii="Tahoma" w:hAnsi="Tahoma" w:cs="Tahoma"/>
          <w:b w:val="0"/>
          <w:bCs w:val="0"/>
        </w:rPr>
        <w:t>des</w:t>
      </w:r>
      <w:r w:rsidR="00DB1635" w:rsidRPr="00B004EE">
        <w:rPr>
          <w:rFonts w:ascii="Tahoma" w:hAnsi="Tahoma" w:cs="Tahoma"/>
          <w:b w:val="0"/>
          <w:bCs w:val="0"/>
        </w:rPr>
        <w:t xml:space="preserve"> </w:t>
      </w:r>
      <w:r w:rsidRPr="00B004EE">
        <w:rPr>
          <w:rFonts w:ascii="Tahoma" w:hAnsi="Tahoma" w:cs="Tahoma"/>
          <w:b w:val="0"/>
          <w:bCs w:val="0"/>
        </w:rPr>
        <w:t>produits</w:t>
      </w:r>
      <w:r w:rsidR="00DB1635" w:rsidRPr="00B004EE">
        <w:rPr>
          <w:rFonts w:ascii="Tahoma" w:hAnsi="Tahoma" w:cs="Tahoma"/>
          <w:b w:val="0"/>
          <w:bCs w:val="0"/>
        </w:rPr>
        <w:t xml:space="preserve"> </w:t>
      </w:r>
      <w:r w:rsidRPr="00B004EE">
        <w:rPr>
          <w:rFonts w:ascii="Tahoma" w:hAnsi="Tahoma" w:cs="Tahoma"/>
          <w:b w:val="0"/>
          <w:bCs w:val="0"/>
        </w:rPr>
        <w:t>sera</w:t>
      </w:r>
      <w:r w:rsidR="00DB1635" w:rsidRPr="00B004EE">
        <w:rPr>
          <w:rFonts w:ascii="Tahoma" w:hAnsi="Tahoma" w:cs="Tahoma"/>
          <w:b w:val="0"/>
          <w:bCs w:val="0"/>
        </w:rPr>
        <w:t xml:space="preserve"> </w:t>
      </w:r>
      <w:r w:rsidRPr="00B004EE">
        <w:rPr>
          <w:rFonts w:ascii="Tahoma" w:hAnsi="Tahoma" w:cs="Tahoma"/>
          <w:b w:val="0"/>
          <w:bCs w:val="0"/>
        </w:rPr>
        <w:t>ajoutée</w:t>
      </w:r>
      <w:r w:rsidR="00DB1635" w:rsidRPr="00B004EE">
        <w:rPr>
          <w:rFonts w:ascii="Tahoma" w:hAnsi="Tahoma" w:cs="Tahoma"/>
          <w:b w:val="0"/>
          <w:bCs w:val="0"/>
        </w:rPr>
        <w:t xml:space="preserve"> </w:t>
      </w:r>
      <w:r w:rsidRPr="00B004EE">
        <w:rPr>
          <w:rFonts w:ascii="Tahoma" w:hAnsi="Tahoma" w:cs="Tahoma"/>
          <w:b w:val="0"/>
          <w:bCs w:val="0"/>
        </w:rPr>
        <w:t>sur</w:t>
      </w:r>
      <w:r w:rsidR="00DB1635" w:rsidRPr="00B004EE">
        <w:rPr>
          <w:rFonts w:ascii="Tahoma" w:hAnsi="Tahoma" w:cs="Tahoma"/>
          <w:b w:val="0"/>
          <w:bCs w:val="0"/>
        </w:rPr>
        <w:t xml:space="preserve"> </w:t>
      </w:r>
      <w:r w:rsidRPr="00B004EE">
        <w:rPr>
          <w:rFonts w:ascii="Tahoma" w:hAnsi="Tahoma" w:cs="Tahoma"/>
          <w:b w:val="0"/>
          <w:bCs w:val="0"/>
        </w:rPr>
        <w:t>le</w:t>
      </w:r>
      <w:r w:rsidR="00DB1635" w:rsidRPr="00B004EE">
        <w:rPr>
          <w:rFonts w:ascii="Tahoma" w:hAnsi="Tahoma" w:cs="Tahoma"/>
          <w:b w:val="0"/>
          <w:bCs w:val="0"/>
        </w:rPr>
        <w:t xml:space="preserve"> </w:t>
      </w:r>
      <w:r w:rsidRPr="00B004EE">
        <w:rPr>
          <w:rFonts w:ascii="Tahoma" w:hAnsi="Tahoma" w:cs="Tahoma"/>
          <w:b w:val="0"/>
          <w:bCs w:val="0"/>
        </w:rPr>
        <w:t>certificat</w:t>
      </w:r>
      <w:r w:rsidR="00DB1635" w:rsidRPr="00B004EE">
        <w:rPr>
          <w:rFonts w:ascii="Tahoma" w:hAnsi="Tahoma" w:cs="Tahoma"/>
          <w:b w:val="0"/>
          <w:bCs w:val="0"/>
        </w:rPr>
        <w:t xml:space="preserve"> </w:t>
      </w:r>
      <w:r w:rsidRPr="00B004EE">
        <w:rPr>
          <w:rFonts w:ascii="Tahoma" w:hAnsi="Tahoma" w:cs="Tahoma"/>
          <w:b w:val="0"/>
          <w:bCs w:val="0"/>
        </w:rPr>
        <w:t>de</w:t>
      </w:r>
      <w:r w:rsidR="00DB1635" w:rsidRPr="00B004EE">
        <w:rPr>
          <w:rFonts w:ascii="Tahoma" w:hAnsi="Tahoma" w:cs="Tahoma"/>
          <w:b w:val="0"/>
          <w:bCs w:val="0"/>
        </w:rPr>
        <w:t xml:space="preserve"> </w:t>
      </w:r>
      <w:r w:rsidRPr="00B004EE">
        <w:rPr>
          <w:rFonts w:ascii="Tahoma" w:hAnsi="Tahoma" w:cs="Tahoma"/>
          <w:b w:val="0"/>
          <w:bCs w:val="0"/>
        </w:rPr>
        <w:t>salubrité.</w:t>
      </w:r>
    </w:p>
    <w:p w14:paraId="1D68DFB6" w14:textId="77777777" w:rsidR="002F24E1" w:rsidRPr="00B004EE" w:rsidRDefault="002F24E1" w:rsidP="00B004EE">
      <w:pPr>
        <w:pStyle w:val="Lgende"/>
        <w:jc w:val="both"/>
        <w:rPr>
          <w:rFonts w:ascii="Tahoma" w:hAnsi="Tahoma" w:cs="Tahoma"/>
          <w:b w:val="0"/>
          <w:bCs w:val="0"/>
        </w:rPr>
      </w:pPr>
    </w:p>
    <w:p w14:paraId="5B5B122C" w14:textId="36B62D42" w:rsidR="002F24E1" w:rsidRPr="00B004EE" w:rsidRDefault="00561F81" w:rsidP="00B004EE">
      <w:pPr>
        <w:pStyle w:val="Lgende"/>
        <w:jc w:val="both"/>
        <w:rPr>
          <w:rFonts w:ascii="Tahoma" w:hAnsi="Tahoma" w:cs="Tahoma"/>
          <w:b w:val="0"/>
          <w:bCs w:val="0"/>
        </w:rPr>
      </w:pPr>
      <w:r w:rsidRPr="00B004EE">
        <w:rPr>
          <w:rFonts w:ascii="Tahoma" w:hAnsi="Tahoma" w:cs="Tahoma"/>
          <w:b w:val="0"/>
          <w:bCs w:val="0"/>
        </w:rPr>
        <w:lastRenderedPageBreak/>
        <w:t xml:space="preserve">Article </w:t>
      </w:r>
      <w:r w:rsidR="002F24E1" w:rsidRPr="00B004EE">
        <w:rPr>
          <w:rFonts w:ascii="Tahoma" w:hAnsi="Tahoma" w:cs="Tahoma"/>
          <w:b w:val="0"/>
          <w:bCs w:val="0"/>
        </w:rPr>
        <w:t>16</w:t>
      </w:r>
      <w:r w:rsidR="00DB1635" w:rsidRPr="00B004EE">
        <w:rPr>
          <w:rFonts w:ascii="Tahoma" w:hAnsi="Tahoma" w:cs="Tahoma"/>
          <w:b w:val="0"/>
          <w:bCs w:val="0"/>
        </w:rPr>
        <w:t xml:space="preserve"> </w:t>
      </w:r>
      <w:r w:rsidR="002F24E1" w:rsidRPr="00B004EE">
        <w:rPr>
          <w:rFonts w:ascii="Tahoma" w:hAnsi="Tahoma" w:cs="Tahoma"/>
          <w:b w:val="0"/>
          <w:bCs w:val="0"/>
        </w:rPr>
        <w:t>:</w:t>
      </w:r>
      <w:r w:rsidR="00DB1635" w:rsidRPr="00B004EE">
        <w:rPr>
          <w:rFonts w:ascii="Tahoma" w:hAnsi="Tahoma" w:cs="Tahoma"/>
          <w:b w:val="0"/>
          <w:bCs w:val="0"/>
        </w:rPr>
        <w:t xml:space="preserve"> </w:t>
      </w:r>
      <w:r w:rsidR="002F24E1" w:rsidRPr="00B004EE">
        <w:rPr>
          <w:rFonts w:ascii="Tahoma" w:hAnsi="Tahoma" w:cs="Tahoma"/>
          <w:b w:val="0"/>
          <w:bCs w:val="0"/>
        </w:rPr>
        <w:t>Des</w:t>
      </w:r>
      <w:r w:rsidR="00DB1635" w:rsidRPr="00B004EE">
        <w:rPr>
          <w:rFonts w:ascii="Tahoma" w:hAnsi="Tahoma" w:cs="Tahoma"/>
          <w:b w:val="0"/>
          <w:bCs w:val="0"/>
        </w:rPr>
        <w:t xml:space="preserve"> </w:t>
      </w:r>
      <w:r w:rsidR="002F24E1" w:rsidRPr="00B004EE">
        <w:rPr>
          <w:rFonts w:ascii="Tahoma" w:hAnsi="Tahoma" w:cs="Tahoma"/>
          <w:b w:val="0"/>
          <w:bCs w:val="0"/>
        </w:rPr>
        <w:t>arrêtés</w:t>
      </w:r>
      <w:r w:rsidR="00DB1635" w:rsidRPr="00B004EE">
        <w:rPr>
          <w:rFonts w:ascii="Tahoma" w:hAnsi="Tahoma" w:cs="Tahoma"/>
          <w:b w:val="0"/>
          <w:bCs w:val="0"/>
        </w:rPr>
        <w:t xml:space="preserve"> </w:t>
      </w:r>
      <w:r w:rsidR="002F24E1" w:rsidRPr="00B004EE">
        <w:rPr>
          <w:rFonts w:ascii="Tahoma" w:hAnsi="Tahoma" w:cs="Tahoma"/>
          <w:b w:val="0"/>
          <w:bCs w:val="0"/>
        </w:rPr>
        <w:t>du</w:t>
      </w:r>
      <w:r w:rsidR="00DB1635" w:rsidRPr="00B004EE">
        <w:rPr>
          <w:rFonts w:ascii="Tahoma" w:hAnsi="Tahoma" w:cs="Tahoma"/>
          <w:b w:val="0"/>
          <w:bCs w:val="0"/>
        </w:rPr>
        <w:t xml:space="preserve"> </w:t>
      </w:r>
      <w:r w:rsidR="002F24E1" w:rsidRPr="00B004EE">
        <w:rPr>
          <w:rFonts w:ascii="Tahoma" w:hAnsi="Tahoma" w:cs="Tahoma"/>
          <w:b w:val="0"/>
          <w:bCs w:val="0"/>
        </w:rPr>
        <w:t>ministre</w:t>
      </w:r>
      <w:r w:rsidR="00DB1635" w:rsidRPr="00B004EE">
        <w:rPr>
          <w:rFonts w:ascii="Tahoma" w:hAnsi="Tahoma" w:cs="Tahoma"/>
          <w:b w:val="0"/>
          <w:bCs w:val="0"/>
        </w:rPr>
        <w:t xml:space="preserve"> </w:t>
      </w:r>
      <w:r w:rsidR="002F24E1" w:rsidRPr="00B004EE">
        <w:rPr>
          <w:rFonts w:ascii="Tahoma" w:hAnsi="Tahoma" w:cs="Tahoma"/>
          <w:b w:val="0"/>
          <w:bCs w:val="0"/>
        </w:rPr>
        <w:t>des</w:t>
      </w:r>
      <w:r w:rsidR="00DB1635" w:rsidRPr="00B004EE">
        <w:rPr>
          <w:rFonts w:ascii="Tahoma" w:hAnsi="Tahoma" w:cs="Tahoma"/>
          <w:b w:val="0"/>
          <w:bCs w:val="0"/>
        </w:rPr>
        <w:t xml:space="preserve"> </w:t>
      </w:r>
      <w:r w:rsidR="002F24E1" w:rsidRPr="00B004EE">
        <w:rPr>
          <w:rFonts w:ascii="Tahoma" w:hAnsi="Tahoma" w:cs="Tahoma"/>
          <w:b w:val="0"/>
          <w:bCs w:val="0"/>
        </w:rPr>
        <w:t>Pêches</w:t>
      </w:r>
      <w:r w:rsidR="00DB1635" w:rsidRPr="00B004EE">
        <w:rPr>
          <w:rFonts w:ascii="Tahoma" w:hAnsi="Tahoma" w:cs="Tahoma"/>
          <w:b w:val="0"/>
          <w:bCs w:val="0"/>
        </w:rPr>
        <w:t xml:space="preserve"> </w:t>
      </w:r>
      <w:r w:rsidR="002F24E1" w:rsidRPr="00B004EE">
        <w:rPr>
          <w:rFonts w:ascii="Tahoma" w:hAnsi="Tahoma" w:cs="Tahoma"/>
          <w:b w:val="0"/>
          <w:bCs w:val="0"/>
        </w:rPr>
        <w:t>feront</w:t>
      </w:r>
      <w:r w:rsidR="00DB1635" w:rsidRPr="00B004EE">
        <w:rPr>
          <w:rFonts w:ascii="Tahoma" w:hAnsi="Tahoma" w:cs="Tahoma"/>
          <w:b w:val="0"/>
          <w:bCs w:val="0"/>
        </w:rPr>
        <w:t xml:space="preserve"> </w:t>
      </w:r>
      <w:r w:rsidR="002F24E1" w:rsidRPr="00B004EE">
        <w:rPr>
          <w:rFonts w:ascii="Tahoma" w:hAnsi="Tahoma" w:cs="Tahoma"/>
          <w:b w:val="0"/>
          <w:bCs w:val="0"/>
        </w:rPr>
        <w:t>pour</w:t>
      </w:r>
      <w:r w:rsidR="00DB1635" w:rsidRPr="00B004EE">
        <w:rPr>
          <w:rFonts w:ascii="Tahoma" w:hAnsi="Tahoma" w:cs="Tahoma"/>
          <w:b w:val="0"/>
          <w:bCs w:val="0"/>
        </w:rPr>
        <w:t xml:space="preserve"> </w:t>
      </w:r>
      <w:r w:rsidR="002F24E1" w:rsidRPr="00B004EE">
        <w:rPr>
          <w:rFonts w:ascii="Tahoma" w:hAnsi="Tahoma" w:cs="Tahoma"/>
          <w:b w:val="0"/>
          <w:bCs w:val="0"/>
        </w:rPr>
        <w:t>chaque</w:t>
      </w:r>
      <w:r w:rsidR="00DB1635" w:rsidRPr="00B004EE">
        <w:rPr>
          <w:rFonts w:ascii="Tahoma" w:hAnsi="Tahoma" w:cs="Tahoma"/>
          <w:b w:val="0"/>
          <w:bCs w:val="0"/>
        </w:rPr>
        <w:t xml:space="preserve"> </w:t>
      </w:r>
      <w:r w:rsidR="002F24E1" w:rsidRPr="00B004EE">
        <w:rPr>
          <w:rFonts w:ascii="Tahoma" w:hAnsi="Tahoma" w:cs="Tahoma"/>
          <w:b w:val="0"/>
          <w:bCs w:val="0"/>
        </w:rPr>
        <w:t>type</w:t>
      </w:r>
      <w:r w:rsidR="00DB1635" w:rsidRPr="00B004EE">
        <w:rPr>
          <w:rFonts w:ascii="Tahoma" w:hAnsi="Tahoma" w:cs="Tahoma"/>
          <w:b w:val="0"/>
          <w:bCs w:val="0"/>
        </w:rPr>
        <w:t xml:space="preserve"> </w:t>
      </w:r>
      <w:r w:rsidR="002F24E1" w:rsidRPr="00B004EE">
        <w:rPr>
          <w:rFonts w:ascii="Tahoma" w:hAnsi="Tahoma" w:cs="Tahoma"/>
          <w:b w:val="0"/>
          <w:bCs w:val="0"/>
        </w:rPr>
        <w:t>d'industrie</w:t>
      </w:r>
      <w:r w:rsidR="00DB1635" w:rsidRPr="00B004EE">
        <w:rPr>
          <w:rFonts w:ascii="Tahoma" w:hAnsi="Tahoma" w:cs="Tahoma"/>
          <w:b w:val="0"/>
          <w:bCs w:val="0"/>
        </w:rPr>
        <w:t xml:space="preserve"> </w:t>
      </w:r>
      <w:r w:rsidR="002F24E1" w:rsidRPr="00B004EE">
        <w:rPr>
          <w:rFonts w:ascii="Tahoma" w:hAnsi="Tahoma" w:cs="Tahoma"/>
          <w:b w:val="0"/>
          <w:bCs w:val="0"/>
        </w:rPr>
        <w:t>de</w:t>
      </w:r>
      <w:r w:rsidR="00DB1635" w:rsidRPr="00B004EE">
        <w:rPr>
          <w:rFonts w:ascii="Tahoma" w:hAnsi="Tahoma" w:cs="Tahoma"/>
          <w:b w:val="0"/>
          <w:bCs w:val="0"/>
        </w:rPr>
        <w:t xml:space="preserve"> </w:t>
      </w:r>
      <w:r w:rsidR="002F24E1" w:rsidRPr="00B004EE">
        <w:rPr>
          <w:rFonts w:ascii="Tahoma" w:hAnsi="Tahoma" w:cs="Tahoma"/>
          <w:b w:val="0"/>
          <w:bCs w:val="0"/>
        </w:rPr>
        <w:t>transformation</w:t>
      </w:r>
      <w:r w:rsidR="00DB1635" w:rsidRPr="00B004EE">
        <w:rPr>
          <w:rFonts w:ascii="Tahoma" w:hAnsi="Tahoma" w:cs="Tahoma"/>
          <w:b w:val="0"/>
          <w:bCs w:val="0"/>
        </w:rPr>
        <w:t xml:space="preserve"> </w:t>
      </w:r>
      <w:r w:rsidR="002F24E1" w:rsidRPr="00B004EE">
        <w:rPr>
          <w:rFonts w:ascii="Tahoma" w:hAnsi="Tahoma" w:cs="Tahoma"/>
          <w:b w:val="0"/>
          <w:bCs w:val="0"/>
        </w:rPr>
        <w:t>(conserve,</w:t>
      </w:r>
      <w:r w:rsidR="00DB1635" w:rsidRPr="00B004EE">
        <w:rPr>
          <w:rFonts w:ascii="Tahoma" w:hAnsi="Tahoma" w:cs="Tahoma"/>
          <w:b w:val="0"/>
          <w:bCs w:val="0"/>
        </w:rPr>
        <w:t xml:space="preserve"> </w:t>
      </w:r>
      <w:r w:rsidR="002F24E1" w:rsidRPr="00B004EE">
        <w:rPr>
          <w:rFonts w:ascii="Tahoma" w:hAnsi="Tahoma" w:cs="Tahoma"/>
          <w:b w:val="0"/>
          <w:bCs w:val="0"/>
        </w:rPr>
        <w:t>semi-conserve,</w:t>
      </w:r>
      <w:r w:rsidR="00DB1635" w:rsidRPr="00B004EE">
        <w:rPr>
          <w:rFonts w:ascii="Tahoma" w:hAnsi="Tahoma" w:cs="Tahoma"/>
          <w:b w:val="0"/>
          <w:bCs w:val="0"/>
        </w:rPr>
        <w:t xml:space="preserve"> </w:t>
      </w:r>
      <w:r w:rsidR="002F24E1" w:rsidRPr="00B004EE">
        <w:rPr>
          <w:rFonts w:ascii="Tahoma" w:hAnsi="Tahoma" w:cs="Tahoma"/>
          <w:b w:val="0"/>
          <w:bCs w:val="0"/>
        </w:rPr>
        <w:t>congélation,</w:t>
      </w:r>
      <w:r w:rsidR="00DB1635" w:rsidRPr="00B004EE">
        <w:rPr>
          <w:rFonts w:ascii="Tahoma" w:hAnsi="Tahoma" w:cs="Tahoma"/>
          <w:b w:val="0"/>
          <w:bCs w:val="0"/>
        </w:rPr>
        <w:t xml:space="preserve"> </w:t>
      </w:r>
      <w:r w:rsidR="002F24E1" w:rsidRPr="00B004EE">
        <w:rPr>
          <w:rFonts w:ascii="Tahoma" w:hAnsi="Tahoma" w:cs="Tahoma"/>
          <w:b w:val="0"/>
          <w:bCs w:val="0"/>
        </w:rPr>
        <w:t>séchage,</w:t>
      </w:r>
      <w:r w:rsidR="00DB1635" w:rsidRPr="00B004EE">
        <w:rPr>
          <w:rFonts w:ascii="Tahoma" w:hAnsi="Tahoma" w:cs="Tahoma"/>
          <w:b w:val="0"/>
          <w:bCs w:val="0"/>
        </w:rPr>
        <w:t xml:space="preserve"> </w:t>
      </w:r>
      <w:r w:rsidR="002F24E1" w:rsidRPr="00B004EE">
        <w:rPr>
          <w:rFonts w:ascii="Tahoma" w:hAnsi="Tahoma" w:cs="Tahoma"/>
          <w:b w:val="0"/>
          <w:bCs w:val="0"/>
        </w:rPr>
        <w:t>fumage,</w:t>
      </w:r>
      <w:r w:rsidR="00DB1635" w:rsidRPr="00B004EE">
        <w:rPr>
          <w:rFonts w:ascii="Tahoma" w:hAnsi="Tahoma" w:cs="Tahoma"/>
          <w:b w:val="0"/>
          <w:bCs w:val="0"/>
        </w:rPr>
        <w:t xml:space="preserve"> </w:t>
      </w:r>
      <w:r w:rsidR="002F24E1" w:rsidRPr="00B004EE">
        <w:rPr>
          <w:rFonts w:ascii="Tahoma" w:hAnsi="Tahoma" w:cs="Tahoma"/>
          <w:b w:val="0"/>
          <w:bCs w:val="0"/>
        </w:rPr>
        <w:t>huile</w:t>
      </w:r>
      <w:r w:rsidR="00DB1635" w:rsidRPr="00B004EE">
        <w:rPr>
          <w:rFonts w:ascii="Tahoma" w:hAnsi="Tahoma" w:cs="Tahoma"/>
          <w:b w:val="0"/>
          <w:bCs w:val="0"/>
        </w:rPr>
        <w:t xml:space="preserve"> </w:t>
      </w:r>
      <w:r w:rsidR="002F24E1" w:rsidRPr="00B004EE">
        <w:rPr>
          <w:rFonts w:ascii="Tahoma" w:hAnsi="Tahoma" w:cs="Tahoma"/>
          <w:b w:val="0"/>
          <w:bCs w:val="0"/>
        </w:rPr>
        <w:t>et</w:t>
      </w:r>
      <w:r w:rsidR="00DB1635" w:rsidRPr="00B004EE">
        <w:rPr>
          <w:rFonts w:ascii="Tahoma" w:hAnsi="Tahoma" w:cs="Tahoma"/>
          <w:b w:val="0"/>
          <w:bCs w:val="0"/>
        </w:rPr>
        <w:t xml:space="preserve"> </w:t>
      </w:r>
      <w:r w:rsidR="002F24E1" w:rsidRPr="00B004EE">
        <w:rPr>
          <w:rFonts w:ascii="Tahoma" w:hAnsi="Tahoma" w:cs="Tahoma"/>
          <w:b w:val="0"/>
          <w:bCs w:val="0"/>
        </w:rPr>
        <w:t>farine</w:t>
      </w:r>
      <w:r w:rsidR="00DB1635" w:rsidRPr="00B004EE">
        <w:rPr>
          <w:rFonts w:ascii="Tahoma" w:hAnsi="Tahoma" w:cs="Tahoma"/>
          <w:b w:val="0"/>
          <w:bCs w:val="0"/>
        </w:rPr>
        <w:t xml:space="preserve"> </w:t>
      </w:r>
      <w:r w:rsidR="002F24E1" w:rsidRPr="00B004EE">
        <w:rPr>
          <w:rFonts w:ascii="Tahoma" w:hAnsi="Tahoma" w:cs="Tahoma"/>
          <w:b w:val="0"/>
          <w:bCs w:val="0"/>
        </w:rPr>
        <w:t>de</w:t>
      </w:r>
      <w:r w:rsidR="00DB1635" w:rsidRPr="00B004EE">
        <w:rPr>
          <w:rFonts w:ascii="Tahoma" w:hAnsi="Tahoma" w:cs="Tahoma"/>
          <w:b w:val="0"/>
          <w:bCs w:val="0"/>
        </w:rPr>
        <w:t xml:space="preserve"> </w:t>
      </w:r>
      <w:r w:rsidR="002F24E1" w:rsidRPr="00B004EE">
        <w:rPr>
          <w:rFonts w:ascii="Tahoma" w:hAnsi="Tahoma" w:cs="Tahoma"/>
          <w:b w:val="0"/>
          <w:bCs w:val="0"/>
        </w:rPr>
        <w:t>poisson),</w:t>
      </w:r>
      <w:r w:rsidR="00DB1635" w:rsidRPr="00B004EE">
        <w:rPr>
          <w:rFonts w:ascii="Tahoma" w:hAnsi="Tahoma" w:cs="Tahoma"/>
          <w:b w:val="0"/>
          <w:bCs w:val="0"/>
        </w:rPr>
        <w:t xml:space="preserve"> </w:t>
      </w:r>
      <w:r w:rsidR="002F24E1" w:rsidRPr="00B004EE">
        <w:rPr>
          <w:rFonts w:ascii="Tahoma" w:hAnsi="Tahoma" w:cs="Tahoma"/>
          <w:b w:val="0"/>
          <w:bCs w:val="0"/>
        </w:rPr>
        <w:t>les</w:t>
      </w:r>
      <w:r w:rsidR="00DB1635" w:rsidRPr="00B004EE">
        <w:rPr>
          <w:rFonts w:ascii="Tahoma" w:hAnsi="Tahoma" w:cs="Tahoma"/>
          <w:b w:val="0"/>
          <w:bCs w:val="0"/>
        </w:rPr>
        <w:t xml:space="preserve"> </w:t>
      </w:r>
      <w:r w:rsidR="002F24E1" w:rsidRPr="00B004EE">
        <w:rPr>
          <w:rFonts w:ascii="Tahoma" w:hAnsi="Tahoma" w:cs="Tahoma"/>
          <w:b w:val="0"/>
          <w:bCs w:val="0"/>
        </w:rPr>
        <w:t>règles</w:t>
      </w:r>
      <w:r w:rsidR="00DB1635" w:rsidRPr="00B004EE">
        <w:rPr>
          <w:rFonts w:ascii="Tahoma" w:hAnsi="Tahoma" w:cs="Tahoma"/>
          <w:b w:val="0"/>
          <w:bCs w:val="0"/>
        </w:rPr>
        <w:t xml:space="preserve"> </w:t>
      </w:r>
      <w:r w:rsidR="002F24E1" w:rsidRPr="00B004EE">
        <w:rPr>
          <w:rFonts w:ascii="Tahoma" w:hAnsi="Tahoma" w:cs="Tahoma"/>
          <w:b w:val="0"/>
          <w:bCs w:val="0"/>
        </w:rPr>
        <w:t>d'hygiène</w:t>
      </w:r>
      <w:r w:rsidR="00DB1635" w:rsidRPr="00B004EE">
        <w:rPr>
          <w:rFonts w:ascii="Tahoma" w:hAnsi="Tahoma" w:cs="Tahoma"/>
          <w:b w:val="0"/>
          <w:bCs w:val="0"/>
        </w:rPr>
        <w:t xml:space="preserve"> </w:t>
      </w:r>
      <w:r w:rsidR="002F24E1" w:rsidRPr="00B004EE">
        <w:rPr>
          <w:rFonts w:ascii="Tahoma" w:hAnsi="Tahoma" w:cs="Tahoma"/>
          <w:b w:val="0"/>
          <w:bCs w:val="0"/>
        </w:rPr>
        <w:t>et</w:t>
      </w:r>
      <w:r w:rsidR="00DB1635" w:rsidRPr="00B004EE">
        <w:rPr>
          <w:rFonts w:ascii="Tahoma" w:hAnsi="Tahoma" w:cs="Tahoma"/>
          <w:b w:val="0"/>
          <w:bCs w:val="0"/>
        </w:rPr>
        <w:t xml:space="preserve"> </w:t>
      </w:r>
      <w:r w:rsidR="002F24E1" w:rsidRPr="00B004EE">
        <w:rPr>
          <w:rFonts w:ascii="Tahoma" w:hAnsi="Tahoma" w:cs="Tahoma"/>
          <w:b w:val="0"/>
          <w:bCs w:val="0"/>
        </w:rPr>
        <w:t>salubrité</w:t>
      </w:r>
      <w:r w:rsidR="00DB1635" w:rsidRPr="00B004EE">
        <w:rPr>
          <w:rFonts w:ascii="Tahoma" w:hAnsi="Tahoma" w:cs="Tahoma"/>
          <w:b w:val="0"/>
          <w:bCs w:val="0"/>
        </w:rPr>
        <w:t xml:space="preserve"> </w:t>
      </w:r>
      <w:r w:rsidR="002F24E1" w:rsidRPr="00B004EE">
        <w:rPr>
          <w:rFonts w:ascii="Tahoma" w:hAnsi="Tahoma" w:cs="Tahoma"/>
          <w:b w:val="0"/>
          <w:bCs w:val="0"/>
        </w:rPr>
        <w:t>qui</w:t>
      </w:r>
      <w:r w:rsidR="00DB1635" w:rsidRPr="00B004EE">
        <w:rPr>
          <w:rFonts w:ascii="Tahoma" w:hAnsi="Tahoma" w:cs="Tahoma"/>
          <w:b w:val="0"/>
          <w:bCs w:val="0"/>
        </w:rPr>
        <w:t xml:space="preserve"> </w:t>
      </w:r>
      <w:r w:rsidR="002F24E1" w:rsidRPr="00B004EE">
        <w:rPr>
          <w:rFonts w:ascii="Tahoma" w:hAnsi="Tahoma" w:cs="Tahoma"/>
          <w:b w:val="0"/>
          <w:bCs w:val="0"/>
        </w:rPr>
        <w:t>lui</w:t>
      </w:r>
      <w:r w:rsidR="00DB1635" w:rsidRPr="00B004EE">
        <w:rPr>
          <w:rFonts w:ascii="Tahoma" w:hAnsi="Tahoma" w:cs="Tahoma"/>
          <w:b w:val="0"/>
          <w:bCs w:val="0"/>
        </w:rPr>
        <w:t xml:space="preserve"> </w:t>
      </w:r>
      <w:r w:rsidR="002F24E1" w:rsidRPr="00B004EE">
        <w:rPr>
          <w:rFonts w:ascii="Tahoma" w:hAnsi="Tahoma" w:cs="Tahoma"/>
          <w:b w:val="0"/>
          <w:bCs w:val="0"/>
        </w:rPr>
        <w:t>sont</w:t>
      </w:r>
      <w:r w:rsidR="00DB1635" w:rsidRPr="00B004EE">
        <w:rPr>
          <w:rFonts w:ascii="Tahoma" w:hAnsi="Tahoma" w:cs="Tahoma"/>
          <w:b w:val="0"/>
          <w:bCs w:val="0"/>
        </w:rPr>
        <w:t xml:space="preserve"> </w:t>
      </w:r>
      <w:r w:rsidR="002F24E1" w:rsidRPr="00B004EE">
        <w:rPr>
          <w:rFonts w:ascii="Tahoma" w:hAnsi="Tahoma" w:cs="Tahoma"/>
          <w:b w:val="0"/>
          <w:bCs w:val="0"/>
        </w:rPr>
        <w:t>spécifiques,</w:t>
      </w:r>
      <w:r w:rsidR="00DB1635" w:rsidRPr="00B004EE">
        <w:rPr>
          <w:rFonts w:ascii="Tahoma" w:hAnsi="Tahoma" w:cs="Tahoma"/>
          <w:b w:val="0"/>
          <w:bCs w:val="0"/>
        </w:rPr>
        <w:t xml:space="preserve"> </w:t>
      </w:r>
      <w:r w:rsidR="002F24E1" w:rsidRPr="00B004EE">
        <w:rPr>
          <w:rFonts w:ascii="Tahoma" w:hAnsi="Tahoma" w:cs="Tahoma"/>
          <w:b w:val="0"/>
          <w:bCs w:val="0"/>
        </w:rPr>
        <w:t>les</w:t>
      </w:r>
      <w:r w:rsidR="00DB1635" w:rsidRPr="00B004EE">
        <w:rPr>
          <w:rFonts w:ascii="Tahoma" w:hAnsi="Tahoma" w:cs="Tahoma"/>
          <w:b w:val="0"/>
          <w:bCs w:val="0"/>
        </w:rPr>
        <w:t xml:space="preserve"> </w:t>
      </w:r>
      <w:r w:rsidR="002F24E1" w:rsidRPr="00B004EE">
        <w:rPr>
          <w:rFonts w:ascii="Tahoma" w:hAnsi="Tahoma" w:cs="Tahoma"/>
          <w:b w:val="0"/>
          <w:bCs w:val="0"/>
        </w:rPr>
        <w:t>fabrications,</w:t>
      </w:r>
      <w:r w:rsidR="00DB1635" w:rsidRPr="00B004EE">
        <w:rPr>
          <w:rFonts w:ascii="Tahoma" w:hAnsi="Tahoma" w:cs="Tahoma"/>
          <w:b w:val="0"/>
          <w:bCs w:val="0"/>
        </w:rPr>
        <w:t xml:space="preserve"> </w:t>
      </w:r>
      <w:r w:rsidR="002F24E1" w:rsidRPr="00B004EE">
        <w:rPr>
          <w:rFonts w:ascii="Tahoma" w:hAnsi="Tahoma" w:cs="Tahoma"/>
          <w:b w:val="0"/>
          <w:bCs w:val="0"/>
        </w:rPr>
        <w:t>les</w:t>
      </w:r>
      <w:r w:rsidR="00DB1635" w:rsidRPr="00B004EE">
        <w:rPr>
          <w:rFonts w:ascii="Tahoma" w:hAnsi="Tahoma" w:cs="Tahoma"/>
          <w:b w:val="0"/>
          <w:bCs w:val="0"/>
        </w:rPr>
        <w:t xml:space="preserve"> </w:t>
      </w:r>
      <w:r w:rsidR="002F24E1" w:rsidRPr="00B004EE">
        <w:rPr>
          <w:rFonts w:ascii="Tahoma" w:hAnsi="Tahoma" w:cs="Tahoma"/>
          <w:b w:val="0"/>
          <w:bCs w:val="0"/>
        </w:rPr>
        <w:t>conditions</w:t>
      </w:r>
      <w:r w:rsidR="00DB1635" w:rsidRPr="00B004EE">
        <w:rPr>
          <w:rFonts w:ascii="Tahoma" w:hAnsi="Tahoma" w:cs="Tahoma"/>
          <w:b w:val="0"/>
          <w:bCs w:val="0"/>
        </w:rPr>
        <w:t xml:space="preserve"> </w:t>
      </w:r>
      <w:r w:rsidR="002F24E1" w:rsidRPr="00B004EE">
        <w:rPr>
          <w:rFonts w:ascii="Tahoma" w:hAnsi="Tahoma" w:cs="Tahoma"/>
          <w:b w:val="0"/>
          <w:bCs w:val="0"/>
        </w:rPr>
        <w:t>d'entreposage</w:t>
      </w:r>
      <w:r w:rsidR="00DB1635" w:rsidRPr="00B004EE">
        <w:rPr>
          <w:rFonts w:ascii="Tahoma" w:hAnsi="Tahoma" w:cs="Tahoma"/>
          <w:b w:val="0"/>
          <w:bCs w:val="0"/>
        </w:rPr>
        <w:t xml:space="preserve"> </w:t>
      </w:r>
      <w:r w:rsidR="002F24E1" w:rsidRPr="00B004EE">
        <w:rPr>
          <w:rFonts w:ascii="Tahoma" w:hAnsi="Tahoma" w:cs="Tahoma"/>
          <w:b w:val="0"/>
          <w:bCs w:val="0"/>
        </w:rPr>
        <w:t>des</w:t>
      </w:r>
      <w:r w:rsidR="00DB1635" w:rsidRPr="00B004EE">
        <w:rPr>
          <w:rFonts w:ascii="Tahoma" w:hAnsi="Tahoma" w:cs="Tahoma"/>
          <w:b w:val="0"/>
          <w:bCs w:val="0"/>
        </w:rPr>
        <w:t xml:space="preserve"> </w:t>
      </w:r>
      <w:r w:rsidR="002F24E1" w:rsidRPr="00B004EE">
        <w:rPr>
          <w:rFonts w:ascii="Tahoma" w:hAnsi="Tahoma" w:cs="Tahoma"/>
          <w:b w:val="0"/>
          <w:bCs w:val="0"/>
        </w:rPr>
        <w:t>matières</w:t>
      </w:r>
      <w:r w:rsidR="00DB1635" w:rsidRPr="00B004EE">
        <w:rPr>
          <w:rFonts w:ascii="Tahoma" w:hAnsi="Tahoma" w:cs="Tahoma"/>
          <w:b w:val="0"/>
          <w:bCs w:val="0"/>
        </w:rPr>
        <w:t xml:space="preserve"> </w:t>
      </w:r>
      <w:r w:rsidR="002F24E1" w:rsidRPr="00B004EE">
        <w:rPr>
          <w:rFonts w:ascii="Tahoma" w:hAnsi="Tahoma" w:cs="Tahoma"/>
          <w:b w:val="0"/>
          <w:bCs w:val="0"/>
        </w:rPr>
        <w:t>premières</w:t>
      </w:r>
      <w:r w:rsidR="00DB1635" w:rsidRPr="00B004EE">
        <w:rPr>
          <w:rFonts w:ascii="Tahoma" w:hAnsi="Tahoma" w:cs="Tahoma"/>
          <w:b w:val="0"/>
          <w:bCs w:val="0"/>
        </w:rPr>
        <w:t xml:space="preserve"> </w:t>
      </w:r>
      <w:r w:rsidR="002F24E1" w:rsidRPr="00B004EE">
        <w:rPr>
          <w:rFonts w:ascii="Tahoma" w:hAnsi="Tahoma" w:cs="Tahoma"/>
          <w:b w:val="0"/>
          <w:bCs w:val="0"/>
        </w:rPr>
        <w:t>et</w:t>
      </w:r>
      <w:r w:rsidR="00DB1635" w:rsidRPr="00B004EE">
        <w:rPr>
          <w:rFonts w:ascii="Tahoma" w:hAnsi="Tahoma" w:cs="Tahoma"/>
          <w:b w:val="0"/>
          <w:bCs w:val="0"/>
        </w:rPr>
        <w:t xml:space="preserve"> </w:t>
      </w:r>
      <w:r w:rsidR="002F24E1" w:rsidRPr="00B004EE">
        <w:rPr>
          <w:rFonts w:ascii="Tahoma" w:hAnsi="Tahoma" w:cs="Tahoma"/>
          <w:b w:val="0"/>
          <w:bCs w:val="0"/>
        </w:rPr>
        <w:t>des</w:t>
      </w:r>
      <w:r w:rsidR="00DB1635" w:rsidRPr="00B004EE">
        <w:rPr>
          <w:rFonts w:ascii="Tahoma" w:hAnsi="Tahoma" w:cs="Tahoma"/>
          <w:b w:val="0"/>
          <w:bCs w:val="0"/>
        </w:rPr>
        <w:t xml:space="preserve"> </w:t>
      </w:r>
      <w:r w:rsidR="002F24E1" w:rsidRPr="00B004EE">
        <w:rPr>
          <w:rFonts w:ascii="Tahoma" w:hAnsi="Tahoma" w:cs="Tahoma"/>
          <w:b w:val="0"/>
          <w:bCs w:val="0"/>
        </w:rPr>
        <w:t>produits</w:t>
      </w:r>
      <w:r w:rsidR="00DB1635" w:rsidRPr="00B004EE">
        <w:rPr>
          <w:rFonts w:ascii="Tahoma" w:hAnsi="Tahoma" w:cs="Tahoma"/>
          <w:b w:val="0"/>
          <w:bCs w:val="0"/>
        </w:rPr>
        <w:t xml:space="preserve"> </w:t>
      </w:r>
      <w:r w:rsidR="002F24E1" w:rsidRPr="00B004EE">
        <w:rPr>
          <w:rFonts w:ascii="Tahoma" w:hAnsi="Tahoma" w:cs="Tahoma"/>
          <w:b w:val="0"/>
          <w:bCs w:val="0"/>
        </w:rPr>
        <w:t>fabriqués,</w:t>
      </w:r>
      <w:r w:rsidR="00DB1635" w:rsidRPr="00B004EE">
        <w:rPr>
          <w:rFonts w:ascii="Tahoma" w:hAnsi="Tahoma" w:cs="Tahoma"/>
          <w:b w:val="0"/>
          <w:bCs w:val="0"/>
        </w:rPr>
        <w:t xml:space="preserve"> </w:t>
      </w:r>
      <w:r w:rsidR="002F24E1" w:rsidRPr="00B004EE">
        <w:rPr>
          <w:rFonts w:ascii="Tahoma" w:hAnsi="Tahoma" w:cs="Tahoma"/>
          <w:b w:val="0"/>
          <w:bCs w:val="0"/>
        </w:rPr>
        <w:t>la</w:t>
      </w:r>
      <w:r w:rsidR="00DB1635" w:rsidRPr="00B004EE">
        <w:rPr>
          <w:rFonts w:ascii="Tahoma" w:hAnsi="Tahoma" w:cs="Tahoma"/>
          <w:b w:val="0"/>
          <w:bCs w:val="0"/>
        </w:rPr>
        <w:t xml:space="preserve"> </w:t>
      </w:r>
      <w:r w:rsidR="002F24E1" w:rsidRPr="00B004EE">
        <w:rPr>
          <w:rFonts w:ascii="Tahoma" w:hAnsi="Tahoma" w:cs="Tahoma"/>
          <w:b w:val="0"/>
          <w:bCs w:val="0"/>
        </w:rPr>
        <w:t>salubrité</w:t>
      </w:r>
      <w:r w:rsidR="00DB1635" w:rsidRPr="00B004EE">
        <w:rPr>
          <w:rFonts w:ascii="Tahoma" w:hAnsi="Tahoma" w:cs="Tahoma"/>
          <w:b w:val="0"/>
          <w:bCs w:val="0"/>
        </w:rPr>
        <w:t xml:space="preserve"> </w:t>
      </w:r>
      <w:r w:rsidR="002F24E1" w:rsidRPr="00B004EE">
        <w:rPr>
          <w:rFonts w:ascii="Tahoma" w:hAnsi="Tahoma" w:cs="Tahoma"/>
          <w:b w:val="0"/>
          <w:bCs w:val="0"/>
        </w:rPr>
        <w:t>et</w:t>
      </w:r>
      <w:r w:rsidR="00DB1635" w:rsidRPr="00B004EE">
        <w:rPr>
          <w:rFonts w:ascii="Tahoma" w:hAnsi="Tahoma" w:cs="Tahoma"/>
          <w:b w:val="0"/>
          <w:bCs w:val="0"/>
        </w:rPr>
        <w:t xml:space="preserve"> </w:t>
      </w:r>
      <w:r w:rsidR="002F24E1" w:rsidRPr="00B004EE">
        <w:rPr>
          <w:rFonts w:ascii="Tahoma" w:hAnsi="Tahoma" w:cs="Tahoma"/>
          <w:b w:val="0"/>
          <w:bCs w:val="0"/>
        </w:rPr>
        <w:t>l'hygiène</w:t>
      </w:r>
      <w:r w:rsidR="00DB1635" w:rsidRPr="00B004EE">
        <w:rPr>
          <w:rFonts w:ascii="Tahoma" w:hAnsi="Tahoma" w:cs="Tahoma"/>
          <w:b w:val="0"/>
          <w:bCs w:val="0"/>
        </w:rPr>
        <w:t xml:space="preserve"> </w:t>
      </w:r>
      <w:r w:rsidR="002F24E1" w:rsidRPr="00B004EE">
        <w:rPr>
          <w:rFonts w:ascii="Tahoma" w:hAnsi="Tahoma" w:cs="Tahoma"/>
          <w:b w:val="0"/>
          <w:bCs w:val="0"/>
        </w:rPr>
        <w:t>des</w:t>
      </w:r>
      <w:r w:rsidR="00DB1635" w:rsidRPr="00B004EE">
        <w:rPr>
          <w:rFonts w:ascii="Tahoma" w:hAnsi="Tahoma" w:cs="Tahoma"/>
          <w:b w:val="0"/>
          <w:bCs w:val="0"/>
        </w:rPr>
        <w:t xml:space="preserve"> </w:t>
      </w:r>
      <w:r w:rsidR="002F24E1" w:rsidRPr="00B004EE">
        <w:rPr>
          <w:rFonts w:ascii="Tahoma" w:hAnsi="Tahoma" w:cs="Tahoma"/>
          <w:b w:val="0"/>
          <w:bCs w:val="0"/>
        </w:rPr>
        <w:t>produits</w:t>
      </w:r>
      <w:r w:rsidR="00DB1635" w:rsidRPr="00B004EE">
        <w:rPr>
          <w:rFonts w:ascii="Tahoma" w:hAnsi="Tahoma" w:cs="Tahoma"/>
          <w:b w:val="0"/>
          <w:bCs w:val="0"/>
        </w:rPr>
        <w:t xml:space="preserve"> </w:t>
      </w:r>
      <w:r w:rsidR="002F24E1" w:rsidRPr="00B004EE">
        <w:rPr>
          <w:rFonts w:ascii="Tahoma" w:hAnsi="Tahoma" w:cs="Tahoma"/>
          <w:b w:val="0"/>
          <w:bCs w:val="0"/>
        </w:rPr>
        <w:t>transportés,</w:t>
      </w:r>
      <w:r w:rsidR="00DB1635" w:rsidRPr="00B004EE">
        <w:rPr>
          <w:rFonts w:ascii="Tahoma" w:hAnsi="Tahoma" w:cs="Tahoma"/>
          <w:b w:val="0"/>
          <w:bCs w:val="0"/>
        </w:rPr>
        <w:t xml:space="preserve"> </w:t>
      </w:r>
      <w:r w:rsidR="002F24E1" w:rsidRPr="00B004EE">
        <w:rPr>
          <w:rFonts w:ascii="Tahoma" w:hAnsi="Tahoma" w:cs="Tahoma"/>
          <w:b w:val="0"/>
          <w:bCs w:val="0"/>
        </w:rPr>
        <w:t>les</w:t>
      </w:r>
      <w:r w:rsidR="00DB1635" w:rsidRPr="00B004EE">
        <w:rPr>
          <w:rFonts w:ascii="Tahoma" w:hAnsi="Tahoma" w:cs="Tahoma"/>
          <w:b w:val="0"/>
          <w:bCs w:val="0"/>
        </w:rPr>
        <w:t xml:space="preserve"> </w:t>
      </w:r>
      <w:r w:rsidR="002F24E1" w:rsidRPr="00B004EE">
        <w:rPr>
          <w:rFonts w:ascii="Tahoma" w:hAnsi="Tahoma" w:cs="Tahoma"/>
          <w:b w:val="0"/>
          <w:bCs w:val="0"/>
        </w:rPr>
        <w:t>obligations</w:t>
      </w:r>
      <w:r w:rsidR="00DB1635" w:rsidRPr="00B004EE">
        <w:rPr>
          <w:rFonts w:ascii="Tahoma" w:hAnsi="Tahoma" w:cs="Tahoma"/>
          <w:b w:val="0"/>
          <w:bCs w:val="0"/>
        </w:rPr>
        <w:t xml:space="preserve"> </w:t>
      </w:r>
      <w:r w:rsidR="002F24E1" w:rsidRPr="00B004EE">
        <w:rPr>
          <w:rFonts w:ascii="Tahoma" w:hAnsi="Tahoma" w:cs="Tahoma"/>
          <w:b w:val="0"/>
          <w:bCs w:val="0"/>
        </w:rPr>
        <w:t>des</w:t>
      </w:r>
      <w:r w:rsidR="00DB1635" w:rsidRPr="00B004EE">
        <w:rPr>
          <w:rFonts w:ascii="Tahoma" w:hAnsi="Tahoma" w:cs="Tahoma"/>
          <w:b w:val="0"/>
          <w:bCs w:val="0"/>
        </w:rPr>
        <w:t xml:space="preserve"> </w:t>
      </w:r>
      <w:r w:rsidR="002F24E1" w:rsidRPr="00B004EE">
        <w:rPr>
          <w:rFonts w:ascii="Tahoma" w:hAnsi="Tahoma" w:cs="Tahoma"/>
          <w:b w:val="0"/>
          <w:bCs w:val="0"/>
        </w:rPr>
        <w:t>fabricants.</w:t>
      </w:r>
    </w:p>
    <w:p w14:paraId="4FD4FFA5" w14:textId="77777777" w:rsidR="002F24E1" w:rsidRPr="00B004EE" w:rsidRDefault="002F24E1" w:rsidP="00B004EE">
      <w:pPr>
        <w:pStyle w:val="Lgende"/>
        <w:jc w:val="both"/>
        <w:rPr>
          <w:rFonts w:ascii="Tahoma" w:hAnsi="Tahoma" w:cs="Tahoma"/>
          <w:b w:val="0"/>
          <w:bCs w:val="0"/>
        </w:rPr>
      </w:pPr>
    </w:p>
    <w:p w14:paraId="396038BB" w14:textId="6D294AE9" w:rsidR="002F24E1" w:rsidRPr="00B004EE" w:rsidRDefault="002F24E1" w:rsidP="00B004EE">
      <w:pPr>
        <w:pStyle w:val="Lgende"/>
        <w:jc w:val="both"/>
        <w:rPr>
          <w:rFonts w:ascii="Tahoma" w:hAnsi="Tahoma" w:cs="Tahoma"/>
          <w:b w:val="0"/>
          <w:bCs w:val="0"/>
        </w:rPr>
      </w:pPr>
      <w:r w:rsidRPr="00B004EE">
        <w:rPr>
          <w:rFonts w:ascii="Tahoma" w:hAnsi="Tahoma" w:cs="Tahoma"/>
          <w:b w:val="0"/>
          <w:bCs w:val="0"/>
        </w:rPr>
        <w:t>Ces</w:t>
      </w:r>
      <w:r w:rsidR="00DB1635" w:rsidRPr="00B004EE">
        <w:rPr>
          <w:rFonts w:ascii="Tahoma" w:hAnsi="Tahoma" w:cs="Tahoma"/>
          <w:b w:val="0"/>
          <w:bCs w:val="0"/>
        </w:rPr>
        <w:t xml:space="preserve"> </w:t>
      </w:r>
      <w:r w:rsidRPr="00B004EE">
        <w:rPr>
          <w:rFonts w:ascii="Tahoma" w:hAnsi="Tahoma" w:cs="Tahoma"/>
          <w:b w:val="0"/>
          <w:bCs w:val="0"/>
        </w:rPr>
        <w:t>arrêtés</w:t>
      </w:r>
      <w:r w:rsidR="00DB1635" w:rsidRPr="00B004EE">
        <w:rPr>
          <w:rFonts w:ascii="Tahoma" w:hAnsi="Tahoma" w:cs="Tahoma"/>
          <w:b w:val="0"/>
          <w:bCs w:val="0"/>
        </w:rPr>
        <w:t xml:space="preserve"> </w:t>
      </w:r>
      <w:r w:rsidRPr="00B004EE">
        <w:rPr>
          <w:rFonts w:ascii="Tahoma" w:hAnsi="Tahoma" w:cs="Tahoma"/>
          <w:b w:val="0"/>
          <w:bCs w:val="0"/>
        </w:rPr>
        <w:t>seront</w:t>
      </w:r>
      <w:r w:rsidR="00DB1635" w:rsidRPr="00B004EE">
        <w:rPr>
          <w:rFonts w:ascii="Tahoma" w:hAnsi="Tahoma" w:cs="Tahoma"/>
          <w:b w:val="0"/>
          <w:bCs w:val="0"/>
        </w:rPr>
        <w:t xml:space="preserve"> </w:t>
      </w:r>
      <w:r w:rsidRPr="00B004EE">
        <w:rPr>
          <w:rFonts w:ascii="Tahoma" w:hAnsi="Tahoma" w:cs="Tahoma"/>
          <w:b w:val="0"/>
          <w:bCs w:val="0"/>
        </w:rPr>
        <w:t>pris</w:t>
      </w:r>
      <w:r w:rsidR="00DB1635" w:rsidRPr="00B004EE">
        <w:rPr>
          <w:rFonts w:ascii="Tahoma" w:hAnsi="Tahoma" w:cs="Tahoma"/>
          <w:b w:val="0"/>
          <w:bCs w:val="0"/>
        </w:rPr>
        <w:t xml:space="preserve"> </w:t>
      </w:r>
      <w:r w:rsidRPr="00B004EE">
        <w:rPr>
          <w:rFonts w:ascii="Tahoma" w:hAnsi="Tahoma" w:cs="Tahoma"/>
          <w:b w:val="0"/>
          <w:bCs w:val="0"/>
        </w:rPr>
        <w:t>par</w:t>
      </w:r>
      <w:r w:rsidR="00DB1635" w:rsidRPr="00B004EE">
        <w:rPr>
          <w:rFonts w:ascii="Tahoma" w:hAnsi="Tahoma" w:cs="Tahoma"/>
          <w:b w:val="0"/>
          <w:bCs w:val="0"/>
        </w:rPr>
        <w:t xml:space="preserve"> </w:t>
      </w:r>
      <w:r w:rsidRPr="00B004EE">
        <w:rPr>
          <w:rFonts w:ascii="Tahoma" w:hAnsi="Tahoma" w:cs="Tahoma"/>
          <w:b w:val="0"/>
          <w:bCs w:val="0"/>
        </w:rPr>
        <w:t>le</w:t>
      </w:r>
      <w:r w:rsidR="00DB1635" w:rsidRPr="00B004EE">
        <w:rPr>
          <w:rFonts w:ascii="Tahoma" w:hAnsi="Tahoma" w:cs="Tahoma"/>
          <w:b w:val="0"/>
          <w:bCs w:val="0"/>
        </w:rPr>
        <w:t xml:space="preserve"> </w:t>
      </w:r>
      <w:r w:rsidRPr="00B004EE">
        <w:rPr>
          <w:rFonts w:ascii="Tahoma" w:hAnsi="Tahoma" w:cs="Tahoma"/>
          <w:b w:val="0"/>
          <w:bCs w:val="0"/>
        </w:rPr>
        <w:t>ministre</w:t>
      </w:r>
      <w:r w:rsidR="00DB1635" w:rsidRPr="00B004EE">
        <w:rPr>
          <w:rFonts w:ascii="Tahoma" w:hAnsi="Tahoma" w:cs="Tahoma"/>
          <w:b w:val="0"/>
          <w:bCs w:val="0"/>
        </w:rPr>
        <w:t xml:space="preserve"> </w:t>
      </w:r>
      <w:r w:rsidRPr="00B004EE">
        <w:rPr>
          <w:rFonts w:ascii="Tahoma" w:hAnsi="Tahoma" w:cs="Tahoma"/>
          <w:b w:val="0"/>
          <w:bCs w:val="0"/>
        </w:rPr>
        <w:t>chargé</w:t>
      </w:r>
      <w:r w:rsidR="00DB1635" w:rsidRPr="00B004EE">
        <w:rPr>
          <w:rFonts w:ascii="Tahoma" w:hAnsi="Tahoma" w:cs="Tahoma"/>
          <w:b w:val="0"/>
          <w:bCs w:val="0"/>
        </w:rPr>
        <w:t xml:space="preserve"> </w:t>
      </w:r>
      <w:r w:rsidRPr="00B004EE">
        <w:rPr>
          <w:rFonts w:ascii="Tahoma" w:hAnsi="Tahoma" w:cs="Tahoma"/>
          <w:b w:val="0"/>
          <w:bCs w:val="0"/>
        </w:rPr>
        <w:t>des</w:t>
      </w:r>
      <w:r w:rsidR="00DB1635" w:rsidRPr="00B004EE">
        <w:rPr>
          <w:rFonts w:ascii="Tahoma" w:hAnsi="Tahoma" w:cs="Tahoma"/>
          <w:b w:val="0"/>
          <w:bCs w:val="0"/>
        </w:rPr>
        <w:t xml:space="preserve"> </w:t>
      </w:r>
      <w:r w:rsidRPr="00B004EE">
        <w:rPr>
          <w:rFonts w:ascii="Tahoma" w:hAnsi="Tahoma" w:cs="Tahoma"/>
          <w:b w:val="0"/>
          <w:bCs w:val="0"/>
        </w:rPr>
        <w:t>Pêches</w:t>
      </w:r>
      <w:r w:rsidR="00DB1635" w:rsidRPr="00B004EE">
        <w:rPr>
          <w:rFonts w:ascii="Tahoma" w:hAnsi="Tahoma" w:cs="Tahoma"/>
          <w:b w:val="0"/>
          <w:bCs w:val="0"/>
        </w:rPr>
        <w:t xml:space="preserve"> </w:t>
      </w:r>
      <w:r w:rsidRPr="00B004EE">
        <w:rPr>
          <w:rFonts w:ascii="Tahoma" w:hAnsi="Tahoma" w:cs="Tahoma"/>
          <w:b w:val="0"/>
          <w:bCs w:val="0"/>
        </w:rPr>
        <w:t>sur</w:t>
      </w:r>
      <w:r w:rsidR="00DB1635" w:rsidRPr="00B004EE">
        <w:rPr>
          <w:rFonts w:ascii="Tahoma" w:hAnsi="Tahoma" w:cs="Tahoma"/>
          <w:b w:val="0"/>
          <w:bCs w:val="0"/>
        </w:rPr>
        <w:t xml:space="preserve"> </w:t>
      </w:r>
      <w:r w:rsidRPr="00B004EE">
        <w:rPr>
          <w:rFonts w:ascii="Tahoma" w:hAnsi="Tahoma" w:cs="Tahoma"/>
          <w:b w:val="0"/>
          <w:bCs w:val="0"/>
        </w:rPr>
        <w:t>proposition</w:t>
      </w:r>
      <w:r w:rsidR="00DB1635" w:rsidRPr="00B004EE">
        <w:rPr>
          <w:rFonts w:ascii="Tahoma" w:hAnsi="Tahoma" w:cs="Tahoma"/>
          <w:b w:val="0"/>
          <w:bCs w:val="0"/>
        </w:rPr>
        <w:t xml:space="preserve"> </w:t>
      </w:r>
      <w:r w:rsidRPr="00B004EE">
        <w:rPr>
          <w:rFonts w:ascii="Tahoma" w:hAnsi="Tahoma" w:cs="Tahoma"/>
          <w:b w:val="0"/>
          <w:bCs w:val="0"/>
        </w:rPr>
        <w:t>du</w:t>
      </w:r>
      <w:r w:rsidR="00DB1635" w:rsidRPr="00B004EE">
        <w:rPr>
          <w:rFonts w:ascii="Tahoma" w:hAnsi="Tahoma" w:cs="Tahoma"/>
          <w:b w:val="0"/>
          <w:bCs w:val="0"/>
        </w:rPr>
        <w:t xml:space="preserve"> </w:t>
      </w:r>
      <w:r w:rsidRPr="00B004EE">
        <w:rPr>
          <w:rFonts w:ascii="Tahoma" w:hAnsi="Tahoma" w:cs="Tahoma"/>
          <w:b w:val="0"/>
          <w:bCs w:val="0"/>
        </w:rPr>
        <w:t>directeur</w:t>
      </w:r>
      <w:r w:rsidR="00DB1635" w:rsidRPr="00B004EE">
        <w:rPr>
          <w:rFonts w:ascii="Tahoma" w:hAnsi="Tahoma" w:cs="Tahoma"/>
          <w:b w:val="0"/>
          <w:bCs w:val="0"/>
        </w:rPr>
        <w:t xml:space="preserve"> </w:t>
      </w:r>
      <w:r w:rsidRPr="00B004EE">
        <w:rPr>
          <w:rFonts w:ascii="Tahoma" w:hAnsi="Tahoma" w:cs="Tahoma"/>
          <w:b w:val="0"/>
          <w:bCs w:val="0"/>
        </w:rPr>
        <w:t>du</w:t>
      </w:r>
      <w:r w:rsidR="00DB1635" w:rsidRPr="00B004EE">
        <w:rPr>
          <w:rFonts w:ascii="Tahoma" w:hAnsi="Tahoma" w:cs="Tahoma"/>
          <w:b w:val="0"/>
          <w:bCs w:val="0"/>
        </w:rPr>
        <w:t xml:space="preserve"> </w:t>
      </w:r>
      <w:r w:rsidRPr="00B004EE">
        <w:rPr>
          <w:rFonts w:ascii="Tahoma" w:hAnsi="Tahoma" w:cs="Tahoma"/>
          <w:b w:val="0"/>
          <w:bCs w:val="0"/>
        </w:rPr>
        <w:t>Centre</w:t>
      </w:r>
      <w:r w:rsidR="00DB1635" w:rsidRPr="00B004EE">
        <w:rPr>
          <w:rFonts w:ascii="Tahoma" w:hAnsi="Tahoma" w:cs="Tahoma"/>
          <w:b w:val="0"/>
          <w:bCs w:val="0"/>
        </w:rPr>
        <w:t xml:space="preserve"> </w:t>
      </w:r>
      <w:r w:rsidRPr="00B004EE">
        <w:rPr>
          <w:rFonts w:ascii="Tahoma" w:hAnsi="Tahoma" w:cs="Tahoma"/>
          <w:b w:val="0"/>
          <w:bCs w:val="0"/>
        </w:rPr>
        <w:t>national</w:t>
      </w:r>
      <w:r w:rsidR="00DB1635" w:rsidRPr="00B004EE">
        <w:rPr>
          <w:rFonts w:ascii="Tahoma" w:hAnsi="Tahoma" w:cs="Tahoma"/>
          <w:b w:val="0"/>
          <w:bCs w:val="0"/>
        </w:rPr>
        <w:t xml:space="preserve"> </w:t>
      </w:r>
      <w:r w:rsidRPr="00B004EE">
        <w:rPr>
          <w:rFonts w:ascii="Tahoma" w:hAnsi="Tahoma" w:cs="Tahoma"/>
          <w:b w:val="0"/>
          <w:bCs w:val="0"/>
        </w:rPr>
        <w:t>de</w:t>
      </w:r>
      <w:r w:rsidR="00DB1635" w:rsidRPr="00B004EE">
        <w:rPr>
          <w:rFonts w:ascii="Tahoma" w:hAnsi="Tahoma" w:cs="Tahoma"/>
          <w:b w:val="0"/>
          <w:bCs w:val="0"/>
        </w:rPr>
        <w:t xml:space="preserve"> </w:t>
      </w:r>
      <w:r w:rsidRPr="00B004EE">
        <w:rPr>
          <w:rFonts w:ascii="Tahoma" w:hAnsi="Tahoma" w:cs="Tahoma"/>
          <w:b w:val="0"/>
          <w:bCs w:val="0"/>
        </w:rPr>
        <w:t>Recherches</w:t>
      </w:r>
      <w:r w:rsidR="00DB1635" w:rsidRPr="00B004EE">
        <w:rPr>
          <w:rFonts w:ascii="Tahoma" w:hAnsi="Tahoma" w:cs="Tahoma"/>
          <w:b w:val="0"/>
          <w:bCs w:val="0"/>
        </w:rPr>
        <w:t xml:space="preserve"> </w:t>
      </w:r>
      <w:r w:rsidRPr="00B004EE">
        <w:rPr>
          <w:rFonts w:ascii="Tahoma" w:hAnsi="Tahoma" w:cs="Tahoma"/>
          <w:b w:val="0"/>
          <w:bCs w:val="0"/>
        </w:rPr>
        <w:t>Océanographiques</w:t>
      </w:r>
      <w:r w:rsidR="00DB1635" w:rsidRPr="00B004EE">
        <w:rPr>
          <w:rFonts w:ascii="Tahoma" w:hAnsi="Tahoma" w:cs="Tahoma"/>
          <w:b w:val="0"/>
          <w:bCs w:val="0"/>
        </w:rPr>
        <w:t xml:space="preserve"> </w:t>
      </w:r>
      <w:r w:rsidRPr="00B004EE">
        <w:rPr>
          <w:rFonts w:ascii="Tahoma" w:hAnsi="Tahoma" w:cs="Tahoma"/>
          <w:b w:val="0"/>
          <w:bCs w:val="0"/>
        </w:rPr>
        <w:t>et</w:t>
      </w:r>
      <w:r w:rsidR="00DB1635" w:rsidRPr="00B004EE">
        <w:rPr>
          <w:rFonts w:ascii="Tahoma" w:hAnsi="Tahoma" w:cs="Tahoma"/>
          <w:b w:val="0"/>
          <w:bCs w:val="0"/>
        </w:rPr>
        <w:t xml:space="preserve"> </w:t>
      </w:r>
      <w:r w:rsidRPr="00B004EE">
        <w:rPr>
          <w:rFonts w:ascii="Tahoma" w:hAnsi="Tahoma" w:cs="Tahoma"/>
          <w:b w:val="0"/>
          <w:bCs w:val="0"/>
        </w:rPr>
        <w:t>des</w:t>
      </w:r>
      <w:r w:rsidR="00DB1635" w:rsidRPr="00B004EE">
        <w:rPr>
          <w:rFonts w:ascii="Tahoma" w:hAnsi="Tahoma" w:cs="Tahoma"/>
          <w:b w:val="0"/>
          <w:bCs w:val="0"/>
        </w:rPr>
        <w:t xml:space="preserve"> </w:t>
      </w:r>
      <w:r w:rsidRPr="00B004EE">
        <w:rPr>
          <w:rFonts w:ascii="Tahoma" w:hAnsi="Tahoma" w:cs="Tahoma"/>
          <w:b w:val="0"/>
          <w:bCs w:val="0"/>
        </w:rPr>
        <w:t>Pêches.</w:t>
      </w:r>
    </w:p>
    <w:p w14:paraId="3B6D24F7" w14:textId="77777777" w:rsidR="002F24E1" w:rsidRPr="00B004EE" w:rsidRDefault="002F24E1" w:rsidP="00B004EE">
      <w:pPr>
        <w:pStyle w:val="Lgende"/>
        <w:jc w:val="both"/>
        <w:rPr>
          <w:rFonts w:ascii="Tahoma" w:hAnsi="Tahoma" w:cs="Tahoma"/>
          <w:b w:val="0"/>
          <w:bCs w:val="0"/>
        </w:rPr>
      </w:pPr>
    </w:p>
    <w:p w14:paraId="652FF90F" w14:textId="4F4CCD9A" w:rsidR="002F24E1" w:rsidRPr="00B004EE" w:rsidRDefault="00561F81" w:rsidP="00B004EE">
      <w:pPr>
        <w:pStyle w:val="Lgende"/>
        <w:jc w:val="both"/>
        <w:rPr>
          <w:rFonts w:ascii="Tahoma" w:hAnsi="Tahoma" w:cs="Tahoma"/>
          <w:b w:val="0"/>
          <w:bCs w:val="0"/>
        </w:rPr>
      </w:pPr>
      <w:r w:rsidRPr="00B004EE">
        <w:rPr>
          <w:rFonts w:ascii="Tahoma" w:hAnsi="Tahoma" w:cs="Tahoma"/>
          <w:b w:val="0"/>
          <w:bCs w:val="0"/>
        </w:rPr>
        <w:t xml:space="preserve">Article </w:t>
      </w:r>
      <w:r w:rsidR="002F24E1" w:rsidRPr="00B004EE">
        <w:rPr>
          <w:rFonts w:ascii="Tahoma" w:hAnsi="Tahoma" w:cs="Tahoma"/>
          <w:b w:val="0"/>
          <w:bCs w:val="0"/>
        </w:rPr>
        <w:t>17</w:t>
      </w:r>
      <w:r w:rsidR="00DB1635" w:rsidRPr="00B004EE">
        <w:rPr>
          <w:rFonts w:ascii="Tahoma" w:hAnsi="Tahoma" w:cs="Tahoma"/>
          <w:b w:val="0"/>
          <w:bCs w:val="0"/>
        </w:rPr>
        <w:t xml:space="preserve"> </w:t>
      </w:r>
      <w:r w:rsidR="002F24E1" w:rsidRPr="00B004EE">
        <w:rPr>
          <w:rFonts w:ascii="Tahoma" w:hAnsi="Tahoma" w:cs="Tahoma"/>
          <w:b w:val="0"/>
          <w:bCs w:val="0"/>
        </w:rPr>
        <w:t>:</w:t>
      </w:r>
      <w:r w:rsidR="00DB1635" w:rsidRPr="00B004EE">
        <w:rPr>
          <w:rFonts w:ascii="Tahoma" w:hAnsi="Tahoma" w:cs="Tahoma"/>
          <w:b w:val="0"/>
          <w:bCs w:val="0"/>
        </w:rPr>
        <w:t xml:space="preserve"> </w:t>
      </w:r>
      <w:r w:rsidR="002F24E1" w:rsidRPr="00B004EE">
        <w:rPr>
          <w:rFonts w:ascii="Tahoma" w:hAnsi="Tahoma" w:cs="Tahoma"/>
          <w:b w:val="0"/>
          <w:bCs w:val="0"/>
        </w:rPr>
        <w:t>Sous</w:t>
      </w:r>
      <w:r w:rsidR="00DB1635" w:rsidRPr="00B004EE">
        <w:rPr>
          <w:rFonts w:ascii="Tahoma" w:hAnsi="Tahoma" w:cs="Tahoma"/>
          <w:b w:val="0"/>
          <w:bCs w:val="0"/>
        </w:rPr>
        <w:t xml:space="preserve"> </w:t>
      </w:r>
      <w:r w:rsidR="002F24E1" w:rsidRPr="00B004EE">
        <w:rPr>
          <w:rFonts w:ascii="Tahoma" w:hAnsi="Tahoma" w:cs="Tahoma"/>
          <w:b w:val="0"/>
          <w:bCs w:val="0"/>
        </w:rPr>
        <w:t>réserve</w:t>
      </w:r>
      <w:r w:rsidR="00DB1635" w:rsidRPr="00B004EE">
        <w:rPr>
          <w:rFonts w:ascii="Tahoma" w:hAnsi="Tahoma" w:cs="Tahoma"/>
          <w:b w:val="0"/>
          <w:bCs w:val="0"/>
        </w:rPr>
        <w:t xml:space="preserve"> </w:t>
      </w:r>
      <w:r w:rsidR="002F24E1" w:rsidRPr="00B004EE">
        <w:rPr>
          <w:rFonts w:ascii="Tahoma" w:hAnsi="Tahoma" w:cs="Tahoma"/>
          <w:b w:val="0"/>
          <w:bCs w:val="0"/>
        </w:rPr>
        <w:t>des</w:t>
      </w:r>
      <w:r w:rsidR="00DB1635" w:rsidRPr="00B004EE">
        <w:rPr>
          <w:rFonts w:ascii="Tahoma" w:hAnsi="Tahoma" w:cs="Tahoma"/>
          <w:b w:val="0"/>
          <w:bCs w:val="0"/>
        </w:rPr>
        <w:t xml:space="preserve"> </w:t>
      </w:r>
      <w:r w:rsidR="002F24E1" w:rsidRPr="00B004EE">
        <w:rPr>
          <w:rFonts w:ascii="Tahoma" w:hAnsi="Tahoma" w:cs="Tahoma"/>
          <w:b w:val="0"/>
          <w:bCs w:val="0"/>
        </w:rPr>
        <w:t>peines</w:t>
      </w:r>
      <w:r w:rsidR="00DB1635" w:rsidRPr="00B004EE">
        <w:rPr>
          <w:rFonts w:ascii="Tahoma" w:hAnsi="Tahoma" w:cs="Tahoma"/>
          <w:b w:val="0"/>
          <w:bCs w:val="0"/>
        </w:rPr>
        <w:t xml:space="preserve"> </w:t>
      </w:r>
      <w:r w:rsidR="002F24E1" w:rsidRPr="00B004EE">
        <w:rPr>
          <w:rFonts w:ascii="Tahoma" w:hAnsi="Tahoma" w:cs="Tahoma"/>
          <w:b w:val="0"/>
          <w:bCs w:val="0"/>
        </w:rPr>
        <w:t>plus</w:t>
      </w:r>
      <w:r w:rsidR="00DB1635" w:rsidRPr="00B004EE">
        <w:rPr>
          <w:rFonts w:ascii="Tahoma" w:hAnsi="Tahoma" w:cs="Tahoma"/>
          <w:b w:val="0"/>
          <w:bCs w:val="0"/>
        </w:rPr>
        <w:t xml:space="preserve"> </w:t>
      </w:r>
      <w:r w:rsidR="002F24E1" w:rsidRPr="00B004EE">
        <w:rPr>
          <w:rFonts w:ascii="Tahoma" w:hAnsi="Tahoma" w:cs="Tahoma"/>
          <w:b w:val="0"/>
          <w:bCs w:val="0"/>
        </w:rPr>
        <w:t>fortes</w:t>
      </w:r>
      <w:r w:rsidR="00DB1635" w:rsidRPr="00B004EE">
        <w:rPr>
          <w:rFonts w:ascii="Tahoma" w:hAnsi="Tahoma" w:cs="Tahoma"/>
          <w:b w:val="0"/>
          <w:bCs w:val="0"/>
        </w:rPr>
        <w:t xml:space="preserve"> </w:t>
      </w:r>
      <w:r w:rsidR="002F24E1" w:rsidRPr="00B004EE">
        <w:rPr>
          <w:rFonts w:ascii="Tahoma" w:hAnsi="Tahoma" w:cs="Tahoma"/>
          <w:b w:val="0"/>
          <w:bCs w:val="0"/>
        </w:rPr>
        <w:t>prévues</w:t>
      </w:r>
      <w:r w:rsidR="00DB1635" w:rsidRPr="00B004EE">
        <w:rPr>
          <w:rFonts w:ascii="Tahoma" w:hAnsi="Tahoma" w:cs="Tahoma"/>
          <w:b w:val="0"/>
          <w:bCs w:val="0"/>
        </w:rPr>
        <w:t xml:space="preserve"> </w:t>
      </w:r>
      <w:r w:rsidR="002F24E1" w:rsidRPr="00B004EE">
        <w:rPr>
          <w:rFonts w:ascii="Tahoma" w:hAnsi="Tahoma" w:cs="Tahoma"/>
          <w:b w:val="0"/>
          <w:bCs w:val="0"/>
        </w:rPr>
        <w:t>par</w:t>
      </w:r>
      <w:r w:rsidR="00DB1635" w:rsidRPr="00B004EE">
        <w:rPr>
          <w:rFonts w:ascii="Tahoma" w:hAnsi="Tahoma" w:cs="Tahoma"/>
          <w:b w:val="0"/>
          <w:bCs w:val="0"/>
        </w:rPr>
        <w:t xml:space="preserve"> </w:t>
      </w:r>
      <w:r w:rsidR="002F24E1" w:rsidRPr="00B004EE">
        <w:rPr>
          <w:rFonts w:ascii="Tahoma" w:hAnsi="Tahoma" w:cs="Tahoma"/>
          <w:b w:val="0"/>
          <w:bCs w:val="0"/>
        </w:rPr>
        <w:t>les</w:t>
      </w:r>
      <w:r w:rsidR="00DB1635" w:rsidRPr="00B004EE">
        <w:rPr>
          <w:rFonts w:ascii="Tahoma" w:hAnsi="Tahoma" w:cs="Tahoma"/>
          <w:b w:val="0"/>
          <w:bCs w:val="0"/>
        </w:rPr>
        <w:t xml:space="preserve"> </w:t>
      </w:r>
      <w:r w:rsidR="002F24E1" w:rsidRPr="00B004EE">
        <w:rPr>
          <w:rFonts w:ascii="Tahoma" w:hAnsi="Tahoma" w:cs="Tahoma"/>
          <w:b w:val="0"/>
          <w:bCs w:val="0"/>
        </w:rPr>
        <w:t>textes</w:t>
      </w:r>
      <w:r w:rsidR="00DB1635" w:rsidRPr="00B004EE">
        <w:rPr>
          <w:rFonts w:ascii="Tahoma" w:hAnsi="Tahoma" w:cs="Tahoma"/>
          <w:b w:val="0"/>
          <w:bCs w:val="0"/>
        </w:rPr>
        <w:t xml:space="preserve"> </w:t>
      </w:r>
      <w:r w:rsidR="002F24E1" w:rsidRPr="00B004EE">
        <w:rPr>
          <w:rFonts w:ascii="Tahoma" w:hAnsi="Tahoma" w:cs="Tahoma"/>
          <w:b w:val="0"/>
          <w:bCs w:val="0"/>
        </w:rPr>
        <w:t>en</w:t>
      </w:r>
      <w:r w:rsidR="00DB1635" w:rsidRPr="00B004EE">
        <w:rPr>
          <w:rFonts w:ascii="Tahoma" w:hAnsi="Tahoma" w:cs="Tahoma"/>
          <w:b w:val="0"/>
          <w:bCs w:val="0"/>
        </w:rPr>
        <w:t xml:space="preserve"> </w:t>
      </w:r>
      <w:r w:rsidR="002F24E1" w:rsidRPr="00B004EE">
        <w:rPr>
          <w:rFonts w:ascii="Tahoma" w:hAnsi="Tahoma" w:cs="Tahoma"/>
          <w:b w:val="0"/>
          <w:bCs w:val="0"/>
        </w:rPr>
        <w:t>vigueur,</w:t>
      </w:r>
      <w:r w:rsidR="00DB1635" w:rsidRPr="00B004EE">
        <w:rPr>
          <w:rFonts w:ascii="Tahoma" w:hAnsi="Tahoma" w:cs="Tahoma"/>
          <w:b w:val="0"/>
          <w:bCs w:val="0"/>
        </w:rPr>
        <w:t xml:space="preserve"> </w:t>
      </w:r>
      <w:r w:rsidR="002F24E1" w:rsidRPr="00B004EE">
        <w:rPr>
          <w:rFonts w:ascii="Tahoma" w:hAnsi="Tahoma" w:cs="Tahoma"/>
          <w:b w:val="0"/>
          <w:bCs w:val="0"/>
        </w:rPr>
        <w:t>les</w:t>
      </w:r>
      <w:r w:rsidR="00DB1635" w:rsidRPr="00B004EE">
        <w:rPr>
          <w:rFonts w:ascii="Tahoma" w:hAnsi="Tahoma" w:cs="Tahoma"/>
          <w:b w:val="0"/>
          <w:bCs w:val="0"/>
        </w:rPr>
        <w:t xml:space="preserve"> </w:t>
      </w:r>
      <w:r w:rsidR="002F24E1" w:rsidRPr="00B004EE">
        <w:rPr>
          <w:rFonts w:ascii="Tahoma" w:hAnsi="Tahoma" w:cs="Tahoma"/>
          <w:b w:val="0"/>
          <w:bCs w:val="0"/>
        </w:rPr>
        <w:t>contrevenants</w:t>
      </w:r>
      <w:r w:rsidR="00DB1635" w:rsidRPr="00B004EE">
        <w:rPr>
          <w:rFonts w:ascii="Tahoma" w:hAnsi="Tahoma" w:cs="Tahoma"/>
          <w:b w:val="0"/>
          <w:bCs w:val="0"/>
        </w:rPr>
        <w:t xml:space="preserve"> </w:t>
      </w:r>
      <w:r w:rsidR="002F24E1" w:rsidRPr="00B004EE">
        <w:rPr>
          <w:rFonts w:ascii="Tahoma" w:hAnsi="Tahoma" w:cs="Tahoma"/>
          <w:b w:val="0"/>
          <w:bCs w:val="0"/>
        </w:rPr>
        <w:t>au</w:t>
      </w:r>
      <w:r w:rsidR="00DB1635" w:rsidRPr="00B004EE">
        <w:rPr>
          <w:rFonts w:ascii="Tahoma" w:hAnsi="Tahoma" w:cs="Tahoma"/>
          <w:b w:val="0"/>
          <w:bCs w:val="0"/>
        </w:rPr>
        <w:t xml:space="preserve"> </w:t>
      </w:r>
      <w:r w:rsidR="002F24E1" w:rsidRPr="00B004EE">
        <w:rPr>
          <w:rFonts w:ascii="Tahoma" w:hAnsi="Tahoma" w:cs="Tahoma"/>
          <w:b w:val="0"/>
          <w:bCs w:val="0"/>
        </w:rPr>
        <w:t>présent</w:t>
      </w:r>
      <w:r w:rsidR="00DB1635" w:rsidRPr="00B004EE">
        <w:rPr>
          <w:rFonts w:ascii="Tahoma" w:hAnsi="Tahoma" w:cs="Tahoma"/>
          <w:b w:val="0"/>
          <w:bCs w:val="0"/>
        </w:rPr>
        <w:t xml:space="preserve"> </w:t>
      </w:r>
      <w:r w:rsidR="002F24E1" w:rsidRPr="00B004EE">
        <w:rPr>
          <w:rFonts w:ascii="Tahoma" w:hAnsi="Tahoma" w:cs="Tahoma"/>
          <w:b w:val="0"/>
          <w:bCs w:val="0"/>
        </w:rPr>
        <w:t>décret</w:t>
      </w:r>
      <w:r w:rsidR="00DB1635" w:rsidRPr="00B004EE">
        <w:rPr>
          <w:rFonts w:ascii="Tahoma" w:hAnsi="Tahoma" w:cs="Tahoma"/>
          <w:b w:val="0"/>
          <w:bCs w:val="0"/>
        </w:rPr>
        <w:t xml:space="preserve"> </w:t>
      </w:r>
      <w:r w:rsidR="002F24E1" w:rsidRPr="00B004EE">
        <w:rPr>
          <w:rFonts w:ascii="Tahoma" w:hAnsi="Tahoma" w:cs="Tahoma"/>
          <w:b w:val="0"/>
          <w:bCs w:val="0"/>
        </w:rPr>
        <w:t>seront</w:t>
      </w:r>
      <w:r w:rsidR="00DB1635" w:rsidRPr="00B004EE">
        <w:rPr>
          <w:rFonts w:ascii="Tahoma" w:hAnsi="Tahoma" w:cs="Tahoma"/>
          <w:b w:val="0"/>
          <w:bCs w:val="0"/>
        </w:rPr>
        <w:t xml:space="preserve"> </w:t>
      </w:r>
      <w:r w:rsidR="002F24E1" w:rsidRPr="00B004EE">
        <w:rPr>
          <w:rFonts w:ascii="Tahoma" w:hAnsi="Tahoma" w:cs="Tahoma"/>
          <w:b w:val="0"/>
          <w:bCs w:val="0"/>
        </w:rPr>
        <w:t>passibles</w:t>
      </w:r>
      <w:r w:rsidR="00DB1635" w:rsidRPr="00B004EE">
        <w:rPr>
          <w:rFonts w:ascii="Tahoma" w:hAnsi="Tahoma" w:cs="Tahoma"/>
          <w:b w:val="0"/>
          <w:bCs w:val="0"/>
        </w:rPr>
        <w:t xml:space="preserve"> </w:t>
      </w:r>
      <w:r w:rsidR="002F24E1" w:rsidRPr="00B004EE">
        <w:rPr>
          <w:rFonts w:ascii="Tahoma" w:hAnsi="Tahoma" w:cs="Tahoma"/>
          <w:b w:val="0"/>
          <w:bCs w:val="0"/>
        </w:rPr>
        <w:t>d'une</w:t>
      </w:r>
      <w:r w:rsidR="00DB1635" w:rsidRPr="00B004EE">
        <w:rPr>
          <w:rFonts w:ascii="Tahoma" w:hAnsi="Tahoma" w:cs="Tahoma"/>
          <w:b w:val="0"/>
          <w:bCs w:val="0"/>
        </w:rPr>
        <w:t xml:space="preserve"> </w:t>
      </w:r>
      <w:r w:rsidR="002F24E1" w:rsidRPr="00B004EE">
        <w:rPr>
          <w:rFonts w:ascii="Tahoma" w:hAnsi="Tahoma" w:cs="Tahoma"/>
          <w:b w:val="0"/>
          <w:bCs w:val="0"/>
        </w:rPr>
        <w:t>amende</w:t>
      </w:r>
      <w:r w:rsidR="00DB1635" w:rsidRPr="00B004EE">
        <w:rPr>
          <w:rFonts w:ascii="Tahoma" w:hAnsi="Tahoma" w:cs="Tahoma"/>
          <w:b w:val="0"/>
          <w:bCs w:val="0"/>
        </w:rPr>
        <w:t xml:space="preserve"> </w:t>
      </w:r>
      <w:r w:rsidR="002F24E1" w:rsidRPr="00B004EE">
        <w:rPr>
          <w:rFonts w:ascii="Tahoma" w:hAnsi="Tahoma" w:cs="Tahoma"/>
          <w:b w:val="0"/>
          <w:bCs w:val="0"/>
        </w:rPr>
        <w:t>de</w:t>
      </w:r>
      <w:r w:rsidR="00DB1635" w:rsidRPr="00B004EE">
        <w:rPr>
          <w:rFonts w:ascii="Tahoma" w:hAnsi="Tahoma" w:cs="Tahoma"/>
          <w:b w:val="0"/>
          <w:bCs w:val="0"/>
        </w:rPr>
        <w:t xml:space="preserve"> </w:t>
      </w:r>
      <w:r w:rsidR="002F24E1" w:rsidRPr="00B004EE">
        <w:rPr>
          <w:rFonts w:ascii="Tahoma" w:hAnsi="Tahoma" w:cs="Tahoma"/>
          <w:b w:val="0"/>
          <w:bCs w:val="0"/>
        </w:rPr>
        <w:t>quatre</w:t>
      </w:r>
      <w:r w:rsidR="00DB1635" w:rsidRPr="00B004EE">
        <w:rPr>
          <w:rFonts w:ascii="Tahoma" w:hAnsi="Tahoma" w:cs="Tahoma"/>
          <w:b w:val="0"/>
          <w:bCs w:val="0"/>
        </w:rPr>
        <w:t xml:space="preserve"> </w:t>
      </w:r>
      <w:r w:rsidR="002F24E1" w:rsidRPr="00B004EE">
        <w:rPr>
          <w:rFonts w:ascii="Tahoma" w:hAnsi="Tahoma" w:cs="Tahoma"/>
          <w:b w:val="0"/>
          <w:bCs w:val="0"/>
        </w:rPr>
        <w:t>mille</w:t>
      </w:r>
      <w:r w:rsidR="00DB1635" w:rsidRPr="00B004EE">
        <w:rPr>
          <w:rFonts w:ascii="Tahoma" w:hAnsi="Tahoma" w:cs="Tahoma"/>
          <w:b w:val="0"/>
          <w:bCs w:val="0"/>
        </w:rPr>
        <w:t xml:space="preserve"> </w:t>
      </w:r>
      <w:r w:rsidR="002F24E1" w:rsidRPr="00B004EE">
        <w:rPr>
          <w:rFonts w:ascii="Tahoma" w:hAnsi="Tahoma" w:cs="Tahoma"/>
          <w:b w:val="0"/>
          <w:bCs w:val="0"/>
        </w:rPr>
        <w:t>huit</w:t>
      </w:r>
      <w:r w:rsidR="00DB1635" w:rsidRPr="00B004EE">
        <w:rPr>
          <w:rFonts w:ascii="Tahoma" w:hAnsi="Tahoma" w:cs="Tahoma"/>
          <w:b w:val="0"/>
          <w:bCs w:val="0"/>
        </w:rPr>
        <w:t xml:space="preserve"> </w:t>
      </w:r>
      <w:r w:rsidR="002F24E1" w:rsidRPr="00B004EE">
        <w:rPr>
          <w:rFonts w:ascii="Tahoma" w:hAnsi="Tahoma" w:cs="Tahoma"/>
          <w:b w:val="0"/>
          <w:bCs w:val="0"/>
        </w:rPr>
        <w:t>cents</w:t>
      </w:r>
      <w:r w:rsidR="00DB1635" w:rsidRPr="00B004EE">
        <w:rPr>
          <w:rFonts w:ascii="Tahoma" w:hAnsi="Tahoma" w:cs="Tahoma"/>
          <w:b w:val="0"/>
          <w:bCs w:val="0"/>
        </w:rPr>
        <w:t xml:space="preserve"> </w:t>
      </w:r>
      <w:r w:rsidR="002F24E1" w:rsidRPr="00B004EE">
        <w:rPr>
          <w:rFonts w:ascii="Tahoma" w:hAnsi="Tahoma" w:cs="Tahoma"/>
          <w:b w:val="0"/>
          <w:bCs w:val="0"/>
        </w:rPr>
        <w:t>ouguiyas</w:t>
      </w:r>
      <w:r w:rsidR="00DB1635" w:rsidRPr="00B004EE">
        <w:rPr>
          <w:rFonts w:ascii="Tahoma" w:hAnsi="Tahoma" w:cs="Tahoma"/>
          <w:b w:val="0"/>
          <w:bCs w:val="0"/>
        </w:rPr>
        <w:t xml:space="preserve"> </w:t>
      </w:r>
      <w:r w:rsidR="002F24E1" w:rsidRPr="00B004EE">
        <w:rPr>
          <w:rFonts w:ascii="Tahoma" w:hAnsi="Tahoma" w:cs="Tahoma"/>
          <w:b w:val="0"/>
          <w:bCs w:val="0"/>
        </w:rPr>
        <w:t>(4.800</w:t>
      </w:r>
      <w:r w:rsidR="00DB1635" w:rsidRPr="00B004EE">
        <w:rPr>
          <w:rFonts w:ascii="Tahoma" w:hAnsi="Tahoma" w:cs="Tahoma"/>
          <w:b w:val="0"/>
          <w:bCs w:val="0"/>
        </w:rPr>
        <w:t xml:space="preserve"> </w:t>
      </w:r>
      <w:r w:rsidR="002F24E1" w:rsidRPr="00B004EE">
        <w:rPr>
          <w:rFonts w:ascii="Tahoma" w:hAnsi="Tahoma" w:cs="Tahoma"/>
          <w:b w:val="0"/>
          <w:bCs w:val="0"/>
        </w:rPr>
        <w:t>UM)</w:t>
      </w:r>
      <w:r w:rsidR="00DB1635" w:rsidRPr="00B004EE">
        <w:rPr>
          <w:rFonts w:ascii="Tahoma" w:hAnsi="Tahoma" w:cs="Tahoma"/>
          <w:b w:val="0"/>
          <w:bCs w:val="0"/>
        </w:rPr>
        <w:t xml:space="preserve"> </w:t>
      </w:r>
      <w:r w:rsidR="002F24E1" w:rsidRPr="00B004EE">
        <w:rPr>
          <w:rFonts w:ascii="Tahoma" w:hAnsi="Tahoma" w:cs="Tahoma"/>
          <w:b w:val="0"/>
          <w:bCs w:val="0"/>
        </w:rPr>
        <w:t>et</w:t>
      </w:r>
      <w:r w:rsidR="00DB1635" w:rsidRPr="00B004EE">
        <w:rPr>
          <w:rFonts w:ascii="Tahoma" w:hAnsi="Tahoma" w:cs="Tahoma"/>
          <w:b w:val="0"/>
          <w:bCs w:val="0"/>
        </w:rPr>
        <w:t xml:space="preserve"> </w:t>
      </w:r>
      <w:r w:rsidR="002F24E1" w:rsidRPr="00B004EE">
        <w:rPr>
          <w:rFonts w:ascii="Tahoma" w:hAnsi="Tahoma" w:cs="Tahoma"/>
          <w:b w:val="0"/>
          <w:bCs w:val="0"/>
        </w:rPr>
        <w:t>d'un</w:t>
      </w:r>
      <w:r w:rsidR="00DB1635" w:rsidRPr="00B004EE">
        <w:rPr>
          <w:rFonts w:ascii="Tahoma" w:hAnsi="Tahoma" w:cs="Tahoma"/>
          <w:b w:val="0"/>
          <w:bCs w:val="0"/>
        </w:rPr>
        <w:t xml:space="preserve"> </w:t>
      </w:r>
      <w:r w:rsidR="002F24E1" w:rsidRPr="00B004EE">
        <w:rPr>
          <w:rFonts w:ascii="Tahoma" w:hAnsi="Tahoma" w:cs="Tahoma"/>
          <w:b w:val="0"/>
          <w:bCs w:val="0"/>
        </w:rPr>
        <w:t>emprisonnement</w:t>
      </w:r>
      <w:r w:rsidR="00DB1635" w:rsidRPr="00B004EE">
        <w:rPr>
          <w:rFonts w:ascii="Tahoma" w:hAnsi="Tahoma" w:cs="Tahoma"/>
          <w:b w:val="0"/>
          <w:bCs w:val="0"/>
        </w:rPr>
        <w:t xml:space="preserve"> </w:t>
      </w:r>
      <w:r w:rsidR="002F24E1" w:rsidRPr="00B004EE">
        <w:rPr>
          <w:rFonts w:ascii="Tahoma" w:hAnsi="Tahoma" w:cs="Tahoma"/>
          <w:b w:val="0"/>
          <w:bCs w:val="0"/>
        </w:rPr>
        <w:t>de</w:t>
      </w:r>
      <w:r w:rsidR="00DB1635" w:rsidRPr="00B004EE">
        <w:rPr>
          <w:rFonts w:ascii="Tahoma" w:hAnsi="Tahoma" w:cs="Tahoma"/>
          <w:b w:val="0"/>
          <w:bCs w:val="0"/>
        </w:rPr>
        <w:t xml:space="preserve"> </w:t>
      </w:r>
      <w:r w:rsidR="002F24E1" w:rsidRPr="00B004EE">
        <w:rPr>
          <w:rFonts w:ascii="Tahoma" w:hAnsi="Tahoma" w:cs="Tahoma"/>
          <w:b w:val="0"/>
          <w:bCs w:val="0"/>
        </w:rPr>
        <w:t>dix</w:t>
      </w:r>
      <w:r w:rsidR="00DB1635" w:rsidRPr="00B004EE">
        <w:rPr>
          <w:rFonts w:ascii="Tahoma" w:hAnsi="Tahoma" w:cs="Tahoma"/>
          <w:b w:val="0"/>
          <w:bCs w:val="0"/>
        </w:rPr>
        <w:t xml:space="preserve"> </w:t>
      </w:r>
      <w:r w:rsidR="002F24E1" w:rsidRPr="00B004EE">
        <w:rPr>
          <w:rFonts w:ascii="Tahoma" w:hAnsi="Tahoma" w:cs="Tahoma"/>
          <w:b w:val="0"/>
          <w:bCs w:val="0"/>
        </w:rPr>
        <w:t>jours</w:t>
      </w:r>
      <w:r w:rsidR="00DB1635" w:rsidRPr="00B004EE">
        <w:rPr>
          <w:rFonts w:ascii="Tahoma" w:hAnsi="Tahoma" w:cs="Tahoma"/>
          <w:b w:val="0"/>
          <w:bCs w:val="0"/>
        </w:rPr>
        <w:t xml:space="preserve"> </w:t>
      </w:r>
      <w:r w:rsidR="002F24E1" w:rsidRPr="00B004EE">
        <w:rPr>
          <w:rFonts w:ascii="Tahoma" w:hAnsi="Tahoma" w:cs="Tahoma"/>
          <w:b w:val="0"/>
          <w:bCs w:val="0"/>
        </w:rPr>
        <w:t>ou</w:t>
      </w:r>
      <w:r w:rsidR="00DB1635" w:rsidRPr="00B004EE">
        <w:rPr>
          <w:rFonts w:ascii="Tahoma" w:hAnsi="Tahoma" w:cs="Tahoma"/>
          <w:b w:val="0"/>
          <w:bCs w:val="0"/>
        </w:rPr>
        <w:t xml:space="preserve"> </w:t>
      </w:r>
      <w:r w:rsidR="002F24E1" w:rsidRPr="00B004EE">
        <w:rPr>
          <w:rFonts w:ascii="Tahoma" w:hAnsi="Tahoma" w:cs="Tahoma"/>
          <w:b w:val="0"/>
          <w:bCs w:val="0"/>
        </w:rPr>
        <w:t>de</w:t>
      </w:r>
      <w:r w:rsidR="00DB1635" w:rsidRPr="00B004EE">
        <w:rPr>
          <w:rFonts w:ascii="Tahoma" w:hAnsi="Tahoma" w:cs="Tahoma"/>
          <w:b w:val="0"/>
          <w:bCs w:val="0"/>
        </w:rPr>
        <w:t xml:space="preserve"> </w:t>
      </w:r>
      <w:r w:rsidR="002F24E1" w:rsidRPr="00B004EE">
        <w:rPr>
          <w:rFonts w:ascii="Tahoma" w:hAnsi="Tahoma" w:cs="Tahoma"/>
          <w:b w:val="0"/>
          <w:bCs w:val="0"/>
        </w:rPr>
        <w:t>l'une</w:t>
      </w:r>
      <w:r w:rsidR="00DB1635" w:rsidRPr="00B004EE">
        <w:rPr>
          <w:rFonts w:ascii="Tahoma" w:hAnsi="Tahoma" w:cs="Tahoma"/>
          <w:b w:val="0"/>
          <w:bCs w:val="0"/>
        </w:rPr>
        <w:t xml:space="preserve"> </w:t>
      </w:r>
      <w:r w:rsidR="002F24E1" w:rsidRPr="00B004EE">
        <w:rPr>
          <w:rFonts w:ascii="Tahoma" w:hAnsi="Tahoma" w:cs="Tahoma"/>
          <w:b w:val="0"/>
          <w:bCs w:val="0"/>
        </w:rPr>
        <w:t>des</w:t>
      </w:r>
      <w:r w:rsidR="00DB1635" w:rsidRPr="00B004EE">
        <w:rPr>
          <w:rFonts w:ascii="Tahoma" w:hAnsi="Tahoma" w:cs="Tahoma"/>
          <w:b w:val="0"/>
          <w:bCs w:val="0"/>
        </w:rPr>
        <w:t xml:space="preserve"> </w:t>
      </w:r>
      <w:r w:rsidR="002F24E1" w:rsidRPr="00B004EE">
        <w:rPr>
          <w:rFonts w:ascii="Tahoma" w:hAnsi="Tahoma" w:cs="Tahoma"/>
          <w:b w:val="0"/>
          <w:bCs w:val="0"/>
        </w:rPr>
        <w:t>deux</w:t>
      </w:r>
      <w:r w:rsidR="00DB1635" w:rsidRPr="00B004EE">
        <w:rPr>
          <w:rFonts w:ascii="Tahoma" w:hAnsi="Tahoma" w:cs="Tahoma"/>
          <w:b w:val="0"/>
          <w:bCs w:val="0"/>
        </w:rPr>
        <w:t xml:space="preserve"> </w:t>
      </w:r>
      <w:r w:rsidR="002F24E1" w:rsidRPr="00B004EE">
        <w:rPr>
          <w:rFonts w:ascii="Tahoma" w:hAnsi="Tahoma" w:cs="Tahoma"/>
          <w:b w:val="0"/>
          <w:bCs w:val="0"/>
        </w:rPr>
        <w:t>peines</w:t>
      </w:r>
      <w:r w:rsidR="00DB1635" w:rsidRPr="00B004EE">
        <w:rPr>
          <w:rFonts w:ascii="Tahoma" w:hAnsi="Tahoma" w:cs="Tahoma"/>
          <w:b w:val="0"/>
          <w:bCs w:val="0"/>
        </w:rPr>
        <w:t xml:space="preserve"> </w:t>
      </w:r>
      <w:r w:rsidR="002F24E1" w:rsidRPr="00B004EE">
        <w:rPr>
          <w:rFonts w:ascii="Tahoma" w:hAnsi="Tahoma" w:cs="Tahoma"/>
          <w:b w:val="0"/>
          <w:bCs w:val="0"/>
        </w:rPr>
        <w:t>seulement.</w:t>
      </w:r>
    </w:p>
    <w:p w14:paraId="7C72B2C6" w14:textId="77777777" w:rsidR="002F24E1" w:rsidRPr="00B004EE" w:rsidRDefault="002F24E1" w:rsidP="00B004EE">
      <w:pPr>
        <w:pStyle w:val="Lgende"/>
        <w:jc w:val="both"/>
        <w:rPr>
          <w:rFonts w:ascii="Tahoma" w:hAnsi="Tahoma" w:cs="Tahoma"/>
          <w:b w:val="0"/>
          <w:bCs w:val="0"/>
        </w:rPr>
      </w:pPr>
    </w:p>
    <w:p w14:paraId="57415F92" w14:textId="00F43350" w:rsidR="002F24E1" w:rsidRPr="00B004EE" w:rsidRDefault="00561F81" w:rsidP="00B004EE">
      <w:pPr>
        <w:pStyle w:val="Lgende"/>
        <w:jc w:val="both"/>
        <w:rPr>
          <w:rFonts w:ascii="Tahoma" w:hAnsi="Tahoma" w:cs="Tahoma"/>
          <w:b w:val="0"/>
          <w:bCs w:val="0"/>
        </w:rPr>
      </w:pPr>
      <w:r w:rsidRPr="00B004EE">
        <w:rPr>
          <w:rFonts w:ascii="Tahoma" w:hAnsi="Tahoma" w:cs="Tahoma"/>
          <w:b w:val="0"/>
          <w:bCs w:val="0"/>
        </w:rPr>
        <w:t xml:space="preserve">Article </w:t>
      </w:r>
      <w:r w:rsidR="002F24E1" w:rsidRPr="00B004EE">
        <w:rPr>
          <w:rFonts w:ascii="Tahoma" w:hAnsi="Tahoma" w:cs="Tahoma"/>
          <w:b w:val="0"/>
          <w:bCs w:val="0"/>
        </w:rPr>
        <w:t>18</w:t>
      </w:r>
      <w:r w:rsidR="00DB1635" w:rsidRPr="00B004EE">
        <w:rPr>
          <w:rFonts w:ascii="Tahoma" w:hAnsi="Tahoma" w:cs="Tahoma"/>
          <w:b w:val="0"/>
          <w:bCs w:val="0"/>
        </w:rPr>
        <w:t xml:space="preserve"> </w:t>
      </w:r>
      <w:r w:rsidR="002F24E1" w:rsidRPr="00B004EE">
        <w:rPr>
          <w:rFonts w:ascii="Tahoma" w:hAnsi="Tahoma" w:cs="Tahoma"/>
          <w:b w:val="0"/>
          <w:bCs w:val="0"/>
        </w:rPr>
        <w:t>:</w:t>
      </w:r>
      <w:r w:rsidR="00DB1635" w:rsidRPr="00B004EE">
        <w:rPr>
          <w:rFonts w:ascii="Tahoma" w:hAnsi="Tahoma" w:cs="Tahoma"/>
          <w:b w:val="0"/>
          <w:bCs w:val="0"/>
        </w:rPr>
        <w:t xml:space="preserve"> </w:t>
      </w:r>
      <w:r w:rsidR="002F24E1" w:rsidRPr="00B004EE">
        <w:rPr>
          <w:rFonts w:ascii="Tahoma" w:hAnsi="Tahoma" w:cs="Tahoma"/>
          <w:b w:val="0"/>
          <w:bCs w:val="0"/>
        </w:rPr>
        <w:t>Toutes</w:t>
      </w:r>
      <w:r w:rsidR="00DB1635" w:rsidRPr="00B004EE">
        <w:rPr>
          <w:rFonts w:ascii="Tahoma" w:hAnsi="Tahoma" w:cs="Tahoma"/>
          <w:b w:val="0"/>
          <w:bCs w:val="0"/>
        </w:rPr>
        <w:t xml:space="preserve"> </w:t>
      </w:r>
      <w:r w:rsidR="002F24E1" w:rsidRPr="00B004EE">
        <w:rPr>
          <w:rFonts w:ascii="Tahoma" w:hAnsi="Tahoma" w:cs="Tahoma"/>
          <w:b w:val="0"/>
          <w:bCs w:val="0"/>
        </w:rPr>
        <w:t>les</w:t>
      </w:r>
      <w:r w:rsidR="00DB1635" w:rsidRPr="00B004EE">
        <w:rPr>
          <w:rFonts w:ascii="Tahoma" w:hAnsi="Tahoma" w:cs="Tahoma"/>
          <w:b w:val="0"/>
          <w:bCs w:val="0"/>
        </w:rPr>
        <w:t xml:space="preserve"> </w:t>
      </w:r>
      <w:r w:rsidR="002F24E1" w:rsidRPr="00B004EE">
        <w:rPr>
          <w:rFonts w:ascii="Tahoma" w:hAnsi="Tahoma" w:cs="Tahoma"/>
          <w:b w:val="0"/>
          <w:bCs w:val="0"/>
        </w:rPr>
        <w:t>dispositions</w:t>
      </w:r>
      <w:r w:rsidR="00DB1635" w:rsidRPr="00B004EE">
        <w:rPr>
          <w:rFonts w:ascii="Tahoma" w:hAnsi="Tahoma" w:cs="Tahoma"/>
          <w:b w:val="0"/>
          <w:bCs w:val="0"/>
        </w:rPr>
        <w:t xml:space="preserve"> </w:t>
      </w:r>
      <w:r w:rsidR="002F24E1" w:rsidRPr="00B004EE">
        <w:rPr>
          <w:rFonts w:ascii="Tahoma" w:hAnsi="Tahoma" w:cs="Tahoma"/>
          <w:b w:val="0"/>
          <w:bCs w:val="0"/>
        </w:rPr>
        <w:t>antérieures</w:t>
      </w:r>
      <w:r w:rsidR="00DB1635" w:rsidRPr="00B004EE">
        <w:rPr>
          <w:rFonts w:ascii="Tahoma" w:hAnsi="Tahoma" w:cs="Tahoma"/>
          <w:b w:val="0"/>
          <w:bCs w:val="0"/>
        </w:rPr>
        <w:t xml:space="preserve"> </w:t>
      </w:r>
      <w:r w:rsidR="002F24E1" w:rsidRPr="00B004EE">
        <w:rPr>
          <w:rFonts w:ascii="Tahoma" w:hAnsi="Tahoma" w:cs="Tahoma"/>
          <w:b w:val="0"/>
          <w:bCs w:val="0"/>
        </w:rPr>
        <w:t>contraires</w:t>
      </w:r>
      <w:r w:rsidR="00DB1635" w:rsidRPr="00B004EE">
        <w:rPr>
          <w:rFonts w:ascii="Tahoma" w:hAnsi="Tahoma" w:cs="Tahoma"/>
          <w:b w:val="0"/>
          <w:bCs w:val="0"/>
        </w:rPr>
        <w:t xml:space="preserve"> </w:t>
      </w:r>
      <w:r w:rsidR="002F24E1" w:rsidRPr="00B004EE">
        <w:rPr>
          <w:rFonts w:ascii="Tahoma" w:hAnsi="Tahoma" w:cs="Tahoma"/>
          <w:b w:val="0"/>
          <w:bCs w:val="0"/>
        </w:rPr>
        <w:t>au</w:t>
      </w:r>
      <w:r w:rsidR="00DB1635" w:rsidRPr="00B004EE">
        <w:rPr>
          <w:rFonts w:ascii="Tahoma" w:hAnsi="Tahoma" w:cs="Tahoma"/>
          <w:b w:val="0"/>
          <w:bCs w:val="0"/>
        </w:rPr>
        <w:t xml:space="preserve"> </w:t>
      </w:r>
      <w:r w:rsidR="002F24E1" w:rsidRPr="00B004EE">
        <w:rPr>
          <w:rFonts w:ascii="Tahoma" w:hAnsi="Tahoma" w:cs="Tahoma"/>
          <w:b w:val="0"/>
          <w:bCs w:val="0"/>
        </w:rPr>
        <w:t>présent</w:t>
      </w:r>
      <w:r w:rsidR="00DB1635" w:rsidRPr="00B004EE">
        <w:rPr>
          <w:rFonts w:ascii="Tahoma" w:hAnsi="Tahoma" w:cs="Tahoma"/>
          <w:b w:val="0"/>
          <w:bCs w:val="0"/>
        </w:rPr>
        <w:t xml:space="preserve"> </w:t>
      </w:r>
      <w:r w:rsidR="002F24E1" w:rsidRPr="00B004EE">
        <w:rPr>
          <w:rFonts w:ascii="Tahoma" w:hAnsi="Tahoma" w:cs="Tahoma"/>
          <w:b w:val="0"/>
          <w:bCs w:val="0"/>
        </w:rPr>
        <w:t>décret</w:t>
      </w:r>
      <w:r w:rsidR="00DB1635" w:rsidRPr="00B004EE">
        <w:rPr>
          <w:rFonts w:ascii="Tahoma" w:hAnsi="Tahoma" w:cs="Tahoma"/>
          <w:b w:val="0"/>
          <w:bCs w:val="0"/>
        </w:rPr>
        <w:t xml:space="preserve"> </w:t>
      </w:r>
      <w:r w:rsidR="002F24E1" w:rsidRPr="00B004EE">
        <w:rPr>
          <w:rFonts w:ascii="Tahoma" w:hAnsi="Tahoma" w:cs="Tahoma"/>
          <w:b w:val="0"/>
          <w:bCs w:val="0"/>
        </w:rPr>
        <w:t>sont</w:t>
      </w:r>
      <w:r w:rsidR="00DB1635" w:rsidRPr="00B004EE">
        <w:rPr>
          <w:rFonts w:ascii="Tahoma" w:hAnsi="Tahoma" w:cs="Tahoma"/>
          <w:b w:val="0"/>
          <w:bCs w:val="0"/>
        </w:rPr>
        <w:t xml:space="preserve"> </w:t>
      </w:r>
      <w:r w:rsidR="002F24E1" w:rsidRPr="00B004EE">
        <w:rPr>
          <w:rFonts w:ascii="Tahoma" w:hAnsi="Tahoma" w:cs="Tahoma"/>
          <w:b w:val="0"/>
          <w:bCs w:val="0"/>
        </w:rPr>
        <w:t>abrogées.</w:t>
      </w:r>
    </w:p>
    <w:p w14:paraId="336141F4" w14:textId="104A050A" w:rsidR="00F802AA" w:rsidRPr="00B004EE" w:rsidRDefault="00F802AA" w:rsidP="00B004EE">
      <w:pPr>
        <w:rPr>
          <w:sz w:val="20"/>
          <w:szCs w:val="20"/>
        </w:rPr>
      </w:pPr>
    </w:p>
    <w:p w14:paraId="02B00DEE" w14:textId="4728A077" w:rsidR="00F802AA" w:rsidRPr="00B004EE" w:rsidRDefault="00F802AA" w:rsidP="00B004EE">
      <w:pPr>
        <w:jc w:val="both"/>
        <w:rPr>
          <w:rFonts w:ascii="Tahoma" w:hAnsi="Tahoma" w:cs="Tahoma"/>
          <w:sz w:val="20"/>
          <w:szCs w:val="20"/>
        </w:rPr>
      </w:pPr>
      <w:r w:rsidRPr="00B004EE">
        <w:rPr>
          <w:rFonts w:ascii="Tahoma" w:hAnsi="Tahoma" w:cs="Tahoma"/>
          <w:sz w:val="20"/>
          <w:szCs w:val="20"/>
        </w:rPr>
        <w:t>Article 19 : Le Ministre chargé des pêches est chargé de l'exécution du présent décret.</w:t>
      </w:r>
    </w:p>
    <w:p w14:paraId="6189655F" w14:textId="77777777" w:rsidR="00561F81" w:rsidRPr="00B004EE" w:rsidRDefault="00561F81" w:rsidP="00B004EE">
      <w:pPr>
        <w:pStyle w:val="Lgende"/>
        <w:jc w:val="right"/>
        <w:rPr>
          <w:rFonts w:ascii="Tahoma" w:hAnsi="Tahoma" w:cs="Tahoma"/>
          <w:b w:val="0"/>
          <w:bCs w:val="0"/>
          <w:i/>
          <w:iCs/>
        </w:rPr>
      </w:pPr>
    </w:p>
    <w:p w14:paraId="7F11BB86" w14:textId="77777777" w:rsidR="00561F81" w:rsidRPr="00B004EE" w:rsidRDefault="00561F81" w:rsidP="00B004EE">
      <w:pPr>
        <w:pStyle w:val="Lgende"/>
        <w:jc w:val="right"/>
        <w:rPr>
          <w:rFonts w:ascii="Tahoma" w:hAnsi="Tahoma" w:cs="Tahoma"/>
          <w:b w:val="0"/>
          <w:bCs w:val="0"/>
          <w:i/>
          <w:iCs/>
        </w:rPr>
      </w:pPr>
    </w:p>
    <w:p w14:paraId="242F63FC" w14:textId="48A86404" w:rsidR="00572DF5" w:rsidRPr="00B004EE" w:rsidRDefault="00572DF5" w:rsidP="00B004EE">
      <w:pPr>
        <w:pStyle w:val="Lgende"/>
        <w:jc w:val="right"/>
        <w:rPr>
          <w:rFonts w:ascii="Tahoma" w:hAnsi="Tahoma" w:cs="Tahoma"/>
          <w:b w:val="0"/>
          <w:bCs w:val="0"/>
        </w:rPr>
      </w:pPr>
      <w:r w:rsidRPr="00B004EE">
        <w:rPr>
          <w:rFonts w:ascii="Tahoma" w:hAnsi="Tahoma" w:cs="Tahoma"/>
          <w:b w:val="0"/>
          <w:bCs w:val="0"/>
          <w:i/>
          <w:iCs/>
        </w:rPr>
        <w:t>Fait</w:t>
      </w:r>
      <w:r w:rsidR="00DB1635" w:rsidRPr="00B004EE">
        <w:rPr>
          <w:rFonts w:ascii="Tahoma" w:hAnsi="Tahoma" w:cs="Tahoma"/>
          <w:b w:val="0"/>
          <w:bCs w:val="0"/>
          <w:i/>
          <w:iCs/>
        </w:rPr>
        <w:t xml:space="preserve"> </w:t>
      </w:r>
      <w:r w:rsidRPr="00B004EE">
        <w:rPr>
          <w:rFonts w:ascii="Tahoma" w:hAnsi="Tahoma" w:cs="Tahoma"/>
          <w:b w:val="0"/>
          <w:bCs w:val="0"/>
          <w:i/>
          <w:iCs/>
        </w:rPr>
        <w:t>à</w:t>
      </w:r>
      <w:r w:rsidR="00DB1635" w:rsidRPr="00B004EE">
        <w:rPr>
          <w:rFonts w:ascii="Tahoma" w:hAnsi="Tahoma" w:cs="Tahoma"/>
          <w:b w:val="0"/>
          <w:bCs w:val="0"/>
          <w:i/>
          <w:iCs/>
        </w:rPr>
        <w:t xml:space="preserve"> </w:t>
      </w:r>
      <w:r w:rsidRPr="00B004EE">
        <w:rPr>
          <w:rFonts w:ascii="Tahoma" w:hAnsi="Tahoma" w:cs="Tahoma"/>
          <w:b w:val="0"/>
          <w:bCs w:val="0"/>
          <w:i/>
          <w:iCs/>
        </w:rPr>
        <w:t>Nouakchott</w:t>
      </w:r>
      <w:r w:rsidRPr="00B004EE">
        <w:rPr>
          <w:rFonts w:ascii="Tahoma" w:hAnsi="Tahoma" w:cs="Tahoma"/>
          <w:b w:val="0"/>
          <w:bCs w:val="0"/>
        </w:rPr>
        <w:t>,</w:t>
      </w:r>
      <w:r w:rsidR="00DB1635" w:rsidRPr="00B004EE">
        <w:rPr>
          <w:rFonts w:ascii="Tahoma" w:hAnsi="Tahoma" w:cs="Tahoma"/>
          <w:b w:val="0"/>
          <w:bCs w:val="0"/>
        </w:rPr>
        <w:t xml:space="preserve"> </w:t>
      </w:r>
      <w:r w:rsidRPr="00B004EE">
        <w:rPr>
          <w:rFonts w:ascii="Tahoma" w:hAnsi="Tahoma" w:cs="Tahoma"/>
          <w:b w:val="0"/>
          <w:bCs w:val="0"/>
        </w:rPr>
        <w:t>le</w:t>
      </w:r>
      <w:r w:rsidR="00DB1635" w:rsidRPr="00B004EE">
        <w:rPr>
          <w:rFonts w:ascii="Tahoma" w:hAnsi="Tahoma" w:cs="Tahoma"/>
          <w:b w:val="0"/>
          <w:bCs w:val="0"/>
        </w:rPr>
        <w:t xml:space="preserve"> </w:t>
      </w:r>
      <w:r w:rsidRPr="00B004EE">
        <w:rPr>
          <w:rFonts w:ascii="Tahoma" w:hAnsi="Tahoma" w:cs="Tahoma"/>
          <w:b w:val="0"/>
          <w:bCs w:val="0"/>
        </w:rPr>
        <w:t>2</w:t>
      </w:r>
      <w:r w:rsidR="00DB1635" w:rsidRPr="00B004EE">
        <w:rPr>
          <w:rFonts w:ascii="Tahoma" w:hAnsi="Tahoma" w:cs="Tahoma"/>
          <w:b w:val="0"/>
          <w:bCs w:val="0"/>
        </w:rPr>
        <w:t xml:space="preserve"> </w:t>
      </w:r>
      <w:r w:rsidRPr="00B004EE">
        <w:rPr>
          <w:rFonts w:ascii="Tahoma" w:hAnsi="Tahoma" w:cs="Tahoma"/>
          <w:b w:val="0"/>
          <w:bCs w:val="0"/>
        </w:rPr>
        <w:t>avril</w:t>
      </w:r>
      <w:r w:rsidR="00DB1635" w:rsidRPr="00B004EE">
        <w:rPr>
          <w:rFonts w:ascii="Tahoma" w:hAnsi="Tahoma" w:cs="Tahoma"/>
          <w:b w:val="0"/>
          <w:bCs w:val="0"/>
        </w:rPr>
        <w:t xml:space="preserve"> </w:t>
      </w:r>
      <w:r w:rsidRPr="00B004EE">
        <w:rPr>
          <w:rFonts w:ascii="Tahoma" w:hAnsi="Tahoma" w:cs="Tahoma"/>
          <w:b w:val="0"/>
          <w:bCs w:val="0"/>
        </w:rPr>
        <w:t>1981</w:t>
      </w:r>
    </w:p>
    <w:p w14:paraId="2095AD25" w14:textId="7343F604" w:rsidR="00C40CA4" w:rsidRDefault="00C40CA4" w:rsidP="00B004EE">
      <w:pPr>
        <w:pStyle w:val="Corpsdetexte"/>
        <w:tabs>
          <w:tab w:val="left" w:pos="7859"/>
        </w:tabs>
        <w:spacing w:line="20" w:lineRule="atLeast"/>
        <w:ind w:left="142" w:right="112"/>
        <w:jc w:val="center"/>
        <w:rPr>
          <w:rFonts w:ascii="Tahoma" w:hAnsi="Tahoma" w:cs="Tahoma"/>
          <w:sz w:val="20"/>
          <w:szCs w:val="20"/>
        </w:rPr>
      </w:pPr>
    </w:p>
    <w:p w14:paraId="1141F543" w14:textId="77777777" w:rsidR="00B004EE" w:rsidRPr="00B004EE" w:rsidRDefault="00B004EE" w:rsidP="00B004EE">
      <w:pPr>
        <w:pStyle w:val="Corpsdetexte"/>
        <w:tabs>
          <w:tab w:val="left" w:pos="7859"/>
        </w:tabs>
        <w:spacing w:line="20" w:lineRule="atLeast"/>
        <w:ind w:left="142" w:right="112"/>
        <w:jc w:val="center"/>
        <w:rPr>
          <w:rFonts w:ascii="Tahoma" w:hAnsi="Tahoma" w:cs="Tahoma"/>
          <w:sz w:val="20"/>
          <w:szCs w:val="20"/>
        </w:rPr>
      </w:pPr>
    </w:p>
    <w:p w14:paraId="2D18A6A3" w14:textId="77777777" w:rsidR="00C40CA4" w:rsidRPr="00B004EE" w:rsidRDefault="00C40CA4" w:rsidP="00B004EE">
      <w:pPr>
        <w:pStyle w:val="Corpsdetexte"/>
        <w:tabs>
          <w:tab w:val="left" w:pos="7859"/>
        </w:tabs>
        <w:spacing w:line="20" w:lineRule="atLeast"/>
        <w:ind w:left="142" w:right="112"/>
        <w:jc w:val="center"/>
        <w:rPr>
          <w:rFonts w:ascii="Tahoma" w:hAnsi="Tahoma" w:cs="Tahoma"/>
          <w:sz w:val="20"/>
          <w:szCs w:val="20"/>
        </w:rPr>
      </w:pPr>
      <w:r w:rsidRPr="00B004EE">
        <w:rPr>
          <w:rFonts w:ascii="Tahoma" w:hAnsi="Tahoma" w:cs="Tahoma"/>
          <w:sz w:val="20"/>
          <w:szCs w:val="20"/>
        </w:rPr>
        <w:t>Le Premier Ministre</w:t>
      </w:r>
    </w:p>
    <w:p w14:paraId="66BC0584" w14:textId="665F6E9A" w:rsidR="00C40CA4" w:rsidRPr="00B004EE" w:rsidRDefault="00C40CA4" w:rsidP="00B004EE">
      <w:pPr>
        <w:pStyle w:val="Corpsdetexte"/>
        <w:tabs>
          <w:tab w:val="left" w:pos="7859"/>
        </w:tabs>
        <w:spacing w:line="20" w:lineRule="atLeast"/>
        <w:ind w:left="142" w:right="112"/>
        <w:jc w:val="center"/>
        <w:rPr>
          <w:rFonts w:ascii="Tahoma" w:hAnsi="Tahoma" w:cs="Tahoma"/>
          <w:sz w:val="20"/>
          <w:szCs w:val="20"/>
        </w:rPr>
      </w:pPr>
      <w:r w:rsidRPr="00B004EE">
        <w:rPr>
          <w:rFonts w:ascii="Tahoma" w:hAnsi="Tahoma" w:cs="Tahoma"/>
          <w:sz w:val="20"/>
          <w:szCs w:val="20"/>
        </w:rPr>
        <w:t>Le colonel Maaouya Ould Sid'Ahmed Taya</w:t>
      </w:r>
    </w:p>
    <w:p w14:paraId="562C7CFB" w14:textId="7C1ADB86" w:rsidR="00C40CA4" w:rsidRDefault="00C40CA4" w:rsidP="00B004EE">
      <w:pPr>
        <w:pStyle w:val="Corpsdetexte"/>
        <w:tabs>
          <w:tab w:val="left" w:pos="7859"/>
        </w:tabs>
        <w:spacing w:line="20" w:lineRule="atLeast"/>
        <w:ind w:left="142" w:right="112"/>
        <w:jc w:val="center"/>
        <w:rPr>
          <w:rFonts w:ascii="Tahoma" w:hAnsi="Tahoma" w:cs="Tahoma"/>
          <w:sz w:val="20"/>
          <w:szCs w:val="20"/>
        </w:rPr>
      </w:pPr>
    </w:p>
    <w:p w14:paraId="2D648E3B" w14:textId="77777777" w:rsidR="00B004EE" w:rsidRPr="00B004EE" w:rsidRDefault="00B004EE" w:rsidP="00B004EE">
      <w:pPr>
        <w:pStyle w:val="Corpsdetexte"/>
        <w:tabs>
          <w:tab w:val="left" w:pos="7859"/>
        </w:tabs>
        <w:spacing w:line="20" w:lineRule="atLeast"/>
        <w:ind w:left="142" w:right="112"/>
        <w:jc w:val="center"/>
        <w:rPr>
          <w:rFonts w:ascii="Tahoma" w:hAnsi="Tahoma" w:cs="Tahoma"/>
          <w:sz w:val="20"/>
          <w:szCs w:val="20"/>
        </w:rPr>
      </w:pPr>
    </w:p>
    <w:p w14:paraId="03C395D5" w14:textId="75EDA37C" w:rsidR="00C40CA4" w:rsidRPr="00B004EE" w:rsidRDefault="00C40CA4" w:rsidP="00B004EE">
      <w:pPr>
        <w:pStyle w:val="Corpsdetexte"/>
        <w:tabs>
          <w:tab w:val="left" w:pos="7859"/>
        </w:tabs>
        <w:spacing w:line="20" w:lineRule="atLeast"/>
        <w:ind w:left="142" w:right="112"/>
        <w:jc w:val="center"/>
        <w:rPr>
          <w:rFonts w:ascii="Tahoma" w:hAnsi="Tahoma" w:cs="Tahoma"/>
          <w:sz w:val="20"/>
          <w:szCs w:val="20"/>
        </w:rPr>
      </w:pPr>
      <w:r w:rsidRPr="00B004EE">
        <w:rPr>
          <w:rFonts w:ascii="Tahoma" w:hAnsi="Tahoma" w:cs="Tahoma"/>
          <w:sz w:val="20"/>
          <w:szCs w:val="20"/>
        </w:rPr>
        <w:t xml:space="preserve">Le Ministre des </w:t>
      </w:r>
      <w:r w:rsidR="00834860" w:rsidRPr="00B004EE">
        <w:rPr>
          <w:rFonts w:ascii="Tahoma" w:hAnsi="Tahoma" w:cs="Tahoma"/>
          <w:sz w:val="20"/>
          <w:szCs w:val="20"/>
        </w:rPr>
        <w:t>P</w:t>
      </w:r>
      <w:r w:rsidRPr="00B004EE">
        <w:rPr>
          <w:rFonts w:ascii="Tahoma" w:hAnsi="Tahoma" w:cs="Tahoma"/>
          <w:sz w:val="20"/>
          <w:szCs w:val="20"/>
        </w:rPr>
        <w:t>êches</w:t>
      </w:r>
    </w:p>
    <w:p w14:paraId="38A5D025" w14:textId="11822ED6" w:rsidR="00834860" w:rsidRPr="00B004EE" w:rsidRDefault="00834860" w:rsidP="00B004EE">
      <w:pPr>
        <w:pStyle w:val="Corpsdetexte"/>
        <w:tabs>
          <w:tab w:val="left" w:pos="7859"/>
        </w:tabs>
        <w:spacing w:line="20" w:lineRule="atLeast"/>
        <w:ind w:left="142" w:right="112"/>
        <w:jc w:val="center"/>
        <w:rPr>
          <w:rFonts w:ascii="Tahoma" w:hAnsi="Tahoma" w:cs="Tahoma"/>
          <w:sz w:val="20"/>
          <w:szCs w:val="20"/>
        </w:rPr>
      </w:pPr>
      <w:proofErr w:type="gramStart"/>
      <w:r w:rsidRPr="00B004EE">
        <w:rPr>
          <w:rFonts w:ascii="Tahoma" w:hAnsi="Tahoma" w:cs="Tahoma"/>
          <w:sz w:val="20"/>
          <w:szCs w:val="20"/>
        </w:rPr>
        <w:t>et</w:t>
      </w:r>
      <w:proofErr w:type="gramEnd"/>
      <w:r w:rsidRPr="00B004EE">
        <w:rPr>
          <w:rFonts w:ascii="Tahoma" w:hAnsi="Tahoma" w:cs="Tahoma"/>
          <w:sz w:val="20"/>
          <w:szCs w:val="20"/>
        </w:rPr>
        <w:t xml:space="preserve"> de l’Economie Maritime</w:t>
      </w:r>
    </w:p>
    <w:p w14:paraId="0157CE65" w14:textId="5702543D" w:rsidR="00C40CA4" w:rsidRPr="00B004EE" w:rsidRDefault="00C40CA4" w:rsidP="00B004EE">
      <w:pPr>
        <w:pStyle w:val="Corpsdetexte"/>
        <w:tabs>
          <w:tab w:val="left" w:pos="7859"/>
        </w:tabs>
        <w:spacing w:line="20" w:lineRule="atLeast"/>
        <w:ind w:left="142" w:right="112"/>
        <w:jc w:val="center"/>
        <w:rPr>
          <w:rFonts w:ascii="Tahoma" w:hAnsi="Tahoma" w:cs="Tahoma"/>
          <w:sz w:val="20"/>
          <w:szCs w:val="20"/>
        </w:rPr>
      </w:pPr>
      <w:r w:rsidRPr="00B004EE">
        <w:rPr>
          <w:rFonts w:ascii="Tahoma" w:hAnsi="Tahoma" w:cs="Tahoma"/>
          <w:sz w:val="20"/>
          <w:szCs w:val="20"/>
        </w:rPr>
        <w:t xml:space="preserve">Soumare </w:t>
      </w:r>
      <w:r w:rsidR="003A0723" w:rsidRPr="00B004EE">
        <w:rPr>
          <w:rFonts w:ascii="Tahoma" w:hAnsi="Tahoma" w:cs="Tahoma"/>
          <w:sz w:val="20"/>
          <w:szCs w:val="20"/>
        </w:rPr>
        <w:t xml:space="preserve">SILMANE </w:t>
      </w:r>
    </w:p>
    <w:p w14:paraId="2893CE67" w14:textId="2AB6016D" w:rsidR="007127C2" w:rsidRPr="00B004EE" w:rsidRDefault="007127C2" w:rsidP="00B004EE">
      <w:pPr>
        <w:rPr>
          <w:rFonts w:ascii="Tahoma" w:hAnsi="Tahoma" w:cs="Tahoma"/>
          <w:sz w:val="20"/>
          <w:szCs w:val="20"/>
        </w:rPr>
      </w:pPr>
    </w:p>
    <w:p w14:paraId="236185D8" w14:textId="77777777" w:rsidR="007127C2" w:rsidRPr="00B004EE" w:rsidRDefault="007127C2" w:rsidP="00B004EE">
      <w:pPr>
        <w:rPr>
          <w:rFonts w:ascii="Tahoma" w:hAnsi="Tahoma" w:cs="Tahoma"/>
          <w:sz w:val="20"/>
          <w:szCs w:val="20"/>
        </w:rPr>
      </w:pPr>
    </w:p>
    <w:p w14:paraId="571382A2" w14:textId="77777777" w:rsidR="00D91507" w:rsidRPr="00B004EE" w:rsidRDefault="00D91507" w:rsidP="00B004EE">
      <w:pPr>
        <w:pStyle w:val="Lgende"/>
        <w:jc w:val="both"/>
        <w:rPr>
          <w:rFonts w:ascii="Tahoma" w:hAnsi="Tahoma" w:cs="Tahoma"/>
          <w:b w:val="0"/>
          <w:bCs w:val="0"/>
        </w:rPr>
        <w:sectPr w:rsidR="00D91507" w:rsidRPr="00B004EE" w:rsidSect="00983185">
          <w:pgSz w:w="12240" w:h="15840"/>
          <w:pgMar w:top="1417" w:right="1417" w:bottom="1417" w:left="1417" w:header="720" w:footer="720" w:gutter="0"/>
          <w:cols w:space="720"/>
          <w:noEndnote/>
          <w:docGrid w:linePitch="326"/>
        </w:sectPr>
      </w:pPr>
    </w:p>
    <w:p w14:paraId="7209B627" w14:textId="666333DA" w:rsidR="002F24E1" w:rsidRPr="00B004EE" w:rsidRDefault="002F24E1" w:rsidP="00B004EE">
      <w:pPr>
        <w:pStyle w:val="Titre1"/>
        <w:pBdr>
          <w:top w:val="thinThickMediumGap" w:sz="24" w:space="1" w:color="70AD47" w:themeColor="accent6"/>
          <w:left w:val="thinThickMediumGap" w:sz="24" w:space="4" w:color="70AD47" w:themeColor="accent6"/>
          <w:bottom w:val="thickThinMediumGap" w:sz="24" w:space="1" w:color="70AD47" w:themeColor="accent6"/>
          <w:right w:val="thickThinMediumGap" w:sz="24" w:space="4" w:color="70AD47" w:themeColor="accent6"/>
        </w:pBdr>
        <w:spacing w:line="276" w:lineRule="auto"/>
        <w:jc w:val="both"/>
        <w:rPr>
          <w:rFonts w:ascii="Tahoma" w:hAnsi="Tahoma" w:cs="Tahoma"/>
          <w:szCs w:val="22"/>
        </w:rPr>
      </w:pPr>
      <w:bookmarkStart w:id="146" w:name="_Toc317340027"/>
      <w:bookmarkStart w:id="147" w:name="_Toc16288664"/>
      <w:bookmarkStart w:id="148" w:name="_Toc17022006"/>
      <w:bookmarkStart w:id="149" w:name="_Toc202214676"/>
      <w:r w:rsidRPr="00B004EE">
        <w:rPr>
          <w:rFonts w:ascii="Tahoma" w:hAnsi="Tahoma" w:cs="Tahoma"/>
          <w:szCs w:val="22"/>
        </w:rPr>
        <w:lastRenderedPageBreak/>
        <w:t>Décret</w:t>
      </w:r>
      <w:r w:rsidR="00DB1635" w:rsidRPr="00B004EE">
        <w:rPr>
          <w:rFonts w:ascii="Tahoma" w:hAnsi="Tahoma" w:cs="Tahoma"/>
          <w:szCs w:val="22"/>
        </w:rPr>
        <w:t xml:space="preserve"> </w:t>
      </w:r>
      <w:r w:rsidRPr="00B004EE">
        <w:rPr>
          <w:rFonts w:ascii="Tahoma" w:hAnsi="Tahoma" w:cs="Tahoma"/>
          <w:szCs w:val="22"/>
        </w:rPr>
        <w:t>n°</w:t>
      </w:r>
      <w:r w:rsidR="00DB1635" w:rsidRPr="00B004EE">
        <w:rPr>
          <w:rFonts w:ascii="Tahoma" w:hAnsi="Tahoma" w:cs="Tahoma"/>
          <w:szCs w:val="22"/>
        </w:rPr>
        <w:t xml:space="preserve"> </w:t>
      </w:r>
      <w:r w:rsidRPr="00B004EE">
        <w:rPr>
          <w:rFonts w:ascii="Tahoma" w:hAnsi="Tahoma" w:cs="Tahoma"/>
          <w:szCs w:val="22"/>
        </w:rPr>
        <w:t>94.030</w:t>
      </w:r>
      <w:r w:rsidR="00DB1635" w:rsidRPr="00B004EE">
        <w:rPr>
          <w:rFonts w:ascii="Tahoma" w:hAnsi="Tahoma" w:cs="Tahoma"/>
          <w:szCs w:val="22"/>
        </w:rPr>
        <w:t xml:space="preserve"> </w:t>
      </w:r>
      <w:r w:rsidR="00771718" w:rsidRPr="00B004EE">
        <w:rPr>
          <w:rFonts w:ascii="Tahoma" w:hAnsi="Tahoma" w:cs="Tahoma"/>
          <w:szCs w:val="22"/>
        </w:rPr>
        <w:t>du</w:t>
      </w:r>
      <w:r w:rsidR="00DB1635" w:rsidRPr="00B004EE">
        <w:rPr>
          <w:rFonts w:ascii="Tahoma" w:hAnsi="Tahoma" w:cs="Tahoma"/>
          <w:szCs w:val="22"/>
        </w:rPr>
        <w:t xml:space="preserve"> </w:t>
      </w:r>
      <w:r w:rsidR="00771718" w:rsidRPr="00B004EE">
        <w:rPr>
          <w:rFonts w:ascii="Tahoma" w:hAnsi="Tahoma" w:cs="Tahoma"/>
          <w:szCs w:val="22"/>
        </w:rPr>
        <w:t>8</w:t>
      </w:r>
      <w:r w:rsidR="00DB1635" w:rsidRPr="00B004EE">
        <w:rPr>
          <w:rFonts w:ascii="Tahoma" w:hAnsi="Tahoma" w:cs="Tahoma"/>
          <w:szCs w:val="22"/>
        </w:rPr>
        <w:t xml:space="preserve"> </w:t>
      </w:r>
      <w:r w:rsidR="00771718" w:rsidRPr="00B004EE">
        <w:rPr>
          <w:rFonts w:ascii="Tahoma" w:hAnsi="Tahoma" w:cs="Tahoma"/>
          <w:szCs w:val="22"/>
        </w:rPr>
        <w:t>mars</w:t>
      </w:r>
      <w:r w:rsidR="00DB1635" w:rsidRPr="00B004EE">
        <w:rPr>
          <w:rFonts w:ascii="Tahoma" w:hAnsi="Tahoma" w:cs="Tahoma"/>
          <w:szCs w:val="22"/>
        </w:rPr>
        <w:t xml:space="preserve"> </w:t>
      </w:r>
      <w:r w:rsidR="00771718" w:rsidRPr="00B004EE">
        <w:rPr>
          <w:rFonts w:ascii="Tahoma" w:hAnsi="Tahoma" w:cs="Tahoma"/>
          <w:szCs w:val="22"/>
        </w:rPr>
        <w:t>1994,</w:t>
      </w:r>
      <w:r w:rsidR="00DB1635" w:rsidRPr="00B004EE">
        <w:rPr>
          <w:rFonts w:ascii="Tahoma" w:hAnsi="Tahoma" w:cs="Tahoma"/>
          <w:szCs w:val="22"/>
        </w:rPr>
        <w:t xml:space="preserve"> </w:t>
      </w:r>
      <w:r w:rsidRPr="00B004EE">
        <w:rPr>
          <w:rFonts w:ascii="Tahoma" w:hAnsi="Tahoma" w:cs="Tahoma"/>
          <w:szCs w:val="22"/>
        </w:rPr>
        <w:t>relatif</w:t>
      </w:r>
      <w:r w:rsidR="00DB1635" w:rsidRPr="00B004EE">
        <w:rPr>
          <w:rFonts w:ascii="Tahoma" w:hAnsi="Tahoma" w:cs="Tahoma"/>
          <w:szCs w:val="22"/>
        </w:rPr>
        <w:t xml:space="preserve"> </w:t>
      </w:r>
      <w:r w:rsidRPr="00B004EE">
        <w:rPr>
          <w:rFonts w:ascii="Tahoma" w:hAnsi="Tahoma" w:cs="Tahoma"/>
          <w:szCs w:val="22"/>
        </w:rPr>
        <w:t>aux</w:t>
      </w:r>
      <w:r w:rsidR="00DB1635" w:rsidRPr="00B004EE">
        <w:rPr>
          <w:rFonts w:ascii="Tahoma" w:hAnsi="Tahoma" w:cs="Tahoma"/>
          <w:szCs w:val="22"/>
        </w:rPr>
        <w:t xml:space="preserve"> </w:t>
      </w:r>
      <w:r w:rsidRPr="00B004EE">
        <w:rPr>
          <w:rFonts w:ascii="Tahoma" w:hAnsi="Tahoma" w:cs="Tahoma"/>
          <w:szCs w:val="22"/>
        </w:rPr>
        <w:t>normes</w:t>
      </w:r>
      <w:r w:rsidR="00DB1635" w:rsidRPr="00B004EE">
        <w:rPr>
          <w:rFonts w:ascii="Tahoma" w:hAnsi="Tahoma" w:cs="Tahoma"/>
          <w:szCs w:val="22"/>
        </w:rPr>
        <w:t xml:space="preserve"> </w:t>
      </w:r>
      <w:r w:rsidRPr="00B004EE">
        <w:rPr>
          <w:rFonts w:ascii="Tahoma" w:hAnsi="Tahoma" w:cs="Tahoma"/>
          <w:szCs w:val="22"/>
        </w:rPr>
        <w:t>d'hygiène</w:t>
      </w:r>
      <w:r w:rsidR="00DB1635" w:rsidRPr="00B004EE">
        <w:rPr>
          <w:rFonts w:ascii="Tahoma" w:hAnsi="Tahoma" w:cs="Tahoma"/>
          <w:szCs w:val="22"/>
        </w:rPr>
        <w:t xml:space="preserve"> </w:t>
      </w:r>
      <w:r w:rsidRPr="00B004EE">
        <w:rPr>
          <w:rFonts w:ascii="Tahoma" w:hAnsi="Tahoma" w:cs="Tahoma"/>
          <w:szCs w:val="22"/>
        </w:rPr>
        <w:t>et</w:t>
      </w:r>
      <w:r w:rsidR="00DB1635" w:rsidRPr="00B004EE">
        <w:rPr>
          <w:rFonts w:ascii="Tahoma" w:hAnsi="Tahoma" w:cs="Tahoma"/>
          <w:szCs w:val="22"/>
        </w:rPr>
        <w:t xml:space="preserve"> </w:t>
      </w:r>
      <w:r w:rsidRPr="00B004EE">
        <w:rPr>
          <w:rFonts w:ascii="Tahoma" w:hAnsi="Tahoma" w:cs="Tahoma"/>
          <w:szCs w:val="22"/>
        </w:rPr>
        <w:t>de</w:t>
      </w:r>
      <w:r w:rsidR="00DB1635" w:rsidRPr="00B004EE">
        <w:rPr>
          <w:rFonts w:ascii="Tahoma" w:hAnsi="Tahoma" w:cs="Tahoma"/>
          <w:szCs w:val="22"/>
        </w:rPr>
        <w:t xml:space="preserve"> </w:t>
      </w:r>
      <w:r w:rsidRPr="00B004EE">
        <w:rPr>
          <w:rFonts w:ascii="Tahoma" w:hAnsi="Tahoma" w:cs="Tahoma"/>
          <w:szCs w:val="22"/>
        </w:rPr>
        <w:t>salubrité</w:t>
      </w:r>
      <w:r w:rsidR="00DB1635" w:rsidRPr="00B004EE">
        <w:rPr>
          <w:rFonts w:ascii="Tahoma" w:hAnsi="Tahoma" w:cs="Tahoma"/>
          <w:szCs w:val="22"/>
        </w:rPr>
        <w:t xml:space="preserve"> </w:t>
      </w:r>
      <w:r w:rsidRPr="00B004EE">
        <w:rPr>
          <w:rFonts w:ascii="Tahoma" w:hAnsi="Tahoma" w:cs="Tahoma"/>
          <w:szCs w:val="22"/>
        </w:rPr>
        <w:t>et</w:t>
      </w:r>
      <w:r w:rsidR="00DB1635" w:rsidRPr="00B004EE">
        <w:rPr>
          <w:rFonts w:ascii="Tahoma" w:hAnsi="Tahoma" w:cs="Tahoma"/>
          <w:szCs w:val="22"/>
        </w:rPr>
        <w:t xml:space="preserve"> </w:t>
      </w:r>
      <w:r w:rsidRPr="00B004EE">
        <w:rPr>
          <w:rFonts w:ascii="Tahoma" w:hAnsi="Tahoma" w:cs="Tahoma"/>
          <w:szCs w:val="22"/>
        </w:rPr>
        <w:t>aux</w:t>
      </w:r>
      <w:r w:rsidR="00DB1635" w:rsidRPr="00B004EE">
        <w:rPr>
          <w:rFonts w:ascii="Tahoma" w:hAnsi="Tahoma" w:cs="Tahoma"/>
          <w:szCs w:val="22"/>
        </w:rPr>
        <w:t xml:space="preserve"> </w:t>
      </w:r>
      <w:r w:rsidRPr="00B004EE">
        <w:rPr>
          <w:rFonts w:ascii="Tahoma" w:hAnsi="Tahoma" w:cs="Tahoma"/>
          <w:szCs w:val="22"/>
        </w:rPr>
        <w:t>conditions</w:t>
      </w:r>
      <w:r w:rsidR="00DB1635" w:rsidRPr="00B004EE">
        <w:rPr>
          <w:rFonts w:ascii="Tahoma" w:hAnsi="Tahoma" w:cs="Tahoma"/>
          <w:szCs w:val="22"/>
        </w:rPr>
        <w:t xml:space="preserve"> </w:t>
      </w:r>
      <w:r w:rsidRPr="00B004EE">
        <w:rPr>
          <w:rFonts w:ascii="Tahoma" w:hAnsi="Tahoma" w:cs="Tahoma"/>
          <w:szCs w:val="22"/>
        </w:rPr>
        <w:t>d'inspection</w:t>
      </w:r>
      <w:r w:rsidR="00DB1635" w:rsidRPr="00B004EE">
        <w:rPr>
          <w:rFonts w:ascii="Tahoma" w:hAnsi="Tahoma" w:cs="Tahoma"/>
          <w:szCs w:val="22"/>
        </w:rPr>
        <w:t xml:space="preserve"> </w:t>
      </w:r>
      <w:r w:rsidRPr="00B004EE">
        <w:rPr>
          <w:rFonts w:ascii="Tahoma" w:hAnsi="Tahoma" w:cs="Tahoma"/>
          <w:szCs w:val="22"/>
        </w:rPr>
        <w:t>sanitaire</w:t>
      </w:r>
      <w:r w:rsidR="00DB1635" w:rsidRPr="00B004EE">
        <w:rPr>
          <w:rFonts w:ascii="Tahoma" w:hAnsi="Tahoma" w:cs="Tahoma"/>
          <w:szCs w:val="22"/>
        </w:rPr>
        <w:t xml:space="preserve"> </w:t>
      </w:r>
      <w:r w:rsidRPr="00B004EE">
        <w:rPr>
          <w:rFonts w:ascii="Tahoma" w:hAnsi="Tahoma" w:cs="Tahoma"/>
          <w:szCs w:val="22"/>
        </w:rPr>
        <w:t>et</w:t>
      </w:r>
      <w:r w:rsidR="00DB1635" w:rsidRPr="00B004EE">
        <w:rPr>
          <w:rFonts w:ascii="Tahoma" w:hAnsi="Tahoma" w:cs="Tahoma"/>
          <w:szCs w:val="22"/>
        </w:rPr>
        <w:t xml:space="preserve"> </w:t>
      </w:r>
      <w:r w:rsidRPr="00B004EE">
        <w:rPr>
          <w:rFonts w:ascii="Tahoma" w:hAnsi="Tahoma" w:cs="Tahoma"/>
          <w:szCs w:val="22"/>
        </w:rPr>
        <w:t>de</w:t>
      </w:r>
      <w:r w:rsidR="00DB1635" w:rsidRPr="00B004EE">
        <w:rPr>
          <w:rFonts w:ascii="Tahoma" w:hAnsi="Tahoma" w:cs="Tahoma"/>
          <w:szCs w:val="22"/>
        </w:rPr>
        <w:t xml:space="preserve"> </w:t>
      </w:r>
      <w:r w:rsidRPr="00B004EE">
        <w:rPr>
          <w:rFonts w:ascii="Tahoma" w:hAnsi="Tahoma" w:cs="Tahoma"/>
          <w:szCs w:val="22"/>
        </w:rPr>
        <w:t>contrôle</w:t>
      </w:r>
      <w:r w:rsidR="00DB1635" w:rsidRPr="00B004EE">
        <w:rPr>
          <w:rFonts w:ascii="Tahoma" w:hAnsi="Tahoma" w:cs="Tahoma"/>
          <w:szCs w:val="22"/>
        </w:rPr>
        <w:t xml:space="preserve"> </w:t>
      </w:r>
      <w:r w:rsidRPr="00B004EE">
        <w:rPr>
          <w:rFonts w:ascii="Tahoma" w:hAnsi="Tahoma" w:cs="Tahoma"/>
          <w:szCs w:val="22"/>
        </w:rPr>
        <w:t>régissant</w:t>
      </w:r>
      <w:r w:rsidR="00DB1635" w:rsidRPr="00B004EE">
        <w:rPr>
          <w:rFonts w:ascii="Tahoma" w:hAnsi="Tahoma" w:cs="Tahoma"/>
          <w:szCs w:val="22"/>
        </w:rPr>
        <w:t xml:space="preserve"> </w:t>
      </w:r>
      <w:r w:rsidRPr="00B004EE">
        <w:rPr>
          <w:rFonts w:ascii="Tahoma" w:hAnsi="Tahoma" w:cs="Tahoma"/>
          <w:szCs w:val="22"/>
        </w:rPr>
        <w:t>la</w:t>
      </w:r>
      <w:r w:rsidR="00DB1635" w:rsidRPr="00B004EE">
        <w:rPr>
          <w:rFonts w:ascii="Tahoma" w:hAnsi="Tahoma" w:cs="Tahoma"/>
          <w:szCs w:val="22"/>
        </w:rPr>
        <w:t xml:space="preserve"> </w:t>
      </w:r>
      <w:r w:rsidRPr="00B004EE">
        <w:rPr>
          <w:rFonts w:ascii="Tahoma" w:hAnsi="Tahoma" w:cs="Tahoma"/>
          <w:szCs w:val="22"/>
        </w:rPr>
        <w:t>production</w:t>
      </w:r>
      <w:r w:rsidR="00DB1635" w:rsidRPr="00B004EE">
        <w:rPr>
          <w:rFonts w:ascii="Tahoma" w:hAnsi="Tahoma" w:cs="Tahoma"/>
          <w:szCs w:val="22"/>
        </w:rPr>
        <w:t xml:space="preserve"> </w:t>
      </w:r>
      <w:r w:rsidRPr="00B004EE">
        <w:rPr>
          <w:rFonts w:ascii="Tahoma" w:hAnsi="Tahoma" w:cs="Tahoma"/>
          <w:szCs w:val="22"/>
        </w:rPr>
        <w:t>et</w:t>
      </w:r>
      <w:r w:rsidR="00DB1635" w:rsidRPr="00B004EE">
        <w:rPr>
          <w:rFonts w:ascii="Tahoma" w:hAnsi="Tahoma" w:cs="Tahoma"/>
          <w:szCs w:val="22"/>
        </w:rPr>
        <w:t xml:space="preserve"> </w:t>
      </w:r>
      <w:r w:rsidRPr="00B004EE">
        <w:rPr>
          <w:rFonts w:ascii="Tahoma" w:hAnsi="Tahoma" w:cs="Tahoma"/>
          <w:szCs w:val="22"/>
        </w:rPr>
        <w:t>la</w:t>
      </w:r>
      <w:r w:rsidR="00DB1635" w:rsidRPr="00B004EE">
        <w:rPr>
          <w:rFonts w:ascii="Tahoma" w:hAnsi="Tahoma" w:cs="Tahoma"/>
          <w:szCs w:val="22"/>
        </w:rPr>
        <w:t xml:space="preserve"> </w:t>
      </w:r>
      <w:r w:rsidRPr="00B004EE">
        <w:rPr>
          <w:rFonts w:ascii="Tahoma" w:hAnsi="Tahoma" w:cs="Tahoma"/>
          <w:szCs w:val="22"/>
        </w:rPr>
        <w:t>mise</w:t>
      </w:r>
      <w:r w:rsidR="00DB1635" w:rsidRPr="00B004EE">
        <w:rPr>
          <w:rFonts w:ascii="Tahoma" w:hAnsi="Tahoma" w:cs="Tahoma"/>
          <w:szCs w:val="22"/>
        </w:rPr>
        <w:t xml:space="preserve"> </w:t>
      </w:r>
      <w:r w:rsidRPr="00B004EE">
        <w:rPr>
          <w:rFonts w:ascii="Tahoma" w:hAnsi="Tahoma" w:cs="Tahoma"/>
          <w:szCs w:val="22"/>
        </w:rPr>
        <w:t>sur</w:t>
      </w:r>
      <w:r w:rsidR="00DB1635" w:rsidRPr="00B004EE">
        <w:rPr>
          <w:rFonts w:ascii="Tahoma" w:hAnsi="Tahoma" w:cs="Tahoma"/>
          <w:szCs w:val="22"/>
        </w:rPr>
        <w:t xml:space="preserve"> </w:t>
      </w:r>
      <w:r w:rsidRPr="00B004EE">
        <w:rPr>
          <w:rFonts w:ascii="Tahoma" w:hAnsi="Tahoma" w:cs="Tahoma"/>
          <w:szCs w:val="22"/>
        </w:rPr>
        <w:t>le</w:t>
      </w:r>
      <w:r w:rsidR="00DB1635" w:rsidRPr="00B004EE">
        <w:rPr>
          <w:rFonts w:ascii="Tahoma" w:hAnsi="Tahoma" w:cs="Tahoma"/>
          <w:szCs w:val="22"/>
        </w:rPr>
        <w:t xml:space="preserve"> </w:t>
      </w:r>
      <w:r w:rsidRPr="00B004EE">
        <w:rPr>
          <w:rFonts w:ascii="Tahoma" w:hAnsi="Tahoma" w:cs="Tahoma"/>
          <w:szCs w:val="22"/>
        </w:rPr>
        <w:t>marché</w:t>
      </w:r>
      <w:r w:rsidR="00DB1635" w:rsidRPr="00B004EE">
        <w:rPr>
          <w:rFonts w:ascii="Tahoma" w:hAnsi="Tahoma" w:cs="Tahoma"/>
          <w:szCs w:val="22"/>
        </w:rPr>
        <w:t xml:space="preserve"> </w:t>
      </w:r>
      <w:r w:rsidRPr="00B004EE">
        <w:rPr>
          <w:rFonts w:ascii="Tahoma" w:hAnsi="Tahoma" w:cs="Tahoma"/>
          <w:szCs w:val="22"/>
        </w:rPr>
        <w:t>des</w:t>
      </w:r>
      <w:r w:rsidR="00DB1635" w:rsidRPr="00B004EE">
        <w:rPr>
          <w:rFonts w:ascii="Tahoma" w:hAnsi="Tahoma" w:cs="Tahoma"/>
          <w:szCs w:val="22"/>
        </w:rPr>
        <w:t xml:space="preserve"> </w:t>
      </w:r>
      <w:r w:rsidRPr="00B004EE">
        <w:rPr>
          <w:rFonts w:ascii="Tahoma" w:hAnsi="Tahoma" w:cs="Tahoma"/>
          <w:szCs w:val="22"/>
        </w:rPr>
        <w:t>produits</w:t>
      </w:r>
      <w:r w:rsidR="00DB1635" w:rsidRPr="00B004EE">
        <w:rPr>
          <w:rFonts w:ascii="Tahoma" w:hAnsi="Tahoma" w:cs="Tahoma"/>
          <w:szCs w:val="22"/>
        </w:rPr>
        <w:t xml:space="preserve"> </w:t>
      </w:r>
      <w:r w:rsidRPr="00B004EE">
        <w:rPr>
          <w:rFonts w:ascii="Tahoma" w:hAnsi="Tahoma" w:cs="Tahoma"/>
          <w:szCs w:val="22"/>
        </w:rPr>
        <w:t>de</w:t>
      </w:r>
      <w:r w:rsidR="00DB1635" w:rsidRPr="00B004EE">
        <w:rPr>
          <w:rFonts w:ascii="Tahoma" w:hAnsi="Tahoma" w:cs="Tahoma"/>
          <w:szCs w:val="22"/>
        </w:rPr>
        <w:t xml:space="preserve"> </w:t>
      </w:r>
      <w:r w:rsidRPr="00B004EE">
        <w:rPr>
          <w:rFonts w:ascii="Tahoma" w:hAnsi="Tahoma" w:cs="Tahoma"/>
          <w:szCs w:val="22"/>
        </w:rPr>
        <w:t>la</w:t>
      </w:r>
      <w:r w:rsidR="00DB1635" w:rsidRPr="00B004EE">
        <w:rPr>
          <w:rFonts w:ascii="Tahoma" w:hAnsi="Tahoma" w:cs="Tahoma"/>
          <w:szCs w:val="22"/>
        </w:rPr>
        <w:t xml:space="preserve"> </w:t>
      </w:r>
      <w:r w:rsidRPr="00B004EE">
        <w:rPr>
          <w:rFonts w:ascii="Tahoma" w:hAnsi="Tahoma" w:cs="Tahoma"/>
          <w:szCs w:val="22"/>
        </w:rPr>
        <w:t>pêche</w:t>
      </w:r>
      <w:bookmarkEnd w:id="146"/>
      <w:bookmarkEnd w:id="147"/>
      <w:bookmarkEnd w:id="148"/>
      <w:bookmarkEnd w:id="149"/>
    </w:p>
    <w:p w14:paraId="799DE85B" w14:textId="77777777" w:rsidR="002F24E1" w:rsidRPr="00B004EE" w:rsidRDefault="002F24E1" w:rsidP="00B004EE">
      <w:pPr>
        <w:pStyle w:val="Lgende"/>
        <w:jc w:val="both"/>
        <w:rPr>
          <w:rFonts w:ascii="Tahoma" w:hAnsi="Tahoma" w:cs="Tahoma"/>
          <w:b w:val="0"/>
          <w:bCs w:val="0"/>
        </w:rPr>
      </w:pPr>
    </w:p>
    <w:p w14:paraId="39E7E45E" w14:textId="1413F054" w:rsidR="002F24E1" w:rsidRPr="00B004EE" w:rsidRDefault="00561F81" w:rsidP="00B004EE">
      <w:pPr>
        <w:pStyle w:val="Lgende"/>
        <w:jc w:val="both"/>
        <w:rPr>
          <w:rFonts w:ascii="Tahoma" w:eastAsia="Calibri" w:hAnsi="Tahoma" w:cs="Tahoma"/>
          <w:b w:val="0"/>
          <w:bCs w:val="0"/>
          <w:lang w:eastAsia="en-US"/>
        </w:rPr>
      </w:pPr>
      <w:r w:rsidRPr="00B004EE">
        <w:rPr>
          <w:rFonts w:ascii="Tahoma" w:hAnsi="Tahoma" w:cs="Tahoma"/>
          <w:b w:val="0"/>
          <w:bCs w:val="0"/>
        </w:rPr>
        <w:t xml:space="preserve">Article </w:t>
      </w:r>
      <w:r w:rsidR="002F24E1" w:rsidRPr="00B004EE">
        <w:rPr>
          <w:rFonts w:ascii="Tahoma" w:eastAsia="Calibri" w:hAnsi="Tahoma" w:cs="Tahoma"/>
          <w:b w:val="0"/>
          <w:bCs w:val="0"/>
          <w:lang w:eastAsia="en-US"/>
        </w:rPr>
        <w:t>1</w:t>
      </w:r>
      <w:r w:rsidR="00DB1635" w:rsidRPr="00B004EE">
        <w:rPr>
          <w:rFonts w:ascii="Tahoma" w:eastAsia="Calibri" w:hAnsi="Tahoma" w:cs="Tahoma"/>
          <w:b w:val="0"/>
          <w:bCs w:val="0"/>
          <w:lang w:eastAsia="en-US"/>
        </w:rPr>
        <w:t xml:space="preserve"> </w:t>
      </w:r>
      <w:r w:rsidR="002F24E1" w:rsidRPr="00B004EE">
        <w:rPr>
          <w:rFonts w:ascii="Tahoma" w:eastAsia="Calibri" w:hAnsi="Tahoma" w:cs="Tahoma"/>
          <w:b w:val="0"/>
          <w:bCs w:val="0"/>
          <w:lang w:eastAsia="en-US"/>
        </w:rPr>
        <w:t>:</w:t>
      </w:r>
      <w:r w:rsidR="00DB1635" w:rsidRPr="00B004EE">
        <w:rPr>
          <w:rFonts w:ascii="Tahoma" w:eastAsia="Calibri" w:hAnsi="Tahoma" w:cs="Tahoma"/>
          <w:lang w:eastAsia="en-US"/>
        </w:rPr>
        <w:t xml:space="preserve"> </w:t>
      </w:r>
      <w:r w:rsidR="002F24E1" w:rsidRPr="00B004EE">
        <w:rPr>
          <w:rFonts w:ascii="Tahoma" w:eastAsia="Calibri" w:hAnsi="Tahoma" w:cs="Tahoma"/>
          <w:b w:val="0"/>
          <w:bCs w:val="0"/>
          <w:lang w:eastAsia="en-US"/>
        </w:rPr>
        <w:t>Ne</w:t>
      </w:r>
      <w:r w:rsidR="00DB1635" w:rsidRPr="00B004EE">
        <w:rPr>
          <w:rFonts w:ascii="Tahoma" w:eastAsia="Calibri" w:hAnsi="Tahoma" w:cs="Tahoma"/>
          <w:b w:val="0"/>
          <w:bCs w:val="0"/>
          <w:lang w:eastAsia="en-US"/>
        </w:rPr>
        <w:t xml:space="preserve"> </w:t>
      </w:r>
      <w:r w:rsidR="002F24E1" w:rsidRPr="00B004EE">
        <w:rPr>
          <w:rFonts w:ascii="Tahoma" w:eastAsia="Calibri" w:hAnsi="Tahoma" w:cs="Tahoma"/>
          <w:b w:val="0"/>
          <w:bCs w:val="0"/>
          <w:lang w:eastAsia="en-US"/>
        </w:rPr>
        <w:t>peuvent</w:t>
      </w:r>
      <w:r w:rsidR="00DB1635" w:rsidRPr="00B004EE">
        <w:rPr>
          <w:rFonts w:ascii="Tahoma" w:eastAsia="Calibri" w:hAnsi="Tahoma" w:cs="Tahoma"/>
          <w:b w:val="0"/>
          <w:bCs w:val="0"/>
          <w:lang w:eastAsia="en-US"/>
        </w:rPr>
        <w:t xml:space="preserve"> </w:t>
      </w:r>
      <w:r w:rsidR="002F24E1" w:rsidRPr="00B004EE">
        <w:rPr>
          <w:rFonts w:ascii="Tahoma" w:eastAsia="Calibri" w:hAnsi="Tahoma" w:cs="Tahoma"/>
          <w:b w:val="0"/>
          <w:bCs w:val="0"/>
          <w:lang w:eastAsia="en-US"/>
        </w:rPr>
        <w:t>être</w:t>
      </w:r>
      <w:r w:rsidR="00DB1635" w:rsidRPr="00B004EE">
        <w:rPr>
          <w:rFonts w:ascii="Tahoma" w:eastAsia="Calibri" w:hAnsi="Tahoma" w:cs="Tahoma"/>
          <w:b w:val="0"/>
          <w:bCs w:val="0"/>
          <w:lang w:eastAsia="en-US"/>
        </w:rPr>
        <w:t xml:space="preserve"> </w:t>
      </w:r>
      <w:r w:rsidR="002F24E1" w:rsidRPr="00B004EE">
        <w:rPr>
          <w:rFonts w:ascii="Tahoma" w:eastAsia="Calibri" w:hAnsi="Tahoma" w:cs="Tahoma"/>
          <w:b w:val="0"/>
          <w:bCs w:val="0"/>
          <w:lang w:eastAsia="en-US"/>
        </w:rPr>
        <w:t>mis</w:t>
      </w:r>
      <w:r w:rsidR="00DB1635" w:rsidRPr="00B004EE">
        <w:rPr>
          <w:rFonts w:ascii="Tahoma" w:eastAsia="Calibri" w:hAnsi="Tahoma" w:cs="Tahoma"/>
          <w:b w:val="0"/>
          <w:bCs w:val="0"/>
          <w:lang w:eastAsia="en-US"/>
        </w:rPr>
        <w:t xml:space="preserve"> </w:t>
      </w:r>
      <w:r w:rsidR="002F24E1" w:rsidRPr="00B004EE">
        <w:rPr>
          <w:rFonts w:ascii="Tahoma" w:eastAsia="Calibri" w:hAnsi="Tahoma" w:cs="Tahoma"/>
          <w:b w:val="0"/>
          <w:bCs w:val="0"/>
          <w:lang w:eastAsia="en-US"/>
        </w:rPr>
        <w:t>sur</w:t>
      </w:r>
      <w:r w:rsidR="00DB1635" w:rsidRPr="00B004EE">
        <w:rPr>
          <w:rFonts w:ascii="Tahoma" w:eastAsia="Calibri" w:hAnsi="Tahoma" w:cs="Tahoma"/>
          <w:b w:val="0"/>
          <w:bCs w:val="0"/>
          <w:lang w:eastAsia="en-US"/>
        </w:rPr>
        <w:t xml:space="preserve"> </w:t>
      </w:r>
      <w:r w:rsidR="002F24E1" w:rsidRPr="00B004EE">
        <w:rPr>
          <w:rFonts w:ascii="Tahoma" w:eastAsia="Calibri" w:hAnsi="Tahoma" w:cs="Tahoma"/>
          <w:b w:val="0"/>
          <w:bCs w:val="0"/>
          <w:lang w:eastAsia="en-US"/>
        </w:rPr>
        <w:t>le</w:t>
      </w:r>
      <w:r w:rsidR="00DB1635" w:rsidRPr="00B004EE">
        <w:rPr>
          <w:rFonts w:ascii="Tahoma" w:eastAsia="Calibri" w:hAnsi="Tahoma" w:cs="Tahoma"/>
          <w:b w:val="0"/>
          <w:bCs w:val="0"/>
          <w:lang w:eastAsia="en-US"/>
        </w:rPr>
        <w:t xml:space="preserve"> </w:t>
      </w:r>
      <w:r w:rsidR="002F24E1" w:rsidRPr="00B004EE">
        <w:rPr>
          <w:rFonts w:ascii="Tahoma" w:eastAsia="Calibri" w:hAnsi="Tahoma" w:cs="Tahoma"/>
          <w:b w:val="0"/>
          <w:bCs w:val="0"/>
          <w:lang w:eastAsia="en-US"/>
        </w:rPr>
        <w:t>marché</w:t>
      </w:r>
      <w:r w:rsidR="00DB1635" w:rsidRPr="00B004EE">
        <w:rPr>
          <w:rFonts w:ascii="Tahoma" w:eastAsia="Calibri" w:hAnsi="Tahoma" w:cs="Tahoma"/>
          <w:b w:val="0"/>
          <w:bCs w:val="0"/>
          <w:lang w:eastAsia="en-US"/>
        </w:rPr>
        <w:t xml:space="preserve"> </w:t>
      </w:r>
      <w:r w:rsidR="002F24E1" w:rsidRPr="00B004EE">
        <w:rPr>
          <w:rFonts w:ascii="Tahoma" w:eastAsia="Calibri" w:hAnsi="Tahoma" w:cs="Tahoma"/>
          <w:b w:val="0"/>
          <w:bCs w:val="0"/>
          <w:lang w:eastAsia="en-US"/>
        </w:rPr>
        <w:t>que</w:t>
      </w:r>
      <w:r w:rsidR="00DB1635" w:rsidRPr="00B004EE">
        <w:rPr>
          <w:rFonts w:ascii="Tahoma" w:eastAsia="Calibri" w:hAnsi="Tahoma" w:cs="Tahoma"/>
          <w:b w:val="0"/>
          <w:bCs w:val="0"/>
          <w:lang w:eastAsia="en-US"/>
        </w:rPr>
        <w:t xml:space="preserve"> </w:t>
      </w:r>
      <w:r w:rsidR="002F24E1" w:rsidRPr="00B004EE">
        <w:rPr>
          <w:rFonts w:ascii="Tahoma" w:eastAsia="Calibri" w:hAnsi="Tahoma" w:cs="Tahoma"/>
          <w:b w:val="0"/>
          <w:bCs w:val="0"/>
          <w:lang w:eastAsia="en-US"/>
        </w:rPr>
        <w:t>les</w:t>
      </w:r>
      <w:r w:rsidR="00DB1635" w:rsidRPr="00B004EE">
        <w:rPr>
          <w:rFonts w:ascii="Tahoma" w:eastAsia="Calibri" w:hAnsi="Tahoma" w:cs="Tahoma"/>
          <w:b w:val="0"/>
          <w:bCs w:val="0"/>
          <w:lang w:eastAsia="en-US"/>
        </w:rPr>
        <w:t xml:space="preserve"> </w:t>
      </w:r>
      <w:r w:rsidR="002F24E1" w:rsidRPr="00B004EE">
        <w:rPr>
          <w:rFonts w:ascii="Tahoma" w:eastAsia="Calibri" w:hAnsi="Tahoma" w:cs="Tahoma"/>
          <w:b w:val="0"/>
          <w:bCs w:val="0"/>
          <w:lang w:eastAsia="en-US"/>
        </w:rPr>
        <w:t>produits</w:t>
      </w:r>
      <w:r w:rsidR="00DB1635" w:rsidRPr="00B004EE">
        <w:rPr>
          <w:rFonts w:ascii="Tahoma" w:eastAsia="Calibri" w:hAnsi="Tahoma" w:cs="Tahoma"/>
          <w:b w:val="0"/>
          <w:bCs w:val="0"/>
          <w:lang w:eastAsia="en-US"/>
        </w:rPr>
        <w:t xml:space="preserve"> </w:t>
      </w:r>
      <w:r w:rsidR="002F24E1" w:rsidRPr="00B004EE">
        <w:rPr>
          <w:rFonts w:ascii="Tahoma" w:eastAsia="Calibri" w:hAnsi="Tahoma" w:cs="Tahoma"/>
          <w:b w:val="0"/>
          <w:bCs w:val="0"/>
          <w:lang w:eastAsia="en-US"/>
        </w:rPr>
        <w:t>de</w:t>
      </w:r>
      <w:r w:rsidR="00DB1635" w:rsidRPr="00B004EE">
        <w:rPr>
          <w:rFonts w:ascii="Tahoma" w:eastAsia="Calibri" w:hAnsi="Tahoma" w:cs="Tahoma"/>
          <w:b w:val="0"/>
          <w:bCs w:val="0"/>
          <w:lang w:eastAsia="en-US"/>
        </w:rPr>
        <w:t xml:space="preserve"> </w:t>
      </w:r>
      <w:r w:rsidR="002F24E1" w:rsidRPr="00B004EE">
        <w:rPr>
          <w:rFonts w:ascii="Tahoma" w:eastAsia="Calibri" w:hAnsi="Tahoma" w:cs="Tahoma"/>
          <w:b w:val="0"/>
          <w:bCs w:val="0"/>
          <w:lang w:eastAsia="en-US"/>
        </w:rPr>
        <w:t>la</w:t>
      </w:r>
      <w:r w:rsidR="00DB1635" w:rsidRPr="00B004EE">
        <w:rPr>
          <w:rFonts w:ascii="Tahoma" w:eastAsia="Calibri" w:hAnsi="Tahoma" w:cs="Tahoma"/>
          <w:b w:val="0"/>
          <w:bCs w:val="0"/>
          <w:lang w:eastAsia="en-US"/>
        </w:rPr>
        <w:t xml:space="preserve"> </w:t>
      </w:r>
      <w:r w:rsidR="002F24E1" w:rsidRPr="00B004EE">
        <w:rPr>
          <w:rFonts w:ascii="Tahoma" w:eastAsia="Calibri" w:hAnsi="Tahoma" w:cs="Tahoma"/>
          <w:b w:val="0"/>
          <w:bCs w:val="0"/>
          <w:lang w:eastAsia="en-US"/>
        </w:rPr>
        <w:t>pêche</w:t>
      </w:r>
      <w:r w:rsidR="00DB1635" w:rsidRPr="00B004EE">
        <w:rPr>
          <w:rFonts w:ascii="Tahoma" w:eastAsia="Calibri" w:hAnsi="Tahoma" w:cs="Tahoma"/>
          <w:b w:val="0"/>
          <w:bCs w:val="0"/>
          <w:lang w:eastAsia="en-US"/>
        </w:rPr>
        <w:t xml:space="preserve"> </w:t>
      </w:r>
      <w:r w:rsidR="002F24E1" w:rsidRPr="00B004EE">
        <w:rPr>
          <w:rFonts w:ascii="Tahoma" w:eastAsia="Calibri" w:hAnsi="Tahoma" w:cs="Tahoma"/>
          <w:b w:val="0"/>
          <w:bCs w:val="0"/>
          <w:lang w:eastAsia="en-US"/>
        </w:rPr>
        <w:t>non-toxiques</w:t>
      </w:r>
      <w:r w:rsidR="00DB1635" w:rsidRPr="00B004EE">
        <w:rPr>
          <w:rFonts w:ascii="Tahoma" w:eastAsia="Calibri" w:hAnsi="Tahoma" w:cs="Tahoma"/>
          <w:b w:val="0"/>
          <w:bCs w:val="0"/>
          <w:lang w:eastAsia="en-US"/>
        </w:rPr>
        <w:t xml:space="preserve"> </w:t>
      </w:r>
      <w:r w:rsidR="002F24E1" w:rsidRPr="00B004EE">
        <w:rPr>
          <w:rFonts w:ascii="Tahoma" w:eastAsia="Calibri" w:hAnsi="Tahoma" w:cs="Tahoma"/>
          <w:b w:val="0"/>
          <w:bCs w:val="0"/>
          <w:lang w:eastAsia="en-US"/>
        </w:rPr>
        <w:t>par</w:t>
      </w:r>
      <w:r w:rsidR="00DB1635" w:rsidRPr="00B004EE">
        <w:rPr>
          <w:rFonts w:ascii="Tahoma" w:eastAsia="Calibri" w:hAnsi="Tahoma" w:cs="Tahoma"/>
          <w:b w:val="0"/>
          <w:bCs w:val="0"/>
          <w:lang w:eastAsia="en-US"/>
        </w:rPr>
        <w:t xml:space="preserve"> </w:t>
      </w:r>
      <w:r w:rsidR="002F24E1" w:rsidRPr="00B004EE">
        <w:rPr>
          <w:rFonts w:ascii="Tahoma" w:eastAsia="Calibri" w:hAnsi="Tahoma" w:cs="Tahoma"/>
          <w:b w:val="0"/>
          <w:bCs w:val="0"/>
          <w:lang w:eastAsia="en-US"/>
        </w:rPr>
        <w:t>nature</w:t>
      </w:r>
      <w:r w:rsidR="00DB1635" w:rsidRPr="00B004EE">
        <w:rPr>
          <w:rFonts w:ascii="Tahoma" w:eastAsia="Calibri" w:hAnsi="Tahoma" w:cs="Tahoma"/>
          <w:b w:val="0"/>
          <w:bCs w:val="0"/>
          <w:lang w:eastAsia="en-US"/>
        </w:rPr>
        <w:t xml:space="preserve"> </w:t>
      </w:r>
      <w:r w:rsidR="002F24E1" w:rsidRPr="00B004EE">
        <w:rPr>
          <w:rFonts w:ascii="Tahoma" w:eastAsia="Calibri" w:hAnsi="Tahoma" w:cs="Tahoma"/>
          <w:b w:val="0"/>
          <w:bCs w:val="0"/>
          <w:lang w:eastAsia="en-US"/>
        </w:rPr>
        <w:t>et</w:t>
      </w:r>
      <w:r w:rsidR="00DB1635" w:rsidRPr="00B004EE">
        <w:rPr>
          <w:rFonts w:ascii="Tahoma" w:eastAsia="Calibri" w:hAnsi="Tahoma" w:cs="Tahoma"/>
          <w:b w:val="0"/>
          <w:bCs w:val="0"/>
          <w:lang w:eastAsia="en-US"/>
        </w:rPr>
        <w:t xml:space="preserve"> </w:t>
      </w:r>
      <w:r w:rsidR="002F24E1" w:rsidRPr="00B004EE">
        <w:rPr>
          <w:rFonts w:ascii="Tahoma" w:eastAsia="Calibri" w:hAnsi="Tahoma" w:cs="Tahoma"/>
          <w:b w:val="0"/>
          <w:bCs w:val="0"/>
          <w:lang w:eastAsia="en-US"/>
        </w:rPr>
        <w:t>non-contaminés</w:t>
      </w:r>
      <w:r w:rsidR="00DB1635" w:rsidRPr="00B004EE">
        <w:rPr>
          <w:rFonts w:ascii="Tahoma" w:eastAsia="Calibri" w:hAnsi="Tahoma" w:cs="Tahoma"/>
          <w:b w:val="0"/>
          <w:bCs w:val="0"/>
          <w:lang w:eastAsia="en-US"/>
        </w:rPr>
        <w:t xml:space="preserve"> </w:t>
      </w:r>
      <w:r w:rsidR="002F24E1" w:rsidRPr="00B004EE">
        <w:rPr>
          <w:rFonts w:ascii="Tahoma" w:eastAsia="Calibri" w:hAnsi="Tahoma" w:cs="Tahoma"/>
          <w:b w:val="0"/>
          <w:bCs w:val="0"/>
          <w:lang w:eastAsia="en-US"/>
        </w:rPr>
        <w:t>par</w:t>
      </w:r>
      <w:r w:rsidR="00DB1635" w:rsidRPr="00B004EE">
        <w:rPr>
          <w:rFonts w:ascii="Tahoma" w:eastAsia="Calibri" w:hAnsi="Tahoma" w:cs="Tahoma"/>
          <w:b w:val="0"/>
          <w:bCs w:val="0"/>
          <w:lang w:eastAsia="en-US"/>
        </w:rPr>
        <w:t xml:space="preserve"> </w:t>
      </w:r>
      <w:r w:rsidR="002F24E1" w:rsidRPr="00B004EE">
        <w:rPr>
          <w:rFonts w:ascii="Tahoma" w:eastAsia="Calibri" w:hAnsi="Tahoma" w:cs="Tahoma"/>
          <w:b w:val="0"/>
          <w:bCs w:val="0"/>
          <w:lang w:eastAsia="en-US"/>
        </w:rPr>
        <w:t>des</w:t>
      </w:r>
      <w:r w:rsidR="00DB1635" w:rsidRPr="00B004EE">
        <w:rPr>
          <w:rFonts w:ascii="Tahoma" w:eastAsia="Calibri" w:hAnsi="Tahoma" w:cs="Tahoma"/>
          <w:b w:val="0"/>
          <w:bCs w:val="0"/>
          <w:lang w:eastAsia="en-US"/>
        </w:rPr>
        <w:t xml:space="preserve"> </w:t>
      </w:r>
      <w:r w:rsidR="002F24E1" w:rsidRPr="00B004EE">
        <w:rPr>
          <w:rFonts w:ascii="Tahoma" w:eastAsia="Calibri" w:hAnsi="Tahoma" w:cs="Tahoma"/>
          <w:b w:val="0"/>
          <w:bCs w:val="0"/>
          <w:lang w:eastAsia="en-US"/>
        </w:rPr>
        <w:t>substances</w:t>
      </w:r>
      <w:r w:rsidR="00DB1635" w:rsidRPr="00B004EE">
        <w:rPr>
          <w:rFonts w:ascii="Tahoma" w:eastAsia="Calibri" w:hAnsi="Tahoma" w:cs="Tahoma"/>
          <w:b w:val="0"/>
          <w:bCs w:val="0"/>
          <w:lang w:eastAsia="en-US"/>
        </w:rPr>
        <w:t xml:space="preserve"> </w:t>
      </w:r>
      <w:r w:rsidR="002F24E1" w:rsidRPr="00B004EE">
        <w:rPr>
          <w:rFonts w:ascii="Tahoma" w:eastAsia="Calibri" w:hAnsi="Tahoma" w:cs="Tahoma"/>
          <w:b w:val="0"/>
          <w:bCs w:val="0"/>
          <w:lang w:eastAsia="en-US"/>
        </w:rPr>
        <w:t>ou</w:t>
      </w:r>
      <w:r w:rsidR="00DB1635" w:rsidRPr="00B004EE">
        <w:rPr>
          <w:rFonts w:ascii="Tahoma" w:eastAsia="Calibri" w:hAnsi="Tahoma" w:cs="Tahoma"/>
          <w:b w:val="0"/>
          <w:bCs w:val="0"/>
          <w:lang w:eastAsia="en-US"/>
        </w:rPr>
        <w:t xml:space="preserve"> </w:t>
      </w:r>
      <w:r w:rsidR="002F24E1" w:rsidRPr="00B004EE">
        <w:rPr>
          <w:rFonts w:ascii="Tahoma" w:eastAsia="Calibri" w:hAnsi="Tahoma" w:cs="Tahoma"/>
          <w:b w:val="0"/>
          <w:bCs w:val="0"/>
          <w:lang w:eastAsia="en-US"/>
        </w:rPr>
        <w:t>des</w:t>
      </w:r>
      <w:r w:rsidR="00DB1635" w:rsidRPr="00B004EE">
        <w:rPr>
          <w:rFonts w:ascii="Tahoma" w:eastAsia="Calibri" w:hAnsi="Tahoma" w:cs="Tahoma"/>
          <w:b w:val="0"/>
          <w:bCs w:val="0"/>
          <w:lang w:eastAsia="en-US"/>
        </w:rPr>
        <w:t xml:space="preserve"> </w:t>
      </w:r>
      <w:r w:rsidR="002F24E1" w:rsidRPr="00B004EE">
        <w:rPr>
          <w:rFonts w:ascii="Tahoma" w:eastAsia="Calibri" w:hAnsi="Tahoma" w:cs="Tahoma"/>
          <w:b w:val="0"/>
          <w:bCs w:val="0"/>
          <w:lang w:eastAsia="en-US"/>
        </w:rPr>
        <w:t>organismes</w:t>
      </w:r>
      <w:r w:rsidR="00DB1635" w:rsidRPr="00B004EE">
        <w:rPr>
          <w:rFonts w:ascii="Tahoma" w:eastAsia="Calibri" w:hAnsi="Tahoma" w:cs="Tahoma"/>
          <w:b w:val="0"/>
          <w:bCs w:val="0"/>
          <w:lang w:eastAsia="en-US"/>
        </w:rPr>
        <w:t xml:space="preserve"> </w:t>
      </w:r>
      <w:r w:rsidR="002F24E1" w:rsidRPr="00B004EE">
        <w:rPr>
          <w:rFonts w:ascii="Tahoma" w:eastAsia="Calibri" w:hAnsi="Tahoma" w:cs="Tahoma"/>
          <w:b w:val="0"/>
          <w:bCs w:val="0"/>
          <w:lang w:eastAsia="en-US"/>
        </w:rPr>
        <w:t>dangereux</w:t>
      </w:r>
      <w:r w:rsidR="00DB1635" w:rsidRPr="00B004EE">
        <w:rPr>
          <w:rFonts w:ascii="Tahoma" w:eastAsia="Calibri" w:hAnsi="Tahoma" w:cs="Tahoma"/>
          <w:b w:val="0"/>
          <w:bCs w:val="0"/>
          <w:lang w:eastAsia="en-US"/>
        </w:rPr>
        <w:t xml:space="preserve"> </w:t>
      </w:r>
      <w:r w:rsidR="002F24E1" w:rsidRPr="00B004EE">
        <w:rPr>
          <w:rFonts w:ascii="Tahoma" w:eastAsia="Calibri" w:hAnsi="Tahoma" w:cs="Tahoma"/>
          <w:b w:val="0"/>
          <w:bCs w:val="0"/>
          <w:lang w:eastAsia="en-US"/>
        </w:rPr>
        <w:t>pour</w:t>
      </w:r>
      <w:r w:rsidR="00DB1635" w:rsidRPr="00B004EE">
        <w:rPr>
          <w:rFonts w:ascii="Tahoma" w:eastAsia="Calibri" w:hAnsi="Tahoma" w:cs="Tahoma"/>
          <w:b w:val="0"/>
          <w:bCs w:val="0"/>
          <w:lang w:eastAsia="en-US"/>
        </w:rPr>
        <w:t xml:space="preserve"> </w:t>
      </w:r>
      <w:r w:rsidR="002F24E1" w:rsidRPr="00B004EE">
        <w:rPr>
          <w:rFonts w:ascii="Tahoma" w:eastAsia="Calibri" w:hAnsi="Tahoma" w:cs="Tahoma"/>
          <w:b w:val="0"/>
          <w:bCs w:val="0"/>
          <w:lang w:eastAsia="en-US"/>
        </w:rPr>
        <w:t>la</w:t>
      </w:r>
      <w:r w:rsidR="00DB1635" w:rsidRPr="00B004EE">
        <w:rPr>
          <w:rFonts w:ascii="Tahoma" w:eastAsia="Calibri" w:hAnsi="Tahoma" w:cs="Tahoma"/>
          <w:b w:val="0"/>
          <w:bCs w:val="0"/>
          <w:lang w:eastAsia="en-US"/>
        </w:rPr>
        <w:t xml:space="preserve"> </w:t>
      </w:r>
      <w:r w:rsidR="002F24E1" w:rsidRPr="00B004EE">
        <w:rPr>
          <w:rFonts w:ascii="Tahoma" w:eastAsia="Calibri" w:hAnsi="Tahoma" w:cs="Tahoma"/>
          <w:b w:val="0"/>
          <w:bCs w:val="0"/>
          <w:lang w:eastAsia="en-US"/>
        </w:rPr>
        <w:t>santé</w:t>
      </w:r>
      <w:r w:rsidR="00DB1635" w:rsidRPr="00B004EE">
        <w:rPr>
          <w:rFonts w:ascii="Tahoma" w:eastAsia="Calibri" w:hAnsi="Tahoma" w:cs="Tahoma"/>
          <w:b w:val="0"/>
          <w:bCs w:val="0"/>
          <w:lang w:eastAsia="en-US"/>
        </w:rPr>
        <w:t xml:space="preserve"> </w:t>
      </w:r>
      <w:r w:rsidR="002F24E1" w:rsidRPr="00B004EE">
        <w:rPr>
          <w:rFonts w:ascii="Tahoma" w:eastAsia="Calibri" w:hAnsi="Tahoma" w:cs="Tahoma"/>
          <w:b w:val="0"/>
          <w:bCs w:val="0"/>
          <w:lang w:eastAsia="en-US"/>
        </w:rPr>
        <w:t>humaine.</w:t>
      </w:r>
    </w:p>
    <w:p w14:paraId="3A4E8D69" w14:textId="664254FA" w:rsidR="002F24E1" w:rsidRPr="00B004EE" w:rsidRDefault="002F24E1" w:rsidP="00B004EE">
      <w:pPr>
        <w:pStyle w:val="Lgende"/>
        <w:jc w:val="both"/>
        <w:rPr>
          <w:rFonts w:ascii="Tahoma" w:hAnsi="Tahoma" w:cs="Tahoma"/>
          <w:b w:val="0"/>
          <w:bCs w:val="0"/>
        </w:rPr>
      </w:pPr>
      <w:r w:rsidRPr="00B004EE">
        <w:rPr>
          <w:rFonts w:ascii="Tahoma" w:hAnsi="Tahoma" w:cs="Tahoma"/>
          <w:b w:val="0"/>
          <w:bCs w:val="0"/>
        </w:rPr>
        <w:t>Sans</w:t>
      </w:r>
      <w:r w:rsidR="00DB1635" w:rsidRPr="00B004EE">
        <w:rPr>
          <w:rFonts w:ascii="Tahoma" w:hAnsi="Tahoma" w:cs="Tahoma"/>
          <w:b w:val="0"/>
          <w:bCs w:val="0"/>
        </w:rPr>
        <w:t xml:space="preserve"> </w:t>
      </w:r>
      <w:r w:rsidRPr="00B004EE">
        <w:rPr>
          <w:rFonts w:ascii="Tahoma" w:hAnsi="Tahoma" w:cs="Tahoma"/>
          <w:b w:val="0"/>
          <w:bCs w:val="0"/>
        </w:rPr>
        <w:t>préjudice</w:t>
      </w:r>
      <w:r w:rsidR="00DB1635" w:rsidRPr="00B004EE">
        <w:rPr>
          <w:rFonts w:ascii="Tahoma" w:hAnsi="Tahoma" w:cs="Tahoma"/>
          <w:b w:val="0"/>
          <w:bCs w:val="0"/>
        </w:rPr>
        <w:t xml:space="preserve"> </w:t>
      </w:r>
      <w:r w:rsidRPr="00B004EE">
        <w:rPr>
          <w:rFonts w:ascii="Tahoma" w:hAnsi="Tahoma" w:cs="Tahoma"/>
          <w:b w:val="0"/>
          <w:bCs w:val="0"/>
        </w:rPr>
        <w:t>des</w:t>
      </w:r>
      <w:r w:rsidR="00DB1635" w:rsidRPr="00B004EE">
        <w:rPr>
          <w:rFonts w:ascii="Tahoma" w:hAnsi="Tahoma" w:cs="Tahoma"/>
          <w:b w:val="0"/>
          <w:bCs w:val="0"/>
        </w:rPr>
        <w:t xml:space="preserve"> </w:t>
      </w:r>
      <w:r w:rsidRPr="00B004EE">
        <w:rPr>
          <w:rFonts w:ascii="Tahoma" w:hAnsi="Tahoma" w:cs="Tahoma"/>
          <w:b w:val="0"/>
          <w:bCs w:val="0"/>
        </w:rPr>
        <w:t>attributions</w:t>
      </w:r>
      <w:r w:rsidR="00DB1635" w:rsidRPr="00B004EE">
        <w:rPr>
          <w:rFonts w:ascii="Tahoma" w:hAnsi="Tahoma" w:cs="Tahoma"/>
          <w:b w:val="0"/>
          <w:bCs w:val="0"/>
        </w:rPr>
        <w:t xml:space="preserve"> </w:t>
      </w:r>
      <w:r w:rsidRPr="00B004EE">
        <w:rPr>
          <w:rFonts w:ascii="Tahoma" w:hAnsi="Tahoma" w:cs="Tahoma"/>
          <w:b w:val="0"/>
          <w:bCs w:val="0"/>
        </w:rPr>
        <w:t>propres</w:t>
      </w:r>
      <w:r w:rsidR="00DB1635" w:rsidRPr="00B004EE">
        <w:rPr>
          <w:rFonts w:ascii="Tahoma" w:hAnsi="Tahoma" w:cs="Tahoma"/>
          <w:b w:val="0"/>
          <w:bCs w:val="0"/>
        </w:rPr>
        <w:t xml:space="preserve"> </w:t>
      </w:r>
      <w:r w:rsidRPr="00B004EE">
        <w:rPr>
          <w:rFonts w:ascii="Tahoma" w:hAnsi="Tahoma" w:cs="Tahoma"/>
          <w:b w:val="0"/>
          <w:bCs w:val="0"/>
        </w:rPr>
        <w:t>des</w:t>
      </w:r>
      <w:r w:rsidR="00DB1635" w:rsidRPr="00B004EE">
        <w:rPr>
          <w:rFonts w:ascii="Tahoma" w:hAnsi="Tahoma" w:cs="Tahoma"/>
          <w:b w:val="0"/>
          <w:bCs w:val="0"/>
        </w:rPr>
        <w:t xml:space="preserve"> </w:t>
      </w:r>
      <w:r w:rsidRPr="00B004EE">
        <w:rPr>
          <w:rFonts w:ascii="Tahoma" w:hAnsi="Tahoma" w:cs="Tahoma"/>
          <w:b w:val="0"/>
          <w:bCs w:val="0"/>
        </w:rPr>
        <w:t>autres</w:t>
      </w:r>
      <w:r w:rsidR="00DB1635" w:rsidRPr="00B004EE">
        <w:rPr>
          <w:rFonts w:ascii="Tahoma" w:hAnsi="Tahoma" w:cs="Tahoma"/>
          <w:b w:val="0"/>
          <w:bCs w:val="0"/>
        </w:rPr>
        <w:t xml:space="preserve"> </w:t>
      </w:r>
      <w:r w:rsidRPr="00B004EE">
        <w:rPr>
          <w:rFonts w:ascii="Tahoma" w:hAnsi="Tahoma" w:cs="Tahoma"/>
          <w:b w:val="0"/>
          <w:bCs w:val="0"/>
        </w:rPr>
        <w:t>ministères</w:t>
      </w:r>
      <w:r w:rsidR="00DB1635" w:rsidRPr="00B004EE">
        <w:rPr>
          <w:rFonts w:ascii="Tahoma" w:hAnsi="Tahoma" w:cs="Tahoma"/>
          <w:b w:val="0"/>
          <w:bCs w:val="0"/>
        </w:rPr>
        <w:t xml:space="preserve"> </w:t>
      </w:r>
      <w:r w:rsidRPr="00B004EE">
        <w:rPr>
          <w:rFonts w:ascii="Tahoma" w:hAnsi="Tahoma" w:cs="Tahoma"/>
          <w:b w:val="0"/>
          <w:bCs w:val="0"/>
        </w:rPr>
        <w:t>compétents,</w:t>
      </w:r>
      <w:r w:rsidR="00DB1635" w:rsidRPr="00B004EE">
        <w:rPr>
          <w:rFonts w:ascii="Tahoma" w:hAnsi="Tahoma" w:cs="Tahoma"/>
          <w:b w:val="0"/>
          <w:bCs w:val="0"/>
        </w:rPr>
        <w:t xml:space="preserve"> </w:t>
      </w:r>
      <w:r w:rsidRPr="00B004EE">
        <w:rPr>
          <w:rFonts w:ascii="Tahoma" w:hAnsi="Tahoma" w:cs="Tahoma"/>
          <w:b w:val="0"/>
          <w:bCs w:val="0"/>
        </w:rPr>
        <w:t>le</w:t>
      </w:r>
      <w:r w:rsidR="00DB1635" w:rsidRPr="00B004EE">
        <w:rPr>
          <w:rFonts w:ascii="Tahoma" w:hAnsi="Tahoma" w:cs="Tahoma"/>
          <w:b w:val="0"/>
          <w:bCs w:val="0"/>
        </w:rPr>
        <w:t xml:space="preserve"> </w:t>
      </w:r>
      <w:r w:rsidRPr="00B004EE">
        <w:rPr>
          <w:rFonts w:ascii="Tahoma" w:hAnsi="Tahoma" w:cs="Tahoma"/>
          <w:b w:val="0"/>
          <w:bCs w:val="0"/>
        </w:rPr>
        <w:t>Ministre</w:t>
      </w:r>
      <w:r w:rsidR="00DB1635" w:rsidRPr="00B004EE">
        <w:rPr>
          <w:rFonts w:ascii="Tahoma" w:hAnsi="Tahoma" w:cs="Tahoma"/>
          <w:b w:val="0"/>
          <w:bCs w:val="0"/>
        </w:rPr>
        <w:t xml:space="preserve"> </w:t>
      </w:r>
      <w:r w:rsidRPr="00B004EE">
        <w:rPr>
          <w:rFonts w:ascii="Tahoma" w:hAnsi="Tahoma" w:cs="Tahoma"/>
          <w:b w:val="0"/>
          <w:bCs w:val="0"/>
        </w:rPr>
        <w:t>chargé</w:t>
      </w:r>
      <w:r w:rsidR="00DB1635" w:rsidRPr="00B004EE">
        <w:rPr>
          <w:rFonts w:ascii="Tahoma" w:hAnsi="Tahoma" w:cs="Tahoma"/>
          <w:b w:val="0"/>
          <w:bCs w:val="0"/>
        </w:rPr>
        <w:t xml:space="preserve"> </w:t>
      </w:r>
      <w:r w:rsidRPr="00B004EE">
        <w:rPr>
          <w:rFonts w:ascii="Tahoma" w:hAnsi="Tahoma" w:cs="Tahoma"/>
          <w:b w:val="0"/>
          <w:bCs w:val="0"/>
        </w:rPr>
        <w:t>des</w:t>
      </w:r>
      <w:r w:rsidR="00DB1635" w:rsidRPr="00B004EE">
        <w:rPr>
          <w:rFonts w:ascii="Tahoma" w:hAnsi="Tahoma" w:cs="Tahoma"/>
          <w:b w:val="0"/>
          <w:bCs w:val="0"/>
        </w:rPr>
        <w:t xml:space="preserve"> </w:t>
      </w:r>
      <w:r w:rsidRPr="00B004EE">
        <w:rPr>
          <w:rFonts w:ascii="Tahoma" w:hAnsi="Tahoma" w:cs="Tahoma"/>
          <w:b w:val="0"/>
          <w:bCs w:val="0"/>
        </w:rPr>
        <w:t>pêches</w:t>
      </w:r>
      <w:r w:rsidR="00DB1635" w:rsidRPr="00B004EE">
        <w:rPr>
          <w:rFonts w:ascii="Tahoma" w:hAnsi="Tahoma" w:cs="Tahoma"/>
          <w:b w:val="0"/>
          <w:bCs w:val="0"/>
        </w:rPr>
        <w:t xml:space="preserve"> </w:t>
      </w:r>
      <w:r w:rsidRPr="00B004EE">
        <w:rPr>
          <w:rFonts w:ascii="Tahoma" w:hAnsi="Tahoma" w:cs="Tahoma"/>
          <w:b w:val="0"/>
          <w:bCs w:val="0"/>
        </w:rPr>
        <w:t>est</w:t>
      </w:r>
      <w:r w:rsidR="00DB1635" w:rsidRPr="00B004EE">
        <w:rPr>
          <w:rFonts w:ascii="Tahoma" w:hAnsi="Tahoma" w:cs="Tahoma"/>
          <w:b w:val="0"/>
          <w:bCs w:val="0"/>
        </w:rPr>
        <w:t xml:space="preserve"> </w:t>
      </w:r>
      <w:r w:rsidRPr="00B004EE">
        <w:rPr>
          <w:rFonts w:ascii="Tahoma" w:hAnsi="Tahoma" w:cs="Tahoma"/>
          <w:b w:val="0"/>
          <w:bCs w:val="0"/>
        </w:rPr>
        <w:t>l'autorité</w:t>
      </w:r>
      <w:r w:rsidR="00DB1635" w:rsidRPr="00B004EE">
        <w:rPr>
          <w:rFonts w:ascii="Tahoma" w:hAnsi="Tahoma" w:cs="Tahoma"/>
          <w:b w:val="0"/>
          <w:bCs w:val="0"/>
        </w:rPr>
        <w:t xml:space="preserve"> </w:t>
      </w:r>
      <w:r w:rsidRPr="00B004EE">
        <w:rPr>
          <w:rFonts w:ascii="Tahoma" w:hAnsi="Tahoma" w:cs="Tahoma"/>
          <w:b w:val="0"/>
          <w:bCs w:val="0"/>
        </w:rPr>
        <w:t>compétente</w:t>
      </w:r>
      <w:r w:rsidR="00DB1635" w:rsidRPr="00B004EE">
        <w:rPr>
          <w:rFonts w:ascii="Tahoma" w:hAnsi="Tahoma" w:cs="Tahoma"/>
          <w:b w:val="0"/>
          <w:bCs w:val="0"/>
        </w:rPr>
        <w:t xml:space="preserve"> </w:t>
      </w:r>
      <w:r w:rsidRPr="00B004EE">
        <w:rPr>
          <w:rFonts w:ascii="Tahoma" w:hAnsi="Tahoma" w:cs="Tahoma"/>
          <w:b w:val="0"/>
          <w:bCs w:val="0"/>
        </w:rPr>
        <w:t>pour</w:t>
      </w:r>
      <w:r w:rsidR="00DB1635" w:rsidRPr="00B004EE">
        <w:rPr>
          <w:rFonts w:ascii="Tahoma" w:hAnsi="Tahoma" w:cs="Tahoma"/>
          <w:b w:val="0"/>
          <w:bCs w:val="0"/>
        </w:rPr>
        <w:t xml:space="preserve"> </w:t>
      </w:r>
      <w:r w:rsidRPr="00B004EE">
        <w:rPr>
          <w:rFonts w:ascii="Tahoma" w:hAnsi="Tahoma" w:cs="Tahoma"/>
          <w:b w:val="0"/>
          <w:bCs w:val="0"/>
        </w:rPr>
        <w:t>fixer</w:t>
      </w:r>
      <w:r w:rsidR="00DB1635" w:rsidRPr="00B004EE">
        <w:rPr>
          <w:rFonts w:ascii="Tahoma" w:hAnsi="Tahoma" w:cs="Tahoma"/>
          <w:b w:val="0"/>
          <w:bCs w:val="0"/>
        </w:rPr>
        <w:t xml:space="preserve"> </w:t>
      </w:r>
      <w:r w:rsidRPr="00B004EE">
        <w:rPr>
          <w:rFonts w:ascii="Tahoma" w:hAnsi="Tahoma" w:cs="Tahoma"/>
          <w:b w:val="0"/>
          <w:bCs w:val="0"/>
        </w:rPr>
        <w:t>les</w:t>
      </w:r>
      <w:r w:rsidR="00DB1635" w:rsidRPr="00B004EE">
        <w:rPr>
          <w:rFonts w:ascii="Tahoma" w:hAnsi="Tahoma" w:cs="Tahoma"/>
          <w:b w:val="0"/>
          <w:bCs w:val="0"/>
        </w:rPr>
        <w:t xml:space="preserve"> </w:t>
      </w:r>
      <w:r w:rsidRPr="00B004EE">
        <w:rPr>
          <w:rFonts w:ascii="Tahoma" w:hAnsi="Tahoma" w:cs="Tahoma"/>
          <w:b w:val="0"/>
          <w:bCs w:val="0"/>
        </w:rPr>
        <w:t>normes</w:t>
      </w:r>
      <w:r w:rsidR="00DB1635" w:rsidRPr="00B004EE">
        <w:rPr>
          <w:rFonts w:ascii="Tahoma" w:hAnsi="Tahoma" w:cs="Tahoma"/>
          <w:b w:val="0"/>
          <w:bCs w:val="0"/>
        </w:rPr>
        <w:t xml:space="preserve"> </w:t>
      </w:r>
      <w:r w:rsidRPr="00B004EE">
        <w:rPr>
          <w:rFonts w:ascii="Tahoma" w:hAnsi="Tahoma" w:cs="Tahoma"/>
          <w:b w:val="0"/>
          <w:bCs w:val="0"/>
        </w:rPr>
        <w:t>d'hygiène</w:t>
      </w:r>
      <w:r w:rsidR="00DB1635" w:rsidRPr="00B004EE">
        <w:rPr>
          <w:rFonts w:ascii="Tahoma" w:hAnsi="Tahoma" w:cs="Tahoma"/>
          <w:b w:val="0"/>
          <w:bCs w:val="0"/>
        </w:rPr>
        <w:t xml:space="preserve"> </w:t>
      </w:r>
      <w:r w:rsidRPr="00B004EE">
        <w:rPr>
          <w:rFonts w:ascii="Tahoma" w:hAnsi="Tahoma" w:cs="Tahoma"/>
          <w:b w:val="0"/>
          <w:bCs w:val="0"/>
        </w:rPr>
        <w:t>et</w:t>
      </w:r>
      <w:r w:rsidR="00DB1635" w:rsidRPr="00B004EE">
        <w:rPr>
          <w:rFonts w:ascii="Tahoma" w:hAnsi="Tahoma" w:cs="Tahoma"/>
          <w:b w:val="0"/>
          <w:bCs w:val="0"/>
        </w:rPr>
        <w:t xml:space="preserve"> </w:t>
      </w:r>
      <w:r w:rsidRPr="00B004EE">
        <w:rPr>
          <w:rFonts w:ascii="Tahoma" w:hAnsi="Tahoma" w:cs="Tahoma"/>
          <w:b w:val="0"/>
          <w:bCs w:val="0"/>
        </w:rPr>
        <w:t>de</w:t>
      </w:r>
      <w:r w:rsidR="00DB1635" w:rsidRPr="00B004EE">
        <w:rPr>
          <w:rFonts w:ascii="Tahoma" w:hAnsi="Tahoma" w:cs="Tahoma"/>
          <w:b w:val="0"/>
          <w:bCs w:val="0"/>
        </w:rPr>
        <w:t xml:space="preserve"> </w:t>
      </w:r>
      <w:r w:rsidRPr="00B004EE">
        <w:rPr>
          <w:rFonts w:ascii="Tahoma" w:hAnsi="Tahoma" w:cs="Tahoma"/>
          <w:b w:val="0"/>
          <w:bCs w:val="0"/>
        </w:rPr>
        <w:t>salubrité</w:t>
      </w:r>
      <w:r w:rsidR="00DB1635" w:rsidRPr="00B004EE">
        <w:rPr>
          <w:rFonts w:ascii="Tahoma" w:hAnsi="Tahoma" w:cs="Tahoma"/>
          <w:b w:val="0"/>
          <w:bCs w:val="0"/>
        </w:rPr>
        <w:t xml:space="preserve"> </w:t>
      </w:r>
      <w:r w:rsidRPr="00B004EE">
        <w:rPr>
          <w:rFonts w:ascii="Tahoma" w:hAnsi="Tahoma" w:cs="Tahoma"/>
          <w:b w:val="0"/>
          <w:bCs w:val="0"/>
        </w:rPr>
        <w:t>et</w:t>
      </w:r>
      <w:r w:rsidR="00DB1635" w:rsidRPr="00B004EE">
        <w:rPr>
          <w:rFonts w:ascii="Tahoma" w:hAnsi="Tahoma" w:cs="Tahoma"/>
          <w:b w:val="0"/>
          <w:bCs w:val="0"/>
        </w:rPr>
        <w:t xml:space="preserve"> </w:t>
      </w:r>
      <w:r w:rsidRPr="00B004EE">
        <w:rPr>
          <w:rFonts w:ascii="Tahoma" w:hAnsi="Tahoma" w:cs="Tahoma"/>
          <w:b w:val="0"/>
          <w:bCs w:val="0"/>
        </w:rPr>
        <w:t>réglementer</w:t>
      </w:r>
      <w:r w:rsidR="00DB1635" w:rsidRPr="00B004EE">
        <w:rPr>
          <w:rFonts w:ascii="Tahoma" w:hAnsi="Tahoma" w:cs="Tahoma"/>
          <w:b w:val="0"/>
          <w:bCs w:val="0"/>
        </w:rPr>
        <w:t xml:space="preserve"> </w:t>
      </w:r>
      <w:r w:rsidRPr="00B004EE">
        <w:rPr>
          <w:rFonts w:ascii="Tahoma" w:hAnsi="Tahoma" w:cs="Tahoma"/>
          <w:b w:val="0"/>
          <w:bCs w:val="0"/>
        </w:rPr>
        <w:t>l'inspection</w:t>
      </w:r>
      <w:r w:rsidR="00DB1635" w:rsidRPr="00B004EE">
        <w:rPr>
          <w:rFonts w:ascii="Tahoma" w:hAnsi="Tahoma" w:cs="Tahoma"/>
          <w:b w:val="0"/>
          <w:bCs w:val="0"/>
        </w:rPr>
        <w:t xml:space="preserve"> </w:t>
      </w:r>
      <w:r w:rsidRPr="00B004EE">
        <w:rPr>
          <w:rFonts w:ascii="Tahoma" w:hAnsi="Tahoma" w:cs="Tahoma"/>
          <w:b w:val="0"/>
          <w:bCs w:val="0"/>
        </w:rPr>
        <w:t>sanitaire</w:t>
      </w:r>
      <w:r w:rsidR="00DB1635" w:rsidRPr="00B004EE">
        <w:rPr>
          <w:rFonts w:ascii="Tahoma" w:hAnsi="Tahoma" w:cs="Tahoma"/>
          <w:b w:val="0"/>
          <w:bCs w:val="0"/>
        </w:rPr>
        <w:t xml:space="preserve"> </w:t>
      </w:r>
      <w:r w:rsidRPr="00B004EE">
        <w:rPr>
          <w:rFonts w:ascii="Tahoma" w:hAnsi="Tahoma" w:cs="Tahoma"/>
          <w:b w:val="0"/>
          <w:bCs w:val="0"/>
        </w:rPr>
        <w:t>des</w:t>
      </w:r>
      <w:r w:rsidR="00DB1635" w:rsidRPr="00B004EE">
        <w:rPr>
          <w:rFonts w:ascii="Tahoma" w:hAnsi="Tahoma" w:cs="Tahoma"/>
          <w:b w:val="0"/>
          <w:bCs w:val="0"/>
        </w:rPr>
        <w:t xml:space="preserve"> </w:t>
      </w:r>
      <w:r w:rsidRPr="00B004EE">
        <w:rPr>
          <w:rFonts w:ascii="Tahoma" w:hAnsi="Tahoma" w:cs="Tahoma"/>
          <w:b w:val="0"/>
          <w:bCs w:val="0"/>
        </w:rPr>
        <w:t>produits</w:t>
      </w:r>
      <w:r w:rsidR="00DB1635" w:rsidRPr="00B004EE">
        <w:rPr>
          <w:rFonts w:ascii="Tahoma" w:hAnsi="Tahoma" w:cs="Tahoma"/>
          <w:b w:val="0"/>
          <w:bCs w:val="0"/>
        </w:rPr>
        <w:t xml:space="preserve"> </w:t>
      </w:r>
      <w:r w:rsidRPr="00B004EE">
        <w:rPr>
          <w:rFonts w:ascii="Tahoma" w:hAnsi="Tahoma" w:cs="Tahoma"/>
          <w:b w:val="0"/>
          <w:bCs w:val="0"/>
        </w:rPr>
        <w:t>de</w:t>
      </w:r>
      <w:r w:rsidR="00DB1635" w:rsidRPr="00B004EE">
        <w:rPr>
          <w:rFonts w:ascii="Tahoma" w:hAnsi="Tahoma" w:cs="Tahoma"/>
          <w:b w:val="0"/>
          <w:bCs w:val="0"/>
        </w:rPr>
        <w:t xml:space="preserve"> </w:t>
      </w:r>
      <w:r w:rsidRPr="00B004EE">
        <w:rPr>
          <w:rFonts w:ascii="Tahoma" w:hAnsi="Tahoma" w:cs="Tahoma"/>
          <w:b w:val="0"/>
          <w:bCs w:val="0"/>
        </w:rPr>
        <w:t>la</w:t>
      </w:r>
      <w:r w:rsidR="00DB1635" w:rsidRPr="00B004EE">
        <w:rPr>
          <w:rFonts w:ascii="Tahoma" w:hAnsi="Tahoma" w:cs="Tahoma"/>
          <w:b w:val="0"/>
          <w:bCs w:val="0"/>
        </w:rPr>
        <w:t xml:space="preserve"> </w:t>
      </w:r>
      <w:r w:rsidRPr="00B004EE">
        <w:rPr>
          <w:rFonts w:ascii="Tahoma" w:hAnsi="Tahoma" w:cs="Tahoma"/>
          <w:b w:val="0"/>
          <w:bCs w:val="0"/>
        </w:rPr>
        <w:t>pêche</w:t>
      </w:r>
      <w:r w:rsidR="00DB1635" w:rsidRPr="00B004EE">
        <w:rPr>
          <w:rFonts w:ascii="Tahoma" w:hAnsi="Tahoma" w:cs="Tahoma"/>
          <w:b w:val="0"/>
          <w:bCs w:val="0"/>
        </w:rPr>
        <w:t xml:space="preserve"> </w:t>
      </w:r>
      <w:r w:rsidRPr="00B004EE">
        <w:rPr>
          <w:rFonts w:ascii="Tahoma" w:hAnsi="Tahoma" w:cs="Tahoma"/>
          <w:b w:val="0"/>
          <w:bCs w:val="0"/>
        </w:rPr>
        <w:t>destinés</w:t>
      </w:r>
      <w:r w:rsidR="00DB1635" w:rsidRPr="00B004EE">
        <w:rPr>
          <w:rFonts w:ascii="Tahoma" w:hAnsi="Tahoma" w:cs="Tahoma"/>
          <w:b w:val="0"/>
          <w:bCs w:val="0"/>
        </w:rPr>
        <w:t xml:space="preserve"> </w:t>
      </w:r>
      <w:r w:rsidRPr="00B004EE">
        <w:rPr>
          <w:rFonts w:ascii="Tahoma" w:hAnsi="Tahoma" w:cs="Tahoma"/>
          <w:b w:val="0"/>
          <w:bCs w:val="0"/>
        </w:rPr>
        <w:t>à</w:t>
      </w:r>
      <w:r w:rsidR="00DB1635" w:rsidRPr="00B004EE">
        <w:rPr>
          <w:rFonts w:ascii="Tahoma" w:hAnsi="Tahoma" w:cs="Tahoma"/>
          <w:b w:val="0"/>
          <w:bCs w:val="0"/>
        </w:rPr>
        <w:t xml:space="preserve"> </w:t>
      </w:r>
      <w:r w:rsidRPr="00B004EE">
        <w:rPr>
          <w:rFonts w:ascii="Tahoma" w:hAnsi="Tahoma" w:cs="Tahoma"/>
          <w:b w:val="0"/>
          <w:bCs w:val="0"/>
        </w:rPr>
        <w:t>l'alimentation</w:t>
      </w:r>
      <w:r w:rsidR="00DB1635" w:rsidRPr="00B004EE">
        <w:rPr>
          <w:rFonts w:ascii="Tahoma" w:hAnsi="Tahoma" w:cs="Tahoma"/>
          <w:b w:val="0"/>
          <w:bCs w:val="0"/>
        </w:rPr>
        <w:t xml:space="preserve"> </w:t>
      </w:r>
      <w:r w:rsidRPr="00B004EE">
        <w:rPr>
          <w:rFonts w:ascii="Tahoma" w:hAnsi="Tahoma" w:cs="Tahoma"/>
          <w:b w:val="0"/>
          <w:bCs w:val="0"/>
        </w:rPr>
        <w:t>humaine.</w:t>
      </w:r>
    </w:p>
    <w:p w14:paraId="7293C324" w14:textId="77777777" w:rsidR="002F24E1" w:rsidRPr="00B004EE" w:rsidRDefault="002F24E1" w:rsidP="00B004EE">
      <w:pPr>
        <w:pStyle w:val="Lgende"/>
        <w:jc w:val="both"/>
        <w:rPr>
          <w:rFonts w:ascii="Tahoma" w:hAnsi="Tahoma" w:cs="Tahoma"/>
          <w:b w:val="0"/>
          <w:bCs w:val="0"/>
        </w:rPr>
      </w:pPr>
    </w:p>
    <w:p w14:paraId="29B23FA7" w14:textId="3774ABC4" w:rsidR="002F24E1" w:rsidRPr="00B004EE" w:rsidRDefault="00561F81" w:rsidP="00B004EE">
      <w:pPr>
        <w:pStyle w:val="Lgende"/>
        <w:jc w:val="both"/>
        <w:rPr>
          <w:rFonts w:ascii="Tahoma" w:hAnsi="Tahoma" w:cs="Tahoma"/>
          <w:b w:val="0"/>
          <w:bCs w:val="0"/>
        </w:rPr>
      </w:pPr>
      <w:r w:rsidRPr="00B004EE">
        <w:rPr>
          <w:rFonts w:ascii="Tahoma" w:hAnsi="Tahoma" w:cs="Tahoma"/>
          <w:b w:val="0"/>
          <w:bCs w:val="0"/>
        </w:rPr>
        <w:t xml:space="preserve">Article </w:t>
      </w:r>
      <w:r w:rsidR="002F24E1" w:rsidRPr="00B004EE">
        <w:rPr>
          <w:rFonts w:ascii="Tahoma" w:hAnsi="Tahoma" w:cs="Tahoma"/>
          <w:b w:val="0"/>
          <w:bCs w:val="0"/>
        </w:rPr>
        <w:t>2</w:t>
      </w:r>
      <w:r w:rsidR="00DB1635" w:rsidRPr="00B004EE">
        <w:rPr>
          <w:rFonts w:ascii="Tahoma" w:hAnsi="Tahoma" w:cs="Tahoma"/>
          <w:b w:val="0"/>
          <w:bCs w:val="0"/>
        </w:rPr>
        <w:t xml:space="preserve"> </w:t>
      </w:r>
      <w:r w:rsidR="002F24E1" w:rsidRPr="00B004EE">
        <w:rPr>
          <w:rFonts w:ascii="Tahoma" w:hAnsi="Tahoma" w:cs="Tahoma"/>
          <w:b w:val="0"/>
          <w:bCs w:val="0"/>
        </w:rPr>
        <w:t>:</w:t>
      </w:r>
      <w:r w:rsidR="00DB1635" w:rsidRPr="00B004EE">
        <w:rPr>
          <w:rFonts w:ascii="Tahoma" w:hAnsi="Tahoma" w:cs="Tahoma"/>
          <w:b w:val="0"/>
          <w:bCs w:val="0"/>
        </w:rPr>
        <w:t xml:space="preserve"> </w:t>
      </w:r>
      <w:r w:rsidR="002F24E1" w:rsidRPr="00B004EE">
        <w:rPr>
          <w:rFonts w:ascii="Tahoma" w:hAnsi="Tahoma" w:cs="Tahoma"/>
          <w:b w:val="0"/>
          <w:bCs w:val="0"/>
        </w:rPr>
        <w:t>La</w:t>
      </w:r>
      <w:r w:rsidR="00DB1635" w:rsidRPr="00B004EE">
        <w:rPr>
          <w:rFonts w:ascii="Tahoma" w:hAnsi="Tahoma" w:cs="Tahoma"/>
          <w:b w:val="0"/>
          <w:bCs w:val="0"/>
        </w:rPr>
        <w:t xml:space="preserve"> </w:t>
      </w:r>
      <w:r w:rsidR="002F24E1" w:rsidRPr="00B004EE">
        <w:rPr>
          <w:rFonts w:ascii="Tahoma" w:hAnsi="Tahoma" w:cs="Tahoma"/>
          <w:b w:val="0"/>
          <w:bCs w:val="0"/>
        </w:rPr>
        <w:t>production,</w:t>
      </w:r>
      <w:r w:rsidR="00DB1635" w:rsidRPr="00B004EE">
        <w:rPr>
          <w:rFonts w:ascii="Tahoma" w:hAnsi="Tahoma" w:cs="Tahoma"/>
          <w:b w:val="0"/>
          <w:bCs w:val="0"/>
        </w:rPr>
        <w:t xml:space="preserve"> </w:t>
      </w:r>
      <w:r w:rsidR="002F24E1" w:rsidRPr="00B004EE">
        <w:rPr>
          <w:rFonts w:ascii="Tahoma" w:hAnsi="Tahoma" w:cs="Tahoma"/>
          <w:b w:val="0"/>
          <w:bCs w:val="0"/>
        </w:rPr>
        <w:t>les</w:t>
      </w:r>
      <w:r w:rsidR="00DB1635" w:rsidRPr="00B004EE">
        <w:rPr>
          <w:rFonts w:ascii="Tahoma" w:hAnsi="Tahoma" w:cs="Tahoma"/>
          <w:b w:val="0"/>
          <w:bCs w:val="0"/>
        </w:rPr>
        <w:t xml:space="preserve"> </w:t>
      </w:r>
      <w:r w:rsidR="002F24E1" w:rsidRPr="00B004EE">
        <w:rPr>
          <w:rFonts w:ascii="Tahoma" w:hAnsi="Tahoma" w:cs="Tahoma"/>
          <w:b w:val="0"/>
          <w:bCs w:val="0"/>
        </w:rPr>
        <w:t>manipulations,</w:t>
      </w:r>
      <w:r w:rsidR="00DB1635" w:rsidRPr="00B004EE">
        <w:rPr>
          <w:rFonts w:ascii="Tahoma" w:hAnsi="Tahoma" w:cs="Tahoma"/>
          <w:b w:val="0"/>
          <w:bCs w:val="0"/>
        </w:rPr>
        <w:t xml:space="preserve"> </w:t>
      </w:r>
      <w:r w:rsidR="002F24E1" w:rsidRPr="00B004EE">
        <w:rPr>
          <w:rFonts w:ascii="Tahoma" w:hAnsi="Tahoma" w:cs="Tahoma"/>
          <w:b w:val="0"/>
          <w:bCs w:val="0"/>
        </w:rPr>
        <w:t>le</w:t>
      </w:r>
      <w:r w:rsidR="00DB1635" w:rsidRPr="00B004EE">
        <w:rPr>
          <w:rFonts w:ascii="Tahoma" w:hAnsi="Tahoma" w:cs="Tahoma"/>
          <w:b w:val="0"/>
          <w:bCs w:val="0"/>
        </w:rPr>
        <w:t xml:space="preserve"> </w:t>
      </w:r>
      <w:r w:rsidR="002F24E1" w:rsidRPr="00B004EE">
        <w:rPr>
          <w:rFonts w:ascii="Tahoma" w:hAnsi="Tahoma" w:cs="Tahoma"/>
          <w:b w:val="0"/>
          <w:bCs w:val="0"/>
        </w:rPr>
        <w:t>conditionnement</w:t>
      </w:r>
      <w:r w:rsidR="00DB1635" w:rsidRPr="00B004EE">
        <w:rPr>
          <w:rFonts w:ascii="Tahoma" w:hAnsi="Tahoma" w:cs="Tahoma"/>
          <w:b w:val="0"/>
          <w:bCs w:val="0"/>
        </w:rPr>
        <w:t xml:space="preserve"> </w:t>
      </w:r>
      <w:r w:rsidR="002F24E1" w:rsidRPr="00B004EE">
        <w:rPr>
          <w:rFonts w:ascii="Tahoma" w:hAnsi="Tahoma" w:cs="Tahoma"/>
          <w:b w:val="0"/>
          <w:bCs w:val="0"/>
        </w:rPr>
        <w:t>et</w:t>
      </w:r>
      <w:r w:rsidR="00DB1635" w:rsidRPr="00B004EE">
        <w:rPr>
          <w:rFonts w:ascii="Tahoma" w:hAnsi="Tahoma" w:cs="Tahoma"/>
          <w:b w:val="0"/>
          <w:bCs w:val="0"/>
        </w:rPr>
        <w:t xml:space="preserve"> </w:t>
      </w:r>
      <w:r w:rsidR="002F24E1" w:rsidRPr="00B004EE">
        <w:rPr>
          <w:rFonts w:ascii="Tahoma" w:hAnsi="Tahoma" w:cs="Tahoma"/>
          <w:b w:val="0"/>
          <w:bCs w:val="0"/>
        </w:rPr>
        <w:t>la</w:t>
      </w:r>
      <w:r w:rsidR="00DB1635" w:rsidRPr="00B004EE">
        <w:rPr>
          <w:rFonts w:ascii="Tahoma" w:hAnsi="Tahoma" w:cs="Tahoma"/>
          <w:b w:val="0"/>
          <w:bCs w:val="0"/>
        </w:rPr>
        <w:t xml:space="preserve"> </w:t>
      </w:r>
      <w:r w:rsidR="002F24E1" w:rsidRPr="00B004EE">
        <w:rPr>
          <w:rFonts w:ascii="Tahoma" w:hAnsi="Tahoma" w:cs="Tahoma"/>
          <w:b w:val="0"/>
          <w:bCs w:val="0"/>
        </w:rPr>
        <w:t>distribution</w:t>
      </w:r>
      <w:r w:rsidR="00DB1635" w:rsidRPr="00B004EE">
        <w:rPr>
          <w:rFonts w:ascii="Tahoma" w:hAnsi="Tahoma" w:cs="Tahoma"/>
          <w:b w:val="0"/>
          <w:bCs w:val="0"/>
        </w:rPr>
        <w:t xml:space="preserve"> </w:t>
      </w:r>
      <w:r w:rsidR="002F24E1" w:rsidRPr="00B004EE">
        <w:rPr>
          <w:rFonts w:ascii="Tahoma" w:hAnsi="Tahoma" w:cs="Tahoma"/>
          <w:b w:val="0"/>
          <w:bCs w:val="0"/>
        </w:rPr>
        <w:t>des</w:t>
      </w:r>
      <w:r w:rsidR="00DB1635" w:rsidRPr="00B004EE">
        <w:rPr>
          <w:rFonts w:ascii="Tahoma" w:hAnsi="Tahoma" w:cs="Tahoma"/>
          <w:b w:val="0"/>
          <w:bCs w:val="0"/>
        </w:rPr>
        <w:t xml:space="preserve"> </w:t>
      </w:r>
      <w:r w:rsidR="002F24E1" w:rsidRPr="00B004EE">
        <w:rPr>
          <w:rFonts w:ascii="Tahoma" w:hAnsi="Tahoma" w:cs="Tahoma"/>
          <w:b w:val="0"/>
          <w:bCs w:val="0"/>
        </w:rPr>
        <w:t>produits</w:t>
      </w:r>
      <w:r w:rsidR="00DB1635" w:rsidRPr="00B004EE">
        <w:rPr>
          <w:rFonts w:ascii="Tahoma" w:hAnsi="Tahoma" w:cs="Tahoma"/>
          <w:b w:val="0"/>
          <w:bCs w:val="0"/>
        </w:rPr>
        <w:t xml:space="preserve"> </w:t>
      </w:r>
      <w:r w:rsidR="002F24E1" w:rsidRPr="00B004EE">
        <w:rPr>
          <w:rFonts w:ascii="Tahoma" w:hAnsi="Tahoma" w:cs="Tahoma"/>
          <w:b w:val="0"/>
          <w:bCs w:val="0"/>
        </w:rPr>
        <w:t>de</w:t>
      </w:r>
      <w:r w:rsidR="00DB1635" w:rsidRPr="00B004EE">
        <w:rPr>
          <w:rFonts w:ascii="Tahoma" w:hAnsi="Tahoma" w:cs="Tahoma"/>
          <w:b w:val="0"/>
          <w:bCs w:val="0"/>
        </w:rPr>
        <w:t xml:space="preserve"> </w:t>
      </w:r>
      <w:r w:rsidR="002F24E1" w:rsidRPr="00B004EE">
        <w:rPr>
          <w:rFonts w:ascii="Tahoma" w:hAnsi="Tahoma" w:cs="Tahoma"/>
          <w:b w:val="0"/>
          <w:bCs w:val="0"/>
        </w:rPr>
        <w:t>la</w:t>
      </w:r>
      <w:r w:rsidR="00DB1635" w:rsidRPr="00B004EE">
        <w:rPr>
          <w:rFonts w:ascii="Tahoma" w:hAnsi="Tahoma" w:cs="Tahoma"/>
          <w:b w:val="0"/>
          <w:bCs w:val="0"/>
        </w:rPr>
        <w:t xml:space="preserve"> </w:t>
      </w:r>
      <w:r w:rsidR="002F24E1" w:rsidRPr="00B004EE">
        <w:rPr>
          <w:rFonts w:ascii="Tahoma" w:hAnsi="Tahoma" w:cs="Tahoma"/>
          <w:b w:val="0"/>
          <w:bCs w:val="0"/>
        </w:rPr>
        <w:t>pêche</w:t>
      </w:r>
      <w:r w:rsidR="00DB1635" w:rsidRPr="00B004EE">
        <w:rPr>
          <w:rFonts w:ascii="Tahoma" w:hAnsi="Tahoma" w:cs="Tahoma"/>
          <w:b w:val="0"/>
          <w:bCs w:val="0"/>
        </w:rPr>
        <w:t xml:space="preserve"> </w:t>
      </w:r>
      <w:r w:rsidR="002F24E1" w:rsidRPr="00B004EE">
        <w:rPr>
          <w:rFonts w:ascii="Tahoma" w:hAnsi="Tahoma" w:cs="Tahoma"/>
          <w:b w:val="0"/>
          <w:bCs w:val="0"/>
        </w:rPr>
        <w:t>doivent</w:t>
      </w:r>
      <w:r w:rsidR="00DB1635" w:rsidRPr="00B004EE">
        <w:rPr>
          <w:rFonts w:ascii="Tahoma" w:hAnsi="Tahoma" w:cs="Tahoma"/>
          <w:b w:val="0"/>
          <w:bCs w:val="0"/>
        </w:rPr>
        <w:t xml:space="preserve"> </w:t>
      </w:r>
      <w:r w:rsidR="002F24E1" w:rsidRPr="00B004EE">
        <w:rPr>
          <w:rFonts w:ascii="Tahoma" w:hAnsi="Tahoma" w:cs="Tahoma"/>
          <w:b w:val="0"/>
          <w:bCs w:val="0"/>
        </w:rPr>
        <w:t>être</w:t>
      </w:r>
      <w:r w:rsidR="00DB1635" w:rsidRPr="00B004EE">
        <w:rPr>
          <w:rFonts w:ascii="Tahoma" w:hAnsi="Tahoma" w:cs="Tahoma"/>
          <w:b w:val="0"/>
          <w:bCs w:val="0"/>
        </w:rPr>
        <w:t xml:space="preserve"> </w:t>
      </w:r>
      <w:r w:rsidR="002F24E1" w:rsidRPr="00B004EE">
        <w:rPr>
          <w:rFonts w:ascii="Tahoma" w:hAnsi="Tahoma" w:cs="Tahoma"/>
          <w:b w:val="0"/>
          <w:bCs w:val="0"/>
        </w:rPr>
        <w:t>réalisées</w:t>
      </w:r>
      <w:r w:rsidR="00DB1635" w:rsidRPr="00B004EE">
        <w:rPr>
          <w:rFonts w:ascii="Tahoma" w:hAnsi="Tahoma" w:cs="Tahoma"/>
          <w:b w:val="0"/>
          <w:bCs w:val="0"/>
        </w:rPr>
        <w:t xml:space="preserve"> </w:t>
      </w:r>
      <w:r w:rsidR="002F24E1" w:rsidRPr="00B004EE">
        <w:rPr>
          <w:rFonts w:ascii="Tahoma" w:hAnsi="Tahoma" w:cs="Tahoma"/>
          <w:b w:val="0"/>
          <w:bCs w:val="0"/>
        </w:rPr>
        <w:t>dans</w:t>
      </w:r>
      <w:r w:rsidR="00DB1635" w:rsidRPr="00B004EE">
        <w:rPr>
          <w:rFonts w:ascii="Tahoma" w:hAnsi="Tahoma" w:cs="Tahoma"/>
          <w:b w:val="0"/>
          <w:bCs w:val="0"/>
        </w:rPr>
        <w:t xml:space="preserve"> </w:t>
      </w:r>
      <w:r w:rsidR="002F24E1" w:rsidRPr="00B004EE">
        <w:rPr>
          <w:rFonts w:ascii="Tahoma" w:hAnsi="Tahoma" w:cs="Tahoma"/>
          <w:b w:val="0"/>
          <w:bCs w:val="0"/>
        </w:rPr>
        <w:t>des</w:t>
      </w:r>
      <w:r w:rsidR="00DB1635" w:rsidRPr="00B004EE">
        <w:rPr>
          <w:rFonts w:ascii="Tahoma" w:hAnsi="Tahoma" w:cs="Tahoma"/>
          <w:b w:val="0"/>
          <w:bCs w:val="0"/>
        </w:rPr>
        <w:t xml:space="preserve"> </w:t>
      </w:r>
      <w:r w:rsidR="002F24E1" w:rsidRPr="00B004EE">
        <w:rPr>
          <w:rFonts w:ascii="Tahoma" w:hAnsi="Tahoma" w:cs="Tahoma"/>
          <w:b w:val="0"/>
          <w:bCs w:val="0"/>
        </w:rPr>
        <w:t>établissements</w:t>
      </w:r>
      <w:r w:rsidR="00DB1635" w:rsidRPr="00B004EE">
        <w:rPr>
          <w:rFonts w:ascii="Tahoma" w:hAnsi="Tahoma" w:cs="Tahoma"/>
          <w:b w:val="0"/>
          <w:bCs w:val="0"/>
        </w:rPr>
        <w:t xml:space="preserve"> </w:t>
      </w:r>
      <w:r w:rsidR="002F24E1" w:rsidRPr="00B004EE">
        <w:rPr>
          <w:rFonts w:ascii="Tahoma" w:hAnsi="Tahoma" w:cs="Tahoma"/>
          <w:b w:val="0"/>
          <w:bCs w:val="0"/>
        </w:rPr>
        <w:t>ou</w:t>
      </w:r>
      <w:r w:rsidR="00DB1635" w:rsidRPr="00B004EE">
        <w:rPr>
          <w:rFonts w:ascii="Tahoma" w:hAnsi="Tahoma" w:cs="Tahoma"/>
          <w:b w:val="0"/>
          <w:bCs w:val="0"/>
        </w:rPr>
        <w:t xml:space="preserve"> </w:t>
      </w:r>
      <w:r w:rsidR="002F24E1" w:rsidRPr="00B004EE">
        <w:rPr>
          <w:rFonts w:ascii="Tahoma" w:hAnsi="Tahoma" w:cs="Tahoma"/>
          <w:b w:val="0"/>
          <w:bCs w:val="0"/>
        </w:rPr>
        <w:t>à</w:t>
      </w:r>
      <w:r w:rsidR="00DB1635" w:rsidRPr="00B004EE">
        <w:rPr>
          <w:rFonts w:ascii="Tahoma" w:hAnsi="Tahoma" w:cs="Tahoma"/>
          <w:b w:val="0"/>
          <w:bCs w:val="0"/>
        </w:rPr>
        <w:t xml:space="preserve"> </w:t>
      </w:r>
      <w:r w:rsidR="002F24E1" w:rsidRPr="00B004EE">
        <w:rPr>
          <w:rFonts w:ascii="Tahoma" w:hAnsi="Tahoma" w:cs="Tahoma"/>
          <w:b w:val="0"/>
          <w:bCs w:val="0"/>
        </w:rPr>
        <w:t>bord</w:t>
      </w:r>
      <w:r w:rsidR="00DB1635" w:rsidRPr="00B004EE">
        <w:rPr>
          <w:rFonts w:ascii="Tahoma" w:hAnsi="Tahoma" w:cs="Tahoma"/>
          <w:b w:val="0"/>
          <w:bCs w:val="0"/>
        </w:rPr>
        <w:t xml:space="preserve"> </w:t>
      </w:r>
      <w:r w:rsidR="002F24E1" w:rsidRPr="00B004EE">
        <w:rPr>
          <w:rFonts w:ascii="Tahoma" w:hAnsi="Tahoma" w:cs="Tahoma"/>
          <w:b w:val="0"/>
          <w:bCs w:val="0"/>
        </w:rPr>
        <w:t>de</w:t>
      </w:r>
      <w:r w:rsidR="00DB1635" w:rsidRPr="00B004EE">
        <w:rPr>
          <w:rFonts w:ascii="Tahoma" w:hAnsi="Tahoma" w:cs="Tahoma"/>
          <w:b w:val="0"/>
          <w:bCs w:val="0"/>
        </w:rPr>
        <w:t xml:space="preserve"> </w:t>
      </w:r>
      <w:r w:rsidR="002F24E1" w:rsidRPr="00B004EE">
        <w:rPr>
          <w:rFonts w:ascii="Tahoma" w:hAnsi="Tahoma" w:cs="Tahoma"/>
          <w:b w:val="0"/>
          <w:bCs w:val="0"/>
        </w:rPr>
        <w:t>navires</w:t>
      </w:r>
      <w:r w:rsidR="00DB1635" w:rsidRPr="00B004EE">
        <w:rPr>
          <w:rFonts w:ascii="Tahoma" w:hAnsi="Tahoma" w:cs="Tahoma"/>
          <w:b w:val="0"/>
          <w:bCs w:val="0"/>
        </w:rPr>
        <w:t xml:space="preserve"> </w:t>
      </w:r>
      <w:r w:rsidR="002F24E1" w:rsidRPr="00B004EE">
        <w:rPr>
          <w:rFonts w:ascii="Tahoma" w:hAnsi="Tahoma" w:cs="Tahoma"/>
          <w:b w:val="0"/>
          <w:bCs w:val="0"/>
        </w:rPr>
        <w:t>autorisés</w:t>
      </w:r>
      <w:r w:rsidR="00DB1635" w:rsidRPr="00B004EE">
        <w:rPr>
          <w:rFonts w:ascii="Tahoma" w:hAnsi="Tahoma" w:cs="Tahoma"/>
          <w:b w:val="0"/>
          <w:bCs w:val="0"/>
        </w:rPr>
        <w:t xml:space="preserve"> </w:t>
      </w:r>
      <w:r w:rsidR="002F24E1" w:rsidRPr="00B004EE">
        <w:rPr>
          <w:rFonts w:ascii="Tahoma" w:hAnsi="Tahoma" w:cs="Tahoma"/>
          <w:b w:val="0"/>
          <w:bCs w:val="0"/>
        </w:rPr>
        <w:t>et</w:t>
      </w:r>
      <w:r w:rsidR="00DB1635" w:rsidRPr="00B004EE">
        <w:rPr>
          <w:rFonts w:ascii="Tahoma" w:hAnsi="Tahoma" w:cs="Tahoma"/>
          <w:b w:val="0"/>
          <w:bCs w:val="0"/>
        </w:rPr>
        <w:t xml:space="preserve"> </w:t>
      </w:r>
      <w:r w:rsidR="002F24E1" w:rsidRPr="00B004EE">
        <w:rPr>
          <w:rFonts w:ascii="Tahoma" w:hAnsi="Tahoma" w:cs="Tahoma"/>
          <w:b w:val="0"/>
          <w:bCs w:val="0"/>
        </w:rPr>
        <w:t>répertoriés</w:t>
      </w:r>
      <w:r w:rsidR="00DB1635" w:rsidRPr="00B004EE">
        <w:rPr>
          <w:rFonts w:ascii="Tahoma" w:hAnsi="Tahoma" w:cs="Tahoma"/>
          <w:b w:val="0"/>
          <w:bCs w:val="0"/>
        </w:rPr>
        <w:t xml:space="preserve"> </w:t>
      </w:r>
      <w:r w:rsidR="002F24E1" w:rsidRPr="00B004EE">
        <w:rPr>
          <w:rFonts w:ascii="Tahoma" w:hAnsi="Tahoma" w:cs="Tahoma"/>
          <w:b w:val="0"/>
          <w:bCs w:val="0"/>
        </w:rPr>
        <w:t>par</w:t>
      </w:r>
      <w:r w:rsidR="00DB1635" w:rsidRPr="00B004EE">
        <w:rPr>
          <w:rFonts w:ascii="Tahoma" w:hAnsi="Tahoma" w:cs="Tahoma"/>
          <w:b w:val="0"/>
          <w:bCs w:val="0"/>
        </w:rPr>
        <w:t xml:space="preserve"> </w:t>
      </w:r>
      <w:r w:rsidR="002F24E1" w:rsidRPr="00B004EE">
        <w:rPr>
          <w:rFonts w:ascii="Tahoma" w:hAnsi="Tahoma" w:cs="Tahoma"/>
          <w:b w:val="0"/>
          <w:bCs w:val="0"/>
        </w:rPr>
        <w:t>le</w:t>
      </w:r>
      <w:r w:rsidR="00DB1635" w:rsidRPr="00B004EE">
        <w:rPr>
          <w:rFonts w:ascii="Tahoma" w:hAnsi="Tahoma" w:cs="Tahoma"/>
          <w:b w:val="0"/>
          <w:bCs w:val="0"/>
        </w:rPr>
        <w:t xml:space="preserve"> </w:t>
      </w:r>
      <w:r w:rsidR="002F24E1" w:rsidRPr="00B004EE">
        <w:rPr>
          <w:rFonts w:ascii="Tahoma" w:hAnsi="Tahoma" w:cs="Tahoma"/>
          <w:b w:val="0"/>
          <w:bCs w:val="0"/>
        </w:rPr>
        <w:t>Ministre</w:t>
      </w:r>
      <w:r w:rsidR="00DB1635" w:rsidRPr="00B004EE">
        <w:rPr>
          <w:rFonts w:ascii="Tahoma" w:hAnsi="Tahoma" w:cs="Tahoma"/>
          <w:b w:val="0"/>
          <w:bCs w:val="0"/>
        </w:rPr>
        <w:t xml:space="preserve"> </w:t>
      </w:r>
      <w:r w:rsidR="002F24E1" w:rsidRPr="00B004EE">
        <w:rPr>
          <w:rFonts w:ascii="Tahoma" w:hAnsi="Tahoma" w:cs="Tahoma"/>
          <w:b w:val="0"/>
          <w:bCs w:val="0"/>
        </w:rPr>
        <w:t>chargé</w:t>
      </w:r>
      <w:r w:rsidR="00DB1635" w:rsidRPr="00B004EE">
        <w:rPr>
          <w:rFonts w:ascii="Tahoma" w:hAnsi="Tahoma" w:cs="Tahoma"/>
          <w:b w:val="0"/>
          <w:bCs w:val="0"/>
        </w:rPr>
        <w:t xml:space="preserve"> </w:t>
      </w:r>
      <w:r w:rsidR="002F24E1" w:rsidRPr="00B004EE">
        <w:rPr>
          <w:rFonts w:ascii="Tahoma" w:hAnsi="Tahoma" w:cs="Tahoma"/>
          <w:b w:val="0"/>
          <w:bCs w:val="0"/>
        </w:rPr>
        <w:t>des</w:t>
      </w:r>
      <w:r w:rsidR="00DB1635" w:rsidRPr="00B004EE">
        <w:rPr>
          <w:rFonts w:ascii="Tahoma" w:hAnsi="Tahoma" w:cs="Tahoma"/>
          <w:b w:val="0"/>
          <w:bCs w:val="0"/>
        </w:rPr>
        <w:t xml:space="preserve"> </w:t>
      </w:r>
      <w:r w:rsidR="002F24E1" w:rsidRPr="00B004EE">
        <w:rPr>
          <w:rFonts w:ascii="Tahoma" w:hAnsi="Tahoma" w:cs="Tahoma"/>
          <w:b w:val="0"/>
          <w:bCs w:val="0"/>
        </w:rPr>
        <w:t>pêches.</w:t>
      </w:r>
    </w:p>
    <w:p w14:paraId="3640C202" w14:textId="77777777" w:rsidR="002F24E1" w:rsidRPr="00B004EE" w:rsidRDefault="002F24E1" w:rsidP="00B004EE">
      <w:pPr>
        <w:pStyle w:val="Lgende"/>
        <w:jc w:val="both"/>
        <w:rPr>
          <w:rFonts w:ascii="Tahoma" w:hAnsi="Tahoma" w:cs="Tahoma"/>
          <w:b w:val="0"/>
          <w:bCs w:val="0"/>
          <w:i/>
          <w:iCs/>
        </w:rPr>
      </w:pPr>
    </w:p>
    <w:p w14:paraId="6D5FA67C" w14:textId="452ECC67" w:rsidR="002F24E1" w:rsidRPr="00B004EE" w:rsidRDefault="00561F81" w:rsidP="00B004EE">
      <w:pPr>
        <w:pStyle w:val="Lgende"/>
        <w:jc w:val="both"/>
        <w:rPr>
          <w:rFonts w:ascii="Tahoma" w:hAnsi="Tahoma" w:cs="Tahoma"/>
          <w:b w:val="0"/>
          <w:bCs w:val="0"/>
        </w:rPr>
      </w:pPr>
      <w:r w:rsidRPr="00B004EE">
        <w:rPr>
          <w:rFonts w:ascii="Tahoma" w:hAnsi="Tahoma" w:cs="Tahoma"/>
          <w:b w:val="0"/>
          <w:bCs w:val="0"/>
        </w:rPr>
        <w:t xml:space="preserve">Article </w:t>
      </w:r>
      <w:r w:rsidR="002F24E1" w:rsidRPr="00B004EE">
        <w:rPr>
          <w:rFonts w:ascii="Tahoma" w:hAnsi="Tahoma" w:cs="Tahoma"/>
          <w:b w:val="0"/>
          <w:bCs w:val="0"/>
        </w:rPr>
        <w:t>3</w:t>
      </w:r>
      <w:r w:rsidR="00DB1635" w:rsidRPr="00B004EE">
        <w:rPr>
          <w:rFonts w:ascii="Tahoma" w:hAnsi="Tahoma" w:cs="Tahoma"/>
          <w:b w:val="0"/>
          <w:bCs w:val="0"/>
        </w:rPr>
        <w:t xml:space="preserve"> </w:t>
      </w:r>
      <w:r w:rsidR="002F24E1" w:rsidRPr="00B004EE">
        <w:rPr>
          <w:rFonts w:ascii="Tahoma" w:hAnsi="Tahoma" w:cs="Tahoma"/>
          <w:b w:val="0"/>
          <w:bCs w:val="0"/>
        </w:rPr>
        <w:t>:</w:t>
      </w:r>
      <w:r w:rsidR="00DB1635" w:rsidRPr="00B004EE">
        <w:rPr>
          <w:rFonts w:ascii="Tahoma" w:hAnsi="Tahoma" w:cs="Tahoma"/>
          <w:b w:val="0"/>
          <w:bCs w:val="0"/>
        </w:rPr>
        <w:t xml:space="preserve"> </w:t>
      </w:r>
      <w:r w:rsidR="002F24E1" w:rsidRPr="00B004EE">
        <w:rPr>
          <w:rFonts w:ascii="Tahoma" w:hAnsi="Tahoma" w:cs="Tahoma"/>
          <w:b w:val="0"/>
          <w:bCs w:val="0"/>
        </w:rPr>
        <w:t>L'inspection</w:t>
      </w:r>
      <w:r w:rsidR="00DB1635" w:rsidRPr="00B004EE">
        <w:rPr>
          <w:rFonts w:ascii="Tahoma" w:hAnsi="Tahoma" w:cs="Tahoma"/>
          <w:b w:val="0"/>
          <w:bCs w:val="0"/>
        </w:rPr>
        <w:t xml:space="preserve"> </w:t>
      </w:r>
      <w:r w:rsidR="002F24E1" w:rsidRPr="00B004EE">
        <w:rPr>
          <w:rFonts w:ascii="Tahoma" w:hAnsi="Tahoma" w:cs="Tahoma"/>
          <w:b w:val="0"/>
          <w:bCs w:val="0"/>
        </w:rPr>
        <w:t>sanitaire</w:t>
      </w:r>
      <w:r w:rsidR="00DB1635" w:rsidRPr="00B004EE">
        <w:rPr>
          <w:rFonts w:ascii="Tahoma" w:hAnsi="Tahoma" w:cs="Tahoma"/>
          <w:b w:val="0"/>
          <w:bCs w:val="0"/>
        </w:rPr>
        <w:t xml:space="preserve"> </w:t>
      </w:r>
      <w:r w:rsidR="002F24E1" w:rsidRPr="00B004EE">
        <w:rPr>
          <w:rFonts w:ascii="Tahoma" w:hAnsi="Tahoma" w:cs="Tahoma"/>
          <w:b w:val="0"/>
          <w:bCs w:val="0"/>
        </w:rPr>
        <w:t>et</w:t>
      </w:r>
      <w:r w:rsidR="00DB1635" w:rsidRPr="00B004EE">
        <w:rPr>
          <w:rFonts w:ascii="Tahoma" w:hAnsi="Tahoma" w:cs="Tahoma"/>
          <w:b w:val="0"/>
          <w:bCs w:val="0"/>
        </w:rPr>
        <w:t xml:space="preserve"> </w:t>
      </w:r>
      <w:r w:rsidR="002F24E1" w:rsidRPr="00B004EE">
        <w:rPr>
          <w:rFonts w:ascii="Tahoma" w:hAnsi="Tahoma" w:cs="Tahoma"/>
          <w:b w:val="0"/>
          <w:bCs w:val="0"/>
        </w:rPr>
        <w:t>le</w:t>
      </w:r>
      <w:r w:rsidR="00DB1635" w:rsidRPr="00B004EE">
        <w:rPr>
          <w:rFonts w:ascii="Tahoma" w:hAnsi="Tahoma" w:cs="Tahoma"/>
          <w:b w:val="0"/>
          <w:bCs w:val="0"/>
        </w:rPr>
        <w:t xml:space="preserve"> </w:t>
      </w:r>
      <w:r w:rsidR="002F24E1" w:rsidRPr="00B004EE">
        <w:rPr>
          <w:rFonts w:ascii="Tahoma" w:hAnsi="Tahoma" w:cs="Tahoma"/>
          <w:b w:val="0"/>
          <w:bCs w:val="0"/>
        </w:rPr>
        <w:t>contrôle</w:t>
      </w:r>
      <w:r w:rsidR="00DB1635" w:rsidRPr="00B004EE">
        <w:rPr>
          <w:rFonts w:ascii="Tahoma" w:hAnsi="Tahoma" w:cs="Tahoma"/>
          <w:b w:val="0"/>
          <w:bCs w:val="0"/>
        </w:rPr>
        <w:t xml:space="preserve"> </w:t>
      </w:r>
      <w:r w:rsidR="002F24E1" w:rsidRPr="00B004EE">
        <w:rPr>
          <w:rFonts w:ascii="Tahoma" w:hAnsi="Tahoma" w:cs="Tahoma"/>
          <w:b w:val="0"/>
          <w:bCs w:val="0"/>
        </w:rPr>
        <w:t>en</w:t>
      </w:r>
      <w:r w:rsidR="00DB1635" w:rsidRPr="00B004EE">
        <w:rPr>
          <w:rFonts w:ascii="Tahoma" w:hAnsi="Tahoma" w:cs="Tahoma"/>
          <w:b w:val="0"/>
          <w:bCs w:val="0"/>
        </w:rPr>
        <w:t xml:space="preserve"> </w:t>
      </w:r>
      <w:r w:rsidR="002F24E1" w:rsidRPr="00B004EE">
        <w:rPr>
          <w:rFonts w:ascii="Tahoma" w:hAnsi="Tahoma" w:cs="Tahoma"/>
          <w:b w:val="0"/>
          <w:bCs w:val="0"/>
        </w:rPr>
        <w:t>tout</w:t>
      </w:r>
      <w:r w:rsidR="00DB1635" w:rsidRPr="00B004EE">
        <w:rPr>
          <w:rFonts w:ascii="Tahoma" w:hAnsi="Tahoma" w:cs="Tahoma"/>
          <w:b w:val="0"/>
          <w:bCs w:val="0"/>
        </w:rPr>
        <w:t xml:space="preserve"> </w:t>
      </w:r>
      <w:r w:rsidR="002F24E1" w:rsidRPr="00B004EE">
        <w:rPr>
          <w:rFonts w:ascii="Tahoma" w:hAnsi="Tahoma" w:cs="Tahoma"/>
          <w:b w:val="0"/>
          <w:bCs w:val="0"/>
        </w:rPr>
        <w:t>lieu</w:t>
      </w:r>
      <w:r w:rsidR="00DB1635" w:rsidRPr="00B004EE">
        <w:rPr>
          <w:rFonts w:ascii="Tahoma" w:hAnsi="Tahoma" w:cs="Tahoma"/>
          <w:b w:val="0"/>
          <w:bCs w:val="0"/>
        </w:rPr>
        <w:t xml:space="preserve"> </w:t>
      </w:r>
      <w:r w:rsidR="002F24E1" w:rsidRPr="00B004EE">
        <w:rPr>
          <w:rFonts w:ascii="Tahoma" w:hAnsi="Tahoma" w:cs="Tahoma"/>
          <w:b w:val="0"/>
          <w:bCs w:val="0"/>
        </w:rPr>
        <w:t>de</w:t>
      </w:r>
      <w:r w:rsidR="00DB1635" w:rsidRPr="00B004EE">
        <w:rPr>
          <w:rFonts w:ascii="Tahoma" w:hAnsi="Tahoma" w:cs="Tahoma"/>
          <w:b w:val="0"/>
          <w:bCs w:val="0"/>
        </w:rPr>
        <w:t xml:space="preserve"> </w:t>
      </w:r>
      <w:r w:rsidR="002F24E1" w:rsidRPr="00B004EE">
        <w:rPr>
          <w:rFonts w:ascii="Tahoma" w:hAnsi="Tahoma" w:cs="Tahoma"/>
          <w:b w:val="0"/>
          <w:bCs w:val="0"/>
        </w:rPr>
        <w:t>production,</w:t>
      </w:r>
      <w:r w:rsidR="00DB1635" w:rsidRPr="00B004EE">
        <w:rPr>
          <w:rFonts w:ascii="Tahoma" w:hAnsi="Tahoma" w:cs="Tahoma"/>
          <w:b w:val="0"/>
          <w:bCs w:val="0"/>
        </w:rPr>
        <w:t xml:space="preserve"> </w:t>
      </w:r>
      <w:r w:rsidR="002F24E1" w:rsidRPr="00B004EE">
        <w:rPr>
          <w:rFonts w:ascii="Tahoma" w:hAnsi="Tahoma" w:cs="Tahoma"/>
          <w:b w:val="0"/>
          <w:bCs w:val="0"/>
        </w:rPr>
        <w:t>manipulation,</w:t>
      </w:r>
      <w:r w:rsidR="00DB1635" w:rsidRPr="00B004EE">
        <w:rPr>
          <w:rFonts w:ascii="Tahoma" w:hAnsi="Tahoma" w:cs="Tahoma"/>
          <w:b w:val="0"/>
          <w:bCs w:val="0"/>
        </w:rPr>
        <w:t xml:space="preserve"> </w:t>
      </w:r>
      <w:r w:rsidR="002F24E1" w:rsidRPr="00B004EE">
        <w:rPr>
          <w:rFonts w:ascii="Tahoma" w:hAnsi="Tahoma" w:cs="Tahoma"/>
          <w:b w:val="0"/>
          <w:bCs w:val="0"/>
        </w:rPr>
        <w:t>transformation,</w:t>
      </w:r>
      <w:r w:rsidR="00DB1635" w:rsidRPr="00B004EE">
        <w:rPr>
          <w:rFonts w:ascii="Tahoma" w:hAnsi="Tahoma" w:cs="Tahoma"/>
          <w:b w:val="0"/>
          <w:bCs w:val="0"/>
        </w:rPr>
        <w:t xml:space="preserve"> </w:t>
      </w:r>
      <w:r w:rsidR="002F24E1" w:rsidRPr="00B004EE">
        <w:rPr>
          <w:rFonts w:ascii="Tahoma" w:hAnsi="Tahoma" w:cs="Tahoma"/>
          <w:b w:val="0"/>
          <w:bCs w:val="0"/>
        </w:rPr>
        <w:t>conditionnement</w:t>
      </w:r>
      <w:r w:rsidR="00DB1635" w:rsidRPr="00B004EE">
        <w:rPr>
          <w:rFonts w:ascii="Tahoma" w:hAnsi="Tahoma" w:cs="Tahoma"/>
          <w:b w:val="0"/>
          <w:bCs w:val="0"/>
        </w:rPr>
        <w:t xml:space="preserve"> </w:t>
      </w:r>
      <w:r w:rsidR="002F24E1" w:rsidRPr="00B004EE">
        <w:rPr>
          <w:rFonts w:ascii="Tahoma" w:hAnsi="Tahoma" w:cs="Tahoma"/>
          <w:b w:val="0"/>
          <w:bCs w:val="0"/>
        </w:rPr>
        <w:t>et</w:t>
      </w:r>
      <w:r w:rsidR="00DB1635" w:rsidRPr="00B004EE">
        <w:rPr>
          <w:rFonts w:ascii="Tahoma" w:hAnsi="Tahoma" w:cs="Tahoma"/>
          <w:b w:val="0"/>
          <w:bCs w:val="0"/>
        </w:rPr>
        <w:t xml:space="preserve"> </w:t>
      </w:r>
      <w:r w:rsidR="002F24E1" w:rsidRPr="00B004EE">
        <w:rPr>
          <w:rFonts w:ascii="Tahoma" w:hAnsi="Tahoma" w:cs="Tahoma"/>
          <w:b w:val="0"/>
          <w:bCs w:val="0"/>
        </w:rPr>
        <w:t>distribution</w:t>
      </w:r>
      <w:r w:rsidR="00DB1635" w:rsidRPr="00B004EE">
        <w:rPr>
          <w:rFonts w:ascii="Tahoma" w:hAnsi="Tahoma" w:cs="Tahoma"/>
          <w:b w:val="0"/>
          <w:bCs w:val="0"/>
        </w:rPr>
        <w:t xml:space="preserve"> </w:t>
      </w:r>
      <w:r w:rsidR="002F24E1" w:rsidRPr="00B004EE">
        <w:rPr>
          <w:rFonts w:ascii="Tahoma" w:hAnsi="Tahoma" w:cs="Tahoma"/>
          <w:b w:val="0"/>
          <w:bCs w:val="0"/>
        </w:rPr>
        <w:t>des</w:t>
      </w:r>
      <w:r w:rsidR="00DB1635" w:rsidRPr="00B004EE">
        <w:rPr>
          <w:rFonts w:ascii="Tahoma" w:hAnsi="Tahoma" w:cs="Tahoma"/>
          <w:b w:val="0"/>
          <w:bCs w:val="0"/>
        </w:rPr>
        <w:t xml:space="preserve"> </w:t>
      </w:r>
      <w:r w:rsidR="002F24E1" w:rsidRPr="00B004EE">
        <w:rPr>
          <w:rFonts w:ascii="Tahoma" w:hAnsi="Tahoma" w:cs="Tahoma"/>
          <w:b w:val="0"/>
          <w:bCs w:val="0"/>
        </w:rPr>
        <w:t>produits</w:t>
      </w:r>
      <w:r w:rsidR="00DB1635" w:rsidRPr="00B004EE">
        <w:rPr>
          <w:rFonts w:ascii="Tahoma" w:hAnsi="Tahoma" w:cs="Tahoma"/>
          <w:b w:val="0"/>
          <w:bCs w:val="0"/>
        </w:rPr>
        <w:t xml:space="preserve"> </w:t>
      </w:r>
      <w:r w:rsidR="002F24E1" w:rsidRPr="00B004EE">
        <w:rPr>
          <w:rFonts w:ascii="Tahoma" w:hAnsi="Tahoma" w:cs="Tahoma"/>
          <w:b w:val="0"/>
          <w:bCs w:val="0"/>
        </w:rPr>
        <w:t>de</w:t>
      </w:r>
      <w:r w:rsidR="00DB1635" w:rsidRPr="00B004EE">
        <w:rPr>
          <w:rFonts w:ascii="Tahoma" w:hAnsi="Tahoma" w:cs="Tahoma"/>
          <w:b w:val="0"/>
          <w:bCs w:val="0"/>
        </w:rPr>
        <w:t xml:space="preserve"> </w:t>
      </w:r>
      <w:r w:rsidR="002F24E1" w:rsidRPr="00B004EE">
        <w:rPr>
          <w:rFonts w:ascii="Tahoma" w:hAnsi="Tahoma" w:cs="Tahoma"/>
          <w:b w:val="0"/>
          <w:bCs w:val="0"/>
        </w:rPr>
        <w:t>la</w:t>
      </w:r>
      <w:r w:rsidR="00DB1635" w:rsidRPr="00B004EE">
        <w:rPr>
          <w:rFonts w:ascii="Tahoma" w:hAnsi="Tahoma" w:cs="Tahoma"/>
          <w:b w:val="0"/>
          <w:bCs w:val="0"/>
        </w:rPr>
        <w:t xml:space="preserve"> </w:t>
      </w:r>
      <w:r w:rsidR="002F24E1" w:rsidRPr="00B004EE">
        <w:rPr>
          <w:rFonts w:ascii="Tahoma" w:hAnsi="Tahoma" w:cs="Tahoma"/>
          <w:b w:val="0"/>
          <w:bCs w:val="0"/>
        </w:rPr>
        <w:t>pêche</w:t>
      </w:r>
      <w:r w:rsidR="00DB1635" w:rsidRPr="00B004EE">
        <w:rPr>
          <w:rFonts w:ascii="Tahoma" w:hAnsi="Tahoma" w:cs="Tahoma"/>
          <w:b w:val="0"/>
          <w:bCs w:val="0"/>
        </w:rPr>
        <w:t xml:space="preserve"> </w:t>
      </w:r>
      <w:r w:rsidR="002F24E1" w:rsidRPr="00B004EE">
        <w:rPr>
          <w:rFonts w:ascii="Tahoma" w:hAnsi="Tahoma" w:cs="Tahoma"/>
          <w:b w:val="0"/>
          <w:bCs w:val="0"/>
        </w:rPr>
        <w:t>selon</w:t>
      </w:r>
      <w:r w:rsidR="00DB1635" w:rsidRPr="00B004EE">
        <w:rPr>
          <w:rFonts w:ascii="Tahoma" w:hAnsi="Tahoma" w:cs="Tahoma"/>
          <w:b w:val="0"/>
          <w:bCs w:val="0"/>
        </w:rPr>
        <w:t xml:space="preserve"> </w:t>
      </w:r>
      <w:r w:rsidR="002F24E1" w:rsidRPr="00B004EE">
        <w:rPr>
          <w:rFonts w:ascii="Tahoma" w:hAnsi="Tahoma" w:cs="Tahoma"/>
          <w:b w:val="0"/>
          <w:bCs w:val="0"/>
        </w:rPr>
        <w:t>les</w:t>
      </w:r>
      <w:r w:rsidR="00DB1635" w:rsidRPr="00B004EE">
        <w:rPr>
          <w:rFonts w:ascii="Tahoma" w:hAnsi="Tahoma" w:cs="Tahoma"/>
          <w:b w:val="0"/>
          <w:bCs w:val="0"/>
        </w:rPr>
        <w:t xml:space="preserve"> </w:t>
      </w:r>
      <w:r w:rsidR="002F24E1" w:rsidRPr="00B004EE">
        <w:rPr>
          <w:rFonts w:ascii="Tahoma" w:hAnsi="Tahoma" w:cs="Tahoma"/>
          <w:b w:val="0"/>
          <w:bCs w:val="0"/>
        </w:rPr>
        <w:t>modalités</w:t>
      </w:r>
      <w:r w:rsidR="00DB1635" w:rsidRPr="00B004EE">
        <w:rPr>
          <w:rFonts w:ascii="Tahoma" w:hAnsi="Tahoma" w:cs="Tahoma"/>
          <w:b w:val="0"/>
          <w:bCs w:val="0"/>
        </w:rPr>
        <w:t xml:space="preserve"> </w:t>
      </w:r>
      <w:r w:rsidR="002F24E1" w:rsidRPr="00B004EE">
        <w:rPr>
          <w:rFonts w:ascii="Tahoma" w:hAnsi="Tahoma" w:cs="Tahoma"/>
          <w:b w:val="0"/>
          <w:bCs w:val="0"/>
        </w:rPr>
        <w:t>prévues</w:t>
      </w:r>
      <w:r w:rsidR="00DB1635" w:rsidRPr="00B004EE">
        <w:rPr>
          <w:rFonts w:ascii="Tahoma" w:hAnsi="Tahoma" w:cs="Tahoma"/>
          <w:b w:val="0"/>
          <w:bCs w:val="0"/>
        </w:rPr>
        <w:t xml:space="preserve"> </w:t>
      </w:r>
      <w:r w:rsidR="002F24E1" w:rsidRPr="00B004EE">
        <w:rPr>
          <w:rFonts w:ascii="Tahoma" w:hAnsi="Tahoma" w:cs="Tahoma"/>
          <w:b w:val="0"/>
          <w:bCs w:val="0"/>
        </w:rPr>
        <w:t>au</w:t>
      </w:r>
      <w:r w:rsidR="00DB1635" w:rsidRPr="00B004EE">
        <w:rPr>
          <w:rFonts w:ascii="Tahoma" w:hAnsi="Tahoma" w:cs="Tahoma"/>
          <w:b w:val="0"/>
          <w:bCs w:val="0"/>
        </w:rPr>
        <w:t xml:space="preserve"> </w:t>
      </w:r>
      <w:r w:rsidR="002F24E1" w:rsidRPr="00B004EE">
        <w:rPr>
          <w:rFonts w:ascii="Tahoma" w:hAnsi="Tahoma" w:cs="Tahoma"/>
          <w:b w:val="0"/>
          <w:bCs w:val="0"/>
        </w:rPr>
        <w:t>décret</w:t>
      </w:r>
      <w:r w:rsidR="00DB1635" w:rsidRPr="00B004EE">
        <w:rPr>
          <w:rFonts w:ascii="Tahoma" w:hAnsi="Tahoma" w:cs="Tahoma"/>
          <w:b w:val="0"/>
          <w:bCs w:val="0"/>
        </w:rPr>
        <w:t xml:space="preserve"> </w:t>
      </w:r>
      <w:r w:rsidR="002F24E1" w:rsidRPr="00B004EE">
        <w:rPr>
          <w:rFonts w:ascii="Tahoma" w:hAnsi="Tahoma" w:cs="Tahoma"/>
          <w:b w:val="0"/>
          <w:bCs w:val="0"/>
        </w:rPr>
        <w:t>n°</w:t>
      </w:r>
      <w:r w:rsidR="00DB1635" w:rsidRPr="00B004EE">
        <w:rPr>
          <w:rFonts w:ascii="Tahoma" w:hAnsi="Tahoma" w:cs="Tahoma"/>
          <w:b w:val="0"/>
          <w:bCs w:val="0"/>
        </w:rPr>
        <w:t xml:space="preserve"> </w:t>
      </w:r>
      <w:r w:rsidR="002F24E1" w:rsidRPr="00B004EE">
        <w:rPr>
          <w:rFonts w:ascii="Tahoma" w:hAnsi="Tahoma" w:cs="Tahoma"/>
          <w:b w:val="0"/>
          <w:bCs w:val="0"/>
        </w:rPr>
        <w:t>81/62</w:t>
      </w:r>
      <w:r w:rsidR="00DB1635" w:rsidRPr="00B004EE">
        <w:rPr>
          <w:rFonts w:ascii="Tahoma" w:hAnsi="Tahoma" w:cs="Tahoma"/>
          <w:b w:val="0"/>
          <w:bCs w:val="0"/>
        </w:rPr>
        <w:t xml:space="preserve"> </w:t>
      </w:r>
      <w:r w:rsidR="002F24E1" w:rsidRPr="00B004EE">
        <w:rPr>
          <w:rFonts w:ascii="Tahoma" w:hAnsi="Tahoma" w:cs="Tahoma"/>
          <w:b w:val="0"/>
          <w:bCs w:val="0"/>
        </w:rPr>
        <w:t>du</w:t>
      </w:r>
      <w:r w:rsidR="00DB1635" w:rsidRPr="00B004EE">
        <w:rPr>
          <w:rFonts w:ascii="Tahoma" w:hAnsi="Tahoma" w:cs="Tahoma"/>
          <w:b w:val="0"/>
          <w:bCs w:val="0"/>
        </w:rPr>
        <w:t xml:space="preserve"> </w:t>
      </w:r>
      <w:r w:rsidR="002F24E1" w:rsidRPr="00B004EE">
        <w:rPr>
          <w:rFonts w:ascii="Tahoma" w:hAnsi="Tahoma" w:cs="Tahoma"/>
          <w:b w:val="0"/>
          <w:bCs w:val="0"/>
        </w:rPr>
        <w:t>2</w:t>
      </w:r>
      <w:r w:rsidR="00DB1635" w:rsidRPr="00B004EE">
        <w:rPr>
          <w:rFonts w:ascii="Tahoma" w:hAnsi="Tahoma" w:cs="Tahoma"/>
          <w:b w:val="0"/>
          <w:bCs w:val="0"/>
        </w:rPr>
        <w:t xml:space="preserve"> </w:t>
      </w:r>
      <w:r w:rsidR="002F24E1" w:rsidRPr="00B004EE">
        <w:rPr>
          <w:rFonts w:ascii="Tahoma" w:hAnsi="Tahoma" w:cs="Tahoma"/>
          <w:b w:val="0"/>
          <w:bCs w:val="0"/>
        </w:rPr>
        <w:t>avril</w:t>
      </w:r>
      <w:r w:rsidR="00DB1635" w:rsidRPr="00B004EE">
        <w:rPr>
          <w:rFonts w:ascii="Tahoma" w:hAnsi="Tahoma" w:cs="Tahoma"/>
          <w:b w:val="0"/>
          <w:bCs w:val="0"/>
        </w:rPr>
        <w:t xml:space="preserve"> </w:t>
      </w:r>
      <w:r w:rsidR="002F24E1" w:rsidRPr="00B004EE">
        <w:rPr>
          <w:rFonts w:ascii="Tahoma" w:hAnsi="Tahoma" w:cs="Tahoma"/>
          <w:b w:val="0"/>
          <w:bCs w:val="0"/>
        </w:rPr>
        <w:t>1981.</w:t>
      </w:r>
    </w:p>
    <w:p w14:paraId="0982C222" w14:textId="77777777" w:rsidR="002F24E1" w:rsidRPr="00B004EE" w:rsidRDefault="002F24E1" w:rsidP="00B004EE">
      <w:pPr>
        <w:pStyle w:val="Lgende"/>
        <w:jc w:val="both"/>
        <w:rPr>
          <w:rFonts w:ascii="Tahoma" w:hAnsi="Tahoma" w:cs="Tahoma"/>
          <w:b w:val="0"/>
          <w:bCs w:val="0"/>
        </w:rPr>
      </w:pPr>
    </w:p>
    <w:p w14:paraId="785E5928" w14:textId="0FD61013" w:rsidR="002F24E1" w:rsidRPr="00B004EE" w:rsidRDefault="00561F81" w:rsidP="00B004EE">
      <w:pPr>
        <w:pStyle w:val="Lgende"/>
        <w:jc w:val="both"/>
        <w:rPr>
          <w:rFonts w:ascii="Tahoma" w:hAnsi="Tahoma" w:cs="Tahoma"/>
          <w:b w:val="0"/>
          <w:bCs w:val="0"/>
        </w:rPr>
      </w:pPr>
      <w:r w:rsidRPr="00B004EE">
        <w:rPr>
          <w:rFonts w:ascii="Tahoma" w:hAnsi="Tahoma" w:cs="Tahoma"/>
          <w:b w:val="0"/>
          <w:bCs w:val="0"/>
        </w:rPr>
        <w:t xml:space="preserve">Article </w:t>
      </w:r>
      <w:r w:rsidR="002F24E1" w:rsidRPr="00B004EE">
        <w:rPr>
          <w:rFonts w:ascii="Tahoma" w:hAnsi="Tahoma" w:cs="Tahoma"/>
          <w:b w:val="0"/>
          <w:bCs w:val="0"/>
        </w:rPr>
        <w:t>4</w:t>
      </w:r>
      <w:r w:rsidR="00DB1635" w:rsidRPr="00B004EE">
        <w:rPr>
          <w:rFonts w:ascii="Tahoma" w:hAnsi="Tahoma" w:cs="Tahoma"/>
          <w:b w:val="0"/>
          <w:bCs w:val="0"/>
        </w:rPr>
        <w:t xml:space="preserve"> </w:t>
      </w:r>
      <w:r w:rsidR="002F24E1" w:rsidRPr="00B004EE">
        <w:rPr>
          <w:rFonts w:ascii="Tahoma" w:hAnsi="Tahoma" w:cs="Tahoma"/>
          <w:b w:val="0"/>
          <w:bCs w:val="0"/>
        </w:rPr>
        <w:t>:</w:t>
      </w:r>
      <w:r w:rsidR="00DB1635" w:rsidRPr="00B004EE">
        <w:rPr>
          <w:rFonts w:ascii="Tahoma" w:hAnsi="Tahoma" w:cs="Tahoma"/>
          <w:b w:val="0"/>
          <w:bCs w:val="0"/>
        </w:rPr>
        <w:t xml:space="preserve"> </w:t>
      </w:r>
      <w:r w:rsidR="002F24E1" w:rsidRPr="00B004EE">
        <w:rPr>
          <w:rFonts w:ascii="Tahoma" w:hAnsi="Tahoma" w:cs="Tahoma"/>
          <w:b w:val="0"/>
          <w:bCs w:val="0"/>
        </w:rPr>
        <w:t>Les</w:t>
      </w:r>
      <w:r w:rsidR="00DB1635" w:rsidRPr="00B004EE">
        <w:rPr>
          <w:rFonts w:ascii="Tahoma" w:hAnsi="Tahoma" w:cs="Tahoma"/>
          <w:b w:val="0"/>
          <w:bCs w:val="0"/>
        </w:rPr>
        <w:t xml:space="preserve"> </w:t>
      </w:r>
      <w:r w:rsidR="002F24E1" w:rsidRPr="00B004EE">
        <w:rPr>
          <w:rFonts w:ascii="Tahoma" w:hAnsi="Tahoma" w:cs="Tahoma"/>
          <w:b w:val="0"/>
          <w:bCs w:val="0"/>
        </w:rPr>
        <w:t>normes</w:t>
      </w:r>
      <w:r w:rsidR="00DB1635" w:rsidRPr="00B004EE">
        <w:rPr>
          <w:rFonts w:ascii="Tahoma" w:hAnsi="Tahoma" w:cs="Tahoma"/>
          <w:b w:val="0"/>
          <w:bCs w:val="0"/>
        </w:rPr>
        <w:t xml:space="preserve"> </w:t>
      </w:r>
      <w:r w:rsidR="002F24E1" w:rsidRPr="00B004EE">
        <w:rPr>
          <w:rFonts w:ascii="Tahoma" w:hAnsi="Tahoma" w:cs="Tahoma"/>
          <w:b w:val="0"/>
          <w:bCs w:val="0"/>
        </w:rPr>
        <w:t>d'hygiène</w:t>
      </w:r>
      <w:r w:rsidR="00DB1635" w:rsidRPr="00B004EE">
        <w:rPr>
          <w:rFonts w:ascii="Tahoma" w:hAnsi="Tahoma" w:cs="Tahoma"/>
          <w:b w:val="0"/>
          <w:bCs w:val="0"/>
        </w:rPr>
        <w:t xml:space="preserve"> </w:t>
      </w:r>
      <w:r w:rsidR="002F24E1" w:rsidRPr="00B004EE">
        <w:rPr>
          <w:rFonts w:ascii="Tahoma" w:hAnsi="Tahoma" w:cs="Tahoma"/>
          <w:b w:val="0"/>
          <w:bCs w:val="0"/>
        </w:rPr>
        <w:t>et</w:t>
      </w:r>
      <w:r w:rsidR="00DB1635" w:rsidRPr="00B004EE">
        <w:rPr>
          <w:rFonts w:ascii="Tahoma" w:hAnsi="Tahoma" w:cs="Tahoma"/>
          <w:b w:val="0"/>
          <w:bCs w:val="0"/>
        </w:rPr>
        <w:t xml:space="preserve"> </w:t>
      </w:r>
      <w:r w:rsidR="002F24E1" w:rsidRPr="00B004EE">
        <w:rPr>
          <w:rFonts w:ascii="Tahoma" w:hAnsi="Tahoma" w:cs="Tahoma"/>
          <w:b w:val="0"/>
          <w:bCs w:val="0"/>
        </w:rPr>
        <w:t>de</w:t>
      </w:r>
      <w:r w:rsidR="00DB1635" w:rsidRPr="00B004EE">
        <w:rPr>
          <w:rFonts w:ascii="Tahoma" w:hAnsi="Tahoma" w:cs="Tahoma"/>
          <w:b w:val="0"/>
          <w:bCs w:val="0"/>
        </w:rPr>
        <w:t xml:space="preserve"> </w:t>
      </w:r>
      <w:r w:rsidR="002F24E1" w:rsidRPr="00B004EE">
        <w:rPr>
          <w:rFonts w:ascii="Tahoma" w:hAnsi="Tahoma" w:cs="Tahoma"/>
          <w:b w:val="0"/>
          <w:bCs w:val="0"/>
        </w:rPr>
        <w:t>salubrité</w:t>
      </w:r>
      <w:r w:rsidR="00DB1635" w:rsidRPr="00B004EE">
        <w:rPr>
          <w:rFonts w:ascii="Tahoma" w:hAnsi="Tahoma" w:cs="Tahoma"/>
          <w:b w:val="0"/>
          <w:bCs w:val="0"/>
        </w:rPr>
        <w:t xml:space="preserve"> </w:t>
      </w:r>
      <w:r w:rsidR="002F24E1" w:rsidRPr="00B004EE">
        <w:rPr>
          <w:rFonts w:ascii="Tahoma" w:hAnsi="Tahoma" w:cs="Tahoma"/>
          <w:b w:val="0"/>
          <w:bCs w:val="0"/>
        </w:rPr>
        <w:t>relatives</w:t>
      </w:r>
      <w:r w:rsidR="00DB1635" w:rsidRPr="00B004EE">
        <w:rPr>
          <w:rFonts w:ascii="Tahoma" w:hAnsi="Tahoma" w:cs="Tahoma"/>
          <w:b w:val="0"/>
          <w:bCs w:val="0"/>
        </w:rPr>
        <w:t xml:space="preserve"> </w:t>
      </w:r>
      <w:r w:rsidR="002F24E1" w:rsidRPr="00B004EE">
        <w:rPr>
          <w:rFonts w:ascii="Tahoma" w:hAnsi="Tahoma" w:cs="Tahoma"/>
          <w:b w:val="0"/>
          <w:bCs w:val="0"/>
        </w:rPr>
        <w:t>à</w:t>
      </w:r>
      <w:r w:rsidR="00DB1635" w:rsidRPr="00B004EE">
        <w:rPr>
          <w:rFonts w:ascii="Tahoma" w:hAnsi="Tahoma" w:cs="Tahoma"/>
          <w:b w:val="0"/>
          <w:bCs w:val="0"/>
        </w:rPr>
        <w:t xml:space="preserve"> </w:t>
      </w:r>
      <w:r w:rsidR="002F24E1" w:rsidRPr="00B004EE">
        <w:rPr>
          <w:rFonts w:ascii="Tahoma" w:hAnsi="Tahoma" w:cs="Tahoma"/>
          <w:b w:val="0"/>
          <w:bCs w:val="0"/>
        </w:rPr>
        <w:t>la</w:t>
      </w:r>
      <w:r w:rsidR="00DB1635" w:rsidRPr="00B004EE">
        <w:rPr>
          <w:rFonts w:ascii="Tahoma" w:hAnsi="Tahoma" w:cs="Tahoma"/>
          <w:b w:val="0"/>
          <w:bCs w:val="0"/>
        </w:rPr>
        <w:t xml:space="preserve"> </w:t>
      </w:r>
      <w:r w:rsidR="002F24E1" w:rsidRPr="00B004EE">
        <w:rPr>
          <w:rFonts w:ascii="Tahoma" w:hAnsi="Tahoma" w:cs="Tahoma"/>
          <w:b w:val="0"/>
          <w:bCs w:val="0"/>
        </w:rPr>
        <w:t>construction,</w:t>
      </w:r>
      <w:r w:rsidR="00DB1635" w:rsidRPr="00B004EE">
        <w:rPr>
          <w:rFonts w:ascii="Tahoma" w:hAnsi="Tahoma" w:cs="Tahoma"/>
          <w:b w:val="0"/>
          <w:bCs w:val="0"/>
        </w:rPr>
        <w:t xml:space="preserve"> </w:t>
      </w:r>
      <w:r w:rsidR="002F24E1" w:rsidRPr="00B004EE">
        <w:rPr>
          <w:rFonts w:ascii="Tahoma" w:hAnsi="Tahoma" w:cs="Tahoma"/>
          <w:b w:val="0"/>
          <w:bCs w:val="0"/>
        </w:rPr>
        <w:t>au</w:t>
      </w:r>
      <w:r w:rsidR="00DB1635" w:rsidRPr="00B004EE">
        <w:rPr>
          <w:rFonts w:ascii="Tahoma" w:hAnsi="Tahoma" w:cs="Tahoma"/>
          <w:b w:val="0"/>
          <w:bCs w:val="0"/>
        </w:rPr>
        <w:t xml:space="preserve"> </w:t>
      </w:r>
      <w:r w:rsidR="002F24E1" w:rsidRPr="00B004EE">
        <w:rPr>
          <w:rFonts w:ascii="Tahoma" w:hAnsi="Tahoma" w:cs="Tahoma"/>
          <w:b w:val="0"/>
          <w:bCs w:val="0"/>
        </w:rPr>
        <w:t>fonctionnement</w:t>
      </w:r>
      <w:r w:rsidR="00DB1635" w:rsidRPr="00B004EE">
        <w:rPr>
          <w:rFonts w:ascii="Tahoma" w:hAnsi="Tahoma" w:cs="Tahoma"/>
          <w:b w:val="0"/>
          <w:bCs w:val="0"/>
        </w:rPr>
        <w:t xml:space="preserve"> </w:t>
      </w:r>
      <w:r w:rsidR="002F24E1" w:rsidRPr="00B004EE">
        <w:rPr>
          <w:rFonts w:ascii="Tahoma" w:hAnsi="Tahoma" w:cs="Tahoma"/>
          <w:b w:val="0"/>
          <w:bCs w:val="0"/>
        </w:rPr>
        <w:t>et</w:t>
      </w:r>
      <w:r w:rsidR="00DB1635" w:rsidRPr="00B004EE">
        <w:rPr>
          <w:rFonts w:ascii="Tahoma" w:hAnsi="Tahoma" w:cs="Tahoma"/>
          <w:b w:val="0"/>
          <w:bCs w:val="0"/>
        </w:rPr>
        <w:t xml:space="preserve"> </w:t>
      </w:r>
      <w:r w:rsidR="002F24E1" w:rsidRPr="00B004EE">
        <w:rPr>
          <w:rFonts w:ascii="Tahoma" w:hAnsi="Tahoma" w:cs="Tahoma"/>
          <w:b w:val="0"/>
          <w:bCs w:val="0"/>
        </w:rPr>
        <w:t>à</w:t>
      </w:r>
      <w:r w:rsidR="00DB1635" w:rsidRPr="00B004EE">
        <w:rPr>
          <w:rFonts w:ascii="Tahoma" w:hAnsi="Tahoma" w:cs="Tahoma"/>
          <w:b w:val="0"/>
          <w:bCs w:val="0"/>
        </w:rPr>
        <w:t xml:space="preserve"> </w:t>
      </w:r>
      <w:r w:rsidR="002F24E1" w:rsidRPr="00B004EE">
        <w:rPr>
          <w:rFonts w:ascii="Tahoma" w:hAnsi="Tahoma" w:cs="Tahoma"/>
          <w:b w:val="0"/>
          <w:bCs w:val="0"/>
        </w:rPr>
        <w:t>la</w:t>
      </w:r>
      <w:r w:rsidR="00DB1635" w:rsidRPr="00B004EE">
        <w:rPr>
          <w:rFonts w:ascii="Tahoma" w:hAnsi="Tahoma" w:cs="Tahoma"/>
          <w:b w:val="0"/>
          <w:bCs w:val="0"/>
        </w:rPr>
        <w:t xml:space="preserve"> </w:t>
      </w:r>
      <w:r w:rsidR="002F24E1" w:rsidRPr="00B004EE">
        <w:rPr>
          <w:rFonts w:ascii="Tahoma" w:hAnsi="Tahoma" w:cs="Tahoma"/>
          <w:b w:val="0"/>
          <w:bCs w:val="0"/>
        </w:rPr>
        <w:t>production</w:t>
      </w:r>
      <w:r w:rsidR="00DB1635" w:rsidRPr="00B004EE">
        <w:rPr>
          <w:rFonts w:ascii="Tahoma" w:hAnsi="Tahoma" w:cs="Tahoma"/>
          <w:b w:val="0"/>
          <w:bCs w:val="0"/>
        </w:rPr>
        <w:t xml:space="preserve"> </w:t>
      </w:r>
      <w:r w:rsidR="002F24E1" w:rsidRPr="00B004EE">
        <w:rPr>
          <w:rFonts w:ascii="Tahoma" w:hAnsi="Tahoma" w:cs="Tahoma"/>
          <w:b w:val="0"/>
          <w:bCs w:val="0"/>
        </w:rPr>
        <w:t>des</w:t>
      </w:r>
      <w:r w:rsidR="00DB1635" w:rsidRPr="00B004EE">
        <w:rPr>
          <w:rFonts w:ascii="Tahoma" w:hAnsi="Tahoma" w:cs="Tahoma"/>
          <w:b w:val="0"/>
          <w:bCs w:val="0"/>
        </w:rPr>
        <w:t xml:space="preserve"> </w:t>
      </w:r>
      <w:r w:rsidR="002F24E1" w:rsidRPr="00B004EE">
        <w:rPr>
          <w:rFonts w:ascii="Tahoma" w:hAnsi="Tahoma" w:cs="Tahoma"/>
          <w:b w:val="0"/>
          <w:bCs w:val="0"/>
        </w:rPr>
        <w:t>établissement</w:t>
      </w:r>
      <w:r w:rsidR="00572DF5" w:rsidRPr="00B004EE">
        <w:rPr>
          <w:rFonts w:ascii="Tahoma" w:hAnsi="Tahoma" w:cs="Tahoma"/>
          <w:b w:val="0"/>
          <w:bCs w:val="0"/>
        </w:rPr>
        <w:t>s</w:t>
      </w:r>
      <w:r w:rsidR="00DB1635" w:rsidRPr="00B004EE">
        <w:rPr>
          <w:rFonts w:ascii="Tahoma" w:hAnsi="Tahoma" w:cs="Tahoma"/>
          <w:b w:val="0"/>
          <w:bCs w:val="0"/>
        </w:rPr>
        <w:t xml:space="preserve"> </w:t>
      </w:r>
      <w:r w:rsidR="002F24E1" w:rsidRPr="00B004EE">
        <w:rPr>
          <w:rFonts w:ascii="Tahoma" w:hAnsi="Tahoma" w:cs="Tahoma"/>
          <w:b w:val="0"/>
          <w:bCs w:val="0"/>
        </w:rPr>
        <w:t>de</w:t>
      </w:r>
      <w:r w:rsidR="00DB1635" w:rsidRPr="00B004EE">
        <w:rPr>
          <w:rFonts w:ascii="Tahoma" w:hAnsi="Tahoma" w:cs="Tahoma"/>
          <w:b w:val="0"/>
          <w:bCs w:val="0"/>
        </w:rPr>
        <w:t xml:space="preserve"> </w:t>
      </w:r>
      <w:r w:rsidR="002F24E1" w:rsidRPr="00B004EE">
        <w:rPr>
          <w:rFonts w:ascii="Tahoma" w:hAnsi="Tahoma" w:cs="Tahoma"/>
          <w:b w:val="0"/>
          <w:bCs w:val="0"/>
        </w:rPr>
        <w:t>traitement</w:t>
      </w:r>
      <w:r w:rsidR="00DB1635" w:rsidRPr="00B004EE">
        <w:rPr>
          <w:rFonts w:ascii="Tahoma" w:hAnsi="Tahoma" w:cs="Tahoma"/>
          <w:b w:val="0"/>
          <w:bCs w:val="0"/>
        </w:rPr>
        <w:t xml:space="preserve"> </w:t>
      </w:r>
      <w:r w:rsidR="002F24E1" w:rsidRPr="00B004EE">
        <w:rPr>
          <w:rFonts w:ascii="Tahoma" w:hAnsi="Tahoma" w:cs="Tahoma"/>
          <w:b w:val="0"/>
          <w:bCs w:val="0"/>
        </w:rPr>
        <w:t>et</w:t>
      </w:r>
      <w:r w:rsidR="00DB1635" w:rsidRPr="00B004EE">
        <w:rPr>
          <w:rFonts w:ascii="Tahoma" w:hAnsi="Tahoma" w:cs="Tahoma"/>
          <w:b w:val="0"/>
          <w:bCs w:val="0"/>
        </w:rPr>
        <w:t xml:space="preserve"> </w:t>
      </w:r>
      <w:r w:rsidR="002F24E1" w:rsidRPr="00B004EE">
        <w:rPr>
          <w:rFonts w:ascii="Tahoma" w:hAnsi="Tahoma" w:cs="Tahoma"/>
          <w:b w:val="0"/>
          <w:bCs w:val="0"/>
        </w:rPr>
        <w:t>des</w:t>
      </w:r>
      <w:r w:rsidR="00DB1635" w:rsidRPr="00B004EE">
        <w:rPr>
          <w:rFonts w:ascii="Tahoma" w:hAnsi="Tahoma" w:cs="Tahoma"/>
          <w:b w:val="0"/>
          <w:bCs w:val="0"/>
        </w:rPr>
        <w:t xml:space="preserve"> </w:t>
      </w:r>
      <w:r w:rsidR="002F24E1" w:rsidRPr="00B004EE">
        <w:rPr>
          <w:rFonts w:ascii="Tahoma" w:hAnsi="Tahoma" w:cs="Tahoma"/>
          <w:b w:val="0"/>
          <w:bCs w:val="0"/>
        </w:rPr>
        <w:t>navires</w:t>
      </w:r>
      <w:r w:rsidR="00DB1635" w:rsidRPr="00B004EE">
        <w:rPr>
          <w:rFonts w:ascii="Tahoma" w:hAnsi="Tahoma" w:cs="Tahoma"/>
          <w:b w:val="0"/>
          <w:bCs w:val="0"/>
        </w:rPr>
        <w:t xml:space="preserve"> </w:t>
      </w:r>
      <w:r w:rsidR="002F24E1" w:rsidRPr="00B004EE">
        <w:rPr>
          <w:rFonts w:ascii="Tahoma" w:hAnsi="Tahoma" w:cs="Tahoma"/>
          <w:b w:val="0"/>
          <w:bCs w:val="0"/>
        </w:rPr>
        <w:t>et</w:t>
      </w:r>
      <w:r w:rsidR="00DB1635" w:rsidRPr="00B004EE">
        <w:rPr>
          <w:rFonts w:ascii="Tahoma" w:hAnsi="Tahoma" w:cs="Tahoma"/>
          <w:b w:val="0"/>
          <w:bCs w:val="0"/>
        </w:rPr>
        <w:t xml:space="preserve"> </w:t>
      </w:r>
      <w:r w:rsidR="002F24E1" w:rsidRPr="00B004EE">
        <w:rPr>
          <w:rFonts w:ascii="Tahoma" w:hAnsi="Tahoma" w:cs="Tahoma"/>
          <w:b w:val="0"/>
          <w:bCs w:val="0"/>
        </w:rPr>
        <w:t>celles</w:t>
      </w:r>
      <w:r w:rsidR="00DB1635" w:rsidRPr="00B004EE">
        <w:rPr>
          <w:rFonts w:ascii="Tahoma" w:hAnsi="Tahoma" w:cs="Tahoma"/>
          <w:b w:val="0"/>
          <w:bCs w:val="0"/>
        </w:rPr>
        <w:t xml:space="preserve"> </w:t>
      </w:r>
      <w:r w:rsidR="002F24E1" w:rsidRPr="00B004EE">
        <w:rPr>
          <w:rFonts w:ascii="Tahoma" w:hAnsi="Tahoma" w:cs="Tahoma"/>
          <w:b w:val="0"/>
          <w:bCs w:val="0"/>
        </w:rPr>
        <w:t>relatives</w:t>
      </w:r>
      <w:r w:rsidR="00DB1635" w:rsidRPr="00B004EE">
        <w:rPr>
          <w:rFonts w:ascii="Tahoma" w:hAnsi="Tahoma" w:cs="Tahoma"/>
          <w:b w:val="0"/>
          <w:bCs w:val="0"/>
        </w:rPr>
        <w:t xml:space="preserve"> </w:t>
      </w:r>
      <w:r w:rsidR="002F24E1" w:rsidRPr="00B004EE">
        <w:rPr>
          <w:rFonts w:ascii="Tahoma" w:hAnsi="Tahoma" w:cs="Tahoma"/>
          <w:b w:val="0"/>
          <w:bCs w:val="0"/>
        </w:rPr>
        <w:t>à</w:t>
      </w:r>
      <w:r w:rsidR="00DB1635" w:rsidRPr="00B004EE">
        <w:rPr>
          <w:rFonts w:ascii="Tahoma" w:hAnsi="Tahoma" w:cs="Tahoma"/>
          <w:b w:val="0"/>
          <w:bCs w:val="0"/>
        </w:rPr>
        <w:t xml:space="preserve"> </w:t>
      </w:r>
      <w:r w:rsidR="002F24E1" w:rsidRPr="00B004EE">
        <w:rPr>
          <w:rFonts w:ascii="Tahoma" w:hAnsi="Tahoma" w:cs="Tahoma"/>
          <w:b w:val="0"/>
          <w:bCs w:val="0"/>
        </w:rPr>
        <w:t>la</w:t>
      </w:r>
      <w:r w:rsidR="00DB1635" w:rsidRPr="00B004EE">
        <w:rPr>
          <w:rFonts w:ascii="Tahoma" w:hAnsi="Tahoma" w:cs="Tahoma"/>
          <w:b w:val="0"/>
          <w:bCs w:val="0"/>
        </w:rPr>
        <w:t xml:space="preserve"> </w:t>
      </w:r>
      <w:r w:rsidR="002F24E1" w:rsidRPr="00B004EE">
        <w:rPr>
          <w:rFonts w:ascii="Tahoma" w:hAnsi="Tahoma" w:cs="Tahoma"/>
          <w:b w:val="0"/>
          <w:bCs w:val="0"/>
        </w:rPr>
        <w:t>manipulation,</w:t>
      </w:r>
      <w:r w:rsidR="00DB1635" w:rsidRPr="00B004EE">
        <w:rPr>
          <w:rFonts w:ascii="Tahoma" w:hAnsi="Tahoma" w:cs="Tahoma"/>
          <w:b w:val="0"/>
          <w:bCs w:val="0"/>
        </w:rPr>
        <w:t xml:space="preserve"> </w:t>
      </w:r>
      <w:r w:rsidR="002F24E1" w:rsidRPr="00B004EE">
        <w:rPr>
          <w:rFonts w:ascii="Tahoma" w:hAnsi="Tahoma" w:cs="Tahoma"/>
          <w:b w:val="0"/>
          <w:bCs w:val="0"/>
        </w:rPr>
        <w:t>à</w:t>
      </w:r>
      <w:r w:rsidR="00DB1635" w:rsidRPr="00B004EE">
        <w:rPr>
          <w:rFonts w:ascii="Tahoma" w:hAnsi="Tahoma" w:cs="Tahoma"/>
          <w:b w:val="0"/>
          <w:bCs w:val="0"/>
        </w:rPr>
        <w:t xml:space="preserve"> </w:t>
      </w:r>
      <w:r w:rsidR="002F24E1" w:rsidRPr="00B004EE">
        <w:rPr>
          <w:rFonts w:ascii="Tahoma" w:hAnsi="Tahoma" w:cs="Tahoma"/>
          <w:b w:val="0"/>
          <w:bCs w:val="0"/>
        </w:rPr>
        <w:t>l'entreposage</w:t>
      </w:r>
      <w:r w:rsidR="00DB1635" w:rsidRPr="00B004EE">
        <w:rPr>
          <w:rFonts w:ascii="Tahoma" w:hAnsi="Tahoma" w:cs="Tahoma"/>
          <w:b w:val="0"/>
          <w:bCs w:val="0"/>
        </w:rPr>
        <w:t xml:space="preserve"> </w:t>
      </w:r>
      <w:r w:rsidR="002F24E1" w:rsidRPr="00B004EE">
        <w:rPr>
          <w:rFonts w:ascii="Tahoma" w:hAnsi="Tahoma" w:cs="Tahoma"/>
          <w:b w:val="0"/>
          <w:bCs w:val="0"/>
        </w:rPr>
        <w:t>et</w:t>
      </w:r>
      <w:r w:rsidR="00DB1635" w:rsidRPr="00B004EE">
        <w:rPr>
          <w:rFonts w:ascii="Tahoma" w:hAnsi="Tahoma" w:cs="Tahoma"/>
          <w:b w:val="0"/>
          <w:bCs w:val="0"/>
        </w:rPr>
        <w:t xml:space="preserve"> </w:t>
      </w:r>
      <w:r w:rsidR="002F24E1" w:rsidRPr="00B004EE">
        <w:rPr>
          <w:rFonts w:ascii="Tahoma" w:hAnsi="Tahoma" w:cs="Tahoma"/>
          <w:b w:val="0"/>
          <w:bCs w:val="0"/>
        </w:rPr>
        <w:t>à</w:t>
      </w:r>
      <w:r w:rsidR="00DB1635" w:rsidRPr="00B004EE">
        <w:rPr>
          <w:rFonts w:ascii="Tahoma" w:hAnsi="Tahoma" w:cs="Tahoma"/>
          <w:b w:val="0"/>
          <w:bCs w:val="0"/>
        </w:rPr>
        <w:t xml:space="preserve"> </w:t>
      </w:r>
      <w:r w:rsidR="002F24E1" w:rsidRPr="00B004EE">
        <w:rPr>
          <w:rFonts w:ascii="Tahoma" w:hAnsi="Tahoma" w:cs="Tahoma"/>
          <w:b w:val="0"/>
          <w:bCs w:val="0"/>
        </w:rPr>
        <w:t>la</w:t>
      </w:r>
      <w:r w:rsidR="00DB1635" w:rsidRPr="00B004EE">
        <w:rPr>
          <w:rFonts w:ascii="Tahoma" w:hAnsi="Tahoma" w:cs="Tahoma"/>
          <w:b w:val="0"/>
          <w:bCs w:val="0"/>
        </w:rPr>
        <w:t xml:space="preserve"> </w:t>
      </w:r>
      <w:r w:rsidR="002F24E1" w:rsidRPr="00B004EE">
        <w:rPr>
          <w:rFonts w:ascii="Tahoma" w:hAnsi="Tahoma" w:cs="Tahoma"/>
          <w:b w:val="0"/>
          <w:bCs w:val="0"/>
        </w:rPr>
        <w:t>distribution</w:t>
      </w:r>
      <w:r w:rsidR="00DB1635" w:rsidRPr="00B004EE">
        <w:rPr>
          <w:rFonts w:ascii="Tahoma" w:hAnsi="Tahoma" w:cs="Tahoma"/>
          <w:b w:val="0"/>
          <w:bCs w:val="0"/>
        </w:rPr>
        <w:t xml:space="preserve"> </w:t>
      </w:r>
      <w:r w:rsidR="002F24E1" w:rsidRPr="00B004EE">
        <w:rPr>
          <w:rFonts w:ascii="Tahoma" w:hAnsi="Tahoma" w:cs="Tahoma"/>
          <w:b w:val="0"/>
          <w:bCs w:val="0"/>
        </w:rPr>
        <w:t>des</w:t>
      </w:r>
      <w:r w:rsidR="00DB1635" w:rsidRPr="00B004EE">
        <w:rPr>
          <w:rFonts w:ascii="Tahoma" w:hAnsi="Tahoma" w:cs="Tahoma"/>
          <w:b w:val="0"/>
          <w:bCs w:val="0"/>
        </w:rPr>
        <w:t xml:space="preserve"> </w:t>
      </w:r>
      <w:r w:rsidR="002F24E1" w:rsidRPr="00B004EE">
        <w:rPr>
          <w:rFonts w:ascii="Tahoma" w:hAnsi="Tahoma" w:cs="Tahoma"/>
          <w:b w:val="0"/>
          <w:bCs w:val="0"/>
        </w:rPr>
        <w:t>produits</w:t>
      </w:r>
      <w:r w:rsidR="00DB1635" w:rsidRPr="00B004EE">
        <w:rPr>
          <w:rFonts w:ascii="Tahoma" w:hAnsi="Tahoma" w:cs="Tahoma"/>
          <w:b w:val="0"/>
          <w:bCs w:val="0"/>
        </w:rPr>
        <w:t xml:space="preserve"> </w:t>
      </w:r>
      <w:r w:rsidR="002F24E1" w:rsidRPr="00B004EE">
        <w:rPr>
          <w:rFonts w:ascii="Tahoma" w:hAnsi="Tahoma" w:cs="Tahoma"/>
          <w:b w:val="0"/>
          <w:bCs w:val="0"/>
        </w:rPr>
        <w:t>de</w:t>
      </w:r>
      <w:r w:rsidR="00DB1635" w:rsidRPr="00B004EE">
        <w:rPr>
          <w:rFonts w:ascii="Tahoma" w:hAnsi="Tahoma" w:cs="Tahoma"/>
          <w:b w:val="0"/>
          <w:bCs w:val="0"/>
        </w:rPr>
        <w:t xml:space="preserve"> </w:t>
      </w:r>
      <w:r w:rsidR="002F24E1" w:rsidRPr="00B004EE">
        <w:rPr>
          <w:rFonts w:ascii="Tahoma" w:hAnsi="Tahoma" w:cs="Tahoma"/>
          <w:b w:val="0"/>
          <w:bCs w:val="0"/>
        </w:rPr>
        <w:t>la</w:t>
      </w:r>
      <w:r w:rsidR="00DB1635" w:rsidRPr="00B004EE">
        <w:rPr>
          <w:rFonts w:ascii="Tahoma" w:hAnsi="Tahoma" w:cs="Tahoma"/>
          <w:b w:val="0"/>
          <w:bCs w:val="0"/>
        </w:rPr>
        <w:t xml:space="preserve"> </w:t>
      </w:r>
      <w:r w:rsidR="002F24E1" w:rsidRPr="00B004EE">
        <w:rPr>
          <w:rFonts w:ascii="Tahoma" w:hAnsi="Tahoma" w:cs="Tahoma"/>
          <w:b w:val="0"/>
          <w:bCs w:val="0"/>
        </w:rPr>
        <w:t>Pêche</w:t>
      </w:r>
      <w:r w:rsidR="00DB1635" w:rsidRPr="00B004EE">
        <w:rPr>
          <w:rFonts w:ascii="Tahoma" w:hAnsi="Tahoma" w:cs="Tahoma"/>
          <w:b w:val="0"/>
          <w:bCs w:val="0"/>
        </w:rPr>
        <w:t xml:space="preserve"> </w:t>
      </w:r>
      <w:r w:rsidR="002F24E1" w:rsidRPr="00B004EE">
        <w:rPr>
          <w:rFonts w:ascii="Tahoma" w:hAnsi="Tahoma" w:cs="Tahoma"/>
          <w:b w:val="0"/>
          <w:bCs w:val="0"/>
        </w:rPr>
        <w:t>seront</w:t>
      </w:r>
      <w:r w:rsidR="00DB1635" w:rsidRPr="00B004EE">
        <w:rPr>
          <w:rFonts w:ascii="Tahoma" w:hAnsi="Tahoma" w:cs="Tahoma"/>
          <w:b w:val="0"/>
          <w:bCs w:val="0"/>
        </w:rPr>
        <w:t xml:space="preserve"> </w:t>
      </w:r>
      <w:r w:rsidR="002F24E1" w:rsidRPr="00B004EE">
        <w:rPr>
          <w:rFonts w:ascii="Tahoma" w:hAnsi="Tahoma" w:cs="Tahoma"/>
          <w:b w:val="0"/>
          <w:bCs w:val="0"/>
        </w:rPr>
        <w:t>précisées</w:t>
      </w:r>
      <w:r w:rsidR="00DB1635" w:rsidRPr="00B004EE">
        <w:rPr>
          <w:rFonts w:ascii="Tahoma" w:hAnsi="Tahoma" w:cs="Tahoma"/>
          <w:b w:val="0"/>
          <w:bCs w:val="0"/>
        </w:rPr>
        <w:t xml:space="preserve"> </w:t>
      </w:r>
      <w:r w:rsidR="002F24E1" w:rsidRPr="00B004EE">
        <w:rPr>
          <w:rFonts w:ascii="Tahoma" w:hAnsi="Tahoma" w:cs="Tahoma"/>
          <w:b w:val="0"/>
          <w:bCs w:val="0"/>
        </w:rPr>
        <w:t>par</w:t>
      </w:r>
      <w:r w:rsidR="00DB1635" w:rsidRPr="00B004EE">
        <w:rPr>
          <w:rFonts w:ascii="Tahoma" w:hAnsi="Tahoma" w:cs="Tahoma"/>
          <w:b w:val="0"/>
          <w:bCs w:val="0"/>
        </w:rPr>
        <w:t xml:space="preserve"> </w:t>
      </w:r>
      <w:r w:rsidR="002F24E1" w:rsidRPr="00B004EE">
        <w:rPr>
          <w:rFonts w:ascii="Tahoma" w:hAnsi="Tahoma" w:cs="Tahoma"/>
          <w:b w:val="0"/>
          <w:bCs w:val="0"/>
        </w:rPr>
        <w:t>arrêté</w:t>
      </w:r>
      <w:r w:rsidR="00DB1635" w:rsidRPr="00B004EE">
        <w:rPr>
          <w:rFonts w:ascii="Tahoma" w:hAnsi="Tahoma" w:cs="Tahoma"/>
          <w:b w:val="0"/>
          <w:bCs w:val="0"/>
        </w:rPr>
        <w:t xml:space="preserve"> </w:t>
      </w:r>
      <w:r w:rsidR="002F24E1" w:rsidRPr="00B004EE">
        <w:rPr>
          <w:rFonts w:ascii="Tahoma" w:hAnsi="Tahoma" w:cs="Tahoma"/>
          <w:b w:val="0"/>
          <w:bCs w:val="0"/>
        </w:rPr>
        <w:t>conjoint</w:t>
      </w:r>
      <w:r w:rsidR="00DB1635" w:rsidRPr="00B004EE">
        <w:rPr>
          <w:rFonts w:ascii="Tahoma" w:hAnsi="Tahoma" w:cs="Tahoma"/>
          <w:b w:val="0"/>
          <w:bCs w:val="0"/>
        </w:rPr>
        <w:t xml:space="preserve"> </w:t>
      </w:r>
      <w:r w:rsidR="002F24E1" w:rsidRPr="00B004EE">
        <w:rPr>
          <w:rFonts w:ascii="Tahoma" w:hAnsi="Tahoma" w:cs="Tahoma"/>
          <w:b w:val="0"/>
          <w:bCs w:val="0"/>
        </w:rPr>
        <w:t>des</w:t>
      </w:r>
      <w:r w:rsidR="00DB1635" w:rsidRPr="00B004EE">
        <w:rPr>
          <w:rFonts w:ascii="Tahoma" w:hAnsi="Tahoma" w:cs="Tahoma"/>
          <w:b w:val="0"/>
          <w:bCs w:val="0"/>
        </w:rPr>
        <w:t xml:space="preserve"> </w:t>
      </w:r>
      <w:r w:rsidR="002F24E1" w:rsidRPr="00B004EE">
        <w:rPr>
          <w:rFonts w:ascii="Tahoma" w:hAnsi="Tahoma" w:cs="Tahoma"/>
          <w:b w:val="0"/>
          <w:bCs w:val="0"/>
        </w:rPr>
        <w:t>Ministres</w:t>
      </w:r>
      <w:r w:rsidR="00DB1635" w:rsidRPr="00B004EE">
        <w:rPr>
          <w:rFonts w:ascii="Tahoma" w:hAnsi="Tahoma" w:cs="Tahoma"/>
          <w:b w:val="0"/>
          <w:bCs w:val="0"/>
        </w:rPr>
        <w:t xml:space="preserve"> </w:t>
      </w:r>
      <w:r w:rsidR="002F24E1" w:rsidRPr="00B004EE">
        <w:rPr>
          <w:rFonts w:ascii="Tahoma" w:hAnsi="Tahoma" w:cs="Tahoma"/>
          <w:b w:val="0"/>
          <w:bCs w:val="0"/>
        </w:rPr>
        <w:t>chargés</w:t>
      </w:r>
      <w:r w:rsidR="00DB1635" w:rsidRPr="00B004EE">
        <w:rPr>
          <w:rFonts w:ascii="Tahoma" w:hAnsi="Tahoma" w:cs="Tahoma"/>
          <w:b w:val="0"/>
          <w:bCs w:val="0"/>
        </w:rPr>
        <w:t xml:space="preserve"> </w:t>
      </w:r>
      <w:r w:rsidR="002F24E1" w:rsidRPr="00B004EE">
        <w:rPr>
          <w:rFonts w:ascii="Tahoma" w:hAnsi="Tahoma" w:cs="Tahoma"/>
          <w:b w:val="0"/>
          <w:bCs w:val="0"/>
        </w:rPr>
        <w:t>des</w:t>
      </w:r>
      <w:r w:rsidR="00DB1635" w:rsidRPr="00B004EE">
        <w:rPr>
          <w:rFonts w:ascii="Tahoma" w:hAnsi="Tahoma" w:cs="Tahoma"/>
          <w:b w:val="0"/>
          <w:bCs w:val="0"/>
        </w:rPr>
        <w:t xml:space="preserve"> </w:t>
      </w:r>
      <w:r w:rsidR="002F24E1" w:rsidRPr="00B004EE">
        <w:rPr>
          <w:rFonts w:ascii="Tahoma" w:hAnsi="Tahoma" w:cs="Tahoma"/>
          <w:b w:val="0"/>
          <w:bCs w:val="0"/>
        </w:rPr>
        <w:t>pêches,</w:t>
      </w:r>
      <w:r w:rsidR="00DB1635" w:rsidRPr="00B004EE">
        <w:rPr>
          <w:rFonts w:ascii="Tahoma" w:hAnsi="Tahoma" w:cs="Tahoma"/>
          <w:b w:val="0"/>
          <w:bCs w:val="0"/>
        </w:rPr>
        <w:t xml:space="preserve"> </w:t>
      </w:r>
      <w:r w:rsidR="002F24E1" w:rsidRPr="00B004EE">
        <w:rPr>
          <w:rFonts w:ascii="Tahoma" w:hAnsi="Tahoma" w:cs="Tahoma"/>
          <w:b w:val="0"/>
          <w:bCs w:val="0"/>
        </w:rPr>
        <w:t>de</w:t>
      </w:r>
      <w:r w:rsidR="00DB1635" w:rsidRPr="00B004EE">
        <w:rPr>
          <w:rFonts w:ascii="Tahoma" w:hAnsi="Tahoma" w:cs="Tahoma"/>
          <w:b w:val="0"/>
          <w:bCs w:val="0"/>
        </w:rPr>
        <w:t xml:space="preserve"> </w:t>
      </w:r>
      <w:r w:rsidR="002F24E1" w:rsidRPr="00B004EE">
        <w:rPr>
          <w:rFonts w:ascii="Tahoma" w:hAnsi="Tahoma" w:cs="Tahoma"/>
          <w:b w:val="0"/>
          <w:bCs w:val="0"/>
        </w:rPr>
        <w:t>la</w:t>
      </w:r>
      <w:r w:rsidR="00DB1635" w:rsidRPr="00B004EE">
        <w:rPr>
          <w:rFonts w:ascii="Tahoma" w:hAnsi="Tahoma" w:cs="Tahoma"/>
          <w:b w:val="0"/>
          <w:bCs w:val="0"/>
        </w:rPr>
        <w:t xml:space="preserve"> </w:t>
      </w:r>
      <w:r w:rsidR="002F24E1" w:rsidRPr="00B004EE">
        <w:rPr>
          <w:rFonts w:ascii="Tahoma" w:hAnsi="Tahoma" w:cs="Tahoma"/>
          <w:b w:val="0"/>
          <w:bCs w:val="0"/>
        </w:rPr>
        <w:t>Santé,</w:t>
      </w:r>
      <w:r w:rsidR="00DB1635" w:rsidRPr="00B004EE">
        <w:rPr>
          <w:rFonts w:ascii="Tahoma" w:hAnsi="Tahoma" w:cs="Tahoma"/>
          <w:b w:val="0"/>
          <w:bCs w:val="0"/>
        </w:rPr>
        <w:t xml:space="preserve"> </w:t>
      </w:r>
      <w:r w:rsidR="002F24E1" w:rsidRPr="00B004EE">
        <w:rPr>
          <w:rFonts w:ascii="Tahoma" w:hAnsi="Tahoma" w:cs="Tahoma"/>
          <w:b w:val="0"/>
          <w:bCs w:val="0"/>
        </w:rPr>
        <w:t>de</w:t>
      </w:r>
      <w:r w:rsidR="00DB1635" w:rsidRPr="00B004EE">
        <w:rPr>
          <w:rFonts w:ascii="Tahoma" w:hAnsi="Tahoma" w:cs="Tahoma"/>
          <w:b w:val="0"/>
          <w:bCs w:val="0"/>
        </w:rPr>
        <w:t xml:space="preserve"> </w:t>
      </w:r>
      <w:r w:rsidR="002F24E1" w:rsidRPr="00B004EE">
        <w:rPr>
          <w:rFonts w:ascii="Tahoma" w:hAnsi="Tahoma" w:cs="Tahoma"/>
          <w:b w:val="0"/>
          <w:bCs w:val="0"/>
        </w:rPr>
        <w:t>l'Elevage,</w:t>
      </w:r>
      <w:r w:rsidR="00DB1635" w:rsidRPr="00B004EE">
        <w:rPr>
          <w:rFonts w:ascii="Tahoma" w:hAnsi="Tahoma" w:cs="Tahoma"/>
          <w:b w:val="0"/>
          <w:bCs w:val="0"/>
        </w:rPr>
        <w:t xml:space="preserve"> </w:t>
      </w:r>
      <w:r w:rsidR="002F24E1" w:rsidRPr="00B004EE">
        <w:rPr>
          <w:rFonts w:ascii="Tahoma" w:hAnsi="Tahoma" w:cs="Tahoma"/>
          <w:b w:val="0"/>
          <w:bCs w:val="0"/>
        </w:rPr>
        <w:t>et</w:t>
      </w:r>
      <w:r w:rsidR="00DB1635" w:rsidRPr="00B004EE">
        <w:rPr>
          <w:rFonts w:ascii="Tahoma" w:hAnsi="Tahoma" w:cs="Tahoma"/>
          <w:b w:val="0"/>
          <w:bCs w:val="0"/>
        </w:rPr>
        <w:t xml:space="preserve"> </w:t>
      </w:r>
      <w:r w:rsidR="002F24E1" w:rsidRPr="00B004EE">
        <w:rPr>
          <w:rFonts w:ascii="Tahoma" w:hAnsi="Tahoma" w:cs="Tahoma"/>
          <w:b w:val="0"/>
          <w:bCs w:val="0"/>
        </w:rPr>
        <w:t>du</w:t>
      </w:r>
      <w:r w:rsidR="00DB1635" w:rsidRPr="00B004EE">
        <w:rPr>
          <w:rFonts w:ascii="Tahoma" w:hAnsi="Tahoma" w:cs="Tahoma"/>
          <w:b w:val="0"/>
          <w:bCs w:val="0"/>
        </w:rPr>
        <w:t xml:space="preserve"> </w:t>
      </w:r>
      <w:r w:rsidR="002F24E1" w:rsidRPr="00B004EE">
        <w:rPr>
          <w:rFonts w:ascii="Tahoma" w:hAnsi="Tahoma" w:cs="Tahoma"/>
          <w:b w:val="0"/>
          <w:bCs w:val="0"/>
        </w:rPr>
        <w:t>commerce</w:t>
      </w:r>
      <w:r w:rsidR="00DB1635" w:rsidRPr="00B004EE">
        <w:rPr>
          <w:rFonts w:ascii="Tahoma" w:hAnsi="Tahoma" w:cs="Tahoma"/>
          <w:b w:val="0"/>
          <w:bCs w:val="0"/>
        </w:rPr>
        <w:t xml:space="preserve"> </w:t>
      </w:r>
      <w:r w:rsidR="002F24E1" w:rsidRPr="00B004EE">
        <w:rPr>
          <w:rFonts w:ascii="Tahoma" w:hAnsi="Tahoma" w:cs="Tahoma"/>
          <w:b w:val="0"/>
          <w:bCs w:val="0"/>
        </w:rPr>
        <w:t>après</w:t>
      </w:r>
      <w:r w:rsidR="00DB1635" w:rsidRPr="00B004EE">
        <w:rPr>
          <w:rFonts w:ascii="Tahoma" w:hAnsi="Tahoma" w:cs="Tahoma"/>
          <w:b w:val="0"/>
          <w:bCs w:val="0"/>
        </w:rPr>
        <w:t xml:space="preserve"> </w:t>
      </w:r>
      <w:r w:rsidR="002F24E1" w:rsidRPr="00B004EE">
        <w:rPr>
          <w:rFonts w:ascii="Tahoma" w:hAnsi="Tahoma" w:cs="Tahoma"/>
          <w:b w:val="0"/>
          <w:bCs w:val="0"/>
        </w:rPr>
        <w:t>avis</w:t>
      </w:r>
      <w:r w:rsidR="00DB1635" w:rsidRPr="00B004EE">
        <w:rPr>
          <w:rFonts w:ascii="Tahoma" w:hAnsi="Tahoma" w:cs="Tahoma"/>
          <w:b w:val="0"/>
          <w:bCs w:val="0"/>
        </w:rPr>
        <w:t xml:space="preserve"> </w:t>
      </w:r>
      <w:r w:rsidR="002F24E1" w:rsidRPr="00B004EE">
        <w:rPr>
          <w:rFonts w:ascii="Tahoma" w:hAnsi="Tahoma" w:cs="Tahoma"/>
          <w:b w:val="0"/>
          <w:bCs w:val="0"/>
        </w:rPr>
        <w:t>des</w:t>
      </w:r>
      <w:r w:rsidR="00DB1635" w:rsidRPr="00B004EE">
        <w:rPr>
          <w:rFonts w:ascii="Tahoma" w:hAnsi="Tahoma" w:cs="Tahoma"/>
          <w:b w:val="0"/>
          <w:bCs w:val="0"/>
        </w:rPr>
        <w:t xml:space="preserve"> </w:t>
      </w:r>
      <w:r w:rsidR="002F24E1" w:rsidRPr="00B004EE">
        <w:rPr>
          <w:rFonts w:ascii="Tahoma" w:hAnsi="Tahoma" w:cs="Tahoma"/>
          <w:b w:val="0"/>
          <w:bCs w:val="0"/>
        </w:rPr>
        <w:t>services</w:t>
      </w:r>
      <w:r w:rsidR="00DB1635" w:rsidRPr="00B004EE">
        <w:rPr>
          <w:rFonts w:ascii="Tahoma" w:hAnsi="Tahoma" w:cs="Tahoma"/>
          <w:b w:val="0"/>
          <w:bCs w:val="0"/>
        </w:rPr>
        <w:t xml:space="preserve"> </w:t>
      </w:r>
      <w:r w:rsidR="002F24E1" w:rsidRPr="00B004EE">
        <w:rPr>
          <w:rFonts w:ascii="Tahoma" w:hAnsi="Tahoma" w:cs="Tahoma"/>
          <w:b w:val="0"/>
          <w:bCs w:val="0"/>
        </w:rPr>
        <w:t>compétents</w:t>
      </w:r>
      <w:r w:rsidR="00DB1635" w:rsidRPr="00B004EE">
        <w:rPr>
          <w:rFonts w:ascii="Tahoma" w:hAnsi="Tahoma" w:cs="Tahoma"/>
          <w:b w:val="0"/>
          <w:bCs w:val="0"/>
        </w:rPr>
        <w:t xml:space="preserve"> </w:t>
      </w:r>
      <w:r w:rsidR="002F24E1" w:rsidRPr="00B004EE">
        <w:rPr>
          <w:rFonts w:ascii="Tahoma" w:hAnsi="Tahoma" w:cs="Tahoma"/>
          <w:b w:val="0"/>
          <w:bCs w:val="0"/>
        </w:rPr>
        <w:t>en</w:t>
      </w:r>
      <w:r w:rsidR="00DB1635" w:rsidRPr="00B004EE">
        <w:rPr>
          <w:rFonts w:ascii="Tahoma" w:hAnsi="Tahoma" w:cs="Tahoma"/>
          <w:b w:val="0"/>
          <w:bCs w:val="0"/>
        </w:rPr>
        <w:t xml:space="preserve"> </w:t>
      </w:r>
      <w:r w:rsidR="002F24E1" w:rsidRPr="00B004EE">
        <w:rPr>
          <w:rFonts w:ascii="Tahoma" w:hAnsi="Tahoma" w:cs="Tahoma"/>
          <w:b w:val="0"/>
          <w:bCs w:val="0"/>
        </w:rPr>
        <w:t>matière</w:t>
      </w:r>
      <w:r w:rsidR="00DB1635" w:rsidRPr="00B004EE">
        <w:rPr>
          <w:rFonts w:ascii="Tahoma" w:hAnsi="Tahoma" w:cs="Tahoma"/>
          <w:b w:val="0"/>
          <w:bCs w:val="0"/>
        </w:rPr>
        <w:t xml:space="preserve"> </w:t>
      </w:r>
      <w:r w:rsidR="002F24E1" w:rsidRPr="00B004EE">
        <w:rPr>
          <w:rFonts w:ascii="Tahoma" w:hAnsi="Tahoma" w:cs="Tahoma"/>
          <w:b w:val="0"/>
          <w:bCs w:val="0"/>
        </w:rPr>
        <w:t>d'hygiène</w:t>
      </w:r>
      <w:r w:rsidR="00DB1635" w:rsidRPr="00B004EE">
        <w:rPr>
          <w:rFonts w:ascii="Tahoma" w:hAnsi="Tahoma" w:cs="Tahoma"/>
          <w:b w:val="0"/>
          <w:bCs w:val="0"/>
        </w:rPr>
        <w:t xml:space="preserve"> </w:t>
      </w:r>
      <w:r w:rsidR="002F24E1" w:rsidRPr="00B004EE">
        <w:rPr>
          <w:rFonts w:ascii="Tahoma" w:hAnsi="Tahoma" w:cs="Tahoma"/>
          <w:b w:val="0"/>
          <w:bCs w:val="0"/>
        </w:rPr>
        <w:t>alimentaire.</w:t>
      </w:r>
    </w:p>
    <w:p w14:paraId="3D73E03D" w14:textId="77777777" w:rsidR="00C40CA4" w:rsidRPr="00B004EE" w:rsidRDefault="00C40CA4" w:rsidP="00B004EE">
      <w:pPr>
        <w:rPr>
          <w:sz w:val="20"/>
          <w:szCs w:val="20"/>
        </w:rPr>
      </w:pPr>
    </w:p>
    <w:p w14:paraId="51899C1E" w14:textId="36137115" w:rsidR="002F24E1" w:rsidRPr="00B004EE" w:rsidRDefault="002F24E1" w:rsidP="00B004EE">
      <w:pPr>
        <w:pStyle w:val="Lgende"/>
        <w:jc w:val="both"/>
        <w:rPr>
          <w:rFonts w:ascii="Tahoma" w:hAnsi="Tahoma" w:cs="Tahoma"/>
          <w:b w:val="0"/>
          <w:bCs w:val="0"/>
        </w:rPr>
      </w:pPr>
      <w:r w:rsidRPr="00B004EE">
        <w:rPr>
          <w:rFonts w:ascii="Tahoma" w:hAnsi="Tahoma" w:cs="Tahoma"/>
          <w:b w:val="0"/>
          <w:bCs w:val="0"/>
        </w:rPr>
        <w:t>Sans</w:t>
      </w:r>
      <w:r w:rsidR="00DB1635" w:rsidRPr="00B004EE">
        <w:rPr>
          <w:rFonts w:ascii="Tahoma" w:hAnsi="Tahoma" w:cs="Tahoma"/>
          <w:b w:val="0"/>
          <w:bCs w:val="0"/>
        </w:rPr>
        <w:t xml:space="preserve"> </w:t>
      </w:r>
      <w:r w:rsidRPr="00B004EE">
        <w:rPr>
          <w:rFonts w:ascii="Tahoma" w:hAnsi="Tahoma" w:cs="Tahoma"/>
          <w:b w:val="0"/>
          <w:bCs w:val="0"/>
        </w:rPr>
        <w:t>préjudice</w:t>
      </w:r>
      <w:r w:rsidR="00DB1635" w:rsidRPr="00B004EE">
        <w:rPr>
          <w:rFonts w:ascii="Tahoma" w:hAnsi="Tahoma" w:cs="Tahoma"/>
          <w:b w:val="0"/>
          <w:bCs w:val="0"/>
        </w:rPr>
        <w:t xml:space="preserve"> </w:t>
      </w:r>
      <w:r w:rsidRPr="00B004EE">
        <w:rPr>
          <w:rFonts w:ascii="Tahoma" w:hAnsi="Tahoma" w:cs="Tahoma"/>
          <w:b w:val="0"/>
          <w:bCs w:val="0"/>
        </w:rPr>
        <w:t>des</w:t>
      </w:r>
      <w:r w:rsidR="00DB1635" w:rsidRPr="00B004EE">
        <w:rPr>
          <w:rFonts w:ascii="Tahoma" w:hAnsi="Tahoma" w:cs="Tahoma"/>
          <w:b w:val="0"/>
          <w:bCs w:val="0"/>
        </w:rPr>
        <w:t xml:space="preserve"> </w:t>
      </w:r>
      <w:r w:rsidRPr="00B004EE">
        <w:rPr>
          <w:rFonts w:ascii="Tahoma" w:hAnsi="Tahoma" w:cs="Tahoma"/>
          <w:b w:val="0"/>
          <w:bCs w:val="0"/>
        </w:rPr>
        <w:t>normes</w:t>
      </w:r>
      <w:r w:rsidR="00DB1635" w:rsidRPr="00B004EE">
        <w:rPr>
          <w:rFonts w:ascii="Tahoma" w:hAnsi="Tahoma" w:cs="Tahoma"/>
          <w:b w:val="0"/>
          <w:bCs w:val="0"/>
        </w:rPr>
        <w:t xml:space="preserve"> </w:t>
      </w:r>
      <w:r w:rsidRPr="00B004EE">
        <w:rPr>
          <w:rFonts w:ascii="Tahoma" w:hAnsi="Tahoma" w:cs="Tahoma"/>
          <w:b w:val="0"/>
          <w:bCs w:val="0"/>
        </w:rPr>
        <w:t>générales</w:t>
      </w:r>
      <w:r w:rsidR="00DB1635" w:rsidRPr="00B004EE">
        <w:rPr>
          <w:rFonts w:ascii="Tahoma" w:hAnsi="Tahoma" w:cs="Tahoma"/>
          <w:b w:val="0"/>
          <w:bCs w:val="0"/>
        </w:rPr>
        <w:t xml:space="preserve"> </w:t>
      </w:r>
      <w:r w:rsidRPr="00B004EE">
        <w:rPr>
          <w:rFonts w:ascii="Tahoma" w:hAnsi="Tahoma" w:cs="Tahoma"/>
          <w:b w:val="0"/>
          <w:bCs w:val="0"/>
        </w:rPr>
        <w:t>prévues</w:t>
      </w:r>
      <w:r w:rsidR="00DB1635" w:rsidRPr="00B004EE">
        <w:rPr>
          <w:rFonts w:ascii="Tahoma" w:hAnsi="Tahoma" w:cs="Tahoma"/>
          <w:b w:val="0"/>
          <w:bCs w:val="0"/>
        </w:rPr>
        <w:t xml:space="preserve"> </w:t>
      </w:r>
      <w:r w:rsidRPr="00B004EE">
        <w:rPr>
          <w:rFonts w:ascii="Tahoma" w:hAnsi="Tahoma" w:cs="Tahoma"/>
          <w:b w:val="0"/>
          <w:bCs w:val="0"/>
        </w:rPr>
        <w:t>ci-dessus,</w:t>
      </w:r>
      <w:r w:rsidR="00DB1635" w:rsidRPr="00B004EE">
        <w:rPr>
          <w:rFonts w:ascii="Tahoma" w:hAnsi="Tahoma" w:cs="Tahoma"/>
          <w:b w:val="0"/>
          <w:bCs w:val="0"/>
        </w:rPr>
        <w:t xml:space="preserve"> </w:t>
      </w:r>
      <w:r w:rsidRPr="00B004EE">
        <w:rPr>
          <w:rFonts w:ascii="Tahoma" w:hAnsi="Tahoma" w:cs="Tahoma"/>
          <w:b w:val="0"/>
          <w:bCs w:val="0"/>
        </w:rPr>
        <w:t>l'autorité</w:t>
      </w:r>
      <w:r w:rsidR="00DB1635" w:rsidRPr="00B004EE">
        <w:rPr>
          <w:rFonts w:ascii="Tahoma" w:hAnsi="Tahoma" w:cs="Tahoma"/>
          <w:b w:val="0"/>
          <w:bCs w:val="0"/>
        </w:rPr>
        <w:t xml:space="preserve"> </w:t>
      </w:r>
      <w:r w:rsidRPr="00B004EE">
        <w:rPr>
          <w:rFonts w:ascii="Tahoma" w:hAnsi="Tahoma" w:cs="Tahoma"/>
          <w:b w:val="0"/>
          <w:bCs w:val="0"/>
        </w:rPr>
        <w:t>compétente</w:t>
      </w:r>
      <w:r w:rsidR="00DB1635" w:rsidRPr="00B004EE">
        <w:rPr>
          <w:rFonts w:ascii="Tahoma" w:hAnsi="Tahoma" w:cs="Tahoma"/>
          <w:b w:val="0"/>
          <w:bCs w:val="0"/>
        </w:rPr>
        <w:t xml:space="preserve"> </w:t>
      </w:r>
      <w:r w:rsidRPr="00B004EE">
        <w:rPr>
          <w:rFonts w:ascii="Tahoma" w:hAnsi="Tahoma" w:cs="Tahoma"/>
          <w:b w:val="0"/>
          <w:bCs w:val="0"/>
        </w:rPr>
        <w:t>définira,</w:t>
      </w:r>
      <w:r w:rsidR="00DB1635" w:rsidRPr="00B004EE">
        <w:rPr>
          <w:rFonts w:ascii="Tahoma" w:hAnsi="Tahoma" w:cs="Tahoma"/>
          <w:b w:val="0"/>
          <w:bCs w:val="0"/>
        </w:rPr>
        <w:t xml:space="preserve"> </w:t>
      </w:r>
      <w:r w:rsidRPr="00B004EE">
        <w:rPr>
          <w:rFonts w:ascii="Tahoma" w:hAnsi="Tahoma" w:cs="Tahoma"/>
          <w:b w:val="0"/>
          <w:bCs w:val="0"/>
        </w:rPr>
        <w:t>le</w:t>
      </w:r>
      <w:r w:rsidR="00DB1635" w:rsidRPr="00B004EE">
        <w:rPr>
          <w:rFonts w:ascii="Tahoma" w:hAnsi="Tahoma" w:cs="Tahoma"/>
          <w:b w:val="0"/>
          <w:bCs w:val="0"/>
        </w:rPr>
        <w:t xml:space="preserve"> </w:t>
      </w:r>
      <w:r w:rsidRPr="00B004EE">
        <w:rPr>
          <w:rFonts w:ascii="Tahoma" w:hAnsi="Tahoma" w:cs="Tahoma"/>
          <w:b w:val="0"/>
          <w:bCs w:val="0"/>
        </w:rPr>
        <w:t>cas</w:t>
      </w:r>
      <w:r w:rsidR="00DB1635" w:rsidRPr="00B004EE">
        <w:rPr>
          <w:rFonts w:ascii="Tahoma" w:hAnsi="Tahoma" w:cs="Tahoma"/>
          <w:b w:val="0"/>
          <w:bCs w:val="0"/>
        </w:rPr>
        <w:t xml:space="preserve"> </w:t>
      </w:r>
      <w:r w:rsidRPr="00B004EE">
        <w:rPr>
          <w:rFonts w:ascii="Tahoma" w:hAnsi="Tahoma" w:cs="Tahoma"/>
          <w:b w:val="0"/>
          <w:bCs w:val="0"/>
        </w:rPr>
        <w:t>échéant</w:t>
      </w:r>
      <w:r w:rsidR="00DB1635" w:rsidRPr="00B004EE">
        <w:rPr>
          <w:rFonts w:ascii="Tahoma" w:hAnsi="Tahoma" w:cs="Tahoma"/>
          <w:b w:val="0"/>
          <w:bCs w:val="0"/>
        </w:rPr>
        <w:t xml:space="preserve"> </w:t>
      </w:r>
      <w:r w:rsidRPr="00B004EE">
        <w:rPr>
          <w:rFonts w:ascii="Tahoma" w:hAnsi="Tahoma" w:cs="Tahoma"/>
          <w:b w:val="0"/>
          <w:bCs w:val="0"/>
        </w:rPr>
        <w:t>et</w:t>
      </w:r>
      <w:r w:rsidR="00DB1635" w:rsidRPr="00B004EE">
        <w:rPr>
          <w:rFonts w:ascii="Tahoma" w:hAnsi="Tahoma" w:cs="Tahoma"/>
          <w:b w:val="0"/>
          <w:bCs w:val="0"/>
        </w:rPr>
        <w:t xml:space="preserve"> </w:t>
      </w:r>
      <w:r w:rsidRPr="00B004EE">
        <w:rPr>
          <w:rFonts w:ascii="Tahoma" w:hAnsi="Tahoma" w:cs="Tahoma"/>
          <w:b w:val="0"/>
          <w:bCs w:val="0"/>
        </w:rPr>
        <w:t>dans</w:t>
      </w:r>
      <w:r w:rsidR="00DB1635" w:rsidRPr="00B004EE">
        <w:rPr>
          <w:rFonts w:ascii="Tahoma" w:hAnsi="Tahoma" w:cs="Tahoma"/>
          <w:b w:val="0"/>
          <w:bCs w:val="0"/>
        </w:rPr>
        <w:t xml:space="preserve"> </w:t>
      </w:r>
      <w:r w:rsidRPr="00B004EE">
        <w:rPr>
          <w:rFonts w:ascii="Tahoma" w:hAnsi="Tahoma" w:cs="Tahoma"/>
          <w:b w:val="0"/>
          <w:bCs w:val="0"/>
        </w:rPr>
        <w:t>une</w:t>
      </w:r>
      <w:r w:rsidR="00DB1635" w:rsidRPr="00B004EE">
        <w:rPr>
          <w:rFonts w:ascii="Tahoma" w:hAnsi="Tahoma" w:cs="Tahoma"/>
          <w:b w:val="0"/>
          <w:bCs w:val="0"/>
        </w:rPr>
        <w:t xml:space="preserve"> </w:t>
      </w:r>
      <w:r w:rsidRPr="00B004EE">
        <w:rPr>
          <w:rFonts w:ascii="Tahoma" w:hAnsi="Tahoma" w:cs="Tahoma"/>
          <w:b w:val="0"/>
          <w:bCs w:val="0"/>
        </w:rPr>
        <w:t>modalité</w:t>
      </w:r>
      <w:r w:rsidR="00DB1635" w:rsidRPr="00B004EE">
        <w:rPr>
          <w:rFonts w:ascii="Tahoma" w:hAnsi="Tahoma" w:cs="Tahoma"/>
          <w:b w:val="0"/>
          <w:bCs w:val="0"/>
        </w:rPr>
        <w:t xml:space="preserve"> </w:t>
      </w:r>
      <w:r w:rsidRPr="00B004EE">
        <w:rPr>
          <w:rFonts w:ascii="Tahoma" w:hAnsi="Tahoma" w:cs="Tahoma"/>
          <w:b w:val="0"/>
          <w:bCs w:val="0"/>
        </w:rPr>
        <w:t>du</w:t>
      </w:r>
      <w:r w:rsidR="00DB1635" w:rsidRPr="00B004EE">
        <w:rPr>
          <w:rFonts w:ascii="Tahoma" w:hAnsi="Tahoma" w:cs="Tahoma"/>
          <w:b w:val="0"/>
          <w:bCs w:val="0"/>
        </w:rPr>
        <w:t xml:space="preserve"> </w:t>
      </w:r>
      <w:r w:rsidRPr="00B004EE">
        <w:rPr>
          <w:rFonts w:ascii="Tahoma" w:hAnsi="Tahoma" w:cs="Tahoma"/>
          <w:b w:val="0"/>
          <w:bCs w:val="0"/>
        </w:rPr>
        <w:t>contrôle</w:t>
      </w:r>
      <w:r w:rsidR="00DB1635" w:rsidRPr="00B004EE">
        <w:rPr>
          <w:rFonts w:ascii="Tahoma" w:hAnsi="Tahoma" w:cs="Tahoma"/>
          <w:b w:val="0"/>
          <w:bCs w:val="0"/>
        </w:rPr>
        <w:t xml:space="preserve"> </w:t>
      </w:r>
      <w:r w:rsidRPr="00B004EE">
        <w:rPr>
          <w:rFonts w:ascii="Tahoma" w:hAnsi="Tahoma" w:cs="Tahoma"/>
          <w:b w:val="0"/>
          <w:bCs w:val="0"/>
        </w:rPr>
        <w:t>spécifique</w:t>
      </w:r>
      <w:r w:rsidR="00DB1635" w:rsidRPr="00B004EE">
        <w:rPr>
          <w:rFonts w:ascii="Tahoma" w:hAnsi="Tahoma" w:cs="Tahoma"/>
          <w:b w:val="0"/>
          <w:bCs w:val="0"/>
        </w:rPr>
        <w:t xml:space="preserve"> </w:t>
      </w:r>
      <w:r w:rsidRPr="00B004EE">
        <w:rPr>
          <w:rFonts w:ascii="Tahoma" w:hAnsi="Tahoma" w:cs="Tahoma"/>
          <w:b w:val="0"/>
          <w:bCs w:val="0"/>
        </w:rPr>
        <w:t>requise</w:t>
      </w:r>
      <w:r w:rsidR="00DB1635" w:rsidRPr="00B004EE">
        <w:rPr>
          <w:rFonts w:ascii="Tahoma" w:hAnsi="Tahoma" w:cs="Tahoma"/>
          <w:b w:val="0"/>
          <w:bCs w:val="0"/>
        </w:rPr>
        <w:t xml:space="preserve"> </w:t>
      </w:r>
      <w:r w:rsidRPr="00B004EE">
        <w:rPr>
          <w:rFonts w:ascii="Tahoma" w:hAnsi="Tahoma" w:cs="Tahoma"/>
          <w:b w:val="0"/>
          <w:bCs w:val="0"/>
        </w:rPr>
        <w:t>pour</w:t>
      </w:r>
      <w:r w:rsidR="00DB1635" w:rsidRPr="00B004EE">
        <w:rPr>
          <w:rFonts w:ascii="Tahoma" w:hAnsi="Tahoma" w:cs="Tahoma"/>
          <w:b w:val="0"/>
          <w:bCs w:val="0"/>
        </w:rPr>
        <w:t xml:space="preserve"> </w:t>
      </w:r>
      <w:r w:rsidRPr="00B004EE">
        <w:rPr>
          <w:rFonts w:ascii="Tahoma" w:hAnsi="Tahoma" w:cs="Tahoma"/>
          <w:b w:val="0"/>
          <w:bCs w:val="0"/>
        </w:rPr>
        <w:t>les</w:t>
      </w:r>
      <w:r w:rsidR="00DB1635" w:rsidRPr="00B004EE">
        <w:rPr>
          <w:rFonts w:ascii="Tahoma" w:hAnsi="Tahoma" w:cs="Tahoma"/>
          <w:b w:val="0"/>
          <w:bCs w:val="0"/>
        </w:rPr>
        <w:t xml:space="preserve"> </w:t>
      </w:r>
      <w:r w:rsidRPr="00B004EE">
        <w:rPr>
          <w:rFonts w:ascii="Tahoma" w:hAnsi="Tahoma" w:cs="Tahoma"/>
          <w:b w:val="0"/>
          <w:bCs w:val="0"/>
        </w:rPr>
        <w:t>marchés</w:t>
      </w:r>
      <w:r w:rsidR="00DB1635" w:rsidRPr="00B004EE">
        <w:rPr>
          <w:rFonts w:ascii="Tahoma" w:hAnsi="Tahoma" w:cs="Tahoma"/>
          <w:b w:val="0"/>
          <w:bCs w:val="0"/>
        </w:rPr>
        <w:t xml:space="preserve"> </w:t>
      </w:r>
      <w:r w:rsidRPr="00B004EE">
        <w:rPr>
          <w:rFonts w:ascii="Tahoma" w:hAnsi="Tahoma" w:cs="Tahoma"/>
          <w:b w:val="0"/>
          <w:bCs w:val="0"/>
        </w:rPr>
        <w:t>des</w:t>
      </w:r>
      <w:r w:rsidR="00DB1635" w:rsidRPr="00B004EE">
        <w:rPr>
          <w:rFonts w:ascii="Tahoma" w:hAnsi="Tahoma" w:cs="Tahoma"/>
          <w:b w:val="0"/>
          <w:bCs w:val="0"/>
        </w:rPr>
        <w:t xml:space="preserve"> </w:t>
      </w:r>
      <w:r w:rsidRPr="00B004EE">
        <w:rPr>
          <w:rFonts w:ascii="Tahoma" w:hAnsi="Tahoma" w:cs="Tahoma"/>
          <w:b w:val="0"/>
          <w:bCs w:val="0"/>
        </w:rPr>
        <w:t>Etats</w:t>
      </w:r>
      <w:r w:rsidR="00DB1635" w:rsidRPr="00B004EE">
        <w:rPr>
          <w:rFonts w:ascii="Tahoma" w:hAnsi="Tahoma" w:cs="Tahoma"/>
          <w:b w:val="0"/>
          <w:bCs w:val="0"/>
        </w:rPr>
        <w:t xml:space="preserve"> </w:t>
      </w:r>
      <w:r w:rsidRPr="00B004EE">
        <w:rPr>
          <w:rFonts w:ascii="Tahoma" w:hAnsi="Tahoma" w:cs="Tahoma"/>
          <w:b w:val="0"/>
          <w:bCs w:val="0"/>
        </w:rPr>
        <w:t>importateurs</w:t>
      </w:r>
      <w:r w:rsidR="00DB1635" w:rsidRPr="00B004EE">
        <w:rPr>
          <w:rFonts w:ascii="Tahoma" w:hAnsi="Tahoma" w:cs="Tahoma"/>
          <w:b w:val="0"/>
          <w:bCs w:val="0"/>
        </w:rPr>
        <w:t xml:space="preserve"> </w:t>
      </w:r>
      <w:r w:rsidRPr="00B004EE">
        <w:rPr>
          <w:rFonts w:ascii="Tahoma" w:hAnsi="Tahoma" w:cs="Tahoma"/>
          <w:b w:val="0"/>
          <w:bCs w:val="0"/>
        </w:rPr>
        <w:t>des</w:t>
      </w:r>
      <w:r w:rsidR="00DB1635" w:rsidRPr="00B004EE">
        <w:rPr>
          <w:rFonts w:ascii="Tahoma" w:hAnsi="Tahoma" w:cs="Tahoma"/>
          <w:b w:val="0"/>
          <w:bCs w:val="0"/>
        </w:rPr>
        <w:t xml:space="preserve"> </w:t>
      </w:r>
      <w:r w:rsidRPr="00B004EE">
        <w:rPr>
          <w:rFonts w:ascii="Tahoma" w:hAnsi="Tahoma" w:cs="Tahoma"/>
          <w:b w:val="0"/>
          <w:bCs w:val="0"/>
        </w:rPr>
        <w:t>produits</w:t>
      </w:r>
      <w:r w:rsidR="00DB1635" w:rsidRPr="00B004EE">
        <w:rPr>
          <w:rFonts w:ascii="Tahoma" w:hAnsi="Tahoma" w:cs="Tahoma"/>
          <w:b w:val="0"/>
          <w:bCs w:val="0"/>
        </w:rPr>
        <w:t xml:space="preserve"> </w:t>
      </w:r>
      <w:r w:rsidRPr="00B004EE">
        <w:rPr>
          <w:rFonts w:ascii="Tahoma" w:hAnsi="Tahoma" w:cs="Tahoma"/>
          <w:b w:val="0"/>
          <w:bCs w:val="0"/>
        </w:rPr>
        <w:t>de</w:t>
      </w:r>
      <w:r w:rsidR="003A697D" w:rsidRPr="00B004EE">
        <w:rPr>
          <w:rFonts w:ascii="Tahoma" w:hAnsi="Tahoma" w:cs="Tahoma"/>
          <w:b w:val="0"/>
          <w:bCs w:val="0"/>
        </w:rPr>
        <w:t xml:space="preserve"> </w:t>
      </w:r>
      <w:r w:rsidRPr="00B004EE">
        <w:rPr>
          <w:rFonts w:ascii="Tahoma" w:hAnsi="Tahoma" w:cs="Tahoma"/>
          <w:b w:val="0"/>
          <w:bCs w:val="0"/>
        </w:rPr>
        <w:t>la</w:t>
      </w:r>
      <w:r w:rsidR="00DB1635" w:rsidRPr="00B004EE">
        <w:rPr>
          <w:rFonts w:ascii="Tahoma" w:hAnsi="Tahoma" w:cs="Tahoma"/>
          <w:b w:val="0"/>
          <w:bCs w:val="0"/>
        </w:rPr>
        <w:t xml:space="preserve"> </w:t>
      </w:r>
      <w:r w:rsidRPr="00B004EE">
        <w:rPr>
          <w:rFonts w:ascii="Tahoma" w:hAnsi="Tahoma" w:cs="Tahoma"/>
          <w:b w:val="0"/>
          <w:bCs w:val="0"/>
        </w:rPr>
        <w:t>pêche</w:t>
      </w:r>
      <w:r w:rsidR="00DB1635" w:rsidRPr="00B004EE">
        <w:rPr>
          <w:rFonts w:ascii="Tahoma" w:hAnsi="Tahoma" w:cs="Tahoma"/>
          <w:b w:val="0"/>
          <w:bCs w:val="0"/>
        </w:rPr>
        <w:t xml:space="preserve"> </w:t>
      </w:r>
      <w:r w:rsidRPr="00B004EE">
        <w:rPr>
          <w:rFonts w:ascii="Tahoma" w:hAnsi="Tahoma" w:cs="Tahoma"/>
          <w:b w:val="0"/>
          <w:bCs w:val="0"/>
        </w:rPr>
        <w:t>originaires</w:t>
      </w:r>
      <w:r w:rsidR="00DB1635" w:rsidRPr="00B004EE">
        <w:rPr>
          <w:rFonts w:ascii="Tahoma" w:hAnsi="Tahoma" w:cs="Tahoma"/>
          <w:b w:val="0"/>
          <w:bCs w:val="0"/>
        </w:rPr>
        <w:t xml:space="preserve"> </w:t>
      </w:r>
      <w:r w:rsidRPr="00B004EE">
        <w:rPr>
          <w:rFonts w:ascii="Tahoma" w:hAnsi="Tahoma" w:cs="Tahoma"/>
          <w:b w:val="0"/>
          <w:bCs w:val="0"/>
        </w:rPr>
        <w:t>de</w:t>
      </w:r>
      <w:r w:rsidR="00DB1635" w:rsidRPr="00B004EE">
        <w:rPr>
          <w:rFonts w:ascii="Tahoma" w:hAnsi="Tahoma" w:cs="Tahoma"/>
          <w:b w:val="0"/>
          <w:bCs w:val="0"/>
        </w:rPr>
        <w:t xml:space="preserve"> </w:t>
      </w:r>
      <w:r w:rsidRPr="00B004EE">
        <w:rPr>
          <w:rFonts w:ascii="Tahoma" w:hAnsi="Tahoma" w:cs="Tahoma"/>
          <w:b w:val="0"/>
          <w:bCs w:val="0"/>
        </w:rPr>
        <w:t>Mauritanie.</w:t>
      </w:r>
    </w:p>
    <w:p w14:paraId="27370D0E" w14:textId="77777777" w:rsidR="002F24E1" w:rsidRPr="00B004EE" w:rsidRDefault="002F24E1" w:rsidP="00B004EE">
      <w:pPr>
        <w:pStyle w:val="Lgende"/>
        <w:jc w:val="both"/>
        <w:rPr>
          <w:rFonts w:ascii="Tahoma" w:hAnsi="Tahoma" w:cs="Tahoma"/>
          <w:b w:val="0"/>
          <w:bCs w:val="0"/>
        </w:rPr>
      </w:pPr>
    </w:p>
    <w:p w14:paraId="05FCA9FB" w14:textId="1FA7C122" w:rsidR="002F24E1" w:rsidRPr="00B004EE" w:rsidRDefault="00561F81" w:rsidP="00B004EE">
      <w:pPr>
        <w:pStyle w:val="Lgende"/>
        <w:jc w:val="both"/>
        <w:rPr>
          <w:rFonts w:ascii="Tahoma" w:hAnsi="Tahoma" w:cs="Tahoma"/>
          <w:b w:val="0"/>
          <w:bCs w:val="0"/>
        </w:rPr>
      </w:pPr>
      <w:r w:rsidRPr="00B004EE">
        <w:rPr>
          <w:rFonts w:ascii="Tahoma" w:hAnsi="Tahoma" w:cs="Tahoma"/>
          <w:b w:val="0"/>
          <w:bCs w:val="0"/>
        </w:rPr>
        <w:t xml:space="preserve">Article </w:t>
      </w:r>
      <w:r w:rsidR="002F24E1" w:rsidRPr="00B004EE">
        <w:rPr>
          <w:rFonts w:ascii="Tahoma" w:hAnsi="Tahoma" w:cs="Tahoma"/>
          <w:b w:val="0"/>
          <w:bCs w:val="0"/>
        </w:rPr>
        <w:t>5</w:t>
      </w:r>
      <w:r w:rsidR="00DB1635" w:rsidRPr="00B004EE">
        <w:rPr>
          <w:rFonts w:ascii="Tahoma" w:hAnsi="Tahoma" w:cs="Tahoma"/>
          <w:b w:val="0"/>
          <w:bCs w:val="0"/>
        </w:rPr>
        <w:t xml:space="preserve"> </w:t>
      </w:r>
      <w:r w:rsidR="002F24E1" w:rsidRPr="00B004EE">
        <w:rPr>
          <w:rFonts w:ascii="Tahoma" w:hAnsi="Tahoma" w:cs="Tahoma"/>
          <w:b w:val="0"/>
          <w:bCs w:val="0"/>
        </w:rPr>
        <w:t>:</w:t>
      </w:r>
      <w:r w:rsidR="00DB1635" w:rsidRPr="00B004EE">
        <w:rPr>
          <w:rFonts w:ascii="Tahoma" w:hAnsi="Tahoma" w:cs="Tahoma"/>
          <w:b w:val="0"/>
          <w:bCs w:val="0"/>
        </w:rPr>
        <w:t xml:space="preserve"> </w:t>
      </w:r>
      <w:r w:rsidR="002F24E1" w:rsidRPr="00B004EE">
        <w:rPr>
          <w:rFonts w:ascii="Tahoma" w:hAnsi="Tahoma" w:cs="Tahoma"/>
          <w:b w:val="0"/>
          <w:bCs w:val="0"/>
        </w:rPr>
        <w:t>Sous</w:t>
      </w:r>
      <w:r w:rsidR="00DB1635" w:rsidRPr="00B004EE">
        <w:rPr>
          <w:rFonts w:ascii="Tahoma" w:hAnsi="Tahoma" w:cs="Tahoma"/>
          <w:b w:val="0"/>
          <w:bCs w:val="0"/>
        </w:rPr>
        <w:t xml:space="preserve"> </w:t>
      </w:r>
      <w:r w:rsidR="002F24E1" w:rsidRPr="00B004EE">
        <w:rPr>
          <w:rFonts w:ascii="Tahoma" w:hAnsi="Tahoma" w:cs="Tahoma"/>
          <w:b w:val="0"/>
          <w:bCs w:val="0"/>
        </w:rPr>
        <w:t>réserve</w:t>
      </w:r>
      <w:r w:rsidR="00DB1635" w:rsidRPr="00B004EE">
        <w:rPr>
          <w:rFonts w:ascii="Tahoma" w:hAnsi="Tahoma" w:cs="Tahoma"/>
          <w:b w:val="0"/>
          <w:bCs w:val="0"/>
        </w:rPr>
        <w:t xml:space="preserve"> </w:t>
      </w:r>
      <w:r w:rsidR="002F24E1" w:rsidRPr="00B004EE">
        <w:rPr>
          <w:rFonts w:ascii="Tahoma" w:hAnsi="Tahoma" w:cs="Tahoma"/>
          <w:b w:val="0"/>
          <w:bCs w:val="0"/>
        </w:rPr>
        <w:t>des</w:t>
      </w:r>
      <w:r w:rsidR="00DB1635" w:rsidRPr="00B004EE">
        <w:rPr>
          <w:rFonts w:ascii="Tahoma" w:hAnsi="Tahoma" w:cs="Tahoma"/>
          <w:b w:val="0"/>
          <w:bCs w:val="0"/>
        </w:rPr>
        <w:t xml:space="preserve"> </w:t>
      </w:r>
      <w:r w:rsidR="002F24E1" w:rsidRPr="00B004EE">
        <w:rPr>
          <w:rFonts w:ascii="Tahoma" w:hAnsi="Tahoma" w:cs="Tahoma"/>
          <w:b w:val="0"/>
          <w:bCs w:val="0"/>
        </w:rPr>
        <w:t>peines</w:t>
      </w:r>
      <w:r w:rsidR="00DB1635" w:rsidRPr="00B004EE">
        <w:rPr>
          <w:rFonts w:ascii="Tahoma" w:hAnsi="Tahoma" w:cs="Tahoma"/>
          <w:b w:val="0"/>
          <w:bCs w:val="0"/>
        </w:rPr>
        <w:t xml:space="preserve"> </w:t>
      </w:r>
      <w:r w:rsidR="002F24E1" w:rsidRPr="00B004EE">
        <w:rPr>
          <w:rFonts w:ascii="Tahoma" w:hAnsi="Tahoma" w:cs="Tahoma"/>
          <w:b w:val="0"/>
          <w:bCs w:val="0"/>
        </w:rPr>
        <w:t>plus</w:t>
      </w:r>
      <w:r w:rsidR="00DB1635" w:rsidRPr="00B004EE">
        <w:rPr>
          <w:rFonts w:ascii="Tahoma" w:hAnsi="Tahoma" w:cs="Tahoma"/>
          <w:b w:val="0"/>
          <w:bCs w:val="0"/>
        </w:rPr>
        <w:t xml:space="preserve"> </w:t>
      </w:r>
      <w:r w:rsidR="002F24E1" w:rsidRPr="00B004EE">
        <w:rPr>
          <w:rFonts w:ascii="Tahoma" w:hAnsi="Tahoma" w:cs="Tahoma"/>
          <w:b w:val="0"/>
          <w:bCs w:val="0"/>
        </w:rPr>
        <w:t>fortes</w:t>
      </w:r>
      <w:r w:rsidR="00DB1635" w:rsidRPr="00B004EE">
        <w:rPr>
          <w:rFonts w:ascii="Tahoma" w:hAnsi="Tahoma" w:cs="Tahoma"/>
          <w:b w:val="0"/>
          <w:bCs w:val="0"/>
        </w:rPr>
        <w:t xml:space="preserve"> </w:t>
      </w:r>
      <w:r w:rsidR="002F24E1" w:rsidRPr="00B004EE">
        <w:rPr>
          <w:rFonts w:ascii="Tahoma" w:hAnsi="Tahoma" w:cs="Tahoma"/>
          <w:b w:val="0"/>
          <w:bCs w:val="0"/>
        </w:rPr>
        <w:t>prévues</w:t>
      </w:r>
      <w:r w:rsidR="00DB1635" w:rsidRPr="00B004EE">
        <w:rPr>
          <w:rFonts w:ascii="Tahoma" w:hAnsi="Tahoma" w:cs="Tahoma"/>
          <w:b w:val="0"/>
          <w:bCs w:val="0"/>
        </w:rPr>
        <w:t xml:space="preserve"> </w:t>
      </w:r>
      <w:r w:rsidR="002F24E1" w:rsidRPr="00B004EE">
        <w:rPr>
          <w:rFonts w:ascii="Tahoma" w:hAnsi="Tahoma" w:cs="Tahoma"/>
          <w:b w:val="0"/>
          <w:bCs w:val="0"/>
        </w:rPr>
        <w:t>par</w:t>
      </w:r>
      <w:r w:rsidR="00DB1635" w:rsidRPr="00B004EE">
        <w:rPr>
          <w:rFonts w:ascii="Tahoma" w:hAnsi="Tahoma" w:cs="Tahoma"/>
          <w:b w:val="0"/>
          <w:bCs w:val="0"/>
        </w:rPr>
        <w:t xml:space="preserve"> </w:t>
      </w:r>
      <w:r w:rsidR="002F24E1" w:rsidRPr="00B004EE">
        <w:rPr>
          <w:rFonts w:ascii="Tahoma" w:hAnsi="Tahoma" w:cs="Tahoma"/>
          <w:b w:val="0"/>
          <w:bCs w:val="0"/>
        </w:rPr>
        <w:t>les</w:t>
      </w:r>
      <w:r w:rsidR="00DB1635" w:rsidRPr="00B004EE">
        <w:rPr>
          <w:rFonts w:ascii="Tahoma" w:hAnsi="Tahoma" w:cs="Tahoma"/>
          <w:b w:val="0"/>
          <w:bCs w:val="0"/>
        </w:rPr>
        <w:t xml:space="preserve"> </w:t>
      </w:r>
      <w:r w:rsidR="002F24E1" w:rsidRPr="00B004EE">
        <w:rPr>
          <w:rFonts w:ascii="Tahoma" w:hAnsi="Tahoma" w:cs="Tahoma"/>
          <w:b w:val="0"/>
          <w:bCs w:val="0"/>
        </w:rPr>
        <w:t>textes</w:t>
      </w:r>
      <w:r w:rsidR="00DB1635" w:rsidRPr="00B004EE">
        <w:rPr>
          <w:rFonts w:ascii="Tahoma" w:hAnsi="Tahoma" w:cs="Tahoma"/>
          <w:b w:val="0"/>
          <w:bCs w:val="0"/>
        </w:rPr>
        <w:t xml:space="preserve"> </w:t>
      </w:r>
      <w:r w:rsidR="002F24E1" w:rsidRPr="00B004EE">
        <w:rPr>
          <w:rFonts w:ascii="Tahoma" w:hAnsi="Tahoma" w:cs="Tahoma"/>
          <w:b w:val="0"/>
          <w:bCs w:val="0"/>
        </w:rPr>
        <w:t>en</w:t>
      </w:r>
      <w:r w:rsidR="00DB1635" w:rsidRPr="00B004EE">
        <w:rPr>
          <w:rFonts w:ascii="Tahoma" w:hAnsi="Tahoma" w:cs="Tahoma"/>
          <w:b w:val="0"/>
          <w:bCs w:val="0"/>
        </w:rPr>
        <w:t xml:space="preserve"> </w:t>
      </w:r>
      <w:r w:rsidR="002F24E1" w:rsidRPr="00B004EE">
        <w:rPr>
          <w:rFonts w:ascii="Tahoma" w:hAnsi="Tahoma" w:cs="Tahoma"/>
          <w:b w:val="0"/>
          <w:bCs w:val="0"/>
        </w:rPr>
        <w:t>vigueur,</w:t>
      </w:r>
      <w:r w:rsidR="00DB1635" w:rsidRPr="00B004EE">
        <w:rPr>
          <w:rFonts w:ascii="Tahoma" w:hAnsi="Tahoma" w:cs="Tahoma"/>
          <w:b w:val="0"/>
          <w:bCs w:val="0"/>
        </w:rPr>
        <w:t xml:space="preserve"> </w:t>
      </w:r>
      <w:r w:rsidR="002F24E1" w:rsidRPr="00B004EE">
        <w:rPr>
          <w:rFonts w:ascii="Tahoma" w:hAnsi="Tahoma" w:cs="Tahoma"/>
          <w:b w:val="0"/>
          <w:bCs w:val="0"/>
        </w:rPr>
        <w:t>les</w:t>
      </w:r>
      <w:r w:rsidR="00DB1635" w:rsidRPr="00B004EE">
        <w:rPr>
          <w:rFonts w:ascii="Tahoma" w:hAnsi="Tahoma" w:cs="Tahoma"/>
          <w:b w:val="0"/>
          <w:bCs w:val="0"/>
        </w:rPr>
        <w:t xml:space="preserve"> </w:t>
      </w:r>
      <w:r w:rsidR="002F24E1" w:rsidRPr="00B004EE">
        <w:rPr>
          <w:rFonts w:ascii="Tahoma" w:hAnsi="Tahoma" w:cs="Tahoma"/>
          <w:b w:val="0"/>
          <w:bCs w:val="0"/>
        </w:rPr>
        <w:t>infractions</w:t>
      </w:r>
      <w:r w:rsidR="00DB1635" w:rsidRPr="00B004EE">
        <w:rPr>
          <w:rFonts w:ascii="Tahoma" w:hAnsi="Tahoma" w:cs="Tahoma"/>
          <w:b w:val="0"/>
          <w:bCs w:val="0"/>
        </w:rPr>
        <w:t xml:space="preserve"> </w:t>
      </w:r>
      <w:r w:rsidR="002F24E1" w:rsidRPr="00B004EE">
        <w:rPr>
          <w:rFonts w:ascii="Tahoma" w:hAnsi="Tahoma" w:cs="Tahoma"/>
          <w:b w:val="0"/>
          <w:bCs w:val="0"/>
        </w:rPr>
        <w:t>au</w:t>
      </w:r>
      <w:r w:rsidR="00DB1635" w:rsidRPr="00B004EE">
        <w:rPr>
          <w:rFonts w:ascii="Tahoma" w:hAnsi="Tahoma" w:cs="Tahoma"/>
          <w:b w:val="0"/>
          <w:bCs w:val="0"/>
        </w:rPr>
        <w:t xml:space="preserve"> </w:t>
      </w:r>
      <w:r w:rsidR="002F24E1" w:rsidRPr="00B004EE">
        <w:rPr>
          <w:rFonts w:ascii="Tahoma" w:hAnsi="Tahoma" w:cs="Tahoma"/>
          <w:b w:val="0"/>
          <w:bCs w:val="0"/>
        </w:rPr>
        <w:t>présent</w:t>
      </w:r>
      <w:r w:rsidR="00DB1635" w:rsidRPr="00B004EE">
        <w:rPr>
          <w:rFonts w:ascii="Tahoma" w:hAnsi="Tahoma" w:cs="Tahoma"/>
          <w:b w:val="0"/>
          <w:bCs w:val="0"/>
        </w:rPr>
        <w:t xml:space="preserve"> </w:t>
      </w:r>
      <w:r w:rsidR="002F24E1" w:rsidRPr="00B004EE">
        <w:rPr>
          <w:rFonts w:ascii="Tahoma" w:hAnsi="Tahoma" w:cs="Tahoma"/>
          <w:b w:val="0"/>
          <w:bCs w:val="0"/>
        </w:rPr>
        <w:t>décret</w:t>
      </w:r>
      <w:r w:rsidR="00DB1635" w:rsidRPr="00B004EE">
        <w:rPr>
          <w:rFonts w:ascii="Tahoma" w:hAnsi="Tahoma" w:cs="Tahoma"/>
          <w:b w:val="0"/>
          <w:bCs w:val="0"/>
        </w:rPr>
        <w:t xml:space="preserve"> </w:t>
      </w:r>
      <w:r w:rsidR="002F24E1" w:rsidRPr="00B004EE">
        <w:rPr>
          <w:rFonts w:ascii="Tahoma" w:hAnsi="Tahoma" w:cs="Tahoma"/>
          <w:b w:val="0"/>
          <w:bCs w:val="0"/>
        </w:rPr>
        <w:t>et</w:t>
      </w:r>
      <w:r w:rsidR="00DB1635" w:rsidRPr="00B004EE">
        <w:rPr>
          <w:rFonts w:ascii="Tahoma" w:hAnsi="Tahoma" w:cs="Tahoma"/>
          <w:b w:val="0"/>
          <w:bCs w:val="0"/>
        </w:rPr>
        <w:t xml:space="preserve"> </w:t>
      </w:r>
      <w:r w:rsidR="002F24E1" w:rsidRPr="00B004EE">
        <w:rPr>
          <w:rFonts w:ascii="Tahoma" w:hAnsi="Tahoma" w:cs="Tahoma"/>
          <w:b w:val="0"/>
          <w:bCs w:val="0"/>
        </w:rPr>
        <w:t>de</w:t>
      </w:r>
      <w:r w:rsidR="00DB1635" w:rsidRPr="00B004EE">
        <w:rPr>
          <w:rFonts w:ascii="Tahoma" w:hAnsi="Tahoma" w:cs="Tahoma"/>
          <w:b w:val="0"/>
          <w:bCs w:val="0"/>
        </w:rPr>
        <w:t xml:space="preserve"> </w:t>
      </w:r>
      <w:r w:rsidR="002F24E1" w:rsidRPr="00B004EE">
        <w:rPr>
          <w:rFonts w:ascii="Tahoma" w:hAnsi="Tahoma" w:cs="Tahoma"/>
          <w:b w:val="0"/>
          <w:bCs w:val="0"/>
        </w:rPr>
        <w:t>règlements</w:t>
      </w:r>
      <w:r w:rsidR="00DB1635" w:rsidRPr="00B004EE">
        <w:rPr>
          <w:rFonts w:ascii="Tahoma" w:hAnsi="Tahoma" w:cs="Tahoma"/>
          <w:b w:val="0"/>
          <w:bCs w:val="0"/>
        </w:rPr>
        <w:t xml:space="preserve"> </w:t>
      </w:r>
      <w:r w:rsidR="002F24E1" w:rsidRPr="00B004EE">
        <w:rPr>
          <w:rFonts w:ascii="Tahoma" w:hAnsi="Tahoma" w:cs="Tahoma"/>
          <w:b w:val="0"/>
          <w:bCs w:val="0"/>
        </w:rPr>
        <w:t>pris</w:t>
      </w:r>
      <w:r w:rsidR="00DB1635" w:rsidRPr="00B004EE">
        <w:rPr>
          <w:rFonts w:ascii="Tahoma" w:hAnsi="Tahoma" w:cs="Tahoma"/>
          <w:b w:val="0"/>
          <w:bCs w:val="0"/>
        </w:rPr>
        <w:t xml:space="preserve"> </w:t>
      </w:r>
      <w:r w:rsidR="002F24E1" w:rsidRPr="00B004EE">
        <w:rPr>
          <w:rFonts w:ascii="Tahoma" w:hAnsi="Tahoma" w:cs="Tahoma"/>
          <w:b w:val="0"/>
          <w:bCs w:val="0"/>
        </w:rPr>
        <w:t>pour</w:t>
      </w:r>
      <w:r w:rsidR="00DB1635" w:rsidRPr="00B004EE">
        <w:rPr>
          <w:rFonts w:ascii="Tahoma" w:hAnsi="Tahoma" w:cs="Tahoma"/>
          <w:b w:val="0"/>
          <w:bCs w:val="0"/>
        </w:rPr>
        <w:t xml:space="preserve"> </w:t>
      </w:r>
      <w:r w:rsidR="002F24E1" w:rsidRPr="00B004EE">
        <w:rPr>
          <w:rFonts w:ascii="Tahoma" w:hAnsi="Tahoma" w:cs="Tahoma"/>
          <w:b w:val="0"/>
          <w:bCs w:val="0"/>
        </w:rPr>
        <w:t>son</w:t>
      </w:r>
      <w:r w:rsidR="00DB1635" w:rsidRPr="00B004EE">
        <w:rPr>
          <w:rFonts w:ascii="Tahoma" w:hAnsi="Tahoma" w:cs="Tahoma"/>
          <w:b w:val="0"/>
          <w:bCs w:val="0"/>
        </w:rPr>
        <w:t xml:space="preserve"> </w:t>
      </w:r>
      <w:r w:rsidR="002F24E1" w:rsidRPr="00B004EE">
        <w:rPr>
          <w:rFonts w:ascii="Tahoma" w:hAnsi="Tahoma" w:cs="Tahoma"/>
          <w:b w:val="0"/>
          <w:bCs w:val="0"/>
        </w:rPr>
        <w:t>application</w:t>
      </w:r>
      <w:r w:rsidR="00DB1635" w:rsidRPr="00B004EE">
        <w:rPr>
          <w:rFonts w:ascii="Tahoma" w:hAnsi="Tahoma" w:cs="Tahoma"/>
          <w:b w:val="0"/>
          <w:bCs w:val="0"/>
        </w:rPr>
        <w:t xml:space="preserve"> </w:t>
      </w:r>
      <w:r w:rsidR="002F24E1" w:rsidRPr="00B004EE">
        <w:rPr>
          <w:rFonts w:ascii="Tahoma" w:hAnsi="Tahoma" w:cs="Tahoma"/>
          <w:b w:val="0"/>
          <w:bCs w:val="0"/>
        </w:rPr>
        <w:t>seront</w:t>
      </w:r>
      <w:r w:rsidR="00DB1635" w:rsidRPr="00B004EE">
        <w:rPr>
          <w:rFonts w:ascii="Tahoma" w:hAnsi="Tahoma" w:cs="Tahoma"/>
          <w:b w:val="0"/>
          <w:bCs w:val="0"/>
        </w:rPr>
        <w:t xml:space="preserve"> </w:t>
      </w:r>
      <w:r w:rsidR="002F24E1" w:rsidRPr="00B004EE">
        <w:rPr>
          <w:rFonts w:ascii="Tahoma" w:hAnsi="Tahoma" w:cs="Tahoma"/>
          <w:b w:val="0"/>
          <w:bCs w:val="0"/>
        </w:rPr>
        <w:t>punis</w:t>
      </w:r>
      <w:r w:rsidR="00DB1635" w:rsidRPr="00B004EE">
        <w:rPr>
          <w:rFonts w:ascii="Tahoma" w:hAnsi="Tahoma" w:cs="Tahoma"/>
          <w:b w:val="0"/>
          <w:bCs w:val="0"/>
        </w:rPr>
        <w:t xml:space="preserve"> </w:t>
      </w:r>
      <w:r w:rsidR="002F24E1" w:rsidRPr="00B004EE">
        <w:rPr>
          <w:rFonts w:ascii="Tahoma" w:hAnsi="Tahoma" w:cs="Tahoma"/>
          <w:b w:val="0"/>
          <w:bCs w:val="0"/>
        </w:rPr>
        <w:t>conformément</w:t>
      </w:r>
      <w:r w:rsidR="00DB1635" w:rsidRPr="00B004EE">
        <w:rPr>
          <w:rFonts w:ascii="Tahoma" w:hAnsi="Tahoma" w:cs="Tahoma"/>
          <w:b w:val="0"/>
          <w:bCs w:val="0"/>
        </w:rPr>
        <w:t xml:space="preserve"> </w:t>
      </w:r>
      <w:r w:rsidR="002F24E1" w:rsidRPr="00B004EE">
        <w:rPr>
          <w:rFonts w:ascii="Tahoma" w:hAnsi="Tahoma" w:cs="Tahoma"/>
          <w:b w:val="0"/>
          <w:bCs w:val="0"/>
        </w:rPr>
        <w:t>aux</w:t>
      </w:r>
      <w:r w:rsidR="00DB1635" w:rsidRPr="00B004EE">
        <w:rPr>
          <w:rFonts w:ascii="Tahoma" w:hAnsi="Tahoma" w:cs="Tahoma"/>
          <w:b w:val="0"/>
          <w:bCs w:val="0"/>
        </w:rPr>
        <w:t xml:space="preserve"> </w:t>
      </w:r>
      <w:r w:rsidR="002F24E1" w:rsidRPr="00B004EE">
        <w:rPr>
          <w:rFonts w:ascii="Tahoma" w:hAnsi="Tahoma" w:cs="Tahoma"/>
          <w:b w:val="0"/>
          <w:bCs w:val="0"/>
        </w:rPr>
        <w:t>dispositions</w:t>
      </w:r>
      <w:r w:rsidR="00DB1635" w:rsidRPr="00B004EE">
        <w:rPr>
          <w:rFonts w:ascii="Tahoma" w:hAnsi="Tahoma" w:cs="Tahoma"/>
          <w:b w:val="0"/>
          <w:bCs w:val="0"/>
        </w:rPr>
        <w:t xml:space="preserve"> </w:t>
      </w:r>
      <w:r w:rsidR="002F24E1" w:rsidRPr="00B004EE">
        <w:rPr>
          <w:rFonts w:ascii="Tahoma" w:hAnsi="Tahoma" w:cs="Tahoma"/>
          <w:b w:val="0"/>
          <w:bCs w:val="0"/>
        </w:rPr>
        <w:t>de</w:t>
      </w:r>
      <w:r w:rsidR="00DB1635" w:rsidRPr="00B004EE">
        <w:rPr>
          <w:rFonts w:ascii="Tahoma" w:hAnsi="Tahoma" w:cs="Tahoma"/>
          <w:b w:val="0"/>
          <w:bCs w:val="0"/>
        </w:rPr>
        <w:t xml:space="preserve"> </w:t>
      </w:r>
      <w:r w:rsidR="002F24E1" w:rsidRPr="00B004EE">
        <w:rPr>
          <w:rFonts w:ascii="Tahoma" w:hAnsi="Tahoma" w:cs="Tahoma"/>
          <w:b w:val="0"/>
          <w:bCs w:val="0"/>
        </w:rPr>
        <w:t>l'article</w:t>
      </w:r>
      <w:r w:rsidR="00DB1635" w:rsidRPr="00B004EE">
        <w:rPr>
          <w:rFonts w:ascii="Tahoma" w:hAnsi="Tahoma" w:cs="Tahoma"/>
          <w:b w:val="0"/>
          <w:bCs w:val="0"/>
        </w:rPr>
        <w:t xml:space="preserve"> </w:t>
      </w:r>
      <w:r w:rsidR="002F24E1" w:rsidRPr="00B004EE">
        <w:rPr>
          <w:rFonts w:ascii="Tahoma" w:hAnsi="Tahoma" w:cs="Tahoma"/>
          <w:b w:val="0"/>
          <w:bCs w:val="0"/>
        </w:rPr>
        <w:t>54</w:t>
      </w:r>
      <w:r w:rsidR="00DB1635" w:rsidRPr="00B004EE">
        <w:rPr>
          <w:rFonts w:ascii="Tahoma" w:hAnsi="Tahoma" w:cs="Tahoma"/>
          <w:b w:val="0"/>
          <w:bCs w:val="0"/>
        </w:rPr>
        <w:t xml:space="preserve"> </w:t>
      </w:r>
      <w:r w:rsidR="002F24E1" w:rsidRPr="00B004EE">
        <w:rPr>
          <w:rFonts w:ascii="Tahoma" w:hAnsi="Tahoma" w:cs="Tahoma"/>
          <w:b w:val="0"/>
          <w:bCs w:val="0"/>
        </w:rPr>
        <w:t>de</w:t>
      </w:r>
      <w:r w:rsidR="00DB1635" w:rsidRPr="00B004EE">
        <w:rPr>
          <w:rFonts w:ascii="Tahoma" w:hAnsi="Tahoma" w:cs="Tahoma"/>
          <w:b w:val="0"/>
          <w:bCs w:val="0"/>
        </w:rPr>
        <w:t xml:space="preserve"> </w:t>
      </w:r>
      <w:r w:rsidR="002F24E1" w:rsidRPr="00B004EE">
        <w:rPr>
          <w:rFonts w:ascii="Tahoma" w:hAnsi="Tahoma" w:cs="Tahoma"/>
          <w:b w:val="0"/>
          <w:bCs w:val="0"/>
        </w:rPr>
        <w:t>l'ordonnance</w:t>
      </w:r>
      <w:r w:rsidR="00DB1635" w:rsidRPr="00B004EE">
        <w:rPr>
          <w:rFonts w:ascii="Tahoma" w:hAnsi="Tahoma" w:cs="Tahoma"/>
          <w:b w:val="0"/>
          <w:bCs w:val="0"/>
        </w:rPr>
        <w:t xml:space="preserve"> </w:t>
      </w:r>
      <w:r w:rsidR="002F24E1" w:rsidRPr="00B004EE">
        <w:rPr>
          <w:rFonts w:ascii="Tahoma" w:hAnsi="Tahoma" w:cs="Tahoma"/>
          <w:b w:val="0"/>
          <w:bCs w:val="0"/>
        </w:rPr>
        <w:t>88.144</w:t>
      </w:r>
      <w:r w:rsidR="00DB1635" w:rsidRPr="00B004EE">
        <w:rPr>
          <w:rFonts w:ascii="Tahoma" w:hAnsi="Tahoma" w:cs="Tahoma"/>
          <w:b w:val="0"/>
          <w:bCs w:val="0"/>
        </w:rPr>
        <w:t xml:space="preserve"> </w:t>
      </w:r>
      <w:r w:rsidR="002F24E1" w:rsidRPr="00B004EE">
        <w:rPr>
          <w:rFonts w:ascii="Tahoma" w:hAnsi="Tahoma" w:cs="Tahoma"/>
          <w:b w:val="0"/>
          <w:bCs w:val="0"/>
        </w:rPr>
        <w:t>du</w:t>
      </w:r>
      <w:r w:rsidR="00DB1635" w:rsidRPr="00B004EE">
        <w:rPr>
          <w:rFonts w:ascii="Tahoma" w:hAnsi="Tahoma" w:cs="Tahoma"/>
          <w:b w:val="0"/>
          <w:bCs w:val="0"/>
        </w:rPr>
        <w:t xml:space="preserve"> </w:t>
      </w:r>
      <w:r w:rsidR="002F24E1" w:rsidRPr="00B004EE">
        <w:rPr>
          <w:rFonts w:ascii="Tahoma" w:hAnsi="Tahoma" w:cs="Tahoma"/>
          <w:b w:val="0"/>
          <w:bCs w:val="0"/>
        </w:rPr>
        <w:t>30</w:t>
      </w:r>
      <w:r w:rsidR="00DB1635" w:rsidRPr="00B004EE">
        <w:rPr>
          <w:rFonts w:ascii="Tahoma" w:hAnsi="Tahoma" w:cs="Tahoma"/>
          <w:b w:val="0"/>
          <w:bCs w:val="0"/>
        </w:rPr>
        <w:t xml:space="preserve"> </w:t>
      </w:r>
      <w:r w:rsidR="002F24E1" w:rsidRPr="00B004EE">
        <w:rPr>
          <w:rFonts w:ascii="Tahoma" w:hAnsi="Tahoma" w:cs="Tahoma"/>
          <w:b w:val="0"/>
          <w:bCs w:val="0"/>
        </w:rPr>
        <w:t>Octobre</w:t>
      </w:r>
      <w:r w:rsidR="00DB1635" w:rsidRPr="00B004EE">
        <w:rPr>
          <w:rFonts w:ascii="Tahoma" w:hAnsi="Tahoma" w:cs="Tahoma"/>
          <w:b w:val="0"/>
          <w:bCs w:val="0"/>
        </w:rPr>
        <w:t xml:space="preserve"> </w:t>
      </w:r>
      <w:r w:rsidR="002F24E1" w:rsidRPr="00B004EE">
        <w:rPr>
          <w:rFonts w:ascii="Tahoma" w:hAnsi="Tahoma" w:cs="Tahoma"/>
          <w:b w:val="0"/>
          <w:bCs w:val="0"/>
        </w:rPr>
        <w:t>1988</w:t>
      </w:r>
      <w:r w:rsidR="00DB1635" w:rsidRPr="00B004EE">
        <w:rPr>
          <w:rFonts w:ascii="Tahoma" w:hAnsi="Tahoma" w:cs="Tahoma"/>
          <w:b w:val="0"/>
          <w:bCs w:val="0"/>
        </w:rPr>
        <w:t xml:space="preserve"> </w:t>
      </w:r>
      <w:r w:rsidR="002F24E1" w:rsidRPr="00B004EE">
        <w:rPr>
          <w:rFonts w:ascii="Tahoma" w:hAnsi="Tahoma" w:cs="Tahoma"/>
          <w:b w:val="0"/>
          <w:bCs w:val="0"/>
        </w:rPr>
        <w:t>portant</w:t>
      </w:r>
      <w:r w:rsidR="00DB1635" w:rsidRPr="00B004EE">
        <w:rPr>
          <w:rFonts w:ascii="Tahoma" w:hAnsi="Tahoma" w:cs="Tahoma"/>
          <w:b w:val="0"/>
          <w:bCs w:val="0"/>
        </w:rPr>
        <w:t xml:space="preserve"> </w:t>
      </w:r>
      <w:r w:rsidR="002F24E1" w:rsidRPr="00B004EE">
        <w:rPr>
          <w:rFonts w:ascii="Tahoma" w:hAnsi="Tahoma" w:cs="Tahoma"/>
          <w:b w:val="0"/>
          <w:bCs w:val="0"/>
        </w:rPr>
        <w:t>Code</w:t>
      </w:r>
      <w:r w:rsidR="00DB1635" w:rsidRPr="00B004EE">
        <w:rPr>
          <w:rFonts w:ascii="Tahoma" w:hAnsi="Tahoma" w:cs="Tahoma"/>
          <w:b w:val="0"/>
          <w:bCs w:val="0"/>
        </w:rPr>
        <w:t xml:space="preserve"> </w:t>
      </w:r>
      <w:r w:rsidR="002F24E1" w:rsidRPr="00B004EE">
        <w:rPr>
          <w:rFonts w:ascii="Tahoma" w:hAnsi="Tahoma" w:cs="Tahoma"/>
          <w:b w:val="0"/>
          <w:bCs w:val="0"/>
        </w:rPr>
        <w:t>des</w:t>
      </w:r>
      <w:r w:rsidR="00DB1635" w:rsidRPr="00B004EE">
        <w:rPr>
          <w:rFonts w:ascii="Tahoma" w:hAnsi="Tahoma" w:cs="Tahoma"/>
          <w:b w:val="0"/>
          <w:bCs w:val="0"/>
        </w:rPr>
        <w:t xml:space="preserve"> </w:t>
      </w:r>
      <w:r w:rsidR="002F24E1" w:rsidRPr="00B004EE">
        <w:rPr>
          <w:rFonts w:ascii="Tahoma" w:hAnsi="Tahoma" w:cs="Tahoma"/>
          <w:b w:val="0"/>
          <w:bCs w:val="0"/>
        </w:rPr>
        <w:t>Pêches</w:t>
      </w:r>
      <w:r w:rsidR="00DB1635" w:rsidRPr="00B004EE">
        <w:rPr>
          <w:rFonts w:ascii="Tahoma" w:hAnsi="Tahoma" w:cs="Tahoma"/>
          <w:b w:val="0"/>
          <w:bCs w:val="0"/>
        </w:rPr>
        <w:t xml:space="preserve"> </w:t>
      </w:r>
      <w:r w:rsidR="002F24E1" w:rsidRPr="00B004EE">
        <w:rPr>
          <w:rFonts w:ascii="Tahoma" w:hAnsi="Tahoma" w:cs="Tahoma"/>
          <w:b w:val="0"/>
          <w:bCs w:val="0"/>
        </w:rPr>
        <w:t>Maritimes.</w:t>
      </w:r>
    </w:p>
    <w:p w14:paraId="4911B822" w14:textId="77777777" w:rsidR="002F24E1" w:rsidRPr="00B004EE" w:rsidRDefault="002F24E1" w:rsidP="00B004EE">
      <w:pPr>
        <w:pStyle w:val="Lgende"/>
        <w:jc w:val="both"/>
        <w:rPr>
          <w:rFonts w:ascii="Tahoma" w:hAnsi="Tahoma" w:cs="Tahoma"/>
          <w:b w:val="0"/>
          <w:bCs w:val="0"/>
        </w:rPr>
      </w:pPr>
    </w:p>
    <w:p w14:paraId="47D1C1CC" w14:textId="005CF01D" w:rsidR="002F24E1" w:rsidRPr="00B004EE" w:rsidRDefault="00561F81" w:rsidP="00B004EE">
      <w:pPr>
        <w:pStyle w:val="Lgende"/>
        <w:jc w:val="both"/>
        <w:rPr>
          <w:rFonts w:ascii="Tahoma" w:hAnsi="Tahoma" w:cs="Tahoma"/>
          <w:b w:val="0"/>
          <w:bCs w:val="0"/>
        </w:rPr>
      </w:pPr>
      <w:r w:rsidRPr="00B004EE">
        <w:rPr>
          <w:rFonts w:ascii="Tahoma" w:hAnsi="Tahoma" w:cs="Tahoma"/>
          <w:b w:val="0"/>
          <w:bCs w:val="0"/>
        </w:rPr>
        <w:t xml:space="preserve">Article </w:t>
      </w:r>
      <w:r w:rsidR="002F24E1" w:rsidRPr="00B004EE">
        <w:rPr>
          <w:rFonts w:ascii="Tahoma" w:hAnsi="Tahoma" w:cs="Tahoma"/>
          <w:b w:val="0"/>
          <w:bCs w:val="0"/>
        </w:rPr>
        <w:t>6</w:t>
      </w:r>
      <w:r w:rsidR="00DB1635" w:rsidRPr="00B004EE">
        <w:rPr>
          <w:rFonts w:ascii="Tahoma" w:hAnsi="Tahoma" w:cs="Tahoma"/>
          <w:b w:val="0"/>
          <w:bCs w:val="0"/>
        </w:rPr>
        <w:t xml:space="preserve"> </w:t>
      </w:r>
      <w:r w:rsidR="002F24E1" w:rsidRPr="00B004EE">
        <w:rPr>
          <w:rFonts w:ascii="Tahoma" w:hAnsi="Tahoma" w:cs="Tahoma"/>
          <w:b w:val="0"/>
          <w:bCs w:val="0"/>
        </w:rPr>
        <w:t>:</w:t>
      </w:r>
      <w:r w:rsidR="00DB1635" w:rsidRPr="00B004EE">
        <w:rPr>
          <w:rFonts w:ascii="Tahoma" w:hAnsi="Tahoma" w:cs="Tahoma"/>
          <w:b w:val="0"/>
          <w:bCs w:val="0"/>
        </w:rPr>
        <w:t xml:space="preserve"> </w:t>
      </w:r>
      <w:r w:rsidR="002F24E1" w:rsidRPr="00B004EE">
        <w:rPr>
          <w:rFonts w:ascii="Tahoma" w:hAnsi="Tahoma" w:cs="Tahoma"/>
          <w:b w:val="0"/>
          <w:bCs w:val="0"/>
        </w:rPr>
        <w:t>Sont</w:t>
      </w:r>
      <w:r w:rsidR="00DB1635" w:rsidRPr="00B004EE">
        <w:rPr>
          <w:rFonts w:ascii="Tahoma" w:hAnsi="Tahoma" w:cs="Tahoma"/>
          <w:b w:val="0"/>
          <w:bCs w:val="0"/>
        </w:rPr>
        <w:t xml:space="preserve"> </w:t>
      </w:r>
      <w:r w:rsidR="002F24E1" w:rsidRPr="00B004EE">
        <w:rPr>
          <w:rFonts w:ascii="Tahoma" w:hAnsi="Tahoma" w:cs="Tahoma"/>
          <w:b w:val="0"/>
          <w:bCs w:val="0"/>
        </w:rPr>
        <w:t>abrogées</w:t>
      </w:r>
      <w:r w:rsidR="00DB1635" w:rsidRPr="00B004EE">
        <w:rPr>
          <w:rFonts w:ascii="Tahoma" w:hAnsi="Tahoma" w:cs="Tahoma"/>
          <w:b w:val="0"/>
          <w:bCs w:val="0"/>
        </w:rPr>
        <w:t xml:space="preserve"> </w:t>
      </w:r>
      <w:r w:rsidR="002F24E1" w:rsidRPr="00B004EE">
        <w:rPr>
          <w:rFonts w:ascii="Tahoma" w:hAnsi="Tahoma" w:cs="Tahoma"/>
          <w:b w:val="0"/>
          <w:bCs w:val="0"/>
        </w:rPr>
        <w:t>les</w:t>
      </w:r>
      <w:r w:rsidR="00DB1635" w:rsidRPr="00B004EE">
        <w:rPr>
          <w:rFonts w:ascii="Tahoma" w:hAnsi="Tahoma" w:cs="Tahoma"/>
          <w:b w:val="0"/>
          <w:bCs w:val="0"/>
        </w:rPr>
        <w:t xml:space="preserve"> </w:t>
      </w:r>
      <w:r w:rsidR="002F24E1" w:rsidRPr="00B004EE">
        <w:rPr>
          <w:rFonts w:ascii="Tahoma" w:hAnsi="Tahoma" w:cs="Tahoma"/>
          <w:b w:val="0"/>
          <w:bCs w:val="0"/>
        </w:rPr>
        <w:t>dispositions</w:t>
      </w:r>
      <w:r w:rsidR="00DB1635" w:rsidRPr="00B004EE">
        <w:rPr>
          <w:rFonts w:ascii="Tahoma" w:hAnsi="Tahoma" w:cs="Tahoma"/>
          <w:b w:val="0"/>
          <w:bCs w:val="0"/>
        </w:rPr>
        <w:t xml:space="preserve"> </w:t>
      </w:r>
      <w:r w:rsidR="002F24E1" w:rsidRPr="00B004EE">
        <w:rPr>
          <w:rFonts w:ascii="Tahoma" w:hAnsi="Tahoma" w:cs="Tahoma"/>
          <w:b w:val="0"/>
          <w:bCs w:val="0"/>
        </w:rPr>
        <w:t>antérieures</w:t>
      </w:r>
      <w:r w:rsidR="00DB1635" w:rsidRPr="00B004EE">
        <w:rPr>
          <w:rFonts w:ascii="Tahoma" w:hAnsi="Tahoma" w:cs="Tahoma"/>
          <w:b w:val="0"/>
          <w:bCs w:val="0"/>
        </w:rPr>
        <w:t xml:space="preserve"> </w:t>
      </w:r>
      <w:r w:rsidR="002F24E1" w:rsidRPr="00B004EE">
        <w:rPr>
          <w:rFonts w:ascii="Tahoma" w:hAnsi="Tahoma" w:cs="Tahoma"/>
          <w:b w:val="0"/>
          <w:bCs w:val="0"/>
        </w:rPr>
        <w:t>contraires</w:t>
      </w:r>
      <w:r w:rsidR="00DB1635" w:rsidRPr="00B004EE">
        <w:rPr>
          <w:rFonts w:ascii="Tahoma" w:hAnsi="Tahoma" w:cs="Tahoma"/>
          <w:b w:val="0"/>
          <w:bCs w:val="0"/>
        </w:rPr>
        <w:t xml:space="preserve"> </w:t>
      </w:r>
      <w:r w:rsidR="002F24E1" w:rsidRPr="00B004EE">
        <w:rPr>
          <w:rFonts w:ascii="Tahoma" w:hAnsi="Tahoma" w:cs="Tahoma"/>
          <w:b w:val="0"/>
          <w:bCs w:val="0"/>
        </w:rPr>
        <w:t>à</w:t>
      </w:r>
      <w:r w:rsidR="00DB1635" w:rsidRPr="00B004EE">
        <w:rPr>
          <w:rFonts w:ascii="Tahoma" w:hAnsi="Tahoma" w:cs="Tahoma"/>
          <w:b w:val="0"/>
          <w:bCs w:val="0"/>
        </w:rPr>
        <w:t xml:space="preserve"> </w:t>
      </w:r>
      <w:r w:rsidR="002F24E1" w:rsidRPr="00B004EE">
        <w:rPr>
          <w:rFonts w:ascii="Tahoma" w:hAnsi="Tahoma" w:cs="Tahoma"/>
          <w:b w:val="0"/>
          <w:bCs w:val="0"/>
        </w:rPr>
        <w:t>celles</w:t>
      </w:r>
      <w:r w:rsidR="00DB1635" w:rsidRPr="00B004EE">
        <w:rPr>
          <w:rFonts w:ascii="Tahoma" w:hAnsi="Tahoma" w:cs="Tahoma"/>
          <w:b w:val="0"/>
          <w:bCs w:val="0"/>
        </w:rPr>
        <w:t xml:space="preserve"> </w:t>
      </w:r>
      <w:r w:rsidR="002F24E1" w:rsidRPr="00B004EE">
        <w:rPr>
          <w:rFonts w:ascii="Tahoma" w:hAnsi="Tahoma" w:cs="Tahoma"/>
          <w:b w:val="0"/>
          <w:bCs w:val="0"/>
        </w:rPr>
        <w:t>du</w:t>
      </w:r>
      <w:r w:rsidR="00DB1635" w:rsidRPr="00B004EE">
        <w:rPr>
          <w:rFonts w:ascii="Tahoma" w:hAnsi="Tahoma" w:cs="Tahoma"/>
          <w:b w:val="0"/>
          <w:bCs w:val="0"/>
        </w:rPr>
        <w:t xml:space="preserve"> </w:t>
      </w:r>
      <w:r w:rsidR="002F24E1" w:rsidRPr="00B004EE">
        <w:rPr>
          <w:rFonts w:ascii="Tahoma" w:hAnsi="Tahoma" w:cs="Tahoma"/>
          <w:b w:val="0"/>
          <w:bCs w:val="0"/>
        </w:rPr>
        <w:t>présent</w:t>
      </w:r>
      <w:r w:rsidR="00DB1635" w:rsidRPr="00B004EE">
        <w:rPr>
          <w:rFonts w:ascii="Tahoma" w:hAnsi="Tahoma" w:cs="Tahoma"/>
          <w:b w:val="0"/>
          <w:bCs w:val="0"/>
        </w:rPr>
        <w:t xml:space="preserve"> </w:t>
      </w:r>
      <w:r w:rsidR="002F24E1" w:rsidRPr="00B004EE">
        <w:rPr>
          <w:rFonts w:ascii="Tahoma" w:hAnsi="Tahoma" w:cs="Tahoma"/>
          <w:b w:val="0"/>
          <w:bCs w:val="0"/>
        </w:rPr>
        <w:t>décret.</w:t>
      </w:r>
    </w:p>
    <w:p w14:paraId="550499F5" w14:textId="77777777" w:rsidR="002F24E1" w:rsidRPr="00B004EE" w:rsidRDefault="002F24E1" w:rsidP="00B004EE">
      <w:pPr>
        <w:pStyle w:val="Lgende"/>
        <w:jc w:val="both"/>
        <w:rPr>
          <w:rFonts w:ascii="Tahoma" w:hAnsi="Tahoma" w:cs="Tahoma"/>
          <w:b w:val="0"/>
          <w:bCs w:val="0"/>
        </w:rPr>
      </w:pPr>
    </w:p>
    <w:p w14:paraId="2C932698" w14:textId="5C9303B6" w:rsidR="002F24E1" w:rsidRPr="00B004EE" w:rsidRDefault="00561F81" w:rsidP="00B004EE">
      <w:pPr>
        <w:pStyle w:val="Lgende"/>
        <w:jc w:val="both"/>
        <w:rPr>
          <w:rFonts w:ascii="Tahoma" w:hAnsi="Tahoma" w:cs="Tahoma"/>
          <w:b w:val="0"/>
          <w:bCs w:val="0"/>
        </w:rPr>
      </w:pPr>
      <w:r w:rsidRPr="00B004EE">
        <w:rPr>
          <w:rFonts w:ascii="Tahoma" w:hAnsi="Tahoma" w:cs="Tahoma"/>
          <w:b w:val="0"/>
          <w:bCs w:val="0"/>
        </w:rPr>
        <w:t>Article</w:t>
      </w:r>
      <w:r w:rsidR="00DB1635" w:rsidRPr="00B004EE">
        <w:rPr>
          <w:rFonts w:ascii="Tahoma" w:hAnsi="Tahoma" w:cs="Tahoma"/>
          <w:b w:val="0"/>
          <w:bCs w:val="0"/>
        </w:rPr>
        <w:t xml:space="preserve"> </w:t>
      </w:r>
      <w:r w:rsidR="002F24E1" w:rsidRPr="00B004EE">
        <w:rPr>
          <w:rFonts w:ascii="Tahoma" w:hAnsi="Tahoma" w:cs="Tahoma"/>
          <w:b w:val="0"/>
          <w:bCs w:val="0"/>
        </w:rPr>
        <w:t>7</w:t>
      </w:r>
      <w:r w:rsidR="00DB1635" w:rsidRPr="00B004EE">
        <w:rPr>
          <w:rFonts w:ascii="Tahoma" w:hAnsi="Tahoma" w:cs="Tahoma"/>
          <w:b w:val="0"/>
          <w:bCs w:val="0"/>
        </w:rPr>
        <w:t xml:space="preserve"> </w:t>
      </w:r>
      <w:r w:rsidR="002F24E1" w:rsidRPr="00B004EE">
        <w:rPr>
          <w:rFonts w:ascii="Tahoma" w:hAnsi="Tahoma" w:cs="Tahoma"/>
          <w:b w:val="0"/>
          <w:bCs w:val="0"/>
        </w:rPr>
        <w:t>:</w:t>
      </w:r>
      <w:r w:rsidR="00DB1635" w:rsidRPr="00B004EE">
        <w:rPr>
          <w:rFonts w:ascii="Tahoma" w:hAnsi="Tahoma" w:cs="Tahoma"/>
          <w:b w:val="0"/>
          <w:bCs w:val="0"/>
        </w:rPr>
        <w:t xml:space="preserve"> </w:t>
      </w:r>
      <w:r w:rsidR="002F24E1" w:rsidRPr="00B004EE">
        <w:rPr>
          <w:rFonts w:ascii="Tahoma" w:hAnsi="Tahoma" w:cs="Tahoma"/>
          <w:b w:val="0"/>
          <w:bCs w:val="0"/>
        </w:rPr>
        <w:t>Le</w:t>
      </w:r>
      <w:r w:rsidR="00DB1635" w:rsidRPr="00B004EE">
        <w:rPr>
          <w:rFonts w:ascii="Tahoma" w:hAnsi="Tahoma" w:cs="Tahoma"/>
          <w:b w:val="0"/>
          <w:bCs w:val="0"/>
        </w:rPr>
        <w:t xml:space="preserve"> </w:t>
      </w:r>
      <w:r w:rsidR="002F24E1" w:rsidRPr="00B004EE">
        <w:rPr>
          <w:rFonts w:ascii="Tahoma" w:hAnsi="Tahoma" w:cs="Tahoma"/>
          <w:b w:val="0"/>
          <w:bCs w:val="0"/>
        </w:rPr>
        <w:t>Ministre</w:t>
      </w:r>
      <w:r w:rsidR="00DB1635" w:rsidRPr="00B004EE">
        <w:rPr>
          <w:rFonts w:ascii="Tahoma" w:hAnsi="Tahoma" w:cs="Tahoma"/>
          <w:b w:val="0"/>
          <w:bCs w:val="0"/>
        </w:rPr>
        <w:t xml:space="preserve"> </w:t>
      </w:r>
      <w:r w:rsidR="002F24E1" w:rsidRPr="00B004EE">
        <w:rPr>
          <w:rFonts w:ascii="Tahoma" w:hAnsi="Tahoma" w:cs="Tahoma"/>
          <w:b w:val="0"/>
          <w:bCs w:val="0"/>
        </w:rPr>
        <w:t>chargé</w:t>
      </w:r>
      <w:r w:rsidR="00DB1635" w:rsidRPr="00B004EE">
        <w:rPr>
          <w:rFonts w:ascii="Tahoma" w:hAnsi="Tahoma" w:cs="Tahoma"/>
          <w:b w:val="0"/>
          <w:bCs w:val="0"/>
        </w:rPr>
        <w:t xml:space="preserve"> </w:t>
      </w:r>
      <w:r w:rsidR="002F24E1" w:rsidRPr="00B004EE">
        <w:rPr>
          <w:rFonts w:ascii="Tahoma" w:hAnsi="Tahoma" w:cs="Tahoma"/>
          <w:b w:val="0"/>
          <w:bCs w:val="0"/>
        </w:rPr>
        <w:t>des</w:t>
      </w:r>
      <w:r w:rsidR="00DB1635" w:rsidRPr="00B004EE">
        <w:rPr>
          <w:rFonts w:ascii="Tahoma" w:hAnsi="Tahoma" w:cs="Tahoma"/>
          <w:b w:val="0"/>
          <w:bCs w:val="0"/>
        </w:rPr>
        <w:t xml:space="preserve"> </w:t>
      </w:r>
      <w:r w:rsidR="002F24E1" w:rsidRPr="00B004EE">
        <w:rPr>
          <w:rFonts w:ascii="Tahoma" w:hAnsi="Tahoma" w:cs="Tahoma"/>
          <w:b w:val="0"/>
          <w:bCs w:val="0"/>
        </w:rPr>
        <w:t>pêches,</w:t>
      </w:r>
      <w:r w:rsidR="00DB1635" w:rsidRPr="00B004EE">
        <w:rPr>
          <w:rFonts w:ascii="Tahoma" w:hAnsi="Tahoma" w:cs="Tahoma"/>
          <w:b w:val="0"/>
          <w:bCs w:val="0"/>
        </w:rPr>
        <w:t xml:space="preserve"> </w:t>
      </w:r>
      <w:r w:rsidR="002F24E1" w:rsidRPr="00B004EE">
        <w:rPr>
          <w:rFonts w:ascii="Tahoma" w:hAnsi="Tahoma" w:cs="Tahoma"/>
          <w:b w:val="0"/>
          <w:bCs w:val="0"/>
        </w:rPr>
        <w:t>le</w:t>
      </w:r>
      <w:r w:rsidR="00DB1635" w:rsidRPr="00B004EE">
        <w:rPr>
          <w:rFonts w:ascii="Tahoma" w:hAnsi="Tahoma" w:cs="Tahoma"/>
          <w:b w:val="0"/>
          <w:bCs w:val="0"/>
        </w:rPr>
        <w:t xml:space="preserve"> </w:t>
      </w:r>
      <w:r w:rsidR="002F24E1" w:rsidRPr="00B004EE">
        <w:rPr>
          <w:rFonts w:ascii="Tahoma" w:hAnsi="Tahoma" w:cs="Tahoma"/>
          <w:b w:val="0"/>
          <w:bCs w:val="0"/>
        </w:rPr>
        <w:t>Ministre</w:t>
      </w:r>
      <w:r w:rsidR="00DB1635" w:rsidRPr="00B004EE">
        <w:rPr>
          <w:rFonts w:ascii="Tahoma" w:hAnsi="Tahoma" w:cs="Tahoma"/>
          <w:b w:val="0"/>
          <w:bCs w:val="0"/>
        </w:rPr>
        <w:t xml:space="preserve"> </w:t>
      </w:r>
      <w:r w:rsidR="002F24E1" w:rsidRPr="00B004EE">
        <w:rPr>
          <w:rFonts w:ascii="Tahoma" w:hAnsi="Tahoma" w:cs="Tahoma"/>
          <w:b w:val="0"/>
          <w:bCs w:val="0"/>
        </w:rPr>
        <w:t>Chargé</w:t>
      </w:r>
      <w:r w:rsidR="00DB1635" w:rsidRPr="00B004EE">
        <w:rPr>
          <w:rFonts w:ascii="Tahoma" w:hAnsi="Tahoma" w:cs="Tahoma"/>
          <w:b w:val="0"/>
          <w:bCs w:val="0"/>
        </w:rPr>
        <w:t xml:space="preserve"> </w:t>
      </w:r>
      <w:r w:rsidR="002F24E1" w:rsidRPr="00B004EE">
        <w:rPr>
          <w:rFonts w:ascii="Tahoma" w:hAnsi="Tahoma" w:cs="Tahoma"/>
          <w:b w:val="0"/>
          <w:bCs w:val="0"/>
        </w:rPr>
        <w:t>de</w:t>
      </w:r>
      <w:r w:rsidR="00DB1635" w:rsidRPr="00B004EE">
        <w:rPr>
          <w:rFonts w:ascii="Tahoma" w:hAnsi="Tahoma" w:cs="Tahoma"/>
          <w:b w:val="0"/>
          <w:bCs w:val="0"/>
        </w:rPr>
        <w:t xml:space="preserve"> </w:t>
      </w:r>
      <w:r w:rsidR="002F24E1" w:rsidRPr="00B004EE">
        <w:rPr>
          <w:rFonts w:ascii="Tahoma" w:hAnsi="Tahoma" w:cs="Tahoma"/>
          <w:b w:val="0"/>
          <w:bCs w:val="0"/>
        </w:rPr>
        <w:t>la</w:t>
      </w:r>
      <w:r w:rsidR="00DB1635" w:rsidRPr="00B004EE">
        <w:rPr>
          <w:rFonts w:ascii="Tahoma" w:hAnsi="Tahoma" w:cs="Tahoma"/>
          <w:b w:val="0"/>
          <w:bCs w:val="0"/>
        </w:rPr>
        <w:t xml:space="preserve"> </w:t>
      </w:r>
      <w:r w:rsidR="002F24E1" w:rsidRPr="00B004EE">
        <w:rPr>
          <w:rFonts w:ascii="Tahoma" w:hAnsi="Tahoma" w:cs="Tahoma"/>
          <w:b w:val="0"/>
          <w:bCs w:val="0"/>
        </w:rPr>
        <w:t>santé,</w:t>
      </w:r>
      <w:r w:rsidR="00DB1635" w:rsidRPr="00B004EE">
        <w:rPr>
          <w:rFonts w:ascii="Tahoma" w:hAnsi="Tahoma" w:cs="Tahoma"/>
          <w:b w:val="0"/>
          <w:bCs w:val="0"/>
        </w:rPr>
        <w:t xml:space="preserve"> </w:t>
      </w:r>
      <w:r w:rsidR="002F24E1" w:rsidRPr="00B004EE">
        <w:rPr>
          <w:rFonts w:ascii="Tahoma" w:hAnsi="Tahoma" w:cs="Tahoma"/>
          <w:b w:val="0"/>
          <w:bCs w:val="0"/>
        </w:rPr>
        <w:t>le</w:t>
      </w:r>
      <w:r w:rsidR="00DB1635" w:rsidRPr="00B004EE">
        <w:rPr>
          <w:rFonts w:ascii="Tahoma" w:hAnsi="Tahoma" w:cs="Tahoma"/>
          <w:b w:val="0"/>
          <w:bCs w:val="0"/>
        </w:rPr>
        <w:t xml:space="preserve"> </w:t>
      </w:r>
      <w:r w:rsidR="002F24E1" w:rsidRPr="00B004EE">
        <w:rPr>
          <w:rFonts w:ascii="Tahoma" w:hAnsi="Tahoma" w:cs="Tahoma"/>
          <w:b w:val="0"/>
          <w:bCs w:val="0"/>
        </w:rPr>
        <w:t>Ministre</w:t>
      </w:r>
      <w:r w:rsidR="00DB1635" w:rsidRPr="00B004EE">
        <w:rPr>
          <w:rFonts w:ascii="Tahoma" w:hAnsi="Tahoma" w:cs="Tahoma"/>
          <w:b w:val="0"/>
          <w:bCs w:val="0"/>
        </w:rPr>
        <w:t xml:space="preserve"> </w:t>
      </w:r>
      <w:r w:rsidR="002F24E1" w:rsidRPr="00B004EE">
        <w:rPr>
          <w:rFonts w:ascii="Tahoma" w:hAnsi="Tahoma" w:cs="Tahoma"/>
          <w:b w:val="0"/>
          <w:bCs w:val="0"/>
        </w:rPr>
        <w:t>chargé</w:t>
      </w:r>
      <w:r w:rsidR="00DB1635" w:rsidRPr="00B004EE">
        <w:rPr>
          <w:rFonts w:ascii="Tahoma" w:hAnsi="Tahoma" w:cs="Tahoma"/>
          <w:b w:val="0"/>
          <w:bCs w:val="0"/>
        </w:rPr>
        <w:t xml:space="preserve"> </w:t>
      </w:r>
      <w:r w:rsidR="002F24E1" w:rsidRPr="00B004EE">
        <w:rPr>
          <w:rFonts w:ascii="Tahoma" w:hAnsi="Tahoma" w:cs="Tahoma"/>
          <w:b w:val="0"/>
          <w:bCs w:val="0"/>
        </w:rPr>
        <w:t>de</w:t>
      </w:r>
      <w:r w:rsidR="00DB1635" w:rsidRPr="00B004EE">
        <w:rPr>
          <w:rFonts w:ascii="Tahoma" w:hAnsi="Tahoma" w:cs="Tahoma"/>
          <w:b w:val="0"/>
          <w:bCs w:val="0"/>
        </w:rPr>
        <w:t xml:space="preserve"> </w:t>
      </w:r>
      <w:r w:rsidR="002F24E1" w:rsidRPr="00B004EE">
        <w:rPr>
          <w:rFonts w:ascii="Tahoma" w:hAnsi="Tahoma" w:cs="Tahoma"/>
          <w:b w:val="0"/>
          <w:bCs w:val="0"/>
        </w:rPr>
        <w:t>l'élevage</w:t>
      </w:r>
      <w:r w:rsidR="00DB1635" w:rsidRPr="00B004EE">
        <w:rPr>
          <w:rFonts w:ascii="Tahoma" w:hAnsi="Tahoma" w:cs="Tahoma"/>
          <w:b w:val="0"/>
          <w:bCs w:val="0"/>
        </w:rPr>
        <w:t xml:space="preserve"> </w:t>
      </w:r>
      <w:r w:rsidR="002F24E1" w:rsidRPr="00B004EE">
        <w:rPr>
          <w:rFonts w:ascii="Tahoma" w:hAnsi="Tahoma" w:cs="Tahoma"/>
          <w:b w:val="0"/>
          <w:bCs w:val="0"/>
        </w:rPr>
        <w:t>et</w:t>
      </w:r>
      <w:r w:rsidR="00DB1635" w:rsidRPr="00B004EE">
        <w:rPr>
          <w:rFonts w:ascii="Tahoma" w:hAnsi="Tahoma" w:cs="Tahoma"/>
          <w:b w:val="0"/>
          <w:bCs w:val="0"/>
        </w:rPr>
        <w:t xml:space="preserve"> </w:t>
      </w:r>
      <w:r w:rsidR="002F24E1" w:rsidRPr="00B004EE">
        <w:rPr>
          <w:rFonts w:ascii="Tahoma" w:hAnsi="Tahoma" w:cs="Tahoma"/>
          <w:b w:val="0"/>
          <w:bCs w:val="0"/>
        </w:rPr>
        <w:t>le</w:t>
      </w:r>
      <w:r w:rsidR="00DB1635" w:rsidRPr="00B004EE">
        <w:rPr>
          <w:rFonts w:ascii="Tahoma" w:hAnsi="Tahoma" w:cs="Tahoma"/>
          <w:b w:val="0"/>
          <w:bCs w:val="0"/>
        </w:rPr>
        <w:t xml:space="preserve"> </w:t>
      </w:r>
      <w:r w:rsidR="002F24E1" w:rsidRPr="00B004EE">
        <w:rPr>
          <w:rFonts w:ascii="Tahoma" w:hAnsi="Tahoma" w:cs="Tahoma"/>
          <w:b w:val="0"/>
          <w:bCs w:val="0"/>
        </w:rPr>
        <w:t>Ministre</w:t>
      </w:r>
      <w:r w:rsidR="00DB1635" w:rsidRPr="00B004EE">
        <w:rPr>
          <w:rFonts w:ascii="Tahoma" w:hAnsi="Tahoma" w:cs="Tahoma"/>
          <w:b w:val="0"/>
          <w:bCs w:val="0"/>
        </w:rPr>
        <w:t xml:space="preserve"> </w:t>
      </w:r>
      <w:r w:rsidR="002F24E1" w:rsidRPr="00B004EE">
        <w:rPr>
          <w:rFonts w:ascii="Tahoma" w:hAnsi="Tahoma" w:cs="Tahoma"/>
          <w:b w:val="0"/>
          <w:bCs w:val="0"/>
        </w:rPr>
        <w:t>chargé</w:t>
      </w:r>
      <w:r w:rsidR="00DB1635" w:rsidRPr="00B004EE">
        <w:rPr>
          <w:rFonts w:ascii="Tahoma" w:hAnsi="Tahoma" w:cs="Tahoma"/>
          <w:b w:val="0"/>
          <w:bCs w:val="0"/>
        </w:rPr>
        <w:t xml:space="preserve"> </w:t>
      </w:r>
      <w:r w:rsidR="002F24E1" w:rsidRPr="00B004EE">
        <w:rPr>
          <w:rFonts w:ascii="Tahoma" w:hAnsi="Tahoma" w:cs="Tahoma"/>
          <w:b w:val="0"/>
          <w:bCs w:val="0"/>
        </w:rPr>
        <w:t>du</w:t>
      </w:r>
      <w:r w:rsidR="00DB1635" w:rsidRPr="00B004EE">
        <w:rPr>
          <w:rFonts w:ascii="Tahoma" w:hAnsi="Tahoma" w:cs="Tahoma"/>
          <w:b w:val="0"/>
          <w:bCs w:val="0"/>
        </w:rPr>
        <w:t xml:space="preserve"> </w:t>
      </w:r>
      <w:r w:rsidR="002F24E1" w:rsidRPr="00B004EE">
        <w:rPr>
          <w:rFonts w:ascii="Tahoma" w:hAnsi="Tahoma" w:cs="Tahoma"/>
          <w:b w:val="0"/>
          <w:bCs w:val="0"/>
        </w:rPr>
        <w:t>commerce</w:t>
      </w:r>
      <w:r w:rsidR="00DB1635" w:rsidRPr="00B004EE">
        <w:rPr>
          <w:rFonts w:ascii="Tahoma" w:hAnsi="Tahoma" w:cs="Tahoma"/>
          <w:b w:val="0"/>
          <w:bCs w:val="0"/>
        </w:rPr>
        <w:t xml:space="preserve"> </w:t>
      </w:r>
      <w:r w:rsidR="002F24E1" w:rsidRPr="00B004EE">
        <w:rPr>
          <w:rFonts w:ascii="Tahoma" w:hAnsi="Tahoma" w:cs="Tahoma"/>
          <w:b w:val="0"/>
          <w:bCs w:val="0"/>
        </w:rPr>
        <w:t>sont</w:t>
      </w:r>
      <w:r w:rsidR="00DB1635" w:rsidRPr="00B004EE">
        <w:rPr>
          <w:rFonts w:ascii="Tahoma" w:hAnsi="Tahoma" w:cs="Tahoma"/>
          <w:b w:val="0"/>
          <w:bCs w:val="0"/>
        </w:rPr>
        <w:t xml:space="preserve"> </w:t>
      </w:r>
      <w:r w:rsidR="002F24E1" w:rsidRPr="00B004EE">
        <w:rPr>
          <w:rFonts w:ascii="Tahoma" w:hAnsi="Tahoma" w:cs="Tahoma"/>
          <w:b w:val="0"/>
          <w:bCs w:val="0"/>
        </w:rPr>
        <w:t>chargés</w:t>
      </w:r>
      <w:r w:rsidR="00DB1635" w:rsidRPr="00B004EE">
        <w:rPr>
          <w:rFonts w:ascii="Tahoma" w:hAnsi="Tahoma" w:cs="Tahoma"/>
          <w:b w:val="0"/>
          <w:bCs w:val="0"/>
        </w:rPr>
        <w:t xml:space="preserve"> </w:t>
      </w:r>
      <w:r w:rsidR="002F24E1" w:rsidRPr="00B004EE">
        <w:rPr>
          <w:rFonts w:ascii="Tahoma" w:hAnsi="Tahoma" w:cs="Tahoma"/>
          <w:b w:val="0"/>
          <w:bCs w:val="0"/>
        </w:rPr>
        <w:t>chacun,</w:t>
      </w:r>
      <w:r w:rsidR="00DB1635" w:rsidRPr="00B004EE">
        <w:rPr>
          <w:rFonts w:ascii="Tahoma" w:hAnsi="Tahoma" w:cs="Tahoma"/>
          <w:b w:val="0"/>
          <w:bCs w:val="0"/>
        </w:rPr>
        <w:t xml:space="preserve"> </w:t>
      </w:r>
      <w:r w:rsidR="002F24E1" w:rsidRPr="00B004EE">
        <w:rPr>
          <w:rFonts w:ascii="Tahoma" w:hAnsi="Tahoma" w:cs="Tahoma"/>
          <w:b w:val="0"/>
          <w:bCs w:val="0"/>
        </w:rPr>
        <w:t>en</w:t>
      </w:r>
      <w:r w:rsidR="00DB1635" w:rsidRPr="00B004EE">
        <w:rPr>
          <w:rFonts w:ascii="Tahoma" w:hAnsi="Tahoma" w:cs="Tahoma"/>
          <w:b w:val="0"/>
          <w:bCs w:val="0"/>
        </w:rPr>
        <w:t xml:space="preserve"> </w:t>
      </w:r>
      <w:r w:rsidR="002F24E1" w:rsidRPr="00B004EE">
        <w:rPr>
          <w:rFonts w:ascii="Tahoma" w:hAnsi="Tahoma" w:cs="Tahoma"/>
          <w:b w:val="0"/>
          <w:bCs w:val="0"/>
        </w:rPr>
        <w:t>ce</w:t>
      </w:r>
      <w:r w:rsidR="00DB1635" w:rsidRPr="00B004EE">
        <w:rPr>
          <w:rFonts w:ascii="Tahoma" w:hAnsi="Tahoma" w:cs="Tahoma"/>
          <w:b w:val="0"/>
          <w:bCs w:val="0"/>
        </w:rPr>
        <w:t xml:space="preserve"> </w:t>
      </w:r>
      <w:r w:rsidR="002F24E1" w:rsidRPr="00B004EE">
        <w:rPr>
          <w:rFonts w:ascii="Tahoma" w:hAnsi="Tahoma" w:cs="Tahoma"/>
          <w:b w:val="0"/>
          <w:bCs w:val="0"/>
        </w:rPr>
        <w:t>qui</w:t>
      </w:r>
      <w:r w:rsidR="00DB1635" w:rsidRPr="00B004EE">
        <w:rPr>
          <w:rFonts w:ascii="Tahoma" w:hAnsi="Tahoma" w:cs="Tahoma"/>
          <w:b w:val="0"/>
          <w:bCs w:val="0"/>
        </w:rPr>
        <w:t xml:space="preserve"> </w:t>
      </w:r>
      <w:r w:rsidR="002F24E1" w:rsidRPr="00B004EE">
        <w:rPr>
          <w:rFonts w:ascii="Tahoma" w:hAnsi="Tahoma" w:cs="Tahoma"/>
          <w:b w:val="0"/>
          <w:bCs w:val="0"/>
        </w:rPr>
        <w:t>le</w:t>
      </w:r>
      <w:r w:rsidR="00DB1635" w:rsidRPr="00B004EE">
        <w:rPr>
          <w:rFonts w:ascii="Tahoma" w:hAnsi="Tahoma" w:cs="Tahoma"/>
          <w:b w:val="0"/>
          <w:bCs w:val="0"/>
        </w:rPr>
        <w:t xml:space="preserve"> </w:t>
      </w:r>
      <w:r w:rsidR="002F24E1" w:rsidRPr="00B004EE">
        <w:rPr>
          <w:rFonts w:ascii="Tahoma" w:hAnsi="Tahoma" w:cs="Tahoma"/>
          <w:b w:val="0"/>
          <w:bCs w:val="0"/>
        </w:rPr>
        <w:t>concerne,</w:t>
      </w:r>
      <w:r w:rsidR="00DB1635" w:rsidRPr="00B004EE">
        <w:rPr>
          <w:rFonts w:ascii="Tahoma" w:hAnsi="Tahoma" w:cs="Tahoma"/>
          <w:b w:val="0"/>
          <w:bCs w:val="0"/>
        </w:rPr>
        <w:t xml:space="preserve"> </w:t>
      </w:r>
      <w:r w:rsidR="002F24E1" w:rsidRPr="00B004EE">
        <w:rPr>
          <w:rFonts w:ascii="Tahoma" w:hAnsi="Tahoma" w:cs="Tahoma"/>
          <w:b w:val="0"/>
          <w:bCs w:val="0"/>
        </w:rPr>
        <w:t>de</w:t>
      </w:r>
      <w:r w:rsidR="00DB1635" w:rsidRPr="00B004EE">
        <w:rPr>
          <w:rFonts w:ascii="Tahoma" w:hAnsi="Tahoma" w:cs="Tahoma"/>
          <w:b w:val="0"/>
          <w:bCs w:val="0"/>
        </w:rPr>
        <w:t xml:space="preserve"> </w:t>
      </w:r>
      <w:r w:rsidR="002F24E1" w:rsidRPr="00B004EE">
        <w:rPr>
          <w:rFonts w:ascii="Tahoma" w:hAnsi="Tahoma" w:cs="Tahoma"/>
          <w:b w:val="0"/>
          <w:bCs w:val="0"/>
        </w:rPr>
        <w:t>l'exécution</w:t>
      </w:r>
      <w:r w:rsidR="00DB1635" w:rsidRPr="00B004EE">
        <w:rPr>
          <w:rFonts w:ascii="Tahoma" w:hAnsi="Tahoma" w:cs="Tahoma"/>
          <w:b w:val="0"/>
          <w:bCs w:val="0"/>
        </w:rPr>
        <w:t xml:space="preserve"> </w:t>
      </w:r>
      <w:r w:rsidR="002F24E1" w:rsidRPr="00B004EE">
        <w:rPr>
          <w:rFonts w:ascii="Tahoma" w:hAnsi="Tahoma" w:cs="Tahoma"/>
          <w:b w:val="0"/>
          <w:bCs w:val="0"/>
        </w:rPr>
        <w:t>du</w:t>
      </w:r>
      <w:r w:rsidR="00DB1635" w:rsidRPr="00B004EE">
        <w:rPr>
          <w:rFonts w:ascii="Tahoma" w:hAnsi="Tahoma" w:cs="Tahoma"/>
          <w:b w:val="0"/>
          <w:bCs w:val="0"/>
        </w:rPr>
        <w:t xml:space="preserve"> </w:t>
      </w:r>
      <w:r w:rsidR="002F24E1" w:rsidRPr="00B004EE">
        <w:rPr>
          <w:rFonts w:ascii="Tahoma" w:hAnsi="Tahoma" w:cs="Tahoma"/>
          <w:b w:val="0"/>
          <w:bCs w:val="0"/>
        </w:rPr>
        <w:t>présent</w:t>
      </w:r>
      <w:r w:rsidR="00DB1635" w:rsidRPr="00B004EE">
        <w:rPr>
          <w:rFonts w:ascii="Tahoma" w:hAnsi="Tahoma" w:cs="Tahoma"/>
          <w:b w:val="0"/>
          <w:bCs w:val="0"/>
        </w:rPr>
        <w:t xml:space="preserve"> </w:t>
      </w:r>
      <w:r w:rsidR="002F24E1" w:rsidRPr="00B004EE">
        <w:rPr>
          <w:rFonts w:ascii="Tahoma" w:hAnsi="Tahoma" w:cs="Tahoma"/>
          <w:b w:val="0"/>
          <w:bCs w:val="0"/>
        </w:rPr>
        <w:t>décret</w:t>
      </w:r>
      <w:r w:rsidR="00DB1635" w:rsidRPr="00B004EE">
        <w:rPr>
          <w:rFonts w:ascii="Tahoma" w:hAnsi="Tahoma" w:cs="Tahoma"/>
          <w:b w:val="0"/>
          <w:bCs w:val="0"/>
        </w:rPr>
        <w:t xml:space="preserve"> </w:t>
      </w:r>
      <w:r w:rsidR="002F24E1" w:rsidRPr="00B004EE">
        <w:rPr>
          <w:rFonts w:ascii="Tahoma" w:hAnsi="Tahoma" w:cs="Tahoma"/>
          <w:b w:val="0"/>
          <w:bCs w:val="0"/>
        </w:rPr>
        <w:t>qui</w:t>
      </w:r>
      <w:r w:rsidR="00DB1635" w:rsidRPr="00B004EE">
        <w:rPr>
          <w:rFonts w:ascii="Tahoma" w:hAnsi="Tahoma" w:cs="Tahoma"/>
          <w:b w:val="0"/>
          <w:bCs w:val="0"/>
        </w:rPr>
        <w:t xml:space="preserve"> </w:t>
      </w:r>
      <w:r w:rsidR="002F24E1" w:rsidRPr="00B004EE">
        <w:rPr>
          <w:rFonts w:ascii="Tahoma" w:hAnsi="Tahoma" w:cs="Tahoma"/>
          <w:b w:val="0"/>
          <w:bCs w:val="0"/>
        </w:rPr>
        <w:t>sera</w:t>
      </w:r>
      <w:r w:rsidR="00DB1635" w:rsidRPr="00B004EE">
        <w:rPr>
          <w:rFonts w:ascii="Tahoma" w:hAnsi="Tahoma" w:cs="Tahoma"/>
          <w:b w:val="0"/>
          <w:bCs w:val="0"/>
        </w:rPr>
        <w:t xml:space="preserve"> </w:t>
      </w:r>
      <w:r w:rsidR="002F24E1" w:rsidRPr="00B004EE">
        <w:rPr>
          <w:rFonts w:ascii="Tahoma" w:hAnsi="Tahoma" w:cs="Tahoma"/>
          <w:b w:val="0"/>
          <w:bCs w:val="0"/>
        </w:rPr>
        <w:t>publié</w:t>
      </w:r>
      <w:r w:rsidR="00DB1635" w:rsidRPr="00B004EE">
        <w:rPr>
          <w:rFonts w:ascii="Tahoma" w:hAnsi="Tahoma" w:cs="Tahoma"/>
          <w:b w:val="0"/>
          <w:bCs w:val="0"/>
        </w:rPr>
        <w:t xml:space="preserve"> </w:t>
      </w:r>
      <w:r w:rsidR="002F24E1" w:rsidRPr="00B004EE">
        <w:rPr>
          <w:rFonts w:ascii="Tahoma" w:hAnsi="Tahoma" w:cs="Tahoma"/>
          <w:b w:val="0"/>
          <w:bCs w:val="0"/>
        </w:rPr>
        <w:t>au</w:t>
      </w:r>
      <w:r w:rsidR="00DB1635" w:rsidRPr="00B004EE">
        <w:rPr>
          <w:rFonts w:ascii="Tahoma" w:hAnsi="Tahoma" w:cs="Tahoma"/>
          <w:b w:val="0"/>
          <w:bCs w:val="0"/>
        </w:rPr>
        <w:t xml:space="preserve"> </w:t>
      </w:r>
      <w:r w:rsidR="002F24E1" w:rsidRPr="00B004EE">
        <w:rPr>
          <w:rFonts w:ascii="Tahoma" w:hAnsi="Tahoma" w:cs="Tahoma"/>
          <w:b w:val="0"/>
          <w:bCs w:val="0"/>
        </w:rPr>
        <w:t>Journal</w:t>
      </w:r>
      <w:r w:rsidR="00DB1635" w:rsidRPr="00B004EE">
        <w:rPr>
          <w:rFonts w:ascii="Tahoma" w:hAnsi="Tahoma" w:cs="Tahoma"/>
          <w:b w:val="0"/>
          <w:bCs w:val="0"/>
        </w:rPr>
        <w:t xml:space="preserve"> </w:t>
      </w:r>
      <w:r w:rsidR="002F24E1" w:rsidRPr="00B004EE">
        <w:rPr>
          <w:rFonts w:ascii="Tahoma" w:hAnsi="Tahoma" w:cs="Tahoma"/>
          <w:b w:val="0"/>
          <w:bCs w:val="0"/>
        </w:rPr>
        <w:t>Officiel.</w:t>
      </w:r>
    </w:p>
    <w:p w14:paraId="6151C6B1" w14:textId="77777777" w:rsidR="00572DF5" w:rsidRPr="00B004EE" w:rsidRDefault="00572DF5" w:rsidP="00B004EE">
      <w:pPr>
        <w:rPr>
          <w:rFonts w:ascii="Tahoma" w:hAnsi="Tahoma" w:cs="Tahoma"/>
          <w:sz w:val="20"/>
          <w:szCs w:val="20"/>
        </w:rPr>
      </w:pPr>
    </w:p>
    <w:p w14:paraId="3BC4D3D9" w14:textId="0CEC52E3" w:rsidR="00C40CA4" w:rsidRPr="00B004EE" w:rsidRDefault="00572DF5" w:rsidP="00B004EE">
      <w:pPr>
        <w:jc w:val="right"/>
        <w:rPr>
          <w:rFonts w:ascii="Tahoma" w:hAnsi="Tahoma" w:cs="Tahoma"/>
          <w:b/>
          <w:bCs/>
          <w:sz w:val="20"/>
          <w:szCs w:val="20"/>
        </w:rPr>
      </w:pPr>
      <w:r w:rsidRPr="00B004EE">
        <w:rPr>
          <w:rFonts w:ascii="Tahoma" w:hAnsi="Tahoma" w:cs="Tahoma"/>
          <w:i/>
          <w:iCs/>
          <w:sz w:val="20"/>
          <w:szCs w:val="20"/>
        </w:rPr>
        <w:t>Fait</w:t>
      </w:r>
      <w:r w:rsidR="00DB1635" w:rsidRPr="00B004EE">
        <w:rPr>
          <w:rFonts w:ascii="Tahoma" w:hAnsi="Tahoma" w:cs="Tahoma"/>
          <w:i/>
          <w:iCs/>
          <w:sz w:val="20"/>
          <w:szCs w:val="20"/>
        </w:rPr>
        <w:t xml:space="preserve"> </w:t>
      </w:r>
      <w:r w:rsidRPr="00B004EE">
        <w:rPr>
          <w:rFonts w:ascii="Tahoma" w:hAnsi="Tahoma" w:cs="Tahoma"/>
          <w:i/>
          <w:iCs/>
          <w:sz w:val="20"/>
          <w:szCs w:val="20"/>
        </w:rPr>
        <w:t>à</w:t>
      </w:r>
      <w:r w:rsidR="00DB1635" w:rsidRPr="00B004EE">
        <w:rPr>
          <w:rFonts w:ascii="Tahoma" w:hAnsi="Tahoma" w:cs="Tahoma"/>
          <w:i/>
          <w:iCs/>
          <w:sz w:val="20"/>
          <w:szCs w:val="20"/>
        </w:rPr>
        <w:t xml:space="preserve"> </w:t>
      </w:r>
      <w:r w:rsidRPr="00B004EE">
        <w:rPr>
          <w:rFonts w:ascii="Tahoma" w:hAnsi="Tahoma" w:cs="Tahoma"/>
          <w:i/>
          <w:iCs/>
          <w:sz w:val="20"/>
          <w:szCs w:val="20"/>
        </w:rPr>
        <w:t>Nouakchott</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i/>
          <w:iCs/>
          <w:sz w:val="20"/>
          <w:szCs w:val="20"/>
        </w:rPr>
        <w:t>le</w:t>
      </w:r>
      <w:r w:rsidR="00DB1635" w:rsidRPr="00B004EE">
        <w:rPr>
          <w:rFonts w:ascii="Tahoma" w:hAnsi="Tahoma" w:cs="Tahoma"/>
          <w:sz w:val="20"/>
          <w:szCs w:val="20"/>
        </w:rPr>
        <w:t xml:space="preserve"> </w:t>
      </w:r>
      <w:r w:rsidRPr="00B004EE">
        <w:rPr>
          <w:rFonts w:ascii="Tahoma" w:hAnsi="Tahoma" w:cs="Tahoma"/>
          <w:sz w:val="20"/>
          <w:szCs w:val="20"/>
        </w:rPr>
        <w:t>8</w:t>
      </w:r>
      <w:r w:rsidR="00DB1635" w:rsidRPr="00B004EE">
        <w:rPr>
          <w:rFonts w:ascii="Tahoma" w:hAnsi="Tahoma" w:cs="Tahoma"/>
          <w:sz w:val="20"/>
          <w:szCs w:val="20"/>
        </w:rPr>
        <w:t xml:space="preserve"> </w:t>
      </w:r>
      <w:r w:rsidRPr="00B004EE">
        <w:rPr>
          <w:rFonts w:ascii="Tahoma" w:hAnsi="Tahoma" w:cs="Tahoma"/>
          <w:sz w:val="20"/>
          <w:szCs w:val="20"/>
        </w:rPr>
        <w:t>mars</w:t>
      </w:r>
      <w:r w:rsidR="00DB1635" w:rsidRPr="00B004EE">
        <w:rPr>
          <w:rFonts w:ascii="Tahoma" w:hAnsi="Tahoma" w:cs="Tahoma"/>
          <w:sz w:val="20"/>
          <w:szCs w:val="20"/>
        </w:rPr>
        <w:t xml:space="preserve"> </w:t>
      </w:r>
      <w:r w:rsidRPr="00B004EE">
        <w:rPr>
          <w:rFonts w:ascii="Tahoma" w:hAnsi="Tahoma" w:cs="Tahoma"/>
          <w:sz w:val="20"/>
          <w:szCs w:val="20"/>
        </w:rPr>
        <w:t>1994</w:t>
      </w:r>
    </w:p>
    <w:p w14:paraId="4C7E34EB" w14:textId="77777777" w:rsidR="00B004EE" w:rsidRDefault="00B004EE" w:rsidP="00B004EE">
      <w:pPr>
        <w:pStyle w:val="Corpsdetexte"/>
        <w:tabs>
          <w:tab w:val="left" w:pos="7859"/>
        </w:tabs>
        <w:spacing w:line="20" w:lineRule="atLeast"/>
        <w:ind w:left="142" w:right="112"/>
        <w:jc w:val="center"/>
        <w:rPr>
          <w:rFonts w:ascii="Tahoma" w:hAnsi="Tahoma" w:cs="Tahoma"/>
          <w:sz w:val="20"/>
          <w:szCs w:val="20"/>
        </w:rPr>
      </w:pPr>
    </w:p>
    <w:p w14:paraId="21D0CFCC" w14:textId="10CE1166" w:rsidR="00C40CA4" w:rsidRPr="00B004EE" w:rsidRDefault="00C40CA4" w:rsidP="00B004EE">
      <w:pPr>
        <w:pStyle w:val="Corpsdetexte"/>
        <w:tabs>
          <w:tab w:val="left" w:pos="7859"/>
        </w:tabs>
        <w:spacing w:line="20" w:lineRule="atLeast"/>
        <w:ind w:left="142" w:right="112"/>
        <w:jc w:val="center"/>
        <w:rPr>
          <w:rFonts w:ascii="Tahoma" w:hAnsi="Tahoma" w:cs="Tahoma"/>
          <w:sz w:val="20"/>
          <w:szCs w:val="20"/>
        </w:rPr>
      </w:pPr>
      <w:r w:rsidRPr="00B004EE">
        <w:rPr>
          <w:rFonts w:ascii="Tahoma" w:hAnsi="Tahoma" w:cs="Tahoma"/>
          <w:sz w:val="20"/>
          <w:szCs w:val="20"/>
        </w:rPr>
        <w:t>Le Premier Ministre</w:t>
      </w:r>
    </w:p>
    <w:p w14:paraId="62C09BA6" w14:textId="6275F72E" w:rsidR="00C40CA4" w:rsidRPr="00B004EE" w:rsidRDefault="00C40CA4" w:rsidP="00B004EE">
      <w:pPr>
        <w:pStyle w:val="Corpsdetexte"/>
        <w:tabs>
          <w:tab w:val="left" w:pos="7859"/>
        </w:tabs>
        <w:spacing w:line="20" w:lineRule="atLeast"/>
        <w:ind w:left="142" w:right="112"/>
        <w:jc w:val="center"/>
        <w:rPr>
          <w:rFonts w:ascii="Tahoma" w:hAnsi="Tahoma" w:cs="Tahoma"/>
          <w:sz w:val="20"/>
          <w:szCs w:val="20"/>
        </w:rPr>
      </w:pPr>
      <w:r w:rsidRPr="00B004EE">
        <w:rPr>
          <w:rFonts w:ascii="Tahoma" w:hAnsi="Tahoma" w:cs="Tahoma"/>
          <w:sz w:val="20"/>
          <w:szCs w:val="20"/>
        </w:rPr>
        <w:t>Sidi Mohamed Ould BOUBACAR</w:t>
      </w:r>
    </w:p>
    <w:p w14:paraId="122027A5" w14:textId="77777777" w:rsidR="00C40CA4" w:rsidRPr="00B004EE" w:rsidRDefault="00C40CA4" w:rsidP="00B004EE">
      <w:pPr>
        <w:pStyle w:val="Corpsdetexte"/>
        <w:tabs>
          <w:tab w:val="left" w:pos="7859"/>
        </w:tabs>
        <w:spacing w:line="20" w:lineRule="atLeast"/>
        <w:ind w:left="142" w:right="112"/>
        <w:jc w:val="center"/>
        <w:rPr>
          <w:rFonts w:ascii="Tahoma" w:hAnsi="Tahoma" w:cs="Tahoma"/>
          <w:sz w:val="20"/>
          <w:szCs w:val="20"/>
        </w:rPr>
      </w:pPr>
    </w:p>
    <w:p w14:paraId="3858F534" w14:textId="77777777" w:rsidR="00834860" w:rsidRPr="00B004EE" w:rsidRDefault="00C40CA4" w:rsidP="00B004EE">
      <w:pPr>
        <w:pStyle w:val="Corpsdetexte"/>
        <w:tabs>
          <w:tab w:val="left" w:pos="7859"/>
        </w:tabs>
        <w:spacing w:line="20" w:lineRule="atLeast"/>
        <w:ind w:left="142" w:right="112"/>
        <w:jc w:val="center"/>
        <w:rPr>
          <w:rFonts w:ascii="Tahoma" w:hAnsi="Tahoma" w:cs="Tahoma"/>
          <w:sz w:val="20"/>
          <w:szCs w:val="20"/>
        </w:rPr>
      </w:pPr>
      <w:r w:rsidRPr="00B004EE">
        <w:rPr>
          <w:rFonts w:ascii="Tahoma" w:hAnsi="Tahoma" w:cs="Tahoma"/>
          <w:sz w:val="20"/>
          <w:szCs w:val="20"/>
        </w:rPr>
        <w:t xml:space="preserve">Le Ministre des pêches </w:t>
      </w:r>
    </w:p>
    <w:p w14:paraId="769D8D7A" w14:textId="49F7893E" w:rsidR="00C40CA4" w:rsidRPr="00B004EE" w:rsidRDefault="00C40CA4" w:rsidP="00B004EE">
      <w:pPr>
        <w:pStyle w:val="Corpsdetexte"/>
        <w:tabs>
          <w:tab w:val="left" w:pos="7859"/>
        </w:tabs>
        <w:spacing w:line="20" w:lineRule="atLeast"/>
        <w:ind w:left="142" w:right="112"/>
        <w:jc w:val="center"/>
        <w:rPr>
          <w:rFonts w:ascii="Tahoma" w:hAnsi="Tahoma" w:cs="Tahoma"/>
          <w:sz w:val="20"/>
          <w:szCs w:val="20"/>
        </w:rPr>
      </w:pPr>
      <w:proofErr w:type="gramStart"/>
      <w:r w:rsidRPr="00B004EE">
        <w:rPr>
          <w:rFonts w:ascii="Tahoma" w:hAnsi="Tahoma" w:cs="Tahoma"/>
          <w:sz w:val="20"/>
          <w:szCs w:val="20"/>
        </w:rPr>
        <w:t>et</w:t>
      </w:r>
      <w:proofErr w:type="gramEnd"/>
      <w:r w:rsidRPr="00B004EE">
        <w:rPr>
          <w:rFonts w:ascii="Tahoma" w:hAnsi="Tahoma" w:cs="Tahoma"/>
          <w:sz w:val="20"/>
          <w:szCs w:val="20"/>
        </w:rPr>
        <w:t xml:space="preserve"> de l’Economie Maritime</w:t>
      </w:r>
    </w:p>
    <w:p w14:paraId="24AE8B8E" w14:textId="287330E2" w:rsidR="00EE6235" w:rsidRPr="00B004EE" w:rsidRDefault="008F6E98" w:rsidP="00B004EE">
      <w:pPr>
        <w:jc w:val="center"/>
        <w:rPr>
          <w:rFonts w:ascii="Tahoma" w:hAnsi="Tahoma" w:cs="Tahoma"/>
          <w:sz w:val="20"/>
          <w:szCs w:val="20"/>
        </w:rPr>
      </w:pPr>
      <w:r w:rsidRPr="00B004EE">
        <w:rPr>
          <w:rFonts w:ascii="Tahoma" w:hAnsi="Tahoma" w:cs="Tahoma"/>
          <w:sz w:val="20"/>
          <w:szCs w:val="20"/>
        </w:rPr>
        <w:t>Mohamed Lemine Salem Ould DAH</w:t>
      </w:r>
    </w:p>
    <w:p w14:paraId="6573B93C" w14:textId="77777777" w:rsidR="00C13910" w:rsidRPr="00B004EE" w:rsidRDefault="00C13910" w:rsidP="00B004EE">
      <w:pPr>
        <w:pStyle w:val="Corpsdetexte"/>
        <w:tabs>
          <w:tab w:val="left" w:pos="7859"/>
        </w:tabs>
        <w:spacing w:line="20" w:lineRule="atLeast"/>
        <w:ind w:left="142" w:right="112"/>
        <w:jc w:val="center"/>
        <w:rPr>
          <w:rFonts w:ascii="Tahoma" w:hAnsi="Tahoma" w:cs="Tahoma"/>
          <w:sz w:val="20"/>
          <w:szCs w:val="20"/>
        </w:rPr>
      </w:pPr>
    </w:p>
    <w:p w14:paraId="78A9FD13" w14:textId="77777777" w:rsidR="00C40CA4" w:rsidRPr="00B004EE" w:rsidRDefault="00C40CA4" w:rsidP="00B004EE">
      <w:pPr>
        <w:jc w:val="right"/>
        <w:rPr>
          <w:rFonts w:ascii="Tahoma" w:hAnsi="Tahoma" w:cs="Tahoma"/>
          <w:sz w:val="20"/>
          <w:szCs w:val="20"/>
        </w:rPr>
        <w:sectPr w:rsidR="00C40CA4" w:rsidRPr="00B004EE" w:rsidSect="00983185">
          <w:pgSz w:w="12240" w:h="15840"/>
          <w:pgMar w:top="1417" w:right="1417" w:bottom="1417" w:left="1417" w:header="720" w:footer="720" w:gutter="0"/>
          <w:cols w:space="720"/>
          <w:noEndnote/>
          <w:docGrid w:linePitch="326"/>
        </w:sectPr>
      </w:pPr>
    </w:p>
    <w:p w14:paraId="2435AEF4" w14:textId="569C589B" w:rsidR="008518B0" w:rsidRPr="00B004EE" w:rsidRDefault="008518B0" w:rsidP="00B004EE">
      <w:pPr>
        <w:pStyle w:val="Titre1"/>
        <w:pBdr>
          <w:top w:val="thinThickMediumGap" w:sz="24" w:space="1" w:color="70AD47" w:themeColor="accent6"/>
          <w:left w:val="thinThickMediumGap" w:sz="24" w:space="4" w:color="70AD47" w:themeColor="accent6"/>
          <w:bottom w:val="thickThinMediumGap" w:sz="24" w:space="1" w:color="70AD47" w:themeColor="accent6"/>
          <w:right w:val="thickThinMediumGap" w:sz="24" w:space="4" w:color="70AD47" w:themeColor="accent6"/>
        </w:pBdr>
        <w:spacing w:line="276" w:lineRule="auto"/>
        <w:jc w:val="both"/>
        <w:rPr>
          <w:rFonts w:ascii="Tahoma" w:hAnsi="Tahoma" w:cs="Tahoma"/>
          <w:szCs w:val="22"/>
        </w:rPr>
      </w:pPr>
      <w:bookmarkStart w:id="150" w:name="_Toc16288665"/>
      <w:bookmarkStart w:id="151" w:name="_Toc202214677"/>
      <w:r w:rsidRPr="00B004EE">
        <w:rPr>
          <w:rFonts w:ascii="Tahoma" w:hAnsi="Tahoma" w:cs="Tahoma"/>
          <w:szCs w:val="22"/>
        </w:rPr>
        <w:lastRenderedPageBreak/>
        <w:t>Décret</w:t>
      </w:r>
      <w:r w:rsidR="00DB1635" w:rsidRPr="00B004EE">
        <w:rPr>
          <w:rFonts w:ascii="Tahoma" w:hAnsi="Tahoma" w:cs="Tahoma"/>
          <w:szCs w:val="22"/>
        </w:rPr>
        <w:t xml:space="preserve"> </w:t>
      </w:r>
      <w:r w:rsidRPr="00B004EE">
        <w:rPr>
          <w:rFonts w:ascii="Tahoma" w:hAnsi="Tahoma" w:cs="Tahoma"/>
          <w:szCs w:val="22"/>
        </w:rPr>
        <w:t>n°</w:t>
      </w:r>
      <w:r w:rsidR="00DB1635" w:rsidRPr="00B004EE">
        <w:rPr>
          <w:rFonts w:ascii="Tahoma" w:hAnsi="Tahoma" w:cs="Tahoma"/>
          <w:szCs w:val="22"/>
        </w:rPr>
        <w:t xml:space="preserve"> </w:t>
      </w:r>
      <w:r w:rsidRPr="00B004EE">
        <w:rPr>
          <w:rFonts w:ascii="Tahoma" w:hAnsi="Tahoma" w:cs="Tahoma"/>
          <w:szCs w:val="22"/>
        </w:rPr>
        <w:t>066-2007</w:t>
      </w:r>
      <w:r w:rsidR="00DB1635" w:rsidRPr="00B004EE">
        <w:rPr>
          <w:rFonts w:ascii="Tahoma" w:hAnsi="Tahoma" w:cs="Tahoma"/>
          <w:szCs w:val="22"/>
        </w:rPr>
        <w:t xml:space="preserve"> </w:t>
      </w:r>
      <w:r w:rsidRPr="00B004EE">
        <w:rPr>
          <w:rFonts w:ascii="Tahoma" w:hAnsi="Tahoma" w:cs="Tahoma"/>
          <w:szCs w:val="22"/>
        </w:rPr>
        <w:t>portant</w:t>
      </w:r>
      <w:r w:rsidR="00DB1635" w:rsidRPr="00B004EE">
        <w:rPr>
          <w:rFonts w:ascii="Tahoma" w:hAnsi="Tahoma" w:cs="Tahoma"/>
          <w:szCs w:val="22"/>
        </w:rPr>
        <w:t xml:space="preserve"> </w:t>
      </w:r>
      <w:r w:rsidRPr="00B004EE">
        <w:rPr>
          <w:rFonts w:ascii="Tahoma" w:hAnsi="Tahoma" w:cs="Tahoma"/>
          <w:szCs w:val="22"/>
        </w:rPr>
        <w:t>création</w:t>
      </w:r>
      <w:r w:rsidR="00DB1635" w:rsidRPr="00B004EE">
        <w:rPr>
          <w:rFonts w:ascii="Tahoma" w:hAnsi="Tahoma" w:cs="Tahoma"/>
          <w:szCs w:val="22"/>
        </w:rPr>
        <w:t xml:space="preserve"> </w:t>
      </w:r>
      <w:r w:rsidRPr="00B004EE">
        <w:rPr>
          <w:rFonts w:ascii="Tahoma" w:hAnsi="Tahoma" w:cs="Tahoma"/>
          <w:szCs w:val="22"/>
        </w:rPr>
        <w:t>d'un</w:t>
      </w:r>
      <w:r w:rsidR="00DB1635" w:rsidRPr="00B004EE">
        <w:rPr>
          <w:rFonts w:ascii="Tahoma" w:hAnsi="Tahoma" w:cs="Tahoma"/>
          <w:szCs w:val="22"/>
        </w:rPr>
        <w:t xml:space="preserve"> </w:t>
      </w:r>
      <w:r w:rsidRPr="00B004EE">
        <w:rPr>
          <w:rFonts w:ascii="Tahoma" w:hAnsi="Tahoma" w:cs="Tahoma"/>
          <w:szCs w:val="22"/>
        </w:rPr>
        <w:t>Office</w:t>
      </w:r>
      <w:r w:rsidR="00DB1635" w:rsidRPr="00B004EE">
        <w:rPr>
          <w:rFonts w:ascii="Tahoma" w:hAnsi="Tahoma" w:cs="Tahoma"/>
          <w:szCs w:val="22"/>
        </w:rPr>
        <w:t xml:space="preserve"> </w:t>
      </w:r>
      <w:r w:rsidRPr="00B004EE">
        <w:rPr>
          <w:rFonts w:ascii="Tahoma" w:hAnsi="Tahoma" w:cs="Tahoma"/>
          <w:szCs w:val="22"/>
        </w:rPr>
        <w:t>National</w:t>
      </w:r>
      <w:r w:rsidR="00DB1635" w:rsidRPr="00B004EE">
        <w:rPr>
          <w:rFonts w:ascii="Tahoma" w:hAnsi="Tahoma" w:cs="Tahoma"/>
          <w:szCs w:val="22"/>
        </w:rPr>
        <w:t xml:space="preserve"> </w:t>
      </w:r>
      <w:r w:rsidRPr="00B004EE">
        <w:rPr>
          <w:rFonts w:ascii="Tahoma" w:hAnsi="Tahoma" w:cs="Tahoma"/>
          <w:szCs w:val="22"/>
        </w:rPr>
        <w:t>d'Inspection</w:t>
      </w:r>
      <w:r w:rsidR="00DB1635" w:rsidRPr="00B004EE">
        <w:rPr>
          <w:rFonts w:ascii="Tahoma" w:hAnsi="Tahoma" w:cs="Tahoma"/>
          <w:szCs w:val="22"/>
        </w:rPr>
        <w:t xml:space="preserve"> </w:t>
      </w:r>
      <w:r w:rsidRPr="00B004EE">
        <w:rPr>
          <w:rFonts w:ascii="Tahoma" w:hAnsi="Tahoma" w:cs="Tahoma"/>
          <w:szCs w:val="22"/>
        </w:rPr>
        <w:t>Sanitaire</w:t>
      </w:r>
      <w:r w:rsidR="00DB1635" w:rsidRPr="00B004EE">
        <w:rPr>
          <w:rFonts w:ascii="Tahoma" w:hAnsi="Tahoma" w:cs="Tahoma"/>
          <w:szCs w:val="22"/>
        </w:rPr>
        <w:t xml:space="preserve"> </w:t>
      </w:r>
      <w:r w:rsidRPr="00B004EE">
        <w:rPr>
          <w:rFonts w:ascii="Tahoma" w:hAnsi="Tahoma" w:cs="Tahoma"/>
          <w:szCs w:val="22"/>
        </w:rPr>
        <w:t>des</w:t>
      </w:r>
      <w:r w:rsidR="00DB1635" w:rsidRPr="00B004EE">
        <w:rPr>
          <w:rFonts w:ascii="Tahoma" w:hAnsi="Tahoma" w:cs="Tahoma"/>
          <w:szCs w:val="22"/>
        </w:rPr>
        <w:t xml:space="preserve"> </w:t>
      </w:r>
      <w:r w:rsidRPr="00B004EE">
        <w:rPr>
          <w:rFonts w:ascii="Tahoma" w:hAnsi="Tahoma" w:cs="Tahoma"/>
          <w:szCs w:val="22"/>
        </w:rPr>
        <w:t>Produits</w:t>
      </w:r>
      <w:r w:rsidR="00DB1635" w:rsidRPr="00B004EE">
        <w:rPr>
          <w:rFonts w:ascii="Tahoma" w:hAnsi="Tahoma" w:cs="Tahoma"/>
          <w:szCs w:val="22"/>
        </w:rPr>
        <w:t xml:space="preserve"> </w:t>
      </w:r>
      <w:r w:rsidRPr="00B004EE">
        <w:rPr>
          <w:rFonts w:ascii="Tahoma" w:hAnsi="Tahoma" w:cs="Tahoma"/>
          <w:szCs w:val="22"/>
        </w:rPr>
        <w:t>de</w:t>
      </w:r>
      <w:r w:rsidR="00DB1635" w:rsidRPr="00B004EE">
        <w:rPr>
          <w:rFonts w:ascii="Tahoma" w:hAnsi="Tahoma" w:cs="Tahoma"/>
          <w:szCs w:val="22"/>
        </w:rPr>
        <w:t xml:space="preserve"> </w:t>
      </w:r>
      <w:r w:rsidRPr="00B004EE">
        <w:rPr>
          <w:rFonts w:ascii="Tahoma" w:hAnsi="Tahoma" w:cs="Tahoma"/>
          <w:szCs w:val="22"/>
        </w:rPr>
        <w:t>la</w:t>
      </w:r>
      <w:r w:rsidR="00DB1635" w:rsidRPr="00B004EE">
        <w:rPr>
          <w:rFonts w:ascii="Tahoma" w:hAnsi="Tahoma" w:cs="Tahoma"/>
          <w:szCs w:val="22"/>
        </w:rPr>
        <w:t xml:space="preserve"> </w:t>
      </w:r>
      <w:r w:rsidRPr="00B004EE">
        <w:rPr>
          <w:rFonts w:ascii="Tahoma" w:hAnsi="Tahoma" w:cs="Tahoma"/>
          <w:szCs w:val="22"/>
        </w:rPr>
        <w:t>Pêche</w:t>
      </w:r>
      <w:r w:rsidR="00DB1635" w:rsidRPr="00B004EE">
        <w:rPr>
          <w:rFonts w:ascii="Tahoma" w:hAnsi="Tahoma" w:cs="Tahoma"/>
          <w:szCs w:val="22"/>
        </w:rPr>
        <w:t xml:space="preserve"> </w:t>
      </w:r>
      <w:r w:rsidRPr="00B004EE">
        <w:rPr>
          <w:rFonts w:ascii="Tahoma" w:hAnsi="Tahoma" w:cs="Tahoma"/>
          <w:szCs w:val="22"/>
        </w:rPr>
        <w:t>et</w:t>
      </w:r>
      <w:r w:rsidR="00DB1635" w:rsidRPr="00B004EE">
        <w:rPr>
          <w:rFonts w:ascii="Tahoma" w:hAnsi="Tahoma" w:cs="Tahoma"/>
          <w:szCs w:val="22"/>
        </w:rPr>
        <w:t xml:space="preserve"> </w:t>
      </w:r>
      <w:r w:rsidRPr="00B004EE">
        <w:rPr>
          <w:rFonts w:ascii="Tahoma" w:hAnsi="Tahoma" w:cs="Tahoma"/>
          <w:szCs w:val="22"/>
        </w:rPr>
        <w:t>de</w:t>
      </w:r>
      <w:r w:rsidR="00DB1635" w:rsidRPr="00B004EE">
        <w:rPr>
          <w:rFonts w:ascii="Tahoma" w:hAnsi="Tahoma" w:cs="Tahoma"/>
          <w:szCs w:val="22"/>
        </w:rPr>
        <w:t xml:space="preserve"> </w:t>
      </w:r>
      <w:r w:rsidRPr="00B004EE">
        <w:rPr>
          <w:rFonts w:ascii="Tahoma" w:hAnsi="Tahoma" w:cs="Tahoma"/>
          <w:szCs w:val="22"/>
        </w:rPr>
        <w:t>l'Aquaculture</w:t>
      </w:r>
      <w:r w:rsidR="00DB1635" w:rsidRPr="00B004EE">
        <w:rPr>
          <w:rFonts w:ascii="Tahoma" w:hAnsi="Tahoma" w:cs="Tahoma"/>
          <w:szCs w:val="22"/>
        </w:rPr>
        <w:t xml:space="preserve"> </w:t>
      </w:r>
      <w:r w:rsidRPr="00B004EE">
        <w:rPr>
          <w:rFonts w:ascii="Tahoma" w:hAnsi="Tahoma" w:cs="Tahoma"/>
          <w:szCs w:val="22"/>
        </w:rPr>
        <w:t>et</w:t>
      </w:r>
      <w:r w:rsidR="00DB1635" w:rsidRPr="00B004EE">
        <w:rPr>
          <w:rFonts w:ascii="Tahoma" w:hAnsi="Tahoma" w:cs="Tahoma"/>
          <w:szCs w:val="22"/>
        </w:rPr>
        <w:t xml:space="preserve"> </w:t>
      </w:r>
      <w:r w:rsidRPr="00B004EE">
        <w:rPr>
          <w:rFonts w:ascii="Tahoma" w:hAnsi="Tahoma" w:cs="Tahoma"/>
          <w:szCs w:val="22"/>
        </w:rPr>
        <w:t>fixant</w:t>
      </w:r>
      <w:r w:rsidR="00DB1635" w:rsidRPr="00B004EE">
        <w:rPr>
          <w:rFonts w:ascii="Tahoma" w:hAnsi="Tahoma" w:cs="Tahoma"/>
          <w:szCs w:val="22"/>
        </w:rPr>
        <w:t xml:space="preserve"> </w:t>
      </w:r>
      <w:r w:rsidRPr="00B004EE">
        <w:rPr>
          <w:rFonts w:ascii="Tahoma" w:hAnsi="Tahoma" w:cs="Tahoma"/>
          <w:szCs w:val="22"/>
        </w:rPr>
        <w:t>ses</w:t>
      </w:r>
      <w:r w:rsidR="00DB1635" w:rsidRPr="00B004EE">
        <w:rPr>
          <w:rFonts w:ascii="Tahoma" w:hAnsi="Tahoma" w:cs="Tahoma"/>
          <w:szCs w:val="22"/>
        </w:rPr>
        <w:t xml:space="preserve"> </w:t>
      </w:r>
      <w:r w:rsidRPr="00B004EE">
        <w:rPr>
          <w:rFonts w:ascii="Tahoma" w:hAnsi="Tahoma" w:cs="Tahoma"/>
          <w:szCs w:val="22"/>
        </w:rPr>
        <w:t>règles</w:t>
      </w:r>
      <w:r w:rsidR="00DB1635" w:rsidRPr="00B004EE">
        <w:rPr>
          <w:rFonts w:ascii="Tahoma" w:hAnsi="Tahoma" w:cs="Tahoma"/>
          <w:szCs w:val="22"/>
        </w:rPr>
        <w:t xml:space="preserve"> </w:t>
      </w:r>
      <w:r w:rsidRPr="00B004EE">
        <w:rPr>
          <w:rFonts w:ascii="Tahoma" w:hAnsi="Tahoma" w:cs="Tahoma"/>
          <w:szCs w:val="22"/>
        </w:rPr>
        <w:t>d'organisation</w:t>
      </w:r>
      <w:r w:rsidR="00DB1635" w:rsidRPr="00B004EE">
        <w:rPr>
          <w:rFonts w:ascii="Tahoma" w:hAnsi="Tahoma" w:cs="Tahoma"/>
          <w:szCs w:val="22"/>
        </w:rPr>
        <w:t xml:space="preserve"> </w:t>
      </w:r>
      <w:r w:rsidRPr="00B004EE">
        <w:rPr>
          <w:rFonts w:ascii="Tahoma" w:hAnsi="Tahoma" w:cs="Tahoma"/>
          <w:szCs w:val="22"/>
        </w:rPr>
        <w:t>et</w:t>
      </w:r>
      <w:r w:rsidR="00DB1635" w:rsidRPr="00B004EE">
        <w:rPr>
          <w:rFonts w:ascii="Tahoma" w:hAnsi="Tahoma" w:cs="Tahoma"/>
          <w:szCs w:val="22"/>
        </w:rPr>
        <w:t xml:space="preserve"> </w:t>
      </w:r>
      <w:r w:rsidRPr="00B004EE">
        <w:rPr>
          <w:rFonts w:ascii="Tahoma" w:hAnsi="Tahoma" w:cs="Tahoma"/>
          <w:szCs w:val="22"/>
        </w:rPr>
        <w:t>de</w:t>
      </w:r>
      <w:r w:rsidR="00DB1635" w:rsidRPr="00B004EE">
        <w:rPr>
          <w:rFonts w:ascii="Tahoma" w:hAnsi="Tahoma" w:cs="Tahoma"/>
          <w:szCs w:val="22"/>
        </w:rPr>
        <w:t xml:space="preserve"> </w:t>
      </w:r>
      <w:r w:rsidRPr="00B004EE">
        <w:rPr>
          <w:rFonts w:ascii="Tahoma" w:hAnsi="Tahoma" w:cs="Tahoma"/>
          <w:szCs w:val="22"/>
        </w:rPr>
        <w:t>fonctionnement.</w:t>
      </w:r>
      <w:bookmarkEnd w:id="150"/>
      <w:bookmarkEnd w:id="151"/>
    </w:p>
    <w:p w14:paraId="3A858342" w14:textId="77777777" w:rsidR="008518B0" w:rsidRPr="00B004EE" w:rsidRDefault="008518B0" w:rsidP="00B004EE">
      <w:pPr>
        <w:rPr>
          <w:rFonts w:ascii="Tahoma" w:eastAsia="Apple SD Gothic Neo" w:hAnsi="Tahoma" w:cs="Tahoma"/>
          <w:sz w:val="20"/>
          <w:szCs w:val="20"/>
        </w:rPr>
      </w:pPr>
    </w:p>
    <w:p w14:paraId="2F0952CB" w14:textId="0FF62201" w:rsidR="008518B0" w:rsidRPr="00B004EE" w:rsidRDefault="00561F81" w:rsidP="00B004EE">
      <w:pPr>
        <w:pStyle w:val="Corpsdetexte"/>
        <w:ind w:left="179" w:right="156"/>
        <w:rPr>
          <w:rFonts w:ascii="Tahoma" w:hAnsi="Tahoma" w:cs="Tahoma"/>
          <w:sz w:val="20"/>
          <w:szCs w:val="20"/>
        </w:rPr>
      </w:pPr>
      <w:r w:rsidRPr="00B004EE">
        <w:rPr>
          <w:rFonts w:ascii="Tahoma" w:hAnsi="Tahoma" w:cs="Tahoma"/>
          <w:bCs/>
          <w:iCs/>
          <w:sz w:val="20"/>
          <w:szCs w:val="20"/>
        </w:rPr>
        <w:t>Article</w:t>
      </w:r>
      <w:r w:rsidR="00DB1635" w:rsidRPr="00B004EE">
        <w:rPr>
          <w:rFonts w:ascii="Tahoma" w:hAnsi="Tahoma" w:cs="Tahoma"/>
          <w:bCs/>
          <w:iCs/>
          <w:sz w:val="20"/>
          <w:szCs w:val="20"/>
        </w:rPr>
        <w:t xml:space="preserve"> </w:t>
      </w:r>
      <w:r w:rsidRPr="00B004EE">
        <w:rPr>
          <w:rFonts w:ascii="Tahoma" w:hAnsi="Tahoma" w:cs="Tahoma"/>
          <w:bCs/>
          <w:iCs/>
          <w:sz w:val="20"/>
          <w:szCs w:val="20"/>
        </w:rPr>
        <w:t>premier</w:t>
      </w:r>
      <w:r w:rsidR="00DB1635" w:rsidRPr="00B004EE">
        <w:rPr>
          <w:rFonts w:ascii="Tahoma" w:hAnsi="Tahoma" w:cs="Tahoma"/>
          <w:b/>
          <w:i/>
          <w:spacing w:val="13"/>
          <w:sz w:val="20"/>
          <w:szCs w:val="20"/>
        </w:rPr>
        <w:t xml:space="preserve"> </w:t>
      </w:r>
      <w:r w:rsidR="008518B0" w:rsidRPr="00B004EE">
        <w:rPr>
          <w:rFonts w:ascii="Tahoma" w:hAnsi="Tahoma" w:cs="Tahoma"/>
          <w:sz w:val="20"/>
          <w:szCs w:val="20"/>
        </w:rPr>
        <w:t>:</w:t>
      </w:r>
      <w:r w:rsidR="00DB1635" w:rsidRPr="00B004EE">
        <w:rPr>
          <w:rFonts w:ascii="Tahoma" w:hAnsi="Tahoma" w:cs="Tahoma"/>
          <w:sz w:val="20"/>
          <w:szCs w:val="20"/>
        </w:rPr>
        <w:t xml:space="preserve"> </w:t>
      </w:r>
      <w:r w:rsidR="008518B0" w:rsidRPr="00B004EE">
        <w:rPr>
          <w:rFonts w:ascii="Tahoma" w:hAnsi="Tahoma" w:cs="Tahoma"/>
          <w:spacing w:val="6"/>
          <w:sz w:val="20"/>
          <w:szCs w:val="20"/>
        </w:rPr>
        <w:t>II</w:t>
      </w:r>
      <w:r w:rsidR="00DB1635" w:rsidRPr="00B004EE">
        <w:rPr>
          <w:rFonts w:ascii="Tahoma" w:hAnsi="Tahoma" w:cs="Tahoma"/>
          <w:spacing w:val="6"/>
          <w:sz w:val="20"/>
          <w:szCs w:val="20"/>
        </w:rPr>
        <w:t xml:space="preserve"> </w:t>
      </w:r>
      <w:r w:rsidR="008518B0" w:rsidRPr="00B004EE">
        <w:rPr>
          <w:rFonts w:ascii="Tahoma" w:hAnsi="Tahoma" w:cs="Tahoma"/>
          <w:spacing w:val="10"/>
          <w:sz w:val="20"/>
          <w:szCs w:val="20"/>
        </w:rPr>
        <w:t>est</w:t>
      </w:r>
      <w:r w:rsidR="00DB1635" w:rsidRPr="00B004EE">
        <w:rPr>
          <w:rFonts w:ascii="Tahoma" w:hAnsi="Tahoma" w:cs="Tahoma"/>
          <w:spacing w:val="10"/>
          <w:sz w:val="20"/>
          <w:szCs w:val="20"/>
        </w:rPr>
        <w:t xml:space="preserve"> </w:t>
      </w:r>
      <w:r w:rsidR="008518B0" w:rsidRPr="00B004EE">
        <w:rPr>
          <w:rFonts w:ascii="Tahoma" w:hAnsi="Tahoma" w:cs="Tahoma"/>
          <w:spacing w:val="11"/>
          <w:sz w:val="20"/>
          <w:szCs w:val="20"/>
        </w:rPr>
        <w:t>créé</w:t>
      </w:r>
      <w:r w:rsidR="00DB1635" w:rsidRPr="00B004EE">
        <w:rPr>
          <w:rFonts w:ascii="Tahoma" w:hAnsi="Tahoma" w:cs="Tahoma"/>
          <w:spacing w:val="11"/>
          <w:sz w:val="20"/>
          <w:szCs w:val="20"/>
        </w:rPr>
        <w:t xml:space="preserve"> </w:t>
      </w:r>
      <w:r w:rsidR="008518B0" w:rsidRPr="00B004EE">
        <w:rPr>
          <w:rFonts w:ascii="Tahoma" w:hAnsi="Tahoma" w:cs="Tahoma"/>
          <w:spacing w:val="8"/>
          <w:sz w:val="20"/>
          <w:szCs w:val="20"/>
        </w:rPr>
        <w:t>un</w:t>
      </w:r>
      <w:r w:rsidR="00DB1635" w:rsidRPr="00B004EE">
        <w:rPr>
          <w:rFonts w:ascii="Tahoma" w:hAnsi="Tahoma" w:cs="Tahoma"/>
          <w:spacing w:val="8"/>
          <w:sz w:val="20"/>
          <w:szCs w:val="20"/>
        </w:rPr>
        <w:t xml:space="preserve"> </w:t>
      </w:r>
      <w:r w:rsidR="008518B0" w:rsidRPr="00B004EE">
        <w:rPr>
          <w:rFonts w:ascii="Tahoma" w:hAnsi="Tahoma" w:cs="Tahoma"/>
          <w:spacing w:val="13"/>
          <w:sz w:val="20"/>
          <w:szCs w:val="20"/>
        </w:rPr>
        <w:t>établissement</w:t>
      </w:r>
      <w:r w:rsidR="00DB1635" w:rsidRPr="00B004EE">
        <w:rPr>
          <w:rFonts w:ascii="Tahoma" w:hAnsi="Tahoma" w:cs="Tahoma"/>
          <w:spacing w:val="13"/>
          <w:sz w:val="20"/>
          <w:szCs w:val="20"/>
        </w:rPr>
        <w:t xml:space="preserve"> </w:t>
      </w:r>
      <w:r w:rsidR="008518B0" w:rsidRPr="00B004EE">
        <w:rPr>
          <w:rFonts w:ascii="Tahoma" w:hAnsi="Tahoma" w:cs="Tahoma"/>
          <w:spacing w:val="12"/>
          <w:sz w:val="20"/>
          <w:szCs w:val="20"/>
        </w:rPr>
        <w:t>public</w:t>
      </w:r>
      <w:r w:rsidR="00DB1635" w:rsidRPr="00B004EE">
        <w:rPr>
          <w:rFonts w:ascii="Tahoma" w:hAnsi="Tahoma" w:cs="Tahoma"/>
          <w:spacing w:val="12"/>
          <w:sz w:val="20"/>
          <w:szCs w:val="20"/>
        </w:rPr>
        <w:t xml:space="preserve"> </w:t>
      </w:r>
      <w:r w:rsidR="008518B0" w:rsidRPr="00B004EE">
        <w:rPr>
          <w:rFonts w:ascii="Tahoma" w:hAnsi="Tahoma" w:cs="Tahoma"/>
          <w:sz w:val="20"/>
          <w:szCs w:val="20"/>
        </w:rPr>
        <w:t>à</w:t>
      </w:r>
      <w:r w:rsidR="00DB1635" w:rsidRPr="00B004EE">
        <w:rPr>
          <w:rFonts w:ascii="Tahoma" w:hAnsi="Tahoma" w:cs="Tahoma"/>
          <w:sz w:val="20"/>
          <w:szCs w:val="20"/>
        </w:rPr>
        <w:t xml:space="preserve"> </w:t>
      </w:r>
      <w:r w:rsidR="008518B0" w:rsidRPr="00B004EE">
        <w:rPr>
          <w:rFonts w:ascii="Tahoma" w:hAnsi="Tahoma" w:cs="Tahoma"/>
          <w:spacing w:val="12"/>
          <w:sz w:val="20"/>
          <w:szCs w:val="20"/>
        </w:rPr>
        <w:t>caractère</w:t>
      </w:r>
      <w:r w:rsidR="00DB1635" w:rsidRPr="00B004EE">
        <w:rPr>
          <w:rFonts w:ascii="Tahoma" w:hAnsi="Tahoma" w:cs="Tahoma"/>
          <w:spacing w:val="80"/>
          <w:sz w:val="20"/>
          <w:szCs w:val="20"/>
        </w:rPr>
        <w:t xml:space="preserve"> </w:t>
      </w:r>
      <w:r w:rsidR="008518B0" w:rsidRPr="00B004EE">
        <w:rPr>
          <w:rFonts w:ascii="Tahoma" w:hAnsi="Tahoma" w:cs="Tahoma"/>
          <w:sz w:val="20"/>
          <w:szCs w:val="20"/>
        </w:rPr>
        <w:t>administratif</w:t>
      </w:r>
      <w:r w:rsidR="00DB1635" w:rsidRPr="00B004EE">
        <w:rPr>
          <w:rFonts w:ascii="Tahoma" w:hAnsi="Tahoma" w:cs="Tahoma"/>
          <w:w w:val="99"/>
          <w:sz w:val="20"/>
          <w:szCs w:val="20"/>
        </w:rPr>
        <w:t xml:space="preserve"> </w:t>
      </w:r>
      <w:r w:rsidR="008518B0" w:rsidRPr="00B004EE">
        <w:rPr>
          <w:rFonts w:ascii="Tahoma" w:hAnsi="Tahoma" w:cs="Tahoma"/>
          <w:sz w:val="20"/>
          <w:szCs w:val="20"/>
        </w:rPr>
        <w:t>dénommé</w:t>
      </w:r>
      <w:r w:rsidR="00DB1635" w:rsidRPr="00B004EE">
        <w:rPr>
          <w:rFonts w:ascii="Tahoma" w:hAnsi="Tahoma" w:cs="Tahoma"/>
          <w:sz w:val="20"/>
          <w:szCs w:val="20"/>
        </w:rPr>
        <w:t xml:space="preserve"> </w:t>
      </w:r>
      <w:r w:rsidR="008518B0" w:rsidRPr="00B004EE">
        <w:rPr>
          <w:rFonts w:ascii="Tahoma" w:hAnsi="Tahoma" w:cs="Tahoma"/>
          <w:sz w:val="20"/>
          <w:szCs w:val="20"/>
        </w:rPr>
        <w:t>«</w:t>
      </w:r>
      <w:r w:rsidR="00DB1635" w:rsidRPr="00B004EE">
        <w:rPr>
          <w:rFonts w:ascii="Tahoma" w:hAnsi="Tahoma" w:cs="Tahoma"/>
          <w:sz w:val="20"/>
          <w:szCs w:val="20"/>
        </w:rPr>
        <w:t xml:space="preserve"> </w:t>
      </w:r>
      <w:r w:rsidR="008518B0" w:rsidRPr="00B004EE">
        <w:rPr>
          <w:rFonts w:ascii="Tahoma" w:hAnsi="Tahoma" w:cs="Tahoma"/>
          <w:sz w:val="20"/>
          <w:szCs w:val="20"/>
        </w:rPr>
        <w:t>Office</w:t>
      </w:r>
      <w:r w:rsidR="00DB1635" w:rsidRPr="00B004EE">
        <w:rPr>
          <w:rFonts w:ascii="Tahoma" w:hAnsi="Tahoma" w:cs="Tahoma"/>
          <w:sz w:val="20"/>
          <w:szCs w:val="20"/>
        </w:rPr>
        <w:t xml:space="preserve"> </w:t>
      </w:r>
      <w:r w:rsidR="008518B0" w:rsidRPr="00B004EE">
        <w:rPr>
          <w:rFonts w:ascii="Tahoma" w:hAnsi="Tahoma" w:cs="Tahoma"/>
          <w:sz w:val="20"/>
          <w:szCs w:val="20"/>
        </w:rPr>
        <w:t>National</w:t>
      </w:r>
      <w:r w:rsidR="00DB1635" w:rsidRPr="00B004EE">
        <w:rPr>
          <w:rFonts w:ascii="Tahoma" w:hAnsi="Tahoma" w:cs="Tahoma"/>
          <w:sz w:val="20"/>
          <w:szCs w:val="20"/>
        </w:rPr>
        <w:t xml:space="preserve"> </w:t>
      </w:r>
      <w:r w:rsidR="008518B0" w:rsidRPr="00B004EE">
        <w:rPr>
          <w:rFonts w:ascii="Tahoma" w:hAnsi="Tahoma" w:cs="Tahoma"/>
          <w:sz w:val="20"/>
          <w:szCs w:val="20"/>
        </w:rPr>
        <w:t>d'Inspection</w:t>
      </w:r>
      <w:r w:rsidR="00DB1635" w:rsidRPr="00B004EE">
        <w:rPr>
          <w:rFonts w:ascii="Tahoma" w:hAnsi="Tahoma" w:cs="Tahoma"/>
          <w:sz w:val="20"/>
          <w:szCs w:val="20"/>
        </w:rPr>
        <w:t xml:space="preserve"> </w:t>
      </w:r>
      <w:r w:rsidR="008518B0" w:rsidRPr="00B004EE">
        <w:rPr>
          <w:rFonts w:ascii="Tahoma" w:hAnsi="Tahoma" w:cs="Tahoma"/>
          <w:sz w:val="20"/>
          <w:szCs w:val="20"/>
        </w:rPr>
        <w:t>Sanitaire</w:t>
      </w:r>
      <w:r w:rsidR="00DB1635" w:rsidRPr="00B004EE">
        <w:rPr>
          <w:rFonts w:ascii="Tahoma" w:hAnsi="Tahoma" w:cs="Tahoma"/>
          <w:sz w:val="20"/>
          <w:szCs w:val="20"/>
        </w:rPr>
        <w:t xml:space="preserve"> </w:t>
      </w:r>
      <w:r w:rsidR="008518B0" w:rsidRPr="00B004EE">
        <w:rPr>
          <w:rFonts w:ascii="Tahoma" w:hAnsi="Tahoma" w:cs="Tahoma"/>
          <w:sz w:val="20"/>
          <w:szCs w:val="20"/>
        </w:rPr>
        <w:t>des</w:t>
      </w:r>
      <w:r w:rsidR="00DB1635" w:rsidRPr="00B004EE">
        <w:rPr>
          <w:rFonts w:ascii="Tahoma" w:hAnsi="Tahoma" w:cs="Tahoma"/>
          <w:sz w:val="20"/>
          <w:szCs w:val="20"/>
        </w:rPr>
        <w:t xml:space="preserve"> </w:t>
      </w:r>
      <w:r w:rsidR="008518B0" w:rsidRPr="00B004EE">
        <w:rPr>
          <w:rFonts w:ascii="Tahoma" w:hAnsi="Tahoma" w:cs="Tahoma"/>
          <w:sz w:val="20"/>
          <w:szCs w:val="20"/>
        </w:rPr>
        <w:t>Produits</w:t>
      </w:r>
      <w:r w:rsidR="00DB1635" w:rsidRPr="00B004EE">
        <w:rPr>
          <w:rFonts w:ascii="Tahoma" w:hAnsi="Tahoma" w:cs="Tahoma"/>
          <w:sz w:val="20"/>
          <w:szCs w:val="20"/>
        </w:rPr>
        <w:t xml:space="preserve"> </w:t>
      </w:r>
      <w:r w:rsidR="008518B0" w:rsidRPr="00B004EE">
        <w:rPr>
          <w:rFonts w:ascii="Tahoma" w:hAnsi="Tahoma" w:cs="Tahoma"/>
          <w:sz w:val="20"/>
          <w:szCs w:val="20"/>
        </w:rPr>
        <w:t>de</w:t>
      </w:r>
      <w:r w:rsidR="00DB1635" w:rsidRPr="00B004EE">
        <w:rPr>
          <w:rFonts w:ascii="Tahoma" w:hAnsi="Tahoma" w:cs="Tahoma"/>
          <w:sz w:val="20"/>
          <w:szCs w:val="20"/>
        </w:rPr>
        <w:t xml:space="preserve"> </w:t>
      </w:r>
      <w:r w:rsidR="008518B0" w:rsidRPr="00B004EE">
        <w:rPr>
          <w:rFonts w:ascii="Tahoma" w:hAnsi="Tahoma" w:cs="Tahoma"/>
          <w:sz w:val="20"/>
          <w:szCs w:val="20"/>
        </w:rPr>
        <w:t>la</w:t>
      </w:r>
      <w:r w:rsidR="00DB1635" w:rsidRPr="00B004EE">
        <w:rPr>
          <w:rFonts w:ascii="Tahoma" w:hAnsi="Tahoma" w:cs="Tahoma"/>
          <w:sz w:val="20"/>
          <w:szCs w:val="20"/>
        </w:rPr>
        <w:t xml:space="preserve"> </w:t>
      </w:r>
      <w:r w:rsidR="008518B0" w:rsidRPr="00B004EE">
        <w:rPr>
          <w:rFonts w:ascii="Tahoma" w:hAnsi="Tahoma" w:cs="Tahoma"/>
          <w:spacing w:val="7"/>
          <w:sz w:val="20"/>
          <w:szCs w:val="20"/>
        </w:rPr>
        <w:t>Pêche</w:t>
      </w:r>
      <w:r w:rsidR="00DB1635" w:rsidRPr="00B004EE">
        <w:rPr>
          <w:rFonts w:ascii="Tahoma" w:hAnsi="Tahoma" w:cs="Tahoma"/>
          <w:spacing w:val="7"/>
          <w:sz w:val="20"/>
          <w:szCs w:val="20"/>
        </w:rPr>
        <w:t xml:space="preserve"> </w:t>
      </w:r>
      <w:r w:rsidR="008518B0" w:rsidRPr="00B004EE">
        <w:rPr>
          <w:rFonts w:ascii="Tahoma" w:hAnsi="Tahoma" w:cs="Tahoma"/>
          <w:spacing w:val="3"/>
          <w:sz w:val="20"/>
          <w:szCs w:val="20"/>
        </w:rPr>
        <w:t>et</w:t>
      </w:r>
      <w:r w:rsidR="00DB1635" w:rsidRPr="00B004EE">
        <w:rPr>
          <w:rFonts w:ascii="Tahoma" w:hAnsi="Tahoma" w:cs="Tahoma"/>
          <w:spacing w:val="11"/>
          <w:sz w:val="20"/>
          <w:szCs w:val="20"/>
        </w:rPr>
        <w:t xml:space="preserve"> </w:t>
      </w:r>
      <w:r w:rsidR="008518B0" w:rsidRPr="00B004EE">
        <w:rPr>
          <w:rFonts w:ascii="Tahoma" w:hAnsi="Tahoma" w:cs="Tahoma"/>
          <w:spacing w:val="4"/>
          <w:sz w:val="20"/>
          <w:szCs w:val="20"/>
        </w:rPr>
        <w:t>de</w:t>
      </w:r>
      <w:r w:rsidR="00DB1635" w:rsidRPr="00B004EE">
        <w:rPr>
          <w:rFonts w:ascii="Tahoma" w:hAnsi="Tahoma" w:cs="Tahoma"/>
          <w:w w:val="99"/>
          <w:sz w:val="20"/>
          <w:szCs w:val="20"/>
        </w:rPr>
        <w:t xml:space="preserve"> </w:t>
      </w:r>
      <w:r w:rsidR="008518B0" w:rsidRPr="00B004EE">
        <w:rPr>
          <w:rFonts w:ascii="Tahoma" w:hAnsi="Tahoma" w:cs="Tahoma"/>
          <w:spacing w:val="7"/>
          <w:sz w:val="20"/>
          <w:szCs w:val="20"/>
        </w:rPr>
        <w:t>l’Aquaculture</w:t>
      </w:r>
      <w:r w:rsidR="00DB1635" w:rsidRPr="00B004EE">
        <w:rPr>
          <w:rFonts w:ascii="Tahoma" w:hAnsi="Tahoma" w:cs="Tahoma"/>
          <w:spacing w:val="7"/>
          <w:sz w:val="20"/>
          <w:szCs w:val="20"/>
        </w:rPr>
        <w:t xml:space="preserve"> </w:t>
      </w:r>
      <w:r w:rsidR="008518B0" w:rsidRPr="00B004EE">
        <w:rPr>
          <w:rFonts w:ascii="Tahoma" w:hAnsi="Tahoma" w:cs="Tahoma"/>
          <w:spacing w:val="7"/>
          <w:sz w:val="20"/>
          <w:szCs w:val="20"/>
        </w:rPr>
        <w:t>»,</w:t>
      </w:r>
      <w:r w:rsidR="00DB1635" w:rsidRPr="00B004EE">
        <w:rPr>
          <w:rFonts w:ascii="Tahoma" w:hAnsi="Tahoma" w:cs="Tahoma"/>
          <w:spacing w:val="7"/>
          <w:sz w:val="20"/>
          <w:szCs w:val="20"/>
        </w:rPr>
        <w:t xml:space="preserve"> </w:t>
      </w:r>
      <w:r w:rsidR="008518B0" w:rsidRPr="00B004EE">
        <w:rPr>
          <w:rFonts w:ascii="Tahoma" w:hAnsi="Tahoma" w:cs="Tahoma"/>
          <w:spacing w:val="7"/>
          <w:sz w:val="20"/>
          <w:szCs w:val="20"/>
        </w:rPr>
        <w:t>ci-après</w:t>
      </w:r>
      <w:r w:rsidR="00DB1635" w:rsidRPr="00B004EE">
        <w:rPr>
          <w:rFonts w:ascii="Tahoma" w:hAnsi="Tahoma" w:cs="Tahoma"/>
          <w:spacing w:val="7"/>
          <w:sz w:val="20"/>
          <w:szCs w:val="20"/>
        </w:rPr>
        <w:t xml:space="preserve"> </w:t>
      </w:r>
      <w:r w:rsidR="008518B0" w:rsidRPr="00B004EE">
        <w:rPr>
          <w:rFonts w:ascii="Tahoma" w:hAnsi="Tahoma" w:cs="Tahoma"/>
          <w:spacing w:val="17"/>
          <w:sz w:val="20"/>
          <w:szCs w:val="20"/>
        </w:rPr>
        <w:t>désigné,</w:t>
      </w:r>
      <w:r w:rsidR="00DB1635" w:rsidRPr="00B004EE">
        <w:rPr>
          <w:rFonts w:ascii="Tahoma" w:hAnsi="Tahoma" w:cs="Tahoma"/>
          <w:spacing w:val="17"/>
          <w:sz w:val="20"/>
          <w:szCs w:val="20"/>
        </w:rPr>
        <w:t xml:space="preserve"> </w:t>
      </w:r>
      <w:r w:rsidR="008518B0" w:rsidRPr="00B004EE">
        <w:rPr>
          <w:rFonts w:ascii="Tahoma" w:hAnsi="Tahoma" w:cs="Tahoma"/>
          <w:spacing w:val="10"/>
          <w:sz w:val="20"/>
          <w:szCs w:val="20"/>
        </w:rPr>
        <w:t>en</w:t>
      </w:r>
      <w:r w:rsidR="00DB1635" w:rsidRPr="00B004EE">
        <w:rPr>
          <w:rFonts w:ascii="Tahoma" w:hAnsi="Tahoma" w:cs="Tahoma"/>
          <w:spacing w:val="10"/>
          <w:sz w:val="20"/>
          <w:szCs w:val="20"/>
        </w:rPr>
        <w:t xml:space="preserve"> </w:t>
      </w:r>
      <w:r w:rsidR="008518B0" w:rsidRPr="00B004EE">
        <w:rPr>
          <w:rFonts w:ascii="Tahoma" w:hAnsi="Tahoma" w:cs="Tahoma"/>
          <w:spacing w:val="16"/>
          <w:sz w:val="20"/>
          <w:szCs w:val="20"/>
        </w:rPr>
        <w:t>abrégé</w:t>
      </w:r>
      <w:proofErr w:type="gramStart"/>
      <w:r w:rsidR="00DF657F" w:rsidRPr="00B004EE">
        <w:rPr>
          <w:rFonts w:ascii="Tahoma" w:hAnsi="Tahoma" w:cs="Tahoma"/>
          <w:spacing w:val="16"/>
          <w:sz w:val="20"/>
          <w:szCs w:val="20"/>
        </w:rPr>
        <w:t xml:space="preserve"> </w:t>
      </w:r>
      <w:r w:rsidR="00DF657F" w:rsidRPr="00B004EE">
        <w:rPr>
          <w:rFonts w:ascii="Tahoma" w:hAnsi="Tahoma" w:cs="Tahoma"/>
          <w:spacing w:val="17"/>
          <w:sz w:val="20"/>
          <w:szCs w:val="20"/>
        </w:rPr>
        <w:t>«ONISPA</w:t>
      </w:r>
      <w:proofErr w:type="gramEnd"/>
      <w:r w:rsidR="008518B0" w:rsidRPr="00B004EE">
        <w:rPr>
          <w:rFonts w:ascii="Tahoma" w:hAnsi="Tahoma" w:cs="Tahoma"/>
          <w:spacing w:val="17"/>
          <w:sz w:val="20"/>
          <w:szCs w:val="20"/>
        </w:rPr>
        <w:t>».</w:t>
      </w:r>
      <w:r w:rsidR="00DB1635" w:rsidRPr="00B004EE">
        <w:rPr>
          <w:rFonts w:ascii="Tahoma" w:hAnsi="Tahoma" w:cs="Tahoma"/>
          <w:spacing w:val="17"/>
          <w:sz w:val="20"/>
          <w:szCs w:val="20"/>
        </w:rPr>
        <w:t xml:space="preserve"> </w:t>
      </w:r>
      <w:r w:rsidR="008518B0" w:rsidRPr="00B004EE">
        <w:rPr>
          <w:rFonts w:ascii="Tahoma" w:hAnsi="Tahoma" w:cs="Tahoma"/>
          <w:spacing w:val="3"/>
          <w:sz w:val="20"/>
          <w:szCs w:val="20"/>
        </w:rPr>
        <w:t>L'ONISPA</w:t>
      </w:r>
      <w:r w:rsidR="00DB1635" w:rsidRPr="00B004EE">
        <w:rPr>
          <w:rFonts w:ascii="Tahoma" w:hAnsi="Tahoma" w:cs="Tahoma"/>
          <w:spacing w:val="3"/>
          <w:sz w:val="20"/>
          <w:szCs w:val="20"/>
        </w:rPr>
        <w:t xml:space="preserve"> </w:t>
      </w:r>
      <w:r w:rsidR="008518B0" w:rsidRPr="00B004EE">
        <w:rPr>
          <w:rFonts w:ascii="Tahoma" w:hAnsi="Tahoma" w:cs="Tahoma"/>
          <w:spacing w:val="2"/>
          <w:sz w:val="20"/>
          <w:szCs w:val="20"/>
        </w:rPr>
        <w:t>est</w:t>
      </w:r>
      <w:r w:rsidR="00DB1635" w:rsidRPr="00B004EE">
        <w:rPr>
          <w:rFonts w:ascii="Tahoma" w:hAnsi="Tahoma" w:cs="Tahoma"/>
          <w:spacing w:val="2"/>
          <w:sz w:val="20"/>
          <w:szCs w:val="20"/>
        </w:rPr>
        <w:t xml:space="preserve"> </w:t>
      </w:r>
      <w:r w:rsidR="008518B0" w:rsidRPr="00B004EE">
        <w:rPr>
          <w:rFonts w:ascii="Tahoma" w:hAnsi="Tahoma" w:cs="Tahoma"/>
          <w:spacing w:val="4"/>
          <w:sz w:val="20"/>
          <w:szCs w:val="20"/>
        </w:rPr>
        <w:t>doté</w:t>
      </w:r>
      <w:r w:rsidR="00DB1635" w:rsidRPr="00B004EE">
        <w:rPr>
          <w:rFonts w:ascii="Tahoma" w:hAnsi="Tahoma" w:cs="Tahoma"/>
          <w:spacing w:val="4"/>
          <w:sz w:val="20"/>
          <w:szCs w:val="20"/>
        </w:rPr>
        <w:t xml:space="preserve"> </w:t>
      </w:r>
      <w:r w:rsidR="008518B0" w:rsidRPr="00B004EE">
        <w:rPr>
          <w:rFonts w:ascii="Tahoma" w:hAnsi="Tahoma" w:cs="Tahoma"/>
          <w:spacing w:val="3"/>
          <w:sz w:val="20"/>
          <w:szCs w:val="20"/>
        </w:rPr>
        <w:t>de</w:t>
      </w:r>
      <w:r w:rsidR="00DB1635" w:rsidRPr="00B004EE">
        <w:rPr>
          <w:rFonts w:ascii="Tahoma" w:hAnsi="Tahoma" w:cs="Tahoma"/>
          <w:spacing w:val="21"/>
          <w:sz w:val="20"/>
          <w:szCs w:val="20"/>
        </w:rPr>
        <w:t xml:space="preserve"> </w:t>
      </w:r>
      <w:r w:rsidR="008518B0" w:rsidRPr="00B004EE">
        <w:rPr>
          <w:rFonts w:ascii="Tahoma" w:hAnsi="Tahoma" w:cs="Tahoma"/>
          <w:spacing w:val="3"/>
          <w:sz w:val="20"/>
          <w:szCs w:val="20"/>
        </w:rPr>
        <w:t>la</w:t>
      </w:r>
      <w:r w:rsidR="00DB1635" w:rsidRPr="00B004EE">
        <w:rPr>
          <w:rFonts w:ascii="Tahoma" w:hAnsi="Tahoma" w:cs="Tahoma"/>
          <w:w w:val="99"/>
          <w:sz w:val="20"/>
          <w:szCs w:val="20"/>
        </w:rPr>
        <w:t xml:space="preserve"> </w:t>
      </w:r>
      <w:r w:rsidR="008518B0" w:rsidRPr="00B004EE">
        <w:rPr>
          <w:rFonts w:ascii="Tahoma" w:hAnsi="Tahoma" w:cs="Tahoma"/>
          <w:spacing w:val="4"/>
          <w:sz w:val="20"/>
          <w:szCs w:val="20"/>
        </w:rPr>
        <w:t>personnalité</w:t>
      </w:r>
      <w:r w:rsidR="00DB1635" w:rsidRPr="00B004EE">
        <w:rPr>
          <w:rFonts w:ascii="Tahoma" w:hAnsi="Tahoma" w:cs="Tahoma"/>
          <w:spacing w:val="26"/>
          <w:sz w:val="20"/>
          <w:szCs w:val="20"/>
        </w:rPr>
        <w:t xml:space="preserve"> </w:t>
      </w:r>
      <w:r w:rsidR="008518B0" w:rsidRPr="00B004EE">
        <w:rPr>
          <w:rFonts w:ascii="Tahoma" w:hAnsi="Tahoma" w:cs="Tahoma"/>
          <w:spacing w:val="3"/>
          <w:sz w:val="20"/>
          <w:szCs w:val="20"/>
        </w:rPr>
        <w:t>morale</w:t>
      </w:r>
      <w:r w:rsidR="00DB1635" w:rsidRPr="00B004EE">
        <w:rPr>
          <w:rFonts w:ascii="Tahoma" w:hAnsi="Tahoma" w:cs="Tahoma"/>
          <w:spacing w:val="26"/>
          <w:sz w:val="20"/>
          <w:szCs w:val="20"/>
        </w:rPr>
        <w:t xml:space="preserve"> </w:t>
      </w:r>
      <w:r w:rsidR="008518B0" w:rsidRPr="00B004EE">
        <w:rPr>
          <w:rFonts w:ascii="Tahoma" w:hAnsi="Tahoma" w:cs="Tahoma"/>
          <w:sz w:val="20"/>
          <w:szCs w:val="20"/>
        </w:rPr>
        <w:t>et</w:t>
      </w:r>
      <w:r w:rsidR="00DB1635" w:rsidRPr="00B004EE">
        <w:rPr>
          <w:rFonts w:ascii="Tahoma" w:hAnsi="Tahoma" w:cs="Tahoma"/>
          <w:spacing w:val="25"/>
          <w:sz w:val="20"/>
          <w:szCs w:val="20"/>
        </w:rPr>
        <w:t xml:space="preserve"> </w:t>
      </w:r>
      <w:r w:rsidR="008518B0" w:rsidRPr="00B004EE">
        <w:rPr>
          <w:rFonts w:ascii="Tahoma" w:hAnsi="Tahoma" w:cs="Tahoma"/>
          <w:sz w:val="20"/>
          <w:szCs w:val="20"/>
        </w:rPr>
        <w:t>de</w:t>
      </w:r>
      <w:r w:rsidR="00DB1635" w:rsidRPr="00B004EE">
        <w:rPr>
          <w:rFonts w:ascii="Tahoma" w:hAnsi="Tahoma" w:cs="Tahoma"/>
          <w:spacing w:val="26"/>
          <w:sz w:val="20"/>
          <w:szCs w:val="20"/>
        </w:rPr>
        <w:t xml:space="preserve"> </w:t>
      </w:r>
      <w:r w:rsidR="008518B0" w:rsidRPr="00B004EE">
        <w:rPr>
          <w:rFonts w:ascii="Tahoma" w:hAnsi="Tahoma" w:cs="Tahoma"/>
          <w:spacing w:val="3"/>
          <w:sz w:val="20"/>
          <w:szCs w:val="20"/>
        </w:rPr>
        <w:t>l'autonomie</w:t>
      </w:r>
      <w:r w:rsidR="00DB1635" w:rsidRPr="00B004EE">
        <w:rPr>
          <w:rFonts w:ascii="Tahoma" w:hAnsi="Tahoma" w:cs="Tahoma"/>
          <w:spacing w:val="26"/>
          <w:sz w:val="20"/>
          <w:szCs w:val="20"/>
        </w:rPr>
        <w:t xml:space="preserve"> </w:t>
      </w:r>
      <w:r w:rsidR="008518B0" w:rsidRPr="00B004EE">
        <w:rPr>
          <w:rFonts w:ascii="Tahoma" w:hAnsi="Tahoma" w:cs="Tahoma"/>
          <w:spacing w:val="2"/>
          <w:sz w:val="20"/>
          <w:szCs w:val="20"/>
        </w:rPr>
        <w:t>financière.</w:t>
      </w:r>
      <w:r w:rsidR="00DB1635" w:rsidRPr="00B004EE">
        <w:rPr>
          <w:rFonts w:ascii="Tahoma" w:hAnsi="Tahoma" w:cs="Tahoma"/>
          <w:spacing w:val="27"/>
          <w:sz w:val="20"/>
          <w:szCs w:val="20"/>
        </w:rPr>
        <w:t xml:space="preserve"> </w:t>
      </w:r>
      <w:r w:rsidR="008518B0" w:rsidRPr="00B004EE">
        <w:rPr>
          <w:rFonts w:ascii="Tahoma" w:hAnsi="Tahoma" w:cs="Tahoma"/>
          <w:sz w:val="20"/>
          <w:szCs w:val="20"/>
        </w:rPr>
        <w:t>Il</w:t>
      </w:r>
      <w:r w:rsidR="00DB1635" w:rsidRPr="00B004EE">
        <w:rPr>
          <w:rFonts w:ascii="Tahoma" w:hAnsi="Tahoma" w:cs="Tahoma"/>
          <w:spacing w:val="27"/>
          <w:sz w:val="20"/>
          <w:szCs w:val="20"/>
        </w:rPr>
        <w:t xml:space="preserve"> </w:t>
      </w:r>
      <w:r w:rsidR="008518B0" w:rsidRPr="00B004EE">
        <w:rPr>
          <w:rFonts w:ascii="Tahoma" w:hAnsi="Tahoma" w:cs="Tahoma"/>
          <w:spacing w:val="2"/>
          <w:sz w:val="20"/>
          <w:szCs w:val="20"/>
        </w:rPr>
        <w:t>est</w:t>
      </w:r>
      <w:r w:rsidR="00DB1635" w:rsidRPr="00B004EE">
        <w:rPr>
          <w:rFonts w:ascii="Tahoma" w:hAnsi="Tahoma" w:cs="Tahoma"/>
          <w:spacing w:val="12"/>
          <w:sz w:val="20"/>
          <w:szCs w:val="20"/>
        </w:rPr>
        <w:t xml:space="preserve"> </w:t>
      </w:r>
      <w:r w:rsidR="008518B0" w:rsidRPr="00B004EE">
        <w:rPr>
          <w:rFonts w:ascii="Tahoma" w:hAnsi="Tahoma" w:cs="Tahoma"/>
          <w:sz w:val="20"/>
          <w:szCs w:val="20"/>
        </w:rPr>
        <w:t>placé</w:t>
      </w:r>
      <w:r w:rsidR="00DB1635" w:rsidRPr="00B004EE">
        <w:rPr>
          <w:rFonts w:ascii="Tahoma" w:hAnsi="Tahoma" w:cs="Tahoma"/>
          <w:spacing w:val="15"/>
          <w:sz w:val="20"/>
          <w:szCs w:val="20"/>
        </w:rPr>
        <w:t xml:space="preserve"> </w:t>
      </w:r>
      <w:r w:rsidR="008518B0" w:rsidRPr="00B004EE">
        <w:rPr>
          <w:rFonts w:ascii="Tahoma" w:hAnsi="Tahoma" w:cs="Tahoma"/>
          <w:sz w:val="20"/>
          <w:szCs w:val="20"/>
        </w:rPr>
        <w:t>sous</w:t>
      </w:r>
      <w:r w:rsidR="00DB1635" w:rsidRPr="00B004EE">
        <w:rPr>
          <w:rFonts w:ascii="Tahoma" w:hAnsi="Tahoma" w:cs="Tahoma"/>
          <w:spacing w:val="18"/>
          <w:sz w:val="20"/>
          <w:szCs w:val="20"/>
        </w:rPr>
        <w:t xml:space="preserve"> </w:t>
      </w:r>
      <w:r w:rsidR="008518B0" w:rsidRPr="00B004EE">
        <w:rPr>
          <w:rFonts w:ascii="Tahoma" w:hAnsi="Tahoma" w:cs="Tahoma"/>
          <w:sz w:val="20"/>
          <w:szCs w:val="20"/>
        </w:rPr>
        <w:t>la</w:t>
      </w:r>
      <w:r w:rsidR="00DB1635" w:rsidRPr="00B004EE">
        <w:rPr>
          <w:rFonts w:ascii="Tahoma" w:hAnsi="Tahoma" w:cs="Tahoma"/>
          <w:spacing w:val="15"/>
          <w:sz w:val="20"/>
          <w:szCs w:val="20"/>
        </w:rPr>
        <w:t xml:space="preserve"> </w:t>
      </w:r>
      <w:r w:rsidR="008518B0" w:rsidRPr="00B004EE">
        <w:rPr>
          <w:rFonts w:ascii="Tahoma" w:hAnsi="Tahoma" w:cs="Tahoma"/>
          <w:sz w:val="20"/>
          <w:szCs w:val="20"/>
        </w:rPr>
        <w:t>tutelle</w:t>
      </w:r>
      <w:r w:rsidR="00DB1635" w:rsidRPr="00B004EE">
        <w:rPr>
          <w:rFonts w:ascii="Tahoma" w:hAnsi="Tahoma" w:cs="Tahoma"/>
          <w:spacing w:val="15"/>
          <w:sz w:val="20"/>
          <w:szCs w:val="20"/>
        </w:rPr>
        <w:t xml:space="preserve"> </w:t>
      </w:r>
      <w:r w:rsidR="008518B0" w:rsidRPr="00B004EE">
        <w:rPr>
          <w:rFonts w:ascii="Tahoma" w:hAnsi="Tahoma" w:cs="Tahoma"/>
          <w:sz w:val="20"/>
          <w:szCs w:val="20"/>
        </w:rPr>
        <w:t>du</w:t>
      </w:r>
      <w:r w:rsidR="00DB1635" w:rsidRPr="00B004EE">
        <w:rPr>
          <w:rFonts w:ascii="Tahoma" w:hAnsi="Tahoma" w:cs="Tahoma"/>
          <w:spacing w:val="16"/>
          <w:sz w:val="20"/>
          <w:szCs w:val="20"/>
        </w:rPr>
        <w:t xml:space="preserve"> </w:t>
      </w:r>
      <w:r w:rsidR="008518B0" w:rsidRPr="00B004EE">
        <w:rPr>
          <w:rFonts w:ascii="Tahoma" w:hAnsi="Tahoma" w:cs="Tahoma"/>
          <w:sz w:val="20"/>
          <w:szCs w:val="20"/>
        </w:rPr>
        <w:t>Ministre</w:t>
      </w:r>
      <w:r w:rsidR="00DB1635" w:rsidRPr="00B004EE">
        <w:rPr>
          <w:rFonts w:ascii="Tahoma" w:hAnsi="Tahoma" w:cs="Tahoma"/>
          <w:spacing w:val="15"/>
          <w:sz w:val="20"/>
          <w:szCs w:val="20"/>
        </w:rPr>
        <w:t xml:space="preserve"> </w:t>
      </w:r>
      <w:r w:rsidR="008518B0" w:rsidRPr="00B004EE">
        <w:rPr>
          <w:rFonts w:ascii="Tahoma" w:hAnsi="Tahoma" w:cs="Tahoma"/>
          <w:sz w:val="20"/>
          <w:szCs w:val="20"/>
        </w:rPr>
        <w:t>des</w:t>
      </w:r>
      <w:r w:rsidR="00DB1635" w:rsidRPr="00B004EE">
        <w:rPr>
          <w:rFonts w:ascii="Tahoma" w:hAnsi="Tahoma" w:cs="Tahoma"/>
          <w:w w:val="99"/>
          <w:sz w:val="20"/>
          <w:szCs w:val="20"/>
        </w:rPr>
        <w:t xml:space="preserve"> </w:t>
      </w:r>
      <w:r w:rsidR="008518B0" w:rsidRPr="00B004EE">
        <w:rPr>
          <w:rFonts w:ascii="Tahoma" w:hAnsi="Tahoma" w:cs="Tahoma"/>
          <w:sz w:val="20"/>
          <w:szCs w:val="20"/>
        </w:rPr>
        <w:t>Pêches</w:t>
      </w:r>
      <w:r w:rsidR="00DB1635" w:rsidRPr="00B004EE">
        <w:rPr>
          <w:rFonts w:ascii="Tahoma" w:hAnsi="Tahoma" w:cs="Tahoma"/>
          <w:sz w:val="20"/>
          <w:szCs w:val="20"/>
        </w:rPr>
        <w:t xml:space="preserve"> </w:t>
      </w:r>
      <w:r w:rsidR="008518B0" w:rsidRPr="00B004EE">
        <w:rPr>
          <w:rFonts w:ascii="Tahoma" w:hAnsi="Tahoma" w:cs="Tahoma"/>
          <w:sz w:val="20"/>
          <w:szCs w:val="20"/>
        </w:rPr>
        <w:t>et</w:t>
      </w:r>
      <w:r w:rsidR="00DB1635" w:rsidRPr="00B004EE">
        <w:rPr>
          <w:rFonts w:ascii="Tahoma" w:hAnsi="Tahoma" w:cs="Tahoma"/>
          <w:sz w:val="20"/>
          <w:szCs w:val="20"/>
        </w:rPr>
        <w:t xml:space="preserve"> </w:t>
      </w:r>
      <w:r w:rsidR="008518B0" w:rsidRPr="00B004EE">
        <w:rPr>
          <w:rFonts w:ascii="Tahoma" w:hAnsi="Tahoma" w:cs="Tahoma"/>
          <w:sz w:val="20"/>
          <w:szCs w:val="20"/>
        </w:rPr>
        <w:t>de</w:t>
      </w:r>
      <w:r w:rsidR="00DB1635" w:rsidRPr="00B004EE">
        <w:rPr>
          <w:rFonts w:ascii="Tahoma" w:hAnsi="Tahoma" w:cs="Tahoma"/>
          <w:sz w:val="20"/>
          <w:szCs w:val="20"/>
        </w:rPr>
        <w:t xml:space="preserve"> </w:t>
      </w:r>
      <w:r w:rsidR="008518B0" w:rsidRPr="00B004EE">
        <w:rPr>
          <w:rFonts w:ascii="Tahoma" w:hAnsi="Tahoma" w:cs="Tahoma"/>
          <w:sz w:val="20"/>
          <w:szCs w:val="20"/>
        </w:rPr>
        <w:t>l'Economie</w:t>
      </w:r>
      <w:r w:rsidR="00DB1635" w:rsidRPr="00B004EE">
        <w:rPr>
          <w:rFonts w:ascii="Tahoma" w:hAnsi="Tahoma" w:cs="Tahoma"/>
          <w:sz w:val="20"/>
          <w:szCs w:val="20"/>
        </w:rPr>
        <w:t xml:space="preserve"> </w:t>
      </w:r>
      <w:r w:rsidR="008518B0" w:rsidRPr="00B004EE">
        <w:rPr>
          <w:rFonts w:ascii="Tahoma" w:hAnsi="Tahoma" w:cs="Tahoma"/>
          <w:sz w:val="20"/>
          <w:szCs w:val="20"/>
        </w:rPr>
        <w:t>Maritime.</w:t>
      </w:r>
      <w:r w:rsidR="00DB1635" w:rsidRPr="00B004EE">
        <w:rPr>
          <w:rFonts w:ascii="Tahoma" w:hAnsi="Tahoma" w:cs="Tahoma"/>
          <w:sz w:val="20"/>
          <w:szCs w:val="20"/>
        </w:rPr>
        <w:t xml:space="preserve"> </w:t>
      </w:r>
      <w:r w:rsidR="008518B0" w:rsidRPr="00B004EE">
        <w:rPr>
          <w:rFonts w:ascii="Tahoma" w:hAnsi="Tahoma" w:cs="Tahoma"/>
          <w:spacing w:val="4"/>
          <w:sz w:val="20"/>
          <w:szCs w:val="20"/>
        </w:rPr>
        <w:t>Le</w:t>
      </w:r>
      <w:r w:rsidR="00DB1635" w:rsidRPr="00B004EE">
        <w:rPr>
          <w:rFonts w:ascii="Tahoma" w:hAnsi="Tahoma" w:cs="Tahoma"/>
          <w:spacing w:val="4"/>
          <w:sz w:val="20"/>
          <w:szCs w:val="20"/>
        </w:rPr>
        <w:t xml:space="preserve"> </w:t>
      </w:r>
      <w:r w:rsidR="008518B0" w:rsidRPr="00B004EE">
        <w:rPr>
          <w:rFonts w:ascii="Tahoma" w:hAnsi="Tahoma" w:cs="Tahoma"/>
          <w:spacing w:val="9"/>
          <w:sz w:val="20"/>
          <w:szCs w:val="20"/>
        </w:rPr>
        <w:t>siège</w:t>
      </w:r>
      <w:r w:rsidR="00DB1635" w:rsidRPr="00B004EE">
        <w:rPr>
          <w:rFonts w:ascii="Tahoma" w:hAnsi="Tahoma" w:cs="Tahoma"/>
          <w:spacing w:val="9"/>
          <w:sz w:val="20"/>
          <w:szCs w:val="20"/>
        </w:rPr>
        <w:t xml:space="preserve"> </w:t>
      </w:r>
      <w:r w:rsidR="008518B0" w:rsidRPr="00B004EE">
        <w:rPr>
          <w:rFonts w:ascii="Tahoma" w:hAnsi="Tahoma" w:cs="Tahoma"/>
          <w:spacing w:val="7"/>
          <w:sz w:val="20"/>
          <w:szCs w:val="20"/>
        </w:rPr>
        <w:t>de</w:t>
      </w:r>
      <w:r w:rsidR="00DB1635" w:rsidRPr="00B004EE">
        <w:rPr>
          <w:rFonts w:ascii="Tahoma" w:hAnsi="Tahoma" w:cs="Tahoma"/>
          <w:spacing w:val="7"/>
          <w:sz w:val="20"/>
          <w:szCs w:val="20"/>
        </w:rPr>
        <w:t xml:space="preserve"> </w:t>
      </w:r>
      <w:r w:rsidR="008518B0" w:rsidRPr="00B004EE">
        <w:rPr>
          <w:rFonts w:ascii="Tahoma" w:hAnsi="Tahoma" w:cs="Tahoma"/>
          <w:spacing w:val="10"/>
          <w:sz w:val="20"/>
          <w:szCs w:val="20"/>
        </w:rPr>
        <w:t>l'ONISPA</w:t>
      </w:r>
      <w:r w:rsidR="00DB1635" w:rsidRPr="00B004EE">
        <w:rPr>
          <w:rFonts w:ascii="Tahoma" w:hAnsi="Tahoma" w:cs="Tahoma"/>
          <w:spacing w:val="10"/>
          <w:sz w:val="20"/>
          <w:szCs w:val="20"/>
        </w:rPr>
        <w:t xml:space="preserve"> </w:t>
      </w:r>
      <w:r w:rsidR="008518B0" w:rsidRPr="00B004EE">
        <w:rPr>
          <w:rFonts w:ascii="Tahoma" w:hAnsi="Tahoma" w:cs="Tahoma"/>
          <w:spacing w:val="7"/>
          <w:sz w:val="20"/>
          <w:szCs w:val="20"/>
        </w:rPr>
        <w:t>est</w:t>
      </w:r>
      <w:r w:rsidR="00DB1635" w:rsidRPr="00B004EE">
        <w:rPr>
          <w:rFonts w:ascii="Tahoma" w:hAnsi="Tahoma" w:cs="Tahoma"/>
          <w:spacing w:val="7"/>
          <w:sz w:val="20"/>
          <w:szCs w:val="20"/>
        </w:rPr>
        <w:t xml:space="preserve"> </w:t>
      </w:r>
      <w:r w:rsidR="008518B0" w:rsidRPr="00B004EE">
        <w:rPr>
          <w:rFonts w:ascii="Tahoma" w:hAnsi="Tahoma" w:cs="Tahoma"/>
          <w:spacing w:val="9"/>
          <w:sz w:val="20"/>
          <w:szCs w:val="20"/>
        </w:rPr>
        <w:t>fixé</w:t>
      </w:r>
      <w:r w:rsidR="00DB1635" w:rsidRPr="00B004EE">
        <w:rPr>
          <w:rFonts w:ascii="Tahoma" w:hAnsi="Tahoma" w:cs="Tahoma"/>
          <w:spacing w:val="9"/>
          <w:sz w:val="20"/>
          <w:szCs w:val="20"/>
        </w:rPr>
        <w:t xml:space="preserve"> </w:t>
      </w:r>
      <w:r w:rsidR="008518B0" w:rsidRPr="00B004EE">
        <w:rPr>
          <w:rFonts w:ascii="Tahoma" w:hAnsi="Tahoma" w:cs="Tahoma"/>
          <w:sz w:val="20"/>
          <w:szCs w:val="20"/>
        </w:rPr>
        <w:t>à</w:t>
      </w:r>
      <w:r w:rsidR="00DB1635" w:rsidRPr="00B004EE">
        <w:rPr>
          <w:rFonts w:ascii="Tahoma" w:hAnsi="Tahoma" w:cs="Tahoma"/>
          <w:sz w:val="20"/>
          <w:szCs w:val="20"/>
        </w:rPr>
        <w:t xml:space="preserve"> </w:t>
      </w:r>
      <w:r w:rsidR="008518B0" w:rsidRPr="00B004EE">
        <w:rPr>
          <w:rFonts w:ascii="Tahoma" w:hAnsi="Tahoma" w:cs="Tahoma"/>
          <w:spacing w:val="-3"/>
          <w:sz w:val="20"/>
          <w:szCs w:val="20"/>
        </w:rPr>
        <w:t>Nouadhibou.</w:t>
      </w:r>
      <w:r w:rsidR="00DB1635" w:rsidRPr="00B004EE">
        <w:rPr>
          <w:rFonts w:ascii="Tahoma" w:hAnsi="Tahoma" w:cs="Tahoma"/>
          <w:spacing w:val="-3"/>
          <w:sz w:val="20"/>
          <w:szCs w:val="20"/>
        </w:rPr>
        <w:t xml:space="preserve"> </w:t>
      </w:r>
      <w:r w:rsidR="00F802AA" w:rsidRPr="00B004EE">
        <w:rPr>
          <w:rFonts w:ascii="Tahoma" w:hAnsi="Tahoma" w:cs="Tahoma"/>
          <w:sz w:val="20"/>
          <w:szCs w:val="20"/>
        </w:rPr>
        <w:t>Il</w:t>
      </w:r>
      <w:r w:rsidR="00DB1635" w:rsidRPr="00B004EE">
        <w:rPr>
          <w:rFonts w:ascii="Tahoma" w:hAnsi="Tahoma" w:cs="Tahoma"/>
          <w:spacing w:val="-21"/>
          <w:sz w:val="20"/>
          <w:szCs w:val="20"/>
        </w:rPr>
        <w:t xml:space="preserve"> </w:t>
      </w:r>
      <w:r w:rsidR="008518B0" w:rsidRPr="00B004EE">
        <w:rPr>
          <w:rFonts w:ascii="Tahoma" w:hAnsi="Tahoma" w:cs="Tahoma"/>
          <w:sz w:val="20"/>
          <w:szCs w:val="20"/>
        </w:rPr>
        <w:t>peut</w:t>
      </w:r>
      <w:r w:rsidR="00DB1635" w:rsidRPr="00B004EE">
        <w:rPr>
          <w:rFonts w:ascii="Tahoma" w:hAnsi="Tahoma" w:cs="Tahoma"/>
          <w:w w:val="99"/>
          <w:sz w:val="20"/>
          <w:szCs w:val="20"/>
        </w:rPr>
        <w:t xml:space="preserve"> </w:t>
      </w:r>
      <w:r w:rsidR="008518B0" w:rsidRPr="00B004EE">
        <w:rPr>
          <w:rFonts w:ascii="Tahoma" w:hAnsi="Tahoma" w:cs="Tahoma"/>
          <w:spacing w:val="-3"/>
          <w:sz w:val="20"/>
          <w:szCs w:val="20"/>
        </w:rPr>
        <w:t>ouvrir,</w:t>
      </w:r>
      <w:r w:rsidR="00DB1635" w:rsidRPr="00B004EE">
        <w:rPr>
          <w:rFonts w:ascii="Tahoma" w:hAnsi="Tahoma" w:cs="Tahoma"/>
          <w:spacing w:val="-9"/>
          <w:sz w:val="20"/>
          <w:szCs w:val="20"/>
        </w:rPr>
        <w:t xml:space="preserve"> </w:t>
      </w:r>
      <w:r w:rsidR="008518B0" w:rsidRPr="00B004EE">
        <w:rPr>
          <w:rFonts w:ascii="Tahoma" w:hAnsi="Tahoma" w:cs="Tahoma"/>
          <w:sz w:val="20"/>
          <w:szCs w:val="20"/>
        </w:rPr>
        <w:t>pour</w:t>
      </w:r>
      <w:r w:rsidR="00DB1635" w:rsidRPr="00B004EE">
        <w:rPr>
          <w:rFonts w:ascii="Tahoma" w:hAnsi="Tahoma" w:cs="Tahoma"/>
          <w:spacing w:val="-10"/>
          <w:sz w:val="20"/>
          <w:szCs w:val="20"/>
        </w:rPr>
        <w:t xml:space="preserve"> </w:t>
      </w:r>
      <w:r w:rsidR="008518B0" w:rsidRPr="00B004EE">
        <w:rPr>
          <w:rFonts w:ascii="Tahoma" w:hAnsi="Tahoma" w:cs="Tahoma"/>
          <w:spacing w:val="-2"/>
          <w:sz w:val="20"/>
          <w:szCs w:val="20"/>
        </w:rPr>
        <w:t>les</w:t>
      </w:r>
      <w:r w:rsidR="00DB1635" w:rsidRPr="00B004EE">
        <w:rPr>
          <w:rFonts w:ascii="Tahoma" w:hAnsi="Tahoma" w:cs="Tahoma"/>
          <w:spacing w:val="-7"/>
          <w:sz w:val="20"/>
          <w:szCs w:val="20"/>
        </w:rPr>
        <w:t xml:space="preserve"> </w:t>
      </w:r>
      <w:r w:rsidR="008518B0" w:rsidRPr="00B004EE">
        <w:rPr>
          <w:rFonts w:ascii="Tahoma" w:hAnsi="Tahoma" w:cs="Tahoma"/>
          <w:spacing w:val="-3"/>
          <w:sz w:val="20"/>
          <w:szCs w:val="20"/>
        </w:rPr>
        <w:t>besoins</w:t>
      </w:r>
      <w:r w:rsidR="00DB1635" w:rsidRPr="00B004EE">
        <w:rPr>
          <w:rFonts w:ascii="Tahoma" w:hAnsi="Tahoma" w:cs="Tahoma"/>
          <w:spacing w:val="-9"/>
          <w:sz w:val="20"/>
          <w:szCs w:val="20"/>
        </w:rPr>
        <w:t xml:space="preserve"> </w:t>
      </w:r>
      <w:r w:rsidR="008518B0" w:rsidRPr="00B004EE">
        <w:rPr>
          <w:rFonts w:ascii="Tahoma" w:hAnsi="Tahoma" w:cs="Tahoma"/>
          <w:sz w:val="20"/>
          <w:szCs w:val="20"/>
        </w:rPr>
        <w:t>de</w:t>
      </w:r>
      <w:r w:rsidR="00DB1635" w:rsidRPr="00B004EE">
        <w:rPr>
          <w:rFonts w:ascii="Tahoma" w:hAnsi="Tahoma" w:cs="Tahoma"/>
          <w:spacing w:val="-5"/>
          <w:sz w:val="20"/>
          <w:szCs w:val="20"/>
        </w:rPr>
        <w:t xml:space="preserve"> </w:t>
      </w:r>
      <w:r w:rsidR="008518B0" w:rsidRPr="00B004EE">
        <w:rPr>
          <w:rFonts w:ascii="Tahoma" w:hAnsi="Tahoma" w:cs="Tahoma"/>
          <w:sz w:val="20"/>
          <w:szCs w:val="20"/>
        </w:rPr>
        <w:t>ses</w:t>
      </w:r>
      <w:r w:rsidR="00DB1635" w:rsidRPr="00B004EE">
        <w:rPr>
          <w:rFonts w:ascii="Tahoma" w:hAnsi="Tahoma" w:cs="Tahoma"/>
          <w:spacing w:val="-7"/>
          <w:sz w:val="20"/>
          <w:szCs w:val="20"/>
        </w:rPr>
        <w:t xml:space="preserve"> </w:t>
      </w:r>
      <w:r w:rsidR="008518B0" w:rsidRPr="00B004EE">
        <w:rPr>
          <w:rFonts w:ascii="Tahoma" w:hAnsi="Tahoma" w:cs="Tahoma"/>
          <w:sz w:val="20"/>
          <w:szCs w:val="20"/>
        </w:rPr>
        <w:t>activités,</w:t>
      </w:r>
      <w:r w:rsidR="00DB1635" w:rsidRPr="00B004EE">
        <w:rPr>
          <w:rFonts w:ascii="Tahoma" w:hAnsi="Tahoma" w:cs="Tahoma"/>
          <w:spacing w:val="-7"/>
          <w:sz w:val="20"/>
          <w:szCs w:val="20"/>
        </w:rPr>
        <w:t xml:space="preserve"> </w:t>
      </w:r>
      <w:r w:rsidR="008518B0" w:rsidRPr="00B004EE">
        <w:rPr>
          <w:rFonts w:ascii="Tahoma" w:hAnsi="Tahoma" w:cs="Tahoma"/>
          <w:sz w:val="20"/>
          <w:szCs w:val="20"/>
        </w:rPr>
        <w:t>des</w:t>
      </w:r>
      <w:r w:rsidR="00DB1635" w:rsidRPr="00B004EE">
        <w:rPr>
          <w:rFonts w:ascii="Tahoma" w:hAnsi="Tahoma" w:cs="Tahoma"/>
          <w:spacing w:val="-7"/>
          <w:sz w:val="20"/>
          <w:szCs w:val="20"/>
        </w:rPr>
        <w:t xml:space="preserve"> </w:t>
      </w:r>
      <w:r w:rsidR="008518B0" w:rsidRPr="00B004EE">
        <w:rPr>
          <w:rFonts w:ascii="Tahoma" w:hAnsi="Tahoma" w:cs="Tahoma"/>
          <w:sz w:val="20"/>
          <w:szCs w:val="20"/>
        </w:rPr>
        <w:t>Antennes</w:t>
      </w:r>
      <w:r w:rsidR="00DB1635" w:rsidRPr="00B004EE">
        <w:rPr>
          <w:rFonts w:ascii="Tahoma" w:hAnsi="Tahoma" w:cs="Tahoma"/>
          <w:spacing w:val="-4"/>
          <w:sz w:val="20"/>
          <w:szCs w:val="20"/>
        </w:rPr>
        <w:t xml:space="preserve"> </w:t>
      </w:r>
      <w:r w:rsidR="008518B0" w:rsidRPr="00B004EE">
        <w:rPr>
          <w:rFonts w:ascii="Tahoma" w:hAnsi="Tahoma" w:cs="Tahoma"/>
          <w:sz w:val="20"/>
          <w:szCs w:val="20"/>
        </w:rPr>
        <w:t>en</w:t>
      </w:r>
      <w:r w:rsidR="00DB1635" w:rsidRPr="00B004EE">
        <w:rPr>
          <w:rFonts w:ascii="Tahoma" w:hAnsi="Tahoma" w:cs="Tahoma"/>
          <w:spacing w:val="-7"/>
          <w:sz w:val="20"/>
          <w:szCs w:val="20"/>
        </w:rPr>
        <w:t xml:space="preserve"> </w:t>
      </w:r>
      <w:r w:rsidR="008518B0" w:rsidRPr="00B004EE">
        <w:rPr>
          <w:rFonts w:ascii="Tahoma" w:hAnsi="Tahoma" w:cs="Tahoma"/>
          <w:sz w:val="20"/>
          <w:szCs w:val="20"/>
        </w:rPr>
        <w:t>tous</w:t>
      </w:r>
      <w:r w:rsidR="00DB1635" w:rsidRPr="00B004EE">
        <w:rPr>
          <w:rFonts w:ascii="Tahoma" w:hAnsi="Tahoma" w:cs="Tahoma"/>
          <w:spacing w:val="-7"/>
          <w:sz w:val="20"/>
          <w:szCs w:val="20"/>
        </w:rPr>
        <w:t xml:space="preserve"> </w:t>
      </w:r>
      <w:r w:rsidR="008518B0" w:rsidRPr="00B004EE">
        <w:rPr>
          <w:rFonts w:ascii="Tahoma" w:hAnsi="Tahoma" w:cs="Tahoma"/>
          <w:sz w:val="20"/>
          <w:szCs w:val="20"/>
        </w:rPr>
        <w:t>lieux</w:t>
      </w:r>
      <w:r w:rsidR="00DB1635" w:rsidRPr="00B004EE">
        <w:rPr>
          <w:rFonts w:ascii="Tahoma" w:hAnsi="Tahoma" w:cs="Tahoma"/>
          <w:spacing w:val="-7"/>
          <w:sz w:val="20"/>
          <w:szCs w:val="20"/>
        </w:rPr>
        <w:t xml:space="preserve"> </w:t>
      </w:r>
      <w:r w:rsidR="008518B0" w:rsidRPr="00B004EE">
        <w:rPr>
          <w:rFonts w:ascii="Tahoma" w:hAnsi="Tahoma" w:cs="Tahoma"/>
          <w:sz w:val="20"/>
          <w:szCs w:val="20"/>
        </w:rPr>
        <w:t>sur</w:t>
      </w:r>
      <w:r w:rsidR="00DB1635" w:rsidRPr="00B004EE">
        <w:rPr>
          <w:rFonts w:ascii="Tahoma" w:hAnsi="Tahoma" w:cs="Tahoma"/>
          <w:spacing w:val="-8"/>
          <w:sz w:val="20"/>
          <w:szCs w:val="20"/>
        </w:rPr>
        <w:t xml:space="preserve"> </w:t>
      </w:r>
      <w:r w:rsidR="008518B0" w:rsidRPr="00B004EE">
        <w:rPr>
          <w:rFonts w:ascii="Tahoma" w:hAnsi="Tahoma" w:cs="Tahoma"/>
          <w:sz w:val="20"/>
          <w:szCs w:val="20"/>
        </w:rPr>
        <w:t>le</w:t>
      </w:r>
      <w:r w:rsidR="00DB1635" w:rsidRPr="00B004EE">
        <w:rPr>
          <w:rFonts w:ascii="Tahoma" w:hAnsi="Tahoma" w:cs="Tahoma"/>
          <w:spacing w:val="-8"/>
          <w:sz w:val="20"/>
          <w:szCs w:val="20"/>
        </w:rPr>
        <w:t xml:space="preserve"> </w:t>
      </w:r>
      <w:r w:rsidR="008518B0" w:rsidRPr="00B004EE">
        <w:rPr>
          <w:rFonts w:ascii="Tahoma" w:hAnsi="Tahoma" w:cs="Tahoma"/>
          <w:sz w:val="20"/>
          <w:szCs w:val="20"/>
        </w:rPr>
        <w:t>territoire</w:t>
      </w:r>
      <w:r w:rsidR="00DB1635" w:rsidRPr="00B004EE">
        <w:rPr>
          <w:rFonts w:ascii="Tahoma" w:hAnsi="Tahoma" w:cs="Tahoma"/>
          <w:spacing w:val="-8"/>
          <w:sz w:val="20"/>
          <w:szCs w:val="20"/>
        </w:rPr>
        <w:t xml:space="preserve"> </w:t>
      </w:r>
      <w:r w:rsidR="008518B0" w:rsidRPr="00B004EE">
        <w:rPr>
          <w:rFonts w:ascii="Tahoma" w:hAnsi="Tahoma" w:cs="Tahoma"/>
          <w:sz w:val="20"/>
          <w:szCs w:val="20"/>
        </w:rPr>
        <w:t>national.</w:t>
      </w:r>
    </w:p>
    <w:p w14:paraId="13BA0B18" w14:textId="77777777" w:rsidR="008518B0" w:rsidRPr="00B004EE" w:rsidRDefault="008518B0" w:rsidP="00B004EE">
      <w:pPr>
        <w:rPr>
          <w:rFonts w:ascii="Tahoma" w:eastAsia="Times" w:hAnsi="Tahoma" w:cs="Tahoma"/>
          <w:sz w:val="20"/>
          <w:szCs w:val="20"/>
        </w:rPr>
      </w:pPr>
    </w:p>
    <w:p w14:paraId="634846EC" w14:textId="3FDBDA55" w:rsidR="008518B0" w:rsidRPr="00B004EE" w:rsidRDefault="00561F81" w:rsidP="00B004EE">
      <w:pPr>
        <w:pStyle w:val="Corpsdetexte"/>
        <w:ind w:left="218" w:right="182"/>
        <w:rPr>
          <w:rFonts w:ascii="Tahoma" w:hAnsi="Tahoma" w:cs="Tahoma"/>
          <w:sz w:val="20"/>
          <w:szCs w:val="20"/>
        </w:rPr>
      </w:pPr>
      <w:r w:rsidRPr="00B004EE">
        <w:rPr>
          <w:rFonts w:ascii="Tahoma" w:hAnsi="Tahoma" w:cs="Tahoma"/>
          <w:bCs/>
          <w:iCs/>
          <w:sz w:val="20"/>
          <w:szCs w:val="20"/>
        </w:rPr>
        <w:t xml:space="preserve">Article </w:t>
      </w:r>
      <w:r w:rsidR="008518B0" w:rsidRPr="00B004EE">
        <w:rPr>
          <w:rFonts w:ascii="Tahoma" w:hAnsi="Tahoma" w:cs="Tahoma"/>
          <w:bCs/>
          <w:iCs/>
          <w:sz w:val="20"/>
          <w:szCs w:val="20"/>
        </w:rPr>
        <w:t>2</w:t>
      </w:r>
      <w:r w:rsidR="00DB1635" w:rsidRPr="00B004EE">
        <w:rPr>
          <w:rFonts w:ascii="Tahoma" w:hAnsi="Tahoma" w:cs="Tahoma"/>
          <w:b/>
          <w:i/>
          <w:sz w:val="20"/>
          <w:szCs w:val="20"/>
        </w:rPr>
        <w:t xml:space="preserve"> </w:t>
      </w:r>
      <w:r w:rsidR="008518B0" w:rsidRPr="00B004EE">
        <w:rPr>
          <w:rFonts w:ascii="Tahoma" w:hAnsi="Tahoma" w:cs="Tahoma"/>
          <w:i/>
          <w:sz w:val="20"/>
          <w:szCs w:val="20"/>
        </w:rPr>
        <w:t>:</w:t>
      </w:r>
      <w:r w:rsidR="00DB1635" w:rsidRPr="00B004EE">
        <w:rPr>
          <w:rFonts w:ascii="Tahoma" w:hAnsi="Tahoma" w:cs="Tahoma"/>
          <w:i/>
          <w:sz w:val="20"/>
          <w:szCs w:val="20"/>
        </w:rPr>
        <w:t xml:space="preserve"> </w:t>
      </w:r>
      <w:r w:rsidR="008518B0" w:rsidRPr="00B004EE">
        <w:rPr>
          <w:rFonts w:ascii="Tahoma" w:hAnsi="Tahoma" w:cs="Tahoma"/>
          <w:sz w:val="20"/>
          <w:szCs w:val="20"/>
        </w:rPr>
        <w:t>L'Office</w:t>
      </w:r>
      <w:r w:rsidR="00DB1635" w:rsidRPr="00B004EE">
        <w:rPr>
          <w:rFonts w:ascii="Tahoma" w:hAnsi="Tahoma" w:cs="Tahoma"/>
          <w:sz w:val="20"/>
          <w:szCs w:val="20"/>
        </w:rPr>
        <w:t xml:space="preserve"> </w:t>
      </w:r>
      <w:r w:rsidR="008518B0" w:rsidRPr="00B004EE">
        <w:rPr>
          <w:rFonts w:ascii="Tahoma" w:hAnsi="Tahoma" w:cs="Tahoma"/>
          <w:sz w:val="20"/>
          <w:szCs w:val="20"/>
        </w:rPr>
        <w:t>National</w:t>
      </w:r>
      <w:r w:rsidR="00DB1635" w:rsidRPr="00B004EE">
        <w:rPr>
          <w:rFonts w:ascii="Tahoma" w:hAnsi="Tahoma" w:cs="Tahoma"/>
          <w:sz w:val="20"/>
          <w:szCs w:val="20"/>
        </w:rPr>
        <w:t xml:space="preserve"> </w:t>
      </w:r>
      <w:r w:rsidR="008518B0" w:rsidRPr="00B004EE">
        <w:rPr>
          <w:rFonts w:ascii="Tahoma" w:hAnsi="Tahoma" w:cs="Tahoma"/>
          <w:sz w:val="20"/>
          <w:szCs w:val="20"/>
        </w:rPr>
        <w:t>d'Inspection</w:t>
      </w:r>
      <w:r w:rsidR="00DB1635" w:rsidRPr="00B004EE">
        <w:rPr>
          <w:rFonts w:ascii="Tahoma" w:hAnsi="Tahoma" w:cs="Tahoma"/>
          <w:sz w:val="20"/>
          <w:szCs w:val="20"/>
        </w:rPr>
        <w:t xml:space="preserve"> </w:t>
      </w:r>
      <w:r w:rsidR="008518B0" w:rsidRPr="00B004EE">
        <w:rPr>
          <w:rFonts w:ascii="Tahoma" w:hAnsi="Tahoma" w:cs="Tahoma"/>
          <w:sz w:val="20"/>
          <w:szCs w:val="20"/>
        </w:rPr>
        <w:t>Sanitaire</w:t>
      </w:r>
      <w:r w:rsidR="00DB1635" w:rsidRPr="00B004EE">
        <w:rPr>
          <w:rFonts w:ascii="Tahoma" w:hAnsi="Tahoma" w:cs="Tahoma"/>
          <w:sz w:val="20"/>
          <w:szCs w:val="20"/>
        </w:rPr>
        <w:t xml:space="preserve"> </w:t>
      </w:r>
      <w:r w:rsidR="008518B0" w:rsidRPr="00B004EE">
        <w:rPr>
          <w:rFonts w:ascii="Tahoma" w:hAnsi="Tahoma" w:cs="Tahoma"/>
          <w:sz w:val="20"/>
          <w:szCs w:val="20"/>
        </w:rPr>
        <w:t>des</w:t>
      </w:r>
      <w:r w:rsidR="00DB1635" w:rsidRPr="00B004EE">
        <w:rPr>
          <w:rFonts w:ascii="Tahoma" w:hAnsi="Tahoma" w:cs="Tahoma"/>
          <w:sz w:val="20"/>
          <w:szCs w:val="20"/>
        </w:rPr>
        <w:t xml:space="preserve"> </w:t>
      </w:r>
      <w:r w:rsidR="008518B0" w:rsidRPr="00B004EE">
        <w:rPr>
          <w:rFonts w:ascii="Tahoma" w:hAnsi="Tahoma" w:cs="Tahoma"/>
          <w:sz w:val="20"/>
          <w:szCs w:val="20"/>
        </w:rPr>
        <w:t>Produits</w:t>
      </w:r>
      <w:r w:rsidR="00DB1635" w:rsidRPr="00B004EE">
        <w:rPr>
          <w:rFonts w:ascii="Tahoma" w:hAnsi="Tahoma" w:cs="Tahoma"/>
          <w:sz w:val="20"/>
          <w:szCs w:val="20"/>
        </w:rPr>
        <w:t xml:space="preserve"> </w:t>
      </w:r>
      <w:r w:rsidR="008518B0" w:rsidRPr="00B004EE">
        <w:rPr>
          <w:rFonts w:ascii="Tahoma" w:hAnsi="Tahoma" w:cs="Tahoma"/>
          <w:sz w:val="20"/>
          <w:szCs w:val="20"/>
        </w:rPr>
        <w:t>de</w:t>
      </w:r>
      <w:r w:rsidR="00DB1635" w:rsidRPr="00B004EE">
        <w:rPr>
          <w:rFonts w:ascii="Tahoma" w:hAnsi="Tahoma" w:cs="Tahoma"/>
          <w:sz w:val="20"/>
          <w:szCs w:val="20"/>
        </w:rPr>
        <w:t xml:space="preserve"> </w:t>
      </w:r>
      <w:r w:rsidR="008518B0" w:rsidRPr="00B004EE">
        <w:rPr>
          <w:rFonts w:ascii="Tahoma" w:hAnsi="Tahoma" w:cs="Tahoma"/>
          <w:sz w:val="20"/>
          <w:szCs w:val="20"/>
        </w:rPr>
        <w:t>la</w:t>
      </w:r>
      <w:r w:rsidR="00DB1635" w:rsidRPr="00B004EE">
        <w:rPr>
          <w:rFonts w:ascii="Tahoma" w:hAnsi="Tahoma" w:cs="Tahoma"/>
          <w:sz w:val="20"/>
          <w:szCs w:val="20"/>
        </w:rPr>
        <w:t xml:space="preserve"> </w:t>
      </w:r>
      <w:r w:rsidR="008518B0" w:rsidRPr="00B004EE">
        <w:rPr>
          <w:rFonts w:ascii="Tahoma" w:hAnsi="Tahoma" w:cs="Tahoma"/>
          <w:sz w:val="20"/>
          <w:szCs w:val="20"/>
        </w:rPr>
        <w:t>Pêche</w:t>
      </w:r>
      <w:r w:rsidR="00DB1635" w:rsidRPr="00B004EE">
        <w:rPr>
          <w:rFonts w:ascii="Tahoma" w:hAnsi="Tahoma" w:cs="Tahoma"/>
          <w:sz w:val="20"/>
          <w:szCs w:val="20"/>
        </w:rPr>
        <w:t xml:space="preserve"> </w:t>
      </w:r>
      <w:r w:rsidR="008518B0" w:rsidRPr="00B004EE">
        <w:rPr>
          <w:rFonts w:ascii="Tahoma" w:hAnsi="Tahoma" w:cs="Tahoma"/>
          <w:sz w:val="20"/>
          <w:szCs w:val="20"/>
        </w:rPr>
        <w:t>et</w:t>
      </w:r>
      <w:r w:rsidR="00DB1635" w:rsidRPr="00B004EE">
        <w:rPr>
          <w:rFonts w:ascii="Tahoma" w:hAnsi="Tahoma" w:cs="Tahoma"/>
          <w:spacing w:val="49"/>
          <w:sz w:val="20"/>
          <w:szCs w:val="20"/>
        </w:rPr>
        <w:t xml:space="preserve"> </w:t>
      </w:r>
      <w:r w:rsidR="008518B0" w:rsidRPr="00B004EE">
        <w:rPr>
          <w:rFonts w:ascii="Tahoma" w:hAnsi="Tahoma" w:cs="Tahoma"/>
          <w:sz w:val="20"/>
          <w:szCs w:val="20"/>
        </w:rPr>
        <w:t>de</w:t>
      </w:r>
      <w:r w:rsidR="00DB1635" w:rsidRPr="00B004EE">
        <w:rPr>
          <w:rFonts w:ascii="Tahoma" w:hAnsi="Tahoma" w:cs="Tahoma"/>
          <w:w w:val="99"/>
          <w:sz w:val="20"/>
          <w:szCs w:val="20"/>
        </w:rPr>
        <w:t xml:space="preserve"> </w:t>
      </w:r>
      <w:r w:rsidR="008518B0" w:rsidRPr="00B004EE">
        <w:rPr>
          <w:rFonts w:ascii="Tahoma" w:hAnsi="Tahoma" w:cs="Tahoma"/>
          <w:sz w:val="20"/>
          <w:szCs w:val="20"/>
        </w:rPr>
        <w:t>l'Aquaculture</w:t>
      </w:r>
      <w:r w:rsidR="00DB1635" w:rsidRPr="00B004EE">
        <w:rPr>
          <w:rFonts w:ascii="Tahoma" w:hAnsi="Tahoma" w:cs="Tahoma"/>
          <w:sz w:val="20"/>
          <w:szCs w:val="20"/>
        </w:rPr>
        <w:t xml:space="preserve"> </w:t>
      </w:r>
      <w:r w:rsidR="008518B0" w:rsidRPr="00B004EE">
        <w:rPr>
          <w:rFonts w:ascii="Tahoma" w:hAnsi="Tahoma" w:cs="Tahoma"/>
          <w:sz w:val="20"/>
          <w:szCs w:val="20"/>
        </w:rPr>
        <w:t>a</w:t>
      </w:r>
      <w:r w:rsidR="00DB1635" w:rsidRPr="00B004EE">
        <w:rPr>
          <w:rFonts w:ascii="Tahoma" w:hAnsi="Tahoma" w:cs="Tahoma"/>
          <w:sz w:val="20"/>
          <w:szCs w:val="20"/>
        </w:rPr>
        <w:t xml:space="preserve"> </w:t>
      </w:r>
      <w:r w:rsidR="008518B0" w:rsidRPr="00B004EE">
        <w:rPr>
          <w:rFonts w:ascii="Tahoma" w:hAnsi="Tahoma" w:cs="Tahoma"/>
          <w:sz w:val="20"/>
          <w:szCs w:val="20"/>
        </w:rPr>
        <w:t>pour</w:t>
      </w:r>
      <w:r w:rsidR="00DB1635" w:rsidRPr="00B004EE">
        <w:rPr>
          <w:rFonts w:ascii="Tahoma" w:hAnsi="Tahoma" w:cs="Tahoma"/>
          <w:sz w:val="20"/>
          <w:szCs w:val="20"/>
        </w:rPr>
        <w:t xml:space="preserve"> </w:t>
      </w:r>
      <w:r w:rsidR="008518B0" w:rsidRPr="00B004EE">
        <w:rPr>
          <w:rFonts w:ascii="Tahoma" w:hAnsi="Tahoma" w:cs="Tahoma"/>
          <w:sz w:val="20"/>
          <w:szCs w:val="20"/>
        </w:rPr>
        <w:t>missions</w:t>
      </w:r>
      <w:r w:rsidR="00DB1635" w:rsidRPr="00B004EE">
        <w:rPr>
          <w:rFonts w:ascii="Tahoma" w:hAnsi="Tahoma" w:cs="Tahoma"/>
          <w:sz w:val="20"/>
          <w:szCs w:val="20"/>
        </w:rPr>
        <w:t xml:space="preserve"> </w:t>
      </w:r>
      <w:r w:rsidR="008518B0" w:rsidRPr="00B004EE">
        <w:rPr>
          <w:rFonts w:ascii="Tahoma" w:hAnsi="Tahoma" w:cs="Tahoma"/>
          <w:sz w:val="20"/>
          <w:szCs w:val="20"/>
        </w:rPr>
        <w:t>de</w:t>
      </w:r>
      <w:r w:rsidR="00DB1635" w:rsidRPr="00B004EE">
        <w:rPr>
          <w:rFonts w:ascii="Tahoma" w:hAnsi="Tahoma" w:cs="Tahoma"/>
          <w:spacing w:val="-9"/>
          <w:sz w:val="20"/>
          <w:szCs w:val="20"/>
        </w:rPr>
        <w:t xml:space="preserve"> </w:t>
      </w:r>
      <w:r w:rsidR="008518B0" w:rsidRPr="00B004EE">
        <w:rPr>
          <w:rFonts w:ascii="Tahoma" w:hAnsi="Tahoma" w:cs="Tahoma"/>
          <w:sz w:val="20"/>
          <w:szCs w:val="20"/>
        </w:rPr>
        <w:t>:</w:t>
      </w:r>
    </w:p>
    <w:p w14:paraId="66D5B635" w14:textId="747BAD7C" w:rsidR="008518B0" w:rsidRPr="00B004EE" w:rsidRDefault="008518B0" w:rsidP="00420DDA">
      <w:pPr>
        <w:pStyle w:val="Paragraphedeliste"/>
        <w:widowControl w:val="0"/>
        <w:numPr>
          <w:ilvl w:val="0"/>
          <w:numId w:val="67"/>
        </w:numPr>
        <w:tabs>
          <w:tab w:val="left" w:pos="876"/>
        </w:tabs>
        <w:ind w:right="157"/>
        <w:jc w:val="both"/>
        <w:rPr>
          <w:rFonts w:ascii="Tahoma" w:eastAsia="Times" w:hAnsi="Tahoma" w:cs="Tahoma"/>
          <w:sz w:val="20"/>
          <w:szCs w:val="20"/>
        </w:rPr>
      </w:pPr>
      <w:proofErr w:type="gramStart"/>
      <w:r w:rsidRPr="00B004EE">
        <w:rPr>
          <w:rFonts w:ascii="Tahoma" w:hAnsi="Tahoma" w:cs="Tahoma"/>
          <w:sz w:val="20"/>
          <w:szCs w:val="20"/>
        </w:rPr>
        <w:t>appliquer</w:t>
      </w:r>
      <w:proofErr w:type="gramEnd"/>
      <w:r w:rsidR="00DB1635" w:rsidRPr="00B004EE">
        <w:rPr>
          <w:rFonts w:ascii="Tahoma" w:hAnsi="Tahoma" w:cs="Tahoma"/>
          <w:spacing w:val="10"/>
          <w:sz w:val="20"/>
          <w:szCs w:val="20"/>
        </w:rPr>
        <w:t xml:space="preserve"> </w:t>
      </w:r>
      <w:r w:rsidRPr="00B004EE">
        <w:rPr>
          <w:rFonts w:ascii="Tahoma" w:hAnsi="Tahoma" w:cs="Tahoma"/>
          <w:sz w:val="20"/>
          <w:szCs w:val="20"/>
        </w:rPr>
        <w:t>la</w:t>
      </w:r>
      <w:r w:rsidR="00DB1635" w:rsidRPr="00B004EE">
        <w:rPr>
          <w:rFonts w:ascii="Tahoma" w:hAnsi="Tahoma" w:cs="Tahoma"/>
          <w:spacing w:val="9"/>
          <w:sz w:val="20"/>
          <w:szCs w:val="20"/>
        </w:rPr>
        <w:t xml:space="preserve"> </w:t>
      </w:r>
      <w:r w:rsidRPr="00B004EE">
        <w:rPr>
          <w:rFonts w:ascii="Tahoma" w:hAnsi="Tahoma" w:cs="Tahoma"/>
          <w:sz w:val="20"/>
          <w:szCs w:val="20"/>
        </w:rPr>
        <w:t>réglementation</w:t>
      </w:r>
      <w:r w:rsidR="00DB1635" w:rsidRPr="00B004EE">
        <w:rPr>
          <w:rFonts w:ascii="Tahoma" w:hAnsi="Tahoma" w:cs="Tahoma"/>
          <w:spacing w:val="10"/>
          <w:sz w:val="20"/>
          <w:szCs w:val="20"/>
        </w:rPr>
        <w:t xml:space="preserve"> </w:t>
      </w:r>
      <w:r w:rsidRPr="00B004EE">
        <w:rPr>
          <w:rFonts w:ascii="Tahoma" w:hAnsi="Tahoma" w:cs="Tahoma"/>
          <w:sz w:val="20"/>
          <w:szCs w:val="20"/>
        </w:rPr>
        <w:t>nationale</w:t>
      </w:r>
      <w:r w:rsidR="00DB1635" w:rsidRPr="00B004EE">
        <w:rPr>
          <w:rFonts w:ascii="Tahoma" w:hAnsi="Tahoma" w:cs="Tahoma"/>
          <w:spacing w:val="9"/>
          <w:sz w:val="20"/>
          <w:szCs w:val="20"/>
        </w:rPr>
        <w:t xml:space="preserve"> </w:t>
      </w:r>
      <w:r w:rsidRPr="00B004EE">
        <w:rPr>
          <w:rFonts w:ascii="Tahoma" w:hAnsi="Tahoma" w:cs="Tahoma"/>
          <w:sz w:val="20"/>
          <w:szCs w:val="20"/>
        </w:rPr>
        <w:t>et</w:t>
      </w:r>
      <w:r w:rsidR="00DB1635" w:rsidRPr="00B004EE">
        <w:rPr>
          <w:rFonts w:ascii="Tahoma" w:hAnsi="Tahoma" w:cs="Tahoma"/>
          <w:spacing w:val="11"/>
          <w:sz w:val="20"/>
          <w:szCs w:val="20"/>
        </w:rPr>
        <w:t xml:space="preserve"> </w:t>
      </w:r>
      <w:r w:rsidRPr="00B004EE">
        <w:rPr>
          <w:rFonts w:ascii="Tahoma" w:hAnsi="Tahoma" w:cs="Tahoma"/>
          <w:sz w:val="20"/>
          <w:szCs w:val="20"/>
        </w:rPr>
        <w:t>internationale</w:t>
      </w:r>
      <w:r w:rsidR="00DB1635" w:rsidRPr="00B004EE">
        <w:rPr>
          <w:rFonts w:ascii="Tahoma" w:hAnsi="Tahoma" w:cs="Tahoma"/>
          <w:spacing w:val="9"/>
          <w:sz w:val="20"/>
          <w:szCs w:val="20"/>
        </w:rPr>
        <w:t xml:space="preserve"> </w:t>
      </w:r>
      <w:r w:rsidRPr="00B004EE">
        <w:rPr>
          <w:rFonts w:ascii="Tahoma" w:hAnsi="Tahoma" w:cs="Tahoma"/>
          <w:sz w:val="20"/>
          <w:szCs w:val="20"/>
        </w:rPr>
        <w:t>relative</w:t>
      </w:r>
      <w:r w:rsidR="00DB1635" w:rsidRPr="00B004EE">
        <w:rPr>
          <w:rFonts w:ascii="Tahoma" w:hAnsi="Tahoma" w:cs="Tahoma"/>
          <w:spacing w:val="9"/>
          <w:sz w:val="20"/>
          <w:szCs w:val="20"/>
        </w:rPr>
        <w:t xml:space="preserve"> </w:t>
      </w:r>
      <w:r w:rsidRPr="00B004EE">
        <w:rPr>
          <w:rFonts w:ascii="Tahoma" w:hAnsi="Tahoma" w:cs="Tahoma"/>
          <w:sz w:val="20"/>
          <w:szCs w:val="20"/>
        </w:rPr>
        <w:t>à</w:t>
      </w:r>
      <w:r w:rsidR="00DB1635" w:rsidRPr="00B004EE">
        <w:rPr>
          <w:rFonts w:ascii="Tahoma" w:hAnsi="Tahoma" w:cs="Tahoma"/>
          <w:spacing w:val="9"/>
          <w:sz w:val="20"/>
          <w:szCs w:val="20"/>
        </w:rPr>
        <w:t xml:space="preserve"> </w:t>
      </w:r>
      <w:r w:rsidRPr="00B004EE">
        <w:rPr>
          <w:rFonts w:ascii="Tahoma" w:hAnsi="Tahoma" w:cs="Tahoma"/>
          <w:sz w:val="20"/>
          <w:szCs w:val="20"/>
        </w:rPr>
        <w:t>la</w:t>
      </w:r>
      <w:r w:rsidR="00DB1635" w:rsidRPr="00B004EE">
        <w:rPr>
          <w:rFonts w:ascii="Tahoma" w:hAnsi="Tahoma" w:cs="Tahoma"/>
          <w:spacing w:val="9"/>
          <w:sz w:val="20"/>
          <w:szCs w:val="20"/>
        </w:rPr>
        <w:t xml:space="preserve"> </w:t>
      </w:r>
      <w:r w:rsidRPr="00B004EE">
        <w:rPr>
          <w:rFonts w:ascii="Tahoma" w:hAnsi="Tahoma" w:cs="Tahoma"/>
          <w:sz w:val="20"/>
          <w:szCs w:val="20"/>
        </w:rPr>
        <w:t>qualité,</w:t>
      </w:r>
      <w:r w:rsidR="00DB1635" w:rsidRPr="00B004EE">
        <w:rPr>
          <w:rFonts w:ascii="Tahoma" w:hAnsi="Tahoma" w:cs="Tahoma"/>
          <w:spacing w:val="8"/>
          <w:sz w:val="20"/>
          <w:szCs w:val="20"/>
        </w:rPr>
        <w:t xml:space="preserve"> </w:t>
      </w:r>
      <w:r w:rsidRPr="00B004EE">
        <w:rPr>
          <w:rFonts w:ascii="Tahoma" w:hAnsi="Tahoma" w:cs="Tahoma"/>
          <w:sz w:val="20"/>
          <w:szCs w:val="20"/>
        </w:rPr>
        <w:t>à</w:t>
      </w:r>
      <w:r w:rsidR="00DB1635" w:rsidRPr="00B004EE">
        <w:rPr>
          <w:rFonts w:ascii="Tahoma" w:hAnsi="Tahoma" w:cs="Tahoma"/>
          <w:spacing w:val="9"/>
          <w:sz w:val="20"/>
          <w:szCs w:val="20"/>
        </w:rPr>
        <w:t xml:space="preserve"> </w:t>
      </w:r>
      <w:r w:rsidRPr="00B004EE">
        <w:rPr>
          <w:rFonts w:ascii="Tahoma" w:hAnsi="Tahoma" w:cs="Tahoma"/>
          <w:sz w:val="20"/>
          <w:szCs w:val="20"/>
        </w:rPr>
        <w:t>T'hygiène</w:t>
      </w:r>
      <w:r w:rsidR="00DB1635" w:rsidRPr="00B004EE">
        <w:rPr>
          <w:rFonts w:ascii="Tahoma" w:hAnsi="Tahoma" w:cs="Tahoma"/>
          <w:spacing w:val="-55"/>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salubrité</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établissements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zones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pacing w:val="-10"/>
          <w:sz w:val="20"/>
          <w:szCs w:val="20"/>
        </w:rPr>
        <w:t xml:space="preserve"> </w:t>
      </w:r>
      <w:r w:rsidRPr="00B004EE">
        <w:rPr>
          <w:rFonts w:ascii="Tahoma" w:hAnsi="Tahoma" w:cs="Tahoma"/>
          <w:sz w:val="20"/>
          <w:szCs w:val="20"/>
        </w:rPr>
        <w:t>production;</w:t>
      </w:r>
    </w:p>
    <w:p w14:paraId="2FBBED5D" w14:textId="1DE1BFEE" w:rsidR="008518B0" w:rsidRPr="00B004EE" w:rsidRDefault="008518B0" w:rsidP="00420DDA">
      <w:pPr>
        <w:pStyle w:val="Paragraphedeliste"/>
        <w:widowControl w:val="0"/>
        <w:numPr>
          <w:ilvl w:val="0"/>
          <w:numId w:val="67"/>
        </w:numPr>
        <w:tabs>
          <w:tab w:val="left" w:pos="876"/>
        </w:tabs>
        <w:ind w:right="163"/>
        <w:jc w:val="both"/>
        <w:rPr>
          <w:rFonts w:ascii="Tahoma" w:eastAsia="Times" w:hAnsi="Tahoma" w:cs="Tahoma"/>
          <w:sz w:val="20"/>
          <w:szCs w:val="20"/>
        </w:rPr>
      </w:pPr>
      <w:proofErr w:type="gramStart"/>
      <w:r w:rsidRPr="00B004EE">
        <w:rPr>
          <w:rFonts w:ascii="Tahoma" w:hAnsi="Tahoma" w:cs="Tahoma"/>
          <w:spacing w:val="3"/>
          <w:sz w:val="20"/>
          <w:szCs w:val="20"/>
        </w:rPr>
        <w:t>organiser</w:t>
      </w:r>
      <w:proofErr w:type="gramEnd"/>
      <w:r w:rsidR="00DB1635" w:rsidRPr="00B004EE">
        <w:rPr>
          <w:rFonts w:ascii="Tahoma" w:hAnsi="Tahoma" w:cs="Tahoma"/>
          <w:spacing w:val="3"/>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pacing w:val="3"/>
          <w:sz w:val="20"/>
          <w:szCs w:val="20"/>
        </w:rPr>
        <w:t>exécuter</w:t>
      </w:r>
      <w:r w:rsidR="00DB1635" w:rsidRPr="00B004EE">
        <w:rPr>
          <w:rFonts w:ascii="Tahoma" w:hAnsi="Tahoma" w:cs="Tahoma"/>
          <w:spacing w:val="3"/>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pacing w:val="3"/>
          <w:sz w:val="20"/>
          <w:szCs w:val="20"/>
        </w:rPr>
        <w:t>opérations</w:t>
      </w:r>
      <w:r w:rsidR="00DB1635" w:rsidRPr="00B004EE">
        <w:rPr>
          <w:rFonts w:ascii="Tahoma" w:hAnsi="Tahoma" w:cs="Tahoma"/>
          <w:spacing w:val="3"/>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pacing w:val="5"/>
          <w:sz w:val="20"/>
          <w:szCs w:val="20"/>
        </w:rPr>
        <w:t>contrôle</w:t>
      </w:r>
      <w:r w:rsidR="00DB1635" w:rsidRPr="00B004EE">
        <w:rPr>
          <w:rFonts w:ascii="Tahoma" w:hAnsi="Tahoma" w:cs="Tahoma"/>
          <w:spacing w:val="5"/>
          <w:sz w:val="20"/>
          <w:szCs w:val="20"/>
        </w:rPr>
        <w:t xml:space="preserve"> </w:t>
      </w:r>
      <w:r w:rsidRPr="00B004EE">
        <w:rPr>
          <w:rFonts w:ascii="Tahoma" w:hAnsi="Tahoma" w:cs="Tahoma"/>
          <w:spacing w:val="3"/>
          <w:sz w:val="20"/>
          <w:szCs w:val="20"/>
        </w:rPr>
        <w:t>et</w:t>
      </w:r>
      <w:r w:rsidR="00DB1635" w:rsidRPr="00B004EE">
        <w:rPr>
          <w:rFonts w:ascii="Tahoma" w:hAnsi="Tahoma" w:cs="Tahoma"/>
          <w:spacing w:val="3"/>
          <w:sz w:val="20"/>
          <w:szCs w:val="20"/>
        </w:rPr>
        <w:t xml:space="preserve"> </w:t>
      </w:r>
      <w:r w:rsidRPr="00B004EE">
        <w:rPr>
          <w:rFonts w:ascii="Tahoma" w:hAnsi="Tahoma" w:cs="Tahoma"/>
          <w:spacing w:val="5"/>
          <w:sz w:val="20"/>
          <w:szCs w:val="20"/>
        </w:rPr>
        <w:t>d'inspection</w:t>
      </w:r>
      <w:r w:rsidR="00DB1635" w:rsidRPr="00B004EE">
        <w:rPr>
          <w:rFonts w:ascii="Tahoma" w:hAnsi="Tahoma" w:cs="Tahoma"/>
          <w:spacing w:val="5"/>
          <w:sz w:val="20"/>
          <w:szCs w:val="20"/>
        </w:rPr>
        <w:t xml:space="preserve"> </w:t>
      </w:r>
      <w:r w:rsidRPr="00B004EE">
        <w:rPr>
          <w:rFonts w:ascii="Tahoma" w:hAnsi="Tahoma" w:cs="Tahoma"/>
          <w:spacing w:val="3"/>
          <w:sz w:val="20"/>
          <w:szCs w:val="20"/>
        </w:rPr>
        <w:t>des</w:t>
      </w:r>
      <w:r w:rsidR="00DB1635" w:rsidRPr="00B004EE">
        <w:rPr>
          <w:rFonts w:ascii="Tahoma" w:hAnsi="Tahoma" w:cs="Tahoma"/>
          <w:spacing w:val="3"/>
          <w:sz w:val="20"/>
          <w:szCs w:val="20"/>
        </w:rPr>
        <w:t xml:space="preserve"> </w:t>
      </w:r>
      <w:r w:rsidRPr="00B004EE">
        <w:rPr>
          <w:rFonts w:ascii="Tahoma" w:hAnsi="Tahoma" w:cs="Tahoma"/>
          <w:spacing w:val="5"/>
          <w:sz w:val="20"/>
          <w:szCs w:val="20"/>
        </w:rPr>
        <w:t>produits,</w:t>
      </w:r>
      <w:r w:rsidR="00DB1635" w:rsidRPr="00B004EE">
        <w:rPr>
          <w:rFonts w:ascii="Tahoma" w:hAnsi="Tahoma" w:cs="Tahoma"/>
          <w:spacing w:val="36"/>
          <w:sz w:val="20"/>
          <w:szCs w:val="20"/>
        </w:rPr>
        <w:t xml:space="preserve"> </w:t>
      </w:r>
      <w:r w:rsidRPr="00B004EE">
        <w:rPr>
          <w:rFonts w:ascii="Tahoma" w:hAnsi="Tahoma" w:cs="Tahoma"/>
          <w:spacing w:val="3"/>
          <w:sz w:val="20"/>
          <w:szCs w:val="20"/>
        </w:rPr>
        <w:t>des</w:t>
      </w:r>
      <w:r w:rsidR="00DB1635" w:rsidRPr="00B004EE">
        <w:rPr>
          <w:rFonts w:ascii="Tahoma" w:hAnsi="Tahoma" w:cs="Tahoma"/>
          <w:w w:val="99"/>
          <w:sz w:val="20"/>
          <w:szCs w:val="20"/>
        </w:rPr>
        <w:t xml:space="preserve"> </w:t>
      </w:r>
      <w:r w:rsidRPr="00B004EE">
        <w:rPr>
          <w:rFonts w:ascii="Tahoma" w:hAnsi="Tahoma" w:cs="Tahoma"/>
          <w:sz w:val="20"/>
          <w:szCs w:val="20"/>
        </w:rPr>
        <w:t>établissements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zones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pacing w:val="-2"/>
          <w:sz w:val="20"/>
          <w:szCs w:val="20"/>
        </w:rPr>
        <w:t xml:space="preserve"> </w:t>
      </w:r>
      <w:r w:rsidRPr="00B004EE">
        <w:rPr>
          <w:rFonts w:ascii="Tahoma" w:hAnsi="Tahoma" w:cs="Tahoma"/>
          <w:sz w:val="20"/>
          <w:szCs w:val="20"/>
        </w:rPr>
        <w:t>production;</w:t>
      </w:r>
    </w:p>
    <w:p w14:paraId="578DE805" w14:textId="31A73407" w:rsidR="008518B0" w:rsidRPr="00B004EE" w:rsidRDefault="008518B0" w:rsidP="00420DDA">
      <w:pPr>
        <w:pStyle w:val="Paragraphedeliste"/>
        <w:widowControl w:val="0"/>
        <w:numPr>
          <w:ilvl w:val="0"/>
          <w:numId w:val="67"/>
        </w:numPr>
        <w:tabs>
          <w:tab w:val="left" w:pos="867"/>
        </w:tabs>
        <w:ind w:right="160"/>
        <w:jc w:val="both"/>
        <w:rPr>
          <w:rFonts w:ascii="Tahoma" w:eastAsia="Times" w:hAnsi="Tahoma" w:cs="Tahoma"/>
          <w:bCs/>
          <w:sz w:val="20"/>
          <w:szCs w:val="20"/>
        </w:rPr>
      </w:pPr>
      <w:proofErr w:type="gramStart"/>
      <w:r w:rsidRPr="00B004EE">
        <w:rPr>
          <w:rFonts w:ascii="Tahoma" w:hAnsi="Tahoma" w:cs="Tahoma"/>
          <w:spacing w:val="2"/>
          <w:sz w:val="20"/>
          <w:szCs w:val="20"/>
        </w:rPr>
        <w:t>fournir</w:t>
      </w:r>
      <w:proofErr w:type="gramEnd"/>
      <w:r w:rsidR="00DB1635" w:rsidRPr="00B004EE">
        <w:rPr>
          <w:rFonts w:ascii="Tahoma" w:hAnsi="Tahoma" w:cs="Tahoma"/>
          <w:spacing w:val="2"/>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avis</w:t>
      </w:r>
      <w:r w:rsidR="00DB1635" w:rsidRPr="00B004EE">
        <w:rPr>
          <w:rFonts w:ascii="Tahoma" w:hAnsi="Tahoma" w:cs="Tahoma"/>
          <w:sz w:val="20"/>
          <w:szCs w:val="20"/>
        </w:rPr>
        <w:t xml:space="preserve"> </w:t>
      </w:r>
      <w:r w:rsidRPr="00B004EE">
        <w:rPr>
          <w:rFonts w:ascii="Tahoma" w:hAnsi="Tahoma" w:cs="Tahoma"/>
          <w:spacing w:val="2"/>
          <w:sz w:val="20"/>
          <w:szCs w:val="20"/>
        </w:rPr>
        <w:t>techniques</w:t>
      </w:r>
      <w:r w:rsidR="00DB1635" w:rsidRPr="00B004EE">
        <w:rPr>
          <w:rFonts w:ascii="Tahoma" w:hAnsi="Tahoma" w:cs="Tahoma"/>
          <w:spacing w:val="2"/>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scientifiques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l'autorité</w:t>
      </w:r>
      <w:r w:rsidR="00DB1635" w:rsidRPr="00B004EE">
        <w:rPr>
          <w:rFonts w:ascii="Tahoma" w:hAnsi="Tahoma" w:cs="Tahoma"/>
          <w:sz w:val="20"/>
          <w:szCs w:val="20"/>
        </w:rPr>
        <w:t xml:space="preserve"> </w:t>
      </w:r>
      <w:r w:rsidRPr="00B004EE">
        <w:rPr>
          <w:rFonts w:ascii="Tahoma" w:hAnsi="Tahoma" w:cs="Tahoma"/>
          <w:sz w:val="20"/>
          <w:szCs w:val="20"/>
        </w:rPr>
        <w:t>nationale</w:t>
      </w:r>
      <w:r w:rsidR="00DB1635" w:rsidRPr="00B004EE">
        <w:rPr>
          <w:rFonts w:ascii="Tahoma" w:hAnsi="Tahoma" w:cs="Tahoma"/>
          <w:sz w:val="20"/>
          <w:szCs w:val="20"/>
        </w:rPr>
        <w:t xml:space="preserve"> </w:t>
      </w:r>
      <w:r w:rsidRPr="00B004EE">
        <w:rPr>
          <w:rFonts w:ascii="Tahoma" w:hAnsi="Tahoma" w:cs="Tahoma"/>
          <w:spacing w:val="3"/>
          <w:sz w:val="20"/>
          <w:szCs w:val="20"/>
        </w:rPr>
        <w:t>compétente</w:t>
      </w:r>
      <w:r w:rsidR="00DB1635" w:rsidRPr="00B004EE">
        <w:rPr>
          <w:rFonts w:ascii="Tahoma" w:hAnsi="Tahoma" w:cs="Tahoma"/>
          <w:spacing w:val="3"/>
          <w:sz w:val="20"/>
          <w:szCs w:val="20"/>
        </w:rPr>
        <w:t xml:space="preserve"> </w:t>
      </w:r>
      <w:r w:rsidRPr="00B004EE">
        <w:rPr>
          <w:rFonts w:ascii="Tahoma" w:hAnsi="Tahoma" w:cs="Tahoma"/>
          <w:sz w:val="20"/>
          <w:szCs w:val="20"/>
        </w:rPr>
        <w:t>en</w:t>
      </w:r>
      <w:r w:rsidR="00DB1635" w:rsidRPr="00B004EE">
        <w:rPr>
          <w:rFonts w:ascii="Tahoma" w:hAnsi="Tahoma" w:cs="Tahoma"/>
          <w:w w:val="99"/>
          <w:sz w:val="20"/>
          <w:szCs w:val="20"/>
        </w:rPr>
        <w:t xml:space="preserve"> </w:t>
      </w:r>
      <w:r w:rsidRPr="00B004EE">
        <w:rPr>
          <w:rFonts w:ascii="Tahoma" w:hAnsi="Tahoma" w:cs="Tahoma"/>
          <w:spacing w:val="3"/>
          <w:sz w:val="20"/>
          <w:szCs w:val="20"/>
        </w:rPr>
        <w:t>matière</w:t>
      </w:r>
      <w:r w:rsidR="00DB1635" w:rsidRPr="00B004EE">
        <w:rPr>
          <w:rFonts w:ascii="Tahoma" w:hAnsi="Tahoma" w:cs="Tahoma"/>
          <w:spacing w:val="3"/>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pacing w:val="3"/>
          <w:sz w:val="20"/>
          <w:szCs w:val="20"/>
        </w:rPr>
        <w:t>qualité,</w:t>
      </w:r>
      <w:r w:rsidR="00DB1635" w:rsidRPr="00B004EE">
        <w:rPr>
          <w:rFonts w:ascii="Tahoma" w:hAnsi="Tahoma" w:cs="Tahoma"/>
          <w:spacing w:val="3"/>
          <w:sz w:val="20"/>
          <w:szCs w:val="20"/>
        </w:rPr>
        <w:t xml:space="preserve"> </w:t>
      </w:r>
      <w:r w:rsidRPr="00B004EE">
        <w:rPr>
          <w:rFonts w:ascii="Tahoma" w:hAnsi="Tahoma" w:cs="Tahoma"/>
          <w:sz w:val="20"/>
          <w:szCs w:val="20"/>
        </w:rPr>
        <w:t>d'hygiène</w:t>
      </w:r>
      <w:r w:rsidR="00DB1635" w:rsidRPr="00B004EE">
        <w:rPr>
          <w:rFonts w:ascii="Tahoma" w:hAnsi="Tahoma" w:cs="Tahoma"/>
          <w:sz w:val="20"/>
          <w:szCs w:val="20"/>
        </w:rPr>
        <w:t xml:space="preserve"> </w:t>
      </w:r>
      <w:r w:rsidRPr="00B004EE">
        <w:rPr>
          <w:rFonts w:ascii="Tahoma" w:hAnsi="Tahoma" w:cs="Tahoma"/>
          <w:bCs/>
          <w:sz w:val="20"/>
          <w:szCs w:val="20"/>
        </w:rPr>
        <w:t>et</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pacing w:val="2"/>
          <w:sz w:val="20"/>
          <w:szCs w:val="20"/>
        </w:rPr>
        <w:t>salubrité</w:t>
      </w:r>
      <w:r w:rsidR="00DB1635" w:rsidRPr="00B004EE">
        <w:rPr>
          <w:rFonts w:ascii="Tahoma" w:hAnsi="Tahoma" w:cs="Tahoma"/>
          <w:bCs/>
          <w:spacing w:val="2"/>
          <w:sz w:val="20"/>
          <w:szCs w:val="20"/>
        </w:rPr>
        <w:t xml:space="preserve"> </w:t>
      </w:r>
      <w:r w:rsidRPr="00B004EE">
        <w:rPr>
          <w:rFonts w:ascii="Tahoma" w:hAnsi="Tahoma" w:cs="Tahoma"/>
          <w:bCs/>
          <w:sz w:val="20"/>
          <w:szCs w:val="20"/>
        </w:rPr>
        <w:t>des</w:t>
      </w:r>
      <w:r w:rsidR="00DB1635" w:rsidRPr="00B004EE">
        <w:rPr>
          <w:rFonts w:ascii="Tahoma" w:hAnsi="Tahoma" w:cs="Tahoma"/>
          <w:bCs/>
          <w:sz w:val="20"/>
          <w:szCs w:val="20"/>
        </w:rPr>
        <w:t xml:space="preserve"> </w:t>
      </w:r>
      <w:r w:rsidRPr="00B004EE">
        <w:rPr>
          <w:rFonts w:ascii="Tahoma" w:hAnsi="Tahoma" w:cs="Tahoma"/>
          <w:bCs/>
          <w:spacing w:val="4"/>
          <w:sz w:val="20"/>
          <w:szCs w:val="20"/>
        </w:rPr>
        <w:t>établissements,</w:t>
      </w:r>
      <w:r w:rsidR="00DB1635" w:rsidRPr="00B004EE">
        <w:rPr>
          <w:rFonts w:ascii="Tahoma" w:hAnsi="Tahoma" w:cs="Tahoma"/>
          <w:bCs/>
          <w:spacing w:val="4"/>
          <w:sz w:val="20"/>
          <w:szCs w:val="20"/>
        </w:rPr>
        <w:t xml:space="preserve"> </w:t>
      </w:r>
      <w:r w:rsidRPr="00B004EE">
        <w:rPr>
          <w:rFonts w:ascii="Tahoma" w:hAnsi="Tahoma" w:cs="Tahoma"/>
          <w:bCs/>
          <w:spacing w:val="3"/>
          <w:sz w:val="20"/>
          <w:szCs w:val="20"/>
        </w:rPr>
        <w:t>des</w:t>
      </w:r>
      <w:r w:rsidR="00DB1635" w:rsidRPr="00B004EE">
        <w:rPr>
          <w:rFonts w:ascii="Tahoma" w:hAnsi="Tahoma" w:cs="Tahoma"/>
          <w:bCs/>
          <w:spacing w:val="3"/>
          <w:sz w:val="20"/>
          <w:szCs w:val="20"/>
        </w:rPr>
        <w:t xml:space="preserve"> </w:t>
      </w:r>
      <w:r w:rsidRPr="00B004EE">
        <w:rPr>
          <w:rFonts w:ascii="Tahoma" w:hAnsi="Tahoma" w:cs="Tahoma"/>
          <w:bCs/>
          <w:spacing w:val="3"/>
          <w:sz w:val="20"/>
          <w:szCs w:val="20"/>
        </w:rPr>
        <w:t>produits</w:t>
      </w:r>
      <w:r w:rsidR="00DB1635" w:rsidRPr="00B004EE">
        <w:rPr>
          <w:rFonts w:ascii="Tahoma" w:hAnsi="Tahoma" w:cs="Tahoma"/>
          <w:bCs/>
          <w:spacing w:val="3"/>
          <w:sz w:val="20"/>
          <w:szCs w:val="20"/>
        </w:rPr>
        <w:t xml:space="preserve"> </w:t>
      </w:r>
      <w:r w:rsidRPr="00B004EE">
        <w:rPr>
          <w:rFonts w:ascii="Tahoma" w:hAnsi="Tahoma" w:cs="Tahoma"/>
          <w:bCs/>
          <w:sz w:val="20"/>
          <w:szCs w:val="20"/>
        </w:rPr>
        <w:t>et</w:t>
      </w:r>
      <w:r w:rsidR="00DB1635" w:rsidRPr="00B004EE">
        <w:rPr>
          <w:rFonts w:ascii="Tahoma" w:hAnsi="Tahoma" w:cs="Tahoma"/>
          <w:bCs/>
          <w:w w:val="99"/>
          <w:sz w:val="20"/>
          <w:szCs w:val="20"/>
        </w:rPr>
        <w:t xml:space="preserve"> </w:t>
      </w:r>
      <w:r w:rsidRPr="00B004EE">
        <w:rPr>
          <w:rFonts w:ascii="Tahoma" w:hAnsi="Tahoma" w:cs="Tahoma"/>
          <w:bCs/>
          <w:spacing w:val="2"/>
          <w:sz w:val="20"/>
          <w:szCs w:val="20"/>
        </w:rPr>
        <w:t>des</w:t>
      </w:r>
      <w:r w:rsidR="00DB1635" w:rsidRPr="00B004EE">
        <w:rPr>
          <w:rFonts w:ascii="Tahoma" w:hAnsi="Tahoma" w:cs="Tahoma"/>
          <w:bCs/>
          <w:spacing w:val="2"/>
          <w:sz w:val="20"/>
          <w:szCs w:val="20"/>
        </w:rPr>
        <w:t xml:space="preserve"> </w:t>
      </w:r>
      <w:r w:rsidRPr="00B004EE">
        <w:rPr>
          <w:rFonts w:ascii="Tahoma" w:hAnsi="Tahoma" w:cs="Tahoma"/>
          <w:bCs/>
          <w:spacing w:val="3"/>
          <w:sz w:val="20"/>
          <w:szCs w:val="20"/>
        </w:rPr>
        <w:t>zones</w:t>
      </w:r>
      <w:r w:rsidR="00DB1635" w:rsidRPr="00B004EE">
        <w:rPr>
          <w:rFonts w:ascii="Tahoma" w:hAnsi="Tahoma" w:cs="Tahoma"/>
          <w:bCs/>
          <w:spacing w:val="3"/>
          <w:sz w:val="20"/>
          <w:szCs w:val="20"/>
        </w:rPr>
        <w:t xml:space="preserve"> </w:t>
      </w:r>
      <w:r w:rsidRPr="00B004EE">
        <w:rPr>
          <w:rFonts w:ascii="Tahoma" w:hAnsi="Tahoma" w:cs="Tahoma"/>
          <w:bCs/>
          <w:sz w:val="20"/>
          <w:szCs w:val="20"/>
        </w:rPr>
        <w:t>de</w:t>
      </w:r>
      <w:r w:rsidR="00DB1635" w:rsidRPr="00B004EE">
        <w:rPr>
          <w:rFonts w:ascii="Tahoma" w:hAnsi="Tahoma" w:cs="Tahoma"/>
          <w:bCs/>
          <w:spacing w:val="11"/>
          <w:sz w:val="20"/>
          <w:szCs w:val="20"/>
        </w:rPr>
        <w:t xml:space="preserve"> </w:t>
      </w:r>
      <w:r w:rsidRPr="00B004EE">
        <w:rPr>
          <w:rFonts w:ascii="Tahoma" w:hAnsi="Tahoma" w:cs="Tahoma"/>
          <w:bCs/>
          <w:sz w:val="20"/>
          <w:szCs w:val="20"/>
        </w:rPr>
        <w:t>production;</w:t>
      </w:r>
    </w:p>
    <w:p w14:paraId="7A0ADC7B" w14:textId="73D76FC2" w:rsidR="008518B0" w:rsidRPr="00B004EE" w:rsidRDefault="008518B0" w:rsidP="00420DDA">
      <w:pPr>
        <w:pStyle w:val="Paragraphedeliste"/>
        <w:widowControl w:val="0"/>
        <w:numPr>
          <w:ilvl w:val="0"/>
          <w:numId w:val="67"/>
        </w:numPr>
        <w:tabs>
          <w:tab w:val="left" w:pos="876"/>
        </w:tabs>
        <w:ind w:right="156"/>
        <w:jc w:val="both"/>
        <w:rPr>
          <w:rFonts w:ascii="Tahoma" w:eastAsia="Times" w:hAnsi="Tahoma" w:cs="Tahoma"/>
          <w:bCs/>
          <w:sz w:val="20"/>
          <w:szCs w:val="20"/>
        </w:rPr>
      </w:pPr>
      <w:proofErr w:type="gramStart"/>
      <w:r w:rsidRPr="00B004EE">
        <w:rPr>
          <w:rFonts w:ascii="Tahoma" w:hAnsi="Tahoma" w:cs="Tahoma"/>
          <w:bCs/>
          <w:sz w:val="20"/>
          <w:szCs w:val="20"/>
        </w:rPr>
        <w:t>contribuer</w:t>
      </w:r>
      <w:proofErr w:type="gramEnd"/>
      <w:r w:rsidR="00DB1635" w:rsidRPr="00B004EE">
        <w:rPr>
          <w:rFonts w:ascii="Tahoma" w:hAnsi="Tahoma" w:cs="Tahoma"/>
          <w:bCs/>
          <w:sz w:val="20"/>
          <w:szCs w:val="20"/>
        </w:rPr>
        <w:t xml:space="preserve"> </w:t>
      </w:r>
      <w:r w:rsidRPr="00B004EE">
        <w:rPr>
          <w:rFonts w:ascii="Tahoma" w:hAnsi="Tahoma" w:cs="Tahoma"/>
          <w:bCs/>
          <w:sz w:val="20"/>
          <w:szCs w:val="20"/>
        </w:rPr>
        <w:t>à</w:t>
      </w:r>
      <w:r w:rsidR="00DB1635" w:rsidRPr="00B004EE">
        <w:rPr>
          <w:rFonts w:ascii="Tahoma" w:hAnsi="Tahoma" w:cs="Tahoma"/>
          <w:bCs/>
          <w:sz w:val="20"/>
          <w:szCs w:val="20"/>
        </w:rPr>
        <w:t xml:space="preserve"> </w:t>
      </w:r>
      <w:r w:rsidRPr="00B004EE">
        <w:rPr>
          <w:rFonts w:ascii="Tahoma" w:hAnsi="Tahoma" w:cs="Tahoma"/>
          <w:bCs/>
          <w:sz w:val="20"/>
          <w:szCs w:val="20"/>
        </w:rPr>
        <w:t>la</w:t>
      </w:r>
      <w:r w:rsidR="00DB1635" w:rsidRPr="00B004EE">
        <w:rPr>
          <w:rFonts w:ascii="Tahoma" w:hAnsi="Tahoma" w:cs="Tahoma"/>
          <w:bCs/>
          <w:sz w:val="20"/>
          <w:szCs w:val="20"/>
        </w:rPr>
        <w:t xml:space="preserve"> </w:t>
      </w:r>
      <w:r w:rsidRPr="00B004EE">
        <w:rPr>
          <w:rFonts w:ascii="Tahoma" w:hAnsi="Tahoma" w:cs="Tahoma"/>
          <w:bCs/>
          <w:sz w:val="20"/>
          <w:szCs w:val="20"/>
        </w:rPr>
        <w:t>création</w:t>
      </w:r>
      <w:r w:rsidR="00DB1635" w:rsidRPr="00B004EE">
        <w:rPr>
          <w:rFonts w:ascii="Tahoma" w:hAnsi="Tahoma" w:cs="Tahoma"/>
          <w:bCs/>
          <w:sz w:val="20"/>
          <w:szCs w:val="20"/>
        </w:rPr>
        <w:t xml:space="preserve"> </w:t>
      </w:r>
      <w:r w:rsidRPr="00B004EE">
        <w:rPr>
          <w:rFonts w:ascii="Tahoma" w:hAnsi="Tahoma" w:cs="Tahoma"/>
          <w:bCs/>
          <w:sz w:val="20"/>
          <w:szCs w:val="20"/>
        </w:rPr>
        <w:t>d'un</w:t>
      </w:r>
      <w:r w:rsidR="00DB1635" w:rsidRPr="00B004EE">
        <w:rPr>
          <w:rFonts w:ascii="Tahoma" w:hAnsi="Tahoma" w:cs="Tahoma"/>
          <w:bCs/>
          <w:sz w:val="20"/>
          <w:szCs w:val="20"/>
        </w:rPr>
        <w:t xml:space="preserve"> </w:t>
      </w:r>
      <w:r w:rsidRPr="00B004EE">
        <w:rPr>
          <w:rFonts w:ascii="Tahoma" w:hAnsi="Tahoma" w:cs="Tahoma"/>
          <w:bCs/>
          <w:sz w:val="20"/>
          <w:szCs w:val="20"/>
        </w:rPr>
        <w:t>label</w:t>
      </w:r>
      <w:r w:rsidR="00DB1635" w:rsidRPr="00B004EE">
        <w:rPr>
          <w:rFonts w:ascii="Tahoma" w:hAnsi="Tahoma" w:cs="Tahoma"/>
          <w:bCs/>
          <w:sz w:val="20"/>
          <w:szCs w:val="20"/>
        </w:rPr>
        <w:t xml:space="preserve"> </w:t>
      </w:r>
      <w:r w:rsidRPr="00B004EE">
        <w:rPr>
          <w:rFonts w:ascii="Tahoma" w:hAnsi="Tahoma" w:cs="Tahoma"/>
          <w:bCs/>
          <w:sz w:val="20"/>
          <w:szCs w:val="20"/>
        </w:rPr>
        <w:t>mauritanien</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qualité</w:t>
      </w:r>
      <w:r w:rsidR="00DB1635" w:rsidRPr="00B004EE">
        <w:rPr>
          <w:rFonts w:ascii="Tahoma" w:hAnsi="Tahoma" w:cs="Tahoma"/>
          <w:bCs/>
          <w:sz w:val="20"/>
          <w:szCs w:val="20"/>
        </w:rPr>
        <w:t xml:space="preserve"> </w:t>
      </w:r>
      <w:r w:rsidRPr="00B004EE">
        <w:rPr>
          <w:rFonts w:ascii="Tahoma" w:hAnsi="Tahoma" w:cs="Tahoma"/>
          <w:bCs/>
          <w:sz w:val="20"/>
          <w:szCs w:val="20"/>
        </w:rPr>
        <w:t>commerciale</w:t>
      </w:r>
      <w:r w:rsidR="00DB1635" w:rsidRPr="00B004EE">
        <w:rPr>
          <w:rFonts w:ascii="Tahoma" w:hAnsi="Tahoma" w:cs="Tahoma"/>
          <w:bCs/>
          <w:sz w:val="20"/>
          <w:szCs w:val="20"/>
        </w:rPr>
        <w:t xml:space="preserve"> </w:t>
      </w:r>
      <w:r w:rsidRPr="00B004EE">
        <w:rPr>
          <w:rFonts w:ascii="Tahoma" w:hAnsi="Tahoma" w:cs="Tahoma"/>
          <w:bCs/>
          <w:sz w:val="20"/>
          <w:szCs w:val="20"/>
        </w:rPr>
        <w:t>et</w:t>
      </w:r>
      <w:r w:rsidR="00DB1635" w:rsidRPr="00B004EE">
        <w:rPr>
          <w:rFonts w:ascii="Tahoma" w:hAnsi="Tahoma" w:cs="Tahoma"/>
          <w:bCs/>
          <w:w w:val="99"/>
          <w:sz w:val="20"/>
          <w:szCs w:val="20"/>
        </w:rPr>
        <w:t xml:space="preserve"> </w:t>
      </w:r>
      <w:r w:rsidRPr="00B004EE">
        <w:rPr>
          <w:rFonts w:ascii="Tahoma" w:hAnsi="Tahoma" w:cs="Tahoma"/>
          <w:bCs/>
          <w:spacing w:val="-3"/>
          <w:sz w:val="20"/>
          <w:szCs w:val="20"/>
        </w:rPr>
        <w:t>hygiénique;</w:t>
      </w:r>
    </w:p>
    <w:p w14:paraId="0DB964A1" w14:textId="4CE33FC3" w:rsidR="008518B0" w:rsidRPr="00B004EE" w:rsidRDefault="008518B0" w:rsidP="00420DDA">
      <w:pPr>
        <w:pStyle w:val="Paragraphedeliste"/>
        <w:widowControl w:val="0"/>
        <w:numPr>
          <w:ilvl w:val="0"/>
          <w:numId w:val="67"/>
        </w:numPr>
        <w:tabs>
          <w:tab w:val="left" w:pos="876"/>
        </w:tabs>
        <w:ind w:right="197"/>
        <w:jc w:val="both"/>
        <w:rPr>
          <w:rFonts w:ascii="Tahoma" w:eastAsia="Times" w:hAnsi="Tahoma" w:cs="Tahoma"/>
          <w:bCs/>
          <w:sz w:val="20"/>
          <w:szCs w:val="20"/>
        </w:rPr>
      </w:pPr>
      <w:r w:rsidRPr="00B004EE">
        <w:rPr>
          <w:rFonts w:ascii="Tahoma" w:hAnsi="Tahoma" w:cs="Tahoma"/>
          <w:bCs/>
          <w:sz w:val="20"/>
          <w:szCs w:val="20"/>
        </w:rPr>
        <w:t>Au</w:t>
      </w:r>
      <w:r w:rsidR="00DB1635" w:rsidRPr="00B004EE">
        <w:rPr>
          <w:rFonts w:ascii="Tahoma" w:hAnsi="Tahoma" w:cs="Tahoma"/>
          <w:bCs/>
          <w:sz w:val="20"/>
          <w:szCs w:val="20"/>
        </w:rPr>
        <w:t xml:space="preserve"> </w:t>
      </w:r>
      <w:r w:rsidRPr="00B004EE">
        <w:rPr>
          <w:rFonts w:ascii="Tahoma" w:hAnsi="Tahoma" w:cs="Tahoma"/>
          <w:bCs/>
          <w:sz w:val="20"/>
          <w:szCs w:val="20"/>
        </w:rPr>
        <w:t>sens</w:t>
      </w:r>
      <w:r w:rsidR="00DB1635" w:rsidRPr="00B004EE">
        <w:rPr>
          <w:rFonts w:ascii="Tahoma" w:hAnsi="Tahoma" w:cs="Tahoma"/>
          <w:bCs/>
          <w:sz w:val="20"/>
          <w:szCs w:val="20"/>
        </w:rPr>
        <w:t xml:space="preserve"> </w:t>
      </w:r>
      <w:r w:rsidRPr="00B004EE">
        <w:rPr>
          <w:rFonts w:ascii="Tahoma" w:hAnsi="Tahoma" w:cs="Tahoma"/>
          <w:bCs/>
          <w:sz w:val="20"/>
          <w:szCs w:val="20"/>
        </w:rPr>
        <w:t>du</w:t>
      </w:r>
      <w:r w:rsidR="00DB1635" w:rsidRPr="00B004EE">
        <w:rPr>
          <w:rFonts w:ascii="Tahoma" w:hAnsi="Tahoma" w:cs="Tahoma"/>
          <w:bCs/>
          <w:sz w:val="20"/>
          <w:szCs w:val="20"/>
        </w:rPr>
        <w:t xml:space="preserve"> </w:t>
      </w:r>
      <w:r w:rsidRPr="00B004EE">
        <w:rPr>
          <w:rFonts w:ascii="Tahoma" w:hAnsi="Tahoma" w:cs="Tahoma"/>
          <w:bCs/>
          <w:sz w:val="20"/>
          <w:szCs w:val="20"/>
        </w:rPr>
        <w:t>présent</w:t>
      </w:r>
      <w:r w:rsidR="00DB1635" w:rsidRPr="00B004EE">
        <w:rPr>
          <w:rFonts w:ascii="Tahoma" w:hAnsi="Tahoma" w:cs="Tahoma"/>
          <w:bCs/>
          <w:sz w:val="20"/>
          <w:szCs w:val="20"/>
        </w:rPr>
        <w:t xml:space="preserve"> </w:t>
      </w:r>
      <w:r w:rsidRPr="00B004EE">
        <w:rPr>
          <w:rFonts w:ascii="Tahoma" w:hAnsi="Tahoma" w:cs="Tahoma"/>
          <w:bCs/>
          <w:sz w:val="20"/>
          <w:szCs w:val="20"/>
        </w:rPr>
        <w:t>décret,</w:t>
      </w:r>
      <w:r w:rsidR="00DB1635" w:rsidRPr="00B004EE">
        <w:rPr>
          <w:rFonts w:ascii="Tahoma" w:hAnsi="Tahoma" w:cs="Tahoma"/>
          <w:bCs/>
          <w:sz w:val="20"/>
          <w:szCs w:val="20"/>
        </w:rPr>
        <w:t xml:space="preserve"> </w:t>
      </w:r>
      <w:r w:rsidRPr="00B004EE">
        <w:rPr>
          <w:rFonts w:ascii="Tahoma" w:hAnsi="Tahoma" w:cs="Tahoma"/>
          <w:bCs/>
          <w:sz w:val="20"/>
          <w:szCs w:val="20"/>
        </w:rPr>
        <w:t>on</w:t>
      </w:r>
      <w:r w:rsidR="00DB1635" w:rsidRPr="00B004EE">
        <w:rPr>
          <w:rFonts w:ascii="Tahoma" w:hAnsi="Tahoma" w:cs="Tahoma"/>
          <w:bCs/>
          <w:sz w:val="20"/>
          <w:szCs w:val="20"/>
        </w:rPr>
        <w:t xml:space="preserve"> </w:t>
      </w:r>
      <w:r w:rsidRPr="00B004EE">
        <w:rPr>
          <w:rFonts w:ascii="Tahoma" w:hAnsi="Tahoma" w:cs="Tahoma"/>
          <w:bCs/>
          <w:sz w:val="20"/>
          <w:szCs w:val="20"/>
        </w:rPr>
        <w:t>entend</w:t>
      </w:r>
      <w:r w:rsidR="00DB1635" w:rsidRPr="00B004EE">
        <w:rPr>
          <w:rFonts w:ascii="Tahoma" w:hAnsi="Tahoma" w:cs="Tahoma"/>
          <w:bCs/>
          <w:sz w:val="20"/>
          <w:szCs w:val="20"/>
        </w:rPr>
        <w:t xml:space="preserve"> </w:t>
      </w:r>
      <w:r w:rsidRPr="00B004EE">
        <w:rPr>
          <w:rFonts w:ascii="Tahoma" w:hAnsi="Tahoma" w:cs="Tahoma"/>
          <w:bCs/>
          <w:sz w:val="20"/>
          <w:szCs w:val="20"/>
        </w:rPr>
        <w:t>par</w:t>
      </w:r>
      <w:r w:rsidR="00DB1635" w:rsidRPr="00B004EE">
        <w:rPr>
          <w:rFonts w:ascii="Tahoma" w:hAnsi="Tahoma" w:cs="Tahoma"/>
          <w:bCs/>
          <w:sz w:val="20"/>
          <w:szCs w:val="20"/>
        </w:rPr>
        <w:t xml:space="preserve"> </w:t>
      </w:r>
      <w:r w:rsidRPr="00B004EE">
        <w:rPr>
          <w:rFonts w:ascii="Tahoma" w:hAnsi="Tahoma" w:cs="Tahoma"/>
          <w:bCs/>
          <w:spacing w:val="19"/>
          <w:sz w:val="20"/>
          <w:szCs w:val="20"/>
        </w:rPr>
        <w:t>établissements</w:t>
      </w:r>
      <w:r w:rsidR="00DB1635" w:rsidRPr="00B004EE">
        <w:rPr>
          <w:rFonts w:ascii="Tahoma" w:hAnsi="Tahoma" w:cs="Tahoma"/>
          <w:bCs/>
          <w:spacing w:val="19"/>
          <w:sz w:val="20"/>
          <w:szCs w:val="20"/>
        </w:rPr>
        <w:t xml:space="preserve"> </w:t>
      </w:r>
      <w:r w:rsidRPr="00B004EE">
        <w:rPr>
          <w:rFonts w:ascii="Tahoma" w:hAnsi="Tahoma" w:cs="Tahoma"/>
          <w:bCs/>
          <w:spacing w:val="14"/>
          <w:sz w:val="20"/>
          <w:szCs w:val="20"/>
        </w:rPr>
        <w:t>les</w:t>
      </w:r>
      <w:r w:rsidR="00DB1635" w:rsidRPr="00B004EE">
        <w:rPr>
          <w:rFonts w:ascii="Tahoma" w:hAnsi="Tahoma" w:cs="Tahoma"/>
          <w:bCs/>
          <w:spacing w:val="14"/>
          <w:sz w:val="20"/>
          <w:szCs w:val="20"/>
        </w:rPr>
        <w:t xml:space="preserve"> </w:t>
      </w:r>
      <w:r w:rsidRPr="00B004EE">
        <w:rPr>
          <w:rFonts w:ascii="Tahoma" w:hAnsi="Tahoma" w:cs="Tahoma"/>
          <w:bCs/>
          <w:spacing w:val="18"/>
          <w:sz w:val="20"/>
          <w:szCs w:val="20"/>
        </w:rPr>
        <w:t>navires,</w:t>
      </w:r>
      <w:r w:rsidR="00DB1635" w:rsidRPr="00B004EE">
        <w:rPr>
          <w:rFonts w:ascii="Tahoma" w:hAnsi="Tahoma" w:cs="Tahoma"/>
          <w:bCs/>
          <w:spacing w:val="29"/>
          <w:sz w:val="20"/>
          <w:szCs w:val="20"/>
        </w:rPr>
        <w:t xml:space="preserve"> </w:t>
      </w:r>
      <w:r w:rsidRPr="00B004EE">
        <w:rPr>
          <w:rFonts w:ascii="Tahoma" w:hAnsi="Tahoma" w:cs="Tahoma"/>
          <w:bCs/>
          <w:spacing w:val="14"/>
          <w:sz w:val="20"/>
          <w:szCs w:val="20"/>
        </w:rPr>
        <w:t>les</w:t>
      </w:r>
      <w:r w:rsidR="00DB1635" w:rsidRPr="00B004EE">
        <w:rPr>
          <w:rFonts w:ascii="Tahoma" w:hAnsi="Tahoma" w:cs="Tahoma"/>
          <w:bCs/>
          <w:w w:val="99"/>
          <w:sz w:val="20"/>
          <w:szCs w:val="20"/>
        </w:rPr>
        <w:t xml:space="preserve"> </w:t>
      </w:r>
      <w:r w:rsidRPr="00B004EE">
        <w:rPr>
          <w:rFonts w:ascii="Tahoma" w:hAnsi="Tahoma" w:cs="Tahoma"/>
          <w:bCs/>
          <w:spacing w:val="8"/>
          <w:sz w:val="20"/>
          <w:szCs w:val="20"/>
        </w:rPr>
        <w:t>embarcations</w:t>
      </w:r>
      <w:r w:rsidR="00DB1635" w:rsidRPr="00B004EE">
        <w:rPr>
          <w:rFonts w:ascii="Tahoma" w:hAnsi="Tahoma" w:cs="Tahoma"/>
          <w:bCs/>
          <w:spacing w:val="8"/>
          <w:sz w:val="20"/>
          <w:szCs w:val="20"/>
        </w:rPr>
        <w:t xml:space="preserve"> </w:t>
      </w:r>
      <w:r w:rsidRPr="00B004EE">
        <w:rPr>
          <w:rFonts w:ascii="Tahoma" w:hAnsi="Tahoma" w:cs="Tahoma"/>
          <w:bCs/>
          <w:spacing w:val="4"/>
          <w:sz w:val="20"/>
          <w:szCs w:val="20"/>
        </w:rPr>
        <w:t>ou</w:t>
      </w:r>
      <w:r w:rsidR="00DB1635" w:rsidRPr="00B004EE">
        <w:rPr>
          <w:rFonts w:ascii="Tahoma" w:hAnsi="Tahoma" w:cs="Tahoma"/>
          <w:bCs/>
          <w:spacing w:val="4"/>
          <w:sz w:val="20"/>
          <w:szCs w:val="20"/>
        </w:rPr>
        <w:t xml:space="preserve"> </w:t>
      </w:r>
      <w:r w:rsidRPr="00B004EE">
        <w:rPr>
          <w:rFonts w:ascii="Tahoma" w:hAnsi="Tahoma" w:cs="Tahoma"/>
          <w:bCs/>
          <w:spacing w:val="8"/>
          <w:sz w:val="20"/>
          <w:szCs w:val="20"/>
        </w:rPr>
        <w:t>pirogues</w:t>
      </w:r>
      <w:r w:rsidR="00DB1635" w:rsidRPr="00B004EE">
        <w:rPr>
          <w:rFonts w:ascii="Tahoma" w:hAnsi="Tahoma" w:cs="Tahoma"/>
          <w:bCs/>
          <w:spacing w:val="8"/>
          <w:sz w:val="20"/>
          <w:szCs w:val="20"/>
        </w:rPr>
        <w:t xml:space="preserve"> </w:t>
      </w:r>
      <w:r w:rsidRPr="00B004EE">
        <w:rPr>
          <w:rFonts w:ascii="Tahoma" w:hAnsi="Tahoma" w:cs="Tahoma"/>
          <w:bCs/>
          <w:spacing w:val="4"/>
          <w:sz w:val="20"/>
          <w:szCs w:val="20"/>
        </w:rPr>
        <w:t>de</w:t>
      </w:r>
      <w:r w:rsidR="00DB1635" w:rsidRPr="00B004EE">
        <w:rPr>
          <w:rFonts w:ascii="Tahoma" w:hAnsi="Tahoma" w:cs="Tahoma"/>
          <w:bCs/>
          <w:spacing w:val="4"/>
          <w:sz w:val="20"/>
          <w:szCs w:val="20"/>
        </w:rPr>
        <w:t xml:space="preserve"> </w:t>
      </w:r>
      <w:r w:rsidRPr="00B004EE">
        <w:rPr>
          <w:rFonts w:ascii="Tahoma" w:hAnsi="Tahoma" w:cs="Tahoma"/>
          <w:bCs/>
          <w:spacing w:val="8"/>
          <w:sz w:val="20"/>
          <w:szCs w:val="20"/>
        </w:rPr>
        <w:t>pêche</w:t>
      </w:r>
      <w:r w:rsidR="00DB1635" w:rsidRPr="00B004EE">
        <w:rPr>
          <w:rFonts w:ascii="Tahoma" w:hAnsi="Tahoma" w:cs="Tahoma"/>
          <w:bCs/>
          <w:spacing w:val="8"/>
          <w:sz w:val="20"/>
          <w:szCs w:val="20"/>
        </w:rPr>
        <w:t xml:space="preserve"> </w:t>
      </w:r>
      <w:r w:rsidRPr="00B004EE">
        <w:rPr>
          <w:rFonts w:ascii="Tahoma" w:hAnsi="Tahoma" w:cs="Tahoma"/>
          <w:bCs/>
          <w:sz w:val="20"/>
          <w:szCs w:val="20"/>
        </w:rPr>
        <w:t>artisanale,</w:t>
      </w:r>
      <w:r w:rsidR="00DB1635" w:rsidRPr="00B004EE">
        <w:rPr>
          <w:rFonts w:ascii="Tahoma" w:hAnsi="Tahoma" w:cs="Tahoma"/>
          <w:bCs/>
          <w:sz w:val="20"/>
          <w:szCs w:val="20"/>
        </w:rPr>
        <w:t xml:space="preserve"> </w:t>
      </w:r>
      <w:r w:rsidRPr="00B004EE">
        <w:rPr>
          <w:rFonts w:ascii="Tahoma" w:hAnsi="Tahoma" w:cs="Tahoma"/>
          <w:bCs/>
          <w:sz w:val="20"/>
          <w:szCs w:val="20"/>
        </w:rPr>
        <w:t>les</w:t>
      </w:r>
      <w:r w:rsidR="00DB1635" w:rsidRPr="00B004EE">
        <w:rPr>
          <w:rFonts w:ascii="Tahoma" w:hAnsi="Tahoma" w:cs="Tahoma"/>
          <w:bCs/>
          <w:sz w:val="20"/>
          <w:szCs w:val="20"/>
        </w:rPr>
        <w:t xml:space="preserve"> </w:t>
      </w:r>
      <w:r w:rsidRPr="00B004EE">
        <w:rPr>
          <w:rFonts w:ascii="Tahoma" w:hAnsi="Tahoma" w:cs="Tahoma"/>
          <w:bCs/>
          <w:sz w:val="20"/>
          <w:szCs w:val="20"/>
        </w:rPr>
        <w:t>usines</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traitement</w:t>
      </w:r>
      <w:r w:rsidR="00DB1635" w:rsidRPr="00B004EE">
        <w:rPr>
          <w:rFonts w:ascii="Tahoma" w:hAnsi="Tahoma" w:cs="Tahoma"/>
          <w:bCs/>
          <w:sz w:val="20"/>
          <w:szCs w:val="20"/>
        </w:rPr>
        <w:t xml:space="preserve"> </w:t>
      </w:r>
      <w:r w:rsidRPr="00B004EE">
        <w:rPr>
          <w:rFonts w:ascii="Tahoma" w:hAnsi="Tahoma" w:cs="Tahoma"/>
          <w:bCs/>
          <w:sz w:val="20"/>
          <w:szCs w:val="20"/>
        </w:rPr>
        <w:t>ou</w:t>
      </w:r>
      <w:r w:rsidR="00DB1635" w:rsidRPr="00B004EE">
        <w:rPr>
          <w:rFonts w:ascii="Tahoma" w:hAnsi="Tahoma" w:cs="Tahoma"/>
          <w:bCs/>
          <w:spacing w:val="53"/>
          <w:sz w:val="20"/>
          <w:szCs w:val="20"/>
        </w:rPr>
        <w:t xml:space="preserve"> </w:t>
      </w:r>
      <w:r w:rsidRPr="00B004EE">
        <w:rPr>
          <w:rFonts w:ascii="Tahoma" w:hAnsi="Tahoma" w:cs="Tahoma"/>
          <w:bCs/>
          <w:sz w:val="20"/>
          <w:szCs w:val="20"/>
        </w:rPr>
        <w:t>de</w:t>
      </w:r>
      <w:r w:rsidR="00DB1635" w:rsidRPr="00B004EE">
        <w:rPr>
          <w:rFonts w:ascii="Tahoma" w:hAnsi="Tahoma" w:cs="Tahoma"/>
          <w:bCs/>
          <w:w w:val="99"/>
          <w:sz w:val="20"/>
          <w:szCs w:val="20"/>
        </w:rPr>
        <w:t xml:space="preserve"> </w:t>
      </w:r>
      <w:r w:rsidRPr="00B004EE">
        <w:rPr>
          <w:rFonts w:ascii="Tahoma" w:hAnsi="Tahoma" w:cs="Tahoma"/>
          <w:bCs/>
          <w:spacing w:val="2"/>
          <w:sz w:val="20"/>
          <w:szCs w:val="20"/>
        </w:rPr>
        <w:t>valorisation</w:t>
      </w:r>
      <w:r w:rsidR="00DB1635" w:rsidRPr="00B004EE">
        <w:rPr>
          <w:rFonts w:ascii="Tahoma" w:hAnsi="Tahoma" w:cs="Tahoma"/>
          <w:bCs/>
          <w:spacing w:val="2"/>
          <w:sz w:val="20"/>
          <w:szCs w:val="20"/>
        </w:rPr>
        <w:t xml:space="preserve"> </w:t>
      </w:r>
      <w:r w:rsidRPr="00B004EE">
        <w:rPr>
          <w:rFonts w:ascii="Tahoma" w:hAnsi="Tahoma" w:cs="Tahoma"/>
          <w:bCs/>
          <w:sz w:val="20"/>
          <w:szCs w:val="20"/>
        </w:rPr>
        <w:t>des</w:t>
      </w:r>
      <w:r w:rsidR="00DB1635" w:rsidRPr="00B004EE">
        <w:rPr>
          <w:rFonts w:ascii="Tahoma" w:hAnsi="Tahoma" w:cs="Tahoma"/>
          <w:bCs/>
          <w:sz w:val="20"/>
          <w:szCs w:val="20"/>
        </w:rPr>
        <w:t xml:space="preserve"> </w:t>
      </w:r>
      <w:r w:rsidRPr="00B004EE">
        <w:rPr>
          <w:rFonts w:ascii="Tahoma" w:hAnsi="Tahoma" w:cs="Tahoma"/>
          <w:bCs/>
          <w:spacing w:val="2"/>
          <w:sz w:val="20"/>
          <w:szCs w:val="20"/>
        </w:rPr>
        <w:t>produits</w:t>
      </w:r>
      <w:r w:rsidR="00DB1635" w:rsidRPr="00B004EE">
        <w:rPr>
          <w:rFonts w:ascii="Tahoma" w:hAnsi="Tahoma" w:cs="Tahoma"/>
          <w:bCs/>
          <w:spacing w:val="2"/>
          <w:sz w:val="20"/>
          <w:szCs w:val="20"/>
        </w:rPr>
        <w:t xml:space="preserve"> </w:t>
      </w:r>
      <w:r w:rsidRPr="00B004EE">
        <w:rPr>
          <w:rFonts w:ascii="Tahoma" w:hAnsi="Tahoma" w:cs="Tahoma"/>
          <w:bCs/>
          <w:sz w:val="20"/>
          <w:szCs w:val="20"/>
        </w:rPr>
        <w:t>et</w:t>
      </w:r>
      <w:r w:rsidR="00DB1635" w:rsidRPr="00B004EE">
        <w:rPr>
          <w:rFonts w:ascii="Tahoma" w:hAnsi="Tahoma" w:cs="Tahoma"/>
          <w:bCs/>
          <w:sz w:val="20"/>
          <w:szCs w:val="20"/>
        </w:rPr>
        <w:t xml:space="preserve"> </w:t>
      </w:r>
      <w:r w:rsidRPr="00B004EE">
        <w:rPr>
          <w:rFonts w:ascii="Tahoma" w:hAnsi="Tahoma" w:cs="Tahoma"/>
          <w:bCs/>
          <w:sz w:val="20"/>
          <w:szCs w:val="20"/>
        </w:rPr>
        <w:t>les</w:t>
      </w:r>
      <w:r w:rsidR="00DB1635" w:rsidRPr="00B004EE">
        <w:rPr>
          <w:rFonts w:ascii="Tahoma" w:hAnsi="Tahoma" w:cs="Tahoma"/>
          <w:bCs/>
          <w:sz w:val="20"/>
          <w:szCs w:val="20"/>
        </w:rPr>
        <w:t xml:space="preserve"> </w:t>
      </w:r>
      <w:r w:rsidRPr="00B004EE">
        <w:rPr>
          <w:rFonts w:ascii="Tahoma" w:hAnsi="Tahoma" w:cs="Tahoma"/>
          <w:bCs/>
          <w:sz w:val="20"/>
          <w:szCs w:val="20"/>
        </w:rPr>
        <w:t>sites</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cultures</w:t>
      </w:r>
      <w:r w:rsidR="00DB1635" w:rsidRPr="00B004EE">
        <w:rPr>
          <w:rFonts w:ascii="Tahoma" w:hAnsi="Tahoma" w:cs="Tahoma"/>
          <w:bCs/>
          <w:sz w:val="20"/>
          <w:szCs w:val="20"/>
        </w:rPr>
        <w:t xml:space="preserve"> </w:t>
      </w:r>
      <w:r w:rsidRPr="00B004EE">
        <w:rPr>
          <w:rFonts w:ascii="Tahoma" w:hAnsi="Tahoma" w:cs="Tahoma"/>
          <w:bCs/>
          <w:sz w:val="20"/>
          <w:szCs w:val="20"/>
        </w:rPr>
        <w:t>aquacoles.</w:t>
      </w:r>
      <w:r w:rsidR="00DB1635" w:rsidRPr="00B004EE">
        <w:rPr>
          <w:rFonts w:ascii="Tahoma" w:hAnsi="Tahoma" w:cs="Tahoma"/>
          <w:bCs/>
          <w:sz w:val="20"/>
          <w:szCs w:val="20"/>
        </w:rPr>
        <w:t xml:space="preserve"> </w:t>
      </w:r>
      <w:r w:rsidRPr="00B004EE">
        <w:rPr>
          <w:rFonts w:ascii="Tahoma" w:hAnsi="Tahoma" w:cs="Tahoma"/>
          <w:bCs/>
          <w:sz w:val="20"/>
          <w:szCs w:val="20"/>
        </w:rPr>
        <w:t>Dans</w:t>
      </w:r>
      <w:r w:rsidR="00DB1635" w:rsidRPr="00B004EE">
        <w:rPr>
          <w:rFonts w:ascii="Tahoma" w:hAnsi="Tahoma" w:cs="Tahoma"/>
          <w:bCs/>
          <w:sz w:val="20"/>
          <w:szCs w:val="20"/>
        </w:rPr>
        <w:t xml:space="preserve"> </w:t>
      </w:r>
      <w:r w:rsidRPr="00B004EE">
        <w:rPr>
          <w:rFonts w:ascii="Tahoma" w:hAnsi="Tahoma" w:cs="Tahoma"/>
          <w:bCs/>
          <w:sz w:val="20"/>
          <w:szCs w:val="20"/>
        </w:rPr>
        <w:t>le</w:t>
      </w:r>
      <w:r w:rsidR="00DB1635" w:rsidRPr="00B004EE">
        <w:rPr>
          <w:rFonts w:ascii="Tahoma" w:hAnsi="Tahoma" w:cs="Tahoma"/>
          <w:bCs/>
          <w:sz w:val="20"/>
          <w:szCs w:val="20"/>
        </w:rPr>
        <w:t xml:space="preserve"> </w:t>
      </w:r>
      <w:r w:rsidRPr="00B004EE">
        <w:rPr>
          <w:rFonts w:ascii="Tahoma" w:hAnsi="Tahoma" w:cs="Tahoma"/>
          <w:bCs/>
          <w:sz w:val="20"/>
          <w:szCs w:val="20"/>
        </w:rPr>
        <w:t>cadre</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pacing w:val="53"/>
          <w:sz w:val="20"/>
          <w:szCs w:val="20"/>
        </w:rPr>
        <w:t xml:space="preserve"> </w:t>
      </w:r>
      <w:r w:rsidRPr="00B004EE">
        <w:rPr>
          <w:rFonts w:ascii="Tahoma" w:hAnsi="Tahoma" w:cs="Tahoma"/>
          <w:bCs/>
          <w:sz w:val="20"/>
          <w:szCs w:val="20"/>
        </w:rPr>
        <w:t>ses</w:t>
      </w:r>
      <w:r w:rsidR="00DB1635" w:rsidRPr="00B004EE">
        <w:rPr>
          <w:rFonts w:ascii="Tahoma" w:hAnsi="Tahoma" w:cs="Tahoma"/>
          <w:bCs/>
          <w:w w:val="99"/>
          <w:sz w:val="20"/>
          <w:szCs w:val="20"/>
        </w:rPr>
        <w:t xml:space="preserve"> </w:t>
      </w:r>
      <w:r w:rsidRPr="00B004EE">
        <w:rPr>
          <w:rFonts w:ascii="Tahoma" w:hAnsi="Tahoma" w:cs="Tahoma"/>
          <w:bCs/>
          <w:spacing w:val="2"/>
          <w:sz w:val="20"/>
          <w:szCs w:val="20"/>
        </w:rPr>
        <w:t>attributions,</w:t>
      </w:r>
      <w:r w:rsidR="00DB1635" w:rsidRPr="00B004EE">
        <w:rPr>
          <w:rFonts w:ascii="Tahoma" w:hAnsi="Tahoma" w:cs="Tahoma"/>
          <w:bCs/>
          <w:spacing w:val="2"/>
          <w:sz w:val="20"/>
          <w:szCs w:val="20"/>
        </w:rPr>
        <w:t xml:space="preserve"> </w:t>
      </w:r>
      <w:r w:rsidRPr="00B004EE">
        <w:rPr>
          <w:rFonts w:ascii="Tahoma" w:hAnsi="Tahoma" w:cs="Tahoma"/>
          <w:bCs/>
          <w:spacing w:val="2"/>
          <w:sz w:val="20"/>
          <w:szCs w:val="20"/>
        </w:rPr>
        <w:t>définies</w:t>
      </w:r>
      <w:r w:rsidR="00DB1635" w:rsidRPr="00B004EE">
        <w:rPr>
          <w:rFonts w:ascii="Tahoma" w:hAnsi="Tahoma" w:cs="Tahoma"/>
          <w:bCs/>
          <w:spacing w:val="2"/>
          <w:sz w:val="20"/>
          <w:szCs w:val="20"/>
        </w:rPr>
        <w:t xml:space="preserve"> </w:t>
      </w:r>
      <w:r w:rsidR="003A697D" w:rsidRPr="00B004EE">
        <w:rPr>
          <w:rFonts w:ascii="Tahoma" w:hAnsi="Tahoma" w:cs="Tahoma"/>
          <w:bCs/>
          <w:spacing w:val="5"/>
          <w:sz w:val="20"/>
          <w:szCs w:val="20"/>
        </w:rPr>
        <w:t>ci-</w:t>
      </w:r>
      <w:r w:rsidR="003A697D" w:rsidRPr="00B004EE">
        <w:rPr>
          <w:rFonts w:ascii="Tahoma" w:hAnsi="Tahoma" w:cs="Tahoma"/>
          <w:bCs/>
          <w:spacing w:val="10"/>
          <w:sz w:val="20"/>
          <w:szCs w:val="20"/>
        </w:rPr>
        <w:t>dessus</w:t>
      </w:r>
      <w:r w:rsidRPr="00B004EE">
        <w:rPr>
          <w:rFonts w:ascii="Tahoma" w:hAnsi="Tahoma" w:cs="Tahoma"/>
          <w:bCs/>
          <w:spacing w:val="10"/>
          <w:sz w:val="20"/>
          <w:szCs w:val="20"/>
        </w:rPr>
        <w:t>,</w:t>
      </w:r>
      <w:r w:rsidR="00DB1635" w:rsidRPr="00B004EE">
        <w:rPr>
          <w:rFonts w:ascii="Tahoma" w:hAnsi="Tahoma" w:cs="Tahoma"/>
          <w:bCs/>
          <w:spacing w:val="10"/>
          <w:sz w:val="20"/>
          <w:szCs w:val="20"/>
        </w:rPr>
        <w:t xml:space="preserve"> </w:t>
      </w:r>
      <w:r w:rsidRPr="00B004EE">
        <w:rPr>
          <w:rFonts w:ascii="Tahoma" w:hAnsi="Tahoma" w:cs="Tahoma"/>
          <w:bCs/>
          <w:spacing w:val="10"/>
          <w:sz w:val="20"/>
          <w:szCs w:val="20"/>
        </w:rPr>
        <w:t>l'ONISPA</w:t>
      </w:r>
      <w:r w:rsidR="00DB1635" w:rsidRPr="00B004EE">
        <w:rPr>
          <w:rFonts w:ascii="Tahoma" w:hAnsi="Tahoma" w:cs="Tahoma"/>
          <w:bCs/>
          <w:spacing w:val="10"/>
          <w:sz w:val="20"/>
          <w:szCs w:val="20"/>
        </w:rPr>
        <w:t xml:space="preserve"> </w:t>
      </w:r>
      <w:r w:rsidRPr="00B004EE">
        <w:rPr>
          <w:rFonts w:ascii="Tahoma" w:hAnsi="Tahoma" w:cs="Tahoma"/>
          <w:bCs/>
          <w:spacing w:val="7"/>
          <w:sz w:val="20"/>
          <w:szCs w:val="20"/>
        </w:rPr>
        <w:t>est</w:t>
      </w:r>
      <w:r w:rsidR="00DB1635" w:rsidRPr="00B004EE">
        <w:rPr>
          <w:rFonts w:ascii="Tahoma" w:hAnsi="Tahoma" w:cs="Tahoma"/>
          <w:bCs/>
          <w:spacing w:val="7"/>
          <w:sz w:val="20"/>
          <w:szCs w:val="20"/>
        </w:rPr>
        <w:t xml:space="preserve"> </w:t>
      </w:r>
      <w:r w:rsidRPr="00B004EE">
        <w:rPr>
          <w:rFonts w:ascii="Tahoma" w:hAnsi="Tahoma" w:cs="Tahoma"/>
          <w:bCs/>
          <w:spacing w:val="10"/>
          <w:sz w:val="20"/>
          <w:szCs w:val="20"/>
        </w:rPr>
        <w:t>notamment</w:t>
      </w:r>
      <w:r w:rsidR="00DB1635" w:rsidRPr="00B004EE">
        <w:rPr>
          <w:rFonts w:ascii="Tahoma" w:hAnsi="Tahoma" w:cs="Tahoma"/>
          <w:bCs/>
          <w:spacing w:val="10"/>
          <w:sz w:val="20"/>
          <w:szCs w:val="20"/>
        </w:rPr>
        <w:t xml:space="preserve"> </w:t>
      </w:r>
      <w:r w:rsidRPr="00B004EE">
        <w:rPr>
          <w:rFonts w:ascii="Tahoma" w:hAnsi="Tahoma" w:cs="Tahoma"/>
          <w:bCs/>
          <w:spacing w:val="-3"/>
          <w:sz w:val="20"/>
          <w:szCs w:val="20"/>
        </w:rPr>
        <w:t>chargé</w:t>
      </w:r>
      <w:r w:rsidR="00DB1635" w:rsidRPr="00B004EE">
        <w:rPr>
          <w:rFonts w:ascii="Tahoma" w:hAnsi="Tahoma" w:cs="Tahoma"/>
          <w:bCs/>
          <w:spacing w:val="-3"/>
          <w:sz w:val="20"/>
          <w:szCs w:val="20"/>
        </w:rPr>
        <w:t xml:space="preserve"> </w:t>
      </w:r>
      <w:r w:rsidRPr="00B004EE">
        <w:rPr>
          <w:rFonts w:ascii="Tahoma" w:hAnsi="Tahoma" w:cs="Tahoma"/>
          <w:bCs/>
          <w:sz w:val="20"/>
          <w:szCs w:val="20"/>
        </w:rPr>
        <w:t>de</w:t>
      </w:r>
      <w:r w:rsidR="00DB1635" w:rsidRPr="00B004EE">
        <w:rPr>
          <w:rFonts w:ascii="Tahoma" w:hAnsi="Tahoma" w:cs="Tahoma"/>
          <w:bCs/>
          <w:spacing w:val="21"/>
          <w:sz w:val="20"/>
          <w:szCs w:val="20"/>
        </w:rPr>
        <w:t xml:space="preserve"> </w:t>
      </w:r>
      <w:r w:rsidRPr="00B004EE">
        <w:rPr>
          <w:rFonts w:ascii="Tahoma" w:hAnsi="Tahoma" w:cs="Tahoma"/>
          <w:bCs/>
          <w:sz w:val="20"/>
          <w:szCs w:val="20"/>
        </w:rPr>
        <w:t>:</w:t>
      </w:r>
    </w:p>
    <w:p w14:paraId="1C563767" w14:textId="6A353DB0" w:rsidR="008518B0" w:rsidRPr="00B004EE" w:rsidRDefault="008518B0" w:rsidP="00420DDA">
      <w:pPr>
        <w:pStyle w:val="Paragraphedeliste"/>
        <w:widowControl w:val="0"/>
        <w:numPr>
          <w:ilvl w:val="0"/>
          <w:numId w:val="149"/>
        </w:numPr>
        <w:tabs>
          <w:tab w:val="left" w:pos="1134"/>
        </w:tabs>
        <w:ind w:left="1134" w:right="159" w:hanging="425"/>
        <w:jc w:val="both"/>
        <w:rPr>
          <w:rFonts w:ascii="Tahoma" w:eastAsia="Times" w:hAnsi="Tahoma" w:cs="Tahoma"/>
          <w:bCs/>
          <w:sz w:val="20"/>
          <w:szCs w:val="20"/>
        </w:rPr>
      </w:pPr>
      <w:proofErr w:type="gramStart"/>
      <w:r w:rsidRPr="00B004EE">
        <w:rPr>
          <w:rFonts w:ascii="Tahoma" w:hAnsi="Tahoma" w:cs="Tahoma"/>
          <w:bCs/>
          <w:sz w:val="20"/>
          <w:szCs w:val="20"/>
        </w:rPr>
        <w:t>contribuer</w:t>
      </w:r>
      <w:proofErr w:type="gramEnd"/>
      <w:r w:rsidR="00DB1635" w:rsidRPr="00B004EE">
        <w:rPr>
          <w:rFonts w:ascii="Tahoma" w:hAnsi="Tahoma" w:cs="Tahoma"/>
          <w:bCs/>
          <w:spacing w:val="36"/>
          <w:sz w:val="20"/>
          <w:szCs w:val="20"/>
        </w:rPr>
        <w:t xml:space="preserve"> </w:t>
      </w:r>
      <w:r w:rsidRPr="00B004EE">
        <w:rPr>
          <w:rFonts w:ascii="Tahoma" w:hAnsi="Tahoma" w:cs="Tahoma"/>
          <w:bCs/>
          <w:sz w:val="20"/>
          <w:szCs w:val="20"/>
        </w:rPr>
        <w:t>à</w:t>
      </w:r>
      <w:r w:rsidR="00DB1635" w:rsidRPr="00B004EE">
        <w:rPr>
          <w:rFonts w:ascii="Tahoma" w:hAnsi="Tahoma" w:cs="Tahoma"/>
          <w:bCs/>
          <w:spacing w:val="35"/>
          <w:sz w:val="20"/>
          <w:szCs w:val="20"/>
        </w:rPr>
        <w:t xml:space="preserve"> </w:t>
      </w:r>
      <w:r w:rsidRPr="00B004EE">
        <w:rPr>
          <w:rFonts w:ascii="Tahoma" w:hAnsi="Tahoma" w:cs="Tahoma"/>
          <w:bCs/>
          <w:spacing w:val="2"/>
          <w:sz w:val="20"/>
          <w:szCs w:val="20"/>
        </w:rPr>
        <w:t>l'élaboration</w:t>
      </w:r>
      <w:r w:rsidR="00DB1635" w:rsidRPr="00B004EE">
        <w:rPr>
          <w:rFonts w:ascii="Tahoma" w:hAnsi="Tahoma" w:cs="Tahoma"/>
          <w:bCs/>
          <w:spacing w:val="18"/>
          <w:sz w:val="20"/>
          <w:szCs w:val="20"/>
        </w:rPr>
        <w:t xml:space="preserve"> </w:t>
      </w:r>
      <w:r w:rsidRPr="00B004EE">
        <w:rPr>
          <w:rFonts w:ascii="Tahoma" w:hAnsi="Tahoma" w:cs="Tahoma"/>
          <w:bCs/>
          <w:sz w:val="20"/>
          <w:szCs w:val="20"/>
        </w:rPr>
        <w:t>de</w:t>
      </w:r>
      <w:r w:rsidR="00DB1635" w:rsidRPr="00B004EE">
        <w:rPr>
          <w:rFonts w:ascii="Tahoma" w:hAnsi="Tahoma" w:cs="Tahoma"/>
          <w:bCs/>
          <w:spacing w:val="17"/>
          <w:sz w:val="20"/>
          <w:szCs w:val="20"/>
        </w:rPr>
        <w:t xml:space="preserve"> </w:t>
      </w:r>
      <w:r w:rsidRPr="00B004EE">
        <w:rPr>
          <w:rFonts w:ascii="Tahoma" w:hAnsi="Tahoma" w:cs="Tahoma"/>
          <w:bCs/>
          <w:sz w:val="20"/>
          <w:szCs w:val="20"/>
        </w:rPr>
        <w:t>la</w:t>
      </w:r>
      <w:r w:rsidR="00DB1635" w:rsidRPr="00B004EE">
        <w:rPr>
          <w:rFonts w:ascii="Tahoma" w:hAnsi="Tahoma" w:cs="Tahoma"/>
          <w:bCs/>
          <w:spacing w:val="19"/>
          <w:sz w:val="20"/>
          <w:szCs w:val="20"/>
        </w:rPr>
        <w:t xml:space="preserve"> </w:t>
      </w:r>
      <w:r w:rsidRPr="00B004EE">
        <w:rPr>
          <w:rFonts w:ascii="Tahoma" w:hAnsi="Tahoma" w:cs="Tahoma"/>
          <w:bCs/>
          <w:sz w:val="20"/>
          <w:szCs w:val="20"/>
        </w:rPr>
        <w:t>réglementation</w:t>
      </w:r>
      <w:r w:rsidR="00DB1635" w:rsidRPr="00B004EE">
        <w:rPr>
          <w:rFonts w:ascii="Tahoma" w:hAnsi="Tahoma" w:cs="Tahoma"/>
          <w:bCs/>
          <w:spacing w:val="16"/>
          <w:sz w:val="20"/>
          <w:szCs w:val="20"/>
        </w:rPr>
        <w:t xml:space="preserve"> </w:t>
      </w:r>
      <w:r w:rsidRPr="00B004EE">
        <w:rPr>
          <w:rFonts w:ascii="Tahoma" w:hAnsi="Tahoma" w:cs="Tahoma"/>
          <w:bCs/>
          <w:sz w:val="20"/>
          <w:szCs w:val="20"/>
        </w:rPr>
        <w:t>en</w:t>
      </w:r>
      <w:r w:rsidR="00DB1635" w:rsidRPr="00B004EE">
        <w:rPr>
          <w:rFonts w:ascii="Tahoma" w:hAnsi="Tahoma" w:cs="Tahoma"/>
          <w:bCs/>
          <w:spacing w:val="18"/>
          <w:sz w:val="20"/>
          <w:szCs w:val="20"/>
        </w:rPr>
        <w:t xml:space="preserve"> </w:t>
      </w:r>
      <w:r w:rsidRPr="00B004EE">
        <w:rPr>
          <w:rFonts w:ascii="Tahoma" w:hAnsi="Tahoma" w:cs="Tahoma"/>
          <w:bCs/>
          <w:sz w:val="20"/>
          <w:szCs w:val="20"/>
        </w:rPr>
        <w:t>matière</w:t>
      </w:r>
      <w:r w:rsidR="00DB1635" w:rsidRPr="00B004EE">
        <w:rPr>
          <w:rFonts w:ascii="Tahoma" w:hAnsi="Tahoma" w:cs="Tahoma"/>
          <w:bCs/>
          <w:spacing w:val="17"/>
          <w:sz w:val="20"/>
          <w:szCs w:val="20"/>
        </w:rPr>
        <w:t xml:space="preserve"> </w:t>
      </w:r>
      <w:r w:rsidRPr="00B004EE">
        <w:rPr>
          <w:rFonts w:ascii="Tahoma" w:hAnsi="Tahoma" w:cs="Tahoma"/>
          <w:bCs/>
          <w:sz w:val="20"/>
          <w:szCs w:val="20"/>
        </w:rPr>
        <w:t>de</w:t>
      </w:r>
      <w:r w:rsidR="00DB1635" w:rsidRPr="00B004EE">
        <w:rPr>
          <w:rFonts w:ascii="Tahoma" w:hAnsi="Tahoma" w:cs="Tahoma"/>
          <w:bCs/>
          <w:spacing w:val="17"/>
          <w:sz w:val="20"/>
          <w:szCs w:val="20"/>
        </w:rPr>
        <w:t xml:space="preserve"> </w:t>
      </w:r>
      <w:r w:rsidRPr="00B004EE">
        <w:rPr>
          <w:rFonts w:ascii="Tahoma" w:hAnsi="Tahoma" w:cs="Tahoma"/>
          <w:bCs/>
          <w:sz w:val="20"/>
          <w:szCs w:val="20"/>
        </w:rPr>
        <w:t>qualité,</w:t>
      </w:r>
      <w:r w:rsidR="00DB1635" w:rsidRPr="00B004EE">
        <w:rPr>
          <w:rFonts w:ascii="Tahoma" w:hAnsi="Tahoma" w:cs="Tahoma"/>
          <w:bCs/>
          <w:spacing w:val="18"/>
          <w:sz w:val="20"/>
          <w:szCs w:val="20"/>
        </w:rPr>
        <w:t xml:space="preserve"> </w:t>
      </w:r>
      <w:r w:rsidRPr="00B004EE">
        <w:rPr>
          <w:rFonts w:ascii="Tahoma" w:hAnsi="Tahoma" w:cs="Tahoma"/>
          <w:bCs/>
          <w:sz w:val="20"/>
          <w:szCs w:val="20"/>
        </w:rPr>
        <w:t>d'hygiène</w:t>
      </w:r>
      <w:r w:rsidR="00DB1635" w:rsidRPr="00B004EE">
        <w:rPr>
          <w:rFonts w:ascii="Tahoma" w:hAnsi="Tahoma" w:cs="Tahoma"/>
          <w:bCs/>
          <w:spacing w:val="12"/>
          <w:sz w:val="20"/>
          <w:szCs w:val="20"/>
        </w:rPr>
        <w:t xml:space="preserve"> </w:t>
      </w:r>
      <w:r w:rsidRPr="00B004EE">
        <w:rPr>
          <w:rFonts w:ascii="Tahoma" w:hAnsi="Tahoma" w:cs="Tahoma"/>
          <w:bCs/>
          <w:sz w:val="20"/>
          <w:szCs w:val="20"/>
        </w:rPr>
        <w:t>et</w:t>
      </w:r>
      <w:r w:rsidR="00DB1635" w:rsidRPr="00B004EE">
        <w:rPr>
          <w:rFonts w:ascii="Tahoma" w:hAnsi="Tahoma" w:cs="Tahoma"/>
          <w:bCs/>
          <w:spacing w:val="14"/>
          <w:sz w:val="20"/>
          <w:szCs w:val="20"/>
        </w:rPr>
        <w:t xml:space="preserve"> </w:t>
      </w:r>
      <w:r w:rsidRPr="00B004EE">
        <w:rPr>
          <w:rFonts w:ascii="Tahoma" w:hAnsi="Tahoma" w:cs="Tahoma"/>
          <w:bCs/>
          <w:sz w:val="20"/>
          <w:szCs w:val="20"/>
        </w:rPr>
        <w:t>de</w:t>
      </w:r>
      <w:r w:rsidR="00DB1635" w:rsidRPr="00B004EE">
        <w:rPr>
          <w:rFonts w:ascii="Tahoma" w:hAnsi="Tahoma" w:cs="Tahoma"/>
          <w:bCs/>
          <w:spacing w:val="-58"/>
          <w:sz w:val="20"/>
          <w:szCs w:val="20"/>
        </w:rPr>
        <w:t xml:space="preserve"> </w:t>
      </w:r>
      <w:r w:rsidRPr="00B004EE">
        <w:rPr>
          <w:rFonts w:ascii="Tahoma" w:hAnsi="Tahoma" w:cs="Tahoma"/>
          <w:bCs/>
          <w:sz w:val="20"/>
          <w:szCs w:val="20"/>
        </w:rPr>
        <w:t>salubrité</w:t>
      </w:r>
      <w:r w:rsidR="00DB1635" w:rsidRPr="00B004EE">
        <w:rPr>
          <w:rFonts w:ascii="Tahoma" w:hAnsi="Tahoma" w:cs="Tahoma"/>
          <w:bCs/>
          <w:sz w:val="20"/>
          <w:szCs w:val="20"/>
        </w:rPr>
        <w:t xml:space="preserve"> </w:t>
      </w:r>
      <w:r w:rsidRPr="00B004EE">
        <w:rPr>
          <w:rFonts w:ascii="Tahoma" w:hAnsi="Tahoma" w:cs="Tahoma"/>
          <w:bCs/>
          <w:sz w:val="20"/>
          <w:szCs w:val="20"/>
        </w:rPr>
        <w:t>des</w:t>
      </w:r>
      <w:r w:rsidR="00DB1635" w:rsidRPr="00B004EE">
        <w:rPr>
          <w:rFonts w:ascii="Tahoma" w:hAnsi="Tahoma" w:cs="Tahoma"/>
          <w:bCs/>
          <w:spacing w:val="-2"/>
          <w:sz w:val="20"/>
          <w:szCs w:val="20"/>
        </w:rPr>
        <w:t xml:space="preserve"> </w:t>
      </w:r>
      <w:r w:rsidRPr="00B004EE">
        <w:rPr>
          <w:rFonts w:ascii="Tahoma" w:hAnsi="Tahoma" w:cs="Tahoma"/>
          <w:bCs/>
          <w:sz w:val="20"/>
          <w:szCs w:val="20"/>
        </w:rPr>
        <w:t>produits;</w:t>
      </w:r>
    </w:p>
    <w:p w14:paraId="329825C3" w14:textId="6D0738EC" w:rsidR="008518B0" w:rsidRPr="00B004EE" w:rsidRDefault="008518B0" w:rsidP="00420DDA">
      <w:pPr>
        <w:pStyle w:val="Paragraphedeliste"/>
        <w:widowControl w:val="0"/>
        <w:numPr>
          <w:ilvl w:val="0"/>
          <w:numId w:val="149"/>
        </w:numPr>
        <w:tabs>
          <w:tab w:val="left" w:pos="1134"/>
        </w:tabs>
        <w:ind w:left="1134" w:right="164" w:hanging="425"/>
        <w:jc w:val="both"/>
        <w:rPr>
          <w:rFonts w:ascii="Tahoma" w:eastAsia="Times" w:hAnsi="Tahoma" w:cs="Tahoma"/>
          <w:sz w:val="20"/>
          <w:szCs w:val="20"/>
        </w:rPr>
      </w:pPr>
      <w:proofErr w:type="gramStart"/>
      <w:r w:rsidRPr="00B004EE">
        <w:rPr>
          <w:rFonts w:ascii="Tahoma" w:hAnsi="Tahoma" w:cs="Tahoma"/>
          <w:sz w:val="20"/>
          <w:szCs w:val="20"/>
        </w:rPr>
        <w:t>veiller</w:t>
      </w:r>
      <w:proofErr w:type="gramEnd"/>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respect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pacing w:val="2"/>
          <w:sz w:val="20"/>
          <w:szCs w:val="20"/>
        </w:rPr>
        <w:t>normes</w:t>
      </w:r>
      <w:r w:rsidR="00DB1635" w:rsidRPr="00B004EE">
        <w:rPr>
          <w:rFonts w:ascii="Tahoma" w:hAnsi="Tahoma" w:cs="Tahoma"/>
          <w:spacing w:val="2"/>
          <w:sz w:val="20"/>
          <w:szCs w:val="20"/>
        </w:rPr>
        <w:t xml:space="preserve"> </w:t>
      </w:r>
      <w:r w:rsidRPr="00B004EE">
        <w:rPr>
          <w:rFonts w:ascii="Tahoma" w:hAnsi="Tahoma" w:cs="Tahoma"/>
          <w:spacing w:val="2"/>
          <w:sz w:val="20"/>
          <w:szCs w:val="20"/>
        </w:rPr>
        <w:t>nationales</w:t>
      </w:r>
      <w:r w:rsidR="00DB1635" w:rsidRPr="00B004EE">
        <w:rPr>
          <w:rFonts w:ascii="Tahoma" w:hAnsi="Tahoma" w:cs="Tahoma"/>
          <w:spacing w:val="2"/>
          <w:sz w:val="20"/>
          <w:szCs w:val="20"/>
        </w:rPr>
        <w:t xml:space="preserve"> </w:t>
      </w:r>
      <w:r w:rsidRPr="00B004EE">
        <w:rPr>
          <w:rFonts w:ascii="Tahoma" w:hAnsi="Tahoma" w:cs="Tahoma"/>
          <w:spacing w:val="3"/>
          <w:sz w:val="20"/>
          <w:szCs w:val="20"/>
        </w:rPr>
        <w:t>et</w:t>
      </w:r>
      <w:r w:rsidR="00DB1635" w:rsidRPr="00B004EE">
        <w:rPr>
          <w:rFonts w:ascii="Tahoma" w:hAnsi="Tahoma" w:cs="Tahoma"/>
          <w:spacing w:val="3"/>
          <w:sz w:val="20"/>
          <w:szCs w:val="20"/>
        </w:rPr>
        <w:t xml:space="preserve"> </w:t>
      </w:r>
      <w:r w:rsidRPr="00B004EE">
        <w:rPr>
          <w:rFonts w:ascii="Tahoma" w:hAnsi="Tahoma" w:cs="Tahoma"/>
          <w:spacing w:val="6"/>
          <w:sz w:val="20"/>
          <w:szCs w:val="20"/>
        </w:rPr>
        <w:t>internationales</w:t>
      </w:r>
      <w:r w:rsidR="00DB1635" w:rsidRPr="00B004EE">
        <w:rPr>
          <w:rFonts w:ascii="Tahoma" w:hAnsi="Tahoma" w:cs="Tahoma"/>
          <w:spacing w:val="6"/>
          <w:sz w:val="20"/>
          <w:szCs w:val="20"/>
        </w:rPr>
        <w:t xml:space="preserve"> </w:t>
      </w:r>
      <w:r w:rsidRPr="00B004EE">
        <w:rPr>
          <w:rFonts w:ascii="Tahoma" w:hAnsi="Tahoma" w:cs="Tahoma"/>
          <w:spacing w:val="5"/>
          <w:sz w:val="20"/>
          <w:szCs w:val="20"/>
        </w:rPr>
        <w:t>relatives</w:t>
      </w:r>
      <w:r w:rsidR="00DB1635" w:rsidRPr="00B004EE">
        <w:rPr>
          <w:rFonts w:ascii="Tahoma" w:hAnsi="Tahoma" w:cs="Tahoma"/>
          <w:spacing w:val="5"/>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pacing w:val="3"/>
          <w:sz w:val="20"/>
          <w:szCs w:val="20"/>
        </w:rPr>
        <w:t>la</w:t>
      </w:r>
      <w:r w:rsidR="00DB1635" w:rsidRPr="00B004EE">
        <w:rPr>
          <w:rFonts w:ascii="Tahoma" w:hAnsi="Tahoma" w:cs="Tahoma"/>
          <w:spacing w:val="3"/>
          <w:sz w:val="20"/>
          <w:szCs w:val="20"/>
        </w:rPr>
        <w:t xml:space="preserve"> </w:t>
      </w:r>
      <w:r w:rsidRPr="00B004EE">
        <w:rPr>
          <w:rFonts w:ascii="Tahoma" w:hAnsi="Tahoma" w:cs="Tahoma"/>
          <w:spacing w:val="5"/>
          <w:sz w:val="20"/>
          <w:szCs w:val="20"/>
        </w:rPr>
        <w:t>qualité,</w:t>
      </w:r>
      <w:r w:rsidR="00DB1635" w:rsidRPr="00B004EE">
        <w:rPr>
          <w:rFonts w:ascii="Tahoma" w:hAnsi="Tahoma" w:cs="Tahoma"/>
          <w:spacing w:val="22"/>
          <w:sz w:val="20"/>
          <w:szCs w:val="20"/>
        </w:rPr>
        <w:t xml:space="preserve"> </w:t>
      </w:r>
      <w:r w:rsidRPr="00B004EE">
        <w:rPr>
          <w:rFonts w:ascii="Tahoma" w:hAnsi="Tahoma" w:cs="Tahoma"/>
          <w:sz w:val="20"/>
          <w:szCs w:val="20"/>
        </w:rPr>
        <w:t>à</w:t>
      </w:r>
      <w:r w:rsidR="00DB1635" w:rsidRPr="00B004EE">
        <w:rPr>
          <w:rFonts w:ascii="Tahoma" w:hAnsi="Tahoma" w:cs="Tahoma"/>
          <w:w w:val="99"/>
          <w:sz w:val="20"/>
          <w:szCs w:val="20"/>
        </w:rPr>
        <w:t xml:space="preserve"> </w:t>
      </w:r>
      <w:r w:rsidRPr="00B004EE">
        <w:rPr>
          <w:rFonts w:ascii="Tahoma" w:hAnsi="Tahoma" w:cs="Tahoma"/>
          <w:sz w:val="20"/>
          <w:szCs w:val="20"/>
        </w:rPr>
        <w:t>l'hygiène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salubrité</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établissements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zones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pacing w:val="51"/>
          <w:sz w:val="20"/>
          <w:szCs w:val="20"/>
        </w:rPr>
        <w:t xml:space="preserve"> </w:t>
      </w:r>
      <w:r w:rsidRPr="00B004EE">
        <w:rPr>
          <w:rFonts w:ascii="Tahoma" w:hAnsi="Tahoma" w:cs="Tahoma"/>
          <w:sz w:val="20"/>
          <w:szCs w:val="20"/>
        </w:rPr>
        <w:t>production;</w:t>
      </w:r>
    </w:p>
    <w:p w14:paraId="60411E52" w14:textId="540D3A2E" w:rsidR="00FF661D" w:rsidRPr="00B004EE" w:rsidRDefault="008518B0" w:rsidP="00420DDA">
      <w:pPr>
        <w:pStyle w:val="Paragraphedeliste"/>
        <w:widowControl w:val="0"/>
        <w:numPr>
          <w:ilvl w:val="0"/>
          <w:numId w:val="149"/>
        </w:numPr>
        <w:tabs>
          <w:tab w:val="left" w:pos="1134"/>
        </w:tabs>
        <w:ind w:left="1134" w:right="160" w:hanging="425"/>
        <w:jc w:val="both"/>
        <w:rPr>
          <w:rFonts w:ascii="Tahoma" w:eastAsia="Times" w:hAnsi="Tahoma" w:cs="Tahoma"/>
          <w:sz w:val="20"/>
          <w:szCs w:val="20"/>
        </w:rPr>
      </w:pPr>
      <w:proofErr w:type="gramStart"/>
      <w:r w:rsidRPr="00B004EE">
        <w:rPr>
          <w:rFonts w:ascii="Tahoma" w:hAnsi="Tahoma" w:cs="Tahoma"/>
          <w:spacing w:val="3"/>
          <w:sz w:val="20"/>
          <w:szCs w:val="20"/>
        </w:rPr>
        <w:t>identifier</w:t>
      </w:r>
      <w:proofErr w:type="gramEnd"/>
      <w:r w:rsidRPr="00B004EE">
        <w:rPr>
          <w:rFonts w:ascii="Tahoma" w:hAnsi="Tahoma" w:cs="Tahoma"/>
          <w:spacing w:val="3"/>
          <w:sz w:val="20"/>
          <w:szCs w:val="20"/>
        </w:rPr>
        <w:t>,</w:t>
      </w:r>
      <w:r w:rsidR="00DB1635" w:rsidRPr="00B004EE">
        <w:rPr>
          <w:rFonts w:ascii="Tahoma" w:hAnsi="Tahoma" w:cs="Tahoma"/>
          <w:spacing w:val="3"/>
          <w:sz w:val="20"/>
          <w:szCs w:val="20"/>
        </w:rPr>
        <w:t xml:space="preserve"> </w:t>
      </w:r>
      <w:r w:rsidRPr="00B004EE">
        <w:rPr>
          <w:rFonts w:ascii="Tahoma" w:hAnsi="Tahoma" w:cs="Tahoma"/>
          <w:spacing w:val="3"/>
          <w:sz w:val="20"/>
          <w:szCs w:val="20"/>
        </w:rPr>
        <w:t>caractériser</w:t>
      </w:r>
      <w:r w:rsidR="00DB1635" w:rsidRPr="00B004EE">
        <w:rPr>
          <w:rFonts w:ascii="Tahoma" w:hAnsi="Tahoma" w:cs="Tahoma"/>
          <w:spacing w:val="3"/>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pacing w:val="3"/>
          <w:sz w:val="20"/>
          <w:szCs w:val="20"/>
        </w:rPr>
        <w:t>communiquer</w:t>
      </w:r>
      <w:r w:rsidR="00DB1635" w:rsidRPr="00B004EE">
        <w:rPr>
          <w:rFonts w:ascii="Tahoma" w:hAnsi="Tahoma" w:cs="Tahoma"/>
          <w:spacing w:val="3"/>
          <w:sz w:val="20"/>
          <w:szCs w:val="20"/>
        </w:rPr>
        <w:t xml:space="preserve"> </w:t>
      </w:r>
      <w:r w:rsidRPr="00B004EE">
        <w:rPr>
          <w:rFonts w:ascii="Tahoma" w:hAnsi="Tahoma" w:cs="Tahoma"/>
          <w:spacing w:val="4"/>
          <w:sz w:val="20"/>
          <w:szCs w:val="20"/>
        </w:rPr>
        <w:t>sur</w:t>
      </w:r>
      <w:r w:rsidR="00DB1635" w:rsidRPr="00B004EE">
        <w:rPr>
          <w:rFonts w:ascii="Tahoma" w:hAnsi="Tahoma" w:cs="Tahoma"/>
          <w:spacing w:val="4"/>
          <w:sz w:val="20"/>
          <w:szCs w:val="20"/>
        </w:rPr>
        <w:t xml:space="preserve"> </w:t>
      </w:r>
      <w:r w:rsidRPr="00B004EE">
        <w:rPr>
          <w:rFonts w:ascii="Tahoma" w:hAnsi="Tahoma" w:cs="Tahoma"/>
          <w:spacing w:val="4"/>
          <w:sz w:val="20"/>
          <w:szCs w:val="20"/>
        </w:rPr>
        <w:t>les</w:t>
      </w:r>
      <w:r w:rsidR="00DB1635" w:rsidRPr="00B004EE">
        <w:rPr>
          <w:rFonts w:ascii="Tahoma" w:hAnsi="Tahoma" w:cs="Tahoma"/>
          <w:spacing w:val="4"/>
          <w:sz w:val="20"/>
          <w:szCs w:val="20"/>
        </w:rPr>
        <w:t xml:space="preserve"> </w:t>
      </w:r>
      <w:r w:rsidRPr="00B004EE">
        <w:rPr>
          <w:rFonts w:ascii="Tahoma" w:hAnsi="Tahoma" w:cs="Tahoma"/>
          <w:spacing w:val="5"/>
          <w:sz w:val="20"/>
          <w:szCs w:val="20"/>
        </w:rPr>
        <w:t>risques</w:t>
      </w:r>
      <w:r w:rsidR="00DB1635" w:rsidRPr="00B004EE">
        <w:rPr>
          <w:rFonts w:ascii="Tahoma" w:hAnsi="Tahoma" w:cs="Tahoma"/>
          <w:spacing w:val="5"/>
          <w:sz w:val="20"/>
          <w:szCs w:val="20"/>
        </w:rPr>
        <w:t xml:space="preserve"> </w:t>
      </w:r>
      <w:r w:rsidRPr="00B004EE">
        <w:rPr>
          <w:rFonts w:ascii="Tahoma" w:hAnsi="Tahoma" w:cs="Tahoma"/>
          <w:spacing w:val="5"/>
          <w:sz w:val="20"/>
          <w:szCs w:val="20"/>
        </w:rPr>
        <w:t>sanitaires</w:t>
      </w:r>
      <w:r w:rsidR="00DB1635" w:rsidRPr="00B004EE">
        <w:rPr>
          <w:rFonts w:ascii="Tahoma" w:hAnsi="Tahoma" w:cs="Tahoma"/>
          <w:spacing w:val="5"/>
          <w:sz w:val="20"/>
          <w:szCs w:val="20"/>
        </w:rPr>
        <w:t xml:space="preserve"> </w:t>
      </w:r>
      <w:r w:rsidRPr="00B004EE">
        <w:rPr>
          <w:rFonts w:ascii="Tahoma" w:hAnsi="Tahoma" w:cs="Tahoma"/>
          <w:spacing w:val="4"/>
          <w:sz w:val="20"/>
          <w:szCs w:val="20"/>
        </w:rPr>
        <w:t>des</w:t>
      </w:r>
      <w:r w:rsidR="00DB1635" w:rsidRPr="00B004EE">
        <w:rPr>
          <w:rFonts w:ascii="Tahoma" w:hAnsi="Tahoma" w:cs="Tahoma"/>
          <w:spacing w:val="4"/>
          <w:sz w:val="20"/>
          <w:szCs w:val="20"/>
        </w:rPr>
        <w:t xml:space="preserve"> </w:t>
      </w:r>
      <w:r w:rsidRPr="00B004EE">
        <w:rPr>
          <w:rFonts w:ascii="Tahoma" w:hAnsi="Tahoma" w:cs="Tahoma"/>
          <w:spacing w:val="6"/>
          <w:sz w:val="20"/>
          <w:szCs w:val="20"/>
        </w:rPr>
        <w:t>produits</w:t>
      </w:r>
      <w:r w:rsidR="00DB1635" w:rsidRPr="00B004EE">
        <w:rPr>
          <w:rFonts w:ascii="Tahoma" w:hAnsi="Tahoma" w:cs="Tahoma"/>
          <w:spacing w:val="50"/>
          <w:sz w:val="20"/>
          <w:szCs w:val="20"/>
        </w:rPr>
        <w:t xml:space="preserve"> </w:t>
      </w:r>
      <w:r w:rsidRPr="00B004EE">
        <w:rPr>
          <w:rFonts w:ascii="Tahoma" w:hAnsi="Tahoma" w:cs="Tahoma"/>
          <w:spacing w:val="3"/>
          <w:sz w:val="20"/>
          <w:szCs w:val="20"/>
        </w:rPr>
        <w:t>de</w:t>
      </w:r>
      <w:r w:rsidR="00DB1635" w:rsidRPr="00B004EE">
        <w:rPr>
          <w:rFonts w:ascii="Tahoma" w:hAnsi="Tahoma" w:cs="Tahoma"/>
          <w:w w:val="99"/>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pacing w:val="2"/>
          <w:sz w:val="20"/>
          <w:szCs w:val="20"/>
        </w:rPr>
        <w:t>application</w:t>
      </w:r>
      <w:r w:rsidR="00DB1635" w:rsidRPr="00B004EE">
        <w:rPr>
          <w:rFonts w:ascii="Tahoma" w:hAnsi="Tahoma" w:cs="Tahoma"/>
          <w:spacing w:val="2"/>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principes</w:t>
      </w:r>
      <w:r w:rsidR="00DB1635" w:rsidRPr="00B004EE">
        <w:rPr>
          <w:rFonts w:ascii="Tahoma" w:hAnsi="Tahoma" w:cs="Tahoma"/>
          <w:sz w:val="20"/>
          <w:szCs w:val="20"/>
        </w:rPr>
        <w:t xml:space="preserve"> </w:t>
      </w:r>
      <w:r w:rsidRPr="00B004EE">
        <w:rPr>
          <w:rFonts w:ascii="Tahoma" w:hAnsi="Tahoma" w:cs="Tahoma"/>
          <w:sz w:val="20"/>
          <w:szCs w:val="20"/>
        </w:rPr>
        <w:t>HACCP</w:t>
      </w:r>
      <w:r w:rsidR="00DB1635" w:rsidRPr="00B004EE">
        <w:rPr>
          <w:rFonts w:ascii="Tahoma" w:hAnsi="Tahoma" w:cs="Tahoma"/>
          <w:sz w:val="20"/>
          <w:szCs w:val="20"/>
        </w:rPr>
        <w:t xml:space="preserve"> </w:t>
      </w:r>
      <w:r w:rsidRPr="00B004EE">
        <w:rPr>
          <w:rFonts w:ascii="Tahoma" w:hAnsi="Tahoma" w:cs="Tahoma"/>
          <w:sz w:val="20"/>
          <w:szCs w:val="20"/>
        </w:rPr>
        <w:t>(Hazard</w:t>
      </w:r>
      <w:r w:rsidR="00DB1635" w:rsidRPr="00B004EE">
        <w:rPr>
          <w:rFonts w:ascii="Tahoma" w:hAnsi="Tahoma" w:cs="Tahoma"/>
          <w:sz w:val="20"/>
          <w:szCs w:val="20"/>
        </w:rPr>
        <w:t xml:space="preserve"> </w:t>
      </w:r>
      <w:r w:rsidRPr="00B004EE">
        <w:rPr>
          <w:rFonts w:ascii="Tahoma" w:hAnsi="Tahoma" w:cs="Tahoma"/>
          <w:sz w:val="20"/>
          <w:szCs w:val="20"/>
        </w:rPr>
        <w:t>Analysis</w:t>
      </w:r>
      <w:r w:rsidR="00DB1635" w:rsidRPr="00B004EE">
        <w:rPr>
          <w:rFonts w:ascii="Tahoma" w:hAnsi="Tahoma" w:cs="Tahoma"/>
          <w:spacing w:val="27"/>
          <w:sz w:val="20"/>
          <w:szCs w:val="20"/>
        </w:rPr>
        <w:t xml:space="preserve"> </w:t>
      </w:r>
      <w:r w:rsidRPr="00B004EE">
        <w:rPr>
          <w:rFonts w:ascii="Tahoma" w:hAnsi="Tahoma" w:cs="Tahoma"/>
          <w:sz w:val="20"/>
          <w:szCs w:val="20"/>
        </w:rPr>
        <w:t>Critical</w:t>
      </w:r>
      <w:r w:rsidR="00DB1635" w:rsidRPr="00B004EE">
        <w:rPr>
          <w:rFonts w:ascii="Tahoma" w:hAnsi="Tahoma" w:cs="Tahoma"/>
          <w:w w:val="99"/>
          <w:sz w:val="20"/>
          <w:szCs w:val="20"/>
        </w:rPr>
        <w:t xml:space="preserve"> </w:t>
      </w:r>
      <w:r w:rsidRPr="00B004EE">
        <w:rPr>
          <w:rFonts w:ascii="Tahoma" w:hAnsi="Tahoma" w:cs="Tahoma"/>
          <w:sz w:val="20"/>
          <w:szCs w:val="20"/>
        </w:rPr>
        <w:t>Contr</w:t>
      </w:r>
      <w:r w:rsidR="0024676E" w:rsidRPr="00B004EE">
        <w:rPr>
          <w:rFonts w:ascii="Tahoma" w:hAnsi="Tahoma" w:cs="Tahoma"/>
          <w:sz w:val="20"/>
          <w:szCs w:val="20"/>
        </w:rPr>
        <w:t>o</w:t>
      </w:r>
      <w:r w:rsidRPr="00B004EE">
        <w:rPr>
          <w:rFonts w:ascii="Tahoma" w:hAnsi="Tahoma" w:cs="Tahoma"/>
          <w:sz w:val="20"/>
          <w:szCs w:val="20"/>
        </w:rPr>
        <w:t>l</w:t>
      </w:r>
      <w:r w:rsidR="00DB1635" w:rsidRPr="00B004EE">
        <w:rPr>
          <w:rFonts w:ascii="Tahoma" w:hAnsi="Tahoma" w:cs="Tahoma"/>
          <w:sz w:val="20"/>
          <w:szCs w:val="20"/>
        </w:rPr>
        <w:t xml:space="preserve"> </w:t>
      </w:r>
      <w:r w:rsidRPr="00B004EE">
        <w:rPr>
          <w:rFonts w:ascii="Tahoma" w:hAnsi="Tahoma" w:cs="Tahoma"/>
          <w:sz w:val="20"/>
          <w:szCs w:val="20"/>
        </w:rPr>
        <w:t>Point)</w:t>
      </w:r>
      <w:r w:rsidR="00DB1635" w:rsidRPr="00B004EE">
        <w:rPr>
          <w:rFonts w:ascii="Tahoma" w:hAnsi="Tahoma" w:cs="Tahoma"/>
          <w:sz w:val="20"/>
          <w:szCs w:val="20"/>
        </w:rPr>
        <w:t xml:space="preserve"> </w:t>
      </w:r>
      <w:r w:rsidRPr="00B004EE">
        <w:rPr>
          <w:rFonts w:ascii="Tahoma" w:hAnsi="Tahoma" w:cs="Tahoma"/>
          <w:sz w:val="20"/>
          <w:szCs w:val="20"/>
        </w:rPr>
        <w:t>associés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mise</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œuvre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Bonnes</w:t>
      </w:r>
      <w:r w:rsidR="00DB1635" w:rsidRPr="00B004EE">
        <w:rPr>
          <w:rFonts w:ascii="Tahoma" w:hAnsi="Tahoma" w:cs="Tahoma"/>
          <w:sz w:val="20"/>
          <w:szCs w:val="20"/>
        </w:rPr>
        <w:t xml:space="preserve"> </w:t>
      </w:r>
      <w:r w:rsidRPr="00B004EE">
        <w:rPr>
          <w:rFonts w:ascii="Tahoma" w:hAnsi="Tahoma" w:cs="Tahoma"/>
          <w:sz w:val="20"/>
          <w:szCs w:val="20"/>
        </w:rPr>
        <w:t>Pratiques</w:t>
      </w:r>
      <w:r w:rsidR="00DB1635" w:rsidRPr="00B004EE">
        <w:rPr>
          <w:rFonts w:ascii="Tahoma" w:hAnsi="Tahoma" w:cs="Tahoma"/>
          <w:spacing w:val="17"/>
          <w:sz w:val="20"/>
          <w:szCs w:val="20"/>
        </w:rPr>
        <w:t xml:space="preserve"> </w:t>
      </w:r>
      <w:r w:rsidRPr="00B004EE">
        <w:rPr>
          <w:rFonts w:ascii="Tahoma" w:hAnsi="Tahoma" w:cs="Tahoma"/>
          <w:sz w:val="20"/>
          <w:szCs w:val="20"/>
        </w:rPr>
        <w:t>d'Hygiène;</w:t>
      </w:r>
    </w:p>
    <w:p w14:paraId="648C9E5D" w14:textId="504E207C" w:rsidR="008518B0" w:rsidRPr="00B004EE" w:rsidRDefault="00F802AA" w:rsidP="00420DDA">
      <w:pPr>
        <w:pStyle w:val="Paragraphedeliste"/>
        <w:widowControl w:val="0"/>
        <w:numPr>
          <w:ilvl w:val="0"/>
          <w:numId w:val="149"/>
        </w:numPr>
        <w:tabs>
          <w:tab w:val="left" w:pos="1134"/>
        </w:tabs>
        <w:ind w:left="1134" w:right="160" w:hanging="425"/>
        <w:jc w:val="both"/>
        <w:rPr>
          <w:rFonts w:ascii="Tahoma" w:hAnsi="Tahoma" w:cs="Tahoma"/>
          <w:spacing w:val="3"/>
          <w:sz w:val="20"/>
          <w:szCs w:val="20"/>
        </w:rPr>
      </w:pPr>
      <w:proofErr w:type="gramStart"/>
      <w:r w:rsidRPr="00B004EE">
        <w:rPr>
          <w:rFonts w:ascii="Tahoma" w:hAnsi="Tahoma" w:cs="Tahoma"/>
          <w:spacing w:val="3"/>
          <w:sz w:val="20"/>
          <w:szCs w:val="20"/>
        </w:rPr>
        <w:t>élaborer</w:t>
      </w:r>
      <w:proofErr w:type="gramEnd"/>
      <w:r w:rsidRPr="00B004EE">
        <w:rPr>
          <w:rFonts w:ascii="Tahoma" w:hAnsi="Tahoma" w:cs="Tahoma"/>
          <w:spacing w:val="3"/>
          <w:sz w:val="20"/>
          <w:szCs w:val="20"/>
        </w:rPr>
        <w:t xml:space="preserve"> </w:t>
      </w:r>
      <w:r w:rsidR="00FF661D" w:rsidRPr="00B004EE">
        <w:rPr>
          <w:rFonts w:ascii="Tahoma" w:hAnsi="Tahoma" w:cs="Tahoma"/>
          <w:spacing w:val="3"/>
          <w:sz w:val="20"/>
          <w:szCs w:val="20"/>
        </w:rPr>
        <w:t xml:space="preserve">des </w:t>
      </w:r>
      <w:r w:rsidR="008518B0" w:rsidRPr="00B004EE">
        <w:rPr>
          <w:rFonts w:ascii="Tahoma" w:hAnsi="Tahoma" w:cs="Tahoma"/>
          <w:spacing w:val="3"/>
          <w:sz w:val="20"/>
          <w:szCs w:val="20"/>
        </w:rPr>
        <w:t>méthodes</w:t>
      </w:r>
      <w:r w:rsidRPr="00B004EE">
        <w:rPr>
          <w:rFonts w:ascii="Tahoma" w:hAnsi="Tahoma" w:cs="Tahoma"/>
          <w:spacing w:val="3"/>
          <w:sz w:val="20"/>
          <w:szCs w:val="20"/>
        </w:rPr>
        <w:t xml:space="preserve"> </w:t>
      </w:r>
      <w:r w:rsidR="008518B0" w:rsidRPr="00B004EE">
        <w:rPr>
          <w:rFonts w:ascii="Tahoma" w:hAnsi="Tahoma" w:cs="Tahoma"/>
          <w:spacing w:val="3"/>
          <w:sz w:val="20"/>
          <w:szCs w:val="20"/>
        </w:rPr>
        <w:t>et</w:t>
      </w:r>
      <w:r w:rsidR="00FF661D" w:rsidRPr="00B004EE">
        <w:rPr>
          <w:rFonts w:ascii="Tahoma" w:hAnsi="Tahoma" w:cs="Tahoma"/>
          <w:spacing w:val="3"/>
          <w:sz w:val="20"/>
          <w:szCs w:val="20"/>
        </w:rPr>
        <w:t xml:space="preserve"> procédures </w:t>
      </w:r>
      <w:r w:rsidR="008518B0" w:rsidRPr="00B004EE">
        <w:rPr>
          <w:rFonts w:ascii="Tahoma" w:hAnsi="Tahoma" w:cs="Tahoma"/>
          <w:spacing w:val="3"/>
          <w:sz w:val="20"/>
          <w:szCs w:val="20"/>
        </w:rPr>
        <w:t>de</w:t>
      </w:r>
      <w:r w:rsidR="00DB1635" w:rsidRPr="00B004EE">
        <w:rPr>
          <w:rFonts w:ascii="Tahoma" w:hAnsi="Tahoma" w:cs="Tahoma"/>
          <w:spacing w:val="3"/>
          <w:sz w:val="20"/>
          <w:szCs w:val="20"/>
        </w:rPr>
        <w:t xml:space="preserve"> </w:t>
      </w:r>
      <w:r w:rsidR="008518B0" w:rsidRPr="00B004EE">
        <w:rPr>
          <w:rFonts w:ascii="Tahoma" w:hAnsi="Tahoma" w:cs="Tahoma"/>
          <w:spacing w:val="3"/>
          <w:sz w:val="20"/>
          <w:szCs w:val="20"/>
        </w:rPr>
        <w:t>contrôle</w:t>
      </w:r>
      <w:r w:rsidR="00DB1635" w:rsidRPr="00B004EE">
        <w:rPr>
          <w:rFonts w:ascii="Tahoma" w:hAnsi="Tahoma" w:cs="Tahoma"/>
          <w:spacing w:val="3"/>
          <w:sz w:val="20"/>
          <w:szCs w:val="20"/>
        </w:rPr>
        <w:t xml:space="preserve"> </w:t>
      </w:r>
      <w:r w:rsidR="008518B0" w:rsidRPr="00B004EE">
        <w:rPr>
          <w:rFonts w:ascii="Tahoma" w:hAnsi="Tahoma" w:cs="Tahoma"/>
          <w:spacing w:val="3"/>
          <w:sz w:val="20"/>
          <w:szCs w:val="20"/>
        </w:rPr>
        <w:t>et</w:t>
      </w:r>
      <w:r w:rsidR="00DB1635" w:rsidRPr="00B004EE">
        <w:rPr>
          <w:rFonts w:ascii="Tahoma" w:hAnsi="Tahoma" w:cs="Tahoma"/>
          <w:spacing w:val="3"/>
          <w:sz w:val="20"/>
          <w:szCs w:val="20"/>
        </w:rPr>
        <w:t xml:space="preserve"> </w:t>
      </w:r>
      <w:r w:rsidR="008518B0" w:rsidRPr="00B004EE">
        <w:rPr>
          <w:rFonts w:ascii="Tahoma" w:hAnsi="Tahoma" w:cs="Tahoma"/>
          <w:spacing w:val="3"/>
          <w:sz w:val="20"/>
          <w:szCs w:val="20"/>
        </w:rPr>
        <w:t>d'inspection</w:t>
      </w:r>
      <w:r w:rsidR="00DB1635" w:rsidRPr="00B004EE">
        <w:rPr>
          <w:rFonts w:ascii="Tahoma" w:hAnsi="Tahoma" w:cs="Tahoma"/>
          <w:spacing w:val="3"/>
          <w:sz w:val="20"/>
          <w:szCs w:val="20"/>
        </w:rPr>
        <w:t xml:space="preserve"> </w:t>
      </w:r>
      <w:r w:rsidR="008518B0" w:rsidRPr="00B004EE">
        <w:rPr>
          <w:rFonts w:ascii="Tahoma" w:hAnsi="Tahoma" w:cs="Tahoma"/>
          <w:spacing w:val="3"/>
          <w:sz w:val="20"/>
          <w:szCs w:val="20"/>
        </w:rPr>
        <w:t>fiables</w:t>
      </w:r>
      <w:r w:rsidR="00DB1635" w:rsidRPr="00B004EE">
        <w:rPr>
          <w:rFonts w:ascii="Tahoma" w:hAnsi="Tahoma" w:cs="Tahoma"/>
          <w:spacing w:val="3"/>
          <w:sz w:val="20"/>
          <w:szCs w:val="20"/>
        </w:rPr>
        <w:t xml:space="preserve"> </w:t>
      </w:r>
      <w:r w:rsidR="008518B0" w:rsidRPr="00B004EE">
        <w:rPr>
          <w:rFonts w:ascii="Tahoma" w:hAnsi="Tahoma" w:cs="Tahoma"/>
          <w:spacing w:val="3"/>
          <w:sz w:val="20"/>
          <w:szCs w:val="20"/>
        </w:rPr>
        <w:t>et</w:t>
      </w:r>
      <w:r w:rsidRPr="00B004EE">
        <w:rPr>
          <w:rFonts w:ascii="Tahoma" w:hAnsi="Tahoma" w:cs="Tahoma"/>
          <w:spacing w:val="3"/>
          <w:sz w:val="20"/>
          <w:szCs w:val="20"/>
        </w:rPr>
        <w:t xml:space="preserve"> </w:t>
      </w:r>
      <w:r w:rsidR="008518B0" w:rsidRPr="00B004EE">
        <w:rPr>
          <w:rFonts w:ascii="Tahoma" w:hAnsi="Tahoma" w:cs="Tahoma"/>
          <w:spacing w:val="3"/>
          <w:sz w:val="20"/>
          <w:szCs w:val="20"/>
        </w:rPr>
        <w:t>t</w:t>
      </w:r>
      <w:r w:rsidR="00FF661D" w:rsidRPr="00B004EE">
        <w:rPr>
          <w:rFonts w:ascii="Tahoma" w:hAnsi="Tahoma" w:cs="Tahoma"/>
          <w:spacing w:val="3"/>
          <w:sz w:val="20"/>
          <w:szCs w:val="20"/>
        </w:rPr>
        <w:t xml:space="preserve">ransparentes pour les produits, </w:t>
      </w:r>
      <w:r w:rsidR="008518B0" w:rsidRPr="00B004EE">
        <w:rPr>
          <w:rFonts w:ascii="Tahoma" w:hAnsi="Tahoma" w:cs="Tahoma"/>
          <w:spacing w:val="3"/>
          <w:sz w:val="20"/>
          <w:szCs w:val="20"/>
        </w:rPr>
        <w:t>les</w:t>
      </w:r>
      <w:r w:rsidR="00DB1635" w:rsidRPr="00B004EE">
        <w:rPr>
          <w:rFonts w:ascii="Tahoma" w:hAnsi="Tahoma" w:cs="Tahoma"/>
          <w:spacing w:val="3"/>
          <w:sz w:val="20"/>
          <w:szCs w:val="20"/>
        </w:rPr>
        <w:t xml:space="preserve"> </w:t>
      </w:r>
      <w:r w:rsidR="008518B0" w:rsidRPr="00B004EE">
        <w:rPr>
          <w:rFonts w:ascii="Tahoma" w:hAnsi="Tahoma" w:cs="Tahoma"/>
          <w:spacing w:val="3"/>
          <w:sz w:val="20"/>
          <w:szCs w:val="20"/>
        </w:rPr>
        <w:t>établissements</w:t>
      </w:r>
      <w:r w:rsidR="00DB1635" w:rsidRPr="00B004EE">
        <w:rPr>
          <w:rFonts w:ascii="Tahoma" w:hAnsi="Tahoma" w:cs="Tahoma"/>
          <w:spacing w:val="3"/>
          <w:sz w:val="20"/>
          <w:szCs w:val="20"/>
        </w:rPr>
        <w:t xml:space="preserve"> </w:t>
      </w:r>
      <w:r w:rsidR="008518B0" w:rsidRPr="00B004EE">
        <w:rPr>
          <w:rFonts w:ascii="Tahoma" w:hAnsi="Tahoma" w:cs="Tahoma"/>
          <w:spacing w:val="3"/>
          <w:sz w:val="20"/>
          <w:szCs w:val="20"/>
        </w:rPr>
        <w:t>et</w:t>
      </w:r>
      <w:r w:rsidR="00DB1635" w:rsidRPr="00B004EE">
        <w:rPr>
          <w:rFonts w:ascii="Tahoma" w:hAnsi="Tahoma" w:cs="Tahoma"/>
          <w:spacing w:val="3"/>
          <w:sz w:val="20"/>
          <w:szCs w:val="20"/>
        </w:rPr>
        <w:t xml:space="preserve"> </w:t>
      </w:r>
      <w:r w:rsidR="008518B0" w:rsidRPr="00B004EE">
        <w:rPr>
          <w:rFonts w:ascii="Tahoma" w:hAnsi="Tahoma" w:cs="Tahoma"/>
          <w:spacing w:val="3"/>
          <w:sz w:val="20"/>
          <w:szCs w:val="20"/>
        </w:rPr>
        <w:t>les</w:t>
      </w:r>
      <w:r w:rsidR="00DB1635" w:rsidRPr="00B004EE">
        <w:rPr>
          <w:rFonts w:ascii="Tahoma" w:hAnsi="Tahoma" w:cs="Tahoma"/>
          <w:spacing w:val="3"/>
          <w:sz w:val="20"/>
          <w:szCs w:val="20"/>
        </w:rPr>
        <w:t xml:space="preserve"> </w:t>
      </w:r>
      <w:r w:rsidR="008518B0" w:rsidRPr="00B004EE">
        <w:rPr>
          <w:rFonts w:ascii="Tahoma" w:hAnsi="Tahoma" w:cs="Tahoma"/>
          <w:spacing w:val="3"/>
          <w:sz w:val="20"/>
          <w:szCs w:val="20"/>
        </w:rPr>
        <w:t>zones</w:t>
      </w:r>
      <w:r w:rsidR="00DB1635" w:rsidRPr="00B004EE">
        <w:rPr>
          <w:rFonts w:ascii="Tahoma" w:hAnsi="Tahoma" w:cs="Tahoma"/>
          <w:spacing w:val="3"/>
          <w:sz w:val="20"/>
          <w:szCs w:val="20"/>
        </w:rPr>
        <w:t xml:space="preserve"> </w:t>
      </w:r>
      <w:r w:rsidR="008518B0" w:rsidRPr="00B004EE">
        <w:rPr>
          <w:rFonts w:ascii="Tahoma" w:hAnsi="Tahoma" w:cs="Tahoma"/>
          <w:spacing w:val="3"/>
          <w:sz w:val="20"/>
          <w:szCs w:val="20"/>
        </w:rPr>
        <w:t>de</w:t>
      </w:r>
      <w:r w:rsidR="00DB1635" w:rsidRPr="00B004EE">
        <w:rPr>
          <w:rFonts w:ascii="Tahoma" w:hAnsi="Tahoma" w:cs="Tahoma"/>
          <w:spacing w:val="3"/>
          <w:sz w:val="20"/>
          <w:szCs w:val="20"/>
        </w:rPr>
        <w:t xml:space="preserve"> </w:t>
      </w:r>
      <w:r w:rsidR="008518B0" w:rsidRPr="00B004EE">
        <w:rPr>
          <w:rFonts w:ascii="Tahoma" w:hAnsi="Tahoma" w:cs="Tahoma"/>
          <w:spacing w:val="3"/>
          <w:sz w:val="20"/>
          <w:szCs w:val="20"/>
        </w:rPr>
        <w:t>production.</w:t>
      </w:r>
    </w:p>
    <w:p w14:paraId="01A42F67" w14:textId="687E684D" w:rsidR="008518B0" w:rsidRPr="00B004EE" w:rsidRDefault="008518B0" w:rsidP="00420DDA">
      <w:pPr>
        <w:pStyle w:val="Paragraphedeliste"/>
        <w:widowControl w:val="0"/>
        <w:numPr>
          <w:ilvl w:val="0"/>
          <w:numId w:val="149"/>
        </w:numPr>
        <w:tabs>
          <w:tab w:val="left" w:pos="1134"/>
        </w:tabs>
        <w:ind w:left="1134" w:right="163" w:hanging="425"/>
        <w:jc w:val="both"/>
        <w:rPr>
          <w:rFonts w:ascii="Tahoma" w:eastAsia="Times" w:hAnsi="Tahoma" w:cs="Tahoma"/>
          <w:sz w:val="20"/>
          <w:szCs w:val="20"/>
        </w:rPr>
      </w:pPr>
      <w:proofErr w:type="gramStart"/>
      <w:r w:rsidRPr="00B004EE">
        <w:rPr>
          <w:rFonts w:ascii="Tahoma" w:hAnsi="Tahoma" w:cs="Tahoma"/>
          <w:spacing w:val="5"/>
          <w:sz w:val="20"/>
          <w:szCs w:val="20"/>
        </w:rPr>
        <w:t>assurer</w:t>
      </w:r>
      <w:proofErr w:type="gramEnd"/>
      <w:r w:rsidR="00DB1635" w:rsidRPr="00B004EE">
        <w:rPr>
          <w:rFonts w:ascii="Tahoma" w:hAnsi="Tahoma" w:cs="Tahoma"/>
          <w:spacing w:val="5"/>
          <w:sz w:val="20"/>
          <w:szCs w:val="20"/>
        </w:rPr>
        <w:t xml:space="preserve"> </w:t>
      </w:r>
      <w:r w:rsidRPr="00B004EE">
        <w:rPr>
          <w:rFonts w:ascii="Tahoma" w:hAnsi="Tahoma" w:cs="Tahoma"/>
          <w:spacing w:val="3"/>
          <w:sz w:val="20"/>
          <w:szCs w:val="20"/>
        </w:rPr>
        <w:t>le</w:t>
      </w:r>
      <w:r w:rsidR="00DB1635" w:rsidRPr="00B004EE">
        <w:rPr>
          <w:rFonts w:ascii="Tahoma" w:hAnsi="Tahoma" w:cs="Tahoma"/>
          <w:spacing w:val="66"/>
          <w:sz w:val="20"/>
          <w:szCs w:val="20"/>
        </w:rPr>
        <w:t xml:space="preserve"> </w:t>
      </w:r>
      <w:r w:rsidRPr="00B004EE">
        <w:rPr>
          <w:rFonts w:ascii="Tahoma" w:hAnsi="Tahoma" w:cs="Tahoma"/>
          <w:spacing w:val="5"/>
          <w:sz w:val="20"/>
          <w:szCs w:val="20"/>
        </w:rPr>
        <w:t>contrôle</w:t>
      </w:r>
      <w:r w:rsidR="00DB1635" w:rsidRPr="00B004EE">
        <w:rPr>
          <w:rFonts w:ascii="Tahoma" w:hAnsi="Tahoma" w:cs="Tahoma"/>
          <w:spacing w:val="5"/>
          <w:sz w:val="20"/>
          <w:szCs w:val="20"/>
        </w:rPr>
        <w:t xml:space="preserve"> </w:t>
      </w:r>
      <w:r w:rsidRPr="00B004EE">
        <w:rPr>
          <w:rFonts w:ascii="Tahoma" w:hAnsi="Tahoma" w:cs="Tahoma"/>
          <w:spacing w:val="3"/>
          <w:sz w:val="20"/>
          <w:szCs w:val="20"/>
        </w:rPr>
        <w:t>de</w:t>
      </w:r>
      <w:r w:rsidR="00DB1635" w:rsidRPr="00B004EE">
        <w:rPr>
          <w:rFonts w:ascii="Tahoma" w:hAnsi="Tahoma" w:cs="Tahoma"/>
          <w:spacing w:val="3"/>
          <w:sz w:val="20"/>
          <w:szCs w:val="20"/>
        </w:rPr>
        <w:t xml:space="preserve"> </w:t>
      </w:r>
      <w:r w:rsidRPr="00B004EE">
        <w:rPr>
          <w:rFonts w:ascii="Tahoma" w:hAnsi="Tahoma" w:cs="Tahoma"/>
          <w:spacing w:val="5"/>
          <w:sz w:val="20"/>
          <w:szCs w:val="20"/>
        </w:rPr>
        <w:t>qualité</w:t>
      </w:r>
      <w:r w:rsidR="00DB1635" w:rsidRPr="00B004EE">
        <w:rPr>
          <w:rFonts w:ascii="Tahoma" w:hAnsi="Tahoma" w:cs="Tahoma"/>
          <w:spacing w:val="5"/>
          <w:sz w:val="20"/>
          <w:szCs w:val="20"/>
        </w:rPr>
        <w:t xml:space="preserve"> </w:t>
      </w:r>
      <w:r w:rsidRPr="00B004EE">
        <w:rPr>
          <w:rFonts w:ascii="Tahoma" w:hAnsi="Tahoma" w:cs="Tahoma"/>
          <w:spacing w:val="3"/>
          <w:sz w:val="20"/>
          <w:szCs w:val="20"/>
        </w:rPr>
        <w:t>et</w:t>
      </w:r>
      <w:r w:rsidR="00DB1635" w:rsidRPr="00B004EE">
        <w:rPr>
          <w:rFonts w:ascii="Tahoma" w:hAnsi="Tahoma" w:cs="Tahoma"/>
          <w:spacing w:val="3"/>
          <w:sz w:val="20"/>
          <w:szCs w:val="20"/>
        </w:rPr>
        <w:t xml:space="preserve"> </w:t>
      </w:r>
      <w:r w:rsidRPr="00B004EE">
        <w:rPr>
          <w:rFonts w:ascii="Tahoma" w:hAnsi="Tahoma" w:cs="Tahoma"/>
          <w:spacing w:val="3"/>
          <w:sz w:val="20"/>
          <w:szCs w:val="20"/>
        </w:rPr>
        <w:t>de</w:t>
      </w:r>
      <w:r w:rsidR="00DB1635" w:rsidRPr="00B004EE">
        <w:rPr>
          <w:rFonts w:ascii="Tahoma" w:hAnsi="Tahoma" w:cs="Tahoma"/>
          <w:spacing w:val="3"/>
          <w:sz w:val="20"/>
          <w:szCs w:val="20"/>
        </w:rPr>
        <w:t xml:space="preserve"> </w:t>
      </w:r>
      <w:r w:rsidRPr="00B004EE">
        <w:rPr>
          <w:rFonts w:ascii="Tahoma" w:hAnsi="Tahoma" w:cs="Tahoma"/>
          <w:spacing w:val="2"/>
          <w:sz w:val="20"/>
          <w:szCs w:val="20"/>
        </w:rPr>
        <w:t>salubrité</w:t>
      </w:r>
      <w:r w:rsidR="00DB1635" w:rsidRPr="00B004EE">
        <w:rPr>
          <w:rFonts w:ascii="Tahoma" w:hAnsi="Tahoma" w:cs="Tahoma"/>
          <w:spacing w:val="2"/>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pacing w:val="2"/>
          <w:sz w:val="20"/>
          <w:szCs w:val="20"/>
        </w:rPr>
        <w:t>produits,</w:t>
      </w:r>
      <w:r w:rsidR="00DB1635" w:rsidRPr="00B004EE">
        <w:rPr>
          <w:rFonts w:ascii="Tahoma" w:hAnsi="Tahoma" w:cs="Tahoma"/>
          <w:spacing w:val="2"/>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pacing w:val="2"/>
          <w:sz w:val="20"/>
          <w:szCs w:val="20"/>
        </w:rPr>
        <w:t>établissements;</w:t>
      </w:r>
      <w:r w:rsidR="00DB1635" w:rsidRPr="00B004EE">
        <w:rPr>
          <w:rFonts w:ascii="Tahoma" w:hAnsi="Tahoma" w:cs="Tahoma"/>
          <w:w w:val="99"/>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zones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pacing w:val="-2"/>
          <w:sz w:val="20"/>
          <w:szCs w:val="20"/>
        </w:rPr>
        <w:t xml:space="preserve"> </w:t>
      </w:r>
      <w:r w:rsidRPr="00B004EE">
        <w:rPr>
          <w:rFonts w:ascii="Tahoma" w:hAnsi="Tahoma" w:cs="Tahoma"/>
          <w:sz w:val="20"/>
          <w:szCs w:val="20"/>
        </w:rPr>
        <w:t>production;</w:t>
      </w:r>
    </w:p>
    <w:p w14:paraId="12BB3F30" w14:textId="4906F864" w:rsidR="008518B0" w:rsidRPr="00B004EE" w:rsidRDefault="008518B0" w:rsidP="00420DDA">
      <w:pPr>
        <w:pStyle w:val="Paragraphedeliste"/>
        <w:widowControl w:val="0"/>
        <w:numPr>
          <w:ilvl w:val="0"/>
          <w:numId w:val="149"/>
        </w:numPr>
        <w:tabs>
          <w:tab w:val="left" w:pos="1134"/>
        </w:tabs>
        <w:ind w:left="1134" w:right="169" w:hanging="425"/>
        <w:jc w:val="both"/>
        <w:rPr>
          <w:rFonts w:ascii="Tahoma" w:eastAsia="Times" w:hAnsi="Tahoma" w:cs="Tahoma"/>
          <w:sz w:val="20"/>
          <w:szCs w:val="20"/>
        </w:rPr>
      </w:pPr>
      <w:proofErr w:type="gramStart"/>
      <w:r w:rsidRPr="00B004EE">
        <w:rPr>
          <w:rFonts w:ascii="Tahoma" w:hAnsi="Tahoma" w:cs="Tahoma"/>
          <w:sz w:val="20"/>
          <w:szCs w:val="20"/>
        </w:rPr>
        <w:t>faire</w:t>
      </w:r>
      <w:proofErr w:type="gramEnd"/>
      <w:r w:rsidR="00DB1635" w:rsidRPr="00B004EE">
        <w:rPr>
          <w:rFonts w:ascii="Tahoma" w:hAnsi="Tahoma" w:cs="Tahoma"/>
          <w:sz w:val="20"/>
          <w:szCs w:val="20"/>
        </w:rPr>
        <w:t xml:space="preserve"> </w:t>
      </w:r>
      <w:r w:rsidRPr="00B004EE">
        <w:rPr>
          <w:rFonts w:ascii="Tahoma" w:hAnsi="Tahoma" w:cs="Tahoma"/>
          <w:sz w:val="20"/>
          <w:szCs w:val="20"/>
        </w:rPr>
        <w:t>effectuer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analyses</w:t>
      </w:r>
      <w:r w:rsidR="00DB1635" w:rsidRPr="00B004EE">
        <w:rPr>
          <w:rFonts w:ascii="Tahoma" w:hAnsi="Tahoma" w:cs="Tahoma"/>
          <w:sz w:val="20"/>
          <w:szCs w:val="20"/>
        </w:rPr>
        <w:t xml:space="preserve"> </w:t>
      </w:r>
      <w:r w:rsidRPr="00B004EE">
        <w:rPr>
          <w:rFonts w:ascii="Tahoma" w:hAnsi="Tahoma" w:cs="Tahoma"/>
          <w:sz w:val="20"/>
          <w:szCs w:val="20"/>
        </w:rPr>
        <w:t>sur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pacing w:val="8"/>
          <w:sz w:val="20"/>
          <w:szCs w:val="20"/>
        </w:rPr>
        <w:t>produits,</w:t>
      </w:r>
      <w:r w:rsidR="00DB1635" w:rsidRPr="00B004EE">
        <w:rPr>
          <w:rFonts w:ascii="Tahoma" w:hAnsi="Tahoma" w:cs="Tahoma"/>
          <w:spacing w:val="8"/>
          <w:sz w:val="20"/>
          <w:szCs w:val="20"/>
        </w:rPr>
        <w:t xml:space="preserve"> </w:t>
      </w:r>
      <w:r w:rsidRPr="00B004EE">
        <w:rPr>
          <w:rFonts w:ascii="Tahoma" w:hAnsi="Tahoma" w:cs="Tahoma"/>
          <w:spacing w:val="7"/>
          <w:sz w:val="20"/>
          <w:szCs w:val="20"/>
        </w:rPr>
        <w:t>l'eau</w:t>
      </w:r>
      <w:r w:rsidR="00DB1635" w:rsidRPr="00B004EE">
        <w:rPr>
          <w:rFonts w:ascii="Tahoma" w:hAnsi="Tahoma" w:cs="Tahoma"/>
          <w:spacing w:val="7"/>
          <w:sz w:val="20"/>
          <w:szCs w:val="20"/>
        </w:rPr>
        <w:t xml:space="preserve"> </w:t>
      </w:r>
      <w:r w:rsidRPr="00B004EE">
        <w:rPr>
          <w:rFonts w:ascii="Tahoma" w:hAnsi="Tahoma" w:cs="Tahoma"/>
          <w:spacing w:val="6"/>
          <w:sz w:val="20"/>
          <w:szCs w:val="20"/>
        </w:rPr>
        <w:t>de</w:t>
      </w:r>
      <w:r w:rsidR="00DB1635" w:rsidRPr="00B004EE">
        <w:rPr>
          <w:rFonts w:ascii="Tahoma" w:hAnsi="Tahoma" w:cs="Tahoma"/>
          <w:spacing w:val="6"/>
          <w:sz w:val="20"/>
          <w:szCs w:val="20"/>
        </w:rPr>
        <w:t xml:space="preserve"> </w:t>
      </w:r>
      <w:r w:rsidRPr="00B004EE">
        <w:rPr>
          <w:rFonts w:ascii="Tahoma" w:hAnsi="Tahoma" w:cs="Tahoma"/>
          <w:spacing w:val="8"/>
          <w:sz w:val="20"/>
          <w:szCs w:val="20"/>
        </w:rPr>
        <w:t>traitement</w:t>
      </w:r>
      <w:r w:rsidR="00DB1635" w:rsidRPr="00B004EE">
        <w:rPr>
          <w:rFonts w:ascii="Tahoma" w:hAnsi="Tahoma" w:cs="Tahoma"/>
          <w:spacing w:val="8"/>
          <w:sz w:val="20"/>
          <w:szCs w:val="20"/>
        </w:rPr>
        <w:t xml:space="preserve"> </w:t>
      </w:r>
      <w:r w:rsidRPr="00B004EE">
        <w:rPr>
          <w:rFonts w:ascii="Tahoma" w:hAnsi="Tahoma" w:cs="Tahoma"/>
          <w:spacing w:val="4"/>
          <w:sz w:val="20"/>
          <w:szCs w:val="20"/>
        </w:rPr>
        <w:t>et</w:t>
      </w:r>
      <w:r w:rsidR="00DB1635" w:rsidRPr="00B004EE">
        <w:rPr>
          <w:rFonts w:ascii="Tahoma" w:hAnsi="Tahoma" w:cs="Tahoma"/>
          <w:spacing w:val="4"/>
          <w:sz w:val="20"/>
          <w:szCs w:val="20"/>
        </w:rPr>
        <w:t xml:space="preserve"> </w:t>
      </w:r>
      <w:r w:rsidRPr="00B004EE">
        <w:rPr>
          <w:rFonts w:ascii="Tahoma" w:hAnsi="Tahoma" w:cs="Tahoma"/>
          <w:spacing w:val="6"/>
          <w:sz w:val="20"/>
          <w:szCs w:val="20"/>
        </w:rPr>
        <w:t>la</w:t>
      </w:r>
      <w:r w:rsidR="00DB1635" w:rsidRPr="00B004EE">
        <w:rPr>
          <w:rFonts w:ascii="Tahoma" w:hAnsi="Tahoma" w:cs="Tahoma"/>
          <w:spacing w:val="6"/>
          <w:sz w:val="20"/>
          <w:szCs w:val="20"/>
        </w:rPr>
        <w:t xml:space="preserve"> </w:t>
      </w:r>
      <w:r w:rsidRPr="00B004EE">
        <w:rPr>
          <w:rFonts w:ascii="Tahoma" w:hAnsi="Tahoma" w:cs="Tahoma"/>
          <w:spacing w:val="7"/>
          <w:sz w:val="20"/>
          <w:szCs w:val="20"/>
        </w:rPr>
        <w:t>glace</w:t>
      </w:r>
      <w:r w:rsidR="00DB1635" w:rsidRPr="00B004EE">
        <w:rPr>
          <w:rFonts w:ascii="Tahoma" w:hAnsi="Tahoma" w:cs="Tahoma"/>
          <w:w w:val="99"/>
          <w:sz w:val="20"/>
          <w:szCs w:val="20"/>
        </w:rPr>
        <w:t xml:space="preserve"> </w:t>
      </w:r>
      <w:r w:rsidRPr="00B004EE">
        <w:rPr>
          <w:rFonts w:ascii="Tahoma" w:hAnsi="Tahoma" w:cs="Tahoma"/>
          <w:sz w:val="20"/>
          <w:szCs w:val="20"/>
        </w:rPr>
        <w:t>utilisée</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pacing w:val="-3"/>
          <w:sz w:val="20"/>
          <w:szCs w:val="20"/>
        </w:rPr>
        <w:t xml:space="preserve"> </w:t>
      </w:r>
      <w:r w:rsidRPr="00B004EE">
        <w:rPr>
          <w:rFonts w:ascii="Tahoma" w:hAnsi="Tahoma" w:cs="Tahoma"/>
          <w:sz w:val="20"/>
          <w:szCs w:val="20"/>
        </w:rPr>
        <w:t>production;</w:t>
      </w:r>
    </w:p>
    <w:p w14:paraId="3473D3D4" w14:textId="22EA94EB" w:rsidR="008518B0" w:rsidRPr="00B004EE" w:rsidRDefault="008518B0" w:rsidP="00420DDA">
      <w:pPr>
        <w:pStyle w:val="Paragraphedeliste"/>
        <w:widowControl w:val="0"/>
        <w:numPr>
          <w:ilvl w:val="0"/>
          <w:numId w:val="149"/>
        </w:numPr>
        <w:tabs>
          <w:tab w:val="left" w:pos="1134"/>
        </w:tabs>
        <w:ind w:left="1134" w:right="194" w:hanging="425"/>
        <w:rPr>
          <w:rFonts w:ascii="Tahoma" w:eastAsia="Times" w:hAnsi="Tahoma" w:cs="Tahoma"/>
          <w:sz w:val="20"/>
          <w:szCs w:val="20"/>
        </w:rPr>
      </w:pPr>
      <w:proofErr w:type="gramStart"/>
      <w:r w:rsidRPr="00B004EE">
        <w:rPr>
          <w:rFonts w:ascii="Tahoma" w:hAnsi="Tahoma" w:cs="Tahoma"/>
          <w:spacing w:val="3"/>
          <w:sz w:val="20"/>
          <w:szCs w:val="20"/>
        </w:rPr>
        <w:t>assurer</w:t>
      </w:r>
      <w:proofErr w:type="gramEnd"/>
      <w:r w:rsidR="00DB1635" w:rsidRPr="00B004EE">
        <w:rPr>
          <w:rFonts w:ascii="Tahoma" w:hAnsi="Tahoma" w:cs="Tahoma"/>
          <w:spacing w:val="3"/>
          <w:sz w:val="20"/>
          <w:szCs w:val="20"/>
        </w:rPr>
        <w:t xml:space="preserve"> </w:t>
      </w:r>
      <w:r w:rsidRPr="00B004EE">
        <w:rPr>
          <w:rFonts w:ascii="Tahoma" w:hAnsi="Tahoma" w:cs="Tahoma"/>
          <w:spacing w:val="2"/>
          <w:sz w:val="20"/>
          <w:szCs w:val="20"/>
        </w:rPr>
        <w:t>le</w:t>
      </w:r>
      <w:r w:rsidR="00DB1635" w:rsidRPr="00B004EE">
        <w:rPr>
          <w:rFonts w:ascii="Tahoma" w:hAnsi="Tahoma" w:cs="Tahoma"/>
          <w:spacing w:val="2"/>
          <w:sz w:val="20"/>
          <w:szCs w:val="20"/>
        </w:rPr>
        <w:t xml:space="preserve"> </w:t>
      </w:r>
      <w:r w:rsidRPr="00B004EE">
        <w:rPr>
          <w:rFonts w:ascii="Tahoma" w:hAnsi="Tahoma" w:cs="Tahoma"/>
          <w:spacing w:val="3"/>
          <w:sz w:val="20"/>
          <w:szCs w:val="20"/>
        </w:rPr>
        <w:t>contrôle</w:t>
      </w:r>
      <w:r w:rsidR="00DB1635" w:rsidRPr="00B004EE">
        <w:rPr>
          <w:rFonts w:ascii="Tahoma" w:hAnsi="Tahoma" w:cs="Tahoma"/>
          <w:spacing w:val="3"/>
          <w:sz w:val="20"/>
          <w:szCs w:val="20"/>
        </w:rPr>
        <w:t xml:space="preserve"> </w:t>
      </w:r>
      <w:r w:rsidRPr="00B004EE">
        <w:rPr>
          <w:rFonts w:ascii="Tahoma" w:hAnsi="Tahoma" w:cs="Tahoma"/>
          <w:spacing w:val="2"/>
          <w:sz w:val="20"/>
          <w:szCs w:val="20"/>
        </w:rPr>
        <w:t>des</w:t>
      </w:r>
      <w:r w:rsidR="00DB1635" w:rsidRPr="00B004EE">
        <w:rPr>
          <w:rFonts w:ascii="Tahoma" w:hAnsi="Tahoma" w:cs="Tahoma"/>
          <w:spacing w:val="2"/>
          <w:sz w:val="20"/>
          <w:szCs w:val="20"/>
        </w:rPr>
        <w:t xml:space="preserve"> </w:t>
      </w:r>
      <w:r w:rsidRPr="00B004EE">
        <w:rPr>
          <w:rFonts w:ascii="Tahoma" w:hAnsi="Tahoma" w:cs="Tahoma"/>
          <w:spacing w:val="3"/>
          <w:sz w:val="20"/>
          <w:szCs w:val="20"/>
        </w:rPr>
        <w:t>autocontrôles</w:t>
      </w:r>
      <w:r w:rsidR="00DB1635" w:rsidRPr="00B004EE">
        <w:rPr>
          <w:rFonts w:ascii="Tahoma" w:hAnsi="Tahoma" w:cs="Tahoma"/>
          <w:spacing w:val="3"/>
          <w:sz w:val="20"/>
          <w:szCs w:val="20"/>
        </w:rPr>
        <w:t xml:space="preserve"> </w:t>
      </w:r>
      <w:r w:rsidRPr="00B004EE">
        <w:rPr>
          <w:rFonts w:ascii="Tahoma" w:hAnsi="Tahoma" w:cs="Tahoma"/>
          <w:sz w:val="20"/>
          <w:szCs w:val="20"/>
        </w:rPr>
        <w:t>appliqués</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pacing w:val="7"/>
          <w:sz w:val="20"/>
          <w:szCs w:val="20"/>
        </w:rPr>
        <w:t xml:space="preserve"> </w:t>
      </w:r>
      <w:r w:rsidRPr="00B004EE">
        <w:rPr>
          <w:rFonts w:ascii="Tahoma" w:hAnsi="Tahoma" w:cs="Tahoma"/>
          <w:sz w:val="20"/>
          <w:szCs w:val="20"/>
        </w:rPr>
        <w:t>établissements;</w:t>
      </w:r>
    </w:p>
    <w:p w14:paraId="5A92449E" w14:textId="6410C7B1" w:rsidR="008518B0" w:rsidRPr="00B004EE" w:rsidRDefault="008518B0" w:rsidP="00420DDA">
      <w:pPr>
        <w:pStyle w:val="Paragraphedeliste"/>
        <w:widowControl w:val="0"/>
        <w:numPr>
          <w:ilvl w:val="0"/>
          <w:numId w:val="149"/>
        </w:numPr>
        <w:tabs>
          <w:tab w:val="left" w:pos="1134"/>
        </w:tabs>
        <w:ind w:left="1134" w:right="159" w:hanging="425"/>
        <w:jc w:val="both"/>
        <w:rPr>
          <w:rFonts w:ascii="Tahoma" w:hAnsi="Tahoma" w:cs="Tahoma"/>
          <w:bCs/>
          <w:sz w:val="20"/>
          <w:szCs w:val="20"/>
        </w:rPr>
      </w:pPr>
      <w:proofErr w:type="gramStart"/>
      <w:r w:rsidRPr="00B004EE">
        <w:rPr>
          <w:rFonts w:ascii="Tahoma" w:hAnsi="Tahoma" w:cs="Tahoma"/>
          <w:bCs/>
          <w:sz w:val="20"/>
          <w:szCs w:val="20"/>
        </w:rPr>
        <w:t>délivrer</w:t>
      </w:r>
      <w:proofErr w:type="gramEnd"/>
      <w:r w:rsidR="00DB1635" w:rsidRPr="00B004EE">
        <w:rPr>
          <w:rFonts w:ascii="Tahoma" w:hAnsi="Tahoma" w:cs="Tahoma"/>
          <w:bCs/>
          <w:sz w:val="20"/>
          <w:szCs w:val="20"/>
        </w:rPr>
        <w:t xml:space="preserve"> </w:t>
      </w:r>
      <w:r w:rsidRPr="00B004EE">
        <w:rPr>
          <w:rFonts w:ascii="Tahoma" w:hAnsi="Tahoma" w:cs="Tahoma"/>
          <w:bCs/>
          <w:sz w:val="20"/>
          <w:szCs w:val="20"/>
        </w:rPr>
        <w:t>les</w:t>
      </w:r>
      <w:r w:rsidR="00DB1635" w:rsidRPr="00B004EE">
        <w:rPr>
          <w:rFonts w:ascii="Tahoma" w:hAnsi="Tahoma" w:cs="Tahoma"/>
          <w:bCs/>
          <w:sz w:val="20"/>
          <w:szCs w:val="20"/>
        </w:rPr>
        <w:t xml:space="preserve"> </w:t>
      </w:r>
      <w:r w:rsidRPr="00B004EE">
        <w:rPr>
          <w:rFonts w:ascii="Tahoma" w:hAnsi="Tahoma" w:cs="Tahoma"/>
          <w:bCs/>
          <w:sz w:val="20"/>
          <w:szCs w:val="20"/>
        </w:rPr>
        <w:t>certificats</w:t>
      </w:r>
      <w:r w:rsidR="00DB1635" w:rsidRPr="00B004EE">
        <w:rPr>
          <w:rFonts w:ascii="Tahoma" w:hAnsi="Tahoma" w:cs="Tahoma"/>
          <w:bCs/>
          <w:sz w:val="20"/>
          <w:szCs w:val="20"/>
        </w:rPr>
        <w:t xml:space="preserve"> </w:t>
      </w:r>
      <w:r w:rsidRPr="00B004EE">
        <w:rPr>
          <w:rFonts w:ascii="Tahoma" w:hAnsi="Tahoma" w:cs="Tahoma"/>
          <w:bCs/>
          <w:sz w:val="20"/>
          <w:szCs w:val="20"/>
        </w:rPr>
        <w:t>sanitaires</w:t>
      </w:r>
      <w:r w:rsidR="00DB1635" w:rsidRPr="00B004EE">
        <w:rPr>
          <w:rFonts w:ascii="Tahoma" w:hAnsi="Tahoma" w:cs="Tahoma"/>
          <w:bCs/>
          <w:sz w:val="20"/>
          <w:szCs w:val="20"/>
        </w:rPr>
        <w:t xml:space="preserve"> </w:t>
      </w:r>
      <w:r w:rsidRPr="00B004EE">
        <w:rPr>
          <w:rFonts w:ascii="Tahoma" w:hAnsi="Tahoma" w:cs="Tahoma"/>
          <w:bCs/>
          <w:sz w:val="20"/>
          <w:szCs w:val="20"/>
        </w:rPr>
        <w:t>pour</w:t>
      </w:r>
      <w:r w:rsidR="00DB1635" w:rsidRPr="00B004EE">
        <w:rPr>
          <w:rFonts w:ascii="Tahoma" w:hAnsi="Tahoma" w:cs="Tahoma"/>
          <w:bCs/>
          <w:sz w:val="20"/>
          <w:szCs w:val="20"/>
        </w:rPr>
        <w:t xml:space="preserve"> </w:t>
      </w:r>
      <w:r w:rsidRPr="00B004EE">
        <w:rPr>
          <w:rFonts w:ascii="Tahoma" w:hAnsi="Tahoma" w:cs="Tahoma"/>
          <w:bCs/>
          <w:sz w:val="20"/>
          <w:szCs w:val="20"/>
        </w:rPr>
        <w:t>l'expédition</w:t>
      </w:r>
      <w:r w:rsidR="00DB1635" w:rsidRPr="00B004EE">
        <w:rPr>
          <w:rFonts w:ascii="Tahoma" w:hAnsi="Tahoma" w:cs="Tahoma"/>
          <w:bCs/>
          <w:sz w:val="20"/>
          <w:szCs w:val="20"/>
        </w:rPr>
        <w:t xml:space="preserve"> </w:t>
      </w:r>
      <w:r w:rsidRPr="00B004EE">
        <w:rPr>
          <w:rFonts w:ascii="Tahoma" w:hAnsi="Tahoma" w:cs="Tahoma"/>
          <w:bCs/>
          <w:sz w:val="20"/>
          <w:szCs w:val="20"/>
        </w:rPr>
        <w:t>à</w:t>
      </w:r>
      <w:r w:rsidR="00DB1635" w:rsidRPr="00B004EE">
        <w:rPr>
          <w:rFonts w:ascii="Tahoma" w:hAnsi="Tahoma" w:cs="Tahoma"/>
          <w:bCs/>
          <w:sz w:val="20"/>
          <w:szCs w:val="20"/>
        </w:rPr>
        <w:t xml:space="preserve"> </w:t>
      </w:r>
      <w:r w:rsidRPr="00B004EE">
        <w:rPr>
          <w:rFonts w:ascii="Tahoma" w:hAnsi="Tahoma" w:cs="Tahoma"/>
          <w:bCs/>
          <w:sz w:val="20"/>
          <w:szCs w:val="20"/>
        </w:rPr>
        <w:t>l'intérieur</w:t>
      </w:r>
      <w:r w:rsidR="00DB1635" w:rsidRPr="00B004EE">
        <w:rPr>
          <w:rFonts w:ascii="Tahoma" w:hAnsi="Tahoma" w:cs="Tahoma"/>
          <w:bCs/>
          <w:sz w:val="20"/>
          <w:szCs w:val="20"/>
        </w:rPr>
        <w:t xml:space="preserve"> </w:t>
      </w:r>
      <w:r w:rsidRPr="00B004EE">
        <w:rPr>
          <w:rFonts w:ascii="Tahoma" w:hAnsi="Tahoma" w:cs="Tahoma"/>
          <w:bCs/>
          <w:sz w:val="20"/>
          <w:szCs w:val="20"/>
        </w:rPr>
        <w:t>du</w:t>
      </w:r>
      <w:r w:rsidR="00DB1635" w:rsidRPr="00B004EE">
        <w:rPr>
          <w:rFonts w:ascii="Tahoma" w:hAnsi="Tahoma" w:cs="Tahoma"/>
          <w:bCs/>
          <w:sz w:val="20"/>
          <w:szCs w:val="20"/>
        </w:rPr>
        <w:t xml:space="preserve"> </w:t>
      </w:r>
      <w:r w:rsidRPr="00B004EE">
        <w:rPr>
          <w:rFonts w:ascii="Tahoma" w:hAnsi="Tahoma" w:cs="Tahoma"/>
          <w:bCs/>
          <w:sz w:val="20"/>
          <w:szCs w:val="20"/>
        </w:rPr>
        <w:t>pays</w:t>
      </w:r>
      <w:r w:rsidR="00DB1635" w:rsidRPr="00B004EE">
        <w:rPr>
          <w:rFonts w:ascii="Tahoma" w:hAnsi="Tahoma" w:cs="Tahoma"/>
          <w:bCs/>
          <w:sz w:val="20"/>
          <w:szCs w:val="20"/>
        </w:rPr>
        <w:t xml:space="preserve"> </w:t>
      </w:r>
      <w:r w:rsidRPr="00B004EE">
        <w:rPr>
          <w:rFonts w:ascii="Tahoma" w:hAnsi="Tahoma" w:cs="Tahoma"/>
          <w:bCs/>
          <w:sz w:val="20"/>
          <w:szCs w:val="20"/>
        </w:rPr>
        <w:t>et</w:t>
      </w:r>
      <w:r w:rsidR="00DB1635" w:rsidRPr="00B004EE">
        <w:rPr>
          <w:rFonts w:ascii="Tahoma" w:hAnsi="Tahoma" w:cs="Tahoma"/>
          <w:bCs/>
          <w:sz w:val="20"/>
          <w:szCs w:val="20"/>
        </w:rPr>
        <w:t xml:space="preserve"> </w:t>
      </w:r>
      <w:r w:rsidRPr="00B004EE">
        <w:rPr>
          <w:rFonts w:ascii="Tahoma" w:hAnsi="Tahoma" w:cs="Tahoma"/>
          <w:bCs/>
          <w:sz w:val="20"/>
          <w:szCs w:val="20"/>
        </w:rPr>
        <w:t>pour</w:t>
      </w:r>
      <w:r w:rsidR="00DB1635" w:rsidRPr="00B004EE">
        <w:rPr>
          <w:rFonts w:ascii="Tahoma" w:hAnsi="Tahoma" w:cs="Tahoma"/>
          <w:bCs/>
          <w:sz w:val="20"/>
          <w:szCs w:val="20"/>
        </w:rPr>
        <w:t xml:space="preserve"> </w:t>
      </w:r>
      <w:r w:rsidRPr="00B004EE">
        <w:rPr>
          <w:rFonts w:ascii="Tahoma" w:hAnsi="Tahoma" w:cs="Tahoma"/>
          <w:bCs/>
          <w:sz w:val="20"/>
          <w:szCs w:val="20"/>
        </w:rPr>
        <w:t>l'exportation</w:t>
      </w:r>
      <w:r w:rsidR="00DB1635" w:rsidRPr="00B004EE">
        <w:rPr>
          <w:rFonts w:ascii="Tahoma" w:hAnsi="Tahoma" w:cs="Tahoma"/>
          <w:bCs/>
          <w:sz w:val="20"/>
          <w:szCs w:val="20"/>
        </w:rPr>
        <w:t xml:space="preserve"> </w:t>
      </w:r>
      <w:r w:rsidRPr="00B004EE">
        <w:rPr>
          <w:rFonts w:ascii="Tahoma" w:hAnsi="Tahoma" w:cs="Tahoma"/>
          <w:bCs/>
          <w:sz w:val="20"/>
          <w:szCs w:val="20"/>
        </w:rPr>
        <w:t>des</w:t>
      </w:r>
      <w:r w:rsidR="00DB1635" w:rsidRPr="00B004EE">
        <w:rPr>
          <w:rFonts w:ascii="Tahoma" w:hAnsi="Tahoma" w:cs="Tahoma"/>
          <w:bCs/>
          <w:sz w:val="20"/>
          <w:szCs w:val="20"/>
        </w:rPr>
        <w:t xml:space="preserve"> </w:t>
      </w:r>
      <w:r w:rsidRPr="00B004EE">
        <w:rPr>
          <w:rFonts w:ascii="Tahoma" w:hAnsi="Tahoma" w:cs="Tahoma"/>
          <w:bCs/>
          <w:sz w:val="20"/>
          <w:szCs w:val="20"/>
        </w:rPr>
        <w:t>produits</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pêche;</w:t>
      </w:r>
    </w:p>
    <w:p w14:paraId="385F465D" w14:textId="308E27D0" w:rsidR="008518B0" w:rsidRPr="00B004EE" w:rsidRDefault="008518B0" w:rsidP="00420DDA">
      <w:pPr>
        <w:pStyle w:val="Paragraphedeliste"/>
        <w:widowControl w:val="0"/>
        <w:numPr>
          <w:ilvl w:val="0"/>
          <w:numId w:val="149"/>
        </w:numPr>
        <w:tabs>
          <w:tab w:val="left" w:pos="1134"/>
        </w:tabs>
        <w:ind w:left="1134" w:right="159" w:hanging="425"/>
        <w:jc w:val="both"/>
        <w:rPr>
          <w:rFonts w:ascii="Tahoma" w:hAnsi="Tahoma" w:cs="Tahoma"/>
          <w:bCs/>
          <w:sz w:val="20"/>
          <w:szCs w:val="20"/>
        </w:rPr>
      </w:pPr>
      <w:proofErr w:type="gramStart"/>
      <w:r w:rsidRPr="00B004EE">
        <w:rPr>
          <w:rFonts w:ascii="Tahoma" w:hAnsi="Tahoma" w:cs="Tahoma"/>
          <w:bCs/>
          <w:sz w:val="20"/>
          <w:szCs w:val="20"/>
        </w:rPr>
        <w:t>contrôler</w:t>
      </w:r>
      <w:proofErr w:type="gramEnd"/>
      <w:r w:rsidR="00DB1635" w:rsidRPr="00B004EE">
        <w:rPr>
          <w:rFonts w:ascii="Tahoma" w:hAnsi="Tahoma" w:cs="Tahoma"/>
          <w:bCs/>
          <w:sz w:val="20"/>
          <w:szCs w:val="20"/>
        </w:rPr>
        <w:t xml:space="preserve"> </w:t>
      </w:r>
      <w:r w:rsidRPr="00B004EE">
        <w:rPr>
          <w:rFonts w:ascii="Tahoma" w:hAnsi="Tahoma" w:cs="Tahoma"/>
          <w:bCs/>
          <w:sz w:val="20"/>
          <w:szCs w:val="20"/>
        </w:rPr>
        <w:t>et</w:t>
      </w:r>
      <w:r w:rsidR="00DB1635" w:rsidRPr="00B004EE">
        <w:rPr>
          <w:rFonts w:ascii="Tahoma" w:hAnsi="Tahoma" w:cs="Tahoma"/>
          <w:bCs/>
          <w:sz w:val="20"/>
          <w:szCs w:val="20"/>
        </w:rPr>
        <w:t xml:space="preserve"> </w:t>
      </w:r>
      <w:r w:rsidRPr="00B004EE">
        <w:rPr>
          <w:rFonts w:ascii="Tahoma" w:hAnsi="Tahoma" w:cs="Tahoma"/>
          <w:bCs/>
          <w:sz w:val="20"/>
          <w:szCs w:val="20"/>
        </w:rPr>
        <w:t>inspecter</w:t>
      </w:r>
      <w:r w:rsidR="00DB1635" w:rsidRPr="00B004EE">
        <w:rPr>
          <w:rFonts w:ascii="Tahoma" w:hAnsi="Tahoma" w:cs="Tahoma"/>
          <w:bCs/>
          <w:sz w:val="20"/>
          <w:szCs w:val="20"/>
        </w:rPr>
        <w:t xml:space="preserve"> </w:t>
      </w:r>
      <w:r w:rsidRPr="00B004EE">
        <w:rPr>
          <w:rFonts w:ascii="Tahoma" w:hAnsi="Tahoma" w:cs="Tahoma"/>
          <w:bCs/>
          <w:sz w:val="20"/>
          <w:szCs w:val="20"/>
        </w:rPr>
        <w:t>les</w:t>
      </w:r>
      <w:r w:rsidR="00DB1635" w:rsidRPr="00B004EE">
        <w:rPr>
          <w:rFonts w:ascii="Tahoma" w:hAnsi="Tahoma" w:cs="Tahoma"/>
          <w:bCs/>
          <w:sz w:val="20"/>
          <w:szCs w:val="20"/>
        </w:rPr>
        <w:t xml:space="preserve"> </w:t>
      </w:r>
      <w:r w:rsidRPr="00B004EE">
        <w:rPr>
          <w:rFonts w:ascii="Tahoma" w:hAnsi="Tahoma" w:cs="Tahoma"/>
          <w:bCs/>
          <w:sz w:val="20"/>
          <w:szCs w:val="20"/>
        </w:rPr>
        <w:t>produits</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pêche</w:t>
      </w:r>
      <w:r w:rsidR="00DB1635" w:rsidRPr="00B004EE">
        <w:rPr>
          <w:rFonts w:ascii="Tahoma" w:hAnsi="Tahoma" w:cs="Tahoma"/>
          <w:bCs/>
          <w:sz w:val="20"/>
          <w:szCs w:val="20"/>
        </w:rPr>
        <w:t xml:space="preserve"> </w:t>
      </w:r>
      <w:r w:rsidRPr="00B004EE">
        <w:rPr>
          <w:rFonts w:ascii="Tahoma" w:hAnsi="Tahoma" w:cs="Tahoma"/>
          <w:bCs/>
          <w:sz w:val="20"/>
          <w:szCs w:val="20"/>
        </w:rPr>
        <w:t>et</w:t>
      </w:r>
      <w:r w:rsidR="00DB1635" w:rsidRPr="00B004EE">
        <w:rPr>
          <w:rFonts w:ascii="Tahoma" w:hAnsi="Tahoma" w:cs="Tahoma"/>
          <w:bCs/>
          <w:sz w:val="20"/>
          <w:szCs w:val="20"/>
        </w:rPr>
        <w:t xml:space="preserve"> </w:t>
      </w:r>
      <w:r w:rsidRPr="00B004EE">
        <w:rPr>
          <w:rFonts w:ascii="Tahoma" w:hAnsi="Tahoma" w:cs="Tahoma"/>
          <w:bCs/>
          <w:sz w:val="20"/>
          <w:szCs w:val="20"/>
        </w:rPr>
        <w:t>d'aquaculture</w:t>
      </w:r>
      <w:r w:rsidR="00DB1635" w:rsidRPr="00B004EE">
        <w:rPr>
          <w:rFonts w:ascii="Tahoma" w:hAnsi="Tahoma" w:cs="Tahoma"/>
          <w:bCs/>
          <w:sz w:val="20"/>
          <w:szCs w:val="20"/>
        </w:rPr>
        <w:t xml:space="preserve"> </w:t>
      </w:r>
      <w:r w:rsidRPr="00B004EE">
        <w:rPr>
          <w:rFonts w:ascii="Tahoma" w:hAnsi="Tahoma" w:cs="Tahoma"/>
          <w:bCs/>
          <w:sz w:val="20"/>
          <w:szCs w:val="20"/>
        </w:rPr>
        <w:t>mis</w:t>
      </w:r>
      <w:r w:rsidR="00DB1635" w:rsidRPr="00B004EE">
        <w:rPr>
          <w:rFonts w:ascii="Tahoma" w:hAnsi="Tahoma" w:cs="Tahoma"/>
          <w:bCs/>
          <w:sz w:val="20"/>
          <w:szCs w:val="20"/>
        </w:rPr>
        <w:t xml:space="preserve"> </w:t>
      </w:r>
      <w:r w:rsidRPr="00B004EE">
        <w:rPr>
          <w:rFonts w:ascii="Tahoma" w:hAnsi="Tahoma" w:cs="Tahoma"/>
          <w:bCs/>
          <w:sz w:val="20"/>
          <w:szCs w:val="20"/>
        </w:rPr>
        <w:t>sur</w:t>
      </w:r>
      <w:r w:rsidR="00DB1635" w:rsidRPr="00B004EE">
        <w:rPr>
          <w:rFonts w:ascii="Tahoma" w:hAnsi="Tahoma" w:cs="Tahoma"/>
          <w:bCs/>
          <w:sz w:val="20"/>
          <w:szCs w:val="20"/>
        </w:rPr>
        <w:t xml:space="preserve"> </w:t>
      </w:r>
      <w:r w:rsidRPr="00B004EE">
        <w:rPr>
          <w:rFonts w:ascii="Tahoma" w:hAnsi="Tahoma" w:cs="Tahoma"/>
          <w:bCs/>
          <w:sz w:val="20"/>
          <w:szCs w:val="20"/>
        </w:rPr>
        <w:t>le</w:t>
      </w:r>
      <w:r w:rsidR="00DB1635" w:rsidRPr="00B004EE">
        <w:rPr>
          <w:rFonts w:ascii="Tahoma" w:hAnsi="Tahoma" w:cs="Tahoma"/>
          <w:bCs/>
          <w:sz w:val="20"/>
          <w:szCs w:val="20"/>
        </w:rPr>
        <w:t xml:space="preserve"> </w:t>
      </w:r>
      <w:r w:rsidRPr="00B004EE">
        <w:rPr>
          <w:rFonts w:ascii="Tahoma" w:hAnsi="Tahoma" w:cs="Tahoma"/>
          <w:bCs/>
          <w:sz w:val="20"/>
          <w:szCs w:val="20"/>
        </w:rPr>
        <w:t>marché</w:t>
      </w:r>
      <w:r w:rsidR="00DB1635" w:rsidRPr="00B004EE">
        <w:rPr>
          <w:rFonts w:ascii="Tahoma" w:hAnsi="Tahoma" w:cs="Tahoma"/>
          <w:bCs/>
          <w:sz w:val="20"/>
          <w:szCs w:val="20"/>
        </w:rPr>
        <w:t xml:space="preserve"> </w:t>
      </w:r>
      <w:r w:rsidRPr="00B004EE">
        <w:rPr>
          <w:rFonts w:ascii="Tahoma" w:hAnsi="Tahoma" w:cs="Tahoma"/>
          <w:bCs/>
          <w:sz w:val="20"/>
          <w:szCs w:val="20"/>
        </w:rPr>
        <w:t>national;</w:t>
      </w:r>
    </w:p>
    <w:p w14:paraId="3A1B4197" w14:textId="0F81EE32" w:rsidR="008518B0" w:rsidRPr="00B004EE" w:rsidRDefault="008518B0" w:rsidP="00420DDA">
      <w:pPr>
        <w:pStyle w:val="Paragraphedeliste"/>
        <w:widowControl w:val="0"/>
        <w:numPr>
          <w:ilvl w:val="0"/>
          <w:numId w:val="149"/>
        </w:numPr>
        <w:tabs>
          <w:tab w:val="left" w:pos="1134"/>
        </w:tabs>
        <w:ind w:left="1134" w:right="159" w:hanging="425"/>
        <w:jc w:val="both"/>
        <w:rPr>
          <w:rFonts w:ascii="Tahoma" w:hAnsi="Tahoma" w:cs="Tahoma"/>
          <w:bCs/>
          <w:sz w:val="20"/>
          <w:szCs w:val="20"/>
        </w:rPr>
      </w:pPr>
      <w:proofErr w:type="gramStart"/>
      <w:r w:rsidRPr="00B004EE">
        <w:rPr>
          <w:rFonts w:ascii="Tahoma" w:hAnsi="Tahoma" w:cs="Tahoma"/>
          <w:bCs/>
          <w:sz w:val="20"/>
          <w:szCs w:val="20"/>
        </w:rPr>
        <w:t>évaluer</w:t>
      </w:r>
      <w:proofErr w:type="gramEnd"/>
      <w:r w:rsidR="00DB1635" w:rsidRPr="00B004EE">
        <w:rPr>
          <w:rFonts w:ascii="Tahoma" w:hAnsi="Tahoma" w:cs="Tahoma"/>
          <w:bCs/>
          <w:sz w:val="20"/>
          <w:szCs w:val="20"/>
        </w:rPr>
        <w:t xml:space="preserve"> </w:t>
      </w:r>
      <w:r w:rsidRPr="00B004EE">
        <w:rPr>
          <w:rFonts w:ascii="Tahoma" w:hAnsi="Tahoma" w:cs="Tahoma"/>
          <w:bCs/>
          <w:sz w:val="20"/>
          <w:szCs w:val="20"/>
        </w:rPr>
        <w:t>les</w:t>
      </w:r>
      <w:r w:rsidR="00DB1635" w:rsidRPr="00B004EE">
        <w:rPr>
          <w:rFonts w:ascii="Tahoma" w:hAnsi="Tahoma" w:cs="Tahoma"/>
          <w:bCs/>
          <w:sz w:val="20"/>
          <w:szCs w:val="20"/>
        </w:rPr>
        <w:t xml:space="preserve"> </w:t>
      </w:r>
      <w:r w:rsidRPr="00B004EE">
        <w:rPr>
          <w:rFonts w:ascii="Tahoma" w:hAnsi="Tahoma" w:cs="Tahoma"/>
          <w:bCs/>
          <w:sz w:val="20"/>
          <w:szCs w:val="20"/>
        </w:rPr>
        <w:t>établissements</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pêche</w:t>
      </w:r>
      <w:r w:rsidR="00DB1635" w:rsidRPr="00B004EE">
        <w:rPr>
          <w:rFonts w:ascii="Tahoma" w:hAnsi="Tahoma" w:cs="Tahoma"/>
          <w:bCs/>
          <w:sz w:val="20"/>
          <w:szCs w:val="20"/>
        </w:rPr>
        <w:t xml:space="preserve"> </w:t>
      </w:r>
      <w:r w:rsidRPr="00B004EE">
        <w:rPr>
          <w:rFonts w:ascii="Tahoma" w:hAnsi="Tahoma" w:cs="Tahoma"/>
          <w:bCs/>
          <w:sz w:val="20"/>
          <w:szCs w:val="20"/>
        </w:rPr>
        <w:t>en</w:t>
      </w:r>
      <w:r w:rsidR="00DB1635" w:rsidRPr="00B004EE">
        <w:rPr>
          <w:rFonts w:ascii="Tahoma" w:hAnsi="Tahoma" w:cs="Tahoma"/>
          <w:bCs/>
          <w:sz w:val="20"/>
          <w:szCs w:val="20"/>
        </w:rPr>
        <w:t xml:space="preserve"> </w:t>
      </w:r>
      <w:r w:rsidRPr="00B004EE">
        <w:rPr>
          <w:rFonts w:ascii="Tahoma" w:hAnsi="Tahoma" w:cs="Tahoma"/>
          <w:bCs/>
          <w:sz w:val="20"/>
          <w:szCs w:val="20"/>
        </w:rPr>
        <w:t>vue</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leur</w:t>
      </w:r>
      <w:r w:rsidR="00DB1635" w:rsidRPr="00B004EE">
        <w:rPr>
          <w:rFonts w:ascii="Tahoma" w:hAnsi="Tahoma" w:cs="Tahoma"/>
          <w:bCs/>
          <w:sz w:val="20"/>
          <w:szCs w:val="20"/>
        </w:rPr>
        <w:t xml:space="preserve"> </w:t>
      </w:r>
      <w:r w:rsidRPr="00B004EE">
        <w:rPr>
          <w:rFonts w:ascii="Tahoma" w:hAnsi="Tahoma" w:cs="Tahoma"/>
          <w:bCs/>
          <w:sz w:val="20"/>
          <w:szCs w:val="20"/>
        </w:rPr>
        <w:t>agrément,</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leur</w:t>
      </w:r>
      <w:r w:rsidR="00DB1635" w:rsidRPr="00B004EE">
        <w:rPr>
          <w:rFonts w:ascii="Tahoma" w:hAnsi="Tahoma" w:cs="Tahoma"/>
          <w:bCs/>
          <w:sz w:val="20"/>
          <w:szCs w:val="20"/>
        </w:rPr>
        <w:t xml:space="preserve"> </w:t>
      </w:r>
      <w:r w:rsidRPr="00B004EE">
        <w:rPr>
          <w:rFonts w:ascii="Tahoma" w:hAnsi="Tahoma" w:cs="Tahoma"/>
          <w:bCs/>
          <w:sz w:val="20"/>
          <w:szCs w:val="20"/>
        </w:rPr>
        <w:t>suspension</w:t>
      </w:r>
      <w:r w:rsidR="00DB1635" w:rsidRPr="00B004EE">
        <w:rPr>
          <w:rFonts w:ascii="Tahoma" w:hAnsi="Tahoma" w:cs="Tahoma"/>
          <w:bCs/>
          <w:sz w:val="20"/>
          <w:szCs w:val="20"/>
        </w:rPr>
        <w:t xml:space="preserve"> </w:t>
      </w:r>
      <w:r w:rsidRPr="00B004EE">
        <w:rPr>
          <w:rFonts w:ascii="Tahoma" w:hAnsi="Tahoma" w:cs="Tahoma"/>
          <w:bCs/>
          <w:sz w:val="20"/>
          <w:szCs w:val="20"/>
        </w:rPr>
        <w:t>ou</w:t>
      </w:r>
      <w:r w:rsidR="00DB1635" w:rsidRPr="00B004EE">
        <w:rPr>
          <w:rFonts w:ascii="Tahoma" w:hAnsi="Tahoma" w:cs="Tahoma"/>
          <w:bCs/>
          <w:sz w:val="20"/>
          <w:szCs w:val="20"/>
        </w:rPr>
        <w:t xml:space="preserve"> </w:t>
      </w:r>
      <w:r w:rsidRPr="00B004EE">
        <w:rPr>
          <w:rFonts w:ascii="Tahoma" w:hAnsi="Tahoma" w:cs="Tahoma"/>
          <w:bCs/>
          <w:sz w:val="20"/>
          <w:szCs w:val="20"/>
        </w:rPr>
        <w:t>du</w:t>
      </w:r>
      <w:r w:rsidR="00DB1635" w:rsidRPr="00B004EE">
        <w:rPr>
          <w:rFonts w:ascii="Tahoma" w:hAnsi="Tahoma" w:cs="Tahoma"/>
          <w:bCs/>
          <w:sz w:val="20"/>
          <w:szCs w:val="20"/>
        </w:rPr>
        <w:t xml:space="preserve"> </w:t>
      </w:r>
      <w:r w:rsidRPr="00B004EE">
        <w:rPr>
          <w:rFonts w:ascii="Tahoma" w:hAnsi="Tahoma" w:cs="Tahoma"/>
          <w:bCs/>
          <w:sz w:val="20"/>
          <w:szCs w:val="20"/>
        </w:rPr>
        <w:t>retrait</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l'agrément;</w:t>
      </w:r>
    </w:p>
    <w:p w14:paraId="42B01599" w14:textId="53EB982A" w:rsidR="008518B0" w:rsidRPr="00B004EE" w:rsidRDefault="008518B0" w:rsidP="00420DDA">
      <w:pPr>
        <w:pStyle w:val="Paragraphedeliste"/>
        <w:widowControl w:val="0"/>
        <w:numPr>
          <w:ilvl w:val="0"/>
          <w:numId w:val="149"/>
        </w:numPr>
        <w:tabs>
          <w:tab w:val="left" w:pos="1134"/>
        </w:tabs>
        <w:ind w:left="1134" w:right="159" w:hanging="425"/>
        <w:jc w:val="both"/>
        <w:rPr>
          <w:rFonts w:ascii="Tahoma" w:hAnsi="Tahoma" w:cs="Tahoma"/>
          <w:bCs/>
          <w:sz w:val="20"/>
          <w:szCs w:val="20"/>
        </w:rPr>
      </w:pPr>
      <w:proofErr w:type="gramStart"/>
      <w:r w:rsidRPr="00B004EE">
        <w:rPr>
          <w:rFonts w:ascii="Tahoma" w:hAnsi="Tahoma" w:cs="Tahoma"/>
          <w:bCs/>
          <w:sz w:val="20"/>
          <w:szCs w:val="20"/>
        </w:rPr>
        <w:t>constituer</w:t>
      </w:r>
      <w:proofErr w:type="gramEnd"/>
      <w:r w:rsidR="00DB1635" w:rsidRPr="00B004EE">
        <w:rPr>
          <w:rFonts w:ascii="Tahoma" w:hAnsi="Tahoma" w:cs="Tahoma"/>
          <w:bCs/>
          <w:sz w:val="20"/>
          <w:szCs w:val="20"/>
        </w:rPr>
        <w:t xml:space="preserve"> </w:t>
      </w:r>
      <w:r w:rsidRPr="00B004EE">
        <w:rPr>
          <w:rFonts w:ascii="Tahoma" w:hAnsi="Tahoma" w:cs="Tahoma"/>
          <w:bCs/>
          <w:sz w:val="20"/>
          <w:szCs w:val="20"/>
        </w:rPr>
        <w:t>une</w:t>
      </w:r>
      <w:r w:rsidR="00DB1635" w:rsidRPr="00B004EE">
        <w:rPr>
          <w:rFonts w:ascii="Tahoma" w:hAnsi="Tahoma" w:cs="Tahoma"/>
          <w:bCs/>
          <w:sz w:val="20"/>
          <w:szCs w:val="20"/>
        </w:rPr>
        <w:t xml:space="preserve"> </w:t>
      </w:r>
      <w:r w:rsidRPr="00B004EE">
        <w:rPr>
          <w:rFonts w:ascii="Tahoma" w:hAnsi="Tahoma" w:cs="Tahoma"/>
          <w:bCs/>
          <w:sz w:val="20"/>
          <w:szCs w:val="20"/>
        </w:rPr>
        <w:t>base</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données</w:t>
      </w:r>
      <w:r w:rsidR="00DB1635" w:rsidRPr="00B004EE">
        <w:rPr>
          <w:rFonts w:ascii="Tahoma" w:hAnsi="Tahoma" w:cs="Tahoma"/>
          <w:bCs/>
          <w:sz w:val="20"/>
          <w:szCs w:val="20"/>
        </w:rPr>
        <w:t xml:space="preserve"> </w:t>
      </w:r>
      <w:r w:rsidRPr="00B004EE">
        <w:rPr>
          <w:rFonts w:ascii="Tahoma" w:hAnsi="Tahoma" w:cs="Tahoma"/>
          <w:bCs/>
          <w:sz w:val="20"/>
          <w:szCs w:val="20"/>
        </w:rPr>
        <w:t>sur</w:t>
      </w:r>
      <w:r w:rsidR="00DB1635" w:rsidRPr="00B004EE">
        <w:rPr>
          <w:rFonts w:ascii="Tahoma" w:hAnsi="Tahoma" w:cs="Tahoma"/>
          <w:bCs/>
          <w:sz w:val="20"/>
          <w:szCs w:val="20"/>
        </w:rPr>
        <w:t xml:space="preserve"> </w:t>
      </w:r>
      <w:r w:rsidRPr="00B004EE">
        <w:rPr>
          <w:rFonts w:ascii="Tahoma" w:hAnsi="Tahoma" w:cs="Tahoma"/>
          <w:bCs/>
          <w:sz w:val="20"/>
          <w:szCs w:val="20"/>
        </w:rPr>
        <w:t>les</w:t>
      </w:r>
      <w:r w:rsidR="00DB1635" w:rsidRPr="00B004EE">
        <w:rPr>
          <w:rFonts w:ascii="Tahoma" w:hAnsi="Tahoma" w:cs="Tahoma"/>
          <w:bCs/>
          <w:sz w:val="20"/>
          <w:szCs w:val="20"/>
        </w:rPr>
        <w:t xml:space="preserve"> </w:t>
      </w:r>
      <w:r w:rsidRPr="00B004EE">
        <w:rPr>
          <w:rFonts w:ascii="Tahoma" w:hAnsi="Tahoma" w:cs="Tahoma"/>
          <w:bCs/>
          <w:sz w:val="20"/>
          <w:szCs w:val="20"/>
        </w:rPr>
        <w:t>contrôles</w:t>
      </w:r>
      <w:r w:rsidR="00DB1635" w:rsidRPr="00B004EE">
        <w:rPr>
          <w:rFonts w:ascii="Tahoma" w:hAnsi="Tahoma" w:cs="Tahoma"/>
          <w:bCs/>
          <w:sz w:val="20"/>
          <w:szCs w:val="20"/>
        </w:rPr>
        <w:t xml:space="preserve"> </w:t>
      </w:r>
      <w:r w:rsidRPr="00B004EE">
        <w:rPr>
          <w:rFonts w:ascii="Tahoma" w:hAnsi="Tahoma" w:cs="Tahoma"/>
          <w:bCs/>
          <w:sz w:val="20"/>
          <w:szCs w:val="20"/>
        </w:rPr>
        <w:t>et</w:t>
      </w:r>
      <w:r w:rsidR="00DB1635" w:rsidRPr="00B004EE">
        <w:rPr>
          <w:rFonts w:ascii="Tahoma" w:hAnsi="Tahoma" w:cs="Tahoma"/>
          <w:bCs/>
          <w:sz w:val="20"/>
          <w:szCs w:val="20"/>
        </w:rPr>
        <w:t xml:space="preserve"> </w:t>
      </w:r>
      <w:r w:rsidRPr="00B004EE">
        <w:rPr>
          <w:rFonts w:ascii="Tahoma" w:hAnsi="Tahoma" w:cs="Tahoma"/>
          <w:bCs/>
          <w:sz w:val="20"/>
          <w:szCs w:val="20"/>
        </w:rPr>
        <w:t>les</w:t>
      </w:r>
      <w:r w:rsidR="00DB1635" w:rsidRPr="00B004EE">
        <w:rPr>
          <w:rFonts w:ascii="Tahoma" w:hAnsi="Tahoma" w:cs="Tahoma"/>
          <w:bCs/>
          <w:sz w:val="20"/>
          <w:szCs w:val="20"/>
        </w:rPr>
        <w:t xml:space="preserve"> </w:t>
      </w:r>
      <w:r w:rsidRPr="00B004EE">
        <w:rPr>
          <w:rFonts w:ascii="Tahoma" w:hAnsi="Tahoma" w:cs="Tahoma"/>
          <w:bCs/>
          <w:sz w:val="20"/>
          <w:szCs w:val="20"/>
        </w:rPr>
        <w:t>analyses</w:t>
      </w:r>
      <w:r w:rsidR="00DB1635" w:rsidRPr="00B004EE">
        <w:rPr>
          <w:rFonts w:ascii="Tahoma" w:hAnsi="Tahoma" w:cs="Tahoma"/>
          <w:bCs/>
          <w:sz w:val="20"/>
          <w:szCs w:val="20"/>
        </w:rPr>
        <w:t xml:space="preserve"> </w:t>
      </w:r>
      <w:r w:rsidRPr="00B004EE">
        <w:rPr>
          <w:rFonts w:ascii="Tahoma" w:hAnsi="Tahoma" w:cs="Tahoma"/>
          <w:bCs/>
          <w:sz w:val="20"/>
          <w:szCs w:val="20"/>
        </w:rPr>
        <w:t>effectués;</w:t>
      </w:r>
    </w:p>
    <w:p w14:paraId="78395CF4" w14:textId="5644C697" w:rsidR="008518B0" w:rsidRPr="00B004EE" w:rsidRDefault="008518B0" w:rsidP="00420DDA">
      <w:pPr>
        <w:pStyle w:val="Paragraphedeliste"/>
        <w:widowControl w:val="0"/>
        <w:numPr>
          <w:ilvl w:val="0"/>
          <w:numId w:val="149"/>
        </w:numPr>
        <w:tabs>
          <w:tab w:val="left" w:pos="1134"/>
        </w:tabs>
        <w:ind w:left="1134" w:right="159" w:hanging="425"/>
        <w:jc w:val="both"/>
        <w:rPr>
          <w:rFonts w:ascii="Tahoma" w:hAnsi="Tahoma" w:cs="Tahoma"/>
          <w:bCs/>
          <w:sz w:val="20"/>
          <w:szCs w:val="20"/>
        </w:rPr>
      </w:pPr>
      <w:proofErr w:type="gramStart"/>
      <w:r w:rsidRPr="00B004EE">
        <w:rPr>
          <w:rFonts w:ascii="Tahoma" w:hAnsi="Tahoma" w:cs="Tahoma"/>
          <w:bCs/>
          <w:sz w:val="20"/>
          <w:szCs w:val="20"/>
        </w:rPr>
        <w:t>élaborer</w:t>
      </w:r>
      <w:proofErr w:type="gramEnd"/>
      <w:r w:rsidR="00DB1635" w:rsidRPr="00B004EE">
        <w:rPr>
          <w:rFonts w:ascii="Tahoma" w:hAnsi="Tahoma" w:cs="Tahoma"/>
          <w:bCs/>
          <w:sz w:val="20"/>
          <w:szCs w:val="20"/>
        </w:rPr>
        <w:t xml:space="preserve"> </w:t>
      </w:r>
      <w:r w:rsidRPr="00B004EE">
        <w:rPr>
          <w:rFonts w:ascii="Tahoma" w:hAnsi="Tahoma" w:cs="Tahoma"/>
          <w:bCs/>
          <w:sz w:val="20"/>
          <w:szCs w:val="20"/>
        </w:rPr>
        <w:t>et</w:t>
      </w:r>
      <w:r w:rsidR="00DB1635" w:rsidRPr="00B004EE">
        <w:rPr>
          <w:rFonts w:ascii="Tahoma" w:hAnsi="Tahoma" w:cs="Tahoma"/>
          <w:bCs/>
          <w:sz w:val="20"/>
          <w:szCs w:val="20"/>
        </w:rPr>
        <w:t xml:space="preserve"> </w:t>
      </w:r>
      <w:r w:rsidRPr="00B004EE">
        <w:rPr>
          <w:rFonts w:ascii="Tahoma" w:hAnsi="Tahoma" w:cs="Tahoma"/>
          <w:bCs/>
          <w:sz w:val="20"/>
          <w:szCs w:val="20"/>
        </w:rPr>
        <w:t>mettre</w:t>
      </w:r>
      <w:r w:rsidR="00DB1635" w:rsidRPr="00B004EE">
        <w:rPr>
          <w:rFonts w:ascii="Tahoma" w:hAnsi="Tahoma" w:cs="Tahoma"/>
          <w:bCs/>
          <w:sz w:val="20"/>
          <w:szCs w:val="20"/>
        </w:rPr>
        <w:t xml:space="preserve"> </w:t>
      </w:r>
      <w:r w:rsidRPr="00B004EE">
        <w:rPr>
          <w:rFonts w:ascii="Tahoma" w:hAnsi="Tahoma" w:cs="Tahoma"/>
          <w:bCs/>
          <w:sz w:val="20"/>
          <w:szCs w:val="20"/>
        </w:rPr>
        <w:t>en</w:t>
      </w:r>
      <w:r w:rsidR="00DB1635" w:rsidRPr="00B004EE">
        <w:rPr>
          <w:rFonts w:ascii="Tahoma" w:hAnsi="Tahoma" w:cs="Tahoma"/>
          <w:bCs/>
          <w:sz w:val="20"/>
          <w:szCs w:val="20"/>
        </w:rPr>
        <w:t xml:space="preserve"> </w:t>
      </w:r>
      <w:r w:rsidRPr="00B004EE">
        <w:rPr>
          <w:rFonts w:ascii="Tahoma" w:hAnsi="Tahoma" w:cs="Tahoma"/>
          <w:bCs/>
          <w:sz w:val="20"/>
          <w:szCs w:val="20"/>
        </w:rPr>
        <w:t>œuvre</w:t>
      </w:r>
      <w:r w:rsidR="00DB1635" w:rsidRPr="00B004EE">
        <w:rPr>
          <w:rFonts w:ascii="Tahoma" w:hAnsi="Tahoma" w:cs="Tahoma"/>
          <w:bCs/>
          <w:sz w:val="20"/>
          <w:szCs w:val="20"/>
        </w:rPr>
        <w:t xml:space="preserve"> </w:t>
      </w:r>
      <w:r w:rsidRPr="00B004EE">
        <w:rPr>
          <w:rFonts w:ascii="Tahoma" w:hAnsi="Tahoma" w:cs="Tahoma"/>
          <w:bCs/>
          <w:sz w:val="20"/>
          <w:szCs w:val="20"/>
        </w:rPr>
        <w:t>des</w:t>
      </w:r>
      <w:r w:rsidR="00DB1635" w:rsidRPr="00B004EE">
        <w:rPr>
          <w:rFonts w:ascii="Tahoma" w:hAnsi="Tahoma" w:cs="Tahoma"/>
          <w:bCs/>
          <w:sz w:val="20"/>
          <w:szCs w:val="20"/>
        </w:rPr>
        <w:t xml:space="preserve"> </w:t>
      </w:r>
      <w:r w:rsidRPr="00B004EE">
        <w:rPr>
          <w:rFonts w:ascii="Tahoma" w:hAnsi="Tahoma" w:cs="Tahoma"/>
          <w:bCs/>
          <w:sz w:val="20"/>
          <w:szCs w:val="20"/>
        </w:rPr>
        <w:t>programmes</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normalisation</w:t>
      </w:r>
      <w:r w:rsidR="00DB1635" w:rsidRPr="00B004EE">
        <w:rPr>
          <w:rFonts w:ascii="Tahoma" w:hAnsi="Tahoma" w:cs="Tahoma"/>
          <w:bCs/>
          <w:sz w:val="20"/>
          <w:szCs w:val="20"/>
        </w:rPr>
        <w:t xml:space="preserve"> </w:t>
      </w:r>
      <w:r w:rsidRPr="00B004EE">
        <w:rPr>
          <w:rFonts w:ascii="Tahoma" w:hAnsi="Tahoma" w:cs="Tahoma"/>
          <w:bCs/>
          <w:sz w:val="20"/>
          <w:szCs w:val="20"/>
        </w:rPr>
        <w:t>et</w:t>
      </w:r>
      <w:r w:rsidR="00DB1635" w:rsidRPr="00B004EE">
        <w:rPr>
          <w:rFonts w:ascii="Tahoma" w:hAnsi="Tahoma" w:cs="Tahoma"/>
          <w:bCs/>
          <w:sz w:val="20"/>
          <w:szCs w:val="20"/>
        </w:rPr>
        <w:t xml:space="preserve"> </w:t>
      </w:r>
      <w:r w:rsidRPr="00B004EE">
        <w:rPr>
          <w:rFonts w:ascii="Tahoma" w:hAnsi="Tahoma" w:cs="Tahoma"/>
          <w:bCs/>
          <w:sz w:val="20"/>
          <w:szCs w:val="20"/>
        </w:rPr>
        <w:t>d'assurance</w:t>
      </w:r>
      <w:r w:rsidR="00DB1635" w:rsidRPr="00B004EE">
        <w:rPr>
          <w:rFonts w:ascii="Tahoma" w:hAnsi="Tahoma" w:cs="Tahoma"/>
          <w:bCs/>
          <w:sz w:val="20"/>
          <w:szCs w:val="20"/>
        </w:rPr>
        <w:t xml:space="preserve"> </w:t>
      </w:r>
      <w:r w:rsidRPr="00B004EE">
        <w:rPr>
          <w:rFonts w:ascii="Tahoma" w:hAnsi="Tahoma" w:cs="Tahoma"/>
          <w:bCs/>
          <w:sz w:val="20"/>
          <w:szCs w:val="20"/>
        </w:rPr>
        <w:t>qualité</w:t>
      </w:r>
      <w:r w:rsidR="00DB1635" w:rsidRPr="00B004EE">
        <w:rPr>
          <w:rFonts w:ascii="Tahoma" w:hAnsi="Tahoma" w:cs="Tahoma"/>
          <w:bCs/>
          <w:sz w:val="20"/>
          <w:szCs w:val="20"/>
        </w:rPr>
        <w:t xml:space="preserve"> </w:t>
      </w:r>
      <w:r w:rsidRPr="00B004EE">
        <w:rPr>
          <w:rFonts w:ascii="Tahoma" w:hAnsi="Tahoma" w:cs="Tahoma"/>
          <w:bCs/>
          <w:sz w:val="20"/>
          <w:szCs w:val="20"/>
        </w:rPr>
        <w:t>pour</w:t>
      </w:r>
      <w:r w:rsidR="00DB1635" w:rsidRPr="00B004EE">
        <w:rPr>
          <w:rFonts w:ascii="Tahoma" w:hAnsi="Tahoma" w:cs="Tahoma"/>
          <w:bCs/>
          <w:sz w:val="20"/>
          <w:szCs w:val="20"/>
        </w:rPr>
        <w:t xml:space="preserve"> </w:t>
      </w:r>
      <w:r w:rsidRPr="00B004EE">
        <w:rPr>
          <w:rFonts w:ascii="Tahoma" w:hAnsi="Tahoma" w:cs="Tahoma"/>
          <w:bCs/>
          <w:sz w:val="20"/>
          <w:szCs w:val="20"/>
        </w:rPr>
        <w:t>les</w:t>
      </w:r>
      <w:r w:rsidR="00DB1635" w:rsidRPr="00B004EE">
        <w:rPr>
          <w:rFonts w:ascii="Tahoma" w:hAnsi="Tahoma" w:cs="Tahoma"/>
          <w:bCs/>
          <w:sz w:val="20"/>
          <w:szCs w:val="20"/>
        </w:rPr>
        <w:t xml:space="preserve"> </w:t>
      </w:r>
      <w:r w:rsidRPr="00B004EE">
        <w:rPr>
          <w:rFonts w:ascii="Tahoma" w:hAnsi="Tahoma" w:cs="Tahoma"/>
          <w:bCs/>
          <w:sz w:val="20"/>
          <w:szCs w:val="20"/>
        </w:rPr>
        <w:t>produits.</w:t>
      </w:r>
      <w:r w:rsidR="00DB1635" w:rsidRPr="00B004EE">
        <w:rPr>
          <w:rFonts w:ascii="Tahoma" w:hAnsi="Tahoma" w:cs="Tahoma"/>
          <w:bCs/>
          <w:sz w:val="20"/>
          <w:szCs w:val="20"/>
        </w:rPr>
        <w:t xml:space="preserve"> </w:t>
      </w:r>
      <w:r w:rsidRPr="00B004EE">
        <w:rPr>
          <w:rFonts w:ascii="Tahoma" w:hAnsi="Tahoma" w:cs="Tahoma"/>
          <w:bCs/>
          <w:sz w:val="20"/>
          <w:szCs w:val="20"/>
        </w:rPr>
        <w:t>L'ONISPA</w:t>
      </w:r>
      <w:r w:rsidR="00DB1635" w:rsidRPr="00B004EE">
        <w:rPr>
          <w:rFonts w:ascii="Tahoma" w:hAnsi="Tahoma" w:cs="Tahoma"/>
          <w:bCs/>
          <w:sz w:val="20"/>
          <w:szCs w:val="20"/>
        </w:rPr>
        <w:t xml:space="preserve"> </w:t>
      </w:r>
      <w:r w:rsidRPr="00B004EE">
        <w:rPr>
          <w:rFonts w:ascii="Tahoma" w:hAnsi="Tahoma" w:cs="Tahoma"/>
          <w:bCs/>
          <w:sz w:val="20"/>
          <w:szCs w:val="20"/>
        </w:rPr>
        <w:t>contribue,</w:t>
      </w:r>
      <w:r w:rsidR="00DB1635" w:rsidRPr="00B004EE">
        <w:rPr>
          <w:rFonts w:ascii="Tahoma" w:hAnsi="Tahoma" w:cs="Tahoma"/>
          <w:bCs/>
          <w:sz w:val="20"/>
          <w:szCs w:val="20"/>
        </w:rPr>
        <w:t xml:space="preserve"> </w:t>
      </w:r>
      <w:r w:rsidRPr="00B004EE">
        <w:rPr>
          <w:rFonts w:ascii="Tahoma" w:hAnsi="Tahoma" w:cs="Tahoma"/>
          <w:bCs/>
          <w:sz w:val="20"/>
          <w:szCs w:val="20"/>
        </w:rPr>
        <w:t>dans</w:t>
      </w:r>
      <w:r w:rsidR="00DB1635" w:rsidRPr="00B004EE">
        <w:rPr>
          <w:rFonts w:ascii="Tahoma" w:hAnsi="Tahoma" w:cs="Tahoma"/>
          <w:bCs/>
          <w:sz w:val="20"/>
          <w:szCs w:val="20"/>
        </w:rPr>
        <w:t xml:space="preserve"> </w:t>
      </w:r>
      <w:r w:rsidRPr="00B004EE">
        <w:rPr>
          <w:rFonts w:ascii="Tahoma" w:hAnsi="Tahoma" w:cs="Tahoma"/>
          <w:bCs/>
          <w:sz w:val="20"/>
          <w:szCs w:val="20"/>
        </w:rPr>
        <w:t>le</w:t>
      </w:r>
      <w:r w:rsidR="00DB1635" w:rsidRPr="00B004EE">
        <w:rPr>
          <w:rFonts w:ascii="Tahoma" w:hAnsi="Tahoma" w:cs="Tahoma"/>
          <w:bCs/>
          <w:sz w:val="20"/>
          <w:szCs w:val="20"/>
        </w:rPr>
        <w:t xml:space="preserve"> </w:t>
      </w:r>
      <w:r w:rsidRPr="00B004EE">
        <w:rPr>
          <w:rFonts w:ascii="Tahoma" w:hAnsi="Tahoma" w:cs="Tahoma"/>
          <w:bCs/>
          <w:sz w:val="20"/>
          <w:szCs w:val="20"/>
        </w:rPr>
        <w:t>cadre</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ses</w:t>
      </w:r>
      <w:r w:rsidR="00DB1635" w:rsidRPr="00B004EE">
        <w:rPr>
          <w:rFonts w:ascii="Tahoma" w:hAnsi="Tahoma" w:cs="Tahoma"/>
          <w:bCs/>
          <w:sz w:val="20"/>
          <w:szCs w:val="20"/>
        </w:rPr>
        <w:t xml:space="preserve"> </w:t>
      </w:r>
      <w:r w:rsidRPr="00B004EE">
        <w:rPr>
          <w:rFonts w:ascii="Tahoma" w:hAnsi="Tahoma" w:cs="Tahoma"/>
          <w:bCs/>
          <w:sz w:val="20"/>
          <w:szCs w:val="20"/>
        </w:rPr>
        <w:t>missions,</w:t>
      </w:r>
      <w:r w:rsidR="00DB1635" w:rsidRPr="00B004EE">
        <w:rPr>
          <w:rFonts w:ascii="Tahoma" w:hAnsi="Tahoma" w:cs="Tahoma"/>
          <w:bCs/>
          <w:sz w:val="20"/>
          <w:szCs w:val="20"/>
        </w:rPr>
        <w:t xml:space="preserve"> </w:t>
      </w:r>
      <w:r w:rsidRPr="00B004EE">
        <w:rPr>
          <w:rFonts w:ascii="Tahoma" w:hAnsi="Tahoma" w:cs="Tahoma"/>
          <w:bCs/>
          <w:sz w:val="20"/>
          <w:szCs w:val="20"/>
        </w:rPr>
        <w:t>à</w:t>
      </w:r>
      <w:r w:rsidR="00DB1635" w:rsidRPr="00B004EE">
        <w:rPr>
          <w:rFonts w:ascii="Tahoma" w:hAnsi="Tahoma" w:cs="Tahoma"/>
          <w:bCs/>
          <w:sz w:val="20"/>
          <w:szCs w:val="20"/>
        </w:rPr>
        <w:t xml:space="preserve"> </w:t>
      </w:r>
      <w:r w:rsidRPr="00B004EE">
        <w:rPr>
          <w:rFonts w:ascii="Tahoma" w:hAnsi="Tahoma" w:cs="Tahoma"/>
          <w:bCs/>
          <w:sz w:val="20"/>
          <w:szCs w:val="20"/>
        </w:rPr>
        <w:t>la</w:t>
      </w:r>
      <w:r w:rsidR="00DB1635" w:rsidRPr="00B004EE">
        <w:rPr>
          <w:rFonts w:ascii="Tahoma" w:hAnsi="Tahoma" w:cs="Tahoma"/>
          <w:bCs/>
          <w:sz w:val="20"/>
          <w:szCs w:val="20"/>
        </w:rPr>
        <w:t xml:space="preserve"> </w:t>
      </w:r>
      <w:r w:rsidRPr="00B004EE">
        <w:rPr>
          <w:rFonts w:ascii="Tahoma" w:hAnsi="Tahoma" w:cs="Tahoma"/>
          <w:bCs/>
          <w:sz w:val="20"/>
          <w:szCs w:val="20"/>
        </w:rPr>
        <w:t>réalisation</w:t>
      </w:r>
      <w:r w:rsidR="00DB1635" w:rsidRPr="00B004EE">
        <w:rPr>
          <w:rFonts w:ascii="Tahoma" w:hAnsi="Tahoma" w:cs="Tahoma"/>
          <w:bCs/>
          <w:sz w:val="20"/>
          <w:szCs w:val="20"/>
        </w:rPr>
        <w:t xml:space="preserve"> </w:t>
      </w:r>
      <w:r w:rsidRPr="00B004EE">
        <w:rPr>
          <w:rFonts w:ascii="Tahoma" w:hAnsi="Tahoma" w:cs="Tahoma"/>
          <w:bCs/>
          <w:sz w:val="20"/>
          <w:szCs w:val="20"/>
        </w:rPr>
        <w:t>des</w:t>
      </w:r>
      <w:r w:rsidR="00DB1635" w:rsidRPr="00B004EE">
        <w:rPr>
          <w:rFonts w:ascii="Tahoma" w:hAnsi="Tahoma" w:cs="Tahoma"/>
          <w:bCs/>
          <w:sz w:val="20"/>
          <w:szCs w:val="20"/>
        </w:rPr>
        <w:t xml:space="preserve"> </w:t>
      </w:r>
      <w:r w:rsidRPr="00B004EE">
        <w:rPr>
          <w:rFonts w:ascii="Tahoma" w:hAnsi="Tahoma" w:cs="Tahoma"/>
          <w:bCs/>
          <w:sz w:val="20"/>
          <w:szCs w:val="20"/>
        </w:rPr>
        <w:t>objectifs</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la</w:t>
      </w:r>
      <w:r w:rsidR="00DB1635" w:rsidRPr="00B004EE">
        <w:rPr>
          <w:rFonts w:ascii="Tahoma" w:hAnsi="Tahoma" w:cs="Tahoma"/>
          <w:bCs/>
          <w:sz w:val="20"/>
          <w:szCs w:val="20"/>
        </w:rPr>
        <w:t xml:space="preserve"> </w:t>
      </w:r>
      <w:r w:rsidRPr="00B004EE">
        <w:rPr>
          <w:rFonts w:ascii="Tahoma" w:hAnsi="Tahoma" w:cs="Tahoma"/>
          <w:bCs/>
          <w:sz w:val="20"/>
          <w:szCs w:val="20"/>
        </w:rPr>
        <w:t>politique</w:t>
      </w:r>
      <w:r w:rsidR="00DB1635" w:rsidRPr="00B004EE">
        <w:rPr>
          <w:rFonts w:ascii="Tahoma" w:hAnsi="Tahoma" w:cs="Tahoma"/>
          <w:bCs/>
          <w:sz w:val="20"/>
          <w:szCs w:val="20"/>
        </w:rPr>
        <w:t xml:space="preserve"> </w:t>
      </w:r>
      <w:r w:rsidRPr="00B004EE">
        <w:rPr>
          <w:rFonts w:ascii="Tahoma" w:hAnsi="Tahoma" w:cs="Tahoma"/>
          <w:bCs/>
          <w:sz w:val="20"/>
          <w:szCs w:val="20"/>
        </w:rPr>
        <w:t>nationale</w:t>
      </w:r>
      <w:r w:rsidR="00DB1635" w:rsidRPr="00B004EE">
        <w:rPr>
          <w:rFonts w:ascii="Tahoma" w:hAnsi="Tahoma" w:cs="Tahoma"/>
          <w:bCs/>
          <w:sz w:val="20"/>
          <w:szCs w:val="20"/>
        </w:rPr>
        <w:t xml:space="preserve"> </w:t>
      </w:r>
      <w:r w:rsidRPr="00B004EE">
        <w:rPr>
          <w:rFonts w:ascii="Tahoma" w:hAnsi="Tahoma" w:cs="Tahoma"/>
          <w:bCs/>
          <w:sz w:val="20"/>
          <w:szCs w:val="20"/>
        </w:rPr>
        <w:t>en</w:t>
      </w:r>
      <w:r w:rsidR="00DB1635" w:rsidRPr="00B004EE">
        <w:rPr>
          <w:rFonts w:ascii="Tahoma" w:hAnsi="Tahoma" w:cs="Tahoma"/>
          <w:bCs/>
          <w:sz w:val="20"/>
          <w:szCs w:val="20"/>
        </w:rPr>
        <w:t xml:space="preserve"> </w:t>
      </w:r>
      <w:r w:rsidRPr="00B004EE">
        <w:rPr>
          <w:rFonts w:ascii="Tahoma" w:hAnsi="Tahoma" w:cs="Tahoma"/>
          <w:bCs/>
          <w:sz w:val="20"/>
          <w:szCs w:val="20"/>
        </w:rPr>
        <w:t>matière</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promotion</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la</w:t>
      </w:r>
      <w:r w:rsidR="00DB1635" w:rsidRPr="00B004EE">
        <w:rPr>
          <w:rFonts w:ascii="Tahoma" w:hAnsi="Tahoma" w:cs="Tahoma"/>
          <w:bCs/>
          <w:sz w:val="20"/>
          <w:szCs w:val="20"/>
        </w:rPr>
        <w:t xml:space="preserve"> </w:t>
      </w:r>
      <w:r w:rsidRPr="00B004EE">
        <w:rPr>
          <w:rFonts w:ascii="Tahoma" w:hAnsi="Tahoma" w:cs="Tahoma"/>
          <w:bCs/>
          <w:sz w:val="20"/>
          <w:szCs w:val="20"/>
        </w:rPr>
        <w:t>qualité</w:t>
      </w:r>
      <w:r w:rsidR="00DB1635" w:rsidRPr="00B004EE">
        <w:rPr>
          <w:rFonts w:ascii="Tahoma" w:hAnsi="Tahoma" w:cs="Tahoma"/>
          <w:bCs/>
          <w:sz w:val="20"/>
          <w:szCs w:val="20"/>
        </w:rPr>
        <w:t xml:space="preserve"> </w:t>
      </w:r>
      <w:r w:rsidRPr="00B004EE">
        <w:rPr>
          <w:rFonts w:ascii="Tahoma" w:hAnsi="Tahoma" w:cs="Tahoma"/>
          <w:bCs/>
          <w:sz w:val="20"/>
          <w:szCs w:val="20"/>
        </w:rPr>
        <w:t>commerciale</w:t>
      </w:r>
      <w:r w:rsidR="00DB1635" w:rsidRPr="00B004EE">
        <w:rPr>
          <w:rFonts w:ascii="Tahoma" w:hAnsi="Tahoma" w:cs="Tahoma"/>
          <w:bCs/>
          <w:sz w:val="20"/>
          <w:szCs w:val="20"/>
        </w:rPr>
        <w:t xml:space="preserve"> </w:t>
      </w:r>
      <w:r w:rsidRPr="00B004EE">
        <w:rPr>
          <w:rFonts w:ascii="Tahoma" w:hAnsi="Tahoma" w:cs="Tahoma"/>
          <w:bCs/>
          <w:sz w:val="20"/>
          <w:szCs w:val="20"/>
        </w:rPr>
        <w:t>et</w:t>
      </w:r>
      <w:r w:rsidR="00DB1635" w:rsidRPr="00B004EE">
        <w:rPr>
          <w:rFonts w:ascii="Tahoma" w:hAnsi="Tahoma" w:cs="Tahoma"/>
          <w:bCs/>
          <w:sz w:val="20"/>
          <w:szCs w:val="20"/>
        </w:rPr>
        <w:t xml:space="preserve"> </w:t>
      </w:r>
      <w:r w:rsidRPr="00B004EE">
        <w:rPr>
          <w:rFonts w:ascii="Tahoma" w:hAnsi="Tahoma" w:cs="Tahoma"/>
          <w:bCs/>
          <w:sz w:val="20"/>
          <w:szCs w:val="20"/>
        </w:rPr>
        <w:t>hygiénique</w:t>
      </w:r>
      <w:r w:rsidR="00DB1635" w:rsidRPr="00B004EE">
        <w:rPr>
          <w:rFonts w:ascii="Tahoma" w:hAnsi="Tahoma" w:cs="Tahoma"/>
          <w:bCs/>
          <w:sz w:val="20"/>
          <w:szCs w:val="20"/>
        </w:rPr>
        <w:t xml:space="preserve"> </w:t>
      </w:r>
      <w:r w:rsidRPr="00B004EE">
        <w:rPr>
          <w:rFonts w:ascii="Tahoma" w:hAnsi="Tahoma" w:cs="Tahoma"/>
          <w:bCs/>
          <w:sz w:val="20"/>
          <w:szCs w:val="20"/>
        </w:rPr>
        <w:t>des</w:t>
      </w:r>
      <w:r w:rsidR="00DB1635" w:rsidRPr="00B004EE">
        <w:rPr>
          <w:rFonts w:ascii="Tahoma" w:hAnsi="Tahoma" w:cs="Tahoma"/>
          <w:bCs/>
          <w:sz w:val="20"/>
          <w:szCs w:val="20"/>
        </w:rPr>
        <w:t xml:space="preserve"> </w:t>
      </w:r>
      <w:r w:rsidRPr="00B004EE">
        <w:rPr>
          <w:rFonts w:ascii="Tahoma" w:hAnsi="Tahoma" w:cs="Tahoma"/>
          <w:bCs/>
          <w:sz w:val="20"/>
          <w:szCs w:val="20"/>
        </w:rPr>
        <w:t>produits</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la</w:t>
      </w:r>
      <w:r w:rsidR="00DB1635" w:rsidRPr="00B004EE">
        <w:rPr>
          <w:rFonts w:ascii="Tahoma" w:hAnsi="Tahoma" w:cs="Tahoma"/>
          <w:bCs/>
          <w:sz w:val="20"/>
          <w:szCs w:val="20"/>
        </w:rPr>
        <w:t xml:space="preserve"> </w:t>
      </w:r>
      <w:r w:rsidRPr="00B004EE">
        <w:rPr>
          <w:rFonts w:ascii="Tahoma" w:hAnsi="Tahoma" w:cs="Tahoma"/>
          <w:bCs/>
          <w:sz w:val="20"/>
          <w:szCs w:val="20"/>
        </w:rPr>
        <w:t>pêche</w:t>
      </w:r>
      <w:r w:rsidR="00DB1635" w:rsidRPr="00B004EE">
        <w:rPr>
          <w:rFonts w:ascii="Tahoma" w:hAnsi="Tahoma" w:cs="Tahoma"/>
          <w:bCs/>
          <w:sz w:val="20"/>
          <w:szCs w:val="20"/>
        </w:rPr>
        <w:t xml:space="preserve"> </w:t>
      </w:r>
      <w:r w:rsidRPr="00B004EE">
        <w:rPr>
          <w:rFonts w:ascii="Tahoma" w:hAnsi="Tahoma" w:cs="Tahoma"/>
          <w:bCs/>
          <w:sz w:val="20"/>
          <w:szCs w:val="20"/>
        </w:rPr>
        <w:t>et</w:t>
      </w:r>
      <w:r w:rsidR="00DB1635" w:rsidRPr="00B004EE">
        <w:rPr>
          <w:rFonts w:ascii="Tahoma" w:hAnsi="Tahoma" w:cs="Tahoma"/>
          <w:bCs/>
          <w:sz w:val="20"/>
          <w:szCs w:val="20"/>
        </w:rPr>
        <w:t xml:space="preserve"> </w:t>
      </w:r>
      <w:r w:rsidRPr="00B004EE">
        <w:rPr>
          <w:rFonts w:ascii="Tahoma" w:hAnsi="Tahoma" w:cs="Tahoma"/>
          <w:bCs/>
          <w:sz w:val="20"/>
          <w:szCs w:val="20"/>
        </w:rPr>
        <w:t>d'aquaculture.</w:t>
      </w:r>
    </w:p>
    <w:p w14:paraId="4BAFFCB1" w14:textId="77777777" w:rsidR="008518B0" w:rsidRPr="00B004EE" w:rsidRDefault="008518B0" w:rsidP="00B004EE">
      <w:pPr>
        <w:rPr>
          <w:rFonts w:ascii="Tahoma" w:eastAsia="Times" w:hAnsi="Tahoma" w:cs="Tahoma"/>
          <w:sz w:val="20"/>
          <w:szCs w:val="20"/>
        </w:rPr>
      </w:pPr>
    </w:p>
    <w:p w14:paraId="397DFC7A" w14:textId="3F9E6C55" w:rsidR="008518B0" w:rsidRPr="00B004EE" w:rsidRDefault="00561F81" w:rsidP="00B004EE">
      <w:pPr>
        <w:pStyle w:val="Corpsdetexte"/>
        <w:ind w:left="155" w:right="218"/>
        <w:rPr>
          <w:rFonts w:ascii="Tahoma" w:hAnsi="Tahoma" w:cs="Tahoma"/>
          <w:sz w:val="20"/>
          <w:szCs w:val="20"/>
        </w:rPr>
      </w:pPr>
      <w:r w:rsidRPr="00B004EE">
        <w:rPr>
          <w:rFonts w:ascii="Tahoma" w:hAnsi="Tahoma" w:cs="Tahoma"/>
          <w:bCs/>
          <w:iCs/>
          <w:sz w:val="20"/>
          <w:szCs w:val="20"/>
        </w:rPr>
        <w:t xml:space="preserve">Article </w:t>
      </w:r>
      <w:r w:rsidR="003A697D" w:rsidRPr="00B004EE">
        <w:rPr>
          <w:rFonts w:ascii="Tahoma" w:hAnsi="Tahoma" w:cs="Tahoma"/>
          <w:bCs/>
          <w:iCs/>
          <w:sz w:val="20"/>
          <w:szCs w:val="20"/>
        </w:rPr>
        <w:t>3 :</w:t>
      </w:r>
      <w:r w:rsidR="00DB1635" w:rsidRPr="00B004EE">
        <w:rPr>
          <w:rFonts w:ascii="Tahoma" w:hAnsi="Tahoma" w:cs="Tahoma"/>
          <w:bCs/>
          <w:iCs/>
          <w:sz w:val="20"/>
          <w:szCs w:val="20"/>
        </w:rPr>
        <w:t xml:space="preserve"> </w:t>
      </w:r>
      <w:r w:rsidR="008518B0" w:rsidRPr="00B004EE">
        <w:rPr>
          <w:rFonts w:ascii="Tahoma" w:hAnsi="Tahoma" w:cs="Tahoma"/>
          <w:bCs/>
          <w:iCs/>
          <w:sz w:val="20"/>
          <w:szCs w:val="20"/>
        </w:rPr>
        <w:t>L'ONISPA</w:t>
      </w:r>
      <w:r w:rsidR="00DB1635" w:rsidRPr="00B004EE">
        <w:rPr>
          <w:rFonts w:ascii="Tahoma" w:hAnsi="Tahoma" w:cs="Tahoma"/>
          <w:b/>
          <w:sz w:val="20"/>
          <w:szCs w:val="20"/>
        </w:rPr>
        <w:t xml:space="preserve"> </w:t>
      </w:r>
      <w:r w:rsidR="008518B0" w:rsidRPr="00B004EE">
        <w:rPr>
          <w:rFonts w:ascii="Tahoma" w:hAnsi="Tahoma" w:cs="Tahoma"/>
          <w:sz w:val="20"/>
          <w:szCs w:val="20"/>
        </w:rPr>
        <w:t>est</w:t>
      </w:r>
      <w:r w:rsidR="00DB1635" w:rsidRPr="00B004EE">
        <w:rPr>
          <w:rFonts w:ascii="Tahoma" w:hAnsi="Tahoma" w:cs="Tahoma"/>
          <w:sz w:val="20"/>
          <w:szCs w:val="20"/>
        </w:rPr>
        <w:t xml:space="preserve"> </w:t>
      </w:r>
      <w:r w:rsidR="008518B0" w:rsidRPr="00B004EE">
        <w:rPr>
          <w:rFonts w:ascii="Tahoma" w:hAnsi="Tahoma" w:cs="Tahoma"/>
          <w:sz w:val="20"/>
          <w:szCs w:val="20"/>
        </w:rPr>
        <w:t>l'établissement</w:t>
      </w:r>
      <w:r w:rsidR="00DB1635" w:rsidRPr="00B004EE">
        <w:rPr>
          <w:rFonts w:ascii="Tahoma" w:hAnsi="Tahoma" w:cs="Tahoma"/>
          <w:sz w:val="20"/>
          <w:szCs w:val="20"/>
        </w:rPr>
        <w:t xml:space="preserve"> </w:t>
      </w:r>
      <w:r w:rsidR="008518B0" w:rsidRPr="00B004EE">
        <w:rPr>
          <w:rFonts w:ascii="Tahoma" w:hAnsi="Tahoma" w:cs="Tahoma"/>
          <w:spacing w:val="10"/>
          <w:sz w:val="20"/>
          <w:szCs w:val="20"/>
        </w:rPr>
        <w:t>agréé</w:t>
      </w:r>
      <w:r w:rsidR="00DB1635" w:rsidRPr="00B004EE">
        <w:rPr>
          <w:rFonts w:ascii="Tahoma" w:hAnsi="Tahoma" w:cs="Tahoma"/>
          <w:spacing w:val="10"/>
          <w:sz w:val="20"/>
          <w:szCs w:val="20"/>
        </w:rPr>
        <w:t xml:space="preserve"> </w:t>
      </w:r>
      <w:r w:rsidR="008518B0" w:rsidRPr="00B004EE">
        <w:rPr>
          <w:rFonts w:ascii="Tahoma" w:hAnsi="Tahoma" w:cs="Tahoma"/>
          <w:spacing w:val="9"/>
          <w:sz w:val="20"/>
          <w:szCs w:val="20"/>
        </w:rPr>
        <w:t>par</w:t>
      </w:r>
      <w:r w:rsidR="00DB1635" w:rsidRPr="00B004EE">
        <w:rPr>
          <w:rFonts w:ascii="Tahoma" w:hAnsi="Tahoma" w:cs="Tahoma"/>
          <w:spacing w:val="9"/>
          <w:sz w:val="20"/>
          <w:szCs w:val="20"/>
        </w:rPr>
        <w:t xml:space="preserve"> </w:t>
      </w:r>
      <w:r w:rsidR="008518B0" w:rsidRPr="00B004EE">
        <w:rPr>
          <w:rFonts w:ascii="Tahoma" w:hAnsi="Tahoma" w:cs="Tahoma"/>
          <w:spacing w:val="11"/>
          <w:sz w:val="20"/>
          <w:szCs w:val="20"/>
        </w:rPr>
        <w:t>l'administration</w:t>
      </w:r>
      <w:r w:rsidR="00DB1635" w:rsidRPr="00B004EE">
        <w:rPr>
          <w:rFonts w:ascii="Tahoma" w:hAnsi="Tahoma" w:cs="Tahoma"/>
          <w:spacing w:val="11"/>
          <w:sz w:val="20"/>
          <w:szCs w:val="20"/>
        </w:rPr>
        <w:t xml:space="preserve"> </w:t>
      </w:r>
      <w:r w:rsidR="008518B0" w:rsidRPr="00B004EE">
        <w:rPr>
          <w:rFonts w:ascii="Tahoma" w:hAnsi="Tahoma" w:cs="Tahoma"/>
          <w:spacing w:val="9"/>
          <w:sz w:val="20"/>
          <w:szCs w:val="20"/>
        </w:rPr>
        <w:t>dans</w:t>
      </w:r>
      <w:r w:rsidR="00DB1635" w:rsidRPr="00B004EE">
        <w:rPr>
          <w:rFonts w:ascii="Tahoma" w:hAnsi="Tahoma" w:cs="Tahoma"/>
          <w:spacing w:val="9"/>
          <w:sz w:val="20"/>
          <w:szCs w:val="20"/>
        </w:rPr>
        <w:t xml:space="preserve"> </w:t>
      </w:r>
      <w:r w:rsidR="008518B0" w:rsidRPr="00B004EE">
        <w:rPr>
          <w:rFonts w:ascii="Tahoma" w:hAnsi="Tahoma" w:cs="Tahoma"/>
          <w:spacing w:val="8"/>
          <w:sz w:val="20"/>
          <w:szCs w:val="20"/>
        </w:rPr>
        <w:t>les</w:t>
      </w:r>
      <w:r w:rsidR="00DB1635" w:rsidRPr="00B004EE">
        <w:rPr>
          <w:rFonts w:ascii="Tahoma" w:hAnsi="Tahoma" w:cs="Tahoma"/>
          <w:spacing w:val="30"/>
          <w:sz w:val="20"/>
          <w:szCs w:val="20"/>
        </w:rPr>
        <w:t xml:space="preserve"> </w:t>
      </w:r>
      <w:r w:rsidR="008518B0" w:rsidRPr="00B004EE">
        <w:rPr>
          <w:rFonts w:ascii="Tahoma" w:hAnsi="Tahoma" w:cs="Tahoma"/>
          <w:sz w:val="20"/>
          <w:szCs w:val="20"/>
        </w:rPr>
        <w:t>domaines</w:t>
      </w:r>
      <w:r w:rsidR="00DB1635" w:rsidRPr="00B004EE">
        <w:rPr>
          <w:rFonts w:ascii="Tahoma" w:hAnsi="Tahoma" w:cs="Tahoma"/>
          <w:w w:val="99"/>
          <w:sz w:val="20"/>
          <w:szCs w:val="20"/>
        </w:rPr>
        <w:t xml:space="preserve"> </w:t>
      </w:r>
      <w:r w:rsidR="008518B0" w:rsidRPr="00B004EE">
        <w:rPr>
          <w:rFonts w:ascii="Tahoma" w:hAnsi="Tahoma" w:cs="Tahoma"/>
          <w:sz w:val="20"/>
          <w:szCs w:val="20"/>
        </w:rPr>
        <w:t>relevant</w:t>
      </w:r>
      <w:r w:rsidR="00DB1635" w:rsidRPr="00B004EE">
        <w:rPr>
          <w:rFonts w:ascii="Tahoma" w:hAnsi="Tahoma" w:cs="Tahoma"/>
          <w:spacing w:val="34"/>
          <w:sz w:val="20"/>
          <w:szCs w:val="20"/>
        </w:rPr>
        <w:t xml:space="preserve"> </w:t>
      </w:r>
      <w:r w:rsidR="008518B0" w:rsidRPr="00B004EE">
        <w:rPr>
          <w:rFonts w:ascii="Tahoma" w:hAnsi="Tahoma" w:cs="Tahoma"/>
          <w:sz w:val="20"/>
          <w:szCs w:val="20"/>
        </w:rPr>
        <w:t>de</w:t>
      </w:r>
      <w:r w:rsidR="00DB1635" w:rsidRPr="00B004EE">
        <w:rPr>
          <w:rFonts w:ascii="Tahoma" w:hAnsi="Tahoma" w:cs="Tahoma"/>
          <w:spacing w:val="30"/>
          <w:sz w:val="20"/>
          <w:szCs w:val="20"/>
        </w:rPr>
        <w:t xml:space="preserve"> </w:t>
      </w:r>
      <w:r w:rsidR="008518B0" w:rsidRPr="00B004EE">
        <w:rPr>
          <w:rFonts w:ascii="Tahoma" w:hAnsi="Tahoma" w:cs="Tahoma"/>
          <w:sz w:val="20"/>
          <w:szCs w:val="20"/>
        </w:rPr>
        <w:t>sa</w:t>
      </w:r>
      <w:r w:rsidR="00DB1635" w:rsidRPr="00B004EE">
        <w:rPr>
          <w:rFonts w:ascii="Tahoma" w:hAnsi="Tahoma" w:cs="Tahoma"/>
          <w:spacing w:val="32"/>
          <w:sz w:val="20"/>
          <w:szCs w:val="20"/>
        </w:rPr>
        <w:t xml:space="preserve"> </w:t>
      </w:r>
      <w:r w:rsidR="008518B0" w:rsidRPr="00B004EE">
        <w:rPr>
          <w:rFonts w:ascii="Tahoma" w:hAnsi="Tahoma" w:cs="Tahoma"/>
          <w:sz w:val="20"/>
          <w:szCs w:val="20"/>
        </w:rPr>
        <w:t>compétence.</w:t>
      </w:r>
      <w:r w:rsidR="00DB1635" w:rsidRPr="00B004EE">
        <w:rPr>
          <w:rFonts w:ascii="Tahoma" w:hAnsi="Tahoma" w:cs="Tahoma"/>
          <w:spacing w:val="33"/>
          <w:sz w:val="20"/>
          <w:szCs w:val="20"/>
        </w:rPr>
        <w:t xml:space="preserve"> </w:t>
      </w:r>
      <w:r w:rsidR="008518B0" w:rsidRPr="00B004EE">
        <w:rPr>
          <w:rFonts w:ascii="Tahoma" w:hAnsi="Tahoma" w:cs="Tahoma"/>
          <w:sz w:val="20"/>
          <w:szCs w:val="20"/>
        </w:rPr>
        <w:t>Ace</w:t>
      </w:r>
      <w:r w:rsidR="00DB1635" w:rsidRPr="00B004EE">
        <w:rPr>
          <w:rFonts w:ascii="Tahoma" w:hAnsi="Tahoma" w:cs="Tahoma"/>
          <w:spacing w:val="30"/>
          <w:sz w:val="20"/>
          <w:szCs w:val="20"/>
        </w:rPr>
        <w:t xml:space="preserve"> </w:t>
      </w:r>
      <w:r w:rsidR="008518B0" w:rsidRPr="00B004EE">
        <w:rPr>
          <w:rFonts w:ascii="Tahoma" w:hAnsi="Tahoma" w:cs="Tahoma"/>
          <w:sz w:val="20"/>
          <w:szCs w:val="20"/>
        </w:rPr>
        <w:t>titre,</w:t>
      </w:r>
      <w:r w:rsidR="00DB1635" w:rsidRPr="00B004EE">
        <w:rPr>
          <w:rFonts w:ascii="Tahoma" w:hAnsi="Tahoma" w:cs="Tahoma"/>
          <w:spacing w:val="31"/>
          <w:sz w:val="20"/>
          <w:szCs w:val="20"/>
        </w:rPr>
        <w:t xml:space="preserve"> </w:t>
      </w:r>
      <w:r w:rsidR="008518B0" w:rsidRPr="00B004EE">
        <w:rPr>
          <w:rFonts w:ascii="Tahoma" w:hAnsi="Tahoma" w:cs="Tahoma"/>
          <w:sz w:val="20"/>
          <w:szCs w:val="20"/>
        </w:rPr>
        <w:t>il</w:t>
      </w:r>
      <w:r w:rsidR="00DB1635" w:rsidRPr="00B004EE">
        <w:rPr>
          <w:rFonts w:ascii="Tahoma" w:hAnsi="Tahoma" w:cs="Tahoma"/>
          <w:spacing w:val="31"/>
          <w:sz w:val="20"/>
          <w:szCs w:val="20"/>
        </w:rPr>
        <w:t xml:space="preserve"> </w:t>
      </w:r>
      <w:r w:rsidR="008518B0" w:rsidRPr="00B004EE">
        <w:rPr>
          <w:rFonts w:ascii="Tahoma" w:hAnsi="Tahoma" w:cs="Tahoma"/>
          <w:sz w:val="20"/>
          <w:szCs w:val="20"/>
        </w:rPr>
        <w:t>exerce</w:t>
      </w:r>
      <w:r w:rsidR="00DB1635" w:rsidRPr="00B004EE">
        <w:rPr>
          <w:rFonts w:ascii="Tahoma" w:hAnsi="Tahoma" w:cs="Tahoma"/>
          <w:spacing w:val="30"/>
          <w:sz w:val="20"/>
          <w:szCs w:val="20"/>
        </w:rPr>
        <w:t xml:space="preserve"> </w:t>
      </w:r>
      <w:r w:rsidR="008518B0" w:rsidRPr="00B004EE">
        <w:rPr>
          <w:rFonts w:ascii="Tahoma" w:hAnsi="Tahoma" w:cs="Tahoma"/>
          <w:sz w:val="20"/>
          <w:szCs w:val="20"/>
        </w:rPr>
        <w:t>de</w:t>
      </w:r>
      <w:r w:rsidR="00DB1635" w:rsidRPr="00B004EE">
        <w:rPr>
          <w:rFonts w:ascii="Tahoma" w:hAnsi="Tahoma" w:cs="Tahoma"/>
          <w:spacing w:val="30"/>
          <w:sz w:val="20"/>
          <w:szCs w:val="20"/>
        </w:rPr>
        <w:t xml:space="preserve"> </w:t>
      </w:r>
      <w:r w:rsidR="008518B0" w:rsidRPr="00B004EE">
        <w:rPr>
          <w:rFonts w:ascii="Tahoma" w:hAnsi="Tahoma" w:cs="Tahoma"/>
          <w:sz w:val="20"/>
          <w:szCs w:val="20"/>
        </w:rPr>
        <w:t>plein</w:t>
      </w:r>
      <w:r w:rsidR="00DB1635" w:rsidRPr="00B004EE">
        <w:rPr>
          <w:rFonts w:ascii="Tahoma" w:hAnsi="Tahoma" w:cs="Tahoma"/>
          <w:spacing w:val="31"/>
          <w:sz w:val="20"/>
          <w:szCs w:val="20"/>
        </w:rPr>
        <w:t xml:space="preserve"> </w:t>
      </w:r>
      <w:r w:rsidR="008518B0" w:rsidRPr="00B004EE">
        <w:rPr>
          <w:rFonts w:ascii="Tahoma" w:hAnsi="Tahoma" w:cs="Tahoma"/>
          <w:sz w:val="20"/>
          <w:szCs w:val="20"/>
        </w:rPr>
        <w:t>droit</w:t>
      </w:r>
      <w:r w:rsidR="00DB1635" w:rsidRPr="00B004EE">
        <w:rPr>
          <w:rFonts w:ascii="Tahoma" w:hAnsi="Tahoma" w:cs="Tahoma"/>
          <w:spacing w:val="31"/>
          <w:sz w:val="20"/>
          <w:szCs w:val="20"/>
        </w:rPr>
        <w:t xml:space="preserve"> </w:t>
      </w:r>
      <w:r w:rsidR="008518B0" w:rsidRPr="00B004EE">
        <w:rPr>
          <w:rFonts w:ascii="Tahoma" w:hAnsi="Tahoma" w:cs="Tahoma"/>
          <w:sz w:val="20"/>
          <w:szCs w:val="20"/>
        </w:rPr>
        <w:t>l'ensemble</w:t>
      </w:r>
      <w:r w:rsidR="00DB1635" w:rsidRPr="00B004EE">
        <w:rPr>
          <w:rFonts w:ascii="Tahoma" w:hAnsi="Tahoma" w:cs="Tahoma"/>
          <w:spacing w:val="30"/>
          <w:sz w:val="20"/>
          <w:szCs w:val="20"/>
        </w:rPr>
        <w:t xml:space="preserve"> </w:t>
      </w:r>
      <w:r w:rsidR="008518B0" w:rsidRPr="00B004EE">
        <w:rPr>
          <w:rFonts w:ascii="Tahoma" w:hAnsi="Tahoma" w:cs="Tahoma"/>
          <w:sz w:val="20"/>
          <w:szCs w:val="20"/>
        </w:rPr>
        <w:t>des</w:t>
      </w:r>
      <w:r w:rsidR="00DB1635" w:rsidRPr="00B004EE">
        <w:rPr>
          <w:rFonts w:ascii="Tahoma" w:hAnsi="Tahoma" w:cs="Tahoma"/>
          <w:spacing w:val="31"/>
          <w:sz w:val="20"/>
          <w:szCs w:val="20"/>
        </w:rPr>
        <w:t xml:space="preserve"> </w:t>
      </w:r>
      <w:r w:rsidR="008518B0" w:rsidRPr="00B004EE">
        <w:rPr>
          <w:rFonts w:ascii="Tahoma" w:hAnsi="Tahoma" w:cs="Tahoma"/>
          <w:spacing w:val="16"/>
          <w:sz w:val="20"/>
          <w:szCs w:val="20"/>
        </w:rPr>
        <w:t>compétences</w:t>
      </w:r>
      <w:r w:rsidR="00DB1635" w:rsidRPr="00B004EE">
        <w:rPr>
          <w:rFonts w:ascii="Tahoma" w:hAnsi="Tahoma" w:cs="Tahoma"/>
          <w:w w:val="99"/>
          <w:sz w:val="20"/>
          <w:szCs w:val="20"/>
        </w:rPr>
        <w:t xml:space="preserve"> </w:t>
      </w:r>
      <w:r w:rsidR="008518B0" w:rsidRPr="00B004EE">
        <w:rPr>
          <w:rFonts w:ascii="Tahoma" w:hAnsi="Tahoma" w:cs="Tahoma"/>
          <w:spacing w:val="12"/>
          <w:sz w:val="20"/>
          <w:szCs w:val="20"/>
        </w:rPr>
        <w:t>que</w:t>
      </w:r>
      <w:r w:rsidR="00DB1635" w:rsidRPr="00B004EE">
        <w:rPr>
          <w:rFonts w:ascii="Tahoma" w:hAnsi="Tahoma" w:cs="Tahoma"/>
          <w:spacing w:val="12"/>
          <w:sz w:val="20"/>
          <w:szCs w:val="20"/>
        </w:rPr>
        <w:t xml:space="preserve"> </w:t>
      </w:r>
      <w:r w:rsidR="008518B0" w:rsidRPr="00B004EE">
        <w:rPr>
          <w:rFonts w:ascii="Tahoma" w:hAnsi="Tahoma" w:cs="Tahoma"/>
          <w:spacing w:val="12"/>
          <w:sz w:val="20"/>
          <w:szCs w:val="20"/>
        </w:rPr>
        <w:t>les</w:t>
      </w:r>
      <w:r w:rsidR="00DB1635" w:rsidRPr="00B004EE">
        <w:rPr>
          <w:rFonts w:ascii="Tahoma" w:hAnsi="Tahoma" w:cs="Tahoma"/>
          <w:spacing w:val="12"/>
          <w:sz w:val="20"/>
          <w:szCs w:val="20"/>
        </w:rPr>
        <w:t xml:space="preserve"> </w:t>
      </w:r>
      <w:r w:rsidR="008518B0" w:rsidRPr="00B004EE">
        <w:rPr>
          <w:rFonts w:ascii="Tahoma" w:hAnsi="Tahoma" w:cs="Tahoma"/>
          <w:spacing w:val="16"/>
          <w:sz w:val="20"/>
          <w:szCs w:val="20"/>
        </w:rPr>
        <w:lastRenderedPageBreak/>
        <w:t>règlements</w:t>
      </w:r>
      <w:r w:rsidR="00DB1635" w:rsidRPr="00B004EE">
        <w:rPr>
          <w:rFonts w:ascii="Tahoma" w:hAnsi="Tahoma" w:cs="Tahoma"/>
          <w:spacing w:val="16"/>
          <w:sz w:val="20"/>
          <w:szCs w:val="20"/>
        </w:rPr>
        <w:t xml:space="preserve"> </w:t>
      </w:r>
      <w:r w:rsidR="008518B0" w:rsidRPr="00B004EE">
        <w:rPr>
          <w:rFonts w:ascii="Tahoma" w:hAnsi="Tahoma" w:cs="Tahoma"/>
          <w:sz w:val="20"/>
          <w:szCs w:val="20"/>
        </w:rPr>
        <w:t>attribuaient</w:t>
      </w:r>
      <w:r w:rsidR="00DB1635" w:rsidRPr="00B004EE">
        <w:rPr>
          <w:rFonts w:ascii="Tahoma" w:hAnsi="Tahoma" w:cs="Tahoma"/>
          <w:sz w:val="20"/>
          <w:szCs w:val="20"/>
        </w:rPr>
        <w:t xml:space="preserve"> </w:t>
      </w:r>
      <w:r w:rsidR="008518B0" w:rsidRPr="00B004EE">
        <w:rPr>
          <w:rFonts w:ascii="Tahoma" w:hAnsi="Tahoma" w:cs="Tahoma"/>
          <w:sz w:val="20"/>
          <w:szCs w:val="20"/>
        </w:rPr>
        <w:t>en</w:t>
      </w:r>
      <w:r w:rsidR="00DB1635" w:rsidRPr="00B004EE">
        <w:rPr>
          <w:rFonts w:ascii="Tahoma" w:hAnsi="Tahoma" w:cs="Tahoma"/>
          <w:sz w:val="20"/>
          <w:szCs w:val="20"/>
        </w:rPr>
        <w:t xml:space="preserve"> </w:t>
      </w:r>
      <w:r w:rsidR="008518B0" w:rsidRPr="00B004EE">
        <w:rPr>
          <w:rFonts w:ascii="Tahoma" w:hAnsi="Tahoma" w:cs="Tahoma"/>
          <w:sz w:val="20"/>
          <w:szCs w:val="20"/>
        </w:rPr>
        <w:t>matière</w:t>
      </w:r>
      <w:r w:rsidR="00DB1635" w:rsidRPr="00B004EE">
        <w:rPr>
          <w:rFonts w:ascii="Tahoma" w:hAnsi="Tahoma" w:cs="Tahoma"/>
          <w:sz w:val="20"/>
          <w:szCs w:val="20"/>
        </w:rPr>
        <w:t xml:space="preserve"> </w:t>
      </w:r>
      <w:r w:rsidR="008518B0" w:rsidRPr="00B004EE">
        <w:rPr>
          <w:rFonts w:ascii="Tahoma" w:hAnsi="Tahoma" w:cs="Tahoma"/>
          <w:sz w:val="20"/>
          <w:szCs w:val="20"/>
        </w:rPr>
        <w:t>de</w:t>
      </w:r>
      <w:r w:rsidR="00DB1635" w:rsidRPr="00B004EE">
        <w:rPr>
          <w:rFonts w:ascii="Tahoma" w:hAnsi="Tahoma" w:cs="Tahoma"/>
          <w:sz w:val="20"/>
          <w:szCs w:val="20"/>
        </w:rPr>
        <w:t xml:space="preserve"> </w:t>
      </w:r>
      <w:r w:rsidR="008518B0" w:rsidRPr="00B004EE">
        <w:rPr>
          <w:rFonts w:ascii="Tahoma" w:hAnsi="Tahoma" w:cs="Tahoma"/>
          <w:sz w:val="20"/>
          <w:szCs w:val="20"/>
        </w:rPr>
        <w:t>contrôle</w:t>
      </w:r>
      <w:r w:rsidR="00DB1635" w:rsidRPr="00B004EE">
        <w:rPr>
          <w:rFonts w:ascii="Tahoma" w:hAnsi="Tahoma" w:cs="Tahoma"/>
          <w:sz w:val="20"/>
          <w:szCs w:val="20"/>
        </w:rPr>
        <w:t xml:space="preserve"> </w:t>
      </w:r>
      <w:r w:rsidR="008518B0" w:rsidRPr="00B004EE">
        <w:rPr>
          <w:rFonts w:ascii="Tahoma" w:hAnsi="Tahoma" w:cs="Tahoma"/>
          <w:sz w:val="20"/>
          <w:szCs w:val="20"/>
        </w:rPr>
        <w:t>sanitaire</w:t>
      </w:r>
      <w:r w:rsidR="00DB1635" w:rsidRPr="00B004EE">
        <w:rPr>
          <w:rFonts w:ascii="Tahoma" w:hAnsi="Tahoma" w:cs="Tahoma"/>
          <w:sz w:val="20"/>
          <w:szCs w:val="20"/>
        </w:rPr>
        <w:t xml:space="preserve"> </w:t>
      </w:r>
      <w:r w:rsidR="008518B0" w:rsidRPr="00B004EE">
        <w:rPr>
          <w:rFonts w:ascii="Tahoma" w:hAnsi="Tahoma" w:cs="Tahoma"/>
          <w:sz w:val="20"/>
          <w:szCs w:val="20"/>
        </w:rPr>
        <w:t>des</w:t>
      </w:r>
      <w:r w:rsidR="00DB1635" w:rsidRPr="00B004EE">
        <w:rPr>
          <w:rFonts w:ascii="Tahoma" w:hAnsi="Tahoma" w:cs="Tahoma"/>
          <w:sz w:val="20"/>
          <w:szCs w:val="20"/>
        </w:rPr>
        <w:t xml:space="preserve"> </w:t>
      </w:r>
      <w:r w:rsidR="008518B0" w:rsidRPr="00B004EE">
        <w:rPr>
          <w:rFonts w:ascii="Tahoma" w:hAnsi="Tahoma" w:cs="Tahoma"/>
          <w:sz w:val="20"/>
          <w:szCs w:val="20"/>
        </w:rPr>
        <w:t>produits,</w:t>
      </w:r>
      <w:r w:rsidR="00DB1635" w:rsidRPr="00B004EE">
        <w:rPr>
          <w:rFonts w:ascii="Tahoma" w:hAnsi="Tahoma" w:cs="Tahoma"/>
          <w:sz w:val="20"/>
          <w:szCs w:val="20"/>
        </w:rPr>
        <w:t xml:space="preserve"> </w:t>
      </w:r>
      <w:r w:rsidR="008518B0" w:rsidRPr="00B004EE">
        <w:rPr>
          <w:rFonts w:ascii="Tahoma" w:hAnsi="Tahoma" w:cs="Tahoma"/>
          <w:sz w:val="20"/>
          <w:szCs w:val="20"/>
        </w:rPr>
        <w:t>à</w:t>
      </w:r>
      <w:r w:rsidR="00DB1635" w:rsidRPr="00B004EE">
        <w:rPr>
          <w:rFonts w:ascii="Tahoma" w:hAnsi="Tahoma" w:cs="Tahoma"/>
          <w:spacing w:val="17"/>
          <w:sz w:val="20"/>
          <w:szCs w:val="20"/>
        </w:rPr>
        <w:t xml:space="preserve"> </w:t>
      </w:r>
      <w:r w:rsidR="008518B0" w:rsidRPr="00B004EE">
        <w:rPr>
          <w:rFonts w:ascii="Tahoma" w:hAnsi="Tahoma" w:cs="Tahoma"/>
          <w:sz w:val="20"/>
          <w:szCs w:val="20"/>
        </w:rPr>
        <w:t>l'IMROP.</w:t>
      </w:r>
      <w:r w:rsidR="00DB1635" w:rsidRPr="00B004EE">
        <w:rPr>
          <w:rFonts w:ascii="Tahoma" w:hAnsi="Tahoma" w:cs="Tahoma"/>
          <w:w w:val="99"/>
          <w:sz w:val="20"/>
          <w:szCs w:val="20"/>
        </w:rPr>
        <w:t xml:space="preserve"> </w:t>
      </w:r>
      <w:r w:rsidR="008518B0" w:rsidRPr="00B004EE">
        <w:rPr>
          <w:rFonts w:ascii="Tahoma" w:hAnsi="Tahoma" w:cs="Tahoma"/>
          <w:spacing w:val="6"/>
          <w:sz w:val="20"/>
          <w:szCs w:val="20"/>
        </w:rPr>
        <w:t>Aux</w:t>
      </w:r>
      <w:r w:rsidR="00DB1635" w:rsidRPr="00B004EE">
        <w:rPr>
          <w:rFonts w:ascii="Tahoma" w:hAnsi="Tahoma" w:cs="Tahoma"/>
          <w:spacing w:val="51"/>
          <w:sz w:val="20"/>
          <w:szCs w:val="20"/>
        </w:rPr>
        <w:t xml:space="preserve"> </w:t>
      </w:r>
      <w:r w:rsidR="008518B0" w:rsidRPr="00B004EE">
        <w:rPr>
          <w:rFonts w:ascii="Tahoma" w:hAnsi="Tahoma" w:cs="Tahoma"/>
          <w:spacing w:val="7"/>
          <w:sz w:val="20"/>
          <w:szCs w:val="20"/>
        </w:rPr>
        <w:t>fins</w:t>
      </w:r>
      <w:r w:rsidR="00DB1635" w:rsidRPr="00B004EE">
        <w:rPr>
          <w:rFonts w:ascii="Tahoma" w:hAnsi="Tahoma" w:cs="Tahoma"/>
          <w:spacing w:val="49"/>
          <w:sz w:val="20"/>
          <w:szCs w:val="20"/>
        </w:rPr>
        <w:t xml:space="preserve"> </w:t>
      </w:r>
      <w:r w:rsidR="008518B0" w:rsidRPr="00B004EE">
        <w:rPr>
          <w:rFonts w:ascii="Tahoma" w:hAnsi="Tahoma" w:cs="Tahoma"/>
          <w:spacing w:val="6"/>
          <w:sz w:val="20"/>
          <w:szCs w:val="20"/>
        </w:rPr>
        <w:t>de</w:t>
      </w:r>
      <w:r w:rsidR="00DB1635" w:rsidRPr="00B004EE">
        <w:rPr>
          <w:rFonts w:ascii="Tahoma" w:hAnsi="Tahoma" w:cs="Tahoma"/>
          <w:spacing w:val="45"/>
          <w:sz w:val="20"/>
          <w:szCs w:val="20"/>
        </w:rPr>
        <w:t xml:space="preserve"> </w:t>
      </w:r>
      <w:r w:rsidR="008518B0" w:rsidRPr="00B004EE">
        <w:rPr>
          <w:rFonts w:ascii="Tahoma" w:hAnsi="Tahoma" w:cs="Tahoma"/>
          <w:spacing w:val="9"/>
          <w:sz w:val="20"/>
          <w:szCs w:val="20"/>
        </w:rPr>
        <w:t>bonne</w:t>
      </w:r>
      <w:r w:rsidR="00DB1635" w:rsidRPr="00B004EE">
        <w:rPr>
          <w:rFonts w:ascii="Tahoma" w:hAnsi="Tahoma" w:cs="Tahoma"/>
          <w:spacing w:val="48"/>
          <w:sz w:val="20"/>
          <w:szCs w:val="20"/>
        </w:rPr>
        <w:t xml:space="preserve"> </w:t>
      </w:r>
      <w:r w:rsidR="008518B0" w:rsidRPr="00B004EE">
        <w:rPr>
          <w:rFonts w:ascii="Tahoma" w:hAnsi="Tahoma" w:cs="Tahoma"/>
          <w:spacing w:val="9"/>
          <w:sz w:val="20"/>
          <w:szCs w:val="20"/>
        </w:rPr>
        <w:t>exécution</w:t>
      </w:r>
      <w:r w:rsidR="00DB1635" w:rsidRPr="00B004EE">
        <w:rPr>
          <w:rFonts w:ascii="Tahoma" w:hAnsi="Tahoma" w:cs="Tahoma"/>
          <w:spacing w:val="49"/>
          <w:sz w:val="20"/>
          <w:szCs w:val="20"/>
        </w:rPr>
        <w:t xml:space="preserve"> </w:t>
      </w:r>
      <w:r w:rsidR="008518B0" w:rsidRPr="00B004EE">
        <w:rPr>
          <w:rFonts w:ascii="Tahoma" w:hAnsi="Tahoma" w:cs="Tahoma"/>
          <w:spacing w:val="6"/>
          <w:sz w:val="20"/>
          <w:szCs w:val="20"/>
        </w:rPr>
        <w:t>de</w:t>
      </w:r>
      <w:r w:rsidR="00DB1635" w:rsidRPr="00B004EE">
        <w:rPr>
          <w:rFonts w:ascii="Tahoma" w:hAnsi="Tahoma" w:cs="Tahoma"/>
          <w:spacing w:val="45"/>
          <w:sz w:val="20"/>
          <w:szCs w:val="20"/>
        </w:rPr>
        <w:t xml:space="preserve"> </w:t>
      </w:r>
      <w:r w:rsidR="008518B0" w:rsidRPr="00B004EE">
        <w:rPr>
          <w:rFonts w:ascii="Tahoma" w:hAnsi="Tahoma" w:cs="Tahoma"/>
          <w:spacing w:val="7"/>
          <w:sz w:val="20"/>
          <w:szCs w:val="20"/>
        </w:rPr>
        <w:t>ses</w:t>
      </w:r>
      <w:r w:rsidR="00DB1635" w:rsidRPr="00B004EE">
        <w:rPr>
          <w:rFonts w:ascii="Tahoma" w:hAnsi="Tahoma" w:cs="Tahoma"/>
          <w:spacing w:val="46"/>
          <w:sz w:val="20"/>
          <w:szCs w:val="20"/>
        </w:rPr>
        <w:t xml:space="preserve"> </w:t>
      </w:r>
      <w:r w:rsidR="008518B0" w:rsidRPr="00B004EE">
        <w:rPr>
          <w:rFonts w:ascii="Tahoma" w:hAnsi="Tahoma" w:cs="Tahoma"/>
          <w:spacing w:val="9"/>
          <w:sz w:val="20"/>
          <w:szCs w:val="20"/>
        </w:rPr>
        <w:t>missions</w:t>
      </w:r>
      <w:r w:rsidR="00DB1635" w:rsidRPr="00B004EE">
        <w:rPr>
          <w:rFonts w:ascii="Tahoma" w:hAnsi="Tahoma" w:cs="Tahoma"/>
          <w:spacing w:val="49"/>
          <w:sz w:val="20"/>
          <w:szCs w:val="20"/>
        </w:rPr>
        <w:t xml:space="preserve"> </w:t>
      </w:r>
      <w:r w:rsidR="008518B0" w:rsidRPr="00B004EE">
        <w:rPr>
          <w:rFonts w:ascii="Tahoma" w:hAnsi="Tahoma" w:cs="Tahoma"/>
          <w:spacing w:val="4"/>
          <w:sz w:val="20"/>
          <w:szCs w:val="20"/>
        </w:rPr>
        <w:t>de</w:t>
      </w:r>
      <w:r w:rsidR="00DB1635" w:rsidRPr="00B004EE">
        <w:rPr>
          <w:rFonts w:ascii="Tahoma" w:hAnsi="Tahoma" w:cs="Tahoma"/>
          <w:spacing w:val="48"/>
          <w:sz w:val="20"/>
          <w:szCs w:val="20"/>
        </w:rPr>
        <w:t xml:space="preserve"> </w:t>
      </w:r>
      <w:r w:rsidR="008518B0" w:rsidRPr="00B004EE">
        <w:rPr>
          <w:rFonts w:ascii="Tahoma" w:hAnsi="Tahoma" w:cs="Tahoma"/>
          <w:spacing w:val="9"/>
          <w:sz w:val="20"/>
          <w:szCs w:val="20"/>
        </w:rPr>
        <w:t>contrôle</w:t>
      </w:r>
      <w:r w:rsidR="00DB1635" w:rsidRPr="00B004EE">
        <w:rPr>
          <w:rFonts w:ascii="Tahoma" w:hAnsi="Tahoma" w:cs="Tahoma"/>
          <w:spacing w:val="45"/>
          <w:sz w:val="20"/>
          <w:szCs w:val="20"/>
        </w:rPr>
        <w:t xml:space="preserve"> </w:t>
      </w:r>
      <w:r w:rsidR="008518B0" w:rsidRPr="00B004EE">
        <w:rPr>
          <w:rFonts w:ascii="Tahoma" w:hAnsi="Tahoma" w:cs="Tahoma"/>
          <w:spacing w:val="5"/>
          <w:sz w:val="20"/>
          <w:szCs w:val="20"/>
        </w:rPr>
        <w:t>et</w:t>
      </w:r>
      <w:r w:rsidR="00DB1635" w:rsidRPr="00B004EE">
        <w:rPr>
          <w:rFonts w:ascii="Tahoma" w:hAnsi="Tahoma" w:cs="Tahoma"/>
          <w:spacing w:val="47"/>
          <w:sz w:val="20"/>
          <w:szCs w:val="20"/>
        </w:rPr>
        <w:t xml:space="preserve"> </w:t>
      </w:r>
      <w:r w:rsidR="008518B0" w:rsidRPr="00B004EE">
        <w:rPr>
          <w:rFonts w:ascii="Tahoma" w:hAnsi="Tahoma" w:cs="Tahoma"/>
          <w:spacing w:val="9"/>
          <w:sz w:val="20"/>
          <w:szCs w:val="20"/>
        </w:rPr>
        <w:t>d'inspection</w:t>
      </w:r>
      <w:r w:rsidR="00DB1635" w:rsidRPr="00B004EE">
        <w:rPr>
          <w:rFonts w:ascii="Tahoma" w:hAnsi="Tahoma" w:cs="Tahoma"/>
          <w:spacing w:val="49"/>
          <w:sz w:val="20"/>
          <w:szCs w:val="20"/>
        </w:rPr>
        <w:t xml:space="preserve"> </w:t>
      </w:r>
      <w:r w:rsidR="003A697D" w:rsidRPr="00B004EE">
        <w:rPr>
          <w:rFonts w:ascii="Tahoma" w:hAnsi="Tahoma" w:cs="Tahoma"/>
          <w:sz w:val="20"/>
          <w:szCs w:val="20"/>
        </w:rPr>
        <w:t>sanitaire</w:t>
      </w:r>
      <w:r w:rsidR="00DB1635" w:rsidRPr="00B004EE">
        <w:rPr>
          <w:rFonts w:ascii="Tahoma" w:hAnsi="Tahoma" w:cs="Tahoma"/>
          <w:spacing w:val="28"/>
          <w:sz w:val="20"/>
          <w:szCs w:val="20"/>
        </w:rPr>
        <w:t xml:space="preserve"> </w:t>
      </w:r>
      <w:r w:rsidR="008518B0" w:rsidRPr="00B004EE">
        <w:rPr>
          <w:rFonts w:ascii="Tahoma" w:hAnsi="Tahoma" w:cs="Tahoma"/>
          <w:sz w:val="20"/>
          <w:szCs w:val="20"/>
        </w:rPr>
        <w:t>en</w:t>
      </w:r>
      <w:r w:rsidR="00DB1635" w:rsidRPr="00B004EE">
        <w:rPr>
          <w:rFonts w:ascii="Tahoma" w:hAnsi="Tahoma" w:cs="Tahoma"/>
          <w:w w:val="99"/>
          <w:sz w:val="20"/>
          <w:szCs w:val="20"/>
        </w:rPr>
        <w:t xml:space="preserve"> </w:t>
      </w:r>
      <w:r w:rsidR="008518B0" w:rsidRPr="00B004EE">
        <w:rPr>
          <w:rFonts w:ascii="Tahoma" w:hAnsi="Tahoma" w:cs="Tahoma"/>
          <w:sz w:val="20"/>
          <w:szCs w:val="20"/>
        </w:rPr>
        <w:t>toute</w:t>
      </w:r>
      <w:r w:rsidR="00DB1635" w:rsidRPr="00B004EE">
        <w:rPr>
          <w:rFonts w:ascii="Tahoma" w:hAnsi="Tahoma" w:cs="Tahoma"/>
          <w:sz w:val="20"/>
          <w:szCs w:val="20"/>
        </w:rPr>
        <w:t xml:space="preserve"> </w:t>
      </w:r>
      <w:r w:rsidR="008518B0" w:rsidRPr="00B004EE">
        <w:rPr>
          <w:rFonts w:ascii="Tahoma" w:hAnsi="Tahoma" w:cs="Tahoma"/>
          <w:sz w:val="20"/>
          <w:szCs w:val="20"/>
        </w:rPr>
        <w:t>indépendance,</w:t>
      </w:r>
      <w:r w:rsidR="00DB1635" w:rsidRPr="00B004EE">
        <w:rPr>
          <w:rFonts w:ascii="Tahoma" w:hAnsi="Tahoma" w:cs="Tahoma"/>
          <w:sz w:val="20"/>
          <w:szCs w:val="20"/>
        </w:rPr>
        <w:t xml:space="preserve"> </w:t>
      </w:r>
      <w:r w:rsidR="008518B0" w:rsidRPr="00B004EE">
        <w:rPr>
          <w:rFonts w:ascii="Tahoma" w:hAnsi="Tahoma" w:cs="Tahoma"/>
          <w:sz w:val="20"/>
          <w:szCs w:val="20"/>
        </w:rPr>
        <w:t>avec</w:t>
      </w:r>
      <w:r w:rsidR="00DB1635" w:rsidRPr="00B004EE">
        <w:rPr>
          <w:rFonts w:ascii="Tahoma" w:hAnsi="Tahoma" w:cs="Tahoma"/>
          <w:sz w:val="20"/>
          <w:szCs w:val="20"/>
        </w:rPr>
        <w:t xml:space="preserve"> </w:t>
      </w:r>
      <w:r w:rsidR="008518B0" w:rsidRPr="00B004EE">
        <w:rPr>
          <w:rFonts w:ascii="Tahoma" w:hAnsi="Tahoma" w:cs="Tahoma"/>
          <w:sz w:val="20"/>
          <w:szCs w:val="20"/>
        </w:rPr>
        <w:t>la</w:t>
      </w:r>
      <w:r w:rsidR="00DB1635" w:rsidRPr="00B004EE">
        <w:rPr>
          <w:rFonts w:ascii="Tahoma" w:hAnsi="Tahoma" w:cs="Tahoma"/>
          <w:sz w:val="20"/>
          <w:szCs w:val="20"/>
        </w:rPr>
        <w:t xml:space="preserve"> </w:t>
      </w:r>
      <w:r w:rsidR="008518B0" w:rsidRPr="00B004EE">
        <w:rPr>
          <w:rFonts w:ascii="Tahoma" w:hAnsi="Tahoma" w:cs="Tahoma"/>
          <w:sz w:val="20"/>
          <w:szCs w:val="20"/>
        </w:rPr>
        <w:t>diligence</w:t>
      </w:r>
      <w:r w:rsidR="00DB1635" w:rsidRPr="00B004EE">
        <w:rPr>
          <w:rFonts w:ascii="Tahoma" w:hAnsi="Tahoma" w:cs="Tahoma"/>
          <w:sz w:val="20"/>
          <w:szCs w:val="20"/>
        </w:rPr>
        <w:t xml:space="preserve"> </w:t>
      </w:r>
      <w:r w:rsidR="008518B0" w:rsidRPr="00B004EE">
        <w:rPr>
          <w:rFonts w:ascii="Tahoma" w:hAnsi="Tahoma" w:cs="Tahoma"/>
          <w:sz w:val="20"/>
          <w:szCs w:val="20"/>
        </w:rPr>
        <w:t>et</w:t>
      </w:r>
      <w:r w:rsidR="00DB1635" w:rsidRPr="00B004EE">
        <w:rPr>
          <w:rFonts w:ascii="Tahoma" w:hAnsi="Tahoma" w:cs="Tahoma"/>
          <w:sz w:val="20"/>
          <w:szCs w:val="20"/>
        </w:rPr>
        <w:t xml:space="preserve"> </w:t>
      </w:r>
      <w:r w:rsidR="008518B0" w:rsidRPr="00B004EE">
        <w:rPr>
          <w:rFonts w:ascii="Tahoma" w:hAnsi="Tahoma" w:cs="Tahoma"/>
          <w:sz w:val="20"/>
          <w:szCs w:val="20"/>
        </w:rPr>
        <w:t>la</w:t>
      </w:r>
      <w:r w:rsidR="00DB1635" w:rsidRPr="00B004EE">
        <w:rPr>
          <w:rFonts w:ascii="Tahoma" w:hAnsi="Tahoma" w:cs="Tahoma"/>
          <w:sz w:val="20"/>
          <w:szCs w:val="20"/>
        </w:rPr>
        <w:t xml:space="preserve"> </w:t>
      </w:r>
      <w:r w:rsidR="008518B0" w:rsidRPr="00B004EE">
        <w:rPr>
          <w:rFonts w:ascii="Tahoma" w:hAnsi="Tahoma" w:cs="Tahoma"/>
          <w:sz w:val="20"/>
          <w:szCs w:val="20"/>
        </w:rPr>
        <w:t>qualité</w:t>
      </w:r>
      <w:r w:rsidR="00DB1635" w:rsidRPr="00B004EE">
        <w:rPr>
          <w:rFonts w:ascii="Tahoma" w:hAnsi="Tahoma" w:cs="Tahoma"/>
          <w:sz w:val="20"/>
          <w:szCs w:val="20"/>
        </w:rPr>
        <w:t xml:space="preserve"> </w:t>
      </w:r>
      <w:r w:rsidR="008518B0" w:rsidRPr="00B004EE">
        <w:rPr>
          <w:rFonts w:ascii="Tahoma" w:hAnsi="Tahoma" w:cs="Tahoma"/>
          <w:sz w:val="20"/>
          <w:szCs w:val="20"/>
        </w:rPr>
        <w:t>requise</w:t>
      </w:r>
      <w:r w:rsidR="00DB1635" w:rsidRPr="00B004EE">
        <w:rPr>
          <w:rFonts w:ascii="Tahoma" w:hAnsi="Tahoma" w:cs="Tahoma"/>
          <w:sz w:val="20"/>
          <w:szCs w:val="20"/>
        </w:rPr>
        <w:t xml:space="preserve"> </w:t>
      </w:r>
      <w:r w:rsidR="008518B0" w:rsidRPr="00B004EE">
        <w:rPr>
          <w:rFonts w:ascii="Tahoma" w:hAnsi="Tahoma" w:cs="Tahoma"/>
          <w:sz w:val="20"/>
          <w:szCs w:val="20"/>
        </w:rPr>
        <w:t>pour</w:t>
      </w:r>
      <w:r w:rsidR="00DB1635" w:rsidRPr="00B004EE">
        <w:rPr>
          <w:rFonts w:ascii="Tahoma" w:hAnsi="Tahoma" w:cs="Tahoma"/>
          <w:sz w:val="20"/>
          <w:szCs w:val="20"/>
        </w:rPr>
        <w:t xml:space="preserve"> </w:t>
      </w:r>
      <w:r w:rsidR="008518B0" w:rsidRPr="00B004EE">
        <w:rPr>
          <w:rFonts w:ascii="Tahoma" w:hAnsi="Tahoma" w:cs="Tahoma"/>
          <w:sz w:val="20"/>
          <w:szCs w:val="20"/>
        </w:rPr>
        <w:t>les</w:t>
      </w:r>
      <w:r w:rsidR="00DB1635" w:rsidRPr="00B004EE">
        <w:rPr>
          <w:rFonts w:ascii="Tahoma" w:hAnsi="Tahoma" w:cs="Tahoma"/>
          <w:sz w:val="20"/>
          <w:szCs w:val="20"/>
        </w:rPr>
        <w:t xml:space="preserve"> </w:t>
      </w:r>
      <w:r w:rsidR="008518B0" w:rsidRPr="00B004EE">
        <w:rPr>
          <w:rFonts w:ascii="Tahoma" w:hAnsi="Tahoma" w:cs="Tahoma"/>
          <w:sz w:val="20"/>
          <w:szCs w:val="20"/>
        </w:rPr>
        <w:t>avis</w:t>
      </w:r>
      <w:r w:rsidR="00DB1635" w:rsidRPr="00B004EE">
        <w:rPr>
          <w:rFonts w:ascii="Tahoma" w:hAnsi="Tahoma" w:cs="Tahoma"/>
          <w:sz w:val="20"/>
          <w:szCs w:val="20"/>
        </w:rPr>
        <w:t xml:space="preserve"> </w:t>
      </w:r>
      <w:r w:rsidR="008518B0" w:rsidRPr="00B004EE">
        <w:rPr>
          <w:rFonts w:ascii="Tahoma" w:hAnsi="Tahoma" w:cs="Tahoma"/>
          <w:sz w:val="20"/>
          <w:szCs w:val="20"/>
        </w:rPr>
        <w:t>scientifiques</w:t>
      </w:r>
      <w:r w:rsidR="00DB1635" w:rsidRPr="00B004EE">
        <w:rPr>
          <w:rFonts w:ascii="Tahoma" w:hAnsi="Tahoma" w:cs="Tahoma"/>
          <w:spacing w:val="28"/>
          <w:sz w:val="20"/>
          <w:szCs w:val="20"/>
        </w:rPr>
        <w:t xml:space="preserve"> </w:t>
      </w:r>
      <w:r w:rsidR="008518B0" w:rsidRPr="00B004EE">
        <w:rPr>
          <w:rFonts w:ascii="Tahoma" w:hAnsi="Tahoma" w:cs="Tahoma"/>
          <w:sz w:val="20"/>
          <w:szCs w:val="20"/>
        </w:rPr>
        <w:t>et</w:t>
      </w:r>
      <w:r w:rsidR="00DB1635" w:rsidRPr="00B004EE">
        <w:rPr>
          <w:rFonts w:ascii="Tahoma" w:hAnsi="Tahoma" w:cs="Tahoma"/>
          <w:w w:val="99"/>
          <w:sz w:val="20"/>
          <w:szCs w:val="20"/>
        </w:rPr>
        <w:t xml:space="preserve"> </w:t>
      </w:r>
      <w:r w:rsidR="008518B0" w:rsidRPr="00B004EE">
        <w:rPr>
          <w:rFonts w:ascii="Tahoma" w:hAnsi="Tahoma" w:cs="Tahoma"/>
          <w:sz w:val="20"/>
          <w:szCs w:val="20"/>
        </w:rPr>
        <w:t>techniques,</w:t>
      </w:r>
      <w:r w:rsidR="00DB1635" w:rsidRPr="00B004EE">
        <w:rPr>
          <w:rFonts w:ascii="Tahoma" w:hAnsi="Tahoma" w:cs="Tahoma"/>
          <w:sz w:val="20"/>
          <w:szCs w:val="20"/>
        </w:rPr>
        <w:t xml:space="preserve"> </w:t>
      </w:r>
      <w:r w:rsidR="008518B0" w:rsidRPr="00B004EE">
        <w:rPr>
          <w:rFonts w:ascii="Tahoma" w:hAnsi="Tahoma" w:cs="Tahoma"/>
          <w:sz w:val="20"/>
          <w:szCs w:val="20"/>
        </w:rPr>
        <w:t>l'ONISPA</w:t>
      </w:r>
      <w:r w:rsidR="00DB1635" w:rsidRPr="00B004EE">
        <w:rPr>
          <w:rFonts w:ascii="Tahoma" w:hAnsi="Tahoma" w:cs="Tahoma"/>
          <w:sz w:val="20"/>
          <w:szCs w:val="20"/>
        </w:rPr>
        <w:t xml:space="preserve"> </w:t>
      </w:r>
      <w:r w:rsidR="008518B0" w:rsidRPr="00B004EE">
        <w:rPr>
          <w:rFonts w:ascii="Tahoma" w:hAnsi="Tahoma" w:cs="Tahoma"/>
          <w:sz w:val="20"/>
          <w:szCs w:val="20"/>
        </w:rPr>
        <w:t>fera</w:t>
      </w:r>
      <w:r w:rsidR="00DB1635" w:rsidRPr="00B004EE">
        <w:rPr>
          <w:rFonts w:ascii="Tahoma" w:hAnsi="Tahoma" w:cs="Tahoma"/>
          <w:sz w:val="20"/>
          <w:szCs w:val="20"/>
        </w:rPr>
        <w:t xml:space="preserve"> </w:t>
      </w:r>
      <w:r w:rsidR="008518B0" w:rsidRPr="00B004EE">
        <w:rPr>
          <w:rFonts w:ascii="Tahoma" w:hAnsi="Tahoma" w:cs="Tahoma"/>
          <w:sz w:val="20"/>
          <w:szCs w:val="20"/>
        </w:rPr>
        <w:t>recours</w:t>
      </w:r>
      <w:r w:rsidR="00DB1635" w:rsidRPr="00B004EE">
        <w:rPr>
          <w:rFonts w:ascii="Tahoma" w:hAnsi="Tahoma" w:cs="Tahoma"/>
          <w:sz w:val="20"/>
          <w:szCs w:val="20"/>
        </w:rPr>
        <w:t xml:space="preserve"> </w:t>
      </w:r>
      <w:r w:rsidR="008518B0" w:rsidRPr="00B004EE">
        <w:rPr>
          <w:rFonts w:ascii="Tahoma" w:hAnsi="Tahoma" w:cs="Tahoma"/>
          <w:sz w:val="20"/>
          <w:szCs w:val="20"/>
        </w:rPr>
        <w:t>à</w:t>
      </w:r>
      <w:r w:rsidR="00DB1635" w:rsidRPr="00B004EE">
        <w:rPr>
          <w:rFonts w:ascii="Tahoma" w:hAnsi="Tahoma" w:cs="Tahoma"/>
          <w:sz w:val="20"/>
          <w:szCs w:val="20"/>
        </w:rPr>
        <w:t xml:space="preserve"> </w:t>
      </w:r>
      <w:r w:rsidR="008518B0" w:rsidRPr="00B004EE">
        <w:rPr>
          <w:rFonts w:ascii="Tahoma" w:hAnsi="Tahoma" w:cs="Tahoma"/>
          <w:sz w:val="20"/>
          <w:szCs w:val="20"/>
        </w:rPr>
        <w:t>des</w:t>
      </w:r>
      <w:r w:rsidR="00DB1635" w:rsidRPr="00B004EE">
        <w:rPr>
          <w:rFonts w:ascii="Tahoma" w:hAnsi="Tahoma" w:cs="Tahoma"/>
          <w:sz w:val="20"/>
          <w:szCs w:val="20"/>
        </w:rPr>
        <w:t xml:space="preserve"> </w:t>
      </w:r>
      <w:r w:rsidR="008518B0" w:rsidRPr="00B004EE">
        <w:rPr>
          <w:rFonts w:ascii="Tahoma" w:hAnsi="Tahoma" w:cs="Tahoma"/>
          <w:sz w:val="20"/>
          <w:szCs w:val="20"/>
        </w:rPr>
        <w:t>laboratoires</w:t>
      </w:r>
      <w:r w:rsidR="00DB1635" w:rsidRPr="00B004EE">
        <w:rPr>
          <w:rFonts w:ascii="Tahoma" w:hAnsi="Tahoma" w:cs="Tahoma"/>
          <w:sz w:val="20"/>
          <w:szCs w:val="20"/>
        </w:rPr>
        <w:t xml:space="preserve"> </w:t>
      </w:r>
      <w:r w:rsidR="008518B0" w:rsidRPr="00B004EE">
        <w:rPr>
          <w:rFonts w:ascii="Tahoma" w:hAnsi="Tahoma" w:cs="Tahoma"/>
          <w:sz w:val="20"/>
          <w:szCs w:val="20"/>
        </w:rPr>
        <w:t>agréés</w:t>
      </w:r>
      <w:r w:rsidR="00DB1635" w:rsidRPr="00B004EE">
        <w:rPr>
          <w:rFonts w:ascii="Tahoma" w:hAnsi="Tahoma" w:cs="Tahoma"/>
          <w:sz w:val="20"/>
          <w:szCs w:val="20"/>
        </w:rPr>
        <w:t xml:space="preserve"> </w:t>
      </w:r>
      <w:r w:rsidR="008518B0" w:rsidRPr="00B004EE">
        <w:rPr>
          <w:rFonts w:ascii="Tahoma" w:hAnsi="Tahoma" w:cs="Tahoma"/>
          <w:sz w:val="20"/>
          <w:szCs w:val="20"/>
        </w:rPr>
        <w:t>dont</w:t>
      </w:r>
      <w:r w:rsidR="00DB1635" w:rsidRPr="00B004EE">
        <w:rPr>
          <w:rFonts w:ascii="Tahoma" w:hAnsi="Tahoma" w:cs="Tahoma"/>
          <w:sz w:val="20"/>
          <w:szCs w:val="20"/>
        </w:rPr>
        <w:t xml:space="preserve"> </w:t>
      </w:r>
      <w:r w:rsidR="008518B0" w:rsidRPr="00B004EE">
        <w:rPr>
          <w:rFonts w:ascii="Tahoma" w:hAnsi="Tahoma" w:cs="Tahoma"/>
          <w:sz w:val="20"/>
          <w:szCs w:val="20"/>
        </w:rPr>
        <w:t>les</w:t>
      </w:r>
      <w:r w:rsidR="00DB1635" w:rsidRPr="00B004EE">
        <w:rPr>
          <w:rFonts w:ascii="Tahoma" w:hAnsi="Tahoma" w:cs="Tahoma"/>
          <w:sz w:val="20"/>
          <w:szCs w:val="20"/>
        </w:rPr>
        <w:t xml:space="preserve"> </w:t>
      </w:r>
      <w:r w:rsidR="008518B0" w:rsidRPr="00B004EE">
        <w:rPr>
          <w:rFonts w:ascii="Tahoma" w:hAnsi="Tahoma" w:cs="Tahoma"/>
          <w:sz w:val="20"/>
          <w:szCs w:val="20"/>
        </w:rPr>
        <w:t>procédures</w:t>
      </w:r>
      <w:r w:rsidR="00DB1635" w:rsidRPr="00B004EE">
        <w:rPr>
          <w:rFonts w:ascii="Tahoma" w:hAnsi="Tahoma" w:cs="Tahoma"/>
          <w:sz w:val="20"/>
          <w:szCs w:val="20"/>
        </w:rPr>
        <w:t xml:space="preserve"> </w:t>
      </w:r>
      <w:r w:rsidR="008518B0" w:rsidRPr="00B004EE">
        <w:rPr>
          <w:rFonts w:ascii="Tahoma" w:hAnsi="Tahoma" w:cs="Tahoma"/>
          <w:sz w:val="20"/>
          <w:szCs w:val="20"/>
        </w:rPr>
        <w:t>et</w:t>
      </w:r>
      <w:r w:rsidR="00DB1635" w:rsidRPr="00B004EE">
        <w:rPr>
          <w:rFonts w:ascii="Tahoma" w:hAnsi="Tahoma" w:cs="Tahoma"/>
          <w:spacing w:val="33"/>
          <w:sz w:val="20"/>
          <w:szCs w:val="20"/>
        </w:rPr>
        <w:t xml:space="preserve"> </w:t>
      </w:r>
      <w:r w:rsidR="008518B0" w:rsidRPr="00B004EE">
        <w:rPr>
          <w:rFonts w:ascii="Tahoma" w:hAnsi="Tahoma" w:cs="Tahoma"/>
          <w:sz w:val="20"/>
          <w:szCs w:val="20"/>
        </w:rPr>
        <w:t>protocoles</w:t>
      </w:r>
      <w:r w:rsidR="00DB1635" w:rsidRPr="00B004EE">
        <w:rPr>
          <w:rFonts w:ascii="Tahoma" w:hAnsi="Tahoma" w:cs="Tahoma"/>
          <w:w w:val="99"/>
          <w:sz w:val="20"/>
          <w:szCs w:val="20"/>
        </w:rPr>
        <w:t xml:space="preserve"> </w:t>
      </w:r>
      <w:r w:rsidR="008518B0" w:rsidRPr="00B004EE">
        <w:rPr>
          <w:rFonts w:ascii="Tahoma" w:hAnsi="Tahoma" w:cs="Tahoma"/>
          <w:sz w:val="20"/>
          <w:szCs w:val="20"/>
        </w:rPr>
        <w:t>d'analyses</w:t>
      </w:r>
      <w:r w:rsidR="00DB1635" w:rsidRPr="00B004EE">
        <w:rPr>
          <w:rFonts w:ascii="Tahoma" w:hAnsi="Tahoma" w:cs="Tahoma"/>
          <w:sz w:val="20"/>
          <w:szCs w:val="20"/>
        </w:rPr>
        <w:t xml:space="preserve"> </w:t>
      </w:r>
      <w:r w:rsidR="008518B0" w:rsidRPr="00B004EE">
        <w:rPr>
          <w:rFonts w:ascii="Tahoma" w:hAnsi="Tahoma" w:cs="Tahoma"/>
          <w:sz w:val="20"/>
          <w:szCs w:val="20"/>
        </w:rPr>
        <w:t>sont</w:t>
      </w:r>
      <w:r w:rsidR="00DB1635" w:rsidRPr="00B004EE">
        <w:rPr>
          <w:rFonts w:ascii="Tahoma" w:hAnsi="Tahoma" w:cs="Tahoma"/>
          <w:sz w:val="20"/>
          <w:szCs w:val="20"/>
        </w:rPr>
        <w:t xml:space="preserve"> </w:t>
      </w:r>
      <w:r w:rsidR="008518B0" w:rsidRPr="00B004EE">
        <w:rPr>
          <w:rFonts w:ascii="Tahoma" w:hAnsi="Tahoma" w:cs="Tahoma"/>
          <w:sz w:val="20"/>
          <w:szCs w:val="20"/>
        </w:rPr>
        <w:t>approuvés</w:t>
      </w:r>
      <w:r w:rsidR="00DB1635" w:rsidRPr="00B004EE">
        <w:rPr>
          <w:rFonts w:ascii="Tahoma" w:hAnsi="Tahoma" w:cs="Tahoma"/>
          <w:sz w:val="20"/>
          <w:szCs w:val="20"/>
        </w:rPr>
        <w:t xml:space="preserve"> </w:t>
      </w:r>
      <w:r w:rsidR="008518B0" w:rsidRPr="00B004EE">
        <w:rPr>
          <w:rFonts w:ascii="Tahoma" w:hAnsi="Tahoma" w:cs="Tahoma"/>
          <w:sz w:val="20"/>
          <w:szCs w:val="20"/>
        </w:rPr>
        <w:t>par</w:t>
      </w:r>
      <w:r w:rsidR="00DB1635" w:rsidRPr="00B004EE">
        <w:rPr>
          <w:rFonts w:ascii="Tahoma" w:hAnsi="Tahoma" w:cs="Tahoma"/>
          <w:sz w:val="20"/>
          <w:szCs w:val="20"/>
        </w:rPr>
        <w:t xml:space="preserve"> </w:t>
      </w:r>
      <w:r w:rsidR="008518B0" w:rsidRPr="00B004EE">
        <w:rPr>
          <w:rFonts w:ascii="Tahoma" w:hAnsi="Tahoma" w:cs="Tahoma"/>
          <w:sz w:val="20"/>
          <w:szCs w:val="20"/>
        </w:rPr>
        <w:t>celui-</w:t>
      </w:r>
      <w:r w:rsidR="00DB1635" w:rsidRPr="00B004EE">
        <w:rPr>
          <w:rFonts w:ascii="Tahoma" w:hAnsi="Tahoma" w:cs="Tahoma"/>
          <w:sz w:val="20"/>
          <w:szCs w:val="20"/>
        </w:rPr>
        <w:t xml:space="preserve"> </w:t>
      </w:r>
      <w:r w:rsidR="008518B0" w:rsidRPr="00B004EE">
        <w:rPr>
          <w:rFonts w:ascii="Tahoma" w:hAnsi="Tahoma" w:cs="Tahoma"/>
          <w:sz w:val="20"/>
          <w:szCs w:val="20"/>
        </w:rPr>
        <w:t>ci.</w:t>
      </w:r>
      <w:r w:rsidR="00DB1635" w:rsidRPr="00B004EE">
        <w:rPr>
          <w:rFonts w:ascii="Tahoma" w:hAnsi="Tahoma" w:cs="Tahoma"/>
          <w:sz w:val="20"/>
          <w:szCs w:val="20"/>
        </w:rPr>
        <w:t xml:space="preserve"> </w:t>
      </w:r>
      <w:r w:rsidR="008518B0" w:rsidRPr="00B004EE">
        <w:rPr>
          <w:rFonts w:ascii="Tahoma" w:hAnsi="Tahoma" w:cs="Tahoma"/>
          <w:sz w:val="20"/>
          <w:szCs w:val="20"/>
        </w:rPr>
        <w:t>Les</w:t>
      </w:r>
      <w:r w:rsidR="00DB1635" w:rsidRPr="00B004EE">
        <w:rPr>
          <w:rFonts w:ascii="Tahoma" w:hAnsi="Tahoma" w:cs="Tahoma"/>
          <w:sz w:val="20"/>
          <w:szCs w:val="20"/>
        </w:rPr>
        <w:t xml:space="preserve"> </w:t>
      </w:r>
      <w:r w:rsidR="008518B0" w:rsidRPr="00B004EE">
        <w:rPr>
          <w:rFonts w:ascii="Tahoma" w:hAnsi="Tahoma" w:cs="Tahoma"/>
          <w:sz w:val="20"/>
          <w:szCs w:val="20"/>
        </w:rPr>
        <w:t>conditions</w:t>
      </w:r>
      <w:r w:rsidR="00DB1635" w:rsidRPr="00B004EE">
        <w:rPr>
          <w:rFonts w:ascii="Tahoma" w:hAnsi="Tahoma" w:cs="Tahoma"/>
          <w:sz w:val="20"/>
          <w:szCs w:val="20"/>
        </w:rPr>
        <w:t xml:space="preserve"> </w:t>
      </w:r>
      <w:r w:rsidR="008518B0" w:rsidRPr="00B004EE">
        <w:rPr>
          <w:rFonts w:ascii="Tahoma" w:hAnsi="Tahoma" w:cs="Tahoma"/>
          <w:spacing w:val="4"/>
          <w:sz w:val="20"/>
          <w:szCs w:val="20"/>
        </w:rPr>
        <w:t>d'agrément</w:t>
      </w:r>
      <w:r w:rsidR="00DB1635" w:rsidRPr="00B004EE">
        <w:rPr>
          <w:rFonts w:ascii="Tahoma" w:hAnsi="Tahoma" w:cs="Tahoma"/>
          <w:spacing w:val="4"/>
          <w:sz w:val="20"/>
          <w:szCs w:val="20"/>
        </w:rPr>
        <w:t xml:space="preserve"> </w:t>
      </w:r>
      <w:r w:rsidR="008518B0" w:rsidRPr="00B004EE">
        <w:rPr>
          <w:rFonts w:ascii="Tahoma" w:hAnsi="Tahoma" w:cs="Tahoma"/>
          <w:spacing w:val="3"/>
          <w:sz w:val="20"/>
          <w:szCs w:val="20"/>
        </w:rPr>
        <w:t>seront</w:t>
      </w:r>
      <w:r w:rsidR="00DB1635" w:rsidRPr="00B004EE">
        <w:rPr>
          <w:rFonts w:ascii="Tahoma" w:hAnsi="Tahoma" w:cs="Tahoma"/>
          <w:spacing w:val="3"/>
          <w:sz w:val="20"/>
          <w:szCs w:val="20"/>
        </w:rPr>
        <w:t xml:space="preserve"> </w:t>
      </w:r>
      <w:r w:rsidR="008518B0" w:rsidRPr="00B004EE">
        <w:rPr>
          <w:rFonts w:ascii="Tahoma" w:hAnsi="Tahoma" w:cs="Tahoma"/>
          <w:spacing w:val="3"/>
          <w:sz w:val="20"/>
          <w:szCs w:val="20"/>
        </w:rPr>
        <w:t>fixées</w:t>
      </w:r>
      <w:r w:rsidR="00DB1635" w:rsidRPr="00B004EE">
        <w:rPr>
          <w:rFonts w:ascii="Tahoma" w:hAnsi="Tahoma" w:cs="Tahoma"/>
          <w:spacing w:val="3"/>
          <w:sz w:val="20"/>
          <w:szCs w:val="20"/>
        </w:rPr>
        <w:t xml:space="preserve"> </w:t>
      </w:r>
      <w:r w:rsidR="008518B0" w:rsidRPr="00B004EE">
        <w:rPr>
          <w:rFonts w:ascii="Tahoma" w:hAnsi="Tahoma" w:cs="Tahoma"/>
          <w:spacing w:val="2"/>
          <w:sz w:val="20"/>
          <w:szCs w:val="20"/>
        </w:rPr>
        <w:t>par</w:t>
      </w:r>
      <w:r w:rsidR="00DB1635" w:rsidRPr="00B004EE">
        <w:rPr>
          <w:rFonts w:ascii="Tahoma" w:hAnsi="Tahoma" w:cs="Tahoma"/>
          <w:spacing w:val="2"/>
          <w:sz w:val="20"/>
          <w:szCs w:val="20"/>
        </w:rPr>
        <w:t xml:space="preserve"> </w:t>
      </w:r>
      <w:r w:rsidR="008518B0" w:rsidRPr="00B004EE">
        <w:rPr>
          <w:rFonts w:ascii="Tahoma" w:hAnsi="Tahoma" w:cs="Tahoma"/>
          <w:spacing w:val="3"/>
          <w:sz w:val="20"/>
          <w:szCs w:val="20"/>
        </w:rPr>
        <w:t>arrêté</w:t>
      </w:r>
      <w:r w:rsidR="00DB1635" w:rsidRPr="00B004EE">
        <w:rPr>
          <w:rFonts w:ascii="Tahoma" w:hAnsi="Tahoma" w:cs="Tahoma"/>
          <w:spacing w:val="40"/>
          <w:sz w:val="20"/>
          <w:szCs w:val="20"/>
        </w:rPr>
        <w:t xml:space="preserve"> </w:t>
      </w:r>
      <w:r w:rsidR="008518B0" w:rsidRPr="00B004EE">
        <w:rPr>
          <w:rFonts w:ascii="Tahoma" w:hAnsi="Tahoma" w:cs="Tahoma"/>
          <w:sz w:val="20"/>
          <w:szCs w:val="20"/>
        </w:rPr>
        <w:t>du</w:t>
      </w:r>
      <w:r w:rsidR="00DB1635" w:rsidRPr="00B004EE">
        <w:rPr>
          <w:rFonts w:ascii="Tahoma" w:hAnsi="Tahoma" w:cs="Tahoma"/>
          <w:w w:val="99"/>
          <w:sz w:val="20"/>
          <w:szCs w:val="20"/>
        </w:rPr>
        <w:t xml:space="preserve"> </w:t>
      </w:r>
      <w:r w:rsidR="008518B0" w:rsidRPr="00B004EE">
        <w:rPr>
          <w:rFonts w:ascii="Tahoma" w:hAnsi="Tahoma" w:cs="Tahoma"/>
          <w:spacing w:val="3"/>
          <w:sz w:val="20"/>
          <w:szCs w:val="20"/>
        </w:rPr>
        <w:t>Ministre</w:t>
      </w:r>
      <w:r w:rsidR="00DB1635" w:rsidRPr="00B004EE">
        <w:rPr>
          <w:rFonts w:ascii="Tahoma" w:hAnsi="Tahoma" w:cs="Tahoma"/>
          <w:spacing w:val="3"/>
          <w:sz w:val="20"/>
          <w:szCs w:val="20"/>
        </w:rPr>
        <w:t xml:space="preserve"> </w:t>
      </w:r>
      <w:r w:rsidR="008518B0" w:rsidRPr="00B004EE">
        <w:rPr>
          <w:rFonts w:ascii="Tahoma" w:hAnsi="Tahoma" w:cs="Tahoma"/>
          <w:sz w:val="20"/>
          <w:szCs w:val="20"/>
        </w:rPr>
        <w:t>des</w:t>
      </w:r>
      <w:r w:rsidR="00DB1635" w:rsidRPr="00B004EE">
        <w:rPr>
          <w:rFonts w:ascii="Tahoma" w:hAnsi="Tahoma" w:cs="Tahoma"/>
          <w:sz w:val="20"/>
          <w:szCs w:val="20"/>
        </w:rPr>
        <w:t xml:space="preserve"> </w:t>
      </w:r>
      <w:r w:rsidR="008518B0" w:rsidRPr="00B004EE">
        <w:rPr>
          <w:rFonts w:ascii="Tahoma" w:hAnsi="Tahoma" w:cs="Tahoma"/>
          <w:spacing w:val="2"/>
          <w:sz w:val="20"/>
          <w:szCs w:val="20"/>
        </w:rPr>
        <w:t>pêches</w:t>
      </w:r>
      <w:r w:rsidR="00DB1635" w:rsidRPr="00B004EE">
        <w:rPr>
          <w:rFonts w:ascii="Tahoma" w:hAnsi="Tahoma" w:cs="Tahoma"/>
          <w:spacing w:val="2"/>
          <w:sz w:val="20"/>
          <w:szCs w:val="20"/>
        </w:rPr>
        <w:t xml:space="preserve"> </w:t>
      </w:r>
      <w:r w:rsidR="008518B0" w:rsidRPr="00B004EE">
        <w:rPr>
          <w:rFonts w:ascii="Tahoma" w:hAnsi="Tahoma" w:cs="Tahoma"/>
          <w:sz w:val="20"/>
          <w:szCs w:val="20"/>
        </w:rPr>
        <w:t>et</w:t>
      </w:r>
      <w:r w:rsidR="00DB1635" w:rsidRPr="00B004EE">
        <w:rPr>
          <w:rFonts w:ascii="Tahoma" w:hAnsi="Tahoma" w:cs="Tahoma"/>
          <w:sz w:val="20"/>
          <w:szCs w:val="20"/>
        </w:rPr>
        <w:t xml:space="preserve"> </w:t>
      </w:r>
      <w:r w:rsidR="008518B0" w:rsidRPr="00B004EE">
        <w:rPr>
          <w:rFonts w:ascii="Tahoma" w:hAnsi="Tahoma" w:cs="Tahoma"/>
          <w:sz w:val="20"/>
          <w:szCs w:val="20"/>
        </w:rPr>
        <w:t>de</w:t>
      </w:r>
      <w:r w:rsidR="00DB1635" w:rsidRPr="00B004EE">
        <w:rPr>
          <w:rFonts w:ascii="Tahoma" w:hAnsi="Tahoma" w:cs="Tahoma"/>
          <w:sz w:val="20"/>
          <w:szCs w:val="20"/>
        </w:rPr>
        <w:t xml:space="preserve"> </w:t>
      </w:r>
      <w:r w:rsidR="008518B0" w:rsidRPr="00B004EE">
        <w:rPr>
          <w:rFonts w:ascii="Tahoma" w:hAnsi="Tahoma" w:cs="Tahoma"/>
          <w:spacing w:val="3"/>
          <w:sz w:val="20"/>
          <w:szCs w:val="20"/>
        </w:rPr>
        <w:t>l'Economie</w:t>
      </w:r>
      <w:r w:rsidR="00DB1635" w:rsidRPr="00B004EE">
        <w:rPr>
          <w:rFonts w:ascii="Tahoma" w:hAnsi="Tahoma" w:cs="Tahoma"/>
          <w:spacing w:val="62"/>
          <w:sz w:val="20"/>
          <w:szCs w:val="20"/>
        </w:rPr>
        <w:t xml:space="preserve"> </w:t>
      </w:r>
      <w:r w:rsidR="008518B0" w:rsidRPr="00B004EE">
        <w:rPr>
          <w:rFonts w:ascii="Tahoma" w:hAnsi="Tahoma" w:cs="Tahoma"/>
          <w:spacing w:val="-3"/>
          <w:sz w:val="20"/>
          <w:szCs w:val="20"/>
        </w:rPr>
        <w:t>Maritime.</w:t>
      </w:r>
    </w:p>
    <w:p w14:paraId="314B968F" w14:textId="77777777" w:rsidR="008518B0" w:rsidRPr="00B004EE" w:rsidRDefault="008518B0" w:rsidP="00B004EE">
      <w:pPr>
        <w:rPr>
          <w:rFonts w:ascii="Tahoma" w:eastAsia="Times" w:hAnsi="Tahoma" w:cs="Tahoma"/>
          <w:sz w:val="20"/>
          <w:szCs w:val="20"/>
        </w:rPr>
      </w:pPr>
    </w:p>
    <w:p w14:paraId="3BDBB54E" w14:textId="325DB072" w:rsidR="008518B0" w:rsidRPr="00B004EE" w:rsidRDefault="00FF661D" w:rsidP="00B004EE">
      <w:pPr>
        <w:pStyle w:val="Corpsdetexte"/>
        <w:ind w:left="175" w:right="159"/>
        <w:rPr>
          <w:rFonts w:ascii="Tahoma" w:hAnsi="Tahoma" w:cs="Tahoma"/>
          <w:sz w:val="20"/>
          <w:szCs w:val="20"/>
        </w:rPr>
      </w:pPr>
      <w:r w:rsidRPr="00B004EE">
        <w:rPr>
          <w:rFonts w:ascii="Tahoma" w:hAnsi="Tahoma" w:cs="Tahoma"/>
          <w:bCs/>
          <w:iCs/>
          <w:sz w:val="20"/>
          <w:szCs w:val="20"/>
        </w:rPr>
        <w:t xml:space="preserve">Article </w:t>
      </w:r>
      <w:r w:rsidR="008518B0" w:rsidRPr="00B004EE">
        <w:rPr>
          <w:rFonts w:ascii="Tahoma" w:hAnsi="Tahoma" w:cs="Tahoma"/>
          <w:bCs/>
          <w:iCs/>
          <w:sz w:val="20"/>
          <w:szCs w:val="20"/>
        </w:rPr>
        <w:t>4</w:t>
      </w:r>
      <w:r w:rsidR="00DB1635" w:rsidRPr="00B004EE">
        <w:rPr>
          <w:rFonts w:ascii="Tahoma" w:hAnsi="Tahoma" w:cs="Tahoma"/>
          <w:b/>
          <w:bCs/>
          <w:i/>
          <w:spacing w:val="-6"/>
          <w:sz w:val="20"/>
          <w:szCs w:val="20"/>
        </w:rPr>
        <w:t xml:space="preserve"> </w:t>
      </w:r>
      <w:r w:rsidR="008518B0" w:rsidRPr="00B004EE">
        <w:rPr>
          <w:rFonts w:ascii="Tahoma" w:hAnsi="Tahoma" w:cs="Tahoma"/>
          <w:b/>
          <w:bCs/>
          <w:i/>
          <w:sz w:val="20"/>
          <w:szCs w:val="20"/>
        </w:rPr>
        <w:t>:</w:t>
      </w:r>
      <w:r w:rsidR="00DB1635" w:rsidRPr="00B004EE">
        <w:rPr>
          <w:rFonts w:ascii="Tahoma" w:hAnsi="Tahoma" w:cs="Tahoma"/>
          <w:b/>
          <w:bCs/>
          <w:i/>
          <w:spacing w:val="-4"/>
          <w:sz w:val="20"/>
          <w:szCs w:val="20"/>
        </w:rPr>
        <w:t xml:space="preserve"> </w:t>
      </w:r>
      <w:r w:rsidR="008518B0" w:rsidRPr="00B004EE">
        <w:rPr>
          <w:rFonts w:ascii="Tahoma" w:hAnsi="Tahoma" w:cs="Tahoma"/>
          <w:sz w:val="20"/>
          <w:szCs w:val="20"/>
        </w:rPr>
        <w:t>Les</w:t>
      </w:r>
      <w:r w:rsidR="00DB1635" w:rsidRPr="00B004EE">
        <w:rPr>
          <w:rFonts w:ascii="Tahoma" w:hAnsi="Tahoma" w:cs="Tahoma"/>
          <w:spacing w:val="-3"/>
          <w:sz w:val="20"/>
          <w:szCs w:val="20"/>
        </w:rPr>
        <w:t xml:space="preserve"> </w:t>
      </w:r>
      <w:r w:rsidR="008518B0" w:rsidRPr="00B004EE">
        <w:rPr>
          <w:rFonts w:ascii="Tahoma" w:hAnsi="Tahoma" w:cs="Tahoma"/>
          <w:sz w:val="20"/>
          <w:szCs w:val="20"/>
        </w:rPr>
        <w:t>missions</w:t>
      </w:r>
      <w:r w:rsidR="00DB1635" w:rsidRPr="00B004EE">
        <w:rPr>
          <w:rFonts w:ascii="Tahoma" w:hAnsi="Tahoma" w:cs="Tahoma"/>
          <w:spacing w:val="-3"/>
          <w:sz w:val="20"/>
          <w:szCs w:val="20"/>
        </w:rPr>
        <w:t xml:space="preserve"> </w:t>
      </w:r>
      <w:r w:rsidR="008518B0" w:rsidRPr="00B004EE">
        <w:rPr>
          <w:rFonts w:ascii="Tahoma" w:hAnsi="Tahoma" w:cs="Tahoma"/>
          <w:sz w:val="20"/>
          <w:szCs w:val="20"/>
        </w:rPr>
        <w:t>d'inspection</w:t>
      </w:r>
      <w:r w:rsidR="00DB1635" w:rsidRPr="00B004EE">
        <w:rPr>
          <w:rFonts w:ascii="Tahoma" w:hAnsi="Tahoma" w:cs="Tahoma"/>
          <w:spacing w:val="-3"/>
          <w:sz w:val="20"/>
          <w:szCs w:val="20"/>
        </w:rPr>
        <w:t xml:space="preserve"> </w:t>
      </w:r>
      <w:r w:rsidR="008518B0" w:rsidRPr="00B004EE">
        <w:rPr>
          <w:rFonts w:ascii="Tahoma" w:hAnsi="Tahoma" w:cs="Tahoma"/>
          <w:sz w:val="20"/>
          <w:szCs w:val="20"/>
        </w:rPr>
        <w:t>et</w:t>
      </w:r>
      <w:r w:rsidR="00DB1635" w:rsidRPr="00B004EE">
        <w:rPr>
          <w:rFonts w:ascii="Tahoma" w:hAnsi="Tahoma" w:cs="Tahoma"/>
          <w:spacing w:val="-3"/>
          <w:sz w:val="20"/>
          <w:szCs w:val="20"/>
        </w:rPr>
        <w:t xml:space="preserve"> </w:t>
      </w:r>
      <w:r w:rsidR="008518B0" w:rsidRPr="00B004EE">
        <w:rPr>
          <w:rFonts w:ascii="Tahoma" w:hAnsi="Tahoma" w:cs="Tahoma"/>
          <w:sz w:val="20"/>
          <w:szCs w:val="20"/>
        </w:rPr>
        <w:t>de</w:t>
      </w:r>
      <w:r w:rsidR="00DB1635" w:rsidRPr="00B004EE">
        <w:rPr>
          <w:rFonts w:ascii="Tahoma" w:hAnsi="Tahoma" w:cs="Tahoma"/>
          <w:spacing w:val="-4"/>
          <w:sz w:val="20"/>
          <w:szCs w:val="20"/>
        </w:rPr>
        <w:t xml:space="preserve"> </w:t>
      </w:r>
      <w:r w:rsidR="008518B0" w:rsidRPr="00B004EE">
        <w:rPr>
          <w:rFonts w:ascii="Tahoma" w:hAnsi="Tahoma" w:cs="Tahoma"/>
          <w:sz w:val="20"/>
          <w:szCs w:val="20"/>
        </w:rPr>
        <w:t>contrôle</w:t>
      </w:r>
      <w:r w:rsidR="00DB1635" w:rsidRPr="00B004EE">
        <w:rPr>
          <w:rFonts w:ascii="Tahoma" w:hAnsi="Tahoma" w:cs="Tahoma"/>
          <w:spacing w:val="-4"/>
          <w:sz w:val="20"/>
          <w:szCs w:val="20"/>
        </w:rPr>
        <w:t xml:space="preserve"> </w:t>
      </w:r>
      <w:r w:rsidR="008518B0" w:rsidRPr="00B004EE">
        <w:rPr>
          <w:rFonts w:ascii="Tahoma" w:hAnsi="Tahoma" w:cs="Tahoma"/>
          <w:sz w:val="20"/>
          <w:szCs w:val="20"/>
        </w:rPr>
        <w:t>sanitaire,</w:t>
      </w:r>
      <w:r w:rsidR="00DB1635" w:rsidRPr="00B004EE">
        <w:rPr>
          <w:rFonts w:ascii="Tahoma" w:hAnsi="Tahoma" w:cs="Tahoma"/>
          <w:spacing w:val="-3"/>
          <w:sz w:val="20"/>
          <w:szCs w:val="20"/>
        </w:rPr>
        <w:t xml:space="preserve"> </w:t>
      </w:r>
      <w:r w:rsidR="008518B0" w:rsidRPr="00B004EE">
        <w:rPr>
          <w:rFonts w:ascii="Tahoma" w:hAnsi="Tahoma" w:cs="Tahoma"/>
          <w:sz w:val="20"/>
          <w:szCs w:val="20"/>
        </w:rPr>
        <w:t>prévues</w:t>
      </w:r>
      <w:r w:rsidR="00DB1635" w:rsidRPr="00B004EE">
        <w:rPr>
          <w:rFonts w:ascii="Tahoma" w:hAnsi="Tahoma" w:cs="Tahoma"/>
          <w:spacing w:val="-3"/>
          <w:sz w:val="20"/>
          <w:szCs w:val="20"/>
        </w:rPr>
        <w:t xml:space="preserve"> </w:t>
      </w:r>
      <w:r w:rsidR="008518B0" w:rsidRPr="00B004EE">
        <w:rPr>
          <w:rFonts w:ascii="Tahoma" w:hAnsi="Tahoma" w:cs="Tahoma"/>
          <w:sz w:val="20"/>
          <w:szCs w:val="20"/>
        </w:rPr>
        <w:t>par</w:t>
      </w:r>
      <w:r w:rsidR="00DB1635" w:rsidRPr="00B004EE">
        <w:rPr>
          <w:rFonts w:ascii="Tahoma" w:hAnsi="Tahoma" w:cs="Tahoma"/>
          <w:spacing w:val="-4"/>
          <w:sz w:val="20"/>
          <w:szCs w:val="20"/>
        </w:rPr>
        <w:t xml:space="preserve"> </w:t>
      </w:r>
      <w:r w:rsidR="008518B0" w:rsidRPr="00B004EE">
        <w:rPr>
          <w:rFonts w:ascii="Tahoma" w:hAnsi="Tahoma" w:cs="Tahoma"/>
          <w:sz w:val="20"/>
          <w:szCs w:val="20"/>
        </w:rPr>
        <w:t>le</w:t>
      </w:r>
      <w:r w:rsidR="00DB1635" w:rsidRPr="00B004EE">
        <w:rPr>
          <w:rFonts w:ascii="Tahoma" w:hAnsi="Tahoma" w:cs="Tahoma"/>
          <w:sz w:val="20"/>
          <w:szCs w:val="20"/>
        </w:rPr>
        <w:t xml:space="preserve"> </w:t>
      </w:r>
      <w:r w:rsidR="008518B0" w:rsidRPr="00B004EE">
        <w:rPr>
          <w:rFonts w:ascii="Tahoma" w:hAnsi="Tahoma" w:cs="Tahoma"/>
          <w:sz w:val="20"/>
          <w:szCs w:val="20"/>
        </w:rPr>
        <w:t>décret</w:t>
      </w:r>
      <w:r w:rsidR="00DB1635" w:rsidRPr="00B004EE">
        <w:rPr>
          <w:rFonts w:ascii="Tahoma" w:hAnsi="Tahoma" w:cs="Tahoma"/>
          <w:sz w:val="20"/>
          <w:szCs w:val="20"/>
        </w:rPr>
        <w:t xml:space="preserve"> </w:t>
      </w:r>
      <w:r w:rsidR="008518B0" w:rsidRPr="00B004EE">
        <w:rPr>
          <w:rFonts w:ascii="Tahoma" w:hAnsi="Tahoma" w:cs="Tahoma"/>
          <w:sz w:val="20"/>
          <w:szCs w:val="20"/>
        </w:rPr>
        <w:t>n°</w:t>
      </w:r>
      <w:r w:rsidR="00DB1635" w:rsidRPr="00B004EE">
        <w:rPr>
          <w:rFonts w:ascii="Tahoma" w:hAnsi="Tahoma" w:cs="Tahoma"/>
          <w:sz w:val="20"/>
          <w:szCs w:val="20"/>
        </w:rPr>
        <w:t xml:space="preserve"> </w:t>
      </w:r>
      <w:r w:rsidR="008518B0" w:rsidRPr="00B004EE">
        <w:rPr>
          <w:rFonts w:ascii="Tahoma" w:hAnsi="Tahoma" w:cs="Tahoma"/>
          <w:sz w:val="20"/>
          <w:szCs w:val="20"/>
        </w:rPr>
        <w:t>81</w:t>
      </w:r>
      <w:r w:rsidRPr="00B004EE">
        <w:rPr>
          <w:rFonts w:ascii="Tahoma" w:hAnsi="Tahoma" w:cs="Tahoma"/>
          <w:sz w:val="20"/>
          <w:szCs w:val="20"/>
        </w:rPr>
        <w:t>-0</w:t>
      </w:r>
      <w:r w:rsidR="008518B0" w:rsidRPr="00B004EE">
        <w:rPr>
          <w:rFonts w:ascii="Tahoma" w:hAnsi="Tahoma" w:cs="Tahoma"/>
          <w:sz w:val="20"/>
          <w:szCs w:val="20"/>
        </w:rPr>
        <w:t>62</w:t>
      </w:r>
      <w:r w:rsidR="00DB1635" w:rsidRPr="00B004EE">
        <w:rPr>
          <w:rFonts w:ascii="Tahoma" w:hAnsi="Tahoma" w:cs="Tahoma"/>
          <w:sz w:val="20"/>
          <w:szCs w:val="20"/>
        </w:rPr>
        <w:t xml:space="preserve"> </w:t>
      </w:r>
      <w:r w:rsidR="008518B0" w:rsidRPr="00B004EE">
        <w:rPr>
          <w:rFonts w:ascii="Tahoma" w:hAnsi="Tahoma" w:cs="Tahoma"/>
          <w:sz w:val="20"/>
          <w:szCs w:val="20"/>
        </w:rPr>
        <w:t>du</w:t>
      </w:r>
      <w:r w:rsidR="00DB1635" w:rsidRPr="00B004EE">
        <w:rPr>
          <w:rFonts w:ascii="Tahoma" w:hAnsi="Tahoma" w:cs="Tahoma"/>
          <w:sz w:val="20"/>
          <w:szCs w:val="20"/>
        </w:rPr>
        <w:t xml:space="preserve"> </w:t>
      </w:r>
      <w:r w:rsidR="008518B0" w:rsidRPr="00B004EE">
        <w:rPr>
          <w:rFonts w:ascii="Tahoma" w:hAnsi="Tahoma" w:cs="Tahoma"/>
          <w:sz w:val="20"/>
          <w:szCs w:val="20"/>
        </w:rPr>
        <w:t>2</w:t>
      </w:r>
      <w:r w:rsidR="00DB1635" w:rsidRPr="00B004EE">
        <w:rPr>
          <w:rFonts w:ascii="Tahoma" w:hAnsi="Tahoma" w:cs="Tahoma"/>
          <w:sz w:val="20"/>
          <w:szCs w:val="20"/>
        </w:rPr>
        <w:t xml:space="preserve"> </w:t>
      </w:r>
      <w:r w:rsidR="008518B0" w:rsidRPr="00B004EE">
        <w:rPr>
          <w:rFonts w:ascii="Tahoma" w:hAnsi="Tahoma" w:cs="Tahoma"/>
          <w:sz w:val="20"/>
          <w:szCs w:val="20"/>
        </w:rPr>
        <w:t>avril</w:t>
      </w:r>
      <w:r w:rsidR="00DB1635" w:rsidRPr="00B004EE">
        <w:rPr>
          <w:rFonts w:ascii="Tahoma" w:hAnsi="Tahoma" w:cs="Tahoma"/>
          <w:sz w:val="20"/>
          <w:szCs w:val="20"/>
        </w:rPr>
        <w:t xml:space="preserve"> </w:t>
      </w:r>
      <w:r w:rsidR="008518B0" w:rsidRPr="00B004EE">
        <w:rPr>
          <w:rFonts w:ascii="Tahoma" w:hAnsi="Tahoma" w:cs="Tahoma"/>
          <w:sz w:val="20"/>
          <w:szCs w:val="20"/>
        </w:rPr>
        <w:t>1981</w:t>
      </w:r>
      <w:r w:rsidR="00DB1635" w:rsidRPr="00B004EE">
        <w:rPr>
          <w:rFonts w:ascii="Tahoma" w:hAnsi="Tahoma" w:cs="Tahoma"/>
          <w:sz w:val="20"/>
          <w:szCs w:val="20"/>
        </w:rPr>
        <w:t xml:space="preserve"> </w:t>
      </w:r>
      <w:r w:rsidR="008518B0" w:rsidRPr="00B004EE">
        <w:rPr>
          <w:rFonts w:ascii="Tahoma" w:hAnsi="Tahoma" w:cs="Tahoma"/>
          <w:sz w:val="20"/>
          <w:szCs w:val="20"/>
        </w:rPr>
        <w:t>portant</w:t>
      </w:r>
      <w:r w:rsidR="00DB1635" w:rsidRPr="00B004EE">
        <w:rPr>
          <w:rFonts w:ascii="Tahoma" w:hAnsi="Tahoma" w:cs="Tahoma"/>
          <w:sz w:val="20"/>
          <w:szCs w:val="20"/>
        </w:rPr>
        <w:t xml:space="preserve"> </w:t>
      </w:r>
      <w:r w:rsidR="008518B0" w:rsidRPr="00B004EE">
        <w:rPr>
          <w:rFonts w:ascii="Tahoma" w:hAnsi="Tahoma" w:cs="Tahoma"/>
          <w:sz w:val="20"/>
          <w:szCs w:val="20"/>
        </w:rPr>
        <w:t>réglementation</w:t>
      </w:r>
      <w:r w:rsidR="00DB1635" w:rsidRPr="00B004EE">
        <w:rPr>
          <w:rFonts w:ascii="Tahoma" w:hAnsi="Tahoma" w:cs="Tahoma"/>
          <w:sz w:val="20"/>
          <w:szCs w:val="20"/>
        </w:rPr>
        <w:t xml:space="preserve"> </w:t>
      </w:r>
      <w:r w:rsidR="008518B0" w:rsidRPr="00B004EE">
        <w:rPr>
          <w:rFonts w:ascii="Tahoma" w:hAnsi="Tahoma" w:cs="Tahoma"/>
          <w:sz w:val="20"/>
          <w:szCs w:val="20"/>
        </w:rPr>
        <w:t>de</w:t>
      </w:r>
      <w:r w:rsidR="00DB1635" w:rsidRPr="00B004EE">
        <w:rPr>
          <w:rFonts w:ascii="Tahoma" w:hAnsi="Tahoma" w:cs="Tahoma"/>
          <w:sz w:val="20"/>
          <w:szCs w:val="20"/>
        </w:rPr>
        <w:t xml:space="preserve"> </w:t>
      </w:r>
      <w:r w:rsidR="008518B0" w:rsidRPr="00B004EE">
        <w:rPr>
          <w:rFonts w:ascii="Tahoma" w:hAnsi="Tahoma" w:cs="Tahoma"/>
          <w:sz w:val="20"/>
          <w:szCs w:val="20"/>
        </w:rPr>
        <w:t>l'inspection</w:t>
      </w:r>
      <w:r w:rsidR="00DB1635" w:rsidRPr="00B004EE">
        <w:rPr>
          <w:rFonts w:ascii="Tahoma" w:hAnsi="Tahoma" w:cs="Tahoma"/>
          <w:sz w:val="20"/>
          <w:szCs w:val="20"/>
        </w:rPr>
        <w:t xml:space="preserve"> </w:t>
      </w:r>
      <w:r w:rsidR="008518B0" w:rsidRPr="00B004EE">
        <w:rPr>
          <w:rFonts w:ascii="Tahoma" w:hAnsi="Tahoma" w:cs="Tahoma"/>
          <w:sz w:val="20"/>
          <w:szCs w:val="20"/>
        </w:rPr>
        <w:t>sanitaire</w:t>
      </w:r>
      <w:r w:rsidR="00DB1635" w:rsidRPr="00B004EE">
        <w:rPr>
          <w:rFonts w:ascii="Tahoma" w:hAnsi="Tahoma" w:cs="Tahoma"/>
          <w:sz w:val="20"/>
          <w:szCs w:val="20"/>
        </w:rPr>
        <w:t xml:space="preserve"> </w:t>
      </w:r>
      <w:r w:rsidR="008518B0" w:rsidRPr="00B004EE">
        <w:rPr>
          <w:rFonts w:ascii="Tahoma" w:hAnsi="Tahoma" w:cs="Tahoma"/>
          <w:sz w:val="20"/>
          <w:szCs w:val="20"/>
        </w:rPr>
        <w:t>et</w:t>
      </w:r>
      <w:r w:rsidR="00DB1635" w:rsidRPr="00B004EE">
        <w:rPr>
          <w:rFonts w:ascii="Tahoma" w:hAnsi="Tahoma" w:cs="Tahoma"/>
          <w:sz w:val="20"/>
          <w:szCs w:val="20"/>
        </w:rPr>
        <w:t xml:space="preserve"> </w:t>
      </w:r>
      <w:r w:rsidR="008518B0" w:rsidRPr="00B004EE">
        <w:rPr>
          <w:rFonts w:ascii="Tahoma" w:hAnsi="Tahoma" w:cs="Tahoma"/>
          <w:sz w:val="20"/>
          <w:szCs w:val="20"/>
        </w:rPr>
        <w:t>du</w:t>
      </w:r>
      <w:r w:rsidR="00DB1635" w:rsidRPr="00B004EE">
        <w:rPr>
          <w:rFonts w:ascii="Tahoma" w:hAnsi="Tahoma" w:cs="Tahoma"/>
          <w:sz w:val="20"/>
          <w:szCs w:val="20"/>
        </w:rPr>
        <w:t xml:space="preserve"> </w:t>
      </w:r>
      <w:r w:rsidR="008518B0" w:rsidRPr="00B004EE">
        <w:rPr>
          <w:rFonts w:ascii="Tahoma" w:hAnsi="Tahoma" w:cs="Tahoma"/>
          <w:sz w:val="20"/>
          <w:szCs w:val="20"/>
        </w:rPr>
        <w:t>contrôle</w:t>
      </w:r>
      <w:r w:rsidR="00DB1635" w:rsidRPr="00B004EE">
        <w:rPr>
          <w:rFonts w:ascii="Tahoma" w:hAnsi="Tahoma" w:cs="Tahoma"/>
          <w:sz w:val="20"/>
          <w:szCs w:val="20"/>
        </w:rPr>
        <w:t xml:space="preserve"> </w:t>
      </w:r>
      <w:r w:rsidR="008518B0" w:rsidRPr="00B004EE">
        <w:rPr>
          <w:rFonts w:ascii="Tahoma" w:hAnsi="Tahoma" w:cs="Tahoma"/>
          <w:sz w:val="20"/>
          <w:szCs w:val="20"/>
        </w:rPr>
        <w:t>de</w:t>
      </w:r>
      <w:r w:rsidR="00DB1635" w:rsidRPr="00B004EE">
        <w:rPr>
          <w:rFonts w:ascii="Tahoma" w:hAnsi="Tahoma" w:cs="Tahoma"/>
          <w:sz w:val="20"/>
          <w:szCs w:val="20"/>
        </w:rPr>
        <w:t xml:space="preserve"> </w:t>
      </w:r>
      <w:r w:rsidR="008518B0" w:rsidRPr="00B004EE">
        <w:rPr>
          <w:rFonts w:ascii="Tahoma" w:hAnsi="Tahoma" w:cs="Tahoma"/>
          <w:sz w:val="20"/>
          <w:szCs w:val="20"/>
        </w:rPr>
        <w:t>salubrité</w:t>
      </w:r>
      <w:r w:rsidR="00DB1635" w:rsidRPr="00B004EE">
        <w:rPr>
          <w:rFonts w:ascii="Tahoma" w:hAnsi="Tahoma" w:cs="Tahoma"/>
          <w:sz w:val="20"/>
          <w:szCs w:val="20"/>
        </w:rPr>
        <w:t xml:space="preserve"> </w:t>
      </w:r>
      <w:r w:rsidR="008518B0" w:rsidRPr="00B004EE">
        <w:rPr>
          <w:rFonts w:ascii="Tahoma" w:hAnsi="Tahoma" w:cs="Tahoma"/>
          <w:sz w:val="20"/>
          <w:szCs w:val="20"/>
        </w:rPr>
        <w:t>des</w:t>
      </w:r>
      <w:r w:rsidR="00DB1635" w:rsidRPr="00B004EE">
        <w:rPr>
          <w:rFonts w:ascii="Tahoma" w:hAnsi="Tahoma" w:cs="Tahoma"/>
          <w:sz w:val="20"/>
          <w:szCs w:val="20"/>
        </w:rPr>
        <w:t xml:space="preserve"> </w:t>
      </w:r>
      <w:r w:rsidR="008518B0" w:rsidRPr="00B004EE">
        <w:rPr>
          <w:rFonts w:ascii="Tahoma" w:hAnsi="Tahoma" w:cs="Tahoma"/>
          <w:sz w:val="20"/>
          <w:szCs w:val="20"/>
        </w:rPr>
        <w:t>produits</w:t>
      </w:r>
      <w:r w:rsidR="00DB1635" w:rsidRPr="00B004EE">
        <w:rPr>
          <w:rFonts w:ascii="Tahoma" w:hAnsi="Tahoma" w:cs="Tahoma"/>
          <w:sz w:val="20"/>
          <w:szCs w:val="20"/>
        </w:rPr>
        <w:t xml:space="preserve"> </w:t>
      </w:r>
      <w:r w:rsidR="008518B0" w:rsidRPr="00B004EE">
        <w:rPr>
          <w:rFonts w:ascii="Tahoma" w:hAnsi="Tahoma" w:cs="Tahoma"/>
          <w:sz w:val="20"/>
          <w:szCs w:val="20"/>
        </w:rPr>
        <w:t>de</w:t>
      </w:r>
      <w:r w:rsidR="00DB1635" w:rsidRPr="00B004EE">
        <w:rPr>
          <w:rFonts w:ascii="Tahoma" w:hAnsi="Tahoma" w:cs="Tahoma"/>
          <w:sz w:val="20"/>
          <w:szCs w:val="20"/>
        </w:rPr>
        <w:t xml:space="preserve"> </w:t>
      </w:r>
      <w:r w:rsidR="008518B0" w:rsidRPr="00B004EE">
        <w:rPr>
          <w:rFonts w:ascii="Tahoma" w:hAnsi="Tahoma" w:cs="Tahoma"/>
          <w:sz w:val="20"/>
          <w:szCs w:val="20"/>
        </w:rPr>
        <w:t>la</w:t>
      </w:r>
      <w:r w:rsidR="00DB1635" w:rsidRPr="00B004EE">
        <w:rPr>
          <w:rFonts w:ascii="Tahoma" w:hAnsi="Tahoma" w:cs="Tahoma"/>
          <w:sz w:val="20"/>
          <w:szCs w:val="20"/>
        </w:rPr>
        <w:t xml:space="preserve"> </w:t>
      </w:r>
      <w:r w:rsidR="008518B0" w:rsidRPr="00B004EE">
        <w:rPr>
          <w:rFonts w:ascii="Tahoma" w:hAnsi="Tahoma" w:cs="Tahoma"/>
          <w:sz w:val="20"/>
          <w:szCs w:val="20"/>
        </w:rPr>
        <w:t>pêche</w:t>
      </w:r>
      <w:r w:rsidR="00DB1635" w:rsidRPr="00B004EE">
        <w:rPr>
          <w:rFonts w:ascii="Tahoma" w:hAnsi="Tahoma" w:cs="Tahoma"/>
          <w:sz w:val="20"/>
          <w:szCs w:val="20"/>
        </w:rPr>
        <w:t xml:space="preserve"> </w:t>
      </w:r>
      <w:r w:rsidR="008518B0" w:rsidRPr="00B004EE">
        <w:rPr>
          <w:rFonts w:ascii="Tahoma" w:hAnsi="Tahoma" w:cs="Tahoma"/>
          <w:sz w:val="20"/>
          <w:szCs w:val="20"/>
        </w:rPr>
        <w:t>destinés</w:t>
      </w:r>
      <w:r w:rsidR="00DB1635" w:rsidRPr="00B004EE">
        <w:rPr>
          <w:rFonts w:ascii="Tahoma" w:hAnsi="Tahoma" w:cs="Tahoma"/>
          <w:sz w:val="20"/>
          <w:szCs w:val="20"/>
        </w:rPr>
        <w:t xml:space="preserve"> </w:t>
      </w:r>
      <w:r w:rsidR="008518B0" w:rsidRPr="00B004EE">
        <w:rPr>
          <w:rFonts w:ascii="Tahoma" w:hAnsi="Tahoma" w:cs="Tahoma"/>
          <w:sz w:val="20"/>
          <w:szCs w:val="20"/>
        </w:rPr>
        <w:t>à</w:t>
      </w:r>
      <w:r w:rsidR="00DB1635" w:rsidRPr="00B004EE">
        <w:rPr>
          <w:rFonts w:ascii="Tahoma" w:hAnsi="Tahoma" w:cs="Tahoma"/>
          <w:sz w:val="20"/>
          <w:szCs w:val="20"/>
        </w:rPr>
        <w:t xml:space="preserve"> </w:t>
      </w:r>
      <w:r w:rsidR="008518B0" w:rsidRPr="00B004EE">
        <w:rPr>
          <w:rFonts w:ascii="Tahoma" w:hAnsi="Tahoma" w:cs="Tahoma"/>
          <w:sz w:val="20"/>
          <w:szCs w:val="20"/>
        </w:rPr>
        <w:t>l'alimentation</w:t>
      </w:r>
      <w:r w:rsidR="00DB1635" w:rsidRPr="00B004EE">
        <w:rPr>
          <w:rFonts w:ascii="Tahoma" w:hAnsi="Tahoma" w:cs="Tahoma"/>
          <w:sz w:val="20"/>
          <w:szCs w:val="20"/>
        </w:rPr>
        <w:t xml:space="preserve"> </w:t>
      </w:r>
      <w:r w:rsidR="008518B0" w:rsidRPr="00B004EE">
        <w:rPr>
          <w:rFonts w:ascii="Tahoma" w:hAnsi="Tahoma" w:cs="Tahoma"/>
          <w:sz w:val="20"/>
          <w:szCs w:val="20"/>
        </w:rPr>
        <w:t>humaine</w:t>
      </w:r>
      <w:r w:rsidR="00DB1635" w:rsidRPr="00B004EE">
        <w:rPr>
          <w:rFonts w:ascii="Tahoma" w:hAnsi="Tahoma" w:cs="Tahoma"/>
          <w:sz w:val="20"/>
          <w:szCs w:val="20"/>
        </w:rPr>
        <w:t xml:space="preserve"> </w:t>
      </w:r>
      <w:r w:rsidR="008518B0" w:rsidRPr="00B004EE">
        <w:rPr>
          <w:rFonts w:ascii="Tahoma" w:hAnsi="Tahoma" w:cs="Tahoma"/>
          <w:sz w:val="20"/>
          <w:szCs w:val="20"/>
        </w:rPr>
        <w:t>et</w:t>
      </w:r>
      <w:r w:rsidR="00DB1635" w:rsidRPr="00B004EE">
        <w:rPr>
          <w:rFonts w:ascii="Tahoma" w:hAnsi="Tahoma" w:cs="Tahoma"/>
          <w:sz w:val="20"/>
          <w:szCs w:val="20"/>
        </w:rPr>
        <w:t xml:space="preserve"> </w:t>
      </w:r>
      <w:r w:rsidR="008518B0" w:rsidRPr="00B004EE">
        <w:rPr>
          <w:rFonts w:ascii="Tahoma" w:hAnsi="Tahoma" w:cs="Tahoma"/>
          <w:spacing w:val="5"/>
          <w:sz w:val="20"/>
          <w:szCs w:val="20"/>
        </w:rPr>
        <w:t>par</w:t>
      </w:r>
      <w:r w:rsidR="00DB1635" w:rsidRPr="00B004EE">
        <w:rPr>
          <w:rFonts w:ascii="Tahoma" w:hAnsi="Tahoma" w:cs="Tahoma"/>
          <w:spacing w:val="5"/>
          <w:sz w:val="20"/>
          <w:szCs w:val="20"/>
        </w:rPr>
        <w:t xml:space="preserve"> </w:t>
      </w:r>
      <w:r w:rsidR="008518B0" w:rsidRPr="00B004EE">
        <w:rPr>
          <w:rFonts w:ascii="Tahoma" w:hAnsi="Tahoma" w:cs="Tahoma"/>
          <w:spacing w:val="6"/>
          <w:sz w:val="20"/>
          <w:szCs w:val="20"/>
        </w:rPr>
        <w:t>les</w:t>
      </w:r>
      <w:r w:rsidR="00DB1635" w:rsidRPr="00B004EE">
        <w:rPr>
          <w:rFonts w:ascii="Tahoma" w:hAnsi="Tahoma" w:cs="Tahoma"/>
          <w:spacing w:val="9"/>
          <w:sz w:val="20"/>
          <w:szCs w:val="20"/>
        </w:rPr>
        <w:t xml:space="preserve"> </w:t>
      </w:r>
      <w:r w:rsidR="008518B0" w:rsidRPr="00B004EE">
        <w:rPr>
          <w:rFonts w:ascii="Tahoma" w:hAnsi="Tahoma" w:cs="Tahoma"/>
          <w:spacing w:val="8"/>
          <w:sz w:val="20"/>
          <w:szCs w:val="20"/>
        </w:rPr>
        <w:t>textes</w:t>
      </w:r>
      <w:r w:rsidR="00DB1635" w:rsidRPr="00B004EE">
        <w:rPr>
          <w:rFonts w:ascii="Tahoma" w:hAnsi="Tahoma" w:cs="Tahoma"/>
          <w:w w:val="99"/>
          <w:sz w:val="20"/>
          <w:szCs w:val="20"/>
        </w:rPr>
        <w:t xml:space="preserve"> </w:t>
      </w:r>
      <w:r w:rsidR="008518B0" w:rsidRPr="00B004EE">
        <w:rPr>
          <w:rFonts w:ascii="Tahoma" w:hAnsi="Tahoma" w:cs="Tahoma"/>
          <w:spacing w:val="8"/>
          <w:sz w:val="20"/>
          <w:szCs w:val="20"/>
        </w:rPr>
        <w:t>subséquents,</w:t>
      </w:r>
      <w:r w:rsidR="00DB1635" w:rsidRPr="00B004EE">
        <w:rPr>
          <w:rFonts w:ascii="Tahoma" w:hAnsi="Tahoma" w:cs="Tahoma"/>
          <w:spacing w:val="8"/>
          <w:sz w:val="20"/>
          <w:szCs w:val="20"/>
        </w:rPr>
        <w:t xml:space="preserve"> </w:t>
      </w:r>
      <w:r w:rsidR="008518B0" w:rsidRPr="00B004EE">
        <w:rPr>
          <w:rFonts w:ascii="Tahoma" w:hAnsi="Tahoma" w:cs="Tahoma"/>
          <w:spacing w:val="8"/>
          <w:sz w:val="20"/>
          <w:szCs w:val="20"/>
        </w:rPr>
        <w:t>jusqu'ici</w:t>
      </w:r>
      <w:r w:rsidR="00DB1635" w:rsidRPr="00B004EE">
        <w:rPr>
          <w:rFonts w:ascii="Tahoma" w:hAnsi="Tahoma" w:cs="Tahoma"/>
          <w:spacing w:val="8"/>
          <w:sz w:val="20"/>
          <w:szCs w:val="20"/>
        </w:rPr>
        <w:t xml:space="preserve"> </w:t>
      </w:r>
      <w:r w:rsidR="008518B0" w:rsidRPr="00B004EE">
        <w:rPr>
          <w:rFonts w:ascii="Tahoma" w:hAnsi="Tahoma" w:cs="Tahoma"/>
          <w:spacing w:val="8"/>
          <w:sz w:val="20"/>
          <w:szCs w:val="20"/>
        </w:rPr>
        <w:t>dévolues</w:t>
      </w:r>
      <w:r w:rsidR="00DB1635" w:rsidRPr="00B004EE">
        <w:rPr>
          <w:rFonts w:ascii="Tahoma" w:hAnsi="Tahoma" w:cs="Tahoma"/>
          <w:spacing w:val="8"/>
          <w:sz w:val="20"/>
          <w:szCs w:val="20"/>
        </w:rPr>
        <w:t xml:space="preserve"> </w:t>
      </w:r>
      <w:r w:rsidR="008518B0" w:rsidRPr="00B004EE">
        <w:rPr>
          <w:rFonts w:ascii="Tahoma" w:hAnsi="Tahoma" w:cs="Tahoma"/>
          <w:sz w:val="20"/>
          <w:szCs w:val="20"/>
        </w:rPr>
        <w:t>à</w:t>
      </w:r>
      <w:r w:rsidR="00DB1635" w:rsidRPr="00B004EE">
        <w:rPr>
          <w:rFonts w:ascii="Tahoma" w:hAnsi="Tahoma" w:cs="Tahoma"/>
          <w:sz w:val="20"/>
          <w:szCs w:val="20"/>
        </w:rPr>
        <w:t xml:space="preserve"> </w:t>
      </w:r>
      <w:r w:rsidR="008518B0" w:rsidRPr="00B004EE">
        <w:rPr>
          <w:rFonts w:ascii="Tahoma" w:hAnsi="Tahoma" w:cs="Tahoma"/>
          <w:spacing w:val="8"/>
          <w:sz w:val="20"/>
          <w:szCs w:val="20"/>
        </w:rPr>
        <w:t>l'IMROP,</w:t>
      </w:r>
      <w:r w:rsidR="00DB1635" w:rsidRPr="00B004EE">
        <w:rPr>
          <w:rFonts w:ascii="Tahoma" w:hAnsi="Tahoma" w:cs="Tahoma"/>
          <w:spacing w:val="8"/>
          <w:sz w:val="20"/>
          <w:szCs w:val="20"/>
        </w:rPr>
        <w:t xml:space="preserve"> </w:t>
      </w:r>
      <w:r w:rsidR="008518B0" w:rsidRPr="00B004EE">
        <w:rPr>
          <w:rFonts w:ascii="Tahoma" w:hAnsi="Tahoma" w:cs="Tahoma"/>
          <w:spacing w:val="8"/>
          <w:sz w:val="20"/>
          <w:szCs w:val="20"/>
        </w:rPr>
        <w:t>reviennent</w:t>
      </w:r>
      <w:r w:rsidR="00DB1635" w:rsidRPr="00B004EE">
        <w:rPr>
          <w:rFonts w:ascii="Tahoma" w:hAnsi="Tahoma" w:cs="Tahoma"/>
          <w:spacing w:val="8"/>
          <w:sz w:val="20"/>
          <w:szCs w:val="20"/>
        </w:rPr>
        <w:t xml:space="preserve"> </w:t>
      </w:r>
      <w:r w:rsidR="008518B0" w:rsidRPr="00B004EE">
        <w:rPr>
          <w:rFonts w:ascii="Tahoma" w:hAnsi="Tahoma" w:cs="Tahoma"/>
          <w:sz w:val="20"/>
          <w:szCs w:val="20"/>
        </w:rPr>
        <w:t>à</w:t>
      </w:r>
      <w:r w:rsidR="00DB1635" w:rsidRPr="00B004EE">
        <w:rPr>
          <w:rFonts w:ascii="Tahoma" w:hAnsi="Tahoma" w:cs="Tahoma"/>
          <w:sz w:val="20"/>
          <w:szCs w:val="20"/>
        </w:rPr>
        <w:t xml:space="preserve"> </w:t>
      </w:r>
      <w:r w:rsidR="008518B0" w:rsidRPr="00B004EE">
        <w:rPr>
          <w:rFonts w:ascii="Tahoma" w:hAnsi="Tahoma" w:cs="Tahoma"/>
          <w:sz w:val="20"/>
          <w:szCs w:val="20"/>
        </w:rPr>
        <w:t>l'ONISPA</w:t>
      </w:r>
      <w:r w:rsidR="008518B0" w:rsidRPr="00B004EE">
        <w:rPr>
          <w:rFonts w:ascii="Tahoma" w:hAnsi="Tahoma" w:cs="Tahoma"/>
          <w:b/>
          <w:bCs/>
          <w:sz w:val="20"/>
          <w:szCs w:val="20"/>
        </w:rPr>
        <w:t>.</w:t>
      </w:r>
    </w:p>
    <w:p w14:paraId="76C74481" w14:textId="77777777" w:rsidR="008518B0" w:rsidRPr="00B004EE" w:rsidRDefault="008518B0" w:rsidP="00B004EE">
      <w:pPr>
        <w:rPr>
          <w:rFonts w:ascii="Tahoma" w:eastAsia="Times" w:hAnsi="Tahoma" w:cs="Tahoma"/>
          <w:b/>
          <w:bCs/>
          <w:sz w:val="20"/>
          <w:szCs w:val="20"/>
        </w:rPr>
      </w:pPr>
    </w:p>
    <w:p w14:paraId="559BFA87" w14:textId="3D938F61" w:rsidR="008518B0" w:rsidRPr="00B004EE" w:rsidRDefault="00FF661D" w:rsidP="00B004EE">
      <w:pPr>
        <w:pStyle w:val="Corpsdetexte"/>
        <w:ind w:left="175" w:right="158"/>
        <w:rPr>
          <w:rFonts w:ascii="Tahoma" w:hAnsi="Tahoma" w:cs="Tahoma"/>
          <w:sz w:val="20"/>
          <w:szCs w:val="20"/>
        </w:rPr>
      </w:pPr>
      <w:r w:rsidRPr="00B004EE">
        <w:rPr>
          <w:rFonts w:ascii="Tahoma" w:hAnsi="Tahoma" w:cs="Tahoma"/>
          <w:bCs/>
          <w:iCs/>
          <w:sz w:val="20"/>
          <w:szCs w:val="20"/>
        </w:rPr>
        <w:t xml:space="preserve">Article </w:t>
      </w:r>
      <w:r w:rsidR="008518B0" w:rsidRPr="00B004EE">
        <w:rPr>
          <w:rFonts w:ascii="Tahoma" w:hAnsi="Tahoma" w:cs="Tahoma"/>
          <w:bCs/>
          <w:iCs/>
          <w:sz w:val="20"/>
          <w:szCs w:val="20"/>
        </w:rPr>
        <w:t>5</w:t>
      </w:r>
      <w:r w:rsidR="00DB1635" w:rsidRPr="00B004EE">
        <w:rPr>
          <w:rFonts w:ascii="Tahoma" w:hAnsi="Tahoma" w:cs="Tahoma"/>
          <w:b/>
          <w:i/>
          <w:sz w:val="20"/>
          <w:szCs w:val="20"/>
        </w:rPr>
        <w:t xml:space="preserve"> </w:t>
      </w:r>
      <w:r w:rsidR="008518B0" w:rsidRPr="00B004EE">
        <w:rPr>
          <w:rFonts w:ascii="Tahoma" w:hAnsi="Tahoma" w:cs="Tahoma"/>
          <w:i/>
          <w:sz w:val="20"/>
          <w:szCs w:val="20"/>
        </w:rPr>
        <w:t>:</w:t>
      </w:r>
      <w:r w:rsidR="00DB1635" w:rsidRPr="00B004EE">
        <w:rPr>
          <w:rFonts w:ascii="Tahoma" w:hAnsi="Tahoma" w:cs="Tahoma"/>
          <w:i/>
          <w:sz w:val="20"/>
          <w:szCs w:val="20"/>
        </w:rPr>
        <w:t xml:space="preserve"> </w:t>
      </w:r>
      <w:r w:rsidR="008518B0" w:rsidRPr="00B004EE">
        <w:rPr>
          <w:rFonts w:ascii="Tahoma" w:hAnsi="Tahoma" w:cs="Tahoma"/>
          <w:bCs/>
          <w:spacing w:val="13"/>
          <w:sz w:val="20"/>
          <w:szCs w:val="20"/>
        </w:rPr>
        <w:t>L'</w:t>
      </w:r>
      <w:r w:rsidR="008518B0" w:rsidRPr="00B004EE">
        <w:rPr>
          <w:rFonts w:ascii="Tahoma" w:hAnsi="Tahoma" w:cs="Tahoma"/>
          <w:bCs/>
          <w:spacing w:val="21"/>
          <w:sz w:val="20"/>
          <w:szCs w:val="20"/>
        </w:rPr>
        <w:t>ONISPA</w:t>
      </w:r>
      <w:r w:rsidR="00DB1635" w:rsidRPr="00B004EE">
        <w:rPr>
          <w:rFonts w:ascii="Tahoma" w:hAnsi="Tahoma" w:cs="Tahoma"/>
          <w:b/>
          <w:spacing w:val="21"/>
          <w:sz w:val="20"/>
          <w:szCs w:val="20"/>
        </w:rPr>
        <w:t xml:space="preserve"> </w:t>
      </w:r>
      <w:r w:rsidR="008518B0" w:rsidRPr="00B004EE">
        <w:rPr>
          <w:rFonts w:ascii="Tahoma" w:hAnsi="Tahoma" w:cs="Tahoma"/>
          <w:spacing w:val="17"/>
          <w:sz w:val="20"/>
          <w:szCs w:val="20"/>
        </w:rPr>
        <w:t>est</w:t>
      </w:r>
      <w:r w:rsidR="00DB1635" w:rsidRPr="00B004EE">
        <w:rPr>
          <w:rFonts w:ascii="Tahoma" w:hAnsi="Tahoma" w:cs="Tahoma"/>
          <w:spacing w:val="17"/>
          <w:sz w:val="20"/>
          <w:szCs w:val="20"/>
        </w:rPr>
        <w:t xml:space="preserve"> </w:t>
      </w:r>
      <w:r w:rsidR="008518B0" w:rsidRPr="00B004EE">
        <w:rPr>
          <w:rFonts w:ascii="Tahoma" w:hAnsi="Tahoma" w:cs="Tahoma"/>
          <w:spacing w:val="13"/>
          <w:sz w:val="20"/>
          <w:szCs w:val="20"/>
        </w:rPr>
        <w:t>un</w:t>
      </w:r>
      <w:r w:rsidR="00DB1635" w:rsidRPr="00B004EE">
        <w:rPr>
          <w:rFonts w:ascii="Tahoma" w:hAnsi="Tahoma" w:cs="Tahoma"/>
          <w:spacing w:val="13"/>
          <w:sz w:val="20"/>
          <w:szCs w:val="20"/>
        </w:rPr>
        <w:t xml:space="preserve"> </w:t>
      </w:r>
      <w:r w:rsidR="008518B0" w:rsidRPr="00B004EE">
        <w:rPr>
          <w:rFonts w:ascii="Tahoma" w:hAnsi="Tahoma" w:cs="Tahoma"/>
          <w:sz w:val="20"/>
          <w:szCs w:val="20"/>
        </w:rPr>
        <w:t>établissement</w:t>
      </w:r>
      <w:r w:rsidR="00DB1635" w:rsidRPr="00B004EE">
        <w:rPr>
          <w:rFonts w:ascii="Tahoma" w:hAnsi="Tahoma" w:cs="Tahoma"/>
          <w:sz w:val="20"/>
          <w:szCs w:val="20"/>
        </w:rPr>
        <w:t xml:space="preserve"> </w:t>
      </w:r>
      <w:r w:rsidR="008518B0" w:rsidRPr="00B004EE">
        <w:rPr>
          <w:rFonts w:ascii="Tahoma" w:hAnsi="Tahoma" w:cs="Tahoma"/>
          <w:sz w:val="20"/>
          <w:szCs w:val="20"/>
        </w:rPr>
        <w:t>ayant</w:t>
      </w:r>
      <w:r w:rsidR="00DB1635" w:rsidRPr="00B004EE">
        <w:rPr>
          <w:rFonts w:ascii="Tahoma" w:hAnsi="Tahoma" w:cs="Tahoma"/>
          <w:sz w:val="20"/>
          <w:szCs w:val="20"/>
        </w:rPr>
        <w:t xml:space="preserve"> </w:t>
      </w:r>
      <w:r w:rsidR="008518B0" w:rsidRPr="00B004EE">
        <w:rPr>
          <w:rFonts w:ascii="Tahoma" w:hAnsi="Tahoma" w:cs="Tahoma"/>
          <w:sz w:val="20"/>
          <w:szCs w:val="20"/>
        </w:rPr>
        <w:t>un</w:t>
      </w:r>
      <w:r w:rsidR="00DB1635" w:rsidRPr="00B004EE">
        <w:rPr>
          <w:rFonts w:ascii="Tahoma" w:hAnsi="Tahoma" w:cs="Tahoma"/>
          <w:sz w:val="20"/>
          <w:szCs w:val="20"/>
        </w:rPr>
        <w:t xml:space="preserve"> </w:t>
      </w:r>
      <w:r w:rsidR="008518B0" w:rsidRPr="00B004EE">
        <w:rPr>
          <w:rFonts w:ascii="Tahoma" w:hAnsi="Tahoma" w:cs="Tahoma"/>
          <w:sz w:val="20"/>
          <w:szCs w:val="20"/>
        </w:rPr>
        <w:t>objet</w:t>
      </w:r>
      <w:r w:rsidR="00DB1635" w:rsidRPr="00B004EE">
        <w:rPr>
          <w:rFonts w:ascii="Tahoma" w:hAnsi="Tahoma" w:cs="Tahoma"/>
          <w:sz w:val="20"/>
          <w:szCs w:val="20"/>
        </w:rPr>
        <w:t xml:space="preserve"> </w:t>
      </w:r>
      <w:r w:rsidR="008518B0" w:rsidRPr="00B004EE">
        <w:rPr>
          <w:rFonts w:ascii="Tahoma" w:hAnsi="Tahoma" w:cs="Tahoma"/>
          <w:sz w:val="20"/>
          <w:szCs w:val="20"/>
        </w:rPr>
        <w:t>scientifique</w:t>
      </w:r>
      <w:r w:rsidR="00DB1635" w:rsidRPr="00B004EE">
        <w:rPr>
          <w:rFonts w:ascii="Tahoma" w:hAnsi="Tahoma" w:cs="Tahoma"/>
          <w:sz w:val="20"/>
          <w:szCs w:val="20"/>
        </w:rPr>
        <w:t xml:space="preserve"> </w:t>
      </w:r>
      <w:r w:rsidR="008518B0" w:rsidRPr="00B004EE">
        <w:rPr>
          <w:rFonts w:ascii="Tahoma" w:hAnsi="Tahoma" w:cs="Tahoma"/>
          <w:sz w:val="20"/>
          <w:szCs w:val="20"/>
        </w:rPr>
        <w:t>et</w:t>
      </w:r>
      <w:r w:rsidR="00DB1635" w:rsidRPr="00B004EE">
        <w:rPr>
          <w:rFonts w:ascii="Tahoma" w:hAnsi="Tahoma" w:cs="Tahoma"/>
          <w:spacing w:val="10"/>
          <w:sz w:val="20"/>
          <w:szCs w:val="20"/>
        </w:rPr>
        <w:t xml:space="preserve"> </w:t>
      </w:r>
      <w:r w:rsidR="008518B0" w:rsidRPr="00B004EE">
        <w:rPr>
          <w:rFonts w:ascii="Tahoma" w:hAnsi="Tahoma" w:cs="Tahoma"/>
          <w:spacing w:val="6"/>
          <w:sz w:val="20"/>
          <w:szCs w:val="20"/>
        </w:rPr>
        <w:t>technique</w:t>
      </w:r>
      <w:r w:rsidR="00DB1635" w:rsidRPr="00B004EE">
        <w:rPr>
          <w:rFonts w:ascii="Tahoma" w:hAnsi="Tahoma" w:cs="Tahoma"/>
          <w:w w:val="99"/>
          <w:sz w:val="20"/>
          <w:szCs w:val="20"/>
        </w:rPr>
        <w:t xml:space="preserve"> </w:t>
      </w:r>
      <w:r w:rsidR="008518B0" w:rsidRPr="00B004EE">
        <w:rPr>
          <w:rFonts w:ascii="Tahoma" w:hAnsi="Tahoma" w:cs="Tahoma"/>
          <w:spacing w:val="3"/>
          <w:sz w:val="20"/>
          <w:szCs w:val="20"/>
        </w:rPr>
        <w:t>au</w:t>
      </w:r>
      <w:r w:rsidR="00DB1635" w:rsidRPr="00B004EE">
        <w:rPr>
          <w:rFonts w:ascii="Tahoma" w:hAnsi="Tahoma" w:cs="Tahoma"/>
          <w:spacing w:val="44"/>
          <w:sz w:val="20"/>
          <w:szCs w:val="20"/>
        </w:rPr>
        <w:t xml:space="preserve"> </w:t>
      </w:r>
      <w:r w:rsidR="008518B0" w:rsidRPr="00B004EE">
        <w:rPr>
          <w:rFonts w:ascii="Tahoma" w:hAnsi="Tahoma" w:cs="Tahoma"/>
          <w:spacing w:val="6"/>
          <w:sz w:val="20"/>
          <w:szCs w:val="20"/>
        </w:rPr>
        <w:t>sens</w:t>
      </w:r>
      <w:r w:rsidR="00DB1635" w:rsidRPr="00B004EE">
        <w:rPr>
          <w:rFonts w:ascii="Tahoma" w:hAnsi="Tahoma" w:cs="Tahoma"/>
          <w:spacing w:val="44"/>
          <w:sz w:val="20"/>
          <w:szCs w:val="20"/>
        </w:rPr>
        <w:t xml:space="preserve"> </w:t>
      </w:r>
      <w:r w:rsidR="008518B0" w:rsidRPr="00B004EE">
        <w:rPr>
          <w:rFonts w:ascii="Tahoma" w:hAnsi="Tahoma" w:cs="Tahoma"/>
          <w:spacing w:val="5"/>
          <w:sz w:val="20"/>
          <w:szCs w:val="20"/>
        </w:rPr>
        <w:t>des</w:t>
      </w:r>
      <w:r w:rsidR="00DB1635" w:rsidRPr="00B004EE">
        <w:rPr>
          <w:rFonts w:ascii="Tahoma" w:hAnsi="Tahoma" w:cs="Tahoma"/>
          <w:spacing w:val="44"/>
          <w:sz w:val="20"/>
          <w:szCs w:val="20"/>
        </w:rPr>
        <w:t xml:space="preserve"> </w:t>
      </w:r>
      <w:r w:rsidR="008518B0" w:rsidRPr="00B004EE">
        <w:rPr>
          <w:rFonts w:ascii="Tahoma" w:hAnsi="Tahoma" w:cs="Tahoma"/>
          <w:spacing w:val="7"/>
          <w:sz w:val="20"/>
          <w:szCs w:val="20"/>
        </w:rPr>
        <w:t>dispositions</w:t>
      </w:r>
      <w:r w:rsidR="00DB1635" w:rsidRPr="00B004EE">
        <w:rPr>
          <w:rFonts w:ascii="Tahoma" w:hAnsi="Tahoma" w:cs="Tahoma"/>
          <w:spacing w:val="44"/>
          <w:sz w:val="20"/>
          <w:szCs w:val="20"/>
        </w:rPr>
        <w:t xml:space="preserve"> </w:t>
      </w:r>
      <w:r w:rsidR="008518B0" w:rsidRPr="00B004EE">
        <w:rPr>
          <w:rFonts w:ascii="Tahoma" w:hAnsi="Tahoma" w:cs="Tahoma"/>
          <w:spacing w:val="4"/>
          <w:sz w:val="20"/>
          <w:szCs w:val="20"/>
        </w:rPr>
        <w:t>de</w:t>
      </w:r>
      <w:r w:rsidR="00DB1635" w:rsidRPr="00B004EE">
        <w:rPr>
          <w:rFonts w:ascii="Tahoma" w:hAnsi="Tahoma" w:cs="Tahoma"/>
          <w:spacing w:val="43"/>
          <w:sz w:val="20"/>
          <w:szCs w:val="20"/>
        </w:rPr>
        <w:t xml:space="preserve"> </w:t>
      </w:r>
      <w:r w:rsidR="008518B0" w:rsidRPr="00B004EE">
        <w:rPr>
          <w:rFonts w:ascii="Tahoma" w:hAnsi="Tahoma" w:cs="Tahoma"/>
          <w:sz w:val="20"/>
          <w:szCs w:val="20"/>
        </w:rPr>
        <w:t>l'alinéa</w:t>
      </w:r>
      <w:r w:rsidR="00DB1635" w:rsidRPr="00B004EE">
        <w:rPr>
          <w:rFonts w:ascii="Tahoma" w:hAnsi="Tahoma" w:cs="Tahoma"/>
          <w:spacing w:val="28"/>
          <w:sz w:val="20"/>
          <w:szCs w:val="20"/>
        </w:rPr>
        <w:t xml:space="preserve"> </w:t>
      </w:r>
      <w:r w:rsidR="008518B0" w:rsidRPr="00B004EE">
        <w:rPr>
          <w:rFonts w:ascii="Tahoma" w:hAnsi="Tahoma" w:cs="Tahoma"/>
          <w:sz w:val="20"/>
          <w:szCs w:val="20"/>
        </w:rPr>
        <w:t>3</w:t>
      </w:r>
      <w:r w:rsidR="00DB1635" w:rsidRPr="00B004EE">
        <w:rPr>
          <w:rFonts w:ascii="Tahoma" w:hAnsi="Tahoma" w:cs="Tahoma"/>
          <w:spacing w:val="32"/>
          <w:sz w:val="20"/>
          <w:szCs w:val="20"/>
        </w:rPr>
        <w:t xml:space="preserve"> </w:t>
      </w:r>
      <w:r w:rsidR="008518B0" w:rsidRPr="00B004EE">
        <w:rPr>
          <w:rFonts w:ascii="Tahoma" w:hAnsi="Tahoma" w:cs="Tahoma"/>
          <w:sz w:val="20"/>
          <w:szCs w:val="20"/>
        </w:rPr>
        <w:t>de</w:t>
      </w:r>
      <w:r w:rsidR="00DB1635" w:rsidRPr="00B004EE">
        <w:rPr>
          <w:rFonts w:ascii="Tahoma" w:hAnsi="Tahoma" w:cs="Tahoma"/>
          <w:spacing w:val="31"/>
          <w:sz w:val="20"/>
          <w:szCs w:val="20"/>
        </w:rPr>
        <w:t xml:space="preserve"> </w:t>
      </w:r>
      <w:r w:rsidR="008518B0" w:rsidRPr="00B004EE">
        <w:rPr>
          <w:rFonts w:ascii="Tahoma" w:hAnsi="Tahoma" w:cs="Tahoma"/>
          <w:sz w:val="20"/>
          <w:szCs w:val="20"/>
        </w:rPr>
        <w:t>l'article</w:t>
      </w:r>
      <w:r w:rsidR="00DB1635" w:rsidRPr="00B004EE">
        <w:rPr>
          <w:rFonts w:ascii="Tahoma" w:hAnsi="Tahoma" w:cs="Tahoma"/>
          <w:spacing w:val="28"/>
          <w:sz w:val="20"/>
          <w:szCs w:val="20"/>
        </w:rPr>
        <w:t xml:space="preserve"> </w:t>
      </w:r>
      <w:r w:rsidR="008518B0" w:rsidRPr="00B004EE">
        <w:rPr>
          <w:rFonts w:ascii="Tahoma" w:hAnsi="Tahoma" w:cs="Tahoma"/>
          <w:sz w:val="20"/>
          <w:szCs w:val="20"/>
        </w:rPr>
        <w:t>5</w:t>
      </w:r>
      <w:r w:rsidR="00DB1635" w:rsidRPr="00B004EE">
        <w:rPr>
          <w:rFonts w:ascii="Tahoma" w:hAnsi="Tahoma" w:cs="Tahoma"/>
          <w:spacing w:val="32"/>
          <w:sz w:val="20"/>
          <w:szCs w:val="20"/>
        </w:rPr>
        <w:t xml:space="preserve"> </w:t>
      </w:r>
      <w:r w:rsidR="008518B0" w:rsidRPr="00B004EE">
        <w:rPr>
          <w:rFonts w:ascii="Tahoma" w:hAnsi="Tahoma" w:cs="Tahoma"/>
          <w:sz w:val="20"/>
          <w:szCs w:val="20"/>
        </w:rPr>
        <w:t>de</w:t>
      </w:r>
      <w:r w:rsidR="00DB1635" w:rsidRPr="00B004EE">
        <w:rPr>
          <w:rFonts w:ascii="Tahoma" w:hAnsi="Tahoma" w:cs="Tahoma"/>
          <w:spacing w:val="28"/>
          <w:sz w:val="20"/>
          <w:szCs w:val="20"/>
        </w:rPr>
        <w:t xml:space="preserve"> </w:t>
      </w:r>
      <w:r w:rsidR="008518B0" w:rsidRPr="00B004EE">
        <w:rPr>
          <w:rFonts w:ascii="Tahoma" w:hAnsi="Tahoma" w:cs="Tahoma"/>
          <w:sz w:val="20"/>
          <w:szCs w:val="20"/>
        </w:rPr>
        <w:t>l'ordonnance</w:t>
      </w:r>
      <w:r w:rsidR="00DB1635" w:rsidRPr="00B004EE">
        <w:rPr>
          <w:rFonts w:ascii="Tahoma" w:hAnsi="Tahoma" w:cs="Tahoma"/>
          <w:spacing w:val="31"/>
          <w:sz w:val="20"/>
          <w:szCs w:val="20"/>
        </w:rPr>
        <w:t xml:space="preserve"> </w:t>
      </w:r>
      <w:r w:rsidR="008518B0" w:rsidRPr="00B004EE">
        <w:rPr>
          <w:rFonts w:ascii="Tahoma" w:hAnsi="Tahoma" w:cs="Tahoma"/>
          <w:sz w:val="20"/>
          <w:szCs w:val="20"/>
        </w:rPr>
        <w:t>90-09</w:t>
      </w:r>
      <w:r w:rsidR="00DB1635" w:rsidRPr="00B004EE">
        <w:rPr>
          <w:rFonts w:ascii="Tahoma" w:hAnsi="Tahoma" w:cs="Tahoma"/>
          <w:spacing w:val="32"/>
          <w:sz w:val="20"/>
          <w:szCs w:val="20"/>
        </w:rPr>
        <w:t xml:space="preserve"> </w:t>
      </w:r>
      <w:r w:rsidR="008518B0" w:rsidRPr="00B004EE">
        <w:rPr>
          <w:rFonts w:ascii="Tahoma" w:hAnsi="Tahoma" w:cs="Tahoma"/>
          <w:sz w:val="20"/>
          <w:szCs w:val="20"/>
        </w:rPr>
        <w:t>du</w:t>
      </w:r>
      <w:r w:rsidR="00DB1635" w:rsidRPr="00B004EE">
        <w:rPr>
          <w:rFonts w:ascii="Tahoma" w:hAnsi="Tahoma" w:cs="Tahoma"/>
          <w:spacing w:val="29"/>
          <w:sz w:val="20"/>
          <w:szCs w:val="20"/>
        </w:rPr>
        <w:t xml:space="preserve"> </w:t>
      </w:r>
      <w:r w:rsidR="008518B0" w:rsidRPr="00B004EE">
        <w:rPr>
          <w:rFonts w:ascii="Tahoma" w:hAnsi="Tahoma" w:cs="Tahoma"/>
          <w:sz w:val="20"/>
          <w:szCs w:val="20"/>
        </w:rPr>
        <w:t>4</w:t>
      </w:r>
      <w:r w:rsidR="00DB1635" w:rsidRPr="00B004EE">
        <w:rPr>
          <w:rFonts w:ascii="Tahoma" w:hAnsi="Tahoma" w:cs="Tahoma"/>
          <w:spacing w:val="32"/>
          <w:sz w:val="20"/>
          <w:szCs w:val="20"/>
        </w:rPr>
        <w:t xml:space="preserve"> </w:t>
      </w:r>
      <w:r w:rsidR="008518B0" w:rsidRPr="00B004EE">
        <w:rPr>
          <w:rFonts w:ascii="Tahoma" w:hAnsi="Tahoma" w:cs="Tahoma"/>
          <w:sz w:val="20"/>
          <w:szCs w:val="20"/>
        </w:rPr>
        <w:t>avril</w:t>
      </w:r>
      <w:r w:rsidR="00DB1635" w:rsidRPr="00B004EE">
        <w:rPr>
          <w:rFonts w:ascii="Tahoma" w:hAnsi="Tahoma" w:cs="Tahoma"/>
          <w:spacing w:val="32"/>
          <w:sz w:val="20"/>
          <w:szCs w:val="20"/>
        </w:rPr>
        <w:t xml:space="preserve"> </w:t>
      </w:r>
      <w:r w:rsidR="008518B0" w:rsidRPr="00B004EE">
        <w:rPr>
          <w:rFonts w:ascii="Tahoma" w:hAnsi="Tahoma" w:cs="Tahoma"/>
          <w:sz w:val="20"/>
          <w:szCs w:val="20"/>
        </w:rPr>
        <w:t>1990</w:t>
      </w:r>
      <w:r w:rsidR="00DB1635" w:rsidRPr="00B004EE">
        <w:rPr>
          <w:rFonts w:ascii="Tahoma" w:hAnsi="Tahoma" w:cs="Tahoma"/>
          <w:w w:val="99"/>
          <w:sz w:val="20"/>
          <w:szCs w:val="20"/>
        </w:rPr>
        <w:t xml:space="preserve"> </w:t>
      </w:r>
      <w:r w:rsidR="008518B0" w:rsidRPr="00B004EE">
        <w:rPr>
          <w:rFonts w:ascii="Tahoma" w:hAnsi="Tahoma" w:cs="Tahoma"/>
          <w:sz w:val="20"/>
          <w:szCs w:val="20"/>
        </w:rPr>
        <w:t>portant</w:t>
      </w:r>
      <w:r w:rsidR="00DB1635" w:rsidRPr="00B004EE">
        <w:rPr>
          <w:rFonts w:ascii="Tahoma" w:hAnsi="Tahoma" w:cs="Tahoma"/>
          <w:spacing w:val="38"/>
          <w:sz w:val="20"/>
          <w:szCs w:val="20"/>
        </w:rPr>
        <w:t xml:space="preserve"> </w:t>
      </w:r>
      <w:r w:rsidR="008518B0" w:rsidRPr="00B004EE">
        <w:rPr>
          <w:rFonts w:ascii="Tahoma" w:hAnsi="Tahoma" w:cs="Tahoma"/>
          <w:sz w:val="20"/>
          <w:szCs w:val="20"/>
        </w:rPr>
        <w:t>statut</w:t>
      </w:r>
      <w:r w:rsidR="00DB1635" w:rsidRPr="00B004EE">
        <w:rPr>
          <w:rFonts w:ascii="Tahoma" w:hAnsi="Tahoma" w:cs="Tahoma"/>
          <w:spacing w:val="38"/>
          <w:sz w:val="20"/>
          <w:szCs w:val="20"/>
        </w:rPr>
        <w:t xml:space="preserve"> </w:t>
      </w:r>
      <w:r w:rsidR="008518B0" w:rsidRPr="00B004EE">
        <w:rPr>
          <w:rFonts w:ascii="Tahoma" w:hAnsi="Tahoma" w:cs="Tahoma"/>
          <w:sz w:val="20"/>
          <w:szCs w:val="20"/>
        </w:rPr>
        <w:t>des</w:t>
      </w:r>
      <w:r w:rsidR="00DB1635" w:rsidRPr="00B004EE">
        <w:rPr>
          <w:rFonts w:ascii="Tahoma" w:hAnsi="Tahoma" w:cs="Tahoma"/>
          <w:spacing w:val="38"/>
          <w:sz w:val="20"/>
          <w:szCs w:val="20"/>
        </w:rPr>
        <w:t xml:space="preserve"> </w:t>
      </w:r>
      <w:r w:rsidR="008518B0" w:rsidRPr="00B004EE">
        <w:rPr>
          <w:rFonts w:ascii="Tahoma" w:hAnsi="Tahoma" w:cs="Tahoma"/>
          <w:sz w:val="20"/>
          <w:szCs w:val="20"/>
        </w:rPr>
        <w:t>établissements</w:t>
      </w:r>
      <w:r w:rsidR="00DB1635" w:rsidRPr="00B004EE">
        <w:rPr>
          <w:rFonts w:ascii="Tahoma" w:hAnsi="Tahoma" w:cs="Tahoma"/>
          <w:spacing w:val="38"/>
          <w:sz w:val="20"/>
          <w:szCs w:val="20"/>
        </w:rPr>
        <w:t xml:space="preserve"> </w:t>
      </w:r>
      <w:r w:rsidR="008518B0" w:rsidRPr="00B004EE">
        <w:rPr>
          <w:rFonts w:ascii="Tahoma" w:hAnsi="Tahoma" w:cs="Tahoma"/>
          <w:sz w:val="20"/>
          <w:szCs w:val="20"/>
        </w:rPr>
        <w:t>publics</w:t>
      </w:r>
      <w:r w:rsidR="00DB1635" w:rsidRPr="00B004EE">
        <w:rPr>
          <w:rFonts w:ascii="Tahoma" w:hAnsi="Tahoma" w:cs="Tahoma"/>
          <w:spacing w:val="40"/>
          <w:sz w:val="20"/>
          <w:szCs w:val="20"/>
        </w:rPr>
        <w:t xml:space="preserve"> </w:t>
      </w:r>
      <w:r w:rsidR="008518B0" w:rsidRPr="00B004EE">
        <w:rPr>
          <w:rFonts w:ascii="Tahoma" w:hAnsi="Tahoma" w:cs="Tahoma"/>
          <w:sz w:val="20"/>
          <w:szCs w:val="20"/>
        </w:rPr>
        <w:t>et</w:t>
      </w:r>
      <w:r w:rsidR="00DB1635" w:rsidRPr="00B004EE">
        <w:rPr>
          <w:rFonts w:ascii="Tahoma" w:hAnsi="Tahoma" w:cs="Tahoma"/>
          <w:spacing w:val="38"/>
          <w:sz w:val="20"/>
          <w:szCs w:val="20"/>
        </w:rPr>
        <w:t xml:space="preserve"> </w:t>
      </w:r>
      <w:r w:rsidR="008518B0" w:rsidRPr="00B004EE">
        <w:rPr>
          <w:rFonts w:ascii="Tahoma" w:hAnsi="Tahoma" w:cs="Tahoma"/>
          <w:sz w:val="20"/>
          <w:szCs w:val="20"/>
        </w:rPr>
        <w:t>des</w:t>
      </w:r>
      <w:r w:rsidR="00DB1635" w:rsidRPr="00B004EE">
        <w:rPr>
          <w:rFonts w:ascii="Tahoma" w:hAnsi="Tahoma" w:cs="Tahoma"/>
          <w:spacing w:val="38"/>
          <w:sz w:val="20"/>
          <w:szCs w:val="20"/>
        </w:rPr>
        <w:t xml:space="preserve"> </w:t>
      </w:r>
      <w:r w:rsidR="008518B0" w:rsidRPr="00B004EE">
        <w:rPr>
          <w:rFonts w:ascii="Tahoma" w:hAnsi="Tahoma" w:cs="Tahoma"/>
          <w:sz w:val="20"/>
          <w:szCs w:val="20"/>
        </w:rPr>
        <w:t>sociétés</w:t>
      </w:r>
      <w:r w:rsidR="00DB1635" w:rsidRPr="00B004EE">
        <w:rPr>
          <w:rFonts w:ascii="Tahoma" w:hAnsi="Tahoma" w:cs="Tahoma"/>
          <w:spacing w:val="38"/>
          <w:sz w:val="20"/>
          <w:szCs w:val="20"/>
        </w:rPr>
        <w:t xml:space="preserve"> </w:t>
      </w:r>
      <w:r w:rsidR="008518B0" w:rsidRPr="00B004EE">
        <w:rPr>
          <w:rFonts w:ascii="Tahoma" w:hAnsi="Tahoma" w:cs="Tahoma"/>
          <w:sz w:val="20"/>
          <w:szCs w:val="20"/>
        </w:rPr>
        <w:t>à</w:t>
      </w:r>
      <w:r w:rsidR="00DB1635" w:rsidRPr="00B004EE">
        <w:rPr>
          <w:rFonts w:ascii="Tahoma" w:hAnsi="Tahoma" w:cs="Tahoma"/>
          <w:spacing w:val="37"/>
          <w:sz w:val="20"/>
          <w:szCs w:val="20"/>
        </w:rPr>
        <w:t xml:space="preserve"> </w:t>
      </w:r>
      <w:r w:rsidR="008518B0" w:rsidRPr="00B004EE">
        <w:rPr>
          <w:rFonts w:ascii="Tahoma" w:hAnsi="Tahoma" w:cs="Tahoma"/>
          <w:spacing w:val="3"/>
          <w:sz w:val="20"/>
          <w:szCs w:val="20"/>
        </w:rPr>
        <w:t>capitaux</w:t>
      </w:r>
      <w:r w:rsidR="00DB1635" w:rsidRPr="00B004EE">
        <w:rPr>
          <w:rFonts w:ascii="Tahoma" w:hAnsi="Tahoma" w:cs="Tahoma"/>
          <w:spacing w:val="45"/>
          <w:sz w:val="20"/>
          <w:szCs w:val="20"/>
        </w:rPr>
        <w:t xml:space="preserve"> </w:t>
      </w:r>
      <w:r w:rsidR="008518B0" w:rsidRPr="00B004EE">
        <w:rPr>
          <w:rFonts w:ascii="Tahoma" w:hAnsi="Tahoma" w:cs="Tahoma"/>
          <w:spacing w:val="2"/>
          <w:sz w:val="20"/>
          <w:szCs w:val="20"/>
        </w:rPr>
        <w:t>publics</w:t>
      </w:r>
      <w:r w:rsidR="00DB1635" w:rsidRPr="00B004EE">
        <w:rPr>
          <w:rFonts w:ascii="Tahoma" w:hAnsi="Tahoma" w:cs="Tahoma"/>
          <w:spacing w:val="45"/>
          <w:sz w:val="20"/>
          <w:szCs w:val="20"/>
        </w:rPr>
        <w:t xml:space="preserve"> </w:t>
      </w:r>
      <w:r w:rsidR="008518B0" w:rsidRPr="00B004EE">
        <w:rPr>
          <w:rFonts w:ascii="Tahoma" w:hAnsi="Tahoma" w:cs="Tahoma"/>
          <w:sz w:val="20"/>
          <w:szCs w:val="20"/>
        </w:rPr>
        <w:t>et</w:t>
      </w:r>
      <w:r w:rsidR="00DB1635" w:rsidRPr="00B004EE">
        <w:rPr>
          <w:rFonts w:ascii="Tahoma" w:hAnsi="Tahoma" w:cs="Tahoma"/>
          <w:spacing w:val="45"/>
          <w:sz w:val="20"/>
          <w:szCs w:val="20"/>
        </w:rPr>
        <w:t xml:space="preserve"> </w:t>
      </w:r>
      <w:r w:rsidR="008518B0" w:rsidRPr="00B004EE">
        <w:rPr>
          <w:rFonts w:ascii="Tahoma" w:hAnsi="Tahoma" w:cs="Tahoma"/>
          <w:spacing w:val="2"/>
          <w:sz w:val="20"/>
          <w:szCs w:val="20"/>
        </w:rPr>
        <w:t>régissant</w:t>
      </w:r>
      <w:r w:rsidR="00DB1635" w:rsidRPr="00B004EE">
        <w:rPr>
          <w:rFonts w:ascii="Tahoma" w:hAnsi="Tahoma" w:cs="Tahoma"/>
          <w:spacing w:val="43"/>
          <w:sz w:val="20"/>
          <w:szCs w:val="20"/>
        </w:rPr>
        <w:t xml:space="preserve"> </w:t>
      </w:r>
      <w:r w:rsidR="008518B0" w:rsidRPr="00B004EE">
        <w:rPr>
          <w:rFonts w:ascii="Tahoma" w:hAnsi="Tahoma" w:cs="Tahoma"/>
          <w:spacing w:val="2"/>
          <w:sz w:val="20"/>
          <w:szCs w:val="20"/>
        </w:rPr>
        <w:t>les</w:t>
      </w:r>
      <w:r w:rsidR="00DB1635" w:rsidRPr="00B004EE">
        <w:rPr>
          <w:rFonts w:ascii="Tahoma" w:hAnsi="Tahoma" w:cs="Tahoma"/>
          <w:w w:val="99"/>
          <w:sz w:val="20"/>
          <w:szCs w:val="20"/>
        </w:rPr>
        <w:t xml:space="preserve"> </w:t>
      </w:r>
      <w:r w:rsidR="008518B0" w:rsidRPr="00B004EE">
        <w:rPr>
          <w:rFonts w:ascii="Tahoma" w:hAnsi="Tahoma" w:cs="Tahoma"/>
          <w:spacing w:val="3"/>
          <w:sz w:val="20"/>
          <w:szCs w:val="20"/>
        </w:rPr>
        <w:t>relations</w:t>
      </w:r>
      <w:r w:rsidR="00DB1635" w:rsidRPr="00B004EE">
        <w:rPr>
          <w:rFonts w:ascii="Tahoma" w:hAnsi="Tahoma" w:cs="Tahoma"/>
          <w:spacing w:val="3"/>
          <w:sz w:val="20"/>
          <w:szCs w:val="20"/>
        </w:rPr>
        <w:t xml:space="preserve"> </w:t>
      </w:r>
      <w:r w:rsidR="008518B0" w:rsidRPr="00B004EE">
        <w:rPr>
          <w:rFonts w:ascii="Tahoma" w:hAnsi="Tahoma" w:cs="Tahoma"/>
          <w:sz w:val="20"/>
          <w:szCs w:val="20"/>
        </w:rPr>
        <w:t>de</w:t>
      </w:r>
      <w:r w:rsidR="00DB1635" w:rsidRPr="00B004EE">
        <w:rPr>
          <w:rFonts w:ascii="Tahoma" w:hAnsi="Tahoma" w:cs="Tahoma"/>
          <w:sz w:val="20"/>
          <w:szCs w:val="20"/>
        </w:rPr>
        <w:t xml:space="preserve"> </w:t>
      </w:r>
      <w:r w:rsidR="008518B0" w:rsidRPr="00B004EE">
        <w:rPr>
          <w:rFonts w:ascii="Tahoma" w:hAnsi="Tahoma" w:cs="Tahoma"/>
          <w:spacing w:val="2"/>
          <w:sz w:val="20"/>
          <w:szCs w:val="20"/>
        </w:rPr>
        <w:t>ses</w:t>
      </w:r>
      <w:r w:rsidR="00DB1635" w:rsidRPr="00B004EE">
        <w:rPr>
          <w:rFonts w:ascii="Tahoma" w:hAnsi="Tahoma" w:cs="Tahoma"/>
          <w:spacing w:val="2"/>
          <w:sz w:val="20"/>
          <w:szCs w:val="20"/>
        </w:rPr>
        <w:t xml:space="preserve"> </w:t>
      </w:r>
      <w:r w:rsidR="008518B0" w:rsidRPr="00B004EE">
        <w:rPr>
          <w:rFonts w:ascii="Tahoma" w:hAnsi="Tahoma" w:cs="Tahoma"/>
          <w:spacing w:val="2"/>
          <w:sz w:val="20"/>
          <w:szCs w:val="20"/>
        </w:rPr>
        <w:t>entités</w:t>
      </w:r>
      <w:r w:rsidR="00DB1635" w:rsidRPr="00B004EE">
        <w:rPr>
          <w:rFonts w:ascii="Tahoma" w:hAnsi="Tahoma" w:cs="Tahoma"/>
          <w:spacing w:val="2"/>
          <w:sz w:val="20"/>
          <w:szCs w:val="20"/>
        </w:rPr>
        <w:t xml:space="preserve"> </w:t>
      </w:r>
      <w:r w:rsidR="008518B0" w:rsidRPr="00B004EE">
        <w:rPr>
          <w:rFonts w:ascii="Tahoma" w:hAnsi="Tahoma" w:cs="Tahoma"/>
          <w:spacing w:val="2"/>
          <w:sz w:val="20"/>
          <w:szCs w:val="20"/>
        </w:rPr>
        <w:t>avec</w:t>
      </w:r>
      <w:r w:rsidR="00DB1635" w:rsidRPr="00B004EE">
        <w:rPr>
          <w:rFonts w:ascii="Tahoma" w:hAnsi="Tahoma" w:cs="Tahoma"/>
          <w:spacing w:val="2"/>
          <w:sz w:val="20"/>
          <w:szCs w:val="20"/>
        </w:rPr>
        <w:t xml:space="preserve"> </w:t>
      </w:r>
      <w:r w:rsidR="008518B0" w:rsidRPr="00B004EE">
        <w:rPr>
          <w:rFonts w:ascii="Tahoma" w:hAnsi="Tahoma" w:cs="Tahoma"/>
          <w:spacing w:val="3"/>
          <w:sz w:val="20"/>
          <w:szCs w:val="20"/>
        </w:rPr>
        <w:t>l'Etat.</w:t>
      </w:r>
      <w:r w:rsidR="00DB1635" w:rsidRPr="00B004EE">
        <w:rPr>
          <w:rFonts w:ascii="Tahoma" w:hAnsi="Tahoma" w:cs="Tahoma"/>
          <w:spacing w:val="3"/>
          <w:sz w:val="20"/>
          <w:szCs w:val="20"/>
        </w:rPr>
        <w:t xml:space="preserve"> </w:t>
      </w:r>
      <w:r w:rsidR="008518B0" w:rsidRPr="00B004EE">
        <w:rPr>
          <w:rFonts w:ascii="Tahoma" w:hAnsi="Tahoma" w:cs="Tahoma"/>
          <w:sz w:val="20"/>
          <w:szCs w:val="20"/>
        </w:rPr>
        <w:t>A</w:t>
      </w:r>
      <w:r w:rsidR="00DB1635" w:rsidRPr="00B004EE">
        <w:rPr>
          <w:rFonts w:ascii="Tahoma" w:hAnsi="Tahoma" w:cs="Tahoma"/>
          <w:sz w:val="20"/>
          <w:szCs w:val="20"/>
        </w:rPr>
        <w:t xml:space="preserve"> </w:t>
      </w:r>
      <w:r w:rsidR="008518B0" w:rsidRPr="00B004EE">
        <w:rPr>
          <w:rFonts w:ascii="Tahoma" w:hAnsi="Tahoma" w:cs="Tahoma"/>
          <w:sz w:val="20"/>
          <w:szCs w:val="20"/>
        </w:rPr>
        <w:t>ce</w:t>
      </w:r>
      <w:r w:rsidR="00DB1635" w:rsidRPr="00B004EE">
        <w:rPr>
          <w:rFonts w:ascii="Tahoma" w:hAnsi="Tahoma" w:cs="Tahoma"/>
          <w:sz w:val="20"/>
          <w:szCs w:val="20"/>
        </w:rPr>
        <w:t xml:space="preserve"> </w:t>
      </w:r>
      <w:r w:rsidR="008518B0" w:rsidRPr="00B004EE">
        <w:rPr>
          <w:rFonts w:ascii="Tahoma" w:hAnsi="Tahoma" w:cs="Tahoma"/>
          <w:spacing w:val="3"/>
          <w:sz w:val="20"/>
          <w:szCs w:val="20"/>
        </w:rPr>
        <w:t>titre,</w:t>
      </w:r>
      <w:r w:rsidR="00DB1635" w:rsidRPr="00B004EE">
        <w:rPr>
          <w:rFonts w:ascii="Tahoma" w:hAnsi="Tahoma" w:cs="Tahoma"/>
          <w:spacing w:val="3"/>
          <w:sz w:val="20"/>
          <w:szCs w:val="20"/>
        </w:rPr>
        <w:t xml:space="preserve"> </w:t>
      </w:r>
      <w:r w:rsidR="008518B0" w:rsidRPr="00B004EE">
        <w:rPr>
          <w:rFonts w:ascii="Tahoma" w:hAnsi="Tahoma" w:cs="Tahoma"/>
          <w:sz w:val="20"/>
          <w:szCs w:val="20"/>
        </w:rPr>
        <w:t>il</w:t>
      </w:r>
      <w:r w:rsidR="00DB1635" w:rsidRPr="00B004EE">
        <w:rPr>
          <w:rFonts w:ascii="Tahoma" w:hAnsi="Tahoma" w:cs="Tahoma"/>
          <w:sz w:val="20"/>
          <w:szCs w:val="20"/>
        </w:rPr>
        <w:t xml:space="preserve"> </w:t>
      </w:r>
      <w:r w:rsidR="008518B0" w:rsidRPr="00B004EE">
        <w:rPr>
          <w:rFonts w:ascii="Tahoma" w:hAnsi="Tahoma" w:cs="Tahoma"/>
          <w:sz w:val="20"/>
          <w:szCs w:val="20"/>
        </w:rPr>
        <w:t>bénéficie</w:t>
      </w:r>
      <w:r w:rsidR="00DB1635" w:rsidRPr="00B004EE">
        <w:rPr>
          <w:rFonts w:ascii="Tahoma" w:hAnsi="Tahoma" w:cs="Tahoma"/>
          <w:sz w:val="20"/>
          <w:szCs w:val="20"/>
        </w:rPr>
        <w:t xml:space="preserve"> </w:t>
      </w:r>
      <w:r w:rsidR="008518B0" w:rsidRPr="00B004EE">
        <w:rPr>
          <w:rFonts w:ascii="Tahoma" w:hAnsi="Tahoma" w:cs="Tahoma"/>
          <w:sz w:val="20"/>
          <w:szCs w:val="20"/>
        </w:rPr>
        <w:t>des</w:t>
      </w:r>
      <w:r w:rsidR="00DB1635" w:rsidRPr="00B004EE">
        <w:rPr>
          <w:rFonts w:ascii="Tahoma" w:hAnsi="Tahoma" w:cs="Tahoma"/>
          <w:sz w:val="20"/>
          <w:szCs w:val="20"/>
        </w:rPr>
        <w:t xml:space="preserve"> </w:t>
      </w:r>
      <w:r w:rsidR="008518B0" w:rsidRPr="00B004EE">
        <w:rPr>
          <w:rFonts w:ascii="Tahoma" w:hAnsi="Tahoma" w:cs="Tahoma"/>
          <w:sz w:val="20"/>
          <w:szCs w:val="20"/>
        </w:rPr>
        <w:t>assouplissements</w:t>
      </w:r>
      <w:r w:rsidR="00DB1635" w:rsidRPr="00B004EE">
        <w:rPr>
          <w:rFonts w:ascii="Tahoma" w:hAnsi="Tahoma" w:cs="Tahoma"/>
          <w:sz w:val="20"/>
          <w:szCs w:val="20"/>
        </w:rPr>
        <w:t xml:space="preserve"> </w:t>
      </w:r>
      <w:r w:rsidR="008518B0" w:rsidRPr="00B004EE">
        <w:rPr>
          <w:rFonts w:ascii="Tahoma" w:hAnsi="Tahoma" w:cs="Tahoma"/>
          <w:sz w:val="20"/>
          <w:szCs w:val="20"/>
        </w:rPr>
        <w:t>prévus</w:t>
      </w:r>
      <w:r w:rsidR="00DB1635" w:rsidRPr="00B004EE">
        <w:rPr>
          <w:rFonts w:ascii="Tahoma" w:hAnsi="Tahoma" w:cs="Tahoma"/>
          <w:spacing w:val="1"/>
          <w:sz w:val="20"/>
          <w:szCs w:val="20"/>
        </w:rPr>
        <w:t xml:space="preserve"> </w:t>
      </w:r>
      <w:r w:rsidR="008518B0" w:rsidRPr="00B004EE">
        <w:rPr>
          <w:rFonts w:ascii="Tahoma" w:hAnsi="Tahoma" w:cs="Tahoma"/>
          <w:sz w:val="20"/>
          <w:szCs w:val="20"/>
        </w:rPr>
        <w:t>aux</w:t>
      </w:r>
      <w:r w:rsidR="00DB1635" w:rsidRPr="00B004EE">
        <w:rPr>
          <w:rFonts w:ascii="Tahoma" w:hAnsi="Tahoma" w:cs="Tahoma"/>
          <w:w w:val="99"/>
          <w:sz w:val="20"/>
          <w:szCs w:val="20"/>
        </w:rPr>
        <w:t xml:space="preserve"> </w:t>
      </w:r>
      <w:r w:rsidR="008518B0" w:rsidRPr="00B004EE">
        <w:rPr>
          <w:rFonts w:ascii="Tahoma" w:hAnsi="Tahoma" w:cs="Tahoma"/>
          <w:spacing w:val="5"/>
          <w:sz w:val="20"/>
          <w:szCs w:val="20"/>
        </w:rPr>
        <w:t>articles</w:t>
      </w:r>
      <w:r w:rsidR="00DB1635" w:rsidRPr="00B004EE">
        <w:rPr>
          <w:rFonts w:ascii="Tahoma" w:hAnsi="Tahoma" w:cs="Tahoma"/>
          <w:spacing w:val="5"/>
          <w:sz w:val="20"/>
          <w:szCs w:val="20"/>
        </w:rPr>
        <w:t xml:space="preserve"> </w:t>
      </w:r>
      <w:r w:rsidR="008518B0" w:rsidRPr="00B004EE">
        <w:rPr>
          <w:rFonts w:ascii="Tahoma" w:hAnsi="Tahoma" w:cs="Tahoma"/>
          <w:sz w:val="20"/>
          <w:szCs w:val="20"/>
        </w:rPr>
        <w:t>6</w:t>
      </w:r>
      <w:r w:rsidR="00DB1635" w:rsidRPr="00B004EE">
        <w:rPr>
          <w:rFonts w:ascii="Tahoma" w:hAnsi="Tahoma" w:cs="Tahoma"/>
          <w:sz w:val="20"/>
          <w:szCs w:val="20"/>
        </w:rPr>
        <w:t xml:space="preserve"> </w:t>
      </w:r>
      <w:r w:rsidR="008518B0" w:rsidRPr="00B004EE">
        <w:rPr>
          <w:rFonts w:ascii="Tahoma" w:hAnsi="Tahoma" w:cs="Tahoma"/>
          <w:sz w:val="20"/>
          <w:szCs w:val="20"/>
        </w:rPr>
        <w:t>à</w:t>
      </w:r>
      <w:r w:rsidR="00DB1635" w:rsidRPr="00B004EE">
        <w:rPr>
          <w:rFonts w:ascii="Tahoma" w:hAnsi="Tahoma" w:cs="Tahoma"/>
          <w:sz w:val="20"/>
          <w:szCs w:val="20"/>
        </w:rPr>
        <w:t xml:space="preserve"> </w:t>
      </w:r>
      <w:r w:rsidR="008518B0" w:rsidRPr="00B004EE">
        <w:rPr>
          <w:rFonts w:ascii="Tahoma" w:hAnsi="Tahoma" w:cs="Tahoma"/>
          <w:spacing w:val="3"/>
          <w:sz w:val="20"/>
          <w:szCs w:val="20"/>
        </w:rPr>
        <w:t>27</w:t>
      </w:r>
      <w:r w:rsidR="00DB1635" w:rsidRPr="00B004EE">
        <w:rPr>
          <w:rFonts w:ascii="Tahoma" w:hAnsi="Tahoma" w:cs="Tahoma"/>
          <w:spacing w:val="3"/>
          <w:sz w:val="20"/>
          <w:szCs w:val="20"/>
        </w:rPr>
        <w:t xml:space="preserve"> </w:t>
      </w:r>
      <w:r w:rsidR="008518B0" w:rsidRPr="00B004EE">
        <w:rPr>
          <w:rFonts w:ascii="Tahoma" w:hAnsi="Tahoma" w:cs="Tahoma"/>
          <w:spacing w:val="3"/>
          <w:sz w:val="20"/>
          <w:szCs w:val="20"/>
        </w:rPr>
        <w:t>ci-</w:t>
      </w:r>
      <w:r w:rsidR="00DB1635" w:rsidRPr="00B004EE">
        <w:rPr>
          <w:rFonts w:ascii="Tahoma" w:hAnsi="Tahoma" w:cs="Tahoma"/>
          <w:spacing w:val="3"/>
          <w:sz w:val="20"/>
          <w:szCs w:val="20"/>
        </w:rPr>
        <w:t xml:space="preserve"> </w:t>
      </w:r>
      <w:r w:rsidR="008518B0" w:rsidRPr="00B004EE">
        <w:rPr>
          <w:rFonts w:ascii="Tahoma" w:hAnsi="Tahoma" w:cs="Tahoma"/>
          <w:spacing w:val="4"/>
          <w:sz w:val="20"/>
          <w:szCs w:val="20"/>
        </w:rPr>
        <w:t>après,</w:t>
      </w:r>
      <w:r w:rsidR="00DB1635" w:rsidRPr="00B004EE">
        <w:rPr>
          <w:rFonts w:ascii="Tahoma" w:hAnsi="Tahoma" w:cs="Tahoma"/>
          <w:spacing w:val="4"/>
          <w:sz w:val="20"/>
          <w:szCs w:val="20"/>
        </w:rPr>
        <w:t xml:space="preserve"> </w:t>
      </w:r>
      <w:r w:rsidR="008518B0" w:rsidRPr="00B004EE">
        <w:rPr>
          <w:rFonts w:ascii="Tahoma" w:hAnsi="Tahoma" w:cs="Tahoma"/>
          <w:spacing w:val="3"/>
          <w:sz w:val="20"/>
          <w:szCs w:val="20"/>
        </w:rPr>
        <w:t>en</w:t>
      </w:r>
      <w:r w:rsidR="00DB1635" w:rsidRPr="00B004EE">
        <w:rPr>
          <w:rFonts w:ascii="Tahoma" w:hAnsi="Tahoma" w:cs="Tahoma"/>
          <w:spacing w:val="3"/>
          <w:sz w:val="20"/>
          <w:szCs w:val="20"/>
        </w:rPr>
        <w:t xml:space="preserve"> </w:t>
      </w:r>
      <w:r w:rsidR="008518B0" w:rsidRPr="00B004EE">
        <w:rPr>
          <w:rFonts w:ascii="Tahoma" w:hAnsi="Tahoma" w:cs="Tahoma"/>
          <w:spacing w:val="4"/>
          <w:sz w:val="20"/>
          <w:szCs w:val="20"/>
        </w:rPr>
        <w:t>matière</w:t>
      </w:r>
      <w:r w:rsidR="00DB1635" w:rsidRPr="00B004EE">
        <w:rPr>
          <w:rFonts w:ascii="Tahoma" w:hAnsi="Tahoma" w:cs="Tahoma"/>
          <w:spacing w:val="4"/>
          <w:sz w:val="20"/>
          <w:szCs w:val="20"/>
        </w:rPr>
        <w:t xml:space="preserve"> </w:t>
      </w:r>
      <w:r w:rsidR="008518B0" w:rsidRPr="00B004EE">
        <w:rPr>
          <w:rFonts w:ascii="Tahoma" w:hAnsi="Tahoma" w:cs="Tahoma"/>
          <w:spacing w:val="3"/>
          <w:sz w:val="20"/>
          <w:szCs w:val="20"/>
        </w:rPr>
        <w:t>de</w:t>
      </w:r>
      <w:r w:rsidR="00DB1635" w:rsidRPr="00B004EE">
        <w:rPr>
          <w:rFonts w:ascii="Tahoma" w:hAnsi="Tahoma" w:cs="Tahoma"/>
          <w:spacing w:val="3"/>
          <w:sz w:val="20"/>
          <w:szCs w:val="20"/>
        </w:rPr>
        <w:t xml:space="preserve"> </w:t>
      </w:r>
      <w:r w:rsidR="008518B0" w:rsidRPr="00B004EE">
        <w:rPr>
          <w:rFonts w:ascii="Tahoma" w:hAnsi="Tahoma" w:cs="Tahoma"/>
          <w:spacing w:val="10"/>
          <w:sz w:val="20"/>
          <w:szCs w:val="20"/>
        </w:rPr>
        <w:t>régime</w:t>
      </w:r>
      <w:r w:rsidR="00DB1635" w:rsidRPr="00B004EE">
        <w:rPr>
          <w:rFonts w:ascii="Tahoma" w:hAnsi="Tahoma" w:cs="Tahoma"/>
          <w:spacing w:val="10"/>
          <w:sz w:val="20"/>
          <w:szCs w:val="20"/>
        </w:rPr>
        <w:t xml:space="preserve"> </w:t>
      </w:r>
      <w:r w:rsidR="008518B0" w:rsidRPr="00B004EE">
        <w:rPr>
          <w:rFonts w:ascii="Tahoma" w:hAnsi="Tahoma" w:cs="Tahoma"/>
          <w:spacing w:val="11"/>
          <w:sz w:val="20"/>
          <w:szCs w:val="20"/>
        </w:rPr>
        <w:t>administratif,</w:t>
      </w:r>
      <w:r w:rsidR="00DB1635" w:rsidRPr="00B004EE">
        <w:rPr>
          <w:rFonts w:ascii="Tahoma" w:hAnsi="Tahoma" w:cs="Tahoma"/>
          <w:spacing w:val="11"/>
          <w:sz w:val="20"/>
          <w:szCs w:val="20"/>
        </w:rPr>
        <w:t xml:space="preserve"> </w:t>
      </w:r>
      <w:r w:rsidR="008518B0" w:rsidRPr="00B004EE">
        <w:rPr>
          <w:rFonts w:ascii="Tahoma" w:hAnsi="Tahoma" w:cs="Tahoma"/>
          <w:spacing w:val="11"/>
          <w:sz w:val="20"/>
          <w:szCs w:val="20"/>
        </w:rPr>
        <w:t>comptable</w:t>
      </w:r>
      <w:r w:rsidR="00DB1635" w:rsidRPr="00B004EE">
        <w:rPr>
          <w:rFonts w:ascii="Tahoma" w:hAnsi="Tahoma" w:cs="Tahoma"/>
          <w:spacing w:val="11"/>
          <w:sz w:val="20"/>
          <w:szCs w:val="20"/>
        </w:rPr>
        <w:t xml:space="preserve"> </w:t>
      </w:r>
      <w:r w:rsidR="008518B0" w:rsidRPr="00B004EE">
        <w:rPr>
          <w:rFonts w:ascii="Tahoma" w:hAnsi="Tahoma" w:cs="Tahoma"/>
          <w:spacing w:val="5"/>
          <w:sz w:val="20"/>
          <w:szCs w:val="20"/>
        </w:rPr>
        <w:t>et</w:t>
      </w:r>
      <w:r w:rsidR="00DB1635" w:rsidRPr="00B004EE">
        <w:rPr>
          <w:rFonts w:ascii="Tahoma" w:hAnsi="Tahoma" w:cs="Tahoma"/>
          <w:spacing w:val="5"/>
          <w:sz w:val="20"/>
          <w:szCs w:val="20"/>
        </w:rPr>
        <w:t xml:space="preserve"> </w:t>
      </w:r>
      <w:r w:rsidR="008518B0" w:rsidRPr="00B004EE">
        <w:rPr>
          <w:rFonts w:ascii="Tahoma" w:hAnsi="Tahoma" w:cs="Tahoma"/>
          <w:spacing w:val="-3"/>
          <w:sz w:val="20"/>
          <w:szCs w:val="20"/>
        </w:rPr>
        <w:t>financier.</w:t>
      </w:r>
    </w:p>
    <w:p w14:paraId="1B1E3BA9" w14:textId="77777777" w:rsidR="008518B0" w:rsidRPr="00B004EE" w:rsidRDefault="008518B0" w:rsidP="00B004EE">
      <w:pPr>
        <w:pStyle w:val="Lgende"/>
        <w:jc w:val="center"/>
        <w:rPr>
          <w:rFonts w:ascii="Tahoma" w:hAnsi="Tahoma" w:cs="Tahoma"/>
        </w:rPr>
      </w:pPr>
    </w:p>
    <w:p w14:paraId="475ED94E" w14:textId="54B3A263" w:rsidR="008518B0" w:rsidRPr="00B004EE" w:rsidRDefault="008518B0" w:rsidP="00B004EE">
      <w:pPr>
        <w:pStyle w:val="Lgende"/>
        <w:jc w:val="center"/>
        <w:rPr>
          <w:rFonts w:ascii="Tahoma" w:hAnsi="Tahoma" w:cs="Tahoma"/>
        </w:rPr>
      </w:pPr>
      <w:r w:rsidRPr="00B004EE">
        <w:rPr>
          <w:rFonts w:ascii="Tahoma" w:hAnsi="Tahoma" w:cs="Tahoma"/>
        </w:rPr>
        <w:t>TITRE</w:t>
      </w:r>
      <w:r w:rsidR="00DB1635" w:rsidRPr="00B004EE">
        <w:rPr>
          <w:rFonts w:ascii="Tahoma" w:hAnsi="Tahoma" w:cs="Tahoma"/>
        </w:rPr>
        <w:t xml:space="preserve"> </w:t>
      </w:r>
      <w:r w:rsidRPr="00B004EE">
        <w:rPr>
          <w:rFonts w:ascii="Tahoma" w:hAnsi="Tahoma" w:cs="Tahoma"/>
        </w:rPr>
        <w:t>II</w:t>
      </w:r>
      <w:r w:rsidR="00DB1635" w:rsidRPr="00B004EE">
        <w:rPr>
          <w:rFonts w:ascii="Tahoma" w:hAnsi="Tahoma" w:cs="Tahoma"/>
        </w:rPr>
        <w:t xml:space="preserve"> </w:t>
      </w:r>
      <w:r w:rsidRPr="00B004EE">
        <w:rPr>
          <w:rFonts w:ascii="Tahoma" w:hAnsi="Tahoma" w:cs="Tahoma"/>
        </w:rPr>
        <w:t>:</w:t>
      </w:r>
      <w:r w:rsidR="00DB1635" w:rsidRPr="00B004EE">
        <w:rPr>
          <w:rFonts w:ascii="Tahoma" w:hAnsi="Tahoma" w:cs="Tahoma"/>
        </w:rPr>
        <w:t xml:space="preserve"> </w:t>
      </w:r>
      <w:r w:rsidRPr="00B004EE">
        <w:rPr>
          <w:rFonts w:ascii="Tahoma" w:hAnsi="Tahoma" w:cs="Tahoma"/>
        </w:rPr>
        <w:t>ORGANISATION</w:t>
      </w:r>
      <w:r w:rsidR="00DB1635" w:rsidRPr="00B004EE">
        <w:rPr>
          <w:rFonts w:ascii="Tahoma" w:hAnsi="Tahoma" w:cs="Tahoma"/>
        </w:rPr>
        <w:t xml:space="preserve"> </w:t>
      </w:r>
      <w:r w:rsidRPr="00B004EE">
        <w:rPr>
          <w:rFonts w:ascii="Tahoma" w:hAnsi="Tahoma" w:cs="Tahoma"/>
        </w:rPr>
        <w:t>ET</w:t>
      </w:r>
      <w:r w:rsidR="00DB1635" w:rsidRPr="00B004EE">
        <w:rPr>
          <w:rFonts w:ascii="Tahoma" w:hAnsi="Tahoma" w:cs="Tahoma"/>
        </w:rPr>
        <w:t xml:space="preserve"> </w:t>
      </w:r>
      <w:r w:rsidRPr="00B004EE">
        <w:rPr>
          <w:rFonts w:ascii="Tahoma" w:hAnsi="Tahoma" w:cs="Tahoma"/>
        </w:rPr>
        <w:t>FONCTIONNEMENT</w:t>
      </w:r>
    </w:p>
    <w:p w14:paraId="1CC3537D" w14:textId="77777777" w:rsidR="008518B0" w:rsidRPr="00B004EE" w:rsidRDefault="008518B0" w:rsidP="00B004EE">
      <w:pPr>
        <w:pStyle w:val="Lgende"/>
        <w:jc w:val="center"/>
        <w:rPr>
          <w:rFonts w:ascii="Tahoma" w:hAnsi="Tahoma" w:cs="Tahoma"/>
        </w:rPr>
      </w:pPr>
    </w:p>
    <w:p w14:paraId="0C66A733" w14:textId="18195EFE" w:rsidR="008518B0" w:rsidRPr="00B004EE" w:rsidRDefault="00FF661D" w:rsidP="00B004EE">
      <w:pPr>
        <w:pStyle w:val="Corpsdetexte"/>
        <w:ind w:left="170" w:right="176"/>
        <w:rPr>
          <w:rFonts w:ascii="Tahoma" w:hAnsi="Tahoma" w:cs="Tahoma"/>
          <w:sz w:val="20"/>
          <w:szCs w:val="20"/>
        </w:rPr>
      </w:pPr>
      <w:r w:rsidRPr="00B004EE">
        <w:rPr>
          <w:rFonts w:ascii="Tahoma" w:hAnsi="Tahoma" w:cs="Tahoma"/>
          <w:bCs/>
          <w:iCs/>
          <w:sz w:val="20"/>
          <w:szCs w:val="20"/>
        </w:rPr>
        <w:t xml:space="preserve">Article </w:t>
      </w:r>
      <w:r w:rsidR="008518B0" w:rsidRPr="00B004EE">
        <w:rPr>
          <w:rFonts w:ascii="Tahoma" w:hAnsi="Tahoma" w:cs="Tahoma"/>
          <w:bCs/>
          <w:iCs/>
          <w:sz w:val="20"/>
          <w:szCs w:val="20"/>
        </w:rPr>
        <w:t>6</w:t>
      </w:r>
      <w:r w:rsidR="00DB1635" w:rsidRPr="00B004EE">
        <w:rPr>
          <w:rFonts w:ascii="Tahoma" w:hAnsi="Tahoma" w:cs="Tahoma"/>
          <w:b/>
          <w:i/>
          <w:sz w:val="20"/>
          <w:szCs w:val="20"/>
        </w:rPr>
        <w:t xml:space="preserve"> </w:t>
      </w:r>
      <w:r w:rsidR="008518B0" w:rsidRPr="00B004EE">
        <w:rPr>
          <w:rFonts w:ascii="Tahoma" w:hAnsi="Tahoma" w:cs="Tahoma"/>
          <w:i/>
          <w:sz w:val="20"/>
          <w:szCs w:val="20"/>
        </w:rPr>
        <w:t>:</w:t>
      </w:r>
      <w:r w:rsidR="00DB1635" w:rsidRPr="00B004EE">
        <w:rPr>
          <w:rFonts w:ascii="Tahoma" w:hAnsi="Tahoma" w:cs="Tahoma"/>
          <w:i/>
          <w:sz w:val="20"/>
          <w:szCs w:val="20"/>
        </w:rPr>
        <w:t xml:space="preserve"> </w:t>
      </w:r>
      <w:r w:rsidR="008518B0" w:rsidRPr="00B004EE">
        <w:rPr>
          <w:rFonts w:ascii="Tahoma" w:hAnsi="Tahoma" w:cs="Tahoma"/>
          <w:spacing w:val="12"/>
          <w:sz w:val="20"/>
          <w:szCs w:val="20"/>
        </w:rPr>
        <w:t>L'Office</w:t>
      </w:r>
      <w:r w:rsidR="00DB1635" w:rsidRPr="00B004EE">
        <w:rPr>
          <w:rFonts w:ascii="Tahoma" w:hAnsi="Tahoma" w:cs="Tahoma"/>
          <w:spacing w:val="12"/>
          <w:sz w:val="20"/>
          <w:szCs w:val="20"/>
        </w:rPr>
        <w:t xml:space="preserve"> </w:t>
      </w:r>
      <w:r w:rsidR="008518B0" w:rsidRPr="00B004EE">
        <w:rPr>
          <w:rFonts w:ascii="Tahoma" w:hAnsi="Tahoma" w:cs="Tahoma"/>
          <w:spacing w:val="12"/>
          <w:sz w:val="20"/>
          <w:szCs w:val="20"/>
        </w:rPr>
        <w:t>National</w:t>
      </w:r>
      <w:r w:rsidR="00DB1635" w:rsidRPr="00B004EE">
        <w:rPr>
          <w:rFonts w:ascii="Tahoma" w:hAnsi="Tahoma" w:cs="Tahoma"/>
          <w:spacing w:val="12"/>
          <w:sz w:val="20"/>
          <w:szCs w:val="20"/>
        </w:rPr>
        <w:t xml:space="preserve"> </w:t>
      </w:r>
      <w:r w:rsidR="008518B0" w:rsidRPr="00B004EE">
        <w:rPr>
          <w:rFonts w:ascii="Tahoma" w:hAnsi="Tahoma" w:cs="Tahoma"/>
          <w:spacing w:val="6"/>
          <w:sz w:val="20"/>
          <w:szCs w:val="20"/>
        </w:rPr>
        <w:t>d'Inspection</w:t>
      </w:r>
      <w:r w:rsidR="00DB1635" w:rsidRPr="00B004EE">
        <w:rPr>
          <w:rFonts w:ascii="Tahoma" w:hAnsi="Tahoma" w:cs="Tahoma"/>
          <w:spacing w:val="6"/>
          <w:sz w:val="20"/>
          <w:szCs w:val="20"/>
        </w:rPr>
        <w:t xml:space="preserve"> </w:t>
      </w:r>
      <w:r w:rsidR="008518B0" w:rsidRPr="00B004EE">
        <w:rPr>
          <w:rFonts w:ascii="Tahoma" w:hAnsi="Tahoma" w:cs="Tahoma"/>
          <w:spacing w:val="6"/>
          <w:sz w:val="20"/>
          <w:szCs w:val="20"/>
        </w:rPr>
        <w:t>Sanitaire</w:t>
      </w:r>
      <w:r w:rsidR="00DB1635" w:rsidRPr="00B004EE">
        <w:rPr>
          <w:rFonts w:ascii="Tahoma" w:hAnsi="Tahoma" w:cs="Tahoma"/>
          <w:spacing w:val="6"/>
          <w:sz w:val="20"/>
          <w:szCs w:val="20"/>
        </w:rPr>
        <w:t xml:space="preserve"> </w:t>
      </w:r>
      <w:r w:rsidR="008518B0" w:rsidRPr="00B004EE">
        <w:rPr>
          <w:rFonts w:ascii="Tahoma" w:hAnsi="Tahoma" w:cs="Tahoma"/>
          <w:spacing w:val="5"/>
          <w:sz w:val="20"/>
          <w:szCs w:val="20"/>
        </w:rPr>
        <w:t>des</w:t>
      </w:r>
      <w:r w:rsidR="00DB1635" w:rsidRPr="00B004EE">
        <w:rPr>
          <w:rFonts w:ascii="Tahoma" w:hAnsi="Tahoma" w:cs="Tahoma"/>
          <w:spacing w:val="5"/>
          <w:sz w:val="20"/>
          <w:szCs w:val="20"/>
        </w:rPr>
        <w:t xml:space="preserve"> </w:t>
      </w:r>
      <w:r w:rsidR="008518B0" w:rsidRPr="00B004EE">
        <w:rPr>
          <w:rFonts w:ascii="Tahoma" w:hAnsi="Tahoma" w:cs="Tahoma"/>
          <w:spacing w:val="6"/>
          <w:sz w:val="20"/>
          <w:szCs w:val="20"/>
        </w:rPr>
        <w:t>Produits</w:t>
      </w:r>
      <w:r w:rsidR="00DB1635" w:rsidRPr="00B004EE">
        <w:rPr>
          <w:rFonts w:ascii="Tahoma" w:hAnsi="Tahoma" w:cs="Tahoma"/>
          <w:spacing w:val="6"/>
          <w:sz w:val="20"/>
          <w:szCs w:val="20"/>
        </w:rPr>
        <w:t xml:space="preserve"> </w:t>
      </w:r>
      <w:r w:rsidR="008518B0" w:rsidRPr="00B004EE">
        <w:rPr>
          <w:rFonts w:ascii="Tahoma" w:hAnsi="Tahoma" w:cs="Tahoma"/>
          <w:spacing w:val="3"/>
          <w:sz w:val="20"/>
          <w:szCs w:val="20"/>
        </w:rPr>
        <w:t>de</w:t>
      </w:r>
      <w:r w:rsidR="00DB1635" w:rsidRPr="00B004EE">
        <w:rPr>
          <w:rFonts w:ascii="Tahoma" w:hAnsi="Tahoma" w:cs="Tahoma"/>
          <w:spacing w:val="3"/>
          <w:sz w:val="20"/>
          <w:szCs w:val="20"/>
        </w:rPr>
        <w:t xml:space="preserve"> </w:t>
      </w:r>
      <w:r w:rsidR="008518B0" w:rsidRPr="00B004EE">
        <w:rPr>
          <w:rFonts w:ascii="Tahoma" w:hAnsi="Tahoma" w:cs="Tahoma"/>
          <w:spacing w:val="3"/>
          <w:sz w:val="20"/>
          <w:szCs w:val="20"/>
        </w:rPr>
        <w:t>Pêche</w:t>
      </w:r>
      <w:r w:rsidR="00DB1635" w:rsidRPr="00B004EE">
        <w:rPr>
          <w:rFonts w:ascii="Tahoma" w:hAnsi="Tahoma" w:cs="Tahoma"/>
          <w:spacing w:val="3"/>
          <w:sz w:val="20"/>
          <w:szCs w:val="20"/>
        </w:rPr>
        <w:t xml:space="preserve"> </w:t>
      </w:r>
      <w:r w:rsidR="008518B0" w:rsidRPr="00B004EE">
        <w:rPr>
          <w:rFonts w:ascii="Tahoma" w:hAnsi="Tahoma" w:cs="Tahoma"/>
          <w:sz w:val="20"/>
          <w:szCs w:val="20"/>
        </w:rPr>
        <w:t>et</w:t>
      </w:r>
      <w:r w:rsidR="00DB1635" w:rsidRPr="00B004EE">
        <w:rPr>
          <w:rFonts w:ascii="Tahoma" w:hAnsi="Tahoma" w:cs="Tahoma"/>
          <w:spacing w:val="32"/>
          <w:sz w:val="20"/>
          <w:szCs w:val="20"/>
        </w:rPr>
        <w:t xml:space="preserve"> </w:t>
      </w:r>
      <w:r w:rsidR="008518B0" w:rsidRPr="00B004EE">
        <w:rPr>
          <w:rFonts w:ascii="Tahoma" w:hAnsi="Tahoma" w:cs="Tahoma"/>
          <w:sz w:val="20"/>
          <w:szCs w:val="20"/>
        </w:rPr>
        <w:t>de</w:t>
      </w:r>
      <w:r w:rsidR="00DB1635" w:rsidRPr="00B004EE">
        <w:rPr>
          <w:rFonts w:ascii="Tahoma" w:hAnsi="Tahoma" w:cs="Tahoma"/>
          <w:w w:val="99"/>
          <w:sz w:val="20"/>
          <w:szCs w:val="20"/>
        </w:rPr>
        <w:t xml:space="preserve"> </w:t>
      </w:r>
      <w:r w:rsidR="008518B0" w:rsidRPr="00B004EE">
        <w:rPr>
          <w:rFonts w:ascii="Tahoma" w:hAnsi="Tahoma" w:cs="Tahoma"/>
          <w:spacing w:val="4"/>
          <w:sz w:val="20"/>
          <w:szCs w:val="20"/>
        </w:rPr>
        <w:t>l'Aquaculture</w:t>
      </w:r>
      <w:r w:rsidR="00DB1635" w:rsidRPr="00B004EE">
        <w:rPr>
          <w:rFonts w:ascii="Tahoma" w:hAnsi="Tahoma" w:cs="Tahoma"/>
          <w:spacing w:val="4"/>
          <w:sz w:val="20"/>
          <w:szCs w:val="20"/>
        </w:rPr>
        <w:t xml:space="preserve"> </w:t>
      </w:r>
      <w:r w:rsidR="008518B0" w:rsidRPr="00B004EE">
        <w:rPr>
          <w:rFonts w:ascii="Tahoma" w:hAnsi="Tahoma" w:cs="Tahoma"/>
          <w:spacing w:val="2"/>
          <w:sz w:val="20"/>
          <w:szCs w:val="20"/>
        </w:rPr>
        <w:t>est</w:t>
      </w:r>
      <w:r w:rsidR="00DB1635" w:rsidRPr="00B004EE">
        <w:rPr>
          <w:rFonts w:ascii="Tahoma" w:hAnsi="Tahoma" w:cs="Tahoma"/>
          <w:spacing w:val="2"/>
          <w:sz w:val="20"/>
          <w:szCs w:val="20"/>
        </w:rPr>
        <w:t xml:space="preserve"> </w:t>
      </w:r>
      <w:r w:rsidR="008518B0" w:rsidRPr="00B004EE">
        <w:rPr>
          <w:rFonts w:ascii="Tahoma" w:hAnsi="Tahoma" w:cs="Tahoma"/>
          <w:spacing w:val="4"/>
          <w:sz w:val="20"/>
          <w:szCs w:val="20"/>
        </w:rPr>
        <w:t>administré</w:t>
      </w:r>
      <w:r w:rsidR="00DB1635" w:rsidRPr="00B004EE">
        <w:rPr>
          <w:rFonts w:ascii="Tahoma" w:hAnsi="Tahoma" w:cs="Tahoma"/>
          <w:spacing w:val="4"/>
          <w:sz w:val="20"/>
          <w:szCs w:val="20"/>
        </w:rPr>
        <w:t xml:space="preserve"> </w:t>
      </w:r>
      <w:r w:rsidR="008518B0" w:rsidRPr="00B004EE">
        <w:rPr>
          <w:rFonts w:ascii="Tahoma" w:hAnsi="Tahoma" w:cs="Tahoma"/>
          <w:spacing w:val="2"/>
          <w:sz w:val="20"/>
          <w:szCs w:val="20"/>
        </w:rPr>
        <w:t>par</w:t>
      </w:r>
      <w:r w:rsidR="00DB1635" w:rsidRPr="00B004EE">
        <w:rPr>
          <w:rFonts w:ascii="Tahoma" w:hAnsi="Tahoma" w:cs="Tahoma"/>
          <w:spacing w:val="2"/>
          <w:sz w:val="20"/>
          <w:szCs w:val="20"/>
        </w:rPr>
        <w:t xml:space="preserve"> </w:t>
      </w:r>
      <w:r w:rsidR="008518B0" w:rsidRPr="00B004EE">
        <w:rPr>
          <w:rFonts w:ascii="Tahoma" w:hAnsi="Tahoma" w:cs="Tahoma"/>
          <w:sz w:val="20"/>
          <w:szCs w:val="20"/>
        </w:rPr>
        <w:t>un</w:t>
      </w:r>
      <w:r w:rsidR="00DB1635" w:rsidRPr="00B004EE">
        <w:rPr>
          <w:rFonts w:ascii="Tahoma" w:hAnsi="Tahoma" w:cs="Tahoma"/>
          <w:sz w:val="20"/>
          <w:szCs w:val="20"/>
        </w:rPr>
        <w:t xml:space="preserve"> </w:t>
      </w:r>
      <w:r w:rsidR="008518B0" w:rsidRPr="00B004EE">
        <w:rPr>
          <w:rFonts w:ascii="Tahoma" w:hAnsi="Tahoma" w:cs="Tahoma"/>
          <w:spacing w:val="2"/>
          <w:sz w:val="20"/>
          <w:szCs w:val="20"/>
        </w:rPr>
        <w:t>organe</w:t>
      </w:r>
      <w:r w:rsidR="00DB1635" w:rsidRPr="00B004EE">
        <w:rPr>
          <w:rFonts w:ascii="Tahoma" w:hAnsi="Tahoma" w:cs="Tahoma"/>
          <w:spacing w:val="2"/>
          <w:sz w:val="20"/>
          <w:szCs w:val="20"/>
        </w:rPr>
        <w:t xml:space="preserve"> </w:t>
      </w:r>
      <w:r w:rsidR="008518B0" w:rsidRPr="00B004EE">
        <w:rPr>
          <w:rFonts w:ascii="Tahoma" w:hAnsi="Tahoma" w:cs="Tahoma"/>
          <w:spacing w:val="3"/>
          <w:sz w:val="20"/>
          <w:szCs w:val="20"/>
        </w:rPr>
        <w:t>délibérant</w:t>
      </w:r>
      <w:r w:rsidR="00DB1635" w:rsidRPr="00B004EE">
        <w:rPr>
          <w:rFonts w:ascii="Tahoma" w:hAnsi="Tahoma" w:cs="Tahoma"/>
          <w:spacing w:val="3"/>
          <w:sz w:val="20"/>
          <w:szCs w:val="20"/>
        </w:rPr>
        <w:t xml:space="preserve"> </w:t>
      </w:r>
      <w:r w:rsidR="008518B0" w:rsidRPr="00B004EE">
        <w:rPr>
          <w:rFonts w:ascii="Tahoma" w:hAnsi="Tahoma" w:cs="Tahoma"/>
          <w:sz w:val="20"/>
          <w:szCs w:val="20"/>
        </w:rPr>
        <w:t>et</w:t>
      </w:r>
      <w:r w:rsidR="00DB1635" w:rsidRPr="00B004EE">
        <w:rPr>
          <w:rFonts w:ascii="Tahoma" w:hAnsi="Tahoma" w:cs="Tahoma"/>
          <w:sz w:val="20"/>
          <w:szCs w:val="20"/>
        </w:rPr>
        <w:t xml:space="preserve"> </w:t>
      </w:r>
      <w:r w:rsidR="008518B0" w:rsidRPr="00B004EE">
        <w:rPr>
          <w:rFonts w:ascii="Tahoma" w:hAnsi="Tahoma" w:cs="Tahoma"/>
          <w:spacing w:val="2"/>
          <w:sz w:val="20"/>
          <w:szCs w:val="20"/>
        </w:rPr>
        <w:t>géré</w:t>
      </w:r>
      <w:r w:rsidR="00DB1635" w:rsidRPr="00B004EE">
        <w:rPr>
          <w:rFonts w:ascii="Tahoma" w:hAnsi="Tahoma" w:cs="Tahoma"/>
          <w:spacing w:val="2"/>
          <w:sz w:val="20"/>
          <w:szCs w:val="20"/>
        </w:rPr>
        <w:t xml:space="preserve"> </w:t>
      </w:r>
      <w:r w:rsidR="008518B0" w:rsidRPr="00B004EE">
        <w:rPr>
          <w:rFonts w:ascii="Tahoma" w:hAnsi="Tahoma" w:cs="Tahoma"/>
          <w:spacing w:val="2"/>
          <w:sz w:val="20"/>
          <w:szCs w:val="20"/>
        </w:rPr>
        <w:t>par</w:t>
      </w:r>
      <w:r w:rsidR="00DB1635" w:rsidRPr="00B004EE">
        <w:rPr>
          <w:rFonts w:ascii="Tahoma" w:hAnsi="Tahoma" w:cs="Tahoma"/>
          <w:spacing w:val="2"/>
          <w:sz w:val="20"/>
          <w:szCs w:val="20"/>
        </w:rPr>
        <w:t xml:space="preserve"> </w:t>
      </w:r>
      <w:r w:rsidR="008518B0" w:rsidRPr="00B004EE">
        <w:rPr>
          <w:rFonts w:ascii="Tahoma" w:hAnsi="Tahoma" w:cs="Tahoma"/>
          <w:sz w:val="20"/>
          <w:szCs w:val="20"/>
        </w:rPr>
        <w:t>un</w:t>
      </w:r>
      <w:r w:rsidR="00DB1635" w:rsidRPr="00B004EE">
        <w:rPr>
          <w:rFonts w:ascii="Tahoma" w:hAnsi="Tahoma" w:cs="Tahoma"/>
          <w:sz w:val="20"/>
          <w:szCs w:val="20"/>
        </w:rPr>
        <w:t xml:space="preserve"> </w:t>
      </w:r>
      <w:r w:rsidR="008518B0" w:rsidRPr="00B004EE">
        <w:rPr>
          <w:rFonts w:ascii="Tahoma" w:hAnsi="Tahoma" w:cs="Tahoma"/>
          <w:sz w:val="20"/>
          <w:szCs w:val="20"/>
        </w:rPr>
        <w:t>organe</w:t>
      </w:r>
      <w:r w:rsidR="00DB1635" w:rsidRPr="00B004EE">
        <w:rPr>
          <w:rFonts w:ascii="Tahoma" w:hAnsi="Tahoma" w:cs="Tahoma"/>
          <w:sz w:val="20"/>
          <w:szCs w:val="20"/>
        </w:rPr>
        <w:t xml:space="preserve"> </w:t>
      </w:r>
      <w:r w:rsidR="008518B0" w:rsidRPr="00B004EE">
        <w:rPr>
          <w:rFonts w:ascii="Tahoma" w:hAnsi="Tahoma" w:cs="Tahoma"/>
          <w:sz w:val="20"/>
          <w:szCs w:val="20"/>
        </w:rPr>
        <w:t>exécutif.</w:t>
      </w:r>
    </w:p>
    <w:p w14:paraId="5928F943" w14:textId="77777777" w:rsidR="008518B0" w:rsidRPr="00B004EE" w:rsidRDefault="008518B0" w:rsidP="00B004EE">
      <w:pPr>
        <w:rPr>
          <w:rFonts w:ascii="Tahoma" w:eastAsia="Times" w:hAnsi="Tahoma" w:cs="Tahoma"/>
          <w:sz w:val="20"/>
          <w:szCs w:val="20"/>
        </w:rPr>
      </w:pPr>
    </w:p>
    <w:p w14:paraId="13EF5FDA" w14:textId="4BE84A92" w:rsidR="008518B0" w:rsidRPr="00B004EE" w:rsidRDefault="00FF661D" w:rsidP="00B004EE">
      <w:pPr>
        <w:pStyle w:val="Corpsdetexte"/>
        <w:ind w:left="175" w:right="187"/>
        <w:rPr>
          <w:rFonts w:ascii="Tahoma" w:hAnsi="Tahoma" w:cs="Tahoma"/>
          <w:sz w:val="20"/>
          <w:szCs w:val="20"/>
        </w:rPr>
      </w:pPr>
      <w:r w:rsidRPr="00B004EE">
        <w:rPr>
          <w:rFonts w:ascii="Tahoma" w:hAnsi="Tahoma" w:cs="Tahoma"/>
          <w:bCs/>
          <w:iCs/>
          <w:sz w:val="20"/>
          <w:szCs w:val="20"/>
        </w:rPr>
        <w:t xml:space="preserve">Article </w:t>
      </w:r>
      <w:r w:rsidR="008518B0" w:rsidRPr="00B004EE">
        <w:rPr>
          <w:rFonts w:ascii="Tahoma" w:hAnsi="Tahoma" w:cs="Tahoma"/>
          <w:spacing w:val="9"/>
          <w:sz w:val="20"/>
          <w:szCs w:val="20"/>
        </w:rPr>
        <w:t>L'organe</w:t>
      </w:r>
      <w:r w:rsidR="00DB1635" w:rsidRPr="00B004EE">
        <w:rPr>
          <w:rFonts w:ascii="Tahoma" w:hAnsi="Tahoma" w:cs="Tahoma"/>
          <w:spacing w:val="9"/>
          <w:sz w:val="20"/>
          <w:szCs w:val="20"/>
        </w:rPr>
        <w:t xml:space="preserve"> </w:t>
      </w:r>
      <w:r w:rsidR="008518B0" w:rsidRPr="00B004EE">
        <w:rPr>
          <w:rFonts w:ascii="Tahoma" w:hAnsi="Tahoma" w:cs="Tahoma"/>
          <w:spacing w:val="10"/>
          <w:sz w:val="20"/>
          <w:szCs w:val="20"/>
        </w:rPr>
        <w:t>délibérant</w:t>
      </w:r>
      <w:r w:rsidR="00DB1635" w:rsidRPr="00B004EE">
        <w:rPr>
          <w:rFonts w:ascii="Tahoma" w:hAnsi="Tahoma" w:cs="Tahoma"/>
          <w:spacing w:val="10"/>
          <w:sz w:val="20"/>
          <w:szCs w:val="20"/>
        </w:rPr>
        <w:t xml:space="preserve"> </w:t>
      </w:r>
      <w:r w:rsidR="008518B0" w:rsidRPr="00B004EE">
        <w:rPr>
          <w:rFonts w:ascii="Tahoma" w:hAnsi="Tahoma" w:cs="Tahoma"/>
          <w:spacing w:val="6"/>
          <w:sz w:val="20"/>
          <w:szCs w:val="20"/>
        </w:rPr>
        <w:t>de</w:t>
      </w:r>
      <w:r w:rsidR="00DB1635" w:rsidRPr="00B004EE">
        <w:rPr>
          <w:rFonts w:ascii="Tahoma" w:hAnsi="Tahoma" w:cs="Tahoma"/>
          <w:spacing w:val="6"/>
          <w:sz w:val="20"/>
          <w:szCs w:val="20"/>
        </w:rPr>
        <w:t xml:space="preserve"> </w:t>
      </w:r>
      <w:r w:rsidR="008518B0" w:rsidRPr="00B004EE">
        <w:rPr>
          <w:rFonts w:ascii="Tahoma" w:hAnsi="Tahoma" w:cs="Tahoma"/>
          <w:spacing w:val="-4"/>
          <w:sz w:val="20"/>
          <w:szCs w:val="20"/>
        </w:rPr>
        <w:t>l'ONISPA.</w:t>
      </w:r>
      <w:r w:rsidR="00DB1635" w:rsidRPr="00B004EE">
        <w:rPr>
          <w:rFonts w:ascii="Tahoma" w:hAnsi="Tahoma" w:cs="Tahoma"/>
          <w:spacing w:val="-4"/>
          <w:sz w:val="20"/>
          <w:szCs w:val="20"/>
        </w:rPr>
        <w:t xml:space="preserve"> </w:t>
      </w:r>
      <w:r w:rsidR="008518B0" w:rsidRPr="00B004EE">
        <w:rPr>
          <w:rFonts w:ascii="Tahoma" w:hAnsi="Tahoma" w:cs="Tahoma"/>
          <w:spacing w:val="-3"/>
          <w:sz w:val="20"/>
          <w:szCs w:val="20"/>
        </w:rPr>
        <w:t>Dénommé</w:t>
      </w:r>
      <w:r w:rsidRPr="00B004EE">
        <w:rPr>
          <w:rFonts w:ascii="Tahoma" w:hAnsi="Tahoma" w:cs="Tahoma"/>
          <w:spacing w:val="-3"/>
          <w:sz w:val="20"/>
          <w:szCs w:val="20"/>
        </w:rPr>
        <w:t xml:space="preserve"> </w:t>
      </w:r>
      <w:r w:rsidRPr="00B004EE">
        <w:rPr>
          <w:rFonts w:ascii="Tahoma" w:hAnsi="Tahoma" w:cs="Tahoma"/>
          <w:spacing w:val="-6"/>
          <w:sz w:val="20"/>
          <w:szCs w:val="20"/>
        </w:rPr>
        <w:t>« Conseil</w:t>
      </w:r>
      <w:r w:rsidR="00DB1635" w:rsidRPr="00B004EE">
        <w:rPr>
          <w:rFonts w:ascii="Tahoma" w:hAnsi="Tahoma" w:cs="Tahoma"/>
          <w:spacing w:val="-6"/>
          <w:sz w:val="20"/>
          <w:szCs w:val="20"/>
        </w:rPr>
        <w:t xml:space="preserve"> </w:t>
      </w:r>
      <w:r w:rsidR="008518B0" w:rsidRPr="00B004EE">
        <w:rPr>
          <w:rFonts w:ascii="Tahoma" w:hAnsi="Tahoma" w:cs="Tahoma"/>
          <w:spacing w:val="3"/>
          <w:sz w:val="20"/>
          <w:szCs w:val="20"/>
        </w:rPr>
        <w:t>d'Administration</w:t>
      </w:r>
      <w:r w:rsidR="00DB1635" w:rsidRPr="00B004EE">
        <w:rPr>
          <w:rFonts w:ascii="Tahoma" w:hAnsi="Tahoma" w:cs="Tahoma"/>
          <w:spacing w:val="3"/>
          <w:sz w:val="20"/>
          <w:szCs w:val="20"/>
        </w:rPr>
        <w:t xml:space="preserve"> </w:t>
      </w:r>
      <w:r w:rsidR="008518B0" w:rsidRPr="00B004EE">
        <w:rPr>
          <w:rFonts w:ascii="Tahoma" w:hAnsi="Tahoma" w:cs="Tahoma"/>
          <w:sz w:val="20"/>
          <w:szCs w:val="20"/>
        </w:rPr>
        <w:t>»,</w:t>
      </w:r>
      <w:r w:rsidR="00DB1635" w:rsidRPr="00B004EE">
        <w:rPr>
          <w:rFonts w:ascii="Tahoma" w:hAnsi="Tahoma" w:cs="Tahoma"/>
          <w:spacing w:val="29"/>
          <w:sz w:val="20"/>
          <w:szCs w:val="20"/>
        </w:rPr>
        <w:t xml:space="preserve"> </w:t>
      </w:r>
      <w:r w:rsidR="008518B0" w:rsidRPr="00B004EE">
        <w:rPr>
          <w:rFonts w:ascii="Tahoma" w:hAnsi="Tahoma" w:cs="Tahoma"/>
          <w:spacing w:val="2"/>
          <w:sz w:val="20"/>
          <w:szCs w:val="20"/>
        </w:rPr>
        <w:t>est</w:t>
      </w:r>
      <w:r w:rsidR="00DB1635" w:rsidRPr="00B004EE">
        <w:rPr>
          <w:rFonts w:ascii="Tahoma" w:hAnsi="Tahoma" w:cs="Tahoma"/>
          <w:w w:val="99"/>
          <w:sz w:val="20"/>
          <w:szCs w:val="20"/>
        </w:rPr>
        <w:t xml:space="preserve"> </w:t>
      </w:r>
      <w:r w:rsidR="008518B0" w:rsidRPr="00B004EE">
        <w:rPr>
          <w:rFonts w:ascii="Tahoma" w:hAnsi="Tahoma" w:cs="Tahoma"/>
          <w:spacing w:val="3"/>
          <w:sz w:val="20"/>
          <w:szCs w:val="20"/>
        </w:rPr>
        <w:t>composé</w:t>
      </w:r>
      <w:r w:rsidR="00DB1635" w:rsidRPr="00B004EE">
        <w:rPr>
          <w:rFonts w:ascii="Tahoma" w:hAnsi="Tahoma" w:cs="Tahoma"/>
          <w:spacing w:val="3"/>
          <w:sz w:val="20"/>
          <w:szCs w:val="20"/>
        </w:rPr>
        <w:t xml:space="preserve"> </w:t>
      </w:r>
      <w:r w:rsidR="008518B0" w:rsidRPr="00B004EE">
        <w:rPr>
          <w:rFonts w:ascii="Tahoma" w:hAnsi="Tahoma" w:cs="Tahoma"/>
          <w:spacing w:val="2"/>
          <w:sz w:val="20"/>
          <w:szCs w:val="20"/>
        </w:rPr>
        <w:t>comme</w:t>
      </w:r>
      <w:r w:rsidR="00DB1635" w:rsidRPr="00B004EE">
        <w:rPr>
          <w:rFonts w:ascii="Tahoma" w:hAnsi="Tahoma" w:cs="Tahoma"/>
          <w:spacing w:val="2"/>
          <w:sz w:val="20"/>
          <w:szCs w:val="20"/>
        </w:rPr>
        <w:t xml:space="preserve"> </w:t>
      </w:r>
      <w:r w:rsidR="008518B0" w:rsidRPr="00B004EE">
        <w:rPr>
          <w:rFonts w:ascii="Tahoma" w:hAnsi="Tahoma" w:cs="Tahoma"/>
          <w:spacing w:val="-5"/>
          <w:sz w:val="20"/>
          <w:szCs w:val="20"/>
        </w:rPr>
        <w:t>suit</w:t>
      </w:r>
      <w:r w:rsidR="00DB1635" w:rsidRPr="00B004EE">
        <w:rPr>
          <w:rFonts w:ascii="Tahoma" w:hAnsi="Tahoma" w:cs="Tahoma"/>
          <w:spacing w:val="7"/>
          <w:sz w:val="20"/>
          <w:szCs w:val="20"/>
        </w:rPr>
        <w:t xml:space="preserve"> </w:t>
      </w:r>
      <w:r w:rsidR="008518B0" w:rsidRPr="00B004EE">
        <w:rPr>
          <w:rFonts w:ascii="Tahoma" w:hAnsi="Tahoma" w:cs="Tahoma"/>
          <w:sz w:val="20"/>
          <w:szCs w:val="20"/>
        </w:rPr>
        <w:t>:</w:t>
      </w:r>
    </w:p>
    <w:p w14:paraId="613CDFDF" w14:textId="4AB39BB9" w:rsidR="008518B0" w:rsidRPr="00B004EE" w:rsidRDefault="008518B0" w:rsidP="00420DDA">
      <w:pPr>
        <w:pStyle w:val="Paragraphedeliste"/>
        <w:widowControl w:val="0"/>
        <w:numPr>
          <w:ilvl w:val="0"/>
          <w:numId w:val="150"/>
        </w:numPr>
        <w:tabs>
          <w:tab w:val="left" w:pos="709"/>
        </w:tabs>
        <w:ind w:left="709" w:right="194" w:hanging="425"/>
        <w:rPr>
          <w:rFonts w:ascii="Tahoma" w:eastAsia="Times" w:hAnsi="Tahoma" w:cs="Tahoma"/>
          <w:sz w:val="20"/>
          <w:szCs w:val="20"/>
        </w:rPr>
      </w:pPr>
      <w:r w:rsidRPr="00B004EE">
        <w:rPr>
          <w:rFonts w:ascii="Tahoma" w:hAnsi="Tahoma" w:cs="Tahoma"/>
          <w:sz w:val="20"/>
          <w:szCs w:val="20"/>
        </w:rPr>
        <w:t>Un</w:t>
      </w:r>
      <w:r w:rsidR="00DB1635" w:rsidRPr="00B004EE">
        <w:rPr>
          <w:rFonts w:ascii="Tahoma" w:hAnsi="Tahoma" w:cs="Tahoma"/>
          <w:spacing w:val="-5"/>
          <w:sz w:val="20"/>
          <w:szCs w:val="20"/>
        </w:rPr>
        <w:t xml:space="preserve"> </w:t>
      </w:r>
      <w:r w:rsidR="003A697D" w:rsidRPr="00B004EE">
        <w:rPr>
          <w:rFonts w:ascii="Tahoma" w:hAnsi="Tahoma" w:cs="Tahoma"/>
          <w:spacing w:val="-3"/>
          <w:sz w:val="20"/>
          <w:szCs w:val="20"/>
        </w:rPr>
        <w:t>Président ;</w:t>
      </w:r>
    </w:p>
    <w:p w14:paraId="77655842" w14:textId="3AFCA55F" w:rsidR="008518B0" w:rsidRPr="00B004EE" w:rsidRDefault="008518B0" w:rsidP="00420DDA">
      <w:pPr>
        <w:pStyle w:val="Paragraphedeliste"/>
        <w:widowControl w:val="0"/>
        <w:numPr>
          <w:ilvl w:val="0"/>
          <w:numId w:val="150"/>
        </w:numPr>
        <w:tabs>
          <w:tab w:val="left" w:pos="709"/>
        </w:tabs>
        <w:ind w:left="709" w:right="194" w:hanging="425"/>
        <w:rPr>
          <w:rFonts w:ascii="Tahoma" w:eastAsia="Times" w:hAnsi="Tahoma" w:cs="Tahoma"/>
          <w:sz w:val="20"/>
          <w:szCs w:val="20"/>
        </w:rPr>
      </w:pP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Représentant</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Ministère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l'Economie</w:t>
      </w:r>
      <w:r w:rsidR="00DB1635" w:rsidRPr="00B004EE">
        <w:rPr>
          <w:rFonts w:ascii="Tahoma" w:hAnsi="Tahoma" w:cs="Tahoma"/>
          <w:spacing w:val="-27"/>
          <w:sz w:val="20"/>
          <w:szCs w:val="20"/>
        </w:rPr>
        <w:t xml:space="preserve"> </w:t>
      </w:r>
      <w:r w:rsidR="003A697D" w:rsidRPr="00B004EE">
        <w:rPr>
          <w:rFonts w:ascii="Tahoma" w:hAnsi="Tahoma" w:cs="Tahoma"/>
          <w:sz w:val="20"/>
          <w:szCs w:val="20"/>
        </w:rPr>
        <w:t>Maritime :</w:t>
      </w:r>
    </w:p>
    <w:p w14:paraId="05F7CB8C" w14:textId="4124FBB8" w:rsidR="008518B0" w:rsidRPr="00B004EE" w:rsidRDefault="008518B0" w:rsidP="00420DDA">
      <w:pPr>
        <w:pStyle w:val="Paragraphedeliste"/>
        <w:widowControl w:val="0"/>
        <w:numPr>
          <w:ilvl w:val="0"/>
          <w:numId w:val="150"/>
        </w:numPr>
        <w:tabs>
          <w:tab w:val="left" w:pos="709"/>
        </w:tabs>
        <w:ind w:left="709" w:right="194" w:hanging="425"/>
        <w:rPr>
          <w:rFonts w:ascii="Tahoma" w:eastAsia="Times" w:hAnsi="Tahoma" w:cs="Tahoma"/>
          <w:sz w:val="20"/>
          <w:szCs w:val="20"/>
        </w:rPr>
      </w:pP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Représentant</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Ministère</w:t>
      </w:r>
      <w:r w:rsidR="00DB1635" w:rsidRPr="00B004EE">
        <w:rPr>
          <w:rFonts w:ascii="Tahoma" w:hAnsi="Tahoma" w:cs="Tahoma"/>
          <w:sz w:val="20"/>
          <w:szCs w:val="20"/>
        </w:rPr>
        <w:t xml:space="preserve"> </w:t>
      </w:r>
      <w:r w:rsidRPr="00B004EE">
        <w:rPr>
          <w:rFonts w:ascii="Tahoma" w:hAnsi="Tahoma" w:cs="Tahoma"/>
          <w:spacing w:val="-6"/>
          <w:sz w:val="20"/>
          <w:szCs w:val="20"/>
        </w:rPr>
        <w:t>des</w:t>
      </w:r>
      <w:r w:rsidR="00DB1635" w:rsidRPr="00B004EE">
        <w:rPr>
          <w:rFonts w:ascii="Tahoma" w:hAnsi="Tahoma" w:cs="Tahoma"/>
          <w:sz w:val="20"/>
          <w:szCs w:val="20"/>
        </w:rPr>
        <w:t xml:space="preserve"> </w:t>
      </w:r>
      <w:r w:rsidR="003A697D" w:rsidRPr="00B004EE">
        <w:rPr>
          <w:rFonts w:ascii="Tahoma" w:hAnsi="Tahoma" w:cs="Tahoma"/>
          <w:spacing w:val="-3"/>
          <w:sz w:val="20"/>
          <w:szCs w:val="20"/>
        </w:rPr>
        <w:t>Finances ;</w:t>
      </w:r>
    </w:p>
    <w:p w14:paraId="0E487F2C" w14:textId="4ABCEFB4" w:rsidR="008518B0" w:rsidRPr="00B004EE" w:rsidRDefault="008518B0" w:rsidP="00420DDA">
      <w:pPr>
        <w:pStyle w:val="Paragraphedeliste"/>
        <w:widowControl w:val="0"/>
        <w:numPr>
          <w:ilvl w:val="0"/>
          <w:numId w:val="150"/>
        </w:numPr>
        <w:tabs>
          <w:tab w:val="left" w:pos="709"/>
        </w:tabs>
        <w:ind w:left="709" w:right="194" w:hanging="425"/>
        <w:rPr>
          <w:rFonts w:ascii="Tahoma" w:eastAsia="Times" w:hAnsi="Tahoma" w:cs="Tahoma"/>
          <w:sz w:val="20"/>
          <w:szCs w:val="20"/>
        </w:rPr>
      </w:pP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Représentant</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Ministère</w:t>
      </w:r>
      <w:r w:rsidR="00DB1635" w:rsidRPr="00B004EE">
        <w:rPr>
          <w:rFonts w:ascii="Tahoma" w:hAnsi="Tahoma" w:cs="Tahoma"/>
          <w:sz w:val="20"/>
          <w:szCs w:val="20"/>
        </w:rPr>
        <w:t xml:space="preserve"> </w:t>
      </w:r>
      <w:r w:rsidRPr="00B004EE">
        <w:rPr>
          <w:rFonts w:ascii="Tahoma" w:hAnsi="Tahoma" w:cs="Tahoma"/>
          <w:spacing w:val="-6"/>
          <w:sz w:val="20"/>
          <w:szCs w:val="20"/>
        </w:rPr>
        <w:t>des</w:t>
      </w:r>
      <w:r w:rsidR="00DB1635" w:rsidRPr="00B004EE">
        <w:rPr>
          <w:rFonts w:ascii="Tahoma" w:hAnsi="Tahoma" w:cs="Tahoma"/>
          <w:spacing w:val="-6"/>
          <w:sz w:val="20"/>
          <w:szCs w:val="20"/>
        </w:rPr>
        <w:t xml:space="preserve"> </w:t>
      </w:r>
      <w:r w:rsidRPr="00B004EE">
        <w:rPr>
          <w:rFonts w:ascii="Tahoma" w:hAnsi="Tahoma" w:cs="Tahoma"/>
          <w:sz w:val="20"/>
          <w:szCs w:val="20"/>
        </w:rPr>
        <w:t>Affaires</w:t>
      </w:r>
      <w:r w:rsidR="00DB1635" w:rsidRPr="00B004EE">
        <w:rPr>
          <w:rFonts w:ascii="Tahoma" w:hAnsi="Tahoma" w:cs="Tahoma"/>
          <w:sz w:val="20"/>
          <w:szCs w:val="20"/>
        </w:rPr>
        <w:t xml:space="preserve"> </w:t>
      </w:r>
      <w:r w:rsidRPr="00B004EE">
        <w:rPr>
          <w:rFonts w:ascii="Tahoma" w:hAnsi="Tahoma" w:cs="Tahoma"/>
          <w:sz w:val="20"/>
          <w:szCs w:val="20"/>
        </w:rPr>
        <w:t>Economiques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pacing w:val="-4"/>
          <w:sz w:val="20"/>
          <w:szCs w:val="20"/>
        </w:rPr>
        <w:t>du</w:t>
      </w:r>
      <w:r w:rsidR="00DB1635" w:rsidRPr="00B004EE">
        <w:rPr>
          <w:rFonts w:ascii="Tahoma" w:hAnsi="Tahoma" w:cs="Tahoma"/>
          <w:spacing w:val="-7"/>
          <w:sz w:val="20"/>
          <w:szCs w:val="20"/>
        </w:rPr>
        <w:t xml:space="preserve"> </w:t>
      </w:r>
      <w:r w:rsidR="003A697D" w:rsidRPr="00B004EE">
        <w:rPr>
          <w:rFonts w:ascii="Tahoma" w:hAnsi="Tahoma" w:cs="Tahoma"/>
          <w:sz w:val="20"/>
          <w:szCs w:val="20"/>
        </w:rPr>
        <w:t>Développement ;</w:t>
      </w:r>
    </w:p>
    <w:p w14:paraId="0E436F23" w14:textId="5CEC5562" w:rsidR="008518B0" w:rsidRPr="00B004EE" w:rsidRDefault="008518B0" w:rsidP="00420DDA">
      <w:pPr>
        <w:pStyle w:val="Paragraphedeliste"/>
        <w:widowControl w:val="0"/>
        <w:numPr>
          <w:ilvl w:val="0"/>
          <w:numId w:val="150"/>
        </w:numPr>
        <w:tabs>
          <w:tab w:val="left" w:pos="709"/>
        </w:tabs>
        <w:ind w:left="709" w:right="194" w:hanging="425"/>
        <w:rPr>
          <w:rFonts w:ascii="Tahoma" w:eastAsia="Times" w:hAnsi="Tahoma" w:cs="Tahoma"/>
          <w:sz w:val="20"/>
          <w:szCs w:val="20"/>
        </w:rPr>
      </w:pP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pacing w:val="2"/>
          <w:sz w:val="20"/>
          <w:szCs w:val="20"/>
        </w:rPr>
        <w:t>Représentant</w:t>
      </w:r>
      <w:r w:rsidR="00DB1635" w:rsidRPr="00B004EE">
        <w:rPr>
          <w:rFonts w:ascii="Tahoma" w:hAnsi="Tahoma" w:cs="Tahoma"/>
          <w:spacing w:val="2"/>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pacing w:val="2"/>
          <w:sz w:val="20"/>
          <w:szCs w:val="20"/>
        </w:rPr>
        <w:t>Ministère</w:t>
      </w:r>
      <w:r w:rsidR="00DB1635" w:rsidRPr="00B004EE">
        <w:rPr>
          <w:rFonts w:ascii="Tahoma" w:hAnsi="Tahoma" w:cs="Tahoma"/>
          <w:spacing w:val="2"/>
          <w:sz w:val="20"/>
          <w:szCs w:val="20"/>
        </w:rPr>
        <w:t xml:space="preserve"> </w:t>
      </w:r>
      <w:r w:rsidRPr="00B004EE">
        <w:rPr>
          <w:rFonts w:ascii="Tahoma" w:hAnsi="Tahoma" w:cs="Tahoma"/>
          <w:spacing w:val="-4"/>
          <w:sz w:val="20"/>
          <w:szCs w:val="20"/>
        </w:rPr>
        <w:t>du</w:t>
      </w:r>
      <w:r w:rsidR="00DB1635" w:rsidRPr="00B004EE">
        <w:rPr>
          <w:rFonts w:ascii="Tahoma" w:hAnsi="Tahoma" w:cs="Tahoma"/>
          <w:spacing w:val="-4"/>
          <w:sz w:val="20"/>
          <w:szCs w:val="20"/>
        </w:rPr>
        <w:t xml:space="preserve"> </w:t>
      </w:r>
      <w:r w:rsidRPr="00B004EE">
        <w:rPr>
          <w:rFonts w:ascii="Tahoma" w:hAnsi="Tahoma" w:cs="Tahoma"/>
          <w:sz w:val="20"/>
          <w:szCs w:val="20"/>
        </w:rPr>
        <w:t>Commerce,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l'Artisanat</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pacing w:val="12"/>
          <w:sz w:val="20"/>
          <w:szCs w:val="20"/>
        </w:rPr>
        <w:t xml:space="preserve"> </w:t>
      </w:r>
      <w:r w:rsidR="003A697D" w:rsidRPr="00B004EE">
        <w:rPr>
          <w:rFonts w:ascii="Tahoma" w:hAnsi="Tahoma" w:cs="Tahoma"/>
          <w:sz w:val="20"/>
          <w:szCs w:val="20"/>
        </w:rPr>
        <w:t>Tourisme ;</w:t>
      </w:r>
    </w:p>
    <w:p w14:paraId="69D71E89" w14:textId="63ABD9F0" w:rsidR="008518B0" w:rsidRPr="00B004EE" w:rsidRDefault="008518B0" w:rsidP="00420DDA">
      <w:pPr>
        <w:pStyle w:val="Paragraphedeliste"/>
        <w:widowControl w:val="0"/>
        <w:numPr>
          <w:ilvl w:val="0"/>
          <w:numId w:val="150"/>
        </w:numPr>
        <w:tabs>
          <w:tab w:val="left" w:pos="709"/>
        </w:tabs>
        <w:ind w:left="709" w:right="194" w:hanging="425"/>
        <w:rPr>
          <w:rFonts w:ascii="Tahoma" w:eastAsia="Times" w:hAnsi="Tahoma" w:cs="Tahoma"/>
          <w:sz w:val="20"/>
          <w:szCs w:val="20"/>
        </w:rPr>
      </w:pP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Directeur</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l'Institut</w:t>
      </w:r>
      <w:r w:rsidR="00DB1635" w:rsidRPr="00B004EE">
        <w:rPr>
          <w:rFonts w:ascii="Tahoma" w:hAnsi="Tahoma" w:cs="Tahoma"/>
          <w:sz w:val="20"/>
          <w:szCs w:val="20"/>
        </w:rPr>
        <w:t xml:space="preserve"> </w:t>
      </w:r>
      <w:r w:rsidRPr="00B004EE">
        <w:rPr>
          <w:rFonts w:ascii="Tahoma" w:hAnsi="Tahoma" w:cs="Tahoma"/>
          <w:sz w:val="20"/>
          <w:szCs w:val="20"/>
        </w:rPr>
        <w:t>Mauritanien</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Recherches</w:t>
      </w:r>
      <w:r w:rsidR="00DB1635" w:rsidRPr="00B004EE">
        <w:rPr>
          <w:rFonts w:ascii="Tahoma" w:hAnsi="Tahoma" w:cs="Tahoma"/>
          <w:sz w:val="20"/>
          <w:szCs w:val="20"/>
        </w:rPr>
        <w:t xml:space="preserve"> </w:t>
      </w:r>
      <w:r w:rsidRPr="00B004EE">
        <w:rPr>
          <w:rFonts w:ascii="Tahoma" w:hAnsi="Tahoma" w:cs="Tahoma"/>
          <w:sz w:val="20"/>
          <w:szCs w:val="20"/>
        </w:rPr>
        <w:t>Océanographiques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pacing w:val="37"/>
          <w:sz w:val="20"/>
          <w:szCs w:val="20"/>
        </w:rPr>
        <w:t xml:space="preserve"> </w:t>
      </w:r>
      <w:r w:rsidRPr="00B004EE">
        <w:rPr>
          <w:rFonts w:ascii="Tahoma" w:hAnsi="Tahoma" w:cs="Tahoma"/>
          <w:sz w:val="20"/>
          <w:szCs w:val="20"/>
        </w:rPr>
        <w:t>Pêches</w:t>
      </w:r>
      <w:r w:rsidR="00DB1635" w:rsidRPr="00B004EE">
        <w:rPr>
          <w:rFonts w:ascii="Tahoma" w:hAnsi="Tahoma" w:cs="Tahoma"/>
          <w:sz w:val="20"/>
          <w:szCs w:val="20"/>
        </w:rPr>
        <w:t xml:space="preserve"> </w:t>
      </w:r>
      <w:r w:rsidRPr="00B004EE">
        <w:rPr>
          <w:rFonts w:ascii="Tahoma" w:eastAsia="Times" w:hAnsi="Tahoma" w:cs="Tahoma"/>
          <w:sz w:val="20"/>
          <w:szCs w:val="20"/>
        </w:rPr>
        <w:t>(IMROP</w:t>
      </w:r>
      <w:r w:rsidR="0024676E" w:rsidRPr="00B004EE">
        <w:rPr>
          <w:rFonts w:ascii="Tahoma" w:eastAsia="Times" w:hAnsi="Tahoma" w:cs="Tahoma"/>
          <w:sz w:val="20"/>
          <w:szCs w:val="20"/>
        </w:rPr>
        <w:t>) ;</w:t>
      </w:r>
    </w:p>
    <w:p w14:paraId="7CBB65BA" w14:textId="4B335D47" w:rsidR="008518B0" w:rsidRPr="00B004EE" w:rsidRDefault="008518B0" w:rsidP="00420DDA">
      <w:pPr>
        <w:pStyle w:val="Paragraphedeliste"/>
        <w:widowControl w:val="0"/>
        <w:numPr>
          <w:ilvl w:val="0"/>
          <w:numId w:val="150"/>
        </w:numPr>
        <w:tabs>
          <w:tab w:val="left" w:pos="709"/>
        </w:tabs>
        <w:ind w:left="709" w:right="194" w:hanging="425"/>
        <w:rPr>
          <w:rFonts w:ascii="Tahoma" w:eastAsia="Times" w:hAnsi="Tahoma" w:cs="Tahoma"/>
          <w:sz w:val="20"/>
          <w:szCs w:val="20"/>
        </w:rPr>
      </w:pP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pacing w:val="5"/>
          <w:sz w:val="20"/>
          <w:szCs w:val="20"/>
        </w:rPr>
        <w:t>Directeur</w:t>
      </w:r>
      <w:r w:rsidR="00DB1635" w:rsidRPr="00B004EE">
        <w:rPr>
          <w:rFonts w:ascii="Tahoma" w:hAnsi="Tahoma" w:cs="Tahoma"/>
          <w:spacing w:val="5"/>
          <w:sz w:val="20"/>
          <w:szCs w:val="20"/>
        </w:rPr>
        <w:t xml:space="preserve"> </w:t>
      </w:r>
      <w:r w:rsidRPr="00B004EE">
        <w:rPr>
          <w:rFonts w:ascii="Tahoma" w:hAnsi="Tahoma" w:cs="Tahoma"/>
          <w:spacing w:val="3"/>
          <w:sz w:val="20"/>
          <w:szCs w:val="20"/>
        </w:rPr>
        <w:t>de</w:t>
      </w:r>
      <w:r w:rsidR="00DB1635" w:rsidRPr="00B004EE">
        <w:rPr>
          <w:rFonts w:ascii="Tahoma" w:hAnsi="Tahoma" w:cs="Tahoma"/>
          <w:spacing w:val="3"/>
          <w:sz w:val="20"/>
          <w:szCs w:val="20"/>
        </w:rPr>
        <w:t xml:space="preserve"> </w:t>
      </w:r>
      <w:r w:rsidRPr="00B004EE">
        <w:rPr>
          <w:rFonts w:ascii="Tahoma" w:hAnsi="Tahoma" w:cs="Tahoma"/>
          <w:spacing w:val="6"/>
          <w:sz w:val="20"/>
          <w:szCs w:val="20"/>
        </w:rPr>
        <w:t>l'Institut</w:t>
      </w:r>
      <w:r w:rsidR="00DB1635" w:rsidRPr="00B004EE">
        <w:rPr>
          <w:rFonts w:ascii="Tahoma" w:hAnsi="Tahoma" w:cs="Tahoma"/>
          <w:spacing w:val="6"/>
          <w:sz w:val="20"/>
          <w:szCs w:val="20"/>
        </w:rPr>
        <w:t xml:space="preserve"> </w:t>
      </w:r>
      <w:r w:rsidRPr="00B004EE">
        <w:rPr>
          <w:rFonts w:ascii="Tahoma" w:hAnsi="Tahoma" w:cs="Tahoma"/>
          <w:spacing w:val="5"/>
          <w:sz w:val="20"/>
          <w:szCs w:val="20"/>
        </w:rPr>
        <w:t>Nationale</w:t>
      </w:r>
      <w:r w:rsidR="00DB1635" w:rsidRPr="00B004EE">
        <w:rPr>
          <w:rFonts w:ascii="Tahoma" w:hAnsi="Tahoma" w:cs="Tahoma"/>
          <w:spacing w:val="5"/>
          <w:sz w:val="20"/>
          <w:szCs w:val="20"/>
        </w:rPr>
        <w:t xml:space="preserve"> </w:t>
      </w:r>
      <w:r w:rsidRPr="00B004EE">
        <w:rPr>
          <w:rFonts w:ascii="Tahoma" w:hAnsi="Tahoma" w:cs="Tahoma"/>
          <w:spacing w:val="3"/>
          <w:sz w:val="20"/>
          <w:szCs w:val="20"/>
        </w:rPr>
        <w:t>de</w:t>
      </w:r>
      <w:r w:rsidR="00DB1635" w:rsidRPr="00B004EE">
        <w:rPr>
          <w:rFonts w:ascii="Tahoma" w:hAnsi="Tahoma" w:cs="Tahoma"/>
          <w:spacing w:val="3"/>
          <w:sz w:val="20"/>
          <w:szCs w:val="20"/>
        </w:rPr>
        <w:t xml:space="preserve"> </w:t>
      </w:r>
      <w:r w:rsidRPr="00B004EE">
        <w:rPr>
          <w:rFonts w:ascii="Tahoma" w:hAnsi="Tahoma" w:cs="Tahoma"/>
          <w:sz w:val="20"/>
          <w:szCs w:val="20"/>
        </w:rPr>
        <w:t>Recherche</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Santé</w:t>
      </w:r>
      <w:r w:rsidR="00DB1635" w:rsidRPr="00B004EE">
        <w:rPr>
          <w:rFonts w:ascii="Tahoma" w:hAnsi="Tahoma" w:cs="Tahoma"/>
          <w:sz w:val="20"/>
          <w:szCs w:val="20"/>
        </w:rPr>
        <w:t xml:space="preserve"> </w:t>
      </w:r>
      <w:r w:rsidRPr="00B004EE">
        <w:rPr>
          <w:rFonts w:ascii="Tahoma" w:hAnsi="Tahoma" w:cs="Tahoma"/>
          <w:sz w:val="20"/>
          <w:szCs w:val="20"/>
        </w:rPr>
        <w:t>Publique</w:t>
      </w:r>
      <w:r w:rsidR="00DB1635" w:rsidRPr="00B004EE">
        <w:rPr>
          <w:rFonts w:ascii="Tahoma" w:hAnsi="Tahoma" w:cs="Tahoma"/>
          <w:spacing w:val="1"/>
          <w:sz w:val="20"/>
          <w:szCs w:val="20"/>
        </w:rPr>
        <w:t xml:space="preserve"> </w:t>
      </w:r>
      <w:r w:rsidRPr="00B004EE">
        <w:rPr>
          <w:rFonts w:ascii="Tahoma" w:hAnsi="Tahoma" w:cs="Tahoma"/>
          <w:sz w:val="20"/>
          <w:szCs w:val="20"/>
        </w:rPr>
        <w:t>(INRSP)</w:t>
      </w:r>
      <w:r w:rsidR="00DB1635" w:rsidRPr="00B004EE">
        <w:rPr>
          <w:rFonts w:ascii="Tahoma" w:hAnsi="Tahoma" w:cs="Tahoma"/>
          <w:sz w:val="20"/>
          <w:szCs w:val="20"/>
        </w:rPr>
        <w:t xml:space="preserve"> </w:t>
      </w:r>
      <w:r w:rsidRPr="00B004EE">
        <w:rPr>
          <w:rFonts w:ascii="Tahoma" w:hAnsi="Tahoma" w:cs="Tahoma"/>
          <w:sz w:val="20"/>
          <w:szCs w:val="20"/>
        </w:rPr>
        <w:t>;</w:t>
      </w:r>
    </w:p>
    <w:p w14:paraId="3C3A895B" w14:textId="6CC9A511" w:rsidR="008518B0" w:rsidRPr="00B004EE" w:rsidRDefault="008518B0" w:rsidP="00420DDA">
      <w:pPr>
        <w:pStyle w:val="Paragraphedeliste"/>
        <w:widowControl w:val="0"/>
        <w:numPr>
          <w:ilvl w:val="0"/>
          <w:numId w:val="150"/>
        </w:numPr>
        <w:tabs>
          <w:tab w:val="left" w:pos="709"/>
        </w:tabs>
        <w:ind w:left="709" w:right="194" w:hanging="425"/>
        <w:rPr>
          <w:rFonts w:ascii="Tahoma" w:eastAsia="Times" w:hAnsi="Tahoma" w:cs="Tahoma"/>
          <w:sz w:val="20"/>
          <w:szCs w:val="20"/>
        </w:rPr>
      </w:pPr>
      <w:r w:rsidRPr="00B004EE">
        <w:rPr>
          <w:rFonts w:ascii="Tahoma" w:hAnsi="Tahoma" w:cs="Tahoma"/>
          <w:spacing w:val="3"/>
          <w:sz w:val="20"/>
          <w:szCs w:val="20"/>
        </w:rPr>
        <w:t>Le</w:t>
      </w:r>
      <w:r w:rsidR="00DB1635" w:rsidRPr="00B004EE">
        <w:rPr>
          <w:rFonts w:ascii="Tahoma" w:hAnsi="Tahoma" w:cs="Tahoma"/>
          <w:spacing w:val="3"/>
          <w:sz w:val="20"/>
          <w:szCs w:val="20"/>
        </w:rPr>
        <w:t xml:space="preserve"> </w:t>
      </w:r>
      <w:r w:rsidRPr="00B004EE">
        <w:rPr>
          <w:rFonts w:ascii="Tahoma" w:hAnsi="Tahoma" w:cs="Tahoma"/>
          <w:spacing w:val="7"/>
          <w:sz w:val="20"/>
          <w:szCs w:val="20"/>
        </w:rPr>
        <w:t>Directeur</w:t>
      </w:r>
      <w:r w:rsidR="00DB1635" w:rsidRPr="00B004EE">
        <w:rPr>
          <w:rFonts w:ascii="Tahoma" w:hAnsi="Tahoma" w:cs="Tahoma"/>
          <w:spacing w:val="7"/>
          <w:sz w:val="20"/>
          <w:szCs w:val="20"/>
        </w:rPr>
        <w:t xml:space="preserve"> </w:t>
      </w:r>
      <w:r w:rsidRPr="00B004EE">
        <w:rPr>
          <w:rFonts w:ascii="Tahoma" w:hAnsi="Tahoma" w:cs="Tahoma"/>
          <w:spacing w:val="4"/>
          <w:sz w:val="20"/>
          <w:szCs w:val="20"/>
        </w:rPr>
        <w:t>du</w:t>
      </w:r>
      <w:r w:rsidR="00DB1635" w:rsidRPr="00B004EE">
        <w:rPr>
          <w:rFonts w:ascii="Tahoma" w:hAnsi="Tahoma" w:cs="Tahoma"/>
          <w:spacing w:val="4"/>
          <w:sz w:val="20"/>
          <w:szCs w:val="20"/>
        </w:rPr>
        <w:t xml:space="preserve"> </w:t>
      </w:r>
      <w:r w:rsidRPr="00B004EE">
        <w:rPr>
          <w:rFonts w:ascii="Tahoma" w:hAnsi="Tahoma" w:cs="Tahoma"/>
          <w:spacing w:val="7"/>
          <w:sz w:val="20"/>
          <w:szCs w:val="20"/>
        </w:rPr>
        <w:t>Centre</w:t>
      </w:r>
      <w:r w:rsidR="00DB1635" w:rsidRPr="00B004EE">
        <w:rPr>
          <w:rFonts w:ascii="Tahoma" w:hAnsi="Tahoma" w:cs="Tahoma"/>
          <w:spacing w:val="7"/>
          <w:sz w:val="20"/>
          <w:szCs w:val="20"/>
        </w:rPr>
        <w:t xml:space="preserve"> </w:t>
      </w:r>
      <w:r w:rsidRPr="00B004EE">
        <w:rPr>
          <w:rFonts w:ascii="Tahoma" w:hAnsi="Tahoma" w:cs="Tahoma"/>
          <w:spacing w:val="7"/>
          <w:sz w:val="20"/>
          <w:szCs w:val="20"/>
        </w:rPr>
        <w:t>National</w:t>
      </w:r>
      <w:r w:rsidR="00DB1635" w:rsidRPr="00B004EE">
        <w:rPr>
          <w:rFonts w:ascii="Tahoma" w:hAnsi="Tahoma" w:cs="Tahoma"/>
          <w:spacing w:val="7"/>
          <w:sz w:val="20"/>
          <w:szCs w:val="20"/>
        </w:rPr>
        <w:t xml:space="preserve"> </w:t>
      </w:r>
      <w:r w:rsidRPr="00B004EE">
        <w:rPr>
          <w:rFonts w:ascii="Tahoma" w:hAnsi="Tahoma" w:cs="Tahoma"/>
          <w:sz w:val="20"/>
          <w:szCs w:val="20"/>
        </w:rPr>
        <w:t>d'Elevage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Recherche</w:t>
      </w:r>
      <w:r w:rsidR="00DB1635" w:rsidRPr="00B004EE">
        <w:rPr>
          <w:rFonts w:ascii="Tahoma" w:hAnsi="Tahoma" w:cs="Tahoma"/>
          <w:sz w:val="20"/>
          <w:szCs w:val="20"/>
        </w:rPr>
        <w:t xml:space="preserve"> </w:t>
      </w:r>
      <w:r w:rsidRPr="00B004EE">
        <w:rPr>
          <w:rFonts w:ascii="Tahoma" w:hAnsi="Tahoma" w:cs="Tahoma"/>
          <w:sz w:val="20"/>
          <w:szCs w:val="20"/>
        </w:rPr>
        <w:t>Vétérinaire</w:t>
      </w:r>
      <w:r w:rsidR="00DB1635" w:rsidRPr="00B004EE">
        <w:rPr>
          <w:rFonts w:ascii="Tahoma" w:hAnsi="Tahoma" w:cs="Tahoma"/>
          <w:spacing w:val="26"/>
          <w:sz w:val="20"/>
          <w:szCs w:val="20"/>
        </w:rPr>
        <w:t xml:space="preserve"> </w:t>
      </w:r>
      <w:r w:rsidRPr="00B004EE">
        <w:rPr>
          <w:rFonts w:ascii="Tahoma" w:hAnsi="Tahoma" w:cs="Tahoma"/>
          <w:spacing w:val="3"/>
          <w:sz w:val="20"/>
          <w:szCs w:val="20"/>
        </w:rPr>
        <w:t>(CNERV</w:t>
      </w:r>
      <w:r w:rsidR="003A697D" w:rsidRPr="00B004EE">
        <w:rPr>
          <w:rFonts w:ascii="Tahoma" w:hAnsi="Tahoma" w:cs="Tahoma"/>
          <w:spacing w:val="3"/>
          <w:sz w:val="20"/>
          <w:szCs w:val="20"/>
        </w:rPr>
        <w:t>) ;</w:t>
      </w:r>
    </w:p>
    <w:p w14:paraId="2CB43A68" w14:textId="644206DC" w:rsidR="008518B0" w:rsidRPr="00B004EE" w:rsidRDefault="008518B0" w:rsidP="00420DDA">
      <w:pPr>
        <w:pStyle w:val="Paragraphedeliste"/>
        <w:widowControl w:val="0"/>
        <w:numPr>
          <w:ilvl w:val="0"/>
          <w:numId w:val="150"/>
        </w:numPr>
        <w:tabs>
          <w:tab w:val="left" w:pos="709"/>
          <w:tab w:val="left" w:pos="3647"/>
          <w:tab w:val="left" w:pos="6350"/>
        </w:tabs>
        <w:ind w:left="709" w:right="194" w:hanging="425"/>
        <w:rPr>
          <w:rFonts w:ascii="Tahoma" w:eastAsia="Times" w:hAnsi="Tahoma" w:cs="Tahoma"/>
          <w:sz w:val="20"/>
          <w:szCs w:val="20"/>
        </w:rPr>
      </w:pPr>
      <w:r w:rsidRPr="00B004EE">
        <w:rPr>
          <w:rFonts w:ascii="Tahoma" w:hAnsi="Tahoma" w:cs="Tahoma"/>
          <w:sz w:val="20"/>
          <w:szCs w:val="20"/>
        </w:rPr>
        <w:t>Deux</w:t>
      </w:r>
      <w:r w:rsidR="00DB1635" w:rsidRPr="00B004EE">
        <w:rPr>
          <w:rFonts w:ascii="Tahoma" w:hAnsi="Tahoma" w:cs="Tahoma"/>
          <w:sz w:val="20"/>
          <w:szCs w:val="20"/>
        </w:rPr>
        <w:t xml:space="preserve"> </w:t>
      </w:r>
      <w:r w:rsidRPr="00B004EE">
        <w:rPr>
          <w:rFonts w:ascii="Tahoma" w:hAnsi="Tahoma" w:cs="Tahoma"/>
          <w:sz w:val="20"/>
          <w:szCs w:val="20"/>
        </w:rPr>
        <w:t>(2)</w:t>
      </w:r>
      <w:r w:rsidR="00DB1635" w:rsidRPr="00B004EE">
        <w:rPr>
          <w:rFonts w:ascii="Tahoma" w:hAnsi="Tahoma" w:cs="Tahoma"/>
          <w:sz w:val="20"/>
          <w:szCs w:val="20"/>
        </w:rPr>
        <w:t xml:space="preserve"> </w:t>
      </w:r>
      <w:r w:rsidRPr="00B004EE">
        <w:rPr>
          <w:rFonts w:ascii="Tahoma" w:hAnsi="Tahoma" w:cs="Tahoma"/>
          <w:spacing w:val="2"/>
          <w:sz w:val="20"/>
          <w:szCs w:val="20"/>
        </w:rPr>
        <w:t>Représentants</w:t>
      </w:r>
      <w:r w:rsidR="00DB1635" w:rsidRPr="00B004EE">
        <w:rPr>
          <w:rFonts w:ascii="Tahoma" w:hAnsi="Tahoma" w:cs="Tahoma"/>
          <w:spacing w:val="2"/>
          <w:sz w:val="20"/>
          <w:szCs w:val="20"/>
        </w:rPr>
        <w:t xml:space="preserve"> </w:t>
      </w:r>
      <w:r w:rsidRPr="00B004EE">
        <w:rPr>
          <w:rFonts w:ascii="Tahoma" w:hAnsi="Tahoma" w:cs="Tahoma"/>
          <w:sz w:val="20"/>
          <w:szCs w:val="20"/>
        </w:rPr>
        <w:t>actifs</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organisations</w:t>
      </w:r>
      <w:r w:rsidR="00DB1635" w:rsidRPr="00B004EE">
        <w:rPr>
          <w:rFonts w:ascii="Tahoma" w:hAnsi="Tahoma" w:cs="Tahoma"/>
          <w:sz w:val="20"/>
          <w:szCs w:val="20"/>
        </w:rPr>
        <w:t xml:space="preserve"> </w:t>
      </w:r>
      <w:r w:rsidRPr="00B004EE">
        <w:rPr>
          <w:rFonts w:ascii="Tahoma" w:hAnsi="Tahoma" w:cs="Tahoma"/>
          <w:sz w:val="20"/>
          <w:szCs w:val="20"/>
        </w:rPr>
        <w:t>socioprofessionnelles</w:t>
      </w:r>
      <w:r w:rsidR="00DB1635" w:rsidRPr="00B004EE">
        <w:rPr>
          <w:rFonts w:ascii="Tahoma" w:hAnsi="Tahoma" w:cs="Tahoma"/>
          <w:sz w:val="20"/>
          <w:szCs w:val="20"/>
        </w:rPr>
        <w:t xml:space="preserve"> </w:t>
      </w:r>
      <w:r w:rsidRPr="00B004EE">
        <w:rPr>
          <w:rFonts w:ascii="Tahoma" w:hAnsi="Tahoma" w:cs="Tahoma"/>
          <w:sz w:val="20"/>
          <w:szCs w:val="20"/>
        </w:rPr>
        <w:t>dont</w:t>
      </w:r>
      <w:r w:rsidR="00DB1635" w:rsidRPr="00B004EE">
        <w:rPr>
          <w:rFonts w:ascii="Tahoma" w:hAnsi="Tahoma" w:cs="Tahoma"/>
          <w:spacing w:val="30"/>
          <w:sz w:val="20"/>
          <w:szCs w:val="20"/>
        </w:rPr>
        <w:t xml:space="preserve"> </w:t>
      </w:r>
      <w:r w:rsidRPr="00B004EE">
        <w:rPr>
          <w:rFonts w:ascii="Tahoma" w:hAnsi="Tahoma" w:cs="Tahoma"/>
          <w:sz w:val="20"/>
          <w:szCs w:val="20"/>
        </w:rPr>
        <w:t>un</w:t>
      </w:r>
      <w:r w:rsidR="00DB1635" w:rsidRPr="00B004EE">
        <w:rPr>
          <w:rFonts w:ascii="Tahoma" w:hAnsi="Tahoma" w:cs="Tahoma"/>
          <w:w w:val="99"/>
          <w:sz w:val="20"/>
          <w:szCs w:val="20"/>
        </w:rPr>
        <w:t xml:space="preserve"> </w:t>
      </w:r>
      <w:r w:rsidRPr="00B004EE">
        <w:rPr>
          <w:rFonts w:ascii="Tahoma" w:hAnsi="Tahoma" w:cs="Tahoma"/>
          <w:sz w:val="20"/>
          <w:szCs w:val="20"/>
        </w:rPr>
        <w:t>Armateur</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responsable</w:t>
      </w:r>
      <w:r w:rsidR="00DB1635" w:rsidRPr="00B004EE">
        <w:rPr>
          <w:rFonts w:ascii="Tahoma" w:hAnsi="Tahoma" w:cs="Tahoma"/>
          <w:sz w:val="20"/>
          <w:szCs w:val="20"/>
        </w:rPr>
        <w:t xml:space="preserve"> </w:t>
      </w:r>
      <w:r w:rsidRPr="00B004EE">
        <w:rPr>
          <w:rFonts w:ascii="Tahoma" w:hAnsi="Tahoma" w:cs="Tahoma"/>
          <w:sz w:val="20"/>
          <w:szCs w:val="20"/>
        </w:rPr>
        <w:t>d'une</w:t>
      </w:r>
      <w:r w:rsidR="00DB1635" w:rsidRPr="00B004EE">
        <w:rPr>
          <w:rFonts w:ascii="Tahoma" w:hAnsi="Tahoma" w:cs="Tahoma"/>
          <w:sz w:val="20"/>
          <w:szCs w:val="20"/>
        </w:rPr>
        <w:t xml:space="preserve"> </w:t>
      </w:r>
      <w:r w:rsidRPr="00B004EE">
        <w:rPr>
          <w:rFonts w:ascii="Tahoma" w:hAnsi="Tahoma" w:cs="Tahoma"/>
          <w:sz w:val="20"/>
          <w:szCs w:val="20"/>
        </w:rPr>
        <w:t>industrie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pacing w:val="-13"/>
          <w:sz w:val="20"/>
          <w:szCs w:val="20"/>
        </w:rPr>
        <w:t xml:space="preserve"> </w:t>
      </w:r>
      <w:r w:rsidR="003A697D" w:rsidRPr="00B004EE">
        <w:rPr>
          <w:rFonts w:ascii="Tahoma" w:hAnsi="Tahoma" w:cs="Tahoma"/>
          <w:sz w:val="20"/>
          <w:szCs w:val="20"/>
        </w:rPr>
        <w:t>pêche ;</w:t>
      </w:r>
    </w:p>
    <w:p w14:paraId="19317329" w14:textId="341C866C" w:rsidR="008518B0" w:rsidRPr="00B004EE" w:rsidRDefault="008518B0" w:rsidP="00420DDA">
      <w:pPr>
        <w:pStyle w:val="Paragraphedeliste"/>
        <w:widowControl w:val="0"/>
        <w:numPr>
          <w:ilvl w:val="0"/>
          <w:numId w:val="150"/>
        </w:numPr>
        <w:tabs>
          <w:tab w:val="left" w:pos="709"/>
        </w:tabs>
        <w:ind w:left="709" w:right="194" w:hanging="425"/>
        <w:rPr>
          <w:rFonts w:ascii="Tahoma" w:hAnsi="Tahoma" w:cs="Tahoma"/>
          <w:sz w:val="20"/>
          <w:szCs w:val="20"/>
        </w:rPr>
      </w:pP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Représentants</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Personnel</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l'Office</w:t>
      </w:r>
      <w:r w:rsidR="00DB1635" w:rsidRPr="00B004EE">
        <w:rPr>
          <w:rFonts w:ascii="Tahoma" w:hAnsi="Tahoma" w:cs="Tahoma"/>
          <w:sz w:val="20"/>
          <w:szCs w:val="20"/>
        </w:rPr>
        <w:t xml:space="preserve"> </w:t>
      </w:r>
      <w:r w:rsidRPr="00B004EE">
        <w:rPr>
          <w:rFonts w:ascii="Tahoma" w:hAnsi="Tahoma" w:cs="Tahoma"/>
          <w:sz w:val="20"/>
          <w:szCs w:val="20"/>
        </w:rPr>
        <w:t>;</w:t>
      </w:r>
    </w:p>
    <w:p w14:paraId="455DAFCE" w14:textId="77777777" w:rsidR="00FF661D" w:rsidRPr="00B004EE" w:rsidRDefault="00FF661D" w:rsidP="00B004EE">
      <w:pPr>
        <w:pStyle w:val="Paragraphedeliste"/>
        <w:widowControl w:val="0"/>
        <w:tabs>
          <w:tab w:val="left" w:pos="709"/>
        </w:tabs>
        <w:ind w:left="709" w:right="194"/>
        <w:rPr>
          <w:rFonts w:ascii="Tahoma" w:hAnsi="Tahoma" w:cs="Tahoma"/>
          <w:sz w:val="20"/>
          <w:szCs w:val="20"/>
        </w:rPr>
      </w:pPr>
    </w:p>
    <w:p w14:paraId="191BBB65" w14:textId="7E547DB6" w:rsidR="008518B0" w:rsidRPr="00B004EE" w:rsidRDefault="008518B0" w:rsidP="00B004EE">
      <w:pPr>
        <w:pStyle w:val="Corpsdetexte"/>
        <w:ind w:left="160"/>
        <w:rPr>
          <w:rFonts w:ascii="Tahoma" w:hAnsi="Tahoma" w:cs="Tahoma"/>
          <w:sz w:val="20"/>
          <w:szCs w:val="20"/>
        </w:rPr>
      </w:pPr>
      <w:r w:rsidRPr="00B004EE">
        <w:rPr>
          <w:rFonts w:ascii="Tahoma" w:hAnsi="Tahoma" w:cs="Tahoma"/>
          <w:sz w:val="20"/>
          <w:szCs w:val="20"/>
        </w:rPr>
        <w:t>Le</w:t>
      </w:r>
      <w:r w:rsidR="00DB1635" w:rsidRPr="00B004EE">
        <w:rPr>
          <w:rFonts w:ascii="Tahoma" w:hAnsi="Tahoma" w:cs="Tahoma"/>
          <w:spacing w:val="12"/>
          <w:sz w:val="20"/>
          <w:szCs w:val="20"/>
        </w:rPr>
        <w:t xml:space="preserve"> </w:t>
      </w:r>
      <w:r w:rsidRPr="00B004EE">
        <w:rPr>
          <w:rFonts w:ascii="Tahoma" w:hAnsi="Tahoma" w:cs="Tahoma"/>
          <w:sz w:val="20"/>
          <w:szCs w:val="20"/>
        </w:rPr>
        <w:t>Conseil</w:t>
      </w:r>
      <w:r w:rsidR="00DB1635" w:rsidRPr="00B004EE">
        <w:rPr>
          <w:rFonts w:ascii="Tahoma" w:hAnsi="Tahoma" w:cs="Tahoma"/>
          <w:spacing w:val="13"/>
          <w:sz w:val="20"/>
          <w:szCs w:val="20"/>
        </w:rPr>
        <w:t xml:space="preserve"> </w:t>
      </w:r>
      <w:r w:rsidRPr="00B004EE">
        <w:rPr>
          <w:rFonts w:ascii="Tahoma" w:hAnsi="Tahoma" w:cs="Tahoma"/>
          <w:sz w:val="20"/>
          <w:szCs w:val="20"/>
        </w:rPr>
        <w:t>d'Administration</w:t>
      </w:r>
      <w:r w:rsidR="00DB1635" w:rsidRPr="00B004EE">
        <w:rPr>
          <w:rFonts w:ascii="Tahoma" w:hAnsi="Tahoma" w:cs="Tahoma"/>
          <w:spacing w:val="13"/>
          <w:sz w:val="20"/>
          <w:szCs w:val="20"/>
        </w:rPr>
        <w:t xml:space="preserve"> </w:t>
      </w:r>
      <w:r w:rsidRPr="00B004EE">
        <w:rPr>
          <w:rFonts w:ascii="Tahoma" w:hAnsi="Tahoma" w:cs="Tahoma"/>
          <w:sz w:val="20"/>
          <w:szCs w:val="20"/>
        </w:rPr>
        <w:t>peut</w:t>
      </w:r>
      <w:r w:rsidR="00DB1635" w:rsidRPr="00B004EE">
        <w:rPr>
          <w:rFonts w:ascii="Tahoma" w:hAnsi="Tahoma" w:cs="Tahoma"/>
          <w:spacing w:val="13"/>
          <w:sz w:val="20"/>
          <w:szCs w:val="20"/>
        </w:rPr>
        <w:t xml:space="preserve"> </w:t>
      </w:r>
      <w:r w:rsidRPr="00B004EE">
        <w:rPr>
          <w:rFonts w:ascii="Tahoma" w:hAnsi="Tahoma" w:cs="Tahoma"/>
          <w:sz w:val="20"/>
          <w:szCs w:val="20"/>
        </w:rPr>
        <w:t>inviter,</w:t>
      </w:r>
      <w:r w:rsidR="00DB1635" w:rsidRPr="00B004EE">
        <w:rPr>
          <w:rFonts w:ascii="Tahoma" w:hAnsi="Tahoma" w:cs="Tahoma"/>
          <w:spacing w:val="13"/>
          <w:sz w:val="20"/>
          <w:szCs w:val="20"/>
        </w:rPr>
        <w:t xml:space="preserve"> </w:t>
      </w:r>
      <w:r w:rsidRPr="00B004EE">
        <w:rPr>
          <w:rFonts w:ascii="Tahoma" w:hAnsi="Tahoma" w:cs="Tahoma"/>
          <w:sz w:val="20"/>
          <w:szCs w:val="20"/>
        </w:rPr>
        <w:t>à</w:t>
      </w:r>
      <w:r w:rsidR="00DB1635" w:rsidRPr="00B004EE">
        <w:rPr>
          <w:rFonts w:ascii="Tahoma" w:hAnsi="Tahoma" w:cs="Tahoma"/>
          <w:spacing w:val="12"/>
          <w:sz w:val="20"/>
          <w:szCs w:val="20"/>
        </w:rPr>
        <w:t xml:space="preserve"> </w:t>
      </w:r>
      <w:r w:rsidRPr="00B004EE">
        <w:rPr>
          <w:rFonts w:ascii="Tahoma" w:hAnsi="Tahoma" w:cs="Tahoma"/>
          <w:sz w:val="20"/>
          <w:szCs w:val="20"/>
        </w:rPr>
        <w:t>ses</w:t>
      </w:r>
      <w:r w:rsidR="00DB1635" w:rsidRPr="00B004EE">
        <w:rPr>
          <w:rFonts w:ascii="Tahoma" w:hAnsi="Tahoma" w:cs="Tahoma"/>
          <w:spacing w:val="15"/>
          <w:sz w:val="20"/>
          <w:szCs w:val="20"/>
        </w:rPr>
        <w:t xml:space="preserve"> </w:t>
      </w:r>
      <w:r w:rsidRPr="00B004EE">
        <w:rPr>
          <w:rFonts w:ascii="Tahoma" w:hAnsi="Tahoma" w:cs="Tahoma"/>
          <w:sz w:val="20"/>
          <w:szCs w:val="20"/>
        </w:rPr>
        <w:t>réunions,</w:t>
      </w:r>
      <w:r w:rsidR="00DB1635" w:rsidRPr="00B004EE">
        <w:rPr>
          <w:rFonts w:ascii="Tahoma" w:hAnsi="Tahoma" w:cs="Tahoma"/>
          <w:spacing w:val="15"/>
          <w:sz w:val="20"/>
          <w:szCs w:val="20"/>
        </w:rPr>
        <w:t xml:space="preserve"> </w:t>
      </w:r>
      <w:r w:rsidRPr="00B004EE">
        <w:rPr>
          <w:rFonts w:ascii="Tahoma" w:hAnsi="Tahoma" w:cs="Tahoma"/>
          <w:sz w:val="20"/>
          <w:szCs w:val="20"/>
        </w:rPr>
        <w:t>toute</w:t>
      </w:r>
      <w:r w:rsidR="00DB1635" w:rsidRPr="00B004EE">
        <w:rPr>
          <w:rFonts w:ascii="Tahoma" w:hAnsi="Tahoma" w:cs="Tahoma"/>
          <w:spacing w:val="14"/>
          <w:sz w:val="20"/>
          <w:szCs w:val="20"/>
        </w:rPr>
        <w:t xml:space="preserve"> </w:t>
      </w:r>
      <w:r w:rsidRPr="00B004EE">
        <w:rPr>
          <w:rFonts w:ascii="Tahoma" w:hAnsi="Tahoma" w:cs="Tahoma"/>
          <w:sz w:val="20"/>
          <w:szCs w:val="20"/>
        </w:rPr>
        <w:t>personne</w:t>
      </w:r>
      <w:r w:rsidR="00DB1635" w:rsidRPr="00B004EE">
        <w:rPr>
          <w:rFonts w:ascii="Tahoma" w:hAnsi="Tahoma" w:cs="Tahoma"/>
          <w:spacing w:val="14"/>
          <w:sz w:val="20"/>
          <w:szCs w:val="20"/>
        </w:rPr>
        <w:t xml:space="preserve"> </w:t>
      </w:r>
      <w:r w:rsidRPr="00B004EE">
        <w:rPr>
          <w:rFonts w:ascii="Tahoma" w:hAnsi="Tahoma" w:cs="Tahoma"/>
          <w:sz w:val="20"/>
          <w:szCs w:val="20"/>
        </w:rPr>
        <w:t>dont</w:t>
      </w:r>
      <w:r w:rsidR="00DB1635" w:rsidRPr="00B004EE">
        <w:rPr>
          <w:rFonts w:ascii="Tahoma" w:hAnsi="Tahoma" w:cs="Tahoma"/>
          <w:spacing w:val="15"/>
          <w:sz w:val="20"/>
          <w:szCs w:val="20"/>
        </w:rPr>
        <w:t xml:space="preserve"> </w:t>
      </w:r>
      <w:r w:rsidRPr="00B004EE">
        <w:rPr>
          <w:rFonts w:ascii="Tahoma" w:hAnsi="Tahoma" w:cs="Tahoma"/>
          <w:sz w:val="20"/>
          <w:szCs w:val="20"/>
        </w:rPr>
        <w:t>il</w:t>
      </w:r>
      <w:r w:rsidR="00DB1635" w:rsidRPr="00B004EE">
        <w:rPr>
          <w:rFonts w:ascii="Tahoma" w:hAnsi="Tahoma" w:cs="Tahoma"/>
          <w:spacing w:val="15"/>
          <w:sz w:val="20"/>
          <w:szCs w:val="20"/>
        </w:rPr>
        <w:t xml:space="preserve"> </w:t>
      </w:r>
      <w:r w:rsidRPr="00B004EE">
        <w:rPr>
          <w:rFonts w:ascii="Tahoma" w:hAnsi="Tahoma" w:cs="Tahoma"/>
          <w:sz w:val="20"/>
          <w:szCs w:val="20"/>
        </w:rPr>
        <w:t>juge</w:t>
      </w:r>
      <w:r w:rsidR="00DB1635" w:rsidRPr="00B004EE">
        <w:rPr>
          <w:rFonts w:ascii="Tahoma" w:hAnsi="Tahoma" w:cs="Tahoma"/>
          <w:spacing w:val="14"/>
          <w:sz w:val="20"/>
          <w:szCs w:val="20"/>
        </w:rPr>
        <w:t xml:space="preserve"> </w:t>
      </w:r>
      <w:r w:rsidRPr="00B004EE">
        <w:rPr>
          <w:rFonts w:ascii="Tahoma" w:hAnsi="Tahoma" w:cs="Tahoma"/>
          <w:sz w:val="20"/>
          <w:szCs w:val="20"/>
        </w:rPr>
        <w:t>l'avis,</w:t>
      </w:r>
      <w:r w:rsidR="00DB1635" w:rsidRPr="00B004EE">
        <w:rPr>
          <w:rFonts w:ascii="Tahoma" w:hAnsi="Tahoma" w:cs="Tahoma"/>
          <w:spacing w:val="10"/>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compétences</w:t>
      </w:r>
      <w:r w:rsidR="00DB1635" w:rsidRPr="00B004EE">
        <w:rPr>
          <w:rFonts w:ascii="Tahoma" w:hAnsi="Tahoma" w:cs="Tahoma"/>
          <w:spacing w:val="-6"/>
          <w:sz w:val="20"/>
          <w:szCs w:val="20"/>
        </w:rPr>
        <w:t xml:space="preserve"> </w:t>
      </w:r>
      <w:r w:rsidRPr="00B004EE">
        <w:rPr>
          <w:rFonts w:ascii="Tahoma" w:hAnsi="Tahoma" w:cs="Tahoma"/>
          <w:sz w:val="20"/>
          <w:szCs w:val="20"/>
        </w:rPr>
        <w:t>ou</w:t>
      </w:r>
      <w:r w:rsidR="00DB1635" w:rsidRPr="00B004EE">
        <w:rPr>
          <w:rFonts w:ascii="Tahoma" w:hAnsi="Tahoma" w:cs="Tahoma"/>
          <w:spacing w:val="-6"/>
          <w:sz w:val="20"/>
          <w:szCs w:val="20"/>
        </w:rPr>
        <w:t xml:space="preserve"> </w:t>
      </w:r>
      <w:r w:rsidRPr="00B004EE">
        <w:rPr>
          <w:rFonts w:ascii="Tahoma" w:hAnsi="Tahoma" w:cs="Tahoma"/>
          <w:sz w:val="20"/>
          <w:szCs w:val="20"/>
        </w:rPr>
        <w:t>la</w:t>
      </w:r>
      <w:r w:rsidR="00DB1635" w:rsidRPr="00B004EE">
        <w:rPr>
          <w:rFonts w:ascii="Tahoma" w:hAnsi="Tahoma" w:cs="Tahoma"/>
          <w:spacing w:val="-7"/>
          <w:sz w:val="20"/>
          <w:szCs w:val="20"/>
        </w:rPr>
        <w:t xml:space="preserve"> </w:t>
      </w:r>
      <w:r w:rsidRPr="00B004EE">
        <w:rPr>
          <w:rFonts w:ascii="Tahoma" w:hAnsi="Tahoma" w:cs="Tahoma"/>
          <w:sz w:val="20"/>
          <w:szCs w:val="20"/>
        </w:rPr>
        <w:t>qualité</w:t>
      </w:r>
      <w:r w:rsidR="00DB1635" w:rsidRPr="00B004EE">
        <w:rPr>
          <w:rFonts w:ascii="Tahoma" w:hAnsi="Tahoma" w:cs="Tahoma"/>
          <w:spacing w:val="-4"/>
          <w:sz w:val="20"/>
          <w:szCs w:val="20"/>
        </w:rPr>
        <w:t xml:space="preserve"> </w:t>
      </w:r>
      <w:r w:rsidRPr="00B004EE">
        <w:rPr>
          <w:rFonts w:ascii="Tahoma" w:hAnsi="Tahoma" w:cs="Tahoma"/>
          <w:sz w:val="20"/>
          <w:szCs w:val="20"/>
        </w:rPr>
        <w:t>utiles</w:t>
      </w:r>
      <w:r w:rsidR="00DB1635" w:rsidRPr="00B004EE">
        <w:rPr>
          <w:rFonts w:ascii="Tahoma" w:hAnsi="Tahoma" w:cs="Tahoma"/>
          <w:spacing w:val="-6"/>
          <w:sz w:val="20"/>
          <w:szCs w:val="20"/>
        </w:rPr>
        <w:t xml:space="preserve"> </w:t>
      </w:r>
      <w:r w:rsidRPr="00B004EE">
        <w:rPr>
          <w:rFonts w:ascii="Tahoma" w:hAnsi="Tahoma" w:cs="Tahoma"/>
          <w:sz w:val="20"/>
          <w:szCs w:val="20"/>
        </w:rPr>
        <w:t>à</w:t>
      </w:r>
      <w:r w:rsidR="00DB1635" w:rsidRPr="00B004EE">
        <w:rPr>
          <w:rFonts w:ascii="Tahoma" w:hAnsi="Tahoma" w:cs="Tahoma"/>
          <w:spacing w:val="-4"/>
          <w:sz w:val="20"/>
          <w:szCs w:val="20"/>
        </w:rPr>
        <w:t xml:space="preserve"> </w:t>
      </w:r>
      <w:r w:rsidRPr="00B004EE">
        <w:rPr>
          <w:rFonts w:ascii="Tahoma" w:hAnsi="Tahoma" w:cs="Tahoma"/>
          <w:sz w:val="20"/>
          <w:szCs w:val="20"/>
        </w:rPr>
        <w:t>la</w:t>
      </w:r>
      <w:r w:rsidR="00DB1635" w:rsidRPr="00B004EE">
        <w:rPr>
          <w:rFonts w:ascii="Tahoma" w:hAnsi="Tahoma" w:cs="Tahoma"/>
          <w:spacing w:val="-4"/>
          <w:sz w:val="20"/>
          <w:szCs w:val="20"/>
        </w:rPr>
        <w:t xml:space="preserve"> </w:t>
      </w:r>
      <w:r w:rsidRPr="00B004EE">
        <w:rPr>
          <w:rFonts w:ascii="Tahoma" w:hAnsi="Tahoma" w:cs="Tahoma"/>
          <w:sz w:val="20"/>
          <w:szCs w:val="20"/>
        </w:rPr>
        <w:t>discussion</w:t>
      </w:r>
      <w:r w:rsidR="00DB1635" w:rsidRPr="00B004EE">
        <w:rPr>
          <w:rFonts w:ascii="Tahoma" w:hAnsi="Tahoma" w:cs="Tahoma"/>
          <w:spacing w:val="-3"/>
          <w:sz w:val="20"/>
          <w:szCs w:val="20"/>
        </w:rPr>
        <w:t xml:space="preserve"> </w:t>
      </w:r>
      <w:r w:rsidRPr="00B004EE">
        <w:rPr>
          <w:rFonts w:ascii="Tahoma" w:hAnsi="Tahoma" w:cs="Tahoma"/>
          <w:sz w:val="20"/>
          <w:szCs w:val="20"/>
        </w:rPr>
        <w:t>des</w:t>
      </w:r>
      <w:r w:rsidR="00DB1635" w:rsidRPr="00B004EE">
        <w:rPr>
          <w:rFonts w:ascii="Tahoma" w:hAnsi="Tahoma" w:cs="Tahoma"/>
          <w:spacing w:val="-3"/>
          <w:sz w:val="20"/>
          <w:szCs w:val="20"/>
        </w:rPr>
        <w:t xml:space="preserve"> </w:t>
      </w:r>
      <w:r w:rsidRPr="00B004EE">
        <w:rPr>
          <w:rFonts w:ascii="Tahoma" w:hAnsi="Tahoma" w:cs="Tahoma"/>
          <w:sz w:val="20"/>
          <w:szCs w:val="20"/>
        </w:rPr>
        <w:t>points</w:t>
      </w:r>
      <w:r w:rsidR="00DB1635" w:rsidRPr="00B004EE">
        <w:rPr>
          <w:rFonts w:ascii="Tahoma" w:hAnsi="Tahoma" w:cs="Tahoma"/>
          <w:spacing w:val="-3"/>
          <w:sz w:val="20"/>
          <w:szCs w:val="20"/>
        </w:rPr>
        <w:t xml:space="preserve"> </w:t>
      </w:r>
      <w:r w:rsidRPr="00B004EE">
        <w:rPr>
          <w:rFonts w:ascii="Tahoma" w:hAnsi="Tahoma" w:cs="Tahoma"/>
          <w:sz w:val="20"/>
          <w:szCs w:val="20"/>
        </w:rPr>
        <w:t>inscrits</w:t>
      </w:r>
      <w:r w:rsidR="00DB1635" w:rsidRPr="00B004EE">
        <w:rPr>
          <w:rFonts w:ascii="Tahoma" w:hAnsi="Tahoma" w:cs="Tahoma"/>
          <w:spacing w:val="-3"/>
          <w:sz w:val="20"/>
          <w:szCs w:val="20"/>
        </w:rPr>
        <w:t xml:space="preserve"> </w:t>
      </w:r>
      <w:r w:rsidRPr="00B004EE">
        <w:rPr>
          <w:rFonts w:ascii="Tahoma" w:hAnsi="Tahoma" w:cs="Tahoma"/>
          <w:sz w:val="20"/>
          <w:szCs w:val="20"/>
        </w:rPr>
        <w:t>à</w:t>
      </w:r>
      <w:r w:rsidR="00DB1635" w:rsidRPr="00B004EE">
        <w:rPr>
          <w:rFonts w:ascii="Tahoma" w:hAnsi="Tahoma" w:cs="Tahoma"/>
          <w:spacing w:val="-4"/>
          <w:sz w:val="20"/>
          <w:szCs w:val="20"/>
        </w:rPr>
        <w:t xml:space="preserve"> </w:t>
      </w:r>
      <w:r w:rsidRPr="00B004EE">
        <w:rPr>
          <w:rFonts w:ascii="Tahoma" w:hAnsi="Tahoma" w:cs="Tahoma"/>
          <w:sz w:val="20"/>
          <w:szCs w:val="20"/>
        </w:rPr>
        <w:t>l'ordre</w:t>
      </w:r>
      <w:r w:rsidR="00DB1635" w:rsidRPr="00B004EE">
        <w:rPr>
          <w:rFonts w:ascii="Tahoma" w:hAnsi="Tahoma" w:cs="Tahoma"/>
          <w:spacing w:val="-2"/>
          <w:sz w:val="20"/>
          <w:szCs w:val="20"/>
        </w:rPr>
        <w:t xml:space="preserve"> </w:t>
      </w:r>
      <w:r w:rsidRPr="00B004EE">
        <w:rPr>
          <w:rFonts w:ascii="Tahoma" w:hAnsi="Tahoma" w:cs="Tahoma"/>
          <w:sz w:val="20"/>
          <w:szCs w:val="20"/>
        </w:rPr>
        <w:t>du</w:t>
      </w:r>
      <w:r w:rsidR="00DB1635" w:rsidRPr="00B004EE">
        <w:rPr>
          <w:rFonts w:ascii="Tahoma" w:hAnsi="Tahoma" w:cs="Tahoma"/>
          <w:spacing w:val="-3"/>
          <w:sz w:val="20"/>
          <w:szCs w:val="20"/>
        </w:rPr>
        <w:t xml:space="preserve"> </w:t>
      </w:r>
      <w:r w:rsidRPr="00B004EE">
        <w:rPr>
          <w:rFonts w:ascii="Tahoma" w:hAnsi="Tahoma" w:cs="Tahoma"/>
          <w:sz w:val="20"/>
          <w:szCs w:val="20"/>
        </w:rPr>
        <w:t>jour.</w:t>
      </w:r>
    </w:p>
    <w:p w14:paraId="57F0E0D1" w14:textId="77777777" w:rsidR="008518B0" w:rsidRPr="00B004EE" w:rsidRDefault="008518B0" w:rsidP="00B004EE">
      <w:pPr>
        <w:rPr>
          <w:rFonts w:ascii="Tahoma" w:eastAsia="Times" w:hAnsi="Tahoma" w:cs="Tahoma"/>
          <w:sz w:val="20"/>
          <w:szCs w:val="20"/>
        </w:rPr>
      </w:pPr>
    </w:p>
    <w:p w14:paraId="4EED8492" w14:textId="6952D594" w:rsidR="008518B0" w:rsidRPr="00B004EE" w:rsidRDefault="00FF661D" w:rsidP="00B004EE">
      <w:pPr>
        <w:pStyle w:val="Corpsdetexte"/>
        <w:ind w:left="179" w:right="162"/>
        <w:rPr>
          <w:rFonts w:ascii="Tahoma" w:hAnsi="Tahoma" w:cs="Tahoma"/>
          <w:sz w:val="20"/>
          <w:szCs w:val="20"/>
        </w:rPr>
      </w:pPr>
      <w:r w:rsidRPr="00B004EE">
        <w:rPr>
          <w:rFonts w:ascii="Tahoma" w:hAnsi="Tahoma" w:cs="Tahoma"/>
          <w:bCs/>
          <w:iCs/>
          <w:sz w:val="20"/>
          <w:szCs w:val="20"/>
        </w:rPr>
        <w:t xml:space="preserve">Article </w:t>
      </w:r>
      <w:r w:rsidR="008518B0" w:rsidRPr="00B004EE">
        <w:rPr>
          <w:rFonts w:ascii="Tahoma" w:hAnsi="Tahoma" w:cs="Tahoma"/>
          <w:bCs/>
          <w:iCs/>
          <w:sz w:val="20"/>
          <w:szCs w:val="20"/>
        </w:rPr>
        <w:t>8</w:t>
      </w:r>
      <w:r w:rsidR="00DB1635" w:rsidRPr="00B004EE">
        <w:rPr>
          <w:rFonts w:ascii="Tahoma" w:hAnsi="Tahoma" w:cs="Tahoma"/>
          <w:b/>
          <w:i/>
          <w:sz w:val="20"/>
          <w:szCs w:val="20"/>
        </w:rPr>
        <w:t xml:space="preserve"> </w:t>
      </w:r>
      <w:r w:rsidR="008518B0" w:rsidRPr="00B004EE">
        <w:rPr>
          <w:rFonts w:ascii="Tahoma" w:hAnsi="Tahoma" w:cs="Tahoma"/>
          <w:i/>
          <w:sz w:val="20"/>
          <w:szCs w:val="20"/>
        </w:rPr>
        <w:t>:</w:t>
      </w:r>
      <w:r w:rsidR="00DB1635" w:rsidRPr="00B004EE">
        <w:rPr>
          <w:rFonts w:ascii="Tahoma" w:hAnsi="Tahoma" w:cs="Tahoma"/>
          <w:i/>
          <w:sz w:val="20"/>
          <w:szCs w:val="20"/>
        </w:rPr>
        <w:t xml:space="preserve"> </w:t>
      </w:r>
      <w:r w:rsidR="008518B0" w:rsidRPr="00B004EE">
        <w:rPr>
          <w:rFonts w:ascii="Tahoma" w:hAnsi="Tahoma" w:cs="Tahoma"/>
          <w:sz w:val="20"/>
          <w:szCs w:val="20"/>
        </w:rPr>
        <w:t>Le</w:t>
      </w:r>
      <w:r w:rsidR="00DB1635" w:rsidRPr="00B004EE">
        <w:rPr>
          <w:rFonts w:ascii="Tahoma" w:hAnsi="Tahoma" w:cs="Tahoma"/>
          <w:sz w:val="20"/>
          <w:szCs w:val="20"/>
        </w:rPr>
        <w:t xml:space="preserve"> </w:t>
      </w:r>
      <w:r w:rsidR="008518B0" w:rsidRPr="00B004EE">
        <w:rPr>
          <w:rFonts w:ascii="Tahoma" w:hAnsi="Tahoma" w:cs="Tahoma"/>
          <w:sz w:val="20"/>
          <w:szCs w:val="20"/>
        </w:rPr>
        <w:t>Président</w:t>
      </w:r>
      <w:r w:rsidR="00DB1635" w:rsidRPr="00B004EE">
        <w:rPr>
          <w:rFonts w:ascii="Tahoma" w:hAnsi="Tahoma" w:cs="Tahoma"/>
          <w:sz w:val="20"/>
          <w:szCs w:val="20"/>
        </w:rPr>
        <w:t xml:space="preserve"> </w:t>
      </w:r>
      <w:r w:rsidR="008518B0" w:rsidRPr="00B004EE">
        <w:rPr>
          <w:rFonts w:ascii="Tahoma" w:hAnsi="Tahoma" w:cs="Tahoma"/>
          <w:sz w:val="20"/>
          <w:szCs w:val="20"/>
        </w:rPr>
        <w:t>et</w:t>
      </w:r>
      <w:r w:rsidR="00DB1635" w:rsidRPr="00B004EE">
        <w:rPr>
          <w:rFonts w:ascii="Tahoma" w:hAnsi="Tahoma" w:cs="Tahoma"/>
          <w:sz w:val="20"/>
          <w:szCs w:val="20"/>
        </w:rPr>
        <w:t xml:space="preserve"> </w:t>
      </w:r>
      <w:r w:rsidR="008518B0" w:rsidRPr="00B004EE">
        <w:rPr>
          <w:rFonts w:ascii="Tahoma" w:hAnsi="Tahoma" w:cs="Tahoma"/>
          <w:sz w:val="20"/>
          <w:szCs w:val="20"/>
        </w:rPr>
        <w:t>les</w:t>
      </w:r>
      <w:r w:rsidR="00DB1635" w:rsidRPr="00B004EE">
        <w:rPr>
          <w:rFonts w:ascii="Tahoma" w:hAnsi="Tahoma" w:cs="Tahoma"/>
          <w:sz w:val="20"/>
          <w:szCs w:val="20"/>
        </w:rPr>
        <w:t xml:space="preserve"> </w:t>
      </w:r>
      <w:r w:rsidR="008518B0" w:rsidRPr="00B004EE">
        <w:rPr>
          <w:rFonts w:ascii="Tahoma" w:hAnsi="Tahoma" w:cs="Tahoma"/>
          <w:sz w:val="20"/>
          <w:szCs w:val="20"/>
        </w:rPr>
        <w:t>Membres</w:t>
      </w:r>
      <w:r w:rsidR="00DB1635" w:rsidRPr="00B004EE">
        <w:rPr>
          <w:rFonts w:ascii="Tahoma" w:hAnsi="Tahoma" w:cs="Tahoma"/>
          <w:sz w:val="20"/>
          <w:szCs w:val="20"/>
        </w:rPr>
        <w:t xml:space="preserve"> </w:t>
      </w:r>
      <w:r w:rsidR="008518B0" w:rsidRPr="00B004EE">
        <w:rPr>
          <w:rFonts w:ascii="Tahoma" w:hAnsi="Tahoma" w:cs="Tahoma"/>
          <w:sz w:val="20"/>
          <w:szCs w:val="20"/>
        </w:rPr>
        <w:t>du</w:t>
      </w:r>
      <w:r w:rsidR="00DB1635" w:rsidRPr="00B004EE">
        <w:rPr>
          <w:rFonts w:ascii="Tahoma" w:hAnsi="Tahoma" w:cs="Tahoma"/>
          <w:sz w:val="20"/>
          <w:szCs w:val="20"/>
        </w:rPr>
        <w:t xml:space="preserve"> </w:t>
      </w:r>
      <w:r w:rsidR="008518B0" w:rsidRPr="00B004EE">
        <w:rPr>
          <w:rFonts w:ascii="Tahoma" w:hAnsi="Tahoma" w:cs="Tahoma"/>
          <w:sz w:val="20"/>
          <w:szCs w:val="20"/>
        </w:rPr>
        <w:t>Conseil</w:t>
      </w:r>
      <w:r w:rsidR="00DB1635" w:rsidRPr="00B004EE">
        <w:rPr>
          <w:rFonts w:ascii="Tahoma" w:hAnsi="Tahoma" w:cs="Tahoma"/>
          <w:sz w:val="20"/>
          <w:szCs w:val="20"/>
        </w:rPr>
        <w:t xml:space="preserve"> </w:t>
      </w:r>
      <w:r w:rsidR="008518B0" w:rsidRPr="00B004EE">
        <w:rPr>
          <w:rFonts w:ascii="Tahoma" w:hAnsi="Tahoma" w:cs="Tahoma"/>
          <w:sz w:val="20"/>
          <w:szCs w:val="20"/>
        </w:rPr>
        <w:t>d'Administration</w:t>
      </w:r>
      <w:r w:rsidR="00DB1635" w:rsidRPr="00B004EE">
        <w:rPr>
          <w:rFonts w:ascii="Tahoma" w:hAnsi="Tahoma" w:cs="Tahoma"/>
          <w:sz w:val="20"/>
          <w:szCs w:val="20"/>
        </w:rPr>
        <w:t xml:space="preserve"> </w:t>
      </w:r>
      <w:r w:rsidR="008518B0" w:rsidRPr="00B004EE">
        <w:rPr>
          <w:rFonts w:ascii="Tahoma" w:hAnsi="Tahoma" w:cs="Tahoma"/>
          <w:sz w:val="20"/>
          <w:szCs w:val="20"/>
        </w:rPr>
        <w:t>de</w:t>
      </w:r>
      <w:r w:rsidR="00DB1635" w:rsidRPr="00B004EE">
        <w:rPr>
          <w:rFonts w:ascii="Tahoma" w:hAnsi="Tahoma" w:cs="Tahoma"/>
          <w:sz w:val="20"/>
          <w:szCs w:val="20"/>
        </w:rPr>
        <w:t xml:space="preserve"> </w:t>
      </w:r>
      <w:r w:rsidR="008518B0" w:rsidRPr="00B004EE">
        <w:rPr>
          <w:rFonts w:ascii="Tahoma" w:hAnsi="Tahoma" w:cs="Tahoma"/>
          <w:sz w:val="20"/>
          <w:szCs w:val="20"/>
        </w:rPr>
        <w:t>l'Office</w:t>
      </w:r>
      <w:r w:rsidR="00DB1635" w:rsidRPr="00B004EE">
        <w:rPr>
          <w:rFonts w:ascii="Tahoma" w:hAnsi="Tahoma" w:cs="Tahoma"/>
          <w:spacing w:val="-19"/>
          <w:sz w:val="20"/>
          <w:szCs w:val="20"/>
        </w:rPr>
        <w:t xml:space="preserve"> </w:t>
      </w:r>
      <w:r w:rsidR="008518B0" w:rsidRPr="00B004EE">
        <w:rPr>
          <w:rFonts w:ascii="Tahoma" w:hAnsi="Tahoma" w:cs="Tahoma"/>
          <w:sz w:val="20"/>
          <w:szCs w:val="20"/>
        </w:rPr>
        <w:t>sont</w:t>
      </w:r>
      <w:r w:rsidR="00DB1635" w:rsidRPr="00B004EE">
        <w:rPr>
          <w:rFonts w:ascii="Tahoma" w:hAnsi="Tahoma" w:cs="Tahoma"/>
          <w:w w:val="99"/>
          <w:sz w:val="20"/>
          <w:szCs w:val="20"/>
        </w:rPr>
        <w:t xml:space="preserve"> </w:t>
      </w:r>
      <w:r w:rsidR="008518B0" w:rsidRPr="00B004EE">
        <w:rPr>
          <w:rFonts w:ascii="Tahoma" w:hAnsi="Tahoma" w:cs="Tahoma"/>
          <w:sz w:val="20"/>
          <w:szCs w:val="20"/>
        </w:rPr>
        <w:t>nommés</w:t>
      </w:r>
      <w:r w:rsidR="00DB1635" w:rsidRPr="00B004EE">
        <w:rPr>
          <w:rFonts w:ascii="Tahoma" w:hAnsi="Tahoma" w:cs="Tahoma"/>
          <w:sz w:val="20"/>
          <w:szCs w:val="20"/>
        </w:rPr>
        <w:t xml:space="preserve"> </w:t>
      </w:r>
      <w:r w:rsidR="008518B0" w:rsidRPr="00B004EE">
        <w:rPr>
          <w:rFonts w:ascii="Tahoma" w:hAnsi="Tahoma" w:cs="Tahoma"/>
          <w:sz w:val="20"/>
          <w:szCs w:val="20"/>
        </w:rPr>
        <w:t>par</w:t>
      </w:r>
      <w:r w:rsidR="00DB1635" w:rsidRPr="00B004EE">
        <w:rPr>
          <w:rFonts w:ascii="Tahoma" w:hAnsi="Tahoma" w:cs="Tahoma"/>
          <w:sz w:val="20"/>
          <w:szCs w:val="20"/>
        </w:rPr>
        <w:t xml:space="preserve"> </w:t>
      </w:r>
      <w:r w:rsidR="008518B0" w:rsidRPr="00B004EE">
        <w:rPr>
          <w:rFonts w:ascii="Tahoma" w:hAnsi="Tahoma" w:cs="Tahoma"/>
          <w:sz w:val="20"/>
          <w:szCs w:val="20"/>
        </w:rPr>
        <w:t>décret</w:t>
      </w:r>
      <w:r w:rsidR="00DB1635" w:rsidRPr="00B004EE">
        <w:rPr>
          <w:rFonts w:ascii="Tahoma" w:hAnsi="Tahoma" w:cs="Tahoma"/>
          <w:sz w:val="20"/>
          <w:szCs w:val="20"/>
        </w:rPr>
        <w:t xml:space="preserve"> </w:t>
      </w:r>
      <w:r w:rsidR="008518B0" w:rsidRPr="00B004EE">
        <w:rPr>
          <w:rFonts w:ascii="Tahoma" w:hAnsi="Tahoma" w:cs="Tahoma"/>
          <w:sz w:val="20"/>
          <w:szCs w:val="20"/>
        </w:rPr>
        <w:t>pris</w:t>
      </w:r>
      <w:r w:rsidR="00DB1635" w:rsidRPr="00B004EE">
        <w:rPr>
          <w:rFonts w:ascii="Tahoma" w:hAnsi="Tahoma" w:cs="Tahoma"/>
          <w:sz w:val="20"/>
          <w:szCs w:val="20"/>
        </w:rPr>
        <w:t xml:space="preserve"> </w:t>
      </w:r>
      <w:r w:rsidR="008518B0" w:rsidRPr="00B004EE">
        <w:rPr>
          <w:rFonts w:ascii="Tahoma" w:hAnsi="Tahoma" w:cs="Tahoma"/>
          <w:sz w:val="20"/>
          <w:szCs w:val="20"/>
        </w:rPr>
        <w:t>en</w:t>
      </w:r>
      <w:r w:rsidR="00DB1635" w:rsidRPr="00B004EE">
        <w:rPr>
          <w:rFonts w:ascii="Tahoma" w:hAnsi="Tahoma" w:cs="Tahoma"/>
          <w:sz w:val="20"/>
          <w:szCs w:val="20"/>
        </w:rPr>
        <w:t xml:space="preserve"> </w:t>
      </w:r>
      <w:r w:rsidR="008518B0" w:rsidRPr="00B004EE">
        <w:rPr>
          <w:rFonts w:ascii="Tahoma" w:hAnsi="Tahoma" w:cs="Tahoma"/>
          <w:sz w:val="20"/>
          <w:szCs w:val="20"/>
        </w:rPr>
        <w:t>Conseil</w:t>
      </w:r>
      <w:r w:rsidR="00DB1635" w:rsidRPr="00B004EE">
        <w:rPr>
          <w:rFonts w:ascii="Tahoma" w:hAnsi="Tahoma" w:cs="Tahoma"/>
          <w:sz w:val="20"/>
          <w:szCs w:val="20"/>
        </w:rPr>
        <w:t xml:space="preserve"> </w:t>
      </w:r>
      <w:r w:rsidR="008518B0" w:rsidRPr="00B004EE">
        <w:rPr>
          <w:rFonts w:ascii="Tahoma" w:hAnsi="Tahoma" w:cs="Tahoma"/>
          <w:sz w:val="20"/>
          <w:szCs w:val="20"/>
        </w:rPr>
        <w:t>des</w:t>
      </w:r>
      <w:r w:rsidR="00DB1635" w:rsidRPr="00B004EE">
        <w:rPr>
          <w:rFonts w:ascii="Tahoma" w:hAnsi="Tahoma" w:cs="Tahoma"/>
          <w:sz w:val="20"/>
          <w:szCs w:val="20"/>
        </w:rPr>
        <w:t xml:space="preserve"> </w:t>
      </w:r>
      <w:r w:rsidR="008518B0" w:rsidRPr="00B004EE">
        <w:rPr>
          <w:rFonts w:ascii="Tahoma" w:hAnsi="Tahoma" w:cs="Tahoma"/>
          <w:spacing w:val="6"/>
          <w:sz w:val="20"/>
          <w:szCs w:val="20"/>
        </w:rPr>
        <w:t>Ministres</w:t>
      </w:r>
      <w:r w:rsidR="00DB1635" w:rsidRPr="00B004EE">
        <w:rPr>
          <w:rFonts w:ascii="Tahoma" w:hAnsi="Tahoma" w:cs="Tahoma"/>
          <w:spacing w:val="6"/>
          <w:sz w:val="20"/>
          <w:szCs w:val="20"/>
        </w:rPr>
        <w:t xml:space="preserve"> </w:t>
      </w:r>
      <w:r w:rsidR="008518B0" w:rsidRPr="00B004EE">
        <w:rPr>
          <w:rFonts w:ascii="Tahoma" w:hAnsi="Tahoma" w:cs="Tahoma"/>
          <w:spacing w:val="4"/>
          <w:sz w:val="20"/>
          <w:szCs w:val="20"/>
        </w:rPr>
        <w:t>sur</w:t>
      </w:r>
      <w:r w:rsidR="00DB1635" w:rsidRPr="00B004EE">
        <w:rPr>
          <w:rFonts w:ascii="Tahoma" w:hAnsi="Tahoma" w:cs="Tahoma"/>
          <w:spacing w:val="4"/>
          <w:sz w:val="20"/>
          <w:szCs w:val="20"/>
        </w:rPr>
        <w:t xml:space="preserve"> </w:t>
      </w:r>
      <w:r w:rsidR="008518B0" w:rsidRPr="00B004EE">
        <w:rPr>
          <w:rFonts w:ascii="Tahoma" w:hAnsi="Tahoma" w:cs="Tahoma"/>
          <w:spacing w:val="6"/>
          <w:sz w:val="20"/>
          <w:szCs w:val="20"/>
        </w:rPr>
        <w:t>Proposition</w:t>
      </w:r>
      <w:r w:rsidR="00DB1635" w:rsidRPr="00B004EE">
        <w:rPr>
          <w:rFonts w:ascii="Tahoma" w:hAnsi="Tahoma" w:cs="Tahoma"/>
          <w:spacing w:val="6"/>
          <w:sz w:val="20"/>
          <w:szCs w:val="20"/>
        </w:rPr>
        <w:t xml:space="preserve"> </w:t>
      </w:r>
      <w:r w:rsidR="008518B0" w:rsidRPr="00B004EE">
        <w:rPr>
          <w:rFonts w:ascii="Tahoma" w:hAnsi="Tahoma" w:cs="Tahoma"/>
          <w:spacing w:val="3"/>
          <w:sz w:val="20"/>
          <w:szCs w:val="20"/>
        </w:rPr>
        <w:t>du</w:t>
      </w:r>
      <w:r w:rsidR="00DB1635" w:rsidRPr="00B004EE">
        <w:rPr>
          <w:rFonts w:ascii="Tahoma" w:hAnsi="Tahoma" w:cs="Tahoma"/>
          <w:spacing w:val="3"/>
          <w:sz w:val="20"/>
          <w:szCs w:val="20"/>
        </w:rPr>
        <w:t xml:space="preserve"> </w:t>
      </w:r>
      <w:r w:rsidR="008518B0" w:rsidRPr="00B004EE">
        <w:rPr>
          <w:rFonts w:ascii="Tahoma" w:hAnsi="Tahoma" w:cs="Tahoma"/>
          <w:spacing w:val="5"/>
          <w:sz w:val="20"/>
          <w:szCs w:val="20"/>
        </w:rPr>
        <w:t>Ministre</w:t>
      </w:r>
      <w:r w:rsidR="00DB1635" w:rsidRPr="00B004EE">
        <w:rPr>
          <w:rFonts w:ascii="Tahoma" w:hAnsi="Tahoma" w:cs="Tahoma"/>
          <w:spacing w:val="5"/>
          <w:sz w:val="20"/>
          <w:szCs w:val="20"/>
        </w:rPr>
        <w:t xml:space="preserve"> </w:t>
      </w:r>
      <w:r w:rsidR="008518B0" w:rsidRPr="00B004EE">
        <w:rPr>
          <w:rFonts w:ascii="Tahoma" w:hAnsi="Tahoma" w:cs="Tahoma"/>
          <w:spacing w:val="6"/>
          <w:sz w:val="20"/>
          <w:szCs w:val="20"/>
        </w:rPr>
        <w:t>Chargé</w:t>
      </w:r>
      <w:r w:rsidR="00DB1635" w:rsidRPr="00B004EE">
        <w:rPr>
          <w:rFonts w:ascii="Tahoma" w:hAnsi="Tahoma" w:cs="Tahoma"/>
          <w:spacing w:val="51"/>
          <w:sz w:val="20"/>
          <w:szCs w:val="20"/>
        </w:rPr>
        <w:t xml:space="preserve"> </w:t>
      </w:r>
      <w:r w:rsidR="008518B0" w:rsidRPr="00B004EE">
        <w:rPr>
          <w:rFonts w:ascii="Tahoma" w:hAnsi="Tahoma" w:cs="Tahoma"/>
          <w:spacing w:val="5"/>
          <w:sz w:val="20"/>
          <w:szCs w:val="20"/>
        </w:rPr>
        <w:t>des</w:t>
      </w:r>
      <w:r w:rsidR="00DB1635" w:rsidRPr="00B004EE">
        <w:rPr>
          <w:rFonts w:ascii="Tahoma" w:hAnsi="Tahoma" w:cs="Tahoma"/>
          <w:w w:val="99"/>
          <w:sz w:val="20"/>
          <w:szCs w:val="20"/>
        </w:rPr>
        <w:t xml:space="preserve"> </w:t>
      </w:r>
      <w:r w:rsidR="008518B0" w:rsidRPr="00B004EE">
        <w:rPr>
          <w:rFonts w:ascii="Tahoma" w:hAnsi="Tahoma" w:cs="Tahoma"/>
          <w:spacing w:val="6"/>
          <w:sz w:val="20"/>
          <w:szCs w:val="20"/>
        </w:rPr>
        <w:t>Pêches,</w:t>
      </w:r>
      <w:r w:rsidR="00DB1635" w:rsidRPr="00B004EE">
        <w:rPr>
          <w:rFonts w:ascii="Tahoma" w:hAnsi="Tahoma" w:cs="Tahoma"/>
          <w:spacing w:val="6"/>
          <w:sz w:val="20"/>
          <w:szCs w:val="20"/>
        </w:rPr>
        <w:t xml:space="preserve"> </w:t>
      </w:r>
      <w:r w:rsidR="008518B0" w:rsidRPr="00B004EE">
        <w:rPr>
          <w:rFonts w:ascii="Tahoma" w:hAnsi="Tahoma" w:cs="Tahoma"/>
          <w:spacing w:val="5"/>
          <w:sz w:val="20"/>
          <w:szCs w:val="20"/>
        </w:rPr>
        <w:t>pour</w:t>
      </w:r>
      <w:r w:rsidR="00DB1635" w:rsidRPr="00B004EE">
        <w:rPr>
          <w:rFonts w:ascii="Tahoma" w:hAnsi="Tahoma" w:cs="Tahoma"/>
          <w:spacing w:val="5"/>
          <w:sz w:val="20"/>
          <w:szCs w:val="20"/>
        </w:rPr>
        <w:t xml:space="preserve"> </w:t>
      </w:r>
      <w:r w:rsidR="008518B0" w:rsidRPr="00B004EE">
        <w:rPr>
          <w:rFonts w:ascii="Tahoma" w:hAnsi="Tahoma" w:cs="Tahoma"/>
          <w:spacing w:val="3"/>
          <w:sz w:val="20"/>
          <w:szCs w:val="20"/>
        </w:rPr>
        <w:t>un</w:t>
      </w:r>
      <w:r w:rsidR="00DB1635" w:rsidRPr="00B004EE">
        <w:rPr>
          <w:rFonts w:ascii="Tahoma" w:hAnsi="Tahoma" w:cs="Tahoma"/>
          <w:spacing w:val="3"/>
          <w:sz w:val="20"/>
          <w:szCs w:val="20"/>
        </w:rPr>
        <w:t xml:space="preserve"> </w:t>
      </w:r>
      <w:r w:rsidR="008518B0" w:rsidRPr="00B004EE">
        <w:rPr>
          <w:rFonts w:ascii="Tahoma" w:hAnsi="Tahoma" w:cs="Tahoma"/>
          <w:spacing w:val="6"/>
          <w:sz w:val="20"/>
          <w:szCs w:val="20"/>
        </w:rPr>
        <w:t>mandat</w:t>
      </w:r>
      <w:r w:rsidR="00DB1635" w:rsidRPr="00B004EE">
        <w:rPr>
          <w:rFonts w:ascii="Tahoma" w:hAnsi="Tahoma" w:cs="Tahoma"/>
          <w:spacing w:val="6"/>
          <w:sz w:val="20"/>
          <w:szCs w:val="20"/>
        </w:rPr>
        <w:t xml:space="preserve"> </w:t>
      </w:r>
      <w:r w:rsidR="008518B0" w:rsidRPr="00B004EE">
        <w:rPr>
          <w:rFonts w:ascii="Tahoma" w:hAnsi="Tahoma" w:cs="Tahoma"/>
          <w:spacing w:val="4"/>
          <w:sz w:val="20"/>
          <w:szCs w:val="20"/>
        </w:rPr>
        <w:t>de</w:t>
      </w:r>
      <w:r w:rsidR="00DB1635" w:rsidRPr="00B004EE">
        <w:rPr>
          <w:rFonts w:ascii="Tahoma" w:hAnsi="Tahoma" w:cs="Tahoma"/>
          <w:spacing w:val="4"/>
          <w:sz w:val="20"/>
          <w:szCs w:val="20"/>
        </w:rPr>
        <w:t xml:space="preserve"> </w:t>
      </w:r>
      <w:r w:rsidR="008518B0" w:rsidRPr="00B004EE">
        <w:rPr>
          <w:rFonts w:ascii="Tahoma" w:hAnsi="Tahoma" w:cs="Tahoma"/>
          <w:sz w:val="20"/>
          <w:szCs w:val="20"/>
        </w:rPr>
        <w:t>trois</w:t>
      </w:r>
      <w:r w:rsidR="00DB1635" w:rsidRPr="00B004EE">
        <w:rPr>
          <w:rFonts w:ascii="Tahoma" w:hAnsi="Tahoma" w:cs="Tahoma"/>
          <w:sz w:val="20"/>
          <w:szCs w:val="20"/>
        </w:rPr>
        <w:t xml:space="preserve"> </w:t>
      </w:r>
      <w:r w:rsidR="008518B0" w:rsidRPr="00B004EE">
        <w:rPr>
          <w:rFonts w:ascii="Tahoma" w:hAnsi="Tahoma" w:cs="Tahoma"/>
          <w:sz w:val="20"/>
          <w:szCs w:val="20"/>
        </w:rPr>
        <w:t>(3)</w:t>
      </w:r>
      <w:r w:rsidR="00DB1635" w:rsidRPr="00B004EE">
        <w:rPr>
          <w:rFonts w:ascii="Tahoma" w:hAnsi="Tahoma" w:cs="Tahoma"/>
          <w:sz w:val="20"/>
          <w:szCs w:val="20"/>
        </w:rPr>
        <w:t xml:space="preserve"> </w:t>
      </w:r>
      <w:r w:rsidR="008518B0" w:rsidRPr="00B004EE">
        <w:rPr>
          <w:rFonts w:ascii="Tahoma" w:hAnsi="Tahoma" w:cs="Tahoma"/>
          <w:sz w:val="20"/>
          <w:szCs w:val="20"/>
        </w:rPr>
        <w:t>ans</w:t>
      </w:r>
      <w:r w:rsidR="00DB1635" w:rsidRPr="00B004EE">
        <w:rPr>
          <w:rFonts w:ascii="Tahoma" w:hAnsi="Tahoma" w:cs="Tahoma"/>
          <w:sz w:val="20"/>
          <w:szCs w:val="20"/>
        </w:rPr>
        <w:t xml:space="preserve"> </w:t>
      </w:r>
      <w:r w:rsidR="008518B0" w:rsidRPr="00B004EE">
        <w:rPr>
          <w:rFonts w:ascii="Tahoma" w:hAnsi="Tahoma" w:cs="Tahoma"/>
          <w:sz w:val="20"/>
          <w:szCs w:val="20"/>
        </w:rPr>
        <w:t>renouvelable.</w:t>
      </w:r>
      <w:r w:rsidR="00DB1635" w:rsidRPr="00B004EE">
        <w:rPr>
          <w:rFonts w:ascii="Tahoma" w:hAnsi="Tahoma" w:cs="Tahoma"/>
          <w:sz w:val="20"/>
          <w:szCs w:val="20"/>
        </w:rPr>
        <w:t xml:space="preserve"> </w:t>
      </w:r>
      <w:r w:rsidR="008518B0" w:rsidRPr="00B004EE">
        <w:rPr>
          <w:rFonts w:ascii="Tahoma" w:hAnsi="Tahoma" w:cs="Tahoma"/>
          <w:spacing w:val="-4"/>
          <w:sz w:val="20"/>
          <w:szCs w:val="20"/>
        </w:rPr>
        <w:t>Toutefois,</w:t>
      </w:r>
      <w:r w:rsidR="00DB1635" w:rsidRPr="00B004EE">
        <w:rPr>
          <w:rFonts w:ascii="Tahoma" w:hAnsi="Tahoma" w:cs="Tahoma"/>
          <w:spacing w:val="-4"/>
          <w:sz w:val="20"/>
          <w:szCs w:val="20"/>
        </w:rPr>
        <w:t xml:space="preserve"> </w:t>
      </w:r>
      <w:r w:rsidR="008518B0" w:rsidRPr="00B004EE">
        <w:rPr>
          <w:rFonts w:ascii="Tahoma" w:hAnsi="Tahoma" w:cs="Tahoma"/>
          <w:spacing w:val="-4"/>
          <w:sz w:val="20"/>
          <w:szCs w:val="20"/>
        </w:rPr>
        <w:t>lorsqu'un</w:t>
      </w:r>
      <w:r w:rsidR="00DB1635" w:rsidRPr="00B004EE">
        <w:rPr>
          <w:rFonts w:ascii="Tahoma" w:hAnsi="Tahoma" w:cs="Tahoma"/>
          <w:spacing w:val="-4"/>
          <w:sz w:val="20"/>
          <w:szCs w:val="20"/>
        </w:rPr>
        <w:t xml:space="preserve"> </w:t>
      </w:r>
      <w:r w:rsidR="008518B0" w:rsidRPr="00B004EE">
        <w:rPr>
          <w:rFonts w:ascii="Tahoma" w:hAnsi="Tahoma" w:cs="Tahoma"/>
          <w:sz w:val="20"/>
          <w:szCs w:val="20"/>
        </w:rPr>
        <w:t>un</w:t>
      </w:r>
      <w:r w:rsidR="00DB1635" w:rsidRPr="00B004EE">
        <w:rPr>
          <w:rFonts w:ascii="Tahoma" w:hAnsi="Tahoma" w:cs="Tahoma"/>
          <w:sz w:val="20"/>
          <w:szCs w:val="20"/>
        </w:rPr>
        <w:t xml:space="preserve"> </w:t>
      </w:r>
      <w:r w:rsidR="008518B0" w:rsidRPr="00B004EE">
        <w:rPr>
          <w:rFonts w:ascii="Tahoma" w:hAnsi="Tahoma" w:cs="Tahoma"/>
          <w:spacing w:val="-3"/>
          <w:sz w:val="20"/>
          <w:szCs w:val="20"/>
        </w:rPr>
        <w:t>membre</w:t>
      </w:r>
      <w:r w:rsidR="00DB1635" w:rsidRPr="00B004EE">
        <w:rPr>
          <w:rFonts w:ascii="Tahoma" w:hAnsi="Tahoma" w:cs="Tahoma"/>
          <w:spacing w:val="37"/>
          <w:sz w:val="20"/>
          <w:szCs w:val="20"/>
        </w:rPr>
        <w:t xml:space="preserve"> </w:t>
      </w:r>
      <w:r w:rsidR="008518B0" w:rsidRPr="00B004EE">
        <w:rPr>
          <w:rFonts w:ascii="Tahoma" w:hAnsi="Tahoma" w:cs="Tahoma"/>
          <w:sz w:val="20"/>
          <w:szCs w:val="20"/>
        </w:rPr>
        <w:t>du</w:t>
      </w:r>
      <w:r w:rsidR="00DB1635" w:rsidRPr="00B004EE">
        <w:rPr>
          <w:rFonts w:ascii="Tahoma" w:hAnsi="Tahoma" w:cs="Tahoma"/>
          <w:w w:val="99"/>
          <w:sz w:val="20"/>
          <w:szCs w:val="20"/>
        </w:rPr>
        <w:t xml:space="preserve"> </w:t>
      </w:r>
      <w:r w:rsidR="008518B0" w:rsidRPr="00B004EE">
        <w:rPr>
          <w:rFonts w:ascii="Tahoma" w:hAnsi="Tahoma" w:cs="Tahoma"/>
          <w:spacing w:val="-3"/>
          <w:sz w:val="20"/>
          <w:szCs w:val="20"/>
        </w:rPr>
        <w:t>Conseil</w:t>
      </w:r>
      <w:r w:rsidR="00DB1635" w:rsidRPr="00B004EE">
        <w:rPr>
          <w:rFonts w:ascii="Tahoma" w:hAnsi="Tahoma" w:cs="Tahoma"/>
          <w:spacing w:val="13"/>
          <w:sz w:val="20"/>
          <w:szCs w:val="20"/>
        </w:rPr>
        <w:t xml:space="preserve"> </w:t>
      </w:r>
      <w:r w:rsidR="008518B0" w:rsidRPr="00B004EE">
        <w:rPr>
          <w:rFonts w:ascii="Tahoma" w:hAnsi="Tahoma" w:cs="Tahoma"/>
          <w:sz w:val="20"/>
          <w:szCs w:val="20"/>
        </w:rPr>
        <w:t>d'Administration</w:t>
      </w:r>
      <w:r w:rsidR="00DB1635" w:rsidRPr="00B004EE">
        <w:rPr>
          <w:rFonts w:ascii="Tahoma" w:hAnsi="Tahoma" w:cs="Tahoma"/>
          <w:spacing w:val="15"/>
          <w:sz w:val="20"/>
          <w:szCs w:val="20"/>
        </w:rPr>
        <w:t xml:space="preserve"> </w:t>
      </w:r>
      <w:r w:rsidR="008518B0" w:rsidRPr="00B004EE">
        <w:rPr>
          <w:rFonts w:ascii="Tahoma" w:hAnsi="Tahoma" w:cs="Tahoma"/>
          <w:sz w:val="20"/>
          <w:szCs w:val="20"/>
        </w:rPr>
        <w:t>perd,</w:t>
      </w:r>
      <w:r w:rsidR="00DB1635" w:rsidRPr="00B004EE">
        <w:rPr>
          <w:rFonts w:ascii="Tahoma" w:hAnsi="Tahoma" w:cs="Tahoma"/>
          <w:spacing w:val="15"/>
          <w:sz w:val="20"/>
          <w:szCs w:val="20"/>
        </w:rPr>
        <w:t xml:space="preserve"> </w:t>
      </w:r>
      <w:r w:rsidR="008518B0" w:rsidRPr="00B004EE">
        <w:rPr>
          <w:rFonts w:ascii="Tahoma" w:hAnsi="Tahoma" w:cs="Tahoma"/>
          <w:sz w:val="20"/>
          <w:szCs w:val="20"/>
        </w:rPr>
        <w:t>en</w:t>
      </w:r>
      <w:r w:rsidR="00DB1635" w:rsidRPr="00B004EE">
        <w:rPr>
          <w:rFonts w:ascii="Tahoma" w:hAnsi="Tahoma" w:cs="Tahoma"/>
          <w:spacing w:val="17"/>
          <w:sz w:val="20"/>
          <w:szCs w:val="20"/>
        </w:rPr>
        <w:t xml:space="preserve"> </w:t>
      </w:r>
      <w:r w:rsidR="008518B0" w:rsidRPr="00B004EE">
        <w:rPr>
          <w:rFonts w:ascii="Tahoma" w:hAnsi="Tahoma" w:cs="Tahoma"/>
          <w:sz w:val="20"/>
          <w:szCs w:val="20"/>
        </w:rPr>
        <w:t>cours</w:t>
      </w:r>
      <w:r w:rsidR="00DB1635" w:rsidRPr="00B004EE">
        <w:rPr>
          <w:rFonts w:ascii="Tahoma" w:hAnsi="Tahoma" w:cs="Tahoma"/>
          <w:spacing w:val="17"/>
          <w:sz w:val="20"/>
          <w:szCs w:val="20"/>
        </w:rPr>
        <w:t xml:space="preserve"> </w:t>
      </w:r>
      <w:r w:rsidR="008518B0" w:rsidRPr="00B004EE">
        <w:rPr>
          <w:rFonts w:ascii="Tahoma" w:hAnsi="Tahoma" w:cs="Tahoma"/>
          <w:sz w:val="20"/>
          <w:szCs w:val="20"/>
        </w:rPr>
        <w:t>du</w:t>
      </w:r>
      <w:r w:rsidR="00DB1635" w:rsidRPr="00B004EE">
        <w:rPr>
          <w:rFonts w:ascii="Tahoma" w:hAnsi="Tahoma" w:cs="Tahoma"/>
          <w:spacing w:val="17"/>
          <w:sz w:val="20"/>
          <w:szCs w:val="20"/>
        </w:rPr>
        <w:t xml:space="preserve"> </w:t>
      </w:r>
      <w:r w:rsidR="008518B0" w:rsidRPr="00B004EE">
        <w:rPr>
          <w:rFonts w:ascii="Tahoma" w:hAnsi="Tahoma" w:cs="Tahoma"/>
          <w:sz w:val="20"/>
          <w:szCs w:val="20"/>
        </w:rPr>
        <w:t>mandat,</w:t>
      </w:r>
      <w:r w:rsidR="00DB1635" w:rsidRPr="00B004EE">
        <w:rPr>
          <w:rFonts w:ascii="Tahoma" w:hAnsi="Tahoma" w:cs="Tahoma"/>
          <w:spacing w:val="17"/>
          <w:sz w:val="20"/>
          <w:szCs w:val="20"/>
        </w:rPr>
        <w:t xml:space="preserve"> </w:t>
      </w:r>
      <w:r w:rsidR="008518B0" w:rsidRPr="00B004EE">
        <w:rPr>
          <w:rFonts w:ascii="Tahoma" w:hAnsi="Tahoma" w:cs="Tahoma"/>
          <w:sz w:val="20"/>
          <w:szCs w:val="20"/>
        </w:rPr>
        <w:t>la</w:t>
      </w:r>
      <w:r w:rsidR="00DB1635" w:rsidRPr="00B004EE">
        <w:rPr>
          <w:rFonts w:ascii="Tahoma" w:hAnsi="Tahoma" w:cs="Tahoma"/>
          <w:spacing w:val="16"/>
          <w:sz w:val="20"/>
          <w:szCs w:val="20"/>
        </w:rPr>
        <w:t xml:space="preserve"> </w:t>
      </w:r>
      <w:r w:rsidR="008518B0" w:rsidRPr="00B004EE">
        <w:rPr>
          <w:rFonts w:ascii="Tahoma" w:hAnsi="Tahoma" w:cs="Tahoma"/>
          <w:sz w:val="20"/>
          <w:szCs w:val="20"/>
        </w:rPr>
        <w:t>qualité</w:t>
      </w:r>
      <w:r w:rsidR="00DB1635" w:rsidRPr="00B004EE">
        <w:rPr>
          <w:rFonts w:ascii="Tahoma" w:hAnsi="Tahoma" w:cs="Tahoma"/>
          <w:spacing w:val="16"/>
          <w:sz w:val="20"/>
          <w:szCs w:val="20"/>
        </w:rPr>
        <w:t xml:space="preserve"> </w:t>
      </w:r>
      <w:r w:rsidR="008518B0" w:rsidRPr="00B004EE">
        <w:rPr>
          <w:rFonts w:ascii="Tahoma" w:hAnsi="Tahoma" w:cs="Tahoma"/>
          <w:sz w:val="20"/>
          <w:szCs w:val="20"/>
        </w:rPr>
        <w:t>en</w:t>
      </w:r>
      <w:r w:rsidR="00DB1635" w:rsidRPr="00B004EE">
        <w:rPr>
          <w:rFonts w:ascii="Tahoma" w:hAnsi="Tahoma" w:cs="Tahoma"/>
          <w:spacing w:val="17"/>
          <w:sz w:val="20"/>
          <w:szCs w:val="20"/>
        </w:rPr>
        <w:t xml:space="preserve"> </w:t>
      </w:r>
      <w:r w:rsidR="008518B0" w:rsidRPr="00B004EE">
        <w:rPr>
          <w:rFonts w:ascii="Tahoma" w:hAnsi="Tahoma" w:cs="Tahoma"/>
          <w:sz w:val="20"/>
          <w:szCs w:val="20"/>
        </w:rPr>
        <w:t>vertu</w:t>
      </w:r>
      <w:r w:rsidR="00DB1635" w:rsidRPr="00B004EE">
        <w:rPr>
          <w:rFonts w:ascii="Tahoma" w:hAnsi="Tahoma" w:cs="Tahoma"/>
          <w:spacing w:val="17"/>
          <w:sz w:val="20"/>
          <w:szCs w:val="20"/>
        </w:rPr>
        <w:t xml:space="preserve"> </w:t>
      </w:r>
      <w:r w:rsidR="008518B0" w:rsidRPr="00B004EE">
        <w:rPr>
          <w:rFonts w:ascii="Tahoma" w:hAnsi="Tahoma" w:cs="Tahoma"/>
          <w:sz w:val="20"/>
          <w:szCs w:val="20"/>
        </w:rPr>
        <w:t>de</w:t>
      </w:r>
      <w:r w:rsidR="00DB1635" w:rsidRPr="00B004EE">
        <w:rPr>
          <w:rFonts w:ascii="Tahoma" w:hAnsi="Tahoma" w:cs="Tahoma"/>
          <w:spacing w:val="19"/>
          <w:sz w:val="20"/>
          <w:szCs w:val="20"/>
        </w:rPr>
        <w:t xml:space="preserve"> </w:t>
      </w:r>
      <w:r w:rsidR="008518B0" w:rsidRPr="00B004EE">
        <w:rPr>
          <w:rFonts w:ascii="Tahoma" w:hAnsi="Tahoma" w:cs="Tahoma"/>
          <w:sz w:val="20"/>
          <w:szCs w:val="20"/>
        </w:rPr>
        <w:t>laquelle</w:t>
      </w:r>
      <w:r w:rsidR="00DB1635" w:rsidRPr="00B004EE">
        <w:rPr>
          <w:rFonts w:ascii="Tahoma" w:hAnsi="Tahoma" w:cs="Tahoma"/>
          <w:spacing w:val="16"/>
          <w:sz w:val="20"/>
          <w:szCs w:val="20"/>
        </w:rPr>
        <w:t xml:space="preserve"> </w:t>
      </w:r>
      <w:r w:rsidR="008518B0" w:rsidRPr="00B004EE">
        <w:rPr>
          <w:rFonts w:ascii="Tahoma" w:hAnsi="Tahoma" w:cs="Tahoma"/>
          <w:sz w:val="20"/>
          <w:szCs w:val="20"/>
        </w:rPr>
        <w:t>il</w:t>
      </w:r>
      <w:r w:rsidR="00DB1635" w:rsidRPr="00B004EE">
        <w:rPr>
          <w:rFonts w:ascii="Tahoma" w:hAnsi="Tahoma" w:cs="Tahoma"/>
          <w:spacing w:val="18"/>
          <w:sz w:val="20"/>
          <w:szCs w:val="20"/>
        </w:rPr>
        <w:t xml:space="preserve"> </w:t>
      </w:r>
      <w:r w:rsidR="008518B0" w:rsidRPr="00B004EE">
        <w:rPr>
          <w:rFonts w:ascii="Tahoma" w:hAnsi="Tahoma" w:cs="Tahoma"/>
          <w:sz w:val="20"/>
          <w:szCs w:val="20"/>
        </w:rPr>
        <w:t>avait</w:t>
      </w:r>
      <w:r w:rsidR="00DB1635" w:rsidRPr="00B004EE">
        <w:rPr>
          <w:rFonts w:ascii="Tahoma" w:hAnsi="Tahoma" w:cs="Tahoma"/>
          <w:spacing w:val="18"/>
          <w:sz w:val="20"/>
          <w:szCs w:val="20"/>
        </w:rPr>
        <w:t xml:space="preserve"> </w:t>
      </w:r>
      <w:r w:rsidR="008518B0" w:rsidRPr="00B004EE">
        <w:rPr>
          <w:rFonts w:ascii="Tahoma" w:hAnsi="Tahoma" w:cs="Tahoma"/>
          <w:sz w:val="20"/>
          <w:szCs w:val="20"/>
        </w:rPr>
        <w:t>été</w:t>
      </w:r>
      <w:r w:rsidR="00DB1635" w:rsidRPr="00B004EE">
        <w:rPr>
          <w:rFonts w:ascii="Tahoma" w:hAnsi="Tahoma" w:cs="Tahoma"/>
          <w:w w:val="99"/>
          <w:sz w:val="20"/>
          <w:szCs w:val="20"/>
        </w:rPr>
        <w:t xml:space="preserve"> </w:t>
      </w:r>
      <w:r w:rsidR="008518B0" w:rsidRPr="00B004EE">
        <w:rPr>
          <w:rFonts w:ascii="Tahoma" w:hAnsi="Tahoma" w:cs="Tahoma"/>
          <w:sz w:val="20"/>
          <w:szCs w:val="20"/>
        </w:rPr>
        <w:t>nommé,</w:t>
      </w:r>
      <w:r w:rsidR="00DB1635" w:rsidRPr="00B004EE">
        <w:rPr>
          <w:rFonts w:ascii="Tahoma" w:hAnsi="Tahoma" w:cs="Tahoma"/>
          <w:spacing w:val="7"/>
          <w:sz w:val="20"/>
          <w:szCs w:val="20"/>
        </w:rPr>
        <w:t xml:space="preserve"> </w:t>
      </w:r>
      <w:r w:rsidR="008518B0" w:rsidRPr="00B004EE">
        <w:rPr>
          <w:rFonts w:ascii="Tahoma" w:hAnsi="Tahoma" w:cs="Tahoma"/>
          <w:sz w:val="20"/>
          <w:szCs w:val="20"/>
        </w:rPr>
        <w:t>il</w:t>
      </w:r>
      <w:r w:rsidR="00DB1635" w:rsidRPr="00B004EE">
        <w:rPr>
          <w:rFonts w:ascii="Tahoma" w:hAnsi="Tahoma" w:cs="Tahoma"/>
          <w:spacing w:val="8"/>
          <w:sz w:val="20"/>
          <w:szCs w:val="20"/>
        </w:rPr>
        <w:t xml:space="preserve"> </w:t>
      </w:r>
      <w:r w:rsidR="008518B0" w:rsidRPr="00B004EE">
        <w:rPr>
          <w:rFonts w:ascii="Tahoma" w:hAnsi="Tahoma" w:cs="Tahoma"/>
          <w:sz w:val="20"/>
          <w:szCs w:val="20"/>
        </w:rPr>
        <w:t>est</w:t>
      </w:r>
      <w:r w:rsidR="00DB1635" w:rsidRPr="00B004EE">
        <w:rPr>
          <w:rFonts w:ascii="Tahoma" w:hAnsi="Tahoma" w:cs="Tahoma"/>
          <w:spacing w:val="8"/>
          <w:sz w:val="20"/>
          <w:szCs w:val="20"/>
        </w:rPr>
        <w:t xml:space="preserve"> </w:t>
      </w:r>
      <w:r w:rsidR="008518B0" w:rsidRPr="00B004EE">
        <w:rPr>
          <w:rFonts w:ascii="Tahoma" w:hAnsi="Tahoma" w:cs="Tahoma"/>
          <w:sz w:val="20"/>
          <w:szCs w:val="20"/>
        </w:rPr>
        <w:t>procédé</w:t>
      </w:r>
      <w:r w:rsidR="00DB1635" w:rsidRPr="00B004EE">
        <w:rPr>
          <w:rFonts w:ascii="Tahoma" w:hAnsi="Tahoma" w:cs="Tahoma"/>
          <w:spacing w:val="9"/>
          <w:sz w:val="20"/>
          <w:szCs w:val="20"/>
        </w:rPr>
        <w:t xml:space="preserve"> </w:t>
      </w:r>
      <w:r w:rsidR="008518B0" w:rsidRPr="00B004EE">
        <w:rPr>
          <w:rFonts w:ascii="Tahoma" w:hAnsi="Tahoma" w:cs="Tahoma"/>
          <w:sz w:val="20"/>
          <w:szCs w:val="20"/>
        </w:rPr>
        <w:t>à</w:t>
      </w:r>
      <w:r w:rsidR="00DB1635" w:rsidRPr="00B004EE">
        <w:rPr>
          <w:rFonts w:ascii="Tahoma" w:hAnsi="Tahoma" w:cs="Tahoma"/>
          <w:spacing w:val="6"/>
          <w:sz w:val="20"/>
          <w:szCs w:val="20"/>
        </w:rPr>
        <w:t xml:space="preserve"> </w:t>
      </w:r>
      <w:r w:rsidR="008518B0" w:rsidRPr="00B004EE">
        <w:rPr>
          <w:rFonts w:ascii="Tahoma" w:hAnsi="Tahoma" w:cs="Tahoma"/>
          <w:sz w:val="20"/>
          <w:szCs w:val="20"/>
        </w:rPr>
        <w:t>son</w:t>
      </w:r>
      <w:r w:rsidR="00DB1635" w:rsidRPr="00B004EE">
        <w:rPr>
          <w:rFonts w:ascii="Tahoma" w:hAnsi="Tahoma" w:cs="Tahoma"/>
          <w:spacing w:val="7"/>
          <w:sz w:val="20"/>
          <w:szCs w:val="20"/>
        </w:rPr>
        <w:t xml:space="preserve"> </w:t>
      </w:r>
      <w:r w:rsidR="008518B0" w:rsidRPr="00B004EE">
        <w:rPr>
          <w:rFonts w:ascii="Tahoma" w:hAnsi="Tahoma" w:cs="Tahoma"/>
          <w:sz w:val="20"/>
          <w:szCs w:val="20"/>
        </w:rPr>
        <w:t>remplacement</w:t>
      </w:r>
      <w:r w:rsidR="00DB1635" w:rsidRPr="00B004EE">
        <w:rPr>
          <w:rFonts w:ascii="Tahoma" w:hAnsi="Tahoma" w:cs="Tahoma"/>
          <w:spacing w:val="8"/>
          <w:sz w:val="20"/>
          <w:szCs w:val="20"/>
        </w:rPr>
        <w:t xml:space="preserve"> </w:t>
      </w:r>
      <w:r w:rsidR="008518B0" w:rsidRPr="00B004EE">
        <w:rPr>
          <w:rFonts w:ascii="Tahoma" w:hAnsi="Tahoma" w:cs="Tahoma"/>
          <w:spacing w:val="4"/>
          <w:sz w:val="20"/>
          <w:szCs w:val="20"/>
        </w:rPr>
        <w:t>dans</w:t>
      </w:r>
      <w:r w:rsidR="00DB1635" w:rsidRPr="00B004EE">
        <w:rPr>
          <w:rFonts w:ascii="Tahoma" w:hAnsi="Tahoma" w:cs="Tahoma"/>
          <w:spacing w:val="18"/>
          <w:sz w:val="20"/>
          <w:szCs w:val="20"/>
        </w:rPr>
        <w:t xml:space="preserve"> </w:t>
      </w:r>
      <w:r w:rsidR="008518B0" w:rsidRPr="00B004EE">
        <w:rPr>
          <w:rFonts w:ascii="Tahoma" w:hAnsi="Tahoma" w:cs="Tahoma"/>
          <w:spacing w:val="3"/>
          <w:sz w:val="20"/>
          <w:szCs w:val="20"/>
        </w:rPr>
        <w:t>les</w:t>
      </w:r>
      <w:r w:rsidR="00DB1635" w:rsidRPr="00B004EE">
        <w:rPr>
          <w:rFonts w:ascii="Tahoma" w:hAnsi="Tahoma" w:cs="Tahoma"/>
          <w:spacing w:val="21"/>
          <w:sz w:val="20"/>
          <w:szCs w:val="20"/>
        </w:rPr>
        <w:t xml:space="preserve"> </w:t>
      </w:r>
      <w:r w:rsidR="008518B0" w:rsidRPr="00B004EE">
        <w:rPr>
          <w:rFonts w:ascii="Tahoma" w:hAnsi="Tahoma" w:cs="Tahoma"/>
          <w:spacing w:val="4"/>
          <w:sz w:val="20"/>
          <w:szCs w:val="20"/>
        </w:rPr>
        <w:t>mêmes</w:t>
      </w:r>
      <w:r w:rsidR="00DB1635" w:rsidRPr="00B004EE">
        <w:rPr>
          <w:rFonts w:ascii="Tahoma" w:hAnsi="Tahoma" w:cs="Tahoma"/>
          <w:spacing w:val="21"/>
          <w:sz w:val="20"/>
          <w:szCs w:val="20"/>
        </w:rPr>
        <w:t xml:space="preserve"> </w:t>
      </w:r>
      <w:r w:rsidR="008518B0" w:rsidRPr="00B004EE">
        <w:rPr>
          <w:rFonts w:ascii="Tahoma" w:hAnsi="Tahoma" w:cs="Tahoma"/>
          <w:spacing w:val="4"/>
          <w:sz w:val="20"/>
          <w:szCs w:val="20"/>
        </w:rPr>
        <w:t>formes,</w:t>
      </w:r>
      <w:r w:rsidR="00DB1635" w:rsidRPr="00B004EE">
        <w:rPr>
          <w:rFonts w:ascii="Tahoma" w:hAnsi="Tahoma" w:cs="Tahoma"/>
          <w:spacing w:val="21"/>
          <w:sz w:val="20"/>
          <w:szCs w:val="20"/>
        </w:rPr>
        <w:t xml:space="preserve"> </w:t>
      </w:r>
      <w:r w:rsidR="008518B0" w:rsidRPr="00B004EE">
        <w:rPr>
          <w:rFonts w:ascii="Tahoma" w:hAnsi="Tahoma" w:cs="Tahoma"/>
          <w:spacing w:val="4"/>
          <w:sz w:val="20"/>
          <w:szCs w:val="20"/>
        </w:rPr>
        <w:t>pour</w:t>
      </w:r>
      <w:r w:rsidR="00DB1635" w:rsidRPr="00B004EE">
        <w:rPr>
          <w:rFonts w:ascii="Tahoma" w:hAnsi="Tahoma" w:cs="Tahoma"/>
          <w:spacing w:val="20"/>
          <w:sz w:val="20"/>
          <w:szCs w:val="20"/>
        </w:rPr>
        <w:t xml:space="preserve"> </w:t>
      </w:r>
      <w:r w:rsidR="008518B0" w:rsidRPr="00B004EE">
        <w:rPr>
          <w:rFonts w:ascii="Tahoma" w:hAnsi="Tahoma" w:cs="Tahoma"/>
          <w:spacing w:val="3"/>
          <w:sz w:val="20"/>
          <w:szCs w:val="20"/>
        </w:rPr>
        <w:t>le</w:t>
      </w:r>
      <w:r w:rsidR="00DB1635" w:rsidRPr="00B004EE">
        <w:rPr>
          <w:rFonts w:ascii="Tahoma" w:hAnsi="Tahoma" w:cs="Tahoma"/>
          <w:spacing w:val="17"/>
          <w:sz w:val="20"/>
          <w:szCs w:val="20"/>
        </w:rPr>
        <w:t xml:space="preserve"> </w:t>
      </w:r>
      <w:r w:rsidR="008518B0" w:rsidRPr="00B004EE">
        <w:rPr>
          <w:rFonts w:ascii="Tahoma" w:hAnsi="Tahoma" w:cs="Tahoma"/>
          <w:spacing w:val="5"/>
          <w:sz w:val="20"/>
          <w:szCs w:val="20"/>
        </w:rPr>
        <w:t>temps</w:t>
      </w:r>
      <w:r w:rsidR="00DB1635" w:rsidRPr="00B004EE">
        <w:rPr>
          <w:rFonts w:ascii="Tahoma" w:hAnsi="Tahoma" w:cs="Tahoma"/>
          <w:spacing w:val="21"/>
          <w:sz w:val="20"/>
          <w:szCs w:val="20"/>
        </w:rPr>
        <w:t xml:space="preserve"> </w:t>
      </w:r>
      <w:r w:rsidR="008518B0" w:rsidRPr="00B004EE">
        <w:rPr>
          <w:rFonts w:ascii="Tahoma" w:hAnsi="Tahoma" w:cs="Tahoma"/>
          <w:sz w:val="20"/>
          <w:szCs w:val="20"/>
        </w:rPr>
        <w:t>restant</w:t>
      </w:r>
      <w:r w:rsidR="00DB1635" w:rsidRPr="00B004EE">
        <w:rPr>
          <w:rFonts w:ascii="Tahoma" w:hAnsi="Tahoma" w:cs="Tahoma"/>
          <w:spacing w:val="8"/>
          <w:sz w:val="20"/>
          <w:szCs w:val="20"/>
        </w:rPr>
        <w:t xml:space="preserve"> </w:t>
      </w:r>
      <w:r w:rsidR="008518B0" w:rsidRPr="00B004EE">
        <w:rPr>
          <w:rFonts w:ascii="Tahoma" w:hAnsi="Tahoma" w:cs="Tahoma"/>
          <w:sz w:val="20"/>
          <w:szCs w:val="20"/>
        </w:rPr>
        <w:t>du</w:t>
      </w:r>
      <w:r w:rsidR="00DB1635" w:rsidRPr="00B004EE">
        <w:rPr>
          <w:rFonts w:ascii="Tahoma" w:hAnsi="Tahoma" w:cs="Tahoma"/>
          <w:w w:val="99"/>
          <w:sz w:val="20"/>
          <w:szCs w:val="20"/>
        </w:rPr>
        <w:t xml:space="preserve"> </w:t>
      </w:r>
      <w:r w:rsidR="008518B0" w:rsidRPr="00B004EE">
        <w:rPr>
          <w:rFonts w:ascii="Tahoma" w:hAnsi="Tahoma" w:cs="Tahoma"/>
          <w:sz w:val="20"/>
          <w:szCs w:val="20"/>
        </w:rPr>
        <w:t>mandat.</w:t>
      </w:r>
      <w:r w:rsidR="00DB1635" w:rsidRPr="00B004EE">
        <w:rPr>
          <w:rFonts w:ascii="Tahoma" w:hAnsi="Tahoma" w:cs="Tahoma"/>
          <w:spacing w:val="10"/>
          <w:sz w:val="20"/>
          <w:szCs w:val="20"/>
        </w:rPr>
        <w:t xml:space="preserve"> </w:t>
      </w:r>
      <w:r w:rsidR="008518B0" w:rsidRPr="00B004EE">
        <w:rPr>
          <w:rFonts w:ascii="Tahoma" w:hAnsi="Tahoma" w:cs="Tahoma"/>
          <w:sz w:val="20"/>
          <w:szCs w:val="20"/>
        </w:rPr>
        <w:t>Au</w:t>
      </w:r>
      <w:r w:rsidR="00DB1635" w:rsidRPr="00B004EE">
        <w:rPr>
          <w:rFonts w:ascii="Tahoma" w:hAnsi="Tahoma" w:cs="Tahoma"/>
          <w:spacing w:val="22"/>
          <w:sz w:val="20"/>
          <w:szCs w:val="20"/>
        </w:rPr>
        <w:t xml:space="preserve"> </w:t>
      </w:r>
      <w:r w:rsidR="008518B0" w:rsidRPr="00B004EE">
        <w:rPr>
          <w:rFonts w:ascii="Tahoma" w:hAnsi="Tahoma" w:cs="Tahoma"/>
          <w:sz w:val="20"/>
          <w:szCs w:val="20"/>
        </w:rPr>
        <w:t>titre</w:t>
      </w:r>
      <w:r w:rsidR="00DB1635" w:rsidRPr="00B004EE">
        <w:rPr>
          <w:rFonts w:ascii="Tahoma" w:hAnsi="Tahoma" w:cs="Tahoma"/>
          <w:spacing w:val="23"/>
          <w:sz w:val="20"/>
          <w:szCs w:val="20"/>
        </w:rPr>
        <w:t xml:space="preserve"> </w:t>
      </w:r>
      <w:r w:rsidR="008518B0" w:rsidRPr="00B004EE">
        <w:rPr>
          <w:rFonts w:ascii="Tahoma" w:hAnsi="Tahoma" w:cs="Tahoma"/>
          <w:sz w:val="20"/>
          <w:szCs w:val="20"/>
        </w:rPr>
        <w:t>de</w:t>
      </w:r>
      <w:r w:rsidR="00DB1635" w:rsidRPr="00B004EE">
        <w:rPr>
          <w:rFonts w:ascii="Tahoma" w:hAnsi="Tahoma" w:cs="Tahoma"/>
          <w:spacing w:val="21"/>
          <w:sz w:val="20"/>
          <w:szCs w:val="20"/>
        </w:rPr>
        <w:t xml:space="preserve"> </w:t>
      </w:r>
      <w:r w:rsidR="008518B0" w:rsidRPr="00B004EE">
        <w:rPr>
          <w:rFonts w:ascii="Tahoma" w:hAnsi="Tahoma" w:cs="Tahoma"/>
          <w:sz w:val="20"/>
          <w:szCs w:val="20"/>
        </w:rPr>
        <w:t>leurs</w:t>
      </w:r>
      <w:r w:rsidR="00DB1635" w:rsidRPr="00B004EE">
        <w:rPr>
          <w:rFonts w:ascii="Tahoma" w:hAnsi="Tahoma" w:cs="Tahoma"/>
          <w:spacing w:val="24"/>
          <w:sz w:val="20"/>
          <w:szCs w:val="20"/>
        </w:rPr>
        <w:t xml:space="preserve"> </w:t>
      </w:r>
      <w:r w:rsidR="008518B0" w:rsidRPr="00B004EE">
        <w:rPr>
          <w:rFonts w:ascii="Tahoma" w:hAnsi="Tahoma" w:cs="Tahoma"/>
          <w:sz w:val="20"/>
          <w:szCs w:val="20"/>
        </w:rPr>
        <w:t>fonctions,</w:t>
      </w:r>
      <w:r w:rsidR="00DB1635" w:rsidRPr="00B004EE">
        <w:rPr>
          <w:rFonts w:ascii="Tahoma" w:hAnsi="Tahoma" w:cs="Tahoma"/>
          <w:spacing w:val="22"/>
          <w:sz w:val="20"/>
          <w:szCs w:val="20"/>
        </w:rPr>
        <w:t xml:space="preserve"> </w:t>
      </w:r>
      <w:r w:rsidR="008518B0" w:rsidRPr="00B004EE">
        <w:rPr>
          <w:rFonts w:ascii="Tahoma" w:hAnsi="Tahoma" w:cs="Tahoma"/>
          <w:sz w:val="20"/>
          <w:szCs w:val="20"/>
        </w:rPr>
        <w:t>le</w:t>
      </w:r>
      <w:r w:rsidR="00DB1635" w:rsidRPr="00B004EE">
        <w:rPr>
          <w:rFonts w:ascii="Tahoma" w:hAnsi="Tahoma" w:cs="Tahoma"/>
          <w:spacing w:val="21"/>
          <w:sz w:val="20"/>
          <w:szCs w:val="20"/>
        </w:rPr>
        <w:t xml:space="preserve"> </w:t>
      </w:r>
      <w:r w:rsidR="008518B0" w:rsidRPr="00B004EE">
        <w:rPr>
          <w:rFonts w:ascii="Tahoma" w:hAnsi="Tahoma" w:cs="Tahoma"/>
          <w:sz w:val="20"/>
          <w:szCs w:val="20"/>
        </w:rPr>
        <w:t>Président</w:t>
      </w:r>
      <w:r w:rsidR="00DB1635" w:rsidRPr="00B004EE">
        <w:rPr>
          <w:rFonts w:ascii="Tahoma" w:hAnsi="Tahoma" w:cs="Tahoma"/>
          <w:spacing w:val="22"/>
          <w:sz w:val="20"/>
          <w:szCs w:val="20"/>
        </w:rPr>
        <w:t xml:space="preserve"> </w:t>
      </w:r>
      <w:r w:rsidR="008518B0" w:rsidRPr="00B004EE">
        <w:rPr>
          <w:rFonts w:ascii="Tahoma" w:hAnsi="Tahoma" w:cs="Tahoma"/>
          <w:sz w:val="20"/>
          <w:szCs w:val="20"/>
        </w:rPr>
        <w:t>et</w:t>
      </w:r>
      <w:r w:rsidR="00DB1635" w:rsidRPr="00B004EE">
        <w:rPr>
          <w:rFonts w:ascii="Tahoma" w:hAnsi="Tahoma" w:cs="Tahoma"/>
          <w:spacing w:val="25"/>
          <w:sz w:val="20"/>
          <w:szCs w:val="20"/>
        </w:rPr>
        <w:t xml:space="preserve"> </w:t>
      </w:r>
      <w:r w:rsidR="008518B0" w:rsidRPr="00B004EE">
        <w:rPr>
          <w:rFonts w:ascii="Tahoma" w:hAnsi="Tahoma" w:cs="Tahoma"/>
          <w:sz w:val="20"/>
          <w:szCs w:val="20"/>
        </w:rPr>
        <w:t>les</w:t>
      </w:r>
      <w:r w:rsidR="00DB1635" w:rsidRPr="00B004EE">
        <w:rPr>
          <w:rFonts w:ascii="Tahoma" w:hAnsi="Tahoma" w:cs="Tahoma"/>
          <w:spacing w:val="20"/>
          <w:sz w:val="20"/>
          <w:szCs w:val="20"/>
        </w:rPr>
        <w:t xml:space="preserve"> </w:t>
      </w:r>
      <w:r w:rsidR="008518B0" w:rsidRPr="00B004EE">
        <w:rPr>
          <w:rFonts w:ascii="Tahoma" w:hAnsi="Tahoma" w:cs="Tahoma"/>
          <w:sz w:val="20"/>
          <w:szCs w:val="20"/>
        </w:rPr>
        <w:t>membres</w:t>
      </w:r>
      <w:r w:rsidR="00DB1635" w:rsidRPr="00B004EE">
        <w:rPr>
          <w:rFonts w:ascii="Tahoma" w:hAnsi="Tahoma" w:cs="Tahoma"/>
          <w:spacing w:val="20"/>
          <w:sz w:val="20"/>
          <w:szCs w:val="20"/>
        </w:rPr>
        <w:t xml:space="preserve"> </w:t>
      </w:r>
      <w:r w:rsidR="008518B0" w:rsidRPr="00B004EE">
        <w:rPr>
          <w:rFonts w:ascii="Tahoma" w:hAnsi="Tahoma" w:cs="Tahoma"/>
          <w:sz w:val="20"/>
          <w:szCs w:val="20"/>
        </w:rPr>
        <w:t>du</w:t>
      </w:r>
      <w:r w:rsidR="00DB1635" w:rsidRPr="00B004EE">
        <w:rPr>
          <w:rFonts w:ascii="Tahoma" w:hAnsi="Tahoma" w:cs="Tahoma"/>
          <w:spacing w:val="19"/>
          <w:sz w:val="20"/>
          <w:szCs w:val="20"/>
        </w:rPr>
        <w:t xml:space="preserve"> </w:t>
      </w:r>
      <w:r w:rsidR="008518B0" w:rsidRPr="00B004EE">
        <w:rPr>
          <w:rFonts w:ascii="Tahoma" w:hAnsi="Tahoma" w:cs="Tahoma"/>
          <w:sz w:val="20"/>
          <w:szCs w:val="20"/>
        </w:rPr>
        <w:t>Conseil</w:t>
      </w:r>
      <w:r w:rsidR="00DB1635" w:rsidRPr="00B004EE">
        <w:rPr>
          <w:rFonts w:ascii="Tahoma" w:hAnsi="Tahoma" w:cs="Tahoma"/>
          <w:spacing w:val="20"/>
          <w:sz w:val="20"/>
          <w:szCs w:val="20"/>
        </w:rPr>
        <w:t xml:space="preserve"> </w:t>
      </w:r>
      <w:r w:rsidR="008518B0" w:rsidRPr="00B004EE">
        <w:rPr>
          <w:rFonts w:ascii="Tahoma" w:hAnsi="Tahoma" w:cs="Tahoma"/>
          <w:sz w:val="20"/>
          <w:szCs w:val="20"/>
        </w:rPr>
        <w:t>d'Administration</w:t>
      </w:r>
      <w:r w:rsidR="00DB1635" w:rsidRPr="00B004EE">
        <w:rPr>
          <w:rFonts w:ascii="Tahoma" w:hAnsi="Tahoma" w:cs="Tahoma"/>
          <w:spacing w:val="-58"/>
          <w:sz w:val="20"/>
          <w:szCs w:val="20"/>
        </w:rPr>
        <w:t xml:space="preserve"> </w:t>
      </w:r>
      <w:r w:rsidR="008518B0" w:rsidRPr="00B004EE">
        <w:rPr>
          <w:rFonts w:ascii="Tahoma" w:hAnsi="Tahoma" w:cs="Tahoma"/>
          <w:sz w:val="20"/>
          <w:szCs w:val="20"/>
        </w:rPr>
        <w:t>perçoivent</w:t>
      </w:r>
      <w:r w:rsidR="00DB1635" w:rsidRPr="00B004EE">
        <w:rPr>
          <w:rFonts w:ascii="Tahoma" w:hAnsi="Tahoma" w:cs="Tahoma"/>
          <w:sz w:val="20"/>
          <w:szCs w:val="20"/>
        </w:rPr>
        <w:t xml:space="preserve"> </w:t>
      </w:r>
      <w:r w:rsidR="008518B0" w:rsidRPr="00B004EE">
        <w:rPr>
          <w:rFonts w:ascii="Tahoma" w:hAnsi="Tahoma" w:cs="Tahoma"/>
          <w:sz w:val="20"/>
          <w:szCs w:val="20"/>
        </w:rPr>
        <w:t>des</w:t>
      </w:r>
      <w:r w:rsidR="00DB1635" w:rsidRPr="00B004EE">
        <w:rPr>
          <w:rFonts w:ascii="Tahoma" w:hAnsi="Tahoma" w:cs="Tahoma"/>
          <w:sz w:val="20"/>
          <w:szCs w:val="20"/>
        </w:rPr>
        <w:t xml:space="preserve"> </w:t>
      </w:r>
      <w:r w:rsidR="008518B0" w:rsidRPr="00B004EE">
        <w:rPr>
          <w:rFonts w:ascii="Tahoma" w:hAnsi="Tahoma" w:cs="Tahoma"/>
          <w:sz w:val="20"/>
          <w:szCs w:val="20"/>
        </w:rPr>
        <w:t>indemnités</w:t>
      </w:r>
      <w:r w:rsidR="00DB1635" w:rsidRPr="00B004EE">
        <w:rPr>
          <w:rFonts w:ascii="Tahoma" w:hAnsi="Tahoma" w:cs="Tahoma"/>
          <w:sz w:val="20"/>
          <w:szCs w:val="20"/>
        </w:rPr>
        <w:t xml:space="preserve"> </w:t>
      </w:r>
      <w:r w:rsidR="008518B0" w:rsidRPr="00B004EE">
        <w:rPr>
          <w:rFonts w:ascii="Tahoma" w:hAnsi="Tahoma" w:cs="Tahoma"/>
          <w:sz w:val="20"/>
          <w:szCs w:val="20"/>
        </w:rPr>
        <w:t>ou</w:t>
      </w:r>
      <w:r w:rsidR="00DB1635" w:rsidRPr="00B004EE">
        <w:rPr>
          <w:rFonts w:ascii="Tahoma" w:hAnsi="Tahoma" w:cs="Tahoma"/>
          <w:sz w:val="20"/>
          <w:szCs w:val="20"/>
        </w:rPr>
        <w:t xml:space="preserve"> </w:t>
      </w:r>
      <w:r w:rsidR="008518B0" w:rsidRPr="00B004EE">
        <w:rPr>
          <w:rFonts w:ascii="Tahoma" w:hAnsi="Tahoma" w:cs="Tahoma"/>
          <w:sz w:val="20"/>
          <w:szCs w:val="20"/>
        </w:rPr>
        <w:t>avantages</w:t>
      </w:r>
      <w:r w:rsidR="00DB1635" w:rsidRPr="00B004EE">
        <w:rPr>
          <w:rFonts w:ascii="Tahoma" w:hAnsi="Tahoma" w:cs="Tahoma"/>
          <w:sz w:val="20"/>
          <w:szCs w:val="20"/>
        </w:rPr>
        <w:t xml:space="preserve"> </w:t>
      </w:r>
      <w:r w:rsidR="008518B0" w:rsidRPr="00B004EE">
        <w:rPr>
          <w:rFonts w:ascii="Tahoma" w:hAnsi="Tahoma" w:cs="Tahoma"/>
          <w:spacing w:val="10"/>
          <w:sz w:val="20"/>
          <w:szCs w:val="20"/>
        </w:rPr>
        <w:t>conformément</w:t>
      </w:r>
      <w:r w:rsidR="00DB1635" w:rsidRPr="00B004EE">
        <w:rPr>
          <w:rFonts w:ascii="Tahoma" w:hAnsi="Tahoma" w:cs="Tahoma"/>
          <w:spacing w:val="10"/>
          <w:sz w:val="20"/>
          <w:szCs w:val="20"/>
        </w:rPr>
        <w:t xml:space="preserve"> </w:t>
      </w:r>
      <w:r w:rsidR="008518B0" w:rsidRPr="00B004EE">
        <w:rPr>
          <w:rFonts w:ascii="Tahoma" w:hAnsi="Tahoma" w:cs="Tahoma"/>
          <w:sz w:val="20"/>
          <w:szCs w:val="20"/>
        </w:rPr>
        <w:t>à</w:t>
      </w:r>
      <w:r w:rsidR="00DB1635" w:rsidRPr="00B004EE">
        <w:rPr>
          <w:rFonts w:ascii="Tahoma" w:hAnsi="Tahoma" w:cs="Tahoma"/>
          <w:sz w:val="20"/>
          <w:szCs w:val="20"/>
        </w:rPr>
        <w:t xml:space="preserve"> </w:t>
      </w:r>
      <w:r w:rsidR="008518B0" w:rsidRPr="00B004EE">
        <w:rPr>
          <w:rFonts w:ascii="Tahoma" w:hAnsi="Tahoma" w:cs="Tahoma"/>
          <w:spacing w:val="6"/>
          <w:sz w:val="20"/>
          <w:szCs w:val="20"/>
        </w:rPr>
        <w:t>la</w:t>
      </w:r>
      <w:r w:rsidR="00DB1635" w:rsidRPr="00B004EE">
        <w:rPr>
          <w:rFonts w:ascii="Tahoma" w:hAnsi="Tahoma" w:cs="Tahoma"/>
          <w:spacing w:val="6"/>
          <w:sz w:val="20"/>
          <w:szCs w:val="20"/>
        </w:rPr>
        <w:t xml:space="preserve"> </w:t>
      </w:r>
      <w:r w:rsidR="008518B0" w:rsidRPr="00B004EE">
        <w:rPr>
          <w:rFonts w:ascii="Tahoma" w:hAnsi="Tahoma" w:cs="Tahoma"/>
          <w:spacing w:val="11"/>
          <w:sz w:val="20"/>
          <w:szCs w:val="20"/>
        </w:rPr>
        <w:t>réglementation</w:t>
      </w:r>
      <w:r w:rsidR="00DB1635" w:rsidRPr="00B004EE">
        <w:rPr>
          <w:rFonts w:ascii="Tahoma" w:hAnsi="Tahoma" w:cs="Tahoma"/>
          <w:spacing w:val="11"/>
          <w:sz w:val="20"/>
          <w:szCs w:val="20"/>
        </w:rPr>
        <w:t xml:space="preserve"> </w:t>
      </w:r>
      <w:r w:rsidR="008518B0" w:rsidRPr="00B004EE">
        <w:rPr>
          <w:rFonts w:ascii="Tahoma" w:hAnsi="Tahoma" w:cs="Tahoma"/>
          <w:spacing w:val="-3"/>
          <w:sz w:val="20"/>
          <w:szCs w:val="20"/>
        </w:rPr>
        <w:t>applicable.</w:t>
      </w:r>
    </w:p>
    <w:p w14:paraId="0903BC4B" w14:textId="77777777" w:rsidR="008518B0" w:rsidRPr="00B004EE" w:rsidRDefault="008518B0" w:rsidP="00B004EE">
      <w:pPr>
        <w:rPr>
          <w:rFonts w:ascii="Tahoma" w:eastAsia="Times" w:hAnsi="Tahoma" w:cs="Tahoma"/>
          <w:sz w:val="20"/>
          <w:szCs w:val="20"/>
        </w:rPr>
      </w:pPr>
    </w:p>
    <w:p w14:paraId="6F5B4842" w14:textId="6A227D4A" w:rsidR="008518B0" w:rsidRPr="00B004EE" w:rsidRDefault="00FF661D" w:rsidP="00B004EE">
      <w:pPr>
        <w:pStyle w:val="Corpsdetexte"/>
        <w:ind w:left="155" w:right="188"/>
        <w:rPr>
          <w:rFonts w:ascii="Tahoma" w:hAnsi="Tahoma" w:cs="Tahoma"/>
          <w:sz w:val="20"/>
          <w:szCs w:val="20"/>
        </w:rPr>
      </w:pPr>
      <w:r w:rsidRPr="00B004EE">
        <w:rPr>
          <w:rFonts w:ascii="Tahoma" w:hAnsi="Tahoma" w:cs="Tahoma"/>
          <w:bCs/>
          <w:iCs/>
          <w:sz w:val="20"/>
          <w:szCs w:val="20"/>
        </w:rPr>
        <w:t xml:space="preserve">Article </w:t>
      </w:r>
      <w:r w:rsidR="008518B0" w:rsidRPr="00B004EE">
        <w:rPr>
          <w:rFonts w:ascii="Tahoma" w:hAnsi="Tahoma" w:cs="Tahoma"/>
          <w:bCs/>
          <w:iCs/>
          <w:sz w:val="20"/>
          <w:szCs w:val="20"/>
        </w:rPr>
        <w:t>9</w:t>
      </w:r>
      <w:r w:rsidR="00DB1635" w:rsidRPr="00B004EE">
        <w:rPr>
          <w:rFonts w:ascii="Tahoma" w:hAnsi="Tahoma" w:cs="Tahoma"/>
          <w:b/>
          <w:bCs/>
          <w:i/>
          <w:sz w:val="20"/>
          <w:szCs w:val="20"/>
        </w:rPr>
        <w:t xml:space="preserve"> </w:t>
      </w:r>
      <w:r w:rsidR="008518B0" w:rsidRPr="00B004EE">
        <w:rPr>
          <w:rFonts w:ascii="Tahoma" w:hAnsi="Tahoma" w:cs="Tahoma"/>
          <w:i/>
          <w:sz w:val="20"/>
          <w:szCs w:val="20"/>
        </w:rPr>
        <w:t>:</w:t>
      </w:r>
      <w:r w:rsidR="00DB1635" w:rsidRPr="00B004EE">
        <w:rPr>
          <w:rFonts w:ascii="Tahoma" w:hAnsi="Tahoma" w:cs="Tahoma"/>
          <w:i/>
          <w:sz w:val="20"/>
          <w:szCs w:val="20"/>
        </w:rPr>
        <w:t xml:space="preserve"> </w:t>
      </w:r>
      <w:r w:rsidR="008518B0" w:rsidRPr="00B004EE">
        <w:rPr>
          <w:rFonts w:ascii="Tahoma" w:hAnsi="Tahoma" w:cs="Tahoma"/>
          <w:sz w:val="20"/>
          <w:szCs w:val="20"/>
        </w:rPr>
        <w:t>Le</w:t>
      </w:r>
      <w:r w:rsidR="00DB1635" w:rsidRPr="00B004EE">
        <w:rPr>
          <w:rFonts w:ascii="Tahoma" w:hAnsi="Tahoma" w:cs="Tahoma"/>
          <w:sz w:val="20"/>
          <w:szCs w:val="20"/>
        </w:rPr>
        <w:t xml:space="preserve"> </w:t>
      </w:r>
      <w:r w:rsidR="008518B0" w:rsidRPr="00B004EE">
        <w:rPr>
          <w:rFonts w:ascii="Tahoma" w:hAnsi="Tahoma" w:cs="Tahoma"/>
          <w:sz w:val="20"/>
          <w:szCs w:val="20"/>
        </w:rPr>
        <w:t>Conseil</w:t>
      </w:r>
      <w:r w:rsidR="00DB1635" w:rsidRPr="00B004EE">
        <w:rPr>
          <w:rFonts w:ascii="Tahoma" w:hAnsi="Tahoma" w:cs="Tahoma"/>
          <w:sz w:val="20"/>
          <w:szCs w:val="20"/>
        </w:rPr>
        <w:t xml:space="preserve"> </w:t>
      </w:r>
      <w:r w:rsidR="008518B0" w:rsidRPr="00B004EE">
        <w:rPr>
          <w:rFonts w:ascii="Tahoma" w:hAnsi="Tahoma" w:cs="Tahoma"/>
          <w:sz w:val="20"/>
          <w:szCs w:val="20"/>
        </w:rPr>
        <w:t>d'Administration</w:t>
      </w:r>
      <w:r w:rsidR="00DB1635" w:rsidRPr="00B004EE">
        <w:rPr>
          <w:rFonts w:ascii="Tahoma" w:hAnsi="Tahoma" w:cs="Tahoma"/>
          <w:sz w:val="20"/>
          <w:szCs w:val="20"/>
        </w:rPr>
        <w:t xml:space="preserve"> </w:t>
      </w:r>
      <w:r w:rsidR="008518B0" w:rsidRPr="00B004EE">
        <w:rPr>
          <w:rFonts w:ascii="Tahoma" w:hAnsi="Tahoma" w:cs="Tahoma"/>
          <w:sz w:val="20"/>
          <w:szCs w:val="20"/>
        </w:rPr>
        <w:t>délibère</w:t>
      </w:r>
      <w:r w:rsidR="00DB1635" w:rsidRPr="00B004EE">
        <w:rPr>
          <w:rFonts w:ascii="Tahoma" w:hAnsi="Tahoma" w:cs="Tahoma"/>
          <w:sz w:val="20"/>
          <w:szCs w:val="20"/>
        </w:rPr>
        <w:t xml:space="preserve"> </w:t>
      </w:r>
      <w:r w:rsidR="008518B0" w:rsidRPr="00B004EE">
        <w:rPr>
          <w:rFonts w:ascii="Tahoma" w:hAnsi="Tahoma" w:cs="Tahoma"/>
          <w:sz w:val="20"/>
          <w:szCs w:val="20"/>
        </w:rPr>
        <w:t>sur</w:t>
      </w:r>
      <w:r w:rsidR="00DB1635" w:rsidRPr="00B004EE">
        <w:rPr>
          <w:rFonts w:ascii="Tahoma" w:hAnsi="Tahoma" w:cs="Tahoma"/>
          <w:sz w:val="20"/>
          <w:szCs w:val="20"/>
        </w:rPr>
        <w:t xml:space="preserve"> </w:t>
      </w:r>
      <w:r w:rsidR="008518B0" w:rsidRPr="00B004EE">
        <w:rPr>
          <w:rFonts w:ascii="Tahoma" w:hAnsi="Tahoma" w:cs="Tahoma"/>
          <w:sz w:val="20"/>
          <w:szCs w:val="20"/>
        </w:rPr>
        <w:t>toutes</w:t>
      </w:r>
      <w:r w:rsidR="00DB1635" w:rsidRPr="00B004EE">
        <w:rPr>
          <w:rFonts w:ascii="Tahoma" w:hAnsi="Tahoma" w:cs="Tahoma"/>
          <w:sz w:val="20"/>
          <w:szCs w:val="20"/>
        </w:rPr>
        <w:t xml:space="preserve"> </w:t>
      </w:r>
      <w:r w:rsidR="008518B0" w:rsidRPr="00B004EE">
        <w:rPr>
          <w:rFonts w:ascii="Tahoma" w:hAnsi="Tahoma" w:cs="Tahoma"/>
          <w:sz w:val="20"/>
          <w:szCs w:val="20"/>
        </w:rPr>
        <w:t>les</w:t>
      </w:r>
      <w:r w:rsidR="00DB1635" w:rsidRPr="00B004EE">
        <w:rPr>
          <w:rFonts w:ascii="Tahoma" w:hAnsi="Tahoma" w:cs="Tahoma"/>
          <w:sz w:val="20"/>
          <w:szCs w:val="20"/>
        </w:rPr>
        <w:t xml:space="preserve"> </w:t>
      </w:r>
      <w:r w:rsidR="008518B0" w:rsidRPr="00B004EE">
        <w:rPr>
          <w:rFonts w:ascii="Tahoma" w:hAnsi="Tahoma" w:cs="Tahoma"/>
          <w:sz w:val="20"/>
          <w:szCs w:val="20"/>
        </w:rPr>
        <w:t>questions</w:t>
      </w:r>
      <w:r w:rsidR="00DB1635" w:rsidRPr="00B004EE">
        <w:rPr>
          <w:rFonts w:ascii="Tahoma" w:hAnsi="Tahoma" w:cs="Tahoma"/>
          <w:spacing w:val="7"/>
          <w:sz w:val="20"/>
          <w:szCs w:val="20"/>
        </w:rPr>
        <w:t xml:space="preserve"> </w:t>
      </w:r>
      <w:r w:rsidR="008518B0" w:rsidRPr="00B004EE">
        <w:rPr>
          <w:rFonts w:ascii="Tahoma" w:hAnsi="Tahoma" w:cs="Tahoma"/>
          <w:sz w:val="20"/>
          <w:szCs w:val="20"/>
        </w:rPr>
        <w:t>concernant</w:t>
      </w:r>
      <w:r w:rsidR="00DB1635" w:rsidRPr="00B004EE">
        <w:rPr>
          <w:rFonts w:ascii="Tahoma" w:hAnsi="Tahoma" w:cs="Tahoma"/>
          <w:w w:val="99"/>
          <w:sz w:val="20"/>
          <w:szCs w:val="20"/>
        </w:rPr>
        <w:t xml:space="preserve"> </w:t>
      </w:r>
      <w:r w:rsidR="008518B0" w:rsidRPr="00B004EE">
        <w:rPr>
          <w:rFonts w:ascii="Tahoma" w:hAnsi="Tahoma" w:cs="Tahoma"/>
          <w:sz w:val="20"/>
          <w:szCs w:val="20"/>
        </w:rPr>
        <w:t>l'administration</w:t>
      </w:r>
      <w:r w:rsidR="00DB1635" w:rsidRPr="00B004EE">
        <w:rPr>
          <w:rFonts w:ascii="Tahoma" w:hAnsi="Tahoma" w:cs="Tahoma"/>
          <w:spacing w:val="13"/>
          <w:sz w:val="20"/>
          <w:szCs w:val="20"/>
        </w:rPr>
        <w:t xml:space="preserve"> </w:t>
      </w:r>
      <w:r w:rsidR="008518B0" w:rsidRPr="00B004EE">
        <w:rPr>
          <w:rFonts w:ascii="Tahoma" w:hAnsi="Tahoma" w:cs="Tahoma"/>
          <w:sz w:val="20"/>
          <w:szCs w:val="20"/>
        </w:rPr>
        <w:t>et</w:t>
      </w:r>
      <w:r w:rsidR="00DB1635" w:rsidRPr="00B004EE">
        <w:rPr>
          <w:rFonts w:ascii="Tahoma" w:hAnsi="Tahoma" w:cs="Tahoma"/>
          <w:spacing w:val="13"/>
          <w:sz w:val="20"/>
          <w:szCs w:val="20"/>
        </w:rPr>
        <w:t xml:space="preserve"> </w:t>
      </w:r>
      <w:r w:rsidR="008518B0" w:rsidRPr="00B004EE">
        <w:rPr>
          <w:rFonts w:ascii="Tahoma" w:hAnsi="Tahoma" w:cs="Tahoma"/>
          <w:sz w:val="20"/>
          <w:szCs w:val="20"/>
        </w:rPr>
        <w:t>la</w:t>
      </w:r>
      <w:r w:rsidR="00DB1635" w:rsidRPr="00B004EE">
        <w:rPr>
          <w:rFonts w:ascii="Tahoma" w:hAnsi="Tahoma" w:cs="Tahoma"/>
          <w:spacing w:val="12"/>
          <w:sz w:val="20"/>
          <w:szCs w:val="20"/>
        </w:rPr>
        <w:t xml:space="preserve"> </w:t>
      </w:r>
      <w:r w:rsidR="008518B0" w:rsidRPr="00B004EE">
        <w:rPr>
          <w:rFonts w:ascii="Tahoma" w:hAnsi="Tahoma" w:cs="Tahoma"/>
          <w:sz w:val="20"/>
          <w:szCs w:val="20"/>
        </w:rPr>
        <w:t>gestion</w:t>
      </w:r>
      <w:r w:rsidR="00DB1635" w:rsidRPr="00B004EE">
        <w:rPr>
          <w:rFonts w:ascii="Tahoma" w:hAnsi="Tahoma" w:cs="Tahoma"/>
          <w:spacing w:val="13"/>
          <w:sz w:val="20"/>
          <w:szCs w:val="20"/>
        </w:rPr>
        <w:t xml:space="preserve"> </w:t>
      </w:r>
      <w:r w:rsidR="008518B0" w:rsidRPr="00B004EE">
        <w:rPr>
          <w:rFonts w:ascii="Tahoma" w:hAnsi="Tahoma" w:cs="Tahoma"/>
          <w:sz w:val="20"/>
          <w:szCs w:val="20"/>
        </w:rPr>
        <w:t>de</w:t>
      </w:r>
      <w:r w:rsidR="00DB1635" w:rsidRPr="00B004EE">
        <w:rPr>
          <w:rFonts w:ascii="Tahoma" w:hAnsi="Tahoma" w:cs="Tahoma"/>
          <w:spacing w:val="9"/>
          <w:sz w:val="20"/>
          <w:szCs w:val="20"/>
        </w:rPr>
        <w:t xml:space="preserve"> </w:t>
      </w:r>
      <w:r w:rsidR="008518B0" w:rsidRPr="00B004EE">
        <w:rPr>
          <w:rFonts w:ascii="Tahoma" w:hAnsi="Tahoma" w:cs="Tahoma"/>
          <w:sz w:val="20"/>
          <w:szCs w:val="20"/>
        </w:rPr>
        <w:t>l'Office</w:t>
      </w:r>
      <w:r w:rsidR="00DB1635" w:rsidRPr="00B004EE">
        <w:rPr>
          <w:rFonts w:ascii="Tahoma" w:hAnsi="Tahoma" w:cs="Tahoma"/>
          <w:spacing w:val="12"/>
          <w:sz w:val="20"/>
          <w:szCs w:val="20"/>
        </w:rPr>
        <w:t xml:space="preserve"> </w:t>
      </w:r>
      <w:r w:rsidR="008518B0" w:rsidRPr="00B004EE">
        <w:rPr>
          <w:rFonts w:ascii="Tahoma" w:hAnsi="Tahoma" w:cs="Tahoma"/>
          <w:spacing w:val="11"/>
          <w:sz w:val="20"/>
          <w:szCs w:val="20"/>
        </w:rPr>
        <w:t>National</w:t>
      </w:r>
      <w:r w:rsidR="00DB1635" w:rsidRPr="00B004EE">
        <w:rPr>
          <w:rFonts w:ascii="Tahoma" w:hAnsi="Tahoma" w:cs="Tahoma"/>
          <w:spacing w:val="35"/>
          <w:sz w:val="20"/>
          <w:szCs w:val="20"/>
        </w:rPr>
        <w:t xml:space="preserve"> </w:t>
      </w:r>
      <w:r w:rsidR="008518B0" w:rsidRPr="00B004EE">
        <w:rPr>
          <w:rFonts w:ascii="Tahoma" w:hAnsi="Tahoma" w:cs="Tahoma"/>
          <w:spacing w:val="11"/>
          <w:sz w:val="20"/>
          <w:szCs w:val="20"/>
        </w:rPr>
        <w:t>d'Inspection</w:t>
      </w:r>
      <w:r w:rsidR="00DB1635" w:rsidRPr="00B004EE">
        <w:rPr>
          <w:rFonts w:ascii="Tahoma" w:hAnsi="Tahoma" w:cs="Tahoma"/>
          <w:spacing w:val="34"/>
          <w:sz w:val="20"/>
          <w:szCs w:val="20"/>
        </w:rPr>
        <w:t xml:space="preserve"> </w:t>
      </w:r>
      <w:r w:rsidR="008518B0" w:rsidRPr="00B004EE">
        <w:rPr>
          <w:rFonts w:ascii="Tahoma" w:hAnsi="Tahoma" w:cs="Tahoma"/>
          <w:spacing w:val="11"/>
          <w:sz w:val="20"/>
          <w:szCs w:val="20"/>
        </w:rPr>
        <w:t>Sanitaire</w:t>
      </w:r>
      <w:r w:rsidR="00DB1635" w:rsidRPr="00B004EE">
        <w:rPr>
          <w:rFonts w:ascii="Tahoma" w:hAnsi="Tahoma" w:cs="Tahoma"/>
          <w:spacing w:val="33"/>
          <w:sz w:val="20"/>
          <w:szCs w:val="20"/>
        </w:rPr>
        <w:t xml:space="preserve"> </w:t>
      </w:r>
      <w:r w:rsidR="008518B0" w:rsidRPr="00B004EE">
        <w:rPr>
          <w:rFonts w:ascii="Tahoma" w:hAnsi="Tahoma" w:cs="Tahoma"/>
          <w:spacing w:val="8"/>
          <w:sz w:val="20"/>
          <w:szCs w:val="20"/>
        </w:rPr>
        <w:t>des</w:t>
      </w:r>
      <w:r w:rsidR="00DB1635" w:rsidRPr="00B004EE">
        <w:rPr>
          <w:rFonts w:ascii="Tahoma" w:hAnsi="Tahoma" w:cs="Tahoma"/>
          <w:spacing w:val="34"/>
          <w:sz w:val="20"/>
          <w:szCs w:val="20"/>
        </w:rPr>
        <w:t xml:space="preserve"> </w:t>
      </w:r>
      <w:r w:rsidR="008518B0" w:rsidRPr="00B004EE">
        <w:rPr>
          <w:rFonts w:ascii="Tahoma" w:hAnsi="Tahoma" w:cs="Tahoma"/>
          <w:sz w:val="20"/>
          <w:szCs w:val="20"/>
        </w:rPr>
        <w:t>Produits</w:t>
      </w:r>
      <w:r w:rsidR="00DB1635" w:rsidRPr="00B004EE">
        <w:rPr>
          <w:rFonts w:ascii="Tahoma" w:hAnsi="Tahoma" w:cs="Tahoma"/>
          <w:spacing w:val="6"/>
          <w:sz w:val="20"/>
          <w:szCs w:val="20"/>
        </w:rPr>
        <w:t xml:space="preserve"> </w:t>
      </w:r>
      <w:r w:rsidR="008518B0" w:rsidRPr="00B004EE">
        <w:rPr>
          <w:rFonts w:ascii="Tahoma" w:hAnsi="Tahoma" w:cs="Tahoma"/>
          <w:sz w:val="20"/>
          <w:szCs w:val="20"/>
        </w:rPr>
        <w:t>de</w:t>
      </w:r>
      <w:r w:rsidR="00DB1635" w:rsidRPr="00B004EE">
        <w:rPr>
          <w:rFonts w:ascii="Tahoma" w:hAnsi="Tahoma" w:cs="Tahoma"/>
          <w:spacing w:val="7"/>
          <w:sz w:val="20"/>
          <w:szCs w:val="20"/>
        </w:rPr>
        <w:t xml:space="preserve"> </w:t>
      </w:r>
      <w:r w:rsidR="008518B0" w:rsidRPr="00B004EE">
        <w:rPr>
          <w:rFonts w:ascii="Tahoma" w:hAnsi="Tahoma" w:cs="Tahoma"/>
          <w:sz w:val="20"/>
          <w:szCs w:val="20"/>
        </w:rPr>
        <w:t>la</w:t>
      </w:r>
      <w:r w:rsidR="00DB1635" w:rsidRPr="00B004EE">
        <w:rPr>
          <w:rFonts w:ascii="Tahoma" w:hAnsi="Tahoma" w:cs="Tahoma"/>
          <w:w w:val="99"/>
          <w:sz w:val="20"/>
          <w:szCs w:val="20"/>
        </w:rPr>
        <w:t xml:space="preserve"> </w:t>
      </w:r>
      <w:r w:rsidR="008518B0" w:rsidRPr="00B004EE">
        <w:rPr>
          <w:rFonts w:ascii="Tahoma" w:hAnsi="Tahoma" w:cs="Tahoma"/>
          <w:sz w:val="20"/>
          <w:szCs w:val="20"/>
        </w:rPr>
        <w:t>Pêche</w:t>
      </w:r>
      <w:r w:rsidR="00DB1635" w:rsidRPr="00B004EE">
        <w:rPr>
          <w:rFonts w:ascii="Tahoma" w:hAnsi="Tahoma" w:cs="Tahoma"/>
          <w:sz w:val="20"/>
          <w:szCs w:val="20"/>
        </w:rPr>
        <w:t xml:space="preserve"> </w:t>
      </w:r>
      <w:r w:rsidR="008518B0" w:rsidRPr="00B004EE">
        <w:rPr>
          <w:rFonts w:ascii="Tahoma" w:hAnsi="Tahoma" w:cs="Tahoma"/>
          <w:sz w:val="20"/>
          <w:szCs w:val="20"/>
        </w:rPr>
        <w:t>et</w:t>
      </w:r>
      <w:r w:rsidR="00DB1635" w:rsidRPr="00B004EE">
        <w:rPr>
          <w:rFonts w:ascii="Tahoma" w:hAnsi="Tahoma" w:cs="Tahoma"/>
          <w:sz w:val="20"/>
          <w:szCs w:val="20"/>
        </w:rPr>
        <w:t xml:space="preserve"> </w:t>
      </w:r>
      <w:r w:rsidR="008518B0" w:rsidRPr="00B004EE">
        <w:rPr>
          <w:rFonts w:ascii="Tahoma" w:hAnsi="Tahoma" w:cs="Tahoma"/>
          <w:sz w:val="20"/>
          <w:szCs w:val="20"/>
        </w:rPr>
        <w:t>de</w:t>
      </w:r>
      <w:r w:rsidR="00DB1635" w:rsidRPr="00B004EE">
        <w:rPr>
          <w:rFonts w:ascii="Tahoma" w:hAnsi="Tahoma" w:cs="Tahoma"/>
          <w:sz w:val="20"/>
          <w:szCs w:val="20"/>
        </w:rPr>
        <w:t xml:space="preserve"> </w:t>
      </w:r>
      <w:r w:rsidR="008518B0" w:rsidRPr="00B004EE">
        <w:rPr>
          <w:rFonts w:ascii="Tahoma" w:hAnsi="Tahoma" w:cs="Tahoma"/>
          <w:sz w:val="20"/>
          <w:szCs w:val="20"/>
        </w:rPr>
        <w:t>l'Aquaculture.</w:t>
      </w:r>
      <w:r w:rsidR="00DB1635" w:rsidRPr="00B004EE">
        <w:rPr>
          <w:rFonts w:ascii="Tahoma" w:hAnsi="Tahoma" w:cs="Tahoma"/>
          <w:sz w:val="20"/>
          <w:szCs w:val="20"/>
        </w:rPr>
        <w:t xml:space="preserve"> </w:t>
      </w:r>
      <w:r w:rsidR="008518B0" w:rsidRPr="00B004EE">
        <w:rPr>
          <w:rFonts w:ascii="Tahoma" w:hAnsi="Tahoma" w:cs="Tahoma"/>
          <w:spacing w:val="-3"/>
          <w:sz w:val="20"/>
          <w:szCs w:val="20"/>
        </w:rPr>
        <w:t>Il</w:t>
      </w:r>
      <w:r w:rsidR="00DB1635" w:rsidRPr="00B004EE">
        <w:rPr>
          <w:rFonts w:ascii="Tahoma" w:hAnsi="Tahoma" w:cs="Tahoma"/>
          <w:spacing w:val="-3"/>
          <w:sz w:val="20"/>
          <w:szCs w:val="20"/>
        </w:rPr>
        <w:t xml:space="preserve"> </w:t>
      </w:r>
      <w:r w:rsidR="008518B0" w:rsidRPr="00B004EE">
        <w:rPr>
          <w:rFonts w:ascii="Tahoma" w:hAnsi="Tahoma" w:cs="Tahoma"/>
          <w:sz w:val="20"/>
          <w:szCs w:val="20"/>
        </w:rPr>
        <w:t>est</w:t>
      </w:r>
      <w:r w:rsidR="00DB1635" w:rsidRPr="00B004EE">
        <w:rPr>
          <w:rFonts w:ascii="Tahoma" w:hAnsi="Tahoma" w:cs="Tahoma"/>
          <w:sz w:val="20"/>
          <w:szCs w:val="20"/>
        </w:rPr>
        <w:t xml:space="preserve"> </w:t>
      </w:r>
      <w:r w:rsidR="008518B0" w:rsidRPr="00B004EE">
        <w:rPr>
          <w:rFonts w:ascii="Tahoma" w:hAnsi="Tahoma" w:cs="Tahoma"/>
          <w:sz w:val="20"/>
          <w:szCs w:val="20"/>
        </w:rPr>
        <w:t>investi</w:t>
      </w:r>
      <w:r w:rsidR="00DB1635" w:rsidRPr="00B004EE">
        <w:rPr>
          <w:rFonts w:ascii="Tahoma" w:hAnsi="Tahoma" w:cs="Tahoma"/>
          <w:sz w:val="20"/>
          <w:szCs w:val="20"/>
        </w:rPr>
        <w:t xml:space="preserve"> </w:t>
      </w:r>
      <w:r w:rsidR="008518B0" w:rsidRPr="00B004EE">
        <w:rPr>
          <w:rFonts w:ascii="Tahoma" w:hAnsi="Tahoma" w:cs="Tahoma"/>
          <w:sz w:val="20"/>
          <w:szCs w:val="20"/>
        </w:rPr>
        <w:t>de</w:t>
      </w:r>
      <w:r w:rsidR="00DB1635" w:rsidRPr="00B004EE">
        <w:rPr>
          <w:rFonts w:ascii="Tahoma" w:hAnsi="Tahoma" w:cs="Tahoma"/>
          <w:sz w:val="20"/>
          <w:szCs w:val="20"/>
        </w:rPr>
        <w:t xml:space="preserve"> </w:t>
      </w:r>
      <w:r w:rsidR="008518B0" w:rsidRPr="00B004EE">
        <w:rPr>
          <w:rFonts w:ascii="Tahoma" w:hAnsi="Tahoma" w:cs="Tahoma"/>
          <w:sz w:val="20"/>
          <w:szCs w:val="20"/>
        </w:rPr>
        <w:t>tous</w:t>
      </w:r>
      <w:r w:rsidR="00DB1635" w:rsidRPr="00B004EE">
        <w:rPr>
          <w:rFonts w:ascii="Tahoma" w:hAnsi="Tahoma" w:cs="Tahoma"/>
          <w:sz w:val="20"/>
          <w:szCs w:val="20"/>
        </w:rPr>
        <w:t xml:space="preserve"> </w:t>
      </w:r>
      <w:r w:rsidR="008518B0" w:rsidRPr="00B004EE">
        <w:rPr>
          <w:rFonts w:ascii="Tahoma" w:hAnsi="Tahoma" w:cs="Tahoma"/>
          <w:sz w:val="20"/>
          <w:szCs w:val="20"/>
        </w:rPr>
        <w:t>les</w:t>
      </w:r>
      <w:r w:rsidR="00DB1635" w:rsidRPr="00B004EE">
        <w:rPr>
          <w:rFonts w:ascii="Tahoma" w:hAnsi="Tahoma" w:cs="Tahoma"/>
          <w:sz w:val="20"/>
          <w:szCs w:val="20"/>
        </w:rPr>
        <w:t xml:space="preserve"> </w:t>
      </w:r>
      <w:r w:rsidR="008518B0" w:rsidRPr="00B004EE">
        <w:rPr>
          <w:rFonts w:ascii="Tahoma" w:hAnsi="Tahoma" w:cs="Tahoma"/>
          <w:sz w:val="20"/>
          <w:szCs w:val="20"/>
        </w:rPr>
        <w:t>pouvoirs</w:t>
      </w:r>
      <w:r w:rsidR="00DB1635" w:rsidRPr="00B004EE">
        <w:rPr>
          <w:rFonts w:ascii="Tahoma" w:hAnsi="Tahoma" w:cs="Tahoma"/>
          <w:sz w:val="20"/>
          <w:szCs w:val="20"/>
        </w:rPr>
        <w:t xml:space="preserve"> </w:t>
      </w:r>
      <w:r w:rsidR="008518B0" w:rsidRPr="00B004EE">
        <w:rPr>
          <w:rFonts w:ascii="Tahoma" w:hAnsi="Tahoma" w:cs="Tahoma"/>
          <w:sz w:val="20"/>
          <w:szCs w:val="20"/>
        </w:rPr>
        <w:t>nécessaires</w:t>
      </w:r>
      <w:r w:rsidR="00DB1635" w:rsidRPr="00B004EE">
        <w:rPr>
          <w:rFonts w:ascii="Tahoma" w:hAnsi="Tahoma" w:cs="Tahoma"/>
          <w:sz w:val="20"/>
          <w:szCs w:val="20"/>
        </w:rPr>
        <w:t xml:space="preserve"> </w:t>
      </w:r>
      <w:r w:rsidR="008518B0" w:rsidRPr="00B004EE">
        <w:rPr>
          <w:rFonts w:ascii="Tahoma" w:hAnsi="Tahoma" w:cs="Tahoma"/>
          <w:sz w:val="20"/>
          <w:szCs w:val="20"/>
        </w:rPr>
        <w:t>pour</w:t>
      </w:r>
      <w:r w:rsidR="00DB1635" w:rsidRPr="00B004EE">
        <w:rPr>
          <w:rFonts w:ascii="Tahoma" w:hAnsi="Tahoma" w:cs="Tahoma"/>
          <w:sz w:val="20"/>
          <w:szCs w:val="20"/>
        </w:rPr>
        <w:t xml:space="preserve"> </w:t>
      </w:r>
      <w:r w:rsidR="008518B0" w:rsidRPr="00B004EE">
        <w:rPr>
          <w:rFonts w:ascii="Tahoma" w:hAnsi="Tahoma" w:cs="Tahoma"/>
          <w:sz w:val="20"/>
          <w:szCs w:val="20"/>
        </w:rPr>
        <w:t>orienter,</w:t>
      </w:r>
      <w:r w:rsidR="00DB1635" w:rsidRPr="00B004EE">
        <w:rPr>
          <w:rFonts w:ascii="Tahoma" w:hAnsi="Tahoma" w:cs="Tahoma"/>
          <w:spacing w:val="25"/>
          <w:sz w:val="20"/>
          <w:szCs w:val="20"/>
        </w:rPr>
        <w:t xml:space="preserve"> </w:t>
      </w:r>
      <w:r w:rsidR="008518B0" w:rsidRPr="00B004EE">
        <w:rPr>
          <w:rFonts w:ascii="Tahoma" w:hAnsi="Tahoma" w:cs="Tahoma"/>
          <w:sz w:val="20"/>
          <w:szCs w:val="20"/>
        </w:rPr>
        <w:t>impulser</w:t>
      </w:r>
      <w:r w:rsidR="00DB1635" w:rsidRPr="00B004EE">
        <w:rPr>
          <w:rFonts w:ascii="Tahoma" w:hAnsi="Tahoma" w:cs="Tahoma"/>
          <w:w w:val="99"/>
          <w:sz w:val="20"/>
          <w:szCs w:val="20"/>
        </w:rPr>
        <w:t xml:space="preserve"> </w:t>
      </w:r>
      <w:r w:rsidR="008518B0" w:rsidRPr="00B004EE">
        <w:rPr>
          <w:rFonts w:ascii="Tahoma" w:hAnsi="Tahoma" w:cs="Tahoma"/>
          <w:sz w:val="20"/>
          <w:szCs w:val="20"/>
        </w:rPr>
        <w:t>et</w:t>
      </w:r>
      <w:r w:rsidR="00DB1635" w:rsidRPr="00B004EE">
        <w:rPr>
          <w:rFonts w:ascii="Tahoma" w:hAnsi="Tahoma" w:cs="Tahoma"/>
          <w:sz w:val="20"/>
          <w:szCs w:val="20"/>
        </w:rPr>
        <w:t xml:space="preserve"> </w:t>
      </w:r>
      <w:r w:rsidR="008518B0" w:rsidRPr="00B004EE">
        <w:rPr>
          <w:rFonts w:ascii="Tahoma" w:hAnsi="Tahoma" w:cs="Tahoma"/>
          <w:sz w:val="20"/>
          <w:szCs w:val="20"/>
        </w:rPr>
        <w:t>contrôler</w:t>
      </w:r>
      <w:r w:rsidR="00DB1635" w:rsidRPr="00B004EE">
        <w:rPr>
          <w:rFonts w:ascii="Tahoma" w:hAnsi="Tahoma" w:cs="Tahoma"/>
          <w:sz w:val="20"/>
          <w:szCs w:val="20"/>
        </w:rPr>
        <w:t xml:space="preserve"> </w:t>
      </w:r>
      <w:r w:rsidR="008518B0" w:rsidRPr="00B004EE">
        <w:rPr>
          <w:rFonts w:ascii="Tahoma" w:hAnsi="Tahoma" w:cs="Tahoma"/>
          <w:sz w:val="20"/>
          <w:szCs w:val="20"/>
        </w:rPr>
        <w:t>les</w:t>
      </w:r>
      <w:r w:rsidR="00DB1635" w:rsidRPr="00B004EE">
        <w:rPr>
          <w:rFonts w:ascii="Tahoma" w:hAnsi="Tahoma" w:cs="Tahoma"/>
          <w:sz w:val="20"/>
          <w:szCs w:val="20"/>
        </w:rPr>
        <w:t xml:space="preserve"> </w:t>
      </w:r>
      <w:r w:rsidR="008518B0" w:rsidRPr="00B004EE">
        <w:rPr>
          <w:rFonts w:ascii="Tahoma" w:hAnsi="Tahoma" w:cs="Tahoma"/>
          <w:sz w:val="20"/>
          <w:szCs w:val="20"/>
        </w:rPr>
        <w:t>activités</w:t>
      </w:r>
      <w:r w:rsidR="00DB1635" w:rsidRPr="00B004EE">
        <w:rPr>
          <w:rFonts w:ascii="Tahoma" w:hAnsi="Tahoma" w:cs="Tahoma"/>
          <w:sz w:val="20"/>
          <w:szCs w:val="20"/>
        </w:rPr>
        <w:t xml:space="preserve"> </w:t>
      </w:r>
      <w:r w:rsidR="008518B0" w:rsidRPr="00B004EE">
        <w:rPr>
          <w:rFonts w:ascii="Tahoma" w:hAnsi="Tahoma" w:cs="Tahoma"/>
          <w:sz w:val="20"/>
          <w:szCs w:val="20"/>
        </w:rPr>
        <w:t>de</w:t>
      </w:r>
      <w:r w:rsidR="00DB1635" w:rsidRPr="00B004EE">
        <w:rPr>
          <w:rFonts w:ascii="Tahoma" w:hAnsi="Tahoma" w:cs="Tahoma"/>
          <w:sz w:val="20"/>
          <w:szCs w:val="20"/>
        </w:rPr>
        <w:t xml:space="preserve"> </w:t>
      </w:r>
      <w:r w:rsidR="008518B0" w:rsidRPr="00B004EE">
        <w:rPr>
          <w:rFonts w:ascii="Tahoma" w:hAnsi="Tahoma" w:cs="Tahoma"/>
          <w:sz w:val="20"/>
          <w:szCs w:val="20"/>
        </w:rPr>
        <w:t>l'établissement</w:t>
      </w:r>
      <w:r w:rsidR="00DB1635" w:rsidRPr="00B004EE">
        <w:rPr>
          <w:rFonts w:ascii="Tahoma" w:hAnsi="Tahoma" w:cs="Tahoma"/>
          <w:sz w:val="20"/>
          <w:szCs w:val="20"/>
        </w:rPr>
        <w:t xml:space="preserve"> </w:t>
      </w:r>
      <w:r w:rsidR="008518B0" w:rsidRPr="00B004EE">
        <w:rPr>
          <w:rFonts w:ascii="Tahoma" w:hAnsi="Tahoma" w:cs="Tahoma"/>
          <w:sz w:val="20"/>
          <w:szCs w:val="20"/>
        </w:rPr>
        <w:t>conformément</w:t>
      </w:r>
      <w:r w:rsidR="00DB1635" w:rsidRPr="00B004EE">
        <w:rPr>
          <w:rFonts w:ascii="Tahoma" w:hAnsi="Tahoma" w:cs="Tahoma"/>
          <w:sz w:val="20"/>
          <w:szCs w:val="20"/>
        </w:rPr>
        <w:t xml:space="preserve"> </w:t>
      </w:r>
      <w:r w:rsidR="008518B0" w:rsidRPr="00B004EE">
        <w:rPr>
          <w:rFonts w:ascii="Tahoma" w:hAnsi="Tahoma" w:cs="Tahoma"/>
          <w:sz w:val="20"/>
          <w:szCs w:val="20"/>
        </w:rPr>
        <w:t>aux</w:t>
      </w:r>
      <w:r w:rsidR="00DB1635" w:rsidRPr="00B004EE">
        <w:rPr>
          <w:rFonts w:ascii="Tahoma" w:hAnsi="Tahoma" w:cs="Tahoma"/>
          <w:sz w:val="20"/>
          <w:szCs w:val="20"/>
        </w:rPr>
        <w:t xml:space="preserve"> </w:t>
      </w:r>
      <w:r w:rsidR="008518B0" w:rsidRPr="00B004EE">
        <w:rPr>
          <w:rFonts w:ascii="Tahoma" w:hAnsi="Tahoma" w:cs="Tahoma"/>
          <w:sz w:val="20"/>
          <w:szCs w:val="20"/>
        </w:rPr>
        <w:t>termes</w:t>
      </w:r>
      <w:r w:rsidR="00DB1635" w:rsidRPr="00B004EE">
        <w:rPr>
          <w:rFonts w:ascii="Tahoma" w:hAnsi="Tahoma" w:cs="Tahoma"/>
          <w:sz w:val="20"/>
          <w:szCs w:val="20"/>
        </w:rPr>
        <w:t xml:space="preserve"> </w:t>
      </w:r>
      <w:r w:rsidR="008518B0" w:rsidRPr="00B004EE">
        <w:rPr>
          <w:rFonts w:ascii="Tahoma" w:hAnsi="Tahoma" w:cs="Tahoma"/>
          <w:sz w:val="20"/>
          <w:szCs w:val="20"/>
        </w:rPr>
        <w:t>de</w:t>
      </w:r>
      <w:r w:rsidR="00DB1635" w:rsidRPr="00B004EE">
        <w:rPr>
          <w:rFonts w:ascii="Tahoma" w:hAnsi="Tahoma" w:cs="Tahoma"/>
          <w:sz w:val="20"/>
          <w:szCs w:val="20"/>
        </w:rPr>
        <w:t xml:space="preserve"> </w:t>
      </w:r>
      <w:r w:rsidR="008518B0" w:rsidRPr="00B004EE">
        <w:rPr>
          <w:rFonts w:ascii="Tahoma" w:hAnsi="Tahoma" w:cs="Tahoma"/>
          <w:sz w:val="20"/>
          <w:szCs w:val="20"/>
        </w:rPr>
        <w:t>l'ordonnance</w:t>
      </w:r>
      <w:r w:rsidR="00DB1635" w:rsidRPr="00B004EE">
        <w:rPr>
          <w:rFonts w:ascii="Tahoma" w:hAnsi="Tahoma" w:cs="Tahoma"/>
          <w:sz w:val="20"/>
          <w:szCs w:val="20"/>
        </w:rPr>
        <w:t xml:space="preserve"> </w:t>
      </w:r>
      <w:r w:rsidR="008518B0" w:rsidRPr="00B004EE">
        <w:rPr>
          <w:rFonts w:ascii="Tahoma" w:hAnsi="Tahoma" w:cs="Tahoma"/>
          <w:b/>
          <w:bCs/>
          <w:sz w:val="20"/>
          <w:szCs w:val="20"/>
        </w:rPr>
        <w:t>n°</w:t>
      </w:r>
      <w:r w:rsidR="00DB1635" w:rsidRPr="00B004EE">
        <w:rPr>
          <w:rFonts w:ascii="Tahoma" w:hAnsi="Tahoma" w:cs="Tahoma"/>
          <w:b/>
          <w:bCs/>
          <w:spacing w:val="35"/>
          <w:sz w:val="20"/>
          <w:szCs w:val="20"/>
        </w:rPr>
        <w:t xml:space="preserve"> </w:t>
      </w:r>
      <w:r w:rsidR="008518B0" w:rsidRPr="00B004EE">
        <w:rPr>
          <w:rFonts w:ascii="Tahoma" w:hAnsi="Tahoma" w:cs="Tahoma"/>
          <w:sz w:val="20"/>
          <w:szCs w:val="20"/>
        </w:rPr>
        <w:t>90-09</w:t>
      </w:r>
      <w:r w:rsidR="00DB1635" w:rsidRPr="00B004EE">
        <w:rPr>
          <w:rFonts w:ascii="Tahoma" w:hAnsi="Tahoma" w:cs="Tahoma"/>
          <w:w w:val="99"/>
          <w:sz w:val="20"/>
          <w:szCs w:val="20"/>
        </w:rPr>
        <w:t xml:space="preserve"> </w:t>
      </w:r>
      <w:r w:rsidR="008518B0" w:rsidRPr="00B004EE">
        <w:rPr>
          <w:rFonts w:ascii="Tahoma" w:hAnsi="Tahoma" w:cs="Tahoma"/>
          <w:sz w:val="20"/>
          <w:szCs w:val="20"/>
        </w:rPr>
        <w:t>du</w:t>
      </w:r>
      <w:r w:rsidR="00DB1635" w:rsidRPr="00B004EE">
        <w:rPr>
          <w:rFonts w:ascii="Tahoma" w:hAnsi="Tahoma" w:cs="Tahoma"/>
          <w:sz w:val="20"/>
          <w:szCs w:val="20"/>
        </w:rPr>
        <w:t xml:space="preserve"> </w:t>
      </w:r>
      <w:r w:rsidR="008518B0" w:rsidRPr="00B004EE">
        <w:rPr>
          <w:rFonts w:ascii="Tahoma" w:hAnsi="Tahoma" w:cs="Tahoma"/>
          <w:sz w:val="20"/>
          <w:szCs w:val="20"/>
        </w:rPr>
        <w:t>04</w:t>
      </w:r>
      <w:r w:rsidR="00DB1635" w:rsidRPr="00B004EE">
        <w:rPr>
          <w:rFonts w:ascii="Tahoma" w:hAnsi="Tahoma" w:cs="Tahoma"/>
          <w:sz w:val="20"/>
          <w:szCs w:val="20"/>
        </w:rPr>
        <w:t xml:space="preserve"> </w:t>
      </w:r>
      <w:r w:rsidR="008518B0" w:rsidRPr="00B004EE">
        <w:rPr>
          <w:rFonts w:ascii="Tahoma" w:hAnsi="Tahoma" w:cs="Tahoma"/>
          <w:spacing w:val="18"/>
          <w:sz w:val="20"/>
          <w:szCs w:val="20"/>
        </w:rPr>
        <w:t>Avril</w:t>
      </w:r>
      <w:r w:rsidR="00DB1635" w:rsidRPr="00B004EE">
        <w:rPr>
          <w:rFonts w:ascii="Tahoma" w:hAnsi="Tahoma" w:cs="Tahoma"/>
          <w:spacing w:val="18"/>
          <w:sz w:val="20"/>
          <w:szCs w:val="20"/>
        </w:rPr>
        <w:t xml:space="preserve"> </w:t>
      </w:r>
      <w:r w:rsidR="008518B0" w:rsidRPr="00B004EE">
        <w:rPr>
          <w:rFonts w:ascii="Tahoma" w:hAnsi="Tahoma" w:cs="Tahoma"/>
          <w:spacing w:val="18"/>
          <w:sz w:val="20"/>
          <w:szCs w:val="20"/>
        </w:rPr>
        <w:t>1990</w:t>
      </w:r>
      <w:r w:rsidR="00DB1635" w:rsidRPr="00B004EE">
        <w:rPr>
          <w:rFonts w:ascii="Tahoma" w:hAnsi="Tahoma" w:cs="Tahoma"/>
          <w:spacing w:val="18"/>
          <w:sz w:val="20"/>
          <w:szCs w:val="20"/>
        </w:rPr>
        <w:t xml:space="preserve"> </w:t>
      </w:r>
      <w:r w:rsidR="008518B0" w:rsidRPr="00B004EE">
        <w:rPr>
          <w:rFonts w:ascii="Tahoma" w:hAnsi="Tahoma" w:cs="Tahoma"/>
          <w:spacing w:val="21"/>
          <w:sz w:val="20"/>
          <w:szCs w:val="20"/>
        </w:rPr>
        <w:t>portant</w:t>
      </w:r>
      <w:r w:rsidR="00DB1635" w:rsidRPr="00B004EE">
        <w:rPr>
          <w:rFonts w:ascii="Tahoma" w:hAnsi="Tahoma" w:cs="Tahoma"/>
          <w:spacing w:val="21"/>
          <w:sz w:val="20"/>
          <w:szCs w:val="20"/>
        </w:rPr>
        <w:t xml:space="preserve"> </w:t>
      </w:r>
      <w:r w:rsidR="008518B0" w:rsidRPr="00B004EE">
        <w:rPr>
          <w:rFonts w:ascii="Tahoma" w:hAnsi="Tahoma" w:cs="Tahoma"/>
          <w:spacing w:val="20"/>
          <w:sz w:val="20"/>
          <w:szCs w:val="20"/>
        </w:rPr>
        <w:t>statut</w:t>
      </w:r>
      <w:r w:rsidR="00DB1635" w:rsidRPr="00B004EE">
        <w:rPr>
          <w:rFonts w:ascii="Tahoma" w:hAnsi="Tahoma" w:cs="Tahoma"/>
          <w:spacing w:val="20"/>
          <w:sz w:val="20"/>
          <w:szCs w:val="20"/>
        </w:rPr>
        <w:t xml:space="preserve"> </w:t>
      </w:r>
      <w:r w:rsidR="008518B0" w:rsidRPr="00B004EE">
        <w:rPr>
          <w:rFonts w:ascii="Tahoma" w:hAnsi="Tahoma" w:cs="Tahoma"/>
          <w:spacing w:val="16"/>
          <w:sz w:val="20"/>
          <w:szCs w:val="20"/>
        </w:rPr>
        <w:t>des</w:t>
      </w:r>
      <w:r w:rsidR="00DB1635" w:rsidRPr="00B004EE">
        <w:rPr>
          <w:rFonts w:ascii="Tahoma" w:hAnsi="Tahoma" w:cs="Tahoma"/>
          <w:spacing w:val="16"/>
          <w:sz w:val="20"/>
          <w:szCs w:val="20"/>
        </w:rPr>
        <w:t xml:space="preserve"> </w:t>
      </w:r>
      <w:r w:rsidR="008518B0" w:rsidRPr="00B004EE">
        <w:rPr>
          <w:rFonts w:ascii="Tahoma" w:hAnsi="Tahoma" w:cs="Tahoma"/>
          <w:sz w:val="20"/>
          <w:szCs w:val="20"/>
        </w:rPr>
        <w:t>établissements</w:t>
      </w:r>
      <w:r w:rsidR="00DB1635" w:rsidRPr="00B004EE">
        <w:rPr>
          <w:rFonts w:ascii="Tahoma" w:hAnsi="Tahoma" w:cs="Tahoma"/>
          <w:sz w:val="20"/>
          <w:szCs w:val="20"/>
        </w:rPr>
        <w:t xml:space="preserve"> </w:t>
      </w:r>
      <w:r w:rsidR="008518B0" w:rsidRPr="00B004EE">
        <w:rPr>
          <w:rFonts w:ascii="Tahoma" w:hAnsi="Tahoma" w:cs="Tahoma"/>
          <w:sz w:val="20"/>
          <w:szCs w:val="20"/>
        </w:rPr>
        <w:t>publics</w:t>
      </w:r>
      <w:r w:rsidR="00DB1635" w:rsidRPr="00B004EE">
        <w:rPr>
          <w:rFonts w:ascii="Tahoma" w:hAnsi="Tahoma" w:cs="Tahoma"/>
          <w:sz w:val="20"/>
          <w:szCs w:val="20"/>
        </w:rPr>
        <w:t xml:space="preserve"> </w:t>
      </w:r>
      <w:r w:rsidR="008518B0" w:rsidRPr="00B004EE">
        <w:rPr>
          <w:rFonts w:ascii="Tahoma" w:hAnsi="Tahoma" w:cs="Tahoma"/>
          <w:sz w:val="20"/>
          <w:szCs w:val="20"/>
        </w:rPr>
        <w:t>et</w:t>
      </w:r>
      <w:r w:rsidR="00DB1635" w:rsidRPr="00B004EE">
        <w:rPr>
          <w:rFonts w:ascii="Tahoma" w:hAnsi="Tahoma" w:cs="Tahoma"/>
          <w:sz w:val="20"/>
          <w:szCs w:val="20"/>
        </w:rPr>
        <w:t xml:space="preserve"> </w:t>
      </w:r>
      <w:r w:rsidR="008518B0" w:rsidRPr="00B004EE">
        <w:rPr>
          <w:rFonts w:ascii="Tahoma" w:hAnsi="Tahoma" w:cs="Tahoma"/>
          <w:sz w:val="20"/>
          <w:szCs w:val="20"/>
        </w:rPr>
        <w:t>des</w:t>
      </w:r>
      <w:r w:rsidR="00DB1635" w:rsidRPr="00B004EE">
        <w:rPr>
          <w:rFonts w:ascii="Tahoma" w:hAnsi="Tahoma" w:cs="Tahoma"/>
          <w:sz w:val="20"/>
          <w:szCs w:val="20"/>
        </w:rPr>
        <w:t xml:space="preserve"> </w:t>
      </w:r>
      <w:r w:rsidR="008518B0" w:rsidRPr="00B004EE">
        <w:rPr>
          <w:rFonts w:ascii="Tahoma" w:hAnsi="Tahoma" w:cs="Tahoma"/>
          <w:sz w:val="20"/>
          <w:szCs w:val="20"/>
        </w:rPr>
        <w:t>sociétés</w:t>
      </w:r>
      <w:r w:rsidR="00DB1635" w:rsidRPr="00B004EE">
        <w:rPr>
          <w:rFonts w:ascii="Tahoma" w:hAnsi="Tahoma" w:cs="Tahoma"/>
          <w:sz w:val="20"/>
          <w:szCs w:val="20"/>
        </w:rPr>
        <w:t xml:space="preserve"> </w:t>
      </w:r>
      <w:r w:rsidR="008518B0" w:rsidRPr="00B004EE">
        <w:rPr>
          <w:rFonts w:ascii="Tahoma" w:hAnsi="Tahoma" w:cs="Tahoma"/>
          <w:sz w:val="20"/>
          <w:szCs w:val="20"/>
        </w:rPr>
        <w:t>à</w:t>
      </w:r>
      <w:r w:rsidR="00DB1635" w:rsidRPr="00B004EE">
        <w:rPr>
          <w:rFonts w:ascii="Tahoma" w:hAnsi="Tahoma" w:cs="Tahoma"/>
          <w:spacing w:val="2"/>
          <w:sz w:val="20"/>
          <w:szCs w:val="20"/>
        </w:rPr>
        <w:t xml:space="preserve"> </w:t>
      </w:r>
      <w:r w:rsidR="008518B0" w:rsidRPr="00B004EE">
        <w:rPr>
          <w:rFonts w:ascii="Tahoma" w:hAnsi="Tahoma" w:cs="Tahoma"/>
          <w:spacing w:val="3"/>
          <w:sz w:val="20"/>
          <w:szCs w:val="20"/>
        </w:rPr>
        <w:t>capitaux</w:t>
      </w:r>
      <w:r w:rsidR="00DB1635" w:rsidRPr="00B004EE">
        <w:rPr>
          <w:rFonts w:ascii="Tahoma" w:hAnsi="Tahoma" w:cs="Tahoma"/>
          <w:w w:val="99"/>
          <w:sz w:val="20"/>
          <w:szCs w:val="20"/>
        </w:rPr>
        <w:t xml:space="preserve"> </w:t>
      </w:r>
      <w:r w:rsidR="008518B0" w:rsidRPr="00B004EE">
        <w:rPr>
          <w:rFonts w:ascii="Tahoma" w:hAnsi="Tahoma" w:cs="Tahoma"/>
          <w:spacing w:val="3"/>
          <w:sz w:val="20"/>
          <w:szCs w:val="20"/>
        </w:rPr>
        <w:t>publics</w:t>
      </w:r>
      <w:r w:rsidR="00DB1635" w:rsidRPr="00B004EE">
        <w:rPr>
          <w:rFonts w:ascii="Tahoma" w:hAnsi="Tahoma" w:cs="Tahoma"/>
          <w:spacing w:val="3"/>
          <w:sz w:val="20"/>
          <w:szCs w:val="20"/>
        </w:rPr>
        <w:t xml:space="preserve"> </w:t>
      </w:r>
      <w:r w:rsidR="008518B0" w:rsidRPr="00B004EE">
        <w:rPr>
          <w:rFonts w:ascii="Tahoma" w:hAnsi="Tahoma" w:cs="Tahoma"/>
          <w:sz w:val="20"/>
          <w:szCs w:val="20"/>
        </w:rPr>
        <w:t>et</w:t>
      </w:r>
      <w:r w:rsidR="00DB1635" w:rsidRPr="00B004EE">
        <w:rPr>
          <w:rFonts w:ascii="Tahoma" w:hAnsi="Tahoma" w:cs="Tahoma"/>
          <w:sz w:val="20"/>
          <w:szCs w:val="20"/>
        </w:rPr>
        <w:t xml:space="preserve"> </w:t>
      </w:r>
      <w:r w:rsidR="008518B0" w:rsidRPr="00B004EE">
        <w:rPr>
          <w:rFonts w:ascii="Tahoma" w:hAnsi="Tahoma" w:cs="Tahoma"/>
          <w:spacing w:val="3"/>
          <w:sz w:val="20"/>
          <w:szCs w:val="20"/>
        </w:rPr>
        <w:t>régissant</w:t>
      </w:r>
      <w:r w:rsidR="00DB1635" w:rsidRPr="00B004EE">
        <w:rPr>
          <w:rFonts w:ascii="Tahoma" w:hAnsi="Tahoma" w:cs="Tahoma"/>
          <w:spacing w:val="3"/>
          <w:sz w:val="20"/>
          <w:szCs w:val="20"/>
        </w:rPr>
        <w:t xml:space="preserve"> </w:t>
      </w:r>
      <w:r w:rsidR="008518B0" w:rsidRPr="00B004EE">
        <w:rPr>
          <w:rFonts w:ascii="Tahoma" w:hAnsi="Tahoma" w:cs="Tahoma"/>
          <w:sz w:val="20"/>
          <w:szCs w:val="20"/>
        </w:rPr>
        <w:t>les</w:t>
      </w:r>
      <w:r w:rsidR="00DB1635" w:rsidRPr="00B004EE">
        <w:rPr>
          <w:rFonts w:ascii="Tahoma" w:hAnsi="Tahoma" w:cs="Tahoma"/>
          <w:sz w:val="20"/>
          <w:szCs w:val="20"/>
        </w:rPr>
        <w:t xml:space="preserve"> </w:t>
      </w:r>
      <w:r w:rsidR="008518B0" w:rsidRPr="00B004EE">
        <w:rPr>
          <w:rFonts w:ascii="Tahoma" w:hAnsi="Tahoma" w:cs="Tahoma"/>
          <w:spacing w:val="3"/>
          <w:sz w:val="20"/>
          <w:szCs w:val="20"/>
        </w:rPr>
        <w:t>relations</w:t>
      </w:r>
      <w:r w:rsidR="00DB1635" w:rsidRPr="00B004EE">
        <w:rPr>
          <w:rFonts w:ascii="Tahoma" w:hAnsi="Tahoma" w:cs="Tahoma"/>
          <w:spacing w:val="3"/>
          <w:sz w:val="20"/>
          <w:szCs w:val="20"/>
        </w:rPr>
        <w:t xml:space="preserve"> </w:t>
      </w:r>
      <w:r w:rsidR="008518B0" w:rsidRPr="00B004EE">
        <w:rPr>
          <w:rFonts w:ascii="Tahoma" w:hAnsi="Tahoma" w:cs="Tahoma"/>
          <w:sz w:val="20"/>
          <w:szCs w:val="20"/>
        </w:rPr>
        <w:t>de</w:t>
      </w:r>
      <w:r w:rsidR="00DB1635" w:rsidRPr="00B004EE">
        <w:rPr>
          <w:rFonts w:ascii="Tahoma" w:hAnsi="Tahoma" w:cs="Tahoma"/>
          <w:sz w:val="20"/>
          <w:szCs w:val="20"/>
        </w:rPr>
        <w:t xml:space="preserve"> </w:t>
      </w:r>
      <w:r w:rsidR="008518B0" w:rsidRPr="00B004EE">
        <w:rPr>
          <w:rFonts w:ascii="Tahoma" w:hAnsi="Tahoma" w:cs="Tahoma"/>
          <w:sz w:val="20"/>
          <w:szCs w:val="20"/>
        </w:rPr>
        <w:t>ces</w:t>
      </w:r>
      <w:r w:rsidR="00DB1635" w:rsidRPr="00B004EE">
        <w:rPr>
          <w:rFonts w:ascii="Tahoma" w:hAnsi="Tahoma" w:cs="Tahoma"/>
          <w:sz w:val="20"/>
          <w:szCs w:val="20"/>
        </w:rPr>
        <w:t xml:space="preserve"> </w:t>
      </w:r>
      <w:r w:rsidR="008518B0" w:rsidRPr="00B004EE">
        <w:rPr>
          <w:rFonts w:ascii="Tahoma" w:hAnsi="Tahoma" w:cs="Tahoma"/>
          <w:sz w:val="20"/>
          <w:szCs w:val="20"/>
        </w:rPr>
        <w:lastRenderedPageBreak/>
        <w:t>entités</w:t>
      </w:r>
      <w:r w:rsidR="00DB1635" w:rsidRPr="00B004EE">
        <w:rPr>
          <w:rFonts w:ascii="Tahoma" w:hAnsi="Tahoma" w:cs="Tahoma"/>
          <w:sz w:val="20"/>
          <w:szCs w:val="20"/>
        </w:rPr>
        <w:t xml:space="preserve"> </w:t>
      </w:r>
      <w:r w:rsidR="008518B0" w:rsidRPr="00B004EE">
        <w:rPr>
          <w:rFonts w:ascii="Tahoma" w:hAnsi="Tahoma" w:cs="Tahoma"/>
          <w:sz w:val="20"/>
          <w:szCs w:val="20"/>
        </w:rPr>
        <w:t>avec</w:t>
      </w:r>
      <w:r w:rsidR="00DB1635" w:rsidRPr="00B004EE">
        <w:rPr>
          <w:rFonts w:ascii="Tahoma" w:hAnsi="Tahoma" w:cs="Tahoma"/>
          <w:sz w:val="20"/>
          <w:szCs w:val="20"/>
        </w:rPr>
        <w:t xml:space="preserve"> </w:t>
      </w:r>
      <w:r w:rsidR="008518B0" w:rsidRPr="00B004EE">
        <w:rPr>
          <w:rFonts w:ascii="Tahoma" w:hAnsi="Tahoma" w:cs="Tahoma"/>
          <w:sz w:val="20"/>
          <w:szCs w:val="20"/>
        </w:rPr>
        <w:t>l'Etat.</w:t>
      </w:r>
      <w:r w:rsidR="00DB1635" w:rsidRPr="00B004EE">
        <w:rPr>
          <w:rFonts w:ascii="Tahoma" w:hAnsi="Tahoma" w:cs="Tahoma"/>
          <w:sz w:val="20"/>
          <w:szCs w:val="20"/>
        </w:rPr>
        <w:t xml:space="preserve"> </w:t>
      </w:r>
      <w:r w:rsidR="008518B0" w:rsidRPr="00B004EE">
        <w:rPr>
          <w:rFonts w:ascii="Tahoma" w:hAnsi="Tahoma" w:cs="Tahoma"/>
          <w:sz w:val="20"/>
          <w:szCs w:val="20"/>
        </w:rPr>
        <w:t>Dans</w:t>
      </w:r>
      <w:r w:rsidR="00DB1635" w:rsidRPr="00B004EE">
        <w:rPr>
          <w:rFonts w:ascii="Tahoma" w:hAnsi="Tahoma" w:cs="Tahoma"/>
          <w:sz w:val="20"/>
          <w:szCs w:val="20"/>
        </w:rPr>
        <w:t xml:space="preserve"> </w:t>
      </w:r>
      <w:r w:rsidR="008518B0" w:rsidRPr="00B004EE">
        <w:rPr>
          <w:rFonts w:ascii="Tahoma" w:hAnsi="Tahoma" w:cs="Tahoma"/>
          <w:sz w:val="20"/>
          <w:szCs w:val="20"/>
        </w:rPr>
        <w:t>ce</w:t>
      </w:r>
      <w:r w:rsidR="00DB1635" w:rsidRPr="00B004EE">
        <w:rPr>
          <w:rFonts w:ascii="Tahoma" w:hAnsi="Tahoma" w:cs="Tahoma"/>
          <w:sz w:val="20"/>
          <w:szCs w:val="20"/>
        </w:rPr>
        <w:t xml:space="preserve"> </w:t>
      </w:r>
      <w:r w:rsidR="008518B0" w:rsidRPr="00B004EE">
        <w:rPr>
          <w:rFonts w:ascii="Tahoma" w:hAnsi="Tahoma" w:cs="Tahoma"/>
          <w:sz w:val="20"/>
          <w:szCs w:val="20"/>
        </w:rPr>
        <w:t>cadre,</w:t>
      </w:r>
      <w:r w:rsidR="00DB1635" w:rsidRPr="00B004EE">
        <w:rPr>
          <w:rFonts w:ascii="Tahoma" w:hAnsi="Tahoma" w:cs="Tahoma"/>
          <w:sz w:val="20"/>
          <w:szCs w:val="20"/>
        </w:rPr>
        <w:t xml:space="preserve"> </w:t>
      </w:r>
      <w:r w:rsidR="008518B0" w:rsidRPr="00B004EE">
        <w:rPr>
          <w:rFonts w:ascii="Tahoma" w:hAnsi="Tahoma" w:cs="Tahoma"/>
          <w:sz w:val="20"/>
          <w:szCs w:val="20"/>
        </w:rPr>
        <w:t>le</w:t>
      </w:r>
      <w:r w:rsidR="00DB1635" w:rsidRPr="00B004EE">
        <w:rPr>
          <w:rFonts w:ascii="Tahoma" w:hAnsi="Tahoma" w:cs="Tahoma"/>
          <w:spacing w:val="23"/>
          <w:sz w:val="20"/>
          <w:szCs w:val="20"/>
        </w:rPr>
        <w:t xml:space="preserve"> </w:t>
      </w:r>
      <w:r w:rsidR="008518B0" w:rsidRPr="00B004EE">
        <w:rPr>
          <w:rFonts w:ascii="Tahoma" w:hAnsi="Tahoma" w:cs="Tahoma"/>
          <w:sz w:val="20"/>
          <w:szCs w:val="20"/>
        </w:rPr>
        <w:t>Conseil</w:t>
      </w:r>
      <w:r w:rsidR="00DB1635" w:rsidRPr="00B004EE">
        <w:rPr>
          <w:rFonts w:ascii="Tahoma" w:hAnsi="Tahoma" w:cs="Tahoma"/>
          <w:w w:val="99"/>
          <w:sz w:val="20"/>
          <w:szCs w:val="20"/>
        </w:rPr>
        <w:t xml:space="preserve"> </w:t>
      </w:r>
      <w:r w:rsidR="008518B0" w:rsidRPr="00B004EE">
        <w:rPr>
          <w:rFonts w:ascii="Tahoma" w:hAnsi="Tahoma" w:cs="Tahoma"/>
          <w:sz w:val="20"/>
          <w:szCs w:val="20"/>
        </w:rPr>
        <w:t>d'Administration</w:t>
      </w:r>
      <w:r w:rsidR="00DB1635" w:rsidRPr="00B004EE">
        <w:rPr>
          <w:rFonts w:ascii="Tahoma" w:hAnsi="Tahoma" w:cs="Tahoma"/>
          <w:spacing w:val="37"/>
          <w:sz w:val="20"/>
          <w:szCs w:val="20"/>
        </w:rPr>
        <w:t xml:space="preserve"> </w:t>
      </w:r>
      <w:r w:rsidR="008518B0" w:rsidRPr="00B004EE">
        <w:rPr>
          <w:rFonts w:ascii="Tahoma" w:hAnsi="Tahoma" w:cs="Tahoma"/>
          <w:sz w:val="20"/>
          <w:szCs w:val="20"/>
        </w:rPr>
        <w:t>assure,</w:t>
      </w:r>
      <w:r w:rsidR="00DB1635" w:rsidRPr="00B004EE">
        <w:rPr>
          <w:rFonts w:ascii="Tahoma" w:hAnsi="Tahoma" w:cs="Tahoma"/>
          <w:spacing w:val="39"/>
          <w:sz w:val="20"/>
          <w:szCs w:val="20"/>
        </w:rPr>
        <w:t xml:space="preserve"> </w:t>
      </w:r>
      <w:r w:rsidR="008518B0" w:rsidRPr="00B004EE">
        <w:rPr>
          <w:rFonts w:ascii="Tahoma" w:hAnsi="Tahoma" w:cs="Tahoma"/>
          <w:sz w:val="20"/>
          <w:szCs w:val="20"/>
        </w:rPr>
        <w:t>de</w:t>
      </w:r>
      <w:r w:rsidR="00DB1635" w:rsidRPr="00B004EE">
        <w:rPr>
          <w:rFonts w:ascii="Tahoma" w:hAnsi="Tahoma" w:cs="Tahoma"/>
          <w:spacing w:val="36"/>
          <w:sz w:val="20"/>
          <w:szCs w:val="20"/>
        </w:rPr>
        <w:t xml:space="preserve"> </w:t>
      </w:r>
      <w:r w:rsidR="008518B0" w:rsidRPr="00B004EE">
        <w:rPr>
          <w:rFonts w:ascii="Tahoma" w:hAnsi="Tahoma" w:cs="Tahoma"/>
          <w:sz w:val="20"/>
          <w:szCs w:val="20"/>
        </w:rPr>
        <w:t>façon</w:t>
      </w:r>
      <w:r w:rsidR="00DB1635" w:rsidRPr="00B004EE">
        <w:rPr>
          <w:rFonts w:ascii="Tahoma" w:hAnsi="Tahoma" w:cs="Tahoma"/>
          <w:spacing w:val="39"/>
          <w:sz w:val="20"/>
          <w:szCs w:val="20"/>
        </w:rPr>
        <w:t xml:space="preserve"> </w:t>
      </w:r>
      <w:r w:rsidR="008518B0" w:rsidRPr="00B004EE">
        <w:rPr>
          <w:rFonts w:ascii="Tahoma" w:hAnsi="Tahoma" w:cs="Tahoma"/>
          <w:sz w:val="20"/>
          <w:szCs w:val="20"/>
        </w:rPr>
        <w:t>générale,</w:t>
      </w:r>
      <w:r w:rsidR="00DB1635" w:rsidRPr="00B004EE">
        <w:rPr>
          <w:rFonts w:ascii="Tahoma" w:hAnsi="Tahoma" w:cs="Tahoma"/>
          <w:spacing w:val="37"/>
          <w:sz w:val="20"/>
          <w:szCs w:val="20"/>
        </w:rPr>
        <w:t xml:space="preserve"> </w:t>
      </w:r>
      <w:r w:rsidR="008518B0" w:rsidRPr="00B004EE">
        <w:rPr>
          <w:rFonts w:ascii="Tahoma" w:hAnsi="Tahoma" w:cs="Tahoma"/>
          <w:sz w:val="20"/>
          <w:szCs w:val="20"/>
        </w:rPr>
        <w:t>le</w:t>
      </w:r>
      <w:r w:rsidR="00DB1635" w:rsidRPr="00B004EE">
        <w:rPr>
          <w:rFonts w:ascii="Tahoma" w:hAnsi="Tahoma" w:cs="Tahoma"/>
          <w:spacing w:val="36"/>
          <w:sz w:val="20"/>
          <w:szCs w:val="20"/>
        </w:rPr>
        <w:t xml:space="preserve"> </w:t>
      </w:r>
      <w:r w:rsidR="008518B0" w:rsidRPr="00B004EE">
        <w:rPr>
          <w:rFonts w:ascii="Tahoma" w:hAnsi="Tahoma" w:cs="Tahoma"/>
          <w:sz w:val="20"/>
          <w:szCs w:val="20"/>
        </w:rPr>
        <w:t>contrôle</w:t>
      </w:r>
      <w:r w:rsidR="00DB1635" w:rsidRPr="00B004EE">
        <w:rPr>
          <w:rFonts w:ascii="Tahoma" w:hAnsi="Tahoma" w:cs="Tahoma"/>
          <w:spacing w:val="36"/>
          <w:sz w:val="20"/>
          <w:szCs w:val="20"/>
        </w:rPr>
        <w:t xml:space="preserve"> </w:t>
      </w:r>
      <w:r w:rsidR="008518B0" w:rsidRPr="00B004EE">
        <w:rPr>
          <w:rFonts w:ascii="Tahoma" w:hAnsi="Tahoma" w:cs="Tahoma"/>
          <w:sz w:val="20"/>
          <w:szCs w:val="20"/>
        </w:rPr>
        <w:t>de</w:t>
      </w:r>
      <w:r w:rsidR="00DB1635" w:rsidRPr="00B004EE">
        <w:rPr>
          <w:rFonts w:ascii="Tahoma" w:hAnsi="Tahoma" w:cs="Tahoma"/>
          <w:spacing w:val="36"/>
          <w:sz w:val="20"/>
          <w:szCs w:val="20"/>
        </w:rPr>
        <w:t xml:space="preserve"> </w:t>
      </w:r>
      <w:r w:rsidR="008518B0" w:rsidRPr="00B004EE">
        <w:rPr>
          <w:rFonts w:ascii="Tahoma" w:hAnsi="Tahoma" w:cs="Tahoma"/>
          <w:sz w:val="20"/>
          <w:szCs w:val="20"/>
        </w:rPr>
        <w:t>la</w:t>
      </w:r>
      <w:r w:rsidR="00DB1635" w:rsidRPr="00B004EE">
        <w:rPr>
          <w:rFonts w:ascii="Tahoma" w:hAnsi="Tahoma" w:cs="Tahoma"/>
          <w:spacing w:val="38"/>
          <w:sz w:val="20"/>
          <w:szCs w:val="20"/>
        </w:rPr>
        <w:t xml:space="preserve"> </w:t>
      </w:r>
      <w:r w:rsidR="008518B0" w:rsidRPr="00B004EE">
        <w:rPr>
          <w:rFonts w:ascii="Tahoma" w:hAnsi="Tahoma" w:cs="Tahoma"/>
          <w:sz w:val="20"/>
          <w:szCs w:val="20"/>
        </w:rPr>
        <w:t>gestion</w:t>
      </w:r>
      <w:r w:rsidR="00DB1635" w:rsidRPr="00B004EE">
        <w:rPr>
          <w:rFonts w:ascii="Tahoma" w:hAnsi="Tahoma" w:cs="Tahoma"/>
          <w:spacing w:val="41"/>
          <w:sz w:val="20"/>
          <w:szCs w:val="20"/>
        </w:rPr>
        <w:t xml:space="preserve"> </w:t>
      </w:r>
      <w:r w:rsidR="008518B0" w:rsidRPr="00B004EE">
        <w:rPr>
          <w:rFonts w:ascii="Tahoma" w:hAnsi="Tahoma" w:cs="Tahoma"/>
          <w:sz w:val="20"/>
          <w:szCs w:val="20"/>
        </w:rPr>
        <w:t>de</w:t>
      </w:r>
      <w:r w:rsidR="00DB1635" w:rsidRPr="00B004EE">
        <w:rPr>
          <w:rFonts w:ascii="Tahoma" w:hAnsi="Tahoma" w:cs="Tahoma"/>
          <w:spacing w:val="40"/>
          <w:sz w:val="20"/>
          <w:szCs w:val="20"/>
        </w:rPr>
        <w:t xml:space="preserve"> </w:t>
      </w:r>
      <w:r w:rsidR="008518B0" w:rsidRPr="00B004EE">
        <w:rPr>
          <w:rFonts w:ascii="Tahoma" w:hAnsi="Tahoma" w:cs="Tahoma"/>
          <w:sz w:val="20"/>
          <w:szCs w:val="20"/>
        </w:rPr>
        <w:t>l'Office</w:t>
      </w:r>
      <w:r w:rsidR="00DB1635" w:rsidRPr="00B004EE">
        <w:rPr>
          <w:rFonts w:ascii="Tahoma" w:hAnsi="Tahoma" w:cs="Tahoma"/>
          <w:spacing w:val="40"/>
          <w:sz w:val="20"/>
          <w:szCs w:val="20"/>
        </w:rPr>
        <w:t xml:space="preserve"> </w:t>
      </w:r>
      <w:r w:rsidR="008518B0" w:rsidRPr="00B004EE">
        <w:rPr>
          <w:rFonts w:ascii="Tahoma" w:hAnsi="Tahoma" w:cs="Tahoma"/>
          <w:sz w:val="20"/>
          <w:szCs w:val="20"/>
        </w:rPr>
        <w:t>et</w:t>
      </w:r>
      <w:r w:rsidR="00DB1635" w:rsidRPr="00B004EE">
        <w:rPr>
          <w:rFonts w:ascii="Tahoma" w:hAnsi="Tahoma" w:cs="Tahoma"/>
          <w:spacing w:val="42"/>
          <w:sz w:val="20"/>
          <w:szCs w:val="20"/>
        </w:rPr>
        <w:t xml:space="preserve"> </w:t>
      </w:r>
      <w:r w:rsidR="008518B0" w:rsidRPr="00B004EE">
        <w:rPr>
          <w:rFonts w:ascii="Tahoma" w:hAnsi="Tahoma" w:cs="Tahoma"/>
          <w:sz w:val="20"/>
          <w:szCs w:val="20"/>
        </w:rPr>
        <w:t>délibère</w:t>
      </w:r>
      <w:r w:rsidR="00DB1635" w:rsidRPr="00B004EE">
        <w:rPr>
          <w:rFonts w:ascii="Tahoma" w:hAnsi="Tahoma" w:cs="Tahoma"/>
          <w:w w:val="99"/>
          <w:sz w:val="20"/>
          <w:szCs w:val="20"/>
        </w:rPr>
        <w:t xml:space="preserve"> </w:t>
      </w:r>
      <w:r w:rsidR="008518B0" w:rsidRPr="00B004EE">
        <w:rPr>
          <w:rFonts w:ascii="Tahoma" w:hAnsi="Tahoma" w:cs="Tahoma"/>
          <w:sz w:val="20"/>
          <w:szCs w:val="20"/>
        </w:rPr>
        <w:t>notamment</w:t>
      </w:r>
      <w:r w:rsidR="00DB1635" w:rsidRPr="00B004EE">
        <w:rPr>
          <w:rFonts w:ascii="Tahoma" w:hAnsi="Tahoma" w:cs="Tahoma"/>
          <w:sz w:val="20"/>
          <w:szCs w:val="20"/>
        </w:rPr>
        <w:t xml:space="preserve"> </w:t>
      </w:r>
      <w:r w:rsidR="008518B0" w:rsidRPr="00B004EE">
        <w:rPr>
          <w:rFonts w:ascii="Tahoma" w:hAnsi="Tahoma" w:cs="Tahoma"/>
          <w:spacing w:val="-4"/>
          <w:sz w:val="20"/>
          <w:szCs w:val="20"/>
        </w:rPr>
        <w:t>sur</w:t>
      </w:r>
      <w:r w:rsidR="00DB1635" w:rsidRPr="00B004EE">
        <w:rPr>
          <w:rFonts w:ascii="Tahoma" w:hAnsi="Tahoma" w:cs="Tahoma"/>
          <w:spacing w:val="9"/>
          <w:sz w:val="20"/>
          <w:szCs w:val="20"/>
        </w:rPr>
        <w:t xml:space="preserve"> </w:t>
      </w:r>
      <w:r w:rsidR="008518B0" w:rsidRPr="00B004EE">
        <w:rPr>
          <w:rFonts w:ascii="Tahoma" w:hAnsi="Tahoma" w:cs="Tahoma"/>
          <w:sz w:val="20"/>
          <w:szCs w:val="20"/>
        </w:rPr>
        <w:t>:</w:t>
      </w:r>
    </w:p>
    <w:p w14:paraId="482D60D7" w14:textId="77777777" w:rsidR="00FF661D" w:rsidRPr="00B004EE" w:rsidRDefault="00FF661D" w:rsidP="00B004EE">
      <w:pPr>
        <w:pStyle w:val="Corpsdetexte"/>
        <w:ind w:left="155" w:right="188"/>
        <w:rPr>
          <w:rFonts w:ascii="Tahoma" w:hAnsi="Tahoma" w:cs="Tahoma"/>
          <w:sz w:val="20"/>
          <w:szCs w:val="20"/>
        </w:rPr>
      </w:pPr>
    </w:p>
    <w:p w14:paraId="1BF002F7" w14:textId="585F8AE3" w:rsidR="008518B0" w:rsidRPr="00B004EE" w:rsidRDefault="008518B0" w:rsidP="00420DDA">
      <w:pPr>
        <w:pStyle w:val="Paragraphedeliste"/>
        <w:widowControl w:val="0"/>
        <w:numPr>
          <w:ilvl w:val="0"/>
          <w:numId w:val="151"/>
        </w:numPr>
        <w:tabs>
          <w:tab w:val="left" w:pos="876"/>
        </w:tabs>
        <w:ind w:right="194"/>
        <w:rPr>
          <w:rFonts w:ascii="Tahoma" w:hAnsi="Tahoma" w:cs="Tahoma"/>
          <w:sz w:val="20"/>
          <w:szCs w:val="20"/>
        </w:rPr>
      </w:pP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plan</w:t>
      </w:r>
      <w:r w:rsidR="00DB1635" w:rsidRPr="00B004EE">
        <w:rPr>
          <w:rFonts w:ascii="Tahoma" w:hAnsi="Tahoma" w:cs="Tahoma"/>
          <w:sz w:val="20"/>
          <w:szCs w:val="20"/>
        </w:rPr>
        <w:t xml:space="preserve"> </w:t>
      </w:r>
      <w:r w:rsidRPr="00B004EE">
        <w:rPr>
          <w:rFonts w:ascii="Tahoma" w:hAnsi="Tahoma" w:cs="Tahoma"/>
          <w:sz w:val="20"/>
          <w:szCs w:val="20"/>
        </w:rPr>
        <w:t>d'action,</w:t>
      </w:r>
      <w:r w:rsidR="00DB1635" w:rsidRPr="00B004EE">
        <w:rPr>
          <w:rFonts w:ascii="Tahoma" w:hAnsi="Tahoma" w:cs="Tahoma"/>
          <w:sz w:val="20"/>
          <w:szCs w:val="20"/>
        </w:rPr>
        <w:t xml:space="preserve"> </w:t>
      </w:r>
      <w:r w:rsidRPr="00B004EE">
        <w:rPr>
          <w:rFonts w:ascii="Tahoma" w:hAnsi="Tahoma" w:cs="Tahoma"/>
          <w:sz w:val="20"/>
          <w:szCs w:val="20"/>
        </w:rPr>
        <w:t>annuel</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003A697D" w:rsidRPr="00B004EE">
        <w:rPr>
          <w:rFonts w:ascii="Tahoma" w:hAnsi="Tahoma" w:cs="Tahoma"/>
          <w:sz w:val="20"/>
          <w:szCs w:val="20"/>
        </w:rPr>
        <w:t>pluriannuel ;</w:t>
      </w:r>
    </w:p>
    <w:p w14:paraId="61AE824A" w14:textId="70C0860E" w:rsidR="008518B0" w:rsidRPr="00B004EE" w:rsidRDefault="008518B0" w:rsidP="00420DDA">
      <w:pPr>
        <w:pStyle w:val="Paragraphedeliste"/>
        <w:widowControl w:val="0"/>
        <w:numPr>
          <w:ilvl w:val="0"/>
          <w:numId w:val="151"/>
        </w:numPr>
        <w:tabs>
          <w:tab w:val="left" w:pos="876"/>
        </w:tabs>
        <w:ind w:right="194"/>
        <w:rPr>
          <w:rFonts w:ascii="Tahoma" w:hAnsi="Tahoma" w:cs="Tahoma"/>
          <w:sz w:val="20"/>
          <w:szCs w:val="20"/>
        </w:rPr>
      </w:pP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budget</w:t>
      </w:r>
      <w:r w:rsidR="00DB1635" w:rsidRPr="00B004EE">
        <w:rPr>
          <w:rFonts w:ascii="Tahoma" w:hAnsi="Tahoma" w:cs="Tahoma"/>
          <w:sz w:val="20"/>
          <w:szCs w:val="20"/>
        </w:rPr>
        <w:t xml:space="preserve"> </w:t>
      </w:r>
      <w:r w:rsidRPr="00B004EE">
        <w:rPr>
          <w:rFonts w:ascii="Tahoma" w:hAnsi="Tahoma" w:cs="Tahoma"/>
          <w:sz w:val="20"/>
          <w:szCs w:val="20"/>
        </w:rPr>
        <w:t>prévisionnel</w:t>
      </w:r>
      <w:r w:rsidR="00DB1635" w:rsidRPr="00B004EE">
        <w:rPr>
          <w:rFonts w:ascii="Tahoma" w:hAnsi="Tahoma" w:cs="Tahoma"/>
          <w:sz w:val="20"/>
          <w:szCs w:val="20"/>
        </w:rPr>
        <w:t xml:space="preserve"> </w:t>
      </w:r>
      <w:r w:rsidR="003A697D" w:rsidRPr="00B004EE">
        <w:rPr>
          <w:rFonts w:ascii="Tahoma" w:hAnsi="Tahoma" w:cs="Tahoma"/>
          <w:sz w:val="20"/>
          <w:szCs w:val="20"/>
        </w:rPr>
        <w:t>annuel ;</w:t>
      </w:r>
    </w:p>
    <w:p w14:paraId="7EC93270" w14:textId="6D3C0144" w:rsidR="008518B0" w:rsidRPr="00B004EE" w:rsidRDefault="008518B0" w:rsidP="00420DDA">
      <w:pPr>
        <w:pStyle w:val="Paragraphedeliste"/>
        <w:widowControl w:val="0"/>
        <w:numPr>
          <w:ilvl w:val="0"/>
          <w:numId w:val="151"/>
        </w:numPr>
        <w:tabs>
          <w:tab w:val="left" w:pos="876"/>
        </w:tabs>
        <w:ind w:right="194"/>
        <w:rPr>
          <w:rFonts w:ascii="Tahoma" w:hAnsi="Tahoma" w:cs="Tahoma"/>
          <w:sz w:val="20"/>
          <w:szCs w:val="20"/>
        </w:rPr>
      </w:pP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rapport</w:t>
      </w:r>
      <w:r w:rsidR="00DB1635" w:rsidRPr="00B004EE">
        <w:rPr>
          <w:rFonts w:ascii="Tahoma" w:hAnsi="Tahoma" w:cs="Tahoma"/>
          <w:sz w:val="20"/>
          <w:szCs w:val="20"/>
        </w:rPr>
        <w:t xml:space="preserve"> </w:t>
      </w:r>
      <w:r w:rsidRPr="00B004EE">
        <w:rPr>
          <w:rFonts w:ascii="Tahoma" w:hAnsi="Tahoma" w:cs="Tahoma"/>
          <w:sz w:val="20"/>
          <w:szCs w:val="20"/>
        </w:rPr>
        <w:t>annuel</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commissaire</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003A697D" w:rsidRPr="00B004EE">
        <w:rPr>
          <w:rFonts w:ascii="Tahoma" w:hAnsi="Tahoma" w:cs="Tahoma"/>
          <w:sz w:val="20"/>
          <w:szCs w:val="20"/>
        </w:rPr>
        <w:t>comptes ;</w:t>
      </w:r>
    </w:p>
    <w:p w14:paraId="07A0DF90" w14:textId="676D0C91" w:rsidR="008518B0" w:rsidRPr="00B004EE" w:rsidRDefault="008518B0" w:rsidP="00420DDA">
      <w:pPr>
        <w:pStyle w:val="Paragraphedeliste"/>
        <w:widowControl w:val="0"/>
        <w:numPr>
          <w:ilvl w:val="0"/>
          <w:numId w:val="151"/>
        </w:numPr>
        <w:tabs>
          <w:tab w:val="left" w:pos="876"/>
        </w:tabs>
        <w:ind w:right="194"/>
        <w:rPr>
          <w:rFonts w:ascii="Tahoma" w:hAnsi="Tahoma" w:cs="Tahoma"/>
          <w:sz w:val="20"/>
          <w:szCs w:val="20"/>
        </w:rPr>
      </w:pPr>
      <w:r w:rsidRPr="00B004EE">
        <w:rPr>
          <w:rFonts w:ascii="Tahoma" w:hAnsi="Tahoma" w:cs="Tahoma"/>
          <w:sz w:val="20"/>
          <w:szCs w:val="20"/>
        </w:rPr>
        <w:t>L'organigramme,</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statut</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personnel,</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règlement</w:t>
      </w:r>
      <w:r w:rsidR="00DB1635" w:rsidRPr="00B004EE">
        <w:rPr>
          <w:rFonts w:ascii="Tahoma" w:hAnsi="Tahoma" w:cs="Tahoma"/>
          <w:sz w:val="20"/>
          <w:szCs w:val="20"/>
        </w:rPr>
        <w:t xml:space="preserve"> </w:t>
      </w:r>
      <w:r w:rsidRPr="00B004EE">
        <w:rPr>
          <w:rFonts w:ascii="Tahoma" w:hAnsi="Tahoma" w:cs="Tahoma"/>
          <w:sz w:val="20"/>
          <w:szCs w:val="20"/>
        </w:rPr>
        <w:t>intérieur,</w:t>
      </w:r>
      <w:r w:rsidR="00DB1635" w:rsidRPr="00B004EE">
        <w:rPr>
          <w:rFonts w:ascii="Tahoma" w:hAnsi="Tahoma" w:cs="Tahoma"/>
          <w:sz w:val="20"/>
          <w:szCs w:val="20"/>
        </w:rPr>
        <w:t xml:space="preserve"> </w:t>
      </w:r>
      <w:r w:rsidRPr="00B004EE">
        <w:rPr>
          <w:rFonts w:ascii="Tahoma" w:hAnsi="Tahoma" w:cs="Tahoma"/>
          <w:sz w:val="20"/>
          <w:szCs w:val="20"/>
        </w:rPr>
        <w:t>l'échelle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rémunération</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manuel</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procédures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l’ONISPA</w:t>
      </w:r>
      <w:r w:rsidR="00DB1635" w:rsidRPr="00B004EE">
        <w:rPr>
          <w:rFonts w:ascii="Tahoma" w:hAnsi="Tahoma" w:cs="Tahoma"/>
          <w:sz w:val="20"/>
          <w:szCs w:val="20"/>
        </w:rPr>
        <w:t xml:space="preserve"> </w:t>
      </w:r>
      <w:r w:rsidRPr="00B004EE">
        <w:rPr>
          <w:rFonts w:ascii="Tahoma" w:hAnsi="Tahoma" w:cs="Tahoma"/>
          <w:sz w:val="20"/>
          <w:szCs w:val="20"/>
        </w:rPr>
        <w:t>;</w:t>
      </w:r>
    </w:p>
    <w:p w14:paraId="41AD47F1" w14:textId="18B19E8C" w:rsidR="008518B0" w:rsidRPr="00B004EE" w:rsidRDefault="008518B0" w:rsidP="00420DDA">
      <w:pPr>
        <w:pStyle w:val="Paragraphedeliste"/>
        <w:widowControl w:val="0"/>
        <w:numPr>
          <w:ilvl w:val="0"/>
          <w:numId w:val="151"/>
        </w:numPr>
        <w:tabs>
          <w:tab w:val="left" w:pos="876"/>
        </w:tabs>
        <w:ind w:right="194"/>
        <w:rPr>
          <w:rFonts w:ascii="Tahoma" w:hAnsi="Tahoma" w:cs="Tahoma"/>
          <w:sz w:val="20"/>
          <w:szCs w:val="20"/>
        </w:rPr>
      </w:pP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composition</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commission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003A697D" w:rsidRPr="00B004EE">
        <w:rPr>
          <w:rFonts w:ascii="Tahoma" w:hAnsi="Tahoma" w:cs="Tahoma"/>
          <w:sz w:val="20"/>
          <w:szCs w:val="20"/>
        </w:rPr>
        <w:t>marchés ;</w:t>
      </w:r>
    </w:p>
    <w:p w14:paraId="2FADBDF8" w14:textId="5F07461C" w:rsidR="008518B0" w:rsidRPr="00B004EE" w:rsidRDefault="008518B0" w:rsidP="00420DDA">
      <w:pPr>
        <w:pStyle w:val="Paragraphedeliste"/>
        <w:widowControl w:val="0"/>
        <w:numPr>
          <w:ilvl w:val="0"/>
          <w:numId w:val="151"/>
        </w:numPr>
        <w:tabs>
          <w:tab w:val="left" w:pos="876"/>
        </w:tabs>
        <w:ind w:right="194"/>
        <w:rPr>
          <w:rFonts w:ascii="Tahoma" w:hAnsi="Tahoma" w:cs="Tahoma"/>
          <w:sz w:val="20"/>
          <w:szCs w:val="20"/>
        </w:rPr>
      </w:pP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nomination</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postes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responsabilité</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révocation</w:t>
      </w:r>
      <w:r w:rsidR="00DB1635" w:rsidRPr="00B004EE">
        <w:rPr>
          <w:rFonts w:ascii="Tahoma" w:hAnsi="Tahoma" w:cs="Tahoma"/>
          <w:sz w:val="20"/>
          <w:szCs w:val="20"/>
        </w:rPr>
        <w:t xml:space="preserve"> </w:t>
      </w:r>
      <w:r w:rsidRPr="00B004EE">
        <w:rPr>
          <w:rFonts w:ascii="Tahoma" w:hAnsi="Tahoma" w:cs="Tahoma"/>
          <w:sz w:val="20"/>
          <w:szCs w:val="20"/>
        </w:rPr>
        <w:t>desdits</w:t>
      </w:r>
      <w:r w:rsidR="00DB1635" w:rsidRPr="00B004EE">
        <w:rPr>
          <w:rFonts w:ascii="Tahoma" w:hAnsi="Tahoma" w:cs="Tahoma"/>
          <w:sz w:val="20"/>
          <w:szCs w:val="20"/>
        </w:rPr>
        <w:t xml:space="preserve"> </w:t>
      </w:r>
      <w:r w:rsidRPr="00B004EE">
        <w:rPr>
          <w:rFonts w:ascii="Tahoma" w:hAnsi="Tahoma" w:cs="Tahoma"/>
          <w:sz w:val="20"/>
          <w:szCs w:val="20"/>
        </w:rPr>
        <w:t>postes</w:t>
      </w:r>
      <w:r w:rsidR="00DB1635" w:rsidRPr="00B004EE">
        <w:rPr>
          <w:rFonts w:ascii="Tahoma" w:hAnsi="Tahoma" w:cs="Tahoma"/>
          <w:sz w:val="20"/>
          <w:szCs w:val="20"/>
        </w:rPr>
        <w:t xml:space="preserve"> </w:t>
      </w:r>
      <w:r w:rsidRPr="00B004EE">
        <w:rPr>
          <w:rFonts w:ascii="Tahoma" w:hAnsi="Tahoma" w:cs="Tahoma"/>
          <w:sz w:val="20"/>
          <w:szCs w:val="20"/>
        </w:rPr>
        <w:t>sur</w:t>
      </w:r>
      <w:r w:rsidR="00DB1635" w:rsidRPr="00B004EE">
        <w:rPr>
          <w:rFonts w:ascii="Tahoma" w:hAnsi="Tahoma" w:cs="Tahoma"/>
          <w:sz w:val="20"/>
          <w:szCs w:val="20"/>
        </w:rPr>
        <w:t xml:space="preserve"> </w:t>
      </w:r>
      <w:r w:rsidRPr="00B004EE">
        <w:rPr>
          <w:rFonts w:ascii="Tahoma" w:hAnsi="Tahoma" w:cs="Tahoma"/>
          <w:sz w:val="20"/>
          <w:szCs w:val="20"/>
        </w:rPr>
        <w:t>proposition</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003A697D" w:rsidRPr="00B004EE">
        <w:rPr>
          <w:rFonts w:ascii="Tahoma" w:hAnsi="Tahoma" w:cs="Tahoma"/>
          <w:sz w:val="20"/>
          <w:szCs w:val="20"/>
        </w:rPr>
        <w:t>Directeur ;</w:t>
      </w:r>
    </w:p>
    <w:p w14:paraId="375DAFA2" w14:textId="7D1312DC" w:rsidR="008518B0" w:rsidRPr="00B004EE" w:rsidRDefault="008518B0" w:rsidP="00420DDA">
      <w:pPr>
        <w:pStyle w:val="Paragraphedeliste"/>
        <w:widowControl w:val="0"/>
        <w:numPr>
          <w:ilvl w:val="0"/>
          <w:numId w:val="151"/>
        </w:numPr>
        <w:tabs>
          <w:tab w:val="left" w:pos="876"/>
        </w:tabs>
        <w:ind w:right="194"/>
        <w:rPr>
          <w:rFonts w:ascii="Tahoma" w:hAnsi="Tahoma" w:cs="Tahoma"/>
          <w:sz w:val="20"/>
          <w:szCs w:val="20"/>
        </w:rPr>
      </w:pP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conventions</w:t>
      </w:r>
      <w:r w:rsidR="00DB1635" w:rsidRPr="00B004EE">
        <w:rPr>
          <w:rFonts w:ascii="Tahoma" w:hAnsi="Tahoma" w:cs="Tahoma"/>
          <w:sz w:val="20"/>
          <w:szCs w:val="20"/>
        </w:rPr>
        <w:t xml:space="preserve"> </w:t>
      </w:r>
      <w:r w:rsidRPr="00B004EE">
        <w:rPr>
          <w:rFonts w:ascii="Tahoma" w:hAnsi="Tahoma" w:cs="Tahoma"/>
          <w:sz w:val="20"/>
          <w:szCs w:val="20"/>
        </w:rPr>
        <w:t>liant</w:t>
      </w:r>
      <w:r w:rsidR="00DB1635" w:rsidRPr="00B004EE">
        <w:rPr>
          <w:rFonts w:ascii="Tahoma" w:hAnsi="Tahoma" w:cs="Tahoma"/>
          <w:sz w:val="20"/>
          <w:szCs w:val="20"/>
        </w:rPr>
        <w:t xml:space="preserve"> </w:t>
      </w:r>
      <w:r w:rsidRPr="00B004EE">
        <w:rPr>
          <w:rFonts w:ascii="Tahoma" w:hAnsi="Tahoma" w:cs="Tahoma"/>
          <w:sz w:val="20"/>
          <w:szCs w:val="20"/>
        </w:rPr>
        <w:t>l'ONISPA</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d'autres</w:t>
      </w:r>
      <w:r w:rsidR="00DB1635" w:rsidRPr="00B004EE">
        <w:rPr>
          <w:rFonts w:ascii="Tahoma" w:hAnsi="Tahoma" w:cs="Tahoma"/>
          <w:sz w:val="20"/>
          <w:szCs w:val="20"/>
        </w:rPr>
        <w:t xml:space="preserve"> </w:t>
      </w:r>
      <w:r w:rsidRPr="00B004EE">
        <w:rPr>
          <w:rFonts w:ascii="Tahoma" w:hAnsi="Tahoma" w:cs="Tahoma"/>
          <w:sz w:val="20"/>
          <w:szCs w:val="20"/>
        </w:rPr>
        <w:t>institutions</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003A697D" w:rsidRPr="00B004EE">
        <w:rPr>
          <w:rFonts w:ascii="Tahoma" w:hAnsi="Tahoma" w:cs="Tahoma"/>
          <w:sz w:val="20"/>
          <w:szCs w:val="20"/>
        </w:rPr>
        <w:t>organismes ;</w:t>
      </w:r>
    </w:p>
    <w:p w14:paraId="202799D8" w14:textId="745C785F" w:rsidR="008518B0" w:rsidRPr="00B004EE" w:rsidRDefault="008518B0" w:rsidP="00420DDA">
      <w:pPr>
        <w:pStyle w:val="Paragraphedeliste"/>
        <w:widowControl w:val="0"/>
        <w:numPr>
          <w:ilvl w:val="0"/>
          <w:numId w:val="151"/>
        </w:numPr>
        <w:tabs>
          <w:tab w:val="left" w:pos="876"/>
        </w:tabs>
        <w:ind w:right="194"/>
        <w:rPr>
          <w:rFonts w:ascii="Tahoma" w:hAnsi="Tahoma" w:cs="Tahoma"/>
          <w:sz w:val="20"/>
          <w:szCs w:val="20"/>
        </w:rPr>
      </w:pPr>
      <w:r w:rsidRPr="00B004EE">
        <w:rPr>
          <w:rFonts w:ascii="Tahoma" w:hAnsi="Tahoma" w:cs="Tahoma"/>
          <w:sz w:val="20"/>
          <w:szCs w:val="20"/>
        </w:rPr>
        <w:t>L'acceptation</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refus</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dons,</w:t>
      </w:r>
      <w:r w:rsidR="00DB1635" w:rsidRPr="00B004EE">
        <w:rPr>
          <w:rFonts w:ascii="Tahoma" w:hAnsi="Tahoma" w:cs="Tahoma"/>
          <w:sz w:val="20"/>
          <w:szCs w:val="20"/>
        </w:rPr>
        <w:t xml:space="preserve"> </w:t>
      </w:r>
      <w:r w:rsidRPr="00B004EE">
        <w:rPr>
          <w:rFonts w:ascii="Tahoma" w:hAnsi="Tahoma" w:cs="Tahoma"/>
          <w:sz w:val="20"/>
          <w:szCs w:val="20"/>
        </w:rPr>
        <w:t>legs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003A697D" w:rsidRPr="00B004EE">
        <w:rPr>
          <w:rFonts w:ascii="Tahoma" w:hAnsi="Tahoma" w:cs="Tahoma"/>
          <w:sz w:val="20"/>
          <w:szCs w:val="20"/>
        </w:rPr>
        <w:t>subventions ;</w:t>
      </w:r>
    </w:p>
    <w:p w14:paraId="2A45AB97" w14:textId="6E8B52AE" w:rsidR="008518B0" w:rsidRPr="00B004EE" w:rsidRDefault="008518B0" w:rsidP="00420DDA">
      <w:pPr>
        <w:pStyle w:val="Paragraphedeliste"/>
        <w:widowControl w:val="0"/>
        <w:numPr>
          <w:ilvl w:val="0"/>
          <w:numId w:val="151"/>
        </w:numPr>
        <w:tabs>
          <w:tab w:val="left" w:pos="876"/>
        </w:tabs>
        <w:ind w:right="194"/>
        <w:rPr>
          <w:rFonts w:ascii="Tahoma" w:hAnsi="Tahoma" w:cs="Tahoma"/>
          <w:sz w:val="20"/>
          <w:szCs w:val="20"/>
        </w:rPr>
      </w:pPr>
      <w:r w:rsidRPr="00B004EE">
        <w:rPr>
          <w:rFonts w:ascii="Tahoma" w:hAnsi="Tahoma" w:cs="Tahoma"/>
          <w:sz w:val="20"/>
          <w:szCs w:val="20"/>
        </w:rPr>
        <w:t>L'acquisition,</w:t>
      </w:r>
      <w:r w:rsidR="00DB1635" w:rsidRPr="00B004EE">
        <w:rPr>
          <w:rFonts w:ascii="Tahoma" w:hAnsi="Tahoma" w:cs="Tahoma"/>
          <w:sz w:val="20"/>
          <w:szCs w:val="20"/>
        </w:rPr>
        <w:t xml:space="preserve"> </w:t>
      </w:r>
      <w:r w:rsidRPr="00B004EE">
        <w:rPr>
          <w:rFonts w:ascii="Tahoma" w:hAnsi="Tahoma" w:cs="Tahoma"/>
          <w:sz w:val="20"/>
          <w:szCs w:val="20"/>
        </w:rPr>
        <w:t>l'aliénation</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l'échange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biens</w:t>
      </w:r>
      <w:r w:rsidR="00DB1635" w:rsidRPr="00B004EE">
        <w:rPr>
          <w:rFonts w:ascii="Tahoma" w:hAnsi="Tahoma" w:cs="Tahoma"/>
          <w:sz w:val="20"/>
          <w:szCs w:val="20"/>
        </w:rPr>
        <w:t xml:space="preserve"> </w:t>
      </w:r>
      <w:r w:rsidR="003A697D" w:rsidRPr="00B004EE">
        <w:rPr>
          <w:rFonts w:ascii="Tahoma" w:hAnsi="Tahoma" w:cs="Tahoma"/>
          <w:sz w:val="20"/>
          <w:szCs w:val="20"/>
        </w:rPr>
        <w:t>immobiliers ;</w:t>
      </w:r>
    </w:p>
    <w:p w14:paraId="4DD49B91" w14:textId="6BB6D2B6" w:rsidR="008518B0" w:rsidRPr="00B004EE" w:rsidRDefault="008518B0" w:rsidP="00420DDA">
      <w:pPr>
        <w:pStyle w:val="Paragraphedeliste"/>
        <w:widowControl w:val="0"/>
        <w:numPr>
          <w:ilvl w:val="0"/>
          <w:numId w:val="151"/>
        </w:numPr>
        <w:tabs>
          <w:tab w:val="left" w:pos="876"/>
        </w:tabs>
        <w:ind w:right="194"/>
        <w:rPr>
          <w:rFonts w:ascii="Tahoma" w:hAnsi="Tahoma" w:cs="Tahoma"/>
          <w:sz w:val="20"/>
          <w:szCs w:val="20"/>
        </w:rPr>
      </w:pP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programme</w:t>
      </w:r>
      <w:r w:rsidR="00DB1635" w:rsidRPr="00B004EE">
        <w:rPr>
          <w:rFonts w:ascii="Tahoma" w:hAnsi="Tahoma" w:cs="Tahoma"/>
          <w:sz w:val="20"/>
          <w:szCs w:val="20"/>
        </w:rPr>
        <w:t xml:space="preserve"> </w:t>
      </w:r>
      <w:r w:rsidRPr="00B004EE">
        <w:rPr>
          <w:rFonts w:ascii="Tahoma" w:hAnsi="Tahoma" w:cs="Tahoma"/>
          <w:sz w:val="20"/>
          <w:szCs w:val="20"/>
        </w:rPr>
        <w:t>d'investissement</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plan</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003A697D" w:rsidRPr="00B004EE">
        <w:rPr>
          <w:rFonts w:ascii="Tahoma" w:hAnsi="Tahoma" w:cs="Tahoma"/>
          <w:sz w:val="20"/>
          <w:szCs w:val="20"/>
        </w:rPr>
        <w:t>financement ;</w:t>
      </w:r>
    </w:p>
    <w:p w14:paraId="7060F01A" w14:textId="12C2AC05" w:rsidR="008518B0" w:rsidRPr="00B004EE" w:rsidRDefault="008518B0" w:rsidP="00420DDA">
      <w:pPr>
        <w:pStyle w:val="Paragraphedeliste"/>
        <w:widowControl w:val="0"/>
        <w:numPr>
          <w:ilvl w:val="0"/>
          <w:numId w:val="151"/>
        </w:numPr>
        <w:tabs>
          <w:tab w:val="left" w:pos="876"/>
        </w:tabs>
        <w:ind w:right="194"/>
        <w:rPr>
          <w:rFonts w:ascii="Tahoma" w:hAnsi="Tahoma" w:cs="Tahoma"/>
          <w:sz w:val="20"/>
          <w:szCs w:val="20"/>
        </w:rPr>
      </w:pP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création</w:t>
      </w:r>
      <w:r w:rsidR="00DB1635" w:rsidRPr="00B004EE">
        <w:rPr>
          <w:rFonts w:ascii="Tahoma" w:hAnsi="Tahoma" w:cs="Tahoma"/>
          <w:sz w:val="20"/>
          <w:szCs w:val="20"/>
        </w:rPr>
        <w:t xml:space="preserve"> </w:t>
      </w:r>
      <w:r w:rsidRPr="00B004EE">
        <w:rPr>
          <w:rFonts w:ascii="Tahoma" w:hAnsi="Tahoma" w:cs="Tahoma"/>
          <w:sz w:val="20"/>
          <w:szCs w:val="20"/>
        </w:rPr>
        <w:t>d'Antennes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l'ONISPA.</w:t>
      </w:r>
    </w:p>
    <w:p w14:paraId="51E7FAE6" w14:textId="2A5B9322" w:rsidR="008518B0" w:rsidRPr="00B004EE" w:rsidRDefault="008518B0" w:rsidP="00420DDA">
      <w:pPr>
        <w:pStyle w:val="Paragraphedeliste"/>
        <w:widowControl w:val="0"/>
        <w:numPr>
          <w:ilvl w:val="0"/>
          <w:numId w:val="151"/>
        </w:numPr>
        <w:tabs>
          <w:tab w:val="left" w:pos="876"/>
        </w:tabs>
        <w:ind w:right="194"/>
        <w:rPr>
          <w:rFonts w:ascii="Tahoma" w:hAnsi="Tahoma" w:cs="Tahoma"/>
          <w:sz w:val="20"/>
          <w:szCs w:val="20"/>
        </w:rPr>
      </w:pP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Directeur</w:t>
      </w:r>
      <w:r w:rsidR="00DB1635" w:rsidRPr="00B004EE">
        <w:rPr>
          <w:rFonts w:ascii="Tahoma" w:hAnsi="Tahoma" w:cs="Tahoma"/>
          <w:sz w:val="20"/>
          <w:szCs w:val="20"/>
        </w:rPr>
        <w:t xml:space="preserve"> </w:t>
      </w:r>
      <w:r w:rsidRPr="00B004EE">
        <w:rPr>
          <w:rFonts w:ascii="Tahoma" w:hAnsi="Tahoma" w:cs="Tahoma"/>
          <w:sz w:val="20"/>
          <w:szCs w:val="20"/>
        </w:rPr>
        <w:t>doit</w:t>
      </w:r>
      <w:r w:rsidR="00DB1635" w:rsidRPr="00B004EE">
        <w:rPr>
          <w:rFonts w:ascii="Tahoma" w:hAnsi="Tahoma" w:cs="Tahoma"/>
          <w:sz w:val="20"/>
          <w:szCs w:val="20"/>
        </w:rPr>
        <w:t xml:space="preserve"> </w:t>
      </w:r>
      <w:r w:rsidRPr="00B004EE">
        <w:rPr>
          <w:rFonts w:ascii="Tahoma" w:hAnsi="Tahoma" w:cs="Tahoma"/>
          <w:sz w:val="20"/>
          <w:szCs w:val="20"/>
        </w:rPr>
        <w:t>tenir</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Conseil</w:t>
      </w:r>
      <w:r w:rsidR="00DB1635" w:rsidRPr="00B004EE">
        <w:rPr>
          <w:rFonts w:ascii="Tahoma" w:hAnsi="Tahoma" w:cs="Tahoma"/>
          <w:sz w:val="20"/>
          <w:szCs w:val="20"/>
        </w:rPr>
        <w:t xml:space="preserve"> </w:t>
      </w:r>
      <w:r w:rsidRPr="00B004EE">
        <w:rPr>
          <w:rFonts w:ascii="Tahoma" w:hAnsi="Tahoma" w:cs="Tahoma"/>
          <w:sz w:val="20"/>
          <w:szCs w:val="20"/>
        </w:rPr>
        <w:t>d'Administration</w:t>
      </w:r>
      <w:r w:rsidR="00DB1635" w:rsidRPr="00B004EE">
        <w:rPr>
          <w:rFonts w:ascii="Tahoma" w:hAnsi="Tahoma" w:cs="Tahoma"/>
          <w:sz w:val="20"/>
          <w:szCs w:val="20"/>
        </w:rPr>
        <w:t xml:space="preserve"> </w:t>
      </w:r>
      <w:r w:rsidRPr="00B004EE">
        <w:rPr>
          <w:rFonts w:ascii="Tahoma" w:hAnsi="Tahoma" w:cs="Tahoma"/>
          <w:sz w:val="20"/>
          <w:szCs w:val="20"/>
        </w:rPr>
        <w:t>informé</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problèmes</w:t>
      </w:r>
      <w:r w:rsidR="00DB1635" w:rsidRPr="00B004EE">
        <w:rPr>
          <w:rFonts w:ascii="Tahoma" w:hAnsi="Tahoma" w:cs="Tahoma"/>
          <w:sz w:val="20"/>
          <w:szCs w:val="20"/>
        </w:rPr>
        <w:t xml:space="preserve"> </w:t>
      </w:r>
      <w:r w:rsidRPr="00B004EE">
        <w:rPr>
          <w:rFonts w:ascii="Tahoma" w:hAnsi="Tahoma" w:cs="Tahoma"/>
          <w:sz w:val="20"/>
          <w:szCs w:val="20"/>
        </w:rPr>
        <w:t>généraux</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fonctionnement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l'Office.</w:t>
      </w:r>
    </w:p>
    <w:p w14:paraId="4B91214C" w14:textId="77777777" w:rsidR="008518B0" w:rsidRPr="00B004EE" w:rsidRDefault="008518B0" w:rsidP="00B004EE">
      <w:pPr>
        <w:rPr>
          <w:rFonts w:ascii="Tahoma" w:eastAsia="Times" w:hAnsi="Tahoma" w:cs="Tahoma"/>
          <w:b/>
          <w:bCs/>
          <w:sz w:val="20"/>
          <w:szCs w:val="20"/>
        </w:rPr>
      </w:pPr>
    </w:p>
    <w:p w14:paraId="19B72EFD" w14:textId="5B3CBC01" w:rsidR="008518B0" w:rsidRPr="00B004EE" w:rsidRDefault="00FF661D" w:rsidP="00B004EE">
      <w:pPr>
        <w:pStyle w:val="Corpsdetexte"/>
        <w:ind w:right="198"/>
        <w:rPr>
          <w:rFonts w:ascii="Tahoma" w:hAnsi="Tahoma" w:cs="Tahoma"/>
          <w:sz w:val="20"/>
          <w:szCs w:val="20"/>
        </w:rPr>
      </w:pPr>
      <w:r w:rsidRPr="00B004EE">
        <w:rPr>
          <w:rFonts w:ascii="Tahoma" w:hAnsi="Tahoma" w:cs="Tahoma"/>
          <w:bCs/>
          <w:iCs/>
          <w:sz w:val="20"/>
          <w:szCs w:val="20"/>
        </w:rPr>
        <w:t xml:space="preserve">Article </w:t>
      </w:r>
      <w:r w:rsidR="008518B0" w:rsidRPr="00B004EE">
        <w:rPr>
          <w:rFonts w:ascii="Tahoma" w:hAnsi="Tahoma" w:cs="Tahoma"/>
          <w:bCs/>
          <w:iCs/>
          <w:sz w:val="20"/>
          <w:szCs w:val="20"/>
        </w:rPr>
        <w:t>10</w:t>
      </w:r>
      <w:r w:rsidR="00DB1635" w:rsidRPr="00B004EE">
        <w:rPr>
          <w:rFonts w:ascii="Tahoma" w:hAnsi="Tahoma" w:cs="Tahoma"/>
          <w:bCs/>
          <w:iCs/>
          <w:sz w:val="20"/>
          <w:szCs w:val="20"/>
        </w:rPr>
        <w:t xml:space="preserve"> </w:t>
      </w:r>
      <w:r w:rsidR="008518B0" w:rsidRPr="00B004EE">
        <w:rPr>
          <w:rFonts w:ascii="Tahoma" w:hAnsi="Tahoma" w:cs="Tahoma"/>
          <w:bCs/>
          <w:iCs/>
          <w:sz w:val="20"/>
          <w:szCs w:val="20"/>
        </w:rPr>
        <w:t>:</w:t>
      </w:r>
      <w:r w:rsidR="00DB1635" w:rsidRPr="00B004EE">
        <w:rPr>
          <w:rFonts w:ascii="Tahoma" w:hAnsi="Tahoma" w:cs="Tahoma"/>
          <w:sz w:val="20"/>
          <w:szCs w:val="20"/>
        </w:rPr>
        <w:t xml:space="preserve"> </w:t>
      </w:r>
      <w:r w:rsidR="008518B0" w:rsidRPr="00B004EE">
        <w:rPr>
          <w:rFonts w:ascii="Tahoma" w:hAnsi="Tahoma" w:cs="Tahoma"/>
          <w:spacing w:val="-3"/>
          <w:sz w:val="20"/>
          <w:szCs w:val="20"/>
        </w:rPr>
        <w:t>Le</w:t>
      </w:r>
      <w:r w:rsidR="00DB1635" w:rsidRPr="00B004EE">
        <w:rPr>
          <w:rFonts w:ascii="Tahoma" w:hAnsi="Tahoma" w:cs="Tahoma"/>
          <w:spacing w:val="-3"/>
          <w:sz w:val="20"/>
          <w:szCs w:val="20"/>
        </w:rPr>
        <w:t xml:space="preserve"> </w:t>
      </w:r>
      <w:r w:rsidR="008518B0" w:rsidRPr="00B004EE">
        <w:rPr>
          <w:rFonts w:ascii="Tahoma" w:hAnsi="Tahoma" w:cs="Tahoma"/>
          <w:sz w:val="20"/>
          <w:szCs w:val="20"/>
        </w:rPr>
        <w:t>Conseil</w:t>
      </w:r>
      <w:r w:rsidR="00DB1635" w:rsidRPr="00B004EE">
        <w:rPr>
          <w:rFonts w:ascii="Tahoma" w:hAnsi="Tahoma" w:cs="Tahoma"/>
          <w:sz w:val="20"/>
          <w:szCs w:val="20"/>
        </w:rPr>
        <w:t xml:space="preserve"> </w:t>
      </w:r>
      <w:r w:rsidR="008518B0" w:rsidRPr="00B004EE">
        <w:rPr>
          <w:rFonts w:ascii="Tahoma" w:hAnsi="Tahoma" w:cs="Tahoma"/>
          <w:sz w:val="20"/>
          <w:szCs w:val="20"/>
        </w:rPr>
        <w:t>d'Administration</w:t>
      </w:r>
      <w:r w:rsidR="00DB1635" w:rsidRPr="00B004EE">
        <w:rPr>
          <w:rFonts w:ascii="Tahoma" w:hAnsi="Tahoma" w:cs="Tahoma"/>
          <w:sz w:val="20"/>
          <w:szCs w:val="20"/>
        </w:rPr>
        <w:t xml:space="preserve"> </w:t>
      </w:r>
      <w:r w:rsidR="008518B0" w:rsidRPr="00B004EE">
        <w:rPr>
          <w:rFonts w:ascii="Tahoma" w:hAnsi="Tahoma" w:cs="Tahoma"/>
          <w:sz w:val="20"/>
          <w:szCs w:val="20"/>
        </w:rPr>
        <w:t>se</w:t>
      </w:r>
      <w:r w:rsidR="00DB1635" w:rsidRPr="00B004EE">
        <w:rPr>
          <w:rFonts w:ascii="Tahoma" w:hAnsi="Tahoma" w:cs="Tahoma"/>
          <w:sz w:val="20"/>
          <w:szCs w:val="20"/>
        </w:rPr>
        <w:t xml:space="preserve"> </w:t>
      </w:r>
      <w:r w:rsidR="008518B0" w:rsidRPr="00B004EE">
        <w:rPr>
          <w:rFonts w:ascii="Tahoma" w:hAnsi="Tahoma" w:cs="Tahoma"/>
          <w:spacing w:val="2"/>
          <w:sz w:val="20"/>
          <w:szCs w:val="20"/>
        </w:rPr>
        <w:t>réunit</w:t>
      </w:r>
      <w:r w:rsidR="00DB1635" w:rsidRPr="00B004EE">
        <w:rPr>
          <w:rFonts w:ascii="Tahoma" w:hAnsi="Tahoma" w:cs="Tahoma"/>
          <w:spacing w:val="2"/>
          <w:sz w:val="20"/>
          <w:szCs w:val="20"/>
        </w:rPr>
        <w:t xml:space="preserve"> </w:t>
      </w:r>
      <w:r w:rsidR="008518B0" w:rsidRPr="00B004EE">
        <w:rPr>
          <w:rFonts w:ascii="Tahoma" w:hAnsi="Tahoma" w:cs="Tahoma"/>
          <w:sz w:val="20"/>
          <w:szCs w:val="20"/>
        </w:rPr>
        <w:t>au</w:t>
      </w:r>
      <w:r w:rsidR="00DB1635" w:rsidRPr="00B004EE">
        <w:rPr>
          <w:rFonts w:ascii="Tahoma" w:hAnsi="Tahoma" w:cs="Tahoma"/>
          <w:sz w:val="20"/>
          <w:szCs w:val="20"/>
        </w:rPr>
        <w:t xml:space="preserve"> </w:t>
      </w:r>
      <w:r w:rsidR="008518B0" w:rsidRPr="00B004EE">
        <w:rPr>
          <w:rFonts w:ascii="Tahoma" w:hAnsi="Tahoma" w:cs="Tahoma"/>
          <w:spacing w:val="2"/>
          <w:sz w:val="20"/>
          <w:szCs w:val="20"/>
        </w:rPr>
        <w:t>moins</w:t>
      </w:r>
      <w:r w:rsidR="00DB1635" w:rsidRPr="00B004EE">
        <w:rPr>
          <w:rFonts w:ascii="Tahoma" w:hAnsi="Tahoma" w:cs="Tahoma"/>
          <w:spacing w:val="2"/>
          <w:sz w:val="20"/>
          <w:szCs w:val="20"/>
        </w:rPr>
        <w:t xml:space="preserve"> </w:t>
      </w:r>
      <w:r w:rsidR="008518B0" w:rsidRPr="00B004EE">
        <w:rPr>
          <w:rFonts w:ascii="Tahoma" w:hAnsi="Tahoma" w:cs="Tahoma"/>
          <w:spacing w:val="3"/>
          <w:sz w:val="20"/>
          <w:szCs w:val="20"/>
        </w:rPr>
        <w:t>trois</w:t>
      </w:r>
      <w:r w:rsidR="00DB1635" w:rsidRPr="00B004EE">
        <w:rPr>
          <w:rFonts w:ascii="Tahoma" w:hAnsi="Tahoma" w:cs="Tahoma"/>
          <w:spacing w:val="3"/>
          <w:sz w:val="20"/>
          <w:szCs w:val="20"/>
        </w:rPr>
        <w:t xml:space="preserve"> </w:t>
      </w:r>
      <w:r w:rsidR="008518B0" w:rsidRPr="00B004EE">
        <w:rPr>
          <w:rFonts w:ascii="Tahoma" w:hAnsi="Tahoma" w:cs="Tahoma"/>
          <w:sz w:val="20"/>
          <w:szCs w:val="20"/>
        </w:rPr>
        <w:t>(3)</w:t>
      </w:r>
      <w:r w:rsidR="00DB1635" w:rsidRPr="00B004EE">
        <w:rPr>
          <w:rFonts w:ascii="Tahoma" w:hAnsi="Tahoma" w:cs="Tahoma"/>
          <w:sz w:val="20"/>
          <w:szCs w:val="20"/>
        </w:rPr>
        <w:t xml:space="preserve"> </w:t>
      </w:r>
      <w:r w:rsidR="008518B0" w:rsidRPr="00B004EE">
        <w:rPr>
          <w:rFonts w:ascii="Tahoma" w:hAnsi="Tahoma" w:cs="Tahoma"/>
          <w:spacing w:val="3"/>
          <w:sz w:val="20"/>
          <w:szCs w:val="20"/>
        </w:rPr>
        <w:t>fois</w:t>
      </w:r>
      <w:r w:rsidR="00DB1635" w:rsidRPr="00B004EE">
        <w:rPr>
          <w:rFonts w:ascii="Tahoma" w:hAnsi="Tahoma" w:cs="Tahoma"/>
          <w:spacing w:val="3"/>
          <w:sz w:val="20"/>
          <w:szCs w:val="20"/>
        </w:rPr>
        <w:t xml:space="preserve"> </w:t>
      </w:r>
      <w:r w:rsidR="008518B0" w:rsidRPr="00B004EE">
        <w:rPr>
          <w:rFonts w:ascii="Tahoma" w:hAnsi="Tahoma" w:cs="Tahoma"/>
          <w:spacing w:val="2"/>
          <w:sz w:val="20"/>
          <w:szCs w:val="20"/>
        </w:rPr>
        <w:t>par</w:t>
      </w:r>
      <w:r w:rsidR="00DB1635" w:rsidRPr="00B004EE">
        <w:rPr>
          <w:rFonts w:ascii="Tahoma" w:hAnsi="Tahoma" w:cs="Tahoma"/>
          <w:spacing w:val="2"/>
          <w:sz w:val="20"/>
          <w:szCs w:val="20"/>
        </w:rPr>
        <w:t xml:space="preserve"> </w:t>
      </w:r>
      <w:r w:rsidR="008518B0" w:rsidRPr="00B004EE">
        <w:rPr>
          <w:rFonts w:ascii="Tahoma" w:hAnsi="Tahoma" w:cs="Tahoma"/>
          <w:sz w:val="20"/>
          <w:szCs w:val="20"/>
        </w:rPr>
        <w:t>an</w:t>
      </w:r>
      <w:r w:rsidR="00DB1635" w:rsidRPr="00B004EE">
        <w:rPr>
          <w:rFonts w:ascii="Tahoma" w:hAnsi="Tahoma" w:cs="Tahoma"/>
          <w:sz w:val="20"/>
          <w:szCs w:val="20"/>
        </w:rPr>
        <w:t xml:space="preserve"> </w:t>
      </w:r>
      <w:r w:rsidR="008518B0" w:rsidRPr="00B004EE">
        <w:rPr>
          <w:rFonts w:ascii="Tahoma" w:hAnsi="Tahoma" w:cs="Tahoma"/>
          <w:sz w:val="20"/>
          <w:szCs w:val="20"/>
        </w:rPr>
        <w:t>en</w:t>
      </w:r>
      <w:r w:rsidR="00DB1635" w:rsidRPr="00B004EE">
        <w:rPr>
          <w:rFonts w:ascii="Tahoma" w:hAnsi="Tahoma" w:cs="Tahoma"/>
          <w:w w:val="99"/>
          <w:sz w:val="20"/>
          <w:szCs w:val="20"/>
        </w:rPr>
        <w:t xml:space="preserve"> </w:t>
      </w:r>
      <w:r w:rsidR="008518B0" w:rsidRPr="00B004EE">
        <w:rPr>
          <w:rFonts w:ascii="Tahoma" w:hAnsi="Tahoma" w:cs="Tahoma"/>
          <w:sz w:val="20"/>
          <w:szCs w:val="20"/>
        </w:rPr>
        <w:t>session</w:t>
      </w:r>
      <w:r w:rsidR="00DB1635" w:rsidRPr="00B004EE">
        <w:rPr>
          <w:rFonts w:ascii="Tahoma" w:hAnsi="Tahoma" w:cs="Tahoma"/>
          <w:sz w:val="20"/>
          <w:szCs w:val="20"/>
        </w:rPr>
        <w:t xml:space="preserve"> </w:t>
      </w:r>
      <w:r w:rsidR="008518B0" w:rsidRPr="00B004EE">
        <w:rPr>
          <w:rFonts w:ascii="Tahoma" w:hAnsi="Tahoma" w:cs="Tahoma"/>
          <w:sz w:val="20"/>
          <w:szCs w:val="20"/>
        </w:rPr>
        <w:t>ordinaire</w:t>
      </w:r>
      <w:r w:rsidR="00DB1635" w:rsidRPr="00B004EE">
        <w:rPr>
          <w:rFonts w:ascii="Tahoma" w:hAnsi="Tahoma" w:cs="Tahoma"/>
          <w:sz w:val="20"/>
          <w:szCs w:val="20"/>
        </w:rPr>
        <w:t xml:space="preserve"> </w:t>
      </w:r>
      <w:r w:rsidR="008518B0" w:rsidRPr="00B004EE">
        <w:rPr>
          <w:rFonts w:ascii="Tahoma" w:hAnsi="Tahoma" w:cs="Tahoma"/>
          <w:sz w:val="20"/>
          <w:szCs w:val="20"/>
        </w:rPr>
        <w:t>sur</w:t>
      </w:r>
      <w:r w:rsidR="00DB1635" w:rsidRPr="00B004EE">
        <w:rPr>
          <w:rFonts w:ascii="Tahoma" w:hAnsi="Tahoma" w:cs="Tahoma"/>
          <w:sz w:val="20"/>
          <w:szCs w:val="20"/>
        </w:rPr>
        <w:t xml:space="preserve"> </w:t>
      </w:r>
      <w:r w:rsidR="008518B0" w:rsidRPr="00B004EE">
        <w:rPr>
          <w:rFonts w:ascii="Tahoma" w:hAnsi="Tahoma" w:cs="Tahoma"/>
          <w:sz w:val="20"/>
          <w:szCs w:val="20"/>
        </w:rPr>
        <w:t>convocation</w:t>
      </w:r>
      <w:r w:rsidR="00DB1635" w:rsidRPr="00B004EE">
        <w:rPr>
          <w:rFonts w:ascii="Tahoma" w:hAnsi="Tahoma" w:cs="Tahoma"/>
          <w:sz w:val="20"/>
          <w:szCs w:val="20"/>
        </w:rPr>
        <w:t xml:space="preserve"> </w:t>
      </w:r>
      <w:r w:rsidR="008518B0" w:rsidRPr="00B004EE">
        <w:rPr>
          <w:rFonts w:ascii="Tahoma" w:hAnsi="Tahoma" w:cs="Tahoma"/>
          <w:sz w:val="20"/>
          <w:szCs w:val="20"/>
        </w:rPr>
        <w:t>de</w:t>
      </w:r>
      <w:r w:rsidR="00DB1635" w:rsidRPr="00B004EE">
        <w:rPr>
          <w:rFonts w:ascii="Tahoma" w:hAnsi="Tahoma" w:cs="Tahoma"/>
          <w:sz w:val="20"/>
          <w:szCs w:val="20"/>
        </w:rPr>
        <w:t xml:space="preserve"> </w:t>
      </w:r>
      <w:r w:rsidR="008518B0" w:rsidRPr="00B004EE">
        <w:rPr>
          <w:rFonts w:ascii="Tahoma" w:hAnsi="Tahoma" w:cs="Tahoma"/>
          <w:sz w:val="20"/>
          <w:szCs w:val="20"/>
        </w:rPr>
        <w:t>son</w:t>
      </w:r>
      <w:r w:rsidR="00DB1635" w:rsidRPr="00B004EE">
        <w:rPr>
          <w:rFonts w:ascii="Tahoma" w:hAnsi="Tahoma" w:cs="Tahoma"/>
          <w:spacing w:val="-9"/>
          <w:sz w:val="20"/>
          <w:szCs w:val="20"/>
        </w:rPr>
        <w:t xml:space="preserve"> </w:t>
      </w:r>
      <w:r w:rsidR="008518B0" w:rsidRPr="00B004EE">
        <w:rPr>
          <w:rFonts w:ascii="Tahoma" w:hAnsi="Tahoma" w:cs="Tahoma"/>
          <w:spacing w:val="-3"/>
          <w:sz w:val="20"/>
          <w:szCs w:val="20"/>
        </w:rPr>
        <w:t>Président.</w:t>
      </w:r>
    </w:p>
    <w:p w14:paraId="2392533D" w14:textId="77777777" w:rsidR="008518B0" w:rsidRPr="00B004EE" w:rsidRDefault="008518B0" w:rsidP="00B004EE">
      <w:pPr>
        <w:rPr>
          <w:rFonts w:ascii="Tahoma" w:eastAsia="Times" w:hAnsi="Tahoma" w:cs="Tahoma"/>
          <w:sz w:val="20"/>
          <w:szCs w:val="20"/>
        </w:rPr>
      </w:pPr>
    </w:p>
    <w:p w14:paraId="3F900EE5" w14:textId="7EC72BCB" w:rsidR="008518B0" w:rsidRPr="00B004EE" w:rsidRDefault="008518B0" w:rsidP="00B004EE">
      <w:pPr>
        <w:pStyle w:val="Corpsdetexte"/>
        <w:ind w:left="218" w:right="194"/>
        <w:rPr>
          <w:rFonts w:ascii="Tahoma" w:hAnsi="Tahoma" w:cs="Tahoma"/>
          <w:sz w:val="20"/>
          <w:szCs w:val="20"/>
        </w:rPr>
      </w:pPr>
      <w:r w:rsidRPr="00B004EE">
        <w:rPr>
          <w:rFonts w:ascii="Tahoma" w:hAnsi="Tahoma" w:cs="Tahoma"/>
          <w:sz w:val="20"/>
          <w:szCs w:val="20"/>
        </w:rPr>
        <w:t>Toutefois,</w:t>
      </w:r>
      <w:r w:rsidR="00DB1635" w:rsidRPr="00B004EE">
        <w:rPr>
          <w:rFonts w:ascii="Tahoma" w:hAnsi="Tahoma" w:cs="Tahoma"/>
          <w:sz w:val="20"/>
          <w:szCs w:val="20"/>
        </w:rPr>
        <w:t xml:space="preserve"> </w:t>
      </w:r>
      <w:r w:rsidRPr="00B004EE">
        <w:rPr>
          <w:rFonts w:ascii="Tahoma" w:hAnsi="Tahoma" w:cs="Tahoma"/>
          <w:sz w:val="20"/>
          <w:szCs w:val="20"/>
        </w:rPr>
        <w:t>il</w:t>
      </w:r>
      <w:r w:rsidR="00DB1635" w:rsidRPr="00B004EE">
        <w:rPr>
          <w:rFonts w:ascii="Tahoma" w:hAnsi="Tahoma" w:cs="Tahoma"/>
          <w:sz w:val="20"/>
          <w:szCs w:val="20"/>
        </w:rPr>
        <w:t xml:space="preserve"> </w:t>
      </w:r>
      <w:r w:rsidRPr="00B004EE">
        <w:rPr>
          <w:rFonts w:ascii="Tahoma" w:hAnsi="Tahoma" w:cs="Tahoma"/>
          <w:sz w:val="20"/>
          <w:szCs w:val="20"/>
        </w:rPr>
        <w:t>peut</w:t>
      </w:r>
      <w:r w:rsidR="00DB1635" w:rsidRPr="00B004EE">
        <w:rPr>
          <w:rFonts w:ascii="Tahoma" w:hAnsi="Tahoma" w:cs="Tahoma"/>
          <w:sz w:val="20"/>
          <w:szCs w:val="20"/>
        </w:rPr>
        <w:t xml:space="preserve"> </w:t>
      </w:r>
      <w:r w:rsidRPr="00B004EE">
        <w:rPr>
          <w:rFonts w:ascii="Tahoma" w:hAnsi="Tahoma" w:cs="Tahoma"/>
          <w:sz w:val="20"/>
          <w:szCs w:val="20"/>
        </w:rPr>
        <w:t>se</w:t>
      </w:r>
      <w:r w:rsidR="00DB1635" w:rsidRPr="00B004EE">
        <w:rPr>
          <w:rFonts w:ascii="Tahoma" w:hAnsi="Tahoma" w:cs="Tahoma"/>
          <w:sz w:val="20"/>
          <w:szCs w:val="20"/>
        </w:rPr>
        <w:t xml:space="preserve"> </w:t>
      </w:r>
      <w:r w:rsidRPr="00B004EE">
        <w:rPr>
          <w:rFonts w:ascii="Tahoma" w:hAnsi="Tahoma" w:cs="Tahoma"/>
          <w:sz w:val="20"/>
          <w:szCs w:val="20"/>
        </w:rPr>
        <w:t>réunir</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session</w:t>
      </w:r>
      <w:r w:rsidR="00DB1635" w:rsidRPr="00B004EE">
        <w:rPr>
          <w:rFonts w:ascii="Tahoma" w:hAnsi="Tahoma" w:cs="Tahoma"/>
          <w:sz w:val="20"/>
          <w:szCs w:val="20"/>
        </w:rPr>
        <w:t xml:space="preserve"> </w:t>
      </w:r>
      <w:r w:rsidRPr="00B004EE">
        <w:rPr>
          <w:rFonts w:ascii="Tahoma" w:hAnsi="Tahoma" w:cs="Tahoma"/>
          <w:sz w:val="20"/>
          <w:szCs w:val="20"/>
        </w:rPr>
        <w:t>extraordinaire</w:t>
      </w:r>
      <w:r w:rsidR="00DB1635" w:rsidRPr="00B004EE">
        <w:rPr>
          <w:rFonts w:ascii="Tahoma" w:hAnsi="Tahoma" w:cs="Tahoma"/>
          <w:sz w:val="20"/>
          <w:szCs w:val="20"/>
        </w:rPr>
        <w:t xml:space="preserve"> </w:t>
      </w:r>
      <w:r w:rsidRPr="00B004EE">
        <w:rPr>
          <w:rFonts w:ascii="Tahoma" w:hAnsi="Tahoma" w:cs="Tahoma"/>
          <w:sz w:val="20"/>
          <w:szCs w:val="20"/>
        </w:rPr>
        <w:t>chaque</w:t>
      </w:r>
      <w:r w:rsidR="00DB1635" w:rsidRPr="00B004EE">
        <w:rPr>
          <w:rFonts w:ascii="Tahoma" w:hAnsi="Tahoma" w:cs="Tahoma"/>
          <w:sz w:val="20"/>
          <w:szCs w:val="20"/>
        </w:rPr>
        <w:t xml:space="preserve"> </w:t>
      </w:r>
      <w:r w:rsidRPr="00B004EE">
        <w:rPr>
          <w:rFonts w:ascii="Tahoma" w:hAnsi="Tahoma" w:cs="Tahoma"/>
          <w:sz w:val="20"/>
          <w:szCs w:val="20"/>
        </w:rPr>
        <w:t>fois</w:t>
      </w:r>
      <w:r w:rsidR="00DB1635" w:rsidRPr="00B004EE">
        <w:rPr>
          <w:rFonts w:ascii="Tahoma" w:hAnsi="Tahoma" w:cs="Tahoma"/>
          <w:sz w:val="20"/>
          <w:szCs w:val="20"/>
        </w:rPr>
        <w:t xml:space="preserve"> </w:t>
      </w:r>
      <w:r w:rsidRPr="00B004EE">
        <w:rPr>
          <w:rFonts w:ascii="Tahoma" w:hAnsi="Tahoma" w:cs="Tahoma"/>
          <w:sz w:val="20"/>
          <w:szCs w:val="20"/>
        </w:rPr>
        <w:t>que</w:t>
      </w:r>
      <w:r w:rsidR="00DB1635" w:rsidRPr="00B004EE">
        <w:rPr>
          <w:rFonts w:ascii="Tahoma" w:hAnsi="Tahoma" w:cs="Tahoma"/>
          <w:sz w:val="20"/>
          <w:szCs w:val="20"/>
        </w:rPr>
        <w:t xml:space="preserve"> </w:t>
      </w:r>
      <w:r w:rsidRPr="00B004EE">
        <w:rPr>
          <w:rFonts w:ascii="Tahoma" w:hAnsi="Tahoma" w:cs="Tahoma"/>
          <w:sz w:val="20"/>
          <w:szCs w:val="20"/>
        </w:rPr>
        <w:t>cela</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pacing w:val="6"/>
          <w:sz w:val="20"/>
          <w:szCs w:val="20"/>
        </w:rPr>
        <w:t>nécessaire,</w:t>
      </w:r>
      <w:r w:rsidR="00DB1635" w:rsidRPr="00B004EE">
        <w:rPr>
          <w:rFonts w:ascii="Tahoma" w:hAnsi="Tahoma" w:cs="Tahoma"/>
          <w:spacing w:val="6"/>
          <w:sz w:val="20"/>
          <w:szCs w:val="20"/>
        </w:rPr>
        <w:t xml:space="preserve"> </w:t>
      </w:r>
      <w:r w:rsidRPr="00B004EE">
        <w:rPr>
          <w:rFonts w:ascii="Tahoma" w:hAnsi="Tahoma" w:cs="Tahoma"/>
          <w:spacing w:val="5"/>
          <w:sz w:val="20"/>
          <w:szCs w:val="20"/>
        </w:rPr>
        <w:t>soit</w:t>
      </w:r>
      <w:r w:rsidR="00DB1635" w:rsidRPr="00B004EE">
        <w:rPr>
          <w:rFonts w:ascii="Tahoma" w:hAnsi="Tahoma" w:cs="Tahoma"/>
          <w:w w:val="99"/>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pacing w:val="5"/>
          <w:sz w:val="20"/>
          <w:szCs w:val="20"/>
        </w:rPr>
        <w:t>la</w:t>
      </w:r>
      <w:r w:rsidR="00DB1635" w:rsidRPr="00B004EE">
        <w:rPr>
          <w:rFonts w:ascii="Tahoma" w:hAnsi="Tahoma" w:cs="Tahoma"/>
          <w:spacing w:val="5"/>
          <w:sz w:val="20"/>
          <w:szCs w:val="20"/>
        </w:rPr>
        <w:t xml:space="preserve"> </w:t>
      </w:r>
      <w:r w:rsidRPr="00B004EE">
        <w:rPr>
          <w:rFonts w:ascii="Tahoma" w:hAnsi="Tahoma" w:cs="Tahoma"/>
          <w:spacing w:val="6"/>
          <w:sz w:val="20"/>
          <w:szCs w:val="20"/>
        </w:rPr>
        <w:t>demande</w:t>
      </w:r>
      <w:r w:rsidR="00DB1635" w:rsidRPr="00B004EE">
        <w:rPr>
          <w:rFonts w:ascii="Tahoma" w:hAnsi="Tahoma" w:cs="Tahoma"/>
          <w:spacing w:val="6"/>
          <w:sz w:val="20"/>
          <w:szCs w:val="20"/>
        </w:rPr>
        <w:t xml:space="preserve"> </w:t>
      </w:r>
      <w:r w:rsidRPr="00B004EE">
        <w:rPr>
          <w:rFonts w:ascii="Tahoma" w:hAnsi="Tahoma" w:cs="Tahoma"/>
          <w:spacing w:val="3"/>
          <w:sz w:val="20"/>
          <w:szCs w:val="20"/>
        </w:rPr>
        <w:t>de</w:t>
      </w:r>
      <w:r w:rsidR="00DB1635" w:rsidRPr="00B004EE">
        <w:rPr>
          <w:rFonts w:ascii="Tahoma" w:hAnsi="Tahoma" w:cs="Tahoma"/>
          <w:spacing w:val="3"/>
          <w:sz w:val="20"/>
          <w:szCs w:val="20"/>
        </w:rPr>
        <w:t xml:space="preserve"> </w:t>
      </w:r>
      <w:r w:rsidRPr="00B004EE">
        <w:rPr>
          <w:rFonts w:ascii="Tahoma" w:hAnsi="Tahoma" w:cs="Tahoma"/>
          <w:spacing w:val="4"/>
          <w:sz w:val="20"/>
          <w:szCs w:val="20"/>
        </w:rPr>
        <w:t>son</w:t>
      </w:r>
      <w:r w:rsidR="00DB1635" w:rsidRPr="00B004EE">
        <w:rPr>
          <w:rFonts w:ascii="Tahoma" w:hAnsi="Tahoma" w:cs="Tahoma"/>
          <w:spacing w:val="4"/>
          <w:sz w:val="20"/>
          <w:szCs w:val="20"/>
        </w:rPr>
        <w:t xml:space="preserve"> </w:t>
      </w:r>
      <w:r w:rsidRPr="00B004EE">
        <w:rPr>
          <w:rFonts w:ascii="Tahoma" w:hAnsi="Tahoma" w:cs="Tahoma"/>
          <w:spacing w:val="3"/>
          <w:sz w:val="20"/>
          <w:szCs w:val="20"/>
        </w:rPr>
        <w:t>Président</w:t>
      </w:r>
      <w:r w:rsidR="00DB1635" w:rsidRPr="00B004EE">
        <w:rPr>
          <w:rFonts w:ascii="Tahoma" w:hAnsi="Tahoma" w:cs="Tahoma"/>
          <w:spacing w:val="3"/>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pacing w:val="2"/>
          <w:sz w:val="20"/>
          <w:szCs w:val="20"/>
        </w:rPr>
        <w:t>des</w:t>
      </w:r>
      <w:r w:rsidR="00DB1635" w:rsidRPr="00B004EE">
        <w:rPr>
          <w:rFonts w:ascii="Tahoma" w:hAnsi="Tahoma" w:cs="Tahoma"/>
          <w:spacing w:val="2"/>
          <w:sz w:val="20"/>
          <w:szCs w:val="20"/>
        </w:rPr>
        <w:t xml:space="preserve"> </w:t>
      </w:r>
      <w:r w:rsidRPr="00B004EE">
        <w:rPr>
          <w:rFonts w:ascii="Tahoma" w:hAnsi="Tahoma" w:cs="Tahoma"/>
          <w:spacing w:val="2"/>
          <w:sz w:val="20"/>
          <w:szCs w:val="20"/>
        </w:rPr>
        <w:t>deux</w:t>
      </w:r>
      <w:r w:rsidR="00DB1635" w:rsidRPr="00B004EE">
        <w:rPr>
          <w:rFonts w:ascii="Tahoma" w:hAnsi="Tahoma" w:cs="Tahoma"/>
          <w:spacing w:val="2"/>
          <w:sz w:val="20"/>
          <w:szCs w:val="20"/>
        </w:rPr>
        <w:t xml:space="preserve"> </w:t>
      </w:r>
      <w:r w:rsidRPr="00B004EE">
        <w:rPr>
          <w:rFonts w:ascii="Tahoma" w:hAnsi="Tahoma" w:cs="Tahoma"/>
          <w:sz w:val="20"/>
          <w:szCs w:val="20"/>
        </w:rPr>
        <w:t>(2)</w:t>
      </w:r>
      <w:r w:rsidR="00DB1635" w:rsidRPr="00B004EE">
        <w:rPr>
          <w:rFonts w:ascii="Tahoma" w:hAnsi="Tahoma" w:cs="Tahoma"/>
          <w:sz w:val="20"/>
          <w:szCs w:val="20"/>
        </w:rPr>
        <w:t xml:space="preserve"> </w:t>
      </w:r>
      <w:r w:rsidRPr="00B004EE">
        <w:rPr>
          <w:rFonts w:ascii="Tahoma" w:hAnsi="Tahoma" w:cs="Tahoma"/>
          <w:spacing w:val="3"/>
          <w:sz w:val="20"/>
          <w:szCs w:val="20"/>
        </w:rPr>
        <w:t>tiers</w:t>
      </w:r>
      <w:r w:rsidR="00DB1635" w:rsidRPr="00B004EE">
        <w:rPr>
          <w:rFonts w:ascii="Tahoma" w:hAnsi="Tahoma" w:cs="Tahoma"/>
          <w:spacing w:val="3"/>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ses</w:t>
      </w:r>
      <w:r w:rsidR="00DB1635" w:rsidRPr="00B004EE">
        <w:rPr>
          <w:rFonts w:ascii="Tahoma" w:hAnsi="Tahoma" w:cs="Tahoma"/>
          <w:sz w:val="20"/>
          <w:szCs w:val="20"/>
        </w:rPr>
        <w:t xml:space="preserve"> </w:t>
      </w:r>
      <w:r w:rsidRPr="00B004EE">
        <w:rPr>
          <w:rFonts w:ascii="Tahoma" w:hAnsi="Tahoma" w:cs="Tahoma"/>
          <w:sz w:val="20"/>
          <w:szCs w:val="20"/>
        </w:rPr>
        <w:t>membres.</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cas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pacing w:val="4"/>
          <w:sz w:val="20"/>
          <w:szCs w:val="20"/>
        </w:rPr>
        <w:t xml:space="preserve"> </w:t>
      </w:r>
      <w:r w:rsidRPr="00B004EE">
        <w:rPr>
          <w:rFonts w:ascii="Tahoma" w:hAnsi="Tahoma" w:cs="Tahoma"/>
          <w:sz w:val="20"/>
          <w:szCs w:val="20"/>
        </w:rPr>
        <w:t>session</w:t>
      </w:r>
      <w:r w:rsidR="00DB1635" w:rsidRPr="00B004EE">
        <w:rPr>
          <w:rFonts w:ascii="Tahoma" w:hAnsi="Tahoma" w:cs="Tahoma"/>
          <w:w w:val="99"/>
          <w:sz w:val="20"/>
          <w:szCs w:val="20"/>
        </w:rPr>
        <w:t xml:space="preserve"> </w:t>
      </w:r>
      <w:r w:rsidRPr="00B004EE">
        <w:rPr>
          <w:rFonts w:ascii="Tahoma" w:hAnsi="Tahoma" w:cs="Tahoma"/>
          <w:sz w:val="20"/>
          <w:szCs w:val="20"/>
        </w:rPr>
        <w:t>extraordinaire,</w:t>
      </w:r>
      <w:r w:rsidR="00DB1635" w:rsidRPr="00B004EE">
        <w:rPr>
          <w:rFonts w:ascii="Tahoma" w:hAnsi="Tahoma" w:cs="Tahoma"/>
          <w:spacing w:val="12"/>
          <w:sz w:val="20"/>
          <w:szCs w:val="20"/>
        </w:rPr>
        <w:t xml:space="preserve"> </w:t>
      </w:r>
      <w:r w:rsidRPr="00B004EE">
        <w:rPr>
          <w:rFonts w:ascii="Tahoma" w:hAnsi="Tahoma" w:cs="Tahoma"/>
          <w:spacing w:val="5"/>
          <w:sz w:val="20"/>
          <w:szCs w:val="20"/>
        </w:rPr>
        <w:t>le</w:t>
      </w:r>
      <w:r w:rsidR="00DB1635" w:rsidRPr="00B004EE">
        <w:rPr>
          <w:rFonts w:ascii="Tahoma" w:hAnsi="Tahoma" w:cs="Tahoma"/>
          <w:spacing w:val="30"/>
          <w:sz w:val="20"/>
          <w:szCs w:val="20"/>
        </w:rPr>
        <w:t xml:space="preserve"> </w:t>
      </w:r>
      <w:r w:rsidRPr="00B004EE">
        <w:rPr>
          <w:rFonts w:ascii="Tahoma" w:hAnsi="Tahoma" w:cs="Tahoma"/>
          <w:spacing w:val="7"/>
          <w:sz w:val="20"/>
          <w:szCs w:val="20"/>
        </w:rPr>
        <w:t>Ministre</w:t>
      </w:r>
      <w:r w:rsidR="00DB1635" w:rsidRPr="00B004EE">
        <w:rPr>
          <w:rFonts w:ascii="Tahoma" w:hAnsi="Tahoma" w:cs="Tahoma"/>
          <w:spacing w:val="33"/>
          <w:sz w:val="20"/>
          <w:szCs w:val="20"/>
        </w:rPr>
        <w:t xml:space="preserve"> </w:t>
      </w:r>
      <w:r w:rsidRPr="00B004EE">
        <w:rPr>
          <w:rFonts w:ascii="Tahoma" w:hAnsi="Tahoma" w:cs="Tahoma"/>
          <w:spacing w:val="6"/>
          <w:sz w:val="20"/>
          <w:szCs w:val="20"/>
        </w:rPr>
        <w:t>chargé</w:t>
      </w:r>
      <w:r w:rsidR="00DB1635" w:rsidRPr="00B004EE">
        <w:rPr>
          <w:rFonts w:ascii="Tahoma" w:hAnsi="Tahoma" w:cs="Tahoma"/>
          <w:spacing w:val="33"/>
          <w:sz w:val="20"/>
          <w:szCs w:val="20"/>
        </w:rPr>
        <w:t xml:space="preserve"> </w:t>
      </w:r>
      <w:r w:rsidRPr="00B004EE">
        <w:rPr>
          <w:rFonts w:ascii="Tahoma" w:hAnsi="Tahoma" w:cs="Tahoma"/>
          <w:spacing w:val="4"/>
          <w:sz w:val="20"/>
          <w:szCs w:val="20"/>
        </w:rPr>
        <w:t>de</w:t>
      </w:r>
      <w:r w:rsidR="00DB1635" w:rsidRPr="00B004EE">
        <w:rPr>
          <w:rFonts w:ascii="Tahoma" w:hAnsi="Tahoma" w:cs="Tahoma"/>
          <w:spacing w:val="33"/>
          <w:sz w:val="20"/>
          <w:szCs w:val="20"/>
        </w:rPr>
        <w:t xml:space="preserve"> </w:t>
      </w:r>
      <w:r w:rsidRPr="00B004EE">
        <w:rPr>
          <w:rFonts w:ascii="Tahoma" w:hAnsi="Tahoma" w:cs="Tahoma"/>
          <w:spacing w:val="5"/>
          <w:sz w:val="20"/>
          <w:szCs w:val="20"/>
        </w:rPr>
        <w:t>la</w:t>
      </w:r>
      <w:r w:rsidR="00DB1635" w:rsidRPr="00B004EE">
        <w:rPr>
          <w:rFonts w:ascii="Tahoma" w:hAnsi="Tahoma" w:cs="Tahoma"/>
          <w:spacing w:val="33"/>
          <w:sz w:val="20"/>
          <w:szCs w:val="20"/>
        </w:rPr>
        <w:t xml:space="preserve"> </w:t>
      </w:r>
      <w:r w:rsidRPr="00B004EE">
        <w:rPr>
          <w:rFonts w:ascii="Tahoma" w:hAnsi="Tahoma" w:cs="Tahoma"/>
          <w:spacing w:val="7"/>
          <w:sz w:val="20"/>
          <w:szCs w:val="20"/>
        </w:rPr>
        <w:t>tutelle,</w:t>
      </w:r>
      <w:r w:rsidR="00DB1635" w:rsidRPr="00B004EE">
        <w:rPr>
          <w:rFonts w:ascii="Tahoma" w:hAnsi="Tahoma" w:cs="Tahoma"/>
          <w:spacing w:val="31"/>
          <w:sz w:val="20"/>
          <w:szCs w:val="20"/>
        </w:rPr>
        <w:t xml:space="preserve"> </w:t>
      </w:r>
      <w:r w:rsidRPr="00B004EE">
        <w:rPr>
          <w:rFonts w:ascii="Tahoma" w:hAnsi="Tahoma" w:cs="Tahoma"/>
          <w:spacing w:val="5"/>
          <w:sz w:val="20"/>
          <w:szCs w:val="20"/>
        </w:rPr>
        <w:t>est</w:t>
      </w:r>
      <w:r w:rsidR="00DB1635" w:rsidRPr="00B004EE">
        <w:rPr>
          <w:rFonts w:ascii="Tahoma" w:hAnsi="Tahoma" w:cs="Tahoma"/>
          <w:spacing w:val="34"/>
          <w:sz w:val="20"/>
          <w:szCs w:val="20"/>
        </w:rPr>
        <w:t xml:space="preserve"> </w:t>
      </w:r>
      <w:r w:rsidRPr="00B004EE">
        <w:rPr>
          <w:rFonts w:ascii="Tahoma" w:hAnsi="Tahoma" w:cs="Tahoma"/>
          <w:sz w:val="20"/>
          <w:szCs w:val="20"/>
        </w:rPr>
        <w:t>à</w:t>
      </w:r>
      <w:r w:rsidR="00DB1635" w:rsidRPr="00B004EE">
        <w:rPr>
          <w:rFonts w:ascii="Tahoma" w:hAnsi="Tahoma" w:cs="Tahoma"/>
          <w:spacing w:val="30"/>
          <w:sz w:val="20"/>
          <w:szCs w:val="20"/>
        </w:rPr>
        <w:t xml:space="preserve"> </w:t>
      </w:r>
      <w:r w:rsidRPr="00B004EE">
        <w:rPr>
          <w:rFonts w:ascii="Tahoma" w:hAnsi="Tahoma" w:cs="Tahoma"/>
          <w:sz w:val="20"/>
          <w:szCs w:val="20"/>
        </w:rPr>
        <w:t>chaque</w:t>
      </w:r>
      <w:r w:rsidR="00DB1635" w:rsidRPr="00B004EE">
        <w:rPr>
          <w:rFonts w:ascii="Tahoma" w:hAnsi="Tahoma" w:cs="Tahoma"/>
          <w:spacing w:val="13"/>
          <w:sz w:val="20"/>
          <w:szCs w:val="20"/>
        </w:rPr>
        <w:t xml:space="preserve"> </w:t>
      </w:r>
      <w:r w:rsidRPr="00B004EE">
        <w:rPr>
          <w:rFonts w:ascii="Tahoma" w:hAnsi="Tahoma" w:cs="Tahoma"/>
          <w:sz w:val="20"/>
          <w:szCs w:val="20"/>
        </w:rPr>
        <w:t>fois</w:t>
      </w:r>
      <w:r w:rsidR="00DB1635" w:rsidRPr="00B004EE">
        <w:rPr>
          <w:rFonts w:ascii="Tahoma" w:hAnsi="Tahoma" w:cs="Tahoma"/>
          <w:spacing w:val="15"/>
          <w:sz w:val="20"/>
          <w:szCs w:val="20"/>
        </w:rPr>
        <w:t xml:space="preserve"> </w:t>
      </w:r>
      <w:r w:rsidRPr="00B004EE">
        <w:rPr>
          <w:rFonts w:ascii="Tahoma" w:hAnsi="Tahoma" w:cs="Tahoma"/>
          <w:sz w:val="20"/>
          <w:szCs w:val="20"/>
        </w:rPr>
        <w:t>informé</w:t>
      </w:r>
      <w:r w:rsidR="00DB1635" w:rsidRPr="00B004EE">
        <w:rPr>
          <w:rFonts w:ascii="Tahoma" w:hAnsi="Tahoma" w:cs="Tahoma"/>
          <w:spacing w:val="13"/>
          <w:sz w:val="20"/>
          <w:szCs w:val="20"/>
        </w:rPr>
        <w:t xml:space="preserve"> </w:t>
      </w:r>
      <w:r w:rsidRPr="00B004EE">
        <w:rPr>
          <w:rFonts w:ascii="Tahoma" w:hAnsi="Tahoma" w:cs="Tahoma"/>
          <w:sz w:val="20"/>
          <w:szCs w:val="20"/>
        </w:rPr>
        <w:t>au</w:t>
      </w:r>
      <w:r w:rsidR="00DB1635" w:rsidRPr="00B004EE">
        <w:rPr>
          <w:rFonts w:ascii="Tahoma" w:hAnsi="Tahoma" w:cs="Tahoma"/>
          <w:spacing w:val="14"/>
          <w:sz w:val="20"/>
          <w:szCs w:val="20"/>
        </w:rPr>
        <w:t xml:space="preserve"> </w:t>
      </w:r>
      <w:r w:rsidRPr="00B004EE">
        <w:rPr>
          <w:rFonts w:ascii="Tahoma" w:hAnsi="Tahoma" w:cs="Tahoma"/>
          <w:sz w:val="20"/>
          <w:szCs w:val="20"/>
        </w:rPr>
        <w:t>préalable.</w:t>
      </w:r>
      <w:r w:rsidR="00DB1635" w:rsidRPr="00B004EE">
        <w:rPr>
          <w:rFonts w:ascii="Tahoma" w:hAnsi="Tahoma" w:cs="Tahoma"/>
          <w:spacing w:val="17"/>
          <w:sz w:val="20"/>
          <w:szCs w:val="20"/>
        </w:rPr>
        <w:t xml:space="preserve"> </w:t>
      </w:r>
      <w:r w:rsidRPr="00B004EE">
        <w:rPr>
          <w:rFonts w:ascii="Tahoma" w:hAnsi="Tahoma" w:cs="Tahoma"/>
          <w:sz w:val="20"/>
          <w:szCs w:val="20"/>
        </w:rPr>
        <w:t>La</w:t>
      </w:r>
      <w:r w:rsidR="00DB1635" w:rsidRPr="00B004EE">
        <w:rPr>
          <w:rFonts w:ascii="Tahoma" w:hAnsi="Tahoma" w:cs="Tahoma"/>
          <w:w w:val="99"/>
          <w:sz w:val="20"/>
          <w:szCs w:val="20"/>
        </w:rPr>
        <w:t xml:space="preserve"> </w:t>
      </w:r>
      <w:r w:rsidRPr="00B004EE">
        <w:rPr>
          <w:rFonts w:ascii="Tahoma" w:hAnsi="Tahoma" w:cs="Tahoma"/>
          <w:spacing w:val="2"/>
          <w:sz w:val="20"/>
          <w:szCs w:val="20"/>
        </w:rPr>
        <w:t>convocation,</w:t>
      </w:r>
      <w:r w:rsidR="00DB1635" w:rsidRPr="00B004EE">
        <w:rPr>
          <w:rFonts w:ascii="Tahoma" w:hAnsi="Tahoma" w:cs="Tahoma"/>
          <w:spacing w:val="2"/>
          <w:sz w:val="20"/>
          <w:szCs w:val="20"/>
        </w:rPr>
        <w:t xml:space="preserve"> </w:t>
      </w:r>
      <w:r w:rsidRPr="00B004EE">
        <w:rPr>
          <w:rFonts w:ascii="Tahoma" w:hAnsi="Tahoma" w:cs="Tahoma"/>
          <w:spacing w:val="2"/>
          <w:sz w:val="20"/>
          <w:szCs w:val="20"/>
        </w:rPr>
        <w:t>l'ordre</w:t>
      </w:r>
      <w:r w:rsidR="00DB1635" w:rsidRPr="00B004EE">
        <w:rPr>
          <w:rFonts w:ascii="Tahoma" w:hAnsi="Tahoma" w:cs="Tahoma"/>
          <w:spacing w:val="2"/>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jour</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pacing w:val="5"/>
          <w:sz w:val="20"/>
          <w:szCs w:val="20"/>
        </w:rPr>
        <w:t>documents</w:t>
      </w:r>
      <w:r w:rsidR="00DB1635" w:rsidRPr="00B004EE">
        <w:rPr>
          <w:rFonts w:ascii="Tahoma" w:hAnsi="Tahoma" w:cs="Tahoma"/>
          <w:spacing w:val="5"/>
          <w:sz w:val="20"/>
          <w:szCs w:val="20"/>
        </w:rPr>
        <w:t xml:space="preserve"> </w:t>
      </w:r>
      <w:r w:rsidRPr="00B004EE">
        <w:rPr>
          <w:rFonts w:ascii="Tahoma" w:hAnsi="Tahoma" w:cs="Tahoma"/>
          <w:spacing w:val="3"/>
          <w:sz w:val="20"/>
          <w:szCs w:val="20"/>
        </w:rPr>
        <w:t>de</w:t>
      </w:r>
      <w:r w:rsidR="00DB1635" w:rsidRPr="00B004EE">
        <w:rPr>
          <w:rFonts w:ascii="Tahoma" w:hAnsi="Tahoma" w:cs="Tahoma"/>
          <w:spacing w:val="3"/>
          <w:sz w:val="20"/>
          <w:szCs w:val="20"/>
        </w:rPr>
        <w:t xml:space="preserve"> </w:t>
      </w:r>
      <w:r w:rsidRPr="00B004EE">
        <w:rPr>
          <w:rFonts w:ascii="Tahoma" w:hAnsi="Tahoma" w:cs="Tahoma"/>
          <w:spacing w:val="4"/>
          <w:sz w:val="20"/>
          <w:szCs w:val="20"/>
        </w:rPr>
        <w:t>travail</w:t>
      </w:r>
      <w:r w:rsidR="00DB1635" w:rsidRPr="00B004EE">
        <w:rPr>
          <w:rFonts w:ascii="Tahoma" w:hAnsi="Tahoma" w:cs="Tahoma"/>
          <w:spacing w:val="4"/>
          <w:sz w:val="20"/>
          <w:szCs w:val="20"/>
        </w:rPr>
        <w:t xml:space="preserve"> </w:t>
      </w:r>
      <w:r w:rsidRPr="00B004EE">
        <w:rPr>
          <w:rFonts w:ascii="Tahoma" w:hAnsi="Tahoma" w:cs="Tahoma"/>
          <w:spacing w:val="3"/>
          <w:sz w:val="20"/>
          <w:szCs w:val="20"/>
        </w:rPr>
        <w:t>de</w:t>
      </w:r>
      <w:r w:rsidR="00DB1635" w:rsidRPr="00B004EE">
        <w:rPr>
          <w:rFonts w:ascii="Tahoma" w:hAnsi="Tahoma" w:cs="Tahoma"/>
          <w:spacing w:val="3"/>
          <w:sz w:val="20"/>
          <w:szCs w:val="20"/>
        </w:rPr>
        <w:t xml:space="preserve"> </w:t>
      </w:r>
      <w:r w:rsidRPr="00B004EE">
        <w:rPr>
          <w:rFonts w:ascii="Tahoma" w:hAnsi="Tahoma" w:cs="Tahoma"/>
          <w:spacing w:val="2"/>
          <w:sz w:val="20"/>
          <w:szCs w:val="20"/>
        </w:rPr>
        <w:t>la</w:t>
      </w:r>
      <w:r w:rsidR="00DB1635" w:rsidRPr="00B004EE">
        <w:rPr>
          <w:rFonts w:ascii="Tahoma" w:hAnsi="Tahoma" w:cs="Tahoma"/>
          <w:spacing w:val="2"/>
          <w:sz w:val="20"/>
          <w:szCs w:val="20"/>
        </w:rPr>
        <w:t xml:space="preserve"> </w:t>
      </w:r>
      <w:r w:rsidRPr="00B004EE">
        <w:rPr>
          <w:rFonts w:ascii="Tahoma" w:hAnsi="Tahoma" w:cs="Tahoma"/>
          <w:spacing w:val="4"/>
          <w:sz w:val="20"/>
          <w:szCs w:val="20"/>
        </w:rPr>
        <w:t>réunion</w:t>
      </w:r>
      <w:r w:rsidR="00DB1635" w:rsidRPr="00B004EE">
        <w:rPr>
          <w:rFonts w:ascii="Tahoma" w:hAnsi="Tahoma" w:cs="Tahoma"/>
          <w:spacing w:val="4"/>
          <w:sz w:val="20"/>
          <w:szCs w:val="20"/>
        </w:rPr>
        <w:t xml:space="preserve"> </w:t>
      </w:r>
      <w:r w:rsidRPr="00B004EE">
        <w:rPr>
          <w:rFonts w:ascii="Tahoma" w:hAnsi="Tahoma" w:cs="Tahoma"/>
          <w:spacing w:val="3"/>
          <w:sz w:val="20"/>
          <w:szCs w:val="20"/>
        </w:rPr>
        <w:t>du</w:t>
      </w:r>
      <w:r w:rsidR="00DB1635" w:rsidRPr="00B004EE">
        <w:rPr>
          <w:rFonts w:ascii="Tahoma" w:hAnsi="Tahoma" w:cs="Tahoma"/>
          <w:spacing w:val="29"/>
          <w:sz w:val="20"/>
          <w:szCs w:val="20"/>
        </w:rPr>
        <w:t xml:space="preserve"> </w:t>
      </w:r>
      <w:r w:rsidRPr="00B004EE">
        <w:rPr>
          <w:rFonts w:ascii="Tahoma" w:hAnsi="Tahoma" w:cs="Tahoma"/>
          <w:sz w:val="20"/>
          <w:szCs w:val="20"/>
        </w:rPr>
        <w:t>Conseil</w:t>
      </w:r>
      <w:r w:rsidR="00DB1635" w:rsidRPr="00B004EE">
        <w:rPr>
          <w:rFonts w:ascii="Tahoma" w:hAnsi="Tahoma" w:cs="Tahoma"/>
          <w:w w:val="99"/>
          <w:sz w:val="20"/>
          <w:szCs w:val="20"/>
        </w:rPr>
        <w:t xml:space="preserve"> </w:t>
      </w:r>
      <w:r w:rsidRPr="00B004EE">
        <w:rPr>
          <w:rFonts w:ascii="Tahoma" w:hAnsi="Tahoma" w:cs="Tahoma"/>
          <w:sz w:val="20"/>
          <w:szCs w:val="20"/>
        </w:rPr>
        <w:t>d'Administration</w:t>
      </w:r>
      <w:r w:rsidR="00DB1635" w:rsidRPr="00B004EE">
        <w:rPr>
          <w:rFonts w:ascii="Tahoma" w:hAnsi="Tahoma" w:cs="Tahoma"/>
          <w:spacing w:val="11"/>
          <w:sz w:val="20"/>
          <w:szCs w:val="20"/>
        </w:rPr>
        <w:t xml:space="preserve"> </w:t>
      </w:r>
      <w:r w:rsidRPr="00B004EE">
        <w:rPr>
          <w:rFonts w:ascii="Tahoma" w:hAnsi="Tahoma" w:cs="Tahoma"/>
          <w:sz w:val="20"/>
          <w:szCs w:val="20"/>
        </w:rPr>
        <w:t>sont</w:t>
      </w:r>
      <w:r w:rsidR="00DB1635" w:rsidRPr="00B004EE">
        <w:rPr>
          <w:rFonts w:ascii="Tahoma" w:hAnsi="Tahoma" w:cs="Tahoma"/>
          <w:spacing w:val="14"/>
          <w:sz w:val="20"/>
          <w:szCs w:val="20"/>
        </w:rPr>
        <w:t xml:space="preserve"> </w:t>
      </w:r>
      <w:r w:rsidRPr="00B004EE">
        <w:rPr>
          <w:rFonts w:ascii="Tahoma" w:hAnsi="Tahoma" w:cs="Tahoma"/>
          <w:sz w:val="20"/>
          <w:szCs w:val="20"/>
        </w:rPr>
        <w:t>adressés</w:t>
      </w:r>
      <w:r w:rsidR="00DB1635" w:rsidRPr="00B004EE">
        <w:rPr>
          <w:rFonts w:ascii="Tahoma" w:hAnsi="Tahoma" w:cs="Tahoma"/>
          <w:spacing w:val="14"/>
          <w:sz w:val="20"/>
          <w:szCs w:val="20"/>
        </w:rPr>
        <w:t xml:space="preserve"> </w:t>
      </w:r>
      <w:r w:rsidRPr="00B004EE">
        <w:rPr>
          <w:rFonts w:ascii="Tahoma" w:hAnsi="Tahoma" w:cs="Tahoma"/>
          <w:sz w:val="20"/>
          <w:szCs w:val="20"/>
        </w:rPr>
        <w:t>aux</w:t>
      </w:r>
      <w:r w:rsidR="00DB1635" w:rsidRPr="00B004EE">
        <w:rPr>
          <w:rFonts w:ascii="Tahoma" w:hAnsi="Tahoma" w:cs="Tahoma"/>
          <w:spacing w:val="16"/>
          <w:sz w:val="20"/>
          <w:szCs w:val="20"/>
        </w:rPr>
        <w:t xml:space="preserve"> </w:t>
      </w:r>
      <w:r w:rsidRPr="00B004EE">
        <w:rPr>
          <w:rFonts w:ascii="Tahoma" w:hAnsi="Tahoma" w:cs="Tahoma"/>
          <w:spacing w:val="7"/>
          <w:sz w:val="20"/>
          <w:szCs w:val="20"/>
        </w:rPr>
        <w:t>membres,</w:t>
      </w:r>
      <w:r w:rsidR="00DB1635" w:rsidRPr="00B004EE">
        <w:rPr>
          <w:rFonts w:ascii="Tahoma" w:hAnsi="Tahoma" w:cs="Tahoma"/>
          <w:spacing w:val="34"/>
          <w:sz w:val="20"/>
          <w:szCs w:val="20"/>
        </w:rPr>
        <w:t xml:space="preserve"> </w:t>
      </w:r>
      <w:r w:rsidRPr="00B004EE">
        <w:rPr>
          <w:rFonts w:ascii="Tahoma" w:hAnsi="Tahoma" w:cs="Tahoma"/>
          <w:spacing w:val="4"/>
          <w:sz w:val="20"/>
          <w:szCs w:val="20"/>
        </w:rPr>
        <w:t>au</w:t>
      </w:r>
      <w:r w:rsidR="00DB1635" w:rsidRPr="00B004EE">
        <w:rPr>
          <w:rFonts w:ascii="Tahoma" w:hAnsi="Tahoma" w:cs="Tahoma"/>
          <w:spacing w:val="34"/>
          <w:sz w:val="20"/>
          <w:szCs w:val="20"/>
        </w:rPr>
        <w:t xml:space="preserve"> </w:t>
      </w:r>
      <w:r w:rsidRPr="00B004EE">
        <w:rPr>
          <w:rFonts w:ascii="Tahoma" w:hAnsi="Tahoma" w:cs="Tahoma"/>
          <w:spacing w:val="7"/>
          <w:sz w:val="20"/>
          <w:szCs w:val="20"/>
        </w:rPr>
        <w:t>moins,</w:t>
      </w:r>
      <w:r w:rsidR="00DB1635" w:rsidRPr="00B004EE">
        <w:rPr>
          <w:rFonts w:ascii="Tahoma" w:hAnsi="Tahoma" w:cs="Tahoma"/>
          <w:spacing w:val="34"/>
          <w:sz w:val="20"/>
          <w:szCs w:val="20"/>
        </w:rPr>
        <w:t xml:space="preserve"> </w:t>
      </w:r>
      <w:r w:rsidRPr="00B004EE">
        <w:rPr>
          <w:rFonts w:ascii="Tahoma" w:hAnsi="Tahoma" w:cs="Tahoma"/>
          <w:spacing w:val="7"/>
          <w:sz w:val="20"/>
          <w:szCs w:val="20"/>
        </w:rPr>
        <w:t>huit</w:t>
      </w:r>
      <w:r w:rsidR="00DB1635" w:rsidRPr="00B004EE">
        <w:rPr>
          <w:rFonts w:ascii="Tahoma" w:hAnsi="Tahoma" w:cs="Tahoma"/>
          <w:spacing w:val="34"/>
          <w:sz w:val="20"/>
          <w:szCs w:val="20"/>
        </w:rPr>
        <w:t xml:space="preserve"> </w:t>
      </w:r>
      <w:r w:rsidRPr="00B004EE">
        <w:rPr>
          <w:rFonts w:ascii="Tahoma" w:hAnsi="Tahoma" w:cs="Tahoma"/>
          <w:spacing w:val="5"/>
          <w:sz w:val="20"/>
          <w:szCs w:val="20"/>
        </w:rPr>
        <w:t>(8)</w:t>
      </w:r>
      <w:r w:rsidR="00DB1635" w:rsidRPr="00B004EE">
        <w:rPr>
          <w:rFonts w:ascii="Tahoma" w:hAnsi="Tahoma" w:cs="Tahoma"/>
          <w:spacing w:val="33"/>
          <w:sz w:val="20"/>
          <w:szCs w:val="20"/>
        </w:rPr>
        <w:t xml:space="preserve"> </w:t>
      </w:r>
      <w:r w:rsidRPr="00B004EE">
        <w:rPr>
          <w:rFonts w:ascii="Tahoma" w:hAnsi="Tahoma" w:cs="Tahoma"/>
          <w:spacing w:val="7"/>
          <w:sz w:val="20"/>
          <w:szCs w:val="20"/>
        </w:rPr>
        <w:t>jours</w:t>
      </w:r>
      <w:r w:rsidR="00DB1635" w:rsidRPr="00B004EE">
        <w:rPr>
          <w:rFonts w:ascii="Tahoma" w:hAnsi="Tahoma" w:cs="Tahoma"/>
          <w:spacing w:val="37"/>
          <w:sz w:val="20"/>
          <w:szCs w:val="20"/>
        </w:rPr>
        <w:t xml:space="preserve"> </w:t>
      </w:r>
      <w:r w:rsidRPr="00B004EE">
        <w:rPr>
          <w:rFonts w:ascii="Tahoma" w:hAnsi="Tahoma" w:cs="Tahoma"/>
          <w:sz w:val="20"/>
          <w:szCs w:val="20"/>
        </w:rPr>
        <w:t>à</w:t>
      </w:r>
      <w:r w:rsidR="00DB1635" w:rsidRPr="00B004EE">
        <w:rPr>
          <w:rFonts w:ascii="Tahoma" w:hAnsi="Tahoma" w:cs="Tahoma"/>
          <w:spacing w:val="35"/>
          <w:sz w:val="20"/>
          <w:szCs w:val="20"/>
        </w:rPr>
        <w:t xml:space="preserve"> </w:t>
      </w:r>
      <w:r w:rsidRPr="00B004EE">
        <w:rPr>
          <w:rFonts w:ascii="Tahoma" w:hAnsi="Tahoma" w:cs="Tahoma"/>
          <w:sz w:val="20"/>
          <w:szCs w:val="20"/>
        </w:rPr>
        <w:t>l'avance.</w:t>
      </w:r>
      <w:r w:rsidR="00DB1635" w:rsidRPr="00B004EE">
        <w:rPr>
          <w:rFonts w:ascii="Tahoma" w:hAnsi="Tahoma" w:cs="Tahoma"/>
          <w:spacing w:val="11"/>
          <w:sz w:val="20"/>
          <w:szCs w:val="20"/>
        </w:rPr>
        <w:t xml:space="preserve"> </w:t>
      </w:r>
      <w:r w:rsidRPr="00B004EE">
        <w:rPr>
          <w:rFonts w:ascii="Tahoma" w:hAnsi="Tahoma" w:cs="Tahoma"/>
          <w:sz w:val="20"/>
          <w:szCs w:val="20"/>
        </w:rPr>
        <w:t>Ce</w:t>
      </w:r>
      <w:r w:rsidR="00DB1635" w:rsidRPr="00B004EE">
        <w:rPr>
          <w:rFonts w:ascii="Tahoma" w:hAnsi="Tahoma" w:cs="Tahoma"/>
          <w:spacing w:val="12"/>
          <w:sz w:val="20"/>
          <w:szCs w:val="20"/>
        </w:rPr>
        <w:t xml:space="preserve"> </w:t>
      </w:r>
      <w:r w:rsidRPr="00B004EE">
        <w:rPr>
          <w:rFonts w:ascii="Tahoma" w:hAnsi="Tahoma" w:cs="Tahoma"/>
          <w:sz w:val="20"/>
          <w:szCs w:val="20"/>
        </w:rPr>
        <w:t>délai</w:t>
      </w:r>
      <w:r w:rsidR="00DB1635" w:rsidRPr="00B004EE">
        <w:rPr>
          <w:rFonts w:ascii="Tahoma" w:hAnsi="Tahoma" w:cs="Tahoma"/>
          <w:w w:val="99"/>
          <w:sz w:val="20"/>
          <w:szCs w:val="20"/>
        </w:rPr>
        <w:t xml:space="preserve"> </w:t>
      </w:r>
      <w:r w:rsidRPr="00B004EE">
        <w:rPr>
          <w:rFonts w:ascii="Tahoma" w:hAnsi="Tahoma" w:cs="Tahoma"/>
          <w:sz w:val="20"/>
          <w:szCs w:val="20"/>
        </w:rPr>
        <w:t>peut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ramené</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quatre</w:t>
      </w:r>
      <w:r w:rsidR="00DB1635" w:rsidRPr="00B004EE">
        <w:rPr>
          <w:rFonts w:ascii="Tahoma" w:hAnsi="Tahoma" w:cs="Tahoma"/>
          <w:sz w:val="20"/>
          <w:szCs w:val="20"/>
        </w:rPr>
        <w:t xml:space="preserve"> </w:t>
      </w:r>
      <w:r w:rsidRPr="00B004EE">
        <w:rPr>
          <w:rFonts w:ascii="Tahoma" w:hAnsi="Tahoma" w:cs="Tahoma"/>
          <w:spacing w:val="2"/>
          <w:sz w:val="20"/>
          <w:szCs w:val="20"/>
        </w:rPr>
        <w:t>(4)</w:t>
      </w:r>
      <w:r w:rsidR="00DB1635" w:rsidRPr="00B004EE">
        <w:rPr>
          <w:rFonts w:ascii="Tahoma" w:hAnsi="Tahoma" w:cs="Tahoma"/>
          <w:spacing w:val="2"/>
          <w:sz w:val="20"/>
          <w:szCs w:val="20"/>
        </w:rPr>
        <w:t xml:space="preserve"> </w:t>
      </w:r>
      <w:r w:rsidRPr="00B004EE">
        <w:rPr>
          <w:rFonts w:ascii="Tahoma" w:hAnsi="Tahoma" w:cs="Tahoma"/>
          <w:spacing w:val="3"/>
          <w:sz w:val="20"/>
          <w:szCs w:val="20"/>
        </w:rPr>
        <w:t>jours</w:t>
      </w:r>
      <w:r w:rsidR="00DB1635" w:rsidRPr="00B004EE">
        <w:rPr>
          <w:rFonts w:ascii="Tahoma" w:hAnsi="Tahoma" w:cs="Tahoma"/>
          <w:spacing w:val="3"/>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cas</w:t>
      </w:r>
      <w:r w:rsidR="00DB1635" w:rsidRPr="00B004EE">
        <w:rPr>
          <w:rFonts w:ascii="Tahoma" w:hAnsi="Tahoma" w:cs="Tahoma"/>
          <w:sz w:val="20"/>
          <w:szCs w:val="20"/>
        </w:rPr>
        <w:t xml:space="preserve"> </w:t>
      </w:r>
      <w:r w:rsidRPr="00B004EE">
        <w:rPr>
          <w:rFonts w:ascii="Tahoma" w:hAnsi="Tahoma" w:cs="Tahoma"/>
          <w:spacing w:val="2"/>
          <w:sz w:val="20"/>
          <w:szCs w:val="20"/>
        </w:rPr>
        <w:t>d'urgence</w:t>
      </w:r>
      <w:r w:rsidR="00DB1635" w:rsidRPr="00B004EE">
        <w:rPr>
          <w:rFonts w:ascii="Tahoma" w:hAnsi="Tahoma" w:cs="Tahoma"/>
          <w:spacing w:val="2"/>
          <w:sz w:val="20"/>
          <w:szCs w:val="20"/>
        </w:rPr>
        <w:t xml:space="preserve"> </w:t>
      </w:r>
      <w:r w:rsidRPr="00B004EE">
        <w:rPr>
          <w:rFonts w:ascii="Tahoma" w:hAnsi="Tahoma" w:cs="Tahoma"/>
          <w:spacing w:val="3"/>
          <w:sz w:val="20"/>
          <w:szCs w:val="20"/>
        </w:rPr>
        <w:t>sur</w:t>
      </w:r>
      <w:r w:rsidR="00DB1635" w:rsidRPr="00B004EE">
        <w:rPr>
          <w:rFonts w:ascii="Tahoma" w:hAnsi="Tahoma" w:cs="Tahoma"/>
          <w:spacing w:val="3"/>
          <w:sz w:val="20"/>
          <w:szCs w:val="20"/>
        </w:rPr>
        <w:t xml:space="preserve"> </w:t>
      </w:r>
      <w:r w:rsidRPr="00B004EE">
        <w:rPr>
          <w:rFonts w:ascii="Tahoma" w:hAnsi="Tahoma" w:cs="Tahoma"/>
          <w:spacing w:val="2"/>
          <w:sz w:val="20"/>
          <w:szCs w:val="20"/>
        </w:rPr>
        <w:t>décision</w:t>
      </w:r>
      <w:r w:rsidR="00DB1635" w:rsidRPr="00B004EE">
        <w:rPr>
          <w:rFonts w:ascii="Tahoma" w:hAnsi="Tahoma" w:cs="Tahoma"/>
          <w:spacing w:val="2"/>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pacing w:val="-4"/>
          <w:sz w:val="20"/>
          <w:szCs w:val="20"/>
        </w:rPr>
        <w:t>Président.</w:t>
      </w:r>
      <w:r w:rsidR="00DB1635" w:rsidRPr="00B004EE">
        <w:rPr>
          <w:rFonts w:ascii="Tahoma" w:hAnsi="Tahoma" w:cs="Tahoma"/>
          <w:spacing w:val="-4"/>
          <w:sz w:val="20"/>
          <w:szCs w:val="20"/>
        </w:rPr>
        <w:t xml:space="preserve"> </w:t>
      </w:r>
      <w:r w:rsidRPr="00B004EE">
        <w:rPr>
          <w:rFonts w:ascii="Tahoma" w:hAnsi="Tahoma" w:cs="Tahoma"/>
          <w:sz w:val="20"/>
          <w:szCs w:val="20"/>
        </w:rPr>
        <w:t>La</w:t>
      </w:r>
      <w:r w:rsidR="00DB1635" w:rsidRPr="00B004EE">
        <w:rPr>
          <w:rFonts w:ascii="Tahoma" w:hAnsi="Tahoma" w:cs="Tahoma"/>
          <w:spacing w:val="49"/>
          <w:sz w:val="20"/>
          <w:szCs w:val="20"/>
        </w:rPr>
        <w:t xml:space="preserve"> </w:t>
      </w:r>
      <w:r w:rsidRPr="00B004EE">
        <w:rPr>
          <w:rFonts w:ascii="Tahoma" w:hAnsi="Tahoma" w:cs="Tahoma"/>
          <w:sz w:val="20"/>
          <w:szCs w:val="20"/>
        </w:rPr>
        <w:t>présence</w:t>
      </w:r>
      <w:r w:rsidR="00DB1635" w:rsidRPr="00B004EE">
        <w:rPr>
          <w:rFonts w:ascii="Tahoma" w:hAnsi="Tahoma" w:cs="Tahoma"/>
          <w:w w:val="99"/>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sessions</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Conseil</w:t>
      </w:r>
      <w:r w:rsidR="00DB1635" w:rsidRPr="00B004EE">
        <w:rPr>
          <w:rFonts w:ascii="Tahoma" w:hAnsi="Tahoma" w:cs="Tahoma"/>
          <w:sz w:val="20"/>
          <w:szCs w:val="20"/>
        </w:rPr>
        <w:t xml:space="preserve"> </w:t>
      </w:r>
      <w:r w:rsidRPr="00B004EE">
        <w:rPr>
          <w:rFonts w:ascii="Tahoma" w:hAnsi="Tahoma" w:cs="Tahoma"/>
          <w:sz w:val="20"/>
          <w:szCs w:val="20"/>
        </w:rPr>
        <w:t>d'Administration</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obligatoire.</w:t>
      </w:r>
      <w:r w:rsidR="00DB1635" w:rsidRPr="00B004EE">
        <w:rPr>
          <w:rFonts w:ascii="Tahoma" w:hAnsi="Tahoma" w:cs="Tahoma"/>
          <w:sz w:val="20"/>
          <w:szCs w:val="20"/>
        </w:rPr>
        <w:t xml:space="preserve"> </w:t>
      </w:r>
      <w:r w:rsidRPr="00B004EE">
        <w:rPr>
          <w:rFonts w:ascii="Tahoma" w:hAnsi="Tahoma" w:cs="Tahoma"/>
          <w:sz w:val="20"/>
          <w:szCs w:val="20"/>
        </w:rPr>
        <w:t>Si</w:t>
      </w:r>
      <w:r w:rsidR="00DB1635" w:rsidRPr="00B004EE">
        <w:rPr>
          <w:rFonts w:ascii="Tahoma" w:hAnsi="Tahoma" w:cs="Tahoma"/>
          <w:sz w:val="20"/>
          <w:szCs w:val="20"/>
        </w:rPr>
        <w:t xml:space="preserve"> </w:t>
      </w: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pacing w:val="6"/>
          <w:sz w:val="20"/>
          <w:szCs w:val="20"/>
        </w:rPr>
        <w:t>administrateur</w:t>
      </w:r>
      <w:r w:rsidR="00DB1635" w:rsidRPr="00B004EE">
        <w:rPr>
          <w:rFonts w:ascii="Tahoma" w:hAnsi="Tahoma" w:cs="Tahoma"/>
          <w:w w:val="99"/>
          <w:sz w:val="20"/>
          <w:szCs w:val="20"/>
        </w:rPr>
        <w:t xml:space="preserve"> </w:t>
      </w:r>
      <w:r w:rsidRPr="00B004EE">
        <w:rPr>
          <w:rFonts w:ascii="Tahoma" w:hAnsi="Tahoma" w:cs="Tahoma"/>
          <w:spacing w:val="6"/>
          <w:sz w:val="20"/>
          <w:szCs w:val="20"/>
        </w:rPr>
        <w:t>s'abstient</w:t>
      </w:r>
      <w:r w:rsidR="00DB1635" w:rsidRPr="00B004EE">
        <w:rPr>
          <w:rFonts w:ascii="Tahoma" w:hAnsi="Tahoma" w:cs="Tahoma"/>
          <w:spacing w:val="6"/>
          <w:sz w:val="20"/>
          <w:szCs w:val="20"/>
        </w:rPr>
        <w:t xml:space="preserve"> </w:t>
      </w:r>
      <w:r w:rsidRPr="00B004EE">
        <w:rPr>
          <w:rFonts w:ascii="Tahoma" w:hAnsi="Tahoma" w:cs="Tahoma"/>
          <w:spacing w:val="4"/>
          <w:sz w:val="20"/>
          <w:szCs w:val="20"/>
        </w:rPr>
        <w:t>de</w:t>
      </w:r>
      <w:r w:rsidR="00DB1635" w:rsidRPr="00B004EE">
        <w:rPr>
          <w:rFonts w:ascii="Tahoma" w:hAnsi="Tahoma" w:cs="Tahoma"/>
          <w:spacing w:val="4"/>
          <w:sz w:val="20"/>
          <w:szCs w:val="20"/>
        </w:rPr>
        <w:t xml:space="preserve"> </w:t>
      </w:r>
      <w:r w:rsidRPr="00B004EE">
        <w:rPr>
          <w:rFonts w:ascii="Tahoma" w:hAnsi="Tahoma" w:cs="Tahoma"/>
          <w:spacing w:val="4"/>
          <w:sz w:val="20"/>
          <w:szCs w:val="20"/>
        </w:rPr>
        <w:t>se</w:t>
      </w:r>
      <w:r w:rsidR="00DB1635" w:rsidRPr="00B004EE">
        <w:rPr>
          <w:rFonts w:ascii="Tahoma" w:hAnsi="Tahoma" w:cs="Tahoma"/>
          <w:spacing w:val="4"/>
          <w:sz w:val="20"/>
          <w:szCs w:val="20"/>
        </w:rPr>
        <w:t xml:space="preserve"> </w:t>
      </w:r>
      <w:r w:rsidRPr="00B004EE">
        <w:rPr>
          <w:rFonts w:ascii="Tahoma" w:hAnsi="Tahoma" w:cs="Tahoma"/>
          <w:spacing w:val="6"/>
          <w:sz w:val="20"/>
          <w:szCs w:val="20"/>
        </w:rPr>
        <w:t>rendre</w:t>
      </w:r>
      <w:r w:rsidR="00DB1635" w:rsidRPr="00B004EE">
        <w:rPr>
          <w:rFonts w:ascii="Tahoma" w:hAnsi="Tahoma" w:cs="Tahoma"/>
          <w:spacing w:val="6"/>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pacing w:val="3"/>
          <w:sz w:val="20"/>
          <w:szCs w:val="20"/>
        </w:rPr>
        <w:t>trois</w:t>
      </w:r>
      <w:r w:rsidR="00DB1635" w:rsidRPr="00B004EE">
        <w:rPr>
          <w:rFonts w:ascii="Tahoma" w:hAnsi="Tahoma" w:cs="Tahoma"/>
          <w:spacing w:val="3"/>
          <w:sz w:val="20"/>
          <w:szCs w:val="20"/>
        </w:rPr>
        <w:t xml:space="preserve"> </w:t>
      </w:r>
      <w:r w:rsidRPr="00B004EE">
        <w:rPr>
          <w:rFonts w:ascii="Tahoma" w:hAnsi="Tahoma" w:cs="Tahoma"/>
          <w:spacing w:val="2"/>
          <w:sz w:val="20"/>
          <w:szCs w:val="20"/>
        </w:rPr>
        <w:t>(3)</w:t>
      </w:r>
      <w:r w:rsidR="00DB1635" w:rsidRPr="00B004EE">
        <w:rPr>
          <w:rFonts w:ascii="Tahoma" w:hAnsi="Tahoma" w:cs="Tahoma"/>
          <w:spacing w:val="2"/>
          <w:sz w:val="20"/>
          <w:szCs w:val="20"/>
        </w:rPr>
        <w:t xml:space="preserve"> </w:t>
      </w:r>
      <w:r w:rsidRPr="00B004EE">
        <w:rPr>
          <w:rFonts w:ascii="Tahoma" w:hAnsi="Tahoma" w:cs="Tahoma"/>
          <w:spacing w:val="3"/>
          <w:sz w:val="20"/>
          <w:szCs w:val="20"/>
        </w:rPr>
        <w:t>sessions</w:t>
      </w:r>
      <w:r w:rsidR="00DB1635" w:rsidRPr="00B004EE">
        <w:rPr>
          <w:rFonts w:ascii="Tahoma" w:hAnsi="Tahoma" w:cs="Tahoma"/>
          <w:spacing w:val="3"/>
          <w:sz w:val="20"/>
          <w:szCs w:val="20"/>
        </w:rPr>
        <w:t xml:space="preserve"> </w:t>
      </w:r>
      <w:r w:rsidRPr="00B004EE">
        <w:rPr>
          <w:rFonts w:ascii="Tahoma" w:hAnsi="Tahoma" w:cs="Tahoma"/>
          <w:spacing w:val="2"/>
          <w:sz w:val="20"/>
          <w:szCs w:val="20"/>
        </w:rPr>
        <w:t>consécutives</w:t>
      </w:r>
      <w:r w:rsidR="00DB1635" w:rsidRPr="00B004EE">
        <w:rPr>
          <w:rFonts w:ascii="Tahoma" w:hAnsi="Tahoma" w:cs="Tahoma"/>
          <w:spacing w:val="2"/>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pacing w:val="3"/>
          <w:sz w:val="20"/>
          <w:szCs w:val="20"/>
        </w:rPr>
        <w:t>Conseil</w:t>
      </w:r>
      <w:r w:rsidR="00DB1635" w:rsidRPr="00B004EE">
        <w:rPr>
          <w:rFonts w:ascii="Tahoma" w:hAnsi="Tahoma" w:cs="Tahoma"/>
          <w:spacing w:val="3"/>
          <w:sz w:val="20"/>
          <w:szCs w:val="20"/>
        </w:rPr>
        <w:t xml:space="preserve"> </w:t>
      </w:r>
      <w:r w:rsidRPr="00B004EE">
        <w:rPr>
          <w:rFonts w:ascii="Tahoma" w:hAnsi="Tahoma" w:cs="Tahoma"/>
          <w:sz w:val="20"/>
          <w:szCs w:val="20"/>
        </w:rPr>
        <w:t>d'Administration,</w:t>
      </w:r>
      <w:r w:rsidR="00DB1635" w:rsidRPr="00B004EE">
        <w:rPr>
          <w:rFonts w:ascii="Tahoma" w:hAnsi="Tahoma" w:cs="Tahoma"/>
          <w:sz w:val="20"/>
          <w:szCs w:val="20"/>
        </w:rPr>
        <w:t xml:space="preserve"> </w:t>
      </w:r>
      <w:r w:rsidRPr="00B004EE">
        <w:rPr>
          <w:rFonts w:ascii="Tahoma" w:hAnsi="Tahoma" w:cs="Tahoma"/>
          <w:sz w:val="20"/>
          <w:szCs w:val="20"/>
        </w:rPr>
        <w:t>son</w:t>
      </w:r>
      <w:r w:rsidR="00DB1635" w:rsidRPr="00B004EE">
        <w:rPr>
          <w:rFonts w:ascii="Tahoma" w:hAnsi="Tahoma" w:cs="Tahoma"/>
          <w:sz w:val="20"/>
          <w:szCs w:val="20"/>
        </w:rPr>
        <w:t xml:space="preserve"> </w:t>
      </w:r>
      <w:r w:rsidRPr="00B004EE">
        <w:rPr>
          <w:rFonts w:ascii="Tahoma" w:hAnsi="Tahoma" w:cs="Tahoma"/>
          <w:sz w:val="20"/>
          <w:szCs w:val="20"/>
        </w:rPr>
        <w:t>mandat</w:t>
      </w:r>
      <w:r w:rsidR="00DB1635" w:rsidRPr="00B004EE">
        <w:rPr>
          <w:rFonts w:ascii="Tahoma" w:hAnsi="Tahoma" w:cs="Tahoma"/>
          <w:sz w:val="20"/>
          <w:szCs w:val="20"/>
        </w:rPr>
        <w:t xml:space="preserve"> </w:t>
      </w:r>
      <w:r w:rsidRPr="00B004EE">
        <w:rPr>
          <w:rFonts w:ascii="Tahoma" w:hAnsi="Tahoma" w:cs="Tahoma"/>
          <w:sz w:val="20"/>
          <w:szCs w:val="20"/>
        </w:rPr>
        <w:t>cesse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pacing w:val="4"/>
          <w:sz w:val="20"/>
          <w:szCs w:val="20"/>
        </w:rPr>
        <w:t>plein</w:t>
      </w:r>
      <w:r w:rsidR="00DB1635" w:rsidRPr="00B004EE">
        <w:rPr>
          <w:rFonts w:ascii="Tahoma" w:hAnsi="Tahoma" w:cs="Tahoma"/>
          <w:spacing w:val="4"/>
          <w:sz w:val="20"/>
          <w:szCs w:val="20"/>
        </w:rPr>
        <w:t xml:space="preserve"> </w:t>
      </w:r>
      <w:r w:rsidRPr="00B004EE">
        <w:rPr>
          <w:rFonts w:ascii="Tahoma" w:hAnsi="Tahoma" w:cs="Tahoma"/>
          <w:spacing w:val="4"/>
          <w:sz w:val="20"/>
          <w:szCs w:val="20"/>
        </w:rPr>
        <w:t>droit,</w:t>
      </w:r>
      <w:r w:rsidR="00DB1635" w:rsidRPr="00B004EE">
        <w:rPr>
          <w:rFonts w:ascii="Tahoma" w:hAnsi="Tahoma" w:cs="Tahoma"/>
          <w:spacing w:val="4"/>
          <w:sz w:val="20"/>
          <w:szCs w:val="20"/>
        </w:rPr>
        <w:t xml:space="preserve"> </w:t>
      </w:r>
      <w:r w:rsidRPr="00B004EE">
        <w:rPr>
          <w:rFonts w:ascii="Tahoma" w:hAnsi="Tahoma" w:cs="Tahoma"/>
          <w:spacing w:val="4"/>
          <w:sz w:val="20"/>
          <w:szCs w:val="20"/>
        </w:rPr>
        <w:t>sauf</w:t>
      </w:r>
      <w:r w:rsidR="00DB1635" w:rsidRPr="00B004EE">
        <w:rPr>
          <w:rFonts w:ascii="Tahoma" w:hAnsi="Tahoma" w:cs="Tahoma"/>
          <w:spacing w:val="4"/>
          <w:sz w:val="20"/>
          <w:szCs w:val="20"/>
        </w:rPr>
        <w:t xml:space="preserve"> </w:t>
      </w:r>
      <w:r w:rsidRPr="00B004EE">
        <w:rPr>
          <w:rFonts w:ascii="Tahoma" w:hAnsi="Tahoma" w:cs="Tahoma"/>
          <w:spacing w:val="3"/>
          <w:sz w:val="20"/>
          <w:szCs w:val="20"/>
        </w:rPr>
        <w:t>en</w:t>
      </w:r>
      <w:r w:rsidR="00DB1635" w:rsidRPr="00B004EE">
        <w:rPr>
          <w:rFonts w:ascii="Tahoma" w:hAnsi="Tahoma" w:cs="Tahoma"/>
          <w:spacing w:val="3"/>
          <w:sz w:val="20"/>
          <w:szCs w:val="20"/>
        </w:rPr>
        <w:t xml:space="preserve"> </w:t>
      </w:r>
      <w:r w:rsidRPr="00B004EE">
        <w:rPr>
          <w:rFonts w:ascii="Tahoma" w:hAnsi="Tahoma" w:cs="Tahoma"/>
          <w:spacing w:val="3"/>
          <w:sz w:val="20"/>
          <w:szCs w:val="20"/>
        </w:rPr>
        <w:t>cas</w:t>
      </w:r>
      <w:r w:rsidR="00DB1635" w:rsidRPr="00B004EE">
        <w:rPr>
          <w:rFonts w:ascii="Tahoma" w:hAnsi="Tahoma" w:cs="Tahoma"/>
          <w:spacing w:val="3"/>
          <w:sz w:val="20"/>
          <w:szCs w:val="20"/>
        </w:rPr>
        <w:t xml:space="preserve"> </w:t>
      </w:r>
      <w:r w:rsidRPr="00B004EE">
        <w:rPr>
          <w:rFonts w:ascii="Tahoma" w:hAnsi="Tahoma" w:cs="Tahoma"/>
          <w:spacing w:val="3"/>
          <w:sz w:val="20"/>
          <w:szCs w:val="20"/>
        </w:rPr>
        <w:t>de</w:t>
      </w:r>
      <w:r w:rsidR="00DB1635" w:rsidRPr="00B004EE">
        <w:rPr>
          <w:rFonts w:ascii="Tahoma" w:hAnsi="Tahoma" w:cs="Tahoma"/>
          <w:spacing w:val="3"/>
          <w:sz w:val="20"/>
          <w:szCs w:val="20"/>
        </w:rPr>
        <w:t xml:space="preserve"> </w:t>
      </w:r>
      <w:r w:rsidRPr="00B004EE">
        <w:rPr>
          <w:rFonts w:ascii="Tahoma" w:hAnsi="Tahoma" w:cs="Tahoma"/>
          <w:spacing w:val="4"/>
          <w:sz w:val="20"/>
          <w:szCs w:val="20"/>
        </w:rPr>
        <w:t>force</w:t>
      </w:r>
      <w:r w:rsidR="00DB1635" w:rsidRPr="00B004EE">
        <w:rPr>
          <w:rFonts w:ascii="Tahoma" w:hAnsi="Tahoma" w:cs="Tahoma"/>
          <w:spacing w:val="4"/>
          <w:sz w:val="20"/>
          <w:szCs w:val="20"/>
        </w:rPr>
        <w:t xml:space="preserve"> </w:t>
      </w:r>
      <w:r w:rsidRPr="00B004EE">
        <w:rPr>
          <w:rFonts w:ascii="Tahoma" w:hAnsi="Tahoma" w:cs="Tahoma"/>
          <w:spacing w:val="4"/>
          <w:sz w:val="20"/>
          <w:szCs w:val="20"/>
        </w:rPr>
        <w:t>majeure,</w:t>
      </w:r>
      <w:r w:rsidR="00DB1635" w:rsidRPr="00B004EE">
        <w:rPr>
          <w:rFonts w:ascii="Tahoma" w:hAnsi="Tahoma" w:cs="Tahoma"/>
          <w:spacing w:val="4"/>
          <w:sz w:val="20"/>
          <w:szCs w:val="20"/>
        </w:rPr>
        <w:t xml:space="preserve"> </w:t>
      </w:r>
      <w:r w:rsidRPr="00B004EE">
        <w:rPr>
          <w:rFonts w:ascii="Tahoma" w:hAnsi="Tahoma" w:cs="Tahoma"/>
          <w:sz w:val="20"/>
          <w:szCs w:val="20"/>
        </w:rPr>
        <w:t>dont</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preuve</w:t>
      </w:r>
      <w:r w:rsidR="00DB1635" w:rsidRPr="00B004EE">
        <w:rPr>
          <w:rFonts w:ascii="Tahoma" w:hAnsi="Tahoma" w:cs="Tahoma"/>
          <w:sz w:val="20"/>
          <w:szCs w:val="20"/>
        </w:rPr>
        <w:t xml:space="preserve"> </w:t>
      </w:r>
      <w:r w:rsidRPr="00B004EE">
        <w:rPr>
          <w:rFonts w:ascii="Tahoma" w:hAnsi="Tahoma" w:cs="Tahoma"/>
          <w:sz w:val="20"/>
          <w:szCs w:val="20"/>
        </w:rPr>
        <w:t>doit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w w:val="99"/>
          <w:sz w:val="20"/>
          <w:szCs w:val="20"/>
        </w:rPr>
        <w:t xml:space="preserve"> </w:t>
      </w:r>
      <w:r w:rsidRPr="00B004EE">
        <w:rPr>
          <w:rFonts w:ascii="Tahoma" w:hAnsi="Tahoma" w:cs="Tahoma"/>
          <w:sz w:val="20"/>
          <w:szCs w:val="20"/>
        </w:rPr>
        <w:t>produite</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Président</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l'autorité</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tutelle.</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pacing w:val="3"/>
          <w:sz w:val="20"/>
          <w:szCs w:val="20"/>
        </w:rPr>
        <w:t>Conseil</w:t>
      </w:r>
      <w:r w:rsidR="00DB1635" w:rsidRPr="00B004EE">
        <w:rPr>
          <w:rFonts w:ascii="Tahoma" w:hAnsi="Tahoma" w:cs="Tahoma"/>
          <w:spacing w:val="3"/>
          <w:sz w:val="20"/>
          <w:szCs w:val="20"/>
        </w:rPr>
        <w:t xml:space="preserve"> </w:t>
      </w:r>
      <w:r w:rsidRPr="00B004EE">
        <w:rPr>
          <w:rFonts w:ascii="Tahoma" w:hAnsi="Tahoma" w:cs="Tahoma"/>
          <w:sz w:val="20"/>
          <w:szCs w:val="20"/>
        </w:rPr>
        <w:t>ne</w:t>
      </w:r>
      <w:r w:rsidR="00DB1635" w:rsidRPr="00B004EE">
        <w:rPr>
          <w:rFonts w:ascii="Tahoma" w:hAnsi="Tahoma" w:cs="Tahoma"/>
          <w:sz w:val="20"/>
          <w:szCs w:val="20"/>
        </w:rPr>
        <w:t xml:space="preserve"> </w:t>
      </w:r>
      <w:r w:rsidRPr="00B004EE">
        <w:rPr>
          <w:rFonts w:ascii="Tahoma" w:hAnsi="Tahoma" w:cs="Tahoma"/>
          <w:spacing w:val="2"/>
          <w:sz w:val="20"/>
          <w:szCs w:val="20"/>
        </w:rPr>
        <w:t>peut</w:t>
      </w:r>
      <w:r w:rsidR="00DB1635" w:rsidRPr="00B004EE">
        <w:rPr>
          <w:rFonts w:ascii="Tahoma" w:hAnsi="Tahoma" w:cs="Tahoma"/>
          <w:spacing w:val="2"/>
          <w:sz w:val="20"/>
          <w:szCs w:val="20"/>
        </w:rPr>
        <w:t xml:space="preserve"> </w:t>
      </w:r>
      <w:r w:rsidRPr="00B004EE">
        <w:rPr>
          <w:rFonts w:ascii="Tahoma" w:hAnsi="Tahoma" w:cs="Tahoma"/>
          <w:spacing w:val="3"/>
          <w:sz w:val="20"/>
          <w:szCs w:val="20"/>
        </w:rPr>
        <w:t>valablement</w:t>
      </w:r>
      <w:r w:rsidR="00DB1635" w:rsidRPr="00B004EE">
        <w:rPr>
          <w:rFonts w:ascii="Tahoma" w:hAnsi="Tahoma" w:cs="Tahoma"/>
          <w:spacing w:val="3"/>
          <w:sz w:val="20"/>
          <w:szCs w:val="20"/>
        </w:rPr>
        <w:t xml:space="preserve"> </w:t>
      </w:r>
      <w:r w:rsidRPr="00B004EE">
        <w:rPr>
          <w:rFonts w:ascii="Tahoma" w:hAnsi="Tahoma" w:cs="Tahoma"/>
          <w:spacing w:val="3"/>
          <w:sz w:val="20"/>
          <w:szCs w:val="20"/>
        </w:rPr>
        <w:t>délibérer</w:t>
      </w:r>
      <w:r w:rsidR="00DB1635" w:rsidRPr="00B004EE">
        <w:rPr>
          <w:rFonts w:ascii="Tahoma" w:hAnsi="Tahoma" w:cs="Tahoma"/>
          <w:w w:val="99"/>
          <w:sz w:val="20"/>
          <w:szCs w:val="20"/>
        </w:rPr>
        <w:t xml:space="preserve"> </w:t>
      </w:r>
      <w:r w:rsidRPr="00B004EE">
        <w:rPr>
          <w:rFonts w:ascii="Tahoma" w:hAnsi="Tahoma" w:cs="Tahoma"/>
          <w:sz w:val="20"/>
          <w:szCs w:val="20"/>
        </w:rPr>
        <w:t>que</w:t>
      </w:r>
      <w:r w:rsidR="00DB1635" w:rsidRPr="00B004EE">
        <w:rPr>
          <w:rFonts w:ascii="Tahoma" w:hAnsi="Tahoma" w:cs="Tahoma"/>
          <w:sz w:val="20"/>
          <w:szCs w:val="20"/>
        </w:rPr>
        <w:t xml:space="preserve"> </w:t>
      </w:r>
      <w:r w:rsidRPr="00B004EE">
        <w:rPr>
          <w:rFonts w:ascii="Tahoma" w:hAnsi="Tahoma" w:cs="Tahoma"/>
          <w:sz w:val="20"/>
          <w:szCs w:val="20"/>
        </w:rPr>
        <w:t>si</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majorité</w:t>
      </w:r>
      <w:r w:rsidR="00DB1635" w:rsidRPr="00B004EE">
        <w:rPr>
          <w:rFonts w:ascii="Tahoma" w:hAnsi="Tahoma" w:cs="Tahoma"/>
          <w:sz w:val="20"/>
          <w:szCs w:val="20"/>
        </w:rPr>
        <w:t xml:space="preserve"> </w:t>
      </w:r>
      <w:r w:rsidRPr="00B004EE">
        <w:rPr>
          <w:rFonts w:ascii="Tahoma" w:hAnsi="Tahoma" w:cs="Tahoma"/>
          <w:sz w:val="20"/>
          <w:szCs w:val="20"/>
        </w:rPr>
        <w:t>absolue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ses</w:t>
      </w:r>
      <w:r w:rsidR="00DB1635" w:rsidRPr="00B004EE">
        <w:rPr>
          <w:rFonts w:ascii="Tahoma" w:hAnsi="Tahoma" w:cs="Tahoma"/>
          <w:sz w:val="20"/>
          <w:szCs w:val="20"/>
        </w:rPr>
        <w:t xml:space="preserve"> </w:t>
      </w:r>
      <w:r w:rsidRPr="00B004EE">
        <w:rPr>
          <w:rFonts w:ascii="Tahoma" w:hAnsi="Tahoma" w:cs="Tahoma"/>
          <w:sz w:val="20"/>
          <w:szCs w:val="20"/>
        </w:rPr>
        <w:t>membres</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présents.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décisions</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prises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pacing w:val="-3"/>
          <w:sz w:val="20"/>
          <w:szCs w:val="20"/>
        </w:rPr>
        <w:t xml:space="preserve"> </w:t>
      </w:r>
      <w:r w:rsidRPr="00B004EE">
        <w:rPr>
          <w:rFonts w:ascii="Tahoma" w:hAnsi="Tahoma" w:cs="Tahoma"/>
          <w:sz w:val="20"/>
          <w:szCs w:val="20"/>
        </w:rPr>
        <w:t>la</w:t>
      </w:r>
      <w:r w:rsidR="00DB1635" w:rsidRPr="00B004EE">
        <w:rPr>
          <w:rFonts w:ascii="Tahoma" w:hAnsi="Tahoma" w:cs="Tahoma"/>
          <w:w w:val="99"/>
          <w:sz w:val="20"/>
          <w:szCs w:val="20"/>
        </w:rPr>
        <w:t xml:space="preserve"> </w:t>
      </w:r>
      <w:r w:rsidRPr="00B004EE">
        <w:rPr>
          <w:rFonts w:ascii="Tahoma" w:hAnsi="Tahoma" w:cs="Tahoma"/>
          <w:sz w:val="20"/>
          <w:szCs w:val="20"/>
        </w:rPr>
        <w:t>majorité</w:t>
      </w:r>
      <w:r w:rsidR="00DB1635" w:rsidRPr="00B004EE">
        <w:rPr>
          <w:rFonts w:ascii="Tahoma" w:hAnsi="Tahoma" w:cs="Tahoma"/>
          <w:spacing w:val="36"/>
          <w:sz w:val="20"/>
          <w:szCs w:val="20"/>
        </w:rPr>
        <w:t xml:space="preserve"> </w:t>
      </w:r>
      <w:r w:rsidRPr="00B004EE">
        <w:rPr>
          <w:rFonts w:ascii="Tahoma" w:hAnsi="Tahoma" w:cs="Tahoma"/>
          <w:sz w:val="20"/>
          <w:szCs w:val="20"/>
        </w:rPr>
        <w:t>simple</w:t>
      </w:r>
      <w:r w:rsidR="00DB1635" w:rsidRPr="00B004EE">
        <w:rPr>
          <w:rFonts w:ascii="Tahoma" w:hAnsi="Tahoma" w:cs="Tahoma"/>
          <w:spacing w:val="36"/>
          <w:sz w:val="20"/>
          <w:szCs w:val="20"/>
        </w:rPr>
        <w:t xml:space="preserve"> </w:t>
      </w:r>
      <w:r w:rsidRPr="00B004EE">
        <w:rPr>
          <w:rFonts w:ascii="Tahoma" w:hAnsi="Tahoma" w:cs="Tahoma"/>
          <w:sz w:val="20"/>
          <w:szCs w:val="20"/>
        </w:rPr>
        <w:t>des</w:t>
      </w:r>
      <w:r w:rsidR="00DB1635" w:rsidRPr="00B004EE">
        <w:rPr>
          <w:rFonts w:ascii="Tahoma" w:hAnsi="Tahoma" w:cs="Tahoma"/>
          <w:spacing w:val="37"/>
          <w:sz w:val="20"/>
          <w:szCs w:val="20"/>
        </w:rPr>
        <w:t xml:space="preserve"> </w:t>
      </w:r>
      <w:r w:rsidRPr="00B004EE">
        <w:rPr>
          <w:rFonts w:ascii="Tahoma" w:hAnsi="Tahoma" w:cs="Tahoma"/>
          <w:sz w:val="20"/>
          <w:szCs w:val="20"/>
        </w:rPr>
        <w:t>membres</w:t>
      </w:r>
      <w:r w:rsidR="00DB1635" w:rsidRPr="00B004EE">
        <w:rPr>
          <w:rFonts w:ascii="Tahoma" w:hAnsi="Tahoma" w:cs="Tahoma"/>
          <w:spacing w:val="37"/>
          <w:sz w:val="20"/>
          <w:szCs w:val="20"/>
        </w:rPr>
        <w:t xml:space="preserve"> </w:t>
      </w:r>
      <w:r w:rsidRPr="00B004EE">
        <w:rPr>
          <w:rFonts w:ascii="Tahoma" w:hAnsi="Tahoma" w:cs="Tahoma"/>
          <w:sz w:val="20"/>
          <w:szCs w:val="20"/>
        </w:rPr>
        <w:t>présents.</w:t>
      </w:r>
      <w:r w:rsidR="00DB1635" w:rsidRPr="00B004EE">
        <w:rPr>
          <w:rFonts w:ascii="Tahoma" w:hAnsi="Tahoma" w:cs="Tahoma"/>
          <w:spacing w:val="37"/>
          <w:sz w:val="20"/>
          <w:szCs w:val="20"/>
        </w:rPr>
        <w:t xml:space="preserve"> </w:t>
      </w:r>
      <w:r w:rsidRPr="00B004EE">
        <w:rPr>
          <w:rFonts w:ascii="Tahoma" w:hAnsi="Tahoma" w:cs="Tahoma"/>
          <w:sz w:val="20"/>
          <w:szCs w:val="20"/>
        </w:rPr>
        <w:t>En</w:t>
      </w:r>
      <w:r w:rsidR="00DB1635" w:rsidRPr="00B004EE">
        <w:rPr>
          <w:rFonts w:ascii="Tahoma" w:hAnsi="Tahoma" w:cs="Tahoma"/>
          <w:spacing w:val="32"/>
          <w:sz w:val="20"/>
          <w:szCs w:val="20"/>
        </w:rPr>
        <w:t xml:space="preserve"> </w:t>
      </w:r>
      <w:r w:rsidRPr="00B004EE">
        <w:rPr>
          <w:rFonts w:ascii="Tahoma" w:hAnsi="Tahoma" w:cs="Tahoma"/>
          <w:sz w:val="20"/>
          <w:szCs w:val="20"/>
        </w:rPr>
        <w:t>cas</w:t>
      </w:r>
      <w:r w:rsidR="00DB1635" w:rsidRPr="00B004EE">
        <w:rPr>
          <w:rFonts w:ascii="Tahoma" w:hAnsi="Tahoma" w:cs="Tahoma"/>
          <w:spacing w:val="41"/>
          <w:sz w:val="20"/>
          <w:szCs w:val="20"/>
        </w:rPr>
        <w:t xml:space="preserve"> </w:t>
      </w:r>
      <w:r w:rsidRPr="00B004EE">
        <w:rPr>
          <w:rFonts w:ascii="Tahoma" w:hAnsi="Tahoma" w:cs="Tahoma"/>
          <w:sz w:val="20"/>
          <w:szCs w:val="20"/>
        </w:rPr>
        <w:t>de</w:t>
      </w:r>
      <w:r w:rsidR="00DB1635" w:rsidRPr="00B004EE">
        <w:rPr>
          <w:rFonts w:ascii="Tahoma" w:hAnsi="Tahoma" w:cs="Tahoma"/>
          <w:spacing w:val="40"/>
          <w:sz w:val="20"/>
          <w:szCs w:val="20"/>
        </w:rPr>
        <w:t xml:space="preserve"> </w:t>
      </w:r>
      <w:r w:rsidRPr="00B004EE">
        <w:rPr>
          <w:rFonts w:ascii="Tahoma" w:hAnsi="Tahoma" w:cs="Tahoma"/>
          <w:sz w:val="20"/>
          <w:szCs w:val="20"/>
        </w:rPr>
        <w:t>partage</w:t>
      </w:r>
      <w:r w:rsidR="00DB1635" w:rsidRPr="00B004EE">
        <w:rPr>
          <w:rFonts w:ascii="Tahoma" w:hAnsi="Tahoma" w:cs="Tahoma"/>
          <w:spacing w:val="40"/>
          <w:sz w:val="20"/>
          <w:szCs w:val="20"/>
        </w:rPr>
        <w:t xml:space="preserve"> </w:t>
      </w:r>
      <w:r w:rsidRPr="00B004EE">
        <w:rPr>
          <w:rFonts w:ascii="Tahoma" w:hAnsi="Tahoma" w:cs="Tahoma"/>
          <w:sz w:val="20"/>
          <w:szCs w:val="20"/>
        </w:rPr>
        <w:t>des</w:t>
      </w:r>
      <w:r w:rsidR="00DB1635" w:rsidRPr="00B004EE">
        <w:rPr>
          <w:rFonts w:ascii="Tahoma" w:hAnsi="Tahoma" w:cs="Tahoma"/>
          <w:spacing w:val="37"/>
          <w:sz w:val="20"/>
          <w:szCs w:val="20"/>
        </w:rPr>
        <w:t xml:space="preserve"> </w:t>
      </w:r>
      <w:r w:rsidRPr="00B004EE">
        <w:rPr>
          <w:rFonts w:ascii="Tahoma" w:hAnsi="Tahoma" w:cs="Tahoma"/>
          <w:spacing w:val="2"/>
          <w:sz w:val="20"/>
          <w:szCs w:val="20"/>
        </w:rPr>
        <w:t>voix,</w:t>
      </w:r>
      <w:r w:rsidR="00DB1635" w:rsidRPr="00B004EE">
        <w:rPr>
          <w:rFonts w:ascii="Tahoma" w:hAnsi="Tahoma" w:cs="Tahoma"/>
          <w:spacing w:val="37"/>
          <w:sz w:val="20"/>
          <w:szCs w:val="20"/>
        </w:rPr>
        <w:t xml:space="preserve"> </w:t>
      </w:r>
      <w:r w:rsidRPr="00B004EE">
        <w:rPr>
          <w:rFonts w:ascii="Tahoma" w:hAnsi="Tahoma" w:cs="Tahoma"/>
          <w:spacing w:val="2"/>
          <w:sz w:val="20"/>
          <w:szCs w:val="20"/>
        </w:rPr>
        <w:t>celle</w:t>
      </w:r>
      <w:r w:rsidR="00DB1635" w:rsidRPr="00B004EE">
        <w:rPr>
          <w:rFonts w:ascii="Tahoma" w:hAnsi="Tahoma" w:cs="Tahoma"/>
          <w:spacing w:val="36"/>
          <w:sz w:val="20"/>
          <w:szCs w:val="20"/>
        </w:rPr>
        <w:t xml:space="preserve"> </w:t>
      </w:r>
      <w:r w:rsidRPr="00B004EE">
        <w:rPr>
          <w:rFonts w:ascii="Tahoma" w:hAnsi="Tahoma" w:cs="Tahoma"/>
          <w:sz w:val="20"/>
          <w:szCs w:val="20"/>
        </w:rPr>
        <w:t>du</w:t>
      </w:r>
      <w:r w:rsidR="00DB1635" w:rsidRPr="00B004EE">
        <w:rPr>
          <w:rFonts w:ascii="Tahoma" w:hAnsi="Tahoma" w:cs="Tahoma"/>
          <w:spacing w:val="37"/>
          <w:sz w:val="20"/>
          <w:szCs w:val="20"/>
        </w:rPr>
        <w:t xml:space="preserve"> </w:t>
      </w:r>
      <w:r w:rsidRPr="00B004EE">
        <w:rPr>
          <w:rFonts w:ascii="Tahoma" w:hAnsi="Tahoma" w:cs="Tahoma"/>
          <w:spacing w:val="2"/>
          <w:sz w:val="20"/>
          <w:szCs w:val="20"/>
        </w:rPr>
        <w:t>Président</w:t>
      </w:r>
      <w:r w:rsidR="00DB1635" w:rsidRPr="00B004EE">
        <w:rPr>
          <w:rFonts w:ascii="Tahoma" w:hAnsi="Tahoma" w:cs="Tahoma"/>
          <w:spacing w:val="35"/>
          <w:sz w:val="20"/>
          <w:szCs w:val="20"/>
        </w:rPr>
        <w:t xml:space="preserve"> </w:t>
      </w:r>
      <w:r w:rsidRPr="00B004EE">
        <w:rPr>
          <w:rFonts w:ascii="Tahoma" w:hAnsi="Tahoma" w:cs="Tahoma"/>
          <w:sz w:val="20"/>
          <w:szCs w:val="20"/>
        </w:rPr>
        <w:t>est</w:t>
      </w:r>
      <w:r w:rsidR="00DB1635" w:rsidRPr="00B004EE">
        <w:rPr>
          <w:rFonts w:ascii="Tahoma" w:hAnsi="Tahoma" w:cs="Tahoma"/>
          <w:spacing w:val="-58"/>
          <w:sz w:val="20"/>
          <w:szCs w:val="20"/>
        </w:rPr>
        <w:t xml:space="preserve"> </w:t>
      </w:r>
      <w:r w:rsidRPr="00B004EE">
        <w:rPr>
          <w:rFonts w:ascii="Tahoma" w:hAnsi="Tahoma" w:cs="Tahoma"/>
          <w:sz w:val="20"/>
          <w:szCs w:val="20"/>
        </w:rPr>
        <w:t>prépondérante.</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pacing w:val="3"/>
          <w:sz w:val="20"/>
          <w:szCs w:val="20"/>
        </w:rPr>
        <w:t>Directeur</w:t>
      </w:r>
      <w:r w:rsidR="00DB1635" w:rsidRPr="00B004EE">
        <w:rPr>
          <w:rFonts w:ascii="Tahoma" w:hAnsi="Tahoma" w:cs="Tahoma"/>
          <w:spacing w:val="3"/>
          <w:sz w:val="20"/>
          <w:szCs w:val="20"/>
        </w:rPr>
        <w:t xml:space="preserve"> </w:t>
      </w:r>
      <w:r w:rsidRPr="00B004EE">
        <w:rPr>
          <w:rFonts w:ascii="Tahoma" w:hAnsi="Tahoma" w:cs="Tahoma"/>
          <w:spacing w:val="3"/>
          <w:sz w:val="20"/>
          <w:szCs w:val="20"/>
        </w:rPr>
        <w:t>assiste</w:t>
      </w:r>
      <w:r w:rsidR="00DB1635" w:rsidRPr="00B004EE">
        <w:rPr>
          <w:rFonts w:ascii="Tahoma" w:hAnsi="Tahoma" w:cs="Tahoma"/>
          <w:spacing w:val="3"/>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pacing w:val="3"/>
          <w:sz w:val="20"/>
          <w:szCs w:val="20"/>
        </w:rPr>
        <w:t>toutes</w:t>
      </w:r>
      <w:r w:rsidR="00DB1635" w:rsidRPr="00B004EE">
        <w:rPr>
          <w:rFonts w:ascii="Tahoma" w:hAnsi="Tahoma" w:cs="Tahoma"/>
          <w:spacing w:val="3"/>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pacing w:val="3"/>
          <w:sz w:val="20"/>
          <w:szCs w:val="20"/>
        </w:rPr>
        <w:t>réunions.</w:t>
      </w:r>
      <w:r w:rsidR="00DB1635" w:rsidRPr="00B004EE">
        <w:rPr>
          <w:rFonts w:ascii="Tahoma" w:hAnsi="Tahoma" w:cs="Tahoma"/>
          <w:spacing w:val="3"/>
          <w:sz w:val="20"/>
          <w:szCs w:val="20"/>
        </w:rPr>
        <w:t xml:space="preserve"> </w:t>
      </w:r>
      <w:r w:rsidRPr="00B004EE">
        <w:rPr>
          <w:rFonts w:ascii="Tahoma" w:hAnsi="Tahoma" w:cs="Tahoma"/>
          <w:spacing w:val="-3"/>
          <w:sz w:val="20"/>
          <w:szCs w:val="20"/>
        </w:rPr>
        <w:t>Il</w:t>
      </w:r>
      <w:r w:rsidR="00DB1635" w:rsidRPr="00B004EE">
        <w:rPr>
          <w:rFonts w:ascii="Tahoma" w:hAnsi="Tahoma" w:cs="Tahoma"/>
          <w:spacing w:val="-3"/>
          <w:sz w:val="20"/>
          <w:szCs w:val="20"/>
        </w:rPr>
        <w:t xml:space="preserve"> </w:t>
      </w:r>
      <w:r w:rsidRPr="00B004EE">
        <w:rPr>
          <w:rFonts w:ascii="Tahoma" w:hAnsi="Tahoma" w:cs="Tahoma"/>
          <w:sz w:val="20"/>
          <w:szCs w:val="20"/>
        </w:rPr>
        <w:t>assure</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Secrétariat</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w w:val="99"/>
          <w:sz w:val="20"/>
          <w:szCs w:val="20"/>
        </w:rPr>
        <w:t xml:space="preserve"> </w:t>
      </w:r>
      <w:r w:rsidRPr="00B004EE">
        <w:rPr>
          <w:rFonts w:ascii="Tahoma" w:hAnsi="Tahoma" w:cs="Tahoma"/>
          <w:sz w:val="20"/>
          <w:szCs w:val="20"/>
        </w:rPr>
        <w:t>Conseil</w:t>
      </w:r>
      <w:r w:rsidR="00DB1635" w:rsidRPr="00B004EE">
        <w:rPr>
          <w:rFonts w:ascii="Tahoma" w:hAnsi="Tahoma" w:cs="Tahoma"/>
          <w:sz w:val="20"/>
          <w:szCs w:val="20"/>
        </w:rPr>
        <w:t xml:space="preserve"> </w:t>
      </w:r>
      <w:r w:rsidRPr="00B004EE">
        <w:rPr>
          <w:rFonts w:ascii="Tahoma" w:hAnsi="Tahoma" w:cs="Tahoma"/>
          <w:sz w:val="20"/>
          <w:szCs w:val="20"/>
        </w:rPr>
        <w:t>d'Administration.</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procès-verbaux</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réunions</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signés</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Président,</w:t>
      </w:r>
      <w:r w:rsidR="00DB1635" w:rsidRPr="00B004EE">
        <w:rPr>
          <w:rFonts w:ascii="Tahoma" w:hAnsi="Tahoma" w:cs="Tahoma"/>
          <w:w w:val="99"/>
          <w:sz w:val="20"/>
          <w:szCs w:val="20"/>
        </w:rPr>
        <w:t xml:space="preserve"> </w:t>
      </w:r>
      <w:r w:rsidRPr="00B004EE">
        <w:rPr>
          <w:rFonts w:ascii="Tahoma" w:hAnsi="Tahoma" w:cs="Tahoma"/>
          <w:sz w:val="20"/>
          <w:szCs w:val="20"/>
        </w:rPr>
        <w:t>le</w:t>
      </w:r>
      <w:r w:rsidR="00DB1635" w:rsidRPr="00B004EE">
        <w:rPr>
          <w:rFonts w:ascii="Tahoma" w:hAnsi="Tahoma" w:cs="Tahoma"/>
          <w:spacing w:val="15"/>
          <w:sz w:val="20"/>
          <w:szCs w:val="20"/>
        </w:rPr>
        <w:t xml:space="preserve"> </w:t>
      </w:r>
      <w:r w:rsidRPr="00B004EE">
        <w:rPr>
          <w:rFonts w:ascii="Tahoma" w:hAnsi="Tahoma" w:cs="Tahoma"/>
          <w:sz w:val="20"/>
          <w:szCs w:val="20"/>
        </w:rPr>
        <w:t>Secrétaire</w:t>
      </w:r>
      <w:r w:rsidR="00DB1635" w:rsidRPr="00B004EE">
        <w:rPr>
          <w:rFonts w:ascii="Tahoma" w:hAnsi="Tahoma" w:cs="Tahoma"/>
          <w:spacing w:val="15"/>
          <w:sz w:val="20"/>
          <w:szCs w:val="20"/>
        </w:rPr>
        <w:t xml:space="preserve"> </w:t>
      </w:r>
      <w:r w:rsidRPr="00B004EE">
        <w:rPr>
          <w:rFonts w:ascii="Tahoma" w:hAnsi="Tahoma" w:cs="Tahoma"/>
          <w:sz w:val="20"/>
          <w:szCs w:val="20"/>
        </w:rPr>
        <w:t>et</w:t>
      </w:r>
      <w:r w:rsidR="00DB1635" w:rsidRPr="00B004EE">
        <w:rPr>
          <w:rFonts w:ascii="Tahoma" w:hAnsi="Tahoma" w:cs="Tahoma"/>
          <w:spacing w:val="16"/>
          <w:sz w:val="20"/>
          <w:szCs w:val="20"/>
        </w:rPr>
        <w:t xml:space="preserve"> </w:t>
      </w:r>
      <w:r w:rsidRPr="00B004EE">
        <w:rPr>
          <w:rFonts w:ascii="Tahoma" w:hAnsi="Tahoma" w:cs="Tahoma"/>
          <w:sz w:val="20"/>
          <w:szCs w:val="20"/>
        </w:rPr>
        <w:t>par</w:t>
      </w:r>
      <w:r w:rsidR="00DB1635" w:rsidRPr="00B004EE">
        <w:rPr>
          <w:rFonts w:ascii="Tahoma" w:hAnsi="Tahoma" w:cs="Tahoma"/>
          <w:spacing w:val="2"/>
          <w:sz w:val="20"/>
          <w:szCs w:val="20"/>
        </w:rPr>
        <w:t xml:space="preserve"> </w:t>
      </w:r>
      <w:r w:rsidRPr="00B004EE">
        <w:rPr>
          <w:rFonts w:ascii="Tahoma" w:hAnsi="Tahoma" w:cs="Tahoma"/>
          <w:spacing w:val="2"/>
          <w:sz w:val="20"/>
          <w:szCs w:val="20"/>
        </w:rPr>
        <w:t>deux</w:t>
      </w:r>
      <w:r w:rsidR="00DB1635" w:rsidRPr="00B004EE">
        <w:rPr>
          <w:rFonts w:ascii="Tahoma" w:hAnsi="Tahoma" w:cs="Tahoma"/>
          <w:spacing w:val="21"/>
          <w:sz w:val="20"/>
          <w:szCs w:val="20"/>
        </w:rPr>
        <w:t xml:space="preserve"> </w:t>
      </w:r>
      <w:r w:rsidRPr="00B004EE">
        <w:rPr>
          <w:rFonts w:ascii="Tahoma" w:hAnsi="Tahoma" w:cs="Tahoma"/>
          <w:spacing w:val="2"/>
          <w:sz w:val="20"/>
          <w:szCs w:val="20"/>
        </w:rPr>
        <w:t>(2)</w:t>
      </w:r>
      <w:r w:rsidR="00DB1635" w:rsidRPr="00B004EE">
        <w:rPr>
          <w:rFonts w:ascii="Tahoma" w:hAnsi="Tahoma" w:cs="Tahoma"/>
          <w:spacing w:val="20"/>
          <w:sz w:val="20"/>
          <w:szCs w:val="20"/>
        </w:rPr>
        <w:t xml:space="preserve"> </w:t>
      </w:r>
      <w:r w:rsidRPr="00B004EE">
        <w:rPr>
          <w:rFonts w:ascii="Tahoma" w:hAnsi="Tahoma" w:cs="Tahoma"/>
          <w:spacing w:val="3"/>
          <w:sz w:val="20"/>
          <w:szCs w:val="20"/>
        </w:rPr>
        <w:t>membres</w:t>
      </w:r>
      <w:r w:rsidR="00DB1635" w:rsidRPr="00B004EE">
        <w:rPr>
          <w:rFonts w:ascii="Tahoma" w:hAnsi="Tahoma" w:cs="Tahoma"/>
          <w:spacing w:val="21"/>
          <w:sz w:val="20"/>
          <w:szCs w:val="20"/>
        </w:rPr>
        <w:t xml:space="preserve"> </w:t>
      </w:r>
      <w:r w:rsidRPr="00B004EE">
        <w:rPr>
          <w:rFonts w:ascii="Tahoma" w:hAnsi="Tahoma" w:cs="Tahoma"/>
          <w:sz w:val="20"/>
          <w:szCs w:val="20"/>
        </w:rPr>
        <w:t>du</w:t>
      </w:r>
      <w:r w:rsidR="00DB1635" w:rsidRPr="00B004EE">
        <w:rPr>
          <w:rFonts w:ascii="Tahoma" w:hAnsi="Tahoma" w:cs="Tahoma"/>
          <w:spacing w:val="18"/>
          <w:sz w:val="20"/>
          <w:szCs w:val="20"/>
        </w:rPr>
        <w:t xml:space="preserve"> </w:t>
      </w:r>
      <w:r w:rsidRPr="00B004EE">
        <w:rPr>
          <w:rFonts w:ascii="Tahoma" w:hAnsi="Tahoma" w:cs="Tahoma"/>
          <w:spacing w:val="3"/>
          <w:sz w:val="20"/>
          <w:szCs w:val="20"/>
        </w:rPr>
        <w:t>Conseil</w:t>
      </w:r>
      <w:r w:rsidR="00DB1635" w:rsidRPr="00B004EE">
        <w:rPr>
          <w:rFonts w:ascii="Tahoma" w:hAnsi="Tahoma" w:cs="Tahoma"/>
          <w:spacing w:val="21"/>
          <w:sz w:val="20"/>
          <w:szCs w:val="20"/>
        </w:rPr>
        <w:t xml:space="preserve"> </w:t>
      </w:r>
      <w:r w:rsidRPr="00B004EE">
        <w:rPr>
          <w:rFonts w:ascii="Tahoma" w:hAnsi="Tahoma" w:cs="Tahoma"/>
          <w:spacing w:val="3"/>
          <w:sz w:val="20"/>
          <w:szCs w:val="20"/>
        </w:rPr>
        <w:t>désignés,</w:t>
      </w:r>
      <w:r w:rsidR="00DB1635" w:rsidRPr="00B004EE">
        <w:rPr>
          <w:rFonts w:ascii="Tahoma" w:hAnsi="Tahoma" w:cs="Tahoma"/>
          <w:spacing w:val="21"/>
          <w:sz w:val="20"/>
          <w:szCs w:val="20"/>
        </w:rPr>
        <w:t xml:space="preserve"> </w:t>
      </w:r>
      <w:r w:rsidRPr="00B004EE">
        <w:rPr>
          <w:rFonts w:ascii="Tahoma" w:hAnsi="Tahoma" w:cs="Tahoma"/>
          <w:sz w:val="20"/>
          <w:szCs w:val="20"/>
        </w:rPr>
        <w:t>à</w:t>
      </w:r>
      <w:r w:rsidR="00DB1635" w:rsidRPr="00B004EE">
        <w:rPr>
          <w:rFonts w:ascii="Tahoma" w:hAnsi="Tahoma" w:cs="Tahoma"/>
          <w:spacing w:val="5"/>
          <w:sz w:val="20"/>
          <w:szCs w:val="20"/>
        </w:rPr>
        <w:t xml:space="preserve"> </w:t>
      </w:r>
      <w:r w:rsidRPr="00B004EE">
        <w:rPr>
          <w:rFonts w:ascii="Tahoma" w:hAnsi="Tahoma" w:cs="Tahoma"/>
          <w:sz w:val="20"/>
          <w:szCs w:val="20"/>
        </w:rPr>
        <w:t>cet</w:t>
      </w:r>
      <w:r w:rsidR="00DB1635" w:rsidRPr="00B004EE">
        <w:rPr>
          <w:rFonts w:ascii="Tahoma" w:hAnsi="Tahoma" w:cs="Tahoma"/>
          <w:spacing w:val="24"/>
          <w:sz w:val="20"/>
          <w:szCs w:val="20"/>
        </w:rPr>
        <w:t xml:space="preserve"> </w:t>
      </w:r>
      <w:r w:rsidRPr="00B004EE">
        <w:rPr>
          <w:rFonts w:ascii="Tahoma" w:hAnsi="Tahoma" w:cs="Tahoma"/>
          <w:spacing w:val="3"/>
          <w:sz w:val="20"/>
          <w:szCs w:val="20"/>
        </w:rPr>
        <w:t>effet,</w:t>
      </w:r>
      <w:r w:rsidR="00DB1635" w:rsidRPr="00B004EE">
        <w:rPr>
          <w:rFonts w:ascii="Tahoma" w:hAnsi="Tahoma" w:cs="Tahoma"/>
          <w:spacing w:val="23"/>
          <w:sz w:val="20"/>
          <w:szCs w:val="20"/>
        </w:rPr>
        <w:t xml:space="preserve"> </w:t>
      </w:r>
      <w:r w:rsidRPr="00B004EE">
        <w:rPr>
          <w:rFonts w:ascii="Tahoma" w:hAnsi="Tahoma" w:cs="Tahoma"/>
          <w:spacing w:val="3"/>
          <w:sz w:val="20"/>
          <w:szCs w:val="20"/>
        </w:rPr>
        <w:t>au</w:t>
      </w:r>
      <w:r w:rsidR="00DB1635" w:rsidRPr="00B004EE">
        <w:rPr>
          <w:rFonts w:ascii="Tahoma" w:hAnsi="Tahoma" w:cs="Tahoma"/>
          <w:spacing w:val="23"/>
          <w:sz w:val="20"/>
          <w:szCs w:val="20"/>
        </w:rPr>
        <w:t xml:space="preserve"> </w:t>
      </w:r>
      <w:r w:rsidRPr="00B004EE">
        <w:rPr>
          <w:rFonts w:ascii="Tahoma" w:hAnsi="Tahoma" w:cs="Tahoma"/>
          <w:spacing w:val="3"/>
          <w:sz w:val="20"/>
          <w:szCs w:val="20"/>
        </w:rPr>
        <w:t>début</w:t>
      </w:r>
      <w:r w:rsidR="00DB1635" w:rsidRPr="00B004EE">
        <w:rPr>
          <w:rFonts w:ascii="Tahoma" w:hAnsi="Tahoma" w:cs="Tahoma"/>
          <w:spacing w:val="24"/>
          <w:sz w:val="20"/>
          <w:szCs w:val="20"/>
        </w:rPr>
        <w:t xml:space="preserve"> </w:t>
      </w:r>
      <w:r w:rsidRPr="00B004EE">
        <w:rPr>
          <w:rFonts w:ascii="Tahoma" w:hAnsi="Tahoma" w:cs="Tahoma"/>
          <w:sz w:val="20"/>
          <w:szCs w:val="20"/>
        </w:rPr>
        <w:t>de</w:t>
      </w:r>
      <w:r w:rsidR="00DB1635" w:rsidRPr="00B004EE">
        <w:rPr>
          <w:rFonts w:ascii="Tahoma" w:hAnsi="Tahoma" w:cs="Tahoma"/>
          <w:spacing w:val="22"/>
          <w:sz w:val="20"/>
          <w:szCs w:val="20"/>
        </w:rPr>
        <w:t xml:space="preserve"> </w:t>
      </w:r>
      <w:r w:rsidRPr="00B004EE">
        <w:rPr>
          <w:rFonts w:ascii="Tahoma" w:hAnsi="Tahoma" w:cs="Tahoma"/>
          <w:spacing w:val="3"/>
          <w:sz w:val="20"/>
          <w:szCs w:val="20"/>
        </w:rPr>
        <w:t>chaque</w:t>
      </w:r>
      <w:r w:rsidR="00DB1635" w:rsidRPr="00B004EE">
        <w:rPr>
          <w:rFonts w:ascii="Tahoma" w:hAnsi="Tahoma" w:cs="Tahoma"/>
          <w:w w:val="99"/>
          <w:sz w:val="20"/>
          <w:szCs w:val="20"/>
        </w:rPr>
        <w:t xml:space="preserve"> </w:t>
      </w:r>
      <w:r w:rsidRPr="00B004EE">
        <w:rPr>
          <w:rFonts w:ascii="Tahoma" w:hAnsi="Tahoma" w:cs="Tahoma"/>
          <w:spacing w:val="3"/>
          <w:sz w:val="20"/>
          <w:szCs w:val="20"/>
        </w:rPr>
        <w:t>session.</w:t>
      </w:r>
      <w:r w:rsidR="00DB1635" w:rsidRPr="00B004EE">
        <w:rPr>
          <w:rFonts w:ascii="Tahoma" w:hAnsi="Tahoma" w:cs="Tahoma"/>
          <w:spacing w:val="3"/>
          <w:sz w:val="20"/>
          <w:szCs w:val="20"/>
        </w:rPr>
        <w:t xml:space="preserve"> </w:t>
      </w: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pacing w:val="4"/>
          <w:sz w:val="20"/>
          <w:szCs w:val="20"/>
        </w:rPr>
        <w:t>registre</w:t>
      </w:r>
      <w:r w:rsidR="00DB1635" w:rsidRPr="00B004EE">
        <w:rPr>
          <w:rFonts w:ascii="Tahoma" w:hAnsi="Tahoma" w:cs="Tahoma"/>
          <w:spacing w:val="4"/>
          <w:sz w:val="20"/>
          <w:szCs w:val="20"/>
        </w:rPr>
        <w:t xml:space="preserve"> </w:t>
      </w:r>
      <w:r w:rsidRPr="00B004EE">
        <w:rPr>
          <w:rFonts w:ascii="Tahoma" w:hAnsi="Tahoma" w:cs="Tahoma"/>
          <w:spacing w:val="3"/>
          <w:sz w:val="20"/>
          <w:szCs w:val="20"/>
        </w:rPr>
        <w:t>des</w:t>
      </w:r>
      <w:r w:rsidR="00DB1635" w:rsidRPr="00B004EE">
        <w:rPr>
          <w:rFonts w:ascii="Tahoma" w:hAnsi="Tahoma" w:cs="Tahoma"/>
          <w:spacing w:val="3"/>
          <w:sz w:val="20"/>
          <w:szCs w:val="20"/>
        </w:rPr>
        <w:t xml:space="preserve"> </w:t>
      </w:r>
      <w:r w:rsidRPr="00B004EE">
        <w:rPr>
          <w:rFonts w:ascii="Tahoma" w:hAnsi="Tahoma" w:cs="Tahoma"/>
          <w:spacing w:val="4"/>
          <w:sz w:val="20"/>
          <w:szCs w:val="20"/>
        </w:rPr>
        <w:t>délibérations</w:t>
      </w:r>
      <w:r w:rsidR="00DB1635" w:rsidRPr="00B004EE">
        <w:rPr>
          <w:rFonts w:ascii="Tahoma" w:hAnsi="Tahoma" w:cs="Tahoma"/>
          <w:spacing w:val="4"/>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pacing w:val="3"/>
          <w:sz w:val="20"/>
          <w:szCs w:val="20"/>
        </w:rPr>
        <w:t>Conseil</w:t>
      </w:r>
      <w:r w:rsidR="00DB1635" w:rsidRPr="00B004EE">
        <w:rPr>
          <w:rFonts w:ascii="Tahoma" w:hAnsi="Tahoma" w:cs="Tahoma"/>
          <w:spacing w:val="3"/>
          <w:sz w:val="20"/>
          <w:szCs w:val="20"/>
        </w:rPr>
        <w:t xml:space="preserve"> </w:t>
      </w:r>
      <w:r w:rsidRPr="00B004EE">
        <w:rPr>
          <w:rFonts w:ascii="Tahoma" w:hAnsi="Tahoma" w:cs="Tahoma"/>
          <w:spacing w:val="3"/>
          <w:sz w:val="20"/>
          <w:szCs w:val="20"/>
        </w:rPr>
        <w:t>sera</w:t>
      </w:r>
      <w:r w:rsidR="00DB1635" w:rsidRPr="00B004EE">
        <w:rPr>
          <w:rFonts w:ascii="Tahoma" w:hAnsi="Tahoma" w:cs="Tahoma"/>
          <w:spacing w:val="3"/>
          <w:sz w:val="20"/>
          <w:szCs w:val="20"/>
        </w:rPr>
        <w:t xml:space="preserve"> </w:t>
      </w:r>
      <w:r w:rsidRPr="00B004EE">
        <w:rPr>
          <w:rFonts w:ascii="Tahoma" w:hAnsi="Tahoma" w:cs="Tahoma"/>
          <w:spacing w:val="3"/>
          <w:sz w:val="20"/>
          <w:szCs w:val="20"/>
        </w:rPr>
        <w:t>tenu</w:t>
      </w:r>
      <w:r w:rsidR="00DB1635" w:rsidRPr="00B004EE">
        <w:rPr>
          <w:rFonts w:ascii="Tahoma" w:hAnsi="Tahoma" w:cs="Tahoma"/>
          <w:spacing w:val="3"/>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pacing w:val="4"/>
          <w:sz w:val="20"/>
          <w:szCs w:val="20"/>
        </w:rPr>
        <w:t>devra,</w:t>
      </w:r>
      <w:r w:rsidR="00DB1635" w:rsidRPr="00B004EE">
        <w:rPr>
          <w:rFonts w:ascii="Tahoma" w:hAnsi="Tahoma" w:cs="Tahoma"/>
          <w:spacing w:val="4"/>
          <w:sz w:val="20"/>
          <w:szCs w:val="20"/>
        </w:rPr>
        <w:t xml:space="preserve"> </w:t>
      </w:r>
      <w:r w:rsidRPr="00B004EE">
        <w:rPr>
          <w:rFonts w:ascii="Tahoma" w:hAnsi="Tahoma" w:cs="Tahoma"/>
          <w:spacing w:val="2"/>
          <w:sz w:val="20"/>
          <w:szCs w:val="20"/>
        </w:rPr>
        <w:t>avant</w:t>
      </w:r>
      <w:r w:rsidR="00DB1635" w:rsidRPr="00B004EE">
        <w:rPr>
          <w:rFonts w:ascii="Tahoma" w:hAnsi="Tahoma" w:cs="Tahoma"/>
          <w:spacing w:val="2"/>
          <w:sz w:val="20"/>
          <w:szCs w:val="20"/>
        </w:rPr>
        <w:t xml:space="preserve"> </w:t>
      </w:r>
      <w:r w:rsidRPr="00B004EE">
        <w:rPr>
          <w:rFonts w:ascii="Tahoma" w:hAnsi="Tahoma" w:cs="Tahoma"/>
          <w:spacing w:val="3"/>
          <w:sz w:val="20"/>
          <w:szCs w:val="20"/>
        </w:rPr>
        <w:t>toute</w:t>
      </w:r>
      <w:r w:rsidR="00DB1635" w:rsidRPr="00B004EE">
        <w:rPr>
          <w:rFonts w:ascii="Tahoma" w:hAnsi="Tahoma" w:cs="Tahoma"/>
          <w:w w:val="99"/>
          <w:sz w:val="20"/>
          <w:szCs w:val="20"/>
        </w:rPr>
        <w:t xml:space="preserve"> </w:t>
      </w:r>
      <w:r w:rsidRPr="00B004EE">
        <w:rPr>
          <w:rFonts w:ascii="Tahoma" w:hAnsi="Tahoma" w:cs="Tahoma"/>
          <w:spacing w:val="4"/>
          <w:sz w:val="20"/>
          <w:szCs w:val="20"/>
        </w:rPr>
        <w:t>utilisation,</w:t>
      </w:r>
      <w:r w:rsidR="00DB1635" w:rsidRPr="00B004EE">
        <w:rPr>
          <w:rFonts w:ascii="Tahoma" w:hAnsi="Tahoma" w:cs="Tahoma"/>
          <w:spacing w:val="4"/>
          <w:sz w:val="20"/>
          <w:szCs w:val="20"/>
        </w:rPr>
        <w:t xml:space="preserve"> </w:t>
      </w:r>
      <w:r w:rsidRPr="00B004EE">
        <w:rPr>
          <w:rFonts w:ascii="Tahoma" w:hAnsi="Tahoma" w:cs="Tahoma"/>
          <w:spacing w:val="3"/>
          <w:sz w:val="20"/>
          <w:szCs w:val="20"/>
        </w:rPr>
        <w:t>être</w:t>
      </w:r>
      <w:r w:rsidR="00DB1635" w:rsidRPr="00B004EE">
        <w:rPr>
          <w:rFonts w:ascii="Tahoma" w:hAnsi="Tahoma" w:cs="Tahoma"/>
          <w:spacing w:val="3"/>
          <w:sz w:val="20"/>
          <w:szCs w:val="20"/>
        </w:rPr>
        <w:t xml:space="preserve"> </w:t>
      </w:r>
      <w:r w:rsidRPr="00B004EE">
        <w:rPr>
          <w:rFonts w:ascii="Tahoma" w:hAnsi="Tahoma" w:cs="Tahoma"/>
          <w:sz w:val="20"/>
          <w:szCs w:val="20"/>
        </w:rPr>
        <w:t>côté</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paraphé</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Président</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Conseil</w:t>
      </w:r>
      <w:r w:rsidR="00DB1635" w:rsidRPr="00B004EE">
        <w:rPr>
          <w:rFonts w:ascii="Tahoma" w:hAnsi="Tahoma" w:cs="Tahoma"/>
          <w:spacing w:val="17"/>
          <w:sz w:val="20"/>
          <w:szCs w:val="20"/>
        </w:rPr>
        <w:t xml:space="preserve"> </w:t>
      </w:r>
      <w:r w:rsidRPr="00B004EE">
        <w:rPr>
          <w:rFonts w:ascii="Tahoma" w:hAnsi="Tahoma" w:cs="Tahoma"/>
          <w:sz w:val="20"/>
          <w:szCs w:val="20"/>
        </w:rPr>
        <w:t>d'Administration.</w:t>
      </w:r>
    </w:p>
    <w:p w14:paraId="149848D3" w14:textId="77777777" w:rsidR="008518B0" w:rsidRPr="00B004EE" w:rsidRDefault="008518B0" w:rsidP="00B004EE">
      <w:pPr>
        <w:rPr>
          <w:rFonts w:ascii="Tahoma" w:eastAsia="Times" w:hAnsi="Tahoma" w:cs="Tahoma"/>
          <w:sz w:val="20"/>
          <w:szCs w:val="20"/>
        </w:rPr>
      </w:pPr>
    </w:p>
    <w:p w14:paraId="312E9421" w14:textId="2FF360F9" w:rsidR="008518B0" w:rsidRPr="00B004EE" w:rsidRDefault="00FF661D" w:rsidP="00B004EE">
      <w:pPr>
        <w:pStyle w:val="Corpsdetexte"/>
        <w:ind w:left="175" w:right="159"/>
        <w:rPr>
          <w:rFonts w:ascii="Tahoma" w:hAnsi="Tahoma" w:cs="Tahoma"/>
          <w:sz w:val="20"/>
          <w:szCs w:val="20"/>
        </w:rPr>
      </w:pPr>
      <w:r w:rsidRPr="00B004EE">
        <w:rPr>
          <w:rFonts w:ascii="Tahoma" w:hAnsi="Tahoma" w:cs="Tahoma"/>
          <w:bCs/>
          <w:iCs/>
          <w:sz w:val="20"/>
          <w:szCs w:val="20"/>
        </w:rPr>
        <w:t xml:space="preserve">Article </w:t>
      </w:r>
      <w:r w:rsidR="008518B0" w:rsidRPr="00B004EE">
        <w:rPr>
          <w:rFonts w:ascii="Tahoma" w:hAnsi="Tahoma" w:cs="Tahoma"/>
          <w:bCs/>
          <w:iCs/>
          <w:sz w:val="20"/>
          <w:szCs w:val="20"/>
        </w:rPr>
        <w:t>11</w:t>
      </w:r>
      <w:r w:rsidR="00DB1635" w:rsidRPr="00B004EE">
        <w:rPr>
          <w:rFonts w:ascii="Tahoma" w:hAnsi="Tahoma" w:cs="Tahoma"/>
          <w:b/>
          <w:i/>
          <w:sz w:val="20"/>
          <w:szCs w:val="20"/>
        </w:rPr>
        <w:t xml:space="preserve"> </w:t>
      </w:r>
      <w:r w:rsidR="008518B0" w:rsidRPr="00B004EE">
        <w:rPr>
          <w:rFonts w:ascii="Tahoma" w:hAnsi="Tahoma" w:cs="Tahoma"/>
          <w:i/>
          <w:sz w:val="20"/>
          <w:szCs w:val="20"/>
        </w:rPr>
        <w:t>:</w:t>
      </w:r>
      <w:r w:rsidR="00DB1635" w:rsidRPr="00B004EE">
        <w:rPr>
          <w:rFonts w:ascii="Tahoma" w:hAnsi="Tahoma" w:cs="Tahoma"/>
          <w:i/>
          <w:sz w:val="20"/>
          <w:szCs w:val="20"/>
        </w:rPr>
        <w:t xml:space="preserve"> </w:t>
      </w:r>
      <w:r w:rsidR="008518B0" w:rsidRPr="00B004EE">
        <w:rPr>
          <w:rFonts w:ascii="Tahoma" w:hAnsi="Tahoma" w:cs="Tahoma"/>
          <w:sz w:val="20"/>
          <w:szCs w:val="20"/>
        </w:rPr>
        <w:t>Les</w:t>
      </w:r>
      <w:r w:rsidR="00DB1635" w:rsidRPr="00B004EE">
        <w:rPr>
          <w:rFonts w:ascii="Tahoma" w:hAnsi="Tahoma" w:cs="Tahoma"/>
          <w:sz w:val="20"/>
          <w:szCs w:val="20"/>
        </w:rPr>
        <w:t xml:space="preserve"> </w:t>
      </w:r>
      <w:r w:rsidR="008518B0" w:rsidRPr="00B004EE">
        <w:rPr>
          <w:rFonts w:ascii="Tahoma" w:hAnsi="Tahoma" w:cs="Tahoma"/>
          <w:spacing w:val="3"/>
          <w:sz w:val="20"/>
          <w:szCs w:val="20"/>
        </w:rPr>
        <w:t>délibérations</w:t>
      </w:r>
      <w:r w:rsidR="00DB1635" w:rsidRPr="00B004EE">
        <w:rPr>
          <w:rFonts w:ascii="Tahoma" w:hAnsi="Tahoma" w:cs="Tahoma"/>
          <w:spacing w:val="3"/>
          <w:sz w:val="20"/>
          <w:szCs w:val="20"/>
        </w:rPr>
        <w:t xml:space="preserve"> </w:t>
      </w:r>
      <w:r w:rsidR="008518B0" w:rsidRPr="00B004EE">
        <w:rPr>
          <w:rFonts w:ascii="Tahoma" w:hAnsi="Tahoma" w:cs="Tahoma"/>
          <w:sz w:val="20"/>
          <w:szCs w:val="20"/>
        </w:rPr>
        <w:t>du</w:t>
      </w:r>
      <w:r w:rsidR="00DB1635" w:rsidRPr="00B004EE">
        <w:rPr>
          <w:rFonts w:ascii="Tahoma" w:hAnsi="Tahoma" w:cs="Tahoma"/>
          <w:sz w:val="20"/>
          <w:szCs w:val="20"/>
        </w:rPr>
        <w:t xml:space="preserve"> </w:t>
      </w:r>
      <w:r w:rsidR="008518B0" w:rsidRPr="00B004EE">
        <w:rPr>
          <w:rFonts w:ascii="Tahoma" w:hAnsi="Tahoma" w:cs="Tahoma"/>
          <w:spacing w:val="3"/>
          <w:sz w:val="20"/>
          <w:szCs w:val="20"/>
        </w:rPr>
        <w:t>Conseil</w:t>
      </w:r>
      <w:r w:rsidR="00DB1635" w:rsidRPr="00B004EE">
        <w:rPr>
          <w:rFonts w:ascii="Tahoma" w:hAnsi="Tahoma" w:cs="Tahoma"/>
          <w:spacing w:val="3"/>
          <w:sz w:val="20"/>
          <w:szCs w:val="20"/>
        </w:rPr>
        <w:t xml:space="preserve"> </w:t>
      </w:r>
      <w:r w:rsidR="008518B0" w:rsidRPr="00B004EE">
        <w:rPr>
          <w:rFonts w:ascii="Tahoma" w:hAnsi="Tahoma" w:cs="Tahoma"/>
          <w:sz w:val="20"/>
          <w:szCs w:val="20"/>
        </w:rPr>
        <w:t>d'Administration</w:t>
      </w:r>
      <w:r w:rsidR="00DB1635" w:rsidRPr="00B004EE">
        <w:rPr>
          <w:rFonts w:ascii="Tahoma" w:hAnsi="Tahoma" w:cs="Tahoma"/>
          <w:sz w:val="20"/>
          <w:szCs w:val="20"/>
        </w:rPr>
        <w:t xml:space="preserve"> </w:t>
      </w:r>
      <w:r w:rsidR="008518B0" w:rsidRPr="00B004EE">
        <w:rPr>
          <w:rFonts w:ascii="Tahoma" w:hAnsi="Tahoma" w:cs="Tahoma"/>
          <w:sz w:val="20"/>
          <w:szCs w:val="20"/>
        </w:rPr>
        <w:t>sont</w:t>
      </w:r>
      <w:r w:rsidR="00DB1635" w:rsidRPr="00B004EE">
        <w:rPr>
          <w:rFonts w:ascii="Tahoma" w:hAnsi="Tahoma" w:cs="Tahoma"/>
          <w:sz w:val="20"/>
          <w:szCs w:val="20"/>
        </w:rPr>
        <w:t xml:space="preserve"> </w:t>
      </w:r>
      <w:r w:rsidR="008518B0" w:rsidRPr="00B004EE">
        <w:rPr>
          <w:rFonts w:ascii="Tahoma" w:hAnsi="Tahoma" w:cs="Tahoma"/>
          <w:sz w:val="20"/>
          <w:szCs w:val="20"/>
        </w:rPr>
        <w:t>soumises</w:t>
      </w:r>
      <w:r w:rsidR="00DB1635" w:rsidRPr="00B004EE">
        <w:rPr>
          <w:rFonts w:ascii="Tahoma" w:hAnsi="Tahoma" w:cs="Tahoma"/>
          <w:sz w:val="20"/>
          <w:szCs w:val="20"/>
        </w:rPr>
        <w:t xml:space="preserve"> </w:t>
      </w:r>
      <w:r w:rsidR="008518B0" w:rsidRPr="00B004EE">
        <w:rPr>
          <w:rFonts w:ascii="Tahoma" w:hAnsi="Tahoma" w:cs="Tahoma"/>
          <w:sz w:val="20"/>
          <w:szCs w:val="20"/>
        </w:rPr>
        <w:t>aux</w:t>
      </w:r>
      <w:r w:rsidR="00DB1635" w:rsidRPr="00B004EE">
        <w:rPr>
          <w:rFonts w:ascii="Tahoma" w:hAnsi="Tahoma" w:cs="Tahoma"/>
          <w:spacing w:val="19"/>
          <w:sz w:val="20"/>
          <w:szCs w:val="20"/>
        </w:rPr>
        <w:t xml:space="preserve"> </w:t>
      </w:r>
      <w:r w:rsidR="008518B0" w:rsidRPr="00B004EE">
        <w:rPr>
          <w:rFonts w:ascii="Tahoma" w:hAnsi="Tahoma" w:cs="Tahoma"/>
          <w:spacing w:val="3"/>
          <w:sz w:val="20"/>
          <w:szCs w:val="20"/>
        </w:rPr>
        <w:t>pouvoirs</w:t>
      </w:r>
      <w:r w:rsidR="00DB1635" w:rsidRPr="00B004EE">
        <w:rPr>
          <w:rFonts w:ascii="Tahoma" w:hAnsi="Tahoma" w:cs="Tahoma"/>
          <w:w w:val="99"/>
          <w:sz w:val="20"/>
          <w:szCs w:val="20"/>
        </w:rPr>
        <w:t xml:space="preserve"> </w:t>
      </w:r>
      <w:r w:rsidR="008518B0" w:rsidRPr="00B004EE">
        <w:rPr>
          <w:rFonts w:ascii="Tahoma" w:hAnsi="Tahoma" w:cs="Tahoma"/>
          <w:spacing w:val="3"/>
          <w:sz w:val="20"/>
          <w:szCs w:val="20"/>
        </w:rPr>
        <w:t>d'autorisation,</w:t>
      </w:r>
      <w:r w:rsidR="00DB1635" w:rsidRPr="00B004EE">
        <w:rPr>
          <w:rFonts w:ascii="Tahoma" w:hAnsi="Tahoma" w:cs="Tahoma"/>
          <w:spacing w:val="3"/>
          <w:sz w:val="20"/>
          <w:szCs w:val="20"/>
        </w:rPr>
        <w:t xml:space="preserve"> </w:t>
      </w:r>
      <w:r w:rsidR="008518B0" w:rsidRPr="00B004EE">
        <w:rPr>
          <w:rFonts w:ascii="Tahoma" w:hAnsi="Tahoma" w:cs="Tahoma"/>
          <w:spacing w:val="3"/>
          <w:sz w:val="20"/>
          <w:szCs w:val="20"/>
        </w:rPr>
        <w:t>d'approbation,</w:t>
      </w:r>
      <w:r w:rsidR="00DB1635" w:rsidRPr="00B004EE">
        <w:rPr>
          <w:rFonts w:ascii="Tahoma" w:hAnsi="Tahoma" w:cs="Tahoma"/>
          <w:spacing w:val="3"/>
          <w:sz w:val="20"/>
          <w:szCs w:val="20"/>
        </w:rPr>
        <w:t xml:space="preserve"> </w:t>
      </w:r>
      <w:r w:rsidR="008518B0" w:rsidRPr="00B004EE">
        <w:rPr>
          <w:rFonts w:ascii="Tahoma" w:hAnsi="Tahoma" w:cs="Tahoma"/>
          <w:sz w:val="20"/>
          <w:szCs w:val="20"/>
        </w:rPr>
        <w:t>de</w:t>
      </w:r>
      <w:r w:rsidR="00DB1635" w:rsidRPr="00B004EE">
        <w:rPr>
          <w:rFonts w:ascii="Tahoma" w:hAnsi="Tahoma" w:cs="Tahoma"/>
          <w:sz w:val="20"/>
          <w:szCs w:val="20"/>
        </w:rPr>
        <w:t xml:space="preserve"> </w:t>
      </w:r>
      <w:r w:rsidR="008518B0" w:rsidRPr="00B004EE">
        <w:rPr>
          <w:rFonts w:ascii="Tahoma" w:hAnsi="Tahoma" w:cs="Tahoma"/>
          <w:sz w:val="20"/>
          <w:szCs w:val="20"/>
        </w:rPr>
        <w:t>suspension</w:t>
      </w:r>
      <w:r w:rsidR="00DB1635" w:rsidRPr="00B004EE">
        <w:rPr>
          <w:rFonts w:ascii="Tahoma" w:hAnsi="Tahoma" w:cs="Tahoma"/>
          <w:sz w:val="20"/>
          <w:szCs w:val="20"/>
        </w:rPr>
        <w:t xml:space="preserve"> </w:t>
      </w:r>
      <w:r w:rsidR="008518B0" w:rsidRPr="00B004EE">
        <w:rPr>
          <w:rFonts w:ascii="Tahoma" w:hAnsi="Tahoma" w:cs="Tahoma"/>
          <w:sz w:val="20"/>
          <w:szCs w:val="20"/>
        </w:rPr>
        <w:t>ou</w:t>
      </w:r>
      <w:r w:rsidR="00DB1635" w:rsidRPr="00B004EE">
        <w:rPr>
          <w:rFonts w:ascii="Tahoma" w:hAnsi="Tahoma" w:cs="Tahoma"/>
          <w:sz w:val="20"/>
          <w:szCs w:val="20"/>
        </w:rPr>
        <w:t xml:space="preserve"> </w:t>
      </w:r>
      <w:r w:rsidR="008518B0" w:rsidRPr="00B004EE">
        <w:rPr>
          <w:rFonts w:ascii="Tahoma" w:hAnsi="Tahoma" w:cs="Tahoma"/>
          <w:sz w:val="20"/>
          <w:szCs w:val="20"/>
        </w:rPr>
        <w:t>d'annulation</w:t>
      </w:r>
      <w:r w:rsidR="00DB1635" w:rsidRPr="00B004EE">
        <w:rPr>
          <w:rFonts w:ascii="Tahoma" w:hAnsi="Tahoma" w:cs="Tahoma"/>
          <w:sz w:val="20"/>
          <w:szCs w:val="20"/>
        </w:rPr>
        <w:t xml:space="preserve"> </w:t>
      </w:r>
      <w:r w:rsidR="008518B0" w:rsidRPr="00B004EE">
        <w:rPr>
          <w:rFonts w:ascii="Tahoma" w:hAnsi="Tahoma" w:cs="Tahoma"/>
          <w:sz w:val="20"/>
          <w:szCs w:val="20"/>
        </w:rPr>
        <w:t>des</w:t>
      </w:r>
      <w:r w:rsidR="00DB1635" w:rsidRPr="00B004EE">
        <w:rPr>
          <w:rFonts w:ascii="Tahoma" w:hAnsi="Tahoma" w:cs="Tahoma"/>
          <w:sz w:val="20"/>
          <w:szCs w:val="20"/>
        </w:rPr>
        <w:t xml:space="preserve"> </w:t>
      </w:r>
      <w:r w:rsidR="008518B0" w:rsidRPr="00B004EE">
        <w:rPr>
          <w:rFonts w:ascii="Tahoma" w:hAnsi="Tahoma" w:cs="Tahoma"/>
          <w:sz w:val="20"/>
          <w:szCs w:val="20"/>
        </w:rPr>
        <w:t>autorités</w:t>
      </w:r>
      <w:r w:rsidR="00DB1635" w:rsidRPr="00B004EE">
        <w:rPr>
          <w:rFonts w:ascii="Tahoma" w:hAnsi="Tahoma" w:cs="Tahoma"/>
          <w:sz w:val="20"/>
          <w:szCs w:val="20"/>
        </w:rPr>
        <w:t xml:space="preserve"> </w:t>
      </w:r>
      <w:r w:rsidR="008518B0" w:rsidRPr="00B004EE">
        <w:rPr>
          <w:rFonts w:ascii="Tahoma" w:hAnsi="Tahoma" w:cs="Tahoma"/>
          <w:sz w:val="20"/>
          <w:szCs w:val="20"/>
        </w:rPr>
        <w:t>de</w:t>
      </w:r>
      <w:r w:rsidR="00DB1635" w:rsidRPr="00B004EE">
        <w:rPr>
          <w:rFonts w:ascii="Tahoma" w:hAnsi="Tahoma" w:cs="Tahoma"/>
          <w:sz w:val="20"/>
          <w:szCs w:val="20"/>
        </w:rPr>
        <w:t xml:space="preserve"> </w:t>
      </w:r>
      <w:r w:rsidR="008518B0" w:rsidRPr="00B004EE">
        <w:rPr>
          <w:rFonts w:ascii="Tahoma" w:hAnsi="Tahoma" w:cs="Tahoma"/>
          <w:sz w:val="20"/>
          <w:szCs w:val="20"/>
        </w:rPr>
        <w:t>tutelle</w:t>
      </w:r>
      <w:r w:rsidR="00DB1635" w:rsidRPr="00B004EE">
        <w:rPr>
          <w:rFonts w:ascii="Tahoma" w:hAnsi="Tahoma" w:cs="Tahoma"/>
          <w:spacing w:val="5"/>
          <w:sz w:val="20"/>
          <w:szCs w:val="20"/>
        </w:rPr>
        <w:t xml:space="preserve"> </w:t>
      </w:r>
      <w:r w:rsidR="008518B0" w:rsidRPr="00B004EE">
        <w:rPr>
          <w:rFonts w:ascii="Tahoma" w:hAnsi="Tahoma" w:cs="Tahoma"/>
          <w:sz w:val="20"/>
          <w:szCs w:val="20"/>
        </w:rPr>
        <w:t>technique</w:t>
      </w:r>
      <w:r w:rsidR="00DB1635" w:rsidRPr="00B004EE">
        <w:rPr>
          <w:rFonts w:ascii="Tahoma" w:hAnsi="Tahoma" w:cs="Tahoma"/>
          <w:w w:val="99"/>
          <w:sz w:val="20"/>
          <w:szCs w:val="20"/>
        </w:rPr>
        <w:t xml:space="preserve"> </w:t>
      </w:r>
      <w:r w:rsidR="008518B0" w:rsidRPr="00B004EE">
        <w:rPr>
          <w:rFonts w:ascii="Tahoma" w:hAnsi="Tahoma" w:cs="Tahoma"/>
          <w:sz w:val="20"/>
          <w:szCs w:val="20"/>
        </w:rPr>
        <w:t>et</w:t>
      </w:r>
      <w:r w:rsidR="00DB1635" w:rsidRPr="00B004EE">
        <w:rPr>
          <w:rFonts w:ascii="Tahoma" w:hAnsi="Tahoma" w:cs="Tahoma"/>
          <w:sz w:val="20"/>
          <w:szCs w:val="20"/>
        </w:rPr>
        <w:t xml:space="preserve"> </w:t>
      </w:r>
      <w:r w:rsidR="008518B0" w:rsidRPr="00B004EE">
        <w:rPr>
          <w:rFonts w:ascii="Tahoma" w:hAnsi="Tahoma" w:cs="Tahoma"/>
          <w:sz w:val="20"/>
          <w:szCs w:val="20"/>
        </w:rPr>
        <w:t>financière.</w:t>
      </w:r>
      <w:r w:rsidR="00DB1635" w:rsidRPr="00B004EE">
        <w:rPr>
          <w:rFonts w:ascii="Tahoma" w:hAnsi="Tahoma" w:cs="Tahoma"/>
          <w:sz w:val="20"/>
          <w:szCs w:val="20"/>
        </w:rPr>
        <w:t xml:space="preserve"> </w:t>
      </w:r>
    </w:p>
    <w:p w14:paraId="62F588C8" w14:textId="55544035" w:rsidR="008518B0" w:rsidRPr="00B004EE" w:rsidRDefault="008518B0" w:rsidP="00B004EE">
      <w:pPr>
        <w:pStyle w:val="Corpsdetexte"/>
        <w:ind w:left="175" w:right="159"/>
        <w:rPr>
          <w:rFonts w:ascii="Tahoma" w:hAnsi="Tahoma" w:cs="Tahoma"/>
          <w:sz w:val="20"/>
          <w:szCs w:val="20"/>
        </w:rPr>
      </w:pP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pacing w:val="2"/>
          <w:sz w:val="20"/>
          <w:szCs w:val="20"/>
        </w:rPr>
        <w:t>soumises</w:t>
      </w:r>
      <w:r w:rsidR="00DB1635" w:rsidRPr="00B004EE">
        <w:rPr>
          <w:rFonts w:ascii="Tahoma" w:hAnsi="Tahoma" w:cs="Tahoma"/>
          <w:spacing w:val="2"/>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pacing w:val="2"/>
          <w:sz w:val="20"/>
          <w:szCs w:val="20"/>
        </w:rPr>
        <w:t>l'approbation</w:t>
      </w:r>
      <w:r w:rsidR="00DB1635" w:rsidRPr="00B004EE">
        <w:rPr>
          <w:rFonts w:ascii="Tahoma" w:hAnsi="Tahoma" w:cs="Tahoma"/>
          <w:spacing w:val="2"/>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pacing w:val="2"/>
          <w:sz w:val="20"/>
          <w:szCs w:val="20"/>
        </w:rPr>
        <w:t>la</w:t>
      </w:r>
      <w:r w:rsidR="00DB1635" w:rsidRPr="00B004EE">
        <w:rPr>
          <w:rFonts w:ascii="Tahoma" w:hAnsi="Tahoma" w:cs="Tahoma"/>
          <w:spacing w:val="2"/>
          <w:sz w:val="20"/>
          <w:szCs w:val="20"/>
        </w:rPr>
        <w:t xml:space="preserve"> </w:t>
      </w:r>
      <w:r w:rsidRPr="00B004EE">
        <w:rPr>
          <w:rFonts w:ascii="Tahoma" w:hAnsi="Tahoma" w:cs="Tahoma"/>
          <w:sz w:val="20"/>
          <w:szCs w:val="20"/>
        </w:rPr>
        <w:t>tutelle</w:t>
      </w:r>
      <w:r w:rsidR="00DB1635" w:rsidRPr="00B004EE">
        <w:rPr>
          <w:rFonts w:ascii="Tahoma" w:hAnsi="Tahoma" w:cs="Tahoma"/>
          <w:sz w:val="20"/>
          <w:szCs w:val="20"/>
        </w:rPr>
        <w:t xml:space="preserve"> </w:t>
      </w:r>
      <w:r w:rsidRPr="00B004EE">
        <w:rPr>
          <w:rFonts w:ascii="Tahoma" w:hAnsi="Tahoma" w:cs="Tahoma"/>
          <w:sz w:val="20"/>
          <w:szCs w:val="20"/>
        </w:rPr>
        <w:t>technique,</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délibérations</w:t>
      </w:r>
      <w:r w:rsidR="00DB1635" w:rsidRPr="00B004EE">
        <w:rPr>
          <w:rFonts w:ascii="Tahoma" w:hAnsi="Tahoma" w:cs="Tahoma"/>
          <w:spacing w:val="16"/>
          <w:sz w:val="20"/>
          <w:szCs w:val="20"/>
        </w:rPr>
        <w:t xml:space="preserve"> </w:t>
      </w:r>
      <w:r w:rsidR="003A697D" w:rsidRPr="00B004EE">
        <w:rPr>
          <w:rFonts w:ascii="Tahoma" w:hAnsi="Tahoma" w:cs="Tahoma"/>
          <w:sz w:val="20"/>
          <w:szCs w:val="20"/>
        </w:rPr>
        <w:t>relatives :</w:t>
      </w:r>
    </w:p>
    <w:p w14:paraId="008D55D9" w14:textId="3B980512" w:rsidR="008518B0" w:rsidRPr="00B004EE" w:rsidRDefault="008518B0" w:rsidP="00420DDA">
      <w:pPr>
        <w:pStyle w:val="Corpsdetexte"/>
        <w:widowControl w:val="0"/>
        <w:numPr>
          <w:ilvl w:val="0"/>
          <w:numId w:val="152"/>
        </w:numPr>
        <w:autoSpaceDE/>
        <w:autoSpaceDN/>
        <w:adjustRightInd/>
        <w:rPr>
          <w:rFonts w:ascii="Tahoma" w:hAnsi="Tahoma" w:cs="Tahoma"/>
          <w:sz w:val="20"/>
          <w:szCs w:val="20"/>
        </w:rPr>
      </w:pPr>
      <w:proofErr w:type="gramStart"/>
      <w:r w:rsidRPr="00B004EE">
        <w:rPr>
          <w:rFonts w:ascii="Tahoma" w:hAnsi="Tahoma" w:cs="Tahoma"/>
          <w:w w:val="105"/>
          <w:sz w:val="20"/>
          <w:szCs w:val="20"/>
        </w:rPr>
        <w:t>au</w:t>
      </w:r>
      <w:proofErr w:type="gramEnd"/>
      <w:r w:rsidR="00DB1635" w:rsidRPr="00B004EE">
        <w:rPr>
          <w:rFonts w:ascii="Tahoma" w:hAnsi="Tahoma" w:cs="Tahoma"/>
          <w:w w:val="105"/>
          <w:sz w:val="20"/>
          <w:szCs w:val="20"/>
        </w:rPr>
        <w:t xml:space="preserve"> </w:t>
      </w:r>
      <w:r w:rsidRPr="00B004EE">
        <w:rPr>
          <w:rFonts w:ascii="Tahoma" w:hAnsi="Tahoma" w:cs="Tahoma"/>
          <w:w w:val="105"/>
          <w:sz w:val="20"/>
          <w:szCs w:val="20"/>
        </w:rPr>
        <w:t>statut</w:t>
      </w:r>
      <w:r w:rsidR="00DB1635" w:rsidRPr="00B004EE">
        <w:rPr>
          <w:rFonts w:ascii="Tahoma" w:hAnsi="Tahoma" w:cs="Tahoma"/>
          <w:w w:val="105"/>
          <w:sz w:val="20"/>
          <w:szCs w:val="20"/>
        </w:rPr>
        <w:t xml:space="preserve"> </w:t>
      </w:r>
      <w:r w:rsidRPr="00B004EE">
        <w:rPr>
          <w:rFonts w:ascii="Tahoma" w:hAnsi="Tahoma" w:cs="Tahoma"/>
          <w:w w:val="105"/>
          <w:sz w:val="20"/>
          <w:szCs w:val="20"/>
        </w:rPr>
        <w:t>du</w:t>
      </w:r>
      <w:r w:rsidR="00DB1635" w:rsidRPr="00B004EE">
        <w:rPr>
          <w:rFonts w:ascii="Tahoma" w:hAnsi="Tahoma" w:cs="Tahoma"/>
          <w:spacing w:val="-43"/>
          <w:w w:val="105"/>
          <w:sz w:val="20"/>
          <w:szCs w:val="20"/>
        </w:rPr>
        <w:t xml:space="preserve"> </w:t>
      </w:r>
      <w:r w:rsidRPr="00B004EE">
        <w:rPr>
          <w:rFonts w:ascii="Tahoma" w:hAnsi="Tahoma" w:cs="Tahoma"/>
          <w:w w:val="105"/>
          <w:sz w:val="20"/>
          <w:szCs w:val="20"/>
        </w:rPr>
        <w:t>personnel;</w:t>
      </w:r>
    </w:p>
    <w:p w14:paraId="49231C9B" w14:textId="00709A16" w:rsidR="008518B0" w:rsidRPr="00B004EE" w:rsidRDefault="008518B0" w:rsidP="00420DDA">
      <w:pPr>
        <w:pStyle w:val="Corpsdetexte"/>
        <w:widowControl w:val="0"/>
        <w:numPr>
          <w:ilvl w:val="0"/>
          <w:numId w:val="152"/>
        </w:numPr>
        <w:autoSpaceDE/>
        <w:autoSpaceDN/>
        <w:adjustRightInd/>
        <w:rPr>
          <w:rFonts w:ascii="Tahoma" w:hAnsi="Tahoma" w:cs="Tahoma"/>
          <w:sz w:val="20"/>
          <w:szCs w:val="20"/>
        </w:rPr>
      </w:pPr>
      <w:proofErr w:type="gramStart"/>
      <w:r w:rsidRPr="00B004EE">
        <w:rPr>
          <w:rFonts w:ascii="Tahoma" w:hAnsi="Tahoma" w:cs="Tahoma"/>
          <w:w w:val="110"/>
          <w:sz w:val="20"/>
          <w:szCs w:val="20"/>
        </w:rPr>
        <w:t>à</w:t>
      </w:r>
      <w:proofErr w:type="gramEnd"/>
      <w:r w:rsidR="00DB1635" w:rsidRPr="00B004EE">
        <w:rPr>
          <w:rFonts w:ascii="Tahoma" w:hAnsi="Tahoma" w:cs="Tahoma"/>
          <w:spacing w:val="-55"/>
          <w:w w:val="110"/>
          <w:sz w:val="20"/>
          <w:szCs w:val="20"/>
        </w:rPr>
        <w:t xml:space="preserve"> </w:t>
      </w:r>
      <w:r w:rsidRPr="00B004EE">
        <w:rPr>
          <w:rFonts w:ascii="Tahoma" w:hAnsi="Tahoma" w:cs="Tahoma"/>
          <w:w w:val="110"/>
          <w:sz w:val="20"/>
          <w:szCs w:val="20"/>
        </w:rPr>
        <w:t>l'organigramme;</w:t>
      </w:r>
    </w:p>
    <w:p w14:paraId="28238F6E" w14:textId="77777777" w:rsidR="00FF661D" w:rsidRPr="00B004EE" w:rsidRDefault="008518B0" w:rsidP="00420DDA">
      <w:pPr>
        <w:pStyle w:val="Corpsdetexte"/>
        <w:widowControl w:val="0"/>
        <w:numPr>
          <w:ilvl w:val="0"/>
          <w:numId w:val="152"/>
        </w:numPr>
        <w:autoSpaceDE/>
        <w:autoSpaceDN/>
        <w:adjustRightInd/>
        <w:rPr>
          <w:rFonts w:ascii="Tahoma" w:hAnsi="Tahoma" w:cs="Tahoma"/>
          <w:sz w:val="20"/>
          <w:szCs w:val="20"/>
        </w:rPr>
      </w:pPr>
      <w:proofErr w:type="gramStart"/>
      <w:r w:rsidRPr="00B004EE">
        <w:rPr>
          <w:rFonts w:ascii="Tahoma" w:hAnsi="Tahoma" w:cs="Tahoma"/>
          <w:w w:val="105"/>
          <w:sz w:val="20"/>
          <w:szCs w:val="20"/>
        </w:rPr>
        <w:t>au</w:t>
      </w:r>
      <w:proofErr w:type="gramEnd"/>
      <w:r w:rsidR="00DB1635" w:rsidRPr="00B004EE">
        <w:rPr>
          <w:rFonts w:ascii="Tahoma" w:hAnsi="Tahoma" w:cs="Tahoma"/>
          <w:w w:val="105"/>
          <w:sz w:val="20"/>
          <w:szCs w:val="20"/>
        </w:rPr>
        <w:t xml:space="preserve"> </w:t>
      </w:r>
      <w:r w:rsidRPr="00B004EE">
        <w:rPr>
          <w:rFonts w:ascii="Tahoma" w:hAnsi="Tahoma" w:cs="Tahoma"/>
          <w:w w:val="105"/>
          <w:sz w:val="20"/>
          <w:szCs w:val="20"/>
        </w:rPr>
        <w:t>manuel</w:t>
      </w:r>
      <w:r w:rsidR="00DB1635" w:rsidRPr="00B004EE">
        <w:rPr>
          <w:rFonts w:ascii="Tahoma" w:hAnsi="Tahoma" w:cs="Tahoma"/>
          <w:w w:val="105"/>
          <w:sz w:val="20"/>
          <w:szCs w:val="20"/>
        </w:rPr>
        <w:t xml:space="preserve"> </w:t>
      </w:r>
      <w:r w:rsidRPr="00B004EE">
        <w:rPr>
          <w:rFonts w:ascii="Tahoma" w:hAnsi="Tahoma" w:cs="Tahoma"/>
          <w:w w:val="105"/>
          <w:sz w:val="20"/>
          <w:szCs w:val="20"/>
        </w:rPr>
        <w:t>de</w:t>
      </w:r>
      <w:r w:rsidR="00DB1635" w:rsidRPr="00B004EE">
        <w:rPr>
          <w:rFonts w:ascii="Tahoma" w:hAnsi="Tahoma" w:cs="Tahoma"/>
          <w:spacing w:val="14"/>
          <w:w w:val="105"/>
          <w:sz w:val="20"/>
          <w:szCs w:val="20"/>
        </w:rPr>
        <w:t xml:space="preserve"> </w:t>
      </w:r>
      <w:r w:rsidRPr="00B004EE">
        <w:rPr>
          <w:rFonts w:ascii="Tahoma" w:hAnsi="Tahoma" w:cs="Tahoma"/>
          <w:w w:val="105"/>
          <w:sz w:val="20"/>
          <w:szCs w:val="20"/>
        </w:rPr>
        <w:t>procédures;</w:t>
      </w:r>
    </w:p>
    <w:p w14:paraId="0D1DFD8F" w14:textId="5BB0C933" w:rsidR="008518B0" w:rsidRPr="00B004EE" w:rsidRDefault="008518B0" w:rsidP="00420DDA">
      <w:pPr>
        <w:pStyle w:val="Corpsdetexte"/>
        <w:widowControl w:val="0"/>
        <w:numPr>
          <w:ilvl w:val="0"/>
          <w:numId w:val="152"/>
        </w:numPr>
        <w:autoSpaceDE/>
        <w:autoSpaceDN/>
        <w:adjustRightInd/>
        <w:rPr>
          <w:rFonts w:ascii="Tahoma" w:hAnsi="Tahoma" w:cs="Tahoma"/>
          <w:sz w:val="20"/>
          <w:szCs w:val="20"/>
        </w:rPr>
      </w:pPr>
      <w:proofErr w:type="gramStart"/>
      <w:r w:rsidRPr="00B004EE">
        <w:rPr>
          <w:rFonts w:ascii="Tahoma" w:hAnsi="Tahoma" w:cs="Tahoma"/>
          <w:sz w:val="20"/>
          <w:szCs w:val="20"/>
        </w:rPr>
        <w:t>au</w:t>
      </w:r>
      <w:proofErr w:type="gramEnd"/>
      <w:r w:rsidR="00DB1635" w:rsidRPr="00B004EE">
        <w:rPr>
          <w:rFonts w:ascii="Tahoma" w:hAnsi="Tahoma" w:cs="Tahoma"/>
          <w:sz w:val="20"/>
          <w:szCs w:val="20"/>
        </w:rPr>
        <w:t xml:space="preserve"> </w:t>
      </w:r>
      <w:r w:rsidRPr="00B004EE">
        <w:rPr>
          <w:rFonts w:ascii="Tahoma" w:hAnsi="Tahoma" w:cs="Tahoma"/>
          <w:sz w:val="20"/>
          <w:szCs w:val="20"/>
        </w:rPr>
        <w:t>règlement</w:t>
      </w:r>
      <w:r w:rsidR="00FF661D" w:rsidRPr="00B004EE">
        <w:rPr>
          <w:rFonts w:ascii="Tahoma" w:hAnsi="Tahoma" w:cs="Tahoma"/>
          <w:sz w:val="20"/>
          <w:szCs w:val="20"/>
        </w:rPr>
        <w:t xml:space="preserve"> </w:t>
      </w:r>
      <w:r w:rsidRPr="00B004EE">
        <w:rPr>
          <w:rFonts w:ascii="Tahoma" w:hAnsi="Tahoma" w:cs="Tahoma"/>
          <w:sz w:val="20"/>
          <w:szCs w:val="20"/>
        </w:rPr>
        <w:t>intérieur;</w:t>
      </w:r>
    </w:p>
    <w:p w14:paraId="52950747" w14:textId="154596E7" w:rsidR="008518B0" w:rsidRPr="00B004EE" w:rsidRDefault="008518B0" w:rsidP="00420DDA">
      <w:pPr>
        <w:pStyle w:val="Corpsdetexte"/>
        <w:widowControl w:val="0"/>
        <w:numPr>
          <w:ilvl w:val="0"/>
          <w:numId w:val="152"/>
        </w:numPr>
        <w:autoSpaceDE/>
        <w:autoSpaceDN/>
        <w:adjustRightInd/>
        <w:rPr>
          <w:rFonts w:ascii="Tahoma" w:hAnsi="Tahoma" w:cs="Tahoma"/>
          <w:sz w:val="20"/>
          <w:szCs w:val="20"/>
        </w:rPr>
      </w:pPr>
      <w:proofErr w:type="gramStart"/>
      <w:r w:rsidRPr="00B004EE">
        <w:rPr>
          <w:rFonts w:ascii="Tahoma" w:hAnsi="Tahoma" w:cs="Tahoma"/>
          <w:w w:val="105"/>
          <w:sz w:val="20"/>
          <w:szCs w:val="20"/>
        </w:rPr>
        <w:t>aux</w:t>
      </w:r>
      <w:proofErr w:type="gramEnd"/>
      <w:r w:rsidR="00DB1635" w:rsidRPr="00B004EE">
        <w:rPr>
          <w:rFonts w:ascii="Tahoma" w:hAnsi="Tahoma" w:cs="Tahoma"/>
          <w:w w:val="105"/>
          <w:sz w:val="20"/>
          <w:szCs w:val="20"/>
        </w:rPr>
        <w:t xml:space="preserve"> </w:t>
      </w:r>
      <w:r w:rsidRPr="00B004EE">
        <w:rPr>
          <w:rFonts w:ascii="Tahoma" w:hAnsi="Tahoma" w:cs="Tahoma"/>
          <w:w w:val="105"/>
          <w:sz w:val="20"/>
          <w:szCs w:val="20"/>
        </w:rPr>
        <w:t>nominations</w:t>
      </w:r>
      <w:r w:rsidR="00DB1635" w:rsidRPr="00B004EE">
        <w:rPr>
          <w:rFonts w:ascii="Tahoma" w:hAnsi="Tahoma" w:cs="Tahoma"/>
          <w:w w:val="105"/>
          <w:sz w:val="20"/>
          <w:szCs w:val="20"/>
        </w:rPr>
        <w:t xml:space="preserve"> </w:t>
      </w:r>
      <w:r w:rsidRPr="00B004EE">
        <w:rPr>
          <w:rFonts w:ascii="Tahoma" w:hAnsi="Tahoma" w:cs="Tahoma"/>
          <w:w w:val="105"/>
          <w:sz w:val="20"/>
          <w:szCs w:val="20"/>
        </w:rPr>
        <w:t>ou</w:t>
      </w:r>
      <w:r w:rsidR="00DB1635" w:rsidRPr="00B004EE">
        <w:rPr>
          <w:rFonts w:ascii="Tahoma" w:hAnsi="Tahoma" w:cs="Tahoma"/>
          <w:w w:val="105"/>
          <w:sz w:val="20"/>
          <w:szCs w:val="20"/>
        </w:rPr>
        <w:t xml:space="preserve"> </w:t>
      </w:r>
      <w:r w:rsidRPr="00B004EE">
        <w:rPr>
          <w:rFonts w:ascii="Tahoma" w:hAnsi="Tahoma" w:cs="Tahoma"/>
          <w:w w:val="105"/>
          <w:sz w:val="20"/>
          <w:szCs w:val="20"/>
        </w:rPr>
        <w:t>révocations</w:t>
      </w:r>
      <w:r w:rsidR="00DB1635" w:rsidRPr="00B004EE">
        <w:rPr>
          <w:rFonts w:ascii="Tahoma" w:hAnsi="Tahoma" w:cs="Tahoma"/>
          <w:w w:val="105"/>
          <w:sz w:val="20"/>
          <w:szCs w:val="20"/>
        </w:rPr>
        <w:t xml:space="preserve"> </w:t>
      </w:r>
      <w:r w:rsidRPr="00B004EE">
        <w:rPr>
          <w:rFonts w:ascii="Tahoma" w:hAnsi="Tahoma" w:cs="Tahoma"/>
          <w:w w:val="105"/>
          <w:sz w:val="20"/>
          <w:szCs w:val="20"/>
        </w:rPr>
        <w:t>des</w:t>
      </w:r>
      <w:r w:rsidR="00DB1635" w:rsidRPr="00B004EE">
        <w:rPr>
          <w:rFonts w:ascii="Tahoma" w:hAnsi="Tahoma" w:cs="Tahoma"/>
          <w:w w:val="105"/>
          <w:sz w:val="20"/>
          <w:szCs w:val="20"/>
        </w:rPr>
        <w:t xml:space="preserve"> </w:t>
      </w:r>
      <w:r w:rsidRPr="00B004EE">
        <w:rPr>
          <w:rFonts w:ascii="Tahoma" w:hAnsi="Tahoma" w:cs="Tahoma"/>
          <w:w w:val="105"/>
          <w:sz w:val="20"/>
          <w:szCs w:val="20"/>
        </w:rPr>
        <w:t>postes</w:t>
      </w:r>
      <w:r w:rsidR="00DB1635" w:rsidRPr="00B004EE">
        <w:rPr>
          <w:rFonts w:ascii="Tahoma" w:hAnsi="Tahoma" w:cs="Tahoma"/>
          <w:w w:val="105"/>
          <w:sz w:val="20"/>
          <w:szCs w:val="20"/>
        </w:rPr>
        <w:t xml:space="preserve"> </w:t>
      </w:r>
      <w:r w:rsidRPr="00B004EE">
        <w:rPr>
          <w:rFonts w:ascii="Tahoma" w:hAnsi="Tahoma" w:cs="Tahoma"/>
          <w:w w:val="105"/>
          <w:sz w:val="20"/>
          <w:szCs w:val="20"/>
        </w:rPr>
        <w:t>de</w:t>
      </w:r>
      <w:r w:rsidR="00DB1635" w:rsidRPr="00B004EE">
        <w:rPr>
          <w:rFonts w:ascii="Tahoma" w:hAnsi="Tahoma" w:cs="Tahoma"/>
          <w:spacing w:val="-20"/>
          <w:w w:val="105"/>
          <w:sz w:val="20"/>
          <w:szCs w:val="20"/>
        </w:rPr>
        <w:t xml:space="preserve"> </w:t>
      </w:r>
      <w:r w:rsidRPr="00B004EE">
        <w:rPr>
          <w:rFonts w:ascii="Tahoma" w:hAnsi="Tahoma" w:cs="Tahoma"/>
          <w:w w:val="105"/>
          <w:sz w:val="20"/>
          <w:szCs w:val="20"/>
        </w:rPr>
        <w:t>responsabilités.</w:t>
      </w:r>
    </w:p>
    <w:p w14:paraId="3A450EB4" w14:textId="2EFF5AC7" w:rsidR="008518B0" w:rsidRPr="00B004EE" w:rsidRDefault="008518B0" w:rsidP="00420DDA">
      <w:pPr>
        <w:pStyle w:val="Corpsdetexte"/>
        <w:widowControl w:val="0"/>
        <w:numPr>
          <w:ilvl w:val="0"/>
          <w:numId w:val="152"/>
        </w:numPr>
        <w:autoSpaceDE/>
        <w:autoSpaceDN/>
        <w:adjustRightInd/>
        <w:ind w:right="182"/>
        <w:jc w:val="left"/>
        <w:rPr>
          <w:rFonts w:ascii="Tahoma" w:hAnsi="Tahoma" w:cs="Tahoma"/>
          <w:sz w:val="20"/>
          <w:szCs w:val="20"/>
        </w:rPr>
      </w:pPr>
      <w:proofErr w:type="gramStart"/>
      <w:r w:rsidRPr="00B004EE">
        <w:rPr>
          <w:rFonts w:ascii="Tahoma" w:hAnsi="Tahoma" w:cs="Tahoma"/>
          <w:sz w:val="20"/>
          <w:szCs w:val="20"/>
        </w:rPr>
        <w:t>aux</w:t>
      </w:r>
      <w:proofErr w:type="gramEnd"/>
      <w:r w:rsidR="00DB1635" w:rsidRPr="00B004EE">
        <w:rPr>
          <w:rFonts w:ascii="Tahoma" w:hAnsi="Tahoma" w:cs="Tahoma"/>
          <w:spacing w:val="16"/>
          <w:sz w:val="20"/>
          <w:szCs w:val="20"/>
        </w:rPr>
        <w:t xml:space="preserve"> </w:t>
      </w:r>
      <w:r w:rsidRPr="00B004EE">
        <w:rPr>
          <w:rFonts w:ascii="Tahoma" w:hAnsi="Tahoma" w:cs="Tahoma"/>
          <w:spacing w:val="2"/>
          <w:sz w:val="20"/>
          <w:szCs w:val="20"/>
        </w:rPr>
        <w:t>conventions</w:t>
      </w:r>
      <w:r w:rsidR="00DB1635" w:rsidRPr="00B004EE">
        <w:rPr>
          <w:rFonts w:ascii="Tahoma" w:hAnsi="Tahoma" w:cs="Tahoma"/>
          <w:spacing w:val="12"/>
          <w:sz w:val="20"/>
          <w:szCs w:val="20"/>
        </w:rPr>
        <w:t xml:space="preserve"> </w:t>
      </w:r>
      <w:r w:rsidRPr="00B004EE">
        <w:rPr>
          <w:rFonts w:ascii="Tahoma" w:hAnsi="Tahoma" w:cs="Tahoma"/>
          <w:sz w:val="20"/>
          <w:szCs w:val="20"/>
        </w:rPr>
        <w:t>liant</w:t>
      </w:r>
      <w:r w:rsidR="00DB1635" w:rsidRPr="00B004EE">
        <w:rPr>
          <w:rFonts w:ascii="Tahoma" w:hAnsi="Tahoma" w:cs="Tahoma"/>
          <w:spacing w:val="18"/>
          <w:sz w:val="20"/>
          <w:szCs w:val="20"/>
        </w:rPr>
        <w:t xml:space="preserve"> </w:t>
      </w:r>
      <w:r w:rsidRPr="00B004EE">
        <w:rPr>
          <w:rFonts w:ascii="Tahoma" w:hAnsi="Tahoma" w:cs="Tahoma"/>
          <w:spacing w:val="2"/>
          <w:sz w:val="20"/>
          <w:szCs w:val="20"/>
        </w:rPr>
        <w:t>l'ONISPA</w:t>
      </w:r>
      <w:r w:rsidR="00DB1635" w:rsidRPr="00B004EE">
        <w:rPr>
          <w:rFonts w:ascii="Tahoma" w:hAnsi="Tahoma" w:cs="Tahoma"/>
          <w:spacing w:val="2"/>
          <w:sz w:val="20"/>
          <w:szCs w:val="20"/>
        </w:rPr>
        <w:t xml:space="preserve"> </w:t>
      </w:r>
      <w:r w:rsidRPr="00B004EE">
        <w:rPr>
          <w:rFonts w:ascii="Tahoma" w:hAnsi="Tahoma" w:cs="Tahoma"/>
          <w:sz w:val="20"/>
          <w:szCs w:val="20"/>
        </w:rPr>
        <w:t>à</w:t>
      </w:r>
      <w:r w:rsidR="00DB1635" w:rsidRPr="00B004EE">
        <w:rPr>
          <w:rFonts w:ascii="Tahoma" w:hAnsi="Tahoma" w:cs="Tahoma"/>
          <w:spacing w:val="6"/>
          <w:sz w:val="20"/>
          <w:szCs w:val="20"/>
        </w:rPr>
        <w:t xml:space="preserve"> </w:t>
      </w:r>
      <w:r w:rsidRPr="00B004EE">
        <w:rPr>
          <w:rFonts w:ascii="Tahoma" w:hAnsi="Tahoma" w:cs="Tahoma"/>
          <w:spacing w:val="3"/>
          <w:sz w:val="20"/>
          <w:szCs w:val="20"/>
        </w:rPr>
        <w:t>d'autres</w:t>
      </w:r>
      <w:r w:rsidR="00DB1635" w:rsidRPr="00B004EE">
        <w:rPr>
          <w:rFonts w:ascii="Tahoma" w:hAnsi="Tahoma" w:cs="Tahoma"/>
          <w:spacing w:val="13"/>
          <w:sz w:val="20"/>
          <w:szCs w:val="20"/>
        </w:rPr>
        <w:t xml:space="preserve"> </w:t>
      </w:r>
      <w:r w:rsidRPr="00B004EE">
        <w:rPr>
          <w:rFonts w:ascii="Tahoma" w:hAnsi="Tahoma" w:cs="Tahoma"/>
          <w:spacing w:val="2"/>
          <w:sz w:val="20"/>
          <w:szCs w:val="20"/>
        </w:rPr>
        <w:t>institutions</w:t>
      </w:r>
      <w:r w:rsidR="00DB1635" w:rsidRPr="00B004EE">
        <w:rPr>
          <w:rFonts w:ascii="Tahoma" w:hAnsi="Tahoma" w:cs="Tahoma"/>
          <w:spacing w:val="13"/>
          <w:sz w:val="20"/>
          <w:szCs w:val="20"/>
        </w:rPr>
        <w:t xml:space="preserve"> </w:t>
      </w:r>
      <w:r w:rsidRPr="00B004EE">
        <w:rPr>
          <w:rFonts w:ascii="Tahoma" w:hAnsi="Tahoma" w:cs="Tahoma"/>
          <w:sz w:val="20"/>
          <w:szCs w:val="20"/>
        </w:rPr>
        <w:t>et</w:t>
      </w:r>
      <w:r w:rsidR="00DB1635" w:rsidRPr="00B004EE">
        <w:rPr>
          <w:rFonts w:ascii="Tahoma" w:hAnsi="Tahoma" w:cs="Tahoma"/>
          <w:spacing w:val="11"/>
          <w:sz w:val="20"/>
          <w:szCs w:val="20"/>
        </w:rPr>
        <w:t xml:space="preserve"> </w:t>
      </w:r>
      <w:r w:rsidRPr="00B004EE">
        <w:rPr>
          <w:rFonts w:ascii="Tahoma" w:hAnsi="Tahoma" w:cs="Tahoma"/>
          <w:spacing w:val="3"/>
          <w:sz w:val="20"/>
          <w:szCs w:val="20"/>
        </w:rPr>
        <w:t>organismes</w:t>
      </w:r>
      <w:r w:rsidR="00DB1635" w:rsidRPr="00B004EE">
        <w:rPr>
          <w:rFonts w:ascii="Tahoma" w:hAnsi="Tahoma" w:cs="Tahoma"/>
          <w:spacing w:val="13"/>
          <w:sz w:val="20"/>
          <w:szCs w:val="20"/>
        </w:rPr>
        <w:t xml:space="preserve"> </w:t>
      </w:r>
      <w:r w:rsidRPr="00B004EE">
        <w:rPr>
          <w:rFonts w:ascii="Tahoma" w:hAnsi="Tahoma" w:cs="Tahoma"/>
          <w:spacing w:val="2"/>
          <w:sz w:val="20"/>
          <w:szCs w:val="20"/>
        </w:rPr>
        <w:t>publics</w:t>
      </w:r>
      <w:r w:rsidR="00DB1635" w:rsidRPr="00B004EE">
        <w:rPr>
          <w:rFonts w:ascii="Tahoma" w:hAnsi="Tahoma" w:cs="Tahoma"/>
          <w:spacing w:val="13"/>
          <w:sz w:val="20"/>
          <w:szCs w:val="20"/>
        </w:rPr>
        <w:t xml:space="preserve"> </w:t>
      </w:r>
      <w:r w:rsidRPr="00B004EE">
        <w:rPr>
          <w:rFonts w:ascii="Tahoma" w:hAnsi="Tahoma" w:cs="Tahoma"/>
          <w:sz w:val="20"/>
          <w:szCs w:val="20"/>
        </w:rPr>
        <w:t>et</w:t>
      </w:r>
      <w:r w:rsidR="00DB1635" w:rsidRPr="00B004EE">
        <w:rPr>
          <w:rFonts w:ascii="Tahoma" w:hAnsi="Tahoma" w:cs="Tahoma"/>
          <w:spacing w:val="-2"/>
          <w:sz w:val="20"/>
          <w:szCs w:val="20"/>
        </w:rPr>
        <w:t xml:space="preserve"> </w:t>
      </w:r>
      <w:r w:rsidRPr="00B004EE">
        <w:rPr>
          <w:rFonts w:ascii="Tahoma" w:hAnsi="Tahoma" w:cs="Tahoma"/>
          <w:spacing w:val="-3"/>
          <w:sz w:val="20"/>
          <w:szCs w:val="20"/>
        </w:rPr>
        <w:t>privés.</w:t>
      </w:r>
      <w:r w:rsidR="00DB1635" w:rsidRPr="00B004EE">
        <w:rPr>
          <w:rFonts w:ascii="Tahoma" w:hAnsi="Tahoma" w:cs="Tahoma"/>
          <w:spacing w:val="-50"/>
          <w:sz w:val="20"/>
          <w:szCs w:val="20"/>
        </w:rPr>
        <w:t xml:space="preserve"> </w:t>
      </w:r>
    </w:p>
    <w:p w14:paraId="4F18AAC2" w14:textId="77777777" w:rsidR="00FF661D" w:rsidRPr="00B004EE" w:rsidRDefault="00FF661D" w:rsidP="00B004EE">
      <w:pPr>
        <w:pStyle w:val="Corpsdetexte"/>
        <w:ind w:left="175" w:right="159"/>
        <w:rPr>
          <w:rFonts w:ascii="Tahoma" w:hAnsi="Tahoma" w:cs="Tahoma"/>
          <w:sz w:val="20"/>
          <w:szCs w:val="20"/>
        </w:rPr>
      </w:pPr>
    </w:p>
    <w:p w14:paraId="0651D60D" w14:textId="1F670ADE" w:rsidR="008518B0" w:rsidRPr="00B004EE" w:rsidRDefault="008518B0" w:rsidP="00B004EE">
      <w:pPr>
        <w:pStyle w:val="Corpsdetexte"/>
        <w:ind w:left="175" w:right="159"/>
        <w:rPr>
          <w:rFonts w:ascii="Tahoma" w:hAnsi="Tahoma" w:cs="Tahoma"/>
          <w:sz w:val="20"/>
          <w:szCs w:val="20"/>
        </w:rPr>
      </w:pP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soumises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l'approbation</w:t>
      </w:r>
      <w:r w:rsidR="00DB1635" w:rsidRPr="00B004EE">
        <w:rPr>
          <w:rFonts w:ascii="Tahoma" w:hAnsi="Tahoma" w:cs="Tahoma"/>
          <w:sz w:val="20"/>
          <w:szCs w:val="20"/>
        </w:rPr>
        <w:t xml:space="preserve"> </w:t>
      </w:r>
      <w:r w:rsidRPr="00B004EE">
        <w:rPr>
          <w:rFonts w:ascii="Tahoma" w:hAnsi="Tahoma" w:cs="Tahoma"/>
          <w:sz w:val="20"/>
          <w:szCs w:val="20"/>
        </w:rPr>
        <w:t>conjointe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autorités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tutelle</w:t>
      </w:r>
      <w:r w:rsidR="00DB1635" w:rsidRPr="00B004EE">
        <w:rPr>
          <w:rFonts w:ascii="Tahoma" w:hAnsi="Tahoma" w:cs="Tahoma"/>
          <w:sz w:val="20"/>
          <w:szCs w:val="20"/>
        </w:rPr>
        <w:t xml:space="preserve"> </w:t>
      </w:r>
      <w:r w:rsidRPr="00B004EE">
        <w:rPr>
          <w:rFonts w:ascii="Tahoma" w:hAnsi="Tahoma" w:cs="Tahoma"/>
          <w:sz w:val="20"/>
          <w:szCs w:val="20"/>
        </w:rPr>
        <w:t>financière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technique</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délibérations</w:t>
      </w:r>
      <w:r w:rsidR="00DB1635" w:rsidRPr="00B004EE">
        <w:rPr>
          <w:rFonts w:ascii="Tahoma" w:hAnsi="Tahoma" w:cs="Tahoma"/>
          <w:sz w:val="20"/>
          <w:szCs w:val="20"/>
        </w:rPr>
        <w:t xml:space="preserve"> </w:t>
      </w:r>
      <w:r w:rsidR="00572DF5" w:rsidRPr="00B004EE">
        <w:rPr>
          <w:rFonts w:ascii="Tahoma" w:hAnsi="Tahoma" w:cs="Tahoma"/>
          <w:sz w:val="20"/>
          <w:szCs w:val="20"/>
        </w:rPr>
        <w:t>relatives</w:t>
      </w:r>
      <w:r w:rsidR="00DB1635" w:rsidRPr="00B004EE">
        <w:rPr>
          <w:rFonts w:ascii="Tahoma" w:hAnsi="Tahoma" w:cs="Tahoma"/>
          <w:sz w:val="20"/>
          <w:szCs w:val="20"/>
        </w:rPr>
        <w:t xml:space="preserve"> </w:t>
      </w:r>
      <w:r w:rsidR="00572DF5" w:rsidRPr="00B004EE">
        <w:rPr>
          <w:rFonts w:ascii="Tahoma" w:hAnsi="Tahoma" w:cs="Tahoma"/>
          <w:sz w:val="20"/>
          <w:szCs w:val="20"/>
        </w:rPr>
        <w:t>:</w:t>
      </w:r>
    </w:p>
    <w:p w14:paraId="0C8D6F37" w14:textId="3B7DAEE8" w:rsidR="008518B0" w:rsidRPr="00B004EE" w:rsidRDefault="008518B0" w:rsidP="00420DDA">
      <w:pPr>
        <w:pStyle w:val="Corpsdetexte"/>
        <w:widowControl w:val="0"/>
        <w:numPr>
          <w:ilvl w:val="0"/>
          <w:numId w:val="152"/>
        </w:numPr>
        <w:autoSpaceDE/>
        <w:autoSpaceDN/>
        <w:adjustRightInd/>
        <w:rPr>
          <w:rFonts w:ascii="Tahoma" w:hAnsi="Tahoma" w:cs="Tahoma"/>
          <w:w w:val="105"/>
          <w:sz w:val="20"/>
          <w:szCs w:val="20"/>
        </w:rPr>
      </w:pPr>
      <w:proofErr w:type="gramStart"/>
      <w:r w:rsidRPr="00B004EE">
        <w:rPr>
          <w:rFonts w:ascii="Tahoma" w:hAnsi="Tahoma" w:cs="Tahoma"/>
          <w:w w:val="105"/>
          <w:sz w:val="20"/>
          <w:szCs w:val="20"/>
        </w:rPr>
        <w:t>au</w:t>
      </w:r>
      <w:proofErr w:type="gramEnd"/>
      <w:r w:rsidR="00DB1635" w:rsidRPr="00B004EE">
        <w:rPr>
          <w:rFonts w:ascii="Tahoma" w:hAnsi="Tahoma" w:cs="Tahoma"/>
          <w:w w:val="105"/>
          <w:sz w:val="20"/>
          <w:szCs w:val="20"/>
        </w:rPr>
        <w:t xml:space="preserve"> </w:t>
      </w:r>
      <w:r w:rsidRPr="00B004EE">
        <w:rPr>
          <w:rFonts w:ascii="Tahoma" w:hAnsi="Tahoma" w:cs="Tahoma"/>
          <w:w w:val="105"/>
          <w:sz w:val="20"/>
          <w:szCs w:val="20"/>
        </w:rPr>
        <w:t>plan</w:t>
      </w:r>
      <w:r w:rsidR="00DB1635" w:rsidRPr="00B004EE">
        <w:rPr>
          <w:rFonts w:ascii="Tahoma" w:hAnsi="Tahoma" w:cs="Tahoma"/>
          <w:w w:val="105"/>
          <w:sz w:val="20"/>
          <w:szCs w:val="20"/>
        </w:rPr>
        <w:t xml:space="preserve"> </w:t>
      </w:r>
      <w:r w:rsidRPr="00B004EE">
        <w:rPr>
          <w:rFonts w:ascii="Tahoma" w:hAnsi="Tahoma" w:cs="Tahoma"/>
          <w:w w:val="105"/>
          <w:sz w:val="20"/>
          <w:szCs w:val="20"/>
        </w:rPr>
        <w:t>d'action</w:t>
      </w:r>
      <w:r w:rsidR="00DB1635" w:rsidRPr="00B004EE">
        <w:rPr>
          <w:rFonts w:ascii="Tahoma" w:hAnsi="Tahoma" w:cs="Tahoma"/>
          <w:w w:val="105"/>
          <w:sz w:val="20"/>
          <w:szCs w:val="20"/>
        </w:rPr>
        <w:t xml:space="preserve"> </w:t>
      </w:r>
      <w:r w:rsidRPr="00B004EE">
        <w:rPr>
          <w:rFonts w:ascii="Tahoma" w:hAnsi="Tahoma" w:cs="Tahoma"/>
          <w:w w:val="105"/>
          <w:sz w:val="20"/>
          <w:szCs w:val="20"/>
        </w:rPr>
        <w:t>annuel</w:t>
      </w:r>
      <w:r w:rsidR="00DB1635" w:rsidRPr="00B004EE">
        <w:rPr>
          <w:rFonts w:ascii="Tahoma" w:hAnsi="Tahoma" w:cs="Tahoma"/>
          <w:w w:val="105"/>
          <w:sz w:val="20"/>
          <w:szCs w:val="20"/>
        </w:rPr>
        <w:t xml:space="preserve"> </w:t>
      </w:r>
      <w:r w:rsidRPr="00B004EE">
        <w:rPr>
          <w:rFonts w:ascii="Tahoma" w:hAnsi="Tahoma" w:cs="Tahoma"/>
          <w:w w:val="105"/>
          <w:sz w:val="20"/>
          <w:szCs w:val="20"/>
        </w:rPr>
        <w:t>ou</w:t>
      </w:r>
      <w:r w:rsidR="00DB1635" w:rsidRPr="00B004EE">
        <w:rPr>
          <w:rFonts w:ascii="Tahoma" w:hAnsi="Tahoma" w:cs="Tahoma"/>
          <w:w w:val="105"/>
          <w:sz w:val="20"/>
          <w:szCs w:val="20"/>
        </w:rPr>
        <w:t xml:space="preserve"> </w:t>
      </w:r>
      <w:r w:rsidRPr="00B004EE">
        <w:rPr>
          <w:rFonts w:ascii="Tahoma" w:hAnsi="Tahoma" w:cs="Tahoma"/>
          <w:w w:val="105"/>
          <w:sz w:val="20"/>
          <w:szCs w:val="20"/>
        </w:rPr>
        <w:t>pluriannuel;</w:t>
      </w:r>
    </w:p>
    <w:p w14:paraId="28F05731" w14:textId="3CD0821A" w:rsidR="008518B0" w:rsidRPr="00B004EE" w:rsidRDefault="008518B0" w:rsidP="00420DDA">
      <w:pPr>
        <w:pStyle w:val="Corpsdetexte"/>
        <w:widowControl w:val="0"/>
        <w:numPr>
          <w:ilvl w:val="0"/>
          <w:numId w:val="152"/>
        </w:numPr>
        <w:autoSpaceDE/>
        <w:autoSpaceDN/>
        <w:adjustRightInd/>
        <w:rPr>
          <w:rFonts w:ascii="Tahoma" w:hAnsi="Tahoma" w:cs="Tahoma"/>
          <w:w w:val="105"/>
          <w:sz w:val="20"/>
          <w:szCs w:val="20"/>
        </w:rPr>
      </w:pPr>
      <w:proofErr w:type="gramStart"/>
      <w:r w:rsidRPr="00B004EE">
        <w:rPr>
          <w:rFonts w:ascii="Tahoma" w:hAnsi="Tahoma" w:cs="Tahoma"/>
          <w:w w:val="105"/>
          <w:sz w:val="20"/>
          <w:szCs w:val="20"/>
        </w:rPr>
        <w:t>au</w:t>
      </w:r>
      <w:proofErr w:type="gramEnd"/>
      <w:r w:rsidR="00DB1635" w:rsidRPr="00B004EE">
        <w:rPr>
          <w:rFonts w:ascii="Tahoma" w:hAnsi="Tahoma" w:cs="Tahoma"/>
          <w:w w:val="105"/>
          <w:sz w:val="20"/>
          <w:szCs w:val="20"/>
        </w:rPr>
        <w:t xml:space="preserve"> </w:t>
      </w:r>
      <w:r w:rsidRPr="00B004EE">
        <w:rPr>
          <w:rFonts w:ascii="Tahoma" w:hAnsi="Tahoma" w:cs="Tahoma"/>
          <w:w w:val="105"/>
          <w:sz w:val="20"/>
          <w:szCs w:val="20"/>
        </w:rPr>
        <w:t>budget</w:t>
      </w:r>
      <w:r w:rsidR="00DB1635" w:rsidRPr="00B004EE">
        <w:rPr>
          <w:rFonts w:ascii="Tahoma" w:hAnsi="Tahoma" w:cs="Tahoma"/>
          <w:w w:val="105"/>
          <w:sz w:val="20"/>
          <w:szCs w:val="20"/>
        </w:rPr>
        <w:t xml:space="preserve"> </w:t>
      </w:r>
      <w:r w:rsidRPr="00B004EE">
        <w:rPr>
          <w:rFonts w:ascii="Tahoma" w:hAnsi="Tahoma" w:cs="Tahoma"/>
          <w:w w:val="105"/>
          <w:sz w:val="20"/>
          <w:szCs w:val="20"/>
        </w:rPr>
        <w:t>prévisionnel</w:t>
      </w:r>
      <w:r w:rsidR="00DB1635" w:rsidRPr="00B004EE">
        <w:rPr>
          <w:rFonts w:ascii="Tahoma" w:hAnsi="Tahoma" w:cs="Tahoma"/>
          <w:w w:val="105"/>
          <w:sz w:val="20"/>
          <w:szCs w:val="20"/>
        </w:rPr>
        <w:t xml:space="preserve"> </w:t>
      </w:r>
      <w:r w:rsidRPr="00B004EE">
        <w:rPr>
          <w:rFonts w:ascii="Tahoma" w:hAnsi="Tahoma" w:cs="Tahoma"/>
          <w:w w:val="105"/>
          <w:sz w:val="20"/>
          <w:szCs w:val="20"/>
        </w:rPr>
        <w:t>annuel;</w:t>
      </w:r>
    </w:p>
    <w:p w14:paraId="274DADD9" w14:textId="08639704" w:rsidR="008518B0" w:rsidRPr="00B004EE" w:rsidRDefault="008518B0" w:rsidP="00420DDA">
      <w:pPr>
        <w:pStyle w:val="Corpsdetexte"/>
        <w:widowControl w:val="0"/>
        <w:numPr>
          <w:ilvl w:val="0"/>
          <w:numId w:val="152"/>
        </w:numPr>
        <w:autoSpaceDE/>
        <w:autoSpaceDN/>
        <w:adjustRightInd/>
        <w:rPr>
          <w:rFonts w:ascii="Tahoma" w:hAnsi="Tahoma" w:cs="Tahoma"/>
          <w:w w:val="105"/>
          <w:sz w:val="20"/>
          <w:szCs w:val="20"/>
        </w:rPr>
      </w:pPr>
      <w:proofErr w:type="gramStart"/>
      <w:r w:rsidRPr="00B004EE">
        <w:rPr>
          <w:rFonts w:ascii="Tahoma" w:hAnsi="Tahoma" w:cs="Tahoma"/>
          <w:w w:val="105"/>
          <w:sz w:val="20"/>
          <w:szCs w:val="20"/>
        </w:rPr>
        <w:t>au</w:t>
      </w:r>
      <w:proofErr w:type="gramEnd"/>
      <w:r w:rsidR="00DB1635" w:rsidRPr="00B004EE">
        <w:rPr>
          <w:rFonts w:ascii="Tahoma" w:hAnsi="Tahoma" w:cs="Tahoma"/>
          <w:w w:val="105"/>
          <w:sz w:val="20"/>
          <w:szCs w:val="20"/>
        </w:rPr>
        <w:t xml:space="preserve"> </w:t>
      </w:r>
      <w:r w:rsidRPr="00B004EE">
        <w:rPr>
          <w:rFonts w:ascii="Tahoma" w:hAnsi="Tahoma" w:cs="Tahoma"/>
          <w:w w:val="105"/>
          <w:sz w:val="20"/>
          <w:szCs w:val="20"/>
        </w:rPr>
        <w:t>rapport</w:t>
      </w:r>
      <w:r w:rsidR="00DB1635" w:rsidRPr="00B004EE">
        <w:rPr>
          <w:rFonts w:ascii="Tahoma" w:hAnsi="Tahoma" w:cs="Tahoma"/>
          <w:w w:val="105"/>
          <w:sz w:val="20"/>
          <w:szCs w:val="20"/>
        </w:rPr>
        <w:t xml:space="preserve"> </w:t>
      </w:r>
      <w:r w:rsidRPr="00B004EE">
        <w:rPr>
          <w:rFonts w:ascii="Tahoma" w:hAnsi="Tahoma" w:cs="Tahoma"/>
          <w:w w:val="105"/>
          <w:sz w:val="20"/>
          <w:szCs w:val="20"/>
        </w:rPr>
        <w:t>annuel</w:t>
      </w:r>
      <w:r w:rsidR="00DB1635" w:rsidRPr="00B004EE">
        <w:rPr>
          <w:rFonts w:ascii="Tahoma" w:hAnsi="Tahoma" w:cs="Tahoma"/>
          <w:w w:val="105"/>
          <w:sz w:val="20"/>
          <w:szCs w:val="20"/>
        </w:rPr>
        <w:t xml:space="preserve"> </w:t>
      </w:r>
      <w:r w:rsidRPr="00B004EE">
        <w:rPr>
          <w:rFonts w:ascii="Tahoma" w:hAnsi="Tahoma" w:cs="Tahoma"/>
          <w:w w:val="105"/>
          <w:sz w:val="20"/>
          <w:szCs w:val="20"/>
        </w:rPr>
        <w:t>de</w:t>
      </w:r>
      <w:r w:rsidR="00DB1635" w:rsidRPr="00B004EE">
        <w:rPr>
          <w:rFonts w:ascii="Tahoma" w:hAnsi="Tahoma" w:cs="Tahoma"/>
          <w:w w:val="105"/>
          <w:sz w:val="20"/>
          <w:szCs w:val="20"/>
        </w:rPr>
        <w:t xml:space="preserve"> </w:t>
      </w:r>
      <w:r w:rsidRPr="00B004EE">
        <w:rPr>
          <w:rFonts w:ascii="Tahoma" w:hAnsi="Tahoma" w:cs="Tahoma"/>
          <w:w w:val="105"/>
          <w:sz w:val="20"/>
          <w:szCs w:val="20"/>
        </w:rPr>
        <w:t>gestion</w:t>
      </w:r>
      <w:r w:rsidR="00DB1635" w:rsidRPr="00B004EE">
        <w:rPr>
          <w:rFonts w:ascii="Tahoma" w:hAnsi="Tahoma" w:cs="Tahoma"/>
          <w:w w:val="105"/>
          <w:sz w:val="20"/>
          <w:szCs w:val="20"/>
        </w:rPr>
        <w:t xml:space="preserve"> </w:t>
      </w:r>
      <w:r w:rsidRPr="00B004EE">
        <w:rPr>
          <w:rFonts w:ascii="Tahoma" w:hAnsi="Tahoma" w:cs="Tahoma"/>
          <w:w w:val="105"/>
          <w:sz w:val="20"/>
          <w:szCs w:val="20"/>
        </w:rPr>
        <w:t>du</w:t>
      </w:r>
      <w:r w:rsidR="00DB1635" w:rsidRPr="00B004EE">
        <w:rPr>
          <w:rFonts w:ascii="Tahoma" w:hAnsi="Tahoma" w:cs="Tahoma"/>
          <w:w w:val="105"/>
          <w:sz w:val="20"/>
          <w:szCs w:val="20"/>
        </w:rPr>
        <w:t xml:space="preserve"> </w:t>
      </w:r>
      <w:r w:rsidRPr="00B004EE">
        <w:rPr>
          <w:rFonts w:ascii="Tahoma" w:hAnsi="Tahoma" w:cs="Tahoma"/>
          <w:w w:val="105"/>
          <w:sz w:val="20"/>
          <w:szCs w:val="20"/>
        </w:rPr>
        <w:t>Directeur;</w:t>
      </w:r>
    </w:p>
    <w:p w14:paraId="6A131667" w14:textId="3582D789" w:rsidR="008518B0" w:rsidRPr="00B004EE" w:rsidRDefault="008518B0" w:rsidP="00420DDA">
      <w:pPr>
        <w:pStyle w:val="Corpsdetexte"/>
        <w:widowControl w:val="0"/>
        <w:numPr>
          <w:ilvl w:val="0"/>
          <w:numId w:val="152"/>
        </w:numPr>
        <w:autoSpaceDE/>
        <w:autoSpaceDN/>
        <w:adjustRightInd/>
        <w:rPr>
          <w:rFonts w:ascii="Tahoma" w:hAnsi="Tahoma" w:cs="Tahoma"/>
          <w:w w:val="105"/>
          <w:sz w:val="20"/>
          <w:szCs w:val="20"/>
        </w:rPr>
      </w:pPr>
      <w:proofErr w:type="gramStart"/>
      <w:r w:rsidRPr="00B004EE">
        <w:rPr>
          <w:rFonts w:ascii="Tahoma" w:hAnsi="Tahoma" w:cs="Tahoma"/>
          <w:w w:val="105"/>
          <w:sz w:val="20"/>
          <w:szCs w:val="20"/>
        </w:rPr>
        <w:lastRenderedPageBreak/>
        <w:t>aux</w:t>
      </w:r>
      <w:proofErr w:type="gramEnd"/>
      <w:r w:rsidR="00DB1635" w:rsidRPr="00B004EE">
        <w:rPr>
          <w:rFonts w:ascii="Tahoma" w:hAnsi="Tahoma" w:cs="Tahoma"/>
          <w:w w:val="105"/>
          <w:sz w:val="20"/>
          <w:szCs w:val="20"/>
        </w:rPr>
        <w:t xml:space="preserve"> </w:t>
      </w:r>
      <w:r w:rsidRPr="00B004EE">
        <w:rPr>
          <w:rFonts w:ascii="Tahoma" w:hAnsi="Tahoma" w:cs="Tahoma"/>
          <w:w w:val="105"/>
          <w:sz w:val="20"/>
          <w:szCs w:val="20"/>
        </w:rPr>
        <w:t>bilans</w:t>
      </w:r>
      <w:r w:rsidR="00DB1635" w:rsidRPr="00B004EE">
        <w:rPr>
          <w:rFonts w:ascii="Tahoma" w:hAnsi="Tahoma" w:cs="Tahoma"/>
          <w:w w:val="105"/>
          <w:sz w:val="20"/>
          <w:szCs w:val="20"/>
        </w:rPr>
        <w:t xml:space="preserve"> </w:t>
      </w:r>
      <w:r w:rsidRPr="00B004EE">
        <w:rPr>
          <w:rFonts w:ascii="Tahoma" w:hAnsi="Tahoma" w:cs="Tahoma"/>
          <w:w w:val="105"/>
          <w:sz w:val="20"/>
          <w:szCs w:val="20"/>
        </w:rPr>
        <w:t>et</w:t>
      </w:r>
      <w:r w:rsidR="00DB1635" w:rsidRPr="00B004EE">
        <w:rPr>
          <w:rFonts w:ascii="Tahoma" w:hAnsi="Tahoma" w:cs="Tahoma"/>
          <w:w w:val="105"/>
          <w:sz w:val="20"/>
          <w:szCs w:val="20"/>
        </w:rPr>
        <w:t xml:space="preserve"> </w:t>
      </w:r>
      <w:r w:rsidRPr="00B004EE">
        <w:rPr>
          <w:rFonts w:ascii="Tahoma" w:hAnsi="Tahoma" w:cs="Tahoma"/>
          <w:w w:val="105"/>
          <w:sz w:val="20"/>
          <w:szCs w:val="20"/>
        </w:rPr>
        <w:t>comptes</w:t>
      </w:r>
      <w:r w:rsidR="00DB1635" w:rsidRPr="00B004EE">
        <w:rPr>
          <w:rFonts w:ascii="Tahoma" w:hAnsi="Tahoma" w:cs="Tahoma"/>
          <w:w w:val="105"/>
          <w:sz w:val="20"/>
          <w:szCs w:val="20"/>
        </w:rPr>
        <w:t xml:space="preserve"> </w:t>
      </w:r>
      <w:r w:rsidRPr="00B004EE">
        <w:rPr>
          <w:rFonts w:ascii="Tahoma" w:hAnsi="Tahoma" w:cs="Tahoma"/>
          <w:w w:val="105"/>
          <w:sz w:val="20"/>
          <w:szCs w:val="20"/>
        </w:rPr>
        <w:t>de</w:t>
      </w:r>
      <w:r w:rsidR="00DB1635" w:rsidRPr="00B004EE">
        <w:rPr>
          <w:rFonts w:ascii="Tahoma" w:hAnsi="Tahoma" w:cs="Tahoma"/>
          <w:w w:val="105"/>
          <w:sz w:val="20"/>
          <w:szCs w:val="20"/>
        </w:rPr>
        <w:t xml:space="preserve"> </w:t>
      </w:r>
      <w:r w:rsidRPr="00B004EE">
        <w:rPr>
          <w:rFonts w:ascii="Tahoma" w:hAnsi="Tahoma" w:cs="Tahoma"/>
          <w:w w:val="105"/>
          <w:sz w:val="20"/>
          <w:szCs w:val="20"/>
        </w:rPr>
        <w:t>fin</w:t>
      </w:r>
      <w:r w:rsidR="00DB1635" w:rsidRPr="00B004EE">
        <w:rPr>
          <w:rFonts w:ascii="Tahoma" w:hAnsi="Tahoma" w:cs="Tahoma"/>
          <w:w w:val="105"/>
          <w:sz w:val="20"/>
          <w:szCs w:val="20"/>
        </w:rPr>
        <w:t xml:space="preserve"> </w:t>
      </w:r>
      <w:r w:rsidRPr="00B004EE">
        <w:rPr>
          <w:rFonts w:ascii="Tahoma" w:hAnsi="Tahoma" w:cs="Tahoma"/>
          <w:w w:val="105"/>
          <w:sz w:val="20"/>
          <w:szCs w:val="20"/>
        </w:rPr>
        <w:t>d'exercice;</w:t>
      </w:r>
    </w:p>
    <w:p w14:paraId="794F4C93" w14:textId="1F1BF2CE" w:rsidR="008518B0" w:rsidRPr="00B004EE" w:rsidRDefault="008518B0" w:rsidP="00420DDA">
      <w:pPr>
        <w:pStyle w:val="Corpsdetexte"/>
        <w:widowControl w:val="0"/>
        <w:numPr>
          <w:ilvl w:val="0"/>
          <w:numId w:val="152"/>
        </w:numPr>
        <w:autoSpaceDE/>
        <w:autoSpaceDN/>
        <w:adjustRightInd/>
        <w:rPr>
          <w:rFonts w:ascii="Tahoma" w:hAnsi="Tahoma" w:cs="Tahoma"/>
          <w:w w:val="105"/>
          <w:sz w:val="20"/>
          <w:szCs w:val="20"/>
        </w:rPr>
      </w:pPr>
      <w:proofErr w:type="gramStart"/>
      <w:r w:rsidRPr="00B004EE">
        <w:rPr>
          <w:rFonts w:ascii="Tahoma" w:hAnsi="Tahoma" w:cs="Tahoma"/>
          <w:w w:val="105"/>
          <w:sz w:val="20"/>
          <w:szCs w:val="20"/>
        </w:rPr>
        <w:t>à</w:t>
      </w:r>
      <w:proofErr w:type="gramEnd"/>
      <w:r w:rsidR="00DB1635" w:rsidRPr="00B004EE">
        <w:rPr>
          <w:rFonts w:ascii="Tahoma" w:hAnsi="Tahoma" w:cs="Tahoma"/>
          <w:w w:val="105"/>
          <w:sz w:val="20"/>
          <w:szCs w:val="20"/>
        </w:rPr>
        <w:t xml:space="preserve"> </w:t>
      </w:r>
      <w:r w:rsidRPr="00B004EE">
        <w:rPr>
          <w:rFonts w:ascii="Tahoma" w:hAnsi="Tahoma" w:cs="Tahoma"/>
          <w:w w:val="105"/>
          <w:sz w:val="20"/>
          <w:szCs w:val="20"/>
        </w:rPr>
        <w:t>l'acquisition,</w:t>
      </w:r>
      <w:r w:rsidR="00DB1635" w:rsidRPr="00B004EE">
        <w:rPr>
          <w:rFonts w:ascii="Tahoma" w:hAnsi="Tahoma" w:cs="Tahoma"/>
          <w:w w:val="105"/>
          <w:sz w:val="20"/>
          <w:szCs w:val="20"/>
        </w:rPr>
        <w:t xml:space="preserve"> </w:t>
      </w:r>
      <w:r w:rsidRPr="00B004EE">
        <w:rPr>
          <w:rFonts w:ascii="Tahoma" w:hAnsi="Tahoma" w:cs="Tahoma"/>
          <w:w w:val="105"/>
          <w:sz w:val="20"/>
          <w:szCs w:val="20"/>
        </w:rPr>
        <w:t>l'aliénation</w:t>
      </w:r>
      <w:r w:rsidR="00DB1635" w:rsidRPr="00B004EE">
        <w:rPr>
          <w:rFonts w:ascii="Tahoma" w:hAnsi="Tahoma" w:cs="Tahoma"/>
          <w:w w:val="105"/>
          <w:sz w:val="20"/>
          <w:szCs w:val="20"/>
        </w:rPr>
        <w:t xml:space="preserve"> </w:t>
      </w:r>
      <w:r w:rsidRPr="00B004EE">
        <w:rPr>
          <w:rFonts w:ascii="Tahoma" w:hAnsi="Tahoma" w:cs="Tahoma"/>
          <w:w w:val="105"/>
          <w:sz w:val="20"/>
          <w:szCs w:val="20"/>
        </w:rPr>
        <w:t>ou</w:t>
      </w:r>
      <w:r w:rsidR="00DB1635" w:rsidRPr="00B004EE">
        <w:rPr>
          <w:rFonts w:ascii="Tahoma" w:hAnsi="Tahoma" w:cs="Tahoma"/>
          <w:w w:val="105"/>
          <w:sz w:val="20"/>
          <w:szCs w:val="20"/>
        </w:rPr>
        <w:t xml:space="preserve"> </w:t>
      </w:r>
      <w:r w:rsidRPr="00B004EE">
        <w:rPr>
          <w:rFonts w:ascii="Tahoma" w:hAnsi="Tahoma" w:cs="Tahoma"/>
          <w:w w:val="105"/>
          <w:sz w:val="20"/>
          <w:szCs w:val="20"/>
        </w:rPr>
        <w:t>l'échange</w:t>
      </w:r>
      <w:r w:rsidR="00DB1635" w:rsidRPr="00B004EE">
        <w:rPr>
          <w:rFonts w:ascii="Tahoma" w:hAnsi="Tahoma" w:cs="Tahoma"/>
          <w:w w:val="105"/>
          <w:sz w:val="20"/>
          <w:szCs w:val="20"/>
        </w:rPr>
        <w:t xml:space="preserve"> </w:t>
      </w:r>
      <w:r w:rsidRPr="00B004EE">
        <w:rPr>
          <w:rFonts w:ascii="Tahoma" w:hAnsi="Tahoma" w:cs="Tahoma"/>
          <w:w w:val="105"/>
          <w:sz w:val="20"/>
          <w:szCs w:val="20"/>
        </w:rPr>
        <w:t>des</w:t>
      </w:r>
      <w:r w:rsidR="00DB1635" w:rsidRPr="00B004EE">
        <w:rPr>
          <w:rFonts w:ascii="Tahoma" w:hAnsi="Tahoma" w:cs="Tahoma"/>
          <w:w w:val="105"/>
          <w:sz w:val="20"/>
          <w:szCs w:val="20"/>
        </w:rPr>
        <w:t xml:space="preserve"> </w:t>
      </w:r>
      <w:r w:rsidRPr="00B004EE">
        <w:rPr>
          <w:rFonts w:ascii="Tahoma" w:hAnsi="Tahoma" w:cs="Tahoma"/>
          <w:w w:val="105"/>
          <w:sz w:val="20"/>
          <w:szCs w:val="20"/>
        </w:rPr>
        <w:t>biens</w:t>
      </w:r>
      <w:r w:rsidR="00DB1635" w:rsidRPr="00B004EE">
        <w:rPr>
          <w:rFonts w:ascii="Tahoma" w:hAnsi="Tahoma" w:cs="Tahoma"/>
          <w:w w:val="105"/>
          <w:sz w:val="20"/>
          <w:szCs w:val="20"/>
        </w:rPr>
        <w:t xml:space="preserve"> </w:t>
      </w:r>
      <w:r w:rsidRPr="00B004EE">
        <w:rPr>
          <w:rFonts w:ascii="Tahoma" w:hAnsi="Tahoma" w:cs="Tahoma"/>
          <w:w w:val="105"/>
          <w:sz w:val="20"/>
          <w:szCs w:val="20"/>
        </w:rPr>
        <w:t>mobiliers</w:t>
      </w:r>
      <w:r w:rsidR="00DB1635" w:rsidRPr="00B004EE">
        <w:rPr>
          <w:rFonts w:ascii="Tahoma" w:hAnsi="Tahoma" w:cs="Tahoma"/>
          <w:w w:val="105"/>
          <w:sz w:val="20"/>
          <w:szCs w:val="20"/>
        </w:rPr>
        <w:t xml:space="preserve"> </w:t>
      </w:r>
      <w:r w:rsidRPr="00B004EE">
        <w:rPr>
          <w:rFonts w:ascii="Tahoma" w:hAnsi="Tahoma" w:cs="Tahoma"/>
          <w:w w:val="105"/>
          <w:sz w:val="20"/>
          <w:szCs w:val="20"/>
        </w:rPr>
        <w:t>et</w:t>
      </w:r>
      <w:r w:rsidR="00DB1635" w:rsidRPr="00B004EE">
        <w:rPr>
          <w:rFonts w:ascii="Tahoma" w:hAnsi="Tahoma" w:cs="Tahoma"/>
          <w:w w:val="105"/>
          <w:sz w:val="20"/>
          <w:szCs w:val="20"/>
        </w:rPr>
        <w:t xml:space="preserve"> </w:t>
      </w:r>
      <w:r w:rsidRPr="00B004EE">
        <w:rPr>
          <w:rFonts w:ascii="Tahoma" w:hAnsi="Tahoma" w:cs="Tahoma"/>
          <w:w w:val="105"/>
          <w:sz w:val="20"/>
          <w:szCs w:val="20"/>
        </w:rPr>
        <w:t>immobiliers;</w:t>
      </w:r>
    </w:p>
    <w:p w14:paraId="72399777" w14:textId="38C0F882" w:rsidR="008518B0" w:rsidRPr="00B004EE" w:rsidRDefault="008518B0" w:rsidP="00420DDA">
      <w:pPr>
        <w:pStyle w:val="Corpsdetexte"/>
        <w:widowControl w:val="0"/>
        <w:numPr>
          <w:ilvl w:val="0"/>
          <w:numId w:val="152"/>
        </w:numPr>
        <w:autoSpaceDE/>
        <w:autoSpaceDN/>
        <w:adjustRightInd/>
        <w:rPr>
          <w:rFonts w:ascii="Tahoma" w:hAnsi="Tahoma" w:cs="Tahoma"/>
          <w:w w:val="105"/>
          <w:sz w:val="20"/>
          <w:szCs w:val="20"/>
        </w:rPr>
      </w:pPr>
      <w:proofErr w:type="gramStart"/>
      <w:r w:rsidRPr="00B004EE">
        <w:rPr>
          <w:rFonts w:ascii="Tahoma" w:hAnsi="Tahoma" w:cs="Tahoma"/>
          <w:w w:val="105"/>
          <w:sz w:val="20"/>
          <w:szCs w:val="20"/>
        </w:rPr>
        <w:t>à</w:t>
      </w:r>
      <w:proofErr w:type="gramEnd"/>
      <w:r w:rsidR="00DB1635" w:rsidRPr="00B004EE">
        <w:rPr>
          <w:rFonts w:ascii="Tahoma" w:hAnsi="Tahoma" w:cs="Tahoma"/>
          <w:w w:val="105"/>
          <w:sz w:val="20"/>
          <w:szCs w:val="20"/>
        </w:rPr>
        <w:t xml:space="preserve"> </w:t>
      </w:r>
      <w:r w:rsidRPr="00B004EE">
        <w:rPr>
          <w:rFonts w:ascii="Tahoma" w:hAnsi="Tahoma" w:cs="Tahoma"/>
          <w:w w:val="105"/>
          <w:sz w:val="20"/>
          <w:szCs w:val="20"/>
        </w:rPr>
        <w:t>l'acceptation</w:t>
      </w:r>
      <w:r w:rsidR="00DB1635" w:rsidRPr="00B004EE">
        <w:rPr>
          <w:rFonts w:ascii="Tahoma" w:hAnsi="Tahoma" w:cs="Tahoma"/>
          <w:w w:val="105"/>
          <w:sz w:val="20"/>
          <w:szCs w:val="20"/>
        </w:rPr>
        <w:t xml:space="preserve"> </w:t>
      </w:r>
      <w:r w:rsidRPr="00B004EE">
        <w:rPr>
          <w:rFonts w:ascii="Tahoma" w:hAnsi="Tahoma" w:cs="Tahoma"/>
          <w:w w:val="105"/>
          <w:sz w:val="20"/>
          <w:szCs w:val="20"/>
        </w:rPr>
        <w:t>ou</w:t>
      </w:r>
      <w:r w:rsidR="00DB1635" w:rsidRPr="00B004EE">
        <w:rPr>
          <w:rFonts w:ascii="Tahoma" w:hAnsi="Tahoma" w:cs="Tahoma"/>
          <w:w w:val="105"/>
          <w:sz w:val="20"/>
          <w:szCs w:val="20"/>
        </w:rPr>
        <w:t xml:space="preserve"> </w:t>
      </w:r>
      <w:r w:rsidRPr="00B004EE">
        <w:rPr>
          <w:rFonts w:ascii="Tahoma" w:hAnsi="Tahoma" w:cs="Tahoma"/>
          <w:w w:val="105"/>
          <w:sz w:val="20"/>
          <w:szCs w:val="20"/>
        </w:rPr>
        <w:t>refus</w:t>
      </w:r>
      <w:r w:rsidR="00DB1635" w:rsidRPr="00B004EE">
        <w:rPr>
          <w:rFonts w:ascii="Tahoma" w:hAnsi="Tahoma" w:cs="Tahoma"/>
          <w:w w:val="105"/>
          <w:sz w:val="20"/>
          <w:szCs w:val="20"/>
        </w:rPr>
        <w:t xml:space="preserve"> </w:t>
      </w:r>
      <w:r w:rsidRPr="00B004EE">
        <w:rPr>
          <w:rFonts w:ascii="Tahoma" w:hAnsi="Tahoma" w:cs="Tahoma"/>
          <w:w w:val="105"/>
          <w:sz w:val="20"/>
          <w:szCs w:val="20"/>
        </w:rPr>
        <w:t>des</w:t>
      </w:r>
      <w:r w:rsidR="00DB1635" w:rsidRPr="00B004EE">
        <w:rPr>
          <w:rFonts w:ascii="Tahoma" w:hAnsi="Tahoma" w:cs="Tahoma"/>
          <w:w w:val="105"/>
          <w:sz w:val="20"/>
          <w:szCs w:val="20"/>
        </w:rPr>
        <w:t xml:space="preserve"> </w:t>
      </w:r>
      <w:r w:rsidRPr="00B004EE">
        <w:rPr>
          <w:rFonts w:ascii="Tahoma" w:hAnsi="Tahoma" w:cs="Tahoma"/>
          <w:w w:val="105"/>
          <w:sz w:val="20"/>
          <w:szCs w:val="20"/>
        </w:rPr>
        <w:t>dons,</w:t>
      </w:r>
      <w:r w:rsidR="00DB1635" w:rsidRPr="00B004EE">
        <w:rPr>
          <w:rFonts w:ascii="Tahoma" w:hAnsi="Tahoma" w:cs="Tahoma"/>
          <w:w w:val="105"/>
          <w:sz w:val="20"/>
          <w:szCs w:val="20"/>
        </w:rPr>
        <w:t xml:space="preserve"> </w:t>
      </w:r>
      <w:r w:rsidRPr="00B004EE">
        <w:rPr>
          <w:rFonts w:ascii="Tahoma" w:hAnsi="Tahoma" w:cs="Tahoma"/>
          <w:w w:val="105"/>
          <w:sz w:val="20"/>
          <w:szCs w:val="20"/>
        </w:rPr>
        <w:t>legs</w:t>
      </w:r>
      <w:r w:rsidR="00DB1635" w:rsidRPr="00B004EE">
        <w:rPr>
          <w:rFonts w:ascii="Tahoma" w:hAnsi="Tahoma" w:cs="Tahoma"/>
          <w:w w:val="105"/>
          <w:sz w:val="20"/>
          <w:szCs w:val="20"/>
        </w:rPr>
        <w:t xml:space="preserve"> </w:t>
      </w:r>
      <w:r w:rsidRPr="00B004EE">
        <w:rPr>
          <w:rFonts w:ascii="Tahoma" w:hAnsi="Tahoma" w:cs="Tahoma"/>
          <w:w w:val="105"/>
          <w:sz w:val="20"/>
          <w:szCs w:val="20"/>
        </w:rPr>
        <w:t>ou</w:t>
      </w:r>
      <w:r w:rsidR="00DB1635" w:rsidRPr="00B004EE">
        <w:rPr>
          <w:rFonts w:ascii="Tahoma" w:hAnsi="Tahoma" w:cs="Tahoma"/>
          <w:w w:val="105"/>
          <w:sz w:val="20"/>
          <w:szCs w:val="20"/>
        </w:rPr>
        <w:t xml:space="preserve"> </w:t>
      </w:r>
      <w:r w:rsidRPr="00B004EE">
        <w:rPr>
          <w:rFonts w:ascii="Tahoma" w:hAnsi="Tahoma" w:cs="Tahoma"/>
          <w:w w:val="105"/>
          <w:sz w:val="20"/>
          <w:szCs w:val="20"/>
        </w:rPr>
        <w:t>subventions;</w:t>
      </w:r>
    </w:p>
    <w:p w14:paraId="26749802" w14:textId="77777777" w:rsidR="008518B0" w:rsidRPr="00B004EE" w:rsidRDefault="008518B0" w:rsidP="00B004EE">
      <w:pPr>
        <w:pStyle w:val="Corpsdetexte"/>
        <w:widowControl w:val="0"/>
        <w:autoSpaceDE/>
        <w:autoSpaceDN/>
        <w:adjustRightInd/>
        <w:ind w:left="567"/>
        <w:rPr>
          <w:rFonts w:ascii="Tahoma" w:hAnsi="Tahoma" w:cs="Tahoma"/>
          <w:w w:val="105"/>
          <w:sz w:val="20"/>
          <w:szCs w:val="20"/>
        </w:rPr>
      </w:pPr>
    </w:p>
    <w:p w14:paraId="61F84E3B" w14:textId="4FE51BA2" w:rsidR="008518B0" w:rsidRPr="00B004EE" w:rsidRDefault="008518B0" w:rsidP="00B004EE">
      <w:pPr>
        <w:ind w:left="261" w:right="182"/>
        <w:jc w:val="both"/>
        <w:rPr>
          <w:rFonts w:ascii="Tahoma" w:hAnsi="Tahoma" w:cs="Tahoma"/>
          <w:sz w:val="20"/>
          <w:szCs w:val="20"/>
        </w:rPr>
      </w:pP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procès-verbaux</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réunions</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Conseil</w:t>
      </w:r>
      <w:r w:rsidR="00DB1635" w:rsidRPr="00B004EE">
        <w:rPr>
          <w:rFonts w:ascii="Tahoma" w:hAnsi="Tahoma" w:cs="Tahoma"/>
          <w:sz w:val="20"/>
          <w:szCs w:val="20"/>
        </w:rPr>
        <w:t xml:space="preserve"> </w:t>
      </w:r>
      <w:r w:rsidRPr="00B004EE">
        <w:rPr>
          <w:rFonts w:ascii="Tahoma" w:hAnsi="Tahoma" w:cs="Tahoma"/>
          <w:sz w:val="20"/>
          <w:szCs w:val="20"/>
        </w:rPr>
        <w:t>d'Administration</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transmis</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autorités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tutelle</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huitaine</w:t>
      </w:r>
      <w:r w:rsidR="00DB1635" w:rsidRPr="00B004EE">
        <w:rPr>
          <w:rFonts w:ascii="Tahoma" w:hAnsi="Tahoma" w:cs="Tahoma"/>
          <w:sz w:val="20"/>
          <w:szCs w:val="20"/>
        </w:rPr>
        <w:t xml:space="preserve"> </w:t>
      </w:r>
      <w:r w:rsidRPr="00B004EE">
        <w:rPr>
          <w:rFonts w:ascii="Tahoma" w:hAnsi="Tahoma" w:cs="Tahoma"/>
          <w:sz w:val="20"/>
          <w:szCs w:val="20"/>
        </w:rPr>
        <w:t>qui</w:t>
      </w:r>
      <w:r w:rsidR="00DB1635" w:rsidRPr="00B004EE">
        <w:rPr>
          <w:rFonts w:ascii="Tahoma" w:hAnsi="Tahoma" w:cs="Tahoma"/>
          <w:sz w:val="20"/>
          <w:szCs w:val="20"/>
        </w:rPr>
        <w:t xml:space="preserve"> </w:t>
      </w:r>
      <w:r w:rsidRPr="00B004EE">
        <w:rPr>
          <w:rFonts w:ascii="Tahoma" w:hAnsi="Tahoma" w:cs="Tahoma"/>
          <w:sz w:val="20"/>
          <w:szCs w:val="20"/>
        </w:rPr>
        <w:t>suit</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session</w:t>
      </w:r>
      <w:r w:rsidR="00DB1635" w:rsidRPr="00B004EE">
        <w:rPr>
          <w:rFonts w:ascii="Tahoma" w:hAnsi="Tahoma" w:cs="Tahoma"/>
          <w:sz w:val="20"/>
          <w:szCs w:val="20"/>
        </w:rPr>
        <w:t xml:space="preserve"> </w:t>
      </w:r>
      <w:r w:rsidRPr="00B004EE">
        <w:rPr>
          <w:rFonts w:ascii="Tahoma" w:hAnsi="Tahoma" w:cs="Tahoma"/>
          <w:sz w:val="20"/>
          <w:szCs w:val="20"/>
        </w:rPr>
        <w:t>correspondante.</w:t>
      </w:r>
      <w:r w:rsidR="00DB1635" w:rsidRPr="00B004EE">
        <w:rPr>
          <w:rFonts w:ascii="Tahoma" w:hAnsi="Tahoma" w:cs="Tahoma"/>
          <w:sz w:val="20"/>
          <w:szCs w:val="20"/>
        </w:rPr>
        <w:t xml:space="preserve"> </w:t>
      </w:r>
      <w:r w:rsidRPr="00B004EE">
        <w:rPr>
          <w:rFonts w:ascii="Tahoma" w:hAnsi="Tahoma" w:cs="Tahoma"/>
          <w:sz w:val="20"/>
          <w:szCs w:val="20"/>
        </w:rPr>
        <w:t>Sauf</w:t>
      </w:r>
      <w:r w:rsidR="00DB1635" w:rsidRPr="00B004EE">
        <w:rPr>
          <w:rFonts w:ascii="Tahoma" w:hAnsi="Tahoma" w:cs="Tahoma"/>
          <w:sz w:val="20"/>
          <w:szCs w:val="20"/>
        </w:rPr>
        <w:t xml:space="preserve"> </w:t>
      </w:r>
      <w:r w:rsidRPr="00B004EE">
        <w:rPr>
          <w:rFonts w:ascii="Tahoma" w:hAnsi="Tahoma" w:cs="Tahoma"/>
          <w:sz w:val="20"/>
          <w:szCs w:val="20"/>
        </w:rPr>
        <w:t>opposition</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délai</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quinze</w:t>
      </w:r>
      <w:r w:rsidR="00DB1635" w:rsidRPr="00B004EE">
        <w:rPr>
          <w:rFonts w:ascii="Tahoma" w:hAnsi="Tahoma" w:cs="Tahoma"/>
          <w:sz w:val="20"/>
          <w:szCs w:val="20"/>
        </w:rPr>
        <w:t xml:space="preserve"> </w:t>
      </w:r>
      <w:r w:rsidRPr="00B004EE">
        <w:rPr>
          <w:rFonts w:ascii="Tahoma" w:hAnsi="Tahoma" w:cs="Tahoma"/>
          <w:sz w:val="20"/>
          <w:szCs w:val="20"/>
        </w:rPr>
        <w:t>(</w:t>
      </w:r>
      <w:r w:rsidR="003A697D" w:rsidRPr="00B004EE">
        <w:rPr>
          <w:rFonts w:ascii="Tahoma" w:hAnsi="Tahoma" w:cs="Tahoma"/>
          <w:sz w:val="20"/>
          <w:szCs w:val="20"/>
        </w:rPr>
        <w:t>15) -</w:t>
      </w:r>
      <w:r w:rsidRPr="00B004EE">
        <w:rPr>
          <w:rFonts w:ascii="Tahoma" w:hAnsi="Tahoma" w:cs="Tahoma"/>
          <w:sz w:val="20"/>
          <w:szCs w:val="20"/>
        </w:rPr>
        <w:t>jours</w:t>
      </w:r>
      <w:r w:rsidR="00DB1635" w:rsidRPr="00B004EE">
        <w:rPr>
          <w:rFonts w:ascii="Tahoma" w:hAnsi="Tahoma" w:cs="Tahoma"/>
          <w:sz w:val="20"/>
          <w:szCs w:val="20"/>
        </w:rPr>
        <w:t xml:space="preserve"> </w:t>
      </w:r>
      <w:r w:rsidRPr="00B004EE">
        <w:rPr>
          <w:rFonts w:ascii="Tahoma" w:hAnsi="Tahoma" w:cs="Tahoma"/>
          <w:sz w:val="20"/>
          <w:szCs w:val="20"/>
        </w:rPr>
        <w:t>suivant</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date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réception</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autorités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tutelle,</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décisions</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Conseil</w:t>
      </w:r>
      <w:r w:rsidR="00DB1635" w:rsidRPr="00B004EE">
        <w:rPr>
          <w:rFonts w:ascii="Tahoma" w:hAnsi="Tahoma" w:cs="Tahoma"/>
          <w:sz w:val="20"/>
          <w:szCs w:val="20"/>
        </w:rPr>
        <w:t xml:space="preserve"> </w:t>
      </w:r>
      <w:r w:rsidRPr="00B004EE">
        <w:rPr>
          <w:rFonts w:ascii="Tahoma" w:hAnsi="Tahoma" w:cs="Tahoma"/>
          <w:sz w:val="20"/>
          <w:szCs w:val="20"/>
        </w:rPr>
        <w:t>deviennent</w:t>
      </w:r>
      <w:r w:rsidR="00DB1635" w:rsidRPr="00B004EE">
        <w:rPr>
          <w:rFonts w:ascii="Tahoma" w:hAnsi="Tahoma" w:cs="Tahoma"/>
          <w:sz w:val="20"/>
          <w:szCs w:val="20"/>
        </w:rPr>
        <w:t xml:space="preserve"> </w:t>
      </w:r>
      <w:r w:rsidRPr="00B004EE">
        <w:rPr>
          <w:rFonts w:ascii="Tahoma" w:hAnsi="Tahoma" w:cs="Tahoma"/>
          <w:sz w:val="20"/>
          <w:szCs w:val="20"/>
        </w:rPr>
        <w:t>exécutoire.</w:t>
      </w:r>
    </w:p>
    <w:p w14:paraId="0DDE0E8B" w14:textId="77777777" w:rsidR="008518B0" w:rsidRPr="00B004EE" w:rsidRDefault="008518B0" w:rsidP="00B004EE">
      <w:pPr>
        <w:rPr>
          <w:rFonts w:ascii="Tahoma" w:eastAsia="Times" w:hAnsi="Tahoma" w:cs="Tahoma"/>
          <w:sz w:val="20"/>
          <w:szCs w:val="20"/>
        </w:rPr>
      </w:pPr>
    </w:p>
    <w:p w14:paraId="1AE0AD8F" w14:textId="2DD5B021" w:rsidR="008518B0" w:rsidRPr="00B004EE" w:rsidRDefault="008518B0" w:rsidP="00B004EE">
      <w:pPr>
        <w:ind w:left="261" w:right="182"/>
        <w:jc w:val="both"/>
        <w:rPr>
          <w:rFonts w:ascii="Tahoma" w:eastAsia="Times" w:hAnsi="Tahoma" w:cs="Tahoma"/>
          <w:sz w:val="20"/>
          <w:szCs w:val="20"/>
        </w:rPr>
      </w:pPr>
      <w:r w:rsidRPr="00B004EE">
        <w:rPr>
          <w:rFonts w:ascii="Tahoma" w:hAnsi="Tahoma" w:cs="Tahoma"/>
          <w:sz w:val="20"/>
          <w:szCs w:val="20"/>
        </w:rPr>
        <w:t>L'autorité</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tutelle</w:t>
      </w:r>
      <w:r w:rsidR="00DB1635" w:rsidRPr="00B004EE">
        <w:rPr>
          <w:rFonts w:ascii="Tahoma" w:hAnsi="Tahoma" w:cs="Tahoma"/>
          <w:sz w:val="20"/>
          <w:szCs w:val="20"/>
        </w:rPr>
        <w:t xml:space="preserve"> </w:t>
      </w:r>
      <w:r w:rsidRPr="00B004EE">
        <w:rPr>
          <w:rFonts w:ascii="Tahoma" w:hAnsi="Tahoma" w:cs="Tahoma"/>
          <w:sz w:val="20"/>
          <w:szCs w:val="20"/>
        </w:rPr>
        <w:t>exerce</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ailleurs</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pouvoir</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substitution,</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conditions</w:t>
      </w:r>
      <w:r w:rsidR="00DB1635" w:rsidRPr="00B004EE">
        <w:rPr>
          <w:rFonts w:ascii="Tahoma" w:hAnsi="Tahoma" w:cs="Tahoma"/>
          <w:spacing w:val="34"/>
          <w:sz w:val="20"/>
          <w:szCs w:val="20"/>
        </w:rPr>
        <w:t xml:space="preserve"> </w:t>
      </w:r>
      <w:r w:rsidRPr="00B004EE">
        <w:rPr>
          <w:rFonts w:ascii="Tahoma" w:hAnsi="Tahoma" w:cs="Tahoma"/>
          <w:sz w:val="20"/>
          <w:szCs w:val="20"/>
        </w:rPr>
        <w:t>prévues</w:t>
      </w:r>
      <w:r w:rsidR="00DB1635" w:rsidRPr="00B004EE">
        <w:rPr>
          <w:rFonts w:ascii="Tahoma" w:hAnsi="Tahoma" w:cs="Tahoma"/>
          <w:w w:val="99"/>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l'article</w:t>
      </w:r>
      <w:r w:rsidR="00DB1635" w:rsidRPr="00B004EE">
        <w:rPr>
          <w:rFonts w:ascii="Tahoma" w:hAnsi="Tahoma" w:cs="Tahoma"/>
          <w:sz w:val="20"/>
          <w:szCs w:val="20"/>
        </w:rPr>
        <w:t xml:space="preserve"> </w:t>
      </w:r>
      <w:r w:rsidRPr="00B004EE">
        <w:rPr>
          <w:rFonts w:ascii="Tahoma" w:hAnsi="Tahoma" w:cs="Tahoma"/>
          <w:sz w:val="20"/>
          <w:szCs w:val="20"/>
        </w:rPr>
        <w:t>20</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l'ordonnance</w:t>
      </w:r>
      <w:r w:rsidR="00DB1635" w:rsidRPr="00B004EE">
        <w:rPr>
          <w:rFonts w:ascii="Tahoma" w:hAnsi="Tahoma" w:cs="Tahoma"/>
          <w:sz w:val="20"/>
          <w:szCs w:val="20"/>
        </w:rPr>
        <w:t xml:space="preserve"> </w:t>
      </w:r>
      <w:r w:rsidRPr="00B004EE">
        <w:rPr>
          <w:rFonts w:ascii="Tahoma" w:hAnsi="Tahoma" w:cs="Tahoma"/>
          <w:sz w:val="20"/>
          <w:szCs w:val="20"/>
        </w:rPr>
        <w:t>90-09</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04</w:t>
      </w:r>
      <w:r w:rsidR="00DB1635" w:rsidRPr="00B004EE">
        <w:rPr>
          <w:rFonts w:ascii="Tahoma" w:hAnsi="Tahoma" w:cs="Tahoma"/>
          <w:sz w:val="20"/>
          <w:szCs w:val="20"/>
        </w:rPr>
        <w:t xml:space="preserve"> </w:t>
      </w:r>
      <w:r w:rsidRPr="00B004EE">
        <w:rPr>
          <w:rFonts w:ascii="Tahoma" w:hAnsi="Tahoma" w:cs="Tahoma"/>
          <w:sz w:val="20"/>
          <w:szCs w:val="20"/>
        </w:rPr>
        <w:t>Avril</w:t>
      </w:r>
      <w:r w:rsidR="00DB1635" w:rsidRPr="00B004EE">
        <w:rPr>
          <w:rFonts w:ascii="Tahoma" w:hAnsi="Tahoma" w:cs="Tahoma"/>
          <w:sz w:val="20"/>
          <w:szCs w:val="20"/>
        </w:rPr>
        <w:t xml:space="preserve"> </w:t>
      </w:r>
      <w:r w:rsidRPr="00B004EE">
        <w:rPr>
          <w:rFonts w:ascii="Tahoma" w:hAnsi="Tahoma" w:cs="Tahoma"/>
          <w:sz w:val="20"/>
          <w:szCs w:val="20"/>
        </w:rPr>
        <w:t>1990</w:t>
      </w:r>
      <w:r w:rsidR="00DB1635" w:rsidRPr="00B004EE">
        <w:rPr>
          <w:rFonts w:ascii="Tahoma" w:hAnsi="Tahoma" w:cs="Tahoma"/>
          <w:spacing w:val="14"/>
          <w:sz w:val="20"/>
          <w:szCs w:val="20"/>
        </w:rPr>
        <w:t xml:space="preserve"> </w:t>
      </w:r>
      <w:r w:rsidRPr="00B004EE">
        <w:rPr>
          <w:rFonts w:ascii="Tahoma" w:hAnsi="Tahoma" w:cs="Tahoma"/>
          <w:sz w:val="20"/>
          <w:szCs w:val="20"/>
        </w:rPr>
        <w:t>précitée.</w:t>
      </w:r>
    </w:p>
    <w:p w14:paraId="386F103B" w14:textId="77777777" w:rsidR="008518B0" w:rsidRPr="00B004EE" w:rsidRDefault="008518B0" w:rsidP="00B004EE">
      <w:pPr>
        <w:rPr>
          <w:rFonts w:ascii="Tahoma" w:eastAsia="Times" w:hAnsi="Tahoma" w:cs="Tahoma"/>
          <w:sz w:val="20"/>
          <w:szCs w:val="20"/>
        </w:rPr>
      </w:pPr>
    </w:p>
    <w:p w14:paraId="17CE73A3" w14:textId="7AF0B874" w:rsidR="008518B0" w:rsidRPr="00B004EE" w:rsidRDefault="00FF661D" w:rsidP="00B004EE">
      <w:pPr>
        <w:pStyle w:val="Corpsdetexte"/>
        <w:ind w:left="251" w:right="182"/>
        <w:rPr>
          <w:rFonts w:ascii="Tahoma" w:hAnsi="Tahoma" w:cs="Tahoma"/>
          <w:sz w:val="20"/>
          <w:szCs w:val="20"/>
        </w:rPr>
      </w:pPr>
      <w:r w:rsidRPr="00B004EE">
        <w:rPr>
          <w:rFonts w:ascii="Tahoma" w:hAnsi="Tahoma" w:cs="Tahoma"/>
          <w:bCs/>
          <w:iCs/>
          <w:sz w:val="20"/>
          <w:szCs w:val="20"/>
        </w:rPr>
        <w:t>Article</w:t>
      </w:r>
      <w:r w:rsidR="00DB1635" w:rsidRPr="00B004EE">
        <w:rPr>
          <w:rFonts w:ascii="Tahoma" w:hAnsi="Tahoma" w:cs="Tahoma"/>
          <w:bCs/>
          <w:iCs/>
          <w:sz w:val="20"/>
          <w:szCs w:val="20"/>
        </w:rPr>
        <w:t xml:space="preserve"> </w:t>
      </w:r>
      <w:r w:rsidR="008518B0" w:rsidRPr="00B004EE">
        <w:rPr>
          <w:rFonts w:ascii="Tahoma" w:hAnsi="Tahoma" w:cs="Tahoma"/>
          <w:bCs/>
          <w:iCs/>
          <w:sz w:val="20"/>
          <w:szCs w:val="20"/>
        </w:rPr>
        <w:t>12</w:t>
      </w:r>
      <w:r w:rsidR="00DB1635" w:rsidRPr="00B004EE">
        <w:rPr>
          <w:rFonts w:ascii="Tahoma" w:hAnsi="Tahoma" w:cs="Tahoma"/>
          <w:b/>
          <w:i/>
          <w:sz w:val="20"/>
          <w:szCs w:val="20"/>
        </w:rPr>
        <w:t xml:space="preserve"> </w:t>
      </w:r>
      <w:r w:rsidR="008518B0" w:rsidRPr="00B004EE">
        <w:rPr>
          <w:rFonts w:ascii="Tahoma" w:hAnsi="Tahoma" w:cs="Tahoma"/>
          <w:i/>
          <w:sz w:val="20"/>
          <w:szCs w:val="20"/>
        </w:rPr>
        <w:t>:</w:t>
      </w:r>
      <w:r w:rsidR="00DB1635" w:rsidRPr="00B004EE">
        <w:rPr>
          <w:rFonts w:ascii="Tahoma" w:hAnsi="Tahoma" w:cs="Tahoma"/>
          <w:i/>
          <w:sz w:val="20"/>
          <w:szCs w:val="20"/>
        </w:rPr>
        <w:t xml:space="preserve"> </w:t>
      </w:r>
      <w:r w:rsidR="008518B0" w:rsidRPr="00B004EE">
        <w:rPr>
          <w:rFonts w:ascii="Tahoma" w:hAnsi="Tahoma" w:cs="Tahoma"/>
          <w:sz w:val="20"/>
          <w:szCs w:val="20"/>
        </w:rPr>
        <w:t>Pour</w:t>
      </w:r>
      <w:r w:rsidR="00DB1635" w:rsidRPr="00B004EE">
        <w:rPr>
          <w:rFonts w:ascii="Tahoma" w:hAnsi="Tahoma" w:cs="Tahoma"/>
          <w:sz w:val="20"/>
          <w:szCs w:val="20"/>
        </w:rPr>
        <w:t xml:space="preserve"> </w:t>
      </w:r>
      <w:r w:rsidR="008518B0" w:rsidRPr="00B004EE">
        <w:rPr>
          <w:rFonts w:ascii="Tahoma" w:hAnsi="Tahoma" w:cs="Tahoma"/>
          <w:sz w:val="20"/>
          <w:szCs w:val="20"/>
        </w:rPr>
        <w:t>le</w:t>
      </w:r>
      <w:r w:rsidR="00DB1635" w:rsidRPr="00B004EE">
        <w:rPr>
          <w:rFonts w:ascii="Tahoma" w:hAnsi="Tahoma" w:cs="Tahoma"/>
          <w:sz w:val="20"/>
          <w:szCs w:val="20"/>
        </w:rPr>
        <w:t xml:space="preserve"> </w:t>
      </w:r>
      <w:r w:rsidR="008518B0" w:rsidRPr="00B004EE">
        <w:rPr>
          <w:rFonts w:ascii="Tahoma" w:hAnsi="Tahoma" w:cs="Tahoma"/>
          <w:sz w:val="20"/>
          <w:szCs w:val="20"/>
        </w:rPr>
        <w:t>contrôle</w:t>
      </w:r>
      <w:r w:rsidR="00DB1635" w:rsidRPr="00B004EE">
        <w:rPr>
          <w:rFonts w:ascii="Tahoma" w:hAnsi="Tahoma" w:cs="Tahoma"/>
          <w:sz w:val="20"/>
          <w:szCs w:val="20"/>
        </w:rPr>
        <w:t xml:space="preserve"> </w:t>
      </w:r>
      <w:r w:rsidR="008518B0" w:rsidRPr="00B004EE">
        <w:rPr>
          <w:rFonts w:ascii="Tahoma" w:hAnsi="Tahoma" w:cs="Tahoma"/>
          <w:sz w:val="20"/>
          <w:szCs w:val="20"/>
        </w:rPr>
        <w:t>et</w:t>
      </w:r>
      <w:r w:rsidR="00DB1635" w:rsidRPr="00B004EE">
        <w:rPr>
          <w:rFonts w:ascii="Tahoma" w:hAnsi="Tahoma" w:cs="Tahoma"/>
          <w:sz w:val="20"/>
          <w:szCs w:val="20"/>
        </w:rPr>
        <w:t xml:space="preserve"> </w:t>
      </w:r>
      <w:r w:rsidR="008518B0" w:rsidRPr="00B004EE">
        <w:rPr>
          <w:rFonts w:ascii="Tahoma" w:hAnsi="Tahoma" w:cs="Tahoma"/>
          <w:sz w:val="20"/>
          <w:szCs w:val="20"/>
        </w:rPr>
        <w:t>le</w:t>
      </w:r>
      <w:r w:rsidR="00DB1635" w:rsidRPr="00B004EE">
        <w:rPr>
          <w:rFonts w:ascii="Tahoma" w:hAnsi="Tahoma" w:cs="Tahoma"/>
          <w:sz w:val="20"/>
          <w:szCs w:val="20"/>
        </w:rPr>
        <w:t xml:space="preserve"> </w:t>
      </w:r>
      <w:r w:rsidR="008518B0" w:rsidRPr="00B004EE">
        <w:rPr>
          <w:rFonts w:ascii="Tahoma" w:hAnsi="Tahoma" w:cs="Tahoma"/>
          <w:sz w:val="20"/>
          <w:szCs w:val="20"/>
        </w:rPr>
        <w:t>suivi</w:t>
      </w:r>
      <w:r w:rsidR="00DB1635" w:rsidRPr="00B004EE">
        <w:rPr>
          <w:rFonts w:ascii="Tahoma" w:hAnsi="Tahoma" w:cs="Tahoma"/>
          <w:sz w:val="20"/>
          <w:szCs w:val="20"/>
        </w:rPr>
        <w:t xml:space="preserve"> </w:t>
      </w:r>
      <w:r w:rsidR="008518B0" w:rsidRPr="00B004EE">
        <w:rPr>
          <w:rFonts w:ascii="Tahoma" w:hAnsi="Tahoma" w:cs="Tahoma"/>
          <w:sz w:val="20"/>
          <w:szCs w:val="20"/>
        </w:rPr>
        <w:t>de</w:t>
      </w:r>
      <w:r w:rsidR="00DB1635" w:rsidRPr="00B004EE">
        <w:rPr>
          <w:rFonts w:ascii="Tahoma" w:hAnsi="Tahoma" w:cs="Tahoma"/>
          <w:sz w:val="20"/>
          <w:szCs w:val="20"/>
        </w:rPr>
        <w:t xml:space="preserve"> </w:t>
      </w:r>
      <w:r w:rsidR="008518B0" w:rsidRPr="00B004EE">
        <w:rPr>
          <w:rFonts w:ascii="Tahoma" w:hAnsi="Tahoma" w:cs="Tahoma"/>
          <w:sz w:val="20"/>
          <w:szCs w:val="20"/>
        </w:rPr>
        <w:t>ses</w:t>
      </w:r>
      <w:r w:rsidR="00DB1635" w:rsidRPr="00B004EE">
        <w:rPr>
          <w:rFonts w:ascii="Tahoma" w:hAnsi="Tahoma" w:cs="Tahoma"/>
          <w:sz w:val="20"/>
          <w:szCs w:val="20"/>
        </w:rPr>
        <w:t xml:space="preserve"> </w:t>
      </w:r>
      <w:r w:rsidR="008518B0" w:rsidRPr="00B004EE">
        <w:rPr>
          <w:rFonts w:ascii="Tahoma" w:hAnsi="Tahoma" w:cs="Tahoma"/>
          <w:sz w:val="20"/>
          <w:szCs w:val="20"/>
        </w:rPr>
        <w:t>décisions</w:t>
      </w:r>
      <w:r w:rsidR="00DB1635" w:rsidRPr="00B004EE">
        <w:rPr>
          <w:rFonts w:ascii="Tahoma" w:hAnsi="Tahoma" w:cs="Tahoma"/>
          <w:sz w:val="20"/>
          <w:szCs w:val="20"/>
        </w:rPr>
        <w:t xml:space="preserve"> </w:t>
      </w:r>
      <w:r w:rsidR="008518B0" w:rsidRPr="00B004EE">
        <w:rPr>
          <w:rFonts w:ascii="Tahoma" w:hAnsi="Tahoma" w:cs="Tahoma"/>
          <w:sz w:val="20"/>
          <w:szCs w:val="20"/>
        </w:rPr>
        <w:t>et</w:t>
      </w:r>
      <w:r w:rsidR="00DB1635" w:rsidRPr="00B004EE">
        <w:rPr>
          <w:rFonts w:ascii="Tahoma" w:hAnsi="Tahoma" w:cs="Tahoma"/>
          <w:sz w:val="20"/>
          <w:szCs w:val="20"/>
        </w:rPr>
        <w:t xml:space="preserve"> </w:t>
      </w:r>
      <w:r w:rsidR="008518B0" w:rsidRPr="00B004EE">
        <w:rPr>
          <w:rFonts w:ascii="Tahoma" w:hAnsi="Tahoma" w:cs="Tahoma"/>
          <w:sz w:val="20"/>
          <w:szCs w:val="20"/>
        </w:rPr>
        <w:t>directives,</w:t>
      </w:r>
      <w:r w:rsidR="00DB1635" w:rsidRPr="00B004EE">
        <w:rPr>
          <w:rFonts w:ascii="Tahoma" w:hAnsi="Tahoma" w:cs="Tahoma"/>
          <w:sz w:val="20"/>
          <w:szCs w:val="20"/>
        </w:rPr>
        <w:t xml:space="preserve"> </w:t>
      </w:r>
      <w:r w:rsidR="008518B0" w:rsidRPr="00B004EE">
        <w:rPr>
          <w:rFonts w:ascii="Tahoma" w:hAnsi="Tahoma" w:cs="Tahoma"/>
          <w:sz w:val="20"/>
          <w:szCs w:val="20"/>
        </w:rPr>
        <w:t>le</w:t>
      </w:r>
      <w:r w:rsidR="00DB1635" w:rsidRPr="00B004EE">
        <w:rPr>
          <w:rFonts w:ascii="Tahoma" w:hAnsi="Tahoma" w:cs="Tahoma"/>
          <w:spacing w:val="54"/>
          <w:sz w:val="20"/>
          <w:szCs w:val="20"/>
        </w:rPr>
        <w:t xml:space="preserve"> </w:t>
      </w:r>
      <w:r w:rsidR="008518B0" w:rsidRPr="00B004EE">
        <w:rPr>
          <w:rFonts w:ascii="Tahoma" w:hAnsi="Tahoma" w:cs="Tahoma"/>
          <w:sz w:val="20"/>
          <w:szCs w:val="20"/>
        </w:rPr>
        <w:t>Conseil</w:t>
      </w:r>
      <w:r w:rsidR="00DB1635" w:rsidRPr="00B004EE">
        <w:rPr>
          <w:rFonts w:ascii="Tahoma" w:hAnsi="Tahoma" w:cs="Tahoma"/>
          <w:w w:val="99"/>
          <w:sz w:val="20"/>
          <w:szCs w:val="20"/>
        </w:rPr>
        <w:t xml:space="preserve"> </w:t>
      </w:r>
      <w:r w:rsidR="008518B0" w:rsidRPr="00B004EE">
        <w:rPr>
          <w:rFonts w:ascii="Tahoma" w:hAnsi="Tahoma" w:cs="Tahoma"/>
          <w:spacing w:val="7"/>
          <w:sz w:val="20"/>
          <w:szCs w:val="20"/>
        </w:rPr>
        <w:t>d'Administration</w:t>
      </w:r>
      <w:r w:rsidR="00DB1635" w:rsidRPr="00B004EE">
        <w:rPr>
          <w:rFonts w:ascii="Tahoma" w:hAnsi="Tahoma" w:cs="Tahoma"/>
          <w:spacing w:val="7"/>
          <w:sz w:val="20"/>
          <w:szCs w:val="20"/>
        </w:rPr>
        <w:t xml:space="preserve"> </w:t>
      </w:r>
      <w:r w:rsidR="008518B0" w:rsidRPr="00B004EE">
        <w:rPr>
          <w:rFonts w:ascii="Tahoma" w:hAnsi="Tahoma" w:cs="Tahoma"/>
          <w:spacing w:val="6"/>
          <w:sz w:val="20"/>
          <w:szCs w:val="20"/>
        </w:rPr>
        <w:t>désigne,</w:t>
      </w:r>
      <w:r w:rsidR="00DB1635" w:rsidRPr="00B004EE">
        <w:rPr>
          <w:rFonts w:ascii="Tahoma" w:hAnsi="Tahoma" w:cs="Tahoma"/>
          <w:spacing w:val="6"/>
          <w:sz w:val="20"/>
          <w:szCs w:val="20"/>
        </w:rPr>
        <w:t xml:space="preserve"> </w:t>
      </w:r>
      <w:r w:rsidR="008518B0" w:rsidRPr="00B004EE">
        <w:rPr>
          <w:rFonts w:ascii="Tahoma" w:hAnsi="Tahoma" w:cs="Tahoma"/>
          <w:spacing w:val="5"/>
          <w:sz w:val="20"/>
          <w:szCs w:val="20"/>
        </w:rPr>
        <w:t>parmi</w:t>
      </w:r>
      <w:r w:rsidR="00DB1635" w:rsidRPr="00B004EE">
        <w:rPr>
          <w:rFonts w:ascii="Tahoma" w:hAnsi="Tahoma" w:cs="Tahoma"/>
          <w:spacing w:val="5"/>
          <w:sz w:val="20"/>
          <w:szCs w:val="20"/>
        </w:rPr>
        <w:t xml:space="preserve"> </w:t>
      </w:r>
      <w:r w:rsidR="008518B0" w:rsidRPr="00B004EE">
        <w:rPr>
          <w:rFonts w:ascii="Tahoma" w:hAnsi="Tahoma" w:cs="Tahoma"/>
          <w:spacing w:val="5"/>
          <w:sz w:val="20"/>
          <w:szCs w:val="20"/>
        </w:rPr>
        <w:t>ses</w:t>
      </w:r>
      <w:r w:rsidR="00DB1635" w:rsidRPr="00B004EE">
        <w:rPr>
          <w:rFonts w:ascii="Tahoma" w:hAnsi="Tahoma" w:cs="Tahoma"/>
          <w:spacing w:val="5"/>
          <w:sz w:val="20"/>
          <w:szCs w:val="20"/>
        </w:rPr>
        <w:t xml:space="preserve"> </w:t>
      </w:r>
      <w:r w:rsidR="008518B0" w:rsidRPr="00B004EE">
        <w:rPr>
          <w:rFonts w:ascii="Tahoma" w:hAnsi="Tahoma" w:cs="Tahoma"/>
          <w:sz w:val="20"/>
          <w:szCs w:val="20"/>
        </w:rPr>
        <w:t>membres,</w:t>
      </w:r>
      <w:r w:rsidR="00DB1635" w:rsidRPr="00B004EE">
        <w:rPr>
          <w:rFonts w:ascii="Tahoma" w:hAnsi="Tahoma" w:cs="Tahoma"/>
          <w:sz w:val="20"/>
          <w:szCs w:val="20"/>
        </w:rPr>
        <w:t xml:space="preserve"> </w:t>
      </w:r>
      <w:r w:rsidR="008518B0" w:rsidRPr="00B004EE">
        <w:rPr>
          <w:rFonts w:ascii="Tahoma" w:hAnsi="Tahoma" w:cs="Tahoma"/>
          <w:sz w:val="20"/>
          <w:szCs w:val="20"/>
        </w:rPr>
        <w:t>un</w:t>
      </w:r>
      <w:r w:rsidR="00DB1635" w:rsidRPr="00B004EE">
        <w:rPr>
          <w:rFonts w:ascii="Tahoma" w:hAnsi="Tahoma" w:cs="Tahoma"/>
          <w:sz w:val="20"/>
          <w:szCs w:val="20"/>
        </w:rPr>
        <w:t xml:space="preserve"> </w:t>
      </w:r>
      <w:r w:rsidR="008518B0" w:rsidRPr="00B004EE">
        <w:rPr>
          <w:rFonts w:ascii="Tahoma" w:hAnsi="Tahoma" w:cs="Tahoma"/>
          <w:sz w:val="20"/>
          <w:szCs w:val="20"/>
        </w:rPr>
        <w:t>Comité</w:t>
      </w:r>
      <w:r w:rsidR="00DB1635" w:rsidRPr="00B004EE">
        <w:rPr>
          <w:rFonts w:ascii="Tahoma" w:hAnsi="Tahoma" w:cs="Tahoma"/>
          <w:sz w:val="20"/>
          <w:szCs w:val="20"/>
        </w:rPr>
        <w:t xml:space="preserve"> </w:t>
      </w:r>
      <w:r w:rsidR="008518B0" w:rsidRPr="00B004EE">
        <w:rPr>
          <w:rFonts w:ascii="Tahoma" w:hAnsi="Tahoma" w:cs="Tahoma"/>
          <w:sz w:val="20"/>
          <w:szCs w:val="20"/>
        </w:rPr>
        <w:t>de</w:t>
      </w:r>
      <w:r w:rsidR="00DB1635" w:rsidRPr="00B004EE">
        <w:rPr>
          <w:rFonts w:ascii="Tahoma" w:hAnsi="Tahoma" w:cs="Tahoma"/>
          <w:sz w:val="20"/>
          <w:szCs w:val="20"/>
        </w:rPr>
        <w:t xml:space="preserve"> </w:t>
      </w:r>
      <w:r w:rsidR="008518B0" w:rsidRPr="00B004EE">
        <w:rPr>
          <w:rFonts w:ascii="Tahoma" w:hAnsi="Tahoma" w:cs="Tahoma"/>
          <w:sz w:val="20"/>
          <w:szCs w:val="20"/>
        </w:rPr>
        <w:t>Gestion,</w:t>
      </w:r>
      <w:r w:rsidR="00DB1635" w:rsidRPr="00B004EE">
        <w:rPr>
          <w:rFonts w:ascii="Tahoma" w:hAnsi="Tahoma" w:cs="Tahoma"/>
          <w:sz w:val="20"/>
          <w:szCs w:val="20"/>
        </w:rPr>
        <w:t xml:space="preserve"> </w:t>
      </w:r>
      <w:r w:rsidR="008518B0" w:rsidRPr="00B004EE">
        <w:rPr>
          <w:rFonts w:ascii="Tahoma" w:hAnsi="Tahoma" w:cs="Tahoma"/>
          <w:sz w:val="20"/>
          <w:szCs w:val="20"/>
        </w:rPr>
        <w:t>composé</w:t>
      </w:r>
      <w:r w:rsidR="00DB1635" w:rsidRPr="00B004EE">
        <w:rPr>
          <w:rFonts w:ascii="Tahoma" w:hAnsi="Tahoma" w:cs="Tahoma"/>
          <w:sz w:val="20"/>
          <w:szCs w:val="20"/>
        </w:rPr>
        <w:t xml:space="preserve"> </w:t>
      </w:r>
      <w:r w:rsidR="008518B0" w:rsidRPr="00B004EE">
        <w:rPr>
          <w:rFonts w:ascii="Tahoma" w:hAnsi="Tahoma" w:cs="Tahoma"/>
          <w:sz w:val="20"/>
          <w:szCs w:val="20"/>
        </w:rPr>
        <w:t>de</w:t>
      </w:r>
      <w:r w:rsidR="00DB1635" w:rsidRPr="00B004EE">
        <w:rPr>
          <w:rFonts w:ascii="Tahoma" w:hAnsi="Tahoma" w:cs="Tahoma"/>
          <w:sz w:val="20"/>
          <w:szCs w:val="20"/>
        </w:rPr>
        <w:t xml:space="preserve"> </w:t>
      </w:r>
      <w:r w:rsidR="008518B0" w:rsidRPr="00B004EE">
        <w:rPr>
          <w:rFonts w:ascii="Tahoma" w:hAnsi="Tahoma" w:cs="Tahoma"/>
          <w:sz w:val="20"/>
          <w:szCs w:val="20"/>
        </w:rPr>
        <w:t>quatre</w:t>
      </w:r>
    </w:p>
    <w:p w14:paraId="663703A3" w14:textId="6A7B7B2A" w:rsidR="008518B0" w:rsidRPr="00B004EE" w:rsidRDefault="008518B0" w:rsidP="00B004EE">
      <w:pPr>
        <w:pStyle w:val="Corpsdetexte"/>
        <w:ind w:left="251" w:right="182"/>
        <w:rPr>
          <w:rFonts w:ascii="Tahoma" w:hAnsi="Tahoma" w:cs="Tahoma"/>
          <w:sz w:val="20"/>
          <w:szCs w:val="20"/>
        </w:rPr>
      </w:pPr>
      <w:r w:rsidRPr="00B004EE">
        <w:rPr>
          <w:rFonts w:ascii="Tahoma" w:hAnsi="Tahoma" w:cs="Tahoma"/>
          <w:sz w:val="20"/>
          <w:szCs w:val="20"/>
        </w:rPr>
        <w:t>(4)</w:t>
      </w:r>
      <w:r w:rsidR="00DB1635" w:rsidRPr="00B004EE">
        <w:rPr>
          <w:rFonts w:ascii="Tahoma" w:hAnsi="Tahoma" w:cs="Tahoma"/>
          <w:spacing w:val="10"/>
          <w:sz w:val="20"/>
          <w:szCs w:val="20"/>
        </w:rPr>
        <w:t xml:space="preserve"> </w:t>
      </w:r>
      <w:r w:rsidRPr="00B004EE">
        <w:rPr>
          <w:rFonts w:ascii="Tahoma" w:hAnsi="Tahoma" w:cs="Tahoma"/>
          <w:sz w:val="20"/>
          <w:szCs w:val="20"/>
        </w:rPr>
        <w:t>membres</w:t>
      </w:r>
      <w:r w:rsidR="00DB1635" w:rsidRPr="00B004EE">
        <w:rPr>
          <w:rFonts w:ascii="Tahoma" w:hAnsi="Tahoma" w:cs="Tahoma"/>
          <w:spacing w:val="11"/>
          <w:sz w:val="20"/>
          <w:szCs w:val="20"/>
        </w:rPr>
        <w:t xml:space="preserve"> </w:t>
      </w:r>
      <w:r w:rsidRPr="00B004EE">
        <w:rPr>
          <w:rFonts w:ascii="Tahoma" w:hAnsi="Tahoma" w:cs="Tahoma"/>
          <w:sz w:val="20"/>
          <w:szCs w:val="20"/>
        </w:rPr>
        <w:t>dont</w:t>
      </w:r>
      <w:r w:rsidR="00DB1635" w:rsidRPr="00B004EE">
        <w:rPr>
          <w:rFonts w:ascii="Tahoma" w:hAnsi="Tahoma" w:cs="Tahoma"/>
          <w:spacing w:val="11"/>
          <w:sz w:val="20"/>
          <w:szCs w:val="20"/>
        </w:rPr>
        <w:t xml:space="preserve"> </w:t>
      </w:r>
      <w:r w:rsidRPr="00B004EE">
        <w:rPr>
          <w:rFonts w:ascii="Tahoma" w:hAnsi="Tahoma" w:cs="Tahoma"/>
          <w:sz w:val="20"/>
          <w:szCs w:val="20"/>
        </w:rPr>
        <w:t>le</w:t>
      </w:r>
      <w:r w:rsidR="00DB1635" w:rsidRPr="00B004EE">
        <w:rPr>
          <w:rFonts w:ascii="Tahoma" w:hAnsi="Tahoma" w:cs="Tahoma"/>
          <w:spacing w:val="10"/>
          <w:sz w:val="20"/>
          <w:szCs w:val="20"/>
        </w:rPr>
        <w:t xml:space="preserve"> </w:t>
      </w:r>
      <w:r w:rsidRPr="00B004EE">
        <w:rPr>
          <w:rFonts w:ascii="Tahoma" w:hAnsi="Tahoma" w:cs="Tahoma"/>
          <w:sz w:val="20"/>
          <w:szCs w:val="20"/>
        </w:rPr>
        <w:t>Président.</w:t>
      </w:r>
      <w:r w:rsidR="00DB1635" w:rsidRPr="00B004EE">
        <w:rPr>
          <w:rFonts w:ascii="Tahoma" w:hAnsi="Tahoma" w:cs="Tahoma"/>
          <w:spacing w:val="13"/>
          <w:sz w:val="20"/>
          <w:szCs w:val="20"/>
        </w:rPr>
        <w:t xml:space="preserve"> </w:t>
      </w:r>
      <w:r w:rsidRPr="00B004EE">
        <w:rPr>
          <w:rFonts w:ascii="Tahoma" w:hAnsi="Tahoma" w:cs="Tahoma"/>
          <w:spacing w:val="-3"/>
          <w:sz w:val="20"/>
          <w:szCs w:val="20"/>
        </w:rPr>
        <w:t>Le</w:t>
      </w:r>
      <w:r w:rsidR="00DB1635" w:rsidRPr="00B004EE">
        <w:rPr>
          <w:rFonts w:ascii="Tahoma" w:hAnsi="Tahoma" w:cs="Tahoma"/>
          <w:spacing w:val="8"/>
          <w:sz w:val="20"/>
          <w:szCs w:val="20"/>
        </w:rPr>
        <w:t xml:space="preserve"> </w:t>
      </w:r>
      <w:r w:rsidRPr="00B004EE">
        <w:rPr>
          <w:rFonts w:ascii="Tahoma" w:hAnsi="Tahoma" w:cs="Tahoma"/>
          <w:sz w:val="20"/>
          <w:szCs w:val="20"/>
        </w:rPr>
        <w:t>Comité</w:t>
      </w:r>
      <w:r w:rsidR="00DB1635" w:rsidRPr="00B004EE">
        <w:rPr>
          <w:rFonts w:ascii="Tahoma" w:hAnsi="Tahoma" w:cs="Tahoma"/>
          <w:spacing w:val="8"/>
          <w:sz w:val="20"/>
          <w:szCs w:val="20"/>
        </w:rPr>
        <w:t xml:space="preserve"> </w:t>
      </w:r>
      <w:r w:rsidRPr="00B004EE">
        <w:rPr>
          <w:rFonts w:ascii="Tahoma" w:hAnsi="Tahoma" w:cs="Tahoma"/>
          <w:sz w:val="20"/>
          <w:szCs w:val="20"/>
        </w:rPr>
        <w:t>de</w:t>
      </w:r>
      <w:r w:rsidR="00DB1635" w:rsidRPr="00B004EE">
        <w:rPr>
          <w:rFonts w:ascii="Tahoma" w:hAnsi="Tahoma" w:cs="Tahoma"/>
          <w:spacing w:val="8"/>
          <w:sz w:val="20"/>
          <w:szCs w:val="20"/>
        </w:rPr>
        <w:t xml:space="preserve"> </w:t>
      </w:r>
      <w:r w:rsidRPr="00B004EE">
        <w:rPr>
          <w:rFonts w:ascii="Tahoma" w:hAnsi="Tahoma" w:cs="Tahoma"/>
          <w:sz w:val="20"/>
          <w:szCs w:val="20"/>
        </w:rPr>
        <w:t>Gestion</w:t>
      </w:r>
      <w:r w:rsidR="00DB1635" w:rsidRPr="00B004EE">
        <w:rPr>
          <w:rFonts w:ascii="Tahoma" w:hAnsi="Tahoma" w:cs="Tahoma"/>
          <w:spacing w:val="9"/>
          <w:sz w:val="20"/>
          <w:szCs w:val="20"/>
        </w:rPr>
        <w:t xml:space="preserve"> </w:t>
      </w:r>
      <w:r w:rsidRPr="00B004EE">
        <w:rPr>
          <w:rFonts w:ascii="Tahoma" w:hAnsi="Tahoma" w:cs="Tahoma"/>
          <w:sz w:val="20"/>
          <w:szCs w:val="20"/>
        </w:rPr>
        <w:t>se</w:t>
      </w:r>
      <w:r w:rsidR="00DB1635" w:rsidRPr="00B004EE">
        <w:rPr>
          <w:rFonts w:ascii="Tahoma" w:hAnsi="Tahoma" w:cs="Tahoma"/>
          <w:spacing w:val="8"/>
          <w:sz w:val="20"/>
          <w:szCs w:val="20"/>
        </w:rPr>
        <w:t xml:space="preserve"> </w:t>
      </w:r>
      <w:r w:rsidRPr="00B004EE">
        <w:rPr>
          <w:rFonts w:ascii="Tahoma" w:hAnsi="Tahoma" w:cs="Tahoma"/>
          <w:spacing w:val="-3"/>
          <w:sz w:val="20"/>
          <w:szCs w:val="20"/>
        </w:rPr>
        <w:t>réunit</w:t>
      </w:r>
      <w:r w:rsidR="00DB1635" w:rsidRPr="00B004EE">
        <w:rPr>
          <w:rFonts w:ascii="Tahoma" w:hAnsi="Tahoma" w:cs="Tahoma"/>
          <w:spacing w:val="9"/>
          <w:sz w:val="20"/>
          <w:szCs w:val="20"/>
        </w:rPr>
        <w:t xml:space="preserve"> </w:t>
      </w:r>
      <w:r w:rsidRPr="00B004EE">
        <w:rPr>
          <w:rFonts w:ascii="Tahoma" w:hAnsi="Tahoma" w:cs="Tahoma"/>
          <w:sz w:val="20"/>
          <w:szCs w:val="20"/>
        </w:rPr>
        <w:t>une</w:t>
      </w:r>
      <w:r w:rsidR="00DB1635" w:rsidRPr="00B004EE">
        <w:rPr>
          <w:rFonts w:ascii="Tahoma" w:hAnsi="Tahoma" w:cs="Tahoma"/>
          <w:spacing w:val="8"/>
          <w:sz w:val="20"/>
          <w:szCs w:val="20"/>
        </w:rPr>
        <w:t xml:space="preserve"> </w:t>
      </w:r>
      <w:r w:rsidRPr="00B004EE">
        <w:rPr>
          <w:rFonts w:ascii="Tahoma" w:hAnsi="Tahoma" w:cs="Tahoma"/>
          <w:sz w:val="20"/>
          <w:szCs w:val="20"/>
        </w:rPr>
        <w:t>(</w:t>
      </w:r>
      <w:r w:rsidR="003A697D" w:rsidRPr="00B004EE">
        <w:rPr>
          <w:rFonts w:ascii="Tahoma" w:hAnsi="Tahoma" w:cs="Tahoma"/>
          <w:sz w:val="20"/>
          <w:szCs w:val="20"/>
        </w:rPr>
        <w:t>1</w:t>
      </w:r>
      <w:r w:rsidR="003A697D" w:rsidRPr="00B004EE">
        <w:rPr>
          <w:rFonts w:ascii="Tahoma" w:hAnsi="Tahoma" w:cs="Tahoma"/>
          <w:spacing w:val="9"/>
          <w:sz w:val="20"/>
          <w:szCs w:val="20"/>
        </w:rPr>
        <w:t>)</w:t>
      </w:r>
      <w:r w:rsidR="00DB1635" w:rsidRPr="00B004EE">
        <w:rPr>
          <w:rFonts w:ascii="Tahoma" w:hAnsi="Tahoma" w:cs="Tahoma"/>
          <w:spacing w:val="8"/>
          <w:sz w:val="20"/>
          <w:szCs w:val="20"/>
        </w:rPr>
        <w:t xml:space="preserve"> </w:t>
      </w:r>
      <w:r w:rsidRPr="00B004EE">
        <w:rPr>
          <w:rFonts w:ascii="Tahoma" w:hAnsi="Tahoma" w:cs="Tahoma"/>
          <w:sz w:val="20"/>
          <w:szCs w:val="20"/>
        </w:rPr>
        <w:t>fois</w:t>
      </w:r>
      <w:r w:rsidR="00DB1635" w:rsidRPr="00B004EE">
        <w:rPr>
          <w:rFonts w:ascii="Tahoma" w:hAnsi="Tahoma" w:cs="Tahoma"/>
          <w:spacing w:val="9"/>
          <w:sz w:val="20"/>
          <w:szCs w:val="20"/>
        </w:rPr>
        <w:t xml:space="preserve"> </w:t>
      </w:r>
      <w:r w:rsidRPr="00B004EE">
        <w:rPr>
          <w:rFonts w:ascii="Tahoma" w:hAnsi="Tahoma" w:cs="Tahoma"/>
          <w:sz w:val="20"/>
          <w:szCs w:val="20"/>
        </w:rPr>
        <w:t>tous</w:t>
      </w:r>
      <w:r w:rsidR="00DB1635" w:rsidRPr="00B004EE">
        <w:rPr>
          <w:rFonts w:ascii="Tahoma" w:hAnsi="Tahoma" w:cs="Tahoma"/>
          <w:spacing w:val="11"/>
          <w:sz w:val="20"/>
          <w:szCs w:val="20"/>
        </w:rPr>
        <w:t xml:space="preserve"> </w:t>
      </w:r>
      <w:r w:rsidRPr="00B004EE">
        <w:rPr>
          <w:rFonts w:ascii="Tahoma" w:hAnsi="Tahoma" w:cs="Tahoma"/>
          <w:sz w:val="20"/>
          <w:szCs w:val="20"/>
        </w:rPr>
        <w:t>les</w:t>
      </w:r>
      <w:r w:rsidR="00DB1635" w:rsidRPr="00B004EE">
        <w:rPr>
          <w:rFonts w:ascii="Tahoma" w:hAnsi="Tahoma" w:cs="Tahoma"/>
          <w:spacing w:val="11"/>
          <w:sz w:val="20"/>
          <w:szCs w:val="20"/>
        </w:rPr>
        <w:t xml:space="preserve"> </w:t>
      </w:r>
      <w:r w:rsidRPr="00B004EE">
        <w:rPr>
          <w:rFonts w:ascii="Tahoma" w:hAnsi="Tahoma" w:cs="Tahoma"/>
          <w:sz w:val="20"/>
          <w:szCs w:val="20"/>
        </w:rPr>
        <w:t>deux</w:t>
      </w:r>
      <w:r w:rsidR="00DB1635" w:rsidRPr="00B004EE">
        <w:rPr>
          <w:rFonts w:ascii="Tahoma" w:hAnsi="Tahoma" w:cs="Tahoma"/>
          <w:spacing w:val="13"/>
          <w:sz w:val="20"/>
          <w:szCs w:val="20"/>
        </w:rPr>
        <w:t xml:space="preserve"> </w:t>
      </w:r>
      <w:r w:rsidRPr="00B004EE">
        <w:rPr>
          <w:rFonts w:ascii="Tahoma" w:hAnsi="Tahoma" w:cs="Tahoma"/>
          <w:sz w:val="20"/>
          <w:szCs w:val="20"/>
        </w:rPr>
        <w:t>(2)</w:t>
      </w:r>
      <w:r w:rsidR="00DB1635" w:rsidRPr="00B004EE">
        <w:rPr>
          <w:rFonts w:ascii="Tahoma" w:hAnsi="Tahoma" w:cs="Tahoma"/>
          <w:w w:val="99"/>
          <w:sz w:val="20"/>
          <w:szCs w:val="20"/>
        </w:rPr>
        <w:t xml:space="preserve"> </w:t>
      </w:r>
      <w:r w:rsidRPr="00B004EE">
        <w:rPr>
          <w:rFonts w:ascii="Tahoma" w:hAnsi="Tahoma" w:cs="Tahoma"/>
          <w:sz w:val="20"/>
          <w:szCs w:val="20"/>
        </w:rPr>
        <w:t>mois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autant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fois</w:t>
      </w:r>
      <w:r w:rsidR="00DB1635" w:rsidRPr="00B004EE">
        <w:rPr>
          <w:rFonts w:ascii="Tahoma" w:hAnsi="Tahoma" w:cs="Tahoma"/>
          <w:sz w:val="20"/>
          <w:szCs w:val="20"/>
        </w:rPr>
        <w:t xml:space="preserve"> </w:t>
      </w:r>
      <w:r w:rsidRPr="00B004EE">
        <w:rPr>
          <w:rFonts w:ascii="Tahoma" w:hAnsi="Tahoma" w:cs="Tahoma"/>
          <w:sz w:val="20"/>
          <w:szCs w:val="20"/>
        </w:rPr>
        <w:t>que</w:t>
      </w:r>
      <w:r w:rsidR="00DB1635" w:rsidRPr="00B004EE">
        <w:rPr>
          <w:rFonts w:ascii="Tahoma" w:hAnsi="Tahoma" w:cs="Tahoma"/>
          <w:sz w:val="20"/>
          <w:szCs w:val="20"/>
        </w:rPr>
        <w:t xml:space="preserve"> </w:t>
      </w:r>
      <w:r w:rsidRPr="00B004EE">
        <w:rPr>
          <w:rFonts w:ascii="Tahoma" w:hAnsi="Tahoma" w:cs="Tahoma"/>
          <w:spacing w:val="10"/>
          <w:sz w:val="20"/>
          <w:szCs w:val="20"/>
        </w:rPr>
        <w:t>nécessaire,</w:t>
      </w:r>
      <w:r w:rsidR="00DB1635" w:rsidRPr="00B004EE">
        <w:rPr>
          <w:rFonts w:ascii="Tahoma" w:hAnsi="Tahoma" w:cs="Tahoma"/>
          <w:spacing w:val="10"/>
          <w:sz w:val="20"/>
          <w:szCs w:val="20"/>
        </w:rPr>
        <w:t xml:space="preserve"> </w:t>
      </w:r>
      <w:r w:rsidRPr="00B004EE">
        <w:rPr>
          <w:rFonts w:ascii="Tahoma" w:hAnsi="Tahoma" w:cs="Tahoma"/>
          <w:spacing w:val="8"/>
          <w:sz w:val="20"/>
          <w:szCs w:val="20"/>
        </w:rPr>
        <w:t>sur</w:t>
      </w:r>
      <w:r w:rsidR="00DB1635" w:rsidRPr="00B004EE">
        <w:rPr>
          <w:rFonts w:ascii="Tahoma" w:hAnsi="Tahoma" w:cs="Tahoma"/>
          <w:spacing w:val="8"/>
          <w:sz w:val="20"/>
          <w:szCs w:val="20"/>
        </w:rPr>
        <w:t xml:space="preserve"> </w:t>
      </w:r>
      <w:r w:rsidRPr="00B004EE">
        <w:rPr>
          <w:rFonts w:ascii="Tahoma" w:hAnsi="Tahoma" w:cs="Tahoma"/>
          <w:spacing w:val="10"/>
          <w:sz w:val="20"/>
          <w:szCs w:val="20"/>
        </w:rPr>
        <w:t>convocation</w:t>
      </w:r>
      <w:r w:rsidR="00DB1635" w:rsidRPr="00B004EE">
        <w:rPr>
          <w:rFonts w:ascii="Tahoma" w:hAnsi="Tahoma" w:cs="Tahoma"/>
          <w:spacing w:val="10"/>
          <w:sz w:val="20"/>
          <w:szCs w:val="20"/>
        </w:rPr>
        <w:t xml:space="preserve"> </w:t>
      </w:r>
      <w:r w:rsidRPr="00B004EE">
        <w:rPr>
          <w:rFonts w:ascii="Tahoma" w:hAnsi="Tahoma" w:cs="Tahoma"/>
          <w:spacing w:val="6"/>
          <w:sz w:val="20"/>
          <w:szCs w:val="20"/>
        </w:rPr>
        <w:t>de</w:t>
      </w:r>
      <w:r w:rsidR="00DB1635" w:rsidRPr="00B004EE">
        <w:rPr>
          <w:rFonts w:ascii="Tahoma" w:hAnsi="Tahoma" w:cs="Tahoma"/>
          <w:spacing w:val="6"/>
          <w:sz w:val="20"/>
          <w:szCs w:val="20"/>
        </w:rPr>
        <w:t xml:space="preserve"> </w:t>
      </w:r>
      <w:r w:rsidRPr="00B004EE">
        <w:rPr>
          <w:rFonts w:ascii="Tahoma" w:hAnsi="Tahoma" w:cs="Tahoma"/>
          <w:spacing w:val="8"/>
          <w:sz w:val="20"/>
          <w:szCs w:val="20"/>
        </w:rPr>
        <w:t>son</w:t>
      </w:r>
      <w:r w:rsidR="00DB1635" w:rsidRPr="00B004EE">
        <w:rPr>
          <w:rFonts w:ascii="Tahoma" w:hAnsi="Tahoma" w:cs="Tahoma"/>
          <w:spacing w:val="8"/>
          <w:sz w:val="20"/>
          <w:szCs w:val="20"/>
        </w:rPr>
        <w:t xml:space="preserve"> </w:t>
      </w:r>
      <w:r w:rsidRPr="00B004EE">
        <w:rPr>
          <w:rFonts w:ascii="Tahoma" w:hAnsi="Tahoma" w:cs="Tahoma"/>
          <w:spacing w:val="-3"/>
          <w:sz w:val="20"/>
          <w:szCs w:val="20"/>
        </w:rPr>
        <w:t>Président.</w:t>
      </w:r>
    </w:p>
    <w:p w14:paraId="679372BB" w14:textId="273D674B" w:rsidR="008518B0" w:rsidRPr="00B004EE" w:rsidRDefault="008518B0" w:rsidP="00B004EE">
      <w:pPr>
        <w:pStyle w:val="Corpsdetexte"/>
        <w:ind w:left="223" w:right="207"/>
        <w:rPr>
          <w:rFonts w:ascii="Tahoma" w:hAnsi="Tahoma" w:cs="Tahoma"/>
          <w:sz w:val="20"/>
          <w:szCs w:val="20"/>
        </w:rPr>
      </w:pPr>
      <w:r w:rsidRPr="00B004EE">
        <w:rPr>
          <w:rFonts w:ascii="Tahoma" w:hAnsi="Tahoma" w:cs="Tahoma"/>
          <w:spacing w:val="3"/>
          <w:sz w:val="20"/>
          <w:szCs w:val="20"/>
        </w:rPr>
        <w:t>Les</w:t>
      </w:r>
      <w:r w:rsidR="00DB1635" w:rsidRPr="00B004EE">
        <w:rPr>
          <w:rFonts w:ascii="Tahoma" w:hAnsi="Tahoma" w:cs="Tahoma"/>
          <w:spacing w:val="44"/>
          <w:sz w:val="20"/>
          <w:szCs w:val="20"/>
        </w:rPr>
        <w:t xml:space="preserve"> </w:t>
      </w:r>
      <w:r w:rsidRPr="00B004EE">
        <w:rPr>
          <w:rFonts w:ascii="Tahoma" w:hAnsi="Tahoma" w:cs="Tahoma"/>
          <w:spacing w:val="6"/>
          <w:sz w:val="20"/>
          <w:szCs w:val="20"/>
        </w:rPr>
        <w:t>décisions</w:t>
      </w:r>
      <w:r w:rsidR="00DB1635" w:rsidRPr="00B004EE">
        <w:rPr>
          <w:rFonts w:ascii="Tahoma" w:hAnsi="Tahoma" w:cs="Tahoma"/>
          <w:spacing w:val="42"/>
          <w:sz w:val="20"/>
          <w:szCs w:val="20"/>
        </w:rPr>
        <w:t xml:space="preserve"> </w:t>
      </w:r>
      <w:r w:rsidRPr="00B004EE">
        <w:rPr>
          <w:rFonts w:ascii="Tahoma" w:hAnsi="Tahoma" w:cs="Tahoma"/>
          <w:spacing w:val="5"/>
          <w:sz w:val="20"/>
          <w:szCs w:val="20"/>
        </w:rPr>
        <w:t>prises</w:t>
      </w:r>
      <w:r w:rsidR="00DB1635" w:rsidRPr="00B004EE">
        <w:rPr>
          <w:rFonts w:ascii="Tahoma" w:hAnsi="Tahoma" w:cs="Tahoma"/>
          <w:spacing w:val="42"/>
          <w:sz w:val="20"/>
          <w:szCs w:val="20"/>
        </w:rPr>
        <w:t xml:space="preserve"> </w:t>
      </w:r>
      <w:r w:rsidRPr="00B004EE">
        <w:rPr>
          <w:rFonts w:ascii="Tahoma" w:hAnsi="Tahoma" w:cs="Tahoma"/>
          <w:spacing w:val="5"/>
          <w:sz w:val="20"/>
          <w:szCs w:val="20"/>
        </w:rPr>
        <w:t>par</w:t>
      </w:r>
      <w:r w:rsidR="00DB1635" w:rsidRPr="00B004EE">
        <w:rPr>
          <w:rFonts w:ascii="Tahoma" w:hAnsi="Tahoma" w:cs="Tahoma"/>
          <w:spacing w:val="41"/>
          <w:sz w:val="20"/>
          <w:szCs w:val="20"/>
        </w:rPr>
        <w:t xml:space="preserve"> </w:t>
      </w:r>
      <w:r w:rsidRPr="00B004EE">
        <w:rPr>
          <w:rFonts w:ascii="Tahoma" w:hAnsi="Tahoma" w:cs="Tahoma"/>
          <w:spacing w:val="3"/>
          <w:sz w:val="20"/>
          <w:szCs w:val="20"/>
        </w:rPr>
        <w:t>le</w:t>
      </w:r>
      <w:r w:rsidR="00DB1635" w:rsidRPr="00B004EE">
        <w:rPr>
          <w:rFonts w:ascii="Tahoma" w:hAnsi="Tahoma" w:cs="Tahoma"/>
          <w:spacing w:val="40"/>
          <w:sz w:val="20"/>
          <w:szCs w:val="20"/>
        </w:rPr>
        <w:t xml:space="preserve"> </w:t>
      </w:r>
      <w:r w:rsidRPr="00B004EE">
        <w:rPr>
          <w:rFonts w:ascii="Tahoma" w:hAnsi="Tahoma" w:cs="Tahoma"/>
          <w:spacing w:val="6"/>
          <w:sz w:val="20"/>
          <w:szCs w:val="20"/>
        </w:rPr>
        <w:t>Comité</w:t>
      </w:r>
      <w:r w:rsidR="00DB1635" w:rsidRPr="00B004EE">
        <w:rPr>
          <w:rFonts w:ascii="Tahoma" w:hAnsi="Tahoma" w:cs="Tahoma"/>
          <w:spacing w:val="40"/>
          <w:sz w:val="20"/>
          <w:szCs w:val="20"/>
        </w:rPr>
        <w:t xml:space="preserve"> </w:t>
      </w:r>
      <w:r w:rsidRPr="00B004EE">
        <w:rPr>
          <w:rFonts w:ascii="Tahoma" w:hAnsi="Tahoma" w:cs="Tahoma"/>
          <w:spacing w:val="3"/>
          <w:sz w:val="20"/>
          <w:szCs w:val="20"/>
        </w:rPr>
        <w:t>de</w:t>
      </w:r>
      <w:r w:rsidR="00DB1635" w:rsidRPr="00B004EE">
        <w:rPr>
          <w:rFonts w:ascii="Tahoma" w:hAnsi="Tahoma" w:cs="Tahoma"/>
          <w:spacing w:val="43"/>
          <w:sz w:val="20"/>
          <w:szCs w:val="20"/>
        </w:rPr>
        <w:t xml:space="preserve"> </w:t>
      </w:r>
      <w:r w:rsidRPr="00B004EE">
        <w:rPr>
          <w:rFonts w:ascii="Tahoma" w:hAnsi="Tahoma" w:cs="Tahoma"/>
          <w:sz w:val="20"/>
          <w:szCs w:val="20"/>
        </w:rPr>
        <w:t>Gestion</w:t>
      </w:r>
      <w:r w:rsidR="00DB1635" w:rsidRPr="00B004EE">
        <w:rPr>
          <w:rFonts w:ascii="Tahoma" w:hAnsi="Tahoma" w:cs="Tahoma"/>
          <w:spacing w:val="32"/>
          <w:sz w:val="20"/>
          <w:szCs w:val="20"/>
        </w:rPr>
        <w:t xml:space="preserve"> </w:t>
      </w:r>
      <w:r w:rsidRPr="00B004EE">
        <w:rPr>
          <w:rFonts w:ascii="Tahoma" w:hAnsi="Tahoma" w:cs="Tahoma"/>
          <w:sz w:val="20"/>
          <w:szCs w:val="20"/>
        </w:rPr>
        <w:t>sur</w:t>
      </w:r>
      <w:r w:rsidR="00DB1635" w:rsidRPr="00B004EE">
        <w:rPr>
          <w:rFonts w:ascii="Tahoma" w:hAnsi="Tahoma" w:cs="Tahoma"/>
          <w:spacing w:val="29"/>
          <w:sz w:val="20"/>
          <w:szCs w:val="20"/>
        </w:rPr>
        <w:t xml:space="preserve"> </w:t>
      </w:r>
      <w:r w:rsidRPr="00B004EE">
        <w:rPr>
          <w:rFonts w:ascii="Tahoma" w:hAnsi="Tahoma" w:cs="Tahoma"/>
          <w:sz w:val="20"/>
          <w:szCs w:val="20"/>
        </w:rPr>
        <w:t>les</w:t>
      </w:r>
      <w:r w:rsidR="00DB1635" w:rsidRPr="00B004EE">
        <w:rPr>
          <w:rFonts w:ascii="Tahoma" w:hAnsi="Tahoma" w:cs="Tahoma"/>
          <w:spacing w:val="30"/>
          <w:sz w:val="20"/>
          <w:szCs w:val="20"/>
        </w:rPr>
        <w:t xml:space="preserve"> </w:t>
      </w:r>
      <w:r w:rsidRPr="00B004EE">
        <w:rPr>
          <w:rFonts w:ascii="Tahoma" w:hAnsi="Tahoma" w:cs="Tahoma"/>
          <w:sz w:val="20"/>
          <w:szCs w:val="20"/>
        </w:rPr>
        <w:t>questions</w:t>
      </w:r>
      <w:r w:rsidR="00DB1635" w:rsidRPr="00B004EE">
        <w:rPr>
          <w:rFonts w:ascii="Tahoma" w:hAnsi="Tahoma" w:cs="Tahoma"/>
          <w:spacing w:val="30"/>
          <w:sz w:val="20"/>
          <w:szCs w:val="20"/>
        </w:rPr>
        <w:t xml:space="preserve"> </w:t>
      </w:r>
      <w:r w:rsidRPr="00B004EE">
        <w:rPr>
          <w:rFonts w:ascii="Tahoma" w:hAnsi="Tahoma" w:cs="Tahoma"/>
          <w:sz w:val="20"/>
          <w:szCs w:val="20"/>
        </w:rPr>
        <w:t>pour</w:t>
      </w:r>
      <w:r w:rsidR="00DB1635" w:rsidRPr="00B004EE">
        <w:rPr>
          <w:rFonts w:ascii="Tahoma" w:hAnsi="Tahoma" w:cs="Tahoma"/>
          <w:spacing w:val="29"/>
          <w:sz w:val="20"/>
          <w:szCs w:val="20"/>
        </w:rPr>
        <w:t xml:space="preserve"> </w:t>
      </w:r>
      <w:r w:rsidRPr="00B004EE">
        <w:rPr>
          <w:rFonts w:ascii="Tahoma" w:hAnsi="Tahoma" w:cs="Tahoma"/>
          <w:sz w:val="20"/>
          <w:szCs w:val="20"/>
        </w:rPr>
        <w:t>lesquelles</w:t>
      </w:r>
      <w:r w:rsidR="00DB1635" w:rsidRPr="00B004EE">
        <w:rPr>
          <w:rFonts w:ascii="Tahoma" w:hAnsi="Tahoma" w:cs="Tahoma"/>
          <w:spacing w:val="30"/>
          <w:sz w:val="20"/>
          <w:szCs w:val="20"/>
        </w:rPr>
        <w:t xml:space="preserve"> </w:t>
      </w:r>
      <w:r w:rsidRPr="00B004EE">
        <w:rPr>
          <w:rFonts w:ascii="Tahoma" w:hAnsi="Tahoma" w:cs="Tahoma"/>
          <w:sz w:val="20"/>
          <w:szCs w:val="20"/>
        </w:rPr>
        <w:t>il</w:t>
      </w:r>
      <w:r w:rsidR="00DB1635" w:rsidRPr="00B004EE">
        <w:rPr>
          <w:rFonts w:ascii="Tahoma" w:hAnsi="Tahoma" w:cs="Tahoma"/>
          <w:spacing w:val="30"/>
          <w:sz w:val="20"/>
          <w:szCs w:val="20"/>
        </w:rPr>
        <w:t xml:space="preserve"> </w:t>
      </w:r>
      <w:r w:rsidRPr="00B004EE">
        <w:rPr>
          <w:rFonts w:ascii="Tahoma" w:hAnsi="Tahoma" w:cs="Tahoma"/>
          <w:sz w:val="20"/>
          <w:szCs w:val="20"/>
        </w:rPr>
        <w:t>a</w:t>
      </w:r>
      <w:r w:rsidR="00DB1635" w:rsidRPr="00B004EE">
        <w:rPr>
          <w:rFonts w:ascii="Tahoma" w:hAnsi="Tahoma" w:cs="Tahoma"/>
          <w:spacing w:val="28"/>
          <w:sz w:val="20"/>
          <w:szCs w:val="20"/>
        </w:rPr>
        <w:t xml:space="preserve"> </w:t>
      </w:r>
      <w:r w:rsidRPr="00B004EE">
        <w:rPr>
          <w:rFonts w:ascii="Tahoma" w:hAnsi="Tahoma" w:cs="Tahoma"/>
          <w:sz w:val="20"/>
          <w:szCs w:val="20"/>
        </w:rPr>
        <w:t>reçu</w:t>
      </w:r>
      <w:r w:rsidR="00DB1635" w:rsidRPr="00B004EE">
        <w:rPr>
          <w:rFonts w:ascii="Tahoma" w:hAnsi="Tahoma" w:cs="Tahoma"/>
          <w:w w:val="99"/>
          <w:sz w:val="20"/>
          <w:szCs w:val="20"/>
        </w:rPr>
        <w:t xml:space="preserve"> </w:t>
      </w:r>
      <w:r w:rsidRPr="00B004EE">
        <w:rPr>
          <w:rFonts w:ascii="Tahoma" w:hAnsi="Tahoma" w:cs="Tahoma"/>
          <w:sz w:val="20"/>
          <w:szCs w:val="20"/>
        </w:rPr>
        <w:t>délégation</w:t>
      </w:r>
      <w:r w:rsidR="00DB1635" w:rsidRPr="00B004EE">
        <w:rPr>
          <w:rFonts w:ascii="Tahoma" w:hAnsi="Tahoma" w:cs="Tahoma"/>
          <w:sz w:val="20"/>
          <w:szCs w:val="20"/>
        </w:rPr>
        <w:t xml:space="preserve"> </w:t>
      </w:r>
      <w:r w:rsidRPr="00B004EE">
        <w:rPr>
          <w:rFonts w:ascii="Tahoma" w:hAnsi="Tahoma" w:cs="Tahoma"/>
          <w:sz w:val="20"/>
          <w:szCs w:val="20"/>
        </w:rPr>
        <w:t>expresse</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Conseil</w:t>
      </w:r>
      <w:r w:rsidR="00DB1635" w:rsidRPr="00B004EE">
        <w:rPr>
          <w:rFonts w:ascii="Tahoma" w:hAnsi="Tahoma" w:cs="Tahoma"/>
          <w:sz w:val="20"/>
          <w:szCs w:val="20"/>
        </w:rPr>
        <w:t xml:space="preserve"> </w:t>
      </w:r>
      <w:r w:rsidRPr="00B004EE">
        <w:rPr>
          <w:rFonts w:ascii="Tahoma" w:hAnsi="Tahoma" w:cs="Tahoma"/>
          <w:spacing w:val="5"/>
          <w:sz w:val="20"/>
          <w:szCs w:val="20"/>
        </w:rPr>
        <w:t>d'Administration</w:t>
      </w:r>
      <w:r w:rsidR="00DB1635" w:rsidRPr="00B004EE">
        <w:rPr>
          <w:rFonts w:ascii="Tahoma" w:hAnsi="Tahoma" w:cs="Tahoma"/>
          <w:spacing w:val="5"/>
          <w:sz w:val="20"/>
          <w:szCs w:val="20"/>
        </w:rPr>
        <w:t xml:space="preserve"> </w:t>
      </w:r>
      <w:r w:rsidRPr="00B004EE">
        <w:rPr>
          <w:rFonts w:ascii="Tahoma" w:hAnsi="Tahoma" w:cs="Tahoma"/>
          <w:spacing w:val="4"/>
          <w:sz w:val="20"/>
          <w:szCs w:val="20"/>
        </w:rPr>
        <w:t>sont</w:t>
      </w:r>
      <w:r w:rsidR="00DB1635" w:rsidRPr="00B004EE">
        <w:rPr>
          <w:rFonts w:ascii="Tahoma" w:hAnsi="Tahoma" w:cs="Tahoma"/>
          <w:spacing w:val="4"/>
          <w:sz w:val="20"/>
          <w:szCs w:val="20"/>
        </w:rPr>
        <w:t xml:space="preserve"> </w:t>
      </w:r>
      <w:r w:rsidRPr="00B004EE">
        <w:rPr>
          <w:rFonts w:ascii="Tahoma" w:hAnsi="Tahoma" w:cs="Tahoma"/>
          <w:spacing w:val="5"/>
          <w:sz w:val="20"/>
          <w:szCs w:val="20"/>
        </w:rPr>
        <w:t>transmises</w:t>
      </w:r>
      <w:r w:rsidR="00DB1635" w:rsidRPr="00B004EE">
        <w:rPr>
          <w:rFonts w:ascii="Tahoma" w:hAnsi="Tahoma" w:cs="Tahoma"/>
          <w:spacing w:val="5"/>
          <w:sz w:val="20"/>
          <w:szCs w:val="20"/>
        </w:rPr>
        <w:t xml:space="preserve"> </w:t>
      </w:r>
      <w:r w:rsidRPr="00B004EE">
        <w:rPr>
          <w:rFonts w:ascii="Tahoma" w:hAnsi="Tahoma" w:cs="Tahoma"/>
          <w:spacing w:val="3"/>
          <w:sz w:val="20"/>
          <w:szCs w:val="20"/>
        </w:rPr>
        <w:t>aux</w:t>
      </w:r>
      <w:r w:rsidR="00DB1635" w:rsidRPr="00B004EE">
        <w:rPr>
          <w:rFonts w:ascii="Tahoma" w:hAnsi="Tahoma" w:cs="Tahoma"/>
          <w:spacing w:val="3"/>
          <w:sz w:val="20"/>
          <w:szCs w:val="20"/>
        </w:rPr>
        <w:t xml:space="preserve"> </w:t>
      </w:r>
      <w:r w:rsidRPr="00B004EE">
        <w:rPr>
          <w:rFonts w:ascii="Tahoma" w:hAnsi="Tahoma" w:cs="Tahoma"/>
          <w:sz w:val="20"/>
          <w:szCs w:val="20"/>
        </w:rPr>
        <w:t>autorités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pacing w:val="15"/>
          <w:sz w:val="20"/>
          <w:szCs w:val="20"/>
        </w:rPr>
        <w:t xml:space="preserve"> </w:t>
      </w:r>
      <w:r w:rsidRPr="00B004EE">
        <w:rPr>
          <w:rFonts w:ascii="Tahoma" w:hAnsi="Tahoma" w:cs="Tahoma"/>
          <w:sz w:val="20"/>
          <w:szCs w:val="20"/>
        </w:rPr>
        <w:t>tutelle</w:t>
      </w:r>
      <w:r w:rsidR="00DB1635" w:rsidRPr="00B004EE">
        <w:rPr>
          <w:rFonts w:ascii="Tahoma" w:hAnsi="Tahoma" w:cs="Tahoma"/>
          <w:w w:val="99"/>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mêmes</w:t>
      </w:r>
      <w:r w:rsidR="00DB1635" w:rsidRPr="00B004EE">
        <w:rPr>
          <w:rFonts w:ascii="Tahoma" w:hAnsi="Tahoma" w:cs="Tahoma"/>
          <w:sz w:val="20"/>
          <w:szCs w:val="20"/>
        </w:rPr>
        <w:t xml:space="preserve"> </w:t>
      </w:r>
      <w:r w:rsidRPr="00B004EE">
        <w:rPr>
          <w:rFonts w:ascii="Tahoma" w:hAnsi="Tahoma" w:cs="Tahoma"/>
          <w:sz w:val="20"/>
          <w:szCs w:val="20"/>
        </w:rPr>
        <w:t>formes</w:t>
      </w:r>
      <w:r w:rsidR="00DB1635" w:rsidRPr="00B004EE">
        <w:rPr>
          <w:rFonts w:ascii="Tahoma" w:hAnsi="Tahoma" w:cs="Tahoma"/>
          <w:sz w:val="20"/>
          <w:szCs w:val="20"/>
        </w:rPr>
        <w:t xml:space="preserve"> </w:t>
      </w:r>
      <w:r w:rsidRPr="00B004EE">
        <w:rPr>
          <w:rFonts w:ascii="Tahoma" w:hAnsi="Tahoma" w:cs="Tahoma"/>
          <w:spacing w:val="8"/>
          <w:sz w:val="20"/>
          <w:szCs w:val="20"/>
        </w:rPr>
        <w:t>que</w:t>
      </w:r>
      <w:r w:rsidR="00DB1635" w:rsidRPr="00B004EE">
        <w:rPr>
          <w:rFonts w:ascii="Tahoma" w:hAnsi="Tahoma" w:cs="Tahoma"/>
          <w:spacing w:val="8"/>
          <w:sz w:val="20"/>
          <w:szCs w:val="20"/>
        </w:rPr>
        <w:t xml:space="preserve"> </w:t>
      </w:r>
      <w:r w:rsidRPr="00B004EE">
        <w:rPr>
          <w:rFonts w:ascii="Tahoma" w:hAnsi="Tahoma" w:cs="Tahoma"/>
          <w:spacing w:val="9"/>
          <w:sz w:val="20"/>
          <w:szCs w:val="20"/>
        </w:rPr>
        <w:t>celles</w:t>
      </w:r>
      <w:r w:rsidR="00DB1635" w:rsidRPr="00B004EE">
        <w:rPr>
          <w:rFonts w:ascii="Tahoma" w:hAnsi="Tahoma" w:cs="Tahoma"/>
          <w:spacing w:val="9"/>
          <w:sz w:val="20"/>
          <w:szCs w:val="20"/>
        </w:rPr>
        <w:t xml:space="preserve"> </w:t>
      </w:r>
      <w:r w:rsidRPr="00B004EE">
        <w:rPr>
          <w:rFonts w:ascii="Tahoma" w:hAnsi="Tahoma" w:cs="Tahoma"/>
          <w:spacing w:val="9"/>
          <w:sz w:val="20"/>
          <w:szCs w:val="20"/>
        </w:rPr>
        <w:t>prises</w:t>
      </w:r>
      <w:r w:rsidR="00DB1635" w:rsidRPr="00B004EE">
        <w:rPr>
          <w:rFonts w:ascii="Tahoma" w:hAnsi="Tahoma" w:cs="Tahoma"/>
          <w:spacing w:val="9"/>
          <w:sz w:val="20"/>
          <w:szCs w:val="20"/>
        </w:rPr>
        <w:t xml:space="preserve"> </w:t>
      </w:r>
      <w:r w:rsidRPr="00B004EE">
        <w:rPr>
          <w:rFonts w:ascii="Tahoma" w:hAnsi="Tahoma" w:cs="Tahoma"/>
          <w:spacing w:val="8"/>
          <w:sz w:val="20"/>
          <w:szCs w:val="20"/>
        </w:rPr>
        <w:t>par</w:t>
      </w:r>
      <w:r w:rsidR="00DB1635" w:rsidRPr="00B004EE">
        <w:rPr>
          <w:rFonts w:ascii="Tahoma" w:hAnsi="Tahoma" w:cs="Tahoma"/>
          <w:spacing w:val="8"/>
          <w:sz w:val="20"/>
          <w:szCs w:val="20"/>
        </w:rPr>
        <w:t xml:space="preserve"> </w:t>
      </w:r>
      <w:r w:rsidRPr="00B004EE">
        <w:rPr>
          <w:rFonts w:ascii="Tahoma" w:hAnsi="Tahoma" w:cs="Tahoma"/>
          <w:spacing w:val="6"/>
          <w:sz w:val="20"/>
          <w:szCs w:val="20"/>
        </w:rPr>
        <w:t>le</w:t>
      </w:r>
      <w:r w:rsidR="00DB1635" w:rsidRPr="00B004EE">
        <w:rPr>
          <w:rFonts w:ascii="Tahoma" w:hAnsi="Tahoma" w:cs="Tahoma"/>
          <w:spacing w:val="6"/>
          <w:sz w:val="20"/>
          <w:szCs w:val="20"/>
        </w:rPr>
        <w:t xml:space="preserve"> </w:t>
      </w:r>
      <w:r w:rsidRPr="00B004EE">
        <w:rPr>
          <w:rFonts w:ascii="Tahoma" w:hAnsi="Tahoma" w:cs="Tahoma"/>
          <w:spacing w:val="10"/>
          <w:sz w:val="20"/>
          <w:szCs w:val="20"/>
        </w:rPr>
        <w:t>Conseil</w:t>
      </w:r>
      <w:r w:rsidR="00DB1635" w:rsidRPr="00B004EE">
        <w:rPr>
          <w:rFonts w:ascii="Tahoma" w:hAnsi="Tahoma" w:cs="Tahoma"/>
          <w:spacing w:val="10"/>
          <w:sz w:val="20"/>
          <w:szCs w:val="20"/>
        </w:rPr>
        <w:t xml:space="preserve"> </w:t>
      </w:r>
      <w:r w:rsidRPr="00B004EE">
        <w:rPr>
          <w:rFonts w:ascii="Tahoma" w:hAnsi="Tahoma" w:cs="Tahoma"/>
          <w:sz w:val="20"/>
          <w:szCs w:val="20"/>
        </w:rPr>
        <w:t>d'Administration.</w:t>
      </w:r>
    </w:p>
    <w:p w14:paraId="1EA56D11" w14:textId="77777777" w:rsidR="008518B0" w:rsidRPr="00B004EE" w:rsidRDefault="008518B0" w:rsidP="00B004EE">
      <w:pPr>
        <w:rPr>
          <w:rFonts w:ascii="Tahoma" w:hAnsi="Tahoma" w:cs="Tahoma"/>
          <w:bCs/>
          <w:iCs/>
          <w:sz w:val="20"/>
          <w:szCs w:val="20"/>
        </w:rPr>
      </w:pPr>
    </w:p>
    <w:p w14:paraId="4B55E5B0" w14:textId="7C216440" w:rsidR="008518B0" w:rsidRPr="00B004EE" w:rsidRDefault="00FF661D" w:rsidP="00B004EE">
      <w:pPr>
        <w:pStyle w:val="Corpsdetexte"/>
        <w:ind w:left="155"/>
        <w:rPr>
          <w:rFonts w:ascii="Tahoma" w:hAnsi="Tahoma" w:cs="Tahoma"/>
          <w:spacing w:val="5"/>
          <w:sz w:val="20"/>
          <w:szCs w:val="20"/>
        </w:rPr>
      </w:pPr>
      <w:r w:rsidRPr="00B004EE">
        <w:rPr>
          <w:rFonts w:ascii="Tahoma" w:hAnsi="Tahoma" w:cs="Tahoma"/>
          <w:bCs/>
          <w:iCs/>
          <w:sz w:val="20"/>
          <w:szCs w:val="20"/>
        </w:rPr>
        <w:t xml:space="preserve">Article </w:t>
      </w:r>
      <w:r w:rsidR="008518B0" w:rsidRPr="00B004EE">
        <w:rPr>
          <w:rFonts w:ascii="Tahoma" w:hAnsi="Tahoma" w:cs="Tahoma"/>
          <w:bCs/>
          <w:iCs/>
          <w:sz w:val="20"/>
          <w:szCs w:val="20"/>
        </w:rPr>
        <w:t>13</w:t>
      </w:r>
      <w:r w:rsidR="00DB1635" w:rsidRPr="00B004EE">
        <w:rPr>
          <w:rFonts w:ascii="Tahoma" w:hAnsi="Tahoma" w:cs="Tahoma"/>
          <w:b/>
          <w:i/>
          <w:spacing w:val="29"/>
          <w:sz w:val="20"/>
          <w:szCs w:val="20"/>
        </w:rPr>
        <w:t xml:space="preserve"> </w:t>
      </w:r>
      <w:r w:rsidR="008518B0" w:rsidRPr="00B004EE">
        <w:rPr>
          <w:rFonts w:ascii="Tahoma" w:hAnsi="Tahoma" w:cs="Tahoma"/>
          <w:i/>
          <w:sz w:val="20"/>
          <w:szCs w:val="20"/>
        </w:rPr>
        <w:t>:</w:t>
      </w:r>
      <w:r w:rsidR="00DB1635" w:rsidRPr="00B004EE">
        <w:rPr>
          <w:rFonts w:ascii="Tahoma" w:hAnsi="Tahoma" w:cs="Tahoma"/>
          <w:i/>
          <w:spacing w:val="29"/>
          <w:sz w:val="20"/>
          <w:szCs w:val="20"/>
        </w:rPr>
        <w:t xml:space="preserve"> </w:t>
      </w:r>
      <w:r w:rsidR="008518B0" w:rsidRPr="00B004EE">
        <w:rPr>
          <w:rFonts w:ascii="Tahoma" w:hAnsi="Tahoma" w:cs="Tahoma"/>
          <w:spacing w:val="5"/>
          <w:sz w:val="20"/>
          <w:szCs w:val="20"/>
        </w:rPr>
        <w:t>pour</w:t>
      </w:r>
      <w:r w:rsidR="00DB1635" w:rsidRPr="00B004EE">
        <w:rPr>
          <w:rFonts w:ascii="Tahoma" w:hAnsi="Tahoma" w:cs="Tahoma"/>
          <w:spacing w:val="29"/>
          <w:sz w:val="20"/>
          <w:szCs w:val="20"/>
        </w:rPr>
        <w:t xml:space="preserve"> </w:t>
      </w:r>
      <w:r w:rsidR="008518B0" w:rsidRPr="00B004EE">
        <w:rPr>
          <w:rFonts w:ascii="Tahoma" w:hAnsi="Tahoma" w:cs="Tahoma"/>
          <w:spacing w:val="4"/>
          <w:sz w:val="20"/>
          <w:szCs w:val="20"/>
        </w:rPr>
        <w:t>tout</w:t>
      </w:r>
      <w:r w:rsidR="00DB1635" w:rsidRPr="00B004EE">
        <w:rPr>
          <w:rFonts w:ascii="Tahoma" w:hAnsi="Tahoma" w:cs="Tahoma"/>
          <w:spacing w:val="30"/>
          <w:sz w:val="20"/>
          <w:szCs w:val="20"/>
        </w:rPr>
        <w:t xml:space="preserve"> </w:t>
      </w:r>
      <w:r w:rsidR="008518B0" w:rsidRPr="00B004EE">
        <w:rPr>
          <w:rFonts w:ascii="Tahoma" w:hAnsi="Tahoma" w:cs="Tahoma"/>
          <w:spacing w:val="3"/>
          <w:sz w:val="20"/>
          <w:szCs w:val="20"/>
        </w:rPr>
        <w:t>ce</w:t>
      </w:r>
      <w:r w:rsidR="00DB1635" w:rsidRPr="00B004EE">
        <w:rPr>
          <w:rFonts w:ascii="Tahoma" w:hAnsi="Tahoma" w:cs="Tahoma"/>
          <w:spacing w:val="28"/>
          <w:sz w:val="20"/>
          <w:szCs w:val="20"/>
        </w:rPr>
        <w:t xml:space="preserve"> </w:t>
      </w:r>
      <w:r w:rsidR="008518B0" w:rsidRPr="00B004EE">
        <w:rPr>
          <w:rFonts w:ascii="Tahoma" w:hAnsi="Tahoma" w:cs="Tahoma"/>
          <w:spacing w:val="4"/>
          <w:sz w:val="20"/>
          <w:szCs w:val="20"/>
        </w:rPr>
        <w:t>Qui</w:t>
      </w:r>
      <w:r w:rsidR="00DB1635" w:rsidRPr="00B004EE">
        <w:rPr>
          <w:rFonts w:ascii="Tahoma" w:hAnsi="Tahoma" w:cs="Tahoma"/>
          <w:spacing w:val="30"/>
          <w:sz w:val="20"/>
          <w:szCs w:val="20"/>
        </w:rPr>
        <w:t xml:space="preserve"> </w:t>
      </w:r>
      <w:r w:rsidR="008518B0" w:rsidRPr="00B004EE">
        <w:rPr>
          <w:rFonts w:ascii="Tahoma" w:hAnsi="Tahoma" w:cs="Tahoma"/>
          <w:spacing w:val="4"/>
          <w:sz w:val="20"/>
          <w:szCs w:val="20"/>
        </w:rPr>
        <w:t>n'est</w:t>
      </w:r>
      <w:r w:rsidR="00DB1635" w:rsidRPr="00B004EE">
        <w:rPr>
          <w:rFonts w:ascii="Tahoma" w:hAnsi="Tahoma" w:cs="Tahoma"/>
          <w:spacing w:val="30"/>
          <w:sz w:val="20"/>
          <w:szCs w:val="20"/>
        </w:rPr>
        <w:t xml:space="preserve"> </w:t>
      </w:r>
      <w:r w:rsidR="008518B0" w:rsidRPr="00B004EE">
        <w:rPr>
          <w:rFonts w:ascii="Tahoma" w:hAnsi="Tahoma" w:cs="Tahoma"/>
          <w:spacing w:val="4"/>
          <w:sz w:val="20"/>
          <w:szCs w:val="20"/>
        </w:rPr>
        <w:t>pas</w:t>
      </w:r>
      <w:r w:rsidR="00DB1635" w:rsidRPr="00B004EE">
        <w:rPr>
          <w:rFonts w:ascii="Tahoma" w:hAnsi="Tahoma" w:cs="Tahoma"/>
          <w:spacing w:val="30"/>
          <w:sz w:val="20"/>
          <w:szCs w:val="20"/>
        </w:rPr>
        <w:t xml:space="preserve"> </w:t>
      </w:r>
      <w:r w:rsidR="008518B0" w:rsidRPr="00B004EE">
        <w:rPr>
          <w:rFonts w:ascii="Tahoma" w:hAnsi="Tahoma" w:cs="Tahoma"/>
          <w:sz w:val="20"/>
          <w:szCs w:val="20"/>
        </w:rPr>
        <w:t>prévu</w:t>
      </w:r>
      <w:r w:rsidR="00DB1635" w:rsidRPr="00B004EE">
        <w:rPr>
          <w:rFonts w:ascii="Tahoma" w:hAnsi="Tahoma" w:cs="Tahoma"/>
          <w:spacing w:val="17"/>
          <w:sz w:val="20"/>
          <w:szCs w:val="20"/>
        </w:rPr>
        <w:t xml:space="preserve"> </w:t>
      </w:r>
      <w:r w:rsidR="008518B0" w:rsidRPr="00B004EE">
        <w:rPr>
          <w:rFonts w:ascii="Tahoma" w:hAnsi="Tahoma" w:cs="Tahoma"/>
          <w:sz w:val="20"/>
          <w:szCs w:val="20"/>
        </w:rPr>
        <w:t>aux</w:t>
      </w:r>
      <w:r w:rsidR="00DB1635" w:rsidRPr="00B004EE">
        <w:rPr>
          <w:rFonts w:ascii="Tahoma" w:hAnsi="Tahoma" w:cs="Tahoma"/>
          <w:spacing w:val="20"/>
          <w:sz w:val="20"/>
          <w:szCs w:val="20"/>
        </w:rPr>
        <w:t xml:space="preserve"> </w:t>
      </w:r>
      <w:r w:rsidR="008518B0" w:rsidRPr="00B004EE">
        <w:rPr>
          <w:rFonts w:ascii="Tahoma" w:hAnsi="Tahoma" w:cs="Tahoma"/>
          <w:sz w:val="20"/>
          <w:szCs w:val="20"/>
        </w:rPr>
        <w:t>articles</w:t>
      </w:r>
      <w:r w:rsidR="00DB1635" w:rsidRPr="00B004EE">
        <w:rPr>
          <w:rFonts w:ascii="Tahoma" w:hAnsi="Tahoma" w:cs="Tahoma"/>
          <w:spacing w:val="18"/>
          <w:sz w:val="20"/>
          <w:szCs w:val="20"/>
        </w:rPr>
        <w:t xml:space="preserve"> </w:t>
      </w:r>
      <w:r w:rsidR="008518B0" w:rsidRPr="00B004EE">
        <w:rPr>
          <w:rFonts w:ascii="Tahoma" w:hAnsi="Tahoma" w:cs="Tahoma"/>
          <w:sz w:val="20"/>
          <w:szCs w:val="20"/>
        </w:rPr>
        <w:t>ci-dessus,</w:t>
      </w:r>
      <w:r w:rsidR="00DB1635" w:rsidRPr="00B004EE">
        <w:rPr>
          <w:rFonts w:ascii="Tahoma" w:hAnsi="Tahoma" w:cs="Tahoma"/>
          <w:spacing w:val="20"/>
          <w:sz w:val="20"/>
          <w:szCs w:val="20"/>
        </w:rPr>
        <w:t xml:space="preserve"> </w:t>
      </w:r>
      <w:r w:rsidR="008518B0" w:rsidRPr="00B004EE">
        <w:rPr>
          <w:rFonts w:ascii="Tahoma" w:hAnsi="Tahoma" w:cs="Tahoma"/>
          <w:sz w:val="20"/>
          <w:szCs w:val="20"/>
        </w:rPr>
        <w:t>l'organisation</w:t>
      </w:r>
      <w:r w:rsidR="00DB1635" w:rsidRPr="00B004EE">
        <w:rPr>
          <w:rFonts w:ascii="Tahoma" w:hAnsi="Tahoma" w:cs="Tahoma"/>
          <w:spacing w:val="17"/>
          <w:sz w:val="20"/>
          <w:szCs w:val="20"/>
        </w:rPr>
        <w:t xml:space="preserve"> </w:t>
      </w:r>
      <w:r w:rsidR="008518B0" w:rsidRPr="00B004EE">
        <w:rPr>
          <w:rFonts w:ascii="Tahoma" w:hAnsi="Tahoma" w:cs="Tahoma"/>
          <w:spacing w:val="4"/>
          <w:sz w:val="20"/>
          <w:szCs w:val="20"/>
        </w:rPr>
        <w:t>et</w:t>
      </w:r>
      <w:r w:rsidR="00DB1635" w:rsidRPr="00B004EE">
        <w:rPr>
          <w:rFonts w:ascii="Tahoma" w:hAnsi="Tahoma" w:cs="Tahoma"/>
          <w:spacing w:val="35"/>
          <w:sz w:val="20"/>
          <w:szCs w:val="20"/>
        </w:rPr>
        <w:t xml:space="preserve"> </w:t>
      </w:r>
      <w:r w:rsidR="008518B0" w:rsidRPr="00B004EE">
        <w:rPr>
          <w:rFonts w:ascii="Tahoma" w:hAnsi="Tahoma" w:cs="Tahoma"/>
          <w:spacing w:val="5"/>
          <w:sz w:val="20"/>
          <w:szCs w:val="20"/>
        </w:rPr>
        <w:t>le</w:t>
      </w:r>
      <w:r w:rsidR="00DB1635" w:rsidRPr="00B004EE">
        <w:rPr>
          <w:rFonts w:ascii="Tahoma" w:hAnsi="Tahoma" w:cs="Tahoma"/>
          <w:spacing w:val="5"/>
          <w:sz w:val="20"/>
          <w:szCs w:val="20"/>
        </w:rPr>
        <w:t xml:space="preserve"> </w:t>
      </w:r>
      <w:r w:rsidR="008518B0" w:rsidRPr="00B004EE">
        <w:rPr>
          <w:rFonts w:ascii="Tahoma" w:hAnsi="Tahoma" w:cs="Tahoma"/>
          <w:spacing w:val="8"/>
          <w:sz w:val="20"/>
          <w:szCs w:val="20"/>
        </w:rPr>
        <w:t>fonctionnement</w:t>
      </w:r>
      <w:r w:rsidR="00DB1635" w:rsidRPr="00B004EE">
        <w:rPr>
          <w:rFonts w:ascii="Tahoma" w:hAnsi="Tahoma" w:cs="Tahoma"/>
          <w:spacing w:val="8"/>
          <w:sz w:val="20"/>
          <w:szCs w:val="20"/>
        </w:rPr>
        <w:t xml:space="preserve"> </w:t>
      </w:r>
      <w:r w:rsidR="008518B0" w:rsidRPr="00B004EE">
        <w:rPr>
          <w:rFonts w:ascii="Tahoma" w:hAnsi="Tahoma" w:cs="Tahoma"/>
          <w:spacing w:val="3"/>
          <w:sz w:val="20"/>
          <w:szCs w:val="20"/>
        </w:rPr>
        <w:t>du</w:t>
      </w:r>
      <w:r w:rsidR="00DB1635" w:rsidRPr="00B004EE">
        <w:rPr>
          <w:rFonts w:ascii="Tahoma" w:hAnsi="Tahoma" w:cs="Tahoma"/>
          <w:spacing w:val="3"/>
          <w:sz w:val="20"/>
          <w:szCs w:val="20"/>
        </w:rPr>
        <w:t xml:space="preserve"> </w:t>
      </w:r>
      <w:r w:rsidR="008518B0" w:rsidRPr="00B004EE">
        <w:rPr>
          <w:rFonts w:ascii="Tahoma" w:hAnsi="Tahoma" w:cs="Tahoma"/>
          <w:spacing w:val="7"/>
          <w:sz w:val="20"/>
          <w:szCs w:val="20"/>
        </w:rPr>
        <w:t>Conseil</w:t>
      </w:r>
      <w:r w:rsidR="00DB1635" w:rsidRPr="00B004EE">
        <w:rPr>
          <w:rFonts w:ascii="Tahoma" w:hAnsi="Tahoma" w:cs="Tahoma"/>
          <w:spacing w:val="7"/>
          <w:sz w:val="20"/>
          <w:szCs w:val="20"/>
        </w:rPr>
        <w:t xml:space="preserve"> </w:t>
      </w:r>
      <w:r w:rsidR="008518B0" w:rsidRPr="00B004EE">
        <w:rPr>
          <w:rFonts w:ascii="Tahoma" w:hAnsi="Tahoma" w:cs="Tahoma"/>
          <w:spacing w:val="8"/>
          <w:sz w:val="20"/>
          <w:szCs w:val="20"/>
        </w:rPr>
        <w:t>d'Administration</w:t>
      </w:r>
      <w:r w:rsidR="00DB1635" w:rsidRPr="00B004EE">
        <w:rPr>
          <w:rFonts w:ascii="Tahoma" w:hAnsi="Tahoma" w:cs="Tahoma"/>
          <w:spacing w:val="8"/>
          <w:sz w:val="20"/>
          <w:szCs w:val="20"/>
        </w:rPr>
        <w:t xml:space="preserve"> </w:t>
      </w:r>
      <w:r w:rsidR="008518B0" w:rsidRPr="00B004EE">
        <w:rPr>
          <w:rFonts w:ascii="Tahoma" w:hAnsi="Tahoma" w:cs="Tahoma"/>
          <w:spacing w:val="6"/>
          <w:sz w:val="20"/>
          <w:szCs w:val="20"/>
        </w:rPr>
        <w:t>sont</w:t>
      </w:r>
      <w:r w:rsidR="00DB1635" w:rsidRPr="00B004EE">
        <w:rPr>
          <w:rFonts w:ascii="Tahoma" w:hAnsi="Tahoma" w:cs="Tahoma"/>
          <w:spacing w:val="6"/>
          <w:sz w:val="20"/>
          <w:szCs w:val="20"/>
        </w:rPr>
        <w:t xml:space="preserve"> </w:t>
      </w:r>
      <w:r w:rsidR="008518B0" w:rsidRPr="00B004EE">
        <w:rPr>
          <w:rFonts w:ascii="Tahoma" w:hAnsi="Tahoma" w:cs="Tahoma"/>
          <w:spacing w:val="6"/>
          <w:sz w:val="20"/>
          <w:szCs w:val="20"/>
        </w:rPr>
        <w:t>régis</w:t>
      </w:r>
      <w:r w:rsidR="00DB1635" w:rsidRPr="00B004EE">
        <w:rPr>
          <w:rFonts w:ascii="Tahoma" w:hAnsi="Tahoma" w:cs="Tahoma"/>
          <w:spacing w:val="6"/>
          <w:sz w:val="20"/>
          <w:szCs w:val="20"/>
        </w:rPr>
        <w:t xml:space="preserve"> </w:t>
      </w:r>
      <w:r w:rsidR="008518B0" w:rsidRPr="00B004EE">
        <w:rPr>
          <w:rFonts w:ascii="Tahoma" w:hAnsi="Tahoma" w:cs="Tahoma"/>
          <w:spacing w:val="5"/>
          <w:sz w:val="20"/>
          <w:szCs w:val="20"/>
        </w:rPr>
        <w:t>par</w:t>
      </w:r>
      <w:r w:rsidR="00DB1635" w:rsidRPr="00B004EE">
        <w:rPr>
          <w:rFonts w:ascii="Tahoma" w:hAnsi="Tahoma" w:cs="Tahoma"/>
          <w:spacing w:val="5"/>
          <w:sz w:val="20"/>
          <w:szCs w:val="20"/>
        </w:rPr>
        <w:t xml:space="preserve"> </w:t>
      </w:r>
      <w:r w:rsidR="008518B0" w:rsidRPr="00B004EE">
        <w:rPr>
          <w:rFonts w:ascii="Tahoma" w:hAnsi="Tahoma" w:cs="Tahoma"/>
          <w:spacing w:val="6"/>
          <w:sz w:val="20"/>
          <w:szCs w:val="20"/>
        </w:rPr>
        <w:t>les</w:t>
      </w:r>
      <w:r w:rsidR="00DB1635" w:rsidRPr="00B004EE">
        <w:rPr>
          <w:rFonts w:ascii="Tahoma" w:hAnsi="Tahoma" w:cs="Tahoma"/>
          <w:spacing w:val="6"/>
          <w:sz w:val="20"/>
          <w:szCs w:val="20"/>
        </w:rPr>
        <w:t xml:space="preserve"> </w:t>
      </w:r>
      <w:r w:rsidR="008518B0" w:rsidRPr="00B004EE">
        <w:rPr>
          <w:rFonts w:ascii="Tahoma" w:hAnsi="Tahoma" w:cs="Tahoma"/>
          <w:spacing w:val="5"/>
          <w:sz w:val="20"/>
          <w:szCs w:val="20"/>
        </w:rPr>
        <w:t>dispositions</w:t>
      </w:r>
      <w:r w:rsidR="00DB1635" w:rsidRPr="00B004EE">
        <w:rPr>
          <w:rFonts w:ascii="Tahoma" w:hAnsi="Tahoma" w:cs="Tahoma"/>
          <w:spacing w:val="5"/>
          <w:sz w:val="20"/>
          <w:szCs w:val="20"/>
        </w:rPr>
        <w:t xml:space="preserve"> </w:t>
      </w:r>
      <w:r w:rsidR="008518B0" w:rsidRPr="00B004EE">
        <w:rPr>
          <w:rFonts w:ascii="Tahoma" w:hAnsi="Tahoma" w:cs="Tahoma"/>
          <w:spacing w:val="3"/>
          <w:sz w:val="20"/>
          <w:szCs w:val="20"/>
        </w:rPr>
        <w:t>du</w:t>
      </w:r>
      <w:r w:rsidR="00DB1635" w:rsidRPr="00B004EE">
        <w:rPr>
          <w:rFonts w:ascii="Tahoma" w:hAnsi="Tahoma" w:cs="Tahoma"/>
          <w:spacing w:val="3"/>
          <w:sz w:val="20"/>
          <w:szCs w:val="20"/>
        </w:rPr>
        <w:t xml:space="preserve"> </w:t>
      </w:r>
      <w:r w:rsidR="008518B0" w:rsidRPr="00B004EE">
        <w:rPr>
          <w:rFonts w:ascii="Tahoma" w:hAnsi="Tahoma" w:cs="Tahoma"/>
          <w:spacing w:val="5"/>
          <w:sz w:val="20"/>
          <w:szCs w:val="20"/>
        </w:rPr>
        <w:t>décret</w:t>
      </w:r>
      <w:r w:rsidR="00DB1635" w:rsidRPr="00B004EE">
        <w:rPr>
          <w:rFonts w:ascii="Tahoma" w:hAnsi="Tahoma" w:cs="Tahoma"/>
          <w:spacing w:val="36"/>
          <w:sz w:val="20"/>
          <w:szCs w:val="20"/>
        </w:rPr>
        <w:t xml:space="preserve"> </w:t>
      </w:r>
      <w:r w:rsidR="008518B0" w:rsidRPr="00B004EE">
        <w:rPr>
          <w:rFonts w:ascii="Tahoma" w:hAnsi="Tahoma" w:cs="Tahoma"/>
          <w:spacing w:val="3"/>
          <w:sz w:val="20"/>
          <w:szCs w:val="20"/>
        </w:rPr>
        <w:t>n°</w:t>
      </w:r>
      <w:r w:rsidR="00DB1635" w:rsidRPr="00B004EE">
        <w:rPr>
          <w:rFonts w:ascii="Tahoma" w:hAnsi="Tahoma" w:cs="Tahoma"/>
          <w:w w:val="99"/>
          <w:sz w:val="20"/>
          <w:szCs w:val="20"/>
        </w:rPr>
        <w:t xml:space="preserve"> </w:t>
      </w:r>
      <w:r w:rsidR="008518B0" w:rsidRPr="00B004EE">
        <w:rPr>
          <w:rFonts w:ascii="Tahoma" w:hAnsi="Tahoma" w:cs="Tahoma"/>
          <w:spacing w:val="5"/>
          <w:sz w:val="20"/>
          <w:szCs w:val="20"/>
        </w:rPr>
        <w:t>90-118</w:t>
      </w:r>
      <w:r w:rsidR="00DB1635" w:rsidRPr="00B004EE">
        <w:rPr>
          <w:rFonts w:ascii="Tahoma" w:hAnsi="Tahoma" w:cs="Tahoma"/>
          <w:spacing w:val="5"/>
          <w:sz w:val="20"/>
          <w:szCs w:val="20"/>
        </w:rPr>
        <w:t xml:space="preserve"> </w:t>
      </w:r>
      <w:r w:rsidR="008518B0" w:rsidRPr="00B004EE">
        <w:rPr>
          <w:rFonts w:ascii="Tahoma" w:hAnsi="Tahoma" w:cs="Tahoma"/>
          <w:spacing w:val="3"/>
          <w:sz w:val="20"/>
          <w:szCs w:val="20"/>
        </w:rPr>
        <w:t>du</w:t>
      </w:r>
      <w:r w:rsidR="00DB1635" w:rsidRPr="00B004EE">
        <w:rPr>
          <w:rFonts w:ascii="Tahoma" w:hAnsi="Tahoma" w:cs="Tahoma"/>
          <w:spacing w:val="3"/>
          <w:sz w:val="20"/>
          <w:szCs w:val="20"/>
        </w:rPr>
        <w:t xml:space="preserve"> </w:t>
      </w:r>
      <w:r w:rsidR="008518B0" w:rsidRPr="00B004EE">
        <w:rPr>
          <w:rFonts w:ascii="Tahoma" w:hAnsi="Tahoma" w:cs="Tahoma"/>
          <w:spacing w:val="3"/>
          <w:sz w:val="20"/>
          <w:szCs w:val="20"/>
        </w:rPr>
        <w:t>19</w:t>
      </w:r>
      <w:r w:rsidR="00DB1635" w:rsidRPr="00B004EE">
        <w:rPr>
          <w:rFonts w:ascii="Tahoma" w:hAnsi="Tahoma" w:cs="Tahoma"/>
          <w:spacing w:val="3"/>
          <w:sz w:val="20"/>
          <w:szCs w:val="20"/>
        </w:rPr>
        <w:t xml:space="preserve"> </w:t>
      </w:r>
      <w:r w:rsidR="008518B0" w:rsidRPr="00B004EE">
        <w:rPr>
          <w:rFonts w:ascii="Tahoma" w:hAnsi="Tahoma" w:cs="Tahoma"/>
          <w:spacing w:val="9"/>
          <w:sz w:val="20"/>
          <w:szCs w:val="20"/>
        </w:rPr>
        <w:t>août</w:t>
      </w:r>
      <w:r w:rsidR="00DB1635" w:rsidRPr="00B004EE">
        <w:rPr>
          <w:rFonts w:ascii="Tahoma" w:hAnsi="Tahoma" w:cs="Tahoma"/>
          <w:spacing w:val="9"/>
          <w:sz w:val="20"/>
          <w:szCs w:val="20"/>
        </w:rPr>
        <w:t xml:space="preserve"> </w:t>
      </w:r>
      <w:r w:rsidR="008518B0" w:rsidRPr="00B004EE">
        <w:rPr>
          <w:rFonts w:ascii="Tahoma" w:hAnsi="Tahoma" w:cs="Tahoma"/>
          <w:spacing w:val="9"/>
          <w:sz w:val="20"/>
          <w:szCs w:val="20"/>
        </w:rPr>
        <w:t>1990</w:t>
      </w:r>
      <w:r w:rsidR="00DB1635" w:rsidRPr="00B004EE">
        <w:rPr>
          <w:rFonts w:ascii="Tahoma" w:hAnsi="Tahoma" w:cs="Tahoma"/>
          <w:spacing w:val="9"/>
          <w:sz w:val="20"/>
          <w:szCs w:val="20"/>
        </w:rPr>
        <w:t xml:space="preserve"> </w:t>
      </w:r>
      <w:r w:rsidR="008518B0" w:rsidRPr="00B004EE">
        <w:rPr>
          <w:rFonts w:ascii="Tahoma" w:hAnsi="Tahoma" w:cs="Tahoma"/>
          <w:spacing w:val="10"/>
          <w:sz w:val="20"/>
          <w:szCs w:val="20"/>
        </w:rPr>
        <w:t>fixant</w:t>
      </w:r>
      <w:r w:rsidR="00DB1635" w:rsidRPr="00B004EE">
        <w:rPr>
          <w:rFonts w:ascii="Tahoma" w:hAnsi="Tahoma" w:cs="Tahoma"/>
          <w:spacing w:val="10"/>
          <w:sz w:val="20"/>
          <w:szCs w:val="20"/>
        </w:rPr>
        <w:t xml:space="preserve"> </w:t>
      </w:r>
      <w:r w:rsidR="008518B0" w:rsidRPr="00B004EE">
        <w:rPr>
          <w:rFonts w:ascii="Tahoma" w:hAnsi="Tahoma" w:cs="Tahoma"/>
          <w:spacing w:val="7"/>
          <w:sz w:val="20"/>
          <w:szCs w:val="20"/>
        </w:rPr>
        <w:t>la</w:t>
      </w:r>
      <w:r w:rsidR="00DB1635" w:rsidRPr="00B004EE">
        <w:rPr>
          <w:rFonts w:ascii="Tahoma" w:hAnsi="Tahoma" w:cs="Tahoma"/>
          <w:spacing w:val="7"/>
          <w:sz w:val="20"/>
          <w:szCs w:val="20"/>
        </w:rPr>
        <w:t xml:space="preserve"> </w:t>
      </w:r>
      <w:r w:rsidR="008518B0" w:rsidRPr="00B004EE">
        <w:rPr>
          <w:rFonts w:ascii="Tahoma" w:hAnsi="Tahoma" w:cs="Tahoma"/>
          <w:spacing w:val="11"/>
          <w:sz w:val="20"/>
          <w:szCs w:val="20"/>
        </w:rPr>
        <w:t>composition,</w:t>
      </w:r>
      <w:r w:rsidR="00DB1635" w:rsidRPr="00B004EE">
        <w:rPr>
          <w:rFonts w:ascii="Tahoma" w:hAnsi="Tahoma" w:cs="Tahoma"/>
          <w:spacing w:val="11"/>
          <w:sz w:val="20"/>
          <w:szCs w:val="20"/>
        </w:rPr>
        <w:t xml:space="preserve"> </w:t>
      </w:r>
      <w:r w:rsidR="008518B0" w:rsidRPr="00B004EE">
        <w:rPr>
          <w:rFonts w:ascii="Tahoma" w:hAnsi="Tahoma" w:cs="Tahoma"/>
          <w:spacing w:val="4"/>
          <w:sz w:val="20"/>
          <w:szCs w:val="20"/>
        </w:rPr>
        <w:t>l'organisation</w:t>
      </w:r>
      <w:r w:rsidR="00DB1635" w:rsidRPr="00B004EE">
        <w:rPr>
          <w:rFonts w:ascii="Tahoma" w:hAnsi="Tahoma" w:cs="Tahoma"/>
          <w:spacing w:val="4"/>
          <w:sz w:val="20"/>
          <w:szCs w:val="20"/>
        </w:rPr>
        <w:t xml:space="preserve"> </w:t>
      </w:r>
      <w:r w:rsidR="008518B0" w:rsidRPr="00B004EE">
        <w:rPr>
          <w:rFonts w:ascii="Tahoma" w:hAnsi="Tahoma" w:cs="Tahoma"/>
          <w:sz w:val="20"/>
          <w:szCs w:val="20"/>
        </w:rPr>
        <w:t>et</w:t>
      </w:r>
      <w:r w:rsidR="00DB1635" w:rsidRPr="00B004EE">
        <w:rPr>
          <w:rFonts w:ascii="Tahoma" w:hAnsi="Tahoma" w:cs="Tahoma"/>
          <w:sz w:val="20"/>
          <w:szCs w:val="20"/>
        </w:rPr>
        <w:t xml:space="preserve"> </w:t>
      </w:r>
      <w:r w:rsidR="008518B0" w:rsidRPr="00B004EE">
        <w:rPr>
          <w:rFonts w:ascii="Tahoma" w:hAnsi="Tahoma" w:cs="Tahoma"/>
          <w:spacing w:val="2"/>
          <w:sz w:val="20"/>
          <w:szCs w:val="20"/>
        </w:rPr>
        <w:t>le</w:t>
      </w:r>
      <w:r w:rsidR="00DB1635" w:rsidRPr="00B004EE">
        <w:rPr>
          <w:rFonts w:ascii="Tahoma" w:hAnsi="Tahoma" w:cs="Tahoma"/>
          <w:spacing w:val="2"/>
          <w:sz w:val="20"/>
          <w:szCs w:val="20"/>
        </w:rPr>
        <w:t xml:space="preserve"> </w:t>
      </w:r>
      <w:r w:rsidR="008518B0" w:rsidRPr="00B004EE">
        <w:rPr>
          <w:rFonts w:ascii="Tahoma" w:hAnsi="Tahoma" w:cs="Tahoma"/>
          <w:spacing w:val="4"/>
          <w:sz w:val="20"/>
          <w:szCs w:val="20"/>
        </w:rPr>
        <w:t>fonctionnement</w:t>
      </w:r>
      <w:r w:rsidR="00DB1635" w:rsidRPr="00B004EE">
        <w:rPr>
          <w:rFonts w:ascii="Tahoma" w:hAnsi="Tahoma" w:cs="Tahoma"/>
          <w:w w:val="99"/>
          <w:sz w:val="20"/>
          <w:szCs w:val="20"/>
        </w:rPr>
        <w:t xml:space="preserve"> </w:t>
      </w:r>
      <w:r w:rsidR="008518B0" w:rsidRPr="00B004EE">
        <w:rPr>
          <w:rFonts w:ascii="Tahoma" w:hAnsi="Tahoma" w:cs="Tahoma"/>
          <w:spacing w:val="2"/>
          <w:sz w:val="20"/>
          <w:szCs w:val="20"/>
        </w:rPr>
        <w:t>des</w:t>
      </w:r>
      <w:r w:rsidR="00DB1635" w:rsidRPr="00B004EE">
        <w:rPr>
          <w:rFonts w:ascii="Tahoma" w:hAnsi="Tahoma" w:cs="Tahoma"/>
          <w:spacing w:val="2"/>
          <w:sz w:val="20"/>
          <w:szCs w:val="20"/>
        </w:rPr>
        <w:t xml:space="preserve"> </w:t>
      </w:r>
      <w:r w:rsidR="008518B0" w:rsidRPr="00B004EE">
        <w:rPr>
          <w:rFonts w:ascii="Tahoma" w:hAnsi="Tahoma" w:cs="Tahoma"/>
          <w:sz w:val="20"/>
          <w:szCs w:val="20"/>
        </w:rPr>
        <w:t>organes</w:t>
      </w:r>
      <w:r w:rsidR="00DB1635" w:rsidRPr="00B004EE">
        <w:rPr>
          <w:rFonts w:ascii="Tahoma" w:hAnsi="Tahoma" w:cs="Tahoma"/>
          <w:sz w:val="20"/>
          <w:szCs w:val="20"/>
        </w:rPr>
        <w:t xml:space="preserve"> </w:t>
      </w:r>
      <w:r w:rsidR="008518B0" w:rsidRPr="00B004EE">
        <w:rPr>
          <w:rFonts w:ascii="Tahoma" w:hAnsi="Tahoma" w:cs="Tahoma"/>
          <w:sz w:val="20"/>
          <w:szCs w:val="20"/>
        </w:rPr>
        <w:t>délibérants</w:t>
      </w:r>
      <w:r w:rsidR="00DB1635" w:rsidRPr="00B004EE">
        <w:rPr>
          <w:rFonts w:ascii="Tahoma" w:hAnsi="Tahoma" w:cs="Tahoma"/>
          <w:sz w:val="20"/>
          <w:szCs w:val="20"/>
        </w:rPr>
        <w:t xml:space="preserve"> </w:t>
      </w:r>
      <w:r w:rsidR="008518B0" w:rsidRPr="00B004EE">
        <w:rPr>
          <w:rFonts w:ascii="Tahoma" w:hAnsi="Tahoma" w:cs="Tahoma"/>
          <w:sz w:val="20"/>
          <w:szCs w:val="20"/>
        </w:rPr>
        <w:t>des</w:t>
      </w:r>
      <w:r w:rsidR="00DB1635" w:rsidRPr="00B004EE">
        <w:rPr>
          <w:rFonts w:ascii="Tahoma" w:hAnsi="Tahoma" w:cs="Tahoma"/>
          <w:sz w:val="20"/>
          <w:szCs w:val="20"/>
        </w:rPr>
        <w:t xml:space="preserve"> </w:t>
      </w:r>
      <w:r w:rsidR="008518B0" w:rsidRPr="00B004EE">
        <w:rPr>
          <w:rFonts w:ascii="Tahoma" w:hAnsi="Tahoma" w:cs="Tahoma"/>
          <w:sz w:val="20"/>
          <w:szCs w:val="20"/>
        </w:rPr>
        <w:t>établissements</w:t>
      </w:r>
      <w:r w:rsidR="00DB1635" w:rsidRPr="00B004EE">
        <w:rPr>
          <w:rFonts w:ascii="Tahoma" w:hAnsi="Tahoma" w:cs="Tahoma"/>
          <w:sz w:val="20"/>
          <w:szCs w:val="20"/>
        </w:rPr>
        <w:t xml:space="preserve"> </w:t>
      </w:r>
      <w:r w:rsidR="008518B0" w:rsidRPr="00B004EE">
        <w:rPr>
          <w:rFonts w:ascii="Tahoma" w:hAnsi="Tahoma" w:cs="Tahoma"/>
          <w:spacing w:val="-3"/>
          <w:sz w:val="20"/>
          <w:szCs w:val="20"/>
        </w:rPr>
        <w:t>publics.</w:t>
      </w:r>
    </w:p>
    <w:p w14:paraId="395979D6" w14:textId="77777777" w:rsidR="008518B0" w:rsidRPr="00B004EE" w:rsidRDefault="008518B0" w:rsidP="00B004EE">
      <w:pPr>
        <w:rPr>
          <w:rFonts w:ascii="Tahoma" w:hAnsi="Tahoma" w:cs="Tahoma"/>
          <w:bCs/>
          <w:iCs/>
          <w:sz w:val="20"/>
          <w:szCs w:val="20"/>
        </w:rPr>
      </w:pPr>
    </w:p>
    <w:p w14:paraId="38A3EBF9" w14:textId="62E56F9D" w:rsidR="008518B0" w:rsidRPr="00B004EE" w:rsidRDefault="00FF661D" w:rsidP="00B004EE">
      <w:pPr>
        <w:pStyle w:val="Corpsdetexte"/>
        <w:ind w:left="155" w:right="157"/>
        <w:rPr>
          <w:rFonts w:ascii="Tahoma" w:hAnsi="Tahoma" w:cs="Tahoma"/>
          <w:sz w:val="20"/>
          <w:szCs w:val="20"/>
        </w:rPr>
      </w:pPr>
      <w:r w:rsidRPr="00B004EE">
        <w:rPr>
          <w:rFonts w:ascii="Tahoma" w:hAnsi="Tahoma" w:cs="Tahoma"/>
          <w:bCs/>
          <w:iCs/>
          <w:sz w:val="20"/>
          <w:szCs w:val="20"/>
        </w:rPr>
        <w:t xml:space="preserve">Article </w:t>
      </w:r>
      <w:r w:rsidR="008518B0" w:rsidRPr="00B004EE">
        <w:rPr>
          <w:rFonts w:ascii="Tahoma" w:hAnsi="Tahoma" w:cs="Tahoma"/>
          <w:bCs/>
          <w:iCs/>
          <w:sz w:val="20"/>
          <w:szCs w:val="20"/>
        </w:rPr>
        <w:t>14</w:t>
      </w:r>
      <w:r w:rsidR="00DB1635" w:rsidRPr="00B004EE">
        <w:rPr>
          <w:rFonts w:ascii="Tahoma" w:hAnsi="Tahoma" w:cs="Tahoma"/>
          <w:b/>
          <w:i/>
          <w:spacing w:val="17"/>
          <w:sz w:val="20"/>
          <w:szCs w:val="20"/>
        </w:rPr>
        <w:t xml:space="preserve"> </w:t>
      </w:r>
      <w:r w:rsidR="008518B0" w:rsidRPr="00B004EE">
        <w:rPr>
          <w:rFonts w:ascii="Tahoma" w:hAnsi="Tahoma" w:cs="Tahoma"/>
          <w:sz w:val="20"/>
          <w:szCs w:val="20"/>
        </w:rPr>
        <w:t>L'organe</w:t>
      </w:r>
      <w:r w:rsidR="00DB1635" w:rsidRPr="00B004EE">
        <w:rPr>
          <w:rFonts w:ascii="Tahoma" w:hAnsi="Tahoma" w:cs="Tahoma"/>
          <w:spacing w:val="16"/>
          <w:sz w:val="20"/>
          <w:szCs w:val="20"/>
        </w:rPr>
        <w:t xml:space="preserve"> </w:t>
      </w:r>
      <w:r w:rsidR="008518B0" w:rsidRPr="00B004EE">
        <w:rPr>
          <w:rFonts w:ascii="Tahoma" w:hAnsi="Tahoma" w:cs="Tahoma"/>
          <w:sz w:val="20"/>
          <w:szCs w:val="20"/>
        </w:rPr>
        <w:t>exécutif</w:t>
      </w:r>
      <w:r w:rsidR="00DB1635" w:rsidRPr="00B004EE">
        <w:rPr>
          <w:rFonts w:ascii="Tahoma" w:hAnsi="Tahoma" w:cs="Tahoma"/>
          <w:spacing w:val="17"/>
          <w:sz w:val="20"/>
          <w:szCs w:val="20"/>
        </w:rPr>
        <w:t xml:space="preserve"> </w:t>
      </w:r>
      <w:r w:rsidR="008518B0" w:rsidRPr="00B004EE">
        <w:rPr>
          <w:rFonts w:ascii="Tahoma" w:hAnsi="Tahoma" w:cs="Tahoma"/>
          <w:sz w:val="20"/>
          <w:szCs w:val="20"/>
        </w:rPr>
        <w:t>de</w:t>
      </w:r>
      <w:r w:rsidR="00DB1635" w:rsidRPr="00B004EE">
        <w:rPr>
          <w:rFonts w:ascii="Tahoma" w:hAnsi="Tahoma" w:cs="Tahoma"/>
          <w:spacing w:val="14"/>
          <w:sz w:val="20"/>
          <w:szCs w:val="20"/>
        </w:rPr>
        <w:t xml:space="preserve"> </w:t>
      </w:r>
      <w:r w:rsidR="008518B0" w:rsidRPr="00B004EE">
        <w:rPr>
          <w:rFonts w:ascii="Tahoma" w:hAnsi="Tahoma" w:cs="Tahoma"/>
          <w:sz w:val="20"/>
          <w:szCs w:val="20"/>
        </w:rPr>
        <w:t>l'Office</w:t>
      </w:r>
      <w:r w:rsidR="00DB1635" w:rsidRPr="00B004EE">
        <w:rPr>
          <w:rFonts w:ascii="Tahoma" w:hAnsi="Tahoma" w:cs="Tahoma"/>
          <w:spacing w:val="14"/>
          <w:sz w:val="20"/>
          <w:szCs w:val="20"/>
        </w:rPr>
        <w:t xml:space="preserve"> </w:t>
      </w:r>
      <w:r w:rsidR="008518B0" w:rsidRPr="00B004EE">
        <w:rPr>
          <w:rFonts w:ascii="Tahoma" w:hAnsi="Tahoma" w:cs="Tahoma"/>
          <w:spacing w:val="2"/>
          <w:sz w:val="20"/>
          <w:szCs w:val="20"/>
        </w:rPr>
        <w:t>National</w:t>
      </w:r>
      <w:r w:rsidR="00DB1635" w:rsidRPr="00B004EE">
        <w:rPr>
          <w:rFonts w:ascii="Tahoma" w:hAnsi="Tahoma" w:cs="Tahoma"/>
          <w:spacing w:val="21"/>
          <w:sz w:val="20"/>
          <w:szCs w:val="20"/>
        </w:rPr>
        <w:t xml:space="preserve"> </w:t>
      </w:r>
      <w:r w:rsidR="008518B0" w:rsidRPr="00B004EE">
        <w:rPr>
          <w:rFonts w:ascii="Tahoma" w:hAnsi="Tahoma" w:cs="Tahoma"/>
          <w:spacing w:val="2"/>
          <w:sz w:val="20"/>
          <w:szCs w:val="20"/>
        </w:rPr>
        <w:t>d'Inspection</w:t>
      </w:r>
      <w:r w:rsidR="00DB1635" w:rsidRPr="00B004EE">
        <w:rPr>
          <w:rFonts w:ascii="Tahoma" w:hAnsi="Tahoma" w:cs="Tahoma"/>
          <w:spacing w:val="21"/>
          <w:sz w:val="20"/>
          <w:szCs w:val="20"/>
        </w:rPr>
        <w:t xml:space="preserve"> </w:t>
      </w:r>
      <w:r w:rsidR="008518B0" w:rsidRPr="00B004EE">
        <w:rPr>
          <w:rFonts w:ascii="Tahoma" w:hAnsi="Tahoma" w:cs="Tahoma"/>
          <w:sz w:val="20"/>
          <w:szCs w:val="20"/>
        </w:rPr>
        <w:t>des</w:t>
      </w:r>
      <w:r w:rsidR="00DB1635" w:rsidRPr="00B004EE">
        <w:rPr>
          <w:rFonts w:ascii="Tahoma" w:hAnsi="Tahoma" w:cs="Tahoma"/>
          <w:spacing w:val="21"/>
          <w:sz w:val="20"/>
          <w:szCs w:val="20"/>
        </w:rPr>
        <w:t xml:space="preserve"> </w:t>
      </w:r>
      <w:r w:rsidR="008518B0" w:rsidRPr="00B004EE">
        <w:rPr>
          <w:rFonts w:ascii="Tahoma" w:hAnsi="Tahoma" w:cs="Tahoma"/>
          <w:spacing w:val="2"/>
          <w:sz w:val="20"/>
          <w:szCs w:val="20"/>
        </w:rPr>
        <w:t>Produits</w:t>
      </w:r>
      <w:r w:rsidR="00DB1635" w:rsidRPr="00B004EE">
        <w:rPr>
          <w:rFonts w:ascii="Tahoma" w:hAnsi="Tahoma" w:cs="Tahoma"/>
          <w:spacing w:val="21"/>
          <w:sz w:val="20"/>
          <w:szCs w:val="20"/>
        </w:rPr>
        <w:t xml:space="preserve"> </w:t>
      </w:r>
      <w:r w:rsidR="008518B0" w:rsidRPr="00B004EE">
        <w:rPr>
          <w:rFonts w:ascii="Tahoma" w:hAnsi="Tahoma" w:cs="Tahoma"/>
          <w:sz w:val="20"/>
          <w:szCs w:val="20"/>
        </w:rPr>
        <w:t>de</w:t>
      </w:r>
      <w:r w:rsidR="00DB1635" w:rsidRPr="00B004EE">
        <w:rPr>
          <w:rFonts w:ascii="Tahoma" w:hAnsi="Tahoma" w:cs="Tahoma"/>
          <w:spacing w:val="20"/>
          <w:sz w:val="20"/>
          <w:szCs w:val="20"/>
        </w:rPr>
        <w:t xml:space="preserve"> </w:t>
      </w:r>
      <w:r w:rsidR="008518B0" w:rsidRPr="00B004EE">
        <w:rPr>
          <w:rFonts w:ascii="Tahoma" w:hAnsi="Tahoma" w:cs="Tahoma"/>
          <w:sz w:val="20"/>
          <w:szCs w:val="20"/>
        </w:rPr>
        <w:t>la</w:t>
      </w:r>
      <w:r w:rsidR="00DB1635" w:rsidRPr="00B004EE">
        <w:rPr>
          <w:rFonts w:ascii="Tahoma" w:hAnsi="Tahoma" w:cs="Tahoma"/>
          <w:spacing w:val="20"/>
          <w:sz w:val="20"/>
          <w:szCs w:val="20"/>
        </w:rPr>
        <w:t xml:space="preserve"> </w:t>
      </w:r>
      <w:r w:rsidR="008518B0" w:rsidRPr="00B004EE">
        <w:rPr>
          <w:rFonts w:ascii="Tahoma" w:hAnsi="Tahoma" w:cs="Tahoma"/>
          <w:sz w:val="20"/>
          <w:szCs w:val="20"/>
        </w:rPr>
        <w:t>Pêche</w:t>
      </w:r>
      <w:r w:rsidR="00DB1635" w:rsidRPr="00B004EE">
        <w:rPr>
          <w:rFonts w:ascii="Tahoma" w:hAnsi="Tahoma" w:cs="Tahoma"/>
          <w:spacing w:val="14"/>
          <w:sz w:val="20"/>
          <w:szCs w:val="20"/>
        </w:rPr>
        <w:t xml:space="preserve"> </w:t>
      </w:r>
      <w:r w:rsidR="008518B0" w:rsidRPr="00B004EE">
        <w:rPr>
          <w:rFonts w:ascii="Tahoma" w:hAnsi="Tahoma" w:cs="Tahoma"/>
          <w:sz w:val="20"/>
          <w:szCs w:val="20"/>
        </w:rPr>
        <w:t>et</w:t>
      </w:r>
      <w:r w:rsidR="00DB1635" w:rsidRPr="00B004EE">
        <w:rPr>
          <w:rFonts w:ascii="Tahoma" w:hAnsi="Tahoma" w:cs="Tahoma"/>
          <w:w w:val="99"/>
          <w:sz w:val="20"/>
          <w:szCs w:val="20"/>
        </w:rPr>
        <w:t xml:space="preserve"> </w:t>
      </w:r>
      <w:r w:rsidR="008518B0" w:rsidRPr="00B004EE">
        <w:rPr>
          <w:rFonts w:ascii="Tahoma" w:hAnsi="Tahoma" w:cs="Tahoma"/>
          <w:sz w:val="20"/>
          <w:szCs w:val="20"/>
        </w:rPr>
        <w:t>de</w:t>
      </w:r>
      <w:r w:rsidR="00DB1635" w:rsidRPr="00B004EE">
        <w:rPr>
          <w:rFonts w:ascii="Tahoma" w:hAnsi="Tahoma" w:cs="Tahoma"/>
          <w:spacing w:val="37"/>
          <w:sz w:val="20"/>
          <w:szCs w:val="20"/>
        </w:rPr>
        <w:t xml:space="preserve"> </w:t>
      </w:r>
      <w:r w:rsidR="008518B0" w:rsidRPr="00B004EE">
        <w:rPr>
          <w:rFonts w:ascii="Tahoma" w:hAnsi="Tahoma" w:cs="Tahoma"/>
          <w:sz w:val="20"/>
          <w:szCs w:val="20"/>
        </w:rPr>
        <w:t>l'Aquaculture,</w:t>
      </w:r>
      <w:r w:rsidR="00DB1635" w:rsidRPr="00B004EE">
        <w:rPr>
          <w:rFonts w:ascii="Tahoma" w:hAnsi="Tahoma" w:cs="Tahoma"/>
          <w:spacing w:val="41"/>
          <w:sz w:val="20"/>
          <w:szCs w:val="20"/>
        </w:rPr>
        <w:t xml:space="preserve"> </w:t>
      </w:r>
      <w:r w:rsidR="008518B0" w:rsidRPr="00B004EE">
        <w:rPr>
          <w:rFonts w:ascii="Tahoma" w:hAnsi="Tahoma" w:cs="Tahoma"/>
          <w:sz w:val="20"/>
          <w:szCs w:val="20"/>
        </w:rPr>
        <w:t>comprend</w:t>
      </w:r>
      <w:r w:rsidR="00DB1635" w:rsidRPr="00B004EE">
        <w:rPr>
          <w:rFonts w:ascii="Tahoma" w:hAnsi="Tahoma" w:cs="Tahoma"/>
          <w:spacing w:val="38"/>
          <w:sz w:val="20"/>
          <w:szCs w:val="20"/>
        </w:rPr>
        <w:t xml:space="preserve"> </w:t>
      </w:r>
      <w:r w:rsidR="008518B0" w:rsidRPr="00B004EE">
        <w:rPr>
          <w:rFonts w:ascii="Tahoma" w:hAnsi="Tahoma" w:cs="Tahoma"/>
          <w:sz w:val="20"/>
          <w:szCs w:val="20"/>
        </w:rPr>
        <w:t>un</w:t>
      </w:r>
      <w:r w:rsidR="00DB1635" w:rsidRPr="00B004EE">
        <w:rPr>
          <w:rFonts w:ascii="Tahoma" w:hAnsi="Tahoma" w:cs="Tahoma"/>
          <w:spacing w:val="38"/>
          <w:sz w:val="20"/>
          <w:szCs w:val="20"/>
        </w:rPr>
        <w:t xml:space="preserve"> </w:t>
      </w:r>
      <w:r w:rsidR="008518B0" w:rsidRPr="00B004EE">
        <w:rPr>
          <w:rFonts w:ascii="Tahoma" w:hAnsi="Tahoma" w:cs="Tahoma"/>
          <w:sz w:val="20"/>
          <w:szCs w:val="20"/>
        </w:rPr>
        <w:t>Directeur,</w:t>
      </w:r>
      <w:r w:rsidR="00DB1635" w:rsidRPr="00B004EE">
        <w:rPr>
          <w:rFonts w:ascii="Tahoma" w:hAnsi="Tahoma" w:cs="Tahoma"/>
          <w:spacing w:val="38"/>
          <w:sz w:val="20"/>
          <w:szCs w:val="20"/>
        </w:rPr>
        <w:t xml:space="preserve"> </w:t>
      </w:r>
      <w:r w:rsidR="008518B0" w:rsidRPr="00B004EE">
        <w:rPr>
          <w:rFonts w:ascii="Tahoma" w:hAnsi="Tahoma" w:cs="Tahoma"/>
          <w:sz w:val="20"/>
          <w:szCs w:val="20"/>
        </w:rPr>
        <w:t>assisté</w:t>
      </w:r>
      <w:r w:rsidR="00DB1635" w:rsidRPr="00B004EE">
        <w:rPr>
          <w:rFonts w:ascii="Tahoma" w:hAnsi="Tahoma" w:cs="Tahoma"/>
          <w:spacing w:val="37"/>
          <w:sz w:val="20"/>
          <w:szCs w:val="20"/>
        </w:rPr>
        <w:t xml:space="preserve"> </w:t>
      </w:r>
      <w:r w:rsidR="008518B0" w:rsidRPr="00B004EE">
        <w:rPr>
          <w:rFonts w:ascii="Tahoma" w:hAnsi="Tahoma" w:cs="Tahoma"/>
          <w:sz w:val="20"/>
          <w:szCs w:val="20"/>
        </w:rPr>
        <w:t>d'un</w:t>
      </w:r>
      <w:r w:rsidR="00DB1635" w:rsidRPr="00B004EE">
        <w:rPr>
          <w:rFonts w:ascii="Tahoma" w:hAnsi="Tahoma" w:cs="Tahoma"/>
          <w:spacing w:val="38"/>
          <w:sz w:val="20"/>
          <w:szCs w:val="20"/>
        </w:rPr>
        <w:t xml:space="preserve"> </w:t>
      </w:r>
      <w:r w:rsidR="008518B0" w:rsidRPr="00B004EE">
        <w:rPr>
          <w:rFonts w:ascii="Tahoma" w:hAnsi="Tahoma" w:cs="Tahoma"/>
          <w:sz w:val="20"/>
          <w:szCs w:val="20"/>
        </w:rPr>
        <w:t>Directeur</w:t>
      </w:r>
      <w:r w:rsidR="00DB1635" w:rsidRPr="00B004EE">
        <w:rPr>
          <w:rFonts w:ascii="Tahoma" w:hAnsi="Tahoma" w:cs="Tahoma"/>
          <w:spacing w:val="38"/>
          <w:sz w:val="20"/>
          <w:szCs w:val="20"/>
        </w:rPr>
        <w:t xml:space="preserve"> </w:t>
      </w:r>
      <w:r w:rsidR="008518B0" w:rsidRPr="00B004EE">
        <w:rPr>
          <w:rFonts w:ascii="Tahoma" w:hAnsi="Tahoma" w:cs="Tahoma"/>
          <w:sz w:val="20"/>
          <w:szCs w:val="20"/>
        </w:rPr>
        <w:t>Adjoint.</w:t>
      </w:r>
      <w:r w:rsidR="00DB1635" w:rsidRPr="00B004EE">
        <w:rPr>
          <w:rFonts w:ascii="Tahoma" w:hAnsi="Tahoma" w:cs="Tahoma"/>
          <w:spacing w:val="41"/>
          <w:sz w:val="20"/>
          <w:szCs w:val="20"/>
        </w:rPr>
        <w:t xml:space="preserve"> </w:t>
      </w:r>
      <w:r w:rsidR="008518B0" w:rsidRPr="00B004EE">
        <w:rPr>
          <w:rFonts w:ascii="Tahoma" w:hAnsi="Tahoma" w:cs="Tahoma"/>
          <w:sz w:val="20"/>
          <w:szCs w:val="20"/>
        </w:rPr>
        <w:t>Le</w:t>
      </w:r>
      <w:r w:rsidR="00DB1635" w:rsidRPr="00B004EE">
        <w:rPr>
          <w:rFonts w:ascii="Tahoma" w:hAnsi="Tahoma" w:cs="Tahoma"/>
          <w:spacing w:val="37"/>
          <w:sz w:val="20"/>
          <w:szCs w:val="20"/>
        </w:rPr>
        <w:t xml:space="preserve"> </w:t>
      </w:r>
      <w:r w:rsidR="008518B0" w:rsidRPr="00B004EE">
        <w:rPr>
          <w:rFonts w:ascii="Tahoma" w:hAnsi="Tahoma" w:cs="Tahoma"/>
          <w:sz w:val="20"/>
          <w:szCs w:val="20"/>
        </w:rPr>
        <w:t>Directeur</w:t>
      </w:r>
      <w:r w:rsidR="00DB1635" w:rsidRPr="00B004EE">
        <w:rPr>
          <w:rFonts w:ascii="Tahoma" w:hAnsi="Tahoma" w:cs="Tahoma"/>
          <w:spacing w:val="38"/>
          <w:sz w:val="20"/>
          <w:szCs w:val="20"/>
        </w:rPr>
        <w:t xml:space="preserve"> </w:t>
      </w:r>
      <w:r w:rsidR="008518B0" w:rsidRPr="00B004EE">
        <w:rPr>
          <w:rFonts w:ascii="Tahoma" w:hAnsi="Tahoma" w:cs="Tahoma"/>
          <w:sz w:val="20"/>
          <w:szCs w:val="20"/>
        </w:rPr>
        <w:t>et</w:t>
      </w:r>
      <w:r w:rsidR="00DB1635" w:rsidRPr="00B004EE">
        <w:rPr>
          <w:rFonts w:ascii="Tahoma" w:hAnsi="Tahoma" w:cs="Tahoma"/>
          <w:spacing w:val="41"/>
          <w:sz w:val="20"/>
          <w:szCs w:val="20"/>
        </w:rPr>
        <w:t xml:space="preserve"> </w:t>
      </w:r>
      <w:r w:rsidR="008518B0" w:rsidRPr="00B004EE">
        <w:rPr>
          <w:rFonts w:ascii="Tahoma" w:hAnsi="Tahoma" w:cs="Tahoma"/>
          <w:sz w:val="20"/>
          <w:szCs w:val="20"/>
        </w:rPr>
        <w:t>le</w:t>
      </w:r>
      <w:r w:rsidR="00DB1635" w:rsidRPr="00B004EE">
        <w:rPr>
          <w:rFonts w:ascii="Tahoma" w:hAnsi="Tahoma" w:cs="Tahoma"/>
          <w:w w:val="99"/>
          <w:sz w:val="20"/>
          <w:szCs w:val="20"/>
        </w:rPr>
        <w:t xml:space="preserve"> </w:t>
      </w:r>
      <w:r w:rsidR="008518B0" w:rsidRPr="00B004EE">
        <w:rPr>
          <w:rFonts w:ascii="Tahoma" w:hAnsi="Tahoma" w:cs="Tahoma"/>
          <w:sz w:val="20"/>
          <w:szCs w:val="20"/>
        </w:rPr>
        <w:t>Directeur</w:t>
      </w:r>
      <w:r w:rsidR="00DB1635" w:rsidRPr="00B004EE">
        <w:rPr>
          <w:rFonts w:ascii="Tahoma" w:hAnsi="Tahoma" w:cs="Tahoma"/>
          <w:spacing w:val="19"/>
          <w:sz w:val="20"/>
          <w:szCs w:val="20"/>
        </w:rPr>
        <w:t xml:space="preserve"> </w:t>
      </w:r>
      <w:r w:rsidR="008518B0" w:rsidRPr="00B004EE">
        <w:rPr>
          <w:rFonts w:ascii="Tahoma" w:hAnsi="Tahoma" w:cs="Tahoma"/>
          <w:sz w:val="20"/>
          <w:szCs w:val="20"/>
        </w:rPr>
        <w:t>Adjoint</w:t>
      </w:r>
      <w:r w:rsidR="00DB1635" w:rsidRPr="00B004EE">
        <w:rPr>
          <w:rFonts w:ascii="Tahoma" w:hAnsi="Tahoma" w:cs="Tahoma"/>
          <w:spacing w:val="21"/>
          <w:sz w:val="20"/>
          <w:szCs w:val="20"/>
        </w:rPr>
        <w:t xml:space="preserve"> </w:t>
      </w:r>
      <w:r w:rsidR="008518B0" w:rsidRPr="00B004EE">
        <w:rPr>
          <w:rFonts w:ascii="Tahoma" w:hAnsi="Tahoma" w:cs="Tahoma"/>
          <w:sz w:val="20"/>
          <w:szCs w:val="20"/>
        </w:rPr>
        <w:t>sont</w:t>
      </w:r>
      <w:r w:rsidR="00DB1635" w:rsidRPr="00B004EE">
        <w:rPr>
          <w:rFonts w:ascii="Tahoma" w:hAnsi="Tahoma" w:cs="Tahoma"/>
          <w:spacing w:val="21"/>
          <w:sz w:val="20"/>
          <w:szCs w:val="20"/>
        </w:rPr>
        <w:t xml:space="preserve"> </w:t>
      </w:r>
      <w:r w:rsidR="008518B0" w:rsidRPr="00B004EE">
        <w:rPr>
          <w:rFonts w:ascii="Tahoma" w:hAnsi="Tahoma" w:cs="Tahoma"/>
          <w:sz w:val="20"/>
          <w:szCs w:val="20"/>
        </w:rPr>
        <w:t>nommés</w:t>
      </w:r>
      <w:r w:rsidR="00DB1635" w:rsidRPr="00B004EE">
        <w:rPr>
          <w:rFonts w:ascii="Tahoma" w:hAnsi="Tahoma" w:cs="Tahoma"/>
          <w:spacing w:val="20"/>
          <w:sz w:val="20"/>
          <w:szCs w:val="20"/>
        </w:rPr>
        <w:t xml:space="preserve"> </w:t>
      </w:r>
      <w:r w:rsidR="008518B0" w:rsidRPr="00B004EE">
        <w:rPr>
          <w:rFonts w:ascii="Tahoma" w:hAnsi="Tahoma" w:cs="Tahoma"/>
          <w:sz w:val="20"/>
          <w:szCs w:val="20"/>
        </w:rPr>
        <w:t>par</w:t>
      </w:r>
      <w:r w:rsidR="00DB1635" w:rsidRPr="00B004EE">
        <w:rPr>
          <w:rFonts w:ascii="Tahoma" w:hAnsi="Tahoma" w:cs="Tahoma"/>
          <w:spacing w:val="19"/>
          <w:sz w:val="20"/>
          <w:szCs w:val="20"/>
        </w:rPr>
        <w:t xml:space="preserve"> </w:t>
      </w:r>
      <w:r w:rsidR="008518B0" w:rsidRPr="00B004EE">
        <w:rPr>
          <w:rFonts w:ascii="Tahoma" w:hAnsi="Tahoma" w:cs="Tahoma"/>
          <w:sz w:val="20"/>
          <w:szCs w:val="20"/>
        </w:rPr>
        <w:t>décret</w:t>
      </w:r>
      <w:r w:rsidR="00DB1635" w:rsidRPr="00B004EE">
        <w:rPr>
          <w:rFonts w:ascii="Tahoma" w:hAnsi="Tahoma" w:cs="Tahoma"/>
          <w:spacing w:val="21"/>
          <w:sz w:val="20"/>
          <w:szCs w:val="20"/>
        </w:rPr>
        <w:t xml:space="preserve"> </w:t>
      </w:r>
      <w:r w:rsidR="008518B0" w:rsidRPr="00B004EE">
        <w:rPr>
          <w:rFonts w:ascii="Tahoma" w:hAnsi="Tahoma" w:cs="Tahoma"/>
          <w:sz w:val="20"/>
          <w:szCs w:val="20"/>
        </w:rPr>
        <w:t>pris</w:t>
      </w:r>
      <w:r w:rsidR="00DB1635" w:rsidRPr="00B004EE">
        <w:rPr>
          <w:rFonts w:ascii="Tahoma" w:hAnsi="Tahoma" w:cs="Tahoma"/>
          <w:spacing w:val="20"/>
          <w:sz w:val="20"/>
          <w:szCs w:val="20"/>
        </w:rPr>
        <w:t xml:space="preserve"> </w:t>
      </w:r>
      <w:r w:rsidR="008518B0" w:rsidRPr="00B004EE">
        <w:rPr>
          <w:rFonts w:ascii="Tahoma" w:hAnsi="Tahoma" w:cs="Tahoma"/>
          <w:sz w:val="20"/>
          <w:szCs w:val="20"/>
        </w:rPr>
        <w:t>en</w:t>
      </w:r>
      <w:r w:rsidR="00DB1635" w:rsidRPr="00B004EE">
        <w:rPr>
          <w:rFonts w:ascii="Tahoma" w:hAnsi="Tahoma" w:cs="Tahoma"/>
          <w:spacing w:val="20"/>
          <w:sz w:val="20"/>
          <w:szCs w:val="20"/>
        </w:rPr>
        <w:t xml:space="preserve"> </w:t>
      </w:r>
      <w:r w:rsidR="008518B0" w:rsidRPr="00B004EE">
        <w:rPr>
          <w:rFonts w:ascii="Tahoma" w:hAnsi="Tahoma" w:cs="Tahoma"/>
          <w:sz w:val="20"/>
          <w:szCs w:val="20"/>
        </w:rPr>
        <w:t>Conseil</w:t>
      </w:r>
      <w:r w:rsidR="00DB1635" w:rsidRPr="00B004EE">
        <w:rPr>
          <w:rFonts w:ascii="Tahoma" w:hAnsi="Tahoma" w:cs="Tahoma"/>
          <w:spacing w:val="21"/>
          <w:sz w:val="20"/>
          <w:szCs w:val="20"/>
        </w:rPr>
        <w:t xml:space="preserve"> </w:t>
      </w:r>
      <w:r w:rsidR="008518B0" w:rsidRPr="00B004EE">
        <w:rPr>
          <w:rFonts w:ascii="Tahoma" w:hAnsi="Tahoma" w:cs="Tahoma"/>
          <w:sz w:val="20"/>
          <w:szCs w:val="20"/>
        </w:rPr>
        <w:t>des</w:t>
      </w:r>
      <w:r w:rsidR="00DB1635" w:rsidRPr="00B004EE">
        <w:rPr>
          <w:rFonts w:ascii="Tahoma" w:hAnsi="Tahoma" w:cs="Tahoma"/>
          <w:spacing w:val="18"/>
          <w:sz w:val="20"/>
          <w:szCs w:val="20"/>
        </w:rPr>
        <w:t xml:space="preserve"> </w:t>
      </w:r>
      <w:r w:rsidR="008518B0" w:rsidRPr="00B004EE">
        <w:rPr>
          <w:rFonts w:ascii="Tahoma" w:hAnsi="Tahoma" w:cs="Tahoma"/>
          <w:spacing w:val="5"/>
          <w:sz w:val="20"/>
          <w:szCs w:val="20"/>
        </w:rPr>
        <w:t>Ministres,</w:t>
      </w:r>
      <w:r w:rsidR="00DB1635" w:rsidRPr="00B004EE">
        <w:rPr>
          <w:rFonts w:ascii="Tahoma" w:hAnsi="Tahoma" w:cs="Tahoma"/>
          <w:spacing w:val="30"/>
          <w:sz w:val="20"/>
          <w:szCs w:val="20"/>
        </w:rPr>
        <w:t xml:space="preserve"> </w:t>
      </w:r>
      <w:r w:rsidR="008518B0" w:rsidRPr="00B004EE">
        <w:rPr>
          <w:rFonts w:ascii="Tahoma" w:hAnsi="Tahoma" w:cs="Tahoma"/>
          <w:spacing w:val="4"/>
          <w:sz w:val="20"/>
          <w:szCs w:val="20"/>
        </w:rPr>
        <w:t>sur</w:t>
      </w:r>
      <w:r w:rsidR="00DB1635" w:rsidRPr="00B004EE">
        <w:rPr>
          <w:rFonts w:ascii="Tahoma" w:hAnsi="Tahoma" w:cs="Tahoma"/>
          <w:spacing w:val="31"/>
          <w:sz w:val="20"/>
          <w:szCs w:val="20"/>
        </w:rPr>
        <w:t xml:space="preserve"> </w:t>
      </w:r>
      <w:r w:rsidR="008518B0" w:rsidRPr="00B004EE">
        <w:rPr>
          <w:rFonts w:ascii="Tahoma" w:hAnsi="Tahoma" w:cs="Tahoma"/>
          <w:spacing w:val="4"/>
          <w:sz w:val="20"/>
          <w:szCs w:val="20"/>
        </w:rPr>
        <w:t>proposition</w:t>
      </w:r>
      <w:r w:rsidR="00DB1635" w:rsidRPr="00B004EE">
        <w:rPr>
          <w:rFonts w:ascii="Tahoma" w:hAnsi="Tahoma" w:cs="Tahoma"/>
          <w:spacing w:val="32"/>
          <w:sz w:val="20"/>
          <w:szCs w:val="20"/>
        </w:rPr>
        <w:t xml:space="preserve"> </w:t>
      </w:r>
      <w:r w:rsidR="008518B0" w:rsidRPr="00B004EE">
        <w:rPr>
          <w:rFonts w:ascii="Tahoma" w:hAnsi="Tahoma" w:cs="Tahoma"/>
          <w:sz w:val="20"/>
          <w:szCs w:val="20"/>
        </w:rPr>
        <w:t>du</w:t>
      </w:r>
      <w:r w:rsidR="00DB1635" w:rsidRPr="00B004EE">
        <w:rPr>
          <w:rFonts w:ascii="Tahoma" w:hAnsi="Tahoma" w:cs="Tahoma"/>
          <w:w w:val="99"/>
          <w:sz w:val="20"/>
          <w:szCs w:val="20"/>
        </w:rPr>
        <w:t xml:space="preserve"> </w:t>
      </w:r>
      <w:r w:rsidR="008518B0" w:rsidRPr="00B004EE">
        <w:rPr>
          <w:rFonts w:ascii="Tahoma" w:hAnsi="Tahoma" w:cs="Tahoma"/>
          <w:spacing w:val="5"/>
          <w:sz w:val="20"/>
          <w:szCs w:val="20"/>
        </w:rPr>
        <w:t>Ministre</w:t>
      </w:r>
      <w:r w:rsidR="00DB1635" w:rsidRPr="00B004EE">
        <w:rPr>
          <w:rFonts w:ascii="Tahoma" w:hAnsi="Tahoma" w:cs="Tahoma"/>
          <w:spacing w:val="64"/>
          <w:sz w:val="20"/>
          <w:szCs w:val="20"/>
        </w:rPr>
        <w:t xml:space="preserve"> </w:t>
      </w:r>
      <w:r w:rsidR="008518B0" w:rsidRPr="00B004EE">
        <w:rPr>
          <w:rFonts w:ascii="Tahoma" w:hAnsi="Tahoma" w:cs="Tahoma"/>
          <w:sz w:val="20"/>
          <w:szCs w:val="20"/>
        </w:rPr>
        <w:t>chargé</w:t>
      </w:r>
      <w:r w:rsidR="00DB1635" w:rsidRPr="00B004EE">
        <w:rPr>
          <w:rFonts w:ascii="Tahoma" w:hAnsi="Tahoma" w:cs="Tahoma"/>
          <w:spacing w:val="49"/>
          <w:sz w:val="20"/>
          <w:szCs w:val="20"/>
        </w:rPr>
        <w:t xml:space="preserve"> </w:t>
      </w:r>
      <w:r w:rsidR="008518B0" w:rsidRPr="00B004EE">
        <w:rPr>
          <w:rFonts w:ascii="Tahoma" w:hAnsi="Tahoma" w:cs="Tahoma"/>
          <w:sz w:val="20"/>
          <w:szCs w:val="20"/>
        </w:rPr>
        <w:t>des</w:t>
      </w:r>
      <w:r w:rsidR="00DB1635" w:rsidRPr="00B004EE">
        <w:rPr>
          <w:rFonts w:ascii="Tahoma" w:hAnsi="Tahoma" w:cs="Tahoma"/>
          <w:spacing w:val="51"/>
          <w:sz w:val="20"/>
          <w:szCs w:val="20"/>
        </w:rPr>
        <w:t xml:space="preserve"> </w:t>
      </w:r>
      <w:r w:rsidR="008518B0" w:rsidRPr="00B004EE">
        <w:rPr>
          <w:rFonts w:ascii="Tahoma" w:hAnsi="Tahoma" w:cs="Tahoma"/>
          <w:sz w:val="20"/>
          <w:szCs w:val="20"/>
        </w:rPr>
        <w:t>Pêches.</w:t>
      </w:r>
      <w:r w:rsidR="00DB1635" w:rsidRPr="00B004EE">
        <w:rPr>
          <w:rFonts w:ascii="Tahoma" w:hAnsi="Tahoma" w:cs="Tahoma"/>
          <w:spacing w:val="53"/>
          <w:sz w:val="20"/>
          <w:szCs w:val="20"/>
        </w:rPr>
        <w:t xml:space="preserve"> </w:t>
      </w:r>
      <w:r w:rsidR="008518B0" w:rsidRPr="00B004EE">
        <w:rPr>
          <w:rFonts w:ascii="Tahoma" w:hAnsi="Tahoma" w:cs="Tahoma"/>
          <w:sz w:val="20"/>
          <w:szCs w:val="20"/>
        </w:rPr>
        <w:t>Il</w:t>
      </w:r>
      <w:r w:rsidR="00DB1635" w:rsidRPr="00B004EE">
        <w:rPr>
          <w:rFonts w:ascii="Tahoma" w:hAnsi="Tahoma" w:cs="Tahoma"/>
          <w:spacing w:val="53"/>
          <w:sz w:val="20"/>
          <w:szCs w:val="20"/>
        </w:rPr>
        <w:t xml:space="preserve"> </w:t>
      </w:r>
      <w:r w:rsidR="008518B0" w:rsidRPr="00B004EE">
        <w:rPr>
          <w:rFonts w:ascii="Tahoma" w:hAnsi="Tahoma" w:cs="Tahoma"/>
          <w:sz w:val="20"/>
          <w:szCs w:val="20"/>
        </w:rPr>
        <w:t>est</w:t>
      </w:r>
      <w:r w:rsidR="00DB1635" w:rsidRPr="00B004EE">
        <w:rPr>
          <w:rFonts w:ascii="Tahoma" w:hAnsi="Tahoma" w:cs="Tahoma"/>
          <w:spacing w:val="51"/>
          <w:sz w:val="20"/>
          <w:szCs w:val="20"/>
        </w:rPr>
        <w:t xml:space="preserve"> </w:t>
      </w:r>
      <w:r w:rsidR="008518B0" w:rsidRPr="00B004EE">
        <w:rPr>
          <w:rFonts w:ascii="Tahoma" w:hAnsi="Tahoma" w:cs="Tahoma"/>
          <w:sz w:val="20"/>
          <w:szCs w:val="20"/>
        </w:rPr>
        <w:t>mis</w:t>
      </w:r>
      <w:r w:rsidR="00DB1635" w:rsidRPr="00B004EE">
        <w:rPr>
          <w:rFonts w:ascii="Tahoma" w:hAnsi="Tahoma" w:cs="Tahoma"/>
          <w:spacing w:val="51"/>
          <w:sz w:val="20"/>
          <w:szCs w:val="20"/>
        </w:rPr>
        <w:t xml:space="preserve"> </w:t>
      </w:r>
      <w:r w:rsidR="008518B0" w:rsidRPr="00B004EE">
        <w:rPr>
          <w:rFonts w:ascii="Tahoma" w:hAnsi="Tahoma" w:cs="Tahoma"/>
          <w:sz w:val="20"/>
          <w:szCs w:val="20"/>
        </w:rPr>
        <w:t>fin</w:t>
      </w:r>
      <w:r w:rsidR="00DB1635" w:rsidRPr="00B004EE">
        <w:rPr>
          <w:rFonts w:ascii="Tahoma" w:hAnsi="Tahoma" w:cs="Tahoma"/>
          <w:spacing w:val="50"/>
          <w:sz w:val="20"/>
          <w:szCs w:val="20"/>
        </w:rPr>
        <w:t xml:space="preserve"> </w:t>
      </w:r>
      <w:r w:rsidR="008518B0" w:rsidRPr="00B004EE">
        <w:rPr>
          <w:rFonts w:ascii="Tahoma" w:hAnsi="Tahoma" w:cs="Tahoma"/>
          <w:sz w:val="20"/>
          <w:szCs w:val="20"/>
        </w:rPr>
        <w:t>à</w:t>
      </w:r>
      <w:r w:rsidR="00DB1635" w:rsidRPr="00B004EE">
        <w:rPr>
          <w:rFonts w:ascii="Tahoma" w:hAnsi="Tahoma" w:cs="Tahoma"/>
          <w:spacing w:val="49"/>
          <w:sz w:val="20"/>
          <w:szCs w:val="20"/>
        </w:rPr>
        <w:t xml:space="preserve"> </w:t>
      </w:r>
      <w:r w:rsidR="008518B0" w:rsidRPr="00B004EE">
        <w:rPr>
          <w:rFonts w:ascii="Tahoma" w:hAnsi="Tahoma" w:cs="Tahoma"/>
          <w:sz w:val="20"/>
          <w:szCs w:val="20"/>
        </w:rPr>
        <w:t>leurs</w:t>
      </w:r>
      <w:r w:rsidR="00DB1635" w:rsidRPr="00B004EE">
        <w:rPr>
          <w:rFonts w:ascii="Tahoma" w:hAnsi="Tahoma" w:cs="Tahoma"/>
          <w:spacing w:val="51"/>
          <w:sz w:val="20"/>
          <w:szCs w:val="20"/>
        </w:rPr>
        <w:t xml:space="preserve"> </w:t>
      </w:r>
      <w:r w:rsidR="008518B0" w:rsidRPr="00B004EE">
        <w:rPr>
          <w:rFonts w:ascii="Tahoma" w:hAnsi="Tahoma" w:cs="Tahoma"/>
          <w:sz w:val="20"/>
          <w:szCs w:val="20"/>
        </w:rPr>
        <w:t>fonctions</w:t>
      </w:r>
      <w:r w:rsidR="00DB1635" w:rsidRPr="00B004EE">
        <w:rPr>
          <w:rFonts w:ascii="Tahoma" w:hAnsi="Tahoma" w:cs="Tahoma"/>
          <w:spacing w:val="51"/>
          <w:sz w:val="20"/>
          <w:szCs w:val="20"/>
        </w:rPr>
        <w:t xml:space="preserve"> </w:t>
      </w:r>
      <w:r w:rsidR="008518B0" w:rsidRPr="00B004EE">
        <w:rPr>
          <w:rFonts w:ascii="Tahoma" w:hAnsi="Tahoma" w:cs="Tahoma"/>
          <w:sz w:val="20"/>
          <w:szCs w:val="20"/>
        </w:rPr>
        <w:t>dans</w:t>
      </w:r>
      <w:r w:rsidR="00DB1635" w:rsidRPr="00B004EE">
        <w:rPr>
          <w:rFonts w:ascii="Tahoma" w:hAnsi="Tahoma" w:cs="Tahoma"/>
          <w:spacing w:val="51"/>
          <w:sz w:val="20"/>
          <w:szCs w:val="20"/>
        </w:rPr>
        <w:t xml:space="preserve"> </w:t>
      </w:r>
      <w:r w:rsidR="008518B0" w:rsidRPr="00B004EE">
        <w:rPr>
          <w:rFonts w:ascii="Tahoma" w:hAnsi="Tahoma" w:cs="Tahoma"/>
          <w:sz w:val="20"/>
          <w:szCs w:val="20"/>
        </w:rPr>
        <w:t>les</w:t>
      </w:r>
      <w:r w:rsidR="00DB1635" w:rsidRPr="00B004EE">
        <w:rPr>
          <w:rFonts w:ascii="Tahoma" w:hAnsi="Tahoma" w:cs="Tahoma"/>
          <w:spacing w:val="53"/>
          <w:sz w:val="20"/>
          <w:szCs w:val="20"/>
        </w:rPr>
        <w:t xml:space="preserve"> </w:t>
      </w:r>
      <w:r w:rsidR="008518B0" w:rsidRPr="00B004EE">
        <w:rPr>
          <w:rFonts w:ascii="Tahoma" w:hAnsi="Tahoma" w:cs="Tahoma"/>
          <w:sz w:val="20"/>
          <w:szCs w:val="20"/>
        </w:rPr>
        <w:t>mêmes</w:t>
      </w:r>
      <w:r w:rsidR="00DB1635" w:rsidRPr="00B004EE">
        <w:rPr>
          <w:rFonts w:ascii="Tahoma" w:hAnsi="Tahoma" w:cs="Tahoma"/>
          <w:spacing w:val="51"/>
          <w:sz w:val="20"/>
          <w:szCs w:val="20"/>
        </w:rPr>
        <w:t xml:space="preserve"> </w:t>
      </w:r>
      <w:r w:rsidR="008518B0" w:rsidRPr="00B004EE">
        <w:rPr>
          <w:rFonts w:ascii="Tahoma" w:hAnsi="Tahoma" w:cs="Tahoma"/>
          <w:sz w:val="20"/>
          <w:szCs w:val="20"/>
        </w:rPr>
        <w:t>formes.</w:t>
      </w:r>
      <w:r w:rsidR="00DB1635" w:rsidRPr="00B004EE">
        <w:rPr>
          <w:rFonts w:ascii="Tahoma" w:hAnsi="Tahoma" w:cs="Tahoma"/>
          <w:spacing w:val="53"/>
          <w:sz w:val="20"/>
          <w:szCs w:val="20"/>
        </w:rPr>
        <w:t xml:space="preserve"> </w:t>
      </w:r>
      <w:r w:rsidR="008518B0" w:rsidRPr="00B004EE">
        <w:rPr>
          <w:rFonts w:ascii="Tahoma" w:hAnsi="Tahoma" w:cs="Tahoma"/>
          <w:sz w:val="20"/>
          <w:szCs w:val="20"/>
        </w:rPr>
        <w:t>Les</w:t>
      </w:r>
      <w:r w:rsidR="00DB1635" w:rsidRPr="00B004EE">
        <w:rPr>
          <w:rFonts w:ascii="Tahoma" w:hAnsi="Tahoma" w:cs="Tahoma"/>
          <w:w w:val="99"/>
          <w:sz w:val="20"/>
          <w:szCs w:val="20"/>
        </w:rPr>
        <w:t xml:space="preserve"> </w:t>
      </w:r>
      <w:r w:rsidR="008518B0" w:rsidRPr="00B004EE">
        <w:rPr>
          <w:rFonts w:ascii="Tahoma" w:hAnsi="Tahoma" w:cs="Tahoma"/>
          <w:sz w:val="20"/>
          <w:szCs w:val="20"/>
        </w:rPr>
        <w:t>avantages</w:t>
      </w:r>
      <w:r w:rsidR="00DB1635" w:rsidRPr="00B004EE">
        <w:rPr>
          <w:rFonts w:ascii="Tahoma" w:hAnsi="Tahoma" w:cs="Tahoma"/>
          <w:sz w:val="20"/>
          <w:szCs w:val="20"/>
        </w:rPr>
        <w:t xml:space="preserve"> </w:t>
      </w:r>
      <w:r w:rsidR="008518B0" w:rsidRPr="00B004EE">
        <w:rPr>
          <w:rFonts w:ascii="Tahoma" w:hAnsi="Tahoma" w:cs="Tahoma"/>
          <w:sz w:val="20"/>
          <w:szCs w:val="20"/>
        </w:rPr>
        <w:t>du</w:t>
      </w:r>
      <w:r w:rsidR="00DB1635" w:rsidRPr="00B004EE">
        <w:rPr>
          <w:rFonts w:ascii="Tahoma" w:hAnsi="Tahoma" w:cs="Tahoma"/>
          <w:sz w:val="20"/>
          <w:szCs w:val="20"/>
        </w:rPr>
        <w:t xml:space="preserve"> </w:t>
      </w:r>
      <w:r w:rsidR="008518B0" w:rsidRPr="00B004EE">
        <w:rPr>
          <w:rFonts w:ascii="Tahoma" w:hAnsi="Tahoma" w:cs="Tahoma"/>
          <w:sz w:val="20"/>
          <w:szCs w:val="20"/>
        </w:rPr>
        <w:t>Directeur</w:t>
      </w:r>
      <w:r w:rsidR="00DB1635" w:rsidRPr="00B004EE">
        <w:rPr>
          <w:rFonts w:ascii="Tahoma" w:hAnsi="Tahoma" w:cs="Tahoma"/>
          <w:sz w:val="20"/>
          <w:szCs w:val="20"/>
        </w:rPr>
        <w:t xml:space="preserve"> </w:t>
      </w:r>
      <w:r w:rsidR="008518B0" w:rsidRPr="00B004EE">
        <w:rPr>
          <w:rFonts w:ascii="Tahoma" w:hAnsi="Tahoma" w:cs="Tahoma"/>
          <w:sz w:val="20"/>
          <w:szCs w:val="20"/>
        </w:rPr>
        <w:t>et</w:t>
      </w:r>
      <w:r w:rsidR="00DB1635" w:rsidRPr="00B004EE">
        <w:rPr>
          <w:rFonts w:ascii="Tahoma" w:hAnsi="Tahoma" w:cs="Tahoma"/>
          <w:sz w:val="20"/>
          <w:szCs w:val="20"/>
        </w:rPr>
        <w:t xml:space="preserve"> </w:t>
      </w:r>
      <w:r w:rsidR="008518B0" w:rsidRPr="00B004EE">
        <w:rPr>
          <w:rFonts w:ascii="Tahoma" w:hAnsi="Tahoma" w:cs="Tahoma"/>
          <w:sz w:val="20"/>
          <w:szCs w:val="20"/>
        </w:rPr>
        <w:t>du</w:t>
      </w:r>
      <w:r w:rsidR="00DB1635" w:rsidRPr="00B004EE">
        <w:rPr>
          <w:rFonts w:ascii="Tahoma" w:hAnsi="Tahoma" w:cs="Tahoma"/>
          <w:sz w:val="20"/>
          <w:szCs w:val="20"/>
        </w:rPr>
        <w:t xml:space="preserve"> </w:t>
      </w:r>
      <w:r w:rsidR="008518B0" w:rsidRPr="00B004EE">
        <w:rPr>
          <w:rFonts w:ascii="Tahoma" w:hAnsi="Tahoma" w:cs="Tahoma"/>
          <w:sz w:val="20"/>
          <w:szCs w:val="20"/>
        </w:rPr>
        <w:t>Directeur</w:t>
      </w:r>
      <w:r w:rsidR="00DB1635" w:rsidRPr="00B004EE">
        <w:rPr>
          <w:rFonts w:ascii="Tahoma" w:hAnsi="Tahoma" w:cs="Tahoma"/>
          <w:sz w:val="20"/>
          <w:szCs w:val="20"/>
        </w:rPr>
        <w:t xml:space="preserve"> </w:t>
      </w:r>
      <w:r w:rsidR="008518B0" w:rsidRPr="00B004EE">
        <w:rPr>
          <w:rFonts w:ascii="Tahoma" w:hAnsi="Tahoma" w:cs="Tahoma"/>
          <w:spacing w:val="5"/>
          <w:sz w:val="20"/>
          <w:szCs w:val="20"/>
        </w:rPr>
        <w:t>Adjoint</w:t>
      </w:r>
      <w:r w:rsidR="00DB1635" w:rsidRPr="00B004EE">
        <w:rPr>
          <w:rFonts w:ascii="Tahoma" w:hAnsi="Tahoma" w:cs="Tahoma"/>
          <w:spacing w:val="5"/>
          <w:sz w:val="20"/>
          <w:szCs w:val="20"/>
        </w:rPr>
        <w:t xml:space="preserve"> </w:t>
      </w:r>
      <w:r w:rsidR="008518B0" w:rsidRPr="00B004EE">
        <w:rPr>
          <w:rFonts w:ascii="Tahoma" w:hAnsi="Tahoma" w:cs="Tahoma"/>
          <w:spacing w:val="4"/>
          <w:sz w:val="20"/>
          <w:szCs w:val="20"/>
        </w:rPr>
        <w:t>sont</w:t>
      </w:r>
      <w:r w:rsidR="00DB1635" w:rsidRPr="00B004EE">
        <w:rPr>
          <w:rFonts w:ascii="Tahoma" w:hAnsi="Tahoma" w:cs="Tahoma"/>
          <w:spacing w:val="4"/>
          <w:sz w:val="20"/>
          <w:szCs w:val="20"/>
        </w:rPr>
        <w:t xml:space="preserve"> </w:t>
      </w:r>
      <w:r w:rsidR="008518B0" w:rsidRPr="00B004EE">
        <w:rPr>
          <w:rFonts w:ascii="Tahoma" w:hAnsi="Tahoma" w:cs="Tahoma"/>
          <w:spacing w:val="4"/>
          <w:sz w:val="20"/>
          <w:szCs w:val="20"/>
        </w:rPr>
        <w:t>fixés</w:t>
      </w:r>
      <w:r w:rsidR="00DB1635" w:rsidRPr="00B004EE">
        <w:rPr>
          <w:rFonts w:ascii="Tahoma" w:hAnsi="Tahoma" w:cs="Tahoma"/>
          <w:spacing w:val="4"/>
          <w:sz w:val="20"/>
          <w:szCs w:val="20"/>
        </w:rPr>
        <w:t xml:space="preserve"> </w:t>
      </w:r>
      <w:r w:rsidR="008518B0" w:rsidRPr="00B004EE">
        <w:rPr>
          <w:rFonts w:ascii="Tahoma" w:hAnsi="Tahoma" w:cs="Tahoma"/>
          <w:spacing w:val="4"/>
          <w:sz w:val="20"/>
          <w:szCs w:val="20"/>
        </w:rPr>
        <w:t>par</w:t>
      </w:r>
      <w:r w:rsidR="00DB1635" w:rsidRPr="00B004EE">
        <w:rPr>
          <w:rFonts w:ascii="Tahoma" w:hAnsi="Tahoma" w:cs="Tahoma"/>
          <w:spacing w:val="4"/>
          <w:sz w:val="20"/>
          <w:szCs w:val="20"/>
        </w:rPr>
        <w:t xml:space="preserve"> </w:t>
      </w:r>
      <w:r w:rsidR="008518B0" w:rsidRPr="00B004EE">
        <w:rPr>
          <w:rFonts w:ascii="Tahoma" w:hAnsi="Tahoma" w:cs="Tahoma"/>
          <w:spacing w:val="5"/>
          <w:sz w:val="20"/>
          <w:szCs w:val="20"/>
        </w:rPr>
        <w:t>délibération</w:t>
      </w:r>
      <w:r w:rsidR="00DB1635" w:rsidRPr="00B004EE">
        <w:rPr>
          <w:rFonts w:ascii="Tahoma" w:hAnsi="Tahoma" w:cs="Tahoma"/>
          <w:spacing w:val="5"/>
          <w:sz w:val="20"/>
          <w:szCs w:val="20"/>
        </w:rPr>
        <w:t xml:space="preserve"> </w:t>
      </w:r>
      <w:r w:rsidR="008518B0" w:rsidRPr="00B004EE">
        <w:rPr>
          <w:rFonts w:ascii="Tahoma" w:hAnsi="Tahoma" w:cs="Tahoma"/>
          <w:sz w:val="20"/>
          <w:szCs w:val="20"/>
        </w:rPr>
        <w:t>du</w:t>
      </w:r>
      <w:r w:rsidR="00DB1635" w:rsidRPr="00B004EE">
        <w:rPr>
          <w:rFonts w:ascii="Tahoma" w:hAnsi="Tahoma" w:cs="Tahoma"/>
          <w:spacing w:val="2"/>
          <w:sz w:val="20"/>
          <w:szCs w:val="20"/>
        </w:rPr>
        <w:t xml:space="preserve"> </w:t>
      </w:r>
      <w:r w:rsidR="008518B0" w:rsidRPr="00B004EE">
        <w:rPr>
          <w:rFonts w:ascii="Tahoma" w:hAnsi="Tahoma" w:cs="Tahoma"/>
          <w:spacing w:val="13"/>
          <w:sz w:val="20"/>
          <w:szCs w:val="20"/>
        </w:rPr>
        <w:t>Conseil</w:t>
      </w:r>
      <w:r w:rsidR="00DB1635" w:rsidRPr="00B004EE">
        <w:rPr>
          <w:rFonts w:ascii="Tahoma" w:hAnsi="Tahoma" w:cs="Tahoma"/>
          <w:w w:val="99"/>
          <w:sz w:val="20"/>
          <w:szCs w:val="20"/>
        </w:rPr>
        <w:t xml:space="preserve"> </w:t>
      </w:r>
      <w:r w:rsidR="008518B0" w:rsidRPr="00B004EE">
        <w:rPr>
          <w:rFonts w:ascii="Tahoma" w:hAnsi="Tahoma" w:cs="Tahoma"/>
          <w:spacing w:val="14"/>
          <w:sz w:val="20"/>
          <w:szCs w:val="20"/>
        </w:rPr>
        <w:t>d'Administration</w:t>
      </w:r>
      <w:r w:rsidR="00DB1635" w:rsidRPr="00B004EE">
        <w:rPr>
          <w:rFonts w:ascii="Tahoma" w:hAnsi="Tahoma" w:cs="Tahoma"/>
          <w:spacing w:val="14"/>
          <w:sz w:val="20"/>
          <w:szCs w:val="20"/>
        </w:rPr>
        <w:t xml:space="preserve"> </w:t>
      </w:r>
      <w:r w:rsidR="008518B0" w:rsidRPr="00B004EE">
        <w:rPr>
          <w:rFonts w:ascii="Tahoma" w:hAnsi="Tahoma" w:cs="Tahoma"/>
          <w:spacing w:val="12"/>
          <w:sz w:val="20"/>
          <w:szCs w:val="20"/>
        </w:rPr>
        <w:t>dûment</w:t>
      </w:r>
      <w:r w:rsidR="00DB1635" w:rsidRPr="00B004EE">
        <w:rPr>
          <w:rFonts w:ascii="Tahoma" w:hAnsi="Tahoma" w:cs="Tahoma"/>
          <w:spacing w:val="12"/>
          <w:sz w:val="20"/>
          <w:szCs w:val="20"/>
        </w:rPr>
        <w:t xml:space="preserve"> </w:t>
      </w:r>
      <w:r w:rsidR="008518B0" w:rsidRPr="00B004EE">
        <w:rPr>
          <w:rFonts w:ascii="Tahoma" w:hAnsi="Tahoma" w:cs="Tahoma"/>
          <w:sz w:val="20"/>
          <w:szCs w:val="20"/>
        </w:rPr>
        <w:t>approuvée</w:t>
      </w:r>
      <w:r w:rsidR="00DB1635" w:rsidRPr="00B004EE">
        <w:rPr>
          <w:rFonts w:ascii="Tahoma" w:hAnsi="Tahoma" w:cs="Tahoma"/>
          <w:sz w:val="20"/>
          <w:szCs w:val="20"/>
        </w:rPr>
        <w:t xml:space="preserve"> </w:t>
      </w:r>
      <w:r w:rsidR="008518B0" w:rsidRPr="00B004EE">
        <w:rPr>
          <w:rFonts w:ascii="Tahoma" w:hAnsi="Tahoma" w:cs="Tahoma"/>
          <w:sz w:val="20"/>
          <w:szCs w:val="20"/>
        </w:rPr>
        <w:t>par</w:t>
      </w:r>
      <w:r w:rsidR="00DB1635" w:rsidRPr="00B004EE">
        <w:rPr>
          <w:rFonts w:ascii="Tahoma" w:hAnsi="Tahoma" w:cs="Tahoma"/>
          <w:sz w:val="20"/>
          <w:szCs w:val="20"/>
        </w:rPr>
        <w:t xml:space="preserve"> </w:t>
      </w:r>
      <w:r w:rsidR="008518B0" w:rsidRPr="00B004EE">
        <w:rPr>
          <w:rFonts w:ascii="Tahoma" w:hAnsi="Tahoma" w:cs="Tahoma"/>
          <w:sz w:val="20"/>
          <w:szCs w:val="20"/>
        </w:rPr>
        <w:t>les</w:t>
      </w:r>
      <w:r w:rsidR="00DB1635" w:rsidRPr="00B004EE">
        <w:rPr>
          <w:rFonts w:ascii="Tahoma" w:hAnsi="Tahoma" w:cs="Tahoma"/>
          <w:sz w:val="20"/>
          <w:szCs w:val="20"/>
        </w:rPr>
        <w:t xml:space="preserve"> </w:t>
      </w:r>
      <w:r w:rsidR="008518B0" w:rsidRPr="00B004EE">
        <w:rPr>
          <w:rFonts w:ascii="Tahoma" w:hAnsi="Tahoma" w:cs="Tahoma"/>
          <w:sz w:val="20"/>
          <w:szCs w:val="20"/>
        </w:rPr>
        <w:t>autorités</w:t>
      </w:r>
      <w:r w:rsidR="00DB1635" w:rsidRPr="00B004EE">
        <w:rPr>
          <w:rFonts w:ascii="Tahoma" w:hAnsi="Tahoma" w:cs="Tahoma"/>
          <w:sz w:val="20"/>
          <w:szCs w:val="20"/>
        </w:rPr>
        <w:t xml:space="preserve"> </w:t>
      </w:r>
      <w:r w:rsidR="008518B0" w:rsidRPr="00B004EE">
        <w:rPr>
          <w:rFonts w:ascii="Tahoma" w:hAnsi="Tahoma" w:cs="Tahoma"/>
          <w:sz w:val="20"/>
          <w:szCs w:val="20"/>
        </w:rPr>
        <w:t>de</w:t>
      </w:r>
      <w:r w:rsidR="00DB1635" w:rsidRPr="00B004EE">
        <w:rPr>
          <w:rFonts w:ascii="Tahoma" w:hAnsi="Tahoma" w:cs="Tahoma"/>
          <w:spacing w:val="43"/>
          <w:sz w:val="20"/>
          <w:szCs w:val="20"/>
        </w:rPr>
        <w:t xml:space="preserve"> </w:t>
      </w:r>
      <w:r w:rsidR="008518B0" w:rsidRPr="00B004EE">
        <w:rPr>
          <w:rFonts w:ascii="Tahoma" w:hAnsi="Tahoma" w:cs="Tahoma"/>
          <w:sz w:val="20"/>
          <w:szCs w:val="20"/>
        </w:rPr>
        <w:t>tutelle.</w:t>
      </w:r>
    </w:p>
    <w:p w14:paraId="03A07226" w14:textId="77777777" w:rsidR="008518B0" w:rsidRPr="00B004EE" w:rsidRDefault="008518B0" w:rsidP="00B004EE">
      <w:pPr>
        <w:rPr>
          <w:rFonts w:ascii="Tahoma" w:hAnsi="Tahoma" w:cs="Tahoma"/>
          <w:bCs/>
          <w:iCs/>
          <w:sz w:val="20"/>
          <w:szCs w:val="20"/>
        </w:rPr>
      </w:pPr>
    </w:p>
    <w:p w14:paraId="3D47C23E" w14:textId="534FBA77" w:rsidR="008518B0" w:rsidRPr="00B004EE" w:rsidRDefault="00FF661D" w:rsidP="00B004EE">
      <w:pPr>
        <w:jc w:val="both"/>
        <w:rPr>
          <w:rFonts w:ascii="Tahoma" w:hAnsi="Tahoma" w:cs="Tahoma"/>
          <w:sz w:val="20"/>
          <w:szCs w:val="20"/>
        </w:rPr>
      </w:pPr>
      <w:r w:rsidRPr="00B004EE">
        <w:rPr>
          <w:rFonts w:ascii="Tahoma" w:hAnsi="Tahoma" w:cs="Tahoma"/>
          <w:sz w:val="20"/>
          <w:szCs w:val="20"/>
        </w:rPr>
        <w:t xml:space="preserve">Article </w:t>
      </w:r>
      <w:r w:rsidR="008518B0" w:rsidRPr="00B004EE">
        <w:rPr>
          <w:rFonts w:ascii="Tahoma" w:hAnsi="Tahoma" w:cs="Tahoma"/>
          <w:sz w:val="20"/>
          <w:szCs w:val="20"/>
        </w:rPr>
        <w:t>15</w:t>
      </w:r>
      <w:r w:rsidR="00DB1635" w:rsidRPr="00B004EE">
        <w:rPr>
          <w:rFonts w:ascii="Tahoma" w:hAnsi="Tahoma" w:cs="Tahoma"/>
          <w:sz w:val="20"/>
          <w:szCs w:val="20"/>
        </w:rPr>
        <w:t xml:space="preserve"> </w:t>
      </w:r>
      <w:r w:rsidR="008518B0" w:rsidRPr="00B004EE">
        <w:rPr>
          <w:rFonts w:ascii="Tahoma" w:hAnsi="Tahoma" w:cs="Tahoma"/>
          <w:sz w:val="20"/>
          <w:szCs w:val="20"/>
        </w:rPr>
        <w:t>:</w:t>
      </w:r>
      <w:r w:rsidR="00DB1635" w:rsidRPr="00B004EE">
        <w:rPr>
          <w:rFonts w:ascii="Tahoma" w:hAnsi="Tahoma" w:cs="Tahoma"/>
          <w:sz w:val="20"/>
          <w:szCs w:val="20"/>
        </w:rPr>
        <w:t xml:space="preserve"> </w:t>
      </w:r>
      <w:r w:rsidR="008518B0" w:rsidRPr="00B004EE">
        <w:rPr>
          <w:rFonts w:ascii="Tahoma" w:hAnsi="Tahoma" w:cs="Tahoma"/>
          <w:sz w:val="20"/>
          <w:szCs w:val="20"/>
        </w:rPr>
        <w:t>Sous</w:t>
      </w:r>
      <w:r w:rsidR="00DB1635" w:rsidRPr="00B004EE">
        <w:rPr>
          <w:rFonts w:ascii="Tahoma" w:hAnsi="Tahoma" w:cs="Tahoma"/>
          <w:sz w:val="20"/>
          <w:szCs w:val="20"/>
        </w:rPr>
        <w:t xml:space="preserve"> </w:t>
      </w:r>
      <w:r w:rsidR="008518B0" w:rsidRPr="00B004EE">
        <w:rPr>
          <w:rFonts w:ascii="Tahoma" w:hAnsi="Tahoma" w:cs="Tahoma"/>
          <w:sz w:val="20"/>
          <w:szCs w:val="20"/>
        </w:rPr>
        <w:t>réserve</w:t>
      </w:r>
      <w:r w:rsidR="00DB1635" w:rsidRPr="00B004EE">
        <w:rPr>
          <w:rFonts w:ascii="Tahoma" w:hAnsi="Tahoma" w:cs="Tahoma"/>
          <w:sz w:val="20"/>
          <w:szCs w:val="20"/>
        </w:rPr>
        <w:t xml:space="preserve"> </w:t>
      </w:r>
      <w:r w:rsidR="008518B0" w:rsidRPr="00B004EE">
        <w:rPr>
          <w:rFonts w:ascii="Tahoma" w:hAnsi="Tahoma" w:cs="Tahoma"/>
          <w:sz w:val="20"/>
          <w:szCs w:val="20"/>
        </w:rPr>
        <w:t>des</w:t>
      </w:r>
      <w:r w:rsidR="00DB1635" w:rsidRPr="00B004EE">
        <w:rPr>
          <w:rFonts w:ascii="Tahoma" w:hAnsi="Tahoma" w:cs="Tahoma"/>
          <w:sz w:val="20"/>
          <w:szCs w:val="20"/>
        </w:rPr>
        <w:t xml:space="preserve"> </w:t>
      </w:r>
      <w:r w:rsidR="008518B0" w:rsidRPr="00B004EE">
        <w:rPr>
          <w:rFonts w:ascii="Tahoma" w:hAnsi="Tahoma" w:cs="Tahoma"/>
          <w:sz w:val="20"/>
          <w:szCs w:val="20"/>
        </w:rPr>
        <w:t>pouvoirs</w:t>
      </w:r>
      <w:r w:rsidR="00DB1635" w:rsidRPr="00B004EE">
        <w:rPr>
          <w:rFonts w:ascii="Tahoma" w:hAnsi="Tahoma" w:cs="Tahoma"/>
          <w:sz w:val="20"/>
          <w:szCs w:val="20"/>
        </w:rPr>
        <w:t xml:space="preserve"> </w:t>
      </w:r>
      <w:r w:rsidR="008518B0" w:rsidRPr="00B004EE">
        <w:rPr>
          <w:rFonts w:ascii="Tahoma" w:hAnsi="Tahoma" w:cs="Tahoma"/>
          <w:sz w:val="20"/>
          <w:szCs w:val="20"/>
        </w:rPr>
        <w:t>reconnus</w:t>
      </w:r>
      <w:r w:rsidR="00DB1635" w:rsidRPr="00B004EE">
        <w:rPr>
          <w:rFonts w:ascii="Tahoma" w:hAnsi="Tahoma" w:cs="Tahoma"/>
          <w:sz w:val="20"/>
          <w:szCs w:val="20"/>
        </w:rPr>
        <w:t xml:space="preserve"> </w:t>
      </w:r>
      <w:r w:rsidR="008518B0" w:rsidRPr="00B004EE">
        <w:rPr>
          <w:rFonts w:ascii="Tahoma" w:hAnsi="Tahoma" w:cs="Tahoma"/>
          <w:sz w:val="20"/>
          <w:szCs w:val="20"/>
        </w:rPr>
        <w:t>au</w:t>
      </w:r>
      <w:r w:rsidR="00DB1635" w:rsidRPr="00B004EE">
        <w:rPr>
          <w:rFonts w:ascii="Tahoma" w:hAnsi="Tahoma" w:cs="Tahoma"/>
          <w:sz w:val="20"/>
          <w:szCs w:val="20"/>
        </w:rPr>
        <w:t xml:space="preserve"> </w:t>
      </w:r>
      <w:r w:rsidR="008518B0" w:rsidRPr="00B004EE">
        <w:rPr>
          <w:rFonts w:ascii="Tahoma" w:hAnsi="Tahoma" w:cs="Tahoma"/>
          <w:sz w:val="20"/>
          <w:szCs w:val="20"/>
        </w:rPr>
        <w:t>Conseil</w:t>
      </w:r>
      <w:r w:rsidR="00DB1635" w:rsidRPr="00B004EE">
        <w:rPr>
          <w:rFonts w:ascii="Tahoma" w:hAnsi="Tahoma" w:cs="Tahoma"/>
          <w:sz w:val="20"/>
          <w:szCs w:val="20"/>
        </w:rPr>
        <w:t xml:space="preserve"> </w:t>
      </w:r>
      <w:r w:rsidR="008518B0" w:rsidRPr="00B004EE">
        <w:rPr>
          <w:rFonts w:ascii="Tahoma" w:hAnsi="Tahoma" w:cs="Tahoma"/>
          <w:sz w:val="20"/>
          <w:szCs w:val="20"/>
        </w:rPr>
        <w:t>d'Administration</w:t>
      </w:r>
      <w:r w:rsidR="00DB1635" w:rsidRPr="00B004EE">
        <w:rPr>
          <w:rFonts w:ascii="Tahoma" w:hAnsi="Tahoma" w:cs="Tahoma"/>
          <w:sz w:val="20"/>
          <w:szCs w:val="20"/>
        </w:rPr>
        <w:t xml:space="preserve"> </w:t>
      </w:r>
      <w:r w:rsidR="008518B0" w:rsidRPr="00B004EE">
        <w:rPr>
          <w:rFonts w:ascii="Tahoma" w:hAnsi="Tahoma" w:cs="Tahoma"/>
          <w:sz w:val="20"/>
          <w:szCs w:val="20"/>
        </w:rPr>
        <w:t>et</w:t>
      </w:r>
      <w:r w:rsidR="00DB1635" w:rsidRPr="00B004EE">
        <w:rPr>
          <w:rFonts w:ascii="Tahoma" w:hAnsi="Tahoma" w:cs="Tahoma"/>
          <w:sz w:val="20"/>
          <w:szCs w:val="20"/>
        </w:rPr>
        <w:t xml:space="preserve"> </w:t>
      </w:r>
      <w:r w:rsidR="008518B0" w:rsidRPr="00B004EE">
        <w:rPr>
          <w:rFonts w:ascii="Tahoma" w:hAnsi="Tahoma" w:cs="Tahoma"/>
          <w:sz w:val="20"/>
          <w:szCs w:val="20"/>
        </w:rPr>
        <w:t>aux</w:t>
      </w:r>
      <w:r w:rsidR="00DB1635" w:rsidRPr="00B004EE">
        <w:rPr>
          <w:rFonts w:ascii="Tahoma" w:hAnsi="Tahoma" w:cs="Tahoma"/>
          <w:sz w:val="20"/>
          <w:szCs w:val="20"/>
        </w:rPr>
        <w:t xml:space="preserve"> </w:t>
      </w:r>
      <w:r w:rsidR="008518B0" w:rsidRPr="00B004EE">
        <w:rPr>
          <w:rFonts w:ascii="Tahoma" w:hAnsi="Tahoma" w:cs="Tahoma"/>
          <w:sz w:val="20"/>
          <w:szCs w:val="20"/>
        </w:rPr>
        <w:t>tutelles</w:t>
      </w:r>
      <w:r w:rsidR="00DB1635" w:rsidRPr="00B004EE">
        <w:rPr>
          <w:rFonts w:ascii="Tahoma" w:hAnsi="Tahoma" w:cs="Tahoma"/>
          <w:sz w:val="20"/>
          <w:szCs w:val="20"/>
        </w:rPr>
        <w:t xml:space="preserve"> </w:t>
      </w:r>
      <w:r w:rsidR="008518B0" w:rsidRPr="00B004EE">
        <w:rPr>
          <w:rFonts w:ascii="Tahoma" w:hAnsi="Tahoma" w:cs="Tahoma"/>
          <w:sz w:val="20"/>
          <w:szCs w:val="20"/>
        </w:rPr>
        <w:t>technique</w:t>
      </w:r>
      <w:r w:rsidR="00DB1635" w:rsidRPr="00B004EE">
        <w:rPr>
          <w:rFonts w:ascii="Tahoma" w:hAnsi="Tahoma" w:cs="Tahoma"/>
          <w:sz w:val="20"/>
          <w:szCs w:val="20"/>
        </w:rPr>
        <w:t xml:space="preserve"> </w:t>
      </w:r>
      <w:r w:rsidR="008518B0" w:rsidRPr="00B004EE">
        <w:rPr>
          <w:rFonts w:ascii="Tahoma" w:hAnsi="Tahoma" w:cs="Tahoma"/>
          <w:sz w:val="20"/>
          <w:szCs w:val="20"/>
        </w:rPr>
        <w:t>et</w:t>
      </w:r>
      <w:r w:rsidR="00DB1635" w:rsidRPr="00B004EE">
        <w:rPr>
          <w:rFonts w:ascii="Tahoma" w:hAnsi="Tahoma" w:cs="Tahoma"/>
          <w:sz w:val="20"/>
          <w:szCs w:val="20"/>
        </w:rPr>
        <w:t xml:space="preserve"> </w:t>
      </w:r>
      <w:r w:rsidR="008518B0" w:rsidRPr="00B004EE">
        <w:rPr>
          <w:rFonts w:ascii="Tahoma" w:hAnsi="Tahoma" w:cs="Tahoma"/>
          <w:sz w:val="20"/>
          <w:szCs w:val="20"/>
        </w:rPr>
        <w:t>financière,</w:t>
      </w:r>
      <w:r w:rsidR="00DB1635" w:rsidRPr="00B004EE">
        <w:rPr>
          <w:rFonts w:ascii="Tahoma" w:hAnsi="Tahoma" w:cs="Tahoma"/>
          <w:sz w:val="20"/>
          <w:szCs w:val="20"/>
        </w:rPr>
        <w:t xml:space="preserve"> </w:t>
      </w:r>
      <w:r w:rsidR="008518B0" w:rsidRPr="00B004EE">
        <w:rPr>
          <w:rFonts w:ascii="Tahoma" w:hAnsi="Tahoma" w:cs="Tahoma"/>
          <w:sz w:val="20"/>
          <w:szCs w:val="20"/>
        </w:rPr>
        <w:t>définis</w:t>
      </w:r>
      <w:r w:rsidR="00DB1635" w:rsidRPr="00B004EE">
        <w:rPr>
          <w:rFonts w:ascii="Tahoma" w:hAnsi="Tahoma" w:cs="Tahoma"/>
          <w:sz w:val="20"/>
          <w:szCs w:val="20"/>
        </w:rPr>
        <w:t xml:space="preserve"> </w:t>
      </w:r>
      <w:r w:rsidR="008518B0" w:rsidRPr="00B004EE">
        <w:rPr>
          <w:rFonts w:ascii="Tahoma" w:hAnsi="Tahoma" w:cs="Tahoma"/>
          <w:sz w:val="20"/>
          <w:szCs w:val="20"/>
        </w:rPr>
        <w:t>par</w:t>
      </w:r>
      <w:r w:rsidR="00DB1635" w:rsidRPr="00B004EE">
        <w:rPr>
          <w:rFonts w:ascii="Tahoma" w:hAnsi="Tahoma" w:cs="Tahoma"/>
          <w:sz w:val="20"/>
          <w:szCs w:val="20"/>
        </w:rPr>
        <w:t xml:space="preserve"> </w:t>
      </w:r>
      <w:r w:rsidR="008518B0" w:rsidRPr="00B004EE">
        <w:rPr>
          <w:rFonts w:ascii="Tahoma" w:hAnsi="Tahoma" w:cs="Tahoma"/>
          <w:sz w:val="20"/>
          <w:szCs w:val="20"/>
        </w:rPr>
        <w:t>la</w:t>
      </w:r>
      <w:r w:rsidR="00DB1635" w:rsidRPr="00B004EE">
        <w:rPr>
          <w:rFonts w:ascii="Tahoma" w:hAnsi="Tahoma" w:cs="Tahoma"/>
          <w:sz w:val="20"/>
          <w:szCs w:val="20"/>
        </w:rPr>
        <w:t xml:space="preserve"> </w:t>
      </w:r>
      <w:r w:rsidR="008518B0" w:rsidRPr="00B004EE">
        <w:rPr>
          <w:rFonts w:ascii="Tahoma" w:hAnsi="Tahoma" w:cs="Tahoma"/>
          <w:sz w:val="20"/>
          <w:szCs w:val="20"/>
        </w:rPr>
        <w:t>réglementation</w:t>
      </w:r>
      <w:r w:rsidR="00DB1635" w:rsidRPr="00B004EE">
        <w:rPr>
          <w:rFonts w:ascii="Tahoma" w:hAnsi="Tahoma" w:cs="Tahoma"/>
          <w:sz w:val="20"/>
          <w:szCs w:val="20"/>
        </w:rPr>
        <w:t xml:space="preserve"> </w:t>
      </w:r>
      <w:r w:rsidR="008518B0" w:rsidRPr="00B004EE">
        <w:rPr>
          <w:rFonts w:ascii="Tahoma" w:hAnsi="Tahoma" w:cs="Tahoma"/>
          <w:sz w:val="20"/>
          <w:szCs w:val="20"/>
        </w:rPr>
        <w:t>en</w:t>
      </w:r>
      <w:r w:rsidR="00DB1635" w:rsidRPr="00B004EE">
        <w:rPr>
          <w:rFonts w:ascii="Tahoma" w:hAnsi="Tahoma" w:cs="Tahoma"/>
          <w:sz w:val="20"/>
          <w:szCs w:val="20"/>
        </w:rPr>
        <w:t xml:space="preserve"> </w:t>
      </w:r>
      <w:r w:rsidR="008518B0" w:rsidRPr="00B004EE">
        <w:rPr>
          <w:rFonts w:ascii="Tahoma" w:hAnsi="Tahoma" w:cs="Tahoma"/>
          <w:sz w:val="20"/>
          <w:szCs w:val="20"/>
        </w:rPr>
        <w:t>vigueur</w:t>
      </w:r>
      <w:r w:rsidR="00DB1635" w:rsidRPr="00B004EE">
        <w:rPr>
          <w:rFonts w:ascii="Tahoma" w:hAnsi="Tahoma" w:cs="Tahoma"/>
          <w:sz w:val="20"/>
          <w:szCs w:val="20"/>
        </w:rPr>
        <w:t xml:space="preserve"> </w:t>
      </w:r>
      <w:r w:rsidR="008518B0" w:rsidRPr="00B004EE">
        <w:rPr>
          <w:rFonts w:ascii="Tahoma" w:hAnsi="Tahoma" w:cs="Tahoma"/>
          <w:sz w:val="20"/>
          <w:szCs w:val="20"/>
        </w:rPr>
        <w:t>et</w:t>
      </w:r>
      <w:r w:rsidR="00DB1635" w:rsidRPr="00B004EE">
        <w:rPr>
          <w:rFonts w:ascii="Tahoma" w:hAnsi="Tahoma" w:cs="Tahoma"/>
          <w:sz w:val="20"/>
          <w:szCs w:val="20"/>
        </w:rPr>
        <w:t xml:space="preserve"> </w:t>
      </w:r>
      <w:r w:rsidR="008518B0" w:rsidRPr="00B004EE">
        <w:rPr>
          <w:rFonts w:ascii="Tahoma" w:hAnsi="Tahoma" w:cs="Tahoma"/>
          <w:sz w:val="20"/>
          <w:szCs w:val="20"/>
        </w:rPr>
        <w:t>le</w:t>
      </w:r>
      <w:r w:rsidR="00DB1635" w:rsidRPr="00B004EE">
        <w:rPr>
          <w:rFonts w:ascii="Tahoma" w:hAnsi="Tahoma" w:cs="Tahoma"/>
          <w:sz w:val="20"/>
          <w:szCs w:val="20"/>
        </w:rPr>
        <w:t xml:space="preserve"> </w:t>
      </w:r>
      <w:r w:rsidR="008518B0" w:rsidRPr="00B004EE">
        <w:rPr>
          <w:rFonts w:ascii="Tahoma" w:hAnsi="Tahoma" w:cs="Tahoma"/>
          <w:sz w:val="20"/>
          <w:szCs w:val="20"/>
        </w:rPr>
        <w:t>présent</w:t>
      </w:r>
      <w:r w:rsidR="00DB1635" w:rsidRPr="00B004EE">
        <w:rPr>
          <w:rFonts w:ascii="Tahoma" w:hAnsi="Tahoma" w:cs="Tahoma"/>
          <w:sz w:val="20"/>
          <w:szCs w:val="20"/>
        </w:rPr>
        <w:t xml:space="preserve"> </w:t>
      </w:r>
      <w:r w:rsidR="008518B0" w:rsidRPr="00B004EE">
        <w:rPr>
          <w:rFonts w:ascii="Tahoma" w:hAnsi="Tahoma" w:cs="Tahoma"/>
          <w:sz w:val="20"/>
          <w:szCs w:val="20"/>
        </w:rPr>
        <w:t>décret,</w:t>
      </w:r>
      <w:r w:rsidR="00DB1635" w:rsidRPr="00B004EE">
        <w:rPr>
          <w:rFonts w:ascii="Tahoma" w:hAnsi="Tahoma" w:cs="Tahoma"/>
          <w:sz w:val="20"/>
          <w:szCs w:val="20"/>
        </w:rPr>
        <w:t xml:space="preserve"> </w:t>
      </w:r>
      <w:r w:rsidR="008518B0" w:rsidRPr="00B004EE">
        <w:rPr>
          <w:rFonts w:ascii="Tahoma" w:hAnsi="Tahoma" w:cs="Tahoma"/>
          <w:sz w:val="20"/>
          <w:szCs w:val="20"/>
        </w:rPr>
        <w:t>le</w:t>
      </w:r>
      <w:r w:rsidR="00DB1635" w:rsidRPr="00B004EE">
        <w:rPr>
          <w:rFonts w:ascii="Tahoma" w:hAnsi="Tahoma" w:cs="Tahoma"/>
          <w:sz w:val="20"/>
          <w:szCs w:val="20"/>
        </w:rPr>
        <w:t xml:space="preserve"> </w:t>
      </w:r>
      <w:r w:rsidR="008518B0" w:rsidRPr="00B004EE">
        <w:rPr>
          <w:rFonts w:ascii="Tahoma" w:hAnsi="Tahoma" w:cs="Tahoma"/>
          <w:sz w:val="20"/>
          <w:szCs w:val="20"/>
        </w:rPr>
        <w:t>Directeur</w:t>
      </w:r>
      <w:r w:rsidR="00DB1635" w:rsidRPr="00B004EE">
        <w:rPr>
          <w:rFonts w:ascii="Tahoma" w:hAnsi="Tahoma" w:cs="Tahoma"/>
          <w:sz w:val="20"/>
          <w:szCs w:val="20"/>
        </w:rPr>
        <w:t xml:space="preserve"> </w:t>
      </w:r>
      <w:r w:rsidR="008518B0" w:rsidRPr="00B004EE">
        <w:rPr>
          <w:rFonts w:ascii="Tahoma" w:hAnsi="Tahoma" w:cs="Tahoma"/>
          <w:sz w:val="20"/>
          <w:szCs w:val="20"/>
        </w:rPr>
        <w:t>est</w:t>
      </w:r>
      <w:r w:rsidR="00DB1635" w:rsidRPr="00B004EE">
        <w:rPr>
          <w:rFonts w:ascii="Tahoma" w:hAnsi="Tahoma" w:cs="Tahoma"/>
          <w:sz w:val="20"/>
          <w:szCs w:val="20"/>
        </w:rPr>
        <w:t xml:space="preserve"> </w:t>
      </w:r>
      <w:r w:rsidR="008518B0" w:rsidRPr="00B004EE">
        <w:rPr>
          <w:rFonts w:ascii="Tahoma" w:hAnsi="Tahoma" w:cs="Tahoma"/>
          <w:sz w:val="20"/>
          <w:szCs w:val="20"/>
        </w:rPr>
        <w:t>investi</w:t>
      </w:r>
      <w:r w:rsidR="00DB1635" w:rsidRPr="00B004EE">
        <w:rPr>
          <w:rFonts w:ascii="Tahoma" w:hAnsi="Tahoma" w:cs="Tahoma"/>
          <w:sz w:val="20"/>
          <w:szCs w:val="20"/>
        </w:rPr>
        <w:t xml:space="preserve"> </w:t>
      </w:r>
      <w:r w:rsidR="008518B0" w:rsidRPr="00B004EE">
        <w:rPr>
          <w:rFonts w:ascii="Tahoma" w:hAnsi="Tahoma" w:cs="Tahoma"/>
          <w:sz w:val="20"/>
          <w:szCs w:val="20"/>
        </w:rPr>
        <w:t>de</w:t>
      </w:r>
      <w:r w:rsidR="00DB1635" w:rsidRPr="00B004EE">
        <w:rPr>
          <w:rFonts w:ascii="Tahoma" w:hAnsi="Tahoma" w:cs="Tahoma"/>
          <w:sz w:val="20"/>
          <w:szCs w:val="20"/>
        </w:rPr>
        <w:t xml:space="preserve"> </w:t>
      </w:r>
      <w:r w:rsidR="008518B0" w:rsidRPr="00B004EE">
        <w:rPr>
          <w:rFonts w:ascii="Tahoma" w:hAnsi="Tahoma" w:cs="Tahoma"/>
          <w:sz w:val="20"/>
          <w:szCs w:val="20"/>
        </w:rPr>
        <w:t>tous</w:t>
      </w:r>
      <w:r w:rsidR="00DB1635" w:rsidRPr="00B004EE">
        <w:rPr>
          <w:rFonts w:ascii="Tahoma" w:hAnsi="Tahoma" w:cs="Tahoma"/>
          <w:sz w:val="20"/>
          <w:szCs w:val="20"/>
        </w:rPr>
        <w:t xml:space="preserve"> </w:t>
      </w:r>
      <w:r w:rsidR="008518B0" w:rsidRPr="00B004EE">
        <w:rPr>
          <w:rFonts w:ascii="Tahoma" w:hAnsi="Tahoma" w:cs="Tahoma"/>
          <w:sz w:val="20"/>
          <w:szCs w:val="20"/>
        </w:rPr>
        <w:t>les</w:t>
      </w:r>
      <w:r w:rsidR="00DB1635" w:rsidRPr="00B004EE">
        <w:rPr>
          <w:rFonts w:ascii="Tahoma" w:hAnsi="Tahoma" w:cs="Tahoma"/>
          <w:sz w:val="20"/>
          <w:szCs w:val="20"/>
        </w:rPr>
        <w:t xml:space="preserve"> </w:t>
      </w:r>
      <w:r w:rsidR="008518B0" w:rsidRPr="00B004EE">
        <w:rPr>
          <w:rFonts w:ascii="Tahoma" w:hAnsi="Tahoma" w:cs="Tahoma"/>
          <w:sz w:val="20"/>
          <w:szCs w:val="20"/>
        </w:rPr>
        <w:t>pouvoirs</w:t>
      </w:r>
      <w:r w:rsidR="00DB1635" w:rsidRPr="00B004EE">
        <w:rPr>
          <w:rFonts w:ascii="Tahoma" w:hAnsi="Tahoma" w:cs="Tahoma"/>
          <w:sz w:val="20"/>
          <w:szCs w:val="20"/>
        </w:rPr>
        <w:t xml:space="preserve"> </w:t>
      </w:r>
      <w:r w:rsidR="008518B0" w:rsidRPr="00B004EE">
        <w:rPr>
          <w:rFonts w:ascii="Tahoma" w:hAnsi="Tahoma" w:cs="Tahoma"/>
          <w:sz w:val="20"/>
          <w:szCs w:val="20"/>
        </w:rPr>
        <w:t>pour</w:t>
      </w:r>
      <w:r w:rsidR="00DB1635" w:rsidRPr="00B004EE">
        <w:rPr>
          <w:rFonts w:ascii="Tahoma" w:hAnsi="Tahoma" w:cs="Tahoma"/>
          <w:sz w:val="20"/>
          <w:szCs w:val="20"/>
        </w:rPr>
        <w:t xml:space="preserve"> </w:t>
      </w:r>
      <w:r w:rsidR="008518B0" w:rsidRPr="00B004EE">
        <w:rPr>
          <w:rFonts w:ascii="Tahoma" w:hAnsi="Tahoma" w:cs="Tahoma"/>
          <w:sz w:val="20"/>
          <w:szCs w:val="20"/>
        </w:rPr>
        <w:t>assurer</w:t>
      </w:r>
      <w:r w:rsidR="00DB1635" w:rsidRPr="00B004EE">
        <w:rPr>
          <w:rFonts w:ascii="Tahoma" w:hAnsi="Tahoma" w:cs="Tahoma"/>
          <w:sz w:val="20"/>
          <w:szCs w:val="20"/>
        </w:rPr>
        <w:t xml:space="preserve"> </w:t>
      </w:r>
      <w:r w:rsidR="008518B0" w:rsidRPr="00B004EE">
        <w:rPr>
          <w:rFonts w:ascii="Tahoma" w:hAnsi="Tahoma" w:cs="Tahoma"/>
          <w:sz w:val="20"/>
          <w:szCs w:val="20"/>
        </w:rPr>
        <w:t>l'organisation,</w:t>
      </w:r>
      <w:r w:rsidR="00DB1635" w:rsidRPr="00B004EE">
        <w:rPr>
          <w:rFonts w:ascii="Tahoma" w:hAnsi="Tahoma" w:cs="Tahoma"/>
          <w:sz w:val="20"/>
          <w:szCs w:val="20"/>
        </w:rPr>
        <w:t xml:space="preserve"> </w:t>
      </w:r>
      <w:r w:rsidR="008518B0" w:rsidRPr="00B004EE">
        <w:rPr>
          <w:rFonts w:ascii="Tahoma" w:hAnsi="Tahoma" w:cs="Tahoma"/>
          <w:sz w:val="20"/>
          <w:szCs w:val="20"/>
        </w:rPr>
        <w:t>le</w:t>
      </w:r>
      <w:r w:rsidR="00DB1635" w:rsidRPr="00B004EE">
        <w:rPr>
          <w:rFonts w:ascii="Tahoma" w:hAnsi="Tahoma" w:cs="Tahoma"/>
          <w:sz w:val="20"/>
          <w:szCs w:val="20"/>
        </w:rPr>
        <w:t xml:space="preserve"> </w:t>
      </w:r>
      <w:r w:rsidR="008518B0" w:rsidRPr="00B004EE">
        <w:rPr>
          <w:rFonts w:ascii="Tahoma" w:hAnsi="Tahoma" w:cs="Tahoma"/>
          <w:sz w:val="20"/>
          <w:szCs w:val="20"/>
        </w:rPr>
        <w:t>fonctionnement</w:t>
      </w:r>
      <w:r w:rsidR="00DB1635" w:rsidRPr="00B004EE">
        <w:rPr>
          <w:rFonts w:ascii="Tahoma" w:hAnsi="Tahoma" w:cs="Tahoma"/>
          <w:sz w:val="20"/>
          <w:szCs w:val="20"/>
        </w:rPr>
        <w:t xml:space="preserve"> </w:t>
      </w:r>
      <w:r w:rsidR="008518B0" w:rsidRPr="00B004EE">
        <w:rPr>
          <w:rFonts w:ascii="Tahoma" w:hAnsi="Tahoma" w:cs="Tahoma"/>
          <w:sz w:val="20"/>
          <w:szCs w:val="20"/>
        </w:rPr>
        <w:t>et</w:t>
      </w:r>
      <w:r w:rsidR="00DB1635" w:rsidRPr="00B004EE">
        <w:rPr>
          <w:rFonts w:ascii="Tahoma" w:hAnsi="Tahoma" w:cs="Tahoma"/>
          <w:sz w:val="20"/>
          <w:szCs w:val="20"/>
        </w:rPr>
        <w:t xml:space="preserve"> </w:t>
      </w:r>
      <w:r w:rsidR="008518B0" w:rsidRPr="00B004EE">
        <w:rPr>
          <w:rFonts w:ascii="Tahoma" w:hAnsi="Tahoma" w:cs="Tahoma"/>
          <w:sz w:val="20"/>
          <w:szCs w:val="20"/>
        </w:rPr>
        <w:t>la</w:t>
      </w:r>
      <w:r w:rsidR="00DB1635" w:rsidRPr="00B004EE">
        <w:rPr>
          <w:rFonts w:ascii="Tahoma" w:hAnsi="Tahoma" w:cs="Tahoma"/>
          <w:sz w:val="20"/>
          <w:szCs w:val="20"/>
        </w:rPr>
        <w:t xml:space="preserve"> </w:t>
      </w:r>
      <w:r w:rsidR="008518B0" w:rsidRPr="00B004EE">
        <w:rPr>
          <w:rFonts w:ascii="Tahoma" w:hAnsi="Tahoma" w:cs="Tahoma"/>
          <w:sz w:val="20"/>
          <w:szCs w:val="20"/>
        </w:rPr>
        <w:t>gestion</w:t>
      </w:r>
      <w:r w:rsidR="00DB1635" w:rsidRPr="00B004EE">
        <w:rPr>
          <w:rFonts w:ascii="Tahoma" w:hAnsi="Tahoma" w:cs="Tahoma"/>
          <w:sz w:val="20"/>
          <w:szCs w:val="20"/>
        </w:rPr>
        <w:t xml:space="preserve"> </w:t>
      </w:r>
      <w:r w:rsidR="008518B0" w:rsidRPr="00B004EE">
        <w:rPr>
          <w:rFonts w:ascii="Tahoma" w:hAnsi="Tahoma" w:cs="Tahoma"/>
          <w:sz w:val="20"/>
          <w:szCs w:val="20"/>
        </w:rPr>
        <w:t>de</w:t>
      </w:r>
      <w:r w:rsidR="00DB1635" w:rsidRPr="00B004EE">
        <w:rPr>
          <w:rFonts w:ascii="Tahoma" w:hAnsi="Tahoma" w:cs="Tahoma"/>
          <w:sz w:val="20"/>
          <w:szCs w:val="20"/>
        </w:rPr>
        <w:t xml:space="preserve"> </w:t>
      </w:r>
      <w:r w:rsidR="008518B0" w:rsidRPr="00B004EE">
        <w:rPr>
          <w:rFonts w:ascii="Tahoma" w:hAnsi="Tahoma" w:cs="Tahoma"/>
          <w:sz w:val="20"/>
          <w:szCs w:val="20"/>
        </w:rPr>
        <w:t>l'Office</w:t>
      </w:r>
      <w:r w:rsidR="00DB1635" w:rsidRPr="00B004EE">
        <w:rPr>
          <w:rFonts w:ascii="Tahoma" w:hAnsi="Tahoma" w:cs="Tahoma"/>
          <w:sz w:val="20"/>
          <w:szCs w:val="20"/>
        </w:rPr>
        <w:t xml:space="preserve"> </w:t>
      </w:r>
      <w:r w:rsidR="008518B0" w:rsidRPr="00B004EE">
        <w:rPr>
          <w:rFonts w:ascii="Tahoma" w:hAnsi="Tahoma" w:cs="Tahoma"/>
          <w:sz w:val="20"/>
          <w:szCs w:val="20"/>
        </w:rPr>
        <w:t>National</w:t>
      </w:r>
      <w:r w:rsidR="00DB1635" w:rsidRPr="00B004EE">
        <w:rPr>
          <w:rFonts w:ascii="Tahoma" w:hAnsi="Tahoma" w:cs="Tahoma"/>
          <w:sz w:val="20"/>
          <w:szCs w:val="20"/>
        </w:rPr>
        <w:t xml:space="preserve"> </w:t>
      </w:r>
      <w:r w:rsidR="008518B0" w:rsidRPr="00B004EE">
        <w:rPr>
          <w:rFonts w:ascii="Tahoma" w:hAnsi="Tahoma" w:cs="Tahoma"/>
          <w:sz w:val="20"/>
          <w:szCs w:val="20"/>
        </w:rPr>
        <w:t>d'Inspection</w:t>
      </w:r>
      <w:r w:rsidR="00DB1635" w:rsidRPr="00B004EE">
        <w:rPr>
          <w:rFonts w:ascii="Tahoma" w:hAnsi="Tahoma" w:cs="Tahoma"/>
          <w:sz w:val="20"/>
          <w:szCs w:val="20"/>
        </w:rPr>
        <w:t xml:space="preserve"> </w:t>
      </w:r>
      <w:r w:rsidR="008518B0" w:rsidRPr="00B004EE">
        <w:rPr>
          <w:rFonts w:ascii="Tahoma" w:hAnsi="Tahoma" w:cs="Tahoma"/>
          <w:sz w:val="20"/>
          <w:szCs w:val="20"/>
        </w:rPr>
        <w:t>Sanitaire</w:t>
      </w:r>
      <w:r w:rsidR="00DB1635" w:rsidRPr="00B004EE">
        <w:rPr>
          <w:rFonts w:ascii="Tahoma" w:hAnsi="Tahoma" w:cs="Tahoma"/>
          <w:sz w:val="20"/>
          <w:szCs w:val="20"/>
        </w:rPr>
        <w:t xml:space="preserve"> </w:t>
      </w:r>
      <w:r w:rsidR="008518B0" w:rsidRPr="00B004EE">
        <w:rPr>
          <w:rFonts w:ascii="Tahoma" w:hAnsi="Tahoma" w:cs="Tahoma"/>
          <w:sz w:val="20"/>
          <w:szCs w:val="20"/>
        </w:rPr>
        <w:t>des</w:t>
      </w:r>
      <w:r w:rsidR="00DB1635" w:rsidRPr="00B004EE">
        <w:rPr>
          <w:rFonts w:ascii="Tahoma" w:hAnsi="Tahoma" w:cs="Tahoma"/>
          <w:sz w:val="20"/>
          <w:szCs w:val="20"/>
        </w:rPr>
        <w:t xml:space="preserve"> </w:t>
      </w:r>
      <w:r w:rsidR="008518B0" w:rsidRPr="00B004EE">
        <w:rPr>
          <w:rFonts w:ascii="Tahoma" w:hAnsi="Tahoma" w:cs="Tahoma"/>
          <w:sz w:val="20"/>
          <w:szCs w:val="20"/>
        </w:rPr>
        <w:t>Produits</w:t>
      </w:r>
      <w:r w:rsidR="00DB1635" w:rsidRPr="00B004EE">
        <w:rPr>
          <w:rFonts w:ascii="Tahoma" w:hAnsi="Tahoma" w:cs="Tahoma"/>
          <w:sz w:val="20"/>
          <w:szCs w:val="20"/>
        </w:rPr>
        <w:t xml:space="preserve"> </w:t>
      </w:r>
      <w:r w:rsidR="008518B0" w:rsidRPr="00B004EE">
        <w:rPr>
          <w:rFonts w:ascii="Tahoma" w:hAnsi="Tahoma" w:cs="Tahoma"/>
          <w:sz w:val="20"/>
          <w:szCs w:val="20"/>
        </w:rPr>
        <w:t>de</w:t>
      </w:r>
      <w:r w:rsidR="00DB1635" w:rsidRPr="00B004EE">
        <w:rPr>
          <w:rFonts w:ascii="Tahoma" w:hAnsi="Tahoma" w:cs="Tahoma"/>
          <w:sz w:val="20"/>
          <w:szCs w:val="20"/>
        </w:rPr>
        <w:t xml:space="preserve"> </w:t>
      </w:r>
      <w:r w:rsidR="008518B0" w:rsidRPr="00B004EE">
        <w:rPr>
          <w:rFonts w:ascii="Tahoma" w:hAnsi="Tahoma" w:cs="Tahoma"/>
          <w:sz w:val="20"/>
          <w:szCs w:val="20"/>
        </w:rPr>
        <w:t>la</w:t>
      </w:r>
      <w:r w:rsidR="00DB1635" w:rsidRPr="00B004EE">
        <w:rPr>
          <w:rFonts w:ascii="Tahoma" w:hAnsi="Tahoma" w:cs="Tahoma"/>
          <w:sz w:val="20"/>
          <w:szCs w:val="20"/>
        </w:rPr>
        <w:t xml:space="preserve"> </w:t>
      </w:r>
      <w:r w:rsidR="008518B0" w:rsidRPr="00B004EE">
        <w:rPr>
          <w:rFonts w:ascii="Tahoma" w:hAnsi="Tahoma" w:cs="Tahoma"/>
          <w:sz w:val="20"/>
          <w:szCs w:val="20"/>
        </w:rPr>
        <w:t>Pêche</w:t>
      </w:r>
      <w:r w:rsidR="00DB1635" w:rsidRPr="00B004EE">
        <w:rPr>
          <w:rFonts w:ascii="Tahoma" w:hAnsi="Tahoma" w:cs="Tahoma"/>
          <w:sz w:val="20"/>
          <w:szCs w:val="20"/>
        </w:rPr>
        <w:t xml:space="preserve"> </w:t>
      </w:r>
      <w:r w:rsidR="008518B0" w:rsidRPr="00B004EE">
        <w:rPr>
          <w:rFonts w:ascii="Tahoma" w:hAnsi="Tahoma" w:cs="Tahoma"/>
          <w:sz w:val="20"/>
          <w:szCs w:val="20"/>
        </w:rPr>
        <w:t>et</w:t>
      </w:r>
      <w:r w:rsidR="00DB1635" w:rsidRPr="00B004EE">
        <w:rPr>
          <w:rFonts w:ascii="Tahoma" w:hAnsi="Tahoma" w:cs="Tahoma"/>
          <w:sz w:val="20"/>
          <w:szCs w:val="20"/>
        </w:rPr>
        <w:t xml:space="preserve"> </w:t>
      </w:r>
      <w:r w:rsidR="008518B0" w:rsidRPr="00B004EE">
        <w:rPr>
          <w:rFonts w:ascii="Tahoma" w:hAnsi="Tahoma" w:cs="Tahoma"/>
          <w:sz w:val="20"/>
          <w:szCs w:val="20"/>
        </w:rPr>
        <w:t>de</w:t>
      </w:r>
      <w:r w:rsidR="00DB1635" w:rsidRPr="00B004EE">
        <w:rPr>
          <w:rFonts w:ascii="Tahoma" w:hAnsi="Tahoma" w:cs="Tahoma"/>
          <w:sz w:val="20"/>
          <w:szCs w:val="20"/>
        </w:rPr>
        <w:t xml:space="preserve"> </w:t>
      </w:r>
      <w:r w:rsidR="008518B0" w:rsidRPr="00B004EE">
        <w:rPr>
          <w:rFonts w:ascii="Tahoma" w:hAnsi="Tahoma" w:cs="Tahoma"/>
          <w:sz w:val="20"/>
          <w:szCs w:val="20"/>
        </w:rPr>
        <w:t>l'Aquaculture</w:t>
      </w:r>
      <w:r w:rsidR="00DB1635" w:rsidRPr="00B004EE">
        <w:rPr>
          <w:rFonts w:ascii="Tahoma" w:hAnsi="Tahoma" w:cs="Tahoma"/>
          <w:sz w:val="20"/>
          <w:szCs w:val="20"/>
        </w:rPr>
        <w:t xml:space="preserve"> </w:t>
      </w:r>
      <w:r w:rsidR="008518B0" w:rsidRPr="00B004EE">
        <w:rPr>
          <w:rFonts w:ascii="Tahoma" w:hAnsi="Tahoma" w:cs="Tahoma"/>
          <w:sz w:val="20"/>
          <w:szCs w:val="20"/>
        </w:rPr>
        <w:t>conformément</w:t>
      </w:r>
      <w:r w:rsidR="00DB1635" w:rsidRPr="00B004EE">
        <w:rPr>
          <w:rFonts w:ascii="Tahoma" w:hAnsi="Tahoma" w:cs="Tahoma"/>
          <w:sz w:val="20"/>
          <w:szCs w:val="20"/>
        </w:rPr>
        <w:t xml:space="preserve"> </w:t>
      </w:r>
      <w:r w:rsidR="008518B0" w:rsidRPr="00B004EE">
        <w:rPr>
          <w:rFonts w:ascii="Tahoma" w:hAnsi="Tahoma" w:cs="Tahoma"/>
          <w:sz w:val="20"/>
          <w:szCs w:val="20"/>
        </w:rPr>
        <w:t>aux</w:t>
      </w:r>
      <w:r w:rsidR="00DB1635" w:rsidRPr="00B004EE">
        <w:rPr>
          <w:rFonts w:ascii="Tahoma" w:hAnsi="Tahoma" w:cs="Tahoma"/>
          <w:sz w:val="20"/>
          <w:szCs w:val="20"/>
        </w:rPr>
        <w:t xml:space="preserve"> </w:t>
      </w:r>
      <w:r w:rsidR="008518B0" w:rsidRPr="00B004EE">
        <w:rPr>
          <w:rFonts w:ascii="Tahoma" w:hAnsi="Tahoma" w:cs="Tahoma"/>
          <w:sz w:val="20"/>
          <w:szCs w:val="20"/>
        </w:rPr>
        <w:t>missions</w:t>
      </w:r>
      <w:r w:rsidR="00DB1635" w:rsidRPr="00B004EE">
        <w:rPr>
          <w:rFonts w:ascii="Tahoma" w:hAnsi="Tahoma" w:cs="Tahoma"/>
          <w:sz w:val="20"/>
          <w:szCs w:val="20"/>
        </w:rPr>
        <w:t xml:space="preserve"> </w:t>
      </w:r>
      <w:r w:rsidR="008518B0" w:rsidRPr="00B004EE">
        <w:rPr>
          <w:rFonts w:ascii="Tahoma" w:hAnsi="Tahoma" w:cs="Tahoma"/>
          <w:sz w:val="20"/>
          <w:szCs w:val="20"/>
        </w:rPr>
        <w:t>de</w:t>
      </w:r>
      <w:r w:rsidR="00DB1635" w:rsidRPr="00B004EE">
        <w:rPr>
          <w:rFonts w:ascii="Tahoma" w:hAnsi="Tahoma" w:cs="Tahoma"/>
          <w:sz w:val="20"/>
          <w:szCs w:val="20"/>
        </w:rPr>
        <w:t xml:space="preserve"> </w:t>
      </w:r>
      <w:r w:rsidR="008518B0" w:rsidRPr="00B004EE">
        <w:rPr>
          <w:rFonts w:ascii="Tahoma" w:hAnsi="Tahoma" w:cs="Tahoma"/>
          <w:sz w:val="20"/>
          <w:szCs w:val="20"/>
        </w:rPr>
        <w:t>celui-ci.</w:t>
      </w:r>
    </w:p>
    <w:p w14:paraId="34B145DE" w14:textId="77777777" w:rsidR="00FF661D" w:rsidRPr="00B004EE" w:rsidRDefault="00FF661D" w:rsidP="00B004EE">
      <w:pPr>
        <w:jc w:val="both"/>
        <w:rPr>
          <w:rFonts w:ascii="Tahoma" w:hAnsi="Tahoma" w:cs="Tahoma"/>
          <w:sz w:val="20"/>
          <w:szCs w:val="20"/>
        </w:rPr>
      </w:pPr>
    </w:p>
    <w:p w14:paraId="04F3A556" w14:textId="6ECC3B6F" w:rsidR="008518B0" w:rsidRPr="00B004EE" w:rsidRDefault="008518B0" w:rsidP="00B004EE">
      <w:pPr>
        <w:pStyle w:val="Corpsdetexte"/>
        <w:ind w:left="266" w:right="182"/>
        <w:rPr>
          <w:rFonts w:ascii="Tahoma" w:hAnsi="Tahoma" w:cs="Tahoma"/>
          <w:sz w:val="20"/>
          <w:szCs w:val="20"/>
        </w:rPr>
      </w:pPr>
      <w:r w:rsidRPr="00B004EE">
        <w:rPr>
          <w:rFonts w:ascii="Tahoma" w:hAnsi="Tahoma" w:cs="Tahoma"/>
          <w:sz w:val="20"/>
          <w:szCs w:val="20"/>
        </w:rPr>
        <w:t>A</w:t>
      </w:r>
      <w:r w:rsidR="00DB1635" w:rsidRPr="00B004EE">
        <w:rPr>
          <w:rFonts w:ascii="Tahoma" w:hAnsi="Tahoma" w:cs="Tahoma"/>
          <w:sz w:val="20"/>
          <w:szCs w:val="20"/>
        </w:rPr>
        <w:t xml:space="preserve"> </w:t>
      </w:r>
      <w:r w:rsidRPr="00B004EE">
        <w:rPr>
          <w:rFonts w:ascii="Tahoma" w:hAnsi="Tahoma" w:cs="Tahoma"/>
          <w:sz w:val="20"/>
          <w:szCs w:val="20"/>
        </w:rPr>
        <w:t>ce</w:t>
      </w:r>
      <w:r w:rsidR="00DB1635" w:rsidRPr="00B004EE">
        <w:rPr>
          <w:rFonts w:ascii="Tahoma" w:hAnsi="Tahoma" w:cs="Tahoma"/>
          <w:sz w:val="20"/>
          <w:szCs w:val="20"/>
        </w:rPr>
        <w:t xml:space="preserve"> </w:t>
      </w:r>
      <w:r w:rsidRPr="00B004EE">
        <w:rPr>
          <w:rFonts w:ascii="Tahoma" w:hAnsi="Tahoma" w:cs="Tahoma"/>
          <w:sz w:val="20"/>
          <w:szCs w:val="20"/>
        </w:rPr>
        <w:t>titre,</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responsabilités</w:t>
      </w:r>
      <w:r w:rsidR="00DB1635" w:rsidRPr="00B004EE">
        <w:rPr>
          <w:rFonts w:ascii="Tahoma" w:hAnsi="Tahoma" w:cs="Tahoma"/>
          <w:sz w:val="20"/>
          <w:szCs w:val="20"/>
        </w:rPr>
        <w:t xml:space="preserve"> </w:t>
      </w:r>
      <w:r w:rsidRPr="00B004EE">
        <w:rPr>
          <w:rFonts w:ascii="Tahoma" w:hAnsi="Tahoma" w:cs="Tahoma"/>
          <w:sz w:val="20"/>
          <w:szCs w:val="20"/>
        </w:rPr>
        <w:t>suivantes</w:t>
      </w:r>
      <w:r w:rsidR="00DB1635" w:rsidRPr="00B004EE">
        <w:rPr>
          <w:rFonts w:ascii="Tahoma" w:hAnsi="Tahoma" w:cs="Tahoma"/>
          <w:sz w:val="20"/>
          <w:szCs w:val="20"/>
        </w:rPr>
        <w:t xml:space="preserve"> </w:t>
      </w:r>
      <w:r w:rsidRPr="00B004EE">
        <w:rPr>
          <w:rFonts w:ascii="Tahoma" w:hAnsi="Tahoma" w:cs="Tahoma"/>
          <w:sz w:val="20"/>
          <w:szCs w:val="20"/>
        </w:rPr>
        <w:t>lui</w:t>
      </w:r>
      <w:r w:rsidR="00DB1635" w:rsidRPr="00B004EE">
        <w:rPr>
          <w:rFonts w:ascii="Tahoma" w:hAnsi="Tahoma" w:cs="Tahoma"/>
          <w:sz w:val="20"/>
          <w:szCs w:val="20"/>
        </w:rPr>
        <w:t xml:space="preserve"> </w:t>
      </w:r>
      <w:r w:rsidRPr="00B004EE">
        <w:rPr>
          <w:rFonts w:ascii="Tahoma" w:hAnsi="Tahoma" w:cs="Tahoma"/>
          <w:sz w:val="20"/>
          <w:szCs w:val="20"/>
        </w:rPr>
        <w:t>incombent,</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pacing w:val="45"/>
          <w:sz w:val="20"/>
          <w:szCs w:val="20"/>
        </w:rPr>
        <w:t xml:space="preserve"> </w:t>
      </w:r>
      <w:r w:rsidR="003A697D" w:rsidRPr="00B004EE">
        <w:rPr>
          <w:rFonts w:ascii="Tahoma" w:hAnsi="Tahoma" w:cs="Tahoma"/>
          <w:sz w:val="20"/>
          <w:szCs w:val="20"/>
        </w:rPr>
        <w:t>savoir :</w:t>
      </w:r>
    </w:p>
    <w:p w14:paraId="121A7B6F" w14:textId="0F73B2D6" w:rsidR="008518B0" w:rsidRPr="00B004EE" w:rsidRDefault="008518B0" w:rsidP="00420DDA">
      <w:pPr>
        <w:pStyle w:val="Paragraphedeliste"/>
        <w:widowControl w:val="0"/>
        <w:numPr>
          <w:ilvl w:val="0"/>
          <w:numId w:val="153"/>
        </w:numPr>
        <w:tabs>
          <w:tab w:val="left" w:pos="516"/>
        </w:tabs>
        <w:ind w:left="851" w:hanging="425"/>
        <w:rPr>
          <w:rFonts w:ascii="Tahoma" w:eastAsia="Times" w:hAnsi="Tahoma" w:cs="Tahoma"/>
          <w:sz w:val="20"/>
          <w:szCs w:val="20"/>
        </w:rPr>
      </w:pPr>
      <w:proofErr w:type="gramStart"/>
      <w:r w:rsidRPr="00B004EE">
        <w:rPr>
          <w:rFonts w:ascii="Tahoma" w:hAnsi="Tahoma" w:cs="Tahoma"/>
          <w:sz w:val="20"/>
          <w:szCs w:val="20"/>
        </w:rPr>
        <w:t>il</w:t>
      </w:r>
      <w:proofErr w:type="gramEnd"/>
      <w:r w:rsidR="00DB1635" w:rsidRPr="00B004EE">
        <w:rPr>
          <w:rFonts w:ascii="Tahoma" w:hAnsi="Tahoma" w:cs="Tahoma"/>
          <w:sz w:val="20"/>
          <w:szCs w:val="20"/>
        </w:rPr>
        <w:t xml:space="preserve"> </w:t>
      </w:r>
      <w:r w:rsidRPr="00B004EE">
        <w:rPr>
          <w:rFonts w:ascii="Tahoma" w:hAnsi="Tahoma" w:cs="Tahoma"/>
          <w:sz w:val="20"/>
          <w:szCs w:val="20"/>
        </w:rPr>
        <w:t>veille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l'application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lois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pacing w:val="-7"/>
          <w:sz w:val="20"/>
          <w:szCs w:val="20"/>
        </w:rPr>
        <w:t xml:space="preserve"> </w:t>
      </w:r>
      <w:r w:rsidRPr="00B004EE">
        <w:rPr>
          <w:rFonts w:ascii="Tahoma" w:hAnsi="Tahoma" w:cs="Tahoma"/>
          <w:sz w:val="20"/>
          <w:szCs w:val="20"/>
        </w:rPr>
        <w:t>règlements;</w:t>
      </w:r>
    </w:p>
    <w:p w14:paraId="1CFE04BA" w14:textId="6A4A1877" w:rsidR="008518B0" w:rsidRPr="00B004EE" w:rsidRDefault="008518B0" w:rsidP="00420DDA">
      <w:pPr>
        <w:pStyle w:val="Paragraphedeliste"/>
        <w:widowControl w:val="0"/>
        <w:numPr>
          <w:ilvl w:val="0"/>
          <w:numId w:val="153"/>
        </w:numPr>
        <w:tabs>
          <w:tab w:val="left" w:pos="516"/>
        </w:tabs>
        <w:ind w:left="851" w:hanging="425"/>
        <w:rPr>
          <w:rFonts w:ascii="Tahoma" w:eastAsia="Times" w:hAnsi="Tahoma" w:cs="Tahoma"/>
          <w:sz w:val="20"/>
          <w:szCs w:val="20"/>
        </w:rPr>
      </w:pPr>
      <w:proofErr w:type="gramStart"/>
      <w:r w:rsidRPr="00B004EE">
        <w:rPr>
          <w:rFonts w:ascii="Tahoma" w:hAnsi="Tahoma" w:cs="Tahoma"/>
          <w:spacing w:val="2"/>
          <w:sz w:val="20"/>
          <w:szCs w:val="20"/>
        </w:rPr>
        <w:t>il</w:t>
      </w:r>
      <w:proofErr w:type="gramEnd"/>
      <w:r w:rsidR="00DB1635" w:rsidRPr="00B004EE">
        <w:rPr>
          <w:rFonts w:ascii="Tahoma" w:hAnsi="Tahoma" w:cs="Tahoma"/>
          <w:spacing w:val="2"/>
          <w:sz w:val="20"/>
          <w:szCs w:val="20"/>
        </w:rPr>
        <w:t xml:space="preserve"> </w:t>
      </w:r>
      <w:r w:rsidRPr="00B004EE">
        <w:rPr>
          <w:rFonts w:ascii="Tahoma" w:hAnsi="Tahoma" w:cs="Tahoma"/>
          <w:spacing w:val="2"/>
          <w:sz w:val="20"/>
          <w:szCs w:val="20"/>
        </w:rPr>
        <w:t>est</w:t>
      </w:r>
      <w:r w:rsidR="00DB1635" w:rsidRPr="00B004EE">
        <w:rPr>
          <w:rFonts w:ascii="Tahoma" w:hAnsi="Tahoma" w:cs="Tahoma"/>
          <w:spacing w:val="2"/>
          <w:sz w:val="20"/>
          <w:szCs w:val="20"/>
        </w:rPr>
        <w:t xml:space="preserve"> </w:t>
      </w:r>
      <w:r w:rsidRPr="00B004EE">
        <w:rPr>
          <w:rFonts w:ascii="Tahoma" w:hAnsi="Tahoma" w:cs="Tahoma"/>
          <w:spacing w:val="4"/>
          <w:sz w:val="20"/>
          <w:szCs w:val="20"/>
        </w:rPr>
        <w:t>responsable</w:t>
      </w:r>
      <w:r w:rsidR="00DB1635" w:rsidRPr="00B004EE">
        <w:rPr>
          <w:rFonts w:ascii="Tahoma" w:hAnsi="Tahoma" w:cs="Tahoma"/>
          <w:spacing w:val="4"/>
          <w:sz w:val="20"/>
          <w:szCs w:val="20"/>
        </w:rPr>
        <w:t xml:space="preserve"> </w:t>
      </w:r>
      <w:r w:rsidRPr="00B004EE">
        <w:rPr>
          <w:rFonts w:ascii="Tahoma" w:hAnsi="Tahoma" w:cs="Tahoma"/>
          <w:spacing w:val="3"/>
          <w:sz w:val="20"/>
          <w:szCs w:val="20"/>
        </w:rPr>
        <w:t>devant</w:t>
      </w:r>
      <w:r w:rsidR="00DB1635" w:rsidRPr="00B004EE">
        <w:rPr>
          <w:rFonts w:ascii="Tahoma" w:hAnsi="Tahoma" w:cs="Tahoma"/>
          <w:spacing w:val="3"/>
          <w:sz w:val="20"/>
          <w:szCs w:val="20"/>
        </w:rPr>
        <w:t xml:space="preserve"> </w:t>
      </w:r>
      <w:r w:rsidRPr="00B004EE">
        <w:rPr>
          <w:rFonts w:ascii="Tahoma" w:hAnsi="Tahoma" w:cs="Tahoma"/>
          <w:spacing w:val="2"/>
          <w:sz w:val="20"/>
          <w:szCs w:val="20"/>
        </w:rPr>
        <w:t>le</w:t>
      </w:r>
      <w:r w:rsidR="00DB1635" w:rsidRPr="00B004EE">
        <w:rPr>
          <w:rFonts w:ascii="Tahoma" w:hAnsi="Tahoma" w:cs="Tahoma"/>
          <w:spacing w:val="2"/>
          <w:sz w:val="20"/>
          <w:szCs w:val="20"/>
        </w:rPr>
        <w:t xml:space="preserve"> </w:t>
      </w:r>
      <w:r w:rsidRPr="00B004EE">
        <w:rPr>
          <w:rFonts w:ascii="Tahoma" w:hAnsi="Tahoma" w:cs="Tahoma"/>
          <w:spacing w:val="4"/>
          <w:sz w:val="20"/>
          <w:szCs w:val="20"/>
        </w:rPr>
        <w:t>Conseil</w:t>
      </w:r>
      <w:r w:rsidR="00DB1635" w:rsidRPr="00B004EE">
        <w:rPr>
          <w:rFonts w:ascii="Tahoma" w:hAnsi="Tahoma" w:cs="Tahoma"/>
          <w:spacing w:val="50"/>
          <w:sz w:val="20"/>
          <w:szCs w:val="20"/>
        </w:rPr>
        <w:t xml:space="preserve"> </w:t>
      </w:r>
      <w:r w:rsidRPr="00B004EE">
        <w:rPr>
          <w:rFonts w:ascii="Tahoma" w:hAnsi="Tahoma" w:cs="Tahoma"/>
          <w:sz w:val="20"/>
          <w:szCs w:val="20"/>
        </w:rPr>
        <w:t>d'Administration;</w:t>
      </w:r>
    </w:p>
    <w:p w14:paraId="58081E46" w14:textId="0AD56396" w:rsidR="008518B0" w:rsidRPr="00B004EE" w:rsidRDefault="008518B0" w:rsidP="00420DDA">
      <w:pPr>
        <w:pStyle w:val="Paragraphedeliste"/>
        <w:widowControl w:val="0"/>
        <w:numPr>
          <w:ilvl w:val="0"/>
          <w:numId w:val="153"/>
        </w:numPr>
        <w:tabs>
          <w:tab w:val="left" w:pos="516"/>
        </w:tabs>
        <w:ind w:left="851" w:hanging="425"/>
        <w:rPr>
          <w:rFonts w:ascii="Tahoma" w:eastAsia="Times" w:hAnsi="Tahoma" w:cs="Tahoma"/>
          <w:sz w:val="20"/>
          <w:szCs w:val="20"/>
        </w:rPr>
      </w:pPr>
      <w:proofErr w:type="gramStart"/>
      <w:r w:rsidRPr="00B004EE">
        <w:rPr>
          <w:rFonts w:ascii="Tahoma" w:hAnsi="Tahoma" w:cs="Tahoma"/>
          <w:sz w:val="20"/>
          <w:szCs w:val="20"/>
        </w:rPr>
        <w:t>il</w:t>
      </w:r>
      <w:proofErr w:type="gramEnd"/>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chargé</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l'exécution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délibérations</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Comité</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pacing w:val="7"/>
          <w:sz w:val="20"/>
          <w:szCs w:val="20"/>
        </w:rPr>
        <w:t xml:space="preserve"> </w:t>
      </w:r>
      <w:r w:rsidRPr="00B004EE">
        <w:rPr>
          <w:rFonts w:ascii="Tahoma" w:hAnsi="Tahoma" w:cs="Tahoma"/>
          <w:sz w:val="20"/>
          <w:szCs w:val="20"/>
        </w:rPr>
        <w:t>Gestion;</w:t>
      </w:r>
    </w:p>
    <w:p w14:paraId="4A7E40F1" w14:textId="4367911C" w:rsidR="008518B0" w:rsidRPr="00B004EE" w:rsidRDefault="008518B0" w:rsidP="00420DDA">
      <w:pPr>
        <w:pStyle w:val="Paragraphedeliste"/>
        <w:widowControl w:val="0"/>
        <w:numPr>
          <w:ilvl w:val="0"/>
          <w:numId w:val="153"/>
        </w:numPr>
        <w:tabs>
          <w:tab w:val="left" w:pos="516"/>
        </w:tabs>
        <w:ind w:left="851" w:hanging="425"/>
        <w:rPr>
          <w:rFonts w:ascii="Tahoma" w:eastAsia="Times" w:hAnsi="Tahoma" w:cs="Tahoma"/>
          <w:sz w:val="20"/>
          <w:szCs w:val="20"/>
        </w:rPr>
      </w:pPr>
      <w:proofErr w:type="gramStart"/>
      <w:r w:rsidRPr="00B004EE">
        <w:rPr>
          <w:rFonts w:ascii="Tahoma" w:hAnsi="Tahoma" w:cs="Tahoma"/>
          <w:spacing w:val="-4"/>
          <w:sz w:val="20"/>
          <w:szCs w:val="20"/>
        </w:rPr>
        <w:t>il</w:t>
      </w:r>
      <w:proofErr w:type="gramEnd"/>
      <w:r w:rsidR="00DB1635" w:rsidRPr="00B004EE">
        <w:rPr>
          <w:rFonts w:ascii="Tahoma" w:hAnsi="Tahoma" w:cs="Tahoma"/>
          <w:spacing w:val="-4"/>
          <w:sz w:val="20"/>
          <w:szCs w:val="20"/>
        </w:rPr>
        <w:t xml:space="preserve"> </w:t>
      </w:r>
      <w:r w:rsidRPr="00B004EE">
        <w:rPr>
          <w:rFonts w:ascii="Tahoma" w:hAnsi="Tahoma" w:cs="Tahoma"/>
          <w:spacing w:val="-5"/>
          <w:sz w:val="20"/>
          <w:szCs w:val="20"/>
        </w:rPr>
        <w:t>est</w:t>
      </w:r>
      <w:r w:rsidR="00DB1635" w:rsidRPr="00B004EE">
        <w:rPr>
          <w:rFonts w:ascii="Tahoma" w:hAnsi="Tahoma" w:cs="Tahoma"/>
          <w:spacing w:val="-5"/>
          <w:sz w:val="20"/>
          <w:szCs w:val="20"/>
        </w:rPr>
        <w:t xml:space="preserve"> </w:t>
      </w:r>
      <w:r w:rsidRPr="00B004EE">
        <w:rPr>
          <w:rFonts w:ascii="Tahoma" w:hAnsi="Tahoma" w:cs="Tahoma"/>
          <w:spacing w:val="-6"/>
          <w:sz w:val="20"/>
          <w:szCs w:val="20"/>
        </w:rPr>
        <w:t>l'ordonnateur</w:t>
      </w:r>
      <w:r w:rsidR="00DB1635" w:rsidRPr="00B004EE">
        <w:rPr>
          <w:rFonts w:ascii="Tahoma" w:hAnsi="Tahoma" w:cs="Tahoma"/>
          <w:spacing w:val="-6"/>
          <w:sz w:val="20"/>
          <w:szCs w:val="20"/>
        </w:rPr>
        <w:t xml:space="preserve"> </w:t>
      </w:r>
      <w:r w:rsidRPr="00B004EE">
        <w:rPr>
          <w:rFonts w:ascii="Tahoma" w:hAnsi="Tahoma" w:cs="Tahoma"/>
          <w:spacing w:val="-6"/>
          <w:sz w:val="20"/>
          <w:szCs w:val="20"/>
        </w:rPr>
        <w:t>unique</w:t>
      </w:r>
      <w:r w:rsidR="00DB1635" w:rsidRPr="00B004EE">
        <w:rPr>
          <w:rFonts w:ascii="Tahoma" w:hAnsi="Tahoma" w:cs="Tahoma"/>
          <w:spacing w:val="-6"/>
          <w:sz w:val="20"/>
          <w:szCs w:val="20"/>
        </w:rPr>
        <w:t xml:space="preserve"> </w:t>
      </w:r>
      <w:r w:rsidRPr="00B004EE">
        <w:rPr>
          <w:rFonts w:ascii="Tahoma" w:hAnsi="Tahoma" w:cs="Tahoma"/>
          <w:spacing w:val="-4"/>
          <w:sz w:val="20"/>
          <w:szCs w:val="20"/>
        </w:rPr>
        <w:t>du</w:t>
      </w:r>
      <w:r w:rsidR="00DB1635" w:rsidRPr="00B004EE">
        <w:rPr>
          <w:rFonts w:ascii="Tahoma" w:hAnsi="Tahoma" w:cs="Tahoma"/>
          <w:spacing w:val="-41"/>
          <w:sz w:val="20"/>
          <w:szCs w:val="20"/>
        </w:rPr>
        <w:t xml:space="preserve"> </w:t>
      </w:r>
      <w:r w:rsidRPr="00B004EE">
        <w:rPr>
          <w:rFonts w:ascii="Tahoma" w:hAnsi="Tahoma" w:cs="Tahoma"/>
          <w:spacing w:val="-6"/>
          <w:sz w:val="20"/>
          <w:szCs w:val="20"/>
        </w:rPr>
        <w:t>budget;</w:t>
      </w:r>
    </w:p>
    <w:p w14:paraId="688E2B66" w14:textId="425F1012" w:rsidR="008518B0" w:rsidRPr="00B004EE" w:rsidRDefault="008518B0" w:rsidP="00420DDA">
      <w:pPr>
        <w:pStyle w:val="Paragraphedeliste"/>
        <w:widowControl w:val="0"/>
        <w:numPr>
          <w:ilvl w:val="0"/>
          <w:numId w:val="153"/>
        </w:numPr>
        <w:tabs>
          <w:tab w:val="left" w:pos="516"/>
        </w:tabs>
        <w:ind w:left="851" w:hanging="425"/>
        <w:rPr>
          <w:rFonts w:ascii="Tahoma" w:eastAsia="Times" w:hAnsi="Tahoma" w:cs="Tahoma"/>
          <w:sz w:val="20"/>
          <w:szCs w:val="20"/>
        </w:rPr>
      </w:pPr>
      <w:proofErr w:type="gramStart"/>
      <w:r w:rsidRPr="00B004EE">
        <w:rPr>
          <w:rFonts w:ascii="Tahoma" w:hAnsi="Tahoma" w:cs="Tahoma"/>
          <w:sz w:val="20"/>
          <w:szCs w:val="20"/>
        </w:rPr>
        <w:t>il</w:t>
      </w:r>
      <w:proofErr w:type="gramEnd"/>
      <w:r w:rsidR="00DB1635" w:rsidRPr="00B004EE">
        <w:rPr>
          <w:rFonts w:ascii="Tahoma" w:hAnsi="Tahoma" w:cs="Tahoma"/>
          <w:sz w:val="20"/>
          <w:szCs w:val="20"/>
        </w:rPr>
        <w:t xml:space="preserve"> </w:t>
      </w:r>
      <w:r w:rsidRPr="00B004EE">
        <w:rPr>
          <w:rFonts w:ascii="Tahoma" w:hAnsi="Tahoma" w:cs="Tahoma"/>
          <w:sz w:val="20"/>
          <w:szCs w:val="20"/>
        </w:rPr>
        <w:t>gère</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patrimoine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pacing w:val="-14"/>
          <w:sz w:val="20"/>
          <w:szCs w:val="20"/>
        </w:rPr>
        <w:t xml:space="preserve"> </w:t>
      </w:r>
      <w:r w:rsidRPr="00B004EE">
        <w:rPr>
          <w:rFonts w:ascii="Tahoma" w:hAnsi="Tahoma" w:cs="Tahoma"/>
          <w:bCs/>
          <w:sz w:val="20"/>
          <w:szCs w:val="20"/>
        </w:rPr>
        <w:t>l’ONISPA</w:t>
      </w:r>
      <w:r w:rsidRPr="00B004EE">
        <w:rPr>
          <w:rFonts w:ascii="Tahoma" w:hAnsi="Tahoma" w:cs="Tahoma"/>
          <w:b/>
          <w:sz w:val="20"/>
          <w:szCs w:val="20"/>
        </w:rPr>
        <w:t>;</w:t>
      </w:r>
    </w:p>
    <w:p w14:paraId="3123DDB1" w14:textId="141E61D8" w:rsidR="008518B0" w:rsidRPr="00B004EE" w:rsidRDefault="008518B0" w:rsidP="00420DDA">
      <w:pPr>
        <w:pStyle w:val="Paragraphedeliste"/>
        <w:widowControl w:val="0"/>
        <w:numPr>
          <w:ilvl w:val="0"/>
          <w:numId w:val="153"/>
        </w:numPr>
        <w:tabs>
          <w:tab w:val="left" w:pos="456"/>
        </w:tabs>
        <w:ind w:left="851" w:hanging="425"/>
        <w:rPr>
          <w:rFonts w:ascii="Tahoma" w:eastAsia="Times" w:hAnsi="Tahoma" w:cs="Tahoma"/>
          <w:sz w:val="20"/>
          <w:szCs w:val="20"/>
        </w:rPr>
      </w:pPr>
      <w:proofErr w:type="gramStart"/>
      <w:r w:rsidRPr="00B004EE">
        <w:rPr>
          <w:rFonts w:ascii="Tahoma" w:hAnsi="Tahoma" w:cs="Tahoma"/>
          <w:spacing w:val="2"/>
          <w:sz w:val="20"/>
          <w:szCs w:val="20"/>
        </w:rPr>
        <w:t>il</w:t>
      </w:r>
      <w:proofErr w:type="gramEnd"/>
      <w:r w:rsidR="00DB1635" w:rsidRPr="00B004EE">
        <w:rPr>
          <w:rFonts w:ascii="Tahoma" w:hAnsi="Tahoma" w:cs="Tahoma"/>
          <w:spacing w:val="2"/>
          <w:sz w:val="20"/>
          <w:szCs w:val="20"/>
        </w:rPr>
        <w:t xml:space="preserve"> </w:t>
      </w:r>
      <w:r w:rsidRPr="00B004EE">
        <w:rPr>
          <w:rFonts w:ascii="Tahoma" w:hAnsi="Tahoma" w:cs="Tahoma"/>
          <w:spacing w:val="2"/>
          <w:sz w:val="20"/>
          <w:szCs w:val="20"/>
        </w:rPr>
        <w:t>signe</w:t>
      </w:r>
      <w:r w:rsidR="00DB1635" w:rsidRPr="00B004EE">
        <w:rPr>
          <w:rFonts w:ascii="Tahoma" w:hAnsi="Tahoma" w:cs="Tahoma"/>
          <w:spacing w:val="2"/>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pacing w:val="3"/>
          <w:sz w:val="20"/>
          <w:szCs w:val="20"/>
        </w:rPr>
        <w:t>contrats</w:t>
      </w:r>
      <w:r w:rsidR="00DB1635" w:rsidRPr="00B004EE">
        <w:rPr>
          <w:rFonts w:ascii="Tahoma" w:hAnsi="Tahoma" w:cs="Tahoma"/>
          <w:spacing w:val="3"/>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pacing w:val="3"/>
          <w:sz w:val="20"/>
          <w:szCs w:val="20"/>
        </w:rPr>
        <w:t>conventions</w:t>
      </w:r>
      <w:r w:rsidR="00DB1635" w:rsidRPr="00B004EE">
        <w:rPr>
          <w:rFonts w:ascii="Tahoma" w:hAnsi="Tahoma" w:cs="Tahoma"/>
          <w:spacing w:val="3"/>
          <w:sz w:val="20"/>
          <w:szCs w:val="20"/>
        </w:rPr>
        <w:t xml:space="preserve"> </w:t>
      </w:r>
      <w:r w:rsidRPr="00B004EE">
        <w:rPr>
          <w:rFonts w:ascii="Tahoma" w:hAnsi="Tahoma" w:cs="Tahoma"/>
          <w:spacing w:val="2"/>
          <w:sz w:val="20"/>
          <w:szCs w:val="20"/>
        </w:rPr>
        <w:t>avec</w:t>
      </w:r>
      <w:r w:rsidR="00DB1635" w:rsidRPr="00B004EE">
        <w:rPr>
          <w:rFonts w:ascii="Tahoma" w:hAnsi="Tahoma" w:cs="Tahoma"/>
          <w:spacing w:val="2"/>
          <w:sz w:val="20"/>
          <w:szCs w:val="20"/>
        </w:rPr>
        <w:t xml:space="preserve"> </w:t>
      </w:r>
      <w:r w:rsidRPr="00B004EE">
        <w:rPr>
          <w:rFonts w:ascii="Tahoma" w:hAnsi="Tahoma" w:cs="Tahoma"/>
          <w:spacing w:val="-2"/>
          <w:sz w:val="20"/>
          <w:szCs w:val="20"/>
        </w:rPr>
        <w:t>les</w:t>
      </w:r>
      <w:r w:rsidR="00DB1635" w:rsidRPr="00B004EE">
        <w:rPr>
          <w:rFonts w:ascii="Tahoma" w:hAnsi="Tahoma" w:cs="Tahoma"/>
          <w:spacing w:val="42"/>
          <w:sz w:val="20"/>
          <w:szCs w:val="20"/>
        </w:rPr>
        <w:t xml:space="preserve"> </w:t>
      </w:r>
      <w:r w:rsidRPr="00B004EE">
        <w:rPr>
          <w:rFonts w:ascii="Tahoma" w:hAnsi="Tahoma" w:cs="Tahoma"/>
          <w:spacing w:val="-2"/>
          <w:sz w:val="20"/>
          <w:szCs w:val="20"/>
        </w:rPr>
        <w:t>tiers;</w:t>
      </w:r>
    </w:p>
    <w:p w14:paraId="47FCAFE2" w14:textId="656D99DD" w:rsidR="008518B0" w:rsidRPr="00B004EE" w:rsidRDefault="008518B0" w:rsidP="00420DDA">
      <w:pPr>
        <w:pStyle w:val="Paragraphedeliste"/>
        <w:widowControl w:val="0"/>
        <w:numPr>
          <w:ilvl w:val="0"/>
          <w:numId w:val="153"/>
        </w:numPr>
        <w:tabs>
          <w:tab w:val="left" w:pos="459"/>
        </w:tabs>
        <w:ind w:left="851" w:right="194" w:hanging="425"/>
        <w:rPr>
          <w:rFonts w:ascii="Tahoma" w:eastAsia="Times" w:hAnsi="Tahoma" w:cs="Tahoma"/>
          <w:sz w:val="20"/>
          <w:szCs w:val="20"/>
        </w:rPr>
      </w:pPr>
      <w:proofErr w:type="gramStart"/>
      <w:r w:rsidRPr="00B004EE">
        <w:rPr>
          <w:rFonts w:ascii="Tahoma" w:hAnsi="Tahoma" w:cs="Tahoma"/>
          <w:spacing w:val="2"/>
          <w:sz w:val="20"/>
          <w:szCs w:val="20"/>
        </w:rPr>
        <w:t>il</w:t>
      </w:r>
      <w:proofErr w:type="gramEnd"/>
      <w:r w:rsidR="00DB1635" w:rsidRPr="00B004EE">
        <w:rPr>
          <w:rFonts w:ascii="Tahoma" w:hAnsi="Tahoma" w:cs="Tahoma"/>
          <w:spacing w:val="2"/>
          <w:sz w:val="20"/>
          <w:szCs w:val="20"/>
        </w:rPr>
        <w:t xml:space="preserve"> </w:t>
      </w:r>
      <w:r w:rsidRPr="00B004EE">
        <w:rPr>
          <w:rFonts w:ascii="Tahoma" w:hAnsi="Tahoma" w:cs="Tahoma"/>
          <w:spacing w:val="4"/>
          <w:sz w:val="20"/>
          <w:szCs w:val="20"/>
        </w:rPr>
        <w:t>gère</w:t>
      </w:r>
      <w:r w:rsidR="00DB1635" w:rsidRPr="00B004EE">
        <w:rPr>
          <w:rFonts w:ascii="Tahoma" w:hAnsi="Tahoma" w:cs="Tahoma"/>
          <w:spacing w:val="4"/>
          <w:sz w:val="20"/>
          <w:szCs w:val="20"/>
        </w:rPr>
        <w:t xml:space="preserve"> </w:t>
      </w:r>
      <w:r w:rsidRPr="00B004EE">
        <w:rPr>
          <w:rFonts w:ascii="Tahoma" w:hAnsi="Tahoma" w:cs="Tahoma"/>
          <w:spacing w:val="2"/>
          <w:sz w:val="20"/>
          <w:szCs w:val="20"/>
        </w:rPr>
        <w:t>le</w:t>
      </w:r>
      <w:r w:rsidR="00DB1635" w:rsidRPr="00B004EE">
        <w:rPr>
          <w:rFonts w:ascii="Tahoma" w:hAnsi="Tahoma" w:cs="Tahoma"/>
          <w:spacing w:val="2"/>
          <w:sz w:val="20"/>
          <w:szCs w:val="20"/>
        </w:rPr>
        <w:t xml:space="preserve"> </w:t>
      </w:r>
      <w:r w:rsidRPr="00B004EE">
        <w:rPr>
          <w:rFonts w:ascii="Tahoma" w:hAnsi="Tahoma" w:cs="Tahoma"/>
          <w:spacing w:val="5"/>
          <w:sz w:val="20"/>
          <w:szCs w:val="20"/>
        </w:rPr>
        <w:t>personnel</w:t>
      </w:r>
      <w:r w:rsidR="00DB1635" w:rsidRPr="00B004EE">
        <w:rPr>
          <w:rFonts w:ascii="Tahoma" w:hAnsi="Tahoma" w:cs="Tahoma"/>
          <w:spacing w:val="5"/>
          <w:sz w:val="20"/>
          <w:szCs w:val="20"/>
        </w:rPr>
        <w:t xml:space="preserve"> </w:t>
      </w:r>
      <w:r w:rsidRPr="00B004EE">
        <w:rPr>
          <w:rFonts w:ascii="Tahoma" w:hAnsi="Tahoma" w:cs="Tahoma"/>
          <w:spacing w:val="4"/>
          <w:sz w:val="20"/>
          <w:szCs w:val="20"/>
        </w:rPr>
        <w:t>dans</w:t>
      </w:r>
      <w:r w:rsidR="00DB1635" w:rsidRPr="00B004EE">
        <w:rPr>
          <w:rFonts w:ascii="Tahoma" w:hAnsi="Tahoma" w:cs="Tahoma"/>
          <w:spacing w:val="4"/>
          <w:sz w:val="20"/>
          <w:szCs w:val="20"/>
        </w:rPr>
        <w:t xml:space="preserve"> </w:t>
      </w:r>
      <w:r w:rsidRPr="00B004EE">
        <w:rPr>
          <w:rFonts w:ascii="Tahoma" w:hAnsi="Tahoma" w:cs="Tahoma"/>
          <w:spacing w:val="3"/>
          <w:sz w:val="20"/>
          <w:szCs w:val="20"/>
        </w:rPr>
        <w:t>les</w:t>
      </w:r>
      <w:r w:rsidR="00DB1635" w:rsidRPr="00B004EE">
        <w:rPr>
          <w:rFonts w:ascii="Tahoma" w:hAnsi="Tahoma" w:cs="Tahoma"/>
          <w:spacing w:val="3"/>
          <w:sz w:val="20"/>
          <w:szCs w:val="20"/>
        </w:rPr>
        <w:t xml:space="preserve"> </w:t>
      </w:r>
      <w:r w:rsidRPr="00B004EE">
        <w:rPr>
          <w:rFonts w:ascii="Tahoma" w:hAnsi="Tahoma" w:cs="Tahoma"/>
          <w:spacing w:val="4"/>
          <w:sz w:val="20"/>
          <w:szCs w:val="20"/>
        </w:rPr>
        <w:t>conditions</w:t>
      </w:r>
      <w:r w:rsidR="00DB1635" w:rsidRPr="00B004EE">
        <w:rPr>
          <w:rFonts w:ascii="Tahoma" w:hAnsi="Tahoma" w:cs="Tahoma"/>
          <w:spacing w:val="4"/>
          <w:sz w:val="20"/>
          <w:szCs w:val="20"/>
        </w:rPr>
        <w:t xml:space="preserve"> </w:t>
      </w:r>
      <w:r w:rsidRPr="00B004EE">
        <w:rPr>
          <w:rFonts w:ascii="Tahoma" w:hAnsi="Tahoma" w:cs="Tahoma"/>
          <w:sz w:val="20"/>
          <w:szCs w:val="20"/>
        </w:rPr>
        <w:t>prévues</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réglementation</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vigueur</w:t>
      </w:r>
      <w:r w:rsidR="00DB1635" w:rsidRPr="00B004EE">
        <w:rPr>
          <w:rFonts w:ascii="Tahoma" w:hAnsi="Tahoma" w:cs="Tahoma"/>
          <w:spacing w:val="28"/>
          <w:sz w:val="20"/>
          <w:szCs w:val="20"/>
        </w:rPr>
        <w:t xml:space="preserve"> </w:t>
      </w:r>
      <w:r w:rsidRPr="00B004EE">
        <w:rPr>
          <w:rFonts w:ascii="Tahoma" w:hAnsi="Tahoma" w:cs="Tahoma"/>
          <w:sz w:val="20"/>
          <w:szCs w:val="20"/>
        </w:rPr>
        <w:t>et</w:t>
      </w:r>
      <w:r w:rsidR="00DB1635" w:rsidRPr="00B004EE">
        <w:rPr>
          <w:rFonts w:ascii="Tahoma" w:hAnsi="Tahoma" w:cs="Tahoma"/>
          <w:w w:val="99"/>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statut</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pacing w:val="-10"/>
          <w:sz w:val="20"/>
          <w:szCs w:val="20"/>
        </w:rPr>
        <w:t xml:space="preserve"> </w:t>
      </w:r>
      <w:r w:rsidRPr="00B004EE">
        <w:rPr>
          <w:rFonts w:ascii="Tahoma" w:hAnsi="Tahoma" w:cs="Tahoma"/>
          <w:sz w:val="20"/>
          <w:szCs w:val="20"/>
        </w:rPr>
        <w:t>personnel;</w:t>
      </w:r>
    </w:p>
    <w:p w14:paraId="43F4501C" w14:textId="48AE18E7" w:rsidR="008518B0" w:rsidRPr="00B004EE" w:rsidRDefault="008518B0" w:rsidP="00420DDA">
      <w:pPr>
        <w:pStyle w:val="Paragraphedeliste"/>
        <w:widowControl w:val="0"/>
        <w:numPr>
          <w:ilvl w:val="0"/>
          <w:numId w:val="153"/>
        </w:numPr>
        <w:tabs>
          <w:tab w:val="left" w:pos="452"/>
        </w:tabs>
        <w:ind w:left="851" w:right="194" w:hanging="425"/>
        <w:jc w:val="both"/>
        <w:rPr>
          <w:rFonts w:ascii="Tahoma" w:eastAsia="Times" w:hAnsi="Tahoma" w:cs="Tahoma"/>
          <w:sz w:val="20"/>
          <w:szCs w:val="20"/>
        </w:rPr>
      </w:pPr>
      <w:proofErr w:type="gramStart"/>
      <w:r w:rsidRPr="00B004EE">
        <w:rPr>
          <w:rFonts w:ascii="Tahoma" w:hAnsi="Tahoma" w:cs="Tahoma"/>
          <w:sz w:val="20"/>
          <w:szCs w:val="20"/>
        </w:rPr>
        <w:t>il</w:t>
      </w:r>
      <w:proofErr w:type="gramEnd"/>
      <w:r w:rsidR="00DB1635" w:rsidRPr="00B004EE">
        <w:rPr>
          <w:rFonts w:ascii="Tahoma" w:hAnsi="Tahoma" w:cs="Tahoma"/>
          <w:sz w:val="20"/>
          <w:szCs w:val="20"/>
        </w:rPr>
        <w:t xml:space="preserve"> </w:t>
      </w:r>
      <w:r w:rsidRPr="00B004EE">
        <w:rPr>
          <w:rFonts w:ascii="Tahoma" w:hAnsi="Tahoma" w:cs="Tahoma"/>
          <w:sz w:val="20"/>
          <w:szCs w:val="20"/>
        </w:rPr>
        <w:t>procède</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recrutement</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rétribution</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personnel</w:t>
      </w:r>
      <w:r w:rsidR="00DB1635" w:rsidRPr="00B004EE">
        <w:rPr>
          <w:rFonts w:ascii="Tahoma" w:hAnsi="Tahoma" w:cs="Tahoma"/>
          <w:sz w:val="20"/>
          <w:szCs w:val="20"/>
        </w:rPr>
        <w:t xml:space="preserve"> </w:t>
      </w:r>
      <w:r w:rsidRPr="00B004EE">
        <w:rPr>
          <w:rFonts w:ascii="Tahoma" w:hAnsi="Tahoma" w:cs="Tahoma"/>
          <w:sz w:val="20"/>
          <w:szCs w:val="20"/>
        </w:rPr>
        <w:t>suivant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pacing w:val="3"/>
          <w:sz w:val="20"/>
          <w:szCs w:val="20"/>
        </w:rPr>
        <w:t>conditions</w:t>
      </w:r>
      <w:r w:rsidR="00DB1635" w:rsidRPr="00B004EE">
        <w:rPr>
          <w:rFonts w:ascii="Tahoma" w:hAnsi="Tahoma" w:cs="Tahoma"/>
          <w:spacing w:val="3"/>
          <w:sz w:val="20"/>
          <w:szCs w:val="20"/>
        </w:rPr>
        <w:t xml:space="preserve"> </w:t>
      </w:r>
      <w:r w:rsidRPr="00B004EE">
        <w:rPr>
          <w:rFonts w:ascii="Tahoma" w:hAnsi="Tahoma" w:cs="Tahoma"/>
          <w:sz w:val="20"/>
          <w:szCs w:val="20"/>
        </w:rPr>
        <w:t>et</w:t>
      </w:r>
      <w:r w:rsidR="00DB1635" w:rsidRPr="00B004EE">
        <w:rPr>
          <w:rFonts w:ascii="Tahoma" w:hAnsi="Tahoma" w:cs="Tahoma"/>
          <w:spacing w:val="50"/>
          <w:sz w:val="20"/>
          <w:szCs w:val="20"/>
        </w:rPr>
        <w:t xml:space="preserve"> </w:t>
      </w:r>
      <w:r w:rsidRPr="00B004EE">
        <w:rPr>
          <w:rFonts w:ascii="Tahoma" w:hAnsi="Tahoma" w:cs="Tahoma"/>
          <w:spacing w:val="2"/>
          <w:sz w:val="20"/>
          <w:szCs w:val="20"/>
        </w:rPr>
        <w:t>les</w:t>
      </w:r>
      <w:r w:rsidR="00DB1635" w:rsidRPr="00B004EE">
        <w:rPr>
          <w:rFonts w:ascii="Tahoma" w:hAnsi="Tahoma" w:cs="Tahoma"/>
          <w:spacing w:val="2"/>
          <w:sz w:val="20"/>
          <w:szCs w:val="20"/>
        </w:rPr>
        <w:t xml:space="preserve"> </w:t>
      </w:r>
      <w:r w:rsidRPr="00B004EE">
        <w:rPr>
          <w:rFonts w:ascii="Tahoma" w:hAnsi="Tahoma" w:cs="Tahoma"/>
          <w:spacing w:val="2"/>
          <w:sz w:val="20"/>
          <w:szCs w:val="20"/>
        </w:rPr>
        <w:t>modalités</w:t>
      </w:r>
      <w:r w:rsidR="00DB1635" w:rsidRPr="00B004EE">
        <w:rPr>
          <w:rFonts w:ascii="Tahoma" w:hAnsi="Tahoma" w:cs="Tahoma"/>
          <w:spacing w:val="2"/>
          <w:sz w:val="20"/>
          <w:szCs w:val="20"/>
        </w:rPr>
        <w:t xml:space="preserve"> </w:t>
      </w:r>
      <w:r w:rsidRPr="00B004EE">
        <w:rPr>
          <w:rFonts w:ascii="Tahoma" w:hAnsi="Tahoma" w:cs="Tahoma"/>
          <w:spacing w:val="2"/>
          <w:sz w:val="20"/>
          <w:szCs w:val="20"/>
        </w:rPr>
        <w:t>prévues</w:t>
      </w:r>
      <w:r w:rsidR="00DB1635" w:rsidRPr="00B004EE">
        <w:rPr>
          <w:rFonts w:ascii="Tahoma" w:hAnsi="Tahoma" w:cs="Tahoma"/>
          <w:spacing w:val="2"/>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pacing w:val="2"/>
          <w:sz w:val="20"/>
          <w:szCs w:val="20"/>
        </w:rPr>
        <w:t>réglementation</w:t>
      </w:r>
      <w:r w:rsidR="00DB1635" w:rsidRPr="00B004EE">
        <w:rPr>
          <w:rFonts w:ascii="Tahoma" w:hAnsi="Tahoma" w:cs="Tahoma"/>
          <w:spacing w:val="2"/>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pacing w:val="2"/>
          <w:sz w:val="20"/>
          <w:szCs w:val="20"/>
        </w:rPr>
        <w:t>vigueur</w:t>
      </w:r>
      <w:r w:rsidR="00DB1635" w:rsidRPr="00B004EE">
        <w:rPr>
          <w:rFonts w:ascii="Tahoma" w:hAnsi="Tahoma" w:cs="Tahoma"/>
          <w:spacing w:val="2"/>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pacing w:val="2"/>
          <w:sz w:val="20"/>
          <w:szCs w:val="20"/>
        </w:rPr>
        <w:t>fixées</w:t>
      </w:r>
      <w:r w:rsidR="00DB1635" w:rsidRPr="00B004EE">
        <w:rPr>
          <w:rFonts w:ascii="Tahoma" w:hAnsi="Tahoma" w:cs="Tahoma"/>
          <w:spacing w:val="2"/>
          <w:sz w:val="20"/>
          <w:szCs w:val="20"/>
        </w:rPr>
        <w:t xml:space="preserve"> </w:t>
      </w:r>
      <w:r w:rsidRPr="00B004EE">
        <w:rPr>
          <w:rFonts w:ascii="Tahoma" w:hAnsi="Tahoma" w:cs="Tahoma"/>
          <w:spacing w:val="2"/>
          <w:sz w:val="20"/>
          <w:szCs w:val="20"/>
        </w:rPr>
        <w:t>par</w:t>
      </w:r>
      <w:r w:rsidR="00DB1635" w:rsidRPr="00B004EE">
        <w:rPr>
          <w:rFonts w:ascii="Tahoma" w:hAnsi="Tahoma" w:cs="Tahoma"/>
          <w:spacing w:val="2"/>
          <w:sz w:val="20"/>
          <w:szCs w:val="20"/>
        </w:rPr>
        <w:t xml:space="preserve"> </w:t>
      </w:r>
      <w:r w:rsidRPr="00B004EE">
        <w:rPr>
          <w:rFonts w:ascii="Tahoma" w:hAnsi="Tahoma" w:cs="Tahoma"/>
          <w:spacing w:val="2"/>
          <w:sz w:val="20"/>
          <w:szCs w:val="20"/>
        </w:rPr>
        <w:t>le</w:t>
      </w:r>
      <w:r w:rsidR="00DB1635" w:rsidRPr="00B004EE">
        <w:rPr>
          <w:rFonts w:ascii="Tahoma" w:hAnsi="Tahoma" w:cs="Tahoma"/>
          <w:spacing w:val="2"/>
          <w:sz w:val="20"/>
          <w:szCs w:val="20"/>
        </w:rPr>
        <w:t xml:space="preserve"> </w:t>
      </w:r>
      <w:r w:rsidRPr="00B004EE">
        <w:rPr>
          <w:rFonts w:ascii="Tahoma" w:hAnsi="Tahoma" w:cs="Tahoma"/>
          <w:sz w:val="20"/>
          <w:szCs w:val="20"/>
        </w:rPr>
        <w:t>Conseil</w:t>
      </w:r>
      <w:r w:rsidR="00DB1635" w:rsidRPr="00B004EE">
        <w:rPr>
          <w:rFonts w:ascii="Tahoma" w:hAnsi="Tahoma" w:cs="Tahoma"/>
          <w:sz w:val="20"/>
          <w:szCs w:val="20"/>
        </w:rPr>
        <w:t xml:space="preserve"> </w:t>
      </w:r>
      <w:r w:rsidRPr="00B004EE">
        <w:rPr>
          <w:rFonts w:ascii="Tahoma" w:hAnsi="Tahoma" w:cs="Tahoma"/>
          <w:sz w:val="20"/>
          <w:szCs w:val="20"/>
        </w:rPr>
        <w:t>d'administration;</w:t>
      </w:r>
    </w:p>
    <w:p w14:paraId="0EB2284D" w14:textId="41BEB7A3" w:rsidR="008518B0" w:rsidRPr="00B004EE" w:rsidRDefault="008518B0" w:rsidP="00420DDA">
      <w:pPr>
        <w:pStyle w:val="Paragraphedeliste"/>
        <w:widowControl w:val="0"/>
        <w:numPr>
          <w:ilvl w:val="0"/>
          <w:numId w:val="153"/>
        </w:numPr>
        <w:tabs>
          <w:tab w:val="left" w:pos="392"/>
        </w:tabs>
        <w:ind w:left="851" w:hanging="425"/>
        <w:rPr>
          <w:rFonts w:ascii="Tahoma" w:eastAsia="Times" w:hAnsi="Tahoma" w:cs="Tahoma"/>
          <w:sz w:val="20"/>
          <w:szCs w:val="20"/>
        </w:rPr>
      </w:pPr>
      <w:proofErr w:type="gramStart"/>
      <w:r w:rsidRPr="00B004EE">
        <w:rPr>
          <w:rFonts w:ascii="Tahoma" w:hAnsi="Tahoma" w:cs="Tahoma"/>
          <w:sz w:val="20"/>
          <w:szCs w:val="20"/>
        </w:rPr>
        <w:t>il</w:t>
      </w:r>
      <w:proofErr w:type="gramEnd"/>
      <w:r w:rsidR="00DB1635" w:rsidRPr="00B004EE">
        <w:rPr>
          <w:rFonts w:ascii="Tahoma" w:hAnsi="Tahoma" w:cs="Tahoma"/>
          <w:sz w:val="20"/>
          <w:szCs w:val="20"/>
        </w:rPr>
        <w:t xml:space="preserve"> </w:t>
      </w:r>
      <w:r w:rsidRPr="00B004EE">
        <w:rPr>
          <w:rFonts w:ascii="Tahoma" w:hAnsi="Tahoma" w:cs="Tahoma"/>
          <w:sz w:val="20"/>
          <w:szCs w:val="20"/>
        </w:rPr>
        <w:t>exerce</w:t>
      </w:r>
      <w:r w:rsidR="00DB1635" w:rsidRPr="00B004EE">
        <w:rPr>
          <w:rFonts w:ascii="Tahoma" w:hAnsi="Tahoma" w:cs="Tahoma"/>
          <w:sz w:val="20"/>
          <w:szCs w:val="20"/>
        </w:rPr>
        <w:t xml:space="preserve"> </w:t>
      </w:r>
      <w:r w:rsidRPr="00B004EE">
        <w:rPr>
          <w:rFonts w:ascii="Tahoma" w:hAnsi="Tahoma" w:cs="Tahoma"/>
          <w:spacing w:val="2"/>
          <w:sz w:val="20"/>
          <w:szCs w:val="20"/>
        </w:rPr>
        <w:t>l'autorité</w:t>
      </w:r>
      <w:r w:rsidR="00DB1635" w:rsidRPr="00B004EE">
        <w:rPr>
          <w:rFonts w:ascii="Tahoma" w:hAnsi="Tahoma" w:cs="Tahoma"/>
          <w:spacing w:val="2"/>
          <w:sz w:val="20"/>
          <w:szCs w:val="20"/>
        </w:rPr>
        <w:t xml:space="preserve"> </w:t>
      </w:r>
      <w:r w:rsidRPr="00B004EE">
        <w:rPr>
          <w:rFonts w:ascii="Tahoma" w:hAnsi="Tahoma" w:cs="Tahoma"/>
          <w:spacing w:val="2"/>
          <w:sz w:val="20"/>
          <w:szCs w:val="20"/>
        </w:rPr>
        <w:t>hiérarchique</w:t>
      </w:r>
      <w:r w:rsidR="00DB1635" w:rsidRPr="00B004EE">
        <w:rPr>
          <w:rFonts w:ascii="Tahoma" w:hAnsi="Tahoma" w:cs="Tahoma"/>
          <w:spacing w:val="2"/>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pacing w:val="2"/>
          <w:sz w:val="20"/>
          <w:szCs w:val="20"/>
        </w:rPr>
        <w:t>le</w:t>
      </w:r>
      <w:r w:rsidR="00DB1635" w:rsidRPr="00B004EE">
        <w:rPr>
          <w:rFonts w:ascii="Tahoma" w:hAnsi="Tahoma" w:cs="Tahoma"/>
          <w:spacing w:val="2"/>
          <w:sz w:val="20"/>
          <w:szCs w:val="20"/>
        </w:rPr>
        <w:t xml:space="preserve"> </w:t>
      </w:r>
      <w:r w:rsidRPr="00B004EE">
        <w:rPr>
          <w:rFonts w:ascii="Tahoma" w:hAnsi="Tahoma" w:cs="Tahoma"/>
          <w:spacing w:val="2"/>
          <w:sz w:val="20"/>
          <w:szCs w:val="20"/>
        </w:rPr>
        <w:t>pouvoir</w:t>
      </w:r>
      <w:r w:rsidR="00DB1635" w:rsidRPr="00B004EE">
        <w:rPr>
          <w:rFonts w:ascii="Tahoma" w:hAnsi="Tahoma" w:cs="Tahoma"/>
          <w:spacing w:val="2"/>
          <w:sz w:val="20"/>
          <w:szCs w:val="20"/>
        </w:rPr>
        <w:t xml:space="preserve"> </w:t>
      </w:r>
      <w:r w:rsidRPr="00B004EE">
        <w:rPr>
          <w:rFonts w:ascii="Tahoma" w:hAnsi="Tahoma" w:cs="Tahoma"/>
          <w:spacing w:val="2"/>
          <w:sz w:val="20"/>
          <w:szCs w:val="20"/>
        </w:rPr>
        <w:t>disciplinaire</w:t>
      </w:r>
      <w:r w:rsidR="00DB1635" w:rsidRPr="00B004EE">
        <w:rPr>
          <w:rFonts w:ascii="Tahoma" w:hAnsi="Tahoma" w:cs="Tahoma"/>
          <w:spacing w:val="2"/>
          <w:sz w:val="20"/>
          <w:szCs w:val="20"/>
        </w:rPr>
        <w:t xml:space="preserve"> </w:t>
      </w:r>
      <w:r w:rsidRPr="00B004EE">
        <w:rPr>
          <w:rFonts w:ascii="Tahoma" w:hAnsi="Tahoma" w:cs="Tahoma"/>
          <w:spacing w:val="2"/>
          <w:sz w:val="20"/>
          <w:szCs w:val="20"/>
        </w:rPr>
        <w:t>sur</w:t>
      </w:r>
      <w:r w:rsidR="00DB1635" w:rsidRPr="00B004EE">
        <w:rPr>
          <w:rFonts w:ascii="Tahoma" w:hAnsi="Tahoma" w:cs="Tahoma"/>
          <w:spacing w:val="2"/>
          <w:sz w:val="20"/>
          <w:szCs w:val="20"/>
        </w:rPr>
        <w:t xml:space="preserve"> </w:t>
      </w:r>
      <w:r w:rsidRPr="00B004EE">
        <w:rPr>
          <w:rFonts w:ascii="Tahoma" w:hAnsi="Tahoma" w:cs="Tahoma"/>
          <w:spacing w:val="2"/>
          <w:sz w:val="20"/>
          <w:szCs w:val="20"/>
        </w:rPr>
        <w:t>l'ensemble</w:t>
      </w:r>
      <w:r w:rsidR="00DB1635" w:rsidRPr="00B004EE">
        <w:rPr>
          <w:rFonts w:ascii="Tahoma" w:hAnsi="Tahoma" w:cs="Tahoma"/>
          <w:spacing w:val="2"/>
          <w:sz w:val="20"/>
          <w:szCs w:val="20"/>
        </w:rPr>
        <w:t xml:space="preserve"> </w:t>
      </w:r>
      <w:r w:rsidRPr="00B004EE">
        <w:rPr>
          <w:rFonts w:ascii="Tahoma" w:hAnsi="Tahoma" w:cs="Tahoma"/>
          <w:sz w:val="20"/>
          <w:szCs w:val="20"/>
        </w:rPr>
        <w:t>du</w:t>
      </w:r>
      <w:r w:rsidR="00DB1635" w:rsidRPr="00B004EE">
        <w:rPr>
          <w:rFonts w:ascii="Tahoma" w:hAnsi="Tahoma" w:cs="Tahoma"/>
          <w:spacing w:val="8"/>
          <w:sz w:val="20"/>
          <w:szCs w:val="20"/>
        </w:rPr>
        <w:t xml:space="preserve"> </w:t>
      </w:r>
      <w:r w:rsidRPr="00B004EE">
        <w:rPr>
          <w:rFonts w:ascii="Tahoma" w:hAnsi="Tahoma" w:cs="Tahoma"/>
          <w:spacing w:val="-3"/>
          <w:sz w:val="20"/>
          <w:szCs w:val="20"/>
        </w:rPr>
        <w:t>personnel;</w:t>
      </w:r>
    </w:p>
    <w:p w14:paraId="63C0DB8D" w14:textId="5C8DB93F" w:rsidR="008518B0" w:rsidRPr="00B004EE" w:rsidRDefault="008518B0" w:rsidP="00420DDA">
      <w:pPr>
        <w:pStyle w:val="Paragraphedeliste"/>
        <w:widowControl w:val="0"/>
        <w:numPr>
          <w:ilvl w:val="0"/>
          <w:numId w:val="153"/>
        </w:numPr>
        <w:tabs>
          <w:tab w:val="left" w:pos="392"/>
        </w:tabs>
        <w:ind w:left="851" w:hanging="425"/>
        <w:rPr>
          <w:rFonts w:ascii="Tahoma" w:eastAsia="Times" w:hAnsi="Tahoma" w:cs="Tahoma"/>
          <w:sz w:val="20"/>
          <w:szCs w:val="20"/>
        </w:rPr>
      </w:pPr>
      <w:proofErr w:type="gramStart"/>
      <w:r w:rsidRPr="00B004EE">
        <w:rPr>
          <w:rFonts w:ascii="Tahoma" w:hAnsi="Tahoma" w:cs="Tahoma"/>
          <w:sz w:val="20"/>
          <w:szCs w:val="20"/>
        </w:rPr>
        <w:t>il</w:t>
      </w:r>
      <w:proofErr w:type="gramEnd"/>
      <w:r w:rsidR="00DB1635" w:rsidRPr="00B004EE">
        <w:rPr>
          <w:rFonts w:ascii="Tahoma" w:hAnsi="Tahoma" w:cs="Tahoma"/>
          <w:sz w:val="20"/>
          <w:szCs w:val="20"/>
        </w:rPr>
        <w:t xml:space="preserve"> </w:t>
      </w:r>
      <w:r w:rsidRPr="00B004EE">
        <w:rPr>
          <w:rFonts w:ascii="Tahoma" w:hAnsi="Tahoma" w:cs="Tahoma"/>
          <w:sz w:val="20"/>
          <w:szCs w:val="20"/>
        </w:rPr>
        <w:t>représente</w:t>
      </w:r>
      <w:r w:rsidR="00DB1635" w:rsidRPr="00B004EE">
        <w:rPr>
          <w:rFonts w:ascii="Tahoma" w:hAnsi="Tahoma" w:cs="Tahoma"/>
          <w:sz w:val="20"/>
          <w:szCs w:val="20"/>
        </w:rPr>
        <w:t xml:space="preserve"> </w:t>
      </w:r>
      <w:r w:rsidRPr="00B004EE">
        <w:rPr>
          <w:rFonts w:ascii="Tahoma" w:hAnsi="Tahoma" w:cs="Tahoma"/>
          <w:bCs/>
          <w:sz w:val="20"/>
          <w:szCs w:val="20"/>
        </w:rPr>
        <w:t>l'ONISPA</w:t>
      </w:r>
      <w:r w:rsidR="00DB1635" w:rsidRPr="00B004EE">
        <w:rPr>
          <w:rFonts w:ascii="Tahoma" w:hAnsi="Tahoma" w:cs="Tahoma"/>
          <w:b/>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justice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tous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actes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vie</w:t>
      </w:r>
      <w:r w:rsidR="00DB1635" w:rsidRPr="00B004EE">
        <w:rPr>
          <w:rFonts w:ascii="Tahoma" w:hAnsi="Tahoma" w:cs="Tahoma"/>
          <w:spacing w:val="-10"/>
          <w:sz w:val="20"/>
          <w:szCs w:val="20"/>
        </w:rPr>
        <w:t xml:space="preserve"> </w:t>
      </w:r>
      <w:r w:rsidRPr="00B004EE">
        <w:rPr>
          <w:rFonts w:ascii="Tahoma" w:hAnsi="Tahoma" w:cs="Tahoma"/>
          <w:sz w:val="20"/>
          <w:szCs w:val="20"/>
        </w:rPr>
        <w:t>civile.</w:t>
      </w:r>
    </w:p>
    <w:p w14:paraId="78B3984B" w14:textId="77777777" w:rsidR="008518B0" w:rsidRPr="00B004EE" w:rsidRDefault="008518B0" w:rsidP="00B004EE">
      <w:pPr>
        <w:rPr>
          <w:rFonts w:ascii="Tahoma" w:eastAsia="Times" w:hAnsi="Tahoma" w:cs="Tahoma"/>
          <w:sz w:val="20"/>
          <w:szCs w:val="20"/>
        </w:rPr>
      </w:pPr>
    </w:p>
    <w:p w14:paraId="1CE680EA" w14:textId="32AF8472" w:rsidR="008518B0" w:rsidRPr="00B004EE" w:rsidRDefault="008518B0" w:rsidP="00B004EE">
      <w:pPr>
        <w:pStyle w:val="Corpsdetexte"/>
        <w:tabs>
          <w:tab w:val="left" w:pos="1346"/>
          <w:tab w:val="left" w:pos="1883"/>
          <w:tab w:val="left" w:pos="2493"/>
          <w:tab w:val="left" w:pos="2867"/>
          <w:tab w:val="left" w:pos="3059"/>
          <w:tab w:val="left" w:pos="3482"/>
          <w:tab w:val="left" w:pos="5467"/>
        </w:tabs>
        <w:ind w:left="199" w:right="155" w:firstLine="14"/>
        <w:rPr>
          <w:rFonts w:ascii="Tahoma" w:hAnsi="Tahoma" w:cs="Tahoma"/>
          <w:sz w:val="20"/>
          <w:szCs w:val="20"/>
        </w:rPr>
      </w:pPr>
      <w:r w:rsidRPr="00B004EE">
        <w:rPr>
          <w:rFonts w:ascii="Tahoma" w:hAnsi="Tahoma" w:cs="Tahoma"/>
          <w:spacing w:val="-2"/>
          <w:sz w:val="20"/>
          <w:szCs w:val="20"/>
        </w:rPr>
        <w:t>Le</w:t>
      </w:r>
      <w:r w:rsidR="00DB1635" w:rsidRPr="00B004EE">
        <w:rPr>
          <w:rFonts w:ascii="Tahoma" w:hAnsi="Tahoma" w:cs="Tahoma"/>
          <w:sz w:val="20"/>
          <w:szCs w:val="20"/>
        </w:rPr>
        <w:t xml:space="preserve"> </w:t>
      </w:r>
      <w:r w:rsidRPr="00B004EE">
        <w:rPr>
          <w:rFonts w:ascii="Tahoma" w:hAnsi="Tahoma" w:cs="Tahoma"/>
          <w:spacing w:val="-1"/>
          <w:sz w:val="20"/>
          <w:szCs w:val="20"/>
        </w:rPr>
        <w:t>Directeur</w:t>
      </w:r>
      <w:r w:rsidR="00FF661D" w:rsidRPr="00B004EE">
        <w:rPr>
          <w:rFonts w:ascii="Tahoma" w:hAnsi="Tahoma" w:cs="Tahoma"/>
          <w:spacing w:val="27"/>
          <w:sz w:val="20"/>
          <w:szCs w:val="20"/>
        </w:rPr>
        <w:t xml:space="preserve"> </w:t>
      </w:r>
      <w:r w:rsidRPr="00B004EE">
        <w:rPr>
          <w:rFonts w:ascii="Tahoma" w:hAnsi="Tahoma" w:cs="Tahoma"/>
          <w:sz w:val="20"/>
          <w:szCs w:val="20"/>
        </w:rPr>
        <w:t>prépare</w:t>
      </w:r>
      <w:r w:rsidR="00DB1635" w:rsidRPr="00B004EE">
        <w:rPr>
          <w:rFonts w:ascii="Tahoma" w:hAnsi="Tahoma" w:cs="Tahoma"/>
          <w:w w:val="95"/>
          <w:sz w:val="20"/>
          <w:szCs w:val="20"/>
        </w:rPr>
        <w:t xml:space="preserve"> </w:t>
      </w:r>
      <w:r w:rsidRPr="00B004EE">
        <w:rPr>
          <w:rFonts w:ascii="Tahoma" w:hAnsi="Tahoma" w:cs="Tahoma"/>
          <w:w w:val="95"/>
          <w:sz w:val="20"/>
          <w:szCs w:val="20"/>
        </w:rPr>
        <w:t>le</w:t>
      </w:r>
      <w:r w:rsidR="00DB1635" w:rsidRPr="00B004EE">
        <w:rPr>
          <w:rFonts w:ascii="Tahoma" w:hAnsi="Tahoma" w:cs="Tahoma"/>
          <w:w w:val="95"/>
          <w:sz w:val="20"/>
          <w:szCs w:val="20"/>
        </w:rPr>
        <w:t xml:space="preserve"> </w:t>
      </w:r>
      <w:r w:rsidRPr="00B004EE">
        <w:rPr>
          <w:rFonts w:ascii="Tahoma" w:hAnsi="Tahoma" w:cs="Tahoma"/>
          <w:spacing w:val="-1"/>
          <w:sz w:val="20"/>
          <w:szCs w:val="20"/>
        </w:rPr>
        <w:t>plan</w:t>
      </w:r>
      <w:r w:rsidR="00DB1635" w:rsidRPr="00B004EE">
        <w:rPr>
          <w:rFonts w:ascii="Tahoma" w:hAnsi="Tahoma" w:cs="Tahoma"/>
          <w:spacing w:val="-1"/>
          <w:sz w:val="20"/>
          <w:szCs w:val="20"/>
        </w:rPr>
        <w:t xml:space="preserve"> </w:t>
      </w:r>
      <w:r w:rsidRPr="00B004EE">
        <w:rPr>
          <w:rFonts w:ascii="Tahoma" w:hAnsi="Tahoma" w:cs="Tahoma"/>
          <w:spacing w:val="-1"/>
          <w:sz w:val="20"/>
          <w:szCs w:val="20"/>
        </w:rPr>
        <w:t>d'action</w:t>
      </w:r>
      <w:r w:rsidR="00DB1635" w:rsidRPr="00B004EE">
        <w:rPr>
          <w:rFonts w:ascii="Tahoma" w:hAnsi="Tahoma" w:cs="Tahoma"/>
          <w:sz w:val="20"/>
          <w:szCs w:val="20"/>
        </w:rPr>
        <w:t xml:space="preserve"> </w:t>
      </w:r>
      <w:r w:rsidRPr="00B004EE">
        <w:rPr>
          <w:rFonts w:ascii="Tahoma" w:hAnsi="Tahoma" w:cs="Tahoma"/>
          <w:spacing w:val="2"/>
          <w:sz w:val="20"/>
          <w:szCs w:val="20"/>
        </w:rPr>
        <w:t>annuel</w:t>
      </w:r>
      <w:r w:rsidR="00DB1635" w:rsidRPr="00B004EE">
        <w:rPr>
          <w:rFonts w:ascii="Tahoma" w:hAnsi="Tahoma" w:cs="Tahoma"/>
          <w:spacing w:val="22"/>
          <w:sz w:val="20"/>
          <w:szCs w:val="20"/>
        </w:rPr>
        <w:t xml:space="preserve"> </w:t>
      </w:r>
      <w:r w:rsidRPr="00B004EE">
        <w:rPr>
          <w:rFonts w:ascii="Tahoma" w:hAnsi="Tahoma" w:cs="Tahoma"/>
          <w:sz w:val="20"/>
          <w:szCs w:val="20"/>
        </w:rPr>
        <w:t>et</w:t>
      </w:r>
      <w:r w:rsidR="003A697D" w:rsidRPr="00B004EE">
        <w:rPr>
          <w:rFonts w:ascii="Tahoma" w:hAnsi="Tahoma" w:cs="Tahoma"/>
          <w:sz w:val="20"/>
          <w:szCs w:val="20"/>
        </w:rPr>
        <w:t xml:space="preserve"> </w:t>
      </w:r>
      <w:r w:rsidRPr="00B004EE">
        <w:rPr>
          <w:rFonts w:ascii="Tahoma" w:hAnsi="Tahoma" w:cs="Tahoma"/>
          <w:spacing w:val="2"/>
          <w:sz w:val="20"/>
          <w:szCs w:val="20"/>
        </w:rPr>
        <w:t>pluriannuel,</w:t>
      </w:r>
      <w:r w:rsidR="00DB1635" w:rsidRPr="00B004EE">
        <w:rPr>
          <w:rFonts w:ascii="Tahoma" w:hAnsi="Tahoma" w:cs="Tahoma"/>
          <w:sz w:val="20"/>
          <w:szCs w:val="20"/>
        </w:rPr>
        <w:t xml:space="preserve"> </w:t>
      </w:r>
      <w:r w:rsidRPr="00B004EE">
        <w:rPr>
          <w:rFonts w:ascii="Tahoma" w:hAnsi="Tahoma" w:cs="Tahoma"/>
          <w:spacing w:val="2"/>
          <w:sz w:val="20"/>
          <w:szCs w:val="20"/>
        </w:rPr>
        <w:t>le</w:t>
      </w:r>
      <w:r w:rsidR="00DB1635" w:rsidRPr="00B004EE">
        <w:rPr>
          <w:rFonts w:ascii="Tahoma" w:hAnsi="Tahoma" w:cs="Tahoma"/>
          <w:sz w:val="20"/>
          <w:szCs w:val="20"/>
        </w:rPr>
        <w:t xml:space="preserve"> </w:t>
      </w:r>
      <w:r w:rsidRPr="00B004EE">
        <w:rPr>
          <w:rFonts w:ascii="Tahoma" w:hAnsi="Tahoma" w:cs="Tahoma"/>
          <w:spacing w:val="2"/>
          <w:sz w:val="20"/>
          <w:szCs w:val="20"/>
        </w:rPr>
        <w:t>budget</w:t>
      </w:r>
      <w:r w:rsidR="00DB1635" w:rsidRPr="00B004EE">
        <w:rPr>
          <w:rFonts w:ascii="Tahoma" w:hAnsi="Tahoma" w:cs="Tahoma"/>
          <w:sz w:val="20"/>
          <w:szCs w:val="20"/>
        </w:rPr>
        <w:t xml:space="preserve"> </w:t>
      </w:r>
      <w:r w:rsidRPr="00B004EE">
        <w:rPr>
          <w:rFonts w:ascii="Tahoma" w:hAnsi="Tahoma" w:cs="Tahoma"/>
          <w:spacing w:val="1"/>
          <w:sz w:val="20"/>
          <w:szCs w:val="20"/>
        </w:rPr>
        <w:t>prévisionnel,</w:t>
      </w:r>
      <w:r w:rsidR="00DB1635" w:rsidRPr="00B004EE">
        <w:rPr>
          <w:rFonts w:ascii="Tahoma" w:hAnsi="Tahoma" w:cs="Tahoma"/>
          <w:spacing w:val="-5"/>
          <w:sz w:val="20"/>
          <w:szCs w:val="20"/>
        </w:rPr>
        <w:t xml:space="preserve"> </w:t>
      </w:r>
      <w:r w:rsidRPr="00B004EE">
        <w:rPr>
          <w:rFonts w:ascii="Tahoma" w:hAnsi="Tahoma" w:cs="Tahoma"/>
          <w:spacing w:val="1"/>
          <w:sz w:val="20"/>
          <w:szCs w:val="20"/>
        </w:rPr>
        <w:t>le</w:t>
      </w:r>
      <w:r w:rsidR="00DB1635" w:rsidRPr="00B004EE">
        <w:rPr>
          <w:rFonts w:ascii="Tahoma" w:hAnsi="Tahoma" w:cs="Tahoma"/>
          <w:w w:val="99"/>
          <w:sz w:val="20"/>
          <w:szCs w:val="20"/>
        </w:rPr>
        <w:t xml:space="preserve"> </w:t>
      </w:r>
      <w:r w:rsidRPr="00B004EE">
        <w:rPr>
          <w:rFonts w:ascii="Tahoma" w:hAnsi="Tahoma" w:cs="Tahoma"/>
          <w:sz w:val="20"/>
          <w:szCs w:val="20"/>
        </w:rPr>
        <w:t>compte</w:t>
      </w:r>
      <w:r w:rsidR="00DB1635" w:rsidRPr="00B004EE">
        <w:rPr>
          <w:rFonts w:ascii="Tahoma" w:hAnsi="Tahoma" w:cs="Tahoma"/>
          <w:spacing w:val="7"/>
          <w:sz w:val="20"/>
          <w:szCs w:val="20"/>
        </w:rPr>
        <w:t xml:space="preserve"> </w:t>
      </w:r>
      <w:r w:rsidRPr="00B004EE">
        <w:rPr>
          <w:rFonts w:ascii="Tahoma" w:hAnsi="Tahoma" w:cs="Tahoma"/>
          <w:sz w:val="20"/>
          <w:szCs w:val="20"/>
        </w:rPr>
        <w:t>d'exploitation</w:t>
      </w:r>
      <w:r w:rsidR="00DB1635" w:rsidRPr="00B004EE">
        <w:rPr>
          <w:rFonts w:ascii="Tahoma" w:hAnsi="Tahoma" w:cs="Tahoma"/>
          <w:spacing w:val="6"/>
          <w:sz w:val="20"/>
          <w:szCs w:val="20"/>
        </w:rPr>
        <w:t xml:space="preserve"> </w:t>
      </w:r>
      <w:r w:rsidRPr="00B004EE">
        <w:rPr>
          <w:rFonts w:ascii="Tahoma" w:hAnsi="Tahoma" w:cs="Tahoma"/>
          <w:sz w:val="20"/>
          <w:szCs w:val="20"/>
        </w:rPr>
        <w:t>et</w:t>
      </w:r>
      <w:r w:rsidR="00DB1635" w:rsidRPr="00B004EE">
        <w:rPr>
          <w:rFonts w:ascii="Tahoma" w:hAnsi="Tahoma" w:cs="Tahoma"/>
          <w:spacing w:val="6"/>
          <w:sz w:val="20"/>
          <w:szCs w:val="20"/>
        </w:rPr>
        <w:t xml:space="preserve"> </w:t>
      </w:r>
      <w:r w:rsidRPr="00B004EE">
        <w:rPr>
          <w:rFonts w:ascii="Tahoma" w:hAnsi="Tahoma" w:cs="Tahoma"/>
          <w:sz w:val="20"/>
          <w:szCs w:val="20"/>
        </w:rPr>
        <w:t>le</w:t>
      </w:r>
      <w:r w:rsidR="00DB1635" w:rsidRPr="00B004EE">
        <w:rPr>
          <w:rFonts w:ascii="Tahoma" w:hAnsi="Tahoma" w:cs="Tahoma"/>
          <w:spacing w:val="-6"/>
          <w:sz w:val="20"/>
          <w:szCs w:val="20"/>
        </w:rPr>
        <w:t xml:space="preserve"> </w:t>
      </w:r>
      <w:r w:rsidRPr="00B004EE">
        <w:rPr>
          <w:rFonts w:ascii="Tahoma" w:hAnsi="Tahoma" w:cs="Tahoma"/>
          <w:sz w:val="20"/>
          <w:szCs w:val="20"/>
        </w:rPr>
        <w:t>bilan</w:t>
      </w:r>
      <w:r w:rsidR="00DB1635" w:rsidRPr="00B004EE">
        <w:rPr>
          <w:rFonts w:ascii="Tahoma" w:hAnsi="Tahoma" w:cs="Tahoma"/>
          <w:spacing w:val="6"/>
          <w:sz w:val="20"/>
          <w:szCs w:val="20"/>
        </w:rPr>
        <w:t xml:space="preserve"> </w:t>
      </w:r>
      <w:r w:rsidRPr="00B004EE">
        <w:rPr>
          <w:rFonts w:ascii="Tahoma" w:hAnsi="Tahoma" w:cs="Tahoma"/>
          <w:sz w:val="20"/>
          <w:szCs w:val="20"/>
        </w:rPr>
        <w:t>de</w:t>
      </w:r>
      <w:r w:rsidR="00DB1635" w:rsidRPr="00B004EE">
        <w:rPr>
          <w:rFonts w:ascii="Tahoma" w:hAnsi="Tahoma" w:cs="Tahoma"/>
          <w:spacing w:val="7"/>
          <w:sz w:val="20"/>
          <w:szCs w:val="20"/>
        </w:rPr>
        <w:t xml:space="preserve"> </w:t>
      </w:r>
      <w:r w:rsidRPr="00B004EE">
        <w:rPr>
          <w:rFonts w:ascii="Tahoma" w:hAnsi="Tahoma" w:cs="Tahoma"/>
          <w:sz w:val="20"/>
          <w:szCs w:val="20"/>
        </w:rPr>
        <w:t>fin</w:t>
      </w:r>
      <w:r w:rsidR="00DB1635" w:rsidRPr="00B004EE">
        <w:rPr>
          <w:rFonts w:ascii="Tahoma" w:hAnsi="Tahoma" w:cs="Tahoma"/>
          <w:spacing w:val="6"/>
          <w:sz w:val="20"/>
          <w:szCs w:val="20"/>
        </w:rPr>
        <w:t xml:space="preserve"> </w:t>
      </w:r>
      <w:r w:rsidRPr="00B004EE">
        <w:rPr>
          <w:rFonts w:ascii="Tahoma" w:hAnsi="Tahoma" w:cs="Tahoma"/>
          <w:sz w:val="20"/>
          <w:szCs w:val="20"/>
        </w:rPr>
        <w:t>d'exercice.</w:t>
      </w:r>
      <w:r w:rsidR="00DB1635" w:rsidRPr="00B004EE">
        <w:rPr>
          <w:rFonts w:ascii="Tahoma" w:hAnsi="Tahoma" w:cs="Tahoma"/>
          <w:spacing w:val="-1"/>
          <w:sz w:val="20"/>
          <w:szCs w:val="20"/>
        </w:rPr>
        <w:t xml:space="preserve"> </w:t>
      </w:r>
      <w:r w:rsidRPr="00B004EE">
        <w:rPr>
          <w:rFonts w:ascii="Tahoma" w:hAnsi="Tahoma" w:cs="Tahoma"/>
          <w:sz w:val="20"/>
          <w:szCs w:val="20"/>
        </w:rPr>
        <w:t>Il</w:t>
      </w:r>
      <w:r w:rsidR="00DB1635" w:rsidRPr="00B004EE">
        <w:rPr>
          <w:rFonts w:ascii="Tahoma" w:hAnsi="Tahoma" w:cs="Tahoma"/>
          <w:spacing w:val="9"/>
          <w:sz w:val="20"/>
          <w:szCs w:val="20"/>
        </w:rPr>
        <w:t xml:space="preserve"> </w:t>
      </w:r>
      <w:r w:rsidRPr="00B004EE">
        <w:rPr>
          <w:rFonts w:ascii="Tahoma" w:hAnsi="Tahoma" w:cs="Tahoma"/>
          <w:sz w:val="20"/>
          <w:szCs w:val="20"/>
        </w:rPr>
        <w:t>peut,</w:t>
      </w:r>
      <w:r w:rsidR="00DB1635" w:rsidRPr="00B004EE">
        <w:rPr>
          <w:rFonts w:ascii="Tahoma" w:hAnsi="Tahoma" w:cs="Tahoma"/>
          <w:spacing w:val="8"/>
          <w:sz w:val="20"/>
          <w:szCs w:val="20"/>
        </w:rPr>
        <w:t xml:space="preserve"> </w:t>
      </w:r>
      <w:r w:rsidRPr="00B004EE">
        <w:rPr>
          <w:rFonts w:ascii="Tahoma" w:hAnsi="Tahoma" w:cs="Tahoma"/>
          <w:sz w:val="20"/>
          <w:szCs w:val="20"/>
        </w:rPr>
        <w:t>sous</w:t>
      </w:r>
      <w:r w:rsidR="00DB1635" w:rsidRPr="00B004EE">
        <w:rPr>
          <w:rFonts w:ascii="Tahoma" w:hAnsi="Tahoma" w:cs="Tahoma"/>
          <w:spacing w:val="6"/>
          <w:sz w:val="20"/>
          <w:szCs w:val="20"/>
        </w:rPr>
        <w:t xml:space="preserve"> </w:t>
      </w:r>
      <w:r w:rsidRPr="00B004EE">
        <w:rPr>
          <w:rFonts w:ascii="Tahoma" w:hAnsi="Tahoma" w:cs="Tahoma"/>
          <w:sz w:val="20"/>
          <w:szCs w:val="20"/>
        </w:rPr>
        <w:t>sa</w:t>
      </w:r>
      <w:r w:rsidR="00DB1635" w:rsidRPr="00B004EE">
        <w:rPr>
          <w:rFonts w:ascii="Tahoma" w:hAnsi="Tahoma" w:cs="Tahoma"/>
          <w:spacing w:val="7"/>
          <w:sz w:val="20"/>
          <w:szCs w:val="20"/>
        </w:rPr>
        <w:t xml:space="preserve"> </w:t>
      </w:r>
      <w:r w:rsidRPr="00B004EE">
        <w:rPr>
          <w:rFonts w:ascii="Tahoma" w:hAnsi="Tahoma" w:cs="Tahoma"/>
          <w:sz w:val="20"/>
          <w:szCs w:val="20"/>
        </w:rPr>
        <w:t>responsabilité,</w:t>
      </w:r>
      <w:r w:rsidR="00DB1635" w:rsidRPr="00B004EE">
        <w:rPr>
          <w:rFonts w:ascii="Tahoma" w:hAnsi="Tahoma" w:cs="Tahoma"/>
          <w:spacing w:val="8"/>
          <w:sz w:val="20"/>
          <w:szCs w:val="20"/>
        </w:rPr>
        <w:t xml:space="preserve"> </w:t>
      </w:r>
      <w:r w:rsidRPr="00B004EE">
        <w:rPr>
          <w:rFonts w:ascii="Tahoma" w:hAnsi="Tahoma" w:cs="Tahoma"/>
          <w:sz w:val="20"/>
          <w:szCs w:val="20"/>
        </w:rPr>
        <w:t>déléguer,</w:t>
      </w:r>
      <w:r w:rsidR="00DB1635" w:rsidRPr="00B004EE">
        <w:rPr>
          <w:rFonts w:ascii="Tahoma" w:hAnsi="Tahoma" w:cs="Tahoma"/>
          <w:spacing w:val="8"/>
          <w:sz w:val="20"/>
          <w:szCs w:val="20"/>
        </w:rPr>
        <w:t xml:space="preserve"> </w:t>
      </w:r>
      <w:r w:rsidRPr="00B004EE">
        <w:rPr>
          <w:rFonts w:ascii="Tahoma" w:hAnsi="Tahoma" w:cs="Tahoma"/>
          <w:sz w:val="20"/>
          <w:szCs w:val="20"/>
        </w:rPr>
        <w:t>le</w:t>
      </w:r>
      <w:r w:rsidR="00DB1635" w:rsidRPr="00B004EE">
        <w:rPr>
          <w:rFonts w:ascii="Tahoma" w:hAnsi="Tahoma" w:cs="Tahoma"/>
          <w:spacing w:val="-48"/>
          <w:sz w:val="20"/>
          <w:szCs w:val="20"/>
        </w:rPr>
        <w:t xml:space="preserve"> </w:t>
      </w:r>
      <w:r w:rsidRPr="00B004EE">
        <w:rPr>
          <w:rFonts w:ascii="Tahoma" w:hAnsi="Tahoma" w:cs="Tahoma"/>
          <w:spacing w:val="6"/>
          <w:sz w:val="20"/>
          <w:szCs w:val="20"/>
        </w:rPr>
        <w:t>pouvoir</w:t>
      </w:r>
      <w:r w:rsidR="00DB1635" w:rsidRPr="00B004EE">
        <w:rPr>
          <w:rFonts w:ascii="Tahoma" w:hAnsi="Tahoma" w:cs="Tahoma"/>
          <w:spacing w:val="33"/>
          <w:sz w:val="20"/>
          <w:szCs w:val="20"/>
        </w:rPr>
        <w:t xml:space="preserve"> </w:t>
      </w:r>
      <w:r w:rsidRPr="00B004EE">
        <w:rPr>
          <w:rFonts w:ascii="Tahoma" w:hAnsi="Tahoma" w:cs="Tahoma"/>
          <w:spacing w:val="4"/>
          <w:sz w:val="20"/>
          <w:szCs w:val="20"/>
        </w:rPr>
        <w:t>de</w:t>
      </w:r>
      <w:r w:rsidR="00DB1635" w:rsidRPr="00B004EE">
        <w:rPr>
          <w:rFonts w:ascii="Tahoma" w:hAnsi="Tahoma" w:cs="Tahoma"/>
          <w:spacing w:val="31"/>
          <w:sz w:val="20"/>
          <w:szCs w:val="20"/>
        </w:rPr>
        <w:t xml:space="preserve"> </w:t>
      </w:r>
      <w:r w:rsidRPr="00B004EE">
        <w:rPr>
          <w:rFonts w:ascii="Tahoma" w:hAnsi="Tahoma" w:cs="Tahoma"/>
          <w:spacing w:val="6"/>
          <w:sz w:val="20"/>
          <w:szCs w:val="20"/>
        </w:rPr>
        <w:t>signer</w:t>
      </w:r>
      <w:r w:rsidR="00DB1635" w:rsidRPr="00B004EE">
        <w:rPr>
          <w:rFonts w:ascii="Tahoma" w:hAnsi="Tahoma" w:cs="Tahoma"/>
          <w:spacing w:val="31"/>
          <w:sz w:val="20"/>
          <w:szCs w:val="20"/>
        </w:rPr>
        <w:t xml:space="preserve"> </w:t>
      </w:r>
      <w:r w:rsidRPr="00B004EE">
        <w:rPr>
          <w:rFonts w:ascii="Tahoma" w:hAnsi="Tahoma" w:cs="Tahoma"/>
          <w:spacing w:val="5"/>
          <w:sz w:val="20"/>
          <w:szCs w:val="20"/>
        </w:rPr>
        <w:lastRenderedPageBreak/>
        <w:t>tous</w:t>
      </w:r>
      <w:r w:rsidR="00DB1635" w:rsidRPr="00B004EE">
        <w:rPr>
          <w:rFonts w:ascii="Tahoma" w:hAnsi="Tahoma" w:cs="Tahoma"/>
          <w:spacing w:val="34"/>
          <w:sz w:val="20"/>
          <w:szCs w:val="20"/>
        </w:rPr>
        <w:t xml:space="preserve"> </w:t>
      </w:r>
      <w:r w:rsidRPr="00B004EE">
        <w:rPr>
          <w:rFonts w:ascii="Tahoma" w:hAnsi="Tahoma" w:cs="Tahoma"/>
          <w:spacing w:val="3"/>
          <w:sz w:val="20"/>
          <w:szCs w:val="20"/>
        </w:rPr>
        <w:t>ou</w:t>
      </w:r>
      <w:r w:rsidR="00DB1635" w:rsidRPr="00B004EE">
        <w:rPr>
          <w:rFonts w:ascii="Tahoma" w:hAnsi="Tahoma" w:cs="Tahoma"/>
          <w:spacing w:val="32"/>
          <w:sz w:val="20"/>
          <w:szCs w:val="20"/>
        </w:rPr>
        <w:t xml:space="preserve"> </w:t>
      </w:r>
      <w:r w:rsidRPr="00B004EE">
        <w:rPr>
          <w:rFonts w:ascii="Tahoma" w:hAnsi="Tahoma" w:cs="Tahoma"/>
          <w:spacing w:val="6"/>
          <w:sz w:val="20"/>
          <w:szCs w:val="20"/>
        </w:rPr>
        <w:t>certains</w:t>
      </w:r>
      <w:r w:rsidR="00DB1635" w:rsidRPr="00B004EE">
        <w:rPr>
          <w:rFonts w:ascii="Tahoma" w:hAnsi="Tahoma" w:cs="Tahoma"/>
          <w:spacing w:val="34"/>
          <w:sz w:val="20"/>
          <w:szCs w:val="20"/>
        </w:rPr>
        <w:t xml:space="preserve"> </w:t>
      </w:r>
      <w:r w:rsidRPr="00B004EE">
        <w:rPr>
          <w:rFonts w:ascii="Tahoma" w:hAnsi="Tahoma" w:cs="Tahoma"/>
          <w:spacing w:val="6"/>
          <w:sz w:val="20"/>
          <w:szCs w:val="20"/>
        </w:rPr>
        <w:t>actes</w:t>
      </w:r>
      <w:r w:rsidR="00DB1635" w:rsidRPr="00B004EE">
        <w:rPr>
          <w:rFonts w:ascii="Tahoma" w:hAnsi="Tahoma" w:cs="Tahoma"/>
          <w:spacing w:val="14"/>
          <w:sz w:val="20"/>
          <w:szCs w:val="20"/>
        </w:rPr>
        <w:t xml:space="preserve"> </w:t>
      </w:r>
      <w:r w:rsidRPr="00B004EE">
        <w:rPr>
          <w:rFonts w:ascii="Tahoma" w:hAnsi="Tahoma" w:cs="Tahoma"/>
          <w:spacing w:val="4"/>
          <w:sz w:val="20"/>
          <w:szCs w:val="20"/>
        </w:rPr>
        <w:t>d'ordre</w:t>
      </w:r>
      <w:r w:rsidR="00DB1635" w:rsidRPr="00B004EE">
        <w:rPr>
          <w:rFonts w:ascii="Tahoma" w:hAnsi="Tahoma" w:cs="Tahoma"/>
          <w:spacing w:val="25"/>
          <w:sz w:val="20"/>
          <w:szCs w:val="20"/>
        </w:rPr>
        <w:t xml:space="preserve"> </w:t>
      </w:r>
      <w:r w:rsidRPr="00B004EE">
        <w:rPr>
          <w:rFonts w:ascii="Tahoma" w:hAnsi="Tahoma" w:cs="Tahoma"/>
          <w:spacing w:val="4"/>
          <w:sz w:val="20"/>
          <w:szCs w:val="20"/>
        </w:rPr>
        <w:t>administratif</w:t>
      </w:r>
      <w:r w:rsidR="00DB1635" w:rsidRPr="00B004EE">
        <w:rPr>
          <w:rFonts w:ascii="Tahoma" w:hAnsi="Tahoma" w:cs="Tahoma"/>
          <w:spacing w:val="28"/>
          <w:sz w:val="20"/>
          <w:szCs w:val="20"/>
        </w:rPr>
        <w:t xml:space="preserve"> </w:t>
      </w:r>
      <w:r w:rsidRPr="00B004EE">
        <w:rPr>
          <w:rFonts w:ascii="Tahoma" w:hAnsi="Tahoma" w:cs="Tahoma"/>
          <w:sz w:val="20"/>
          <w:szCs w:val="20"/>
        </w:rPr>
        <w:t>à</w:t>
      </w:r>
      <w:r w:rsidR="00DB1635" w:rsidRPr="00B004EE">
        <w:rPr>
          <w:rFonts w:ascii="Tahoma" w:hAnsi="Tahoma" w:cs="Tahoma"/>
          <w:spacing w:val="25"/>
          <w:sz w:val="20"/>
          <w:szCs w:val="20"/>
        </w:rPr>
        <w:t xml:space="preserve"> </w:t>
      </w:r>
      <w:r w:rsidRPr="00B004EE">
        <w:rPr>
          <w:rFonts w:ascii="Tahoma" w:hAnsi="Tahoma" w:cs="Tahoma"/>
          <w:spacing w:val="2"/>
          <w:sz w:val="20"/>
          <w:szCs w:val="20"/>
        </w:rPr>
        <w:t>des</w:t>
      </w:r>
      <w:r w:rsidR="00DB1635" w:rsidRPr="00B004EE">
        <w:rPr>
          <w:rFonts w:ascii="Tahoma" w:hAnsi="Tahoma" w:cs="Tahoma"/>
          <w:spacing w:val="26"/>
          <w:sz w:val="20"/>
          <w:szCs w:val="20"/>
        </w:rPr>
        <w:t xml:space="preserve"> </w:t>
      </w:r>
      <w:r w:rsidRPr="00B004EE">
        <w:rPr>
          <w:rFonts w:ascii="Tahoma" w:hAnsi="Tahoma" w:cs="Tahoma"/>
          <w:spacing w:val="4"/>
          <w:sz w:val="20"/>
          <w:szCs w:val="20"/>
        </w:rPr>
        <w:t>collaborateurs</w:t>
      </w:r>
      <w:r w:rsidR="00DB1635" w:rsidRPr="00B004EE">
        <w:rPr>
          <w:rFonts w:ascii="Tahoma" w:hAnsi="Tahoma" w:cs="Tahoma"/>
          <w:spacing w:val="12"/>
          <w:sz w:val="20"/>
          <w:szCs w:val="20"/>
        </w:rPr>
        <w:t xml:space="preserve"> </w:t>
      </w:r>
      <w:r w:rsidRPr="00B004EE">
        <w:rPr>
          <w:rFonts w:ascii="Tahoma" w:hAnsi="Tahoma" w:cs="Tahoma"/>
          <w:sz w:val="20"/>
          <w:szCs w:val="20"/>
        </w:rPr>
        <w:t>de</w:t>
      </w:r>
      <w:r w:rsidR="00DB1635" w:rsidRPr="00B004EE">
        <w:rPr>
          <w:rFonts w:ascii="Tahoma" w:hAnsi="Tahoma" w:cs="Tahoma"/>
          <w:spacing w:val="13"/>
          <w:sz w:val="20"/>
          <w:szCs w:val="20"/>
        </w:rPr>
        <w:t xml:space="preserve"> </w:t>
      </w:r>
      <w:r w:rsidRPr="00B004EE">
        <w:rPr>
          <w:rFonts w:ascii="Tahoma" w:hAnsi="Tahoma" w:cs="Tahoma"/>
          <w:sz w:val="20"/>
          <w:szCs w:val="20"/>
        </w:rPr>
        <w:t>son</w:t>
      </w:r>
      <w:r w:rsidR="00DB1635" w:rsidRPr="00B004EE">
        <w:rPr>
          <w:rFonts w:ascii="Tahoma" w:hAnsi="Tahoma" w:cs="Tahoma"/>
          <w:w w:val="99"/>
          <w:sz w:val="20"/>
          <w:szCs w:val="20"/>
        </w:rPr>
        <w:t xml:space="preserve"> </w:t>
      </w:r>
      <w:r w:rsidRPr="00B004EE">
        <w:rPr>
          <w:rFonts w:ascii="Tahoma" w:hAnsi="Tahoma" w:cs="Tahoma"/>
          <w:sz w:val="20"/>
          <w:szCs w:val="20"/>
        </w:rPr>
        <w:t>choix.</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cas</w:t>
      </w:r>
      <w:r w:rsidR="00DB1635" w:rsidRPr="00B004EE">
        <w:rPr>
          <w:rFonts w:ascii="Tahoma" w:hAnsi="Tahoma" w:cs="Tahoma"/>
          <w:sz w:val="20"/>
          <w:szCs w:val="20"/>
        </w:rPr>
        <w:t xml:space="preserve"> </w:t>
      </w:r>
      <w:r w:rsidRPr="00B004EE">
        <w:rPr>
          <w:rFonts w:ascii="Tahoma" w:hAnsi="Tahoma" w:cs="Tahoma"/>
          <w:spacing w:val="2"/>
          <w:sz w:val="20"/>
          <w:szCs w:val="20"/>
        </w:rPr>
        <w:t>d'absence</w:t>
      </w:r>
      <w:r w:rsidR="00DB1635" w:rsidRPr="00B004EE">
        <w:rPr>
          <w:rFonts w:ascii="Tahoma" w:hAnsi="Tahoma" w:cs="Tahoma"/>
          <w:spacing w:val="2"/>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pacing w:val="2"/>
          <w:sz w:val="20"/>
          <w:szCs w:val="20"/>
        </w:rPr>
        <w:t>d'empêchement,</w:t>
      </w:r>
      <w:r w:rsidR="00DB1635" w:rsidRPr="00B004EE">
        <w:rPr>
          <w:rFonts w:ascii="Tahoma" w:hAnsi="Tahoma" w:cs="Tahoma"/>
          <w:spacing w:val="2"/>
          <w:sz w:val="20"/>
          <w:szCs w:val="20"/>
        </w:rPr>
        <w:t xml:space="preserve"> </w:t>
      </w:r>
      <w:r w:rsidRPr="00B004EE">
        <w:rPr>
          <w:rFonts w:ascii="Tahoma" w:hAnsi="Tahoma" w:cs="Tahoma"/>
          <w:spacing w:val="9"/>
          <w:sz w:val="20"/>
          <w:szCs w:val="20"/>
        </w:rPr>
        <w:t>l'intérim</w:t>
      </w:r>
      <w:r w:rsidR="00DB1635" w:rsidRPr="00B004EE">
        <w:rPr>
          <w:rFonts w:ascii="Tahoma" w:hAnsi="Tahoma" w:cs="Tahoma"/>
          <w:spacing w:val="9"/>
          <w:sz w:val="20"/>
          <w:szCs w:val="20"/>
        </w:rPr>
        <w:t xml:space="preserve"> </w:t>
      </w:r>
      <w:r w:rsidRPr="00B004EE">
        <w:rPr>
          <w:rFonts w:ascii="Tahoma" w:hAnsi="Tahoma" w:cs="Tahoma"/>
          <w:spacing w:val="6"/>
          <w:sz w:val="20"/>
          <w:szCs w:val="20"/>
        </w:rPr>
        <w:t>du</w:t>
      </w:r>
      <w:r w:rsidR="00DB1635" w:rsidRPr="00B004EE">
        <w:rPr>
          <w:rFonts w:ascii="Tahoma" w:hAnsi="Tahoma" w:cs="Tahoma"/>
          <w:spacing w:val="6"/>
          <w:sz w:val="20"/>
          <w:szCs w:val="20"/>
        </w:rPr>
        <w:t xml:space="preserve"> </w:t>
      </w:r>
      <w:r w:rsidRPr="00B004EE">
        <w:rPr>
          <w:rFonts w:ascii="Tahoma" w:hAnsi="Tahoma" w:cs="Tahoma"/>
          <w:spacing w:val="9"/>
          <w:sz w:val="20"/>
          <w:szCs w:val="20"/>
        </w:rPr>
        <w:t>Directeur</w:t>
      </w:r>
      <w:r w:rsidR="00DB1635" w:rsidRPr="00B004EE">
        <w:rPr>
          <w:rFonts w:ascii="Tahoma" w:hAnsi="Tahoma" w:cs="Tahoma"/>
          <w:spacing w:val="9"/>
          <w:sz w:val="20"/>
          <w:szCs w:val="20"/>
        </w:rPr>
        <w:t xml:space="preserve"> </w:t>
      </w:r>
      <w:r w:rsidRPr="00B004EE">
        <w:rPr>
          <w:rFonts w:ascii="Tahoma" w:hAnsi="Tahoma" w:cs="Tahoma"/>
          <w:spacing w:val="6"/>
          <w:sz w:val="20"/>
          <w:szCs w:val="20"/>
        </w:rPr>
        <w:t>est</w:t>
      </w:r>
      <w:r w:rsidR="00DB1635" w:rsidRPr="00B004EE">
        <w:rPr>
          <w:rFonts w:ascii="Tahoma" w:hAnsi="Tahoma" w:cs="Tahoma"/>
          <w:spacing w:val="6"/>
          <w:sz w:val="20"/>
          <w:szCs w:val="20"/>
        </w:rPr>
        <w:t xml:space="preserve"> </w:t>
      </w:r>
      <w:r w:rsidRPr="00B004EE">
        <w:rPr>
          <w:rFonts w:ascii="Tahoma" w:hAnsi="Tahoma" w:cs="Tahoma"/>
          <w:spacing w:val="8"/>
          <w:sz w:val="20"/>
          <w:szCs w:val="20"/>
        </w:rPr>
        <w:t>assuré</w:t>
      </w:r>
      <w:r w:rsidR="00DB1635" w:rsidRPr="00B004EE">
        <w:rPr>
          <w:rFonts w:ascii="Tahoma" w:hAnsi="Tahoma" w:cs="Tahoma"/>
          <w:spacing w:val="8"/>
          <w:sz w:val="20"/>
          <w:szCs w:val="20"/>
        </w:rPr>
        <w:t xml:space="preserve"> </w:t>
      </w:r>
      <w:r w:rsidRPr="00B004EE">
        <w:rPr>
          <w:rFonts w:ascii="Tahoma" w:hAnsi="Tahoma" w:cs="Tahoma"/>
          <w:spacing w:val="6"/>
          <w:sz w:val="20"/>
          <w:szCs w:val="20"/>
        </w:rPr>
        <w:t>par</w:t>
      </w:r>
      <w:r w:rsidR="00DB1635" w:rsidRPr="00B004EE">
        <w:rPr>
          <w:rFonts w:ascii="Tahoma" w:hAnsi="Tahoma" w:cs="Tahoma"/>
          <w:spacing w:val="6"/>
          <w:sz w:val="20"/>
          <w:szCs w:val="20"/>
        </w:rPr>
        <w:t xml:space="preserve"> </w:t>
      </w:r>
      <w:r w:rsidRPr="00B004EE">
        <w:rPr>
          <w:rFonts w:ascii="Tahoma" w:hAnsi="Tahoma" w:cs="Tahoma"/>
          <w:spacing w:val="6"/>
          <w:sz w:val="20"/>
          <w:szCs w:val="20"/>
        </w:rPr>
        <w:t>le</w:t>
      </w:r>
      <w:r w:rsidR="00DB1635" w:rsidRPr="00B004EE">
        <w:rPr>
          <w:rFonts w:ascii="Tahoma" w:hAnsi="Tahoma" w:cs="Tahoma"/>
          <w:w w:val="99"/>
          <w:sz w:val="20"/>
          <w:szCs w:val="20"/>
        </w:rPr>
        <w:t xml:space="preserve"> </w:t>
      </w:r>
      <w:r w:rsidRPr="00B004EE">
        <w:rPr>
          <w:rFonts w:ascii="Tahoma" w:hAnsi="Tahoma" w:cs="Tahoma"/>
          <w:sz w:val="20"/>
          <w:szCs w:val="20"/>
        </w:rPr>
        <w:t>Directeur</w:t>
      </w:r>
      <w:r w:rsidR="00DB1635" w:rsidRPr="00B004EE">
        <w:rPr>
          <w:rFonts w:ascii="Tahoma" w:hAnsi="Tahoma" w:cs="Tahoma"/>
          <w:spacing w:val="-6"/>
          <w:sz w:val="20"/>
          <w:szCs w:val="20"/>
        </w:rPr>
        <w:t xml:space="preserve"> </w:t>
      </w:r>
      <w:r w:rsidRPr="00B004EE">
        <w:rPr>
          <w:rFonts w:ascii="Tahoma" w:hAnsi="Tahoma" w:cs="Tahoma"/>
          <w:sz w:val="20"/>
          <w:szCs w:val="20"/>
        </w:rPr>
        <w:t>Adjoint.</w:t>
      </w:r>
    </w:p>
    <w:p w14:paraId="292C93F2" w14:textId="77777777" w:rsidR="00FF661D" w:rsidRPr="00B004EE" w:rsidRDefault="00FF661D" w:rsidP="00B004EE">
      <w:pPr>
        <w:jc w:val="center"/>
        <w:rPr>
          <w:rFonts w:ascii="Tahoma" w:eastAsia="Times" w:hAnsi="Tahoma" w:cs="Tahoma"/>
          <w:b/>
          <w:bCs/>
          <w:sz w:val="20"/>
          <w:szCs w:val="20"/>
        </w:rPr>
      </w:pPr>
    </w:p>
    <w:p w14:paraId="29420107" w14:textId="3411C7D9" w:rsidR="008518B0" w:rsidRPr="00B004EE" w:rsidRDefault="008518B0" w:rsidP="00B004EE">
      <w:pPr>
        <w:jc w:val="center"/>
        <w:rPr>
          <w:rFonts w:ascii="Tahoma" w:eastAsia="Times" w:hAnsi="Tahoma" w:cs="Tahoma"/>
          <w:b/>
          <w:bCs/>
          <w:sz w:val="20"/>
          <w:szCs w:val="20"/>
        </w:rPr>
      </w:pPr>
      <w:r w:rsidRPr="00B004EE">
        <w:rPr>
          <w:rFonts w:ascii="Tahoma" w:eastAsia="Times" w:hAnsi="Tahoma" w:cs="Tahoma"/>
          <w:b/>
          <w:bCs/>
          <w:sz w:val="20"/>
          <w:szCs w:val="20"/>
        </w:rPr>
        <w:t>TITRE</w:t>
      </w:r>
      <w:r w:rsidR="00DB1635" w:rsidRPr="00B004EE">
        <w:rPr>
          <w:rFonts w:ascii="Tahoma" w:eastAsia="Times" w:hAnsi="Tahoma" w:cs="Tahoma"/>
          <w:b/>
          <w:bCs/>
          <w:sz w:val="20"/>
          <w:szCs w:val="20"/>
        </w:rPr>
        <w:t xml:space="preserve"> </w:t>
      </w:r>
      <w:r w:rsidRPr="00B004EE">
        <w:rPr>
          <w:rFonts w:ascii="Tahoma" w:eastAsia="Times" w:hAnsi="Tahoma" w:cs="Tahoma"/>
          <w:b/>
          <w:bCs/>
          <w:sz w:val="20"/>
          <w:szCs w:val="20"/>
        </w:rPr>
        <w:t>III</w:t>
      </w:r>
      <w:r w:rsidR="00DB1635" w:rsidRPr="00B004EE">
        <w:rPr>
          <w:rFonts w:ascii="Tahoma" w:eastAsia="Times" w:hAnsi="Tahoma" w:cs="Tahoma"/>
          <w:b/>
          <w:bCs/>
          <w:sz w:val="20"/>
          <w:szCs w:val="20"/>
        </w:rPr>
        <w:t xml:space="preserve"> </w:t>
      </w:r>
      <w:r w:rsidRPr="00B004EE">
        <w:rPr>
          <w:rFonts w:ascii="Tahoma" w:eastAsia="Times" w:hAnsi="Tahoma" w:cs="Tahoma"/>
          <w:b/>
          <w:bCs/>
          <w:sz w:val="20"/>
          <w:szCs w:val="20"/>
        </w:rPr>
        <w:t>REGIME</w:t>
      </w:r>
      <w:r w:rsidR="00DB1635" w:rsidRPr="00B004EE">
        <w:rPr>
          <w:rFonts w:ascii="Tahoma" w:eastAsia="Times" w:hAnsi="Tahoma" w:cs="Tahoma"/>
          <w:b/>
          <w:bCs/>
          <w:sz w:val="20"/>
          <w:szCs w:val="20"/>
        </w:rPr>
        <w:t xml:space="preserve"> </w:t>
      </w:r>
      <w:r w:rsidRPr="00B004EE">
        <w:rPr>
          <w:rFonts w:ascii="Tahoma" w:eastAsia="Times" w:hAnsi="Tahoma" w:cs="Tahoma"/>
          <w:b/>
          <w:bCs/>
          <w:sz w:val="20"/>
          <w:szCs w:val="20"/>
        </w:rPr>
        <w:t>ADMINISTRATIF,</w:t>
      </w:r>
      <w:r w:rsidR="00DB1635" w:rsidRPr="00B004EE">
        <w:rPr>
          <w:rFonts w:ascii="Tahoma" w:eastAsia="Times" w:hAnsi="Tahoma" w:cs="Tahoma"/>
          <w:b/>
          <w:bCs/>
          <w:sz w:val="20"/>
          <w:szCs w:val="20"/>
        </w:rPr>
        <w:t xml:space="preserve"> </w:t>
      </w:r>
      <w:r w:rsidRPr="00B004EE">
        <w:rPr>
          <w:rFonts w:ascii="Tahoma" w:eastAsia="Times" w:hAnsi="Tahoma" w:cs="Tahoma"/>
          <w:b/>
          <w:bCs/>
          <w:sz w:val="20"/>
          <w:szCs w:val="20"/>
        </w:rPr>
        <w:t>FINANCIER</w:t>
      </w:r>
      <w:r w:rsidR="00DB1635" w:rsidRPr="00B004EE">
        <w:rPr>
          <w:rFonts w:ascii="Tahoma" w:eastAsia="Times" w:hAnsi="Tahoma" w:cs="Tahoma"/>
          <w:b/>
          <w:bCs/>
          <w:sz w:val="20"/>
          <w:szCs w:val="20"/>
        </w:rPr>
        <w:t xml:space="preserve"> </w:t>
      </w:r>
      <w:r w:rsidRPr="00B004EE">
        <w:rPr>
          <w:rFonts w:ascii="Tahoma" w:eastAsia="Times" w:hAnsi="Tahoma" w:cs="Tahoma"/>
          <w:b/>
          <w:bCs/>
          <w:sz w:val="20"/>
          <w:szCs w:val="20"/>
        </w:rPr>
        <w:t>ET</w:t>
      </w:r>
      <w:r w:rsidR="00DB1635" w:rsidRPr="00B004EE">
        <w:rPr>
          <w:rFonts w:ascii="Tahoma" w:eastAsia="Times" w:hAnsi="Tahoma" w:cs="Tahoma"/>
          <w:b/>
          <w:bCs/>
          <w:sz w:val="20"/>
          <w:szCs w:val="20"/>
        </w:rPr>
        <w:t xml:space="preserve"> </w:t>
      </w:r>
      <w:r w:rsidRPr="00B004EE">
        <w:rPr>
          <w:rFonts w:ascii="Tahoma" w:eastAsia="Times" w:hAnsi="Tahoma" w:cs="Tahoma"/>
          <w:b/>
          <w:bCs/>
          <w:sz w:val="20"/>
          <w:szCs w:val="20"/>
        </w:rPr>
        <w:t>COMPTABLE</w:t>
      </w:r>
    </w:p>
    <w:p w14:paraId="5B40F647" w14:textId="7F661C7C" w:rsidR="008518B0" w:rsidRPr="00B004EE" w:rsidRDefault="00FF661D" w:rsidP="00B004EE">
      <w:pPr>
        <w:pStyle w:val="Corpsdetexte"/>
        <w:ind w:left="165" w:right="181"/>
        <w:rPr>
          <w:rFonts w:ascii="Tahoma" w:hAnsi="Tahoma" w:cs="Tahoma"/>
          <w:sz w:val="20"/>
          <w:szCs w:val="20"/>
        </w:rPr>
      </w:pPr>
      <w:r w:rsidRPr="00B004EE">
        <w:rPr>
          <w:rFonts w:ascii="Tahoma" w:hAnsi="Tahoma" w:cs="Tahoma"/>
          <w:bCs/>
          <w:iCs/>
          <w:sz w:val="20"/>
          <w:szCs w:val="20"/>
        </w:rPr>
        <w:t xml:space="preserve">Article </w:t>
      </w:r>
      <w:r w:rsidR="008518B0" w:rsidRPr="00B004EE">
        <w:rPr>
          <w:rFonts w:ascii="Tahoma" w:hAnsi="Tahoma" w:cs="Tahoma"/>
          <w:bCs/>
          <w:iCs/>
          <w:sz w:val="20"/>
          <w:szCs w:val="20"/>
        </w:rPr>
        <w:t>16</w:t>
      </w:r>
      <w:r w:rsidR="00DB1635" w:rsidRPr="00B004EE">
        <w:rPr>
          <w:rFonts w:ascii="Tahoma" w:hAnsi="Tahoma" w:cs="Tahoma"/>
          <w:b/>
          <w:i/>
          <w:spacing w:val="19"/>
          <w:sz w:val="20"/>
          <w:szCs w:val="20"/>
        </w:rPr>
        <w:t xml:space="preserve"> </w:t>
      </w:r>
      <w:r w:rsidR="008518B0" w:rsidRPr="00B004EE">
        <w:rPr>
          <w:rFonts w:ascii="Tahoma" w:hAnsi="Tahoma" w:cs="Tahoma"/>
          <w:b/>
          <w:i/>
          <w:sz w:val="20"/>
          <w:szCs w:val="20"/>
        </w:rPr>
        <w:t>:</w:t>
      </w:r>
      <w:r w:rsidR="00DB1635" w:rsidRPr="00B004EE">
        <w:rPr>
          <w:rFonts w:ascii="Tahoma" w:hAnsi="Tahoma" w:cs="Tahoma"/>
          <w:b/>
          <w:i/>
          <w:spacing w:val="18"/>
          <w:sz w:val="20"/>
          <w:szCs w:val="20"/>
        </w:rPr>
        <w:t xml:space="preserve"> </w:t>
      </w:r>
      <w:r w:rsidR="008518B0" w:rsidRPr="00B004EE">
        <w:rPr>
          <w:rFonts w:ascii="Tahoma" w:hAnsi="Tahoma" w:cs="Tahoma"/>
          <w:sz w:val="20"/>
          <w:szCs w:val="20"/>
        </w:rPr>
        <w:t>Le</w:t>
      </w:r>
      <w:r w:rsidR="00DB1635" w:rsidRPr="00B004EE">
        <w:rPr>
          <w:rFonts w:ascii="Tahoma" w:hAnsi="Tahoma" w:cs="Tahoma"/>
          <w:spacing w:val="18"/>
          <w:sz w:val="20"/>
          <w:szCs w:val="20"/>
        </w:rPr>
        <w:t xml:space="preserve"> </w:t>
      </w:r>
      <w:r w:rsidR="008518B0" w:rsidRPr="00B004EE">
        <w:rPr>
          <w:rFonts w:ascii="Tahoma" w:hAnsi="Tahoma" w:cs="Tahoma"/>
          <w:spacing w:val="6"/>
          <w:sz w:val="20"/>
          <w:szCs w:val="20"/>
        </w:rPr>
        <w:t>personnel</w:t>
      </w:r>
      <w:r w:rsidR="00DB1635" w:rsidRPr="00B004EE">
        <w:rPr>
          <w:rFonts w:ascii="Tahoma" w:hAnsi="Tahoma" w:cs="Tahoma"/>
          <w:spacing w:val="19"/>
          <w:sz w:val="20"/>
          <w:szCs w:val="20"/>
        </w:rPr>
        <w:t xml:space="preserve"> </w:t>
      </w:r>
      <w:r w:rsidR="008518B0" w:rsidRPr="00B004EE">
        <w:rPr>
          <w:rFonts w:ascii="Tahoma" w:hAnsi="Tahoma" w:cs="Tahoma"/>
          <w:spacing w:val="3"/>
          <w:sz w:val="20"/>
          <w:szCs w:val="20"/>
        </w:rPr>
        <w:t>de</w:t>
      </w:r>
      <w:r w:rsidR="00DB1635" w:rsidRPr="00B004EE">
        <w:rPr>
          <w:rFonts w:ascii="Tahoma" w:hAnsi="Tahoma" w:cs="Tahoma"/>
          <w:spacing w:val="18"/>
          <w:sz w:val="20"/>
          <w:szCs w:val="20"/>
        </w:rPr>
        <w:t xml:space="preserve"> </w:t>
      </w:r>
      <w:r w:rsidR="008518B0" w:rsidRPr="00B004EE">
        <w:rPr>
          <w:rFonts w:ascii="Tahoma" w:hAnsi="Tahoma" w:cs="Tahoma"/>
          <w:spacing w:val="5"/>
          <w:sz w:val="20"/>
          <w:szCs w:val="20"/>
        </w:rPr>
        <w:t>l'Office</w:t>
      </w:r>
      <w:r w:rsidR="00DB1635" w:rsidRPr="00B004EE">
        <w:rPr>
          <w:rFonts w:ascii="Tahoma" w:hAnsi="Tahoma" w:cs="Tahoma"/>
          <w:spacing w:val="20"/>
          <w:sz w:val="20"/>
          <w:szCs w:val="20"/>
        </w:rPr>
        <w:t xml:space="preserve"> </w:t>
      </w:r>
      <w:r w:rsidR="008518B0" w:rsidRPr="00B004EE">
        <w:rPr>
          <w:rFonts w:ascii="Tahoma" w:hAnsi="Tahoma" w:cs="Tahoma"/>
          <w:spacing w:val="10"/>
          <w:sz w:val="20"/>
          <w:szCs w:val="20"/>
        </w:rPr>
        <w:t>National</w:t>
      </w:r>
      <w:r w:rsidR="00DB1635" w:rsidRPr="00B004EE">
        <w:rPr>
          <w:rFonts w:ascii="Tahoma" w:hAnsi="Tahoma" w:cs="Tahoma"/>
          <w:spacing w:val="32"/>
          <w:sz w:val="20"/>
          <w:szCs w:val="20"/>
        </w:rPr>
        <w:t xml:space="preserve"> </w:t>
      </w:r>
      <w:r w:rsidR="008518B0" w:rsidRPr="00B004EE">
        <w:rPr>
          <w:rFonts w:ascii="Tahoma" w:hAnsi="Tahoma" w:cs="Tahoma"/>
          <w:spacing w:val="11"/>
          <w:sz w:val="20"/>
          <w:szCs w:val="20"/>
        </w:rPr>
        <w:t>d'Inspection</w:t>
      </w:r>
      <w:r w:rsidR="00DB1635" w:rsidRPr="00B004EE">
        <w:rPr>
          <w:rFonts w:ascii="Tahoma" w:hAnsi="Tahoma" w:cs="Tahoma"/>
          <w:spacing w:val="32"/>
          <w:sz w:val="20"/>
          <w:szCs w:val="20"/>
        </w:rPr>
        <w:t xml:space="preserve"> </w:t>
      </w:r>
      <w:r w:rsidR="008518B0" w:rsidRPr="00B004EE">
        <w:rPr>
          <w:rFonts w:ascii="Tahoma" w:hAnsi="Tahoma" w:cs="Tahoma"/>
          <w:spacing w:val="11"/>
          <w:sz w:val="20"/>
          <w:szCs w:val="20"/>
        </w:rPr>
        <w:t>Sanitaire</w:t>
      </w:r>
      <w:r w:rsidR="00DB1635" w:rsidRPr="00B004EE">
        <w:rPr>
          <w:rFonts w:ascii="Tahoma" w:hAnsi="Tahoma" w:cs="Tahoma"/>
          <w:spacing w:val="28"/>
          <w:sz w:val="20"/>
          <w:szCs w:val="20"/>
        </w:rPr>
        <w:t xml:space="preserve"> </w:t>
      </w:r>
      <w:r w:rsidR="008518B0" w:rsidRPr="00B004EE">
        <w:rPr>
          <w:rFonts w:ascii="Tahoma" w:hAnsi="Tahoma" w:cs="Tahoma"/>
          <w:spacing w:val="8"/>
          <w:sz w:val="20"/>
          <w:szCs w:val="20"/>
        </w:rPr>
        <w:t>des</w:t>
      </w:r>
      <w:r w:rsidR="00DB1635" w:rsidRPr="00B004EE">
        <w:rPr>
          <w:rFonts w:ascii="Tahoma" w:hAnsi="Tahoma" w:cs="Tahoma"/>
          <w:spacing w:val="32"/>
          <w:sz w:val="20"/>
          <w:szCs w:val="20"/>
        </w:rPr>
        <w:t xml:space="preserve"> </w:t>
      </w:r>
      <w:r w:rsidR="008518B0" w:rsidRPr="00B004EE">
        <w:rPr>
          <w:rFonts w:ascii="Tahoma" w:hAnsi="Tahoma" w:cs="Tahoma"/>
          <w:sz w:val="20"/>
          <w:szCs w:val="20"/>
        </w:rPr>
        <w:t>Produits</w:t>
      </w:r>
      <w:r w:rsidR="00DB1635" w:rsidRPr="00B004EE">
        <w:rPr>
          <w:rFonts w:ascii="Tahoma" w:hAnsi="Tahoma" w:cs="Tahoma"/>
          <w:spacing w:val="2"/>
          <w:sz w:val="20"/>
          <w:szCs w:val="20"/>
        </w:rPr>
        <w:t xml:space="preserve"> </w:t>
      </w:r>
      <w:r w:rsidR="008518B0" w:rsidRPr="00B004EE">
        <w:rPr>
          <w:rFonts w:ascii="Tahoma" w:hAnsi="Tahoma" w:cs="Tahoma"/>
          <w:sz w:val="20"/>
          <w:szCs w:val="20"/>
        </w:rPr>
        <w:t>de</w:t>
      </w:r>
      <w:r w:rsidR="00DB1635" w:rsidRPr="00B004EE">
        <w:rPr>
          <w:rFonts w:ascii="Tahoma" w:hAnsi="Tahoma" w:cs="Tahoma"/>
          <w:w w:val="99"/>
          <w:sz w:val="20"/>
          <w:szCs w:val="20"/>
        </w:rPr>
        <w:t xml:space="preserve"> </w:t>
      </w:r>
      <w:r w:rsidR="008518B0" w:rsidRPr="00B004EE">
        <w:rPr>
          <w:rFonts w:ascii="Tahoma" w:hAnsi="Tahoma" w:cs="Tahoma"/>
          <w:sz w:val="20"/>
          <w:szCs w:val="20"/>
        </w:rPr>
        <w:t>la</w:t>
      </w:r>
      <w:r w:rsidR="00DB1635" w:rsidRPr="00B004EE">
        <w:rPr>
          <w:rFonts w:ascii="Tahoma" w:hAnsi="Tahoma" w:cs="Tahoma"/>
          <w:sz w:val="20"/>
          <w:szCs w:val="20"/>
        </w:rPr>
        <w:t xml:space="preserve"> </w:t>
      </w:r>
      <w:r w:rsidR="008518B0" w:rsidRPr="00B004EE">
        <w:rPr>
          <w:rFonts w:ascii="Tahoma" w:hAnsi="Tahoma" w:cs="Tahoma"/>
          <w:sz w:val="20"/>
          <w:szCs w:val="20"/>
        </w:rPr>
        <w:t>Pêche</w:t>
      </w:r>
      <w:r w:rsidR="00DB1635" w:rsidRPr="00B004EE">
        <w:rPr>
          <w:rFonts w:ascii="Tahoma" w:hAnsi="Tahoma" w:cs="Tahoma"/>
          <w:sz w:val="20"/>
          <w:szCs w:val="20"/>
        </w:rPr>
        <w:t xml:space="preserve"> </w:t>
      </w:r>
      <w:r w:rsidR="008518B0" w:rsidRPr="00B004EE">
        <w:rPr>
          <w:rFonts w:ascii="Tahoma" w:hAnsi="Tahoma" w:cs="Tahoma"/>
          <w:sz w:val="20"/>
          <w:szCs w:val="20"/>
        </w:rPr>
        <w:t>et</w:t>
      </w:r>
      <w:r w:rsidR="00DB1635" w:rsidRPr="00B004EE">
        <w:rPr>
          <w:rFonts w:ascii="Tahoma" w:hAnsi="Tahoma" w:cs="Tahoma"/>
          <w:sz w:val="20"/>
          <w:szCs w:val="20"/>
        </w:rPr>
        <w:t xml:space="preserve"> </w:t>
      </w:r>
      <w:r w:rsidR="008518B0" w:rsidRPr="00B004EE">
        <w:rPr>
          <w:rFonts w:ascii="Tahoma" w:hAnsi="Tahoma" w:cs="Tahoma"/>
          <w:sz w:val="20"/>
          <w:szCs w:val="20"/>
        </w:rPr>
        <w:t>de</w:t>
      </w:r>
      <w:r w:rsidR="00DB1635" w:rsidRPr="00B004EE">
        <w:rPr>
          <w:rFonts w:ascii="Tahoma" w:hAnsi="Tahoma" w:cs="Tahoma"/>
          <w:sz w:val="20"/>
          <w:szCs w:val="20"/>
        </w:rPr>
        <w:t xml:space="preserve"> </w:t>
      </w:r>
      <w:r w:rsidR="008518B0" w:rsidRPr="00B004EE">
        <w:rPr>
          <w:rFonts w:ascii="Tahoma" w:hAnsi="Tahoma" w:cs="Tahoma"/>
          <w:sz w:val="20"/>
          <w:szCs w:val="20"/>
        </w:rPr>
        <w:t>l'Aquaculture</w:t>
      </w:r>
      <w:r w:rsidR="00DB1635" w:rsidRPr="00B004EE">
        <w:rPr>
          <w:rFonts w:ascii="Tahoma" w:hAnsi="Tahoma" w:cs="Tahoma"/>
          <w:sz w:val="20"/>
          <w:szCs w:val="20"/>
        </w:rPr>
        <w:t xml:space="preserve"> </w:t>
      </w:r>
      <w:r w:rsidR="008518B0" w:rsidRPr="00B004EE">
        <w:rPr>
          <w:rFonts w:ascii="Tahoma" w:hAnsi="Tahoma" w:cs="Tahoma"/>
          <w:sz w:val="20"/>
          <w:szCs w:val="20"/>
        </w:rPr>
        <w:t>est</w:t>
      </w:r>
      <w:r w:rsidR="00DB1635" w:rsidRPr="00B004EE">
        <w:rPr>
          <w:rFonts w:ascii="Tahoma" w:hAnsi="Tahoma" w:cs="Tahoma"/>
          <w:sz w:val="20"/>
          <w:szCs w:val="20"/>
        </w:rPr>
        <w:t xml:space="preserve"> </w:t>
      </w:r>
      <w:r w:rsidR="008518B0" w:rsidRPr="00B004EE">
        <w:rPr>
          <w:rFonts w:ascii="Tahoma" w:hAnsi="Tahoma" w:cs="Tahoma"/>
          <w:spacing w:val="13"/>
          <w:sz w:val="20"/>
          <w:szCs w:val="20"/>
        </w:rPr>
        <w:t>régi</w:t>
      </w:r>
      <w:r w:rsidR="00DB1635" w:rsidRPr="00B004EE">
        <w:rPr>
          <w:rFonts w:ascii="Tahoma" w:hAnsi="Tahoma" w:cs="Tahoma"/>
          <w:spacing w:val="13"/>
          <w:sz w:val="20"/>
          <w:szCs w:val="20"/>
        </w:rPr>
        <w:t xml:space="preserve"> </w:t>
      </w:r>
      <w:r w:rsidR="008518B0" w:rsidRPr="00B004EE">
        <w:rPr>
          <w:rFonts w:ascii="Tahoma" w:hAnsi="Tahoma" w:cs="Tahoma"/>
          <w:spacing w:val="11"/>
          <w:sz w:val="20"/>
          <w:szCs w:val="20"/>
        </w:rPr>
        <w:t>par</w:t>
      </w:r>
      <w:r w:rsidR="00DB1635" w:rsidRPr="00B004EE">
        <w:rPr>
          <w:rFonts w:ascii="Tahoma" w:hAnsi="Tahoma" w:cs="Tahoma"/>
          <w:spacing w:val="11"/>
          <w:sz w:val="20"/>
          <w:szCs w:val="20"/>
        </w:rPr>
        <w:t xml:space="preserve"> </w:t>
      </w:r>
      <w:r w:rsidR="008518B0" w:rsidRPr="00B004EE">
        <w:rPr>
          <w:rFonts w:ascii="Tahoma" w:hAnsi="Tahoma" w:cs="Tahoma"/>
          <w:spacing w:val="8"/>
          <w:sz w:val="20"/>
          <w:szCs w:val="20"/>
        </w:rPr>
        <w:t>un</w:t>
      </w:r>
      <w:r w:rsidR="00DB1635" w:rsidRPr="00B004EE">
        <w:rPr>
          <w:rFonts w:ascii="Tahoma" w:hAnsi="Tahoma" w:cs="Tahoma"/>
          <w:spacing w:val="8"/>
          <w:sz w:val="20"/>
          <w:szCs w:val="20"/>
        </w:rPr>
        <w:t xml:space="preserve"> </w:t>
      </w:r>
      <w:r w:rsidR="008518B0" w:rsidRPr="00B004EE">
        <w:rPr>
          <w:rFonts w:ascii="Tahoma" w:hAnsi="Tahoma" w:cs="Tahoma"/>
          <w:spacing w:val="14"/>
          <w:sz w:val="20"/>
          <w:szCs w:val="20"/>
        </w:rPr>
        <w:t>statut</w:t>
      </w:r>
      <w:r w:rsidR="00DB1635" w:rsidRPr="00B004EE">
        <w:rPr>
          <w:rFonts w:ascii="Tahoma" w:hAnsi="Tahoma" w:cs="Tahoma"/>
          <w:spacing w:val="14"/>
          <w:sz w:val="20"/>
          <w:szCs w:val="20"/>
        </w:rPr>
        <w:t xml:space="preserve"> </w:t>
      </w:r>
      <w:r w:rsidR="008518B0" w:rsidRPr="00B004EE">
        <w:rPr>
          <w:rFonts w:ascii="Tahoma" w:hAnsi="Tahoma" w:cs="Tahoma"/>
          <w:spacing w:val="8"/>
          <w:sz w:val="20"/>
          <w:szCs w:val="20"/>
        </w:rPr>
        <w:t>du</w:t>
      </w:r>
      <w:r w:rsidR="00DB1635" w:rsidRPr="00B004EE">
        <w:rPr>
          <w:rFonts w:ascii="Tahoma" w:hAnsi="Tahoma" w:cs="Tahoma"/>
          <w:spacing w:val="8"/>
          <w:sz w:val="20"/>
          <w:szCs w:val="20"/>
        </w:rPr>
        <w:t xml:space="preserve"> </w:t>
      </w:r>
      <w:r w:rsidR="008518B0" w:rsidRPr="00B004EE">
        <w:rPr>
          <w:rFonts w:ascii="Tahoma" w:hAnsi="Tahoma" w:cs="Tahoma"/>
          <w:spacing w:val="15"/>
          <w:sz w:val="20"/>
          <w:szCs w:val="20"/>
        </w:rPr>
        <w:t>personnel</w:t>
      </w:r>
      <w:r w:rsidR="00DB1635" w:rsidRPr="00B004EE">
        <w:rPr>
          <w:rFonts w:ascii="Tahoma" w:hAnsi="Tahoma" w:cs="Tahoma"/>
          <w:spacing w:val="15"/>
          <w:sz w:val="20"/>
          <w:szCs w:val="20"/>
        </w:rPr>
        <w:t xml:space="preserve"> </w:t>
      </w:r>
      <w:r w:rsidR="008518B0" w:rsidRPr="00B004EE">
        <w:rPr>
          <w:rFonts w:ascii="Tahoma" w:hAnsi="Tahoma" w:cs="Tahoma"/>
          <w:spacing w:val="11"/>
          <w:sz w:val="20"/>
          <w:szCs w:val="20"/>
        </w:rPr>
        <w:t>conformément</w:t>
      </w:r>
      <w:r w:rsidR="00DB1635" w:rsidRPr="00B004EE">
        <w:rPr>
          <w:rFonts w:ascii="Tahoma" w:hAnsi="Tahoma" w:cs="Tahoma"/>
          <w:spacing w:val="11"/>
          <w:sz w:val="20"/>
          <w:szCs w:val="20"/>
        </w:rPr>
        <w:t xml:space="preserve"> </w:t>
      </w:r>
      <w:r w:rsidR="008518B0" w:rsidRPr="00B004EE">
        <w:rPr>
          <w:rFonts w:ascii="Tahoma" w:hAnsi="Tahoma" w:cs="Tahoma"/>
          <w:sz w:val="20"/>
          <w:szCs w:val="20"/>
        </w:rPr>
        <w:t>à</w:t>
      </w:r>
      <w:r w:rsidR="00DB1635" w:rsidRPr="00B004EE">
        <w:rPr>
          <w:rFonts w:ascii="Tahoma" w:hAnsi="Tahoma" w:cs="Tahoma"/>
          <w:sz w:val="20"/>
          <w:szCs w:val="20"/>
        </w:rPr>
        <w:t xml:space="preserve"> </w:t>
      </w:r>
      <w:r w:rsidR="008518B0" w:rsidRPr="00B004EE">
        <w:rPr>
          <w:rFonts w:ascii="Tahoma" w:hAnsi="Tahoma" w:cs="Tahoma"/>
          <w:spacing w:val="7"/>
          <w:sz w:val="20"/>
          <w:szCs w:val="20"/>
        </w:rPr>
        <w:t>la</w:t>
      </w:r>
      <w:r w:rsidR="00DB1635" w:rsidRPr="00B004EE">
        <w:rPr>
          <w:rFonts w:ascii="Tahoma" w:hAnsi="Tahoma" w:cs="Tahoma"/>
          <w:spacing w:val="51"/>
          <w:sz w:val="20"/>
          <w:szCs w:val="20"/>
        </w:rPr>
        <w:t xml:space="preserve"> </w:t>
      </w:r>
      <w:r w:rsidR="008518B0" w:rsidRPr="00B004EE">
        <w:rPr>
          <w:rFonts w:ascii="Tahoma" w:hAnsi="Tahoma" w:cs="Tahoma"/>
          <w:b/>
          <w:spacing w:val="8"/>
          <w:sz w:val="20"/>
          <w:szCs w:val="20"/>
        </w:rPr>
        <w:t>loi</w:t>
      </w:r>
      <w:r w:rsidR="00DB1635" w:rsidRPr="00B004EE">
        <w:rPr>
          <w:rFonts w:ascii="Tahoma" w:hAnsi="Tahoma" w:cs="Tahoma"/>
          <w:b/>
          <w:w w:val="99"/>
          <w:sz w:val="20"/>
          <w:szCs w:val="20"/>
        </w:rPr>
        <w:t xml:space="preserve"> </w:t>
      </w:r>
      <w:r w:rsidR="008518B0" w:rsidRPr="00B004EE">
        <w:rPr>
          <w:rFonts w:ascii="Tahoma" w:hAnsi="Tahoma" w:cs="Tahoma"/>
          <w:bCs/>
          <w:spacing w:val="9"/>
          <w:sz w:val="20"/>
          <w:szCs w:val="20"/>
        </w:rPr>
        <w:t>93-09</w:t>
      </w:r>
      <w:r w:rsidR="00DB1635" w:rsidRPr="00B004EE">
        <w:rPr>
          <w:rFonts w:ascii="Tahoma" w:hAnsi="Tahoma" w:cs="Tahoma"/>
          <w:bCs/>
          <w:spacing w:val="9"/>
          <w:sz w:val="20"/>
          <w:szCs w:val="20"/>
        </w:rPr>
        <w:t xml:space="preserve"> </w:t>
      </w:r>
      <w:r w:rsidR="008518B0" w:rsidRPr="00B004EE">
        <w:rPr>
          <w:rFonts w:ascii="Tahoma" w:hAnsi="Tahoma" w:cs="Tahoma"/>
          <w:bCs/>
          <w:spacing w:val="7"/>
          <w:sz w:val="20"/>
          <w:szCs w:val="20"/>
        </w:rPr>
        <w:t>du</w:t>
      </w:r>
      <w:r w:rsidR="00DB1635" w:rsidRPr="00B004EE">
        <w:rPr>
          <w:rFonts w:ascii="Tahoma" w:hAnsi="Tahoma" w:cs="Tahoma"/>
          <w:bCs/>
          <w:spacing w:val="7"/>
          <w:sz w:val="20"/>
          <w:szCs w:val="20"/>
        </w:rPr>
        <w:t xml:space="preserve"> </w:t>
      </w:r>
      <w:r w:rsidR="008518B0" w:rsidRPr="00B004EE">
        <w:rPr>
          <w:rFonts w:ascii="Tahoma" w:hAnsi="Tahoma" w:cs="Tahoma"/>
          <w:bCs/>
          <w:spacing w:val="6"/>
          <w:sz w:val="20"/>
          <w:szCs w:val="20"/>
        </w:rPr>
        <w:t>18</w:t>
      </w:r>
      <w:r w:rsidR="00DB1635" w:rsidRPr="00B004EE">
        <w:rPr>
          <w:rFonts w:ascii="Tahoma" w:hAnsi="Tahoma" w:cs="Tahoma"/>
          <w:bCs/>
          <w:spacing w:val="6"/>
          <w:sz w:val="20"/>
          <w:szCs w:val="20"/>
        </w:rPr>
        <w:t xml:space="preserve"> </w:t>
      </w:r>
      <w:r w:rsidR="008518B0" w:rsidRPr="00B004EE">
        <w:rPr>
          <w:rFonts w:ascii="Tahoma" w:hAnsi="Tahoma" w:cs="Tahoma"/>
          <w:bCs/>
          <w:sz w:val="20"/>
          <w:szCs w:val="20"/>
        </w:rPr>
        <w:t>Janvier</w:t>
      </w:r>
      <w:r w:rsidR="00DB1635" w:rsidRPr="00B004EE">
        <w:rPr>
          <w:rFonts w:ascii="Tahoma" w:hAnsi="Tahoma" w:cs="Tahoma"/>
          <w:bCs/>
          <w:sz w:val="20"/>
          <w:szCs w:val="20"/>
        </w:rPr>
        <w:t xml:space="preserve"> </w:t>
      </w:r>
      <w:r w:rsidR="008518B0" w:rsidRPr="00B004EE">
        <w:rPr>
          <w:rFonts w:ascii="Tahoma" w:hAnsi="Tahoma" w:cs="Tahoma"/>
          <w:bCs/>
          <w:sz w:val="20"/>
          <w:szCs w:val="20"/>
        </w:rPr>
        <w:t>1993</w:t>
      </w:r>
      <w:r w:rsidR="00DB1635" w:rsidRPr="00B004EE">
        <w:rPr>
          <w:rFonts w:ascii="Tahoma" w:hAnsi="Tahoma" w:cs="Tahoma"/>
          <w:bCs/>
          <w:sz w:val="20"/>
          <w:szCs w:val="20"/>
        </w:rPr>
        <w:t xml:space="preserve"> </w:t>
      </w:r>
      <w:r w:rsidR="008518B0" w:rsidRPr="00B004EE">
        <w:rPr>
          <w:rFonts w:ascii="Tahoma" w:hAnsi="Tahoma" w:cs="Tahoma"/>
          <w:bCs/>
          <w:sz w:val="20"/>
          <w:szCs w:val="20"/>
        </w:rPr>
        <w:t>portant</w:t>
      </w:r>
      <w:r w:rsidR="00DB1635" w:rsidRPr="00B004EE">
        <w:rPr>
          <w:rFonts w:ascii="Tahoma" w:hAnsi="Tahoma" w:cs="Tahoma"/>
          <w:bCs/>
          <w:sz w:val="20"/>
          <w:szCs w:val="20"/>
        </w:rPr>
        <w:t xml:space="preserve"> </w:t>
      </w:r>
      <w:r w:rsidR="008518B0" w:rsidRPr="00B004EE">
        <w:rPr>
          <w:rFonts w:ascii="Tahoma" w:hAnsi="Tahoma" w:cs="Tahoma"/>
          <w:bCs/>
          <w:sz w:val="20"/>
          <w:szCs w:val="20"/>
        </w:rPr>
        <w:t>statut</w:t>
      </w:r>
      <w:r w:rsidR="00DB1635" w:rsidRPr="00B004EE">
        <w:rPr>
          <w:rFonts w:ascii="Tahoma" w:hAnsi="Tahoma" w:cs="Tahoma"/>
          <w:bCs/>
          <w:sz w:val="20"/>
          <w:szCs w:val="20"/>
        </w:rPr>
        <w:t xml:space="preserve"> </w:t>
      </w:r>
      <w:r w:rsidR="008518B0" w:rsidRPr="00B004EE">
        <w:rPr>
          <w:rFonts w:ascii="Tahoma" w:hAnsi="Tahoma" w:cs="Tahoma"/>
          <w:bCs/>
          <w:sz w:val="20"/>
          <w:szCs w:val="20"/>
        </w:rPr>
        <w:t>général</w:t>
      </w:r>
      <w:r w:rsidR="00DB1635" w:rsidRPr="00B004EE">
        <w:rPr>
          <w:rFonts w:ascii="Tahoma" w:hAnsi="Tahoma" w:cs="Tahoma"/>
          <w:bCs/>
          <w:sz w:val="20"/>
          <w:szCs w:val="20"/>
        </w:rPr>
        <w:t xml:space="preserve"> </w:t>
      </w:r>
      <w:r w:rsidR="008518B0" w:rsidRPr="00B004EE">
        <w:rPr>
          <w:rFonts w:ascii="Tahoma" w:hAnsi="Tahoma" w:cs="Tahoma"/>
          <w:bCs/>
          <w:sz w:val="20"/>
          <w:szCs w:val="20"/>
        </w:rPr>
        <w:t>des</w:t>
      </w:r>
      <w:r w:rsidR="00DB1635" w:rsidRPr="00B004EE">
        <w:rPr>
          <w:rFonts w:ascii="Tahoma" w:hAnsi="Tahoma" w:cs="Tahoma"/>
          <w:bCs/>
          <w:sz w:val="20"/>
          <w:szCs w:val="20"/>
        </w:rPr>
        <w:t xml:space="preserve"> </w:t>
      </w:r>
      <w:r w:rsidR="008518B0" w:rsidRPr="00B004EE">
        <w:rPr>
          <w:rFonts w:ascii="Tahoma" w:hAnsi="Tahoma" w:cs="Tahoma"/>
          <w:bCs/>
          <w:spacing w:val="2"/>
          <w:sz w:val="20"/>
          <w:szCs w:val="20"/>
        </w:rPr>
        <w:t>fonctionnaires</w:t>
      </w:r>
      <w:r w:rsidR="00DB1635" w:rsidRPr="00B004EE">
        <w:rPr>
          <w:rFonts w:ascii="Tahoma" w:hAnsi="Tahoma" w:cs="Tahoma"/>
          <w:bCs/>
          <w:spacing w:val="2"/>
          <w:sz w:val="20"/>
          <w:szCs w:val="20"/>
        </w:rPr>
        <w:t xml:space="preserve"> </w:t>
      </w:r>
      <w:r w:rsidR="008518B0" w:rsidRPr="00B004EE">
        <w:rPr>
          <w:rFonts w:ascii="Tahoma" w:hAnsi="Tahoma" w:cs="Tahoma"/>
          <w:bCs/>
          <w:sz w:val="20"/>
          <w:szCs w:val="20"/>
        </w:rPr>
        <w:t>et</w:t>
      </w:r>
      <w:r w:rsidR="00DB1635" w:rsidRPr="00B004EE">
        <w:rPr>
          <w:rFonts w:ascii="Tahoma" w:hAnsi="Tahoma" w:cs="Tahoma"/>
          <w:bCs/>
          <w:sz w:val="20"/>
          <w:szCs w:val="20"/>
        </w:rPr>
        <w:t xml:space="preserve"> </w:t>
      </w:r>
      <w:r w:rsidR="008518B0" w:rsidRPr="00B004EE">
        <w:rPr>
          <w:rFonts w:ascii="Tahoma" w:hAnsi="Tahoma" w:cs="Tahoma"/>
          <w:bCs/>
          <w:sz w:val="20"/>
          <w:szCs w:val="20"/>
        </w:rPr>
        <w:t>agents</w:t>
      </w:r>
      <w:r w:rsidR="00DB1635" w:rsidRPr="00B004EE">
        <w:rPr>
          <w:rFonts w:ascii="Tahoma" w:hAnsi="Tahoma" w:cs="Tahoma"/>
          <w:bCs/>
          <w:sz w:val="20"/>
          <w:szCs w:val="20"/>
        </w:rPr>
        <w:t xml:space="preserve"> </w:t>
      </w:r>
      <w:r w:rsidR="008518B0" w:rsidRPr="00B004EE">
        <w:rPr>
          <w:rFonts w:ascii="Tahoma" w:hAnsi="Tahoma" w:cs="Tahoma"/>
          <w:bCs/>
          <w:spacing w:val="2"/>
          <w:sz w:val="20"/>
          <w:szCs w:val="20"/>
        </w:rPr>
        <w:t>contractuels</w:t>
      </w:r>
      <w:r w:rsidR="00DB1635" w:rsidRPr="00B004EE">
        <w:rPr>
          <w:rFonts w:ascii="Tahoma" w:hAnsi="Tahoma" w:cs="Tahoma"/>
          <w:bCs/>
          <w:w w:val="99"/>
          <w:sz w:val="20"/>
          <w:szCs w:val="20"/>
        </w:rPr>
        <w:t xml:space="preserve"> </w:t>
      </w:r>
      <w:r w:rsidR="008518B0" w:rsidRPr="00B004EE">
        <w:rPr>
          <w:rFonts w:ascii="Tahoma" w:hAnsi="Tahoma" w:cs="Tahoma"/>
          <w:bCs/>
          <w:sz w:val="20"/>
          <w:szCs w:val="20"/>
        </w:rPr>
        <w:t>de</w:t>
      </w:r>
      <w:r w:rsidR="00DB1635" w:rsidRPr="00B004EE">
        <w:rPr>
          <w:rFonts w:ascii="Tahoma" w:hAnsi="Tahoma" w:cs="Tahoma"/>
          <w:bCs/>
          <w:spacing w:val="5"/>
          <w:sz w:val="20"/>
          <w:szCs w:val="20"/>
        </w:rPr>
        <w:t xml:space="preserve"> </w:t>
      </w:r>
      <w:r w:rsidR="008518B0" w:rsidRPr="00B004EE">
        <w:rPr>
          <w:rFonts w:ascii="Tahoma" w:hAnsi="Tahoma" w:cs="Tahoma"/>
          <w:bCs/>
          <w:sz w:val="20"/>
          <w:szCs w:val="20"/>
        </w:rPr>
        <w:t>l</w:t>
      </w:r>
      <w:r w:rsidR="00DB1635" w:rsidRPr="00B004EE">
        <w:rPr>
          <w:rFonts w:ascii="Tahoma" w:hAnsi="Tahoma" w:cs="Tahoma"/>
          <w:spacing w:val="-38"/>
          <w:sz w:val="20"/>
          <w:szCs w:val="20"/>
        </w:rPr>
        <w:t xml:space="preserve"> </w:t>
      </w:r>
      <w:r w:rsidR="008518B0" w:rsidRPr="00B004EE">
        <w:rPr>
          <w:rFonts w:ascii="Tahoma" w:hAnsi="Tahoma" w:cs="Tahoma"/>
          <w:spacing w:val="17"/>
          <w:sz w:val="20"/>
          <w:szCs w:val="20"/>
        </w:rPr>
        <w:t>'Etat,</w:t>
      </w:r>
      <w:r w:rsidR="00DB1635" w:rsidRPr="00B004EE">
        <w:rPr>
          <w:rFonts w:ascii="Tahoma" w:hAnsi="Tahoma" w:cs="Tahoma"/>
          <w:spacing w:val="46"/>
          <w:sz w:val="20"/>
          <w:szCs w:val="20"/>
        </w:rPr>
        <w:t xml:space="preserve"> </w:t>
      </w:r>
      <w:r w:rsidR="008518B0" w:rsidRPr="00B004EE">
        <w:rPr>
          <w:rFonts w:ascii="Tahoma" w:hAnsi="Tahoma" w:cs="Tahoma"/>
          <w:spacing w:val="15"/>
          <w:sz w:val="20"/>
          <w:szCs w:val="20"/>
        </w:rPr>
        <w:t>sous</w:t>
      </w:r>
      <w:r w:rsidR="00DB1635" w:rsidRPr="00B004EE">
        <w:rPr>
          <w:rFonts w:ascii="Tahoma" w:hAnsi="Tahoma" w:cs="Tahoma"/>
          <w:spacing w:val="46"/>
          <w:sz w:val="20"/>
          <w:szCs w:val="20"/>
        </w:rPr>
        <w:t xml:space="preserve"> </w:t>
      </w:r>
      <w:r w:rsidR="008518B0" w:rsidRPr="00B004EE">
        <w:rPr>
          <w:rFonts w:ascii="Tahoma" w:hAnsi="Tahoma" w:cs="Tahoma"/>
          <w:spacing w:val="17"/>
          <w:sz w:val="20"/>
          <w:szCs w:val="20"/>
        </w:rPr>
        <w:t>réserve</w:t>
      </w:r>
      <w:r w:rsidR="00DB1635" w:rsidRPr="00B004EE">
        <w:rPr>
          <w:rFonts w:ascii="Tahoma" w:hAnsi="Tahoma" w:cs="Tahoma"/>
          <w:spacing w:val="45"/>
          <w:sz w:val="20"/>
          <w:szCs w:val="20"/>
        </w:rPr>
        <w:t xml:space="preserve"> </w:t>
      </w:r>
      <w:r w:rsidR="008518B0" w:rsidRPr="00B004EE">
        <w:rPr>
          <w:rFonts w:ascii="Tahoma" w:hAnsi="Tahoma" w:cs="Tahoma"/>
          <w:spacing w:val="13"/>
          <w:sz w:val="20"/>
          <w:szCs w:val="20"/>
        </w:rPr>
        <w:t>des</w:t>
      </w:r>
      <w:r w:rsidR="00DB1635" w:rsidRPr="00B004EE">
        <w:rPr>
          <w:rFonts w:ascii="Tahoma" w:hAnsi="Tahoma" w:cs="Tahoma"/>
          <w:spacing w:val="46"/>
          <w:sz w:val="20"/>
          <w:szCs w:val="20"/>
        </w:rPr>
        <w:t xml:space="preserve"> </w:t>
      </w:r>
      <w:r w:rsidR="008518B0" w:rsidRPr="00B004EE">
        <w:rPr>
          <w:rFonts w:ascii="Tahoma" w:hAnsi="Tahoma" w:cs="Tahoma"/>
          <w:spacing w:val="18"/>
          <w:sz w:val="20"/>
          <w:szCs w:val="20"/>
        </w:rPr>
        <w:t>dispositions</w:t>
      </w:r>
      <w:r w:rsidR="00DB1635" w:rsidRPr="00B004EE">
        <w:rPr>
          <w:rFonts w:ascii="Tahoma" w:hAnsi="Tahoma" w:cs="Tahoma"/>
          <w:spacing w:val="46"/>
          <w:sz w:val="20"/>
          <w:szCs w:val="20"/>
        </w:rPr>
        <w:t xml:space="preserve"> </w:t>
      </w:r>
      <w:r w:rsidR="008518B0" w:rsidRPr="00B004EE">
        <w:rPr>
          <w:rFonts w:ascii="Tahoma" w:hAnsi="Tahoma" w:cs="Tahoma"/>
          <w:spacing w:val="17"/>
          <w:sz w:val="20"/>
          <w:szCs w:val="20"/>
        </w:rPr>
        <w:t>prévues</w:t>
      </w:r>
      <w:r w:rsidR="00DB1635" w:rsidRPr="00B004EE">
        <w:rPr>
          <w:rFonts w:ascii="Tahoma" w:hAnsi="Tahoma" w:cs="Tahoma"/>
          <w:spacing w:val="27"/>
          <w:sz w:val="20"/>
          <w:szCs w:val="20"/>
        </w:rPr>
        <w:t xml:space="preserve"> </w:t>
      </w:r>
      <w:r w:rsidR="008518B0" w:rsidRPr="00B004EE">
        <w:rPr>
          <w:rFonts w:ascii="Tahoma" w:hAnsi="Tahoma" w:cs="Tahoma"/>
          <w:sz w:val="20"/>
          <w:szCs w:val="20"/>
        </w:rPr>
        <w:t>à</w:t>
      </w:r>
      <w:r w:rsidR="00DB1635" w:rsidRPr="00B004EE">
        <w:rPr>
          <w:rFonts w:ascii="Tahoma" w:hAnsi="Tahoma" w:cs="Tahoma"/>
          <w:spacing w:val="5"/>
          <w:sz w:val="20"/>
          <w:szCs w:val="20"/>
        </w:rPr>
        <w:t xml:space="preserve"> </w:t>
      </w:r>
      <w:r w:rsidR="008518B0" w:rsidRPr="00B004EE">
        <w:rPr>
          <w:rFonts w:ascii="Tahoma" w:hAnsi="Tahoma" w:cs="Tahoma"/>
          <w:sz w:val="20"/>
          <w:szCs w:val="20"/>
        </w:rPr>
        <w:t>l'alinéa</w:t>
      </w:r>
      <w:r w:rsidR="00DB1635" w:rsidRPr="00B004EE">
        <w:rPr>
          <w:rFonts w:ascii="Tahoma" w:hAnsi="Tahoma" w:cs="Tahoma"/>
          <w:spacing w:val="5"/>
          <w:sz w:val="20"/>
          <w:szCs w:val="20"/>
        </w:rPr>
        <w:t xml:space="preserve"> </w:t>
      </w:r>
      <w:r w:rsidR="008518B0" w:rsidRPr="00B004EE">
        <w:rPr>
          <w:rFonts w:ascii="Tahoma" w:hAnsi="Tahoma" w:cs="Tahoma"/>
          <w:sz w:val="20"/>
          <w:szCs w:val="20"/>
        </w:rPr>
        <w:t>ci-après.</w:t>
      </w:r>
      <w:r w:rsidR="00DB1635" w:rsidRPr="00B004EE">
        <w:rPr>
          <w:rFonts w:ascii="Tahoma" w:hAnsi="Tahoma" w:cs="Tahoma"/>
          <w:spacing w:val="6"/>
          <w:sz w:val="20"/>
          <w:szCs w:val="20"/>
        </w:rPr>
        <w:t xml:space="preserve"> </w:t>
      </w:r>
      <w:r w:rsidR="008518B0" w:rsidRPr="00B004EE">
        <w:rPr>
          <w:rFonts w:ascii="Tahoma" w:hAnsi="Tahoma" w:cs="Tahoma"/>
          <w:spacing w:val="8"/>
          <w:sz w:val="20"/>
          <w:szCs w:val="20"/>
        </w:rPr>
        <w:t>Sur</w:t>
      </w:r>
      <w:r w:rsidR="00DB1635" w:rsidRPr="00B004EE">
        <w:rPr>
          <w:rFonts w:ascii="Tahoma" w:hAnsi="Tahoma" w:cs="Tahoma"/>
          <w:spacing w:val="26"/>
          <w:sz w:val="20"/>
          <w:szCs w:val="20"/>
        </w:rPr>
        <w:t xml:space="preserve"> </w:t>
      </w:r>
      <w:r w:rsidR="008518B0" w:rsidRPr="00B004EE">
        <w:rPr>
          <w:rFonts w:ascii="Tahoma" w:hAnsi="Tahoma" w:cs="Tahoma"/>
          <w:spacing w:val="6"/>
          <w:sz w:val="20"/>
          <w:szCs w:val="20"/>
        </w:rPr>
        <w:t>le</w:t>
      </w:r>
      <w:r w:rsidR="00DB1635" w:rsidRPr="00B004EE">
        <w:rPr>
          <w:rFonts w:ascii="Tahoma" w:hAnsi="Tahoma" w:cs="Tahoma"/>
          <w:spacing w:val="26"/>
          <w:sz w:val="20"/>
          <w:szCs w:val="20"/>
        </w:rPr>
        <w:t xml:space="preserve"> </w:t>
      </w:r>
      <w:r w:rsidR="008518B0" w:rsidRPr="00B004EE">
        <w:rPr>
          <w:rFonts w:ascii="Tahoma" w:hAnsi="Tahoma" w:cs="Tahoma"/>
          <w:spacing w:val="10"/>
          <w:sz w:val="20"/>
          <w:szCs w:val="20"/>
        </w:rPr>
        <w:t>fondement</w:t>
      </w:r>
      <w:r w:rsidR="00DB1635" w:rsidRPr="00B004EE">
        <w:rPr>
          <w:rFonts w:ascii="Tahoma" w:hAnsi="Tahoma" w:cs="Tahoma"/>
          <w:spacing w:val="-58"/>
          <w:sz w:val="20"/>
          <w:szCs w:val="20"/>
        </w:rPr>
        <w:t xml:space="preserve"> </w:t>
      </w:r>
      <w:r w:rsidR="008518B0" w:rsidRPr="00B004EE">
        <w:rPr>
          <w:rFonts w:ascii="Tahoma" w:hAnsi="Tahoma" w:cs="Tahoma"/>
          <w:spacing w:val="6"/>
          <w:sz w:val="20"/>
          <w:szCs w:val="20"/>
        </w:rPr>
        <w:t>de</w:t>
      </w:r>
      <w:r w:rsidR="00DB1635" w:rsidRPr="00B004EE">
        <w:rPr>
          <w:rFonts w:ascii="Tahoma" w:hAnsi="Tahoma" w:cs="Tahoma"/>
          <w:spacing w:val="30"/>
          <w:sz w:val="20"/>
          <w:szCs w:val="20"/>
        </w:rPr>
        <w:t xml:space="preserve"> </w:t>
      </w:r>
      <w:r w:rsidR="008518B0" w:rsidRPr="00B004EE">
        <w:rPr>
          <w:rFonts w:ascii="Tahoma" w:hAnsi="Tahoma" w:cs="Tahoma"/>
          <w:spacing w:val="10"/>
          <w:sz w:val="20"/>
          <w:szCs w:val="20"/>
        </w:rPr>
        <w:t>l'article</w:t>
      </w:r>
      <w:r w:rsidR="00DB1635" w:rsidRPr="00B004EE">
        <w:rPr>
          <w:rFonts w:ascii="Tahoma" w:hAnsi="Tahoma" w:cs="Tahoma"/>
          <w:spacing w:val="30"/>
          <w:sz w:val="20"/>
          <w:szCs w:val="20"/>
        </w:rPr>
        <w:t xml:space="preserve"> </w:t>
      </w:r>
      <w:r w:rsidR="008518B0" w:rsidRPr="00B004EE">
        <w:rPr>
          <w:rFonts w:ascii="Tahoma" w:hAnsi="Tahoma" w:cs="Tahoma"/>
          <w:sz w:val="20"/>
          <w:szCs w:val="20"/>
        </w:rPr>
        <w:t>5</w:t>
      </w:r>
      <w:r w:rsidR="00DB1635" w:rsidRPr="00B004EE">
        <w:rPr>
          <w:rFonts w:ascii="Tahoma" w:hAnsi="Tahoma" w:cs="Tahoma"/>
          <w:spacing w:val="31"/>
          <w:sz w:val="20"/>
          <w:szCs w:val="20"/>
        </w:rPr>
        <w:t xml:space="preserve"> </w:t>
      </w:r>
      <w:r w:rsidR="008518B0" w:rsidRPr="00B004EE">
        <w:rPr>
          <w:rFonts w:ascii="Tahoma" w:hAnsi="Tahoma" w:cs="Tahoma"/>
          <w:spacing w:val="6"/>
          <w:sz w:val="20"/>
          <w:szCs w:val="20"/>
        </w:rPr>
        <w:t>de</w:t>
      </w:r>
      <w:r w:rsidR="00DB1635" w:rsidRPr="00B004EE">
        <w:rPr>
          <w:rFonts w:ascii="Tahoma" w:hAnsi="Tahoma" w:cs="Tahoma"/>
          <w:spacing w:val="32"/>
          <w:sz w:val="20"/>
          <w:szCs w:val="20"/>
        </w:rPr>
        <w:t xml:space="preserve"> </w:t>
      </w:r>
      <w:r w:rsidR="008518B0" w:rsidRPr="00B004EE">
        <w:rPr>
          <w:rFonts w:ascii="Tahoma" w:hAnsi="Tahoma" w:cs="Tahoma"/>
          <w:spacing w:val="6"/>
          <w:sz w:val="20"/>
          <w:szCs w:val="20"/>
        </w:rPr>
        <w:t>"ordonnance</w:t>
      </w:r>
      <w:r w:rsidR="00DB1635" w:rsidRPr="00B004EE">
        <w:rPr>
          <w:rFonts w:ascii="Tahoma" w:hAnsi="Tahoma" w:cs="Tahoma"/>
          <w:spacing w:val="23"/>
          <w:sz w:val="20"/>
          <w:szCs w:val="20"/>
        </w:rPr>
        <w:t xml:space="preserve"> </w:t>
      </w:r>
      <w:r w:rsidR="008518B0" w:rsidRPr="00B004EE">
        <w:rPr>
          <w:rFonts w:ascii="Tahoma" w:hAnsi="Tahoma" w:cs="Tahoma"/>
          <w:spacing w:val="5"/>
          <w:sz w:val="20"/>
          <w:szCs w:val="20"/>
        </w:rPr>
        <w:t>90-</w:t>
      </w:r>
      <w:r w:rsidR="00DB1635" w:rsidRPr="00B004EE">
        <w:rPr>
          <w:rFonts w:ascii="Tahoma" w:hAnsi="Tahoma" w:cs="Tahoma"/>
          <w:spacing w:val="20"/>
          <w:sz w:val="20"/>
          <w:szCs w:val="20"/>
        </w:rPr>
        <w:t xml:space="preserve"> </w:t>
      </w:r>
      <w:r w:rsidR="008518B0" w:rsidRPr="00B004EE">
        <w:rPr>
          <w:rFonts w:ascii="Tahoma" w:hAnsi="Tahoma" w:cs="Tahoma"/>
          <w:spacing w:val="4"/>
          <w:sz w:val="20"/>
          <w:szCs w:val="20"/>
        </w:rPr>
        <w:t>09</w:t>
      </w:r>
      <w:r w:rsidR="00DB1635" w:rsidRPr="00B004EE">
        <w:rPr>
          <w:rFonts w:ascii="Tahoma" w:hAnsi="Tahoma" w:cs="Tahoma"/>
          <w:spacing w:val="21"/>
          <w:sz w:val="20"/>
          <w:szCs w:val="20"/>
        </w:rPr>
        <w:t xml:space="preserve"> </w:t>
      </w:r>
      <w:r w:rsidR="008518B0" w:rsidRPr="00B004EE">
        <w:rPr>
          <w:rFonts w:ascii="Tahoma" w:hAnsi="Tahoma" w:cs="Tahoma"/>
          <w:spacing w:val="4"/>
          <w:sz w:val="20"/>
          <w:szCs w:val="20"/>
        </w:rPr>
        <w:t>du</w:t>
      </w:r>
      <w:r w:rsidR="00DB1635" w:rsidRPr="00B004EE">
        <w:rPr>
          <w:rFonts w:ascii="Tahoma" w:hAnsi="Tahoma" w:cs="Tahoma"/>
          <w:spacing w:val="21"/>
          <w:sz w:val="20"/>
          <w:szCs w:val="20"/>
        </w:rPr>
        <w:t xml:space="preserve"> </w:t>
      </w:r>
      <w:r w:rsidR="008518B0" w:rsidRPr="00B004EE">
        <w:rPr>
          <w:rFonts w:ascii="Tahoma" w:hAnsi="Tahoma" w:cs="Tahoma"/>
          <w:sz w:val="20"/>
          <w:szCs w:val="20"/>
        </w:rPr>
        <w:t>4</w:t>
      </w:r>
      <w:r w:rsidR="00DB1635" w:rsidRPr="00B004EE">
        <w:rPr>
          <w:rFonts w:ascii="Tahoma" w:hAnsi="Tahoma" w:cs="Tahoma"/>
          <w:spacing w:val="24"/>
          <w:sz w:val="20"/>
          <w:szCs w:val="20"/>
        </w:rPr>
        <w:t xml:space="preserve"> </w:t>
      </w:r>
      <w:r w:rsidR="008518B0" w:rsidRPr="00B004EE">
        <w:rPr>
          <w:rFonts w:ascii="Tahoma" w:hAnsi="Tahoma" w:cs="Tahoma"/>
          <w:spacing w:val="6"/>
          <w:sz w:val="20"/>
          <w:szCs w:val="20"/>
        </w:rPr>
        <w:t>avril</w:t>
      </w:r>
      <w:r w:rsidR="00DB1635" w:rsidRPr="00B004EE">
        <w:rPr>
          <w:rFonts w:ascii="Tahoma" w:hAnsi="Tahoma" w:cs="Tahoma"/>
          <w:spacing w:val="22"/>
          <w:sz w:val="20"/>
          <w:szCs w:val="20"/>
        </w:rPr>
        <w:t xml:space="preserve"> </w:t>
      </w:r>
      <w:r w:rsidR="008518B0" w:rsidRPr="00B004EE">
        <w:rPr>
          <w:rFonts w:ascii="Tahoma" w:hAnsi="Tahoma" w:cs="Tahoma"/>
          <w:spacing w:val="5"/>
          <w:sz w:val="20"/>
          <w:szCs w:val="20"/>
        </w:rPr>
        <w:t>1990</w:t>
      </w:r>
      <w:r w:rsidR="00DB1635" w:rsidRPr="00B004EE">
        <w:rPr>
          <w:rFonts w:ascii="Tahoma" w:hAnsi="Tahoma" w:cs="Tahoma"/>
          <w:spacing w:val="21"/>
          <w:sz w:val="20"/>
          <w:szCs w:val="20"/>
        </w:rPr>
        <w:t xml:space="preserve"> </w:t>
      </w:r>
      <w:r w:rsidR="008518B0" w:rsidRPr="00B004EE">
        <w:rPr>
          <w:rFonts w:ascii="Tahoma" w:hAnsi="Tahoma" w:cs="Tahoma"/>
          <w:spacing w:val="6"/>
          <w:sz w:val="20"/>
          <w:szCs w:val="20"/>
        </w:rPr>
        <w:t>sus-visé</w:t>
      </w:r>
      <w:r w:rsidR="008518B0" w:rsidRPr="00B004EE">
        <w:rPr>
          <w:rFonts w:ascii="Tahoma" w:hAnsi="Tahoma" w:cs="Tahoma"/>
          <w:sz w:val="20"/>
          <w:szCs w:val="20"/>
        </w:rPr>
        <w:t>e</w:t>
      </w:r>
      <w:r w:rsidR="00DB1635" w:rsidRPr="00B004EE">
        <w:rPr>
          <w:rFonts w:ascii="Tahoma" w:hAnsi="Tahoma" w:cs="Tahoma"/>
          <w:sz w:val="20"/>
          <w:szCs w:val="20"/>
        </w:rPr>
        <w:t xml:space="preserve"> </w:t>
      </w:r>
      <w:r w:rsidR="008518B0" w:rsidRPr="00B004EE">
        <w:rPr>
          <w:rFonts w:ascii="Tahoma" w:hAnsi="Tahoma" w:cs="Tahoma"/>
          <w:sz w:val="20"/>
          <w:szCs w:val="20"/>
        </w:rPr>
        <w:t>des</w:t>
      </w:r>
      <w:r w:rsidR="00DB1635" w:rsidRPr="00B004EE">
        <w:rPr>
          <w:rFonts w:ascii="Tahoma" w:hAnsi="Tahoma" w:cs="Tahoma"/>
          <w:spacing w:val="9"/>
          <w:sz w:val="20"/>
          <w:szCs w:val="20"/>
        </w:rPr>
        <w:t xml:space="preserve"> </w:t>
      </w:r>
      <w:r w:rsidR="008518B0" w:rsidRPr="00B004EE">
        <w:rPr>
          <w:rFonts w:ascii="Tahoma" w:hAnsi="Tahoma" w:cs="Tahoma"/>
          <w:sz w:val="20"/>
          <w:szCs w:val="20"/>
        </w:rPr>
        <w:t>indemnités</w:t>
      </w:r>
      <w:r w:rsidR="00DB1635" w:rsidRPr="00B004EE">
        <w:rPr>
          <w:rFonts w:ascii="Tahoma" w:hAnsi="Tahoma" w:cs="Tahoma"/>
          <w:spacing w:val="7"/>
          <w:sz w:val="20"/>
          <w:szCs w:val="20"/>
        </w:rPr>
        <w:t xml:space="preserve"> </w:t>
      </w:r>
      <w:r w:rsidR="008518B0" w:rsidRPr="00B004EE">
        <w:rPr>
          <w:rFonts w:ascii="Tahoma" w:hAnsi="Tahoma" w:cs="Tahoma"/>
          <w:sz w:val="20"/>
          <w:szCs w:val="20"/>
        </w:rPr>
        <w:t>spéciales</w:t>
      </w:r>
      <w:r w:rsidR="00DB1635" w:rsidRPr="00B004EE">
        <w:rPr>
          <w:rFonts w:ascii="Tahoma" w:hAnsi="Tahoma" w:cs="Tahoma"/>
          <w:w w:val="99"/>
          <w:sz w:val="20"/>
          <w:szCs w:val="20"/>
        </w:rPr>
        <w:t xml:space="preserve"> </w:t>
      </w:r>
      <w:r w:rsidR="008518B0" w:rsidRPr="00B004EE">
        <w:rPr>
          <w:rFonts w:ascii="Tahoma" w:hAnsi="Tahoma" w:cs="Tahoma"/>
          <w:sz w:val="20"/>
          <w:szCs w:val="20"/>
        </w:rPr>
        <w:t>peuvent</w:t>
      </w:r>
      <w:r w:rsidR="00DB1635" w:rsidRPr="00B004EE">
        <w:rPr>
          <w:rFonts w:ascii="Tahoma" w:hAnsi="Tahoma" w:cs="Tahoma"/>
          <w:spacing w:val="21"/>
          <w:sz w:val="20"/>
          <w:szCs w:val="20"/>
        </w:rPr>
        <w:t xml:space="preserve"> </w:t>
      </w:r>
      <w:r w:rsidR="008518B0" w:rsidRPr="00B004EE">
        <w:rPr>
          <w:rFonts w:ascii="Tahoma" w:hAnsi="Tahoma" w:cs="Tahoma"/>
          <w:sz w:val="20"/>
          <w:szCs w:val="20"/>
        </w:rPr>
        <w:t>être</w:t>
      </w:r>
      <w:r w:rsidR="00DB1635" w:rsidRPr="00B004EE">
        <w:rPr>
          <w:rFonts w:ascii="Tahoma" w:hAnsi="Tahoma" w:cs="Tahoma"/>
          <w:spacing w:val="20"/>
          <w:sz w:val="20"/>
          <w:szCs w:val="20"/>
        </w:rPr>
        <w:t xml:space="preserve"> </w:t>
      </w:r>
      <w:r w:rsidR="008518B0" w:rsidRPr="00B004EE">
        <w:rPr>
          <w:rFonts w:ascii="Tahoma" w:hAnsi="Tahoma" w:cs="Tahoma"/>
          <w:sz w:val="20"/>
          <w:szCs w:val="20"/>
        </w:rPr>
        <w:t>accordées</w:t>
      </w:r>
      <w:r w:rsidR="00DB1635" w:rsidRPr="00B004EE">
        <w:rPr>
          <w:rFonts w:ascii="Tahoma" w:hAnsi="Tahoma" w:cs="Tahoma"/>
          <w:spacing w:val="21"/>
          <w:sz w:val="20"/>
          <w:szCs w:val="20"/>
        </w:rPr>
        <w:t xml:space="preserve"> </w:t>
      </w:r>
      <w:r w:rsidR="008518B0" w:rsidRPr="00B004EE">
        <w:rPr>
          <w:rFonts w:ascii="Tahoma" w:hAnsi="Tahoma" w:cs="Tahoma"/>
          <w:sz w:val="20"/>
          <w:szCs w:val="20"/>
        </w:rPr>
        <w:t>aux</w:t>
      </w:r>
      <w:r w:rsidR="00DB1635" w:rsidRPr="00B004EE">
        <w:rPr>
          <w:rFonts w:ascii="Tahoma" w:hAnsi="Tahoma" w:cs="Tahoma"/>
          <w:spacing w:val="23"/>
          <w:sz w:val="20"/>
          <w:szCs w:val="20"/>
        </w:rPr>
        <w:t xml:space="preserve"> </w:t>
      </w:r>
      <w:r w:rsidR="008518B0" w:rsidRPr="00B004EE">
        <w:rPr>
          <w:rFonts w:ascii="Tahoma" w:hAnsi="Tahoma" w:cs="Tahoma"/>
          <w:sz w:val="20"/>
          <w:szCs w:val="20"/>
        </w:rPr>
        <w:t>agents</w:t>
      </w:r>
      <w:r w:rsidR="00DB1635" w:rsidRPr="00B004EE">
        <w:rPr>
          <w:rFonts w:ascii="Tahoma" w:hAnsi="Tahoma" w:cs="Tahoma"/>
          <w:spacing w:val="21"/>
          <w:sz w:val="20"/>
          <w:szCs w:val="20"/>
        </w:rPr>
        <w:t xml:space="preserve"> </w:t>
      </w:r>
      <w:r w:rsidR="008518B0" w:rsidRPr="00B004EE">
        <w:rPr>
          <w:rFonts w:ascii="Tahoma" w:hAnsi="Tahoma" w:cs="Tahoma"/>
          <w:sz w:val="20"/>
          <w:szCs w:val="20"/>
        </w:rPr>
        <w:t>de</w:t>
      </w:r>
      <w:r w:rsidR="00DB1635" w:rsidRPr="00B004EE">
        <w:rPr>
          <w:rFonts w:ascii="Tahoma" w:hAnsi="Tahoma" w:cs="Tahoma"/>
          <w:spacing w:val="20"/>
          <w:sz w:val="20"/>
          <w:szCs w:val="20"/>
        </w:rPr>
        <w:t xml:space="preserve"> </w:t>
      </w:r>
      <w:r w:rsidR="008518B0" w:rsidRPr="00B004EE">
        <w:rPr>
          <w:rFonts w:ascii="Tahoma" w:hAnsi="Tahoma" w:cs="Tahoma"/>
          <w:sz w:val="20"/>
          <w:szCs w:val="20"/>
        </w:rPr>
        <w:t>contrôle</w:t>
      </w:r>
      <w:r w:rsidR="00DB1635" w:rsidRPr="00B004EE">
        <w:rPr>
          <w:rFonts w:ascii="Tahoma" w:hAnsi="Tahoma" w:cs="Tahoma"/>
          <w:spacing w:val="20"/>
          <w:sz w:val="20"/>
          <w:szCs w:val="20"/>
        </w:rPr>
        <w:t xml:space="preserve"> </w:t>
      </w:r>
      <w:r w:rsidR="008518B0" w:rsidRPr="00B004EE">
        <w:rPr>
          <w:rFonts w:ascii="Tahoma" w:hAnsi="Tahoma" w:cs="Tahoma"/>
          <w:sz w:val="20"/>
          <w:szCs w:val="20"/>
        </w:rPr>
        <w:t>et</w:t>
      </w:r>
      <w:r w:rsidR="00DB1635" w:rsidRPr="00B004EE">
        <w:rPr>
          <w:rFonts w:ascii="Tahoma" w:hAnsi="Tahoma" w:cs="Tahoma"/>
          <w:spacing w:val="21"/>
          <w:sz w:val="20"/>
          <w:szCs w:val="20"/>
        </w:rPr>
        <w:t xml:space="preserve"> </w:t>
      </w:r>
      <w:r w:rsidR="008518B0" w:rsidRPr="00B004EE">
        <w:rPr>
          <w:rFonts w:ascii="Tahoma" w:hAnsi="Tahoma" w:cs="Tahoma"/>
          <w:sz w:val="20"/>
          <w:szCs w:val="20"/>
        </w:rPr>
        <w:t>au</w:t>
      </w:r>
      <w:r w:rsidR="00DB1635" w:rsidRPr="00B004EE">
        <w:rPr>
          <w:rFonts w:ascii="Tahoma" w:hAnsi="Tahoma" w:cs="Tahoma"/>
          <w:spacing w:val="21"/>
          <w:sz w:val="20"/>
          <w:szCs w:val="20"/>
        </w:rPr>
        <w:t xml:space="preserve"> </w:t>
      </w:r>
      <w:r w:rsidR="008518B0" w:rsidRPr="00B004EE">
        <w:rPr>
          <w:rFonts w:ascii="Tahoma" w:hAnsi="Tahoma" w:cs="Tahoma"/>
          <w:sz w:val="20"/>
          <w:szCs w:val="20"/>
        </w:rPr>
        <w:t>personnel</w:t>
      </w:r>
      <w:r w:rsidR="00DB1635" w:rsidRPr="00B004EE">
        <w:rPr>
          <w:rFonts w:ascii="Tahoma" w:hAnsi="Tahoma" w:cs="Tahoma"/>
          <w:spacing w:val="21"/>
          <w:sz w:val="20"/>
          <w:szCs w:val="20"/>
        </w:rPr>
        <w:t xml:space="preserve"> </w:t>
      </w:r>
      <w:r w:rsidR="008518B0" w:rsidRPr="00B004EE">
        <w:rPr>
          <w:rFonts w:ascii="Tahoma" w:hAnsi="Tahoma" w:cs="Tahoma"/>
          <w:sz w:val="20"/>
          <w:szCs w:val="20"/>
        </w:rPr>
        <w:t>technique</w:t>
      </w:r>
      <w:r w:rsidR="00DB1635" w:rsidRPr="00B004EE">
        <w:rPr>
          <w:rFonts w:ascii="Tahoma" w:hAnsi="Tahoma" w:cs="Tahoma"/>
          <w:spacing w:val="22"/>
          <w:sz w:val="20"/>
          <w:szCs w:val="20"/>
        </w:rPr>
        <w:t xml:space="preserve"> </w:t>
      </w:r>
      <w:r w:rsidR="008518B0" w:rsidRPr="00B004EE">
        <w:rPr>
          <w:rFonts w:ascii="Tahoma" w:hAnsi="Tahoma" w:cs="Tahoma"/>
          <w:sz w:val="20"/>
          <w:szCs w:val="20"/>
        </w:rPr>
        <w:t>par</w:t>
      </w:r>
      <w:r w:rsidR="00DB1635" w:rsidRPr="00B004EE">
        <w:rPr>
          <w:rFonts w:ascii="Tahoma" w:hAnsi="Tahoma" w:cs="Tahoma"/>
          <w:spacing w:val="20"/>
          <w:sz w:val="20"/>
          <w:szCs w:val="20"/>
        </w:rPr>
        <w:t xml:space="preserve"> </w:t>
      </w:r>
      <w:r w:rsidR="008518B0" w:rsidRPr="00B004EE">
        <w:rPr>
          <w:rFonts w:ascii="Tahoma" w:hAnsi="Tahoma" w:cs="Tahoma"/>
          <w:sz w:val="20"/>
          <w:szCs w:val="20"/>
        </w:rPr>
        <w:t>délibérations</w:t>
      </w:r>
      <w:r w:rsidR="00DB1635" w:rsidRPr="00B004EE">
        <w:rPr>
          <w:rFonts w:ascii="Tahoma" w:hAnsi="Tahoma" w:cs="Tahoma"/>
          <w:spacing w:val="21"/>
          <w:sz w:val="20"/>
          <w:szCs w:val="20"/>
        </w:rPr>
        <w:t xml:space="preserve"> </w:t>
      </w:r>
      <w:r w:rsidR="008518B0" w:rsidRPr="00B004EE">
        <w:rPr>
          <w:rFonts w:ascii="Tahoma" w:hAnsi="Tahoma" w:cs="Tahoma"/>
          <w:sz w:val="20"/>
          <w:szCs w:val="20"/>
        </w:rPr>
        <w:t>du</w:t>
      </w:r>
      <w:r w:rsidR="00DB1635" w:rsidRPr="00B004EE">
        <w:rPr>
          <w:rFonts w:ascii="Tahoma" w:hAnsi="Tahoma" w:cs="Tahoma"/>
          <w:w w:val="99"/>
          <w:sz w:val="20"/>
          <w:szCs w:val="20"/>
        </w:rPr>
        <w:t xml:space="preserve"> </w:t>
      </w:r>
      <w:r w:rsidR="008518B0" w:rsidRPr="00B004EE">
        <w:rPr>
          <w:rFonts w:ascii="Tahoma" w:hAnsi="Tahoma" w:cs="Tahoma"/>
          <w:spacing w:val="3"/>
          <w:sz w:val="20"/>
          <w:szCs w:val="20"/>
        </w:rPr>
        <w:t>Conseil</w:t>
      </w:r>
      <w:r w:rsidR="00DB1635" w:rsidRPr="00B004EE">
        <w:rPr>
          <w:rFonts w:ascii="Tahoma" w:hAnsi="Tahoma" w:cs="Tahoma"/>
          <w:spacing w:val="3"/>
          <w:sz w:val="20"/>
          <w:szCs w:val="20"/>
        </w:rPr>
        <w:t xml:space="preserve"> </w:t>
      </w:r>
      <w:r w:rsidR="008518B0" w:rsidRPr="00B004EE">
        <w:rPr>
          <w:rFonts w:ascii="Tahoma" w:hAnsi="Tahoma" w:cs="Tahoma"/>
          <w:spacing w:val="3"/>
          <w:sz w:val="20"/>
          <w:szCs w:val="20"/>
        </w:rPr>
        <w:t>d'Administration</w:t>
      </w:r>
      <w:r w:rsidR="00DB1635" w:rsidRPr="00B004EE">
        <w:rPr>
          <w:rFonts w:ascii="Tahoma" w:hAnsi="Tahoma" w:cs="Tahoma"/>
          <w:spacing w:val="3"/>
          <w:sz w:val="20"/>
          <w:szCs w:val="20"/>
        </w:rPr>
        <w:t xml:space="preserve"> </w:t>
      </w:r>
      <w:r w:rsidR="008518B0" w:rsidRPr="00B004EE">
        <w:rPr>
          <w:rFonts w:ascii="Tahoma" w:hAnsi="Tahoma" w:cs="Tahoma"/>
          <w:spacing w:val="2"/>
          <w:sz w:val="20"/>
          <w:szCs w:val="20"/>
        </w:rPr>
        <w:t>approuvées</w:t>
      </w:r>
      <w:r w:rsidR="00DB1635" w:rsidRPr="00B004EE">
        <w:rPr>
          <w:rFonts w:ascii="Tahoma" w:hAnsi="Tahoma" w:cs="Tahoma"/>
          <w:spacing w:val="2"/>
          <w:sz w:val="20"/>
          <w:szCs w:val="20"/>
        </w:rPr>
        <w:t xml:space="preserve"> </w:t>
      </w:r>
      <w:r w:rsidR="008518B0" w:rsidRPr="00B004EE">
        <w:rPr>
          <w:rFonts w:ascii="Tahoma" w:hAnsi="Tahoma" w:cs="Tahoma"/>
          <w:spacing w:val="2"/>
          <w:sz w:val="20"/>
          <w:szCs w:val="20"/>
        </w:rPr>
        <w:t>par</w:t>
      </w:r>
      <w:r w:rsidR="00DB1635" w:rsidRPr="00B004EE">
        <w:rPr>
          <w:rFonts w:ascii="Tahoma" w:hAnsi="Tahoma" w:cs="Tahoma"/>
          <w:spacing w:val="2"/>
          <w:sz w:val="20"/>
          <w:szCs w:val="20"/>
        </w:rPr>
        <w:t xml:space="preserve"> </w:t>
      </w:r>
      <w:r w:rsidR="008518B0" w:rsidRPr="00B004EE">
        <w:rPr>
          <w:rFonts w:ascii="Tahoma" w:hAnsi="Tahoma" w:cs="Tahoma"/>
          <w:sz w:val="20"/>
          <w:szCs w:val="20"/>
        </w:rPr>
        <w:t>les</w:t>
      </w:r>
      <w:r w:rsidR="00DB1635" w:rsidRPr="00B004EE">
        <w:rPr>
          <w:rFonts w:ascii="Tahoma" w:hAnsi="Tahoma" w:cs="Tahoma"/>
          <w:sz w:val="20"/>
          <w:szCs w:val="20"/>
        </w:rPr>
        <w:t xml:space="preserve"> </w:t>
      </w:r>
      <w:r w:rsidR="008518B0" w:rsidRPr="00B004EE">
        <w:rPr>
          <w:rFonts w:ascii="Tahoma" w:hAnsi="Tahoma" w:cs="Tahoma"/>
          <w:sz w:val="20"/>
          <w:szCs w:val="20"/>
        </w:rPr>
        <w:t>Ministres</w:t>
      </w:r>
      <w:r w:rsidR="00DB1635" w:rsidRPr="00B004EE">
        <w:rPr>
          <w:rFonts w:ascii="Tahoma" w:hAnsi="Tahoma" w:cs="Tahoma"/>
          <w:sz w:val="20"/>
          <w:szCs w:val="20"/>
        </w:rPr>
        <w:t xml:space="preserve"> </w:t>
      </w:r>
      <w:r w:rsidR="008518B0" w:rsidRPr="00B004EE">
        <w:rPr>
          <w:rFonts w:ascii="Tahoma" w:hAnsi="Tahoma" w:cs="Tahoma"/>
          <w:sz w:val="20"/>
          <w:szCs w:val="20"/>
        </w:rPr>
        <w:t>des</w:t>
      </w:r>
      <w:r w:rsidR="00DB1635" w:rsidRPr="00B004EE">
        <w:rPr>
          <w:rFonts w:ascii="Tahoma" w:hAnsi="Tahoma" w:cs="Tahoma"/>
          <w:sz w:val="20"/>
          <w:szCs w:val="20"/>
        </w:rPr>
        <w:t xml:space="preserve"> </w:t>
      </w:r>
      <w:r w:rsidR="008518B0" w:rsidRPr="00B004EE">
        <w:rPr>
          <w:rFonts w:ascii="Tahoma" w:hAnsi="Tahoma" w:cs="Tahoma"/>
          <w:sz w:val="20"/>
          <w:szCs w:val="20"/>
        </w:rPr>
        <w:t>Pêches</w:t>
      </w:r>
      <w:r w:rsidR="00DB1635" w:rsidRPr="00B004EE">
        <w:rPr>
          <w:rFonts w:ascii="Tahoma" w:hAnsi="Tahoma" w:cs="Tahoma"/>
          <w:sz w:val="20"/>
          <w:szCs w:val="20"/>
        </w:rPr>
        <w:t xml:space="preserve"> </w:t>
      </w:r>
      <w:r w:rsidR="008518B0" w:rsidRPr="00B004EE">
        <w:rPr>
          <w:rFonts w:ascii="Tahoma" w:hAnsi="Tahoma" w:cs="Tahoma"/>
          <w:sz w:val="20"/>
          <w:szCs w:val="20"/>
        </w:rPr>
        <w:t>et</w:t>
      </w:r>
      <w:r w:rsidR="00DB1635" w:rsidRPr="00B004EE">
        <w:rPr>
          <w:rFonts w:ascii="Tahoma" w:hAnsi="Tahoma" w:cs="Tahoma"/>
          <w:sz w:val="20"/>
          <w:szCs w:val="20"/>
        </w:rPr>
        <w:t xml:space="preserve"> </w:t>
      </w:r>
      <w:r w:rsidR="008518B0" w:rsidRPr="00B004EE">
        <w:rPr>
          <w:rFonts w:ascii="Tahoma" w:hAnsi="Tahoma" w:cs="Tahoma"/>
          <w:sz w:val="20"/>
          <w:szCs w:val="20"/>
        </w:rPr>
        <w:t>de</w:t>
      </w:r>
      <w:r w:rsidR="00DB1635" w:rsidRPr="00B004EE">
        <w:rPr>
          <w:rFonts w:ascii="Tahoma" w:hAnsi="Tahoma" w:cs="Tahoma"/>
          <w:sz w:val="20"/>
          <w:szCs w:val="20"/>
        </w:rPr>
        <w:t xml:space="preserve"> </w:t>
      </w:r>
      <w:r w:rsidR="008518B0" w:rsidRPr="00B004EE">
        <w:rPr>
          <w:rFonts w:ascii="Tahoma" w:hAnsi="Tahoma" w:cs="Tahoma"/>
          <w:sz w:val="20"/>
          <w:szCs w:val="20"/>
        </w:rPr>
        <w:t>l'Economie</w:t>
      </w:r>
      <w:r w:rsidR="00DB1635" w:rsidRPr="00B004EE">
        <w:rPr>
          <w:rFonts w:ascii="Tahoma" w:hAnsi="Tahoma" w:cs="Tahoma"/>
          <w:sz w:val="20"/>
          <w:szCs w:val="20"/>
        </w:rPr>
        <w:t xml:space="preserve"> </w:t>
      </w:r>
      <w:r w:rsidR="008518B0" w:rsidRPr="00B004EE">
        <w:rPr>
          <w:rFonts w:ascii="Tahoma" w:hAnsi="Tahoma" w:cs="Tahoma"/>
          <w:sz w:val="20"/>
          <w:szCs w:val="20"/>
        </w:rPr>
        <w:t>Maritime</w:t>
      </w:r>
      <w:r w:rsidR="00DB1635" w:rsidRPr="00B004EE">
        <w:rPr>
          <w:rFonts w:ascii="Tahoma" w:hAnsi="Tahoma" w:cs="Tahoma"/>
          <w:sz w:val="20"/>
          <w:szCs w:val="20"/>
        </w:rPr>
        <w:t xml:space="preserve"> </w:t>
      </w:r>
      <w:r w:rsidR="008518B0" w:rsidRPr="00B004EE">
        <w:rPr>
          <w:rFonts w:ascii="Tahoma" w:hAnsi="Tahoma" w:cs="Tahoma"/>
          <w:sz w:val="20"/>
          <w:szCs w:val="20"/>
        </w:rPr>
        <w:t>et</w:t>
      </w:r>
      <w:r w:rsidR="00DB1635" w:rsidRPr="00B004EE">
        <w:rPr>
          <w:rFonts w:ascii="Tahoma" w:hAnsi="Tahoma" w:cs="Tahoma"/>
          <w:sz w:val="20"/>
          <w:szCs w:val="20"/>
        </w:rPr>
        <w:t xml:space="preserve"> </w:t>
      </w:r>
      <w:r w:rsidR="008518B0" w:rsidRPr="00B004EE">
        <w:rPr>
          <w:rFonts w:ascii="Tahoma" w:hAnsi="Tahoma" w:cs="Tahoma"/>
          <w:sz w:val="20"/>
          <w:szCs w:val="20"/>
        </w:rPr>
        <w:t>celui</w:t>
      </w:r>
      <w:r w:rsidR="00DB1635" w:rsidRPr="00B004EE">
        <w:rPr>
          <w:rFonts w:ascii="Tahoma" w:hAnsi="Tahoma" w:cs="Tahoma"/>
          <w:sz w:val="20"/>
          <w:szCs w:val="20"/>
        </w:rPr>
        <w:t xml:space="preserve"> </w:t>
      </w:r>
      <w:r w:rsidR="008518B0" w:rsidRPr="00B004EE">
        <w:rPr>
          <w:rFonts w:ascii="Tahoma" w:hAnsi="Tahoma" w:cs="Tahoma"/>
          <w:sz w:val="20"/>
          <w:szCs w:val="20"/>
        </w:rPr>
        <w:t>des</w:t>
      </w:r>
      <w:r w:rsidR="00DB1635" w:rsidRPr="00B004EE">
        <w:rPr>
          <w:rFonts w:ascii="Tahoma" w:hAnsi="Tahoma" w:cs="Tahoma"/>
          <w:spacing w:val="-9"/>
          <w:sz w:val="20"/>
          <w:szCs w:val="20"/>
        </w:rPr>
        <w:t xml:space="preserve"> </w:t>
      </w:r>
      <w:r w:rsidR="008518B0" w:rsidRPr="00B004EE">
        <w:rPr>
          <w:rFonts w:ascii="Tahoma" w:hAnsi="Tahoma" w:cs="Tahoma"/>
          <w:sz w:val="20"/>
          <w:szCs w:val="20"/>
        </w:rPr>
        <w:t>Finances.</w:t>
      </w:r>
    </w:p>
    <w:p w14:paraId="6634D82F" w14:textId="77777777" w:rsidR="008518B0" w:rsidRPr="00B004EE" w:rsidRDefault="008518B0" w:rsidP="00B004EE">
      <w:pPr>
        <w:rPr>
          <w:rFonts w:ascii="Tahoma" w:eastAsia="Times" w:hAnsi="Tahoma" w:cs="Tahoma"/>
          <w:sz w:val="20"/>
          <w:szCs w:val="20"/>
        </w:rPr>
      </w:pPr>
    </w:p>
    <w:p w14:paraId="14566D7A" w14:textId="64D161DD" w:rsidR="008518B0" w:rsidRPr="00B004EE" w:rsidRDefault="00FF661D" w:rsidP="00B004EE">
      <w:pPr>
        <w:pStyle w:val="Corpsdetexte"/>
        <w:ind w:left="155" w:right="206"/>
        <w:rPr>
          <w:rFonts w:ascii="Tahoma" w:hAnsi="Tahoma" w:cs="Tahoma"/>
          <w:sz w:val="20"/>
          <w:szCs w:val="20"/>
        </w:rPr>
      </w:pPr>
      <w:r w:rsidRPr="00B004EE">
        <w:rPr>
          <w:rFonts w:ascii="Tahoma" w:hAnsi="Tahoma" w:cs="Tahoma"/>
          <w:bCs/>
          <w:iCs/>
          <w:sz w:val="20"/>
          <w:szCs w:val="20"/>
        </w:rPr>
        <w:t xml:space="preserve">Article </w:t>
      </w:r>
      <w:r w:rsidR="008518B0" w:rsidRPr="00B004EE">
        <w:rPr>
          <w:rFonts w:ascii="Tahoma" w:hAnsi="Tahoma" w:cs="Tahoma"/>
          <w:bCs/>
          <w:iCs/>
          <w:sz w:val="20"/>
          <w:szCs w:val="20"/>
        </w:rPr>
        <w:t>17</w:t>
      </w:r>
      <w:r w:rsidR="00DB1635" w:rsidRPr="00B004EE">
        <w:rPr>
          <w:rFonts w:ascii="Tahoma" w:hAnsi="Tahoma" w:cs="Tahoma"/>
          <w:b/>
          <w:i/>
          <w:spacing w:val="12"/>
          <w:sz w:val="20"/>
          <w:szCs w:val="20"/>
        </w:rPr>
        <w:t xml:space="preserve"> </w:t>
      </w:r>
      <w:r w:rsidR="008518B0" w:rsidRPr="00B004EE">
        <w:rPr>
          <w:rFonts w:ascii="Tahoma" w:hAnsi="Tahoma" w:cs="Tahoma"/>
          <w:i/>
          <w:sz w:val="20"/>
          <w:szCs w:val="20"/>
        </w:rPr>
        <w:t>:</w:t>
      </w:r>
      <w:r w:rsidR="00DB1635" w:rsidRPr="00B004EE">
        <w:rPr>
          <w:rFonts w:ascii="Tahoma" w:hAnsi="Tahoma" w:cs="Tahoma"/>
          <w:i/>
          <w:spacing w:val="16"/>
          <w:sz w:val="20"/>
          <w:szCs w:val="20"/>
        </w:rPr>
        <w:t xml:space="preserve"> </w:t>
      </w:r>
      <w:r w:rsidR="008518B0" w:rsidRPr="00B004EE">
        <w:rPr>
          <w:rFonts w:ascii="Tahoma" w:hAnsi="Tahoma" w:cs="Tahoma"/>
          <w:spacing w:val="-3"/>
          <w:sz w:val="20"/>
          <w:szCs w:val="20"/>
        </w:rPr>
        <w:t>Le</w:t>
      </w:r>
      <w:r w:rsidR="00DB1635" w:rsidRPr="00B004EE">
        <w:rPr>
          <w:rFonts w:ascii="Tahoma" w:hAnsi="Tahoma" w:cs="Tahoma"/>
          <w:spacing w:val="13"/>
          <w:sz w:val="20"/>
          <w:szCs w:val="20"/>
        </w:rPr>
        <w:t xml:space="preserve"> </w:t>
      </w:r>
      <w:r w:rsidR="008518B0" w:rsidRPr="00B004EE">
        <w:rPr>
          <w:rFonts w:ascii="Tahoma" w:hAnsi="Tahoma" w:cs="Tahoma"/>
          <w:sz w:val="20"/>
          <w:szCs w:val="20"/>
        </w:rPr>
        <w:t>personnel</w:t>
      </w:r>
      <w:r w:rsidR="00DB1635" w:rsidRPr="00B004EE">
        <w:rPr>
          <w:rFonts w:ascii="Tahoma" w:hAnsi="Tahoma" w:cs="Tahoma"/>
          <w:spacing w:val="14"/>
          <w:sz w:val="20"/>
          <w:szCs w:val="20"/>
        </w:rPr>
        <w:t xml:space="preserve"> </w:t>
      </w:r>
      <w:r w:rsidR="008518B0" w:rsidRPr="00B004EE">
        <w:rPr>
          <w:rFonts w:ascii="Tahoma" w:hAnsi="Tahoma" w:cs="Tahoma"/>
          <w:sz w:val="20"/>
          <w:szCs w:val="20"/>
        </w:rPr>
        <w:t>de</w:t>
      </w:r>
      <w:r w:rsidR="00DB1635" w:rsidRPr="00B004EE">
        <w:rPr>
          <w:rFonts w:ascii="Tahoma" w:hAnsi="Tahoma" w:cs="Tahoma"/>
          <w:spacing w:val="13"/>
          <w:sz w:val="20"/>
          <w:szCs w:val="20"/>
        </w:rPr>
        <w:t xml:space="preserve"> </w:t>
      </w:r>
      <w:r w:rsidR="008518B0" w:rsidRPr="00B004EE">
        <w:rPr>
          <w:rFonts w:ascii="Tahoma" w:hAnsi="Tahoma" w:cs="Tahoma"/>
          <w:bCs/>
          <w:sz w:val="20"/>
          <w:szCs w:val="20"/>
        </w:rPr>
        <w:t>l'ONISPA</w:t>
      </w:r>
      <w:r w:rsidR="00DB1635" w:rsidRPr="00B004EE">
        <w:rPr>
          <w:rFonts w:ascii="Tahoma" w:hAnsi="Tahoma" w:cs="Tahoma"/>
          <w:b/>
          <w:spacing w:val="14"/>
          <w:sz w:val="20"/>
          <w:szCs w:val="20"/>
        </w:rPr>
        <w:t xml:space="preserve"> </w:t>
      </w:r>
      <w:r w:rsidR="008518B0" w:rsidRPr="00B004EE">
        <w:rPr>
          <w:rFonts w:ascii="Tahoma" w:hAnsi="Tahoma" w:cs="Tahoma"/>
          <w:spacing w:val="3"/>
          <w:sz w:val="20"/>
          <w:szCs w:val="20"/>
        </w:rPr>
        <w:t>comprend</w:t>
      </w:r>
      <w:r w:rsidR="00DB1635" w:rsidRPr="00B004EE">
        <w:rPr>
          <w:rFonts w:ascii="Tahoma" w:hAnsi="Tahoma" w:cs="Tahoma"/>
          <w:spacing w:val="25"/>
          <w:sz w:val="20"/>
          <w:szCs w:val="20"/>
        </w:rPr>
        <w:t xml:space="preserve"> </w:t>
      </w:r>
      <w:r w:rsidR="008518B0" w:rsidRPr="00B004EE">
        <w:rPr>
          <w:rFonts w:ascii="Tahoma" w:hAnsi="Tahoma" w:cs="Tahoma"/>
          <w:spacing w:val="2"/>
          <w:sz w:val="20"/>
          <w:szCs w:val="20"/>
        </w:rPr>
        <w:t>les</w:t>
      </w:r>
      <w:r w:rsidR="00DB1635" w:rsidRPr="00B004EE">
        <w:rPr>
          <w:rFonts w:ascii="Tahoma" w:hAnsi="Tahoma" w:cs="Tahoma"/>
          <w:spacing w:val="27"/>
          <w:sz w:val="20"/>
          <w:szCs w:val="20"/>
        </w:rPr>
        <w:t xml:space="preserve"> </w:t>
      </w:r>
      <w:r w:rsidR="008518B0" w:rsidRPr="00B004EE">
        <w:rPr>
          <w:rFonts w:ascii="Tahoma" w:hAnsi="Tahoma" w:cs="Tahoma"/>
          <w:spacing w:val="3"/>
          <w:sz w:val="20"/>
          <w:szCs w:val="20"/>
        </w:rPr>
        <w:t>agents</w:t>
      </w:r>
      <w:r w:rsidR="00DB1635" w:rsidRPr="00B004EE">
        <w:rPr>
          <w:rFonts w:ascii="Tahoma" w:hAnsi="Tahoma" w:cs="Tahoma"/>
          <w:spacing w:val="25"/>
          <w:sz w:val="20"/>
          <w:szCs w:val="20"/>
        </w:rPr>
        <w:t xml:space="preserve"> </w:t>
      </w:r>
      <w:r w:rsidR="008518B0" w:rsidRPr="00B004EE">
        <w:rPr>
          <w:rFonts w:ascii="Tahoma" w:hAnsi="Tahoma" w:cs="Tahoma"/>
          <w:sz w:val="20"/>
          <w:szCs w:val="20"/>
        </w:rPr>
        <w:t>de</w:t>
      </w:r>
      <w:r w:rsidR="00DB1635" w:rsidRPr="00B004EE">
        <w:rPr>
          <w:rFonts w:ascii="Tahoma" w:hAnsi="Tahoma" w:cs="Tahoma"/>
          <w:spacing w:val="26"/>
          <w:sz w:val="20"/>
          <w:szCs w:val="20"/>
        </w:rPr>
        <w:t xml:space="preserve"> </w:t>
      </w:r>
      <w:r w:rsidR="008518B0" w:rsidRPr="00B004EE">
        <w:rPr>
          <w:rFonts w:ascii="Tahoma" w:hAnsi="Tahoma" w:cs="Tahoma"/>
          <w:spacing w:val="3"/>
          <w:sz w:val="20"/>
          <w:szCs w:val="20"/>
        </w:rPr>
        <w:t>contrôle</w:t>
      </w:r>
      <w:r w:rsidR="00DB1635" w:rsidRPr="00B004EE">
        <w:rPr>
          <w:rFonts w:ascii="Tahoma" w:hAnsi="Tahoma" w:cs="Tahoma"/>
          <w:spacing w:val="24"/>
          <w:sz w:val="20"/>
          <w:szCs w:val="20"/>
        </w:rPr>
        <w:t xml:space="preserve"> </w:t>
      </w:r>
      <w:r w:rsidR="008518B0" w:rsidRPr="00B004EE">
        <w:rPr>
          <w:rFonts w:ascii="Tahoma" w:hAnsi="Tahoma" w:cs="Tahoma"/>
          <w:sz w:val="20"/>
          <w:szCs w:val="20"/>
        </w:rPr>
        <w:t>et</w:t>
      </w:r>
      <w:r w:rsidR="00DB1635" w:rsidRPr="00B004EE">
        <w:rPr>
          <w:rFonts w:ascii="Tahoma" w:hAnsi="Tahoma" w:cs="Tahoma"/>
          <w:spacing w:val="25"/>
          <w:sz w:val="20"/>
          <w:szCs w:val="20"/>
        </w:rPr>
        <w:t xml:space="preserve"> </w:t>
      </w:r>
      <w:r w:rsidR="008518B0" w:rsidRPr="00B004EE">
        <w:rPr>
          <w:rFonts w:ascii="Tahoma" w:hAnsi="Tahoma" w:cs="Tahoma"/>
          <w:spacing w:val="2"/>
          <w:sz w:val="20"/>
          <w:szCs w:val="20"/>
        </w:rPr>
        <w:t>le</w:t>
      </w:r>
      <w:r w:rsidR="00DB1635" w:rsidRPr="00B004EE">
        <w:rPr>
          <w:rFonts w:ascii="Tahoma" w:hAnsi="Tahoma" w:cs="Tahoma"/>
          <w:spacing w:val="24"/>
          <w:sz w:val="20"/>
          <w:szCs w:val="20"/>
        </w:rPr>
        <w:t xml:space="preserve"> </w:t>
      </w:r>
      <w:r w:rsidR="008518B0" w:rsidRPr="00B004EE">
        <w:rPr>
          <w:rFonts w:ascii="Tahoma" w:hAnsi="Tahoma" w:cs="Tahoma"/>
          <w:sz w:val="20"/>
          <w:szCs w:val="20"/>
        </w:rPr>
        <w:t>personnel</w:t>
      </w:r>
      <w:r w:rsidR="00DB1635" w:rsidRPr="00B004EE">
        <w:rPr>
          <w:rFonts w:ascii="Tahoma" w:hAnsi="Tahoma" w:cs="Tahoma"/>
          <w:w w:val="99"/>
          <w:sz w:val="20"/>
          <w:szCs w:val="20"/>
        </w:rPr>
        <w:t xml:space="preserve"> </w:t>
      </w:r>
      <w:r w:rsidR="008518B0" w:rsidRPr="00B004EE">
        <w:rPr>
          <w:rFonts w:ascii="Tahoma" w:hAnsi="Tahoma" w:cs="Tahoma"/>
          <w:sz w:val="20"/>
          <w:szCs w:val="20"/>
        </w:rPr>
        <w:t>administratif</w:t>
      </w:r>
      <w:r w:rsidR="00DB1635" w:rsidRPr="00B004EE">
        <w:rPr>
          <w:rFonts w:ascii="Tahoma" w:hAnsi="Tahoma" w:cs="Tahoma"/>
          <w:sz w:val="20"/>
          <w:szCs w:val="20"/>
        </w:rPr>
        <w:t xml:space="preserve"> </w:t>
      </w:r>
      <w:r w:rsidR="008518B0" w:rsidRPr="00B004EE">
        <w:rPr>
          <w:rFonts w:ascii="Tahoma" w:hAnsi="Tahoma" w:cs="Tahoma"/>
          <w:sz w:val="20"/>
          <w:szCs w:val="20"/>
        </w:rPr>
        <w:t>les</w:t>
      </w:r>
      <w:r w:rsidR="00DB1635" w:rsidRPr="00B004EE">
        <w:rPr>
          <w:rFonts w:ascii="Tahoma" w:hAnsi="Tahoma" w:cs="Tahoma"/>
          <w:sz w:val="20"/>
          <w:szCs w:val="20"/>
        </w:rPr>
        <w:t xml:space="preserve"> </w:t>
      </w:r>
      <w:r w:rsidR="008518B0" w:rsidRPr="00B004EE">
        <w:rPr>
          <w:rFonts w:ascii="Tahoma" w:hAnsi="Tahoma" w:cs="Tahoma"/>
          <w:sz w:val="20"/>
          <w:szCs w:val="20"/>
        </w:rPr>
        <w:t>agents</w:t>
      </w:r>
      <w:r w:rsidR="00DB1635" w:rsidRPr="00B004EE">
        <w:rPr>
          <w:rFonts w:ascii="Tahoma" w:hAnsi="Tahoma" w:cs="Tahoma"/>
          <w:sz w:val="20"/>
          <w:szCs w:val="20"/>
        </w:rPr>
        <w:t xml:space="preserve"> </w:t>
      </w:r>
      <w:r w:rsidR="008518B0" w:rsidRPr="00B004EE">
        <w:rPr>
          <w:rFonts w:ascii="Tahoma" w:hAnsi="Tahoma" w:cs="Tahoma"/>
          <w:sz w:val="20"/>
          <w:szCs w:val="20"/>
        </w:rPr>
        <w:t>de</w:t>
      </w:r>
      <w:r w:rsidR="00DB1635" w:rsidRPr="00B004EE">
        <w:rPr>
          <w:rFonts w:ascii="Tahoma" w:hAnsi="Tahoma" w:cs="Tahoma"/>
          <w:sz w:val="20"/>
          <w:szCs w:val="20"/>
        </w:rPr>
        <w:t xml:space="preserve"> </w:t>
      </w:r>
      <w:r w:rsidR="008518B0" w:rsidRPr="00B004EE">
        <w:rPr>
          <w:rFonts w:ascii="Tahoma" w:hAnsi="Tahoma" w:cs="Tahoma"/>
          <w:sz w:val="20"/>
          <w:szCs w:val="20"/>
        </w:rPr>
        <w:t>contrôle</w:t>
      </w:r>
      <w:r w:rsidR="00DB1635" w:rsidRPr="00B004EE">
        <w:rPr>
          <w:rFonts w:ascii="Tahoma" w:hAnsi="Tahoma" w:cs="Tahoma"/>
          <w:sz w:val="20"/>
          <w:szCs w:val="20"/>
        </w:rPr>
        <w:t xml:space="preserve"> </w:t>
      </w:r>
      <w:r w:rsidR="008518B0" w:rsidRPr="00B004EE">
        <w:rPr>
          <w:rFonts w:ascii="Tahoma" w:hAnsi="Tahoma" w:cs="Tahoma"/>
          <w:sz w:val="20"/>
          <w:szCs w:val="20"/>
        </w:rPr>
        <w:t>sont</w:t>
      </w:r>
      <w:r w:rsidR="00DB1635" w:rsidRPr="00B004EE">
        <w:rPr>
          <w:rFonts w:ascii="Tahoma" w:hAnsi="Tahoma" w:cs="Tahoma"/>
          <w:sz w:val="20"/>
          <w:szCs w:val="20"/>
        </w:rPr>
        <w:t xml:space="preserve"> </w:t>
      </w:r>
      <w:r w:rsidR="008518B0" w:rsidRPr="00B004EE">
        <w:rPr>
          <w:rFonts w:ascii="Tahoma" w:hAnsi="Tahoma" w:cs="Tahoma"/>
          <w:sz w:val="20"/>
          <w:szCs w:val="20"/>
        </w:rPr>
        <w:t>obligatoirement</w:t>
      </w:r>
      <w:r w:rsidR="00DB1635" w:rsidRPr="00B004EE">
        <w:rPr>
          <w:rFonts w:ascii="Tahoma" w:hAnsi="Tahoma" w:cs="Tahoma"/>
          <w:spacing w:val="25"/>
          <w:sz w:val="20"/>
          <w:szCs w:val="20"/>
        </w:rPr>
        <w:t xml:space="preserve"> </w:t>
      </w:r>
      <w:r w:rsidR="008518B0" w:rsidRPr="00B004EE">
        <w:rPr>
          <w:rFonts w:ascii="Tahoma" w:hAnsi="Tahoma" w:cs="Tahoma"/>
          <w:sz w:val="20"/>
          <w:szCs w:val="20"/>
        </w:rPr>
        <w:t>compétents</w:t>
      </w:r>
      <w:r w:rsidR="00DB1635" w:rsidRPr="00B004EE">
        <w:rPr>
          <w:rFonts w:ascii="Tahoma" w:hAnsi="Tahoma" w:cs="Tahoma"/>
          <w:spacing w:val="25"/>
          <w:sz w:val="20"/>
          <w:szCs w:val="20"/>
        </w:rPr>
        <w:t xml:space="preserve"> </w:t>
      </w:r>
      <w:r w:rsidR="008518B0" w:rsidRPr="00B004EE">
        <w:rPr>
          <w:rFonts w:ascii="Tahoma" w:hAnsi="Tahoma" w:cs="Tahoma"/>
          <w:sz w:val="20"/>
          <w:szCs w:val="20"/>
        </w:rPr>
        <w:t>en</w:t>
      </w:r>
      <w:r w:rsidR="00DB1635" w:rsidRPr="00B004EE">
        <w:rPr>
          <w:rFonts w:ascii="Tahoma" w:hAnsi="Tahoma" w:cs="Tahoma"/>
          <w:spacing w:val="25"/>
          <w:sz w:val="20"/>
          <w:szCs w:val="20"/>
        </w:rPr>
        <w:t xml:space="preserve"> </w:t>
      </w:r>
      <w:r w:rsidR="008518B0" w:rsidRPr="00B004EE">
        <w:rPr>
          <w:rFonts w:ascii="Tahoma" w:hAnsi="Tahoma" w:cs="Tahoma"/>
          <w:sz w:val="20"/>
          <w:szCs w:val="20"/>
        </w:rPr>
        <w:t>matière</w:t>
      </w:r>
      <w:r w:rsidR="00DB1635" w:rsidRPr="00B004EE">
        <w:rPr>
          <w:rFonts w:ascii="Tahoma" w:hAnsi="Tahoma" w:cs="Tahoma"/>
          <w:spacing w:val="24"/>
          <w:sz w:val="20"/>
          <w:szCs w:val="20"/>
        </w:rPr>
        <w:t xml:space="preserve"> </w:t>
      </w:r>
      <w:r w:rsidR="008518B0" w:rsidRPr="00B004EE">
        <w:rPr>
          <w:rFonts w:ascii="Tahoma" w:hAnsi="Tahoma" w:cs="Tahoma"/>
          <w:sz w:val="20"/>
          <w:szCs w:val="20"/>
        </w:rPr>
        <w:t>de</w:t>
      </w:r>
      <w:r w:rsidR="00DB1635" w:rsidRPr="00B004EE">
        <w:rPr>
          <w:rFonts w:ascii="Tahoma" w:hAnsi="Tahoma" w:cs="Tahoma"/>
          <w:w w:val="99"/>
          <w:sz w:val="20"/>
          <w:szCs w:val="20"/>
        </w:rPr>
        <w:t xml:space="preserve"> </w:t>
      </w:r>
      <w:r w:rsidR="008518B0" w:rsidRPr="00B004EE">
        <w:rPr>
          <w:rFonts w:ascii="Tahoma" w:hAnsi="Tahoma" w:cs="Tahoma"/>
          <w:spacing w:val="3"/>
          <w:sz w:val="20"/>
          <w:szCs w:val="20"/>
        </w:rPr>
        <w:t>services</w:t>
      </w:r>
      <w:r w:rsidR="00DB1635" w:rsidRPr="00B004EE">
        <w:rPr>
          <w:rFonts w:ascii="Tahoma" w:hAnsi="Tahoma" w:cs="Tahoma"/>
          <w:spacing w:val="3"/>
          <w:sz w:val="20"/>
          <w:szCs w:val="20"/>
        </w:rPr>
        <w:t xml:space="preserve"> </w:t>
      </w:r>
      <w:r w:rsidR="008518B0" w:rsidRPr="00B004EE">
        <w:rPr>
          <w:rFonts w:ascii="Tahoma" w:hAnsi="Tahoma" w:cs="Tahoma"/>
          <w:spacing w:val="3"/>
          <w:sz w:val="20"/>
          <w:szCs w:val="20"/>
        </w:rPr>
        <w:t>vétérinaires</w:t>
      </w:r>
      <w:r w:rsidR="00DB1635" w:rsidRPr="00B004EE">
        <w:rPr>
          <w:rFonts w:ascii="Tahoma" w:hAnsi="Tahoma" w:cs="Tahoma"/>
          <w:spacing w:val="3"/>
          <w:sz w:val="20"/>
          <w:szCs w:val="20"/>
        </w:rPr>
        <w:t xml:space="preserve"> </w:t>
      </w:r>
      <w:r w:rsidR="008518B0" w:rsidRPr="00B004EE">
        <w:rPr>
          <w:rFonts w:ascii="Tahoma" w:hAnsi="Tahoma" w:cs="Tahoma"/>
          <w:sz w:val="20"/>
          <w:szCs w:val="20"/>
        </w:rPr>
        <w:t>et</w:t>
      </w:r>
      <w:r w:rsidR="00DB1635" w:rsidRPr="00B004EE">
        <w:rPr>
          <w:rFonts w:ascii="Tahoma" w:hAnsi="Tahoma" w:cs="Tahoma"/>
          <w:sz w:val="20"/>
          <w:szCs w:val="20"/>
        </w:rPr>
        <w:t xml:space="preserve"> </w:t>
      </w:r>
      <w:r w:rsidR="008518B0" w:rsidRPr="00B004EE">
        <w:rPr>
          <w:rFonts w:ascii="Tahoma" w:hAnsi="Tahoma" w:cs="Tahoma"/>
          <w:spacing w:val="3"/>
          <w:sz w:val="20"/>
          <w:szCs w:val="20"/>
        </w:rPr>
        <w:t>d'hygiène.</w:t>
      </w:r>
      <w:r w:rsidR="00DB1635" w:rsidRPr="00B004EE">
        <w:rPr>
          <w:rFonts w:ascii="Tahoma" w:hAnsi="Tahoma" w:cs="Tahoma"/>
          <w:spacing w:val="3"/>
          <w:sz w:val="20"/>
          <w:szCs w:val="20"/>
        </w:rPr>
        <w:t xml:space="preserve"> </w:t>
      </w:r>
      <w:r w:rsidR="008518B0" w:rsidRPr="00B004EE">
        <w:rPr>
          <w:rFonts w:ascii="Tahoma" w:hAnsi="Tahoma" w:cs="Tahoma"/>
          <w:sz w:val="20"/>
          <w:szCs w:val="20"/>
        </w:rPr>
        <w:t>Ils</w:t>
      </w:r>
      <w:r w:rsidR="00DB1635" w:rsidRPr="00B004EE">
        <w:rPr>
          <w:rFonts w:ascii="Tahoma" w:hAnsi="Tahoma" w:cs="Tahoma"/>
          <w:sz w:val="20"/>
          <w:szCs w:val="20"/>
        </w:rPr>
        <w:t xml:space="preserve"> </w:t>
      </w:r>
      <w:r w:rsidR="008518B0" w:rsidRPr="00B004EE">
        <w:rPr>
          <w:rFonts w:ascii="Tahoma" w:hAnsi="Tahoma" w:cs="Tahoma"/>
          <w:spacing w:val="3"/>
          <w:sz w:val="20"/>
          <w:szCs w:val="20"/>
        </w:rPr>
        <w:t>sont</w:t>
      </w:r>
      <w:r w:rsidR="00DB1635" w:rsidRPr="00B004EE">
        <w:rPr>
          <w:rFonts w:ascii="Tahoma" w:hAnsi="Tahoma" w:cs="Tahoma"/>
          <w:spacing w:val="3"/>
          <w:sz w:val="20"/>
          <w:szCs w:val="20"/>
        </w:rPr>
        <w:t xml:space="preserve"> </w:t>
      </w:r>
      <w:r w:rsidR="008518B0" w:rsidRPr="00B004EE">
        <w:rPr>
          <w:rFonts w:ascii="Tahoma" w:hAnsi="Tahoma" w:cs="Tahoma"/>
          <w:spacing w:val="5"/>
          <w:sz w:val="20"/>
          <w:szCs w:val="20"/>
        </w:rPr>
        <w:t>agréés</w:t>
      </w:r>
      <w:r w:rsidR="00DB1635" w:rsidRPr="00B004EE">
        <w:rPr>
          <w:rFonts w:ascii="Tahoma" w:hAnsi="Tahoma" w:cs="Tahoma"/>
          <w:spacing w:val="5"/>
          <w:sz w:val="20"/>
          <w:szCs w:val="20"/>
        </w:rPr>
        <w:t xml:space="preserve"> </w:t>
      </w:r>
      <w:r w:rsidR="008518B0" w:rsidRPr="00B004EE">
        <w:rPr>
          <w:rFonts w:ascii="Tahoma" w:hAnsi="Tahoma" w:cs="Tahoma"/>
          <w:spacing w:val="4"/>
          <w:sz w:val="20"/>
          <w:szCs w:val="20"/>
        </w:rPr>
        <w:t>par</w:t>
      </w:r>
      <w:r w:rsidR="00DB1635" w:rsidRPr="00B004EE">
        <w:rPr>
          <w:rFonts w:ascii="Tahoma" w:hAnsi="Tahoma" w:cs="Tahoma"/>
          <w:spacing w:val="4"/>
          <w:sz w:val="20"/>
          <w:szCs w:val="20"/>
        </w:rPr>
        <w:t xml:space="preserve"> </w:t>
      </w:r>
      <w:r w:rsidR="008518B0" w:rsidRPr="00B004EE">
        <w:rPr>
          <w:rFonts w:ascii="Tahoma" w:hAnsi="Tahoma" w:cs="Tahoma"/>
          <w:spacing w:val="5"/>
          <w:sz w:val="20"/>
          <w:szCs w:val="20"/>
        </w:rPr>
        <w:t>arrêté</w:t>
      </w:r>
      <w:r w:rsidR="00DB1635" w:rsidRPr="00B004EE">
        <w:rPr>
          <w:rFonts w:ascii="Tahoma" w:hAnsi="Tahoma" w:cs="Tahoma"/>
          <w:spacing w:val="5"/>
          <w:sz w:val="20"/>
          <w:szCs w:val="20"/>
        </w:rPr>
        <w:t xml:space="preserve"> </w:t>
      </w:r>
      <w:r w:rsidR="008518B0" w:rsidRPr="00B004EE">
        <w:rPr>
          <w:rFonts w:ascii="Tahoma" w:hAnsi="Tahoma" w:cs="Tahoma"/>
          <w:spacing w:val="3"/>
          <w:sz w:val="20"/>
          <w:szCs w:val="20"/>
        </w:rPr>
        <w:t>du</w:t>
      </w:r>
      <w:r w:rsidR="00DB1635" w:rsidRPr="00B004EE">
        <w:rPr>
          <w:rFonts w:ascii="Tahoma" w:hAnsi="Tahoma" w:cs="Tahoma"/>
          <w:spacing w:val="3"/>
          <w:sz w:val="20"/>
          <w:szCs w:val="20"/>
        </w:rPr>
        <w:t xml:space="preserve"> </w:t>
      </w:r>
      <w:r w:rsidR="008518B0" w:rsidRPr="00B004EE">
        <w:rPr>
          <w:rFonts w:ascii="Tahoma" w:hAnsi="Tahoma" w:cs="Tahoma"/>
          <w:spacing w:val="6"/>
          <w:sz w:val="20"/>
          <w:szCs w:val="20"/>
        </w:rPr>
        <w:t>Ministre</w:t>
      </w:r>
      <w:r w:rsidR="00DB1635" w:rsidRPr="00B004EE">
        <w:rPr>
          <w:rFonts w:ascii="Tahoma" w:hAnsi="Tahoma" w:cs="Tahoma"/>
          <w:spacing w:val="6"/>
          <w:sz w:val="20"/>
          <w:szCs w:val="20"/>
        </w:rPr>
        <w:t xml:space="preserve"> </w:t>
      </w:r>
      <w:r w:rsidR="008518B0" w:rsidRPr="00B004EE">
        <w:rPr>
          <w:rFonts w:ascii="Tahoma" w:hAnsi="Tahoma" w:cs="Tahoma"/>
          <w:spacing w:val="5"/>
          <w:sz w:val="20"/>
          <w:szCs w:val="20"/>
        </w:rPr>
        <w:t>chargé</w:t>
      </w:r>
      <w:r w:rsidR="00DB1635" w:rsidRPr="00B004EE">
        <w:rPr>
          <w:rFonts w:ascii="Tahoma" w:hAnsi="Tahoma" w:cs="Tahoma"/>
          <w:spacing w:val="5"/>
          <w:sz w:val="20"/>
          <w:szCs w:val="20"/>
        </w:rPr>
        <w:t xml:space="preserve"> </w:t>
      </w:r>
      <w:r w:rsidR="008518B0" w:rsidRPr="00B004EE">
        <w:rPr>
          <w:rFonts w:ascii="Tahoma" w:hAnsi="Tahoma" w:cs="Tahoma"/>
          <w:spacing w:val="4"/>
          <w:sz w:val="20"/>
          <w:szCs w:val="20"/>
        </w:rPr>
        <w:t>des</w:t>
      </w:r>
      <w:r w:rsidR="00DB1635" w:rsidRPr="00B004EE">
        <w:rPr>
          <w:rFonts w:ascii="Tahoma" w:hAnsi="Tahoma" w:cs="Tahoma"/>
          <w:spacing w:val="61"/>
          <w:sz w:val="20"/>
          <w:szCs w:val="20"/>
        </w:rPr>
        <w:t xml:space="preserve"> </w:t>
      </w:r>
      <w:r w:rsidR="008518B0" w:rsidRPr="00B004EE">
        <w:rPr>
          <w:rFonts w:ascii="Tahoma" w:hAnsi="Tahoma" w:cs="Tahoma"/>
          <w:sz w:val="20"/>
          <w:szCs w:val="20"/>
        </w:rPr>
        <w:t>Pêches</w:t>
      </w:r>
      <w:r w:rsidR="00DB1635" w:rsidRPr="00B004EE">
        <w:rPr>
          <w:rFonts w:ascii="Tahoma" w:hAnsi="Tahoma" w:cs="Tahoma"/>
          <w:w w:val="99"/>
          <w:sz w:val="20"/>
          <w:szCs w:val="20"/>
        </w:rPr>
        <w:t xml:space="preserve"> </w:t>
      </w:r>
      <w:r w:rsidR="008518B0" w:rsidRPr="00B004EE">
        <w:rPr>
          <w:rFonts w:ascii="Tahoma" w:hAnsi="Tahoma" w:cs="Tahoma"/>
          <w:sz w:val="20"/>
          <w:szCs w:val="20"/>
        </w:rPr>
        <w:t>puis</w:t>
      </w:r>
      <w:r w:rsidR="00DB1635" w:rsidRPr="00B004EE">
        <w:rPr>
          <w:rFonts w:ascii="Tahoma" w:hAnsi="Tahoma" w:cs="Tahoma"/>
          <w:spacing w:val="-6"/>
          <w:sz w:val="20"/>
          <w:szCs w:val="20"/>
        </w:rPr>
        <w:t xml:space="preserve"> </w:t>
      </w:r>
      <w:r w:rsidR="008518B0" w:rsidRPr="00B004EE">
        <w:rPr>
          <w:rFonts w:ascii="Tahoma" w:hAnsi="Tahoma" w:cs="Tahoma"/>
          <w:sz w:val="20"/>
          <w:szCs w:val="20"/>
        </w:rPr>
        <w:t>assermentés.</w:t>
      </w:r>
    </w:p>
    <w:p w14:paraId="52B29219" w14:textId="77777777" w:rsidR="008518B0" w:rsidRPr="00B004EE" w:rsidRDefault="008518B0" w:rsidP="00B004EE">
      <w:pPr>
        <w:rPr>
          <w:rFonts w:ascii="Tahoma" w:eastAsia="Times" w:hAnsi="Tahoma" w:cs="Tahoma"/>
          <w:sz w:val="20"/>
          <w:szCs w:val="20"/>
        </w:rPr>
      </w:pPr>
    </w:p>
    <w:p w14:paraId="279BAC70" w14:textId="5AB83548" w:rsidR="008518B0" w:rsidRPr="00B004EE" w:rsidRDefault="00FF661D" w:rsidP="00B004EE">
      <w:pPr>
        <w:pStyle w:val="Corpsdetexte"/>
        <w:ind w:left="227" w:right="162"/>
        <w:rPr>
          <w:rFonts w:ascii="Tahoma" w:hAnsi="Tahoma" w:cs="Tahoma"/>
          <w:sz w:val="20"/>
          <w:szCs w:val="20"/>
        </w:rPr>
      </w:pPr>
      <w:r w:rsidRPr="00B004EE">
        <w:rPr>
          <w:rFonts w:ascii="Tahoma" w:hAnsi="Tahoma" w:cs="Tahoma"/>
          <w:bCs/>
          <w:iCs/>
          <w:sz w:val="20"/>
          <w:szCs w:val="20"/>
        </w:rPr>
        <w:t xml:space="preserve">Article </w:t>
      </w:r>
      <w:r w:rsidR="008518B0" w:rsidRPr="00B004EE">
        <w:rPr>
          <w:rFonts w:ascii="Tahoma" w:hAnsi="Tahoma" w:cs="Tahoma"/>
          <w:bCs/>
          <w:iCs/>
          <w:sz w:val="20"/>
          <w:szCs w:val="20"/>
        </w:rPr>
        <w:t>18</w:t>
      </w:r>
      <w:r w:rsidR="00DB1635" w:rsidRPr="00B004EE">
        <w:rPr>
          <w:rFonts w:ascii="Tahoma" w:hAnsi="Tahoma" w:cs="Tahoma"/>
          <w:bCs/>
          <w:iCs/>
          <w:sz w:val="20"/>
          <w:szCs w:val="20"/>
        </w:rPr>
        <w:t xml:space="preserve"> </w:t>
      </w:r>
      <w:r w:rsidR="008518B0" w:rsidRPr="00B004EE">
        <w:rPr>
          <w:rFonts w:ascii="Tahoma" w:hAnsi="Tahoma" w:cs="Tahoma"/>
          <w:bCs/>
          <w:iCs/>
          <w:sz w:val="20"/>
          <w:szCs w:val="20"/>
        </w:rPr>
        <w:t>:</w:t>
      </w:r>
      <w:r w:rsidR="00DB1635" w:rsidRPr="00B004EE">
        <w:rPr>
          <w:rFonts w:ascii="Tahoma" w:hAnsi="Tahoma" w:cs="Tahoma"/>
          <w:i/>
          <w:sz w:val="20"/>
          <w:szCs w:val="20"/>
        </w:rPr>
        <w:t xml:space="preserve"> </w:t>
      </w:r>
      <w:r w:rsidR="008518B0" w:rsidRPr="00B004EE">
        <w:rPr>
          <w:rFonts w:ascii="Tahoma" w:hAnsi="Tahoma" w:cs="Tahoma"/>
          <w:spacing w:val="4"/>
          <w:sz w:val="20"/>
          <w:szCs w:val="20"/>
        </w:rPr>
        <w:t>L'organisation</w:t>
      </w:r>
      <w:r w:rsidR="00DB1635" w:rsidRPr="00B004EE">
        <w:rPr>
          <w:rFonts w:ascii="Tahoma" w:hAnsi="Tahoma" w:cs="Tahoma"/>
          <w:spacing w:val="4"/>
          <w:sz w:val="20"/>
          <w:szCs w:val="20"/>
        </w:rPr>
        <w:t xml:space="preserve"> </w:t>
      </w:r>
      <w:r w:rsidR="008518B0" w:rsidRPr="00B004EE">
        <w:rPr>
          <w:rFonts w:ascii="Tahoma" w:hAnsi="Tahoma" w:cs="Tahoma"/>
          <w:sz w:val="20"/>
          <w:szCs w:val="20"/>
        </w:rPr>
        <w:t>de</w:t>
      </w:r>
      <w:r w:rsidR="00DB1635" w:rsidRPr="00B004EE">
        <w:rPr>
          <w:rFonts w:ascii="Tahoma" w:hAnsi="Tahoma" w:cs="Tahoma"/>
          <w:sz w:val="20"/>
          <w:szCs w:val="20"/>
        </w:rPr>
        <w:t xml:space="preserve"> </w:t>
      </w:r>
      <w:r w:rsidR="008518B0" w:rsidRPr="00B004EE">
        <w:rPr>
          <w:rFonts w:ascii="Tahoma" w:hAnsi="Tahoma" w:cs="Tahoma"/>
          <w:spacing w:val="4"/>
          <w:sz w:val="20"/>
          <w:szCs w:val="20"/>
        </w:rPr>
        <w:t>l'Office</w:t>
      </w:r>
      <w:r w:rsidR="00DB1635" w:rsidRPr="00B004EE">
        <w:rPr>
          <w:rFonts w:ascii="Tahoma" w:hAnsi="Tahoma" w:cs="Tahoma"/>
          <w:spacing w:val="4"/>
          <w:sz w:val="20"/>
          <w:szCs w:val="20"/>
        </w:rPr>
        <w:t xml:space="preserve"> </w:t>
      </w:r>
      <w:r w:rsidR="008518B0" w:rsidRPr="00B004EE">
        <w:rPr>
          <w:rFonts w:ascii="Tahoma" w:hAnsi="Tahoma" w:cs="Tahoma"/>
          <w:spacing w:val="2"/>
          <w:sz w:val="20"/>
          <w:szCs w:val="20"/>
        </w:rPr>
        <w:t>est</w:t>
      </w:r>
      <w:r w:rsidR="00DB1635" w:rsidRPr="00B004EE">
        <w:rPr>
          <w:rFonts w:ascii="Tahoma" w:hAnsi="Tahoma" w:cs="Tahoma"/>
          <w:spacing w:val="2"/>
          <w:sz w:val="20"/>
          <w:szCs w:val="20"/>
        </w:rPr>
        <w:t xml:space="preserve"> </w:t>
      </w:r>
      <w:r w:rsidR="008518B0" w:rsidRPr="00B004EE">
        <w:rPr>
          <w:rFonts w:ascii="Tahoma" w:hAnsi="Tahoma" w:cs="Tahoma"/>
          <w:sz w:val="20"/>
          <w:szCs w:val="20"/>
        </w:rPr>
        <w:t>définie</w:t>
      </w:r>
      <w:r w:rsidR="00DB1635" w:rsidRPr="00B004EE">
        <w:rPr>
          <w:rFonts w:ascii="Tahoma" w:hAnsi="Tahoma" w:cs="Tahoma"/>
          <w:sz w:val="20"/>
          <w:szCs w:val="20"/>
        </w:rPr>
        <w:t xml:space="preserve"> </w:t>
      </w:r>
      <w:r w:rsidR="008518B0" w:rsidRPr="00B004EE">
        <w:rPr>
          <w:rFonts w:ascii="Tahoma" w:hAnsi="Tahoma" w:cs="Tahoma"/>
          <w:sz w:val="20"/>
          <w:szCs w:val="20"/>
        </w:rPr>
        <w:t>par</w:t>
      </w:r>
      <w:r w:rsidR="00DB1635" w:rsidRPr="00B004EE">
        <w:rPr>
          <w:rFonts w:ascii="Tahoma" w:hAnsi="Tahoma" w:cs="Tahoma"/>
          <w:sz w:val="20"/>
          <w:szCs w:val="20"/>
        </w:rPr>
        <w:t xml:space="preserve"> </w:t>
      </w:r>
      <w:r w:rsidR="008518B0" w:rsidRPr="00B004EE">
        <w:rPr>
          <w:rFonts w:ascii="Tahoma" w:hAnsi="Tahoma" w:cs="Tahoma"/>
          <w:sz w:val="20"/>
          <w:szCs w:val="20"/>
        </w:rPr>
        <w:t>un</w:t>
      </w:r>
      <w:r w:rsidR="00DB1635" w:rsidRPr="00B004EE">
        <w:rPr>
          <w:rFonts w:ascii="Tahoma" w:hAnsi="Tahoma" w:cs="Tahoma"/>
          <w:sz w:val="20"/>
          <w:szCs w:val="20"/>
        </w:rPr>
        <w:t xml:space="preserve"> </w:t>
      </w:r>
      <w:r w:rsidR="008518B0" w:rsidRPr="00B004EE">
        <w:rPr>
          <w:rFonts w:ascii="Tahoma" w:hAnsi="Tahoma" w:cs="Tahoma"/>
          <w:spacing w:val="2"/>
          <w:sz w:val="20"/>
          <w:szCs w:val="20"/>
        </w:rPr>
        <w:t>organigramme</w:t>
      </w:r>
      <w:r w:rsidR="00DB1635" w:rsidRPr="00B004EE">
        <w:rPr>
          <w:rFonts w:ascii="Tahoma" w:hAnsi="Tahoma" w:cs="Tahoma"/>
          <w:spacing w:val="2"/>
          <w:sz w:val="20"/>
          <w:szCs w:val="20"/>
        </w:rPr>
        <w:t xml:space="preserve"> </w:t>
      </w:r>
      <w:r w:rsidR="008518B0" w:rsidRPr="00B004EE">
        <w:rPr>
          <w:rFonts w:ascii="Tahoma" w:hAnsi="Tahoma" w:cs="Tahoma"/>
          <w:spacing w:val="2"/>
          <w:sz w:val="20"/>
          <w:szCs w:val="20"/>
        </w:rPr>
        <w:t>dûment</w:t>
      </w:r>
      <w:r w:rsidR="00DB1635" w:rsidRPr="00B004EE">
        <w:rPr>
          <w:rFonts w:ascii="Tahoma" w:hAnsi="Tahoma" w:cs="Tahoma"/>
          <w:w w:val="99"/>
          <w:sz w:val="20"/>
          <w:szCs w:val="20"/>
        </w:rPr>
        <w:t xml:space="preserve"> </w:t>
      </w:r>
      <w:r w:rsidR="008518B0" w:rsidRPr="00B004EE">
        <w:rPr>
          <w:rFonts w:ascii="Tahoma" w:hAnsi="Tahoma" w:cs="Tahoma"/>
          <w:sz w:val="20"/>
          <w:szCs w:val="20"/>
        </w:rPr>
        <w:t>approuvé</w:t>
      </w:r>
      <w:r w:rsidR="00DB1635" w:rsidRPr="00B004EE">
        <w:rPr>
          <w:rFonts w:ascii="Tahoma" w:hAnsi="Tahoma" w:cs="Tahoma"/>
          <w:sz w:val="20"/>
          <w:szCs w:val="20"/>
        </w:rPr>
        <w:t xml:space="preserve"> </w:t>
      </w:r>
      <w:r w:rsidR="008518B0" w:rsidRPr="00B004EE">
        <w:rPr>
          <w:rFonts w:ascii="Tahoma" w:hAnsi="Tahoma" w:cs="Tahoma"/>
          <w:sz w:val="20"/>
          <w:szCs w:val="20"/>
        </w:rPr>
        <w:t>par</w:t>
      </w:r>
      <w:r w:rsidR="00DB1635" w:rsidRPr="00B004EE">
        <w:rPr>
          <w:rFonts w:ascii="Tahoma" w:hAnsi="Tahoma" w:cs="Tahoma"/>
          <w:sz w:val="20"/>
          <w:szCs w:val="20"/>
        </w:rPr>
        <w:t xml:space="preserve"> </w:t>
      </w:r>
      <w:r w:rsidR="008518B0" w:rsidRPr="00B004EE">
        <w:rPr>
          <w:rFonts w:ascii="Tahoma" w:hAnsi="Tahoma" w:cs="Tahoma"/>
          <w:sz w:val="20"/>
          <w:szCs w:val="20"/>
        </w:rPr>
        <w:t>le</w:t>
      </w:r>
      <w:r w:rsidR="00DB1635" w:rsidRPr="00B004EE">
        <w:rPr>
          <w:rFonts w:ascii="Tahoma" w:hAnsi="Tahoma" w:cs="Tahoma"/>
          <w:sz w:val="20"/>
          <w:szCs w:val="20"/>
        </w:rPr>
        <w:t xml:space="preserve"> </w:t>
      </w:r>
      <w:r w:rsidR="008518B0" w:rsidRPr="00B004EE">
        <w:rPr>
          <w:rFonts w:ascii="Tahoma" w:hAnsi="Tahoma" w:cs="Tahoma"/>
          <w:sz w:val="20"/>
          <w:szCs w:val="20"/>
        </w:rPr>
        <w:t>Conseil</w:t>
      </w:r>
      <w:r w:rsidR="00DB1635" w:rsidRPr="00B004EE">
        <w:rPr>
          <w:rFonts w:ascii="Tahoma" w:hAnsi="Tahoma" w:cs="Tahoma"/>
          <w:sz w:val="20"/>
          <w:szCs w:val="20"/>
        </w:rPr>
        <w:t xml:space="preserve"> </w:t>
      </w:r>
      <w:r w:rsidR="008518B0" w:rsidRPr="00B004EE">
        <w:rPr>
          <w:rFonts w:ascii="Tahoma" w:hAnsi="Tahoma" w:cs="Tahoma"/>
          <w:sz w:val="20"/>
          <w:szCs w:val="20"/>
        </w:rPr>
        <w:t>d'Administration.</w:t>
      </w:r>
      <w:r w:rsidR="00DB1635" w:rsidRPr="00B004EE">
        <w:rPr>
          <w:rFonts w:ascii="Tahoma" w:hAnsi="Tahoma" w:cs="Tahoma"/>
          <w:sz w:val="20"/>
          <w:szCs w:val="20"/>
        </w:rPr>
        <w:t xml:space="preserve"> </w:t>
      </w:r>
      <w:r w:rsidR="008518B0" w:rsidRPr="00B004EE">
        <w:rPr>
          <w:rFonts w:ascii="Tahoma" w:hAnsi="Tahoma" w:cs="Tahoma"/>
          <w:sz w:val="20"/>
          <w:szCs w:val="20"/>
        </w:rPr>
        <w:t>Les</w:t>
      </w:r>
      <w:r w:rsidR="00DB1635" w:rsidRPr="00B004EE">
        <w:rPr>
          <w:rFonts w:ascii="Tahoma" w:hAnsi="Tahoma" w:cs="Tahoma"/>
          <w:sz w:val="20"/>
          <w:szCs w:val="20"/>
        </w:rPr>
        <w:t xml:space="preserve"> </w:t>
      </w:r>
      <w:r w:rsidR="008518B0" w:rsidRPr="00B004EE">
        <w:rPr>
          <w:rFonts w:ascii="Tahoma" w:hAnsi="Tahoma" w:cs="Tahoma"/>
          <w:spacing w:val="3"/>
          <w:sz w:val="20"/>
          <w:szCs w:val="20"/>
        </w:rPr>
        <w:t>structures</w:t>
      </w:r>
      <w:r w:rsidR="00DB1635" w:rsidRPr="00B004EE">
        <w:rPr>
          <w:rFonts w:ascii="Tahoma" w:hAnsi="Tahoma" w:cs="Tahoma"/>
          <w:spacing w:val="3"/>
          <w:sz w:val="20"/>
          <w:szCs w:val="20"/>
        </w:rPr>
        <w:t xml:space="preserve"> </w:t>
      </w:r>
      <w:r w:rsidR="008518B0" w:rsidRPr="00B004EE">
        <w:rPr>
          <w:rFonts w:ascii="Tahoma" w:hAnsi="Tahoma" w:cs="Tahoma"/>
          <w:spacing w:val="3"/>
          <w:sz w:val="20"/>
          <w:szCs w:val="20"/>
        </w:rPr>
        <w:t>administratives</w:t>
      </w:r>
      <w:r w:rsidR="00DB1635" w:rsidRPr="00B004EE">
        <w:rPr>
          <w:rFonts w:ascii="Tahoma" w:hAnsi="Tahoma" w:cs="Tahoma"/>
          <w:spacing w:val="3"/>
          <w:sz w:val="20"/>
          <w:szCs w:val="20"/>
        </w:rPr>
        <w:t xml:space="preserve"> </w:t>
      </w:r>
      <w:r w:rsidR="008518B0" w:rsidRPr="00B004EE">
        <w:rPr>
          <w:rFonts w:ascii="Tahoma" w:hAnsi="Tahoma" w:cs="Tahoma"/>
          <w:spacing w:val="2"/>
          <w:sz w:val="20"/>
          <w:szCs w:val="20"/>
        </w:rPr>
        <w:t>érigées</w:t>
      </w:r>
      <w:r w:rsidR="00DB1635" w:rsidRPr="00B004EE">
        <w:rPr>
          <w:rFonts w:ascii="Tahoma" w:hAnsi="Tahoma" w:cs="Tahoma"/>
          <w:spacing w:val="19"/>
          <w:sz w:val="20"/>
          <w:szCs w:val="20"/>
        </w:rPr>
        <w:t xml:space="preserve"> </w:t>
      </w:r>
      <w:r w:rsidR="008518B0" w:rsidRPr="00B004EE">
        <w:rPr>
          <w:rFonts w:ascii="Tahoma" w:hAnsi="Tahoma" w:cs="Tahoma"/>
          <w:spacing w:val="2"/>
          <w:sz w:val="20"/>
          <w:szCs w:val="20"/>
        </w:rPr>
        <w:t>par</w:t>
      </w:r>
      <w:r w:rsidR="00DB1635" w:rsidRPr="00B004EE">
        <w:rPr>
          <w:rFonts w:ascii="Tahoma" w:hAnsi="Tahoma" w:cs="Tahoma"/>
          <w:w w:val="99"/>
          <w:sz w:val="20"/>
          <w:szCs w:val="20"/>
        </w:rPr>
        <w:t xml:space="preserve"> </w:t>
      </w:r>
      <w:r w:rsidR="008518B0" w:rsidRPr="00B004EE">
        <w:rPr>
          <w:rFonts w:ascii="Tahoma" w:hAnsi="Tahoma" w:cs="Tahoma"/>
          <w:spacing w:val="2"/>
          <w:sz w:val="20"/>
          <w:szCs w:val="20"/>
        </w:rPr>
        <w:t>l'organigramme</w:t>
      </w:r>
      <w:r w:rsidR="00DB1635" w:rsidRPr="00B004EE">
        <w:rPr>
          <w:rFonts w:ascii="Tahoma" w:hAnsi="Tahoma" w:cs="Tahoma"/>
          <w:spacing w:val="2"/>
          <w:sz w:val="20"/>
          <w:szCs w:val="20"/>
        </w:rPr>
        <w:t xml:space="preserve"> </w:t>
      </w:r>
      <w:r w:rsidR="008518B0" w:rsidRPr="00B004EE">
        <w:rPr>
          <w:rFonts w:ascii="Tahoma" w:hAnsi="Tahoma" w:cs="Tahoma"/>
          <w:sz w:val="20"/>
          <w:szCs w:val="20"/>
        </w:rPr>
        <w:t>doivent</w:t>
      </w:r>
      <w:r w:rsidR="00DB1635" w:rsidRPr="00B004EE">
        <w:rPr>
          <w:rFonts w:ascii="Tahoma" w:hAnsi="Tahoma" w:cs="Tahoma"/>
          <w:sz w:val="20"/>
          <w:szCs w:val="20"/>
        </w:rPr>
        <w:t xml:space="preserve"> </w:t>
      </w:r>
      <w:r w:rsidR="008518B0" w:rsidRPr="00B004EE">
        <w:rPr>
          <w:rFonts w:ascii="Tahoma" w:hAnsi="Tahoma" w:cs="Tahoma"/>
          <w:sz w:val="20"/>
          <w:szCs w:val="20"/>
        </w:rPr>
        <w:t>être</w:t>
      </w:r>
      <w:r w:rsidR="00DB1635" w:rsidRPr="00B004EE">
        <w:rPr>
          <w:rFonts w:ascii="Tahoma" w:hAnsi="Tahoma" w:cs="Tahoma"/>
          <w:sz w:val="20"/>
          <w:szCs w:val="20"/>
        </w:rPr>
        <w:t xml:space="preserve"> </w:t>
      </w:r>
      <w:r w:rsidR="008518B0" w:rsidRPr="00B004EE">
        <w:rPr>
          <w:rFonts w:ascii="Tahoma" w:hAnsi="Tahoma" w:cs="Tahoma"/>
          <w:sz w:val="20"/>
          <w:szCs w:val="20"/>
        </w:rPr>
        <w:t>adaptées</w:t>
      </w:r>
      <w:r w:rsidR="00DB1635" w:rsidRPr="00B004EE">
        <w:rPr>
          <w:rFonts w:ascii="Tahoma" w:hAnsi="Tahoma" w:cs="Tahoma"/>
          <w:sz w:val="20"/>
          <w:szCs w:val="20"/>
        </w:rPr>
        <w:t xml:space="preserve"> </w:t>
      </w:r>
      <w:r w:rsidR="008518B0" w:rsidRPr="00B004EE">
        <w:rPr>
          <w:rFonts w:ascii="Tahoma" w:hAnsi="Tahoma" w:cs="Tahoma"/>
          <w:sz w:val="20"/>
          <w:szCs w:val="20"/>
        </w:rPr>
        <w:t>à</w:t>
      </w:r>
      <w:r w:rsidR="00DB1635" w:rsidRPr="00B004EE">
        <w:rPr>
          <w:rFonts w:ascii="Tahoma" w:hAnsi="Tahoma" w:cs="Tahoma"/>
          <w:sz w:val="20"/>
          <w:szCs w:val="20"/>
        </w:rPr>
        <w:t xml:space="preserve"> </w:t>
      </w:r>
      <w:r w:rsidR="008518B0" w:rsidRPr="00B004EE">
        <w:rPr>
          <w:rFonts w:ascii="Tahoma" w:hAnsi="Tahoma" w:cs="Tahoma"/>
          <w:sz w:val="20"/>
          <w:szCs w:val="20"/>
        </w:rPr>
        <w:t>la</w:t>
      </w:r>
      <w:r w:rsidR="00DB1635" w:rsidRPr="00B004EE">
        <w:rPr>
          <w:rFonts w:ascii="Tahoma" w:hAnsi="Tahoma" w:cs="Tahoma"/>
          <w:sz w:val="20"/>
          <w:szCs w:val="20"/>
        </w:rPr>
        <w:t xml:space="preserve"> </w:t>
      </w:r>
      <w:r w:rsidR="008518B0" w:rsidRPr="00B004EE">
        <w:rPr>
          <w:rFonts w:ascii="Tahoma" w:hAnsi="Tahoma" w:cs="Tahoma"/>
          <w:sz w:val="20"/>
          <w:szCs w:val="20"/>
        </w:rPr>
        <w:t>spécificité</w:t>
      </w:r>
      <w:r w:rsidR="00DB1635" w:rsidRPr="00B004EE">
        <w:rPr>
          <w:rFonts w:ascii="Tahoma" w:hAnsi="Tahoma" w:cs="Tahoma"/>
          <w:sz w:val="20"/>
          <w:szCs w:val="20"/>
        </w:rPr>
        <w:t xml:space="preserve"> </w:t>
      </w:r>
      <w:r w:rsidR="008518B0" w:rsidRPr="00B004EE">
        <w:rPr>
          <w:rFonts w:ascii="Tahoma" w:hAnsi="Tahoma" w:cs="Tahoma"/>
          <w:sz w:val="20"/>
          <w:szCs w:val="20"/>
        </w:rPr>
        <w:t>des</w:t>
      </w:r>
      <w:r w:rsidR="00DB1635" w:rsidRPr="00B004EE">
        <w:rPr>
          <w:rFonts w:ascii="Tahoma" w:hAnsi="Tahoma" w:cs="Tahoma"/>
          <w:sz w:val="20"/>
          <w:szCs w:val="20"/>
        </w:rPr>
        <w:t xml:space="preserve"> </w:t>
      </w:r>
      <w:r w:rsidR="008518B0" w:rsidRPr="00B004EE">
        <w:rPr>
          <w:rFonts w:ascii="Tahoma" w:hAnsi="Tahoma" w:cs="Tahoma"/>
          <w:sz w:val="20"/>
          <w:szCs w:val="20"/>
        </w:rPr>
        <w:t>missions</w:t>
      </w:r>
      <w:r w:rsidR="00DB1635" w:rsidRPr="00B004EE">
        <w:rPr>
          <w:rFonts w:ascii="Tahoma" w:hAnsi="Tahoma" w:cs="Tahoma"/>
          <w:sz w:val="20"/>
          <w:szCs w:val="20"/>
        </w:rPr>
        <w:t xml:space="preserve"> </w:t>
      </w:r>
      <w:r w:rsidR="008518B0" w:rsidRPr="00B004EE">
        <w:rPr>
          <w:rFonts w:ascii="Tahoma" w:hAnsi="Tahoma" w:cs="Tahoma"/>
          <w:sz w:val="20"/>
          <w:szCs w:val="20"/>
        </w:rPr>
        <w:t>de</w:t>
      </w:r>
      <w:r w:rsidR="00DB1635" w:rsidRPr="00B004EE">
        <w:rPr>
          <w:rFonts w:ascii="Tahoma" w:hAnsi="Tahoma" w:cs="Tahoma"/>
          <w:sz w:val="20"/>
          <w:szCs w:val="20"/>
        </w:rPr>
        <w:t xml:space="preserve"> </w:t>
      </w:r>
      <w:r w:rsidR="008518B0" w:rsidRPr="00B004EE">
        <w:rPr>
          <w:rFonts w:ascii="Tahoma" w:hAnsi="Tahoma" w:cs="Tahoma"/>
          <w:sz w:val="20"/>
          <w:szCs w:val="20"/>
        </w:rPr>
        <w:t>l'Office.</w:t>
      </w:r>
    </w:p>
    <w:p w14:paraId="35523C49" w14:textId="6FAE4843" w:rsidR="008518B0" w:rsidRPr="00B004EE" w:rsidRDefault="00FF661D" w:rsidP="00B004EE">
      <w:pPr>
        <w:pStyle w:val="Corpsdetexte"/>
        <w:ind w:left="227" w:right="161"/>
        <w:rPr>
          <w:rFonts w:ascii="Tahoma" w:hAnsi="Tahoma" w:cs="Tahoma"/>
          <w:sz w:val="20"/>
          <w:szCs w:val="20"/>
        </w:rPr>
      </w:pPr>
      <w:r w:rsidRPr="00B004EE">
        <w:rPr>
          <w:rFonts w:ascii="Tahoma" w:hAnsi="Tahoma" w:cs="Tahoma"/>
          <w:bCs/>
          <w:iCs/>
          <w:sz w:val="20"/>
          <w:szCs w:val="20"/>
        </w:rPr>
        <w:t xml:space="preserve">Article </w:t>
      </w:r>
      <w:r w:rsidR="008518B0" w:rsidRPr="00B004EE">
        <w:rPr>
          <w:rFonts w:ascii="Tahoma" w:hAnsi="Tahoma" w:cs="Tahoma"/>
          <w:bCs/>
          <w:iCs/>
          <w:sz w:val="20"/>
          <w:szCs w:val="20"/>
        </w:rPr>
        <w:t>19-</w:t>
      </w:r>
      <w:r w:rsidR="00DB1635" w:rsidRPr="00B004EE">
        <w:rPr>
          <w:rFonts w:ascii="Tahoma" w:hAnsi="Tahoma" w:cs="Tahoma"/>
          <w:i/>
          <w:spacing w:val="2"/>
          <w:sz w:val="20"/>
          <w:szCs w:val="20"/>
        </w:rPr>
        <w:t xml:space="preserve"> </w:t>
      </w:r>
      <w:r w:rsidR="008518B0" w:rsidRPr="00B004EE">
        <w:rPr>
          <w:rFonts w:ascii="Tahoma" w:hAnsi="Tahoma" w:cs="Tahoma"/>
          <w:spacing w:val="3"/>
          <w:sz w:val="20"/>
          <w:szCs w:val="20"/>
        </w:rPr>
        <w:t>L'Office</w:t>
      </w:r>
      <w:r w:rsidR="00DB1635" w:rsidRPr="00B004EE">
        <w:rPr>
          <w:rFonts w:ascii="Tahoma" w:hAnsi="Tahoma" w:cs="Tahoma"/>
          <w:spacing w:val="3"/>
          <w:sz w:val="20"/>
          <w:szCs w:val="20"/>
        </w:rPr>
        <w:t xml:space="preserve"> </w:t>
      </w:r>
      <w:r w:rsidR="008518B0" w:rsidRPr="00B004EE">
        <w:rPr>
          <w:rFonts w:ascii="Tahoma" w:hAnsi="Tahoma" w:cs="Tahoma"/>
          <w:spacing w:val="3"/>
          <w:sz w:val="20"/>
          <w:szCs w:val="20"/>
        </w:rPr>
        <w:t>National</w:t>
      </w:r>
      <w:r w:rsidR="00DB1635" w:rsidRPr="00B004EE">
        <w:rPr>
          <w:rFonts w:ascii="Tahoma" w:hAnsi="Tahoma" w:cs="Tahoma"/>
          <w:spacing w:val="3"/>
          <w:sz w:val="20"/>
          <w:szCs w:val="20"/>
        </w:rPr>
        <w:t xml:space="preserve"> </w:t>
      </w:r>
      <w:r w:rsidR="008518B0" w:rsidRPr="00B004EE">
        <w:rPr>
          <w:rFonts w:ascii="Tahoma" w:hAnsi="Tahoma" w:cs="Tahoma"/>
          <w:spacing w:val="6"/>
          <w:sz w:val="20"/>
          <w:szCs w:val="20"/>
        </w:rPr>
        <w:t>d'Inspection</w:t>
      </w:r>
      <w:r w:rsidR="00DB1635" w:rsidRPr="00B004EE">
        <w:rPr>
          <w:rFonts w:ascii="Tahoma" w:hAnsi="Tahoma" w:cs="Tahoma"/>
          <w:spacing w:val="6"/>
          <w:sz w:val="20"/>
          <w:szCs w:val="20"/>
        </w:rPr>
        <w:t xml:space="preserve"> </w:t>
      </w:r>
      <w:r w:rsidR="008518B0" w:rsidRPr="00B004EE">
        <w:rPr>
          <w:rFonts w:ascii="Tahoma" w:hAnsi="Tahoma" w:cs="Tahoma"/>
          <w:spacing w:val="6"/>
          <w:sz w:val="20"/>
          <w:szCs w:val="20"/>
        </w:rPr>
        <w:t>Sanitaire</w:t>
      </w:r>
      <w:r w:rsidR="00DB1635" w:rsidRPr="00B004EE">
        <w:rPr>
          <w:rFonts w:ascii="Tahoma" w:hAnsi="Tahoma" w:cs="Tahoma"/>
          <w:spacing w:val="6"/>
          <w:sz w:val="20"/>
          <w:szCs w:val="20"/>
        </w:rPr>
        <w:t xml:space="preserve"> </w:t>
      </w:r>
      <w:r w:rsidR="008518B0" w:rsidRPr="00B004EE">
        <w:rPr>
          <w:rFonts w:ascii="Tahoma" w:hAnsi="Tahoma" w:cs="Tahoma"/>
          <w:spacing w:val="4"/>
          <w:sz w:val="20"/>
          <w:szCs w:val="20"/>
        </w:rPr>
        <w:t>des</w:t>
      </w:r>
      <w:r w:rsidR="00DB1635" w:rsidRPr="00B004EE">
        <w:rPr>
          <w:rFonts w:ascii="Tahoma" w:hAnsi="Tahoma" w:cs="Tahoma"/>
          <w:spacing w:val="4"/>
          <w:sz w:val="20"/>
          <w:szCs w:val="20"/>
        </w:rPr>
        <w:t xml:space="preserve"> </w:t>
      </w:r>
      <w:r w:rsidR="008518B0" w:rsidRPr="00B004EE">
        <w:rPr>
          <w:rFonts w:ascii="Tahoma" w:hAnsi="Tahoma" w:cs="Tahoma"/>
          <w:spacing w:val="6"/>
          <w:sz w:val="20"/>
          <w:szCs w:val="20"/>
        </w:rPr>
        <w:t>Produits</w:t>
      </w:r>
      <w:r w:rsidR="00DB1635" w:rsidRPr="00B004EE">
        <w:rPr>
          <w:rFonts w:ascii="Tahoma" w:hAnsi="Tahoma" w:cs="Tahoma"/>
          <w:spacing w:val="6"/>
          <w:sz w:val="20"/>
          <w:szCs w:val="20"/>
        </w:rPr>
        <w:t xml:space="preserve"> </w:t>
      </w:r>
      <w:r w:rsidR="008518B0" w:rsidRPr="00B004EE">
        <w:rPr>
          <w:rFonts w:ascii="Tahoma" w:hAnsi="Tahoma" w:cs="Tahoma"/>
          <w:spacing w:val="3"/>
          <w:sz w:val="20"/>
          <w:szCs w:val="20"/>
        </w:rPr>
        <w:t>de</w:t>
      </w:r>
      <w:r w:rsidR="00DB1635" w:rsidRPr="00B004EE">
        <w:rPr>
          <w:rFonts w:ascii="Tahoma" w:hAnsi="Tahoma" w:cs="Tahoma"/>
          <w:spacing w:val="3"/>
          <w:sz w:val="20"/>
          <w:szCs w:val="20"/>
        </w:rPr>
        <w:t xml:space="preserve"> </w:t>
      </w:r>
      <w:r w:rsidR="008518B0" w:rsidRPr="00B004EE">
        <w:rPr>
          <w:rFonts w:ascii="Tahoma" w:hAnsi="Tahoma" w:cs="Tahoma"/>
          <w:spacing w:val="3"/>
          <w:sz w:val="20"/>
          <w:szCs w:val="20"/>
        </w:rPr>
        <w:t>la</w:t>
      </w:r>
      <w:r w:rsidR="00DB1635" w:rsidRPr="00B004EE">
        <w:rPr>
          <w:rFonts w:ascii="Tahoma" w:hAnsi="Tahoma" w:cs="Tahoma"/>
          <w:spacing w:val="3"/>
          <w:sz w:val="20"/>
          <w:szCs w:val="20"/>
        </w:rPr>
        <w:t xml:space="preserve"> </w:t>
      </w:r>
      <w:r w:rsidR="008518B0" w:rsidRPr="00B004EE">
        <w:rPr>
          <w:rFonts w:ascii="Tahoma" w:hAnsi="Tahoma" w:cs="Tahoma"/>
          <w:spacing w:val="5"/>
          <w:sz w:val="20"/>
          <w:szCs w:val="20"/>
        </w:rPr>
        <w:t>Pêche</w:t>
      </w:r>
      <w:r w:rsidR="00DB1635" w:rsidRPr="00B004EE">
        <w:rPr>
          <w:rFonts w:ascii="Tahoma" w:hAnsi="Tahoma" w:cs="Tahoma"/>
          <w:spacing w:val="5"/>
          <w:sz w:val="20"/>
          <w:szCs w:val="20"/>
        </w:rPr>
        <w:t xml:space="preserve"> </w:t>
      </w:r>
      <w:r w:rsidR="008518B0" w:rsidRPr="00B004EE">
        <w:rPr>
          <w:rFonts w:ascii="Tahoma" w:hAnsi="Tahoma" w:cs="Tahoma"/>
          <w:sz w:val="20"/>
          <w:szCs w:val="20"/>
        </w:rPr>
        <w:t>et</w:t>
      </w:r>
      <w:r w:rsidR="00DB1635" w:rsidRPr="00B004EE">
        <w:rPr>
          <w:rFonts w:ascii="Tahoma" w:hAnsi="Tahoma" w:cs="Tahoma"/>
          <w:spacing w:val="40"/>
          <w:sz w:val="20"/>
          <w:szCs w:val="20"/>
        </w:rPr>
        <w:t xml:space="preserve"> </w:t>
      </w:r>
      <w:r w:rsidR="008518B0" w:rsidRPr="00B004EE">
        <w:rPr>
          <w:rFonts w:ascii="Tahoma" w:hAnsi="Tahoma" w:cs="Tahoma"/>
          <w:spacing w:val="3"/>
          <w:sz w:val="20"/>
          <w:szCs w:val="20"/>
        </w:rPr>
        <w:t>de</w:t>
      </w:r>
      <w:r w:rsidR="00DB1635" w:rsidRPr="00B004EE">
        <w:rPr>
          <w:rFonts w:ascii="Tahoma" w:hAnsi="Tahoma" w:cs="Tahoma"/>
          <w:w w:val="99"/>
          <w:sz w:val="20"/>
          <w:szCs w:val="20"/>
        </w:rPr>
        <w:t xml:space="preserve"> </w:t>
      </w:r>
      <w:r w:rsidR="008518B0" w:rsidRPr="00B004EE">
        <w:rPr>
          <w:rFonts w:ascii="Tahoma" w:hAnsi="Tahoma" w:cs="Tahoma"/>
          <w:spacing w:val="5"/>
          <w:sz w:val="20"/>
          <w:szCs w:val="20"/>
        </w:rPr>
        <w:t>l'Aquaculture</w:t>
      </w:r>
      <w:r w:rsidR="00DB1635" w:rsidRPr="00B004EE">
        <w:rPr>
          <w:rFonts w:ascii="Tahoma" w:hAnsi="Tahoma" w:cs="Tahoma"/>
          <w:spacing w:val="5"/>
          <w:sz w:val="20"/>
          <w:szCs w:val="20"/>
        </w:rPr>
        <w:t xml:space="preserve"> </w:t>
      </w:r>
      <w:r w:rsidR="008518B0" w:rsidRPr="00B004EE">
        <w:rPr>
          <w:rFonts w:ascii="Tahoma" w:hAnsi="Tahoma" w:cs="Tahoma"/>
          <w:spacing w:val="4"/>
          <w:sz w:val="20"/>
          <w:szCs w:val="20"/>
        </w:rPr>
        <w:t>dispose</w:t>
      </w:r>
      <w:r w:rsidR="00DB1635" w:rsidRPr="00B004EE">
        <w:rPr>
          <w:rFonts w:ascii="Tahoma" w:hAnsi="Tahoma" w:cs="Tahoma"/>
          <w:spacing w:val="4"/>
          <w:sz w:val="20"/>
          <w:szCs w:val="20"/>
        </w:rPr>
        <w:t xml:space="preserve"> </w:t>
      </w:r>
      <w:r w:rsidR="008518B0" w:rsidRPr="00B004EE">
        <w:rPr>
          <w:rFonts w:ascii="Tahoma" w:hAnsi="Tahoma" w:cs="Tahoma"/>
          <w:spacing w:val="4"/>
          <w:sz w:val="20"/>
          <w:szCs w:val="20"/>
        </w:rPr>
        <w:t>des</w:t>
      </w:r>
      <w:r w:rsidR="00DB1635" w:rsidRPr="00B004EE">
        <w:rPr>
          <w:rFonts w:ascii="Tahoma" w:hAnsi="Tahoma" w:cs="Tahoma"/>
          <w:spacing w:val="4"/>
          <w:sz w:val="20"/>
          <w:szCs w:val="20"/>
        </w:rPr>
        <w:t xml:space="preserve"> </w:t>
      </w:r>
      <w:r w:rsidR="008518B0" w:rsidRPr="00B004EE">
        <w:rPr>
          <w:rFonts w:ascii="Tahoma" w:hAnsi="Tahoma" w:cs="Tahoma"/>
          <w:sz w:val="20"/>
          <w:szCs w:val="20"/>
        </w:rPr>
        <w:t>ressources</w:t>
      </w:r>
      <w:r w:rsidR="00DB1635" w:rsidRPr="00B004EE">
        <w:rPr>
          <w:rFonts w:ascii="Tahoma" w:hAnsi="Tahoma" w:cs="Tahoma"/>
          <w:sz w:val="20"/>
          <w:szCs w:val="20"/>
        </w:rPr>
        <w:t xml:space="preserve"> </w:t>
      </w:r>
      <w:r w:rsidR="008518B0" w:rsidRPr="00B004EE">
        <w:rPr>
          <w:rFonts w:ascii="Tahoma" w:hAnsi="Tahoma" w:cs="Tahoma"/>
          <w:sz w:val="20"/>
          <w:szCs w:val="20"/>
        </w:rPr>
        <w:t>budgétaires</w:t>
      </w:r>
      <w:r w:rsidR="00DB1635" w:rsidRPr="00B004EE">
        <w:rPr>
          <w:rFonts w:ascii="Tahoma" w:hAnsi="Tahoma" w:cs="Tahoma"/>
          <w:sz w:val="20"/>
          <w:szCs w:val="20"/>
        </w:rPr>
        <w:t xml:space="preserve"> </w:t>
      </w:r>
      <w:r w:rsidR="008518B0" w:rsidRPr="00B004EE">
        <w:rPr>
          <w:rFonts w:ascii="Tahoma" w:hAnsi="Tahoma" w:cs="Tahoma"/>
          <w:sz w:val="20"/>
          <w:szCs w:val="20"/>
        </w:rPr>
        <w:t>suivantes</w:t>
      </w:r>
      <w:r w:rsidR="00DB1635" w:rsidRPr="00B004EE">
        <w:rPr>
          <w:rFonts w:ascii="Tahoma" w:hAnsi="Tahoma" w:cs="Tahoma"/>
          <w:spacing w:val="19"/>
          <w:sz w:val="20"/>
          <w:szCs w:val="20"/>
        </w:rPr>
        <w:t xml:space="preserve"> </w:t>
      </w:r>
      <w:r w:rsidR="008518B0" w:rsidRPr="00B004EE">
        <w:rPr>
          <w:rFonts w:ascii="Tahoma" w:hAnsi="Tahoma" w:cs="Tahoma"/>
          <w:sz w:val="20"/>
          <w:szCs w:val="20"/>
        </w:rPr>
        <w:t>:</w:t>
      </w:r>
    </w:p>
    <w:p w14:paraId="2EDF93F6" w14:textId="2EECE775" w:rsidR="008518B0" w:rsidRPr="00B004EE" w:rsidRDefault="008518B0" w:rsidP="00420DDA">
      <w:pPr>
        <w:pStyle w:val="Paragraphedeliste"/>
        <w:numPr>
          <w:ilvl w:val="0"/>
          <w:numId w:val="80"/>
        </w:numPr>
        <w:rPr>
          <w:rFonts w:ascii="Tahoma" w:eastAsia="American Typewriter" w:hAnsi="Tahoma" w:cs="Tahoma"/>
          <w:b/>
          <w:bCs/>
          <w:sz w:val="20"/>
          <w:szCs w:val="20"/>
        </w:rPr>
      </w:pPr>
      <w:r w:rsidRPr="00B004EE">
        <w:rPr>
          <w:rFonts w:ascii="Tahoma" w:eastAsia="American Typewriter" w:hAnsi="Tahoma" w:cs="Tahoma"/>
          <w:b/>
          <w:bCs/>
          <w:sz w:val="20"/>
          <w:szCs w:val="20"/>
        </w:rPr>
        <w:t>Ressources</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ordinaires</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w:t>
      </w:r>
    </w:p>
    <w:p w14:paraId="523C1D3B" w14:textId="13D892D3" w:rsidR="008518B0" w:rsidRPr="00B004EE" w:rsidRDefault="008518B0" w:rsidP="00420DDA">
      <w:pPr>
        <w:pStyle w:val="Paragraphedeliste"/>
        <w:numPr>
          <w:ilvl w:val="0"/>
          <w:numId w:val="79"/>
        </w:numPr>
        <w:rPr>
          <w:rFonts w:ascii="Tahoma" w:hAnsi="Tahoma" w:cs="Tahoma"/>
          <w:sz w:val="20"/>
          <w:szCs w:val="20"/>
        </w:rPr>
      </w:pPr>
      <w:proofErr w:type="gramStart"/>
      <w:r w:rsidRPr="00B004EE">
        <w:rPr>
          <w:rFonts w:ascii="Tahoma" w:hAnsi="Tahoma" w:cs="Tahoma"/>
          <w:sz w:val="20"/>
          <w:szCs w:val="20"/>
        </w:rPr>
        <w:t>les</w:t>
      </w:r>
      <w:proofErr w:type="gramEnd"/>
      <w:r w:rsidR="00DB1635" w:rsidRPr="00B004EE">
        <w:rPr>
          <w:rFonts w:ascii="Tahoma" w:hAnsi="Tahoma" w:cs="Tahoma"/>
          <w:sz w:val="20"/>
          <w:szCs w:val="20"/>
        </w:rPr>
        <w:t xml:space="preserve"> </w:t>
      </w:r>
      <w:r w:rsidRPr="00B004EE">
        <w:rPr>
          <w:rFonts w:ascii="Tahoma" w:hAnsi="Tahoma" w:cs="Tahoma"/>
          <w:sz w:val="20"/>
          <w:szCs w:val="20"/>
        </w:rPr>
        <w:t>subventions</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budget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l'Etat;</w:t>
      </w:r>
    </w:p>
    <w:p w14:paraId="0F83E645" w14:textId="77777777" w:rsidR="00B50E64" w:rsidRPr="00B004EE" w:rsidRDefault="00B50E64" w:rsidP="00B004EE">
      <w:pPr>
        <w:rPr>
          <w:rFonts w:ascii="Tahoma" w:hAnsi="Tahoma" w:cs="Tahoma"/>
          <w:sz w:val="20"/>
          <w:szCs w:val="20"/>
        </w:rPr>
      </w:pPr>
    </w:p>
    <w:p w14:paraId="673A4A9B" w14:textId="458A6AE0" w:rsidR="008518B0" w:rsidRPr="00B004EE" w:rsidRDefault="008518B0" w:rsidP="00420DDA">
      <w:pPr>
        <w:pStyle w:val="Paragraphedeliste"/>
        <w:numPr>
          <w:ilvl w:val="0"/>
          <w:numId w:val="80"/>
        </w:numPr>
        <w:rPr>
          <w:rFonts w:ascii="Tahoma" w:eastAsia="American Typewriter" w:hAnsi="Tahoma" w:cs="Tahoma"/>
          <w:b/>
          <w:bCs/>
          <w:sz w:val="20"/>
          <w:szCs w:val="20"/>
        </w:rPr>
      </w:pPr>
      <w:r w:rsidRPr="00B004EE">
        <w:rPr>
          <w:rFonts w:ascii="Tahoma" w:eastAsia="American Typewriter" w:hAnsi="Tahoma" w:cs="Tahoma"/>
          <w:b/>
          <w:bCs/>
          <w:sz w:val="20"/>
          <w:szCs w:val="20"/>
        </w:rPr>
        <w:t>Ressources</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extraordinaires</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peuvent</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être</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constituées</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par</w:t>
      </w:r>
      <w:r w:rsidR="00DB1635" w:rsidRPr="00B004EE">
        <w:rPr>
          <w:rFonts w:ascii="Tahoma" w:eastAsia="American Typewriter" w:hAnsi="Tahoma" w:cs="Tahoma"/>
          <w:b/>
          <w:bCs/>
          <w:sz w:val="20"/>
          <w:szCs w:val="20"/>
        </w:rPr>
        <w:t xml:space="preserve"> </w:t>
      </w:r>
      <w:r w:rsidRPr="00B004EE">
        <w:rPr>
          <w:rFonts w:ascii="Tahoma" w:eastAsia="American Typewriter" w:hAnsi="Tahoma" w:cs="Tahoma"/>
          <w:b/>
          <w:bCs/>
          <w:sz w:val="20"/>
          <w:szCs w:val="20"/>
        </w:rPr>
        <w:t>:</w:t>
      </w:r>
    </w:p>
    <w:p w14:paraId="424D04E9" w14:textId="53D462A1" w:rsidR="008518B0" w:rsidRPr="00B004EE" w:rsidRDefault="008518B0" w:rsidP="00420DDA">
      <w:pPr>
        <w:pStyle w:val="Paragraphedeliste"/>
        <w:numPr>
          <w:ilvl w:val="0"/>
          <w:numId w:val="79"/>
        </w:numPr>
        <w:rPr>
          <w:rFonts w:ascii="Tahoma" w:hAnsi="Tahoma" w:cs="Tahoma"/>
          <w:sz w:val="20"/>
          <w:szCs w:val="20"/>
        </w:rPr>
      </w:pPr>
      <w:proofErr w:type="gramStart"/>
      <w:r w:rsidRPr="00B004EE">
        <w:rPr>
          <w:rFonts w:ascii="Tahoma" w:hAnsi="Tahoma" w:cs="Tahoma"/>
          <w:sz w:val="20"/>
          <w:szCs w:val="20"/>
        </w:rPr>
        <w:t>les</w:t>
      </w:r>
      <w:proofErr w:type="gramEnd"/>
      <w:r w:rsidR="00DB1635" w:rsidRPr="00B004EE">
        <w:rPr>
          <w:rFonts w:ascii="Tahoma" w:hAnsi="Tahoma" w:cs="Tahoma"/>
          <w:sz w:val="20"/>
          <w:szCs w:val="20"/>
        </w:rPr>
        <w:t xml:space="preserve"> </w:t>
      </w:r>
      <w:r w:rsidRPr="00B004EE">
        <w:rPr>
          <w:rFonts w:ascii="Tahoma" w:hAnsi="Tahoma" w:cs="Tahoma"/>
          <w:sz w:val="20"/>
          <w:szCs w:val="20"/>
        </w:rPr>
        <w:t>fonds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concours</w:t>
      </w:r>
      <w:r w:rsidR="00DB1635" w:rsidRPr="00B004EE">
        <w:rPr>
          <w:rFonts w:ascii="Tahoma" w:hAnsi="Tahoma" w:cs="Tahoma"/>
          <w:sz w:val="20"/>
          <w:szCs w:val="20"/>
        </w:rPr>
        <w:t xml:space="preserve"> </w:t>
      </w:r>
      <w:r w:rsidRPr="00B004EE">
        <w:rPr>
          <w:rFonts w:ascii="Tahoma" w:hAnsi="Tahoma" w:cs="Tahoma"/>
          <w:sz w:val="20"/>
          <w:szCs w:val="20"/>
        </w:rPr>
        <w:t>;</w:t>
      </w:r>
    </w:p>
    <w:p w14:paraId="1FC22800" w14:textId="73FD744D" w:rsidR="008518B0" w:rsidRPr="00B004EE" w:rsidRDefault="008518B0" w:rsidP="00420DDA">
      <w:pPr>
        <w:pStyle w:val="Paragraphedeliste"/>
        <w:numPr>
          <w:ilvl w:val="0"/>
          <w:numId w:val="79"/>
        </w:numPr>
        <w:rPr>
          <w:rFonts w:ascii="Tahoma" w:hAnsi="Tahoma" w:cs="Tahoma"/>
          <w:sz w:val="20"/>
          <w:szCs w:val="20"/>
        </w:rPr>
      </w:pPr>
      <w:proofErr w:type="gramStart"/>
      <w:r w:rsidRPr="00B004EE">
        <w:rPr>
          <w:rFonts w:ascii="Tahoma" w:hAnsi="Tahoma" w:cs="Tahoma"/>
          <w:sz w:val="20"/>
          <w:szCs w:val="20"/>
        </w:rPr>
        <w:t>les</w:t>
      </w:r>
      <w:proofErr w:type="gramEnd"/>
      <w:r w:rsidR="00DB1635" w:rsidRPr="00B004EE">
        <w:rPr>
          <w:rFonts w:ascii="Tahoma" w:hAnsi="Tahoma" w:cs="Tahoma"/>
          <w:sz w:val="20"/>
          <w:szCs w:val="20"/>
        </w:rPr>
        <w:t xml:space="preserve"> </w:t>
      </w:r>
      <w:r w:rsidRPr="00B004EE">
        <w:rPr>
          <w:rFonts w:ascii="Tahoma" w:hAnsi="Tahoma" w:cs="Tahoma"/>
          <w:sz w:val="20"/>
          <w:szCs w:val="20"/>
        </w:rPr>
        <w:t>dons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legs</w:t>
      </w:r>
      <w:r w:rsidR="00DB1635" w:rsidRPr="00B004EE">
        <w:rPr>
          <w:rFonts w:ascii="Tahoma" w:hAnsi="Tahoma" w:cs="Tahoma"/>
          <w:sz w:val="20"/>
          <w:szCs w:val="20"/>
        </w:rPr>
        <w:t xml:space="preserve"> </w:t>
      </w:r>
      <w:r w:rsidRPr="00B004EE">
        <w:rPr>
          <w:rFonts w:ascii="Tahoma" w:hAnsi="Tahoma" w:cs="Tahoma"/>
          <w:sz w:val="20"/>
          <w:szCs w:val="20"/>
        </w:rPr>
        <w:t>;</w:t>
      </w:r>
    </w:p>
    <w:p w14:paraId="76855B2B" w14:textId="44694EAC" w:rsidR="008518B0" w:rsidRPr="00B004EE" w:rsidRDefault="008518B0" w:rsidP="00420DDA">
      <w:pPr>
        <w:pStyle w:val="Paragraphedeliste"/>
        <w:numPr>
          <w:ilvl w:val="0"/>
          <w:numId w:val="79"/>
        </w:numPr>
        <w:rPr>
          <w:rFonts w:ascii="Tahoma" w:hAnsi="Tahoma" w:cs="Tahoma"/>
          <w:sz w:val="20"/>
          <w:szCs w:val="20"/>
        </w:rPr>
      </w:pPr>
      <w:proofErr w:type="gramStart"/>
      <w:r w:rsidRPr="00B004EE">
        <w:rPr>
          <w:rFonts w:ascii="Tahoma" w:hAnsi="Tahoma" w:cs="Tahoma"/>
          <w:sz w:val="20"/>
          <w:szCs w:val="20"/>
        </w:rPr>
        <w:t>toutes</w:t>
      </w:r>
      <w:proofErr w:type="gramEnd"/>
      <w:r w:rsidR="00DB1635" w:rsidRPr="00B004EE">
        <w:rPr>
          <w:rFonts w:ascii="Tahoma" w:hAnsi="Tahoma" w:cs="Tahoma"/>
          <w:sz w:val="20"/>
          <w:szCs w:val="20"/>
        </w:rPr>
        <w:t xml:space="preserve"> </w:t>
      </w:r>
      <w:r w:rsidRPr="00B004EE">
        <w:rPr>
          <w:rFonts w:ascii="Tahoma" w:hAnsi="Tahoma" w:cs="Tahoma"/>
          <w:sz w:val="20"/>
          <w:szCs w:val="20"/>
        </w:rPr>
        <w:t>subventions</w:t>
      </w:r>
      <w:r w:rsidR="00DB1635" w:rsidRPr="00B004EE">
        <w:rPr>
          <w:rFonts w:ascii="Tahoma" w:hAnsi="Tahoma" w:cs="Tahoma"/>
          <w:sz w:val="20"/>
          <w:szCs w:val="20"/>
        </w:rPr>
        <w:t xml:space="preserve"> </w:t>
      </w:r>
      <w:r w:rsidRPr="00B004EE">
        <w:rPr>
          <w:rFonts w:ascii="Tahoma" w:hAnsi="Tahoma" w:cs="Tahoma"/>
          <w:sz w:val="20"/>
          <w:szCs w:val="20"/>
        </w:rPr>
        <w:t>provenant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fonds</w:t>
      </w:r>
      <w:r w:rsidR="00DB1635" w:rsidRPr="00B004EE">
        <w:rPr>
          <w:rFonts w:ascii="Tahoma" w:hAnsi="Tahoma" w:cs="Tahoma"/>
          <w:sz w:val="20"/>
          <w:szCs w:val="20"/>
        </w:rPr>
        <w:t xml:space="preserve"> </w:t>
      </w:r>
      <w:r w:rsidRPr="00B004EE">
        <w:rPr>
          <w:rFonts w:ascii="Tahoma" w:hAnsi="Tahoma" w:cs="Tahoma"/>
          <w:sz w:val="20"/>
          <w:szCs w:val="20"/>
        </w:rPr>
        <w:t>nationaux</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internationaux.</w:t>
      </w:r>
    </w:p>
    <w:p w14:paraId="75077249" w14:textId="77777777" w:rsidR="008518B0" w:rsidRPr="00B004EE" w:rsidRDefault="008518B0" w:rsidP="00B004EE">
      <w:pPr>
        <w:rPr>
          <w:rFonts w:ascii="Tahoma" w:eastAsia="Times" w:hAnsi="Tahoma" w:cs="Tahoma"/>
          <w:sz w:val="20"/>
          <w:szCs w:val="20"/>
        </w:rPr>
      </w:pPr>
    </w:p>
    <w:p w14:paraId="39B8497D" w14:textId="2E837FD1" w:rsidR="008518B0" w:rsidRPr="00B004EE" w:rsidRDefault="00FF661D" w:rsidP="00B004EE">
      <w:pPr>
        <w:pStyle w:val="Corpsdetexte"/>
        <w:ind w:left="213" w:right="163"/>
        <w:rPr>
          <w:rFonts w:ascii="Tahoma" w:hAnsi="Tahoma" w:cs="Tahoma"/>
          <w:sz w:val="20"/>
          <w:szCs w:val="20"/>
        </w:rPr>
      </w:pPr>
      <w:r w:rsidRPr="00B004EE">
        <w:rPr>
          <w:rFonts w:ascii="Tahoma" w:hAnsi="Tahoma" w:cs="Tahoma"/>
          <w:bCs/>
          <w:iCs/>
          <w:sz w:val="20"/>
          <w:szCs w:val="20"/>
        </w:rPr>
        <w:t xml:space="preserve">Article </w:t>
      </w:r>
      <w:r w:rsidR="008518B0" w:rsidRPr="00B004EE">
        <w:rPr>
          <w:rFonts w:ascii="Tahoma" w:hAnsi="Tahoma" w:cs="Tahoma"/>
          <w:bCs/>
          <w:iCs/>
          <w:sz w:val="20"/>
          <w:szCs w:val="20"/>
        </w:rPr>
        <w:t>20</w:t>
      </w:r>
      <w:r w:rsidR="00DB1635" w:rsidRPr="00B004EE">
        <w:rPr>
          <w:rFonts w:ascii="Tahoma" w:hAnsi="Tahoma" w:cs="Tahoma"/>
          <w:b/>
          <w:i/>
          <w:sz w:val="20"/>
          <w:szCs w:val="20"/>
        </w:rPr>
        <w:t xml:space="preserve"> </w:t>
      </w:r>
      <w:r w:rsidR="008518B0" w:rsidRPr="00B004EE">
        <w:rPr>
          <w:rFonts w:ascii="Tahoma" w:hAnsi="Tahoma" w:cs="Tahoma"/>
          <w:b/>
          <w:sz w:val="20"/>
          <w:szCs w:val="20"/>
        </w:rPr>
        <w:t>:</w:t>
      </w:r>
      <w:r w:rsidR="00DB1635" w:rsidRPr="00B004EE">
        <w:rPr>
          <w:rFonts w:ascii="Tahoma" w:hAnsi="Tahoma" w:cs="Tahoma"/>
          <w:b/>
          <w:sz w:val="20"/>
          <w:szCs w:val="20"/>
        </w:rPr>
        <w:t xml:space="preserve"> </w:t>
      </w:r>
      <w:r w:rsidR="008518B0" w:rsidRPr="00B004EE">
        <w:rPr>
          <w:rFonts w:ascii="Tahoma" w:hAnsi="Tahoma" w:cs="Tahoma"/>
          <w:sz w:val="20"/>
          <w:szCs w:val="20"/>
        </w:rPr>
        <w:t>Les</w:t>
      </w:r>
      <w:r w:rsidR="00DB1635" w:rsidRPr="00B004EE">
        <w:rPr>
          <w:rFonts w:ascii="Tahoma" w:hAnsi="Tahoma" w:cs="Tahoma"/>
          <w:sz w:val="20"/>
          <w:szCs w:val="20"/>
        </w:rPr>
        <w:t xml:space="preserve"> </w:t>
      </w:r>
      <w:r w:rsidR="008518B0" w:rsidRPr="00B004EE">
        <w:rPr>
          <w:rFonts w:ascii="Tahoma" w:hAnsi="Tahoma" w:cs="Tahoma"/>
          <w:sz w:val="20"/>
          <w:szCs w:val="20"/>
        </w:rPr>
        <w:t>dépenses</w:t>
      </w:r>
      <w:r w:rsidR="00DB1635" w:rsidRPr="00B004EE">
        <w:rPr>
          <w:rFonts w:ascii="Tahoma" w:hAnsi="Tahoma" w:cs="Tahoma"/>
          <w:sz w:val="20"/>
          <w:szCs w:val="20"/>
        </w:rPr>
        <w:t xml:space="preserve"> </w:t>
      </w:r>
      <w:r w:rsidR="008518B0" w:rsidRPr="00B004EE">
        <w:rPr>
          <w:rFonts w:ascii="Tahoma" w:hAnsi="Tahoma" w:cs="Tahoma"/>
          <w:sz w:val="20"/>
          <w:szCs w:val="20"/>
        </w:rPr>
        <w:t>de</w:t>
      </w:r>
      <w:r w:rsidR="00DB1635" w:rsidRPr="00B004EE">
        <w:rPr>
          <w:rFonts w:ascii="Tahoma" w:hAnsi="Tahoma" w:cs="Tahoma"/>
          <w:sz w:val="20"/>
          <w:szCs w:val="20"/>
        </w:rPr>
        <w:t xml:space="preserve"> </w:t>
      </w:r>
      <w:r w:rsidR="008518B0" w:rsidRPr="00B004EE">
        <w:rPr>
          <w:rFonts w:ascii="Tahoma" w:hAnsi="Tahoma" w:cs="Tahoma"/>
          <w:spacing w:val="2"/>
          <w:sz w:val="20"/>
          <w:szCs w:val="20"/>
        </w:rPr>
        <w:t>l'Office</w:t>
      </w:r>
      <w:r w:rsidR="00DB1635" w:rsidRPr="00B004EE">
        <w:rPr>
          <w:rFonts w:ascii="Tahoma" w:hAnsi="Tahoma" w:cs="Tahoma"/>
          <w:spacing w:val="2"/>
          <w:sz w:val="20"/>
          <w:szCs w:val="20"/>
        </w:rPr>
        <w:t xml:space="preserve"> </w:t>
      </w:r>
      <w:r w:rsidR="008518B0" w:rsidRPr="00B004EE">
        <w:rPr>
          <w:rFonts w:ascii="Tahoma" w:hAnsi="Tahoma" w:cs="Tahoma"/>
          <w:sz w:val="20"/>
          <w:szCs w:val="20"/>
        </w:rPr>
        <w:t>National</w:t>
      </w:r>
      <w:r w:rsidR="00DB1635" w:rsidRPr="00B004EE">
        <w:rPr>
          <w:rFonts w:ascii="Tahoma" w:hAnsi="Tahoma" w:cs="Tahoma"/>
          <w:sz w:val="20"/>
          <w:szCs w:val="20"/>
        </w:rPr>
        <w:t xml:space="preserve"> </w:t>
      </w:r>
      <w:r w:rsidR="008518B0" w:rsidRPr="00B004EE">
        <w:rPr>
          <w:rFonts w:ascii="Tahoma" w:hAnsi="Tahoma" w:cs="Tahoma"/>
          <w:sz w:val="20"/>
          <w:szCs w:val="20"/>
        </w:rPr>
        <w:t>d'Inspection</w:t>
      </w:r>
      <w:r w:rsidR="00DB1635" w:rsidRPr="00B004EE">
        <w:rPr>
          <w:rFonts w:ascii="Tahoma" w:hAnsi="Tahoma" w:cs="Tahoma"/>
          <w:sz w:val="20"/>
          <w:szCs w:val="20"/>
        </w:rPr>
        <w:t xml:space="preserve"> </w:t>
      </w:r>
      <w:r w:rsidR="008518B0" w:rsidRPr="00B004EE">
        <w:rPr>
          <w:rFonts w:ascii="Tahoma" w:hAnsi="Tahoma" w:cs="Tahoma"/>
          <w:sz w:val="20"/>
          <w:szCs w:val="20"/>
        </w:rPr>
        <w:t>Sanitaire</w:t>
      </w:r>
      <w:r w:rsidR="00DB1635" w:rsidRPr="00B004EE">
        <w:rPr>
          <w:rFonts w:ascii="Tahoma" w:hAnsi="Tahoma" w:cs="Tahoma"/>
          <w:sz w:val="20"/>
          <w:szCs w:val="20"/>
        </w:rPr>
        <w:t xml:space="preserve"> </w:t>
      </w:r>
      <w:r w:rsidR="008518B0" w:rsidRPr="00B004EE">
        <w:rPr>
          <w:rFonts w:ascii="Tahoma" w:hAnsi="Tahoma" w:cs="Tahoma"/>
          <w:sz w:val="20"/>
          <w:szCs w:val="20"/>
        </w:rPr>
        <w:t>des</w:t>
      </w:r>
      <w:r w:rsidR="00DB1635" w:rsidRPr="00B004EE">
        <w:rPr>
          <w:rFonts w:ascii="Tahoma" w:hAnsi="Tahoma" w:cs="Tahoma"/>
          <w:spacing w:val="54"/>
          <w:sz w:val="20"/>
          <w:szCs w:val="20"/>
        </w:rPr>
        <w:t xml:space="preserve"> </w:t>
      </w:r>
      <w:r w:rsidR="008518B0" w:rsidRPr="00B004EE">
        <w:rPr>
          <w:rFonts w:ascii="Tahoma" w:hAnsi="Tahoma" w:cs="Tahoma"/>
          <w:spacing w:val="5"/>
          <w:sz w:val="20"/>
          <w:szCs w:val="20"/>
        </w:rPr>
        <w:t>Produits</w:t>
      </w:r>
      <w:r w:rsidR="00DB1635" w:rsidRPr="00B004EE">
        <w:rPr>
          <w:rFonts w:ascii="Tahoma" w:hAnsi="Tahoma" w:cs="Tahoma"/>
          <w:w w:val="99"/>
          <w:sz w:val="20"/>
          <w:szCs w:val="20"/>
        </w:rPr>
        <w:t xml:space="preserve"> </w:t>
      </w:r>
      <w:r w:rsidR="008518B0" w:rsidRPr="00B004EE">
        <w:rPr>
          <w:rFonts w:ascii="Tahoma" w:hAnsi="Tahoma" w:cs="Tahoma"/>
          <w:spacing w:val="3"/>
          <w:sz w:val="20"/>
          <w:szCs w:val="20"/>
        </w:rPr>
        <w:t>de</w:t>
      </w:r>
      <w:r w:rsidR="00DB1635" w:rsidRPr="00B004EE">
        <w:rPr>
          <w:rFonts w:ascii="Tahoma" w:hAnsi="Tahoma" w:cs="Tahoma"/>
          <w:spacing w:val="3"/>
          <w:sz w:val="20"/>
          <w:szCs w:val="20"/>
        </w:rPr>
        <w:t xml:space="preserve"> </w:t>
      </w:r>
      <w:r w:rsidR="008518B0" w:rsidRPr="00B004EE">
        <w:rPr>
          <w:rFonts w:ascii="Tahoma" w:hAnsi="Tahoma" w:cs="Tahoma"/>
          <w:spacing w:val="3"/>
          <w:sz w:val="20"/>
          <w:szCs w:val="20"/>
        </w:rPr>
        <w:t>la</w:t>
      </w:r>
      <w:r w:rsidR="00DB1635" w:rsidRPr="00B004EE">
        <w:rPr>
          <w:rFonts w:ascii="Tahoma" w:hAnsi="Tahoma" w:cs="Tahoma"/>
          <w:spacing w:val="3"/>
          <w:sz w:val="20"/>
          <w:szCs w:val="20"/>
        </w:rPr>
        <w:t xml:space="preserve"> </w:t>
      </w:r>
      <w:r w:rsidR="008518B0" w:rsidRPr="00B004EE">
        <w:rPr>
          <w:rFonts w:ascii="Tahoma" w:hAnsi="Tahoma" w:cs="Tahoma"/>
          <w:spacing w:val="5"/>
          <w:sz w:val="20"/>
          <w:szCs w:val="20"/>
        </w:rPr>
        <w:t>Pêche</w:t>
      </w:r>
      <w:r w:rsidR="00DB1635" w:rsidRPr="00B004EE">
        <w:rPr>
          <w:rFonts w:ascii="Tahoma" w:hAnsi="Tahoma" w:cs="Tahoma"/>
          <w:spacing w:val="5"/>
          <w:sz w:val="20"/>
          <w:szCs w:val="20"/>
        </w:rPr>
        <w:t xml:space="preserve"> </w:t>
      </w:r>
      <w:r w:rsidR="008518B0" w:rsidRPr="00B004EE">
        <w:rPr>
          <w:rFonts w:ascii="Tahoma" w:hAnsi="Tahoma" w:cs="Tahoma"/>
          <w:spacing w:val="3"/>
          <w:sz w:val="20"/>
          <w:szCs w:val="20"/>
        </w:rPr>
        <w:t>et</w:t>
      </w:r>
      <w:r w:rsidR="00DB1635" w:rsidRPr="00B004EE">
        <w:rPr>
          <w:rFonts w:ascii="Tahoma" w:hAnsi="Tahoma" w:cs="Tahoma"/>
          <w:spacing w:val="3"/>
          <w:sz w:val="20"/>
          <w:szCs w:val="20"/>
        </w:rPr>
        <w:t xml:space="preserve"> </w:t>
      </w:r>
      <w:r w:rsidR="008518B0" w:rsidRPr="00B004EE">
        <w:rPr>
          <w:rFonts w:ascii="Tahoma" w:hAnsi="Tahoma" w:cs="Tahoma"/>
          <w:spacing w:val="3"/>
          <w:sz w:val="20"/>
          <w:szCs w:val="20"/>
        </w:rPr>
        <w:t>de</w:t>
      </w:r>
      <w:r w:rsidR="00DB1635" w:rsidRPr="00B004EE">
        <w:rPr>
          <w:rFonts w:ascii="Tahoma" w:hAnsi="Tahoma" w:cs="Tahoma"/>
          <w:spacing w:val="3"/>
          <w:sz w:val="20"/>
          <w:szCs w:val="20"/>
        </w:rPr>
        <w:t xml:space="preserve"> </w:t>
      </w:r>
      <w:r w:rsidR="008518B0" w:rsidRPr="00B004EE">
        <w:rPr>
          <w:rFonts w:ascii="Tahoma" w:hAnsi="Tahoma" w:cs="Tahoma"/>
          <w:spacing w:val="6"/>
          <w:sz w:val="20"/>
          <w:szCs w:val="20"/>
        </w:rPr>
        <w:t>l'Aquaculture</w:t>
      </w:r>
      <w:r w:rsidR="00DB1635" w:rsidRPr="00B004EE">
        <w:rPr>
          <w:rFonts w:ascii="Tahoma" w:hAnsi="Tahoma" w:cs="Tahoma"/>
          <w:spacing w:val="6"/>
          <w:sz w:val="20"/>
          <w:szCs w:val="20"/>
        </w:rPr>
        <w:t xml:space="preserve"> </w:t>
      </w:r>
      <w:r w:rsidR="008518B0" w:rsidRPr="00B004EE">
        <w:rPr>
          <w:rFonts w:ascii="Tahoma" w:hAnsi="Tahoma" w:cs="Tahoma"/>
          <w:spacing w:val="-3"/>
          <w:sz w:val="20"/>
          <w:szCs w:val="20"/>
        </w:rPr>
        <w:t>comprennent</w:t>
      </w:r>
      <w:r w:rsidR="00DB1635" w:rsidRPr="00B004EE">
        <w:rPr>
          <w:rFonts w:ascii="Tahoma" w:hAnsi="Tahoma" w:cs="Tahoma"/>
          <w:spacing w:val="43"/>
          <w:sz w:val="20"/>
          <w:szCs w:val="20"/>
        </w:rPr>
        <w:t xml:space="preserve"> </w:t>
      </w:r>
      <w:r w:rsidR="008518B0" w:rsidRPr="00B004EE">
        <w:rPr>
          <w:rFonts w:ascii="Tahoma" w:hAnsi="Tahoma" w:cs="Tahoma"/>
          <w:sz w:val="20"/>
          <w:szCs w:val="20"/>
        </w:rPr>
        <w:t>:</w:t>
      </w:r>
    </w:p>
    <w:p w14:paraId="6DE81AB2" w14:textId="2847DEB9" w:rsidR="008518B0" w:rsidRPr="00B004EE" w:rsidRDefault="008518B0" w:rsidP="00420DDA">
      <w:pPr>
        <w:pStyle w:val="Paragraphedeliste"/>
        <w:numPr>
          <w:ilvl w:val="0"/>
          <w:numId w:val="81"/>
        </w:numPr>
        <w:rPr>
          <w:rFonts w:ascii="Tahoma" w:hAnsi="Tahoma" w:cs="Tahoma"/>
          <w:sz w:val="20"/>
          <w:szCs w:val="20"/>
        </w:rPr>
      </w:pPr>
      <w:bookmarkStart w:id="152" w:name="_Toc16287925"/>
      <w:bookmarkStart w:id="153" w:name="_Toc16288039"/>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dépenses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fonctionnement,</w:t>
      </w:r>
      <w:r w:rsidR="00DB1635" w:rsidRPr="00B004EE">
        <w:rPr>
          <w:rFonts w:ascii="Tahoma" w:hAnsi="Tahoma" w:cs="Tahoma"/>
          <w:sz w:val="20"/>
          <w:szCs w:val="20"/>
        </w:rPr>
        <w:t xml:space="preserve"> </w:t>
      </w:r>
      <w:r w:rsidRPr="00B004EE">
        <w:rPr>
          <w:rFonts w:ascii="Tahoma" w:hAnsi="Tahoma" w:cs="Tahoma"/>
          <w:sz w:val="20"/>
          <w:szCs w:val="20"/>
        </w:rPr>
        <w:t>notamment</w:t>
      </w:r>
      <w:bookmarkEnd w:id="152"/>
      <w:bookmarkEnd w:id="153"/>
    </w:p>
    <w:p w14:paraId="7C551A24" w14:textId="46F3E0CB" w:rsidR="008518B0" w:rsidRPr="00B004EE" w:rsidRDefault="008518B0" w:rsidP="00420DDA">
      <w:pPr>
        <w:pStyle w:val="Lgende"/>
        <w:numPr>
          <w:ilvl w:val="0"/>
          <w:numId w:val="78"/>
        </w:numPr>
        <w:rPr>
          <w:rFonts w:ascii="Tahoma" w:eastAsia="Times" w:hAnsi="Tahoma" w:cs="Tahoma"/>
          <w:b w:val="0"/>
          <w:bCs w:val="0"/>
        </w:rPr>
      </w:pPr>
      <w:r w:rsidRPr="00B004EE">
        <w:rPr>
          <w:rFonts w:ascii="Tahoma" w:hAnsi="Tahoma" w:cs="Tahoma"/>
          <w:b w:val="0"/>
          <w:bCs w:val="0"/>
        </w:rPr>
        <w:t>Traitements</w:t>
      </w:r>
      <w:r w:rsidR="00DB1635" w:rsidRPr="00B004EE">
        <w:rPr>
          <w:rFonts w:ascii="Tahoma" w:hAnsi="Tahoma" w:cs="Tahoma"/>
          <w:b w:val="0"/>
          <w:bCs w:val="0"/>
        </w:rPr>
        <w:t xml:space="preserve"> </w:t>
      </w:r>
      <w:r w:rsidRPr="00B004EE">
        <w:rPr>
          <w:rFonts w:ascii="Tahoma" w:hAnsi="Tahoma" w:cs="Tahoma"/>
          <w:b w:val="0"/>
          <w:bCs w:val="0"/>
        </w:rPr>
        <w:t>et</w:t>
      </w:r>
      <w:r w:rsidR="00DB1635" w:rsidRPr="00B004EE">
        <w:rPr>
          <w:rFonts w:ascii="Tahoma" w:hAnsi="Tahoma" w:cs="Tahoma"/>
          <w:b w:val="0"/>
          <w:bCs w:val="0"/>
        </w:rPr>
        <w:t xml:space="preserve"> </w:t>
      </w:r>
      <w:r w:rsidRPr="00B004EE">
        <w:rPr>
          <w:rFonts w:ascii="Tahoma" w:hAnsi="Tahoma" w:cs="Tahoma"/>
          <w:b w:val="0"/>
          <w:bCs w:val="0"/>
        </w:rPr>
        <w:t>salaires</w:t>
      </w:r>
      <w:r w:rsidR="00DB1635" w:rsidRPr="00B004EE">
        <w:rPr>
          <w:rFonts w:ascii="Tahoma" w:hAnsi="Tahoma" w:cs="Tahoma"/>
          <w:b w:val="0"/>
          <w:bCs w:val="0"/>
          <w:spacing w:val="-1"/>
        </w:rPr>
        <w:t xml:space="preserve"> </w:t>
      </w:r>
      <w:r w:rsidRPr="00B004EE">
        <w:rPr>
          <w:rFonts w:ascii="Tahoma" w:hAnsi="Tahoma" w:cs="Tahoma"/>
          <w:b w:val="0"/>
          <w:bCs w:val="0"/>
        </w:rPr>
        <w:t>;</w:t>
      </w:r>
    </w:p>
    <w:p w14:paraId="67D8E477" w14:textId="4A950C19" w:rsidR="008518B0" w:rsidRPr="00B004EE" w:rsidRDefault="008518B0" w:rsidP="00420DDA">
      <w:pPr>
        <w:pStyle w:val="Lgende"/>
        <w:numPr>
          <w:ilvl w:val="0"/>
          <w:numId w:val="78"/>
        </w:numPr>
        <w:rPr>
          <w:rFonts w:ascii="Tahoma" w:eastAsia="Times" w:hAnsi="Tahoma" w:cs="Tahoma"/>
          <w:b w:val="0"/>
          <w:bCs w:val="0"/>
        </w:rPr>
      </w:pPr>
      <w:r w:rsidRPr="00B004EE">
        <w:rPr>
          <w:rFonts w:ascii="Tahoma" w:hAnsi="Tahoma" w:cs="Tahoma"/>
          <w:b w:val="0"/>
          <w:bCs w:val="0"/>
        </w:rPr>
        <w:t>Frais</w:t>
      </w:r>
      <w:r w:rsidR="00DB1635" w:rsidRPr="00B004EE">
        <w:rPr>
          <w:rFonts w:ascii="Tahoma" w:hAnsi="Tahoma" w:cs="Tahoma"/>
          <w:b w:val="0"/>
          <w:bCs w:val="0"/>
        </w:rPr>
        <w:t xml:space="preserve"> </w:t>
      </w:r>
      <w:r w:rsidRPr="00B004EE">
        <w:rPr>
          <w:rFonts w:ascii="Tahoma" w:hAnsi="Tahoma" w:cs="Tahoma"/>
          <w:b w:val="0"/>
          <w:bCs w:val="0"/>
        </w:rPr>
        <w:t>de</w:t>
      </w:r>
      <w:r w:rsidR="00DB1635" w:rsidRPr="00B004EE">
        <w:rPr>
          <w:rFonts w:ascii="Tahoma" w:hAnsi="Tahoma" w:cs="Tahoma"/>
          <w:b w:val="0"/>
          <w:bCs w:val="0"/>
        </w:rPr>
        <w:t xml:space="preserve"> </w:t>
      </w:r>
      <w:r w:rsidRPr="00B004EE">
        <w:rPr>
          <w:rFonts w:ascii="Tahoma" w:hAnsi="Tahoma" w:cs="Tahoma"/>
          <w:b w:val="0"/>
          <w:bCs w:val="0"/>
        </w:rPr>
        <w:t>gestion</w:t>
      </w:r>
      <w:r w:rsidR="00DB1635" w:rsidRPr="00B004EE">
        <w:rPr>
          <w:rFonts w:ascii="Tahoma" w:hAnsi="Tahoma" w:cs="Tahoma"/>
          <w:b w:val="0"/>
          <w:bCs w:val="0"/>
        </w:rPr>
        <w:t xml:space="preserve"> </w:t>
      </w:r>
      <w:r w:rsidRPr="00B004EE">
        <w:rPr>
          <w:rFonts w:ascii="Tahoma" w:hAnsi="Tahoma" w:cs="Tahoma"/>
          <w:b w:val="0"/>
          <w:bCs w:val="0"/>
        </w:rPr>
        <w:t>générale</w:t>
      </w:r>
      <w:r w:rsidR="00DB1635" w:rsidRPr="00B004EE">
        <w:rPr>
          <w:rFonts w:ascii="Tahoma" w:hAnsi="Tahoma" w:cs="Tahoma"/>
          <w:b w:val="0"/>
          <w:bCs w:val="0"/>
          <w:spacing w:val="1"/>
        </w:rPr>
        <w:t xml:space="preserve"> </w:t>
      </w:r>
      <w:r w:rsidRPr="00B004EE">
        <w:rPr>
          <w:rFonts w:ascii="Tahoma" w:hAnsi="Tahoma" w:cs="Tahoma"/>
          <w:b w:val="0"/>
          <w:bCs w:val="0"/>
        </w:rPr>
        <w:t>;</w:t>
      </w:r>
    </w:p>
    <w:p w14:paraId="06C1A025" w14:textId="0F068BA4" w:rsidR="008518B0" w:rsidRPr="00B004EE" w:rsidRDefault="008518B0" w:rsidP="00420DDA">
      <w:pPr>
        <w:pStyle w:val="Lgende"/>
        <w:numPr>
          <w:ilvl w:val="0"/>
          <w:numId w:val="78"/>
        </w:numPr>
        <w:rPr>
          <w:rFonts w:ascii="Tahoma" w:eastAsia="Times" w:hAnsi="Tahoma" w:cs="Tahoma"/>
          <w:b w:val="0"/>
          <w:bCs w:val="0"/>
        </w:rPr>
      </w:pPr>
      <w:r w:rsidRPr="00B004EE">
        <w:rPr>
          <w:rFonts w:ascii="Tahoma" w:hAnsi="Tahoma" w:cs="Tahoma"/>
          <w:b w:val="0"/>
          <w:bCs w:val="0"/>
        </w:rPr>
        <w:t>Frais</w:t>
      </w:r>
      <w:r w:rsidR="00DB1635" w:rsidRPr="00B004EE">
        <w:rPr>
          <w:rFonts w:ascii="Tahoma" w:hAnsi="Tahoma" w:cs="Tahoma"/>
          <w:b w:val="0"/>
          <w:bCs w:val="0"/>
        </w:rPr>
        <w:t xml:space="preserve"> </w:t>
      </w:r>
      <w:r w:rsidRPr="00B004EE">
        <w:rPr>
          <w:rFonts w:ascii="Tahoma" w:hAnsi="Tahoma" w:cs="Tahoma"/>
          <w:b w:val="0"/>
          <w:bCs w:val="0"/>
        </w:rPr>
        <w:t>de</w:t>
      </w:r>
      <w:r w:rsidR="00DB1635" w:rsidRPr="00B004EE">
        <w:rPr>
          <w:rFonts w:ascii="Tahoma" w:hAnsi="Tahoma" w:cs="Tahoma"/>
          <w:b w:val="0"/>
          <w:bCs w:val="0"/>
        </w:rPr>
        <w:t xml:space="preserve"> </w:t>
      </w:r>
      <w:r w:rsidRPr="00B004EE">
        <w:rPr>
          <w:rFonts w:ascii="Tahoma" w:hAnsi="Tahoma" w:cs="Tahoma"/>
          <w:b w:val="0"/>
          <w:bCs w:val="0"/>
        </w:rPr>
        <w:t>matériels</w:t>
      </w:r>
      <w:r w:rsidR="00DB1635" w:rsidRPr="00B004EE">
        <w:rPr>
          <w:rFonts w:ascii="Tahoma" w:hAnsi="Tahoma" w:cs="Tahoma"/>
          <w:b w:val="0"/>
          <w:bCs w:val="0"/>
        </w:rPr>
        <w:t xml:space="preserve"> </w:t>
      </w:r>
      <w:r w:rsidRPr="00B004EE">
        <w:rPr>
          <w:rFonts w:ascii="Tahoma" w:hAnsi="Tahoma" w:cs="Tahoma"/>
          <w:b w:val="0"/>
          <w:bCs w:val="0"/>
        </w:rPr>
        <w:t>et</w:t>
      </w:r>
      <w:r w:rsidR="00DB1635" w:rsidRPr="00B004EE">
        <w:rPr>
          <w:rFonts w:ascii="Tahoma" w:hAnsi="Tahoma" w:cs="Tahoma"/>
          <w:b w:val="0"/>
          <w:bCs w:val="0"/>
        </w:rPr>
        <w:t xml:space="preserve"> </w:t>
      </w:r>
      <w:r w:rsidRPr="00B004EE">
        <w:rPr>
          <w:rFonts w:ascii="Tahoma" w:hAnsi="Tahoma" w:cs="Tahoma"/>
          <w:b w:val="0"/>
          <w:bCs w:val="0"/>
        </w:rPr>
        <w:t>de</w:t>
      </w:r>
      <w:r w:rsidR="00DB1635" w:rsidRPr="00B004EE">
        <w:rPr>
          <w:rFonts w:ascii="Tahoma" w:hAnsi="Tahoma" w:cs="Tahoma"/>
          <w:b w:val="0"/>
          <w:bCs w:val="0"/>
        </w:rPr>
        <w:t xml:space="preserve"> </w:t>
      </w:r>
      <w:r w:rsidRPr="00B004EE">
        <w:rPr>
          <w:rFonts w:ascii="Tahoma" w:hAnsi="Tahoma" w:cs="Tahoma"/>
          <w:b w:val="0"/>
          <w:bCs w:val="0"/>
        </w:rPr>
        <w:t>produits</w:t>
      </w:r>
      <w:r w:rsidR="00DB1635" w:rsidRPr="00B004EE">
        <w:rPr>
          <w:rFonts w:ascii="Tahoma" w:hAnsi="Tahoma" w:cs="Tahoma"/>
          <w:b w:val="0"/>
          <w:bCs w:val="0"/>
        </w:rPr>
        <w:t xml:space="preserve"> </w:t>
      </w:r>
      <w:r w:rsidRPr="00B004EE">
        <w:rPr>
          <w:rFonts w:ascii="Tahoma" w:hAnsi="Tahoma" w:cs="Tahoma"/>
          <w:b w:val="0"/>
          <w:bCs w:val="0"/>
        </w:rPr>
        <w:t>divers</w:t>
      </w:r>
      <w:r w:rsidR="00DB1635" w:rsidRPr="00B004EE">
        <w:rPr>
          <w:rFonts w:ascii="Tahoma" w:hAnsi="Tahoma" w:cs="Tahoma"/>
          <w:b w:val="0"/>
          <w:bCs w:val="0"/>
          <w:spacing w:val="-20"/>
        </w:rPr>
        <w:t xml:space="preserve"> </w:t>
      </w:r>
      <w:r w:rsidRPr="00B004EE">
        <w:rPr>
          <w:rFonts w:ascii="Tahoma" w:hAnsi="Tahoma" w:cs="Tahoma"/>
          <w:b w:val="0"/>
          <w:bCs w:val="0"/>
        </w:rPr>
        <w:t>;</w:t>
      </w:r>
    </w:p>
    <w:p w14:paraId="3F34DA1F" w14:textId="453D0001" w:rsidR="008518B0" w:rsidRPr="00B004EE" w:rsidRDefault="008518B0" w:rsidP="00420DDA">
      <w:pPr>
        <w:pStyle w:val="Lgende"/>
        <w:numPr>
          <w:ilvl w:val="0"/>
          <w:numId w:val="78"/>
        </w:numPr>
        <w:rPr>
          <w:rFonts w:ascii="Tahoma" w:eastAsia="Times" w:hAnsi="Tahoma" w:cs="Tahoma"/>
          <w:b w:val="0"/>
          <w:bCs w:val="0"/>
        </w:rPr>
      </w:pPr>
      <w:r w:rsidRPr="00B004EE">
        <w:rPr>
          <w:rFonts w:ascii="Tahoma" w:hAnsi="Tahoma" w:cs="Tahoma"/>
          <w:b w:val="0"/>
          <w:bCs w:val="0"/>
          <w:spacing w:val="-3"/>
        </w:rPr>
        <w:t>Entretien</w:t>
      </w:r>
      <w:r w:rsidR="00DB1635" w:rsidRPr="00B004EE">
        <w:rPr>
          <w:rFonts w:ascii="Tahoma" w:hAnsi="Tahoma" w:cs="Tahoma"/>
          <w:b w:val="0"/>
          <w:bCs w:val="0"/>
          <w:spacing w:val="-3"/>
        </w:rPr>
        <w:t xml:space="preserve"> </w:t>
      </w:r>
      <w:r w:rsidRPr="00B004EE">
        <w:rPr>
          <w:rFonts w:ascii="Tahoma" w:hAnsi="Tahoma" w:cs="Tahoma"/>
          <w:b w:val="0"/>
          <w:bCs w:val="0"/>
          <w:spacing w:val="-3"/>
        </w:rPr>
        <w:t>des</w:t>
      </w:r>
      <w:r w:rsidR="00DB1635" w:rsidRPr="00B004EE">
        <w:rPr>
          <w:rFonts w:ascii="Tahoma" w:hAnsi="Tahoma" w:cs="Tahoma"/>
          <w:b w:val="0"/>
          <w:bCs w:val="0"/>
          <w:spacing w:val="-3"/>
        </w:rPr>
        <w:t xml:space="preserve"> </w:t>
      </w:r>
      <w:r w:rsidRPr="00B004EE">
        <w:rPr>
          <w:rFonts w:ascii="Tahoma" w:hAnsi="Tahoma" w:cs="Tahoma"/>
          <w:b w:val="0"/>
          <w:bCs w:val="0"/>
          <w:spacing w:val="-3"/>
        </w:rPr>
        <w:t>locaux</w:t>
      </w:r>
      <w:r w:rsidR="00DB1635" w:rsidRPr="00B004EE">
        <w:rPr>
          <w:rFonts w:ascii="Tahoma" w:hAnsi="Tahoma" w:cs="Tahoma"/>
          <w:b w:val="0"/>
          <w:bCs w:val="0"/>
          <w:spacing w:val="-3"/>
        </w:rPr>
        <w:t xml:space="preserve"> </w:t>
      </w:r>
      <w:r w:rsidRPr="00B004EE">
        <w:rPr>
          <w:rFonts w:ascii="Tahoma" w:hAnsi="Tahoma" w:cs="Tahoma"/>
          <w:b w:val="0"/>
          <w:bCs w:val="0"/>
        </w:rPr>
        <w:t>et</w:t>
      </w:r>
      <w:r w:rsidR="00DB1635" w:rsidRPr="00B004EE">
        <w:rPr>
          <w:rFonts w:ascii="Tahoma" w:hAnsi="Tahoma" w:cs="Tahoma"/>
          <w:b w:val="0"/>
          <w:bCs w:val="0"/>
        </w:rPr>
        <w:t xml:space="preserve"> </w:t>
      </w:r>
      <w:r w:rsidRPr="00B004EE">
        <w:rPr>
          <w:rFonts w:ascii="Tahoma" w:hAnsi="Tahoma" w:cs="Tahoma"/>
          <w:b w:val="0"/>
          <w:bCs w:val="0"/>
          <w:spacing w:val="-3"/>
        </w:rPr>
        <w:t>des</w:t>
      </w:r>
      <w:r w:rsidR="00DB1635" w:rsidRPr="00B004EE">
        <w:rPr>
          <w:rFonts w:ascii="Tahoma" w:hAnsi="Tahoma" w:cs="Tahoma"/>
          <w:b w:val="0"/>
          <w:bCs w:val="0"/>
          <w:spacing w:val="-20"/>
        </w:rPr>
        <w:t xml:space="preserve"> </w:t>
      </w:r>
      <w:r w:rsidRPr="00B004EE">
        <w:rPr>
          <w:rFonts w:ascii="Tahoma" w:hAnsi="Tahoma" w:cs="Tahoma"/>
          <w:b w:val="0"/>
          <w:bCs w:val="0"/>
          <w:spacing w:val="-4"/>
        </w:rPr>
        <w:t>installations.</w:t>
      </w:r>
    </w:p>
    <w:p w14:paraId="48AF3D95" w14:textId="0D97AF13" w:rsidR="008518B0" w:rsidRPr="00B004EE" w:rsidRDefault="008518B0" w:rsidP="00420DDA">
      <w:pPr>
        <w:pStyle w:val="Paragraphedeliste"/>
        <w:numPr>
          <w:ilvl w:val="0"/>
          <w:numId w:val="81"/>
        </w:numPr>
        <w:rPr>
          <w:rFonts w:ascii="Tahoma" w:hAnsi="Tahoma" w:cs="Tahoma"/>
          <w:sz w:val="20"/>
          <w:szCs w:val="20"/>
        </w:rPr>
      </w:pPr>
      <w:bookmarkStart w:id="154" w:name="_Toc16287926"/>
      <w:bookmarkStart w:id="155" w:name="_Toc16288040"/>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dépenses</w:t>
      </w:r>
      <w:r w:rsidR="00DB1635" w:rsidRPr="00B004EE">
        <w:rPr>
          <w:rFonts w:ascii="Tahoma" w:hAnsi="Tahoma" w:cs="Tahoma"/>
          <w:sz w:val="20"/>
          <w:szCs w:val="20"/>
        </w:rPr>
        <w:t xml:space="preserve"> </w:t>
      </w:r>
      <w:r w:rsidRPr="00B004EE">
        <w:rPr>
          <w:rFonts w:ascii="Tahoma" w:hAnsi="Tahoma" w:cs="Tahoma"/>
          <w:sz w:val="20"/>
          <w:szCs w:val="20"/>
        </w:rPr>
        <w:t>d'investissement</w:t>
      </w:r>
      <w:r w:rsidR="00DB1635" w:rsidRPr="00B004EE">
        <w:rPr>
          <w:rFonts w:ascii="Tahoma" w:hAnsi="Tahoma" w:cs="Tahoma"/>
          <w:sz w:val="20"/>
          <w:szCs w:val="20"/>
        </w:rPr>
        <w:t xml:space="preserve"> </w:t>
      </w:r>
      <w:r w:rsidRPr="00B004EE">
        <w:rPr>
          <w:rFonts w:ascii="Tahoma" w:hAnsi="Tahoma" w:cs="Tahoma"/>
          <w:sz w:val="20"/>
          <w:szCs w:val="20"/>
        </w:rPr>
        <w:t>:</w:t>
      </w:r>
      <w:bookmarkEnd w:id="154"/>
      <w:bookmarkEnd w:id="155"/>
    </w:p>
    <w:p w14:paraId="05DA69A1" w14:textId="77777777" w:rsidR="008518B0" w:rsidRPr="00B004EE" w:rsidRDefault="008518B0" w:rsidP="00B004EE">
      <w:pPr>
        <w:rPr>
          <w:rFonts w:ascii="Tahoma" w:eastAsia="Times" w:hAnsi="Tahoma" w:cs="Tahoma"/>
          <w:sz w:val="20"/>
          <w:szCs w:val="20"/>
        </w:rPr>
      </w:pPr>
    </w:p>
    <w:p w14:paraId="2712F991" w14:textId="6FD20EF7" w:rsidR="008518B0" w:rsidRPr="00B004EE" w:rsidRDefault="00FF661D" w:rsidP="00B004EE">
      <w:pPr>
        <w:pStyle w:val="Corpsdetexte"/>
        <w:ind w:left="175" w:right="205"/>
        <w:rPr>
          <w:rFonts w:ascii="Tahoma" w:hAnsi="Tahoma" w:cs="Tahoma"/>
          <w:sz w:val="20"/>
          <w:szCs w:val="20"/>
        </w:rPr>
      </w:pPr>
      <w:r w:rsidRPr="00B004EE">
        <w:rPr>
          <w:rFonts w:ascii="Tahoma" w:hAnsi="Tahoma" w:cs="Tahoma"/>
          <w:bCs/>
          <w:iCs/>
          <w:sz w:val="20"/>
          <w:szCs w:val="20"/>
        </w:rPr>
        <w:t xml:space="preserve">Article </w:t>
      </w:r>
      <w:r w:rsidR="008518B0" w:rsidRPr="00B004EE">
        <w:rPr>
          <w:rFonts w:ascii="Tahoma" w:hAnsi="Tahoma" w:cs="Tahoma"/>
          <w:bCs/>
          <w:iCs/>
          <w:sz w:val="20"/>
          <w:szCs w:val="20"/>
        </w:rPr>
        <w:t>21</w:t>
      </w:r>
      <w:r w:rsidR="00DB1635" w:rsidRPr="00B004EE">
        <w:rPr>
          <w:rFonts w:ascii="Tahoma" w:hAnsi="Tahoma" w:cs="Tahoma"/>
          <w:b/>
          <w:i/>
          <w:sz w:val="20"/>
          <w:szCs w:val="20"/>
        </w:rPr>
        <w:t xml:space="preserve"> </w:t>
      </w:r>
      <w:r w:rsidR="008518B0" w:rsidRPr="00B004EE">
        <w:rPr>
          <w:rFonts w:ascii="Tahoma" w:hAnsi="Tahoma" w:cs="Tahoma"/>
          <w:b/>
          <w:i/>
          <w:sz w:val="20"/>
          <w:szCs w:val="20"/>
        </w:rPr>
        <w:t>:</w:t>
      </w:r>
      <w:r w:rsidR="00DB1635" w:rsidRPr="00B004EE">
        <w:rPr>
          <w:rFonts w:ascii="Tahoma" w:hAnsi="Tahoma" w:cs="Tahoma"/>
          <w:b/>
          <w:i/>
          <w:sz w:val="20"/>
          <w:szCs w:val="20"/>
        </w:rPr>
        <w:t xml:space="preserve"> </w:t>
      </w:r>
      <w:r w:rsidR="008518B0" w:rsidRPr="00B004EE">
        <w:rPr>
          <w:rFonts w:ascii="Tahoma" w:hAnsi="Tahoma" w:cs="Tahoma"/>
          <w:sz w:val="20"/>
          <w:szCs w:val="20"/>
        </w:rPr>
        <w:t>Le</w:t>
      </w:r>
      <w:r w:rsidR="00DB1635" w:rsidRPr="00B004EE">
        <w:rPr>
          <w:rFonts w:ascii="Tahoma" w:hAnsi="Tahoma" w:cs="Tahoma"/>
          <w:sz w:val="20"/>
          <w:szCs w:val="20"/>
        </w:rPr>
        <w:t xml:space="preserve"> </w:t>
      </w:r>
      <w:r w:rsidR="008518B0" w:rsidRPr="00B004EE">
        <w:rPr>
          <w:rFonts w:ascii="Tahoma" w:hAnsi="Tahoma" w:cs="Tahoma"/>
          <w:spacing w:val="2"/>
          <w:sz w:val="20"/>
          <w:szCs w:val="20"/>
        </w:rPr>
        <w:t>budget</w:t>
      </w:r>
      <w:r w:rsidR="00DB1635" w:rsidRPr="00B004EE">
        <w:rPr>
          <w:rFonts w:ascii="Tahoma" w:hAnsi="Tahoma" w:cs="Tahoma"/>
          <w:spacing w:val="2"/>
          <w:sz w:val="20"/>
          <w:szCs w:val="20"/>
        </w:rPr>
        <w:t xml:space="preserve"> </w:t>
      </w:r>
      <w:r w:rsidR="008518B0" w:rsidRPr="00B004EE">
        <w:rPr>
          <w:rFonts w:ascii="Tahoma" w:hAnsi="Tahoma" w:cs="Tahoma"/>
          <w:spacing w:val="3"/>
          <w:sz w:val="20"/>
          <w:szCs w:val="20"/>
        </w:rPr>
        <w:t>prévisionnel</w:t>
      </w:r>
      <w:r w:rsidR="00DB1635" w:rsidRPr="00B004EE">
        <w:rPr>
          <w:rFonts w:ascii="Tahoma" w:hAnsi="Tahoma" w:cs="Tahoma"/>
          <w:spacing w:val="3"/>
          <w:sz w:val="20"/>
          <w:szCs w:val="20"/>
        </w:rPr>
        <w:t xml:space="preserve"> </w:t>
      </w:r>
      <w:r w:rsidR="008518B0" w:rsidRPr="00B004EE">
        <w:rPr>
          <w:rFonts w:ascii="Tahoma" w:hAnsi="Tahoma" w:cs="Tahoma"/>
          <w:sz w:val="20"/>
          <w:szCs w:val="20"/>
        </w:rPr>
        <w:t>de</w:t>
      </w:r>
      <w:r w:rsidR="00DB1635" w:rsidRPr="00B004EE">
        <w:rPr>
          <w:rFonts w:ascii="Tahoma" w:hAnsi="Tahoma" w:cs="Tahoma"/>
          <w:sz w:val="20"/>
          <w:szCs w:val="20"/>
        </w:rPr>
        <w:t xml:space="preserve"> </w:t>
      </w:r>
      <w:r w:rsidR="008518B0" w:rsidRPr="00B004EE">
        <w:rPr>
          <w:rFonts w:ascii="Tahoma" w:hAnsi="Tahoma" w:cs="Tahoma"/>
          <w:sz w:val="20"/>
          <w:szCs w:val="20"/>
        </w:rPr>
        <w:t>l'Office</w:t>
      </w:r>
      <w:r w:rsidR="00DB1635" w:rsidRPr="00B004EE">
        <w:rPr>
          <w:rFonts w:ascii="Tahoma" w:hAnsi="Tahoma" w:cs="Tahoma"/>
          <w:sz w:val="20"/>
          <w:szCs w:val="20"/>
        </w:rPr>
        <w:t xml:space="preserve"> </w:t>
      </w:r>
      <w:r w:rsidR="008518B0" w:rsidRPr="00B004EE">
        <w:rPr>
          <w:rFonts w:ascii="Tahoma" w:hAnsi="Tahoma" w:cs="Tahoma"/>
          <w:sz w:val="20"/>
          <w:szCs w:val="20"/>
        </w:rPr>
        <w:t>National</w:t>
      </w:r>
      <w:r w:rsidR="00DB1635" w:rsidRPr="00B004EE">
        <w:rPr>
          <w:rFonts w:ascii="Tahoma" w:hAnsi="Tahoma" w:cs="Tahoma"/>
          <w:sz w:val="20"/>
          <w:szCs w:val="20"/>
        </w:rPr>
        <w:t xml:space="preserve"> </w:t>
      </w:r>
      <w:r w:rsidR="008518B0" w:rsidRPr="00B004EE">
        <w:rPr>
          <w:rFonts w:ascii="Tahoma" w:hAnsi="Tahoma" w:cs="Tahoma"/>
          <w:sz w:val="20"/>
          <w:szCs w:val="20"/>
        </w:rPr>
        <w:t>d'Inspection</w:t>
      </w:r>
      <w:r w:rsidR="00DB1635" w:rsidRPr="00B004EE">
        <w:rPr>
          <w:rFonts w:ascii="Tahoma" w:hAnsi="Tahoma" w:cs="Tahoma"/>
          <w:sz w:val="20"/>
          <w:szCs w:val="20"/>
        </w:rPr>
        <w:t xml:space="preserve"> </w:t>
      </w:r>
      <w:r w:rsidR="008518B0" w:rsidRPr="00B004EE">
        <w:rPr>
          <w:rFonts w:ascii="Tahoma" w:hAnsi="Tahoma" w:cs="Tahoma"/>
          <w:sz w:val="20"/>
          <w:szCs w:val="20"/>
        </w:rPr>
        <w:t>Sanitaire</w:t>
      </w:r>
      <w:r w:rsidR="00DB1635" w:rsidRPr="00B004EE">
        <w:rPr>
          <w:rFonts w:ascii="Tahoma" w:hAnsi="Tahoma" w:cs="Tahoma"/>
          <w:sz w:val="20"/>
          <w:szCs w:val="20"/>
        </w:rPr>
        <w:t xml:space="preserve"> </w:t>
      </w:r>
      <w:r w:rsidR="008518B0" w:rsidRPr="00B004EE">
        <w:rPr>
          <w:rFonts w:ascii="Tahoma" w:hAnsi="Tahoma" w:cs="Tahoma"/>
          <w:sz w:val="20"/>
          <w:szCs w:val="20"/>
        </w:rPr>
        <w:t>des</w:t>
      </w:r>
      <w:r w:rsidR="00DB1635" w:rsidRPr="00B004EE">
        <w:rPr>
          <w:rFonts w:ascii="Tahoma" w:hAnsi="Tahoma" w:cs="Tahoma"/>
          <w:w w:val="99"/>
          <w:sz w:val="20"/>
          <w:szCs w:val="20"/>
        </w:rPr>
        <w:t xml:space="preserve"> </w:t>
      </w:r>
      <w:r w:rsidR="008518B0" w:rsidRPr="00B004EE">
        <w:rPr>
          <w:rFonts w:ascii="Tahoma" w:hAnsi="Tahoma" w:cs="Tahoma"/>
          <w:sz w:val="20"/>
          <w:szCs w:val="20"/>
        </w:rPr>
        <w:t>Produits</w:t>
      </w:r>
      <w:r w:rsidR="00DB1635" w:rsidRPr="00B004EE">
        <w:rPr>
          <w:rFonts w:ascii="Tahoma" w:hAnsi="Tahoma" w:cs="Tahoma"/>
          <w:sz w:val="20"/>
          <w:szCs w:val="20"/>
        </w:rPr>
        <w:t xml:space="preserve"> </w:t>
      </w:r>
      <w:r w:rsidR="008518B0" w:rsidRPr="00B004EE">
        <w:rPr>
          <w:rFonts w:ascii="Tahoma" w:hAnsi="Tahoma" w:cs="Tahoma"/>
          <w:sz w:val="20"/>
          <w:szCs w:val="20"/>
        </w:rPr>
        <w:t>de</w:t>
      </w:r>
      <w:r w:rsidR="00DB1635" w:rsidRPr="00B004EE">
        <w:rPr>
          <w:rFonts w:ascii="Tahoma" w:hAnsi="Tahoma" w:cs="Tahoma"/>
          <w:sz w:val="20"/>
          <w:szCs w:val="20"/>
        </w:rPr>
        <w:t xml:space="preserve"> </w:t>
      </w:r>
      <w:r w:rsidR="008518B0" w:rsidRPr="00B004EE">
        <w:rPr>
          <w:rFonts w:ascii="Tahoma" w:hAnsi="Tahoma" w:cs="Tahoma"/>
          <w:sz w:val="20"/>
          <w:szCs w:val="20"/>
        </w:rPr>
        <w:t>la</w:t>
      </w:r>
      <w:r w:rsidR="00DB1635" w:rsidRPr="00B004EE">
        <w:rPr>
          <w:rFonts w:ascii="Tahoma" w:hAnsi="Tahoma" w:cs="Tahoma"/>
          <w:sz w:val="20"/>
          <w:szCs w:val="20"/>
        </w:rPr>
        <w:t xml:space="preserve"> </w:t>
      </w:r>
      <w:r w:rsidR="008518B0" w:rsidRPr="00B004EE">
        <w:rPr>
          <w:rFonts w:ascii="Tahoma" w:hAnsi="Tahoma" w:cs="Tahoma"/>
          <w:sz w:val="20"/>
          <w:szCs w:val="20"/>
        </w:rPr>
        <w:t>Pêche</w:t>
      </w:r>
      <w:r w:rsidR="00DB1635" w:rsidRPr="00B004EE">
        <w:rPr>
          <w:rFonts w:ascii="Tahoma" w:hAnsi="Tahoma" w:cs="Tahoma"/>
          <w:sz w:val="20"/>
          <w:szCs w:val="20"/>
        </w:rPr>
        <w:t xml:space="preserve"> </w:t>
      </w:r>
      <w:r w:rsidR="008518B0" w:rsidRPr="00B004EE">
        <w:rPr>
          <w:rFonts w:ascii="Tahoma" w:hAnsi="Tahoma" w:cs="Tahoma"/>
          <w:sz w:val="20"/>
          <w:szCs w:val="20"/>
        </w:rPr>
        <w:t>et</w:t>
      </w:r>
      <w:r w:rsidR="00DB1635" w:rsidRPr="00B004EE">
        <w:rPr>
          <w:rFonts w:ascii="Tahoma" w:hAnsi="Tahoma" w:cs="Tahoma"/>
          <w:sz w:val="20"/>
          <w:szCs w:val="20"/>
        </w:rPr>
        <w:t xml:space="preserve"> </w:t>
      </w:r>
      <w:r w:rsidR="008518B0" w:rsidRPr="00B004EE">
        <w:rPr>
          <w:rFonts w:ascii="Tahoma" w:hAnsi="Tahoma" w:cs="Tahoma"/>
          <w:sz w:val="20"/>
          <w:szCs w:val="20"/>
        </w:rPr>
        <w:t>de</w:t>
      </w:r>
      <w:r w:rsidR="00DB1635" w:rsidRPr="00B004EE">
        <w:rPr>
          <w:rFonts w:ascii="Tahoma" w:hAnsi="Tahoma" w:cs="Tahoma"/>
          <w:sz w:val="20"/>
          <w:szCs w:val="20"/>
        </w:rPr>
        <w:t xml:space="preserve"> </w:t>
      </w:r>
      <w:r w:rsidR="008518B0" w:rsidRPr="00B004EE">
        <w:rPr>
          <w:rFonts w:ascii="Tahoma" w:hAnsi="Tahoma" w:cs="Tahoma"/>
          <w:sz w:val="20"/>
          <w:szCs w:val="20"/>
        </w:rPr>
        <w:t>l'Aquaculture</w:t>
      </w:r>
      <w:r w:rsidR="00DB1635" w:rsidRPr="00B004EE">
        <w:rPr>
          <w:rFonts w:ascii="Tahoma" w:hAnsi="Tahoma" w:cs="Tahoma"/>
          <w:sz w:val="20"/>
          <w:szCs w:val="20"/>
        </w:rPr>
        <w:t xml:space="preserve"> </w:t>
      </w:r>
      <w:r w:rsidR="008518B0" w:rsidRPr="00B004EE">
        <w:rPr>
          <w:rFonts w:ascii="Tahoma" w:hAnsi="Tahoma" w:cs="Tahoma"/>
          <w:sz w:val="20"/>
          <w:szCs w:val="20"/>
        </w:rPr>
        <w:t>est</w:t>
      </w:r>
      <w:r w:rsidR="00DB1635" w:rsidRPr="00B004EE">
        <w:rPr>
          <w:rFonts w:ascii="Tahoma" w:hAnsi="Tahoma" w:cs="Tahoma"/>
          <w:sz w:val="20"/>
          <w:szCs w:val="20"/>
        </w:rPr>
        <w:t xml:space="preserve"> </w:t>
      </w:r>
      <w:r w:rsidR="008518B0" w:rsidRPr="00B004EE">
        <w:rPr>
          <w:rFonts w:ascii="Tahoma" w:hAnsi="Tahoma" w:cs="Tahoma"/>
          <w:sz w:val="20"/>
          <w:szCs w:val="20"/>
        </w:rPr>
        <w:t>transmis,</w:t>
      </w:r>
      <w:r w:rsidR="00DB1635" w:rsidRPr="00B004EE">
        <w:rPr>
          <w:rFonts w:ascii="Tahoma" w:hAnsi="Tahoma" w:cs="Tahoma"/>
          <w:sz w:val="20"/>
          <w:szCs w:val="20"/>
        </w:rPr>
        <w:t xml:space="preserve"> </w:t>
      </w:r>
      <w:r w:rsidR="008518B0" w:rsidRPr="00B004EE">
        <w:rPr>
          <w:rFonts w:ascii="Tahoma" w:hAnsi="Tahoma" w:cs="Tahoma"/>
          <w:sz w:val="20"/>
          <w:szCs w:val="20"/>
        </w:rPr>
        <w:t>après</w:t>
      </w:r>
      <w:r w:rsidR="00DB1635" w:rsidRPr="00B004EE">
        <w:rPr>
          <w:rFonts w:ascii="Tahoma" w:hAnsi="Tahoma" w:cs="Tahoma"/>
          <w:sz w:val="20"/>
          <w:szCs w:val="20"/>
        </w:rPr>
        <w:t xml:space="preserve"> </w:t>
      </w:r>
      <w:r w:rsidR="008518B0" w:rsidRPr="00B004EE">
        <w:rPr>
          <w:rFonts w:ascii="Tahoma" w:hAnsi="Tahoma" w:cs="Tahoma"/>
          <w:sz w:val="20"/>
          <w:szCs w:val="20"/>
        </w:rPr>
        <w:t>adoption</w:t>
      </w:r>
      <w:r w:rsidR="00DB1635" w:rsidRPr="00B004EE">
        <w:rPr>
          <w:rFonts w:ascii="Tahoma" w:hAnsi="Tahoma" w:cs="Tahoma"/>
          <w:sz w:val="20"/>
          <w:szCs w:val="20"/>
        </w:rPr>
        <w:t xml:space="preserve"> </w:t>
      </w:r>
      <w:r w:rsidR="008518B0" w:rsidRPr="00B004EE">
        <w:rPr>
          <w:rFonts w:ascii="Tahoma" w:hAnsi="Tahoma" w:cs="Tahoma"/>
          <w:sz w:val="20"/>
          <w:szCs w:val="20"/>
        </w:rPr>
        <w:t>par</w:t>
      </w:r>
      <w:r w:rsidR="00DB1635" w:rsidRPr="00B004EE">
        <w:rPr>
          <w:rFonts w:ascii="Tahoma" w:hAnsi="Tahoma" w:cs="Tahoma"/>
          <w:sz w:val="20"/>
          <w:szCs w:val="20"/>
        </w:rPr>
        <w:t xml:space="preserve"> </w:t>
      </w:r>
      <w:r w:rsidR="008518B0" w:rsidRPr="00B004EE">
        <w:rPr>
          <w:rFonts w:ascii="Tahoma" w:hAnsi="Tahoma" w:cs="Tahoma"/>
          <w:sz w:val="20"/>
          <w:szCs w:val="20"/>
        </w:rPr>
        <w:t>le</w:t>
      </w:r>
      <w:r w:rsidR="00DB1635" w:rsidRPr="00B004EE">
        <w:rPr>
          <w:rFonts w:ascii="Tahoma" w:hAnsi="Tahoma" w:cs="Tahoma"/>
          <w:spacing w:val="25"/>
          <w:sz w:val="20"/>
          <w:szCs w:val="20"/>
        </w:rPr>
        <w:t xml:space="preserve"> </w:t>
      </w:r>
      <w:r w:rsidR="008518B0" w:rsidRPr="00B004EE">
        <w:rPr>
          <w:rFonts w:ascii="Tahoma" w:hAnsi="Tahoma" w:cs="Tahoma"/>
          <w:sz w:val="20"/>
          <w:szCs w:val="20"/>
        </w:rPr>
        <w:t>Conseil</w:t>
      </w:r>
      <w:r w:rsidR="00DB1635" w:rsidRPr="00B004EE">
        <w:rPr>
          <w:rFonts w:ascii="Tahoma" w:hAnsi="Tahoma" w:cs="Tahoma"/>
          <w:w w:val="99"/>
          <w:sz w:val="20"/>
          <w:szCs w:val="20"/>
        </w:rPr>
        <w:t xml:space="preserve"> </w:t>
      </w:r>
      <w:r w:rsidR="008518B0" w:rsidRPr="00B004EE">
        <w:rPr>
          <w:rFonts w:ascii="Tahoma" w:hAnsi="Tahoma" w:cs="Tahoma"/>
          <w:sz w:val="20"/>
          <w:szCs w:val="20"/>
        </w:rPr>
        <w:t>d'Administration,</w:t>
      </w:r>
      <w:r w:rsidR="00DB1635" w:rsidRPr="00B004EE">
        <w:rPr>
          <w:rFonts w:ascii="Tahoma" w:hAnsi="Tahoma" w:cs="Tahoma"/>
          <w:spacing w:val="13"/>
          <w:sz w:val="20"/>
          <w:szCs w:val="20"/>
        </w:rPr>
        <w:t xml:space="preserve"> </w:t>
      </w:r>
      <w:r w:rsidR="008518B0" w:rsidRPr="00B004EE">
        <w:rPr>
          <w:rFonts w:ascii="Tahoma" w:hAnsi="Tahoma" w:cs="Tahoma"/>
          <w:sz w:val="20"/>
          <w:szCs w:val="20"/>
        </w:rPr>
        <w:t>aux</w:t>
      </w:r>
      <w:r w:rsidR="00DB1635" w:rsidRPr="00B004EE">
        <w:rPr>
          <w:rFonts w:ascii="Tahoma" w:hAnsi="Tahoma" w:cs="Tahoma"/>
          <w:spacing w:val="19"/>
          <w:sz w:val="20"/>
          <w:szCs w:val="20"/>
        </w:rPr>
        <w:t xml:space="preserve"> </w:t>
      </w:r>
      <w:r w:rsidR="008518B0" w:rsidRPr="00B004EE">
        <w:rPr>
          <w:rFonts w:ascii="Tahoma" w:hAnsi="Tahoma" w:cs="Tahoma"/>
          <w:sz w:val="20"/>
          <w:szCs w:val="20"/>
        </w:rPr>
        <w:t>autorités</w:t>
      </w:r>
      <w:r w:rsidR="00DB1635" w:rsidRPr="00B004EE">
        <w:rPr>
          <w:rFonts w:ascii="Tahoma" w:hAnsi="Tahoma" w:cs="Tahoma"/>
          <w:spacing w:val="13"/>
          <w:sz w:val="20"/>
          <w:szCs w:val="20"/>
        </w:rPr>
        <w:t xml:space="preserve"> </w:t>
      </w:r>
      <w:r w:rsidR="008518B0" w:rsidRPr="00B004EE">
        <w:rPr>
          <w:rFonts w:ascii="Tahoma" w:hAnsi="Tahoma" w:cs="Tahoma"/>
          <w:sz w:val="20"/>
          <w:szCs w:val="20"/>
        </w:rPr>
        <w:t>de</w:t>
      </w:r>
      <w:r w:rsidR="00DB1635" w:rsidRPr="00B004EE">
        <w:rPr>
          <w:rFonts w:ascii="Tahoma" w:hAnsi="Tahoma" w:cs="Tahoma"/>
          <w:spacing w:val="16"/>
          <w:sz w:val="20"/>
          <w:szCs w:val="20"/>
        </w:rPr>
        <w:t xml:space="preserve"> </w:t>
      </w:r>
      <w:r w:rsidR="008518B0" w:rsidRPr="00B004EE">
        <w:rPr>
          <w:rFonts w:ascii="Tahoma" w:hAnsi="Tahoma" w:cs="Tahoma"/>
          <w:sz w:val="20"/>
          <w:szCs w:val="20"/>
        </w:rPr>
        <w:t>tutelle</w:t>
      </w:r>
      <w:r w:rsidR="00DB1635" w:rsidRPr="00B004EE">
        <w:rPr>
          <w:rFonts w:ascii="Tahoma" w:hAnsi="Tahoma" w:cs="Tahoma"/>
          <w:spacing w:val="12"/>
          <w:sz w:val="20"/>
          <w:szCs w:val="20"/>
        </w:rPr>
        <w:t xml:space="preserve"> </w:t>
      </w:r>
      <w:r w:rsidR="008518B0" w:rsidRPr="00B004EE">
        <w:rPr>
          <w:rFonts w:ascii="Tahoma" w:hAnsi="Tahoma" w:cs="Tahoma"/>
          <w:sz w:val="20"/>
          <w:szCs w:val="20"/>
        </w:rPr>
        <w:t>pour</w:t>
      </w:r>
      <w:r w:rsidR="00DB1635" w:rsidRPr="00B004EE">
        <w:rPr>
          <w:rFonts w:ascii="Tahoma" w:hAnsi="Tahoma" w:cs="Tahoma"/>
          <w:spacing w:val="12"/>
          <w:sz w:val="20"/>
          <w:szCs w:val="20"/>
        </w:rPr>
        <w:t xml:space="preserve"> </w:t>
      </w:r>
      <w:r w:rsidR="008518B0" w:rsidRPr="00B004EE">
        <w:rPr>
          <w:rFonts w:ascii="Tahoma" w:hAnsi="Tahoma" w:cs="Tahoma"/>
          <w:sz w:val="20"/>
          <w:szCs w:val="20"/>
        </w:rPr>
        <w:t>approbation</w:t>
      </w:r>
      <w:r w:rsidR="00DB1635" w:rsidRPr="00B004EE">
        <w:rPr>
          <w:rFonts w:ascii="Tahoma" w:hAnsi="Tahoma" w:cs="Tahoma"/>
          <w:spacing w:val="11"/>
          <w:sz w:val="20"/>
          <w:szCs w:val="20"/>
        </w:rPr>
        <w:t xml:space="preserve"> </w:t>
      </w:r>
      <w:r w:rsidR="008518B0" w:rsidRPr="00B004EE">
        <w:rPr>
          <w:rFonts w:ascii="Tahoma" w:hAnsi="Tahoma" w:cs="Tahoma"/>
          <w:sz w:val="20"/>
          <w:szCs w:val="20"/>
        </w:rPr>
        <w:t>trente</w:t>
      </w:r>
      <w:r w:rsidR="00DB1635" w:rsidRPr="00B004EE">
        <w:rPr>
          <w:rFonts w:ascii="Tahoma" w:hAnsi="Tahoma" w:cs="Tahoma"/>
          <w:spacing w:val="12"/>
          <w:sz w:val="20"/>
          <w:szCs w:val="20"/>
        </w:rPr>
        <w:t xml:space="preserve"> </w:t>
      </w:r>
      <w:r w:rsidR="008518B0" w:rsidRPr="00B004EE">
        <w:rPr>
          <w:rFonts w:ascii="Tahoma" w:hAnsi="Tahoma" w:cs="Tahoma"/>
          <w:sz w:val="20"/>
          <w:szCs w:val="20"/>
        </w:rPr>
        <w:t>(30)</w:t>
      </w:r>
      <w:r w:rsidR="00DB1635" w:rsidRPr="00B004EE">
        <w:rPr>
          <w:rFonts w:ascii="Tahoma" w:hAnsi="Tahoma" w:cs="Tahoma"/>
          <w:spacing w:val="10"/>
          <w:sz w:val="20"/>
          <w:szCs w:val="20"/>
        </w:rPr>
        <w:t xml:space="preserve"> </w:t>
      </w:r>
      <w:r w:rsidR="008518B0" w:rsidRPr="00B004EE">
        <w:rPr>
          <w:rFonts w:ascii="Tahoma" w:hAnsi="Tahoma" w:cs="Tahoma"/>
          <w:sz w:val="20"/>
          <w:szCs w:val="20"/>
        </w:rPr>
        <w:t>jours</w:t>
      </w:r>
      <w:r w:rsidR="00DB1635" w:rsidRPr="00B004EE">
        <w:rPr>
          <w:rFonts w:ascii="Tahoma" w:hAnsi="Tahoma" w:cs="Tahoma"/>
          <w:spacing w:val="13"/>
          <w:sz w:val="20"/>
          <w:szCs w:val="20"/>
        </w:rPr>
        <w:t xml:space="preserve"> </w:t>
      </w:r>
      <w:r w:rsidR="008518B0" w:rsidRPr="00B004EE">
        <w:rPr>
          <w:rFonts w:ascii="Tahoma" w:hAnsi="Tahoma" w:cs="Tahoma"/>
          <w:sz w:val="20"/>
          <w:szCs w:val="20"/>
        </w:rPr>
        <w:t>avant</w:t>
      </w:r>
      <w:r w:rsidR="00DB1635" w:rsidRPr="00B004EE">
        <w:rPr>
          <w:rFonts w:ascii="Tahoma" w:hAnsi="Tahoma" w:cs="Tahoma"/>
          <w:spacing w:val="11"/>
          <w:sz w:val="20"/>
          <w:szCs w:val="20"/>
        </w:rPr>
        <w:t xml:space="preserve"> </w:t>
      </w:r>
      <w:r w:rsidR="008518B0" w:rsidRPr="00B004EE">
        <w:rPr>
          <w:rFonts w:ascii="Tahoma" w:hAnsi="Tahoma" w:cs="Tahoma"/>
          <w:sz w:val="20"/>
          <w:szCs w:val="20"/>
        </w:rPr>
        <w:t>le</w:t>
      </w:r>
      <w:r w:rsidR="00DB1635" w:rsidRPr="00B004EE">
        <w:rPr>
          <w:rFonts w:ascii="Tahoma" w:hAnsi="Tahoma" w:cs="Tahoma"/>
          <w:spacing w:val="10"/>
          <w:sz w:val="20"/>
          <w:szCs w:val="20"/>
        </w:rPr>
        <w:t xml:space="preserve"> </w:t>
      </w:r>
      <w:r w:rsidR="008518B0" w:rsidRPr="00B004EE">
        <w:rPr>
          <w:rFonts w:ascii="Tahoma" w:hAnsi="Tahoma" w:cs="Tahoma"/>
          <w:sz w:val="20"/>
          <w:szCs w:val="20"/>
        </w:rPr>
        <w:t>début</w:t>
      </w:r>
      <w:r w:rsidR="00DB1635" w:rsidRPr="00B004EE">
        <w:rPr>
          <w:rFonts w:ascii="Tahoma" w:hAnsi="Tahoma" w:cs="Tahoma"/>
          <w:spacing w:val="11"/>
          <w:sz w:val="20"/>
          <w:szCs w:val="20"/>
        </w:rPr>
        <w:t xml:space="preserve"> </w:t>
      </w:r>
      <w:r w:rsidR="008518B0" w:rsidRPr="00B004EE">
        <w:rPr>
          <w:rFonts w:ascii="Tahoma" w:hAnsi="Tahoma" w:cs="Tahoma"/>
          <w:sz w:val="20"/>
          <w:szCs w:val="20"/>
        </w:rPr>
        <w:t>de</w:t>
      </w:r>
      <w:r w:rsidR="00DB1635" w:rsidRPr="00B004EE">
        <w:rPr>
          <w:rFonts w:ascii="Tahoma" w:hAnsi="Tahoma" w:cs="Tahoma"/>
          <w:spacing w:val="-57"/>
          <w:sz w:val="20"/>
          <w:szCs w:val="20"/>
        </w:rPr>
        <w:t xml:space="preserve"> </w:t>
      </w:r>
      <w:r w:rsidR="008518B0" w:rsidRPr="00B004EE">
        <w:rPr>
          <w:rFonts w:ascii="Tahoma" w:hAnsi="Tahoma" w:cs="Tahoma"/>
          <w:sz w:val="20"/>
          <w:szCs w:val="20"/>
        </w:rPr>
        <w:t>l'exercice</w:t>
      </w:r>
      <w:r w:rsidR="00DB1635" w:rsidRPr="00B004EE">
        <w:rPr>
          <w:rFonts w:ascii="Tahoma" w:hAnsi="Tahoma" w:cs="Tahoma"/>
          <w:spacing w:val="-9"/>
          <w:sz w:val="20"/>
          <w:szCs w:val="20"/>
        </w:rPr>
        <w:t xml:space="preserve"> </w:t>
      </w:r>
      <w:r w:rsidR="008518B0" w:rsidRPr="00B004EE">
        <w:rPr>
          <w:rFonts w:ascii="Tahoma" w:hAnsi="Tahoma" w:cs="Tahoma"/>
          <w:sz w:val="20"/>
          <w:szCs w:val="20"/>
        </w:rPr>
        <w:t>considéré.</w:t>
      </w:r>
    </w:p>
    <w:p w14:paraId="1039700F" w14:textId="77777777" w:rsidR="00FF661D" w:rsidRPr="00B004EE" w:rsidRDefault="00FF661D" w:rsidP="00B004EE">
      <w:pPr>
        <w:pStyle w:val="Corpsdetexte"/>
        <w:ind w:left="175" w:right="205"/>
        <w:rPr>
          <w:rFonts w:ascii="Tahoma" w:hAnsi="Tahoma" w:cs="Tahoma"/>
          <w:bCs/>
          <w:iCs/>
          <w:sz w:val="20"/>
          <w:szCs w:val="20"/>
        </w:rPr>
      </w:pPr>
    </w:p>
    <w:p w14:paraId="1DFCEC5F" w14:textId="3331954D" w:rsidR="008518B0" w:rsidRPr="00B004EE" w:rsidRDefault="00FF661D" w:rsidP="00B004EE">
      <w:pPr>
        <w:pStyle w:val="Corpsdetexte"/>
        <w:ind w:left="175" w:right="205"/>
        <w:rPr>
          <w:rFonts w:ascii="Tahoma" w:hAnsi="Tahoma" w:cs="Tahoma"/>
          <w:sz w:val="20"/>
          <w:szCs w:val="20"/>
        </w:rPr>
      </w:pPr>
      <w:r w:rsidRPr="00B004EE">
        <w:rPr>
          <w:rFonts w:ascii="Tahoma" w:hAnsi="Tahoma" w:cs="Tahoma"/>
          <w:bCs/>
          <w:iCs/>
          <w:sz w:val="20"/>
          <w:szCs w:val="20"/>
        </w:rPr>
        <w:t xml:space="preserve">Article </w:t>
      </w:r>
      <w:r w:rsidR="008518B0" w:rsidRPr="00B004EE">
        <w:rPr>
          <w:rFonts w:ascii="Tahoma" w:hAnsi="Tahoma" w:cs="Tahoma"/>
          <w:bCs/>
          <w:iCs/>
          <w:sz w:val="20"/>
          <w:szCs w:val="20"/>
        </w:rPr>
        <w:t>22</w:t>
      </w:r>
      <w:r w:rsidR="00DB1635" w:rsidRPr="00B004EE">
        <w:rPr>
          <w:rFonts w:ascii="Tahoma" w:hAnsi="Tahoma" w:cs="Tahoma"/>
          <w:bCs/>
          <w:iCs/>
          <w:sz w:val="20"/>
          <w:szCs w:val="20"/>
        </w:rPr>
        <w:t xml:space="preserve"> </w:t>
      </w:r>
      <w:r w:rsidR="008518B0" w:rsidRPr="00B004EE">
        <w:rPr>
          <w:rFonts w:ascii="Tahoma" w:hAnsi="Tahoma" w:cs="Tahoma"/>
          <w:bCs/>
          <w:iCs/>
          <w:sz w:val="20"/>
          <w:szCs w:val="20"/>
        </w:rPr>
        <w:t>:</w:t>
      </w:r>
      <w:r w:rsidR="00DB1635" w:rsidRPr="00B004EE">
        <w:rPr>
          <w:rFonts w:ascii="Tahoma" w:hAnsi="Tahoma" w:cs="Tahoma"/>
          <w:b/>
          <w:i/>
          <w:sz w:val="20"/>
          <w:szCs w:val="20"/>
        </w:rPr>
        <w:t xml:space="preserve"> </w:t>
      </w:r>
      <w:r w:rsidR="008518B0" w:rsidRPr="00B004EE">
        <w:rPr>
          <w:rFonts w:ascii="Tahoma" w:hAnsi="Tahoma" w:cs="Tahoma"/>
          <w:spacing w:val="4"/>
          <w:sz w:val="20"/>
          <w:szCs w:val="20"/>
        </w:rPr>
        <w:t>L'exercice</w:t>
      </w:r>
      <w:r w:rsidR="00DB1635" w:rsidRPr="00B004EE">
        <w:rPr>
          <w:rFonts w:ascii="Tahoma" w:hAnsi="Tahoma" w:cs="Tahoma"/>
          <w:spacing w:val="4"/>
          <w:sz w:val="20"/>
          <w:szCs w:val="20"/>
        </w:rPr>
        <w:t xml:space="preserve"> </w:t>
      </w:r>
      <w:r w:rsidR="008518B0" w:rsidRPr="00B004EE">
        <w:rPr>
          <w:rFonts w:ascii="Tahoma" w:hAnsi="Tahoma" w:cs="Tahoma"/>
          <w:spacing w:val="5"/>
          <w:sz w:val="20"/>
          <w:szCs w:val="20"/>
        </w:rPr>
        <w:t>budgétaire</w:t>
      </w:r>
      <w:r w:rsidR="00DB1635" w:rsidRPr="00B004EE">
        <w:rPr>
          <w:rFonts w:ascii="Tahoma" w:hAnsi="Tahoma" w:cs="Tahoma"/>
          <w:spacing w:val="5"/>
          <w:sz w:val="20"/>
          <w:szCs w:val="20"/>
        </w:rPr>
        <w:t xml:space="preserve"> </w:t>
      </w:r>
      <w:r w:rsidR="008518B0" w:rsidRPr="00B004EE">
        <w:rPr>
          <w:rFonts w:ascii="Tahoma" w:hAnsi="Tahoma" w:cs="Tahoma"/>
          <w:sz w:val="20"/>
          <w:szCs w:val="20"/>
        </w:rPr>
        <w:t>et</w:t>
      </w:r>
      <w:r w:rsidR="00DB1635" w:rsidRPr="00B004EE">
        <w:rPr>
          <w:rFonts w:ascii="Tahoma" w:hAnsi="Tahoma" w:cs="Tahoma"/>
          <w:sz w:val="20"/>
          <w:szCs w:val="20"/>
        </w:rPr>
        <w:t xml:space="preserve"> </w:t>
      </w:r>
      <w:r w:rsidR="008518B0" w:rsidRPr="00B004EE">
        <w:rPr>
          <w:rFonts w:ascii="Tahoma" w:hAnsi="Tahoma" w:cs="Tahoma"/>
          <w:sz w:val="20"/>
          <w:szCs w:val="20"/>
        </w:rPr>
        <w:t>comptable</w:t>
      </w:r>
      <w:r w:rsidR="00DB1635" w:rsidRPr="00B004EE">
        <w:rPr>
          <w:rFonts w:ascii="Tahoma" w:hAnsi="Tahoma" w:cs="Tahoma"/>
          <w:sz w:val="20"/>
          <w:szCs w:val="20"/>
        </w:rPr>
        <w:t xml:space="preserve"> </w:t>
      </w:r>
      <w:r w:rsidR="008518B0" w:rsidRPr="00B004EE">
        <w:rPr>
          <w:rFonts w:ascii="Tahoma" w:hAnsi="Tahoma" w:cs="Tahoma"/>
          <w:sz w:val="20"/>
          <w:szCs w:val="20"/>
        </w:rPr>
        <w:t>de</w:t>
      </w:r>
      <w:r w:rsidR="00DB1635" w:rsidRPr="00B004EE">
        <w:rPr>
          <w:rFonts w:ascii="Tahoma" w:hAnsi="Tahoma" w:cs="Tahoma"/>
          <w:sz w:val="20"/>
          <w:szCs w:val="20"/>
        </w:rPr>
        <w:t xml:space="preserve"> </w:t>
      </w:r>
      <w:r w:rsidR="008518B0" w:rsidRPr="00B004EE">
        <w:rPr>
          <w:rFonts w:ascii="Tahoma" w:hAnsi="Tahoma" w:cs="Tahoma"/>
          <w:sz w:val="20"/>
          <w:szCs w:val="20"/>
        </w:rPr>
        <w:t>l'Office</w:t>
      </w:r>
      <w:r w:rsidR="00DB1635" w:rsidRPr="00B004EE">
        <w:rPr>
          <w:rFonts w:ascii="Tahoma" w:hAnsi="Tahoma" w:cs="Tahoma"/>
          <w:sz w:val="20"/>
          <w:szCs w:val="20"/>
        </w:rPr>
        <w:t xml:space="preserve"> </w:t>
      </w:r>
      <w:r w:rsidR="008518B0" w:rsidRPr="00B004EE">
        <w:rPr>
          <w:rFonts w:ascii="Tahoma" w:hAnsi="Tahoma" w:cs="Tahoma"/>
          <w:sz w:val="20"/>
          <w:szCs w:val="20"/>
        </w:rPr>
        <w:t>National</w:t>
      </w:r>
      <w:r w:rsidR="00DB1635" w:rsidRPr="00B004EE">
        <w:rPr>
          <w:rFonts w:ascii="Tahoma" w:hAnsi="Tahoma" w:cs="Tahoma"/>
          <w:sz w:val="20"/>
          <w:szCs w:val="20"/>
        </w:rPr>
        <w:t xml:space="preserve"> </w:t>
      </w:r>
      <w:r w:rsidR="008518B0" w:rsidRPr="00B004EE">
        <w:rPr>
          <w:rFonts w:ascii="Tahoma" w:hAnsi="Tahoma" w:cs="Tahoma"/>
          <w:sz w:val="20"/>
          <w:szCs w:val="20"/>
        </w:rPr>
        <w:t>d'Inspection</w:t>
      </w:r>
      <w:r w:rsidR="00DB1635" w:rsidRPr="00B004EE">
        <w:rPr>
          <w:rFonts w:ascii="Tahoma" w:hAnsi="Tahoma" w:cs="Tahoma"/>
          <w:w w:val="99"/>
          <w:sz w:val="20"/>
          <w:szCs w:val="20"/>
        </w:rPr>
        <w:t xml:space="preserve"> </w:t>
      </w:r>
      <w:r w:rsidR="008518B0" w:rsidRPr="00B004EE">
        <w:rPr>
          <w:rFonts w:ascii="Tahoma" w:hAnsi="Tahoma" w:cs="Tahoma"/>
          <w:sz w:val="20"/>
          <w:szCs w:val="20"/>
        </w:rPr>
        <w:t>Sanitaire</w:t>
      </w:r>
      <w:r w:rsidR="00DB1635" w:rsidRPr="00B004EE">
        <w:rPr>
          <w:rFonts w:ascii="Tahoma" w:hAnsi="Tahoma" w:cs="Tahoma"/>
          <w:spacing w:val="9"/>
          <w:sz w:val="20"/>
          <w:szCs w:val="20"/>
        </w:rPr>
        <w:t xml:space="preserve"> </w:t>
      </w:r>
      <w:r w:rsidR="008518B0" w:rsidRPr="00B004EE">
        <w:rPr>
          <w:rFonts w:ascii="Tahoma" w:hAnsi="Tahoma" w:cs="Tahoma"/>
          <w:sz w:val="20"/>
          <w:szCs w:val="20"/>
        </w:rPr>
        <w:t>des</w:t>
      </w:r>
      <w:r w:rsidR="00DB1635" w:rsidRPr="00B004EE">
        <w:rPr>
          <w:rFonts w:ascii="Tahoma" w:hAnsi="Tahoma" w:cs="Tahoma"/>
          <w:spacing w:val="10"/>
          <w:sz w:val="20"/>
          <w:szCs w:val="20"/>
        </w:rPr>
        <w:t xml:space="preserve"> </w:t>
      </w:r>
      <w:r w:rsidR="008518B0" w:rsidRPr="00B004EE">
        <w:rPr>
          <w:rFonts w:ascii="Tahoma" w:hAnsi="Tahoma" w:cs="Tahoma"/>
          <w:sz w:val="20"/>
          <w:szCs w:val="20"/>
        </w:rPr>
        <w:t>Produits</w:t>
      </w:r>
      <w:r w:rsidR="00DB1635" w:rsidRPr="00B004EE">
        <w:rPr>
          <w:rFonts w:ascii="Tahoma" w:hAnsi="Tahoma" w:cs="Tahoma"/>
          <w:spacing w:val="10"/>
          <w:sz w:val="20"/>
          <w:szCs w:val="20"/>
        </w:rPr>
        <w:t xml:space="preserve"> </w:t>
      </w:r>
      <w:r w:rsidR="008518B0" w:rsidRPr="00B004EE">
        <w:rPr>
          <w:rFonts w:ascii="Tahoma" w:hAnsi="Tahoma" w:cs="Tahoma"/>
          <w:sz w:val="20"/>
          <w:szCs w:val="20"/>
        </w:rPr>
        <w:t>de</w:t>
      </w:r>
      <w:r w:rsidR="00DB1635" w:rsidRPr="00B004EE">
        <w:rPr>
          <w:rFonts w:ascii="Tahoma" w:hAnsi="Tahoma" w:cs="Tahoma"/>
          <w:spacing w:val="12"/>
          <w:sz w:val="20"/>
          <w:szCs w:val="20"/>
        </w:rPr>
        <w:t xml:space="preserve"> </w:t>
      </w:r>
      <w:r w:rsidR="008518B0" w:rsidRPr="00B004EE">
        <w:rPr>
          <w:rFonts w:ascii="Tahoma" w:hAnsi="Tahoma" w:cs="Tahoma"/>
          <w:sz w:val="20"/>
          <w:szCs w:val="20"/>
        </w:rPr>
        <w:t>la</w:t>
      </w:r>
      <w:r w:rsidR="00DB1635" w:rsidRPr="00B004EE">
        <w:rPr>
          <w:rFonts w:ascii="Tahoma" w:hAnsi="Tahoma" w:cs="Tahoma"/>
          <w:spacing w:val="9"/>
          <w:sz w:val="20"/>
          <w:szCs w:val="20"/>
        </w:rPr>
        <w:t xml:space="preserve"> </w:t>
      </w:r>
      <w:r w:rsidR="008518B0" w:rsidRPr="00B004EE">
        <w:rPr>
          <w:rFonts w:ascii="Tahoma" w:hAnsi="Tahoma" w:cs="Tahoma"/>
          <w:sz w:val="20"/>
          <w:szCs w:val="20"/>
        </w:rPr>
        <w:t>Pêche</w:t>
      </w:r>
      <w:r w:rsidR="00DB1635" w:rsidRPr="00B004EE">
        <w:rPr>
          <w:rFonts w:ascii="Tahoma" w:hAnsi="Tahoma" w:cs="Tahoma"/>
          <w:spacing w:val="9"/>
          <w:sz w:val="20"/>
          <w:szCs w:val="20"/>
        </w:rPr>
        <w:t xml:space="preserve"> </w:t>
      </w:r>
      <w:r w:rsidR="008518B0" w:rsidRPr="00B004EE">
        <w:rPr>
          <w:rFonts w:ascii="Tahoma" w:hAnsi="Tahoma" w:cs="Tahoma"/>
          <w:sz w:val="20"/>
          <w:szCs w:val="20"/>
        </w:rPr>
        <w:t>et</w:t>
      </w:r>
      <w:r w:rsidR="00DB1635" w:rsidRPr="00B004EE">
        <w:rPr>
          <w:rFonts w:ascii="Tahoma" w:hAnsi="Tahoma" w:cs="Tahoma"/>
          <w:spacing w:val="13"/>
          <w:sz w:val="20"/>
          <w:szCs w:val="20"/>
        </w:rPr>
        <w:t xml:space="preserve"> </w:t>
      </w:r>
      <w:r w:rsidR="008518B0" w:rsidRPr="00B004EE">
        <w:rPr>
          <w:rFonts w:ascii="Tahoma" w:hAnsi="Tahoma" w:cs="Tahoma"/>
          <w:sz w:val="20"/>
          <w:szCs w:val="20"/>
        </w:rPr>
        <w:t>de</w:t>
      </w:r>
      <w:r w:rsidR="00DB1635" w:rsidRPr="00B004EE">
        <w:rPr>
          <w:rFonts w:ascii="Tahoma" w:hAnsi="Tahoma" w:cs="Tahoma"/>
          <w:spacing w:val="9"/>
          <w:sz w:val="20"/>
          <w:szCs w:val="20"/>
        </w:rPr>
        <w:t xml:space="preserve"> </w:t>
      </w:r>
      <w:r w:rsidR="008518B0" w:rsidRPr="00B004EE">
        <w:rPr>
          <w:rFonts w:ascii="Tahoma" w:hAnsi="Tahoma" w:cs="Tahoma"/>
          <w:spacing w:val="2"/>
          <w:sz w:val="20"/>
          <w:szCs w:val="20"/>
        </w:rPr>
        <w:t>l'Aquaculture</w:t>
      </w:r>
      <w:r w:rsidR="00DB1635" w:rsidRPr="00B004EE">
        <w:rPr>
          <w:rFonts w:ascii="Tahoma" w:hAnsi="Tahoma" w:cs="Tahoma"/>
          <w:spacing w:val="16"/>
          <w:sz w:val="20"/>
          <w:szCs w:val="20"/>
        </w:rPr>
        <w:t xml:space="preserve"> </w:t>
      </w:r>
      <w:r w:rsidR="008518B0" w:rsidRPr="00B004EE">
        <w:rPr>
          <w:rFonts w:ascii="Tahoma" w:hAnsi="Tahoma" w:cs="Tahoma"/>
          <w:spacing w:val="2"/>
          <w:sz w:val="20"/>
          <w:szCs w:val="20"/>
        </w:rPr>
        <w:t>commence</w:t>
      </w:r>
      <w:r w:rsidR="00DB1635" w:rsidRPr="00B004EE">
        <w:rPr>
          <w:rFonts w:ascii="Tahoma" w:hAnsi="Tahoma" w:cs="Tahoma"/>
          <w:spacing w:val="14"/>
          <w:sz w:val="20"/>
          <w:szCs w:val="20"/>
        </w:rPr>
        <w:t xml:space="preserve"> </w:t>
      </w:r>
      <w:r w:rsidR="008518B0" w:rsidRPr="00B004EE">
        <w:rPr>
          <w:rFonts w:ascii="Tahoma" w:hAnsi="Tahoma" w:cs="Tahoma"/>
          <w:spacing w:val="2"/>
          <w:sz w:val="20"/>
          <w:szCs w:val="20"/>
        </w:rPr>
        <w:t>le</w:t>
      </w:r>
      <w:r w:rsidR="00DB1635" w:rsidRPr="00B004EE">
        <w:rPr>
          <w:rFonts w:ascii="Tahoma" w:hAnsi="Tahoma" w:cs="Tahoma"/>
          <w:spacing w:val="14"/>
          <w:sz w:val="20"/>
          <w:szCs w:val="20"/>
        </w:rPr>
        <w:t xml:space="preserve"> </w:t>
      </w:r>
      <w:r w:rsidR="008518B0" w:rsidRPr="00B004EE">
        <w:rPr>
          <w:rFonts w:ascii="Tahoma" w:hAnsi="Tahoma" w:cs="Tahoma"/>
          <w:sz w:val="20"/>
          <w:szCs w:val="20"/>
        </w:rPr>
        <w:t>1er</w:t>
      </w:r>
      <w:r w:rsidR="00DB1635" w:rsidRPr="00B004EE">
        <w:rPr>
          <w:rFonts w:ascii="Tahoma" w:hAnsi="Tahoma" w:cs="Tahoma"/>
          <w:spacing w:val="14"/>
          <w:sz w:val="20"/>
          <w:szCs w:val="20"/>
        </w:rPr>
        <w:t xml:space="preserve"> </w:t>
      </w:r>
      <w:r w:rsidR="008518B0" w:rsidRPr="00B004EE">
        <w:rPr>
          <w:rFonts w:ascii="Tahoma" w:hAnsi="Tahoma" w:cs="Tahoma"/>
          <w:spacing w:val="2"/>
          <w:sz w:val="20"/>
          <w:szCs w:val="20"/>
        </w:rPr>
        <w:t>Janvier</w:t>
      </w:r>
      <w:r w:rsidR="00DB1635" w:rsidRPr="00B004EE">
        <w:rPr>
          <w:rFonts w:ascii="Tahoma" w:hAnsi="Tahoma" w:cs="Tahoma"/>
          <w:spacing w:val="14"/>
          <w:sz w:val="20"/>
          <w:szCs w:val="20"/>
        </w:rPr>
        <w:t xml:space="preserve"> </w:t>
      </w:r>
      <w:r w:rsidR="008518B0" w:rsidRPr="00B004EE">
        <w:rPr>
          <w:rFonts w:ascii="Tahoma" w:hAnsi="Tahoma" w:cs="Tahoma"/>
          <w:sz w:val="20"/>
          <w:szCs w:val="20"/>
        </w:rPr>
        <w:t>et</w:t>
      </w:r>
      <w:r w:rsidR="00DB1635" w:rsidRPr="00B004EE">
        <w:rPr>
          <w:rFonts w:ascii="Tahoma" w:hAnsi="Tahoma" w:cs="Tahoma"/>
          <w:spacing w:val="15"/>
          <w:sz w:val="20"/>
          <w:szCs w:val="20"/>
        </w:rPr>
        <w:t xml:space="preserve"> </w:t>
      </w:r>
      <w:r w:rsidR="008518B0" w:rsidRPr="00B004EE">
        <w:rPr>
          <w:rFonts w:ascii="Tahoma" w:hAnsi="Tahoma" w:cs="Tahoma"/>
          <w:sz w:val="20"/>
          <w:szCs w:val="20"/>
        </w:rPr>
        <w:t>se</w:t>
      </w:r>
      <w:r w:rsidR="00DB1635" w:rsidRPr="00B004EE">
        <w:rPr>
          <w:rFonts w:ascii="Tahoma" w:hAnsi="Tahoma" w:cs="Tahoma"/>
          <w:spacing w:val="7"/>
          <w:sz w:val="20"/>
          <w:szCs w:val="20"/>
        </w:rPr>
        <w:t xml:space="preserve"> </w:t>
      </w:r>
      <w:r w:rsidR="008518B0" w:rsidRPr="00B004EE">
        <w:rPr>
          <w:rFonts w:ascii="Tahoma" w:hAnsi="Tahoma" w:cs="Tahoma"/>
          <w:sz w:val="20"/>
          <w:szCs w:val="20"/>
        </w:rPr>
        <w:t>termine</w:t>
      </w:r>
      <w:r w:rsidR="00DB1635" w:rsidRPr="00B004EE">
        <w:rPr>
          <w:rFonts w:ascii="Tahoma" w:hAnsi="Tahoma" w:cs="Tahoma"/>
          <w:w w:val="99"/>
          <w:sz w:val="20"/>
          <w:szCs w:val="20"/>
        </w:rPr>
        <w:t xml:space="preserve"> </w:t>
      </w:r>
      <w:r w:rsidR="008518B0" w:rsidRPr="00B004EE">
        <w:rPr>
          <w:rFonts w:ascii="Tahoma" w:hAnsi="Tahoma" w:cs="Tahoma"/>
          <w:sz w:val="20"/>
          <w:szCs w:val="20"/>
        </w:rPr>
        <w:t>le</w:t>
      </w:r>
      <w:r w:rsidR="00DB1635" w:rsidRPr="00B004EE">
        <w:rPr>
          <w:rFonts w:ascii="Tahoma" w:hAnsi="Tahoma" w:cs="Tahoma"/>
          <w:sz w:val="20"/>
          <w:szCs w:val="20"/>
        </w:rPr>
        <w:t xml:space="preserve"> </w:t>
      </w:r>
      <w:r w:rsidR="008518B0" w:rsidRPr="00B004EE">
        <w:rPr>
          <w:rFonts w:ascii="Tahoma" w:hAnsi="Tahoma" w:cs="Tahoma"/>
          <w:sz w:val="20"/>
          <w:szCs w:val="20"/>
        </w:rPr>
        <w:t>31</w:t>
      </w:r>
      <w:r w:rsidR="00DB1635" w:rsidRPr="00B004EE">
        <w:rPr>
          <w:rFonts w:ascii="Tahoma" w:hAnsi="Tahoma" w:cs="Tahoma"/>
          <w:spacing w:val="-16"/>
          <w:sz w:val="20"/>
          <w:szCs w:val="20"/>
        </w:rPr>
        <w:t xml:space="preserve"> </w:t>
      </w:r>
      <w:r w:rsidR="008518B0" w:rsidRPr="00B004EE">
        <w:rPr>
          <w:rFonts w:ascii="Tahoma" w:hAnsi="Tahoma" w:cs="Tahoma"/>
          <w:sz w:val="20"/>
          <w:szCs w:val="20"/>
        </w:rPr>
        <w:t>Décembre.</w:t>
      </w:r>
    </w:p>
    <w:p w14:paraId="0B04B0F0" w14:textId="77777777" w:rsidR="008518B0" w:rsidRPr="00B004EE" w:rsidRDefault="008518B0" w:rsidP="00B004EE">
      <w:pPr>
        <w:rPr>
          <w:rFonts w:ascii="Tahoma" w:eastAsia="Times" w:hAnsi="Tahoma" w:cs="Tahoma"/>
          <w:sz w:val="20"/>
          <w:szCs w:val="20"/>
        </w:rPr>
      </w:pPr>
    </w:p>
    <w:p w14:paraId="4E04920C" w14:textId="7AA206A4" w:rsidR="008518B0" w:rsidRPr="00B004EE" w:rsidRDefault="00FF661D" w:rsidP="00B004EE">
      <w:pPr>
        <w:pStyle w:val="Corpsdetexte"/>
        <w:ind w:left="175" w:right="205"/>
        <w:rPr>
          <w:rFonts w:ascii="Tahoma" w:hAnsi="Tahoma" w:cs="Tahoma"/>
          <w:sz w:val="20"/>
          <w:szCs w:val="20"/>
        </w:rPr>
      </w:pPr>
      <w:r w:rsidRPr="00B004EE">
        <w:rPr>
          <w:rFonts w:ascii="Tahoma" w:hAnsi="Tahoma" w:cs="Tahoma"/>
          <w:bCs/>
          <w:iCs/>
          <w:sz w:val="20"/>
          <w:szCs w:val="20"/>
        </w:rPr>
        <w:t xml:space="preserve">Article </w:t>
      </w:r>
      <w:r w:rsidR="008518B0" w:rsidRPr="00B004EE">
        <w:rPr>
          <w:rFonts w:ascii="Tahoma" w:hAnsi="Tahoma" w:cs="Tahoma"/>
          <w:bCs/>
          <w:iCs/>
          <w:sz w:val="20"/>
          <w:szCs w:val="20"/>
        </w:rPr>
        <w:t>23</w:t>
      </w:r>
      <w:r w:rsidR="00DB1635" w:rsidRPr="00B004EE">
        <w:rPr>
          <w:rFonts w:ascii="Tahoma" w:hAnsi="Tahoma" w:cs="Tahoma"/>
          <w:bCs/>
          <w:iCs/>
          <w:sz w:val="20"/>
          <w:szCs w:val="20"/>
        </w:rPr>
        <w:t xml:space="preserve"> </w:t>
      </w:r>
      <w:r w:rsidR="008518B0" w:rsidRPr="00B004EE">
        <w:rPr>
          <w:rFonts w:ascii="Tahoma" w:hAnsi="Tahoma" w:cs="Tahoma"/>
          <w:bCs/>
          <w:iCs/>
          <w:sz w:val="20"/>
          <w:szCs w:val="20"/>
        </w:rPr>
        <w:t>:</w:t>
      </w:r>
      <w:r w:rsidR="00DB1635" w:rsidRPr="00B004EE">
        <w:rPr>
          <w:rFonts w:ascii="Tahoma" w:hAnsi="Tahoma" w:cs="Tahoma"/>
          <w:i/>
          <w:sz w:val="20"/>
          <w:szCs w:val="20"/>
        </w:rPr>
        <w:t xml:space="preserve"> </w:t>
      </w:r>
      <w:r w:rsidR="008518B0" w:rsidRPr="00B004EE">
        <w:rPr>
          <w:rFonts w:ascii="Tahoma" w:hAnsi="Tahoma" w:cs="Tahoma"/>
          <w:spacing w:val="-3"/>
          <w:sz w:val="20"/>
          <w:szCs w:val="20"/>
        </w:rPr>
        <w:t>La</w:t>
      </w:r>
      <w:r w:rsidR="00DB1635" w:rsidRPr="00B004EE">
        <w:rPr>
          <w:rFonts w:ascii="Tahoma" w:hAnsi="Tahoma" w:cs="Tahoma"/>
          <w:spacing w:val="-3"/>
          <w:sz w:val="20"/>
          <w:szCs w:val="20"/>
        </w:rPr>
        <w:t xml:space="preserve"> </w:t>
      </w:r>
      <w:r w:rsidR="008518B0" w:rsidRPr="00B004EE">
        <w:rPr>
          <w:rFonts w:ascii="Tahoma" w:hAnsi="Tahoma" w:cs="Tahoma"/>
          <w:sz w:val="20"/>
          <w:szCs w:val="20"/>
        </w:rPr>
        <w:t>Comptabilité</w:t>
      </w:r>
      <w:r w:rsidR="00DB1635" w:rsidRPr="00B004EE">
        <w:rPr>
          <w:rFonts w:ascii="Tahoma" w:hAnsi="Tahoma" w:cs="Tahoma"/>
          <w:sz w:val="20"/>
          <w:szCs w:val="20"/>
        </w:rPr>
        <w:t xml:space="preserve"> </w:t>
      </w:r>
      <w:r w:rsidR="008518B0" w:rsidRPr="00B004EE">
        <w:rPr>
          <w:rFonts w:ascii="Tahoma" w:hAnsi="Tahoma" w:cs="Tahoma"/>
          <w:sz w:val="20"/>
          <w:szCs w:val="20"/>
        </w:rPr>
        <w:t>de</w:t>
      </w:r>
      <w:r w:rsidR="00DB1635" w:rsidRPr="00B004EE">
        <w:rPr>
          <w:rFonts w:ascii="Tahoma" w:hAnsi="Tahoma" w:cs="Tahoma"/>
          <w:sz w:val="20"/>
          <w:szCs w:val="20"/>
        </w:rPr>
        <w:t xml:space="preserve"> </w:t>
      </w:r>
      <w:r w:rsidR="008518B0" w:rsidRPr="00B004EE">
        <w:rPr>
          <w:rFonts w:ascii="Tahoma" w:hAnsi="Tahoma" w:cs="Tahoma"/>
          <w:sz w:val="20"/>
          <w:szCs w:val="20"/>
        </w:rPr>
        <w:t>l'Office</w:t>
      </w:r>
      <w:r w:rsidR="00DB1635" w:rsidRPr="00B004EE">
        <w:rPr>
          <w:rFonts w:ascii="Tahoma" w:hAnsi="Tahoma" w:cs="Tahoma"/>
          <w:sz w:val="20"/>
          <w:szCs w:val="20"/>
        </w:rPr>
        <w:t xml:space="preserve"> </w:t>
      </w:r>
      <w:r w:rsidR="008518B0" w:rsidRPr="00B004EE">
        <w:rPr>
          <w:rFonts w:ascii="Tahoma" w:hAnsi="Tahoma" w:cs="Tahoma"/>
          <w:spacing w:val="11"/>
          <w:sz w:val="20"/>
          <w:szCs w:val="20"/>
        </w:rPr>
        <w:t>National</w:t>
      </w:r>
      <w:r w:rsidR="00DB1635" w:rsidRPr="00B004EE">
        <w:rPr>
          <w:rFonts w:ascii="Tahoma" w:hAnsi="Tahoma" w:cs="Tahoma"/>
          <w:spacing w:val="11"/>
          <w:sz w:val="20"/>
          <w:szCs w:val="20"/>
        </w:rPr>
        <w:t xml:space="preserve"> </w:t>
      </w:r>
      <w:r w:rsidR="008518B0" w:rsidRPr="00B004EE">
        <w:rPr>
          <w:rFonts w:ascii="Tahoma" w:hAnsi="Tahoma" w:cs="Tahoma"/>
          <w:spacing w:val="11"/>
          <w:sz w:val="20"/>
          <w:szCs w:val="20"/>
        </w:rPr>
        <w:t>d'Inspection</w:t>
      </w:r>
      <w:r w:rsidR="00DB1635" w:rsidRPr="00B004EE">
        <w:rPr>
          <w:rFonts w:ascii="Tahoma" w:hAnsi="Tahoma" w:cs="Tahoma"/>
          <w:spacing w:val="11"/>
          <w:sz w:val="20"/>
          <w:szCs w:val="20"/>
        </w:rPr>
        <w:t xml:space="preserve"> </w:t>
      </w:r>
      <w:r w:rsidR="008518B0" w:rsidRPr="00B004EE">
        <w:rPr>
          <w:rFonts w:ascii="Tahoma" w:hAnsi="Tahoma" w:cs="Tahoma"/>
          <w:spacing w:val="11"/>
          <w:sz w:val="20"/>
          <w:szCs w:val="20"/>
        </w:rPr>
        <w:t>Sanitaire</w:t>
      </w:r>
      <w:r w:rsidR="00DB1635" w:rsidRPr="00B004EE">
        <w:rPr>
          <w:rFonts w:ascii="Tahoma" w:hAnsi="Tahoma" w:cs="Tahoma"/>
          <w:spacing w:val="11"/>
          <w:sz w:val="20"/>
          <w:szCs w:val="20"/>
        </w:rPr>
        <w:t xml:space="preserve"> </w:t>
      </w:r>
      <w:r w:rsidR="008518B0" w:rsidRPr="00B004EE">
        <w:rPr>
          <w:rFonts w:ascii="Tahoma" w:hAnsi="Tahoma" w:cs="Tahoma"/>
          <w:spacing w:val="8"/>
          <w:sz w:val="20"/>
          <w:szCs w:val="20"/>
        </w:rPr>
        <w:t>des</w:t>
      </w:r>
      <w:r w:rsidR="00DB1635" w:rsidRPr="00B004EE">
        <w:rPr>
          <w:rFonts w:ascii="Tahoma" w:hAnsi="Tahoma" w:cs="Tahoma"/>
          <w:spacing w:val="8"/>
          <w:sz w:val="20"/>
          <w:szCs w:val="20"/>
        </w:rPr>
        <w:t xml:space="preserve"> </w:t>
      </w:r>
      <w:r w:rsidR="008518B0" w:rsidRPr="00B004EE">
        <w:rPr>
          <w:rFonts w:ascii="Tahoma" w:hAnsi="Tahoma" w:cs="Tahoma"/>
          <w:spacing w:val="6"/>
          <w:sz w:val="20"/>
          <w:szCs w:val="20"/>
        </w:rPr>
        <w:t>Produits</w:t>
      </w:r>
      <w:r w:rsidR="00DB1635" w:rsidRPr="00B004EE">
        <w:rPr>
          <w:rFonts w:ascii="Tahoma" w:hAnsi="Tahoma" w:cs="Tahoma"/>
          <w:w w:val="99"/>
          <w:sz w:val="20"/>
          <w:szCs w:val="20"/>
        </w:rPr>
        <w:t xml:space="preserve"> </w:t>
      </w:r>
      <w:r w:rsidR="008518B0" w:rsidRPr="00B004EE">
        <w:rPr>
          <w:rFonts w:ascii="Tahoma" w:hAnsi="Tahoma" w:cs="Tahoma"/>
          <w:spacing w:val="3"/>
          <w:sz w:val="20"/>
          <w:szCs w:val="20"/>
        </w:rPr>
        <w:t>de</w:t>
      </w:r>
      <w:r w:rsidR="00DB1635" w:rsidRPr="00B004EE">
        <w:rPr>
          <w:rFonts w:ascii="Tahoma" w:hAnsi="Tahoma" w:cs="Tahoma"/>
          <w:spacing w:val="3"/>
          <w:sz w:val="20"/>
          <w:szCs w:val="20"/>
        </w:rPr>
        <w:t xml:space="preserve"> </w:t>
      </w:r>
      <w:r w:rsidR="008518B0" w:rsidRPr="00B004EE">
        <w:rPr>
          <w:rFonts w:ascii="Tahoma" w:hAnsi="Tahoma" w:cs="Tahoma"/>
          <w:spacing w:val="3"/>
          <w:sz w:val="20"/>
          <w:szCs w:val="20"/>
        </w:rPr>
        <w:t>la</w:t>
      </w:r>
      <w:r w:rsidR="00DB1635" w:rsidRPr="00B004EE">
        <w:rPr>
          <w:rFonts w:ascii="Tahoma" w:hAnsi="Tahoma" w:cs="Tahoma"/>
          <w:spacing w:val="3"/>
          <w:sz w:val="20"/>
          <w:szCs w:val="20"/>
        </w:rPr>
        <w:t xml:space="preserve"> </w:t>
      </w:r>
      <w:r w:rsidR="008518B0" w:rsidRPr="00B004EE">
        <w:rPr>
          <w:rFonts w:ascii="Tahoma" w:hAnsi="Tahoma" w:cs="Tahoma"/>
          <w:spacing w:val="5"/>
          <w:sz w:val="20"/>
          <w:szCs w:val="20"/>
        </w:rPr>
        <w:t>Pêche</w:t>
      </w:r>
      <w:r w:rsidR="00DB1635" w:rsidRPr="00B004EE">
        <w:rPr>
          <w:rFonts w:ascii="Tahoma" w:hAnsi="Tahoma" w:cs="Tahoma"/>
          <w:spacing w:val="5"/>
          <w:sz w:val="20"/>
          <w:szCs w:val="20"/>
        </w:rPr>
        <w:t xml:space="preserve"> </w:t>
      </w:r>
      <w:r w:rsidR="008518B0" w:rsidRPr="00B004EE">
        <w:rPr>
          <w:rFonts w:ascii="Tahoma" w:hAnsi="Tahoma" w:cs="Tahoma"/>
          <w:spacing w:val="3"/>
          <w:sz w:val="20"/>
          <w:szCs w:val="20"/>
        </w:rPr>
        <w:t>et</w:t>
      </w:r>
      <w:r w:rsidR="00DB1635" w:rsidRPr="00B004EE">
        <w:rPr>
          <w:rFonts w:ascii="Tahoma" w:hAnsi="Tahoma" w:cs="Tahoma"/>
          <w:spacing w:val="3"/>
          <w:sz w:val="20"/>
          <w:szCs w:val="20"/>
        </w:rPr>
        <w:t xml:space="preserve"> </w:t>
      </w:r>
      <w:r w:rsidR="008518B0" w:rsidRPr="00B004EE">
        <w:rPr>
          <w:rFonts w:ascii="Tahoma" w:hAnsi="Tahoma" w:cs="Tahoma"/>
          <w:spacing w:val="3"/>
          <w:sz w:val="20"/>
          <w:szCs w:val="20"/>
        </w:rPr>
        <w:t>de</w:t>
      </w:r>
      <w:r w:rsidR="00DB1635" w:rsidRPr="00B004EE">
        <w:rPr>
          <w:rFonts w:ascii="Tahoma" w:hAnsi="Tahoma" w:cs="Tahoma"/>
          <w:spacing w:val="3"/>
          <w:sz w:val="20"/>
          <w:szCs w:val="20"/>
        </w:rPr>
        <w:t xml:space="preserve"> </w:t>
      </w:r>
      <w:r w:rsidR="008518B0" w:rsidRPr="00B004EE">
        <w:rPr>
          <w:rFonts w:ascii="Tahoma" w:hAnsi="Tahoma" w:cs="Tahoma"/>
          <w:spacing w:val="6"/>
          <w:sz w:val="20"/>
          <w:szCs w:val="20"/>
        </w:rPr>
        <w:t>l'Aquaculture</w:t>
      </w:r>
      <w:r w:rsidR="00DB1635" w:rsidRPr="00B004EE">
        <w:rPr>
          <w:rFonts w:ascii="Tahoma" w:hAnsi="Tahoma" w:cs="Tahoma"/>
          <w:spacing w:val="6"/>
          <w:sz w:val="20"/>
          <w:szCs w:val="20"/>
        </w:rPr>
        <w:t xml:space="preserve"> </w:t>
      </w:r>
      <w:r w:rsidR="008518B0" w:rsidRPr="00B004EE">
        <w:rPr>
          <w:rFonts w:ascii="Tahoma" w:hAnsi="Tahoma" w:cs="Tahoma"/>
          <w:spacing w:val="4"/>
          <w:sz w:val="20"/>
          <w:szCs w:val="20"/>
        </w:rPr>
        <w:t>est</w:t>
      </w:r>
      <w:r w:rsidR="00DB1635" w:rsidRPr="00B004EE">
        <w:rPr>
          <w:rFonts w:ascii="Tahoma" w:hAnsi="Tahoma" w:cs="Tahoma"/>
          <w:spacing w:val="4"/>
          <w:sz w:val="20"/>
          <w:szCs w:val="20"/>
        </w:rPr>
        <w:t xml:space="preserve"> </w:t>
      </w:r>
      <w:r w:rsidR="008518B0" w:rsidRPr="00B004EE">
        <w:rPr>
          <w:rFonts w:ascii="Tahoma" w:hAnsi="Tahoma" w:cs="Tahoma"/>
          <w:spacing w:val="4"/>
          <w:sz w:val="20"/>
          <w:szCs w:val="20"/>
        </w:rPr>
        <w:t>tenue</w:t>
      </w:r>
      <w:r w:rsidR="00DB1635" w:rsidRPr="00B004EE">
        <w:rPr>
          <w:rFonts w:ascii="Tahoma" w:hAnsi="Tahoma" w:cs="Tahoma"/>
          <w:spacing w:val="4"/>
          <w:sz w:val="20"/>
          <w:szCs w:val="20"/>
        </w:rPr>
        <w:t xml:space="preserve"> </w:t>
      </w:r>
      <w:r w:rsidR="008518B0" w:rsidRPr="00B004EE">
        <w:rPr>
          <w:rFonts w:ascii="Tahoma" w:hAnsi="Tahoma" w:cs="Tahoma"/>
          <w:spacing w:val="4"/>
          <w:sz w:val="20"/>
          <w:szCs w:val="20"/>
        </w:rPr>
        <w:t>suivant</w:t>
      </w:r>
      <w:r w:rsidR="00DB1635" w:rsidRPr="00B004EE">
        <w:rPr>
          <w:rFonts w:ascii="Tahoma" w:hAnsi="Tahoma" w:cs="Tahoma"/>
          <w:spacing w:val="4"/>
          <w:sz w:val="20"/>
          <w:szCs w:val="20"/>
        </w:rPr>
        <w:t xml:space="preserve"> </w:t>
      </w:r>
      <w:r w:rsidR="008518B0" w:rsidRPr="00B004EE">
        <w:rPr>
          <w:rFonts w:ascii="Tahoma" w:hAnsi="Tahoma" w:cs="Tahoma"/>
          <w:spacing w:val="3"/>
          <w:sz w:val="20"/>
          <w:szCs w:val="20"/>
        </w:rPr>
        <w:t>les</w:t>
      </w:r>
      <w:r w:rsidR="00DB1635" w:rsidRPr="00B004EE">
        <w:rPr>
          <w:rFonts w:ascii="Tahoma" w:hAnsi="Tahoma" w:cs="Tahoma"/>
          <w:spacing w:val="3"/>
          <w:sz w:val="20"/>
          <w:szCs w:val="20"/>
        </w:rPr>
        <w:t xml:space="preserve"> </w:t>
      </w:r>
      <w:r w:rsidR="008518B0" w:rsidRPr="00B004EE">
        <w:rPr>
          <w:rFonts w:ascii="Tahoma" w:hAnsi="Tahoma" w:cs="Tahoma"/>
          <w:spacing w:val="4"/>
          <w:sz w:val="20"/>
          <w:szCs w:val="20"/>
        </w:rPr>
        <w:t>règles</w:t>
      </w:r>
      <w:r w:rsidR="00DB1635" w:rsidRPr="00B004EE">
        <w:rPr>
          <w:rFonts w:ascii="Tahoma" w:hAnsi="Tahoma" w:cs="Tahoma"/>
          <w:spacing w:val="4"/>
          <w:sz w:val="20"/>
          <w:szCs w:val="20"/>
        </w:rPr>
        <w:t xml:space="preserve"> </w:t>
      </w:r>
      <w:r w:rsidR="008518B0" w:rsidRPr="00B004EE">
        <w:rPr>
          <w:rFonts w:ascii="Tahoma" w:hAnsi="Tahoma" w:cs="Tahoma"/>
          <w:spacing w:val="3"/>
          <w:sz w:val="20"/>
          <w:szCs w:val="20"/>
        </w:rPr>
        <w:t>et</w:t>
      </w:r>
      <w:r w:rsidR="00DB1635" w:rsidRPr="00B004EE">
        <w:rPr>
          <w:rFonts w:ascii="Tahoma" w:hAnsi="Tahoma" w:cs="Tahoma"/>
          <w:spacing w:val="3"/>
          <w:sz w:val="20"/>
          <w:szCs w:val="20"/>
        </w:rPr>
        <w:t xml:space="preserve"> </w:t>
      </w:r>
      <w:r w:rsidR="008518B0" w:rsidRPr="00B004EE">
        <w:rPr>
          <w:rFonts w:ascii="Tahoma" w:hAnsi="Tahoma" w:cs="Tahoma"/>
          <w:spacing w:val="4"/>
          <w:sz w:val="20"/>
          <w:szCs w:val="20"/>
        </w:rPr>
        <w:t>dans</w:t>
      </w:r>
      <w:r w:rsidR="00DB1635" w:rsidRPr="00B004EE">
        <w:rPr>
          <w:rFonts w:ascii="Tahoma" w:hAnsi="Tahoma" w:cs="Tahoma"/>
          <w:spacing w:val="4"/>
          <w:sz w:val="20"/>
          <w:szCs w:val="20"/>
        </w:rPr>
        <w:t xml:space="preserve"> </w:t>
      </w:r>
      <w:r w:rsidR="008518B0" w:rsidRPr="00B004EE">
        <w:rPr>
          <w:rFonts w:ascii="Tahoma" w:hAnsi="Tahoma" w:cs="Tahoma"/>
          <w:spacing w:val="3"/>
          <w:sz w:val="20"/>
          <w:szCs w:val="20"/>
        </w:rPr>
        <w:t>les</w:t>
      </w:r>
      <w:r w:rsidR="00DB1635" w:rsidRPr="00B004EE">
        <w:rPr>
          <w:rFonts w:ascii="Tahoma" w:hAnsi="Tahoma" w:cs="Tahoma"/>
          <w:spacing w:val="3"/>
          <w:sz w:val="20"/>
          <w:szCs w:val="20"/>
        </w:rPr>
        <w:t xml:space="preserve"> </w:t>
      </w:r>
      <w:r w:rsidR="008518B0" w:rsidRPr="00B004EE">
        <w:rPr>
          <w:rFonts w:ascii="Tahoma" w:hAnsi="Tahoma" w:cs="Tahoma"/>
          <w:sz w:val="20"/>
          <w:szCs w:val="20"/>
        </w:rPr>
        <w:t>formes</w:t>
      </w:r>
      <w:r w:rsidR="00DB1635" w:rsidRPr="00B004EE">
        <w:rPr>
          <w:rFonts w:ascii="Tahoma" w:hAnsi="Tahoma" w:cs="Tahoma"/>
          <w:sz w:val="20"/>
          <w:szCs w:val="20"/>
        </w:rPr>
        <w:t xml:space="preserve"> </w:t>
      </w:r>
      <w:r w:rsidR="008518B0" w:rsidRPr="00B004EE">
        <w:rPr>
          <w:rFonts w:ascii="Tahoma" w:hAnsi="Tahoma" w:cs="Tahoma"/>
          <w:sz w:val="20"/>
          <w:szCs w:val="20"/>
        </w:rPr>
        <w:t>de</w:t>
      </w:r>
      <w:r w:rsidR="00DB1635" w:rsidRPr="00B004EE">
        <w:rPr>
          <w:rFonts w:ascii="Tahoma" w:hAnsi="Tahoma" w:cs="Tahoma"/>
          <w:spacing w:val="19"/>
          <w:sz w:val="20"/>
          <w:szCs w:val="20"/>
        </w:rPr>
        <w:t xml:space="preserve"> </w:t>
      </w:r>
      <w:r w:rsidR="008518B0" w:rsidRPr="00B004EE">
        <w:rPr>
          <w:rFonts w:ascii="Tahoma" w:hAnsi="Tahoma" w:cs="Tahoma"/>
          <w:sz w:val="20"/>
          <w:szCs w:val="20"/>
        </w:rPr>
        <w:t>la</w:t>
      </w:r>
      <w:r w:rsidR="00DB1635" w:rsidRPr="00B004EE">
        <w:rPr>
          <w:rFonts w:ascii="Tahoma" w:hAnsi="Tahoma" w:cs="Tahoma"/>
          <w:w w:val="99"/>
          <w:sz w:val="20"/>
          <w:szCs w:val="20"/>
        </w:rPr>
        <w:t xml:space="preserve"> </w:t>
      </w:r>
      <w:r w:rsidR="008518B0" w:rsidRPr="00B004EE">
        <w:rPr>
          <w:rFonts w:ascii="Tahoma" w:hAnsi="Tahoma" w:cs="Tahoma"/>
          <w:sz w:val="20"/>
          <w:szCs w:val="20"/>
        </w:rPr>
        <w:t>comptabilité</w:t>
      </w:r>
      <w:r w:rsidR="00DB1635" w:rsidRPr="00B004EE">
        <w:rPr>
          <w:rFonts w:ascii="Tahoma" w:hAnsi="Tahoma" w:cs="Tahoma"/>
          <w:spacing w:val="14"/>
          <w:sz w:val="20"/>
          <w:szCs w:val="20"/>
        </w:rPr>
        <w:t xml:space="preserve"> </w:t>
      </w:r>
      <w:r w:rsidR="008518B0" w:rsidRPr="00B004EE">
        <w:rPr>
          <w:rFonts w:ascii="Tahoma" w:hAnsi="Tahoma" w:cs="Tahoma"/>
          <w:sz w:val="20"/>
          <w:szCs w:val="20"/>
        </w:rPr>
        <w:t>publique,</w:t>
      </w:r>
      <w:r w:rsidR="00DB1635" w:rsidRPr="00B004EE">
        <w:rPr>
          <w:rFonts w:ascii="Tahoma" w:hAnsi="Tahoma" w:cs="Tahoma"/>
          <w:spacing w:val="13"/>
          <w:sz w:val="20"/>
          <w:szCs w:val="20"/>
        </w:rPr>
        <w:t xml:space="preserve"> </w:t>
      </w:r>
      <w:r w:rsidR="008518B0" w:rsidRPr="00B004EE">
        <w:rPr>
          <w:rFonts w:ascii="Tahoma" w:hAnsi="Tahoma" w:cs="Tahoma"/>
          <w:sz w:val="20"/>
          <w:szCs w:val="20"/>
        </w:rPr>
        <w:t>telles</w:t>
      </w:r>
      <w:r w:rsidR="00DB1635" w:rsidRPr="00B004EE">
        <w:rPr>
          <w:rFonts w:ascii="Tahoma" w:hAnsi="Tahoma" w:cs="Tahoma"/>
          <w:spacing w:val="13"/>
          <w:sz w:val="20"/>
          <w:szCs w:val="20"/>
        </w:rPr>
        <w:t xml:space="preserve"> </w:t>
      </w:r>
      <w:r w:rsidR="008518B0" w:rsidRPr="00B004EE">
        <w:rPr>
          <w:rFonts w:ascii="Tahoma" w:hAnsi="Tahoma" w:cs="Tahoma"/>
          <w:spacing w:val="4"/>
          <w:sz w:val="20"/>
          <w:szCs w:val="20"/>
        </w:rPr>
        <w:t>que</w:t>
      </w:r>
      <w:r w:rsidR="00DB1635" w:rsidRPr="00B004EE">
        <w:rPr>
          <w:rFonts w:ascii="Tahoma" w:hAnsi="Tahoma" w:cs="Tahoma"/>
          <w:spacing w:val="24"/>
          <w:sz w:val="20"/>
          <w:szCs w:val="20"/>
        </w:rPr>
        <w:t xml:space="preserve"> </w:t>
      </w:r>
      <w:r w:rsidR="008518B0" w:rsidRPr="00B004EE">
        <w:rPr>
          <w:rFonts w:ascii="Tahoma" w:hAnsi="Tahoma" w:cs="Tahoma"/>
          <w:spacing w:val="5"/>
          <w:sz w:val="20"/>
          <w:szCs w:val="20"/>
        </w:rPr>
        <w:t>prévues</w:t>
      </w:r>
      <w:r w:rsidR="00DB1635" w:rsidRPr="00B004EE">
        <w:rPr>
          <w:rFonts w:ascii="Tahoma" w:hAnsi="Tahoma" w:cs="Tahoma"/>
          <w:spacing w:val="25"/>
          <w:sz w:val="20"/>
          <w:szCs w:val="20"/>
        </w:rPr>
        <w:t xml:space="preserve"> </w:t>
      </w:r>
      <w:r w:rsidR="008518B0" w:rsidRPr="00B004EE">
        <w:rPr>
          <w:rFonts w:ascii="Tahoma" w:hAnsi="Tahoma" w:cs="Tahoma"/>
          <w:sz w:val="20"/>
          <w:szCs w:val="20"/>
        </w:rPr>
        <w:t>au</w:t>
      </w:r>
      <w:r w:rsidR="00DB1635" w:rsidRPr="00B004EE">
        <w:rPr>
          <w:rFonts w:ascii="Tahoma" w:hAnsi="Tahoma" w:cs="Tahoma"/>
          <w:spacing w:val="25"/>
          <w:sz w:val="20"/>
          <w:szCs w:val="20"/>
        </w:rPr>
        <w:t xml:space="preserve"> </w:t>
      </w:r>
      <w:r w:rsidR="008518B0" w:rsidRPr="00B004EE">
        <w:rPr>
          <w:rFonts w:ascii="Tahoma" w:hAnsi="Tahoma" w:cs="Tahoma"/>
          <w:spacing w:val="3"/>
          <w:sz w:val="20"/>
          <w:szCs w:val="20"/>
        </w:rPr>
        <w:t>Plan</w:t>
      </w:r>
      <w:r w:rsidR="00DB1635" w:rsidRPr="00B004EE">
        <w:rPr>
          <w:rFonts w:ascii="Tahoma" w:hAnsi="Tahoma" w:cs="Tahoma"/>
          <w:spacing w:val="25"/>
          <w:sz w:val="20"/>
          <w:szCs w:val="20"/>
        </w:rPr>
        <w:t xml:space="preserve"> </w:t>
      </w:r>
      <w:r w:rsidR="008518B0" w:rsidRPr="00B004EE">
        <w:rPr>
          <w:rFonts w:ascii="Tahoma" w:hAnsi="Tahoma" w:cs="Tahoma"/>
          <w:spacing w:val="5"/>
          <w:sz w:val="20"/>
          <w:szCs w:val="20"/>
        </w:rPr>
        <w:t>Comptable</w:t>
      </w:r>
      <w:r w:rsidR="00DB1635" w:rsidRPr="00B004EE">
        <w:rPr>
          <w:rFonts w:ascii="Tahoma" w:hAnsi="Tahoma" w:cs="Tahoma"/>
          <w:spacing w:val="24"/>
          <w:sz w:val="20"/>
          <w:szCs w:val="20"/>
        </w:rPr>
        <w:t xml:space="preserve"> </w:t>
      </w:r>
      <w:r w:rsidR="008518B0" w:rsidRPr="00B004EE">
        <w:rPr>
          <w:rFonts w:ascii="Tahoma" w:hAnsi="Tahoma" w:cs="Tahoma"/>
          <w:spacing w:val="4"/>
          <w:sz w:val="20"/>
          <w:szCs w:val="20"/>
        </w:rPr>
        <w:t>nommé</w:t>
      </w:r>
      <w:r w:rsidR="00DB1635" w:rsidRPr="00B004EE">
        <w:rPr>
          <w:rFonts w:ascii="Tahoma" w:hAnsi="Tahoma" w:cs="Tahoma"/>
          <w:spacing w:val="24"/>
          <w:sz w:val="20"/>
          <w:szCs w:val="20"/>
        </w:rPr>
        <w:t xml:space="preserve"> </w:t>
      </w:r>
      <w:r w:rsidR="008518B0" w:rsidRPr="00B004EE">
        <w:rPr>
          <w:rFonts w:ascii="Tahoma" w:hAnsi="Tahoma" w:cs="Tahoma"/>
          <w:sz w:val="20"/>
          <w:szCs w:val="20"/>
        </w:rPr>
        <w:t>par</w:t>
      </w:r>
      <w:r w:rsidR="00DB1635" w:rsidRPr="00B004EE">
        <w:rPr>
          <w:rFonts w:ascii="Tahoma" w:hAnsi="Tahoma" w:cs="Tahoma"/>
          <w:spacing w:val="12"/>
          <w:sz w:val="20"/>
          <w:szCs w:val="20"/>
        </w:rPr>
        <w:t xml:space="preserve"> </w:t>
      </w:r>
      <w:r w:rsidR="008518B0" w:rsidRPr="00B004EE">
        <w:rPr>
          <w:rFonts w:ascii="Tahoma" w:hAnsi="Tahoma" w:cs="Tahoma"/>
          <w:sz w:val="20"/>
          <w:szCs w:val="20"/>
        </w:rPr>
        <w:t>arrêté</w:t>
      </w:r>
      <w:r w:rsidR="00DB1635" w:rsidRPr="00B004EE">
        <w:rPr>
          <w:rFonts w:ascii="Tahoma" w:hAnsi="Tahoma" w:cs="Tahoma"/>
          <w:spacing w:val="12"/>
          <w:sz w:val="20"/>
          <w:szCs w:val="20"/>
        </w:rPr>
        <w:t xml:space="preserve"> </w:t>
      </w:r>
      <w:r w:rsidR="008518B0" w:rsidRPr="00B004EE">
        <w:rPr>
          <w:rFonts w:ascii="Tahoma" w:hAnsi="Tahoma" w:cs="Tahoma"/>
          <w:sz w:val="20"/>
          <w:szCs w:val="20"/>
        </w:rPr>
        <w:t>du</w:t>
      </w:r>
      <w:r w:rsidR="00DB1635" w:rsidRPr="00B004EE">
        <w:rPr>
          <w:rFonts w:ascii="Tahoma" w:hAnsi="Tahoma" w:cs="Tahoma"/>
          <w:spacing w:val="13"/>
          <w:sz w:val="20"/>
          <w:szCs w:val="20"/>
        </w:rPr>
        <w:t xml:space="preserve"> </w:t>
      </w:r>
      <w:r w:rsidR="008518B0" w:rsidRPr="00B004EE">
        <w:rPr>
          <w:rFonts w:ascii="Tahoma" w:hAnsi="Tahoma" w:cs="Tahoma"/>
          <w:sz w:val="20"/>
          <w:szCs w:val="20"/>
        </w:rPr>
        <w:t>Ministre</w:t>
      </w:r>
      <w:r w:rsidR="00DB1635" w:rsidRPr="00B004EE">
        <w:rPr>
          <w:rFonts w:ascii="Tahoma" w:hAnsi="Tahoma" w:cs="Tahoma"/>
          <w:w w:val="99"/>
          <w:sz w:val="20"/>
          <w:szCs w:val="20"/>
        </w:rPr>
        <w:t xml:space="preserve"> </w:t>
      </w:r>
      <w:r w:rsidR="008518B0" w:rsidRPr="00B004EE">
        <w:rPr>
          <w:rFonts w:ascii="Tahoma" w:hAnsi="Tahoma" w:cs="Tahoma"/>
          <w:sz w:val="20"/>
          <w:szCs w:val="20"/>
        </w:rPr>
        <w:t>des</w:t>
      </w:r>
      <w:r w:rsidR="00DB1635" w:rsidRPr="00B004EE">
        <w:rPr>
          <w:rFonts w:ascii="Tahoma" w:hAnsi="Tahoma" w:cs="Tahoma"/>
          <w:sz w:val="20"/>
          <w:szCs w:val="20"/>
        </w:rPr>
        <w:t xml:space="preserve"> </w:t>
      </w:r>
      <w:r w:rsidR="008518B0" w:rsidRPr="00B004EE">
        <w:rPr>
          <w:rFonts w:ascii="Tahoma" w:hAnsi="Tahoma" w:cs="Tahoma"/>
          <w:sz w:val="20"/>
          <w:szCs w:val="20"/>
        </w:rPr>
        <w:t>Finances.</w:t>
      </w:r>
      <w:r w:rsidR="00DB1635" w:rsidRPr="00B004EE">
        <w:rPr>
          <w:rFonts w:ascii="Tahoma" w:hAnsi="Tahoma" w:cs="Tahoma"/>
          <w:sz w:val="20"/>
          <w:szCs w:val="20"/>
        </w:rPr>
        <w:t xml:space="preserve"> </w:t>
      </w:r>
      <w:r w:rsidR="008518B0" w:rsidRPr="00B004EE">
        <w:rPr>
          <w:rFonts w:ascii="Tahoma" w:hAnsi="Tahoma" w:cs="Tahoma"/>
          <w:sz w:val="20"/>
          <w:szCs w:val="20"/>
        </w:rPr>
        <w:t>Toutefois,</w:t>
      </w:r>
      <w:r w:rsidR="00DB1635" w:rsidRPr="00B004EE">
        <w:rPr>
          <w:rFonts w:ascii="Tahoma" w:hAnsi="Tahoma" w:cs="Tahoma"/>
          <w:sz w:val="20"/>
          <w:szCs w:val="20"/>
        </w:rPr>
        <w:t xml:space="preserve"> </w:t>
      </w:r>
      <w:r w:rsidR="008518B0" w:rsidRPr="00B004EE">
        <w:rPr>
          <w:rFonts w:ascii="Tahoma" w:hAnsi="Tahoma" w:cs="Tahoma"/>
          <w:sz w:val="20"/>
          <w:szCs w:val="20"/>
        </w:rPr>
        <w:t>les</w:t>
      </w:r>
      <w:r w:rsidR="00DB1635" w:rsidRPr="00B004EE">
        <w:rPr>
          <w:rFonts w:ascii="Tahoma" w:hAnsi="Tahoma" w:cs="Tahoma"/>
          <w:sz w:val="20"/>
          <w:szCs w:val="20"/>
        </w:rPr>
        <w:t xml:space="preserve"> </w:t>
      </w:r>
      <w:r w:rsidR="008518B0" w:rsidRPr="00B004EE">
        <w:rPr>
          <w:rFonts w:ascii="Tahoma" w:hAnsi="Tahoma" w:cs="Tahoma"/>
          <w:sz w:val="20"/>
          <w:szCs w:val="20"/>
        </w:rPr>
        <w:t>fonds</w:t>
      </w:r>
      <w:r w:rsidR="00DB1635" w:rsidRPr="00B004EE">
        <w:rPr>
          <w:rFonts w:ascii="Tahoma" w:hAnsi="Tahoma" w:cs="Tahoma"/>
          <w:sz w:val="20"/>
          <w:szCs w:val="20"/>
        </w:rPr>
        <w:t xml:space="preserve"> </w:t>
      </w:r>
      <w:r w:rsidR="008518B0" w:rsidRPr="00B004EE">
        <w:rPr>
          <w:rFonts w:ascii="Tahoma" w:hAnsi="Tahoma" w:cs="Tahoma"/>
          <w:sz w:val="20"/>
          <w:szCs w:val="20"/>
        </w:rPr>
        <w:t>relevant</w:t>
      </w:r>
      <w:r w:rsidR="00DB1635" w:rsidRPr="00B004EE">
        <w:rPr>
          <w:rFonts w:ascii="Tahoma" w:hAnsi="Tahoma" w:cs="Tahoma"/>
          <w:sz w:val="20"/>
          <w:szCs w:val="20"/>
        </w:rPr>
        <w:t xml:space="preserve"> </w:t>
      </w:r>
      <w:r w:rsidR="008518B0" w:rsidRPr="00B004EE">
        <w:rPr>
          <w:rFonts w:ascii="Tahoma" w:hAnsi="Tahoma" w:cs="Tahoma"/>
          <w:sz w:val="20"/>
          <w:szCs w:val="20"/>
        </w:rPr>
        <w:t>des</w:t>
      </w:r>
      <w:r w:rsidR="00DB1635" w:rsidRPr="00B004EE">
        <w:rPr>
          <w:rFonts w:ascii="Tahoma" w:hAnsi="Tahoma" w:cs="Tahoma"/>
          <w:sz w:val="20"/>
          <w:szCs w:val="20"/>
        </w:rPr>
        <w:t xml:space="preserve"> </w:t>
      </w:r>
      <w:r w:rsidR="008518B0" w:rsidRPr="00B004EE">
        <w:rPr>
          <w:rFonts w:ascii="Tahoma" w:hAnsi="Tahoma" w:cs="Tahoma"/>
          <w:sz w:val="20"/>
          <w:szCs w:val="20"/>
        </w:rPr>
        <w:t>ressources</w:t>
      </w:r>
      <w:r w:rsidR="00DB1635" w:rsidRPr="00B004EE">
        <w:rPr>
          <w:rFonts w:ascii="Tahoma" w:hAnsi="Tahoma" w:cs="Tahoma"/>
          <w:sz w:val="20"/>
          <w:szCs w:val="20"/>
        </w:rPr>
        <w:t xml:space="preserve"> </w:t>
      </w:r>
      <w:r w:rsidR="008518B0" w:rsidRPr="00B004EE">
        <w:rPr>
          <w:rFonts w:ascii="Tahoma" w:hAnsi="Tahoma" w:cs="Tahoma"/>
          <w:spacing w:val="4"/>
          <w:sz w:val="20"/>
          <w:szCs w:val="20"/>
        </w:rPr>
        <w:t>extraordinaires</w:t>
      </w:r>
      <w:r w:rsidR="00DB1635" w:rsidRPr="00B004EE">
        <w:rPr>
          <w:rFonts w:ascii="Tahoma" w:hAnsi="Tahoma" w:cs="Tahoma"/>
          <w:spacing w:val="4"/>
          <w:sz w:val="20"/>
          <w:szCs w:val="20"/>
        </w:rPr>
        <w:t xml:space="preserve"> </w:t>
      </w:r>
      <w:r w:rsidR="008518B0" w:rsidRPr="00B004EE">
        <w:rPr>
          <w:rFonts w:ascii="Tahoma" w:hAnsi="Tahoma" w:cs="Tahoma"/>
          <w:spacing w:val="3"/>
          <w:sz w:val="20"/>
          <w:szCs w:val="20"/>
        </w:rPr>
        <w:t>prévus</w:t>
      </w:r>
      <w:r w:rsidR="00DB1635" w:rsidRPr="00B004EE">
        <w:rPr>
          <w:rFonts w:ascii="Tahoma" w:hAnsi="Tahoma" w:cs="Tahoma"/>
          <w:spacing w:val="3"/>
          <w:sz w:val="20"/>
          <w:szCs w:val="20"/>
        </w:rPr>
        <w:t xml:space="preserve"> </w:t>
      </w:r>
      <w:r w:rsidR="008518B0" w:rsidRPr="00B004EE">
        <w:rPr>
          <w:rFonts w:ascii="Tahoma" w:hAnsi="Tahoma" w:cs="Tahoma"/>
          <w:sz w:val="20"/>
          <w:szCs w:val="20"/>
        </w:rPr>
        <w:t>à</w:t>
      </w:r>
      <w:r w:rsidR="00DB1635" w:rsidRPr="00B004EE">
        <w:rPr>
          <w:rFonts w:ascii="Tahoma" w:hAnsi="Tahoma" w:cs="Tahoma"/>
          <w:sz w:val="20"/>
          <w:szCs w:val="20"/>
        </w:rPr>
        <w:t xml:space="preserve"> </w:t>
      </w:r>
      <w:r w:rsidR="008518B0" w:rsidRPr="00B004EE">
        <w:rPr>
          <w:rFonts w:ascii="Tahoma" w:hAnsi="Tahoma" w:cs="Tahoma"/>
          <w:spacing w:val="4"/>
          <w:sz w:val="20"/>
          <w:szCs w:val="20"/>
        </w:rPr>
        <w:t>l'article</w:t>
      </w:r>
      <w:r w:rsidR="00DB1635" w:rsidRPr="00B004EE">
        <w:rPr>
          <w:rFonts w:ascii="Tahoma" w:hAnsi="Tahoma" w:cs="Tahoma"/>
          <w:w w:val="99"/>
          <w:sz w:val="20"/>
          <w:szCs w:val="20"/>
        </w:rPr>
        <w:t xml:space="preserve"> </w:t>
      </w:r>
      <w:r w:rsidR="008F6E98" w:rsidRPr="00B004EE">
        <w:rPr>
          <w:rFonts w:ascii="Tahoma" w:hAnsi="Tahoma" w:cs="Tahoma"/>
          <w:sz w:val="20"/>
          <w:szCs w:val="20"/>
        </w:rPr>
        <w:t>19</w:t>
      </w:r>
      <w:r w:rsidR="00DB1635" w:rsidRPr="00B004EE">
        <w:rPr>
          <w:rFonts w:ascii="Tahoma" w:hAnsi="Tahoma" w:cs="Tahoma"/>
          <w:spacing w:val="13"/>
          <w:sz w:val="20"/>
          <w:szCs w:val="20"/>
        </w:rPr>
        <w:t xml:space="preserve"> </w:t>
      </w:r>
      <w:r w:rsidR="008518B0" w:rsidRPr="00B004EE">
        <w:rPr>
          <w:rFonts w:ascii="Tahoma" w:hAnsi="Tahoma" w:cs="Tahoma"/>
          <w:spacing w:val="6"/>
          <w:sz w:val="20"/>
          <w:szCs w:val="20"/>
        </w:rPr>
        <w:t>ci-dessus</w:t>
      </w:r>
      <w:r w:rsidR="00DB1635" w:rsidRPr="00B004EE">
        <w:rPr>
          <w:rFonts w:ascii="Tahoma" w:hAnsi="Tahoma" w:cs="Tahoma"/>
          <w:spacing w:val="23"/>
          <w:sz w:val="20"/>
          <w:szCs w:val="20"/>
        </w:rPr>
        <w:t xml:space="preserve"> </w:t>
      </w:r>
      <w:r w:rsidR="008518B0" w:rsidRPr="00B004EE">
        <w:rPr>
          <w:rFonts w:ascii="Tahoma" w:hAnsi="Tahoma" w:cs="Tahoma"/>
          <w:spacing w:val="6"/>
          <w:sz w:val="20"/>
          <w:szCs w:val="20"/>
        </w:rPr>
        <w:t>sont</w:t>
      </w:r>
      <w:r w:rsidR="00DB1635" w:rsidRPr="00B004EE">
        <w:rPr>
          <w:rFonts w:ascii="Tahoma" w:hAnsi="Tahoma" w:cs="Tahoma"/>
          <w:spacing w:val="24"/>
          <w:sz w:val="20"/>
          <w:szCs w:val="20"/>
        </w:rPr>
        <w:t xml:space="preserve"> </w:t>
      </w:r>
      <w:r w:rsidR="008518B0" w:rsidRPr="00B004EE">
        <w:rPr>
          <w:rFonts w:ascii="Tahoma" w:hAnsi="Tahoma" w:cs="Tahoma"/>
          <w:spacing w:val="6"/>
          <w:sz w:val="20"/>
          <w:szCs w:val="20"/>
        </w:rPr>
        <w:t>gérés,</w:t>
      </w:r>
      <w:r w:rsidR="00DB1635" w:rsidRPr="00B004EE">
        <w:rPr>
          <w:rFonts w:ascii="Tahoma" w:hAnsi="Tahoma" w:cs="Tahoma"/>
          <w:spacing w:val="23"/>
          <w:sz w:val="20"/>
          <w:szCs w:val="20"/>
        </w:rPr>
        <w:t xml:space="preserve"> </w:t>
      </w:r>
      <w:r w:rsidR="008518B0" w:rsidRPr="00B004EE">
        <w:rPr>
          <w:rFonts w:ascii="Tahoma" w:hAnsi="Tahoma" w:cs="Tahoma"/>
          <w:spacing w:val="5"/>
          <w:sz w:val="20"/>
          <w:szCs w:val="20"/>
        </w:rPr>
        <w:t>le</w:t>
      </w:r>
      <w:r w:rsidR="00DB1635" w:rsidRPr="00B004EE">
        <w:rPr>
          <w:rFonts w:ascii="Tahoma" w:hAnsi="Tahoma" w:cs="Tahoma"/>
          <w:spacing w:val="22"/>
          <w:sz w:val="20"/>
          <w:szCs w:val="20"/>
        </w:rPr>
        <w:t xml:space="preserve"> </w:t>
      </w:r>
      <w:r w:rsidR="008518B0" w:rsidRPr="00B004EE">
        <w:rPr>
          <w:rFonts w:ascii="Tahoma" w:hAnsi="Tahoma" w:cs="Tahoma"/>
          <w:spacing w:val="5"/>
          <w:sz w:val="20"/>
          <w:szCs w:val="20"/>
        </w:rPr>
        <w:t>cas</w:t>
      </w:r>
      <w:r w:rsidR="00DB1635" w:rsidRPr="00B004EE">
        <w:rPr>
          <w:rFonts w:ascii="Tahoma" w:hAnsi="Tahoma" w:cs="Tahoma"/>
          <w:spacing w:val="23"/>
          <w:sz w:val="20"/>
          <w:szCs w:val="20"/>
        </w:rPr>
        <w:t xml:space="preserve"> </w:t>
      </w:r>
      <w:r w:rsidR="008518B0" w:rsidRPr="00B004EE">
        <w:rPr>
          <w:rFonts w:ascii="Tahoma" w:hAnsi="Tahoma" w:cs="Tahoma"/>
          <w:spacing w:val="7"/>
          <w:sz w:val="20"/>
          <w:szCs w:val="20"/>
        </w:rPr>
        <w:t>échéant,</w:t>
      </w:r>
      <w:r w:rsidR="00DB1635" w:rsidRPr="00B004EE">
        <w:rPr>
          <w:rFonts w:ascii="Tahoma" w:hAnsi="Tahoma" w:cs="Tahoma"/>
          <w:spacing w:val="23"/>
          <w:sz w:val="20"/>
          <w:szCs w:val="20"/>
        </w:rPr>
        <w:t xml:space="preserve"> </w:t>
      </w:r>
      <w:r w:rsidR="008518B0" w:rsidRPr="00B004EE">
        <w:rPr>
          <w:rFonts w:ascii="Tahoma" w:hAnsi="Tahoma" w:cs="Tahoma"/>
          <w:spacing w:val="12"/>
          <w:sz w:val="20"/>
          <w:szCs w:val="20"/>
        </w:rPr>
        <w:t>conformément</w:t>
      </w:r>
      <w:r w:rsidR="00DB1635" w:rsidRPr="00B004EE">
        <w:rPr>
          <w:rFonts w:ascii="Tahoma" w:hAnsi="Tahoma" w:cs="Tahoma"/>
          <w:spacing w:val="33"/>
          <w:sz w:val="20"/>
          <w:szCs w:val="20"/>
        </w:rPr>
        <w:t xml:space="preserve"> </w:t>
      </w:r>
      <w:r w:rsidR="008518B0" w:rsidRPr="00B004EE">
        <w:rPr>
          <w:rFonts w:ascii="Tahoma" w:hAnsi="Tahoma" w:cs="Tahoma"/>
          <w:spacing w:val="8"/>
          <w:sz w:val="20"/>
          <w:szCs w:val="20"/>
        </w:rPr>
        <w:t>aux</w:t>
      </w:r>
      <w:r w:rsidR="00DB1635" w:rsidRPr="00B004EE">
        <w:rPr>
          <w:rFonts w:ascii="Tahoma" w:hAnsi="Tahoma" w:cs="Tahoma"/>
          <w:spacing w:val="35"/>
          <w:sz w:val="20"/>
          <w:szCs w:val="20"/>
        </w:rPr>
        <w:t xml:space="preserve"> </w:t>
      </w:r>
      <w:r w:rsidR="008518B0" w:rsidRPr="00B004EE">
        <w:rPr>
          <w:rFonts w:ascii="Tahoma" w:hAnsi="Tahoma" w:cs="Tahoma"/>
          <w:spacing w:val="12"/>
          <w:sz w:val="20"/>
          <w:szCs w:val="20"/>
        </w:rPr>
        <w:t>dispositions</w:t>
      </w:r>
      <w:r w:rsidR="00DB1635" w:rsidRPr="00B004EE">
        <w:rPr>
          <w:rFonts w:ascii="Tahoma" w:hAnsi="Tahoma" w:cs="Tahoma"/>
          <w:spacing w:val="33"/>
          <w:sz w:val="20"/>
          <w:szCs w:val="20"/>
        </w:rPr>
        <w:t xml:space="preserve"> </w:t>
      </w:r>
      <w:r w:rsidR="008518B0" w:rsidRPr="00B004EE">
        <w:rPr>
          <w:rFonts w:ascii="Tahoma" w:hAnsi="Tahoma" w:cs="Tahoma"/>
          <w:spacing w:val="9"/>
          <w:sz w:val="20"/>
          <w:szCs w:val="20"/>
        </w:rPr>
        <w:t>des</w:t>
      </w:r>
      <w:r w:rsidR="00DB1635" w:rsidRPr="00B004EE">
        <w:rPr>
          <w:rFonts w:ascii="Tahoma" w:hAnsi="Tahoma" w:cs="Tahoma"/>
          <w:spacing w:val="33"/>
          <w:sz w:val="20"/>
          <w:szCs w:val="20"/>
        </w:rPr>
        <w:t xml:space="preserve"> </w:t>
      </w:r>
      <w:r w:rsidR="008518B0" w:rsidRPr="00B004EE">
        <w:rPr>
          <w:rFonts w:ascii="Tahoma" w:hAnsi="Tahoma" w:cs="Tahoma"/>
          <w:sz w:val="20"/>
          <w:szCs w:val="20"/>
        </w:rPr>
        <w:t>accords</w:t>
      </w:r>
      <w:r w:rsidR="00DB1635" w:rsidRPr="00B004EE">
        <w:rPr>
          <w:rFonts w:ascii="Tahoma" w:hAnsi="Tahoma" w:cs="Tahoma"/>
          <w:spacing w:val="6"/>
          <w:sz w:val="20"/>
          <w:szCs w:val="20"/>
        </w:rPr>
        <w:t xml:space="preserve"> </w:t>
      </w:r>
      <w:r w:rsidR="008518B0" w:rsidRPr="00B004EE">
        <w:rPr>
          <w:rFonts w:ascii="Tahoma" w:hAnsi="Tahoma" w:cs="Tahoma"/>
          <w:sz w:val="20"/>
          <w:szCs w:val="20"/>
        </w:rPr>
        <w:t>ou</w:t>
      </w:r>
      <w:r w:rsidR="00DB1635" w:rsidRPr="00B004EE">
        <w:rPr>
          <w:rFonts w:ascii="Tahoma" w:hAnsi="Tahoma" w:cs="Tahoma"/>
          <w:sz w:val="20"/>
          <w:szCs w:val="20"/>
        </w:rPr>
        <w:t xml:space="preserve"> </w:t>
      </w:r>
      <w:r w:rsidR="008518B0" w:rsidRPr="00B004EE">
        <w:rPr>
          <w:rFonts w:ascii="Tahoma" w:hAnsi="Tahoma" w:cs="Tahoma"/>
          <w:sz w:val="20"/>
          <w:szCs w:val="20"/>
        </w:rPr>
        <w:t>conventions</w:t>
      </w:r>
      <w:r w:rsidR="00DB1635" w:rsidRPr="00B004EE">
        <w:rPr>
          <w:rFonts w:ascii="Tahoma" w:hAnsi="Tahoma" w:cs="Tahoma"/>
          <w:sz w:val="20"/>
          <w:szCs w:val="20"/>
        </w:rPr>
        <w:t xml:space="preserve"> </w:t>
      </w:r>
      <w:r w:rsidR="008518B0" w:rsidRPr="00B004EE">
        <w:rPr>
          <w:rFonts w:ascii="Tahoma" w:hAnsi="Tahoma" w:cs="Tahoma"/>
          <w:sz w:val="20"/>
          <w:szCs w:val="20"/>
        </w:rPr>
        <w:t>de</w:t>
      </w:r>
      <w:r w:rsidR="00DB1635" w:rsidRPr="00B004EE">
        <w:rPr>
          <w:rFonts w:ascii="Tahoma" w:hAnsi="Tahoma" w:cs="Tahoma"/>
          <w:sz w:val="20"/>
          <w:szCs w:val="20"/>
        </w:rPr>
        <w:t xml:space="preserve"> </w:t>
      </w:r>
      <w:r w:rsidR="008518B0" w:rsidRPr="00B004EE">
        <w:rPr>
          <w:rFonts w:ascii="Tahoma" w:hAnsi="Tahoma" w:cs="Tahoma"/>
          <w:sz w:val="20"/>
          <w:szCs w:val="20"/>
        </w:rPr>
        <w:t>financements</w:t>
      </w:r>
      <w:r w:rsidR="00DB1635" w:rsidRPr="00B004EE">
        <w:rPr>
          <w:rFonts w:ascii="Tahoma" w:hAnsi="Tahoma" w:cs="Tahoma"/>
          <w:sz w:val="20"/>
          <w:szCs w:val="20"/>
        </w:rPr>
        <w:t xml:space="preserve"> </w:t>
      </w:r>
      <w:r w:rsidR="008518B0" w:rsidRPr="00B004EE">
        <w:rPr>
          <w:rFonts w:ascii="Tahoma" w:hAnsi="Tahoma" w:cs="Tahoma"/>
          <w:sz w:val="20"/>
          <w:szCs w:val="20"/>
        </w:rPr>
        <w:t>correspondants.</w:t>
      </w:r>
    </w:p>
    <w:p w14:paraId="2063AC4E" w14:textId="77777777" w:rsidR="008518B0" w:rsidRPr="00B004EE" w:rsidRDefault="008518B0" w:rsidP="00B004EE">
      <w:pPr>
        <w:rPr>
          <w:rFonts w:ascii="Tahoma" w:eastAsia="Times" w:hAnsi="Tahoma" w:cs="Tahoma"/>
          <w:sz w:val="20"/>
          <w:szCs w:val="20"/>
        </w:rPr>
      </w:pPr>
    </w:p>
    <w:p w14:paraId="2AD5ECED" w14:textId="2D9BB5BF" w:rsidR="008518B0" w:rsidRPr="00B004EE" w:rsidRDefault="00FF661D" w:rsidP="00B004EE">
      <w:pPr>
        <w:pStyle w:val="Corpsdetexte"/>
        <w:ind w:left="199" w:right="181"/>
        <w:rPr>
          <w:rFonts w:ascii="Tahoma" w:hAnsi="Tahoma" w:cs="Tahoma"/>
          <w:sz w:val="20"/>
          <w:szCs w:val="20"/>
        </w:rPr>
      </w:pPr>
      <w:r w:rsidRPr="00B004EE">
        <w:rPr>
          <w:rFonts w:ascii="Tahoma" w:hAnsi="Tahoma" w:cs="Tahoma"/>
          <w:bCs/>
          <w:iCs/>
          <w:sz w:val="20"/>
          <w:szCs w:val="20"/>
        </w:rPr>
        <w:t xml:space="preserve">Article </w:t>
      </w:r>
      <w:r w:rsidR="008518B0" w:rsidRPr="00B004EE">
        <w:rPr>
          <w:rFonts w:ascii="Tahoma" w:hAnsi="Tahoma" w:cs="Tahoma"/>
          <w:bCs/>
          <w:iCs/>
          <w:sz w:val="20"/>
          <w:szCs w:val="20"/>
        </w:rPr>
        <w:t>24</w:t>
      </w:r>
      <w:r w:rsidR="00DB1635" w:rsidRPr="00B004EE">
        <w:rPr>
          <w:rFonts w:ascii="Tahoma" w:hAnsi="Tahoma" w:cs="Tahoma"/>
          <w:bCs/>
          <w:iCs/>
          <w:sz w:val="20"/>
          <w:szCs w:val="20"/>
        </w:rPr>
        <w:t xml:space="preserve"> </w:t>
      </w:r>
      <w:r w:rsidR="008518B0" w:rsidRPr="00B004EE">
        <w:rPr>
          <w:rFonts w:ascii="Tahoma" w:hAnsi="Tahoma" w:cs="Tahoma"/>
          <w:bCs/>
          <w:iCs/>
          <w:sz w:val="20"/>
          <w:szCs w:val="20"/>
        </w:rPr>
        <w:t>:</w:t>
      </w:r>
      <w:r w:rsidR="00DB1635" w:rsidRPr="00B004EE">
        <w:rPr>
          <w:rFonts w:ascii="Tahoma" w:hAnsi="Tahoma" w:cs="Tahoma"/>
          <w:b/>
          <w:bCs/>
          <w:i/>
          <w:spacing w:val="21"/>
          <w:sz w:val="20"/>
          <w:szCs w:val="20"/>
        </w:rPr>
        <w:t xml:space="preserve"> </w:t>
      </w:r>
      <w:r w:rsidR="008518B0" w:rsidRPr="00B004EE">
        <w:rPr>
          <w:rFonts w:ascii="Tahoma" w:hAnsi="Tahoma" w:cs="Tahoma"/>
          <w:spacing w:val="2"/>
          <w:sz w:val="20"/>
          <w:szCs w:val="20"/>
        </w:rPr>
        <w:t>Les</w:t>
      </w:r>
      <w:r w:rsidR="00DB1635" w:rsidRPr="00B004EE">
        <w:rPr>
          <w:rFonts w:ascii="Tahoma" w:hAnsi="Tahoma" w:cs="Tahoma"/>
          <w:spacing w:val="22"/>
          <w:sz w:val="20"/>
          <w:szCs w:val="20"/>
        </w:rPr>
        <w:t xml:space="preserve"> </w:t>
      </w:r>
      <w:r w:rsidR="008518B0" w:rsidRPr="00B004EE">
        <w:rPr>
          <w:rFonts w:ascii="Tahoma" w:hAnsi="Tahoma" w:cs="Tahoma"/>
          <w:spacing w:val="4"/>
          <w:sz w:val="20"/>
          <w:szCs w:val="20"/>
        </w:rPr>
        <w:t>marchés</w:t>
      </w:r>
      <w:r w:rsidR="00DB1635" w:rsidRPr="00B004EE">
        <w:rPr>
          <w:rFonts w:ascii="Tahoma" w:hAnsi="Tahoma" w:cs="Tahoma"/>
          <w:spacing w:val="19"/>
          <w:sz w:val="20"/>
          <w:szCs w:val="20"/>
        </w:rPr>
        <w:t xml:space="preserve"> </w:t>
      </w:r>
      <w:r w:rsidR="008518B0" w:rsidRPr="00B004EE">
        <w:rPr>
          <w:rFonts w:ascii="Tahoma" w:hAnsi="Tahoma" w:cs="Tahoma"/>
          <w:spacing w:val="3"/>
          <w:sz w:val="20"/>
          <w:szCs w:val="20"/>
        </w:rPr>
        <w:t>de</w:t>
      </w:r>
      <w:r w:rsidR="00DB1635" w:rsidRPr="00B004EE">
        <w:rPr>
          <w:rFonts w:ascii="Tahoma" w:hAnsi="Tahoma" w:cs="Tahoma"/>
          <w:spacing w:val="18"/>
          <w:sz w:val="20"/>
          <w:szCs w:val="20"/>
        </w:rPr>
        <w:t xml:space="preserve"> </w:t>
      </w:r>
      <w:r w:rsidR="008518B0" w:rsidRPr="00B004EE">
        <w:rPr>
          <w:rFonts w:ascii="Tahoma" w:hAnsi="Tahoma" w:cs="Tahoma"/>
          <w:spacing w:val="4"/>
          <w:sz w:val="20"/>
          <w:szCs w:val="20"/>
        </w:rPr>
        <w:t>l'ONISPA</w:t>
      </w:r>
      <w:r w:rsidR="00DB1635" w:rsidRPr="00B004EE">
        <w:rPr>
          <w:rFonts w:ascii="Tahoma" w:hAnsi="Tahoma" w:cs="Tahoma"/>
          <w:b/>
          <w:bCs/>
          <w:spacing w:val="22"/>
          <w:sz w:val="20"/>
          <w:szCs w:val="20"/>
        </w:rPr>
        <w:t xml:space="preserve"> </w:t>
      </w:r>
      <w:r w:rsidR="008518B0" w:rsidRPr="00B004EE">
        <w:rPr>
          <w:rFonts w:ascii="Tahoma" w:hAnsi="Tahoma" w:cs="Tahoma"/>
          <w:sz w:val="20"/>
          <w:szCs w:val="20"/>
        </w:rPr>
        <w:t>sont</w:t>
      </w:r>
      <w:r w:rsidR="00DB1635" w:rsidRPr="00B004EE">
        <w:rPr>
          <w:rFonts w:ascii="Tahoma" w:hAnsi="Tahoma" w:cs="Tahoma"/>
          <w:spacing w:val="5"/>
          <w:sz w:val="20"/>
          <w:szCs w:val="20"/>
        </w:rPr>
        <w:t xml:space="preserve"> </w:t>
      </w:r>
      <w:r w:rsidR="008518B0" w:rsidRPr="00B004EE">
        <w:rPr>
          <w:rFonts w:ascii="Tahoma" w:hAnsi="Tahoma" w:cs="Tahoma"/>
          <w:sz w:val="20"/>
          <w:szCs w:val="20"/>
        </w:rPr>
        <w:t>soumis</w:t>
      </w:r>
      <w:r w:rsidR="00DB1635" w:rsidRPr="00B004EE">
        <w:rPr>
          <w:rFonts w:ascii="Tahoma" w:hAnsi="Tahoma" w:cs="Tahoma"/>
          <w:spacing w:val="7"/>
          <w:sz w:val="20"/>
          <w:szCs w:val="20"/>
        </w:rPr>
        <w:t xml:space="preserve"> </w:t>
      </w:r>
      <w:r w:rsidR="008518B0" w:rsidRPr="00B004EE">
        <w:rPr>
          <w:rFonts w:ascii="Tahoma" w:hAnsi="Tahoma" w:cs="Tahoma"/>
          <w:sz w:val="20"/>
          <w:szCs w:val="20"/>
        </w:rPr>
        <w:t>aux</w:t>
      </w:r>
      <w:r w:rsidR="00DB1635" w:rsidRPr="00B004EE">
        <w:rPr>
          <w:rFonts w:ascii="Tahoma" w:hAnsi="Tahoma" w:cs="Tahoma"/>
          <w:spacing w:val="9"/>
          <w:sz w:val="20"/>
          <w:szCs w:val="20"/>
        </w:rPr>
        <w:t xml:space="preserve"> </w:t>
      </w:r>
      <w:r w:rsidR="008518B0" w:rsidRPr="00B004EE">
        <w:rPr>
          <w:rFonts w:ascii="Tahoma" w:hAnsi="Tahoma" w:cs="Tahoma"/>
          <w:sz w:val="20"/>
          <w:szCs w:val="20"/>
        </w:rPr>
        <w:t>dispositions</w:t>
      </w:r>
      <w:r w:rsidR="00DB1635" w:rsidRPr="00B004EE">
        <w:rPr>
          <w:rFonts w:ascii="Tahoma" w:hAnsi="Tahoma" w:cs="Tahoma"/>
          <w:spacing w:val="5"/>
          <w:sz w:val="20"/>
          <w:szCs w:val="20"/>
        </w:rPr>
        <w:t xml:space="preserve"> </w:t>
      </w:r>
      <w:r w:rsidR="008518B0" w:rsidRPr="00B004EE">
        <w:rPr>
          <w:rFonts w:ascii="Tahoma" w:hAnsi="Tahoma" w:cs="Tahoma"/>
          <w:sz w:val="20"/>
          <w:szCs w:val="20"/>
        </w:rPr>
        <w:t>du</w:t>
      </w:r>
      <w:r w:rsidR="00DB1635" w:rsidRPr="00B004EE">
        <w:rPr>
          <w:rFonts w:ascii="Tahoma" w:hAnsi="Tahoma" w:cs="Tahoma"/>
          <w:spacing w:val="7"/>
          <w:sz w:val="20"/>
          <w:szCs w:val="20"/>
        </w:rPr>
        <w:t xml:space="preserve"> </w:t>
      </w:r>
      <w:r w:rsidR="008518B0" w:rsidRPr="00B004EE">
        <w:rPr>
          <w:rFonts w:ascii="Tahoma" w:hAnsi="Tahoma" w:cs="Tahoma"/>
          <w:sz w:val="20"/>
          <w:szCs w:val="20"/>
        </w:rPr>
        <w:t>décret</w:t>
      </w:r>
      <w:r w:rsidR="00DB1635" w:rsidRPr="00B004EE">
        <w:rPr>
          <w:rFonts w:ascii="Tahoma" w:hAnsi="Tahoma" w:cs="Tahoma"/>
          <w:spacing w:val="7"/>
          <w:sz w:val="20"/>
          <w:szCs w:val="20"/>
        </w:rPr>
        <w:t xml:space="preserve"> </w:t>
      </w:r>
      <w:r w:rsidR="008518B0" w:rsidRPr="00B004EE">
        <w:rPr>
          <w:rFonts w:ascii="Tahoma" w:hAnsi="Tahoma" w:cs="Tahoma"/>
          <w:sz w:val="20"/>
          <w:szCs w:val="20"/>
        </w:rPr>
        <w:t>n°</w:t>
      </w:r>
      <w:r w:rsidR="00DB1635" w:rsidRPr="00B004EE">
        <w:rPr>
          <w:rFonts w:ascii="Tahoma" w:hAnsi="Tahoma" w:cs="Tahoma"/>
          <w:spacing w:val="7"/>
          <w:sz w:val="20"/>
          <w:szCs w:val="20"/>
        </w:rPr>
        <w:t xml:space="preserve"> </w:t>
      </w:r>
      <w:r w:rsidR="008518B0" w:rsidRPr="00B004EE">
        <w:rPr>
          <w:rFonts w:ascii="Tahoma" w:hAnsi="Tahoma" w:cs="Tahoma"/>
          <w:spacing w:val="7"/>
          <w:sz w:val="20"/>
          <w:szCs w:val="20"/>
        </w:rPr>
        <w:t>2002-</w:t>
      </w:r>
      <w:r w:rsidR="00DB1635" w:rsidRPr="00B004EE">
        <w:rPr>
          <w:rFonts w:ascii="Tahoma" w:hAnsi="Tahoma" w:cs="Tahoma"/>
          <w:w w:val="99"/>
          <w:sz w:val="20"/>
          <w:szCs w:val="20"/>
        </w:rPr>
        <w:t xml:space="preserve"> </w:t>
      </w:r>
      <w:r w:rsidR="008518B0" w:rsidRPr="00B004EE">
        <w:rPr>
          <w:rFonts w:ascii="Tahoma" w:hAnsi="Tahoma" w:cs="Tahoma"/>
          <w:spacing w:val="4"/>
          <w:sz w:val="20"/>
          <w:szCs w:val="20"/>
        </w:rPr>
        <w:t>08</w:t>
      </w:r>
      <w:r w:rsidR="00DB1635" w:rsidRPr="00B004EE">
        <w:rPr>
          <w:rFonts w:ascii="Tahoma" w:hAnsi="Tahoma" w:cs="Tahoma"/>
          <w:spacing w:val="4"/>
          <w:sz w:val="20"/>
          <w:szCs w:val="20"/>
        </w:rPr>
        <w:t xml:space="preserve"> </w:t>
      </w:r>
      <w:r w:rsidR="008518B0" w:rsidRPr="00B004EE">
        <w:rPr>
          <w:rFonts w:ascii="Tahoma" w:hAnsi="Tahoma" w:cs="Tahoma"/>
          <w:spacing w:val="4"/>
          <w:sz w:val="20"/>
          <w:szCs w:val="20"/>
        </w:rPr>
        <w:t>du</w:t>
      </w:r>
      <w:r w:rsidR="00DB1635" w:rsidRPr="00B004EE">
        <w:rPr>
          <w:rFonts w:ascii="Tahoma" w:hAnsi="Tahoma" w:cs="Tahoma"/>
          <w:spacing w:val="4"/>
          <w:sz w:val="20"/>
          <w:szCs w:val="20"/>
        </w:rPr>
        <w:t xml:space="preserve"> </w:t>
      </w:r>
      <w:r w:rsidR="008518B0" w:rsidRPr="00B004EE">
        <w:rPr>
          <w:rFonts w:ascii="Tahoma" w:hAnsi="Tahoma" w:cs="Tahoma"/>
          <w:spacing w:val="4"/>
          <w:sz w:val="20"/>
          <w:szCs w:val="20"/>
        </w:rPr>
        <w:t>12</w:t>
      </w:r>
      <w:r w:rsidR="00DB1635" w:rsidRPr="00B004EE">
        <w:rPr>
          <w:rFonts w:ascii="Tahoma" w:hAnsi="Tahoma" w:cs="Tahoma"/>
          <w:spacing w:val="4"/>
          <w:sz w:val="20"/>
          <w:szCs w:val="20"/>
        </w:rPr>
        <w:t xml:space="preserve"> </w:t>
      </w:r>
      <w:r w:rsidR="008518B0" w:rsidRPr="00B004EE">
        <w:rPr>
          <w:rFonts w:ascii="Tahoma" w:hAnsi="Tahoma" w:cs="Tahoma"/>
          <w:spacing w:val="7"/>
          <w:sz w:val="20"/>
          <w:szCs w:val="20"/>
        </w:rPr>
        <w:t>février</w:t>
      </w:r>
      <w:r w:rsidR="00DB1635" w:rsidRPr="00B004EE">
        <w:rPr>
          <w:rFonts w:ascii="Tahoma" w:hAnsi="Tahoma" w:cs="Tahoma"/>
          <w:spacing w:val="7"/>
          <w:sz w:val="20"/>
          <w:szCs w:val="20"/>
        </w:rPr>
        <w:t xml:space="preserve"> </w:t>
      </w:r>
      <w:r w:rsidR="008518B0" w:rsidRPr="00B004EE">
        <w:rPr>
          <w:rFonts w:ascii="Tahoma" w:hAnsi="Tahoma" w:cs="Tahoma"/>
          <w:spacing w:val="6"/>
          <w:sz w:val="20"/>
          <w:szCs w:val="20"/>
        </w:rPr>
        <w:t>2002</w:t>
      </w:r>
      <w:r w:rsidR="00DB1635" w:rsidRPr="00B004EE">
        <w:rPr>
          <w:rFonts w:ascii="Tahoma" w:hAnsi="Tahoma" w:cs="Tahoma"/>
          <w:spacing w:val="6"/>
          <w:sz w:val="20"/>
          <w:szCs w:val="20"/>
        </w:rPr>
        <w:t xml:space="preserve"> </w:t>
      </w:r>
      <w:r w:rsidR="008518B0" w:rsidRPr="00B004EE">
        <w:rPr>
          <w:rFonts w:ascii="Tahoma" w:hAnsi="Tahoma" w:cs="Tahoma"/>
          <w:spacing w:val="7"/>
          <w:sz w:val="20"/>
          <w:szCs w:val="20"/>
        </w:rPr>
        <w:t>portant</w:t>
      </w:r>
      <w:r w:rsidR="00DB1635" w:rsidRPr="00B004EE">
        <w:rPr>
          <w:rFonts w:ascii="Tahoma" w:hAnsi="Tahoma" w:cs="Tahoma"/>
          <w:spacing w:val="7"/>
          <w:sz w:val="20"/>
          <w:szCs w:val="20"/>
        </w:rPr>
        <w:t xml:space="preserve"> </w:t>
      </w:r>
      <w:r w:rsidR="008518B0" w:rsidRPr="00B004EE">
        <w:rPr>
          <w:rFonts w:ascii="Tahoma" w:hAnsi="Tahoma" w:cs="Tahoma"/>
          <w:sz w:val="20"/>
          <w:szCs w:val="20"/>
        </w:rPr>
        <w:t>Règlement</w:t>
      </w:r>
      <w:r w:rsidR="00DB1635" w:rsidRPr="00B004EE">
        <w:rPr>
          <w:rFonts w:ascii="Tahoma" w:hAnsi="Tahoma" w:cs="Tahoma"/>
          <w:sz w:val="20"/>
          <w:szCs w:val="20"/>
        </w:rPr>
        <w:t xml:space="preserve"> </w:t>
      </w:r>
      <w:r w:rsidR="008518B0" w:rsidRPr="00B004EE">
        <w:rPr>
          <w:rFonts w:ascii="Tahoma" w:hAnsi="Tahoma" w:cs="Tahoma"/>
          <w:sz w:val="20"/>
          <w:szCs w:val="20"/>
        </w:rPr>
        <w:t>général</w:t>
      </w:r>
      <w:r w:rsidR="00DB1635" w:rsidRPr="00B004EE">
        <w:rPr>
          <w:rFonts w:ascii="Tahoma" w:hAnsi="Tahoma" w:cs="Tahoma"/>
          <w:sz w:val="20"/>
          <w:szCs w:val="20"/>
        </w:rPr>
        <w:t xml:space="preserve"> </w:t>
      </w:r>
      <w:r w:rsidR="008518B0" w:rsidRPr="00B004EE">
        <w:rPr>
          <w:rFonts w:ascii="Tahoma" w:hAnsi="Tahoma" w:cs="Tahoma"/>
          <w:sz w:val="20"/>
          <w:szCs w:val="20"/>
        </w:rPr>
        <w:t>des</w:t>
      </w:r>
      <w:r w:rsidR="00DB1635" w:rsidRPr="00B004EE">
        <w:rPr>
          <w:rFonts w:ascii="Tahoma" w:hAnsi="Tahoma" w:cs="Tahoma"/>
          <w:sz w:val="20"/>
          <w:szCs w:val="20"/>
        </w:rPr>
        <w:t xml:space="preserve"> </w:t>
      </w:r>
      <w:r w:rsidR="008518B0" w:rsidRPr="00B004EE">
        <w:rPr>
          <w:rFonts w:ascii="Tahoma" w:hAnsi="Tahoma" w:cs="Tahoma"/>
          <w:sz w:val="20"/>
          <w:szCs w:val="20"/>
        </w:rPr>
        <w:t>marchés</w:t>
      </w:r>
      <w:r w:rsidR="00DB1635" w:rsidRPr="00B004EE">
        <w:rPr>
          <w:rFonts w:ascii="Tahoma" w:hAnsi="Tahoma" w:cs="Tahoma"/>
          <w:sz w:val="20"/>
          <w:szCs w:val="20"/>
        </w:rPr>
        <w:t xml:space="preserve"> </w:t>
      </w:r>
      <w:r w:rsidR="008518B0" w:rsidRPr="00B004EE">
        <w:rPr>
          <w:rFonts w:ascii="Tahoma" w:hAnsi="Tahoma" w:cs="Tahoma"/>
          <w:sz w:val="20"/>
          <w:szCs w:val="20"/>
        </w:rPr>
        <w:t>publics.</w:t>
      </w:r>
    </w:p>
    <w:p w14:paraId="6BEF099A" w14:textId="77777777" w:rsidR="008518B0" w:rsidRPr="00B004EE" w:rsidRDefault="008518B0" w:rsidP="00B004EE">
      <w:pPr>
        <w:rPr>
          <w:rFonts w:ascii="Tahoma" w:eastAsia="Times" w:hAnsi="Tahoma" w:cs="Tahoma"/>
          <w:sz w:val="20"/>
          <w:szCs w:val="20"/>
        </w:rPr>
      </w:pPr>
    </w:p>
    <w:p w14:paraId="4C503A0D" w14:textId="65812849" w:rsidR="008518B0" w:rsidRPr="00B004EE" w:rsidRDefault="00FF661D" w:rsidP="00B004EE">
      <w:pPr>
        <w:pStyle w:val="Corpsdetexte"/>
        <w:ind w:left="155" w:right="179"/>
        <w:rPr>
          <w:rFonts w:ascii="Tahoma" w:hAnsi="Tahoma" w:cs="Tahoma"/>
          <w:sz w:val="20"/>
          <w:szCs w:val="20"/>
        </w:rPr>
      </w:pPr>
      <w:r w:rsidRPr="00B004EE">
        <w:rPr>
          <w:rFonts w:ascii="Tahoma" w:hAnsi="Tahoma" w:cs="Tahoma"/>
          <w:bCs/>
          <w:iCs/>
          <w:sz w:val="20"/>
          <w:szCs w:val="20"/>
        </w:rPr>
        <w:t xml:space="preserve">Article </w:t>
      </w:r>
      <w:r w:rsidR="008518B0" w:rsidRPr="00B004EE">
        <w:rPr>
          <w:rFonts w:ascii="Tahoma" w:hAnsi="Tahoma" w:cs="Tahoma"/>
          <w:bCs/>
          <w:iCs/>
          <w:sz w:val="20"/>
          <w:szCs w:val="20"/>
        </w:rPr>
        <w:t>25</w:t>
      </w:r>
      <w:r w:rsidRPr="00B004EE">
        <w:rPr>
          <w:rFonts w:ascii="Tahoma" w:hAnsi="Tahoma" w:cs="Tahoma"/>
          <w:bCs/>
          <w:iCs/>
          <w:sz w:val="20"/>
          <w:szCs w:val="20"/>
        </w:rPr>
        <w:t xml:space="preserve"> </w:t>
      </w:r>
      <w:r w:rsidR="008518B0" w:rsidRPr="00B004EE">
        <w:rPr>
          <w:rFonts w:ascii="Tahoma" w:hAnsi="Tahoma" w:cs="Tahoma"/>
          <w:bCs/>
          <w:iCs/>
          <w:sz w:val="20"/>
          <w:szCs w:val="20"/>
        </w:rPr>
        <w:t>:</w:t>
      </w:r>
      <w:r w:rsidR="00DB1635" w:rsidRPr="00B004EE">
        <w:rPr>
          <w:rFonts w:ascii="Tahoma" w:hAnsi="Tahoma" w:cs="Tahoma"/>
          <w:b/>
          <w:i/>
          <w:spacing w:val="2"/>
          <w:sz w:val="20"/>
          <w:szCs w:val="20"/>
        </w:rPr>
        <w:t xml:space="preserve"> </w:t>
      </w:r>
      <w:r w:rsidR="008518B0" w:rsidRPr="00B004EE">
        <w:rPr>
          <w:rFonts w:ascii="Tahoma" w:hAnsi="Tahoma" w:cs="Tahoma"/>
          <w:sz w:val="20"/>
          <w:szCs w:val="20"/>
        </w:rPr>
        <w:t>Le</w:t>
      </w:r>
      <w:r w:rsidR="00DB1635" w:rsidRPr="00B004EE">
        <w:rPr>
          <w:rFonts w:ascii="Tahoma" w:hAnsi="Tahoma" w:cs="Tahoma"/>
          <w:sz w:val="20"/>
          <w:szCs w:val="20"/>
        </w:rPr>
        <w:t xml:space="preserve"> </w:t>
      </w:r>
      <w:r w:rsidR="008518B0" w:rsidRPr="00B004EE">
        <w:rPr>
          <w:rFonts w:ascii="Tahoma" w:hAnsi="Tahoma" w:cs="Tahoma"/>
          <w:spacing w:val="4"/>
          <w:sz w:val="20"/>
          <w:szCs w:val="20"/>
        </w:rPr>
        <w:t>Ministère</w:t>
      </w:r>
      <w:r w:rsidR="00DB1635" w:rsidRPr="00B004EE">
        <w:rPr>
          <w:rFonts w:ascii="Tahoma" w:hAnsi="Tahoma" w:cs="Tahoma"/>
          <w:spacing w:val="4"/>
          <w:sz w:val="20"/>
          <w:szCs w:val="20"/>
        </w:rPr>
        <w:t xml:space="preserve"> </w:t>
      </w:r>
      <w:r w:rsidR="008518B0" w:rsidRPr="00B004EE">
        <w:rPr>
          <w:rFonts w:ascii="Tahoma" w:hAnsi="Tahoma" w:cs="Tahoma"/>
          <w:spacing w:val="3"/>
          <w:sz w:val="20"/>
          <w:szCs w:val="20"/>
        </w:rPr>
        <w:t>des</w:t>
      </w:r>
      <w:r w:rsidR="00DB1635" w:rsidRPr="00B004EE">
        <w:rPr>
          <w:rFonts w:ascii="Tahoma" w:hAnsi="Tahoma" w:cs="Tahoma"/>
          <w:spacing w:val="3"/>
          <w:sz w:val="20"/>
          <w:szCs w:val="20"/>
        </w:rPr>
        <w:t xml:space="preserve"> </w:t>
      </w:r>
      <w:r w:rsidR="008518B0" w:rsidRPr="00B004EE">
        <w:rPr>
          <w:rFonts w:ascii="Tahoma" w:hAnsi="Tahoma" w:cs="Tahoma"/>
          <w:spacing w:val="3"/>
          <w:sz w:val="20"/>
          <w:szCs w:val="20"/>
        </w:rPr>
        <w:t>Finances</w:t>
      </w:r>
      <w:r w:rsidR="00DB1635" w:rsidRPr="00B004EE">
        <w:rPr>
          <w:rFonts w:ascii="Tahoma" w:hAnsi="Tahoma" w:cs="Tahoma"/>
          <w:spacing w:val="3"/>
          <w:sz w:val="20"/>
          <w:szCs w:val="20"/>
        </w:rPr>
        <w:t xml:space="preserve"> </w:t>
      </w:r>
      <w:r w:rsidR="008518B0" w:rsidRPr="00B004EE">
        <w:rPr>
          <w:rFonts w:ascii="Tahoma" w:hAnsi="Tahoma" w:cs="Tahoma"/>
          <w:spacing w:val="6"/>
          <w:sz w:val="20"/>
          <w:szCs w:val="20"/>
        </w:rPr>
        <w:t>désigne</w:t>
      </w:r>
      <w:r w:rsidR="00DB1635" w:rsidRPr="00B004EE">
        <w:rPr>
          <w:rFonts w:ascii="Tahoma" w:hAnsi="Tahoma" w:cs="Tahoma"/>
          <w:spacing w:val="6"/>
          <w:sz w:val="20"/>
          <w:szCs w:val="20"/>
        </w:rPr>
        <w:t xml:space="preserve"> </w:t>
      </w:r>
      <w:r w:rsidR="008518B0" w:rsidRPr="00B004EE">
        <w:rPr>
          <w:rFonts w:ascii="Tahoma" w:hAnsi="Tahoma" w:cs="Tahoma"/>
          <w:spacing w:val="3"/>
          <w:sz w:val="20"/>
          <w:szCs w:val="20"/>
        </w:rPr>
        <w:t>un</w:t>
      </w:r>
      <w:r w:rsidR="00DB1635" w:rsidRPr="00B004EE">
        <w:rPr>
          <w:rFonts w:ascii="Tahoma" w:hAnsi="Tahoma" w:cs="Tahoma"/>
          <w:spacing w:val="3"/>
          <w:sz w:val="20"/>
          <w:szCs w:val="20"/>
        </w:rPr>
        <w:t xml:space="preserve"> </w:t>
      </w:r>
      <w:r w:rsidR="008518B0" w:rsidRPr="00B004EE">
        <w:rPr>
          <w:rFonts w:ascii="Tahoma" w:hAnsi="Tahoma" w:cs="Tahoma"/>
          <w:spacing w:val="7"/>
          <w:sz w:val="20"/>
          <w:szCs w:val="20"/>
        </w:rPr>
        <w:t>Commissaire</w:t>
      </w:r>
      <w:r w:rsidR="00DB1635" w:rsidRPr="00B004EE">
        <w:rPr>
          <w:rFonts w:ascii="Tahoma" w:hAnsi="Tahoma" w:cs="Tahoma"/>
          <w:spacing w:val="7"/>
          <w:sz w:val="20"/>
          <w:szCs w:val="20"/>
        </w:rPr>
        <w:t xml:space="preserve"> </w:t>
      </w:r>
      <w:r w:rsidR="008518B0" w:rsidRPr="00B004EE">
        <w:rPr>
          <w:rFonts w:ascii="Tahoma" w:hAnsi="Tahoma" w:cs="Tahoma"/>
          <w:spacing w:val="5"/>
          <w:sz w:val="20"/>
          <w:szCs w:val="20"/>
        </w:rPr>
        <w:t>aux</w:t>
      </w:r>
      <w:r w:rsidR="00DB1635" w:rsidRPr="00B004EE">
        <w:rPr>
          <w:rFonts w:ascii="Tahoma" w:hAnsi="Tahoma" w:cs="Tahoma"/>
          <w:spacing w:val="5"/>
          <w:sz w:val="20"/>
          <w:szCs w:val="20"/>
        </w:rPr>
        <w:t xml:space="preserve"> </w:t>
      </w:r>
      <w:r w:rsidR="008518B0" w:rsidRPr="00B004EE">
        <w:rPr>
          <w:rFonts w:ascii="Tahoma" w:hAnsi="Tahoma" w:cs="Tahoma"/>
          <w:spacing w:val="6"/>
          <w:sz w:val="20"/>
          <w:szCs w:val="20"/>
        </w:rPr>
        <w:t>Comptes</w:t>
      </w:r>
      <w:r w:rsidR="00DB1635" w:rsidRPr="00B004EE">
        <w:rPr>
          <w:rFonts w:ascii="Tahoma" w:hAnsi="Tahoma" w:cs="Tahoma"/>
          <w:spacing w:val="6"/>
          <w:sz w:val="20"/>
          <w:szCs w:val="20"/>
        </w:rPr>
        <w:t xml:space="preserve"> </w:t>
      </w:r>
      <w:r w:rsidR="008518B0" w:rsidRPr="00B004EE">
        <w:rPr>
          <w:rFonts w:ascii="Tahoma" w:hAnsi="Tahoma" w:cs="Tahoma"/>
          <w:sz w:val="20"/>
          <w:szCs w:val="20"/>
        </w:rPr>
        <w:t>ayant</w:t>
      </w:r>
      <w:r w:rsidR="00DB1635" w:rsidRPr="00B004EE">
        <w:rPr>
          <w:rFonts w:ascii="Tahoma" w:hAnsi="Tahoma" w:cs="Tahoma"/>
          <w:w w:val="99"/>
          <w:sz w:val="20"/>
          <w:szCs w:val="20"/>
        </w:rPr>
        <w:t xml:space="preserve"> </w:t>
      </w:r>
      <w:r w:rsidR="008518B0" w:rsidRPr="00B004EE">
        <w:rPr>
          <w:rFonts w:ascii="Tahoma" w:hAnsi="Tahoma" w:cs="Tahoma"/>
          <w:sz w:val="20"/>
          <w:szCs w:val="20"/>
        </w:rPr>
        <w:t>pour</w:t>
      </w:r>
      <w:r w:rsidR="00DB1635" w:rsidRPr="00B004EE">
        <w:rPr>
          <w:rFonts w:ascii="Tahoma" w:hAnsi="Tahoma" w:cs="Tahoma"/>
          <w:spacing w:val="44"/>
          <w:sz w:val="20"/>
          <w:szCs w:val="20"/>
        </w:rPr>
        <w:t xml:space="preserve"> </w:t>
      </w:r>
      <w:r w:rsidR="008518B0" w:rsidRPr="00B004EE">
        <w:rPr>
          <w:rFonts w:ascii="Tahoma" w:hAnsi="Tahoma" w:cs="Tahoma"/>
          <w:sz w:val="20"/>
          <w:szCs w:val="20"/>
        </w:rPr>
        <w:t>mandat</w:t>
      </w:r>
      <w:r w:rsidR="00DB1635" w:rsidRPr="00B004EE">
        <w:rPr>
          <w:rFonts w:ascii="Tahoma" w:hAnsi="Tahoma" w:cs="Tahoma"/>
          <w:spacing w:val="45"/>
          <w:sz w:val="20"/>
          <w:szCs w:val="20"/>
        </w:rPr>
        <w:t xml:space="preserve"> </w:t>
      </w:r>
      <w:r w:rsidR="008518B0" w:rsidRPr="00B004EE">
        <w:rPr>
          <w:rFonts w:ascii="Tahoma" w:hAnsi="Tahoma" w:cs="Tahoma"/>
          <w:sz w:val="20"/>
          <w:szCs w:val="20"/>
        </w:rPr>
        <w:t>de</w:t>
      </w:r>
      <w:r w:rsidR="00DB1635" w:rsidRPr="00B004EE">
        <w:rPr>
          <w:rFonts w:ascii="Tahoma" w:hAnsi="Tahoma" w:cs="Tahoma"/>
          <w:spacing w:val="44"/>
          <w:sz w:val="20"/>
          <w:szCs w:val="20"/>
        </w:rPr>
        <w:t xml:space="preserve"> </w:t>
      </w:r>
      <w:r w:rsidR="008518B0" w:rsidRPr="00B004EE">
        <w:rPr>
          <w:rFonts w:ascii="Tahoma" w:hAnsi="Tahoma" w:cs="Tahoma"/>
          <w:sz w:val="20"/>
          <w:szCs w:val="20"/>
        </w:rPr>
        <w:t>vérifier</w:t>
      </w:r>
      <w:r w:rsidR="00DB1635" w:rsidRPr="00B004EE">
        <w:rPr>
          <w:rFonts w:ascii="Tahoma" w:hAnsi="Tahoma" w:cs="Tahoma"/>
          <w:spacing w:val="46"/>
          <w:sz w:val="20"/>
          <w:szCs w:val="20"/>
        </w:rPr>
        <w:t xml:space="preserve"> </w:t>
      </w:r>
      <w:r w:rsidR="008518B0" w:rsidRPr="00B004EE">
        <w:rPr>
          <w:rFonts w:ascii="Tahoma" w:hAnsi="Tahoma" w:cs="Tahoma"/>
          <w:sz w:val="20"/>
          <w:szCs w:val="20"/>
        </w:rPr>
        <w:t>les</w:t>
      </w:r>
      <w:r w:rsidR="00DB1635" w:rsidRPr="00B004EE">
        <w:rPr>
          <w:rFonts w:ascii="Tahoma" w:hAnsi="Tahoma" w:cs="Tahoma"/>
          <w:spacing w:val="45"/>
          <w:sz w:val="20"/>
          <w:szCs w:val="20"/>
        </w:rPr>
        <w:t xml:space="preserve"> </w:t>
      </w:r>
      <w:r w:rsidR="008518B0" w:rsidRPr="00B004EE">
        <w:rPr>
          <w:rFonts w:ascii="Tahoma" w:hAnsi="Tahoma" w:cs="Tahoma"/>
          <w:sz w:val="20"/>
          <w:szCs w:val="20"/>
        </w:rPr>
        <w:t>livres,</w:t>
      </w:r>
      <w:r w:rsidR="00DB1635" w:rsidRPr="00B004EE">
        <w:rPr>
          <w:rFonts w:ascii="Tahoma" w:hAnsi="Tahoma" w:cs="Tahoma"/>
          <w:spacing w:val="45"/>
          <w:sz w:val="20"/>
          <w:szCs w:val="20"/>
        </w:rPr>
        <w:t xml:space="preserve"> </w:t>
      </w:r>
      <w:r w:rsidR="008518B0" w:rsidRPr="00B004EE">
        <w:rPr>
          <w:rFonts w:ascii="Tahoma" w:hAnsi="Tahoma" w:cs="Tahoma"/>
          <w:sz w:val="20"/>
          <w:szCs w:val="20"/>
        </w:rPr>
        <w:t>les</w:t>
      </w:r>
      <w:r w:rsidR="00DB1635" w:rsidRPr="00B004EE">
        <w:rPr>
          <w:rFonts w:ascii="Tahoma" w:hAnsi="Tahoma" w:cs="Tahoma"/>
          <w:spacing w:val="45"/>
          <w:sz w:val="20"/>
          <w:szCs w:val="20"/>
        </w:rPr>
        <w:t xml:space="preserve"> </w:t>
      </w:r>
      <w:r w:rsidR="008518B0" w:rsidRPr="00B004EE">
        <w:rPr>
          <w:rFonts w:ascii="Tahoma" w:hAnsi="Tahoma" w:cs="Tahoma"/>
          <w:sz w:val="20"/>
          <w:szCs w:val="20"/>
        </w:rPr>
        <w:t>caisses,</w:t>
      </w:r>
      <w:r w:rsidR="00DB1635" w:rsidRPr="00B004EE">
        <w:rPr>
          <w:rFonts w:ascii="Tahoma" w:hAnsi="Tahoma" w:cs="Tahoma"/>
          <w:spacing w:val="45"/>
          <w:sz w:val="20"/>
          <w:szCs w:val="20"/>
        </w:rPr>
        <w:t xml:space="preserve"> </w:t>
      </w:r>
      <w:r w:rsidR="008518B0" w:rsidRPr="00B004EE">
        <w:rPr>
          <w:rFonts w:ascii="Tahoma" w:hAnsi="Tahoma" w:cs="Tahoma"/>
          <w:sz w:val="20"/>
          <w:szCs w:val="20"/>
        </w:rPr>
        <w:t>les</w:t>
      </w:r>
      <w:r w:rsidR="00DB1635" w:rsidRPr="00B004EE">
        <w:rPr>
          <w:rFonts w:ascii="Tahoma" w:hAnsi="Tahoma" w:cs="Tahoma"/>
          <w:spacing w:val="45"/>
          <w:sz w:val="20"/>
          <w:szCs w:val="20"/>
        </w:rPr>
        <w:t xml:space="preserve"> </w:t>
      </w:r>
      <w:r w:rsidR="008518B0" w:rsidRPr="00B004EE">
        <w:rPr>
          <w:rFonts w:ascii="Tahoma" w:hAnsi="Tahoma" w:cs="Tahoma"/>
          <w:sz w:val="20"/>
          <w:szCs w:val="20"/>
        </w:rPr>
        <w:t>portes</w:t>
      </w:r>
      <w:r w:rsidR="00DB1635" w:rsidRPr="00B004EE">
        <w:rPr>
          <w:rFonts w:ascii="Tahoma" w:hAnsi="Tahoma" w:cs="Tahoma"/>
          <w:spacing w:val="45"/>
          <w:sz w:val="20"/>
          <w:szCs w:val="20"/>
        </w:rPr>
        <w:t xml:space="preserve"> </w:t>
      </w:r>
      <w:r w:rsidR="008518B0" w:rsidRPr="00B004EE">
        <w:rPr>
          <w:rFonts w:ascii="Tahoma" w:hAnsi="Tahoma" w:cs="Tahoma"/>
          <w:sz w:val="20"/>
          <w:szCs w:val="20"/>
        </w:rPr>
        <w:t>feuilles</w:t>
      </w:r>
      <w:r w:rsidR="00DB1635" w:rsidRPr="00B004EE">
        <w:rPr>
          <w:rFonts w:ascii="Tahoma" w:hAnsi="Tahoma" w:cs="Tahoma"/>
          <w:spacing w:val="45"/>
          <w:sz w:val="20"/>
          <w:szCs w:val="20"/>
        </w:rPr>
        <w:t xml:space="preserve"> </w:t>
      </w:r>
      <w:r w:rsidR="008518B0" w:rsidRPr="00B004EE">
        <w:rPr>
          <w:rFonts w:ascii="Tahoma" w:hAnsi="Tahoma" w:cs="Tahoma"/>
          <w:sz w:val="20"/>
          <w:szCs w:val="20"/>
        </w:rPr>
        <w:t>et</w:t>
      </w:r>
      <w:r w:rsidR="00DB1635" w:rsidRPr="00B004EE">
        <w:rPr>
          <w:rFonts w:ascii="Tahoma" w:hAnsi="Tahoma" w:cs="Tahoma"/>
          <w:spacing w:val="45"/>
          <w:sz w:val="20"/>
          <w:szCs w:val="20"/>
        </w:rPr>
        <w:t xml:space="preserve"> </w:t>
      </w:r>
      <w:r w:rsidR="008518B0" w:rsidRPr="00B004EE">
        <w:rPr>
          <w:rFonts w:ascii="Tahoma" w:hAnsi="Tahoma" w:cs="Tahoma"/>
          <w:sz w:val="20"/>
          <w:szCs w:val="20"/>
        </w:rPr>
        <w:t>les</w:t>
      </w:r>
      <w:r w:rsidR="00DB1635" w:rsidRPr="00B004EE">
        <w:rPr>
          <w:rFonts w:ascii="Tahoma" w:hAnsi="Tahoma" w:cs="Tahoma"/>
          <w:spacing w:val="45"/>
          <w:sz w:val="20"/>
          <w:szCs w:val="20"/>
        </w:rPr>
        <w:t xml:space="preserve"> </w:t>
      </w:r>
      <w:r w:rsidR="008518B0" w:rsidRPr="00B004EE">
        <w:rPr>
          <w:rFonts w:ascii="Tahoma" w:hAnsi="Tahoma" w:cs="Tahoma"/>
          <w:sz w:val="20"/>
          <w:szCs w:val="20"/>
        </w:rPr>
        <w:t>valeurs</w:t>
      </w:r>
      <w:r w:rsidR="00DB1635" w:rsidRPr="00B004EE">
        <w:rPr>
          <w:rFonts w:ascii="Tahoma" w:hAnsi="Tahoma" w:cs="Tahoma"/>
          <w:spacing w:val="45"/>
          <w:sz w:val="20"/>
          <w:szCs w:val="20"/>
        </w:rPr>
        <w:t xml:space="preserve"> </w:t>
      </w:r>
      <w:r w:rsidR="008518B0" w:rsidRPr="00B004EE">
        <w:rPr>
          <w:rFonts w:ascii="Tahoma" w:hAnsi="Tahoma" w:cs="Tahoma"/>
          <w:sz w:val="20"/>
          <w:szCs w:val="20"/>
        </w:rPr>
        <w:t>de</w:t>
      </w:r>
      <w:r w:rsidR="00DB1635" w:rsidRPr="00B004EE">
        <w:rPr>
          <w:rFonts w:ascii="Tahoma" w:hAnsi="Tahoma" w:cs="Tahoma"/>
          <w:spacing w:val="44"/>
          <w:sz w:val="20"/>
          <w:szCs w:val="20"/>
        </w:rPr>
        <w:t xml:space="preserve"> </w:t>
      </w:r>
      <w:r w:rsidR="008518B0" w:rsidRPr="00B004EE">
        <w:rPr>
          <w:rFonts w:ascii="Tahoma" w:hAnsi="Tahoma" w:cs="Tahoma"/>
          <w:sz w:val="20"/>
          <w:szCs w:val="20"/>
        </w:rPr>
        <w:t>l'Office</w:t>
      </w:r>
      <w:r w:rsidR="00DB1635" w:rsidRPr="00B004EE">
        <w:rPr>
          <w:rFonts w:ascii="Tahoma" w:hAnsi="Tahoma" w:cs="Tahoma"/>
          <w:w w:val="99"/>
          <w:sz w:val="20"/>
          <w:szCs w:val="20"/>
        </w:rPr>
        <w:t xml:space="preserve"> </w:t>
      </w:r>
      <w:r w:rsidR="008518B0" w:rsidRPr="00B004EE">
        <w:rPr>
          <w:rFonts w:ascii="Tahoma" w:hAnsi="Tahoma" w:cs="Tahoma"/>
          <w:sz w:val="20"/>
          <w:szCs w:val="20"/>
        </w:rPr>
        <w:t>National</w:t>
      </w:r>
      <w:r w:rsidR="00DB1635" w:rsidRPr="00B004EE">
        <w:rPr>
          <w:rFonts w:ascii="Tahoma" w:hAnsi="Tahoma" w:cs="Tahoma"/>
          <w:spacing w:val="17"/>
          <w:sz w:val="20"/>
          <w:szCs w:val="20"/>
        </w:rPr>
        <w:t xml:space="preserve"> </w:t>
      </w:r>
      <w:r w:rsidR="008518B0" w:rsidRPr="00B004EE">
        <w:rPr>
          <w:rFonts w:ascii="Tahoma" w:hAnsi="Tahoma" w:cs="Tahoma"/>
          <w:sz w:val="20"/>
          <w:szCs w:val="20"/>
        </w:rPr>
        <w:t>d'Inspection</w:t>
      </w:r>
      <w:r w:rsidR="00DB1635" w:rsidRPr="00B004EE">
        <w:rPr>
          <w:rFonts w:ascii="Tahoma" w:hAnsi="Tahoma" w:cs="Tahoma"/>
          <w:spacing w:val="17"/>
          <w:sz w:val="20"/>
          <w:szCs w:val="20"/>
        </w:rPr>
        <w:t xml:space="preserve"> </w:t>
      </w:r>
      <w:r w:rsidR="008518B0" w:rsidRPr="00B004EE">
        <w:rPr>
          <w:rFonts w:ascii="Tahoma" w:hAnsi="Tahoma" w:cs="Tahoma"/>
          <w:sz w:val="20"/>
          <w:szCs w:val="20"/>
        </w:rPr>
        <w:t>Sanitaire</w:t>
      </w:r>
      <w:r w:rsidR="00DB1635" w:rsidRPr="00B004EE">
        <w:rPr>
          <w:rFonts w:ascii="Tahoma" w:hAnsi="Tahoma" w:cs="Tahoma"/>
          <w:spacing w:val="16"/>
          <w:sz w:val="20"/>
          <w:szCs w:val="20"/>
        </w:rPr>
        <w:t xml:space="preserve"> </w:t>
      </w:r>
      <w:r w:rsidR="008518B0" w:rsidRPr="00B004EE">
        <w:rPr>
          <w:rFonts w:ascii="Tahoma" w:hAnsi="Tahoma" w:cs="Tahoma"/>
          <w:sz w:val="20"/>
          <w:szCs w:val="20"/>
        </w:rPr>
        <w:t>des</w:t>
      </w:r>
      <w:r w:rsidR="00DB1635" w:rsidRPr="00B004EE">
        <w:rPr>
          <w:rFonts w:ascii="Tahoma" w:hAnsi="Tahoma" w:cs="Tahoma"/>
          <w:spacing w:val="17"/>
          <w:sz w:val="20"/>
          <w:szCs w:val="20"/>
        </w:rPr>
        <w:t xml:space="preserve"> </w:t>
      </w:r>
      <w:r w:rsidR="008518B0" w:rsidRPr="00B004EE">
        <w:rPr>
          <w:rFonts w:ascii="Tahoma" w:hAnsi="Tahoma" w:cs="Tahoma"/>
          <w:sz w:val="20"/>
          <w:szCs w:val="20"/>
        </w:rPr>
        <w:t>Produits</w:t>
      </w:r>
      <w:r w:rsidR="00DB1635" w:rsidRPr="00B004EE">
        <w:rPr>
          <w:rFonts w:ascii="Tahoma" w:hAnsi="Tahoma" w:cs="Tahoma"/>
          <w:spacing w:val="17"/>
          <w:sz w:val="20"/>
          <w:szCs w:val="20"/>
        </w:rPr>
        <w:t xml:space="preserve"> </w:t>
      </w:r>
      <w:r w:rsidR="008518B0" w:rsidRPr="00B004EE">
        <w:rPr>
          <w:rFonts w:ascii="Tahoma" w:hAnsi="Tahoma" w:cs="Tahoma"/>
          <w:sz w:val="20"/>
          <w:szCs w:val="20"/>
        </w:rPr>
        <w:t>de</w:t>
      </w:r>
      <w:r w:rsidR="00DB1635" w:rsidRPr="00B004EE">
        <w:rPr>
          <w:rFonts w:ascii="Tahoma" w:hAnsi="Tahoma" w:cs="Tahoma"/>
          <w:spacing w:val="16"/>
          <w:sz w:val="20"/>
          <w:szCs w:val="20"/>
        </w:rPr>
        <w:t xml:space="preserve"> </w:t>
      </w:r>
      <w:r w:rsidR="008518B0" w:rsidRPr="00B004EE">
        <w:rPr>
          <w:rFonts w:ascii="Tahoma" w:hAnsi="Tahoma" w:cs="Tahoma"/>
          <w:sz w:val="20"/>
          <w:szCs w:val="20"/>
        </w:rPr>
        <w:t>la</w:t>
      </w:r>
      <w:r w:rsidR="00DB1635" w:rsidRPr="00B004EE">
        <w:rPr>
          <w:rFonts w:ascii="Tahoma" w:hAnsi="Tahoma" w:cs="Tahoma"/>
          <w:spacing w:val="13"/>
          <w:sz w:val="20"/>
          <w:szCs w:val="20"/>
        </w:rPr>
        <w:t xml:space="preserve"> </w:t>
      </w:r>
      <w:r w:rsidR="008518B0" w:rsidRPr="00B004EE">
        <w:rPr>
          <w:rFonts w:ascii="Tahoma" w:hAnsi="Tahoma" w:cs="Tahoma"/>
          <w:sz w:val="20"/>
          <w:szCs w:val="20"/>
        </w:rPr>
        <w:t>Pêche</w:t>
      </w:r>
      <w:r w:rsidR="00DB1635" w:rsidRPr="00B004EE">
        <w:rPr>
          <w:rFonts w:ascii="Tahoma" w:hAnsi="Tahoma" w:cs="Tahoma"/>
          <w:spacing w:val="16"/>
          <w:sz w:val="20"/>
          <w:szCs w:val="20"/>
        </w:rPr>
        <w:t xml:space="preserve"> </w:t>
      </w:r>
      <w:r w:rsidR="008518B0" w:rsidRPr="00B004EE">
        <w:rPr>
          <w:rFonts w:ascii="Tahoma" w:hAnsi="Tahoma" w:cs="Tahoma"/>
          <w:sz w:val="20"/>
          <w:szCs w:val="20"/>
        </w:rPr>
        <w:t>et</w:t>
      </w:r>
      <w:r w:rsidR="00DB1635" w:rsidRPr="00B004EE">
        <w:rPr>
          <w:rFonts w:ascii="Tahoma" w:hAnsi="Tahoma" w:cs="Tahoma"/>
          <w:spacing w:val="17"/>
          <w:sz w:val="20"/>
          <w:szCs w:val="20"/>
        </w:rPr>
        <w:t xml:space="preserve"> </w:t>
      </w:r>
      <w:r w:rsidR="008518B0" w:rsidRPr="00B004EE">
        <w:rPr>
          <w:rFonts w:ascii="Tahoma" w:hAnsi="Tahoma" w:cs="Tahoma"/>
          <w:sz w:val="20"/>
          <w:szCs w:val="20"/>
        </w:rPr>
        <w:t>de</w:t>
      </w:r>
      <w:r w:rsidR="00DB1635" w:rsidRPr="00B004EE">
        <w:rPr>
          <w:rFonts w:ascii="Tahoma" w:hAnsi="Tahoma" w:cs="Tahoma"/>
          <w:spacing w:val="16"/>
          <w:sz w:val="20"/>
          <w:szCs w:val="20"/>
        </w:rPr>
        <w:t xml:space="preserve"> </w:t>
      </w:r>
      <w:r w:rsidR="008518B0" w:rsidRPr="00B004EE">
        <w:rPr>
          <w:rFonts w:ascii="Tahoma" w:hAnsi="Tahoma" w:cs="Tahoma"/>
          <w:sz w:val="20"/>
          <w:szCs w:val="20"/>
        </w:rPr>
        <w:t>l'Aquaculture</w:t>
      </w:r>
      <w:r w:rsidR="00DB1635" w:rsidRPr="00B004EE">
        <w:rPr>
          <w:rFonts w:ascii="Tahoma" w:hAnsi="Tahoma" w:cs="Tahoma"/>
          <w:spacing w:val="16"/>
          <w:sz w:val="20"/>
          <w:szCs w:val="20"/>
        </w:rPr>
        <w:t xml:space="preserve"> </w:t>
      </w:r>
      <w:r w:rsidR="008518B0" w:rsidRPr="00B004EE">
        <w:rPr>
          <w:rFonts w:ascii="Tahoma" w:hAnsi="Tahoma" w:cs="Tahoma"/>
          <w:sz w:val="20"/>
          <w:szCs w:val="20"/>
        </w:rPr>
        <w:t>et</w:t>
      </w:r>
      <w:r w:rsidR="00DB1635" w:rsidRPr="00B004EE">
        <w:rPr>
          <w:rFonts w:ascii="Tahoma" w:hAnsi="Tahoma" w:cs="Tahoma"/>
          <w:spacing w:val="17"/>
          <w:sz w:val="20"/>
          <w:szCs w:val="20"/>
        </w:rPr>
        <w:t xml:space="preserve"> </w:t>
      </w:r>
      <w:r w:rsidR="008518B0" w:rsidRPr="00B004EE">
        <w:rPr>
          <w:rFonts w:ascii="Tahoma" w:hAnsi="Tahoma" w:cs="Tahoma"/>
          <w:sz w:val="20"/>
          <w:szCs w:val="20"/>
        </w:rPr>
        <w:t>de</w:t>
      </w:r>
      <w:r w:rsidR="00DB1635" w:rsidRPr="00B004EE">
        <w:rPr>
          <w:rFonts w:ascii="Tahoma" w:hAnsi="Tahoma" w:cs="Tahoma"/>
          <w:spacing w:val="18"/>
          <w:sz w:val="20"/>
          <w:szCs w:val="20"/>
        </w:rPr>
        <w:t xml:space="preserve"> </w:t>
      </w:r>
      <w:r w:rsidR="008518B0" w:rsidRPr="00B004EE">
        <w:rPr>
          <w:rFonts w:ascii="Tahoma" w:hAnsi="Tahoma" w:cs="Tahoma"/>
          <w:sz w:val="20"/>
          <w:szCs w:val="20"/>
        </w:rPr>
        <w:t>contrôler</w:t>
      </w:r>
      <w:r w:rsidR="00DB1635" w:rsidRPr="00B004EE">
        <w:rPr>
          <w:rFonts w:ascii="Tahoma" w:hAnsi="Tahoma" w:cs="Tahoma"/>
          <w:spacing w:val="16"/>
          <w:sz w:val="20"/>
          <w:szCs w:val="20"/>
        </w:rPr>
        <w:t xml:space="preserve"> </w:t>
      </w:r>
      <w:r w:rsidR="008518B0" w:rsidRPr="00B004EE">
        <w:rPr>
          <w:rFonts w:ascii="Tahoma" w:hAnsi="Tahoma" w:cs="Tahoma"/>
          <w:sz w:val="20"/>
          <w:szCs w:val="20"/>
        </w:rPr>
        <w:t>la</w:t>
      </w:r>
      <w:r w:rsidR="00DB1635" w:rsidRPr="00B004EE">
        <w:rPr>
          <w:rFonts w:ascii="Tahoma" w:hAnsi="Tahoma" w:cs="Tahoma"/>
          <w:w w:val="99"/>
          <w:sz w:val="20"/>
          <w:szCs w:val="20"/>
        </w:rPr>
        <w:t xml:space="preserve"> </w:t>
      </w:r>
      <w:r w:rsidR="008518B0" w:rsidRPr="00B004EE">
        <w:rPr>
          <w:rFonts w:ascii="Tahoma" w:hAnsi="Tahoma" w:cs="Tahoma"/>
          <w:sz w:val="20"/>
          <w:szCs w:val="20"/>
        </w:rPr>
        <w:t>régularité</w:t>
      </w:r>
      <w:r w:rsidR="00DB1635" w:rsidRPr="00B004EE">
        <w:rPr>
          <w:rFonts w:ascii="Tahoma" w:hAnsi="Tahoma" w:cs="Tahoma"/>
          <w:sz w:val="20"/>
          <w:szCs w:val="20"/>
        </w:rPr>
        <w:t xml:space="preserve"> </w:t>
      </w:r>
      <w:r w:rsidR="008518B0" w:rsidRPr="00B004EE">
        <w:rPr>
          <w:rFonts w:ascii="Tahoma" w:hAnsi="Tahoma" w:cs="Tahoma"/>
          <w:sz w:val="20"/>
          <w:szCs w:val="20"/>
        </w:rPr>
        <w:t>et</w:t>
      </w:r>
      <w:r w:rsidR="00DB1635" w:rsidRPr="00B004EE">
        <w:rPr>
          <w:rFonts w:ascii="Tahoma" w:hAnsi="Tahoma" w:cs="Tahoma"/>
          <w:sz w:val="20"/>
          <w:szCs w:val="20"/>
        </w:rPr>
        <w:t xml:space="preserve"> </w:t>
      </w:r>
      <w:r w:rsidR="008518B0" w:rsidRPr="00B004EE">
        <w:rPr>
          <w:rFonts w:ascii="Tahoma" w:hAnsi="Tahoma" w:cs="Tahoma"/>
          <w:sz w:val="20"/>
          <w:szCs w:val="20"/>
        </w:rPr>
        <w:t>la</w:t>
      </w:r>
      <w:r w:rsidR="00DB1635" w:rsidRPr="00B004EE">
        <w:rPr>
          <w:rFonts w:ascii="Tahoma" w:hAnsi="Tahoma" w:cs="Tahoma"/>
          <w:sz w:val="20"/>
          <w:szCs w:val="20"/>
        </w:rPr>
        <w:t xml:space="preserve"> </w:t>
      </w:r>
      <w:r w:rsidR="008518B0" w:rsidRPr="00B004EE">
        <w:rPr>
          <w:rFonts w:ascii="Tahoma" w:hAnsi="Tahoma" w:cs="Tahoma"/>
          <w:sz w:val="20"/>
          <w:szCs w:val="20"/>
        </w:rPr>
        <w:t>sincérité</w:t>
      </w:r>
      <w:r w:rsidR="00DB1635" w:rsidRPr="00B004EE">
        <w:rPr>
          <w:rFonts w:ascii="Tahoma" w:hAnsi="Tahoma" w:cs="Tahoma"/>
          <w:sz w:val="20"/>
          <w:szCs w:val="20"/>
        </w:rPr>
        <w:t xml:space="preserve"> </w:t>
      </w:r>
      <w:r w:rsidR="008518B0" w:rsidRPr="00B004EE">
        <w:rPr>
          <w:rFonts w:ascii="Tahoma" w:hAnsi="Tahoma" w:cs="Tahoma"/>
          <w:sz w:val="20"/>
          <w:szCs w:val="20"/>
        </w:rPr>
        <w:t>des</w:t>
      </w:r>
      <w:r w:rsidR="00DB1635" w:rsidRPr="00B004EE">
        <w:rPr>
          <w:rFonts w:ascii="Tahoma" w:hAnsi="Tahoma" w:cs="Tahoma"/>
          <w:sz w:val="20"/>
          <w:szCs w:val="20"/>
        </w:rPr>
        <w:t xml:space="preserve"> </w:t>
      </w:r>
      <w:r w:rsidR="008518B0" w:rsidRPr="00B004EE">
        <w:rPr>
          <w:rFonts w:ascii="Tahoma" w:hAnsi="Tahoma" w:cs="Tahoma"/>
          <w:sz w:val="20"/>
          <w:szCs w:val="20"/>
        </w:rPr>
        <w:t>inventaires,</w:t>
      </w:r>
      <w:r w:rsidR="00DB1635" w:rsidRPr="00B004EE">
        <w:rPr>
          <w:rFonts w:ascii="Tahoma" w:hAnsi="Tahoma" w:cs="Tahoma"/>
          <w:sz w:val="20"/>
          <w:szCs w:val="20"/>
        </w:rPr>
        <w:t xml:space="preserve"> </w:t>
      </w:r>
      <w:r w:rsidR="008518B0" w:rsidRPr="00B004EE">
        <w:rPr>
          <w:rFonts w:ascii="Tahoma" w:hAnsi="Tahoma" w:cs="Tahoma"/>
          <w:sz w:val="20"/>
          <w:szCs w:val="20"/>
        </w:rPr>
        <w:t>des</w:t>
      </w:r>
      <w:r w:rsidR="00DB1635" w:rsidRPr="00B004EE">
        <w:rPr>
          <w:rFonts w:ascii="Tahoma" w:hAnsi="Tahoma" w:cs="Tahoma"/>
          <w:sz w:val="20"/>
          <w:szCs w:val="20"/>
        </w:rPr>
        <w:t xml:space="preserve"> </w:t>
      </w:r>
      <w:r w:rsidR="008518B0" w:rsidRPr="00B004EE">
        <w:rPr>
          <w:rFonts w:ascii="Tahoma" w:hAnsi="Tahoma" w:cs="Tahoma"/>
          <w:sz w:val="20"/>
          <w:szCs w:val="20"/>
        </w:rPr>
        <w:t>bilans</w:t>
      </w:r>
      <w:r w:rsidR="00DB1635" w:rsidRPr="00B004EE">
        <w:rPr>
          <w:rFonts w:ascii="Tahoma" w:hAnsi="Tahoma" w:cs="Tahoma"/>
          <w:sz w:val="20"/>
          <w:szCs w:val="20"/>
        </w:rPr>
        <w:t xml:space="preserve"> </w:t>
      </w:r>
      <w:r w:rsidR="008518B0" w:rsidRPr="00B004EE">
        <w:rPr>
          <w:rFonts w:ascii="Tahoma" w:hAnsi="Tahoma" w:cs="Tahoma"/>
          <w:sz w:val="20"/>
          <w:szCs w:val="20"/>
        </w:rPr>
        <w:t>et</w:t>
      </w:r>
      <w:r w:rsidR="00DB1635" w:rsidRPr="00B004EE">
        <w:rPr>
          <w:rFonts w:ascii="Tahoma" w:hAnsi="Tahoma" w:cs="Tahoma"/>
          <w:sz w:val="20"/>
          <w:szCs w:val="20"/>
        </w:rPr>
        <w:t xml:space="preserve"> </w:t>
      </w:r>
      <w:r w:rsidR="008518B0" w:rsidRPr="00B004EE">
        <w:rPr>
          <w:rFonts w:ascii="Tahoma" w:hAnsi="Tahoma" w:cs="Tahoma"/>
          <w:sz w:val="20"/>
          <w:szCs w:val="20"/>
        </w:rPr>
        <w:t>des</w:t>
      </w:r>
      <w:r w:rsidR="00DB1635" w:rsidRPr="00B004EE">
        <w:rPr>
          <w:rFonts w:ascii="Tahoma" w:hAnsi="Tahoma" w:cs="Tahoma"/>
          <w:sz w:val="20"/>
          <w:szCs w:val="20"/>
        </w:rPr>
        <w:t xml:space="preserve"> </w:t>
      </w:r>
      <w:r w:rsidR="008518B0" w:rsidRPr="00B004EE">
        <w:rPr>
          <w:rFonts w:ascii="Tahoma" w:hAnsi="Tahoma" w:cs="Tahoma"/>
          <w:sz w:val="20"/>
          <w:szCs w:val="20"/>
        </w:rPr>
        <w:t>comptes.</w:t>
      </w:r>
      <w:r w:rsidR="00DB1635" w:rsidRPr="00B004EE">
        <w:rPr>
          <w:rFonts w:ascii="Tahoma" w:hAnsi="Tahoma" w:cs="Tahoma"/>
          <w:sz w:val="20"/>
          <w:szCs w:val="20"/>
        </w:rPr>
        <w:t xml:space="preserve"> </w:t>
      </w:r>
      <w:r w:rsidR="008518B0" w:rsidRPr="00B004EE">
        <w:rPr>
          <w:rFonts w:ascii="Tahoma" w:hAnsi="Tahoma" w:cs="Tahoma"/>
          <w:spacing w:val="7"/>
          <w:sz w:val="20"/>
          <w:szCs w:val="20"/>
        </w:rPr>
        <w:t>Le</w:t>
      </w:r>
      <w:r w:rsidR="00DB1635" w:rsidRPr="00B004EE">
        <w:rPr>
          <w:rFonts w:ascii="Tahoma" w:hAnsi="Tahoma" w:cs="Tahoma"/>
          <w:spacing w:val="7"/>
          <w:sz w:val="20"/>
          <w:szCs w:val="20"/>
        </w:rPr>
        <w:t xml:space="preserve"> </w:t>
      </w:r>
      <w:r w:rsidR="008518B0" w:rsidRPr="00B004EE">
        <w:rPr>
          <w:rFonts w:ascii="Tahoma" w:hAnsi="Tahoma" w:cs="Tahoma"/>
          <w:spacing w:val="15"/>
          <w:sz w:val="20"/>
          <w:szCs w:val="20"/>
        </w:rPr>
        <w:t>Commissaire</w:t>
      </w:r>
      <w:r w:rsidR="00DB1635" w:rsidRPr="00B004EE">
        <w:rPr>
          <w:rFonts w:ascii="Tahoma" w:hAnsi="Tahoma" w:cs="Tahoma"/>
          <w:spacing w:val="20"/>
          <w:sz w:val="20"/>
          <w:szCs w:val="20"/>
        </w:rPr>
        <w:t xml:space="preserve"> </w:t>
      </w:r>
      <w:r w:rsidR="008518B0" w:rsidRPr="00B004EE">
        <w:rPr>
          <w:rFonts w:ascii="Tahoma" w:hAnsi="Tahoma" w:cs="Tahoma"/>
          <w:spacing w:val="10"/>
          <w:sz w:val="20"/>
          <w:szCs w:val="20"/>
        </w:rPr>
        <w:t>aux</w:t>
      </w:r>
      <w:r w:rsidR="00DB1635" w:rsidRPr="00B004EE">
        <w:rPr>
          <w:rFonts w:ascii="Tahoma" w:hAnsi="Tahoma" w:cs="Tahoma"/>
          <w:w w:val="99"/>
          <w:sz w:val="20"/>
          <w:szCs w:val="20"/>
        </w:rPr>
        <w:t xml:space="preserve"> </w:t>
      </w:r>
      <w:r w:rsidR="008518B0" w:rsidRPr="00B004EE">
        <w:rPr>
          <w:rFonts w:ascii="Tahoma" w:hAnsi="Tahoma" w:cs="Tahoma"/>
          <w:spacing w:val="14"/>
          <w:sz w:val="20"/>
          <w:szCs w:val="20"/>
        </w:rPr>
        <w:t>Comptes</w:t>
      </w:r>
      <w:r w:rsidR="00DB1635" w:rsidRPr="00B004EE">
        <w:rPr>
          <w:rFonts w:ascii="Tahoma" w:hAnsi="Tahoma" w:cs="Tahoma"/>
          <w:spacing w:val="45"/>
          <w:sz w:val="20"/>
          <w:szCs w:val="20"/>
        </w:rPr>
        <w:t xml:space="preserve"> </w:t>
      </w:r>
      <w:r w:rsidR="008518B0" w:rsidRPr="00B004EE">
        <w:rPr>
          <w:rFonts w:ascii="Tahoma" w:hAnsi="Tahoma" w:cs="Tahoma"/>
          <w:spacing w:val="10"/>
          <w:sz w:val="20"/>
          <w:szCs w:val="20"/>
        </w:rPr>
        <w:t>est</w:t>
      </w:r>
      <w:r w:rsidR="00DB1635" w:rsidRPr="00B004EE">
        <w:rPr>
          <w:rFonts w:ascii="Tahoma" w:hAnsi="Tahoma" w:cs="Tahoma"/>
          <w:spacing w:val="48"/>
          <w:sz w:val="20"/>
          <w:szCs w:val="20"/>
        </w:rPr>
        <w:t xml:space="preserve"> </w:t>
      </w:r>
      <w:r w:rsidR="008518B0" w:rsidRPr="00B004EE">
        <w:rPr>
          <w:rFonts w:ascii="Tahoma" w:hAnsi="Tahoma" w:cs="Tahoma"/>
          <w:spacing w:val="3"/>
          <w:sz w:val="20"/>
          <w:szCs w:val="20"/>
        </w:rPr>
        <w:t>convoqué</w:t>
      </w:r>
      <w:r w:rsidR="00DB1635" w:rsidRPr="00B004EE">
        <w:rPr>
          <w:rFonts w:ascii="Tahoma" w:hAnsi="Tahoma" w:cs="Tahoma"/>
          <w:spacing w:val="23"/>
          <w:sz w:val="20"/>
          <w:szCs w:val="20"/>
        </w:rPr>
        <w:t xml:space="preserve"> </w:t>
      </w:r>
      <w:r w:rsidR="008518B0" w:rsidRPr="00B004EE">
        <w:rPr>
          <w:rFonts w:ascii="Tahoma" w:hAnsi="Tahoma" w:cs="Tahoma"/>
          <w:sz w:val="20"/>
          <w:szCs w:val="20"/>
        </w:rPr>
        <w:t>à</w:t>
      </w:r>
      <w:r w:rsidR="00DB1635" w:rsidRPr="00B004EE">
        <w:rPr>
          <w:rFonts w:ascii="Tahoma" w:hAnsi="Tahoma" w:cs="Tahoma"/>
          <w:spacing w:val="20"/>
          <w:sz w:val="20"/>
          <w:szCs w:val="20"/>
        </w:rPr>
        <w:t xml:space="preserve"> </w:t>
      </w:r>
      <w:r w:rsidR="008518B0" w:rsidRPr="00B004EE">
        <w:rPr>
          <w:rFonts w:ascii="Tahoma" w:hAnsi="Tahoma" w:cs="Tahoma"/>
          <w:spacing w:val="2"/>
          <w:sz w:val="20"/>
          <w:szCs w:val="20"/>
        </w:rPr>
        <w:t>la</w:t>
      </w:r>
      <w:r w:rsidR="00DB1635" w:rsidRPr="00B004EE">
        <w:rPr>
          <w:rFonts w:ascii="Tahoma" w:hAnsi="Tahoma" w:cs="Tahoma"/>
          <w:spacing w:val="23"/>
          <w:sz w:val="20"/>
          <w:szCs w:val="20"/>
        </w:rPr>
        <w:t xml:space="preserve"> </w:t>
      </w:r>
      <w:r w:rsidR="008518B0" w:rsidRPr="00B004EE">
        <w:rPr>
          <w:rFonts w:ascii="Tahoma" w:hAnsi="Tahoma" w:cs="Tahoma"/>
          <w:spacing w:val="3"/>
          <w:sz w:val="20"/>
          <w:szCs w:val="20"/>
        </w:rPr>
        <w:t>réunion</w:t>
      </w:r>
      <w:r w:rsidR="00DB1635" w:rsidRPr="00B004EE">
        <w:rPr>
          <w:rFonts w:ascii="Tahoma" w:hAnsi="Tahoma" w:cs="Tahoma"/>
          <w:spacing w:val="21"/>
          <w:sz w:val="20"/>
          <w:szCs w:val="20"/>
        </w:rPr>
        <w:t xml:space="preserve"> </w:t>
      </w:r>
      <w:r w:rsidR="008518B0" w:rsidRPr="00B004EE">
        <w:rPr>
          <w:rFonts w:ascii="Tahoma" w:hAnsi="Tahoma" w:cs="Tahoma"/>
          <w:sz w:val="20"/>
          <w:szCs w:val="20"/>
        </w:rPr>
        <w:t>du</w:t>
      </w:r>
      <w:r w:rsidR="00DB1635" w:rsidRPr="00B004EE">
        <w:rPr>
          <w:rFonts w:ascii="Tahoma" w:hAnsi="Tahoma" w:cs="Tahoma"/>
          <w:spacing w:val="24"/>
          <w:sz w:val="20"/>
          <w:szCs w:val="20"/>
        </w:rPr>
        <w:t xml:space="preserve"> </w:t>
      </w:r>
      <w:r w:rsidR="008518B0" w:rsidRPr="00B004EE">
        <w:rPr>
          <w:rFonts w:ascii="Tahoma" w:hAnsi="Tahoma" w:cs="Tahoma"/>
          <w:spacing w:val="4"/>
          <w:sz w:val="20"/>
          <w:szCs w:val="20"/>
        </w:rPr>
        <w:t>Conseil</w:t>
      </w:r>
      <w:r w:rsidR="00DB1635" w:rsidRPr="00B004EE">
        <w:rPr>
          <w:rFonts w:ascii="Tahoma" w:hAnsi="Tahoma" w:cs="Tahoma"/>
          <w:spacing w:val="22"/>
          <w:sz w:val="20"/>
          <w:szCs w:val="20"/>
        </w:rPr>
        <w:t xml:space="preserve"> </w:t>
      </w:r>
      <w:r w:rsidR="008518B0" w:rsidRPr="00B004EE">
        <w:rPr>
          <w:rFonts w:ascii="Tahoma" w:hAnsi="Tahoma" w:cs="Tahoma"/>
          <w:sz w:val="20"/>
          <w:szCs w:val="20"/>
        </w:rPr>
        <w:t>d'Administration</w:t>
      </w:r>
      <w:r w:rsidR="00DB1635" w:rsidRPr="00B004EE">
        <w:rPr>
          <w:rFonts w:ascii="Tahoma" w:hAnsi="Tahoma" w:cs="Tahoma"/>
          <w:spacing w:val="12"/>
          <w:sz w:val="20"/>
          <w:szCs w:val="20"/>
        </w:rPr>
        <w:t xml:space="preserve"> </w:t>
      </w:r>
      <w:r w:rsidR="008518B0" w:rsidRPr="00B004EE">
        <w:rPr>
          <w:rFonts w:ascii="Tahoma" w:hAnsi="Tahoma" w:cs="Tahoma"/>
          <w:sz w:val="20"/>
          <w:szCs w:val="20"/>
        </w:rPr>
        <w:t>qui</w:t>
      </w:r>
      <w:r w:rsidR="00DB1635" w:rsidRPr="00B004EE">
        <w:rPr>
          <w:rFonts w:ascii="Tahoma" w:hAnsi="Tahoma" w:cs="Tahoma"/>
          <w:spacing w:val="12"/>
          <w:sz w:val="20"/>
          <w:szCs w:val="20"/>
        </w:rPr>
        <w:t xml:space="preserve"> </w:t>
      </w:r>
      <w:r w:rsidR="008518B0" w:rsidRPr="00B004EE">
        <w:rPr>
          <w:rFonts w:ascii="Tahoma" w:hAnsi="Tahoma" w:cs="Tahoma"/>
          <w:sz w:val="20"/>
          <w:szCs w:val="20"/>
        </w:rPr>
        <w:t>se</w:t>
      </w:r>
      <w:r w:rsidR="00DB1635" w:rsidRPr="00B004EE">
        <w:rPr>
          <w:rFonts w:ascii="Tahoma" w:hAnsi="Tahoma" w:cs="Tahoma"/>
          <w:spacing w:val="13"/>
          <w:sz w:val="20"/>
          <w:szCs w:val="20"/>
        </w:rPr>
        <w:t xml:space="preserve"> </w:t>
      </w:r>
      <w:r w:rsidR="008518B0" w:rsidRPr="00B004EE">
        <w:rPr>
          <w:rFonts w:ascii="Tahoma" w:hAnsi="Tahoma" w:cs="Tahoma"/>
          <w:sz w:val="20"/>
          <w:szCs w:val="20"/>
        </w:rPr>
        <w:t>tient,</w:t>
      </w:r>
      <w:r w:rsidR="00DB1635" w:rsidRPr="00B004EE">
        <w:rPr>
          <w:rFonts w:ascii="Tahoma" w:hAnsi="Tahoma" w:cs="Tahoma"/>
          <w:spacing w:val="12"/>
          <w:sz w:val="20"/>
          <w:szCs w:val="20"/>
        </w:rPr>
        <w:t xml:space="preserve"> </w:t>
      </w:r>
      <w:r w:rsidR="008518B0" w:rsidRPr="00B004EE">
        <w:rPr>
          <w:rFonts w:ascii="Tahoma" w:hAnsi="Tahoma" w:cs="Tahoma"/>
          <w:sz w:val="20"/>
          <w:szCs w:val="20"/>
        </w:rPr>
        <w:t>dans</w:t>
      </w:r>
      <w:r w:rsidR="00DB1635" w:rsidRPr="00B004EE">
        <w:rPr>
          <w:rFonts w:ascii="Tahoma" w:hAnsi="Tahoma" w:cs="Tahoma"/>
          <w:spacing w:val="12"/>
          <w:sz w:val="20"/>
          <w:szCs w:val="20"/>
        </w:rPr>
        <w:t xml:space="preserve"> </w:t>
      </w:r>
      <w:r w:rsidR="008518B0" w:rsidRPr="00B004EE">
        <w:rPr>
          <w:rFonts w:ascii="Tahoma" w:hAnsi="Tahoma" w:cs="Tahoma"/>
          <w:sz w:val="20"/>
          <w:szCs w:val="20"/>
        </w:rPr>
        <w:t>un</w:t>
      </w:r>
      <w:r w:rsidR="00DB1635" w:rsidRPr="00B004EE">
        <w:rPr>
          <w:rFonts w:ascii="Tahoma" w:hAnsi="Tahoma" w:cs="Tahoma"/>
          <w:spacing w:val="12"/>
          <w:sz w:val="20"/>
          <w:szCs w:val="20"/>
        </w:rPr>
        <w:t xml:space="preserve"> </w:t>
      </w:r>
      <w:r w:rsidR="008518B0" w:rsidRPr="00B004EE">
        <w:rPr>
          <w:rFonts w:ascii="Tahoma" w:hAnsi="Tahoma" w:cs="Tahoma"/>
          <w:sz w:val="20"/>
          <w:szCs w:val="20"/>
        </w:rPr>
        <w:t>délai</w:t>
      </w:r>
      <w:r w:rsidR="00DB1635" w:rsidRPr="00B004EE">
        <w:rPr>
          <w:rFonts w:ascii="Tahoma" w:hAnsi="Tahoma" w:cs="Tahoma"/>
          <w:w w:val="99"/>
          <w:sz w:val="20"/>
          <w:szCs w:val="20"/>
        </w:rPr>
        <w:t xml:space="preserve"> </w:t>
      </w:r>
      <w:r w:rsidR="008518B0" w:rsidRPr="00B004EE">
        <w:rPr>
          <w:rFonts w:ascii="Tahoma" w:hAnsi="Tahoma" w:cs="Tahoma"/>
          <w:sz w:val="20"/>
          <w:szCs w:val="20"/>
        </w:rPr>
        <w:t>de</w:t>
      </w:r>
      <w:r w:rsidR="00DB1635" w:rsidRPr="00B004EE">
        <w:rPr>
          <w:rFonts w:ascii="Tahoma" w:hAnsi="Tahoma" w:cs="Tahoma"/>
          <w:spacing w:val="10"/>
          <w:sz w:val="20"/>
          <w:szCs w:val="20"/>
        </w:rPr>
        <w:t xml:space="preserve"> </w:t>
      </w:r>
      <w:r w:rsidR="008518B0" w:rsidRPr="00B004EE">
        <w:rPr>
          <w:rFonts w:ascii="Tahoma" w:hAnsi="Tahoma" w:cs="Tahoma"/>
          <w:sz w:val="20"/>
          <w:szCs w:val="20"/>
        </w:rPr>
        <w:t>trois</w:t>
      </w:r>
      <w:r w:rsidR="00DB1635" w:rsidRPr="00B004EE">
        <w:rPr>
          <w:rFonts w:ascii="Tahoma" w:hAnsi="Tahoma" w:cs="Tahoma"/>
          <w:spacing w:val="13"/>
          <w:sz w:val="20"/>
          <w:szCs w:val="20"/>
        </w:rPr>
        <w:t xml:space="preserve"> </w:t>
      </w:r>
      <w:r w:rsidR="008518B0" w:rsidRPr="00B004EE">
        <w:rPr>
          <w:rFonts w:ascii="Tahoma" w:hAnsi="Tahoma" w:cs="Tahoma"/>
          <w:sz w:val="20"/>
          <w:szCs w:val="20"/>
        </w:rPr>
        <w:t>(3)</w:t>
      </w:r>
      <w:r w:rsidR="00DB1635" w:rsidRPr="00B004EE">
        <w:rPr>
          <w:rFonts w:ascii="Tahoma" w:hAnsi="Tahoma" w:cs="Tahoma"/>
          <w:spacing w:val="10"/>
          <w:sz w:val="20"/>
          <w:szCs w:val="20"/>
        </w:rPr>
        <w:t xml:space="preserve"> </w:t>
      </w:r>
      <w:r w:rsidR="008518B0" w:rsidRPr="00B004EE">
        <w:rPr>
          <w:rFonts w:ascii="Tahoma" w:hAnsi="Tahoma" w:cs="Tahoma"/>
          <w:sz w:val="20"/>
          <w:szCs w:val="20"/>
        </w:rPr>
        <w:t>mois</w:t>
      </w:r>
      <w:r w:rsidR="00DB1635" w:rsidRPr="00B004EE">
        <w:rPr>
          <w:rFonts w:ascii="Tahoma" w:hAnsi="Tahoma" w:cs="Tahoma"/>
          <w:spacing w:val="11"/>
          <w:sz w:val="20"/>
          <w:szCs w:val="20"/>
        </w:rPr>
        <w:t xml:space="preserve"> </w:t>
      </w:r>
      <w:r w:rsidR="008518B0" w:rsidRPr="00B004EE">
        <w:rPr>
          <w:rFonts w:ascii="Tahoma" w:hAnsi="Tahoma" w:cs="Tahoma"/>
          <w:spacing w:val="2"/>
          <w:sz w:val="20"/>
          <w:szCs w:val="20"/>
        </w:rPr>
        <w:t>suivant</w:t>
      </w:r>
      <w:r w:rsidR="00DB1635" w:rsidRPr="00B004EE">
        <w:rPr>
          <w:rFonts w:ascii="Tahoma" w:hAnsi="Tahoma" w:cs="Tahoma"/>
          <w:spacing w:val="14"/>
          <w:sz w:val="20"/>
          <w:szCs w:val="20"/>
        </w:rPr>
        <w:t xml:space="preserve"> </w:t>
      </w:r>
      <w:r w:rsidR="008518B0" w:rsidRPr="00B004EE">
        <w:rPr>
          <w:rFonts w:ascii="Tahoma" w:hAnsi="Tahoma" w:cs="Tahoma"/>
          <w:sz w:val="20"/>
          <w:szCs w:val="20"/>
        </w:rPr>
        <w:t>la</w:t>
      </w:r>
      <w:r w:rsidR="00DB1635" w:rsidRPr="00B004EE">
        <w:rPr>
          <w:rFonts w:ascii="Tahoma" w:hAnsi="Tahoma" w:cs="Tahoma"/>
          <w:spacing w:val="10"/>
          <w:sz w:val="20"/>
          <w:szCs w:val="20"/>
        </w:rPr>
        <w:t xml:space="preserve"> </w:t>
      </w:r>
      <w:r w:rsidR="008518B0" w:rsidRPr="00B004EE">
        <w:rPr>
          <w:rFonts w:ascii="Tahoma" w:hAnsi="Tahoma" w:cs="Tahoma"/>
          <w:sz w:val="20"/>
          <w:szCs w:val="20"/>
        </w:rPr>
        <w:t>clôture</w:t>
      </w:r>
      <w:r w:rsidR="00DB1635" w:rsidRPr="00B004EE">
        <w:rPr>
          <w:rFonts w:ascii="Tahoma" w:hAnsi="Tahoma" w:cs="Tahoma"/>
          <w:spacing w:val="10"/>
          <w:sz w:val="20"/>
          <w:szCs w:val="20"/>
        </w:rPr>
        <w:t xml:space="preserve"> </w:t>
      </w:r>
      <w:r w:rsidR="008518B0" w:rsidRPr="00B004EE">
        <w:rPr>
          <w:rFonts w:ascii="Tahoma" w:hAnsi="Tahoma" w:cs="Tahoma"/>
          <w:sz w:val="20"/>
          <w:szCs w:val="20"/>
        </w:rPr>
        <w:t>de</w:t>
      </w:r>
      <w:r w:rsidR="00DB1635" w:rsidRPr="00B004EE">
        <w:rPr>
          <w:rFonts w:ascii="Tahoma" w:hAnsi="Tahoma" w:cs="Tahoma"/>
          <w:spacing w:val="10"/>
          <w:sz w:val="20"/>
          <w:szCs w:val="20"/>
        </w:rPr>
        <w:t xml:space="preserve"> </w:t>
      </w:r>
      <w:r w:rsidR="008518B0" w:rsidRPr="00B004EE">
        <w:rPr>
          <w:rFonts w:ascii="Tahoma" w:hAnsi="Tahoma" w:cs="Tahoma"/>
          <w:sz w:val="20"/>
          <w:szCs w:val="20"/>
        </w:rPr>
        <w:t>l'exercice,</w:t>
      </w:r>
      <w:r w:rsidR="00DB1635" w:rsidRPr="00B004EE">
        <w:rPr>
          <w:rFonts w:ascii="Tahoma" w:hAnsi="Tahoma" w:cs="Tahoma"/>
          <w:spacing w:val="8"/>
          <w:sz w:val="20"/>
          <w:szCs w:val="20"/>
        </w:rPr>
        <w:t xml:space="preserve"> </w:t>
      </w:r>
      <w:r w:rsidR="008518B0" w:rsidRPr="00B004EE">
        <w:rPr>
          <w:rFonts w:ascii="Tahoma" w:hAnsi="Tahoma" w:cs="Tahoma"/>
          <w:sz w:val="20"/>
          <w:szCs w:val="20"/>
        </w:rPr>
        <w:t>pour</w:t>
      </w:r>
      <w:r w:rsidR="00DB1635" w:rsidRPr="00B004EE">
        <w:rPr>
          <w:rFonts w:ascii="Tahoma" w:hAnsi="Tahoma" w:cs="Tahoma"/>
          <w:spacing w:val="4"/>
          <w:sz w:val="20"/>
          <w:szCs w:val="20"/>
        </w:rPr>
        <w:t xml:space="preserve"> </w:t>
      </w:r>
      <w:r w:rsidR="008518B0" w:rsidRPr="00B004EE">
        <w:rPr>
          <w:rFonts w:ascii="Tahoma" w:hAnsi="Tahoma" w:cs="Tahoma"/>
          <w:sz w:val="20"/>
          <w:szCs w:val="20"/>
        </w:rPr>
        <w:t>l'approbation</w:t>
      </w:r>
      <w:r w:rsidR="00DB1635" w:rsidRPr="00B004EE">
        <w:rPr>
          <w:rFonts w:ascii="Tahoma" w:hAnsi="Tahoma" w:cs="Tahoma"/>
          <w:spacing w:val="5"/>
          <w:sz w:val="20"/>
          <w:szCs w:val="20"/>
        </w:rPr>
        <w:t xml:space="preserve"> </w:t>
      </w:r>
      <w:r w:rsidR="008518B0" w:rsidRPr="00B004EE">
        <w:rPr>
          <w:rFonts w:ascii="Tahoma" w:hAnsi="Tahoma" w:cs="Tahoma"/>
          <w:sz w:val="20"/>
          <w:szCs w:val="20"/>
        </w:rPr>
        <w:t>des</w:t>
      </w:r>
      <w:r w:rsidR="00DB1635" w:rsidRPr="00B004EE">
        <w:rPr>
          <w:rFonts w:ascii="Tahoma" w:hAnsi="Tahoma" w:cs="Tahoma"/>
          <w:spacing w:val="5"/>
          <w:sz w:val="20"/>
          <w:szCs w:val="20"/>
        </w:rPr>
        <w:t xml:space="preserve"> </w:t>
      </w:r>
      <w:r w:rsidR="008518B0" w:rsidRPr="00B004EE">
        <w:rPr>
          <w:rFonts w:ascii="Tahoma" w:hAnsi="Tahoma" w:cs="Tahoma"/>
          <w:sz w:val="20"/>
          <w:szCs w:val="20"/>
        </w:rPr>
        <w:t>comptes.</w:t>
      </w:r>
      <w:r w:rsidR="00DB1635" w:rsidRPr="00B004EE">
        <w:rPr>
          <w:rFonts w:ascii="Tahoma" w:hAnsi="Tahoma" w:cs="Tahoma"/>
          <w:spacing w:val="11"/>
          <w:sz w:val="20"/>
          <w:szCs w:val="20"/>
        </w:rPr>
        <w:t xml:space="preserve"> </w:t>
      </w:r>
      <w:r w:rsidR="008518B0" w:rsidRPr="00B004EE">
        <w:rPr>
          <w:rFonts w:ascii="Tahoma" w:hAnsi="Tahoma" w:cs="Tahoma"/>
          <w:sz w:val="20"/>
          <w:szCs w:val="20"/>
        </w:rPr>
        <w:t>L'inventaire,</w:t>
      </w:r>
      <w:r w:rsidR="00DB1635" w:rsidRPr="00B004EE">
        <w:rPr>
          <w:rFonts w:ascii="Tahoma" w:hAnsi="Tahoma" w:cs="Tahoma"/>
          <w:spacing w:val="-57"/>
          <w:sz w:val="20"/>
          <w:szCs w:val="20"/>
        </w:rPr>
        <w:t xml:space="preserve"> </w:t>
      </w:r>
      <w:r w:rsidR="008518B0" w:rsidRPr="00B004EE">
        <w:rPr>
          <w:rFonts w:ascii="Tahoma" w:hAnsi="Tahoma" w:cs="Tahoma"/>
          <w:sz w:val="20"/>
          <w:szCs w:val="20"/>
        </w:rPr>
        <w:t>le</w:t>
      </w:r>
      <w:r w:rsidR="00DB1635" w:rsidRPr="00B004EE">
        <w:rPr>
          <w:rFonts w:ascii="Tahoma" w:hAnsi="Tahoma" w:cs="Tahoma"/>
          <w:spacing w:val="18"/>
          <w:sz w:val="20"/>
          <w:szCs w:val="20"/>
        </w:rPr>
        <w:t xml:space="preserve"> </w:t>
      </w:r>
      <w:r w:rsidR="008518B0" w:rsidRPr="00B004EE">
        <w:rPr>
          <w:rFonts w:ascii="Tahoma" w:hAnsi="Tahoma" w:cs="Tahoma"/>
          <w:sz w:val="20"/>
          <w:szCs w:val="20"/>
        </w:rPr>
        <w:t>bilan</w:t>
      </w:r>
      <w:r w:rsidR="00DB1635" w:rsidRPr="00B004EE">
        <w:rPr>
          <w:rFonts w:ascii="Tahoma" w:hAnsi="Tahoma" w:cs="Tahoma"/>
          <w:spacing w:val="21"/>
          <w:sz w:val="20"/>
          <w:szCs w:val="20"/>
        </w:rPr>
        <w:t xml:space="preserve"> </w:t>
      </w:r>
      <w:r w:rsidR="008518B0" w:rsidRPr="00B004EE">
        <w:rPr>
          <w:rFonts w:ascii="Tahoma" w:hAnsi="Tahoma" w:cs="Tahoma"/>
          <w:sz w:val="20"/>
          <w:szCs w:val="20"/>
        </w:rPr>
        <w:t>et</w:t>
      </w:r>
      <w:r w:rsidR="00DB1635" w:rsidRPr="00B004EE">
        <w:rPr>
          <w:rFonts w:ascii="Tahoma" w:hAnsi="Tahoma" w:cs="Tahoma"/>
          <w:spacing w:val="17"/>
          <w:sz w:val="20"/>
          <w:szCs w:val="20"/>
        </w:rPr>
        <w:t xml:space="preserve"> </w:t>
      </w:r>
      <w:r w:rsidR="008518B0" w:rsidRPr="00B004EE">
        <w:rPr>
          <w:rFonts w:ascii="Tahoma" w:hAnsi="Tahoma" w:cs="Tahoma"/>
          <w:sz w:val="20"/>
          <w:szCs w:val="20"/>
        </w:rPr>
        <w:t>les</w:t>
      </w:r>
      <w:r w:rsidR="00DB1635" w:rsidRPr="00B004EE">
        <w:rPr>
          <w:rFonts w:ascii="Tahoma" w:hAnsi="Tahoma" w:cs="Tahoma"/>
          <w:spacing w:val="19"/>
          <w:sz w:val="20"/>
          <w:szCs w:val="20"/>
        </w:rPr>
        <w:t xml:space="preserve"> </w:t>
      </w:r>
      <w:r w:rsidR="008518B0" w:rsidRPr="00B004EE">
        <w:rPr>
          <w:rFonts w:ascii="Tahoma" w:hAnsi="Tahoma" w:cs="Tahoma"/>
          <w:sz w:val="20"/>
          <w:szCs w:val="20"/>
        </w:rPr>
        <w:t>comptes</w:t>
      </w:r>
      <w:r w:rsidR="00DB1635" w:rsidRPr="00B004EE">
        <w:rPr>
          <w:rFonts w:ascii="Tahoma" w:hAnsi="Tahoma" w:cs="Tahoma"/>
          <w:spacing w:val="19"/>
          <w:sz w:val="20"/>
          <w:szCs w:val="20"/>
        </w:rPr>
        <w:t xml:space="preserve"> </w:t>
      </w:r>
      <w:r w:rsidR="008518B0" w:rsidRPr="00B004EE">
        <w:rPr>
          <w:rFonts w:ascii="Tahoma" w:hAnsi="Tahoma" w:cs="Tahoma"/>
          <w:sz w:val="20"/>
          <w:szCs w:val="20"/>
        </w:rPr>
        <w:t>de</w:t>
      </w:r>
      <w:r w:rsidR="00DB1635" w:rsidRPr="00B004EE">
        <w:rPr>
          <w:rFonts w:ascii="Tahoma" w:hAnsi="Tahoma" w:cs="Tahoma"/>
          <w:spacing w:val="15"/>
          <w:sz w:val="20"/>
          <w:szCs w:val="20"/>
        </w:rPr>
        <w:t xml:space="preserve"> </w:t>
      </w:r>
      <w:r w:rsidR="008518B0" w:rsidRPr="00B004EE">
        <w:rPr>
          <w:rFonts w:ascii="Tahoma" w:hAnsi="Tahoma" w:cs="Tahoma"/>
          <w:spacing w:val="3"/>
          <w:sz w:val="20"/>
          <w:szCs w:val="20"/>
        </w:rPr>
        <w:t>l'exercice</w:t>
      </w:r>
      <w:r w:rsidR="00DB1635" w:rsidRPr="00B004EE">
        <w:rPr>
          <w:rFonts w:ascii="Tahoma" w:hAnsi="Tahoma" w:cs="Tahoma"/>
          <w:spacing w:val="25"/>
          <w:sz w:val="20"/>
          <w:szCs w:val="20"/>
        </w:rPr>
        <w:t xml:space="preserve"> </w:t>
      </w:r>
      <w:r w:rsidR="008518B0" w:rsidRPr="00B004EE">
        <w:rPr>
          <w:rFonts w:ascii="Tahoma" w:hAnsi="Tahoma" w:cs="Tahoma"/>
          <w:spacing w:val="3"/>
          <w:sz w:val="20"/>
          <w:szCs w:val="20"/>
        </w:rPr>
        <w:t>arrêté</w:t>
      </w:r>
      <w:r w:rsidR="00DB1635" w:rsidRPr="00B004EE">
        <w:rPr>
          <w:rFonts w:ascii="Tahoma" w:hAnsi="Tahoma" w:cs="Tahoma"/>
          <w:spacing w:val="23"/>
          <w:sz w:val="20"/>
          <w:szCs w:val="20"/>
        </w:rPr>
        <w:t xml:space="preserve"> </w:t>
      </w:r>
      <w:r w:rsidR="008518B0" w:rsidRPr="00B004EE">
        <w:rPr>
          <w:rFonts w:ascii="Tahoma" w:hAnsi="Tahoma" w:cs="Tahoma"/>
          <w:spacing w:val="2"/>
          <w:sz w:val="20"/>
          <w:szCs w:val="20"/>
        </w:rPr>
        <w:t>doivent</w:t>
      </w:r>
      <w:r w:rsidR="00DB1635" w:rsidRPr="00B004EE">
        <w:rPr>
          <w:rFonts w:ascii="Tahoma" w:hAnsi="Tahoma" w:cs="Tahoma"/>
          <w:spacing w:val="26"/>
          <w:sz w:val="20"/>
          <w:szCs w:val="20"/>
        </w:rPr>
        <w:t xml:space="preserve"> </w:t>
      </w:r>
      <w:r w:rsidR="008518B0" w:rsidRPr="00B004EE">
        <w:rPr>
          <w:rFonts w:ascii="Tahoma" w:hAnsi="Tahoma" w:cs="Tahoma"/>
          <w:spacing w:val="2"/>
          <w:sz w:val="20"/>
          <w:szCs w:val="20"/>
        </w:rPr>
        <w:t>être</w:t>
      </w:r>
      <w:r w:rsidR="00DB1635" w:rsidRPr="00B004EE">
        <w:rPr>
          <w:rFonts w:ascii="Tahoma" w:hAnsi="Tahoma" w:cs="Tahoma"/>
          <w:spacing w:val="23"/>
          <w:sz w:val="20"/>
          <w:szCs w:val="20"/>
        </w:rPr>
        <w:t xml:space="preserve"> </w:t>
      </w:r>
      <w:r w:rsidR="008518B0" w:rsidRPr="00B004EE">
        <w:rPr>
          <w:rFonts w:ascii="Tahoma" w:hAnsi="Tahoma" w:cs="Tahoma"/>
          <w:spacing w:val="2"/>
          <w:sz w:val="20"/>
          <w:szCs w:val="20"/>
        </w:rPr>
        <w:t>mis</w:t>
      </w:r>
      <w:r w:rsidR="00DB1635" w:rsidRPr="00B004EE">
        <w:rPr>
          <w:rFonts w:ascii="Tahoma" w:hAnsi="Tahoma" w:cs="Tahoma"/>
          <w:spacing w:val="26"/>
          <w:sz w:val="20"/>
          <w:szCs w:val="20"/>
        </w:rPr>
        <w:t xml:space="preserve"> </w:t>
      </w:r>
      <w:r w:rsidR="008518B0" w:rsidRPr="00B004EE">
        <w:rPr>
          <w:rFonts w:ascii="Tahoma" w:hAnsi="Tahoma" w:cs="Tahoma"/>
          <w:sz w:val="20"/>
          <w:szCs w:val="20"/>
        </w:rPr>
        <w:t>à</w:t>
      </w:r>
      <w:r w:rsidR="00DB1635" w:rsidRPr="00B004EE">
        <w:rPr>
          <w:rFonts w:ascii="Tahoma" w:hAnsi="Tahoma" w:cs="Tahoma"/>
          <w:spacing w:val="23"/>
          <w:sz w:val="20"/>
          <w:szCs w:val="20"/>
        </w:rPr>
        <w:t xml:space="preserve"> </w:t>
      </w:r>
      <w:r w:rsidR="008518B0" w:rsidRPr="00B004EE">
        <w:rPr>
          <w:rFonts w:ascii="Tahoma" w:hAnsi="Tahoma" w:cs="Tahoma"/>
          <w:spacing w:val="2"/>
          <w:sz w:val="20"/>
          <w:szCs w:val="20"/>
        </w:rPr>
        <w:t>la</w:t>
      </w:r>
      <w:r w:rsidR="00DB1635" w:rsidRPr="00B004EE">
        <w:rPr>
          <w:rFonts w:ascii="Tahoma" w:hAnsi="Tahoma" w:cs="Tahoma"/>
          <w:spacing w:val="25"/>
          <w:sz w:val="20"/>
          <w:szCs w:val="20"/>
        </w:rPr>
        <w:t xml:space="preserve"> </w:t>
      </w:r>
      <w:r w:rsidR="008518B0" w:rsidRPr="00B004EE">
        <w:rPr>
          <w:rFonts w:ascii="Tahoma" w:hAnsi="Tahoma" w:cs="Tahoma"/>
          <w:sz w:val="20"/>
          <w:szCs w:val="20"/>
        </w:rPr>
        <w:t>disposition</w:t>
      </w:r>
      <w:r w:rsidR="00DB1635" w:rsidRPr="00B004EE">
        <w:rPr>
          <w:rFonts w:ascii="Tahoma" w:hAnsi="Tahoma" w:cs="Tahoma"/>
          <w:spacing w:val="16"/>
          <w:sz w:val="20"/>
          <w:szCs w:val="20"/>
        </w:rPr>
        <w:t xml:space="preserve"> </w:t>
      </w:r>
      <w:r w:rsidR="008518B0" w:rsidRPr="00B004EE">
        <w:rPr>
          <w:rFonts w:ascii="Tahoma" w:hAnsi="Tahoma" w:cs="Tahoma"/>
          <w:sz w:val="20"/>
          <w:szCs w:val="20"/>
        </w:rPr>
        <w:t>du</w:t>
      </w:r>
      <w:r w:rsidR="00DB1635" w:rsidRPr="00B004EE">
        <w:rPr>
          <w:rFonts w:ascii="Tahoma" w:hAnsi="Tahoma" w:cs="Tahoma"/>
          <w:spacing w:val="16"/>
          <w:sz w:val="20"/>
          <w:szCs w:val="20"/>
        </w:rPr>
        <w:t xml:space="preserve"> </w:t>
      </w:r>
      <w:r w:rsidR="008518B0" w:rsidRPr="00B004EE">
        <w:rPr>
          <w:rFonts w:ascii="Tahoma" w:hAnsi="Tahoma" w:cs="Tahoma"/>
          <w:sz w:val="20"/>
          <w:szCs w:val="20"/>
        </w:rPr>
        <w:t>Commissaire</w:t>
      </w:r>
      <w:r w:rsidR="00DB1635" w:rsidRPr="00B004EE">
        <w:rPr>
          <w:rFonts w:ascii="Tahoma" w:hAnsi="Tahoma" w:cs="Tahoma"/>
          <w:w w:val="99"/>
          <w:sz w:val="20"/>
          <w:szCs w:val="20"/>
        </w:rPr>
        <w:t xml:space="preserve"> </w:t>
      </w:r>
      <w:r w:rsidR="008518B0" w:rsidRPr="00B004EE">
        <w:rPr>
          <w:rFonts w:ascii="Tahoma" w:hAnsi="Tahoma" w:cs="Tahoma"/>
          <w:sz w:val="20"/>
          <w:szCs w:val="20"/>
        </w:rPr>
        <w:t>aux</w:t>
      </w:r>
      <w:r w:rsidR="00DB1635" w:rsidRPr="00B004EE">
        <w:rPr>
          <w:rFonts w:ascii="Tahoma" w:hAnsi="Tahoma" w:cs="Tahoma"/>
          <w:sz w:val="20"/>
          <w:szCs w:val="20"/>
        </w:rPr>
        <w:t xml:space="preserve"> </w:t>
      </w:r>
      <w:r w:rsidR="008518B0" w:rsidRPr="00B004EE">
        <w:rPr>
          <w:rFonts w:ascii="Tahoma" w:hAnsi="Tahoma" w:cs="Tahoma"/>
          <w:sz w:val="20"/>
          <w:szCs w:val="20"/>
        </w:rPr>
        <w:t>Comptes</w:t>
      </w:r>
      <w:r w:rsidR="00DB1635" w:rsidRPr="00B004EE">
        <w:rPr>
          <w:rFonts w:ascii="Tahoma" w:hAnsi="Tahoma" w:cs="Tahoma"/>
          <w:sz w:val="20"/>
          <w:szCs w:val="20"/>
        </w:rPr>
        <w:t xml:space="preserve"> </w:t>
      </w:r>
      <w:r w:rsidR="008518B0" w:rsidRPr="00B004EE">
        <w:rPr>
          <w:rFonts w:ascii="Tahoma" w:hAnsi="Tahoma" w:cs="Tahoma"/>
          <w:sz w:val="20"/>
          <w:szCs w:val="20"/>
        </w:rPr>
        <w:t>avant</w:t>
      </w:r>
      <w:r w:rsidR="00DB1635" w:rsidRPr="00B004EE">
        <w:rPr>
          <w:rFonts w:ascii="Tahoma" w:hAnsi="Tahoma" w:cs="Tahoma"/>
          <w:sz w:val="20"/>
          <w:szCs w:val="20"/>
        </w:rPr>
        <w:t xml:space="preserve"> </w:t>
      </w:r>
      <w:r w:rsidR="008518B0" w:rsidRPr="00B004EE">
        <w:rPr>
          <w:rFonts w:ascii="Tahoma" w:hAnsi="Tahoma" w:cs="Tahoma"/>
          <w:sz w:val="20"/>
          <w:szCs w:val="20"/>
        </w:rPr>
        <w:t>la</w:t>
      </w:r>
      <w:r w:rsidR="00DB1635" w:rsidRPr="00B004EE">
        <w:rPr>
          <w:rFonts w:ascii="Tahoma" w:hAnsi="Tahoma" w:cs="Tahoma"/>
          <w:sz w:val="20"/>
          <w:szCs w:val="20"/>
        </w:rPr>
        <w:t xml:space="preserve"> </w:t>
      </w:r>
      <w:r w:rsidR="008518B0" w:rsidRPr="00B004EE">
        <w:rPr>
          <w:rFonts w:ascii="Tahoma" w:hAnsi="Tahoma" w:cs="Tahoma"/>
          <w:sz w:val="20"/>
          <w:szCs w:val="20"/>
        </w:rPr>
        <w:t>tenue</w:t>
      </w:r>
      <w:r w:rsidR="00DB1635" w:rsidRPr="00B004EE">
        <w:rPr>
          <w:rFonts w:ascii="Tahoma" w:hAnsi="Tahoma" w:cs="Tahoma"/>
          <w:sz w:val="20"/>
          <w:szCs w:val="20"/>
        </w:rPr>
        <w:t xml:space="preserve"> </w:t>
      </w:r>
      <w:r w:rsidR="008518B0" w:rsidRPr="00B004EE">
        <w:rPr>
          <w:rFonts w:ascii="Tahoma" w:hAnsi="Tahoma" w:cs="Tahoma"/>
          <w:sz w:val="20"/>
          <w:szCs w:val="20"/>
        </w:rPr>
        <w:t>de</w:t>
      </w:r>
      <w:r w:rsidR="00DB1635" w:rsidRPr="00B004EE">
        <w:rPr>
          <w:rFonts w:ascii="Tahoma" w:hAnsi="Tahoma" w:cs="Tahoma"/>
          <w:sz w:val="20"/>
          <w:szCs w:val="20"/>
        </w:rPr>
        <w:t xml:space="preserve"> </w:t>
      </w:r>
      <w:r w:rsidR="008518B0" w:rsidRPr="00B004EE">
        <w:rPr>
          <w:rFonts w:ascii="Tahoma" w:hAnsi="Tahoma" w:cs="Tahoma"/>
          <w:sz w:val="20"/>
          <w:szCs w:val="20"/>
        </w:rPr>
        <w:t>ladite</w:t>
      </w:r>
      <w:r w:rsidR="00DB1635" w:rsidRPr="00B004EE">
        <w:rPr>
          <w:rFonts w:ascii="Tahoma" w:hAnsi="Tahoma" w:cs="Tahoma"/>
          <w:sz w:val="20"/>
          <w:szCs w:val="20"/>
        </w:rPr>
        <w:t xml:space="preserve"> </w:t>
      </w:r>
      <w:r w:rsidR="008518B0" w:rsidRPr="00B004EE">
        <w:rPr>
          <w:rFonts w:ascii="Tahoma" w:hAnsi="Tahoma" w:cs="Tahoma"/>
          <w:sz w:val="20"/>
          <w:szCs w:val="20"/>
        </w:rPr>
        <w:t>réunion.</w:t>
      </w:r>
      <w:r w:rsidR="00DB1635" w:rsidRPr="00B004EE">
        <w:rPr>
          <w:rFonts w:ascii="Tahoma" w:hAnsi="Tahoma" w:cs="Tahoma"/>
          <w:sz w:val="20"/>
          <w:szCs w:val="20"/>
        </w:rPr>
        <w:t xml:space="preserve"> </w:t>
      </w:r>
      <w:r w:rsidR="008518B0" w:rsidRPr="00B004EE">
        <w:rPr>
          <w:rFonts w:ascii="Tahoma" w:hAnsi="Tahoma" w:cs="Tahoma"/>
          <w:sz w:val="20"/>
          <w:szCs w:val="20"/>
        </w:rPr>
        <w:t>Le</w:t>
      </w:r>
      <w:r w:rsidR="00DB1635" w:rsidRPr="00B004EE">
        <w:rPr>
          <w:rFonts w:ascii="Tahoma" w:hAnsi="Tahoma" w:cs="Tahoma"/>
          <w:sz w:val="20"/>
          <w:szCs w:val="20"/>
        </w:rPr>
        <w:t xml:space="preserve"> </w:t>
      </w:r>
      <w:r w:rsidR="008518B0" w:rsidRPr="00B004EE">
        <w:rPr>
          <w:rFonts w:ascii="Tahoma" w:hAnsi="Tahoma" w:cs="Tahoma"/>
          <w:sz w:val="20"/>
          <w:szCs w:val="20"/>
        </w:rPr>
        <w:t>Commissaire</w:t>
      </w:r>
      <w:r w:rsidR="00DB1635" w:rsidRPr="00B004EE">
        <w:rPr>
          <w:rFonts w:ascii="Tahoma" w:hAnsi="Tahoma" w:cs="Tahoma"/>
          <w:sz w:val="20"/>
          <w:szCs w:val="20"/>
        </w:rPr>
        <w:t xml:space="preserve"> </w:t>
      </w:r>
      <w:r w:rsidR="008518B0" w:rsidRPr="00B004EE">
        <w:rPr>
          <w:rFonts w:ascii="Tahoma" w:hAnsi="Tahoma" w:cs="Tahoma"/>
          <w:sz w:val="20"/>
          <w:szCs w:val="20"/>
        </w:rPr>
        <w:t>aux</w:t>
      </w:r>
      <w:r w:rsidR="00DB1635" w:rsidRPr="00B004EE">
        <w:rPr>
          <w:rFonts w:ascii="Tahoma" w:hAnsi="Tahoma" w:cs="Tahoma"/>
          <w:sz w:val="20"/>
          <w:szCs w:val="20"/>
        </w:rPr>
        <w:t xml:space="preserve"> </w:t>
      </w:r>
      <w:r w:rsidR="008518B0" w:rsidRPr="00B004EE">
        <w:rPr>
          <w:rFonts w:ascii="Tahoma" w:hAnsi="Tahoma" w:cs="Tahoma"/>
          <w:sz w:val="20"/>
          <w:szCs w:val="20"/>
        </w:rPr>
        <w:t>Comptes</w:t>
      </w:r>
      <w:r w:rsidR="00DB1635" w:rsidRPr="00B004EE">
        <w:rPr>
          <w:rFonts w:ascii="Tahoma" w:hAnsi="Tahoma" w:cs="Tahoma"/>
          <w:sz w:val="20"/>
          <w:szCs w:val="20"/>
        </w:rPr>
        <w:t xml:space="preserve"> </w:t>
      </w:r>
      <w:r w:rsidR="008518B0" w:rsidRPr="00B004EE">
        <w:rPr>
          <w:rFonts w:ascii="Tahoma" w:hAnsi="Tahoma" w:cs="Tahoma"/>
          <w:sz w:val="20"/>
          <w:szCs w:val="20"/>
        </w:rPr>
        <w:t>établit</w:t>
      </w:r>
      <w:r w:rsidR="00DB1635" w:rsidRPr="00B004EE">
        <w:rPr>
          <w:rFonts w:ascii="Tahoma" w:hAnsi="Tahoma" w:cs="Tahoma"/>
          <w:sz w:val="20"/>
          <w:szCs w:val="20"/>
        </w:rPr>
        <w:t xml:space="preserve"> </w:t>
      </w:r>
      <w:r w:rsidR="008518B0" w:rsidRPr="00B004EE">
        <w:rPr>
          <w:rFonts w:ascii="Tahoma" w:hAnsi="Tahoma" w:cs="Tahoma"/>
          <w:sz w:val="20"/>
          <w:szCs w:val="20"/>
        </w:rPr>
        <w:t>un</w:t>
      </w:r>
      <w:r w:rsidR="00DB1635" w:rsidRPr="00B004EE">
        <w:rPr>
          <w:rFonts w:ascii="Tahoma" w:hAnsi="Tahoma" w:cs="Tahoma"/>
          <w:spacing w:val="53"/>
          <w:sz w:val="20"/>
          <w:szCs w:val="20"/>
        </w:rPr>
        <w:t xml:space="preserve"> </w:t>
      </w:r>
      <w:r w:rsidR="008518B0" w:rsidRPr="00B004EE">
        <w:rPr>
          <w:rFonts w:ascii="Tahoma" w:hAnsi="Tahoma" w:cs="Tahoma"/>
          <w:spacing w:val="5"/>
          <w:sz w:val="20"/>
          <w:szCs w:val="20"/>
        </w:rPr>
        <w:t>rapport</w:t>
      </w:r>
      <w:r w:rsidR="00DB1635" w:rsidRPr="00B004EE">
        <w:rPr>
          <w:rFonts w:ascii="Tahoma" w:hAnsi="Tahoma" w:cs="Tahoma"/>
          <w:w w:val="99"/>
          <w:sz w:val="20"/>
          <w:szCs w:val="20"/>
        </w:rPr>
        <w:t xml:space="preserve"> </w:t>
      </w:r>
      <w:r w:rsidR="008518B0" w:rsidRPr="00B004EE">
        <w:rPr>
          <w:rFonts w:ascii="Tahoma" w:hAnsi="Tahoma" w:cs="Tahoma"/>
          <w:spacing w:val="5"/>
          <w:sz w:val="20"/>
          <w:szCs w:val="20"/>
        </w:rPr>
        <w:t>dans</w:t>
      </w:r>
      <w:r w:rsidR="00DB1635" w:rsidRPr="00B004EE">
        <w:rPr>
          <w:rFonts w:ascii="Tahoma" w:hAnsi="Tahoma" w:cs="Tahoma"/>
          <w:spacing w:val="27"/>
          <w:sz w:val="20"/>
          <w:szCs w:val="20"/>
        </w:rPr>
        <w:t xml:space="preserve"> </w:t>
      </w:r>
      <w:r w:rsidR="008518B0" w:rsidRPr="00B004EE">
        <w:rPr>
          <w:rFonts w:ascii="Tahoma" w:hAnsi="Tahoma" w:cs="Tahoma"/>
          <w:spacing w:val="5"/>
          <w:sz w:val="20"/>
          <w:szCs w:val="20"/>
        </w:rPr>
        <w:t>lequel</w:t>
      </w:r>
      <w:r w:rsidR="00DB1635" w:rsidRPr="00B004EE">
        <w:rPr>
          <w:rFonts w:ascii="Tahoma" w:hAnsi="Tahoma" w:cs="Tahoma"/>
          <w:spacing w:val="27"/>
          <w:sz w:val="20"/>
          <w:szCs w:val="20"/>
        </w:rPr>
        <w:t xml:space="preserve"> </w:t>
      </w:r>
      <w:r w:rsidR="008518B0" w:rsidRPr="00B004EE">
        <w:rPr>
          <w:rFonts w:ascii="Tahoma" w:hAnsi="Tahoma" w:cs="Tahoma"/>
          <w:spacing w:val="3"/>
          <w:sz w:val="20"/>
          <w:szCs w:val="20"/>
        </w:rPr>
        <w:t>il</w:t>
      </w:r>
      <w:r w:rsidR="00DB1635" w:rsidRPr="00B004EE">
        <w:rPr>
          <w:rFonts w:ascii="Tahoma" w:hAnsi="Tahoma" w:cs="Tahoma"/>
          <w:spacing w:val="25"/>
          <w:sz w:val="20"/>
          <w:szCs w:val="20"/>
        </w:rPr>
        <w:t xml:space="preserve"> </w:t>
      </w:r>
      <w:r w:rsidR="008518B0" w:rsidRPr="00B004EE">
        <w:rPr>
          <w:rFonts w:ascii="Tahoma" w:hAnsi="Tahoma" w:cs="Tahoma"/>
          <w:spacing w:val="4"/>
          <w:sz w:val="20"/>
          <w:szCs w:val="20"/>
        </w:rPr>
        <w:t>rend</w:t>
      </w:r>
      <w:r w:rsidR="00DB1635" w:rsidRPr="00B004EE">
        <w:rPr>
          <w:rFonts w:ascii="Tahoma" w:hAnsi="Tahoma" w:cs="Tahoma"/>
          <w:spacing w:val="27"/>
          <w:sz w:val="20"/>
          <w:szCs w:val="20"/>
        </w:rPr>
        <w:t xml:space="preserve"> </w:t>
      </w:r>
      <w:r w:rsidR="008518B0" w:rsidRPr="00B004EE">
        <w:rPr>
          <w:rFonts w:ascii="Tahoma" w:hAnsi="Tahoma" w:cs="Tahoma"/>
          <w:spacing w:val="5"/>
          <w:sz w:val="20"/>
          <w:szCs w:val="20"/>
        </w:rPr>
        <w:t>compte</w:t>
      </w:r>
      <w:r w:rsidR="00DB1635" w:rsidRPr="00B004EE">
        <w:rPr>
          <w:rFonts w:ascii="Tahoma" w:hAnsi="Tahoma" w:cs="Tahoma"/>
          <w:spacing w:val="26"/>
          <w:sz w:val="20"/>
          <w:szCs w:val="20"/>
        </w:rPr>
        <w:t xml:space="preserve"> </w:t>
      </w:r>
      <w:r w:rsidR="008518B0" w:rsidRPr="00B004EE">
        <w:rPr>
          <w:rFonts w:ascii="Tahoma" w:hAnsi="Tahoma" w:cs="Tahoma"/>
          <w:spacing w:val="3"/>
          <w:sz w:val="20"/>
          <w:szCs w:val="20"/>
        </w:rPr>
        <w:t>du</w:t>
      </w:r>
      <w:r w:rsidR="00DB1635" w:rsidRPr="00B004EE">
        <w:rPr>
          <w:rFonts w:ascii="Tahoma" w:hAnsi="Tahoma" w:cs="Tahoma"/>
          <w:spacing w:val="27"/>
          <w:sz w:val="20"/>
          <w:szCs w:val="20"/>
        </w:rPr>
        <w:t xml:space="preserve"> </w:t>
      </w:r>
      <w:r w:rsidR="008518B0" w:rsidRPr="00B004EE">
        <w:rPr>
          <w:rFonts w:ascii="Tahoma" w:hAnsi="Tahoma" w:cs="Tahoma"/>
          <w:spacing w:val="3"/>
          <w:sz w:val="20"/>
          <w:szCs w:val="20"/>
        </w:rPr>
        <w:t>mandat</w:t>
      </w:r>
      <w:r w:rsidR="00DB1635" w:rsidRPr="00B004EE">
        <w:rPr>
          <w:rFonts w:ascii="Tahoma" w:hAnsi="Tahoma" w:cs="Tahoma"/>
          <w:spacing w:val="23"/>
          <w:sz w:val="20"/>
          <w:szCs w:val="20"/>
        </w:rPr>
        <w:t xml:space="preserve"> </w:t>
      </w:r>
      <w:r w:rsidR="008518B0" w:rsidRPr="00B004EE">
        <w:rPr>
          <w:rFonts w:ascii="Tahoma" w:hAnsi="Tahoma" w:cs="Tahoma"/>
          <w:spacing w:val="2"/>
          <w:sz w:val="20"/>
          <w:szCs w:val="20"/>
        </w:rPr>
        <w:t>qui</w:t>
      </w:r>
      <w:r w:rsidR="00DB1635" w:rsidRPr="00B004EE">
        <w:rPr>
          <w:rFonts w:ascii="Tahoma" w:hAnsi="Tahoma" w:cs="Tahoma"/>
          <w:spacing w:val="23"/>
          <w:sz w:val="20"/>
          <w:szCs w:val="20"/>
        </w:rPr>
        <w:t xml:space="preserve"> </w:t>
      </w:r>
      <w:r w:rsidR="008518B0" w:rsidRPr="00B004EE">
        <w:rPr>
          <w:rFonts w:ascii="Tahoma" w:hAnsi="Tahoma" w:cs="Tahoma"/>
          <w:spacing w:val="3"/>
          <w:sz w:val="20"/>
          <w:szCs w:val="20"/>
        </w:rPr>
        <w:t>lui</w:t>
      </w:r>
      <w:r w:rsidR="00DB1635" w:rsidRPr="00B004EE">
        <w:rPr>
          <w:rFonts w:ascii="Tahoma" w:hAnsi="Tahoma" w:cs="Tahoma"/>
          <w:spacing w:val="23"/>
          <w:sz w:val="20"/>
          <w:szCs w:val="20"/>
        </w:rPr>
        <w:t xml:space="preserve"> </w:t>
      </w:r>
      <w:r w:rsidR="008518B0" w:rsidRPr="00B004EE">
        <w:rPr>
          <w:rFonts w:ascii="Tahoma" w:hAnsi="Tahoma" w:cs="Tahoma"/>
          <w:sz w:val="20"/>
          <w:szCs w:val="20"/>
        </w:rPr>
        <w:t>a</w:t>
      </w:r>
      <w:r w:rsidR="00DB1635" w:rsidRPr="00B004EE">
        <w:rPr>
          <w:rFonts w:ascii="Tahoma" w:hAnsi="Tahoma" w:cs="Tahoma"/>
          <w:spacing w:val="21"/>
          <w:sz w:val="20"/>
          <w:szCs w:val="20"/>
        </w:rPr>
        <w:t xml:space="preserve"> </w:t>
      </w:r>
      <w:r w:rsidR="008518B0" w:rsidRPr="00B004EE">
        <w:rPr>
          <w:rFonts w:ascii="Tahoma" w:hAnsi="Tahoma" w:cs="Tahoma"/>
          <w:spacing w:val="2"/>
          <w:sz w:val="20"/>
          <w:szCs w:val="20"/>
        </w:rPr>
        <w:t>été</w:t>
      </w:r>
      <w:r w:rsidR="00DB1635" w:rsidRPr="00B004EE">
        <w:rPr>
          <w:rFonts w:ascii="Tahoma" w:hAnsi="Tahoma" w:cs="Tahoma"/>
          <w:spacing w:val="21"/>
          <w:sz w:val="20"/>
          <w:szCs w:val="20"/>
        </w:rPr>
        <w:t xml:space="preserve"> </w:t>
      </w:r>
      <w:r w:rsidR="008518B0" w:rsidRPr="00B004EE">
        <w:rPr>
          <w:rFonts w:ascii="Tahoma" w:hAnsi="Tahoma" w:cs="Tahoma"/>
          <w:spacing w:val="3"/>
          <w:sz w:val="20"/>
          <w:szCs w:val="20"/>
        </w:rPr>
        <w:t>confié</w:t>
      </w:r>
      <w:r w:rsidR="00DB1635" w:rsidRPr="00B004EE">
        <w:rPr>
          <w:rFonts w:ascii="Tahoma" w:hAnsi="Tahoma" w:cs="Tahoma"/>
          <w:spacing w:val="21"/>
          <w:sz w:val="20"/>
          <w:szCs w:val="20"/>
        </w:rPr>
        <w:t xml:space="preserve"> </w:t>
      </w:r>
      <w:r w:rsidR="008518B0" w:rsidRPr="00B004EE">
        <w:rPr>
          <w:rFonts w:ascii="Tahoma" w:hAnsi="Tahoma" w:cs="Tahoma"/>
          <w:sz w:val="20"/>
          <w:szCs w:val="20"/>
        </w:rPr>
        <w:t>et</w:t>
      </w:r>
      <w:r w:rsidR="00DB1635" w:rsidRPr="00B004EE">
        <w:rPr>
          <w:rFonts w:ascii="Tahoma" w:hAnsi="Tahoma" w:cs="Tahoma"/>
          <w:spacing w:val="23"/>
          <w:sz w:val="20"/>
          <w:szCs w:val="20"/>
        </w:rPr>
        <w:t xml:space="preserve"> </w:t>
      </w:r>
      <w:r w:rsidR="008518B0" w:rsidRPr="00B004EE">
        <w:rPr>
          <w:rFonts w:ascii="Tahoma" w:hAnsi="Tahoma" w:cs="Tahoma"/>
          <w:spacing w:val="3"/>
          <w:sz w:val="20"/>
          <w:szCs w:val="20"/>
        </w:rPr>
        <w:t>signale,</w:t>
      </w:r>
      <w:r w:rsidR="00DB1635" w:rsidRPr="00B004EE">
        <w:rPr>
          <w:rFonts w:ascii="Tahoma" w:hAnsi="Tahoma" w:cs="Tahoma"/>
          <w:spacing w:val="22"/>
          <w:sz w:val="20"/>
          <w:szCs w:val="20"/>
        </w:rPr>
        <w:t xml:space="preserve"> </w:t>
      </w:r>
      <w:r w:rsidR="008518B0" w:rsidRPr="00B004EE">
        <w:rPr>
          <w:rFonts w:ascii="Tahoma" w:hAnsi="Tahoma" w:cs="Tahoma"/>
          <w:spacing w:val="2"/>
          <w:sz w:val="20"/>
          <w:szCs w:val="20"/>
        </w:rPr>
        <w:t>le</w:t>
      </w:r>
      <w:r w:rsidR="00DB1635" w:rsidRPr="00B004EE">
        <w:rPr>
          <w:rFonts w:ascii="Tahoma" w:hAnsi="Tahoma" w:cs="Tahoma"/>
          <w:spacing w:val="24"/>
          <w:sz w:val="20"/>
          <w:szCs w:val="20"/>
        </w:rPr>
        <w:t xml:space="preserve"> </w:t>
      </w:r>
      <w:r w:rsidR="008518B0" w:rsidRPr="00B004EE">
        <w:rPr>
          <w:rFonts w:ascii="Tahoma" w:hAnsi="Tahoma" w:cs="Tahoma"/>
          <w:spacing w:val="12"/>
          <w:sz w:val="20"/>
          <w:szCs w:val="20"/>
        </w:rPr>
        <w:t>cas</w:t>
      </w:r>
      <w:r w:rsidR="00DB1635" w:rsidRPr="00B004EE">
        <w:rPr>
          <w:rFonts w:ascii="Tahoma" w:hAnsi="Tahoma" w:cs="Tahoma"/>
          <w:spacing w:val="51"/>
          <w:sz w:val="20"/>
          <w:szCs w:val="20"/>
        </w:rPr>
        <w:t xml:space="preserve"> </w:t>
      </w:r>
      <w:r w:rsidR="008518B0" w:rsidRPr="00B004EE">
        <w:rPr>
          <w:rFonts w:ascii="Tahoma" w:hAnsi="Tahoma" w:cs="Tahoma"/>
          <w:spacing w:val="16"/>
          <w:sz w:val="20"/>
          <w:szCs w:val="20"/>
        </w:rPr>
        <w:t>échéant,</w:t>
      </w:r>
      <w:r w:rsidR="00DB1635" w:rsidRPr="00B004EE">
        <w:rPr>
          <w:rFonts w:ascii="Tahoma" w:hAnsi="Tahoma" w:cs="Tahoma"/>
          <w:spacing w:val="51"/>
          <w:sz w:val="20"/>
          <w:szCs w:val="20"/>
        </w:rPr>
        <w:t xml:space="preserve"> </w:t>
      </w:r>
      <w:r w:rsidR="008518B0" w:rsidRPr="00B004EE">
        <w:rPr>
          <w:rFonts w:ascii="Tahoma" w:hAnsi="Tahoma" w:cs="Tahoma"/>
          <w:spacing w:val="12"/>
          <w:sz w:val="20"/>
          <w:szCs w:val="20"/>
        </w:rPr>
        <w:t>les</w:t>
      </w:r>
      <w:r w:rsidR="00DB1635" w:rsidRPr="00B004EE">
        <w:rPr>
          <w:rFonts w:ascii="Tahoma" w:hAnsi="Tahoma" w:cs="Tahoma"/>
          <w:w w:val="99"/>
          <w:sz w:val="20"/>
          <w:szCs w:val="20"/>
        </w:rPr>
        <w:t xml:space="preserve"> </w:t>
      </w:r>
      <w:r w:rsidR="008518B0" w:rsidRPr="00B004EE">
        <w:rPr>
          <w:rFonts w:ascii="Tahoma" w:hAnsi="Tahoma" w:cs="Tahoma"/>
          <w:spacing w:val="17"/>
          <w:sz w:val="20"/>
          <w:szCs w:val="20"/>
        </w:rPr>
        <w:t>irrégularités</w:t>
      </w:r>
      <w:r w:rsidR="00DB1635" w:rsidRPr="00B004EE">
        <w:rPr>
          <w:rFonts w:ascii="Tahoma" w:hAnsi="Tahoma" w:cs="Tahoma"/>
          <w:spacing w:val="17"/>
          <w:sz w:val="20"/>
          <w:szCs w:val="20"/>
        </w:rPr>
        <w:t xml:space="preserve"> </w:t>
      </w:r>
      <w:r w:rsidR="008518B0" w:rsidRPr="00B004EE">
        <w:rPr>
          <w:rFonts w:ascii="Tahoma" w:hAnsi="Tahoma" w:cs="Tahoma"/>
          <w:spacing w:val="9"/>
          <w:sz w:val="20"/>
          <w:szCs w:val="20"/>
        </w:rPr>
        <w:t>et</w:t>
      </w:r>
      <w:r w:rsidR="00DB1635" w:rsidRPr="00B004EE">
        <w:rPr>
          <w:rFonts w:ascii="Tahoma" w:hAnsi="Tahoma" w:cs="Tahoma"/>
          <w:spacing w:val="9"/>
          <w:sz w:val="20"/>
          <w:szCs w:val="20"/>
        </w:rPr>
        <w:t xml:space="preserve"> </w:t>
      </w:r>
      <w:r w:rsidR="008518B0" w:rsidRPr="00B004EE">
        <w:rPr>
          <w:rFonts w:ascii="Tahoma" w:hAnsi="Tahoma" w:cs="Tahoma"/>
          <w:spacing w:val="5"/>
          <w:sz w:val="20"/>
          <w:szCs w:val="20"/>
        </w:rPr>
        <w:t>inexactitudes</w:t>
      </w:r>
      <w:r w:rsidR="00DB1635" w:rsidRPr="00B004EE">
        <w:rPr>
          <w:rFonts w:ascii="Tahoma" w:hAnsi="Tahoma" w:cs="Tahoma"/>
          <w:spacing w:val="5"/>
          <w:sz w:val="20"/>
          <w:szCs w:val="20"/>
        </w:rPr>
        <w:t xml:space="preserve"> </w:t>
      </w:r>
      <w:r w:rsidR="008518B0" w:rsidRPr="00B004EE">
        <w:rPr>
          <w:rFonts w:ascii="Tahoma" w:hAnsi="Tahoma" w:cs="Tahoma"/>
          <w:spacing w:val="4"/>
          <w:sz w:val="20"/>
          <w:szCs w:val="20"/>
        </w:rPr>
        <w:t>qu'il</w:t>
      </w:r>
      <w:r w:rsidR="00DB1635" w:rsidRPr="00B004EE">
        <w:rPr>
          <w:rFonts w:ascii="Tahoma" w:hAnsi="Tahoma" w:cs="Tahoma"/>
          <w:spacing w:val="4"/>
          <w:sz w:val="20"/>
          <w:szCs w:val="20"/>
        </w:rPr>
        <w:t xml:space="preserve"> </w:t>
      </w:r>
      <w:r w:rsidR="008518B0" w:rsidRPr="00B004EE">
        <w:rPr>
          <w:rFonts w:ascii="Tahoma" w:hAnsi="Tahoma" w:cs="Tahoma"/>
          <w:spacing w:val="4"/>
          <w:sz w:val="20"/>
          <w:szCs w:val="20"/>
        </w:rPr>
        <w:t>aurait</w:t>
      </w:r>
      <w:r w:rsidR="00DB1635" w:rsidRPr="00B004EE">
        <w:rPr>
          <w:rFonts w:ascii="Tahoma" w:hAnsi="Tahoma" w:cs="Tahoma"/>
          <w:spacing w:val="4"/>
          <w:sz w:val="20"/>
          <w:szCs w:val="20"/>
        </w:rPr>
        <w:t xml:space="preserve"> </w:t>
      </w:r>
      <w:r w:rsidR="008518B0" w:rsidRPr="00B004EE">
        <w:rPr>
          <w:rFonts w:ascii="Tahoma" w:hAnsi="Tahoma" w:cs="Tahoma"/>
          <w:spacing w:val="4"/>
          <w:sz w:val="20"/>
          <w:szCs w:val="20"/>
        </w:rPr>
        <w:t>relevées.</w:t>
      </w:r>
      <w:r w:rsidR="00DB1635" w:rsidRPr="00B004EE">
        <w:rPr>
          <w:rFonts w:ascii="Tahoma" w:hAnsi="Tahoma" w:cs="Tahoma"/>
          <w:spacing w:val="4"/>
          <w:sz w:val="20"/>
          <w:szCs w:val="20"/>
        </w:rPr>
        <w:t xml:space="preserve"> </w:t>
      </w:r>
      <w:r w:rsidR="008518B0" w:rsidRPr="00B004EE">
        <w:rPr>
          <w:rFonts w:ascii="Tahoma" w:hAnsi="Tahoma" w:cs="Tahoma"/>
          <w:spacing w:val="4"/>
          <w:sz w:val="20"/>
          <w:szCs w:val="20"/>
        </w:rPr>
        <w:t>Ce</w:t>
      </w:r>
      <w:r w:rsidR="00DB1635" w:rsidRPr="00B004EE">
        <w:rPr>
          <w:rFonts w:ascii="Tahoma" w:hAnsi="Tahoma" w:cs="Tahoma"/>
          <w:spacing w:val="4"/>
          <w:sz w:val="20"/>
          <w:szCs w:val="20"/>
        </w:rPr>
        <w:t xml:space="preserve"> </w:t>
      </w:r>
      <w:r w:rsidR="008518B0" w:rsidRPr="00B004EE">
        <w:rPr>
          <w:rFonts w:ascii="Tahoma" w:hAnsi="Tahoma" w:cs="Tahoma"/>
          <w:spacing w:val="10"/>
          <w:sz w:val="20"/>
          <w:szCs w:val="20"/>
        </w:rPr>
        <w:t>rapport</w:t>
      </w:r>
      <w:r w:rsidR="00DB1635" w:rsidRPr="00B004EE">
        <w:rPr>
          <w:rFonts w:ascii="Tahoma" w:hAnsi="Tahoma" w:cs="Tahoma"/>
          <w:spacing w:val="10"/>
          <w:sz w:val="20"/>
          <w:szCs w:val="20"/>
        </w:rPr>
        <w:t xml:space="preserve"> </w:t>
      </w:r>
      <w:r w:rsidR="008518B0" w:rsidRPr="00B004EE">
        <w:rPr>
          <w:rFonts w:ascii="Tahoma" w:hAnsi="Tahoma" w:cs="Tahoma"/>
          <w:spacing w:val="7"/>
          <w:sz w:val="20"/>
          <w:szCs w:val="20"/>
        </w:rPr>
        <w:t>est</w:t>
      </w:r>
      <w:r w:rsidR="00DB1635" w:rsidRPr="00B004EE">
        <w:rPr>
          <w:rFonts w:ascii="Tahoma" w:hAnsi="Tahoma" w:cs="Tahoma"/>
          <w:spacing w:val="7"/>
          <w:sz w:val="20"/>
          <w:szCs w:val="20"/>
        </w:rPr>
        <w:t xml:space="preserve"> </w:t>
      </w:r>
      <w:r w:rsidR="008518B0" w:rsidRPr="00B004EE">
        <w:rPr>
          <w:rFonts w:ascii="Tahoma" w:hAnsi="Tahoma" w:cs="Tahoma"/>
          <w:spacing w:val="11"/>
          <w:sz w:val="20"/>
          <w:szCs w:val="20"/>
        </w:rPr>
        <w:t>transmis</w:t>
      </w:r>
      <w:r w:rsidR="00DB1635" w:rsidRPr="00B004EE">
        <w:rPr>
          <w:rFonts w:ascii="Tahoma" w:hAnsi="Tahoma" w:cs="Tahoma"/>
          <w:spacing w:val="11"/>
          <w:sz w:val="20"/>
          <w:szCs w:val="20"/>
        </w:rPr>
        <w:t xml:space="preserve"> </w:t>
      </w:r>
      <w:r w:rsidR="008518B0" w:rsidRPr="00B004EE">
        <w:rPr>
          <w:rFonts w:ascii="Tahoma" w:hAnsi="Tahoma" w:cs="Tahoma"/>
          <w:spacing w:val="5"/>
          <w:sz w:val="20"/>
          <w:szCs w:val="20"/>
        </w:rPr>
        <w:t>au</w:t>
      </w:r>
      <w:r w:rsidR="00DB1635" w:rsidRPr="00B004EE">
        <w:rPr>
          <w:rFonts w:ascii="Tahoma" w:hAnsi="Tahoma" w:cs="Tahoma"/>
          <w:spacing w:val="66"/>
          <w:sz w:val="20"/>
          <w:szCs w:val="20"/>
        </w:rPr>
        <w:t xml:space="preserve"> </w:t>
      </w:r>
      <w:r w:rsidR="008518B0" w:rsidRPr="00B004EE">
        <w:rPr>
          <w:rFonts w:ascii="Tahoma" w:hAnsi="Tahoma" w:cs="Tahoma"/>
          <w:spacing w:val="10"/>
          <w:sz w:val="20"/>
          <w:szCs w:val="20"/>
        </w:rPr>
        <w:t>Conseil</w:t>
      </w:r>
      <w:r w:rsidR="00DB1635" w:rsidRPr="00B004EE">
        <w:rPr>
          <w:rFonts w:ascii="Tahoma" w:hAnsi="Tahoma" w:cs="Tahoma"/>
          <w:w w:val="99"/>
          <w:sz w:val="20"/>
          <w:szCs w:val="20"/>
        </w:rPr>
        <w:t xml:space="preserve"> </w:t>
      </w:r>
      <w:r w:rsidR="008518B0" w:rsidRPr="00B004EE">
        <w:rPr>
          <w:rFonts w:ascii="Tahoma" w:hAnsi="Tahoma" w:cs="Tahoma"/>
          <w:sz w:val="20"/>
          <w:szCs w:val="20"/>
        </w:rPr>
        <w:t>d'Administration</w:t>
      </w:r>
      <w:r w:rsidR="00DB1635" w:rsidRPr="00B004EE">
        <w:rPr>
          <w:rFonts w:ascii="Tahoma" w:hAnsi="Tahoma" w:cs="Tahoma"/>
          <w:spacing w:val="18"/>
          <w:sz w:val="20"/>
          <w:szCs w:val="20"/>
        </w:rPr>
        <w:t xml:space="preserve"> </w:t>
      </w:r>
      <w:r w:rsidR="008518B0" w:rsidRPr="00B004EE">
        <w:rPr>
          <w:rFonts w:ascii="Tahoma" w:hAnsi="Tahoma" w:cs="Tahoma"/>
          <w:sz w:val="20"/>
          <w:szCs w:val="20"/>
        </w:rPr>
        <w:t>pour</w:t>
      </w:r>
      <w:r w:rsidR="00DB1635" w:rsidRPr="00B004EE">
        <w:rPr>
          <w:rFonts w:ascii="Tahoma" w:hAnsi="Tahoma" w:cs="Tahoma"/>
          <w:spacing w:val="17"/>
          <w:sz w:val="20"/>
          <w:szCs w:val="20"/>
        </w:rPr>
        <w:t xml:space="preserve"> </w:t>
      </w:r>
      <w:r w:rsidR="008518B0" w:rsidRPr="00B004EE">
        <w:rPr>
          <w:rFonts w:ascii="Tahoma" w:hAnsi="Tahoma" w:cs="Tahoma"/>
          <w:sz w:val="20"/>
          <w:szCs w:val="20"/>
        </w:rPr>
        <w:t>approbation</w:t>
      </w:r>
      <w:r w:rsidR="00DB1635" w:rsidRPr="00B004EE">
        <w:rPr>
          <w:rFonts w:ascii="Tahoma" w:hAnsi="Tahoma" w:cs="Tahoma"/>
          <w:spacing w:val="18"/>
          <w:sz w:val="20"/>
          <w:szCs w:val="20"/>
        </w:rPr>
        <w:t xml:space="preserve"> </w:t>
      </w:r>
      <w:r w:rsidR="008518B0" w:rsidRPr="00B004EE">
        <w:rPr>
          <w:rFonts w:ascii="Tahoma" w:hAnsi="Tahoma" w:cs="Tahoma"/>
          <w:sz w:val="20"/>
          <w:szCs w:val="20"/>
        </w:rPr>
        <w:t>puis</w:t>
      </w:r>
      <w:r w:rsidR="00DB1635" w:rsidRPr="00B004EE">
        <w:rPr>
          <w:rFonts w:ascii="Tahoma" w:hAnsi="Tahoma" w:cs="Tahoma"/>
          <w:spacing w:val="18"/>
          <w:sz w:val="20"/>
          <w:szCs w:val="20"/>
        </w:rPr>
        <w:t xml:space="preserve"> </w:t>
      </w:r>
      <w:r w:rsidR="008518B0" w:rsidRPr="00B004EE">
        <w:rPr>
          <w:rFonts w:ascii="Tahoma" w:hAnsi="Tahoma" w:cs="Tahoma"/>
          <w:spacing w:val="3"/>
          <w:sz w:val="20"/>
          <w:szCs w:val="20"/>
        </w:rPr>
        <w:t>adressé</w:t>
      </w:r>
      <w:r w:rsidR="00DB1635" w:rsidRPr="00B004EE">
        <w:rPr>
          <w:rFonts w:ascii="Tahoma" w:hAnsi="Tahoma" w:cs="Tahoma"/>
          <w:spacing w:val="24"/>
          <w:sz w:val="20"/>
          <w:szCs w:val="20"/>
        </w:rPr>
        <w:t xml:space="preserve"> </w:t>
      </w:r>
      <w:r w:rsidR="008518B0" w:rsidRPr="00B004EE">
        <w:rPr>
          <w:rFonts w:ascii="Tahoma" w:hAnsi="Tahoma" w:cs="Tahoma"/>
          <w:spacing w:val="3"/>
          <w:sz w:val="20"/>
          <w:szCs w:val="20"/>
        </w:rPr>
        <w:t>simultanément</w:t>
      </w:r>
      <w:r w:rsidR="00DB1635" w:rsidRPr="00B004EE">
        <w:rPr>
          <w:rFonts w:ascii="Tahoma" w:hAnsi="Tahoma" w:cs="Tahoma"/>
          <w:spacing w:val="25"/>
          <w:sz w:val="20"/>
          <w:szCs w:val="20"/>
        </w:rPr>
        <w:t xml:space="preserve"> </w:t>
      </w:r>
      <w:r w:rsidR="008518B0" w:rsidRPr="00B004EE">
        <w:rPr>
          <w:rFonts w:ascii="Tahoma" w:hAnsi="Tahoma" w:cs="Tahoma"/>
          <w:sz w:val="20"/>
          <w:szCs w:val="20"/>
        </w:rPr>
        <w:t>au</w:t>
      </w:r>
      <w:r w:rsidR="00DB1635" w:rsidRPr="00B004EE">
        <w:rPr>
          <w:rFonts w:ascii="Tahoma" w:hAnsi="Tahoma" w:cs="Tahoma"/>
          <w:spacing w:val="25"/>
          <w:sz w:val="20"/>
          <w:szCs w:val="20"/>
        </w:rPr>
        <w:t xml:space="preserve"> </w:t>
      </w:r>
      <w:r w:rsidR="008518B0" w:rsidRPr="00B004EE">
        <w:rPr>
          <w:rFonts w:ascii="Tahoma" w:hAnsi="Tahoma" w:cs="Tahoma"/>
          <w:spacing w:val="3"/>
          <w:sz w:val="20"/>
          <w:szCs w:val="20"/>
        </w:rPr>
        <w:t>Ministre</w:t>
      </w:r>
      <w:r w:rsidR="00DB1635" w:rsidRPr="00B004EE">
        <w:rPr>
          <w:rFonts w:ascii="Tahoma" w:hAnsi="Tahoma" w:cs="Tahoma"/>
          <w:spacing w:val="26"/>
          <w:sz w:val="20"/>
          <w:szCs w:val="20"/>
        </w:rPr>
        <w:t xml:space="preserve"> </w:t>
      </w:r>
      <w:r w:rsidR="008518B0" w:rsidRPr="00B004EE">
        <w:rPr>
          <w:rFonts w:ascii="Tahoma" w:hAnsi="Tahoma" w:cs="Tahoma"/>
          <w:spacing w:val="2"/>
          <w:sz w:val="20"/>
          <w:szCs w:val="20"/>
        </w:rPr>
        <w:t>des</w:t>
      </w:r>
      <w:r w:rsidR="00DB1635" w:rsidRPr="00B004EE">
        <w:rPr>
          <w:rFonts w:ascii="Tahoma" w:hAnsi="Tahoma" w:cs="Tahoma"/>
          <w:spacing w:val="25"/>
          <w:sz w:val="20"/>
          <w:szCs w:val="20"/>
        </w:rPr>
        <w:t xml:space="preserve"> </w:t>
      </w:r>
      <w:r w:rsidR="008518B0" w:rsidRPr="00B004EE">
        <w:rPr>
          <w:rFonts w:ascii="Tahoma" w:hAnsi="Tahoma" w:cs="Tahoma"/>
          <w:sz w:val="20"/>
          <w:szCs w:val="20"/>
        </w:rPr>
        <w:t>Pêches</w:t>
      </w:r>
      <w:r w:rsidR="00DB1635" w:rsidRPr="00B004EE">
        <w:rPr>
          <w:rFonts w:ascii="Tahoma" w:hAnsi="Tahoma" w:cs="Tahoma"/>
          <w:spacing w:val="20"/>
          <w:sz w:val="20"/>
          <w:szCs w:val="20"/>
        </w:rPr>
        <w:t xml:space="preserve"> </w:t>
      </w:r>
      <w:r w:rsidR="008518B0" w:rsidRPr="00B004EE">
        <w:rPr>
          <w:rFonts w:ascii="Tahoma" w:hAnsi="Tahoma" w:cs="Tahoma"/>
          <w:sz w:val="20"/>
          <w:szCs w:val="20"/>
        </w:rPr>
        <w:t>et</w:t>
      </w:r>
      <w:r w:rsidR="00DB1635" w:rsidRPr="00B004EE">
        <w:rPr>
          <w:rFonts w:ascii="Tahoma" w:hAnsi="Tahoma" w:cs="Tahoma"/>
          <w:spacing w:val="21"/>
          <w:sz w:val="20"/>
          <w:szCs w:val="20"/>
        </w:rPr>
        <w:t xml:space="preserve"> </w:t>
      </w:r>
      <w:r w:rsidR="008518B0" w:rsidRPr="00B004EE">
        <w:rPr>
          <w:rFonts w:ascii="Tahoma" w:hAnsi="Tahoma" w:cs="Tahoma"/>
          <w:sz w:val="20"/>
          <w:szCs w:val="20"/>
        </w:rPr>
        <w:t>de</w:t>
      </w:r>
      <w:r w:rsidR="00DB1635" w:rsidRPr="00B004EE">
        <w:rPr>
          <w:rFonts w:ascii="Tahoma" w:hAnsi="Tahoma" w:cs="Tahoma"/>
          <w:w w:val="99"/>
          <w:sz w:val="20"/>
          <w:szCs w:val="20"/>
        </w:rPr>
        <w:t xml:space="preserve"> </w:t>
      </w:r>
      <w:r w:rsidR="008518B0" w:rsidRPr="00B004EE">
        <w:rPr>
          <w:rFonts w:ascii="Tahoma" w:hAnsi="Tahoma" w:cs="Tahoma"/>
          <w:sz w:val="20"/>
          <w:szCs w:val="20"/>
        </w:rPr>
        <w:t>l'Economie</w:t>
      </w:r>
      <w:r w:rsidR="00DB1635" w:rsidRPr="00B004EE">
        <w:rPr>
          <w:rFonts w:ascii="Tahoma" w:hAnsi="Tahoma" w:cs="Tahoma"/>
          <w:sz w:val="20"/>
          <w:szCs w:val="20"/>
        </w:rPr>
        <w:t xml:space="preserve"> </w:t>
      </w:r>
      <w:r w:rsidR="008518B0" w:rsidRPr="00B004EE">
        <w:rPr>
          <w:rFonts w:ascii="Tahoma" w:hAnsi="Tahoma" w:cs="Tahoma"/>
          <w:sz w:val="20"/>
          <w:szCs w:val="20"/>
        </w:rPr>
        <w:t>Maritime</w:t>
      </w:r>
      <w:r w:rsidR="00DB1635" w:rsidRPr="00B004EE">
        <w:rPr>
          <w:rFonts w:ascii="Tahoma" w:hAnsi="Tahoma" w:cs="Tahoma"/>
          <w:sz w:val="20"/>
          <w:szCs w:val="20"/>
        </w:rPr>
        <w:t xml:space="preserve"> </w:t>
      </w:r>
      <w:r w:rsidR="008518B0" w:rsidRPr="00B004EE">
        <w:rPr>
          <w:rFonts w:ascii="Tahoma" w:hAnsi="Tahoma" w:cs="Tahoma"/>
          <w:sz w:val="20"/>
          <w:szCs w:val="20"/>
        </w:rPr>
        <w:t>et</w:t>
      </w:r>
      <w:r w:rsidR="00DB1635" w:rsidRPr="00B004EE">
        <w:rPr>
          <w:rFonts w:ascii="Tahoma" w:hAnsi="Tahoma" w:cs="Tahoma"/>
          <w:sz w:val="20"/>
          <w:szCs w:val="20"/>
        </w:rPr>
        <w:t xml:space="preserve"> </w:t>
      </w:r>
      <w:r w:rsidR="008518B0" w:rsidRPr="00B004EE">
        <w:rPr>
          <w:rFonts w:ascii="Tahoma" w:hAnsi="Tahoma" w:cs="Tahoma"/>
          <w:sz w:val="20"/>
          <w:szCs w:val="20"/>
        </w:rPr>
        <w:t>au</w:t>
      </w:r>
      <w:r w:rsidR="00DB1635" w:rsidRPr="00B004EE">
        <w:rPr>
          <w:rFonts w:ascii="Tahoma" w:hAnsi="Tahoma" w:cs="Tahoma"/>
          <w:sz w:val="20"/>
          <w:szCs w:val="20"/>
        </w:rPr>
        <w:t xml:space="preserve"> </w:t>
      </w:r>
      <w:r w:rsidR="008518B0" w:rsidRPr="00B004EE">
        <w:rPr>
          <w:rFonts w:ascii="Tahoma" w:hAnsi="Tahoma" w:cs="Tahoma"/>
          <w:sz w:val="20"/>
          <w:szCs w:val="20"/>
        </w:rPr>
        <w:t>Ministre</w:t>
      </w:r>
      <w:r w:rsidR="00DB1635" w:rsidRPr="00B004EE">
        <w:rPr>
          <w:rFonts w:ascii="Tahoma" w:hAnsi="Tahoma" w:cs="Tahoma"/>
          <w:sz w:val="20"/>
          <w:szCs w:val="20"/>
        </w:rPr>
        <w:t xml:space="preserve"> </w:t>
      </w:r>
      <w:r w:rsidR="008518B0" w:rsidRPr="00B004EE">
        <w:rPr>
          <w:rFonts w:ascii="Tahoma" w:hAnsi="Tahoma" w:cs="Tahoma"/>
          <w:sz w:val="20"/>
          <w:szCs w:val="20"/>
        </w:rPr>
        <w:t>des</w:t>
      </w:r>
      <w:r w:rsidR="00DB1635" w:rsidRPr="00B004EE">
        <w:rPr>
          <w:rFonts w:ascii="Tahoma" w:hAnsi="Tahoma" w:cs="Tahoma"/>
          <w:sz w:val="20"/>
          <w:szCs w:val="20"/>
        </w:rPr>
        <w:t xml:space="preserve"> </w:t>
      </w:r>
      <w:r w:rsidR="008518B0" w:rsidRPr="00B004EE">
        <w:rPr>
          <w:rFonts w:ascii="Tahoma" w:hAnsi="Tahoma" w:cs="Tahoma"/>
          <w:sz w:val="20"/>
          <w:szCs w:val="20"/>
        </w:rPr>
        <w:t>Finances.</w:t>
      </w:r>
      <w:r w:rsidR="00DB1635" w:rsidRPr="00B004EE">
        <w:rPr>
          <w:rFonts w:ascii="Tahoma" w:hAnsi="Tahoma" w:cs="Tahoma"/>
          <w:sz w:val="20"/>
          <w:szCs w:val="20"/>
        </w:rPr>
        <w:t xml:space="preserve"> </w:t>
      </w:r>
      <w:r w:rsidR="008518B0" w:rsidRPr="00B004EE">
        <w:rPr>
          <w:rFonts w:ascii="Tahoma" w:hAnsi="Tahoma" w:cs="Tahoma"/>
          <w:spacing w:val="5"/>
          <w:sz w:val="20"/>
          <w:szCs w:val="20"/>
        </w:rPr>
        <w:t>Les</w:t>
      </w:r>
      <w:r w:rsidR="00DB1635" w:rsidRPr="00B004EE">
        <w:rPr>
          <w:rFonts w:ascii="Tahoma" w:hAnsi="Tahoma" w:cs="Tahoma"/>
          <w:spacing w:val="5"/>
          <w:sz w:val="20"/>
          <w:szCs w:val="20"/>
        </w:rPr>
        <w:t xml:space="preserve"> </w:t>
      </w:r>
      <w:r w:rsidR="008518B0" w:rsidRPr="00B004EE">
        <w:rPr>
          <w:rFonts w:ascii="Tahoma" w:hAnsi="Tahoma" w:cs="Tahoma"/>
          <w:spacing w:val="7"/>
          <w:sz w:val="20"/>
          <w:szCs w:val="20"/>
        </w:rPr>
        <w:t>honoraires</w:t>
      </w:r>
      <w:r w:rsidR="00DB1635" w:rsidRPr="00B004EE">
        <w:rPr>
          <w:rFonts w:ascii="Tahoma" w:hAnsi="Tahoma" w:cs="Tahoma"/>
          <w:spacing w:val="7"/>
          <w:sz w:val="20"/>
          <w:szCs w:val="20"/>
        </w:rPr>
        <w:t xml:space="preserve"> </w:t>
      </w:r>
      <w:r w:rsidR="008518B0" w:rsidRPr="00B004EE">
        <w:rPr>
          <w:rFonts w:ascii="Tahoma" w:hAnsi="Tahoma" w:cs="Tahoma"/>
          <w:spacing w:val="4"/>
          <w:sz w:val="20"/>
          <w:szCs w:val="20"/>
        </w:rPr>
        <w:t>du</w:t>
      </w:r>
      <w:r w:rsidR="00DB1635" w:rsidRPr="00B004EE">
        <w:rPr>
          <w:rFonts w:ascii="Tahoma" w:hAnsi="Tahoma" w:cs="Tahoma"/>
          <w:spacing w:val="4"/>
          <w:sz w:val="20"/>
          <w:szCs w:val="20"/>
        </w:rPr>
        <w:t xml:space="preserve"> </w:t>
      </w:r>
      <w:r w:rsidR="008518B0" w:rsidRPr="00B004EE">
        <w:rPr>
          <w:rFonts w:ascii="Tahoma" w:hAnsi="Tahoma" w:cs="Tahoma"/>
          <w:spacing w:val="8"/>
          <w:sz w:val="20"/>
          <w:szCs w:val="20"/>
        </w:rPr>
        <w:t>Commissaire</w:t>
      </w:r>
      <w:r w:rsidR="00DB1635" w:rsidRPr="00B004EE">
        <w:rPr>
          <w:rFonts w:ascii="Tahoma" w:hAnsi="Tahoma" w:cs="Tahoma"/>
          <w:spacing w:val="12"/>
          <w:sz w:val="20"/>
          <w:szCs w:val="20"/>
        </w:rPr>
        <w:t xml:space="preserve"> </w:t>
      </w:r>
      <w:r w:rsidR="008518B0" w:rsidRPr="00B004EE">
        <w:rPr>
          <w:rFonts w:ascii="Tahoma" w:hAnsi="Tahoma" w:cs="Tahoma"/>
          <w:spacing w:val="5"/>
          <w:sz w:val="20"/>
          <w:szCs w:val="20"/>
        </w:rPr>
        <w:t>aux</w:t>
      </w:r>
      <w:r w:rsidR="00DB1635" w:rsidRPr="00B004EE">
        <w:rPr>
          <w:rFonts w:ascii="Tahoma" w:hAnsi="Tahoma" w:cs="Tahoma"/>
          <w:w w:val="99"/>
          <w:sz w:val="20"/>
          <w:szCs w:val="20"/>
        </w:rPr>
        <w:t xml:space="preserve"> </w:t>
      </w:r>
      <w:r w:rsidR="008518B0" w:rsidRPr="00B004EE">
        <w:rPr>
          <w:rFonts w:ascii="Tahoma" w:hAnsi="Tahoma" w:cs="Tahoma"/>
          <w:sz w:val="20"/>
          <w:szCs w:val="20"/>
        </w:rPr>
        <w:t>Comptes</w:t>
      </w:r>
      <w:r w:rsidR="00DB1635" w:rsidRPr="00B004EE">
        <w:rPr>
          <w:rFonts w:ascii="Tahoma" w:hAnsi="Tahoma" w:cs="Tahoma"/>
          <w:sz w:val="20"/>
          <w:szCs w:val="20"/>
        </w:rPr>
        <w:t xml:space="preserve"> </w:t>
      </w:r>
      <w:r w:rsidR="008518B0" w:rsidRPr="00B004EE">
        <w:rPr>
          <w:rFonts w:ascii="Tahoma" w:hAnsi="Tahoma" w:cs="Tahoma"/>
          <w:sz w:val="20"/>
          <w:szCs w:val="20"/>
        </w:rPr>
        <w:t>sont</w:t>
      </w:r>
      <w:r w:rsidR="00DB1635" w:rsidRPr="00B004EE">
        <w:rPr>
          <w:rFonts w:ascii="Tahoma" w:hAnsi="Tahoma" w:cs="Tahoma"/>
          <w:sz w:val="20"/>
          <w:szCs w:val="20"/>
        </w:rPr>
        <w:t xml:space="preserve"> </w:t>
      </w:r>
      <w:r w:rsidR="008518B0" w:rsidRPr="00B004EE">
        <w:rPr>
          <w:rFonts w:ascii="Tahoma" w:hAnsi="Tahoma" w:cs="Tahoma"/>
          <w:sz w:val="20"/>
          <w:szCs w:val="20"/>
        </w:rPr>
        <w:t>fixés</w:t>
      </w:r>
      <w:r w:rsidR="00DB1635" w:rsidRPr="00B004EE">
        <w:rPr>
          <w:rFonts w:ascii="Tahoma" w:hAnsi="Tahoma" w:cs="Tahoma"/>
          <w:sz w:val="20"/>
          <w:szCs w:val="20"/>
        </w:rPr>
        <w:t xml:space="preserve"> </w:t>
      </w:r>
      <w:r w:rsidR="008518B0" w:rsidRPr="00B004EE">
        <w:rPr>
          <w:rFonts w:ascii="Tahoma" w:hAnsi="Tahoma" w:cs="Tahoma"/>
          <w:sz w:val="20"/>
          <w:szCs w:val="20"/>
        </w:rPr>
        <w:t>par</w:t>
      </w:r>
      <w:r w:rsidR="00DB1635" w:rsidRPr="00B004EE">
        <w:rPr>
          <w:rFonts w:ascii="Tahoma" w:hAnsi="Tahoma" w:cs="Tahoma"/>
          <w:sz w:val="20"/>
          <w:szCs w:val="20"/>
        </w:rPr>
        <w:t xml:space="preserve"> </w:t>
      </w:r>
      <w:r w:rsidR="008518B0" w:rsidRPr="00B004EE">
        <w:rPr>
          <w:rFonts w:ascii="Tahoma" w:hAnsi="Tahoma" w:cs="Tahoma"/>
          <w:sz w:val="20"/>
          <w:szCs w:val="20"/>
        </w:rPr>
        <w:t>le</w:t>
      </w:r>
      <w:r w:rsidR="00DB1635" w:rsidRPr="00B004EE">
        <w:rPr>
          <w:rFonts w:ascii="Tahoma" w:hAnsi="Tahoma" w:cs="Tahoma"/>
          <w:sz w:val="20"/>
          <w:szCs w:val="20"/>
        </w:rPr>
        <w:t xml:space="preserve"> </w:t>
      </w:r>
      <w:r w:rsidR="008518B0" w:rsidRPr="00B004EE">
        <w:rPr>
          <w:rFonts w:ascii="Tahoma" w:hAnsi="Tahoma" w:cs="Tahoma"/>
          <w:sz w:val="20"/>
          <w:szCs w:val="20"/>
        </w:rPr>
        <w:t>Conseil</w:t>
      </w:r>
      <w:r w:rsidR="00DB1635" w:rsidRPr="00B004EE">
        <w:rPr>
          <w:rFonts w:ascii="Tahoma" w:hAnsi="Tahoma" w:cs="Tahoma"/>
          <w:sz w:val="20"/>
          <w:szCs w:val="20"/>
        </w:rPr>
        <w:t xml:space="preserve"> </w:t>
      </w:r>
      <w:r w:rsidR="008518B0" w:rsidRPr="00B004EE">
        <w:rPr>
          <w:rFonts w:ascii="Tahoma" w:hAnsi="Tahoma" w:cs="Tahoma"/>
          <w:sz w:val="20"/>
          <w:szCs w:val="20"/>
        </w:rPr>
        <w:t>d'Administration</w:t>
      </w:r>
      <w:r w:rsidR="00DB1635" w:rsidRPr="00B004EE">
        <w:rPr>
          <w:rFonts w:ascii="Tahoma" w:hAnsi="Tahoma" w:cs="Tahoma"/>
          <w:sz w:val="20"/>
          <w:szCs w:val="20"/>
        </w:rPr>
        <w:t xml:space="preserve"> </w:t>
      </w:r>
      <w:r w:rsidR="008518B0" w:rsidRPr="00B004EE">
        <w:rPr>
          <w:rFonts w:ascii="Tahoma" w:hAnsi="Tahoma" w:cs="Tahoma"/>
          <w:sz w:val="20"/>
          <w:szCs w:val="20"/>
        </w:rPr>
        <w:t>conformément</w:t>
      </w:r>
      <w:r w:rsidR="00DB1635" w:rsidRPr="00B004EE">
        <w:rPr>
          <w:rFonts w:ascii="Tahoma" w:hAnsi="Tahoma" w:cs="Tahoma"/>
          <w:sz w:val="20"/>
          <w:szCs w:val="20"/>
        </w:rPr>
        <w:t xml:space="preserve"> </w:t>
      </w:r>
      <w:r w:rsidR="008518B0" w:rsidRPr="00B004EE">
        <w:rPr>
          <w:rFonts w:ascii="Tahoma" w:hAnsi="Tahoma" w:cs="Tahoma"/>
          <w:sz w:val="20"/>
          <w:szCs w:val="20"/>
        </w:rPr>
        <w:t>à</w:t>
      </w:r>
      <w:r w:rsidR="00DB1635" w:rsidRPr="00B004EE">
        <w:rPr>
          <w:rFonts w:ascii="Tahoma" w:hAnsi="Tahoma" w:cs="Tahoma"/>
          <w:sz w:val="20"/>
          <w:szCs w:val="20"/>
        </w:rPr>
        <w:t xml:space="preserve"> </w:t>
      </w:r>
      <w:r w:rsidR="008518B0" w:rsidRPr="00B004EE">
        <w:rPr>
          <w:rFonts w:ascii="Tahoma" w:hAnsi="Tahoma" w:cs="Tahoma"/>
          <w:sz w:val="20"/>
          <w:szCs w:val="20"/>
        </w:rPr>
        <w:t>la</w:t>
      </w:r>
      <w:r w:rsidR="00DB1635" w:rsidRPr="00B004EE">
        <w:rPr>
          <w:rFonts w:ascii="Tahoma" w:hAnsi="Tahoma" w:cs="Tahoma"/>
          <w:spacing w:val="44"/>
          <w:sz w:val="20"/>
          <w:szCs w:val="20"/>
        </w:rPr>
        <w:t xml:space="preserve"> </w:t>
      </w:r>
      <w:r w:rsidR="008518B0" w:rsidRPr="00B004EE">
        <w:rPr>
          <w:rFonts w:ascii="Tahoma" w:hAnsi="Tahoma" w:cs="Tahoma"/>
          <w:sz w:val="20"/>
          <w:szCs w:val="20"/>
        </w:rPr>
        <w:t>réglementation</w:t>
      </w:r>
      <w:r w:rsidR="00DB1635" w:rsidRPr="00B004EE">
        <w:rPr>
          <w:rFonts w:ascii="Tahoma" w:hAnsi="Tahoma" w:cs="Tahoma"/>
          <w:w w:val="99"/>
          <w:sz w:val="20"/>
          <w:szCs w:val="20"/>
        </w:rPr>
        <w:t xml:space="preserve"> </w:t>
      </w:r>
      <w:r w:rsidR="008518B0" w:rsidRPr="00B004EE">
        <w:rPr>
          <w:rFonts w:ascii="Tahoma" w:hAnsi="Tahoma" w:cs="Tahoma"/>
          <w:sz w:val="20"/>
          <w:szCs w:val="20"/>
        </w:rPr>
        <w:t>applicable.</w:t>
      </w:r>
    </w:p>
    <w:p w14:paraId="3CCFEE26" w14:textId="77777777" w:rsidR="008518B0" w:rsidRPr="00B004EE" w:rsidRDefault="008518B0" w:rsidP="00B004EE">
      <w:pPr>
        <w:rPr>
          <w:rFonts w:ascii="Tahoma" w:eastAsia="Times" w:hAnsi="Tahoma" w:cs="Tahoma"/>
          <w:sz w:val="20"/>
          <w:szCs w:val="20"/>
        </w:rPr>
      </w:pPr>
    </w:p>
    <w:p w14:paraId="0FEFF116" w14:textId="332AEBB7" w:rsidR="008518B0" w:rsidRPr="00B004EE" w:rsidRDefault="00FF661D" w:rsidP="00B004EE">
      <w:pPr>
        <w:pStyle w:val="Corpsdetexte"/>
        <w:ind w:left="247" w:right="159"/>
        <w:rPr>
          <w:rFonts w:ascii="Tahoma" w:hAnsi="Tahoma" w:cs="Tahoma"/>
          <w:sz w:val="20"/>
          <w:szCs w:val="20"/>
        </w:rPr>
      </w:pPr>
      <w:r w:rsidRPr="00B004EE">
        <w:rPr>
          <w:rFonts w:ascii="Tahoma" w:hAnsi="Tahoma" w:cs="Tahoma"/>
          <w:bCs/>
          <w:iCs/>
          <w:sz w:val="20"/>
          <w:szCs w:val="20"/>
        </w:rPr>
        <w:t xml:space="preserve">Article </w:t>
      </w:r>
      <w:r w:rsidR="008518B0" w:rsidRPr="00B004EE">
        <w:rPr>
          <w:rFonts w:ascii="Tahoma" w:hAnsi="Tahoma" w:cs="Tahoma"/>
          <w:bCs/>
          <w:iCs/>
          <w:sz w:val="20"/>
          <w:szCs w:val="20"/>
        </w:rPr>
        <w:t>26</w:t>
      </w:r>
      <w:r w:rsidR="00DB1635" w:rsidRPr="00B004EE">
        <w:rPr>
          <w:rFonts w:ascii="Tahoma" w:hAnsi="Tahoma" w:cs="Tahoma"/>
          <w:b/>
          <w:i/>
          <w:sz w:val="20"/>
          <w:szCs w:val="20"/>
        </w:rPr>
        <w:t xml:space="preserve"> </w:t>
      </w:r>
      <w:r w:rsidR="008518B0" w:rsidRPr="00B004EE">
        <w:rPr>
          <w:rFonts w:ascii="Tahoma" w:hAnsi="Tahoma" w:cs="Tahoma"/>
          <w:b/>
          <w:i/>
          <w:sz w:val="20"/>
          <w:szCs w:val="20"/>
        </w:rPr>
        <w:t>:</w:t>
      </w:r>
      <w:r w:rsidR="00DB1635" w:rsidRPr="00B004EE">
        <w:rPr>
          <w:rFonts w:ascii="Tahoma" w:hAnsi="Tahoma" w:cs="Tahoma"/>
          <w:b/>
          <w:i/>
          <w:sz w:val="20"/>
          <w:szCs w:val="20"/>
        </w:rPr>
        <w:t xml:space="preserve"> </w:t>
      </w:r>
      <w:r w:rsidR="008518B0" w:rsidRPr="00B004EE">
        <w:rPr>
          <w:rFonts w:ascii="Tahoma" w:hAnsi="Tahoma" w:cs="Tahoma"/>
          <w:sz w:val="20"/>
          <w:szCs w:val="20"/>
        </w:rPr>
        <w:t>L'Office</w:t>
      </w:r>
      <w:r w:rsidR="00DB1635" w:rsidRPr="00B004EE">
        <w:rPr>
          <w:rFonts w:ascii="Tahoma" w:hAnsi="Tahoma" w:cs="Tahoma"/>
          <w:sz w:val="20"/>
          <w:szCs w:val="20"/>
        </w:rPr>
        <w:t xml:space="preserve"> </w:t>
      </w:r>
      <w:r w:rsidR="008518B0" w:rsidRPr="00B004EE">
        <w:rPr>
          <w:rFonts w:ascii="Tahoma" w:hAnsi="Tahoma" w:cs="Tahoma"/>
          <w:sz w:val="20"/>
          <w:szCs w:val="20"/>
        </w:rPr>
        <w:t>National</w:t>
      </w:r>
      <w:r w:rsidR="00DB1635" w:rsidRPr="00B004EE">
        <w:rPr>
          <w:rFonts w:ascii="Tahoma" w:hAnsi="Tahoma" w:cs="Tahoma"/>
          <w:sz w:val="20"/>
          <w:szCs w:val="20"/>
        </w:rPr>
        <w:t xml:space="preserve"> </w:t>
      </w:r>
      <w:r w:rsidR="008518B0" w:rsidRPr="00B004EE">
        <w:rPr>
          <w:rFonts w:ascii="Tahoma" w:hAnsi="Tahoma" w:cs="Tahoma"/>
          <w:sz w:val="20"/>
          <w:szCs w:val="20"/>
        </w:rPr>
        <w:t>d'Inspection</w:t>
      </w:r>
      <w:r w:rsidR="00DB1635" w:rsidRPr="00B004EE">
        <w:rPr>
          <w:rFonts w:ascii="Tahoma" w:hAnsi="Tahoma" w:cs="Tahoma"/>
          <w:sz w:val="20"/>
          <w:szCs w:val="20"/>
        </w:rPr>
        <w:t xml:space="preserve"> </w:t>
      </w:r>
      <w:r w:rsidR="008518B0" w:rsidRPr="00B004EE">
        <w:rPr>
          <w:rFonts w:ascii="Tahoma" w:hAnsi="Tahoma" w:cs="Tahoma"/>
          <w:sz w:val="20"/>
          <w:szCs w:val="20"/>
        </w:rPr>
        <w:t>Sanitaire</w:t>
      </w:r>
      <w:r w:rsidR="00DB1635" w:rsidRPr="00B004EE">
        <w:rPr>
          <w:rFonts w:ascii="Tahoma" w:hAnsi="Tahoma" w:cs="Tahoma"/>
          <w:sz w:val="20"/>
          <w:szCs w:val="20"/>
        </w:rPr>
        <w:t xml:space="preserve"> </w:t>
      </w:r>
      <w:r w:rsidR="008518B0" w:rsidRPr="00B004EE">
        <w:rPr>
          <w:rFonts w:ascii="Tahoma" w:hAnsi="Tahoma" w:cs="Tahoma"/>
          <w:sz w:val="20"/>
          <w:szCs w:val="20"/>
        </w:rPr>
        <w:t>des</w:t>
      </w:r>
      <w:r w:rsidR="00DB1635" w:rsidRPr="00B004EE">
        <w:rPr>
          <w:rFonts w:ascii="Tahoma" w:hAnsi="Tahoma" w:cs="Tahoma"/>
          <w:sz w:val="20"/>
          <w:szCs w:val="20"/>
        </w:rPr>
        <w:t xml:space="preserve"> </w:t>
      </w:r>
      <w:r w:rsidR="008518B0" w:rsidRPr="00B004EE">
        <w:rPr>
          <w:rFonts w:ascii="Tahoma" w:hAnsi="Tahoma" w:cs="Tahoma"/>
          <w:sz w:val="20"/>
          <w:szCs w:val="20"/>
        </w:rPr>
        <w:t>Produits</w:t>
      </w:r>
      <w:r w:rsidR="00DB1635" w:rsidRPr="00B004EE">
        <w:rPr>
          <w:rFonts w:ascii="Tahoma" w:hAnsi="Tahoma" w:cs="Tahoma"/>
          <w:sz w:val="20"/>
          <w:szCs w:val="20"/>
        </w:rPr>
        <w:t xml:space="preserve"> </w:t>
      </w:r>
      <w:r w:rsidR="008518B0" w:rsidRPr="00B004EE">
        <w:rPr>
          <w:rFonts w:ascii="Tahoma" w:hAnsi="Tahoma" w:cs="Tahoma"/>
          <w:sz w:val="20"/>
          <w:szCs w:val="20"/>
        </w:rPr>
        <w:t>de</w:t>
      </w:r>
      <w:r w:rsidR="00DB1635" w:rsidRPr="00B004EE">
        <w:rPr>
          <w:rFonts w:ascii="Tahoma" w:hAnsi="Tahoma" w:cs="Tahoma"/>
          <w:sz w:val="20"/>
          <w:szCs w:val="20"/>
        </w:rPr>
        <w:t xml:space="preserve"> </w:t>
      </w:r>
      <w:r w:rsidR="008518B0" w:rsidRPr="00B004EE">
        <w:rPr>
          <w:rFonts w:ascii="Tahoma" w:hAnsi="Tahoma" w:cs="Tahoma"/>
          <w:sz w:val="20"/>
          <w:szCs w:val="20"/>
        </w:rPr>
        <w:t>la</w:t>
      </w:r>
      <w:r w:rsidR="00DB1635" w:rsidRPr="00B004EE">
        <w:rPr>
          <w:rFonts w:ascii="Tahoma" w:hAnsi="Tahoma" w:cs="Tahoma"/>
          <w:sz w:val="20"/>
          <w:szCs w:val="20"/>
        </w:rPr>
        <w:t xml:space="preserve"> </w:t>
      </w:r>
      <w:r w:rsidR="008518B0" w:rsidRPr="00B004EE">
        <w:rPr>
          <w:rFonts w:ascii="Tahoma" w:hAnsi="Tahoma" w:cs="Tahoma"/>
          <w:sz w:val="20"/>
          <w:szCs w:val="20"/>
        </w:rPr>
        <w:t>Pêche</w:t>
      </w:r>
      <w:r w:rsidR="00DB1635" w:rsidRPr="00B004EE">
        <w:rPr>
          <w:rFonts w:ascii="Tahoma" w:hAnsi="Tahoma" w:cs="Tahoma"/>
          <w:sz w:val="20"/>
          <w:szCs w:val="20"/>
        </w:rPr>
        <w:t xml:space="preserve"> </w:t>
      </w:r>
      <w:r w:rsidR="008518B0" w:rsidRPr="00B004EE">
        <w:rPr>
          <w:rFonts w:ascii="Tahoma" w:hAnsi="Tahoma" w:cs="Tahoma"/>
          <w:sz w:val="20"/>
          <w:szCs w:val="20"/>
        </w:rPr>
        <w:t>et</w:t>
      </w:r>
      <w:r w:rsidR="00DB1635" w:rsidRPr="00B004EE">
        <w:rPr>
          <w:rFonts w:ascii="Tahoma" w:hAnsi="Tahoma" w:cs="Tahoma"/>
          <w:spacing w:val="36"/>
          <w:sz w:val="20"/>
          <w:szCs w:val="20"/>
        </w:rPr>
        <w:t xml:space="preserve"> </w:t>
      </w:r>
      <w:r w:rsidR="008518B0" w:rsidRPr="00B004EE">
        <w:rPr>
          <w:rFonts w:ascii="Tahoma" w:hAnsi="Tahoma" w:cs="Tahoma"/>
          <w:sz w:val="20"/>
          <w:szCs w:val="20"/>
        </w:rPr>
        <w:t>de</w:t>
      </w:r>
      <w:r w:rsidR="00DB1635" w:rsidRPr="00B004EE">
        <w:rPr>
          <w:rFonts w:ascii="Tahoma" w:hAnsi="Tahoma" w:cs="Tahoma"/>
          <w:w w:val="99"/>
          <w:sz w:val="20"/>
          <w:szCs w:val="20"/>
        </w:rPr>
        <w:t xml:space="preserve"> </w:t>
      </w:r>
      <w:r w:rsidR="008518B0" w:rsidRPr="00B004EE">
        <w:rPr>
          <w:rFonts w:ascii="Tahoma" w:hAnsi="Tahoma" w:cs="Tahoma"/>
          <w:sz w:val="20"/>
          <w:szCs w:val="20"/>
        </w:rPr>
        <w:t>l'Aquaculture</w:t>
      </w:r>
      <w:r w:rsidR="00DB1635" w:rsidRPr="00B004EE">
        <w:rPr>
          <w:rFonts w:ascii="Tahoma" w:hAnsi="Tahoma" w:cs="Tahoma"/>
          <w:spacing w:val="16"/>
          <w:sz w:val="20"/>
          <w:szCs w:val="20"/>
        </w:rPr>
        <w:t xml:space="preserve"> </w:t>
      </w:r>
      <w:r w:rsidR="008518B0" w:rsidRPr="00B004EE">
        <w:rPr>
          <w:rFonts w:ascii="Tahoma" w:hAnsi="Tahoma" w:cs="Tahoma"/>
          <w:sz w:val="20"/>
          <w:szCs w:val="20"/>
        </w:rPr>
        <w:t>est</w:t>
      </w:r>
      <w:r w:rsidR="00DB1635" w:rsidRPr="00B004EE">
        <w:rPr>
          <w:rFonts w:ascii="Tahoma" w:hAnsi="Tahoma" w:cs="Tahoma"/>
          <w:spacing w:val="20"/>
          <w:sz w:val="20"/>
          <w:szCs w:val="20"/>
        </w:rPr>
        <w:t xml:space="preserve"> </w:t>
      </w:r>
      <w:r w:rsidR="008518B0" w:rsidRPr="00B004EE">
        <w:rPr>
          <w:rFonts w:ascii="Tahoma" w:hAnsi="Tahoma" w:cs="Tahoma"/>
          <w:sz w:val="20"/>
          <w:szCs w:val="20"/>
        </w:rPr>
        <w:t>assujetti</w:t>
      </w:r>
      <w:r w:rsidR="00DB1635" w:rsidRPr="00B004EE">
        <w:rPr>
          <w:rFonts w:ascii="Tahoma" w:hAnsi="Tahoma" w:cs="Tahoma"/>
          <w:spacing w:val="18"/>
          <w:sz w:val="20"/>
          <w:szCs w:val="20"/>
        </w:rPr>
        <w:t xml:space="preserve"> </w:t>
      </w:r>
      <w:r w:rsidR="008518B0" w:rsidRPr="00B004EE">
        <w:rPr>
          <w:rFonts w:ascii="Tahoma" w:hAnsi="Tahoma" w:cs="Tahoma"/>
          <w:sz w:val="20"/>
          <w:szCs w:val="20"/>
        </w:rPr>
        <w:t>aux</w:t>
      </w:r>
      <w:r w:rsidR="00DB1635" w:rsidRPr="00B004EE">
        <w:rPr>
          <w:rFonts w:ascii="Tahoma" w:hAnsi="Tahoma" w:cs="Tahoma"/>
          <w:spacing w:val="20"/>
          <w:sz w:val="20"/>
          <w:szCs w:val="20"/>
        </w:rPr>
        <w:t xml:space="preserve"> </w:t>
      </w:r>
      <w:r w:rsidR="008518B0" w:rsidRPr="00B004EE">
        <w:rPr>
          <w:rFonts w:ascii="Tahoma" w:hAnsi="Tahoma" w:cs="Tahoma"/>
          <w:sz w:val="20"/>
          <w:szCs w:val="20"/>
        </w:rPr>
        <w:t>contrôles</w:t>
      </w:r>
      <w:r w:rsidR="00DB1635" w:rsidRPr="00B004EE">
        <w:rPr>
          <w:rFonts w:ascii="Tahoma" w:hAnsi="Tahoma" w:cs="Tahoma"/>
          <w:spacing w:val="18"/>
          <w:sz w:val="20"/>
          <w:szCs w:val="20"/>
        </w:rPr>
        <w:t xml:space="preserve"> </w:t>
      </w:r>
      <w:r w:rsidR="008518B0" w:rsidRPr="00B004EE">
        <w:rPr>
          <w:rFonts w:ascii="Tahoma" w:hAnsi="Tahoma" w:cs="Tahoma"/>
          <w:spacing w:val="5"/>
          <w:sz w:val="20"/>
          <w:szCs w:val="20"/>
        </w:rPr>
        <w:t>externes</w:t>
      </w:r>
      <w:r w:rsidR="00DB1635" w:rsidRPr="00B004EE">
        <w:rPr>
          <w:rFonts w:ascii="Tahoma" w:hAnsi="Tahoma" w:cs="Tahoma"/>
          <w:spacing w:val="30"/>
          <w:sz w:val="20"/>
          <w:szCs w:val="20"/>
        </w:rPr>
        <w:t xml:space="preserve"> </w:t>
      </w:r>
      <w:r w:rsidR="008518B0" w:rsidRPr="00B004EE">
        <w:rPr>
          <w:rFonts w:ascii="Tahoma" w:hAnsi="Tahoma" w:cs="Tahoma"/>
          <w:spacing w:val="5"/>
          <w:sz w:val="20"/>
          <w:szCs w:val="20"/>
        </w:rPr>
        <w:t>prévus</w:t>
      </w:r>
      <w:r w:rsidR="00DB1635" w:rsidRPr="00B004EE">
        <w:rPr>
          <w:rFonts w:ascii="Tahoma" w:hAnsi="Tahoma" w:cs="Tahoma"/>
          <w:spacing w:val="30"/>
          <w:sz w:val="20"/>
          <w:szCs w:val="20"/>
        </w:rPr>
        <w:t xml:space="preserve"> </w:t>
      </w:r>
      <w:r w:rsidR="008518B0" w:rsidRPr="00B004EE">
        <w:rPr>
          <w:rFonts w:ascii="Tahoma" w:hAnsi="Tahoma" w:cs="Tahoma"/>
          <w:spacing w:val="4"/>
          <w:sz w:val="20"/>
          <w:szCs w:val="20"/>
        </w:rPr>
        <w:t>par</w:t>
      </w:r>
      <w:r w:rsidR="00DB1635" w:rsidRPr="00B004EE">
        <w:rPr>
          <w:rFonts w:ascii="Tahoma" w:hAnsi="Tahoma" w:cs="Tahoma"/>
          <w:spacing w:val="29"/>
          <w:sz w:val="20"/>
          <w:szCs w:val="20"/>
        </w:rPr>
        <w:t xml:space="preserve"> </w:t>
      </w:r>
      <w:r w:rsidR="008518B0" w:rsidRPr="00B004EE">
        <w:rPr>
          <w:rFonts w:ascii="Tahoma" w:hAnsi="Tahoma" w:cs="Tahoma"/>
          <w:spacing w:val="4"/>
          <w:sz w:val="20"/>
          <w:szCs w:val="20"/>
        </w:rPr>
        <w:t>les</w:t>
      </w:r>
      <w:r w:rsidR="00DB1635" w:rsidRPr="00B004EE">
        <w:rPr>
          <w:rFonts w:ascii="Tahoma" w:hAnsi="Tahoma" w:cs="Tahoma"/>
          <w:spacing w:val="30"/>
          <w:sz w:val="20"/>
          <w:szCs w:val="20"/>
        </w:rPr>
        <w:t xml:space="preserve"> </w:t>
      </w:r>
      <w:r w:rsidR="008518B0" w:rsidRPr="00B004EE">
        <w:rPr>
          <w:rFonts w:ascii="Tahoma" w:hAnsi="Tahoma" w:cs="Tahoma"/>
          <w:spacing w:val="6"/>
          <w:sz w:val="20"/>
          <w:szCs w:val="20"/>
        </w:rPr>
        <w:t>dispositions</w:t>
      </w:r>
      <w:r w:rsidR="00DB1635" w:rsidRPr="00B004EE">
        <w:rPr>
          <w:rFonts w:ascii="Tahoma" w:hAnsi="Tahoma" w:cs="Tahoma"/>
          <w:spacing w:val="30"/>
          <w:sz w:val="20"/>
          <w:szCs w:val="20"/>
        </w:rPr>
        <w:t xml:space="preserve"> </w:t>
      </w:r>
      <w:r w:rsidR="008518B0" w:rsidRPr="00B004EE">
        <w:rPr>
          <w:rFonts w:ascii="Tahoma" w:hAnsi="Tahoma" w:cs="Tahoma"/>
          <w:sz w:val="20"/>
          <w:szCs w:val="20"/>
        </w:rPr>
        <w:t>législatives</w:t>
      </w:r>
      <w:r w:rsidR="00DB1635" w:rsidRPr="00B004EE">
        <w:rPr>
          <w:rFonts w:ascii="Tahoma" w:hAnsi="Tahoma" w:cs="Tahoma"/>
          <w:spacing w:val="15"/>
          <w:sz w:val="20"/>
          <w:szCs w:val="20"/>
        </w:rPr>
        <w:t xml:space="preserve"> </w:t>
      </w:r>
      <w:r w:rsidR="008518B0" w:rsidRPr="00B004EE">
        <w:rPr>
          <w:rFonts w:ascii="Tahoma" w:hAnsi="Tahoma" w:cs="Tahoma"/>
          <w:sz w:val="20"/>
          <w:szCs w:val="20"/>
        </w:rPr>
        <w:t>et</w:t>
      </w:r>
      <w:r w:rsidR="00DB1635" w:rsidRPr="00B004EE">
        <w:rPr>
          <w:rFonts w:ascii="Tahoma" w:hAnsi="Tahoma" w:cs="Tahoma"/>
          <w:w w:val="99"/>
          <w:sz w:val="20"/>
          <w:szCs w:val="20"/>
        </w:rPr>
        <w:t xml:space="preserve"> </w:t>
      </w:r>
      <w:r w:rsidR="008518B0" w:rsidRPr="00B004EE">
        <w:rPr>
          <w:rFonts w:ascii="Tahoma" w:hAnsi="Tahoma" w:cs="Tahoma"/>
          <w:sz w:val="20"/>
          <w:szCs w:val="20"/>
        </w:rPr>
        <w:t>réglementaires</w:t>
      </w:r>
      <w:r w:rsidR="00DB1635" w:rsidRPr="00B004EE">
        <w:rPr>
          <w:rFonts w:ascii="Tahoma" w:hAnsi="Tahoma" w:cs="Tahoma"/>
          <w:sz w:val="20"/>
          <w:szCs w:val="20"/>
        </w:rPr>
        <w:t xml:space="preserve"> </w:t>
      </w:r>
      <w:r w:rsidR="008518B0" w:rsidRPr="00B004EE">
        <w:rPr>
          <w:rFonts w:ascii="Tahoma" w:hAnsi="Tahoma" w:cs="Tahoma"/>
          <w:sz w:val="20"/>
          <w:szCs w:val="20"/>
        </w:rPr>
        <w:t>régissant</w:t>
      </w:r>
      <w:r w:rsidR="00DB1635" w:rsidRPr="00B004EE">
        <w:rPr>
          <w:rFonts w:ascii="Tahoma" w:hAnsi="Tahoma" w:cs="Tahoma"/>
          <w:sz w:val="20"/>
          <w:szCs w:val="20"/>
        </w:rPr>
        <w:t xml:space="preserve"> </w:t>
      </w:r>
      <w:r w:rsidR="008518B0" w:rsidRPr="00B004EE">
        <w:rPr>
          <w:rFonts w:ascii="Tahoma" w:hAnsi="Tahoma" w:cs="Tahoma"/>
          <w:sz w:val="20"/>
          <w:szCs w:val="20"/>
        </w:rPr>
        <w:t>le</w:t>
      </w:r>
      <w:r w:rsidR="00DB1635" w:rsidRPr="00B004EE">
        <w:rPr>
          <w:rFonts w:ascii="Tahoma" w:hAnsi="Tahoma" w:cs="Tahoma"/>
          <w:sz w:val="20"/>
          <w:szCs w:val="20"/>
        </w:rPr>
        <w:t xml:space="preserve"> </w:t>
      </w:r>
      <w:r w:rsidR="008518B0" w:rsidRPr="00B004EE">
        <w:rPr>
          <w:rFonts w:ascii="Tahoma" w:hAnsi="Tahoma" w:cs="Tahoma"/>
          <w:sz w:val="20"/>
          <w:szCs w:val="20"/>
        </w:rPr>
        <w:t>contrôle</w:t>
      </w:r>
      <w:r w:rsidR="00DB1635" w:rsidRPr="00B004EE">
        <w:rPr>
          <w:rFonts w:ascii="Tahoma" w:hAnsi="Tahoma" w:cs="Tahoma"/>
          <w:sz w:val="20"/>
          <w:szCs w:val="20"/>
        </w:rPr>
        <w:t xml:space="preserve"> </w:t>
      </w:r>
      <w:r w:rsidR="008518B0" w:rsidRPr="00B004EE">
        <w:rPr>
          <w:rFonts w:ascii="Tahoma" w:hAnsi="Tahoma" w:cs="Tahoma"/>
          <w:sz w:val="20"/>
          <w:szCs w:val="20"/>
        </w:rPr>
        <w:t>des</w:t>
      </w:r>
      <w:r w:rsidR="00DB1635" w:rsidRPr="00B004EE">
        <w:rPr>
          <w:rFonts w:ascii="Tahoma" w:hAnsi="Tahoma" w:cs="Tahoma"/>
          <w:sz w:val="20"/>
          <w:szCs w:val="20"/>
        </w:rPr>
        <w:t xml:space="preserve"> </w:t>
      </w:r>
      <w:r w:rsidR="008518B0" w:rsidRPr="00B004EE">
        <w:rPr>
          <w:rFonts w:ascii="Tahoma" w:hAnsi="Tahoma" w:cs="Tahoma"/>
          <w:sz w:val="20"/>
          <w:szCs w:val="20"/>
        </w:rPr>
        <w:t>finances</w:t>
      </w:r>
      <w:r w:rsidR="00DB1635" w:rsidRPr="00B004EE">
        <w:rPr>
          <w:rFonts w:ascii="Tahoma" w:hAnsi="Tahoma" w:cs="Tahoma"/>
          <w:spacing w:val="-16"/>
          <w:sz w:val="20"/>
          <w:szCs w:val="20"/>
        </w:rPr>
        <w:t xml:space="preserve"> </w:t>
      </w:r>
      <w:r w:rsidR="008518B0" w:rsidRPr="00B004EE">
        <w:rPr>
          <w:rFonts w:ascii="Tahoma" w:hAnsi="Tahoma" w:cs="Tahoma"/>
          <w:sz w:val="20"/>
          <w:szCs w:val="20"/>
        </w:rPr>
        <w:t>publiques.</w:t>
      </w:r>
    </w:p>
    <w:p w14:paraId="0300A533" w14:textId="77777777" w:rsidR="008518B0" w:rsidRPr="00B004EE" w:rsidRDefault="008518B0" w:rsidP="00B004EE">
      <w:pPr>
        <w:rPr>
          <w:rFonts w:ascii="Tahoma" w:eastAsia="Times" w:hAnsi="Tahoma" w:cs="Tahoma"/>
          <w:sz w:val="20"/>
          <w:szCs w:val="20"/>
        </w:rPr>
      </w:pPr>
    </w:p>
    <w:p w14:paraId="4ACE3E96" w14:textId="32128757" w:rsidR="008518B0" w:rsidRPr="00B004EE" w:rsidRDefault="00C40988" w:rsidP="00B004EE">
      <w:pPr>
        <w:pStyle w:val="Corpsdetexte"/>
        <w:ind w:left="232" w:right="167"/>
        <w:rPr>
          <w:rFonts w:ascii="Tahoma" w:hAnsi="Tahoma" w:cs="Tahoma"/>
          <w:sz w:val="20"/>
          <w:szCs w:val="20"/>
        </w:rPr>
      </w:pPr>
      <w:r w:rsidRPr="00B004EE">
        <w:rPr>
          <w:rFonts w:ascii="Tahoma" w:hAnsi="Tahoma" w:cs="Tahoma"/>
          <w:bCs/>
          <w:iCs/>
          <w:sz w:val="20"/>
          <w:szCs w:val="20"/>
        </w:rPr>
        <w:t xml:space="preserve">Article </w:t>
      </w:r>
      <w:r w:rsidR="008518B0" w:rsidRPr="00B004EE">
        <w:rPr>
          <w:rFonts w:ascii="Tahoma" w:hAnsi="Tahoma" w:cs="Tahoma"/>
          <w:bCs/>
          <w:iCs/>
          <w:sz w:val="20"/>
          <w:szCs w:val="20"/>
        </w:rPr>
        <w:t>27</w:t>
      </w:r>
      <w:r w:rsidR="00DB1635" w:rsidRPr="00B004EE">
        <w:rPr>
          <w:rFonts w:ascii="Tahoma" w:hAnsi="Tahoma" w:cs="Tahoma"/>
          <w:b/>
          <w:i/>
          <w:sz w:val="20"/>
          <w:szCs w:val="20"/>
        </w:rPr>
        <w:t xml:space="preserve"> </w:t>
      </w:r>
      <w:r w:rsidR="008518B0" w:rsidRPr="00B004EE">
        <w:rPr>
          <w:rFonts w:ascii="Tahoma" w:hAnsi="Tahoma" w:cs="Tahoma"/>
          <w:b/>
          <w:i/>
          <w:sz w:val="20"/>
          <w:szCs w:val="20"/>
        </w:rPr>
        <w:t>:</w:t>
      </w:r>
      <w:r w:rsidR="00DB1635" w:rsidRPr="00B004EE">
        <w:rPr>
          <w:rFonts w:ascii="Tahoma" w:hAnsi="Tahoma" w:cs="Tahoma"/>
          <w:b/>
          <w:i/>
          <w:sz w:val="20"/>
          <w:szCs w:val="20"/>
        </w:rPr>
        <w:t xml:space="preserve"> </w:t>
      </w:r>
      <w:r w:rsidR="008518B0" w:rsidRPr="00B004EE">
        <w:rPr>
          <w:rFonts w:ascii="Tahoma" w:hAnsi="Tahoma" w:cs="Tahoma"/>
          <w:sz w:val="20"/>
          <w:szCs w:val="20"/>
        </w:rPr>
        <w:t>Le</w:t>
      </w:r>
      <w:r w:rsidR="00DB1635" w:rsidRPr="00B004EE">
        <w:rPr>
          <w:rFonts w:ascii="Tahoma" w:hAnsi="Tahoma" w:cs="Tahoma"/>
          <w:sz w:val="20"/>
          <w:szCs w:val="20"/>
        </w:rPr>
        <w:t xml:space="preserve"> </w:t>
      </w:r>
      <w:r w:rsidR="008518B0" w:rsidRPr="00B004EE">
        <w:rPr>
          <w:rFonts w:ascii="Tahoma" w:hAnsi="Tahoma" w:cs="Tahoma"/>
          <w:sz w:val="20"/>
          <w:szCs w:val="20"/>
        </w:rPr>
        <w:t>personnel</w:t>
      </w:r>
      <w:r w:rsidR="00DB1635" w:rsidRPr="00B004EE">
        <w:rPr>
          <w:rFonts w:ascii="Tahoma" w:hAnsi="Tahoma" w:cs="Tahoma"/>
          <w:sz w:val="20"/>
          <w:szCs w:val="20"/>
        </w:rPr>
        <w:t xml:space="preserve"> </w:t>
      </w:r>
      <w:r w:rsidR="008518B0" w:rsidRPr="00B004EE">
        <w:rPr>
          <w:rFonts w:ascii="Tahoma" w:hAnsi="Tahoma" w:cs="Tahoma"/>
          <w:sz w:val="20"/>
          <w:szCs w:val="20"/>
        </w:rPr>
        <w:t>d'inspection</w:t>
      </w:r>
      <w:r w:rsidR="00DB1635" w:rsidRPr="00B004EE">
        <w:rPr>
          <w:rFonts w:ascii="Tahoma" w:hAnsi="Tahoma" w:cs="Tahoma"/>
          <w:sz w:val="20"/>
          <w:szCs w:val="20"/>
        </w:rPr>
        <w:t xml:space="preserve"> </w:t>
      </w:r>
      <w:r w:rsidR="008518B0" w:rsidRPr="00B004EE">
        <w:rPr>
          <w:rFonts w:ascii="Tahoma" w:hAnsi="Tahoma" w:cs="Tahoma"/>
          <w:sz w:val="20"/>
          <w:szCs w:val="20"/>
        </w:rPr>
        <w:t>et</w:t>
      </w:r>
      <w:r w:rsidR="00DB1635" w:rsidRPr="00B004EE">
        <w:rPr>
          <w:rFonts w:ascii="Tahoma" w:hAnsi="Tahoma" w:cs="Tahoma"/>
          <w:sz w:val="20"/>
          <w:szCs w:val="20"/>
        </w:rPr>
        <w:t xml:space="preserve"> </w:t>
      </w:r>
      <w:r w:rsidR="008518B0" w:rsidRPr="00B004EE">
        <w:rPr>
          <w:rFonts w:ascii="Tahoma" w:hAnsi="Tahoma" w:cs="Tahoma"/>
          <w:sz w:val="20"/>
          <w:szCs w:val="20"/>
        </w:rPr>
        <w:t>de</w:t>
      </w:r>
      <w:r w:rsidR="00DB1635" w:rsidRPr="00B004EE">
        <w:rPr>
          <w:rFonts w:ascii="Tahoma" w:hAnsi="Tahoma" w:cs="Tahoma"/>
          <w:sz w:val="20"/>
          <w:szCs w:val="20"/>
        </w:rPr>
        <w:t xml:space="preserve"> </w:t>
      </w:r>
      <w:r w:rsidR="008518B0" w:rsidRPr="00B004EE">
        <w:rPr>
          <w:rFonts w:ascii="Tahoma" w:hAnsi="Tahoma" w:cs="Tahoma"/>
          <w:sz w:val="20"/>
          <w:szCs w:val="20"/>
        </w:rPr>
        <w:t>contrôle</w:t>
      </w:r>
      <w:r w:rsidR="00DB1635" w:rsidRPr="00B004EE">
        <w:rPr>
          <w:rFonts w:ascii="Tahoma" w:hAnsi="Tahoma" w:cs="Tahoma"/>
          <w:sz w:val="20"/>
          <w:szCs w:val="20"/>
        </w:rPr>
        <w:t xml:space="preserve"> </w:t>
      </w:r>
      <w:r w:rsidR="008518B0" w:rsidRPr="00B004EE">
        <w:rPr>
          <w:rFonts w:ascii="Tahoma" w:hAnsi="Tahoma" w:cs="Tahoma"/>
          <w:sz w:val="20"/>
          <w:szCs w:val="20"/>
        </w:rPr>
        <w:t>sanitaires,</w:t>
      </w:r>
      <w:r w:rsidR="00DB1635" w:rsidRPr="00B004EE">
        <w:rPr>
          <w:rFonts w:ascii="Tahoma" w:hAnsi="Tahoma" w:cs="Tahoma"/>
          <w:sz w:val="20"/>
          <w:szCs w:val="20"/>
        </w:rPr>
        <w:t xml:space="preserve"> </w:t>
      </w:r>
      <w:r w:rsidR="008518B0" w:rsidRPr="00B004EE">
        <w:rPr>
          <w:rFonts w:ascii="Tahoma" w:hAnsi="Tahoma" w:cs="Tahoma"/>
          <w:sz w:val="20"/>
          <w:szCs w:val="20"/>
        </w:rPr>
        <w:t>affecté</w:t>
      </w:r>
      <w:r w:rsidR="00DB1635" w:rsidRPr="00B004EE">
        <w:rPr>
          <w:rFonts w:ascii="Tahoma" w:hAnsi="Tahoma" w:cs="Tahoma"/>
          <w:sz w:val="20"/>
          <w:szCs w:val="20"/>
        </w:rPr>
        <w:t xml:space="preserve"> </w:t>
      </w:r>
      <w:r w:rsidR="008518B0" w:rsidRPr="00B004EE">
        <w:rPr>
          <w:rFonts w:ascii="Tahoma" w:hAnsi="Tahoma" w:cs="Tahoma"/>
          <w:sz w:val="20"/>
          <w:szCs w:val="20"/>
        </w:rPr>
        <w:t>au</w:t>
      </w:r>
      <w:r w:rsidR="00DB1635" w:rsidRPr="00B004EE">
        <w:rPr>
          <w:rFonts w:ascii="Tahoma" w:hAnsi="Tahoma" w:cs="Tahoma"/>
          <w:sz w:val="20"/>
          <w:szCs w:val="20"/>
        </w:rPr>
        <w:t xml:space="preserve"> </w:t>
      </w:r>
      <w:r w:rsidR="008518B0" w:rsidRPr="00B004EE">
        <w:rPr>
          <w:rFonts w:ascii="Tahoma" w:hAnsi="Tahoma" w:cs="Tahoma"/>
          <w:sz w:val="20"/>
          <w:szCs w:val="20"/>
        </w:rPr>
        <w:t>Département</w:t>
      </w:r>
      <w:r w:rsidR="00DB1635" w:rsidRPr="00B004EE">
        <w:rPr>
          <w:rFonts w:ascii="Tahoma" w:hAnsi="Tahoma" w:cs="Tahoma"/>
          <w:spacing w:val="8"/>
          <w:sz w:val="20"/>
          <w:szCs w:val="20"/>
        </w:rPr>
        <w:t xml:space="preserve"> </w:t>
      </w:r>
      <w:r w:rsidR="008518B0" w:rsidRPr="00B004EE">
        <w:rPr>
          <w:rFonts w:ascii="Tahoma" w:hAnsi="Tahoma" w:cs="Tahoma"/>
          <w:sz w:val="20"/>
          <w:szCs w:val="20"/>
        </w:rPr>
        <w:t>de</w:t>
      </w:r>
      <w:r w:rsidR="00DB1635" w:rsidRPr="00B004EE">
        <w:rPr>
          <w:rFonts w:ascii="Tahoma" w:hAnsi="Tahoma" w:cs="Tahoma"/>
          <w:w w:val="99"/>
          <w:sz w:val="20"/>
          <w:szCs w:val="20"/>
        </w:rPr>
        <w:t xml:space="preserve"> </w:t>
      </w:r>
      <w:r w:rsidR="008518B0" w:rsidRPr="00B004EE">
        <w:rPr>
          <w:rFonts w:ascii="Tahoma" w:hAnsi="Tahoma" w:cs="Tahoma"/>
          <w:sz w:val="20"/>
          <w:szCs w:val="20"/>
        </w:rPr>
        <w:t>Valorisation</w:t>
      </w:r>
      <w:r w:rsidR="00DB1635" w:rsidRPr="00B004EE">
        <w:rPr>
          <w:rFonts w:ascii="Tahoma" w:hAnsi="Tahoma" w:cs="Tahoma"/>
          <w:sz w:val="20"/>
          <w:szCs w:val="20"/>
        </w:rPr>
        <w:t xml:space="preserve"> </w:t>
      </w:r>
      <w:r w:rsidR="008518B0" w:rsidRPr="00B004EE">
        <w:rPr>
          <w:rFonts w:ascii="Tahoma" w:hAnsi="Tahoma" w:cs="Tahoma"/>
          <w:sz w:val="20"/>
          <w:szCs w:val="20"/>
        </w:rPr>
        <w:t>et</w:t>
      </w:r>
      <w:r w:rsidR="00DB1635" w:rsidRPr="00B004EE">
        <w:rPr>
          <w:rFonts w:ascii="Tahoma" w:hAnsi="Tahoma" w:cs="Tahoma"/>
          <w:sz w:val="20"/>
          <w:szCs w:val="20"/>
        </w:rPr>
        <w:t xml:space="preserve"> </w:t>
      </w:r>
      <w:r w:rsidR="008518B0" w:rsidRPr="00B004EE">
        <w:rPr>
          <w:rFonts w:ascii="Tahoma" w:hAnsi="Tahoma" w:cs="Tahoma"/>
          <w:sz w:val="20"/>
          <w:szCs w:val="20"/>
        </w:rPr>
        <w:t>d'Inspection</w:t>
      </w:r>
      <w:r w:rsidR="00DB1635" w:rsidRPr="00B004EE">
        <w:rPr>
          <w:rFonts w:ascii="Tahoma" w:hAnsi="Tahoma" w:cs="Tahoma"/>
          <w:sz w:val="20"/>
          <w:szCs w:val="20"/>
        </w:rPr>
        <w:t xml:space="preserve"> </w:t>
      </w:r>
      <w:r w:rsidR="008518B0" w:rsidRPr="00B004EE">
        <w:rPr>
          <w:rFonts w:ascii="Tahoma" w:hAnsi="Tahoma" w:cs="Tahoma"/>
          <w:sz w:val="20"/>
          <w:szCs w:val="20"/>
        </w:rPr>
        <w:t>Sanitaire</w:t>
      </w:r>
      <w:r w:rsidR="00DB1635" w:rsidRPr="00B004EE">
        <w:rPr>
          <w:rFonts w:ascii="Tahoma" w:hAnsi="Tahoma" w:cs="Tahoma"/>
          <w:sz w:val="20"/>
          <w:szCs w:val="20"/>
        </w:rPr>
        <w:t xml:space="preserve"> </w:t>
      </w:r>
      <w:r w:rsidR="008518B0" w:rsidRPr="00B004EE">
        <w:rPr>
          <w:rFonts w:ascii="Tahoma" w:hAnsi="Tahoma" w:cs="Tahoma"/>
          <w:sz w:val="20"/>
          <w:szCs w:val="20"/>
        </w:rPr>
        <w:t>de</w:t>
      </w:r>
      <w:r w:rsidR="00DB1635" w:rsidRPr="00B004EE">
        <w:rPr>
          <w:rFonts w:ascii="Tahoma" w:hAnsi="Tahoma" w:cs="Tahoma"/>
          <w:sz w:val="20"/>
          <w:szCs w:val="20"/>
        </w:rPr>
        <w:t xml:space="preserve"> </w:t>
      </w:r>
      <w:r w:rsidR="008518B0" w:rsidRPr="00B004EE">
        <w:rPr>
          <w:rFonts w:ascii="Tahoma" w:hAnsi="Tahoma" w:cs="Tahoma"/>
          <w:sz w:val="20"/>
          <w:szCs w:val="20"/>
        </w:rPr>
        <w:t>l'Institut</w:t>
      </w:r>
      <w:r w:rsidR="00DB1635" w:rsidRPr="00B004EE">
        <w:rPr>
          <w:rFonts w:ascii="Tahoma" w:hAnsi="Tahoma" w:cs="Tahoma"/>
          <w:sz w:val="20"/>
          <w:szCs w:val="20"/>
        </w:rPr>
        <w:t xml:space="preserve"> </w:t>
      </w:r>
      <w:r w:rsidR="008518B0" w:rsidRPr="00B004EE">
        <w:rPr>
          <w:rFonts w:ascii="Tahoma" w:hAnsi="Tahoma" w:cs="Tahoma"/>
          <w:sz w:val="20"/>
          <w:szCs w:val="20"/>
        </w:rPr>
        <w:t>Mauritanien</w:t>
      </w:r>
      <w:r w:rsidR="00DB1635" w:rsidRPr="00B004EE">
        <w:rPr>
          <w:rFonts w:ascii="Tahoma" w:hAnsi="Tahoma" w:cs="Tahoma"/>
          <w:sz w:val="20"/>
          <w:szCs w:val="20"/>
        </w:rPr>
        <w:t xml:space="preserve"> </w:t>
      </w:r>
      <w:r w:rsidR="008518B0" w:rsidRPr="00B004EE">
        <w:rPr>
          <w:rFonts w:ascii="Tahoma" w:hAnsi="Tahoma" w:cs="Tahoma"/>
          <w:sz w:val="20"/>
          <w:szCs w:val="20"/>
        </w:rPr>
        <w:t>de</w:t>
      </w:r>
      <w:r w:rsidR="00DB1635" w:rsidRPr="00B004EE">
        <w:rPr>
          <w:rFonts w:ascii="Tahoma" w:hAnsi="Tahoma" w:cs="Tahoma"/>
          <w:spacing w:val="35"/>
          <w:sz w:val="20"/>
          <w:szCs w:val="20"/>
        </w:rPr>
        <w:t xml:space="preserve"> </w:t>
      </w:r>
      <w:r w:rsidR="008518B0" w:rsidRPr="00B004EE">
        <w:rPr>
          <w:rFonts w:ascii="Tahoma" w:hAnsi="Tahoma" w:cs="Tahoma"/>
          <w:sz w:val="20"/>
          <w:szCs w:val="20"/>
        </w:rPr>
        <w:t>Recherches</w:t>
      </w:r>
      <w:r w:rsidR="00DB1635" w:rsidRPr="00B004EE">
        <w:rPr>
          <w:rFonts w:ascii="Tahoma" w:hAnsi="Tahoma" w:cs="Tahoma"/>
          <w:w w:val="99"/>
          <w:sz w:val="20"/>
          <w:szCs w:val="20"/>
        </w:rPr>
        <w:t xml:space="preserve"> </w:t>
      </w:r>
      <w:r w:rsidR="008518B0" w:rsidRPr="00B004EE">
        <w:rPr>
          <w:rFonts w:ascii="Tahoma" w:hAnsi="Tahoma" w:cs="Tahoma"/>
          <w:spacing w:val="-3"/>
          <w:sz w:val="20"/>
          <w:szCs w:val="20"/>
        </w:rPr>
        <w:t>Océanographiques</w:t>
      </w:r>
      <w:r w:rsidR="00DB1635" w:rsidRPr="00B004EE">
        <w:rPr>
          <w:rFonts w:ascii="Tahoma" w:hAnsi="Tahoma" w:cs="Tahoma"/>
          <w:spacing w:val="-3"/>
          <w:sz w:val="20"/>
          <w:szCs w:val="20"/>
        </w:rPr>
        <w:t xml:space="preserve"> </w:t>
      </w:r>
      <w:r w:rsidR="008518B0" w:rsidRPr="00B004EE">
        <w:rPr>
          <w:rFonts w:ascii="Tahoma" w:hAnsi="Tahoma" w:cs="Tahoma"/>
          <w:sz w:val="20"/>
          <w:szCs w:val="20"/>
        </w:rPr>
        <w:t>et</w:t>
      </w:r>
      <w:r w:rsidR="00DB1635" w:rsidRPr="00B004EE">
        <w:rPr>
          <w:rFonts w:ascii="Tahoma" w:hAnsi="Tahoma" w:cs="Tahoma"/>
          <w:sz w:val="20"/>
          <w:szCs w:val="20"/>
        </w:rPr>
        <w:t xml:space="preserve"> </w:t>
      </w:r>
      <w:r w:rsidR="008518B0" w:rsidRPr="00B004EE">
        <w:rPr>
          <w:rFonts w:ascii="Tahoma" w:hAnsi="Tahoma" w:cs="Tahoma"/>
          <w:sz w:val="20"/>
          <w:szCs w:val="20"/>
        </w:rPr>
        <w:t>des</w:t>
      </w:r>
      <w:r w:rsidR="00DB1635" w:rsidRPr="00B004EE">
        <w:rPr>
          <w:rFonts w:ascii="Tahoma" w:hAnsi="Tahoma" w:cs="Tahoma"/>
          <w:sz w:val="20"/>
          <w:szCs w:val="20"/>
        </w:rPr>
        <w:t xml:space="preserve"> </w:t>
      </w:r>
      <w:r w:rsidR="008518B0" w:rsidRPr="00B004EE">
        <w:rPr>
          <w:rFonts w:ascii="Tahoma" w:hAnsi="Tahoma" w:cs="Tahoma"/>
          <w:spacing w:val="-3"/>
          <w:sz w:val="20"/>
          <w:szCs w:val="20"/>
        </w:rPr>
        <w:t>Pêches</w:t>
      </w:r>
      <w:r w:rsidR="00DB1635" w:rsidRPr="00B004EE">
        <w:rPr>
          <w:rFonts w:ascii="Tahoma" w:hAnsi="Tahoma" w:cs="Tahoma"/>
          <w:spacing w:val="-3"/>
          <w:sz w:val="20"/>
          <w:szCs w:val="20"/>
        </w:rPr>
        <w:t xml:space="preserve"> </w:t>
      </w:r>
      <w:r w:rsidR="008518B0" w:rsidRPr="00B004EE">
        <w:rPr>
          <w:rFonts w:ascii="Tahoma" w:hAnsi="Tahoma" w:cs="Tahoma"/>
          <w:b/>
          <w:sz w:val="20"/>
          <w:szCs w:val="20"/>
        </w:rPr>
        <w:t>(</w:t>
      </w:r>
      <w:r w:rsidR="008518B0" w:rsidRPr="00B004EE">
        <w:rPr>
          <w:rFonts w:ascii="Tahoma" w:hAnsi="Tahoma" w:cs="Tahoma"/>
          <w:bCs/>
          <w:sz w:val="20"/>
          <w:szCs w:val="20"/>
        </w:rPr>
        <w:t>IMROP</w:t>
      </w:r>
      <w:r w:rsidR="008518B0" w:rsidRPr="00B004EE">
        <w:rPr>
          <w:rFonts w:ascii="Tahoma" w:hAnsi="Tahoma" w:cs="Tahoma"/>
          <w:b/>
          <w:sz w:val="20"/>
          <w:szCs w:val="20"/>
        </w:rPr>
        <w:t>)</w:t>
      </w:r>
      <w:r w:rsidR="00DB1635" w:rsidRPr="00B004EE">
        <w:rPr>
          <w:rFonts w:ascii="Tahoma" w:hAnsi="Tahoma" w:cs="Tahoma"/>
          <w:b/>
          <w:sz w:val="20"/>
          <w:szCs w:val="20"/>
        </w:rPr>
        <w:t xml:space="preserve"> </w:t>
      </w:r>
      <w:r w:rsidR="008518B0" w:rsidRPr="00B004EE">
        <w:rPr>
          <w:rFonts w:ascii="Tahoma" w:hAnsi="Tahoma" w:cs="Tahoma"/>
          <w:spacing w:val="12"/>
          <w:sz w:val="20"/>
          <w:szCs w:val="20"/>
        </w:rPr>
        <w:t>est</w:t>
      </w:r>
      <w:r w:rsidR="00DB1635" w:rsidRPr="00B004EE">
        <w:rPr>
          <w:rFonts w:ascii="Tahoma" w:hAnsi="Tahoma" w:cs="Tahoma"/>
          <w:spacing w:val="12"/>
          <w:sz w:val="20"/>
          <w:szCs w:val="20"/>
        </w:rPr>
        <w:t xml:space="preserve"> </w:t>
      </w:r>
      <w:r w:rsidR="008518B0" w:rsidRPr="00B004EE">
        <w:rPr>
          <w:rFonts w:ascii="Tahoma" w:hAnsi="Tahoma" w:cs="Tahoma"/>
          <w:spacing w:val="15"/>
          <w:sz w:val="20"/>
          <w:szCs w:val="20"/>
        </w:rPr>
        <w:t>transféré</w:t>
      </w:r>
      <w:r w:rsidR="00DB1635" w:rsidRPr="00B004EE">
        <w:rPr>
          <w:rFonts w:ascii="Tahoma" w:hAnsi="Tahoma" w:cs="Tahoma"/>
          <w:spacing w:val="15"/>
          <w:sz w:val="20"/>
          <w:szCs w:val="20"/>
        </w:rPr>
        <w:t xml:space="preserve"> </w:t>
      </w:r>
      <w:r w:rsidR="008518B0" w:rsidRPr="00B004EE">
        <w:rPr>
          <w:rFonts w:ascii="Tahoma" w:hAnsi="Tahoma" w:cs="Tahoma"/>
          <w:sz w:val="20"/>
          <w:szCs w:val="20"/>
        </w:rPr>
        <w:t>à</w:t>
      </w:r>
      <w:r w:rsidR="00DB1635" w:rsidRPr="00B004EE">
        <w:rPr>
          <w:rFonts w:ascii="Tahoma" w:hAnsi="Tahoma" w:cs="Tahoma"/>
          <w:sz w:val="20"/>
          <w:szCs w:val="20"/>
        </w:rPr>
        <w:t xml:space="preserve"> </w:t>
      </w:r>
      <w:r w:rsidR="008518B0" w:rsidRPr="00B004EE">
        <w:rPr>
          <w:rFonts w:ascii="Tahoma" w:hAnsi="Tahoma" w:cs="Tahoma"/>
          <w:spacing w:val="15"/>
          <w:sz w:val="20"/>
          <w:szCs w:val="20"/>
        </w:rPr>
        <w:t>l'Office</w:t>
      </w:r>
      <w:r w:rsidR="00DB1635" w:rsidRPr="00B004EE">
        <w:rPr>
          <w:rFonts w:ascii="Tahoma" w:hAnsi="Tahoma" w:cs="Tahoma"/>
          <w:spacing w:val="15"/>
          <w:sz w:val="20"/>
          <w:szCs w:val="20"/>
        </w:rPr>
        <w:t xml:space="preserve"> </w:t>
      </w:r>
      <w:r w:rsidR="008518B0" w:rsidRPr="00B004EE">
        <w:rPr>
          <w:rFonts w:ascii="Tahoma" w:hAnsi="Tahoma" w:cs="Tahoma"/>
          <w:spacing w:val="15"/>
          <w:sz w:val="20"/>
          <w:szCs w:val="20"/>
        </w:rPr>
        <w:t>National</w:t>
      </w:r>
      <w:r w:rsidR="00DB1635" w:rsidRPr="00B004EE">
        <w:rPr>
          <w:rFonts w:ascii="Tahoma" w:hAnsi="Tahoma" w:cs="Tahoma"/>
          <w:spacing w:val="28"/>
          <w:sz w:val="20"/>
          <w:szCs w:val="20"/>
        </w:rPr>
        <w:t xml:space="preserve"> </w:t>
      </w:r>
      <w:r w:rsidR="008518B0" w:rsidRPr="00B004EE">
        <w:rPr>
          <w:rFonts w:ascii="Tahoma" w:hAnsi="Tahoma" w:cs="Tahoma"/>
          <w:sz w:val="20"/>
          <w:szCs w:val="20"/>
        </w:rPr>
        <w:t>d'Inspection</w:t>
      </w:r>
      <w:r w:rsidR="00DB1635" w:rsidRPr="00B004EE">
        <w:rPr>
          <w:rFonts w:ascii="Tahoma" w:hAnsi="Tahoma" w:cs="Tahoma"/>
          <w:w w:val="99"/>
          <w:sz w:val="20"/>
          <w:szCs w:val="20"/>
        </w:rPr>
        <w:t xml:space="preserve"> </w:t>
      </w:r>
      <w:r w:rsidR="008518B0" w:rsidRPr="00B004EE">
        <w:rPr>
          <w:rFonts w:ascii="Tahoma" w:hAnsi="Tahoma" w:cs="Tahoma"/>
          <w:sz w:val="20"/>
          <w:szCs w:val="20"/>
        </w:rPr>
        <w:t>Sanitaire</w:t>
      </w:r>
      <w:r w:rsidR="00DB1635" w:rsidRPr="00B004EE">
        <w:rPr>
          <w:rFonts w:ascii="Tahoma" w:hAnsi="Tahoma" w:cs="Tahoma"/>
          <w:sz w:val="20"/>
          <w:szCs w:val="20"/>
        </w:rPr>
        <w:t xml:space="preserve"> </w:t>
      </w:r>
      <w:r w:rsidR="008518B0" w:rsidRPr="00B004EE">
        <w:rPr>
          <w:rFonts w:ascii="Tahoma" w:hAnsi="Tahoma" w:cs="Tahoma"/>
          <w:sz w:val="20"/>
          <w:szCs w:val="20"/>
        </w:rPr>
        <w:t>des</w:t>
      </w:r>
      <w:r w:rsidR="00DB1635" w:rsidRPr="00B004EE">
        <w:rPr>
          <w:rFonts w:ascii="Tahoma" w:hAnsi="Tahoma" w:cs="Tahoma"/>
          <w:sz w:val="20"/>
          <w:szCs w:val="20"/>
        </w:rPr>
        <w:t xml:space="preserve"> </w:t>
      </w:r>
      <w:r w:rsidR="008518B0" w:rsidRPr="00B004EE">
        <w:rPr>
          <w:rFonts w:ascii="Tahoma" w:hAnsi="Tahoma" w:cs="Tahoma"/>
          <w:sz w:val="20"/>
          <w:szCs w:val="20"/>
        </w:rPr>
        <w:t>Produits</w:t>
      </w:r>
      <w:r w:rsidR="00DB1635" w:rsidRPr="00B004EE">
        <w:rPr>
          <w:rFonts w:ascii="Tahoma" w:hAnsi="Tahoma" w:cs="Tahoma"/>
          <w:sz w:val="20"/>
          <w:szCs w:val="20"/>
        </w:rPr>
        <w:t xml:space="preserve"> </w:t>
      </w:r>
      <w:r w:rsidR="008518B0" w:rsidRPr="00B004EE">
        <w:rPr>
          <w:rFonts w:ascii="Tahoma" w:hAnsi="Tahoma" w:cs="Tahoma"/>
          <w:sz w:val="20"/>
          <w:szCs w:val="20"/>
        </w:rPr>
        <w:t>de</w:t>
      </w:r>
      <w:r w:rsidR="00DB1635" w:rsidRPr="00B004EE">
        <w:rPr>
          <w:rFonts w:ascii="Tahoma" w:hAnsi="Tahoma" w:cs="Tahoma"/>
          <w:sz w:val="20"/>
          <w:szCs w:val="20"/>
        </w:rPr>
        <w:t xml:space="preserve"> </w:t>
      </w:r>
      <w:r w:rsidR="008518B0" w:rsidRPr="00B004EE">
        <w:rPr>
          <w:rFonts w:ascii="Tahoma" w:hAnsi="Tahoma" w:cs="Tahoma"/>
          <w:sz w:val="20"/>
          <w:szCs w:val="20"/>
        </w:rPr>
        <w:t>la</w:t>
      </w:r>
      <w:r w:rsidR="00DB1635" w:rsidRPr="00B004EE">
        <w:rPr>
          <w:rFonts w:ascii="Tahoma" w:hAnsi="Tahoma" w:cs="Tahoma"/>
          <w:sz w:val="20"/>
          <w:szCs w:val="20"/>
        </w:rPr>
        <w:t xml:space="preserve"> </w:t>
      </w:r>
      <w:r w:rsidR="008518B0" w:rsidRPr="00B004EE">
        <w:rPr>
          <w:rFonts w:ascii="Tahoma" w:hAnsi="Tahoma" w:cs="Tahoma"/>
          <w:sz w:val="20"/>
          <w:szCs w:val="20"/>
        </w:rPr>
        <w:t>Pêche</w:t>
      </w:r>
      <w:r w:rsidR="00DB1635" w:rsidRPr="00B004EE">
        <w:rPr>
          <w:rFonts w:ascii="Tahoma" w:hAnsi="Tahoma" w:cs="Tahoma"/>
          <w:sz w:val="20"/>
          <w:szCs w:val="20"/>
        </w:rPr>
        <w:t xml:space="preserve"> </w:t>
      </w:r>
      <w:r w:rsidR="008518B0" w:rsidRPr="00B004EE">
        <w:rPr>
          <w:rFonts w:ascii="Tahoma" w:hAnsi="Tahoma" w:cs="Tahoma"/>
          <w:sz w:val="20"/>
          <w:szCs w:val="20"/>
        </w:rPr>
        <w:t>et</w:t>
      </w:r>
      <w:r w:rsidR="00DB1635" w:rsidRPr="00B004EE">
        <w:rPr>
          <w:rFonts w:ascii="Tahoma" w:hAnsi="Tahoma" w:cs="Tahoma"/>
          <w:sz w:val="20"/>
          <w:szCs w:val="20"/>
        </w:rPr>
        <w:t xml:space="preserve"> </w:t>
      </w:r>
      <w:r w:rsidR="008518B0" w:rsidRPr="00B004EE">
        <w:rPr>
          <w:rFonts w:ascii="Tahoma" w:hAnsi="Tahoma" w:cs="Tahoma"/>
          <w:sz w:val="20"/>
          <w:szCs w:val="20"/>
        </w:rPr>
        <w:t>de</w:t>
      </w:r>
      <w:r w:rsidR="00DB1635" w:rsidRPr="00B004EE">
        <w:rPr>
          <w:rFonts w:ascii="Tahoma" w:hAnsi="Tahoma" w:cs="Tahoma"/>
          <w:spacing w:val="11"/>
          <w:sz w:val="20"/>
          <w:szCs w:val="20"/>
        </w:rPr>
        <w:t xml:space="preserve"> </w:t>
      </w:r>
      <w:r w:rsidR="008518B0" w:rsidRPr="00B004EE">
        <w:rPr>
          <w:rFonts w:ascii="Tahoma" w:hAnsi="Tahoma" w:cs="Tahoma"/>
          <w:sz w:val="20"/>
          <w:szCs w:val="20"/>
        </w:rPr>
        <w:t>l'Aquaculture.</w:t>
      </w:r>
    </w:p>
    <w:p w14:paraId="6543EF03" w14:textId="77777777" w:rsidR="008518B0" w:rsidRPr="00B004EE" w:rsidRDefault="008518B0" w:rsidP="00B004EE">
      <w:pPr>
        <w:rPr>
          <w:rFonts w:ascii="Tahoma" w:eastAsia="Times" w:hAnsi="Tahoma" w:cs="Tahoma"/>
          <w:sz w:val="20"/>
          <w:szCs w:val="20"/>
        </w:rPr>
      </w:pPr>
    </w:p>
    <w:p w14:paraId="7A3533DB" w14:textId="32AEB288" w:rsidR="008518B0" w:rsidRPr="00B004EE" w:rsidRDefault="008518B0" w:rsidP="00B004EE">
      <w:pPr>
        <w:jc w:val="center"/>
        <w:rPr>
          <w:rFonts w:ascii="Tahoma" w:hAnsi="Tahoma" w:cs="Tahoma"/>
          <w:b/>
          <w:bCs/>
          <w:sz w:val="20"/>
          <w:szCs w:val="20"/>
        </w:rPr>
      </w:pPr>
      <w:r w:rsidRPr="00B004EE">
        <w:rPr>
          <w:rFonts w:ascii="Tahoma" w:hAnsi="Tahoma" w:cs="Tahoma"/>
          <w:b/>
          <w:bCs/>
          <w:sz w:val="20"/>
          <w:szCs w:val="20"/>
        </w:rPr>
        <w:t>TITRE</w:t>
      </w:r>
      <w:r w:rsidR="00DB1635" w:rsidRPr="00B004EE">
        <w:rPr>
          <w:rFonts w:ascii="Tahoma" w:hAnsi="Tahoma" w:cs="Tahoma"/>
          <w:b/>
          <w:bCs/>
          <w:sz w:val="20"/>
          <w:szCs w:val="20"/>
        </w:rPr>
        <w:t xml:space="preserve"> </w:t>
      </w:r>
      <w:r w:rsidRPr="00B004EE">
        <w:rPr>
          <w:rFonts w:ascii="Tahoma" w:hAnsi="Tahoma" w:cs="Tahoma"/>
          <w:b/>
          <w:bCs/>
          <w:sz w:val="20"/>
          <w:szCs w:val="20"/>
        </w:rPr>
        <w:t>IV</w:t>
      </w:r>
      <w:r w:rsidR="00DB1635" w:rsidRPr="00B004EE">
        <w:rPr>
          <w:rFonts w:ascii="Tahoma" w:hAnsi="Tahoma" w:cs="Tahoma"/>
          <w:b/>
          <w:bCs/>
          <w:sz w:val="20"/>
          <w:szCs w:val="20"/>
        </w:rPr>
        <w:t xml:space="preserve"> </w:t>
      </w:r>
      <w:r w:rsidRPr="00B004EE">
        <w:rPr>
          <w:rFonts w:ascii="Tahoma" w:hAnsi="Tahoma" w:cs="Tahoma"/>
          <w:b/>
          <w:bCs/>
          <w:sz w:val="20"/>
          <w:szCs w:val="20"/>
        </w:rPr>
        <w:t>:</w:t>
      </w:r>
      <w:r w:rsidR="00DB1635" w:rsidRPr="00B004EE">
        <w:rPr>
          <w:rFonts w:ascii="Tahoma" w:hAnsi="Tahoma" w:cs="Tahoma"/>
          <w:b/>
          <w:bCs/>
          <w:sz w:val="20"/>
          <w:szCs w:val="20"/>
        </w:rPr>
        <w:t xml:space="preserve"> </w:t>
      </w:r>
      <w:r w:rsidRPr="00B004EE">
        <w:rPr>
          <w:rFonts w:ascii="Tahoma" w:hAnsi="Tahoma" w:cs="Tahoma"/>
          <w:b/>
          <w:bCs/>
          <w:sz w:val="20"/>
          <w:szCs w:val="20"/>
        </w:rPr>
        <w:t>DISPOSITIONS</w:t>
      </w:r>
      <w:r w:rsidR="00DB1635" w:rsidRPr="00B004EE">
        <w:rPr>
          <w:rFonts w:ascii="Tahoma" w:hAnsi="Tahoma" w:cs="Tahoma"/>
          <w:b/>
          <w:bCs/>
          <w:sz w:val="20"/>
          <w:szCs w:val="20"/>
        </w:rPr>
        <w:t xml:space="preserve"> </w:t>
      </w:r>
      <w:r w:rsidRPr="00B004EE">
        <w:rPr>
          <w:rFonts w:ascii="Tahoma" w:hAnsi="Tahoma" w:cs="Tahoma"/>
          <w:b/>
          <w:bCs/>
          <w:sz w:val="20"/>
          <w:szCs w:val="20"/>
        </w:rPr>
        <w:t>FINALES</w:t>
      </w:r>
    </w:p>
    <w:p w14:paraId="7303D7D5" w14:textId="77777777" w:rsidR="0024676E" w:rsidRPr="00B004EE" w:rsidRDefault="0024676E" w:rsidP="00B004EE">
      <w:pPr>
        <w:jc w:val="center"/>
        <w:rPr>
          <w:rFonts w:ascii="Tahoma" w:hAnsi="Tahoma" w:cs="Tahoma"/>
          <w:b/>
          <w:bCs/>
          <w:sz w:val="20"/>
          <w:szCs w:val="20"/>
        </w:rPr>
      </w:pPr>
    </w:p>
    <w:p w14:paraId="0FD95BA9" w14:textId="2FD365D7" w:rsidR="008518B0" w:rsidRPr="00B004EE" w:rsidRDefault="00C40988" w:rsidP="00B004EE">
      <w:pPr>
        <w:pStyle w:val="Corpsdetexte"/>
        <w:ind w:left="155" w:right="193"/>
        <w:rPr>
          <w:rFonts w:ascii="Tahoma" w:hAnsi="Tahoma" w:cs="Tahoma"/>
          <w:sz w:val="20"/>
          <w:szCs w:val="20"/>
        </w:rPr>
      </w:pPr>
      <w:r w:rsidRPr="00B004EE">
        <w:rPr>
          <w:rFonts w:ascii="Tahoma" w:hAnsi="Tahoma" w:cs="Tahoma"/>
          <w:bCs/>
          <w:iCs/>
          <w:sz w:val="20"/>
          <w:szCs w:val="20"/>
        </w:rPr>
        <w:t xml:space="preserve">Article </w:t>
      </w:r>
      <w:r w:rsidR="008518B0" w:rsidRPr="00B004EE">
        <w:rPr>
          <w:rFonts w:ascii="Tahoma" w:hAnsi="Tahoma" w:cs="Tahoma"/>
          <w:bCs/>
          <w:iCs/>
          <w:sz w:val="20"/>
          <w:szCs w:val="20"/>
        </w:rPr>
        <w:t>28</w:t>
      </w:r>
      <w:r w:rsidRPr="00B004EE">
        <w:rPr>
          <w:rFonts w:ascii="Tahoma" w:hAnsi="Tahoma" w:cs="Tahoma"/>
          <w:bCs/>
          <w:iCs/>
          <w:sz w:val="20"/>
          <w:szCs w:val="20"/>
        </w:rPr>
        <w:t> </w:t>
      </w:r>
      <w:r w:rsidRPr="00B004EE">
        <w:rPr>
          <w:rFonts w:ascii="Tahoma" w:hAnsi="Tahoma" w:cs="Tahoma"/>
          <w:iCs/>
          <w:sz w:val="20"/>
          <w:szCs w:val="20"/>
        </w:rPr>
        <w:t xml:space="preserve">: </w:t>
      </w:r>
      <w:r w:rsidR="008518B0" w:rsidRPr="00B004EE">
        <w:rPr>
          <w:rFonts w:ascii="Tahoma" w:hAnsi="Tahoma" w:cs="Tahoma"/>
          <w:sz w:val="20"/>
          <w:szCs w:val="20"/>
        </w:rPr>
        <w:t>Sont</w:t>
      </w:r>
      <w:r w:rsidR="00DB1635" w:rsidRPr="00B004EE">
        <w:rPr>
          <w:rFonts w:ascii="Tahoma" w:hAnsi="Tahoma" w:cs="Tahoma"/>
          <w:spacing w:val="17"/>
          <w:sz w:val="20"/>
          <w:szCs w:val="20"/>
        </w:rPr>
        <w:t xml:space="preserve"> </w:t>
      </w:r>
      <w:r w:rsidR="008518B0" w:rsidRPr="00B004EE">
        <w:rPr>
          <w:rFonts w:ascii="Tahoma" w:hAnsi="Tahoma" w:cs="Tahoma"/>
          <w:spacing w:val="2"/>
          <w:sz w:val="20"/>
          <w:szCs w:val="20"/>
        </w:rPr>
        <w:t>abrogées,</w:t>
      </w:r>
      <w:r w:rsidR="00DB1635" w:rsidRPr="00B004EE">
        <w:rPr>
          <w:rFonts w:ascii="Tahoma" w:hAnsi="Tahoma" w:cs="Tahoma"/>
          <w:spacing w:val="17"/>
          <w:sz w:val="20"/>
          <w:szCs w:val="20"/>
        </w:rPr>
        <w:t xml:space="preserve"> </w:t>
      </w:r>
      <w:r w:rsidR="008518B0" w:rsidRPr="00B004EE">
        <w:rPr>
          <w:rFonts w:ascii="Tahoma" w:hAnsi="Tahoma" w:cs="Tahoma"/>
          <w:spacing w:val="2"/>
          <w:sz w:val="20"/>
          <w:szCs w:val="20"/>
        </w:rPr>
        <w:t>toutes</w:t>
      </w:r>
      <w:r w:rsidR="00DB1635" w:rsidRPr="00B004EE">
        <w:rPr>
          <w:rFonts w:ascii="Tahoma" w:hAnsi="Tahoma" w:cs="Tahoma"/>
          <w:spacing w:val="15"/>
          <w:sz w:val="20"/>
          <w:szCs w:val="20"/>
        </w:rPr>
        <w:t xml:space="preserve"> </w:t>
      </w:r>
      <w:r w:rsidR="008518B0" w:rsidRPr="00B004EE">
        <w:rPr>
          <w:rFonts w:ascii="Tahoma" w:hAnsi="Tahoma" w:cs="Tahoma"/>
          <w:sz w:val="20"/>
          <w:szCs w:val="20"/>
        </w:rPr>
        <w:t>les</w:t>
      </w:r>
      <w:r w:rsidR="00DB1635" w:rsidRPr="00B004EE">
        <w:rPr>
          <w:rFonts w:ascii="Tahoma" w:hAnsi="Tahoma" w:cs="Tahoma"/>
          <w:spacing w:val="17"/>
          <w:sz w:val="20"/>
          <w:szCs w:val="20"/>
        </w:rPr>
        <w:t xml:space="preserve"> </w:t>
      </w:r>
      <w:r w:rsidR="008518B0" w:rsidRPr="00B004EE">
        <w:rPr>
          <w:rFonts w:ascii="Tahoma" w:hAnsi="Tahoma" w:cs="Tahoma"/>
          <w:spacing w:val="8"/>
          <w:sz w:val="20"/>
          <w:szCs w:val="20"/>
        </w:rPr>
        <w:t>dispositions</w:t>
      </w:r>
      <w:r w:rsidR="00DB1635" w:rsidRPr="00B004EE">
        <w:rPr>
          <w:rFonts w:ascii="Tahoma" w:hAnsi="Tahoma" w:cs="Tahoma"/>
          <w:spacing w:val="29"/>
          <w:sz w:val="20"/>
          <w:szCs w:val="20"/>
        </w:rPr>
        <w:t xml:space="preserve"> </w:t>
      </w:r>
      <w:r w:rsidR="008518B0" w:rsidRPr="00B004EE">
        <w:rPr>
          <w:rFonts w:ascii="Tahoma" w:hAnsi="Tahoma" w:cs="Tahoma"/>
          <w:spacing w:val="8"/>
          <w:sz w:val="20"/>
          <w:szCs w:val="20"/>
        </w:rPr>
        <w:t>antérieures</w:t>
      </w:r>
      <w:r w:rsidR="00DB1635" w:rsidRPr="00B004EE">
        <w:rPr>
          <w:rFonts w:ascii="Tahoma" w:hAnsi="Tahoma" w:cs="Tahoma"/>
          <w:spacing w:val="33"/>
          <w:sz w:val="20"/>
          <w:szCs w:val="20"/>
        </w:rPr>
        <w:t xml:space="preserve"> </w:t>
      </w:r>
      <w:r w:rsidR="008518B0" w:rsidRPr="00B004EE">
        <w:rPr>
          <w:rFonts w:ascii="Tahoma" w:hAnsi="Tahoma" w:cs="Tahoma"/>
          <w:spacing w:val="8"/>
          <w:sz w:val="20"/>
          <w:szCs w:val="20"/>
        </w:rPr>
        <w:t>relatives</w:t>
      </w:r>
      <w:r w:rsidR="00DB1635" w:rsidRPr="00B004EE">
        <w:rPr>
          <w:rFonts w:ascii="Tahoma" w:hAnsi="Tahoma" w:cs="Tahoma"/>
          <w:spacing w:val="33"/>
          <w:sz w:val="20"/>
          <w:szCs w:val="20"/>
        </w:rPr>
        <w:t xml:space="preserve"> </w:t>
      </w:r>
      <w:r w:rsidR="008518B0" w:rsidRPr="00B004EE">
        <w:rPr>
          <w:rFonts w:ascii="Tahoma" w:hAnsi="Tahoma" w:cs="Tahoma"/>
          <w:sz w:val="20"/>
          <w:szCs w:val="20"/>
        </w:rPr>
        <w:t>à</w:t>
      </w:r>
      <w:r w:rsidR="00DB1635" w:rsidRPr="00B004EE">
        <w:rPr>
          <w:rFonts w:ascii="Tahoma" w:hAnsi="Tahoma" w:cs="Tahoma"/>
          <w:spacing w:val="28"/>
          <w:sz w:val="20"/>
          <w:szCs w:val="20"/>
        </w:rPr>
        <w:t xml:space="preserve"> </w:t>
      </w:r>
      <w:r w:rsidR="008518B0" w:rsidRPr="00B004EE">
        <w:rPr>
          <w:rFonts w:ascii="Tahoma" w:hAnsi="Tahoma" w:cs="Tahoma"/>
          <w:sz w:val="20"/>
          <w:szCs w:val="20"/>
        </w:rPr>
        <w:t>l'inspection</w:t>
      </w:r>
      <w:r w:rsidR="00DB1635" w:rsidRPr="00B004EE">
        <w:rPr>
          <w:rFonts w:ascii="Tahoma" w:hAnsi="Tahoma" w:cs="Tahoma"/>
          <w:spacing w:val="12"/>
          <w:sz w:val="20"/>
          <w:szCs w:val="20"/>
        </w:rPr>
        <w:t xml:space="preserve"> </w:t>
      </w:r>
      <w:r w:rsidR="008518B0" w:rsidRPr="00B004EE">
        <w:rPr>
          <w:rFonts w:ascii="Tahoma" w:hAnsi="Tahoma" w:cs="Tahoma"/>
          <w:sz w:val="20"/>
          <w:szCs w:val="20"/>
        </w:rPr>
        <w:t>et</w:t>
      </w:r>
      <w:r w:rsidR="00DB1635" w:rsidRPr="00B004EE">
        <w:rPr>
          <w:rFonts w:ascii="Tahoma" w:hAnsi="Tahoma" w:cs="Tahoma"/>
          <w:spacing w:val="-58"/>
          <w:sz w:val="20"/>
          <w:szCs w:val="20"/>
        </w:rPr>
        <w:t xml:space="preserve"> </w:t>
      </w:r>
      <w:r w:rsidR="008518B0" w:rsidRPr="00B004EE">
        <w:rPr>
          <w:rFonts w:ascii="Tahoma" w:hAnsi="Tahoma" w:cs="Tahoma"/>
          <w:sz w:val="20"/>
          <w:szCs w:val="20"/>
        </w:rPr>
        <w:t>au</w:t>
      </w:r>
      <w:r w:rsidR="00DB1635" w:rsidRPr="00B004EE">
        <w:rPr>
          <w:rFonts w:ascii="Tahoma" w:hAnsi="Tahoma" w:cs="Tahoma"/>
          <w:sz w:val="20"/>
          <w:szCs w:val="20"/>
        </w:rPr>
        <w:t xml:space="preserve"> </w:t>
      </w:r>
      <w:r w:rsidR="008518B0" w:rsidRPr="00B004EE">
        <w:rPr>
          <w:rFonts w:ascii="Tahoma" w:hAnsi="Tahoma" w:cs="Tahoma"/>
          <w:sz w:val="20"/>
          <w:szCs w:val="20"/>
        </w:rPr>
        <w:t>contrôle</w:t>
      </w:r>
      <w:r w:rsidR="00DB1635" w:rsidRPr="00B004EE">
        <w:rPr>
          <w:rFonts w:ascii="Tahoma" w:hAnsi="Tahoma" w:cs="Tahoma"/>
          <w:sz w:val="20"/>
          <w:szCs w:val="20"/>
        </w:rPr>
        <w:t xml:space="preserve"> </w:t>
      </w:r>
      <w:r w:rsidR="008518B0" w:rsidRPr="00B004EE">
        <w:rPr>
          <w:rFonts w:ascii="Tahoma" w:hAnsi="Tahoma" w:cs="Tahoma"/>
          <w:sz w:val="20"/>
          <w:szCs w:val="20"/>
        </w:rPr>
        <w:t>sanitaire</w:t>
      </w:r>
      <w:r w:rsidR="00DB1635" w:rsidRPr="00B004EE">
        <w:rPr>
          <w:rFonts w:ascii="Tahoma" w:hAnsi="Tahoma" w:cs="Tahoma"/>
          <w:sz w:val="20"/>
          <w:szCs w:val="20"/>
        </w:rPr>
        <w:t xml:space="preserve"> </w:t>
      </w:r>
      <w:r w:rsidR="008518B0" w:rsidRPr="00B004EE">
        <w:rPr>
          <w:rFonts w:ascii="Tahoma" w:hAnsi="Tahoma" w:cs="Tahoma"/>
          <w:sz w:val="20"/>
          <w:szCs w:val="20"/>
        </w:rPr>
        <w:t>et</w:t>
      </w:r>
      <w:r w:rsidR="00DB1635" w:rsidRPr="00B004EE">
        <w:rPr>
          <w:rFonts w:ascii="Tahoma" w:hAnsi="Tahoma" w:cs="Tahoma"/>
          <w:sz w:val="20"/>
          <w:szCs w:val="20"/>
        </w:rPr>
        <w:t xml:space="preserve"> </w:t>
      </w:r>
      <w:r w:rsidR="008518B0" w:rsidRPr="00B004EE">
        <w:rPr>
          <w:rFonts w:ascii="Tahoma" w:hAnsi="Tahoma" w:cs="Tahoma"/>
          <w:spacing w:val="6"/>
          <w:sz w:val="20"/>
          <w:szCs w:val="20"/>
        </w:rPr>
        <w:t>notamment</w:t>
      </w:r>
      <w:r w:rsidR="00DB1635" w:rsidRPr="00B004EE">
        <w:rPr>
          <w:rFonts w:ascii="Tahoma" w:hAnsi="Tahoma" w:cs="Tahoma"/>
          <w:spacing w:val="6"/>
          <w:sz w:val="20"/>
          <w:szCs w:val="20"/>
        </w:rPr>
        <w:t xml:space="preserve"> </w:t>
      </w:r>
      <w:r w:rsidR="008518B0" w:rsidRPr="00B004EE">
        <w:rPr>
          <w:rFonts w:ascii="Tahoma" w:hAnsi="Tahoma" w:cs="Tahoma"/>
          <w:spacing w:val="5"/>
          <w:sz w:val="20"/>
          <w:szCs w:val="20"/>
        </w:rPr>
        <w:t>celles</w:t>
      </w:r>
      <w:r w:rsidR="00DB1635" w:rsidRPr="00B004EE">
        <w:rPr>
          <w:rFonts w:ascii="Tahoma" w:hAnsi="Tahoma" w:cs="Tahoma"/>
          <w:spacing w:val="5"/>
          <w:sz w:val="20"/>
          <w:szCs w:val="20"/>
        </w:rPr>
        <w:t xml:space="preserve"> </w:t>
      </w:r>
      <w:r w:rsidR="008518B0" w:rsidRPr="00B004EE">
        <w:rPr>
          <w:rFonts w:ascii="Tahoma" w:hAnsi="Tahoma" w:cs="Tahoma"/>
          <w:spacing w:val="5"/>
          <w:sz w:val="20"/>
          <w:szCs w:val="20"/>
        </w:rPr>
        <w:t>contraires</w:t>
      </w:r>
      <w:r w:rsidR="00DB1635" w:rsidRPr="00B004EE">
        <w:rPr>
          <w:rFonts w:ascii="Tahoma" w:hAnsi="Tahoma" w:cs="Tahoma"/>
          <w:spacing w:val="5"/>
          <w:sz w:val="20"/>
          <w:szCs w:val="20"/>
        </w:rPr>
        <w:t xml:space="preserve"> </w:t>
      </w:r>
      <w:r w:rsidR="008518B0" w:rsidRPr="00B004EE">
        <w:rPr>
          <w:rFonts w:ascii="Tahoma" w:hAnsi="Tahoma" w:cs="Tahoma"/>
          <w:spacing w:val="3"/>
          <w:sz w:val="20"/>
          <w:szCs w:val="20"/>
        </w:rPr>
        <w:t>du</w:t>
      </w:r>
      <w:r w:rsidR="00DB1635" w:rsidRPr="00B004EE">
        <w:rPr>
          <w:rFonts w:ascii="Tahoma" w:hAnsi="Tahoma" w:cs="Tahoma"/>
          <w:spacing w:val="3"/>
          <w:sz w:val="20"/>
          <w:szCs w:val="20"/>
        </w:rPr>
        <w:t xml:space="preserve"> </w:t>
      </w:r>
      <w:r w:rsidR="008518B0" w:rsidRPr="00B004EE">
        <w:rPr>
          <w:rFonts w:ascii="Tahoma" w:hAnsi="Tahoma" w:cs="Tahoma"/>
          <w:spacing w:val="5"/>
          <w:sz w:val="20"/>
          <w:szCs w:val="20"/>
        </w:rPr>
        <w:t>décret</w:t>
      </w:r>
      <w:r w:rsidR="00DB1635" w:rsidRPr="00B004EE">
        <w:rPr>
          <w:rFonts w:ascii="Tahoma" w:hAnsi="Tahoma" w:cs="Tahoma"/>
          <w:spacing w:val="5"/>
          <w:sz w:val="20"/>
          <w:szCs w:val="20"/>
        </w:rPr>
        <w:t xml:space="preserve"> </w:t>
      </w:r>
      <w:r w:rsidR="008518B0" w:rsidRPr="00B004EE">
        <w:rPr>
          <w:rFonts w:ascii="Tahoma" w:hAnsi="Tahoma" w:cs="Tahoma"/>
          <w:spacing w:val="12"/>
          <w:sz w:val="20"/>
          <w:szCs w:val="20"/>
        </w:rPr>
        <w:t>8</w:t>
      </w:r>
      <w:r w:rsidRPr="00B004EE">
        <w:rPr>
          <w:rFonts w:ascii="Tahoma" w:hAnsi="Tahoma" w:cs="Tahoma"/>
          <w:spacing w:val="12"/>
          <w:sz w:val="20"/>
          <w:szCs w:val="20"/>
        </w:rPr>
        <w:t>1-0</w:t>
      </w:r>
      <w:r w:rsidR="008518B0" w:rsidRPr="00B004EE">
        <w:rPr>
          <w:rFonts w:ascii="Tahoma" w:hAnsi="Tahoma" w:cs="Tahoma"/>
          <w:spacing w:val="10"/>
          <w:sz w:val="20"/>
          <w:szCs w:val="20"/>
        </w:rPr>
        <w:t>62</w:t>
      </w:r>
      <w:r w:rsidR="00DB1635" w:rsidRPr="00B004EE">
        <w:rPr>
          <w:rFonts w:ascii="Tahoma" w:hAnsi="Tahoma" w:cs="Tahoma"/>
          <w:spacing w:val="10"/>
          <w:sz w:val="20"/>
          <w:szCs w:val="20"/>
        </w:rPr>
        <w:t xml:space="preserve"> </w:t>
      </w:r>
      <w:r w:rsidR="008518B0" w:rsidRPr="00B004EE">
        <w:rPr>
          <w:rFonts w:ascii="Tahoma" w:hAnsi="Tahoma" w:cs="Tahoma"/>
          <w:spacing w:val="12"/>
          <w:sz w:val="20"/>
          <w:szCs w:val="20"/>
        </w:rPr>
        <w:t>du</w:t>
      </w:r>
      <w:r w:rsidR="00DB1635" w:rsidRPr="00B004EE">
        <w:rPr>
          <w:rFonts w:ascii="Tahoma" w:hAnsi="Tahoma" w:cs="Tahoma"/>
          <w:spacing w:val="12"/>
          <w:sz w:val="20"/>
          <w:szCs w:val="20"/>
        </w:rPr>
        <w:t xml:space="preserve"> </w:t>
      </w:r>
      <w:r w:rsidR="008518B0" w:rsidRPr="00B004EE">
        <w:rPr>
          <w:rFonts w:ascii="Tahoma" w:hAnsi="Tahoma" w:cs="Tahoma"/>
          <w:sz w:val="20"/>
          <w:szCs w:val="20"/>
        </w:rPr>
        <w:t>2</w:t>
      </w:r>
      <w:r w:rsidR="00DB1635" w:rsidRPr="00B004EE">
        <w:rPr>
          <w:rFonts w:ascii="Tahoma" w:hAnsi="Tahoma" w:cs="Tahoma"/>
          <w:sz w:val="20"/>
          <w:szCs w:val="20"/>
        </w:rPr>
        <w:t xml:space="preserve"> </w:t>
      </w:r>
      <w:r w:rsidR="008518B0" w:rsidRPr="00B004EE">
        <w:rPr>
          <w:rFonts w:ascii="Tahoma" w:hAnsi="Tahoma" w:cs="Tahoma"/>
          <w:spacing w:val="17"/>
          <w:sz w:val="20"/>
          <w:szCs w:val="20"/>
        </w:rPr>
        <w:t>avril</w:t>
      </w:r>
      <w:r w:rsidR="00DB1635" w:rsidRPr="00B004EE">
        <w:rPr>
          <w:rFonts w:ascii="Tahoma" w:hAnsi="Tahoma" w:cs="Tahoma"/>
          <w:spacing w:val="22"/>
          <w:sz w:val="20"/>
          <w:szCs w:val="20"/>
        </w:rPr>
        <w:t xml:space="preserve"> </w:t>
      </w:r>
      <w:r w:rsidR="008518B0" w:rsidRPr="00B004EE">
        <w:rPr>
          <w:rFonts w:ascii="Tahoma" w:hAnsi="Tahoma" w:cs="Tahoma"/>
          <w:spacing w:val="16"/>
          <w:sz w:val="20"/>
          <w:szCs w:val="20"/>
        </w:rPr>
        <w:t>1981</w:t>
      </w:r>
      <w:r w:rsidR="00DB1635" w:rsidRPr="00B004EE">
        <w:rPr>
          <w:rFonts w:ascii="Tahoma" w:hAnsi="Tahoma" w:cs="Tahoma"/>
          <w:b/>
          <w:bCs/>
          <w:w w:val="99"/>
          <w:sz w:val="20"/>
          <w:szCs w:val="20"/>
        </w:rPr>
        <w:t xml:space="preserve"> </w:t>
      </w:r>
      <w:r w:rsidR="008518B0" w:rsidRPr="00B004EE">
        <w:rPr>
          <w:rFonts w:ascii="Tahoma" w:hAnsi="Tahoma" w:cs="Tahoma"/>
          <w:spacing w:val="19"/>
          <w:sz w:val="20"/>
          <w:szCs w:val="20"/>
        </w:rPr>
        <w:t>portant</w:t>
      </w:r>
      <w:r w:rsidR="00DB1635" w:rsidRPr="00B004EE">
        <w:rPr>
          <w:rFonts w:ascii="Tahoma" w:hAnsi="Tahoma" w:cs="Tahoma"/>
          <w:spacing w:val="60"/>
          <w:sz w:val="20"/>
          <w:szCs w:val="20"/>
        </w:rPr>
        <w:t xml:space="preserve"> </w:t>
      </w:r>
      <w:r w:rsidR="008518B0" w:rsidRPr="00B004EE">
        <w:rPr>
          <w:rFonts w:ascii="Tahoma" w:hAnsi="Tahoma" w:cs="Tahoma"/>
          <w:sz w:val="20"/>
          <w:szCs w:val="20"/>
        </w:rPr>
        <w:t>réglementation</w:t>
      </w:r>
      <w:r w:rsidR="00DB1635" w:rsidRPr="00B004EE">
        <w:rPr>
          <w:rFonts w:ascii="Tahoma" w:hAnsi="Tahoma" w:cs="Tahoma"/>
          <w:spacing w:val="11"/>
          <w:sz w:val="20"/>
          <w:szCs w:val="20"/>
        </w:rPr>
        <w:t xml:space="preserve"> </w:t>
      </w:r>
      <w:r w:rsidR="008518B0" w:rsidRPr="00B004EE">
        <w:rPr>
          <w:rFonts w:ascii="Tahoma" w:hAnsi="Tahoma" w:cs="Tahoma"/>
          <w:sz w:val="20"/>
          <w:szCs w:val="20"/>
        </w:rPr>
        <w:t>de</w:t>
      </w:r>
      <w:r w:rsidR="00DB1635" w:rsidRPr="00B004EE">
        <w:rPr>
          <w:rFonts w:ascii="Tahoma" w:hAnsi="Tahoma" w:cs="Tahoma"/>
          <w:spacing w:val="12"/>
          <w:sz w:val="20"/>
          <w:szCs w:val="20"/>
        </w:rPr>
        <w:t xml:space="preserve"> </w:t>
      </w:r>
      <w:r w:rsidR="008518B0" w:rsidRPr="00B004EE">
        <w:rPr>
          <w:rFonts w:ascii="Tahoma" w:hAnsi="Tahoma" w:cs="Tahoma"/>
          <w:sz w:val="20"/>
          <w:szCs w:val="20"/>
        </w:rPr>
        <w:t>l'inspection</w:t>
      </w:r>
      <w:r w:rsidR="00DB1635" w:rsidRPr="00B004EE">
        <w:rPr>
          <w:rFonts w:ascii="Tahoma" w:hAnsi="Tahoma" w:cs="Tahoma"/>
          <w:spacing w:val="13"/>
          <w:sz w:val="20"/>
          <w:szCs w:val="20"/>
        </w:rPr>
        <w:t xml:space="preserve"> </w:t>
      </w:r>
      <w:r w:rsidR="008518B0" w:rsidRPr="00B004EE">
        <w:rPr>
          <w:rFonts w:ascii="Tahoma" w:hAnsi="Tahoma" w:cs="Tahoma"/>
          <w:sz w:val="20"/>
          <w:szCs w:val="20"/>
        </w:rPr>
        <w:t>sanitaire</w:t>
      </w:r>
      <w:r w:rsidR="00DB1635" w:rsidRPr="00B004EE">
        <w:rPr>
          <w:rFonts w:ascii="Tahoma" w:hAnsi="Tahoma" w:cs="Tahoma"/>
          <w:spacing w:val="10"/>
          <w:sz w:val="20"/>
          <w:szCs w:val="20"/>
        </w:rPr>
        <w:t xml:space="preserve"> </w:t>
      </w:r>
      <w:r w:rsidR="008518B0" w:rsidRPr="00B004EE">
        <w:rPr>
          <w:rFonts w:ascii="Tahoma" w:hAnsi="Tahoma" w:cs="Tahoma"/>
          <w:sz w:val="20"/>
          <w:szCs w:val="20"/>
        </w:rPr>
        <w:t>et</w:t>
      </w:r>
      <w:r w:rsidR="00DB1635" w:rsidRPr="00B004EE">
        <w:rPr>
          <w:rFonts w:ascii="Tahoma" w:hAnsi="Tahoma" w:cs="Tahoma"/>
          <w:spacing w:val="14"/>
          <w:sz w:val="20"/>
          <w:szCs w:val="20"/>
        </w:rPr>
        <w:t xml:space="preserve"> </w:t>
      </w:r>
      <w:r w:rsidR="008518B0" w:rsidRPr="00B004EE">
        <w:rPr>
          <w:rFonts w:ascii="Tahoma" w:hAnsi="Tahoma" w:cs="Tahoma"/>
          <w:sz w:val="20"/>
          <w:szCs w:val="20"/>
        </w:rPr>
        <w:t>du</w:t>
      </w:r>
      <w:r w:rsidR="00DB1635" w:rsidRPr="00B004EE">
        <w:rPr>
          <w:rFonts w:ascii="Tahoma" w:hAnsi="Tahoma" w:cs="Tahoma"/>
          <w:spacing w:val="11"/>
          <w:sz w:val="20"/>
          <w:szCs w:val="20"/>
        </w:rPr>
        <w:t xml:space="preserve"> </w:t>
      </w:r>
      <w:r w:rsidR="008518B0" w:rsidRPr="00B004EE">
        <w:rPr>
          <w:rFonts w:ascii="Tahoma" w:hAnsi="Tahoma" w:cs="Tahoma"/>
          <w:sz w:val="20"/>
          <w:szCs w:val="20"/>
        </w:rPr>
        <w:t>contrôle</w:t>
      </w:r>
      <w:r w:rsidR="00DB1635" w:rsidRPr="00B004EE">
        <w:rPr>
          <w:rFonts w:ascii="Tahoma" w:hAnsi="Tahoma" w:cs="Tahoma"/>
          <w:spacing w:val="10"/>
          <w:sz w:val="20"/>
          <w:szCs w:val="20"/>
        </w:rPr>
        <w:t xml:space="preserve"> </w:t>
      </w:r>
      <w:r w:rsidR="008518B0" w:rsidRPr="00B004EE">
        <w:rPr>
          <w:rFonts w:ascii="Tahoma" w:hAnsi="Tahoma" w:cs="Tahoma"/>
          <w:sz w:val="20"/>
          <w:szCs w:val="20"/>
        </w:rPr>
        <w:t>de</w:t>
      </w:r>
      <w:r w:rsidR="00DB1635" w:rsidRPr="00B004EE">
        <w:rPr>
          <w:rFonts w:ascii="Tahoma" w:hAnsi="Tahoma" w:cs="Tahoma"/>
          <w:spacing w:val="10"/>
          <w:sz w:val="20"/>
          <w:szCs w:val="20"/>
        </w:rPr>
        <w:t xml:space="preserve"> </w:t>
      </w:r>
      <w:r w:rsidR="008518B0" w:rsidRPr="00B004EE">
        <w:rPr>
          <w:rFonts w:ascii="Tahoma" w:hAnsi="Tahoma" w:cs="Tahoma"/>
          <w:sz w:val="20"/>
          <w:szCs w:val="20"/>
        </w:rPr>
        <w:t>salubrité</w:t>
      </w:r>
      <w:r w:rsidR="00DB1635" w:rsidRPr="00B004EE">
        <w:rPr>
          <w:rFonts w:ascii="Tahoma" w:hAnsi="Tahoma" w:cs="Tahoma"/>
          <w:spacing w:val="10"/>
          <w:sz w:val="20"/>
          <w:szCs w:val="20"/>
        </w:rPr>
        <w:t xml:space="preserve"> </w:t>
      </w:r>
      <w:r w:rsidR="008518B0" w:rsidRPr="00B004EE">
        <w:rPr>
          <w:rFonts w:ascii="Tahoma" w:hAnsi="Tahoma" w:cs="Tahoma"/>
          <w:sz w:val="20"/>
          <w:szCs w:val="20"/>
        </w:rPr>
        <w:t>des</w:t>
      </w:r>
      <w:r w:rsidR="00DB1635" w:rsidRPr="00B004EE">
        <w:rPr>
          <w:rFonts w:ascii="Tahoma" w:hAnsi="Tahoma" w:cs="Tahoma"/>
          <w:spacing w:val="9"/>
          <w:sz w:val="20"/>
          <w:szCs w:val="20"/>
        </w:rPr>
        <w:t xml:space="preserve"> </w:t>
      </w:r>
      <w:r w:rsidR="008518B0" w:rsidRPr="00B004EE">
        <w:rPr>
          <w:rFonts w:ascii="Tahoma" w:hAnsi="Tahoma" w:cs="Tahoma"/>
          <w:sz w:val="20"/>
          <w:szCs w:val="20"/>
        </w:rPr>
        <w:t>produits</w:t>
      </w:r>
      <w:r w:rsidR="00DB1635" w:rsidRPr="00B004EE">
        <w:rPr>
          <w:rFonts w:ascii="Tahoma" w:hAnsi="Tahoma" w:cs="Tahoma"/>
          <w:spacing w:val="11"/>
          <w:sz w:val="20"/>
          <w:szCs w:val="20"/>
        </w:rPr>
        <w:t xml:space="preserve"> </w:t>
      </w:r>
      <w:r w:rsidR="008518B0" w:rsidRPr="00B004EE">
        <w:rPr>
          <w:rFonts w:ascii="Tahoma" w:hAnsi="Tahoma" w:cs="Tahoma"/>
          <w:sz w:val="20"/>
          <w:szCs w:val="20"/>
        </w:rPr>
        <w:t>de</w:t>
      </w:r>
      <w:r w:rsidR="00DB1635" w:rsidRPr="00B004EE">
        <w:rPr>
          <w:rFonts w:ascii="Tahoma" w:hAnsi="Tahoma" w:cs="Tahoma"/>
          <w:spacing w:val="7"/>
          <w:sz w:val="20"/>
          <w:szCs w:val="20"/>
        </w:rPr>
        <w:t xml:space="preserve"> </w:t>
      </w:r>
      <w:r w:rsidR="008518B0" w:rsidRPr="00B004EE">
        <w:rPr>
          <w:rFonts w:ascii="Tahoma" w:hAnsi="Tahoma" w:cs="Tahoma"/>
          <w:sz w:val="20"/>
          <w:szCs w:val="20"/>
        </w:rPr>
        <w:t>la</w:t>
      </w:r>
      <w:r w:rsidR="00DB1635" w:rsidRPr="00B004EE">
        <w:rPr>
          <w:rFonts w:ascii="Tahoma" w:hAnsi="Tahoma" w:cs="Tahoma"/>
          <w:spacing w:val="-57"/>
          <w:sz w:val="20"/>
          <w:szCs w:val="20"/>
        </w:rPr>
        <w:t xml:space="preserve"> </w:t>
      </w:r>
      <w:r w:rsidR="008518B0" w:rsidRPr="00B004EE">
        <w:rPr>
          <w:rFonts w:ascii="Tahoma" w:hAnsi="Tahoma" w:cs="Tahoma"/>
          <w:sz w:val="20"/>
          <w:szCs w:val="20"/>
        </w:rPr>
        <w:t>pêche</w:t>
      </w:r>
      <w:r w:rsidR="00DB1635" w:rsidRPr="00B004EE">
        <w:rPr>
          <w:rFonts w:ascii="Tahoma" w:hAnsi="Tahoma" w:cs="Tahoma"/>
          <w:sz w:val="20"/>
          <w:szCs w:val="20"/>
        </w:rPr>
        <w:t xml:space="preserve"> </w:t>
      </w:r>
      <w:r w:rsidR="008518B0" w:rsidRPr="00B004EE">
        <w:rPr>
          <w:rFonts w:ascii="Tahoma" w:hAnsi="Tahoma" w:cs="Tahoma"/>
          <w:sz w:val="20"/>
          <w:szCs w:val="20"/>
        </w:rPr>
        <w:t>destinés</w:t>
      </w:r>
      <w:r w:rsidR="00DB1635" w:rsidRPr="00B004EE">
        <w:rPr>
          <w:rFonts w:ascii="Tahoma" w:hAnsi="Tahoma" w:cs="Tahoma"/>
          <w:sz w:val="20"/>
          <w:szCs w:val="20"/>
        </w:rPr>
        <w:t xml:space="preserve"> </w:t>
      </w:r>
      <w:r w:rsidR="008518B0" w:rsidRPr="00B004EE">
        <w:rPr>
          <w:rFonts w:ascii="Tahoma" w:hAnsi="Tahoma" w:cs="Tahoma"/>
          <w:sz w:val="20"/>
          <w:szCs w:val="20"/>
        </w:rPr>
        <w:t>à</w:t>
      </w:r>
      <w:r w:rsidR="00DB1635" w:rsidRPr="00B004EE">
        <w:rPr>
          <w:rFonts w:ascii="Tahoma" w:hAnsi="Tahoma" w:cs="Tahoma"/>
          <w:sz w:val="20"/>
          <w:szCs w:val="20"/>
        </w:rPr>
        <w:t xml:space="preserve"> </w:t>
      </w:r>
      <w:r w:rsidR="008518B0" w:rsidRPr="00B004EE">
        <w:rPr>
          <w:rFonts w:ascii="Tahoma" w:hAnsi="Tahoma" w:cs="Tahoma"/>
          <w:sz w:val="20"/>
          <w:szCs w:val="20"/>
        </w:rPr>
        <w:t>l'alimentation</w:t>
      </w:r>
      <w:r w:rsidR="00DB1635" w:rsidRPr="00B004EE">
        <w:rPr>
          <w:rFonts w:ascii="Tahoma" w:hAnsi="Tahoma" w:cs="Tahoma"/>
          <w:sz w:val="20"/>
          <w:szCs w:val="20"/>
        </w:rPr>
        <w:t xml:space="preserve"> </w:t>
      </w:r>
      <w:r w:rsidR="008518B0" w:rsidRPr="00B004EE">
        <w:rPr>
          <w:rFonts w:ascii="Tahoma" w:hAnsi="Tahoma" w:cs="Tahoma"/>
          <w:sz w:val="20"/>
          <w:szCs w:val="20"/>
        </w:rPr>
        <w:t>humaine,</w:t>
      </w:r>
      <w:r w:rsidR="00DB1635" w:rsidRPr="00B004EE">
        <w:rPr>
          <w:rFonts w:ascii="Tahoma" w:hAnsi="Tahoma" w:cs="Tahoma"/>
          <w:sz w:val="20"/>
          <w:szCs w:val="20"/>
        </w:rPr>
        <w:t xml:space="preserve"> </w:t>
      </w:r>
      <w:r w:rsidR="008518B0" w:rsidRPr="00B004EE">
        <w:rPr>
          <w:rFonts w:ascii="Tahoma" w:hAnsi="Tahoma" w:cs="Tahoma"/>
          <w:sz w:val="20"/>
          <w:szCs w:val="20"/>
        </w:rPr>
        <w:t>du</w:t>
      </w:r>
      <w:r w:rsidR="00DB1635" w:rsidRPr="00B004EE">
        <w:rPr>
          <w:rFonts w:ascii="Tahoma" w:hAnsi="Tahoma" w:cs="Tahoma"/>
          <w:sz w:val="20"/>
          <w:szCs w:val="20"/>
        </w:rPr>
        <w:t xml:space="preserve"> </w:t>
      </w:r>
      <w:r w:rsidR="008518B0" w:rsidRPr="00B004EE">
        <w:rPr>
          <w:rFonts w:ascii="Tahoma" w:hAnsi="Tahoma" w:cs="Tahoma"/>
          <w:spacing w:val="2"/>
          <w:sz w:val="20"/>
          <w:szCs w:val="20"/>
        </w:rPr>
        <w:t>décret</w:t>
      </w:r>
      <w:r w:rsidR="00DB1635" w:rsidRPr="00B004EE">
        <w:rPr>
          <w:rFonts w:ascii="Tahoma" w:hAnsi="Tahoma" w:cs="Tahoma"/>
          <w:spacing w:val="2"/>
          <w:sz w:val="20"/>
          <w:szCs w:val="20"/>
        </w:rPr>
        <w:t xml:space="preserve"> </w:t>
      </w:r>
      <w:r w:rsidR="008518B0" w:rsidRPr="00B004EE">
        <w:rPr>
          <w:rFonts w:ascii="Tahoma" w:hAnsi="Tahoma" w:cs="Tahoma"/>
          <w:spacing w:val="3"/>
          <w:sz w:val="20"/>
          <w:szCs w:val="20"/>
        </w:rPr>
        <w:t>94-030</w:t>
      </w:r>
      <w:r w:rsidR="00DB1635" w:rsidRPr="00B004EE">
        <w:rPr>
          <w:rFonts w:ascii="Tahoma" w:hAnsi="Tahoma" w:cs="Tahoma"/>
          <w:spacing w:val="3"/>
          <w:sz w:val="20"/>
          <w:szCs w:val="20"/>
        </w:rPr>
        <w:t xml:space="preserve"> </w:t>
      </w:r>
      <w:r w:rsidR="008518B0" w:rsidRPr="00B004EE">
        <w:rPr>
          <w:rFonts w:ascii="Tahoma" w:hAnsi="Tahoma" w:cs="Tahoma"/>
          <w:sz w:val="20"/>
          <w:szCs w:val="20"/>
        </w:rPr>
        <w:t>du</w:t>
      </w:r>
      <w:r w:rsidR="00DB1635" w:rsidRPr="00B004EE">
        <w:rPr>
          <w:rFonts w:ascii="Tahoma" w:hAnsi="Tahoma" w:cs="Tahoma"/>
          <w:sz w:val="20"/>
          <w:szCs w:val="20"/>
        </w:rPr>
        <w:t xml:space="preserve"> </w:t>
      </w:r>
      <w:r w:rsidR="008518B0" w:rsidRPr="00B004EE">
        <w:rPr>
          <w:rFonts w:ascii="Tahoma" w:hAnsi="Tahoma" w:cs="Tahoma"/>
          <w:sz w:val="20"/>
          <w:szCs w:val="20"/>
        </w:rPr>
        <w:t>8</w:t>
      </w:r>
      <w:r w:rsidR="00DB1635" w:rsidRPr="00B004EE">
        <w:rPr>
          <w:rFonts w:ascii="Tahoma" w:hAnsi="Tahoma" w:cs="Tahoma"/>
          <w:sz w:val="20"/>
          <w:szCs w:val="20"/>
        </w:rPr>
        <w:t xml:space="preserve"> </w:t>
      </w:r>
      <w:r w:rsidR="008518B0" w:rsidRPr="00B004EE">
        <w:rPr>
          <w:rFonts w:ascii="Tahoma" w:hAnsi="Tahoma" w:cs="Tahoma"/>
          <w:spacing w:val="3"/>
          <w:sz w:val="20"/>
          <w:szCs w:val="20"/>
        </w:rPr>
        <w:t>mars</w:t>
      </w:r>
      <w:r w:rsidR="00DB1635" w:rsidRPr="00B004EE">
        <w:rPr>
          <w:rFonts w:ascii="Tahoma" w:hAnsi="Tahoma" w:cs="Tahoma"/>
          <w:spacing w:val="3"/>
          <w:sz w:val="20"/>
          <w:szCs w:val="20"/>
        </w:rPr>
        <w:t xml:space="preserve"> </w:t>
      </w:r>
      <w:r w:rsidR="008518B0" w:rsidRPr="00B004EE">
        <w:rPr>
          <w:rFonts w:ascii="Tahoma" w:hAnsi="Tahoma" w:cs="Tahoma"/>
          <w:sz w:val="20"/>
          <w:szCs w:val="20"/>
        </w:rPr>
        <w:t>1994</w:t>
      </w:r>
      <w:r w:rsidR="00DB1635" w:rsidRPr="00B004EE">
        <w:rPr>
          <w:rFonts w:ascii="Tahoma" w:hAnsi="Tahoma" w:cs="Tahoma"/>
          <w:sz w:val="20"/>
          <w:szCs w:val="20"/>
        </w:rPr>
        <w:t xml:space="preserve"> </w:t>
      </w:r>
      <w:r w:rsidR="008518B0" w:rsidRPr="00B004EE">
        <w:rPr>
          <w:rFonts w:ascii="Tahoma" w:hAnsi="Tahoma" w:cs="Tahoma"/>
          <w:spacing w:val="3"/>
          <w:sz w:val="20"/>
          <w:szCs w:val="20"/>
        </w:rPr>
        <w:t>relatif</w:t>
      </w:r>
      <w:r w:rsidR="00DB1635" w:rsidRPr="00B004EE">
        <w:rPr>
          <w:rFonts w:ascii="Tahoma" w:hAnsi="Tahoma" w:cs="Tahoma"/>
          <w:spacing w:val="3"/>
          <w:sz w:val="20"/>
          <w:szCs w:val="20"/>
        </w:rPr>
        <w:t xml:space="preserve"> </w:t>
      </w:r>
      <w:r w:rsidR="008518B0" w:rsidRPr="00B004EE">
        <w:rPr>
          <w:rFonts w:ascii="Tahoma" w:hAnsi="Tahoma" w:cs="Tahoma"/>
          <w:sz w:val="20"/>
          <w:szCs w:val="20"/>
        </w:rPr>
        <w:t>aux</w:t>
      </w:r>
      <w:r w:rsidR="00DB1635" w:rsidRPr="00B004EE">
        <w:rPr>
          <w:rFonts w:ascii="Tahoma" w:hAnsi="Tahoma" w:cs="Tahoma"/>
          <w:spacing w:val="26"/>
          <w:sz w:val="20"/>
          <w:szCs w:val="20"/>
        </w:rPr>
        <w:t xml:space="preserve"> </w:t>
      </w:r>
      <w:r w:rsidR="008518B0" w:rsidRPr="00B004EE">
        <w:rPr>
          <w:rFonts w:ascii="Tahoma" w:hAnsi="Tahoma" w:cs="Tahoma"/>
          <w:sz w:val="20"/>
          <w:szCs w:val="20"/>
        </w:rPr>
        <w:t>normes</w:t>
      </w:r>
      <w:r w:rsidR="00DB1635" w:rsidRPr="00B004EE">
        <w:rPr>
          <w:rFonts w:ascii="Tahoma" w:hAnsi="Tahoma" w:cs="Tahoma"/>
          <w:w w:val="99"/>
          <w:sz w:val="20"/>
          <w:szCs w:val="20"/>
        </w:rPr>
        <w:t xml:space="preserve"> </w:t>
      </w:r>
      <w:r w:rsidR="008518B0" w:rsidRPr="00B004EE">
        <w:rPr>
          <w:rFonts w:ascii="Tahoma" w:hAnsi="Tahoma" w:cs="Tahoma"/>
          <w:sz w:val="20"/>
          <w:szCs w:val="20"/>
        </w:rPr>
        <w:t>d'hygiène</w:t>
      </w:r>
      <w:r w:rsidR="00DB1635" w:rsidRPr="00B004EE">
        <w:rPr>
          <w:rFonts w:ascii="Tahoma" w:hAnsi="Tahoma" w:cs="Tahoma"/>
          <w:spacing w:val="27"/>
          <w:sz w:val="20"/>
          <w:szCs w:val="20"/>
        </w:rPr>
        <w:t xml:space="preserve"> </w:t>
      </w:r>
      <w:r w:rsidR="008518B0" w:rsidRPr="00B004EE">
        <w:rPr>
          <w:rFonts w:ascii="Tahoma" w:hAnsi="Tahoma" w:cs="Tahoma"/>
          <w:sz w:val="20"/>
          <w:szCs w:val="20"/>
        </w:rPr>
        <w:t>et</w:t>
      </w:r>
      <w:r w:rsidR="00DB1635" w:rsidRPr="00B004EE">
        <w:rPr>
          <w:rFonts w:ascii="Tahoma" w:hAnsi="Tahoma" w:cs="Tahoma"/>
          <w:spacing w:val="26"/>
          <w:sz w:val="20"/>
          <w:szCs w:val="20"/>
        </w:rPr>
        <w:t xml:space="preserve"> </w:t>
      </w:r>
      <w:r w:rsidR="008518B0" w:rsidRPr="00B004EE">
        <w:rPr>
          <w:rFonts w:ascii="Tahoma" w:hAnsi="Tahoma" w:cs="Tahoma"/>
          <w:sz w:val="20"/>
          <w:szCs w:val="20"/>
        </w:rPr>
        <w:t>de</w:t>
      </w:r>
      <w:r w:rsidR="00DB1635" w:rsidRPr="00B004EE">
        <w:rPr>
          <w:rFonts w:ascii="Tahoma" w:hAnsi="Tahoma" w:cs="Tahoma"/>
          <w:spacing w:val="25"/>
          <w:sz w:val="20"/>
          <w:szCs w:val="20"/>
        </w:rPr>
        <w:t xml:space="preserve"> </w:t>
      </w:r>
      <w:r w:rsidR="008518B0" w:rsidRPr="00B004EE">
        <w:rPr>
          <w:rFonts w:ascii="Tahoma" w:hAnsi="Tahoma" w:cs="Tahoma"/>
          <w:sz w:val="20"/>
          <w:szCs w:val="20"/>
        </w:rPr>
        <w:t>salubrité</w:t>
      </w:r>
      <w:r w:rsidR="00DB1635" w:rsidRPr="00B004EE">
        <w:rPr>
          <w:rFonts w:ascii="Tahoma" w:hAnsi="Tahoma" w:cs="Tahoma"/>
          <w:spacing w:val="27"/>
          <w:sz w:val="20"/>
          <w:szCs w:val="20"/>
        </w:rPr>
        <w:t xml:space="preserve"> </w:t>
      </w:r>
      <w:r w:rsidR="008518B0" w:rsidRPr="00B004EE">
        <w:rPr>
          <w:rFonts w:ascii="Tahoma" w:hAnsi="Tahoma" w:cs="Tahoma"/>
          <w:sz w:val="20"/>
          <w:szCs w:val="20"/>
        </w:rPr>
        <w:t>et</w:t>
      </w:r>
      <w:r w:rsidR="00DB1635" w:rsidRPr="00B004EE">
        <w:rPr>
          <w:rFonts w:ascii="Tahoma" w:hAnsi="Tahoma" w:cs="Tahoma"/>
          <w:spacing w:val="26"/>
          <w:sz w:val="20"/>
          <w:szCs w:val="20"/>
        </w:rPr>
        <w:t xml:space="preserve"> </w:t>
      </w:r>
      <w:r w:rsidR="008518B0" w:rsidRPr="00B004EE">
        <w:rPr>
          <w:rFonts w:ascii="Tahoma" w:hAnsi="Tahoma" w:cs="Tahoma"/>
          <w:sz w:val="20"/>
          <w:szCs w:val="20"/>
        </w:rPr>
        <w:t>aux</w:t>
      </w:r>
      <w:r w:rsidR="00DB1635" w:rsidRPr="00B004EE">
        <w:rPr>
          <w:rFonts w:ascii="Tahoma" w:hAnsi="Tahoma" w:cs="Tahoma"/>
          <w:spacing w:val="28"/>
          <w:sz w:val="20"/>
          <w:szCs w:val="20"/>
        </w:rPr>
        <w:t xml:space="preserve"> </w:t>
      </w:r>
      <w:r w:rsidR="008518B0" w:rsidRPr="00B004EE">
        <w:rPr>
          <w:rFonts w:ascii="Tahoma" w:hAnsi="Tahoma" w:cs="Tahoma"/>
          <w:spacing w:val="3"/>
          <w:sz w:val="20"/>
          <w:szCs w:val="20"/>
        </w:rPr>
        <w:t>conditions</w:t>
      </w:r>
      <w:r w:rsidR="00DB1635" w:rsidRPr="00B004EE">
        <w:rPr>
          <w:rFonts w:ascii="Tahoma" w:hAnsi="Tahoma" w:cs="Tahoma"/>
          <w:spacing w:val="33"/>
          <w:sz w:val="20"/>
          <w:szCs w:val="20"/>
        </w:rPr>
        <w:t xml:space="preserve"> </w:t>
      </w:r>
      <w:r w:rsidR="008518B0" w:rsidRPr="00B004EE">
        <w:rPr>
          <w:rFonts w:ascii="Tahoma" w:hAnsi="Tahoma" w:cs="Tahoma"/>
          <w:spacing w:val="4"/>
          <w:sz w:val="20"/>
          <w:szCs w:val="20"/>
        </w:rPr>
        <w:t>d'inspection</w:t>
      </w:r>
      <w:r w:rsidR="00DB1635" w:rsidRPr="00B004EE">
        <w:rPr>
          <w:rFonts w:ascii="Tahoma" w:hAnsi="Tahoma" w:cs="Tahoma"/>
          <w:spacing w:val="33"/>
          <w:sz w:val="20"/>
          <w:szCs w:val="20"/>
        </w:rPr>
        <w:t xml:space="preserve"> </w:t>
      </w:r>
      <w:r w:rsidR="008518B0" w:rsidRPr="00B004EE">
        <w:rPr>
          <w:rFonts w:ascii="Tahoma" w:hAnsi="Tahoma" w:cs="Tahoma"/>
          <w:spacing w:val="4"/>
          <w:sz w:val="20"/>
          <w:szCs w:val="20"/>
        </w:rPr>
        <w:t>sanitaire</w:t>
      </w:r>
      <w:r w:rsidR="00DB1635" w:rsidRPr="00B004EE">
        <w:rPr>
          <w:rFonts w:ascii="Tahoma" w:hAnsi="Tahoma" w:cs="Tahoma"/>
          <w:spacing w:val="34"/>
          <w:sz w:val="20"/>
          <w:szCs w:val="20"/>
        </w:rPr>
        <w:t xml:space="preserve"> </w:t>
      </w:r>
      <w:r w:rsidR="008518B0" w:rsidRPr="00B004EE">
        <w:rPr>
          <w:rFonts w:ascii="Tahoma" w:hAnsi="Tahoma" w:cs="Tahoma"/>
          <w:sz w:val="20"/>
          <w:szCs w:val="20"/>
        </w:rPr>
        <w:t>et</w:t>
      </w:r>
      <w:r w:rsidR="00DB1635" w:rsidRPr="00B004EE">
        <w:rPr>
          <w:rFonts w:ascii="Tahoma" w:hAnsi="Tahoma" w:cs="Tahoma"/>
          <w:spacing w:val="33"/>
          <w:sz w:val="20"/>
          <w:szCs w:val="20"/>
        </w:rPr>
        <w:t xml:space="preserve"> </w:t>
      </w:r>
      <w:r w:rsidR="008518B0" w:rsidRPr="00B004EE">
        <w:rPr>
          <w:rFonts w:ascii="Tahoma" w:hAnsi="Tahoma" w:cs="Tahoma"/>
          <w:spacing w:val="3"/>
          <w:sz w:val="20"/>
          <w:szCs w:val="20"/>
        </w:rPr>
        <w:t>de</w:t>
      </w:r>
      <w:r w:rsidR="00DB1635" w:rsidRPr="00B004EE">
        <w:rPr>
          <w:rFonts w:ascii="Tahoma" w:hAnsi="Tahoma" w:cs="Tahoma"/>
          <w:spacing w:val="34"/>
          <w:sz w:val="20"/>
          <w:szCs w:val="20"/>
        </w:rPr>
        <w:t xml:space="preserve"> </w:t>
      </w:r>
      <w:r w:rsidR="008518B0" w:rsidRPr="00B004EE">
        <w:rPr>
          <w:rFonts w:ascii="Tahoma" w:hAnsi="Tahoma" w:cs="Tahoma"/>
          <w:sz w:val="20"/>
          <w:szCs w:val="20"/>
        </w:rPr>
        <w:t>contrôle</w:t>
      </w:r>
      <w:r w:rsidR="00DB1635" w:rsidRPr="00B004EE">
        <w:rPr>
          <w:rFonts w:ascii="Tahoma" w:hAnsi="Tahoma" w:cs="Tahoma"/>
          <w:spacing w:val="25"/>
          <w:sz w:val="20"/>
          <w:szCs w:val="20"/>
        </w:rPr>
        <w:t xml:space="preserve"> </w:t>
      </w:r>
      <w:r w:rsidR="008518B0" w:rsidRPr="00B004EE">
        <w:rPr>
          <w:rFonts w:ascii="Tahoma" w:hAnsi="Tahoma" w:cs="Tahoma"/>
          <w:sz w:val="20"/>
          <w:szCs w:val="20"/>
        </w:rPr>
        <w:t>régissant</w:t>
      </w:r>
      <w:r w:rsidR="00DB1635" w:rsidRPr="00B004EE">
        <w:rPr>
          <w:rFonts w:ascii="Tahoma" w:hAnsi="Tahoma" w:cs="Tahoma"/>
          <w:spacing w:val="26"/>
          <w:sz w:val="20"/>
          <w:szCs w:val="20"/>
        </w:rPr>
        <w:t xml:space="preserve"> </w:t>
      </w:r>
      <w:r w:rsidR="008518B0" w:rsidRPr="00B004EE">
        <w:rPr>
          <w:rFonts w:ascii="Tahoma" w:hAnsi="Tahoma" w:cs="Tahoma"/>
          <w:sz w:val="20"/>
          <w:szCs w:val="20"/>
        </w:rPr>
        <w:t>la</w:t>
      </w:r>
      <w:r w:rsidR="00DB1635" w:rsidRPr="00B004EE">
        <w:rPr>
          <w:rFonts w:ascii="Tahoma" w:hAnsi="Tahoma" w:cs="Tahoma"/>
          <w:w w:val="99"/>
          <w:sz w:val="20"/>
          <w:szCs w:val="20"/>
        </w:rPr>
        <w:t xml:space="preserve"> </w:t>
      </w:r>
      <w:r w:rsidR="008518B0" w:rsidRPr="00B004EE">
        <w:rPr>
          <w:rFonts w:ascii="Tahoma" w:hAnsi="Tahoma" w:cs="Tahoma"/>
          <w:sz w:val="20"/>
          <w:szCs w:val="20"/>
        </w:rPr>
        <w:t>production</w:t>
      </w:r>
      <w:r w:rsidR="00DB1635" w:rsidRPr="00B004EE">
        <w:rPr>
          <w:rFonts w:ascii="Tahoma" w:hAnsi="Tahoma" w:cs="Tahoma"/>
          <w:spacing w:val="30"/>
          <w:sz w:val="20"/>
          <w:szCs w:val="20"/>
        </w:rPr>
        <w:t xml:space="preserve"> </w:t>
      </w:r>
      <w:r w:rsidR="008518B0" w:rsidRPr="00B004EE">
        <w:rPr>
          <w:rFonts w:ascii="Tahoma" w:hAnsi="Tahoma" w:cs="Tahoma"/>
          <w:sz w:val="20"/>
          <w:szCs w:val="20"/>
        </w:rPr>
        <w:t>et</w:t>
      </w:r>
      <w:r w:rsidR="00DB1635" w:rsidRPr="00B004EE">
        <w:rPr>
          <w:rFonts w:ascii="Tahoma" w:hAnsi="Tahoma" w:cs="Tahoma"/>
          <w:spacing w:val="28"/>
          <w:sz w:val="20"/>
          <w:szCs w:val="20"/>
        </w:rPr>
        <w:t xml:space="preserve"> </w:t>
      </w:r>
      <w:r w:rsidR="008518B0" w:rsidRPr="00B004EE">
        <w:rPr>
          <w:rFonts w:ascii="Tahoma" w:hAnsi="Tahoma" w:cs="Tahoma"/>
          <w:sz w:val="20"/>
          <w:szCs w:val="20"/>
        </w:rPr>
        <w:t>la</w:t>
      </w:r>
      <w:r w:rsidR="00DB1635" w:rsidRPr="00B004EE">
        <w:rPr>
          <w:rFonts w:ascii="Tahoma" w:hAnsi="Tahoma" w:cs="Tahoma"/>
          <w:spacing w:val="27"/>
          <w:sz w:val="20"/>
          <w:szCs w:val="20"/>
        </w:rPr>
        <w:t xml:space="preserve"> </w:t>
      </w:r>
      <w:r w:rsidR="008518B0" w:rsidRPr="00B004EE">
        <w:rPr>
          <w:rFonts w:ascii="Tahoma" w:hAnsi="Tahoma" w:cs="Tahoma"/>
          <w:sz w:val="20"/>
          <w:szCs w:val="20"/>
        </w:rPr>
        <w:t>mise</w:t>
      </w:r>
      <w:r w:rsidR="00DB1635" w:rsidRPr="00B004EE">
        <w:rPr>
          <w:rFonts w:ascii="Tahoma" w:hAnsi="Tahoma" w:cs="Tahoma"/>
          <w:spacing w:val="27"/>
          <w:sz w:val="20"/>
          <w:szCs w:val="20"/>
        </w:rPr>
        <w:t xml:space="preserve"> </w:t>
      </w:r>
      <w:r w:rsidR="008518B0" w:rsidRPr="00B004EE">
        <w:rPr>
          <w:rFonts w:ascii="Tahoma" w:hAnsi="Tahoma" w:cs="Tahoma"/>
          <w:spacing w:val="3"/>
          <w:sz w:val="20"/>
          <w:szCs w:val="20"/>
        </w:rPr>
        <w:t>sur</w:t>
      </w:r>
      <w:r w:rsidR="00DB1635" w:rsidRPr="00B004EE">
        <w:rPr>
          <w:rFonts w:ascii="Tahoma" w:hAnsi="Tahoma" w:cs="Tahoma"/>
          <w:spacing w:val="35"/>
          <w:sz w:val="20"/>
          <w:szCs w:val="20"/>
        </w:rPr>
        <w:t xml:space="preserve"> </w:t>
      </w:r>
      <w:r w:rsidR="008518B0" w:rsidRPr="00B004EE">
        <w:rPr>
          <w:rFonts w:ascii="Tahoma" w:hAnsi="Tahoma" w:cs="Tahoma"/>
          <w:spacing w:val="2"/>
          <w:sz w:val="20"/>
          <w:szCs w:val="20"/>
        </w:rPr>
        <w:t>le</w:t>
      </w:r>
      <w:r w:rsidR="00DB1635" w:rsidRPr="00B004EE">
        <w:rPr>
          <w:rFonts w:ascii="Tahoma" w:hAnsi="Tahoma" w:cs="Tahoma"/>
          <w:spacing w:val="35"/>
          <w:sz w:val="20"/>
          <w:szCs w:val="20"/>
        </w:rPr>
        <w:t xml:space="preserve"> </w:t>
      </w:r>
      <w:r w:rsidR="008518B0" w:rsidRPr="00B004EE">
        <w:rPr>
          <w:rFonts w:ascii="Tahoma" w:hAnsi="Tahoma" w:cs="Tahoma"/>
          <w:spacing w:val="3"/>
          <w:sz w:val="20"/>
          <w:szCs w:val="20"/>
        </w:rPr>
        <w:t>marché</w:t>
      </w:r>
      <w:r w:rsidR="00DB1635" w:rsidRPr="00B004EE">
        <w:rPr>
          <w:rFonts w:ascii="Tahoma" w:hAnsi="Tahoma" w:cs="Tahoma"/>
          <w:spacing w:val="35"/>
          <w:sz w:val="20"/>
          <w:szCs w:val="20"/>
        </w:rPr>
        <w:t xml:space="preserve"> </w:t>
      </w:r>
      <w:r w:rsidR="008518B0" w:rsidRPr="00B004EE">
        <w:rPr>
          <w:rFonts w:ascii="Tahoma" w:hAnsi="Tahoma" w:cs="Tahoma"/>
          <w:spacing w:val="2"/>
          <w:sz w:val="20"/>
          <w:szCs w:val="20"/>
        </w:rPr>
        <w:t>des</w:t>
      </w:r>
      <w:r w:rsidR="00DB1635" w:rsidRPr="00B004EE">
        <w:rPr>
          <w:rFonts w:ascii="Tahoma" w:hAnsi="Tahoma" w:cs="Tahoma"/>
          <w:spacing w:val="36"/>
          <w:sz w:val="20"/>
          <w:szCs w:val="20"/>
        </w:rPr>
        <w:t xml:space="preserve"> </w:t>
      </w:r>
      <w:r w:rsidR="008518B0" w:rsidRPr="00B004EE">
        <w:rPr>
          <w:rFonts w:ascii="Tahoma" w:hAnsi="Tahoma" w:cs="Tahoma"/>
          <w:spacing w:val="2"/>
          <w:sz w:val="20"/>
          <w:szCs w:val="20"/>
        </w:rPr>
        <w:t>produits</w:t>
      </w:r>
      <w:r w:rsidR="00DB1635" w:rsidRPr="00B004EE">
        <w:rPr>
          <w:rFonts w:ascii="Tahoma" w:hAnsi="Tahoma" w:cs="Tahoma"/>
          <w:spacing w:val="36"/>
          <w:sz w:val="20"/>
          <w:szCs w:val="20"/>
        </w:rPr>
        <w:t xml:space="preserve"> </w:t>
      </w:r>
      <w:r w:rsidR="008518B0" w:rsidRPr="00B004EE">
        <w:rPr>
          <w:rFonts w:ascii="Tahoma" w:hAnsi="Tahoma" w:cs="Tahoma"/>
          <w:sz w:val="20"/>
          <w:szCs w:val="20"/>
        </w:rPr>
        <w:t>de</w:t>
      </w:r>
      <w:r w:rsidR="00DB1635" w:rsidRPr="00B004EE">
        <w:rPr>
          <w:rFonts w:ascii="Tahoma" w:hAnsi="Tahoma" w:cs="Tahoma"/>
          <w:spacing w:val="35"/>
          <w:sz w:val="20"/>
          <w:szCs w:val="20"/>
        </w:rPr>
        <w:t xml:space="preserve"> </w:t>
      </w:r>
      <w:r w:rsidR="008518B0" w:rsidRPr="00B004EE">
        <w:rPr>
          <w:rFonts w:ascii="Tahoma" w:hAnsi="Tahoma" w:cs="Tahoma"/>
          <w:spacing w:val="2"/>
          <w:sz w:val="20"/>
          <w:szCs w:val="20"/>
        </w:rPr>
        <w:t>la</w:t>
      </w:r>
      <w:r w:rsidR="00DB1635" w:rsidRPr="00B004EE">
        <w:rPr>
          <w:rFonts w:ascii="Tahoma" w:hAnsi="Tahoma" w:cs="Tahoma"/>
          <w:spacing w:val="35"/>
          <w:sz w:val="20"/>
          <w:szCs w:val="20"/>
        </w:rPr>
        <w:t xml:space="preserve"> </w:t>
      </w:r>
      <w:r w:rsidR="008518B0" w:rsidRPr="00B004EE">
        <w:rPr>
          <w:rFonts w:ascii="Tahoma" w:hAnsi="Tahoma" w:cs="Tahoma"/>
          <w:spacing w:val="2"/>
          <w:sz w:val="20"/>
          <w:szCs w:val="20"/>
        </w:rPr>
        <w:t>pêche</w:t>
      </w:r>
      <w:r w:rsidR="00DB1635" w:rsidRPr="00B004EE">
        <w:rPr>
          <w:rFonts w:ascii="Tahoma" w:hAnsi="Tahoma" w:cs="Tahoma"/>
          <w:spacing w:val="35"/>
          <w:sz w:val="20"/>
          <w:szCs w:val="20"/>
        </w:rPr>
        <w:t xml:space="preserve"> </w:t>
      </w:r>
      <w:r w:rsidR="008518B0" w:rsidRPr="00B004EE">
        <w:rPr>
          <w:rFonts w:ascii="Tahoma" w:hAnsi="Tahoma" w:cs="Tahoma"/>
          <w:sz w:val="20"/>
          <w:szCs w:val="20"/>
        </w:rPr>
        <w:t>et</w:t>
      </w:r>
      <w:r w:rsidR="00DB1635" w:rsidRPr="00B004EE">
        <w:rPr>
          <w:rFonts w:ascii="Tahoma" w:hAnsi="Tahoma" w:cs="Tahoma"/>
          <w:spacing w:val="37"/>
          <w:sz w:val="20"/>
          <w:szCs w:val="20"/>
        </w:rPr>
        <w:t xml:space="preserve"> </w:t>
      </w:r>
      <w:r w:rsidR="008518B0" w:rsidRPr="00B004EE">
        <w:rPr>
          <w:rFonts w:ascii="Tahoma" w:hAnsi="Tahoma" w:cs="Tahoma"/>
          <w:sz w:val="20"/>
          <w:szCs w:val="20"/>
        </w:rPr>
        <w:t>du</w:t>
      </w:r>
      <w:r w:rsidR="00DB1635" w:rsidRPr="00B004EE">
        <w:rPr>
          <w:rFonts w:ascii="Tahoma" w:hAnsi="Tahoma" w:cs="Tahoma"/>
          <w:spacing w:val="30"/>
          <w:sz w:val="20"/>
          <w:szCs w:val="20"/>
        </w:rPr>
        <w:t xml:space="preserve"> </w:t>
      </w:r>
      <w:r w:rsidR="008518B0" w:rsidRPr="00B004EE">
        <w:rPr>
          <w:rFonts w:ascii="Tahoma" w:hAnsi="Tahoma" w:cs="Tahoma"/>
          <w:sz w:val="20"/>
          <w:szCs w:val="20"/>
        </w:rPr>
        <w:t>décret</w:t>
      </w:r>
      <w:r w:rsidR="00DB1635" w:rsidRPr="00B004EE">
        <w:rPr>
          <w:rFonts w:ascii="Tahoma" w:hAnsi="Tahoma" w:cs="Tahoma"/>
          <w:spacing w:val="31"/>
          <w:sz w:val="20"/>
          <w:szCs w:val="20"/>
        </w:rPr>
        <w:t xml:space="preserve"> </w:t>
      </w:r>
      <w:r w:rsidR="008518B0" w:rsidRPr="00B004EE">
        <w:rPr>
          <w:rFonts w:ascii="Tahoma" w:hAnsi="Tahoma" w:cs="Tahoma"/>
          <w:sz w:val="20"/>
          <w:szCs w:val="20"/>
        </w:rPr>
        <w:t>2002-036</w:t>
      </w:r>
      <w:r w:rsidR="00DB1635" w:rsidRPr="00B004EE">
        <w:rPr>
          <w:rFonts w:ascii="Tahoma" w:hAnsi="Tahoma" w:cs="Tahoma"/>
          <w:spacing w:val="30"/>
          <w:sz w:val="20"/>
          <w:szCs w:val="20"/>
        </w:rPr>
        <w:t xml:space="preserve"> </w:t>
      </w:r>
      <w:r w:rsidR="008518B0" w:rsidRPr="00B004EE">
        <w:rPr>
          <w:rFonts w:ascii="Tahoma" w:hAnsi="Tahoma" w:cs="Tahoma"/>
          <w:sz w:val="20"/>
          <w:szCs w:val="20"/>
        </w:rPr>
        <w:t>du</w:t>
      </w:r>
      <w:r w:rsidR="00DB1635" w:rsidRPr="00B004EE">
        <w:rPr>
          <w:rFonts w:ascii="Tahoma" w:hAnsi="Tahoma" w:cs="Tahoma"/>
          <w:spacing w:val="30"/>
          <w:sz w:val="20"/>
          <w:szCs w:val="20"/>
        </w:rPr>
        <w:t xml:space="preserve"> </w:t>
      </w:r>
      <w:r w:rsidR="008518B0" w:rsidRPr="00B004EE">
        <w:rPr>
          <w:rFonts w:ascii="Tahoma" w:hAnsi="Tahoma" w:cs="Tahoma"/>
          <w:sz w:val="20"/>
          <w:szCs w:val="20"/>
        </w:rPr>
        <w:t>07</w:t>
      </w:r>
      <w:r w:rsidR="00DB1635" w:rsidRPr="00B004EE">
        <w:rPr>
          <w:rFonts w:ascii="Tahoma" w:hAnsi="Tahoma" w:cs="Tahoma"/>
          <w:w w:val="99"/>
          <w:sz w:val="20"/>
          <w:szCs w:val="20"/>
        </w:rPr>
        <w:t xml:space="preserve"> </w:t>
      </w:r>
      <w:r w:rsidR="008518B0" w:rsidRPr="00B004EE">
        <w:rPr>
          <w:rFonts w:ascii="Tahoma" w:hAnsi="Tahoma" w:cs="Tahoma"/>
          <w:sz w:val="20"/>
          <w:szCs w:val="20"/>
        </w:rPr>
        <w:t>Mai</w:t>
      </w:r>
      <w:r w:rsidR="00DB1635" w:rsidRPr="00B004EE">
        <w:rPr>
          <w:rFonts w:ascii="Tahoma" w:hAnsi="Tahoma" w:cs="Tahoma"/>
          <w:sz w:val="20"/>
          <w:szCs w:val="20"/>
        </w:rPr>
        <w:t xml:space="preserve"> </w:t>
      </w:r>
      <w:r w:rsidR="008518B0" w:rsidRPr="00B004EE">
        <w:rPr>
          <w:rFonts w:ascii="Tahoma" w:hAnsi="Tahoma" w:cs="Tahoma"/>
          <w:sz w:val="20"/>
          <w:szCs w:val="20"/>
        </w:rPr>
        <w:t>2002</w:t>
      </w:r>
      <w:r w:rsidR="00DB1635" w:rsidRPr="00B004EE">
        <w:rPr>
          <w:rFonts w:ascii="Tahoma" w:hAnsi="Tahoma" w:cs="Tahoma"/>
          <w:sz w:val="20"/>
          <w:szCs w:val="20"/>
        </w:rPr>
        <w:t xml:space="preserve"> </w:t>
      </w:r>
      <w:r w:rsidR="008518B0" w:rsidRPr="00B004EE">
        <w:rPr>
          <w:rFonts w:ascii="Tahoma" w:hAnsi="Tahoma" w:cs="Tahoma"/>
          <w:sz w:val="20"/>
          <w:szCs w:val="20"/>
        </w:rPr>
        <w:t>fixant</w:t>
      </w:r>
      <w:r w:rsidR="00DB1635" w:rsidRPr="00B004EE">
        <w:rPr>
          <w:rFonts w:ascii="Tahoma" w:hAnsi="Tahoma" w:cs="Tahoma"/>
          <w:sz w:val="20"/>
          <w:szCs w:val="20"/>
        </w:rPr>
        <w:t xml:space="preserve"> </w:t>
      </w:r>
      <w:r w:rsidR="008518B0" w:rsidRPr="00B004EE">
        <w:rPr>
          <w:rFonts w:ascii="Tahoma" w:hAnsi="Tahoma" w:cs="Tahoma"/>
          <w:spacing w:val="12"/>
          <w:sz w:val="20"/>
          <w:szCs w:val="20"/>
        </w:rPr>
        <w:t>les</w:t>
      </w:r>
      <w:r w:rsidR="00DB1635" w:rsidRPr="00B004EE">
        <w:rPr>
          <w:rFonts w:ascii="Tahoma" w:hAnsi="Tahoma" w:cs="Tahoma"/>
          <w:spacing w:val="12"/>
          <w:sz w:val="20"/>
          <w:szCs w:val="20"/>
        </w:rPr>
        <w:t xml:space="preserve"> </w:t>
      </w:r>
      <w:r w:rsidR="008518B0" w:rsidRPr="00B004EE">
        <w:rPr>
          <w:rFonts w:ascii="Tahoma" w:hAnsi="Tahoma" w:cs="Tahoma"/>
          <w:spacing w:val="16"/>
          <w:sz w:val="20"/>
          <w:szCs w:val="20"/>
        </w:rPr>
        <w:t>règles</w:t>
      </w:r>
      <w:r w:rsidR="00DB1635" w:rsidRPr="00B004EE">
        <w:rPr>
          <w:rFonts w:ascii="Tahoma" w:hAnsi="Tahoma" w:cs="Tahoma"/>
          <w:spacing w:val="16"/>
          <w:sz w:val="20"/>
          <w:szCs w:val="20"/>
        </w:rPr>
        <w:t xml:space="preserve"> </w:t>
      </w:r>
      <w:r w:rsidR="008518B0" w:rsidRPr="00B004EE">
        <w:rPr>
          <w:rFonts w:ascii="Tahoma" w:hAnsi="Tahoma" w:cs="Tahoma"/>
          <w:spacing w:val="18"/>
          <w:sz w:val="20"/>
          <w:szCs w:val="20"/>
        </w:rPr>
        <w:t>d'organisation</w:t>
      </w:r>
      <w:r w:rsidR="00DB1635" w:rsidRPr="00B004EE">
        <w:rPr>
          <w:rFonts w:ascii="Tahoma" w:hAnsi="Tahoma" w:cs="Tahoma"/>
          <w:spacing w:val="18"/>
          <w:sz w:val="20"/>
          <w:szCs w:val="20"/>
        </w:rPr>
        <w:t xml:space="preserve"> </w:t>
      </w:r>
      <w:r w:rsidR="008518B0" w:rsidRPr="00B004EE">
        <w:rPr>
          <w:rFonts w:ascii="Tahoma" w:hAnsi="Tahoma" w:cs="Tahoma"/>
          <w:spacing w:val="10"/>
          <w:sz w:val="20"/>
          <w:szCs w:val="20"/>
        </w:rPr>
        <w:t>et</w:t>
      </w:r>
      <w:r w:rsidR="00DB1635" w:rsidRPr="00B004EE">
        <w:rPr>
          <w:rFonts w:ascii="Tahoma" w:hAnsi="Tahoma" w:cs="Tahoma"/>
          <w:spacing w:val="10"/>
          <w:sz w:val="20"/>
          <w:szCs w:val="20"/>
        </w:rPr>
        <w:t xml:space="preserve"> </w:t>
      </w:r>
      <w:r w:rsidR="008518B0" w:rsidRPr="00B004EE">
        <w:rPr>
          <w:rFonts w:ascii="Tahoma" w:hAnsi="Tahoma" w:cs="Tahoma"/>
          <w:spacing w:val="9"/>
          <w:sz w:val="20"/>
          <w:szCs w:val="20"/>
        </w:rPr>
        <w:t>de</w:t>
      </w:r>
      <w:r w:rsidR="00DB1635" w:rsidRPr="00B004EE">
        <w:rPr>
          <w:rFonts w:ascii="Tahoma" w:hAnsi="Tahoma" w:cs="Tahoma"/>
          <w:spacing w:val="9"/>
          <w:sz w:val="20"/>
          <w:szCs w:val="20"/>
        </w:rPr>
        <w:t xml:space="preserve"> </w:t>
      </w:r>
      <w:r w:rsidR="008518B0" w:rsidRPr="00B004EE">
        <w:rPr>
          <w:rFonts w:ascii="Tahoma" w:hAnsi="Tahoma" w:cs="Tahoma"/>
          <w:sz w:val="20"/>
          <w:szCs w:val="20"/>
        </w:rPr>
        <w:t>fonctionnement</w:t>
      </w:r>
      <w:r w:rsidR="00DB1635" w:rsidRPr="00B004EE">
        <w:rPr>
          <w:rFonts w:ascii="Tahoma" w:hAnsi="Tahoma" w:cs="Tahoma"/>
          <w:sz w:val="20"/>
          <w:szCs w:val="20"/>
        </w:rPr>
        <w:t xml:space="preserve"> </w:t>
      </w:r>
      <w:r w:rsidR="008518B0" w:rsidRPr="00B004EE">
        <w:rPr>
          <w:rFonts w:ascii="Tahoma" w:hAnsi="Tahoma" w:cs="Tahoma"/>
          <w:sz w:val="20"/>
          <w:szCs w:val="20"/>
        </w:rPr>
        <w:t>de</w:t>
      </w:r>
      <w:r w:rsidR="00DB1635" w:rsidRPr="00B004EE">
        <w:rPr>
          <w:rFonts w:ascii="Tahoma" w:hAnsi="Tahoma" w:cs="Tahoma"/>
          <w:sz w:val="20"/>
          <w:szCs w:val="20"/>
        </w:rPr>
        <w:t xml:space="preserve"> </w:t>
      </w:r>
      <w:r w:rsidR="008518B0" w:rsidRPr="00B004EE">
        <w:rPr>
          <w:rFonts w:ascii="Tahoma" w:hAnsi="Tahoma" w:cs="Tahoma"/>
          <w:sz w:val="20"/>
          <w:szCs w:val="20"/>
        </w:rPr>
        <w:t>l'Institut</w:t>
      </w:r>
      <w:r w:rsidR="00DB1635" w:rsidRPr="00B004EE">
        <w:rPr>
          <w:rFonts w:ascii="Tahoma" w:hAnsi="Tahoma" w:cs="Tahoma"/>
          <w:sz w:val="20"/>
          <w:szCs w:val="20"/>
        </w:rPr>
        <w:t xml:space="preserve"> </w:t>
      </w:r>
      <w:r w:rsidR="008518B0" w:rsidRPr="00B004EE">
        <w:rPr>
          <w:rFonts w:ascii="Tahoma" w:hAnsi="Tahoma" w:cs="Tahoma"/>
          <w:sz w:val="20"/>
          <w:szCs w:val="20"/>
        </w:rPr>
        <w:t>Mauritanien</w:t>
      </w:r>
      <w:r w:rsidR="00DB1635" w:rsidRPr="00B004EE">
        <w:rPr>
          <w:rFonts w:ascii="Tahoma" w:hAnsi="Tahoma" w:cs="Tahoma"/>
          <w:w w:val="99"/>
          <w:sz w:val="20"/>
          <w:szCs w:val="20"/>
        </w:rPr>
        <w:t xml:space="preserve"> </w:t>
      </w:r>
      <w:r w:rsidR="008518B0" w:rsidRPr="00B004EE">
        <w:rPr>
          <w:rFonts w:ascii="Tahoma" w:hAnsi="Tahoma" w:cs="Tahoma"/>
          <w:sz w:val="20"/>
          <w:szCs w:val="20"/>
        </w:rPr>
        <w:t>de</w:t>
      </w:r>
      <w:r w:rsidR="00DB1635" w:rsidRPr="00B004EE">
        <w:rPr>
          <w:rFonts w:ascii="Tahoma" w:hAnsi="Tahoma" w:cs="Tahoma"/>
          <w:sz w:val="20"/>
          <w:szCs w:val="20"/>
        </w:rPr>
        <w:t xml:space="preserve"> </w:t>
      </w:r>
      <w:r w:rsidR="008518B0" w:rsidRPr="00B004EE">
        <w:rPr>
          <w:rFonts w:ascii="Tahoma" w:hAnsi="Tahoma" w:cs="Tahoma"/>
          <w:spacing w:val="6"/>
          <w:sz w:val="20"/>
          <w:szCs w:val="20"/>
        </w:rPr>
        <w:t>Recherches</w:t>
      </w:r>
      <w:r w:rsidR="00DB1635" w:rsidRPr="00B004EE">
        <w:rPr>
          <w:rFonts w:ascii="Tahoma" w:hAnsi="Tahoma" w:cs="Tahoma"/>
          <w:spacing w:val="6"/>
          <w:sz w:val="20"/>
          <w:szCs w:val="20"/>
        </w:rPr>
        <w:t xml:space="preserve"> </w:t>
      </w:r>
      <w:r w:rsidR="008518B0" w:rsidRPr="00B004EE">
        <w:rPr>
          <w:rFonts w:ascii="Tahoma" w:hAnsi="Tahoma" w:cs="Tahoma"/>
          <w:spacing w:val="7"/>
          <w:sz w:val="20"/>
          <w:szCs w:val="20"/>
        </w:rPr>
        <w:t>Océanographiques</w:t>
      </w:r>
      <w:r w:rsidR="00DB1635" w:rsidRPr="00B004EE">
        <w:rPr>
          <w:rFonts w:ascii="Tahoma" w:hAnsi="Tahoma" w:cs="Tahoma"/>
          <w:spacing w:val="7"/>
          <w:sz w:val="20"/>
          <w:szCs w:val="20"/>
        </w:rPr>
        <w:t xml:space="preserve"> </w:t>
      </w:r>
      <w:r w:rsidR="008518B0" w:rsidRPr="00B004EE">
        <w:rPr>
          <w:rFonts w:ascii="Tahoma" w:hAnsi="Tahoma" w:cs="Tahoma"/>
          <w:spacing w:val="3"/>
          <w:sz w:val="20"/>
          <w:szCs w:val="20"/>
        </w:rPr>
        <w:t>et</w:t>
      </w:r>
      <w:r w:rsidR="00DB1635" w:rsidRPr="00B004EE">
        <w:rPr>
          <w:rFonts w:ascii="Tahoma" w:hAnsi="Tahoma" w:cs="Tahoma"/>
          <w:spacing w:val="3"/>
          <w:sz w:val="20"/>
          <w:szCs w:val="20"/>
        </w:rPr>
        <w:t xml:space="preserve"> </w:t>
      </w:r>
      <w:r w:rsidR="008518B0" w:rsidRPr="00B004EE">
        <w:rPr>
          <w:rFonts w:ascii="Tahoma" w:hAnsi="Tahoma" w:cs="Tahoma"/>
          <w:spacing w:val="5"/>
          <w:sz w:val="20"/>
          <w:szCs w:val="20"/>
        </w:rPr>
        <w:t>des</w:t>
      </w:r>
      <w:r w:rsidR="00DB1635" w:rsidRPr="00B004EE">
        <w:rPr>
          <w:rFonts w:ascii="Tahoma" w:hAnsi="Tahoma" w:cs="Tahoma"/>
          <w:spacing w:val="56"/>
          <w:sz w:val="20"/>
          <w:szCs w:val="20"/>
        </w:rPr>
        <w:t xml:space="preserve"> </w:t>
      </w:r>
      <w:r w:rsidR="008518B0" w:rsidRPr="00B004EE">
        <w:rPr>
          <w:rFonts w:ascii="Tahoma" w:hAnsi="Tahoma" w:cs="Tahoma"/>
          <w:spacing w:val="-5"/>
          <w:sz w:val="20"/>
          <w:szCs w:val="20"/>
        </w:rPr>
        <w:t>Pêches.</w:t>
      </w:r>
    </w:p>
    <w:p w14:paraId="209E2130" w14:textId="77777777" w:rsidR="008518B0" w:rsidRPr="00B004EE" w:rsidRDefault="008518B0" w:rsidP="00B004EE">
      <w:pPr>
        <w:rPr>
          <w:rFonts w:ascii="Tahoma" w:eastAsia="Times" w:hAnsi="Tahoma" w:cs="Tahoma"/>
          <w:sz w:val="20"/>
          <w:szCs w:val="20"/>
        </w:rPr>
      </w:pPr>
    </w:p>
    <w:p w14:paraId="6D6BEA27" w14:textId="1849E868" w:rsidR="008518B0" w:rsidRPr="00B004EE" w:rsidRDefault="00C40988" w:rsidP="00B004EE">
      <w:pPr>
        <w:pStyle w:val="Corpsdetexte"/>
        <w:ind w:left="189" w:right="230"/>
        <w:rPr>
          <w:rFonts w:ascii="Tahoma" w:hAnsi="Tahoma" w:cs="Tahoma"/>
          <w:sz w:val="20"/>
          <w:szCs w:val="20"/>
        </w:rPr>
      </w:pPr>
      <w:r w:rsidRPr="00B004EE">
        <w:rPr>
          <w:rFonts w:ascii="Tahoma" w:hAnsi="Tahoma" w:cs="Tahoma"/>
          <w:bCs/>
          <w:iCs/>
          <w:sz w:val="20"/>
          <w:szCs w:val="20"/>
        </w:rPr>
        <w:t xml:space="preserve">Article </w:t>
      </w:r>
      <w:r w:rsidR="008518B0" w:rsidRPr="00B004EE">
        <w:rPr>
          <w:rFonts w:ascii="Tahoma" w:hAnsi="Tahoma" w:cs="Tahoma"/>
          <w:bCs/>
          <w:iCs/>
          <w:sz w:val="20"/>
          <w:szCs w:val="20"/>
        </w:rPr>
        <w:t>29</w:t>
      </w:r>
      <w:r w:rsidR="00DB1635" w:rsidRPr="00B004EE">
        <w:rPr>
          <w:rFonts w:ascii="Tahoma" w:hAnsi="Tahoma" w:cs="Tahoma"/>
          <w:bCs/>
          <w:iCs/>
          <w:sz w:val="20"/>
          <w:szCs w:val="20"/>
        </w:rPr>
        <w:t xml:space="preserve"> </w:t>
      </w:r>
      <w:r w:rsidR="008518B0" w:rsidRPr="00B004EE">
        <w:rPr>
          <w:rFonts w:ascii="Tahoma" w:hAnsi="Tahoma" w:cs="Tahoma"/>
          <w:bCs/>
          <w:iCs/>
          <w:sz w:val="20"/>
          <w:szCs w:val="20"/>
        </w:rPr>
        <w:t>:</w:t>
      </w:r>
      <w:r w:rsidR="00DB1635" w:rsidRPr="00B004EE">
        <w:rPr>
          <w:rFonts w:ascii="Tahoma" w:hAnsi="Tahoma" w:cs="Tahoma"/>
          <w:b/>
          <w:i/>
          <w:sz w:val="20"/>
          <w:szCs w:val="20"/>
        </w:rPr>
        <w:t xml:space="preserve"> </w:t>
      </w:r>
      <w:r w:rsidR="008518B0" w:rsidRPr="00B004EE">
        <w:rPr>
          <w:rFonts w:ascii="Tahoma" w:hAnsi="Tahoma" w:cs="Tahoma"/>
          <w:sz w:val="20"/>
          <w:szCs w:val="20"/>
        </w:rPr>
        <w:t>Le</w:t>
      </w:r>
      <w:r w:rsidR="00DB1635" w:rsidRPr="00B004EE">
        <w:rPr>
          <w:rFonts w:ascii="Tahoma" w:hAnsi="Tahoma" w:cs="Tahoma"/>
          <w:sz w:val="20"/>
          <w:szCs w:val="20"/>
        </w:rPr>
        <w:t xml:space="preserve"> </w:t>
      </w:r>
      <w:r w:rsidR="008518B0" w:rsidRPr="00B004EE">
        <w:rPr>
          <w:rFonts w:ascii="Tahoma" w:hAnsi="Tahoma" w:cs="Tahoma"/>
          <w:sz w:val="20"/>
          <w:szCs w:val="20"/>
        </w:rPr>
        <w:t>Ministre</w:t>
      </w:r>
      <w:r w:rsidR="00DB1635" w:rsidRPr="00B004EE">
        <w:rPr>
          <w:rFonts w:ascii="Tahoma" w:hAnsi="Tahoma" w:cs="Tahoma"/>
          <w:sz w:val="20"/>
          <w:szCs w:val="20"/>
        </w:rPr>
        <w:t xml:space="preserve"> </w:t>
      </w:r>
      <w:r w:rsidR="008518B0" w:rsidRPr="00B004EE">
        <w:rPr>
          <w:rFonts w:ascii="Tahoma" w:hAnsi="Tahoma" w:cs="Tahoma"/>
          <w:sz w:val="20"/>
          <w:szCs w:val="20"/>
        </w:rPr>
        <w:t>des</w:t>
      </w:r>
      <w:r w:rsidR="00DB1635" w:rsidRPr="00B004EE">
        <w:rPr>
          <w:rFonts w:ascii="Tahoma" w:hAnsi="Tahoma" w:cs="Tahoma"/>
          <w:sz w:val="20"/>
          <w:szCs w:val="20"/>
        </w:rPr>
        <w:t xml:space="preserve"> </w:t>
      </w:r>
      <w:r w:rsidR="008518B0" w:rsidRPr="00B004EE">
        <w:rPr>
          <w:rFonts w:ascii="Tahoma" w:hAnsi="Tahoma" w:cs="Tahoma"/>
          <w:sz w:val="20"/>
          <w:szCs w:val="20"/>
        </w:rPr>
        <w:t>Pêches</w:t>
      </w:r>
      <w:r w:rsidR="00DB1635" w:rsidRPr="00B004EE">
        <w:rPr>
          <w:rFonts w:ascii="Tahoma" w:hAnsi="Tahoma" w:cs="Tahoma"/>
          <w:sz w:val="20"/>
          <w:szCs w:val="20"/>
        </w:rPr>
        <w:t xml:space="preserve"> </w:t>
      </w:r>
      <w:r w:rsidR="008518B0" w:rsidRPr="00B004EE">
        <w:rPr>
          <w:rFonts w:ascii="Tahoma" w:hAnsi="Tahoma" w:cs="Tahoma"/>
          <w:sz w:val="20"/>
          <w:szCs w:val="20"/>
        </w:rPr>
        <w:t>et</w:t>
      </w:r>
      <w:r w:rsidR="00DB1635" w:rsidRPr="00B004EE">
        <w:rPr>
          <w:rFonts w:ascii="Tahoma" w:hAnsi="Tahoma" w:cs="Tahoma"/>
          <w:sz w:val="20"/>
          <w:szCs w:val="20"/>
        </w:rPr>
        <w:t xml:space="preserve"> </w:t>
      </w:r>
      <w:r w:rsidR="008518B0" w:rsidRPr="00B004EE">
        <w:rPr>
          <w:rFonts w:ascii="Tahoma" w:hAnsi="Tahoma" w:cs="Tahoma"/>
          <w:sz w:val="20"/>
          <w:szCs w:val="20"/>
        </w:rPr>
        <w:t>de</w:t>
      </w:r>
      <w:r w:rsidR="00DB1635" w:rsidRPr="00B004EE">
        <w:rPr>
          <w:rFonts w:ascii="Tahoma" w:hAnsi="Tahoma" w:cs="Tahoma"/>
          <w:sz w:val="20"/>
          <w:szCs w:val="20"/>
        </w:rPr>
        <w:t xml:space="preserve"> </w:t>
      </w:r>
      <w:r w:rsidR="008518B0" w:rsidRPr="00B004EE">
        <w:rPr>
          <w:rFonts w:ascii="Tahoma" w:hAnsi="Tahoma" w:cs="Tahoma"/>
          <w:sz w:val="20"/>
          <w:szCs w:val="20"/>
        </w:rPr>
        <w:t>l'Economie</w:t>
      </w:r>
      <w:r w:rsidR="00DB1635" w:rsidRPr="00B004EE">
        <w:rPr>
          <w:rFonts w:ascii="Tahoma" w:hAnsi="Tahoma" w:cs="Tahoma"/>
          <w:sz w:val="20"/>
          <w:szCs w:val="20"/>
        </w:rPr>
        <w:t xml:space="preserve"> </w:t>
      </w:r>
      <w:r w:rsidR="008518B0" w:rsidRPr="00B004EE">
        <w:rPr>
          <w:rFonts w:ascii="Tahoma" w:hAnsi="Tahoma" w:cs="Tahoma"/>
          <w:sz w:val="20"/>
          <w:szCs w:val="20"/>
        </w:rPr>
        <w:t>Maritime</w:t>
      </w:r>
      <w:r w:rsidR="00DB1635" w:rsidRPr="00B004EE">
        <w:rPr>
          <w:rFonts w:ascii="Tahoma" w:hAnsi="Tahoma" w:cs="Tahoma"/>
          <w:sz w:val="20"/>
          <w:szCs w:val="20"/>
        </w:rPr>
        <w:t xml:space="preserve"> </w:t>
      </w:r>
      <w:r w:rsidR="008518B0" w:rsidRPr="00B004EE">
        <w:rPr>
          <w:rFonts w:ascii="Tahoma" w:hAnsi="Tahoma" w:cs="Tahoma"/>
          <w:sz w:val="20"/>
          <w:szCs w:val="20"/>
        </w:rPr>
        <w:t>et</w:t>
      </w:r>
      <w:r w:rsidR="00DB1635" w:rsidRPr="00B004EE">
        <w:rPr>
          <w:rFonts w:ascii="Tahoma" w:hAnsi="Tahoma" w:cs="Tahoma"/>
          <w:sz w:val="20"/>
          <w:szCs w:val="20"/>
        </w:rPr>
        <w:t xml:space="preserve"> </w:t>
      </w:r>
      <w:r w:rsidR="008518B0" w:rsidRPr="00B004EE">
        <w:rPr>
          <w:rFonts w:ascii="Tahoma" w:hAnsi="Tahoma" w:cs="Tahoma"/>
          <w:sz w:val="20"/>
          <w:szCs w:val="20"/>
        </w:rPr>
        <w:t>le</w:t>
      </w:r>
      <w:r w:rsidR="00DB1635" w:rsidRPr="00B004EE">
        <w:rPr>
          <w:rFonts w:ascii="Tahoma" w:hAnsi="Tahoma" w:cs="Tahoma"/>
          <w:sz w:val="20"/>
          <w:szCs w:val="20"/>
        </w:rPr>
        <w:t xml:space="preserve"> </w:t>
      </w:r>
      <w:r w:rsidR="008518B0" w:rsidRPr="00B004EE">
        <w:rPr>
          <w:rFonts w:ascii="Tahoma" w:hAnsi="Tahoma" w:cs="Tahoma"/>
          <w:sz w:val="20"/>
          <w:szCs w:val="20"/>
        </w:rPr>
        <w:t>Ministre</w:t>
      </w:r>
      <w:r w:rsidR="00DB1635" w:rsidRPr="00B004EE">
        <w:rPr>
          <w:rFonts w:ascii="Tahoma" w:hAnsi="Tahoma" w:cs="Tahoma"/>
          <w:sz w:val="20"/>
          <w:szCs w:val="20"/>
        </w:rPr>
        <w:t xml:space="preserve"> </w:t>
      </w:r>
      <w:r w:rsidR="008518B0" w:rsidRPr="00B004EE">
        <w:rPr>
          <w:rFonts w:ascii="Tahoma" w:hAnsi="Tahoma" w:cs="Tahoma"/>
          <w:sz w:val="20"/>
          <w:szCs w:val="20"/>
        </w:rPr>
        <w:t>des</w:t>
      </w:r>
      <w:r w:rsidR="00DB1635" w:rsidRPr="00B004EE">
        <w:rPr>
          <w:rFonts w:ascii="Tahoma" w:hAnsi="Tahoma" w:cs="Tahoma"/>
          <w:w w:val="99"/>
          <w:sz w:val="20"/>
          <w:szCs w:val="20"/>
        </w:rPr>
        <w:t xml:space="preserve"> </w:t>
      </w:r>
      <w:r w:rsidR="008518B0" w:rsidRPr="00B004EE">
        <w:rPr>
          <w:rFonts w:ascii="Tahoma" w:hAnsi="Tahoma" w:cs="Tahoma"/>
          <w:sz w:val="20"/>
          <w:szCs w:val="20"/>
        </w:rPr>
        <w:t>Finances,</w:t>
      </w:r>
      <w:r w:rsidR="00DB1635" w:rsidRPr="00B004EE">
        <w:rPr>
          <w:rFonts w:ascii="Tahoma" w:hAnsi="Tahoma" w:cs="Tahoma"/>
          <w:sz w:val="20"/>
          <w:szCs w:val="20"/>
        </w:rPr>
        <w:t xml:space="preserve"> </w:t>
      </w:r>
      <w:r w:rsidR="008518B0" w:rsidRPr="00B004EE">
        <w:rPr>
          <w:rFonts w:ascii="Tahoma" w:hAnsi="Tahoma" w:cs="Tahoma"/>
          <w:sz w:val="20"/>
          <w:szCs w:val="20"/>
        </w:rPr>
        <w:t>sont</w:t>
      </w:r>
      <w:r w:rsidR="00DB1635" w:rsidRPr="00B004EE">
        <w:rPr>
          <w:rFonts w:ascii="Tahoma" w:hAnsi="Tahoma" w:cs="Tahoma"/>
          <w:sz w:val="20"/>
          <w:szCs w:val="20"/>
        </w:rPr>
        <w:t xml:space="preserve"> </w:t>
      </w:r>
      <w:r w:rsidR="008518B0" w:rsidRPr="00B004EE">
        <w:rPr>
          <w:rFonts w:ascii="Tahoma" w:hAnsi="Tahoma" w:cs="Tahoma"/>
          <w:sz w:val="20"/>
          <w:szCs w:val="20"/>
        </w:rPr>
        <w:t>chargés,</w:t>
      </w:r>
      <w:r w:rsidR="00DB1635" w:rsidRPr="00B004EE">
        <w:rPr>
          <w:rFonts w:ascii="Tahoma" w:hAnsi="Tahoma" w:cs="Tahoma"/>
          <w:sz w:val="20"/>
          <w:szCs w:val="20"/>
        </w:rPr>
        <w:t xml:space="preserve"> </w:t>
      </w:r>
      <w:r w:rsidR="008518B0" w:rsidRPr="00B004EE">
        <w:rPr>
          <w:rFonts w:ascii="Tahoma" w:hAnsi="Tahoma" w:cs="Tahoma"/>
          <w:sz w:val="20"/>
          <w:szCs w:val="20"/>
        </w:rPr>
        <w:t>chacun</w:t>
      </w:r>
      <w:r w:rsidR="00DB1635" w:rsidRPr="00B004EE">
        <w:rPr>
          <w:rFonts w:ascii="Tahoma" w:hAnsi="Tahoma" w:cs="Tahoma"/>
          <w:sz w:val="20"/>
          <w:szCs w:val="20"/>
        </w:rPr>
        <w:t xml:space="preserve"> </w:t>
      </w:r>
      <w:r w:rsidR="008518B0" w:rsidRPr="00B004EE">
        <w:rPr>
          <w:rFonts w:ascii="Tahoma" w:hAnsi="Tahoma" w:cs="Tahoma"/>
          <w:sz w:val="20"/>
          <w:szCs w:val="20"/>
        </w:rPr>
        <w:t>en</w:t>
      </w:r>
      <w:r w:rsidR="00DB1635" w:rsidRPr="00B004EE">
        <w:rPr>
          <w:rFonts w:ascii="Tahoma" w:hAnsi="Tahoma" w:cs="Tahoma"/>
          <w:sz w:val="20"/>
          <w:szCs w:val="20"/>
        </w:rPr>
        <w:t xml:space="preserve"> </w:t>
      </w:r>
      <w:r w:rsidR="008518B0" w:rsidRPr="00B004EE">
        <w:rPr>
          <w:rFonts w:ascii="Tahoma" w:hAnsi="Tahoma" w:cs="Tahoma"/>
          <w:sz w:val="20"/>
          <w:szCs w:val="20"/>
        </w:rPr>
        <w:t>ce</w:t>
      </w:r>
      <w:r w:rsidR="00DB1635" w:rsidRPr="00B004EE">
        <w:rPr>
          <w:rFonts w:ascii="Tahoma" w:hAnsi="Tahoma" w:cs="Tahoma"/>
          <w:sz w:val="20"/>
          <w:szCs w:val="20"/>
        </w:rPr>
        <w:t xml:space="preserve"> </w:t>
      </w:r>
      <w:r w:rsidR="008518B0" w:rsidRPr="00B004EE">
        <w:rPr>
          <w:rFonts w:ascii="Tahoma" w:hAnsi="Tahoma" w:cs="Tahoma"/>
          <w:sz w:val="20"/>
          <w:szCs w:val="20"/>
        </w:rPr>
        <w:t>qui</w:t>
      </w:r>
      <w:r w:rsidR="00DB1635" w:rsidRPr="00B004EE">
        <w:rPr>
          <w:rFonts w:ascii="Tahoma" w:hAnsi="Tahoma" w:cs="Tahoma"/>
          <w:sz w:val="20"/>
          <w:szCs w:val="20"/>
        </w:rPr>
        <w:t xml:space="preserve"> </w:t>
      </w:r>
      <w:r w:rsidR="008518B0" w:rsidRPr="00B004EE">
        <w:rPr>
          <w:rFonts w:ascii="Tahoma" w:hAnsi="Tahoma" w:cs="Tahoma"/>
          <w:sz w:val="20"/>
          <w:szCs w:val="20"/>
        </w:rPr>
        <w:t>le</w:t>
      </w:r>
      <w:r w:rsidR="00DB1635" w:rsidRPr="00B004EE">
        <w:rPr>
          <w:rFonts w:ascii="Tahoma" w:hAnsi="Tahoma" w:cs="Tahoma"/>
          <w:sz w:val="20"/>
          <w:szCs w:val="20"/>
        </w:rPr>
        <w:t xml:space="preserve"> </w:t>
      </w:r>
      <w:r w:rsidR="008518B0" w:rsidRPr="00B004EE">
        <w:rPr>
          <w:rFonts w:ascii="Tahoma" w:hAnsi="Tahoma" w:cs="Tahoma"/>
          <w:sz w:val="20"/>
          <w:szCs w:val="20"/>
        </w:rPr>
        <w:t>concerne,</w:t>
      </w:r>
      <w:r w:rsidR="00DB1635" w:rsidRPr="00B004EE">
        <w:rPr>
          <w:rFonts w:ascii="Tahoma" w:hAnsi="Tahoma" w:cs="Tahoma"/>
          <w:sz w:val="20"/>
          <w:szCs w:val="20"/>
        </w:rPr>
        <w:t xml:space="preserve"> </w:t>
      </w:r>
      <w:r w:rsidR="008518B0" w:rsidRPr="00B004EE">
        <w:rPr>
          <w:rFonts w:ascii="Tahoma" w:hAnsi="Tahoma" w:cs="Tahoma"/>
          <w:sz w:val="20"/>
          <w:szCs w:val="20"/>
        </w:rPr>
        <w:t>de</w:t>
      </w:r>
      <w:r w:rsidR="00DB1635" w:rsidRPr="00B004EE">
        <w:rPr>
          <w:rFonts w:ascii="Tahoma" w:hAnsi="Tahoma" w:cs="Tahoma"/>
          <w:sz w:val="20"/>
          <w:szCs w:val="20"/>
        </w:rPr>
        <w:t xml:space="preserve"> </w:t>
      </w:r>
      <w:r w:rsidR="008518B0" w:rsidRPr="00B004EE">
        <w:rPr>
          <w:rFonts w:ascii="Tahoma" w:hAnsi="Tahoma" w:cs="Tahoma"/>
          <w:sz w:val="20"/>
          <w:szCs w:val="20"/>
        </w:rPr>
        <w:t>l'exécution</w:t>
      </w:r>
      <w:r w:rsidR="00DB1635" w:rsidRPr="00B004EE">
        <w:rPr>
          <w:rFonts w:ascii="Tahoma" w:hAnsi="Tahoma" w:cs="Tahoma"/>
          <w:sz w:val="20"/>
          <w:szCs w:val="20"/>
        </w:rPr>
        <w:t xml:space="preserve"> </w:t>
      </w:r>
      <w:r w:rsidR="008518B0" w:rsidRPr="00B004EE">
        <w:rPr>
          <w:rFonts w:ascii="Tahoma" w:hAnsi="Tahoma" w:cs="Tahoma"/>
          <w:sz w:val="20"/>
          <w:szCs w:val="20"/>
        </w:rPr>
        <w:t>du</w:t>
      </w:r>
      <w:r w:rsidR="00DB1635" w:rsidRPr="00B004EE">
        <w:rPr>
          <w:rFonts w:ascii="Tahoma" w:hAnsi="Tahoma" w:cs="Tahoma"/>
          <w:sz w:val="20"/>
          <w:szCs w:val="20"/>
        </w:rPr>
        <w:t xml:space="preserve"> </w:t>
      </w:r>
      <w:r w:rsidR="008518B0" w:rsidRPr="00B004EE">
        <w:rPr>
          <w:rFonts w:ascii="Tahoma" w:hAnsi="Tahoma" w:cs="Tahoma"/>
          <w:sz w:val="20"/>
          <w:szCs w:val="20"/>
        </w:rPr>
        <w:t>présent</w:t>
      </w:r>
      <w:r w:rsidR="00DB1635" w:rsidRPr="00B004EE">
        <w:rPr>
          <w:rFonts w:ascii="Tahoma" w:hAnsi="Tahoma" w:cs="Tahoma"/>
          <w:sz w:val="20"/>
          <w:szCs w:val="20"/>
        </w:rPr>
        <w:t xml:space="preserve"> </w:t>
      </w:r>
      <w:r w:rsidR="008518B0" w:rsidRPr="00B004EE">
        <w:rPr>
          <w:rFonts w:ascii="Tahoma" w:hAnsi="Tahoma" w:cs="Tahoma"/>
          <w:sz w:val="20"/>
          <w:szCs w:val="20"/>
        </w:rPr>
        <w:t>décret</w:t>
      </w:r>
      <w:r w:rsidR="00DB1635" w:rsidRPr="00B004EE">
        <w:rPr>
          <w:rFonts w:ascii="Tahoma" w:hAnsi="Tahoma" w:cs="Tahoma"/>
          <w:sz w:val="20"/>
          <w:szCs w:val="20"/>
        </w:rPr>
        <w:t xml:space="preserve"> </w:t>
      </w:r>
      <w:r w:rsidR="008518B0" w:rsidRPr="00B004EE">
        <w:rPr>
          <w:rFonts w:ascii="Tahoma" w:hAnsi="Tahoma" w:cs="Tahoma"/>
          <w:sz w:val="20"/>
          <w:szCs w:val="20"/>
        </w:rPr>
        <w:t>qui</w:t>
      </w:r>
      <w:r w:rsidR="00DB1635" w:rsidRPr="00B004EE">
        <w:rPr>
          <w:rFonts w:ascii="Tahoma" w:hAnsi="Tahoma" w:cs="Tahoma"/>
          <w:spacing w:val="51"/>
          <w:sz w:val="20"/>
          <w:szCs w:val="20"/>
        </w:rPr>
        <w:t xml:space="preserve"> </w:t>
      </w:r>
      <w:r w:rsidR="008518B0" w:rsidRPr="00B004EE">
        <w:rPr>
          <w:rFonts w:ascii="Tahoma" w:hAnsi="Tahoma" w:cs="Tahoma"/>
          <w:sz w:val="20"/>
          <w:szCs w:val="20"/>
        </w:rPr>
        <w:t>sera</w:t>
      </w:r>
      <w:r w:rsidR="00DB1635" w:rsidRPr="00B004EE">
        <w:rPr>
          <w:rFonts w:ascii="Tahoma" w:hAnsi="Tahoma" w:cs="Tahoma"/>
          <w:w w:val="99"/>
          <w:sz w:val="20"/>
          <w:szCs w:val="20"/>
        </w:rPr>
        <w:t xml:space="preserve"> </w:t>
      </w:r>
      <w:r w:rsidR="008518B0" w:rsidRPr="00B004EE">
        <w:rPr>
          <w:rFonts w:ascii="Tahoma" w:hAnsi="Tahoma" w:cs="Tahoma"/>
          <w:sz w:val="20"/>
          <w:szCs w:val="20"/>
        </w:rPr>
        <w:t>publié</w:t>
      </w:r>
      <w:r w:rsidR="00DB1635" w:rsidRPr="00B004EE">
        <w:rPr>
          <w:rFonts w:ascii="Tahoma" w:hAnsi="Tahoma" w:cs="Tahoma"/>
          <w:sz w:val="20"/>
          <w:szCs w:val="20"/>
        </w:rPr>
        <w:t xml:space="preserve"> </w:t>
      </w:r>
      <w:r w:rsidR="008518B0" w:rsidRPr="00B004EE">
        <w:rPr>
          <w:rFonts w:ascii="Tahoma" w:hAnsi="Tahoma" w:cs="Tahoma"/>
          <w:sz w:val="20"/>
          <w:szCs w:val="20"/>
        </w:rPr>
        <w:t>au</w:t>
      </w:r>
      <w:r w:rsidR="00DB1635" w:rsidRPr="00B004EE">
        <w:rPr>
          <w:rFonts w:ascii="Tahoma" w:hAnsi="Tahoma" w:cs="Tahoma"/>
          <w:sz w:val="20"/>
          <w:szCs w:val="20"/>
        </w:rPr>
        <w:t xml:space="preserve"> </w:t>
      </w:r>
      <w:r w:rsidR="008518B0" w:rsidRPr="00B004EE">
        <w:rPr>
          <w:rFonts w:ascii="Tahoma" w:hAnsi="Tahoma" w:cs="Tahoma"/>
          <w:sz w:val="20"/>
          <w:szCs w:val="20"/>
        </w:rPr>
        <w:t>Journal</w:t>
      </w:r>
      <w:r w:rsidR="00DB1635" w:rsidRPr="00B004EE">
        <w:rPr>
          <w:rFonts w:ascii="Tahoma" w:hAnsi="Tahoma" w:cs="Tahoma"/>
          <w:sz w:val="20"/>
          <w:szCs w:val="20"/>
        </w:rPr>
        <w:t xml:space="preserve"> </w:t>
      </w:r>
      <w:r w:rsidR="008518B0" w:rsidRPr="00B004EE">
        <w:rPr>
          <w:rFonts w:ascii="Tahoma" w:hAnsi="Tahoma" w:cs="Tahoma"/>
          <w:sz w:val="20"/>
          <w:szCs w:val="20"/>
        </w:rPr>
        <w:t>Officiel</w:t>
      </w:r>
      <w:r w:rsidR="00DB1635" w:rsidRPr="00B004EE">
        <w:rPr>
          <w:rFonts w:ascii="Tahoma" w:hAnsi="Tahoma" w:cs="Tahoma"/>
          <w:sz w:val="20"/>
          <w:szCs w:val="20"/>
        </w:rPr>
        <w:t xml:space="preserve"> </w:t>
      </w:r>
      <w:r w:rsidR="008518B0" w:rsidRPr="00B004EE">
        <w:rPr>
          <w:rFonts w:ascii="Tahoma" w:hAnsi="Tahoma" w:cs="Tahoma"/>
          <w:sz w:val="20"/>
          <w:szCs w:val="20"/>
        </w:rPr>
        <w:t>de</w:t>
      </w:r>
      <w:r w:rsidR="00DB1635" w:rsidRPr="00B004EE">
        <w:rPr>
          <w:rFonts w:ascii="Tahoma" w:hAnsi="Tahoma" w:cs="Tahoma"/>
          <w:sz w:val="20"/>
          <w:szCs w:val="20"/>
        </w:rPr>
        <w:t xml:space="preserve"> </w:t>
      </w:r>
      <w:r w:rsidR="008518B0" w:rsidRPr="00B004EE">
        <w:rPr>
          <w:rFonts w:ascii="Tahoma" w:hAnsi="Tahoma" w:cs="Tahoma"/>
          <w:sz w:val="20"/>
          <w:szCs w:val="20"/>
        </w:rPr>
        <w:t>la</w:t>
      </w:r>
      <w:r w:rsidR="00DB1635" w:rsidRPr="00B004EE">
        <w:rPr>
          <w:rFonts w:ascii="Tahoma" w:hAnsi="Tahoma" w:cs="Tahoma"/>
          <w:sz w:val="20"/>
          <w:szCs w:val="20"/>
        </w:rPr>
        <w:t xml:space="preserve"> </w:t>
      </w:r>
      <w:r w:rsidR="008518B0" w:rsidRPr="00B004EE">
        <w:rPr>
          <w:rFonts w:ascii="Tahoma" w:hAnsi="Tahoma" w:cs="Tahoma"/>
          <w:sz w:val="20"/>
          <w:szCs w:val="20"/>
        </w:rPr>
        <w:t>République</w:t>
      </w:r>
      <w:r w:rsidR="00DB1635" w:rsidRPr="00B004EE">
        <w:rPr>
          <w:rFonts w:ascii="Tahoma" w:hAnsi="Tahoma" w:cs="Tahoma"/>
          <w:sz w:val="20"/>
          <w:szCs w:val="20"/>
        </w:rPr>
        <w:t xml:space="preserve"> </w:t>
      </w:r>
      <w:r w:rsidR="008518B0" w:rsidRPr="00B004EE">
        <w:rPr>
          <w:rFonts w:ascii="Tahoma" w:hAnsi="Tahoma" w:cs="Tahoma"/>
          <w:sz w:val="20"/>
          <w:szCs w:val="20"/>
        </w:rPr>
        <w:t>islamique</w:t>
      </w:r>
      <w:r w:rsidR="00DB1635" w:rsidRPr="00B004EE">
        <w:rPr>
          <w:rFonts w:ascii="Tahoma" w:hAnsi="Tahoma" w:cs="Tahoma"/>
          <w:sz w:val="20"/>
          <w:szCs w:val="20"/>
        </w:rPr>
        <w:t xml:space="preserve"> </w:t>
      </w:r>
      <w:r w:rsidR="008518B0" w:rsidRPr="00B004EE">
        <w:rPr>
          <w:rFonts w:ascii="Tahoma" w:hAnsi="Tahoma" w:cs="Tahoma"/>
          <w:sz w:val="20"/>
          <w:szCs w:val="20"/>
        </w:rPr>
        <w:t>de</w:t>
      </w:r>
      <w:r w:rsidR="00DB1635" w:rsidRPr="00B004EE">
        <w:rPr>
          <w:rFonts w:ascii="Tahoma" w:hAnsi="Tahoma" w:cs="Tahoma"/>
          <w:spacing w:val="-18"/>
          <w:sz w:val="20"/>
          <w:szCs w:val="20"/>
        </w:rPr>
        <w:t xml:space="preserve"> </w:t>
      </w:r>
      <w:r w:rsidR="008518B0" w:rsidRPr="00B004EE">
        <w:rPr>
          <w:rFonts w:ascii="Tahoma" w:hAnsi="Tahoma" w:cs="Tahoma"/>
          <w:sz w:val="20"/>
          <w:szCs w:val="20"/>
        </w:rPr>
        <w:t>Mauritanie.</w:t>
      </w:r>
    </w:p>
    <w:p w14:paraId="1B720683" w14:textId="77777777" w:rsidR="00572DF5" w:rsidRPr="00B004EE" w:rsidRDefault="00572DF5" w:rsidP="00B004EE">
      <w:pPr>
        <w:pStyle w:val="Corpsdetexte"/>
        <w:ind w:left="189" w:right="230"/>
        <w:rPr>
          <w:rFonts w:ascii="Tahoma" w:hAnsi="Tahoma" w:cs="Tahoma"/>
          <w:sz w:val="20"/>
          <w:szCs w:val="20"/>
        </w:rPr>
      </w:pPr>
    </w:p>
    <w:p w14:paraId="1639299E" w14:textId="77777777" w:rsidR="00C40988" w:rsidRPr="00B004EE" w:rsidRDefault="00C40988" w:rsidP="00B004EE">
      <w:pPr>
        <w:pStyle w:val="Corpsdetexte"/>
        <w:ind w:left="189" w:right="230"/>
        <w:jc w:val="right"/>
        <w:rPr>
          <w:rFonts w:ascii="Tahoma" w:hAnsi="Tahoma" w:cs="Tahoma"/>
          <w:sz w:val="20"/>
          <w:szCs w:val="20"/>
        </w:rPr>
      </w:pPr>
      <w:r w:rsidRPr="00B004EE">
        <w:rPr>
          <w:rFonts w:ascii="Tahoma" w:hAnsi="Tahoma" w:cs="Tahoma"/>
          <w:i/>
          <w:iCs/>
          <w:sz w:val="20"/>
          <w:szCs w:val="20"/>
        </w:rPr>
        <w:t xml:space="preserve">Fait à Nouakchott le </w:t>
      </w:r>
      <w:r w:rsidRPr="00B004EE">
        <w:rPr>
          <w:rFonts w:ascii="Tahoma" w:hAnsi="Tahoma" w:cs="Tahoma"/>
          <w:sz w:val="20"/>
          <w:szCs w:val="20"/>
        </w:rPr>
        <w:t xml:space="preserve">: </w:t>
      </w:r>
      <w:r w:rsidRPr="00B004EE">
        <w:rPr>
          <w:rFonts w:ascii="Tahoma" w:hAnsi="Tahoma" w:cs="Tahoma"/>
          <w:iCs/>
          <w:spacing w:val="13"/>
          <w:sz w:val="20"/>
          <w:szCs w:val="20"/>
        </w:rPr>
        <w:t xml:space="preserve">13 mars 2007 </w:t>
      </w:r>
    </w:p>
    <w:p w14:paraId="465138F6" w14:textId="554E6CDE" w:rsidR="00C40988" w:rsidRDefault="00C40988" w:rsidP="00B004EE">
      <w:pPr>
        <w:autoSpaceDE w:val="0"/>
        <w:autoSpaceDN w:val="0"/>
        <w:adjustRightInd w:val="0"/>
        <w:jc w:val="center"/>
        <w:rPr>
          <w:rFonts w:ascii="Tahoma" w:hAnsi="Tahoma" w:cs="Tahoma"/>
          <w:sz w:val="20"/>
          <w:szCs w:val="20"/>
        </w:rPr>
      </w:pPr>
    </w:p>
    <w:p w14:paraId="3CB36B46" w14:textId="03DE17D9" w:rsidR="00B004EE" w:rsidRDefault="00B004EE" w:rsidP="00B004EE">
      <w:pPr>
        <w:autoSpaceDE w:val="0"/>
        <w:autoSpaceDN w:val="0"/>
        <w:adjustRightInd w:val="0"/>
        <w:jc w:val="center"/>
        <w:rPr>
          <w:rFonts w:ascii="Tahoma" w:hAnsi="Tahoma" w:cs="Tahoma"/>
          <w:sz w:val="20"/>
          <w:szCs w:val="20"/>
        </w:rPr>
      </w:pPr>
    </w:p>
    <w:p w14:paraId="7A458F42" w14:textId="77777777" w:rsidR="00B004EE" w:rsidRPr="00B004EE" w:rsidRDefault="00B004EE" w:rsidP="00B004EE">
      <w:pPr>
        <w:autoSpaceDE w:val="0"/>
        <w:autoSpaceDN w:val="0"/>
        <w:adjustRightInd w:val="0"/>
        <w:jc w:val="center"/>
        <w:rPr>
          <w:rFonts w:ascii="Tahoma" w:hAnsi="Tahoma" w:cs="Tahoma"/>
          <w:sz w:val="20"/>
          <w:szCs w:val="20"/>
        </w:rPr>
      </w:pPr>
    </w:p>
    <w:p w14:paraId="1AB27F62" w14:textId="29DCE7CF" w:rsidR="00C40988" w:rsidRPr="00B004EE" w:rsidRDefault="00C40988" w:rsidP="00B004EE">
      <w:pPr>
        <w:autoSpaceDE w:val="0"/>
        <w:autoSpaceDN w:val="0"/>
        <w:adjustRightInd w:val="0"/>
        <w:jc w:val="center"/>
        <w:rPr>
          <w:rFonts w:ascii="Tahoma" w:hAnsi="Tahoma" w:cs="Tahoma"/>
          <w:sz w:val="20"/>
          <w:szCs w:val="20"/>
        </w:rPr>
      </w:pPr>
      <w:r w:rsidRPr="00B004EE">
        <w:rPr>
          <w:rFonts w:ascii="Tahoma" w:hAnsi="Tahoma" w:cs="Tahoma"/>
          <w:sz w:val="20"/>
          <w:szCs w:val="20"/>
        </w:rPr>
        <w:t>Sidi Mohamed Ould BOUBACAR</w:t>
      </w:r>
    </w:p>
    <w:p w14:paraId="1AB5AADF" w14:textId="017A51F4" w:rsidR="0024676E" w:rsidRDefault="0024676E" w:rsidP="00B004EE">
      <w:pPr>
        <w:autoSpaceDE w:val="0"/>
        <w:autoSpaceDN w:val="0"/>
        <w:adjustRightInd w:val="0"/>
        <w:jc w:val="center"/>
        <w:rPr>
          <w:rFonts w:ascii="Tahoma" w:hAnsi="Tahoma" w:cs="Tahoma"/>
          <w:sz w:val="20"/>
          <w:szCs w:val="20"/>
        </w:rPr>
      </w:pPr>
    </w:p>
    <w:p w14:paraId="4CA6B0E4" w14:textId="7295A0B3" w:rsidR="00B004EE" w:rsidRDefault="00B004EE" w:rsidP="00B004EE">
      <w:pPr>
        <w:autoSpaceDE w:val="0"/>
        <w:autoSpaceDN w:val="0"/>
        <w:adjustRightInd w:val="0"/>
        <w:jc w:val="center"/>
        <w:rPr>
          <w:rFonts w:ascii="Tahoma" w:hAnsi="Tahoma" w:cs="Tahoma"/>
          <w:sz w:val="20"/>
          <w:szCs w:val="20"/>
        </w:rPr>
      </w:pPr>
    </w:p>
    <w:p w14:paraId="7142ECDC" w14:textId="77777777" w:rsidR="00B004EE" w:rsidRPr="00B004EE" w:rsidRDefault="00B004EE" w:rsidP="00B004EE">
      <w:pPr>
        <w:autoSpaceDE w:val="0"/>
        <w:autoSpaceDN w:val="0"/>
        <w:adjustRightInd w:val="0"/>
        <w:jc w:val="center"/>
        <w:rPr>
          <w:rFonts w:ascii="Tahoma" w:hAnsi="Tahoma" w:cs="Tahoma"/>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4698"/>
      </w:tblGrid>
      <w:tr w:rsidR="0024676E" w:rsidRPr="00B004EE" w14:paraId="5EA8DE94" w14:textId="77777777" w:rsidTr="0024676E">
        <w:tc>
          <w:tcPr>
            <w:tcW w:w="4698" w:type="dxa"/>
          </w:tcPr>
          <w:p w14:paraId="0F49484D" w14:textId="00EC6864" w:rsidR="0024676E" w:rsidRPr="00B004EE" w:rsidRDefault="0024676E" w:rsidP="00B004EE">
            <w:pPr>
              <w:autoSpaceDE w:val="0"/>
              <w:autoSpaceDN w:val="0"/>
              <w:adjustRightInd w:val="0"/>
              <w:ind w:right="1335"/>
              <w:jc w:val="center"/>
              <w:rPr>
                <w:rFonts w:ascii="Tahoma" w:hAnsi="Tahoma" w:cs="Tahoma"/>
              </w:rPr>
            </w:pPr>
            <w:r w:rsidRPr="00B004EE">
              <w:rPr>
                <w:rFonts w:ascii="Tahoma" w:hAnsi="Tahoma" w:cs="Tahoma"/>
              </w:rPr>
              <w:t>Le Ministre des Pêches et de l’Economie Maritime</w:t>
            </w:r>
          </w:p>
        </w:tc>
        <w:tc>
          <w:tcPr>
            <w:tcW w:w="4698" w:type="dxa"/>
          </w:tcPr>
          <w:p w14:paraId="09676561" w14:textId="073C7785" w:rsidR="0024676E" w:rsidRPr="00B004EE" w:rsidRDefault="0024676E" w:rsidP="00B004EE">
            <w:pPr>
              <w:autoSpaceDE w:val="0"/>
              <w:autoSpaceDN w:val="0"/>
              <w:adjustRightInd w:val="0"/>
              <w:ind w:left="579"/>
              <w:jc w:val="center"/>
              <w:rPr>
                <w:rFonts w:ascii="Tahoma" w:hAnsi="Tahoma" w:cs="Tahoma"/>
              </w:rPr>
            </w:pPr>
            <w:r w:rsidRPr="00B004EE">
              <w:rPr>
                <w:rFonts w:ascii="Tahoma" w:hAnsi="Tahoma" w:cs="Tahoma"/>
              </w:rPr>
              <w:t>Le Ministre des Finances</w:t>
            </w:r>
          </w:p>
        </w:tc>
      </w:tr>
      <w:tr w:rsidR="0024676E" w:rsidRPr="00E34453" w14:paraId="612A4FEA" w14:textId="77777777" w:rsidTr="0024676E">
        <w:tc>
          <w:tcPr>
            <w:tcW w:w="4698" w:type="dxa"/>
          </w:tcPr>
          <w:p w14:paraId="5F591190" w14:textId="239417A0" w:rsidR="0024676E" w:rsidRPr="00B004EE" w:rsidRDefault="0024676E" w:rsidP="00B004EE">
            <w:pPr>
              <w:autoSpaceDE w:val="0"/>
              <w:autoSpaceDN w:val="0"/>
              <w:adjustRightInd w:val="0"/>
              <w:ind w:right="1335"/>
              <w:jc w:val="center"/>
              <w:rPr>
                <w:rFonts w:ascii="Tahoma" w:hAnsi="Tahoma" w:cs="Tahoma"/>
              </w:rPr>
            </w:pPr>
            <w:r w:rsidRPr="00B004EE">
              <w:rPr>
                <w:rFonts w:ascii="Tahoma" w:hAnsi="Tahoma" w:cs="Tahoma"/>
                <w:lang w:val="en-US"/>
              </w:rPr>
              <w:t>Sidi Mohamed Ould SIDINA</w:t>
            </w:r>
          </w:p>
        </w:tc>
        <w:tc>
          <w:tcPr>
            <w:tcW w:w="4698" w:type="dxa"/>
          </w:tcPr>
          <w:p w14:paraId="7703A052" w14:textId="2AECB46C" w:rsidR="0024676E" w:rsidRPr="00B004EE" w:rsidRDefault="0024676E" w:rsidP="00B004EE">
            <w:pPr>
              <w:autoSpaceDE w:val="0"/>
              <w:autoSpaceDN w:val="0"/>
              <w:adjustRightInd w:val="0"/>
              <w:ind w:left="1004" w:right="503"/>
              <w:jc w:val="center"/>
              <w:rPr>
                <w:rFonts w:ascii="Tahoma" w:hAnsi="Tahoma" w:cs="Tahoma"/>
                <w:lang w:val="en-US"/>
              </w:rPr>
            </w:pPr>
            <w:r w:rsidRPr="00B004EE">
              <w:rPr>
                <w:rFonts w:ascii="Tahoma" w:hAnsi="Tahoma" w:cs="Tahoma"/>
                <w:lang w:val="en-US"/>
              </w:rPr>
              <w:t>Abdallahi Ould Souleymane Ould CHEIKH SIDIYA</w:t>
            </w:r>
          </w:p>
        </w:tc>
      </w:tr>
    </w:tbl>
    <w:p w14:paraId="159A3AEB" w14:textId="77777777" w:rsidR="00B30305" w:rsidRPr="00B004EE" w:rsidRDefault="00B30305" w:rsidP="00B004EE">
      <w:pPr>
        <w:pStyle w:val="Corpsdetexte"/>
        <w:ind w:left="189" w:right="230"/>
        <w:rPr>
          <w:rFonts w:ascii="Tahoma" w:hAnsi="Tahoma" w:cs="Tahoma"/>
          <w:sz w:val="20"/>
          <w:szCs w:val="20"/>
          <w:lang w:val="en-US"/>
        </w:rPr>
        <w:sectPr w:rsidR="00B30305" w:rsidRPr="00B004EE" w:rsidSect="00983185">
          <w:pgSz w:w="12240" w:h="15840"/>
          <w:pgMar w:top="1417" w:right="1417" w:bottom="1417" w:left="1417" w:header="720" w:footer="720" w:gutter="0"/>
          <w:cols w:space="720"/>
          <w:noEndnote/>
          <w:docGrid w:linePitch="326"/>
        </w:sectPr>
      </w:pPr>
      <w:bookmarkStart w:id="156" w:name="_Toc16279112"/>
      <w:bookmarkStart w:id="157" w:name="_Toc16288666"/>
      <w:bookmarkStart w:id="158" w:name="_Toc17022007"/>
    </w:p>
    <w:p w14:paraId="4D126627" w14:textId="77777777" w:rsidR="00B30305" w:rsidRPr="00B004EE" w:rsidRDefault="00B30305" w:rsidP="00B004EE">
      <w:pPr>
        <w:pStyle w:val="Titre1"/>
        <w:pBdr>
          <w:top w:val="thinThickMediumGap" w:sz="24" w:space="1" w:color="70AD47" w:themeColor="accent6"/>
          <w:left w:val="thinThickMediumGap" w:sz="24" w:space="4" w:color="70AD47" w:themeColor="accent6"/>
          <w:bottom w:val="thickThinMediumGap" w:sz="24" w:space="1" w:color="70AD47" w:themeColor="accent6"/>
          <w:right w:val="thickThinMediumGap" w:sz="24" w:space="4" w:color="70AD47" w:themeColor="accent6"/>
        </w:pBdr>
        <w:spacing w:line="276" w:lineRule="auto"/>
        <w:jc w:val="both"/>
        <w:rPr>
          <w:rFonts w:ascii="Tahoma" w:hAnsi="Tahoma" w:cs="Tahoma"/>
          <w:szCs w:val="22"/>
        </w:rPr>
      </w:pPr>
      <w:bookmarkStart w:id="159" w:name="_Toc202214678"/>
      <w:r w:rsidRPr="00B004EE">
        <w:rPr>
          <w:rFonts w:ascii="Tahoma" w:hAnsi="Tahoma" w:cs="Tahoma"/>
          <w:szCs w:val="22"/>
        </w:rPr>
        <w:lastRenderedPageBreak/>
        <w:t>Décret n° 2008-177 du 07 mai 2008 portant modification de disposition du décret n° 2007-066 du 13 mars 2007 portant création d’un Office National d’Inspection Sanitaire des produits de la pêche et de l’Aquaculture et fixant ses règles d’organisation et de fonctionnement.</w:t>
      </w:r>
      <w:bookmarkEnd w:id="159"/>
    </w:p>
    <w:p w14:paraId="55E5C541" w14:textId="77777777" w:rsidR="00B30305" w:rsidRPr="00B004EE" w:rsidRDefault="00B30305" w:rsidP="00B004EE">
      <w:pPr>
        <w:jc w:val="both"/>
        <w:rPr>
          <w:rFonts w:ascii="Tahoma" w:eastAsia="Times" w:hAnsi="Tahoma" w:cs="Tahoma"/>
          <w:sz w:val="20"/>
          <w:szCs w:val="20"/>
        </w:rPr>
      </w:pPr>
    </w:p>
    <w:p w14:paraId="6ACD2C59" w14:textId="28568701" w:rsidR="00B30305" w:rsidRPr="00B004EE" w:rsidRDefault="00B30305" w:rsidP="00B004EE">
      <w:pPr>
        <w:jc w:val="both"/>
        <w:rPr>
          <w:rFonts w:ascii="Tahoma" w:hAnsi="Tahoma" w:cs="Tahoma"/>
          <w:sz w:val="20"/>
          <w:szCs w:val="20"/>
        </w:rPr>
      </w:pPr>
      <w:r w:rsidRPr="00B004EE">
        <w:rPr>
          <w:rFonts w:ascii="Tahoma" w:hAnsi="Tahoma" w:cs="Tahoma"/>
          <w:sz w:val="20"/>
          <w:szCs w:val="20"/>
        </w:rPr>
        <w:t xml:space="preserve">Article premier : Les articles 2, 2 bis, 3,7,19,24 et 27 du décret n° 2007-066 du 13 mars </w:t>
      </w:r>
      <w:r w:rsidRPr="00B004EE">
        <w:rPr>
          <w:rFonts w:ascii="Tahoma" w:hAnsi="Tahoma" w:cs="Tahoma"/>
          <w:spacing w:val="6"/>
          <w:sz w:val="20"/>
          <w:szCs w:val="20"/>
        </w:rPr>
        <w:t xml:space="preserve">2007 portant modification de certaines dispositions du décret n° 2007-066 du 13 mars 2007 portant création d’un Office National d’Inspection Sanitaire des produits de la pêche et de l’Aquaculture et fixant ses règles d’organisation et de fonctionnement d’organisation et de fonctionnement sont m modifiés ainsi qu’il </w:t>
      </w:r>
      <w:proofErr w:type="gramStart"/>
      <w:r w:rsidR="0024676E" w:rsidRPr="00B004EE">
        <w:rPr>
          <w:rFonts w:ascii="Tahoma" w:hAnsi="Tahoma" w:cs="Tahoma"/>
          <w:spacing w:val="6"/>
          <w:sz w:val="20"/>
          <w:szCs w:val="20"/>
        </w:rPr>
        <w:t>suit</w:t>
      </w:r>
      <w:r w:rsidR="0024676E" w:rsidRPr="00B004EE">
        <w:rPr>
          <w:rFonts w:ascii="Tahoma" w:hAnsi="Tahoma" w:cs="Tahoma"/>
          <w:sz w:val="20"/>
          <w:szCs w:val="20"/>
        </w:rPr>
        <w:t>:</w:t>
      </w:r>
      <w:proofErr w:type="gramEnd"/>
    </w:p>
    <w:p w14:paraId="5C2B3516" w14:textId="77777777" w:rsidR="00B30305" w:rsidRPr="00B004EE" w:rsidRDefault="00B30305" w:rsidP="00B004EE">
      <w:pPr>
        <w:jc w:val="both"/>
        <w:rPr>
          <w:rFonts w:ascii="Tahoma" w:hAnsi="Tahoma" w:cs="Tahoma"/>
          <w:sz w:val="20"/>
          <w:szCs w:val="20"/>
        </w:rPr>
      </w:pPr>
    </w:p>
    <w:p w14:paraId="00A0766C" w14:textId="77777777" w:rsidR="00B30305" w:rsidRPr="00B004EE" w:rsidRDefault="00B30305" w:rsidP="00B004EE">
      <w:pPr>
        <w:jc w:val="both"/>
        <w:rPr>
          <w:rFonts w:ascii="Tahoma" w:hAnsi="Tahoma" w:cs="Tahoma"/>
          <w:sz w:val="20"/>
          <w:szCs w:val="20"/>
        </w:rPr>
      </w:pPr>
      <w:r w:rsidRPr="00B004EE">
        <w:rPr>
          <w:rFonts w:ascii="Tahoma" w:hAnsi="Tahoma" w:cs="Tahoma"/>
          <w:sz w:val="20"/>
          <w:szCs w:val="20"/>
        </w:rPr>
        <w:t>Article 2 (nouveau) :</w:t>
      </w:r>
    </w:p>
    <w:p w14:paraId="3AD1945F" w14:textId="77777777" w:rsidR="00B30305" w:rsidRPr="00B004EE" w:rsidRDefault="00B30305" w:rsidP="00B004EE">
      <w:pPr>
        <w:jc w:val="both"/>
        <w:rPr>
          <w:rFonts w:ascii="Tahoma" w:hAnsi="Tahoma" w:cs="Tahoma"/>
          <w:sz w:val="20"/>
          <w:szCs w:val="20"/>
        </w:rPr>
      </w:pPr>
      <w:r w:rsidRPr="00B004EE">
        <w:rPr>
          <w:rFonts w:ascii="Tahoma" w:hAnsi="Tahoma" w:cs="Tahoma"/>
          <w:sz w:val="20"/>
          <w:szCs w:val="20"/>
        </w:rPr>
        <w:t>Au sens du présent décret, on entend par établissement : les navires-usines, les navires congélateurs, les usines de traitement des produits de la pêche, les Entrepôts de stockage, les centres de purification des mollusques bivalves, les centres de traitement et d’expédition des mollusques bivalves et les sites de cultures aquacoles</w:t>
      </w:r>
    </w:p>
    <w:p w14:paraId="1535DB71" w14:textId="77777777" w:rsidR="00B30305" w:rsidRPr="00B004EE" w:rsidRDefault="00B30305" w:rsidP="00B004EE">
      <w:pPr>
        <w:jc w:val="both"/>
        <w:rPr>
          <w:rFonts w:ascii="Tahoma" w:hAnsi="Tahoma" w:cs="Tahoma"/>
          <w:sz w:val="20"/>
          <w:szCs w:val="20"/>
        </w:rPr>
      </w:pPr>
    </w:p>
    <w:p w14:paraId="4E302E74" w14:textId="77777777" w:rsidR="00B30305" w:rsidRPr="00B004EE" w:rsidRDefault="00B30305" w:rsidP="00B004EE">
      <w:pPr>
        <w:jc w:val="both"/>
        <w:rPr>
          <w:rFonts w:ascii="Tahoma" w:hAnsi="Tahoma" w:cs="Tahoma"/>
          <w:sz w:val="20"/>
          <w:szCs w:val="20"/>
        </w:rPr>
      </w:pPr>
      <w:r w:rsidRPr="00B004EE">
        <w:rPr>
          <w:rFonts w:ascii="Tahoma" w:hAnsi="Tahoma" w:cs="Tahoma"/>
          <w:sz w:val="20"/>
          <w:szCs w:val="20"/>
        </w:rPr>
        <w:t>Article 2 bis : (Nouveau)</w:t>
      </w:r>
    </w:p>
    <w:p w14:paraId="3BAE255A" w14:textId="77777777" w:rsidR="00B30305" w:rsidRPr="00B004EE" w:rsidRDefault="00B30305" w:rsidP="00B004EE">
      <w:pPr>
        <w:jc w:val="both"/>
        <w:rPr>
          <w:rFonts w:ascii="Tahoma" w:hAnsi="Tahoma" w:cs="Tahoma"/>
          <w:sz w:val="20"/>
          <w:szCs w:val="20"/>
        </w:rPr>
      </w:pPr>
      <w:r w:rsidRPr="00B004EE">
        <w:rPr>
          <w:rFonts w:ascii="Tahoma" w:hAnsi="Tahoma" w:cs="Tahoma"/>
          <w:sz w:val="20"/>
          <w:szCs w:val="20"/>
        </w:rPr>
        <w:t>L’Office national d’Inspection Sanitaire des produits de la pêche et de l’Aquaculture, a pour mission de :</w:t>
      </w:r>
    </w:p>
    <w:p w14:paraId="22DBD2ED" w14:textId="77777777" w:rsidR="00B30305" w:rsidRPr="00B004EE" w:rsidRDefault="00B30305" w:rsidP="00420DDA">
      <w:pPr>
        <w:pStyle w:val="Paragraphedeliste"/>
        <w:widowControl w:val="0"/>
        <w:numPr>
          <w:ilvl w:val="0"/>
          <w:numId w:val="121"/>
        </w:numPr>
        <w:ind w:left="567"/>
        <w:contextualSpacing/>
        <w:jc w:val="both"/>
        <w:rPr>
          <w:rFonts w:ascii="Tahoma" w:hAnsi="Tahoma" w:cs="Tahoma"/>
          <w:sz w:val="20"/>
          <w:szCs w:val="20"/>
        </w:rPr>
      </w:pPr>
      <w:r w:rsidRPr="00B004EE">
        <w:rPr>
          <w:rFonts w:ascii="Tahoma" w:hAnsi="Tahoma" w:cs="Tahoma"/>
          <w:sz w:val="20"/>
          <w:szCs w:val="20"/>
        </w:rPr>
        <w:t>Appliquer la réglementation nationale et internationale relative à la qualité, à l’hygiène et à la salubrité des produits, des établissements et des zones de production ;</w:t>
      </w:r>
    </w:p>
    <w:p w14:paraId="663790C8" w14:textId="77777777" w:rsidR="00B30305" w:rsidRPr="00B004EE" w:rsidRDefault="00B30305" w:rsidP="00420DDA">
      <w:pPr>
        <w:pStyle w:val="Paragraphedeliste"/>
        <w:widowControl w:val="0"/>
        <w:numPr>
          <w:ilvl w:val="0"/>
          <w:numId w:val="121"/>
        </w:numPr>
        <w:ind w:left="567"/>
        <w:contextualSpacing/>
        <w:jc w:val="both"/>
        <w:rPr>
          <w:rFonts w:ascii="Tahoma" w:hAnsi="Tahoma" w:cs="Tahoma"/>
          <w:sz w:val="20"/>
          <w:szCs w:val="20"/>
        </w:rPr>
      </w:pPr>
      <w:r w:rsidRPr="00B004EE">
        <w:rPr>
          <w:rFonts w:ascii="Tahoma" w:hAnsi="Tahoma" w:cs="Tahoma"/>
          <w:sz w:val="20"/>
          <w:szCs w:val="20"/>
        </w:rPr>
        <w:t>Organiser et exécuter les opérations de contrôle et d’inspection des produits, des établissements et des zones de production.</w:t>
      </w:r>
    </w:p>
    <w:p w14:paraId="7CBA3BD1" w14:textId="77777777" w:rsidR="00B30305" w:rsidRPr="00B004EE" w:rsidRDefault="00B30305" w:rsidP="00420DDA">
      <w:pPr>
        <w:pStyle w:val="Paragraphedeliste"/>
        <w:widowControl w:val="0"/>
        <w:numPr>
          <w:ilvl w:val="0"/>
          <w:numId w:val="121"/>
        </w:numPr>
        <w:ind w:left="567"/>
        <w:contextualSpacing/>
        <w:jc w:val="both"/>
        <w:rPr>
          <w:rFonts w:ascii="Tahoma" w:hAnsi="Tahoma" w:cs="Tahoma"/>
          <w:sz w:val="20"/>
          <w:szCs w:val="20"/>
        </w:rPr>
      </w:pPr>
      <w:r w:rsidRPr="00B004EE">
        <w:rPr>
          <w:rFonts w:ascii="Tahoma" w:hAnsi="Tahoma" w:cs="Tahoma"/>
          <w:sz w:val="20"/>
          <w:szCs w:val="20"/>
        </w:rPr>
        <w:t>Fournir les avis techniques et scientifiques à l’autorité nationale compétente en matière de qualité, d’hygiène et de salubrité des établissements, des produits et des zones de production.</w:t>
      </w:r>
    </w:p>
    <w:p w14:paraId="0F95C81A" w14:textId="77777777" w:rsidR="00B30305" w:rsidRPr="00B004EE" w:rsidRDefault="00B30305" w:rsidP="00420DDA">
      <w:pPr>
        <w:pStyle w:val="Paragraphedeliste"/>
        <w:widowControl w:val="0"/>
        <w:numPr>
          <w:ilvl w:val="0"/>
          <w:numId w:val="121"/>
        </w:numPr>
        <w:ind w:left="567"/>
        <w:contextualSpacing/>
        <w:jc w:val="both"/>
        <w:rPr>
          <w:rFonts w:ascii="Tahoma" w:hAnsi="Tahoma" w:cs="Tahoma"/>
          <w:sz w:val="20"/>
          <w:szCs w:val="20"/>
        </w:rPr>
      </w:pPr>
      <w:r w:rsidRPr="00B004EE">
        <w:rPr>
          <w:rFonts w:ascii="Tahoma" w:hAnsi="Tahoma" w:cs="Tahoma"/>
          <w:sz w:val="20"/>
          <w:szCs w:val="20"/>
        </w:rPr>
        <w:t>Contribuer à la création d’un label national de qualité commerciale et hygiénique ;</w:t>
      </w:r>
    </w:p>
    <w:p w14:paraId="002A34A3" w14:textId="77777777" w:rsidR="00B30305" w:rsidRPr="00B004EE" w:rsidRDefault="00B30305" w:rsidP="00420DDA">
      <w:pPr>
        <w:pStyle w:val="Paragraphedeliste"/>
        <w:widowControl w:val="0"/>
        <w:numPr>
          <w:ilvl w:val="0"/>
          <w:numId w:val="121"/>
        </w:numPr>
        <w:ind w:left="567"/>
        <w:contextualSpacing/>
        <w:jc w:val="both"/>
        <w:rPr>
          <w:rFonts w:ascii="Tahoma" w:hAnsi="Tahoma" w:cs="Tahoma"/>
          <w:sz w:val="20"/>
          <w:szCs w:val="20"/>
        </w:rPr>
      </w:pPr>
      <w:r w:rsidRPr="00B004EE">
        <w:rPr>
          <w:rFonts w:ascii="Tahoma" w:hAnsi="Tahoma" w:cs="Tahoma"/>
          <w:sz w:val="20"/>
          <w:szCs w:val="20"/>
        </w:rPr>
        <w:t>Contribuer à l’élaboration de la réglementation en matière de qualité d’hygiène et de salubrité des produits.</w:t>
      </w:r>
    </w:p>
    <w:p w14:paraId="6E32049D" w14:textId="77777777" w:rsidR="00B30305" w:rsidRPr="00B004EE" w:rsidRDefault="00B30305" w:rsidP="00420DDA">
      <w:pPr>
        <w:pStyle w:val="Paragraphedeliste"/>
        <w:widowControl w:val="0"/>
        <w:numPr>
          <w:ilvl w:val="0"/>
          <w:numId w:val="121"/>
        </w:numPr>
        <w:ind w:left="567"/>
        <w:contextualSpacing/>
        <w:jc w:val="both"/>
        <w:rPr>
          <w:rFonts w:ascii="Tahoma" w:hAnsi="Tahoma" w:cs="Tahoma"/>
          <w:sz w:val="20"/>
          <w:szCs w:val="20"/>
        </w:rPr>
      </w:pPr>
      <w:r w:rsidRPr="00B004EE">
        <w:rPr>
          <w:rFonts w:ascii="Tahoma" w:hAnsi="Tahoma" w:cs="Tahoma"/>
          <w:sz w:val="20"/>
          <w:szCs w:val="20"/>
        </w:rPr>
        <w:t>Veiller au respect des normes nationales et internationales relatives à la qualité, à l’hygiène et à la salubrité des produits, des établissements et des zones de production.</w:t>
      </w:r>
    </w:p>
    <w:p w14:paraId="0FE7EC1B" w14:textId="77777777" w:rsidR="00B30305" w:rsidRPr="00B004EE" w:rsidRDefault="00B30305" w:rsidP="00420DDA">
      <w:pPr>
        <w:pStyle w:val="Paragraphedeliste"/>
        <w:widowControl w:val="0"/>
        <w:numPr>
          <w:ilvl w:val="0"/>
          <w:numId w:val="121"/>
        </w:numPr>
        <w:ind w:left="567"/>
        <w:contextualSpacing/>
        <w:jc w:val="both"/>
        <w:rPr>
          <w:rFonts w:ascii="Tahoma" w:hAnsi="Tahoma" w:cs="Tahoma"/>
          <w:sz w:val="20"/>
          <w:szCs w:val="20"/>
        </w:rPr>
      </w:pPr>
      <w:r w:rsidRPr="00B004EE">
        <w:rPr>
          <w:rFonts w:ascii="Tahoma" w:hAnsi="Tahoma" w:cs="Tahoma"/>
          <w:sz w:val="20"/>
          <w:szCs w:val="20"/>
        </w:rPr>
        <w:t>Identifier, caractériser et communiquer sur les risques sanitaires des produits de pêche en application des principes HACCP (</w:t>
      </w:r>
      <w:r w:rsidRPr="00B004EE">
        <w:rPr>
          <w:rFonts w:ascii="Tahoma" w:hAnsi="Tahoma" w:cs="Tahoma"/>
          <w:i/>
          <w:iCs/>
          <w:sz w:val="20"/>
          <w:szCs w:val="20"/>
        </w:rPr>
        <w:t>Hasard Analysis Critical Control Point</w:t>
      </w:r>
      <w:r w:rsidRPr="00B004EE">
        <w:rPr>
          <w:rFonts w:ascii="Tahoma" w:hAnsi="Tahoma" w:cs="Tahoma"/>
          <w:sz w:val="20"/>
          <w:szCs w:val="20"/>
        </w:rPr>
        <w:t>) associés à la mise en œuvre des bonnes pratiques d’hygiène.</w:t>
      </w:r>
    </w:p>
    <w:p w14:paraId="4F598D6B" w14:textId="77777777" w:rsidR="00B30305" w:rsidRPr="00B004EE" w:rsidRDefault="00B30305" w:rsidP="00420DDA">
      <w:pPr>
        <w:pStyle w:val="Paragraphedeliste"/>
        <w:widowControl w:val="0"/>
        <w:numPr>
          <w:ilvl w:val="0"/>
          <w:numId w:val="121"/>
        </w:numPr>
        <w:ind w:left="567"/>
        <w:contextualSpacing/>
        <w:jc w:val="both"/>
        <w:rPr>
          <w:rFonts w:ascii="Tahoma" w:hAnsi="Tahoma" w:cs="Tahoma"/>
          <w:sz w:val="20"/>
          <w:szCs w:val="20"/>
        </w:rPr>
      </w:pPr>
      <w:r w:rsidRPr="00B004EE">
        <w:rPr>
          <w:rFonts w:ascii="Tahoma" w:hAnsi="Tahoma" w:cs="Tahoma"/>
          <w:sz w:val="20"/>
          <w:szCs w:val="20"/>
        </w:rPr>
        <w:t>Elaborer des méthodes et procédures de contrôle et d’inspection fiables et transparentes pour les produits, les établissements et des zones de production.</w:t>
      </w:r>
    </w:p>
    <w:p w14:paraId="399311E5" w14:textId="77777777" w:rsidR="00B30305" w:rsidRPr="00B004EE" w:rsidRDefault="00B30305" w:rsidP="00420DDA">
      <w:pPr>
        <w:pStyle w:val="Paragraphedeliste"/>
        <w:widowControl w:val="0"/>
        <w:numPr>
          <w:ilvl w:val="0"/>
          <w:numId w:val="121"/>
        </w:numPr>
        <w:ind w:left="567"/>
        <w:contextualSpacing/>
        <w:jc w:val="both"/>
        <w:rPr>
          <w:rFonts w:ascii="Tahoma" w:hAnsi="Tahoma" w:cs="Tahoma"/>
          <w:sz w:val="20"/>
          <w:szCs w:val="20"/>
        </w:rPr>
      </w:pPr>
      <w:r w:rsidRPr="00B004EE">
        <w:rPr>
          <w:rFonts w:ascii="Tahoma" w:hAnsi="Tahoma" w:cs="Tahoma"/>
          <w:sz w:val="20"/>
          <w:szCs w:val="20"/>
        </w:rPr>
        <w:t>Assurer le contrôle de qualité et de salubrité des produits, des établissements, des sites de vente et des zones de production.</w:t>
      </w:r>
    </w:p>
    <w:p w14:paraId="5A2257BB" w14:textId="77777777" w:rsidR="00B30305" w:rsidRPr="00B004EE" w:rsidRDefault="00B30305" w:rsidP="00420DDA">
      <w:pPr>
        <w:pStyle w:val="Paragraphedeliste"/>
        <w:widowControl w:val="0"/>
        <w:numPr>
          <w:ilvl w:val="0"/>
          <w:numId w:val="121"/>
        </w:numPr>
        <w:ind w:left="567"/>
        <w:contextualSpacing/>
        <w:jc w:val="both"/>
        <w:rPr>
          <w:rFonts w:ascii="Tahoma" w:hAnsi="Tahoma" w:cs="Tahoma"/>
          <w:sz w:val="20"/>
          <w:szCs w:val="20"/>
        </w:rPr>
      </w:pPr>
      <w:r w:rsidRPr="00B004EE">
        <w:rPr>
          <w:rFonts w:ascii="Tahoma" w:hAnsi="Tahoma" w:cs="Tahoma"/>
          <w:sz w:val="20"/>
          <w:szCs w:val="20"/>
        </w:rPr>
        <w:t>Effectuer des analyses sur les produits, l’eau de traitement, la glace et les intrants utilisés dans la production les outils de travail et les surfaces des équipements.</w:t>
      </w:r>
    </w:p>
    <w:p w14:paraId="728C7D18" w14:textId="77777777" w:rsidR="00B30305" w:rsidRPr="00B004EE" w:rsidRDefault="00B30305" w:rsidP="00420DDA">
      <w:pPr>
        <w:pStyle w:val="Paragraphedeliste"/>
        <w:widowControl w:val="0"/>
        <w:numPr>
          <w:ilvl w:val="0"/>
          <w:numId w:val="121"/>
        </w:numPr>
        <w:ind w:left="567"/>
        <w:contextualSpacing/>
        <w:jc w:val="both"/>
        <w:rPr>
          <w:rFonts w:ascii="Tahoma" w:hAnsi="Tahoma" w:cs="Tahoma"/>
          <w:sz w:val="20"/>
          <w:szCs w:val="20"/>
        </w:rPr>
      </w:pPr>
      <w:r w:rsidRPr="00B004EE">
        <w:rPr>
          <w:rFonts w:ascii="Tahoma" w:hAnsi="Tahoma" w:cs="Tahoma"/>
          <w:sz w:val="20"/>
          <w:szCs w:val="20"/>
        </w:rPr>
        <w:t>Assurer le contrôle des unités de production, des produits traits dans ces unités, des moyens de transport, des sites de vente, des zones de production ainsi que les autocontrôles appliqués sur l’ensemble de la chaîne de production.</w:t>
      </w:r>
    </w:p>
    <w:p w14:paraId="12A7EB98" w14:textId="77777777" w:rsidR="00B30305" w:rsidRPr="00B004EE" w:rsidRDefault="00B30305" w:rsidP="00420DDA">
      <w:pPr>
        <w:pStyle w:val="Paragraphedeliste"/>
        <w:widowControl w:val="0"/>
        <w:numPr>
          <w:ilvl w:val="0"/>
          <w:numId w:val="121"/>
        </w:numPr>
        <w:ind w:left="567"/>
        <w:contextualSpacing/>
        <w:jc w:val="both"/>
        <w:rPr>
          <w:rFonts w:ascii="Tahoma" w:hAnsi="Tahoma" w:cs="Tahoma"/>
          <w:sz w:val="20"/>
          <w:szCs w:val="20"/>
        </w:rPr>
      </w:pPr>
      <w:r w:rsidRPr="00B004EE">
        <w:rPr>
          <w:rFonts w:ascii="Tahoma" w:hAnsi="Tahoma" w:cs="Tahoma"/>
          <w:sz w:val="20"/>
          <w:szCs w:val="20"/>
        </w:rPr>
        <w:t>Délivrer les certificats sanitaires pour l’expédition à l’intérieur du pays et pour l’exportation des produits de la pêche et de l’aquaculture.</w:t>
      </w:r>
    </w:p>
    <w:p w14:paraId="4F05F305" w14:textId="77777777" w:rsidR="00B30305" w:rsidRPr="00B004EE" w:rsidRDefault="00B30305" w:rsidP="00420DDA">
      <w:pPr>
        <w:pStyle w:val="Paragraphedeliste"/>
        <w:widowControl w:val="0"/>
        <w:numPr>
          <w:ilvl w:val="0"/>
          <w:numId w:val="121"/>
        </w:numPr>
        <w:ind w:left="567"/>
        <w:contextualSpacing/>
        <w:jc w:val="both"/>
        <w:rPr>
          <w:rFonts w:ascii="Tahoma" w:hAnsi="Tahoma" w:cs="Tahoma"/>
          <w:sz w:val="20"/>
          <w:szCs w:val="20"/>
        </w:rPr>
      </w:pPr>
      <w:r w:rsidRPr="00B004EE">
        <w:rPr>
          <w:rFonts w:ascii="Tahoma" w:hAnsi="Tahoma" w:cs="Tahoma"/>
          <w:sz w:val="20"/>
          <w:szCs w:val="20"/>
        </w:rPr>
        <w:t>Contrôler et inspecter les produits de pêche et d’aquaculture mis sur le marché national.</w:t>
      </w:r>
    </w:p>
    <w:p w14:paraId="3248E7A0" w14:textId="77777777" w:rsidR="00B30305" w:rsidRPr="00B004EE" w:rsidRDefault="00B30305" w:rsidP="00420DDA">
      <w:pPr>
        <w:pStyle w:val="Paragraphedeliste"/>
        <w:widowControl w:val="0"/>
        <w:numPr>
          <w:ilvl w:val="0"/>
          <w:numId w:val="121"/>
        </w:numPr>
        <w:ind w:left="567"/>
        <w:contextualSpacing/>
        <w:jc w:val="both"/>
        <w:rPr>
          <w:rFonts w:ascii="Tahoma" w:hAnsi="Tahoma" w:cs="Tahoma"/>
          <w:sz w:val="20"/>
          <w:szCs w:val="20"/>
        </w:rPr>
      </w:pPr>
      <w:r w:rsidRPr="00B004EE">
        <w:rPr>
          <w:rFonts w:ascii="Tahoma" w:hAnsi="Tahoma" w:cs="Tahoma"/>
          <w:sz w:val="20"/>
          <w:szCs w:val="20"/>
        </w:rPr>
        <w:t>Evaluer les établissements de pêche en vue de leur agrément, de leur suspension ou du retrait de l’agrément.</w:t>
      </w:r>
    </w:p>
    <w:p w14:paraId="31EAB2AD" w14:textId="77777777" w:rsidR="00B30305" w:rsidRPr="00B004EE" w:rsidRDefault="00B30305" w:rsidP="00420DDA">
      <w:pPr>
        <w:pStyle w:val="Paragraphedeliste"/>
        <w:widowControl w:val="0"/>
        <w:numPr>
          <w:ilvl w:val="0"/>
          <w:numId w:val="121"/>
        </w:numPr>
        <w:ind w:left="567"/>
        <w:contextualSpacing/>
        <w:jc w:val="both"/>
        <w:rPr>
          <w:rFonts w:ascii="Tahoma" w:hAnsi="Tahoma" w:cs="Tahoma"/>
          <w:sz w:val="20"/>
          <w:szCs w:val="20"/>
        </w:rPr>
      </w:pPr>
      <w:r w:rsidRPr="00B004EE">
        <w:rPr>
          <w:rFonts w:ascii="Tahoma" w:hAnsi="Tahoma" w:cs="Tahoma"/>
          <w:sz w:val="20"/>
          <w:szCs w:val="20"/>
        </w:rPr>
        <w:t>Constituer une base de données sur les activités de l’inspection et du contrôle sanitaire ;</w:t>
      </w:r>
    </w:p>
    <w:p w14:paraId="13D5709D" w14:textId="77777777" w:rsidR="00B30305" w:rsidRPr="00B004EE" w:rsidRDefault="00B30305" w:rsidP="00420DDA">
      <w:pPr>
        <w:pStyle w:val="Paragraphedeliste"/>
        <w:widowControl w:val="0"/>
        <w:numPr>
          <w:ilvl w:val="0"/>
          <w:numId w:val="121"/>
        </w:numPr>
        <w:ind w:left="567"/>
        <w:contextualSpacing/>
        <w:jc w:val="both"/>
        <w:rPr>
          <w:rFonts w:ascii="Tahoma" w:hAnsi="Tahoma" w:cs="Tahoma"/>
          <w:sz w:val="20"/>
          <w:szCs w:val="20"/>
        </w:rPr>
      </w:pPr>
      <w:r w:rsidRPr="00B004EE">
        <w:rPr>
          <w:rFonts w:ascii="Tahoma" w:hAnsi="Tahoma" w:cs="Tahoma"/>
          <w:sz w:val="20"/>
          <w:szCs w:val="20"/>
        </w:rPr>
        <w:t>Participer à l’élaboration et à la mise en œuvre des program m es de normalisation et d’assurance qualité pour les produits de la pêche et de l’aquaculture.</w:t>
      </w:r>
    </w:p>
    <w:p w14:paraId="7E4E01BC" w14:textId="77777777" w:rsidR="00B30305" w:rsidRPr="00B004EE" w:rsidRDefault="00B30305" w:rsidP="00B004EE">
      <w:pPr>
        <w:jc w:val="both"/>
        <w:rPr>
          <w:rFonts w:ascii="Tahoma" w:hAnsi="Tahoma" w:cs="Tahoma"/>
          <w:sz w:val="20"/>
          <w:szCs w:val="20"/>
        </w:rPr>
      </w:pPr>
    </w:p>
    <w:p w14:paraId="11A58D2C" w14:textId="7CCCC472" w:rsidR="00B30305" w:rsidRPr="00B004EE" w:rsidRDefault="00B30305" w:rsidP="00B004EE">
      <w:pPr>
        <w:jc w:val="both"/>
        <w:rPr>
          <w:rFonts w:ascii="Tahoma" w:hAnsi="Tahoma" w:cs="Tahoma"/>
          <w:sz w:val="20"/>
          <w:szCs w:val="20"/>
        </w:rPr>
      </w:pPr>
      <w:r w:rsidRPr="00B004EE">
        <w:rPr>
          <w:rFonts w:ascii="Tahoma" w:hAnsi="Tahoma" w:cs="Tahoma"/>
          <w:sz w:val="20"/>
          <w:szCs w:val="20"/>
        </w:rPr>
        <w:lastRenderedPageBreak/>
        <w:t xml:space="preserve">L’ONISPA contribue, </w:t>
      </w:r>
      <w:r w:rsidR="004C1D69">
        <w:rPr>
          <w:rFonts w:ascii="Tahoma" w:hAnsi="Tahoma" w:cs="Tahoma"/>
          <w:sz w:val="20"/>
          <w:szCs w:val="20"/>
        </w:rPr>
        <w:t xml:space="preserve">dans </w:t>
      </w:r>
      <w:r w:rsidRPr="00B004EE">
        <w:rPr>
          <w:rFonts w:ascii="Tahoma" w:hAnsi="Tahoma" w:cs="Tahoma"/>
          <w:sz w:val="20"/>
          <w:szCs w:val="20"/>
        </w:rPr>
        <w:t>le cadre de ses missions, à la réalisation des objectifs de la politique nationale en matière de promotion de la qualité commerciale et hygiénique des produits de la pêche et de l’aquaculture.</w:t>
      </w:r>
    </w:p>
    <w:p w14:paraId="17259ED6" w14:textId="77777777" w:rsidR="00B30305" w:rsidRPr="00B004EE" w:rsidRDefault="00B30305" w:rsidP="00B004EE">
      <w:pPr>
        <w:jc w:val="both"/>
        <w:rPr>
          <w:rFonts w:ascii="Tahoma" w:hAnsi="Tahoma" w:cs="Tahoma"/>
          <w:sz w:val="20"/>
          <w:szCs w:val="20"/>
        </w:rPr>
      </w:pPr>
    </w:p>
    <w:p w14:paraId="194B4705" w14:textId="77777777" w:rsidR="00B30305" w:rsidRPr="00B004EE" w:rsidRDefault="00B30305" w:rsidP="00B004EE">
      <w:pPr>
        <w:jc w:val="both"/>
        <w:rPr>
          <w:rFonts w:ascii="Tahoma" w:hAnsi="Tahoma" w:cs="Tahoma"/>
          <w:sz w:val="20"/>
          <w:szCs w:val="20"/>
        </w:rPr>
      </w:pPr>
      <w:r w:rsidRPr="00B004EE">
        <w:rPr>
          <w:rFonts w:ascii="Tahoma" w:hAnsi="Tahoma" w:cs="Tahoma"/>
          <w:sz w:val="20"/>
          <w:szCs w:val="20"/>
        </w:rPr>
        <w:t>Article 3 : (nouveau)</w:t>
      </w:r>
    </w:p>
    <w:p w14:paraId="57954947" w14:textId="77777777" w:rsidR="00B30305" w:rsidRPr="00B004EE" w:rsidRDefault="00B30305" w:rsidP="00B004EE">
      <w:pPr>
        <w:jc w:val="both"/>
        <w:rPr>
          <w:rFonts w:ascii="Tahoma" w:hAnsi="Tahoma" w:cs="Tahoma"/>
          <w:sz w:val="20"/>
          <w:szCs w:val="20"/>
        </w:rPr>
      </w:pPr>
      <w:r w:rsidRPr="00B004EE">
        <w:rPr>
          <w:rFonts w:ascii="Tahoma" w:hAnsi="Tahoma" w:cs="Tahoma"/>
          <w:sz w:val="20"/>
          <w:szCs w:val="20"/>
        </w:rPr>
        <w:t>Aux fins de bonne exécution de ses missions d’inspection et de contrôle sanitaires, avec la diligence et la qualité requise pour les avis scientifiques et techniques, l’ONISPA effectuera les analyses ou fera recours à des laboratoires agrées dont les procédures et protocoles d’analyses sont approuvés par l’ONISPA. Les conditions d’agrément seront fixées par arrêté du Ministre des pêches</w:t>
      </w:r>
    </w:p>
    <w:p w14:paraId="15290EEC" w14:textId="77777777" w:rsidR="00B30305" w:rsidRPr="00B004EE" w:rsidRDefault="00B30305" w:rsidP="00B004EE">
      <w:pPr>
        <w:jc w:val="both"/>
        <w:rPr>
          <w:rFonts w:ascii="Tahoma" w:hAnsi="Tahoma" w:cs="Tahoma"/>
          <w:sz w:val="20"/>
          <w:szCs w:val="20"/>
        </w:rPr>
      </w:pPr>
    </w:p>
    <w:p w14:paraId="632E3D50" w14:textId="77777777" w:rsidR="00B30305" w:rsidRPr="00B004EE" w:rsidRDefault="00B30305" w:rsidP="00B004EE">
      <w:pPr>
        <w:jc w:val="both"/>
        <w:rPr>
          <w:rFonts w:ascii="Tahoma" w:hAnsi="Tahoma" w:cs="Tahoma"/>
          <w:sz w:val="20"/>
          <w:szCs w:val="20"/>
        </w:rPr>
      </w:pPr>
      <w:r w:rsidRPr="00B004EE">
        <w:rPr>
          <w:rFonts w:ascii="Tahoma" w:hAnsi="Tahoma" w:cs="Tahoma"/>
          <w:sz w:val="20"/>
          <w:szCs w:val="20"/>
        </w:rPr>
        <w:t>Article 7 : (nouveau)</w:t>
      </w:r>
    </w:p>
    <w:p w14:paraId="2A723A05" w14:textId="77777777" w:rsidR="00B30305" w:rsidRPr="00B004EE" w:rsidRDefault="00B30305" w:rsidP="00B004EE">
      <w:pPr>
        <w:jc w:val="both"/>
        <w:rPr>
          <w:rFonts w:ascii="Tahoma" w:hAnsi="Tahoma" w:cs="Tahoma"/>
          <w:sz w:val="20"/>
          <w:szCs w:val="20"/>
        </w:rPr>
      </w:pPr>
      <w:r w:rsidRPr="00B004EE">
        <w:rPr>
          <w:rFonts w:ascii="Tahoma" w:hAnsi="Tahoma" w:cs="Tahoma"/>
          <w:sz w:val="20"/>
          <w:szCs w:val="20"/>
        </w:rPr>
        <w:t>L’organe délibérant de l’ONISPA, dénommée (Conseil d’Administration », est composé comme suit :</w:t>
      </w:r>
    </w:p>
    <w:p w14:paraId="7B289B78" w14:textId="77777777" w:rsidR="00B30305" w:rsidRPr="00B004EE" w:rsidRDefault="00B30305" w:rsidP="00420DDA">
      <w:pPr>
        <w:pStyle w:val="Paragraphedeliste"/>
        <w:widowControl w:val="0"/>
        <w:numPr>
          <w:ilvl w:val="0"/>
          <w:numId w:val="122"/>
        </w:numPr>
        <w:contextualSpacing/>
        <w:jc w:val="both"/>
        <w:rPr>
          <w:rFonts w:ascii="Tahoma" w:hAnsi="Tahoma" w:cs="Tahoma"/>
          <w:sz w:val="20"/>
          <w:szCs w:val="20"/>
        </w:rPr>
      </w:pPr>
      <w:r w:rsidRPr="00B004EE">
        <w:rPr>
          <w:rFonts w:ascii="Tahoma" w:hAnsi="Tahoma" w:cs="Tahoma"/>
          <w:sz w:val="20"/>
          <w:szCs w:val="20"/>
        </w:rPr>
        <w:t>Un Président ;</w:t>
      </w:r>
    </w:p>
    <w:p w14:paraId="5FE139A3" w14:textId="77777777" w:rsidR="00B30305" w:rsidRPr="00B004EE" w:rsidRDefault="00B30305" w:rsidP="00B004EE">
      <w:pPr>
        <w:jc w:val="both"/>
        <w:rPr>
          <w:rFonts w:ascii="Tahoma" w:hAnsi="Tahoma" w:cs="Tahoma"/>
          <w:sz w:val="20"/>
          <w:szCs w:val="20"/>
        </w:rPr>
      </w:pPr>
    </w:p>
    <w:p w14:paraId="5E6D038C" w14:textId="77777777" w:rsidR="00B30305" w:rsidRPr="00B004EE" w:rsidRDefault="00B30305" w:rsidP="00B004EE">
      <w:pPr>
        <w:jc w:val="both"/>
        <w:rPr>
          <w:rFonts w:ascii="Tahoma" w:hAnsi="Tahoma" w:cs="Tahoma"/>
          <w:sz w:val="20"/>
          <w:szCs w:val="20"/>
        </w:rPr>
      </w:pPr>
      <w:r w:rsidRPr="00B004EE">
        <w:rPr>
          <w:rFonts w:ascii="Tahoma" w:hAnsi="Tahoma" w:cs="Tahoma"/>
          <w:sz w:val="20"/>
          <w:szCs w:val="20"/>
        </w:rPr>
        <w:t>Membres</w:t>
      </w:r>
    </w:p>
    <w:p w14:paraId="577026EE" w14:textId="77777777" w:rsidR="00B30305" w:rsidRPr="00B004EE" w:rsidRDefault="00B30305" w:rsidP="00420DDA">
      <w:pPr>
        <w:pStyle w:val="Paragraphedeliste"/>
        <w:widowControl w:val="0"/>
        <w:numPr>
          <w:ilvl w:val="0"/>
          <w:numId w:val="122"/>
        </w:numPr>
        <w:ind w:left="426"/>
        <w:contextualSpacing/>
        <w:rPr>
          <w:rFonts w:ascii="Tahoma" w:hAnsi="Tahoma" w:cs="Tahoma"/>
          <w:sz w:val="20"/>
          <w:szCs w:val="20"/>
        </w:rPr>
      </w:pPr>
      <w:r w:rsidRPr="00B004EE">
        <w:rPr>
          <w:rFonts w:ascii="Tahoma" w:hAnsi="Tahoma" w:cs="Tahoma"/>
          <w:sz w:val="20"/>
          <w:szCs w:val="20"/>
        </w:rPr>
        <w:t>Le Directeur chargé de l’Industrie des Pêches et de l’Inspection Sanitaire au Ministère des Pêches.</w:t>
      </w:r>
    </w:p>
    <w:p w14:paraId="04926C27" w14:textId="77777777" w:rsidR="00B30305" w:rsidRPr="00B004EE" w:rsidRDefault="00B30305" w:rsidP="00420DDA">
      <w:pPr>
        <w:pStyle w:val="Paragraphedeliste"/>
        <w:widowControl w:val="0"/>
        <w:numPr>
          <w:ilvl w:val="0"/>
          <w:numId w:val="122"/>
        </w:numPr>
        <w:ind w:left="426"/>
        <w:contextualSpacing/>
        <w:rPr>
          <w:rFonts w:ascii="Tahoma" w:hAnsi="Tahoma" w:cs="Tahoma"/>
          <w:sz w:val="20"/>
          <w:szCs w:val="20"/>
        </w:rPr>
      </w:pPr>
      <w:r w:rsidRPr="00B004EE">
        <w:rPr>
          <w:rFonts w:ascii="Tahoma" w:hAnsi="Tahoma" w:cs="Tahoma"/>
          <w:sz w:val="20"/>
          <w:szCs w:val="20"/>
        </w:rPr>
        <w:t>Un Représentant du Ministère chargé des Finances ;</w:t>
      </w:r>
    </w:p>
    <w:p w14:paraId="004BD908" w14:textId="77777777" w:rsidR="00B30305" w:rsidRPr="00B004EE" w:rsidRDefault="00B30305" w:rsidP="00420DDA">
      <w:pPr>
        <w:pStyle w:val="Paragraphedeliste"/>
        <w:widowControl w:val="0"/>
        <w:numPr>
          <w:ilvl w:val="0"/>
          <w:numId w:val="122"/>
        </w:numPr>
        <w:ind w:left="426"/>
        <w:contextualSpacing/>
        <w:rPr>
          <w:rFonts w:ascii="Tahoma" w:hAnsi="Tahoma" w:cs="Tahoma"/>
          <w:sz w:val="20"/>
          <w:szCs w:val="20"/>
        </w:rPr>
      </w:pPr>
      <w:r w:rsidRPr="00B004EE">
        <w:rPr>
          <w:rFonts w:ascii="Tahoma" w:hAnsi="Tahoma" w:cs="Tahoma"/>
          <w:sz w:val="20"/>
          <w:szCs w:val="20"/>
        </w:rPr>
        <w:t>Un Représentant du Ministère chargé de l’Economie</w:t>
      </w:r>
    </w:p>
    <w:p w14:paraId="78D1B89B" w14:textId="77777777" w:rsidR="00B30305" w:rsidRPr="00B004EE" w:rsidRDefault="00B30305" w:rsidP="00420DDA">
      <w:pPr>
        <w:pStyle w:val="Paragraphedeliste"/>
        <w:widowControl w:val="0"/>
        <w:numPr>
          <w:ilvl w:val="0"/>
          <w:numId w:val="122"/>
        </w:numPr>
        <w:ind w:left="426"/>
        <w:contextualSpacing/>
        <w:rPr>
          <w:rFonts w:ascii="Tahoma" w:hAnsi="Tahoma" w:cs="Tahoma"/>
          <w:sz w:val="20"/>
          <w:szCs w:val="20"/>
        </w:rPr>
      </w:pPr>
      <w:r w:rsidRPr="00B004EE">
        <w:rPr>
          <w:rFonts w:ascii="Tahoma" w:hAnsi="Tahoma" w:cs="Tahoma"/>
          <w:sz w:val="20"/>
          <w:szCs w:val="20"/>
        </w:rPr>
        <w:t>Un Représentant du Ministère chargé de l’Environnement</w:t>
      </w:r>
    </w:p>
    <w:p w14:paraId="20A41510" w14:textId="77777777" w:rsidR="00B30305" w:rsidRPr="00B004EE" w:rsidRDefault="00B30305" w:rsidP="00420DDA">
      <w:pPr>
        <w:pStyle w:val="Paragraphedeliste"/>
        <w:widowControl w:val="0"/>
        <w:numPr>
          <w:ilvl w:val="0"/>
          <w:numId w:val="122"/>
        </w:numPr>
        <w:ind w:left="426"/>
        <w:contextualSpacing/>
        <w:rPr>
          <w:rFonts w:ascii="Tahoma" w:hAnsi="Tahoma" w:cs="Tahoma"/>
          <w:sz w:val="20"/>
          <w:szCs w:val="20"/>
        </w:rPr>
      </w:pPr>
      <w:r w:rsidRPr="00B004EE">
        <w:rPr>
          <w:rFonts w:ascii="Tahoma" w:hAnsi="Tahoma" w:cs="Tahoma"/>
          <w:sz w:val="20"/>
          <w:szCs w:val="20"/>
        </w:rPr>
        <w:t>Un Représentant du Ministère chargé de la Marine Marchande</w:t>
      </w:r>
    </w:p>
    <w:p w14:paraId="51C8C753" w14:textId="77777777" w:rsidR="00B30305" w:rsidRPr="00B004EE" w:rsidRDefault="00B30305" w:rsidP="00420DDA">
      <w:pPr>
        <w:pStyle w:val="Paragraphedeliste"/>
        <w:widowControl w:val="0"/>
        <w:numPr>
          <w:ilvl w:val="0"/>
          <w:numId w:val="122"/>
        </w:numPr>
        <w:ind w:left="426"/>
        <w:contextualSpacing/>
        <w:rPr>
          <w:rFonts w:ascii="Tahoma" w:hAnsi="Tahoma" w:cs="Tahoma"/>
          <w:sz w:val="20"/>
          <w:szCs w:val="20"/>
        </w:rPr>
      </w:pPr>
      <w:r w:rsidRPr="00B004EE">
        <w:rPr>
          <w:rFonts w:ascii="Tahoma" w:hAnsi="Tahoma" w:cs="Tahoma"/>
          <w:sz w:val="20"/>
          <w:szCs w:val="20"/>
        </w:rPr>
        <w:t>Un Représentant du Ministère chargé du Commerce</w:t>
      </w:r>
    </w:p>
    <w:p w14:paraId="1E93A40E" w14:textId="77777777" w:rsidR="00B30305" w:rsidRPr="00B004EE" w:rsidRDefault="00B30305" w:rsidP="00420DDA">
      <w:pPr>
        <w:pStyle w:val="Paragraphedeliste"/>
        <w:widowControl w:val="0"/>
        <w:numPr>
          <w:ilvl w:val="0"/>
          <w:numId w:val="122"/>
        </w:numPr>
        <w:ind w:left="426"/>
        <w:contextualSpacing/>
        <w:rPr>
          <w:rFonts w:ascii="Tahoma" w:hAnsi="Tahoma" w:cs="Tahoma"/>
          <w:sz w:val="20"/>
          <w:szCs w:val="20"/>
        </w:rPr>
      </w:pPr>
      <w:r w:rsidRPr="00B004EE">
        <w:rPr>
          <w:rFonts w:ascii="Tahoma" w:hAnsi="Tahoma" w:cs="Tahoma"/>
          <w:sz w:val="20"/>
          <w:szCs w:val="20"/>
        </w:rPr>
        <w:t>Un représentant de la Délégation Générale à la Promotion de l’Investissement privé.</w:t>
      </w:r>
    </w:p>
    <w:p w14:paraId="21096BF4" w14:textId="77777777" w:rsidR="00B30305" w:rsidRPr="00B004EE" w:rsidRDefault="00B30305" w:rsidP="00420DDA">
      <w:pPr>
        <w:pStyle w:val="Paragraphedeliste"/>
        <w:widowControl w:val="0"/>
        <w:numPr>
          <w:ilvl w:val="0"/>
          <w:numId w:val="122"/>
        </w:numPr>
        <w:ind w:left="426"/>
        <w:contextualSpacing/>
        <w:rPr>
          <w:rFonts w:ascii="Tahoma" w:hAnsi="Tahoma" w:cs="Tahoma"/>
          <w:sz w:val="20"/>
          <w:szCs w:val="20"/>
        </w:rPr>
      </w:pPr>
      <w:r w:rsidRPr="00B004EE">
        <w:rPr>
          <w:rFonts w:ascii="Tahoma" w:hAnsi="Tahoma" w:cs="Tahoma"/>
          <w:sz w:val="20"/>
          <w:szCs w:val="20"/>
        </w:rPr>
        <w:t>Le Directeur Général de la Société Mauritanienne de Commercialisation du Poisson (SMCP) ;</w:t>
      </w:r>
    </w:p>
    <w:p w14:paraId="017F3255" w14:textId="77777777" w:rsidR="00B30305" w:rsidRPr="00B004EE" w:rsidRDefault="00B30305" w:rsidP="00420DDA">
      <w:pPr>
        <w:pStyle w:val="Paragraphedeliste"/>
        <w:widowControl w:val="0"/>
        <w:numPr>
          <w:ilvl w:val="0"/>
          <w:numId w:val="122"/>
        </w:numPr>
        <w:ind w:left="426"/>
        <w:contextualSpacing/>
        <w:rPr>
          <w:rFonts w:ascii="Tahoma" w:hAnsi="Tahoma" w:cs="Tahoma"/>
          <w:sz w:val="20"/>
          <w:szCs w:val="20"/>
        </w:rPr>
      </w:pPr>
      <w:r w:rsidRPr="00B004EE">
        <w:rPr>
          <w:rFonts w:ascii="Tahoma" w:hAnsi="Tahoma" w:cs="Tahoma"/>
          <w:sz w:val="20"/>
          <w:szCs w:val="20"/>
        </w:rPr>
        <w:t xml:space="preserve">Le Directeur de l’Institut Mauritanien de recherche Océanographiques et des Pêches (IMROP) ; </w:t>
      </w:r>
    </w:p>
    <w:p w14:paraId="07BA8D52" w14:textId="77777777" w:rsidR="00B30305" w:rsidRPr="00B004EE" w:rsidRDefault="00B30305" w:rsidP="00420DDA">
      <w:pPr>
        <w:pStyle w:val="Paragraphedeliste"/>
        <w:widowControl w:val="0"/>
        <w:numPr>
          <w:ilvl w:val="0"/>
          <w:numId w:val="122"/>
        </w:numPr>
        <w:ind w:left="426"/>
        <w:contextualSpacing/>
        <w:rPr>
          <w:rFonts w:ascii="Tahoma" w:hAnsi="Tahoma" w:cs="Tahoma"/>
          <w:sz w:val="20"/>
          <w:szCs w:val="20"/>
        </w:rPr>
      </w:pPr>
      <w:r w:rsidRPr="00B004EE">
        <w:rPr>
          <w:rFonts w:ascii="Tahoma" w:hAnsi="Tahoma" w:cs="Tahoma"/>
          <w:sz w:val="20"/>
          <w:szCs w:val="20"/>
        </w:rPr>
        <w:t>Le Directeur de l’Institut National de Recherche en Santé publique (INRSP) ;</w:t>
      </w:r>
    </w:p>
    <w:p w14:paraId="1ACC3D3D" w14:textId="77777777" w:rsidR="00B30305" w:rsidRPr="00B004EE" w:rsidRDefault="00B30305" w:rsidP="00420DDA">
      <w:pPr>
        <w:pStyle w:val="Paragraphedeliste"/>
        <w:widowControl w:val="0"/>
        <w:numPr>
          <w:ilvl w:val="0"/>
          <w:numId w:val="122"/>
        </w:numPr>
        <w:ind w:left="426"/>
        <w:contextualSpacing/>
        <w:rPr>
          <w:rFonts w:ascii="Tahoma" w:hAnsi="Tahoma" w:cs="Tahoma"/>
          <w:sz w:val="20"/>
          <w:szCs w:val="20"/>
        </w:rPr>
      </w:pPr>
      <w:r w:rsidRPr="00B004EE">
        <w:rPr>
          <w:rFonts w:ascii="Tahoma" w:hAnsi="Tahoma" w:cs="Tahoma"/>
          <w:sz w:val="20"/>
          <w:szCs w:val="20"/>
        </w:rPr>
        <w:t>Le Directeur du Centre national d’Elevage et de recherche Vétérinaire (CNERV) ;</w:t>
      </w:r>
    </w:p>
    <w:p w14:paraId="2855FFDA" w14:textId="77777777" w:rsidR="00B30305" w:rsidRPr="00B004EE" w:rsidRDefault="00B30305" w:rsidP="00420DDA">
      <w:pPr>
        <w:pStyle w:val="Paragraphedeliste"/>
        <w:widowControl w:val="0"/>
        <w:numPr>
          <w:ilvl w:val="0"/>
          <w:numId w:val="122"/>
        </w:numPr>
        <w:ind w:left="426"/>
        <w:contextualSpacing/>
        <w:rPr>
          <w:rFonts w:ascii="Tahoma" w:hAnsi="Tahoma" w:cs="Tahoma"/>
          <w:sz w:val="20"/>
          <w:szCs w:val="20"/>
        </w:rPr>
      </w:pPr>
      <w:r w:rsidRPr="00B004EE">
        <w:rPr>
          <w:rFonts w:ascii="Tahoma" w:hAnsi="Tahoma" w:cs="Tahoma"/>
          <w:sz w:val="20"/>
          <w:szCs w:val="20"/>
        </w:rPr>
        <w:t>Deux Représentants actifs des organisations socioprofessionnelles dont un Amateur et un Responsable d’une Industrie de pêche.</w:t>
      </w:r>
    </w:p>
    <w:p w14:paraId="06451040" w14:textId="77777777" w:rsidR="00B30305" w:rsidRPr="00B004EE" w:rsidRDefault="00B30305" w:rsidP="00420DDA">
      <w:pPr>
        <w:pStyle w:val="Paragraphedeliste"/>
        <w:widowControl w:val="0"/>
        <w:numPr>
          <w:ilvl w:val="0"/>
          <w:numId w:val="122"/>
        </w:numPr>
        <w:ind w:left="426"/>
        <w:contextualSpacing/>
        <w:rPr>
          <w:rFonts w:ascii="Tahoma" w:eastAsia="Andale Mono" w:hAnsi="Tahoma" w:cs="Tahoma"/>
          <w:sz w:val="20"/>
          <w:szCs w:val="20"/>
        </w:rPr>
      </w:pPr>
      <w:r w:rsidRPr="00B004EE">
        <w:rPr>
          <w:rFonts w:ascii="Tahoma" w:eastAsia="Andale Mono" w:hAnsi="Tahoma" w:cs="Tahoma"/>
          <w:sz w:val="20"/>
          <w:szCs w:val="20"/>
        </w:rPr>
        <w:t>Un Représentant du personnel de l’Officie.</w:t>
      </w:r>
    </w:p>
    <w:p w14:paraId="228D0C01" w14:textId="77777777" w:rsidR="00B30305" w:rsidRPr="00B004EE" w:rsidRDefault="00B30305" w:rsidP="00B004EE">
      <w:pPr>
        <w:jc w:val="both"/>
        <w:rPr>
          <w:rFonts w:ascii="Tahoma" w:hAnsi="Tahoma" w:cs="Tahoma"/>
          <w:sz w:val="20"/>
          <w:szCs w:val="20"/>
        </w:rPr>
      </w:pPr>
    </w:p>
    <w:p w14:paraId="18124CA8" w14:textId="77777777" w:rsidR="00B30305" w:rsidRPr="00B004EE" w:rsidRDefault="00B30305" w:rsidP="00B004EE">
      <w:pPr>
        <w:jc w:val="both"/>
        <w:rPr>
          <w:rFonts w:ascii="Tahoma" w:hAnsi="Tahoma" w:cs="Tahoma"/>
          <w:sz w:val="20"/>
          <w:szCs w:val="20"/>
        </w:rPr>
      </w:pPr>
      <w:r w:rsidRPr="00B004EE">
        <w:rPr>
          <w:rFonts w:ascii="Tahoma" w:eastAsia="Andale Mono" w:hAnsi="Tahoma" w:cs="Tahoma"/>
          <w:sz w:val="20"/>
          <w:szCs w:val="20"/>
        </w:rPr>
        <w:t>Le Conseil d’Administration, peut inviter à ses réunions toute personne dont il juge l’avis, les compétences, ou la qualité utile à la discussion des points inscrits à l’ordre du jour.</w:t>
      </w:r>
    </w:p>
    <w:p w14:paraId="11139367" w14:textId="77777777" w:rsidR="00B30305" w:rsidRPr="00B004EE" w:rsidRDefault="00B30305" w:rsidP="00B004EE">
      <w:pPr>
        <w:jc w:val="both"/>
        <w:rPr>
          <w:rFonts w:ascii="Tahoma" w:hAnsi="Tahoma" w:cs="Tahoma"/>
          <w:sz w:val="20"/>
          <w:szCs w:val="20"/>
        </w:rPr>
      </w:pPr>
    </w:p>
    <w:p w14:paraId="370A8164" w14:textId="77777777" w:rsidR="00B30305" w:rsidRPr="00B004EE" w:rsidRDefault="00B30305" w:rsidP="00B004EE">
      <w:pPr>
        <w:jc w:val="both"/>
        <w:rPr>
          <w:rFonts w:ascii="Tahoma" w:hAnsi="Tahoma" w:cs="Tahoma"/>
          <w:sz w:val="20"/>
          <w:szCs w:val="20"/>
        </w:rPr>
      </w:pPr>
      <w:r w:rsidRPr="00B004EE">
        <w:rPr>
          <w:rFonts w:ascii="Tahoma" w:hAnsi="Tahoma" w:cs="Tahoma"/>
          <w:sz w:val="20"/>
          <w:szCs w:val="20"/>
        </w:rPr>
        <w:t>Article 17</w:t>
      </w:r>
      <w:r w:rsidRPr="00B004EE">
        <w:rPr>
          <w:rFonts w:ascii="Tahoma" w:hAnsi="Tahoma" w:cs="Tahoma"/>
          <w:b/>
          <w:bCs/>
          <w:sz w:val="20"/>
          <w:szCs w:val="20"/>
        </w:rPr>
        <w:t xml:space="preserve"> :</w:t>
      </w:r>
      <w:r w:rsidRPr="00B004EE">
        <w:rPr>
          <w:rFonts w:ascii="Tahoma" w:hAnsi="Tahoma" w:cs="Tahoma"/>
          <w:sz w:val="20"/>
          <w:szCs w:val="20"/>
        </w:rPr>
        <w:t xml:space="preserve"> (Nouveau)</w:t>
      </w:r>
    </w:p>
    <w:p w14:paraId="4B8BF01F" w14:textId="77777777" w:rsidR="00B30305" w:rsidRPr="00B004EE" w:rsidRDefault="00B30305" w:rsidP="00B004EE">
      <w:pPr>
        <w:jc w:val="both"/>
        <w:rPr>
          <w:rFonts w:ascii="Tahoma" w:eastAsia="Andale Mono" w:hAnsi="Tahoma" w:cs="Tahoma"/>
          <w:sz w:val="20"/>
          <w:szCs w:val="20"/>
        </w:rPr>
      </w:pPr>
      <w:r w:rsidRPr="00B004EE">
        <w:rPr>
          <w:rFonts w:ascii="Tahoma" w:eastAsia="Andale Mono" w:hAnsi="Tahoma" w:cs="Tahoma"/>
          <w:sz w:val="20"/>
          <w:szCs w:val="20"/>
        </w:rPr>
        <w:t>Le personnel de l’ONISPA comprend le personnel de l’Inspection et de Contrôle</w:t>
      </w:r>
      <w:r w:rsidRPr="00B004EE">
        <w:rPr>
          <w:rFonts w:ascii="Tahoma" w:hAnsi="Tahoma" w:cs="Tahoma"/>
          <w:sz w:val="20"/>
          <w:szCs w:val="20"/>
        </w:rPr>
        <w:t xml:space="preserve"> </w:t>
      </w:r>
      <w:r w:rsidRPr="00B004EE">
        <w:rPr>
          <w:rFonts w:ascii="Tahoma" w:eastAsia="Andale Mono" w:hAnsi="Tahoma" w:cs="Tahoma"/>
          <w:sz w:val="20"/>
          <w:szCs w:val="20"/>
        </w:rPr>
        <w:t>sanitaires, le personnel des laboratoires d’analyses et le personnel administratif.</w:t>
      </w:r>
    </w:p>
    <w:p w14:paraId="5287B5FE" w14:textId="77777777" w:rsidR="00B30305" w:rsidRPr="00B004EE" w:rsidRDefault="00B30305" w:rsidP="00B004EE">
      <w:pPr>
        <w:jc w:val="both"/>
        <w:rPr>
          <w:rFonts w:ascii="Tahoma" w:hAnsi="Tahoma" w:cs="Tahoma"/>
          <w:sz w:val="20"/>
          <w:szCs w:val="20"/>
        </w:rPr>
      </w:pPr>
      <w:r w:rsidRPr="00B004EE">
        <w:rPr>
          <w:rFonts w:ascii="Tahoma" w:eastAsia="Andale Mono" w:hAnsi="Tahoma" w:cs="Tahoma"/>
          <w:sz w:val="20"/>
          <w:szCs w:val="20"/>
        </w:rPr>
        <w:t xml:space="preserve">Les agents de contrôle sont obligatoirement </w:t>
      </w:r>
      <w:r w:rsidRPr="00B004EE">
        <w:rPr>
          <w:rFonts w:ascii="Tahoma" w:hAnsi="Tahoma" w:cs="Tahoma"/>
          <w:sz w:val="20"/>
          <w:szCs w:val="20"/>
        </w:rPr>
        <w:t>compétents</w:t>
      </w:r>
      <w:r w:rsidRPr="00B004EE">
        <w:rPr>
          <w:rFonts w:ascii="Tahoma" w:eastAsia="Andale Mono" w:hAnsi="Tahoma" w:cs="Tahoma"/>
          <w:sz w:val="20"/>
          <w:szCs w:val="20"/>
        </w:rPr>
        <w:t xml:space="preserve"> en matière de services vétérinaires et d’hygiène ; </w:t>
      </w:r>
      <w:r w:rsidRPr="00B004EE">
        <w:rPr>
          <w:rFonts w:ascii="Tahoma" w:hAnsi="Tahoma" w:cs="Tahoma"/>
          <w:sz w:val="20"/>
          <w:szCs w:val="20"/>
        </w:rPr>
        <w:t>Ils sont</w:t>
      </w:r>
      <w:r w:rsidRPr="00B004EE">
        <w:rPr>
          <w:rFonts w:ascii="Tahoma" w:eastAsia="Andale Mono" w:hAnsi="Tahoma" w:cs="Tahoma"/>
          <w:sz w:val="20"/>
          <w:szCs w:val="20"/>
        </w:rPr>
        <w:t xml:space="preserve"> agréés par arrêté du Ministre chargé des pêches puis assermentés.</w:t>
      </w:r>
    </w:p>
    <w:p w14:paraId="416AC2D1" w14:textId="77777777" w:rsidR="0083549B" w:rsidRPr="00B004EE" w:rsidRDefault="0083549B" w:rsidP="00B004EE">
      <w:pPr>
        <w:jc w:val="both"/>
        <w:rPr>
          <w:rFonts w:ascii="Tahoma" w:hAnsi="Tahoma" w:cs="Tahoma"/>
          <w:sz w:val="20"/>
          <w:szCs w:val="20"/>
        </w:rPr>
      </w:pPr>
    </w:p>
    <w:p w14:paraId="3B5DBE38" w14:textId="405614DA" w:rsidR="00B30305" w:rsidRPr="00B004EE" w:rsidRDefault="00B30305" w:rsidP="00B004EE">
      <w:pPr>
        <w:jc w:val="both"/>
        <w:rPr>
          <w:rFonts w:ascii="Tahoma" w:hAnsi="Tahoma" w:cs="Tahoma"/>
          <w:sz w:val="20"/>
          <w:szCs w:val="20"/>
        </w:rPr>
      </w:pPr>
      <w:r w:rsidRPr="00B004EE">
        <w:rPr>
          <w:rFonts w:ascii="Tahoma" w:hAnsi="Tahoma" w:cs="Tahoma"/>
          <w:sz w:val="20"/>
          <w:szCs w:val="20"/>
        </w:rPr>
        <w:t>Article 19 : Nouveau)</w:t>
      </w:r>
    </w:p>
    <w:p w14:paraId="2D7AC9C4" w14:textId="3098E0C3" w:rsidR="00B30305" w:rsidRPr="00B004EE" w:rsidRDefault="00B30305" w:rsidP="00B004EE">
      <w:pPr>
        <w:jc w:val="both"/>
        <w:rPr>
          <w:rFonts w:ascii="Tahoma" w:eastAsia="Andale Mono" w:hAnsi="Tahoma" w:cs="Tahoma"/>
          <w:sz w:val="20"/>
          <w:szCs w:val="20"/>
        </w:rPr>
      </w:pPr>
      <w:r w:rsidRPr="00B004EE">
        <w:rPr>
          <w:rFonts w:ascii="Tahoma" w:eastAsia="Andale Mono" w:hAnsi="Tahoma" w:cs="Tahoma"/>
          <w:sz w:val="20"/>
          <w:szCs w:val="20"/>
        </w:rPr>
        <w:t>L’Office National d’Inspection Sanitaire des produits de la Pêche et de l’aquaculture dispose des ressources budgétaires suivantes :</w:t>
      </w:r>
    </w:p>
    <w:p w14:paraId="73F3547B" w14:textId="77777777" w:rsidR="0083549B" w:rsidRPr="00B004EE" w:rsidRDefault="0083549B" w:rsidP="00B004EE">
      <w:pPr>
        <w:jc w:val="both"/>
        <w:rPr>
          <w:rFonts w:ascii="Tahoma" w:hAnsi="Tahoma" w:cs="Tahoma"/>
          <w:sz w:val="20"/>
          <w:szCs w:val="20"/>
        </w:rPr>
      </w:pPr>
    </w:p>
    <w:p w14:paraId="5A9B1EDF" w14:textId="77777777" w:rsidR="00B30305" w:rsidRPr="00B004EE" w:rsidRDefault="00B30305" w:rsidP="00420DDA">
      <w:pPr>
        <w:pStyle w:val="Paragraphedeliste"/>
        <w:widowControl w:val="0"/>
        <w:numPr>
          <w:ilvl w:val="0"/>
          <w:numId w:val="123"/>
        </w:numPr>
        <w:contextualSpacing/>
        <w:jc w:val="both"/>
        <w:rPr>
          <w:rFonts w:ascii="Tahoma" w:hAnsi="Tahoma" w:cs="Tahoma"/>
          <w:sz w:val="20"/>
          <w:szCs w:val="20"/>
        </w:rPr>
      </w:pPr>
      <w:r w:rsidRPr="00B004EE">
        <w:rPr>
          <w:rFonts w:ascii="Tahoma" w:hAnsi="Tahoma" w:cs="Tahoma"/>
          <w:sz w:val="20"/>
          <w:szCs w:val="20"/>
        </w:rPr>
        <w:t>Ressources ordinaires :</w:t>
      </w:r>
    </w:p>
    <w:p w14:paraId="0BFC3379" w14:textId="77777777" w:rsidR="00B30305" w:rsidRPr="00B004EE" w:rsidRDefault="00B30305" w:rsidP="00420DDA">
      <w:pPr>
        <w:pStyle w:val="Paragraphedeliste"/>
        <w:widowControl w:val="0"/>
        <w:numPr>
          <w:ilvl w:val="0"/>
          <w:numId w:val="124"/>
        </w:numPr>
        <w:contextualSpacing/>
        <w:jc w:val="both"/>
        <w:rPr>
          <w:rFonts w:ascii="Tahoma" w:hAnsi="Tahoma" w:cs="Tahoma"/>
          <w:sz w:val="20"/>
          <w:szCs w:val="20"/>
        </w:rPr>
      </w:pPr>
      <w:r w:rsidRPr="00B004EE">
        <w:rPr>
          <w:rFonts w:ascii="Tahoma" w:eastAsia="Andale Mono" w:hAnsi="Tahoma" w:cs="Tahoma"/>
          <w:sz w:val="20"/>
          <w:szCs w:val="20"/>
        </w:rPr>
        <w:t>Les subventions du budget de l’Etat ;</w:t>
      </w:r>
    </w:p>
    <w:p w14:paraId="654F4FFE" w14:textId="77777777" w:rsidR="00B30305" w:rsidRPr="00B004EE" w:rsidRDefault="00B30305" w:rsidP="00420DDA">
      <w:pPr>
        <w:pStyle w:val="Paragraphedeliste"/>
        <w:widowControl w:val="0"/>
        <w:numPr>
          <w:ilvl w:val="0"/>
          <w:numId w:val="124"/>
        </w:numPr>
        <w:contextualSpacing/>
        <w:jc w:val="both"/>
        <w:rPr>
          <w:rFonts w:ascii="Tahoma" w:eastAsia="Andale Mono" w:hAnsi="Tahoma" w:cs="Tahoma"/>
          <w:sz w:val="20"/>
          <w:szCs w:val="20"/>
        </w:rPr>
      </w:pPr>
      <w:r w:rsidRPr="00B004EE">
        <w:rPr>
          <w:rFonts w:ascii="Tahoma" w:eastAsia="Andale Mono" w:hAnsi="Tahoma" w:cs="Tahoma"/>
          <w:sz w:val="20"/>
          <w:szCs w:val="20"/>
        </w:rPr>
        <w:t>Recettes propres résultant des activités de l’Etablissement</w:t>
      </w:r>
    </w:p>
    <w:p w14:paraId="2EBCB577" w14:textId="4511DC48" w:rsidR="00B30305" w:rsidRPr="00B004EE" w:rsidRDefault="00B30305" w:rsidP="00420DDA">
      <w:pPr>
        <w:pStyle w:val="Paragraphedeliste"/>
        <w:widowControl w:val="0"/>
        <w:numPr>
          <w:ilvl w:val="0"/>
          <w:numId w:val="124"/>
        </w:numPr>
        <w:contextualSpacing/>
        <w:jc w:val="both"/>
        <w:rPr>
          <w:rFonts w:ascii="Tahoma" w:hAnsi="Tahoma" w:cs="Tahoma"/>
          <w:sz w:val="20"/>
          <w:szCs w:val="20"/>
        </w:rPr>
      </w:pPr>
      <w:r w:rsidRPr="00B004EE">
        <w:rPr>
          <w:rFonts w:ascii="Tahoma" w:hAnsi="Tahoma" w:cs="Tahoma"/>
          <w:sz w:val="20"/>
          <w:szCs w:val="20"/>
        </w:rPr>
        <w:t>Prestations de service au profit des tiers.</w:t>
      </w:r>
    </w:p>
    <w:p w14:paraId="593C8475" w14:textId="77777777" w:rsidR="0083549B" w:rsidRPr="00B004EE" w:rsidRDefault="0083549B" w:rsidP="00B004EE">
      <w:pPr>
        <w:pStyle w:val="Paragraphedeliste"/>
        <w:widowControl w:val="0"/>
        <w:ind w:left="720"/>
        <w:contextualSpacing/>
        <w:jc w:val="both"/>
        <w:rPr>
          <w:rFonts w:ascii="Tahoma" w:hAnsi="Tahoma" w:cs="Tahoma"/>
          <w:sz w:val="20"/>
          <w:szCs w:val="20"/>
        </w:rPr>
      </w:pPr>
    </w:p>
    <w:p w14:paraId="188A692E" w14:textId="77777777" w:rsidR="00B30305" w:rsidRPr="00B004EE" w:rsidRDefault="00B30305" w:rsidP="00420DDA">
      <w:pPr>
        <w:pStyle w:val="Paragraphedeliste"/>
        <w:widowControl w:val="0"/>
        <w:numPr>
          <w:ilvl w:val="0"/>
          <w:numId w:val="123"/>
        </w:numPr>
        <w:contextualSpacing/>
        <w:jc w:val="both"/>
        <w:rPr>
          <w:rFonts w:ascii="Tahoma" w:hAnsi="Tahoma" w:cs="Tahoma"/>
          <w:sz w:val="20"/>
          <w:szCs w:val="20"/>
        </w:rPr>
      </w:pPr>
      <w:r w:rsidRPr="00B004EE">
        <w:rPr>
          <w:rFonts w:ascii="Tahoma" w:hAnsi="Tahoma" w:cs="Tahoma"/>
          <w:sz w:val="20"/>
          <w:szCs w:val="20"/>
        </w:rPr>
        <w:t>Ressources extraordinaires peuvent être constitues par :</w:t>
      </w:r>
    </w:p>
    <w:p w14:paraId="10F1C01D" w14:textId="77777777" w:rsidR="00B30305" w:rsidRPr="00B004EE" w:rsidRDefault="00B30305" w:rsidP="00420DDA">
      <w:pPr>
        <w:pStyle w:val="Paragraphedeliste"/>
        <w:widowControl w:val="0"/>
        <w:numPr>
          <w:ilvl w:val="0"/>
          <w:numId w:val="125"/>
        </w:numPr>
        <w:contextualSpacing/>
        <w:jc w:val="both"/>
        <w:rPr>
          <w:rFonts w:ascii="Tahoma" w:eastAsia="Andale Mono" w:hAnsi="Tahoma" w:cs="Tahoma"/>
          <w:sz w:val="20"/>
          <w:szCs w:val="20"/>
        </w:rPr>
      </w:pPr>
      <w:r w:rsidRPr="00B004EE">
        <w:rPr>
          <w:rFonts w:ascii="Tahoma" w:hAnsi="Tahoma" w:cs="Tahoma"/>
          <w:sz w:val="20"/>
          <w:szCs w:val="20"/>
        </w:rPr>
        <w:t>Le fond de concours ;</w:t>
      </w:r>
    </w:p>
    <w:p w14:paraId="2563C711" w14:textId="77777777" w:rsidR="00B30305" w:rsidRPr="00B004EE" w:rsidRDefault="00B30305" w:rsidP="00420DDA">
      <w:pPr>
        <w:pStyle w:val="Paragraphedeliste"/>
        <w:widowControl w:val="0"/>
        <w:numPr>
          <w:ilvl w:val="0"/>
          <w:numId w:val="125"/>
        </w:numPr>
        <w:contextualSpacing/>
        <w:jc w:val="both"/>
        <w:rPr>
          <w:rFonts w:ascii="Tahoma" w:eastAsia="Andale Mono" w:hAnsi="Tahoma" w:cs="Tahoma"/>
          <w:sz w:val="20"/>
          <w:szCs w:val="20"/>
        </w:rPr>
      </w:pPr>
      <w:r w:rsidRPr="00B004EE">
        <w:rPr>
          <w:rFonts w:ascii="Tahoma" w:hAnsi="Tahoma" w:cs="Tahoma"/>
          <w:sz w:val="20"/>
          <w:szCs w:val="20"/>
        </w:rPr>
        <w:t>Les dons et legs ;</w:t>
      </w:r>
    </w:p>
    <w:p w14:paraId="7FD8A94B" w14:textId="77777777" w:rsidR="00B30305" w:rsidRPr="00B004EE" w:rsidRDefault="00B30305" w:rsidP="00420DDA">
      <w:pPr>
        <w:pStyle w:val="Paragraphedeliste"/>
        <w:widowControl w:val="0"/>
        <w:numPr>
          <w:ilvl w:val="0"/>
          <w:numId w:val="125"/>
        </w:numPr>
        <w:contextualSpacing/>
        <w:jc w:val="both"/>
        <w:rPr>
          <w:rFonts w:ascii="Tahoma" w:eastAsia="Andale Mono" w:hAnsi="Tahoma" w:cs="Tahoma"/>
          <w:sz w:val="20"/>
          <w:szCs w:val="20"/>
        </w:rPr>
      </w:pPr>
      <w:r w:rsidRPr="00B004EE">
        <w:rPr>
          <w:rFonts w:ascii="Tahoma" w:hAnsi="Tahoma" w:cs="Tahoma"/>
          <w:sz w:val="20"/>
          <w:szCs w:val="20"/>
        </w:rPr>
        <w:t>Toutes subventions provenant des fonds nationaux ou internationaux</w:t>
      </w:r>
    </w:p>
    <w:p w14:paraId="35E3A572" w14:textId="17AA9F8D" w:rsidR="00B30305" w:rsidRDefault="00B30305" w:rsidP="00B004EE">
      <w:pPr>
        <w:jc w:val="both"/>
        <w:rPr>
          <w:rFonts w:ascii="Tahoma" w:eastAsia="Andale Mono" w:hAnsi="Tahoma" w:cs="Tahoma"/>
          <w:sz w:val="20"/>
          <w:szCs w:val="20"/>
        </w:rPr>
      </w:pPr>
    </w:p>
    <w:p w14:paraId="07B7A68A" w14:textId="77777777" w:rsidR="00B004EE" w:rsidRPr="00B004EE" w:rsidRDefault="00B004EE" w:rsidP="00B004EE">
      <w:pPr>
        <w:jc w:val="both"/>
        <w:rPr>
          <w:rFonts w:ascii="Tahoma" w:eastAsia="Andale Mono" w:hAnsi="Tahoma" w:cs="Tahoma"/>
          <w:sz w:val="20"/>
          <w:szCs w:val="20"/>
        </w:rPr>
      </w:pPr>
    </w:p>
    <w:p w14:paraId="794EE259" w14:textId="77777777" w:rsidR="00B30305" w:rsidRPr="00B004EE" w:rsidRDefault="00B30305" w:rsidP="00B004EE">
      <w:pPr>
        <w:jc w:val="both"/>
        <w:rPr>
          <w:rFonts w:ascii="Tahoma" w:hAnsi="Tahoma" w:cs="Tahoma"/>
          <w:sz w:val="20"/>
          <w:szCs w:val="20"/>
        </w:rPr>
      </w:pPr>
      <w:r w:rsidRPr="00B004EE">
        <w:rPr>
          <w:rFonts w:ascii="Tahoma" w:hAnsi="Tahoma" w:cs="Tahoma"/>
          <w:sz w:val="20"/>
          <w:szCs w:val="20"/>
        </w:rPr>
        <w:lastRenderedPageBreak/>
        <w:t>Article 24 : (nouveau)</w:t>
      </w:r>
    </w:p>
    <w:p w14:paraId="758531FF" w14:textId="65A195A5" w:rsidR="00B30305" w:rsidRPr="00B004EE" w:rsidRDefault="00B30305" w:rsidP="00B004EE">
      <w:pPr>
        <w:jc w:val="both"/>
        <w:rPr>
          <w:rFonts w:ascii="Tahoma" w:hAnsi="Tahoma" w:cs="Tahoma"/>
          <w:sz w:val="20"/>
          <w:szCs w:val="20"/>
        </w:rPr>
      </w:pPr>
      <w:r w:rsidRPr="00B004EE">
        <w:rPr>
          <w:rFonts w:ascii="Tahoma" w:eastAsia="Andale Mono" w:hAnsi="Tahoma" w:cs="Tahoma"/>
          <w:sz w:val="20"/>
          <w:szCs w:val="20"/>
        </w:rPr>
        <w:t>Les marchés de l’ONISPA sont soumis aux dispositions du décret n° 2002-08 du 12 février 2002 portant code des marchés publics.</w:t>
      </w:r>
    </w:p>
    <w:p w14:paraId="11DBEA4B" w14:textId="77777777" w:rsidR="00B30305" w:rsidRPr="00B004EE" w:rsidRDefault="00B30305" w:rsidP="00B004EE">
      <w:pPr>
        <w:jc w:val="both"/>
        <w:rPr>
          <w:rFonts w:ascii="Tahoma" w:eastAsia="Andale Mono" w:hAnsi="Tahoma" w:cs="Tahoma"/>
          <w:sz w:val="20"/>
          <w:szCs w:val="20"/>
        </w:rPr>
      </w:pPr>
    </w:p>
    <w:p w14:paraId="3CB7ED07" w14:textId="77777777" w:rsidR="00B30305" w:rsidRPr="00B004EE" w:rsidRDefault="00B30305" w:rsidP="00B004EE">
      <w:pPr>
        <w:jc w:val="both"/>
        <w:rPr>
          <w:rFonts w:ascii="Tahoma" w:hAnsi="Tahoma" w:cs="Tahoma"/>
          <w:sz w:val="20"/>
          <w:szCs w:val="20"/>
        </w:rPr>
      </w:pPr>
      <w:r w:rsidRPr="00B004EE">
        <w:rPr>
          <w:rFonts w:ascii="Tahoma" w:eastAsia="Andale Mono" w:hAnsi="Tahoma" w:cs="Tahoma"/>
          <w:sz w:val="20"/>
          <w:szCs w:val="20"/>
        </w:rPr>
        <w:t>Toutefois, l’ONISPA bénéficie de même dispositions accordées</w:t>
      </w:r>
      <w:r w:rsidRPr="00B004EE">
        <w:rPr>
          <w:rFonts w:ascii="Tahoma" w:hAnsi="Tahoma" w:cs="Tahoma"/>
          <w:sz w:val="20"/>
          <w:szCs w:val="20"/>
        </w:rPr>
        <w:t xml:space="preserve"> </w:t>
      </w:r>
      <w:r w:rsidRPr="00B004EE">
        <w:rPr>
          <w:rFonts w:ascii="Tahoma" w:eastAsia="Andale Mono" w:hAnsi="Tahoma" w:cs="Tahoma"/>
          <w:sz w:val="20"/>
          <w:szCs w:val="20"/>
        </w:rPr>
        <w:t>à l’IMROP</w:t>
      </w:r>
      <w:r w:rsidRPr="00B004EE">
        <w:rPr>
          <w:rFonts w:ascii="Tahoma" w:hAnsi="Tahoma" w:cs="Tahoma"/>
          <w:sz w:val="20"/>
          <w:szCs w:val="20"/>
        </w:rPr>
        <w:t xml:space="preserve"> </w:t>
      </w:r>
      <w:r w:rsidRPr="00B004EE">
        <w:rPr>
          <w:rFonts w:ascii="Tahoma" w:eastAsia="Andale Mono" w:hAnsi="Tahoma" w:cs="Tahoma"/>
          <w:sz w:val="20"/>
          <w:szCs w:val="20"/>
        </w:rPr>
        <w:t>pour certains marchés publics notamment.</w:t>
      </w:r>
    </w:p>
    <w:p w14:paraId="770CFEB4" w14:textId="77777777" w:rsidR="00B30305" w:rsidRPr="00B004EE" w:rsidRDefault="00B30305" w:rsidP="00B004EE">
      <w:pPr>
        <w:jc w:val="both"/>
        <w:rPr>
          <w:rFonts w:ascii="Tahoma" w:eastAsia="Andale Mono" w:hAnsi="Tahoma" w:cs="Tahoma"/>
          <w:sz w:val="20"/>
          <w:szCs w:val="20"/>
        </w:rPr>
      </w:pPr>
    </w:p>
    <w:p w14:paraId="48944570" w14:textId="77777777" w:rsidR="00B30305" w:rsidRPr="00B004EE" w:rsidRDefault="00B30305" w:rsidP="00B004EE">
      <w:pPr>
        <w:jc w:val="both"/>
        <w:rPr>
          <w:rFonts w:ascii="Tahoma" w:hAnsi="Tahoma" w:cs="Tahoma"/>
          <w:sz w:val="20"/>
          <w:szCs w:val="20"/>
        </w:rPr>
      </w:pPr>
      <w:r w:rsidRPr="00B004EE">
        <w:rPr>
          <w:rFonts w:ascii="Tahoma" w:eastAsia="Andale Mono" w:hAnsi="Tahoma" w:cs="Tahoma"/>
          <w:sz w:val="20"/>
          <w:szCs w:val="20"/>
        </w:rPr>
        <w:t>Les dépenses engagées par l’ONISPA et relatives aux matériels, matériaux et intrant nécessaires au fonctionnement des laboratoires d’analyse, et notamment les milieux de</w:t>
      </w:r>
      <w:r w:rsidRPr="00B004EE">
        <w:rPr>
          <w:rFonts w:ascii="Tahoma" w:hAnsi="Tahoma" w:cs="Tahoma"/>
          <w:sz w:val="20"/>
          <w:szCs w:val="20"/>
        </w:rPr>
        <w:t xml:space="preserve"> cultures microbiologiques, réactifs produits chimiques et consommables des laboratoires.</w:t>
      </w:r>
    </w:p>
    <w:p w14:paraId="7B38B1E0" w14:textId="77777777" w:rsidR="00B30305" w:rsidRPr="00B004EE" w:rsidRDefault="00B30305" w:rsidP="00B004EE">
      <w:pPr>
        <w:jc w:val="both"/>
        <w:rPr>
          <w:rFonts w:ascii="Tahoma" w:eastAsia="Andale Mono" w:hAnsi="Tahoma" w:cs="Tahoma"/>
          <w:sz w:val="20"/>
          <w:szCs w:val="20"/>
        </w:rPr>
      </w:pPr>
    </w:p>
    <w:p w14:paraId="490CD68F" w14:textId="77777777" w:rsidR="00B30305" w:rsidRPr="00B004EE" w:rsidRDefault="00B30305" w:rsidP="00B004EE">
      <w:pPr>
        <w:jc w:val="both"/>
        <w:rPr>
          <w:rFonts w:ascii="Tahoma" w:eastAsia="Andale Mono" w:hAnsi="Tahoma" w:cs="Tahoma"/>
          <w:sz w:val="20"/>
          <w:szCs w:val="20"/>
        </w:rPr>
      </w:pPr>
      <w:r w:rsidRPr="00B004EE">
        <w:rPr>
          <w:rFonts w:ascii="Tahoma" w:eastAsia="Andale Mono" w:hAnsi="Tahoma" w:cs="Tahoma"/>
          <w:sz w:val="20"/>
          <w:szCs w:val="20"/>
        </w:rPr>
        <w:t>Les dépenses entrant dans le champ d’application des dispositions du décret n° 2001-072 du 8 juillet 2001, portant régime particulier applicable à certaines dépenses</w:t>
      </w:r>
      <w:r w:rsidRPr="00B004EE">
        <w:rPr>
          <w:rFonts w:ascii="Tahoma" w:hAnsi="Tahoma" w:cs="Tahoma"/>
          <w:sz w:val="20"/>
          <w:szCs w:val="20"/>
        </w:rPr>
        <w:t xml:space="preserve"> </w:t>
      </w:r>
      <w:r w:rsidRPr="00B004EE">
        <w:rPr>
          <w:rFonts w:ascii="Tahoma" w:eastAsia="Andale Mono" w:hAnsi="Tahoma" w:cs="Tahoma"/>
          <w:sz w:val="20"/>
          <w:szCs w:val="20"/>
        </w:rPr>
        <w:t>engagées au titre des activités des services publics maritimes de l’Etat.</w:t>
      </w:r>
    </w:p>
    <w:p w14:paraId="0C901347" w14:textId="77777777" w:rsidR="00B30305" w:rsidRPr="00B004EE" w:rsidRDefault="00B30305" w:rsidP="00B004EE">
      <w:pPr>
        <w:jc w:val="both"/>
        <w:rPr>
          <w:rFonts w:ascii="Tahoma" w:hAnsi="Tahoma" w:cs="Tahoma"/>
          <w:sz w:val="20"/>
          <w:szCs w:val="20"/>
        </w:rPr>
      </w:pPr>
    </w:p>
    <w:p w14:paraId="0E4050C8" w14:textId="52102C02" w:rsidR="00B30305" w:rsidRPr="00B004EE" w:rsidRDefault="00B30305" w:rsidP="00B004EE">
      <w:pPr>
        <w:jc w:val="both"/>
        <w:rPr>
          <w:rFonts w:ascii="Tahoma" w:hAnsi="Tahoma" w:cs="Tahoma"/>
          <w:sz w:val="20"/>
          <w:szCs w:val="20"/>
        </w:rPr>
      </w:pPr>
      <w:r w:rsidRPr="00B004EE">
        <w:rPr>
          <w:rFonts w:ascii="Tahoma" w:hAnsi="Tahoma" w:cs="Tahoma"/>
          <w:sz w:val="20"/>
          <w:szCs w:val="20"/>
        </w:rPr>
        <w:t>Article 27 : (nouveau</w:t>
      </w:r>
      <w:r w:rsidR="0024676E" w:rsidRPr="00B004EE">
        <w:rPr>
          <w:rFonts w:ascii="Tahoma" w:hAnsi="Tahoma" w:cs="Tahoma"/>
          <w:sz w:val="20"/>
          <w:szCs w:val="20"/>
        </w:rPr>
        <w:t>)</w:t>
      </w:r>
    </w:p>
    <w:p w14:paraId="28A98D0C" w14:textId="77777777" w:rsidR="00B30305" w:rsidRPr="00B004EE" w:rsidRDefault="00B30305" w:rsidP="00B004EE">
      <w:pPr>
        <w:jc w:val="both"/>
        <w:rPr>
          <w:rFonts w:ascii="Tahoma" w:eastAsia="Andale Mono" w:hAnsi="Tahoma" w:cs="Tahoma"/>
          <w:sz w:val="20"/>
          <w:szCs w:val="20"/>
        </w:rPr>
      </w:pPr>
      <w:r w:rsidRPr="00B004EE">
        <w:rPr>
          <w:rFonts w:ascii="Tahoma" w:eastAsia="Andale Mono" w:hAnsi="Tahoma" w:cs="Tahoma"/>
          <w:sz w:val="20"/>
          <w:szCs w:val="20"/>
        </w:rPr>
        <w:t>Le personnel d’Inspection</w:t>
      </w:r>
      <w:r w:rsidRPr="00B004EE">
        <w:rPr>
          <w:rFonts w:ascii="Tahoma" w:hAnsi="Tahoma" w:cs="Tahoma"/>
          <w:sz w:val="20"/>
          <w:szCs w:val="20"/>
        </w:rPr>
        <w:t xml:space="preserve"> </w:t>
      </w:r>
      <w:r w:rsidRPr="00B004EE">
        <w:rPr>
          <w:rFonts w:ascii="Tahoma" w:eastAsia="Andale Mono" w:hAnsi="Tahoma" w:cs="Tahoma"/>
          <w:sz w:val="20"/>
          <w:szCs w:val="20"/>
        </w:rPr>
        <w:t>et</w:t>
      </w:r>
      <w:r w:rsidRPr="00B004EE">
        <w:rPr>
          <w:rFonts w:ascii="Tahoma" w:hAnsi="Tahoma" w:cs="Tahoma"/>
          <w:sz w:val="20"/>
          <w:szCs w:val="20"/>
        </w:rPr>
        <w:t xml:space="preserve"> </w:t>
      </w:r>
      <w:r w:rsidRPr="00B004EE">
        <w:rPr>
          <w:rFonts w:ascii="Tahoma" w:eastAsia="Andale Mono" w:hAnsi="Tahoma" w:cs="Tahoma"/>
          <w:sz w:val="20"/>
          <w:szCs w:val="20"/>
        </w:rPr>
        <w:t>de</w:t>
      </w:r>
      <w:r w:rsidRPr="00B004EE">
        <w:rPr>
          <w:rFonts w:ascii="Tahoma" w:hAnsi="Tahoma" w:cs="Tahoma"/>
          <w:sz w:val="20"/>
          <w:szCs w:val="20"/>
        </w:rPr>
        <w:t xml:space="preserve"> </w:t>
      </w:r>
      <w:r w:rsidRPr="00B004EE">
        <w:rPr>
          <w:rFonts w:ascii="Tahoma" w:eastAsia="Andale Mono" w:hAnsi="Tahoma" w:cs="Tahoma"/>
          <w:sz w:val="20"/>
          <w:szCs w:val="20"/>
        </w:rPr>
        <w:t>contrôle sanitaires</w:t>
      </w:r>
      <w:r w:rsidRPr="00B004EE">
        <w:rPr>
          <w:rFonts w:ascii="Tahoma" w:hAnsi="Tahoma" w:cs="Tahoma"/>
          <w:sz w:val="20"/>
          <w:szCs w:val="20"/>
        </w:rPr>
        <w:t xml:space="preserve"> </w:t>
      </w:r>
      <w:r w:rsidRPr="00B004EE">
        <w:rPr>
          <w:rFonts w:ascii="Tahoma" w:eastAsia="Andale Mono" w:hAnsi="Tahoma" w:cs="Tahoma"/>
          <w:sz w:val="20"/>
          <w:szCs w:val="20"/>
        </w:rPr>
        <w:t>et d’appui,</w:t>
      </w:r>
      <w:r w:rsidRPr="00B004EE">
        <w:rPr>
          <w:rFonts w:ascii="Tahoma" w:hAnsi="Tahoma" w:cs="Tahoma"/>
          <w:sz w:val="20"/>
          <w:szCs w:val="20"/>
        </w:rPr>
        <w:t xml:space="preserve"> </w:t>
      </w:r>
      <w:r w:rsidRPr="00B004EE">
        <w:rPr>
          <w:rFonts w:ascii="Tahoma" w:eastAsia="Andale Mono" w:hAnsi="Tahoma" w:cs="Tahoma"/>
          <w:sz w:val="20"/>
          <w:szCs w:val="20"/>
        </w:rPr>
        <w:t>les</w:t>
      </w:r>
      <w:r w:rsidRPr="00B004EE">
        <w:rPr>
          <w:rFonts w:ascii="Tahoma" w:hAnsi="Tahoma" w:cs="Tahoma"/>
          <w:sz w:val="20"/>
          <w:szCs w:val="20"/>
        </w:rPr>
        <w:t xml:space="preserve"> </w:t>
      </w:r>
      <w:r w:rsidRPr="00B004EE">
        <w:rPr>
          <w:rFonts w:ascii="Tahoma" w:eastAsia="Andale Mono" w:hAnsi="Tahoma" w:cs="Tahoma"/>
          <w:sz w:val="20"/>
          <w:szCs w:val="20"/>
        </w:rPr>
        <w:t>laboratoires d’analyses</w:t>
      </w:r>
      <w:r w:rsidRPr="00B004EE">
        <w:rPr>
          <w:rFonts w:ascii="Tahoma" w:hAnsi="Tahoma" w:cs="Tahoma"/>
          <w:sz w:val="20"/>
          <w:szCs w:val="20"/>
        </w:rPr>
        <w:t xml:space="preserve"> </w:t>
      </w:r>
      <w:r w:rsidRPr="00B004EE">
        <w:rPr>
          <w:rFonts w:ascii="Tahoma" w:eastAsia="Andale Mono" w:hAnsi="Tahoma" w:cs="Tahoma"/>
          <w:sz w:val="20"/>
          <w:szCs w:val="20"/>
        </w:rPr>
        <w:t>et</w:t>
      </w:r>
      <w:r w:rsidRPr="00B004EE">
        <w:rPr>
          <w:rFonts w:ascii="Tahoma" w:hAnsi="Tahoma" w:cs="Tahoma"/>
          <w:sz w:val="20"/>
          <w:szCs w:val="20"/>
        </w:rPr>
        <w:t xml:space="preserve"> </w:t>
      </w:r>
      <w:r w:rsidRPr="00B004EE">
        <w:rPr>
          <w:rFonts w:ascii="Tahoma" w:eastAsia="Andale Mono" w:hAnsi="Tahoma" w:cs="Tahoma"/>
          <w:sz w:val="20"/>
          <w:szCs w:val="20"/>
        </w:rPr>
        <w:t>le</w:t>
      </w:r>
      <w:r w:rsidRPr="00B004EE">
        <w:rPr>
          <w:rFonts w:ascii="Tahoma" w:hAnsi="Tahoma" w:cs="Tahoma"/>
          <w:sz w:val="20"/>
          <w:szCs w:val="20"/>
        </w:rPr>
        <w:t xml:space="preserve"> </w:t>
      </w:r>
      <w:r w:rsidRPr="00B004EE">
        <w:rPr>
          <w:rFonts w:ascii="Tahoma" w:eastAsia="Andale Mono" w:hAnsi="Tahoma" w:cs="Tahoma"/>
          <w:sz w:val="20"/>
          <w:szCs w:val="20"/>
        </w:rPr>
        <w:t>domaine</w:t>
      </w:r>
      <w:r w:rsidRPr="00B004EE">
        <w:rPr>
          <w:rFonts w:ascii="Tahoma" w:hAnsi="Tahoma" w:cs="Tahoma"/>
          <w:sz w:val="20"/>
          <w:szCs w:val="20"/>
        </w:rPr>
        <w:t xml:space="preserve"> </w:t>
      </w:r>
      <w:r w:rsidRPr="00B004EE">
        <w:rPr>
          <w:rFonts w:ascii="Tahoma" w:eastAsia="Andale Mono" w:hAnsi="Tahoma" w:cs="Tahoma"/>
          <w:sz w:val="20"/>
          <w:szCs w:val="20"/>
        </w:rPr>
        <w:t>du</w:t>
      </w:r>
      <w:r w:rsidRPr="00B004EE">
        <w:rPr>
          <w:rFonts w:ascii="Tahoma" w:hAnsi="Tahoma" w:cs="Tahoma"/>
          <w:sz w:val="20"/>
          <w:szCs w:val="20"/>
        </w:rPr>
        <w:t xml:space="preserve"> </w:t>
      </w:r>
      <w:r w:rsidRPr="00B004EE">
        <w:rPr>
          <w:rFonts w:ascii="Tahoma" w:eastAsia="Andale Mono" w:hAnsi="Tahoma" w:cs="Tahoma"/>
          <w:sz w:val="20"/>
          <w:szCs w:val="20"/>
        </w:rPr>
        <w:t xml:space="preserve">Département Valorisation et Inspection Sanitaire (D VIS) à </w:t>
      </w:r>
      <w:r w:rsidRPr="00B004EE">
        <w:rPr>
          <w:rFonts w:ascii="Tahoma" w:hAnsi="Tahoma" w:cs="Tahoma"/>
          <w:sz w:val="20"/>
          <w:szCs w:val="20"/>
        </w:rPr>
        <w:t>Nouadhibou</w:t>
      </w:r>
      <w:r w:rsidRPr="00B004EE">
        <w:rPr>
          <w:rFonts w:ascii="Tahoma" w:eastAsia="Andale Mono" w:hAnsi="Tahoma" w:cs="Tahoma"/>
          <w:sz w:val="20"/>
          <w:szCs w:val="20"/>
        </w:rPr>
        <w:t xml:space="preserve"> y com pris les logements, le domaine et les laboratoires</w:t>
      </w:r>
      <w:r w:rsidRPr="00B004EE">
        <w:rPr>
          <w:rFonts w:ascii="Tahoma" w:hAnsi="Tahoma" w:cs="Tahoma"/>
          <w:sz w:val="20"/>
          <w:szCs w:val="20"/>
        </w:rPr>
        <w:t xml:space="preserve"> </w:t>
      </w:r>
      <w:r w:rsidRPr="00B004EE">
        <w:rPr>
          <w:rFonts w:ascii="Tahoma" w:eastAsia="Andale Mono" w:hAnsi="Tahoma" w:cs="Tahoma"/>
          <w:sz w:val="20"/>
          <w:szCs w:val="20"/>
        </w:rPr>
        <w:t>d’analyse</w:t>
      </w:r>
      <w:r w:rsidRPr="00B004EE">
        <w:rPr>
          <w:rFonts w:ascii="Tahoma" w:hAnsi="Tahoma" w:cs="Tahoma"/>
          <w:sz w:val="20"/>
          <w:szCs w:val="20"/>
        </w:rPr>
        <w:t xml:space="preserve"> </w:t>
      </w:r>
      <w:r w:rsidRPr="00B004EE">
        <w:rPr>
          <w:rFonts w:ascii="Tahoma" w:eastAsia="Andale Mono" w:hAnsi="Tahoma" w:cs="Tahoma"/>
          <w:sz w:val="20"/>
          <w:szCs w:val="20"/>
        </w:rPr>
        <w:t xml:space="preserve">à Nouakchott, les équipements et matériels affectés </w:t>
      </w:r>
      <w:r w:rsidRPr="00B004EE">
        <w:rPr>
          <w:rFonts w:ascii="Tahoma" w:hAnsi="Tahoma" w:cs="Tahoma"/>
          <w:sz w:val="20"/>
          <w:szCs w:val="20"/>
        </w:rPr>
        <w:t>a</w:t>
      </w:r>
      <w:r w:rsidRPr="00B004EE">
        <w:rPr>
          <w:rFonts w:ascii="Tahoma" w:eastAsia="Andale Mono" w:hAnsi="Tahoma" w:cs="Tahoma"/>
          <w:sz w:val="20"/>
          <w:szCs w:val="20"/>
        </w:rPr>
        <w:t>u Département Valorisation et Inspection</w:t>
      </w:r>
      <w:r w:rsidRPr="00B004EE">
        <w:rPr>
          <w:rFonts w:ascii="Tahoma" w:hAnsi="Tahoma" w:cs="Tahoma"/>
          <w:sz w:val="20"/>
          <w:szCs w:val="20"/>
        </w:rPr>
        <w:t xml:space="preserve"> </w:t>
      </w:r>
      <w:r w:rsidRPr="00B004EE">
        <w:rPr>
          <w:rFonts w:ascii="Tahoma" w:eastAsia="Andale Mono" w:hAnsi="Tahoma" w:cs="Tahoma"/>
          <w:sz w:val="20"/>
          <w:szCs w:val="20"/>
        </w:rPr>
        <w:t>Sanitaire</w:t>
      </w:r>
      <w:r w:rsidRPr="00B004EE">
        <w:rPr>
          <w:rFonts w:ascii="Tahoma" w:hAnsi="Tahoma" w:cs="Tahoma"/>
          <w:sz w:val="20"/>
          <w:szCs w:val="20"/>
        </w:rPr>
        <w:t xml:space="preserve"> </w:t>
      </w:r>
      <w:r w:rsidRPr="00B004EE">
        <w:rPr>
          <w:rFonts w:ascii="Tahoma" w:eastAsia="Andale Mono" w:hAnsi="Tahoma" w:cs="Tahoma"/>
          <w:sz w:val="20"/>
          <w:szCs w:val="20"/>
        </w:rPr>
        <w:t>(DVIS)</w:t>
      </w:r>
      <w:r w:rsidRPr="00B004EE">
        <w:rPr>
          <w:rFonts w:ascii="Tahoma" w:hAnsi="Tahoma" w:cs="Tahoma"/>
          <w:sz w:val="20"/>
          <w:szCs w:val="20"/>
        </w:rPr>
        <w:t xml:space="preserve"> </w:t>
      </w:r>
      <w:r w:rsidRPr="00B004EE">
        <w:rPr>
          <w:rFonts w:ascii="Tahoma" w:eastAsia="Andale Mono" w:hAnsi="Tahoma" w:cs="Tahoma"/>
          <w:sz w:val="20"/>
          <w:szCs w:val="20"/>
        </w:rPr>
        <w:t>de</w:t>
      </w:r>
      <w:r w:rsidRPr="00B004EE">
        <w:rPr>
          <w:rFonts w:ascii="Tahoma" w:hAnsi="Tahoma" w:cs="Tahoma"/>
          <w:sz w:val="20"/>
          <w:szCs w:val="20"/>
        </w:rPr>
        <w:t xml:space="preserve"> </w:t>
      </w:r>
      <w:r w:rsidRPr="00B004EE">
        <w:rPr>
          <w:rFonts w:ascii="Tahoma" w:eastAsia="Andale Mono" w:hAnsi="Tahoma" w:cs="Tahoma"/>
          <w:sz w:val="20"/>
          <w:szCs w:val="20"/>
        </w:rPr>
        <w:t>l’Institut</w:t>
      </w:r>
      <w:r w:rsidRPr="00B004EE">
        <w:rPr>
          <w:rFonts w:ascii="Tahoma" w:hAnsi="Tahoma" w:cs="Tahoma"/>
          <w:sz w:val="20"/>
          <w:szCs w:val="20"/>
        </w:rPr>
        <w:t xml:space="preserve"> Mauritanien de recherches Océanographiques et des Pêches (IM ROP) sont transférés à </w:t>
      </w:r>
      <w:r w:rsidRPr="00B004EE">
        <w:rPr>
          <w:rFonts w:ascii="Tahoma" w:eastAsia="Andale Mono" w:hAnsi="Tahoma" w:cs="Tahoma"/>
          <w:sz w:val="20"/>
          <w:szCs w:val="20"/>
        </w:rPr>
        <w:t>l’Office</w:t>
      </w:r>
      <w:r w:rsidRPr="00B004EE">
        <w:rPr>
          <w:rFonts w:ascii="Tahoma" w:hAnsi="Tahoma" w:cs="Tahoma"/>
          <w:sz w:val="20"/>
          <w:szCs w:val="20"/>
        </w:rPr>
        <w:t xml:space="preserve"> </w:t>
      </w:r>
      <w:r w:rsidRPr="00B004EE">
        <w:rPr>
          <w:rFonts w:ascii="Tahoma" w:eastAsia="Andale Mono" w:hAnsi="Tahoma" w:cs="Tahoma"/>
          <w:sz w:val="20"/>
          <w:szCs w:val="20"/>
        </w:rPr>
        <w:t>national</w:t>
      </w:r>
      <w:r w:rsidRPr="00B004EE">
        <w:rPr>
          <w:rFonts w:ascii="Tahoma" w:hAnsi="Tahoma" w:cs="Tahoma"/>
          <w:sz w:val="20"/>
          <w:szCs w:val="20"/>
        </w:rPr>
        <w:t xml:space="preserve"> </w:t>
      </w:r>
      <w:r w:rsidRPr="00B004EE">
        <w:rPr>
          <w:rFonts w:ascii="Tahoma" w:eastAsia="Andale Mono" w:hAnsi="Tahoma" w:cs="Tahoma"/>
          <w:sz w:val="20"/>
          <w:szCs w:val="20"/>
        </w:rPr>
        <w:t>d’Inspection Sanitaire des Produits de la Pêche et de l’Aquaculture.</w:t>
      </w:r>
    </w:p>
    <w:p w14:paraId="2F505548" w14:textId="77777777" w:rsidR="0024676E" w:rsidRPr="00B004EE" w:rsidRDefault="0024676E" w:rsidP="00B004EE">
      <w:pPr>
        <w:jc w:val="both"/>
        <w:rPr>
          <w:rFonts w:ascii="Tahoma" w:eastAsia="Apple SD Gothic Neo" w:hAnsi="Tahoma" w:cs="Tahoma"/>
          <w:b/>
          <w:bCs/>
          <w:sz w:val="20"/>
          <w:szCs w:val="20"/>
        </w:rPr>
      </w:pPr>
    </w:p>
    <w:p w14:paraId="6424B42B" w14:textId="79FE6407" w:rsidR="00B30305" w:rsidRPr="00B004EE" w:rsidRDefault="00B30305" w:rsidP="00B004EE">
      <w:pPr>
        <w:jc w:val="both"/>
        <w:rPr>
          <w:rFonts w:ascii="Tahoma" w:eastAsia="Times" w:hAnsi="Tahoma" w:cs="Tahoma"/>
          <w:sz w:val="20"/>
          <w:szCs w:val="20"/>
        </w:rPr>
      </w:pPr>
      <w:r w:rsidRPr="00B004EE">
        <w:rPr>
          <w:rFonts w:ascii="Tahoma" w:eastAsia="Apple SD Gothic Neo" w:hAnsi="Tahoma" w:cs="Tahoma"/>
          <w:sz w:val="20"/>
          <w:szCs w:val="20"/>
        </w:rPr>
        <w:t>Article 2 :</w:t>
      </w:r>
      <w:r w:rsidRPr="00B004EE">
        <w:rPr>
          <w:rFonts w:ascii="Tahoma" w:eastAsia="Andale Mono" w:hAnsi="Tahoma" w:cs="Tahoma"/>
          <w:sz w:val="20"/>
          <w:szCs w:val="20"/>
        </w:rPr>
        <w:t xml:space="preserve"> Sont abrogées toutes dispositions antérieures contraires au présent décret notamment celles les articles précités du décret n° 066/2007 du 13 mars 2007 portant création</w:t>
      </w:r>
      <w:r w:rsidRPr="00B004EE">
        <w:rPr>
          <w:rFonts w:ascii="Tahoma" w:hAnsi="Tahoma" w:cs="Tahoma"/>
          <w:sz w:val="20"/>
          <w:szCs w:val="20"/>
        </w:rPr>
        <w:t xml:space="preserve"> </w:t>
      </w:r>
      <w:r w:rsidRPr="00B004EE">
        <w:rPr>
          <w:rFonts w:ascii="Tahoma" w:eastAsia="Andale Mono" w:hAnsi="Tahoma" w:cs="Tahoma"/>
          <w:sz w:val="20"/>
          <w:szCs w:val="20"/>
        </w:rPr>
        <w:t>d’un Officie national d’Inspection Sanitaire des produits de la pêche et de</w:t>
      </w:r>
      <w:r w:rsidRPr="00B004EE">
        <w:rPr>
          <w:rFonts w:ascii="Tahoma" w:eastAsia="Times" w:hAnsi="Tahoma" w:cs="Tahoma"/>
          <w:sz w:val="20"/>
          <w:szCs w:val="20"/>
        </w:rPr>
        <w:t xml:space="preserve"> l’Aquaculture.</w:t>
      </w:r>
    </w:p>
    <w:p w14:paraId="6F20D4C6" w14:textId="77777777" w:rsidR="00B30305" w:rsidRPr="00B004EE" w:rsidRDefault="00B30305" w:rsidP="00B004EE">
      <w:pPr>
        <w:jc w:val="both"/>
        <w:rPr>
          <w:rFonts w:ascii="Tahoma" w:eastAsia="Apple SD Gothic Neo" w:hAnsi="Tahoma" w:cs="Tahoma"/>
          <w:sz w:val="20"/>
          <w:szCs w:val="20"/>
        </w:rPr>
      </w:pPr>
    </w:p>
    <w:p w14:paraId="598F9322" w14:textId="77777777" w:rsidR="00B30305" w:rsidRPr="00B004EE" w:rsidRDefault="00B30305" w:rsidP="00B004EE">
      <w:pPr>
        <w:jc w:val="both"/>
        <w:rPr>
          <w:rFonts w:ascii="Tahoma" w:eastAsia="Apple SD Gothic Neo" w:hAnsi="Tahoma" w:cs="Tahoma"/>
          <w:sz w:val="20"/>
          <w:szCs w:val="20"/>
        </w:rPr>
      </w:pPr>
      <w:r w:rsidRPr="00B004EE">
        <w:rPr>
          <w:rFonts w:ascii="Tahoma" w:eastAsia="Apple SD Gothic Neo" w:hAnsi="Tahoma" w:cs="Tahoma"/>
          <w:sz w:val="20"/>
          <w:szCs w:val="20"/>
        </w:rPr>
        <w:t>Article 3 : Le Ministre des pêches et de l’Economie et des Finances sont chargés, chacun en ce qui le concerne, de l’exécution du</w:t>
      </w:r>
    </w:p>
    <w:p w14:paraId="740C6C12" w14:textId="77777777" w:rsidR="00B30305" w:rsidRPr="00B004EE" w:rsidRDefault="00B30305" w:rsidP="00B004EE">
      <w:pPr>
        <w:jc w:val="both"/>
        <w:rPr>
          <w:rFonts w:ascii="Tahoma" w:hAnsi="Tahoma" w:cs="Tahoma"/>
          <w:sz w:val="20"/>
          <w:szCs w:val="20"/>
        </w:rPr>
      </w:pPr>
    </w:p>
    <w:p w14:paraId="1B9ADDE3" w14:textId="201CFCBC" w:rsidR="00B30305" w:rsidRPr="00B004EE" w:rsidRDefault="00B30305" w:rsidP="00B004EE">
      <w:pPr>
        <w:autoSpaceDE w:val="0"/>
        <w:autoSpaceDN w:val="0"/>
        <w:adjustRightInd w:val="0"/>
        <w:jc w:val="right"/>
        <w:rPr>
          <w:rFonts w:ascii="Tahoma" w:hAnsi="Tahoma" w:cs="Tahoma"/>
          <w:i/>
          <w:iCs/>
          <w:sz w:val="20"/>
          <w:szCs w:val="20"/>
        </w:rPr>
      </w:pPr>
      <w:r w:rsidRPr="00B004EE">
        <w:rPr>
          <w:rFonts w:ascii="Tahoma" w:hAnsi="Tahoma" w:cs="Tahoma"/>
          <w:i/>
          <w:iCs/>
          <w:sz w:val="20"/>
          <w:szCs w:val="20"/>
        </w:rPr>
        <w:t>Fait à Nouakchott, le 07 mai 2008</w:t>
      </w:r>
    </w:p>
    <w:p w14:paraId="131868A1" w14:textId="5B86DDF3" w:rsidR="00C40988" w:rsidRPr="00B004EE" w:rsidRDefault="00C40988" w:rsidP="00B004EE">
      <w:pPr>
        <w:autoSpaceDE w:val="0"/>
        <w:autoSpaceDN w:val="0"/>
        <w:adjustRightInd w:val="0"/>
        <w:jc w:val="right"/>
        <w:rPr>
          <w:rFonts w:ascii="Tahoma" w:hAnsi="Tahoma" w:cs="Tahoma"/>
          <w:i/>
          <w:iCs/>
          <w:sz w:val="20"/>
          <w:szCs w:val="20"/>
        </w:rPr>
      </w:pPr>
    </w:p>
    <w:p w14:paraId="02EF6BDE" w14:textId="20DE5B5C" w:rsidR="00C40988" w:rsidRPr="00B004EE" w:rsidRDefault="00C40988" w:rsidP="00B004EE">
      <w:pPr>
        <w:pStyle w:val="Corpsdetexte"/>
        <w:tabs>
          <w:tab w:val="left" w:pos="7859"/>
        </w:tabs>
        <w:spacing w:line="20" w:lineRule="atLeast"/>
        <w:ind w:left="142" w:right="112"/>
        <w:jc w:val="center"/>
        <w:rPr>
          <w:rFonts w:ascii="Tahoma" w:hAnsi="Tahoma" w:cs="Tahoma"/>
          <w:sz w:val="20"/>
          <w:szCs w:val="20"/>
        </w:rPr>
      </w:pPr>
      <w:r w:rsidRPr="00B004EE">
        <w:rPr>
          <w:rFonts w:ascii="Tahoma" w:hAnsi="Tahoma" w:cs="Tahoma"/>
          <w:sz w:val="20"/>
          <w:szCs w:val="20"/>
        </w:rPr>
        <w:t xml:space="preserve"> </w:t>
      </w:r>
    </w:p>
    <w:p w14:paraId="40ACA115" w14:textId="77777777" w:rsidR="005E06B0" w:rsidRPr="00B004EE" w:rsidRDefault="005E06B0" w:rsidP="00B004EE">
      <w:pPr>
        <w:autoSpaceDE w:val="0"/>
        <w:autoSpaceDN w:val="0"/>
        <w:adjustRightInd w:val="0"/>
        <w:jc w:val="center"/>
        <w:rPr>
          <w:rFonts w:ascii="Tahoma" w:hAnsi="Tahoma" w:cs="Tahoma"/>
          <w:sz w:val="20"/>
          <w:szCs w:val="20"/>
        </w:rPr>
      </w:pPr>
      <w:r w:rsidRPr="00B004EE">
        <w:rPr>
          <w:rFonts w:ascii="Tahoma" w:hAnsi="Tahoma" w:cs="Tahoma"/>
          <w:sz w:val="20"/>
          <w:szCs w:val="20"/>
        </w:rPr>
        <w:t>Le Premier Ministre</w:t>
      </w:r>
    </w:p>
    <w:p w14:paraId="3609DDA5" w14:textId="5EE4C02D" w:rsidR="00C40988" w:rsidRDefault="00FE579E" w:rsidP="00B004EE">
      <w:pPr>
        <w:autoSpaceDE w:val="0"/>
        <w:autoSpaceDN w:val="0"/>
        <w:adjustRightInd w:val="0"/>
        <w:jc w:val="center"/>
        <w:rPr>
          <w:rFonts w:ascii="Tahoma" w:hAnsi="Tahoma" w:cs="Tahoma"/>
          <w:sz w:val="20"/>
          <w:szCs w:val="20"/>
        </w:rPr>
      </w:pPr>
      <w:r w:rsidRPr="00B004EE">
        <w:rPr>
          <w:rFonts w:ascii="Tahoma" w:hAnsi="Tahoma" w:cs="Tahoma"/>
          <w:sz w:val="20"/>
          <w:szCs w:val="20"/>
        </w:rPr>
        <w:t>ZEINE OULD ZEIDANE</w:t>
      </w:r>
    </w:p>
    <w:p w14:paraId="08AD6813" w14:textId="362FAB80" w:rsidR="002D26AE" w:rsidRDefault="002D26AE" w:rsidP="00B004EE">
      <w:pPr>
        <w:autoSpaceDE w:val="0"/>
        <w:autoSpaceDN w:val="0"/>
        <w:adjustRightInd w:val="0"/>
        <w:jc w:val="center"/>
        <w:rPr>
          <w:rFonts w:ascii="Tahoma" w:hAnsi="Tahoma" w:cs="Tahoma"/>
          <w:sz w:val="20"/>
          <w:szCs w:val="20"/>
        </w:rPr>
      </w:pPr>
    </w:p>
    <w:p w14:paraId="5DD315E1" w14:textId="10F8558A" w:rsidR="002D26AE" w:rsidRDefault="002D26AE" w:rsidP="00B004EE">
      <w:pPr>
        <w:autoSpaceDE w:val="0"/>
        <w:autoSpaceDN w:val="0"/>
        <w:adjustRightInd w:val="0"/>
        <w:jc w:val="center"/>
        <w:rPr>
          <w:rFonts w:ascii="Tahoma" w:hAnsi="Tahoma" w:cs="Tahoma"/>
          <w:sz w:val="20"/>
          <w:szCs w:val="20"/>
        </w:rPr>
      </w:pPr>
    </w:p>
    <w:p w14:paraId="21F646BB" w14:textId="77777777" w:rsidR="002D26AE" w:rsidRPr="00B004EE" w:rsidRDefault="002D26AE" w:rsidP="00B004EE">
      <w:pPr>
        <w:autoSpaceDE w:val="0"/>
        <w:autoSpaceDN w:val="0"/>
        <w:adjustRightInd w:val="0"/>
        <w:jc w:val="center"/>
        <w:rPr>
          <w:rFonts w:ascii="Tahoma" w:hAnsi="Tahoma" w:cs="Tahoma"/>
          <w:sz w:val="20"/>
          <w:szCs w:val="20"/>
        </w:rPr>
      </w:pPr>
    </w:p>
    <w:p w14:paraId="1CDBD863" w14:textId="77777777" w:rsidR="00FE579E" w:rsidRPr="00B004EE" w:rsidRDefault="00FE579E" w:rsidP="00B004EE">
      <w:pPr>
        <w:autoSpaceDE w:val="0"/>
        <w:autoSpaceDN w:val="0"/>
        <w:adjustRightInd w:val="0"/>
        <w:jc w:val="center"/>
        <w:rPr>
          <w:rFonts w:ascii="Tahoma" w:hAnsi="Tahoma" w:cs="Tahoma"/>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581"/>
      </w:tblGrid>
      <w:tr w:rsidR="00B004EE" w14:paraId="32DD1B11" w14:textId="77777777" w:rsidTr="002D26AE">
        <w:tc>
          <w:tcPr>
            <w:tcW w:w="4815" w:type="dxa"/>
          </w:tcPr>
          <w:p w14:paraId="0D5DC33F" w14:textId="77777777" w:rsidR="002D26AE" w:rsidRDefault="00B004EE" w:rsidP="00B004EE">
            <w:pPr>
              <w:autoSpaceDE w:val="0"/>
              <w:autoSpaceDN w:val="0"/>
              <w:adjustRightInd w:val="0"/>
              <w:jc w:val="center"/>
              <w:rPr>
                <w:rFonts w:ascii="Tahoma" w:hAnsi="Tahoma" w:cs="Tahoma"/>
              </w:rPr>
            </w:pPr>
            <w:r w:rsidRPr="00B004EE">
              <w:rPr>
                <w:rFonts w:ascii="Tahoma" w:hAnsi="Tahoma" w:cs="Tahoma"/>
              </w:rPr>
              <w:t>Le Ministre des Pêches</w:t>
            </w:r>
            <w:r w:rsidR="002D26AE" w:rsidRPr="00B004EE">
              <w:rPr>
                <w:rFonts w:ascii="Tahoma" w:hAnsi="Tahoma" w:cs="Tahoma"/>
              </w:rPr>
              <w:t xml:space="preserve"> </w:t>
            </w:r>
          </w:p>
          <w:p w14:paraId="2EBBA4DF" w14:textId="77777777" w:rsidR="002D26AE" w:rsidRDefault="002D26AE" w:rsidP="00B004EE">
            <w:pPr>
              <w:autoSpaceDE w:val="0"/>
              <w:autoSpaceDN w:val="0"/>
              <w:adjustRightInd w:val="0"/>
              <w:jc w:val="center"/>
              <w:rPr>
                <w:rFonts w:ascii="Tahoma" w:hAnsi="Tahoma" w:cs="Tahoma"/>
              </w:rPr>
            </w:pPr>
          </w:p>
          <w:p w14:paraId="1970487C" w14:textId="14698262" w:rsidR="00B004EE" w:rsidRDefault="002D26AE" w:rsidP="00B004EE">
            <w:pPr>
              <w:autoSpaceDE w:val="0"/>
              <w:autoSpaceDN w:val="0"/>
              <w:adjustRightInd w:val="0"/>
              <w:jc w:val="center"/>
              <w:rPr>
                <w:rFonts w:ascii="Tahoma" w:hAnsi="Tahoma" w:cs="Tahoma"/>
              </w:rPr>
            </w:pPr>
            <w:r w:rsidRPr="00B004EE">
              <w:rPr>
                <w:rFonts w:ascii="Tahoma" w:hAnsi="Tahoma" w:cs="Tahoma"/>
              </w:rPr>
              <w:t>Assane SOUMARE</w:t>
            </w:r>
          </w:p>
        </w:tc>
        <w:tc>
          <w:tcPr>
            <w:tcW w:w="4581" w:type="dxa"/>
          </w:tcPr>
          <w:p w14:paraId="1EFA6DC1" w14:textId="77777777" w:rsidR="002D26AE" w:rsidRDefault="002D26AE" w:rsidP="002D26AE">
            <w:pPr>
              <w:autoSpaceDE w:val="0"/>
              <w:autoSpaceDN w:val="0"/>
              <w:adjustRightInd w:val="0"/>
              <w:ind w:left="-17"/>
              <w:jc w:val="center"/>
              <w:rPr>
                <w:rFonts w:ascii="Tahoma" w:hAnsi="Tahoma" w:cs="Tahoma"/>
              </w:rPr>
            </w:pPr>
            <w:r w:rsidRPr="00B004EE">
              <w:rPr>
                <w:rFonts w:ascii="Tahoma" w:hAnsi="Tahoma" w:cs="Tahoma"/>
              </w:rPr>
              <w:t>Le Ministre de l’Economie et des Finances Abderrahmane Ould Hama Vezaz Absent</w:t>
            </w:r>
          </w:p>
          <w:p w14:paraId="0377724A" w14:textId="4BA4B596" w:rsidR="002D26AE" w:rsidRPr="00B004EE" w:rsidRDefault="002D26AE" w:rsidP="002D26AE">
            <w:pPr>
              <w:autoSpaceDE w:val="0"/>
              <w:autoSpaceDN w:val="0"/>
              <w:adjustRightInd w:val="0"/>
              <w:ind w:left="-17"/>
              <w:jc w:val="center"/>
              <w:rPr>
                <w:rFonts w:ascii="Tahoma" w:hAnsi="Tahoma" w:cs="Tahoma"/>
              </w:rPr>
            </w:pPr>
            <w:r w:rsidRPr="00B004EE">
              <w:rPr>
                <w:rFonts w:ascii="Tahoma" w:hAnsi="Tahoma" w:cs="Tahoma"/>
              </w:rPr>
              <w:t>Le Ministre de l’Economie et des Finances P.I</w:t>
            </w:r>
          </w:p>
          <w:p w14:paraId="03998056" w14:textId="7907969E" w:rsidR="00B004EE" w:rsidRDefault="002D26AE" w:rsidP="002D26AE">
            <w:pPr>
              <w:autoSpaceDE w:val="0"/>
              <w:autoSpaceDN w:val="0"/>
              <w:adjustRightInd w:val="0"/>
              <w:ind w:left="-17" w:firstLine="17"/>
              <w:jc w:val="center"/>
              <w:rPr>
                <w:rFonts w:ascii="Tahoma" w:hAnsi="Tahoma" w:cs="Tahoma"/>
              </w:rPr>
            </w:pPr>
            <w:r w:rsidRPr="00B004EE">
              <w:rPr>
                <w:rFonts w:ascii="Tahoma" w:hAnsi="Tahoma" w:cs="Tahoma"/>
              </w:rPr>
              <w:t>Le Ministre des Pêches</w:t>
            </w:r>
          </w:p>
        </w:tc>
      </w:tr>
      <w:tr w:rsidR="00B004EE" w14:paraId="273098F5" w14:textId="77777777" w:rsidTr="002D26AE">
        <w:tc>
          <w:tcPr>
            <w:tcW w:w="4815" w:type="dxa"/>
          </w:tcPr>
          <w:p w14:paraId="67641B03" w14:textId="04DA9EDE" w:rsidR="00B004EE" w:rsidRDefault="00B004EE" w:rsidP="00B004EE">
            <w:pPr>
              <w:autoSpaceDE w:val="0"/>
              <w:autoSpaceDN w:val="0"/>
              <w:adjustRightInd w:val="0"/>
              <w:jc w:val="center"/>
              <w:rPr>
                <w:rFonts w:ascii="Tahoma" w:hAnsi="Tahoma" w:cs="Tahoma"/>
              </w:rPr>
            </w:pPr>
          </w:p>
        </w:tc>
        <w:tc>
          <w:tcPr>
            <w:tcW w:w="4581" w:type="dxa"/>
          </w:tcPr>
          <w:p w14:paraId="066D3901" w14:textId="2A08ABEA" w:rsidR="00B004EE" w:rsidRDefault="00B004EE" w:rsidP="002D26AE">
            <w:pPr>
              <w:autoSpaceDE w:val="0"/>
              <w:autoSpaceDN w:val="0"/>
              <w:adjustRightInd w:val="0"/>
              <w:jc w:val="center"/>
              <w:rPr>
                <w:rFonts w:ascii="Tahoma" w:hAnsi="Tahoma" w:cs="Tahoma"/>
              </w:rPr>
            </w:pPr>
            <w:r w:rsidRPr="00B004EE">
              <w:rPr>
                <w:rFonts w:ascii="Tahoma" w:hAnsi="Tahoma" w:cs="Tahoma"/>
              </w:rPr>
              <w:t>Assane SOUMARE</w:t>
            </w:r>
          </w:p>
        </w:tc>
      </w:tr>
    </w:tbl>
    <w:p w14:paraId="3388CD0D" w14:textId="77777777" w:rsidR="00C40988" w:rsidRPr="00B004EE" w:rsidRDefault="00C40988" w:rsidP="00B004EE">
      <w:pPr>
        <w:autoSpaceDE w:val="0"/>
        <w:autoSpaceDN w:val="0"/>
        <w:adjustRightInd w:val="0"/>
        <w:jc w:val="center"/>
        <w:rPr>
          <w:rFonts w:ascii="Tahoma" w:hAnsi="Tahoma" w:cs="Tahoma"/>
          <w:sz w:val="20"/>
          <w:szCs w:val="20"/>
        </w:rPr>
      </w:pPr>
    </w:p>
    <w:p w14:paraId="32D30E7C" w14:textId="66905AC7" w:rsidR="00B30305" w:rsidRDefault="00B30305" w:rsidP="00B004EE">
      <w:pPr>
        <w:pStyle w:val="Corpsdetexte"/>
        <w:ind w:left="4962" w:right="230" w:firstLine="702"/>
        <w:jc w:val="left"/>
        <w:rPr>
          <w:rFonts w:ascii="Tahoma" w:hAnsi="Tahoma" w:cs="Tahoma"/>
          <w:sz w:val="20"/>
          <w:szCs w:val="20"/>
        </w:rPr>
      </w:pPr>
    </w:p>
    <w:p w14:paraId="4AF77E80" w14:textId="77777777" w:rsidR="002D26AE" w:rsidRPr="00B004EE" w:rsidRDefault="002D26AE" w:rsidP="00B004EE">
      <w:pPr>
        <w:pStyle w:val="Corpsdetexte"/>
        <w:ind w:left="4962" w:right="230" w:firstLine="702"/>
        <w:jc w:val="left"/>
        <w:rPr>
          <w:rFonts w:ascii="Tahoma" w:hAnsi="Tahoma" w:cs="Tahoma"/>
          <w:sz w:val="20"/>
          <w:szCs w:val="20"/>
        </w:rPr>
      </w:pPr>
    </w:p>
    <w:p w14:paraId="090E85D9" w14:textId="77777777" w:rsidR="00D3100F" w:rsidRPr="00B004EE" w:rsidRDefault="00D3100F" w:rsidP="00B004EE">
      <w:pPr>
        <w:pStyle w:val="Corpsdetexte"/>
        <w:ind w:left="189" w:right="230"/>
        <w:rPr>
          <w:rFonts w:ascii="Tahoma" w:hAnsi="Tahoma" w:cs="Tahoma"/>
          <w:sz w:val="20"/>
          <w:szCs w:val="20"/>
        </w:rPr>
        <w:sectPr w:rsidR="00D3100F" w:rsidRPr="00B004EE" w:rsidSect="00983185">
          <w:pgSz w:w="12240" w:h="15840"/>
          <w:pgMar w:top="1417" w:right="1417" w:bottom="1417" w:left="1417" w:header="720" w:footer="720" w:gutter="0"/>
          <w:cols w:space="720"/>
          <w:noEndnote/>
          <w:docGrid w:linePitch="326"/>
        </w:sectPr>
      </w:pPr>
    </w:p>
    <w:p w14:paraId="1B60DB94" w14:textId="0ABD8E40" w:rsidR="00D3100F" w:rsidRPr="00BC4336" w:rsidRDefault="00D3100F" w:rsidP="00B004EE">
      <w:pPr>
        <w:pStyle w:val="Titre1"/>
        <w:pBdr>
          <w:top w:val="thinThickMediumGap" w:sz="24" w:space="1" w:color="70AD47" w:themeColor="accent6"/>
          <w:left w:val="thinThickMediumGap" w:sz="24" w:space="4" w:color="70AD47" w:themeColor="accent6"/>
          <w:bottom w:val="thickThinMediumGap" w:sz="24" w:space="1" w:color="70AD47" w:themeColor="accent6"/>
          <w:right w:val="thickThinMediumGap" w:sz="24" w:space="4" w:color="70AD47" w:themeColor="accent6"/>
        </w:pBdr>
        <w:spacing w:line="276" w:lineRule="auto"/>
        <w:jc w:val="both"/>
        <w:rPr>
          <w:rFonts w:ascii="Tahoma" w:hAnsi="Tahoma" w:cs="Tahoma"/>
          <w:szCs w:val="22"/>
        </w:rPr>
      </w:pPr>
      <w:bookmarkStart w:id="160" w:name="_Toc202214679"/>
      <w:r w:rsidRPr="00BC4336">
        <w:rPr>
          <w:rFonts w:ascii="Tahoma" w:hAnsi="Tahoma" w:cs="Tahoma"/>
          <w:szCs w:val="22"/>
        </w:rPr>
        <w:lastRenderedPageBreak/>
        <w:t xml:space="preserve">Décret n° 2009-172 </w:t>
      </w:r>
      <w:r w:rsidR="00BC4336" w:rsidRPr="00BC4336">
        <w:rPr>
          <w:rFonts w:ascii="Tahoma" w:hAnsi="Tahoma" w:cs="Tahoma"/>
          <w:szCs w:val="22"/>
        </w:rPr>
        <w:t xml:space="preserve">du </w:t>
      </w:r>
      <w:r w:rsidR="00BC4336" w:rsidRPr="00BC4336">
        <w:rPr>
          <w:rFonts w:ascii="Tahoma" w:hAnsi="Tahoma" w:cs="Tahoma"/>
          <w:szCs w:val="22"/>
        </w:rPr>
        <w:t xml:space="preserve">02 </w:t>
      </w:r>
      <w:r w:rsidR="00BC4336">
        <w:rPr>
          <w:rFonts w:ascii="Tahoma" w:hAnsi="Tahoma" w:cs="Tahoma"/>
          <w:szCs w:val="22"/>
        </w:rPr>
        <w:t>a</w:t>
      </w:r>
      <w:r w:rsidR="00BC4336" w:rsidRPr="00BC4336">
        <w:rPr>
          <w:rFonts w:ascii="Tahoma" w:hAnsi="Tahoma" w:cs="Tahoma"/>
          <w:szCs w:val="22"/>
        </w:rPr>
        <w:t>vril 2009</w:t>
      </w:r>
      <w:r w:rsidR="00BC4336" w:rsidRPr="00BC4336">
        <w:rPr>
          <w:rFonts w:ascii="Tahoma" w:hAnsi="Tahoma" w:cs="Tahoma"/>
          <w:szCs w:val="22"/>
        </w:rPr>
        <w:t xml:space="preserve">, </w:t>
      </w:r>
      <w:r w:rsidRPr="00BC4336">
        <w:rPr>
          <w:rFonts w:ascii="Tahoma" w:hAnsi="Tahoma" w:cs="Tahoma"/>
          <w:szCs w:val="22"/>
        </w:rPr>
        <w:t>abrogeant et remplaçant le décret n°2002-065 du 05 Août 2002 relatif à l’exercice de la profession de mareyeur.</w:t>
      </w:r>
      <w:bookmarkEnd w:id="160"/>
    </w:p>
    <w:p w14:paraId="789091D3" w14:textId="77777777" w:rsidR="00D3100F" w:rsidRPr="00B004EE" w:rsidRDefault="00D3100F" w:rsidP="00B004EE">
      <w:pPr>
        <w:jc w:val="both"/>
        <w:rPr>
          <w:rFonts w:ascii="Arial" w:hAnsi="Arial" w:cs="Arial"/>
          <w:b/>
          <w:bCs/>
          <w:sz w:val="20"/>
          <w:szCs w:val="20"/>
          <w:u w:val="single"/>
        </w:rPr>
      </w:pPr>
    </w:p>
    <w:p w14:paraId="720373C3" w14:textId="41AEAC37" w:rsidR="00D3100F" w:rsidRPr="00B004EE" w:rsidRDefault="0024676E" w:rsidP="00B004EE">
      <w:pPr>
        <w:jc w:val="center"/>
        <w:rPr>
          <w:rFonts w:ascii="Tahoma" w:hAnsi="Tahoma" w:cs="Tahoma"/>
          <w:b/>
          <w:bCs/>
          <w:sz w:val="20"/>
          <w:szCs w:val="20"/>
        </w:rPr>
      </w:pPr>
      <w:r w:rsidRPr="00B004EE">
        <w:rPr>
          <w:rFonts w:ascii="Tahoma" w:hAnsi="Tahoma" w:cs="Tahoma"/>
          <w:b/>
          <w:bCs/>
          <w:sz w:val="20"/>
          <w:szCs w:val="20"/>
        </w:rPr>
        <w:t>TITRE PREMIER : DE LA DEFINITION ET DES CONDITIONS D'EXERCICE DE LA PROFESSION DE MAREYEUR</w:t>
      </w:r>
    </w:p>
    <w:p w14:paraId="097CF45B" w14:textId="77777777" w:rsidR="00D3100F" w:rsidRPr="00B004EE" w:rsidRDefault="00D3100F" w:rsidP="00B004EE">
      <w:pPr>
        <w:jc w:val="both"/>
        <w:rPr>
          <w:rFonts w:ascii="Tahoma" w:hAnsi="Tahoma" w:cs="Tahoma"/>
          <w:sz w:val="20"/>
          <w:szCs w:val="20"/>
        </w:rPr>
      </w:pPr>
    </w:p>
    <w:p w14:paraId="19B70BEC" w14:textId="77777777" w:rsidR="00D3100F" w:rsidRPr="00B004EE" w:rsidRDefault="00D3100F" w:rsidP="00B004EE">
      <w:pPr>
        <w:jc w:val="both"/>
        <w:rPr>
          <w:rFonts w:ascii="Tahoma" w:hAnsi="Tahoma" w:cs="Tahoma"/>
          <w:sz w:val="20"/>
          <w:szCs w:val="20"/>
        </w:rPr>
      </w:pPr>
      <w:r w:rsidRPr="00B004EE">
        <w:rPr>
          <w:rFonts w:ascii="Tahoma" w:hAnsi="Tahoma" w:cs="Tahoma"/>
          <w:sz w:val="20"/>
          <w:szCs w:val="20"/>
        </w:rPr>
        <w:t>Article Premier : Au sens du présent décret, on entend par :</w:t>
      </w:r>
    </w:p>
    <w:p w14:paraId="267D5E13" w14:textId="155E3987" w:rsidR="00D3100F" w:rsidRPr="00B004EE" w:rsidRDefault="00D3100F" w:rsidP="00420DDA">
      <w:pPr>
        <w:pStyle w:val="Paragraphedeliste"/>
        <w:numPr>
          <w:ilvl w:val="0"/>
          <w:numId w:val="140"/>
        </w:numPr>
        <w:ind w:left="426"/>
        <w:jc w:val="both"/>
        <w:rPr>
          <w:rFonts w:ascii="Tahoma" w:hAnsi="Tahoma" w:cs="Tahoma"/>
          <w:sz w:val="20"/>
          <w:szCs w:val="20"/>
        </w:rPr>
      </w:pPr>
      <w:r w:rsidRPr="00B004EE">
        <w:rPr>
          <w:rFonts w:ascii="Tahoma" w:hAnsi="Tahoma" w:cs="Tahoma"/>
          <w:b/>
          <w:bCs/>
          <w:sz w:val="20"/>
          <w:szCs w:val="20"/>
        </w:rPr>
        <w:t>Mareyeur :</w:t>
      </w:r>
      <w:r w:rsidRPr="00B004EE">
        <w:rPr>
          <w:rFonts w:ascii="Tahoma" w:hAnsi="Tahoma" w:cs="Tahoma"/>
          <w:sz w:val="20"/>
          <w:szCs w:val="20"/>
        </w:rPr>
        <w:t xml:space="preserve"> les personnes physiques ou morales qui procèdent régulièrement à la commercialisation des produits de la pêche et de l’aquaculture provenant soit des achats effectués auprès des producteurs, soit de leurs propres captures par le bais de leurs moyens de production après en avoir rempli les conditions nécessaires pour la réception, la conservation de ces produits et leur transport sur les lieux de vente, de traitement ou d’exportation.</w:t>
      </w:r>
    </w:p>
    <w:p w14:paraId="2CE72527" w14:textId="6BC55167" w:rsidR="00D3100F" w:rsidRPr="00B004EE" w:rsidRDefault="00D3100F" w:rsidP="00420DDA">
      <w:pPr>
        <w:pStyle w:val="Paragraphedeliste"/>
        <w:numPr>
          <w:ilvl w:val="0"/>
          <w:numId w:val="140"/>
        </w:numPr>
        <w:ind w:left="426"/>
        <w:jc w:val="both"/>
        <w:rPr>
          <w:rFonts w:ascii="Tahoma" w:hAnsi="Tahoma" w:cs="Tahoma"/>
          <w:sz w:val="20"/>
          <w:szCs w:val="20"/>
        </w:rPr>
      </w:pPr>
      <w:r w:rsidRPr="00B004EE">
        <w:rPr>
          <w:rFonts w:ascii="Tahoma" w:hAnsi="Tahoma" w:cs="Tahoma"/>
          <w:b/>
          <w:bCs/>
          <w:sz w:val="20"/>
          <w:szCs w:val="20"/>
        </w:rPr>
        <w:t>Produit de la pêche</w:t>
      </w:r>
      <w:r w:rsidRPr="00B004EE">
        <w:rPr>
          <w:rFonts w:ascii="Tahoma" w:hAnsi="Tahoma" w:cs="Tahoma"/>
          <w:sz w:val="20"/>
          <w:szCs w:val="20"/>
        </w:rPr>
        <w:t> : les espèces biologiques dont le milieu de vie normal ou le plus fréquent est l’eau, y compris leurs œufs et laitances, capturés au moyen d'engins de pêche à l'exclusion des mammifères aquatiques, des tortues marines, d’oiseaux marins et des femelles grainées de langoustes, frais, congelés, surgelés, à l’état entier ou transformé.</w:t>
      </w:r>
    </w:p>
    <w:p w14:paraId="3A3BF376" w14:textId="184304E6" w:rsidR="00D3100F" w:rsidRPr="00B004EE" w:rsidRDefault="00D3100F" w:rsidP="00420DDA">
      <w:pPr>
        <w:pStyle w:val="Paragraphedeliste"/>
        <w:numPr>
          <w:ilvl w:val="0"/>
          <w:numId w:val="140"/>
        </w:numPr>
        <w:ind w:left="426"/>
        <w:jc w:val="both"/>
        <w:rPr>
          <w:rFonts w:ascii="Tahoma" w:hAnsi="Tahoma" w:cs="Tahoma"/>
          <w:sz w:val="20"/>
          <w:szCs w:val="20"/>
        </w:rPr>
      </w:pPr>
      <w:r w:rsidRPr="00B004EE">
        <w:rPr>
          <w:rFonts w:ascii="Tahoma" w:hAnsi="Tahoma" w:cs="Tahoma"/>
          <w:b/>
          <w:bCs/>
          <w:sz w:val="20"/>
          <w:szCs w:val="20"/>
        </w:rPr>
        <w:t>Produit de l’aquaculture</w:t>
      </w:r>
      <w:r w:rsidRPr="00B004EE">
        <w:rPr>
          <w:rFonts w:ascii="Tahoma" w:hAnsi="Tahoma" w:cs="Tahoma"/>
          <w:sz w:val="20"/>
          <w:szCs w:val="20"/>
        </w:rPr>
        <w:t> : tout produit halieutique notamment les poissons, crustacés, mollusques de mer ou d’eau douce, dont la naissance ou la croissance sont contrôlées par l’homme jusqu’à leur mise sur le marché en tant que denrée alimentaire. Toutefois, les produits halieutiques de taille commerciale, capturés dans leur milieu naturel et conservés vivants en vue de leur vente ultérieure, ne sont pas considérés comme des produits d’aquaculture.</w:t>
      </w:r>
    </w:p>
    <w:p w14:paraId="42532DAE" w14:textId="37839037" w:rsidR="00D3100F" w:rsidRPr="00B004EE" w:rsidRDefault="00D3100F" w:rsidP="00420DDA">
      <w:pPr>
        <w:pStyle w:val="Paragraphedeliste"/>
        <w:numPr>
          <w:ilvl w:val="0"/>
          <w:numId w:val="140"/>
        </w:numPr>
        <w:ind w:left="426"/>
        <w:jc w:val="both"/>
        <w:rPr>
          <w:rFonts w:ascii="Tahoma" w:hAnsi="Tahoma" w:cs="Tahoma"/>
          <w:sz w:val="20"/>
          <w:szCs w:val="20"/>
        </w:rPr>
      </w:pPr>
      <w:r w:rsidRPr="00B004EE">
        <w:rPr>
          <w:rFonts w:ascii="Tahoma" w:hAnsi="Tahoma" w:cs="Tahoma"/>
          <w:b/>
          <w:bCs/>
          <w:sz w:val="20"/>
          <w:szCs w:val="20"/>
        </w:rPr>
        <w:t>Sous-produits</w:t>
      </w:r>
      <w:r w:rsidRPr="00B004EE">
        <w:rPr>
          <w:rFonts w:ascii="Tahoma" w:hAnsi="Tahoma" w:cs="Tahoma"/>
          <w:sz w:val="20"/>
          <w:szCs w:val="20"/>
        </w:rPr>
        <w:t> : les matières premières de produits de la pêche ou de l’aquaculture, fraîches ou à l’état de déchets, dont la finalité est la fabrication de produits non destinées à la consommation humaine.</w:t>
      </w:r>
    </w:p>
    <w:p w14:paraId="4F60C174" w14:textId="50E124A7" w:rsidR="00D3100F" w:rsidRPr="00B004EE" w:rsidRDefault="00D3100F" w:rsidP="00420DDA">
      <w:pPr>
        <w:pStyle w:val="Paragraphedeliste"/>
        <w:numPr>
          <w:ilvl w:val="0"/>
          <w:numId w:val="140"/>
        </w:numPr>
        <w:ind w:left="426"/>
        <w:jc w:val="both"/>
        <w:rPr>
          <w:rFonts w:ascii="Tahoma" w:hAnsi="Tahoma" w:cs="Tahoma"/>
          <w:sz w:val="20"/>
          <w:szCs w:val="20"/>
        </w:rPr>
      </w:pPr>
      <w:r w:rsidRPr="00B004EE">
        <w:rPr>
          <w:rFonts w:ascii="Tahoma" w:hAnsi="Tahoma" w:cs="Tahoma"/>
          <w:b/>
          <w:bCs/>
          <w:sz w:val="20"/>
          <w:szCs w:val="20"/>
        </w:rPr>
        <w:t>Unité de production</w:t>
      </w:r>
      <w:r w:rsidRPr="00B004EE">
        <w:rPr>
          <w:rFonts w:ascii="Tahoma" w:hAnsi="Tahoma" w:cs="Tahoma"/>
          <w:sz w:val="20"/>
          <w:szCs w:val="20"/>
        </w:rPr>
        <w:t> : établissement ou navire agréé par l’autorité compétente.</w:t>
      </w:r>
    </w:p>
    <w:p w14:paraId="31E8CC6B" w14:textId="71738909" w:rsidR="00D3100F" w:rsidRPr="00B004EE" w:rsidRDefault="00D3100F" w:rsidP="00420DDA">
      <w:pPr>
        <w:pStyle w:val="Paragraphedeliste"/>
        <w:numPr>
          <w:ilvl w:val="0"/>
          <w:numId w:val="140"/>
        </w:numPr>
        <w:ind w:left="426"/>
        <w:jc w:val="both"/>
        <w:rPr>
          <w:rFonts w:ascii="Tahoma" w:hAnsi="Tahoma" w:cs="Tahoma"/>
          <w:sz w:val="20"/>
          <w:szCs w:val="20"/>
        </w:rPr>
      </w:pPr>
      <w:r w:rsidRPr="00B004EE">
        <w:rPr>
          <w:rFonts w:ascii="Tahoma" w:hAnsi="Tahoma" w:cs="Tahoma"/>
          <w:b/>
          <w:bCs/>
          <w:sz w:val="20"/>
          <w:szCs w:val="20"/>
        </w:rPr>
        <w:t>Mise sur le marché</w:t>
      </w:r>
      <w:r w:rsidRPr="00B004EE">
        <w:rPr>
          <w:rFonts w:ascii="Tahoma" w:hAnsi="Tahoma" w:cs="Tahoma"/>
          <w:sz w:val="20"/>
          <w:szCs w:val="20"/>
        </w:rPr>
        <w:t> : la détention ou l’exposition en vue de la vente, la mise en vente, et la livraison en vue de la vente.</w:t>
      </w:r>
    </w:p>
    <w:p w14:paraId="4AF6EFA6" w14:textId="77777777" w:rsidR="00D3100F" w:rsidRPr="00B004EE" w:rsidRDefault="00D3100F" w:rsidP="00B004EE">
      <w:pPr>
        <w:jc w:val="both"/>
        <w:rPr>
          <w:rFonts w:ascii="Tahoma" w:hAnsi="Tahoma" w:cs="Tahoma"/>
          <w:sz w:val="20"/>
          <w:szCs w:val="20"/>
        </w:rPr>
      </w:pPr>
    </w:p>
    <w:p w14:paraId="7E5497C8" w14:textId="77777777" w:rsidR="00D3100F" w:rsidRPr="00B004EE" w:rsidRDefault="00D3100F" w:rsidP="00B004EE">
      <w:pPr>
        <w:jc w:val="both"/>
        <w:rPr>
          <w:rFonts w:ascii="Tahoma" w:hAnsi="Tahoma" w:cs="Tahoma"/>
          <w:sz w:val="20"/>
          <w:szCs w:val="20"/>
        </w:rPr>
      </w:pPr>
      <w:r w:rsidRPr="00B004EE">
        <w:rPr>
          <w:rFonts w:ascii="Tahoma" w:hAnsi="Tahoma" w:cs="Tahoma"/>
          <w:sz w:val="20"/>
          <w:szCs w:val="20"/>
        </w:rPr>
        <w:t>Article 2 : Ne sont pas assujettis aux dispositions du présent décret :</w:t>
      </w:r>
    </w:p>
    <w:p w14:paraId="25156C67" w14:textId="77777777" w:rsidR="00D3100F" w:rsidRPr="00B004EE" w:rsidRDefault="00D3100F" w:rsidP="00420DDA">
      <w:pPr>
        <w:numPr>
          <w:ilvl w:val="0"/>
          <w:numId w:val="130"/>
        </w:numPr>
        <w:jc w:val="both"/>
        <w:rPr>
          <w:rFonts w:ascii="Tahoma" w:hAnsi="Tahoma" w:cs="Tahoma"/>
          <w:sz w:val="20"/>
          <w:szCs w:val="20"/>
        </w:rPr>
      </w:pPr>
      <w:proofErr w:type="gramStart"/>
      <w:r w:rsidRPr="00B004EE">
        <w:rPr>
          <w:rFonts w:ascii="Tahoma" w:hAnsi="Tahoma" w:cs="Tahoma"/>
          <w:sz w:val="20"/>
          <w:szCs w:val="20"/>
        </w:rPr>
        <w:t>les</w:t>
      </w:r>
      <w:proofErr w:type="gramEnd"/>
      <w:r w:rsidRPr="00B004EE">
        <w:rPr>
          <w:rFonts w:ascii="Tahoma" w:hAnsi="Tahoma" w:cs="Tahoma"/>
          <w:sz w:val="20"/>
          <w:szCs w:val="20"/>
        </w:rPr>
        <w:t xml:space="preserve"> produits dont la commercialisation et l'exportation sont régies par des textes réglementaires spécifiques en vigueur ;</w:t>
      </w:r>
    </w:p>
    <w:p w14:paraId="41EC621E" w14:textId="77777777" w:rsidR="00D3100F" w:rsidRPr="00B004EE" w:rsidRDefault="00D3100F" w:rsidP="00420DDA">
      <w:pPr>
        <w:numPr>
          <w:ilvl w:val="0"/>
          <w:numId w:val="130"/>
        </w:numPr>
        <w:jc w:val="both"/>
        <w:rPr>
          <w:rFonts w:ascii="Tahoma" w:hAnsi="Tahoma" w:cs="Tahoma"/>
          <w:sz w:val="20"/>
          <w:szCs w:val="20"/>
        </w:rPr>
      </w:pPr>
      <w:proofErr w:type="gramStart"/>
      <w:r w:rsidRPr="00B004EE">
        <w:rPr>
          <w:rFonts w:ascii="Tahoma" w:hAnsi="Tahoma" w:cs="Tahoma"/>
          <w:sz w:val="20"/>
          <w:szCs w:val="20"/>
        </w:rPr>
        <w:t>les</w:t>
      </w:r>
      <w:proofErr w:type="gramEnd"/>
      <w:r w:rsidRPr="00B004EE">
        <w:rPr>
          <w:rFonts w:ascii="Tahoma" w:hAnsi="Tahoma" w:cs="Tahoma"/>
          <w:sz w:val="20"/>
          <w:szCs w:val="20"/>
        </w:rPr>
        <w:t xml:space="preserve"> produits pêchés par les pêcheurs artisans pour leur propre consommation. </w:t>
      </w:r>
    </w:p>
    <w:p w14:paraId="6628E8F9" w14:textId="77777777" w:rsidR="00D3100F" w:rsidRPr="00B004EE" w:rsidRDefault="00D3100F" w:rsidP="00B004EE">
      <w:pPr>
        <w:jc w:val="both"/>
        <w:rPr>
          <w:rFonts w:ascii="Tahoma" w:hAnsi="Tahoma" w:cs="Tahoma"/>
          <w:sz w:val="20"/>
          <w:szCs w:val="20"/>
        </w:rPr>
      </w:pPr>
    </w:p>
    <w:p w14:paraId="4A7E76CB" w14:textId="7BE45E00" w:rsidR="00D3100F" w:rsidRPr="00B004EE" w:rsidRDefault="00D3100F" w:rsidP="00B004EE">
      <w:pPr>
        <w:jc w:val="both"/>
        <w:rPr>
          <w:rFonts w:ascii="Tahoma" w:hAnsi="Tahoma" w:cs="Tahoma"/>
          <w:sz w:val="20"/>
          <w:szCs w:val="20"/>
        </w:rPr>
      </w:pPr>
      <w:r w:rsidRPr="00B004EE">
        <w:rPr>
          <w:rFonts w:ascii="Tahoma" w:hAnsi="Tahoma" w:cs="Tahoma"/>
          <w:sz w:val="20"/>
          <w:szCs w:val="20"/>
        </w:rPr>
        <w:t xml:space="preserve">Article </w:t>
      </w:r>
      <w:r w:rsidR="00566A20" w:rsidRPr="00B004EE">
        <w:rPr>
          <w:rFonts w:ascii="Tahoma" w:hAnsi="Tahoma" w:cs="Tahoma"/>
          <w:sz w:val="20"/>
          <w:szCs w:val="20"/>
        </w:rPr>
        <w:t>3 :</w:t>
      </w:r>
      <w:r w:rsidRPr="00B004EE">
        <w:rPr>
          <w:rFonts w:ascii="Tahoma" w:hAnsi="Tahoma" w:cs="Tahoma"/>
          <w:sz w:val="20"/>
          <w:szCs w:val="20"/>
        </w:rPr>
        <w:t xml:space="preserve"> L’exercice de la profession de mareyeur est subordonné aux conditions ci- après :</w:t>
      </w:r>
    </w:p>
    <w:p w14:paraId="48B337FC" w14:textId="77777777" w:rsidR="00D3100F" w:rsidRPr="00B004EE" w:rsidRDefault="00D3100F" w:rsidP="00420DDA">
      <w:pPr>
        <w:numPr>
          <w:ilvl w:val="0"/>
          <w:numId w:val="131"/>
        </w:numPr>
        <w:ind w:left="851" w:hanging="425"/>
        <w:jc w:val="both"/>
        <w:rPr>
          <w:rFonts w:ascii="Tahoma" w:hAnsi="Tahoma" w:cs="Tahoma"/>
          <w:sz w:val="20"/>
          <w:szCs w:val="20"/>
        </w:rPr>
      </w:pPr>
      <w:proofErr w:type="gramStart"/>
      <w:r w:rsidRPr="00B004EE">
        <w:rPr>
          <w:rFonts w:ascii="Tahoma" w:hAnsi="Tahoma" w:cs="Tahoma"/>
          <w:sz w:val="20"/>
          <w:szCs w:val="20"/>
        </w:rPr>
        <w:t>être</w:t>
      </w:r>
      <w:proofErr w:type="gramEnd"/>
      <w:r w:rsidRPr="00B004EE">
        <w:rPr>
          <w:rFonts w:ascii="Tahoma" w:hAnsi="Tahoma" w:cs="Tahoma"/>
          <w:sz w:val="20"/>
          <w:szCs w:val="20"/>
        </w:rPr>
        <w:t xml:space="preserve"> de nationalité Mauritanienne ;</w:t>
      </w:r>
    </w:p>
    <w:p w14:paraId="1E77A354" w14:textId="77777777" w:rsidR="00D3100F" w:rsidRPr="00B004EE" w:rsidRDefault="00D3100F" w:rsidP="00420DDA">
      <w:pPr>
        <w:numPr>
          <w:ilvl w:val="0"/>
          <w:numId w:val="131"/>
        </w:numPr>
        <w:ind w:left="851" w:hanging="425"/>
        <w:jc w:val="both"/>
        <w:rPr>
          <w:rFonts w:ascii="Tahoma" w:hAnsi="Tahoma" w:cs="Tahoma"/>
          <w:sz w:val="20"/>
          <w:szCs w:val="20"/>
        </w:rPr>
      </w:pPr>
      <w:r w:rsidRPr="00B004EE">
        <w:rPr>
          <w:rFonts w:ascii="Tahoma" w:hAnsi="Tahoma" w:cs="Tahoma"/>
          <w:sz w:val="20"/>
          <w:szCs w:val="20"/>
        </w:rPr>
        <w:t>Disposer d’un minimum de matériels et d’installations conformément aux dispositions des articles 4, 7 et 11 du présent décret ;</w:t>
      </w:r>
    </w:p>
    <w:p w14:paraId="6EC18CC1" w14:textId="77777777" w:rsidR="00D3100F" w:rsidRPr="00B004EE" w:rsidRDefault="00D3100F" w:rsidP="00420DDA">
      <w:pPr>
        <w:numPr>
          <w:ilvl w:val="0"/>
          <w:numId w:val="131"/>
        </w:numPr>
        <w:ind w:left="851" w:hanging="425"/>
        <w:jc w:val="both"/>
        <w:rPr>
          <w:rFonts w:ascii="Tahoma" w:hAnsi="Tahoma" w:cs="Tahoma"/>
          <w:sz w:val="20"/>
          <w:szCs w:val="20"/>
        </w:rPr>
      </w:pPr>
      <w:proofErr w:type="gramStart"/>
      <w:r w:rsidRPr="00B004EE">
        <w:rPr>
          <w:rFonts w:ascii="Tahoma" w:hAnsi="Tahoma" w:cs="Tahoma"/>
          <w:sz w:val="20"/>
          <w:szCs w:val="20"/>
        </w:rPr>
        <w:t>respecter</w:t>
      </w:r>
      <w:proofErr w:type="gramEnd"/>
      <w:r w:rsidRPr="00B004EE">
        <w:rPr>
          <w:rFonts w:ascii="Tahoma" w:hAnsi="Tahoma" w:cs="Tahoma"/>
          <w:sz w:val="20"/>
          <w:szCs w:val="20"/>
        </w:rPr>
        <w:t xml:space="preserve"> les normes d'hygiène, de salubrité et de qualité des produits, prévues par les dispositions réglementaires en vigueur ;</w:t>
      </w:r>
    </w:p>
    <w:p w14:paraId="1241ADA5" w14:textId="77777777" w:rsidR="00D3100F" w:rsidRPr="00B004EE" w:rsidRDefault="00D3100F" w:rsidP="00420DDA">
      <w:pPr>
        <w:numPr>
          <w:ilvl w:val="0"/>
          <w:numId w:val="131"/>
        </w:numPr>
        <w:ind w:left="851" w:hanging="425"/>
        <w:jc w:val="both"/>
        <w:rPr>
          <w:rFonts w:ascii="Tahoma" w:hAnsi="Tahoma" w:cs="Tahoma"/>
          <w:sz w:val="20"/>
          <w:szCs w:val="20"/>
        </w:rPr>
      </w:pPr>
      <w:r w:rsidRPr="00B004EE">
        <w:rPr>
          <w:rFonts w:ascii="Tahoma" w:hAnsi="Tahoma" w:cs="Tahoma"/>
          <w:sz w:val="20"/>
          <w:szCs w:val="20"/>
        </w:rPr>
        <w:t>S’inscrire au registre du commerce ;</w:t>
      </w:r>
    </w:p>
    <w:p w14:paraId="7CAF4B36" w14:textId="77777777" w:rsidR="00D3100F" w:rsidRPr="00B004EE" w:rsidRDefault="00D3100F" w:rsidP="00420DDA">
      <w:pPr>
        <w:numPr>
          <w:ilvl w:val="0"/>
          <w:numId w:val="131"/>
        </w:numPr>
        <w:ind w:left="851" w:hanging="425"/>
        <w:jc w:val="both"/>
        <w:rPr>
          <w:rFonts w:ascii="Tahoma" w:hAnsi="Tahoma" w:cs="Tahoma"/>
          <w:sz w:val="20"/>
          <w:szCs w:val="20"/>
        </w:rPr>
      </w:pPr>
      <w:r w:rsidRPr="00B004EE">
        <w:rPr>
          <w:rFonts w:ascii="Tahoma" w:hAnsi="Tahoma" w:cs="Tahoma"/>
          <w:sz w:val="20"/>
          <w:szCs w:val="20"/>
        </w:rPr>
        <w:t>Avoir une adresse fixe et permanente ;</w:t>
      </w:r>
    </w:p>
    <w:p w14:paraId="6BE54044" w14:textId="77777777" w:rsidR="00D3100F" w:rsidRPr="00B004EE" w:rsidRDefault="00D3100F" w:rsidP="00420DDA">
      <w:pPr>
        <w:numPr>
          <w:ilvl w:val="0"/>
          <w:numId w:val="131"/>
        </w:numPr>
        <w:ind w:left="851" w:hanging="425"/>
        <w:jc w:val="both"/>
        <w:rPr>
          <w:rFonts w:ascii="Tahoma" w:hAnsi="Tahoma" w:cs="Tahoma"/>
          <w:sz w:val="20"/>
          <w:szCs w:val="20"/>
        </w:rPr>
      </w:pPr>
      <w:r w:rsidRPr="00B004EE">
        <w:rPr>
          <w:rFonts w:ascii="Tahoma" w:hAnsi="Tahoma" w:cs="Tahoma"/>
          <w:sz w:val="20"/>
          <w:szCs w:val="20"/>
        </w:rPr>
        <w:t>Fournir tout autre renseignement jugé nécessaire par l’administration.</w:t>
      </w:r>
    </w:p>
    <w:p w14:paraId="3242FBBC" w14:textId="77777777" w:rsidR="00D3100F" w:rsidRPr="00B004EE" w:rsidRDefault="00D3100F" w:rsidP="00B004EE">
      <w:pPr>
        <w:jc w:val="both"/>
        <w:rPr>
          <w:rFonts w:ascii="Tahoma" w:hAnsi="Tahoma" w:cs="Tahoma"/>
          <w:sz w:val="20"/>
          <w:szCs w:val="20"/>
        </w:rPr>
      </w:pPr>
    </w:p>
    <w:p w14:paraId="54DF4F09" w14:textId="52C883A7" w:rsidR="00D3100F" w:rsidRPr="00B004EE" w:rsidRDefault="00D3100F" w:rsidP="00B004EE">
      <w:pPr>
        <w:jc w:val="both"/>
        <w:rPr>
          <w:rFonts w:ascii="Tahoma" w:hAnsi="Tahoma" w:cs="Tahoma"/>
          <w:sz w:val="20"/>
          <w:szCs w:val="20"/>
        </w:rPr>
      </w:pPr>
      <w:r w:rsidRPr="00B004EE">
        <w:rPr>
          <w:rFonts w:ascii="Tahoma" w:hAnsi="Tahoma" w:cs="Tahoma"/>
          <w:sz w:val="20"/>
          <w:szCs w:val="20"/>
        </w:rPr>
        <w:t xml:space="preserve">Article </w:t>
      </w:r>
      <w:r w:rsidR="00566A20" w:rsidRPr="00B004EE">
        <w:rPr>
          <w:rFonts w:ascii="Tahoma" w:hAnsi="Tahoma" w:cs="Tahoma"/>
          <w:sz w:val="20"/>
          <w:szCs w:val="20"/>
        </w:rPr>
        <w:t>4 :</w:t>
      </w:r>
      <w:r w:rsidRPr="00B004EE">
        <w:rPr>
          <w:rFonts w:ascii="Tahoma" w:hAnsi="Tahoma" w:cs="Tahoma"/>
          <w:sz w:val="20"/>
          <w:szCs w:val="20"/>
        </w:rPr>
        <w:t xml:space="preserve"> Un arrêté du Ministre chargé des Pêches déterminera en tant que de besoin :</w:t>
      </w:r>
    </w:p>
    <w:p w14:paraId="00676453" w14:textId="77777777" w:rsidR="00D3100F" w:rsidRPr="00B004EE" w:rsidRDefault="00D3100F" w:rsidP="00420DDA">
      <w:pPr>
        <w:numPr>
          <w:ilvl w:val="0"/>
          <w:numId w:val="132"/>
        </w:numPr>
        <w:ind w:left="851" w:hanging="425"/>
        <w:jc w:val="both"/>
        <w:rPr>
          <w:rFonts w:ascii="Tahoma" w:hAnsi="Tahoma" w:cs="Tahoma"/>
          <w:sz w:val="20"/>
          <w:szCs w:val="20"/>
        </w:rPr>
      </w:pPr>
      <w:r w:rsidRPr="00B004EE">
        <w:rPr>
          <w:rFonts w:ascii="Tahoma" w:hAnsi="Tahoma" w:cs="Tahoma"/>
          <w:sz w:val="20"/>
          <w:szCs w:val="20"/>
        </w:rPr>
        <w:t>Les conditions minimales d’hygiène, de salubrité et de qualité que les ateliers, magasins, matériels et équipements de mareyage doivent remplir ;</w:t>
      </w:r>
    </w:p>
    <w:p w14:paraId="19807E60" w14:textId="77777777" w:rsidR="00D3100F" w:rsidRPr="00B004EE" w:rsidRDefault="00D3100F" w:rsidP="00420DDA">
      <w:pPr>
        <w:numPr>
          <w:ilvl w:val="0"/>
          <w:numId w:val="132"/>
        </w:numPr>
        <w:ind w:left="851" w:hanging="425"/>
        <w:jc w:val="both"/>
        <w:rPr>
          <w:rFonts w:ascii="Tahoma" w:hAnsi="Tahoma" w:cs="Tahoma"/>
          <w:sz w:val="20"/>
          <w:szCs w:val="20"/>
        </w:rPr>
      </w:pPr>
      <w:r w:rsidRPr="00B004EE">
        <w:rPr>
          <w:rFonts w:ascii="Tahoma" w:hAnsi="Tahoma" w:cs="Tahoma"/>
          <w:sz w:val="20"/>
          <w:szCs w:val="20"/>
        </w:rPr>
        <w:t xml:space="preserve">Les moyens matériels dont doit disposer tout mareyeur pour assurer un transport convenable et une bonne réception et conservation des produits de la pêche ; </w:t>
      </w:r>
    </w:p>
    <w:p w14:paraId="717CE185" w14:textId="77777777" w:rsidR="00D3100F" w:rsidRPr="00B004EE" w:rsidRDefault="00D3100F" w:rsidP="00420DDA">
      <w:pPr>
        <w:numPr>
          <w:ilvl w:val="0"/>
          <w:numId w:val="132"/>
        </w:numPr>
        <w:ind w:left="851" w:hanging="425"/>
        <w:jc w:val="both"/>
        <w:rPr>
          <w:rFonts w:ascii="Tahoma" w:hAnsi="Tahoma" w:cs="Tahoma"/>
          <w:sz w:val="20"/>
          <w:szCs w:val="20"/>
        </w:rPr>
      </w:pPr>
      <w:r w:rsidRPr="00B004EE">
        <w:rPr>
          <w:rFonts w:ascii="Tahoma" w:hAnsi="Tahoma" w:cs="Tahoma"/>
          <w:sz w:val="20"/>
          <w:szCs w:val="20"/>
        </w:rPr>
        <w:t>Le niveau de transaction minimum en volume, exigé pour l’exercice de la profession avec une carte professionnelle ;</w:t>
      </w:r>
    </w:p>
    <w:p w14:paraId="03D3BB38" w14:textId="77777777" w:rsidR="00D3100F" w:rsidRPr="00B004EE" w:rsidRDefault="00D3100F" w:rsidP="00420DDA">
      <w:pPr>
        <w:numPr>
          <w:ilvl w:val="0"/>
          <w:numId w:val="132"/>
        </w:numPr>
        <w:ind w:left="851" w:hanging="425"/>
        <w:jc w:val="both"/>
        <w:rPr>
          <w:rFonts w:ascii="Tahoma" w:hAnsi="Tahoma" w:cs="Tahoma"/>
          <w:sz w:val="20"/>
          <w:szCs w:val="20"/>
        </w:rPr>
      </w:pPr>
      <w:r w:rsidRPr="00B004EE">
        <w:rPr>
          <w:rFonts w:ascii="Tahoma" w:hAnsi="Tahoma" w:cs="Tahoma"/>
          <w:sz w:val="20"/>
          <w:szCs w:val="20"/>
        </w:rPr>
        <w:t>La traçabilité des produits de la pêche et l’organisation de la vente.</w:t>
      </w:r>
    </w:p>
    <w:p w14:paraId="698123FC" w14:textId="77777777" w:rsidR="00D3100F" w:rsidRPr="00B004EE" w:rsidRDefault="00D3100F" w:rsidP="00B004EE">
      <w:pPr>
        <w:jc w:val="both"/>
        <w:rPr>
          <w:rFonts w:ascii="Tahoma" w:hAnsi="Tahoma" w:cs="Tahoma"/>
          <w:sz w:val="20"/>
          <w:szCs w:val="20"/>
        </w:rPr>
      </w:pPr>
    </w:p>
    <w:p w14:paraId="1A4E7A01" w14:textId="77777777" w:rsidR="00D3100F" w:rsidRPr="00B004EE" w:rsidRDefault="00D3100F" w:rsidP="00B004EE">
      <w:pPr>
        <w:jc w:val="both"/>
        <w:rPr>
          <w:rFonts w:ascii="Tahoma" w:hAnsi="Tahoma" w:cs="Tahoma"/>
          <w:sz w:val="20"/>
          <w:szCs w:val="20"/>
        </w:rPr>
      </w:pPr>
      <w:r w:rsidRPr="00B004EE">
        <w:rPr>
          <w:rFonts w:ascii="Tahoma" w:hAnsi="Tahoma" w:cs="Tahoma"/>
          <w:sz w:val="20"/>
          <w:szCs w:val="20"/>
        </w:rPr>
        <w:lastRenderedPageBreak/>
        <w:t>Article 5 : Définition des catégories de mareyeurs :</w:t>
      </w:r>
    </w:p>
    <w:p w14:paraId="74928AB7" w14:textId="77777777" w:rsidR="00D3100F" w:rsidRPr="00B004EE" w:rsidRDefault="00D3100F" w:rsidP="00420DDA">
      <w:pPr>
        <w:numPr>
          <w:ilvl w:val="0"/>
          <w:numId w:val="133"/>
        </w:numPr>
        <w:tabs>
          <w:tab w:val="left" w:pos="567"/>
        </w:tabs>
        <w:ind w:left="567" w:hanging="567"/>
        <w:jc w:val="both"/>
        <w:rPr>
          <w:rFonts w:ascii="Tahoma" w:hAnsi="Tahoma" w:cs="Tahoma"/>
          <w:sz w:val="20"/>
          <w:szCs w:val="20"/>
        </w:rPr>
      </w:pPr>
      <w:r w:rsidRPr="00B004EE">
        <w:rPr>
          <w:rFonts w:ascii="Tahoma" w:hAnsi="Tahoma" w:cs="Tahoma"/>
          <w:b/>
          <w:bCs/>
          <w:sz w:val="20"/>
          <w:szCs w:val="20"/>
        </w:rPr>
        <w:t>Les Mareyeurs collecteurs</w:t>
      </w:r>
      <w:r w:rsidRPr="00B004EE">
        <w:rPr>
          <w:rFonts w:ascii="Tahoma" w:hAnsi="Tahoma" w:cs="Tahoma"/>
          <w:sz w:val="20"/>
          <w:szCs w:val="20"/>
        </w:rPr>
        <w:t xml:space="preserve"> sont les personnes physiques qui fréquentent les aires de débarquement, achètent les produits de la pêche en petites quantités et les revendent sans traitement ni conditionnement et qui disposent de locaux et équipements adéquats de réception des produits. Ils doivent posséder la carte professionnelle de mareyeur dite de Première catégorie visée à l’article 6 ci- dessous.</w:t>
      </w:r>
    </w:p>
    <w:p w14:paraId="23815BE9" w14:textId="4507A305" w:rsidR="00D3100F" w:rsidRPr="00B004EE" w:rsidRDefault="00D3100F" w:rsidP="00420DDA">
      <w:pPr>
        <w:numPr>
          <w:ilvl w:val="0"/>
          <w:numId w:val="133"/>
        </w:numPr>
        <w:tabs>
          <w:tab w:val="left" w:pos="567"/>
        </w:tabs>
        <w:ind w:left="567" w:hanging="567"/>
        <w:jc w:val="both"/>
        <w:rPr>
          <w:rFonts w:ascii="Tahoma" w:hAnsi="Tahoma" w:cs="Tahoma"/>
          <w:sz w:val="20"/>
          <w:szCs w:val="20"/>
        </w:rPr>
      </w:pPr>
      <w:r w:rsidRPr="00B004EE">
        <w:rPr>
          <w:rFonts w:ascii="Tahoma" w:hAnsi="Tahoma" w:cs="Tahoma"/>
          <w:b/>
          <w:bCs/>
          <w:sz w:val="20"/>
          <w:szCs w:val="20"/>
        </w:rPr>
        <w:t>Les Mareyeurs</w:t>
      </w:r>
      <w:r w:rsidRPr="00B004EE">
        <w:rPr>
          <w:rFonts w:ascii="Tahoma" w:hAnsi="Tahoma" w:cs="Tahoma"/>
          <w:sz w:val="20"/>
          <w:szCs w:val="20"/>
        </w:rPr>
        <w:t xml:space="preserve"> </w:t>
      </w:r>
      <w:r w:rsidRPr="00B004EE">
        <w:rPr>
          <w:rFonts w:ascii="Tahoma" w:hAnsi="Tahoma" w:cs="Tahoma"/>
          <w:b/>
          <w:bCs/>
          <w:sz w:val="20"/>
          <w:szCs w:val="20"/>
        </w:rPr>
        <w:t>distributeurs</w:t>
      </w:r>
      <w:r w:rsidRPr="00B004EE">
        <w:rPr>
          <w:rFonts w:ascii="Tahoma" w:hAnsi="Tahoma" w:cs="Tahoma"/>
          <w:sz w:val="20"/>
          <w:szCs w:val="20"/>
        </w:rPr>
        <w:t xml:space="preserve"> sont les personnes physiques ou morales qui achètent en gros les produits de la pêche en vue de les revendre après conditionnement et transport. Ils reçoivent les cartes professionnelles dites de </w:t>
      </w:r>
      <w:r w:rsidRPr="00B004EE">
        <w:rPr>
          <w:rFonts w:ascii="Tahoma" w:hAnsi="Tahoma" w:cs="Tahoma"/>
          <w:b/>
          <w:bCs/>
          <w:sz w:val="20"/>
          <w:szCs w:val="20"/>
        </w:rPr>
        <w:t>deuxième catégorie</w:t>
      </w:r>
      <w:r w:rsidRPr="00B004EE">
        <w:rPr>
          <w:rFonts w:ascii="Tahoma" w:hAnsi="Tahoma" w:cs="Tahoma"/>
          <w:sz w:val="20"/>
          <w:szCs w:val="20"/>
        </w:rPr>
        <w:t xml:space="preserve"> définie à l’article 6 ci-dessous. </w:t>
      </w:r>
    </w:p>
    <w:p w14:paraId="54B6573B" w14:textId="096EB69F" w:rsidR="00D3100F" w:rsidRPr="00B004EE" w:rsidRDefault="00D3100F" w:rsidP="00B004EE">
      <w:pPr>
        <w:tabs>
          <w:tab w:val="left" w:pos="567"/>
        </w:tabs>
        <w:ind w:left="567"/>
        <w:jc w:val="both"/>
        <w:rPr>
          <w:rFonts w:ascii="Tahoma" w:hAnsi="Tahoma" w:cs="Tahoma"/>
          <w:sz w:val="20"/>
          <w:szCs w:val="20"/>
        </w:rPr>
      </w:pPr>
      <w:r w:rsidRPr="00B004EE">
        <w:rPr>
          <w:rFonts w:ascii="Tahoma" w:hAnsi="Tahoma" w:cs="Tahoma"/>
          <w:sz w:val="20"/>
          <w:szCs w:val="20"/>
        </w:rPr>
        <w:t>Un arrêté du Ministre chargé des pêches définira, en tant que de besoin, des sous Catégories ainsi que les conditions à remplir par celles-ci.</w:t>
      </w:r>
    </w:p>
    <w:p w14:paraId="3758ABEF" w14:textId="77777777" w:rsidR="00D3100F" w:rsidRPr="00B004EE" w:rsidRDefault="00D3100F" w:rsidP="00420DDA">
      <w:pPr>
        <w:numPr>
          <w:ilvl w:val="0"/>
          <w:numId w:val="134"/>
        </w:numPr>
        <w:tabs>
          <w:tab w:val="left" w:pos="567"/>
        </w:tabs>
        <w:ind w:left="567" w:hanging="567"/>
        <w:jc w:val="both"/>
        <w:rPr>
          <w:rFonts w:ascii="Tahoma" w:hAnsi="Tahoma" w:cs="Tahoma"/>
          <w:sz w:val="20"/>
          <w:szCs w:val="20"/>
        </w:rPr>
      </w:pPr>
      <w:r w:rsidRPr="00B004EE">
        <w:rPr>
          <w:rFonts w:ascii="Tahoma" w:hAnsi="Tahoma" w:cs="Tahoma"/>
          <w:b/>
          <w:bCs/>
          <w:sz w:val="20"/>
          <w:szCs w:val="20"/>
        </w:rPr>
        <w:t>Les Mareyeurs exportateurs</w:t>
      </w:r>
      <w:r w:rsidRPr="00B004EE">
        <w:rPr>
          <w:rFonts w:ascii="Tahoma" w:hAnsi="Tahoma" w:cs="Tahoma"/>
          <w:sz w:val="20"/>
          <w:szCs w:val="20"/>
        </w:rPr>
        <w:t xml:space="preserve"> sont les personnes morales désirant exporter des produits de la pêche conformément aux lois et règlements en vigueur. La carte professionnelle dite de troisième catégorie est délivrée aux mareyeurs exportateurs.</w:t>
      </w:r>
    </w:p>
    <w:p w14:paraId="5FC8CD8F" w14:textId="77777777" w:rsidR="00D3100F" w:rsidRPr="00B004EE" w:rsidRDefault="00D3100F" w:rsidP="00B004EE">
      <w:pPr>
        <w:jc w:val="both"/>
        <w:rPr>
          <w:rFonts w:ascii="Tahoma" w:hAnsi="Tahoma" w:cs="Tahoma"/>
          <w:sz w:val="20"/>
          <w:szCs w:val="20"/>
        </w:rPr>
      </w:pPr>
    </w:p>
    <w:p w14:paraId="3582C9B5" w14:textId="77777777" w:rsidR="00D3100F" w:rsidRPr="00B004EE" w:rsidRDefault="00D3100F" w:rsidP="00B004EE">
      <w:pPr>
        <w:jc w:val="both"/>
        <w:rPr>
          <w:rFonts w:ascii="Tahoma" w:hAnsi="Tahoma" w:cs="Tahoma"/>
          <w:sz w:val="20"/>
          <w:szCs w:val="20"/>
        </w:rPr>
      </w:pPr>
      <w:r w:rsidRPr="00B004EE">
        <w:rPr>
          <w:rFonts w:ascii="Tahoma" w:hAnsi="Tahoma" w:cs="Tahoma"/>
          <w:sz w:val="20"/>
          <w:szCs w:val="20"/>
        </w:rPr>
        <w:t>Toutefois les personnes physiques peuvent bénéficier de la carte de la 3</w:t>
      </w:r>
      <w:r w:rsidRPr="00B004EE">
        <w:rPr>
          <w:rFonts w:ascii="Tahoma" w:hAnsi="Tahoma" w:cs="Tahoma"/>
          <w:sz w:val="20"/>
          <w:szCs w:val="20"/>
          <w:vertAlign w:val="superscript"/>
        </w:rPr>
        <w:t>ème</w:t>
      </w:r>
      <w:r w:rsidRPr="00B004EE">
        <w:rPr>
          <w:rFonts w:ascii="Tahoma" w:hAnsi="Tahoma" w:cs="Tahoma"/>
          <w:sz w:val="20"/>
          <w:szCs w:val="20"/>
        </w:rPr>
        <w:t xml:space="preserve"> catégorie suivant des conditions qui seront définies par arrêté du Ministre chargé des Pêches.</w:t>
      </w:r>
    </w:p>
    <w:p w14:paraId="7580E7A9" w14:textId="77777777" w:rsidR="00D3100F" w:rsidRPr="00B004EE" w:rsidRDefault="00D3100F" w:rsidP="00B004EE">
      <w:pPr>
        <w:jc w:val="both"/>
        <w:rPr>
          <w:rFonts w:ascii="Tahoma" w:hAnsi="Tahoma" w:cs="Tahoma"/>
          <w:sz w:val="20"/>
          <w:szCs w:val="20"/>
        </w:rPr>
      </w:pPr>
    </w:p>
    <w:p w14:paraId="6D444676" w14:textId="5EB67136" w:rsidR="00D3100F" w:rsidRPr="00B004EE" w:rsidRDefault="00D3100F" w:rsidP="00B004EE">
      <w:pPr>
        <w:jc w:val="both"/>
        <w:rPr>
          <w:rFonts w:ascii="Tahoma" w:hAnsi="Tahoma" w:cs="Tahoma"/>
          <w:sz w:val="20"/>
          <w:szCs w:val="20"/>
        </w:rPr>
      </w:pPr>
      <w:r w:rsidRPr="00B004EE">
        <w:rPr>
          <w:rFonts w:ascii="Tahoma" w:hAnsi="Tahoma" w:cs="Tahoma"/>
          <w:sz w:val="20"/>
          <w:szCs w:val="20"/>
        </w:rPr>
        <w:t xml:space="preserve">Article </w:t>
      </w:r>
      <w:r w:rsidR="00566A20" w:rsidRPr="00B004EE">
        <w:rPr>
          <w:rFonts w:ascii="Tahoma" w:hAnsi="Tahoma" w:cs="Tahoma"/>
          <w:sz w:val="20"/>
          <w:szCs w:val="20"/>
        </w:rPr>
        <w:t>6 :</w:t>
      </w:r>
      <w:r w:rsidRPr="00B004EE">
        <w:rPr>
          <w:rFonts w:ascii="Tahoma" w:hAnsi="Tahoma" w:cs="Tahoma"/>
          <w:sz w:val="20"/>
          <w:szCs w:val="20"/>
        </w:rPr>
        <w:t xml:space="preserve"> Les mareyeurs appartiennent à l’une des catégories suivantes :</w:t>
      </w:r>
    </w:p>
    <w:p w14:paraId="6F5017AC" w14:textId="77777777" w:rsidR="00D3100F" w:rsidRPr="00B004EE" w:rsidRDefault="00D3100F" w:rsidP="00B004EE">
      <w:pPr>
        <w:jc w:val="both"/>
        <w:rPr>
          <w:rFonts w:ascii="Tahoma" w:hAnsi="Tahoma" w:cs="Tahoma"/>
          <w:sz w:val="20"/>
          <w:szCs w:val="20"/>
        </w:rPr>
      </w:pPr>
    </w:p>
    <w:p w14:paraId="6EA91698" w14:textId="77777777" w:rsidR="00D3100F" w:rsidRPr="00B004EE" w:rsidRDefault="00D3100F" w:rsidP="00420DDA">
      <w:pPr>
        <w:numPr>
          <w:ilvl w:val="0"/>
          <w:numId w:val="135"/>
        </w:numPr>
        <w:tabs>
          <w:tab w:val="left" w:pos="1134"/>
        </w:tabs>
        <w:ind w:left="1418" w:hanging="992"/>
        <w:jc w:val="both"/>
        <w:rPr>
          <w:rFonts w:ascii="Tahoma" w:hAnsi="Tahoma" w:cs="Tahoma"/>
          <w:sz w:val="20"/>
          <w:szCs w:val="20"/>
        </w:rPr>
      </w:pPr>
      <w:r w:rsidRPr="00B004EE">
        <w:rPr>
          <w:rFonts w:ascii="Tahoma" w:hAnsi="Tahoma" w:cs="Tahoma"/>
          <w:b/>
          <w:bCs/>
          <w:sz w:val="20"/>
          <w:szCs w:val="20"/>
        </w:rPr>
        <w:t>1</w:t>
      </w:r>
      <w:r w:rsidRPr="00B004EE">
        <w:rPr>
          <w:rFonts w:ascii="Tahoma" w:hAnsi="Tahoma" w:cs="Tahoma"/>
          <w:b/>
          <w:bCs/>
          <w:sz w:val="20"/>
          <w:szCs w:val="20"/>
          <w:vertAlign w:val="superscript"/>
        </w:rPr>
        <w:t>ère</w:t>
      </w:r>
      <w:r w:rsidRPr="00B004EE">
        <w:rPr>
          <w:rFonts w:ascii="Tahoma" w:hAnsi="Tahoma" w:cs="Tahoma"/>
          <w:b/>
          <w:bCs/>
          <w:sz w:val="20"/>
          <w:szCs w:val="20"/>
        </w:rPr>
        <w:t xml:space="preserve"> catégorie</w:t>
      </w:r>
      <w:r w:rsidRPr="00B004EE">
        <w:rPr>
          <w:rFonts w:ascii="Tahoma" w:hAnsi="Tahoma" w:cs="Tahoma"/>
          <w:sz w:val="20"/>
          <w:szCs w:val="20"/>
        </w:rPr>
        <w:t xml:space="preserve"> : Mareyeurs collecteurs ; </w:t>
      </w:r>
    </w:p>
    <w:p w14:paraId="67D4C1D3" w14:textId="77777777" w:rsidR="00D3100F" w:rsidRPr="00B004EE" w:rsidRDefault="00D3100F" w:rsidP="00420DDA">
      <w:pPr>
        <w:numPr>
          <w:ilvl w:val="0"/>
          <w:numId w:val="135"/>
        </w:numPr>
        <w:tabs>
          <w:tab w:val="left" w:pos="1134"/>
        </w:tabs>
        <w:ind w:left="1418" w:hanging="992"/>
        <w:jc w:val="both"/>
        <w:rPr>
          <w:rFonts w:ascii="Tahoma" w:hAnsi="Tahoma" w:cs="Tahoma"/>
          <w:sz w:val="20"/>
          <w:szCs w:val="20"/>
        </w:rPr>
      </w:pPr>
      <w:r w:rsidRPr="00B004EE">
        <w:rPr>
          <w:rFonts w:ascii="Tahoma" w:hAnsi="Tahoma" w:cs="Tahoma"/>
          <w:b/>
          <w:bCs/>
          <w:sz w:val="20"/>
          <w:szCs w:val="20"/>
        </w:rPr>
        <w:t>2</w:t>
      </w:r>
      <w:r w:rsidRPr="00B004EE">
        <w:rPr>
          <w:rFonts w:ascii="Tahoma" w:hAnsi="Tahoma" w:cs="Tahoma"/>
          <w:b/>
          <w:bCs/>
          <w:sz w:val="20"/>
          <w:szCs w:val="20"/>
          <w:vertAlign w:val="superscript"/>
        </w:rPr>
        <w:t>ème</w:t>
      </w:r>
      <w:r w:rsidRPr="00B004EE">
        <w:rPr>
          <w:rFonts w:ascii="Tahoma" w:hAnsi="Tahoma" w:cs="Tahoma"/>
          <w:b/>
          <w:bCs/>
          <w:sz w:val="20"/>
          <w:szCs w:val="20"/>
        </w:rPr>
        <w:t xml:space="preserve"> catégorie</w:t>
      </w:r>
      <w:r w:rsidRPr="00B004EE">
        <w:rPr>
          <w:rFonts w:ascii="Tahoma" w:hAnsi="Tahoma" w:cs="Tahoma"/>
          <w:sz w:val="20"/>
          <w:szCs w:val="20"/>
        </w:rPr>
        <w:t xml:space="preserve"> : Mareyeurs Distributeurs ; </w:t>
      </w:r>
    </w:p>
    <w:p w14:paraId="681C9830" w14:textId="77777777" w:rsidR="00D3100F" w:rsidRPr="00B004EE" w:rsidRDefault="00D3100F" w:rsidP="00420DDA">
      <w:pPr>
        <w:numPr>
          <w:ilvl w:val="0"/>
          <w:numId w:val="135"/>
        </w:numPr>
        <w:tabs>
          <w:tab w:val="left" w:pos="1134"/>
        </w:tabs>
        <w:ind w:left="1418" w:hanging="992"/>
        <w:jc w:val="both"/>
        <w:rPr>
          <w:rFonts w:ascii="Tahoma" w:hAnsi="Tahoma" w:cs="Tahoma"/>
          <w:sz w:val="20"/>
          <w:szCs w:val="20"/>
        </w:rPr>
      </w:pPr>
      <w:r w:rsidRPr="00B004EE">
        <w:rPr>
          <w:rFonts w:ascii="Tahoma" w:hAnsi="Tahoma" w:cs="Tahoma"/>
          <w:b/>
          <w:bCs/>
          <w:sz w:val="20"/>
          <w:szCs w:val="20"/>
        </w:rPr>
        <w:t>3</w:t>
      </w:r>
      <w:r w:rsidRPr="00B004EE">
        <w:rPr>
          <w:rFonts w:ascii="Tahoma" w:hAnsi="Tahoma" w:cs="Tahoma"/>
          <w:b/>
          <w:bCs/>
          <w:sz w:val="20"/>
          <w:szCs w:val="20"/>
          <w:vertAlign w:val="superscript"/>
        </w:rPr>
        <w:t>ème</w:t>
      </w:r>
      <w:r w:rsidRPr="00B004EE">
        <w:rPr>
          <w:rFonts w:ascii="Tahoma" w:hAnsi="Tahoma" w:cs="Tahoma"/>
          <w:b/>
          <w:bCs/>
          <w:sz w:val="20"/>
          <w:szCs w:val="20"/>
        </w:rPr>
        <w:t xml:space="preserve"> catégorie</w:t>
      </w:r>
      <w:r w:rsidRPr="00B004EE">
        <w:rPr>
          <w:rFonts w:ascii="Tahoma" w:hAnsi="Tahoma" w:cs="Tahoma"/>
          <w:sz w:val="20"/>
          <w:szCs w:val="20"/>
        </w:rPr>
        <w:t> : Mareyeurs exportateurs.</w:t>
      </w:r>
    </w:p>
    <w:p w14:paraId="2C074FCB" w14:textId="77777777" w:rsidR="00D3100F" w:rsidRPr="00B004EE" w:rsidRDefault="00D3100F" w:rsidP="00B004EE">
      <w:pPr>
        <w:jc w:val="both"/>
        <w:rPr>
          <w:rFonts w:ascii="Tahoma" w:hAnsi="Tahoma" w:cs="Tahoma"/>
          <w:sz w:val="20"/>
          <w:szCs w:val="20"/>
        </w:rPr>
      </w:pPr>
    </w:p>
    <w:p w14:paraId="2F8CD6DE" w14:textId="609B300F" w:rsidR="00D3100F" w:rsidRPr="00B004EE" w:rsidRDefault="0024676E" w:rsidP="00B004EE">
      <w:pPr>
        <w:jc w:val="center"/>
        <w:rPr>
          <w:rFonts w:ascii="Tahoma" w:hAnsi="Tahoma" w:cs="Tahoma"/>
          <w:b/>
          <w:bCs/>
          <w:sz w:val="20"/>
          <w:szCs w:val="20"/>
        </w:rPr>
      </w:pPr>
      <w:r w:rsidRPr="00B004EE">
        <w:rPr>
          <w:rFonts w:ascii="Tahoma" w:hAnsi="Tahoma" w:cs="Tahoma"/>
          <w:b/>
          <w:bCs/>
          <w:sz w:val="20"/>
          <w:szCs w:val="20"/>
        </w:rPr>
        <w:t>TITRE II : DE L’AGREMENT A LA PROFESSION DE MAREYEUR</w:t>
      </w:r>
    </w:p>
    <w:p w14:paraId="0411BCFB" w14:textId="77777777" w:rsidR="0024676E" w:rsidRPr="00B004EE" w:rsidRDefault="0024676E" w:rsidP="00B004EE">
      <w:pPr>
        <w:jc w:val="both"/>
        <w:rPr>
          <w:rFonts w:ascii="Tahoma" w:hAnsi="Tahoma" w:cs="Tahoma"/>
          <w:sz w:val="20"/>
          <w:szCs w:val="20"/>
        </w:rPr>
      </w:pPr>
    </w:p>
    <w:p w14:paraId="4D2E55D9" w14:textId="77777777" w:rsidR="00D3100F" w:rsidRPr="00B004EE" w:rsidRDefault="00D3100F" w:rsidP="00B004EE">
      <w:pPr>
        <w:jc w:val="both"/>
        <w:rPr>
          <w:rFonts w:ascii="Tahoma" w:hAnsi="Tahoma" w:cs="Tahoma"/>
          <w:sz w:val="20"/>
          <w:szCs w:val="20"/>
        </w:rPr>
      </w:pPr>
      <w:r w:rsidRPr="00B004EE">
        <w:rPr>
          <w:rFonts w:ascii="Tahoma" w:hAnsi="Tahoma" w:cs="Tahoma"/>
          <w:sz w:val="20"/>
          <w:szCs w:val="20"/>
        </w:rPr>
        <w:t>Article 7 :   L’agrément à la profession de mareyeur est accordé par le Ministre chargé des Pêches et donne lieu à l’attribution d’une carte professionnelle délivrée conformément aux dispositions visées aux articles 3, 4, 5 et 6.</w:t>
      </w:r>
    </w:p>
    <w:p w14:paraId="05A04B4A" w14:textId="77777777" w:rsidR="00D3100F" w:rsidRPr="00B004EE" w:rsidRDefault="00D3100F" w:rsidP="00B004EE">
      <w:pPr>
        <w:jc w:val="both"/>
        <w:rPr>
          <w:rFonts w:ascii="Tahoma" w:hAnsi="Tahoma" w:cs="Tahoma"/>
          <w:sz w:val="20"/>
          <w:szCs w:val="20"/>
        </w:rPr>
      </w:pPr>
    </w:p>
    <w:p w14:paraId="7175071C" w14:textId="77777777" w:rsidR="00D3100F" w:rsidRPr="00B004EE" w:rsidRDefault="00D3100F" w:rsidP="00B004EE">
      <w:pPr>
        <w:jc w:val="both"/>
        <w:rPr>
          <w:rFonts w:ascii="Tahoma" w:hAnsi="Tahoma" w:cs="Tahoma"/>
          <w:sz w:val="20"/>
          <w:szCs w:val="20"/>
        </w:rPr>
      </w:pPr>
      <w:r w:rsidRPr="00B004EE">
        <w:rPr>
          <w:rFonts w:ascii="Tahoma" w:hAnsi="Tahoma" w:cs="Tahoma"/>
          <w:sz w:val="20"/>
          <w:szCs w:val="20"/>
        </w:rPr>
        <w:t>Article 8 :   Un registre des personnes morales et physiques agréées pour l’exercice de la profession de mareyeur, est tenu, à cet effet, par la Direction chargée de la Promotion des produits de pêche.</w:t>
      </w:r>
    </w:p>
    <w:p w14:paraId="319EA3FA" w14:textId="77777777" w:rsidR="00D3100F" w:rsidRPr="00B004EE" w:rsidRDefault="00D3100F" w:rsidP="00B004EE">
      <w:pPr>
        <w:jc w:val="both"/>
        <w:rPr>
          <w:rFonts w:ascii="Tahoma" w:hAnsi="Tahoma" w:cs="Tahoma"/>
          <w:sz w:val="20"/>
          <w:szCs w:val="20"/>
        </w:rPr>
      </w:pPr>
      <w:r w:rsidRPr="00B004EE">
        <w:rPr>
          <w:rFonts w:ascii="Tahoma" w:hAnsi="Tahoma" w:cs="Tahoma"/>
          <w:sz w:val="20"/>
          <w:szCs w:val="20"/>
        </w:rPr>
        <w:t>Elle est saisie, dans les meilleurs délais, de toute modification des statuts ou de tout changement des personnes habilitées à représenter la coopérative de mareyeurs ou société et usines de mareyage.</w:t>
      </w:r>
    </w:p>
    <w:p w14:paraId="2E056964" w14:textId="77777777" w:rsidR="00D3100F" w:rsidRPr="00B004EE" w:rsidRDefault="00D3100F" w:rsidP="00B004EE">
      <w:pPr>
        <w:jc w:val="both"/>
        <w:rPr>
          <w:rFonts w:ascii="Tahoma" w:hAnsi="Tahoma" w:cs="Tahoma"/>
          <w:sz w:val="20"/>
          <w:szCs w:val="20"/>
        </w:rPr>
      </w:pPr>
    </w:p>
    <w:p w14:paraId="20A8E451" w14:textId="77777777" w:rsidR="00D3100F" w:rsidRPr="00B004EE" w:rsidRDefault="00D3100F" w:rsidP="00B004EE">
      <w:pPr>
        <w:jc w:val="both"/>
        <w:rPr>
          <w:rFonts w:ascii="Tahoma" w:hAnsi="Tahoma" w:cs="Tahoma"/>
          <w:sz w:val="20"/>
          <w:szCs w:val="20"/>
        </w:rPr>
      </w:pPr>
      <w:r w:rsidRPr="00B004EE">
        <w:rPr>
          <w:rFonts w:ascii="Tahoma" w:hAnsi="Tahoma" w:cs="Tahoma"/>
          <w:sz w:val="20"/>
          <w:szCs w:val="20"/>
        </w:rPr>
        <w:t>Article 9 : Pendant la durée normale de la validité, la carte de mareyeur peut être soit suspendue temporairement, soit retirée définitivement dans les cas suivants :</w:t>
      </w:r>
    </w:p>
    <w:p w14:paraId="162157FC" w14:textId="77777777" w:rsidR="00D3100F" w:rsidRPr="00B004EE" w:rsidRDefault="00D3100F" w:rsidP="00B004EE">
      <w:pPr>
        <w:jc w:val="both"/>
        <w:rPr>
          <w:rFonts w:ascii="Tahoma" w:hAnsi="Tahoma" w:cs="Tahoma"/>
          <w:sz w:val="20"/>
          <w:szCs w:val="20"/>
        </w:rPr>
      </w:pPr>
      <w:r w:rsidRPr="00B004EE">
        <w:rPr>
          <w:rFonts w:ascii="Tahoma" w:hAnsi="Tahoma" w:cs="Tahoma"/>
          <w:sz w:val="20"/>
          <w:szCs w:val="20"/>
        </w:rPr>
        <w:t>a)  la carte peut être suspendue lorsque :</w:t>
      </w:r>
    </w:p>
    <w:p w14:paraId="18392D99" w14:textId="77777777" w:rsidR="00D3100F" w:rsidRPr="00B004EE" w:rsidRDefault="00D3100F" w:rsidP="00420DDA">
      <w:pPr>
        <w:numPr>
          <w:ilvl w:val="0"/>
          <w:numId w:val="136"/>
        </w:numPr>
        <w:jc w:val="both"/>
        <w:rPr>
          <w:rFonts w:ascii="Tahoma" w:hAnsi="Tahoma" w:cs="Tahoma"/>
          <w:sz w:val="20"/>
          <w:szCs w:val="20"/>
        </w:rPr>
      </w:pPr>
      <w:proofErr w:type="gramStart"/>
      <w:r w:rsidRPr="00B004EE">
        <w:rPr>
          <w:rFonts w:ascii="Tahoma" w:hAnsi="Tahoma" w:cs="Tahoma"/>
          <w:sz w:val="20"/>
          <w:szCs w:val="20"/>
        </w:rPr>
        <w:t>le</w:t>
      </w:r>
      <w:proofErr w:type="gramEnd"/>
      <w:r w:rsidRPr="00B004EE">
        <w:rPr>
          <w:rFonts w:ascii="Tahoma" w:hAnsi="Tahoma" w:cs="Tahoma"/>
          <w:sz w:val="20"/>
          <w:szCs w:val="20"/>
        </w:rPr>
        <w:t xml:space="preserve"> titulaire perd temporairement la capacité de mareyeur ;</w:t>
      </w:r>
    </w:p>
    <w:p w14:paraId="64971242" w14:textId="77777777" w:rsidR="00D3100F" w:rsidRPr="00B004EE" w:rsidRDefault="00D3100F" w:rsidP="00420DDA">
      <w:pPr>
        <w:numPr>
          <w:ilvl w:val="0"/>
          <w:numId w:val="136"/>
        </w:numPr>
        <w:jc w:val="both"/>
        <w:rPr>
          <w:rFonts w:ascii="Tahoma" w:hAnsi="Tahoma" w:cs="Tahoma"/>
          <w:sz w:val="20"/>
          <w:szCs w:val="20"/>
        </w:rPr>
      </w:pPr>
      <w:proofErr w:type="gramStart"/>
      <w:r w:rsidRPr="00B004EE">
        <w:rPr>
          <w:rFonts w:ascii="Tahoma" w:hAnsi="Tahoma" w:cs="Tahoma"/>
          <w:sz w:val="20"/>
          <w:szCs w:val="20"/>
        </w:rPr>
        <w:t>le</w:t>
      </w:r>
      <w:proofErr w:type="gramEnd"/>
      <w:r w:rsidRPr="00B004EE">
        <w:rPr>
          <w:rFonts w:ascii="Tahoma" w:hAnsi="Tahoma" w:cs="Tahoma"/>
          <w:sz w:val="20"/>
          <w:szCs w:val="20"/>
        </w:rPr>
        <w:t xml:space="preserve"> titulaire ne se conforme pas dans l’exercice de sa profession, aux lois et règlements en vigueur ;</w:t>
      </w:r>
    </w:p>
    <w:p w14:paraId="12A4595A" w14:textId="77777777" w:rsidR="00D3100F" w:rsidRPr="00B004EE" w:rsidRDefault="00D3100F" w:rsidP="00420DDA">
      <w:pPr>
        <w:numPr>
          <w:ilvl w:val="0"/>
          <w:numId w:val="136"/>
        </w:numPr>
        <w:jc w:val="both"/>
        <w:rPr>
          <w:rFonts w:ascii="Tahoma" w:hAnsi="Tahoma" w:cs="Tahoma"/>
          <w:sz w:val="20"/>
          <w:szCs w:val="20"/>
        </w:rPr>
      </w:pPr>
      <w:proofErr w:type="gramStart"/>
      <w:r w:rsidRPr="00B004EE">
        <w:rPr>
          <w:rFonts w:ascii="Tahoma" w:hAnsi="Tahoma" w:cs="Tahoma"/>
          <w:sz w:val="20"/>
          <w:szCs w:val="20"/>
        </w:rPr>
        <w:t>le</w:t>
      </w:r>
      <w:proofErr w:type="gramEnd"/>
      <w:r w:rsidRPr="00B004EE">
        <w:rPr>
          <w:rFonts w:ascii="Tahoma" w:hAnsi="Tahoma" w:cs="Tahoma"/>
          <w:sz w:val="20"/>
          <w:szCs w:val="20"/>
        </w:rPr>
        <w:t xml:space="preserve"> titulaire ne s’est pas acquitté du paiement des redevances prévues à l’article 15 du présent décret.</w:t>
      </w:r>
    </w:p>
    <w:p w14:paraId="46049056" w14:textId="77777777" w:rsidR="00D3100F" w:rsidRPr="00B004EE" w:rsidRDefault="00D3100F" w:rsidP="00B004EE">
      <w:pPr>
        <w:jc w:val="both"/>
        <w:rPr>
          <w:rFonts w:ascii="Tahoma" w:hAnsi="Tahoma" w:cs="Tahoma"/>
          <w:sz w:val="20"/>
          <w:szCs w:val="20"/>
        </w:rPr>
      </w:pPr>
    </w:p>
    <w:p w14:paraId="38220763" w14:textId="77777777" w:rsidR="00D3100F" w:rsidRPr="00B004EE" w:rsidRDefault="00D3100F" w:rsidP="00B004EE">
      <w:pPr>
        <w:jc w:val="both"/>
        <w:rPr>
          <w:rFonts w:ascii="Tahoma" w:hAnsi="Tahoma" w:cs="Tahoma"/>
          <w:sz w:val="20"/>
          <w:szCs w:val="20"/>
        </w:rPr>
      </w:pPr>
      <w:r w:rsidRPr="00B004EE">
        <w:rPr>
          <w:rFonts w:ascii="Tahoma" w:hAnsi="Tahoma" w:cs="Tahoma"/>
          <w:sz w:val="20"/>
          <w:szCs w:val="20"/>
        </w:rPr>
        <w:t>b) le retrait de la carte peut être prononcé lorsque le titulaire :</w:t>
      </w:r>
    </w:p>
    <w:p w14:paraId="7AFCE3AB" w14:textId="77777777" w:rsidR="00D3100F" w:rsidRPr="00B004EE" w:rsidRDefault="00D3100F" w:rsidP="00420DDA">
      <w:pPr>
        <w:numPr>
          <w:ilvl w:val="0"/>
          <w:numId w:val="137"/>
        </w:numPr>
        <w:jc w:val="both"/>
        <w:rPr>
          <w:rFonts w:ascii="Tahoma" w:hAnsi="Tahoma" w:cs="Tahoma"/>
          <w:sz w:val="20"/>
          <w:szCs w:val="20"/>
        </w:rPr>
      </w:pPr>
      <w:proofErr w:type="gramStart"/>
      <w:r w:rsidRPr="00B004EE">
        <w:rPr>
          <w:rFonts w:ascii="Tahoma" w:hAnsi="Tahoma" w:cs="Tahoma"/>
          <w:sz w:val="20"/>
          <w:szCs w:val="20"/>
        </w:rPr>
        <w:t>perd</w:t>
      </w:r>
      <w:proofErr w:type="gramEnd"/>
      <w:r w:rsidRPr="00B004EE">
        <w:rPr>
          <w:rFonts w:ascii="Tahoma" w:hAnsi="Tahoma" w:cs="Tahoma"/>
          <w:sz w:val="20"/>
          <w:szCs w:val="20"/>
        </w:rPr>
        <w:t xml:space="preserve"> définitivement sa capacité de mareyeur ;</w:t>
      </w:r>
    </w:p>
    <w:p w14:paraId="52B71599" w14:textId="77777777" w:rsidR="00D3100F" w:rsidRPr="00B004EE" w:rsidRDefault="00D3100F" w:rsidP="00420DDA">
      <w:pPr>
        <w:numPr>
          <w:ilvl w:val="0"/>
          <w:numId w:val="137"/>
        </w:numPr>
        <w:jc w:val="both"/>
        <w:rPr>
          <w:rFonts w:ascii="Tahoma" w:hAnsi="Tahoma" w:cs="Tahoma"/>
          <w:sz w:val="20"/>
          <w:szCs w:val="20"/>
        </w:rPr>
      </w:pPr>
      <w:proofErr w:type="gramStart"/>
      <w:r w:rsidRPr="00B004EE">
        <w:rPr>
          <w:rFonts w:ascii="Tahoma" w:hAnsi="Tahoma" w:cs="Tahoma"/>
          <w:sz w:val="20"/>
          <w:szCs w:val="20"/>
        </w:rPr>
        <w:t>est</w:t>
      </w:r>
      <w:proofErr w:type="gramEnd"/>
      <w:r w:rsidRPr="00B004EE">
        <w:rPr>
          <w:rFonts w:ascii="Tahoma" w:hAnsi="Tahoma" w:cs="Tahoma"/>
          <w:sz w:val="20"/>
          <w:szCs w:val="20"/>
        </w:rPr>
        <w:t xml:space="preserve"> mis en faillite ou en liquidation judiciaire ;</w:t>
      </w:r>
    </w:p>
    <w:p w14:paraId="54C47FCC" w14:textId="77777777" w:rsidR="00D3100F" w:rsidRPr="00B004EE" w:rsidRDefault="00D3100F" w:rsidP="00420DDA">
      <w:pPr>
        <w:numPr>
          <w:ilvl w:val="0"/>
          <w:numId w:val="137"/>
        </w:numPr>
        <w:jc w:val="both"/>
        <w:rPr>
          <w:rFonts w:ascii="Tahoma" w:hAnsi="Tahoma" w:cs="Tahoma"/>
          <w:sz w:val="20"/>
          <w:szCs w:val="20"/>
        </w:rPr>
      </w:pPr>
      <w:proofErr w:type="gramStart"/>
      <w:r w:rsidRPr="00B004EE">
        <w:rPr>
          <w:rFonts w:ascii="Tahoma" w:hAnsi="Tahoma" w:cs="Tahoma"/>
          <w:sz w:val="20"/>
          <w:szCs w:val="20"/>
        </w:rPr>
        <w:t>est</w:t>
      </w:r>
      <w:proofErr w:type="gramEnd"/>
      <w:r w:rsidRPr="00B004EE">
        <w:rPr>
          <w:rFonts w:ascii="Tahoma" w:hAnsi="Tahoma" w:cs="Tahoma"/>
          <w:sz w:val="20"/>
          <w:szCs w:val="20"/>
        </w:rPr>
        <w:t xml:space="preserve"> condamné pour infraction aux dispositions du présent décret ;</w:t>
      </w:r>
    </w:p>
    <w:p w14:paraId="1167A08F" w14:textId="77777777" w:rsidR="00D3100F" w:rsidRPr="00B004EE" w:rsidRDefault="00D3100F" w:rsidP="00420DDA">
      <w:pPr>
        <w:numPr>
          <w:ilvl w:val="0"/>
          <w:numId w:val="137"/>
        </w:numPr>
        <w:jc w:val="both"/>
        <w:rPr>
          <w:rFonts w:ascii="Tahoma" w:hAnsi="Tahoma" w:cs="Tahoma"/>
          <w:sz w:val="20"/>
          <w:szCs w:val="20"/>
        </w:rPr>
      </w:pPr>
      <w:proofErr w:type="gramStart"/>
      <w:r w:rsidRPr="00B004EE">
        <w:rPr>
          <w:rFonts w:ascii="Tahoma" w:hAnsi="Tahoma" w:cs="Tahoma"/>
          <w:sz w:val="20"/>
          <w:szCs w:val="20"/>
        </w:rPr>
        <w:t>ne</w:t>
      </w:r>
      <w:proofErr w:type="gramEnd"/>
      <w:r w:rsidRPr="00B004EE">
        <w:rPr>
          <w:rFonts w:ascii="Tahoma" w:hAnsi="Tahoma" w:cs="Tahoma"/>
          <w:sz w:val="20"/>
          <w:szCs w:val="20"/>
        </w:rPr>
        <w:t xml:space="preserve"> remplit toujours pas, à l’expiration de la période de suspension, les conditions requises.</w:t>
      </w:r>
    </w:p>
    <w:p w14:paraId="4F87538F" w14:textId="77777777" w:rsidR="00D3100F" w:rsidRPr="00B004EE" w:rsidRDefault="00D3100F" w:rsidP="00B004EE">
      <w:pPr>
        <w:jc w:val="both"/>
        <w:rPr>
          <w:rFonts w:ascii="Tahoma" w:hAnsi="Tahoma" w:cs="Tahoma"/>
          <w:sz w:val="20"/>
          <w:szCs w:val="20"/>
        </w:rPr>
      </w:pPr>
    </w:p>
    <w:p w14:paraId="159D64FA" w14:textId="77777777" w:rsidR="00D3100F" w:rsidRPr="00B004EE" w:rsidRDefault="00D3100F" w:rsidP="00B004EE">
      <w:pPr>
        <w:jc w:val="both"/>
        <w:rPr>
          <w:rFonts w:ascii="Tahoma" w:hAnsi="Tahoma" w:cs="Tahoma"/>
          <w:sz w:val="20"/>
          <w:szCs w:val="20"/>
        </w:rPr>
      </w:pPr>
      <w:r w:rsidRPr="00B004EE">
        <w:rPr>
          <w:rFonts w:ascii="Tahoma" w:hAnsi="Tahoma" w:cs="Tahoma"/>
          <w:sz w:val="20"/>
          <w:szCs w:val="20"/>
        </w:rPr>
        <w:t>Article 10 : La suspension, la levée de la suspension ou le retrait de la carte professionnelle sont prononcés par le Ministre chargé des Pêches sur avis motivé de la Direction chargée de la promotion des produits de pêche et, le cas échéant, de l’autorité chargée de la surveillance des pêches et du contrôle en mer.</w:t>
      </w:r>
    </w:p>
    <w:p w14:paraId="52377DFF" w14:textId="77777777" w:rsidR="00D3100F" w:rsidRPr="00B004EE" w:rsidRDefault="00D3100F" w:rsidP="00B004EE">
      <w:pPr>
        <w:jc w:val="both"/>
        <w:rPr>
          <w:rFonts w:ascii="Tahoma" w:hAnsi="Tahoma" w:cs="Tahoma"/>
          <w:sz w:val="20"/>
          <w:szCs w:val="20"/>
        </w:rPr>
      </w:pPr>
    </w:p>
    <w:p w14:paraId="35E97BCD" w14:textId="77777777" w:rsidR="00D3100F" w:rsidRPr="00B004EE" w:rsidRDefault="00D3100F" w:rsidP="00B004EE">
      <w:pPr>
        <w:jc w:val="both"/>
        <w:rPr>
          <w:rFonts w:ascii="Tahoma" w:hAnsi="Tahoma" w:cs="Tahoma"/>
          <w:sz w:val="20"/>
          <w:szCs w:val="20"/>
        </w:rPr>
      </w:pPr>
      <w:r w:rsidRPr="00B004EE">
        <w:rPr>
          <w:rFonts w:ascii="Tahoma" w:hAnsi="Tahoma" w:cs="Tahoma"/>
          <w:sz w:val="20"/>
          <w:szCs w:val="20"/>
        </w:rPr>
        <w:lastRenderedPageBreak/>
        <w:t>La décision de suspension, de levée de la suspension ou de retrait est notifiée au titulaire, par écrit, dans les dix jours (10) qui suivent le dépôt du rapport ou des rapports des services techniques compétents.</w:t>
      </w:r>
    </w:p>
    <w:p w14:paraId="769AD7FB" w14:textId="77777777" w:rsidR="00D3100F" w:rsidRPr="00B004EE" w:rsidRDefault="00D3100F" w:rsidP="00B004EE">
      <w:pPr>
        <w:jc w:val="both"/>
        <w:rPr>
          <w:rFonts w:ascii="Tahoma" w:hAnsi="Tahoma" w:cs="Tahoma"/>
          <w:sz w:val="20"/>
          <w:szCs w:val="20"/>
        </w:rPr>
      </w:pPr>
    </w:p>
    <w:p w14:paraId="2D5CB311" w14:textId="46F649BB" w:rsidR="00D3100F" w:rsidRPr="00B004EE" w:rsidRDefault="0024676E" w:rsidP="00B004EE">
      <w:pPr>
        <w:jc w:val="center"/>
        <w:rPr>
          <w:rFonts w:ascii="Tahoma" w:hAnsi="Tahoma" w:cs="Tahoma"/>
          <w:b/>
          <w:bCs/>
          <w:sz w:val="20"/>
          <w:szCs w:val="20"/>
        </w:rPr>
      </w:pPr>
      <w:r w:rsidRPr="00B004EE">
        <w:rPr>
          <w:rFonts w:ascii="Tahoma" w:hAnsi="Tahoma" w:cs="Tahoma"/>
          <w:b/>
          <w:bCs/>
          <w:sz w:val="20"/>
          <w:szCs w:val="20"/>
        </w:rPr>
        <w:t>TITRE III : DE LA CARTE PROFESSIONNELLE DE MAREYAGE</w:t>
      </w:r>
    </w:p>
    <w:p w14:paraId="71775975" w14:textId="77777777" w:rsidR="0024676E" w:rsidRPr="00B004EE" w:rsidRDefault="0024676E" w:rsidP="00B004EE">
      <w:pPr>
        <w:jc w:val="both"/>
        <w:rPr>
          <w:rFonts w:ascii="Tahoma" w:hAnsi="Tahoma" w:cs="Tahoma"/>
          <w:sz w:val="20"/>
          <w:szCs w:val="20"/>
        </w:rPr>
      </w:pPr>
    </w:p>
    <w:p w14:paraId="53180B5E" w14:textId="77777777" w:rsidR="00D3100F" w:rsidRPr="00B004EE" w:rsidRDefault="00D3100F" w:rsidP="00B004EE">
      <w:pPr>
        <w:jc w:val="both"/>
        <w:rPr>
          <w:rFonts w:ascii="Tahoma" w:hAnsi="Tahoma" w:cs="Tahoma"/>
          <w:sz w:val="20"/>
          <w:szCs w:val="20"/>
        </w:rPr>
      </w:pPr>
      <w:r w:rsidRPr="00B004EE">
        <w:rPr>
          <w:rFonts w:ascii="Tahoma" w:hAnsi="Tahoma" w:cs="Tahoma"/>
          <w:sz w:val="20"/>
          <w:szCs w:val="20"/>
        </w:rPr>
        <w:t xml:space="preserve">Article 11 : Nul ne peut exercer la profession de mareyeur s’il n’est détenteur d’une carte professionnelle délivrée par le Ministre chargé des pêches ou son représentant </w:t>
      </w:r>
    </w:p>
    <w:p w14:paraId="267AF153" w14:textId="77777777" w:rsidR="00D3100F" w:rsidRPr="00B004EE" w:rsidRDefault="00D3100F" w:rsidP="00B004EE">
      <w:pPr>
        <w:jc w:val="both"/>
        <w:rPr>
          <w:rFonts w:ascii="Tahoma" w:hAnsi="Tahoma" w:cs="Tahoma"/>
          <w:sz w:val="20"/>
          <w:szCs w:val="20"/>
        </w:rPr>
      </w:pPr>
      <w:r w:rsidRPr="00B004EE">
        <w:rPr>
          <w:rFonts w:ascii="Tahoma" w:hAnsi="Tahoma" w:cs="Tahoma"/>
          <w:sz w:val="20"/>
          <w:szCs w:val="20"/>
        </w:rPr>
        <w:t>Il n’est délivré qu’une seule carte professionnelle par mareyeur dans une catégorie déterminée.</w:t>
      </w:r>
    </w:p>
    <w:p w14:paraId="5588CE4C" w14:textId="77777777" w:rsidR="00D3100F" w:rsidRPr="00B004EE" w:rsidRDefault="00D3100F" w:rsidP="00B004EE">
      <w:pPr>
        <w:jc w:val="both"/>
        <w:rPr>
          <w:rFonts w:ascii="Tahoma" w:hAnsi="Tahoma" w:cs="Tahoma"/>
          <w:sz w:val="20"/>
          <w:szCs w:val="20"/>
        </w:rPr>
      </w:pPr>
    </w:p>
    <w:p w14:paraId="7C5F2EF2" w14:textId="77777777" w:rsidR="00D3100F" w:rsidRPr="00B004EE" w:rsidRDefault="00D3100F" w:rsidP="00B004EE">
      <w:pPr>
        <w:jc w:val="both"/>
        <w:rPr>
          <w:rFonts w:ascii="Tahoma" w:hAnsi="Tahoma" w:cs="Tahoma"/>
          <w:sz w:val="20"/>
          <w:szCs w:val="20"/>
        </w:rPr>
      </w:pPr>
      <w:r w:rsidRPr="00B004EE">
        <w:rPr>
          <w:rFonts w:ascii="Tahoma" w:hAnsi="Tahoma" w:cs="Tahoma"/>
          <w:sz w:val="20"/>
          <w:szCs w:val="20"/>
        </w:rPr>
        <w:t>Article 12 : Les cartes professionnelles de 1</w:t>
      </w:r>
      <w:r w:rsidRPr="00B004EE">
        <w:rPr>
          <w:rFonts w:ascii="Tahoma" w:hAnsi="Tahoma" w:cs="Tahoma"/>
          <w:sz w:val="20"/>
          <w:szCs w:val="20"/>
          <w:vertAlign w:val="superscript"/>
        </w:rPr>
        <w:t>ère</w:t>
      </w:r>
      <w:r w:rsidRPr="00B004EE">
        <w:rPr>
          <w:rFonts w:ascii="Tahoma" w:hAnsi="Tahoma" w:cs="Tahoma"/>
          <w:sz w:val="20"/>
          <w:szCs w:val="20"/>
        </w:rPr>
        <w:t>, 2</w:t>
      </w:r>
      <w:r w:rsidRPr="00B004EE">
        <w:rPr>
          <w:rFonts w:ascii="Tahoma" w:hAnsi="Tahoma" w:cs="Tahoma"/>
          <w:sz w:val="20"/>
          <w:szCs w:val="20"/>
          <w:vertAlign w:val="superscript"/>
        </w:rPr>
        <w:t>ème</w:t>
      </w:r>
      <w:r w:rsidRPr="00B004EE">
        <w:rPr>
          <w:rFonts w:ascii="Tahoma" w:hAnsi="Tahoma" w:cs="Tahoma"/>
          <w:sz w:val="20"/>
          <w:szCs w:val="20"/>
        </w:rPr>
        <w:t xml:space="preserve"> et 3</w:t>
      </w:r>
      <w:r w:rsidRPr="00B004EE">
        <w:rPr>
          <w:rFonts w:ascii="Tahoma" w:hAnsi="Tahoma" w:cs="Tahoma"/>
          <w:sz w:val="20"/>
          <w:szCs w:val="20"/>
          <w:vertAlign w:val="superscript"/>
        </w:rPr>
        <w:t>ème</w:t>
      </w:r>
      <w:r w:rsidRPr="00B004EE">
        <w:rPr>
          <w:rFonts w:ascii="Tahoma" w:hAnsi="Tahoma" w:cs="Tahoma"/>
          <w:sz w:val="20"/>
          <w:szCs w:val="20"/>
        </w:rPr>
        <w:t xml:space="preserve"> catégorie, prévues par l’article 5 du présent décret, sont délivrées exclusivement pour les personnes physiques ou morales mauritaniennes ayant le statut de mareyeur et suivant leur catégorie.</w:t>
      </w:r>
    </w:p>
    <w:p w14:paraId="6A98E4FC" w14:textId="77777777" w:rsidR="00D3100F" w:rsidRPr="00B004EE" w:rsidRDefault="00D3100F" w:rsidP="00B004EE">
      <w:pPr>
        <w:jc w:val="both"/>
        <w:rPr>
          <w:rFonts w:ascii="Tahoma" w:hAnsi="Tahoma" w:cs="Tahoma"/>
          <w:sz w:val="20"/>
          <w:szCs w:val="20"/>
        </w:rPr>
      </w:pPr>
    </w:p>
    <w:p w14:paraId="0695871E" w14:textId="77777777" w:rsidR="00D3100F" w:rsidRPr="00B004EE" w:rsidRDefault="00D3100F" w:rsidP="00B004EE">
      <w:pPr>
        <w:jc w:val="both"/>
        <w:rPr>
          <w:rFonts w:ascii="Tahoma" w:hAnsi="Tahoma" w:cs="Tahoma"/>
          <w:sz w:val="20"/>
          <w:szCs w:val="20"/>
        </w:rPr>
      </w:pPr>
      <w:r w:rsidRPr="00B004EE">
        <w:rPr>
          <w:rFonts w:ascii="Tahoma" w:hAnsi="Tahoma" w:cs="Tahoma"/>
          <w:sz w:val="20"/>
          <w:szCs w:val="20"/>
        </w:rPr>
        <w:t>La carte professionnelle de 2</w:t>
      </w:r>
      <w:r w:rsidRPr="00B004EE">
        <w:rPr>
          <w:rFonts w:ascii="Tahoma" w:hAnsi="Tahoma" w:cs="Tahoma"/>
          <w:sz w:val="20"/>
          <w:szCs w:val="20"/>
          <w:vertAlign w:val="superscript"/>
        </w:rPr>
        <w:t>ème</w:t>
      </w:r>
      <w:r w:rsidRPr="00B004EE">
        <w:rPr>
          <w:rFonts w:ascii="Tahoma" w:hAnsi="Tahoma" w:cs="Tahoma"/>
          <w:sz w:val="20"/>
          <w:szCs w:val="20"/>
        </w:rPr>
        <w:t xml:space="preserve"> catégorie n’est délivrée aux mareyeurs distributeurs que sous réserve de disposer de moyens de transport conformes aux normes et à la réglementation en vigueur. </w:t>
      </w:r>
    </w:p>
    <w:p w14:paraId="316D4F22" w14:textId="77B3486E" w:rsidR="00D3100F" w:rsidRPr="00B004EE" w:rsidRDefault="00D3100F" w:rsidP="00B004EE">
      <w:pPr>
        <w:jc w:val="both"/>
        <w:rPr>
          <w:rFonts w:ascii="Tahoma" w:hAnsi="Tahoma" w:cs="Tahoma"/>
          <w:sz w:val="20"/>
          <w:szCs w:val="20"/>
        </w:rPr>
      </w:pPr>
    </w:p>
    <w:p w14:paraId="49819EE5" w14:textId="77777777" w:rsidR="00D3100F" w:rsidRPr="00B004EE" w:rsidRDefault="00D3100F" w:rsidP="00B004EE">
      <w:pPr>
        <w:jc w:val="both"/>
        <w:rPr>
          <w:rFonts w:ascii="Tahoma" w:hAnsi="Tahoma" w:cs="Tahoma"/>
          <w:sz w:val="20"/>
          <w:szCs w:val="20"/>
        </w:rPr>
      </w:pPr>
      <w:r w:rsidRPr="00B004EE">
        <w:rPr>
          <w:rFonts w:ascii="Tahoma" w:hAnsi="Tahoma" w:cs="Tahoma"/>
          <w:sz w:val="20"/>
          <w:szCs w:val="20"/>
        </w:rPr>
        <w:t>Article 13 : Un mareyeur titulaire de la carte de 2</w:t>
      </w:r>
      <w:r w:rsidRPr="00B004EE">
        <w:rPr>
          <w:rFonts w:ascii="Tahoma" w:hAnsi="Tahoma" w:cs="Tahoma"/>
          <w:sz w:val="20"/>
          <w:szCs w:val="20"/>
          <w:vertAlign w:val="superscript"/>
        </w:rPr>
        <w:t>ème</w:t>
      </w:r>
      <w:r w:rsidRPr="00B004EE">
        <w:rPr>
          <w:rFonts w:ascii="Tahoma" w:hAnsi="Tahoma" w:cs="Tahoma"/>
          <w:sz w:val="20"/>
          <w:szCs w:val="20"/>
        </w:rPr>
        <w:t xml:space="preserve"> catégorie peut obtenir la carte de 3</w:t>
      </w:r>
      <w:r w:rsidRPr="00B004EE">
        <w:rPr>
          <w:rFonts w:ascii="Tahoma" w:hAnsi="Tahoma" w:cs="Tahoma"/>
          <w:sz w:val="20"/>
          <w:szCs w:val="20"/>
          <w:vertAlign w:val="superscript"/>
        </w:rPr>
        <w:t>ème</w:t>
      </w:r>
      <w:r w:rsidRPr="00B004EE">
        <w:rPr>
          <w:rFonts w:ascii="Tahoma" w:hAnsi="Tahoma" w:cs="Tahoma"/>
          <w:sz w:val="20"/>
          <w:szCs w:val="20"/>
        </w:rPr>
        <w:t xml:space="preserve"> catégorie sous réserve de payer les droits correspondants à cette dernière catégorie et disposer d’établissements agrées conformes à la réglementation en vigueur.</w:t>
      </w:r>
    </w:p>
    <w:p w14:paraId="0CB9A557" w14:textId="77777777" w:rsidR="00D3100F" w:rsidRPr="00B004EE" w:rsidRDefault="00D3100F" w:rsidP="00B004EE">
      <w:pPr>
        <w:jc w:val="both"/>
        <w:rPr>
          <w:rFonts w:ascii="Tahoma" w:hAnsi="Tahoma" w:cs="Tahoma"/>
          <w:sz w:val="20"/>
          <w:szCs w:val="20"/>
        </w:rPr>
      </w:pPr>
    </w:p>
    <w:p w14:paraId="4908AE88" w14:textId="77777777" w:rsidR="00D3100F" w:rsidRPr="00B004EE" w:rsidRDefault="00D3100F" w:rsidP="00B004EE">
      <w:pPr>
        <w:jc w:val="both"/>
        <w:rPr>
          <w:rFonts w:ascii="Tahoma" w:hAnsi="Tahoma" w:cs="Tahoma"/>
          <w:sz w:val="20"/>
          <w:szCs w:val="20"/>
        </w:rPr>
      </w:pPr>
      <w:r w:rsidRPr="00B004EE">
        <w:rPr>
          <w:rFonts w:ascii="Tahoma" w:hAnsi="Tahoma" w:cs="Tahoma"/>
          <w:sz w:val="20"/>
          <w:szCs w:val="20"/>
        </w:rPr>
        <w:t>Article 14 : Les cartes professionnelles de mareyeur ne sont valables que pour une durée de trois (3) ans renouvelables. Elles sont validées tous les ans par apposition d’un timbre fiscal et d’un cachet de la Direction chargée de la promotion des produits de pêche dans les conditions fixées par la réglementation.</w:t>
      </w:r>
    </w:p>
    <w:p w14:paraId="6D1C6C86" w14:textId="77777777" w:rsidR="00D3100F" w:rsidRPr="00B004EE" w:rsidRDefault="00D3100F" w:rsidP="00B004EE">
      <w:pPr>
        <w:jc w:val="both"/>
        <w:rPr>
          <w:rFonts w:ascii="Tahoma" w:hAnsi="Tahoma" w:cs="Tahoma"/>
          <w:sz w:val="20"/>
          <w:szCs w:val="20"/>
        </w:rPr>
      </w:pPr>
    </w:p>
    <w:p w14:paraId="767C37B4" w14:textId="77777777" w:rsidR="00D3100F" w:rsidRPr="00B004EE" w:rsidRDefault="00D3100F" w:rsidP="00B004EE">
      <w:pPr>
        <w:jc w:val="both"/>
        <w:rPr>
          <w:rFonts w:ascii="Tahoma" w:hAnsi="Tahoma" w:cs="Tahoma"/>
          <w:sz w:val="20"/>
          <w:szCs w:val="20"/>
        </w:rPr>
      </w:pPr>
      <w:r w:rsidRPr="00B004EE">
        <w:rPr>
          <w:rFonts w:ascii="Tahoma" w:hAnsi="Tahoma" w:cs="Tahoma"/>
          <w:sz w:val="20"/>
          <w:szCs w:val="20"/>
        </w:rPr>
        <w:t>Article 15 : La délivrance et la validation de la carte professionnelle de mareyeur donnent lieu à la perception d’une redevance dont le taux et les modalités de perception seront fixés par décret conjoint du Ministère chargé des Pêches et du Ministère chargé des finances après concertation avec les professionnels.</w:t>
      </w:r>
    </w:p>
    <w:p w14:paraId="1671EB4E" w14:textId="77777777" w:rsidR="00D3100F" w:rsidRPr="00B004EE" w:rsidRDefault="00D3100F" w:rsidP="00B004EE">
      <w:pPr>
        <w:jc w:val="both"/>
        <w:rPr>
          <w:rFonts w:ascii="Tahoma" w:hAnsi="Tahoma" w:cs="Tahoma"/>
          <w:sz w:val="20"/>
          <w:szCs w:val="20"/>
        </w:rPr>
      </w:pPr>
    </w:p>
    <w:p w14:paraId="2B5CCD01" w14:textId="77777777" w:rsidR="00D3100F" w:rsidRPr="00B004EE" w:rsidRDefault="00D3100F" w:rsidP="00B004EE">
      <w:pPr>
        <w:jc w:val="both"/>
        <w:rPr>
          <w:rFonts w:ascii="Tahoma" w:hAnsi="Tahoma" w:cs="Tahoma"/>
          <w:sz w:val="20"/>
          <w:szCs w:val="20"/>
        </w:rPr>
      </w:pPr>
      <w:r w:rsidRPr="00B004EE">
        <w:rPr>
          <w:rFonts w:ascii="Tahoma" w:hAnsi="Tahoma" w:cs="Tahoma"/>
          <w:sz w:val="20"/>
          <w:szCs w:val="20"/>
        </w:rPr>
        <w:t>Ces redevances notamment les droits afférents à la délivrance et à la validation des cartes professionnelles seront versées dans un compte de dépôt au trésor public appelé compte de promotion de la pêche artisanale. Les ordres de paiement sont délivrés par la Direction chargée de la promotion des produits de pêche.</w:t>
      </w:r>
    </w:p>
    <w:p w14:paraId="223165A6" w14:textId="77777777" w:rsidR="00D3100F" w:rsidRPr="00B004EE" w:rsidRDefault="00D3100F" w:rsidP="00B004EE">
      <w:pPr>
        <w:jc w:val="both"/>
        <w:rPr>
          <w:rFonts w:ascii="Tahoma" w:hAnsi="Tahoma" w:cs="Tahoma"/>
          <w:sz w:val="20"/>
          <w:szCs w:val="20"/>
        </w:rPr>
      </w:pPr>
    </w:p>
    <w:p w14:paraId="5C155351" w14:textId="77777777" w:rsidR="00D3100F" w:rsidRPr="00B004EE" w:rsidRDefault="00D3100F" w:rsidP="00B004EE">
      <w:pPr>
        <w:jc w:val="both"/>
        <w:rPr>
          <w:rFonts w:ascii="Tahoma" w:hAnsi="Tahoma" w:cs="Tahoma"/>
          <w:sz w:val="20"/>
          <w:szCs w:val="20"/>
        </w:rPr>
      </w:pPr>
      <w:r w:rsidRPr="00B004EE">
        <w:rPr>
          <w:rFonts w:ascii="Tahoma" w:hAnsi="Tahoma" w:cs="Tahoma"/>
          <w:sz w:val="20"/>
          <w:szCs w:val="20"/>
        </w:rPr>
        <w:t>Article 16 : La carte professionnelle de mareyeur doit comporter obligatoirement, les mentions suivantes :</w:t>
      </w:r>
    </w:p>
    <w:p w14:paraId="392A253D" w14:textId="77777777" w:rsidR="00D3100F" w:rsidRPr="00B004EE" w:rsidRDefault="00D3100F" w:rsidP="00B004EE">
      <w:pPr>
        <w:jc w:val="both"/>
        <w:rPr>
          <w:rFonts w:ascii="Tahoma" w:hAnsi="Tahoma" w:cs="Tahoma"/>
          <w:sz w:val="20"/>
          <w:szCs w:val="20"/>
        </w:rPr>
      </w:pPr>
    </w:p>
    <w:p w14:paraId="20E374B2" w14:textId="77777777" w:rsidR="00D3100F" w:rsidRPr="00B004EE" w:rsidRDefault="00D3100F" w:rsidP="00420DDA">
      <w:pPr>
        <w:numPr>
          <w:ilvl w:val="0"/>
          <w:numId w:val="138"/>
        </w:numPr>
        <w:jc w:val="both"/>
        <w:rPr>
          <w:rFonts w:ascii="Tahoma" w:hAnsi="Tahoma" w:cs="Tahoma"/>
          <w:sz w:val="20"/>
          <w:szCs w:val="20"/>
        </w:rPr>
      </w:pPr>
      <w:r w:rsidRPr="00B004EE">
        <w:rPr>
          <w:rFonts w:ascii="Tahoma" w:hAnsi="Tahoma" w:cs="Tahoma"/>
          <w:sz w:val="20"/>
          <w:szCs w:val="20"/>
        </w:rPr>
        <w:t>Le nom et prénom du mareyeur ou la raison sociale du mareyage ;</w:t>
      </w:r>
    </w:p>
    <w:p w14:paraId="51009AD8" w14:textId="77777777" w:rsidR="00D3100F" w:rsidRPr="00B004EE" w:rsidRDefault="00D3100F" w:rsidP="00420DDA">
      <w:pPr>
        <w:numPr>
          <w:ilvl w:val="0"/>
          <w:numId w:val="138"/>
        </w:numPr>
        <w:jc w:val="both"/>
        <w:rPr>
          <w:rFonts w:ascii="Tahoma" w:hAnsi="Tahoma" w:cs="Tahoma"/>
          <w:sz w:val="20"/>
          <w:szCs w:val="20"/>
        </w:rPr>
      </w:pPr>
      <w:r w:rsidRPr="00B004EE">
        <w:rPr>
          <w:rFonts w:ascii="Tahoma" w:hAnsi="Tahoma" w:cs="Tahoma"/>
          <w:sz w:val="20"/>
          <w:szCs w:val="20"/>
        </w:rPr>
        <w:t>Le domicile du mareyeur ou le siège social de la société ou de la coopérative de mareyage ;</w:t>
      </w:r>
    </w:p>
    <w:p w14:paraId="1F412391" w14:textId="77777777" w:rsidR="00D3100F" w:rsidRPr="00B004EE" w:rsidRDefault="00D3100F" w:rsidP="00420DDA">
      <w:pPr>
        <w:numPr>
          <w:ilvl w:val="0"/>
          <w:numId w:val="138"/>
        </w:numPr>
        <w:jc w:val="both"/>
        <w:rPr>
          <w:rFonts w:ascii="Tahoma" w:hAnsi="Tahoma" w:cs="Tahoma"/>
          <w:sz w:val="20"/>
          <w:szCs w:val="20"/>
        </w:rPr>
      </w:pPr>
      <w:r w:rsidRPr="00B004EE">
        <w:rPr>
          <w:rFonts w:ascii="Tahoma" w:hAnsi="Tahoma" w:cs="Tahoma"/>
          <w:sz w:val="20"/>
          <w:szCs w:val="20"/>
        </w:rPr>
        <w:t>Le ou les lieux d’implantation ;</w:t>
      </w:r>
    </w:p>
    <w:p w14:paraId="20FE3603" w14:textId="2E373D35" w:rsidR="00D3100F" w:rsidRPr="00B004EE" w:rsidRDefault="00D3100F" w:rsidP="00420DDA">
      <w:pPr>
        <w:numPr>
          <w:ilvl w:val="0"/>
          <w:numId w:val="138"/>
        </w:numPr>
        <w:jc w:val="both"/>
        <w:rPr>
          <w:rFonts w:ascii="Tahoma" w:hAnsi="Tahoma" w:cs="Tahoma"/>
          <w:sz w:val="20"/>
          <w:szCs w:val="20"/>
        </w:rPr>
      </w:pPr>
      <w:r w:rsidRPr="00B004EE">
        <w:rPr>
          <w:rFonts w:ascii="Tahoma" w:hAnsi="Tahoma" w:cs="Tahoma"/>
          <w:sz w:val="20"/>
          <w:szCs w:val="20"/>
        </w:rPr>
        <w:t>La nature du ou des produits qui font l’objet de l’activité du mareyeur, en distinguant s’il s’agit d’un commerce de poissons, crustacés, mollusques, frais, surgelés ou congelés etc.</w:t>
      </w:r>
    </w:p>
    <w:p w14:paraId="1833D30D" w14:textId="77777777" w:rsidR="00D3100F" w:rsidRPr="00B004EE" w:rsidRDefault="00D3100F" w:rsidP="00B004EE">
      <w:pPr>
        <w:jc w:val="both"/>
        <w:rPr>
          <w:rFonts w:ascii="Tahoma" w:hAnsi="Tahoma" w:cs="Tahoma"/>
          <w:sz w:val="20"/>
          <w:szCs w:val="20"/>
        </w:rPr>
      </w:pPr>
    </w:p>
    <w:p w14:paraId="536ADDBE" w14:textId="77777777" w:rsidR="00D3100F" w:rsidRPr="00B004EE" w:rsidRDefault="00D3100F" w:rsidP="00B004EE">
      <w:pPr>
        <w:jc w:val="both"/>
        <w:rPr>
          <w:rFonts w:ascii="Tahoma" w:hAnsi="Tahoma" w:cs="Tahoma"/>
          <w:sz w:val="20"/>
          <w:szCs w:val="20"/>
        </w:rPr>
      </w:pPr>
      <w:r w:rsidRPr="00B004EE">
        <w:rPr>
          <w:rFonts w:ascii="Tahoma" w:hAnsi="Tahoma" w:cs="Tahoma"/>
          <w:sz w:val="20"/>
          <w:szCs w:val="20"/>
        </w:rPr>
        <w:t>La carte professionnelle de mareyeur doit être conforme à un modèle qui sera approuvé par arrêté du Ministre chargé des Pêches.</w:t>
      </w:r>
    </w:p>
    <w:p w14:paraId="45C994E5" w14:textId="77777777" w:rsidR="00D3100F" w:rsidRPr="00B004EE" w:rsidRDefault="00D3100F" w:rsidP="00B004EE">
      <w:pPr>
        <w:jc w:val="both"/>
        <w:rPr>
          <w:rFonts w:ascii="Tahoma" w:hAnsi="Tahoma" w:cs="Tahoma"/>
          <w:sz w:val="20"/>
          <w:szCs w:val="20"/>
        </w:rPr>
      </w:pPr>
    </w:p>
    <w:p w14:paraId="6161EAFC" w14:textId="77777777" w:rsidR="00D3100F" w:rsidRPr="00B004EE" w:rsidRDefault="00D3100F" w:rsidP="00B004EE">
      <w:pPr>
        <w:jc w:val="both"/>
        <w:rPr>
          <w:rFonts w:ascii="Tahoma" w:hAnsi="Tahoma" w:cs="Tahoma"/>
          <w:sz w:val="20"/>
          <w:szCs w:val="20"/>
        </w:rPr>
      </w:pPr>
      <w:r w:rsidRPr="00B004EE">
        <w:rPr>
          <w:rFonts w:ascii="Tahoma" w:hAnsi="Tahoma" w:cs="Tahoma"/>
          <w:sz w:val="20"/>
          <w:szCs w:val="20"/>
        </w:rPr>
        <w:t>Article 17 : Les cartes professionnelles de mareyeurs sont incessibles. Lorsque le titulaire cesse pour quelque cause que ce soit, sauf cas de force majeur, d’exercer la profession de façon active pendant plus de six (6) mois consécutifs, la carte cesse automatiquement d’être valable.</w:t>
      </w:r>
    </w:p>
    <w:p w14:paraId="04809E91" w14:textId="77777777" w:rsidR="00D3100F" w:rsidRPr="00B004EE" w:rsidRDefault="00D3100F" w:rsidP="00B004EE">
      <w:pPr>
        <w:jc w:val="both"/>
        <w:rPr>
          <w:rFonts w:ascii="Tahoma" w:hAnsi="Tahoma" w:cs="Tahoma"/>
          <w:sz w:val="20"/>
          <w:szCs w:val="20"/>
        </w:rPr>
      </w:pPr>
      <w:r w:rsidRPr="00B004EE">
        <w:rPr>
          <w:rFonts w:ascii="Tahoma" w:hAnsi="Tahoma" w:cs="Tahoma"/>
          <w:sz w:val="20"/>
          <w:szCs w:val="20"/>
        </w:rPr>
        <w:t>S’il y a transmission d’un fonds de commerce, l’acquéreur doit demander l’attribution d’une nouvelle carte dans les conditions définies ci-dessus.</w:t>
      </w:r>
    </w:p>
    <w:p w14:paraId="554FCC0F" w14:textId="77777777" w:rsidR="00D3100F" w:rsidRPr="00B004EE" w:rsidRDefault="00D3100F" w:rsidP="00B004EE">
      <w:pPr>
        <w:jc w:val="both"/>
        <w:rPr>
          <w:rFonts w:ascii="Tahoma" w:hAnsi="Tahoma" w:cs="Tahoma"/>
          <w:sz w:val="20"/>
          <w:szCs w:val="20"/>
        </w:rPr>
      </w:pPr>
      <w:r w:rsidRPr="00B004EE">
        <w:rPr>
          <w:rFonts w:ascii="Tahoma" w:hAnsi="Tahoma" w:cs="Tahoma"/>
          <w:sz w:val="20"/>
          <w:szCs w:val="20"/>
        </w:rPr>
        <w:t>En cas de décès du titulaire de la carte, celle-ci peut être prorogée pendant un délai maximum de six (6) mois à compter du jour du décès en faveur soit de l’héritier, soit de l’acquéreur du fonds de commerce.</w:t>
      </w:r>
    </w:p>
    <w:p w14:paraId="71543BCE" w14:textId="77777777" w:rsidR="00D3100F" w:rsidRPr="00B004EE" w:rsidRDefault="00D3100F" w:rsidP="00B004EE">
      <w:pPr>
        <w:jc w:val="both"/>
        <w:rPr>
          <w:rFonts w:ascii="Tahoma" w:hAnsi="Tahoma" w:cs="Tahoma"/>
          <w:sz w:val="20"/>
          <w:szCs w:val="20"/>
        </w:rPr>
      </w:pPr>
    </w:p>
    <w:p w14:paraId="19E194EC" w14:textId="77777777" w:rsidR="002D26AE" w:rsidRDefault="002D26AE" w:rsidP="00B004EE">
      <w:pPr>
        <w:jc w:val="center"/>
        <w:rPr>
          <w:rFonts w:ascii="Tahoma" w:hAnsi="Tahoma" w:cs="Tahoma"/>
          <w:b/>
          <w:bCs/>
          <w:sz w:val="20"/>
          <w:szCs w:val="20"/>
        </w:rPr>
      </w:pPr>
    </w:p>
    <w:p w14:paraId="47873E4E" w14:textId="7F87DACB" w:rsidR="00D3100F" w:rsidRPr="00B004EE" w:rsidRDefault="0024676E" w:rsidP="00B004EE">
      <w:pPr>
        <w:jc w:val="center"/>
        <w:rPr>
          <w:rFonts w:ascii="Tahoma" w:hAnsi="Tahoma" w:cs="Tahoma"/>
          <w:b/>
          <w:bCs/>
          <w:sz w:val="20"/>
          <w:szCs w:val="20"/>
        </w:rPr>
      </w:pPr>
      <w:r w:rsidRPr="00B004EE">
        <w:rPr>
          <w:rFonts w:ascii="Tahoma" w:hAnsi="Tahoma" w:cs="Tahoma"/>
          <w:b/>
          <w:bCs/>
          <w:sz w:val="20"/>
          <w:szCs w:val="20"/>
        </w:rPr>
        <w:lastRenderedPageBreak/>
        <w:t>TITRE IV : DU CONTROLE DE LA PROFESSION DE MAREYEUR</w:t>
      </w:r>
    </w:p>
    <w:p w14:paraId="4627EC0F" w14:textId="77777777" w:rsidR="0024676E" w:rsidRPr="00B004EE" w:rsidRDefault="0024676E" w:rsidP="00B004EE">
      <w:pPr>
        <w:jc w:val="both"/>
        <w:rPr>
          <w:rFonts w:ascii="Tahoma" w:hAnsi="Tahoma" w:cs="Tahoma"/>
          <w:sz w:val="20"/>
          <w:szCs w:val="20"/>
        </w:rPr>
      </w:pPr>
    </w:p>
    <w:p w14:paraId="5964378E" w14:textId="77777777" w:rsidR="00D3100F" w:rsidRPr="00B004EE" w:rsidRDefault="00D3100F" w:rsidP="00B004EE">
      <w:pPr>
        <w:jc w:val="both"/>
        <w:rPr>
          <w:rFonts w:ascii="Tahoma" w:hAnsi="Tahoma" w:cs="Tahoma"/>
          <w:sz w:val="20"/>
          <w:szCs w:val="20"/>
        </w:rPr>
      </w:pPr>
      <w:r w:rsidRPr="00B004EE">
        <w:rPr>
          <w:rFonts w:ascii="Tahoma" w:hAnsi="Tahoma" w:cs="Tahoma"/>
          <w:sz w:val="20"/>
          <w:szCs w:val="20"/>
        </w:rPr>
        <w:t xml:space="preserve">Article 18 : Les mareyeurs ou leurs représentants doivent répondre aux prescriptions des agents de contrôle. </w:t>
      </w:r>
    </w:p>
    <w:p w14:paraId="3FCCAF93" w14:textId="77777777" w:rsidR="00D3100F" w:rsidRPr="00B004EE" w:rsidRDefault="00D3100F" w:rsidP="00B004EE">
      <w:pPr>
        <w:jc w:val="both"/>
        <w:rPr>
          <w:rFonts w:ascii="Tahoma" w:hAnsi="Tahoma" w:cs="Tahoma"/>
          <w:sz w:val="20"/>
          <w:szCs w:val="20"/>
        </w:rPr>
      </w:pPr>
      <w:r w:rsidRPr="00B004EE">
        <w:rPr>
          <w:rFonts w:ascii="Tahoma" w:hAnsi="Tahoma" w:cs="Tahoma"/>
          <w:sz w:val="20"/>
          <w:szCs w:val="20"/>
        </w:rPr>
        <w:t>Ils ont, en particulier, l’obligation de laisser les agents habilités du Ministère chargé des Pêches à :</w:t>
      </w:r>
    </w:p>
    <w:p w14:paraId="6C0A296E" w14:textId="77777777" w:rsidR="00D3100F" w:rsidRPr="00B004EE" w:rsidRDefault="00D3100F" w:rsidP="00420DDA">
      <w:pPr>
        <w:numPr>
          <w:ilvl w:val="0"/>
          <w:numId w:val="139"/>
        </w:numPr>
        <w:jc w:val="both"/>
        <w:rPr>
          <w:rFonts w:ascii="Tahoma" w:hAnsi="Tahoma" w:cs="Tahoma"/>
          <w:sz w:val="20"/>
          <w:szCs w:val="20"/>
        </w:rPr>
      </w:pPr>
      <w:r w:rsidRPr="00B004EE">
        <w:rPr>
          <w:rFonts w:ascii="Tahoma" w:hAnsi="Tahoma" w:cs="Tahoma"/>
          <w:sz w:val="20"/>
          <w:szCs w:val="20"/>
        </w:rPr>
        <w:t>Pénétrer dans l’établissement de mareyage à tout moment, y compris pendant les heures de travail et de nuit ;</w:t>
      </w:r>
    </w:p>
    <w:p w14:paraId="5CE4644F" w14:textId="77777777" w:rsidR="00D3100F" w:rsidRPr="00B004EE" w:rsidRDefault="00D3100F" w:rsidP="00420DDA">
      <w:pPr>
        <w:numPr>
          <w:ilvl w:val="0"/>
          <w:numId w:val="139"/>
        </w:numPr>
        <w:jc w:val="both"/>
        <w:rPr>
          <w:rFonts w:ascii="Tahoma" w:hAnsi="Tahoma" w:cs="Tahoma"/>
          <w:sz w:val="20"/>
          <w:szCs w:val="20"/>
        </w:rPr>
      </w:pPr>
      <w:r w:rsidRPr="00B004EE">
        <w:rPr>
          <w:rFonts w:ascii="Tahoma" w:hAnsi="Tahoma" w:cs="Tahoma"/>
          <w:sz w:val="20"/>
          <w:szCs w:val="20"/>
        </w:rPr>
        <w:t>Procéder à tous les examens, inspections ou contrôles jugés nécessaires et qui concernent, entre autres, les locaux, le matériel et l’équipement, l’eau, la glace, les emballages d’expédition, la carte professionnelle de mareyage, etc.</w:t>
      </w:r>
    </w:p>
    <w:p w14:paraId="48C71821" w14:textId="77777777" w:rsidR="00D3100F" w:rsidRPr="00B004EE" w:rsidRDefault="00D3100F" w:rsidP="00B004EE">
      <w:pPr>
        <w:jc w:val="both"/>
        <w:rPr>
          <w:rFonts w:ascii="Tahoma" w:hAnsi="Tahoma" w:cs="Tahoma"/>
          <w:sz w:val="20"/>
          <w:szCs w:val="20"/>
        </w:rPr>
      </w:pPr>
      <w:r w:rsidRPr="00B004EE">
        <w:rPr>
          <w:rFonts w:ascii="Tahoma" w:hAnsi="Tahoma" w:cs="Tahoma"/>
          <w:sz w:val="20"/>
          <w:szCs w:val="20"/>
        </w:rPr>
        <w:t xml:space="preserve">Article 19 : L’exercice des activités de mareyage sans détention de la carte professionnelle et en l’absence des autres conditions requises, est puni conformément aux lois et règlements en vigueur. Des textes réglementaires définiront et compléteront les lois en vigueur relatives aux sanctions et à la grille des amendes pour les infractions à l’activité de mareyage.  </w:t>
      </w:r>
    </w:p>
    <w:p w14:paraId="18F583D4" w14:textId="77777777" w:rsidR="00D3100F" w:rsidRPr="00B004EE" w:rsidRDefault="00D3100F" w:rsidP="00B004EE">
      <w:pPr>
        <w:jc w:val="both"/>
        <w:rPr>
          <w:rFonts w:ascii="Tahoma" w:hAnsi="Tahoma" w:cs="Tahoma"/>
          <w:sz w:val="20"/>
          <w:szCs w:val="20"/>
        </w:rPr>
      </w:pPr>
    </w:p>
    <w:p w14:paraId="1DCF2DB1" w14:textId="4D9BC8D1" w:rsidR="00D3100F" w:rsidRPr="00B004EE" w:rsidRDefault="0024676E" w:rsidP="00B004EE">
      <w:pPr>
        <w:jc w:val="center"/>
        <w:rPr>
          <w:rFonts w:ascii="Tahoma" w:hAnsi="Tahoma" w:cs="Tahoma"/>
          <w:b/>
          <w:bCs/>
          <w:sz w:val="20"/>
          <w:szCs w:val="20"/>
        </w:rPr>
      </w:pPr>
      <w:r w:rsidRPr="00B004EE">
        <w:rPr>
          <w:rFonts w:ascii="Tahoma" w:hAnsi="Tahoma" w:cs="Tahoma"/>
          <w:b/>
          <w:bCs/>
          <w:sz w:val="20"/>
          <w:szCs w:val="20"/>
        </w:rPr>
        <w:t>TITRE V : DU COMITE CONSULTATIF DU MAREYAGE</w:t>
      </w:r>
    </w:p>
    <w:p w14:paraId="6C73E6B8" w14:textId="77777777" w:rsidR="0024676E" w:rsidRPr="00B004EE" w:rsidRDefault="0024676E" w:rsidP="00B004EE">
      <w:pPr>
        <w:jc w:val="both"/>
        <w:rPr>
          <w:rFonts w:ascii="Tahoma" w:hAnsi="Tahoma" w:cs="Tahoma"/>
          <w:sz w:val="20"/>
          <w:szCs w:val="20"/>
        </w:rPr>
      </w:pPr>
    </w:p>
    <w:p w14:paraId="39B26EBE" w14:textId="77777777" w:rsidR="00D3100F" w:rsidRPr="00B004EE" w:rsidRDefault="00D3100F" w:rsidP="00B004EE">
      <w:pPr>
        <w:jc w:val="both"/>
        <w:rPr>
          <w:rFonts w:ascii="Tahoma" w:hAnsi="Tahoma" w:cs="Tahoma"/>
          <w:sz w:val="20"/>
          <w:szCs w:val="20"/>
        </w:rPr>
      </w:pPr>
      <w:r w:rsidRPr="00B004EE">
        <w:rPr>
          <w:rFonts w:ascii="Tahoma" w:hAnsi="Tahoma" w:cs="Tahoma"/>
          <w:sz w:val="20"/>
          <w:szCs w:val="20"/>
        </w:rPr>
        <w:t>Article 20 : Il est constitué un organe dénommé « Comité Consultatif du Mareyage » dont la composition, les missions et les modalités de fonctionnement seront fixées par arrêté du Ministre chargé des Pêches.</w:t>
      </w:r>
    </w:p>
    <w:p w14:paraId="0D4F3AC8" w14:textId="77777777" w:rsidR="00D3100F" w:rsidRPr="00B004EE" w:rsidRDefault="00D3100F" w:rsidP="00B004EE">
      <w:pPr>
        <w:jc w:val="both"/>
        <w:rPr>
          <w:rFonts w:ascii="Tahoma" w:hAnsi="Tahoma" w:cs="Tahoma"/>
          <w:sz w:val="20"/>
          <w:szCs w:val="20"/>
        </w:rPr>
      </w:pPr>
    </w:p>
    <w:p w14:paraId="338EB045" w14:textId="6DE69712" w:rsidR="00D3100F" w:rsidRPr="00B004EE" w:rsidRDefault="0024676E" w:rsidP="00B004EE">
      <w:pPr>
        <w:jc w:val="center"/>
        <w:rPr>
          <w:rFonts w:ascii="Tahoma" w:hAnsi="Tahoma" w:cs="Tahoma"/>
          <w:b/>
          <w:bCs/>
          <w:sz w:val="20"/>
          <w:szCs w:val="20"/>
        </w:rPr>
      </w:pPr>
      <w:r w:rsidRPr="00B004EE">
        <w:rPr>
          <w:rFonts w:ascii="Tahoma" w:hAnsi="Tahoma" w:cs="Tahoma"/>
          <w:b/>
          <w:bCs/>
          <w:sz w:val="20"/>
          <w:szCs w:val="20"/>
        </w:rPr>
        <w:t>TITRE VI : DISPOSITIONS FINALES</w:t>
      </w:r>
    </w:p>
    <w:p w14:paraId="423E705F" w14:textId="77777777" w:rsidR="0024676E" w:rsidRPr="00B004EE" w:rsidRDefault="0024676E" w:rsidP="00B004EE">
      <w:pPr>
        <w:jc w:val="both"/>
        <w:rPr>
          <w:rFonts w:ascii="Tahoma" w:hAnsi="Tahoma" w:cs="Tahoma"/>
          <w:sz w:val="20"/>
          <w:szCs w:val="20"/>
        </w:rPr>
      </w:pPr>
    </w:p>
    <w:p w14:paraId="07C269CD" w14:textId="77777777" w:rsidR="00D3100F" w:rsidRPr="00B004EE" w:rsidRDefault="00D3100F" w:rsidP="00B004EE">
      <w:pPr>
        <w:jc w:val="both"/>
        <w:rPr>
          <w:rFonts w:ascii="Tahoma" w:hAnsi="Tahoma" w:cs="Tahoma"/>
          <w:sz w:val="20"/>
          <w:szCs w:val="20"/>
        </w:rPr>
      </w:pPr>
      <w:r w:rsidRPr="00B004EE">
        <w:rPr>
          <w:rFonts w:ascii="Tahoma" w:hAnsi="Tahoma" w:cs="Tahoma"/>
          <w:sz w:val="20"/>
          <w:szCs w:val="20"/>
        </w:rPr>
        <w:t>Article 21 : Les infractions aux dispositions du présent décret sont punies des peines prévues par la loi n° 2000-25 du 24 janvier 2000 modifiée et complétée par l’ordonnance n° 2007 -022 du 9 avril 2007 portant Code des Pêches et par les autres textes en vigueur.</w:t>
      </w:r>
    </w:p>
    <w:p w14:paraId="61619331" w14:textId="77777777" w:rsidR="00D3100F" w:rsidRPr="00B004EE" w:rsidRDefault="00D3100F" w:rsidP="00B004EE">
      <w:pPr>
        <w:jc w:val="both"/>
        <w:rPr>
          <w:rFonts w:ascii="Tahoma" w:hAnsi="Tahoma" w:cs="Tahoma"/>
          <w:sz w:val="20"/>
          <w:szCs w:val="20"/>
        </w:rPr>
      </w:pPr>
      <w:r w:rsidRPr="00B004EE">
        <w:rPr>
          <w:rFonts w:ascii="Tahoma" w:hAnsi="Tahoma" w:cs="Tahoma"/>
          <w:sz w:val="20"/>
          <w:szCs w:val="20"/>
        </w:rPr>
        <w:t>Article 22 : Le Ministre chargé des Pêches précisera, en tant que de besoin, par arrêté, les dispositions du présent décret.</w:t>
      </w:r>
    </w:p>
    <w:p w14:paraId="1CEA5CFE" w14:textId="756BD5F0" w:rsidR="00D3100F" w:rsidRPr="00B004EE" w:rsidRDefault="00D3100F" w:rsidP="00B004EE">
      <w:pPr>
        <w:jc w:val="both"/>
        <w:rPr>
          <w:rFonts w:ascii="Tahoma" w:hAnsi="Tahoma" w:cs="Tahoma"/>
          <w:sz w:val="20"/>
          <w:szCs w:val="20"/>
        </w:rPr>
      </w:pPr>
      <w:r w:rsidRPr="00B004EE">
        <w:rPr>
          <w:rFonts w:ascii="Tahoma" w:hAnsi="Tahoma" w:cs="Tahoma"/>
          <w:sz w:val="20"/>
          <w:szCs w:val="20"/>
        </w:rPr>
        <w:t>Article 23 : Sont abrogées toutes dispositions antérieures contraires au présent décret notamment le décret n° 065-2002 du 05 Août 2002 relatif à l’exercice de la profession du mareyeur.</w:t>
      </w:r>
    </w:p>
    <w:p w14:paraId="44FB4356" w14:textId="77777777" w:rsidR="0024676E" w:rsidRPr="00B004EE" w:rsidRDefault="0024676E" w:rsidP="00B004EE">
      <w:pPr>
        <w:jc w:val="both"/>
        <w:rPr>
          <w:rFonts w:ascii="Tahoma" w:hAnsi="Tahoma" w:cs="Tahoma"/>
          <w:sz w:val="20"/>
          <w:szCs w:val="20"/>
        </w:rPr>
      </w:pPr>
    </w:p>
    <w:p w14:paraId="67ECF735" w14:textId="77777777" w:rsidR="00D3100F" w:rsidRPr="00B004EE" w:rsidRDefault="00D3100F" w:rsidP="00B004EE">
      <w:pPr>
        <w:jc w:val="both"/>
        <w:rPr>
          <w:rFonts w:ascii="Tahoma" w:hAnsi="Tahoma" w:cs="Tahoma"/>
          <w:sz w:val="20"/>
          <w:szCs w:val="20"/>
        </w:rPr>
      </w:pPr>
      <w:r w:rsidRPr="00B004EE">
        <w:rPr>
          <w:rFonts w:ascii="Tahoma" w:hAnsi="Tahoma" w:cs="Tahoma"/>
          <w:sz w:val="20"/>
          <w:szCs w:val="20"/>
        </w:rPr>
        <w:t>Article 24 : Le Ministre des Pêches et de l’Economie Maritime et le Ministre des Finances sont chargés, chacun en ce qui le concerne, de l’exécution du présent décret qui sera publié au Journal Officiel de la République Islamique de Mauritanie.</w:t>
      </w:r>
    </w:p>
    <w:p w14:paraId="42DCB092" w14:textId="77777777" w:rsidR="00D3100F" w:rsidRPr="00B004EE" w:rsidRDefault="00D3100F" w:rsidP="00B004EE">
      <w:pPr>
        <w:jc w:val="both"/>
        <w:rPr>
          <w:rFonts w:ascii="Tahoma" w:hAnsi="Tahoma" w:cs="Tahoma"/>
          <w:sz w:val="20"/>
          <w:szCs w:val="20"/>
        </w:rPr>
      </w:pPr>
    </w:p>
    <w:p w14:paraId="276EA8B5" w14:textId="773BFCF9" w:rsidR="00D3100F" w:rsidRPr="00B004EE" w:rsidRDefault="00D3100F" w:rsidP="00B004EE">
      <w:pPr>
        <w:jc w:val="right"/>
        <w:rPr>
          <w:rFonts w:ascii="Tahoma" w:hAnsi="Tahoma" w:cs="Tahoma"/>
          <w:sz w:val="20"/>
          <w:szCs w:val="20"/>
        </w:rPr>
      </w:pPr>
      <w:r w:rsidRPr="00B004EE">
        <w:rPr>
          <w:rFonts w:ascii="Tahoma" w:hAnsi="Tahoma" w:cs="Tahoma"/>
          <w:i/>
          <w:iCs/>
          <w:sz w:val="20"/>
          <w:szCs w:val="20"/>
        </w:rPr>
        <w:t>Nouakchott, le</w:t>
      </w:r>
      <w:r w:rsidRPr="00B004EE">
        <w:rPr>
          <w:rFonts w:ascii="Tahoma" w:hAnsi="Tahoma" w:cs="Tahoma"/>
          <w:sz w:val="20"/>
          <w:szCs w:val="20"/>
        </w:rPr>
        <w:t xml:space="preserve"> 02 Avril 2009</w:t>
      </w:r>
    </w:p>
    <w:p w14:paraId="5364C0EF" w14:textId="77777777" w:rsidR="002E41D8" w:rsidRPr="00B004EE" w:rsidRDefault="002E41D8" w:rsidP="00B004EE">
      <w:pPr>
        <w:jc w:val="right"/>
        <w:rPr>
          <w:rFonts w:ascii="Tahoma" w:hAnsi="Tahoma" w:cs="Tahoma"/>
          <w:sz w:val="20"/>
          <w:szCs w:val="20"/>
        </w:rPr>
      </w:pPr>
    </w:p>
    <w:p w14:paraId="57870A77" w14:textId="0D7B6666" w:rsidR="0024676E" w:rsidRDefault="0024676E" w:rsidP="00B004EE">
      <w:pPr>
        <w:autoSpaceDE w:val="0"/>
        <w:autoSpaceDN w:val="0"/>
        <w:adjustRightInd w:val="0"/>
        <w:jc w:val="center"/>
        <w:rPr>
          <w:rFonts w:ascii="Tahoma" w:hAnsi="Tahoma" w:cs="Tahoma"/>
          <w:sz w:val="20"/>
          <w:szCs w:val="20"/>
        </w:rPr>
      </w:pPr>
    </w:p>
    <w:p w14:paraId="5213FED7" w14:textId="77777777" w:rsidR="002D26AE" w:rsidRPr="00B004EE" w:rsidRDefault="002D26AE" w:rsidP="00B004EE">
      <w:pPr>
        <w:autoSpaceDE w:val="0"/>
        <w:autoSpaceDN w:val="0"/>
        <w:adjustRightInd w:val="0"/>
        <w:jc w:val="center"/>
        <w:rPr>
          <w:rFonts w:ascii="Tahoma" w:hAnsi="Tahoma" w:cs="Tahoma"/>
          <w:sz w:val="20"/>
          <w:szCs w:val="20"/>
        </w:rPr>
      </w:pPr>
    </w:p>
    <w:p w14:paraId="5CEEBC2F" w14:textId="77777777" w:rsidR="005E06B0" w:rsidRPr="00B004EE" w:rsidRDefault="005E06B0" w:rsidP="00B004EE">
      <w:pPr>
        <w:autoSpaceDE w:val="0"/>
        <w:autoSpaceDN w:val="0"/>
        <w:adjustRightInd w:val="0"/>
        <w:jc w:val="center"/>
        <w:rPr>
          <w:rFonts w:ascii="Tahoma" w:hAnsi="Tahoma" w:cs="Tahoma"/>
          <w:sz w:val="20"/>
          <w:szCs w:val="20"/>
        </w:rPr>
      </w:pPr>
      <w:r w:rsidRPr="00B004EE">
        <w:rPr>
          <w:rFonts w:ascii="Tahoma" w:hAnsi="Tahoma" w:cs="Tahoma"/>
          <w:sz w:val="20"/>
          <w:szCs w:val="20"/>
        </w:rPr>
        <w:t>Le Premier Ministre</w:t>
      </w:r>
    </w:p>
    <w:p w14:paraId="663999E2" w14:textId="3F811ECA" w:rsidR="00FE579E" w:rsidRPr="00B004EE" w:rsidRDefault="00FE579E" w:rsidP="00B004EE">
      <w:pPr>
        <w:autoSpaceDE w:val="0"/>
        <w:autoSpaceDN w:val="0"/>
        <w:adjustRightInd w:val="0"/>
        <w:jc w:val="center"/>
        <w:rPr>
          <w:rFonts w:ascii="Tahoma" w:hAnsi="Tahoma" w:cs="Tahoma"/>
          <w:sz w:val="20"/>
          <w:szCs w:val="20"/>
        </w:rPr>
      </w:pPr>
      <w:r w:rsidRPr="00B004EE">
        <w:rPr>
          <w:rFonts w:ascii="Tahoma" w:hAnsi="Tahoma" w:cs="Tahoma"/>
          <w:sz w:val="20"/>
          <w:szCs w:val="20"/>
        </w:rPr>
        <w:t>Dr MOULAYE OULD MOHAMED LAGHDAF</w:t>
      </w:r>
    </w:p>
    <w:p w14:paraId="5DC325B7" w14:textId="447F49E9" w:rsidR="00FE579E" w:rsidRPr="00B004EE" w:rsidRDefault="00FE579E" w:rsidP="00B004EE">
      <w:pPr>
        <w:autoSpaceDE w:val="0"/>
        <w:autoSpaceDN w:val="0"/>
        <w:adjustRightInd w:val="0"/>
        <w:jc w:val="center"/>
        <w:rPr>
          <w:rFonts w:ascii="Tahoma" w:hAnsi="Tahoma" w:cs="Tahoma"/>
          <w:sz w:val="20"/>
          <w:szCs w:val="20"/>
        </w:rPr>
      </w:pPr>
    </w:p>
    <w:p w14:paraId="62435B17" w14:textId="5B3B8AA6" w:rsidR="0024676E" w:rsidRDefault="0024676E" w:rsidP="00B004EE">
      <w:pPr>
        <w:autoSpaceDE w:val="0"/>
        <w:autoSpaceDN w:val="0"/>
        <w:adjustRightInd w:val="0"/>
        <w:jc w:val="center"/>
        <w:rPr>
          <w:rFonts w:ascii="Tahoma" w:hAnsi="Tahoma" w:cs="Tahoma"/>
          <w:sz w:val="20"/>
          <w:szCs w:val="20"/>
        </w:rPr>
      </w:pPr>
    </w:p>
    <w:p w14:paraId="1642F65F" w14:textId="0B31AC80" w:rsidR="002D26AE" w:rsidRDefault="002D26AE" w:rsidP="00B004EE">
      <w:pPr>
        <w:autoSpaceDE w:val="0"/>
        <w:autoSpaceDN w:val="0"/>
        <w:adjustRightInd w:val="0"/>
        <w:jc w:val="center"/>
        <w:rPr>
          <w:rFonts w:ascii="Tahoma" w:hAnsi="Tahoma" w:cs="Tahoma"/>
          <w:sz w:val="20"/>
          <w:szCs w:val="20"/>
        </w:rPr>
      </w:pPr>
    </w:p>
    <w:p w14:paraId="0BB361E0" w14:textId="77777777" w:rsidR="002D26AE" w:rsidRPr="00B004EE" w:rsidRDefault="002D26AE" w:rsidP="00B004EE">
      <w:pPr>
        <w:autoSpaceDE w:val="0"/>
        <w:autoSpaceDN w:val="0"/>
        <w:adjustRightInd w:val="0"/>
        <w:jc w:val="center"/>
        <w:rPr>
          <w:rFonts w:ascii="Tahoma" w:hAnsi="Tahoma" w:cs="Tahoma"/>
          <w:sz w:val="20"/>
          <w:szCs w:val="20"/>
        </w:rPr>
      </w:pPr>
    </w:p>
    <w:p w14:paraId="228AD764" w14:textId="4B73AD8B" w:rsidR="00FE579E" w:rsidRPr="00B004EE" w:rsidRDefault="00FE579E" w:rsidP="002D26AE">
      <w:pPr>
        <w:autoSpaceDE w:val="0"/>
        <w:autoSpaceDN w:val="0"/>
        <w:adjustRightInd w:val="0"/>
        <w:rPr>
          <w:rFonts w:ascii="Tahoma" w:hAnsi="Tahoma" w:cs="Tahoma"/>
          <w:sz w:val="20"/>
          <w:szCs w:val="20"/>
        </w:rPr>
      </w:pPr>
      <w:r w:rsidRPr="00B004EE">
        <w:rPr>
          <w:rFonts w:ascii="Tahoma" w:hAnsi="Tahoma" w:cs="Tahoma"/>
          <w:sz w:val="20"/>
          <w:szCs w:val="20"/>
        </w:rPr>
        <w:t xml:space="preserve">Le Ministre des Pêches et de l’Economie Maritime </w:t>
      </w:r>
      <w:r w:rsidRPr="00B004EE">
        <w:rPr>
          <w:rFonts w:ascii="Tahoma" w:hAnsi="Tahoma" w:cs="Tahoma"/>
          <w:sz w:val="20"/>
          <w:szCs w:val="20"/>
        </w:rPr>
        <w:tab/>
      </w:r>
      <w:r w:rsidR="002D26AE">
        <w:rPr>
          <w:rFonts w:ascii="Tahoma" w:hAnsi="Tahoma" w:cs="Tahoma"/>
          <w:sz w:val="20"/>
          <w:szCs w:val="20"/>
        </w:rPr>
        <w:tab/>
      </w:r>
      <w:r w:rsidRPr="00B004EE">
        <w:rPr>
          <w:rFonts w:ascii="Tahoma" w:hAnsi="Tahoma" w:cs="Tahoma"/>
          <w:sz w:val="20"/>
          <w:szCs w:val="20"/>
        </w:rPr>
        <w:tab/>
        <w:t>Le Ministre et des Finances</w:t>
      </w:r>
    </w:p>
    <w:p w14:paraId="4A04BE4B" w14:textId="54D2BD2A" w:rsidR="00B30305" w:rsidRDefault="00FE579E" w:rsidP="002D26AE">
      <w:pPr>
        <w:autoSpaceDE w:val="0"/>
        <w:autoSpaceDN w:val="0"/>
        <w:adjustRightInd w:val="0"/>
        <w:ind w:left="284"/>
        <w:jc w:val="center"/>
        <w:rPr>
          <w:rFonts w:ascii="Tahoma" w:hAnsi="Tahoma" w:cs="Tahoma"/>
          <w:sz w:val="20"/>
          <w:szCs w:val="20"/>
          <w:lang w:val="en-US"/>
        </w:rPr>
      </w:pPr>
      <w:r w:rsidRPr="00B004EE">
        <w:rPr>
          <w:rFonts w:ascii="Tahoma" w:hAnsi="Tahoma" w:cs="Tahoma"/>
          <w:sz w:val="20"/>
          <w:szCs w:val="20"/>
          <w:lang w:val="en-US"/>
        </w:rPr>
        <w:t xml:space="preserve">HASSENA OULD ELY </w:t>
      </w:r>
      <w:r w:rsidRPr="00B004EE">
        <w:rPr>
          <w:rFonts w:ascii="Tahoma" w:hAnsi="Tahoma" w:cs="Tahoma"/>
          <w:sz w:val="20"/>
          <w:szCs w:val="20"/>
          <w:lang w:val="en-US"/>
        </w:rPr>
        <w:tab/>
      </w:r>
      <w:r w:rsidRPr="00B004EE">
        <w:rPr>
          <w:rFonts w:ascii="Tahoma" w:hAnsi="Tahoma" w:cs="Tahoma"/>
          <w:sz w:val="20"/>
          <w:szCs w:val="20"/>
          <w:lang w:val="en-US"/>
        </w:rPr>
        <w:tab/>
      </w:r>
      <w:r w:rsidRPr="00B004EE">
        <w:rPr>
          <w:rFonts w:ascii="Tahoma" w:hAnsi="Tahoma" w:cs="Tahoma"/>
          <w:sz w:val="20"/>
          <w:szCs w:val="20"/>
          <w:lang w:val="en-US"/>
        </w:rPr>
        <w:tab/>
      </w:r>
      <w:r w:rsidR="002D26AE">
        <w:rPr>
          <w:rFonts w:ascii="Tahoma" w:hAnsi="Tahoma" w:cs="Tahoma"/>
          <w:sz w:val="20"/>
          <w:szCs w:val="20"/>
          <w:lang w:val="en-US"/>
        </w:rPr>
        <w:tab/>
      </w:r>
      <w:r w:rsidRPr="00B004EE">
        <w:rPr>
          <w:rFonts w:ascii="Tahoma" w:hAnsi="Tahoma" w:cs="Tahoma"/>
          <w:sz w:val="20"/>
          <w:szCs w:val="20"/>
          <w:lang w:val="en-US"/>
        </w:rPr>
        <w:tab/>
        <w:t>SID’AHMED OULD RAISS</w:t>
      </w:r>
    </w:p>
    <w:p w14:paraId="33AFD9F0" w14:textId="77777777" w:rsidR="002D26AE" w:rsidRPr="00B004EE" w:rsidRDefault="002D26AE" w:rsidP="002D26AE">
      <w:pPr>
        <w:autoSpaceDE w:val="0"/>
        <w:autoSpaceDN w:val="0"/>
        <w:adjustRightInd w:val="0"/>
        <w:ind w:left="284"/>
        <w:jc w:val="center"/>
        <w:rPr>
          <w:rFonts w:ascii="Tahoma" w:hAnsi="Tahoma" w:cs="Tahoma"/>
          <w:sz w:val="20"/>
          <w:szCs w:val="20"/>
          <w:lang w:val="en-US"/>
        </w:rPr>
      </w:pPr>
    </w:p>
    <w:p w14:paraId="6A6A42B1" w14:textId="77777777" w:rsidR="0024676E" w:rsidRPr="00B004EE" w:rsidRDefault="0024676E" w:rsidP="00B004EE">
      <w:pPr>
        <w:autoSpaceDE w:val="0"/>
        <w:autoSpaceDN w:val="0"/>
        <w:adjustRightInd w:val="0"/>
        <w:rPr>
          <w:rFonts w:ascii="Tahoma" w:hAnsi="Tahoma" w:cs="Tahoma"/>
          <w:sz w:val="20"/>
          <w:szCs w:val="20"/>
          <w:lang w:val="en-US"/>
        </w:rPr>
      </w:pPr>
    </w:p>
    <w:p w14:paraId="6345AD49" w14:textId="77777777" w:rsidR="00B30305" w:rsidRPr="00B004EE" w:rsidRDefault="00B30305" w:rsidP="00B004EE">
      <w:pPr>
        <w:pStyle w:val="Corpsdetexte"/>
        <w:ind w:left="189" w:right="230"/>
        <w:rPr>
          <w:rFonts w:ascii="Tahoma" w:hAnsi="Tahoma" w:cs="Tahoma"/>
          <w:sz w:val="20"/>
          <w:szCs w:val="20"/>
          <w:lang w:val="en-US"/>
        </w:rPr>
        <w:sectPr w:rsidR="00B30305" w:rsidRPr="00B004EE" w:rsidSect="00983185">
          <w:pgSz w:w="12240" w:h="15840"/>
          <w:pgMar w:top="1417" w:right="1417" w:bottom="1417" w:left="1417" w:header="720" w:footer="720" w:gutter="0"/>
          <w:cols w:space="720"/>
          <w:noEndnote/>
          <w:docGrid w:linePitch="326"/>
        </w:sectPr>
      </w:pPr>
    </w:p>
    <w:p w14:paraId="6FA3059A" w14:textId="3613525B" w:rsidR="002F24E1" w:rsidRPr="00BC4336" w:rsidRDefault="002F24E1" w:rsidP="00B004EE">
      <w:pPr>
        <w:pStyle w:val="Titre1"/>
        <w:pBdr>
          <w:top w:val="thinThickMediumGap" w:sz="24" w:space="1" w:color="70AD47" w:themeColor="accent6"/>
          <w:left w:val="thinThickMediumGap" w:sz="24" w:space="4" w:color="70AD47" w:themeColor="accent6"/>
          <w:bottom w:val="thickThinMediumGap" w:sz="24" w:space="1" w:color="70AD47" w:themeColor="accent6"/>
          <w:right w:val="thickThinMediumGap" w:sz="24" w:space="4" w:color="70AD47" w:themeColor="accent6"/>
        </w:pBdr>
        <w:spacing w:line="276" w:lineRule="auto"/>
        <w:jc w:val="both"/>
        <w:rPr>
          <w:rFonts w:ascii="Tahoma" w:hAnsi="Tahoma" w:cs="Tahoma"/>
          <w:szCs w:val="22"/>
        </w:rPr>
      </w:pPr>
      <w:bookmarkStart w:id="161" w:name="_Toc202214680"/>
      <w:r w:rsidRPr="00BC4336">
        <w:rPr>
          <w:rFonts w:ascii="Tahoma" w:hAnsi="Tahoma" w:cs="Tahoma"/>
          <w:szCs w:val="22"/>
        </w:rPr>
        <w:lastRenderedPageBreak/>
        <w:t>Décret</w:t>
      </w:r>
      <w:r w:rsidR="00DB1635" w:rsidRPr="00BC4336">
        <w:rPr>
          <w:rFonts w:ascii="Tahoma" w:hAnsi="Tahoma" w:cs="Tahoma"/>
          <w:szCs w:val="22"/>
        </w:rPr>
        <w:t xml:space="preserve"> </w:t>
      </w:r>
      <w:r w:rsidRPr="00BC4336">
        <w:rPr>
          <w:rFonts w:ascii="Tahoma" w:hAnsi="Tahoma" w:cs="Tahoma"/>
          <w:szCs w:val="22"/>
        </w:rPr>
        <w:t>n°</w:t>
      </w:r>
      <w:r w:rsidR="00DB1635" w:rsidRPr="00BC4336">
        <w:rPr>
          <w:rFonts w:ascii="Tahoma" w:hAnsi="Tahoma" w:cs="Tahoma"/>
          <w:szCs w:val="22"/>
        </w:rPr>
        <w:t xml:space="preserve"> </w:t>
      </w:r>
      <w:r w:rsidRPr="00BC4336">
        <w:rPr>
          <w:rFonts w:ascii="Tahoma" w:hAnsi="Tahoma" w:cs="Tahoma"/>
          <w:szCs w:val="22"/>
        </w:rPr>
        <w:t>072</w:t>
      </w:r>
      <w:r w:rsidR="00E32DBF" w:rsidRPr="00BC4336">
        <w:rPr>
          <w:rFonts w:ascii="Tahoma" w:hAnsi="Tahoma" w:cs="Tahoma"/>
          <w:szCs w:val="22"/>
        </w:rPr>
        <w:t>-</w:t>
      </w:r>
      <w:r w:rsidRPr="00BC4336">
        <w:rPr>
          <w:rFonts w:ascii="Tahoma" w:hAnsi="Tahoma" w:cs="Tahoma"/>
          <w:szCs w:val="22"/>
        </w:rPr>
        <w:t>2012</w:t>
      </w:r>
      <w:r w:rsidR="00DB1635" w:rsidRPr="00BC4336">
        <w:rPr>
          <w:rFonts w:ascii="Tahoma" w:hAnsi="Tahoma" w:cs="Tahoma"/>
          <w:szCs w:val="22"/>
        </w:rPr>
        <w:t xml:space="preserve"> </w:t>
      </w:r>
      <w:r w:rsidR="00572DF5" w:rsidRPr="00BC4336">
        <w:rPr>
          <w:rFonts w:ascii="Tahoma" w:hAnsi="Tahoma" w:cs="Tahoma"/>
          <w:szCs w:val="22"/>
        </w:rPr>
        <w:t>PM</w:t>
      </w:r>
      <w:r w:rsidR="00DB1635" w:rsidRPr="00BC4336">
        <w:rPr>
          <w:rFonts w:ascii="Tahoma" w:hAnsi="Tahoma" w:cs="Tahoma"/>
          <w:szCs w:val="22"/>
        </w:rPr>
        <w:t xml:space="preserve"> </w:t>
      </w:r>
      <w:r w:rsidR="00BC4336" w:rsidRPr="00BC4336">
        <w:rPr>
          <w:rFonts w:ascii="Tahoma" w:hAnsi="Tahoma" w:cs="Tahoma"/>
          <w:szCs w:val="22"/>
        </w:rPr>
        <w:t xml:space="preserve">du </w:t>
      </w:r>
      <w:r w:rsidR="00BC4336" w:rsidRPr="00BC4336">
        <w:rPr>
          <w:rFonts w:ascii="Tahoma" w:hAnsi="Tahoma" w:cs="Tahoma"/>
          <w:szCs w:val="22"/>
        </w:rPr>
        <w:t>12 mars 2012</w:t>
      </w:r>
      <w:r w:rsidR="00BC4336" w:rsidRPr="00BC4336">
        <w:rPr>
          <w:rFonts w:ascii="Tahoma" w:hAnsi="Tahoma" w:cs="Tahoma"/>
          <w:szCs w:val="22"/>
        </w:rPr>
        <w:t xml:space="preserve">, </w:t>
      </w:r>
      <w:r w:rsidRPr="00BC4336">
        <w:rPr>
          <w:rFonts w:ascii="Tahoma" w:hAnsi="Tahoma" w:cs="Tahoma"/>
          <w:szCs w:val="22"/>
        </w:rPr>
        <w:t>portant</w:t>
      </w:r>
      <w:r w:rsidR="00DB1635" w:rsidRPr="00BC4336">
        <w:rPr>
          <w:rFonts w:ascii="Tahoma" w:hAnsi="Tahoma" w:cs="Tahoma"/>
          <w:szCs w:val="22"/>
        </w:rPr>
        <w:t xml:space="preserve"> </w:t>
      </w:r>
      <w:r w:rsidRPr="00BC4336">
        <w:rPr>
          <w:rFonts w:ascii="Tahoma" w:hAnsi="Tahoma" w:cs="Tahoma"/>
          <w:szCs w:val="22"/>
        </w:rPr>
        <w:t>règlementation</w:t>
      </w:r>
      <w:r w:rsidR="00DB1635" w:rsidRPr="00BC4336">
        <w:rPr>
          <w:rFonts w:ascii="Tahoma" w:hAnsi="Tahoma" w:cs="Tahoma"/>
          <w:szCs w:val="22"/>
        </w:rPr>
        <w:t xml:space="preserve"> </w:t>
      </w:r>
      <w:r w:rsidRPr="00BC4336">
        <w:rPr>
          <w:rFonts w:ascii="Tahoma" w:hAnsi="Tahoma" w:cs="Tahoma"/>
          <w:szCs w:val="22"/>
        </w:rPr>
        <w:t>des</w:t>
      </w:r>
      <w:r w:rsidR="00DB1635" w:rsidRPr="00BC4336">
        <w:rPr>
          <w:rFonts w:ascii="Tahoma" w:hAnsi="Tahoma" w:cs="Tahoma"/>
          <w:szCs w:val="22"/>
        </w:rPr>
        <w:t xml:space="preserve"> </w:t>
      </w:r>
      <w:r w:rsidRPr="00BC4336">
        <w:rPr>
          <w:rFonts w:ascii="Tahoma" w:hAnsi="Tahoma" w:cs="Tahoma"/>
          <w:szCs w:val="22"/>
        </w:rPr>
        <w:t>règles</w:t>
      </w:r>
      <w:r w:rsidR="00DB1635" w:rsidRPr="00BC4336">
        <w:rPr>
          <w:rFonts w:ascii="Tahoma" w:hAnsi="Tahoma" w:cs="Tahoma"/>
          <w:szCs w:val="22"/>
        </w:rPr>
        <w:t xml:space="preserve"> </w:t>
      </w:r>
      <w:r w:rsidRPr="00BC4336">
        <w:rPr>
          <w:rFonts w:ascii="Tahoma" w:hAnsi="Tahoma" w:cs="Tahoma"/>
          <w:szCs w:val="22"/>
        </w:rPr>
        <w:t>sanitaires</w:t>
      </w:r>
      <w:r w:rsidR="00DB1635" w:rsidRPr="00BC4336">
        <w:rPr>
          <w:rFonts w:ascii="Tahoma" w:hAnsi="Tahoma" w:cs="Tahoma"/>
          <w:szCs w:val="22"/>
        </w:rPr>
        <w:t xml:space="preserve"> </w:t>
      </w:r>
      <w:r w:rsidRPr="00BC4336">
        <w:rPr>
          <w:rFonts w:ascii="Tahoma" w:hAnsi="Tahoma" w:cs="Tahoma"/>
          <w:szCs w:val="22"/>
        </w:rPr>
        <w:t>applicables</w:t>
      </w:r>
      <w:r w:rsidR="00DB1635" w:rsidRPr="00BC4336">
        <w:rPr>
          <w:rFonts w:ascii="Tahoma" w:hAnsi="Tahoma" w:cs="Tahoma"/>
          <w:szCs w:val="22"/>
        </w:rPr>
        <w:t xml:space="preserve"> </w:t>
      </w:r>
      <w:r w:rsidRPr="00BC4336">
        <w:rPr>
          <w:rFonts w:ascii="Tahoma" w:hAnsi="Tahoma" w:cs="Tahoma"/>
          <w:szCs w:val="22"/>
        </w:rPr>
        <w:t>aux</w:t>
      </w:r>
      <w:r w:rsidR="00DB1635" w:rsidRPr="00BC4336">
        <w:rPr>
          <w:rFonts w:ascii="Tahoma" w:hAnsi="Tahoma" w:cs="Tahoma"/>
          <w:szCs w:val="22"/>
        </w:rPr>
        <w:t xml:space="preserve"> </w:t>
      </w:r>
      <w:r w:rsidRPr="00BC4336">
        <w:rPr>
          <w:rFonts w:ascii="Tahoma" w:hAnsi="Tahoma" w:cs="Tahoma"/>
          <w:szCs w:val="22"/>
        </w:rPr>
        <w:t>sous-produits</w:t>
      </w:r>
      <w:r w:rsidR="00DB1635" w:rsidRPr="00BC4336">
        <w:rPr>
          <w:rFonts w:ascii="Tahoma" w:hAnsi="Tahoma" w:cs="Tahoma"/>
          <w:szCs w:val="22"/>
        </w:rPr>
        <w:t xml:space="preserve"> </w:t>
      </w:r>
      <w:r w:rsidRPr="00BC4336">
        <w:rPr>
          <w:rFonts w:ascii="Tahoma" w:hAnsi="Tahoma" w:cs="Tahoma"/>
          <w:szCs w:val="22"/>
        </w:rPr>
        <w:t>de</w:t>
      </w:r>
      <w:r w:rsidR="00DB1635" w:rsidRPr="00BC4336">
        <w:rPr>
          <w:rFonts w:ascii="Tahoma" w:hAnsi="Tahoma" w:cs="Tahoma"/>
          <w:szCs w:val="22"/>
        </w:rPr>
        <w:t xml:space="preserve"> </w:t>
      </w:r>
      <w:r w:rsidRPr="00BC4336">
        <w:rPr>
          <w:rFonts w:ascii="Tahoma" w:hAnsi="Tahoma" w:cs="Tahoma"/>
          <w:szCs w:val="22"/>
        </w:rPr>
        <w:t>pêche</w:t>
      </w:r>
      <w:r w:rsidR="00DB1635" w:rsidRPr="00BC4336">
        <w:rPr>
          <w:rFonts w:ascii="Tahoma" w:hAnsi="Tahoma" w:cs="Tahoma"/>
          <w:szCs w:val="22"/>
        </w:rPr>
        <w:t xml:space="preserve"> </w:t>
      </w:r>
      <w:r w:rsidRPr="00BC4336">
        <w:rPr>
          <w:rFonts w:ascii="Tahoma" w:hAnsi="Tahoma" w:cs="Tahoma"/>
          <w:szCs w:val="22"/>
        </w:rPr>
        <w:t>et</w:t>
      </w:r>
      <w:r w:rsidR="00DB1635" w:rsidRPr="00BC4336">
        <w:rPr>
          <w:rFonts w:ascii="Tahoma" w:hAnsi="Tahoma" w:cs="Tahoma"/>
          <w:szCs w:val="22"/>
        </w:rPr>
        <w:t xml:space="preserve"> </w:t>
      </w:r>
      <w:r w:rsidRPr="00BC4336">
        <w:rPr>
          <w:rFonts w:ascii="Tahoma" w:hAnsi="Tahoma" w:cs="Tahoma"/>
          <w:szCs w:val="22"/>
        </w:rPr>
        <w:t>produits</w:t>
      </w:r>
      <w:r w:rsidR="00DB1635" w:rsidRPr="00BC4336">
        <w:rPr>
          <w:rFonts w:ascii="Tahoma" w:hAnsi="Tahoma" w:cs="Tahoma"/>
          <w:szCs w:val="22"/>
        </w:rPr>
        <w:t xml:space="preserve"> </w:t>
      </w:r>
      <w:r w:rsidRPr="00BC4336">
        <w:rPr>
          <w:rFonts w:ascii="Tahoma" w:hAnsi="Tahoma" w:cs="Tahoma"/>
          <w:szCs w:val="22"/>
        </w:rPr>
        <w:t>dérives</w:t>
      </w:r>
      <w:r w:rsidR="00DB1635" w:rsidRPr="00BC4336">
        <w:rPr>
          <w:rFonts w:ascii="Tahoma" w:hAnsi="Tahoma" w:cs="Tahoma"/>
          <w:szCs w:val="22"/>
        </w:rPr>
        <w:t xml:space="preserve"> </w:t>
      </w:r>
      <w:r w:rsidRPr="00BC4336">
        <w:rPr>
          <w:rFonts w:ascii="Tahoma" w:hAnsi="Tahoma" w:cs="Tahoma"/>
          <w:szCs w:val="22"/>
        </w:rPr>
        <w:t>non</w:t>
      </w:r>
      <w:r w:rsidR="00DB1635" w:rsidRPr="00BC4336">
        <w:rPr>
          <w:rFonts w:ascii="Tahoma" w:hAnsi="Tahoma" w:cs="Tahoma"/>
          <w:szCs w:val="22"/>
        </w:rPr>
        <w:t xml:space="preserve"> </w:t>
      </w:r>
      <w:r w:rsidRPr="00BC4336">
        <w:rPr>
          <w:rFonts w:ascii="Tahoma" w:hAnsi="Tahoma" w:cs="Tahoma"/>
          <w:szCs w:val="22"/>
        </w:rPr>
        <w:t>destines</w:t>
      </w:r>
      <w:r w:rsidR="00DB1635" w:rsidRPr="00BC4336">
        <w:rPr>
          <w:rFonts w:ascii="Tahoma" w:hAnsi="Tahoma" w:cs="Tahoma"/>
          <w:szCs w:val="22"/>
        </w:rPr>
        <w:t xml:space="preserve"> </w:t>
      </w:r>
      <w:r w:rsidR="00401897" w:rsidRPr="00BC4336">
        <w:rPr>
          <w:rFonts w:ascii="Tahoma" w:hAnsi="Tahoma" w:cs="Tahoma"/>
          <w:szCs w:val="22"/>
        </w:rPr>
        <w:t>à</w:t>
      </w:r>
      <w:r w:rsidR="00DB1635" w:rsidRPr="00BC4336">
        <w:rPr>
          <w:rFonts w:ascii="Tahoma" w:hAnsi="Tahoma" w:cs="Tahoma"/>
          <w:szCs w:val="22"/>
        </w:rPr>
        <w:t xml:space="preserve"> </w:t>
      </w:r>
      <w:r w:rsidRPr="00BC4336">
        <w:rPr>
          <w:rFonts w:ascii="Tahoma" w:hAnsi="Tahoma" w:cs="Tahoma"/>
          <w:szCs w:val="22"/>
        </w:rPr>
        <w:t>la</w:t>
      </w:r>
      <w:r w:rsidR="00DB1635" w:rsidRPr="00BC4336">
        <w:rPr>
          <w:rFonts w:ascii="Tahoma" w:hAnsi="Tahoma" w:cs="Tahoma"/>
          <w:szCs w:val="22"/>
        </w:rPr>
        <w:t xml:space="preserve"> </w:t>
      </w:r>
      <w:r w:rsidRPr="00BC4336">
        <w:rPr>
          <w:rFonts w:ascii="Tahoma" w:hAnsi="Tahoma" w:cs="Tahoma"/>
          <w:szCs w:val="22"/>
        </w:rPr>
        <w:t>consommation</w:t>
      </w:r>
      <w:r w:rsidR="00DB1635" w:rsidRPr="00BC4336">
        <w:rPr>
          <w:rFonts w:ascii="Tahoma" w:hAnsi="Tahoma" w:cs="Tahoma"/>
          <w:szCs w:val="22"/>
        </w:rPr>
        <w:t xml:space="preserve"> </w:t>
      </w:r>
      <w:r w:rsidRPr="00BC4336">
        <w:rPr>
          <w:rFonts w:ascii="Tahoma" w:hAnsi="Tahoma" w:cs="Tahoma"/>
          <w:szCs w:val="22"/>
        </w:rPr>
        <w:t>humaine</w:t>
      </w:r>
      <w:bookmarkEnd w:id="156"/>
      <w:bookmarkEnd w:id="157"/>
      <w:bookmarkEnd w:id="158"/>
      <w:bookmarkEnd w:id="161"/>
    </w:p>
    <w:p w14:paraId="5C1AEAD7" w14:textId="77777777" w:rsidR="002F24E1" w:rsidRPr="00C323AB" w:rsidRDefault="002F24E1" w:rsidP="00B004EE">
      <w:pPr>
        <w:jc w:val="both"/>
        <w:rPr>
          <w:rFonts w:ascii="Tahoma" w:hAnsi="Tahoma" w:cs="Tahoma"/>
          <w:sz w:val="18"/>
          <w:szCs w:val="18"/>
        </w:rPr>
      </w:pPr>
    </w:p>
    <w:p w14:paraId="0FB02ABA" w14:textId="536B0352" w:rsidR="002F24E1" w:rsidRPr="00B004EE" w:rsidRDefault="00FE579E" w:rsidP="00B004EE">
      <w:pPr>
        <w:jc w:val="both"/>
        <w:rPr>
          <w:rFonts w:ascii="Tahoma" w:hAnsi="Tahoma" w:cs="Tahoma"/>
          <w:sz w:val="20"/>
          <w:szCs w:val="20"/>
        </w:rPr>
      </w:pPr>
      <w:r w:rsidRPr="00C323AB">
        <w:rPr>
          <w:rFonts w:ascii="Tahoma" w:hAnsi="Tahoma" w:cs="Tahoma"/>
          <w:b/>
          <w:bCs/>
          <w:sz w:val="20"/>
          <w:szCs w:val="20"/>
        </w:rPr>
        <w:t>Article premier</w:t>
      </w:r>
      <w:r w:rsidR="00DB1635" w:rsidRPr="00B004EE">
        <w:rPr>
          <w:rFonts w:ascii="Tahoma" w:hAnsi="Tahoma" w:cs="Tahoma"/>
          <w:b/>
          <w:bCs/>
          <w:sz w:val="20"/>
          <w:szCs w:val="20"/>
        </w:rPr>
        <w:t xml:space="preserve"> </w:t>
      </w:r>
      <w:r w:rsidR="002F24E1" w:rsidRPr="00B004EE">
        <w:rPr>
          <w:rFonts w:ascii="Tahoma" w:hAnsi="Tahoma" w:cs="Tahoma"/>
          <w:sz w:val="20"/>
          <w:szCs w:val="20"/>
        </w:rPr>
        <w:t>:</w:t>
      </w:r>
      <w:r w:rsidR="00DB1635" w:rsidRPr="00B004EE">
        <w:rPr>
          <w:rFonts w:ascii="Tahoma" w:hAnsi="Tahoma" w:cs="Tahoma"/>
          <w:sz w:val="20"/>
          <w:szCs w:val="20"/>
        </w:rPr>
        <w:t xml:space="preserve"> </w:t>
      </w:r>
      <w:r w:rsidR="002F24E1" w:rsidRPr="00B004EE">
        <w:rPr>
          <w:rFonts w:ascii="Tahoma" w:hAnsi="Tahoma" w:cs="Tahoma"/>
          <w:sz w:val="20"/>
          <w:szCs w:val="20"/>
        </w:rPr>
        <w:t>En</w:t>
      </w:r>
      <w:r w:rsidR="00DB1635" w:rsidRPr="00B004EE">
        <w:rPr>
          <w:rFonts w:ascii="Tahoma" w:hAnsi="Tahoma" w:cs="Tahoma"/>
          <w:sz w:val="20"/>
          <w:szCs w:val="20"/>
        </w:rPr>
        <w:t xml:space="preserve"> </w:t>
      </w:r>
      <w:r w:rsidR="002F24E1" w:rsidRPr="00B004EE">
        <w:rPr>
          <w:rFonts w:ascii="Tahoma" w:hAnsi="Tahoma" w:cs="Tahoma"/>
          <w:sz w:val="20"/>
          <w:szCs w:val="20"/>
        </w:rPr>
        <w:t>application</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l’article</w:t>
      </w:r>
      <w:r w:rsidR="00DB1635" w:rsidRPr="00B004EE">
        <w:rPr>
          <w:rFonts w:ascii="Tahoma" w:hAnsi="Tahoma" w:cs="Tahoma"/>
          <w:sz w:val="20"/>
          <w:szCs w:val="20"/>
        </w:rPr>
        <w:t xml:space="preserve"> </w:t>
      </w:r>
      <w:r w:rsidR="002F24E1" w:rsidRPr="00B004EE">
        <w:rPr>
          <w:rFonts w:ascii="Tahoma" w:hAnsi="Tahoma" w:cs="Tahoma"/>
          <w:sz w:val="20"/>
          <w:szCs w:val="20"/>
        </w:rPr>
        <w:t>41</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la</w:t>
      </w:r>
      <w:r w:rsidR="00DB1635" w:rsidRPr="00B004EE">
        <w:rPr>
          <w:rFonts w:ascii="Tahoma" w:hAnsi="Tahoma" w:cs="Tahoma"/>
          <w:sz w:val="20"/>
          <w:szCs w:val="20"/>
        </w:rPr>
        <w:t xml:space="preserve"> </w:t>
      </w:r>
      <w:r w:rsidR="002F24E1" w:rsidRPr="00B004EE">
        <w:rPr>
          <w:rFonts w:ascii="Tahoma" w:hAnsi="Tahoma" w:cs="Tahoma"/>
          <w:sz w:val="20"/>
          <w:szCs w:val="20"/>
        </w:rPr>
        <w:t>loi</w:t>
      </w:r>
      <w:r w:rsidR="00DB1635" w:rsidRPr="00B004EE">
        <w:rPr>
          <w:rFonts w:ascii="Tahoma" w:hAnsi="Tahoma" w:cs="Tahoma"/>
          <w:sz w:val="20"/>
          <w:szCs w:val="20"/>
        </w:rPr>
        <w:t xml:space="preserve"> </w:t>
      </w:r>
      <w:r w:rsidR="002F24E1" w:rsidRPr="00B004EE">
        <w:rPr>
          <w:rFonts w:ascii="Tahoma" w:hAnsi="Tahoma" w:cs="Tahoma"/>
          <w:sz w:val="20"/>
          <w:szCs w:val="20"/>
        </w:rPr>
        <w:t>2000/25</w:t>
      </w:r>
      <w:r w:rsidR="00DB1635" w:rsidRPr="00B004EE">
        <w:rPr>
          <w:rFonts w:ascii="Tahoma" w:hAnsi="Tahoma" w:cs="Tahoma"/>
          <w:sz w:val="20"/>
          <w:szCs w:val="20"/>
        </w:rPr>
        <w:t xml:space="preserve"> </w:t>
      </w:r>
      <w:r w:rsidR="002F24E1" w:rsidRPr="00B004EE">
        <w:rPr>
          <w:rFonts w:ascii="Tahoma" w:hAnsi="Tahoma" w:cs="Tahoma"/>
          <w:sz w:val="20"/>
          <w:szCs w:val="20"/>
        </w:rPr>
        <w:t>du</w:t>
      </w:r>
      <w:r w:rsidR="00DB1635" w:rsidRPr="00B004EE">
        <w:rPr>
          <w:rFonts w:ascii="Tahoma" w:hAnsi="Tahoma" w:cs="Tahoma"/>
          <w:sz w:val="20"/>
          <w:szCs w:val="20"/>
        </w:rPr>
        <w:t xml:space="preserve"> </w:t>
      </w:r>
      <w:r w:rsidR="002F24E1" w:rsidRPr="00B004EE">
        <w:rPr>
          <w:rFonts w:ascii="Tahoma" w:hAnsi="Tahoma" w:cs="Tahoma"/>
          <w:sz w:val="20"/>
          <w:szCs w:val="20"/>
        </w:rPr>
        <w:t>24</w:t>
      </w:r>
      <w:r w:rsidR="00DB1635" w:rsidRPr="00B004EE">
        <w:rPr>
          <w:rFonts w:ascii="Tahoma" w:hAnsi="Tahoma" w:cs="Tahoma"/>
          <w:sz w:val="20"/>
          <w:szCs w:val="20"/>
        </w:rPr>
        <w:t xml:space="preserve"> </w:t>
      </w:r>
      <w:r w:rsidR="002F24E1" w:rsidRPr="00B004EE">
        <w:rPr>
          <w:rFonts w:ascii="Tahoma" w:hAnsi="Tahoma" w:cs="Tahoma"/>
          <w:sz w:val="20"/>
          <w:szCs w:val="20"/>
        </w:rPr>
        <w:t>janvier</w:t>
      </w:r>
      <w:r w:rsidR="00DB1635" w:rsidRPr="00B004EE">
        <w:rPr>
          <w:rFonts w:ascii="Tahoma" w:hAnsi="Tahoma" w:cs="Tahoma"/>
          <w:sz w:val="20"/>
          <w:szCs w:val="20"/>
        </w:rPr>
        <w:t xml:space="preserve"> </w:t>
      </w:r>
      <w:r w:rsidR="002F24E1" w:rsidRPr="00B004EE">
        <w:rPr>
          <w:rFonts w:ascii="Tahoma" w:hAnsi="Tahoma" w:cs="Tahoma"/>
          <w:sz w:val="20"/>
          <w:szCs w:val="20"/>
        </w:rPr>
        <w:t>2000</w:t>
      </w:r>
      <w:r w:rsidR="00DB1635" w:rsidRPr="00B004EE">
        <w:rPr>
          <w:rFonts w:ascii="Tahoma" w:hAnsi="Tahoma" w:cs="Tahoma"/>
          <w:sz w:val="20"/>
          <w:szCs w:val="20"/>
        </w:rPr>
        <w:t xml:space="preserve"> </w:t>
      </w:r>
      <w:r w:rsidR="002F24E1" w:rsidRPr="00B004EE">
        <w:rPr>
          <w:rFonts w:ascii="Tahoma" w:hAnsi="Tahoma" w:cs="Tahoma"/>
          <w:sz w:val="20"/>
          <w:szCs w:val="20"/>
        </w:rPr>
        <w:t>modifiée</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complétée</w:t>
      </w:r>
      <w:r w:rsidR="00DB1635" w:rsidRPr="00B004EE">
        <w:rPr>
          <w:rFonts w:ascii="Tahoma" w:hAnsi="Tahoma" w:cs="Tahoma"/>
          <w:sz w:val="20"/>
          <w:szCs w:val="20"/>
        </w:rPr>
        <w:t xml:space="preserve"> </w:t>
      </w:r>
      <w:r w:rsidR="002F24E1" w:rsidRPr="00B004EE">
        <w:rPr>
          <w:rFonts w:ascii="Tahoma" w:hAnsi="Tahoma" w:cs="Tahoma"/>
          <w:sz w:val="20"/>
          <w:szCs w:val="20"/>
        </w:rPr>
        <w:t>par</w:t>
      </w:r>
      <w:r w:rsidR="00DB1635" w:rsidRPr="00B004EE">
        <w:rPr>
          <w:rFonts w:ascii="Tahoma" w:hAnsi="Tahoma" w:cs="Tahoma"/>
          <w:sz w:val="20"/>
          <w:szCs w:val="20"/>
        </w:rPr>
        <w:t xml:space="preserve"> </w:t>
      </w:r>
      <w:r w:rsidR="002F24E1" w:rsidRPr="00B004EE">
        <w:rPr>
          <w:rFonts w:ascii="Tahoma" w:hAnsi="Tahoma" w:cs="Tahoma"/>
          <w:sz w:val="20"/>
          <w:szCs w:val="20"/>
        </w:rPr>
        <w:t>l’ordonnance</w:t>
      </w:r>
      <w:r w:rsidR="00DB1635" w:rsidRPr="00B004EE">
        <w:rPr>
          <w:rFonts w:ascii="Tahoma" w:hAnsi="Tahoma" w:cs="Tahoma"/>
          <w:sz w:val="20"/>
          <w:szCs w:val="20"/>
        </w:rPr>
        <w:t xml:space="preserve"> </w:t>
      </w:r>
      <w:r w:rsidR="002F24E1" w:rsidRPr="00B004EE">
        <w:rPr>
          <w:rFonts w:ascii="Tahoma" w:hAnsi="Tahoma" w:cs="Tahoma"/>
          <w:sz w:val="20"/>
          <w:szCs w:val="20"/>
        </w:rPr>
        <w:t>2007/022</w:t>
      </w:r>
      <w:r w:rsidR="00DB1635" w:rsidRPr="00B004EE">
        <w:rPr>
          <w:rFonts w:ascii="Tahoma" w:hAnsi="Tahoma" w:cs="Tahoma"/>
          <w:sz w:val="20"/>
          <w:szCs w:val="20"/>
        </w:rPr>
        <w:t xml:space="preserve"> </w:t>
      </w:r>
      <w:r w:rsidR="002F24E1" w:rsidRPr="00B004EE">
        <w:rPr>
          <w:rFonts w:ascii="Tahoma" w:hAnsi="Tahoma" w:cs="Tahoma"/>
          <w:sz w:val="20"/>
          <w:szCs w:val="20"/>
        </w:rPr>
        <w:t>du</w:t>
      </w:r>
      <w:r w:rsidR="00DB1635" w:rsidRPr="00B004EE">
        <w:rPr>
          <w:rFonts w:ascii="Tahoma" w:hAnsi="Tahoma" w:cs="Tahoma"/>
          <w:sz w:val="20"/>
          <w:szCs w:val="20"/>
        </w:rPr>
        <w:t xml:space="preserve"> </w:t>
      </w:r>
      <w:r w:rsidR="002F24E1" w:rsidRPr="00B004EE">
        <w:rPr>
          <w:rFonts w:ascii="Tahoma" w:hAnsi="Tahoma" w:cs="Tahoma"/>
          <w:sz w:val="20"/>
          <w:szCs w:val="20"/>
        </w:rPr>
        <w:t>9</w:t>
      </w:r>
      <w:r w:rsidR="00DB1635" w:rsidRPr="00B004EE">
        <w:rPr>
          <w:rFonts w:ascii="Tahoma" w:hAnsi="Tahoma" w:cs="Tahoma"/>
          <w:sz w:val="20"/>
          <w:szCs w:val="20"/>
        </w:rPr>
        <w:t xml:space="preserve"> </w:t>
      </w:r>
      <w:r w:rsidR="002F24E1" w:rsidRPr="00B004EE">
        <w:rPr>
          <w:rFonts w:ascii="Tahoma" w:hAnsi="Tahoma" w:cs="Tahoma"/>
          <w:sz w:val="20"/>
          <w:szCs w:val="20"/>
        </w:rPr>
        <w:t>avril</w:t>
      </w:r>
      <w:r w:rsidR="00DB1635" w:rsidRPr="00B004EE">
        <w:rPr>
          <w:rFonts w:ascii="Tahoma" w:hAnsi="Tahoma" w:cs="Tahoma"/>
          <w:sz w:val="20"/>
          <w:szCs w:val="20"/>
        </w:rPr>
        <w:t xml:space="preserve"> </w:t>
      </w:r>
      <w:r w:rsidR="002F24E1" w:rsidRPr="00B004EE">
        <w:rPr>
          <w:rFonts w:ascii="Tahoma" w:hAnsi="Tahoma" w:cs="Tahoma"/>
          <w:sz w:val="20"/>
          <w:szCs w:val="20"/>
        </w:rPr>
        <w:t>2007</w:t>
      </w:r>
      <w:r w:rsidR="00DB1635" w:rsidRPr="00B004EE">
        <w:rPr>
          <w:rFonts w:ascii="Tahoma" w:hAnsi="Tahoma" w:cs="Tahoma"/>
          <w:sz w:val="20"/>
          <w:szCs w:val="20"/>
        </w:rPr>
        <w:t xml:space="preserve"> </w:t>
      </w:r>
      <w:r w:rsidR="002F24E1" w:rsidRPr="00B004EE">
        <w:rPr>
          <w:rFonts w:ascii="Tahoma" w:hAnsi="Tahoma" w:cs="Tahoma"/>
          <w:sz w:val="20"/>
          <w:szCs w:val="20"/>
        </w:rPr>
        <w:t>portant</w:t>
      </w:r>
      <w:r w:rsidR="00DB1635" w:rsidRPr="00B004EE">
        <w:rPr>
          <w:rFonts w:ascii="Tahoma" w:hAnsi="Tahoma" w:cs="Tahoma"/>
          <w:sz w:val="20"/>
          <w:szCs w:val="20"/>
        </w:rPr>
        <w:t xml:space="preserve"> </w:t>
      </w:r>
      <w:r w:rsidR="002F24E1" w:rsidRPr="00B004EE">
        <w:rPr>
          <w:rFonts w:ascii="Tahoma" w:hAnsi="Tahoma" w:cs="Tahoma"/>
          <w:sz w:val="20"/>
          <w:szCs w:val="20"/>
        </w:rPr>
        <w:t>Code</w:t>
      </w:r>
      <w:r w:rsidR="00DB1635" w:rsidRPr="00B004EE">
        <w:rPr>
          <w:rFonts w:ascii="Tahoma" w:hAnsi="Tahoma" w:cs="Tahoma"/>
          <w:sz w:val="20"/>
          <w:szCs w:val="20"/>
        </w:rPr>
        <w:t xml:space="preserve"> </w:t>
      </w:r>
      <w:r w:rsidR="002F24E1" w:rsidRPr="00B004EE">
        <w:rPr>
          <w:rFonts w:ascii="Tahoma" w:hAnsi="Tahoma" w:cs="Tahoma"/>
          <w:sz w:val="20"/>
          <w:szCs w:val="20"/>
        </w:rPr>
        <w:t>des</w:t>
      </w:r>
      <w:r w:rsidR="00DB1635" w:rsidRPr="00B004EE">
        <w:rPr>
          <w:rFonts w:ascii="Tahoma" w:hAnsi="Tahoma" w:cs="Tahoma"/>
          <w:sz w:val="20"/>
          <w:szCs w:val="20"/>
        </w:rPr>
        <w:t xml:space="preserve"> </w:t>
      </w:r>
      <w:r w:rsidR="002F24E1" w:rsidRPr="00B004EE">
        <w:rPr>
          <w:rFonts w:ascii="Tahoma" w:hAnsi="Tahoma" w:cs="Tahoma"/>
          <w:sz w:val="20"/>
          <w:szCs w:val="20"/>
        </w:rPr>
        <w:t>Pêches,</w:t>
      </w:r>
      <w:r w:rsidR="00DB1635" w:rsidRPr="00B004EE">
        <w:rPr>
          <w:rFonts w:ascii="Tahoma" w:hAnsi="Tahoma" w:cs="Tahoma"/>
          <w:sz w:val="20"/>
          <w:szCs w:val="20"/>
        </w:rPr>
        <w:t xml:space="preserve"> </w:t>
      </w:r>
      <w:r w:rsidR="002F24E1" w:rsidRPr="00B004EE">
        <w:rPr>
          <w:rFonts w:ascii="Tahoma" w:hAnsi="Tahoma" w:cs="Tahoma"/>
          <w:sz w:val="20"/>
          <w:szCs w:val="20"/>
        </w:rPr>
        <w:t>le</w:t>
      </w:r>
      <w:r w:rsidR="00DB1635" w:rsidRPr="00B004EE">
        <w:rPr>
          <w:rFonts w:ascii="Tahoma" w:hAnsi="Tahoma" w:cs="Tahoma"/>
          <w:sz w:val="20"/>
          <w:szCs w:val="20"/>
        </w:rPr>
        <w:t xml:space="preserve"> </w:t>
      </w:r>
      <w:r w:rsidR="002F24E1" w:rsidRPr="00B004EE">
        <w:rPr>
          <w:rFonts w:ascii="Tahoma" w:hAnsi="Tahoma" w:cs="Tahoma"/>
          <w:sz w:val="20"/>
          <w:szCs w:val="20"/>
        </w:rPr>
        <w:t>présent</w:t>
      </w:r>
      <w:r w:rsidR="00DB1635" w:rsidRPr="00B004EE">
        <w:rPr>
          <w:rFonts w:ascii="Tahoma" w:hAnsi="Tahoma" w:cs="Tahoma"/>
          <w:sz w:val="20"/>
          <w:szCs w:val="20"/>
        </w:rPr>
        <w:t xml:space="preserve"> </w:t>
      </w:r>
      <w:r w:rsidR="002F24E1" w:rsidRPr="00B004EE">
        <w:rPr>
          <w:rFonts w:ascii="Tahoma" w:hAnsi="Tahoma" w:cs="Tahoma"/>
          <w:sz w:val="20"/>
          <w:szCs w:val="20"/>
        </w:rPr>
        <w:t>décret</w:t>
      </w:r>
      <w:r w:rsidR="00DB1635" w:rsidRPr="00B004EE">
        <w:rPr>
          <w:rFonts w:ascii="Tahoma" w:hAnsi="Tahoma" w:cs="Tahoma"/>
          <w:sz w:val="20"/>
          <w:szCs w:val="20"/>
        </w:rPr>
        <w:t xml:space="preserve"> </w:t>
      </w:r>
      <w:r w:rsidR="002F24E1" w:rsidRPr="00B004EE">
        <w:rPr>
          <w:rFonts w:ascii="Tahoma" w:hAnsi="Tahoma" w:cs="Tahoma"/>
          <w:sz w:val="20"/>
          <w:szCs w:val="20"/>
        </w:rPr>
        <w:t>réglemente</w:t>
      </w:r>
      <w:r w:rsidR="00DB1635" w:rsidRPr="00B004EE">
        <w:rPr>
          <w:rFonts w:ascii="Tahoma" w:hAnsi="Tahoma" w:cs="Tahoma"/>
          <w:sz w:val="20"/>
          <w:szCs w:val="20"/>
        </w:rPr>
        <w:t xml:space="preserve"> </w:t>
      </w:r>
      <w:r w:rsidR="002F24E1" w:rsidRPr="00B004EE">
        <w:rPr>
          <w:rFonts w:ascii="Tahoma" w:hAnsi="Tahoma" w:cs="Tahoma"/>
          <w:sz w:val="20"/>
          <w:szCs w:val="20"/>
        </w:rPr>
        <w:t>l’activité</w:t>
      </w:r>
      <w:r w:rsidR="00DB1635" w:rsidRPr="00B004EE">
        <w:rPr>
          <w:rFonts w:ascii="Tahoma" w:hAnsi="Tahoma" w:cs="Tahoma"/>
          <w:sz w:val="20"/>
          <w:szCs w:val="20"/>
        </w:rPr>
        <w:t xml:space="preserve"> </w:t>
      </w:r>
      <w:r w:rsidR="002F24E1" w:rsidRPr="00B004EE">
        <w:rPr>
          <w:rFonts w:ascii="Tahoma" w:hAnsi="Tahoma" w:cs="Tahoma"/>
          <w:sz w:val="20"/>
          <w:szCs w:val="20"/>
        </w:rPr>
        <w:t>des</w:t>
      </w:r>
      <w:r w:rsidR="00DB1635" w:rsidRPr="00B004EE">
        <w:rPr>
          <w:rFonts w:ascii="Tahoma" w:hAnsi="Tahoma" w:cs="Tahoma"/>
          <w:sz w:val="20"/>
          <w:szCs w:val="20"/>
        </w:rPr>
        <w:t xml:space="preserve"> </w:t>
      </w:r>
      <w:r w:rsidR="002F24E1" w:rsidRPr="00B004EE">
        <w:rPr>
          <w:rFonts w:ascii="Tahoma" w:hAnsi="Tahoma" w:cs="Tahoma"/>
          <w:sz w:val="20"/>
          <w:szCs w:val="20"/>
        </w:rPr>
        <w:t>Etablissements</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traitement</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ou</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transformation</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sous-produits</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pêche</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produits</w:t>
      </w:r>
      <w:r w:rsidR="00DB1635" w:rsidRPr="00B004EE">
        <w:rPr>
          <w:rFonts w:ascii="Tahoma" w:hAnsi="Tahoma" w:cs="Tahoma"/>
          <w:sz w:val="20"/>
          <w:szCs w:val="20"/>
        </w:rPr>
        <w:t xml:space="preserve"> </w:t>
      </w:r>
      <w:r w:rsidR="002F24E1" w:rsidRPr="00B004EE">
        <w:rPr>
          <w:rFonts w:ascii="Tahoma" w:hAnsi="Tahoma" w:cs="Tahoma"/>
          <w:sz w:val="20"/>
          <w:szCs w:val="20"/>
        </w:rPr>
        <w:t>dérivés</w:t>
      </w:r>
      <w:r w:rsidR="00DB1635" w:rsidRPr="00B004EE">
        <w:rPr>
          <w:rFonts w:ascii="Tahoma" w:hAnsi="Tahoma" w:cs="Tahoma"/>
          <w:sz w:val="20"/>
          <w:szCs w:val="20"/>
        </w:rPr>
        <w:t xml:space="preserve"> </w:t>
      </w:r>
      <w:r w:rsidR="002F24E1" w:rsidRPr="00B004EE">
        <w:rPr>
          <w:rFonts w:ascii="Tahoma" w:hAnsi="Tahoma" w:cs="Tahoma"/>
          <w:sz w:val="20"/>
          <w:szCs w:val="20"/>
        </w:rPr>
        <w:t>non</w:t>
      </w:r>
      <w:r w:rsidR="00DB1635" w:rsidRPr="00B004EE">
        <w:rPr>
          <w:rFonts w:ascii="Tahoma" w:hAnsi="Tahoma" w:cs="Tahoma"/>
          <w:sz w:val="20"/>
          <w:szCs w:val="20"/>
        </w:rPr>
        <w:t xml:space="preserve"> </w:t>
      </w:r>
      <w:r w:rsidR="002F24E1" w:rsidRPr="00B004EE">
        <w:rPr>
          <w:rFonts w:ascii="Tahoma" w:hAnsi="Tahoma" w:cs="Tahoma"/>
          <w:sz w:val="20"/>
          <w:szCs w:val="20"/>
        </w:rPr>
        <w:t>destinés</w:t>
      </w:r>
      <w:r w:rsidR="00DB1635" w:rsidRPr="00B004EE">
        <w:rPr>
          <w:rFonts w:ascii="Tahoma" w:hAnsi="Tahoma" w:cs="Tahoma"/>
          <w:sz w:val="20"/>
          <w:szCs w:val="20"/>
        </w:rPr>
        <w:t xml:space="preserve"> </w:t>
      </w:r>
      <w:r w:rsidR="002F24E1" w:rsidRPr="00B004EE">
        <w:rPr>
          <w:rFonts w:ascii="Tahoma" w:hAnsi="Tahoma" w:cs="Tahoma"/>
          <w:sz w:val="20"/>
          <w:szCs w:val="20"/>
        </w:rPr>
        <w:t>à</w:t>
      </w:r>
      <w:r w:rsidR="00DB1635" w:rsidRPr="00B004EE">
        <w:rPr>
          <w:rFonts w:ascii="Tahoma" w:hAnsi="Tahoma" w:cs="Tahoma"/>
          <w:sz w:val="20"/>
          <w:szCs w:val="20"/>
        </w:rPr>
        <w:t xml:space="preserve"> </w:t>
      </w:r>
      <w:r w:rsidR="002F24E1" w:rsidRPr="00B004EE">
        <w:rPr>
          <w:rFonts w:ascii="Tahoma" w:hAnsi="Tahoma" w:cs="Tahoma"/>
          <w:sz w:val="20"/>
          <w:szCs w:val="20"/>
        </w:rPr>
        <w:t>la</w:t>
      </w:r>
      <w:r w:rsidR="00DB1635" w:rsidRPr="00B004EE">
        <w:rPr>
          <w:rFonts w:ascii="Tahoma" w:hAnsi="Tahoma" w:cs="Tahoma"/>
          <w:sz w:val="20"/>
          <w:szCs w:val="20"/>
        </w:rPr>
        <w:t xml:space="preserve"> </w:t>
      </w:r>
      <w:r w:rsidR="002F24E1" w:rsidRPr="00B004EE">
        <w:rPr>
          <w:rFonts w:ascii="Tahoma" w:hAnsi="Tahoma" w:cs="Tahoma"/>
          <w:sz w:val="20"/>
          <w:szCs w:val="20"/>
        </w:rPr>
        <w:t>consommation</w:t>
      </w:r>
      <w:r w:rsidR="00DB1635" w:rsidRPr="00B004EE">
        <w:rPr>
          <w:rFonts w:ascii="Tahoma" w:hAnsi="Tahoma" w:cs="Tahoma"/>
          <w:sz w:val="20"/>
          <w:szCs w:val="20"/>
        </w:rPr>
        <w:t xml:space="preserve"> </w:t>
      </w:r>
      <w:r w:rsidR="002F24E1" w:rsidRPr="00B004EE">
        <w:rPr>
          <w:rFonts w:ascii="Tahoma" w:hAnsi="Tahoma" w:cs="Tahoma"/>
          <w:sz w:val="20"/>
          <w:szCs w:val="20"/>
        </w:rPr>
        <w:t>humaine.</w:t>
      </w:r>
      <w:r w:rsidR="00DB1635" w:rsidRPr="00B004EE">
        <w:rPr>
          <w:rFonts w:ascii="Tahoma" w:hAnsi="Tahoma" w:cs="Tahoma"/>
          <w:sz w:val="20"/>
          <w:szCs w:val="20"/>
        </w:rPr>
        <w:t xml:space="preserve"> </w:t>
      </w:r>
    </w:p>
    <w:p w14:paraId="7463D545" w14:textId="77777777" w:rsidR="002F24E1" w:rsidRPr="00C323AB" w:rsidRDefault="002F24E1" w:rsidP="00B004EE">
      <w:pPr>
        <w:jc w:val="both"/>
        <w:rPr>
          <w:rFonts w:ascii="Tahoma" w:hAnsi="Tahoma" w:cs="Tahoma"/>
          <w:sz w:val="18"/>
          <w:szCs w:val="18"/>
        </w:rPr>
      </w:pPr>
    </w:p>
    <w:p w14:paraId="34F99EA5" w14:textId="43E6274F" w:rsidR="002F24E1" w:rsidRPr="00B004EE" w:rsidRDefault="00FE579E" w:rsidP="00B004EE">
      <w:pPr>
        <w:jc w:val="both"/>
        <w:rPr>
          <w:rFonts w:ascii="Tahoma" w:hAnsi="Tahoma" w:cs="Tahoma"/>
          <w:sz w:val="20"/>
          <w:szCs w:val="20"/>
        </w:rPr>
      </w:pPr>
      <w:r w:rsidRPr="00C323AB">
        <w:rPr>
          <w:rFonts w:ascii="Tahoma" w:hAnsi="Tahoma" w:cs="Tahoma"/>
          <w:b/>
          <w:bCs/>
          <w:sz w:val="20"/>
          <w:szCs w:val="20"/>
        </w:rPr>
        <w:t xml:space="preserve">Article </w:t>
      </w:r>
      <w:r w:rsidR="002F24E1" w:rsidRPr="00C323AB">
        <w:rPr>
          <w:rFonts w:ascii="Tahoma" w:hAnsi="Tahoma" w:cs="Tahoma"/>
          <w:b/>
          <w:bCs/>
          <w:sz w:val="20"/>
          <w:szCs w:val="20"/>
        </w:rPr>
        <w:t>2</w:t>
      </w:r>
      <w:r w:rsidR="00DB1635" w:rsidRPr="00B004EE">
        <w:rPr>
          <w:rFonts w:ascii="Tahoma" w:hAnsi="Tahoma" w:cs="Tahoma"/>
          <w:sz w:val="20"/>
          <w:szCs w:val="20"/>
        </w:rPr>
        <w:t xml:space="preserve"> </w:t>
      </w:r>
      <w:r w:rsidR="002F24E1" w:rsidRPr="00B004EE">
        <w:rPr>
          <w:rFonts w:ascii="Tahoma" w:hAnsi="Tahoma" w:cs="Tahoma"/>
          <w:sz w:val="20"/>
          <w:szCs w:val="20"/>
        </w:rPr>
        <w:t>:</w:t>
      </w:r>
      <w:r w:rsidR="00DB1635" w:rsidRPr="00B004EE">
        <w:rPr>
          <w:rFonts w:ascii="Tahoma" w:hAnsi="Tahoma" w:cs="Tahoma"/>
          <w:b/>
          <w:bCs/>
          <w:sz w:val="20"/>
          <w:szCs w:val="20"/>
        </w:rPr>
        <w:t xml:space="preserve"> </w:t>
      </w:r>
      <w:r w:rsidR="002F24E1" w:rsidRPr="00B004EE">
        <w:rPr>
          <w:rFonts w:ascii="Tahoma" w:hAnsi="Tahoma" w:cs="Tahoma"/>
          <w:sz w:val="20"/>
          <w:szCs w:val="20"/>
        </w:rPr>
        <w:t>Ne</w:t>
      </w:r>
      <w:r w:rsidR="00DB1635" w:rsidRPr="00B004EE">
        <w:rPr>
          <w:rFonts w:ascii="Tahoma" w:hAnsi="Tahoma" w:cs="Tahoma"/>
          <w:sz w:val="20"/>
          <w:szCs w:val="20"/>
        </w:rPr>
        <w:t xml:space="preserve"> </w:t>
      </w:r>
      <w:r w:rsidR="002F24E1" w:rsidRPr="00B004EE">
        <w:rPr>
          <w:rFonts w:ascii="Tahoma" w:hAnsi="Tahoma" w:cs="Tahoma"/>
          <w:sz w:val="20"/>
          <w:szCs w:val="20"/>
        </w:rPr>
        <w:t>peuvent</w:t>
      </w:r>
      <w:r w:rsidR="00DB1635" w:rsidRPr="00B004EE">
        <w:rPr>
          <w:rFonts w:ascii="Tahoma" w:hAnsi="Tahoma" w:cs="Tahoma"/>
          <w:sz w:val="20"/>
          <w:szCs w:val="20"/>
        </w:rPr>
        <w:t xml:space="preserve"> </w:t>
      </w:r>
      <w:r w:rsidR="002F24E1" w:rsidRPr="00B004EE">
        <w:rPr>
          <w:rFonts w:ascii="Tahoma" w:hAnsi="Tahoma" w:cs="Tahoma"/>
          <w:sz w:val="20"/>
          <w:szCs w:val="20"/>
        </w:rPr>
        <w:t>être</w:t>
      </w:r>
      <w:r w:rsidR="00DB1635" w:rsidRPr="00B004EE">
        <w:rPr>
          <w:rFonts w:ascii="Tahoma" w:hAnsi="Tahoma" w:cs="Tahoma"/>
          <w:sz w:val="20"/>
          <w:szCs w:val="20"/>
        </w:rPr>
        <w:t xml:space="preserve"> </w:t>
      </w:r>
      <w:r w:rsidR="002F24E1" w:rsidRPr="00B004EE">
        <w:rPr>
          <w:rFonts w:ascii="Tahoma" w:hAnsi="Tahoma" w:cs="Tahoma"/>
          <w:sz w:val="20"/>
          <w:szCs w:val="20"/>
        </w:rPr>
        <w:t>mis</w:t>
      </w:r>
      <w:r w:rsidR="00DB1635" w:rsidRPr="00B004EE">
        <w:rPr>
          <w:rFonts w:ascii="Tahoma" w:hAnsi="Tahoma" w:cs="Tahoma"/>
          <w:sz w:val="20"/>
          <w:szCs w:val="20"/>
        </w:rPr>
        <w:t xml:space="preserve"> </w:t>
      </w:r>
      <w:r w:rsidR="002F24E1" w:rsidRPr="00B004EE">
        <w:rPr>
          <w:rFonts w:ascii="Tahoma" w:hAnsi="Tahoma" w:cs="Tahoma"/>
          <w:sz w:val="20"/>
          <w:szCs w:val="20"/>
        </w:rPr>
        <w:t>sur</w:t>
      </w:r>
      <w:r w:rsidR="00DB1635" w:rsidRPr="00B004EE">
        <w:rPr>
          <w:rFonts w:ascii="Tahoma" w:hAnsi="Tahoma" w:cs="Tahoma"/>
          <w:sz w:val="20"/>
          <w:szCs w:val="20"/>
        </w:rPr>
        <w:t xml:space="preserve"> </w:t>
      </w:r>
      <w:r w:rsidR="002F24E1" w:rsidRPr="00B004EE">
        <w:rPr>
          <w:rFonts w:ascii="Tahoma" w:hAnsi="Tahoma" w:cs="Tahoma"/>
          <w:sz w:val="20"/>
          <w:szCs w:val="20"/>
        </w:rPr>
        <w:t>le</w:t>
      </w:r>
      <w:r w:rsidR="00DB1635" w:rsidRPr="00B004EE">
        <w:rPr>
          <w:rFonts w:ascii="Tahoma" w:hAnsi="Tahoma" w:cs="Tahoma"/>
          <w:sz w:val="20"/>
          <w:szCs w:val="20"/>
        </w:rPr>
        <w:t xml:space="preserve"> </w:t>
      </w:r>
      <w:r w:rsidR="002F24E1" w:rsidRPr="00B004EE">
        <w:rPr>
          <w:rFonts w:ascii="Tahoma" w:hAnsi="Tahoma" w:cs="Tahoma"/>
          <w:sz w:val="20"/>
          <w:szCs w:val="20"/>
        </w:rPr>
        <w:t>marché</w:t>
      </w:r>
      <w:r w:rsidR="00DB1635" w:rsidRPr="00B004EE">
        <w:rPr>
          <w:rFonts w:ascii="Tahoma" w:hAnsi="Tahoma" w:cs="Tahoma"/>
          <w:sz w:val="20"/>
          <w:szCs w:val="20"/>
        </w:rPr>
        <w:t xml:space="preserve"> </w:t>
      </w:r>
      <w:r w:rsidR="002F24E1" w:rsidRPr="00B004EE">
        <w:rPr>
          <w:rFonts w:ascii="Tahoma" w:hAnsi="Tahoma" w:cs="Tahoma"/>
          <w:sz w:val="20"/>
          <w:szCs w:val="20"/>
        </w:rPr>
        <w:t>que</w:t>
      </w:r>
      <w:r w:rsidR="00DB1635" w:rsidRPr="00B004EE">
        <w:rPr>
          <w:rFonts w:ascii="Tahoma" w:hAnsi="Tahoma" w:cs="Tahoma"/>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2F24E1" w:rsidRPr="00B004EE">
        <w:rPr>
          <w:rFonts w:ascii="Tahoma" w:hAnsi="Tahoma" w:cs="Tahoma"/>
          <w:sz w:val="20"/>
          <w:szCs w:val="20"/>
        </w:rPr>
        <w:t>sous-produits</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la</w:t>
      </w:r>
      <w:r w:rsidR="00DB1635" w:rsidRPr="00B004EE">
        <w:rPr>
          <w:rFonts w:ascii="Tahoma" w:hAnsi="Tahoma" w:cs="Tahoma"/>
          <w:sz w:val="20"/>
          <w:szCs w:val="20"/>
        </w:rPr>
        <w:t xml:space="preserve"> </w:t>
      </w:r>
      <w:r w:rsidR="002F24E1" w:rsidRPr="00B004EE">
        <w:rPr>
          <w:rFonts w:ascii="Tahoma" w:hAnsi="Tahoma" w:cs="Tahoma"/>
          <w:sz w:val="20"/>
          <w:szCs w:val="20"/>
        </w:rPr>
        <w:t>pêche</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produits</w:t>
      </w:r>
      <w:r w:rsidR="00DB1635" w:rsidRPr="00B004EE">
        <w:rPr>
          <w:rFonts w:ascii="Tahoma" w:hAnsi="Tahoma" w:cs="Tahoma"/>
          <w:sz w:val="20"/>
          <w:szCs w:val="20"/>
        </w:rPr>
        <w:t xml:space="preserve"> </w:t>
      </w:r>
      <w:r w:rsidR="002F24E1" w:rsidRPr="00B004EE">
        <w:rPr>
          <w:rFonts w:ascii="Tahoma" w:hAnsi="Tahoma" w:cs="Tahoma"/>
          <w:sz w:val="20"/>
          <w:szCs w:val="20"/>
        </w:rPr>
        <w:t>dérivés</w:t>
      </w:r>
      <w:r w:rsidR="00DB1635" w:rsidRPr="00B004EE">
        <w:rPr>
          <w:rFonts w:ascii="Tahoma" w:hAnsi="Tahoma" w:cs="Tahoma"/>
          <w:sz w:val="20"/>
          <w:szCs w:val="20"/>
        </w:rPr>
        <w:t xml:space="preserve"> </w:t>
      </w:r>
      <w:r w:rsidR="002F24E1" w:rsidRPr="00B004EE">
        <w:rPr>
          <w:rFonts w:ascii="Tahoma" w:hAnsi="Tahoma" w:cs="Tahoma"/>
          <w:sz w:val="20"/>
          <w:szCs w:val="20"/>
        </w:rPr>
        <w:t>non-toxiques</w:t>
      </w:r>
      <w:r w:rsidR="00DB1635" w:rsidRPr="00B004EE">
        <w:rPr>
          <w:rFonts w:ascii="Tahoma" w:hAnsi="Tahoma" w:cs="Tahoma"/>
          <w:sz w:val="20"/>
          <w:szCs w:val="20"/>
        </w:rPr>
        <w:t xml:space="preserve"> </w:t>
      </w:r>
      <w:r w:rsidR="002F24E1" w:rsidRPr="00B004EE">
        <w:rPr>
          <w:rFonts w:ascii="Tahoma" w:hAnsi="Tahoma" w:cs="Tahoma"/>
          <w:sz w:val="20"/>
          <w:szCs w:val="20"/>
        </w:rPr>
        <w:t>par</w:t>
      </w:r>
      <w:r w:rsidR="00DB1635" w:rsidRPr="00B004EE">
        <w:rPr>
          <w:rFonts w:ascii="Tahoma" w:hAnsi="Tahoma" w:cs="Tahoma"/>
          <w:sz w:val="20"/>
          <w:szCs w:val="20"/>
        </w:rPr>
        <w:t xml:space="preserve"> </w:t>
      </w:r>
      <w:r w:rsidR="002F24E1" w:rsidRPr="00B004EE">
        <w:rPr>
          <w:rFonts w:ascii="Tahoma" w:hAnsi="Tahoma" w:cs="Tahoma"/>
          <w:sz w:val="20"/>
          <w:szCs w:val="20"/>
        </w:rPr>
        <w:t>nature</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non-contaminés</w:t>
      </w:r>
      <w:r w:rsidR="00DB1635" w:rsidRPr="00B004EE">
        <w:rPr>
          <w:rFonts w:ascii="Tahoma" w:hAnsi="Tahoma" w:cs="Tahoma"/>
          <w:sz w:val="20"/>
          <w:szCs w:val="20"/>
        </w:rPr>
        <w:t xml:space="preserve"> </w:t>
      </w:r>
      <w:r w:rsidR="002F24E1" w:rsidRPr="00B004EE">
        <w:rPr>
          <w:rFonts w:ascii="Tahoma" w:hAnsi="Tahoma" w:cs="Tahoma"/>
          <w:sz w:val="20"/>
          <w:szCs w:val="20"/>
        </w:rPr>
        <w:t>par</w:t>
      </w:r>
      <w:r w:rsidR="00DB1635" w:rsidRPr="00B004EE">
        <w:rPr>
          <w:rFonts w:ascii="Tahoma" w:hAnsi="Tahoma" w:cs="Tahoma"/>
          <w:sz w:val="20"/>
          <w:szCs w:val="20"/>
        </w:rPr>
        <w:t xml:space="preserve"> </w:t>
      </w:r>
      <w:r w:rsidR="002F24E1" w:rsidRPr="00B004EE">
        <w:rPr>
          <w:rFonts w:ascii="Tahoma" w:hAnsi="Tahoma" w:cs="Tahoma"/>
          <w:sz w:val="20"/>
          <w:szCs w:val="20"/>
        </w:rPr>
        <w:t>des</w:t>
      </w:r>
      <w:r w:rsidR="00DB1635" w:rsidRPr="00B004EE">
        <w:rPr>
          <w:rFonts w:ascii="Tahoma" w:hAnsi="Tahoma" w:cs="Tahoma"/>
          <w:sz w:val="20"/>
          <w:szCs w:val="20"/>
        </w:rPr>
        <w:t xml:space="preserve"> </w:t>
      </w:r>
      <w:r w:rsidR="002F24E1" w:rsidRPr="00B004EE">
        <w:rPr>
          <w:rFonts w:ascii="Tahoma" w:hAnsi="Tahoma" w:cs="Tahoma"/>
          <w:sz w:val="20"/>
          <w:szCs w:val="20"/>
        </w:rPr>
        <w:t>substances</w:t>
      </w:r>
      <w:r w:rsidR="00DB1635" w:rsidRPr="00B004EE">
        <w:rPr>
          <w:rFonts w:ascii="Tahoma" w:hAnsi="Tahoma" w:cs="Tahoma"/>
          <w:sz w:val="20"/>
          <w:szCs w:val="20"/>
        </w:rPr>
        <w:t xml:space="preserve"> </w:t>
      </w:r>
      <w:r w:rsidR="002F24E1" w:rsidRPr="00B004EE">
        <w:rPr>
          <w:rFonts w:ascii="Tahoma" w:hAnsi="Tahoma" w:cs="Tahoma"/>
          <w:sz w:val="20"/>
          <w:szCs w:val="20"/>
        </w:rPr>
        <w:t>ou</w:t>
      </w:r>
      <w:r w:rsidR="00DB1635" w:rsidRPr="00B004EE">
        <w:rPr>
          <w:rFonts w:ascii="Tahoma" w:hAnsi="Tahoma" w:cs="Tahoma"/>
          <w:sz w:val="20"/>
          <w:szCs w:val="20"/>
        </w:rPr>
        <w:t xml:space="preserve"> </w:t>
      </w:r>
      <w:r w:rsidR="002F24E1" w:rsidRPr="00B004EE">
        <w:rPr>
          <w:rFonts w:ascii="Tahoma" w:hAnsi="Tahoma" w:cs="Tahoma"/>
          <w:sz w:val="20"/>
          <w:szCs w:val="20"/>
        </w:rPr>
        <w:t>des</w:t>
      </w:r>
      <w:r w:rsidR="00DB1635" w:rsidRPr="00B004EE">
        <w:rPr>
          <w:rFonts w:ascii="Tahoma" w:hAnsi="Tahoma" w:cs="Tahoma"/>
          <w:sz w:val="20"/>
          <w:szCs w:val="20"/>
        </w:rPr>
        <w:t xml:space="preserve"> </w:t>
      </w:r>
      <w:r w:rsidR="002F24E1" w:rsidRPr="00B004EE">
        <w:rPr>
          <w:rFonts w:ascii="Tahoma" w:hAnsi="Tahoma" w:cs="Tahoma"/>
          <w:sz w:val="20"/>
          <w:szCs w:val="20"/>
        </w:rPr>
        <w:t>organismes</w:t>
      </w:r>
      <w:r w:rsidR="00DB1635" w:rsidRPr="00B004EE">
        <w:rPr>
          <w:rFonts w:ascii="Tahoma" w:hAnsi="Tahoma" w:cs="Tahoma"/>
          <w:sz w:val="20"/>
          <w:szCs w:val="20"/>
        </w:rPr>
        <w:t xml:space="preserve"> </w:t>
      </w:r>
      <w:r w:rsidR="002F24E1" w:rsidRPr="00B004EE">
        <w:rPr>
          <w:rFonts w:ascii="Tahoma" w:hAnsi="Tahoma" w:cs="Tahoma"/>
          <w:sz w:val="20"/>
          <w:szCs w:val="20"/>
        </w:rPr>
        <w:t>dangereux</w:t>
      </w:r>
      <w:r w:rsidR="00DB1635" w:rsidRPr="00B004EE">
        <w:rPr>
          <w:rFonts w:ascii="Tahoma" w:hAnsi="Tahoma" w:cs="Tahoma"/>
          <w:sz w:val="20"/>
          <w:szCs w:val="20"/>
        </w:rPr>
        <w:t xml:space="preserve"> </w:t>
      </w:r>
      <w:r w:rsidR="002F24E1" w:rsidRPr="00B004EE">
        <w:rPr>
          <w:rFonts w:ascii="Tahoma" w:hAnsi="Tahoma" w:cs="Tahoma"/>
          <w:sz w:val="20"/>
          <w:szCs w:val="20"/>
        </w:rPr>
        <w:t>pour</w:t>
      </w:r>
      <w:r w:rsidR="00DB1635" w:rsidRPr="00B004EE">
        <w:rPr>
          <w:rFonts w:ascii="Tahoma" w:hAnsi="Tahoma" w:cs="Tahoma"/>
          <w:sz w:val="20"/>
          <w:szCs w:val="20"/>
        </w:rPr>
        <w:t xml:space="preserve"> </w:t>
      </w:r>
      <w:r w:rsidR="002F24E1" w:rsidRPr="00B004EE">
        <w:rPr>
          <w:rFonts w:ascii="Tahoma" w:hAnsi="Tahoma" w:cs="Tahoma"/>
          <w:sz w:val="20"/>
          <w:szCs w:val="20"/>
        </w:rPr>
        <w:t>la</w:t>
      </w:r>
      <w:r w:rsidR="00DB1635" w:rsidRPr="00B004EE">
        <w:rPr>
          <w:rFonts w:ascii="Tahoma" w:hAnsi="Tahoma" w:cs="Tahoma"/>
          <w:sz w:val="20"/>
          <w:szCs w:val="20"/>
        </w:rPr>
        <w:t xml:space="preserve"> </w:t>
      </w:r>
      <w:r w:rsidR="002F24E1" w:rsidRPr="00B004EE">
        <w:rPr>
          <w:rFonts w:ascii="Tahoma" w:hAnsi="Tahoma" w:cs="Tahoma"/>
          <w:sz w:val="20"/>
          <w:szCs w:val="20"/>
        </w:rPr>
        <w:t>santé</w:t>
      </w:r>
      <w:r w:rsidR="00DB1635" w:rsidRPr="00B004EE">
        <w:rPr>
          <w:rFonts w:ascii="Tahoma" w:hAnsi="Tahoma" w:cs="Tahoma"/>
          <w:sz w:val="20"/>
          <w:szCs w:val="20"/>
        </w:rPr>
        <w:t xml:space="preserve"> </w:t>
      </w:r>
      <w:r w:rsidR="002F24E1" w:rsidRPr="00B004EE">
        <w:rPr>
          <w:rFonts w:ascii="Tahoma" w:hAnsi="Tahoma" w:cs="Tahoma"/>
          <w:sz w:val="20"/>
          <w:szCs w:val="20"/>
        </w:rPr>
        <w:t>publique</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animale.</w:t>
      </w:r>
      <w:r w:rsidR="00DB1635" w:rsidRPr="00B004EE">
        <w:rPr>
          <w:rFonts w:ascii="Tahoma" w:hAnsi="Tahoma" w:cs="Tahoma"/>
          <w:sz w:val="20"/>
          <w:szCs w:val="20"/>
        </w:rPr>
        <w:t xml:space="preserve"> </w:t>
      </w:r>
    </w:p>
    <w:p w14:paraId="6747ED0A" w14:textId="652C8BCD" w:rsidR="002F24E1" w:rsidRPr="00B004EE" w:rsidRDefault="002F24E1" w:rsidP="00B004EE">
      <w:pPr>
        <w:jc w:val="both"/>
        <w:rPr>
          <w:rFonts w:ascii="Tahoma" w:hAnsi="Tahoma" w:cs="Tahoma"/>
          <w:sz w:val="20"/>
          <w:szCs w:val="20"/>
        </w:rPr>
      </w:pPr>
      <w:r w:rsidRPr="00B004EE">
        <w:rPr>
          <w:rFonts w:ascii="Tahoma" w:hAnsi="Tahoma" w:cs="Tahoma"/>
          <w:sz w:val="20"/>
          <w:szCs w:val="20"/>
        </w:rPr>
        <w:t>Sans</w:t>
      </w:r>
      <w:r w:rsidR="00DB1635" w:rsidRPr="00B004EE">
        <w:rPr>
          <w:rFonts w:ascii="Tahoma" w:hAnsi="Tahoma" w:cs="Tahoma"/>
          <w:sz w:val="20"/>
          <w:szCs w:val="20"/>
        </w:rPr>
        <w:t xml:space="preserve"> </w:t>
      </w:r>
      <w:r w:rsidRPr="00B004EE">
        <w:rPr>
          <w:rFonts w:ascii="Tahoma" w:hAnsi="Tahoma" w:cs="Tahoma"/>
          <w:sz w:val="20"/>
          <w:szCs w:val="20"/>
        </w:rPr>
        <w:t>préjudice</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attributions</w:t>
      </w:r>
      <w:r w:rsidR="00DB1635" w:rsidRPr="00B004EE">
        <w:rPr>
          <w:rFonts w:ascii="Tahoma" w:hAnsi="Tahoma" w:cs="Tahoma"/>
          <w:sz w:val="20"/>
          <w:szCs w:val="20"/>
        </w:rPr>
        <w:t xml:space="preserve"> </w:t>
      </w:r>
      <w:r w:rsidRPr="00B004EE">
        <w:rPr>
          <w:rFonts w:ascii="Tahoma" w:hAnsi="Tahoma" w:cs="Tahoma"/>
          <w:sz w:val="20"/>
          <w:szCs w:val="20"/>
        </w:rPr>
        <w:t>propres</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autres</w:t>
      </w:r>
      <w:r w:rsidR="00DB1635" w:rsidRPr="00B004EE">
        <w:rPr>
          <w:rFonts w:ascii="Tahoma" w:hAnsi="Tahoma" w:cs="Tahoma"/>
          <w:sz w:val="20"/>
          <w:szCs w:val="20"/>
        </w:rPr>
        <w:t xml:space="preserve"> </w:t>
      </w:r>
      <w:r w:rsidRPr="00B004EE">
        <w:rPr>
          <w:rFonts w:ascii="Tahoma" w:hAnsi="Tahoma" w:cs="Tahoma"/>
          <w:sz w:val="20"/>
          <w:szCs w:val="20"/>
        </w:rPr>
        <w:t>ministères</w:t>
      </w:r>
      <w:r w:rsidR="00DB1635" w:rsidRPr="00B004EE">
        <w:rPr>
          <w:rFonts w:ascii="Tahoma" w:hAnsi="Tahoma" w:cs="Tahoma"/>
          <w:sz w:val="20"/>
          <w:szCs w:val="20"/>
        </w:rPr>
        <w:t xml:space="preserve"> </w:t>
      </w:r>
      <w:r w:rsidRPr="00B004EE">
        <w:rPr>
          <w:rFonts w:ascii="Tahoma" w:hAnsi="Tahoma" w:cs="Tahoma"/>
          <w:sz w:val="20"/>
          <w:szCs w:val="20"/>
        </w:rPr>
        <w:t>compétents,</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Ministre</w:t>
      </w:r>
      <w:r w:rsidR="00DB1635" w:rsidRPr="00B004EE">
        <w:rPr>
          <w:rFonts w:ascii="Tahoma" w:hAnsi="Tahoma" w:cs="Tahoma"/>
          <w:sz w:val="20"/>
          <w:szCs w:val="20"/>
        </w:rPr>
        <w:t xml:space="preserve"> </w:t>
      </w:r>
      <w:r w:rsidRPr="00B004EE">
        <w:rPr>
          <w:rFonts w:ascii="Tahoma" w:hAnsi="Tahoma" w:cs="Tahoma"/>
          <w:sz w:val="20"/>
          <w:szCs w:val="20"/>
        </w:rPr>
        <w:t>chargé</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l'autorité</w:t>
      </w:r>
      <w:r w:rsidR="00DB1635" w:rsidRPr="00B004EE">
        <w:rPr>
          <w:rFonts w:ascii="Tahoma" w:hAnsi="Tahoma" w:cs="Tahoma"/>
          <w:sz w:val="20"/>
          <w:szCs w:val="20"/>
        </w:rPr>
        <w:t xml:space="preserve"> </w:t>
      </w:r>
      <w:r w:rsidRPr="00B004EE">
        <w:rPr>
          <w:rFonts w:ascii="Tahoma" w:hAnsi="Tahoma" w:cs="Tahoma"/>
          <w:sz w:val="20"/>
          <w:szCs w:val="20"/>
        </w:rPr>
        <w:t>compétente</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réglementer,</w:t>
      </w:r>
      <w:r w:rsidR="00DB1635" w:rsidRPr="00B004EE">
        <w:rPr>
          <w:rFonts w:ascii="Tahoma" w:hAnsi="Tahoma" w:cs="Tahoma"/>
          <w:sz w:val="20"/>
          <w:szCs w:val="20"/>
        </w:rPr>
        <w:t xml:space="preserve"> </w:t>
      </w:r>
      <w:r w:rsidRPr="00B004EE">
        <w:rPr>
          <w:rFonts w:ascii="Tahoma" w:hAnsi="Tahoma" w:cs="Tahoma"/>
          <w:sz w:val="20"/>
          <w:szCs w:val="20"/>
        </w:rPr>
        <w:t>inspecter,</w:t>
      </w:r>
      <w:r w:rsidR="00DB1635" w:rsidRPr="00B004EE">
        <w:rPr>
          <w:rFonts w:ascii="Tahoma" w:hAnsi="Tahoma" w:cs="Tahoma"/>
          <w:sz w:val="20"/>
          <w:szCs w:val="20"/>
        </w:rPr>
        <w:t xml:space="preserve"> </w:t>
      </w:r>
      <w:r w:rsidRPr="00B004EE">
        <w:rPr>
          <w:rFonts w:ascii="Tahoma" w:hAnsi="Tahoma" w:cs="Tahoma"/>
          <w:sz w:val="20"/>
          <w:szCs w:val="20"/>
        </w:rPr>
        <w:t>contrôler</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fixer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normes</w:t>
      </w:r>
      <w:r w:rsidR="00DB1635" w:rsidRPr="00B004EE">
        <w:rPr>
          <w:rFonts w:ascii="Tahoma" w:hAnsi="Tahoma" w:cs="Tahoma"/>
          <w:sz w:val="20"/>
          <w:szCs w:val="20"/>
        </w:rPr>
        <w:t xml:space="preserve"> </w:t>
      </w:r>
      <w:r w:rsidRPr="00B004EE">
        <w:rPr>
          <w:rFonts w:ascii="Tahoma" w:hAnsi="Tahoma" w:cs="Tahoma"/>
          <w:sz w:val="20"/>
          <w:szCs w:val="20"/>
        </w:rPr>
        <w:t>d'hygiène,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qualité,</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salubrité</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sous-produits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dérivés</w:t>
      </w:r>
      <w:r w:rsidR="00DB1635" w:rsidRPr="00B004EE">
        <w:rPr>
          <w:rFonts w:ascii="Tahoma" w:hAnsi="Tahoma" w:cs="Tahoma"/>
          <w:sz w:val="20"/>
          <w:szCs w:val="20"/>
        </w:rPr>
        <w:t xml:space="preserve"> </w:t>
      </w:r>
      <w:r w:rsidRPr="00B004EE">
        <w:rPr>
          <w:rFonts w:ascii="Tahoma" w:hAnsi="Tahoma" w:cs="Tahoma"/>
          <w:sz w:val="20"/>
          <w:szCs w:val="20"/>
        </w:rPr>
        <w:t>non</w:t>
      </w:r>
      <w:r w:rsidR="00DB1635" w:rsidRPr="00B004EE">
        <w:rPr>
          <w:rFonts w:ascii="Tahoma" w:hAnsi="Tahoma" w:cs="Tahoma"/>
          <w:sz w:val="20"/>
          <w:szCs w:val="20"/>
        </w:rPr>
        <w:t xml:space="preserve"> </w:t>
      </w:r>
      <w:r w:rsidRPr="00B004EE">
        <w:rPr>
          <w:rFonts w:ascii="Tahoma" w:hAnsi="Tahoma" w:cs="Tahoma"/>
          <w:sz w:val="20"/>
          <w:szCs w:val="20"/>
        </w:rPr>
        <w:t>destinés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consommation</w:t>
      </w:r>
      <w:r w:rsidR="00DB1635" w:rsidRPr="00B004EE">
        <w:rPr>
          <w:rFonts w:ascii="Tahoma" w:hAnsi="Tahoma" w:cs="Tahoma"/>
          <w:sz w:val="20"/>
          <w:szCs w:val="20"/>
        </w:rPr>
        <w:t xml:space="preserve"> </w:t>
      </w:r>
      <w:r w:rsidRPr="00B004EE">
        <w:rPr>
          <w:rFonts w:ascii="Tahoma" w:hAnsi="Tahoma" w:cs="Tahoma"/>
          <w:sz w:val="20"/>
          <w:szCs w:val="20"/>
        </w:rPr>
        <w:t>humaine.</w:t>
      </w:r>
      <w:r w:rsidR="00DB1635" w:rsidRPr="00B004EE">
        <w:rPr>
          <w:rFonts w:ascii="Tahoma" w:hAnsi="Tahoma" w:cs="Tahoma"/>
          <w:sz w:val="20"/>
          <w:szCs w:val="20"/>
        </w:rPr>
        <w:t xml:space="preserve"> </w:t>
      </w:r>
    </w:p>
    <w:p w14:paraId="4D5D9550" w14:textId="77777777" w:rsidR="002F24E1" w:rsidRPr="00C323AB" w:rsidRDefault="002F24E1" w:rsidP="00B004EE">
      <w:pPr>
        <w:jc w:val="both"/>
        <w:rPr>
          <w:rFonts w:ascii="Tahoma" w:hAnsi="Tahoma" w:cs="Tahoma"/>
          <w:sz w:val="18"/>
          <w:szCs w:val="18"/>
        </w:rPr>
      </w:pPr>
    </w:p>
    <w:p w14:paraId="1A36017F" w14:textId="278864CD" w:rsidR="002F24E1" w:rsidRPr="00B004EE" w:rsidRDefault="00FE579E" w:rsidP="00B004EE">
      <w:pPr>
        <w:jc w:val="both"/>
        <w:rPr>
          <w:rFonts w:ascii="Tahoma" w:hAnsi="Tahoma" w:cs="Tahoma"/>
          <w:sz w:val="20"/>
          <w:szCs w:val="20"/>
        </w:rPr>
      </w:pPr>
      <w:r w:rsidRPr="00C323AB">
        <w:rPr>
          <w:rFonts w:ascii="Tahoma" w:hAnsi="Tahoma" w:cs="Tahoma"/>
          <w:b/>
          <w:bCs/>
          <w:sz w:val="20"/>
          <w:szCs w:val="20"/>
        </w:rPr>
        <w:t xml:space="preserve">Article </w:t>
      </w:r>
      <w:r w:rsidR="002F24E1" w:rsidRPr="00B004EE">
        <w:rPr>
          <w:rFonts w:ascii="Tahoma" w:hAnsi="Tahoma" w:cs="Tahoma"/>
          <w:b/>
          <w:bCs/>
          <w:sz w:val="20"/>
          <w:szCs w:val="20"/>
        </w:rPr>
        <w:t>3</w:t>
      </w:r>
      <w:r w:rsidR="00DB1635" w:rsidRPr="00B004EE">
        <w:rPr>
          <w:rFonts w:ascii="Tahoma" w:hAnsi="Tahoma" w:cs="Tahoma"/>
          <w:sz w:val="20"/>
          <w:szCs w:val="20"/>
        </w:rPr>
        <w:t xml:space="preserve"> </w:t>
      </w:r>
      <w:r w:rsidR="00401897" w:rsidRPr="00B004EE">
        <w:rPr>
          <w:rFonts w:ascii="Tahoma" w:hAnsi="Tahoma" w:cs="Tahoma"/>
          <w:sz w:val="20"/>
          <w:szCs w:val="20"/>
        </w:rPr>
        <w:t>:</w:t>
      </w:r>
      <w:r w:rsidR="00DB1635" w:rsidRPr="00B004EE">
        <w:rPr>
          <w:rFonts w:ascii="Tahoma" w:hAnsi="Tahoma" w:cs="Tahoma"/>
          <w:sz w:val="20"/>
          <w:szCs w:val="20"/>
        </w:rPr>
        <w:t xml:space="preserve"> </w:t>
      </w:r>
      <w:r w:rsidR="00401897" w:rsidRPr="00B004EE">
        <w:rPr>
          <w:rFonts w:ascii="Tahoma" w:hAnsi="Tahoma" w:cs="Tahoma"/>
          <w:sz w:val="20"/>
          <w:szCs w:val="20"/>
        </w:rPr>
        <w:t>La</w:t>
      </w:r>
      <w:r w:rsidR="00DB1635" w:rsidRPr="00B004EE">
        <w:rPr>
          <w:rFonts w:ascii="Tahoma" w:hAnsi="Tahoma" w:cs="Tahoma"/>
          <w:sz w:val="20"/>
          <w:szCs w:val="20"/>
        </w:rPr>
        <w:t xml:space="preserve"> </w:t>
      </w:r>
      <w:r w:rsidR="002F24E1" w:rsidRPr="00B004EE">
        <w:rPr>
          <w:rFonts w:ascii="Tahoma" w:hAnsi="Tahoma" w:cs="Tahoma"/>
          <w:sz w:val="20"/>
          <w:szCs w:val="20"/>
        </w:rPr>
        <w:t>collecte,</w:t>
      </w:r>
      <w:r w:rsidR="00DB1635" w:rsidRPr="00B004EE">
        <w:rPr>
          <w:rFonts w:ascii="Tahoma" w:hAnsi="Tahoma" w:cs="Tahoma"/>
          <w:sz w:val="20"/>
          <w:szCs w:val="20"/>
        </w:rPr>
        <w:t xml:space="preserve"> </w:t>
      </w:r>
      <w:r w:rsidR="002F24E1" w:rsidRPr="00B004EE">
        <w:rPr>
          <w:rFonts w:ascii="Tahoma" w:hAnsi="Tahoma" w:cs="Tahoma"/>
          <w:sz w:val="20"/>
          <w:szCs w:val="20"/>
        </w:rPr>
        <w:t>le</w:t>
      </w:r>
      <w:r w:rsidR="00DB1635" w:rsidRPr="00B004EE">
        <w:rPr>
          <w:rFonts w:ascii="Tahoma" w:hAnsi="Tahoma" w:cs="Tahoma"/>
          <w:sz w:val="20"/>
          <w:szCs w:val="20"/>
        </w:rPr>
        <w:t xml:space="preserve"> </w:t>
      </w:r>
      <w:r w:rsidR="002F24E1" w:rsidRPr="00B004EE">
        <w:rPr>
          <w:rFonts w:ascii="Tahoma" w:hAnsi="Tahoma" w:cs="Tahoma"/>
          <w:sz w:val="20"/>
          <w:szCs w:val="20"/>
        </w:rPr>
        <w:t>transport,</w:t>
      </w:r>
      <w:r w:rsidR="00DB1635" w:rsidRPr="00B004EE">
        <w:rPr>
          <w:rFonts w:ascii="Tahoma" w:hAnsi="Tahoma" w:cs="Tahoma"/>
          <w:sz w:val="20"/>
          <w:szCs w:val="20"/>
        </w:rPr>
        <w:t xml:space="preserve"> </w:t>
      </w:r>
      <w:r w:rsidR="002F24E1" w:rsidRPr="00B004EE">
        <w:rPr>
          <w:rFonts w:ascii="Tahoma" w:hAnsi="Tahoma" w:cs="Tahoma"/>
          <w:sz w:val="20"/>
          <w:szCs w:val="20"/>
        </w:rPr>
        <w:t>la</w:t>
      </w:r>
      <w:r w:rsidR="00DB1635" w:rsidRPr="00B004EE">
        <w:rPr>
          <w:rFonts w:ascii="Tahoma" w:hAnsi="Tahoma" w:cs="Tahoma"/>
          <w:sz w:val="20"/>
          <w:szCs w:val="20"/>
        </w:rPr>
        <w:t xml:space="preserve"> </w:t>
      </w:r>
      <w:r w:rsidR="002F24E1" w:rsidRPr="00B004EE">
        <w:rPr>
          <w:rFonts w:ascii="Tahoma" w:hAnsi="Tahoma" w:cs="Tahoma"/>
          <w:sz w:val="20"/>
          <w:szCs w:val="20"/>
        </w:rPr>
        <w:t>manipulation,</w:t>
      </w:r>
      <w:r w:rsidR="00DB1635" w:rsidRPr="00B004EE">
        <w:rPr>
          <w:rFonts w:ascii="Tahoma" w:hAnsi="Tahoma" w:cs="Tahoma"/>
          <w:sz w:val="20"/>
          <w:szCs w:val="20"/>
        </w:rPr>
        <w:t xml:space="preserve"> </w:t>
      </w:r>
      <w:r w:rsidR="002F24E1" w:rsidRPr="00B004EE">
        <w:rPr>
          <w:rFonts w:ascii="Tahoma" w:hAnsi="Tahoma" w:cs="Tahoma"/>
          <w:sz w:val="20"/>
          <w:szCs w:val="20"/>
        </w:rPr>
        <w:t>le</w:t>
      </w:r>
      <w:r w:rsidR="00DB1635" w:rsidRPr="00B004EE">
        <w:rPr>
          <w:rFonts w:ascii="Tahoma" w:hAnsi="Tahoma" w:cs="Tahoma"/>
          <w:sz w:val="20"/>
          <w:szCs w:val="20"/>
        </w:rPr>
        <w:t xml:space="preserve"> </w:t>
      </w:r>
      <w:r w:rsidR="002F24E1" w:rsidRPr="00B004EE">
        <w:rPr>
          <w:rFonts w:ascii="Tahoma" w:hAnsi="Tahoma" w:cs="Tahoma"/>
          <w:sz w:val="20"/>
          <w:szCs w:val="20"/>
        </w:rPr>
        <w:t>tr</w:t>
      </w:r>
      <w:r w:rsidR="00401897" w:rsidRPr="00B004EE">
        <w:rPr>
          <w:rFonts w:ascii="Tahoma" w:hAnsi="Tahoma" w:cs="Tahoma"/>
          <w:sz w:val="20"/>
          <w:szCs w:val="20"/>
        </w:rPr>
        <w:t>aitement,</w:t>
      </w:r>
      <w:r w:rsidR="00DB1635" w:rsidRPr="00B004EE">
        <w:rPr>
          <w:rFonts w:ascii="Tahoma" w:hAnsi="Tahoma" w:cs="Tahoma"/>
          <w:sz w:val="20"/>
          <w:szCs w:val="20"/>
        </w:rPr>
        <w:t xml:space="preserve"> </w:t>
      </w:r>
      <w:r w:rsidR="00401897" w:rsidRPr="00B004EE">
        <w:rPr>
          <w:rFonts w:ascii="Tahoma" w:hAnsi="Tahoma" w:cs="Tahoma"/>
          <w:sz w:val="20"/>
          <w:szCs w:val="20"/>
        </w:rPr>
        <w:t>la</w:t>
      </w:r>
      <w:r w:rsidR="00DB1635" w:rsidRPr="00B004EE">
        <w:rPr>
          <w:rFonts w:ascii="Tahoma" w:hAnsi="Tahoma" w:cs="Tahoma"/>
          <w:sz w:val="20"/>
          <w:szCs w:val="20"/>
        </w:rPr>
        <w:t xml:space="preserve"> </w:t>
      </w:r>
      <w:r w:rsidR="00401897" w:rsidRPr="00B004EE">
        <w:rPr>
          <w:rFonts w:ascii="Tahoma" w:hAnsi="Tahoma" w:cs="Tahoma"/>
          <w:sz w:val="20"/>
          <w:szCs w:val="20"/>
        </w:rPr>
        <w:t>transformation</w:t>
      </w:r>
      <w:r w:rsidR="00DB1635" w:rsidRPr="00B004EE">
        <w:rPr>
          <w:rFonts w:ascii="Tahoma" w:hAnsi="Tahoma" w:cs="Tahoma"/>
          <w:sz w:val="20"/>
          <w:szCs w:val="20"/>
        </w:rPr>
        <w:t xml:space="preserve"> </w:t>
      </w:r>
      <w:r w:rsidR="00401897"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l’entreposage</w:t>
      </w:r>
      <w:r w:rsidR="00DB1635" w:rsidRPr="00B004EE">
        <w:rPr>
          <w:rFonts w:ascii="Tahoma" w:hAnsi="Tahoma" w:cs="Tahoma"/>
          <w:sz w:val="20"/>
          <w:szCs w:val="20"/>
        </w:rPr>
        <w:t xml:space="preserve"> </w:t>
      </w:r>
      <w:r w:rsidR="002F24E1" w:rsidRPr="00B004EE">
        <w:rPr>
          <w:rFonts w:ascii="Tahoma" w:hAnsi="Tahoma" w:cs="Tahoma"/>
          <w:sz w:val="20"/>
          <w:szCs w:val="20"/>
        </w:rPr>
        <w:t>des</w:t>
      </w:r>
      <w:r w:rsidR="00DB1635" w:rsidRPr="00B004EE">
        <w:rPr>
          <w:rFonts w:ascii="Tahoma" w:hAnsi="Tahoma" w:cs="Tahoma"/>
          <w:sz w:val="20"/>
          <w:szCs w:val="20"/>
        </w:rPr>
        <w:t xml:space="preserve"> </w:t>
      </w:r>
      <w:r w:rsidR="002F24E1" w:rsidRPr="00B004EE">
        <w:rPr>
          <w:rFonts w:ascii="Tahoma" w:hAnsi="Tahoma" w:cs="Tahoma"/>
          <w:sz w:val="20"/>
          <w:szCs w:val="20"/>
        </w:rPr>
        <w:t>sous-produits</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pêche</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des</w:t>
      </w:r>
      <w:r w:rsidR="00DB1635" w:rsidRPr="00B004EE">
        <w:rPr>
          <w:rFonts w:ascii="Tahoma" w:hAnsi="Tahoma" w:cs="Tahoma"/>
          <w:sz w:val="20"/>
          <w:szCs w:val="20"/>
        </w:rPr>
        <w:t xml:space="preserve"> </w:t>
      </w:r>
      <w:r w:rsidR="002F24E1" w:rsidRPr="00B004EE">
        <w:rPr>
          <w:rFonts w:ascii="Tahoma" w:hAnsi="Tahoma" w:cs="Tahoma"/>
          <w:sz w:val="20"/>
          <w:szCs w:val="20"/>
        </w:rPr>
        <w:t>produits</w:t>
      </w:r>
      <w:r w:rsidR="00DB1635" w:rsidRPr="00B004EE">
        <w:rPr>
          <w:rFonts w:ascii="Tahoma" w:hAnsi="Tahoma" w:cs="Tahoma"/>
          <w:sz w:val="20"/>
          <w:szCs w:val="20"/>
        </w:rPr>
        <w:t xml:space="preserve"> </w:t>
      </w:r>
      <w:r w:rsidR="002F24E1" w:rsidRPr="00B004EE">
        <w:rPr>
          <w:rFonts w:ascii="Tahoma" w:hAnsi="Tahoma" w:cs="Tahoma"/>
          <w:sz w:val="20"/>
          <w:szCs w:val="20"/>
        </w:rPr>
        <w:t>dérivés</w:t>
      </w:r>
      <w:r w:rsidR="00DB1635" w:rsidRPr="00B004EE">
        <w:rPr>
          <w:rFonts w:ascii="Tahoma" w:hAnsi="Tahoma" w:cs="Tahoma"/>
          <w:sz w:val="20"/>
          <w:szCs w:val="20"/>
        </w:rPr>
        <w:t xml:space="preserve"> </w:t>
      </w:r>
      <w:r w:rsidR="002F24E1" w:rsidRPr="00B004EE">
        <w:rPr>
          <w:rFonts w:ascii="Tahoma" w:hAnsi="Tahoma" w:cs="Tahoma"/>
          <w:sz w:val="20"/>
          <w:szCs w:val="20"/>
        </w:rPr>
        <w:t>non</w:t>
      </w:r>
      <w:r w:rsidR="00DB1635" w:rsidRPr="00B004EE">
        <w:rPr>
          <w:rFonts w:ascii="Tahoma" w:hAnsi="Tahoma" w:cs="Tahoma"/>
          <w:sz w:val="20"/>
          <w:szCs w:val="20"/>
        </w:rPr>
        <w:t xml:space="preserve"> </w:t>
      </w:r>
      <w:r w:rsidR="002F24E1" w:rsidRPr="00B004EE">
        <w:rPr>
          <w:rFonts w:ascii="Tahoma" w:hAnsi="Tahoma" w:cs="Tahoma"/>
          <w:sz w:val="20"/>
          <w:szCs w:val="20"/>
        </w:rPr>
        <w:t>destinés</w:t>
      </w:r>
      <w:r w:rsidR="00DB1635" w:rsidRPr="00B004EE">
        <w:rPr>
          <w:rFonts w:ascii="Tahoma" w:hAnsi="Tahoma" w:cs="Tahoma"/>
          <w:sz w:val="20"/>
          <w:szCs w:val="20"/>
        </w:rPr>
        <w:t xml:space="preserve"> </w:t>
      </w:r>
      <w:r w:rsidR="002F24E1" w:rsidRPr="00B004EE">
        <w:rPr>
          <w:rFonts w:ascii="Tahoma" w:hAnsi="Tahoma" w:cs="Tahoma"/>
          <w:sz w:val="20"/>
          <w:szCs w:val="20"/>
        </w:rPr>
        <w:t>à</w:t>
      </w:r>
      <w:r w:rsidR="00DB1635" w:rsidRPr="00B004EE">
        <w:rPr>
          <w:rFonts w:ascii="Tahoma" w:hAnsi="Tahoma" w:cs="Tahoma"/>
          <w:sz w:val="20"/>
          <w:szCs w:val="20"/>
        </w:rPr>
        <w:t xml:space="preserve"> </w:t>
      </w:r>
      <w:r w:rsidR="002F24E1" w:rsidRPr="00B004EE">
        <w:rPr>
          <w:rFonts w:ascii="Tahoma" w:hAnsi="Tahoma" w:cs="Tahoma"/>
          <w:sz w:val="20"/>
          <w:szCs w:val="20"/>
        </w:rPr>
        <w:t>la</w:t>
      </w:r>
      <w:r w:rsidR="00DB1635" w:rsidRPr="00B004EE">
        <w:rPr>
          <w:rFonts w:ascii="Tahoma" w:hAnsi="Tahoma" w:cs="Tahoma"/>
          <w:sz w:val="20"/>
          <w:szCs w:val="20"/>
        </w:rPr>
        <w:t xml:space="preserve"> </w:t>
      </w:r>
      <w:r w:rsidR="002F24E1" w:rsidRPr="00B004EE">
        <w:rPr>
          <w:rFonts w:ascii="Tahoma" w:hAnsi="Tahoma" w:cs="Tahoma"/>
          <w:sz w:val="20"/>
          <w:szCs w:val="20"/>
        </w:rPr>
        <w:t>consommation</w:t>
      </w:r>
      <w:r w:rsidR="00DB1635" w:rsidRPr="00B004EE">
        <w:rPr>
          <w:rFonts w:ascii="Tahoma" w:hAnsi="Tahoma" w:cs="Tahoma"/>
          <w:sz w:val="20"/>
          <w:szCs w:val="20"/>
        </w:rPr>
        <w:t xml:space="preserve"> </w:t>
      </w:r>
      <w:r w:rsidR="002F24E1" w:rsidRPr="00B004EE">
        <w:rPr>
          <w:rFonts w:ascii="Tahoma" w:hAnsi="Tahoma" w:cs="Tahoma"/>
          <w:sz w:val="20"/>
          <w:szCs w:val="20"/>
        </w:rPr>
        <w:t>humaine</w:t>
      </w:r>
      <w:r w:rsidR="00DB1635" w:rsidRPr="00B004EE">
        <w:rPr>
          <w:rFonts w:ascii="Tahoma" w:hAnsi="Tahoma" w:cs="Tahoma"/>
          <w:sz w:val="20"/>
          <w:szCs w:val="20"/>
        </w:rPr>
        <w:t xml:space="preserve"> </w:t>
      </w:r>
      <w:r w:rsidR="002F24E1" w:rsidRPr="00B004EE">
        <w:rPr>
          <w:rFonts w:ascii="Tahoma" w:hAnsi="Tahoma" w:cs="Tahoma"/>
          <w:sz w:val="20"/>
          <w:szCs w:val="20"/>
        </w:rPr>
        <w:t>doivent</w:t>
      </w:r>
      <w:r w:rsidR="00DB1635" w:rsidRPr="00B004EE">
        <w:rPr>
          <w:rFonts w:ascii="Tahoma" w:hAnsi="Tahoma" w:cs="Tahoma"/>
          <w:sz w:val="20"/>
          <w:szCs w:val="20"/>
        </w:rPr>
        <w:t xml:space="preserve"> </w:t>
      </w:r>
      <w:r w:rsidR="002F24E1" w:rsidRPr="00B004EE">
        <w:rPr>
          <w:rFonts w:ascii="Tahoma" w:hAnsi="Tahoma" w:cs="Tahoma"/>
          <w:sz w:val="20"/>
          <w:szCs w:val="20"/>
        </w:rPr>
        <w:t>être</w:t>
      </w:r>
      <w:r w:rsidR="00DB1635" w:rsidRPr="00B004EE">
        <w:rPr>
          <w:rFonts w:ascii="Tahoma" w:hAnsi="Tahoma" w:cs="Tahoma"/>
          <w:sz w:val="20"/>
          <w:szCs w:val="20"/>
        </w:rPr>
        <w:t xml:space="preserve"> </w:t>
      </w:r>
      <w:r w:rsidR="002F24E1" w:rsidRPr="00B004EE">
        <w:rPr>
          <w:rFonts w:ascii="Tahoma" w:hAnsi="Tahoma" w:cs="Tahoma"/>
          <w:sz w:val="20"/>
          <w:szCs w:val="20"/>
        </w:rPr>
        <w:t>effectué</w:t>
      </w:r>
      <w:r w:rsidR="00DB1635" w:rsidRPr="00B004EE">
        <w:rPr>
          <w:rFonts w:ascii="Tahoma" w:hAnsi="Tahoma" w:cs="Tahoma"/>
          <w:sz w:val="20"/>
          <w:szCs w:val="20"/>
        </w:rPr>
        <w:t xml:space="preserve"> </w:t>
      </w:r>
      <w:r w:rsidR="002F24E1" w:rsidRPr="00B004EE">
        <w:rPr>
          <w:rFonts w:ascii="Tahoma" w:hAnsi="Tahoma" w:cs="Tahoma"/>
          <w:sz w:val="20"/>
          <w:szCs w:val="20"/>
        </w:rPr>
        <w:t>dans</w:t>
      </w:r>
      <w:r w:rsidR="00DB1635" w:rsidRPr="00B004EE">
        <w:rPr>
          <w:rFonts w:ascii="Tahoma" w:hAnsi="Tahoma" w:cs="Tahoma"/>
          <w:sz w:val="20"/>
          <w:szCs w:val="20"/>
        </w:rPr>
        <w:t xml:space="preserve"> </w:t>
      </w:r>
      <w:r w:rsidR="002F24E1" w:rsidRPr="00B004EE">
        <w:rPr>
          <w:rFonts w:ascii="Tahoma" w:hAnsi="Tahoma" w:cs="Tahoma"/>
          <w:sz w:val="20"/>
          <w:szCs w:val="20"/>
        </w:rPr>
        <w:t>des</w:t>
      </w:r>
      <w:r w:rsidR="00DB1635" w:rsidRPr="00B004EE">
        <w:rPr>
          <w:rFonts w:ascii="Tahoma" w:hAnsi="Tahoma" w:cs="Tahoma"/>
          <w:sz w:val="20"/>
          <w:szCs w:val="20"/>
        </w:rPr>
        <w:t xml:space="preserve"> </w:t>
      </w:r>
      <w:r w:rsidR="002F24E1" w:rsidRPr="00B004EE">
        <w:rPr>
          <w:rFonts w:ascii="Tahoma" w:hAnsi="Tahoma" w:cs="Tahoma"/>
          <w:sz w:val="20"/>
          <w:szCs w:val="20"/>
        </w:rPr>
        <w:t>établissements</w:t>
      </w:r>
      <w:r w:rsidR="00DB1635" w:rsidRPr="00B004EE">
        <w:rPr>
          <w:rFonts w:ascii="Tahoma" w:hAnsi="Tahoma" w:cs="Tahoma"/>
          <w:sz w:val="20"/>
          <w:szCs w:val="20"/>
        </w:rPr>
        <w:t xml:space="preserve"> </w:t>
      </w:r>
      <w:r w:rsidR="002F24E1" w:rsidRPr="00B004EE">
        <w:rPr>
          <w:rFonts w:ascii="Tahoma" w:hAnsi="Tahoma" w:cs="Tahoma"/>
          <w:sz w:val="20"/>
          <w:szCs w:val="20"/>
        </w:rPr>
        <w:t>autorisés</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agréés</w:t>
      </w:r>
      <w:r w:rsidR="00DB1635" w:rsidRPr="00B004EE">
        <w:rPr>
          <w:rFonts w:ascii="Tahoma" w:hAnsi="Tahoma" w:cs="Tahoma"/>
          <w:sz w:val="20"/>
          <w:szCs w:val="20"/>
        </w:rPr>
        <w:t xml:space="preserve"> </w:t>
      </w:r>
      <w:r w:rsidR="002F24E1" w:rsidRPr="00B004EE">
        <w:rPr>
          <w:rFonts w:ascii="Tahoma" w:hAnsi="Tahoma" w:cs="Tahoma"/>
          <w:sz w:val="20"/>
          <w:szCs w:val="20"/>
        </w:rPr>
        <w:t>par</w:t>
      </w:r>
      <w:r w:rsidR="00DB1635" w:rsidRPr="00B004EE">
        <w:rPr>
          <w:rFonts w:ascii="Tahoma" w:hAnsi="Tahoma" w:cs="Tahoma"/>
          <w:sz w:val="20"/>
          <w:szCs w:val="20"/>
        </w:rPr>
        <w:t xml:space="preserve"> </w:t>
      </w:r>
      <w:r w:rsidR="002F24E1" w:rsidRPr="00B004EE">
        <w:rPr>
          <w:rFonts w:ascii="Tahoma" w:hAnsi="Tahoma" w:cs="Tahoma"/>
          <w:sz w:val="20"/>
          <w:szCs w:val="20"/>
        </w:rPr>
        <w:t>le</w:t>
      </w:r>
      <w:r w:rsidR="00DB1635" w:rsidRPr="00B004EE">
        <w:rPr>
          <w:rFonts w:ascii="Tahoma" w:hAnsi="Tahoma" w:cs="Tahoma"/>
          <w:sz w:val="20"/>
          <w:szCs w:val="20"/>
        </w:rPr>
        <w:t xml:space="preserve"> </w:t>
      </w:r>
      <w:r w:rsidR="002F24E1" w:rsidRPr="00B004EE">
        <w:rPr>
          <w:rFonts w:ascii="Tahoma" w:hAnsi="Tahoma" w:cs="Tahoma"/>
          <w:sz w:val="20"/>
          <w:szCs w:val="20"/>
        </w:rPr>
        <w:t>Ministre</w:t>
      </w:r>
      <w:r w:rsidR="00DB1635" w:rsidRPr="00B004EE">
        <w:rPr>
          <w:rFonts w:ascii="Tahoma" w:hAnsi="Tahoma" w:cs="Tahoma"/>
          <w:sz w:val="20"/>
          <w:szCs w:val="20"/>
        </w:rPr>
        <w:t xml:space="preserve"> </w:t>
      </w:r>
      <w:r w:rsidR="002F24E1" w:rsidRPr="00B004EE">
        <w:rPr>
          <w:rFonts w:ascii="Tahoma" w:hAnsi="Tahoma" w:cs="Tahoma"/>
          <w:sz w:val="20"/>
          <w:szCs w:val="20"/>
        </w:rPr>
        <w:t>chargé</w:t>
      </w:r>
      <w:r w:rsidR="00DB1635" w:rsidRPr="00B004EE">
        <w:rPr>
          <w:rFonts w:ascii="Tahoma" w:hAnsi="Tahoma" w:cs="Tahoma"/>
          <w:sz w:val="20"/>
          <w:szCs w:val="20"/>
        </w:rPr>
        <w:t xml:space="preserve"> </w:t>
      </w:r>
      <w:r w:rsidR="002F24E1" w:rsidRPr="00B004EE">
        <w:rPr>
          <w:rFonts w:ascii="Tahoma" w:hAnsi="Tahoma" w:cs="Tahoma"/>
          <w:sz w:val="20"/>
          <w:szCs w:val="20"/>
        </w:rPr>
        <w:t>des</w:t>
      </w:r>
      <w:r w:rsidR="00DB1635" w:rsidRPr="00B004EE">
        <w:rPr>
          <w:rFonts w:ascii="Tahoma" w:hAnsi="Tahoma" w:cs="Tahoma"/>
          <w:sz w:val="20"/>
          <w:szCs w:val="20"/>
        </w:rPr>
        <w:t xml:space="preserve"> </w:t>
      </w:r>
      <w:r w:rsidR="002F24E1" w:rsidRPr="00B004EE">
        <w:rPr>
          <w:rFonts w:ascii="Tahoma" w:hAnsi="Tahoma" w:cs="Tahoma"/>
          <w:sz w:val="20"/>
          <w:szCs w:val="20"/>
        </w:rPr>
        <w:t>pêches.</w:t>
      </w:r>
      <w:r w:rsidR="00DB1635" w:rsidRPr="00B004EE">
        <w:rPr>
          <w:rFonts w:ascii="Tahoma" w:hAnsi="Tahoma" w:cs="Tahoma"/>
          <w:sz w:val="20"/>
          <w:szCs w:val="20"/>
        </w:rPr>
        <w:t xml:space="preserve"> </w:t>
      </w:r>
    </w:p>
    <w:p w14:paraId="24E41A0A" w14:textId="77777777" w:rsidR="002F24E1" w:rsidRPr="00C323AB" w:rsidRDefault="002F24E1" w:rsidP="00B004EE">
      <w:pPr>
        <w:jc w:val="both"/>
        <w:rPr>
          <w:rFonts w:ascii="Tahoma" w:hAnsi="Tahoma" w:cs="Tahoma"/>
          <w:sz w:val="18"/>
          <w:szCs w:val="18"/>
        </w:rPr>
      </w:pPr>
    </w:p>
    <w:p w14:paraId="5DC7AE40" w14:textId="65476BDC" w:rsidR="002F24E1" w:rsidRPr="00B004EE" w:rsidRDefault="00FE579E" w:rsidP="00B004EE">
      <w:pPr>
        <w:jc w:val="both"/>
        <w:rPr>
          <w:rFonts w:ascii="Tahoma" w:hAnsi="Tahoma" w:cs="Tahoma"/>
          <w:sz w:val="20"/>
          <w:szCs w:val="20"/>
        </w:rPr>
      </w:pPr>
      <w:r w:rsidRPr="00C323AB">
        <w:rPr>
          <w:rFonts w:ascii="Tahoma" w:hAnsi="Tahoma" w:cs="Tahoma"/>
          <w:b/>
          <w:bCs/>
          <w:sz w:val="20"/>
          <w:szCs w:val="20"/>
        </w:rPr>
        <w:t xml:space="preserve">Article </w:t>
      </w:r>
      <w:r w:rsidR="002F24E1" w:rsidRPr="00C323AB">
        <w:rPr>
          <w:rFonts w:ascii="Tahoma" w:hAnsi="Tahoma" w:cs="Tahoma"/>
          <w:b/>
          <w:bCs/>
          <w:sz w:val="20"/>
          <w:szCs w:val="20"/>
        </w:rPr>
        <w:t>4</w:t>
      </w:r>
      <w:r w:rsidR="00DB1635" w:rsidRPr="00C323AB">
        <w:rPr>
          <w:rFonts w:ascii="Tahoma" w:hAnsi="Tahoma" w:cs="Tahoma"/>
          <w:b/>
          <w:bCs/>
          <w:sz w:val="20"/>
          <w:szCs w:val="20"/>
        </w:rPr>
        <w:t xml:space="preserve"> </w:t>
      </w:r>
      <w:r w:rsidR="002F24E1" w:rsidRPr="00C323AB">
        <w:rPr>
          <w:rFonts w:ascii="Tahoma" w:hAnsi="Tahoma" w:cs="Tahoma"/>
          <w:b/>
          <w:bCs/>
          <w:sz w:val="20"/>
          <w:szCs w:val="20"/>
        </w:rPr>
        <w:t>:</w:t>
      </w:r>
      <w:r w:rsidR="00DB1635" w:rsidRPr="00B004EE">
        <w:rPr>
          <w:rFonts w:ascii="Tahoma" w:hAnsi="Tahoma" w:cs="Tahoma"/>
          <w:sz w:val="20"/>
          <w:szCs w:val="20"/>
        </w:rPr>
        <w:t xml:space="preserve"> </w:t>
      </w:r>
      <w:r w:rsidR="002F24E1" w:rsidRPr="00B004EE">
        <w:rPr>
          <w:rFonts w:ascii="Tahoma" w:hAnsi="Tahoma" w:cs="Tahoma"/>
          <w:sz w:val="20"/>
          <w:szCs w:val="20"/>
        </w:rPr>
        <w:t>L'inspection</w:t>
      </w:r>
      <w:r w:rsidR="00DB1635" w:rsidRPr="00B004EE">
        <w:rPr>
          <w:rFonts w:ascii="Tahoma" w:hAnsi="Tahoma" w:cs="Tahoma"/>
          <w:sz w:val="20"/>
          <w:szCs w:val="20"/>
        </w:rPr>
        <w:t xml:space="preserve"> </w:t>
      </w:r>
      <w:r w:rsidR="002F24E1" w:rsidRPr="00B004EE">
        <w:rPr>
          <w:rFonts w:ascii="Tahoma" w:hAnsi="Tahoma" w:cs="Tahoma"/>
          <w:sz w:val="20"/>
          <w:szCs w:val="20"/>
        </w:rPr>
        <w:t>sanitaire</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le</w:t>
      </w:r>
      <w:r w:rsidR="00DB1635" w:rsidRPr="00B004EE">
        <w:rPr>
          <w:rFonts w:ascii="Tahoma" w:hAnsi="Tahoma" w:cs="Tahoma"/>
          <w:sz w:val="20"/>
          <w:szCs w:val="20"/>
        </w:rPr>
        <w:t xml:space="preserve"> </w:t>
      </w:r>
      <w:r w:rsidR="002F24E1" w:rsidRPr="00B004EE">
        <w:rPr>
          <w:rFonts w:ascii="Tahoma" w:hAnsi="Tahoma" w:cs="Tahoma"/>
          <w:sz w:val="20"/>
          <w:szCs w:val="20"/>
        </w:rPr>
        <w:t>contrôle</w:t>
      </w:r>
      <w:r w:rsidR="00DB1635" w:rsidRPr="00B004EE">
        <w:rPr>
          <w:rFonts w:ascii="Tahoma" w:hAnsi="Tahoma" w:cs="Tahoma"/>
          <w:sz w:val="20"/>
          <w:szCs w:val="20"/>
        </w:rPr>
        <w:t xml:space="preserve"> </w:t>
      </w:r>
      <w:r w:rsidR="002F24E1" w:rsidRPr="00B004EE">
        <w:rPr>
          <w:rFonts w:ascii="Tahoma" w:hAnsi="Tahoma" w:cs="Tahoma"/>
          <w:sz w:val="20"/>
          <w:szCs w:val="20"/>
        </w:rPr>
        <w:t>en</w:t>
      </w:r>
      <w:r w:rsidR="00DB1635" w:rsidRPr="00B004EE">
        <w:rPr>
          <w:rFonts w:ascii="Tahoma" w:hAnsi="Tahoma" w:cs="Tahoma"/>
          <w:sz w:val="20"/>
          <w:szCs w:val="20"/>
        </w:rPr>
        <w:t xml:space="preserve"> </w:t>
      </w:r>
      <w:r w:rsidR="002F24E1" w:rsidRPr="00B004EE">
        <w:rPr>
          <w:rFonts w:ascii="Tahoma" w:hAnsi="Tahoma" w:cs="Tahoma"/>
          <w:sz w:val="20"/>
          <w:szCs w:val="20"/>
        </w:rPr>
        <w:t>tout</w:t>
      </w:r>
      <w:r w:rsidR="00DB1635" w:rsidRPr="00B004EE">
        <w:rPr>
          <w:rFonts w:ascii="Tahoma" w:hAnsi="Tahoma" w:cs="Tahoma"/>
          <w:sz w:val="20"/>
          <w:szCs w:val="20"/>
        </w:rPr>
        <w:t xml:space="preserve"> </w:t>
      </w:r>
      <w:r w:rsidR="002F24E1" w:rsidRPr="00B004EE">
        <w:rPr>
          <w:rFonts w:ascii="Tahoma" w:hAnsi="Tahoma" w:cs="Tahoma"/>
          <w:sz w:val="20"/>
          <w:szCs w:val="20"/>
        </w:rPr>
        <w:t>lieu</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collecte,</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transport,</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manipulation,</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traitement,</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transformation</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d’entreposage</w:t>
      </w:r>
      <w:r w:rsidR="00DB1635" w:rsidRPr="00B004EE">
        <w:rPr>
          <w:rFonts w:ascii="Tahoma" w:hAnsi="Tahoma" w:cs="Tahoma"/>
          <w:sz w:val="20"/>
          <w:szCs w:val="20"/>
        </w:rPr>
        <w:t xml:space="preserve"> </w:t>
      </w:r>
      <w:r w:rsidR="002F24E1" w:rsidRPr="00B004EE">
        <w:rPr>
          <w:rFonts w:ascii="Tahoma" w:hAnsi="Tahoma" w:cs="Tahoma"/>
          <w:sz w:val="20"/>
          <w:szCs w:val="20"/>
        </w:rPr>
        <w:t>des</w:t>
      </w:r>
      <w:r w:rsidR="00DB1635" w:rsidRPr="00B004EE">
        <w:rPr>
          <w:rFonts w:ascii="Tahoma" w:hAnsi="Tahoma" w:cs="Tahoma"/>
          <w:sz w:val="20"/>
          <w:szCs w:val="20"/>
        </w:rPr>
        <w:t xml:space="preserve"> </w:t>
      </w:r>
      <w:r w:rsidR="002F24E1" w:rsidRPr="00B004EE">
        <w:rPr>
          <w:rFonts w:ascii="Tahoma" w:hAnsi="Tahoma" w:cs="Tahoma"/>
          <w:sz w:val="20"/>
          <w:szCs w:val="20"/>
        </w:rPr>
        <w:t>sous</w:t>
      </w:r>
      <w:r w:rsidR="00DB1635" w:rsidRPr="00B004EE">
        <w:rPr>
          <w:rFonts w:ascii="Tahoma" w:hAnsi="Tahoma" w:cs="Tahoma"/>
          <w:sz w:val="20"/>
          <w:szCs w:val="20"/>
        </w:rPr>
        <w:t xml:space="preserve"> </w:t>
      </w:r>
      <w:r w:rsidR="002F24E1" w:rsidRPr="00B004EE">
        <w:rPr>
          <w:rFonts w:ascii="Tahoma" w:hAnsi="Tahoma" w:cs="Tahoma"/>
          <w:sz w:val="20"/>
          <w:szCs w:val="20"/>
        </w:rPr>
        <w:t>produits</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pêche</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produits</w:t>
      </w:r>
      <w:r w:rsidR="00DB1635" w:rsidRPr="00B004EE">
        <w:rPr>
          <w:rFonts w:ascii="Tahoma" w:hAnsi="Tahoma" w:cs="Tahoma"/>
          <w:sz w:val="20"/>
          <w:szCs w:val="20"/>
        </w:rPr>
        <w:t xml:space="preserve"> </w:t>
      </w:r>
      <w:r w:rsidR="002F24E1" w:rsidRPr="00B004EE">
        <w:rPr>
          <w:rFonts w:ascii="Tahoma" w:hAnsi="Tahoma" w:cs="Tahoma"/>
          <w:sz w:val="20"/>
          <w:szCs w:val="20"/>
        </w:rPr>
        <w:t>dérivés</w:t>
      </w:r>
      <w:r w:rsidR="00DB1635" w:rsidRPr="00B004EE">
        <w:rPr>
          <w:rFonts w:ascii="Tahoma" w:hAnsi="Tahoma" w:cs="Tahoma"/>
          <w:sz w:val="20"/>
          <w:szCs w:val="20"/>
        </w:rPr>
        <w:t xml:space="preserve"> </w:t>
      </w:r>
      <w:r w:rsidR="002F24E1" w:rsidRPr="00B004EE">
        <w:rPr>
          <w:rFonts w:ascii="Tahoma" w:hAnsi="Tahoma" w:cs="Tahoma"/>
          <w:sz w:val="20"/>
          <w:szCs w:val="20"/>
        </w:rPr>
        <w:t>non</w:t>
      </w:r>
      <w:r w:rsidR="00DB1635" w:rsidRPr="00B004EE">
        <w:rPr>
          <w:rFonts w:ascii="Tahoma" w:hAnsi="Tahoma" w:cs="Tahoma"/>
          <w:sz w:val="20"/>
          <w:szCs w:val="20"/>
        </w:rPr>
        <w:t xml:space="preserve"> </w:t>
      </w:r>
      <w:r w:rsidR="002F24E1" w:rsidRPr="00B004EE">
        <w:rPr>
          <w:rFonts w:ascii="Tahoma" w:hAnsi="Tahoma" w:cs="Tahoma"/>
          <w:sz w:val="20"/>
          <w:szCs w:val="20"/>
        </w:rPr>
        <w:t>destinés</w:t>
      </w:r>
      <w:r w:rsidR="00DB1635" w:rsidRPr="00B004EE">
        <w:rPr>
          <w:rFonts w:ascii="Tahoma" w:hAnsi="Tahoma" w:cs="Tahoma"/>
          <w:sz w:val="20"/>
          <w:szCs w:val="20"/>
        </w:rPr>
        <w:t xml:space="preserve"> </w:t>
      </w:r>
      <w:r w:rsidR="002F24E1" w:rsidRPr="00B004EE">
        <w:rPr>
          <w:rFonts w:ascii="Tahoma" w:hAnsi="Tahoma" w:cs="Tahoma"/>
          <w:sz w:val="20"/>
          <w:szCs w:val="20"/>
        </w:rPr>
        <w:t>à</w:t>
      </w:r>
      <w:r w:rsidR="00DB1635" w:rsidRPr="00B004EE">
        <w:rPr>
          <w:rFonts w:ascii="Tahoma" w:hAnsi="Tahoma" w:cs="Tahoma"/>
          <w:sz w:val="20"/>
          <w:szCs w:val="20"/>
        </w:rPr>
        <w:t xml:space="preserve"> </w:t>
      </w:r>
      <w:r w:rsidR="002F24E1" w:rsidRPr="00B004EE">
        <w:rPr>
          <w:rFonts w:ascii="Tahoma" w:hAnsi="Tahoma" w:cs="Tahoma"/>
          <w:sz w:val="20"/>
          <w:szCs w:val="20"/>
        </w:rPr>
        <w:t>la</w:t>
      </w:r>
      <w:r w:rsidR="00DB1635" w:rsidRPr="00B004EE">
        <w:rPr>
          <w:rFonts w:ascii="Tahoma" w:hAnsi="Tahoma" w:cs="Tahoma"/>
          <w:sz w:val="20"/>
          <w:szCs w:val="20"/>
        </w:rPr>
        <w:t xml:space="preserve"> </w:t>
      </w:r>
      <w:r w:rsidR="002F24E1" w:rsidRPr="00B004EE">
        <w:rPr>
          <w:rFonts w:ascii="Tahoma" w:hAnsi="Tahoma" w:cs="Tahoma"/>
          <w:sz w:val="20"/>
          <w:szCs w:val="20"/>
        </w:rPr>
        <w:t>consommation</w:t>
      </w:r>
      <w:r w:rsidR="00DB1635" w:rsidRPr="00B004EE">
        <w:rPr>
          <w:rFonts w:ascii="Tahoma" w:hAnsi="Tahoma" w:cs="Tahoma"/>
          <w:sz w:val="20"/>
          <w:szCs w:val="20"/>
        </w:rPr>
        <w:t xml:space="preserve"> </w:t>
      </w:r>
      <w:r w:rsidR="002F24E1" w:rsidRPr="00B004EE">
        <w:rPr>
          <w:rFonts w:ascii="Tahoma" w:hAnsi="Tahoma" w:cs="Tahoma"/>
          <w:sz w:val="20"/>
          <w:szCs w:val="20"/>
        </w:rPr>
        <w:t>humaine</w:t>
      </w:r>
      <w:r w:rsidR="00DB1635" w:rsidRPr="00B004EE">
        <w:rPr>
          <w:rFonts w:ascii="Tahoma" w:hAnsi="Tahoma" w:cs="Tahoma"/>
          <w:sz w:val="20"/>
          <w:szCs w:val="20"/>
        </w:rPr>
        <w:t xml:space="preserve"> </w:t>
      </w:r>
      <w:r w:rsidR="002F24E1" w:rsidRPr="00B004EE">
        <w:rPr>
          <w:rFonts w:ascii="Tahoma" w:hAnsi="Tahoma" w:cs="Tahoma"/>
          <w:sz w:val="20"/>
          <w:szCs w:val="20"/>
        </w:rPr>
        <w:t>s’effectuent</w:t>
      </w:r>
      <w:r w:rsidR="00DB1635" w:rsidRPr="00B004EE">
        <w:rPr>
          <w:rFonts w:ascii="Tahoma" w:hAnsi="Tahoma" w:cs="Tahoma"/>
          <w:sz w:val="20"/>
          <w:szCs w:val="20"/>
        </w:rPr>
        <w:t xml:space="preserve"> </w:t>
      </w:r>
      <w:r w:rsidR="002F24E1" w:rsidRPr="00B004EE">
        <w:rPr>
          <w:rFonts w:ascii="Tahoma" w:hAnsi="Tahoma" w:cs="Tahoma"/>
          <w:sz w:val="20"/>
          <w:szCs w:val="20"/>
        </w:rPr>
        <w:t>conformément</w:t>
      </w:r>
      <w:r w:rsidR="00DB1635" w:rsidRPr="00B004EE">
        <w:rPr>
          <w:rFonts w:ascii="Tahoma" w:hAnsi="Tahoma" w:cs="Tahoma"/>
          <w:sz w:val="20"/>
          <w:szCs w:val="20"/>
        </w:rPr>
        <w:t xml:space="preserve"> </w:t>
      </w:r>
      <w:r w:rsidR="002F24E1" w:rsidRPr="00B004EE">
        <w:rPr>
          <w:rFonts w:ascii="Tahoma" w:hAnsi="Tahoma" w:cs="Tahoma"/>
          <w:sz w:val="20"/>
          <w:szCs w:val="20"/>
        </w:rPr>
        <w:t>aux</w:t>
      </w:r>
      <w:r w:rsidR="00DB1635" w:rsidRPr="00B004EE">
        <w:rPr>
          <w:rFonts w:ascii="Tahoma" w:hAnsi="Tahoma" w:cs="Tahoma"/>
          <w:sz w:val="20"/>
          <w:szCs w:val="20"/>
        </w:rPr>
        <w:t xml:space="preserve"> </w:t>
      </w:r>
      <w:r w:rsidR="002F24E1" w:rsidRPr="00B004EE">
        <w:rPr>
          <w:rFonts w:ascii="Tahoma" w:hAnsi="Tahoma" w:cs="Tahoma"/>
          <w:sz w:val="20"/>
          <w:szCs w:val="20"/>
        </w:rPr>
        <w:t>modalités</w:t>
      </w:r>
      <w:r w:rsidR="00DB1635" w:rsidRPr="00B004EE">
        <w:rPr>
          <w:rFonts w:ascii="Tahoma" w:hAnsi="Tahoma" w:cs="Tahoma"/>
          <w:sz w:val="20"/>
          <w:szCs w:val="20"/>
        </w:rPr>
        <w:t xml:space="preserve"> </w:t>
      </w:r>
      <w:r w:rsidR="002F24E1" w:rsidRPr="00B004EE">
        <w:rPr>
          <w:rFonts w:ascii="Tahoma" w:hAnsi="Tahoma" w:cs="Tahoma"/>
          <w:sz w:val="20"/>
          <w:szCs w:val="20"/>
        </w:rPr>
        <w:t>prévues</w:t>
      </w:r>
      <w:r w:rsidR="00DB1635" w:rsidRPr="00B004EE">
        <w:rPr>
          <w:rFonts w:ascii="Tahoma" w:hAnsi="Tahoma" w:cs="Tahoma"/>
          <w:sz w:val="20"/>
          <w:szCs w:val="20"/>
        </w:rPr>
        <w:t xml:space="preserve"> </w:t>
      </w:r>
      <w:r w:rsidR="002F24E1" w:rsidRPr="00B004EE">
        <w:rPr>
          <w:rFonts w:ascii="Tahoma" w:hAnsi="Tahoma" w:cs="Tahoma"/>
          <w:sz w:val="20"/>
          <w:szCs w:val="20"/>
        </w:rPr>
        <w:t>dans</w:t>
      </w:r>
      <w:r w:rsidR="00DB1635" w:rsidRPr="00B004EE">
        <w:rPr>
          <w:rFonts w:ascii="Tahoma" w:hAnsi="Tahoma" w:cs="Tahoma"/>
          <w:sz w:val="20"/>
          <w:szCs w:val="20"/>
        </w:rPr>
        <w:t xml:space="preserve"> </w:t>
      </w:r>
      <w:r w:rsidR="002F24E1" w:rsidRPr="00B004EE">
        <w:rPr>
          <w:rFonts w:ascii="Tahoma" w:hAnsi="Tahoma" w:cs="Tahoma"/>
          <w:sz w:val="20"/>
          <w:szCs w:val="20"/>
        </w:rPr>
        <w:t>le</w:t>
      </w:r>
      <w:r w:rsidR="00DB1635" w:rsidRPr="00B004EE">
        <w:rPr>
          <w:rFonts w:ascii="Tahoma" w:hAnsi="Tahoma" w:cs="Tahoma"/>
          <w:sz w:val="20"/>
          <w:szCs w:val="20"/>
        </w:rPr>
        <w:t xml:space="preserve"> </w:t>
      </w:r>
      <w:r w:rsidR="002F24E1" w:rsidRPr="00B004EE">
        <w:rPr>
          <w:rFonts w:ascii="Tahoma" w:hAnsi="Tahoma" w:cs="Tahoma"/>
          <w:sz w:val="20"/>
          <w:szCs w:val="20"/>
        </w:rPr>
        <w:t>décret</w:t>
      </w:r>
      <w:r w:rsidR="00DB1635" w:rsidRPr="00B004EE">
        <w:rPr>
          <w:rFonts w:ascii="Tahoma" w:hAnsi="Tahoma" w:cs="Tahoma"/>
          <w:sz w:val="20"/>
          <w:szCs w:val="20"/>
        </w:rPr>
        <w:t xml:space="preserve"> </w:t>
      </w:r>
      <w:r w:rsidR="002F24E1" w:rsidRPr="00B004EE">
        <w:rPr>
          <w:rFonts w:ascii="Tahoma" w:hAnsi="Tahoma" w:cs="Tahoma"/>
          <w:sz w:val="20"/>
          <w:szCs w:val="20"/>
        </w:rPr>
        <w:t>n°</w:t>
      </w:r>
      <w:r w:rsidR="00DB1635" w:rsidRPr="00B004EE">
        <w:rPr>
          <w:rFonts w:ascii="Tahoma" w:hAnsi="Tahoma" w:cs="Tahoma"/>
          <w:sz w:val="20"/>
          <w:szCs w:val="20"/>
        </w:rPr>
        <w:t xml:space="preserve"> </w:t>
      </w:r>
      <w:r w:rsidR="002F24E1" w:rsidRPr="00B004EE">
        <w:rPr>
          <w:rFonts w:ascii="Tahoma" w:hAnsi="Tahoma" w:cs="Tahoma"/>
          <w:sz w:val="20"/>
          <w:szCs w:val="20"/>
        </w:rPr>
        <w:t>81/62</w:t>
      </w:r>
      <w:r w:rsidR="00DB1635" w:rsidRPr="00B004EE">
        <w:rPr>
          <w:rFonts w:ascii="Tahoma" w:hAnsi="Tahoma" w:cs="Tahoma"/>
          <w:sz w:val="20"/>
          <w:szCs w:val="20"/>
        </w:rPr>
        <w:t xml:space="preserve"> </w:t>
      </w:r>
      <w:r w:rsidR="002F24E1" w:rsidRPr="00B004EE">
        <w:rPr>
          <w:rFonts w:ascii="Tahoma" w:hAnsi="Tahoma" w:cs="Tahoma"/>
          <w:sz w:val="20"/>
          <w:szCs w:val="20"/>
        </w:rPr>
        <w:t>du</w:t>
      </w:r>
      <w:r w:rsidR="00DB1635" w:rsidRPr="00B004EE">
        <w:rPr>
          <w:rFonts w:ascii="Tahoma" w:hAnsi="Tahoma" w:cs="Tahoma"/>
          <w:sz w:val="20"/>
          <w:szCs w:val="20"/>
        </w:rPr>
        <w:t xml:space="preserve"> </w:t>
      </w:r>
      <w:r w:rsidR="002F24E1" w:rsidRPr="00B004EE">
        <w:rPr>
          <w:rFonts w:ascii="Tahoma" w:hAnsi="Tahoma" w:cs="Tahoma"/>
          <w:sz w:val="20"/>
          <w:szCs w:val="20"/>
        </w:rPr>
        <w:t>2</w:t>
      </w:r>
      <w:r w:rsidR="00DB1635" w:rsidRPr="00B004EE">
        <w:rPr>
          <w:rFonts w:ascii="Tahoma" w:hAnsi="Tahoma" w:cs="Tahoma"/>
          <w:sz w:val="20"/>
          <w:szCs w:val="20"/>
        </w:rPr>
        <w:t xml:space="preserve"> </w:t>
      </w:r>
      <w:r w:rsidR="002F24E1" w:rsidRPr="00B004EE">
        <w:rPr>
          <w:rFonts w:ascii="Tahoma" w:hAnsi="Tahoma" w:cs="Tahoma"/>
          <w:sz w:val="20"/>
          <w:szCs w:val="20"/>
        </w:rPr>
        <w:t>avril</w:t>
      </w:r>
      <w:r w:rsidR="00DB1635" w:rsidRPr="00B004EE">
        <w:rPr>
          <w:rFonts w:ascii="Tahoma" w:hAnsi="Tahoma" w:cs="Tahoma"/>
          <w:sz w:val="20"/>
          <w:szCs w:val="20"/>
        </w:rPr>
        <w:t xml:space="preserve"> </w:t>
      </w:r>
      <w:r w:rsidR="002F24E1" w:rsidRPr="00B004EE">
        <w:rPr>
          <w:rFonts w:ascii="Tahoma" w:hAnsi="Tahoma" w:cs="Tahoma"/>
          <w:sz w:val="20"/>
          <w:szCs w:val="20"/>
        </w:rPr>
        <w:t>1981</w:t>
      </w:r>
      <w:r w:rsidR="00DB1635" w:rsidRPr="00B004EE">
        <w:rPr>
          <w:rFonts w:ascii="Tahoma" w:hAnsi="Tahoma" w:cs="Tahoma"/>
          <w:sz w:val="20"/>
          <w:szCs w:val="20"/>
        </w:rPr>
        <w:t xml:space="preserve"> </w:t>
      </w:r>
      <w:r w:rsidR="002F24E1" w:rsidRPr="00B004EE">
        <w:rPr>
          <w:rFonts w:ascii="Tahoma" w:hAnsi="Tahoma" w:cs="Tahoma"/>
          <w:sz w:val="20"/>
          <w:szCs w:val="20"/>
        </w:rPr>
        <w:t>portant</w:t>
      </w:r>
      <w:r w:rsidR="00DB1635" w:rsidRPr="00B004EE">
        <w:rPr>
          <w:rFonts w:ascii="Tahoma" w:hAnsi="Tahoma" w:cs="Tahoma"/>
          <w:sz w:val="20"/>
          <w:szCs w:val="20"/>
        </w:rPr>
        <w:t xml:space="preserve"> </w:t>
      </w:r>
      <w:r w:rsidR="002F24E1" w:rsidRPr="00B004EE">
        <w:rPr>
          <w:rFonts w:ascii="Tahoma" w:hAnsi="Tahoma" w:cs="Tahoma"/>
          <w:sz w:val="20"/>
          <w:szCs w:val="20"/>
        </w:rPr>
        <w:t>réglementation</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l’inspection</w:t>
      </w:r>
      <w:r w:rsidR="00DB1635" w:rsidRPr="00B004EE">
        <w:rPr>
          <w:rFonts w:ascii="Tahoma" w:hAnsi="Tahoma" w:cs="Tahoma"/>
          <w:sz w:val="20"/>
          <w:szCs w:val="20"/>
        </w:rPr>
        <w:t xml:space="preserve"> </w:t>
      </w:r>
      <w:r w:rsidR="002F24E1" w:rsidRPr="00B004EE">
        <w:rPr>
          <w:rFonts w:ascii="Tahoma" w:hAnsi="Tahoma" w:cs="Tahoma"/>
          <w:sz w:val="20"/>
          <w:szCs w:val="20"/>
        </w:rPr>
        <w:t>sanitaire</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du</w:t>
      </w:r>
      <w:r w:rsidR="00DB1635" w:rsidRPr="00B004EE">
        <w:rPr>
          <w:rFonts w:ascii="Tahoma" w:hAnsi="Tahoma" w:cs="Tahoma"/>
          <w:sz w:val="20"/>
          <w:szCs w:val="20"/>
        </w:rPr>
        <w:t xml:space="preserve"> </w:t>
      </w:r>
      <w:r w:rsidR="002F24E1" w:rsidRPr="00B004EE">
        <w:rPr>
          <w:rFonts w:ascii="Tahoma" w:hAnsi="Tahoma" w:cs="Tahoma"/>
          <w:sz w:val="20"/>
          <w:szCs w:val="20"/>
        </w:rPr>
        <w:t>contrôle</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salubrité</w:t>
      </w:r>
      <w:r w:rsidR="00DB1635" w:rsidRPr="00B004EE">
        <w:rPr>
          <w:rFonts w:ascii="Tahoma" w:hAnsi="Tahoma" w:cs="Tahoma"/>
          <w:sz w:val="20"/>
          <w:szCs w:val="20"/>
        </w:rPr>
        <w:t xml:space="preserve"> </w:t>
      </w:r>
      <w:r w:rsidR="002F24E1" w:rsidRPr="00B004EE">
        <w:rPr>
          <w:rFonts w:ascii="Tahoma" w:hAnsi="Tahoma" w:cs="Tahoma"/>
          <w:sz w:val="20"/>
          <w:szCs w:val="20"/>
        </w:rPr>
        <w:t>des</w:t>
      </w:r>
      <w:r w:rsidR="00DB1635" w:rsidRPr="00B004EE">
        <w:rPr>
          <w:rFonts w:ascii="Tahoma" w:hAnsi="Tahoma" w:cs="Tahoma"/>
          <w:sz w:val="20"/>
          <w:szCs w:val="20"/>
        </w:rPr>
        <w:t xml:space="preserve"> </w:t>
      </w:r>
      <w:r w:rsidR="002F24E1" w:rsidRPr="00B004EE">
        <w:rPr>
          <w:rFonts w:ascii="Tahoma" w:hAnsi="Tahoma" w:cs="Tahoma"/>
          <w:sz w:val="20"/>
          <w:szCs w:val="20"/>
        </w:rPr>
        <w:t>produits</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la</w:t>
      </w:r>
      <w:r w:rsidR="00DB1635" w:rsidRPr="00B004EE">
        <w:rPr>
          <w:rFonts w:ascii="Tahoma" w:hAnsi="Tahoma" w:cs="Tahoma"/>
          <w:sz w:val="20"/>
          <w:szCs w:val="20"/>
        </w:rPr>
        <w:t xml:space="preserve"> </w:t>
      </w:r>
      <w:r w:rsidR="002F24E1" w:rsidRPr="00B004EE">
        <w:rPr>
          <w:rFonts w:ascii="Tahoma" w:hAnsi="Tahoma" w:cs="Tahoma"/>
          <w:sz w:val="20"/>
          <w:szCs w:val="20"/>
        </w:rPr>
        <w:t>pêche</w:t>
      </w:r>
      <w:r w:rsidR="00DB1635" w:rsidRPr="00B004EE">
        <w:rPr>
          <w:rFonts w:ascii="Tahoma" w:hAnsi="Tahoma" w:cs="Tahoma"/>
          <w:sz w:val="20"/>
          <w:szCs w:val="20"/>
        </w:rPr>
        <w:t xml:space="preserve"> </w:t>
      </w:r>
      <w:r w:rsidR="002F24E1" w:rsidRPr="00B004EE">
        <w:rPr>
          <w:rFonts w:ascii="Tahoma" w:hAnsi="Tahoma" w:cs="Tahoma"/>
          <w:sz w:val="20"/>
          <w:szCs w:val="20"/>
        </w:rPr>
        <w:t>destinés</w:t>
      </w:r>
      <w:r w:rsidR="00DB1635" w:rsidRPr="00B004EE">
        <w:rPr>
          <w:rFonts w:ascii="Tahoma" w:hAnsi="Tahoma" w:cs="Tahoma"/>
          <w:sz w:val="20"/>
          <w:szCs w:val="20"/>
        </w:rPr>
        <w:t xml:space="preserve"> </w:t>
      </w:r>
      <w:r w:rsidR="002F24E1" w:rsidRPr="00B004EE">
        <w:rPr>
          <w:rFonts w:ascii="Tahoma" w:hAnsi="Tahoma" w:cs="Tahoma"/>
          <w:sz w:val="20"/>
          <w:szCs w:val="20"/>
        </w:rPr>
        <w:t>à</w:t>
      </w:r>
      <w:r w:rsidR="00DB1635" w:rsidRPr="00B004EE">
        <w:rPr>
          <w:rFonts w:ascii="Tahoma" w:hAnsi="Tahoma" w:cs="Tahoma"/>
          <w:sz w:val="20"/>
          <w:szCs w:val="20"/>
        </w:rPr>
        <w:t xml:space="preserve"> </w:t>
      </w:r>
      <w:r w:rsidR="002F24E1" w:rsidRPr="00B004EE">
        <w:rPr>
          <w:rFonts w:ascii="Tahoma" w:hAnsi="Tahoma" w:cs="Tahoma"/>
          <w:sz w:val="20"/>
          <w:szCs w:val="20"/>
        </w:rPr>
        <w:t>l’alimentation</w:t>
      </w:r>
      <w:r w:rsidR="00DB1635" w:rsidRPr="00B004EE">
        <w:rPr>
          <w:rFonts w:ascii="Tahoma" w:hAnsi="Tahoma" w:cs="Tahoma"/>
          <w:sz w:val="20"/>
          <w:szCs w:val="20"/>
        </w:rPr>
        <w:t xml:space="preserve"> </w:t>
      </w:r>
      <w:r w:rsidR="002F24E1" w:rsidRPr="00B004EE">
        <w:rPr>
          <w:rFonts w:ascii="Tahoma" w:hAnsi="Tahoma" w:cs="Tahoma"/>
          <w:sz w:val="20"/>
          <w:szCs w:val="20"/>
        </w:rPr>
        <w:t>humaine.</w:t>
      </w:r>
      <w:r w:rsidR="00DB1635" w:rsidRPr="00B004EE">
        <w:rPr>
          <w:rFonts w:ascii="Tahoma" w:hAnsi="Tahoma" w:cs="Tahoma"/>
          <w:sz w:val="20"/>
          <w:szCs w:val="20"/>
        </w:rPr>
        <w:t xml:space="preserve"> </w:t>
      </w:r>
    </w:p>
    <w:p w14:paraId="5074A511" w14:textId="77777777" w:rsidR="002F24E1" w:rsidRPr="00C323AB" w:rsidRDefault="002F24E1" w:rsidP="00B004EE">
      <w:pPr>
        <w:jc w:val="both"/>
        <w:rPr>
          <w:rFonts w:ascii="Tahoma" w:hAnsi="Tahoma" w:cs="Tahoma"/>
          <w:sz w:val="18"/>
          <w:szCs w:val="18"/>
        </w:rPr>
      </w:pPr>
    </w:p>
    <w:p w14:paraId="25ED5285" w14:textId="12507C4D" w:rsidR="002F24E1" w:rsidRPr="00B004EE" w:rsidRDefault="00FE579E" w:rsidP="00B004EE">
      <w:pPr>
        <w:jc w:val="both"/>
        <w:rPr>
          <w:rFonts w:ascii="Tahoma" w:hAnsi="Tahoma" w:cs="Tahoma"/>
          <w:sz w:val="20"/>
          <w:szCs w:val="20"/>
        </w:rPr>
      </w:pPr>
      <w:r w:rsidRPr="00C323AB">
        <w:rPr>
          <w:rFonts w:ascii="Tahoma" w:hAnsi="Tahoma" w:cs="Tahoma"/>
          <w:b/>
          <w:bCs/>
          <w:sz w:val="20"/>
          <w:szCs w:val="20"/>
        </w:rPr>
        <w:t xml:space="preserve">Article </w:t>
      </w:r>
      <w:r w:rsidR="002F24E1" w:rsidRPr="00C323AB">
        <w:rPr>
          <w:rFonts w:ascii="Tahoma" w:hAnsi="Tahoma" w:cs="Tahoma"/>
          <w:b/>
          <w:bCs/>
          <w:sz w:val="20"/>
          <w:szCs w:val="20"/>
        </w:rPr>
        <w:t>5</w:t>
      </w:r>
      <w:r w:rsidR="00DB1635" w:rsidRPr="00C323AB">
        <w:rPr>
          <w:rFonts w:ascii="Tahoma" w:hAnsi="Tahoma" w:cs="Tahoma"/>
          <w:b/>
          <w:bCs/>
          <w:sz w:val="20"/>
          <w:szCs w:val="20"/>
        </w:rPr>
        <w:t xml:space="preserve"> </w:t>
      </w:r>
      <w:r w:rsidR="002F24E1" w:rsidRPr="00C323AB">
        <w:rPr>
          <w:rFonts w:ascii="Tahoma" w:hAnsi="Tahoma" w:cs="Tahoma"/>
          <w:b/>
          <w:bCs/>
          <w:sz w:val="20"/>
          <w:szCs w:val="20"/>
        </w:rPr>
        <w:t>:</w:t>
      </w:r>
      <w:r w:rsidR="00DB1635" w:rsidRPr="00B004EE">
        <w:rPr>
          <w:rFonts w:ascii="Tahoma" w:hAnsi="Tahoma" w:cs="Tahoma"/>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2F24E1" w:rsidRPr="00B004EE">
        <w:rPr>
          <w:rFonts w:ascii="Tahoma" w:hAnsi="Tahoma" w:cs="Tahoma"/>
          <w:sz w:val="20"/>
          <w:szCs w:val="20"/>
        </w:rPr>
        <w:t>règles</w:t>
      </w:r>
      <w:r w:rsidR="00DB1635" w:rsidRPr="00B004EE">
        <w:rPr>
          <w:rFonts w:ascii="Tahoma" w:hAnsi="Tahoma" w:cs="Tahoma"/>
          <w:sz w:val="20"/>
          <w:szCs w:val="20"/>
        </w:rPr>
        <w:t xml:space="preserve"> </w:t>
      </w:r>
      <w:r w:rsidR="002F24E1" w:rsidRPr="00B004EE">
        <w:rPr>
          <w:rFonts w:ascii="Tahoma" w:hAnsi="Tahoma" w:cs="Tahoma"/>
          <w:sz w:val="20"/>
          <w:szCs w:val="20"/>
        </w:rPr>
        <w:t>relatives</w:t>
      </w:r>
      <w:r w:rsidR="00DB1635" w:rsidRPr="00B004EE">
        <w:rPr>
          <w:rFonts w:ascii="Tahoma" w:hAnsi="Tahoma" w:cs="Tahoma"/>
          <w:sz w:val="20"/>
          <w:szCs w:val="20"/>
        </w:rPr>
        <w:t xml:space="preserve"> </w:t>
      </w:r>
      <w:r w:rsidR="002F24E1" w:rsidRPr="00B004EE">
        <w:rPr>
          <w:rFonts w:ascii="Tahoma" w:hAnsi="Tahoma" w:cs="Tahoma"/>
          <w:sz w:val="20"/>
          <w:szCs w:val="20"/>
        </w:rPr>
        <w:t>à</w:t>
      </w:r>
      <w:r w:rsidR="00DB1635" w:rsidRPr="00B004EE">
        <w:rPr>
          <w:rFonts w:ascii="Tahoma" w:hAnsi="Tahoma" w:cs="Tahoma"/>
          <w:sz w:val="20"/>
          <w:szCs w:val="20"/>
        </w:rPr>
        <w:t xml:space="preserve"> </w:t>
      </w:r>
      <w:r w:rsidR="002F24E1" w:rsidRPr="00B004EE">
        <w:rPr>
          <w:rFonts w:ascii="Tahoma" w:hAnsi="Tahoma" w:cs="Tahoma"/>
          <w:sz w:val="20"/>
          <w:szCs w:val="20"/>
        </w:rPr>
        <w:t>l’aménagement</w:t>
      </w:r>
      <w:r w:rsidR="00DB1635" w:rsidRPr="00B004EE">
        <w:rPr>
          <w:rFonts w:ascii="Tahoma" w:hAnsi="Tahoma" w:cs="Tahoma"/>
          <w:sz w:val="20"/>
          <w:szCs w:val="20"/>
        </w:rPr>
        <w:t xml:space="preserve"> </w:t>
      </w:r>
      <w:r w:rsidR="002F24E1" w:rsidRPr="00B004EE">
        <w:rPr>
          <w:rFonts w:ascii="Tahoma" w:hAnsi="Tahoma" w:cs="Tahoma"/>
          <w:sz w:val="20"/>
          <w:szCs w:val="20"/>
        </w:rPr>
        <w:t>(implantation,</w:t>
      </w:r>
      <w:r w:rsidR="00DB1635" w:rsidRPr="00B004EE">
        <w:rPr>
          <w:rFonts w:ascii="Tahoma" w:hAnsi="Tahoma" w:cs="Tahoma"/>
          <w:sz w:val="20"/>
          <w:szCs w:val="20"/>
        </w:rPr>
        <w:t xml:space="preserve"> </w:t>
      </w:r>
      <w:r w:rsidR="002F24E1" w:rsidRPr="00B004EE">
        <w:rPr>
          <w:rFonts w:ascii="Tahoma" w:hAnsi="Tahoma" w:cs="Tahoma"/>
          <w:sz w:val="20"/>
          <w:szCs w:val="20"/>
        </w:rPr>
        <w:t>construction),</w:t>
      </w:r>
      <w:r w:rsidR="00DB1635" w:rsidRPr="00B004EE">
        <w:rPr>
          <w:rFonts w:ascii="Tahoma" w:hAnsi="Tahoma" w:cs="Tahoma"/>
          <w:sz w:val="20"/>
          <w:szCs w:val="20"/>
        </w:rPr>
        <w:t xml:space="preserve"> </w:t>
      </w:r>
      <w:r w:rsidR="002F24E1" w:rsidRPr="00B004EE">
        <w:rPr>
          <w:rFonts w:ascii="Tahoma" w:hAnsi="Tahoma" w:cs="Tahoma"/>
          <w:sz w:val="20"/>
          <w:szCs w:val="20"/>
        </w:rPr>
        <w:t>l’équipement</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le</w:t>
      </w:r>
      <w:r w:rsidR="00DB1635" w:rsidRPr="00B004EE">
        <w:rPr>
          <w:rFonts w:ascii="Tahoma" w:hAnsi="Tahoma" w:cs="Tahoma"/>
          <w:sz w:val="20"/>
          <w:szCs w:val="20"/>
        </w:rPr>
        <w:t xml:space="preserve"> </w:t>
      </w:r>
      <w:r w:rsidR="002F24E1" w:rsidRPr="00B004EE">
        <w:rPr>
          <w:rFonts w:ascii="Tahoma" w:hAnsi="Tahoma" w:cs="Tahoma"/>
          <w:sz w:val="20"/>
          <w:szCs w:val="20"/>
        </w:rPr>
        <w:t>fonctionnement</w:t>
      </w:r>
      <w:r w:rsidR="00DB1635" w:rsidRPr="00B004EE">
        <w:rPr>
          <w:rFonts w:ascii="Tahoma" w:hAnsi="Tahoma" w:cs="Tahoma"/>
          <w:sz w:val="20"/>
          <w:szCs w:val="20"/>
        </w:rPr>
        <w:t xml:space="preserve"> </w:t>
      </w:r>
      <w:r w:rsidR="002F24E1" w:rsidRPr="00B004EE">
        <w:rPr>
          <w:rFonts w:ascii="Tahoma" w:hAnsi="Tahoma" w:cs="Tahoma"/>
          <w:sz w:val="20"/>
          <w:szCs w:val="20"/>
        </w:rPr>
        <w:t>des</w:t>
      </w:r>
      <w:r w:rsidR="00DB1635" w:rsidRPr="00B004EE">
        <w:rPr>
          <w:rFonts w:ascii="Tahoma" w:hAnsi="Tahoma" w:cs="Tahoma"/>
          <w:sz w:val="20"/>
          <w:szCs w:val="20"/>
        </w:rPr>
        <w:t xml:space="preserve"> </w:t>
      </w:r>
      <w:r w:rsidR="002F24E1" w:rsidRPr="00B004EE">
        <w:rPr>
          <w:rFonts w:ascii="Tahoma" w:hAnsi="Tahoma" w:cs="Tahoma"/>
          <w:sz w:val="20"/>
          <w:szCs w:val="20"/>
        </w:rPr>
        <w:t>établissements</w:t>
      </w:r>
      <w:r w:rsidR="00DB1635" w:rsidRPr="00B004EE">
        <w:rPr>
          <w:rFonts w:ascii="Tahoma" w:hAnsi="Tahoma" w:cs="Tahoma"/>
          <w:sz w:val="20"/>
          <w:szCs w:val="20"/>
        </w:rPr>
        <w:t xml:space="preserve"> </w:t>
      </w:r>
      <w:r w:rsidR="002F24E1" w:rsidRPr="00B004EE">
        <w:rPr>
          <w:rFonts w:ascii="Tahoma" w:hAnsi="Tahoma" w:cs="Tahoma"/>
          <w:sz w:val="20"/>
          <w:szCs w:val="20"/>
        </w:rPr>
        <w:t>dans</w:t>
      </w:r>
      <w:r w:rsidR="00DB1635" w:rsidRPr="00B004EE">
        <w:rPr>
          <w:rFonts w:ascii="Tahoma" w:hAnsi="Tahoma" w:cs="Tahoma"/>
          <w:sz w:val="20"/>
          <w:szCs w:val="20"/>
        </w:rPr>
        <w:t xml:space="preserve"> </w:t>
      </w:r>
      <w:r w:rsidR="002F24E1" w:rsidRPr="00B004EE">
        <w:rPr>
          <w:rFonts w:ascii="Tahoma" w:hAnsi="Tahoma" w:cs="Tahoma"/>
          <w:sz w:val="20"/>
          <w:szCs w:val="20"/>
        </w:rPr>
        <w:t>lesquels</w:t>
      </w:r>
      <w:r w:rsidR="00DB1635" w:rsidRPr="00B004EE">
        <w:rPr>
          <w:rFonts w:ascii="Tahoma" w:hAnsi="Tahoma" w:cs="Tahoma"/>
          <w:sz w:val="20"/>
          <w:szCs w:val="20"/>
        </w:rPr>
        <w:t xml:space="preserve"> </w:t>
      </w:r>
      <w:r w:rsidR="002F24E1" w:rsidRPr="00B004EE">
        <w:rPr>
          <w:rFonts w:ascii="Tahoma" w:hAnsi="Tahoma" w:cs="Tahoma"/>
          <w:sz w:val="20"/>
          <w:szCs w:val="20"/>
        </w:rPr>
        <w:t>sont</w:t>
      </w:r>
      <w:r w:rsidR="00DB1635" w:rsidRPr="00B004EE">
        <w:rPr>
          <w:rFonts w:ascii="Tahoma" w:hAnsi="Tahoma" w:cs="Tahoma"/>
          <w:sz w:val="20"/>
          <w:szCs w:val="20"/>
        </w:rPr>
        <w:t xml:space="preserve"> </w:t>
      </w:r>
      <w:r w:rsidR="002F24E1" w:rsidRPr="00B004EE">
        <w:rPr>
          <w:rFonts w:ascii="Tahoma" w:hAnsi="Tahoma" w:cs="Tahoma"/>
          <w:sz w:val="20"/>
          <w:szCs w:val="20"/>
        </w:rPr>
        <w:t>traités</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ou</w:t>
      </w:r>
      <w:r w:rsidR="00DB1635" w:rsidRPr="00B004EE">
        <w:rPr>
          <w:rFonts w:ascii="Tahoma" w:hAnsi="Tahoma" w:cs="Tahoma"/>
          <w:sz w:val="20"/>
          <w:szCs w:val="20"/>
        </w:rPr>
        <w:t xml:space="preserve"> </w:t>
      </w:r>
      <w:r w:rsidR="002F24E1" w:rsidRPr="00B004EE">
        <w:rPr>
          <w:rFonts w:ascii="Tahoma" w:hAnsi="Tahoma" w:cs="Tahoma"/>
          <w:sz w:val="20"/>
          <w:szCs w:val="20"/>
        </w:rPr>
        <w:t>transformés</w:t>
      </w:r>
      <w:r w:rsidR="00DB1635" w:rsidRPr="00B004EE">
        <w:rPr>
          <w:rFonts w:ascii="Tahoma" w:hAnsi="Tahoma" w:cs="Tahoma"/>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2F24E1" w:rsidRPr="00B004EE">
        <w:rPr>
          <w:rFonts w:ascii="Tahoma" w:hAnsi="Tahoma" w:cs="Tahoma"/>
          <w:sz w:val="20"/>
          <w:szCs w:val="20"/>
        </w:rPr>
        <w:t>sous-produits</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pêche</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produits</w:t>
      </w:r>
      <w:r w:rsidR="00DB1635" w:rsidRPr="00B004EE">
        <w:rPr>
          <w:rFonts w:ascii="Tahoma" w:hAnsi="Tahoma" w:cs="Tahoma"/>
          <w:sz w:val="20"/>
          <w:szCs w:val="20"/>
        </w:rPr>
        <w:t xml:space="preserve"> </w:t>
      </w:r>
      <w:r w:rsidR="002F24E1" w:rsidRPr="00B004EE">
        <w:rPr>
          <w:rFonts w:ascii="Tahoma" w:hAnsi="Tahoma" w:cs="Tahoma"/>
          <w:sz w:val="20"/>
          <w:szCs w:val="20"/>
        </w:rPr>
        <w:t>dérivés</w:t>
      </w:r>
      <w:r w:rsidR="00DB1635" w:rsidRPr="00B004EE">
        <w:rPr>
          <w:rFonts w:ascii="Tahoma" w:hAnsi="Tahoma" w:cs="Tahoma"/>
          <w:sz w:val="20"/>
          <w:szCs w:val="20"/>
        </w:rPr>
        <w:t xml:space="preserve"> </w:t>
      </w:r>
      <w:r w:rsidR="002F24E1" w:rsidRPr="00B004EE">
        <w:rPr>
          <w:rFonts w:ascii="Tahoma" w:hAnsi="Tahoma" w:cs="Tahoma"/>
          <w:sz w:val="20"/>
          <w:szCs w:val="20"/>
        </w:rPr>
        <w:t>non</w:t>
      </w:r>
      <w:r w:rsidR="00DB1635" w:rsidRPr="00B004EE">
        <w:rPr>
          <w:rFonts w:ascii="Tahoma" w:hAnsi="Tahoma" w:cs="Tahoma"/>
          <w:sz w:val="20"/>
          <w:szCs w:val="20"/>
        </w:rPr>
        <w:t xml:space="preserve"> </w:t>
      </w:r>
      <w:r w:rsidR="002F24E1" w:rsidRPr="00B004EE">
        <w:rPr>
          <w:rFonts w:ascii="Tahoma" w:hAnsi="Tahoma" w:cs="Tahoma"/>
          <w:sz w:val="20"/>
          <w:szCs w:val="20"/>
        </w:rPr>
        <w:t>destinés</w:t>
      </w:r>
      <w:r w:rsidR="00DB1635" w:rsidRPr="00B004EE">
        <w:rPr>
          <w:rFonts w:ascii="Tahoma" w:hAnsi="Tahoma" w:cs="Tahoma"/>
          <w:sz w:val="20"/>
          <w:szCs w:val="20"/>
        </w:rPr>
        <w:t xml:space="preserve"> </w:t>
      </w:r>
      <w:r w:rsidR="002F24E1" w:rsidRPr="00B004EE">
        <w:rPr>
          <w:rFonts w:ascii="Tahoma" w:hAnsi="Tahoma" w:cs="Tahoma"/>
          <w:sz w:val="20"/>
          <w:szCs w:val="20"/>
        </w:rPr>
        <w:t>à</w:t>
      </w:r>
      <w:r w:rsidR="00DB1635" w:rsidRPr="00B004EE">
        <w:rPr>
          <w:rFonts w:ascii="Tahoma" w:hAnsi="Tahoma" w:cs="Tahoma"/>
          <w:sz w:val="20"/>
          <w:szCs w:val="20"/>
        </w:rPr>
        <w:t xml:space="preserve"> </w:t>
      </w:r>
      <w:r w:rsidR="002F24E1" w:rsidRPr="00B004EE">
        <w:rPr>
          <w:rFonts w:ascii="Tahoma" w:hAnsi="Tahoma" w:cs="Tahoma"/>
          <w:sz w:val="20"/>
          <w:szCs w:val="20"/>
        </w:rPr>
        <w:t>la</w:t>
      </w:r>
      <w:r w:rsidR="00DB1635" w:rsidRPr="00B004EE">
        <w:rPr>
          <w:rFonts w:ascii="Tahoma" w:hAnsi="Tahoma" w:cs="Tahoma"/>
          <w:sz w:val="20"/>
          <w:szCs w:val="20"/>
        </w:rPr>
        <w:t xml:space="preserve"> </w:t>
      </w:r>
      <w:r w:rsidR="002F24E1" w:rsidRPr="00B004EE">
        <w:rPr>
          <w:rFonts w:ascii="Tahoma" w:hAnsi="Tahoma" w:cs="Tahoma"/>
          <w:sz w:val="20"/>
          <w:szCs w:val="20"/>
        </w:rPr>
        <w:t>consommation</w:t>
      </w:r>
      <w:r w:rsidR="00DB1635" w:rsidRPr="00B004EE">
        <w:rPr>
          <w:rFonts w:ascii="Tahoma" w:hAnsi="Tahoma" w:cs="Tahoma"/>
          <w:sz w:val="20"/>
          <w:szCs w:val="20"/>
        </w:rPr>
        <w:t xml:space="preserve"> </w:t>
      </w:r>
      <w:r w:rsidR="002F24E1" w:rsidRPr="00B004EE">
        <w:rPr>
          <w:rFonts w:ascii="Tahoma" w:hAnsi="Tahoma" w:cs="Tahoma"/>
          <w:sz w:val="20"/>
          <w:szCs w:val="20"/>
        </w:rPr>
        <w:t>humaine</w:t>
      </w:r>
      <w:r w:rsidR="00DB1635" w:rsidRPr="00B004EE">
        <w:rPr>
          <w:rFonts w:ascii="Tahoma" w:hAnsi="Tahoma" w:cs="Tahoma"/>
          <w:sz w:val="20"/>
          <w:szCs w:val="20"/>
        </w:rPr>
        <w:t xml:space="preserve"> </w:t>
      </w:r>
      <w:r w:rsidR="002F24E1" w:rsidRPr="00B004EE">
        <w:rPr>
          <w:rFonts w:ascii="Tahoma" w:hAnsi="Tahoma" w:cs="Tahoma"/>
          <w:sz w:val="20"/>
          <w:szCs w:val="20"/>
        </w:rPr>
        <w:t>doivent</w:t>
      </w:r>
      <w:r w:rsidR="00DB1635" w:rsidRPr="00B004EE">
        <w:rPr>
          <w:rFonts w:ascii="Tahoma" w:hAnsi="Tahoma" w:cs="Tahoma"/>
          <w:sz w:val="20"/>
          <w:szCs w:val="20"/>
        </w:rPr>
        <w:t xml:space="preserve"> </w:t>
      </w:r>
      <w:r w:rsidR="002F24E1" w:rsidRPr="00B004EE">
        <w:rPr>
          <w:rFonts w:ascii="Tahoma" w:hAnsi="Tahoma" w:cs="Tahoma"/>
          <w:sz w:val="20"/>
          <w:szCs w:val="20"/>
        </w:rPr>
        <w:t>respecter</w:t>
      </w:r>
      <w:r w:rsidR="00DB1635" w:rsidRPr="00B004EE">
        <w:rPr>
          <w:rFonts w:ascii="Tahoma" w:hAnsi="Tahoma" w:cs="Tahoma"/>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2F24E1" w:rsidRPr="00B004EE">
        <w:rPr>
          <w:rFonts w:ascii="Tahoma" w:hAnsi="Tahoma" w:cs="Tahoma"/>
          <w:sz w:val="20"/>
          <w:szCs w:val="20"/>
        </w:rPr>
        <w:t>normes</w:t>
      </w:r>
      <w:r w:rsidR="00DB1635" w:rsidRPr="00B004EE">
        <w:rPr>
          <w:rFonts w:ascii="Tahoma" w:hAnsi="Tahoma" w:cs="Tahoma"/>
          <w:sz w:val="20"/>
          <w:szCs w:val="20"/>
        </w:rPr>
        <w:t xml:space="preserve"> </w:t>
      </w:r>
      <w:r w:rsidR="002F24E1" w:rsidRPr="00B004EE">
        <w:rPr>
          <w:rFonts w:ascii="Tahoma" w:hAnsi="Tahoma" w:cs="Tahoma"/>
          <w:sz w:val="20"/>
          <w:szCs w:val="20"/>
        </w:rPr>
        <w:t>en</w:t>
      </w:r>
      <w:r w:rsidR="00DB1635" w:rsidRPr="00B004EE">
        <w:rPr>
          <w:rFonts w:ascii="Tahoma" w:hAnsi="Tahoma" w:cs="Tahoma"/>
          <w:sz w:val="20"/>
          <w:szCs w:val="20"/>
        </w:rPr>
        <w:t xml:space="preserve"> </w:t>
      </w:r>
      <w:r w:rsidR="002F24E1" w:rsidRPr="00B004EE">
        <w:rPr>
          <w:rFonts w:ascii="Tahoma" w:hAnsi="Tahoma" w:cs="Tahoma"/>
          <w:sz w:val="20"/>
          <w:szCs w:val="20"/>
        </w:rPr>
        <w:t>matière</w:t>
      </w:r>
      <w:r w:rsidR="00DB1635" w:rsidRPr="00B004EE">
        <w:rPr>
          <w:rFonts w:ascii="Tahoma" w:hAnsi="Tahoma" w:cs="Tahoma"/>
          <w:sz w:val="20"/>
          <w:szCs w:val="20"/>
        </w:rPr>
        <w:t xml:space="preserve"> </w:t>
      </w:r>
      <w:r w:rsidR="002F24E1" w:rsidRPr="00B004EE">
        <w:rPr>
          <w:rFonts w:ascii="Tahoma" w:hAnsi="Tahoma" w:cs="Tahoma"/>
          <w:sz w:val="20"/>
          <w:szCs w:val="20"/>
        </w:rPr>
        <w:t>d’hygiène,</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qualité,</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salubrité</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d’environnement</w:t>
      </w:r>
      <w:r w:rsidR="00DB1635" w:rsidRPr="00B004EE">
        <w:rPr>
          <w:rFonts w:ascii="Tahoma" w:hAnsi="Tahoma" w:cs="Tahoma"/>
          <w:sz w:val="20"/>
          <w:szCs w:val="20"/>
        </w:rPr>
        <w:t xml:space="preserve"> </w:t>
      </w:r>
      <w:r w:rsidR="002F24E1" w:rsidRPr="00B004EE">
        <w:rPr>
          <w:rFonts w:ascii="Tahoma" w:hAnsi="Tahoma" w:cs="Tahoma"/>
          <w:sz w:val="20"/>
          <w:szCs w:val="20"/>
        </w:rPr>
        <w:t>qui</w:t>
      </w:r>
      <w:r w:rsidR="00DB1635" w:rsidRPr="00B004EE">
        <w:rPr>
          <w:rFonts w:ascii="Tahoma" w:hAnsi="Tahoma" w:cs="Tahoma"/>
          <w:sz w:val="20"/>
          <w:szCs w:val="20"/>
        </w:rPr>
        <w:t xml:space="preserve"> </w:t>
      </w:r>
      <w:r w:rsidR="002F24E1" w:rsidRPr="00B004EE">
        <w:rPr>
          <w:rFonts w:ascii="Tahoma" w:hAnsi="Tahoma" w:cs="Tahoma"/>
          <w:sz w:val="20"/>
          <w:szCs w:val="20"/>
        </w:rPr>
        <w:t>seront</w:t>
      </w:r>
      <w:r w:rsidR="00DB1635" w:rsidRPr="00B004EE">
        <w:rPr>
          <w:rFonts w:ascii="Tahoma" w:hAnsi="Tahoma" w:cs="Tahoma"/>
          <w:sz w:val="20"/>
          <w:szCs w:val="20"/>
        </w:rPr>
        <w:t xml:space="preserve"> </w:t>
      </w:r>
      <w:r w:rsidR="002F24E1" w:rsidRPr="00B004EE">
        <w:rPr>
          <w:rFonts w:ascii="Tahoma" w:hAnsi="Tahoma" w:cs="Tahoma"/>
          <w:sz w:val="20"/>
          <w:szCs w:val="20"/>
        </w:rPr>
        <w:t>précisées</w:t>
      </w:r>
      <w:r w:rsidR="00DB1635" w:rsidRPr="00B004EE">
        <w:rPr>
          <w:rFonts w:ascii="Tahoma" w:hAnsi="Tahoma" w:cs="Tahoma"/>
          <w:sz w:val="20"/>
          <w:szCs w:val="20"/>
        </w:rPr>
        <w:t xml:space="preserve"> </w:t>
      </w:r>
      <w:r w:rsidR="002F24E1" w:rsidRPr="00B004EE">
        <w:rPr>
          <w:rFonts w:ascii="Tahoma" w:hAnsi="Tahoma" w:cs="Tahoma"/>
          <w:sz w:val="20"/>
          <w:szCs w:val="20"/>
        </w:rPr>
        <w:t>par</w:t>
      </w:r>
      <w:r w:rsidR="00DB1635" w:rsidRPr="00B004EE">
        <w:rPr>
          <w:rFonts w:ascii="Tahoma" w:hAnsi="Tahoma" w:cs="Tahoma"/>
          <w:sz w:val="20"/>
          <w:szCs w:val="20"/>
        </w:rPr>
        <w:t xml:space="preserve"> </w:t>
      </w:r>
      <w:r w:rsidR="002F24E1" w:rsidRPr="00B004EE">
        <w:rPr>
          <w:rFonts w:ascii="Tahoma" w:hAnsi="Tahoma" w:cs="Tahoma"/>
          <w:sz w:val="20"/>
          <w:szCs w:val="20"/>
        </w:rPr>
        <w:t>arrêté</w:t>
      </w:r>
      <w:r w:rsidR="00DB1635" w:rsidRPr="00B004EE">
        <w:rPr>
          <w:rFonts w:ascii="Tahoma" w:hAnsi="Tahoma" w:cs="Tahoma"/>
          <w:sz w:val="20"/>
          <w:szCs w:val="20"/>
        </w:rPr>
        <w:t xml:space="preserve"> </w:t>
      </w:r>
      <w:r w:rsidR="002F24E1" w:rsidRPr="00B004EE">
        <w:rPr>
          <w:rFonts w:ascii="Tahoma" w:hAnsi="Tahoma" w:cs="Tahoma"/>
          <w:sz w:val="20"/>
          <w:szCs w:val="20"/>
        </w:rPr>
        <w:t>conjoint</w:t>
      </w:r>
      <w:r w:rsidR="00DB1635" w:rsidRPr="00B004EE">
        <w:rPr>
          <w:rFonts w:ascii="Tahoma" w:hAnsi="Tahoma" w:cs="Tahoma"/>
          <w:sz w:val="20"/>
          <w:szCs w:val="20"/>
        </w:rPr>
        <w:t xml:space="preserve"> </w:t>
      </w:r>
      <w:r w:rsidR="002F24E1" w:rsidRPr="00B004EE">
        <w:rPr>
          <w:rFonts w:ascii="Tahoma" w:hAnsi="Tahoma" w:cs="Tahoma"/>
          <w:sz w:val="20"/>
          <w:szCs w:val="20"/>
        </w:rPr>
        <w:t>des</w:t>
      </w:r>
      <w:r w:rsidR="00DB1635" w:rsidRPr="00B004EE">
        <w:rPr>
          <w:rFonts w:ascii="Tahoma" w:hAnsi="Tahoma" w:cs="Tahoma"/>
          <w:sz w:val="20"/>
          <w:szCs w:val="20"/>
        </w:rPr>
        <w:t xml:space="preserve"> </w:t>
      </w:r>
      <w:r w:rsidR="002F24E1" w:rsidRPr="00B004EE">
        <w:rPr>
          <w:rFonts w:ascii="Tahoma" w:hAnsi="Tahoma" w:cs="Tahoma"/>
          <w:sz w:val="20"/>
          <w:szCs w:val="20"/>
        </w:rPr>
        <w:t>Ministres</w:t>
      </w:r>
      <w:r w:rsidR="00DB1635" w:rsidRPr="00B004EE">
        <w:rPr>
          <w:rFonts w:ascii="Tahoma" w:hAnsi="Tahoma" w:cs="Tahoma"/>
          <w:sz w:val="20"/>
          <w:szCs w:val="20"/>
        </w:rPr>
        <w:t xml:space="preserve"> </w:t>
      </w:r>
      <w:r w:rsidR="002F24E1" w:rsidRPr="00B004EE">
        <w:rPr>
          <w:rFonts w:ascii="Tahoma" w:hAnsi="Tahoma" w:cs="Tahoma"/>
          <w:sz w:val="20"/>
          <w:szCs w:val="20"/>
        </w:rPr>
        <w:t>chargés</w:t>
      </w:r>
      <w:r w:rsidR="00DB1635" w:rsidRPr="00B004EE">
        <w:rPr>
          <w:rFonts w:ascii="Tahoma" w:hAnsi="Tahoma" w:cs="Tahoma"/>
          <w:sz w:val="20"/>
          <w:szCs w:val="20"/>
        </w:rPr>
        <w:t xml:space="preserve"> </w:t>
      </w:r>
      <w:r w:rsidR="002F24E1" w:rsidRPr="00B004EE">
        <w:rPr>
          <w:rFonts w:ascii="Tahoma" w:hAnsi="Tahoma" w:cs="Tahoma"/>
          <w:sz w:val="20"/>
          <w:szCs w:val="20"/>
        </w:rPr>
        <w:t>des</w:t>
      </w:r>
      <w:r w:rsidR="00DB1635" w:rsidRPr="00B004EE">
        <w:rPr>
          <w:rFonts w:ascii="Tahoma" w:hAnsi="Tahoma" w:cs="Tahoma"/>
          <w:sz w:val="20"/>
          <w:szCs w:val="20"/>
        </w:rPr>
        <w:t xml:space="preserve"> </w:t>
      </w:r>
      <w:r w:rsidR="002F24E1" w:rsidRPr="00B004EE">
        <w:rPr>
          <w:rFonts w:ascii="Tahoma" w:hAnsi="Tahoma" w:cs="Tahoma"/>
          <w:sz w:val="20"/>
          <w:szCs w:val="20"/>
        </w:rPr>
        <w:t>pêches,</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l'Elevage,</w:t>
      </w:r>
      <w:r w:rsidR="00DB1635" w:rsidRPr="00B004EE">
        <w:rPr>
          <w:rFonts w:ascii="Tahoma" w:hAnsi="Tahoma" w:cs="Tahoma"/>
          <w:sz w:val="20"/>
          <w:szCs w:val="20"/>
        </w:rPr>
        <w:t xml:space="preserve"> </w:t>
      </w:r>
      <w:r w:rsidR="002F24E1" w:rsidRPr="00B004EE">
        <w:rPr>
          <w:rFonts w:ascii="Tahoma" w:hAnsi="Tahoma" w:cs="Tahoma"/>
          <w:sz w:val="20"/>
          <w:szCs w:val="20"/>
        </w:rPr>
        <w:t>du</w:t>
      </w:r>
      <w:r w:rsidR="00DB1635" w:rsidRPr="00B004EE">
        <w:rPr>
          <w:rFonts w:ascii="Tahoma" w:hAnsi="Tahoma" w:cs="Tahoma"/>
          <w:sz w:val="20"/>
          <w:szCs w:val="20"/>
        </w:rPr>
        <w:t xml:space="preserve"> </w:t>
      </w:r>
      <w:r w:rsidR="002F24E1" w:rsidRPr="00B004EE">
        <w:rPr>
          <w:rFonts w:ascii="Tahoma" w:hAnsi="Tahoma" w:cs="Tahoma"/>
          <w:sz w:val="20"/>
          <w:szCs w:val="20"/>
        </w:rPr>
        <w:t>commerce,</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l’industrie</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l’environnement.</w:t>
      </w:r>
      <w:r w:rsidR="00DB1635" w:rsidRPr="00B004EE">
        <w:rPr>
          <w:rFonts w:ascii="Tahoma" w:hAnsi="Tahoma" w:cs="Tahoma"/>
          <w:sz w:val="20"/>
          <w:szCs w:val="20"/>
        </w:rPr>
        <w:t xml:space="preserve"> </w:t>
      </w:r>
    </w:p>
    <w:p w14:paraId="1C838DE3" w14:textId="4348AE43" w:rsidR="002F24E1" w:rsidRPr="00B004EE" w:rsidRDefault="002F24E1" w:rsidP="00B004EE">
      <w:pPr>
        <w:jc w:val="both"/>
        <w:rPr>
          <w:rFonts w:ascii="Tahoma" w:hAnsi="Tahoma" w:cs="Tahoma"/>
          <w:sz w:val="20"/>
          <w:szCs w:val="20"/>
        </w:rPr>
      </w:pPr>
      <w:r w:rsidRPr="00B004EE">
        <w:rPr>
          <w:rFonts w:ascii="Tahoma" w:hAnsi="Tahoma" w:cs="Tahoma"/>
          <w:sz w:val="20"/>
          <w:szCs w:val="20"/>
        </w:rPr>
        <w:t>Sans</w:t>
      </w:r>
      <w:r w:rsidR="00DB1635" w:rsidRPr="00B004EE">
        <w:rPr>
          <w:rFonts w:ascii="Tahoma" w:hAnsi="Tahoma" w:cs="Tahoma"/>
          <w:sz w:val="20"/>
          <w:szCs w:val="20"/>
        </w:rPr>
        <w:t xml:space="preserve"> </w:t>
      </w:r>
      <w:r w:rsidRPr="00B004EE">
        <w:rPr>
          <w:rFonts w:ascii="Tahoma" w:hAnsi="Tahoma" w:cs="Tahoma"/>
          <w:sz w:val="20"/>
          <w:szCs w:val="20"/>
        </w:rPr>
        <w:t>préjudice</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normes</w:t>
      </w:r>
      <w:r w:rsidR="00DB1635" w:rsidRPr="00B004EE">
        <w:rPr>
          <w:rFonts w:ascii="Tahoma" w:hAnsi="Tahoma" w:cs="Tahoma"/>
          <w:sz w:val="20"/>
          <w:szCs w:val="20"/>
        </w:rPr>
        <w:t xml:space="preserve"> </w:t>
      </w:r>
      <w:r w:rsidRPr="00B004EE">
        <w:rPr>
          <w:rFonts w:ascii="Tahoma" w:hAnsi="Tahoma" w:cs="Tahoma"/>
          <w:sz w:val="20"/>
          <w:szCs w:val="20"/>
        </w:rPr>
        <w:t>générales</w:t>
      </w:r>
      <w:r w:rsidR="00DB1635" w:rsidRPr="00B004EE">
        <w:rPr>
          <w:rFonts w:ascii="Tahoma" w:hAnsi="Tahoma" w:cs="Tahoma"/>
          <w:sz w:val="20"/>
          <w:szCs w:val="20"/>
        </w:rPr>
        <w:t xml:space="preserve"> </w:t>
      </w:r>
      <w:r w:rsidRPr="00B004EE">
        <w:rPr>
          <w:rFonts w:ascii="Tahoma" w:hAnsi="Tahoma" w:cs="Tahoma"/>
          <w:sz w:val="20"/>
          <w:szCs w:val="20"/>
        </w:rPr>
        <w:t>prévues</w:t>
      </w:r>
      <w:r w:rsidR="00DB1635" w:rsidRPr="00B004EE">
        <w:rPr>
          <w:rFonts w:ascii="Tahoma" w:hAnsi="Tahoma" w:cs="Tahoma"/>
          <w:sz w:val="20"/>
          <w:szCs w:val="20"/>
        </w:rPr>
        <w:t xml:space="preserve"> </w:t>
      </w:r>
      <w:r w:rsidRPr="00B004EE">
        <w:rPr>
          <w:rFonts w:ascii="Tahoma" w:hAnsi="Tahoma" w:cs="Tahoma"/>
          <w:sz w:val="20"/>
          <w:szCs w:val="20"/>
        </w:rPr>
        <w:t>ci-dessus,</w:t>
      </w:r>
      <w:r w:rsidR="00DB1635" w:rsidRPr="00B004EE">
        <w:rPr>
          <w:rFonts w:ascii="Tahoma" w:hAnsi="Tahoma" w:cs="Tahoma"/>
          <w:sz w:val="20"/>
          <w:szCs w:val="20"/>
        </w:rPr>
        <w:t xml:space="preserve"> </w:t>
      </w:r>
      <w:r w:rsidRPr="00B004EE">
        <w:rPr>
          <w:rFonts w:ascii="Tahoma" w:hAnsi="Tahoma" w:cs="Tahoma"/>
          <w:sz w:val="20"/>
          <w:szCs w:val="20"/>
        </w:rPr>
        <w:t>l'autorité</w:t>
      </w:r>
      <w:r w:rsidR="00DB1635" w:rsidRPr="00B004EE">
        <w:rPr>
          <w:rFonts w:ascii="Tahoma" w:hAnsi="Tahoma" w:cs="Tahoma"/>
          <w:sz w:val="20"/>
          <w:szCs w:val="20"/>
        </w:rPr>
        <w:t xml:space="preserve"> </w:t>
      </w:r>
      <w:r w:rsidRPr="00B004EE">
        <w:rPr>
          <w:rFonts w:ascii="Tahoma" w:hAnsi="Tahoma" w:cs="Tahoma"/>
          <w:sz w:val="20"/>
          <w:szCs w:val="20"/>
        </w:rPr>
        <w:t>compétente</w:t>
      </w:r>
      <w:r w:rsidR="00DB1635" w:rsidRPr="00B004EE">
        <w:rPr>
          <w:rFonts w:ascii="Tahoma" w:hAnsi="Tahoma" w:cs="Tahoma"/>
          <w:sz w:val="20"/>
          <w:szCs w:val="20"/>
        </w:rPr>
        <w:t xml:space="preserve"> </w:t>
      </w:r>
      <w:r w:rsidRPr="00B004EE">
        <w:rPr>
          <w:rFonts w:ascii="Tahoma" w:hAnsi="Tahoma" w:cs="Tahoma"/>
          <w:sz w:val="20"/>
          <w:szCs w:val="20"/>
        </w:rPr>
        <w:t>définira</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modalités</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contrôle</w:t>
      </w:r>
      <w:r w:rsidR="00DB1635" w:rsidRPr="00B004EE">
        <w:rPr>
          <w:rFonts w:ascii="Tahoma" w:hAnsi="Tahoma" w:cs="Tahoma"/>
          <w:sz w:val="20"/>
          <w:szCs w:val="20"/>
        </w:rPr>
        <w:t xml:space="preserve"> </w:t>
      </w:r>
      <w:r w:rsidRPr="00B004EE">
        <w:rPr>
          <w:rFonts w:ascii="Tahoma" w:hAnsi="Tahoma" w:cs="Tahoma"/>
          <w:sz w:val="20"/>
          <w:szCs w:val="20"/>
        </w:rPr>
        <w:t>spécifique</w:t>
      </w:r>
      <w:r w:rsidR="00DB1635" w:rsidRPr="00B004EE">
        <w:rPr>
          <w:rFonts w:ascii="Tahoma" w:hAnsi="Tahoma" w:cs="Tahoma"/>
          <w:sz w:val="20"/>
          <w:szCs w:val="20"/>
        </w:rPr>
        <w:t xml:space="preserve"> </w:t>
      </w:r>
      <w:r w:rsidRPr="00B004EE">
        <w:rPr>
          <w:rFonts w:ascii="Tahoma" w:hAnsi="Tahoma" w:cs="Tahoma"/>
          <w:sz w:val="20"/>
          <w:szCs w:val="20"/>
        </w:rPr>
        <w:t>requise</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marchés</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Etats</w:t>
      </w:r>
      <w:r w:rsidR="00DB1635" w:rsidRPr="00B004EE">
        <w:rPr>
          <w:rFonts w:ascii="Tahoma" w:hAnsi="Tahoma" w:cs="Tahoma"/>
          <w:sz w:val="20"/>
          <w:szCs w:val="20"/>
        </w:rPr>
        <w:t xml:space="preserve"> </w:t>
      </w:r>
      <w:r w:rsidRPr="00B004EE">
        <w:rPr>
          <w:rFonts w:ascii="Tahoma" w:hAnsi="Tahoma" w:cs="Tahoma"/>
          <w:sz w:val="20"/>
          <w:szCs w:val="20"/>
        </w:rPr>
        <w:t>importateurs</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sous-produits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dérivés</w:t>
      </w:r>
      <w:r w:rsidR="00DB1635" w:rsidRPr="00B004EE">
        <w:rPr>
          <w:rFonts w:ascii="Tahoma" w:hAnsi="Tahoma" w:cs="Tahoma"/>
          <w:sz w:val="20"/>
          <w:szCs w:val="20"/>
        </w:rPr>
        <w:t xml:space="preserve"> </w:t>
      </w:r>
      <w:r w:rsidRPr="00B004EE">
        <w:rPr>
          <w:rFonts w:ascii="Tahoma" w:hAnsi="Tahoma" w:cs="Tahoma"/>
          <w:sz w:val="20"/>
          <w:szCs w:val="20"/>
        </w:rPr>
        <w:t>originaires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Mauritanie.</w:t>
      </w:r>
      <w:r w:rsidR="00DB1635" w:rsidRPr="00B004EE">
        <w:rPr>
          <w:rFonts w:ascii="Tahoma" w:hAnsi="Tahoma" w:cs="Tahoma"/>
          <w:sz w:val="20"/>
          <w:szCs w:val="20"/>
        </w:rPr>
        <w:t xml:space="preserve"> </w:t>
      </w:r>
    </w:p>
    <w:p w14:paraId="7DE70192" w14:textId="77777777" w:rsidR="002F24E1" w:rsidRPr="00C323AB" w:rsidRDefault="002F24E1" w:rsidP="00B004EE">
      <w:pPr>
        <w:jc w:val="both"/>
        <w:rPr>
          <w:rFonts w:ascii="Tahoma" w:hAnsi="Tahoma" w:cs="Tahoma"/>
          <w:sz w:val="18"/>
          <w:szCs w:val="18"/>
        </w:rPr>
      </w:pPr>
    </w:p>
    <w:p w14:paraId="22344284" w14:textId="305DAA8A" w:rsidR="002F24E1" w:rsidRPr="00B004EE" w:rsidRDefault="00FE579E" w:rsidP="00B004EE">
      <w:pPr>
        <w:jc w:val="both"/>
        <w:rPr>
          <w:rFonts w:ascii="Tahoma" w:hAnsi="Tahoma" w:cs="Tahoma"/>
          <w:sz w:val="20"/>
          <w:szCs w:val="20"/>
        </w:rPr>
      </w:pPr>
      <w:r w:rsidRPr="00C323AB">
        <w:rPr>
          <w:rFonts w:ascii="Tahoma" w:hAnsi="Tahoma" w:cs="Tahoma"/>
          <w:b/>
          <w:bCs/>
          <w:sz w:val="20"/>
          <w:szCs w:val="20"/>
        </w:rPr>
        <w:t xml:space="preserve">Article </w:t>
      </w:r>
      <w:r w:rsidR="002F24E1" w:rsidRPr="00C323AB">
        <w:rPr>
          <w:rFonts w:ascii="Tahoma" w:hAnsi="Tahoma" w:cs="Tahoma"/>
          <w:b/>
          <w:bCs/>
          <w:sz w:val="20"/>
          <w:szCs w:val="20"/>
        </w:rPr>
        <w:t>6</w:t>
      </w:r>
      <w:r w:rsidR="00DB1635" w:rsidRPr="00C323AB">
        <w:rPr>
          <w:rFonts w:ascii="Tahoma" w:hAnsi="Tahoma" w:cs="Tahoma"/>
          <w:b/>
          <w:bCs/>
          <w:sz w:val="20"/>
          <w:szCs w:val="20"/>
        </w:rPr>
        <w:t xml:space="preserve"> </w:t>
      </w:r>
      <w:r w:rsidR="002F24E1" w:rsidRPr="00C323AB">
        <w:rPr>
          <w:rFonts w:ascii="Tahoma" w:hAnsi="Tahoma" w:cs="Tahoma"/>
          <w:b/>
          <w:bCs/>
          <w:sz w:val="20"/>
          <w:szCs w:val="20"/>
        </w:rPr>
        <w:t>:</w:t>
      </w:r>
      <w:r w:rsidR="00DB1635" w:rsidRPr="00C323AB">
        <w:rPr>
          <w:rFonts w:ascii="Tahoma" w:hAnsi="Tahoma" w:cs="Tahoma"/>
          <w:b/>
          <w:bCs/>
          <w:sz w:val="20"/>
          <w:szCs w:val="20"/>
        </w:rPr>
        <w:t xml:space="preserve"> </w:t>
      </w:r>
      <w:r w:rsidR="002F24E1" w:rsidRPr="00C323AB">
        <w:rPr>
          <w:rFonts w:ascii="Tahoma" w:hAnsi="Tahoma" w:cs="Tahoma"/>
          <w:sz w:val="20"/>
          <w:szCs w:val="20"/>
        </w:rPr>
        <w:t>Sous</w:t>
      </w:r>
      <w:r w:rsidR="00DB1635" w:rsidRPr="00B004EE">
        <w:rPr>
          <w:rFonts w:ascii="Tahoma" w:hAnsi="Tahoma" w:cs="Tahoma"/>
          <w:sz w:val="20"/>
          <w:szCs w:val="20"/>
        </w:rPr>
        <w:t xml:space="preserve"> </w:t>
      </w:r>
      <w:r w:rsidR="002F24E1" w:rsidRPr="00B004EE">
        <w:rPr>
          <w:rFonts w:ascii="Tahoma" w:hAnsi="Tahoma" w:cs="Tahoma"/>
          <w:sz w:val="20"/>
          <w:szCs w:val="20"/>
        </w:rPr>
        <w:t>réserve</w:t>
      </w:r>
      <w:r w:rsidR="00DB1635" w:rsidRPr="00B004EE">
        <w:rPr>
          <w:rFonts w:ascii="Tahoma" w:hAnsi="Tahoma" w:cs="Tahoma"/>
          <w:sz w:val="20"/>
          <w:szCs w:val="20"/>
        </w:rPr>
        <w:t xml:space="preserve"> </w:t>
      </w:r>
      <w:r w:rsidR="002F24E1" w:rsidRPr="00B004EE">
        <w:rPr>
          <w:rFonts w:ascii="Tahoma" w:hAnsi="Tahoma" w:cs="Tahoma"/>
          <w:sz w:val="20"/>
          <w:szCs w:val="20"/>
        </w:rPr>
        <w:t>des</w:t>
      </w:r>
      <w:r w:rsidR="00DB1635" w:rsidRPr="00B004EE">
        <w:rPr>
          <w:rFonts w:ascii="Tahoma" w:hAnsi="Tahoma" w:cs="Tahoma"/>
          <w:sz w:val="20"/>
          <w:szCs w:val="20"/>
        </w:rPr>
        <w:t xml:space="preserve"> </w:t>
      </w:r>
      <w:r w:rsidR="002F24E1" w:rsidRPr="00B004EE">
        <w:rPr>
          <w:rFonts w:ascii="Tahoma" w:hAnsi="Tahoma" w:cs="Tahoma"/>
          <w:sz w:val="20"/>
          <w:szCs w:val="20"/>
        </w:rPr>
        <w:t>peines</w:t>
      </w:r>
      <w:r w:rsidR="00DB1635" w:rsidRPr="00B004EE">
        <w:rPr>
          <w:rFonts w:ascii="Tahoma" w:hAnsi="Tahoma" w:cs="Tahoma"/>
          <w:sz w:val="20"/>
          <w:szCs w:val="20"/>
        </w:rPr>
        <w:t xml:space="preserve"> </w:t>
      </w:r>
      <w:r w:rsidR="002F24E1" w:rsidRPr="00B004EE">
        <w:rPr>
          <w:rFonts w:ascii="Tahoma" w:hAnsi="Tahoma" w:cs="Tahoma"/>
          <w:sz w:val="20"/>
          <w:szCs w:val="20"/>
        </w:rPr>
        <w:t>plus</w:t>
      </w:r>
      <w:r w:rsidR="00DB1635" w:rsidRPr="00B004EE">
        <w:rPr>
          <w:rFonts w:ascii="Tahoma" w:hAnsi="Tahoma" w:cs="Tahoma"/>
          <w:sz w:val="20"/>
          <w:szCs w:val="20"/>
        </w:rPr>
        <w:t xml:space="preserve"> </w:t>
      </w:r>
      <w:r w:rsidR="002F24E1" w:rsidRPr="00B004EE">
        <w:rPr>
          <w:rFonts w:ascii="Tahoma" w:hAnsi="Tahoma" w:cs="Tahoma"/>
          <w:sz w:val="20"/>
          <w:szCs w:val="20"/>
        </w:rPr>
        <w:t>fortes</w:t>
      </w:r>
      <w:r w:rsidR="00DB1635" w:rsidRPr="00B004EE">
        <w:rPr>
          <w:rFonts w:ascii="Tahoma" w:hAnsi="Tahoma" w:cs="Tahoma"/>
          <w:sz w:val="20"/>
          <w:szCs w:val="20"/>
        </w:rPr>
        <w:t xml:space="preserve"> </w:t>
      </w:r>
      <w:r w:rsidR="002F24E1" w:rsidRPr="00B004EE">
        <w:rPr>
          <w:rFonts w:ascii="Tahoma" w:hAnsi="Tahoma" w:cs="Tahoma"/>
          <w:sz w:val="20"/>
          <w:szCs w:val="20"/>
        </w:rPr>
        <w:t>prévues</w:t>
      </w:r>
      <w:r w:rsidR="00DB1635" w:rsidRPr="00B004EE">
        <w:rPr>
          <w:rFonts w:ascii="Tahoma" w:hAnsi="Tahoma" w:cs="Tahoma"/>
          <w:sz w:val="20"/>
          <w:szCs w:val="20"/>
        </w:rPr>
        <w:t xml:space="preserve"> </w:t>
      </w:r>
      <w:r w:rsidR="002F24E1" w:rsidRPr="00B004EE">
        <w:rPr>
          <w:rFonts w:ascii="Tahoma" w:hAnsi="Tahoma" w:cs="Tahoma"/>
          <w:sz w:val="20"/>
          <w:szCs w:val="20"/>
        </w:rPr>
        <w:t>par</w:t>
      </w:r>
      <w:r w:rsidR="00DB1635" w:rsidRPr="00B004EE">
        <w:rPr>
          <w:rFonts w:ascii="Tahoma" w:hAnsi="Tahoma" w:cs="Tahoma"/>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2F24E1" w:rsidRPr="00B004EE">
        <w:rPr>
          <w:rFonts w:ascii="Tahoma" w:hAnsi="Tahoma" w:cs="Tahoma"/>
          <w:sz w:val="20"/>
          <w:szCs w:val="20"/>
        </w:rPr>
        <w:t>textes</w:t>
      </w:r>
      <w:r w:rsidR="00DB1635" w:rsidRPr="00B004EE">
        <w:rPr>
          <w:rFonts w:ascii="Tahoma" w:hAnsi="Tahoma" w:cs="Tahoma"/>
          <w:sz w:val="20"/>
          <w:szCs w:val="20"/>
        </w:rPr>
        <w:t xml:space="preserve"> </w:t>
      </w:r>
      <w:r w:rsidR="002F24E1" w:rsidRPr="00B004EE">
        <w:rPr>
          <w:rFonts w:ascii="Tahoma" w:hAnsi="Tahoma" w:cs="Tahoma"/>
          <w:sz w:val="20"/>
          <w:szCs w:val="20"/>
        </w:rPr>
        <w:t>en</w:t>
      </w:r>
      <w:r w:rsidR="00DB1635" w:rsidRPr="00B004EE">
        <w:rPr>
          <w:rFonts w:ascii="Tahoma" w:hAnsi="Tahoma" w:cs="Tahoma"/>
          <w:sz w:val="20"/>
          <w:szCs w:val="20"/>
        </w:rPr>
        <w:t xml:space="preserve"> </w:t>
      </w:r>
      <w:r w:rsidR="002F24E1" w:rsidRPr="00B004EE">
        <w:rPr>
          <w:rFonts w:ascii="Tahoma" w:hAnsi="Tahoma" w:cs="Tahoma"/>
          <w:sz w:val="20"/>
          <w:szCs w:val="20"/>
        </w:rPr>
        <w:t>vigueur,</w:t>
      </w:r>
      <w:r w:rsidR="00DB1635" w:rsidRPr="00B004EE">
        <w:rPr>
          <w:rFonts w:ascii="Tahoma" w:hAnsi="Tahoma" w:cs="Tahoma"/>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2F24E1" w:rsidRPr="00B004EE">
        <w:rPr>
          <w:rFonts w:ascii="Tahoma" w:hAnsi="Tahoma" w:cs="Tahoma"/>
          <w:sz w:val="20"/>
          <w:szCs w:val="20"/>
        </w:rPr>
        <w:t>infractions</w:t>
      </w:r>
      <w:r w:rsidR="00DB1635" w:rsidRPr="00B004EE">
        <w:rPr>
          <w:rFonts w:ascii="Tahoma" w:hAnsi="Tahoma" w:cs="Tahoma"/>
          <w:sz w:val="20"/>
          <w:szCs w:val="20"/>
        </w:rPr>
        <w:t xml:space="preserve"> </w:t>
      </w:r>
      <w:r w:rsidR="002F24E1" w:rsidRPr="00B004EE">
        <w:rPr>
          <w:rFonts w:ascii="Tahoma" w:hAnsi="Tahoma" w:cs="Tahoma"/>
          <w:sz w:val="20"/>
          <w:szCs w:val="20"/>
        </w:rPr>
        <w:t>au</w:t>
      </w:r>
      <w:r w:rsidR="00DB1635" w:rsidRPr="00B004EE">
        <w:rPr>
          <w:rFonts w:ascii="Tahoma" w:hAnsi="Tahoma" w:cs="Tahoma"/>
          <w:sz w:val="20"/>
          <w:szCs w:val="20"/>
        </w:rPr>
        <w:t xml:space="preserve"> </w:t>
      </w:r>
      <w:r w:rsidR="002F24E1" w:rsidRPr="00B004EE">
        <w:rPr>
          <w:rFonts w:ascii="Tahoma" w:hAnsi="Tahoma" w:cs="Tahoma"/>
          <w:sz w:val="20"/>
          <w:szCs w:val="20"/>
        </w:rPr>
        <w:t>présent</w:t>
      </w:r>
      <w:r w:rsidR="00DB1635" w:rsidRPr="00B004EE">
        <w:rPr>
          <w:rFonts w:ascii="Tahoma" w:hAnsi="Tahoma" w:cs="Tahoma"/>
          <w:sz w:val="20"/>
          <w:szCs w:val="20"/>
        </w:rPr>
        <w:t xml:space="preserve"> </w:t>
      </w:r>
      <w:r w:rsidR="002F24E1" w:rsidRPr="00B004EE">
        <w:rPr>
          <w:rFonts w:ascii="Tahoma" w:hAnsi="Tahoma" w:cs="Tahoma"/>
          <w:sz w:val="20"/>
          <w:szCs w:val="20"/>
        </w:rPr>
        <w:t>décret</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règlements</w:t>
      </w:r>
      <w:r w:rsidR="00DB1635" w:rsidRPr="00B004EE">
        <w:rPr>
          <w:rFonts w:ascii="Tahoma" w:hAnsi="Tahoma" w:cs="Tahoma"/>
          <w:sz w:val="20"/>
          <w:szCs w:val="20"/>
        </w:rPr>
        <w:t xml:space="preserve"> </w:t>
      </w:r>
      <w:r w:rsidR="002F24E1" w:rsidRPr="00B004EE">
        <w:rPr>
          <w:rFonts w:ascii="Tahoma" w:hAnsi="Tahoma" w:cs="Tahoma"/>
          <w:sz w:val="20"/>
          <w:szCs w:val="20"/>
        </w:rPr>
        <w:t>pris</w:t>
      </w:r>
      <w:r w:rsidR="00DB1635" w:rsidRPr="00B004EE">
        <w:rPr>
          <w:rFonts w:ascii="Tahoma" w:hAnsi="Tahoma" w:cs="Tahoma"/>
          <w:sz w:val="20"/>
          <w:szCs w:val="20"/>
        </w:rPr>
        <w:t xml:space="preserve"> </w:t>
      </w:r>
      <w:r w:rsidR="002F24E1" w:rsidRPr="00B004EE">
        <w:rPr>
          <w:rFonts w:ascii="Tahoma" w:hAnsi="Tahoma" w:cs="Tahoma"/>
          <w:sz w:val="20"/>
          <w:szCs w:val="20"/>
        </w:rPr>
        <w:t>pour</w:t>
      </w:r>
      <w:r w:rsidR="00DB1635" w:rsidRPr="00B004EE">
        <w:rPr>
          <w:rFonts w:ascii="Tahoma" w:hAnsi="Tahoma" w:cs="Tahoma"/>
          <w:sz w:val="20"/>
          <w:szCs w:val="20"/>
        </w:rPr>
        <w:t xml:space="preserve"> </w:t>
      </w:r>
      <w:r w:rsidR="002F24E1" w:rsidRPr="00B004EE">
        <w:rPr>
          <w:rFonts w:ascii="Tahoma" w:hAnsi="Tahoma" w:cs="Tahoma"/>
          <w:sz w:val="20"/>
          <w:szCs w:val="20"/>
        </w:rPr>
        <w:t>son</w:t>
      </w:r>
      <w:r w:rsidR="00DB1635" w:rsidRPr="00B004EE">
        <w:rPr>
          <w:rFonts w:ascii="Tahoma" w:hAnsi="Tahoma" w:cs="Tahoma"/>
          <w:sz w:val="20"/>
          <w:szCs w:val="20"/>
        </w:rPr>
        <w:t xml:space="preserve"> </w:t>
      </w:r>
      <w:r w:rsidR="002F24E1" w:rsidRPr="00B004EE">
        <w:rPr>
          <w:rFonts w:ascii="Tahoma" w:hAnsi="Tahoma" w:cs="Tahoma"/>
          <w:sz w:val="20"/>
          <w:szCs w:val="20"/>
        </w:rPr>
        <w:t>application</w:t>
      </w:r>
      <w:r w:rsidR="00DB1635" w:rsidRPr="00B004EE">
        <w:rPr>
          <w:rFonts w:ascii="Tahoma" w:hAnsi="Tahoma" w:cs="Tahoma"/>
          <w:sz w:val="20"/>
          <w:szCs w:val="20"/>
        </w:rPr>
        <w:t xml:space="preserve"> </w:t>
      </w:r>
      <w:r w:rsidR="002F24E1" w:rsidRPr="00B004EE">
        <w:rPr>
          <w:rFonts w:ascii="Tahoma" w:hAnsi="Tahoma" w:cs="Tahoma"/>
          <w:sz w:val="20"/>
          <w:szCs w:val="20"/>
        </w:rPr>
        <w:t>seront</w:t>
      </w:r>
      <w:r w:rsidR="00DB1635" w:rsidRPr="00B004EE">
        <w:rPr>
          <w:rFonts w:ascii="Tahoma" w:hAnsi="Tahoma" w:cs="Tahoma"/>
          <w:sz w:val="20"/>
          <w:szCs w:val="20"/>
        </w:rPr>
        <w:t xml:space="preserve"> </w:t>
      </w:r>
      <w:r w:rsidR="002F24E1" w:rsidRPr="00B004EE">
        <w:rPr>
          <w:rFonts w:ascii="Tahoma" w:hAnsi="Tahoma" w:cs="Tahoma"/>
          <w:sz w:val="20"/>
          <w:szCs w:val="20"/>
        </w:rPr>
        <w:t>punis</w:t>
      </w:r>
      <w:r w:rsidR="00DB1635" w:rsidRPr="00B004EE">
        <w:rPr>
          <w:rFonts w:ascii="Tahoma" w:hAnsi="Tahoma" w:cs="Tahoma"/>
          <w:sz w:val="20"/>
          <w:szCs w:val="20"/>
        </w:rPr>
        <w:t xml:space="preserve"> </w:t>
      </w:r>
      <w:r w:rsidR="002F24E1" w:rsidRPr="00B004EE">
        <w:rPr>
          <w:rFonts w:ascii="Tahoma" w:hAnsi="Tahoma" w:cs="Tahoma"/>
          <w:sz w:val="20"/>
          <w:szCs w:val="20"/>
        </w:rPr>
        <w:t>conformément</w:t>
      </w:r>
      <w:r w:rsidR="00DB1635" w:rsidRPr="00B004EE">
        <w:rPr>
          <w:rFonts w:ascii="Tahoma" w:hAnsi="Tahoma" w:cs="Tahoma"/>
          <w:sz w:val="20"/>
          <w:szCs w:val="20"/>
        </w:rPr>
        <w:t xml:space="preserve"> </w:t>
      </w:r>
      <w:r w:rsidR="002F24E1" w:rsidRPr="00B004EE">
        <w:rPr>
          <w:rFonts w:ascii="Tahoma" w:hAnsi="Tahoma" w:cs="Tahoma"/>
          <w:sz w:val="20"/>
          <w:szCs w:val="20"/>
        </w:rPr>
        <w:t>aux</w:t>
      </w:r>
      <w:r w:rsidR="00DB1635" w:rsidRPr="00B004EE">
        <w:rPr>
          <w:rFonts w:ascii="Tahoma" w:hAnsi="Tahoma" w:cs="Tahoma"/>
          <w:sz w:val="20"/>
          <w:szCs w:val="20"/>
        </w:rPr>
        <w:t xml:space="preserve"> </w:t>
      </w:r>
      <w:r w:rsidR="002F24E1" w:rsidRPr="00B004EE">
        <w:rPr>
          <w:rFonts w:ascii="Tahoma" w:hAnsi="Tahoma" w:cs="Tahoma"/>
          <w:sz w:val="20"/>
          <w:szCs w:val="20"/>
        </w:rPr>
        <w:t>dispositions</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l’article</w:t>
      </w:r>
      <w:r w:rsidR="00DB1635" w:rsidRPr="00B004EE">
        <w:rPr>
          <w:rFonts w:ascii="Tahoma" w:hAnsi="Tahoma" w:cs="Tahoma"/>
          <w:sz w:val="20"/>
          <w:szCs w:val="20"/>
        </w:rPr>
        <w:t xml:space="preserve"> </w:t>
      </w:r>
      <w:r w:rsidR="002F24E1" w:rsidRPr="00B004EE">
        <w:rPr>
          <w:rFonts w:ascii="Tahoma" w:hAnsi="Tahoma" w:cs="Tahoma"/>
          <w:sz w:val="20"/>
          <w:szCs w:val="20"/>
        </w:rPr>
        <w:t>72</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la</w:t>
      </w:r>
      <w:r w:rsidR="00DB1635" w:rsidRPr="00B004EE">
        <w:rPr>
          <w:rFonts w:ascii="Tahoma" w:hAnsi="Tahoma" w:cs="Tahoma"/>
          <w:sz w:val="20"/>
          <w:szCs w:val="20"/>
        </w:rPr>
        <w:t xml:space="preserve"> </w:t>
      </w:r>
      <w:r w:rsidR="002F24E1" w:rsidRPr="00B004EE">
        <w:rPr>
          <w:rFonts w:ascii="Tahoma" w:hAnsi="Tahoma" w:cs="Tahoma"/>
          <w:sz w:val="20"/>
          <w:szCs w:val="20"/>
        </w:rPr>
        <w:t>loi</w:t>
      </w:r>
      <w:r w:rsidR="00DB1635" w:rsidRPr="00B004EE">
        <w:rPr>
          <w:rFonts w:ascii="Tahoma" w:hAnsi="Tahoma" w:cs="Tahoma"/>
          <w:sz w:val="20"/>
          <w:szCs w:val="20"/>
        </w:rPr>
        <w:t xml:space="preserve"> </w:t>
      </w:r>
      <w:r w:rsidR="002F24E1" w:rsidRPr="00B004EE">
        <w:rPr>
          <w:rFonts w:ascii="Tahoma" w:hAnsi="Tahoma" w:cs="Tahoma"/>
          <w:sz w:val="20"/>
          <w:szCs w:val="20"/>
        </w:rPr>
        <w:t>2000/25</w:t>
      </w:r>
      <w:r w:rsidR="00DB1635" w:rsidRPr="00B004EE">
        <w:rPr>
          <w:rFonts w:ascii="Tahoma" w:hAnsi="Tahoma" w:cs="Tahoma"/>
          <w:sz w:val="20"/>
          <w:szCs w:val="20"/>
        </w:rPr>
        <w:t xml:space="preserve"> </w:t>
      </w:r>
      <w:r w:rsidR="002F24E1" w:rsidRPr="00B004EE">
        <w:rPr>
          <w:rFonts w:ascii="Tahoma" w:hAnsi="Tahoma" w:cs="Tahoma"/>
          <w:sz w:val="20"/>
          <w:szCs w:val="20"/>
        </w:rPr>
        <w:t>du</w:t>
      </w:r>
      <w:r w:rsidR="00DB1635" w:rsidRPr="00B004EE">
        <w:rPr>
          <w:rFonts w:ascii="Tahoma" w:hAnsi="Tahoma" w:cs="Tahoma"/>
          <w:sz w:val="20"/>
          <w:szCs w:val="20"/>
        </w:rPr>
        <w:t xml:space="preserve"> </w:t>
      </w:r>
      <w:r w:rsidR="002F24E1" w:rsidRPr="00B004EE">
        <w:rPr>
          <w:rFonts w:ascii="Tahoma" w:hAnsi="Tahoma" w:cs="Tahoma"/>
          <w:sz w:val="20"/>
          <w:szCs w:val="20"/>
        </w:rPr>
        <w:t>24</w:t>
      </w:r>
      <w:r w:rsidR="00DB1635" w:rsidRPr="00B004EE">
        <w:rPr>
          <w:rFonts w:ascii="Tahoma" w:hAnsi="Tahoma" w:cs="Tahoma"/>
          <w:sz w:val="20"/>
          <w:szCs w:val="20"/>
        </w:rPr>
        <w:t xml:space="preserve"> </w:t>
      </w:r>
      <w:r w:rsidR="002F24E1" w:rsidRPr="00B004EE">
        <w:rPr>
          <w:rFonts w:ascii="Tahoma" w:hAnsi="Tahoma" w:cs="Tahoma"/>
          <w:sz w:val="20"/>
          <w:szCs w:val="20"/>
        </w:rPr>
        <w:t>janvier</w:t>
      </w:r>
      <w:r w:rsidR="00DB1635" w:rsidRPr="00B004EE">
        <w:rPr>
          <w:rFonts w:ascii="Tahoma" w:hAnsi="Tahoma" w:cs="Tahoma"/>
          <w:sz w:val="20"/>
          <w:szCs w:val="20"/>
        </w:rPr>
        <w:t xml:space="preserve"> </w:t>
      </w:r>
      <w:r w:rsidR="002F24E1" w:rsidRPr="00B004EE">
        <w:rPr>
          <w:rFonts w:ascii="Tahoma" w:hAnsi="Tahoma" w:cs="Tahoma"/>
          <w:sz w:val="20"/>
          <w:szCs w:val="20"/>
        </w:rPr>
        <w:t>2000</w:t>
      </w:r>
      <w:r w:rsidR="00DB1635" w:rsidRPr="00B004EE">
        <w:rPr>
          <w:rFonts w:ascii="Tahoma" w:hAnsi="Tahoma" w:cs="Tahoma"/>
          <w:sz w:val="20"/>
          <w:szCs w:val="20"/>
        </w:rPr>
        <w:t xml:space="preserve"> </w:t>
      </w:r>
      <w:r w:rsidR="002F24E1" w:rsidRPr="00B004EE">
        <w:rPr>
          <w:rFonts w:ascii="Tahoma" w:hAnsi="Tahoma" w:cs="Tahoma"/>
          <w:sz w:val="20"/>
          <w:szCs w:val="20"/>
        </w:rPr>
        <w:t>modifiée</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complétée</w:t>
      </w:r>
      <w:r w:rsidR="00DB1635" w:rsidRPr="00B004EE">
        <w:rPr>
          <w:rFonts w:ascii="Tahoma" w:hAnsi="Tahoma" w:cs="Tahoma"/>
          <w:sz w:val="20"/>
          <w:szCs w:val="20"/>
        </w:rPr>
        <w:t xml:space="preserve"> </w:t>
      </w:r>
      <w:r w:rsidR="002F24E1" w:rsidRPr="00B004EE">
        <w:rPr>
          <w:rFonts w:ascii="Tahoma" w:hAnsi="Tahoma" w:cs="Tahoma"/>
          <w:sz w:val="20"/>
          <w:szCs w:val="20"/>
        </w:rPr>
        <w:t>par</w:t>
      </w:r>
      <w:r w:rsidR="00DB1635" w:rsidRPr="00B004EE">
        <w:rPr>
          <w:rFonts w:ascii="Tahoma" w:hAnsi="Tahoma" w:cs="Tahoma"/>
          <w:sz w:val="20"/>
          <w:szCs w:val="20"/>
        </w:rPr>
        <w:t xml:space="preserve"> </w:t>
      </w:r>
      <w:r w:rsidR="002F24E1" w:rsidRPr="00B004EE">
        <w:rPr>
          <w:rFonts w:ascii="Tahoma" w:hAnsi="Tahoma" w:cs="Tahoma"/>
          <w:sz w:val="20"/>
          <w:szCs w:val="20"/>
        </w:rPr>
        <w:t>l’ordonnance</w:t>
      </w:r>
      <w:r w:rsidR="00DB1635" w:rsidRPr="00B004EE">
        <w:rPr>
          <w:rFonts w:ascii="Tahoma" w:hAnsi="Tahoma" w:cs="Tahoma"/>
          <w:sz w:val="20"/>
          <w:szCs w:val="20"/>
        </w:rPr>
        <w:t xml:space="preserve"> </w:t>
      </w:r>
      <w:r w:rsidR="002F24E1" w:rsidRPr="00B004EE">
        <w:rPr>
          <w:rFonts w:ascii="Tahoma" w:hAnsi="Tahoma" w:cs="Tahoma"/>
          <w:sz w:val="20"/>
          <w:szCs w:val="20"/>
        </w:rPr>
        <w:t>2007/022</w:t>
      </w:r>
      <w:r w:rsidR="00DB1635" w:rsidRPr="00B004EE">
        <w:rPr>
          <w:rFonts w:ascii="Tahoma" w:hAnsi="Tahoma" w:cs="Tahoma"/>
          <w:sz w:val="20"/>
          <w:szCs w:val="20"/>
        </w:rPr>
        <w:t xml:space="preserve"> </w:t>
      </w:r>
      <w:r w:rsidR="002F24E1" w:rsidRPr="00B004EE">
        <w:rPr>
          <w:rFonts w:ascii="Tahoma" w:hAnsi="Tahoma" w:cs="Tahoma"/>
          <w:sz w:val="20"/>
          <w:szCs w:val="20"/>
        </w:rPr>
        <w:t>du</w:t>
      </w:r>
      <w:r w:rsidR="00DB1635" w:rsidRPr="00B004EE">
        <w:rPr>
          <w:rFonts w:ascii="Tahoma" w:hAnsi="Tahoma" w:cs="Tahoma"/>
          <w:sz w:val="20"/>
          <w:szCs w:val="20"/>
        </w:rPr>
        <w:t xml:space="preserve"> </w:t>
      </w:r>
      <w:r w:rsidR="002F24E1" w:rsidRPr="00B004EE">
        <w:rPr>
          <w:rFonts w:ascii="Tahoma" w:hAnsi="Tahoma" w:cs="Tahoma"/>
          <w:sz w:val="20"/>
          <w:szCs w:val="20"/>
        </w:rPr>
        <w:t>9</w:t>
      </w:r>
      <w:r w:rsidR="00DB1635" w:rsidRPr="00B004EE">
        <w:rPr>
          <w:rFonts w:ascii="Tahoma" w:hAnsi="Tahoma" w:cs="Tahoma"/>
          <w:sz w:val="20"/>
          <w:szCs w:val="20"/>
        </w:rPr>
        <w:t xml:space="preserve"> </w:t>
      </w:r>
      <w:r w:rsidR="002F24E1" w:rsidRPr="00B004EE">
        <w:rPr>
          <w:rFonts w:ascii="Tahoma" w:hAnsi="Tahoma" w:cs="Tahoma"/>
          <w:sz w:val="20"/>
          <w:szCs w:val="20"/>
        </w:rPr>
        <w:t>avril</w:t>
      </w:r>
      <w:r w:rsidR="00DB1635" w:rsidRPr="00B004EE">
        <w:rPr>
          <w:rFonts w:ascii="Tahoma" w:hAnsi="Tahoma" w:cs="Tahoma"/>
          <w:sz w:val="20"/>
          <w:szCs w:val="20"/>
        </w:rPr>
        <w:t xml:space="preserve"> </w:t>
      </w:r>
      <w:r w:rsidR="002F24E1" w:rsidRPr="00B004EE">
        <w:rPr>
          <w:rFonts w:ascii="Tahoma" w:hAnsi="Tahoma" w:cs="Tahoma"/>
          <w:sz w:val="20"/>
          <w:szCs w:val="20"/>
        </w:rPr>
        <w:t>2007</w:t>
      </w:r>
      <w:r w:rsidR="00DB1635" w:rsidRPr="00B004EE">
        <w:rPr>
          <w:rFonts w:ascii="Tahoma" w:hAnsi="Tahoma" w:cs="Tahoma"/>
          <w:sz w:val="20"/>
          <w:szCs w:val="20"/>
        </w:rPr>
        <w:t xml:space="preserve"> </w:t>
      </w:r>
      <w:r w:rsidR="002F24E1" w:rsidRPr="00B004EE">
        <w:rPr>
          <w:rFonts w:ascii="Tahoma" w:hAnsi="Tahoma" w:cs="Tahoma"/>
          <w:sz w:val="20"/>
          <w:szCs w:val="20"/>
        </w:rPr>
        <w:t>portant</w:t>
      </w:r>
      <w:r w:rsidR="00DB1635" w:rsidRPr="00B004EE">
        <w:rPr>
          <w:rFonts w:ascii="Tahoma" w:hAnsi="Tahoma" w:cs="Tahoma"/>
          <w:sz w:val="20"/>
          <w:szCs w:val="20"/>
        </w:rPr>
        <w:t xml:space="preserve"> </w:t>
      </w:r>
      <w:r w:rsidR="002F24E1" w:rsidRPr="00B004EE">
        <w:rPr>
          <w:rFonts w:ascii="Tahoma" w:hAnsi="Tahoma" w:cs="Tahoma"/>
          <w:sz w:val="20"/>
          <w:szCs w:val="20"/>
        </w:rPr>
        <w:t>Code</w:t>
      </w:r>
      <w:r w:rsidR="00DB1635" w:rsidRPr="00B004EE">
        <w:rPr>
          <w:rFonts w:ascii="Tahoma" w:hAnsi="Tahoma" w:cs="Tahoma"/>
          <w:sz w:val="20"/>
          <w:szCs w:val="20"/>
        </w:rPr>
        <w:t xml:space="preserve"> </w:t>
      </w:r>
      <w:r w:rsidR="002F24E1" w:rsidRPr="00B004EE">
        <w:rPr>
          <w:rFonts w:ascii="Tahoma" w:hAnsi="Tahoma" w:cs="Tahoma"/>
          <w:sz w:val="20"/>
          <w:szCs w:val="20"/>
        </w:rPr>
        <w:t>des</w:t>
      </w:r>
      <w:r w:rsidR="00DB1635" w:rsidRPr="00B004EE">
        <w:rPr>
          <w:rFonts w:ascii="Tahoma" w:hAnsi="Tahoma" w:cs="Tahoma"/>
          <w:sz w:val="20"/>
          <w:szCs w:val="20"/>
        </w:rPr>
        <w:t xml:space="preserve"> </w:t>
      </w:r>
      <w:r w:rsidR="002F24E1" w:rsidRPr="00B004EE">
        <w:rPr>
          <w:rFonts w:ascii="Tahoma" w:hAnsi="Tahoma" w:cs="Tahoma"/>
          <w:sz w:val="20"/>
          <w:szCs w:val="20"/>
        </w:rPr>
        <w:t>Pêches.</w:t>
      </w:r>
      <w:r w:rsidR="00DB1635" w:rsidRPr="00B004EE">
        <w:rPr>
          <w:rFonts w:ascii="Tahoma" w:hAnsi="Tahoma" w:cs="Tahoma"/>
          <w:sz w:val="20"/>
          <w:szCs w:val="20"/>
        </w:rPr>
        <w:t xml:space="preserve"> </w:t>
      </w:r>
    </w:p>
    <w:p w14:paraId="49E87AD3" w14:textId="77777777" w:rsidR="002F24E1" w:rsidRPr="00C323AB" w:rsidRDefault="002F24E1" w:rsidP="00B004EE">
      <w:pPr>
        <w:jc w:val="both"/>
        <w:rPr>
          <w:rFonts w:ascii="Tahoma" w:hAnsi="Tahoma" w:cs="Tahoma"/>
          <w:sz w:val="18"/>
          <w:szCs w:val="18"/>
        </w:rPr>
      </w:pPr>
    </w:p>
    <w:p w14:paraId="79E074CD" w14:textId="22CCEC53" w:rsidR="008518B0" w:rsidRPr="00B004EE" w:rsidRDefault="00FE579E" w:rsidP="00B004EE">
      <w:pPr>
        <w:jc w:val="both"/>
        <w:rPr>
          <w:rFonts w:ascii="Tahoma" w:hAnsi="Tahoma" w:cs="Tahoma"/>
          <w:sz w:val="20"/>
          <w:szCs w:val="20"/>
        </w:rPr>
      </w:pPr>
      <w:r w:rsidRPr="00C323AB">
        <w:rPr>
          <w:rFonts w:ascii="Tahoma" w:hAnsi="Tahoma" w:cs="Tahoma"/>
          <w:b/>
          <w:bCs/>
          <w:sz w:val="20"/>
          <w:szCs w:val="20"/>
        </w:rPr>
        <w:t>Article</w:t>
      </w:r>
      <w:r w:rsidR="00DB1635" w:rsidRPr="00C323AB">
        <w:rPr>
          <w:rFonts w:ascii="Tahoma" w:hAnsi="Tahoma" w:cs="Tahoma"/>
          <w:b/>
          <w:bCs/>
          <w:sz w:val="20"/>
          <w:szCs w:val="20"/>
        </w:rPr>
        <w:t xml:space="preserve"> </w:t>
      </w:r>
      <w:r w:rsidR="002F24E1" w:rsidRPr="00C323AB">
        <w:rPr>
          <w:rFonts w:ascii="Tahoma" w:hAnsi="Tahoma" w:cs="Tahoma"/>
          <w:b/>
          <w:bCs/>
          <w:sz w:val="20"/>
          <w:szCs w:val="20"/>
        </w:rPr>
        <w:t>7</w:t>
      </w:r>
      <w:r w:rsidR="00DB1635" w:rsidRPr="00C323AB">
        <w:rPr>
          <w:rFonts w:ascii="Tahoma" w:hAnsi="Tahoma" w:cs="Tahoma"/>
          <w:b/>
          <w:bCs/>
          <w:sz w:val="20"/>
          <w:szCs w:val="20"/>
        </w:rPr>
        <w:t xml:space="preserve"> </w:t>
      </w:r>
      <w:r w:rsidR="002F24E1" w:rsidRPr="00C323AB">
        <w:rPr>
          <w:rFonts w:ascii="Tahoma" w:hAnsi="Tahoma" w:cs="Tahoma"/>
          <w:b/>
          <w:bCs/>
          <w:sz w:val="20"/>
          <w:szCs w:val="20"/>
        </w:rPr>
        <w:t>:</w:t>
      </w:r>
      <w:r w:rsidR="00DB1635" w:rsidRPr="00C323AB">
        <w:rPr>
          <w:rFonts w:ascii="Tahoma" w:hAnsi="Tahoma" w:cs="Tahoma"/>
          <w:b/>
          <w:bCs/>
          <w:sz w:val="20"/>
          <w:szCs w:val="20"/>
        </w:rPr>
        <w:t xml:space="preserve"> </w:t>
      </w:r>
      <w:r w:rsidR="002F24E1" w:rsidRPr="00C323AB">
        <w:rPr>
          <w:rFonts w:ascii="Tahoma" w:hAnsi="Tahoma" w:cs="Tahoma"/>
          <w:sz w:val="20"/>
          <w:szCs w:val="20"/>
        </w:rPr>
        <w:t>Sont</w:t>
      </w:r>
      <w:r w:rsidR="00DB1635" w:rsidRPr="00B004EE">
        <w:rPr>
          <w:rFonts w:ascii="Tahoma" w:hAnsi="Tahoma" w:cs="Tahoma"/>
          <w:sz w:val="20"/>
          <w:szCs w:val="20"/>
        </w:rPr>
        <w:t xml:space="preserve"> </w:t>
      </w:r>
      <w:r w:rsidR="002F24E1" w:rsidRPr="00B004EE">
        <w:rPr>
          <w:rFonts w:ascii="Tahoma" w:hAnsi="Tahoma" w:cs="Tahoma"/>
          <w:sz w:val="20"/>
          <w:szCs w:val="20"/>
        </w:rPr>
        <w:t>abrogées</w:t>
      </w:r>
      <w:r w:rsidR="00DB1635" w:rsidRPr="00B004EE">
        <w:rPr>
          <w:rFonts w:ascii="Tahoma" w:hAnsi="Tahoma" w:cs="Tahoma"/>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2F24E1" w:rsidRPr="00B004EE">
        <w:rPr>
          <w:rFonts w:ascii="Tahoma" w:hAnsi="Tahoma" w:cs="Tahoma"/>
          <w:sz w:val="20"/>
          <w:szCs w:val="20"/>
        </w:rPr>
        <w:t>dispositions</w:t>
      </w:r>
      <w:r w:rsidR="00DB1635" w:rsidRPr="00B004EE">
        <w:rPr>
          <w:rFonts w:ascii="Tahoma" w:hAnsi="Tahoma" w:cs="Tahoma"/>
          <w:sz w:val="20"/>
          <w:szCs w:val="20"/>
        </w:rPr>
        <w:t xml:space="preserve"> </w:t>
      </w:r>
      <w:r w:rsidR="002F24E1" w:rsidRPr="00B004EE">
        <w:rPr>
          <w:rFonts w:ascii="Tahoma" w:hAnsi="Tahoma" w:cs="Tahoma"/>
          <w:sz w:val="20"/>
          <w:szCs w:val="20"/>
        </w:rPr>
        <w:t>antérieures</w:t>
      </w:r>
      <w:r w:rsidR="00DB1635" w:rsidRPr="00B004EE">
        <w:rPr>
          <w:rFonts w:ascii="Tahoma" w:hAnsi="Tahoma" w:cs="Tahoma"/>
          <w:sz w:val="20"/>
          <w:szCs w:val="20"/>
        </w:rPr>
        <w:t xml:space="preserve"> </w:t>
      </w:r>
      <w:r w:rsidR="002F24E1" w:rsidRPr="00B004EE">
        <w:rPr>
          <w:rFonts w:ascii="Tahoma" w:hAnsi="Tahoma" w:cs="Tahoma"/>
          <w:sz w:val="20"/>
          <w:szCs w:val="20"/>
        </w:rPr>
        <w:t>contraires</w:t>
      </w:r>
      <w:r w:rsidR="00DB1635" w:rsidRPr="00B004EE">
        <w:rPr>
          <w:rFonts w:ascii="Tahoma" w:hAnsi="Tahoma" w:cs="Tahoma"/>
          <w:sz w:val="20"/>
          <w:szCs w:val="20"/>
        </w:rPr>
        <w:t xml:space="preserve"> </w:t>
      </w:r>
      <w:r w:rsidR="002F24E1" w:rsidRPr="00B004EE">
        <w:rPr>
          <w:rFonts w:ascii="Tahoma" w:hAnsi="Tahoma" w:cs="Tahoma"/>
          <w:sz w:val="20"/>
          <w:szCs w:val="20"/>
        </w:rPr>
        <w:t>à</w:t>
      </w:r>
      <w:r w:rsidR="00DB1635" w:rsidRPr="00B004EE">
        <w:rPr>
          <w:rFonts w:ascii="Tahoma" w:hAnsi="Tahoma" w:cs="Tahoma"/>
          <w:sz w:val="20"/>
          <w:szCs w:val="20"/>
        </w:rPr>
        <w:t xml:space="preserve"> </w:t>
      </w:r>
      <w:r w:rsidR="002F24E1" w:rsidRPr="00B004EE">
        <w:rPr>
          <w:rFonts w:ascii="Tahoma" w:hAnsi="Tahoma" w:cs="Tahoma"/>
          <w:sz w:val="20"/>
          <w:szCs w:val="20"/>
        </w:rPr>
        <w:t>celles</w:t>
      </w:r>
      <w:r w:rsidR="00DB1635" w:rsidRPr="00B004EE">
        <w:rPr>
          <w:rFonts w:ascii="Tahoma" w:hAnsi="Tahoma" w:cs="Tahoma"/>
          <w:sz w:val="20"/>
          <w:szCs w:val="20"/>
        </w:rPr>
        <w:t xml:space="preserve"> </w:t>
      </w:r>
      <w:r w:rsidR="002F24E1" w:rsidRPr="00B004EE">
        <w:rPr>
          <w:rFonts w:ascii="Tahoma" w:hAnsi="Tahoma" w:cs="Tahoma"/>
          <w:sz w:val="20"/>
          <w:szCs w:val="20"/>
        </w:rPr>
        <w:t>du</w:t>
      </w:r>
      <w:r w:rsidR="00DB1635" w:rsidRPr="00B004EE">
        <w:rPr>
          <w:rFonts w:ascii="Tahoma" w:hAnsi="Tahoma" w:cs="Tahoma"/>
          <w:sz w:val="20"/>
          <w:szCs w:val="20"/>
        </w:rPr>
        <w:t xml:space="preserve"> </w:t>
      </w:r>
      <w:r w:rsidR="002F24E1" w:rsidRPr="00B004EE">
        <w:rPr>
          <w:rFonts w:ascii="Tahoma" w:hAnsi="Tahoma" w:cs="Tahoma"/>
          <w:sz w:val="20"/>
          <w:szCs w:val="20"/>
        </w:rPr>
        <w:t>présent</w:t>
      </w:r>
      <w:r w:rsidR="00DB1635" w:rsidRPr="00B004EE">
        <w:rPr>
          <w:rFonts w:ascii="Tahoma" w:hAnsi="Tahoma" w:cs="Tahoma"/>
          <w:sz w:val="20"/>
          <w:szCs w:val="20"/>
        </w:rPr>
        <w:t xml:space="preserve"> </w:t>
      </w:r>
      <w:r w:rsidR="002F24E1" w:rsidRPr="00B004EE">
        <w:rPr>
          <w:rFonts w:ascii="Tahoma" w:hAnsi="Tahoma" w:cs="Tahoma"/>
          <w:sz w:val="20"/>
          <w:szCs w:val="20"/>
        </w:rPr>
        <w:t>décret</w:t>
      </w:r>
    </w:p>
    <w:p w14:paraId="65EAA443" w14:textId="77777777" w:rsidR="002E41D8" w:rsidRPr="00C323AB" w:rsidRDefault="002E41D8" w:rsidP="00B004EE">
      <w:pPr>
        <w:jc w:val="both"/>
        <w:rPr>
          <w:rFonts w:ascii="Tahoma" w:hAnsi="Tahoma" w:cs="Tahoma"/>
          <w:sz w:val="18"/>
          <w:szCs w:val="18"/>
        </w:rPr>
      </w:pPr>
      <w:bookmarkStart w:id="162" w:name="_Toc16288667"/>
      <w:bookmarkStart w:id="163" w:name="_Toc17022008"/>
    </w:p>
    <w:p w14:paraId="08F793D3" w14:textId="157F6E5C" w:rsidR="00D91507" w:rsidRPr="00B004EE" w:rsidRDefault="002E41D8" w:rsidP="00B004EE">
      <w:pPr>
        <w:jc w:val="both"/>
        <w:rPr>
          <w:rFonts w:ascii="Tahoma" w:hAnsi="Tahoma" w:cs="Tahoma"/>
          <w:sz w:val="20"/>
          <w:szCs w:val="20"/>
        </w:rPr>
      </w:pPr>
      <w:r w:rsidRPr="00C323AB">
        <w:rPr>
          <w:rFonts w:ascii="Tahoma" w:hAnsi="Tahoma" w:cs="Tahoma"/>
          <w:b/>
          <w:bCs/>
          <w:sz w:val="20"/>
          <w:szCs w:val="20"/>
        </w:rPr>
        <w:t xml:space="preserve">Article 8 : </w:t>
      </w:r>
      <w:r w:rsidRPr="00C323AB">
        <w:rPr>
          <w:rFonts w:ascii="Tahoma" w:hAnsi="Tahoma" w:cs="Tahoma"/>
          <w:sz w:val="20"/>
          <w:szCs w:val="20"/>
        </w:rPr>
        <w:t>Le</w:t>
      </w:r>
      <w:r w:rsidRPr="00B004EE">
        <w:rPr>
          <w:rFonts w:ascii="Tahoma" w:hAnsi="Tahoma" w:cs="Tahoma"/>
          <w:sz w:val="20"/>
          <w:szCs w:val="20"/>
        </w:rPr>
        <w:t xml:space="preserve"> Ministre des Pêches et de l’Economie Maritime est chargé de l'exécution du présent décret qui sera publié au Journal Officiel de la République Islamique de Mauritanie.</w:t>
      </w:r>
    </w:p>
    <w:p w14:paraId="38F387F2" w14:textId="77777777" w:rsidR="002E41D8" w:rsidRPr="00B004EE" w:rsidRDefault="002E41D8" w:rsidP="00B004EE">
      <w:pPr>
        <w:jc w:val="right"/>
        <w:rPr>
          <w:rFonts w:ascii="Tahoma" w:hAnsi="Tahoma" w:cs="Tahoma"/>
          <w:i/>
          <w:iCs/>
          <w:sz w:val="20"/>
          <w:szCs w:val="20"/>
        </w:rPr>
      </w:pPr>
    </w:p>
    <w:p w14:paraId="503543DA" w14:textId="15DFC5E2" w:rsidR="002E41D8" w:rsidRPr="00B004EE" w:rsidRDefault="002E41D8" w:rsidP="00B004EE">
      <w:pPr>
        <w:jc w:val="right"/>
        <w:rPr>
          <w:rFonts w:ascii="Tahoma" w:hAnsi="Tahoma" w:cs="Tahoma"/>
          <w:sz w:val="20"/>
          <w:szCs w:val="20"/>
        </w:rPr>
      </w:pPr>
      <w:r w:rsidRPr="00BC4336">
        <w:rPr>
          <w:rFonts w:ascii="Tahoma" w:hAnsi="Tahoma" w:cs="Tahoma"/>
          <w:sz w:val="20"/>
          <w:szCs w:val="20"/>
        </w:rPr>
        <w:t>Nouakchott, le</w:t>
      </w:r>
      <w:r w:rsidRPr="00B004EE">
        <w:rPr>
          <w:rFonts w:ascii="Tahoma" w:hAnsi="Tahoma" w:cs="Tahoma"/>
          <w:sz w:val="20"/>
          <w:szCs w:val="20"/>
        </w:rPr>
        <w:t xml:space="preserve"> </w:t>
      </w:r>
      <w:r w:rsidRPr="00BC4336">
        <w:rPr>
          <w:rFonts w:ascii="Tahoma" w:hAnsi="Tahoma" w:cs="Tahoma"/>
          <w:sz w:val="20"/>
          <w:szCs w:val="20"/>
        </w:rPr>
        <w:t xml:space="preserve">12 </w:t>
      </w:r>
      <w:r w:rsidR="0003433B" w:rsidRPr="00BC4336">
        <w:rPr>
          <w:rFonts w:ascii="Tahoma" w:hAnsi="Tahoma" w:cs="Tahoma"/>
          <w:sz w:val="20"/>
          <w:szCs w:val="20"/>
        </w:rPr>
        <w:t>m</w:t>
      </w:r>
      <w:r w:rsidRPr="00BC4336">
        <w:rPr>
          <w:rFonts w:ascii="Tahoma" w:hAnsi="Tahoma" w:cs="Tahoma"/>
          <w:sz w:val="20"/>
          <w:szCs w:val="20"/>
        </w:rPr>
        <w:t>ars 2012</w:t>
      </w:r>
      <w:r w:rsidRPr="00B004EE">
        <w:rPr>
          <w:rFonts w:ascii="Tahoma" w:hAnsi="Tahoma" w:cs="Tahoma"/>
          <w:sz w:val="20"/>
          <w:szCs w:val="20"/>
        </w:rPr>
        <w:t xml:space="preserve"> </w:t>
      </w:r>
    </w:p>
    <w:p w14:paraId="32450ABE" w14:textId="77777777" w:rsidR="002E41D8" w:rsidRPr="00B004EE" w:rsidRDefault="002E41D8" w:rsidP="00B004EE">
      <w:pPr>
        <w:jc w:val="center"/>
        <w:rPr>
          <w:rFonts w:ascii="Tahoma" w:hAnsi="Tahoma" w:cs="Tahoma"/>
          <w:sz w:val="20"/>
          <w:szCs w:val="20"/>
        </w:rPr>
      </w:pPr>
    </w:p>
    <w:p w14:paraId="4DB647EA" w14:textId="77777777" w:rsidR="005E06B0" w:rsidRPr="00B004EE" w:rsidRDefault="005E06B0" w:rsidP="00B004EE">
      <w:pPr>
        <w:autoSpaceDE w:val="0"/>
        <w:autoSpaceDN w:val="0"/>
        <w:adjustRightInd w:val="0"/>
        <w:jc w:val="center"/>
        <w:rPr>
          <w:rFonts w:ascii="Tahoma" w:hAnsi="Tahoma" w:cs="Tahoma"/>
          <w:sz w:val="20"/>
          <w:szCs w:val="20"/>
        </w:rPr>
      </w:pPr>
      <w:r w:rsidRPr="00B004EE">
        <w:rPr>
          <w:rFonts w:ascii="Tahoma" w:hAnsi="Tahoma" w:cs="Tahoma"/>
          <w:sz w:val="20"/>
          <w:szCs w:val="20"/>
        </w:rPr>
        <w:t>Le Premier Ministre</w:t>
      </w:r>
    </w:p>
    <w:p w14:paraId="0F213040" w14:textId="112ACE9D" w:rsidR="002E41D8" w:rsidRPr="00B004EE" w:rsidRDefault="002E41D8" w:rsidP="00B004EE">
      <w:pPr>
        <w:jc w:val="center"/>
        <w:rPr>
          <w:rFonts w:ascii="Tahoma" w:hAnsi="Tahoma" w:cs="Tahoma"/>
          <w:sz w:val="20"/>
          <w:szCs w:val="20"/>
        </w:rPr>
      </w:pPr>
      <w:r w:rsidRPr="00B004EE">
        <w:rPr>
          <w:rFonts w:ascii="Tahoma" w:hAnsi="Tahoma" w:cs="Tahoma"/>
          <w:sz w:val="20"/>
          <w:szCs w:val="20"/>
        </w:rPr>
        <w:t>DR. MOUMLAYE OULD MOHAMED LAGHDAF</w:t>
      </w:r>
    </w:p>
    <w:p w14:paraId="6CC9589D" w14:textId="77777777" w:rsidR="002D26AE" w:rsidRPr="00B004EE" w:rsidRDefault="002D26AE" w:rsidP="00C323AB">
      <w:pPr>
        <w:rPr>
          <w:rFonts w:ascii="Tahoma" w:hAnsi="Tahoma" w:cs="Tahoma"/>
          <w:sz w:val="20"/>
          <w:szCs w:val="20"/>
        </w:rPr>
      </w:pPr>
    </w:p>
    <w:p w14:paraId="686F2DA2" w14:textId="1B29910D" w:rsidR="00FE579E" w:rsidRPr="00B004EE" w:rsidRDefault="00FE579E" w:rsidP="00B004EE">
      <w:pPr>
        <w:jc w:val="center"/>
        <w:rPr>
          <w:rFonts w:ascii="Tahoma" w:hAnsi="Tahoma" w:cs="Tahoma"/>
          <w:sz w:val="20"/>
          <w:szCs w:val="20"/>
        </w:rPr>
      </w:pPr>
      <w:r w:rsidRPr="00B004EE">
        <w:rPr>
          <w:rFonts w:ascii="Tahoma" w:hAnsi="Tahoma" w:cs="Tahoma"/>
          <w:sz w:val="20"/>
          <w:szCs w:val="20"/>
        </w:rPr>
        <w:t>Le Ministre des Pêches et de l’Economie Maritime</w:t>
      </w:r>
    </w:p>
    <w:p w14:paraId="13BED4F6" w14:textId="2D90DFD3" w:rsidR="00FE579E" w:rsidRPr="00B004EE" w:rsidRDefault="00FE579E" w:rsidP="002D26AE">
      <w:pPr>
        <w:jc w:val="center"/>
        <w:rPr>
          <w:rFonts w:ascii="Tahoma" w:hAnsi="Tahoma" w:cs="Tahoma"/>
          <w:sz w:val="20"/>
          <w:szCs w:val="20"/>
        </w:rPr>
      </w:pPr>
      <w:r w:rsidRPr="00B004EE">
        <w:rPr>
          <w:rFonts w:ascii="Tahoma" w:hAnsi="Tahoma" w:cs="Tahoma"/>
          <w:sz w:val="20"/>
          <w:szCs w:val="20"/>
        </w:rPr>
        <w:t>AGHDHEFNA OULD EYIH</w:t>
      </w:r>
    </w:p>
    <w:p w14:paraId="3C061371" w14:textId="77777777" w:rsidR="00FE579E" w:rsidRPr="00B004EE" w:rsidRDefault="00FE579E" w:rsidP="00B004EE">
      <w:pPr>
        <w:pStyle w:val="Titre1"/>
        <w:pBdr>
          <w:top w:val="thinThickMediumGap" w:sz="24" w:space="1" w:color="70AD47" w:themeColor="accent6"/>
          <w:left w:val="thinThickMediumGap" w:sz="24" w:space="4" w:color="70AD47" w:themeColor="accent6"/>
          <w:bottom w:val="thickThinMediumGap" w:sz="24" w:space="1" w:color="70AD47" w:themeColor="accent6"/>
          <w:right w:val="thickThinMediumGap" w:sz="24" w:space="4" w:color="70AD47" w:themeColor="accent6"/>
        </w:pBdr>
        <w:spacing w:line="276" w:lineRule="auto"/>
        <w:jc w:val="both"/>
        <w:rPr>
          <w:rFonts w:ascii="Tahoma" w:hAnsi="Tahoma" w:cs="Tahoma"/>
          <w:sz w:val="20"/>
          <w:szCs w:val="20"/>
        </w:rPr>
        <w:sectPr w:rsidR="00FE579E" w:rsidRPr="00B004EE" w:rsidSect="00983185">
          <w:pgSz w:w="12240" w:h="15840"/>
          <w:pgMar w:top="1417" w:right="1417" w:bottom="1417" w:left="1417" w:header="720" w:footer="720" w:gutter="0"/>
          <w:cols w:space="720"/>
          <w:noEndnote/>
          <w:docGrid w:linePitch="326"/>
        </w:sectPr>
      </w:pPr>
    </w:p>
    <w:p w14:paraId="234CC88E" w14:textId="09552EFA" w:rsidR="008518B0" w:rsidRPr="0010310F" w:rsidRDefault="00401897" w:rsidP="00B004EE">
      <w:pPr>
        <w:pStyle w:val="Titre1"/>
        <w:pBdr>
          <w:top w:val="thinThickMediumGap" w:sz="24" w:space="1" w:color="70AD47" w:themeColor="accent6"/>
          <w:left w:val="thinThickMediumGap" w:sz="24" w:space="4" w:color="70AD47" w:themeColor="accent6"/>
          <w:bottom w:val="thickThinMediumGap" w:sz="24" w:space="1" w:color="70AD47" w:themeColor="accent6"/>
          <w:right w:val="thickThinMediumGap" w:sz="24" w:space="4" w:color="70AD47" w:themeColor="accent6"/>
        </w:pBdr>
        <w:spacing w:line="276" w:lineRule="auto"/>
        <w:jc w:val="both"/>
        <w:rPr>
          <w:rFonts w:ascii="Tahoma" w:hAnsi="Tahoma" w:cs="Tahoma"/>
          <w:szCs w:val="22"/>
        </w:rPr>
      </w:pPr>
      <w:bookmarkStart w:id="164" w:name="_Toc202214681"/>
      <w:r w:rsidRPr="0010310F">
        <w:rPr>
          <w:rFonts w:ascii="Tahoma" w:hAnsi="Tahoma" w:cs="Tahoma"/>
          <w:szCs w:val="22"/>
        </w:rPr>
        <w:lastRenderedPageBreak/>
        <w:t>Décret</w:t>
      </w:r>
      <w:r w:rsidR="00DB1635" w:rsidRPr="0010310F">
        <w:rPr>
          <w:rFonts w:ascii="Tahoma" w:hAnsi="Tahoma" w:cs="Tahoma"/>
          <w:szCs w:val="22"/>
        </w:rPr>
        <w:t xml:space="preserve"> </w:t>
      </w:r>
      <w:r w:rsidRPr="0010310F">
        <w:rPr>
          <w:rFonts w:ascii="Tahoma" w:hAnsi="Tahoma" w:cs="Tahoma"/>
          <w:szCs w:val="22"/>
        </w:rPr>
        <w:t>n°</w:t>
      </w:r>
      <w:r w:rsidR="00DB1635" w:rsidRPr="0010310F">
        <w:rPr>
          <w:rFonts w:ascii="Tahoma" w:hAnsi="Tahoma" w:cs="Tahoma"/>
          <w:szCs w:val="22"/>
        </w:rPr>
        <w:t xml:space="preserve"> </w:t>
      </w:r>
      <w:r w:rsidRPr="0010310F">
        <w:rPr>
          <w:rFonts w:ascii="Tahoma" w:hAnsi="Tahoma" w:cs="Tahoma"/>
          <w:szCs w:val="22"/>
        </w:rPr>
        <w:t>2015-159</w:t>
      </w:r>
      <w:r w:rsidR="00DB1635" w:rsidRPr="0010310F">
        <w:rPr>
          <w:rFonts w:ascii="Tahoma" w:hAnsi="Tahoma" w:cs="Tahoma"/>
          <w:szCs w:val="22"/>
        </w:rPr>
        <w:t xml:space="preserve"> </w:t>
      </w:r>
      <w:r w:rsidR="0010310F" w:rsidRPr="0010310F">
        <w:rPr>
          <w:rFonts w:ascii="Tahoma" w:hAnsi="Tahoma" w:cs="Tahoma"/>
          <w:szCs w:val="22"/>
        </w:rPr>
        <w:t xml:space="preserve">du </w:t>
      </w:r>
      <w:r w:rsidR="0010310F" w:rsidRPr="0010310F">
        <w:rPr>
          <w:rFonts w:ascii="Tahoma" w:hAnsi="Tahoma" w:cs="Tahoma"/>
          <w:szCs w:val="22"/>
        </w:rPr>
        <w:t>01 octobre 2015</w:t>
      </w:r>
      <w:r w:rsidR="0010310F" w:rsidRPr="0010310F">
        <w:rPr>
          <w:rFonts w:ascii="Tahoma" w:hAnsi="Tahoma" w:cs="Tahoma"/>
          <w:szCs w:val="22"/>
        </w:rPr>
        <w:t xml:space="preserve">, </w:t>
      </w:r>
      <w:r w:rsidRPr="0010310F">
        <w:rPr>
          <w:rFonts w:ascii="Tahoma" w:hAnsi="Tahoma" w:cs="Tahoma"/>
          <w:szCs w:val="22"/>
        </w:rPr>
        <w:t>portant</w:t>
      </w:r>
      <w:r w:rsidR="00DB1635" w:rsidRPr="0010310F">
        <w:rPr>
          <w:rFonts w:ascii="Tahoma" w:hAnsi="Tahoma" w:cs="Tahoma"/>
          <w:szCs w:val="22"/>
        </w:rPr>
        <w:t xml:space="preserve"> </w:t>
      </w:r>
      <w:r w:rsidRPr="0010310F">
        <w:rPr>
          <w:rFonts w:ascii="Tahoma" w:hAnsi="Tahoma" w:cs="Tahoma"/>
          <w:szCs w:val="22"/>
        </w:rPr>
        <w:t>application</w:t>
      </w:r>
      <w:r w:rsidR="00DB1635" w:rsidRPr="0010310F">
        <w:rPr>
          <w:rFonts w:ascii="Tahoma" w:hAnsi="Tahoma" w:cs="Tahoma"/>
          <w:szCs w:val="22"/>
        </w:rPr>
        <w:t xml:space="preserve"> </w:t>
      </w:r>
      <w:r w:rsidRPr="0010310F">
        <w:rPr>
          <w:rFonts w:ascii="Tahoma" w:hAnsi="Tahoma" w:cs="Tahoma"/>
          <w:szCs w:val="22"/>
        </w:rPr>
        <w:t>de</w:t>
      </w:r>
      <w:r w:rsidR="00DB1635" w:rsidRPr="0010310F">
        <w:rPr>
          <w:rFonts w:ascii="Tahoma" w:hAnsi="Tahoma" w:cs="Tahoma"/>
          <w:szCs w:val="22"/>
        </w:rPr>
        <w:t xml:space="preserve"> </w:t>
      </w:r>
      <w:r w:rsidRPr="0010310F">
        <w:rPr>
          <w:rFonts w:ascii="Tahoma" w:hAnsi="Tahoma" w:cs="Tahoma"/>
          <w:szCs w:val="22"/>
        </w:rPr>
        <w:t>la</w:t>
      </w:r>
      <w:r w:rsidR="00DB1635" w:rsidRPr="0010310F">
        <w:rPr>
          <w:rFonts w:ascii="Tahoma" w:hAnsi="Tahoma" w:cs="Tahoma"/>
          <w:szCs w:val="22"/>
        </w:rPr>
        <w:t xml:space="preserve"> </w:t>
      </w:r>
      <w:r w:rsidRPr="0010310F">
        <w:rPr>
          <w:rFonts w:ascii="Tahoma" w:hAnsi="Tahoma" w:cs="Tahoma"/>
          <w:szCs w:val="22"/>
        </w:rPr>
        <w:t>loi</w:t>
      </w:r>
      <w:r w:rsidR="00DB1635" w:rsidRPr="0010310F">
        <w:rPr>
          <w:rFonts w:ascii="Tahoma" w:hAnsi="Tahoma" w:cs="Tahoma"/>
          <w:szCs w:val="22"/>
        </w:rPr>
        <w:t xml:space="preserve"> </w:t>
      </w:r>
      <w:r w:rsidRPr="0010310F">
        <w:rPr>
          <w:rFonts w:ascii="Tahoma" w:hAnsi="Tahoma" w:cs="Tahoma"/>
          <w:szCs w:val="22"/>
        </w:rPr>
        <w:t>n°</w:t>
      </w:r>
      <w:r w:rsidR="00DB1635" w:rsidRPr="0010310F">
        <w:rPr>
          <w:rFonts w:ascii="Tahoma" w:hAnsi="Tahoma" w:cs="Tahoma"/>
          <w:szCs w:val="22"/>
        </w:rPr>
        <w:t xml:space="preserve"> </w:t>
      </w:r>
      <w:r w:rsidRPr="0010310F">
        <w:rPr>
          <w:rFonts w:ascii="Tahoma" w:hAnsi="Tahoma" w:cs="Tahoma"/>
          <w:szCs w:val="22"/>
        </w:rPr>
        <w:t>017-2015</w:t>
      </w:r>
      <w:r w:rsidR="00DB1635" w:rsidRPr="0010310F">
        <w:rPr>
          <w:rFonts w:ascii="Tahoma" w:hAnsi="Tahoma" w:cs="Tahoma"/>
          <w:szCs w:val="22"/>
        </w:rPr>
        <w:t xml:space="preserve"> </w:t>
      </w:r>
      <w:r w:rsidRPr="0010310F">
        <w:rPr>
          <w:rFonts w:ascii="Tahoma" w:hAnsi="Tahoma" w:cs="Tahoma"/>
          <w:szCs w:val="22"/>
        </w:rPr>
        <w:t>du</w:t>
      </w:r>
      <w:r w:rsidR="00DB1635" w:rsidRPr="0010310F">
        <w:rPr>
          <w:rFonts w:ascii="Tahoma" w:hAnsi="Tahoma" w:cs="Tahoma"/>
          <w:szCs w:val="22"/>
        </w:rPr>
        <w:t xml:space="preserve"> </w:t>
      </w:r>
      <w:r w:rsidRPr="0010310F">
        <w:rPr>
          <w:rFonts w:ascii="Tahoma" w:hAnsi="Tahoma" w:cs="Tahoma"/>
          <w:szCs w:val="22"/>
        </w:rPr>
        <w:t>29/07/2015</w:t>
      </w:r>
      <w:r w:rsidR="00DB1635" w:rsidRPr="0010310F">
        <w:rPr>
          <w:rFonts w:ascii="Tahoma" w:hAnsi="Tahoma" w:cs="Tahoma"/>
          <w:szCs w:val="22"/>
        </w:rPr>
        <w:t xml:space="preserve"> </w:t>
      </w:r>
      <w:r w:rsidRPr="0010310F">
        <w:rPr>
          <w:rFonts w:ascii="Tahoma" w:hAnsi="Tahoma" w:cs="Tahoma"/>
          <w:szCs w:val="22"/>
        </w:rPr>
        <w:t>portant</w:t>
      </w:r>
      <w:r w:rsidR="00DB1635" w:rsidRPr="0010310F">
        <w:rPr>
          <w:rFonts w:ascii="Tahoma" w:hAnsi="Tahoma" w:cs="Tahoma"/>
          <w:szCs w:val="22"/>
        </w:rPr>
        <w:t xml:space="preserve"> </w:t>
      </w:r>
      <w:r w:rsidRPr="0010310F">
        <w:rPr>
          <w:rFonts w:ascii="Tahoma" w:hAnsi="Tahoma" w:cs="Tahoma"/>
          <w:szCs w:val="22"/>
        </w:rPr>
        <w:t>Code</w:t>
      </w:r>
      <w:r w:rsidR="00DB1635" w:rsidRPr="0010310F">
        <w:rPr>
          <w:rFonts w:ascii="Tahoma" w:hAnsi="Tahoma" w:cs="Tahoma"/>
          <w:szCs w:val="22"/>
        </w:rPr>
        <w:t xml:space="preserve"> </w:t>
      </w:r>
      <w:r w:rsidRPr="0010310F">
        <w:rPr>
          <w:rFonts w:ascii="Tahoma" w:hAnsi="Tahoma" w:cs="Tahoma"/>
          <w:szCs w:val="22"/>
        </w:rPr>
        <w:t>des</w:t>
      </w:r>
      <w:r w:rsidR="00DB1635" w:rsidRPr="0010310F">
        <w:rPr>
          <w:rFonts w:ascii="Tahoma" w:hAnsi="Tahoma" w:cs="Tahoma"/>
          <w:szCs w:val="22"/>
        </w:rPr>
        <w:t xml:space="preserve"> </w:t>
      </w:r>
      <w:bookmarkEnd w:id="162"/>
      <w:r w:rsidRPr="0010310F">
        <w:rPr>
          <w:rFonts w:ascii="Tahoma" w:hAnsi="Tahoma" w:cs="Tahoma"/>
          <w:szCs w:val="22"/>
        </w:rPr>
        <w:t>pèches</w:t>
      </w:r>
      <w:bookmarkEnd w:id="163"/>
      <w:bookmarkEnd w:id="164"/>
    </w:p>
    <w:p w14:paraId="53B6A442" w14:textId="77777777" w:rsidR="008518B0" w:rsidRPr="00B004EE" w:rsidRDefault="008518B0" w:rsidP="00B004EE">
      <w:pPr>
        <w:pStyle w:val="Lgende"/>
        <w:jc w:val="both"/>
        <w:rPr>
          <w:rFonts w:ascii="Tahoma" w:hAnsi="Tahoma" w:cs="Tahoma"/>
          <w:b w:val="0"/>
          <w:bCs w:val="0"/>
        </w:rPr>
      </w:pPr>
    </w:p>
    <w:p w14:paraId="20C86C6B" w14:textId="24ABAA4F" w:rsidR="008518B0" w:rsidRPr="00B004EE" w:rsidRDefault="008518B0" w:rsidP="00B004EE">
      <w:pPr>
        <w:pStyle w:val="article"/>
        <w:numPr>
          <w:ilvl w:val="0"/>
          <w:numId w:val="0"/>
        </w:numPr>
        <w:spacing w:before="0" w:line="240" w:lineRule="auto"/>
        <w:rPr>
          <w:rFonts w:ascii="Tahoma" w:hAnsi="Tahoma" w:cs="Tahoma"/>
          <w:sz w:val="20"/>
          <w:szCs w:val="20"/>
        </w:rPr>
      </w:pPr>
      <w:r w:rsidRPr="00B004EE">
        <w:rPr>
          <w:rFonts w:ascii="Tahoma" w:hAnsi="Tahoma" w:cs="Tahoma"/>
          <w:sz w:val="20"/>
          <w:szCs w:val="20"/>
        </w:rPr>
        <w:t>Article</w:t>
      </w:r>
      <w:r w:rsidR="00DB1635" w:rsidRPr="00B004EE">
        <w:rPr>
          <w:rFonts w:ascii="Tahoma" w:hAnsi="Tahoma" w:cs="Tahoma"/>
          <w:sz w:val="20"/>
          <w:szCs w:val="20"/>
        </w:rPr>
        <w:t xml:space="preserve"> </w:t>
      </w:r>
      <w:r w:rsidRPr="00B004EE">
        <w:rPr>
          <w:rFonts w:ascii="Tahoma" w:hAnsi="Tahoma" w:cs="Tahoma"/>
          <w:sz w:val="20"/>
          <w:szCs w:val="20"/>
        </w:rPr>
        <w:t>Premier</w:t>
      </w:r>
      <w:r w:rsidR="00DB1635" w:rsidRPr="00B004EE">
        <w:rPr>
          <w:rFonts w:ascii="Tahoma" w:hAnsi="Tahoma" w:cs="Tahoma"/>
          <w:b/>
          <w:bCs/>
          <w:sz w:val="20"/>
          <w:szCs w:val="20"/>
        </w:rPr>
        <w:t xml:space="preserve"> </w:t>
      </w:r>
      <w:r w:rsidRPr="00B004EE">
        <w:rPr>
          <w:rFonts w:ascii="Tahoma" w:hAnsi="Tahoma" w:cs="Tahoma"/>
          <w:b/>
          <w:bCs/>
          <w:sz w:val="20"/>
          <w:szCs w:val="20"/>
        </w:rPr>
        <w:t>:</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présent</w:t>
      </w:r>
      <w:r w:rsidR="00DB1635" w:rsidRPr="00B004EE">
        <w:rPr>
          <w:rFonts w:ascii="Tahoma" w:hAnsi="Tahoma" w:cs="Tahoma"/>
          <w:sz w:val="20"/>
          <w:szCs w:val="20"/>
        </w:rPr>
        <w:t xml:space="preserve"> </w:t>
      </w:r>
      <w:r w:rsidRPr="00B004EE">
        <w:rPr>
          <w:rFonts w:ascii="Tahoma" w:hAnsi="Tahoma" w:cs="Tahoma"/>
          <w:sz w:val="20"/>
          <w:szCs w:val="20"/>
        </w:rPr>
        <w:t>décret</w:t>
      </w:r>
      <w:r w:rsidR="00DB1635" w:rsidRPr="00B004EE">
        <w:rPr>
          <w:rFonts w:ascii="Tahoma" w:hAnsi="Tahoma" w:cs="Tahoma"/>
          <w:sz w:val="20"/>
          <w:szCs w:val="20"/>
        </w:rPr>
        <w:t xml:space="preserve"> </w:t>
      </w:r>
      <w:r w:rsidRPr="00B004EE">
        <w:rPr>
          <w:rFonts w:ascii="Tahoma" w:hAnsi="Tahoma" w:cs="Tahoma"/>
          <w:sz w:val="20"/>
          <w:szCs w:val="20"/>
        </w:rPr>
        <w:t>portant</w:t>
      </w:r>
      <w:r w:rsidR="00DB1635" w:rsidRPr="00B004EE">
        <w:rPr>
          <w:rFonts w:ascii="Tahoma" w:hAnsi="Tahoma" w:cs="Tahoma"/>
          <w:sz w:val="20"/>
          <w:szCs w:val="20"/>
        </w:rPr>
        <w:t xml:space="preserve"> </w:t>
      </w:r>
      <w:r w:rsidRPr="00B004EE">
        <w:rPr>
          <w:rFonts w:ascii="Tahoma" w:hAnsi="Tahoma" w:cs="Tahoma"/>
          <w:sz w:val="20"/>
          <w:szCs w:val="20"/>
        </w:rPr>
        <w:t>Règlement</w:t>
      </w:r>
      <w:r w:rsidR="00DB1635" w:rsidRPr="00B004EE">
        <w:rPr>
          <w:rFonts w:ascii="Tahoma" w:hAnsi="Tahoma" w:cs="Tahoma"/>
          <w:sz w:val="20"/>
          <w:szCs w:val="20"/>
        </w:rPr>
        <w:t xml:space="preserve"> </w:t>
      </w:r>
      <w:r w:rsidRPr="00B004EE">
        <w:rPr>
          <w:rFonts w:ascii="Tahoma" w:hAnsi="Tahoma" w:cs="Tahoma"/>
          <w:sz w:val="20"/>
          <w:szCs w:val="20"/>
        </w:rPr>
        <w:t>général,</w:t>
      </w:r>
      <w:r w:rsidR="00DB1635" w:rsidRPr="00B004EE">
        <w:rPr>
          <w:rFonts w:ascii="Tahoma" w:hAnsi="Tahoma" w:cs="Tahoma"/>
          <w:sz w:val="20"/>
          <w:szCs w:val="20"/>
        </w:rPr>
        <w:t xml:space="preserve"> </w:t>
      </w:r>
      <w:r w:rsidRPr="00B004EE">
        <w:rPr>
          <w:rFonts w:ascii="Tahoma" w:hAnsi="Tahoma" w:cs="Tahoma"/>
          <w:sz w:val="20"/>
          <w:szCs w:val="20"/>
        </w:rPr>
        <w:t>a</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objet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définir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règles</w:t>
      </w:r>
      <w:r w:rsidR="00DB1635" w:rsidRPr="00B004EE">
        <w:rPr>
          <w:rFonts w:ascii="Tahoma" w:hAnsi="Tahoma" w:cs="Tahoma"/>
          <w:sz w:val="20"/>
          <w:szCs w:val="20"/>
        </w:rPr>
        <w:t xml:space="preserve"> </w:t>
      </w:r>
      <w:r w:rsidRPr="00B004EE">
        <w:rPr>
          <w:rFonts w:ascii="Tahoma" w:hAnsi="Tahoma" w:cs="Tahoma"/>
          <w:sz w:val="20"/>
          <w:szCs w:val="20"/>
        </w:rPr>
        <w:t>d'application</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loi</w:t>
      </w:r>
      <w:r w:rsidR="00DB1635" w:rsidRPr="00B004EE">
        <w:rPr>
          <w:rFonts w:ascii="Tahoma" w:hAnsi="Tahoma" w:cs="Tahoma"/>
          <w:sz w:val="20"/>
          <w:szCs w:val="20"/>
        </w:rPr>
        <w:t xml:space="preserve"> </w:t>
      </w:r>
      <w:r w:rsidRPr="00B004EE">
        <w:rPr>
          <w:rFonts w:ascii="Tahoma" w:hAnsi="Tahoma" w:cs="Tahoma"/>
          <w:sz w:val="20"/>
          <w:szCs w:val="20"/>
        </w:rPr>
        <w:t>n°</w:t>
      </w:r>
      <w:r w:rsidR="00DB1635" w:rsidRPr="00B004EE">
        <w:rPr>
          <w:rFonts w:ascii="Tahoma" w:hAnsi="Tahoma" w:cs="Tahoma"/>
          <w:sz w:val="20"/>
          <w:szCs w:val="20"/>
        </w:rPr>
        <w:t xml:space="preserve"> </w:t>
      </w:r>
      <w:r w:rsidRPr="00B004EE">
        <w:rPr>
          <w:rFonts w:ascii="Tahoma" w:hAnsi="Tahoma" w:cs="Tahoma"/>
          <w:sz w:val="20"/>
          <w:szCs w:val="20"/>
        </w:rPr>
        <w:t>017-2015</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29/07/2015</w:t>
      </w:r>
      <w:r w:rsidR="00DB1635" w:rsidRPr="00B004EE">
        <w:rPr>
          <w:rFonts w:ascii="Tahoma" w:hAnsi="Tahoma" w:cs="Tahoma"/>
          <w:sz w:val="20"/>
          <w:szCs w:val="20"/>
        </w:rPr>
        <w:t xml:space="preserve"> </w:t>
      </w:r>
      <w:r w:rsidRPr="00B004EE">
        <w:rPr>
          <w:rFonts w:ascii="Tahoma" w:hAnsi="Tahoma" w:cs="Tahoma"/>
          <w:sz w:val="20"/>
          <w:szCs w:val="20"/>
        </w:rPr>
        <w:t>portant</w:t>
      </w:r>
      <w:r w:rsidR="00DB1635" w:rsidRPr="00B004EE">
        <w:rPr>
          <w:rFonts w:ascii="Tahoma" w:hAnsi="Tahoma" w:cs="Tahoma"/>
          <w:sz w:val="20"/>
          <w:szCs w:val="20"/>
        </w:rPr>
        <w:t xml:space="preserve"> </w:t>
      </w:r>
      <w:r w:rsidRPr="00B004EE">
        <w:rPr>
          <w:rFonts w:ascii="Tahoma" w:hAnsi="Tahoma" w:cs="Tahoma"/>
          <w:sz w:val="20"/>
          <w:szCs w:val="20"/>
        </w:rPr>
        <w:t>Code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sz w:val="20"/>
          <w:szCs w:val="20"/>
        </w:rPr>
        <w:t xml:space="preserve"> </w:t>
      </w:r>
    </w:p>
    <w:p w14:paraId="43F402B0" w14:textId="77777777" w:rsidR="008518B0" w:rsidRPr="00B004EE" w:rsidRDefault="008518B0" w:rsidP="00B004EE">
      <w:pPr>
        <w:jc w:val="center"/>
        <w:rPr>
          <w:rFonts w:ascii="Tahoma" w:hAnsi="Tahoma" w:cs="Tahoma"/>
          <w:b/>
          <w:bCs/>
          <w:sz w:val="20"/>
          <w:szCs w:val="20"/>
        </w:rPr>
      </w:pPr>
    </w:p>
    <w:p w14:paraId="0317EE29" w14:textId="7676387D" w:rsidR="008518B0" w:rsidRPr="00B004EE" w:rsidRDefault="008518B0" w:rsidP="00B004EE">
      <w:pPr>
        <w:pStyle w:val="article"/>
        <w:numPr>
          <w:ilvl w:val="0"/>
          <w:numId w:val="0"/>
        </w:numPr>
        <w:tabs>
          <w:tab w:val="left" w:pos="1200"/>
        </w:tabs>
        <w:spacing w:before="0" w:line="240" w:lineRule="auto"/>
        <w:jc w:val="center"/>
        <w:rPr>
          <w:rFonts w:ascii="Tahoma" w:hAnsi="Tahoma" w:cs="Tahoma"/>
          <w:b/>
          <w:bCs/>
          <w:sz w:val="20"/>
          <w:szCs w:val="20"/>
        </w:rPr>
      </w:pPr>
      <w:r w:rsidRPr="00B004EE">
        <w:rPr>
          <w:rFonts w:ascii="Tahoma" w:hAnsi="Tahoma" w:cs="Tahoma"/>
          <w:b/>
          <w:bCs/>
          <w:sz w:val="20"/>
          <w:szCs w:val="20"/>
        </w:rPr>
        <w:t>CHAPITRE</w:t>
      </w:r>
      <w:r w:rsidR="00DB1635" w:rsidRPr="00B004EE">
        <w:rPr>
          <w:rFonts w:ascii="Tahoma" w:hAnsi="Tahoma" w:cs="Tahoma"/>
          <w:b/>
          <w:bCs/>
          <w:sz w:val="20"/>
          <w:szCs w:val="20"/>
        </w:rPr>
        <w:t xml:space="preserve"> </w:t>
      </w:r>
      <w:r w:rsidRPr="00B004EE">
        <w:rPr>
          <w:rFonts w:ascii="Tahoma" w:hAnsi="Tahoma" w:cs="Tahoma"/>
          <w:b/>
          <w:bCs/>
          <w:sz w:val="20"/>
          <w:szCs w:val="20"/>
        </w:rPr>
        <w:t>PRELIMINAIRE</w:t>
      </w:r>
    </w:p>
    <w:p w14:paraId="6874D952" w14:textId="67AD5EC6" w:rsidR="008518B0" w:rsidRPr="00B004EE" w:rsidRDefault="008518B0" w:rsidP="00B004EE">
      <w:pPr>
        <w:jc w:val="center"/>
        <w:rPr>
          <w:rFonts w:ascii="Tahoma" w:hAnsi="Tahoma" w:cs="Tahoma"/>
          <w:b/>
          <w:bCs/>
          <w:sz w:val="20"/>
          <w:szCs w:val="20"/>
        </w:rPr>
      </w:pPr>
      <w:r w:rsidRPr="00B004EE">
        <w:rPr>
          <w:rFonts w:ascii="Tahoma" w:hAnsi="Tahoma" w:cs="Tahoma"/>
          <w:b/>
          <w:bCs/>
          <w:sz w:val="20"/>
          <w:szCs w:val="20"/>
        </w:rPr>
        <w:t>Section</w:t>
      </w:r>
      <w:r w:rsidR="00DB1635" w:rsidRPr="00B004EE">
        <w:rPr>
          <w:rFonts w:ascii="Tahoma" w:hAnsi="Tahoma" w:cs="Tahoma"/>
          <w:b/>
          <w:bCs/>
          <w:sz w:val="20"/>
          <w:szCs w:val="20"/>
        </w:rPr>
        <w:t xml:space="preserve"> </w:t>
      </w:r>
      <w:r w:rsidRPr="00B004EE">
        <w:rPr>
          <w:rFonts w:ascii="Tahoma" w:hAnsi="Tahoma" w:cs="Tahoma"/>
          <w:b/>
          <w:bCs/>
          <w:sz w:val="20"/>
          <w:szCs w:val="20"/>
        </w:rPr>
        <w:t>I</w:t>
      </w:r>
      <w:r w:rsidR="00DB1635" w:rsidRPr="00B004EE">
        <w:rPr>
          <w:rFonts w:ascii="Tahoma" w:hAnsi="Tahoma" w:cs="Tahoma"/>
          <w:b/>
          <w:bCs/>
          <w:sz w:val="20"/>
          <w:szCs w:val="20"/>
        </w:rPr>
        <w:t xml:space="preserve"> </w:t>
      </w:r>
      <w:r w:rsidRPr="00B004EE">
        <w:rPr>
          <w:rFonts w:ascii="Tahoma" w:hAnsi="Tahoma" w:cs="Tahoma"/>
          <w:b/>
          <w:bCs/>
          <w:sz w:val="20"/>
          <w:szCs w:val="20"/>
        </w:rPr>
        <w:t>:</w:t>
      </w:r>
      <w:r w:rsidR="00DB1635" w:rsidRPr="00B004EE">
        <w:rPr>
          <w:rFonts w:ascii="Tahoma" w:hAnsi="Tahoma" w:cs="Tahoma"/>
          <w:b/>
          <w:bCs/>
          <w:sz w:val="20"/>
          <w:szCs w:val="20"/>
        </w:rPr>
        <w:t xml:space="preserve"> </w:t>
      </w:r>
      <w:r w:rsidRPr="00B004EE">
        <w:rPr>
          <w:rFonts w:ascii="Tahoma" w:hAnsi="Tahoma" w:cs="Tahoma"/>
          <w:b/>
          <w:bCs/>
          <w:sz w:val="20"/>
          <w:szCs w:val="20"/>
        </w:rPr>
        <w:t>Des</w:t>
      </w:r>
      <w:r w:rsidR="00DB1635" w:rsidRPr="00B004EE">
        <w:rPr>
          <w:rFonts w:ascii="Tahoma" w:hAnsi="Tahoma" w:cs="Tahoma"/>
          <w:b/>
          <w:bCs/>
          <w:sz w:val="20"/>
          <w:szCs w:val="20"/>
        </w:rPr>
        <w:t xml:space="preserve"> </w:t>
      </w:r>
      <w:r w:rsidRPr="00B004EE">
        <w:rPr>
          <w:rFonts w:ascii="Tahoma" w:hAnsi="Tahoma" w:cs="Tahoma"/>
          <w:b/>
          <w:bCs/>
          <w:sz w:val="20"/>
          <w:szCs w:val="20"/>
        </w:rPr>
        <w:t>plans</w:t>
      </w:r>
      <w:r w:rsidR="00DB1635" w:rsidRPr="00B004EE">
        <w:rPr>
          <w:rFonts w:ascii="Tahoma" w:hAnsi="Tahoma" w:cs="Tahoma"/>
          <w:b/>
          <w:bCs/>
          <w:sz w:val="20"/>
          <w:szCs w:val="20"/>
        </w:rPr>
        <w:t xml:space="preserve"> </w:t>
      </w:r>
      <w:r w:rsidRPr="00B004EE">
        <w:rPr>
          <w:rFonts w:ascii="Tahoma" w:hAnsi="Tahoma" w:cs="Tahoma"/>
          <w:b/>
          <w:bCs/>
          <w:sz w:val="20"/>
          <w:szCs w:val="20"/>
        </w:rPr>
        <w:t>d'aménagement</w:t>
      </w:r>
      <w:r w:rsidR="00DB1635" w:rsidRPr="00B004EE">
        <w:rPr>
          <w:rFonts w:ascii="Tahoma" w:hAnsi="Tahoma" w:cs="Tahoma"/>
          <w:b/>
          <w:bCs/>
          <w:sz w:val="20"/>
          <w:szCs w:val="20"/>
        </w:rPr>
        <w:t xml:space="preserve"> </w:t>
      </w:r>
      <w:r w:rsidRPr="00B004EE">
        <w:rPr>
          <w:rFonts w:ascii="Tahoma" w:hAnsi="Tahoma" w:cs="Tahoma"/>
          <w:b/>
          <w:bCs/>
          <w:sz w:val="20"/>
          <w:szCs w:val="20"/>
        </w:rPr>
        <w:t>et</w:t>
      </w:r>
      <w:r w:rsidR="00DB1635" w:rsidRPr="00B004EE">
        <w:rPr>
          <w:rFonts w:ascii="Tahoma" w:hAnsi="Tahoma" w:cs="Tahoma"/>
          <w:b/>
          <w:bCs/>
          <w:sz w:val="20"/>
          <w:szCs w:val="20"/>
        </w:rPr>
        <w:t xml:space="preserve"> </w:t>
      </w:r>
      <w:r w:rsidRPr="00B004EE">
        <w:rPr>
          <w:rFonts w:ascii="Tahoma" w:hAnsi="Tahoma" w:cs="Tahoma"/>
          <w:b/>
          <w:bCs/>
          <w:sz w:val="20"/>
          <w:szCs w:val="20"/>
        </w:rPr>
        <w:t>de</w:t>
      </w:r>
      <w:r w:rsidR="00DB1635" w:rsidRPr="00B004EE">
        <w:rPr>
          <w:rFonts w:ascii="Tahoma" w:hAnsi="Tahoma" w:cs="Tahoma"/>
          <w:b/>
          <w:bCs/>
          <w:sz w:val="20"/>
          <w:szCs w:val="20"/>
        </w:rPr>
        <w:t xml:space="preserve"> </w:t>
      </w:r>
      <w:r w:rsidRPr="00B004EE">
        <w:rPr>
          <w:rFonts w:ascii="Tahoma" w:hAnsi="Tahoma" w:cs="Tahoma"/>
          <w:b/>
          <w:bCs/>
          <w:sz w:val="20"/>
          <w:szCs w:val="20"/>
        </w:rPr>
        <w:t>gestion</w:t>
      </w:r>
      <w:r w:rsidR="00DB1635" w:rsidRPr="00B004EE">
        <w:rPr>
          <w:rFonts w:ascii="Tahoma" w:hAnsi="Tahoma" w:cs="Tahoma"/>
          <w:b/>
          <w:bCs/>
          <w:sz w:val="20"/>
          <w:szCs w:val="20"/>
        </w:rPr>
        <w:t xml:space="preserve"> </w:t>
      </w:r>
      <w:r w:rsidRPr="00B004EE">
        <w:rPr>
          <w:rFonts w:ascii="Tahoma" w:hAnsi="Tahoma" w:cs="Tahoma"/>
          <w:b/>
          <w:bCs/>
          <w:sz w:val="20"/>
          <w:szCs w:val="20"/>
        </w:rPr>
        <w:t>des</w:t>
      </w:r>
      <w:r w:rsidR="00DB1635" w:rsidRPr="00B004EE">
        <w:rPr>
          <w:rFonts w:ascii="Tahoma" w:hAnsi="Tahoma" w:cs="Tahoma"/>
          <w:b/>
          <w:bCs/>
          <w:sz w:val="20"/>
          <w:szCs w:val="20"/>
        </w:rPr>
        <w:t xml:space="preserve"> </w:t>
      </w:r>
      <w:r w:rsidRPr="00B004EE">
        <w:rPr>
          <w:rFonts w:ascii="Tahoma" w:hAnsi="Tahoma" w:cs="Tahoma"/>
          <w:b/>
          <w:bCs/>
          <w:sz w:val="20"/>
          <w:szCs w:val="20"/>
        </w:rPr>
        <w:t>pêcheries</w:t>
      </w:r>
    </w:p>
    <w:p w14:paraId="65C20E48" w14:textId="77777777" w:rsidR="008518B0" w:rsidRPr="00B004EE" w:rsidRDefault="008518B0" w:rsidP="00B004EE">
      <w:pPr>
        <w:jc w:val="center"/>
        <w:rPr>
          <w:rFonts w:ascii="Tahoma" w:hAnsi="Tahoma" w:cs="Tahoma"/>
          <w:b/>
          <w:bCs/>
          <w:sz w:val="20"/>
          <w:szCs w:val="20"/>
        </w:rPr>
      </w:pPr>
    </w:p>
    <w:p w14:paraId="60AAC4C9" w14:textId="35917298" w:rsidR="008518B0" w:rsidRPr="00B004EE" w:rsidRDefault="008518B0" w:rsidP="00B004EE">
      <w:pPr>
        <w:pStyle w:val="article"/>
        <w:numPr>
          <w:ilvl w:val="0"/>
          <w:numId w:val="0"/>
        </w:numPr>
        <w:spacing w:before="0" w:line="240" w:lineRule="auto"/>
        <w:rPr>
          <w:rFonts w:ascii="Tahoma" w:hAnsi="Tahoma" w:cs="Tahoma"/>
          <w:sz w:val="20"/>
          <w:szCs w:val="20"/>
        </w:rPr>
      </w:pPr>
      <w:r w:rsidRPr="00B004EE">
        <w:rPr>
          <w:rFonts w:ascii="Tahoma" w:hAnsi="Tahoma" w:cs="Tahoma"/>
          <w:sz w:val="20"/>
          <w:szCs w:val="20"/>
        </w:rPr>
        <w:t>Article</w:t>
      </w:r>
      <w:r w:rsidR="00DB1635" w:rsidRPr="00B004EE">
        <w:rPr>
          <w:rFonts w:ascii="Tahoma" w:hAnsi="Tahoma" w:cs="Tahoma"/>
          <w:sz w:val="20"/>
          <w:szCs w:val="20"/>
        </w:rPr>
        <w:t xml:space="preserve"> </w:t>
      </w:r>
      <w:r w:rsidRPr="00B004EE">
        <w:rPr>
          <w:rFonts w:ascii="Tahoma" w:hAnsi="Tahoma" w:cs="Tahoma"/>
          <w:sz w:val="20"/>
          <w:szCs w:val="20"/>
        </w:rPr>
        <w:t>2</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plans</w:t>
      </w:r>
      <w:r w:rsidR="00DB1635" w:rsidRPr="00B004EE">
        <w:rPr>
          <w:rFonts w:ascii="Tahoma" w:hAnsi="Tahoma" w:cs="Tahoma"/>
          <w:sz w:val="20"/>
          <w:szCs w:val="20"/>
        </w:rPr>
        <w:t xml:space="preserve"> </w:t>
      </w:r>
      <w:r w:rsidRPr="00B004EE">
        <w:rPr>
          <w:rFonts w:ascii="Tahoma" w:hAnsi="Tahoma" w:cs="Tahoma"/>
          <w:sz w:val="20"/>
          <w:szCs w:val="20"/>
        </w:rPr>
        <w:t>d’aménagement</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gestion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pêcheries</w:t>
      </w:r>
      <w:r w:rsidR="00DB1635" w:rsidRPr="00B004EE">
        <w:rPr>
          <w:rFonts w:ascii="Tahoma" w:hAnsi="Tahoma" w:cs="Tahoma"/>
          <w:sz w:val="20"/>
          <w:szCs w:val="20"/>
        </w:rPr>
        <w:t xml:space="preserve"> </w:t>
      </w:r>
      <w:r w:rsidRPr="00B004EE">
        <w:rPr>
          <w:rFonts w:ascii="Tahoma" w:hAnsi="Tahoma" w:cs="Tahoma"/>
          <w:sz w:val="20"/>
          <w:szCs w:val="20"/>
        </w:rPr>
        <w:t>prévus</w:t>
      </w:r>
      <w:r w:rsidR="00DB1635" w:rsidRPr="00B004EE">
        <w:rPr>
          <w:rFonts w:ascii="Tahoma" w:hAnsi="Tahoma" w:cs="Tahoma"/>
          <w:sz w:val="20"/>
          <w:szCs w:val="20"/>
        </w:rPr>
        <w:t xml:space="preserve"> </w:t>
      </w:r>
      <w:r w:rsidR="00566A20"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articles</w:t>
      </w:r>
      <w:r w:rsidR="00DB1635" w:rsidRPr="00B004EE">
        <w:rPr>
          <w:rFonts w:ascii="Tahoma" w:hAnsi="Tahoma" w:cs="Tahoma"/>
          <w:sz w:val="20"/>
          <w:szCs w:val="20"/>
        </w:rPr>
        <w:t xml:space="preserve"> </w:t>
      </w:r>
      <w:r w:rsidRPr="00B004EE">
        <w:rPr>
          <w:rFonts w:ascii="Tahoma" w:hAnsi="Tahoma" w:cs="Tahoma"/>
          <w:sz w:val="20"/>
          <w:szCs w:val="20"/>
        </w:rPr>
        <w:t>14,</w:t>
      </w:r>
      <w:r w:rsidR="00DB1635" w:rsidRPr="00B004EE">
        <w:rPr>
          <w:rFonts w:ascii="Tahoma" w:hAnsi="Tahoma" w:cs="Tahoma"/>
          <w:sz w:val="20"/>
          <w:szCs w:val="20"/>
        </w:rPr>
        <w:t xml:space="preserve"> </w:t>
      </w:r>
      <w:r w:rsidRPr="00B004EE">
        <w:rPr>
          <w:rFonts w:ascii="Tahoma" w:hAnsi="Tahoma" w:cs="Tahoma"/>
          <w:sz w:val="20"/>
          <w:szCs w:val="20"/>
        </w:rPr>
        <w:t>15,</w:t>
      </w:r>
      <w:r w:rsidR="00DB1635" w:rsidRPr="00B004EE">
        <w:rPr>
          <w:rFonts w:ascii="Tahoma" w:hAnsi="Tahoma" w:cs="Tahoma"/>
          <w:sz w:val="20"/>
          <w:szCs w:val="20"/>
        </w:rPr>
        <w:t xml:space="preserve"> </w:t>
      </w:r>
      <w:r w:rsidRPr="00B004EE">
        <w:rPr>
          <w:rFonts w:ascii="Tahoma" w:hAnsi="Tahoma" w:cs="Tahoma"/>
          <w:sz w:val="20"/>
          <w:szCs w:val="20"/>
        </w:rPr>
        <w:t>16</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17</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loi</w:t>
      </w:r>
      <w:r w:rsidR="00DB1635" w:rsidRPr="00B004EE">
        <w:rPr>
          <w:rFonts w:ascii="Tahoma" w:hAnsi="Tahoma" w:cs="Tahoma"/>
          <w:sz w:val="20"/>
          <w:szCs w:val="20"/>
        </w:rPr>
        <w:t xml:space="preserve"> </w:t>
      </w:r>
      <w:r w:rsidRPr="00B004EE">
        <w:rPr>
          <w:rFonts w:ascii="Tahoma" w:hAnsi="Tahoma" w:cs="Tahoma"/>
          <w:sz w:val="20"/>
          <w:szCs w:val="20"/>
        </w:rPr>
        <w:t>n°</w:t>
      </w:r>
      <w:r w:rsidR="00DB1635" w:rsidRPr="00B004EE">
        <w:rPr>
          <w:rFonts w:ascii="Tahoma" w:hAnsi="Tahoma" w:cs="Tahoma"/>
          <w:sz w:val="20"/>
          <w:szCs w:val="20"/>
        </w:rPr>
        <w:t xml:space="preserve"> </w:t>
      </w:r>
      <w:r w:rsidRPr="00B004EE">
        <w:rPr>
          <w:rFonts w:ascii="Tahoma" w:hAnsi="Tahoma" w:cs="Tahoma"/>
          <w:sz w:val="20"/>
          <w:szCs w:val="20"/>
        </w:rPr>
        <w:t>017-2015</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29</w:t>
      </w:r>
      <w:r w:rsidR="00DB1635" w:rsidRPr="00B004EE">
        <w:rPr>
          <w:rFonts w:ascii="Tahoma" w:hAnsi="Tahoma" w:cs="Tahoma"/>
          <w:sz w:val="20"/>
          <w:szCs w:val="20"/>
        </w:rPr>
        <w:t xml:space="preserve"> </w:t>
      </w:r>
      <w:r w:rsidRPr="00B004EE">
        <w:rPr>
          <w:rFonts w:ascii="Tahoma" w:hAnsi="Tahoma" w:cs="Tahoma"/>
          <w:sz w:val="20"/>
          <w:szCs w:val="20"/>
        </w:rPr>
        <w:t>juillet</w:t>
      </w:r>
      <w:r w:rsidR="00DB1635" w:rsidRPr="00B004EE">
        <w:rPr>
          <w:rFonts w:ascii="Tahoma" w:hAnsi="Tahoma" w:cs="Tahoma"/>
          <w:sz w:val="20"/>
          <w:szCs w:val="20"/>
        </w:rPr>
        <w:t xml:space="preserve"> </w:t>
      </w:r>
      <w:r w:rsidRPr="00B004EE">
        <w:rPr>
          <w:rFonts w:ascii="Tahoma" w:hAnsi="Tahoma" w:cs="Tahoma"/>
          <w:sz w:val="20"/>
          <w:szCs w:val="20"/>
        </w:rPr>
        <w:t>2015</w:t>
      </w:r>
      <w:r w:rsidR="00DB1635" w:rsidRPr="00B004EE">
        <w:rPr>
          <w:rFonts w:ascii="Tahoma" w:hAnsi="Tahoma" w:cs="Tahoma"/>
          <w:sz w:val="20"/>
          <w:szCs w:val="20"/>
        </w:rPr>
        <w:t xml:space="preserve"> </w:t>
      </w:r>
      <w:r w:rsidRPr="00B004EE">
        <w:rPr>
          <w:rFonts w:ascii="Tahoma" w:hAnsi="Tahoma" w:cs="Tahoma"/>
          <w:sz w:val="20"/>
          <w:szCs w:val="20"/>
        </w:rPr>
        <w:t>portant</w:t>
      </w:r>
      <w:r w:rsidR="00DB1635" w:rsidRPr="00B004EE">
        <w:rPr>
          <w:rFonts w:ascii="Tahoma" w:hAnsi="Tahoma" w:cs="Tahoma"/>
          <w:sz w:val="20"/>
          <w:szCs w:val="20"/>
        </w:rPr>
        <w:t xml:space="preserve"> </w:t>
      </w:r>
      <w:r w:rsidRPr="00B004EE">
        <w:rPr>
          <w:rFonts w:ascii="Tahoma" w:hAnsi="Tahoma" w:cs="Tahoma"/>
          <w:sz w:val="20"/>
          <w:szCs w:val="20"/>
        </w:rPr>
        <w:t>Code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sz w:val="20"/>
          <w:szCs w:val="20"/>
        </w:rPr>
        <w:t xml:space="preserve"> </w:t>
      </w:r>
      <w:r w:rsidRPr="00B004EE">
        <w:rPr>
          <w:rFonts w:ascii="Tahoma" w:hAnsi="Tahoma" w:cs="Tahoma"/>
          <w:sz w:val="20"/>
          <w:szCs w:val="20"/>
        </w:rPr>
        <w:t>constituent</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cadre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gestion</w:t>
      </w:r>
      <w:r w:rsidR="00DB1635" w:rsidRPr="00B004EE">
        <w:rPr>
          <w:rFonts w:ascii="Tahoma" w:hAnsi="Tahoma" w:cs="Tahoma"/>
          <w:sz w:val="20"/>
          <w:szCs w:val="20"/>
        </w:rPr>
        <w:t xml:space="preserve"> </w:t>
      </w:r>
      <w:r w:rsidRPr="00B004EE">
        <w:rPr>
          <w:rFonts w:ascii="Tahoma" w:hAnsi="Tahoma" w:cs="Tahoma"/>
          <w:sz w:val="20"/>
          <w:szCs w:val="20"/>
        </w:rPr>
        <w:t>durable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pêcheries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élaborés</w:t>
      </w:r>
      <w:r w:rsidR="00DB1635" w:rsidRPr="00B004EE">
        <w:rPr>
          <w:rFonts w:ascii="Tahoma" w:hAnsi="Tahoma" w:cs="Tahoma"/>
          <w:sz w:val="20"/>
          <w:szCs w:val="20"/>
        </w:rPr>
        <w:t xml:space="preserve"> </w:t>
      </w:r>
      <w:r w:rsidRPr="00B004EE">
        <w:rPr>
          <w:rFonts w:ascii="Tahoma" w:hAnsi="Tahoma" w:cs="Tahoma"/>
          <w:sz w:val="20"/>
          <w:szCs w:val="20"/>
        </w:rPr>
        <w:t>sur</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base</w:t>
      </w:r>
      <w:r w:rsidR="00DB1635" w:rsidRPr="00B004EE">
        <w:rPr>
          <w:rFonts w:ascii="Tahoma" w:hAnsi="Tahoma" w:cs="Tahoma"/>
          <w:sz w:val="20"/>
          <w:szCs w:val="20"/>
        </w:rPr>
        <w:t xml:space="preserve"> </w:t>
      </w:r>
      <w:r w:rsidRPr="00B004EE">
        <w:rPr>
          <w:rFonts w:ascii="Tahoma" w:hAnsi="Tahoma" w:cs="Tahoma"/>
          <w:sz w:val="20"/>
          <w:szCs w:val="20"/>
        </w:rPr>
        <w:t>d’un</w:t>
      </w:r>
      <w:r w:rsidR="00DB1635" w:rsidRPr="00B004EE">
        <w:rPr>
          <w:rFonts w:ascii="Tahoma" w:hAnsi="Tahoma" w:cs="Tahoma"/>
          <w:sz w:val="20"/>
          <w:szCs w:val="20"/>
        </w:rPr>
        <w:t xml:space="preserve"> </w:t>
      </w:r>
      <w:r w:rsidRPr="00B004EE">
        <w:rPr>
          <w:rFonts w:ascii="Tahoma" w:hAnsi="Tahoma" w:cs="Tahoma"/>
          <w:sz w:val="20"/>
          <w:szCs w:val="20"/>
        </w:rPr>
        <w:t>processus</w:t>
      </w:r>
      <w:r w:rsidR="00DB1635" w:rsidRPr="00B004EE">
        <w:rPr>
          <w:rFonts w:ascii="Tahoma" w:hAnsi="Tahoma" w:cs="Tahoma"/>
          <w:sz w:val="20"/>
          <w:szCs w:val="20"/>
        </w:rPr>
        <w:t xml:space="preserve"> </w:t>
      </w:r>
      <w:r w:rsidRPr="00B004EE">
        <w:rPr>
          <w:rFonts w:ascii="Tahoma" w:hAnsi="Tahoma" w:cs="Tahoma"/>
          <w:sz w:val="20"/>
          <w:szCs w:val="20"/>
        </w:rPr>
        <w:t>participatif</w:t>
      </w:r>
      <w:r w:rsidR="00DB1635" w:rsidRPr="00B004EE">
        <w:rPr>
          <w:rFonts w:ascii="Tahoma" w:hAnsi="Tahoma" w:cs="Tahoma"/>
          <w:sz w:val="20"/>
          <w:szCs w:val="20"/>
        </w:rPr>
        <w:t xml:space="preserve"> </w:t>
      </w:r>
      <w:r w:rsidRPr="00B004EE">
        <w:rPr>
          <w:rFonts w:ascii="Tahoma" w:hAnsi="Tahoma" w:cs="Tahoma"/>
          <w:sz w:val="20"/>
          <w:szCs w:val="20"/>
        </w:rPr>
        <w:t>impliquant</w:t>
      </w:r>
      <w:r w:rsidR="00DB1635" w:rsidRPr="00B004EE">
        <w:rPr>
          <w:rFonts w:ascii="Tahoma" w:hAnsi="Tahoma" w:cs="Tahoma"/>
          <w:sz w:val="20"/>
          <w:szCs w:val="20"/>
        </w:rPr>
        <w:t xml:space="preserve"> </w:t>
      </w:r>
      <w:r w:rsidRPr="00B004EE">
        <w:rPr>
          <w:rFonts w:ascii="Tahoma" w:hAnsi="Tahoma" w:cs="Tahoma"/>
          <w:sz w:val="20"/>
          <w:szCs w:val="20"/>
        </w:rPr>
        <w:t>toutes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parties</w:t>
      </w:r>
      <w:r w:rsidR="00DB1635" w:rsidRPr="00B004EE">
        <w:rPr>
          <w:rFonts w:ascii="Tahoma" w:hAnsi="Tahoma" w:cs="Tahoma"/>
          <w:sz w:val="20"/>
          <w:szCs w:val="20"/>
        </w:rPr>
        <w:t xml:space="preserve"> </w:t>
      </w:r>
      <w:r w:rsidRPr="00B004EE">
        <w:rPr>
          <w:rFonts w:ascii="Tahoma" w:hAnsi="Tahoma" w:cs="Tahoma"/>
          <w:sz w:val="20"/>
          <w:szCs w:val="20"/>
        </w:rPr>
        <w:t>prenantes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pêcheries(s)</w:t>
      </w:r>
      <w:r w:rsidR="00DB1635" w:rsidRPr="00B004EE">
        <w:rPr>
          <w:rFonts w:ascii="Tahoma" w:hAnsi="Tahoma" w:cs="Tahoma"/>
          <w:sz w:val="20"/>
          <w:szCs w:val="20"/>
        </w:rPr>
        <w:t xml:space="preserve"> </w:t>
      </w:r>
      <w:r w:rsidRPr="00B004EE">
        <w:rPr>
          <w:rFonts w:ascii="Tahoma" w:hAnsi="Tahoma" w:cs="Tahoma"/>
          <w:sz w:val="20"/>
          <w:szCs w:val="20"/>
        </w:rPr>
        <w:t>concernée(s)</w:t>
      </w:r>
    </w:p>
    <w:p w14:paraId="124C2AB0" w14:textId="77777777" w:rsidR="008518B0" w:rsidRPr="00B004EE" w:rsidRDefault="008518B0" w:rsidP="00B004EE">
      <w:pPr>
        <w:pStyle w:val="article"/>
        <w:numPr>
          <w:ilvl w:val="0"/>
          <w:numId w:val="0"/>
        </w:numPr>
        <w:spacing w:before="0" w:line="240" w:lineRule="auto"/>
        <w:rPr>
          <w:rFonts w:ascii="Tahoma" w:hAnsi="Tahoma" w:cs="Tahoma"/>
          <w:sz w:val="20"/>
          <w:szCs w:val="20"/>
        </w:rPr>
      </w:pPr>
    </w:p>
    <w:p w14:paraId="0F0E6959" w14:textId="7F566D36" w:rsidR="008518B0" w:rsidRPr="00B004EE" w:rsidRDefault="008518B0" w:rsidP="00B004EE">
      <w:pPr>
        <w:pStyle w:val="article"/>
        <w:numPr>
          <w:ilvl w:val="0"/>
          <w:numId w:val="0"/>
        </w:numPr>
        <w:spacing w:before="0" w:line="240" w:lineRule="auto"/>
        <w:rPr>
          <w:rFonts w:ascii="Tahoma" w:hAnsi="Tahoma" w:cs="Tahoma"/>
          <w:sz w:val="20"/>
          <w:szCs w:val="20"/>
        </w:rPr>
      </w:pP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durée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validité</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plans</w:t>
      </w:r>
      <w:r w:rsidR="00DB1635" w:rsidRPr="00B004EE">
        <w:rPr>
          <w:rFonts w:ascii="Tahoma" w:hAnsi="Tahoma" w:cs="Tahoma"/>
          <w:sz w:val="20"/>
          <w:szCs w:val="20"/>
        </w:rPr>
        <w:t xml:space="preserve"> </w:t>
      </w:r>
      <w:r w:rsidRPr="00B004EE">
        <w:rPr>
          <w:rFonts w:ascii="Tahoma" w:hAnsi="Tahoma" w:cs="Tahoma"/>
          <w:sz w:val="20"/>
          <w:szCs w:val="20"/>
        </w:rPr>
        <w:t>d’aménagement</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gestion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pêcheries</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fixées</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durée</w:t>
      </w:r>
      <w:r w:rsidR="00DB1635" w:rsidRPr="00B004EE">
        <w:rPr>
          <w:rFonts w:ascii="Tahoma" w:hAnsi="Tahoma" w:cs="Tahoma"/>
          <w:sz w:val="20"/>
          <w:szCs w:val="20"/>
        </w:rPr>
        <w:t xml:space="preserve"> </w:t>
      </w:r>
      <w:r w:rsidRPr="00B004EE">
        <w:rPr>
          <w:rFonts w:ascii="Tahoma" w:hAnsi="Tahoma" w:cs="Tahoma"/>
          <w:sz w:val="20"/>
          <w:szCs w:val="20"/>
        </w:rPr>
        <w:t>d’au</w:t>
      </w:r>
      <w:r w:rsidR="00DB1635" w:rsidRPr="00B004EE">
        <w:rPr>
          <w:rFonts w:ascii="Tahoma" w:hAnsi="Tahoma" w:cs="Tahoma"/>
          <w:sz w:val="20"/>
          <w:szCs w:val="20"/>
        </w:rPr>
        <w:t xml:space="preserve"> </w:t>
      </w:r>
      <w:r w:rsidRPr="00B004EE">
        <w:rPr>
          <w:rFonts w:ascii="Tahoma" w:hAnsi="Tahoma" w:cs="Tahoma"/>
          <w:sz w:val="20"/>
          <w:szCs w:val="20"/>
        </w:rPr>
        <w:t>moins</w:t>
      </w:r>
      <w:r w:rsidR="00DB1635" w:rsidRPr="00B004EE">
        <w:rPr>
          <w:rFonts w:ascii="Tahoma" w:hAnsi="Tahoma" w:cs="Tahoma"/>
          <w:sz w:val="20"/>
          <w:szCs w:val="20"/>
        </w:rPr>
        <w:t xml:space="preserve"> </w:t>
      </w:r>
      <w:r w:rsidRPr="00B004EE">
        <w:rPr>
          <w:rFonts w:ascii="Tahoma" w:hAnsi="Tahoma" w:cs="Tahoma"/>
          <w:sz w:val="20"/>
          <w:szCs w:val="20"/>
        </w:rPr>
        <w:t>cinq</w:t>
      </w:r>
      <w:r w:rsidR="00DB1635" w:rsidRPr="00B004EE">
        <w:rPr>
          <w:rFonts w:ascii="Tahoma" w:hAnsi="Tahoma" w:cs="Tahoma"/>
          <w:sz w:val="20"/>
          <w:szCs w:val="20"/>
        </w:rPr>
        <w:t xml:space="preserve"> </w:t>
      </w:r>
      <w:r w:rsidRPr="00B004EE">
        <w:rPr>
          <w:rFonts w:ascii="Tahoma" w:hAnsi="Tahoma" w:cs="Tahoma"/>
          <w:sz w:val="20"/>
          <w:szCs w:val="20"/>
        </w:rPr>
        <w:t>ans.</w:t>
      </w:r>
      <w:r w:rsidR="00DB1635" w:rsidRPr="00B004EE">
        <w:rPr>
          <w:rFonts w:ascii="Tahoma" w:hAnsi="Tahoma" w:cs="Tahoma"/>
          <w:sz w:val="20"/>
          <w:szCs w:val="20"/>
        </w:rPr>
        <w:t xml:space="preserve"> </w:t>
      </w:r>
      <w:r w:rsidRPr="00B004EE">
        <w:rPr>
          <w:rFonts w:ascii="Tahoma" w:hAnsi="Tahoma" w:cs="Tahoma"/>
          <w:sz w:val="20"/>
          <w:szCs w:val="20"/>
        </w:rPr>
        <w:t>Ils</w:t>
      </w:r>
      <w:r w:rsidR="00DB1635" w:rsidRPr="00B004EE">
        <w:rPr>
          <w:rFonts w:ascii="Tahoma" w:hAnsi="Tahoma" w:cs="Tahoma"/>
          <w:sz w:val="20"/>
          <w:szCs w:val="20"/>
        </w:rPr>
        <w:t xml:space="preserve"> </w:t>
      </w:r>
      <w:r w:rsidRPr="00B004EE">
        <w:rPr>
          <w:rFonts w:ascii="Tahoma" w:hAnsi="Tahoma" w:cs="Tahoma"/>
          <w:sz w:val="20"/>
          <w:szCs w:val="20"/>
        </w:rPr>
        <w:t>font</w:t>
      </w:r>
      <w:r w:rsidR="00DB1635" w:rsidRPr="00B004EE">
        <w:rPr>
          <w:rFonts w:ascii="Tahoma" w:hAnsi="Tahoma" w:cs="Tahoma"/>
          <w:sz w:val="20"/>
          <w:szCs w:val="20"/>
        </w:rPr>
        <w:t xml:space="preserve"> </w:t>
      </w:r>
      <w:r w:rsidRPr="00B004EE">
        <w:rPr>
          <w:rFonts w:ascii="Tahoma" w:hAnsi="Tahoma" w:cs="Tahoma"/>
          <w:sz w:val="20"/>
          <w:szCs w:val="20"/>
        </w:rPr>
        <w:t>l’objet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suivi-évaluation</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révisés</w:t>
      </w:r>
      <w:r w:rsidR="00DB1635" w:rsidRPr="00B004EE">
        <w:rPr>
          <w:rFonts w:ascii="Tahoma" w:hAnsi="Tahoma" w:cs="Tahoma"/>
          <w:sz w:val="20"/>
          <w:szCs w:val="20"/>
        </w:rPr>
        <w:t xml:space="preserve"> </w:t>
      </w:r>
      <w:r w:rsidRPr="00B004EE">
        <w:rPr>
          <w:rFonts w:ascii="Tahoma" w:hAnsi="Tahoma" w:cs="Tahoma"/>
          <w:sz w:val="20"/>
          <w:szCs w:val="20"/>
        </w:rPr>
        <w:t>chaque</w:t>
      </w:r>
      <w:r w:rsidR="00DB1635" w:rsidRPr="00B004EE">
        <w:rPr>
          <w:rFonts w:ascii="Tahoma" w:hAnsi="Tahoma" w:cs="Tahoma"/>
          <w:sz w:val="20"/>
          <w:szCs w:val="20"/>
        </w:rPr>
        <w:t xml:space="preserve"> </w:t>
      </w:r>
      <w:r w:rsidRPr="00B004EE">
        <w:rPr>
          <w:rFonts w:ascii="Tahoma" w:hAnsi="Tahoma" w:cs="Tahoma"/>
          <w:sz w:val="20"/>
          <w:szCs w:val="20"/>
        </w:rPr>
        <w:t>fois</w:t>
      </w:r>
      <w:r w:rsidR="00DB1635" w:rsidRPr="00B004EE">
        <w:rPr>
          <w:rFonts w:ascii="Tahoma" w:hAnsi="Tahoma" w:cs="Tahoma"/>
          <w:sz w:val="20"/>
          <w:szCs w:val="20"/>
        </w:rPr>
        <w:t xml:space="preserve"> </w:t>
      </w:r>
      <w:r w:rsidRPr="00B004EE">
        <w:rPr>
          <w:rFonts w:ascii="Tahoma" w:hAnsi="Tahoma" w:cs="Tahoma"/>
          <w:sz w:val="20"/>
          <w:szCs w:val="20"/>
        </w:rPr>
        <w:t>que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besoin,</w:t>
      </w:r>
      <w:r w:rsidR="00DB1635" w:rsidRPr="00B004EE">
        <w:rPr>
          <w:rFonts w:ascii="Tahoma" w:hAnsi="Tahoma" w:cs="Tahoma"/>
          <w:sz w:val="20"/>
          <w:szCs w:val="20"/>
        </w:rPr>
        <w:t xml:space="preserve"> </w:t>
      </w:r>
      <w:r w:rsidRPr="00B004EE">
        <w:rPr>
          <w:rFonts w:ascii="Tahoma" w:hAnsi="Tahoma" w:cs="Tahoma"/>
          <w:sz w:val="20"/>
          <w:szCs w:val="20"/>
        </w:rPr>
        <w:t>notamment</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prendre</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compte</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évolutions</w:t>
      </w:r>
      <w:r w:rsidR="00DB1635" w:rsidRPr="00B004EE">
        <w:rPr>
          <w:rFonts w:ascii="Tahoma" w:hAnsi="Tahoma" w:cs="Tahoma"/>
          <w:sz w:val="20"/>
          <w:szCs w:val="20"/>
        </w:rPr>
        <w:t xml:space="preserve"> </w:t>
      </w:r>
      <w:r w:rsidRPr="00B004EE">
        <w:rPr>
          <w:rFonts w:ascii="Tahoma" w:hAnsi="Tahoma" w:cs="Tahoma"/>
          <w:sz w:val="20"/>
          <w:szCs w:val="20"/>
        </w:rPr>
        <w:t>marquantes</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déterminations</w:t>
      </w:r>
      <w:r w:rsidR="00DB1635" w:rsidRPr="00B004EE">
        <w:rPr>
          <w:rFonts w:ascii="Tahoma" w:hAnsi="Tahoma" w:cs="Tahoma"/>
          <w:sz w:val="20"/>
          <w:szCs w:val="20"/>
        </w:rPr>
        <w:t xml:space="preserve"> </w:t>
      </w:r>
      <w:r w:rsidRPr="00B004EE">
        <w:rPr>
          <w:rFonts w:ascii="Tahoma" w:hAnsi="Tahoma" w:cs="Tahoma"/>
          <w:sz w:val="20"/>
          <w:szCs w:val="20"/>
        </w:rPr>
        <w:t>économiques,</w:t>
      </w:r>
      <w:r w:rsidR="00DB1635" w:rsidRPr="00B004EE">
        <w:rPr>
          <w:rFonts w:ascii="Tahoma" w:hAnsi="Tahoma" w:cs="Tahoma"/>
          <w:sz w:val="20"/>
          <w:szCs w:val="20"/>
        </w:rPr>
        <w:t xml:space="preserve"> </w:t>
      </w:r>
      <w:r w:rsidRPr="00B004EE">
        <w:rPr>
          <w:rFonts w:ascii="Tahoma" w:hAnsi="Tahoma" w:cs="Tahoma"/>
          <w:sz w:val="20"/>
          <w:szCs w:val="20"/>
        </w:rPr>
        <w:t>sociaux</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écologiques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pêcherie/</w:t>
      </w:r>
    </w:p>
    <w:p w14:paraId="36EC32C8" w14:textId="77777777" w:rsidR="008518B0" w:rsidRPr="00B004EE" w:rsidRDefault="008518B0" w:rsidP="00B004EE">
      <w:pPr>
        <w:pStyle w:val="article"/>
        <w:numPr>
          <w:ilvl w:val="0"/>
          <w:numId w:val="0"/>
        </w:numPr>
        <w:spacing w:before="0" w:line="240" w:lineRule="auto"/>
        <w:rPr>
          <w:rFonts w:ascii="Tahoma" w:hAnsi="Tahoma" w:cs="Tahoma"/>
          <w:sz w:val="20"/>
          <w:szCs w:val="20"/>
        </w:rPr>
      </w:pPr>
    </w:p>
    <w:p w14:paraId="1E64E605" w14:textId="6EDEE1E0" w:rsidR="008518B0" w:rsidRPr="00B004EE" w:rsidRDefault="008518B0" w:rsidP="00B004EE">
      <w:pPr>
        <w:pStyle w:val="sarticle"/>
        <w:spacing w:before="0"/>
        <w:ind w:firstLine="0"/>
        <w:rPr>
          <w:rFonts w:ascii="Tahoma" w:hAnsi="Tahoma" w:cs="Tahoma"/>
          <w:sz w:val="20"/>
          <w:szCs w:val="20"/>
        </w:rPr>
      </w:pPr>
      <w:r w:rsidRPr="00B004EE">
        <w:rPr>
          <w:rFonts w:ascii="Tahoma" w:hAnsi="Tahoma" w:cs="Tahoma"/>
          <w:sz w:val="20"/>
          <w:szCs w:val="20"/>
        </w:rPr>
        <w:t>Ils</w:t>
      </w:r>
      <w:r w:rsidR="00DB1635" w:rsidRPr="00B004EE">
        <w:rPr>
          <w:rFonts w:ascii="Tahoma" w:hAnsi="Tahoma" w:cs="Tahoma"/>
          <w:sz w:val="20"/>
          <w:szCs w:val="20"/>
        </w:rPr>
        <w:t xml:space="preserve"> </w:t>
      </w:r>
      <w:r w:rsidRPr="00B004EE">
        <w:rPr>
          <w:rFonts w:ascii="Tahoma" w:hAnsi="Tahoma" w:cs="Tahoma"/>
          <w:sz w:val="20"/>
          <w:szCs w:val="20"/>
        </w:rPr>
        <w:t>doivent</w:t>
      </w:r>
      <w:r w:rsidR="00DB1635" w:rsidRPr="00B004EE">
        <w:rPr>
          <w:rFonts w:ascii="Tahoma" w:hAnsi="Tahoma" w:cs="Tahoma"/>
          <w:sz w:val="20"/>
          <w:szCs w:val="20"/>
        </w:rPr>
        <w:t xml:space="preserve"> </w:t>
      </w:r>
      <w:r w:rsidRPr="00B004EE">
        <w:rPr>
          <w:rFonts w:ascii="Tahoma" w:hAnsi="Tahoma" w:cs="Tahoma"/>
          <w:sz w:val="20"/>
          <w:szCs w:val="20"/>
        </w:rPr>
        <w:t>notamment</w:t>
      </w:r>
      <w:r w:rsidR="00DB1635" w:rsidRPr="00B004EE">
        <w:rPr>
          <w:rFonts w:ascii="Tahoma" w:hAnsi="Tahoma" w:cs="Tahoma"/>
          <w:sz w:val="20"/>
          <w:szCs w:val="20"/>
        </w:rPr>
        <w:t xml:space="preserve"> </w:t>
      </w:r>
      <w:r w:rsidRPr="00B004EE">
        <w:rPr>
          <w:rFonts w:ascii="Tahoma" w:hAnsi="Tahoma" w:cs="Tahoma"/>
          <w:sz w:val="20"/>
          <w:szCs w:val="20"/>
        </w:rPr>
        <w:t>:</w:t>
      </w:r>
    </w:p>
    <w:p w14:paraId="1FD90C9C" w14:textId="31254725" w:rsidR="008518B0" w:rsidRPr="00B004EE" w:rsidRDefault="008518B0" w:rsidP="00420DDA">
      <w:pPr>
        <w:pStyle w:val="numsousart"/>
        <w:numPr>
          <w:ilvl w:val="1"/>
          <w:numId w:val="57"/>
        </w:numPr>
        <w:spacing w:before="0"/>
        <w:ind w:left="709" w:hanging="425"/>
        <w:rPr>
          <w:rFonts w:ascii="Tahoma" w:hAnsi="Tahoma" w:cs="Tahoma"/>
          <w:sz w:val="20"/>
          <w:szCs w:val="20"/>
        </w:rPr>
      </w:pPr>
      <w:proofErr w:type="gramStart"/>
      <w:r w:rsidRPr="00B004EE">
        <w:rPr>
          <w:rFonts w:ascii="Tahoma" w:hAnsi="Tahoma" w:cs="Tahoma"/>
          <w:sz w:val="20"/>
          <w:szCs w:val="20"/>
        </w:rPr>
        <w:t>identifier</w:t>
      </w:r>
      <w:proofErr w:type="gramEnd"/>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principales</w:t>
      </w:r>
      <w:r w:rsidR="00DB1635" w:rsidRPr="00B004EE">
        <w:rPr>
          <w:rFonts w:ascii="Tahoma" w:hAnsi="Tahoma" w:cs="Tahoma"/>
          <w:sz w:val="20"/>
          <w:szCs w:val="20"/>
        </w:rPr>
        <w:t xml:space="preserve"> </w:t>
      </w:r>
      <w:r w:rsidRPr="00B004EE">
        <w:rPr>
          <w:rFonts w:ascii="Tahoma" w:hAnsi="Tahoma" w:cs="Tahoma"/>
          <w:sz w:val="20"/>
          <w:szCs w:val="20"/>
        </w:rPr>
        <w:t>pêcheries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leurs</w:t>
      </w:r>
      <w:r w:rsidR="00DB1635" w:rsidRPr="00B004EE">
        <w:rPr>
          <w:rFonts w:ascii="Tahoma" w:hAnsi="Tahoma" w:cs="Tahoma"/>
          <w:sz w:val="20"/>
          <w:szCs w:val="20"/>
        </w:rPr>
        <w:t xml:space="preserve"> </w:t>
      </w:r>
      <w:r w:rsidRPr="00B004EE">
        <w:rPr>
          <w:rFonts w:ascii="Tahoma" w:hAnsi="Tahoma" w:cs="Tahoma"/>
          <w:sz w:val="20"/>
          <w:szCs w:val="20"/>
        </w:rPr>
        <w:t>caractéristiques</w:t>
      </w:r>
      <w:r w:rsidR="00DB1635" w:rsidRPr="00B004EE">
        <w:rPr>
          <w:rFonts w:ascii="Tahoma" w:hAnsi="Tahoma" w:cs="Tahoma"/>
          <w:sz w:val="20"/>
          <w:szCs w:val="20"/>
        </w:rPr>
        <w:t xml:space="preserve"> </w:t>
      </w:r>
      <w:r w:rsidRPr="00B004EE">
        <w:rPr>
          <w:rFonts w:ascii="Tahoma" w:hAnsi="Tahoma" w:cs="Tahoma"/>
          <w:sz w:val="20"/>
          <w:szCs w:val="20"/>
        </w:rPr>
        <w:t>;</w:t>
      </w:r>
    </w:p>
    <w:p w14:paraId="64C57863" w14:textId="6A381D9B" w:rsidR="008518B0" w:rsidRPr="00B004EE" w:rsidRDefault="008518B0" w:rsidP="00420DDA">
      <w:pPr>
        <w:pStyle w:val="numsousart"/>
        <w:numPr>
          <w:ilvl w:val="1"/>
          <w:numId w:val="57"/>
        </w:numPr>
        <w:spacing w:before="0"/>
        <w:ind w:left="709" w:hanging="425"/>
        <w:rPr>
          <w:rFonts w:ascii="Tahoma" w:hAnsi="Tahoma" w:cs="Tahoma"/>
          <w:sz w:val="20"/>
          <w:szCs w:val="20"/>
        </w:rPr>
      </w:pPr>
      <w:proofErr w:type="gramStart"/>
      <w:r w:rsidRPr="00B004EE">
        <w:rPr>
          <w:rFonts w:ascii="Tahoma" w:hAnsi="Tahoma" w:cs="Tahoma"/>
          <w:sz w:val="20"/>
          <w:szCs w:val="20"/>
        </w:rPr>
        <w:t>spécifier</w:t>
      </w:r>
      <w:proofErr w:type="gramEnd"/>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chaque</w:t>
      </w:r>
      <w:r w:rsidR="00DB1635" w:rsidRPr="00B004EE">
        <w:rPr>
          <w:rFonts w:ascii="Tahoma" w:hAnsi="Tahoma" w:cs="Tahoma"/>
          <w:sz w:val="20"/>
          <w:szCs w:val="20"/>
        </w:rPr>
        <w:t xml:space="preserve"> </w:t>
      </w:r>
      <w:r w:rsidRPr="00B004EE">
        <w:rPr>
          <w:rFonts w:ascii="Tahoma" w:hAnsi="Tahoma" w:cs="Tahoma"/>
          <w:sz w:val="20"/>
          <w:szCs w:val="20"/>
        </w:rPr>
        <w:t>pêcherie,</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objectifs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atteindre</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matière</w:t>
      </w:r>
      <w:r w:rsidR="00DB1635" w:rsidRPr="00B004EE">
        <w:rPr>
          <w:rFonts w:ascii="Tahoma" w:hAnsi="Tahoma" w:cs="Tahoma"/>
          <w:sz w:val="20"/>
          <w:szCs w:val="20"/>
        </w:rPr>
        <w:t xml:space="preserve"> </w:t>
      </w:r>
      <w:r w:rsidRPr="00B004EE">
        <w:rPr>
          <w:rFonts w:ascii="Tahoma" w:hAnsi="Tahoma" w:cs="Tahoma"/>
          <w:sz w:val="20"/>
          <w:szCs w:val="20"/>
        </w:rPr>
        <w:t>d'aménagement</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gestion</w:t>
      </w:r>
      <w:r w:rsidR="00DB1635" w:rsidRPr="00B004EE">
        <w:rPr>
          <w:rFonts w:ascii="Tahoma" w:hAnsi="Tahoma" w:cs="Tahoma"/>
          <w:sz w:val="20"/>
          <w:szCs w:val="20"/>
        </w:rPr>
        <w:t xml:space="preserve"> </w:t>
      </w:r>
      <w:r w:rsidRPr="00B004EE">
        <w:rPr>
          <w:rFonts w:ascii="Tahoma" w:hAnsi="Tahoma" w:cs="Tahoma"/>
          <w:sz w:val="20"/>
          <w:szCs w:val="20"/>
        </w:rPr>
        <w:t>durable</w:t>
      </w:r>
      <w:r w:rsidR="00DB1635" w:rsidRPr="00B004EE">
        <w:rPr>
          <w:rFonts w:ascii="Tahoma" w:hAnsi="Tahoma" w:cs="Tahoma"/>
          <w:sz w:val="20"/>
          <w:szCs w:val="20"/>
        </w:rPr>
        <w:t xml:space="preserve"> </w:t>
      </w:r>
      <w:r w:rsidRPr="00B004EE">
        <w:rPr>
          <w:rFonts w:ascii="Tahoma" w:hAnsi="Tahoma" w:cs="Tahoma"/>
          <w:sz w:val="20"/>
          <w:szCs w:val="20"/>
        </w:rPr>
        <w:t>;</w:t>
      </w:r>
    </w:p>
    <w:p w14:paraId="06A86541" w14:textId="2B3F8A50" w:rsidR="008518B0" w:rsidRPr="00B004EE" w:rsidRDefault="008518B0" w:rsidP="00420DDA">
      <w:pPr>
        <w:pStyle w:val="numsousart"/>
        <w:numPr>
          <w:ilvl w:val="1"/>
          <w:numId w:val="57"/>
        </w:numPr>
        <w:spacing w:before="0"/>
        <w:ind w:left="709" w:hanging="425"/>
        <w:rPr>
          <w:rFonts w:ascii="Tahoma" w:hAnsi="Tahoma" w:cs="Tahoma"/>
          <w:sz w:val="20"/>
          <w:szCs w:val="20"/>
        </w:rPr>
      </w:pPr>
      <w:proofErr w:type="gramStart"/>
      <w:r w:rsidRPr="00B004EE">
        <w:rPr>
          <w:rFonts w:ascii="Tahoma" w:hAnsi="Tahoma" w:cs="Tahoma"/>
          <w:sz w:val="20"/>
          <w:szCs w:val="20"/>
        </w:rPr>
        <w:t>définir</w:t>
      </w:r>
      <w:proofErr w:type="gramEnd"/>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chaque</w:t>
      </w:r>
      <w:r w:rsidR="00DB1635" w:rsidRPr="00B004EE">
        <w:rPr>
          <w:rFonts w:ascii="Tahoma" w:hAnsi="Tahoma" w:cs="Tahoma"/>
          <w:sz w:val="20"/>
          <w:szCs w:val="20"/>
        </w:rPr>
        <w:t xml:space="preserve"> </w:t>
      </w:r>
      <w:r w:rsidRPr="00B004EE">
        <w:rPr>
          <w:rFonts w:ascii="Tahoma" w:hAnsi="Tahoma" w:cs="Tahoma"/>
          <w:sz w:val="20"/>
          <w:szCs w:val="20"/>
        </w:rPr>
        <w:t>pêcherie,</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total</w:t>
      </w:r>
      <w:r w:rsidR="00DB1635" w:rsidRPr="00B004EE">
        <w:rPr>
          <w:rFonts w:ascii="Tahoma" w:hAnsi="Tahoma" w:cs="Tahoma"/>
          <w:sz w:val="20"/>
          <w:szCs w:val="20"/>
        </w:rPr>
        <w:t xml:space="preserve"> </w:t>
      </w:r>
      <w:r w:rsidRPr="00B004EE">
        <w:rPr>
          <w:rFonts w:ascii="Tahoma" w:hAnsi="Tahoma" w:cs="Tahoma"/>
          <w:sz w:val="20"/>
          <w:szCs w:val="20"/>
        </w:rPr>
        <w:t>admissible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captures</w:t>
      </w:r>
      <w:r w:rsidR="00DB1635" w:rsidRPr="00B004EE">
        <w:rPr>
          <w:rFonts w:ascii="Tahoma" w:hAnsi="Tahoma" w:cs="Tahoma"/>
          <w:sz w:val="20"/>
          <w:szCs w:val="20"/>
        </w:rPr>
        <w:t xml:space="preserve"> </w:t>
      </w:r>
      <w:r w:rsidRPr="00B004EE">
        <w:rPr>
          <w:rFonts w:ascii="Tahoma" w:hAnsi="Tahoma" w:cs="Tahoma"/>
          <w:sz w:val="20"/>
          <w:szCs w:val="20"/>
        </w:rPr>
        <w:t>(TAC)</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ses</w:t>
      </w:r>
      <w:r w:rsidR="00DB1635" w:rsidRPr="00B004EE">
        <w:rPr>
          <w:rFonts w:ascii="Tahoma" w:hAnsi="Tahoma" w:cs="Tahoma"/>
          <w:sz w:val="20"/>
          <w:szCs w:val="20"/>
        </w:rPr>
        <w:t xml:space="preserve"> </w:t>
      </w:r>
      <w:r w:rsidRPr="00B004EE">
        <w:rPr>
          <w:rFonts w:ascii="Tahoma" w:hAnsi="Tahoma" w:cs="Tahoma"/>
          <w:sz w:val="20"/>
          <w:szCs w:val="20"/>
        </w:rPr>
        <w:t>mécanismes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répartition,</w:t>
      </w:r>
    </w:p>
    <w:p w14:paraId="054128B0" w14:textId="221AA1E8" w:rsidR="008518B0" w:rsidRPr="00B004EE" w:rsidRDefault="008518B0" w:rsidP="00420DDA">
      <w:pPr>
        <w:pStyle w:val="numsousart"/>
        <w:numPr>
          <w:ilvl w:val="1"/>
          <w:numId w:val="57"/>
        </w:numPr>
        <w:spacing w:before="0"/>
        <w:ind w:left="709" w:hanging="425"/>
        <w:rPr>
          <w:rFonts w:ascii="Tahoma" w:hAnsi="Tahoma" w:cs="Tahoma"/>
          <w:sz w:val="20"/>
          <w:szCs w:val="20"/>
        </w:rPr>
      </w:pPr>
      <w:proofErr w:type="gramStart"/>
      <w:r w:rsidRPr="00B004EE">
        <w:rPr>
          <w:rFonts w:ascii="Tahoma" w:hAnsi="Tahoma" w:cs="Tahoma"/>
          <w:sz w:val="20"/>
          <w:szCs w:val="20"/>
        </w:rPr>
        <w:t>définir</w:t>
      </w:r>
      <w:proofErr w:type="gramEnd"/>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mécanismes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limitation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prises</w:t>
      </w:r>
      <w:r w:rsidR="00DB1635" w:rsidRPr="00B004EE">
        <w:rPr>
          <w:rFonts w:ascii="Tahoma" w:hAnsi="Tahoma" w:cs="Tahoma"/>
          <w:sz w:val="20"/>
          <w:szCs w:val="20"/>
        </w:rPr>
        <w:t xml:space="preserve"> </w:t>
      </w:r>
      <w:r w:rsidRPr="00B004EE">
        <w:rPr>
          <w:rFonts w:ascii="Tahoma" w:hAnsi="Tahoma" w:cs="Tahoma"/>
          <w:sz w:val="20"/>
          <w:szCs w:val="20"/>
        </w:rPr>
        <w:t>accessoires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rejets</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mer</w:t>
      </w:r>
      <w:r w:rsidR="00DB1635" w:rsidRPr="00B004EE">
        <w:rPr>
          <w:rFonts w:ascii="Tahoma" w:hAnsi="Tahoma" w:cs="Tahoma"/>
          <w:sz w:val="20"/>
          <w:szCs w:val="20"/>
        </w:rPr>
        <w:t xml:space="preserve"> </w:t>
      </w:r>
      <w:r w:rsidRPr="00B004EE">
        <w:rPr>
          <w:rFonts w:ascii="Tahoma" w:hAnsi="Tahoma" w:cs="Tahoma"/>
          <w:sz w:val="20"/>
          <w:szCs w:val="20"/>
        </w:rPr>
        <w:t>;</w:t>
      </w:r>
    </w:p>
    <w:p w14:paraId="2FC292A6" w14:textId="616E5CC4" w:rsidR="008518B0" w:rsidRPr="00B004EE" w:rsidRDefault="008518B0" w:rsidP="00420DDA">
      <w:pPr>
        <w:pStyle w:val="numsousart"/>
        <w:numPr>
          <w:ilvl w:val="1"/>
          <w:numId w:val="57"/>
        </w:numPr>
        <w:spacing w:before="0"/>
        <w:ind w:left="709" w:hanging="425"/>
        <w:rPr>
          <w:rFonts w:ascii="Tahoma" w:hAnsi="Tahoma" w:cs="Tahoma"/>
          <w:bCs/>
          <w:sz w:val="20"/>
          <w:szCs w:val="20"/>
        </w:rPr>
      </w:pPr>
      <w:proofErr w:type="gramStart"/>
      <w:r w:rsidRPr="00B004EE">
        <w:rPr>
          <w:rFonts w:ascii="Tahoma" w:hAnsi="Tahoma" w:cs="Tahoma"/>
          <w:sz w:val="20"/>
          <w:szCs w:val="20"/>
        </w:rPr>
        <w:t>définir</w:t>
      </w:r>
      <w:proofErr w:type="gramEnd"/>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supports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droits</w:t>
      </w:r>
      <w:r w:rsidR="00DB1635" w:rsidRPr="00B004EE">
        <w:rPr>
          <w:rFonts w:ascii="Tahoma" w:hAnsi="Tahoma" w:cs="Tahoma"/>
          <w:sz w:val="20"/>
          <w:szCs w:val="20"/>
        </w:rPr>
        <w:t xml:space="preserve"> </w:t>
      </w:r>
      <w:r w:rsidRPr="00B004EE">
        <w:rPr>
          <w:rFonts w:ascii="Tahoma" w:hAnsi="Tahoma" w:cs="Tahoma"/>
          <w:sz w:val="20"/>
          <w:szCs w:val="20"/>
        </w:rPr>
        <w:t>d’usage</w:t>
      </w:r>
      <w:r w:rsidR="00DB1635" w:rsidRPr="00B004EE">
        <w:rPr>
          <w:rFonts w:ascii="Tahoma" w:hAnsi="Tahoma" w:cs="Tahoma"/>
          <w:sz w:val="20"/>
          <w:szCs w:val="20"/>
        </w:rPr>
        <w:t xml:space="preserve"> </w:t>
      </w:r>
      <w:r w:rsidRPr="00B004EE">
        <w:rPr>
          <w:rFonts w:ascii="Tahoma" w:hAnsi="Tahoma" w:cs="Tahoma"/>
          <w:sz w:val="20"/>
          <w:szCs w:val="20"/>
        </w:rPr>
        <w:t>relatifs</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principales</w:t>
      </w:r>
      <w:r w:rsidR="00DB1635" w:rsidRPr="00B004EE">
        <w:rPr>
          <w:rFonts w:ascii="Tahoma" w:hAnsi="Tahoma" w:cs="Tahoma"/>
          <w:sz w:val="20"/>
          <w:szCs w:val="20"/>
        </w:rPr>
        <w:t xml:space="preserve"> </w:t>
      </w:r>
      <w:r w:rsidRPr="00B004EE">
        <w:rPr>
          <w:rFonts w:ascii="Tahoma" w:hAnsi="Tahoma" w:cs="Tahoma"/>
          <w:sz w:val="20"/>
          <w:szCs w:val="20"/>
        </w:rPr>
        <w:t>pêcheries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activités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qui</w:t>
      </w:r>
      <w:r w:rsidR="00DB1635" w:rsidRPr="00B004EE">
        <w:rPr>
          <w:rFonts w:ascii="Tahoma" w:hAnsi="Tahoma" w:cs="Tahoma"/>
          <w:sz w:val="20"/>
          <w:szCs w:val="20"/>
        </w:rPr>
        <w:t xml:space="preserve"> </w:t>
      </w:r>
      <w:r w:rsidRPr="00B004EE">
        <w:rPr>
          <w:rFonts w:ascii="Tahoma" w:hAnsi="Tahoma" w:cs="Tahoma"/>
          <w:sz w:val="20"/>
          <w:szCs w:val="20"/>
        </w:rPr>
        <w:t>pourront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effectuées</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navires</w:t>
      </w:r>
      <w:r w:rsidR="00DB1635" w:rsidRPr="00B004EE">
        <w:rPr>
          <w:rFonts w:ascii="Tahoma" w:hAnsi="Tahoma" w:cs="Tahoma"/>
          <w:sz w:val="20"/>
          <w:szCs w:val="20"/>
        </w:rPr>
        <w:t xml:space="preserve"> </w:t>
      </w:r>
      <w:r w:rsidRPr="00B004EE">
        <w:rPr>
          <w:rFonts w:ascii="Tahoma" w:hAnsi="Tahoma" w:cs="Tahoma"/>
          <w:sz w:val="20"/>
          <w:szCs w:val="20"/>
        </w:rPr>
        <w:t>nationaux</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étrangers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p>
    <w:p w14:paraId="5680B24F" w14:textId="7F0F2D67" w:rsidR="008518B0" w:rsidRPr="00B004EE" w:rsidRDefault="008518B0" w:rsidP="00420DDA">
      <w:pPr>
        <w:pStyle w:val="numsousart"/>
        <w:numPr>
          <w:ilvl w:val="1"/>
          <w:numId w:val="57"/>
        </w:numPr>
        <w:spacing w:before="0"/>
        <w:ind w:left="709" w:hanging="425"/>
        <w:rPr>
          <w:rFonts w:ascii="Tahoma" w:hAnsi="Tahoma" w:cs="Tahoma"/>
          <w:bCs/>
          <w:sz w:val="20"/>
          <w:szCs w:val="20"/>
        </w:rPr>
      </w:pPr>
      <w:proofErr w:type="gramStart"/>
      <w:r w:rsidRPr="00B004EE">
        <w:rPr>
          <w:rFonts w:ascii="Tahoma" w:hAnsi="Tahoma" w:cs="Tahoma"/>
          <w:sz w:val="20"/>
          <w:szCs w:val="20"/>
        </w:rPr>
        <w:t>définir</w:t>
      </w:r>
      <w:proofErr w:type="gramEnd"/>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da</w:t>
      </w:r>
      <w:r w:rsidRPr="00B004EE">
        <w:rPr>
          <w:rFonts w:ascii="Tahoma" w:hAnsi="Tahoma" w:cs="Tahoma"/>
          <w:bCs/>
          <w:sz w:val="20"/>
          <w:szCs w:val="20"/>
        </w:rPr>
        <w:t>ns</w:t>
      </w:r>
      <w:r w:rsidR="00DB1635" w:rsidRPr="00B004EE">
        <w:rPr>
          <w:rFonts w:ascii="Tahoma" w:hAnsi="Tahoma" w:cs="Tahoma"/>
          <w:bCs/>
          <w:sz w:val="20"/>
          <w:szCs w:val="20"/>
        </w:rPr>
        <w:t xml:space="preserve"> </w:t>
      </w:r>
      <w:r w:rsidRPr="00B004EE">
        <w:rPr>
          <w:rFonts w:ascii="Tahoma" w:hAnsi="Tahoma" w:cs="Tahoma"/>
          <w:bCs/>
          <w:sz w:val="20"/>
          <w:szCs w:val="20"/>
        </w:rPr>
        <w:t>les</w:t>
      </w:r>
      <w:r w:rsidR="00DB1635" w:rsidRPr="00B004EE">
        <w:rPr>
          <w:rFonts w:ascii="Tahoma" w:hAnsi="Tahoma" w:cs="Tahoma"/>
          <w:bCs/>
          <w:sz w:val="20"/>
          <w:szCs w:val="20"/>
        </w:rPr>
        <w:t xml:space="preserve"> </w:t>
      </w:r>
      <w:r w:rsidRPr="00B004EE">
        <w:rPr>
          <w:rFonts w:ascii="Tahoma" w:hAnsi="Tahoma" w:cs="Tahoma"/>
          <w:bCs/>
          <w:sz w:val="20"/>
          <w:szCs w:val="20"/>
        </w:rPr>
        <w:t>pêcheries</w:t>
      </w:r>
      <w:r w:rsidR="00DB1635" w:rsidRPr="00B004EE">
        <w:rPr>
          <w:rFonts w:ascii="Tahoma" w:hAnsi="Tahoma" w:cs="Tahoma"/>
          <w:bCs/>
          <w:sz w:val="20"/>
          <w:szCs w:val="20"/>
        </w:rPr>
        <w:t xml:space="preserve"> </w:t>
      </w:r>
      <w:r w:rsidRPr="00B004EE">
        <w:rPr>
          <w:rFonts w:ascii="Tahoma" w:hAnsi="Tahoma" w:cs="Tahoma"/>
          <w:bCs/>
          <w:sz w:val="20"/>
          <w:szCs w:val="20"/>
        </w:rPr>
        <w:t>soumises</w:t>
      </w:r>
      <w:r w:rsidR="00DB1635" w:rsidRPr="00B004EE">
        <w:rPr>
          <w:rFonts w:ascii="Tahoma" w:hAnsi="Tahoma" w:cs="Tahoma"/>
          <w:bCs/>
          <w:sz w:val="20"/>
          <w:szCs w:val="20"/>
        </w:rPr>
        <w:t xml:space="preserve"> </w:t>
      </w:r>
      <w:r w:rsidRPr="00B004EE">
        <w:rPr>
          <w:rFonts w:ascii="Tahoma" w:hAnsi="Tahoma" w:cs="Tahoma"/>
          <w:bCs/>
          <w:sz w:val="20"/>
          <w:szCs w:val="20"/>
        </w:rPr>
        <w:t>à</w:t>
      </w:r>
      <w:r w:rsidR="00DB1635" w:rsidRPr="00B004EE">
        <w:rPr>
          <w:rFonts w:ascii="Tahoma" w:hAnsi="Tahoma" w:cs="Tahoma"/>
          <w:bCs/>
          <w:sz w:val="20"/>
          <w:szCs w:val="20"/>
        </w:rPr>
        <w:t xml:space="preserve"> </w:t>
      </w:r>
      <w:r w:rsidRPr="00B004EE">
        <w:rPr>
          <w:rFonts w:ascii="Tahoma" w:hAnsi="Tahoma" w:cs="Tahoma"/>
          <w:bCs/>
          <w:sz w:val="20"/>
          <w:szCs w:val="20"/>
        </w:rPr>
        <w:t>quotas</w:t>
      </w:r>
      <w:r w:rsidR="00DB1635" w:rsidRPr="00B004EE">
        <w:rPr>
          <w:rFonts w:ascii="Tahoma" w:hAnsi="Tahoma" w:cs="Tahoma"/>
          <w:bCs/>
          <w:sz w:val="20"/>
          <w:szCs w:val="20"/>
        </w:rPr>
        <w:t xml:space="preserve"> </w:t>
      </w:r>
      <w:r w:rsidRPr="00B004EE">
        <w:rPr>
          <w:rFonts w:ascii="Tahoma" w:hAnsi="Tahoma" w:cs="Tahoma"/>
          <w:bCs/>
          <w:sz w:val="20"/>
          <w:szCs w:val="20"/>
        </w:rPr>
        <w:t>individuels,</w:t>
      </w:r>
      <w:r w:rsidR="00DB1635" w:rsidRPr="00B004EE">
        <w:rPr>
          <w:rFonts w:ascii="Tahoma" w:hAnsi="Tahoma" w:cs="Tahoma"/>
          <w:bCs/>
          <w:sz w:val="20"/>
          <w:szCs w:val="20"/>
        </w:rPr>
        <w:t xml:space="preserve"> </w:t>
      </w:r>
      <w:r w:rsidRPr="00B004EE">
        <w:rPr>
          <w:rFonts w:ascii="Tahoma" w:hAnsi="Tahoma" w:cs="Tahoma"/>
          <w:bCs/>
          <w:sz w:val="20"/>
          <w:szCs w:val="20"/>
        </w:rPr>
        <w:t>le</w:t>
      </w:r>
      <w:r w:rsidR="00DB1635" w:rsidRPr="00B004EE">
        <w:rPr>
          <w:rFonts w:ascii="Tahoma" w:hAnsi="Tahoma" w:cs="Tahoma"/>
          <w:bCs/>
          <w:sz w:val="20"/>
          <w:szCs w:val="20"/>
        </w:rPr>
        <w:t xml:space="preserve"> </w:t>
      </w:r>
      <w:r w:rsidRPr="00B004EE">
        <w:rPr>
          <w:rFonts w:ascii="Tahoma" w:hAnsi="Tahoma" w:cs="Tahoma"/>
          <w:bCs/>
          <w:sz w:val="20"/>
          <w:szCs w:val="20"/>
        </w:rPr>
        <w:t>volume</w:t>
      </w:r>
      <w:r w:rsidR="00DB1635" w:rsidRPr="00B004EE">
        <w:rPr>
          <w:rFonts w:ascii="Tahoma" w:hAnsi="Tahoma" w:cs="Tahoma"/>
          <w:bCs/>
          <w:sz w:val="20"/>
          <w:szCs w:val="20"/>
        </w:rPr>
        <w:t xml:space="preserve"> </w:t>
      </w:r>
      <w:r w:rsidRPr="00B004EE">
        <w:rPr>
          <w:rFonts w:ascii="Tahoma" w:hAnsi="Tahoma" w:cs="Tahoma"/>
          <w:bCs/>
          <w:sz w:val="20"/>
          <w:szCs w:val="20"/>
        </w:rPr>
        <w:t>total</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quotas</w:t>
      </w:r>
      <w:r w:rsidR="00DB1635" w:rsidRPr="00B004EE">
        <w:rPr>
          <w:rFonts w:ascii="Tahoma" w:hAnsi="Tahoma" w:cs="Tahoma"/>
          <w:bCs/>
          <w:sz w:val="20"/>
          <w:szCs w:val="20"/>
        </w:rPr>
        <w:t xml:space="preserve"> </w:t>
      </w:r>
      <w:r w:rsidRPr="00B004EE">
        <w:rPr>
          <w:rFonts w:ascii="Tahoma" w:hAnsi="Tahoma" w:cs="Tahoma"/>
          <w:bCs/>
          <w:sz w:val="20"/>
          <w:szCs w:val="20"/>
        </w:rPr>
        <w:t>individuels</w:t>
      </w:r>
      <w:r w:rsidR="00DB1635" w:rsidRPr="00B004EE">
        <w:rPr>
          <w:rFonts w:ascii="Tahoma" w:hAnsi="Tahoma" w:cs="Tahoma"/>
          <w:bCs/>
          <w:sz w:val="20"/>
          <w:szCs w:val="20"/>
        </w:rPr>
        <w:t xml:space="preserve"> </w:t>
      </w:r>
      <w:r w:rsidRPr="00B004EE">
        <w:rPr>
          <w:rFonts w:ascii="Tahoma" w:hAnsi="Tahoma" w:cs="Tahoma"/>
          <w:bCs/>
          <w:sz w:val="20"/>
          <w:szCs w:val="20"/>
        </w:rPr>
        <w:t>alloué</w:t>
      </w:r>
      <w:r w:rsidR="00DB1635" w:rsidRPr="00B004EE">
        <w:rPr>
          <w:rFonts w:ascii="Tahoma" w:hAnsi="Tahoma" w:cs="Tahoma"/>
          <w:bCs/>
          <w:sz w:val="20"/>
          <w:szCs w:val="20"/>
        </w:rPr>
        <w:t xml:space="preserve"> </w:t>
      </w:r>
      <w:r w:rsidRPr="00B004EE">
        <w:rPr>
          <w:rFonts w:ascii="Tahoma" w:hAnsi="Tahoma" w:cs="Tahoma"/>
          <w:bCs/>
          <w:sz w:val="20"/>
          <w:szCs w:val="20"/>
        </w:rPr>
        <w:t>qui</w:t>
      </w:r>
      <w:r w:rsidR="00DB1635" w:rsidRPr="00B004EE">
        <w:rPr>
          <w:rFonts w:ascii="Tahoma" w:hAnsi="Tahoma" w:cs="Tahoma"/>
          <w:bCs/>
          <w:sz w:val="20"/>
          <w:szCs w:val="20"/>
        </w:rPr>
        <w:t xml:space="preserve"> </w:t>
      </w:r>
      <w:r w:rsidRPr="00B004EE">
        <w:rPr>
          <w:rFonts w:ascii="Tahoma" w:hAnsi="Tahoma" w:cs="Tahoma"/>
          <w:bCs/>
          <w:sz w:val="20"/>
          <w:szCs w:val="20"/>
        </w:rPr>
        <w:t>ne</w:t>
      </w:r>
      <w:r w:rsidR="00DB1635" w:rsidRPr="00B004EE">
        <w:rPr>
          <w:rFonts w:ascii="Tahoma" w:hAnsi="Tahoma" w:cs="Tahoma"/>
          <w:bCs/>
          <w:sz w:val="20"/>
          <w:szCs w:val="20"/>
        </w:rPr>
        <w:t xml:space="preserve"> </w:t>
      </w:r>
      <w:r w:rsidRPr="00B004EE">
        <w:rPr>
          <w:rFonts w:ascii="Tahoma" w:hAnsi="Tahoma" w:cs="Tahoma"/>
          <w:bCs/>
          <w:sz w:val="20"/>
          <w:szCs w:val="20"/>
        </w:rPr>
        <w:t>pourra</w:t>
      </w:r>
      <w:r w:rsidR="00DB1635" w:rsidRPr="00B004EE">
        <w:rPr>
          <w:rFonts w:ascii="Tahoma" w:hAnsi="Tahoma" w:cs="Tahoma"/>
          <w:bCs/>
          <w:sz w:val="20"/>
          <w:szCs w:val="20"/>
        </w:rPr>
        <w:t xml:space="preserve"> </w:t>
      </w:r>
      <w:r w:rsidRPr="00B004EE">
        <w:rPr>
          <w:rFonts w:ascii="Tahoma" w:hAnsi="Tahoma" w:cs="Tahoma"/>
          <w:bCs/>
          <w:sz w:val="20"/>
          <w:szCs w:val="20"/>
        </w:rPr>
        <w:t>dépasser</w:t>
      </w:r>
      <w:r w:rsidR="00DB1635" w:rsidRPr="00B004EE">
        <w:rPr>
          <w:rFonts w:ascii="Tahoma" w:hAnsi="Tahoma" w:cs="Tahoma"/>
          <w:bCs/>
          <w:sz w:val="20"/>
          <w:szCs w:val="20"/>
        </w:rPr>
        <w:t xml:space="preserve"> </w:t>
      </w:r>
      <w:r w:rsidRPr="00B004EE">
        <w:rPr>
          <w:rFonts w:ascii="Tahoma" w:hAnsi="Tahoma" w:cs="Tahoma"/>
          <w:bCs/>
          <w:sz w:val="20"/>
          <w:szCs w:val="20"/>
        </w:rPr>
        <w:t>le</w:t>
      </w:r>
      <w:r w:rsidR="00DB1635" w:rsidRPr="00B004EE">
        <w:rPr>
          <w:rFonts w:ascii="Tahoma" w:hAnsi="Tahoma" w:cs="Tahoma"/>
          <w:bCs/>
          <w:sz w:val="20"/>
          <w:szCs w:val="20"/>
        </w:rPr>
        <w:t xml:space="preserve"> </w:t>
      </w:r>
      <w:r w:rsidRPr="00B004EE">
        <w:rPr>
          <w:rFonts w:ascii="Tahoma" w:hAnsi="Tahoma" w:cs="Tahoma"/>
          <w:bCs/>
          <w:sz w:val="20"/>
          <w:szCs w:val="20"/>
        </w:rPr>
        <w:t>TAC</w:t>
      </w:r>
      <w:r w:rsidR="00DB1635" w:rsidRPr="00B004EE">
        <w:rPr>
          <w:rFonts w:ascii="Tahoma" w:hAnsi="Tahoma" w:cs="Tahoma"/>
          <w:bCs/>
          <w:sz w:val="20"/>
          <w:szCs w:val="20"/>
        </w:rPr>
        <w:t xml:space="preserve"> </w:t>
      </w:r>
      <w:r w:rsidRPr="00B004EE">
        <w:rPr>
          <w:rFonts w:ascii="Tahoma" w:hAnsi="Tahoma" w:cs="Tahoma"/>
          <w:bCs/>
          <w:sz w:val="20"/>
          <w:szCs w:val="20"/>
        </w:rPr>
        <w:t>fixé</w:t>
      </w:r>
      <w:r w:rsidR="00DB1635" w:rsidRPr="00B004EE">
        <w:rPr>
          <w:rFonts w:ascii="Tahoma" w:hAnsi="Tahoma" w:cs="Tahoma"/>
          <w:bCs/>
          <w:sz w:val="20"/>
          <w:szCs w:val="20"/>
        </w:rPr>
        <w:t xml:space="preserve"> </w:t>
      </w:r>
      <w:r w:rsidRPr="00B004EE">
        <w:rPr>
          <w:rFonts w:ascii="Tahoma" w:hAnsi="Tahoma" w:cs="Tahoma"/>
          <w:bCs/>
          <w:sz w:val="20"/>
          <w:szCs w:val="20"/>
        </w:rPr>
        <w:t>sur</w:t>
      </w:r>
      <w:r w:rsidR="00DB1635" w:rsidRPr="00B004EE">
        <w:rPr>
          <w:rFonts w:ascii="Tahoma" w:hAnsi="Tahoma" w:cs="Tahoma"/>
          <w:bCs/>
          <w:sz w:val="20"/>
          <w:szCs w:val="20"/>
        </w:rPr>
        <w:t xml:space="preserve"> </w:t>
      </w:r>
      <w:r w:rsidRPr="00B004EE">
        <w:rPr>
          <w:rFonts w:ascii="Tahoma" w:hAnsi="Tahoma" w:cs="Tahoma"/>
          <w:bCs/>
          <w:sz w:val="20"/>
          <w:szCs w:val="20"/>
        </w:rPr>
        <w:t>la</w:t>
      </w:r>
      <w:r w:rsidR="00DB1635" w:rsidRPr="00B004EE">
        <w:rPr>
          <w:rFonts w:ascii="Tahoma" w:hAnsi="Tahoma" w:cs="Tahoma"/>
          <w:bCs/>
          <w:sz w:val="20"/>
          <w:szCs w:val="20"/>
        </w:rPr>
        <w:t xml:space="preserve"> </w:t>
      </w:r>
      <w:r w:rsidRPr="00B004EE">
        <w:rPr>
          <w:rFonts w:ascii="Tahoma" w:hAnsi="Tahoma" w:cs="Tahoma"/>
          <w:bCs/>
          <w:sz w:val="20"/>
          <w:szCs w:val="20"/>
        </w:rPr>
        <w:t>période</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référence</w:t>
      </w:r>
      <w:r w:rsidR="00DB1635" w:rsidRPr="00B004EE">
        <w:rPr>
          <w:rFonts w:ascii="Tahoma" w:hAnsi="Tahoma" w:cs="Tahoma"/>
          <w:bCs/>
          <w:sz w:val="20"/>
          <w:szCs w:val="20"/>
        </w:rPr>
        <w:t xml:space="preserve"> </w:t>
      </w:r>
      <w:r w:rsidRPr="00B004EE">
        <w:rPr>
          <w:rFonts w:ascii="Tahoma" w:hAnsi="Tahoma" w:cs="Tahoma"/>
          <w:bCs/>
          <w:sz w:val="20"/>
          <w:szCs w:val="20"/>
        </w:rPr>
        <w:t>choisie</w:t>
      </w:r>
      <w:r w:rsidR="00DB1635" w:rsidRPr="00B004EE">
        <w:rPr>
          <w:rFonts w:ascii="Tahoma" w:hAnsi="Tahoma" w:cs="Tahoma"/>
          <w:bCs/>
          <w:sz w:val="20"/>
          <w:szCs w:val="20"/>
        </w:rPr>
        <w:t xml:space="preserve"> </w:t>
      </w:r>
      <w:r w:rsidRPr="00B004EE">
        <w:rPr>
          <w:rFonts w:ascii="Tahoma" w:hAnsi="Tahoma" w:cs="Tahoma"/>
          <w:bCs/>
          <w:sz w:val="20"/>
          <w:szCs w:val="20"/>
        </w:rPr>
        <w:t>pour</w:t>
      </w:r>
      <w:r w:rsidR="00DB1635" w:rsidRPr="00B004EE">
        <w:rPr>
          <w:rFonts w:ascii="Tahoma" w:hAnsi="Tahoma" w:cs="Tahoma"/>
          <w:bCs/>
          <w:sz w:val="20"/>
          <w:szCs w:val="20"/>
        </w:rPr>
        <w:t xml:space="preserve"> </w:t>
      </w:r>
      <w:r w:rsidRPr="00B004EE">
        <w:rPr>
          <w:rFonts w:ascii="Tahoma" w:hAnsi="Tahoma" w:cs="Tahoma"/>
          <w:bCs/>
          <w:sz w:val="20"/>
          <w:szCs w:val="20"/>
        </w:rPr>
        <w:t>sa</w:t>
      </w:r>
      <w:r w:rsidR="00DB1635" w:rsidRPr="00B004EE">
        <w:rPr>
          <w:rFonts w:ascii="Tahoma" w:hAnsi="Tahoma" w:cs="Tahoma"/>
          <w:bCs/>
          <w:sz w:val="20"/>
          <w:szCs w:val="20"/>
        </w:rPr>
        <w:t xml:space="preserve"> </w:t>
      </w:r>
      <w:r w:rsidRPr="00B004EE">
        <w:rPr>
          <w:rFonts w:ascii="Tahoma" w:hAnsi="Tahoma" w:cs="Tahoma"/>
          <w:bCs/>
          <w:sz w:val="20"/>
          <w:szCs w:val="20"/>
        </w:rPr>
        <w:t>fixation</w:t>
      </w:r>
      <w:r w:rsidR="00DB1635" w:rsidRPr="00B004EE">
        <w:rPr>
          <w:rFonts w:ascii="Tahoma" w:hAnsi="Tahoma" w:cs="Tahoma"/>
          <w:bCs/>
          <w:sz w:val="20"/>
          <w:szCs w:val="20"/>
        </w:rPr>
        <w:t xml:space="preserve"> </w:t>
      </w:r>
      <w:r w:rsidRPr="00B004EE">
        <w:rPr>
          <w:rFonts w:ascii="Tahoma" w:hAnsi="Tahoma" w:cs="Tahoma"/>
          <w:bCs/>
          <w:sz w:val="20"/>
          <w:szCs w:val="20"/>
        </w:rPr>
        <w:t>;</w:t>
      </w:r>
    </w:p>
    <w:p w14:paraId="22456FE5" w14:textId="5C73169D" w:rsidR="008518B0" w:rsidRPr="00B004EE" w:rsidRDefault="008518B0" w:rsidP="00420DDA">
      <w:pPr>
        <w:pStyle w:val="numsousart"/>
        <w:numPr>
          <w:ilvl w:val="1"/>
          <w:numId w:val="57"/>
        </w:numPr>
        <w:spacing w:before="0"/>
        <w:ind w:left="709" w:hanging="425"/>
        <w:rPr>
          <w:rFonts w:ascii="Tahoma" w:hAnsi="Tahoma" w:cs="Tahoma"/>
          <w:sz w:val="20"/>
          <w:szCs w:val="20"/>
        </w:rPr>
      </w:pPr>
      <w:proofErr w:type="gramStart"/>
      <w:r w:rsidRPr="00B004EE">
        <w:rPr>
          <w:rFonts w:ascii="Tahoma" w:hAnsi="Tahoma" w:cs="Tahoma"/>
          <w:sz w:val="20"/>
          <w:szCs w:val="20"/>
        </w:rPr>
        <w:t>définir</w:t>
      </w:r>
      <w:proofErr w:type="gramEnd"/>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cahier</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charges</w:t>
      </w:r>
      <w:r w:rsidR="00DB1635" w:rsidRPr="00B004EE">
        <w:rPr>
          <w:rFonts w:ascii="Tahoma" w:hAnsi="Tahoma" w:cs="Tahoma"/>
          <w:sz w:val="20"/>
          <w:szCs w:val="20"/>
        </w:rPr>
        <w:t xml:space="preserve"> </w:t>
      </w:r>
      <w:r w:rsidRPr="00B004EE">
        <w:rPr>
          <w:rFonts w:ascii="Tahoma" w:hAnsi="Tahoma" w:cs="Tahoma"/>
          <w:sz w:val="20"/>
          <w:szCs w:val="20"/>
        </w:rPr>
        <w:t>d'exploitation</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pêcherie</w:t>
      </w:r>
    </w:p>
    <w:p w14:paraId="5CE26CF2" w14:textId="77777777" w:rsidR="008518B0" w:rsidRPr="00B004EE" w:rsidRDefault="008518B0" w:rsidP="00B004EE">
      <w:pPr>
        <w:pStyle w:val="numsousart"/>
        <w:spacing w:before="0"/>
        <w:ind w:left="709" w:firstLine="0"/>
        <w:rPr>
          <w:rFonts w:ascii="Tahoma" w:hAnsi="Tahoma" w:cs="Tahoma"/>
          <w:sz w:val="20"/>
          <w:szCs w:val="20"/>
        </w:rPr>
      </w:pPr>
    </w:p>
    <w:p w14:paraId="757A6810" w14:textId="6CE1A35F" w:rsidR="008518B0" w:rsidRPr="00B004EE" w:rsidRDefault="008518B0" w:rsidP="00B004EE">
      <w:pPr>
        <w:jc w:val="both"/>
        <w:rPr>
          <w:rFonts w:ascii="Tahoma" w:hAnsi="Tahoma" w:cs="Tahoma"/>
          <w:sz w:val="20"/>
          <w:szCs w:val="20"/>
          <w:lang w:val="fr-CA"/>
        </w:rPr>
      </w:pPr>
      <w:r w:rsidRPr="00B004EE">
        <w:rPr>
          <w:rFonts w:ascii="Tahoma" w:hAnsi="Tahoma" w:cs="Tahoma"/>
          <w:sz w:val="20"/>
          <w:szCs w:val="20"/>
          <w:lang w:val="fr-CA"/>
        </w:rPr>
        <w:t>Au</w:t>
      </w:r>
      <w:r w:rsidR="00DB1635" w:rsidRPr="00B004EE">
        <w:rPr>
          <w:rFonts w:ascii="Tahoma" w:hAnsi="Tahoma" w:cs="Tahoma"/>
          <w:sz w:val="20"/>
          <w:szCs w:val="20"/>
          <w:lang w:val="fr-CA"/>
        </w:rPr>
        <w:t xml:space="preserve"> </w:t>
      </w:r>
      <w:r w:rsidRPr="00B004EE">
        <w:rPr>
          <w:rFonts w:ascii="Tahoma" w:hAnsi="Tahoma" w:cs="Tahoma"/>
          <w:sz w:val="20"/>
          <w:szCs w:val="20"/>
          <w:lang w:val="fr-CA"/>
        </w:rPr>
        <w:t>sien</w:t>
      </w:r>
      <w:r w:rsidR="00DB1635" w:rsidRPr="00B004EE">
        <w:rPr>
          <w:rFonts w:ascii="Tahoma" w:hAnsi="Tahoma" w:cs="Tahoma"/>
          <w:sz w:val="20"/>
          <w:szCs w:val="20"/>
          <w:lang w:val="fr-CA"/>
        </w:rPr>
        <w:t xml:space="preserve"> </w:t>
      </w:r>
      <w:r w:rsidRPr="00B004EE">
        <w:rPr>
          <w:rFonts w:ascii="Tahoma" w:hAnsi="Tahoma" w:cs="Tahoma"/>
          <w:sz w:val="20"/>
          <w:szCs w:val="20"/>
          <w:lang w:val="fr-CA"/>
        </w:rPr>
        <w:t>du</w:t>
      </w:r>
      <w:r w:rsidR="00DB1635" w:rsidRPr="00B004EE">
        <w:rPr>
          <w:rFonts w:ascii="Tahoma" w:hAnsi="Tahoma" w:cs="Tahoma"/>
          <w:sz w:val="20"/>
          <w:szCs w:val="20"/>
          <w:lang w:val="fr-CA"/>
        </w:rPr>
        <w:t xml:space="preserve"> </w:t>
      </w:r>
      <w:r w:rsidRPr="00B004EE">
        <w:rPr>
          <w:rFonts w:ascii="Tahoma" w:hAnsi="Tahoma" w:cs="Tahoma"/>
          <w:sz w:val="20"/>
          <w:szCs w:val="20"/>
          <w:lang w:val="fr-CA"/>
        </w:rPr>
        <w:t>présent</w:t>
      </w:r>
      <w:r w:rsidR="00DB1635" w:rsidRPr="00B004EE">
        <w:rPr>
          <w:rFonts w:ascii="Tahoma" w:hAnsi="Tahoma" w:cs="Tahoma"/>
          <w:sz w:val="20"/>
          <w:szCs w:val="20"/>
          <w:lang w:val="fr-CA"/>
        </w:rPr>
        <w:t xml:space="preserve"> </w:t>
      </w:r>
      <w:r w:rsidRPr="00B004EE">
        <w:rPr>
          <w:rFonts w:ascii="Tahoma" w:hAnsi="Tahoma" w:cs="Tahoma"/>
          <w:sz w:val="20"/>
          <w:szCs w:val="20"/>
          <w:lang w:val="fr-CA"/>
        </w:rPr>
        <w:t>décret,</w:t>
      </w:r>
      <w:r w:rsidR="00DB1635" w:rsidRPr="00B004EE">
        <w:rPr>
          <w:rFonts w:ascii="Tahoma" w:hAnsi="Tahoma" w:cs="Tahoma"/>
          <w:sz w:val="20"/>
          <w:szCs w:val="20"/>
          <w:lang w:val="fr-CA"/>
        </w:rPr>
        <w:t xml:space="preserve"> </w:t>
      </w:r>
      <w:r w:rsidRPr="00B004EE">
        <w:rPr>
          <w:rFonts w:ascii="Tahoma" w:hAnsi="Tahoma" w:cs="Tahoma"/>
          <w:sz w:val="20"/>
          <w:szCs w:val="20"/>
          <w:lang w:val="fr-CA"/>
        </w:rPr>
        <w:t>on</w:t>
      </w:r>
      <w:r w:rsidR="00DB1635" w:rsidRPr="00B004EE">
        <w:rPr>
          <w:rFonts w:ascii="Tahoma" w:hAnsi="Tahoma" w:cs="Tahoma"/>
          <w:sz w:val="20"/>
          <w:szCs w:val="20"/>
          <w:lang w:val="fr-CA"/>
        </w:rPr>
        <w:t xml:space="preserve"> </w:t>
      </w:r>
      <w:r w:rsidRPr="00B004EE">
        <w:rPr>
          <w:rFonts w:ascii="Tahoma" w:hAnsi="Tahoma" w:cs="Tahoma"/>
          <w:sz w:val="20"/>
          <w:szCs w:val="20"/>
          <w:lang w:val="fr-CA"/>
        </w:rPr>
        <w:t>entend</w:t>
      </w:r>
      <w:r w:rsidR="00DB1635" w:rsidRPr="00B004EE">
        <w:rPr>
          <w:rFonts w:ascii="Tahoma" w:hAnsi="Tahoma" w:cs="Tahoma"/>
          <w:sz w:val="20"/>
          <w:szCs w:val="20"/>
          <w:lang w:val="fr-CA"/>
        </w:rPr>
        <w:t xml:space="preserve"> </w:t>
      </w:r>
      <w:r w:rsidRPr="00B004EE">
        <w:rPr>
          <w:rFonts w:ascii="Tahoma" w:hAnsi="Tahoma" w:cs="Tahoma"/>
          <w:sz w:val="20"/>
          <w:szCs w:val="20"/>
          <w:lang w:val="fr-CA"/>
        </w:rPr>
        <w:t>par</w:t>
      </w:r>
      <w:r w:rsidR="00DB1635" w:rsidRPr="00B004EE">
        <w:rPr>
          <w:rFonts w:ascii="Tahoma" w:hAnsi="Tahoma" w:cs="Tahoma"/>
          <w:sz w:val="20"/>
          <w:szCs w:val="20"/>
          <w:lang w:val="fr-CA"/>
        </w:rPr>
        <w:t xml:space="preserve"> </w:t>
      </w:r>
      <w:r w:rsidRPr="00B004EE">
        <w:rPr>
          <w:rFonts w:ascii="Tahoma" w:hAnsi="Tahoma" w:cs="Tahoma"/>
          <w:sz w:val="20"/>
          <w:szCs w:val="20"/>
          <w:lang w:val="fr-CA"/>
        </w:rPr>
        <w:t>pêcherie</w:t>
      </w:r>
      <w:r w:rsidR="00DB1635" w:rsidRPr="00B004EE">
        <w:rPr>
          <w:rFonts w:ascii="Tahoma" w:hAnsi="Tahoma" w:cs="Tahoma"/>
          <w:sz w:val="20"/>
          <w:szCs w:val="20"/>
          <w:lang w:val="fr-CA"/>
        </w:rPr>
        <w:t xml:space="preserve"> </w:t>
      </w:r>
      <w:r w:rsidRPr="00B004EE">
        <w:rPr>
          <w:rFonts w:ascii="Tahoma" w:hAnsi="Tahoma" w:cs="Tahoma"/>
          <w:sz w:val="20"/>
          <w:szCs w:val="20"/>
          <w:lang w:val="fr-CA"/>
        </w:rPr>
        <w:t>un</w:t>
      </w:r>
      <w:r w:rsidR="00DB1635" w:rsidRPr="00B004EE">
        <w:rPr>
          <w:rFonts w:ascii="Tahoma" w:hAnsi="Tahoma" w:cs="Tahoma"/>
          <w:sz w:val="20"/>
          <w:szCs w:val="20"/>
          <w:lang w:val="fr-CA"/>
        </w:rPr>
        <w:t xml:space="preserve"> </w:t>
      </w:r>
      <w:r w:rsidRPr="00B004EE">
        <w:rPr>
          <w:rFonts w:ascii="Tahoma" w:hAnsi="Tahoma" w:cs="Tahoma"/>
          <w:sz w:val="20"/>
          <w:szCs w:val="20"/>
          <w:lang w:val="fr-CA"/>
        </w:rPr>
        <w:t>ou</w:t>
      </w:r>
      <w:r w:rsidR="00DB1635" w:rsidRPr="00B004EE">
        <w:rPr>
          <w:rFonts w:ascii="Tahoma" w:hAnsi="Tahoma" w:cs="Tahoma"/>
          <w:sz w:val="20"/>
          <w:szCs w:val="20"/>
          <w:lang w:val="fr-CA"/>
        </w:rPr>
        <w:t xml:space="preserve"> </w:t>
      </w:r>
      <w:r w:rsidRPr="00B004EE">
        <w:rPr>
          <w:rFonts w:ascii="Tahoma" w:hAnsi="Tahoma" w:cs="Tahoma"/>
          <w:sz w:val="20"/>
          <w:szCs w:val="20"/>
          <w:lang w:val="fr-CA"/>
        </w:rPr>
        <w:t>plusieurs</w:t>
      </w:r>
      <w:r w:rsidR="00DB1635" w:rsidRPr="00B004EE">
        <w:rPr>
          <w:rFonts w:ascii="Tahoma" w:hAnsi="Tahoma" w:cs="Tahoma"/>
          <w:sz w:val="20"/>
          <w:szCs w:val="20"/>
          <w:lang w:val="fr-CA"/>
        </w:rPr>
        <w:t xml:space="preserve"> </w:t>
      </w:r>
      <w:r w:rsidRPr="00B004EE">
        <w:rPr>
          <w:rFonts w:ascii="Tahoma" w:hAnsi="Tahoma" w:cs="Tahoma"/>
          <w:sz w:val="20"/>
          <w:szCs w:val="20"/>
          <w:lang w:val="fr-CA"/>
        </w:rPr>
        <w:t>ensembles</w:t>
      </w:r>
      <w:r w:rsidR="00DB1635" w:rsidRPr="00B004EE">
        <w:rPr>
          <w:rFonts w:ascii="Tahoma" w:hAnsi="Tahoma" w:cs="Tahoma"/>
          <w:sz w:val="20"/>
          <w:szCs w:val="20"/>
          <w:lang w:val="fr-CA"/>
        </w:rPr>
        <w:t xml:space="preserve"> </w:t>
      </w:r>
      <w:r w:rsidRPr="00B004EE">
        <w:rPr>
          <w:rFonts w:ascii="Tahoma" w:hAnsi="Tahoma" w:cs="Tahoma"/>
          <w:sz w:val="20"/>
          <w:szCs w:val="20"/>
          <w:lang w:val="fr-CA"/>
        </w:rPr>
        <w:t>de</w:t>
      </w:r>
      <w:r w:rsidR="00DB1635" w:rsidRPr="00B004EE">
        <w:rPr>
          <w:rFonts w:ascii="Tahoma" w:hAnsi="Tahoma" w:cs="Tahoma"/>
          <w:sz w:val="20"/>
          <w:szCs w:val="20"/>
          <w:lang w:val="fr-CA"/>
        </w:rPr>
        <w:t xml:space="preserve"> </w:t>
      </w:r>
      <w:r w:rsidRPr="00B004EE">
        <w:rPr>
          <w:rFonts w:ascii="Tahoma" w:hAnsi="Tahoma" w:cs="Tahoma"/>
          <w:sz w:val="20"/>
          <w:szCs w:val="20"/>
          <w:lang w:val="fr-CA"/>
        </w:rPr>
        <w:t>stocks</w:t>
      </w:r>
      <w:r w:rsidR="00DB1635" w:rsidRPr="00B004EE">
        <w:rPr>
          <w:rFonts w:ascii="Tahoma" w:hAnsi="Tahoma" w:cs="Tahoma"/>
          <w:sz w:val="20"/>
          <w:szCs w:val="20"/>
          <w:lang w:val="fr-CA"/>
        </w:rPr>
        <w:t xml:space="preserve"> </w:t>
      </w:r>
      <w:r w:rsidRPr="00B004EE">
        <w:rPr>
          <w:rFonts w:ascii="Tahoma" w:hAnsi="Tahoma" w:cs="Tahoma"/>
          <w:sz w:val="20"/>
          <w:szCs w:val="20"/>
          <w:lang w:val="fr-CA"/>
        </w:rPr>
        <w:t>d'espèces</w:t>
      </w:r>
      <w:r w:rsidR="00DB1635" w:rsidRPr="00B004EE">
        <w:rPr>
          <w:rFonts w:ascii="Tahoma" w:hAnsi="Tahoma" w:cs="Tahoma"/>
          <w:sz w:val="20"/>
          <w:szCs w:val="20"/>
          <w:lang w:val="fr-CA"/>
        </w:rPr>
        <w:t xml:space="preserve"> </w:t>
      </w:r>
      <w:r w:rsidRPr="00B004EE">
        <w:rPr>
          <w:rFonts w:ascii="Tahoma" w:hAnsi="Tahoma" w:cs="Tahoma"/>
          <w:sz w:val="20"/>
          <w:szCs w:val="20"/>
          <w:lang w:val="fr-CA"/>
        </w:rPr>
        <w:t>et</w:t>
      </w:r>
      <w:r w:rsidR="00DB1635" w:rsidRPr="00B004EE">
        <w:rPr>
          <w:rFonts w:ascii="Tahoma" w:hAnsi="Tahoma" w:cs="Tahoma"/>
          <w:sz w:val="20"/>
          <w:szCs w:val="20"/>
          <w:lang w:val="fr-CA"/>
        </w:rPr>
        <w:t xml:space="preserve"> </w:t>
      </w:r>
      <w:r w:rsidRPr="00B004EE">
        <w:rPr>
          <w:rFonts w:ascii="Tahoma" w:hAnsi="Tahoma" w:cs="Tahoma"/>
          <w:sz w:val="20"/>
          <w:szCs w:val="20"/>
          <w:lang w:val="fr-CA"/>
        </w:rPr>
        <w:t>les</w:t>
      </w:r>
      <w:r w:rsidR="00DB1635" w:rsidRPr="00B004EE">
        <w:rPr>
          <w:rFonts w:ascii="Tahoma" w:hAnsi="Tahoma" w:cs="Tahoma"/>
          <w:sz w:val="20"/>
          <w:szCs w:val="20"/>
          <w:lang w:val="fr-CA"/>
        </w:rPr>
        <w:t xml:space="preserve"> </w:t>
      </w:r>
      <w:r w:rsidRPr="00B004EE">
        <w:rPr>
          <w:rFonts w:ascii="Tahoma" w:hAnsi="Tahoma" w:cs="Tahoma"/>
          <w:sz w:val="20"/>
          <w:szCs w:val="20"/>
          <w:lang w:val="fr-CA"/>
        </w:rPr>
        <w:t>opérations</w:t>
      </w:r>
      <w:r w:rsidR="00DB1635" w:rsidRPr="00B004EE">
        <w:rPr>
          <w:rFonts w:ascii="Tahoma" w:hAnsi="Tahoma" w:cs="Tahoma"/>
          <w:sz w:val="20"/>
          <w:szCs w:val="20"/>
          <w:lang w:val="fr-CA"/>
        </w:rPr>
        <w:t xml:space="preserve"> </w:t>
      </w:r>
      <w:r w:rsidRPr="00B004EE">
        <w:rPr>
          <w:rFonts w:ascii="Tahoma" w:hAnsi="Tahoma" w:cs="Tahoma"/>
          <w:sz w:val="20"/>
          <w:szCs w:val="20"/>
          <w:lang w:val="fr-CA"/>
        </w:rPr>
        <w:t>fondées</w:t>
      </w:r>
      <w:r w:rsidR="00DB1635" w:rsidRPr="00B004EE">
        <w:rPr>
          <w:rFonts w:ascii="Tahoma" w:hAnsi="Tahoma" w:cs="Tahoma"/>
          <w:sz w:val="20"/>
          <w:szCs w:val="20"/>
          <w:lang w:val="fr-CA"/>
        </w:rPr>
        <w:t xml:space="preserve"> </w:t>
      </w:r>
      <w:r w:rsidRPr="00B004EE">
        <w:rPr>
          <w:rFonts w:ascii="Tahoma" w:hAnsi="Tahoma" w:cs="Tahoma"/>
          <w:sz w:val="20"/>
          <w:szCs w:val="20"/>
          <w:lang w:val="fr-CA"/>
        </w:rPr>
        <w:t>sur</w:t>
      </w:r>
      <w:r w:rsidR="00DB1635" w:rsidRPr="00B004EE">
        <w:rPr>
          <w:rFonts w:ascii="Tahoma" w:hAnsi="Tahoma" w:cs="Tahoma"/>
          <w:sz w:val="20"/>
          <w:szCs w:val="20"/>
          <w:lang w:val="fr-CA"/>
        </w:rPr>
        <w:t xml:space="preserve"> </w:t>
      </w:r>
      <w:r w:rsidRPr="00B004EE">
        <w:rPr>
          <w:rFonts w:ascii="Tahoma" w:hAnsi="Tahoma" w:cs="Tahoma"/>
          <w:sz w:val="20"/>
          <w:szCs w:val="20"/>
          <w:lang w:val="fr-CA"/>
        </w:rPr>
        <w:t>ces</w:t>
      </w:r>
      <w:r w:rsidR="00DB1635" w:rsidRPr="00B004EE">
        <w:rPr>
          <w:rFonts w:ascii="Tahoma" w:hAnsi="Tahoma" w:cs="Tahoma"/>
          <w:sz w:val="20"/>
          <w:szCs w:val="20"/>
          <w:lang w:val="fr-CA"/>
        </w:rPr>
        <w:t xml:space="preserve"> </w:t>
      </w:r>
      <w:r w:rsidRPr="00B004EE">
        <w:rPr>
          <w:rFonts w:ascii="Tahoma" w:hAnsi="Tahoma" w:cs="Tahoma"/>
          <w:sz w:val="20"/>
          <w:szCs w:val="20"/>
          <w:lang w:val="fr-CA"/>
        </w:rPr>
        <w:t>stocks,</w:t>
      </w:r>
      <w:r w:rsidR="00DB1635" w:rsidRPr="00B004EE">
        <w:rPr>
          <w:rFonts w:ascii="Tahoma" w:hAnsi="Tahoma" w:cs="Tahoma"/>
          <w:sz w:val="20"/>
          <w:szCs w:val="20"/>
          <w:lang w:val="fr-CA"/>
        </w:rPr>
        <w:t xml:space="preserve"> </w:t>
      </w:r>
      <w:r w:rsidRPr="00B004EE">
        <w:rPr>
          <w:rFonts w:ascii="Tahoma" w:hAnsi="Tahoma" w:cs="Tahoma"/>
          <w:sz w:val="20"/>
          <w:szCs w:val="20"/>
          <w:lang w:val="fr-CA"/>
        </w:rPr>
        <w:t>qui,</w:t>
      </w:r>
      <w:r w:rsidR="00DB1635" w:rsidRPr="00B004EE">
        <w:rPr>
          <w:rFonts w:ascii="Tahoma" w:hAnsi="Tahoma" w:cs="Tahoma"/>
          <w:sz w:val="20"/>
          <w:szCs w:val="20"/>
          <w:lang w:val="fr-CA"/>
        </w:rPr>
        <w:t xml:space="preserve"> </w:t>
      </w:r>
      <w:r w:rsidRPr="00B004EE">
        <w:rPr>
          <w:rFonts w:ascii="Tahoma" w:hAnsi="Tahoma" w:cs="Tahoma"/>
          <w:sz w:val="20"/>
          <w:szCs w:val="20"/>
          <w:lang w:val="fr-CA"/>
        </w:rPr>
        <w:t>identifiés</w:t>
      </w:r>
      <w:r w:rsidR="00DB1635" w:rsidRPr="00B004EE">
        <w:rPr>
          <w:rFonts w:ascii="Tahoma" w:hAnsi="Tahoma" w:cs="Tahoma"/>
          <w:sz w:val="20"/>
          <w:szCs w:val="20"/>
          <w:lang w:val="fr-CA"/>
        </w:rPr>
        <w:t xml:space="preserve"> </w:t>
      </w:r>
      <w:r w:rsidRPr="00B004EE">
        <w:rPr>
          <w:rFonts w:ascii="Tahoma" w:hAnsi="Tahoma" w:cs="Tahoma"/>
          <w:sz w:val="20"/>
          <w:szCs w:val="20"/>
          <w:lang w:val="fr-CA"/>
        </w:rPr>
        <w:t>sur</w:t>
      </w:r>
      <w:r w:rsidR="00DB1635" w:rsidRPr="00B004EE">
        <w:rPr>
          <w:rFonts w:ascii="Tahoma" w:hAnsi="Tahoma" w:cs="Tahoma"/>
          <w:sz w:val="20"/>
          <w:szCs w:val="20"/>
          <w:lang w:val="fr-CA"/>
        </w:rPr>
        <w:t xml:space="preserve"> </w:t>
      </w:r>
      <w:r w:rsidRPr="00B004EE">
        <w:rPr>
          <w:rFonts w:ascii="Tahoma" w:hAnsi="Tahoma" w:cs="Tahoma"/>
          <w:sz w:val="20"/>
          <w:szCs w:val="20"/>
          <w:lang w:val="fr-CA"/>
        </w:rPr>
        <w:t>la</w:t>
      </w:r>
      <w:r w:rsidR="00DB1635" w:rsidRPr="00B004EE">
        <w:rPr>
          <w:rFonts w:ascii="Tahoma" w:hAnsi="Tahoma" w:cs="Tahoma"/>
          <w:sz w:val="20"/>
          <w:szCs w:val="20"/>
          <w:lang w:val="fr-CA"/>
        </w:rPr>
        <w:t xml:space="preserve"> </w:t>
      </w:r>
      <w:r w:rsidRPr="00B004EE">
        <w:rPr>
          <w:rFonts w:ascii="Tahoma" w:hAnsi="Tahoma" w:cs="Tahoma"/>
          <w:sz w:val="20"/>
          <w:szCs w:val="20"/>
          <w:lang w:val="fr-CA"/>
        </w:rPr>
        <w:t>base</w:t>
      </w:r>
      <w:r w:rsidR="00DB1635" w:rsidRPr="00B004EE">
        <w:rPr>
          <w:rFonts w:ascii="Tahoma" w:hAnsi="Tahoma" w:cs="Tahoma"/>
          <w:sz w:val="20"/>
          <w:szCs w:val="20"/>
          <w:lang w:val="fr-CA"/>
        </w:rPr>
        <w:t xml:space="preserve"> </w:t>
      </w:r>
      <w:r w:rsidRPr="00B004EE">
        <w:rPr>
          <w:rFonts w:ascii="Tahoma" w:hAnsi="Tahoma" w:cs="Tahoma"/>
          <w:sz w:val="20"/>
          <w:szCs w:val="20"/>
          <w:lang w:val="fr-CA"/>
        </w:rPr>
        <w:t>de</w:t>
      </w:r>
      <w:r w:rsidR="00DB1635" w:rsidRPr="00B004EE">
        <w:rPr>
          <w:rFonts w:ascii="Tahoma" w:hAnsi="Tahoma" w:cs="Tahoma"/>
          <w:sz w:val="20"/>
          <w:szCs w:val="20"/>
          <w:lang w:val="fr-CA"/>
        </w:rPr>
        <w:t xml:space="preserve"> </w:t>
      </w:r>
      <w:r w:rsidRPr="00B004EE">
        <w:rPr>
          <w:rFonts w:ascii="Tahoma" w:hAnsi="Tahoma" w:cs="Tahoma"/>
          <w:sz w:val="20"/>
          <w:szCs w:val="20"/>
          <w:lang w:val="fr-CA"/>
        </w:rPr>
        <w:t>caractéristiques</w:t>
      </w:r>
      <w:r w:rsidR="00DB1635" w:rsidRPr="00B004EE">
        <w:rPr>
          <w:rFonts w:ascii="Tahoma" w:hAnsi="Tahoma" w:cs="Tahoma"/>
          <w:sz w:val="20"/>
          <w:szCs w:val="20"/>
          <w:lang w:val="fr-CA"/>
        </w:rPr>
        <w:t xml:space="preserve"> </w:t>
      </w:r>
      <w:r w:rsidRPr="00B004EE">
        <w:rPr>
          <w:rFonts w:ascii="Tahoma" w:hAnsi="Tahoma" w:cs="Tahoma"/>
          <w:sz w:val="20"/>
          <w:szCs w:val="20"/>
          <w:lang w:val="fr-CA"/>
        </w:rPr>
        <w:t>géographiques,</w:t>
      </w:r>
      <w:r w:rsidR="00DB1635" w:rsidRPr="00B004EE">
        <w:rPr>
          <w:rFonts w:ascii="Tahoma" w:hAnsi="Tahoma" w:cs="Tahoma"/>
          <w:sz w:val="20"/>
          <w:szCs w:val="20"/>
          <w:lang w:val="fr-CA"/>
        </w:rPr>
        <w:t xml:space="preserve"> </w:t>
      </w:r>
      <w:r w:rsidRPr="00B004EE">
        <w:rPr>
          <w:rFonts w:ascii="Tahoma" w:hAnsi="Tahoma" w:cs="Tahoma"/>
          <w:sz w:val="20"/>
          <w:szCs w:val="20"/>
          <w:lang w:val="fr-CA"/>
        </w:rPr>
        <w:t>économiques,</w:t>
      </w:r>
      <w:r w:rsidR="00DB1635" w:rsidRPr="00B004EE">
        <w:rPr>
          <w:rFonts w:ascii="Tahoma" w:hAnsi="Tahoma" w:cs="Tahoma"/>
          <w:sz w:val="20"/>
          <w:szCs w:val="20"/>
          <w:lang w:val="fr-CA"/>
        </w:rPr>
        <w:t xml:space="preserve"> </w:t>
      </w:r>
      <w:r w:rsidRPr="00B004EE">
        <w:rPr>
          <w:rFonts w:ascii="Tahoma" w:hAnsi="Tahoma" w:cs="Tahoma"/>
          <w:sz w:val="20"/>
          <w:szCs w:val="20"/>
          <w:lang w:val="fr-CA"/>
        </w:rPr>
        <w:t>sociales,</w:t>
      </w:r>
      <w:r w:rsidR="00DB1635" w:rsidRPr="00B004EE">
        <w:rPr>
          <w:rFonts w:ascii="Tahoma" w:hAnsi="Tahoma" w:cs="Tahoma"/>
          <w:sz w:val="20"/>
          <w:szCs w:val="20"/>
          <w:lang w:val="fr-CA"/>
        </w:rPr>
        <w:t xml:space="preserve"> </w:t>
      </w:r>
      <w:r w:rsidRPr="00B004EE">
        <w:rPr>
          <w:rFonts w:ascii="Tahoma" w:hAnsi="Tahoma" w:cs="Tahoma"/>
          <w:sz w:val="20"/>
          <w:szCs w:val="20"/>
          <w:lang w:val="fr-CA"/>
        </w:rPr>
        <w:t>scientifiques,</w:t>
      </w:r>
      <w:r w:rsidR="00DB1635" w:rsidRPr="00B004EE">
        <w:rPr>
          <w:rFonts w:ascii="Tahoma" w:hAnsi="Tahoma" w:cs="Tahoma"/>
          <w:sz w:val="20"/>
          <w:szCs w:val="20"/>
          <w:lang w:val="fr-CA"/>
        </w:rPr>
        <w:t xml:space="preserve"> </w:t>
      </w:r>
      <w:r w:rsidRPr="00B004EE">
        <w:rPr>
          <w:rFonts w:ascii="Tahoma" w:hAnsi="Tahoma" w:cs="Tahoma"/>
          <w:sz w:val="20"/>
          <w:szCs w:val="20"/>
          <w:lang w:val="fr-CA"/>
        </w:rPr>
        <w:t>techniques</w:t>
      </w:r>
      <w:r w:rsidR="00DB1635" w:rsidRPr="00B004EE">
        <w:rPr>
          <w:rFonts w:ascii="Tahoma" w:hAnsi="Tahoma" w:cs="Tahoma"/>
          <w:sz w:val="20"/>
          <w:szCs w:val="20"/>
          <w:lang w:val="fr-CA"/>
        </w:rPr>
        <w:t xml:space="preserve"> </w:t>
      </w:r>
      <w:r w:rsidRPr="00B004EE">
        <w:rPr>
          <w:rFonts w:ascii="Tahoma" w:hAnsi="Tahoma" w:cs="Tahoma"/>
          <w:sz w:val="20"/>
          <w:szCs w:val="20"/>
          <w:lang w:val="fr-CA"/>
        </w:rPr>
        <w:t>ou</w:t>
      </w:r>
      <w:r w:rsidR="00DB1635" w:rsidRPr="00B004EE">
        <w:rPr>
          <w:rFonts w:ascii="Tahoma" w:hAnsi="Tahoma" w:cs="Tahoma"/>
          <w:sz w:val="20"/>
          <w:szCs w:val="20"/>
          <w:lang w:val="fr-CA"/>
        </w:rPr>
        <w:t xml:space="preserve"> </w:t>
      </w:r>
      <w:r w:rsidRPr="00B004EE">
        <w:rPr>
          <w:rFonts w:ascii="Tahoma" w:hAnsi="Tahoma" w:cs="Tahoma"/>
          <w:sz w:val="20"/>
          <w:szCs w:val="20"/>
          <w:lang w:val="fr-CA"/>
        </w:rPr>
        <w:t>récréatives,</w:t>
      </w:r>
      <w:r w:rsidR="00DB1635" w:rsidRPr="00B004EE">
        <w:rPr>
          <w:rFonts w:ascii="Tahoma" w:hAnsi="Tahoma" w:cs="Tahoma"/>
          <w:sz w:val="20"/>
          <w:szCs w:val="20"/>
          <w:lang w:val="fr-CA"/>
        </w:rPr>
        <w:t xml:space="preserve"> </w:t>
      </w:r>
      <w:r w:rsidRPr="00B004EE">
        <w:rPr>
          <w:rFonts w:ascii="Tahoma" w:hAnsi="Tahoma" w:cs="Tahoma"/>
          <w:sz w:val="20"/>
          <w:szCs w:val="20"/>
          <w:lang w:val="fr-CA"/>
        </w:rPr>
        <w:t>peuvent</w:t>
      </w:r>
      <w:r w:rsidR="00DB1635" w:rsidRPr="00B004EE">
        <w:rPr>
          <w:rFonts w:ascii="Tahoma" w:hAnsi="Tahoma" w:cs="Tahoma"/>
          <w:sz w:val="20"/>
          <w:szCs w:val="20"/>
          <w:lang w:val="fr-CA"/>
        </w:rPr>
        <w:t xml:space="preserve"> </w:t>
      </w:r>
      <w:r w:rsidRPr="00B004EE">
        <w:rPr>
          <w:rFonts w:ascii="Tahoma" w:hAnsi="Tahoma" w:cs="Tahoma"/>
          <w:sz w:val="20"/>
          <w:szCs w:val="20"/>
          <w:lang w:val="fr-CA"/>
        </w:rPr>
        <w:t>être</w:t>
      </w:r>
      <w:r w:rsidR="00DB1635" w:rsidRPr="00B004EE">
        <w:rPr>
          <w:rFonts w:ascii="Tahoma" w:hAnsi="Tahoma" w:cs="Tahoma"/>
          <w:sz w:val="20"/>
          <w:szCs w:val="20"/>
          <w:lang w:val="fr-CA"/>
        </w:rPr>
        <w:t xml:space="preserve"> </w:t>
      </w:r>
      <w:r w:rsidRPr="00B004EE">
        <w:rPr>
          <w:rFonts w:ascii="Tahoma" w:hAnsi="Tahoma" w:cs="Tahoma"/>
          <w:sz w:val="20"/>
          <w:szCs w:val="20"/>
          <w:lang w:val="fr-CA"/>
        </w:rPr>
        <w:t>considérés</w:t>
      </w:r>
      <w:r w:rsidR="00DB1635" w:rsidRPr="00B004EE">
        <w:rPr>
          <w:rFonts w:ascii="Tahoma" w:hAnsi="Tahoma" w:cs="Tahoma"/>
          <w:sz w:val="20"/>
          <w:szCs w:val="20"/>
          <w:lang w:val="fr-CA"/>
        </w:rPr>
        <w:t xml:space="preserve"> </w:t>
      </w:r>
      <w:r w:rsidRPr="00B004EE">
        <w:rPr>
          <w:rFonts w:ascii="Tahoma" w:hAnsi="Tahoma" w:cs="Tahoma"/>
          <w:sz w:val="20"/>
          <w:szCs w:val="20"/>
          <w:lang w:val="fr-CA"/>
        </w:rPr>
        <w:t>comme</w:t>
      </w:r>
      <w:r w:rsidR="00DB1635" w:rsidRPr="00B004EE">
        <w:rPr>
          <w:rFonts w:ascii="Tahoma" w:hAnsi="Tahoma" w:cs="Tahoma"/>
          <w:sz w:val="20"/>
          <w:szCs w:val="20"/>
          <w:lang w:val="fr-CA"/>
        </w:rPr>
        <w:t xml:space="preserve"> </w:t>
      </w:r>
      <w:r w:rsidRPr="00B004EE">
        <w:rPr>
          <w:rFonts w:ascii="Tahoma" w:hAnsi="Tahoma" w:cs="Tahoma"/>
          <w:sz w:val="20"/>
          <w:szCs w:val="20"/>
          <w:lang w:val="fr-CA"/>
        </w:rPr>
        <w:t>une</w:t>
      </w:r>
      <w:r w:rsidR="00DB1635" w:rsidRPr="00B004EE">
        <w:rPr>
          <w:rFonts w:ascii="Tahoma" w:hAnsi="Tahoma" w:cs="Tahoma"/>
          <w:sz w:val="20"/>
          <w:szCs w:val="20"/>
          <w:lang w:val="fr-CA"/>
        </w:rPr>
        <w:t xml:space="preserve"> </w:t>
      </w:r>
      <w:r w:rsidRPr="00B004EE">
        <w:rPr>
          <w:rFonts w:ascii="Tahoma" w:hAnsi="Tahoma" w:cs="Tahoma"/>
          <w:sz w:val="20"/>
          <w:szCs w:val="20"/>
          <w:lang w:val="fr-CA"/>
        </w:rPr>
        <w:t>unité</w:t>
      </w:r>
      <w:r w:rsidR="00DB1635" w:rsidRPr="00B004EE">
        <w:rPr>
          <w:rFonts w:ascii="Tahoma" w:hAnsi="Tahoma" w:cs="Tahoma"/>
          <w:sz w:val="20"/>
          <w:szCs w:val="20"/>
          <w:lang w:val="fr-CA"/>
        </w:rPr>
        <w:t xml:space="preserve"> </w:t>
      </w:r>
      <w:r w:rsidRPr="00B004EE">
        <w:rPr>
          <w:rFonts w:ascii="Tahoma" w:hAnsi="Tahoma" w:cs="Tahoma"/>
          <w:sz w:val="20"/>
          <w:szCs w:val="20"/>
          <w:lang w:val="fr-CA"/>
        </w:rPr>
        <w:t>aux</w:t>
      </w:r>
      <w:r w:rsidR="00DB1635" w:rsidRPr="00B004EE">
        <w:rPr>
          <w:rFonts w:ascii="Tahoma" w:hAnsi="Tahoma" w:cs="Tahoma"/>
          <w:sz w:val="20"/>
          <w:szCs w:val="20"/>
          <w:lang w:val="fr-CA"/>
        </w:rPr>
        <w:t xml:space="preserve"> </w:t>
      </w:r>
      <w:r w:rsidRPr="00B004EE">
        <w:rPr>
          <w:rFonts w:ascii="Tahoma" w:hAnsi="Tahoma" w:cs="Tahoma"/>
          <w:sz w:val="20"/>
          <w:szCs w:val="20"/>
          <w:lang w:val="fr-CA"/>
        </w:rPr>
        <w:t>fins</w:t>
      </w:r>
      <w:r w:rsidR="00DB1635" w:rsidRPr="00B004EE">
        <w:rPr>
          <w:rFonts w:ascii="Tahoma" w:hAnsi="Tahoma" w:cs="Tahoma"/>
          <w:sz w:val="20"/>
          <w:szCs w:val="20"/>
          <w:lang w:val="fr-CA"/>
        </w:rPr>
        <w:t xml:space="preserve"> </w:t>
      </w:r>
      <w:r w:rsidRPr="00B004EE">
        <w:rPr>
          <w:rFonts w:ascii="Tahoma" w:hAnsi="Tahoma" w:cs="Tahoma"/>
          <w:sz w:val="20"/>
          <w:szCs w:val="20"/>
          <w:lang w:val="fr-CA"/>
        </w:rPr>
        <w:t>de</w:t>
      </w:r>
      <w:r w:rsidR="00DB1635" w:rsidRPr="00B004EE">
        <w:rPr>
          <w:rFonts w:ascii="Tahoma" w:hAnsi="Tahoma" w:cs="Tahoma"/>
          <w:sz w:val="20"/>
          <w:szCs w:val="20"/>
          <w:lang w:val="fr-CA"/>
        </w:rPr>
        <w:t xml:space="preserve"> </w:t>
      </w:r>
      <w:r w:rsidRPr="00B004EE">
        <w:rPr>
          <w:rFonts w:ascii="Tahoma" w:hAnsi="Tahoma" w:cs="Tahoma"/>
          <w:sz w:val="20"/>
          <w:szCs w:val="20"/>
          <w:lang w:val="fr-CA"/>
        </w:rPr>
        <w:t>conservation,</w:t>
      </w:r>
      <w:r w:rsidR="00DB1635" w:rsidRPr="00B004EE">
        <w:rPr>
          <w:rFonts w:ascii="Tahoma" w:hAnsi="Tahoma" w:cs="Tahoma"/>
          <w:sz w:val="20"/>
          <w:szCs w:val="20"/>
          <w:lang w:val="fr-CA"/>
        </w:rPr>
        <w:t xml:space="preserve"> </w:t>
      </w:r>
      <w:r w:rsidRPr="00B004EE">
        <w:rPr>
          <w:rFonts w:ascii="Tahoma" w:hAnsi="Tahoma" w:cs="Tahoma"/>
          <w:sz w:val="20"/>
          <w:szCs w:val="20"/>
          <w:lang w:val="fr-CA"/>
        </w:rPr>
        <w:t>de</w:t>
      </w:r>
      <w:r w:rsidR="00DB1635" w:rsidRPr="00B004EE">
        <w:rPr>
          <w:rFonts w:ascii="Tahoma" w:hAnsi="Tahoma" w:cs="Tahoma"/>
          <w:sz w:val="20"/>
          <w:szCs w:val="20"/>
          <w:lang w:val="fr-CA"/>
        </w:rPr>
        <w:t xml:space="preserve"> </w:t>
      </w:r>
      <w:r w:rsidRPr="00B004EE">
        <w:rPr>
          <w:rFonts w:ascii="Tahoma" w:hAnsi="Tahoma" w:cs="Tahoma"/>
          <w:sz w:val="20"/>
          <w:szCs w:val="20"/>
          <w:lang w:val="fr-CA"/>
        </w:rPr>
        <w:t>gestion</w:t>
      </w:r>
      <w:r w:rsidR="00DB1635" w:rsidRPr="00B004EE">
        <w:rPr>
          <w:rFonts w:ascii="Tahoma" w:hAnsi="Tahoma" w:cs="Tahoma"/>
          <w:sz w:val="20"/>
          <w:szCs w:val="20"/>
          <w:lang w:val="fr-CA"/>
        </w:rPr>
        <w:t xml:space="preserve"> </w:t>
      </w:r>
      <w:r w:rsidRPr="00B004EE">
        <w:rPr>
          <w:rFonts w:ascii="Tahoma" w:hAnsi="Tahoma" w:cs="Tahoma"/>
          <w:sz w:val="20"/>
          <w:szCs w:val="20"/>
          <w:lang w:val="fr-CA"/>
        </w:rPr>
        <w:t>et</w:t>
      </w:r>
      <w:r w:rsidR="00DB1635" w:rsidRPr="00B004EE">
        <w:rPr>
          <w:rFonts w:ascii="Tahoma" w:hAnsi="Tahoma" w:cs="Tahoma"/>
          <w:sz w:val="20"/>
          <w:szCs w:val="20"/>
          <w:lang w:val="fr-CA"/>
        </w:rPr>
        <w:t xml:space="preserve"> </w:t>
      </w:r>
      <w:r w:rsidRPr="00B004EE">
        <w:rPr>
          <w:rFonts w:ascii="Tahoma" w:hAnsi="Tahoma" w:cs="Tahoma"/>
          <w:sz w:val="20"/>
          <w:szCs w:val="20"/>
          <w:lang w:val="fr-CA"/>
        </w:rPr>
        <w:t>d'aménagement.</w:t>
      </w:r>
    </w:p>
    <w:p w14:paraId="73F71A15" w14:textId="77777777" w:rsidR="008518B0" w:rsidRPr="00B004EE" w:rsidRDefault="008518B0" w:rsidP="00B004EE">
      <w:pPr>
        <w:pStyle w:val="article"/>
        <w:numPr>
          <w:ilvl w:val="0"/>
          <w:numId w:val="0"/>
        </w:numPr>
        <w:tabs>
          <w:tab w:val="left" w:pos="1200"/>
        </w:tabs>
        <w:spacing w:before="0" w:line="240" w:lineRule="auto"/>
        <w:rPr>
          <w:rFonts w:ascii="Tahoma" w:hAnsi="Tahoma" w:cs="Tahoma"/>
          <w:b/>
          <w:bCs/>
          <w:sz w:val="20"/>
          <w:szCs w:val="20"/>
          <w:u w:val="single"/>
        </w:rPr>
      </w:pPr>
    </w:p>
    <w:p w14:paraId="69B08399" w14:textId="49059AE7" w:rsidR="008518B0" w:rsidRPr="00B004EE" w:rsidRDefault="008518B0" w:rsidP="00B004EE">
      <w:pPr>
        <w:pStyle w:val="article"/>
        <w:numPr>
          <w:ilvl w:val="0"/>
          <w:numId w:val="0"/>
        </w:numPr>
        <w:tabs>
          <w:tab w:val="left" w:pos="1200"/>
        </w:tabs>
        <w:spacing w:before="0" w:line="240" w:lineRule="auto"/>
        <w:rPr>
          <w:rFonts w:ascii="Tahoma" w:hAnsi="Tahoma" w:cs="Tahoma"/>
          <w:sz w:val="20"/>
          <w:szCs w:val="20"/>
        </w:rPr>
      </w:pPr>
      <w:r w:rsidRPr="00B004EE">
        <w:rPr>
          <w:rFonts w:ascii="Tahoma" w:hAnsi="Tahoma" w:cs="Tahoma"/>
          <w:sz w:val="20"/>
          <w:szCs w:val="20"/>
        </w:rPr>
        <w:t>Article</w:t>
      </w:r>
      <w:r w:rsidR="00DB1635" w:rsidRPr="00B004EE">
        <w:rPr>
          <w:rFonts w:ascii="Tahoma" w:hAnsi="Tahoma" w:cs="Tahoma"/>
          <w:sz w:val="20"/>
          <w:szCs w:val="20"/>
        </w:rPr>
        <w:t xml:space="preserve"> </w:t>
      </w:r>
      <w:r w:rsidRPr="00B004EE">
        <w:rPr>
          <w:rFonts w:ascii="Tahoma" w:hAnsi="Tahoma" w:cs="Tahoma"/>
          <w:sz w:val="20"/>
          <w:szCs w:val="20"/>
        </w:rPr>
        <w:t>3</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plans</w:t>
      </w:r>
      <w:r w:rsidR="00DB1635" w:rsidRPr="00B004EE">
        <w:rPr>
          <w:rFonts w:ascii="Tahoma" w:hAnsi="Tahoma" w:cs="Tahoma"/>
          <w:sz w:val="20"/>
          <w:szCs w:val="20"/>
        </w:rPr>
        <w:t xml:space="preserve"> </w:t>
      </w:r>
      <w:r w:rsidRPr="00B004EE">
        <w:rPr>
          <w:rFonts w:ascii="Tahoma" w:hAnsi="Tahoma" w:cs="Tahoma"/>
          <w:sz w:val="20"/>
          <w:szCs w:val="20"/>
        </w:rPr>
        <w:t>d’aménagement</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gestion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pêcheries</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élaborés,</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Ministère</w:t>
      </w:r>
      <w:r w:rsidR="00DB1635" w:rsidRPr="00B004EE">
        <w:rPr>
          <w:rFonts w:ascii="Tahoma" w:hAnsi="Tahoma" w:cs="Tahoma"/>
          <w:sz w:val="20"/>
          <w:szCs w:val="20"/>
        </w:rPr>
        <w:t xml:space="preserve"> </w:t>
      </w:r>
      <w:r w:rsidRPr="00B004EE">
        <w:rPr>
          <w:rFonts w:ascii="Tahoma" w:hAnsi="Tahoma" w:cs="Tahoma"/>
          <w:sz w:val="20"/>
          <w:szCs w:val="20"/>
        </w:rPr>
        <w:t>chargé</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sz w:val="20"/>
          <w:szCs w:val="20"/>
        </w:rPr>
        <w:t xml:space="preserve"> </w:t>
      </w:r>
      <w:r w:rsidRPr="00B004EE">
        <w:rPr>
          <w:rFonts w:ascii="Tahoma" w:hAnsi="Tahoma" w:cs="Tahoma"/>
          <w:sz w:val="20"/>
          <w:szCs w:val="20"/>
        </w:rPr>
        <w:t>sur</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base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avis</w:t>
      </w:r>
      <w:r w:rsidR="00DB1635" w:rsidRPr="00B004EE">
        <w:rPr>
          <w:rFonts w:ascii="Tahoma" w:hAnsi="Tahoma" w:cs="Tahoma"/>
          <w:sz w:val="20"/>
          <w:szCs w:val="20"/>
        </w:rPr>
        <w:t xml:space="preserve"> </w:t>
      </w:r>
      <w:r w:rsidRPr="00B004EE">
        <w:rPr>
          <w:rFonts w:ascii="Tahoma" w:hAnsi="Tahoma" w:cs="Tahoma"/>
          <w:sz w:val="20"/>
          <w:szCs w:val="20"/>
        </w:rPr>
        <w:t>scientifiques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l’institution</w:t>
      </w:r>
      <w:r w:rsidR="00DB1635" w:rsidRPr="00B004EE">
        <w:rPr>
          <w:rFonts w:ascii="Tahoma" w:hAnsi="Tahoma" w:cs="Tahoma"/>
          <w:sz w:val="20"/>
          <w:szCs w:val="20"/>
        </w:rPr>
        <w:t xml:space="preserve"> </w:t>
      </w:r>
      <w:r w:rsidRPr="00B004EE">
        <w:rPr>
          <w:rFonts w:ascii="Tahoma" w:hAnsi="Tahoma" w:cs="Tahoma"/>
          <w:sz w:val="20"/>
          <w:szCs w:val="20"/>
        </w:rPr>
        <w:t>nationale</w:t>
      </w:r>
      <w:r w:rsidR="00DB1635" w:rsidRPr="00B004EE">
        <w:rPr>
          <w:rFonts w:ascii="Tahoma" w:hAnsi="Tahoma" w:cs="Tahoma"/>
          <w:sz w:val="20"/>
          <w:szCs w:val="20"/>
        </w:rPr>
        <w:t xml:space="preserve"> </w:t>
      </w:r>
      <w:r w:rsidRPr="00B004EE">
        <w:rPr>
          <w:rFonts w:ascii="Tahoma" w:hAnsi="Tahoma" w:cs="Tahoma"/>
          <w:sz w:val="20"/>
          <w:szCs w:val="20"/>
        </w:rPr>
        <w:t>chargée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recherche</w:t>
      </w:r>
      <w:r w:rsidR="00DB1635" w:rsidRPr="00B004EE">
        <w:rPr>
          <w:rFonts w:ascii="Tahoma" w:hAnsi="Tahoma" w:cs="Tahoma"/>
          <w:sz w:val="20"/>
          <w:szCs w:val="20"/>
        </w:rPr>
        <w:t xml:space="preserve"> </w:t>
      </w:r>
      <w:r w:rsidRPr="00B004EE">
        <w:rPr>
          <w:rFonts w:ascii="Tahoma" w:hAnsi="Tahoma" w:cs="Tahoma"/>
          <w:sz w:val="20"/>
          <w:szCs w:val="20"/>
        </w:rPr>
        <w:t>océanographique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concertation</w:t>
      </w:r>
      <w:r w:rsidR="00DB1635" w:rsidRPr="00B004EE">
        <w:rPr>
          <w:rFonts w:ascii="Tahoma" w:hAnsi="Tahoma" w:cs="Tahoma"/>
          <w:sz w:val="20"/>
          <w:szCs w:val="20"/>
        </w:rPr>
        <w:t xml:space="preserve"> </w:t>
      </w:r>
      <w:r w:rsidRPr="00B004EE">
        <w:rPr>
          <w:rFonts w:ascii="Tahoma" w:hAnsi="Tahoma" w:cs="Tahoma"/>
          <w:sz w:val="20"/>
          <w:szCs w:val="20"/>
        </w:rPr>
        <w:t>avec</w:t>
      </w:r>
      <w:r w:rsidR="00DB1635" w:rsidRPr="00B004EE">
        <w:rPr>
          <w:rFonts w:ascii="Tahoma" w:hAnsi="Tahoma" w:cs="Tahoma"/>
          <w:sz w:val="20"/>
          <w:szCs w:val="20"/>
        </w:rPr>
        <w:t xml:space="preserve"> </w:t>
      </w:r>
      <w:r w:rsidRPr="00B004EE">
        <w:rPr>
          <w:rFonts w:ascii="Tahoma" w:hAnsi="Tahoma" w:cs="Tahoma"/>
          <w:sz w:val="20"/>
          <w:szCs w:val="20"/>
        </w:rPr>
        <w:t>l’ensemble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parties</w:t>
      </w:r>
      <w:r w:rsidR="00DB1635" w:rsidRPr="00B004EE">
        <w:rPr>
          <w:rFonts w:ascii="Tahoma" w:hAnsi="Tahoma" w:cs="Tahoma"/>
          <w:sz w:val="20"/>
          <w:szCs w:val="20"/>
        </w:rPr>
        <w:t xml:space="preserve"> </w:t>
      </w:r>
      <w:r w:rsidRPr="00B004EE">
        <w:rPr>
          <w:rFonts w:ascii="Tahoma" w:hAnsi="Tahoma" w:cs="Tahoma"/>
          <w:sz w:val="20"/>
          <w:szCs w:val="20"/>
        </w:rPr>
        <w:t>prenantes</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secteur</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selon</w:t>
      </w:r>
      <w:r w:rsidR="00DB1635" w:rsidRPr="00B004EE">
        <w:rPr>
          <w:rFonts w:ascii="Tahoma" w:hAnsi="Tahoma" w:cs="Tahoma"/>
          <w:sz w:val="20"/>
          <w:szCs w:val="20"/>
        </w:rPr>
        <w:t xml:space="preserve"> </w:t>
      </w: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processus</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quatre</w:t>
      </w:r>
      <w:r w:rsidR="00DB1635" w:rsidRPr="00B004EE">
        <w:rPr>
          <w:rFonts w:ascii="Tahoma" w:hAnsi="Tahoma" w:cs="Tahoma"/>
          <w:sz w:val="20"/>
          <w:szCs w:val="20"/>
        </w:rPr>
        <w:t xml:space="preserve"> </w:t>
      </w:r>
      <w:r w:rsidRPr="00B004EE">
        <w:rPr>
          <w:rFonts w:ascii="Tahoma" w:hAnsi="Tahoma" w:cs="Tahoma"/>
          <w:sz w:val="20"/>
          <w:szCs w:val="20"/>
        </w:rPr>
        <w:t>phases</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diagnostic,</w:t>
      </w:r>
      <w:r w:rsidR="00DB1635" w:rsidRPr="00B004EE">
        <w:rPr>
          <w:rFonts w:ascii="Tahoma" w:hAnsi="Tahoma" w:cs="Tahoma"/>
          <w:sz w:val="20"/>
          <w:szCs w:val="20"/>
        </w:rPr>
        <w:t xml:space="preserve"> </w:t>
      </w:r>
      <w:r w:rsidRPr="00B004EE">
        <w:rPr>
          <w:rFonts w:ascii="Tahoma" w:hAnsi="Tahoma" w:cs="Tahoma"/>
          <w:sz w:val="20"/>
          <w:szCs w:val="20"/>
        </w:rPr>
        <w:t>conception,</w:t>
      </w:r>
      <w:r w:rsidR="00DB1635" w:rsidRPr="00B004EE">
        <w:rPr>
          <w:rFonts w:ascii="Tahoma" w:hAnsi="Tahoma" w:cs="Tahoma"/>
          <w:sz w:val="20"/>
          <w:szCs w:val="20"/>
        </w:rPr>
        <w:t xml:space="preserve"> </w:t>
      </w:r>
      <w:r w:rsidRPr="00B004EE">
        <w:rPr>
          <w:rFonts w:ascii="Tahoma" w:hAnsi="Tahoma" w:cs="Tahoma"/>
          <w:sz w:val="20"/>
          <w:szCs w:val="20"/>
        </w:rPr>
        <w:t>validation</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adoption.</w:t>
      </w:r>
      <w:r w:rsidR="00DB1635" w:rsidRPr="00B004EE">
        <w:rPr>
          <w:rFonts w:ascii="Tahoma" w:hAnsi="Tahoma" w:cs="Tahoma"/>
          <w:sz w:val="20"/>
          <w:szCs w:val="20"/>
        </w:rPr>
        <w:t xml:space="preserve"> </w:t>
      </w:r>
      <w:r w:rsidRPr="00B004EE">
        <w:rPr>
          <w:rFonts w:ascii="Tahoma" w:hAnsi="Tahoma" w:cs="Tahoma"/>
          <w:sz w:val="20"/>
          <w:szCs w:val="20"/>
        </w:rPr>
        <w:t>Il</w:t>
      </w:r>
      <w:r w:rsidR="00DB1635" w:rsidRPr="00B004EE">
        <w:rPr>
          <w:rFonts w:ascii="Tahoma" w:hAnsi="Tahoma" w:cs="Tahoma"/>
          <w:sz w:val="20"/>
          <w:szCs w:val="20"/>
        </w:rPr>
        <w:t xml:space="preserve"> </w:t>
      </w:r>
      <w:r w:rsidRPr="00B004EE">
        <w:rPr>
          <w:rFonts w:ascii="Tahoma" w:hAnsi="Tahoma" w:cs="Tahoma"/>
          <w:sz w:val="20"/>
          <w:szCs w:val="20"/>
        </w:rPr>
        <w:t>doit</w:t>
      </w:r>
      <w:r w:rsidR="00DB1635" w:rsidRPr="00B004EE">
        <w:rPr>
          <w:rFonts w:ascii="Tahoma" w:hAnsi="Tahoma" w:cs="Tahoma"/>
          <w:sz w:val="20"/>
          <w:szCs w:val="20"/>
        </w:rPr>
        <w:t xml:space="preserve"> </w:t>
      </w:r>
      <w:r w:rsidRPr="00B004EE">
        <w:rPr>
          <w:rFonts w:ascii="Tahoma" w:hAnsi="Tahoma" w:cs="Tahoma"/>
          <w:sz w:val="20"/>
          <w:szCs w:val="20"/>
        </w:rPr>
        <w:t>recueillir</w:t>
      </w:r>
      <w:r w:rsidR="00DB1635" w:rsidRPr="00B004EE">
        <w:rPr>
          <w:rFonts w:ascii="Tahoma" w:hAnsi="Tahoma" w:cs="Tahoma"/>
          <w:sz w:val="20"/>
          <w:szCs w:val="20"/>
        </w:rPr>
        <w:t xml:space="preserve"> </w:t>
      </w:r>
      <w:r w:rsidRPr="00B004EE">
        <w:rPr>
          <w:rFonts w:ascii="Tahoma" w:hAnsi="Tahoma" w:cs="Tahoma"/>
          <w:sz w:val="20"/>
          <w:szCs w:val="20"/>
        </w:rPr>
        <w:t>l’avis</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Conseil</w:t>
      </w:r>
      <w:r w:rsidR="00DB1635" w:rsidRPr="00B004EE">
        <w:rPr>
          <w:rFonts w:ascii="Tahoma" w:hAnsi="Tahoma" w:cs="Tahoma"/>
          <w:sz w:val="20"/>
          <w:szCs w:val="20"/>
        </w:rPr>
        <w:t xml:space="preserve"> </w:t>
      </w:r>
      <w:r w:rsidRPr="00B004EE">
        <w:rPr>
          <w:rFonts w:ascii="Tahoma" w:hAnsi="Tahoma" w:cs="Tahoma"/>
          <w:sz w:val="20"/>
          <w:szCs w:val="20"/>
        </w:rPr>
        <w:t>consultatif</w:t>
      </w:r>
      <w:r w:rsidR="00DB1635" w:rsidRPr="00B004EE">
        <w:rPr>
          <w:rFonts w:ascii="Tahoma" w:hAnsi="Tahoma" w:cs="Tahoma"/>
          <w:sz w:val="20"/>
          <w:szCs w:val="20"/>
        </w:rPr>
        <w:t xml:space="preserve"> </w:t>
      </w:r>
      <w:r w:rsidRPr="00B004EE">
        <w:rPr>
          <w:rFonts w:ascii="Tahoma" w:hAnsi="Tahoma" w:cs="Tahoma"/>
          <w:sz w:val="20"/>
          <w:szCs w:val="20"/>
        </w:rPr>
        <w:t>national</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l’Aménagement</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Développement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Pêcheries.</w:t>
      </w:r>
      <w:r w:rsidR="00DB1635" w:rsidRPr="00B004EE">
        <w:rPr>
          <w:rFonts w:ascii="Tahoma" w:hAnsi="Tahoma" w:cs="Tahoma"/>
          <w:sz w:val="20"/>
          <w:szCs w:val="20"/>
        </w:rPr>
        <w:t xml:space="preserve"> </w:t>
      </w:r>
    </w:p>
    <w:p w14:paraId="33B57B0B" w14:textId="77777777" w:rsidR="008518B0" w:rsidRPr="00B004EE" w:rsidRDefault="008518B0" w:rsidP="00B004EE">
      <w:pPr>
        <w:pStyle w:val="article"/>
        <w:numPr>
          <w:ilvl w:val="0"/>
          <w:numId w:val="0"/>
        </w:numPr>
        <w:tabs>
          <w:tab w:val="left" w:pos="1200"/>
        </w:tabs>
        <w:spacing w:before="0" w:line="240" w:lineRule="auto"/>
        <w:rPr>
          <w:rFonts w:ascii="Tahoma" w:hAnsi="Tahoma" w:cs="Tahoma"/>
          <w:sz w:val="20"/>
          <w:szCs w:val="20"/>
        </w:rPr>
      </w:pPr>
    </w:p>
    <w:p w14:paraId="543E3581" w14:textId="7B73CFA7" w:rsidR="008518B0" w:rsidRPr="00B004EE" w:rsidRDefault="008518B0" w:rsidP="00B004EE">
      <w:pPr>
        <w:pStyle w:val="article"/>
        <w:numPr>
          <w:ilvl w:val="0"/>
          <w:numId w:val="0"/>
        </w:numPr>
        <w:tabs>
          <w:tab w:val="left" w:pos="1200"/>
        </w:tabs>
        <w:spacing w:before="0" w:line="240" w:lineRule="auto"/>
        <w:rPr>
          <w:rFonts w:ascii="Tahoma" w:hAnsi="Tahoma" w:cs="Tahoma"/>
          <w:sz w:val="20"/>
          <w:szCs w:val="20"/>
        </w:rPr>
      </w:pPr>
      <w:r w:rsidRPr="00B004EE">
        <w:rPr>
          <w:rFonts w:ascii="Tahoma" w:hAnsi="Tahoma" w:cs="Tahoma"/>
          <w:sz w:val="20"/>
          <w:szCs w:val="20"/>
        </w:rPr>
        <w:t>Article</w:t>
      </w:r>
      <w:r w:rsidR="00DB1635" w:rsidRPr="00B004EE">
        <w:rPr>
          <w:rFonts w:ascii="Tahoma" w:hAnsi="Tahoma" w:cs="Tahoma"/>
          <w:sz w:val="20"/>
          <w:szCs w:val="20"/>
        </w:rPr>
        <w:t xml:space="preserve"> </w:t>
      </w:r>
      <w:r w:rsidRPr="00B004EE">
        <w:rPr>
          <w:rFonts w:ascii="Tahoma" w:hAnsi="Tahoma" w:cs="Tahoma"/>
          <w:sz w:val="20"/>
          <w:szCs w:val="20"/>
        </w:rPr>
        <w:t>4</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plans</w:t>
      </w:r>
      <w:r w:rsidR="00DB1635" w:rsidRPr="00B004EE">
        <w:rPr>
          <w:rFonts w:ascii="Tahoma" w:hAnsi="Tahoma" w:cs="Tahoma"/>
          <w:sz w:val="20"/>
          <w:szCs w:val="20"/>
        </w:rPr>
        <w:t xml:space="preserve"> </w:t>
      </w:r>
      <w:r w:rsidRPr="00B004EE">
        <w:rPr>
          <w:rFonts w:ascii="Tahoma" w:hAnsi="Tahoma" w:cs="Tahoma"/>
          <w:sz w:val="20"/>
          <w:szCs w:val="20"/>
        </w:rPr>
        <w:t>d’aménagement</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gestion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pêcheries</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approuvés</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arrêté</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ministre</w:t>
      </w:r>
      <w:r w:rsidR="00DB1635" w:rsidRPr="00B004EE">
        <w:rPr>
          <w:rFonts w:ascii="Tahoma" w:hAnsi="Tahoma" w:cs="Tahoma"/>
          <w:sz w:val="20"/>
          <w:szCs w:val="20"/>
        </w:rPr>
        <w:t xml:space="preserve"> </w:t>
      </w:r>
      <w:r w:rsidRPr="00B004EE">
        <w:rPr>
          <w:rFonts w:ascii="Tahoma" w:hAnsi="Tahoma" w:cs="Tahoma"/>
          <w:sz w:val="20"/>
          <w:szCs w:val="20"/>
        </w:rPr>
        <w:t>chargé</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font</w:t>
      </w:r>
      <w:r w:rsidR="00DB1635" w:rsidRPr="00B004EE">
        <w:rPr>
          <w:rFonts w:ascii="Tahoma" w:hAnsi="Tahoma" w:cs="Tahoma"/>
          <w:sz w:val="20"/>
          <w:szCs w:val="20"/>
        </w:rPr>
        <w:t xml:space="preserve"> </w:t>
      </w:r>
      <w:r w:rsidRPr="00B004EE">
        <w:rPr>
          <w:rFonts w:ascii="Tahoma" w:hAnsi="Tahoma" w:cs="Tahoma"/>
          <w:sz w:val="20"/>
          <w:szCs w:val="20"/>
        </w:rPr>
        <w:t>l'objet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mesures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publicité</w:t>
      </w:r>
      <w:r w:rsidR="00DB1635" w:rsidRPr="00B004EE">
        <w:rPr>
          <w:rFonts w:ascii="Tahoma" w:hAnsi="Tahoma" w:cs="Tahoma"/>
          <w:sz w:val="20"/>
          <w:szCs w:val="20"/>
        </w:rPr>
        <w:t xml:space="preserve"> </w:t>
      </w:r>
      <w:r w:rsidRPr="00B004EE">
        <w:rPr>
          <w:rFonts w:ascii="Tahoma" w:hAnsi="Tahoma" w:cs="Tahoma"/>
          <w:sz w:val="20"/>
          <w:szCs w:val="20"/>
        </w:rPr>
        <w:t>adéquates.</w:t>
      </w:r>
      <w:r w:rsidR="00DB1635" w:rsidRPr="00B004EE">
        <w:rPr>
          <w:rFonts w:ascii="Tahoma" w:hAnsi="Tahoma" w:cs="Tahoma"/>
          <w:sz w:val="20"/>
          <w:szCs w:val="20"/>
        </w:rPr>
        <w:t xml:space="preserve"> </w:t>
      </w:r>
    </w:p>
    <w:p w14:paraId="71976DE7" w14:textId="77777777" w:rsidR="008518B0" w:rsidRPr="00B004EE" w:rsidRDefault="008518B0" w:rsidP="00B004EE">
      <w:pPr>
        <w:pStyle w:val="article"/>
        <w:numPr>
          <w:ilvl w:val="0"/>
          <w:numId w:val="0"/>
        </w:numPr>
        <w:tabs>
          <w:tab w:val="left" w:pos="1200"/>
        </w:tabs>
        <w:spacing w:before="0" w:line="240" w:lineRule="auto"/>
        <w:rPr>
          <w:rFonts w:ascii="Tahoma" w:hAnsi="Tahoma" w:cs="Tahoma"/>
          <w:sz w:val="20"/>
          <w:szCs w:val="20"/>
        </w:rPr>
      </w:pPr>
    </w:p>
    <w:p w14:paraId="5960212A" w14:textId="65661345" w:rsidR="008518B0" w:rsidRPr="00B004EE" w:rsidRDefault="008518B0" w:rsidP="00B004EE">
      <w:pPr>
        <w:pStyle w:val="article"/>
        <w:numPr>
          <w:ilvl w:val="0"/>
          <w:numId w:val="0"/>
        </w:numPr>
        <w:tabs>
          <w:tab w:val="left" w:pos="1200"/>
        </w:tabs>
        <w:spacing w:before="0" w:line="240" w:lineRule="auto"/>
        <w:rPr>
          <w:rFonts w:ascii="Tahoma" w:hAnsi="Tahoma" w:cs="Tahoma"/>
          <w:sz w:val="20"/>
          <w:szCs w:val="20"/>
        </w:rPr>
      </w:pPr>
      <w:r w:rsidRPr="00B004EE">
        <w:rPr>
          <w:rFonts w:ascii="Tahoma" w:hAnsi="Tahoma" w:cs="Tahoma"/>
          <w:sz w:val="20"/>
          <w:szCs w:val="20"/>
        </w:rPr>
        <w:t>Article</w:t>
      </w:r>
      <w:r w:rsidR="00DB1635" w:rsidRPr="00B004EE">
        <w:rPr>
          <w:rFonts w:ascii="Tahoma" w:hAnsi="Tahoma" w:cs="Tahoma"/>
          <w:sz w:val="20"/>
          <w:szCs w:val="20"/>
        </w:rPr>
        <w:t xml:space="preserve"> </w:t>
      </w:r>
      <w:r w:rsidRPr="00B004EE">
        <w:rPr>
          <w:rFonts w:ascii="Tahoma" w:hAnsi="Tahoma" w:cs="Tahoma"/>
          <w:sz w:val="20"/>
          <w:szCs w:val="20"/>
        </w:rPr>
        <w:t>5</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plans</w:t>
      </w:r>
      <w:r w:rsidR="00DB1635" w:rsidRPr="00B004EE">
        <w:rPr>
          <w:rFonts w:ascii="Tahoma" w:hAnsi="Tahoma" w:cs="Tahoma"/>
          <w:sz w:val="20"/>
          <w:szCs w:val="20"/>
        </w:rPr>
        <w:t xml:space="preserve"> </w:t>
      </w:r>
      <w:r w:rsidRPr="00B004EE">
        <w:rPr>
          <w:rFonts w:ascii="Tahoma" w:hAnsi="Tahoma" w:cs="Tahoma"/>
          <w:sz w:val="20"/>
          <w:szCs w:val="20"/>
        </w:rPr>
        <w:t>d’aménagement</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gestion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pêcheries</w:t>
      </w:r>
      <w:r w:rsidR="00DB1635" w:rsidRPr="00B004EE">
        <w:rPr>
          <w:rFonts w:ascii="Tahoma" w:hAnsi="Tahoma" w:cs="Tahoma"/>
          <w:sz w:val="20"/>
          <w:szCs w:val="20"/>
        </w:rPr>
        <w:t xml:space="preserve"> </w:t>
      </w:r>
      <w:r w:rsidRPr="00B004EE">
        <w:rPr>
          <w:rFonts w:ascii="Tahoma" w:hAnsi="Tahoma" w:cs="Tahoma"/>
          <w:sz w:val="20"/>
          <w:szCs w:val="20"/>
        </w:rPr>
        <w:t>définissent,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bases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l’exploitation</w:t>
      </w:r>
      <w:r w:rsidR="00DB1635" w:rsidRPr="00B004EE">
        <w:rPr>
          <w:rFonts w:ascii="Tahoma" w:hAnsi="Tahoma" w:cs="Tahoma"/>
          <w:sz w:val="20"/>
          <w:szCs w:val="20"/>
        </w:rPr>
        <w:t xml:space="preserve"> </w:t>
      </w:r>
      <w:r w:rsidRPr="00B004EE">
        <w:rPr>
          <w:rFonts w:ascii="Tahoma" w:hAnsi="Tahoma" w:cs="Tahoma"/>
          <w:sz w:val="20"/>
          <w:szCs w:val="20"/>
        </w:rPr>
        <w:t>durable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ressource</w:t>
      </w:r>
      <w:r w:rsidR="00DB1635" w:rsidRPr="00B004EE">
        <w:rPr>
          <w:rFonts w:ascii="Tahoma" w:hAnsi="Tahoma" w:cs="Tahoma"/>
          <w:sz w:val="20"/>
          <w:szCs w:val="20"/>
        </w:rPr>
        <w:t xml:space="preserve"> </w:t>
      </w:r>
      <w:r w:rsidRPr="00B004EE">
        <w:rPr>
          <w:rFonts w:ascii="Tahoma" w:hAnsi="Tahoma" w:cs="Tahoma"/>
          <w:sz w:val="20"/>
          <w:szCs w:val="20"/>
        </w:rPr>
        <w:t>halieutique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activités</w:t>
      </w:r>
      <w:r w:rsidR="00DB1635" w:rsidRPr="00B004EE">
        <w:rPr>
          <w:rFonts w:ascii="Tahoma" w:hAnsi="Tahoma" w:cs="Tahoma"/>
          <w:sz w:val="20"/>
          <w:szCs w:val="20"/>
        </w:rPr>
        <w:t xml:space="preserve"> </w:t>
      </w:r>
      <w:r w:rsidRPr="00B004EE">
        <w:rPr>
          <w:rFonts w:ascii="Tahoma" w:hAnsi="Tahoma" w:cs="Tahoma"/>
          <w:sz w:val="20"/>
          <w:szCs w:val="20"/>
        </w:rPr>
        <w:t>y</w:t>
      </w:r>
      <w:r w:rsidR="00DB1635" w:rsidRPr="00B004EE">
        <w:rPr>
          <w:rFonts w:ascii="Tahoma" w:hAnsi="Tahoma" w:cs="Tahoma"/>
          <w:sz w:val="20"/>
          <w:szCs w:val="20"/>
        </w:rPr>
        <w:t xml:space="preserve"> </w:t>
      </w:r>
      <w:r w:rsidRPr="00B004EE">
        <w:rPr>
          <w:rFonts w:ascii="Tahoma" w:hAnsi="Tahoma" w:cs="Tahoma"/>
          <w:sz w:val="20"/>
          <w:szCs w:val="20"/>
        </w:rPr>
        <w:t>afférentes.</w:t>
      </w:r>
      <w:r w:rsidR="00DB1635" w:rsidRPr="00B004EE">
        <w:rPr>
          <w:rFonts w:ascii="Tahoma" w:hAnsi="Tahoma" w:cs="Tahoma"/>
          <w:sz w:val="20"/>
          <w:szCs w:val="20"/>
        </w:rPr>
        <w:t xml:space="preserve"> </w:t>
      </w:r>
      <w:r w:rsidRPr="00B004EE">
        <w:rPr>
          <w:rFonts w:ascii="Tahoma" w:hAnsi="Tahoma" w:cs="Tahoma"/>
          <w:sz w:val="20"/>
          <w:szCs w:val="20"/>
        </w:rPr>
        <w:t>Ils</w:t>
      </w:r>
      <w:r w:rsidR="00DB1635" w:rsidRPr="00B004EE">
        <w:rPr>
          <w:rFonts w:ascii="Tahoma" w:hAnsi="Tahoma" w:cs="Tahoma"/>
          <w:sz w:val="20"/>
          <w:szCs w:val="20"/>
        </w:rPr>
        <w:t xml:space="preserve"> </w:t>
      </w:r>
      <w:r w:rsidRPr="00B004EE">
        <w:rPr>
          <w:rFonts w:ascii="Tahoma" w:hAnsi="Tahoma" w:cs="Tahoma"/>
          <w:sz w:val="20"/>
          <w:szCs w:val="20"/>
        </w:rPr>
        <w:t>prévoient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règles</w:t>
      </w:r>
      <w:r w:rsidR="00DB1635" w:rsidRPr="00B004EE">
        <w:rPr>
          <w:rFonts w:ascii="Tahoma" w:hAnsi="Tahoma" w:cs="Tahoma"/>
          <w:sz w:val="20"/>
          <w:szCs w:val="20"/>
        </w:rPr>
        <w:t xml:space="preserve"> </w:t>
      </w:r>
      <w:r w:rsidRPr="00B004EE">
        <w:rPr>
          <w:rFonts w:ascii="Tahoma" w:hAnsi="Tahoma" w:cs="Tahoma"/>
          <w:sz w:val="20"/>
          <w:szCs w:val="20"/>
        </w:rPr>
        <w:t>générales</w:t>
      </w:r>
      <w:r w:rsidR="00DB1635" w:rsidRPr="00B004EE">
        <w:rPr>
          <w:rFonts w:ascii="Tahoma" w:hAnsi="Tahoma" w:cs="Tahoma"/>
          <w:sz w:val="20"/>
          <w:szCs w:val="20"/>
        </w:rPr>
        <w:t xml:space="preserve"> </w:t>
      </w:r>
      <w:r w:rsidRPr="00B004EE">
        <w:rPr>
          <w:rFonts w:ascii="Tahoma" w:hAnsi="Tahoma" w:cs="Tahoma"/>
          <w:sz w:val="20"/>
          <w:szCs w:val="20"/>
        </w:rPr>
        <w:t>d’allocation</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ressource,</w:t>
      </w:r>
      <w:r w:rsidR="00DB1635" w:rsidRPr="00B004EE">
        <w:rPr>
          <w:rFonts w:ascii="Tahoma" w:hAnsi="Tahoma" w:cs="Tahoma"/>
          <w:sz w:val="20"/>
          <w:szCs w:val="20"/>
        </w:rPr>
        <w:t xml:space="preserve"> </w:t>
      </w:r>
      <w:r w:rsidRPr="00B004EE">
        <w:rPr>
          <w:rFonts w:ascii="Tahoma" w:hAnsi="Tahoma" w:cs="Tahoma"/>
          <w:sz w:val="20"/>
          <w:szCs w:val="20"/>
        </w:rPr>
        <w:t>notamment</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transfert</w:t>
      </w:r>
      <w:r w:rsidR="00DB1635" w:rsidRPr="00B004EE">
        <w:rPr>
          <w:rFonts w:ascii="Tahoma" w:hAnsi="Tahoma" w:cs="Tahoma"/>
          <w:sz w:val="20"/>
          <w:szCs w:val="20"/>
        </w:rPr>
        <w:t xml:space="preserve"> </w:t>
      </w:r>
      <w:r w:rsidRPr="00B004EE">
        <w:rPr>
          <w:rFonts w:ascii="Tahoma" w:hAnsi="Tahoma" w:cs="Tahoma"/>
          <w:sz w:val="20"/>
          <w:szCs w:val="20"/>
        </w:rPr>
        <w:t>éventuel</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capacité</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d’une</w:t>
      </w:r>
      <w:r w:rsidR="00DB1635" w:rsidRPr="00B004EE">
        <w:rPr>
          <w:rFonts w:ascii="Tahoma" w:hAnsi="Tahoma" w:cs="Tahoma"/>
          <w:sz w:val="20"/>
          <w:szCs w:val="20"/>
        </w:rPr>
        <w:t xml:space="preserve"> </w:t>
      </w:r>
      <w:r w:rsidRPr="00B004EE">
        <w:rPr>
          <w:rFonts w:ascii="Tahoma" w:hAnsi="Tahoma" w:cs="Tahoma"/>
          <w:sz w:val="20"/>
          <w:szCs w:val="20"/>
        </w:rPr>
        <w:t>pêcherie</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d’un</w:t>
      </w:r>
      <w:r w:rsidR="00DB1635" w:rsidRPr="00B004EE">
        <w:rPr>
          <w:rFonts w:ascii="Tahoma" w:hAnsi="Tahoma" w:cs="Tahoma"/>
          <w:sz w:val="20"/>
          <w:szCs w:val="20"/>
        </w:rPr>
        <w:t xml:space="preserve"> </w:t>
      </w:r>
      <w:r w:rsidRPr="00B004EE">
        <w:rPr>
          <w:rFonts w:ascii="Tahoma" w:hAnsi="Tahoma" w:cs="Tahoma"/>
          <w:sz w:val="20"/>
          <w:szCs w:val="20"/>
        </w:rPr>
        <w:t>segment</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l’autre</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sein</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plan.</w:t>
      </w:r>
      <w:r w:rsidR="00DB1635" w:rsidRPr="00B004EE">
        <w:rPr>
          <w:rFonts w:ascii="Tahoma" w:hAnsi="Tahoma" w:cs="Tahoma"/>
          <w:sz w:val="20"/>
          <w:szCs w:val="20"/>
        </w:rPr>
        <w:t xml:space="preserve"> </w:t>
      </w:r>
    </w:p>
    <w:p w14:paraId="57E537FA" w14:textId="77777777" w:rsidR="008518B0" w:rsidRPr="00B004EE" w:rsidRDefault="008518B0" w:rsidP="00B004EE">
      <w:pPr>
        <w:jc w:val="both"/>
        <w:rPr>
          <w:rFonts w:ascii="Tahoma" w:hAnsi="Tahoma" w:cs="Tahoma"/>
          <w:sz w:val="20"/>
          <w:szCs w:val="20"/>
        </w:rPr>
      </w:pPr>
    </w:p>
    <w:p w14:paraId="0FA144FE" w14:textId="7D66DB23" w:rsidR="008518B0" w:rsidRPr="00B004EE" w:rsidRDefault="008518B0" w:rsidP="00B004EE">
      <w:pPr>
        <w:jc w:val="both"/>
        <w:rPr>
          <w:rFonts w:ascii="Tahoma" w:hAnsi="Tahoma" w:cs="Tahoma"/>
          <w:sz w:val="20"/>
          <w:szCs w:val="20"/>
        </w:rPr>
      </w:pPr>
      <w:r w:rsidRPr="00B004EE">
        <w:rPr>
          <w:rFonts w:ascii="Tahoma" w:hAnsi="Tahoma" w:cs="Tahoma"/>
          <w:sz w:val="20"/>
          <w:szCs w:val="20"/>
        </w:rPr>
        <w:lastRenderedPageBreak/>
        <w:t>Les</w:t>
      </w:r>
      <w:r w:rsidR="00DB1635" w:rsidRPr="00B004EE">
        <w:rPr>
          <w:rFonts w:ascii="Tahoma" w:hAnsi="Tahoma" w:cs="Tahoma"/>
          <w:sz w:val="20"/>
          <w:szCs w:val="20"/>
        </w:rPr>
        <w:t xml:space="preserve"> </w:t>
      </w:r>
      <w:r w:rsidRPr="00B004EE">
        <w:rPr>
          <w:rFonts w:ascii="Tahoma" w:hAnsi="Tahoma" w:cs="Tahoma"/>
          <w:sz w:val="20"/>
          <w:szCs w:val="20"/>
        </w:rPr>
        <w:t>plans</w:t>
      </w:r>
      <w:r w:rsidR="00DB1635" w:rsidRPr="00B004EE">
        <w:rPr>
          <w:rFonts w:ascii="Tahoma" w:hAnsi="Tahoma" w:cs="Tahoma"/>
          <w:sz w:val="20"/>
          <w:szCs w:val="20"/>
        </w:rPr>
        <w:t xml:space="preserve"> </w:t>
      </w:r>
      <w:r w:rsidRPr="00B004EE">
        <w:rPr>
          <w:rFonts w:ascii="Tahoma" w:hAnsi="Tahoma" w:cs="Tahoma"/>
          <w:sz w:val="20"/>
          <w:szCs w:val="20"/>
        </w:rPr>
        <w:t>d’aménagement</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gestion</w:t>
      </w:r>
      <w:r w:rsidR="00DB1635" w:rsidRPr="00B004EE">
        <w:rPr>
          <w:rFonts w:ascii="Tahoma" w:hAnsi="Tahoma" w:cs="Tahoma"/>
          <w:sz w:val="20"/>
          <w:szCs w:val="20"/>
        </w:rPr>
        <w:t xml:space="preserve"> </w:t>
      </w:r>
      <w:r w:rsidRPr="00B004EE">
        <w:rPr>
          <w:rFonts w:ascii="Tahoma" w:hAnsi="Tahoma" w:cs="Tahoma"/>
          <w:sz w:val="20"/>
          <w:szCs w:val="20"/>
        </w:rPr>
        <w:t>définissent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règles</w:t>
      </w:r>
      <w:r w:rsidR="00DB1635" w:rsidRPr="00B004EE">
        <w:rPr>
          <w:rFonts w:ascii="Tahoma" w:hAnsi="Tahoma" w:cs="Tahoma"/>
          <w:sz w:val="20"/>
          <w:szCs w:val="20"/>
        </w:rPr>
        <w:t xml:space="preserve"> </w:t>
      </w:r>
      <w:r w:rsidRPr="00B004EE">
        <w:rPr>
          <w:rFonts w:ascii="Tahoma" w:hAnsi="Tahoma" w:cs="Tahoma"/>
          <w:sz w:val="20"/>
          <w:szCs w:val="20"/>
        </w:rPr>
        <w:t>d’administration</w:t>
      </w:r>
      <w:r w:rsidR="00DB1635" w:rsidRPr="00B004EE">
        <w:rPr>
          <w:rFonts w:ascii="Tahoma" w:hAnsi="Tahoma" w:cs="Tahoma"/>
          <w:sz w:val="20"/>
          <w:szCs w:val="20"/>
        </w:rPr>
        <w:t xml:space="preserve"> </w:t>
      </w:r>
      <w:r w:rsidRPr="00B004EE">
        <w:rPr>
          <w:rFonts w:ascii="Tahoma" w:hAnsi="Tahoma" w:cs="Tahoma"/>
          <w:sz w:val="20"/>
          <w:szCs w:val="20"/>
        </w:rPr>
        <w:t>entre</w:t>
      </w:r>
      <w:r w:rsidR="00DB1635" w:rsidRPr="00B004EE">
        <w:rPr>
          <w:rFonts w:ascii="Tahoma" w:hAnsi="Tahoma" w:cs="Tahoma"/>
          <w:sz w:val="20"/>
          <w:szCs w:val="20"/>
        </w:rPr>
        <w:t xml:space="preserve"> </w:t>
      </w:r>
      <w:r w:rsidRPr="00B004EE">
        <w:rPr>
          <w:rFonts w:ascii="Tahoma" w:hAnsi="Tahoma" w:cs="Tahoma"/>
          <w:sz w:val="20"/>
          <w:szCs w:val="20"/>
        </w:rPr>
        <w:t>autres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possibilités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techniques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zone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mesures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conservation,</w:t>
      </w:r>
      <w:r w:rsidR="00DB1635" w:rsidRPr="00B004EE">
        <w:rPr>
          <w:rFonts w:ascii="Tahoma" w:hAnsi="Tahoma" w:cs="Tahoma"/>
          <w:sz w:val="20"/>
          <w:szCs w:val="20"/>
        </w:rPr>
        <w:t xml:space="preserve"> </w:t>
      </w:r>
      <w:r w:rsidRPr="00B004EE">
        <w:rPr>
          <w:rFonts w:ascii="Tahoma" w:hAnsi="Tahoma" w:cs="Tahoma"/>
          <w:sz w:val="20"/>
          <w:szCs w:val="20"/>
        </w:rPr>
        <w:t>concernant</w:t>
      </w:r>
      <w:r w:rsidR="00DB1635" w:rsidRPr="00B004EE">
        <w:rPr>
          <w:rFonts w:ascii="Tahoma" w:hAnsi="Tahoma" w:cs="Tahoma"/>
          <w:sz w:val="20"/>
          <w:szCs w:val="20"/>
        </w:rPr>
        <w:t xml:space="preserve"> </w:t>
      </w: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segment</w:t>
      </w:r>
      <w:r w:rsidR="00DB1635" w:rsidRPr="00B004EE">
        <w:rPr>
          <w:rFonts w:ascii="Tahoma" w:hAnsi="Tahoma" w:cs="Tahoma"/>
          <w:sz w:val="20"/>
          <w:szCs w:val="20"/>
        </w:rPr>
        <w:t xml:space="preserve"> </w:t>
      </w:r>
      <w:r w:rsidRPr="00B004EE">
        <w:rPr>
          <w:rFonts w:ascii="Tahoma" w:hAnsi="Tahoma" w:cs="Tahoma"/>
          <w:sz w:val="20"/>
          <w:szCs w:val="20"/>
        </w:rPr>
        <w:t>d’exploitation</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flotte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p>
    <w:p w14:paraId="38E08F94" w14:textId="77777777" w:rsidR="008518B0" w:rsidRPr="00B004EE" w:rsidRDefault="008518B0" w:rsidP="00B004EE">
      <w:pPr>
        <w:pStyle w:val="article"/>
        <w:numPr>
          <w:ilvl w:val="0"/>
          <w:numId w:val="0"/>
        </w:numPr>
        <w:tabs>
          <w:tab w:val="left" w:pos="1200"/>
        </w:tabs>
        <w:spacing w:before="0" w:line="240" w:lineRule="auto"/>
        <w:rPr>
          <w:rFonts w:ascii="Tahoma" w:hAnsi="Tahoma" w:cs="Tahoma"/>
          <w:sz w:val="20"/>
          <w:szCs w:val="20"/>
          <w:lang w:val="fr-FR"/>
        </w:rPr>
      </w:pPr>
    </w:p>
    <w:p w14:paraId="19F0E94D" w14:textId="42469166" w:rsidR="008518B0" w:rsidRPr="00B004EE" w:rsidRDefault="008518B0" w:rsidP="00B004EE">
      <w:pPr>
        <w:pStyle w:val="article"/>
        <w:numPr>
          <w:ilvl w:val="0"/>
          <w:numId w:val="0"/>
        </w:numPr>
        <w:tabs>
          <w:tab w:val="left" w:pos="1200"/>
        </w:tabs>
        <w:spacing w:before="0" w:line="240" w:lineRule="auto"/>
        <w:rPr>
          <w:rFonts w:ascii="Tahoma" w:hAnsi="Tahoma" w:cs="Tahoma"/>
          <w:sz w:val="20"/>
          <w:szCs w:val="20"/>
        </w:rPr>
      </w:pPr>
      <w:r w:rsidRPr="00B004EE">
        <w:rPr>
          <w:rFonts w:ascii="Tahoma" w:hAnsi="Tahoma" w:cs="Tahoma"/>
          <w:sz w:val="20"/>
          <w:szCs w:val="20"/>
        </w:rPr>
        <w:t>Article</w:t>
      </w:r>
      <w:r w:rsidR="00DB1635" w:rsidRPr="00B004EE">
        <w:rPr>
          <w:rFonts w:ascii="Tahoma" w:hAnsi="Tahoma" w:cs="Tahoma"/>
          <w:sz w:val="20"/>
          <w:szCs w:val="20"/>
        </w:rPr>
        <w:t xml:space="preserve"> </w:t>
      </w:r>
      <w:r w:rsidRPr="00B004EE">
        <w:rPr>
          <w:rFonts w:ascii="Tahoma" w:hAnsi="Tahoma" w:cs="Tahoma"/>
          <w:sz w:val="20"/>
          <w:szCs w:val="20"/>
        </w:rPr>
        <w:t>6</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cas</w:t>
      </w:r>
      <w:r w:rsidR="00DB1635" w:rsidRPr="00B004EE">
        <w:rPr>
          <w:rFonts w:ascii="Tahoma" w:hAnsi="Tahoma" w:cs="Tahoma"/>
          <w:sz w:val="20"/>
          <w:szCs w:val="20"/>
        </w:rPr>
        <w:t xml:space="preserve"> </w:t>
      </w:r>
      <w:r w:rsidRPr="00B004EE">
        <w:rPr>
          <w:rFonts w:ascii="Tahoma" w:hAnsi="Tahoma" w:cs="Tahoma"/>
          <w:sz w:val="20"/>
          <w:szCs w:val="20"/>
        </w:rPr>
        <w:t>d’évolution</w:t>
      </w:r>
      <w:r w:rsidR="00DB1635" w:rsidRPr="00B004EE">
        <w:rPr>
          <w:rFonts w:ascii="Tahoma" w:hAnsi="Tahoma" w:cs="Tahoma"/>
          <w:sz w:val="20"/>
          <w:szCs w:val="20"/>
        </w:rPr>
        <w:t xml:space="preserve"> </w:t>
      </w:r>
      <w:r w:rsidRPr="00B004EE">
        <w:rPr>
          <w:rFonts w:ascii="Tahoma" w:hAnsi="Tahoma" w:cs="Tahoma"/>
          <w:sz w:val="20"/>
          <w:szCs w:val="20"/>
        </w:rPr>
        <w:t>imprévisible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l’état</w:t>
      </w:r>
      <w:r w:rsidR="00DB1635" w:rsidRPr="00B004EE">
        <w:rPr>
          <w:rFonts w:ascii="Tahoma" w:hAnsi="Tahoma" w:cs="Tahoma"/>
          <w:sz w:val="20"/>
          <w:szCs w:val="20"/>
        </w:rPr>
        <w:t xml:space="preserve"> </w:t>
      </w:r>
      <w:r w:rsidRPr="00B004EE">
        <w:rPr>
          <w:rFonts w:ascii="Tahoma" w:hAnsi="Tahoma" w:cs="Tahoma"/>
          <w:sz w:val="20"/>
          <w:szCs w:val="20"/>
        </w:rPr>
        <w:t>d'une</w:t>
      </w:r>
      <w:r w:rsidR="00DB1635" w:rsidRPr="00B004EE">
        <w:rPr>
          <w:rFonts w:ascii="Tahoma" w:hAnsi="Tahoma" w:cs="Tahoma"/>
          <w:sz w:val="20"/>
          <w:szCs w:val="20"/>
        </w:rPr>
        <w:t xml:space="preserve"> </w:t>
      </w:r>
      <w:r w:rsidRPr="00B004EE">
        <w:rPr>
          <w:rFonts w:ascii="Tahoma" w:hAnsi="Tahoma" w:cs="Tahoma"/>
          <w:sz w:val="20"/>
          <w:szCs w:val="20"/>
        </w:rPr>
        <w:t>pêcherie</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ressources</w:t>
      </w:r>
      <w:r w:rsidR="00DB1635" w:rsidRPr="00B004EE">
        <w:rPr>
          <w:rFonts w:ascii="Tahoma" w:hAnsi="Tahoma" w:cs="Tahoma"/>
          <w:sz w:val="20"/>
          <w:szCs w:val="20"/>
        </w:rPr>
        <w:t xml:space="preserve"> </w:t>
      </w:r>
      <w:r w:rsidRPr="00B004EE">
        <w:rPr>
          <w:rFonts w:ascii="Tahoma" w:hAnsi="Tahoma" w:cs="Tahoma"/>
          <w:sz w:val="20"/>
          <w:szCs w:val="20"/>
        </w:rPr>
        <w:t>halieutiques</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général,</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ministre</w:t>
      </w:r>
      <w:r w:rsidR="00DB1635" w:rsidRPr="00B004EE">
        <w:rPr>
          <w:rFonts w:ascii="Tahoma" w:hAnsi="Tahoma" w:cs="Tahoma"/>
          <w:sz w:val="20"/>
          <w:szCs w:val="20"/>
        </w:rPr>
        <w:t xml:space="preserve"> </w:t>
      </w:r>
      <w:r w:rsidRPr="00B004EE">
        <w:rPr>
          <w:rFonts w:ascii="Tahoma" w:hAnsi="Tahoma" w:cs="Tahoma"/>
          <w:sz w:val="20"/>
          <w:szCs w:val="20"/>
        </w:rPr>
        <w:t>chargé</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sz w:val="20"/>
          <w:szCs w:val="20"/>
        </w:rPr>
        <w:t xml:space="preserve"> </w:t>
      </w:r>
      <w:r w:rsidRPr="00B004EE">
        <w:rPr>
          <w:rFonts w:ascii="Tahoma" w:hAnsi="Tahoma" w:cs="Tahoma"/>
          <w:sz w:val="20"/>
          <w:szCs w:val="20"/>
        </w:rPr>
        <w:t>peut</w:t>
      </w:r>
      <w:r w:rsidR="00DB1635" w:rsidRPr="00B004EE">
        <w:rPr>
          <w:rFonts w:ascii="Tahoma" w:hAnsi="Tahoma" w:cs="Tahoma"/>
          <w:sz w:val="20"/>
          <w:szCs w:val="20"/>
        </w:rPr>
        <w:t xml:space="preserve"> </w:t>
      </w:r>
      <w:r w:rsidRPr="00B004EE">
        <w:rPr>
          <w:rFonts w:ascii="Tahoma" w:hAnsi="Tahoma" w:cs="Tahoma"/>
          <w:sz w:val="20"/>
          <w:szCs w:val="20"/>
        </w:rPr>
        <w:t>prendre,</w:t>
      </w:r>
      <w:r w:rsidR="00DB1635" w:rsidRPr="00B004EE">
        <w:rPr>
          <w:rFonts w:ascii="Tahoma" w:hAnsi="Tahoma" w:cs="Tahoma"/>
          <w:sz w:val="20"/>
          <w:szCs w:val="20"/>
        </w:rPr>
        <w:t xml:space="preserve"> </w:t>
      </w:r>
      <w:r w:rsidRPr="00B004EE">
        <w:rPr>
          <w:rFonts w:ascii="Tahoma" w:hAnsi="Tahoma" w:cs="Tahoma"/>
          <w:sz w:val="20"/>
          <w:szCs w:val="20"/>
        </w:rPr>
        <w:t>après</w:t>
      </w:r>
      <w:r w:rsidR="00DB1635" w:rsidRPr="00B004EE">
        <w:rPr>
          <w:rFonts w:ascii="Tahoma" w:hAnsi="Tahoma" w:cs="Tahoma"/>
          <w:sz w:val="20"/>
          <w:szCs w:val="20"/>
        </w:rPr>
        <w:t xml:space="preserve"> </w:t>
      </w:r>
      <w:r w:rsidRPr="00B004EE">
        <w:rPr>
          <w:rFonts w:ascii="Tahoma" w:hAnsi="Tahoma" w:cs="Tahoma"/>
          <w:sz w:val="20"/>
          <w:szCs w:val="20"/>
        </w:rPr>
        <w:t>avis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l’institution</w:t>
      </w:r>
      <w:r w:rsidR="00DB1635" w:rsidRPr="00B004EE">
        <w:rPr>
          <w:rFonts w:ascii="Tahoma" w:hAnsi="Tahoma" w:cs="Tahoma"/>
          <w:sz w:val="20"/>
          <w:szCs w:val="20"/>
        </w:rPr>
        <w:t xml:space="preserve"> </w:t>
      </w:r>
      <w:r w:rsidRPr="00B004EE">
        <w:rPr>
          <w:rFonts w:ascii="Tahoma" w:hAnsi="Tahoma" w:cs="Tahoma"/>
          <w:sz w:val="20"/>
          <w:szCs w:val="20"/>
        </w:rPr>
        <w:t>nationale</w:t>
      </w:r>
      <w:r w:rsidR="00DB1635" w:rsidRPr="00B004EE">
        <w:rPr>
          <w:rFonts w:ascii="Tahoma" w:hAnsi="Tahoma" w:cs="Tahoma"/>
          <w:sz w:val="20"/>
          <w:szCs w:val="20"/>
        </w:rPr>
        <w:t xml:space="preserve"> </w:t>
      </w:r>
      <w:r w:rsidRPr="00B004EE">
        <w:rPr>
          <w:rFonts w:ascii="Tahoma" w:hAnsi="Tahoma" w:cs="Tahoma"/>
          <w:sz w:val="20"/>
          <w:szCs w:val="20"/>
        </w:rPr>
        <w:t>chargée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recherche</w:t>
      </w:r>
      <w:r w:rsidR="00DB1635" w:rsidRPr="00B004EE">
        <w:rPr>
          <w:rFonts w:ascii="Tahoma" w:hAnsi="Tahoma" w:cs="Tahoma"/>
          <w:sz w:val="20"/>
          <w:szCs w:val="20"/>
        </w:rPr>
        <w:t xml:space="preserve"> </w:t>
      </w:r>
      <w:r w:rsidRPr="00B004EE">
        <w:rPr>
          <w:rFonts w:ascii="Tahoma" w:hAnsi="Tahoma" w:cs="Tahoma"/>
          <w:sz w:val="20"/>
          <w:szCs w:val="20"/>
        </w:rPr>
        <w:t>océanographique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mesures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précaution</w:t>
      </w:r>
      <w:r w:rsidR="00DB1635" w:rsidRPr="00B004EE">
        <w:rPr>
          <w:rFonts w:ascii="Tahoma" w:hAnsi="Tahoma" w:cs="Tahoma"/>
          <w:sz w:val="20"/>
          <w:szCs w:val="20"/>
        </w:rPr>
        <w:t xml:space="preserve"> </w:t>
      </w:r>
      <w:r w:rsidRPr="00B004EE">
        <w:rPr>
          <w:rFonts w:ascii="Tahoma" w:hAnsi="Tahoma" w:cs="Tahoma"/>
          <w:sz w:val="20"/>
          <w:szCs w:val="20"/>
        </w:rPr>
        <w:t>urgentes,</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attendant</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réactualisation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plans</w:t>
      </w:r>
      <w:r w:rsidR="00DB1635" w:rsidRPr="00B004EE">
        <w:rPr>
          <w:rFonts w:ascii="Tahoma" w:hAnsi="Tahoma" w:cs="Tahoma"/>
          <w:sz w:val="20"/>
          <w:szCs w:val="20"/>
        </w:rPr>
        <w:t xml:space="preserve"> </w:t>
      </w:r>
      <w:r w:rsidRPr="00B004EE">
        <w:rPr>
          <w:rFonts w:ascii="Tahoma" w:hAnsi="Tahoma" w:cs="Tahoma"/>
          <w:sz w:val="20"/>
          <w:szCs w:val="20"/>
        </w:rPr>
        <w:t>d'aménagement</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gestion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pêcheries.</w:t>
      </w:r>
      <w:r w:rsidR="00DB1635" w:rsidRPr="00B004EE">
        <w:rPr>
          <w:rFonts w:ascii="Tahoma" w:hAnsi="Tahoma" w:cs="Tahoma"/>
          <w:sz w:val="20"/>
          <w:szCs w:val="20"/>
        </w:rPr>
        <w:t xml:space="preserve"> </w:t>
      </w:r>
    </w:p>
    <w:p w14:paraId="4A32DBDB" w14:textId="77777777" w:rsidR="008518B0" w:rsidRPr="00B004EE" w:rsidRDefault="008518B0" w:rsidP="00B004EE">
      <w:pPr>
        <w:jc w:val="center"/>
        <w:rPr>
          <w:rFonts w:ascii="Tahoma" w:hAnsi="Tahoma" w:cs="Tahoma"/>
          <w:b/>
          <w:bCs/>
          <w:sz w:val="20"/>
          <w:szCs w:val="20"/>
        </w:rPr>
      </w:pPr>
    </w:p>
    <w:p w14:paraId="1C2932D5" w14:textId="08EFFD6C" w:rsidR="008518B0" w:rsidRPr="00B004EE" w:rsidRDefault="008518B0" w:rsidP="00B004EE">
      <w:pPr>
        <w:ind w:left="993" w:right="1609"/>
        <w:jc w:val="center"/>
        <w:rPr>
          <w:rFonts w:ascii="Tahoma" w:hAnsi="Tahoma" w:cs="Tahoma"/>
          <w:b/>
          <w:bCs/>
          <w:sz w:val="20"/>
          <w:szCs w:val="20"/>
        </w:rPr>
      </w:pPr>
      <w:r w:rsidRPr="00B004EE">
        <w:rPr>
          <w:rFonts w:ascii="Tahoma" w:hAnsi="Tahoma" w:cs="Tahoma"/>
          <w:b/>
          <w:bCs/>
          <w:sz w:val="20"/>
          <w:szCs w:val="20"/>
        </w:rPr>
        <w:t>Section</w:t>
      </w:r>
      <w:r w:rsidR="00DB1635" w:rsidRPr="00B004EE">
        <w:rPr>
          <w:rFonts w:ascii="Tahoma" w:hAnsi="Tahoma" w:cs="Tahoma"/>
          <w:b/>
          <w:bCs/>
          <w:sz w:val="20"/>
          <w:szCs w:val="20"/>
        </w:rPr>
        <w:t xml:space="preserve"> </w:t>
      </w:r>
      <w:r w:rsidRPr="00B004EE">
        <w:rPr>
          <w:rFonts w:ascii="Tahoma" w:hAnsi="Tahoma" w:cs="Tahoma"/>
          <w:b/>
          <w:bCs/>
          <w:sz w:val="20"/>
          <w:szCs w:val="20"/>
        </w:rPr>
        <w:t>II</w:t>
      </w:r>
      <w:r w:rsidR="00DB1635" w:rsidRPr="00B004EE">
        <w:rPr>
          <w:rFonts w:ascii="Tahoma" w:hAnsi="Tahoma" w:cs="Tahoma"/>
          <w:b/>
          <w:bCs/>
          <w:sz w:val="20"/>
          <w:szCs w:val="20"/>
        </w:rPr>
        <w:t xml:space="preserve"> </w:t>
      </w:r>
      <w:r w:rsidRPr="00B004EE">
        <w:rPr>
          <w:rFonts w:ascii="Tahoma" w:hAnsi="Tahoma" w:cs="Tahoma"/>
          <w:b/>
          <w:bCs/>
          <w:sz w:val="20"/>
          <w:szCs w:val="20"/>
        </w:rPr>
        <w:t>:</w:t>
      </w:r>
      <w:r w:rsidR="00DB1635" w:rsidRPr="00B004EE">
        <w:rPr>
          <w:rFonts w:ascii="Tahoma" w:hAnsi="Tahoma" w:cs="Tahoma"/>
          <w:b/>
          <w:bCs/>
          <w:sz w:val="20"/>
          <w:szCs w:val="20"/>
        </w:rPr>
        <w:t xml:space="preserve"> </w:t>
      </w:r>
      <w:r w:rsidRPr="00B004EE">
        <w:rPr>
          <w:rFonts w:ascii="Tahoma" w:hAnsi="Tahoma" w:cs="Tahoma"/>
          <w:b/>
          <w:bCs/>
          <w:sz w:val="20"/>
          <w:szCs w:val="20"/>
        </w:rPr>
        <w:t>Du</w:t>
      </w:r>
      <w:r w:rsidR="00DB1635" w:rsidRPr="00B004EE">
        <w:rPr>
          <w:rFonts w:ascii="Tahoma" w:hAnsi="Tahoma" w:cs="Tahoma"/>
          <w:b/>
          <w:bCs/>
          <w:sz w:val="20"/>
          <w:szCs w:val="20"/>
        </w:rPr>
        <w:t xml:space="preserve"> </w:t>
      </w:r>
      <w:r w:rsidRPr="00B004EE">
        <w:rPr>
          <w:rFonts w:ascii="Tahoma" w:hAnsi="Tahoma" w:cs="Tahoma"/>
          <w:b/>
          <w:bCs/>
          <w:sz w:val="20"/>
          <w:szCs w:val="20"/>
        </w:rPr>
        <w:t>Conseil</w:t>
      </w:r>
      <w:r w:rsidR="00DB1635" w:rsidRPr="00B004EE">
        <w:rPr>
          <w:rFonts w:ascii="Tahoma" w:hAnsi="Tahoma" w:cs="Tahoma"/>
          <w:b/>
          <w:bCs/>
          <w:sz w:val="20"/>
          <w:szCs w:val="20"/>
        </w:rPr>
        <w:t xml:space="preserve"> </w:t>
      </w:r>
      <w:r w:rsidRPr="00B004EE">
        <w:rPr>
          <w:rFonts w:ascii="Tahoma" w:hAnsi="Tahoma" w:cs="Tahoma"/>
          <w:b/>
          <w:bCs/>
          <w:sz w:val="20"/>
          <w:szCs w:val="20"/>
        </w:rPr>
        <w:t>consultatif</w:t>
      </w:r>
      <w:r w:rsidR="00DB1635" w:rsidRPr="00B004EE">
        <w:rPr>
          <w:rFonts w:ascii="Tahoma" w:hAnsi="Tahoma" w:cs="Tahoma"/>
          <w:b/>
          <w:bCs/>
          <w:sz w:val="20"/>
          <w:szCs w:val="20"/>
        </w:rPr>
        <w:t xml:space="preserve"> </w:t>
      </w:r>
      <w:r w:rsidRPr="00B004EE">
        <w:rPr>
          <w:rFonts w:ascii="Tahoma" w:hAnsi="Tahoma" w:cs="Tahoma"/>
          <w:b/>
          <w:bCs/>
          <w:sz w:val="20"/>
          <w:szCs w:val="20"/>
        </w:rPr>
        <w:t>national</w:t>
      </w:r>
      <w:r w:rsidR="00DB1635" w:rsidRPr="00B004EE">
        <w:rPr>
          <w:rFonts w:ascii="Tahoma" w:hAnsi="Tahoma" w:cs="Tahoma"/>
          <w:b/>
          <w:bCs/>
          <w:sz w:val="20"/>
          <w:szCs w:val="20"/>
        </w:rPr>
        <w:t xml:space="preserve"> </w:t>
      </w:r>
      <w:r w:rsidRPr="00B004EE">
        <w:rPr>
          <w:rFonts w:ascii="Tahoma" w:hAnsi="Tahoma" w:cs="Tahoma"/>
          <w:b/>
          <w:bCs/>
          <w:sz w:val="20"/>
          <w:szCs w:val="20"/>
        </w:rPr>
        <w:t>pour</w:t>
      </w:r>
      <w:r w:rsidR="00DB1635" w:rsidRPr="00B004EE">
        <w:rPr>
          <w:rFonts w:ascii="Tahoma" w:hAnsi="Tahoma" w:cs="Tahoma"/>
          <w:b/>
          <w:bCs/>
          <w:sz w:val="20"/>
          <w:szCs w:val="20"/>
        </w:rPr>
        <w:t xml:space="preserve"> </w:t>
      </w:r>
      <w:r w:rsidRPr="00B004EE">
        <w:rPr>
          <w:rFonts w:ascii="Tahoma" w:hAnsi="Tahoma" w:cs="Tahoma"/>
          <w:b/>
          <w:bCs/>
          <w:sz w:val="20"/>
          <w:szCs w:val="20"/>
        </w:rPr>
        <w:t>l’Aménagement</w:t>
      </w:r>
      <w:r w:rsidR="00DB1635" w:rsidRPr="00B004EE">
        <w:rPr>
          <w:rFonts w:ascii="Tahoma" w:hAnsi="Tahoma" w:cs="Tahoma"/>
          <w:b/>
          <w:bCs/>
          <w:sz w:val="20"/>
          <w:szCs w:val="20"/>
        </w:rPr>
        <w:t xml:space="preserve"> </w:t>
      </w:r>
      <w:r w:rsidRPr="00B004EE">
        <w:rPr>
          <w:rFonts w:ascii="Tahoma" w:hAnsi="Tahoma" w:cs="Tahoma"/>
          <w:b/>
          <w:bCs/>
          <w:sz w:val="20"/>
          <w:szCs w:val="20"/>
        </w:rPr>
        <w:t>et</w:t>
      </w:r>
      <w:r w:rsidR="00DB1635" w:rsidRPr="00B004EE">
        <w:rPr>
          <w:rFonts w:ascii="Tahoma" w:hAnsi="Tahoma" w:cs="Tahoma"/>
          <w:b/>
          <w:bCs/>
          <w:sz w:val="20"/>
          <w:szCs w:val="20"/>
        </w:rPr>
        <w:t xml:space="preserve"> </w:t>
      </w:r>
      <w:r w:rsidRPr="00B004EE">
        <w:rPr>
          <w:rFonts w:ascii="Tahoma" w:hAnsi="Tahoma" w:cs="Tahoma"/>
          <w:b/>
          <w:bCs/>
          <w:sz w:val="20"/>
          <w:szCs w:val="20"/>
        </w:rPr>
        <w:t>le</w:t>
      </w:r>
      <w:r w:rsidR="00DB1635" w:rsidRPr="00B004EE">
        <w:rPr>
          <w:rFonts w:ascii="Tahoma" w:hAnsi="Tahoma" w:cs="Tahoma"/>
          <w:b/>
          <w:bCs/>
          <w:sz w:val="20"/>
          <w:szCs w:val="20"/>
        </w:rPr>
        <w:t xml:space="preserve"> </w:t>
      </w:r>
      <w:r w:rsidRPr="00B004EE">
        <w:rPr>
          <w:rFonts w:ascii="Tahoma" w:hAnsi="Tahoma" w:cs="Tahoma"/>
          <w:b/>
          <w:bCs/>
          <w:sz w:val="20"/>
          <w:szCs w:val="20"/>
        </w:rPr>
        <w:t>Développement</w:t>
      </w:r>
      <w:r w:rsidR="00DB1635" w:rsidRPr="00B004EE">
        <w:rPr>
          <w:rFonts w:ascii="Tahoma" w:hAnsi="Tahoma" w:cs="Tahoma"/>
          <w:b/>
          <w:bCs/>
          <w:sz w:val="20"/>
          <w:szCs w:val="20"/>
        </w:rPr>
        <w:t xml:space="preserve"> </w:t>
      </w:r>
      <w:r w:rsidRPr="00B004EE">
        <w:rPr>
          <w:rFonts w:ascii="Tahoma" w:hAnsi="Tahoma" w:cs="Tahoma"/>
          <w:b/>
          <w:bCs/>
          <w:sz w:val="20"/>
          <w:szCs w:val="20"/>
        </w:rPr>
        <w:t>des</w:t>
      </w:r>
      <w:r w:rsidR="00DB1635" w:rsidRPr="00B004EE">
        <w:rPr>
          <w:rFonts w:ascii="Tahoma" w:hAnsi="Tahoma" w:cs="Tahoma"/>
          <w:b/>
          <w:bCs/>
          <w:sz w:val="20"/>
          <w:szCs w:val="20"/>
        </w:rPr>
        <w:t xml:space="preserve"> </w:t>
      </w:r>
      <w:r w:rsidRPr="00B004EE">
        <w:rPr>
          <w:rFonts w:ascii="Tahoma" w:hAnsi="Tahoma" w:cs="Tahoma"/>
          <w:b/>
          <w:bCs/>
          <w:sz w:val="20"/>
          <w:szCs w:val="20"/>
        </w:rPr>
        <w:t>Pêcheries</w:t>
      </w:r>
    </w:p>
    <w:p w14:paraId="738FD9C9" w14:textId="77777777" w:rsidR="008518B0" w:rsidRPr="00B004EE" w:rsidRDefault="008518B0" w:rsidP="00B004EE">
      <w:pPr>
        <w:jc w:val="center"/>
        <w:rPr>
          <w:rFonts w:ascii="Tahoma" w:hAnsi="Tahoma" w:cs="Tahoma"/>
          <w:b/>
          <w:bCs/>
          <w:sz w:val="20"/>
          <w:szCs w:val="20"/>
        </w:rPr>
      </w:pPr>
    </w:p>
    <w:p w14:paraId="70A2EE00" w14:textId="39978C65" w:rsidR="008518B0" w:rsidRPr="00B004EE" w:rsidRDefault="008518B0" w:rsidP="00B004EE">
      <w:pPr>
        <w:pStyle w:val="article"/>
        <w:numPr>
          <w:ilvl w:val="0"/>
          <w:numId w:val="0"/>
        </w:numPr>
        <w:tabs>
          <w:tab w:val="left" w:pos="1200"/>
        </w:tabs>
        <w:spacing w:before="0" w:line="240" w:lineRule="auto"/>
        <w:rPr>
          <w:rFonts w:ascii="Tahoma" w:hAnsi="Tahoma" w:cs="Tahoma"/>
          <w:sz w:val="20"/>
          <w:szCs w:val="20"/>
          <w:lang w:val="fr-FR"/>
        </w:rPr>
      </w:pPr>
      <w:r w:rsidRPr="00B004EE">
        <w:rPr>
          <w:rFonts w:ascii="Tahoma" w:hAnsi="Tahoma" w:cs="Tahoma"/>
          <w:sz w:val="20"/>
          <w:szCs w:val="20"/>
        </w:rPr>
        <w:t>Article</w:t>
      </w:r>
      <w:r w:rsidR="00DB1635" w:rsidRPr="00B004EE">
        <w:rPr>
          <w:rFonts w:ascii="Tahoma" w:hAnsi="Tahoma" w:cs="Tahoma"/>
          <w:sz w:val="20"/>
          <w:szCs w:val="20"/>
        </w:rPr>
        <w:t xml:space="preserve"> </w:t>
      </w:r>
      <w:r w:rsidRPr="00B004EE">
        <w:rPr>
          <w:rFonts w:ascii="Tahoma" w:hAnsi="Tahoma" w:cs="Tahoma"/>
          <w:sz w:val="20"/>
          <w:szCs w:val="20"/>
        </w:rPr>
        <w:t>7</w:t>
      </w:r>
      <w:r w:rsidR="00DB1635" w:rsidRPr="00B004EE">
        <w:rPr>
          <w:rFonts w:ascii="Tahoma" w:hAnsi="Tahoma" w:cs="Tahoma"/>
          <w:sz w:val="20"/>
          <w:szCs w:val="20"/>
          <w:lang w:val="fr-FR"/>
        </w:rPr>
        <w:t xml:space="preserve"> </w:t>
      </w:r>
      <w:r w:rsidRPr="00B004EE">
        <w:rPr>
          <w:rFonts w:ascii="Tahoma" w:hAnsi="Tahoma" w:cs="Tahoma"/>
          <w:sz w:val="20"/>
          <w:szCs w:val="20"/>
          <w:lang w:val="fr-FR"/>
        </w:rPr>
        <w:t>:</w:t>
      </w:r>
      <w:r w:rsidR="00DB1635" w:rsidRPr="00B004EE">
        <w:rPr>
          <w:rFonts w:ascii="Tahoma" w:hAnsi="Tahoma" w:cs="Tahoma"/>
          <w:sz w:val="20"/>
          <w:szCs w:val="20"/>
          <w:lang w:val="fr-FR"/>
        </w:rPr>
        <w:t xml:space="preserve"> </w:t>
      </w:r>
      <w:r w:rsidRPr="00B004EE">
        <w:rPr>
          <w:rFonts w:ascii="Tahoma" w:hAnsi="Tahoma" w:cs="Tahoma"/>
          <w:sz w:val="20"/>
          <w:szCs w:val="20"/>
          <w:lang w:val="fr-FR"/>
        </w:rPr>
        <w:t>Le</w:t>
      </w:r>
      <w:r w:rsidR="00DB1635" w:rsidRPr="00B004EE">
        <w:rPr>
          <w:rFonts w:ascii="Tahoma" w:hAnsi="Tahoma" w:cs="Tahoma"/>
          <w:sz w:val="20"/>
          <w:szCs w:val="20"/>
          <w:lang w:val="fr-FR"/>
        </w:rPr>
        <w:t xml:space="preserve"> </w:t>
      </w:r>
      <w:r w:rsidRPr="00B004EE">
        <w:rPr>
          <w:rFonts w:ascii="Tahoma" w:hAnsi="Tahoma" w:cs="Tahoma"/>
          <w:sz w:val="20"/>
          <w:szCs w:val="20"/>
          <w:lang w:val="fr-FR"/>
        </w:rPr>
        <w:t>Conseil</w:t>
      </w:r>
      <w:r w:rsidR="00DB1635" w:rsidRPr="00B004EE">
        <w:rPr>
          <w:rFonts w:ascii="Tahoma" w:hAnsi="Tahoma" w:cs="Tahoma"/>
          <w:sz w:val="20"/>
          <w:szCs w:val="20"/>
          <w:lang w:val="fr-FR"/>
        </w:rPr>
        <w:t xml:space="preserve"> </w:t>
      </w:r>
      <w:r w:rsidRPr="00B004EE">
        <w:rPr>
          <w:rFonts w:ascii="Tahoma" w:hAnsi="Tahoma" w:cs="Tahoma"/>
          <w:sz w:val="20"/>
          <w:szCs w:val="20"/>
          <w:lang w:val="fr-FR"/>
        </w:rPr>
        <w:t>consultatif</w:t>
      </w:r>
      <w:r w:rsidR="00DB1635" w:rsidRPr="00B004EE">
        <w:rPr>
          <w:rFonts w:ascii="Tahoma" w:hAnsi="Tahoma" w:cs="Tahoma"/>
          <w:sz w:val="20"/>
          <w:szCs w:val="20"/>
          <w:lang w:val="fr-FR"/>
        </w:rPr>
        <w:t xml:space="preserve"> </w:t>
      </w:r>
      <w:r w:rsidRPr="00B004EE">
        <w:rPr>
          <w:rFonts w:ascii="Tahoma" w:hAnsi="Tahoma" w:cs="Tahoma"/>
          <w:sz w:val="20"/>
          <w:szCs w:val="20"/>
          <w:lang w:val="fr-FR"/>
        </w:rPr>
        <w:t>national</w:t>
      </w:r>
      <w:r w:rsidR="00DB1635" w:rsidRPr="00B004EE">
        <w:rPr>
          <w:rFonts w:ascii="Tahoma" w:hAnsi="Tahoma" w:cs="Tahoma"/>
          <w:sz w:val="20"/>
          <w:szCs w:val="20"/>
          <w:lang w:val="fr-FR"/>
        </w:rPr>
        <w:t xml:space="preserve"> </w:t>
      </w:r>
      <w:r w:rsidRPr="00B004EE">
        <w:rPr>
          <w:rFonts w:ascii="Tahoma" w:hAnsi="Tahoma" w:cs="Tahoma"/>
          <w:sz w:val="20"/>
          <w:szCs w:val="20"/>
          <w:lang w:val="fr-FR"/>
        </w:rPr>
        <w:t>pour</w:t>
      </w:r>
      <w:r w:rsidR="00DB1635" w:rsidRPr="00B004EE">
        <w:rPr>
          <w:rFonts w:ascii="Tahoma" w:hAnsi="Tahoma" w:cs="Tahoma"/>
          <w:sz w:val="20"/>
          <w:szCs w:val="20"/>
          <w:lang w:val="fr-FR"/>
        </w:rPr>
        <w:t xml:space="preserve"> </w:t>
      </w:r>
      <w:r w:rsidRPr="00B004EE">
        <w:rPr>
          <w:rFonts w:ascii="Tahoma" w:hAnsi="Tahoma" w:cs="Tahoma"/>
          <w:sz w:val="20"/>
          <w:szCs w:val="20"/>
          <w:lang w:val="fr-FR"/>
        </w:rPr>
        <w:t>l’Aménagement</w:t>
      </w:r>
      <w:r w:rsidR="00DB1635" w:rsidRPr="00B004EE">
        <w:rPr>
          <w:rFonts w:ascii="Tahoma" w:hAnsi="Tahoma" w:cs="Tahoma"/>
          <w:sz w:val="20"/>
          <w:szCs w:val="20"/>
          <w:lang w:val="fr-FR"/>
        </w:rPr>
        <w:t xml:space="preserve"> </w:t>
      </w:r>
      <w:r w:rsidRPr="00B004EE">
        <w:rPr>
          <w:rFonts w:ascii="Tahoma" w:hAnsi="Tahoma" w:cs="Tahoma"/>
          <w:sz w:val="20"/>
          <w:szCs w:val="20"/>
          <w:lang w:val="fr-FR"/>
        </w:rPr>
        <w:t>et</w:t>
      </w:r>
      <w:r w:rsidR="00DB1635" w:rsidRPr="00B004EE">
        <w:rPr>
          <w:rFonts w:ascii="Tahoma" w:hAnsi="Tahoma" w:cs="Tahoma"/>
          <w:sz w:val="20"/>
          <w:szCs w:val="20"/>
          <w:lang w:val="fr-FR"/>
        </w:rPr>
        <w:t xml:space="preserve"> </w:t>
      </w:r>
      <w:r w:rsidRPr="00B004EE">
        <w:rPr>
          <w:rFonts w:ascii="Tahoma" w:hAnsi="Tahoma" w:cs="Tahoma"/>
          <w:sz w:val="20"/>
          <w:szCs w:val="20"/>
          <w:lang w:val="fr-FR"/>
        </w:rPr>
        <w:t>le</w:t>
      </w:r>
      <w:r w:rsidR="00DB1635" w:rsidRPr="00B004EE">
        <w:rPr>
          <w:rFonts w:ascii="Tahoma" w:hAnsi="Tahoma" w:cs="Tahoma"/>
          <w:sz w:val="20"/>
          <w:szCs w:val="20"/>
          <w:lang w:val="fr-FR"/>
        </w:rPr>
        <w:t xml:space="preserve"> </w:t>
      </w:r>
      <w:r w:rsidRPr="00B004EE">
        <w:rPr>
          <w:rFonts w:ascii="Tahoma" w:hAnsi="Tahoma" w:cs="Tahoma"/>
          <w:sz w:val="20"/>
          <w:szCs w:val="20"/>
          <w:lang w:val="fr-FR"/>
        </w:rPr>
        <w:t>Développement</w:t>
      </w:r>
      <w:r w:rsidR="00DB1635" w:rsidRPr="00B004EE">
        <w:rPr>
          <w:rFonts w:ascii="Tahoma" w:hAnsi="Tahoma" w:cs="Tahoma"/>
          <w:sz w:val="20"/>
          <w:szCs w:val="20"/>
          <w:lang w:val="fr-FR"/>
        </w:rPr>
        <w:t xml:space="preserve"> </w:t>
      </w:r>
      <w:r w:rsidRPr="00B004EE">
        <w:rPr>
          <w:rFonts w:ascii="Tahoma" w:hAnsi="Tahoma" w:cs="Tahoma"/>
          <w:sz w:val="20"/>
          <w:szCs w:val="20"/>
          <w:lang w:val="fr-FR"/>
        </w:rPr>
        <w:t>des</w:t>
      </w:r>
      <w:r w:rsidR="00DB1635" w:rsidRPr="00B004EE">
        <w:rPr>
          <w:rFonts w:ascii="Tahoma" w:hAnsi="Tahoma" w:cs="Tahoma"/>
          <w:sz w:val="20"/>
          <w:szCs w:val="20"/>
          <w:lang w:val="fr-FR"/>
        </w:rPr>
        <w:t xml:space="preserve"> </w:t>
      </w:r>
      <w:r w:rsidRPr="00B004EE">
        <w:rPr>
          <w:rFonts w:ascii="Tahoma" w:hAnsi="Tahoma" w:cs="Tahoma"/>
          <w:sz w:val="20"/>
          <w:szCs w:val="20"/>
          <w:lang w:val="fr-FR"/>
        </w:rPr>
        <w:t>Pêcheries</w:t>
      </w:r>
      <w:r w:rsidR="00DB1635" w:rsidRPr="00B004EE">
        <w:rPr>
          <w:rFonts w:ascii="Tahoma" w:hAnsi="Tahoma" w:cs="Tahoma"/>
          <w:sz w:val="20"/>
          <w:szCs w:val="20"/>
          <w:lang w:val="fr-FR"/>
        </w:rPr>
        <w:t xml:space="preserve"> </w:t>
      </w:r>
      <w:r w:rsidRPr="00B004EE">
        <w:rPr>
          <w:rFonts w:ascii="Tahoma" w:hAnsi="Tahoma" w:cs="Tahoma"/>
          <w:sz w:val="20"/>
          <w:szCs w:val="20"/>
          <w:lang w:val="fr-FR"/>
        </w:rPr>
        <w:t>institué</w:t>
      </w:r>
      <w:r w:rsidR="00DB1635" w:rsidRPr="00B004EE">
        <w:rPr>
          <w:rFonts w:ascii="Tahoma" w:hAnsi="Tahoma" w:cs="Tahoma"/>
          <w:sz w:val="20"/>
          <w:szCs w:val="20"/>
          <w:lang w:val="fr-FR"/>
        </w:rPr>
        <w:t xml:space="preserve"> </w:t>
      </w:r>
      <w:r w:rsidRPr="00B004EE">
        <w:rPr>
          <w:rFonts w:ascii="Tahoma" w:hAnsi="Tahoma" w:cs="Tahoma"/>
          <w:sz w:val="20"/>
          <w:szCs w:val="20"/>
          <w:lang w:val="fr-FR"/>
        </w:rPr>
        <w:t>à</w:t>
      </w:r>
      <w:r w:rsidR="00DB1635" w:rsidRPr="00B004EE">
        <w:rPr>
          <w:rFonts w:ascii="Tahoma" w:hAnsi="Tahoma" w:cs="Tahoma"/>
          <w:sz w:val="20"/>
          <w:szCs w:val="20"/>
          <w:lang w:val="fr-FR"/>
        </w:rPr>
        <w:t xml:space="preserve"> </w:t>
      </w:r>
      <w:r w:rsidRPr="00B004EE">
        <w:rPr>
          <w:rFonts w:ascii="Tahoma" w:hAnsi="Tahoma" w:cs="Tahoma"/>
          <w:sz w:val="20"/>
          <w:szCs w:val="20"/>
          <w:lang w:val="fr-FR"/>
        </w:rPr>
        <w:t>l'article</w:t>
      </w:r>
      <w:r w:rsidR="00DB1635" w:rsidRPr="00B004EE">
        <w:rPr>
          <w:rFonts w:ascii="Tahoma" w:hAnsi="Tahoma" w:cs="Tahoma"/>
          <w:sz w:val="20"/>
          <w:szCs w:val="20"/>
          <w:lang w:val="fr-FR"/>
        </w:rPr>
        <w:t xml:space="preserve"> </w:t>
      </w:r>
      <w:r w:rsidRPr="00B004EE">
        <w:rPr>
          <w:rFonts w:ascii="Tahoma" w:hAnsi="Tahoma" w:cs="Tahoma"/>
          <w:sz w:val="20"/>
          <w:szCs w:val="20"/>
          <w:lang w:val="fr-FR"/>
        </w:rPr>
        <w:t>20</w:t>
      </w:r>
      <w:r w:rsidR="00DB1635" w:rsidRPr="00B004EE">
        <w:rPr>
          <w:rFonts w:ascii="Tahoma" w:hAnsi="Tahoma" w:cs="Tahoma"/>
          <w:sz w:val="20"/>
          <w:szCs w:val="20"/>
          <w:lang w:val="fr-FR"/>
        </w:rPr>
        <w:t xml:space="preserve"> </w:t>
      </w:r>
      <w:r w:rsidRPr="00B004EE">
        <w:rPr>
          <w:rFonts w:ascii="Tahoma" w:hAnsi="Tahoma" w:cs="Tahoma"/>
          <w:sz w:val="20"/>
          <w:szCs w:val="20"/>
          <w:lang w:val="fr-FR"/>
        </w:rPr>
        <w:t>de</w:t>
      </w:r>
      <w:r w:rsidR="00DB1635" w:rsidRPr="00B004EE">
        <w:rPr>
          <w:rFonts w:ascii="Tahoma" w:hAnsi="Tahoma" w:cs="Tahoma"/>
          <w:sz w:val="20"/>
          <w:szCs w:val="20"/>
          <w:lang w:val="fr-FR"/>
        </w:rPr>
        <w:t xml:space="preserve"> </w:t>
      </w:r>
      <w:r w:rsidRPr="00B004EE">
        <w:rPr>
          <w:rFonts w:ascii="Tahoma" w:hAnsi="Tahoma" w:cs="Tahoma"/>
          <w:sz w:val="20"/>
          <w:szCs w:val="20"/>
          <w:lang w:val="fr-FR"/>
        </w:rPr>
        <w:t>la</w:t>
      </w:r>
      <w:r w:rsidR="00DB1635" w:rsidRPr="00B004EE">
        <w:rPr>
          <w:rFonts w:ascii="Tahoma" w:hAnsi="Tahoma" w:cs="Tahoma"/>
          <w:sz w:val="20"/>
          <w:szCs w:val="20"/>
          <w:lang w:val="fr-FR"/>
        </w:rPr>
        <w:t xml:space="preserve"> </w:t>
      </w:r>
      <w:r w:rsidRPr="00B004EE">
        <w:rPr>
          <w:rFonts w:ascii="Tahoma" w:hAnsi="Tahoma" w:cs="Tahoma"/>
          <w:sz w:val="20"/>
          <w:szCs w:val="20"/>
          <w:lang w:val="fr-FR"/>
        </w:rPr>
        <w:t>loi</w:t>
      </w:r>
      <w:r w:rsidR="00DB1635" w:rsidRPr="00B004EE">
        <w:rPr>
          <w:rFonts w:ascii="Tahoma" w:hAnsi="Tahoma" w:cs="Tahoma"/>
          <w:sz w:val="20"/>
          <w:szCs w:val="20"/>
          <w:lang w:val="fr-FR"/>
        </w:rPr>
        <w:t xml:space="preserve"> </w:t>
      </w:r>
      <w:r w:rsidRPr="00B004EE">
        <w:rPr>
          <w:rFonts w:ascii="Tahoma" w:hAnsi="Tahoma" w:cs="Tahoma"/>
          <w:sz w:val="20"/>
          <w:szCs w:val="20"/>
          <w:lang w:val="fr-FR"/>
        </w:rPr>
        <w:t>n°</w:t>
      </w:r>
      <w:r w:rsidR="00DB1635" w:rsidRPr="00B004EE">
        <w:rPr>
          <w:rFonts w:ascii="Tahoma" w:hAnsi="Tahoma" w:cs="Tahoma"/>
          <w:sz w:val="20"/>
          <w:szCs w:val="20"/>
          <w:lang w:val="fr-FR"/>
        </w:rPr>
        <w:t xml:space="preserve"> </w:t>
      </w:r>
      <w:r w:rsidRPr="00B004EE">
        <w:rPr>
          <w:rFonts w:ascii="Tahoma" w:hAnsi="Tahoma" w:cs="Tahoma"/>
          <w:sz w:val="20"/>
          <w:szCs w:val="20"/>
          <w:lang w:val="fr-FR"/>
        </w:rPr>
        <w:t>017</w:t>
      </w:r>
      <w:r w:rsidR="00DB1635" w:rsidRPr="00B004EE">
        <w:rPr>
          <w:rFonts w:ascii="Tahoma" w:hAnsi="Tahoma" w:cs="Tahoma"/>
          <w:sz w:val="20"/>
          <w:szCs w:val="20"/>
          <w:lang w:val="fr-FR"/>
        </w:rPr>
        <w:t xml:space="preserve"> </w:t>
      </w:r>
      <w:r w:rsidRPr="00B004EE">
        <w:rPr>
          <w:rFonts w:ascii="Tahoma" w:hAnsi="Tahoma" w:cs="Tahoma"/>
          <w:sz w:val="20"/>
          <w:szCs w:val="20"/>
          <w:lang w:val="fr-FR"/>
        </w:rPr>
        <w:t>du</w:t>
      </w:r>
      <w:r w:rsidR="00DB1635" w:rsidRPr="00B004EE">
        <w:rPr>
          <w:rFonts w:ascii="Tahoma" w:hAnsi="Tahoma" w:cs="Tahoma"/>
          <w:sz w:val="20"/>
          <w:szCs w:val="20"/>
          <w:lang w:val="fr-FR"/>
        </w:rPr>
        <w:t xml:space="preserve"> </w:t>
      </w:r>
      <w:r w:rsidRPr="00B004EE">
        <w:rPr>
          <w:rFonts w:ascii="Tahoma" w:hAnsi="Tahoma" w:cs="Tahoma"/>
          <w:sz w:val="20"/>
          <w:szCs w:val="20"/>
          <w:lang w:val="fr-FR"/>
        </w:rPr>
        <w:t>29</w:t>
      </w:r>
      <w:r w:rsidR="00DB1635" w:rsidRPr="00B004EE">
        <w:rPr>
          <w:rFonts w:ascii="Tahoma" w:hAnsi="Tahoma" w:cs="Tahoma"/>
          <w:sz w:val="20"/>
          <w:szCs w:val="20"/>
          <w:lang w:val="fr-FR"/>
        </w:rPr>
        <w:t xml:space="preserve"> </w:t>
      </w:r>
      <w:r w:rsidRPr="00B004EE">
        <w:rPr>
          <w:rFonts w:ascii="Tahoma" w:hAnsi="Tahoma" w:cs="Tahoma"/>
          <w:sz w:val="20"/>
          <w:szCs w:val="20"/>
          <w:lang w:val="fr-FR"/>
        </w:rPr>
        <w:t>juillet</w:t>
      </w:r>
      <w:r w:rsidR="00DB1635" w:rsidRPr="00B004EE">
        <w:rPr>
          <w:rFonts w:ascii="Tahoma" w:hAnsi="Tahoma" w:cs="Tahoma"/>
          <w:sz w:val="20"/>
          <w:szCs w:val="20"/>
          <w:lang w:val="fr-FR"/>
        </w:rPr>
        <w:t xml:space="preserve"> </w:t>
      </w:r>
      <w:r w:rsidRPr="00B004EE">
        <w:rPr>
          <w:rFonts w:ascii="Tahoma" w:hAnsi="Tahoma" w:cs="Tahoma"/>
          <w:sz w:val="20"/>
          <w:szCs w:val="20"/>
          <w:lang w:val="fr-FR"/>
        </w:rPr>
        <w:t>2015</w:t>
      </w:r>
      <w:r w:rsidR="00DB1635" w:rsidRPr="00B004EE">
        <w:rPr>
          <w:rFonts w:ascii="Tahoma" w:hAnsi="Tahoma" w:cs="Tahoma"/>
          <w:sz w:val="20"/>
          <w:szCs w:val="20"/>
          <w:lang w:val="fr-FR"/>
        </w:rPr>
        <w:t xml:space="preserve"> </w:t>
      </w:r>
      <w:r w:rsidRPr="00B004EE">
        <w:rPr>
          <w:rFonts w:ascii="Tahoma" w:hAnsi="Tahoma" w:cs="Tahoma"/>
          <w:sz w:val="20"/>
          <w:szCs w:val="20"/>
          <w:lang w:val="fr-FR"/>
        </w:rPr>
        <w:t>portant</w:t>
      </w:r>
      <w:r w:rsidR="00DB1635" w:rsidRPr="00B004EE">
        <w:rPr>
          <w:rFonts w:ascii="Tahoma" w:hAnsi="Tahoma" w:cs="Tahoma"/>
          <w:sz w:val="20"/>
          <w:szCs w:val="20"/>
          <w:lang w:val="fr-FR"/>
        </w:rPr>
        <w:t xml:space="preserve"> </w:t>
      </w:r>
      <w:r w:rsidRPr="00B004EE">
        <w:rPr>
          <w:rFonts w:ascii="Tahoma" w:hAnsi="Tahoma" w:cs="Tahoma"/>
          <w:sz w:val="20"/>
          <w:szCs w:val="20"/>
          <w:lang w:val="fr-FR"/>
        </w:rPr>
        <w:t>Code</w:t>
      </w:r>
      <w:r w:rsidR="00DB1635" w:rsidRPr="00B004EE">
        <w:rPr>
          <w:rFonts w:ascii="Tahoma" w:hAnsi="Tahoma" w:cs="Tahoma"/>
          <w:sz w:val="20"/>
          <w:szCs w:val="20"/>
          <w:lang w:val="fr-FR"/>
        </w:rPr>
        <w:t xml:space="preserve"> </w:t>
      </w:r>
      <w:r w:rsidRPr="00B004EE">
        <w:rPr>
          <w:rFonts w:ascii="Tahoma" w:hAnsi="Tahoma" w:cs="Tahoma"/>
          <w:sz w:val="20"/>
          <w:szCs w:val="20"/>
          <w:lang w:val="fr-FR"/>
        </w:rPr>
        <w:t>des</w:t>
      </w:r>
      <w:r w:rsidR="00DB1635" w:rsidRPr="00B004EE">
        <w:rPr>
          <w:rFonts w:ascii="Tahoma" w:hAnsi="Tahoma" w:cs="Tahoma"/>
          <w:sz w:val="20"/>
          <w:szCs w:val="20"/>
          <w:lang w:val="fr-FR"/>
        </w:rPr>
        <w:t xml:space="preserve"> </w:t>
      </w:r>
      <w:r w:rsidRPr="00B004EE">
        <w:rPr>
          <w:rFonts w:ascii="Tahoma" w:hAnsi="Tahoma" w:cs="Tahoma"/>
          <w:sz w:val="20"/>
          <w:szCs w:val="20"/>
          <w:lang w:val="fr-FR"/>
        </w:rPr>
        <w:t>Pêches</w:t>
      </w:r>
      <w:r w:rsidR="00DB1635" w:rsidRPr="00B004EE">
        <w:rPr>
          <w:rFonts w:ascii="Tahoma" w:hAnsi="Tahoma" w:cs="Tahoma"/>
          <w:sz w:val="20"/>
          <w:szCs w:val="20"/>
          <w:lang w:val="fr-FR"/>
        </w:rPr>
        <w:t xml:space="preserve"> </w:t>
      </w:r>
      <w:r w:rsidRPr="00B004EE">
        <w:rPr>
          <w:rFonts w:ascii="Tahoma" w:hAnsi="Tahoma" w:cs="Tahoma"/>
          <w:sz w:val="20"/>
          <w:szCs w:val="20"/>
          <w:lang w:val="fr-FR"/>
        </w:rPr>
        <w:t>est</w:t>
      </w:r>
      <w:r w:rsidR="00DB1635" w:rsidRPr="00B004EE">
        <w:rPr>
          <w:rFonts w:ascii="Tahoma" w:hAnsi="Tahoma" w:cs="Tahoma"/>
          <w:sz w:val="20"/>
          <w:szCs w:val="20"/>
          <w:lang w:val="fr-FR"/>
        </w:rPr>
        <w:t xml:space="preserve"> </w:t>
      </w:r>
      <w:r w:rsidRPr="00B004EE">
        <w:rPr>
          <w:rFonts w:ascii="Tahoma" w:hAnsi="Tahoma" w:cs="Tahoma"/>
          <w:sz w:val="20"/>
          <w:szCs w:val="20"/>
          <w:lang w:val="fr-FR"/>
        </w:rPr>
        <w:t>présidé</w:t>
      </w:r>
      <w:r w:rsidR="00DB1635" w:rsidRPr="00B004EE">
        <w:rPr>
          <w:rFonts w:ascii="Tahoma" w:hAnsi="Tahoma" w:cs="Tahoma"/>
          <w:sz w:val="20"/>
          <w:szCs w:val="20"/>
          <w:lang w:val="fr-FR"/>
        </w:rPr>
        <w:t xml:space="preserve"> </w:t>
      </w:r>
      <w:r w:rsidRPr="00B004EE">
        <w:rPr>
          <w:rFonts w:ascii="Tahoma" w:hAnsi="Tahoma" w:cs="Tahoma"/>
          <w:sz w:val="20"/>
          <w:szCs w:val="20"/>
          <w:lang w:val="fr-FR"/>
        </w:rPr>
        <w:t>par</w:t>
      </w:r>
      <w:r w:rsidR="00DB1635" w:rsidRPr="00B004EE">
        <w:rPr>
          <w:rFonts w:ascii="Tahoma" w:hAnsi="Tahoma" w:cs="Tahoma"/>
          <w:sz w:val="20"/>
          <w:szCs w:val="20"/>
          <w:lang w:val="fr-FR"/>
        </w:rPr>
        <w:t xml:space="preserve"> </w:t>
      </w:r>
      <w:r w:rsidRPr="00B004EE">
        <w:rPr>
          <w:rFonts w:ascii="Tahoma" w:hAnsi="Tahoma" w:cs="Tahoma"/>
          <w:sz w:val="20"/>
          <w:szCs w:val="20"/>
          <w:lang w:val="fr-FR"/>
        </w:rPr>
        <w:t>le</w:t>
      </w:r>
      <w:r w:rsidR="00DB1635" w:rsidRPr="00B004EE">
        <w:rPr>
          <w:rFonts w:ascii="Tahoma" w:hAnsi="Tahoma" w:cs="Tahoma"/>
          <w:sz w:val="20"/>
          <w:szCs w:val="20"/>
          <w:lang w:val="fr-FR"/>
        </w:rPr>
        <w:t xml:space="preserve"> </w:t>
      </w:r>
      <w:r w:rsidRPr="00B004EE">
        <w:rPr>
          <w:rFonts w:ascii="Tahoma" w:hAnsi="Tahoma" w:cs="Tahoma"/>
          <w:sz w:val="20"/>
          <w:szCs w:val="20"/>
          <w:lang w:val="fr-FR"/>
        </w:rPr>
        <w:t>ministre</w:t>
      </w:r>
      <w:r w:rsidR="00DB1635" w:rsidRPr="00B004EE">
        <w:rPr>
          <w:rFonts w:ascii="Tahoma" w:hAnsi="Tahoma" w:cs="Tahoma"/>
          <w:sz w:val="20"/>
          <w:szCs w:val="20"/>
          <w:lang w:val="fr-FR"/>
        </w:rPr>
        <w:t xml:space="preserve"> </w:t>
      </w:r>
      <w:r w:rsidRPr="00B004EE">
        <w:rPr>
          <w:rFonts w:ascii="Tahoma" w:hAnsi="Tahoma" w:cs="Tahoma"/>
          <w:sz w:val="20"/>
          <w:szCs w:val="20"/>
          <w:lang w:val="fr-FR"/>
        </w:rPr>
        <w:t>chargé</w:t>
      </w:r>
      <w:r w:rsidR="00DB1635" w:rsidRPr="00B004EE">
        <w:rPr>
          <w:rFonts w:ascii="Tahoma" w:hAnsi="Tahoma" w:cs="Tahoma"/>
          <w:sz w:val="20"/>
          <w:szCs w:val="20"/>
          <w:lang w:val="fr-FR"/>
        </w:rPr>
        <w:t xml:space="preserve"> </w:t>
      </w:r>
      <w:r w:rsidRPr="00B004EE">
        <w:rPr>
          <w:rFonts w:ascii="Tahoma" w:hAnsi="Tahoma" w:cs="Tahoma"/>
          <w:sz w:val="20"/>
          <w:szCs w:val="20"/>
          <w:lang w:val="fr-FR"/>
        </w:rPr>
        <w:t>des</w:t>
      </w:r>
      <w:r w:rsidR="00DB1635" w:rsidRPr="00B004EE">
        <w:rPr>
          <w:rFonts w:ascii="Tahoma" w:hAnsi="Tahoma" w:cs="Tahoma"/>
          <w:sz w:val="20"/>
          <w:szCs w:val="20"/>
          <w:lang w:val="fr-FR"/>
        </w:rPr>
        <w:t xml:space="preserve"> </w:t>
      </w:r>
      <w:r w:rsidRPr="00B004EE">
        <w:rPr>
          <w:rFonts w:ascii="Tahoma" w:hAnsi="Tahoma" w:cs="Tahoma"/>
          <w:sz w:val="20"/>
          <w:szCs w:val="20"/>
          <w:lang w:val="fr-FR"/>
        </w:rPr>
        <w:t>pêches</w:t>
      </w:r>
      <w:r w:rsidR="00DB1635" w:rsidRPr="00B004EE">
        <w:rPr>
          <w:rFonts w:ascii="Tahoma" w:hAnsi="Tahoma" w:cs="Tahoma"/>
          <w:sz w:val="20"/>
          <w:szCs w:val="20"/>
          <w:lang w:val="fr-FR"/>
        </w:rPr>
        <w:t xml:space="preserve"> </w:t>
      </w:r>
      <w:r w:rsidRPr="00B004EE">
        <w:rPr>
          <w:rFonts w:ascii="Tahoma" w:hAnsi="Tahoma" w:cs="Tahoma"/>
          <w:sz w:val="20"/>
          <w:szCs w:val="20"/>
          <w:lang w:val="fr-FR"/>
        </w:rPr>
        <w:t>ou</w:t>
      </w:r>
      <w:r w:rsidR="00DB1635" w:rsidRPr="00B004EE">
        <w:rPr>
          <w:rFonts w:ascii="Tahoma" w:hAnsi="Tahoma" w:cs="Tahoma"/>
          <w:sz w:val="20"/>
          <w:szCs w:val="20"/>
          <w:lang w:val="fr-FR"/>
        </w:rPr>
        <w:t xml:space="preserve"> </w:t>
      </w:r>
      <w:r w:rsidRPr="00B004EE">
        <w:rPr>
          <w:rFonts w:ascii="Tahoma" w:hAnsi="Tahoma" w:cs="Tahoma"/>
          <w:sz w:val="20"/>
          <w:szCs w:val="20"/>
          <w:lang w:val="fr-FR"/>
        </w:rPr>
        <w:t>son</w:t>
      </w:r>
      <w:r w:rsidR="00DB1635" w:rsidRPr="00B004EE">
        <w:rPr>
          <w:rFonts w:ascii="Tahoma" w:hAnsi="Tahoma" w:cs="Tahoma"/>
          <w:sz w:val="20"/>
          <w:szCs w:val="20"/>
          <w:lang w:val="fr-FR"/>
        </w:rPr>
        <w:t xml:space="preserve"> </w:t>
      </w:r>
      <w:r w:rsidRPr="00B004EE">
        <w:rPr>
          <w:rFonts w:ascii="Tahoma" w:hAnsi="Tahoma" w:cs="Tahoma"/>
          <w:sz w:val="20"/>
          <w:szCs w:val="20"/>
          <w:lang w:val="fr-FR"/>
        </w:rPr>
        <w:t>représentant</w:t>
      </w:r>
      <w:r w:rsidR="00DB1635" w:rsidRPr="00B004EE">
        <w:rPr>
          <w:rFonts w:ascii="Tahoma" w:hAnsi="Tahoma" w:cs="Tahoma"/>
          <w:sz w:val="20"/>
          <w:szCs w:val="20"/>
          <w:lang w:val="fr-FR"/>
        </w:rPr>
        <w:t xml:space="preserve"> </w:t>
      </w:r>
      <w:r w:rsidRPr="00B004EE">
        <w:rPr>
          <w:rFonts w:ascii="Tahoma" w:hAnsi="Tahoma" w:cs="Tahoma"/>
          <w:sz w:val="20"/>
          <w:szCs w:val="20"/>
          <w:lang w:val="fr-FR"/>
        </w:rPr>
        <w:t>du</w:t>
      </w:r>
      <w:r w:rsidR="00DB1635" w:rsidRPr="00B004EE">
        <w:rPr>
          <w:rFonts w:ascii="Tahoma" w:hAnsi="Tahoma" w:cs="Tahoma"/>
          <w:sz w:val="20"/>
          <w:szCs w:val="20"/>
          <w:lang w:val="fr-FR"/>
        </w:rPr>
        <w:t xml:space="preserve"> </w:t>
      </w:r>
      <w:r w:rsidRPr="00B004EE">
        <w:rPr>
          <w:rFonts w:ascii="Tahoma" w:hAnsi="Tahoma" w:cs="Tahoma"/>
          <w:sz w:val="20"/>
          <w:szCs w:val="20"/>
          <w:lang w:val="fr-FR"/>
        </w:rPr>
        <w:t>et</w:t>
      </w:r>
      <w:r w:rsidR="00DB1635" w:rsidRPr="00B004EE">
        <w:rPr>
          <w:rFonts w:ascii="Tahoma" w:hAnsi="Tahoma" w:cs="Tahoma"/>
          <w:sz w:val="20"/>
          <w:szCs w:val="20"/>
          <w:lang w:val="fr-FR"/>
        </w:rPr>
        <w:t xml:space="preserve"> </w:t>
      </w:r>
      <w:r w:rsidRPr="00B004EE">
        <w:rPr>
          <w:rFonts w:ascii="Tahoma" w:hAnsi="Tahoma" w:cs="Tahoma"/>
          <w:sz w:val="20"/>
          <w:szCs w:val="20"/>
          <w:lang w:val="fr-FR"/>
        </w:rPr>
        <w:t>comprend</w:t>
      </w:r>
      <w:r w:rsidR="00DB1635" w:rsidRPr="00B004EE">
        <w:rPr>
          <w:rFonts w:ascii="Tahoma" w:hAnsi="Tahoma" w:cs="Tahoma"/>
          <w:sz w:val="20"/>
          <w:szCs w:val="20"/>
          <w:lang w:val="fr-FR"/>
        </w:rPr>
        <w:t xml:space="preserve"> </w:t>
      </w:r>
      <w:r w:rsidRPr="00B004EE">
        <w:rPr>
          <w:rFonts w:ascii="Tahoma" w:hAnsi="Tahoma" w:cs="Tahoma"/>
          <w:sz w:val="20"/>
          <w:szCs w:val="20"/>
          <w:lang w:val="fr-FR"/>
        </w:rPr>
        <w:t>seize</w:t>
      </w:r>
      <w:r w:rsidR="00DB1635" w:rsidRPr="00B004EE">
        <w:rPr>
          <w:rFonts w:ascii="Tahoma" w:hAnsi="Tahoma" w:cs="Tahoma"/>
          <w:sz w:val="20"/>
          <w:szCs w:val="20"/>
          <w:lang w:val="fr-FR"/>
        </w:rPr>
        <w:t xml:space="preserve"> </w:t>
      </w:r>
      <w:r w:rsidRPr="00B004EE">
        <w:rPr>
          <w:rFonts w:ascii="Tahoma" w:hAnsi="Tahoma" w:cs="Tahoma"/>
          <w:sz w:val="20"/>
          <w:szCs w:val="20"/>
          <w:lang w:val="fr-FR"/>
        </w:rPr>
        <w:t>(16)</w:t>
      </w:r>
      <w:r w:rsidR="00DB1635" w:rsidRPr="00B004EE">
        <w:rPr>
          <w:rFonts w:ascii="Tahoma" w:hAnsi="Tahoma" w:cs="Tahoma"/>
          <w:sz w:val="20"/>
          <w:szCs w:val="20"/>
          <w:lang w:val="fr-FR"/>
        </w:rPr>
        <w:t xml:space="preserve"> </w:t>
      </w:r>
      <w:r w:rsidRPr="00B004EE">
        <w:rPr>
          <w:rFonts w:ascii="Tahoma" w:hAnsi="Tahoma" w:cs="Tahoma"/>
          <w:sz w:val="20"/>
          <w:szCs w:val="20"/>
          <w:lang w:val="fr-FR"/>
        </w:rPr>
        <w:t>membres</w:t>
      </w:r>
      <w:r w:rsidR="00DB1635" w:rsidRPr="00B004EE">
        <w:rPr>
          <w:rFonts w:ascii="Tahoma" w:hAnsi="Tahoma" w:cs="Tahoma"/>
          <w:sz w:val="20"/>
          <w:szCs w:val="20"/>
          <w:lang w:val="fr-FR"/>
        </w:rPr>
        <w:t xml:space="preserve"> </w:t>
      </w:r>
      <w:r w:rsidRPr="00B004EE">
        <w:rPr>
          <w:rFonts w:ascii="Tahoma" w:hAnsi="Tahoma" w:cs="Tahoma"/>
          <w:sz w:val="20"/>
          <w:szCs w:val="20"/>
          <w:lang w:val="fr-FR"/>
        </w:rPr>
        <w:t>dont</w:t>
      </w:r>
      <w:r w:rsidR="00DB1635" w:rsidRPr="00B004EE">
        <w:rPr>
          <w:rFonts w:ascii="Tahoma" w:hAnsi="Tahoma" w:cs="Tahoma"/>
          <w:sz w:val="20"/>
          <w:szCs w:val="20"/>
          <w:lang w:val="fr-FR"/>
        </w:rPr>
        <w:t xml:space="preserve"> </w:t>
      </w:r>
      <w:r w:rsidRPr="00B004EE">
        <w:rPr>
          <w:rFonts w:ascii="Tahoma" w:hAnsi="Tahoma" w:cs="Tahoma"/>
          <w:sz w:val="20"/>
          <w:szCs w:val="20"/>
          <w:lang w:val="fr-FR"/>
        </w:rPr>
        <w:t>six</w:t>
      </w:r>
      <w:r w:rsidR="00DB1635" w:rsidRPr="00B004EE">
        <w:rPr>
          <w:rFonts w:ascii="Tahoma" w:hAnsi="Tahoma" w:cs="Tahoma"/>
          <w:sz w:val="20"/>
          <w:szCs w:val="20"/>
          <w:lang w:val="fr-FR"/>
        </w:rPr>
        <w:t xml:space="preserve"> </w:t>
      </w:r>
      <w:r w:rsidRPr="00B004EE">
        <w:rPr>
          <w:rFonts w:ascii="Tahoma" w:hAnsi="Tahoma" w:cs="Tahoma"/>
          <w:sz w:val="20"/>
          <w:szCs w:val="20"/>
          <w:lang w:val="fr-FR"/>
        </w:rPr>
        <w:t>(6)</w:t>
      </w:r>
      <w:r w:rsidR="00DB1635" w:rsidRPr="00B004EE">
        <w:rPr>
          <w:rFonts w:ascii="Tahoma" w:hAnsi="Tahoma" w:cs="Tahoma"/>
          <w:sz w:val="20"/>
          <w:szCs w:val="20"/>
          <w:lang w:val="fr-FR"/>
        </w:rPr>
        <w:t xml:space="preserve"> </w:t>
      </w:r>
      <w:r w:rsidRPr="00B004EE">
        <w:rPr>
          <w:rFonts w:ascii="Tahoma" w:hAnsi="Tahoma" w:cs="Tahoma"/>
          <w:sz w:val="20"/>
          <w:szCs w:val="20"/>
          <w:lang w:val="fr-FR"/>
        </w:rPr>
        <w:t>représentants</w:t>
      </w:r>
      <w:r w:rsidR="00DB1635" w:rsidRPr="00B004EE">
        <w:rPr>
          <w:rFonts w:ascii="Tahoma" w:hAnsi="Tahoma" w:cs="Tahoma"/>
          <w:sz w:val="20"/>
          <w:szCs w:val="20"/>
          <w:lang w:val="fr-FR"/>
        </w:rPr>
        <w:t xml:space="preserve"> </w:t>
      </w:r>
      <w:r w:rsidRPr="00B004EE">
        <w:rPr>
          <w:rFonts w:ascii="Tahoma" w:hAnsi="Tahoma" w:cs="Tahoma"/>
          <w:sz w:val="20"/>
          <w:szCs w:val="20"/>
          <w:lang w:val="fr-FR"/>
        </w:rPr>
        <w:t>des</w:t>
      </w:r>
      <w:r w:rsidR="00DB1635" w:rsidRPr="00B004EE">
        <w:rPr>
          <w:rFonts w:ascii="Tahoma" w:hAnsi="Tahoma" w:cs="Tahoma"/>
          <w:sz w:val="20"/>
          <w:szCs w:val="20"/>
          <w:lang w:val="fr-FR"/>
        </w:rPr>
        <w:t xml:space="preserve"> </w:t>
      </w:r>
      <w:r w:rsidRPr="00B004EE">
        <w:rPr>
          <w:rFonts w:ascii="Tahoma" w:hAnsi="Tahoma" w:cs="Tahoma"/>
          <w:sz w:val="20"/>
          <w:szCs w:val="20"/>
          <w:lang w:val="fr-FR"/>
        </w:rPr>
        <w:t>Administrations</w:t>
      </w:r>
      <w:r w:rsidR="00DB1635" w:rsidRPr="00B004EE">
        <w:rPr>
          <w:rFonts w:ascii="Tahoma" w:hAnsi="Tahoma" w:cs="Tahoma"/>
          <w:sz w:val="20"/>
          <w:szCs w:val="20"/>
          <w:lang w:val="fr-FR"/>
        </w:rPr>
        <w:t xml:space="preserve"> </w:t>
      </w:r>
      <w:r w:rsidRPr="00B004EE">
        <w:rPr>
          <w:rFonts w:ascii="Tahoma" w:hAnsi="Tahoma" w:cs="Tahoma"/>
          <w:sz w:val="20"/>
          <w:szCs w:val="20"/>
          <w:lang w:val="fr-FR"/>
        </w:rPr>
        <w:t>concernées,</w:t>
      </w:r>
      <w:r w:rsidR="00DB1635" w:rsidRPr="00B004EE">
        <w:rPr>
          <w:rFonts w:ascii="Tahoma" w:hAnsi="Tahoma" w:cs="Tahoma"/>
          <w:sz w:val="20"/>
          <w:szCs w:val="20"/>
          <w:lang w:val="fr-FR"/>
        </w:rPr>
        <w:t xml:space="preserve"> </w:t>
      </w:r>
      <w:r w:rsidRPr="00B004EE">
        <w:rPr>
          <w:rFonts w:ascii="Tahoma" w:hAnsi="Tahoma" w:cs="Tahoma"/>
          <w:sz w:val="20"/>
          <w:szCs w:val="20"/>
          <w:lang w:val="fr-FR"/>
        </w:rPr>
        <w:t>six</w:t>
      </w:r>
      <w:r w:rsidR="00DB1635" w:rsidRPr="00B004EE">
        <w:rPr>
          <w:rFonts w:ascii="Tahoma" w:hAnsi="Tahoma" w:cs="Tahoma"/>
          <w:sz w:val="20"/>
          <w:szCs w:val="20"/>
          <w:lang w:val="fr-FR"/>
        </w:rPr>
        <w:t xml:space="preserve"> </w:t>
      </w:r>
      <w:r w:rsidRPr="00B004EE">
        <w:rPr>
          <w:rFonts w:ascii="Tahoma" w:hAnsi="Tahoma" w:cs="Tahoma"/>
          <w:sz w:val="20"/>
          <w:szCs w:val="20"/>
          <w:lang w:val="fr-FR"/>
        </w:rPr>
        <w:t>(6)</w:t>
      </w:r>
      <w:r w:rsidR="00DB1635" w:rsidRPr="00B004EE">
        <w:rPr>
          <w:rFonts w:ascii="Tahoma" w:hAnsi="Tahoma" w:cs="Tahoma"/>
          <w:sz w:val="20"/>
          <w:szCs w:val="20"/>
          <w:lang w:val="fr-FR"/>
        </w:rPr>
        <w:t xml:space="preserve"> </w:t>
      </w:r>
      <w:r w:rsidRPr="00B004EE">
        <w:rPr>
          <w:rFonts w:ascii="Tahoma" w:hAnsi="Tahoma" w:cs="Tahoma"/>
          <w:sz w:val="20"/>
          <w:szCs w:val="20"/>
          <w:lang w:val="fr-FR"/>
        </w:rPr>
        <w:t>représentants</w:t>
      </w:r>
      <w:r w:rsidR="00DB1635" w:rsidRPr="00B004EE">
        <w:rPr>
          <w:rFonts w:ascii="Tahoma" w:hAnsi="Tahoma" w:cs="Tahoma"/>
          <w:sz w:val="20"/>
          <w:szCs w:val="20"/>
          <w:lang w:val="fr-FR"/>
        </w:rPr>
        <w:t xml:space="preserve"> </w:t>
      </w:r>
      <w:r w:rsidRPr="00B004EE">
        <w:rPr>
          <w:rFonts w:ascii="Tahoma" w:hAnsi="Tahoma" w:cs="Tahoma"/>
          <w:sz w:val="20"/>
          <w:szCs w:val="20"/>
          <w:lang w:val="fr-FR"/>
        </w:rPr>
        <w:t>des</w:t>
      </w:r>
      <w:r w:rsidR="00DB1635" w:rsidRPr="00B004EE">
        <w:rPr>
          <w:rFonts w:ascii="Tahoma" w:hAnsi="Tahoma" w:cs="Tahoma"/>
          <w:sz w:val="20"/>
          <w:szCs w:val="20"/>
          <w:lang w:val="fr-FR"/>
        </w:rPr>
        <w:t xml:space="preserve"> </w:t>
      </w:r>
      <w:r w:rsidRPr="00B004EE">
        <w:rPr>
          <w:rFonts w:ascii="Tahoma" w:hAnsi="Tahoma" w:cs="Tahoma"/>
          <w:sz w:val="20"/>
          <w:szCs w:val="20"/>
          <w:lang w:val="fr-FR"/>
        </w:rPr>
        <w:t>organisations</w:t>
      </w:r>
      <w:r w:rsidR="00DB1635" w:rsidRPr="00B004EE">
        <w:rPr>
          <w:rFonts w:ascii="Tahoma" w:hAnsi="Tahoma" w:cs="Tahoma"/>
          <w:sz w:val="20"/>
          <w:szCs w:val="20"/>
          <w:lang w:val="fr-FR"/>
        </w:rPr>
        <w:t xml:space="preserve"> </w:t>
      </w:r>
      <w:r w:rsidRPr="00B004EE">
        <w:rPr>
          <w:rFonts w:ascii="Tahoma" w:hAnsi="Tahoma" w:cs="Tahoma"/>
          <w:sz w:val="20"/>
          <w:szCs w:val="20"/>
          <w:lang w:val="fr-FR"/>
        </w:rPr>
        <w:t>socio-professionnelles</w:t>
      </w:r>
      <w:r w:rsidR="00DB1635" w:rsidRPr="00B004EE">
        <w:rPr>
          <w:rFonts w:ascii="Tahoma" w:hAnsi="Tahoma" w:cs="Tahoma"/>
          <w:sz w:val="20"/>
          <w:szCs w:val="20"/>
          <w:lang w:val="fr-FR"/>
        </w:rPr>
        <w:t xml:space="preserve"> </w:t>
      </w:r>
      <w:r w:rsidRPr="00B004EE">
        <w:rPr>
          <w:rFonts w:ascii="Tahoma" w:hAnsi="Tahoma" w:cs="Tahoma"/>
          <w:sz w:val="20"/>
          <w:szCs w:val="20"/>
          <w:lang w:val="fr-FR"/>
        </w:rPr>
        <w:t>spécialisées,</w:t>
      </w:r>
      <w:r w:rsidR="00DB1635" w:rsidRPr="00B004EE">
        <w:rPr>
          <w:rFonts w:ascii="Tahoma" w:hAnsi="Tahoma" w:cs="Tahoma"/>
          <w:sz w:val="20"/>
          <w:szCs w:val="20"/>
          <w:lang w:val="fr-FR"/>
        </w:rPr>
        <w:t xml:space="preserve"> </w:t>
      </w:r>
      <w:r w:rsidRPr="00B004EE">
        <w:rPr>
          <w:rFonts w:ascii="Tahoma" w:hAnsi="Tahoma" w:cs="Tahoma"/>
          <w:sz w:val="20"/>
          <w:szCs w:val="20"/>
          <w:lang w:val="fr-FR"/>
        </w:rPr>
        <w:t>deux</w:t>
      </w:r>
      <w:r w:rsidR="00DB1635" w:rsidRPr="00B004EE">
        <w:rPr>
          <w:rFonts w:ascii="Tahoma" w:hAnsi="Tahoma" w:cs="Tahoma"/>
          <w:sz w:val="20"/>
          <w:szCs w:val="20"/>
          <w:lang w:val="fr-FR"/>
        </w:rPr>
        <w:t xml:space="preserve"> </w:t>
      </w:r>
      <w:r w:rsidRPr="00B004EE">
        <w:rPr>
          <w:rFonts w:ascii="Tahoma" w:hAnsi="Tahoma" w:cs="Tahoma"/>
          <w:sz w:val="20"/>
          <w:szCs w:val="20"/>
          <w:lang w:val="fr-FR"/>
        </w:rPr>
        <w:t>(2)</w:t>
      </w:r>
      <w:r w:rsidR="00DB1635" w:rsidRPr="00B004EE">
        <w:rPr>
          <w:rFonts w:ascii="Tahoma" w:hAnsi="Tahoma" w:cs="Tahoma"/>
          <w:sz w:val="20"/>
          <w:szCs w:val="20"/>
          <w:lang w:val="fr-FR"/>
        </w:rPr>
        <w:t xml:space="preserve"> </w:t>
      </w:r>
      <w:r w:rsidRPr="00B004EE">
        <w:rPr>
          <w:rFonts w:ascii="Tahoma" w:hAnsi="Tahoma" w:cs="Tahoma"/>
          <w:sz w:val="20"/>
          <w:szCs w:val="20"/>
          <w:lang w:val="fr-FR"/>
        </w:rPr>
        <w:t>représentants</w:t>
      </w:r>
      <w:r w:rsidR="00DB1635" w:rsidRPr="00B004EE">
        <w:rPr>
          <w:rFonts w:ascii="Tahoma" w:hAnsi="Tahoma" w:cs="Tahoma"/>
          <w:sz w:val="20"/>
          <w:szCs w:val="20"/>
          <w:lang w:val="fr-FR"/>
        </w:rPr>
        <w:t xml:space="preserve"> </w:t>
      </w:r>
      <w:r w:rsidRPr="00B004EE">
        <w:rPr>
          <w:rFonts w:ascii="Tahoma" w:hAnsi="Tahoma" w:cs="Tahoma"/>
          <w:sz w:val="20"/>
          <w:szCs w:val="20"/>
          <w:lang w:val="fr-FR"/>
        </w:rPr>
        <w:t>des</w:t>
      </w:r>
      <w:r w:rsidR="00DB1635" w:rsidRPr="00B004EE">
        <w:rPr>
          <w:rFonts w:ascii="Tahoma" w:hAnsi="Tahoma" w:cs="Tahoma"/>
          <w:sz w:val="20"/>
          <w:szCs w:val="20"/>
          <w:lang w:val="fr-FR"/>
        </w:rPr>
        <w:t xml:space="preserve"> </w:t>
      </w:r>
      <w:r w:rsidRPr="00B004EE">
        <w:rPr>
          <w:rFonts w:ascii="Tahoma" w:hAnsi="Tahoma" w:cs="Tahoma"/>
          <w:sz w:val="20"/>
          <w:szCs w:val="20"/>
          <w:lang w:val="fr-FR"/>
        </w:rPr>
        <w:t>organisations</w:t>
      </w:r>
      <w:r w:rsidR="00DB1635" w:rsidRPr="00B004EE">
        <w:rPr>
          <w:rFonts w:ascii="Tahoma" w:hAnsi="Tahoma" w:cs="Tahoma"/>
          <w:sz w:val="20"/>
          <w:szCs w:val="20"/>
          <w:lang w:val="fr-FR"/>
        </w:rPr>
        <w:t xml:space="preserve"> </w:t>
      </w:r>
      <w:r w:rsidRPr="00B004EE">
        <w:rPr>
          <w:rFonts w:ascii="Tahoma" w:hAnsi="Tahoma" w:cs="Tahoma"/>
          <w:sz w:val="20"/>
          <w:szCs w:val="20"/>
          <w:lang w:val="fr-FR"/>
        </w:rPr>
        <w:t>de</w:t>
      </w:r>
      <w:r w:rsidR="00DB1635" w:rsidRPr="00B004EE">
        <w:rPr>
          <w:rFonts w:ascii="Tahoma" w:hAnsi="Tahoma" w:cs="Tahoma"/>
          <w:sz w:val="20"/>
          <w:szCs w:val="20"/>
          <w:lang w:val="fr-FR"/>
        </w:rPr>
        <w:t xml:space="preserve"> </w:t>
      </w:r>
      <w:r w:rsidRPr="00B004EE">
        <w:rPr>
          <w:rFonts w:ascii="Tahoma" w:hAnsi="Tahoma" w:cs="Tahoma"/>
          <w:sz w:val="20"/>
          <w:szCs w:val="20"/>
          <w:lang w:val="fr-FR"/>
        </w:rPr>
        <w:t>la</w:t>
      </w:r>
      <w:r w:rsidR="00DB1635" w:rsidRPr="00B004EE">
        <w:rPr>
          <w:rFonts w:ascii="Tahoma" w:hAnsi="Tahoma" w:cs="Tahoma"/>
          <w:sz w:val="20"/>
          <w:szCs w:val="20"/>
          <w:lang w:val="fr-FR"/>
        </w:rPr>
        <w:t xml:space="preserve"> </w:t>
      </w:r>
      <w:r w:rsidRPr="00B004EE">
        <w:rPr>
          <w:rFonts w:ascii="Tahoma" w:hAnsi="Tahoma" w:cs="Tahoma"/>
          <w:sz w:val="20"/>
          <w:szCs w:val="20"/>
          <w:lang w:val="fr-FR"/>
        </w:rPr>
        <w:t>société</w:t>
      </w:r>
      <w:r w:rsidR="00DB1635" w:rsidRPr="00B004EE">
        <w:rPr>
          <w:rFonts w:ascii="Tahoma" w:hAnsi="Tahoma" w:cs="Tahoma"/>
          <w:sz w:val="20"/>
          <w:szCs w:val="20"/>
          <w:lang w:val="fr-FR"/>
        </w:rPr>
        <w:t xml:space="preserve"> </w:t>
      </w:r>
      <w:r w:rsidRPr="00B004EE">
        <w:rPr>
          <w:rFonts w:ascii="Tahoma" w:hAnsi="Tahoma" w:cs="Tahoma"/>
          <w:sz w:val="20"/>
          <w:szCs w:val="20"/>
          <w:lang w:val="fr-FR"/>
        </w:rPr>
        <w:t>civile</w:t>
      </w:r>
      <w:r w:rsidR="00DB1635" w:rsidRPr="00B004EE">
        <w:rPr>
          <w:rFonts w:ascii="Tahoma" w:hAnsi="Tahoma" w:cs="Tahoma"/>
          <w:sz w:val="20"/>
          <w:szCs w:val="20"/>
          <w:lang w:val="fr-FR"/>
        </w:rPr>
        <w:t xml:space="preserve"> </w:t>
      </w:r>
      <w:r w:rsidRPr="00B004EE">
        <w:rPr>
          <w:rFonts w:ascii="Tahoma" w:hAnsi="Tahoma" w:cs="Tahoma"/>
          <w:sz w:val="20"/>
          <w:szCs w:val="20"/>
          <w:lang w:val="fr-FR"/>
        </w:rPr>
        <w:t>et</w:t>
      </w:r>
      <w:r w:rsidR="00DB1635" w:rsidRPr="00B004EE">
        <w:rPr>
          <w:rFonts w:ascii="Tahoma" w:hAnsi="Tahoma" w:cs="Tahoma"/>
          <w:sz w:val="20"/>
          <w:szCs w:val="20"/>
          <w:lang w:val="fr-FR"/>
        </w:rPr>
        <w:t xml:space="preserve"> </w:t>
      </w:r>
      <w:r w:rsidRPr="00B004EE">
        <w:rPr>
          <w:rFonts w:ascii="Tahoma" w:hAnsi="Tahoma" w:cs="Tahoma"/>
          <w:sz w:val="20"/>
          <w:szCs w:val="20"/>
          <w:lang w:val="fr-FR"/>
        </w:rPr>
        <w:t>deux</w:t>
      </w:r>
      <w:r w:rsidR="00DB1635" w:rsidRPr="00B004EE">
        <w:rPr>
          <w:rFonts w:ascii="Tahoma" w:hAnsi="Tahoma" w:cs="Tahoma"/>
          <w:sz w:val="20"/>
          <w:szCs w:val="20"/>
          <w:lang w:val="fr-FR"/>
        </w:rPr>
        <w:t xml:space="preserve"> </w:t>
      </w:r>
      <w:r w:rsidRPr="00B004EE">
        <w:rPr>
          <w:rFonts w:ascii="Tahoma" w:hAnsi="Tahoma" w:cs="Tahoma"/>
          <w:sz w:val="20"/>
          <w:szCs w:val="20"/>
          <w:lang w:val="fr-FR"/>
        </w:rPr>
        <w:t>(2)</w:t>
      </w:r>
      <w:r w:rsidR="00DB1635" w:rsidRPr="00B004EE">
        <w:rPr>
          <w:rFonts w:ascii="Tahoma" w:hAnsi="Tahoma" w:cs="Tahoma"/>
          <w:sz w:val="20"/>
          <w:szCs w:val="20"/>
          <w:lang w:val="fr-FR"/>
        </w:rPr>
        <w:t xml:space="preserve"> </w:t>
      </w:r>
      <w:r w:rsidRPr="00B004EE">
        <w:rPr>
          <w:rFonts w:ascii="Tahoma" w:hAnsi="Tahoma" w:cs="Tahoma"/>
          <w:sz w:val="20"/>
          <w:szCs w:val="20"/>
          <w:lang w:val="fr-FR"/>
        </w:rPr>
        <w:t>chercheurs</w:t>
      </w:r>
      <w:r w:rsidR="00DB1635" w:rsidRPr="00B004EE">
        <w:rPr>
          <w:rFonts w:ascii="Tahoma" w:hAnsi="Tahoma" w:cs="Tahoma"/>
          <w:sz w:val="20"/>
          <w:szCs w:val="20"/>
          <w:lang w:val="fr-FR"/>
        </w:rPr>
        <w:t xml:space="preserve"> </w:t>
      </w:r>
      <w:r w:rsidRPr="00B004EE">
        <w:rPr>
          <w:rFonts w:ascii="Tahoma" w:hAnsi="Tahoma" w:cs="Tahoma"/>
          <w:sz w:val="20"/>
          <w:szCs w:val="20"/>
          <w:lang w:val="fr-FR"/>
        </w:rPr>
        <w:t>nationaux</w:t>
      </w:r>
      <w:r w:rsidR="00DB1635" w:rsidRPr="00B004EE">
        <w:rPr>
          <w:rFonts w:ascii="Tahoma" w:hAnsi="Tahoma" w:cs="Tahoma"/>
          <w:sz w:val="20"/>
          <w:szCs w:val="20"/>
          <w:lang w:val="fr-FR"/>
        </w:rPr>
        <w:t xml:space="preserve"> </w:t>
      </w:r>
      <w:r w:rsidRPr="00B004EE">
        <w:rPr>
          <w:rFonts w:ascii="Tahoma" w:hAnsi="Tahoma" w:cs="Tahoma"/>
          <w:sz w:val="20"/>
          <w:szCs w:val="20"/>
          <w:lang w:val="fr-FR"/>
        </w:rPr>
        <w:t>dans</w:t>
      </w:r>
      <w:r w:rsidR="00DB1635" w:rsidRPr="00B004EE">
        <w:rPr>
          <w:rFonts w:ascii="Tahoma" w:hAnsi="Tahoma" w:cs="Tahoma"/>
          <w:sz w:val="20"/>
          <w:szCs w:val="20"/>
          <w:lang w:val="fr-FR"/>
        </w:rPr>
        <w:t xml:space="preserve"> </w:t>
      </w:r>
      <w:r w:rsidRPr="00B004EE">
        <w:rPr>
          <w:rFonts w:ascii="Tahoma" w:hAnsi="Tahoma" w:cs="Tahoma"/>
          <w:sz w:val="20"/>
          <w:szCs w:val="20"/>
          <w:lang w:val="fr-FR"/>
        </w:rPr>
        <w:t>le</w:t>
      </w:r>
      <w:r w:rsidR="00DB1635" w:rsidRPr="00B004EE">
        <w:rPr>
          <w:rFonts w:ascii="Tahoma" w:hAnsi="Tahoma" w:cs="Tahoma"/>
          <w:sz w:val="20"/>
          <w:szCs w:val="20"/>
          <w:lang w:val="fr-FR"/>
        </w:rPr>
        <w:t xml:space="preserve"> </w:t>
      </w:r>
      <w:r w:rsidRPr="00B004EE">
        <w:rPr>
          <w:rFonts w:ascii="Tahoma" w:hAnsi="Tahoma" w:cs="Tahoma"/>
          <w:sz w:val="20"/>
          <w:szCs w:val="20"/>
          <w:lang w:val="fr-FR"/>
        </w:rPr>
        <w:t>domaine</w:t>
      </w:r>
      <w:r w:rsidR="00DB1635" w:rsidRPr="00B004EE">
        <w:rPr>
          <w:rFonts w:ascii="Tahoma" w:hAnsi="Tahoma" w:cs="Tahoma"/>
          <w:sz w:val="20"/>
          <w:szCs w:val="20"/>
          <w:lang w:val="fr-FR"/>
        </w:rPr>
        <w:t xml:space="preserve"> </w:t>
      </w:r>
      <w:r w:rsidRPr="00B004EE">
        <w:rPr>
          <w:rFonts w:ascii="Tahoma" w:hAnsi="Tahoma" w:cs="Tahoma"/>
          <w:sz w:val="20"/>
          <w:szCs w:val="20"/>
          <w:lang w:val="fr-FR"/>
        </w:rPr>
        <w:t>des</w:t>
      </w:r>
      <w:r w:rsidR="00DB1635" w:rsidRPr="00B004EE">
        <w:rPr>
          <w:rFonts w:ascii="Tahoma" w:hAnsi="Tahoma" w:cs="Tahoma"/>
          <w:sz w:val="20"/>
          <w:szCs w:val="20"/>
          <w:lang w:val="fr-FR"/>
        </w:rPr>
        <w:t xml:space="preserve"> </w:t>
      </w:r>
      <w:r w:rsidRPr="00B004EE">
        <w:rPr>
          <w:rFonts w:ascii="Tahoma" w:hAnsi="Tahoma" w:cs="Tahoma"/>
          <w:sz w:val="20"/>
          <w:szCs w:val="20"/>
          <w:lang w:val="fr-FR"/>
        </w:rPr>
        <w:t>sciences</w:t>
      </w:r>
      <w:r w:rsidR="00DB1635" w:rsidRPr="00B004EE">
        <w:rPr>
          <w:rFonts w:ascii="Tahoma" w:hAnsi="Tahoma" w:cs="Tahoma"/>
          <w:sz w:val="20"/>
          <w:szCs w:val="20"/>
          <w:lang w:val="fr-FR"/>
        </w:rPr>
        <w:t xml:space="preserve"> </w:t>
      </w:r>
      <w:r w:rsidRPr="00B004EE">
        <w:rPr>
          <w:rFonts w:ascii="Tahoma" w:hAnsi="Tahoma" w:cs="Tahoma"/>
          <w:sz w:val="20"/>
          <w:szCs w:val="20"/>
          <w:lang w:val="fr-FR"/>
        </w:rPr>
        <w:t>halieutiques</w:t>
      </w:r>
      <w:r w:rsidR="00DB1635" w:rsidRPr="00B004EE">
        <w:rPr>
          <w:rFonts w:ascii="Tahoma" w:hAnsi="Tahoma" w:cs="Tahoma"/>
          <w:sz w:val="20"/>
          <w:szCs w:val="20"/>
          <w:lang w:val="fr-FR"/>
        </w:rPr>
        <w:t xml:space="preserve"> </w:t>
      </w:r>
      <w:r w:rsidRPr="00B004EE">
        <w:rPr>
          <w:rFonts w:ascii="Tahoma" w:hAnsi="Tahoma" w:cs="Tahoma"/>
          <w:sz w:val="20"/>
          <w:szCs w:val="20"/>
          <w:lang w:val="fr-FR"/>
        </w:rPr>
        <w:t>et</w:t>
      </w:r>
      <w:r w:rsidR="00DB1635" w:rsidRPr="00B004EE">
        <w:rPr>
          <w:rFonts w:ascii="Tahoma" w:hAnsi="Tahoma" w:cs="Tahoma"/>
          <w:sz w:val="20"/>
          <w:szCs w:val="20"/>
          <w:lang w:val="fr-FR"/>
        </w:rPr>
        <w:t xml:space="preserve"> </w:t>
      </w:r>
      <w:r w:rsidRPr="00B004EE">
        <w:rPr>
          <w:rFonts w:ascii="Tahoma" w:hAnsi="Tahoma" w:cs="Tahoma"/>
          <w:sz w:val="20"/>
          <w:szCs w:val="20"/>
          <w:lang w:val="fr-FR"/>
        </w:rPr>
        <w:t>économiques.</w:t>
      </w:r>
      <w:r w:rsidR="00DB1635" w:rsidRPr="00B004EE">
        <w:rPr>
          <w:rFonts w:ascii="Tahoma" w:hAnsi="Tahoma" w:cs="Tahoma"/>
          <w:sz w:val="20"/>
          <w:szCs w:val="20"/>
          <w:lang w:val="fr-FR"/>
        </w:rPr>
        <w:t xml:space="preserve"> </w:t>
      </w:r>
    </w:p>
    <w:p w14:paraId="35916B1D" w14:textId="77777777" w:rsidR="008518B0" w:rsidRPr="00B004EE" w:rsidRDefault="008518B0" w:rsidP="00B004EE">
      <w:pPr>
        <w:pStyle w:val="article"/>
        <w:numPr>
          <w:ilvl w:val="0"/>
          <w:numId w:val="0"/>
        </w:numPr>
        <w:tabs>
          <w:tab w:val="left" w:pos="1200"/>
        </w:tabs>
        <w:spacing w:before="0" w:line="240" w:lineRule="auto"/>
        <w:rPr>
          <w:rFonts w:ascii="Tahoma" w:hAnsi="Tahoma" w:cs="Tahoma"/>
          <w:sz w:val="20"/>
          <w:szCs w:val="20"/>
          <w:lang w:val="fr-FR"/>
        </w:rPr>
      </w:pPr>
    </w:p>
    <w:p w14:paraId="26C70DC8" w14:textId="4D815E1B" w:rsidR="008518B0" w:rsidRPr="00B004EE" w:rsidRDefault="008518B0" w:rsidP="00B004EE">
      <w:pPr>
        <w:pStyle w:val="article"/>
        <w:numPr>
          <w:ilvl w:val="0"/>
          <w:numId w:val="0"/>
        </w:numPr>
        <w:tabs>
          <w:tab w:val="left" w:pos="1200"/>
        </w:tabs>
        <w:spacing w:before="0" w:line="240" w:lineRule="auto"/>
        <w:rPr>
          <w:rFonts w:ascii="Tahoma" w:hAnsi="Tahoma" w:cs="Tahoma"/>
          <w:sz w:val="20"/>
          <w:szCs w:val="20"/>
          <w:lang w:val="fr-FR"/>
        </w:rPr>
      </w:pPr>
      <w:r w:rsidRPr="00B004EE">
        <w:rPr>
          <w:rFonts w:ascii="Tahoma" w:hAnsi="Tahoma" w:cs="Tahoma"/>
          <w:sz w:val="20"/>
          <w:szCs w:val="20"/>
          <w:lang w:val="fr-FR"/>
        </w:rPr>
        <w:t>Les</w:t>
      </w:r>
      <w:r w:rsidR="00DB1635" w:rsidRPr="00B004EE">
        <w:rPr>
          <w:rFonts w:ascii="Tahoma" w:hAnsi="Tahoma" w:cs="Tahoma"/>
          <w:sz w:val="20"/>
          <w:szCs w:val="20"/>
          <w:lang w:val="fr-FR"/>
        </w:rPr>
        <w:t xml:space="preserve"> </w:t>
      </w:r>
      <w:r w:rsidRPr="00B004EE">
        <w:rPr>
          <w:rFonts w:ascii="Tahoma" w:hAnsi="Tahoma" w:cs="Tahoma"/>
          <w:sz w:val="20"/>
          <w:szCs w:val="20"/>
          <w:lang w:val="fr-FR"/>
        </w:rPr>
        <w:t>membres</w:t>
      </w:r>
      <w:r w:rsidR="00DB1635" w:rsidRPr="00B004EE">
        <w:rPr>
          <w:rFonts w:ascii="Tahoma" w:hAnsi="Tahoma" w:cs="Tahoma"/>
          <w:sz w:val="20"/>
          <w:szCs w:val="20"/>
          <w:lang w:val="fr-FR"/>
        </w:rPr>
        <w:t xml:space="preserve"> </w:t>
      </w:r>
      <w:r w:rsidRPr="00B004EE">
        <w:rPr>
          <w:rFonts w:ascii="Tahoma" w:hAnsi="Tahoma" w:cs="Tahoma"/>
          <w:sz w:val="20"/>
          <w:szCs w:val="20"/>
          <w:lang w:val="fr-FR"/>
        </w:rPr>
        <w:t>du</w:t>
      </w:r>
      <w:r w:rsidR="00DB1635" w:rsidRPr="00B004EE">
        <w:rPr>
          <w:rFonts w:ascii="Tahoma" w:hAnsi="Tahoma" w:cs="Tahoma"/>
          <w:sz w:val="20"/>
          <w:szCs w:val="20"/>
          <w:lang w:val="fr-FR"/>
        </w:rPr>
        <w:t xml:space="preserve"> </w:t>
      </w:r>
      <w:r w:rsidRPr="00B004EE">
        <w:rPr>
          <w:rFonts w:ascii="Tahoma" w:hAnsi="Tahoma" w:cs="Tahoma"/>
          <w:sz w:val="20"/>
          <w:szCs w:val="20"/>
          <w:lang w:val="fr-FR"/>
        </w:rPr>
        <w:t>Conseil</w:t>
      </w:r>
      <w:r w:rsidR="00DB1635" w:rsidRPr="00B004EE">
        <w:rPr>
          <w:rFonts w:ascii="Tahoma" w:hAnsi="Tahoma" w:cs="Tahoma"/>
          <w:sz w:val="20"/>
          <w:szCs w:val="20"/>
          <w:lang w:val="fr-FR"/>
        </w:rPr>
        <w:t xml:space="preserve"> </w:t>
      </w:r>
      <w:r w:rsidRPr="00B004EE">
        <w:rPr>
          <w:rFonts w:ascii="Tahoma" w:hAnsi="Tahoma" w:cs="Tahoma"/>
          <w:sz w:val="20"/>
          <w:szCs w:val="20"/>
          <w:lang w:val="fr-FR"/>
        </w:rPr>
        <w:t>Consultatif</w:t>
      </w:r>
      <w:r w:rsidR="00DB1635" w:rsidRPr="00B004EE">
        <w:rPr>
          <w:rFonts w:ascii="Tahoma" w:hAnsi="Tahoma" w:cs="Tahoma"/>
          <w:sz w:val="20"/>
          <w:szCs w:val="20"/>
          <w:lang w:val="fr-FR"/>
        </w:rPr>
        <w:t xml:space="preserve"> </w:t>
      </w:r>
      <w:r w:rsidRPr="00B004EE">
        <w:rPr>
          <w:rFonts w:ascii="Tahoma" w:hAnsi="Tahoma" w:cs="Tahoma"/>
          <w:sz w:val="20"/>
          <w:szCs w:val="20"/>
          <w:lang w:val="fr-FR"/>
        </w:rPr>
        <w:t>National</w:t>
      </w:r>
      <w:r w:rsidR="00DB1635" w:rsidRPr="00B004EE">
        <w:rPr>
          <w:rFonts w:ascii="Tahoma" w:hAnsi="Tahoma" w:cs="Tahoma"/>
          <w:sz w:val="20"/>
          <w:szCs w:val="20"/>
          <w:lang w:val="fr-FR"/>
        </w:rPr>
        <w:t xml:space="preserve"> </w:t>
      </w:r>
      <w:r w:rsidRPr="00B004EE">
        <w:rPr>
          <w:rFonts w:ascii="Tahoma" w:hAnsi="Tahoma" w:cs="Tahoma"/>
          <w:sz w:val="20"/>
          <w:szCs w:val="20"/>
          <w:lang w:val="fr-FR"/>
        </w:rPr>
        <w:t>pour</w:t>
      </w:r>
      <w:r w:rsidR="00DB1635" w:rsidRPr="00B004EE">
        <w:rPr>
          <w:rFonts w:ascii="Tahoma" w:hAnsi="Tahoma" w:cs="Tahoma"/>
          <w:sz w:val="20"/>
          <w:szCs w:val="20"/>
          <w:lang w:val="fr-FR"/>
        </w:rPr>
        <w:t xml:space="preserve"> </w:t>
      </w:r>
      <w:r w:rsidRPr="00B004EE">
        <w:rPr>
          <w:rFonts w:ascii="Tahoma" w:hAnsi="Tahoma" w:cs="Tahoma"/>
          <w:sz w:val="20"/>
          <w:szCs w:val="20"/>
          <w:lang w:val="fr-FR"/>
        </w:rPr>
        <w:t>l’Aménagement</w:t>
      </w:r>
      <w:r w:rsidR="00DB1635" w:rsidRPr="00B004EE">
        <w:rPr>
          <w:rFonts w:ascii="Tahoma" w:hAnsi="Tahoma" w:cs="Tahoma"/>
          <w:sz w:val="20"/>
          <w:szCs w:val="20"/>
          <w:lang w:val="fr-FR"/>
        </w:rPr>
        <w:t xml:space="preserve"> </w:t>
      </w:r>
      <w:r w:rsidRPr="00B004EE">
        <w:rPr>
          <w:rFonts w:ascii="Tahoma" w:hAnsi="Tahoma" w:cs="Tahoma"/>
          <w:sz w:val="20"/>
          <w:szCs w:val="20"/>
          <w:lang w:val="fr-FR"/>
        </w:rPr>
        <w:t>et</w:t>
      </w:r>
      <w:r w:rsidR="00DB1635" w:rsidRPr="00B004EE">
        <w:rPr>
          <w:rFonts w:ascii="Tahoma" w:hAnsi="Tahoma" w:cs="Tahoma"/>
          <w:sz w:val="20"/>
          <w:szCs w:val="20"/>
          <w:lang w:val="fr-FR"/>
        </w:rPr>
        <w:t xml:space="preserve"> </w:t>
      </w:r>
      <w:r w:rsidRPr="00B004EE">
        <w:rPr>
          <w:rFonts w:ascii="Tahoma" w:hAnsi="Tahoma" w:cs="Tahoma"/>
          <w:sz w:val="20"/>
          <w:szCs w:val="20"/>
          <w:lang w:val="fr-FR"/>
        </w:rPr>
        <w:t>le</w:t>
      </w:r>
      <w:r w:rsidR="00DB1635" w:rsidRPr="00B004EE">
        <w:rPr>
          <w:rFonts w:ascii="Tahoma" w:hAnsi="Tahoma" w:cs="Tahoma"/>
          <w:sz w:val="20"/>
          <w:szCs w:val="20"/>
          <w:lang w:val="fr-FR"/>
        </w:rPr>
        <w:t xml:space="preserve"> </w:t>
      </w:r>
      <w:r w:rsidRPr="00B004EE">
        <w:rPr>
          <w:rFonts w:ascii="Tahoma" w:hAnsi="Tahoma" w:cs="Tahoma"/>
          <w:sz w:val="20"/>
          <w:szCs w:val="20"/>
          <w:lang w:val="fr-FR"/>
        </w:rPr>
        <w:t>Développement</w:t>
      </w:r>
      <w:r w:rsidR="00DB1635" w:rsidRPr="00B004EE">
        <w:rPr>
          <w:rFonts w:ascii="Tahoma" w:hAnsi="Tahoma" w:cs="Tahoma"/>
          <w:sz w:val="20"/>
          <w:szCs w:val="20"/>
          <w:lang w:val="fr-FR"/>
        </w:rPr>
        <w:t xml:space="preserve"> </w:t>
      </w:r>
      <w:r w:rsidRPr="00B004EE">
        <w:rPr>
          <w:rFonts w:ascii="Tahoma" w:hAnsi="Tahoma" w:cs="Tahoma"/>
          <w:sz w:val="20"/>
          <w:szCs w:val="20"/>
          <w:lang w:val="fr-FR"/>
        </w:rPr>
        <w:t>des</w:t>
      </w:r>
      <w:r w:rsidR="00DB1635" w:rsidRPr="00B004EE">
        <w:rPr>
          <w:rFonts w:ascii="Tahoma" w:hAnsi="Tahoma" w:cs="Tahoma"/>
          <w:sz w:val="20"/>
          <w:szCs w:val="20"/>
          <w:lang w:val="fr-FR"/>
        </w:rPr>
        <w:t xml:space="preserve"> </w:t>
      </w:r>
      <w:r w:rsidRPr="00B004EE">
        <w:rPr>
          <w:rFonts w:ascii="Tahoma" w:hAnsi="Tahoma" w:cs="Tahoma"/>
          <w:sz w:val="20"/>
          <w:szCs w:val="20"/>
          <w:lang w:val="fr-FR"/>
        </w:rPr>
        <w:t>pêcheries</w:t>
      </w:r>
      <w:r w:rsidR="00DB1635" w:rsidRPr="00B004EE">
        <w:rPr>
          <w:rFonts w:ascii="Tahoma" w:hAnsi="Tahoma" w:cs="Tahoma"/>
          <w:sz w:val="20"/>
          <w:szCs w:val="20"/>
          <w:lang w:val="fr-FR"/>
        </w:rPr>
        <w:t xml:space="preserve"> </w:t>
      </w:r>
      <w:r w:rsidRPr="00B004EE">
        <w:rPr>
          <w:rFonts w:ascii="Tahoma" w:hAnsi="Tahoma" w:cs="Tahoma"/>
          <w:sz w:val="20"/>
          <w:szCs w:val="20"/>
          <w:lang w:val="fr-FR"/>
        </w:rPr>
        <w:t>sont</w:t>
      </w:r>
      <w:r w:rsidR="00DB1635" w:rsidRPr="00B004EE">
        <w:rPr>
          <w:rFonts w:ascii="Tahoma" w:hAnsi="Tahoma" w:cs="Tahoma"/>
          <w:sz w:val="20"/>
          <w:szCs w:val="20"/>
          <w:lang w:val="fr-FR"/>
        </w:rPr>
        <w:t xml:space="preserve"> </w:t>
      </w:r>
      <w:r w:rsidRPr="00B004EE">
        <w:rPr>
          <w:rFonts w:ascii="Tahoma" w:hAnsi="Tahoma" w:cs="Tahoma"/>
          <w:sz w:val="20"/>
          <w:szCs w:val="20"/>
          <w:lang w:val="fr-FR"/>
        </w:rPr>
        <w:t>nommés</w:t>
      </w:r>
      <w:r w:rsidR="00DB1635" w:rsidRPr="00B004EE">
        <w:rPr>
          <w:rFonts w:ascii="Tahoma" w:hAnsi="Tahoma" w:cs="Tahoma"/>
          <w:sz w:val="20"/>
          <w:szCs w:val="20"/>
          <w:lang w:val="fr-FR"/>
        </w:rPr>
        <w:t xml:space="preserve"> </w:t>
      </w:r>
      <w:r w:rsidRPr="00B004EE">
        <w:rPr>
          <w:rFonts w:ascii="Tahoma" w:hAnsi="Tahoma" w:cs="Tahoma"/>
          <w:sz w:val="20"/>
          <w:szCs w:val="20"/>
          <w:lang w:val="fr-FR"/>
        </w:rPr>
        <w:t>par</w:t>
      </w:r>
      <w:r w:rsidR="00DB1635" w:rsidRPr="00B004EE">
        <w:rPr>
          <w:rFonts w:ascii="Tahoma" w:hAnsi="Tahoma" w:cs="Tahoma"/>
          <w:sz w:val="20"/>
          <w:szCs w:val="20"/>
          <w:lang w:val="fr-FR"/>
        </w:rPr>
        <w:t xml:space="preserve"> </w:t>
      </w:r>
      <w:r w:rsidRPr="00B004EE">
        <w:rPr>
          <w:rFonts w:ascii="Tahoma" w:hAnsi="Tahoma" w:cs="Tahoma"/>
          <w:sz w:val="20"/>
          <w:szCs w:val="20"/>
          <w:lang w:val="fr-FR"/>
        </w:rPr>
        <w:t>arrêté</w:t>
      </w:r>
      <w:r w:rsidR="00DB1635" w:rsidRPr="00B004EE">
        <w:rPr>
          <w:rFonts w:ascii="Tahoma" w:hAnsi="Tahoma" w:cs="Tahoma"/>
          <w:sz w:val="20"/>
          <w:szCs w:val="20"/>
          <w:lang w:val="fr-FR"/>
        </w:rPr>
        <w:t xml:space="preserve"> </w:t>
      </w:r>
      <w:r w:rsidRPr="00B004EE">
        <w:rPr>
          <w:rFonts w:ascii="Tahoma" w:hAnsi="Tahoma" w:cs="Tahoma"/>
          <w:sz w:val="20"/>
          <w:szCs w:val="20"/>
          <w:lang w:val="fr-FR"/>
        </w:rPr>
        <w:t>du</w:t>
      </w:r>
      <w:r w:rsidR="00DB1635" w:rsidRPr="00B004EE">
        <w:rPr>
          <w:rFonts w:ascii="Tahoma" w:hAnsi="Tahoma" w:cs="Tahoma"/>
          <w:sz w:val="20"/>
          <w:szCs w:val="20"/>
          <w:lang w:val="fr-FR"/>
        </w:rPr>
        <w:t xml:space="preserve"> </w:t>
      </w:r>
      <w:r w:rsidRPr="00B004EE">
        <w:rPr>
          <w:rFonts w:ascii="Tahoma" w:hAnsi="Tahoma" w:cs="Tahoma"/>
          <w:sz w:val="20"/>
          <w:szCs w:val="20"/>
          <w:lang w:val="fr-FR"/>
        </w:rPr>
        <w:t>ministre</w:t>
      </w:r>
      <w:r w:rsidR="00DB1635" w:rsidRPr="00B004EE">
        <w:rPr>
          <w:rFonts w:ascii="Tahoma" w:hAnsi="Tahoma" w:cs="Tahoma"/>
          <w:sz w:val="20"/>
          <w:szCs w:val="20"/>
          <w:lang w:val="fr-FR"/>
        </w:rPr>
        <w:t xml:space="preserve"> </w:t>
      </w:r>
      <w:r w:rsidRPr="00B004EE">
        <w:rPr>
          <w:rFonts w:ascii="Tahoma" w:hAnsi="Tahoma" w:cs="Tahoma"/>
          <w:sz w:val="20"/>
          <w:szCs w:val="20"/>
          <w:lang w:val="fr-FR"/>
        </w:rPr>
        <w:t>chargé</w:t>
      </w:r>
      <w:r w:rsidR="00DB1635" w:rsidRPr="00B004EE">
        <w:rPr>
          <w:rFonts w:ascii="Tahoma" w:hAnsi="Tahoma" w:cs="Tahoma"/>
          <w:sz w:val="20"/>
          <w:szCs w:val="20"/>
          <w:lang w:val="fr-FR"/>
        </w:rPr>
        <w:t xml:space="preserve"> </w:t>
      </w:r>
      <w:r w:rsidRPr="00B004EE">
        <w:rPr>
          <w:rFonts w:ascii="Tahoma" w:hAnsi="Tahoma" w:cs="Tahoma"/>
          <w:sz w:val="20"/>
          <w:szCs w:val="20"/>
          <w:lang w:val="fr-FR"/>
        </w:rPr>
        <w:t>des</w:t>
      </w:r>
      <w:r w:rsidR="00DB1635" w:rsidRPr="00B004EE">
        <w:rPr>
          <w:rFonts w:ascii="Tahoma" w:hAnsi="Tahoma" w:cs="Tahoma"/>
          <w:sz w:val="20"/>
          <w:szCs w:val="20"/>
          <w:lang w:val="fr-FR"/>
        </w:rPr>
        <w:t xml:space="preserve"> </w:t>
      </w:r>
      <w:r w:rsidRPr="00B004EE">
        <w:rPr>
          <w:rFonts w:ascii="Tahoma" w:hAnsi="Tahoma" w:cs="Tahoma"/>
          <w:sz w:val="20"/>
          <w:szCs w:val="20"/>
          <w:lang w:val="fr-FR"/>
        </w:rPr>
        <w:t>pêches</w:t>
      </w:r>
      <w:r w:rsidR="00DB1635" w:rsidRPr="00B004EE">
        <w:rPr>
          <w:rFonts w:ascii="Tahoma" w:hAnsi="Tahoma" w:cs="Tahoma"/>
          <w:sz w:val="20"/>
          <w:szCs w:val="20"/>
          <w:lang w:val="fr-FR"/>
        </w:rPr>
        <w:t xml:space="preserve"> </w:t>
      </w:r>
      <w:r w:rsidRPr="00B004EE">
        <w:rPr>
          <w:rFonts w:ascii="Tahoma" w:hAnsi="Tahoma" w:cs="Tahoma"/>
          <w:sz w:val="20"/>
          <w:szCs w:val="20"/>
          <w:lang w:val="fr-FR"/>
        </w:rPr>
        <w:t>pour</w:t>
      </w:r>
      <w:r w:rsidR="00DB1635" w:rsidRPr="00B004EE">
        <w:rPr>
          <w:rFonts w:ascii="Tahoma" w:hAnsi="Tahoma" w:cs="Tahoma"/>
          <w:sz w:val="20"/>
          <w:szCs w:val="20"/>
          <w:lang w:val="fr-FR"/>
        </w:rPr>
        <w:t xml:space="preserve"> </w:t>
      </w:r>
      <w:r w:rsidRPr="00B004EE">
        <w:rPr>
          <w:rFonts w:ascii="Tahoma" w:hAnsi="Tahoma" w:cs="Tahoma"/>
          <w:sz w:val="20"/>
          <w:szCs w:val="20"/>
          <w:lang w:val="fr-FR"/>
        </w:rPr>
        <w:t>un</w:t>
      </w:r>
      <w:r w:rsidR="00DB1635" w:rsidRPr="00B004EE">
        <w:rPr>
          <w:rFonts w:ascii="Tahoma" w:hAnsi="Tahoma" w:cs="Tahoma"/>
          <w:sz w:val="20"/>
          <w:szCs w:val="20"/>
          <w:lang w:val="fr-FR"/>
        </w:rPr>
        <w:t xml:space="preserve"> </w:t>
      </w:r>
      <w:r w:rsidRPr="00B004EE">
        <w:rPr>
          <w:rFonts w:ascii="Tahoma" w:hAnsi="Tahoma" w:cs="Tahoma"/>
          <w:sz w:val="20"/>
          <w:szCs w:val="20"/>
          <w:lang w:val="fr-FR"/>
        </w:rPr>
        <w:t>mandat</w:t>
      </w:r>
      <w:r w:rsidR="00DB1635" w:rsidRPr="00B004EE">
        <w:rPr>
          <w:rFonts w:ascii="Tahoma" w:hAnsi="Tahoma" w:cs="Tahoma"/>
          <w:sz w:val="20"/>
          <w:szCs w:val="20"/>
          <w:lang w:val="fr-FR"/>
        </w:rPr>
        <w:t xml:space="preserve"> </w:t>
      </w:r>
      <w:r w:rsidRPr="00B004EE">
        <w:rPr>
          <w:rFonts w:ascii="Tahoma" w:hAnsi="Tahoma" w:cs="Tahoma"/>
          <w:sz w:val="20"/>
          <w:szCs w:val="20"/>
          <w:lang w:val="fr-FR"/>
        </w:rPr>
        <w:t>de</w:t>
      </w:r>
      <w:r w:rsidR="00DB1635" w:rsidRPr="00B004EE">
        <w:rPr>
          <w:rFonts w:ascii="Tahoma" w:hAnsi="Tahoma" w:cs="Tahoma"/>
          <w:sz w:val="20"/>
          <w:szCs w:val="20"/>
          <w:lang w:val="fr-FR"/>
        </w:rPr>
        <w:t xml:space="preserve"> </w:t>
      </w:r>
      <w:r w:rsidRPr="00B004EE">
        <w:rPr>
          <w:rFonts w:ascii="Tahoma" w:hAnsi="Tahoma" w:cs="Tahoma"/>
          <w:sz w:val="20"/>
          <w:szCs w:val="20"/>
          <w:lang w:val="fr-FR"/>
        </w:rPr>
        <w:t>cinq</w:t>
      </w:r>
      <w:r w:rsidR="00DB1635" w:rsidRPr="00B004EE">
        <w:rPr>
          <w:rFonts w:ascii="Tahoma" w:hAnsi="Tahoma" w:cs="Tahoma"/>
          <w:sz w:val="20"/>
          <w:szCs w:val="20"/>
          <w:lang w:val="fr-FR"/>
        </w:rPr>
        <w:t xml:space="preserve"> </w:t>
      </w:r>
      <w:r w:rsidRPr="00B004EE">
        <w:rPr>
          <w:rFonts w:ascii="Tahoma" w:hAnsi="Tahoma" w:cs="Tahoma"/>
          <w:sz w:val="20"/>
          <w:szCs w:val="20"/>
          <w:lang w:val="fr-FR"/>
        </w:rPr>
        <w:t>(5)</w:t>
      </w:r>
      <w:r w:rsidR="00DB1635" w:rsidRPr="00B004EE">
        <w:rPr>
          <w:rFonts w:ascii="Tahoma" w:hAnsi="Tahoma" w:cs="Tahoma"/>
          <w:sz w:val="20"/>
          <w:szCs w:val="20"/>
          <w:lang w:val="fr-FR"/>
        </w:rPr>
        <w:t xml:space="preserve"> </w:t>
      </w:r>
      <w:r w:rsidRPr="00B004EE">
        <w:rPr>
          <w:rFonts w:ascii="Tahoma" w:hAnsi="Tahoma" w:cs="Tahoma"/>
          <w:sz w:val="20"/>
          <w:szCs w:val="20"/>
          <w:lang w:val="fr-FR"/>
        </w:rPr>
        <w:t>ans,</w:t>
      </w:r>
      <w:r w:rsidR="00DB1635" w:rsidRPr="00B004EE">
        <w:rPr>
          <w:rFonts w:ascii="Tahoma" w:hAnsi="Tahoma" w:cs="Tahoma"/>
          <w:sz w:val="20"/>
          <w:szCs w:val="20"/>
          <w:lang w:val="fr-FR"/>
        </w:rPr>
        <w:t xml:space="preserve"> </w:t>
      </w:r>
      <w:r w:rsidRPr="00B004EE">
        <w:rPr>
          <w:rFonts w:ascii="Tahoma" w:hAnsi="Tahoma" w:cs="Tahoma"/>
          <w:sz w:val="20"/>
          <w:szCs w:val="20"/>
          <w:lang w:val="fr-FR"/>
        </w:rPr>
        <w:t>renouvelable.</w:t>
      </w:r>
      <w:r w:rsidR="00DB1635" w:rsidRPr="00B004EE">
        <w:rPr>
          <w:rFonts w:ascii="Tahoma" w:hAnsi="Tahoma" w:cs="Tahoma"/>
          <w:sz w:val="20"/>
          <w:szCs w:val="20"/>
          <w:lang w:val="fr-FR"/>
        </w:rPr>
        <w:t xml:space="preserve"> </w:t>
      </w:r>
      <w:r w:rsidRPr="00B004EE">
        <w:rPr>
          <w:rFonts w:ascii="Tahoma" w:hAnsi="Tahoma" w:cs="Tahoma"/>
          <w:sz w:val="20"/>
          <w:szCs w:val="20"/>
          <w:lang w:val="fr-FR"/>
        </w:rPr>
        <w:t>Toutefois,</w:t>
      </w:r>
      <w:r w:rsidR="00DB1635" w:rsidRPr="00B004EE">
        <w:rPr>
          <w:rFonts w:ascii="Tahoma" w:hAnsi="Tahoma" w:cs="Tahoma"/>
          <w:sz w:val="20"/>
          <w:szCs w:val="20"/>
          <w:lang w:val="fr-FR"/>
        </w:rPr>
        <w:t xml:space="preserve"> </w:t>
      </w:r>
      <w:r w:rsidRPr="00B004EE">
        <w:rPr>
          <w:rFonts w:ascii="Tahoma" w:hAnsi="Tahoma" w:cs="Tahoma"/>
          <w:sz w:val="20"/>
          <w:szCs w:val="20"/>
          <w:lang w:val="fr-FR"/>
        </w:rPr>
        <w:t>les</w:t>
      </w:r>
      <w:r w:rsidR="00DB1635" w:rsidRPr="00B004EE">
        <w:rPr>
          <w:rFonts w:ascii="Tahoma" w:hAnsi="Tahoma" w:cs="Tahoma"/>
          <w:sz w:val="20"/>
          <w:szCs w:val="20"/>
          <w:lang w:val="fr-FR"/>
        </w:rPr>
        <w:t xml:space="preserve"> </w:t>
      </w:r>
      <w:r w:rsidRPr="00B004EE">
        <w:rPr>
          <w:rFonts w:ascii="Tahoma" w:hAnsi="Tahoma" w:cs="Tahoma"/>
          <w:sz w:val="20"/>
          <w:szCs w:val="20"/>
          <w:lang w:val="fr-FR"/>
        </w:rPr>
        <w:t>membres</w:t>
      </w:r>
      <w:r w:rsidR="00DB1635" w:rsidRPr="00B004EE">
        <w:rPr>
          <w:rFonts w:ascii="Tahoma" w:hAnsi="Tahoma" w:cs="Tahoma"/>
          <w:sz w:val="20"/>
          <w:szCs w:val="20"/>
          <w:lang w:val="fr-FR"/>
        </w:rPr>
        <w:t xml:space="preserve"> </w:t>
      </w:r>
      <w:r w:rsidRPr="00B004EE">
        <w:rPr>
          <w:rFonts w:ascii="Tahoma" w:hAnsi="Tahoma" w:cs="Tahoma"/>
          <w:sz w:val="20"/>
          <w:szCs w:val="20"/>
          <w:lang w:val="fr-FR"/>
        </w:rPr>
        <w:t>représentant</w:t>
      </w:r>
      <w:r w:rsidR="00DB1635" w:rsidRPr="00B004EE">
        <w:rPr>
          <w:rFonts w:ascii="Tahoma" w:hAnsi="Tahoma" w:cs="Tahoma"/>
          <w:sz w:val="20"/>
          <w:szCs w:val="20"/>
          <w:lang w:val="fr-FR"/>
        </w:rPr>
        <w:t xml:space="preserve"> </w:t>
      </w:r>
      <w:r w:rsidRPr="00B004EE">
        <w:rPr>
          <w:rFonts w:ascii="Tahoma" w:hAnsi="Tahoma" w:cs="Tahoma"/>
          <w:sz w:val="20"/>
          <w:szCs w:val="20"/>
          <w:lang w:val="fr-FR"/>
        </w:rPr>
        <w:t>les</w:t>
      </w:r>
      <w:r w:rsidR="00DB1635" w:rsidRPr="00B004EE">
        <w:rPr>
          <w:rFonts w:ascii="Tahoma" w:hAnsi="Tahoma" w:cs="Tahoma"/>
          <w:sz w:val="20"/>
          <w:szCs w:val="20"/>
          <w:lang w:val="fr-FR"/>
        </w:rPr>
        <w:t xml:space="preserve"> </w:t>
      </w:r>
      <w:r w:rsidRPr="00B004EE">
        <w:rPr>
          <w:rFonts w:ascii="Tahoma" w:hAnsi="Tahoma" w:cs="Tahoma"/>
          <w:sz w:val="20"/>
          <w:szCs w:val="20"/>
          <w:lang w:val="fr-FR"/>
        </w:rPr>
        <w:t>organisations</w:t>
      </w:r>
      <w:r w:rsidR="00DB1635" w:rsidRPr="00B004EE">
        <w:rPr>
          <w:rFonts w:ascii="Tahoma" w:hAnsi="Tahoma" w:cs="Tahoma"/>
          <w:sz w:val="20"/>
          <w:szCs w:val="20"/>
          <w:lang w:val="fr-FR"/>
        </w:rPr>
        <w:t xml:space="preserve"> </w:t>
      </w:r>
      <w:r w:rsidRPr="00B004EE">
        <w:rPr>
          <w:rFonts w:ascii="Tahoma" w:hAnsi="Tahoma" w:cs="Tahoma"/>
          <w:sz w:val="20"/>
          <w:szCs w:val="20"/>
          <w:lang w:val="fr-FR"/>
        </w:rPr>
        <w:t>socio-</w:t>
      </w:r>
      <w:r w:rsidR="00DB1635" w:rsidRPr="00B004EE">
        <w:rPr>
          <w:rFonts w:ascii="Tahoma" w:hAnsi="Tahoma" w:cs="Tahoma"/>
          <w:sz w:val="20"/>
          <w:szCs w:val="20"/>
          <w:lang w:val="fr-FR"/>
        </w:rPr>
        <w:t xml:space="preserve"> </w:t>
      </w:r>
      <w:r w:rsidRPr="00B004EE">
        <w:rPr>
          <w:rFonts w:ascii="Tahoma" w:hAnsi="Tahoma" w:cs="Tahoma"/>
          <w:sz w:val="20"/>
          <w:szCs w:val="20"/>
          <w:lang w:val="fr-FR"/>
        </w:rPr>
        <w:t>professionnelles</w:t>
      </w:r>
      <w:r w:rsidR="00DB1635" w:rsidRPr="00B004EE">
        <w:rPr>
          <w:rFonts w:ascii="Tahoma" w:hAnsi="Tahoma" w:cs="Tahoma"/>
          <w:sz w:val="20"/>
          <w:szCs w:val="20"/>
          <w:lang w:val="fr-FR"/>
        </w:rPr>
        <w:t xml:space="preserve"> </w:t>
      </w:r>
      <w:r w:rsidRPr="00B004EE">
        <w:rPr>
          <w:rFonts w:ascii="Tahoma" w:hAnsi="Tahoma" w:cs="Tahoma"/>
          <w:sz w:val="20"/>
          <w:szCs w:val="20"/>
          <w:lang w:val="fr-FR"/>
        </w:rPr>
        <w:t>sont</w:t>
      </w:r>
      <w:r w:rsidR="00DB1635" w:rsidRPr="00B004EE">
        <w:rPr>
          <w:rFonts w:ascii="Tahoma" w:hAnsi="Tahoma" w:cs="Tahoma"/>
          <w:sz w:val="20"/>
          <w:szCs w:val="20"/>
          <w:lang w:val="fr-FR"/>
        </w:rPr>
        <w:t xml:space="preserve"> </w:t>
      </w:r>
      <w:r w:rsidRPr="00B004EE">
        <w:rPr>
          <w:rFonts w:ascii="Tahoma" w:hAnsi="Tahoma" w:cs="Tahoma"/>
          <w:sz w:val="20"/>
          <w:szCs w:val="20"/>
          <w:lang w:val="fr-FR"/>
        </w:rPr>
        <w:t>nommés</w:t>
      </w:r>
      <w:r w:rsidR="00DB1635" w:rsidRPr="00B004EE">
        <w:rPr>
          <w:rFonts w:ascii="Tahoma" w:hAnsi="Tahoma" w:cs="Tahoma"/>
          <w:sz w:val="20"/>
          <w:szCs w:val="20"/>
          <w:lang w:val="fr-FR"/>
        </w:rPr>
        <w:t xml:space="preserve"> </w:t>
      </w:r>
      <w:r w:rsidRPr="00B004EE">
        <w:rPr>
          <w:rFonts w:ascii="Tahoma" w:hAnsi="Tahoma" w:cs="Tahoma"/>
          <w:sz w:val="20"/>
          <w:szCs w:val="20"/>
          <w:lang w:val="fr-FR"/>
        </w:rPr>
        <w:t>sur</w:t>
      </w:r>
      <w:r w:rsidR="00DB1635" w:rsidRPr="00B004EE">
        <w:rPr>
          <w:rFonts w:ascii="Tahoma" w:hAnsi="Tahoma" w:cs="Tahoma"/>
          <w:sz w:val="20"/>
          <w:szCs w:val="20"/>
          <w:lang w:val="fr-FR"/>
        </w:rPr>
        <w:t xml:space="preserve"> </w:t>
      </w:r>
      <w:r w:rsidRPr="00B004EE">
        <w:rPr>
          <w:rFonts w:ascii="Tahoma" w:hAnsi="Tahoma" w:cs="Tahoma"/>
          <w:sz w:val="20"/>
          <w:szCs w:val="20"/>
          <w:lang w:val="fr-FR"/>
        </w:rPr>
        <w:t>proposition</w:t>
      </w:r>
      <w:r w:rsidR="00DB1635" w:rsidRPr="00B004EE">
        <w:rPr>
          <w:rFonts w:ascii="Tahoma" w:hAnsi="Tahoma" w:cs="Tahoma"/>
          <w:sz w:val="20"/>
          <w:szCs w:val="20"/>
          <w:lang w:val="fr-FR"/>
        </w:rPr>
        <w:t xml:space="preserve"> </w:t>
      </w:r>
      <w:r w:rsidRPr="00B004EE">
        <w:rPr>
          <w:rFonts w:ascii="Tahoma" w:hAnsi="Tahoma" w:cs="Tahoma"/>
          <w:sz w:val="20"/>
          <w:szCs w:val="20"/>
          <w:lang w:val="fr-FR"/>
        </w:rPr>
        <w:t>des</w:t>
      </w:r>
      <w:r w:rsidR="00DB1635" w:rsidRPr="00B004EE">
        <w:rPr>
          <w:rFonts w:ascii="Tahoma" w:hAnsi="Tahoma" w:cs="Tahoma"/>
          <w:sz w:val="20"/>
          <w:szCs w:val="20"/>
          <w:lang w:val="fr-FR"/>
        </w:rPr>
        <w:t xml:space="preserve"> </w:t>
      </w:r>
      <w:r w:rsidRPr="00B004EE">
        <w:rPr>
          <w:rFonts w:ascii="Tahoma" w:hAnsi="Tahoma" w:cs="Tahoma"/>
          <w:sz w:val="20"/>
          <w:szCs w:val="20"/>
          <w:lang w:val="fr-FR"/>
        </w:rPr>
        <w:t>institutions</w:t>
      </w:r>
      <w:r w:rsidR="00DB1635" w:rsidRPr="00B004EE">
        <w:rPr>
          <w:rFonts w:ascii="Tahoma" w:hAnsi="Tahoma" w:cs="Tahoma"/>
          <w:sz w:val="20"/>
          <w:szCs w:val="20"/>
          <w:lang w:val="fr-FR"/>
        </w:rPr>
        <w:t xml:space="preserve"> </w:t>
      </w:r>
      <w:r w:rsidRPr="00B004EE">
        <w:rPr>
          <w:rFonts w:ascii="Tahoma" w:hAnsi="Tahoma" w:cs="Tahoma"/>
          <w:sz w:val="20"/>
          <w:szCs w:val="20"/>
          <w:lang w:val="fr-FR"/>
        </w:rPr>
        <w:t>qu’ils</w:t>
      </w:r>
      <w:r w:rsidR="00DB1635" w:rsidRPr="00B004EE">
        <w:rPr>
          <w:rFonts w:ascii="Tahoma" w:hAnsi="Tahoma" w:cs="Tahoma"/>
          <w:sz w:val="20"/>
          <w:szCs w:val="20"/>
          <w:lang w:val="fr-FR"/>
        </w:rPr>
        <w:t xml:space="preserve"> </w:t>
      </w:r>
      <w:r w:rsidRPr="00B004EE">
        <w:rPr>
          <w:rFonts w:ascii="Tahoma" w:hAnsi="Tahoma" w:cs="Tahoma"/>
          <w:sz w:val="20"/>
          <w:szCs w:val="20"/>
          <w:lang w:val="fr-FR"/>
        </w:rPr>
        <w:t>représentent.</w:t>
      </w:r>
      <w:r w:rsidR="00DB1635" w:rsidRPr="00B004EE">
        <w:rPr>
          <w:rFonts w:ascii="Tahoma" w:hAnsi="Tahoma" w:cs="Tahoma"/>
          <w:sz w:val="20"/>
          <w:szCs w:val="20"/>
          <w:lang w:val="fr-FR"/>
        </w:rPr>
        <w:t xml:space="preserve"> </w:t>
      </w:r>
    </w:p>
    <w:p w14:paraId="3D6867C1" w14:textId="77777777" w:rsidR="008518B0" w:rsidRPr="00B004EE" w:rsidRDefault="008518B0" w:rsidP="00B004EE">
      <w:pPr>
        <w:pStyle w:val="article"/>
        <w:numPr>
          <w:ilvl w:val="0"/>
          <w:numId w:val="0"/>
        </w:numPr>
        <w:tabs>
          <w:tab w:val="left" w:pos="1200"/>
        </w:tabs>
        <w:spacing w:before="0" w:line="240" w:lineRule="auto"/>
        <w:rPr>
          <w:rFonts w:ascii="Tahoma" w:hAnsi="Tahoma" w:cs="Tahoma"/>
          <w:sz w:val="20"/>
          <w:szCs w:val="20"/>
          <w:lang w:val="fr-FR"/>
        </w:rPr>
      </w:pPr>
    </w:p>
    <w:p w14:paraId="6961367F" w14:textId="4663389A" w:rsidR="008518B0" w:rsidRPr="00B004EE" w:rsidRDefault="008518B0" w:rsidP="00B004EE">
      <w:pPr>
        <w:pStyle w:val="article"/>
        <w:numPr>
          <w:ilvl w:val="0"/>
          <w:numId w:val="0"/>
        </w:numPr>
        <w:tabs>
          <w:tab w:val="left" w:pos="1200"/>
        </w:tabs>
        <w:spacing w:before="0" w:line="240" w:lineRule="auto"/>
        <w:rPr>
          <w:rFonts w:ascii="Tahoma" w:hAnsi="Tahoma" w:cs="Tahoma"/>
          <w:sz w:val="20"/>
          <w:szCs w:val="20"/>
          <w:lang w:val="fr-FR"/>
        </w:rPr>
      </w:pPr>
      <w:r w:rsidRPr="00B004EE">
        <w:rPr>
          <w:rFonts w:ascii="Tahoma" w:hAnsi="Tahoma" w:cs="Tahoma"/>
          <w:sz w:val="20"/>
          <w:szCs w:val="20"/>
          <w:lang w:val="fr-FR"/>
        </w:rPr>
        <w:t>Sur</w:t>
      </w:r>
      <w:r w:rsidR="00DB1635" w:rsidRPr="00B004EE">
        <w:rPr>
          <w:rFonts w:ascii="Tahoma" w:hAnsi="Tahoma" w:cs="Tahoma"/>
          <w:sz w:val="20"/>
          <w:szCs w:val="20"/>
          <w:lang w:val="fr-FR"/>
        </w:rPr>
        <w:t xml:space="preserve"> </w:t>
      </w:r>
      <w:r w:rsidRPr="00B004EE">
        <w:rPr>
          <w:rFonts w:ascii="Tahoma" w:hAnsi="Tahoma" w:cs="Tahoma"/>
          <w:sz w:val="20"/>
          <w:szCs w:val="20"/>
          <w:lang w:val="fr-FR"/>
        </w:rPr>
        <w:t>décision</w:t>
      </w:r>
      <w:r w:rsidR="00DB1635" w:rsidRPr="00B004EE">
        <w:rPr>
          <w:rFonts w:ascii="Tahoma" w:hAnsi="Tahoma" w:cs="Tahoma"/>
          <w:sz w:val="20"/>
          <w:szCs w:val="20"/>
          <w:lang w:val="fr-FR"/>
        </w:rPr>
        <w:t xml:space="preserve"> </w:t>
      </w:r>
      <w:r w:rsidRPr="00B004EE">
        <w:rPr>
          <w:rFonts w:ascii="Tahoma" w:hAnsi="Tahoma" w:cs="Tahoma"/>
          <w:sz w:val="20"/>
          <w:szCs w:val="20"/>
          <w:lang w:val="fr-FR"/>
        </w:rPr>
        <w:t>de</w:t>
      </w:r>
      <w:r w:rsidR="00DB1635" w:rsidRPr="00B004EE">
        <w:rPr>
          <w:rFonts w:ascii="Tahoma" w:hAnsi="Tahoma" w:cs="Tahoma"/>
          <w:sz w:val="20"/>
          <w:szCs w:val="20"/>
          <w:lang w:val="fr-FR"/>
        </w:rPr>
        <w:t xml:space="preserve"> </w:t>
      </w:r>
      <w:r w:rsidRPr="00B004EE">
        <w:rPr>
          <w:rFonts w:ascii="Tahoma" w:hAnsi="Tahoma" w:cs="Tahoma"/>
          <w:sz w:val="20"/>
          <w:szCs w:val="20"/>
          <w:lang w:val="fr-FR"/>
        </w:rPr>
        <w:t>son</w:t>
      </w:r>
      <w:r w:rsidR="00DB1635" w:rsidRPr="00B004EE">
        <w:rPr>
          <w:rFonts w:ascii="Tahoma" w:hAnsi="Tahoma" w:cs="Tahoma"/>
          <w:sz w:val="20"/>
          <w:szCs w:val="20"/>
          <w:lang w:val="fr-FR"/>
        </w:rPr>
        <w:t xml:space="preserve"> </w:t>
      </w:r>
      <w:r w:rsidRPr="00B004EE">
        <w:rPr>
          <w:rFonts w:ascii="Tahoma" w:hAnsi="Tahoma" w:cs="Tahoma"/>
          <w:sz w:val="20"/>
          <w:szCs w:val="20"/>
          <w:lang w:val="fr-FR"/>
        </w:rPr>
        <w:t>président,</w:t>
      </w:r>
      <w:r w:rsidR="00DB1635" w:rsidRPr="00B004EE">
        <w:rPr>
          <w:rFonts w:ascii="Tahoma" w:hAnsi="Tahoma" w:cs="Tahoma"/>
          <w:sz w:val="20"/>
          <w:szCs w:val="20"/>
          <w:lang w:val="fr-FR"/>
        </w:rPr>
        <w:t xml:space="preserve"> </w:t>
      </w:r>
      <w:r w:rsidRPr="00B004EE">
        <w:rPr>
          <w:rFonts w:ascii="Tahoma" w:hAnsi="Tahoma" w:cs="Tahoma"/>
          <w:sz w:val="20"/>
          <w:szCs w:val="20"/>
          <w:lang w:val="fr-FR"/>
        </w:rPr>
        <w:t>le</w:t>
      </w:r>
      <w:r w:rsidR="00DB1635" w:rsidRPr="00B004EE">
        <w:rPr>
          <w:rFonts w:ascii="Tahoma" w:hAnsi="Tahoma" w:cs="Tahoma"/>
          <w:sz w:val="20"/>
          <w:szCs w:val="20"/>
          <w:lang w:val="fr-FR"/>
        </w:rPr>
        <w:t xml:space="preserve"> </w:t>
      </w:r>
      <w:r w:rsidRPr="00B004EE">
        <w:rPr>
          <w:rFonts w:ascii="Tahoma" w:hAnsi="Tahoma" w:cs="Tahoma"/>
          <w:sz w:val="20"/>
          <w:szCs w:val="20"/>
          <w:lang w:val="fr-FR"/>
        </w:rPr>
        <w:t>Conseil</w:t>
      </w:r>
      <w:r w:rsidR="00DB1635" w:rsidRPr="00B004EE">
        <w:rPr>
          <w:rFonts w:ascii="Tahoma" w:hAnsi="Tahoma" w:cs="Tahoma"/>
          <w:sz w:val="20"/>
          <w:szCs w:val="20"/>
          <w:lang w:val="fr-FR"/>
        </w:rPr>
        <w:t xml:space="preserve"> </w:t>
      </w:r>
      <w:r w:rsidRPr="00B004EE">
        <w:rPr>
          <w:rFonts w:ascii="Tahoma" w:hAnsi="Tahoma" w:cs="Tahoma"/>
          <w:sz w:val="20"/>
          <w:szCs w:val="20"/>
          <w:lang w:val="fr-FR"/>
        </w:rPr>
        <w:t>peut</w:t>
      </w:r>
      <w:r w:rsidR="00DB1635" w:rsidRPr="00B004EE">
        <w:rPr>
          <w:rFonts w:ascii="Tahoma" w:hAnsi="Tahoma" w:cs="Tahoma"/>
          <w:sz w:val="20"/>
          <w:szCs w:val="20"/>
          <w:lang w:val="fr-FR"/>
        </w:rPr>
        <w:t xml:space="preserve"> </w:t>
      </w:r>
      <w:r w:rsidRPr="00B004EE">
        <w:rPr>
          <w:rFonts w:ascii="Tahoma" w:hAnsi="Tahoma" w:cs="Tahoma"/>
          <w:sz w:val="20"/>
          <w:szCs w:val="20"/>
          <w:lang w:val="fr-FR"/>
        </w:rPr>
        <w:t>inviter</w:t>
      </w:r>
      <w:r w:rsidR="00DB1635" w:rsidRPr="00B004EE">
        <w:rPr>
          <w:rFonts w:ascii="Tahoma" w:hAnsi="Tahoma" w:cs="Tahoma"/>
          <w:sz w:val="20"/>
          <w:szCs w:val="20"/>
          <w:lang w:val="fr-FR"/>
        </w:rPr>
        <w:t xml:space="preserve"> </w:t>
      </w:r>
      <w:r w:rsidRPr="00B004EE">
        <w:rPr>
          <w:rFonts w:ascii="Tahoma" w:hAnsi="Tahoma" w:cs="Tahoma"/>
          <w:sz w:val="20"/>
          <w:szCs w:val="20"/>
          <w:lang w:val="fr-FR"/>
        </w:rPr>
        <w:t>à</w:t>
      </w:r>
      <w:r w:rsidR="00DB1635" w:rsidRPr="00B004EE">
        <w:rPr>
          <w:rFonts w:ascii="Tahoma" w:hAnsi="Tahoma" w:cs="Tahoma"/>
          <w:sz w:val="20"/>
          <w:szCs w:val="20"/>
          <w:lang w:val="fr-FR"/>
        </w:rPr>
        <w:t xml:space="preserve"> </w:t>
      </w:r>
      <w:r w:rsidRPr="00B004EE">
        <w:rPr>
          <w:rFonts w:ascii="Tahoma" w:hAnsi="Tahoma" w:cs="Tahoma"/>
          <w:sz w:val="20"/>
          <w:szCs w:val="20"/>
          <w:lang w:val="fr-FR"/>
        </w:rPr>
        <w:t>participer</w:t>
      </w:r>
      <w:r w:rsidR="00DB1635" w:rsidRPr="00B004EE">
        <w:rPr>
          <w:rFonts w:ascii="Tahoma" w:hAnsi="Tahoma" w:cs="Tahoma"/>
          <w:sz w:val="20"/>
          <w:szCs w:val="20"/>
          <w:lang w:val="fr-FR"/>
        </w:rPr>
        <w:t xml:space="preserve"> </w:t>
      </w:r>
      <w:r w:rsidRPr="00B004EE">
        <w:rPr>
          <w:rFonts w:ascii="Tahoma" w:hAnsi="Tahoma" w:cs="Tahoma"/>
          <w:sz w:val="20"/>
          <w:szCs w:val="20"/>
          <w:lang w:val="fr-FR"/>
        </w:rPr>
        <w:t>à</w:t>
      </w:r>
      <w:r w:rsidR="00DB1635" w:rsidRPr="00B004EE">
        <w:rPr>
          <w:rFonts w:ascii="Tahoma" w:hAnsi="Tahoma" w:cs="Tahoma"/>
          <w:sz w:val="20"/>
          <w:szCs w:val="20"/>
          <w:lang w:val="fr-FR"/>
        </w:rPr>
        <w:t xml:space="preserve"> </w:t>
      </w:r>
      <w:r w:rsidRPr="00B004EE">
        <w:rPr>
          <w:rFonts w:ascii="Tahoma" w:hAnsi="Tahoma" w:cs="Tahoma"/>
          <w:sz w:val="20"/>
          <w:szCs w:val="20"/>
          <w:lang w:val="fr-FR"/>
        </w:rPr>
        <w:t>ses</w:t>
      </w:r>
      <w:r w:rsidR="00DB1635" w:rsidRPr="00B004EE">
        <w:rPr>
          <w:rFonts w:ascii="Tahoma" w:hAnsi="Tahoma" w:cs="Tahoma"/>
          <w:sz w:val="20"/>
          <w:szCs w:val="20"/>
          <w:lang w:val="fr-FR"/>
        </w:rPr>
        <w:t xml:space="preserve"> </w:t>
      </w:r>
      <w:r w:rsidRPr="00B004EE">
        <w:rPr>
          <w:rFonts w:ascii="Tahoma" w:hAnsi="Tahoma" w:cs="Tahoma"/>
          <w:sz w:val="20"/>
          <w:szCs w:val="20"/>
          <w:lang w:val="fr-FR"/>
        </w:rPr>
        <w:t>séances,</w:t>
      </w:r>
      <w:r w:rsidR="00DB1635" w:rsidRPr="00B004EE">
        <w:rPr>
          <w:rFonts w:ascii="Tahoma" w:hAnsi="Tahoma" w:cs="Tahoma"/>
          <w:sz w:val="20"/>
          <w:szCs w:val="20"/>
          <w:lang w:val="fr-FR"/>
        </w:rPr>
        <w:t xml:space="preserve"> </w:t>
      </w:r>
      <w:r w:rsidRPr="00B004EE">
        <w:rPr>
          <w:rFonts w:ascii="Tahoma" w:hAnsi="Tahoma" w:cs="Tahoma"/>
          <w:sz w:val="20"/>
          <w:szCs w:val="20"/>
          <w:lang w:val="fr-FR"/>
        </w:rPr>
        <w:t>toute</w:t>
      </w:r>
      <w:r w:rsidR="00DB1635" w:rsidRPr="00B004EE">
        <w:rPr>
          <w:rFonts w:ascii="Tahoma" w:hAnsi="Tahoma" w:cs="Tahoma"/>
          <w:sz w:val="20"/>
          <w:szCs w:val="20"/>
          <w:lang w:val="fr-FR"/>
        </w:rPr>
        <w:t xml:space="preserve"> </w:t>
      </w:r>
      <w:r w:rsidRPr="00B004EE">
        <w:rPr>
          <w:rFonts w:ascii="Tahoma" w:hAnsi="Tahoma" w:cs="Tahoma"/>
          <w:sz w:val="20"/>
          <w:szCs w:val="20"/>
          <w:lang w:val="fr-FR"/>
        </w:rPr>
        <w:t>personne</w:t>
      </w:r>
      <w:r w:rsidR="00DB1635" w:rsidRPr="00B004EE">
        <w:rPr>
          <w:rFonts w:ascii="Tahoma" w:hAnsi="Tahoma" w:cs="Tahoma"/>
          <w:sz w:val="20"/>
          <w:szCs w:val="20"/>
          <w:lang w:val="fr-FR"/>
        </w:rPr>
        <w:t xml:space="preserve"> </w:t>
      </w:r>
      <w:r w:rsidRPr="00B004EE">
        <w:rPr>
          <w:rFonts w:ascii="Tahoma" w:hAnsi="Tahoma" w:cs="Tahoma"/>
          <w:sz w:val="20"/>
          <w:szCs w:val="20"/>
          <w:lang w:val="fr-FR"/>
        </w:rPr>
        <w:t>dont</w:t>
      </w:r>
      <w:r w:rsidR="00DB1635" w:rsidRPr="00B004EE">
        <w:rPr>
          <w:rFonts w:ascii="Tahoma" w:hAnsi="Tahoma" w:cs="Tahoma"/>
          <w:sz w:val="20"/>
          <w:szCs w:val="20"/>
          <w:lang w:val="fr-FR"/>
        </w:rPr>
        <w:t xml:space="preserve"> </w:t>
      </w:r>
      <w:r w:rsidRPr="00B004EE">
        <w:rPr>
          <w:rFonts w:ascii="Tahoma" w:hAnsi="Tahoma" w:cs="Tahoma"/>
          <w:sz w:val="20"/>
          <w:szCs w:val="20"/>
          <w:lang w:val="fr-FR"/>
        </w:rPr>
        <w:t>l’avis</w:t>
      </w:r>
      <w:r w:rsidR="00DB1635" w:rsidRPr="00B004EE">
        <w:rPr>
          <w:rFonts w:ascii="Tahoma" w:hAnsi="Tahoma" w:cs="Tahoma"/>
          <w:sz w:val="20"/>
          <w:szCs w:val="20"/>
          <w:lang w:val="fr-FR"/>
        </w:rPr>
        <w:t xml:space="preserve"> </w:t>
      </w:r>
      <w:r w:rsidRPr="00B004EE">
        <w:rPr>
          <w:rFonts w:ascii="Tahoma" w:hAnsi="Tahoma" w:cs="Tahoma"/>
          <w:sz w:val="20"/>
          <w:szCs w:val="20"/>
          <w:lang w:val="fr-FR"/>
        </w:rPr>
        <w:t>est</w:t>
      </w:r>
      <w:r w:rsidR="00DB1635" w:rsidRPr="00B004EE">
        <w:rPr>
          <w:rFonts w:ascii="Tahoma" w:hAnsi="Tahoma" w:cs="Tahoma"/>
          <w:sz w:val="20"/>
          <w:szCs w:val="20"/>
          <w:lang w:val="fr-FR"/>
        </w:rPr>
        <w:t xml:space="preserve"> </w:t>
      </w:r>
      <w:r w:rsidRPr="00B004EE">
        <w:rPr>
          <w:rFonts w:ascii="Tahoma" w:hAnsi="Tahoma" w:cs="Tahoma"/>
          <w:sz w:val="20"/>
          <w:szCs w:val="20"/>
          <w:lang w:val="fr-FR"/>
        </w:rPr>
        <w:t>jugé</w:t>
      </w:r>
      <w:r w:rsidR="00DB1635" w:rsidRPr="00B004EE">
        <w:rPr>
          <w:rFonts w:ascii="Tahoma" w:hAnsi="Tahoma" w:cs="Tahoma"/>
          <w:sz w:val="20"/>
          <w:szCs w:val="20"/>
          <w:lang w:val="fr-FR"/>
        </w:rPr>
        <w:t xml:space="preserve"> </w:t>
      </w:r>
      <w:r w:rsidRPr="00B004EE">
        <w:rPr>
          <w:rFonts w:ascii="Tahoma" w:hAnsi="Tahoma" w:cs="Tahoma"/>
          <w:sz w:val="20"/>
          <w:szCs w:val="20"/>
          <w:lang w:val="fr-FR"/>
        </w:rPr>
        <w:t>utile</w:t>
      </w:r>
      <w:r w:rsidR="00DB1635" w:rsidRPr="00B004EE">
        <w:rPr>
          <w:rFonts w:ascii="Tahoma" w:hAnsi="Tahoma" w:cs="Tahoma"/>
          <w:sz w:val="20"/>
          <w:szCs w:val="20"/>
          <w:lang w:val="fr-FR"/>
        </w:rPr>
        <w:t xml:space="preserve"> </w:t>
      </w:r>
      <w:r w:rsidRPr="00B004EE">
        <w:rPr>
          <w:rFonts w:ascii="Tahoma" w:hAnsi="Tahoma" w:cs="Tahoma"/>
          <w:sz w:val="20"/>
          <w:szCs w:val="20"/>
          <w:lang w:val="fr-FR"/>
        </w:rPr>
        <w:t>à</w:t>
      </w:r>
      <w:r w:rsidR="00DB1635" w:rsidRPr="00B004EE">
        <w:rPr>
          <w:rFonts w:ascii="Tahoma" w:hAnsi="Tahoma" w:cs="Tahoma"/>
          <w:sz w:val="20"/>
          <w:szCs w:val="20"/>
          <w:lang w:val="fr-FR"/>
        </w:rPr>
        <w:t xml:space="preserve"> </w:t>
      </w:r>
      <w:r w:rsidRPr="00B004EE">
        <w:rPr>
          <w:rFonts w:ascii="Tahoma" w:hAnsi="Tahoma" w:cs="Tahoma"/>
          <w:sz w:val="20"/>
          <w:szCs w:val="20"/>
          <w:lang w:val="fr-FR"/>
        </w:rPr>
        <w:t>la</w:t>
      </w:r>
      <w:r w:rsidR="00DB1635" w:rsidRPr="00B004EE">
        <w:rPr>
          <w:rFonts w:ascii="Tahoma" w:hAnsi="Tahoma" w:cs="Tahoma"/>
          <w:sz w:val="20"/>
          <w:szCs w:val="20"/>
          <w:lang w:val="fr-FR"/>
        </w:rPr>
        <w:t xml:space="preserve"> </w:t>
      </w:r>
      <w:r w:rsidRPr="00B004EE">
        <w:rPr>
          <w:rFonts w:ascii="Tahoma" w:hAnsi="Tahoma" w:cs="Tahoma"/>
          <w:sz w:val="20"/>
          <w:szCs w:val="20"/>
          <w:lang w:val="fr-FR"/>
        </w:rPr>
        <w:t>discussion</w:t>
      </w:r>
      <w:r w:rsidR="00DB1635" w:rsidRPr="00B004EE">
        <w:rPr>
          <w:rFonts w:ascii="Tahoma" w:hAnsi="Tahoma" w:cs="Tahoma"/>
          <w:sz w:val="20"/>
          <w:szCs w:val="20"/>
          <w:lang w:val="fr-FR"/>
        </w:rPr>
        <w:t xml:space="preserve"> </w:t>
      </w:r>
      <w:r w:rsidRPr="00B004EE">
        <w:rPr>
          <w:rFonts w:ascii="Tahoma" w:hAnsi="Tahoma" w:cs="Tahoma"/>
          <w:sz w:val="20"/>
          <w:szCs w:val="20"/>
          <w:lang w:val="fr-FR"/>
        </w:rPr>
        <w:t>des</w:t>
      </w:r>
      <w:r w:rsidR="00DB1635" w:rsidRPr="00B004EE">
        <w:rPr>
          <w:rFonts w:ascii="Tahoma" w:hAnsi="Tahoma" w:cs="Tahoma"/>
          <w:sz w:val="20"/>
          <w:szCs w:val="20"/>
          <w:lang w:val="fr-FR"/>
        </w:rPr>
        <w:t xml:space="preserve"> </w:t>
      </w:r>
      <w:r w:rsidRPr="00B004EE">
        <w:rPr>
          <w:rFonts w:ascii="Tahoma" w:hAnsi="Tahoma" w:cs="Tahoma"/>
          <w:sz w:val="20"/>
          <w:szCs w:val="20"/>
          <w:lang w:val="fr-FR"/>
        </w:rPr>
        <w:t>points</w:t>
      </w:r>
      <w:r w:rsidR="00DB1635" w:rsidRPr="00B004EE">
        <w:rPr>
          <w:rFonts w:ascii="Tahoma" w:hAnsi="Tahoma" w:cs="Tahoma"/>
          <w:sz w:val="20"/>
          <w:szCs w:val="20"/>
          <w:lang w:val="fr-FR"/>
        </w:rPr>
        <w:t xml:space="preserve"> </w:t>
      </w:r>
      <w:r w:rsidRPr="00B004EE">
        <w:rPr>
          <w:rFonts w:ascii="Tahoma" w:hAnsi="Tahoma" w:cs="Tahoma"/>
          <w:sz w:val="20"/>
          <w:szCs w:val="20"/>
          <w:lang w:val="fr-FR"/>
        </w:rPr>
        <w:t>inscrits</w:t>
      </w:r>
      <w:r w:rsidR="00DB1635" w:rsidRPr="00B004EE">
        <w:rPr>
          <w:rFonts w:ascii="Tahoma" w:hAnsi="Tahoma" w:cs="Tahoma"/>
          <w:sz w:val="20"/>
          <w:szCs w:val="20"/>
          <w:lang w:val="fr-FR"/>
        </w:rPr>
        <w:t xml:space="preserve"> </w:t>
      </w:r>
      <w:r w:rsidRPr="00B004EE">
        <w:rPr>
          <w:rFonts w:ascii="Tahoma" w:hAnsi="Tahoma" w:cs="Tahoma"/>
          <w:sz w:val="20"/>
          <w:szCs w:val="20"/>
          <w:lang w:val="fr-FR"/>
        </w:rPr>
        <w:t>à</w:t>
      </w:r>
      <w:r w:rsidR="00DB1635" w:rsidRPr="00B004EE">
        <w:rPr>
          <w:rFonts w:ascii="Tahoma" w:hAnsi="Tahoma" w:cs="Tahoma"/>
          <w:sz w:val="20"/>
          <w:szCs w:val="20"/>
          <w:lang w:val="fr-FR"/>
        </w:rPr>
        <w:t xml:space="preserve"> </w:t>
      </w:r>
      <w:r w:rsidRPr="00B004EE">
        <w:rPr>
          <w:rFonts w:ascii="Tahoma" w:hAnsi="Tahoma" w:cs="Tahoma"/>
          <w:sz w:val="20"/>
          <w:szCs w:val="20"/>
          <w:lang w:val="fr-FR"/>
        </w:rPr>
        <w:t>l’ordre</w:t>
      </w:r>
      <w:r w:rsidR="00DB1635" w:rsidRPr="00B004EE">
        <w:rPr>
          <w:rFonts w:ascii="Tahoma" w:hAnsi="Tahoma" w:cs="Tahoma"/>
          <w:sz w:val="20"/>
          <w:szCs w:val="20"/>
          <w:lang w:val="fr-FR"/>
        </w:rPr>
        <w:t xml:space="preserve"> </w:t>
      </w:r>
      <w:r w:rsidRPr="00B004EE">
        <w:rPr>
          <w:rFonts w:ascii="Tahoma" w:hAnsi="Tahoma" w:cs="Tahoma"/>
          <w:sz w:val="20"/>
          <w:szCs w:val="20"/>
          <w:lang w:val="fr-FR"/>
        </w:rPr>
        <w:t>du</w:t>
      </w:r>
      <w:r w:rsidR="00DB1635" w:rsidRPr="00B004EE">
        <w:rPr>
          <w:rFonts w:ascii="Tahoma" w:hAnsi="Tahoma" w:cs="Tahoma"/>
          <w:sz w:val="20"/>
          <w:szCs w:val="20"/>
          <w:lang w:val="fr-FR"/>
        </w:rPr>
        <w:t xml:space="preserve"> </w:t>
      </w:r>
      <w:r w:rsidRPr="00B004EE">
        <w:rPr>
          <w:rFonts w:ascii="Tahoma" w:hAnsi="Tahoma" w:cs="Tahoma"/>
          <w:sz w:val="20"/>
          <w:szCs w:val="20"/>
          <w:lang w:val="fr-FR"/>
        </w:rPr>
        <w:t>jour.</w:t>
      </w:r>
      <w:r w:rsidR="00DB1635" w:rsidRPr="00B004EE">
        <w:rPr>
          <w:rFonts w:ascii="Tahoma" w:hAnsi="Tahoma" w:cs="Tahoma"/>
          <w:sz w:val="20"/>
          <w:szCs w:val="20"/>
          <w:lang w:val="fr-FR"/>
        </w:rPr>
        <w:t xml:space="preserve"> </w:t>
      </w:r>
    </w:p>
    <w:p w14:paraId="517488BE" w14:textId="77777777" w:rsidR="008518B0" w:rsidRPr="00B004EE" w:rsidRDefault="008518B0" w:rsidP="00B004EE">
      <w:pPr>
        <w:pStyle w:val="article"/>
        <w:numPr>
          <w:ilvl w:val="0"/>
          <w:numId w:val="0"/>
        </w:numPr>
        <w:tabs>
          <w:tab w:val="left" w:pos="1200"/>
        </w:tabs>
        <w:spacing w:before="0" w:line="240" w:lineRule="auto"/>
        <w:rPr>
          <w:rFonts w:ascii="Tahoma" w:hAnsi="Tahoma" w:cs="Tahoma"/>
          <w:sz w:val="20"/>
          <w:szCs w:val="20"/>
          <w:lang w:val="fr-FR"/>
        </w:rPr>
      </w:pPr>
    </w:p>
    <w:p w14:paraId="7EAEBC5C" w14:textId="3113E56B" w:rsidR="008518B0" w:rsidRPr="00B004EE" w:rsidRDefault="008518B0" w:rsidP="00B004EE">
      <w:pPr>
        <w:pStyle w:val="article"/>
        <w:numPr>
          <w:ilvl w:val="0"/>
          <w:numId w:val="0"/>
        </w:numPr>
        <w:tabs>
          <w:tab w:val="left" w:pos="1200"/>
        </w:tabs>
        <w:spacing w:before="0" w:line="240" w:lineRule="auto"/>
        <w:rPr>
          <w:rFonts w:ascii="Tahoma" w:hAnsi="Tahoma" w:cs="Tahoma"/>
          <w:sz w:val="20"/>
          <w:szCs w:val="20"/>
        </w:rPr>
      </w:pPr>
      <w:r w:rsidRPr="00B004EE">
        <w:rPr>
          <w:rFonts w:ascii="Tahoma" w:hAnsi="Tahoma" w:cs="Tahoma"/>
          <w:sz w:val="20"/>
          <w:szCs w:val="20"/>
        </w:rPr>
        <w:t>Article</w:t>
      </w:r>
      <w:r w:rsidR="00DB1635" w:rsidRPr="00B004EE">
        <w:rPr>
          <w:rFonts w:ascii="Tahoma" w:hAnsi="Tahoma" w:cs="Tahoma"/>
          <w:sz w:val="20"/>
          <w:szCs w:val="20"/>
        </w:rPr>
        <w:t xml:space="preserve"> </w:t>
      </w:r>
      <w:r w:rsidRPr="00B004EE">
        <w:rPr>
          <w:rFonts w:ascii="Tahoma" w:hAnsi="Tahoma" w:cs="Tahoma"/>
          <w:sz w:val="20"/>
          <w:szCs w:val="20"/>
        </w:rPr>
        <w:t>8</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secrétariat</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lang w:val="fr-FR"/>
        </w:rPr>
        <w:t>Conseil</w:t>
      </w:r>
      <w:r w:rsidR="00DB1635" w:rsidRPr="00B004EE">
        <w:rPr>
          <w:rFonts w:ascii="Tahoma" w:hAnsi="Tahoma" w:cs="Tahoma"/>
          <w:sz w:val="20"/>
          <w:szCs w:val="20"/>
          <w:lang w:val="fr-FR"/>
        </w:rPr>
        <w:t xml:space="preserve"> </w:t>
      </w:r>
      <w:r w:rsidRPr="00B004EE">
        <w:rPr>
          <w:rFonts w:ascii="Tahoma" w:hAnsi="Tahoma" w:cs="Tahoma"/>
          <w:sz w:val="20"/>
          <w:szCs w:val="20"/>
          <w:lang w:val="fr-FR"/>
        </w:rPr>
        <w:t>Consultatif</w:t>
      </w:r>
      <w:r w:rsidR="00DB1635" w:rsidRPr="00B004EE">
        <w:rPr>
          <w:rFonts w:ascii="Tahoma" w:hAnsi="Tahoma" w:cs="Tahoma"/>
          <w:sz w:val="20"/>
          <w:szCs w:val="20"/>
          <w:lang w:val="fr-FR"/>
        </w:rPr>
        <w:t xml:space="preserve"> </w:t>
      </w:r>
      <w:r w:rsidRPr="00B004EE">
        <w:rPr>
          <w:rFonts w:ascii="Tahoma" w:hAnsi="Tahoma" w:cs="Tahoma"/>
          <w:sz w:val="20"/>
          <w:szCs w:val="20"/>
          <w:lang w:val="fr-FR"/>
        </w:rPr>
        <w:t>National</w:t>
      </w:r>
      <w:r w:rsidR="00DB1635" w:rsidRPr="00B004EE">
        <w:rPr>
          <w:rFonts w:ascii="Tahoma" w:hAnsi="Tahoma" w:cs="Tahoma"/>
          <w:sz w:val="20"/>
          <w:szCs w:val="20"/>
          <w:lang w:val="fr-FR"/>
        </w:rPr>
        <w:t xml:space="preserve"> </w:t>
      </w:r>
      <w:r w:rsidRPr="00B004EE">
        <w:rPr>
          <w:rFonts w:ascii="Tahoma" w:hAnsi="Tahoma" w:cs="Tahoma"/>
          <w:sz w:val="20"/>
          <w:szCs w:val="20"/>
          <w:lang w:val="fr-FR"/>
        </w:rPr>
        <w:t>pour</w:t>
      </w:r>
      <w:r w:rsidR="00DB1635" w:rsidRPr="00B004EE">
        <w:rPr>
          <w:rFonts w:ascii="Tahoma" w:hAnsi="Tahoma" w:cs="Tahoma"/>
          <w:sz w:val="20"/>
          <w:szCs w:val="20"/>
          <w:lang w:val="fr-FR"/>
        </w:rPr>
        <w:t xml:space="preserve"> </w:t>
      </w:r>
      <w:r w:rsidRPr="00B004EE">
        <w:rPr>
          <w:rFonts w:ascii="Tahoma" w:hAnsi="Tahoma" w:cs="Tahoma"/>
          <w:sz w:val="20"/>
          <w:szCs w:val="20"/>
          <w:lang w:val="fr-FR"/>
        </w:rPr>
        <w:t>l’Aménagement</w:t>
      </w:r>
      <w:r w:rsidR="00DB1635" w:rsidRPr="00B004EE">
        <w:rPr>
          <w:rFonts w:ascii="Tahoma" w:hAnsi="Tahoma" w:cs="Tahoma"/>
          <w:sz w:val="20"/>
          <w:szCs w:val="20"/>
          <w:lang w:val="fr-FR"/>
        </w:rPr>
        <w:t xml:space="preserve"> </w:t>
      </w:r>
      <w:r w:rsidRPr="00B004EE">
        <w:rPr>
          <w:rFonts w:ascii="Tahoma" w:hAnsi="Tahoma" w:cs="Tahoma"/>
          <w:sz w:val="20"/>
          <w:szCs w:val="20"/>
          <w:lang w:val="fr-FR"/>
        </w:rPr>
        <w:t>et</w:t>
      </w:r>
      <w:r w:rsidR="00DB1635" w:rsidRPr="00B004EE">
        <w:rPr>
          <w:rFonts w:ascii="Tahoma" w:hAnsi="Tahoma" w:cs="Tahoma"/>
          <w:sz w:val="20"/>
          <w:szCs w:val="20"/>
          <w:lang w:val="fr-FR"/>
        </w:rPr>
        <w:t xml:space="preserve"> </w:t>
      </w:r>
      <w:r w:rsidRPr="00B004EE">
        <w:rPr>
          <w:rFonts w:ascii="Tahoma" w:hAnsi="Tahoma" w:cs="Tahoma"/>
          <w:sz w:val="20"/>
          <w:szCs w:val="20"/>
          <w:lang w:val="fr-FR"/>
        </w:rPr>
        <w:t>le</w:t>
      </w:r>
      <w:r w:rsidR="00DB1635" w:rsidRPr="00B004EE">
        <w:rPr>
          <w:rFonts w:ascii="Tahoma" w:hAnsi="Tahoma" w:cs="Tahoma"/>
          <w:sz w:val="20"/>
          <w:szCs w:val="20"/>
          <w:lang w:val="fr-FR"/>
        </w:rPr>
        <w:t xml:space="preserve"> </w:t>
      </w:r>
      <w:r w:rsidRPr="00B004EE">
        <w:rPr>
          <w:rFonts w:ascii="Tahoma" w:hAnsi="Tahoma" w:cs="Tahoma"/>
          <w:sz w:val="20"/>
          <w:szCs w:val="20"/>
          <w:lang w:val="fr-FR"/>
        </w:rPr>
        <w:t>Développement</w:t>
      </w:r>
      <w:r w:rsidR="00DB1635" w:rsidRPr="00B004EE">
        <w:rPr>
          <w:rFonts w:ascii="Tahoma" w:hAnsi="Tahoma" w:cs="Tahoma"/>
          <w:sz w:val="20"/>
          <w:szCs w:val="20"/>
          <w:lang w:val="fr-FR"/>
        </w:rPr>
        <w:t xml:space="preserve"> </w:t>
      </w:r>
      <w:r w:rsidRPr="00B004EE">
        <w:rPr>
          <w:rFonts w:ascii="Tahoma" w:hAnsi="Tahoma" w:cs="Tahoma"/>
          <w:sz w:val="20"/>
          <w:szCs w:val="20"/>
          <w:lang w:val="fr-FR"/>
        </w:rPr>
        <w:t>des</w:t>
      </w:r>
      <w:r w:rsidR="00DB1635" w:rsidRPr="00B004EE">
        <w:rPr>
          <w:rFonts w:ascii="Tahoma" w:hAnsi="Tahoma" w:cs="Tahoma"/>
          <w:sz w:val="20"/>
          <w:szCs w:val="20"/>
          <w:lang w:val="fr-FR"/>
        </w:rPr>
        <w:t xml:space="preserve"> </w:t>
      </w:r>
      <w:r w:rsidRPr="00B004EE">
        <w:rPr>
          <w:rFonts w:ascii="Tahoma" w:hAnsi="Tahoma" w:cs="Tahoma"/>
          <w:sz w:val="20"/>
          <w:szCs w:val="20"/>
          <w:lang w:val="fr-FR"/>
        </w:rPr>
        <w:t>pêcheries</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assuré</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Direction</w:t>
      </w:r>
      <w:r w:rsidR="00DB1635" w:rsidRPr="00B004EE">
        <w:rPr>
          <w:rFonts w:ascii="Tahoma" w:hAnsi="Tahoma" w:cs="Tahoma"/>
          <w:sz w:val="20"/>
          <w:szCs w:val="20"/>
        </w:rPr>
        <w:t xml:space="preserve"> </w:t>
      </w:r>
      <w:r w:rsidRPr="00B004EE">
        <w:rPr>
          <w:rFonts w:ascii="Tahoma" w:hAnsi="Tahoma" w:cs="Tahoma"/>
          <w:sz w:val="20"/>
          <w:szCs w:val="20"/>
        </w:rPr>
        <w:t>chargée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l’Aménagement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Ressources</w:t>
      </w:r>
      <w:r w:rsidR="00DB1635" w:rsidRPr="00B004EE">
        <w:rPr>
          <w:rFonts w:ascii="Tahoma" w:hAnsi="Tahoma" w:cs="Tahoma"/>
          <w:sz w:val="20"/>
          <w:szCs w:val="20"/>
        </w:rPr>
        <w:t xml:space="preserve"> </w:t>
      </w:r>
      <w:r w:rsidRPr="00B004EE">
        <w:rPr>
          <w:rFonts w:ascii="Tahoma" w:hAnsi="Tahoma" w:cs="Tahoma"/>
          <w:sz w:val="20"/>
          <w:szCs w:val="20"/>
        </w:rPr>
        <w:t>Halieutiques.</w:t>
      </w:r>
      <w:r w:rsidR="00DB1635" w:rsidRPr="00B004EE">
        <w:rPr>
          <w:rFonts w:ascii="Tahoma" w:hAnsi="Tahoma" w:cs="Tahoma"/>
          <w:sz w:val="20"/>
          <w:szCs w:val="20"/>
        </w:rPr>
        <w:t xml:space="preserve"> </w:t>
      </w:r>
    </w:p>
    <w:p w14:paraId="107CFF60" w14:textId="77777777" w:rsidR="008518B0" w:rsidRPr="00B004EE" w:rsidRDefault="008518B0" w:rsidP="00B004EE">
      <w:pPr>
        <w:pStyle w:val="article"/>
        <w:numPr>
          <w:ilvl w:val="0"/>
          <w:numId w:val="0"/>
        </w:numPr>
        <w:tabs>
          <w:tab w:val="left" w:pos="1200"/>
        </w:tabs>
        <w:spacing w:before="0" w:line="240" w:lineRule="auto"/>
        <w:rPr>
          <w:rFonts w:ascii="Tahoma" w:hAnsi="Tahoma" w:cs="Tahoma"/>
          <w:sz w:val="20"/>
          <w:szCs w:val="20"/>
        </w:rPr>
      </w:pPr>
    </w:p>
    <w:p w14:paraId="265DB35C" w14:textId="7AF2026E" w:rsidR="008518B0" w:rsidRPr="00B004EE" w:rsidRDefault="008518B0" w:rsidP="00B004EE">
      <w:pPr>
        <w:pStyle w:val="article"/>
        <w:numPr>
          <w:ilvl w:val="0"/>
          <w:numId w:val="0"/>
        </w:numPr>
        <w:tabs>
          <w:tab w:val="left" w:pos="1200"/>
        </w:tabs>
        <w:spacing w:before="0" w:line="240" w:lineRule="auto"/>
        <w:rPr>
          <w:rFonts w:ascii="Tahoma" w:hAnsi="Tahoma" w:cs="Tahoma"/>
          <w:sz w:val="20"/>
          <w:szCs w:val="20"/>
        </w:rPr>
      </w:pPr>
      <w:r w:rsidRPr="00B004EE">
        <w:rPr>
          <w:rFonts w:ascii="Tahoma" w:hAnsi="Tahoma" w:cs="Tahoma"/>
          <w:sz w:val="20"/>
          <w:szCs w:val="20"/>
        </w:rPr>
        <w:t>Article</w:t>
      </w:r>
      <w:r w:rsidR="00DB1635" w:rsidRPr="00B004EE">
        <w:rPr>
          <w:rFonts w:ascii="Tahoma" w:hAnsi="Tahoma" w:cs="Tahoma"/>
          <w:sz w:val="20"/>
          <w:szCs w:val="20"/>
        </w:rPr>
        <w:t xml:space="preserve"> </w:t>
      </w:r>
      <w:r w:rsidRPr="00B004EE">
        <w:rPr>
          <w:rFonts w:ascii="Tahoma" w:hAnsi="Tahoma" w:cs="Tahoma"/>
          <w:sz w:val="20"/>
          <w:szCs w:val="20"/>
        </w:rPr>
        <w:t>9</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Conseil</w:t>
      </w:r>
      <w:r w:rsidR="00DB1635" w:rsidRPr="00B004EE">
        <w:rPr>
          <w:rFonts w:ascii="Tahoma" w:hAnsi="Tahoma" w:cs="Tahoma"/>
          <w:sz w:val="20"/>
          <w:szCs w:val="20"/>
        </w:rPr>
        <w:t xml:space="preserve"> </w:t>
      </w:r>
      <w:r w:rsidRPr="00B004EE">
        <w:rPr>
          <w:rFonts w:ascii="Tahoma" w:hAnsi="Tahoma" w:cs="Tahoma"/>
          <w:sz w:val="20"/>
          <w:szCs w:val="20"/>
        </w:rPr>
        <w:t>consultatif</w:t>
      </w:r>
      <w:r w:rsidR="00DB1635" w:rsidRPr="00B004EE">
        <w:rPr>
          <w:rFonts w:ascii="Tahoma" w:hAnsi="Tahoma" w:cs="Tahoma"/>
          <w:sz w:val="20"/>
          <w:szCs w:val="20"/>
        </w:rPr>
        <w:t xml:space="preserve"> </w:t>
      </w:r>
      <w:r w:rsidRPr="00B004EE">
        <w:rPr>
          <w:rFonts w:ascii="Tahoma" w:hAnsi="Tahoma" w:cs="Tahoma"/>
          <w:sz w:val="20"/>
          <w:szCs w:val="20"/>
        </w:rPr>
        <w:t>national</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l’Aménagement</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Développement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Pêcheries</w:t>
      </w:r>
      <w:r w:rsidR="00DB1635" w:rsidRPr="00B004EE">
        <w:rPr>
          <w:rFonts w:ascii="Tahoma" w:hAnsi="Tahoma" w:cs="Tahoma"/>
          <w:sz w:val="20"/>
          <w:szCs w:val="20"/>
        </w:rPr>
        <w:t xml:space="preserve"> </w:t>
      </w:r>
      <w:r w:rsidRPr="00B004EE">
        <w:rPr>
          <w:rFonts w:ascii="Tahoma" w:hAnsi="Tahoma" w:cs="Tahoma"/>
          <w:sz w:val="20"/>
          <w:szCs w:val="20"/>
        </w:rPr>
        <w:t>se</w:t>
      </w:r>
      <w:r w:rsidR="00DB1635" w:rsidRPr="00B004EE">
        <w:rPr>
          <w:rFonts w:ascii="Tahoma" w:hAnsi="Tahoma" w:cs="Tahoma"/>
          <w:sz w:val="20"/>
          <w:szCs w:val="20"/>
        </w:rPr>
        <w:t xml:space="preserve"> </w:t>
      </w:r>
      <w:r w:rsidRPr="00B004EE">
        <w:rPr>
          <w:rFonts w:ascii="Tahoma" w:hAnsi="Tahoma" w:cs="Tahoma"/>
          <w:sz w:val="20"/>
          <w:szCs w:val="20"/>
        </w:rPr>
        <w:t>réunit</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session</w:t>
      </w:r>
      <w:r w:rsidR="00DB1635" w:rsidRPr="00B004EE">
        <w:rPr>
          <w:rFonts w:ascii="Tahoma" w:hAnsi="Tahoma" w:cs="Tahoma"/>
          <w:sz w:val="20"/>
          <w:szCs w:val="20"/>
        </w:rPr>
        <w:t xml:space="preserve"> </w:t>
      </w:r>
      <w:r w:rsidRPr="00B004EE">
        <w:rPr>
          <w:rFonts w:ascii="Tahoma" w:hAnsi="Tahoma" w:cs="Tahoma"/>
          <w:sz w:val="20"/>
          <w:szCs w:val="20"/>
        </w:rPr>
        <w:t>ordinaire</w:t>
      </w:r>
      <w:r w:rsidR="00DB1635" w:rsidRPr="00B004EE">
        <w:rPr>
          <w:rFonts w:ascii="Tahoma" w:hAnsi="Tahoma" w:cs="Tahoma"/>
          <w:sz w:val="20"/>
          <w:szCs w:val="20"/>
        </w:rPr>
        <w:t xml:space="preserve"> </w:t>
      </w:r>
      <w:r w:rsidRPr="00B004EE">
        <w:rPr>
          <w:rFonts w:ascii="Tahoma" w:hAnsi="Tahoma" w:cs="Tahoma"/>
          <w:sz w:val="20"/>
          <w:szCs w:val="20"/>
        </w:rPr>
        <w:t>deux</w:t>
      </w:r>
      <w:r w:rsidR="00DB1635" w:rsidRPr="00B004EE">
        <w:rPr>
          <w:rFonts w:ascii="Tahoma" w:hAnsi="Tahoma" w:cs="Tahoma"/>
          <w:sz w:val="20"/>
          <w:szCs w:val="20"/>
        </w:rPr>
        <w:t xml:space="preserve"> </w:t>
      </w:r>
      <w:r w:rsidRPr="00B004EE">
        <w:rPr>
          <w:rFonts w:ascii="Tahoma" w:hAnsi="Tahoma" w:cs="Tahoma"/>
          <w:sz w:val="20"/>
          <w:szCs w:val="20"/>
        </w:rPr>
        <w:t>fois</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an</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autant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fois</w:t>
      </w:r>
      <w:r w:rsidR="00DB1635" w:rsidRPr="00B004EE">
        <w:rPr>
          <w:rFonts w:ascii="Tahoma" w:hAnsi="Tahoma" w:cs="Tahoma"/>
          <w:sz w:val="20"/>
          <w:szCs w:val="20"/>
        </w:rPr>
        <w:t xml:space="preserve"> </w:t>
      </w:r>
      <w:r w:rsidRPr="00B004EE">
        <w:rPr>
          <w:rFonts w:ascii="Tahoma" w:hAnsi="Tahoma" w:cs="Tahoma"/>
          <w:sz w:val="20"/>
          <w:szCs w:val="20"/>
        </w:rPr>
        <w:t>que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besoin,</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session</w:t>
      </w:r>
      <w:r w:rsidR="00DB1635" w:rsidRPr="00B004EE">
        <w:rPr>
          <w:rFonts w:ascii="Tahoma" w:hAnsi="Tahoma" w:cs="Tahoma"/>
          <w:sz w:val="20"/>
          <w:szCs w:val="20"/>
        </w:rPr>
        <w:t xml:space="preserve"> </w:t>
      </w:r>
      <w:r w:rsidRPr="00B004EE">
        <w:rPr>
          <w:rFonts w:ascii="Tahoma" w:hAnsi="Tahoma" w:cs="Tahoma"/>
          <w:sz w:val="20"/>
          <w:szCs w:val="20"/>
        </w:rPr>
        <w:t>extraordinaire,</w:t>
      </w:r>
      <w:r w:rsidR="00DB1635" w:rsidRPr="00B004EE">
        <w:rPr>
          <w:rFonts w:ascii="Tahoma" w:hAnsi="Tahoma" w:cs="Tahoma"/>
          <w:sz w:val="20"/>
          <w:szCs w:val="20"/>
        </w:rPr>
        <w:t xml:space="preserve"> </w:t>
      </w:r>
      <w:r w:rsidRPr="00B004EE">
        <w:rPr>
          <w:rFonts w:ascii="Tahoma" w:hAnsi="Tahoma" w:cs="Tahoma"/>
          <w:sz w:val="20"/>
          <w:szCs w:val="20"/>
        </w:rPr>
        <w:t>sur</w:t>
      </w:r>
      <w:r w:rsidR="00DB1635" w:rsidRPr="00B004EE">
        <w:rPr>
          <w:rFonts w:ascii="Tahoma" w:hAnsi="Tahoma" w:cs="Tahoma"/>
          <w:sz w:val="20"/>
          <w:szCs w:val="20"/>
        </w:rPr>
        <w:t xml:space="preserve"> </w:t>
      </w:r>
      <w:r w:rsidRPr="00B004EE">
        <w:rPr>
          <w:rFonts w:ascii="Tahoma" w:hAnsi="Tahoma" w:cs="Tahoma"/>
          <w:sz w:val="20"/>
          <w:szCs w:val="20"/>
        </w:rPr>
        <w:t>convocation</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son</w:t>
      </w:r>
      <w:r w:rsidR="00DB1635" w:rsidRPr="00B004EE">
        <w:rPr>
          <w:rFonts w:ascii="Tahoma" w:hAnsi="Tahoma" w:cs="Tahoma"/>
          <w:sz w:val="20"/>
          <w:szCs w:val="20"/>
        </w:rPr>
        <w:t xml:space="preserve"> </w:t>
      </w:r>
      <w:r w:rsidRPr="00B004EE">
        <w:rPr>
          <w:rFonts w:ascii="Tahoma" w:hAnsi="Tahoma" w:cs="Tahoma"/>
          <w:sz w:val="20"/>
          <w:szCs w:val="20"/>
        </w:rPr>
        <w:t>président</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demande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deux</w:t>
      </w:r>
      <w:r w:rsidR="00DB1635" w:rsidRPr="00B004EE">
        <w:rPr>
          <w:rFonts w:ascii="Tahoma" w:hAnsi="Tahoma" w:cs="Tahoma"/>
          <w:sz w:val="20"/>
          <w:szCs w:val="20"/>
        </w:rPr>
        <w:t xml:space="preserve"> </w:t>
      </w:r>
      <w:r w:rsidRPr="00B004EE">
        <w:rPr>
          <w:rFonts w:ascii="Tahoma" w:hAnsi="Tahoma" w:cs="Tahoma"/>
          <w:sz w:val="20"/>
          <w:szCs w:val="20"/>
        </w:rPr>
        <w:t>tiers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ses</w:t>
      </w:r>
      <w:r w:rsidR="00DB1635" w:rsidRPr="00B004EE">
        <w:rPr>
          <w:rFonts w:ascii="Tahoma" w:hAnsi="Tahoma" w:cs="Tahoma"/>
          <w:sz w:val="20"/>
          <w:szCs w:val="20"/>
        </w:rPr>
        <w:t xml:space="preserve"> </w:t>
      </w:r>
      <w:r w:rsidRPr="00B004EE">
        <w:rPr>
          <w:rFonts w:ascii="Tahoma" w:hAnsi="Tahoma" w:cs="Tahoma"/>
          <w:sz w:val="20"/>
          <w:szCs w:val="20"/>
        </w:rPr>
        <w:t>membres.</w:t>
      </w:r>
      <w:r w:rsidR="00DB1635" w:rsidRPr="00B004EE">
        <w:rPr>
          <w:rFonts w:ascii="Tahoma" w:hAnsi="Tahoma" w:cs="Tahoma"/>
          <w:sz w:val="20"/>
          <w:szCs w:val="20"/>
        </w:rPr>
        <w:t xml:space="preserve"> </w:t>
      </w:r>
    </w:p>
    <w:p w14:paraId="73B68DB6" w14:textId="77777777" w:rsidR="008518B0" w:rsidRPr="00B004EE" w:rsidRDefault="008518B0" w:rsidP="00B004EE">
      <w:pPr>
        <w:pStyle w:val="article"/>
        <w:numPr>
          <w:ilvl w:val="0"/>
          <w:numId w:val="0"/>
        </w:numPr>
        <w:tabs>
          <w:tab w:val="left" w:pos="1200"/>
        </w:tabs>
        <w:spacing w:before="0" w:line="240" w:lineRule="auto"/>
        <w:rPr>
          <w:rFonts w:ascii="Tahoma" w:hAnsi="Tahoma" w:cs="Tahoma"/>
          <w:sz w:val="20"/>
          <w:szCs w:val="20"/>
        </w:rPr>
      </w:pPr>
    </w:p>
    <w:p w14:paraId="3D676F49" w14:textId="5F95735D" w:rsidR="008518B0" w:rsidRPr="00B004EE" w:rsidRDefault="008518B0" w:rsidP="00B004EE">
      <w:pPr>
        <w:pStyle w:val="Corpsdetexte22"/>
        <w:numPr>
          <w:ilvl w:val="12"/>
          <w:numId w:val="0"/>
        </w:numPr>
        <w:tabs>
          <w:tab w:val="clear" w:pos="0"/>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rPr>
          <w:rFonts w:ascii="Tahoma" w:hAnsi="Tahoma" w:cs="Tahoma"/>
          <w:sz w:val="20"/>
          <w:szCs w:val="20"/>
        </w:rPr>
      </w:pP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tous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cas,</w:t>
      </w:r>
      <w:r w:rsidR="00DB1635" w:rsidRPr="00B004EE">
        <w:rPr>
          <w:rFonts w:ascii="Tahoma" w:hAnsi="Tahoma" w:cs="Tahoma"/>
          <w:sz w:val="20"/>
          <w:szCs w:val="20"/>
        </w:rPr>
        <w:t xml:space="preserve"> </w:t>
      </w:r>
      <w:r w:rsidRPr="00B004EE">
        <w:rPr>
          <w:rFonts w:ascii="Tahoma" w:hAnsi="Tahoma" w:cs="Tahoma"/>
          <w:sz w:val="20"/>
          <w:szCs w:val="20"/>
        </w:rPr>
        <w:t>l’avis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convocation</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projet</w:t>
      </w:r>
      <w:r w:rsidR="00DB1635" w:rsidRPr="00B004EE">
        <w:rPr>
          <w:rFonts w:ascii="Tahoma" w:hAnsi="Tahoma" w:cs="Tahoma"/>
          <w:sz w:val="20"/>
          <w:szCs w:val="20"/>
        </w:rPr>
        <w:t xml:space="preserve"> </w:t>
      </w:r>
      <w:r w:rsidRPr="00B004EE">
        <w:rPr>
          <w:rFonts w:ascii="Tahoma" w:hAnsi="Tahoma" w:cs="Tahoma"/>
          <w:sz w:val="20"/>
          <w:szCs w:val="20"/>
        </w:rPr>
        <w:t>d’ordre</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jour</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notifiés</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membres</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Conseil,</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moins</w:t>
      </w:r>
      <w:r w:rsidR="00DB1635" w:rsidRPr="00B004EE">
        <w:rPr>
          <w:rFonts w:ascii="Tahoma" w:hAnsi="Tahoma" w:cs="Tahoma"/>
          <w:sz w:val="20"/>
          <w:szCs w:val="20"/>
        </w:rPr>
        <w:t xml:space="preserve"> </w:t>
      </w:r>
      <w:r w:rsidRPr="00B004EE">
        <w:rPr>
          <w:rFonts w:ascii="Tahoma" w:hAnsi="Tahoma" w:cs="Tahoma"/>
          <w:sz w:val="20"/>
          <w:szCs w:val="20"/>
        </w:rPr>
        <w:t>sept</w:t>
      </w:r>
      <w:r w:rsidR="00DB1635" w:rsidRPr="00B004EE">
        <w:rPr>
          <w:rFonts w:ascii="Tahoma" w:hAnsi="Tahoma" w:cs="Tahoma"/>
          <w:sz w:val="20"/>
          <w:szCs w:val="20"/>
        </w:rPr>
        <w:t xml:space="preserve"> </w:t>
      </w:r>
      <w:r w:rsidRPr="00B004EE">
        <w:rPr>
          <w:rFonts w:ascii="Tahoma" w:hAnsi="Tahoma" w:cs="Tahoma"/>
          <w:sz w:val="20"/>
          <w:szCs w:val="20"/>
        </w:rPr>
        <w:t>(7)</w:t>
      </w:r>
      <w:r w:rsidR="00DB1635" w:rsidRPr="00B004EE">
        <w:rPr>
          <w:rFonts w:ascii="Tahoma" w:hAnsi="Tahoma" w:cs="Tahoma"/>
          <w:sz w:val="20"/>
          <w:szCs w:val="20"/>
        </w:rPr>
        <w:t xml:space="preserve"> </w:t>
      </w:r>
      <w:r w:rsidRPr="00B004EE">
        <w:rPr>
          <w:rFonts w:ascii="Tahoma" w:hAnsi="Tahoma" w:cs="Tahoma"/>
          <w:sz w:val="20"/>
          <w:szCs w:val="20"/>
        </w:rPr>
        <w:t>jours</w:t>
      </w:r>
      <w:r w:rsidR="00DB1635" w:rsidRPr="00B004EE">
        <w:rPr>
          <w:rFonts w:ascii="Tahoma" w:hAnsi="Tahoma" w:cs="Tahoma"/>
          <w:sz w:val="20"/>
          <w:szCs w:val="20"/>
        </w:rPr>
        <w:t xml:space="preserve"> </w:t>
      </w:r>
      <w:r w:rsidRPr="00B004EE">
        <w:rPr>
          <w:rFonts w:ascii="Tahoma" w:hAnsi="Tahoma" w:cs="Tahoma"/>
          <w:sz w:val="20"/>
          <w:szCs w:val="20"/>
        </w:rPr>
        <w:t>avant</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date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réunion.</w:t>
      </w:r>
    </w:p>
    <w:p w14:paraId="44251A36" w14:textId="3658502D" w:rsidR="008518B0" w:rsidRPr="00B004EE" w:rsidRDefault="008518B0" w:rsidP="00B004EE">
      <w:pPr>
        <w:pStyle w:val="Corpsdetexte22"/>
        <w:numPr>
          <w:ilvl w:val="12"/>
          <w:numId w:val="0"/>
        </w:numPr>
        <w:tabs>
          <w:tab w:val="clear" w:pos="0"/>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rPr>
          <w:rFonts w:ascii="Tahoma" w:hAnsi="Tahoma" w:cs="Tahoma"/>
          <w:sz w:val="20"/>
          <w:szCs w:val="20"/>
        </w:rPr>
      </w:pP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membres</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Conseil</w:t>
      </w:r>
      <w:r w:rsidR="00DB1635" w:rsidRPr="00B004EE">
        <w:rPr>
          <w:rFonts w:ascii="Tahoma" w:hAnsi="Tahoma" w:cs="Tahoma"/>
          <w:sz w:val="20"/>
          <w:szCs w:val="20"/>
        </w:rPr>
        <w:t xml:space="preserve"> </w:t>
      </w:r>
      <w:r w:rsidRPr="00B004EE">
        <w:rPr>
          <w:rFonts w:ascii="Tahoma" w:hAnsi="Tahoma" w:cs="Tahoma"/>
          <w:sz w:val="20"/>
          <w:szCs w:val="20"/>
        </w:rPr>
        <w:t>consultatif</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secrétariat</w:t>
      </w:r>
      <w:r w:rsidR="00DB1635" w:rsidRPr="00B004EE">
        <w:rPr>
          <w:rFonts w:ascii="Tahoma" w:hAnsi="Tahoma" w:cs="Tahoma"/>
          <w:sz w:val="20"/>
          <w:szCs w:val="20"/>
        </w:rPr>
        <w:t xml:space="preserve"> </w:t>
      </w:r>
      <w:r w:rsidRPr="00B004EE">
        <w:rPr>
          <w:rFonts w:ascii="Tahoma" w:hAnsi="Tahoma" w:cs="Tahoma"/>
          <w:sz w:val="20"/>
          <w:szCs w:val="20"/>
        </w:rPr>
        <w:t>perçoivent,</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titre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leurs</w:t>
      </w:r>
      <w:r w:rsidR="00DB1635" w:rsidRPr="00B004EE">
        <w:rPr>
          <w:rFonts w:ascii="Tahoma" w:hAnsi="Tahoma" w:cs="Tahoma"/>
          <w:sz w:val="20"/>
          <w:szCs w:val="20"/>
        </w:rPr>
        <w:t xml:space="preserve"> </w:t>
      </w:r>
      <w:r w:rsidRPr="00B004EE">
        <w:rPr>
          <w:rFonts w:ascii="Tahoma" w:hAnsi="Tahoma" w:cs="Tahoma"/>
          <w:sz w:val="20"/>
          <w:szCs w:val="20"/>
        </w:rPr>
        <w:t>fonctions,</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indemnités</w:t>
      </w:r>
      <w:r w:rsidR="00DB1635" w:rsidRPr="00B004EE">
        <w:rPr>
          <w:rFonts w:ascii="Tahoma" w:hAnsi="Tahoma" w:cs="Tahoma"/>
          <w:sz w:val="20"/>
          <w:szCs w:val="20"/>
        </w:rPr>
        <w:t xml:space="preserve"> </w:t>
      </w:r>
      <w:r w:rsidRPr="00B004EE">
        <w:rPr>
          <w:rFonts w:ascii="Tahoma" w:hAnsi="Tahoma" w:cs="Tahoma"/>
          <w:sz w:val="20"/>
          <w:szCs w:val="20"/>
        </w:rPr>
        <w:t>dont</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montant</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fixé</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arrêté</w:t>
      </w:r>
      <w:r w:rsidR="00DB1635" w:rsidRPr="00B004EE">
        <w:rPr>
          <w:rFonts w:ascii="Tahoma" w:hAnsi="Tahoma" w:cs="Tahoma"/>
          <w:sz w:val="20"/>
          <w:szCs w:val="20"/>
        </w:rPr>
        <w:t xml:space="preserve"> </w:t>
      </w:r>
      <w:r w:rsidRPr="00B004EE">
        <w:rPr>
          <w:rFonts w:ascii="Tahoma" w:hAnsi="Tahoma" w:cs="Tahoma"/>
          <w:sz w:val="20"/>
          <w:szCs w:val="20"/>
        </w:rPr>
        <w:t>conjoint</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ministre</w:t>
      </w:r>
      <w:r w:rsidR="00DB1635" w:rsidRPr="00B004EE">
        <w:rPr>
          <w:rFonts w:ascii="Tahoma" w:hAnsi="Tahoma" w:cs="Tahoma"/>
          <w:sz w:val="20"/>
          <w:szCs w:val="20"/>
        </w:rPr>
        <w:t xml:space="preserve"> </w:t>
      </w:r>
      <w:r w:rsidRPr="00B004EE">
        <w:rPr>
          <w:rFonts w:ascii="Tahoma" w:hAnsi="Tahoma" w:cs="Tahoma"/>
          <w:sz w:val="20"/>
          <w:szCs w:val="20"/>
        </w:rPr>
        <w:t>chargé</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ministre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Finances.</w:t>
      </w:r>
    </w:p>
    <w:p w14:paraId="5E6B6986" w14:textId="77777777" w:rsidR="008518B0" w:rsidRPr="00B004EE" w:rsidRDefault="008518B0" w:rsidP="00B004EE">
      <w:pPr>
        <w:pStyle w:val="Corpsdetexte22"/>
        <w:numPr>
          <w:ilvl w:val="12"/>
          <w:numId w:val="0"/>
        </w:numPr>
        <w:tabs>
          <w:tab w:val="clear" w:pos="0"/>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rPr>
          <w:rFonts w:ascii="Tahoma" w:hAnsi="Tahoma" w:cs="Tahoma"/>
          <w:sz w:val="20"/>
          <w:szCs w:val="20"/>
        </w:rPr>
      </w:pPr>
    </w:p>
    <w:p w14:paraId="59BC26B3" w14:textId="426A4504" w:rsidR="008518B0" w:rsidRPr="00B004EE" w:rsidRDefault="008518B0" w:rsidP="00B004EE">
      <w:pPr>
        <w:pStyle w:val="article"/>
        <w:numPr>
          <w:ilvl w:val="0"/>
          <w:numId w:val="0"/>
        </w:numPr>
        <w:tabs>
          <w:tab w:val="left" w:pos="1200"/>
        </w:tabs>
        <w:spacing w:before="0" w:line="240" w:lineRule="auto"/>
        <w:rPr>
          <w:rFonts w:ascii="Tahoma" w:hAnsi="Tahoma" w:cs="Tahoma"/>
          <w:sz w:val="20"/>
          <w:szCs w:val="20"/>
        </w:rPr>
      </w:pPr>
      <w:r w:rsidRPr="00B004EE">
        <w:rPr>
          <w:rFonts w:ascii="Tahoma" w:hAnsi="Tahoma" w:cs="Tahoma"/>
          <w:sz w:val="20"/>
          <w:szCs w:val="20"/>
        </w:rPr>
        <w:t>Article</w:t>
      </w:r>
      <w:r w:rsidR="00DB1635" w:rsidRPr="00B004EE">
        <w:rPr>
          <w:rFonts w:ascii="Tahoma" w:hAnsi="Tahoma" w:cs="Tahoma"/>
          <w:sz w:val="20"/>
          <w:szCs w:val="20"/>
        </w:rPr>
        <w:t xml:space="preserve"> </w:t>
      </w:r>
      <w:r w:rsidRPr="00B004EE">
        <w:rPr>
          <w:rFonts w:ascii="Tahoma" w:hAnsi="Tahoma" w:cs="Tahoma"/>
          <w:sz w:val="20"/>
          <w:szCs w:val="20"/>
        </w:rPr>
        <w:t>10</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application</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l’article</w:t>
      </w:r>
      <w:r w:rsidR="00DB1635" w:rsidRPr="00B004EE">
        <w:rPr>
          <w:rFonts w:ascii="Tahoma" w:hAnsi="Tahoma" w:cs="Tahoma"/>
          <w:sz w:val="20"/>
          <w:szCs w:val="20"/>
        </w:rPr>
        <w:t xml:space="preserve"> </w:t>
      </w:r>
      <w:r w:rsidRPr="00B004EE">
        <w:rPr>
          <w:rFonts w:ascii="Tahoma" w:hAnsi="Tahoma" w:cs="Tahoma"/>
          <w:sz w:val="20"/>
          <w:szCs w:val="20"/>
        </w:rPr>
        <w:t>21</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loi</w:t>
      </w:r>
      <w:r w:rsidR="00DB1635" w:rsidRPr="00B004EE">
        <w:rPr>
          <w:rFonts w:ascii="Tahoma" w:hAnsi="Tahoma" w:cs="Tahoma"/>
          <w:sz w:val="20"/>
          <w:szCs w:val="20"/>
        </w:rPr>
        <w:t xml:space="preserve"> </w:t>
      </w:r>
      <w:r w:rsidRPr="00B004EE">
        <w:rPr>
          <w:rFonts w:ascii="Tahoma" w:hAnsi="Tahoma" w:cs="Tahoma"/>
          <w:sz w:val="20"/>
          <w:szCs w:val="20"/>
        </w:rPr>
        <w:t>n°</w:t>
      </w:r>
      <w:r w:rsidR="00DB1635" w:rsidRPr="00B004EE">
        <w:rPr>
          <w:rFonts w:ascii="Tahoma" w:hAnsi="Tahoma" w:cs="Tahoma"/>
          <w:sz w:val="20"/>
          <w:szCs w:val="20"/>
        </w:rPr>
        <w:t xml:space="preserve"> </w:t>
      </w:r>
      <w:r w:rsidRPr="00B004EE">
        <w:rPr>
          <w:rFonts w:ascii="Tahoma" w:hAnsi="Tahoma" w:cs="Tahoma"/>
          <w:sz w:val="20"/>
          <w:szCs w:val="20"/>
        </w:rPr>
        <w:t>017-2015</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29</w:t>
      </w:r>
      <w:r w:rsidR="00DB1635" w:rsidRPr="00B004EE">
        <w:rPr>
          <w:rFonts w:ascii="Tahoma" w:hAnsi="Tahoma" w:cs="Tahoma"/>
          <w:sz w:val="20"/>
          <w:szCs w:val="20"/>
        </w:rPr>
        <w:t xml:space="preserve"> </w:t>
      </w:r>
      <w:r w:rsidRPr="00B004EE">
        <w:rPr>
          <w:rFonts w:ascii="Tahoma" w:hAnsi="Tahoma" w:cs="Tahoma"/>
          <w:sz w:val="20"/>
          <w:szCs w:val="20"/>
        </w:rPr>
        <w:t>juillet</w:t>
      </w:r>
      <w:r w:rsidR="00DB1635" w:rsidRPr="00B004EE">
        <w:rPr>
          <w:rFonts w:ascii="Tahoma" w:hAnsi="Tahoma" w:cs="Tahoma"/>
          <w:sz w:val="20"/>
          <w:szCs w:val="20"/>
        </w:rPr>
        <w:t xml:space="preserve"> </w:t>
      </w:r>
      <w:r w:rsidRPr="00B004EE">
        <w:rPr>
          <w:rFonts w:ascii="Tahoma" w:hAnsi="Tahoma" w:cs="Tahoma"/>
          <w:sz w:val="20"/>
          <w:szCs w:val="20"/>
        </w:rPr>
        <w:t>2015</w:t>
      </w:r>
      <w:r w:rsidR="00DB1635" w:rsidRPr="00B004EE">
        <w:rPr>
          <w:rFonts w:ascii="Tahoma" w:hAnsi="Tahoma" w:cs="Tahoma"/>
          <w:sz w:val="20"/>
          <w:szCs w:val="20"/>
        </w:rPr>
        <w:t xml:space="preserve"> </w:t>
      </w:r>
      <w:r w:rsidRPr="00B004EE">
        <w:rPr>
          <w:rFonts w:ascii="Tahoma" w:hAnsi="Tahoma" w:cs="Tahoma"/>
          <w:sz w:val="20"/>
          <w:szCs w:val="20"/>
        </w:rPr>
        <w:t>portant</w:t>
      </w:r>
      <w:r w:rsidR="00DB1635" w:rsidRPr="00B004EE">
        <w:rPr>
          <w:rFonts w:ascii="Tahoma" w:hAnsi="Tahoma" w:cs="Tahoma"/>
          <w:sz w:val="20"/>
          <w:szCs w:val="20"/>
        </w:rPr>
        <w:t xml:space="preserve"> </w:t>
      </w:r>
      <w:r w:rsidRPr="00B004EE">
        <w:rPr>
          <w:rFonts w:ascii="Tahoma" w:hAnsi="Tahoma" w:cs="Tahoma"/>
          <w:sz w:val="20"/>
          <w:szCs w:val="20"/>
        </w:rPr>
        <w:t>Code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Conseil</w:t>
      </w:r>
      <w:r w:rsidR="00DB1635" w:rsidRPr="00B004EE">
        <w:rPr>
          <w:rFonts w:ascii="Tahoma" w:hAnsi="Tahoma" w:cs="Tahoma"/>
          <w:sz w:val="20"/>
          <w:szCs w:val="20"/>
        </w:rPr>
        <w:t xml:space="preserve"> </w:t>
      </w:r>
      <w:r w:rsidRPr="00B004EE">
        <w:rPr>
          <w:rFonts w:ascii="Tahoma" w:hAnsi="Tahoma" w:cs="Tahoma"/>
          <w:sz w:val="20"/>
          <w:szCs w:val="20"/>
        </w:rPr>
        <w:t>consultatif</w:t>
      </w:r>
      <w:r w:rsidR="00DB1635" w:rsidRPr="00B004EE">
        <w:rPr>
          <w:rFonts w:ascii="Tahoma" w:hAnsi="Tahoma" w:cs="Tahoma"/>
          <w:sz w:val="20"/>
          <w:szCs w:val="20"/>
        </w:rPr>
        <w:t xml:space="preserve"> </w:t>
      </w:r>
      <w:r w:rsidRPr="00B004EE">
        <w:rPr>
          <w:rFonts w:ascii="Tahoma" w:hAnsi="Tahoma" w:cs="Tahoma"/>
          <w:sz w:val="20"/>
          <w:szCs w:val="20"/>
        </w:rPr>
        <w:t>national</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l’Aménagement</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Développement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Pêcheries</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chargé</w:t>
      </w:r>
      <w:r w:rsidR="00DB1635" w:rsidRPr="00B004EE">
        <w:rPr>
          <w:rFonts w:ascii="Tahoma" w:hAnsi="Tahoma" w:cs="Tahoma"/>
          <w:sz w:val="20"/>
          <w:szCs w:val="20"/>
        </w:rPr>
        <w:t xml:space="preserve"> </w:t>
      </w:r>
      <w:r w:rsidR="00566A20" w:rsidRPr="00B004EE">
        <w:rPr>
          <w:rFonts w:ascii="Tahoma" w:hAnsi="Tahoma" w:cs="Tahoma"/>
          <w:sz w:val="20"/>
          <w:szCs w:val="20"/>
        </w:rPr>
        <w:t>de :</w:t>
      </w:r>
      <w:r w:rsidR="00DB1635" w:rsidRPr="00B004EE">
        <w:rPr>
          <w:rFonts w:ascii="Tahoma" w:hAnsi="Tahoma" w:cs="Tahoma"/>
          <w:sz w:val="20"/>
          <w:szCs w:val="20"/>
        </w:rPr>
        <w:t xml:space="preserve"> </w:t>
      </w:r>
    </w:p>
    <w:p w14:paraId="222585E2" w14:textId="662D0A94" w:rsidR="008518B0" w:rsidRPr="00B004EE" w:rsidRDefault="008518B0" w:rsidP="00B004EE">
      <w:pPr>
        <w:pStyle w:val="numsousart"/>
        <w:spacing w:before="0"/>
        <w:ind w:left="426"/>
        <w:rPr>
          <w:rFonts w:ascii="Tahoma" w:hAnsi="Tahoma" w:cs="Tahoma"/>
          <w:sz w:val="20"/>
          <w:szCs w:val="20"/>
        </w:rPr>
      </w:pPr>
      <w:r w:rsidRPr="00B004EE">
        <w:rPr>
          <w:rFonts w:ascii="Tahoma" w:hAnsi="Tahoma" w:cs="Tahoma"/>
          <w:sz w:val="20"/>
          <w:szCs w:val="20"/>
        </w:rPr>
        <w:t>1.</w:t>
      </w:r>
      <w:r w:rsidR="00DB1635" w:rsidRPr="00B004EE">
        <w:rPr>
          <w:rFonts w:ascii="Tahoma" w:hAnsi="Tahoma" w:cs="Tahoma"/>
          <w:sz w:val="20"/>
          <w:szCs w:val="20"/>
        </w:rPr>
        <w:t xml:space="preserve">  </w:t>
      </w:r>
      <w:r w:rsidRPr="00B004EE">
        <w:rPr>
          <w:rFonts w:ascii="Tahoma" w:hAnsi="Tahoma" w:cs="Tahoma"/>
          <w:sz w:val="20"/>
          <w:szCs w:val="20"/>
        </w:rPr>
        <w:t>donner</w:t>
      </w:r>
      <w:r w:rsidR="00DB1635" w:rsidRPr="00B004EE">
        <w:rPr>
          <w:rFonts w:ascii="Tahoma" w:hAnsi="Tahoma" w:cs="Tahoma"/>
          <w:sz w:val="20"/>
          <w:szCs w:val="20"/>
        </w:rPr>
        <w:t xml:space="preserve"> </w:t>
      </w: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avis</w:t>
      </w:r>
      <w:r w:rsidR="00DB1635" w:rsidRPr="00B004EE">
        <w:rPr>
          <w:rFonts w:ascii="Tahoma" w:hAnsi="Tahoma" w:cs="Tahoma"/>
          <w:sz w:val="20"/>
          <w:szCs w:val="20"/>
        </w:rPr>
        <w:t xml:space="preserve"> </w:t>
      </w:r>
      <w:r w:rsidRPr="00B004EE">
        <w:rPr>
          <w:rFonts w:ascii="Tahoma" w:hAnsi="Tahoma" w:cs="Tahoma"/>
          <w:sz w:val="20"/>
          <w:szCs w:val="20"/>
        </w:rPr>
        <w:t>sur</w:t>
      </w:r>
      <w:r w:rsidR="00DB1635" w:rsidRPr="00B004EE">
        <w:rPr>
          <w:rFonts w:ascii="Tahoma" w:hAnsi="Tahoma" w:cs="Tahoma"/>
          <w:sz w:val="20"/>
          <w:szCs w:val="20"/>
        </w:rPr>
        <w:t xml:space="preserve"> </w:t>
      </w:r>
      <w:r w:rsidRPr="00B004EE">
        <w:rPr>
          <w:rFonts w:ascii="Tahoma" w:hAnsi="Tahoma" w:cs="Tahoma"/>
          <w:sz w:val="20"/>
          <w:szCs w:val="20"/>
        </w:rPr>
        <w:t>l'utilisation</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TAC</w:t>
      </w:r>
      <w:r w:rsidR="00DB1635" w:rsidRPr="00B004EE">
        <w:rPr>
          <w:rFonts w:ascii="Tahoma" w:hAnsi="Tahoma" w:cs="Tahoma"/>
          <w:sz w:val="20"/>
          <w:szCs w:val="20"/>
        </w:rPr>
        <w:t xml:space="preserve"> </w:t>
      </w:r>
      <w:r w:rsidRPr="00B004EE">
        <w:rPr>
          <w:rFonts w:ascii="Tahoma" w:hAnsi="Tahoma" w:cs="Tahoma"/>
          <w:sz w:val="20"/>
          <w:szCs w:val="20"/>
        </w:rPr>
        <w:t>tel</w:t>
      </w:r>
      <w:r w:rsidR="00DB1635" w:rsidRPr="00B004EE">
        <w:rPr>
          <w:rFonts w:ascii="Tahoma" w:hAnsi="Tahoma" w:cs="Tahoma"/>
          <w:sz w:val="20"/>
          <w:szCs w:val="20"/>
        </w:rPr>
        <w:t xml:space="preserve"> </w:t>
      </w:r>
      <w:r w:rsidRPr="00B004EE">
        <w:rPr>
          <w:rFonts w:ascii="Tahoma" w:hAnsi="Tahoma" w:cs="Tahoma"/>
          <w:sz w:val="20"/>
          <w:szCs w:val="20"/>
        </w:rPr>
        <w:t>que</w:t>
      </w:r>
      <w:r w:rsidR="00DB1635" w:rsidRPr="00B004EE">
        <w:rPr>
          <w:rFonts w:ascii="Tahoma" w:hAnsi="Tahoma" w:cs="Tahoma"/>
          <w:sz w:val="20"/>
          <w:szCs w:val="20"/>
        </w:rPr>
        <w:t xml:space="preserve"> </w:t>
      </w:r>
      <w:r w:rsidRPr="00B004EE">
        <w:rPr>
          <w:rFonts w:ascii="Tahoma" w:hAnsi="Tahoma" w:cs="Tahoma"/>
          <w:sz w:val="20"/>
          <w:szCs w:val="20"/>
        </w:rPr>
        <w:t>déterminé</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articles</w:t>
      </w:r>
      <w:r w:rsidR="00DB1635" w:rsidRPr="00B004EE">
        <w:rPr>
          <w:rFonts w:ascii="Tahoma" w:hAnsi="Tahoma" w:cs="Tahoma"/>
          <w:sz w:val="20"/>
          <w:szCs w:val="20"/>
        </w:rPr>
        <w:t xml:space="preserve"> </w:t>
      </w:r>
      <w:r w:rsidRPr="00B004EE">
        <w:rPr>
          <w:rFonts w:ascii="Tahoma" w:hAnsi="Tahoma" w:cs="Tahoma"/>
          <w:sz w:val="20"/>
          <w:szCs w:val="20"/>
        </w:rPr>
        <w:t>12</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13</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loi</w:t>
      </w:r>
      <w:r w:rsidR="00DB1635" w:rsidRPr="00B004EE">
        <w:rPr>
          <w:rFonts w:ascii="Tahoma" w:hAnsi="Tahoma" w:cs="Tahoma"/>
          <w:sz w:val="20"/>
          <w:szCs w:val="20"/>
        </w:rPr>
        <w:t xml:space="preserve"> </w:t>
      </w:r>
      <w:r w:rsidRPr="00B004EE">
        <w:rPr>
          <w:rFonts w:ascii="Tahoma" w:hAnsi="Tahoma" w:cs="Tahoma"/>
          <w:sz w:val="20"/>
          <w:szCs w:val="20"/>
        </w:rPr>
        <w:t>n°</w:t>
      </w:r>
      <w:r w:rsidR="00DB1635" w:rsidRPr="00B004EE">
        <w:rPr>
          <w:rFonts w:ascii="Tahoma" w:hAnsi="Tahoma" w:cs="Tahoma"/>
          <w:sz w:val="20"/>
          <w:szCs w:val="20"/>
        </w:rPr>
        <w:t xml:space="preserve"> </w:t>
      </w:r>
      <w:r w:rsidRPr="00B004EE">
        <w:rPr>
          <w:rFonts w:ascii="Tahoma" w:hAnsi="Tahoma" w:cs="Tahoma"/>
          <w:sz w:val="20"/>
          <w:szCs w:val="20"/>
        </w:rPr>
        <w:t>2015</w:t>
      </w:r>
      <w:r w:rsidR="00DB1635" w:rsidRPr="00B004EE">
        <w:rPr>
          <w:rFonts w:ascii="Tahoma" w:hAnsi="Tahoma" w:cs="Tahoma"/>
          <w:sz w:val="20"/>
          <w:szCs w:val="20"/>
        </w:rPr>
        <w:t xml:space="preserve"> </w:t>
      </w:r>
      <w:r w:rsidRPr="00B004EE">
        <w:rPr>
          <w:rFonts w:ascii="Tahoma" w:hAnsi="Tahoma" w:cs="Tahoma"/>
          <w:sz w:val="20"/>
          <w:szCs w:val="20"/>
        </w:rPr>
        <w:t>-017</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29</w:t>
      </w:r>
      <w:r w:rsidR="00DB1635" w:rsidRPr="00B004EE">
        <w:rPr>
          <w:rFonts w:ascii="Tahoma" w:hAnsi="Tahoma" w:cs="Tahoma"/>
          <w:sz w:val="20"/>
          <w:szCs w:val="20"/>
        </w:rPr>
        <w:t xml:space="preserve"> </w:t>
      </w:r>
      <w:r w:rsidRPr="00B004EE">
        <w:rPr>
          <w:rFonts w:ascii="Tahoma" w:hAnsi="Tahoma" w:cs="Tahoma"/>
          <w:sz w:val="20"/>
          <w:szCs w:val="20"/>
        </w:rPr>
        <w:t>juillet</w:t>
      </w:r>
      <w:r w:rsidR="00DB1635" w:rsidRPr="00B004EE">
        <w:rPr>
          <w:rFonts w:ascii="Tahoma" w:hAnsi="Tahoma" w:cs="Tahoma"/>
          <w:sz w:val="20"/>
          <w:szCs w:val="20"/>
        </w:rPr>
        <w:t xml:space="preserve"> </w:t>
      </w:r>
      <w:r w:rsidRPr="00B004EE">
        <w:rPr>
          <w:rFonts w:ascii="Tahoma" w:hAnsi="Tahoma" w:cs="Tahoma"/>
          <w:sz w:val="20"/>
          <w:szCs w:val="20"/>
        </w:rPr>
        <w:t>2015</w:t>
      </w:r>
      <w:r w:rsidR="00DB1635" w:rsidRPr="00B004EE">
        <w:rPr>
          <w:rFonts w:ascii="Tahoma" w:hAnsi="Tahoma" w:cs="Tahoma"/>
          <w:sz w:val="20"/>
          <w:szCs w:val="20"/>
        </w:rPr>
        <w:t xml:space="preserve"> </w:t>
      </w:r>
      <w:r w:rsidRPr="00B004EE">
        <w:rPr>
          <w:rFonts w:ascii="Tahoma" w:hAnsi="Tahoma" w:cs="Tahoma"/>
          <w:sz w:val="20"/>
          <w:szCs w:val="20"/>
        </w:rPr>
        <w:t>portant</w:t>
      </w:r>
      <w:r w:rsidR="00DB1635" w:rsidRPr="00B004EE">
        <w:rPr>
          <w:rFonts w:ascii="Tahoma" w:hAnsi="Tahoma" w:cs="Tahoma"/>
          <w:sz w:val="20"/>
          <w:szCs w:val="20"/>
        </w:rPr>
        <w:t xml:space="preserve"> </w:t>
      </w:r>
      <w:r w:rsidRPr="00B004EE">
        <w:rPr>
          <w:rFonts w:ascii="Tahoma" w:hAnsi="Tahoma" w:cs="Tahoma"/>
          <w:sz w:val="20"/>
          <w:szCs w:val="20"/>
        </w:rPr>
        <w:t>Code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sz w:val="20"/>
          <w:szCs w:val="20"/>
        </w:rPr>
        <w:t xml:space="preserve"> </w:t>
      </w:r>
      <w:r w:rsidRPr="00B004EE">
        <w:rPr>
          <w:rFonts w:ascii="Tahoma" w:hAnsi="Tahoma" w:cs="Tahoma"/>
          <w:sz w:val="20"/>
          <w:szCs w:val="20"/>
        </w:rPr>
        <w:t>maritimes</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p>
    <w:p w14:paraId="148DF550" w14:textId="08CF9F91" w:rsidR="008518B0" w:rsidRPr="00B004EE" w:rsidRDefault="008518B0" w:rsidP="00B004EE">
      <w:pPr>
        <w:pStyle w:val="numsousart"/>
        <w:spacing w:before="0"/>
        <w:ind w:left="426"/>
        <w:rPr>
          <w:rFonts w:ascii="Tahoma" w:hAnsi="Tahoma" w:cs="Tahoma"/>
          <w:sz w:val="20"/>
          <w:szCs w:val="20"/>
        </w:rPr>
      </w:pPr>
      <w:r w:rsidRPr="00B004EE">
        <w:rPr>
          <w:rFonts w:ascii="Tahoma" w:hAnsi="Tahoma" w:cs="Tahoma"/>
          <w:sz w:val="20"/>
          <w:szCs w:val="20"/>
        </w:rPr>
        <w:t>2.</w:t>
      </w:r>
      <w:r w:rsidRPr="00B004EE">
        <w:rPr>
          <w:rFonts w:ascii="Tahoma" w:hAnsi="Tahoma" w:cs="Tahoma"/>
          <w:sz w:val="20"/>
          <w:szCs w:val="20"/>
        </w:rPr>
        <w:tab/>
        <w:t>donner</w:t>
      </w:r>
      <w:r w:rsidR="00DB1635" w:rsidRPr="00B004EE">
        <w:rPr>
          <w:rFonts w:ascii="Tahoma" w:hAnsi="Tahoma" w:cs="Tahoma"/>
          <w:sz w:val="20"/>
          <w:szCs w:val="20"/>
        </w:rPr>
        <w:t xml:space="preserve"> </w:t>
      </w: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avis</w:t>
      </w:r>
      <w:r w:rsidR="00DB1635" w:rsidRPr="00B004EE">
        <w:rPr>
          <w:rFonts w:ascii="Tahoma" w:hAnsi="Tahoma" w:cs="Tahoma"/>
          <w:sz w:val="20"/>
          <w:szCs w:val="20"/>
        </w:rPr>
        <w:t xml:space="preserve"> </w:t>
      </w:r>
      <w:r w:rsidRPr="00B004EE">
        <w:rPr>
          <w:rFonts w:ascii="Tahoma" w:hAnsi="Tahoma" w:cs="Tahoma"/>
          <w:sz w:val="20"/>
          <w:szCs w:val="20"/>
        </w:rPr>
        <w:t>sur</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choix</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stratégies</w:t>
      </w:r>
      <w:r w:rsidR="00DB1635" w:rsidRPr="00B004EE">
        <w:rPr>
          <w:rFonts w:ascii="Tahoma" w:hAnsi="Tahoma" w:cs="Tahoma"/>
          <w:sz w:val="20"/>
          <w:szCs w:val="20"/>
        </w:rPr>
        <w:t xml:space="preserve"> </w:t>
      </w:r>
      <w:r w:rsidRPr="00B004EE">
        <w:rPr>
          <w:rFonts w:ascii="Tahoma" w:hAnsi="Tahoma" w:cs="Tahoma"/>
          <w:sz w:val="20"/>
          <w:szCs w:val="20"/>
        </w:rPr>
        <w:t>d'aménagement,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gestion</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développement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sz w:val="20"/>
          <w:szCs w:val="20"/>
        </w:rPr>
        <w:t xml:space="preserve"> </w:t>
      </w:r>
      <w:r w:rsidRPr="00B004EE">
        <w:rPr>
          <w:rFonts w:ascii="Tahoma" w:hAnsi="Tahoma" w:cs="Tahoma"/>
          <w:sz w:val="20"/>
          <w:szCs w:val="20"/>
        </w:rPr>
        <w:t>;</w:t>
      </w:r>
    </w:p>
    <w:p w14:paraId="2508B91C" w14:textId="424D6FBE" w:rsidR="008518B0" w:rsidRPr="00B004EE" w:rsidRDefault="008518B0" w:rsidP="00B004EE">
      <w:pPr>
        <w:pStyle w:val="numsousart"/>
        <w:spacing w:before="0"/>
        <w:ind w:left="426"/>
        <w:rPr>
          <w:rFonts w:ascii="Tahoma" w:hAnsi="Tahoma" w:cs="Tahoma"/>
          <w:sz w:val="20"/>
          <w:szCs w:val="20"/>
        </w:rPr>
      </w:pPr>
      <w:r w:rsidRPr="00B004EE">
        <w:rPr>
          <w:rFonts w:ascii="Tahoma" w:hAnsi="Tahoma" w:cs="Tahoma"/>
          <w:sz w:val="20"/>
          <w:szCs w:val="20"/>
        </w:rPr>
        <w:t>3.</w:t>
      </w:r>
      <w:r w:rsidRPr="00B004EE">
        <w:rPr>
          <w:rFonts w:ascii="Tahoma" w:hAnsi="Tahoma" w:cs="Tahoma"/>
          <w:sz w:val="20"/>
          <w:szCs w:val="20"/>
        </w:rPr>
        <w:tab/>
        <w:t>donner</w:t>
      </w:r>
      <w:r w:rsidR="00DB1635" w:rsidRPr="00B004EE">
        <w:rPr>
          <w:rFonts w:ascii="Tahoma" w:hAnsi="Tahoma" w:cs="Tahoma"/>
          <w:sz w:val="20"/>
          <w:szCs w:val="20"/>
        </w:rPr>
        <w:t xml:space="preserve"> </w:t>
      </w: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avis</w:t>
      </w:r>
      <w:r w:rsidR="00DB1635" w:rsidRPr="00B004EE">
        <w:rPr>
          <w:rFonts w:ascii="Tahoma" w:hAnsi="Tahoma" w:cs="Tahoma"/>
          <w:sz w:val="20"/>
          <w:szCs w:val="20"/>
        </w:rPr>
        <w:t xml:space="preserve"> </w:t>
      </w:r>
      <w:r w:rsidRPr="00B004EE">
        <w:rPr>
          <w:rFonts w:ascii="Tahoma" w:hAnsi="Tahoma" w:cs="Tahoma"/>
          <w:sz w:val="20"/>
          <w:szCs w:val="20"/>
        </w:rPr>
        <w:t>préalable</w:t>
      </w:r>
      <w:r w:rsidR="00DB1635" w:rsidRPr="00B004EE">
        <w:rPr>
          <w:rFonts w:ascii="Tahoma" w:hAnsi="Tahoma" w:cs="Tahoma"/>
          <w:sz w:val="20"/>
          <w:szCs w:val="20"/>
        </w:rPr>
        <w:t xml:space="preserve"> </w:t>
      </w:r>
      <w:r w:rsidRPr="00B004EE">
        <w:rPr>
          <w:rFonts w:ascii="Tahoma" w:hAnsi="Tahoma" w:cs="Tahoma"/>
          <w:sz w:val="20"/>
          <w:szCs w:val="20"/>
        </w:rPr>
        <w:t>sur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plans</w:t>
      </w:r>
      <w:r w:rsidR="00DB1635" w:rsidRPr="00B004EE">
        <w:rPr>
          <w:rFonts w:ascii="Tahoma" w:hAnsi="Tahoma" w:cs="Tahoma"/>
          <w:sz w:val="20"/>
          <w:szCs w:val="20"/>
        </w:rPr>
        <w:t xml:space="preserve"> </w:t>
      </w:r>
      <w:r w:rsidRPr="00B004EE">
        <w:rPr>
          <w:rFonts w:ascii="Tahoma" w:hAnsi="Tahoma" w:cs="Tahoma"/>
          <w:sz w:val="20"/>
          <w:szCs w:val="20"/>
        </w:rPr>
        <w:t>d'aménagement</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gestion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pêcheries</w:t>
      </w:r>
      <w:r w:rsidR="00DB1635" w:rsidRPr="00B004EE">
        <w:rPr>
          <w:rFonts w:ascii="Tahoma" w:hAnsi="Tahoma" w:cs="Tahoma"/>
          <w:sz w:val="20"/>
          <w:szCs w:val="20"/>
        </w:rPr>
        <w:t xml:space="preserve"> </w:t>
      </w:r>
      <w:r w:rsidRPr="00B004EE">
        <w:rPr>
          <w:rFonts w:ascii="Tahoma" w:hAnsi="Tahoma" w:cs="Tahoma"/>
          <w:sz w:val="20"/>
          <w:szCs w:val="20"/>
        </w:rPr>
        <w:t>;</w:t>
      </w:r>
    </w:p>
    <w:p w14:paraId="5AB21FBE" w14:textId="31D88C2E" w:rsidR="008518B0" w:rsidRPr="00B004EE" w:rsidRDefault="008518B0" w:rsidP="00B004EE">
      <w:pPr>
        <w:pStyle w:val="numsousart"/>
        <w:spacing w:before="0"/>
        <w:ind w:left="426"/>
        <w:rPr>
          <w:rFonts w:ascii="Tahoma" w:hAnsi="Tahoma" w:cs="Tahoma"/>
          <w:sz w:val="20"/>
          <w:szCs w:val="20"/>
        </w:rPr>
      </w:pPr>
      <w:r w:rsidRPr="00B004EE">
        <w:rPr>
          <w:rFonts w:ascii="Tahoma" w:hAnsi="Tahoma" w:cs="Tahoma"/>
          <w:sz w:val="20"/>
          <w:szCs w:val="20"/>
        </w:rPr>
        <w:t>4.</w:t>
      </w:r>
      <w:r w:rsidR="00DB1635" w:rsidRPr="00B004EE">
        <w:rPr>
          <w:rFonts w:ascii="Tahoma" w:hAnsi="Tahoma" w:cs="Tahoma"/>
          <w:sz w:val="20"/>
          <w:szCs w:val="20"/>
        </w:rPr>
        <w:t xml:space="preserve"> </w:t>
      </w:r>
      <w:r w:rsidRPr="00B004EE">
        <w:rPr>
          <w:rFonts w:ascii="Tahoma" w:hAnsi="Tahoma" w:cs="Tahoma"/>
          <w:sz w:val="20"/>
          <w:szCs w:val="20"/>
        </w:rPr>
        <w:tab/>
        <w:t>donner</w:t>
      </w:r>
      <w:r w:rsidR="00DB1635" w:rsidRPr="00B004EE">
        <w:rPr>
          <w:rFonts w:ascii="Tahoma" w:hAnsi="Tahoma" w:cs="Tahoma"/>
          <w:sz w:val="20"/>
          <w:szCs w:val="20"/>
        </w:rPr>
        <w:t xml:space="preserve"> </w:t>
      </w:r>
      <w:r w:rsidRPr="00B004EE">
        <w:rPr>
          <w:rFonts w:ascii="Tahoma" w:hAnsi="Tahoma" w:cs="Tahoma"/>
          <w:sz w:val="20"/>
          <w:szCs w:val="20"/>
        </w:rPr>
        <w:t>périodiquement,</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ministre</w:t>
      </w:r>
      <w:r w:rsidR="00DB1635" w:rsidRPr="00B004EE">
        <w:rPr>
          <w:rFonts w:ascii="Tahoma" w:hAnsi="Tahoma" w:cs="Tahoma"/>
          <w:sz w:val="20"/>
          <w:szCs w:val="20"/>
        </w:rPr>
        <w:t xml:space="preserve"> </w:t>
      </w:r>
      <w:r w:rsidRPr="00B004EE">
        <w:rPr>
          <w:rFonts w:ascii="Tahoma" w:hAnsi="Tahoma" w:cs="Tahoma"/>
          <w:sz w:val="20"/>
          <w:szCs w:val="20"/>
        </w:rPr>
        <w:t>chargé</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sur</w:t>
      </w:r>
      <w:r w:rsidR="00DB1635" w:rsidRPr="00B004EE">
        <w:rPr>
          <w:rFonts w:ascii="Tahoma" w:hAnsi="Tahoma" w:cs="Tahoma"/>
          <w:sz w:val="20"/>
          <w:szCs w:val="20"/>
        </w:rPr>
        <w:t xml:space="preserve"> </w:t>
      </w:r>
      <w:r w:rsidRPr="00B004EE">
        <w:rPr>
          <w:rFonts w:ascii="Tahoma" w:hAnsi="Tahoma" w:cs="Tahoma"/>
          <w:sz w:val="20"/>
          <w:szCs w:val="20"/>
        </w:rPr>
        <w:t>sa</w:t>
      </w:r>
      <w:r w:rsidR="00DB1635" w:rsidRPr="00B004EE">
        <w:rPr>
          <w:rFonts w:ascii="Tahoma" w:hAnsi="Tahoma" w:cs="Tahoma"/>
          <w:sz w:val="20"/>
          <w:szCs w:val="20"/>
        </w:rPr>
        <w:t xml:space="preserve"> </w:t>
      </w:r>
      <w:r w:rsidRPr="00B004EE">
        <w:rPr>
          <w:rFonts w:ascii="Tahoma" w:hAnsi="Tahoma" w:cs="Tahoma"/>
          <w:sz w:val="20"/>
          <w:szCs w:val="20"/>
        </w:rPr>
        <w:t>demande,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avis</w:t>
      </w:r>
      <w:r w:rsidR="00DB1635" w:rsidRPr="00B004EE">
        <w:rPr>
          <w:rFonts w:ascii="Tahoma" w:hAnsi="Tahoma" w:cs="Tahoma"/>
          <w:sz w:val="20"/>
          <w:szCs w:val="20"/>
        </w:rPr>
        <w:t xml:space="preserve"> </w:t>
      </w:r>
      <w:r w:rsidRPr="00B004EE">
        <w:rPr>
          <w:rFonts w:ascii="Tahoma" w:hAnsi="Tahoma" w:cs="Tahoma"/>
          <w:sz w:val="20"/>
          <w:szCs w:val="20"/>
        </w:rPr>
        <w:t>consultatifs</w:t>
      </w:r>
      <w:r w:rsidR="00DB1635" w:rsidRPr="00B004EE">
        <w:rPr>
          <w:rFonts w:ascii="Tahoma" w:hAnsi="Tahoma" w:cs="Tahoma"/>
          <w:sz w:val="20"/>
          <w:szCs w:val="20"/>
        </w:rPr>
        <w:t xml:space="preserve"> </w:t>
      </w:r>
      <w:r w:rsidRPr="00B004EE">
        <w:rPr>
          <w:rFonts w:ascii="Tahoma" w:hAnsi="Tahoma" w:cs="Tahoma"/>
          <w:sz w:val="20"/>
          <w:szCs w:val="20"/>
        </w:rPr>
        <w:t>sur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questions</w:t>
      </w:r>
      <w:r w:rsidR="00DB1635" w:rsidRPr="00B004EE">
        <w:rPr>
          <w:rFonts w:ascii="Tahoma" w:hAnsi="Tahoma" w:cs="Tahoma"/>
          <w:sz w:val="20"/>
          <w:szCs w:val="20"/>
        </w:rPr>
        <w:t xml:space="preserve"> </w:t>
      </w:r>
      <w:r w:rsidRPr="00B004EE">
        <w:rPr>
          <w:rFonts w:ascii="Tahoma" w:hAnsi="Tahoma" w:cs="Tahoma"/>
          <w:sz w:val="20"/>
          <w:szCs w:val="20"/>
        </w:rPr>
        <w:t>d'ordre</w:t>
      </w:r>
      <w:r w:rsidR="00DB1635" w:rsidRPr="00B004EE">
        <w:rPr>
          <w:rFonts w:ascii="Tahoma" w:hAnsi="Tahoma" w:cs="Tahoma"/>
          <w:sz w:val="20"/>
          <w:szCs w:val="20"/>
        </w:rPr>
        <w:t xml:space="preserve"> </w:t>
      </w:r>
      <w:r w:rsidRPr="00B004EE">
        <w:rPr>
          <w:rFonts w:ascii="Tahoma" w:hAnsi="Tahoma" w:cs="Tahoma"/>
          <w:sz w:val="20"/>
          <w:szCs w:val="20"/>
        </w:rPr>
        <w:t>général</w:t>
      </w:r>
      <w:r w:rsidR="00DB1635" w:rsidRPr="00B004EE">
        <w:rPr>
          <w:rFonts w:ascii="Tahoma" w:hAnsi="Tahoma" w:cs="Tahoma"/>
          <w:sz w:val="20"/>
          <w:szCs w:val="20"/>
        </w:rPr>
        <w:t xml:space="preserve"> </w:t>
      </w:r>
      <w:r w:rsidRPr="00B004EE">
        <w:rPr>
          <w:rFonts w:ascii="Tahoma" w:hAnsi="Tahoma" w:cs="Tahoma"/>
          <w:sz w:val="20"/>
          <w:szCs w:val="20"/>
        </w:rPr>
        <w:t>concernant</w:t>
      </w:r>
      <w:r w:rsidR="00DB1635" w:rsidRPr="00B004EE">
        <w:rPr>
          <w:rFonts w:ascii="Tahoma" w:hAnsi="Tahoma" w:cs="Tahoma"/>
          <w:sz w:val="20"/>
          <w:szCs w:val="20"/>
        </w:rPr>
        <w:t xml:space="preserve"> </w:t>
      </w:r>
      <w:r w:rsidRPr="00B004EE">
        <w:rPr>
          <w:rFonts w:ascii="Tahoma" w:hAnsi="Tahoma" w:cs="Tahoma"/>
          <w:sz w:val="20"/>
          <w:szCs w:val="20"/>
        </w:rPr>
        <w:t>notamment</w:t>
      </w:r>
      <w:r w:rsidR="00DB1635" w:rsidRPr="00B004EE">
        <w:rPr>
          <w:rFonts w:ascii="Tahoma" w:hAnsi="Tahoma" w:cs="Tahoma"/>
          <w:sz w:val="20"/>
          <w:szCs w:val="20"/>
        </w:rPr>
        <w:t xml:space="preserve"> </w:t>
      </w:r>
      <w:r w:rsidRPr="00B004EE">
        <w:rPr>
          <w:rFonts w:ascii="Tahoma" w:hAnsi="Tahoma" w:cs="Tahoma"/>
          <w:sz w:val="20"/>
          <w:szCs w:val="20"/>
        </w:rPr>
        <w:t>l'exercice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commercialisation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mesures</w:t>
      </w:r>
      <w:r w:rsidR="00DB1635" w:rsidRPr="00B004EE">
        <w:rPr>
          <w:rFonts w:ascii="Tahoma" w:hAnsi="Tahoma" w:cs="Tahoma"/>
          <w:sz w:val="20"/>
          <w:szCs w:val="20"/>
        </w:rPr>
        <w:t xml:space="preserve"> </w:t>
      </w:r>
      <w:r w:rsidRPr="00B004EE">
        <w:rPr>
          <w:rFonts w:ascii="Tahoma" w:hAnsi="Tahoma" w:cs="Tahoma"/>
          <w:sz w:val="20"/>
          <w:szCs w:val="20"/>
        </w:rPr>
        <w:t>techniques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gestion</w:t>
      </w:r>
      <w:r w:rsidR="00DB1635" w:rsidRPr="00B004EE">
        <w:rPr>
          <w:rFonts w:ascii="Tahoma" w:hAnsi="Tahoma" w:cs="Tahoma"/>
          <w:sz w:val="20"/>
          <w:szCs w:val="20"/>
        </w:rPr>
        <w:t xml:space="preserve"> </w:t>
      </w:r>
      <w:r w:rsidRPr="00B004EE">
        <w:rPr>
          <w:rFonts w:ascii="Tahoma" w:hAnsi="Tahoma" w:cs="Tahoma"/>
          <w:sz w:val="20"/>
          <w:szCs w:val="20"/>
        </w:rPr>
        <w:t>susceptibles</w:t>
      </w:r>
      <w:r w:rsidR="00DB1635" w:rsidRPr="00B004EE">
        <w:rPr>
          <w:rFonts w:ascii="Tahoma" w:hAnsi="Tahoma" w:cs="Tahoma"/>
          <w:sz w:val="20"/>
          <w:szCs w:val="20"/>
        </w:rPr>
        <w:t xml:space="preserve"> </w:t>
      </w:r>
      <w:r w:rsidRPr="00B004EE">
        <w:rPr>
          <w:rFonts w:ascii="Tahoma" w:hAnsi="Tahoma" w:cs="Tahoma"/>
          <w:sz w:val="20"/>
          <w:szCs w:val="20"/>
        </w:rPr>
        <w:t>d'être</w:t>
      </w:r>
      <w:r w:rsidR="00DB1635" w:rsidRPr="00B004EE">
        <w:rPr>
          <w:rFonts w:ascii="Tahoma" w:hAnsi="Tahoma" w:cs="Tahoma"/>
          <w:sz w:val="20"/>
          <w:szCs w:val="20"/>
        </w:rPr>
        <w:t xml:space="preserve"> </w:t>
      </w:r>
      <w:r w:rsidRPr="00B004EE">
        <w:rPr>
          <w:rFonts w:ascii="Tahoma" w:hAnsi="Tahoma" w:cs="Tahoma"/>
          <w:sz w:val="20"/>
          <w:szCs w:val="20"/>
        </w:rPr>
        <w:t>prises.</w:t>
      </w:r>
    </w:p>
    <w:p w14:paraId="7E789B2E" w14:textId="77777777" w:rsidR="008518B0" w:rsidRPr="00B004EE" w:rsidRDefault="008518B0" w:rsidP="00B004EE">
      <w:pPr>
        <w:pStyle w:val="numsousart"/>
        <w:spacing w:before="0"/>
        <w:rPr>
          <w:rFonts w:ascii="Tahoma" w:hAnsi="Tahoma" w:cs="Tahoma"/>
          <w:sz w:val="20"/>
          <w:szCs w:val="20"/>
        </w:rPr>
      </w:pPr>
    </w:p>
    <w:p w14:paraId="73E627C6" w14:textId="1DA0CEDE" w:rsidR="008518B0" w:rsidRPr="00B004EE" w:rsidRDefault="008518B0" w:rsidP="00B004EE">
      <w:pPr>
        <w:pStyle w:val="article"/>
        <w:numPr>
          <w:ilvl w:val="0"/>
          <w:numId w:val="0"/>
        </w:numPr>
        <w:tabs>
          <w:tab w:val="left" w:pos="1200"/>
        </w:tabs>
        <w:spacing w:before="0" w:line="240" w:lineRule="auto"/>
        <w:rPr>
          <w:rFonts w:ascii="Tahoma" w:hAnsi="Tahoma" w:cs="Tahoma"/>
          <w:sz w:val="20"/>
          <w:szCs w:val="20"/>
        </w:rPr>
      </w:pPr>
      <w:r w:rsidRPr="00B004EE">
        <w:rPr>
          <w:rFonts w:ascii="Tahoma" w:hAnsi="Tahoma" w:cs="Tahoma"/>
          <w:sz w:val="20"/>
          <w:szCs w:val="20"/>
        </w:rPr>
        <w:t>Article</w:t>
      </w:r>
      <w:r w:rsidR="00DB1635" w:rsidRPr="00B004EE">
        <w:rPr>
          <w:rFonts w:ascii="Tahoma" w:hAnsi="Tahoma" w:cs="Tahoma"/>
          <w:sz w:val="20"/>
          <w:szCs w:val="20"/>
        </w:rPr>
        <w:t xml:space="preserve"> </w:t>
      </w:r>
      <w:r w:rsidRPr="00B004EE">
        <w:rPr>
          <w:rFonts w:ascii="Tahoma" w:hAnsi="Tahoma" w:cs="Tahoma"/>
          <w:sz w:val="20"/>
          <w:szCs w:val="20"/>
        </w:rPr>
        <w:t>11</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règlement</w:t>
      </w:r>
      <w:r w:rsidR="00DB1635" w:rsidRPr="00B004EE">
        <w:rPr>
          <w:rFonts w:ascii="Tahoma" w:hAnsi="Tahoma" w:cs="Tahoma"/>
          <w:sz w:val="20"/>
          <w:szCs w:val="20"/>
        </w:rPr>
        <w:t xml:space="preserve"> </w:t>
      </w:r>
      <w:r w:rsidRPr="00B004EE">
        <w:rPr>
          <w:rFonts w:ascii="Tahoma" w:hAnsi="Tahoma" w:cs="Tahoma"/>
          <w:sz w:val="20"/>
          <w:szCs w:val="20"/>
        </w:rPr>
        <w:t>intérieur,</w:t>
      </w:r>
      <w:r w:rsidR="00DB1635" w:rsidRPr="00B004EE">
        <w:rPr>
          <w:rFonts w:ascii="Tahoma" w:hAnsi="Tahoma" w:cs="Tahoma"/>
          <w:sz w:val="20"/>
          <w:szCs w:val="20"/>
        </w:rPr>
        <w:t xml:space="preserve"> </w:t>
      </w:r>
      <w:r w:rsidRPr="00B004EE">
        <w:rPr>
          <w:rFonts w:ascii="Tahoma" w:hAnsi="Tahoma" w:cs="Tahoma"/>
          <w:sz w:val="20"/>
          <w:szCs w:val="20"/>
        </w:rPr>
        <w:t>adopté</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majorité</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trois</w:t>
      </w:r>
      <w:r w:rsidR="00DB1635" w:rsidRPr="00B004EE">
        <w:rPr>
          <w:rFonts w:ascii="Tahoma" w:hAnsi="Tahoma" w:cs="Tahoma"/>
          <w:sz w:val="20"/>
          <w:szCs w:val="20"/>
        </w:rPr>
        <w:t xml:space="preserve"> </w:t>
      </w:r>
      <w:r w:rsidRPr="00B004EE">
        <w:rPr>
          <w:rFonts w:ascii="Tahoma" w:hAnsi="Tahoma" w:cs="Tahoma"/>
          <w:sz w:val="20"/>
          <w:szCs w:val="20"/>
        </w:rPr>
        <w:t>quarts</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membres</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Conseil</w:t>
      </w:r>
      <w:r w:rsidR="00DB1635" w:rsidRPr="00B004EE">
        <w:rPr>
          <w:rFonts w:ascii="Tahoma" w:hAnsi="Tahoma" w:cs="Tahoma"/>
          <w:sz w:val="20"/>
          <w:szCs w:val="20"/>
        </w:rPr>
        <w:t xml:space="preserve"> </w:t>
      </w:r>
      <w:r w:rsidRPr="00B004EE">
        <w:rPr>
          <w:rFonts w:ascii="Tahoma" w:hAnsi="Tahoma" w:cs="Tahoma"/>
          <w:sz w:val="20"/>
          <w:szCs w:val="20"/>
        </w:rPr>
        <w:t>consultatif</w:t>
      </w:r>
      <w:r w:rsidR="00DB1635" w:rsidRPr="00B004EE">
        <w:rPr>
          <w:rFonts w:ascii="Tahoma" w:hAnsi="Tahoma" w:cs="Tahoma"/>
          <w:sz w:val="20"/>
          <w:szCs w:val="20"/>
        </w:rPr>
        <w:t xml:space="preserve"> </w:t>
      </w:r>
      <w:r w:rsidRPr="00B004EE">
        <w:rPr>
          <w:rFonts w:ascii="Tahoma" w:hAnsi="Tahoma" w:cs="Tahoma"/>
          <w:sz w:val="20"/>
          <w:szCs w:val="20"/>
        </w:rPr>
        <w:t>national</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l’Aménagement</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Développement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Pêcheries,</w:t>
      </w:r>
      <w:r w:rsidR="00DB1635" w:rsidRPr="00B004EE">
        <w:rPr>
          <w:rFonts w:ascii="Tahoma" w:hAnsi="Tahoma" w:cs="Tahoma"/>
          <w:sz w:val="20"/>
          <w:szCs w:val="20"/>
        </w:rPr>
        <w:t xml:space="preserve"> </w:t>
      </w:r>
      <w:r w:rsidRPr="00B004EE">
        <w:rPr>
          <w:rFonts w:ascii="Tahoma" w:hAnsi="Tahoma" w:cs="Tahoma"/>
          <w:sz w:val="20"/>
          <w:szCs w:val="20"/>
        </w:rPr>
        <w:t>fixe</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modalités</w:t>
      </w:r>
      <w:r w:rsidR="00DB1635" w:rsidRPr="00B004EE">
        <w:rPr>
          <w:rFonts w:ascii="Tahoma" w:hAnsi="Tahoma" w:cs="Tahoma"/>
          <w:sz w:val="20"/>
          <w:szCs w:val="20"/>
        </w:rPr>
        <w:t xml:space="preserve"> </w:t>
      </w:r>
      <w:r w:rsidRPr="00B004EE">
        <w:rPr>
          <w:rFonts w:ascii="Tahoma" w:hAnsi="Tahoma" w:cs="Tahoma"/>
          <w:sz w:val="20"/>
          <w:szCs w:val="20"/>
        </w:rPr>
        <w:t>d’organisation</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lastRenderedPageBreak/>
        <w:t>fonctionnement</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Conseil</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notamment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conditions</w:t>
      </w:r>
      <w:r w:rsidR="00DB1635" w:rsidRPr="00B004EE">
        <w:rPr>
          <w:rFonts w:ascii="Tahoma" w:hAnsi="Tahoma" w:cs="Tahoma"/>
          <w:sz w:val="20"/>
          <w:szCs w:val="20"/>
        </w:rPr>
        <w:t xml:space="preserve"> </w:t>
      </w:r>
      <w:r w:rsidRPr="00B004EE">
        <w:rPr>
          <w:rFonts w:ascii="Tahoma" w:hAnsi="Tahoma" w:cs="Tahoma"/>
          <w:sz w:val="20"/>
          <w:szCs w:val="20"/>
        </w:rPr>
        <w:t>d’organisation</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fonctionnement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commissions</w:t>
      </w:r>
      <w:r w:rsidR="00DB1635" w:rsidRPr="00B004EE">
        <w:rPr>
          <w:rFonts w:ascii="Tahoma" w:hAnsi="Tahoma" w:cs="Tahoma"/>
          <w:sz w:val="20"/>
          <w:szCs w:val="20"/>
        </w:rPr>
        <w:t xml:space="preserve"> </w:t>
      </w:r>
      <w:r w:rsidRPr="00B004EE">
        <w:rPr>
          <w:rFonts w:ascii="Tahoma" w:hAnsi="Tahoma" w:cs="Tahoma"/>
          <w:sz w:val="20"/>
          <w:szCs w:val="20"/>
        </w:rPr>
        <w:t>spéciales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comités</w:t>
      </w:r>
      <w:r w:rsidR="00DB1635" w:rsidRPr="00B004EE">
        <w:rPr>
          <w:rFonts w:ascii="Tahoma" w:hAnsi="Tahoma" w:cs="Tahoma"/>
          <w:sz w:val="20"/>
          <w:szCs w:val="20"/>
        </w:rPr>
        <w:t xml:space="preserve"> </w:t>
      </w:r>
      <w:r w:rsidRPr="00B004EE">
        <w:rPr>
          <w:rFonts w:ascii="Tahoma" w:hAnsi="Tahoma" w:cs="Tahoma"/>
          <w:sz w:val="20"/>
          <w:szCs w:val="20"/>
        </w:rPr>
        <w:t>prévus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article</w:t>
      </w:r>
      <w:r w:rsidR="00DB1635" w:rsidRPr="00B004EE">
        <w:rPr>
          <w:rFonts w:ascii="Tahoma" w:hAnsi="Tahoma" w:cs="Tahoma"/>
          <w:sz w:val="20"/>
          <w:szCs w:val="20"/>
        </w:rPr>
        <w:t xml:space="preserve"> </w:t>
      </w:r>
      <w:r w:rsidRPr="00B004EE">
        <w:rPr>
          <w:rFonts w:ascii="Tahoma" w:hAnsi="Tahoma" w:cs="Tahoma"/>
          <w:sz w:val="20"/>
          <w:szCs w:val="20"/>
        </w:rPr>
        <w:t>22,</w:t>
      </w:r>
      <w:r w:rsidR="00DB1635" w:rsidRPr="00B004EE">
        <w:rPr>
          <w:rFonts w:ascii="Tahoma" w:hAnsi="Tahoma" w:cs="Tahoma"/>
          <w:sz w:val="20"/>
          <w:szCs w:val="20"/>
        </w:rPr>
        <w:t xml:space="preserve"> </w:t>
      </w:r>
      <w:r w:rsidRPr="00B004EE">
        <w:rPr>
          <w:rFonts w:ascii="Tahoma" w:hAnsi="Tahoma" w:cs="Tahoma"/>
          <w:sz w:val="20"/>
          <w:szCs w:val="20"/>
        </w:rPr>
        <w:t>section</w:t>
      </w:r>
      <w:r w:rsidR="00DB1635" w:rsidRPr="00B004EE">
        <w:rPr>
          <w:rFonts w:ascii="Tahoma" w:hAnsi="Tahoma" w:cs="Tahoma"/>
          <w:sz w:val="20"/>
          <w:szCs w:val="20"/>
        </w:rPr>
        <w:t xml:space="preserve"> </w:t>
      </w:r>
      <w:r w:rsidRPr="00B004EE">
        <w:rPr>
          <w:rFonts w:ascii="Tahoma" w:hAnsi="Tahoma" w:cs="Tahoma"/>
          <w:sz w:val="20"/>
          <w:szCs w:val="20"/>
        </w:rPr>
        <w:t>3</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loi</w:t>
      </w:r>
      <w:r w:rsidR="00DB1635" w:rsidRPr="00B004EE">
        <w:rPr>
          <w:rFonts w:ascii="Tahoma" w:hAnsi="Tahoma" w:cs="Tahoma"/>
          <w:sz w:val="20"/>
          <w:szCs w:val="20"/>
        </w:rPr>
        <w:t xml:space="preserve"> </w:t>
      </w:r>
      <w:r w:rsidRPr="00B004EE">
        <w:rPr>
          <w:rFonts w:ascii="Tahoma" w:hAnsi="Tahoma" w:cs="Tahoma"/>
          <w:sz w:val="20"/>
          <w:szCs w:val="20"/>
        </w:rPr>
        <w:t>portant</w:t>
      </w:r>
      <w:r w:rsidR="00DB1635" w:rsidRPr="00B004EE">
        <w:rPr>
          <w:rFonts w:ascii="Tahoma" w:hAnsi="Tahoma" w:cs="Tahoma"/>
          <w:sz w:val="20"/>
          <w:szCs w:val="20"/>
        </w:rPr>
        <w:t xml:space="preserve"> </w:t>
      </w:r>
      <w:r w:rsidRPr="00B004EE">
        <w:rPr>
          <w:rFonts w:ascii="Tahoma" w:hAnsi="Tahoma" w:cs="Tahoma"/>
          <w:sz w:val="20"/>
          <w:szCs w:val="20"/>
        </w:rPr>
        <w:t>code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sz w:val="20"/>
          <w:szCs w:val="20"/>
        </w:rPr>
        <w:t xml:space="preserve"> </w:t>
      </w:r>
    </w:p>
    <w:p w14:paraId="5F90BEB4" w14:textId="77777777" w:rsidR="008518B0" w:rsidRPr="00B004EE" w:rsidRDefault="008518B0" w:rsidP="00B004EE">
      <w:pPr>
        <w:pStyle w:val="article"/>
        <w:numPr>
          <w:ilvl w:val="0"/>
          <w:numId w:val="0"/>
        </w:numPr>
        <w:tabs>
          <w:tab w:val="left" w:pos="1200"/>
        </w:tabs>
        <w:spacing w:before="0" w:line="240" w:lineRule="auto"/>
        <w:rPr>
          <w:rFonts w:ascii="Tahoma" w:hAnsi="Tahoma" w:cs="Tahoma"/>
          <w:sz w:val="20"/>
          <w:szCs w:val="20"/>
        </w:rPr>
      </w:pPr>
    </w:p>
    <w:p w14:paraId="4EF0EF42" w14:textId="1523CE6A" w:rsidR="008518B0" w:rsidRPr="00B004EE" w:rsidRDefault="008518B0" w:rsidP="00B004EE">
      <w:pPr>
        <w:pStyle w:val="article"/>
        <w:numPr>
          <w:ilvl w:val="0"/>
          <w:numId w:val="0"/>
        </w:numPr>
        <w:spacing w:before="0" w:line="240" w:lineRule="auto"/>
        <w:rPr>
          <w:rFonts w:ascii="Tahoma" w:hAnsi="Tahoma" w:cs="Tahoma"/>
          <w:sz w:val="20"/>
          <w:szCs w:val="20"/>
        </w:rPr>
      </w:pP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règlement</w:t>
      </w:r>
      <w:r w:rsidR="00DB1635" w:rsidRPr="00B004EE">
        <w:rPr>
          <w:rFonts w:ascii="Tahoma" w:hAnsi="Tahoma" w:cs="Tahoma"/>
          <w:sz w:val="20"/>
          <w:szCs w:val="20"/>
        </w:rPr>
        <w:t xml:space="preserve"> </w:t>
      </w:r>
      <w:r w:rsidRPr="00B004EE">
        <w:rPr>
          <w:rFonts w:ascii="Tahoma" w:hAnsi="Tahoma" w:cs="Tahoma"/>
          <w:sz w:val="20"/>
          <w:szCs w:val="20"/>
        </w:rPr>
        <w:t>intérieur</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Conseil</w:t>
      </w:r>
      <w:r w:rsidR="00DB1635" w:rsidRPr="00B004EE">
        <w:rPr>
          <w:rFonts w:ascii="Tahoma" w:hAnsi="Tahoma" w:cs="Tahoma"/>
          <w:sz w:val="20"/>
          <w:szCs w:val="20"/>
        </w:rPr>
        <w:t xml:space="preserve"> </w:t>
      </w:r>
      <w:r w:rsidRPr="00B004EE">
        <w:rPr>
          <w:rFonts w:ascii="Tahoma" w:hAnsi="Tahoma" w:cs="Tahoma"/>
          <w:sz w:val="20"/>
          <w:szCs w:val="20"/>
        </w:rPr>
        <w:t>consultatif</w:t>
      </w:r>
      <w:r w:rsidR="00DB1635" w:rsidRPr="00B004EE">
        <w:rPr>
          <w:rFonts w:ascii="Tahoma" w:hAnsi="Tahoma" w:cs="Tahoma"/>
          <w:sz w:val="20"/>
          <w:szCs w:val="20"/>
        </w:rPr>
        <w:t xml:space="preserve"> </w:t>
      </w:r>
      <w:r w:rsidRPr="00B004EE">
        <w:rPr>
          <w:rFonts w:ascii="Tahoma" w:hAnsi="Tahoma" w:cs="Tahoma"/>
          <w:sz w:val="20"/>
          <w:szCs w:val="20"/>
        </w:rPr>
        <w:t>national</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l’Aménagement</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Développement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Pêcheries</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approuvé</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arrêté</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ministre</w:t>
      </w:r>
      <w:r w:rsidR="00DB1635" w:rsidRPr="00B004EE">
        <w:rPr>
          <w:rFonts w:ascii="Tahoma" w:hAnsi="Tahoma" w:cs="Tahoma"/>
          <w:sz w:val="20"/>
          <w:szCs w:val="20"/>
        </w:rPr>
        <w:t xml:space="preserve"> </w:t>
      </w:r>
      <w:r w:rsidRPr="00B004EE">
        <w:rPr>
          <w:rFonts w:ascii="Tahoma" w:hAnsi="Tahoma" w:cs="Tahoma"/>
          <w:sz w:val="20"/>
          <w:szCs w:val="20"/>
        </w:rPr>
        <w:t>chargé</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p>
    <w:p w14:paraId="0C179816" w14:textId="77777777" w:rsidR="008518B0" w:rsidRPr="00B004EE" w:rsidRDefault="008518B0" w:rsidP="00B004EE">
      <w:pPr>
        <w:pStyle w:val="article"/>
        <w:numPr>
          <w:ilvl w:val="0"/>
          <w:numId w:val="0"/>
        </w:numPr>
        <w:spacing w:before="0" w:line="240" w:lineRule="auto"/>
        <w:rPr>
          <w:rFonts w:ascii="Tahoma" w:hAnsi="Tahoma" w:cs="Tahoma"/>
          <w:sz w:val="20"/>
          <w:szCs w:val="20"/>
        </w:rPr>
      </w:pPr>
    </w:p>
    <w:p w14:paraId="0032470F" w14:textId="41FF504F" w:rsidR="008518B0" w:rsidRPr="00B004EE" w:rsidRDefault="008518B0" w:rsidP="00B004EE">
      <w:pPr>
        <w:pStyle w:val="article"/>
        <w:numPr>
          <w:ilvl w:val="0"/>
          <w:numId w:val="0"/>
        </w:numPr>
        <w:tabs>
          <w:tab w:val="left" w:pos="1200"/>
        </w:tabs>
        <w:spacing w:before="0" w:line="240" w:lineRule="auto"/>
        <w:rPr>
          <w:rFonts w:ascii="Tahoma" w:hAnsi="Tahoma" w:cs="Tahoma"/>
          <w:sz w:val="20"/>
          <w:szCs w:val="20"/>
        </w:rPr>
      </w:pPr>
      <w:r w:rsidRPr="00B004EE">
        <w:rPr>
          <w:rFonts w:ascii="Tahoma" w:hAnsi="Tahoma" w:cs="Tahoma"/>
          <w:sz w:val="20"/>
          <w:szCs w:val="20"/>
        </w:rPr>
        <w:t>Article</w:t>
      </w:r>
      <w:r w:rsidR="00DB1635" w:rsidRPr="00B004EE">
        <w:rPr>
          <w:rFonts w:ascii="Tahoma" w:hAnsi="Tahoma" w:cs="Tahoma"/>
          <w:sz w:val="20"/>
          <w:szCs w:val="20"/>
        </w:rPr>
        <w:t xml:space="preserve"> </w:t>
      </w:r>
      <w:r w:rsidRPr="00B004EE">
        <w:rPr>
          <w:rFonts w:ascii="Tahoma" w:hAnsi="Tahoma" w:cs="Tahoma"/>
          <w:sz w:val="20"/>
          <w:szCs w:val="20"/>
        </w:rPr>
        <w:t>12</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titre</w:t>
      </w:r>
      <w:r w:rsidR="00DB1635" w:rsidRPr="00B004EE">
        <w:rPr>
          <w:rFonts w:ascii="Tahoma" w:hAnsi="Tahoma" w:cs="Tahoma"/>
          <w:sz w:val="20"/>
          <w:szCs w:val="20"/>
        </w:rPr>
        <w:t xml:space="preserve"> </w:t>
      </w:r>
      <w:r w:rsidRPr="00B004EE">
        <w:rPr>
          <w:rFonts w:ascii="Tahoma" w:hAnsi="Tahoma" w:cs="Tahoma"/>
          <w:sz w:val="20"/>
          <w:szCs w:val="20"/>
        </w:rPr>
        <w:t>transitoire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attendant</w:t>
      </w:r>
      <w:r w:rsidR="00DB1635" w:rsidRPr="00B004EE">
        <w:rPr>
          <w:rFonts w:ascii="Tahoma" w:hAnsi="Tahoma" w:cs="Tahoma"/>
          <w:sz w:val="20"/>
          <w:szCs w:val="20"/>
        </w:rPr>
        <w:t xml:space="preserve"> </w:t>
      </w:r>
      <w:r w:rsidRPr="00B004EE">
        <w:rPr>
          <w:rFonts w:ascii="Tahoma" w:hAnsi="Tahoma" w:cs="Tahoma"/>
          <w:sz w:val="20"/>
          <w:szCs w:val="20"/>
        </w:rPr>
        <w:t>l’approbation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plans</w:t>
      </w:r>
      <w:r w:rsidR="00DB1635" w:rsidRPr="00B004EE">
        <w:rPr>
          <w:rFonts w:ascii="Tahoma" w:hAnsi="Tahoma" w:cs="Tahoma"/>
          <w:sz w:val="20"/>
          <w:szCs w:val="20"/>
        </w:rPr>
        <w:t xml:space="preserve"> </w:t>
      </w:r>
      <w:r w:rsidRPr="00B004EE">
        <w:rPr>
          <w:rFonts w:ascii="Tahoma" w:hAnsi="Tahoma" w:cs="Tahoma"/>
          <w:sz w:val="20"/>
          <w:szCs w:val="20"/>
        </w:rPr>
        <w:t>d’aménagement</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gestion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pêcheries,</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Conseil</w:t>
      </w:r>
      <w:r w:rsidR="00DB1635" w:rsidRPr="00B004EE">
        <w:rPr>
          <w:rFonts w:ascii="Tahoma" w:hAnsi="Tahoma" w:cs="Tahoma"/>
          <w:sz w:val="20"/>
          <w:szCs w:val="20"/>
        </w:rPr>
        <w:t xml:space="preserve"> </w:t>
      </w:r>
      <w:r w:rsidRPr="00B004EE">
        <w:rPr>
          <w:rFonts w:ascii="Tahoma" w:hAnsi="Tahoma" w:cs="Tahoma"/>
          <w:sz w:val="20"/>
          <w:szCs w:val="20"/>
        </w:rPr>
        <w:t>consultatif</w:t>
      </w:r>
      <w:r w:rsidR="00DB1635" w:rsidRPr="00B004EE">
        <w:rPr>
          <w:rFonts w:ascii="Tahoma" w:hAnsi="Tahoma" w:cs="Tahoma"/>
          <w:sz w:val="20"/>
          <w:szCs w:val="20"/>
        </w:rPr>
        <w:t xml:space="preserve"> </w:t>
      </w:r>
      <w:r w:rsidRPr="00B004EE">
        <w:rPr>
          <w:rFonts w:ascii="Tahoma" w:hAnsi="Tahoma" w:cs="Tahoma"/>
          <w:sz w:val="20"/>
          <w:szCs w:val="20"/>
        </w:rPr>
        <w:t>national</w:t>
      </w:r>
      <w:r w:rsidR="00DB1635" w:rsidRPr="00B004EE">
        <w:rPr>
          <w:rFonts w:ascii="Tahoma" w:hAnsi="Tahoma" w:cs="Tahoma"/>
          <w:sz w:val="20"/>
          <w:szCs w:val="20"/>
        </w:rPr>
        <w:t xml:space="preserve"> </w:t>
      </w:r>
      <w:r w:rsidRPr="00B004EE">
        <w:rPr>
          <w:rFonts w:ascii="Tahoma" w:hAnsi="Tahoma" w:cs="Tahoma"/>
          <w:sz w:val="20"/>
          <w:szCs w:val="20"/>
        </w:rPr>
        <w:t>donne</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ministre</w:t>
      </w:r>
      <w:r w:rsidR="00DB1635" w:rsidRPr="00B004EE">
        <w:rPr>
          <w:rFonts w:ascii="Tahoma" w:hAnsi="Tahoma" w:cs="Tahoma"/>
          <w:sz w:val="20"/>
          <w:szCs w:val="20"/>
        </w:rPr>
        <w:t xml:space="preserve"> </w:t>
      </w:r>
      <w:r w:rsidRPr="00B004EE">
        <w:rPr>
          <w:rFonts w:ascii="Tahoma" w:hAnsi="Tahoma" w:cs="Tahoma"/>
          <w:sz w:val="20"/>
          <w:szCs w:val="20"/>
        </w:rPr>
        <w:t>chargé</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sz w:val="20"/>
          <w:szCs w:val="20"/>
        </w:rPr>
        <w:t xml:space="preserve"> </w:t>
      </w: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avis</w:t>
      </w:r>
      <w:r w:rsidR="00DB1635" w:rsidRPr="00B004EE">
        <w:rPr>
          <w:rFonts w:ascii="Tahoma" w:hAnsi="Tahoma" w:cs="Tahoma"/>
          <w:sz w:val="20"/>
          <w:szCs w:val="20"/>
        </w:rPr>
        <w:t xml:space="preserve"> </w:t>
      </w:r>
      <w:r w:rsidRPr="00B004EE">
        <w:rPr>
          <w:rFonts w:ascii="Tahoma" w:hAnsi="Tahoma" w:cs="Tahoma"/>
          <w:sz w:val="20"/>
          <w:szCs w:val="20"/>
        </w:rPr>
        <w:t>sur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plans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gestion.</w:t>
      </w:r>
    </w:p>
    <w:p w14:paraId="774A110A" w14:textId="77777777" w:rsidR="00F81386" w:rsidRPr="00B004EE" w:rsidRDefault="00F81386" w:rsidP="00B004EE">
      <w:pPr>
        <w:jc w:val="center"/>
        <w:rPr>
          <w:rFonts w:ascii="Tahoma" w:hAnsi="Tahoma" w:cs="Tahoma"/>
          <w:b/>
          <w:bCs/>
          <w:sz w:val="20"/>
          <w:szCs w:val="20"/>
        </w:rPr>
      </w:pPr>
    </w:p>
    <w:p w14:paraId="63F3BB5A" w14:textId="036BB949" w:rsidR="008518B0" w:rsidRPr="00B004EE" w:rsidRDefault="008518B0" w:rsidP="00B004EE">
      <w:pPr>
        <w:jc w:val="center"/>
        <w:rPr>
          <w:rFonts w:ascii="Tahoma" w:hAnsi="Tahoma" w:cs="Tahoma"/>
          <w:b/>
          <w:bCs/>
          <w:sz w:val="20"/>
          <w:szCs w:val="20"/>
        </w:rPr>
      </w:pPr>
      <w:r w:rsidRPr="00B004EE">
        <w:rPr>
          <w:rFonts w:ascii="Tahoma" w:hAnsi="Tahoma" w:cs="Tahoma"/>
          <w:b/>
          <w:bCs/>
          <w:sz w:val="20"/>
          <w:szCs w:val="20"/>
        </w:rPr>
        <w:t>CHAPITRE</w:t>
      </w:r>
      <w:r w:rsidR="00DB1635" w:rsidRPr="00B004EE">
        <w:rPr>
          <w:rFonts w:ascii="Tahoma" w:hAnsi="Tahoma" w:cs="Tahoma"/>
          <w:b/>
          <w:bCs/>
          <w:sz w:val="20"/>
          <w:szCs w:val="20"/>
        </w:rPr>
        <w:t xml:space="preserve"> </w:t>
      </w:r>
      <w:r w:rsidRPr="00B004EE">
        <w:rPr>
          <w:rFonts w:ascii="Tahoma" w:hAnsi="Tahoma" w:cs="Tahoma"/>
          <w:b/>
          <w:bCs/>
          <w:sz w:val="20"/>
          <w:szCs w:val="20"/>
        </w:rPr>
        <w:t>PREMIER</w:t>
      </w:r>
      <w:r w:rsidR="00DB1635" w:rsidRPr="00B004EE">
        <w:rPr>
          <w:rFonts w:ascii="Tahoma" w:hAnsi="Tahoma" w:cs="Tahoma"/>
          <w:b/>
          <w:bCs/>
          <w:sz w:val="20"/>
          <w:szCs w:val="20"/>
        </w:rPr>
        <w:t xml:space="preserve"> </w:t>
      </w:r>
      <w:r w:rsidRPr="00B004EE">
        <w:rPr>
          <w:rFonts w:ascii="Tahoma" w:hAnsi="Tahoma" w:cs="Tahoma"/>
          <w:b/>
          <w:bCs/>
          <w:sz w:val="20"/>
          <w:szCs w:val="20"/>
        </w:rPr>
        <w:t>:</w:t>
      </w:r>
      <w:r w:rsidR="00DB1635" w:rsidRPr="00B004EE">
        <w:rPr>
          <w:rFonts w:ascii="Tahoma" w:hAnsi="Tahoma" w:cs="Tahoma"/>
          <w:b/>
          <w:bCs/>
          <w:sz w:val="20"/>
          <w:szCs w:val="20"/>
        </w:rPr>
        <w:t xml:space="preserve"> </w:t>
      </w:r>
      <w:r w:rsidRPr="00B004EE">
        <w:rPr>
          <w:rFonts w:ascii="Tahoma" w:hAnsi="Tahoma" w:cs="Tahoma"/>
          <w:b/>
          <w:bCs/>
          <w:sz w:val="20"/>
          <w:szCs w:val="20"/>
        </w:rPr>
        <w:t>DES</w:t>
      </w:r>
      <w:r w:rsidR="00DB1635" w:rsidRPr="00B004EE">
        <w:rPr>
          <w:rFonts w:ascii="Tahoma" w:hAnsi="Tahoma" w:cs="Tahoma"/>
          <w:b/>
          <w:bCs/>
          <w:sz w:val="20"/>
          <w:szCs w:val="20"/>
        </w:rPr>
        <w:t xml:space="preserve"> </w:t>
      </w:r>
      <w:r w:rsidRPr="00B004EE">
        <w:rPr>
          <w:rFonts w:ascii="Tahoma" w:hAnsi="Tahoma" w:cs="Tahoma"/>
          <w:b/>
          <w:bCs/>
          <w:sz w:val="20"/>
          <w:szCs w:val="20"/>
        </w:rPr>
        <w:t>ACTIVITES</w:t>
      </w:r>
      <w:r w:rsidR="00DB1635" w:rsidRPr="00B004EE">
        <w:rPr>
          <w:rFonts w:ascii="Tahoma" w:hAnsi="Tahoma" w:cs="Tahoma"/>
          <w:b/>
          <w:bCs/>
          <w:sz w:val="20"/>
          <w:szCs w:val="20"/>
        </w:rPr>
        <w:t xml:space="preserve"> </w:t>
      </w:r>
      <w:r w:rsidRPr="00B004EE">
        <w:rPr>
          <w:rFonts w:ascii="Tahoma" w:hAnsi="Tahoma" w:cs="Tahoma"/>
          <w:b/>
          <w:bCs/>
          <w:sz w:val="20"/>
          <w:szCs w:val="20"/>
        </w:rPr>
        <w:t>DE</w:t>
      </w:r>
      <w:r w:rsidR="00DB1635" w:rsidRPr="00B004EE">
        <w:rPr>
          <w:rFonts w:ascii="Tahoma" w:hAnsi="Tahoma" w:cs="Tahoma"/>
          <w:b/>
          <w:bCs/>
          <w:sz w:val="20"/>
          <w:szCs w:val="20"/>
        </w:rPr>
        <w:t xml:space="preserve"> </w:t>
      </w:r>
      <w:r w:rsidRPr="00B004EE">
        <w:rPr>
          <w:rFonts w:ascii="Tahoma" w:hAnsi="Tahoma" w:cs="Tahoma"/>
          <w:b/>
          <w:bCs/>
          <w:sz w:val="20"/>
          <w:szCs w:val="20"/>
        </w:rPr>
        <w:t>PECHE</w:t>
      </w:r>
    </w:p>
    <w:p w14:paraId="4D7BC396" w14:textId="244E86D9" w:rsidR="008518B0" w:rsidRPr="00B004EE" w:rsidRDefault="008518B0" w:rsidP="00B004EE">
      <w:pPr>
        <w:jc w:val="center"/>
        <w:rPr>
          <w:rFonts w:ascii="Tahoma" w:hAnsi="Tahoma" w:cs="Tahoma"/>
          <w:b/>
          <w:bCs/>
          <w:sz w:val="20"/>
          <w:szCs w:val="20"/>
        </w:rPr>
      </w:pPr>
      <w:r w:rsidRPr="00B004EE">
        <w:rPr>
          <w:rFonts w:ascii="Tahoma" w:hAnsi="Tahoma" w:cs="Tahoma"/>
          <w:b/>
          <w:bCs/>
          <w:sz w:val="20"/>
          <w:szCs w:val="20"/>
        </w:rPr>
        <w:t>Section</w:t>
      </w:r>
      <w:r w:rsidR="00DB1635" w:rsidRPr="00B004EE">
        <w:rPr>
          <w:rFonts w:ascii="Tahoma" w:hAnsi="Tahoma" w:cs="Tahoma"/>
          <w:b/>
          <w:bCs/>
          <w:sz w:val="20"/>
          <w:szCs w:val="20"/>
        </w:rPr>
        <w:t xml:space="preserve"> </w:t>
      </w:r>
      <w:r w:rsidRPr="00B004EE">
        <w:rPr>
          <w:rFonts w:ascii="Tahoma" w:hAnsi="Tahoma" w:cs="Tahoma"/>
          <w:b/>
          <w:bCs/>
          <w:sz w:val="20"/>
          <w:szCs w:val="20"/>
        </w:rPr>
        <w:t>I</w:t>
      </w:r>
      <w:r w:rsidR="00DB1635" w:rsidRPr="00B004EE">
        <w:rPr>
          <w:rFonts w:ascii="Tahoma" w:hAnsi="Tahoma" w:cs="Tahoma"/>
          <w:b/>
          <w:bCs/>
          <w:sz w:val="20"/>
          <w:szCs w:val="20"/>
        </w:rPr>
        <w:t xml:space="preserve"> </w:t>
      </w:r>
      <w:r w:rsidRPr="00B004EE">
        <w:rPr>
          <w:rFonts w:ascii="Tahoma" w:hAnsi="Tahoma" w:cs="Tahoma"/>
          <w:b/>
          <w:bCs/>
          <w:sz w:val="20"/>
          <w:szCs w:val="20"/>
        </w:rPr>
        <w:t>:</w:t>
      </w:r>
      <w:r w:rsidR="00DB1635" w:rsidRPr="00B004EE">
        <w:rPr>
          <w:rFonts w:ascii="Tahoma" w:hAnsi="Tahoma" w:cs="Tahoma"/>
          <w:b/>
          <w:bCs/>
          <w:sz w:val="20"/>
          <w:szCs w:val="20"/>
        </w:rPr>
        <w:t xml:space="preserve"> </w:t>
      </w:r>
      <w:r w:rsidRPr="00B004EE">
        <w:rPr>
          <w:rFonts w:ascii="Tahoma" w:hAnsi="Tahoma" w:cs="Tahoma"/>
          <w:b/>
          <w:bCs/>
          <w:sz w:val="20"/>
          <w:szCs w:val="20"/>
        </w:rPr>
        <w:t>Des</w:t>
      </w:r>
      <w:r w:rsidR="00DB1635" w:rsidRPr="00B004EE">
        <w:rPr>
          <w:rFonts w:ascii="Tahoma" w:hAnsi="Tahoma" w:cs="Tahoma"/>
          <w:b/>
          <w:bCs/>
          <w:sz w:val="20"/>
          <w:szCs w:val="20"/>
        </w:rPr>
        <w:t xml:space="preserve"> </w:t>
      </w:r>
      <w:r w:rsidRPr="00B004EE">
        <w:rPr>
          <w:rFonts w:ascii="Tahoma" w:hAnsi="Tahoma" w:cs="Tahoma"/>
          <w:b/>
          <w:bCs/>
          <w:sz w:val="20"/>
          <w:szCs w:val="20"/>
        </w:rPr>
        <w:t>différents</w:t>
      </w:r>
      <w:r w:rsidR="00DB1635" w:rsidRPr="00B004EE">
        <w:rPr>
          <w:rFonts w:ascii="Tahoma" w:hAnsi="Tahoma" w:cs="Tahoma"/>
          <w:b/>
          <w:bCs/>
          <w:sz w:val="20"/>
          <w:szCs w:val="20"/>
        </w:rPr>
        <w:t xml:space="preserve"> </w:t>
      </w:r>
      <w:r w:rsidRPr="00B004EE">
        <w:rPr>
          <w:rFonts w:ascii="Tahoma" w:hAnsi="Tahoma" w:cs="Tahoma"/>
          <w:b/>
          <w:bCs/>
          <w:sz w:val="20"/>
          <w:szCs w:val="20"/>
        </w:rPr>
        <w:t>types</w:t>
      </w:r>
      <w:r w:rsidR="00DB1635" w:rsidRPr="00B004EE">
        <w:rPr>
          <w:rFonts w:ascii="Tahoma" w:hAnsi="Tahoma" w:cs="Tahoma"/>
          <w:b/>
          <w:bCs/>
          <w:sz w:val="20"/>
          <w:szCs w:val="20"/>
        </w:rPr>
        <w:t xml:space="preserve"> </w:t>
      </w:r>
      <w:r w:rsidRPr="00B004EE">
        <w:rPr>
          <w:rFonts w:ascii="Tahoma" w:hAnsi="Tahoma" w:cs="Tahoma"/>
          <w:b/>
          <w:bCs/>
          <w:sz w:val="20"/>
          <w:szCs w:val="20"/>
        </w:rPr>
        <w:t>de</w:t>
      </w:r>
      <w:r w:rsidR="00DB1635" w:rsidRPr="00B004EE">
        <w:rPr>
          <w:rFonts w:ascii="Tahoma" w:hAnsi="Tahoma" w:cs="Tahoma"/>
          <w:b/>
          <w:bCs/>
          <w:sz w:val="20"/>
          <w:szCs w:val="20"/>
        </w:rPr>
        <w:t xml:space="preserve"> </w:t>
      </w:r>
      <w:r w:rsidRPr="00B004EE">
        <w:rPr>
          <w:rFonts w:ascii="Tahoma" w:hAnsi="Tahoma" w:cs="Tahoma"/>
          <w:b/>
          <w:bCs/>
          <w:sz w:val="20"/>
          <w:szCs w:val="20"/>
        </w:rPr>
        <w:t>pêche</w:t>
      </w:r>
      <w:r w:rsidR="00DB1635" w:rsidRPr="00B004EE">
        <w:rPr>
          <w:rFonts w:ascii="Tahoma" w:hAnsi="Tahoma" w:cs="Tahoma"/>
          <w:b/>
          <w:bCs/>
          <w:sz w:val="20"/>
          <w:szCs w:val="20"/>
        </w:rPr>
        <w:t xml:space="preserve"> </w:t>
      </w:r>
    </w:p>
    <w:p w14:paraId="200B36A6" w14:textId="77777777" w:rsidR="008518B0" w:rsidRPr="00B004EE" w:rsidRDefault="008518B0" w:rsidP="00B004EE">
      <w:pPr>
        <w:jc w:val="center"/>
        <w:rPr>
          <w:rFonts w:ascii="Tahoma" w:hAnsi="Tahoma" w:cs="Tahoma"/>
          <w:b/>
          <w:bCs/>
          <w:sz w:val="20"/>
          <w:szCs w:val="20"/>
        </w:rPr>
      </w:pPr>
    </w:p>
    <w:p w14:paraId="693C3A05" w14:textId="0B48D8BF" w:rsidR="008518B0" w:rsidRPr="00B004EE" w:rsidRDefault="008518B0" w:rsidP="00B004EE">
      <w:pPr>
        <w:pStyle w:val="article"/>
        <w:numPr>
          <w:ilvl w:val="0"/>
          <w:numId w:val="0"/>
        </w:numPr>
        <w:tabs>
          <w:tab w:val="left" w:pos="1200"/>
        </w:tabs>
        <w:spacing w:before="0" w:line="240" w:lineRule="auto"/>
        <w:rPr>
          <w:rFonts w:ascii="Tahoma" w:hAnsi="Tahoma" w:cs="Tahoma"/>
          <w:sz w:val="20"/>
          <w:szCs w:val="20"/>
        </w:rPr>
      </w:pPr>
      <w:r w:rsidRPr="00B004EE">
        <w:rPr>
          <w:rFonts w:ascii="Tahoma" w:hAnsi="Tahoma" w:cs="Tahoma"/>
          <w:sz w:val="20"/>
          <w:szCs w:val="20"/>
        </w:rPr>
        <w:t>Article</w:t>
      </w:r>
      <w:r w:rsidR="00DB1635" w:rsidRPr="00B004EE">
        <w:rPr>
          <w:rFonts w:ascii="Tahoma" w:hAnsi="Tahoma" w:cs="Tahoma"/>
          <w:sz w:val="20"/>
          <w:szCs w:val="20"/>
        </w:rPr>
        <w:t xml:space="preserve"> </w:t>
      </w:r>
      <w:r w:rsidRPr="00B004EE">
        <w:rPr>
          <w:rFonts w:ascii="Tahoma" w:hAnsi="Tahoma" w:cs="Tahoma"/>
          <w:sz w:val="20"/>
          <w:szCs w:val="20"/>
        </w:rPr>
        <w:t>13</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commerciale,</w:t>
      </w:r>
      <w:r w:rsidR="00DB1635" w:rsidRPr="00B004EE">
        <w:rPr>
          <w:rFonts w:ascii="Tahoma" w:hAnsi="Tahoma" w:cs="Tahoma"/>
          <w:sz w:val="20"/>
          <w:szCs w:val="20"/>
        </w:rPr>
        <w:t xml:space="preserve"> </w:t>
      </w:r>
      <w:r w:rsidRPr="00B004EE">
        <w:rPr>
          <w:rFonts w:ascii="Tahoma" w:hAnsi="Tahoma" w:cs="Tahoma"/>
          <w:sz w:val="20"/>
          <w:szCs w:val="20"/>
        </w:rPr>
        <w:t>telle</w:t>
      </w:r>
      <w:r w:rsidR="00DB1635" w:rsidRPr="00B004EE">
        <w:rPr>
          <w:rFonts w:ascii="Tahoma" w:hAnsi="Tahoma" w:cs="Tahoma"/>
          <w:sz w:val="20"/>
          <w:szCs w:val="20"/>
        </w:rPr>
        <w:t xml:space="preserve"> </w:t>
      </w:r>
      <w:r w:rsidRPr="00B004EE">
        <w:rPr>
          <w:rFonts w:ascii="Tahoma" w:hAnsi="Tahoma" w:cs="Tahoma"/>
          <w:sz w:val="20"/>
          <w:szCs w:val="20"/>
        </w:rPr>
        <w:t>que</w:t>
      </w:r>
      <w:r w:rsidR="00DB1635" w:rsidRPr="00B004EE">
        <w:rPr>
          <w:rFonts w:ascii="Tahoma" w:hAnsi="Tahoma" w:cs="Tahoma"/>
          <w:sz w:val="20"/>
          <w:szCs w:val="20"/>
        </w:rPr>
        <w:t xml:space="preserve"> </w:t>
      </w:r>
      <w:r w:rsidRPr="00B004EE">
        <w:rPr>
          <w:rFonts w:ascii="Tahoma" w:hAnsi="Tahoma" w:cs="Tahoma"/>
          <w:sz w:val="20"/>
          <w:szCs w:val="20"/>
        </w:rPr>
        <w:t>définie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l’article</w:t>
      </w:r>
      <w:r w:rsidR="00DB1635" w:rsidRPr="00B004EE">
        <w:rPr>
          <w:rFonts w:ascii="Tahoma" w:hAnsi="Tahoma" w:cs="Tahoma"/>
          <w:sz w:val="20"/>
          <w:szCs w:val="20"/>
        </w:rPr>
        <w:t xml:space="preserve"> </w:t>
      </w:r>
      <w:r w:rsidRPr="00B004EE">
        <w:rPr>
          <w:rFonts w:ascii="Tahoma" w:hAnsi="Tahoma" w:cs="Tahoma"/>
          <w:sz w:val="20"/>
          <w:szCs w:val="20"/>
        </w:rPr>
        <w:t>6</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loi</w:t>
      </w:r>
      <w:r w:rsidR="00DB1635" w:rsidRPr="00B004EE">
        <w:rPr>
          <w:rFonts w:ascii="Tahoma" w:hAnsi="Tahoma" w:cs="Tahoma"/>
          <w:sz w:val="20"/>
          <w:szCs w:val="20"/>
        </w:rPr>
        <w:t xml:space="preserve"> </w:t>
      </w:r>
      <w:r w:rsidRPr="00B004EE">
        <w:rPr>
          <w:rFonts w:ascii="Tahoma" w:hAnsi="Tahoma" w:cs="Tahoma"/>
          <w:sz w:val="20"/>
          <w:szCs w:val="20"/>
        </w:rPr>
        <w:t>n°</w:t>
      </w:r>
      <w:r w:rsidR="00DB1635" w:rsidRPr="00B004EE">
        <w:rPr>
          <w:rFonts w:ascii="Tahoma" w:hAnsi="Tahoma" w:cs="Tahoma"/>
          <w:sz w:val="20"/>
          <w:szCs w:val="20"/>
        </w:rPr>
        <w:t xml:space="preserve"> </w:t>
      </w:r>
      <w:r w:rsidRPr="00B004EE">
        <w:rPr>
          <w:rFonts w:ascii="Tahoma" w:hAnsi="Tahoma" w:cs="Tahoma"/>
          <w:sz w:val="20"/>
          <w:szCs w:val="20"/>
        </w:rPr>
        <w:t>2015</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017</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29</w:t>
      </w:r>
      <w:r w:rsidR="00DB1635" w:rsidRPr="00B004EE">
        <w:rPr>
          <w:rFonts w:ascii="Tahoma" w:hAnsi="Tahoma" w:cs="Tahoma"/>
          <w:sz w:val="20"/>
          <w:szCs w:val="20"/>
        </w:rPr>
        <w:t xml:space="preserve"> </w:t>
      </w:r>
      <w:r w:rsidRPr="00B004EE">
        <w:rPr>
          <w:rFonts w:ascii="Tahoma" w:hAnsi="Tahoma" w:cs="Tahoma"/>
          <w:sz w:val="20"/>
          <w:szCs w:val="20"/>
        </w:rPr>
        <w:t>juillet</w:t>
      </w:r>
      <w:r w:rsidR="00DB1635" w:rsidRPr="00B004EE">
        <w:rPr>
          <w:rFonts w:ascii="Tahoma" w:hAnsi="Tahoma" w:cs="Tahoma"/>
          <w:sz w:val="20"/>
          <w:szCs w:val="20"/>
        </w:rPr>
        <w:t xml:space="preserve"> </w:t>
      </w:r>
      <w:r w:rsidRPr="00B004EE">
        <w:rPr>
          <w:rFonts w:ascii="Tahoma" w:hAnsi="Tahoma" w:cs="Tahoma"/>
          <w:sz w:val="20"/>
          <w:szCs w:val="20"/>
        </w:rPr>
        <w:t>2105,</w:t>
      </w:r>
      <w:r w:rsidR="00DB1635" w:rsidRPr="00B004EE">
        <w:rPr>
          <w:rFonts w:ascii="Tahoma" w:hAnsi="Tahoma" w:cs="Tahoma"/>
          <w:sz w:val="20"/>
          <w:szCs w:val="20"/>
        </w:rPr>
        <w:t xml:space="preserve"> </w:t>
      </w:r>
      <w:r w:rsidRPr="00B004EE">
        <w:rPr>
          <w:rFonts w:ascii="Tahoma" w:hAnsi="Tahoma" w:cs="Tahoma"/>
          <w:sz w:val="20"/>
          <w:szCs w:val="20"/>
        </w:rPr>
        <w:t>comprend</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artisanale,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côtière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hauturière.</w:t>
      </w:r>
      <w:r w:rsidR="00DB1635" w:rsidRPr="00B004EE">
        <w:rPr>
          <w:rFonts w:ascii="Tahoma" w:hAnsi="Tahoma" w:cs="Tahoma"/>
          <w:sz w:val="20"/>
          <w:szCs w:val="20"/>
        </w:rPr>
        <w:t xml:space="preserve"> </w:t>
      </w:r>
    </w:p>
    <w:p w14:paraId="468AC91A" w14:textId="77777777" w:rsidR="008518B0" w:rsidRPr="00B004EE" w:rsidRDefault="008518B0" w:rsidP="00B004EE">
      <w:pPr>
        <w:jc w:val="both"/>
        <w:rPr>
          <w:rFonts w:ascii="Tahoma" w:hAnsi="Tahoma" w:cs="Tahoma"/>
          <w:sz w:val="20"/>
          <w:szCs w:val="20"/>
          <w:lang w:val="fr-CA"/>
        </w:rPr>
      </w:pPr>
    </w:p>
    <w:p w14:paraId="5551CAE1" w14:textId="71679724" w:rsidR="008518B0" w:rsidRPr="00B004EE" w:rsidRDefault="008518B0" w:rsidP="00B004EE">
      <w:pPr>
        <w:jc w:val="both"/>
        <w:rPr>
          <w:rFonts w:ascii="Tahoma" w:hAnsi="Tahoma" w:cs="Tahoma"/>
          <w:sz w:val="20"/>
          <w:szCs w:val="20"/>
        </w:rPr>
      </w:pP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considérée</w:t>
      </w:r>
      <w:r w:rsidR="00DB1635" w:rsidRPr="00B004EE">
        <w:rPr>
          <w:rFonts w:ascii="Tahoma" w:hAnsi="Tahoma" w:cs="Tahoma"/>
          <w:sz w:val="20"/>
          <w:szCs w:val="20"/>
        </w:rPr>
        <w:t xml:space="preserve"> </w:t>
      </w:r>
      <w:r w:rsidRPr="00B004EE">
        <w:rPr>
          <w:rFonts w:ascii="Tahoma" w:hAnsi="Tahoma" w:cs="Tahoma"/>
          <w:sz w:val="20"/>
          <w:szCs w:val="20"/>
        </w:rPr>
        <w:t>comme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artisanale</w:t>
      </w:r>
      <w:r w:rsidR="00DB1635" w:rsidRPr="00B004EE">
        <w:rPr>
          <w:rFonts w:ascii="Tahoma" w:hAnsi="Tahoma" w:cs="Tahoma"/>
          <w:sz w:val="20"/>
          <w:szCs w:val="20"/>
        </w:rPr>
        <w:t xml:space="preserve"> </w:t>
      </w:r>
      <w:r w:rsidRPr="00B004EE">
        <w:rPr>
          <w:rFonts w:ascii="Tahoma" w:hAnsi="Tahoma" w:cs="Tahoma"/>
          <w:sz w:val="20"/>
          <w:szCs w:val="20"/>
        </w:rPr>
        <w:t>maritime,</w:t>
      </w:r>
      <w:r w:rsidR="00DB1635" w:rsidRPr="00B004EE">
        <w:rPr>
          <w:rFonts w:ascii="Tahoma" w:hAnsi="Tahoma" w:cs="Tahoma"/>
          <w:sz w:val="20"/>
          <w:szCs w:val="20"/>
        </w:rPr>
        <w:t xml:space="preserve"> </w:t>
      </w:r>
      <w:r w:rsidRPr="00B004EE">
        <w:rPr>
          <w:rFonts w:ascii="Tahoma" w:hAnsi="Tahoma" w:cs="Tahoma"/>
          <w:sz w:val="20"/>
          <w:szCs w:val="20"/>
        </w:rPr>
        <w:t>toute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s'exerçant</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pied</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l'aide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navires</w:t>
      </w:r>
      <w:r w:rsidR="00DB1635" w:rsidRPr="00B004EE">
        <w:rPr>
          <w:rFonts w:ascii="Tahoma" w:hAnsi="Tahoma" w:cs="Tahoma"/>
          <w:sz w:val="20"/>
          <w:szCs w:val="20"/>
        </w:rPr>
        <w:t xml:space="preserve"> </w:t>
      </w:r>
      <w:r w:rsidRPr="00B004EE">
        <w:rPr>
          <w:rFonts w:ascii="Tahoma" w:hAnsi="Tahoma" w:cs="Tahoma"/>
          <w:sz w:val="20"/>
          <w:szCs w:val="20"/>
        </w:rPr>
        <w:t>pontés</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non</w:t>
      </w:r>
      <w:r w:rsidR="00DB1635" w:rsidRPr="00B004EE">
        <w:rPr>
          <w:rFonts w:ascii="Tahoma" w:hAnsi="Tahoma" w:cs="Tahoma"/>
          <w:sz w:val="20"/>
          <w:szCs w:val="20"/>
        </w:rPr>
        <w:t xml:space="preserve"> </w:t>
      </w:r>
      <w:r w:rsidRPr="00B004EE">
        <w:rPr>
          <w:rFonts w:ascii="Tahoma" w:hAnsi="Tahoma" w:cs="Tahoma"/>
          <w:sz w:val="20"/>
          <w:szCs w:val="20"/>
        </w:rPr>
        <w:t>pontés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longueur</w:t>
      </w:r>
      <w:r w:rsidR="00DB1635" w:rsidRPr="00B004EE">
        <w:rPr>
          <w:rFonts w:ascii="Tahoma" w:hAnsi="Tahoma" w:cs="Tahoma"/>
          <w:sz w:val="20"/>
          <w:szCs w:val="20"/>
        </w:rPr>
        <w:t xml:space="preserve"> </w:t>
      </w:r>
      <w:r w:rsidRPr="00B004EE">
        <w:rPr>
          <w:rFonts w:ascii="Tahoma" w:hAnsi="Tahoma" w:cs="Tahoma"/>
          <w:sz w:val="20"/>
          <w:szCs w:val="20"/>
        </w:rPr>
        <w:t>hors-tout</w:t>
      </w:r>
      <w:r w:rsidR="00DB1635" w:rsidRPr="00B004EE">
        <w:rPr>
          <w:rFonts w:ascii="Tahoma" w:hAnsi="Tahoma" w:cs="Tahoma"/>
          <w:sz w:val="20"/>
          <w:szCs w:val="20"/>
        </w:rPr>
        <w:t xml:space="preserve"> </w:t>
      </w:r>
      <w:r w:rsidRPr="00B004EE">
        <w:rPr>
          <w:rFonts w:ascii="Tahoma" w:hAnsi="Tahoma" w:cs="Tahoma"/>
          <w:sz w:val="20"/>
          <w:szCs w:val="20"/>
        </w:rPr>
        <w:t>(LHT)</w:t>
      </w:r>
      <w:r w:rsidR="00DB1635" w:rsidRPr="00B004EE">
        <w:rPr>
          <w:rFonts w:ascii="Tahoma" w:hAnsi="Tahoma" w:cs="Tahoma"/>
          <w:sz w:val="20"/>
          <w:szCs w:val="20"/>
        </w:rPr>
        <w:t xml:space="preserve"> </w:t>
      </w:r>
      <w:r w:rsidRPr="00B004EE">
        <w:rPr>
          <w:rFonts w:ascii="Tahoma" w:hAnsi="Tahoma" w:cs="Tahoma"/>
          <w:sz w:val="20"/>
          <w:szCs w:val="20"/>
        </w:rPr>
        <w:t>inférieure</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égale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quatorze</w:t>
      </w:r>
      <w:r w:rsidR="00DB1635" w:rsidRPr="00B004EE">
        <w:rPr>
          <w:rFonts w:ascii="Tahoma" w:hAnsi="Tahoma" w:cs="Tahoma"/>
          <w:sz w:val="20"/>
          <w:szCs w:val="20"/>
        </w:rPr>
        <w:t xml:space="preserve"> </w:t>
      </w:r>
      <w:r w:rsidRPr="00B004EE">
        <w:rPr>
          <w:rFonts w:ascii="Tahoma" w:hAnsi="Tahoma" w:cs="Tahoma"/>
          <w:sz w:val="20"/>
          <w:szCs w:val="20"/>
        </w:rPr>
        <w:t>(14)</w:t>
      </w:r>
      <w:r w:rsidR="00DB1635" w:rsidRPr="00B004EE">
        <w:rPr>
          <w:rFonts w:ascii="Tahoma" w:hAnsi="Tahoma" w:cs="Tahoma"/>
          <w:sz w:val="20"/>
          <w:szCs w:val="20"/>
        </w:rPr>
        <w:t xml:space="preserve"> </w:t>
      </w:r>
      <w:r w:rsidRPr="00B004EE">
        <w:rPr>
          <w:rFonts w:ascii="Tahoma" w:hAnsi="Tahoma" w:cs="Tahoma"/>
          <w:sz w:val="20"/>
          <w:szCs w:val="20"/>
        </w:rPr>
        <w:t>mètres</w:t>
      </w:r>
      <w:r w:rsidR="00DB1635" w:rsidRPr="00B004EE">
        <w:rPr>
          <w:rFonts w:ascii="Tahoma" w:hAnsi="Tahoma" w:cs="Tahoma"/>
          <w:sz w:val="20"/>
          <w:szCs w:val="20"/>
        </w:rPr>
        <w:t xml:space="preserve"> </w:t>
      </w:r>
      <w:r w:rsidRPr="00B004EE">
        <w:rPr>
          <w:rFonts w:ascii="Tahoma" w:hAnsi="Tahoma" w:cs="Tahoma"/>
          <w:sz w:val="20"/>
          <w:szCs w:val="20"/>
        </w:rPr>
        <w:t>non</w:t>
      </w:r>
      <w:r w:rsidR="00DB1635" w:rsidRPr="00B004EE">
        <w:rPr>
          <w:rFonts w:ascii="Tahoma" w:hAnsi="Tahoma" w:cs="Tahoma"/>
          <w:sz w:val="20"/>
          <w:szCs w:val="20"/>
        </w:rPr>
        <w:t xml:space="preserve"> </w:t>
      </w:r>
      <w:r w:rsidRPr="00B004EE">
        <w:rPr>
          <w:rFonts w:ascii="Tahoma" w:hAnsi="Tahoma" w:cs="Tahoma"/>
          <w:sz w:val="20"/>
          <w:szCs w:val="20"/>
        </w:rPr>
        <w:t>motorisés</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ayant</w:t>
      </w:r>
      <w:r w:rsidR="00DB1635" w:rsidRPr="00B004EE">
        <w:rPr>
          <w:rFonts w:ascii="Tahoma" w:hAnsi="Tahoma" w:cs="Tahoma"/>
          <w:sz w:val="20"/>
          <w:szCs w:val="20"/>
        </w:rPr>
        <w:t xml:space="preserve"> </w:t>
      </w: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moteur</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puissance</w:t>
      </w:r>
      <w:r w:rsidR="00DB1635" w:rsidRPr="00B004EE">
        <w:rPr>
          <w:rFonts w:ascii="Tahoma" w:hAnsi="Tahoma" w:cs="Tahoma"/>
          <w:sz w:val="20"/>
          <w:szCs w:val="20"/>
        </w:rPr>
        <w:t xml:space="preserve"> </w:t>
      </w:r>
      <w:r w:rsidRPr="00B004EE">
        <w:rPr>
          <w:rFonts w:ascii="Tahoma" w:hAnsi="Tahoma" w:cs="Tahoma"/>
          <w:sz w:val="20"/>
          <w:szCs w:val="20"/>
        </w:rPr>
        <w:t>inférieure</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égale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150</w:t>
      </w:r>
      <w:r w:rsidR="00DB1635" w:rsidRPr="00B004EE">
        <w:rPr>
          <w:rFonts w:ascii="Tahoma" w:hAnsi="Tahoma" w:cs="Tahoma"/>
          <w:sz w:val="20"/>
          <w:szCs w:val="20"/>
        </w:rPr>
        <w:t xml:space="preserve"> </w:t>
      </w:r>
      <w:r w:rsidRPr="00B004EE">
        <w:rPr>
          <w:rFonts w:ascii="Tahoma" w:hAnsi="Tahoma" w:cs="Tahoma"/>
          <w:sz w:val="20"/>
          <w:szCs w:val="20"/>
        </w:rPr>
        <w:t>chevaux</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opérant</w:t>
      </w:r>
      <w:r w:rsidR="00DB1635" w:rsidRPr="00B004EE">
        <w:rPr>
          <w:rFonts w:ascii="Tahoma" w:hAnsi="Tahoma" w:cs="Tahoma"/>
          <w:sz w:val="20"/>
          <w:szCs w:val="20"/>
        </w:rPr>
        <w:t xml:space="preserve"> </w:t>
      </w:r>
      <w:r w:rsidRPr="00B004EE">
        <w:rPr>
          <w:rFonts w:ascii="Tahoma" w:hAnsi="Tahoma" w:cs="Tahoma"/>
          <w:sz w:val="20"/>
          <w:szCs w:val="20"/>
        </w:rPr>
        <w:t>avec</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engins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passifs,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l'exception</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senne</w:t>
      </w:r>
      <w:r w:rsidR="00DB1635" w:rsidRPr="00B004EE">
        <w:rPr>
          <w:rFonts w:ascii="Tahoma" w:hAnsi="Tahoma" w:cs="Tahoma"/>
          <w:sz w:val="20"/>
          <w:szCs w:val="20"/>
        </w:rPr>
        <w:t xml:space="preserve"> </w:t>
      </w:r>
      <w:r w:rsidRPr="00B004EE">
        <w:rPr>
          <w:rFonts w:ascii="Tahoma" w:hAnsi="Tahoma" w:cs="Tahoma"/>
          <w:sz w:val="20"/>
          <w:szCs w:val="20"/>
        </w:rPr>
        <w:t>tournante</w:t>
      </w:r>
      <w:r w:rsidR="00DB1635" w:rsidRPr="00B004EE">
        <w:rPr>
          <w:rFonts w:ascii="Tahoma" w:hAnsi="Tahoma" w:cs="Tahoma"/>
          <w:sz w:val="20"/>
          <w:szCs w:val="20"/>
        </w:rPr>
        <w:t xml:space="preserve"> </w:t>
      </w:r>
      <w:r w:rsidRPr="00B004EE">
        <w:rPr>
          <w:rFonts w:ascii="Tahoma" w:hAnsi="Tahoma" w:cs="Tahoma"/>
          <w:sz w:val="20"/>
          <w:szCs w:val="20"/>
        </w:rPr>
        <w:t>coulissante.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artisanale</w:t>
      </w:r>
      <w:r w:rsidR="00DB1635" w:rsidRPr="00B004EE">
        <w:rPr>
          <w:rFonts w:ascii="Tahoma" w:hAnsi="Tahoma" w:cs="Tahoma"/>
          <w:sz w:val="20"/>
          <w:szCs w:val="20"/>
        </w:rPr>
        <w:t xml:space="preserve"> </w:t>
      </w:r>
      <w:r w:rsidRPr="00B004EE">
        <w:rPr>
          <w:rFonts w:ascii="Tahoma" w:hAnsi="Tahoma" w:cs="Tahoma"/>
          <w:sz w:val="20"/>
          <w:szCs w:val="20"/>
        </w:rPr>
        <w:t>compte</w:t>
      </w:r>
      <w:r w:rsidR="00DB1635" w:rsidRPr="00B004EE">
        <w:rPr>
          <w:rFonts w:ascii="Tahoma" w:hAnsi="Tahoma" w:cs="Tahoma"/>
          <w:sz w:val="20"/>
          <w:szCs w:val="20"/>
        </w:rPr>
        <w:t xml:space="preserve"> </w:t>
      </w:r>
      <w:r w:rsidRPr="00B004EE">
        <w:rPr>
          <w:rFonts w:ascii="Tahoma" w:hAnsi="Tahoma" w:cs="Tahoma"/>
          <w:sz w:val="20"/>
          <w:szCs w:val="20"/>
        </w:rPr>
        <w:t>quatre</w:t>
      </w:r>
      <w:r w:rsidR="00DB1635" w:rsidRPr="00B004EE">
        <w:rPr>
          <w:rFonts w:ascii="Tahoma" w:hAnsi="Tahoma" w:cs="Tahoma"/>
          <w:sz w:val="20"/>
          <w:szCs w:val="20"/>
        </w:rPr>
        <w:t xml:space="preserve"> </w:t>
      </w:r>
      <w:r w:rsidRPr="00B004EE">
        <w:rPr>
          <w:rFonts w:ascii="Tahoma" w:hAnsi="Tahoma" w:cs="Tahoma"/>
          <w:sz w:val="20"/>
          <w:szCs w:val="20"/>
        </w:rPr>
        <w:t>catégories</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Céphalopodes,</w:t>
      </w:r>
      <w:r w:rsidR="00DB1635" w:rsidRPr="00B004EE">
        <w:rPr>
          <w:rFonts w:ascii="Tahoma" w:hAnsi="Tahoma" w:cs="Tahoma"/>
          <w:sz w:val="20"/>
          <w:szCs w:val="20"/>
        </w:rPr>
        <w:t xml:space="preserve"> </w:t>
      </w:r>
      <w:r w:rsidRPr="00B004EE">
        <w:rPr>
          <w:rFonts w:ascii="Tahoma" w:hAnsi="Tahoma" w:cs="Tahoma"/>
          <w:sz w:val="20"/>
          <w:szCs w:val="20"/>
        </w:rPr>
        <w:t>Crustacés,</w:t>
      </w:r>
      <w:r w:rsidR="00DB1635" w:rsidRPr="00B004EE">
        <w:rPr>
          <w:rFonts w:ascii="Tahoma" w:hAnsi="Tahoma" w:cs="Tahoma"/>
          <w:sz w:val="20"/>
          <w:szCs w:val="20"/>
        </w:rPr>
        <w:t xml:space="preserve"> </w:t>
      </w:r>
      <w:r w:rsidRPr="00B004EE">
        <w:rPr>
          <w:rFonts w:ascii="Tahoma" w:hAnsi="Tahoma" w:cs="Tahoma"/>
          <w:sz w:val="20"/>
          <w:szCs w:val="20"/>
        </w:rPr>
        <w:t>Poissons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fonds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Poissons</w:t>
      </w:r>
      <w:r w:rsidR="00DB1635" w:rsidRPr="00B004EE">
        <w:rPr>
          <w:rFonts w:ascii="Tahoma" w:hAnsi="Tahoma" w:cs="Tahoma"/>
          <w:sz w:val="20"/>
          <w:szCs w:val="20"/>
        </w:rPr>
        <w:t xml:space="preserve"> </w:t>
      </w:r>
      <w:r w:rsidRPr="00B004EE">
        <w:rPr>
          <w:rFonts w:ascii="Tahoma" w:hAnsi="Tahoma" w:cs="Tahoma"/>
          <w:sz w:val="20"/>
          <w:szCs w:val="20"/>
        </w:rPr>
        <w:t>pélagiques.</w:t>
      </w:r>
    </w:p>
    <w:p w14:paraId="3DE0EAD0" w14:textId="57FF8E36" w:rsidR="008518B0" w:rsidRPr="00B004EE" w:rsidRDefault="00DB1635" w:rsidP="00B004EE">
      <w:pPr>
        <w:jc w:val="both"/>
        <w:rPr>
          <w:rFonts w:ascii="Tahoma" w:hAnsi="Tahoma" w:cs="Tahoma"/>
          <w:sz w:val="20"/>
          <w:szCs w:val="20"/>
        </w:rPr>
      </w:pPr>
      <w:r w:rsidRPr="00B004EE">
        <w:rPr>
          <w:rFonts w:ascii="Tahoma" w:hAnsi="Tahoma" w:cs="Tahoma"/>
          <w:sz w:val="20"/>
          <w:szCs w:val="20"/>
        </w:rPr>
        <w:t xml:space="preserve"> </w:t>
      </w:r>
    </w:p>
    <w:p w14:paraId="789CF591" w14:textId="6EE8FD6A" w:rsidR="008518B0" w:rsidRPr="00B004EE" w:rsidRDefault="008518B0" w:rsidP="00B004EE">
      <w:pPr>
        <w:jc w:val="both"/>
        <w:rPr>
          <w:rFonts w:ascii="Tahoma" w:hAnsi="Tahoma" w:cs="Tahoma"/>
          <w:sz w:val="20"/>
          <w:szCs w:val="20"/>
        </w:rPr>
      </w:pP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considérée</w:t>
      </w:r>
      <w:r w:rsidR="00DB1635" w:rsidRPr="00B004EE">
        <w:rPr>
          <w:rFonts w:ascii="Tahoma" w:hAnsi="Tahoma" w:cs="Tahoma"/>
          <w:sz w:val="20"/>
          <w:szCs w:val="20"/>
        </w:rPr>
        <w:t xml:space="preserve"> </w:t>
      </w:r>
      <w:r w:rsidRPr="00B004EE">
        <w:rPr>
          <w:rFonts w:ascii="Tahoma" w:hAnsi="Tahoma" w:cs="Tahoma"/>
          <w:sz w:val="20"/>
          <w:szCs w:val="20"/>
        </w:rPr>
        <w:t>comme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côtière</w:t>
      </w:r>
      <w:r w:rsidR="00DB1635" w:rsidRPr="00B004EE">
        <w:rPr>
          <w:rFonts w:ascii="Tahoma" w:hAnsi="Tahoma" w:cs="Tahoma"/>
          <w:sz w:val="20"/>
          <w:szCs w:val="20"/>
        </w:rPr>
        <w:t xml:space="preserve"> </w:t>
      </w:r>
      <w:r w:rsidRPr="00B004EE">
        <w:rPr>
          <w:rFonts w:ascii="Tahoma" w:hAnsi="Tahoma" w:cs="Tahoma"/>
          <w:sz w:val="20"/>
          <w:szCs w:val="20"/>
        </w:rPr>
        <w:t>maritime,</w:t>
      </w:r>
      <w:r w:rsidR="00DB1635" w:rsidRPr="00B004EE">
        <w:rPr>
          <w:rFonts w:ascii="Tahoma" w:hAnsi="Tahoma" w:cs="Tahoma"/>
          <w:sz w:val="20"/>
          <w:szCs w:val="20"/>
        </w:rPr>
        <w:t xml:space="preserve"> </w:t>
      </w:r>
      <w:r w:rsidRPr="00B004EE">
        <w:rPr>
          <w:rFonts w:ascii="Tahoma" w:hAnsi="Tahoma" w:cs="Tahoma"/>
          <w:sz w:val="20"/>
          <w:szCs w:val="20"/>
        </w:rPr>
        <w:t>toute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exercée</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navire</w:t>
      </w:r>
      <w:r w:rsidR="00DB1635" w:rsidRPr="00B004EE">
        <w:rPr>
          <w:rFonts w:ascii="Tahoma" w:hAnsi="Tahoma" w:cs="Tahoma"/>
          <w:sz w:val="20"/>
          <w:szCs w:val="20"/>
        </w:rPr>
        <w:t xml:space="preserve"> </w:t>
      </w:r>
      <w:r w:rsidRPr="00B004EE">
        <w:rPr>
          <w:rFonts w:ascii="Tahoma" w:hAnsi="Tahoma" w:cs="Tahoma"/>
          <w:sz w:val="20"/>
          <w:szCs w:val="20"/>
        </w:rPr>
        <w:t>(i)</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longueur</w:t>
      </w:r>
      <w:r w:rsidR="00DB1635" w:rsidRPr="00B004EE">
        <w:rPr>
          <w:rFonts w:ascii="Tahoma" w:hAnsi="Tahoma" w:cs="Tahoma"/>
          <w:sz w:val="20"/>
          <w:szCs w:val="20"/>
        </w:rPr>
        <w:t xml:space="preserve"> </w:t>
      </w:r>
      <w:r w:rsidRPr="00B004EE">
        <w:rPr>
          <w:rFonts w:ascii="Tahoma" w:hAnsi="Tahoma" w:cs="Tahoma"/>
          <w:sz w:val="20"/>
          <w:szCs w:val="20"/>
        </w:rPr>
        <w:t>inférieure</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égale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26</w:t>
      </w:r>
      <w:r w:rsidR="00DB1635" w:rsidRPr="00B004EE">
        <w:rPr>
          <w:rFonts w:ascii="Tahoma" w:hAnsi="Tahoma" w:cs="Tahoma"/>
          <w:sz w:val="20"/>
          <w:szCs w:val="20"/>
        </w:rPr>
        <w:t xml:space="preserve"> </w:t>
      </w:r>
      <w:r w:rsidRPr="00B004EE">
        <w:rPr>
          <w:rFonts w:ascii="Tahoma" w:hAnsi="Tahoma" w:cs="Tahoma"/>
          <w:sz w:val="20"/>
          <w:szCs w:val="20"/>
        </w:rPr>
        <w:t>mètres</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Céphalopodes,</w:t>
      </w:r>
      <w:r w:rsidR="00DB1635" w:rsidRPr="00B004EE">
        <w:rPr>
          <w:rFonts w:ascii="Tahoma" w:hAnsi="Tahoma" w:cs="Tahoma"/>
          <w:sz w:val="20"/>
          <w:szCs w:val="20"/>
        </w:rPr>
        <w:t xml:space="preserve"> </w:t>
      </w:r>
      <w:r w:rsidRPr="00B004EE">
        <w:rPr>
          <w:rFonts w:ascii="Tahoma" w:hAnsi="Tahoma" w:cs="Tahoma"/>
          <w:sz w:val="20"/>
          <w:szCs w:val="20"/>
        </w:rPr>
        <w:t>Crustacés,</w:t>
      </w:r>
      <w:r w:rsidR="00DB1635" w:rsidRPr="00B004EE">
        <w:rPr>
          <w:rFonts w:ascii="Tahoma" w:hAnsi="Tahoma" w:cs="Tahoma"/>
          <w:sz w:val="20"/>
          <w:szCs w:val="20"/>
        </w:rPr>
        <w:t xml:space="preserve"> </w:t>
      </w:r>
      <w:r w:rsidRPr="00B004EE">
        <w:rPr>
          <w:rFonts w:ascii="Tahoma" w:hAnsi="Tahoma" w:cs="Tahoma"/>
          <w:sz w:val="20"/>
          <w:szCs w:val="20"/>
        </w:rPr>
        <w:t>Poissons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fonds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(ii)</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longueur</w:t>
      </w:r>
      <w:r w:rsidR="00DB1635" w:rsidRPr="00B004EE">
        <w:rPr>
          <w:rFonts w:ascii="Tahoma" w:hAnsi="Tahoma" w:cs="Tahoma"/>
          <w:sz w:val="20"/>
          <w:szCs w:val="20"/>
        </w:rPr>
        <w:t xml:space="preserve"> </w:t>
      </w:r>
      <w:r w:rsidRPr="00B004EE">
        <w:rPr>
          <w:rFonts w:ascii="Tahoma" w:hAnsi="Tahoma" w:cs="Tahoma"/>
          <w:sz w:val="20"/>
          <w:szCs w:val="20"/>
        </w:rPr>
        <w:t>strictement</w:t>
      </w:r>
      <w:r w:rsidR="00DB1635" w:rsidRPr="00B004EE">
        <w:rPr>
          <w:rFonts w:ascii="Tahoma" w:hAnsi="Tahoma" w:cs="Tahoma"/>
          <w:sz w:val="20"/>
          <w:szCs w:val="20"/>
        </w:rPr>
        <w:t xml:space="preserve"> </w:t>
      </w:r>
      <w:r w:rsidRPr="00B004EE">
        <w:rPr>
          <w:rFonts w:ascii="Tahoma" w:hAnsi="Tahoma" w:cs="Tahoma"/>
          <w:sz w:val="20"/>
          <w:szCs w:val="20"/>
        </w:rPr>
        <w:t>inférieure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60</w:t>
      </w:r>
      <w:r w:rsidR="00DB1635" w:rsidRPr="00B004EE">
        <w:rPr>
          <w:rFonts w:ascii="Tahoma" w:hAnsi="Tahoma" w:cs="Tahoma"/>
          <w:sz w:val="20"/>
          <w:szCs w:val="20"/>
        </w:rPr>
        <w:t xml:space="preserve"> </w:t>
      </w:r>
      <w:r w:rsidRPr="00B004EE">
        <w:rPr>
          <w:rFonts w:ascii="Tahoma" w:hAnsi="Tahoma" w:cs="Tahoma"/>
          <w:sz w:val="20"/>
          <w:szCs w:val="20"/>
        </w:rPr>
        <w:t>m</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pélagiques.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navires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003A697D" w:rsidRPr="00B004EE">
        <w:rPr>
          <w:rFonts w:ascii="Tahoma" w:hAnsi="Tahoma" w:cs="Tahoma"/>
          <w:sz w:val="20"/>
          <w:szCs w:val="20"/>
        </w:rPr>
        <w:t>côtière</w:t>
      </w:r>
      <w:r w:rsidR="00DB1635" w:rsidRPr="00B004EE">
        <w:rPr>
          <w:rFonts w:ascii="Tahoma" w:hAnsi="Tahoma" w:cs="Tahoma"/>
          <w:sz w:val="20"/>
          <w:szCs w:val="20"/>
        </w:rPr>
        <w:t xml:space="preserve"> </w:t>
      </w:r>
      <w:r w:rsidRPr="00B004EE">
        <w:rPr>
          <w:rFonts w:ascii="Tahoma" w:hAnsi="Tahoma" w:cs="Tahoma"/>
          <w:sz w:val="20"/>
          <w:szCs w:val="20"/>
        </w:rPr>
        <w:t>opèrent</w:t>
      </w:r>
      <w:r w:rsidR="00DB1635" w:rsidRPr="00B004EE">
        <w:rPr>
          <w:rFonts w:ascii="Tahoma" w:hAnsi="Tahoma" w:cs="Tahoma"/>
          <w:sz w:val="20"/>
          <w:szCs w:val="20"/>
        </w:rPr>
        <w:t xml:space="preserve"> </w:t>
      </w:r>
      <w:r w:rsidRPr="00B004EE">
        <w:rPr>
          <w:rFonts w:ascii="Tahoma" w:hAnsi="Tahoma" w:cs="Tahoma"/>
          <w:sz w:val="20"/>
          <w:szCs w:val="20"/>
        </w:rPr>
        <w:t>avec</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engins</w:t>
      </w:r>
      <w:r w:rsidR="00DB1635" w:rsidRPr="00B004EE">
        <w:rPr>
          <w:rFonts w:ascii="Tahoma" w:hAnsi="Tahoma" w:cs="Tahoma"/>
          <w:sz w:val="20"/>
          <w:szCs w:val="20"/>
        </w:rPr>
        <w:t xml:space="preserve"> </w:t>
      </w:r>
      <w:r w:rsidRPr="00B004EE">
        <w:rPr>
          <w:rFonts w:ascii="Tahoma" w:hAnsi="Tahoma" w:cs="Tahoma"/>
          <w:sz w:val="20"/>
          <w:szCs w:val="20"/>
        </w:rPr>
        <w:t>passifs</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non</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l'exception</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chalut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fond</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drague.</w:t>
      </w:r>
      <w:r w:rsidR="00DB1635" w:rsidRPr="00B004EE">
        <w:rPr>
          <w:rFonts w:ascii="Tahoma" w:hAnsi="Tahoma" w:cs="Tahoma"/>
          <w:sz w:val="20"/>
          <w:szCs w:val="20"/>
        </w:rPr>
        <w:t xml:space="preserve"> </w:t>
      </w:r>
    </w:p>
    <w:p w14:paraId="3885AADF" w14:textId="15851DD8" w:rsidR="008518B0" w:rsidRPr="00B004EE" w:rsidRDefault="008518B0" w:rsidP="00B004EE">
      <w:pPr>
        <w:jc w:val="both"/>
        <w:rPr>
          <w:rFonts w:ascii="Tahoma" w:hAnsi="Tahoma" w:cs="Tahoma"/>
          <w:sz w:val="20"/>
          <w:szCs w:val="20"/>
        </w:rPr>
      </w:pP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côtière</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fraîche</w:t>
      </w:r>
      <w:r w:rsidR="00DB1635" w:rsidRPr="00B004EE">
        <w:rPr>
          <w:rFonts w:ascii="Tahoma" w:hAnsi="Tahoma" w:cs="Tahoma"/>
          <w:sz w:val="20"/>
          <w:szCs w:val="20"/>
        </w:rPr>
        <w:t xml:space="preserve"> </w:t>
      </w:r>
      <w:r w:rsidRPr="00B004EE">
        <w:rPr>
          <w:rFonts w:ascii="Tahoma" w:hAnsi="Tahoma" w:cs="Tahoma"/>
          <w:sz w:val="20"/>
          <w:szCs w:val="20"/>
        </w:rPr>
        <w:t>dont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débarqués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commercialisés</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départ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Mauritanie.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côtière</w:t>
      </w:r>
      <w:r w:rsidR="00DB1635" w:rsidRPr="00B004EE">
        <w:rPr>
          <w:rFonts w:ascii="Tahoma" w:hAnsi="Tahoma" w:cs="Tahoma"/>
          <w:sz w:val="20"/>
          <w:szCs w:val="20"/>
        </w:rPr>
        <w:t xml:space="preserve"> </w:t>
      </w:r>
      <w:r w:rsidRPr="00B004EE">
        <w:rPr>
          <w:rFonts w:ascii="Tahoma" w:hAnsi="Tahoma" w:cs="Tahoma"/>
          <w:sz w:val="20"/>
          <w:szCs w:val="20"/>
        </w:rPr>
        <w:t>comprend</w:t>
      </w:r>
      <w:r w:rsidR="00DB1635" w:rsidRPr="00B004EE">
        <w:rPr>
          <w:rFonts w:ascii="Tahoma" w:hAnsi="Tahoma" w:cs="Tahoma"/>
          <w:sz w:val="20"/>
          <w:szCs w:val="20"/>
        </w:rPr>
        <w:t xml:space="preserve"> </w:t>
      </w:r>
      <w:r w:rsidRPr="00B004EE">
        <w:rPr>
          <w:rFonts w:ascii="Tahoma" w:hAnsi="Tahoma" w:cs="Tahoma"/>
          <w:sz w:val="20"/>
          <w:szCs w:val="20"/>
        </w:rPr>
        <w:t>quatre</w:t>
      </w:r>
      <w:r w:rsidR="00DB1635" w:rsidRPr="00B004EE">
        <w:rPr>
          <w:rFonts w:ascii="Tahoma" w:hAnsi="Tahoma" w:cs="Tahoma"/>
          <w:sz w:val="20"/>
          <w:szCs w:val="20"/>
        </w:rPr>
        <w:t xml:space="preserve"> </w:t>
      </w:r>
      <w:r w:rsidRPr="00B004EE">
        <w:rPr>
          <w:rFonts w:ascii="Tahoma" w:hAnsi="Tahoma" w:cs="Tahoma"/>
          <w:sz w:val="20"/>
          <w:szCs w:val="20"/>
        </w:rPr>
        <w:t>(4)</w:t>
      </w:r>
      <w:r w:rsidR="00DB1635" w:rsidRPr="00B004EE">
        <w:rPr>
          <w:rFonts w:ascii="Tahoma" w:hAnsi="Tahoma" w:cs="Tahoma"/>
          <w:sz w:val="20"/>
          <w:szCs w:val="20"/>
        </w:rPr>
        <w:t xml:space="preserve"> </w:t>
      </w:r>
      <w:r w:rsidRPr="00B004EE">
        <w:rPr>
          <w:rFonts w:ascii="Tahoma" w:hAnsi="Tahoma" w:cs="Tahoma"/>
          <w:sz w:val="20"/>
          <w:szCs w:val="20"/>
        </w:rPr>
        <w:t>catégories</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Céphalopodes,</w:t>
      </w:r>
      <w:r w:rsidR="00DB1635" w:rsidRPr="00B004EE">
        <w:rPr>
          <w:rFonts w:ascii="Tahoma" w:hAnsi="Tahoma" w:cs="Tahoma"/>
          <w:sz w:val="20"/>
          <w:szCs w:val="20"/>
        </w:rPr>
        <w:t xml:space="preserve"> </w:t>
      </w:r>
      <w:r w:rsidRPr="00B004EE">
        <w:rPr>
          <w:rFonts w:ascii="Tahoma" w:hAnsi="Tahoma" w:cs="Tahoma"/>
          <w:sz w:val="20"/>
          <w:szCs w:val="20"/>
        </w:rPr>
        <w:t>Crustacés,</w:t>
      </w:r>
      <w:r w:rsidR="00DB1635" w:rsidRPr="00B004EE">
        <w:rPr>
          <w:rFonts w:ascii="Tahoma" w:hAnsi="Tahoma" w:cs="Tahoma"/>
          <w:sz w:val="20"/>
          <w:szCs w:val="20"/>
        </w:rPr>
        <w:t xml:space="preserve"> </w:t>
      </w:r>
      <w:r w:rsidRPr="00B004EE">
        <w:rPr>
          <w:rFonts w:ascii="Tahoma" w:hAnsi="Tahoma" w:cs="Tahoma"/>
          <w:sz w:val="20"/>
          <w:szCs w:val="20"/>
        </w:rPr>
        <w:t>Poissons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fonds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Poissons</w:t>
      </w:r>
      <w:r w:rsidR="00DB1635" w:rsidRPr="00B004EE">
        <w:rPr>
          <w:rFonts w:ascii="Tahoma" w:hAnsi="Tahoma" w:cs="Tahoma"/>
          <w:sz w:val="20"/>
          <w:szCs w:val="20"/>
        </w:rPr>
        <w:t xml:space="preserve"> </w:t>
      </w:r>
      <w:r w:rsidRPr="00B004EE">
        <w:rPr>
          <w:rFonts w:ascii="Tahoma" w:hAnsi="Tahoma" w:cs="Tahoma"/>
          <w:sz w:val="20"/>
          <w:szCs w:val="20"/>
        </w:rPr>
        <w:t>pélagiques.</w:t>
      </w:r>
    </w:p>
    <w:p w14:paraId="7AF8F5C4" w14:textId="77777777" w:rsidR="008518B0" w:rsidRPr="00B004EE" w:rsidRDefault="008518B0" w:rsidP="00B004EE">
      <w:pPr>
        <w:jc w:val="both"/>
        <w:rPr>
          <w:rFonts w:ascii="Tahoma" w:hAnsi="Tahoma" w:cs="Tahoma"/>
          <w:sz w:val="20"/>
          <w:szCs w:val="20"/>
        </w:rPr>
      </w:pPr>
    </w:p>
    <w:p w14:paraId="3BF9485B" w14:textId="31F1B938" w:rsidR="008518B0" w:rsidRPr="00B004EE" w:rsidRDefault="008518B0" w:rsidP="00B004EE">
      <w:pPr>
        <w:rPr>
          <w:rFonts w:ascii="Tahoma" w:hAnsi="Tahoma" w:cs="Tahoma"/>
          <w:sz w:val="20"/>
          <w:szCs w:val="20"/>
        </w:rPr>
      </w:pP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niveau</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catégorie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poissons</w:t>
      </w:r>
      <w:r w:rsidR="00DB1635" w:rsidRPr="00B004EE">
        <w:rPr>
          <w:rFonts w:ascii="Tahoma" w:hAnsi="Tahoma" w:cs="Tahoma"/>
          <w:sz w:val="20"/>
          <w:szCs w:val="20"/>
        </w:rPr>
        <w:t xml:space="preserve"> </w:t>
      </w:r>
      <w:r w:rsidRPr="00B004EE">
        <w:rPr>
          <w:rFonts w:ascii="Tahoma" w:hAnsi="Tahoma" w:cs="Tahoma"/>
          <w:sz w:val="20"/>
          <w:szCs w:val="20"/>
        </w:rPr>
        <w:t>pélagique,</w:t>
      </w:r>
      <w:r w:rsidR="00DB1635" w:rsidRPr="00B004EE">
        <w:rPr>
          <w:rFonts w:ascii="Tahoma" w:hAnsi="Tahoma" w:cs="Tahoma"/>
          <w:sz w:val="20"/>
          <w:szCs w:val="20"/>
        </w:rPr>
        <w:t xml:space="preserve"> </w:t>
      </w:r>
      <w:r w:rsidRPr="00B004EE">
        <w:rPr>
          <w:rFonts w:ascii="Tahoma" w:hAnsi="Tahoma" w:cs="Tahoma"/>
          <w:sz w:val="20"/>
          <w:szCs w:val="20"/>
        </w:rPr>
        <w:t>on</w:t>
      </w:r>
      <w:r w:rsidR="00DB1635" w:rsidRPr="00B004EE">
        <w:rPr>
          <w:rFonts w:ascii="Tahoma" w:hAnsi="Tahoma" w:cs="Tahoma"/>
          <w:sz w:val="20"/>
          <w:szCs w:val="20"/>
        </w:rPr>
        <w:t xml:space="preserve"> </w:t>
      </w:r>
      <w:r w:rsidRPr="00B004EE">
        <w:rPr>
          <w:rFonts w:ascii="Tahoma" w:hAnsi="Tahoma" w:cs="Tahoma"/>
          <w:sz w:val="20"/>
          <w:szCs w:val="20"/>
        </w:rPr>
        <w:t>distingue</w:t>
      </w:r>
      <w:r w:rsidR="00DB1635" w:rsidRPr="00B004EE">
        <w:rPr>
          <w:rFonts w:ascii="Tahoma" w:hAnsi="Tahoma" w:cs="Tahoma"/>
          <w:sz w:val="20"/>
          <w:szCs w:val="20"/>
        </w:rPr>
        <w:t xml:space="preserve"> </w:t>
      </w:r>
      <w:r w:rsidRPr="00B004EE">
        <w:rPr>
          <w:rFonts w:ascii="Tahoma" w:hAnsi="Tahoma" w:cs="Tahoma"/>
          <w:sz w:val="20"/>
          <w:szCs w:val="20"/>
        </w:rPr>
        <w:t>3</w:t>
      </w:r>
      <w:r w:rsidR="00DB1635" w:rsidRPr="00B004EE">
        <w:rPr>
          <w:rFonts w:ascii="Tahoma" w:hAnsi="Tahoma" w:cs="Tahoma"/>
          <w:sz w:val="20"/>
          <w:szCs w:val="20"/>
        </w:rPr>
        <w:t xml:space="preserve"> </w:t>
      </w:r>
      <w:r w:rsidRPr="00B004EE">
        <w:rPr>
          <w:rFonts w:ascii="Tahoma" w:hAnsi="Tahoma" w:cs="Tahoma"/>
          <w:sz w:val="20"/>
          <w:szCs w:val="20"/>
        </w:rPr>
        <w:t>segments</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p>
    <w:p w14:paraId="6559911D" w14:textId="77777777" w:rsidR="008518B0" w:rsidRPr="00B004EE" w:rsidRDefault="008518B0" w:rsidP="00B004EE">
      <w:pPr>
        <w:rPr>
          <w:rFonts w:ascii="Tahoma" w:hAnsi="Tahoma" w:cs="Tahoma"/>
          <w:sz w:val="20"/>
          <w:szCs w:val="20"/>
        </w:rPr>
      </w:pPr>
    </w:p>
    <w:p w14:paraId="3820FF5F" w14:textId="25804700" w:rsidR="008518B0" w:rsidRPr="00B004EE" w:rsidRDefault="008518B0" w:rsidP="00420DDA">
      <w:pPr>
        <w:numPr>
          <w:ilvl w:val="0"/>
          <w:numId w:val="64"/>
        </w:numPr>
        <w:rPr>
          <w:rFonts w:ascii="Tahoma" w:hAnsi="Tahoma" w:cs="Tahoma"/>
          <w:sz w:val="20"/>
          <w:szCs w:val="20"/>
        </w:rPr>
      </w:pPr>
      <w:r w:rsidRPr="00B004EE">
        <w:rPr>
          <w:rFonts w:ascii="Tahoma" w:hAnsi="Tahoma" w:cs="Tahoma"/>
          <w:sz w:val="20"/>
          <w:szCs w:val="20"/>
        </w:rPr>
        <w:t>Senneurs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LHT</w:t>
      </w:r>
      <w:r w:rsidR="00DB1635" w:rsidRPr="00B004EE">
        <w:rPr>
          <w:rFonts w:ascii="Tahoma" w:hAnsi="Tahoma" w:cs="Tahoma"/>
          <w:sz w:val="20"/>
          <w:szCs w:val="20"/>
        </w:rPr>
        <w:t xml:space="preserve"> </w:t>
      </w:r>
      <w:r w:rsidRPr="00B004EE">
        <w:rPr>
          <w:rFonts w:ascii="Tahoma" w:hAnsi="Tahoma" w:cs="Tahoma"/>
          <w:sz w:val="20"/>
          <w:szCs w:val="20"/>
        </w:rPr>
        <w:t>inférieure</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égale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26m</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p>
    <w:p w14:paraId="64F1A053" w14:textId="4F49BF59" w:rsidR="008518B0" w:rsidRPr="00B004EE" w:rsidRDefault="008518B0" w:rsidP="00420DDA">
      <w:pPr>
        <w:numPr>
          <w:ilvl w:val="0"/>
          <w:numId w:val="64"/>
        </w:numPr>
        <w:rPr>
          <w:rFonts w:ascii="Tahoma" w:hAnsi="Tahoma" w:cs="Tahoma"/>
          <w:sz w:val="20"/>
          <w:szCs w:val="20"/>
        </w:rPr>
      </w:pPr>
      <w:r w:rsidRPr="00B004EE">
        <w:rPr>
          <w:rFonts w:ascii="Tahoma" w:hAnsi="Tahoma" w:cs="Tahoma"/>
          <w:sz w:val="20"/>
          <w:szCs w:val="20"/>
        </w:rPr>
        <w:t>Senneurs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LHT</w:t>
      </w:r>
      <w:r w:rsidR="00DB1635" w:rsidRPr="00B004EE">
        <w:rPr>
          <w:rFonts w:ascii="Tahoma" w:hAnsi="Tahoma" w:cs="Tahoma"/>
          <w:sz w:val="20"/>
          <w:szCs w:val="20"/>
        </w:rPr>
        <w:t xml:space="preserve"> </w:t>
      </w:r>
      <w:r w:rsidRPr="00B004EE">
        <w:rPr>
          <w:rFonts w:ascii="Tahoma" w:hAnsi="Tahoma" w:cs="Tahoma"/>
          <w:sz w:val="20"/>
          <w:szCs w:val="20"/>
        </w:rPr>
        <w:t>supérieure</w:t>
      </w:r>
      <w:r w:rsidR="00DB1635" w:rsidRPr="00B004EE">
        <w:rPr>
          <w:rFonts w:ascii="Tahoma" w:hAnsi="Tahoma" w:cs="Tahoma"/>
          <w:sz w:val="20"/>
          <w:szCs w:val="20"/>
        </w:rPr>
        <w:t xml:space="preserve"> </w:t>
      </w:r>
      <w:r w:rsidRPr="00B004EE">
        <w:rPr>
          <w:rFonts w:ascii="Tahoma" w:hAnsi="Tahoma" w:cs="Tahoma"/>
          <w:sz w:val="20"/>
          <w:szCs w:val="20"/>
        </w:rPr>
        <w:t>strictement</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26</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inférieure</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égale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40</w:t>
      </w:r>
      <w:r w:rsidR="00DB1635" w:rsidRPr="00B004EE">
        <w:rPr>
          <w:rFonts w:ascii="Tahoma" w:hAnsi="Tahoma" w:cs="Tahoma"/>
          <w:sz w:val="20"/>
          <w:szCs w:val="20"/>
        </w:rPr>
        <w:t xml:space="preserve"> </w:t>
      </w:r>
      <w:r w:rsidRPr="00B004EE">
        <w:rPr>
          <w:rFonts w:ascii="Tahoma" w:hAnsi="Tahoma" w:cs="Tahoma"/>
          <w:sz w:val="20"/>
          <w:szCs w:val="20"/>
        </w:rPr>
        <w:t>mètres,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p>
    <w:p w14:paraId="24A06E90" w14:textId="7FAFCDA0" w:rsidR="008518B0" w:rsidRPr="00B004EE" w:rsidRDefault="008518B0" w:rsidP="00420DDA">
      <w:pPr>
        <w:numPr>
          <w:ilvl w:val="0"/>
          <w:numId w:val="64"/>
        </w:numPr>
        <w:rPr>
          <w:rFonts w:ascii="Tahoma" w:hAnsi="Tahoma" w:cs="Tahoma"/>
          <w:sz w:val="20"/>
          <w:szCs w:val="20"/>
        </w:rPr>
      </w:pPr>
      <w:r w:rsidRPr="00B004EE">
        <w:rPr>
          <w:rFonts w:ascii="Tahoma" w:hAnsi="Tahoma" w:cs="Tahoma"/>
          <w:sz w:val="20"/>
          <w:szCs w:val="20"/>
        </w:rPr>
        <w:t>Senneurs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chalutiers</w:t>
      </w:r>
      <w:r w:rsidR="00DB1635" w:rsidRPr="00B004EE">
        <w:rPr>
          <w:rFonts w:ascii="Tahoma" w:hAnsi="Tahoma" w:cs="Tahoma"/>
          <w:sz w:val="20"/>
          <w:szCs w:val="20"/>
        </w:rPr>
        <w:t xml:space="preserve"> </w:t>
      </w:r>
      <w:r w:rsidRPr="00B004EE">
        <w:rPr>
          <w:rFonts w:ascii="Tahoma" w:hAnsi="Tahoma" w:cs="Tahoma"/>
          <w:sz w:val="20"/>
          <w:szCs w:val="20"/>
        </w:rPr>
        <w:t>pélagiques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LHT</w:t>
      </w:r>
      <w:r w:rsidR="00DB1635" w:rsidRPr="00B004EE">
        <w:rPr>
          <w:rFonts w:ascii="Tahoma" w:hAnsi="Tahoma" w:cs="Tahoma"/>
          <w:sz w:val="20"/>
          <w:szCs w:val="20"/>
        </w:rPr>
        <w:t xml:space="preserve"> </w:t>
      </w:r>
      <w:r w:rsidRPr="00B004EE">
        <w:rPr>
          <w:rFonts w:ascii="Tahoma" w:hAnsi="Tahoma" w:cs="Tahoma"/>
          <w:sz w:val="20"/>
          <w:szCs w:val="20"/>
        </w:rPr>
        <w:t>supérieure</w:t>
      </w:r>
      <w:r w:rsidR="00DB1635" w:rsidRPr="00B004EE">
        <w:rPr>
          <w:rFonts w:ascii="Tahoma" w:hAnsi="Tahoma" w:cs="Tahoma"/>
          <w:sz w:val="20"/>
          <w:szCs w:val="20"/>
        </w:rPr>
        <w:t xml:space="preserve"> </w:t>
      </w:r>
      <w:r w:rsidRPr="00B004EE">
        <w:rPr>
          <w:rFonts w:ascii="Tahoma" w:hAnsi="Tahoma" w:cs="Tahoma"/>
          <w:sz w:val="20"/>
          <w:szCs w:val="20"/>
        </w:rPr>
        <w:t>strictement</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40</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inférieure</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égale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60</w:t>
      </w:r>
      <w:r w:rsidR="00DB1635" w:rsidRPr="00B004EE">
        <w:rPr>
          <w:rFonts w:ascii="Tahoma" w:hAnsi="Tahoma" w:cs="Tahoma"/>
          <w:sz w:val="20"/>
          <w:szCs w:val="20"/>
        </w:rPr>
        <w:t xml:space="preserve"> </w:t>
      </w:r>
      <w:r w:rsidRPr="00B004EE">
        <w:rPr>
          <w:rFonts w:ascii="Tahoma" w:hAnsi="Tahoma" w:cs="Tahoma"/>
          <w:sz w:val="20"/>
          <w:szCs w:val="20"/>
        </w:rPr>
        <w:t>m.</w:t>
      </w:r>
    </w:p>
    <w:p w14:paraId="39BE5F0F" w14:textId="6FD4D3FD" w:rsidR="008518B0" w:rsidRPr="00B004EE" w:rsidRDefault="00DB1635" w:rsidP="00B004EE">
      <w:pPr>
        <w:rPr>
          <w:rFonts w:ascii="Tahoma" w:hAnsi="Tahoma" w:cs="Tahoma"/>
          <w:sz w:val="20"/>
          <w:szCs w:val="20"/>
        </w:rPr>
      </w:pPr>
      <w:r w:rsidRPr="00B004EE">
        <w:rPr>
          <w:rFonts w:ascii="Tahoma" w:hAnsi="Tahoma" w:cs="Tahoma"/>
          <w:sz w:val="20"/>
          <w:szCs w:val="20"/>
        </w:rPr>
        <w:t xml:space="preserve"> </w:t>
      </w:r>
    </w:p>
    <w:p w14:paraId="575186A2" w14:textId="7E4943CA" w:rsidR="008518B0" w:rsidRPr="00B004EE" w:rsidRDefault="008518B0" w:rsidP="00B004EE">
      <w:pPr>
        <w:rPr>
          <w:rFonts w:ascii="Tahoma" w:hAnsi="Tahoma" w:cs="Tahoma"/>
          <w:sz w:val="20"/>
          <w:szCs w:val="20"/>
        </w:rPr>
      </w:pP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considérée</w:t>
      </w:r>
      <w:r w:rsidR="00DB1635" w:rsidRPr="00B004EE">
        <w:rPr>
          <w:rFonts w:ascii="Tahoma" w:hAnsi="Tahoma" w:cs="Tahoma"/>
          <w:sz w:val="20"/>
          <w:szCs w:val="20"/>
        </w:rPr>
        <w:t xml:space="preserve"> </w:t>
      </w:r>
      <w:r w:rsidRPr="00B004EE">
        <w:rPr>
          <w:rFonts w:ascii="Tahoma" w:hAnsi="Tahoma" w:cs="Tahoma"/>
          <w:sz w:val="20"/>
          <w:szCs w:val="20"/>
        </w:rPr>
        <w:t>comme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hauturière</w:t>
      </w:r>
      <w:r w:rsidR="00DB1635" w:rsidRPr="00B004EE">
        <w:rPr>
          <w:rFonts w:ascii="Tahoma" w:hAnsi="Tahoma" w:cs="Tahoma"/>
          <w:sz w:val="20"/>
          <w:szCs w:val="20"/>
        </w:rPr>
        <w:t xml:space="preserve"> </w:t>
      </w:r>
      <w:r w:rsidRPr="00B004EE">
        <w:rPr>
          <w:rFonts w:ascii="Tahoma" w:hAnsi="Tahoma" w:cs="Tahoma"/>
          <w:sz w:val="20"/>
          <w:szCs w:val="20"/>
        </w:rPr>
        <w:t>maritime</w:t>
      </w:r>
      <w:r w:rsidR="00DB1635" w:rsidRPr="00B004EE">
        <w:rPr>
          <w:rFonts w:ascii="Tahoma" w:hAnsi="Tahoma" w:cs="Tahoma"/>
          <w:sz w:val="20"/>
          <w:szCs w:val="20"/>
        </w:rPr>
        <w:t xml:space="preserve"> </w:t>
      </w:r>
      <w:r w:rsidRPr="00B004EE">
        <w:rPr>
          <w:rFonts w:ascii="Tahoma" w:hAnsi="Tahoma" w:cs="Tahoma"/>
          <w:sz w:val="20"/>
          <w:szCs w:val="20"/>
        </w:rPr>
        <w:t>toute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commerciale</w:t>
      </w:r>
      <w:r w:rsidR="00DB1635" w:rsidRPr="00B004EE">
        <w:rPr>
          <w:rFonts w:ascii="Tahoma" w:hAnsi="Tahoma" w:cs="Tahoma"/>
          <w:sz w:val="20"/>
          <w:szCs w:val="20"/>
        </w:rPr>
        <w:t xml:space="preserve"> </w:t>
      </w:r>
      <w:r w:rsidRPr="00B004EE">
        <w:rPr>
          <w:rFonts w:ascii="Tahoma" w:hAnsi="Tahoma" w:cs="Tahoma"/>
          <w:sz w:val="20"/>
          <w:szCs w:val="20"/>
        </w:rPr>
        <w:t>pratiquée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l’aide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navires</w:t>
      </w:r>
      <w:r w:rsidR="00DB1635" w:rsidRPr="00B004EE">
        <w:rPr>
          <w:rFonts w:ascii="Tahoma" w:hAnsi="Tahoma" w:cs="Tahoma"/>
          <w:sz w:val="20"/>
          <w:szCs w:val="20"/>
        </w:rPr>
        <w:t xml:space="preserve"> </w:t>
      </w:r>
      <w:r w:rsidRPr="00B004EE">
        <w:rPr>
          <w:rFonts w:ascii="Tahoma" w:hAnsi="Tahoma" w:cs="Tahoma"/>
          <w:sz w:val="20"/>
          <w:szCs w:val="20"/>
        </w:rPr>
        <w:t>ayant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caractéristiques</w:t>
      </w:r>
      <w:r w:rsidR="00DB1635" w:rsidRPr="00B004EE">
        <w:rPr>
          <w:rFonts w:ascii="Tahoma" w:hAnsi="Tahoma" w:cs="Tahoma"/>
          <w:sz w:val="20"/>
          <w:szCs w:val="20"/>
        </w:rPr>
        <w:t xml:space="preserve"> </w:t>
      </w:r>
      <w:r w:rsidRPr="00B004EE">
        <w:rPr>
          <w:rFonts w:ascii="Tahoma" w:hAnsi="Tahoma" w:cs="Tahoma"/>
          <w:sz w:val="20"/>
          <w:szCs w:val="20"/>
        </w:rPr>
        <w:t>autres</w:t>
      </w:r>
      <w:r w:rsidR="00DB1635" w:rsidRPr="00B004EE">
        <w:rPr>
          <w:rFonts w:ascii="Tahoma" w:hAnsi="Tahoma" w:cs="Tahoma"/>
          <w:sz w:val="20"/>
          <w:szCs w:val="20"/>
        </w:rPr>
        <w:t xml:space="preserve"> </w:t>
      </w:r>
      <w:r w:rsidRPr="00B004EE">
        <w:rPr>
          <w:rFonts w:ascii="Tahoma" w:hAnsi="Tahoma" w:cs="Tahoma"/>
          <w:sz w:val="20"/>
          <w:szCs w:val="20"/>
        </w:rPr>
        <w:t>que</w:t>
      </w:r>
      <w:r w:rsidR="00DB1635" w:rsidRPr="00B004EE">
        <w:rPr>
          <w:rFonts w:ascii="Tahoma" w:hAnsi="Tahoma" w:cs="Tahoma"/>
          <w:sz w:val="20"/>
          <w:szCs w:val="20"/>
        </w:rPr>
        <w:t xml:space="preserve"> </w:t>
      </w:r>
      <w:r w:rsidRPr="00B004EE">
        <w:rPr>
          <w:rFonts w:ascii="Tahoma" w:hAnsi="Tahoma" w:cs="Tahoma"/>
          <w:sz w:val="20"/>
          <w:szCs w:val="20"/>
        </w:rPr>
        <w:t>celles</w:t>
      </w:r>
      <w:r w:rsidR="00DB1635" w:rsidRPr="00B004EE">
        <w:rPr>
          <w:rFonts w:ascii="Tahoma" w:hAnsi="Tahoma" w:cs="Tahoma"/>
          <w:sz w:val="20"/>
          <w:szCs w:val="20"/>
        </w:rPr>
        <w:t xml:space="preserve"> </w:t>
      </w:r>
      <w:r w:rsidRPr="00B004EE">
        <w:rPr>
          <w:rFonts w:ascii="Tahoma" w:hAnsi="Tahoma" w:cs="Tahoma"/>
          <w:sz w:val="20"/>
          <w:szCs w:val="20"/>
        </w:rPr>
        <w:t>définies</w:t>
      </w:r>
      <w:r w:rsidR="00DB1635" w:rsidRPr="00B004EE">
        <w:rPr>
          <w:rFonts w:ascii="Tahoma" w:hAnsi="Tahoma" w:cs="Tahoma"/>
          <w:sz w:val="20"/>
          <w:szCs w:val="20"/>
        </w:rPr>
        <w:t xml:space="preserve"> </w:t>
      </w:r>
      <w:r w:rsidRPr="00B004EE">
        <w:rPr>
          <w:rFonts w:ascii="Tahoma" w:hAnsi="Tahoma" w:cs="Tahoma"/>
          <w:sz w:val="20"/>
          <w:szCs w:val="20"/>
        </w:rPr>
        <w:t>ci-dessus.</w:t>
      </w:r>
    </w:p>
    <w:p w14:paraId="6DA6D9ED" w14:textId="77777777" w:rsidR="008518B0" w:rsidRPr="00B004EE" w:rsidRDefault="008518B0" w:rsidP="00B004EE">
      <w:pPr>
        <w:rPr>
          <w:rFonts w:ascii="Tahoma" w:hAnsi="Tahoma" w:cs="Tahoma"/>
          <w:sz w:val="20"/>
          <w:szCs w:val="20"/>
        </w:rPr>
      </w:pPr>
    </w:p>
    <w:p w14:paraId="35035A93" w14:textId="074EDFDE" w:rsidR="008518B0" w:rsidRPr="00B004EE" w:rsidRDefault="008518B0" w:rsidP="00B004EE">
      <w:pPr>
        <w:pStyle w:val="article"/>
        <w:numPr>
          <w:ilvl w:val="0"/>
          <w:numId w:val="0"/>
        </w:numPr>
        <w:tabs>
          <w:tab w:val="left" w:pos="1200"/>
        </w:tabs>
        <w:spacing w:before="0" w:line="240" w:lineRule="auto"/>
        <w:rPr>
          <w:rFonts w:ascii="Tahoma" w:hAnsi="Tahoma" w:cs="Tahoma"/>
          <w:sz w:val="20"/>
          <w:szCs w:val="20"/>
        </w:rPr>
      </w:pP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activités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commerciale</w:t>
      </w:r>
      <w:r w:rsidR="00DB1635" w:rsidRPr="00B004EE">
        <w:rPr>
          <w:rFonts w:ascii="Tahoma" w:hAnsi="Tahoma" w:cs="Tahoma"/>
          <w:sz w:val="20"/>
          <w:szCs w:val="20"/>
        </w:rPr>
        <w:t xml:space="preserve"> </w:t>
      </w:r>
      <w:r w:rsidRPr="00B004EE">
        <w:rPr>
          <w:rFonts w:ascii="Tahoma" w:hAnsi="Tahoma" w:cs="Tahoma"/>
          <w:sz w:val="20"/>
          <w:szCs w:val="20"/>
        </w:rPr>
        <w:t>peuvent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autorisées,</w:t>
      </w:r>
      <w:r w:rsidR="00DB1635" w:rsidRPr="00B004EE">
        <w:rPr>
          <w:rFonts w:ascii="Tahoma" w:hAnsi="Tahoma" w:cs="Tahoma"/>
          <w:sz w:val="20"/>
          <w:szCs w:val="20"/>
        </w:rPr>
        <w:t xml:space="preserve"> </w:t>
      </w:r>
      <w:r w:rsidRPr="00B004EE">
        <w:rPr>
          <w:rFonts w:ascii="Tahoma" w:hAnsi="Tahoma" w:cs="Tahoma"/>
          <w:sz w:val="20"/>
          <w:szCs w:val="20"/>
        </w:rPr>
        <w:t>conformément</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types,</w:t>
      </w:r>
      <w:r w:rsidR="00DB1635" w:rsidRPr="00B004EE">
        <w:rPr>
          <w:rFonts w:ascii="Tahoma" w:hAnsi="Tahoma" w:cs="Tahoma"/>
          <w:sz w:val="20"/>
          <w:szCs w:val="20"/>
        </w:rPr>
        <w:t xml:space="preserve"> </w:t>
      </w:r>
      <w:r w:rsidRPr="00B004EE">
        <w:rPr>
          <w:rFonts w:ascii="Tahoma" w:hAnsi="Tahoma" w:cs="Tahoma"/>
          <w:sz w:val="20"/>
          <w:szCs w:val="20"/>
        </w:rPr>
        <w:t>catégories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segments</w:t>
      </w:r>
      <w:r w:rsidR="00DB1635" w:rsidRPr="00B004EE">
        <w:rPr>
          <w:rFonts w:ascii="Tahoma" w:hAnsi="Tahoma" w:cs="Tahoma"/>
          <w:sz w:val="20"/>
          <w:szCs w:val="20"/>
        </w:rPr>
        <w:t xml:space="preserve"> </w:t>
      </w:r>
      <w:r w:rsidRPr="00B004EE">
        <w:rPr>
          <w:rFonts w:ascii="Tahoma" w:hAnsi="Tahoma" w:cs="Tahoma"/>
          <w:sz w:val="20"/>
          <w:szCs w:val="20"/>
        </w:rPr>
        <w:t>définis</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présent</w:t>
      </w:r>
      <w:r w:rsidR="00DB1635" w:rsidRPr="00B004EE">
        <w:rPr>
          <w:rFonts w:ascii="Tahoma" w:hAnsi="Tahoma" w:cs="Tahoma"/>
          <w:sz w:val="20"/>
          <w:szCs w:val="20"/>
        </w:rPr>
        <w:t xml:space="preserve"> </w:t>
      </w:r>
      <w:r w:rsidRPr="00B004EE">
        <w:rPr>
          <w:rFonts w:ascii="Tahoma" w:hAnsi="Tahoma" w:cs="Tahoma"/>
          <w:sz w:val="20"/>
          <w:szCs w:val="20"/>
        </w:rPr>
        <w:t>article.</w:t>
      </w:r>
      <w:r w:rsidR="00DB1635" w:rsidRPr="00B004EE">
        <w:rPr>
          <w:rFonts w:ascii="Tahoma" w:hAnsi="Tahoma" w:cs="Tahoma"/>
          <w:sz w:val="20"/>
          <w:szCs w:val="20"/>
        </w:rPr>
        <w:t xml:space="preserve"> </w:t>
      </w:r>
    </w:p>
    <w:p w14:paraId="5CB68E72" w14:textId="77777777" w:rsidR="008518B0" w:rsidRPr="00B004EE" w:rsidRDefault="008518B0" w:rsidP="00B004EE">
      <w:pPr>
        <w:pStyle w:val="article"/>
        <w:numPr>
          <w:ilvl w:val="0"/>
          <w:numId w:val="0"/>
        </w:numPr>
        <w:tabs>
          <w:tab w:val="left" w:pos="1200"/>
        </w:tabs>
        <w:spacing w:before="0" w:line="240" w:lineRule="auto"/>
        <w:rPr>
          <w:rFonts w:ascii="Tahoma" w:hAnsi="Tahoma" w:cs="Tahoma"/>
          <w:sz w:val="20"/>
          <w:szCs w:val="20"/>
        </w:rPr>
      </w:pPr>
    </w:p>
    <w:p w14:paraId="62838B78" w14:textId="3875B8D7" w:rsidR="008518B0" w:rsidRPr="00B004EE" w:rsidRDefault="008518B0" w:rsidP="00B004EE">
      <w:pPr>
        <w:pStyle w:val="article"/>
        <w:numPr>
          <w:ilvl w:val="0"/>
          <w:numId w:val="0"/>
        </w:numPr>
        <w:tabs>
          <w:tab w:val="left" w:pos="1200"/>
        </w:tabs>
        <w:spacing w:before="0" w:line="240" w:lineRule="auto"/>
        <w:rPr>
          <w:rFonts w:ascii="Tahoma" w:hAnsi="Tahoma" w:cs="Tahoma"/>
          <w:sz w:val="20"/>
          <w:szCs w:val="20"/>
        </w:rPr>
      </w:pP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arrêté</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ministre</w:t>
      </w:r>
      <w:r w:rsidR="00DB1635" w:rsidRPr="00B004EE">
        <w:rPr>
          <w:rFonts w:ascii="Tahoma" w:hAnsi="Tahoma" w:cs="Tahoma"/>
          <w:sz w:val="20"/>
          <w:szCs w:val="20"/>
        </w:rPr>
        <w:t xml:space="preserve"> </w:t>
      </w:r>
      <w:r w:rsidRPr="00B004EE">
        <w:rPr>
          <w:rFonts w:ascii="Tahoma" w:hAnsi="Tahoma" w:cs="Tahoma"/>
          <w:sz w:val="20"/>
          <w:szCs w:val="20"/>
        </w:rPr>
        <w:t>chargé</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sz w:val="20"/>
          <w:szCs w:val="20"/>
        </w:rPr>
        <w:t xml:space="preserve"> </w:t>
      </w:r>
      <w:r w:rsidRPr="00B004EE">
        <w:rPr>
          <w:rFonts w:ascii="Tahoma" w:hAnsi="Tahoma" w:cs="Tahoma"/>
          <w:sz w:val="20"/>
          <w:szCs w:val="20"/>
        </w:rPr>
        <w:t>précisera,</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tant</w:t>
      </w:r>
      <w:r w:rsidR="00DB1635" w:rsidRPr="00B004EE">
        <w:rPr>
          <w:rFonts w:ascii="Tahoma" w:hAnsi="Tahoma" w:cs="Tahoma"/>
          <w:sz w:val="20"/>
          <w:szCs w:val="20"/>
        </w:rPr>
        <w:t xml:space="preserve"> </w:t>
      </w:r>
      <w:r w:rsidRPr="00B004EE">
        <w:rPr>
          <w:rFonts w:ascii="Tahoma" w:hAnsi="Tahoma" w:cs="Tahoma"/>
          <w:sz w:val="20"/>
          <w:szCs w:val="20"/>
        </w:rPr>
        <w:t>que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besoin,</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dispositions</w:t>
      </w:r>
      <w:r w:rsidR="00DB1635" w:rsidRPr="00B004EE">
        <w:rPr>
          <w:rFonts w:ascii="Tahoma" w:hAnsi="Tahoma" w:cs="Tahoma"/>
          <w:sz w:val="20"/>
          <w:szCs w:val="20"/>
        </w:rPr>
        <w:t xml:space="preserve"> </w:t>
      </w:r>
      <w:r w:rsidRPr="00B004EE">
        <w:rPr>
          <w:rFonts w:ascii="Tahoma" w:hAnsi="Tahoma" w:cs="Tahoma"/>
          <w:sz w:val="20"/>
          <w:szCs w:val="20"/>
        </w:rPr>
        <w:t>applicables</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types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catégories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p>
    <w:p w14:paraId="6B8A758C" w14:textId="77777777" w:rsidR="008518B0" w:rsidRPr="00B004EE" w:rsidRDefault="008518B0" w:rsidP="00B004EE">
      <w:pPr>
        <w:pStyle w:val="article"/>
        <w:numPr>
          <w:ilvl w:val="0"/>
          <w:numId w:val="0"/>
        </w:numPr>
        <w:tabs>
          <w:tab w:val="left" w:pos="1200"/>
        </w:tabs>
        <w:spacing w:before="0" w:line="240" w:lineRule="auto"/>
        <w:rPr>
          <w:rFonts w:ascii="Tahoma" w:hAnsi="Tahoma" w:cs="Tahoma"/>
          <w:sz w:val="20"/>
          <w:szCs w:val="20"/>
        </w:rPr>
      </w:pPr>
    </w:p>
    <w:p w14:paraId="39CC7ED6" w14:textId="1351637C" w:rsidR="008518B0" w:rsidRPr="00B004EE" w:rsidRDefault="008518B0" w:rsidP="00B004EE">
      <w:pPr>
        <w:pStyle w:val="article"/>
        <w:numPr>
          <w:ilvl w:val="0"/>
          <w:numId w:val="0"/>
        </w:numPr>
        <w:tabs>
          <w:tab w:val="left" w:pos="1200"/>
        </w:tabs>
        <w:spacing w:before="0" w:line="240" w:lineRule="auto"/>
        <w:rPr>
          <w:rFonts w:ascii="Tahoma" w:hAnsi="Tahoma" w:cs="Tahoma"/>
          <w:sz w:val="20"/>
          <w:szCs w:val="20"/>
        </w:rPr>
      </w:pPr>
      <w:r w:rsidRPr="00B004EE">
        <w:rPr>
          <w:rFonts w:ascii="Tahoma" w:hAnsi="Tahoma" w:cs="Tahoma"/>
          <w:sz w:val="20"/>
          <w:szCs w:val="20"/>
        </w:rPr>
        <w:t>Article</w:t>
      </w:r>
      <w:r w:rsidR="00DB1635" w:rsidRPr="00B004EE">
        <w:rPr>
          <w:rFonts w:ascii="Tahoma" w:hAnsi="Tahoma" w:cs="Tahoma"/>
          <w:sz w:val="20"/>
          <w:szCs w:val="20"/>
        </w:rPr>
        <w:t xml:space="preserve"> </w:t>
      </w:r>
      <w:r w:rsidRPr="00B004EE">
        <w:rPr>
          <w:rFonts w:ascii="Tahoma" w:hAnsi="Tahoma" w:cs="Tahoma"/>
          <w:sz w:val="20"/>
          <w:szCs w:val="20"/>
        </w:rPr>
        <w:t>14</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définitions</w:t>
      </w:r>
      <w:r w:rsidR="00DB1635" w:rsidRPr="00B004EE">
        <w:rPr>
          <w:rFonts w:ascii="Tahoma" w:hAnsi="Tahoma" w:cs="Tahoma"/>
          <w:sz w:val="20"/>
          <w:szCs w:val="20"/>
        </w:rPr>
        <w:t xml:space="preserve"> </w:t>
      </w:r>
      <w:r w:rsidRPr="00B004EE">
        <w:rPr>
          <w:rFonts w:ascii="Tahoma" w:hAnsi="Tahoma" w:cs="Tahoma"/>
          <w:sz w:val="20"/>
          <w:szCs w:val="20"/>
        </w:rPr>
        <w:t>respectives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subsistance,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exploratoire,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fins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recherche</w:t>
      </w:r>
      <w:r w:rsidR="00DB1635" w:rsidRPr="00B004EE">
        <w:rPr>
          <w:rFonts w:ascii="Tahoma" w:hAnsi="Tahoma" w:cs="Tahoma"/>
          <w:sz w:val="20"/>
          <w:szCs w:val="20"/>
        </w:rPr>
        <w:t xml:space="preserve"> </w:t>
      </w:r>
      <w:r w:rsidRPr="00B004EE">
        <w:rPr>
          <w:rFonts w:ascii="Tahoma" w:hAnsi="Tahoma" w:cs="Tahoma"/>
          <w:sz w:val="20"/>
          <w:szCs w:val="20"/>
        </w:rPr>
        <w:t>scientifique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technique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sportive,</w:t>
      </w:r>
      <w:r w:rsidR="00DB1635" w:rsidRPr="00B004EE">
        <w:rPr>
          <w:rFonts w:ascii="Tahoma" w:hAnsi="Tahoma" w:cs="Tahoma"/>
          <w:sz w:val="20"/>
          <w:szCs w:val="20"/>
        </w:rPr>
        <w:t xml:space="preserve"> </w:t>
      </w:r>
      <w:r w:rsidRPr="00B004EE">
        <w:rPr>
          <w:rFonts w:ascii="Tahoma" w:hAnsi="Tahoma" w:cs="Tahoma"/>
          <w:sz w:val="20"/>
          <w:szCs w:val="20"/>
        </w:rPr>
        <w:t>telles</w:t>
      </w:r>
      <w:r w:rsidR="00DB1635" w:rsidRPr="00B004EE">
        <w:rPr>
          <w:rFonts w:ascii="Tahoma" w:hAnsi="Tahoma" w:cs="Tahoma"/>
          <w:sz w:val="20"/>
          <w:szCs w:val="20"/>
        </w:rPr>
        <w:t xml:space="preserve"> </w:t>
      </w:r>
      <w:r w:rsidRPr="00B004EE">
        <w:rPr>
          <w:rFonts w:ascii="Tahoma" w:hAnsi="Tahoma" w:cs="Tahoma"/>
          <w:sz w:val="20"/>
          <w:szCs w:val="20"/>
        </w:rPr>
        <w:t>que</w:t>
      </w:r>
      <w:r w:rsidR="00DB1635" w:rsidRPr="00B004EE">
        <w:rPr>
          <w:rFonts w:ascii="Tahoma" w:hAnsi="Tahoma" w:cs="Tahoma"/>
          <w:sz w:val="20"/>
          <w:szCs w:val="20"/>
        </w:rPr>
        <w:t xml:space="preserve"> </w:t>
      </w:r>
      <w:r w:rsidRPr="00B004EE">
        <w:rPr>
          <w:rFonts w:ascii="Tahoma" w:hAnsi="Tahoma" w:cs="Tahoma"/>
          <w:sz w:val="20"/>
          <w:szCs w:val="20"/>
        </w:rPr>
        <w:t>prévues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l’article</w:t>
      </w:r>
      <w:r w:rsidR="00DB1635" w:rsidRPr="00B004EE">
        <w:rPr>
          <w:rFonts w:ascii="Tahoma" w:hAnsi="Tahoma" w:cs="Tahoma"/>
          <w:sz w:val="20"/>
          <w:szCs w:val="20"/>
        </w:rPr>
        <w:t xml:space="preserve"> </w:t>
      </w:r>
      <w:r w:rsidRPr="00B004EE">
        <w:rPr>
          <w:rFonts w:ascii="Tahoma" w:hAnsi="Tahoma" w:cs="Tahoma"/>
          <w:sz w:val="20"/>
          <w:szCs w:val="20"/>
        </w:rPr>
        <w:t>6</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loi</w:t>
      </w:r>
      <w:r w:rsidR="00DB1635" w:rsidRPr="00B004EE">
        <w:rPr>
          <w:rFonts w:ascii="Tahoma" w:hAnsi="Tahoma" w:cs="Tahoma"/>
          <w:sz w:val="20"/>
          <w:szCs w:val="20"/>
        </w:rPr>
        <w:t xml:space="preserve"> </w:t>
      </w:r>
      <w:r w:rsidRPr="00B004EE">
        <w:rPr>
          <w:rFonts w:ascii="Tahoma" w:hAnsi="Tahoma" w:cs="Tahoma"/>
          <w:sz w:val="20"/>
          <w:szCs w:val="20"/>
        </w:rPr>
        <w:t>n°017-2015</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29</w:t>
      </w:r>
      <w:r w:rsidR="00DB1635" w:rsidRPr="00B004EE">
        <w:rPr>
          <w:rFonts w:ascii="Tahoma" w:hAnsi="Tahoma" w:cs="Tahoma"/>
          <w:sz w:val="20"/>
          <w:szCs w:val="20"/>
        </w:rPr>
        <w:t xml:space="preserve"> </w:t>
      </w:r>
      <w:r w:rsidRPr="00B004EE">
        <w:rPr>
          <w:rFonts w:ascii="Tahoma" w:hAnsi="Tahoma" w:cs="Tahoma"/>
          <w:sz w:val="20"/>
          <w:szCs w:val="20"/>
        </w:rPr>
        <w:t>juillet</w:t>
      </w:r>
      <w:r w:rsidR="00DB1635" w:rsidRPr="00B004EE">
        <w:rPr>
          <w:rFonts w:ascii="Tahoma" w:hAnsi="Tahoma" w:cs="Tahoma"/>
          <w:sz w:val="20"/>
          <w:szCs w:val="20"/>
        </w:rPr>
        <w:t xml:space="preserve"> </w:t>
      </w:r>
      <w:r w:rsidRPr="00B004EE">
        <w:rPr>
          <w:rFonts w:ascii="Tahoma" w:hAnsi="Tahoma" w:cs="Tahoma"/>
          <w:sz w:val="20"/>
          <w:szCs w:val="20"/>
        </w:rPr>
        <w:t>2105</w:t>
      </w:r>
      <w:r w:rsidR="00DB1635" w:rsidRPr="00B004EE">
        <w:rPr>
          <w:rFonts w:ascii="Tahoma" w:hAnsi="Tahoma" w:cs="Tahoma"/>
          <w:sz w:val="20"/>
          <w:szCs w:val="20"/>
        </w:rPr>
        <w:t xml:space="preserve"> </w:t>
      </w:r>
      <w:r w:rsidRPr="00B004EE">
        <w:rPr>
          <w:rFonts w:ascii="Tahoma" w:hAnsi="Tahoma" w:cs="Tahoma"/>
          <w:sz w:val="20"/>
          <w:szCs w:val="20"/>
        </w:rPr>
        <w:t>portant</w:t>
      </w:r>
      <w:r w:rsidR="00DB1635" w:rsidRPr="00B004EE">
        <w:rPr>
          <w:rFonts w:ascii="Tahoma" w:hAnsi="Tahoma" w:cs="Tahoma"/>
          <w:sz w:val="20"/>
          <w:szCs w:val="20"/>
        </w:rPr>
        <w:t xml:space="preserve"> </w:t>
      </w:r>
      <w:r w:rsidRPr="00B004EE">
        <w:rPr>
          <w:rFonts w:ascii="Tahoma" w:hAnsi="Tahoma" w:cs="Tahoma"/>
          <w:sz w:val="20"/>
          <w:szCs w:val="20"/>
        </w:rPr>
        <w:t>Code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sz w:val="20"/>
          <w:szCs w:val="20"/>
        </w:rPr>
        <w:t xml:space="preserve"> </w:t>
      </w:r>
      <w:r w:rsidRPr="00B004EE">
        <w:rPr>
          <w:rFonts w:ascii="Tahoma" w:hAnsi="Tahoma" w:cs="Tahoma"/>
          <w:sz w:val="20"/>
          <w:szCs w:val="20"/>
        </w:rPr>
        <w:t>seront</w:t>
      </w:r>
      <w:r w:rsidR="00DB1635" w:rsidRPr="00B004EE">
        <w:rPr>
          <w:rFonts w:ascii="Tahoma" w:hAnsi="Tahoma" w:cs="Tahoma"/>
          <w:sz w:val="20"/>
          <w:szCs w:val="20"/>
        </w:rPr>
        <w:t xml:space="preserve"> </w:t>
      </w:r>
      <w:r w:rsidRPr="00B004EE">
        <w:rPr>
          <w:rFonts w:ascii="Tahoma" w:hAnsi="Tahoma" w:cs="Tahoma"/>
          <w:sz w:val="20"/>
          <w:szCs w:val="20"/>
        </w:rPr>
        <w:t>précisées,</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tant</w:t>
      </w:r>
      <w:r w:rsidR="00DB1635" w:rsidRPr="00B004EE">
        <w:rPr>
          <w:rFonts w:ascii="Tahoma" w:hAnsi="Tahoma" w:cs="Tahoma"/>
          <w:sz w:val="20"/>
          <w:szCs w:val="20"/>
        </w:rPr>
        <w:t xml:space="preserve"> </w:t>
      </w:r>
      <w:r w:rsidRPr="00B004EE">
        <w:rPr>
          <w:rFonts w:ascii="Tahoma" w:hAnsi="Tahoma" w:cs="Tahoma"/>
          <w:sz w:val="20"/>
          <w:szCs w:val="20"/>
        </w:rPr>
        <w:t>que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besoin,</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arrêté</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ministre</w:t>
      </w:r>
      <w:r w:rsidR="00DB1635" w:rsidRPr="00B004EE">
        <w:rPr>
          <w:rFonts w:ascii="Tahoma" w:hAnsi="Tahoma" w:cs="Tahoma"/>
          <w:sz w:val="20"/>
          <w:szCs w:val="20"/>
        </w:rPr>
        <w:t xml:space="preserve"> </w:t>
      </w:r>
      <w:r w:rsidRPr="00B004EE">
        <w:rPr>
          <w:rFonts w:ascii="Tahoma" w:hAnsi="Tahoma" w:cs="Tahoma"/>
          <w:sz w:val="20"/>
          <w:szCs w:val="20"/>
        </w:rPr>
        <w:t>chargé</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fonction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techniques</w:t>
      </w:r>
      <w:r w:rsidR="00DB1635" w:rsidRPr="00B004EE">
        <w:rPr>
          <w:rFonts w:ascii="Tahoma" w:hAnsi="Tahoma" w:cs="Tahoma"/>
          <w:sz w:val="20"/>
          <w:szCs w:val="20"/>
        </w:rPr>
        <w:t xml:space="preserve"> </w:t>
      </w:r>
      <w:r w:rsidRPr="00B004EE">
        <w:rPr>
          <w:rFonts w:ascii="Tahoma" w:hAnsi="Tahoma" w:cs="Tahoma"/>
          <w:sz w:val="20"/>
          <w:szCs w:val="20"/>
        </w:rPr>
        <w:t>utilisées</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zones</w:t>
      </w:r>
      <w:r w:rsidR="00DB1635" w:rsidRPr="00B004EE">
        <w:rPr>
          <w:rFonts w:ascii="Tahoma" w:hAnsi="Tahoma" w:cs="Tahoma"/>
          <w:sz w:val="20"/>
          <w:szCs w:val="20"/>
        </w:rPr>
        <w:t xml:space="preserve"> </w:t>
      </w:r>
      <w:r w:rsidRPr="00B004EE">
        <w:rPr>
          <w:rFonts w:ascii="Tahoma" w:hAnsi="Tahoma" w:cs="Tahoma"/>
          <w:sz w:val="20"/>
          <w:szCs w:val="20"/>
        </w:rPr>
        <w:t>où</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pratiquée.</w:t>
      </w:r>
      <w:r w:rsidR="00DB1635" w:rsidRPr="00B004EE">
        <w:rPr>
          <w:rFonts w:ascii="Tahoma" w:hAnsi="Tahoma" w:cs="Tahoma"/>
          <w:sz w:val="20"/>
          <w:szCs w:val="20"/>
        </w:rPr>
        <w:t xml:space="preserve"> </w:t>
      </w:r>
    </w:p>
    <w:p w14:paraId="6F7CB6B9" w14:textId="77777777" w:rsidR="00F81386" w:rsidRPr="00B004EE" w:rsidRDefault="00F81386" w:rsidP="00B004EE">
      <w:pPr>
        <w:jc w:val="center"/>
        <w:rPr>
          <w:rFonts w:ascii="Tahoma" w:hAnsi="Tahoma" w:cs="Tahoma"/>
          <w:b/>
          <w:bCs/>
          <w:sz w:val="20"/>
          <w:szCs w:val="20"/>
        </w:rPr>
      </w:pPr>
    </w:p>
    <w:p w14:paraId="1E7ACE6C" w14:textId="6F2278D7" w:rsidR="00F81386" w:rsidRPr="00B004EE" w:rsidRDefault="00F81386" w:rsidP="00B004EE">
      <w:pPr>
        <w:jc w:val="center"/>
        <w:rPr>
          <w:rFonts w:ascii="Tahoma" w:hAnsi="Tahoma" w:cs="Tahoma"/>
          <w:b/>
          <w:bCs/>
          <w:sz w:val="20"/>
          <w:szCs w:val="20"/>
        </w:rPr>
      </w:pPr>
    </w:p>
    <w:p w14:paraId="1882D016" w14:textId="77777777" w:rsidR="00DF657F" w:rsidRPr="00B004EE" w:rsidRDefault="00DF657F" w:rsidP="00B004EE">
      <w:pPr>
        <w:jc w:val="center"/>
        <w:rPr>
          <w:rFonts w:ascii="Tahoma" w:hAnsi="Tahoma" w:cs="Tahoma"/>
          <w:b/>
          <w:bCs/>
          <w:sz w:val="20"/>
          <w:szCs w:val="20"/>
        </w:rPr>
      </w:pPr>
    </w:p>
    <w:p w14:paraId="7F171363" w14:textId="202603D6" w:rsidR="008518B0" w:rsidRPr="00B004EE" w:rsidRDefault="008518B0" w:rsidP="00B004EE">
      <w:pPr>
        <w:jc w:val="center"/>
        <w:rPr>
          <w:rFonts w:ascii="Tahoma" w:hAnsi="Tahoma" w:cs="Tahoma"/>
          <w:b/>
          <w:bCs/>
          <w:sz w:val="20"/>
          <w:szCs w:val="20"/>
        </w:rPr>
      </w:pPr>
      <w:r w:rsidRPr="00B004EE">
        <w:rPr>
          <w:rFonts w:ascii="Tahoma" w:hAnsi="Tahoma" w:cs="Tahoma"/>
          <w:b/>
          <w:bCs/>
          <w:sz w:val="20"/>
          <w:szCs w:val="20"/>
        </w:rPr>
        <w:t>Section</w:t>
      </w:r>
      <w:r w:rsidR="00DB1635" w:rsidRPr="00B004EE">
        <w:rPr>
          <w:rFonts w:ascii="Tahoma" w:hAnsi="Tahoma" w:cs="Tahoma"/>
          <w:b/>
          <w:bCs/>
          <w:sz w:val="20"/>
          <w:szCs w:val="20"/>
        </w:rPr>
        <w:t xml:space="preserve"> </w:t>
      </w:r>
      <w:r w:rsidRPr="00B004EE">
        <w:rPr>
          <w:rFonts w:ascii="Tahoma" w:hAnsi="Tahoma" w:cs="Tahoma"/>
          <w:b/>
          <w:bCs/>
          <w:sz w:val="20"/>
          <w:szCs w:val="20"/>
        </w:rPr>
        <w:t>II</w:t>
      </w:r>
      <w:r w:rsidR="00DB1635" w:rsidRPr="00B004EE">
        <w:rPr>
          <w:rFonts w:ascii="Tahoma" w:hAnsi="Tahoma" w:cs="Tahoma"/>
          <w:b/>
          <w:bCs/>
          <w:sz w:val="20"/>
          <w:szCs w:val="20"/>
        </w:rPr>
        <w:t xml:space="preserve"> </w:t>
      </w:r>
      <w:r w:rsidRPr="00B004EE">
        <w:rPr>
          <w:rFonts w:ascii="Tahoma" w:hAnsi="Tahoma" w:cs="Tahoma"/>
          <w:b/>
          <w:bCs/>
          <w:sz w:val="20"/>
          <w:szCs w:val="20"/>
        </w:rPr>
        <w:t>:</w:t>
      </w:r>
      <w:r w:rsidR="00DB1635" w:rsidRPr="00B004EE">
        <w:rPr>
          <w:rFonts w:ascii="Tahoma" w:hAnsi="Tahoma" w:cs="Tahoma"/>
          <w:b/>
          <w:bCs/>
          <w:sz w:val="20"/>
          <w:szCs w:val="20"/>
        </w:rPr>
        <w:t xml:space="preserve"> </w:t>
      </w:r>
      <w:r w:rsidRPr="00B004EE">
        <w:rPr>
          <w:rFonts w:ascii="Tahoma" w:hAnsi="Tahoma" w:cs="Tahoma"/>
          <w:b/>
          <w:bCs/>
          <w:sz w:val="20"/>
          <w:szCs w:val="20"/>
        </w:rPr>
        <w:t>Des</w:t>
      </w:r>
      <w:r w:rsidR="00DB1635" w:rsidRPr="00B004EE">
        <w:rPr>
          <w:rFonts w:ascii="Tahoma" w:hAnsi="Tahoma" w:cs="Tahoma"/>
          <w:b/>
          <w:bCs/>
          <w:sz w:val="20"/>
          <w:szCs w:val="20"/>
        </w:rPr>
        <w:t xml:space="preserve"> </w:t>
      </w:r>
      <w:r w:rsidRPr="00B004EE">
        <w:rPr>
          <w:rFonts w:ascii="Tahoma" w:hAnsi="Tahoma" w:cs="Tahoma"/>
          <w:b/>
          <w:bCs/>
          <w:sz w:val="20"/>
          <w:szCs w:val="20"/>
        </w:rPr>
        <w:t>concessions</w:t>
      </w:r>
      <w:r w:rsidR="00DB1635" w:rsidRPr="00B004EE">
        <w:rPr>
          <w:rFonts w:ascii="Tahoma" w:hAnsi="Tahoma" w:cs="Tahoma"/>
          <w:b/>
          <w:bCs/>
          <w:sz w:val="20"/>
          <w:szCs w:val="20"/>
        </w:rPr>
        <w:t xml:space="preserve"> </w:t>
      </w:r>
      <w:r w:rsidRPr="00B004EE">
        <w:rPr>
          <w:rFonts w:ascii="Tahoma" w:hAnsi="Tahoma" w:cs="Tahoma"/>
          <w:b/>
          <w:bCs/>
          <w:sz w:val="20"/>
          <w:szCs w:val="20"/>
        </w:rPr>
        <w:t>de</w:t>
      </w:r>
      <w:r w:rsidR="00DB1635" w:rsidRPr="00B004EE">
        <w:rPr>
          <w:rFonts w:ascii="Tahoma" w:hAnsi="Tahoma" w:cs="Tahoma"/>
          <w:b/>
          <w:bCs/>
          <w:sz w:val="20"/>
          <w:szCs w:val="20"/>
        </w:rPr>
        <w:t xml:space="preserve"> </w:t>
      </w:r>
      <w:r w:rsidRPr="00B004EE">
        <w:rPr>
          <w:rFonts w:ascii="Tahoma" w:hAnsi="Tahoma" w:cs="Tahoma"/>
          <w:b/>
          <w:bCs/>
          <w:sz w:val="20"/>
          <w:szCs w:val="20"/>
        </w:rPr>
        <w:t>droits</w:t>
      </w:r>
      <w:r w:rsidR="00DB1635" w:rsidRPr="00B004EE">
        <w:rPr>
          <w:rFonts w:ascii="Tahoma" w:hAnsi="Tahoma" w:cs="Tahoma"/>
          <w:b/>
          <w:bCs/>
          <w:sz w:val="20"/>
          <w:szCs w:val="20"/>
        </w:rPr>
        <w:t xml:space="preserve"> </w:t>
      </w:r>
      <w:r w:rsidRPr="00B004EE">
        <w:rPr>
          <w:rFonts w:ascii="Tahoma" w:hAnsi="Tahoma" w:cs="Tahoma"/>
          <w:b/>
          <w:bCs/>
          <w:sz w:val="20"/>
          <w:szCs w:val="20"/>
        </w:rPr>
        <w:t>d'usage</w:t>
      </w:r>
    </w:p>
    <w:p w14:paraId="334FBF91" w14:textId="77777777" w:rsidR="008518B0" w:rsidRPr="00B004EE" w:rsidRDefault="008518B0" w:rsidP="00B004EE">
      <w:pPr>
        <w:jc w:val="center"/>
        <w:rPr>
          <w:rFonts w:ascii="Tahoma" w:hAnsi="Tahoma" w:cs="Tahoma"/>
          <w:b/>
          <w:bCs/>
          <w:sz w:val="20"/>
          <w:szCs w:val="20"/>
        </w:rPr>
      </w:pPr>
    </w:p>
    <w:p w14:paraId="1574E83B" w14:textId="3E02919E" w:rsidR="008518B0" w:rsidRPr="00B004EE" w:rsidRDefault="008518B0" w:rsidP="00B004EE">
      <w:pPr>
        <w:pStyle w:val="article"/>
        <w:numPr>
          <w:ilvl w:val="0"/>
          <w:numId w:val="0"/>
        </w:numPr>
        <w:tabs>
          <w:tab w:val="left" w:pos="1200"/>
        </w:tabs>
        <w:spacing w:before="0" w:line="240" w:lineRule="auto"/>
        <w:rPr>
          <w:rFonts w:ascii="Tahoma" w:hAnsi="Tahoma" w:cs="Tahoma"/>
          <w:sz w:val="20"/>
          <w:szCs w:val="20"/>
        </w:rPr>
      </w:pPr>
      <w:r w:rsidRPr="00B004EE">
        <w:rPr>
          <w:rFonts w:ascii="Tahoma" w:hAnsi="Tahoma" w:cs="Tahoma"/>
          <w:sz w:val="20"/>
          <w:szCs w:val="20"/>
        </w:rPr>
        <w:t>Article</w:t>
      </w:r>
      <w:r w:rsidR="00DB1635" w:rsidRPr="00B004EE">
        <w:rPr>
          <w:rFonts w:ascii="Tahoma" w:hAnsi="Tahoma" w:cs="Tahoma"/>
          <w:sz w:val="20"/>
          <w:szCs w:val="20"/>
        </w:rPr>
        <w:t xml:space="preserve"> </w:t>
      </w:r>
      <w:r w:rsidRPr="00B004EE">
        <w:rPr>
          <w:rFonts w:ascii="Tahoma" w:hAnsi="Tahoma" w:cs="Tahoma"/>
          <w:sz w:val="20"/>
          <w:szCs w:val="20"/>
        </w:rPr>
        <w:t>15</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contrat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concession</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droits</w:t>
      </w:r>
      <w:r w:rsidR="00DB1635" w:rsidRPr="00B004EE">
        <w:rPr>
          <w:rFonts w:ascii="Tahoma" w:hAnsi="Tahoma" w:cs="Tahoma"/>
          <w:sz w:val="20"/>
          <w:szCs w:val="20"/>
        </w:rPr>
        <w:t xml:space="preserve"> </w:t>
      </w:r>
      <w:r w:rsidRPr="00B004EE">
        <w:rPr>
          <w:rFonts w:ascii="Tahoma" w:hAnsi="Tahoma" w:cs="Tahoma"/>
          <w:sz w:val="20"/>
          <w:szCs w:val="20"/>
        </w:rPr>
        <w:t>d'usage</w:t>
      </w:r>
      <w:r w:rsidR="00DB1635" w:rsidRPr="00B004EE">
        <w:rPr>
          <w:rFonts w:ascii="Tahoma" w:hAnsi="Tahoma" w:cs="Tahoma"/>
          <w:sz w:val="20"/>
          <w:szCs w:val="20"/>
        </w:rPr>
        <w:t xml:space="preserve"> </w:t>
      </w:r>
      <w:r w:rsidRPr="00B004EE">
        <w:rPr>
          <w:rFonts w:ascii="Tahoma" w:hAnsi="Tahoma" w:cs="Tahoma"/>
          <w:sz w:val="20"/>
          <w:szCs w:val="20"/>
        </w:rPr>
        <w:t>confère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son</w:t>
      </w:r>
      <w:r w:rsidR="00DB1635" w:rsidRPr="00B004EE">
        <w:rPr>
          <w:rFonts w:ascii="Tahoma" w:hAnsi="Tahoma" w:cs="Tahoma"/>
          <w:sz w:val="20"/>
          <w:szCs w:val="20"/>
        </w:rPr>
        <w:t xml:space="preserve"> </w:t>
      </w:r>
      <w:r w:rsidRPr="00B004EE">
        <w:rPr>
          <w:rFonts w:ascii="Tahoma" w:hAnsi="Tahoma" w:cs="Tahoma"/>
          <w:sz w:val="20"/>
          <w:szCs w:val="20"/>
        </w:rPr>
        <w:t>titulaire</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droit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prélever</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quantité</w:t>
      </w:r>
      <w:r w:rsidR="00DB1635" w:rsidRPr="00B004EE">
        <w:rPr>
          <w:rFonts w:ascii="Tahoma" w:hAnsi="Tahoma" w:cs="Tahoma"/>
          <w:sz w:val="20"/>
          <w:szCs w:val="20"/>
        </w:rPr>
        <w:t xml:space="preserve"> </w:t>
      </w:r>
      <w:r w:rsidRPr="00B004EE">
        <w:rPr>
          <w:rFonts w:ascii="Tahoma" w:hAnsi="Tahoma" w:cs="Tahoma"/>
          <w:sz w:val="20"/>
          <w:szCs w:val="20"/>
        </w:rPr>
        <w:t>déterminée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halieutiques,</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conditions</w:t>
      </w:r>
      <w:r w:rsidR="00DB1635" w:rsidRPr="00B004EE">
        <w:rPr>
          <w:rFonts w:ascii="Tahoma" w:hAnsi="Tahoma" w:cs="Tahoma"/>
          <w:sz w:val="20"/>
          <w:szCs w:val="20"/>
        </w:rPr>
        <w:t xml:space="preserve"> </w:t>
      </w:r>
      <w:r w:rsidRPr="00B004EE">
        <w:rPr>
          <w:rFonts w:ascii="Tahoma" w:hAnsi="Tahoma" w:cs="Tahoma"/>
          <w:sz w:val="20"/>
          <w:szCs w:val="20"/>
        </w:rPr>
        <w:t>prévues</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lois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règlements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conformément</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dispositions</w:t>
      </w:r>
      <w:r w:rsidR="00DB1635" w:rsidRPr="00B004EE">
        <w:rPr>
          <w:rFonts w:ascii="Tahoma" w:hAnsi="Tahoma" w:cs="Tahoma"/>
          <w:sz w:val="20"/>
          <w:szCs w:val="20"/>
        </w:rPr>
        <w:t xml:space="preserve"> </w:t>
      </w:r>
      <w:r w:rsidRPr="00B004EE">
        <w:rPr>
          <w:rFonts w:ascii="Tahoma" w:hAnsi="Tahoma" w:cs="Tahoma"/>
          <w:sz w:val="20"/>
          <w:szCs w:val="20"/>
        </w:rPr>
        <w:t>d'un</w:t>
      </w:r>
      <w:r w:rsidR="00DB1635" w:rsidRPr="00B004EE">
        <w:rPr>
          <w:rFonts w:ascii="Tahoma" w:hAnsi="Tahoma" w:cs="Tahoma"/>
          <w:sz w:val="20"/>
          <w:szCs w:val="20"/>
        </w:rPr>
        <w:t xml:space="preserve"> </w:t>
      </w:r>
      <w:r w:rsidRPr="00B004EE">
        <w:rPr>
          <w:rFonts w:ascii="Tahoma" w:hAnsi="Tahoma" w:cs="Tahoma"/>
          <w:sz w:val="20"/>
          <w:szCs w:val="20"/>
        </w:rPr>
        <w:t>cahier</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charges.</w:t>
      </w:r>
    </w:p>
    <w:p w14:paraId="40FDEF02" w14:textId="77777777" w:rsidR="008518B0" w:rsidRPr="00B004EE" w:rsidRDefault="008518B0" w:rsidP="00B004EE">
      <w:pPr>
        <w:jc w:val="both"/>
        <w:rPr>
          <w:rStyle w:val="hps"/>
          <w:rFonts w:ascii="Tahoma" w:hAnsi="Tahoma" w:cs="Tahoma"/>
          <w:sz w:val="20"/>
          <w:szCs w:val="20"/>
        </w:rPr>
      </w:pPr>
    </w:p>
    <w:p w14:paraId="68C6F5D1" w14:textId="0272BC19" w:rsidR="008518B0" w:rsidRPr="00B004EE" w:rsidRDefault="008518B0" w:rsidP="00B004EE">
      <w:pPr>
        <w:jc w:val="both"/>
        <w:rPr>
          <w:rFonts w:ascii="Tahoma" w:hAnsi="Tahoma" w:cs="Tahoma"/>
          <w:bCs/>
          <w:sz w:val="20"/>
          <w:szCs w:val="20"/>
        </w:rPr>
      </w:pPr>
      <w:r w:rsidRPr="00B004EE">
        <w:rPr>
          <w:rStyle w:val="hps"/>
          <w:rFonts w:ascii="Tahoma" w:hAnsi="Tahoma" w:cs="Tahoma"/>
          <w:sz w:val="20"/>
          <w:szCs w:val="20"/>
        </w:rPr>
        <w:t>Le</w:t>
      </w:r>
      <w:r w:rsidR="00DB1635" w:rsidRPr="00B004EE">
        <w:rPr>
          <w:rStyle w:val="hps"/>
          <w:rFonts w:ascii="Tahoma" w:hAnsi="Tahoma" w:cs="Tahoma"/>
          <w:sz w:val="20"/>
          <w:szCs w:val="20"/>
        </w:rPr>
        <w:t xml:space="preserve"> </w:t>
      </w:r>
      <w:r w:rsidRPr="00B004EE">
        <w:rPr>
          <w:rStyle w:val="hps"/>
          <w:rFonts w:ascii="Tahoma" w:hAnsi="Tahoma" w:cs="Tahoma"/>
          <w:sz w:val="20"/>
          <w:szCs w:val="20"/>
        </w:rPr>
        <w:t>cahier</w:t>
      </w:r>
      <w:r w:rsidR="00DB1635" w:rsidRPr="00B004EE">
        <w:rPr>
          <w:rStyle w:val="hps"/>
          <w:rFonts w:ascii="Tahoma" w:hAnsi="Tahoma" w:cs="Tahoma"/>
          <w:sz w:val="20"/>
          <w:szCs w:val="20"/>
        </w:rPr>
        <w:t xml:space="preserve"> </w:t>
      </w:r>
      <w:r w:rsidRPr="00B004EE">
        <w:rPr>
          <w:rStyle w:val="hps"/>
          <w:rFonts w:ascii="Tahoma" w:hAnsi="Tahoma" w:cs="Tahoma"/>
          <w:sz w:val="20"/>
          <w:szCs w:val="20"/>
        </w:rPr>
        <w:t>des</w:t>
      </w:r>
      <w:r w:rsidR="00DB1635" w:rsidRPr="00B004EE">
        <w:rPr>
          <w:rStyle w:val="hps"/>
          <w:rFonts w:ascii="Tahoma" w:hAnsi="Tahoma" w:cs="Tahoma"/>
          <w:sz w:val="20"/>
          <w:szCs w:val="20"/>
        </w:rPr>
        <w:t xml:space="preserve"> </w:t>
      </w:r>
      <w:r w:rsidRPr="00B004EE">
        <w:rPr>
          <w:rStyle w:val="hps"/>
          <w:rFonts w:ascii="Tahoma" w:hAnsi="Tahoma" w:cs="Tahoma"/>
          <w:sz w:val="20"/>
          <w:szCs w:val="20"/>
        </w:rPr>
        <w:t>charges</w:t>
      </w:r>
      <w:r w:rsidR="00DB1635" w:rsidRPr="00B004EE">
        <w:rPr>
          <w:rStyle w:val="hps"/>
          <w:rFonts w:ascii="Tahoma" w:hAnsi="Tahoma" w:cs="Tahoma"/>
          <w:sz w:val="20"/>
          <w:szCs w:val="20"/>
        </w:rPr>
        <w:t xml:space="preserve"> </w:t>
      </w:r>
      <w:r w:rsidRPr="00B004EE">
        <w:rPr>
          <w:rStyle w:val="hps"/>
          <w:rFonts w:ascii="Tahoma" w:hAnsi="Tahoma" w:cs="Tahoma"/>
          <w:sz w:val="20"/>
          <w:szCs w:val="20"/>
        </w:rPr>
        <w:t>définit</w:t>
      </w:r>
      <w:r w:rsidR="00DB1635" w:rsidRPr="00B004EE">
        <w:rPr>
          <w:rStyle w:val="hps"/>
          <w:rFonts w:ascii="Tahoma" w:hAnsi="Tahoma" w:cs="Tahoma"/>
          <w:sz w:val="20"/>
          <w:szCs w:val="20"/>
        </w:rPr>
        <w:t xml:space="preserve"> </w:t>
      </w:r>
      <w:r w:rsidRPr="00B004EE">
        <w:rPr>
          <w:rStyle w:val="hps"/>
          <w:rFonts w:ascii="Tahoma" w:hAnsi="Tahoma" w:cs="Tahoma"/>
          <w:sz w:val="20"/>
          <w:szCs w:val="20"/>
        </w:rPr>
        <w:t>les</w:t>
      </w:r>
      <w:r w:rsidR="00DB1635" w:rsidRPr="00B004EE">
        <w:rPr>
          <w:rStyle w:val="hps"/>
          <w:rFonts w:ascii="Tahoma" w:hAnsi="Tahoma" w:cs="Tahoma"/>
          <w:sz w:val="20"/>
          <w:szCs w:val="20"/>
        </w:rPr>
        <w:t xml:space="preserve"> </w:t>
      </w:r>
      <w:r w:rsidRPr="00B004EE">
        <w:rPr>
          <w:rStyle w:val="hps"/>
          <w:rFonts w:ascii="Tahoma" w:hAnsi="Tahoma" w:cs="Tahoma"/>
          <w:sz w:val="20"/>
          <w:szCs w:val="20"/>
        </w:rPr>
        <w:t>droits</w:t>
      </w:r>
      <w:r w:rsidR="00DB1635" w:rsidRPr="00B004EE">
        <w:rPr>
          <w:rStyle w:val="hps"/>
          <w:rFonts w:ascii="Tahoma" w:hAnsi="Tahoma" w:cs="Tahoma"/>
          <w:sz w:val="20"/>
          <w:szCs w:val="20"/>
        </w:rPr>
        <w:t xml:space="preserve"> </w:t>
      </w:r>
      <w:r w:rsidRPr="00B004EE">
        <w:rPr>
          <w:rStyle w:val="hps"/>
          <w:rFonts w:ascii="Tahoma" w:hAnsi="Tahoma" w:cs="Tahoma"/>
          <w:sz w:val="20"/>
          <w:szCs w:val="20"/>
        </w:rPr>
        <w:t>et</w:t>
      </w:r>
      <w:r w:rsidR="00DB1635" w:rsidRPr="00B004EE">
        <w:rPr>
          <w:rStyle w:val="hps"/>
          <w:rFonts w:ascii="Tahoma" w:hAnsi="Tahoma" w:cs="Tahoma"/>
          <w:sz w:val="20"/>
          <w:szCs w:val="20"/>
        </w:rPr>
        <w:t xml:space="preserve"> </w:t>
      </w:r>
      <w:r w:rsidRPr="00B004EE">
        <w:rPr>
          <w:rStyle w:val="hps"/>
          <w:rFonts w:ascii="Tahoma" w:hAnsi="Tahoma" w:cs="Tahoma"/>
          <w:sz w:val="20"/>
          <w:szCs w:val="20"/>
        </w:rPr>
        <w:t>obligations</w:t>
      </w:r>
      <w:r w:rsidR="00DB1635" w:rsidRPr="00B004EE">
        <w:rPr>
          <w:rStyle w:val="hps"/>
          <w:rFonts w:ascii="Tahoma" w:hAnsi="Tahoma" w:cs="Tahoma"/>
          <w:sz w:val="20"/>
          <w:szCs w:val="20"/>
        </w:rPr>
        <w:t xml:space="preserve"> </w:t>
      </w:r>
      <w:r w:rsidRPr="00B004EE">
        <w:rPr>
          <w:rStyle w:val="hps"/>
          <w:rFonts w:ascii="Tahoma" w:hAnsi="Tahoma" w:cs="Tahoma"/>
          <w:sz w:val="20"/>
          <w:szCs w:val="20"/>
        </w:rPr>
        <w:t>du</w:t>
      </w:r>
      <w:r w:rsidR="00DB1635" w:rsidRPr="00B004EE">
        <w:rPr>
          <w:rStyle w:val="hps"/>
          <w:rFonts w:ascii="Tahoma" w:hAnsi="Tahoma" w:cs="Tahoma"/>
          <w:sz w:val="20"/>
          <w:szCs w:val="20"/>
        </w:rPr>
        <w:t xml:space="preserve"> </w:t>
      </w:r>
      <w:r w:rsidRPr="00B004EE">
        <w:rPr>
          <w:rStyle w:val="hps"/>
          <w:rFonts w:ascii="Tahoma" w:hAnsi="Tahoma" w:cs="Tahoma"/>
          <w:sz w:val="20"/>
          <w:szCs w:val="20"/>
        </w:rPr>
        <w:t>concessionnaire,</w:t>
      </w:r>
      <w:r w:rsidR="00DB1635" w:rsidRPr="00B004EE">
        <w:rPr>
          <w:rStyle w:val="hps"/>
          <w:rFonts w:ascii="Tahoma" w:hAnsi="Tahoma" w:cs="Tahoma"/>
          <w:sz w:val="20"/>
          <w:szCs w:val="20"/>
        </w:rPr>
        <w:t xml:space="preserve"> </w:t>
      </w:r>
      <w:r w:rsidRPr="00B004EE">
        <w:rPr>
          <w:rStyle w:val="hps"/>
          <w:rFonts w:ascii="Tahoma" w:hAnsi="Tahoma" w:cs="Tahoma"/>
          <w:sz w:val="20"/>
          <w:szCs w:val="20"/>
        </w:rPr>
        <w:t>les</w:t>
      </w:r>
      <w:r w:rsidR="00DB1635" w:rsidRPr="00B004EE">
        <w:rPr>
          <w:rStyle w:val="hps"/>
          <w:rFonts w:ascii="Tahoma" w:hAnsi="Tahoma" w:cs="Tahoma"/>
          <w:sz w:val="20"/>
          <w:szCs w:val="20"/>
        </w:rPr>
        <w:t xml:space="preserve"> </w:t>
      </w:r>
      <w:r w:rsidRPr="00B004EE">
        <w:rPr>
          <w:rStyle w:val="hps"/>
          <w:rFonts w:ascii="Tahoma" w:hAnsi="Tahoma" w:cs="Tahoma"/>
          <w:sz w:val="20"/>
          <w:szCs w:val="20"/>
        </w:rPr>
        <w:t>mécanismes</w:t>
      </w:r>
      <w:r w:rsidR="00DB1635" w:rsidRPr="00B004EE">
        <w:rPr>
          <w:rStyle w:val="hps"/>
          <w:rFonts w:ascii="Tahoma" w:hAnsi="Tahoma" w:cs="Tahoma"/>
          <w:sz w:val="20"/>
          <w:szCs w:val="20"/>
        </w:rPr>
        <w:t xml:space="preserve"> </w:t>
      </w:r>
      <w:r w:rsidRPr="00B004EE">
        <w:rPr>
          <w:rStyle w:val="hps"/>
          <w:rFonts w:ascii="Tahoma" w:hAnsi="Tahoma" w:cs="Tahoma"/>
          <w:sz w:val="20"/>
          <w:szCs w:val="20"/>
        </w:rPr>
        <w:t>de</w:t>
      </w:r>
      <w:r w:rsidR="00DB1635" w:rsidRPr="00B004EE">
        <w:rPr>
          <w:rStyle w:val="hps"/>
          <w:rFonts w:ascii="Tahoma" w:hAnsi="Tahoma" w:cs="Tahoma"/>
          <w:sz w:val="20"/>
          <w:szCs w:val="20"/>
        </w:rPr>
        <w:t xml:space="preserve"> </w:t>
      </w:r>
      <w:r w:rsidRPr="00B004EE">
        <w:rPr>
          <w:rStyle w:val="hps"/>
          <w:rFonts w:ascii="Tahoma" w:hAnsi="Tahoma" w:cs="Tahoma"/>
          <w:sz w:val="20"/>
          <w:szCs w:val="20"/>
        </w:rPr>
        <w:t>suivi-évaluation</w:t>
      </w:r>
      <w:r w:rsidR="00DB1635" w:rsidRPr="00B004EE">
        <w:rPr>
          <w:rStyle w:val="hps"/>
          <w:rFonts w:ascii="Tahoma" w:hAnsi="Tahoma" w:cs="Tahoma"/>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sa</w:t>
      </w:r>
      <w:r w:rsidR="00DB1635" w:rsidRPr="00B004EE">
        <w:rPr>
          <w:rFonts w:ascii="Tahoma" w:hAnsi="Tahoma" w:cs="Tahoma"/>
          <w:bCs/>
          <w:sz w:val="20"/>
          <w:szCs w:val="20"/>
        </w:rPr>
        <w:t xml:space="preserve"> </w:t>
      </w:r>
      <w:r w:rsidRPr="00B004EE">
        <w:rPr>
          <w:rFonts w:ascii="Tahoma" w:hAnsi="Tahoma" w:cs="Tahoma"/>
          <w:bCs/>
          <w:sz w:val="20"/>
          <w:szCs w:val="20"/>
        </w:rPr>
        <w:t>mise</w:t>
      </w:r>
      <w:r w:rsidR="00DB1635" w:rsidRPr="00B004EE">
        <w:rPr>
          <w:rFonts w:ascii="Tahoma" w:hAnsi="Tahoma" w:cs="Tahoma"/>
          <w:bCs/>
          <w:sz w:val="20"/>
          <w:szCs w:val="20"/>
        </w:rPr>
        <w:t xml:space="preserve"> </w:t>
      </w:r>
      <w:r w:rsidRPr="00B004EE">
        <w:rPr>
          <w:rFonts w:ascii="Tahoma" w:hAnsi="Tahoma" w:cs="Tahoma"/>
          <w:bCs/>
          <w:sz w:val="20"/>
          <w:szCs w:val="20"/>
        </w:rPr>
        <w:t>en</w:t>
      </w:r>
      <w:r w:rsidR="00DB1635" w:rsidRPr="00B004EE">
        <w:rPr>
          <w:rFonts w:ascii="Tahoma" w:hAnsi="Tahoma" w:cs="Tahoma"/>
          <w:bCs/>
          <w:sz w:val="20"/>
          <w:szCs w:val="20"/>
        </w:rPr>
        <w:t xml:space="preserve"> </w:t>
      </w:r>
      <w:r w:rsidRPr="00B004EE">
        <w:rPr>
          <w:rFonts w:ascii="Tahoma" w:hAnsi="Tahoma" w:cs="Tahoma"/>
          <w:bCs/>
          <w:sz w:val="20"/>
          <w:szCs w:val="20"/>
        </w:rPr>
        <w:t>œuvre.</w:t>
      </w:r>
      <w:r w:rsidR="00DB1635" w:rsidRPr="00B004EE">
        <w:rPr>
          <w:rFonts w:ascii="Tahoma" w:hAnsi="Tahoma" w:cs="Tahoma"/>
          <w:bCs/>
          <w:sz w:val="20"/>
          <w:szCs w:val="20"/>
        </w:rPr>
        <w:t xml:space="preserve"> </w:t>
      </w:r>
      <w:r w:rsidRPr="00B004EE">
        <w:rPr>
          <w:rFonts w:ascii="Tahoma" w:hAnsi="Tahoma" w:cs="Tahoma"/>
          <w:bCs/>
          <w:sz w:val="20"/>
          <w:szCs w:val="20"/>
        </w:rPr>
        <w:t>Il</w:t>
      </w:r>
      <w:r w:rsidR="00DB1635" w:rsidRPr="00B004EE">
        <w:rPr>
          <w:rFonts w:ascii="Tahoma" w:hAnsi="Tahoma" w:cs="Tahoma"/>
          <w:bCs/>
          <w:sz w:val="20"/>
          <w:szCs w:val="20"/>
        </w:rPr>
        <w:t xml:space="preserve"> </w:t>
      </w:r>
      <w:r w:rsidRPr="00B004EE">
        <w:rPr>
          <w:rFonts w:ascii="Tahoma" w:hAnsi="Tahoma" w:cs="Tahoma"/>
          <w:bCs/>
          <w:sz w:val="20"/>
          <w:szCs w:val="20"/>
        </w:rPr>
        <w:t>porte</w:t>
      </w:r>
      <w:r w:rsidR="00DB1635" w:rsidRPr="00B004EE">
        <w:rPr>
          <w:rFonts w:ascii="Tahoma" w:hAnsi="Tahoma" w:cs="Tahoma"/>
          <w:bCs/>
          <w:sz w:val="20"/>
          <w:szCs w:val="20"/>
        </w:rPr>
        <w:t xml:space="preserve"> </w:t>
      </w:r>
      <w:r w:rsidRPr="00B004EE">
        <w:rPr>
          <w:rFonts w:ascii="Tahoma" w:hAnsi="Tahoma" w:cs="Tahoma"/>
          <w:bCs/>
          <w:sz w:val="20"/>
          <w:szCs w:val="20"/>
        </w:rPr>
        <w:t>notamment</w:t>
      </w:r>
      <w:r w:rsidR="00DB1635" w:rsidRPr="00B004EE">
        <w:rPr>
          <w:rFonts w:ascii="Tahoma" w:hAnsi="Tahoma" w:cs="Tahoma"/>
          <w:bCs/>
          <w:sz w:val="20"/>
          <w:szCs w:val="20"/>
        </w:rPr>
        <w:t xml:space="preserve"> </w:t>
      </w:r>
      <w:r w:rsidRPr="00B004EE">
        <w:rPr>
          <w:rFonts w:ascii="Tahoma" w:hAnsi="Tahoma" w:cs="Tahoma"/>
          <w:bCs/>
          <w:sz w:val="20"/>
          <w:szCs w:val="20"/>
        </w:rPr>
        <w:t>sur</w:t>
      </w:r>
      <w:r w:rsidR="00DB1635" w:rsidRPr="00B004EE">
        <w:rPr>
          <w:rFonts w:ascii="Tahoma" w:hAnsi="Tahoma" w:cs="Tahoma"/>
          <w:bCs/>
          <w:sz w:val="20"/>
          <w:szCs w:val="20"/>
        </w:rPr>
        <w:t xml:space="preserve"> </w:t>
      </w:r>
      <w:r w:rsidRPr="00B004EE">
        <w:rPr>
          <w:rFonts w:ascii="Tahoma" w:hAnsi="Tahoma" w:cs="Tahoma"/>
          <w:bCs/>
          <w:sz w:val="20"/>
          <w:szCs w:val="20"/>
        </w:rPr>
        <w:t>les</w:t>
      </w:r>
      <w:r w:rsidR="00DB1635" w:rsidRPr="00B004EE">
        <w:rPr>
          <w:rFonts w:ascii="Tahoma" w:hAnsi="Tahoma" w:cs="Tahoma"/>
          <w:bCs/>
          <w:sz w:val="20"/>
          <w:szCs w:val="20"/>
        </w:rPr>
        <w:t xml:space="preserve"> </w:t>
      </w:r>
      <w:r w:rsidRPr="00B004EE">
        <w:rPr>
          <w:rFonts w:ascii="Tahoma" w:hAnsi="Tahoma" w:cs="Tahoma"/>
          <w:bCs/>
          <w:sz w:val="20"/>
          <w:szCs w:val="20"/>
        </w:rPr>
        <w:t>conditions</w:t>
      </w:r>
      <w:r w:rsidR="00DB1635" w:rsidRPr="00B004EE">
        <w:rPr>
          <w:rFonts w:ascii="Tahoma" w:hAnsi="Tahoma" w:cs="Tahoma"/>
          <w:bCs/>
          <w:sz w:val="20"/>
          <w:szCs w:val="20"/>
        </w:rPr>
        <w:t xml:space="preserve"> </w:t>
      </w:r>
      <w:r w:rsidRPr="00B004EE">
        <w:rPr>
          <w:rFonts w:ascii="Tahoma" w:hAnsi="Tahoma" w:cs="Tahoma"/>
          <w:bCs/>
          <w:sz w:val="20"/>
          <w:szCs w:val="20"/>
        </w:rPr>
        <w:t>techniques,</w:t>
      </w:r>
      <w:r w:rsidR="00DB1635" w:rsidRPr="00B004EE">
        <w:rPr>
          <w:rFonts w:ascii="Tahoma" w:hAnsi="Tahoma" w:cs="Tahoma"/>
          <w:bCs/>
          <w:sz w:val="20"/>
          <w:szCs w:val="20"/>
        </w:rPr>
        <w:t xml:space="preserve"> </w:t>
      </w:r>
      <w:r w:rsidRPr="00B004EE">
        <w:rPr>
          <w:rFonts w:ascii="Tahoma" w:hAnsi="Tahoma" w:cs="Tahoma"/>
          <w:bCs/>
          <w:sz w:val="20"/>
          <w:szCs w:val="20"/>
        </w:rPr>
        <w:t>administratives,</w:t>
      </w:r>
      <w:r w:rsidR="00DB1635" w:rsidRPr="00B004EE">
        <w:rPr>
          <w:rFonts w:ascii="Tahoma" w:hAnsi="Tahoma" w:cs="Tahoma"/>
          <w:bCs/>
          <w:sz w:val="20"/>
          <w:szCs w:val="20"/>
        </w:rPr>
        <w:t xml:space="preserve"> </w:t>
      </w:r>
      <w:r w:rsidRPr="00B004EE">
        <w:rPr>
          <w:rFonts w:ascii="Tahoma" w:hAnsi="Tahoma" w:cs="Tahoma"/>
          <w:bCs/>
          <w:sz w:val="20"/>
          <w:szCs w:val="20"/>
        </w:rPr>
        <w:t>sociales</w:t>
      </w:r>
      <w:r w:rsidR="00DB1635" w:rsidRPr="00B004EE">
        <w:rPr>
          <w:rFonts w:ascii="Tahoma" w:hAnsi="Tahoma" w:cs="Tahoma"/>
          <w:bCs/>
          <w:sz w:val="20"/>
          <w:szCs w:val="20"/>
        </w:rPr>
        <w:t xml:space="preserve"> </w:t>
      </w:r>
      <w:r w:rsidRPr="00B004EE">
        <w:rPr>
          <w:rFonts w:ascii="Tahoma" w:hAnsi="Tahoma" w:cs="Tahoma"/>
          <w:bCs/>
          <w:sz w:val="20"/>
          <w:szCs w:val="20"/>
        </w:rPr>
        <w:t>et</w:t>
      </w:r>
      <w:r w:rsidR="00DB1635" w:rsidRPr="00B004EE">
        <w:rPr>
          <w:rFonts w:ascii="Tahoma" w:hAnsi="Tahoma" w:cs="Tahoma"/>
          <w:bCs/>
          <w:sz w:val="20"/>
          <w:szCs w:val="20"/>
        </w:rPr>
        <w:t xml:space="preserve"> </w:t>
      </w:r>
      <w:r w:rsidRPr="00B004EE">
        <w:rPr>
          <w:rFonts w:ascii="Tahoma" w:hAnsi="Tahoma" w:cs="Tahoma"/>
          <w:bCs/>
          <w:sz w:val="20"/>
          <w:szCs w:val="20"/>
        </w:rPr>
        <w:t>financières</w:t>
      </w:r>
      <w:r w:rsidR="00DB1635" w:rsidRPr="00B004EE">
        <w:rPr>
          <w:rFonts w:ascii="Tahoma" w:hAnsi="Tahoma" w:cs="Tahoma"/>
          <w:bCs/>
          <w:sz w:val="20"/>
          <w:szCs w:val="20"/>
        </w:rPr>
        <w:t xml:space="preserve"> </w:t>
      </w:r>
      <w:r w:rsidRPr="00B004EE">
        <w:rPr>
          <w:rFonts w:ascii="Tahoma" w:hAnsi="Tahoma" w:cs="Tahoma"/>
          <w:bCs/>
          <w:sz w:val="20"/>
          <w:szCs w:val="20"/>
        </w:rPr>
        <w:t>relatives</w:t>
      </w:r>
      <w:r w:rsidR="00DB1635" w:rsidRPr="00B004EE">
        <w:rPr>
          <w:rFonts w:ascii="Tahoma" w:hAnsi="Tahoma" w:cs="Tahoma"/>
          <w:bCs/>
          <w:sz w:val="20"/>
          <w:szCs w:val="20"/>
        </w:rPr>
        <w:t xml:space="preserve"> </w:t>
      </w:r>
      <w:r w:rsidRPr="00B004EE">
        <w:rPr>
          <w:rFonts w:ascii="Tahoma" w:hAnsi="Tahoma" w:cs="Tahoma"/>
          <w:bCs/>
          <w:sz w:val="20"/>
          <w:szCs w:val="20"/>
        </w:rPr>
        <w:t>à</w:t>
      </w:r>
      <w:r w:rsidR="00DB1635" w:rsidRPr="00B004EE">
        <w:rPr>
          <w:rFonts w:ascii="Tahoma" w:hAnsi="Tahoma" w:cs="Tahoma"/>
          <w:bCs/>
          <w:sz w:val="20"/>
          <w:szCs w:val="20"/>
        </w:rPr>
        <w:t xml:space="preserve"> </w:t>
      </w:r>
      <w:r w:rsidRPr="00B004EE">
        <w:rPr>
          <w:rFonts w:ascii="Tahoma" w:hAnsi="Tahoma" w:cs="Tahoma"/>
          <w:bCs/>
          <w:sz w:val="20"/>
          <w:szCs w:val="20"/>
        </w:rPr>
        <w:t>la</w:t>
      </w:r>
      <w:r w:rsidR="00DB1635" w:rsidRPr="00B004EE">
        <w:rPr>
          <w:rFonts w:ascii="Tahoma" w:hAnsi="Tahoma" w:cs="Tahoma"/>
          <w:bCs/>
          <w:sz w:val="20"/>
          <w:szCs w:val="20"/>
        </w:rPr>
        <w:t xml:space="preserve"> </w:t>
      </w:r>
      <w:r w:rsidRPr="00B004EE">
        <w:rPr>
          <w:rFonts w:ascii="Tahoma" w:hAnsi="Tahoma" w:cs="Tahoma"/>
          <w:bCs/>
          <w:sz w:val="20"/>
          <w:szCs w:val="20"/>
        </w:rPr>
        <w:t>pêcherie</w:t>
      </w:r>
      <w:r w:rsidR="00DB1635" w:rsidRPr="00B004EE">
        <w:rPr>
          <w:rFonts w:ascii="Tahoma" w:hAnsi="Tahoma" w:cs="Tahoma"/>
          <w:bCs/>
          <w:sz w:val="20"/>
          <w:szCs w:val="20"/>
        </w:rPr>
        <w:t xml:space="preserve"> </w:t>
      </w:r>
      <w:r w:rsidRPr="00B004EE">
        <w:rPr>
          <w:rFonts w:ascii="Tahoma" w:hAnsi="Tahoma" w:cs="Tahoma"/>
          <w:bCs/>
          <w:sz w:val="20"/>
          <w:szCs w:val="20"/>
        </w:rPr>
        <w:t>ciblée</w:t>
      </w:r>
      <w:r w:rsidR="00DB1635" w:rsidRPr="00B004EE">
        <w:rPr>
          <w:rFonts w:ascii="Tahoma" w:hAnsi="Tahoma" w:cs="Tahoma"/>
          <w:bCs/>
          <w:sz w:val="20"/>
          <w:szCs w:val="20"/>
        </w:rPr>
        <w:t xml:space="preserve"> </w:t>
      </w:r>
      <w:r w:rsidRPr="00B004EE">
        <w:rPr>
          <w:rFonts w:ascii="Tahoma" w:hAnsi="Tahoma" w:cs="Tahoma"/>
          <w:bCs/>
          <w:sz w:val="20"/>
          <w:szCs w:val="20"/>
        </w:rPr>
        <w:t>ainsi</w:t>
      </w:r>
      <w:r w:rsidR="00DB1635" w:rsidRPr="00B004EE">
        <w:rPr>
          <w:rFonts w:ascii="Tahoma" w:hAnsi="Tahoma" w:cs="Tahoma"/>
          <w:bCs/>
          <w:sz w:val="20"/>
          <w:szCs w:val="20"/>
        </w:rPr>
        <w:t xml:space="preserve"> </w:t>
      </w:r>
      <w:r w:rsidRPr="00B004EE">
        <w:rPr>
          <w:rFonts w:ascii="Tahoma" w:hAnsi="Tahoma" w:cs="Tahoma"/>
          <w:bCs/>
          <w:sz w:val="20"/>
          <w:szCs w:val="20"/>
        </w:rPr>
        <w:t>que</w:t>
      </w:r>
      <w:r w:rsidR="00DB1635" w:rsidRPr="00B004EE">
        <w:rPr>
          <w:rFonts w:ascii="Tahoma" w:hAnsi="Tahoma" w:cs="Tahoma"/>
          <w:bCs/>
          <w:sz w:val="20"/>
          <w:szCs w:val="20"/>
        </w:rPr>
        <w:t xml:space="preserve"> </w:t>
      </w:r>
      <w:r w:rsidRPr="00B004EE">
        <w:rPr>
          <w:rFonts w:ascii="Tahoma" w:hAnsi="Tahoma" w:cs="Tahoma"/>
          <w:bCs/>
          <w:sz w:val="20"/>
          <w:szCs w:val="20"/>
        </w:rPr>
        <w:t>sur</w:t>
      </w:r>
      <w:r w:rsidR="00DB1635" w:rsidRPr="00B004EE">
        <w:rPr>
          <w:rFonts w:ascii="Tahoma" w:hAnsi="Tahoma" w:cs="Tahoma"/>
          <w:bCs/>
          <w:sz w:val="20"/>
          <w:szCs w:val="20"/>
        </w:rPr>
        <w:t xml:space="preserve"> </w:t>
      </w:r>
      <w:r w:rsidRPr="00B004EE">
        <w:rPr>
          <w:rFonts w:ascii="Tahoma" w:hAnsi="Tahoma" w:cs="Tahoma"/>
          <w:bCs/>
          <w:sz w:val="20"/>
          <w:szCs w:val="20"/>
        </w:rPr>
        <w:t>les</w:t>
      </w:r>
      <w:r w:rsidR="00DB1635" w:rsidRPr="00B004EE">
        <w:rPr>
          <w:rFonts w:ascii="Tahoma" w:hAnsi="Tahoma" w:cs="Tahoma"/>
          <w:bCs/>
          <w:sz w:val="20"/>
          <w:szCs w:val="20"/>
        </w:rPr>
        <w:t xml:space="preserve"> </w:t>
      </w:r>
      <w:r w:rsidRPr="00B004EE">
        <w:rPr>
          <w:rFonts w:ascii="Tahoma" w:hAnsi="Tahoma" w:cs="Tahoma"/>
          <w:bCs/>
          <w:sz w:val="20"/>
          <w:szCs w:val="20"/>
        </w:rPr>
        <w:t>quantités</w:t>
      </w:r>
      <w:r w:rsidR="00DB1635" w:rsidRPr="00B004EE">
        <w:rPr>
          <w:rFonts w:ascii="Tahoma" w:hAnsi="Tahoma" w:cs="Tahoma"/>
          <w:bCs/>
          <w:sz w:val="20"/>
          <w:szCs w:val="20"/>
        </w:rPr>
        <w:t xml:space="preserve"> </w:t>
      </w:r>
      <w:r w:rsidRPr="00B004EE">
        <w:rPr>
          <w:rFonts w:ascii="Tahoma" w:hAnsi="Tahoma" w:cs="Tahoma"/>
          <w:bCs/>
          <w:sz w:val="20"/>
          <w:szCs w:val="20"/>
        </w:rPr>
        <w:t>fixées</w:t>
      </w:r>
      <w:r w:rsidR="00DB1635" w:rsidRPr="00B004EE">
        <w:rPr>
          <w:rFonts w:ascii="Tahoma" w:hAnsi="Tahoma" w:cs="Tahoma"/>
          <w:bCs/>
          <w:sz w:val="20"/>
          <w:szCs w:val="20"/>
        </w:rPr>
        <w:t xml:space="preserve"> </w:t>
      </w:r>
      <w:r w:rsidRPr="00B004EE">
        <w:rPr>
          <w:rFonts w:ascii="Tahoma" w:hAnsi="Tahoma" w:cs="Tahoma"/>
          <w:bCs/>
          <w:sz w:val="20"/>
          <w:szCs w:val="20"/>
        </w:rPr>
        <w:t>dans</w:t>
      </w:r>
      <w:r w:rsidR="00DB1635" w:rsidRPr="00B004EE">
        <w:rPr>
          <w:rFonts w:ascii="Tahoma" w:hAnsi="Tahoma" w:cs="Tahoma"/>
          <w:bCs/>
          <w:sz w:val="20"/>
          <w:szCs w:val="20"/>
        </w:rPr>
        <w:t xml:space="preserve"> </w:t>
      </w:r>
      <w:r w:rsidRPr="00B004EE">
        <w:rPr>
          <w:rFonts w:ascii="Tahoma" w:hAnsi="Tahoma" w:cs="Tahoma"/>
          <w:bCs/>
          <w:sz w:val="20"/>
          <w:szCs w:val="20"/>
        </w:rPr>
        <w:t>le</w:t>
      </w:r>
      <w:r w:rsidR="00DB1635" w:rsidRPr="00B004EE">
        <w:rPr>
          <w:rFonts w:ascii="Tahoma" w:hAnsi="Tahoma" w:cs="Tahoma"/>
          <w:bCs/>
          <w:sz w:val="20"/>
          <w:szCs w:val="20"/>
        </w:rPr>
        <w:t xml:space="preserve"> </w:t>
      </w:r>
      <w:r w:rsidRPr="00B004EE">
        <w:rPr>
          <w:rFonts w:ascii="Tahoma" w:hAnsi="Tahoma" w:cs="Tahoma"/>
          <w:bCs/>
          <w:sz w:val="20"/>
          <w:szCs w:val="20"/>
        </w:rPr>
        <w:t>cadre</w:t>
      </w:r>
      <w:r w:rsidR="00DB1635" w:rsidRPr="00B004EE">
        <w:rPr>
          <w:rFonts w:ascii="Tahoma" w:hAnsi="Tahoma" w:cs="Tahoma"/>
          <w:bCs/>
          <w:sz w:val="20"/>
          <w:szCs w:val="20"/>
        </w:rPr>
        <w:t xml:space="preserve"> </w:t>
      </w:r>
      <w:r w:rsidRPr="00B004EE">
        <w:rPr>
          <w:rFonts w:ascii="Tahoma" w:hAnsi="Tahoma" w:cs="Tahoma"/>
          <w:bCs/>
          <w:sz w:val="20"/>
          <w:szCs w:val="20"/>
        </w:rPr>
        <w:t>des</w:t>
      </w:r>
      <w:r w:rsidR="00DB1635" w:rsidRPr="00B004EE">
        <w:rPr>
          <w:rFonts w:ascii="Tahoma" w:hAnsi="Tahoma" w:cs="Tahoma"/>
          <w:bCs/>
          <w:sz w:val="20"/>
          <w:szCs w:val="20"/>
        </w:rPr>
        <w:t xml:space="preserve"> </w:t>
      </w:r>
      <w:r w:rsidRPr="00B004EE">
        <w:rPr>
          <w:rFonts w:ascii="Tahoma" w:hAnsi="Tahoma" w:cs="Tahoma"/>
          <w:bCs/>
          <w:sz w:val="20"/>
          <w:szCs w:val="20"/>
        </w:rPr>
        <w:t>plans</w:t>
      </w:r>
      <w:r w:rsidR="00DB1635" w:rsidRPr="00B004EE">
        <w:rPr>
          <w:rFonts w:ascii="Tahoma" w:hAnsi="Tahoma" w:cs="Tahoma"/>
          <w:bCs/>
          <w:sz w:val="20"/>
          <w:szCs w:val="20"/>
        </w:rPr>
        <w:t xml:space="preserve"> </w:t>
      </w:r>
      <w:r w:rsidRPr="00B004EE">
        <w:rPr>
          <w:rFonts w:ascii="Tahoma" w:hAnsi="Tahoma" w:cs="Tahoma"/>
          <w:bCs/>
          <w:sz w:val="20"/>
          <w:szCs w:val="20"/>
        </w:rPr>
        <w:t>d’aménagement</w:t>
      </w:r>
      <w:r w:rsidR="00DB1635" w:rsidRPr="00B004EE">
        <w:rPr>
          <w:rFonts w:ascii="Tahoma" w:hAnsi="Tahoma" w:cs="Tahoma"/>
          <w:bCs/>
          <w:sz w:val="20"/>
          <w:szCs w:val="20"/>
        </w:rPr>
        <w:t xml:space="preserve"> </w:t>
      </w:r>
      <w:r w:rsidRPr="00B004EE">
        <w:rPr>
          <w:rFonts w:ascii="Tahoma" w:hAnsi="Tahoma" w:cs="Tahoma"/>
          <w:bCs/>
          <w:sz w:val="20"/>
          <w:szCs w:val="20"/>
        </w:rPr>
        <w:t>ou</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gestion</w:t>
      </w:r>
      <w:r w:rsidR="00DB1635" w:rsidRPr="00B004EE">
        <w:rPr>
          <w:rFonts w:ascii="Tahoma" w:hAnsi="Tahoma" w:cs="Tahoma"/>
          <w:bCs/>
          <w:sz w:val="20"/>
          <w:szCs w:val="20"/>
        </w:rPr>
        <w:t xml:space="preserve"> </w:t>
      </w:r>
      <w:r w:rsidRPr="00B004EE">
        <w:rPr>
          <w:rFonts w:ascii="Tahoma" w:hAnsi="Tahoma" w:cs="Tahoma"/>
          <w:bCs/>
          <w:sz w:val="20"/>
          <w:szCs w:val="20"/>
        </w:rPr>
        <w:t>des</w:t>
      </w:r>
      <w:r w:rsidR="00DB1635" w:rsidRPr="00B004EE">
        <w:rPr>
          <w:rFonts w:ascii="Tahoma" w:hAnsi="Tahoma" w:cs="Tahoma"/>
          <w:bCs/>
          <w:sz w:val="20"/>
          <w:szCs w:val="20"/>
        </w:rPr>
        <w:t xml:space="preserve"> </w:t>
      </w:r>
      <w:r w:rsidRPr="00B004EE">
        <w:rPr>
          <w:rFonts w:ascii="Tahoma" w:hAnsi="Tahoma" w:cs="Tahoma"/>
          <w:bCs/>
          <w:sz w:val="20"/>
          <w:szCs w:val="20"/>
        </w:rPr>
        <w:t>pêcheries.</w:t>
      </w:r>
      <w:r w:rsidR="00DB1635" w:rsidRPr="00B004EE">
        <w:rPr>
          <w:rFonts w:ascii="Tahoma" w:hAnsi="Tahoma" w:cs="Tahoma"/>
          <w:bCs/>
          <w:sz w:val="20"/>
          <w:szCs w:val="20"/>
        </w:rPr>
        <w:t xml:space="preserve"> </w:t>
      </w:r>
      <w:r w:rsidRPr="00B004EE">
        <w:rPr>
          <w:rFonts w:ascii="Tahoma" w:hAnsi="Tahoma" w:cs="Tahoma"/>
          <w:bCs/>
          <w:sz w:val="20"/>
          <w:szCs w:val="20"/>
        </w:rPr>
        <w:t>Il</w:t>
      </w:r>
      <w:r w:rsidR="00DB1635" w:rsidRPr="00B004EE">
        <w:rPr>
          <w:rFonts w:ascii="Tahoma" w:hAnsi="Tahoma" w:cs="Tahoma"/>
          <w:bCs/>
          <w:sz w:val="20"/>
          <w:szCs w:val="20"/>
        </w:rPr>
        <w:t xml:space="preserve"> </w:t>
      </w:r>
      <w:r w:rsidRPr="00B004EE">
        <w:rPr>
          <w:rFonts w:ascii="Tahoma" w:hAnsi="Tahoma" w:cs="Tahoma"/>
          <w:bCs/>
          <w:sz w:val="20"/>
          <w:szCs w:val="20"/>
        </w:rPr>
        <w:t>prévoit</w:t>
      </w:r>
      <w:r w:rsidR="00DB1635" w:rsidRPr="00B004EE">
        <w:rPr>
          <w:rFonts w:ascii="Tahoma" w:hAnsi="Tahoma" w:cs="Tahoma"/>
          <w:bCs/>
          <w:sz w:val="20"/>
          <w:szCs w:val="20"/>
        </w:rPr>
        <w:t xml:space="preserve"> </w:t>
      </w:r>
      <w:r w:rsidRPr="00B004EE">
        <w:rPr>
          <w:rFonts w:ascii="Tahoma" w:hAnsi="Tahoma" w:cs="Tahoma"/>
          <w:bCs/>
          <w:sz w:val="20"/>
          <w:szCs w:val="20"/>
        </w:rPr>
        <w:t>les</w:t>
      </w:r>
      <w:r w:rsidR="00DB1635" w:rsidRPr="00B004EE">
        <w:rPr>
          <w:rFonts w:ascii="Tahoma" w:hAnsi="Tahoma" w:cs="Tahoma"/>
          <w:bCs/>
          <w:sz w:val="20"/>
          <w:szCs w:val="20"/>
        </w:rPr>
        <w:t xml:space="preserve"> </w:t>
      </w:r>
      <w:r w:rsidRPr="00B004EE">
        <w:rPr>
          <w:rFonts w:ascii="Tahoma" w:hAnsi="Tahoma" w:cs="Tahoma"/>
          <w:bCs/>
          <w:sz w:val="20"/>
          <w:szCs w:val="20"/>
        </w:rPr>
        <w:t>mesures</w:t>
      </w:r>
      <w:r w:rsidR="00DB1635" w:rsidRPr="00B004EE">
        <w:rPr>
          <w:rFonts w:ascii="Tahoma" w:hAnsi="Tahoma" w:cs="Tahoma"/>
          <w:bCs/>
          <w:sz w:val="20"/>
          <w:szCs w:val="20"/>
        </w:rPr>
        <w:t xml:space="preserve"> </w:t>
      </w:r>
      <w:r w:rsidRPr="00B004EE">
        <w:rPr>
          <w:rFonts w:ascii="Tahoma" w:hAnsi="Tahoma" w:cs="Tahoma"/>
          <w:bCs/>
          <w:sz w:val="20"/>
          <w:szCs w:val="20"/>
        </w:rPr>
        <w:t>appropriées</w:t>
      </w:r>
      <w:r w:rsidR="00DB1635" w:rsidRPr="00B004EE">
        <w:rPr>
          <w:rFonts w:ascii="Tahoma" w:hAnsi="Tahoma" w:cs="Tahoma"/>
          <w:bCs/>
          <w:sz w:val="20"/>
          <w:szCs w:val="20"/>
        </w:rPr>
        <w:t xml:space="preserve"> </w:t>
      </w:r>
      <w:r w:rsidRPr="00B004EE">
        <w:rPr>
          <w:rFonts w:ascii="Tahoma" w:hAnsi="Tahoma" w:cs="Tahoma"/>
          <w:bCs/>
          <w:sz w:val="20"/>
          <w:szCs w:val="20"/>
        </w:rPr>
        <w:t>en</w:t>
      </w:r>
      <w:r w:rsidR="00DB1635" w:rsidRPr="00B004EE">
        <w:rPr>
          <w:rFonts w:ascii="Tahoma" w:hAnsi="Tahoma" w:cs="Tahoma"/>
          <w:bCs/>
          <w:sz w:val="20"/>
          <w:szCs w:val="20"/>
        </w:rPr>
        <w:t xml:space="preserve"> </w:t>
      </w:r>
      <w:r w:rsidRPr="00B004EE">
        <w:rPr>
          <w:rFonts w:ascii="Tahoma" w:hAnsi="Tahoma" w:cs="Tahoma"/>
          <w:bCs/>
          <w:sz w:val="20"/>
          <w:szCs w:val="20"/>
        </w:rPr>
        <w:t>cas</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manquement.</w:t>
      </w:r>
      <w:r w:rsidR="00DB1635" w:rsidRPr="00B004EE">
        <w:rPr>
          <w:rFonts w:ascii="Tahoma" w:hAnsi="Tahoma" w:cs="Tahoma"/>
          <w:bCs/>
          <w:sz w:val="20"/>
          <w:szCs w:val="20"/>
        </w:rPr>
        <w:t xml:space="preserve"> </w:t>
      </w:r>
    </w:p>
    <w:p w14:paraId="33D147D1" w14:textId="77777777" w:rsidR="008518B0" w:rsidRPr="00B004EE" w:rsidRDefault="008518B0" w:rsidP="00B004EE">
      <w:pPr>
        <w:autoSpaceDE w:val="0"/>
        <w:autoSpaceDN w:val="0"/>
        <w:adjustRightInd w:val="0"/>
        <w:jc w:val="both"/>
        <w:rPr>
          <w:rFonts w:ascii="Tahoma" w:hAnsi="Tahoma" w:cs="Tahoma"/>
          <w:bCs/>
          <w:sz w:val="20"/>
          <w:szCs w:val="20"/>
        </w:rPr>
      </w:pPr>
    </w:p>
    <w:p w14:paraId="7EBCDE2F" w14:textId="2B887301" w:rsidR="008518B0" w:rsidRPr="00B004EE" w:rsidRDefault="008518B0" w:rsidP="00B004EE">
      <w:pPr>
        <w:autoSpaceDE w:val="0"/>
        <w:autoSpaceDN w:val="0"/>
        <w:adjustRightInd w:val="0"/>
        <w:jc w:val="both"/>
        <w:rPr>
          <w:rFonts w:ascii="Tahoma" w:hAnsi="Tahoma" w:cs="Tahoma"/>
          <w:bCs/>
          <w:sz w:val="20"/>
          <w:szCs w:val="20"/>
        </w:rPr>
      </w:pPr>
      <w:r w:rsidRPr="00B004EE">
        <w:rPr>
          <w:rFonts w:ascii="Tahoma" w:hAnsi="Tahoma" w:cs="Tahoma"/>
          <w:bCs/>
          <w:sz w:val="20"/>
          <w:szCs w:val="20"/>
        </w:rPr>
        <w:t>Le</w:t>
      </w:r>
      <w:r w:rsidR="00DB1635" w:rsidRPr="00B004EE">
        <w:rPr>
          <w:rFonts w:ascii="Tahoma" w:hAnsi="Tahoma" w:cs="Tahoma"/>
          <w:bCs/>
          <w:sz w:val="20"/>
          <w:szCs w:val="20"/>
        </w:rPr>
        <w:t xml:space="preserve"> </w:t>
      </w:r>
      <w:r w:rsidRPr="00B004EE">
        <w:rPr>
          <w:rFonts w:ascii="Tahoma" w:hAnsi="Tahoma" w:cs="Tahoma"/>
          <w:bCs/>
          <w:sz w:val="20"/>
          <w:szCs w:val="20"/>
        </w:rPr>
        <w:t>contrat</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concession</w:t>
      </w:r>
      <w:r w:rsidR="00DB1635" w:rsidRPr="00B004EE">
        <w:rPr>
          <w:rFonts w:ascii="Tahoma" w:hAnsi="Tahoma" w:cs="Tahoma"/>
          <w:bCs/>
          <w:sz w:val="20"/>
          <w:szCs w:val="20"/>
        </w:rPr>
        <w:t xml:space="preserve"> </w:t>
      </w:r>
      <w:r w:rsidRPr="00B004EE">
        <w:rPr>
          <w:rFonts w:ascii="Tahoma" w:hAnsi="Tahoma" w:cs="Tahoma"/>
          <w:bCs/>
          <w:sz w:val="20"/>
          <w:szCs w:val="20"/>
        </w:rPr>
        <w:t>est</w:t>
      </w:r>
      <w:r w:rsidR="00DB1635" w:rsidRPr="00B004EE">
        <w:rPr>
          <w:rFonts w:ascii="Tahoma" w:hAnsi="Tahoma" w:cs="Tahoma"/>
          <w:bCs/>
          <w:sz w:val="20"/>
          <w:szCs w:val="20"/>
        </w:rPr>
        <w:t xml:space="preserve"> </w:t>
      </w:r>
      <w:r w:rsidRPr="00B004EE">
        <w:rPr>
          <w:rFonts w:ascii="Tahoma" w:hAnsi="Tahoma" w:cs="Tahoma"/>
          <w:bCs/>
          <w:sz w:val="20"/>
          <w:szCs w:val="20"/>
        </w:rPr>
        <w:t>établi</w:t>
      </w:r>
      <w:r w:rsidR="00DB1635" w:rsidRPr="00B004EE">
        <w:rPr>
          <w:rFonts w:ascii="Tahoma" w:hAnsi="Tahoma" w:cs="Tahoma"/>
          <w:bCs/>
          <w:sz w:val="20"/>
          <w:szCs w:val="20"/>
        </w:rPr>
        <w:t xml:space="preserve"> </w:t>
      </w:r>
      <w:r w:rsidRPr="00B004EE">
        <w:rPr>
          <w:rFonts w:ascii="Tahoma" w:hAnsi="Tahoma" w:cs="Tahoma"/>
          <w:bCs/>
          <w:sz w:val="20"/>
          <w:szCs w:val="20"/>
        </w:rPr>
        <w:t>selon</w:t>
      </w:r>
      <w:r w:rsidR="00DB1635" w:rsidRPr="00B004EE">
        <w:rPr>
          <w:rFonts w:ascii="Tahoma" w:hAnsi="Tahoma" w:cs="Tahoma"/>
          <w:bCs/>
          <w:sz w:val="20"/>
          <w:szCs w:val="20"/>
        </w:rPr>
        <w:t xml:space="preserve"> </w:t>
      </w:r>
      <w:r w:rsidRPr="00B004EE">
        <w:rPr>
          <w:rFonts w:ascii="Tahoma" w:hAnsi="Tahoma" w:cs="Tahoma"/>
          <w:bCs/>
          <w:sz w:val="20"/>
          <w:szCs w:val="20"/>
        </w:rPr>
        <w:t>un</w:t>
      </w:r>
      <w:r w:rsidR="00DB1635" w:rsidRPr="00B004EE">
        <w:rPr>
          <w:rFonts w:ascii="Tahoma" w:hAnsi="Tahoma" w:cs="Tahoma"/>
          <w:bCs/>
          <w:sz w:val="20"/>
          <w:szCs w:val="20"/>
        </w:rPr>
        <w:t xml:space="preserve"> </w:t>
      </w:r>
      <w:r w:rsidRPr="00B004EE">
        <w:rPr>
          <w:rFonts w:ascii="Tahoma" w:hAnsi="Tahoma" w:cs="Tahoma"/>
          <w:bCs/>
          <w:sz w:val="20"/>
          <w:szCs w:val="20"/>
        </w:rPr>
        <w:t>modèle</w:t>
      </w:r>
      <w:r w:rsidR="00DB1635" w:rsidRPr="00B004EE">
        <w:rPr>
          <w:rFonts w:ascii="Tahoma" w:hAnsi="Tahoma" w:cs="Tahoma"/>
          <w:bCs/>
          <w:sz w:val="20"/>
          <w:szCs w:val="20"/>
        </w:rPr>
        <w:t xml:space="preserve"> </w:t>
      </w:r>
      <w:r w:rsidRPr="00B004EE">
        <w:rPr>
          <w:rFonts w:ascii="Tahoma" w:hAnsi="Tahoma" w:cs="Tahoma"/>
          <w:bCs/>
          <w:sz w:val="20"/>
          <w:szCs w:val="20"/>
        </w:rPr>
        <w:t>approuvé</w:t>
      </w:r>
      <w:r w:rsidR="00DB1635" w:rsidRPr="00B004EE">
        <w:rPr>
          <w:rFonts w:ascii="Tahoma" w:hAnsi="Tahoma" w:cs="Tahoma"/>
          <w:bCs/>
          <w:sz w:val="20"/>
          <w:szCs w:val="20"/>
        </w:rPr>
        <w:t xml:space="preserve"> </w:t>
      </w:r>
      <w:r w:rsidRPr="00B004EE">
        <w:rPr>
          <w:rFonts w:ascii="Tahoma" w:hAnsi="Tahoma" w:cs="Tahoma"/>
          <w:bCs/>
          <w:sz w:val="20"/>
          <w:szCs w:val="20"/>
        </w:rPr>
        <w:t>par</w:t>
      </w:r>
      <w:r w:rsidR="00DB1635" w:rsidRPr="00B004EE">
        <w:rPr>
          <w:rFonts w:ascii="Tahoma" w:hAnsi="Tahoma" w:cs="Tahoma"/>
          <w:bCs/>
          <w:sz w:val="20"/>
          <w:szCs w:val="20"/>
        </w:rPr>
        <w:t xml:space="preserve"> </w:t>
      </w:r>
      <w:r w:rsidRPr="00B004EE">
        <w:rPr>
          <w:rFonts w:ascii="Tahoma" w:hAnsi="Tahoma" w:cs="Tahoma"/>
          <w:bCs/>
          <w:sz w:val="20"/>
          <w:szCs w:val="20"/>
        </w:rPr>
        <w:t>arrêté</w:t>
      </w:r>
      <w:r w:rsidR="00DB1635" w:rsidRPr="00B004EE">
        <w:rPr>
          <w:rFonts w:ascii="Tahoma" w:hAnsi="Tahoma" w:cs="Tahoma"/>
          <w:bCs/>
          <w:sz w:val="20"/>
          <w:szCs w:val="20"/>
        </w:rPr>
        <w:t xml:space="preserve"> </w:t>
      </w:r>
      <w:r w:rsidRPr="00B004EE">
        <w:rPr>
          <w:rFonts w:ascii="Tahoma" w:hAnsi="Tahoma" w:cs="Tahoma"/>
          <w:bCs/>
          <w:sz w:val="20"/>
          <w:szCs w:val="20"/>
        </w:rPr>
        <w:t>du</w:t>
      </w:r>
      <w:r w:rsidR="00DB1635" w:rsidRPr="00B004EE">
        <w:rPr>
          <w:rFonts w:ascii="Tahoma" w:hAnsi="Tahoma" w:cs="Tahoma"/>
          <w:bCs/>
          <w:sz w:val="20"/>
          <w:szCs w:val="20"/>
        </w:rPr>
        <w:t xml:space="preserve"> </w:t>
      </w:r>
      <w:r w:rsidRPr="00B004EE">
        <w:rPr>
          <w:rFonts w:ascii="Tahoma" w:hAnsi="Tahoma" w:cs="Tahoma"/>
          <w:bCs/>
          <w:sz w:val="20"/>
          <w:szCs w:val="20"/>
        </w:rPr>
        <w:t>ministre</w:t>
      </w:r>
      <w:r w:rsidR="00DB1635" w:rsidRPr="00B004EE">
        <w:rPr>
          <w:rFonts w:ascii="Tahoma" w:hAnsi="Tahoma" w:cs="Tahoma"/>
          <w:bCs/>
          <w:sz w:val="20"/>
          <w:szCs w:val="20"/>
        </w:rPr>
        <w:t xml:space="preserve"> </w:t>
      </w:r>
      <w:r w:rsidRPr="00B004EE">
        <w:rPr>
          <w:rFonts w:ascii="Tahoma" w:hAnsi="Tahoma" w:cs="Tahoma"/>
          <w:bCs/>
          <w:sz w:val="20"/>
          <w:szCs w:val="20"/>
        </w:rPr>
        <w:t>chargé</w:t>
      </w:r>
      <w:r w:rsidR="00DB1635" w:rsidRPr="00B004EE">
        <w:rPr>
          <w:rFonts w:ascii="Tahoma" w:hAnsi="Tahoma" w:cs="Tahoma"/>
          <w:bCs/>
          <w:sz w:val="20"/>
          <w:szCs w:val="20"/>
        </w:rPr>
        <w:t xml:space="preserve"> </w:t>
      </w:r>
      <w:r w:rsidRPr="00B004EE">
        <w:rPr>
          <w:rFonts w:ascii="Tahoma" w:hAnsi="Tahoma" w:cs="Tahoma"/>
          <w:bCs/>
          <w:sz w:val="20"/>
          <w:szCs w:val="20"/>
        </w:rPr>
        <w:t>des</w:t>
      </w:r>
      <w:r w:rsidR="00DB1635" w:rsidRPr="00B004EE">
        <w:rPr>
          <w:rFonts w:ascii="Tahoma" w:hAnsi="Tahoma" w:cs="Tahoma"/>
          <w:bCs/>
          <w:sz w:val="20"/>
          <w:szCs w:val="20"/>
        </w:rPr>
        <w:t xml:space="preserve"> </w:t>
      </w:r>
      <w:r w:rsidRPr="00B004EE">
        <w:rPr>
          <w:rFonts w:ascii="Tahoma" w:hAnsi="Tahoma" w:cs="Tahoma"/>
          <w:bCs/>
          <w:sz w:val="20"/>
          <w:szCs w:val="20"/>
        </w:rPr>
        <w:t>pêches.</w:t>
      </w:r>
    </w:p>
    <w:p w14:paraId="2EA4B94C" w14:textId="77777777" w:rsidR="008518B0" w:rsidRPr="00B004EE" w:rsidRDefault="008518B0" w:rsidP="00B004EE">
      <w:pPr>
        <w:jc w:val="both"/>
        <w:rPr>
          <w:rFonts w:ascii="Tahoma" w:hAnsi="Tahoma" w:cs="Tahoma"/>
          <w:sz w:val="20"/>
          <w:szCs w:val="20"/>
        </w:rPr>
      </w:pPr>
    </w:p>
    <w:p w14:paraId="006554C8" w14:textId="114C12FC" w:rsidR="008518B0" w:rsidRPr="00B004EE" w:rsidRDefault="008518B0" w:rsidP="00B004EE">
      <w:pPr>
        <w:jc w:val="both"/>
        <w:rPr>
          <w:rFonts w:ascii="Tahoma" w:hAnsi="Tahoma" w:cs="Tahoma"/>
          <w:sz w:val="20"/>
          <w:szCs w:val="20"/>
        </w:rPr>
      </w:pP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contrats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concession</w:t>
      </w:r>
      <w:r w:rsidR="00DB1635" w:rsidRPr="00B004EE">
        <w:rPr>
          <w:rFonts w:ascii="Tahoma" w:hAnsi="Tahoma" w:cs="Tahoma"/>
          <w:sz w:val="20"/>
          <w:szCs w:val="20"/>
        </w:rPr>
        <w:t xml:space="preserve"> </w:t>
      </w:r>
      <w:r w:rsidRPr="00B004EE">
        <w:rPr>
          <w:rFonts w:ascii="Tahoma" w:hAnsi="Tahoma" w:cs="Tahoma"/>
          <w:sz w:val="20"/>
          <w:szCs w:val="20"/>
        </w:rPr>
        <w:t>doivent</w:t>
      </w:r>
      <w:r w:rsidR="00DB1635" w:rsidRPr="00B004EE">
        <w:rPr>
          <w:rFonts w:ascii="Tahoma" w:hAnsi="Tahoma" w:cs="Tahoma"/>
          <w:sz w:val="20"/>
          <w:szCs w:val="20"/>
        </w:rPr>
        <w:t xml:space="preserve"> </w:t>
      </w:r>
      <w:r w:rsidRPr="00B004EE">
        <w:rPr>
          <w:rFonts w:ascii="Tahoma" w:hAnsi="Tahoma" w:cs="Tahoma"/>
          <w:sz w:val="20"/>
          <w:szCs w:val="20"/>
        </w:rPr>
        <w:t>spécifier</w:t>
      </w:r>
      <w:r w:rsidR="00DB1635" w:rsidRPr="00B004EE">
        <w:rPr>
          <w:rFonts w:ascii="Tahoma" w:hAnsi="Tahoma" w:cs="Tahoma"/>
          <w:sz w:val="20"/>
          <w:szCs w:val="20"/>
        </w:rPr>
        <w:t xml:space="preserve"> </w:t>
      </w:r>
      <w:r w:rsidRPr="00B004EE">
        <w:rPr>
          <w:rFonts w:ascii="Tahoma" w:hAnsi="Tahoma" w:cs="Tahoma"/>
          <w:sz w:val="20"/>
          <w:szCs w:val="20"/>
        </w:rPr>
        <w:t>également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conditions</w:t>
      </w:r>
      <w:r w:rsidR="00DB1635" w:rsidRPr="00B004EE">
        <w:rPr>
          <w:rFonts w:ascii="Tahoma" w:hAnsi="Tahoma" w:cs="Tahoma"/>
          <w:sz w:val="20"/>
          <w:szCs w:val="20"/>
        </w:rPr>
        <w:t xml:space="preserve"> </w:t>
      </w:r>
      <w:r w:rsidRPr="00B004EE">
        <w:rPr>
          <w:rFonts w:ascii="Tahoma" w:hAnsi="Tahoma" w:cs="Tahoma"/>
          <w:sz w:val="20"/>
          <w:szCs w:val="20"/>
        </w:rPr>
        <w:t>suivantes</w:t>
      </w:r>
      <w:r w:rsidR="00DB1635" w:rsidRPr="00B004EE">
        <w:rPr>
          <w:rFonts w:ascii="Tahoma" w:hAnsi="Tahoma" w:cs="Tahoma"/>
          <w:sz w:val="20"/>
          <w:szCs w:val="20"/>
        </w:rPr>
        <w:t xml:space="preserve"> </w:t>
      </w:r>
      <w:r w:rsidRPr="00B004EE">
        <w:rPr>
          <w:rFonts w:ascii="Tahoma" w:hAnsi="Tahoma" w:cs="Tahoma"/>
          <w:sz w:val="20"/>
          <w:szCs w:val="20"/>
        </w:rPr>
        <w:t>:</w:t>
      </w:r>
    </w:p>
    <w:p w14:paraId="18DB8378" w14:textId="4FBBA4C6" w:rsidR="008518B0" w:rsidRPr="00B004EE" w:rsidRDefault="008518B0" w:rsidP="00420DDA">
      <w:pPr>
        <w:numPr>
          <w:ilvl w:val="0"/>
          <w:numId w:val="59"/>
        </w:numPr>
        <w:ind w:left="567"/>
        <w:jc w:val="both"/>
        <w:rPr>
          <w:rFonts w:ascii="Tahoma" w:hAnsi="Tahoma" w:cs="Tahoma"/>
          <w:sz w:val="20"/>
          <w:szCs w:val="20"/>
        </w:rPr>
      </w:pPr>
      <w:r w:rsidRPr="00B004EE">
        <w:rPr>
          <w:rFonts w:ascii="Tahoma" w:hAnsi="Tahoma" w:cs="Tahoma"/>
          <w:sz w:val="20"/>
          <w:szCs w:val="20"/>
        </w:rPr>
        <w:t>Conditions</w:t>
      </w:r>
      <w:r w:rsidR="00DB1635" w:rsidRPr="00B004EE">
        <w:rPr>
          <w:rFonts w:ascii="Tahoma" w:hAnsi="Tahoma" w:cs="Tahoma"/>
          <w:sz w:val="20"/>
          <w:szCs w:val="20"/>
        </w:rPr>
        <w:t xml:space="preserve"> </w:t>
      </w:r>
      <w:r w:rsidRPr="00B004EE">
        <w:rPr>
          <w:rFonts w:ascii="Tahoma" w:hAnsi="Tahoma" w:cs="Tahoma"/>
          <w:sz w:val="20"/>
          <w:szCs w:val="20"/>
        </w:rPr>
        <w:t>techniques</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spécification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navires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engins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zone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période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taux</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accessoire</w:t>
      </w:r>
      <w:r w:rsidR="00DB1635" w:rsidRPr="00B004EE">
        <w:rPr>
          <w:rFonts w:ascii="Tahoma" w:hAnsi="Tahoma" w:cs="Tahoma"/>
          <w:sz w:val="20"/>
          <w:szCs w:val="20"/>
        </w:rPr>
        <w:t xml:space="preserve"> </w:t>
      </w:r>
      <w:r w:rsidRPr="00B004EE">
        <w:rPr>
          <w:rFonts w:ascii="Tahoma" w:hAnsi="Tahoma" w:cs="Tahoma"/>
          <w:sz w:val="20"/>
          <w:szCs w:val="20"/>
        </w:rPr>
        <w:t>ainsi</w:t>
      </w:r>
      <w:r w:rsidR="00DB1635" w:rsidRPr="00B004EE">
        <w:rPr>
          <w:rFonts w:ascii="Tahoma" w:hAnsi="Tahoma" w:cs="Tahoma"/>
          <w:sz w:val="20"/>
          <w:szCs w:val="20"/>
        </w:rPr>
        <w:t xml:space="preserve"> </w:t>
      </w:r>
      <w:r w:rsidRPr="00B004EE">
        <w:rPr>
          <w:rFonts w:ascii="Tahoma" w:hAnsi="Tahoma" w:cs="Tahoma"/>
          <w:sz w:val="20"/>
          <w:szCs w:val="20"/>
        </w:rPr>
        <w:t>que</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mesures</w:t>
      </w:r>
      <w:r w:rsidR="00DB1635" w:rsidRPr="00B004EE">
        <w:rPr>
          <w:rFonts w:ascii="Tahoma" w:hAnsi="Tahoma" w:cs="Tahoma"/>
          <w:sz w:val="20"/>
          <w:szCs w:val="20"/>
        </w:rPr>
        <w:t xml:space="preserve"> </w:t>
      </w:r>
      <w:r w:rsidRPr="00B004EE">
        <w:rPr>
          <w:rFonts w:ascii="Tahoma" w:hAnsi="Tahoma" w:cs="Tahoma"/>
          <w:sz w:val="20"/>
          <w:szCs w:val="20"/>
        </w:rPr>
        <w:t>d'urgences</w:t>
      </w:r>
      <w:r w:rsidR="00DB1635" w:rsidRPr="00B004EE">
        <w:rPr>
          <w:rFonts w:ascii="Tahoma" w:hAnsi="Tahoma" w:cs="Tahoma"/>
          <w:sz w:val="20"/>
          <w:szCs w:val="20"/>
        </w:rPr>
        <w:t xml:space="preserve"> </w:t>
      </w:r>
      <w:r w:rsidRPr="00B004EE">
        <w:rPr>
          <w:rFonts w:ascii="Tahoma" w:hAnsi="Tahoma" w:cs="Tahoma"/>
          <w:sz w:val="20"/>
          <w:szCs w:val="20"/>
        </w:rPr>
        <w:t>indiquées</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plans</w:t>
      </w:r>
      <w:r w:rsidR="00DB1635" w:rsidRPr="00B004EE">
        <w:rPr>
          <w:rFonts w:ascii="Tahoma" w:hAnsi="Tahoma" w:cs="Tahoma"/>
          <w:sz w:val="20"/>
          <w:szCs w:val="20"/>
        </w:rPr>
        <w:t xml:space="preserve"> </w:t>
      </w:r>
      <w:r w:rsidRPr="00B004EE">
        <w:rPr>
          <w:rFonts w:ascii="Tahoma" w:hAnsi="Tahoma" w:cs="Tahoma"/>
          <w:sz w:val="20"/>
          <w:szCs w:val="20"/>
        </w:rPr>
        <w:t>d'aménagement</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gestion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pêcheries</w:t>
      </w:r>
      <w:r w:rsidR="00DB1635" w:rsidRPr="00B004EE">
        <w:rPr>
          <w:rFonts w:ascii="Tahoma" w:hAnsi="Tahoma" w:cs="Tahoma"/>
          <w:sz w:val="20"/>
          <w:szCs w:val="20"/>
        </w:rPr>
        <w:t xml:space="preserve"> </w:t>
      </w:r>
      <w:r w:rsidRPr="00B004EE">
        <w:rPr>
          <w:rFonts w:ascii="Tahoma" w:hAnsi="Tahoma" w:cs="Tahoma"/>
          <w:sz w:val="20"/>
          <w:szCs w:val="20"/>
        </w:rPr>
        <w:t>;</w:t>
      </w:r>
    </w:p>
    <w:p w14:paraId="384F4DF0" w14:textId="691E22E3" w:rsidR="008518B0" w:rsidRPr="00B004EE" w:rsidRDefault="008518B0" w:rsidP="00420DDA">
      <w:pPr>
        <w:numPr>
          <w:ilvl w:val="0"/>
          <w:numId w:val="59"/>
        </w:numPr>
        <w:ind w:left="567"/>
        <w:jc w:val="both"/>
        <w:rPr>
          <w:rFonts w:ascii="Tahoma" w:hAnsi="Tahoma" w:cs="Tahoma"/>
          <w:sz w:val="20"/>
          <w:szCs w:val="20"/>
        </w:rPr>
      </w:pPr>
      <w:r w:rsidRPr="00B004EE">
        <w:rPr>
          <w:rFonts w:ascii="Tahoma" w:hAnsi="Tahoma" w:cs="Tahoma"/>
          <w:sz w:val="20"/>
          <w:szCs w:val="20"/>
        </w:rPr>
        <w:t>Conditions</w:t>
      </w:r>
      <w:r w:rsidR="00DB1635" w:rsidRPr="00B004EE">
        <w:rPr>
          <w:rFonts w:ascii="Tahoma" w:hAnsi="Tahoma" w:cs="Tahoma"/>
          <w:sz w:val="20"/>
          <w:szCs w:val="20"/>
        </w:rPr>
        <w:t xml:space="preserve"> </w:t>
      </w:r>
      <w:r w:rsidRPr="00B004EE">
        <w:rPr>
          <w:rFonts w:ascii="Tahoma" w:hAnsi="Tahoma" w:cs="Tahoma"/>
          <w:sz w:val="20"/>
          <w:szCs w:val="20"/>
        </w:rPr>
        <w:t>administratives</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déclaration</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capture,</w:t>
      </w:r>
      <w:r w:rsidR="00DB1635" w:rsidRPr="00B004EE">
        <w:rPr>
          <w:rFonts w:ascii="Tahoma" w:hAnsi="Tahoma" w:cs="Tahoma"/>
          <w:sz w:val="20"/>
          <w:szCs w:val="20"/>
        </w:rPr>
        <w:t xml:space="preserve"> </w:t>
      </w:r>
      <w:r w:rsidRPr="00B004EE">
        <w:rPr>
          <w:rFonts w:ascii="Tahoma" w:hAnsi="Tahoma" w:cs="Tahoma"/>
          <w:sz w:val="20"/>
          <w:szCs w:val="20"/>
        </w:rPr>
        <w:t>reporting</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terme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engagement</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terme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préservation</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ressource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protection</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milieu</w:t>
      </w:r>
      <w:r w:rsidR="00DB1635" w:rsidRPr="00B004EE">
        <w:rPr>
          <w:rFonts w:ascii="Tahoma" w:hAnsi="Tahoma" w:cs="Tahoma"/>
          <w:sz w:val="20"/>
          <w:szCs w:val="20"/>
        </w:rPr>
        <w:t xml:space="preserve"> </w:t>
      </w:r>
      <w:r w:rsidRPr="00B004EE">
        <w:rPr>
          <w:rFonts w:ascii="Tahoma" w:hAnsi="Tahoma" w:cs="Tahoma"/>
          <w:sz w:val="20"/>
          <w:szCs w:val="20"/>
        </w:rPr>
        <w:t>marin</w:t>
      </w:r>
    </w:p>
    <w:p w14:paraId="556DC4A1" w14:textId="6763E10C" w:rsidR="008518B0" w:rsidRPr="00B004EE" w:rsidRDefault="008518B0" w:rsidP="00420DDA">
      <w:pPr>
        <w:numPr>
          <w:ilvl w:val="0"/>
          <w:numId w:val="59"/>
        </w:numPr>
        <w:ind w:left="567"/>
        <w:jc w:val="both"/>
        <w:rPr>
          <w:rFonts w:ascii="Tahoma" w:hAnsi="Tahoma" w:cs="Tahoma"/>
          <w:sz w:val="20"/>
          <w:szCs w:val="20"/>
        </w:rPr>
      </w:pPr>
      <w:r w:rsidRPr="00B004EE">
        <w:rPr>
          <w:rFonts w:ascii="Tahoma" w:hAnsi="Tahoma" w:cs="Tahoma"/>
          <w:sz w:val="20"/>
          <w:szCs w:val="20"/>
        </w:rPr>
        <w:t>Conditions</w:t>
      </w:r>
      <w:r w:rsidR="00DB1635" w:rsidRPr="00B004EE">
        <w:rPr>
          <w:rFonts w:ascii="Tahoma" w:hAnsi="Tahoma" w:cs="Tahoma"/>
          <w:sz w:val="20"/>
          <w:szCs w:val="20"/>
        </w:rPr>
        <w:t xml:space="preserve"> </w:t>
      </w:r>
      <w:r w:rsidRPr="00B004EE">
        <w:rPr>
          <w:rFonts w:ascii="Tahoma" w:hAnsi="Tahoma" w:cs="Tahoma"/>
          <w:sz w:val="20"/>
          <w:szCs w:val="20"/>
        </w:rPr>
        <w:t>sociales</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emploi</w:t>
      </w:r>
      <w:r w:rsidR="00DB1635" w:rsidRPr="00B004EE">
        <w:rPr>
          <w:rFonts w:ascii="Tahoma" w:hAnsi="Tahoma" w:cs="Tahoma"/>
          <w:sz w:val="20"/>
          <w:szCs w:val="20"/>
        </w:rPr>
        <w:t xml:space="preserve"> </w:t>
      </w:r>
      <w:r w:rsidRPr="00B004EE">
        <w:rPr>
          <w:rFonts w:ascii="Tahoma" w:hAnsi="Tahoma" w:cs="Tahoma"/>
          <w:sz w:val="20"/>
          <w:szCs w:val="20"/>
        </w:rPr>
        <w:t>permanent</w:t>
      </w:r>
      <w:r w:rsidR="00DB1635" w:rsidRPr="00B004EE">
        <w:rPr>
          <w:rFonts w:ascii="Tahoma" w:hAnsi="Tahoma" w:cs="Tahoma"/>
          <w:sz w:val="20"/>
          <w:szCs w:val="20"/>
        </w:rPr>
        <w:t xml:space="preserve"> </w:t>
      </w:r>
      <w:r w:rsidRPr="00B004EE">
        <w:rPr>
          <w:rFonts w:ascii="Tahoma" w:hAnsi="Tahoma" w:cs="Tahoma"/>
          <w:sz w:val="20"/>
          <w:szCs w:val="20"/>
        </w:rPr>
        <w:t>occasionnel</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indirect</w:t>
      </w:r>
      <w:r w:rsidR="00DB1635" w:rsidRPr="00B004EE">
        <w:rPr>
          <w:rFonts w:ascii="Tahoma" w:hAnsi="Tahoma" w:cs="Tahoma"/>
          <w:sz w:val="20"/>
          <w:szCs w:val="20"/>
        </w:rPr>
        <w:t xml:space="preserve"> </w:t>
      </w:r>
      <w:r w:rsidRPr="00B004EE">
        <w:rPr>
          <w:rFonts w:ascii="Tahoma" w:hAnsi="Tahoma" w:cs="Tahoma"/>
          <w:sz w:val="20"/>
          <w:szCs w:val="20"/>
        </w:rPr>
        <w:t>;</w:t>
      </w:r>
    </w:p>
    <w:p w14:paraId="6F1D4986" w14:textId="527CECF7" w:rsidR="008518B0" w:rsidRPr="00B004EE" w:rsidRDefault="008518B0" w:rsidP="00420DDA">
      <w:pPr>
        <w:numPr>
          <w:ilvl w:val="0"/>
          <w:numId w:val="59"/>
        </w:numPr>
        <w:ind w:left="567"/>
        <w:jc w:val="both"/>
        <w:rPr>
          <w:rFonts w:ascii="Tahoma" w:hAnsi="Tahoma" w:cs="Tahoma"/>
          <w:sz w:val="20"/>
          <w:szCs w:val="20"/>
        </w:rPr>
      </w:pPr>
      <w:r w:rsidRPr="00B004EE">
        <w:rPr>
          <w:rFonts w:ascii="Tahoma" w:hAnsi="Tahoma" w:cs="Tahoma"/>
          <w:sz w:val="20"/>
          <w:szCs w:val="20"/>
        </w:rPr>
        <w:t>Conditions</w:t>
      </w:r>
      <w:r w:rsidR="00DB1635" w:rsidRPr="00B004EE">
        <w:rPr>
          <w:rFonts w:ascii="Tahoma" w:hAnsi="Tahoma" w:cs="Tahoma"/>
          <w:sz w:val="20"/>
          <w:szCs w:val="20"/>
        </w:rPr>
        <w:t xml:space="preserve"> </w:t>
      </w:r>
      <w:r w:rsidRPr="00B004EE">
        <w:rPr>
          <w:rFonts w:ascii="Tahoma" w:hAnsi="Tahoma" w:cs="Tahoma"/>
          <w:sz w:val="20"/>
          <w:szCs w:val="20"/>
        </w:rPr>
        <w:t>financières</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droit</w:t>
      </w:r>
      <w:r w:rsidR="00DB1635" w:rsidRPr="00B004EE">
        <w:rPr>
          <w:rFonts w:ascii="Tahoma" w:hAnsi="Tahoma" w:cs="Tahoma"/>
          <w:sz w:val="20"/>
          <w:szCs w:val="20"/>
        </w:rPr>
        <w:t xml:space="preserve"> </w:t>
      </w:r>
      <w:r w:rsidRPr="00B004EE">
        <w:rPr>
          <w:rFonts w:ascii="Tahoma" w:hAnsi="Tahoma" w:cs="Tahoma"/>
          <w:sz w:val="20"/>
          <w:szCs w:val="20"/>
        </w:rPr>
        <w:t>d'accès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redevance</w:t>
      </w:r>
      <w:r w:rsidR="00DB1635" w:rsidRPr="00B004EE">
        <w:rPr>
          <w:rFonts w:ascii="Tahoma" w:hAnsi="Tahoma" w:cs="Tahoma"/>
          <w:sz w:val="20"/>
          <w:szCs w:val="20"/>
        </w:rPr>
        <w:t xml:space="preserve"> </w:t>
      </w:r>
      <w:r w:rsidRPr="00B004EE">
        <w:rPr>
          <w:rFonts w:ascii="Tahoma" w:hAnsi="Tahoma" w:cs="Tahoma"/>
          <w:sz w:val="20"/>
          <w:szCs w:val="20"/>
        </w:rPr>
        <w:t>d'exploitation,</w:t>
      </w:r>
      <w:r w:rsidR="00DB1635" w:rsidRPr="00B004EE">
        <w:rPr>
          <w:rFonts w:ascii="Tahoma" w:hAnsi="Tahoma" w:cs="Tahoma"/>
          <w:sz w:val="20"/>
          <w:szCs w:val="20"/>
        </w:rPr>
        <w:t xml:space="preserve"> </w:t>
      </w:r>
      <w:r w:rsidRPr="00B004EE">
        <w:rPr>
          <w:rFonts w:ascii="Tahoma" w:hAnsi="Tahoma" w:cs="Tahoma"/>
          <w:sz w:val="20"/>
          <w:szCs w:val="20"/>
        </w:rPr>
        <w:t>cautionnement,</w:t>
      </w:r>
      <w:r w:rsidR="00DB1635" w:rsidRPr="00B004EE">
        <w:rPr>
          <w:rFonts w:ascii="Tahoma" w:hAnsi="Tahoma" w:cs="Tahoma"/>
          <w:sz w:val="20"/>
          <w:szCs w:val="20"/>
        </w:rPr>
        <w:t xml:space="preserve"> </w:t>
      </w:r>
      <w:r w:rsidRPr="00B004EE">
        <w:rPr>
          <w:rFonts w:ascii="Tahoma" w:hAnsi="Tahoma" w:cs="Tahoma"/>
          <w:sz w:val="20"/>
          <w:szCs w:val="20"/>
        </w:rPr>
        <w:t>présentation</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compte</w:t>
      </w:r>
      <w:r w:rsidR="00DB1635" w:rsidRPr="00B004EE">
        <w:rPr>
          <w:rFonts w:ascii="Tahoma" w:hAnsi="Tahoma" w:cs="Tahoma"/>
          <w:sz w:val="20"/>
          <w:szCs w:val="20"/>
        </w:rPr>
        <w:t xml:space="preserve"> </w:t>
      </w:r>
      <w:r w:rsidRPr="00B004EE">
        <w:rPr>
          <w:rFonts w:ascii="Tahoma" w:hAnsi="Tahoma" w:cs="Tahoma"/>
          <w:sz w:val="20"/>
          <w:szCs w:val="20"/>
        </w:rPr>
        <w:t>d'exploitation</w:t>
      </w:r>
      <w:r w:rsidR="00DB1635" w:rsidRPr="00B004EE">
        <w:rPr>
          <w:rFonts w:ascii="Tahoma" w:hAnsi="Tahoma" w:cs="Tahoma"/>
          <w:sz w:val="20"/>
          <w:szCs w:val="20"/>
        </w:rPr>
        <w:t xml:space="preserve"> </w:t>
      </w:r>
      <w:r w:rsidRPr="00B004EE">
        <w:rPr>
          <w:rFonts w:ascii="Tahoma" w:hAnsi="Tahoma" w:cs="Tahoma"/>
          <w:sz w:val="20"/>
          <w:szCs w:val="20"/>
        </w:rPr>
        <w:t>prévisionnel.</w:t>
      </w:r>
    </w:p>
    <w:p w14:paraId="519A8F3E" w14:textId="77777777" w:rsidR="008518B0" w:rsidRPr="00B004EE" w:rsidRDefault="008518B0" w:rsidP="00B004EE">
      <w:pPr>
        <w:jc w:val="both"/>
        <w:rPr>
          <w:rFonts w:ascii="Tahoma" w:hAnsi="Tahoma" w:cs="Tahoma"/>
          <w:sz w:val="20"/>
          <w:szCs w:val="20"/>
        </w:rPr>
      </w:pPr>
    </w:p>
    <w:p w14:paraId="31761737" w14:textId="3F1CBEED" w:rsidR="008518B0" w:rsidRPr="00B004EE" w:rsidRDefault="008518B0" w:rsidP="00B004EE">
      <w:pPr>
        <w:pStyle w:val="article"/>
        <w:numPr>
          <w:ilvl w:val="0"/>
          <w:numId w:val="0"/>
        </w:numPr>
        <w:tabs>
          <w:tab w:val="left" w:pos="1200"/>
        </w:tabs>
        <w:spacing w:before="0" w:line="240" w:lineRule="auto"/>
        <w:rPr>
          <w:rFonts w:ascii="Tahoma" w:hAnsi="Tahoma" w:cs="Tahoma"/>
          <w:sz w:val="20"/>
          <w:szCs w:val="20"/>
          <w:lang w:val="fr-FR"/>
        </w:rPr>
      </w:pPr>
      <w:r w:rsidRPr="00B004EE">
        <w:rPr>
          <w:rFonts w:ascii="Tahoma" w:hAnsi="Tahoma" w:cs="Tahoma"/>
          <w:sz w:val="20"/>
          <w:szCs w:val="20"/>
        </w:rPr>
        <w:t>Article</w:t>
      </w:r>
      <w:r w:rsidR="00DB1635" w:rsidRPr="00B004EE">
        <w:rPr>
          <w:rFonts w:ascii="Tahoma" w:hAnsi="Tahoma" w:cs="Tahoma"/>
          <w:b/>
          <w:bCs/>
          <w:sz w:val="20"/>
          <w:szCs w:val="20"/>
        </w:rPr>
        <w:t xml:space="preserve"> </w:t>
      </w:r>
      <w:r w:rsidRPr="00B004EE">
        <w:rPr>
          <w:rFonts w:ascii="Tahoma" w:hAnsi="Tahoma" w:cs="Tahoma"/>
          <w:sz w:val="20"/>
          <w:szCs w:val="20"/>
        </w:rPr>
        <w:t>16</w:t>
      </w:r>
      <w:r w:rsidR="00DB1635" w:rsidRPr="00B004EE">
        <w:rPr>
          <w:rFonts w:ascii="Tahoma" w:hAnsi="Tahoma" w:cs="Tahoma"/>
          <w:b/>
          <w:bCs/>
          <w:sz w:val="20"/>
          <w:szCs w:val="20"/>
        </w:rPr>
        <w:t xml:space="preserve"> </w:t>
      </w:r>
      <w:r w:rsidRPr="00B004EE">
        <w:rPr>
          <w:rFonts w:ascii="Tahoma" w:hAnsi="Tahoma" w:cs="Tahoma"/>
          <w:b/>
          <w:bCs/>
          <w:sz w:val="20"/>
          <w:szCs w:val="20"/>
        </w:rPr>
        <w:t>:</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personne</w:t>
      </w:r>
      <w:r w:rsidR="00DB1635" w:rsidRPr="00B004EE">
        <w:rPr>
          <w:rFonts w:ascii="Tahoma" w:hAnsi="Tahoma" w:cs="Tahoma"/>
          <w:sz w:val="20"/>
          <w:szCs w:val="20"/>
        </w:rPr>
        <w:t xml:space="preserve"> </w:t>
      </w:r>
      <w:r w:rsidRPr="00B004EE">
        <w:rPr>
          <w:rFonts w:ascii="Tahoma" w:hAnsi="Tahoma" w:cs="Tahoma"/>
          <w:sz w:val="20"/>
          <w:szCs w:val="20"/>
        </w:rPr>
        <w:t>physique</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morale</w:t>
      </w:r>
      <w:r w:rsidR="00DB1635" w:rsidRPr="00B004EE">
        <w:rPr>
          <w:rFonts w:ascii="Tahoma" w:hAnsi="Tahoma" w:cs="Tahoma"/>
          <w:sz w:val="20"/>
          <w:szCs w:val="20"/>
        </w:rPr>
        <w:t xml:space="preserve"> </w:t>
      </w:r>
      <w:r w:rsidRPr="00B004EE">
        <w:rPr>
          <w:rFonts w:ascii="Tahoma" w:hAnsi="Tahoma" w:cs="Tahoma"/>
          <w:sz w:val="20"/>
          <w:szCs w:val="20"/>
        </w:rPr>
        <w:t>ne</w:t>
      </w:r>
      <w:r w:rsidR="00DB1635" w:rsidRPr="00B004EE">
        <w:rPr>
          <w:rFonts w:ascii="Tahoma" w:hAnsi="Tahoma" w:cs="Tahoma"/>
          <w:sz w:val="20"/>
          <w:szCs w:val="20"/>
        </w:rPr>
        <w:t xml:space="preserve"> </w:t>
      </w:r>
      <w:r w:rsidRPr="00B004EE">
        <w:rPr>
          <w:rFonts w:ascii="Tahoma" w:hAnsi="Tahoma" w:cs="Tahoma"/>
          <w:sz w:val="20"/>
          <w:szCs w:val="20"/>
        </w:rPr>
        <w:t>peut</w:t>
      </w:r>
      <w:r w:rsidR="00DB1635" w:rsidRPr="00B004EE">
        <w:rPr>
          <w:rFonts w:ascii="Tahoma" w:hAnsi="Tahoma" w:cs="Tahoma"/>
          <w:sz w:val="20"/>
          <w:szCs w:val="20"/>
        </w:rPr>
        <w:t xml:space="preserve"> </w:t>
      </w:r>
      <w:r w:rsidRPr="00B004EE">
        <w:rPr>
          <w:rFonts w:ascii="Tahoma" w:hAnsi="Tahoma" w:cs="Tahoma"/>
          <w:sz w:val="20"/>
          <w:szCs w:val="20"/>
        </w:rPr>
        <w:t>détenir,</w:t>
      </w:r>
      <w:r w:rsidR="00DB1635" w:rsidRPr="00B004EE">
        <w:rPr>
          <w:rFonts w:ascii="Tahoma" w:hAnsi="Tahoma" w:cs="Tahoma"/>
          <w:sz w:val="20"/>
          <w:szCs w:val="20"/>
        </w:rPr>
        <w:t xml:space="preserve"> </w:t>
      </w:r>
      <w:r w:rsidRPr="00B004EE">
        <w:rPr>
          <w:rFonts w:ascii="Tahoma" w:hAnsi="Tahoma" w:cs="Tahoma"/>
          <w:sz w:val="20"/>
          <w:szCs w:val="20"/>
        </w:rPr>
        <w:t>cumulativement,</w:t>
      </w:r>
      <w:r w:rsidR="00DB1635" w:rsidRPr="00B004EE">
        <w:rPr>
          <w:rFonts w:ascii="Tahoma" w:hAnsi="Tahoma" w:cs="Tahoma"/>
          <w:sz w:val="20"/>
          <w:szCs w:val="20"/>
        </w:rPr>
        <w:t xml:space="preserve"> </w:t>
      </w:r>
      <w:r w:rsidRPr="00B004EE">
        <w:rPr>
          <w:rFonts w:ascii="Tahoma" w:hAnsi="Tahoma" w:cs="Tahoma"/>
          <w:sz w:val="20"/>
          <w:szCs w:val="20"/>
        </w:rPr>
        <w:t>plus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cinq</w:t>
      </w:r>
      <w:r w:rsidR="00DB1635" w:rsidRPr="00B004EE">
        <w:rPr>
          <w:rFonts w:ascii="Tahoma" w:hAnsi="Tahoma" w:cs="Tahoma"/>
          <w:sz w:val="20"/>
          <w:szCs w:val="20"/>
        </w:rPr>
        <w:t xml:space="preserve"> </w:t>
      </w:r>
      <w:r w:rsidRPr="00B004EE">
        <w:rPr>
          <w:rFonts w:ascii="Tahoma" w:hAnsi="Tahoma" w:cs="Tahoma"/>
          <w:sz w:val="20"/>
          <w:szCs w:val="20"/>
        </w:rPr>
        <w:t>(5)</w:t>
      </w:r>
      <w:r w:rsidR="00DB1635" w:rsidRPr="00B004EE">
        <w:rPr>
          <w:rFonts w:ascii="Tahoma" w:hAnsi="Tahoma" w:cs="Tahoma"/>
          <w:sz w:val="20"/>
          <w:szCs w:val="20"/>
        </w:rPr>
        <w:t xml:space="preserve"> </w:t>
      </w:r>
      <w:r w:rsidRPr="00B004EE">
        <w:rPr>
          <w:rFonts w:ascii="Tahoma" w:hAnsi="Tahoma" w:cs="Tahoma"/>
          <w:sz w:val="20"/>
          <w:szCs w:val="20"/>
        </w:rPr>
        <w:t>concessions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droits</w:t>
      </w:r>
      <w:r w:rsidR="00DB1635" w:rsidRPr="00B004EE">
        <w:rPr>
          <w:rFonts w:ascii="Tahoma" w:hAnsi="Tahoma" w:cs="Tahoma"/>
          <w:sz w:val="20"/>
          <w:szCs w:val="20"/>
        </w:rPr>
        <w:t xml:space="preserve"> </w:t>
      </w:r>
      <w:r w:rsidRPr="00B004EE">
        <w:rPr>
          <w:rFonts w:ascii="Tahoma" w:hAnsi="Tahoma" w:cs="Tahoma"/>
          <w:sz w:val="20"/>
          <w:szCs w:val="20"/>
        </w:rPr>
        <w:t>d'usage,</w:t>
      </w:r>
      <w:r w:rsidR="00DB1635" w:rsidRPr="00B004EE">
        <w:rPr>
          <w:rFonts w:ascii="Tahoma" w:hAnsi="Tahoma" w:cs="Tahoma"/>
          <w:sz w:val="20"/>
          <w:szCs w:val="20"/>
        </w:rPr>
        <w:t xml:space="preserve"> </w:t>
      </w:r>
      <w:r w:rsidRPr="00B004EE">
        <w:rPr>
          <w:rFonts w:ascii="Tahoma" w:hAnsi="Tahoma" w:cs="Tahoma"/>
          <w:bCs/>
          <w:sz w:val="20"/>
          <w:szCs w:val="20"/>
        </w:rPr>
        <w:t>dont</w:t>
      </w:r>
      <w:r w:rsidR="00DB1635" w:rsidRPr="00B004EE">
        <w:rPr>
          <w:rFonts w:ascii="Tahoma" w:hAnsi="Tahoma" w:cs="Tahoma"/>
          <w:bCs/>
          <w:sz w:val="20"/>
          <w:szCs w:val="20"/>
        </w:rPr>
        <w:t xml:space="preserve"> </w:t>
      </w:r>
      <w:r w:rsidRPr="00B004EE">
        <w:rPr>
          <w:rFonts w:ascii="Tahoma" w:hAnsi="Tahoma" w:cs="Tahoma"/>
          <w:bCs/>
          <w:sz w:val="20"/>
          <w:szCs w:val="20"/>
        </w:rPr>
        <w:t>les</w:t>
      </w:r>
      <w:r w:rsidR="00DB1635" w:rsidRPr="00B004EE">
        <w:rPr>
          <w:rFonts w:ascii="Tahoma" w:hAnsi="Tahoma" w:cs="Tahoma"/>
          <w:bCs/>
          <w:sz w:val="20"/>
          <w:szCs w:val="20"/>
        </w:rPr>
        <w:t xml:space="preserve"> </w:t>
      </w:r>
      <w:r w:rsidRPr="00B004EE">
        <w:rPr>
          <w:rFonts w:ascii="Tahoma" w:hAnsi="Tahoma" w:cs="Tahoma"/>
          <w:bCs/>
          <w:sz w:val="20"/>
          <w:szCs w:val="20"/>
        </w:rPr>
        <w:t>conditions</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pêche</w:t>
      </w:r>
      <w:r w:rsidR="00DB1635" w:rsidRPr="00B004EE">
        <w:rPr>
          <w:rFonts w:ascii="Tahoma" w:hAnsi="Tahoma" w:cs="Tahoma"/>
          <w:bCs/>
          <w:sz w:val="20"/>
          <w:szCs w:val="20"/>
        </w:rPr>
        <w:t xml:space="preserve"> </w:t>
      </w:r>
      <w:r w:rsidRPr="00B004EE">
        <w:rPr>
          <w:rFonts w:ascii="Tahoma" w:hAnsi="Tahoma" w:cs="Tahoma"/>
          <w:bCs/>
          <w:sz w:val="20"/>
          <w:szCs w:val="20"/>
        </w:rPr>
        <w:t>sont</w:t>
      </w:r>
      <w:r w:rsidR="00DB1635" w:rsidRPr="00B004EE">
        <w:rPr>
          <w:rFonts w:ascii="Tahoma" w:hAnsi="Tahoma" w:cs="Tahoma"/>
          <w:bCs/>
          <w:sz w:val="20"/>
          <w:szCs w:val="20"/>
        </w:rPr>
        <w:t xml:space="preserve"> </w:t>
      </w:r>
      <w:r w:rsidRPr="00B004EE">
        <w:rPr>
          <w:rFonts w:ascii="Tahoma" w:hAnsi="Tahoma" w:cs="Tahoma"/>
          <w:bCs/>
          <w:sz w:val="20"/>
          <w:szCs w:val="20"/>
        </w:rPr>
        <w:t>compatibles</w:t>
      </w:r>
      <w:r w:rsidR="00DB1635" w:rsidRPr="00B004EE">
        <w:rPr>
          <w:rFonts w:ascii="Tahoma" w:hAnsi="Tahoma" w:cs="Tahoma"/>
          <w:bCs/>
          <w:sz w:val="20"/>
          <w:szCs w:val="20"/>
        </w:rPr>
        <w:t xml:space="preserve"> </w:t>
      </w:r>
      <w:r w:rsidRPr="00B004EE">
        <w:rPr>
          <w:rFonts w:ascii="Tahoma" w:hAnsi="Tahoma" w:cs="Tahoma"/>
          <w:bCs/>
          <w:sz w:val="20"/>
          <w:szCs w:val="20"/>
        </w:rPr>
        <w:t>en</w:t>
      </w:r>
      <w:r w:rsidR="00DB1635" w:rsidRPr="00B004EE">
        <w:rPr>
          <w:rFonts w:ascii="Tahoma" w:hAnsi="Tahoma" w:cs="Tahoma"/>
          <w:bCs/>
          <w:sz w:val="20"/>
          <w:szCs w:val="20"/>
        </w:rPr>
        <w:t xml:space="preserve"> </w:t>
      </w:r>
      <w:r w:rsidRPr="00B004EE">
        <w:rPr>
          <w:rFonts w:ascii="Tahoma" w:hAnsi="Tahoma" w:cs="Tahoma"/>
          <w:bCs/>
          <w:sz w:val="20"/>
          <w:szCs w:val="20"/>
        </w:rPr>
        <w:t>terme</w:t>
      </w:r>
      <w:r w:rsidR="00DB1635" w:rsidRPr="00B004EE">
        <w:rPr>
          <w:rFonts w:ascii="Tahoma" w:hAnsi="Tahoma" w:cs="Tahoma"/>
          <w:bCs/>
          <w:sz w:val="20"/>
          <w:szCs w:val="20"/>
        </w:rPr>
        <w:t xml:space="preserve"> </w:t>
      </w:r>
      <w:r w:rsidRPr="00B004EE">
        <w:rPr>
          <w:rFonts w:ascii="Tahoma" w:hAnsi="Tahoma" w:cs="Tahoma"/>
          <w:bCs/>
          <w:sz w:val="20"/>
          <w:szCs w:val="20"/>
        </w:rPr>
        <w:t>notamment</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la</w:t>
      </w:r>
      <w:r w:rsidR="00DB1635" w:rsidRPr="00B004EE">
        <w:rPr>
          <w:rFonts w:ascii="Tahoma" w:hAnsi="Tahoma" w:cs="Tahoma"/>
          <w:bCs/>
          <w:sz w:val="20"/>
          <w:szCs w:val="20"/>
        </w:rPr>
        <w:t xml:space="preserve"> </w:t>
      </w:r>
      <w:r w:rsidRPr="00B004EE">
        <w:rPr>
          <w:rFonts w:ascii="Tahoma" w:hAnsi="Tahoma" w:cs="Tahoma"/>
          <w:bCs/>
          <w:sz w:val="20"/>
          <w:szCs w:val="20"/>
        </w:rPr>
        <w:t>nature</w:t>
      </w:r>
      <w:r w:rsidR="00DB1635" w:rsidRPr="00B004EE">
        <w:rPr>
          <w:rFonts w:ascii="Tahoma" w:hAnsi="Tahoma" w:cs="Tahoma"/>
          <w:bCs/>
          <w:sz w:val="20"/>
          <w:szCs w:val="20"/>
        </w:rPr>
        <w:t xml:space="preserve"> </w:t>
      </w:r>
      <w:r w:rsidRPr="00B004EE">
        <w:rPr>
          <w:rFonts w:ascii="Tahoma" w:hAnsi="Tahoma" w:cs="Tahoma"/>
          <w:bCs/>
          <w:sz w:val="20"/>
          <w:szCs w:val="20"/>
        </w:rPr>
        <w:t>des</w:t>
      </w:r>
      <w:r w:rsidR="00DB1635" w:rsidRPr="00B004EE">
        <w:rPr>
          <w:rFonts w:ascii="Tahoma" w:hAnsi="Tahoma" w:cs="Tahoma"/>
          <w:bCs/>
          <w:sz w:val="20"/>
          <w:szCs w:val="20"/>
        </w:rPr>
        <w:t xml:space="preserve"> </w:t>
      </w:r>
      <w:r w:rsidRPr="00B004EE">
        <w:rPr>
          <w:rFonts w:ascii="Tahoma" w:hAnsi="Tahoma" w:cs="Tahoma"/>
          <w:bCs/>
          <w:sz w:val="20"/>
          <w:szCs w:val="20"/>
        </w:rPr>
        <w:t>prises</w:t>
      </w:r>
      <w:r w:rsidR="00DB1635" w:rsidRPr="00B004EE">
        <w:rPr>
          <w:rFonts w:ascii="Tahoma" w:hAnsi="Tahoma" w:cs="Tahoma"/>
          <w:bCs/>
          <w:sz w:val="20"/>
          <w:szCs w:val="20"/>
        </w:rPr>
        <w:t xml:space="preserve"> </w:t>
      </w:r>
      <w:r w:rsidRPr="00B004EE">
        <w:rPr>
          <w:rFonts w:ascii="Tahoma" w:hAnsi="Tahoma" w:cs="Tahoma"/>
          <w:bCs/>
          <w:sz w:val="20"/>
          <w:szCs w:val="20"/>
        </w:rPr>
        <w:t>accessoires,</w:t>
      </w:r>
      <w:r w:rsidR="00DB1635" w:rsidRPr="00B004EE">
        <w:rPr>
          <w:rFonts w:ascii="Tahoma" w:hAnsi="Tahoma" w:cs="Tahoma"/>
          <w:bCs/>
          <w:sz w:val="20"/>
          <w:szCs w:val="20"/>
        </w:rPr>
        <w:t xml:space="preserve"> </w:t>
      </w:r>
      <w:r w:rsidRPr="00B004EE">
        <w:rPr>
          <w:rFonts w:ascii="Tahoma" w:hAnsi="Tahoma" w:cs="Tahoma"/>
          <w:bCs/>
          <w:sz w:val="20"/>
          <w:szCs w:val="20"/>
        </w:rPr>
        <w:t>d’engins</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pêche</w:t>
      </w:r>
      <w:r w:rsidR="00DB1635" w:rsidRPr="00B004EE">
        <w:rPr>
          <w:rFonts w:ascii="Tahoma" w:hAnsi="Tahoma" w:cs="Tahoma"/>
          <w:bCs/>
          <w:sz w:val="20"/>
          <w:szCs w:val="20"/>
        </w:rPr>
        <w:t xml:space="preserve"> </w:t>
      </w:r>
      <w:r w:rsidRPr="00B004EE">
        <w:rPr>
          <w:rFonts w:ascii="Tahoma" w:hAnsi="Tahoma" w:cs="Tahoma"/>
          <w:bCs/>
          <w:sz w:val="20"/>
          <w:szCs w:val="20"/>
        </w:rPr>
        <w:t>et</w:t>
      </w:r>
      <w:r w:rsidR="00DB1635" w:rsidRPr="00B004EE">
        <w:rPr>
          <w:rFonts w:ascii="Tahoma" w:hAnsi="Tahoma" w:cs="Tahoma"/>
          <w:bCs/>
          <w:sz w:val="20"/>
          <w:szCs w:val="20"/>
        </w:rPr>
        <w:t xml:space="preserve"> </w:t>
      </w:r>
      <w:r w:rsidRPr="00B004EE">
        <w:rPr>
          <w:rFonts w:ascii="Tahoma" w:hAnsi="Tahoma" w:cs="Tahoma"/>
          <w:bCs/>
          <w:sz w:val="20"/>
          <w:szCs w:val="20"/>
        </w:rPr>
        <w:t>des</w:t>
      </w:r>
      <w:r w:rsidR="00DB1635" w:rsidRPr="00B004EE">
        <w:rPr>
          <w:rFonts w:ascii="Tahoma" w:hAnsi="Tahoma" w:cs="Tahoma"/>
          <w:bCs/>
          <w:sz w:val="20"/>
          <w:szCs w:val="20"/>
        </w:rPr>
        <w:t xml:space="preserve"> </w:t>
      </w:r>
      <w:r w:rsidRPr="00B004EE">
        <w:rPr>
          <w:rFonts w:ascii="Tahoma" w:hAnsi="Tahoma" w:cs="Tahoma"/>
          <w:bCs/>
          <w:sz w:val="20"/>
          <w:szCs w:val="20"/>
        </w:rPr>
        <w:t>zones</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pêche</w:t>
      </w:r>
      <w:r w:rsidRPr="00B004EE">
        <w:rPr>
          <w:rFonts w:ascii="Tahoma" w:hAnsi="Tahoma" w:cs="Tahoma"/>
          <w:sz w:val="20"/>
          <w:szCs w:val="20"/>
        </w:rPr>
        <w:t>.</w:t>
      </w:r>
      <w:r w:rsidR="00DB1635" w:rsidRPr="00B004EE">
        <w:rPr>
          <w:rFonts w:ascii="Tahoma" w:hAnsi="Tahoma" w:cs="Tahoma"/>
          <w:sz w:val="20"/>
          <w:szCs w:val="20"/>
        </w:rPr>
        <w:t xml:space="preserve"> </w:t>
      </w:r>
    </w:p>
    <w:p w14:paraId="1A655CB8" w14:textId="77777777" w:rsidR="008518B0" w:rsidRPr="00B004EE" w:rsidRDefault="008518B0" w:rsidP="00B004EE">
      <w:pPr>
        <w:jc w:val="both"/>
        <w:rPr>
          <w:rFonts w:ascii="Tahoma" w:hAnsi="Tahoma" w:cs="Tahoma"/>
          <w:sz w:val="20"/>
          <w:szCs w:val="20"/>
        </w:rPr>
      </w:pPr>
    </w:p>
    <w:p w14:paraId="3DA2BA1D" w14:textId="7D3658CF" w:rsidR="008518B0" w:rsidRPr="00B004EE" w:rsidRDefault="008518B0" w:rsidP="00B004EE">
      <w:pPr>
        <w:jc w:val="both"/>
        <w:rPr>
          <w:rFonts w:ascii="Tahoma" w:hAnsi="Tahoma" w:cs="Tahoma"/>
          <w:sz w:val="20"/>
          <w:szCs w:val="20"/>
        </w:rPr>
      </w:pP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fins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calcul</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nombre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concessions</w:t>
      </w:r>
      <w:r w:rsidR="00DB1635" w:rsidRPr="00B004EE">
        <w:rPr>
          <w:rFonts w:ascii="Tahoma" w:hAnsi="Tahoma" w:cs="Tahoma"/>
          <w:sz w:val="20"/>
          <w:szCs w:val="20"/>
        </w:rPr>
        <w:t xml:space="preserve"> </w:t>
      </w:r>
      <w:r w:rsidRPr="00B004EE">
        <w:rPr>
          <w:rFonts w:ascii="Tahoma" w:hAnsi="Tahoma" w:cs="Tahoma"/>
          <w:sz w:val="20"/>
          <w:szCs w:val="20"/>
        </w:rPr>
        <w:t>autorisées</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personne</w:t>
      </w:r>
      <w:r w:rsidR="00DB1635" w:rsidRPr="00B004EE">
        <w:rPr>
          <w:rFonts w:ascii="Tahoma" w:hAnsi="Tahoma" w:cs="Tahoma"/>
          <w:sz w:val="20"/>
          <w:szCs w:val="20"/>
        </w:rPr>
        <w:t xml:space="preserve"> </w:t>
      </w:r>
      <w:r w:rsidRPr="00B004EE">
        <w:rPr>
          <w:rFonts w:ascii="Tahoma" w:hAnsi="Tahoma" w:cs="Tahoma"/>
          <w:sz w:val="20"/>
          <w:szCs w:val="20"/>
        </w:rPr>
        <w:t>physique</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morale,</w:t>
      </w:r>
      <w:r w:rsidR="00DB1635" w:rsidRPr="00B004EE">
        <w:rPr>
          <w:rFonts w:ascii="Tahoma" w:hAnsi="Tahoma" w:cs="Tahoma"/>
          <w:sz w:val="20"/>
          <w:szCs w:val="20"/>
        </w:rPr>
        <w:t xml:space="preserve"> </w:t>
      </w:r>
      <w:r w:rsidRPr="00B004EE">
        <w:rPr>
          <w:rFonts w:ascii="Tahoma" w:hAnsi="Tahoma" w:cs="Tahoma"/>
          <w:sz w:val="20"/>
          <w:szCs w:val="20"/>
        </w:rPr>
        <w:t>seront</w:t>
      </w:r>
      <w:r w:rsidR="00DB1635" w:rsidRPr="00B004EE">
        <w:rPr>
          <w:rFonts w:ascii="Tahoma" w:hAnsi="Tahoma" w:cs="Tahoma"/>
          <w:sz w:val="20"/>
          <w:szCs w:val="20"/>
        </w:rPr>
        <w:t xml:space="preserve"> </w:t>
      </w:r>
      <w:r w:rsidRPr="00B004EE">
        <w:rPr>
          <w:rFonts w:ascii="Tahoma" w:hAnsi="Tahoma" w:cs="Tahoma"/>
          <w:sz w:val="20"/>
          <w:szCs w:val="20"/>
        </w:rPr>
        <w:t>pris</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compte</w:t>
      </w:r>
      <w:r w:rsidR="00DB1635" w:rsidRPr="00B004EE">
        <w:rPr>
          <w:rFonts w:ascii="Tahoma" w:hAnsi="Tahoma" w:cs="Tahoma"/>
          <w:sz w:val="20"/>
          <w:szCs w:val="20"/>
        </w:rPr>
        <w:t xml:space="preserve"> </w:t>
      </w:r>
      <w:r w:rsidRPr="00B004EE">
        <w:rPr>
          <w:rFonts w:ascii="Tahoma" w:hAnsi="Tahoma" w:cs="Tahoma"/>
          <w:sz w:val="20"/>
          <w:szCs w:val="20"/>
        </w:rPr>
        <w:t>:</w:t>
      </w:r>
    </w:p>
    <w:p w14:paraId="4A021DE3" w14:textId="06F3B6D6" w:rsidR="008518B0" w:rsidRPr="00B004EE" w:rsidRDefault="008518B0" w:rsidP="00420DDA">
      <w:pPr>
        <w:numPr>
          <w:ilvl w:val="0"/>
          <w:numId w:val="59"/>
        </w:numPr>
        <w:ind w:left="567"/>
        <w:jc w:val="both"/>
        <w:rPr>
          <w:rFonts w:ascii="Tahoma" w:hAnsi="Tahoma" w:cs="Tahoma"/>
          <w:sz w:val="20"/>
          <w:szCs w:val="20"/>
        </w:rPr>
      </w:pP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concessions</w:t>
      </w:r>
      <w:r w:rsidR="00DB1635" w:rsidRPr="00B004EE">
        <w:rPr>
          <w:rFonts w:ascii="Tahoma" w:hAnsi="Tahoma" w:cs="Tahoma"/>
          <w:sz w:val="20"/>
          <w:szCs w:val="20"/>
        </w:rPr>
        <w:t xml:space="preserve"> </w:t>
      </w:r>
      <w:r w:rsidRPr="00B004EE">
        <w:rPr>
          <w:rFonts w:ascii="Tahoma" w:hAnsi="Tahoma" w:cs="Tahoma"/>
          <w:sz w:val="20"/>
          <w:szCs w:val="20"/>
        </w:rPr>
        <w:t>déjà</w:t>
      </w:r>
      <w:r w:rsidR="00DB1635" w:rsidRPr="00B004EE">
        <w:rPr>
          <w:rFonts w:ascii="Tahoma" w:hAnsi="Tahoma" w:cs="Tahoma"/>
          <w:sz w:val="20"/>
          <w:szCs w:val="20"/>
        </w:rPr>
        <w:t xml:space="preserve"> </w:t>
      </w:r>
      <w:r w:rsidRPr="00B004EE">
        <w:rPr>
          <w:rFonts w:ascii="Tahoma" w:hAnsi="Tahoma" w:cs="Tahoma"/>
          <w:sz w:val="20"/>
          <w:szCs w:val="20"/>
        </w:rPr>
        <w:t>octroyées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personne</w:t>
      </w:r>
      <w:r w:rsidR="00DB1635" w:rsidRPr="00B004EE">
        <w:rPr>
          <w:rFonts w:ascii="Tahoma" w:hAnsi="Tahoma" w:cs="Tahoma"/>
          <w:sz w:val="20"/>
          <w:szCs w:val="20"/>
        </w:rPr>
        <w:t xml:space="preserve"> </w:t>
      </w:r>
      <w:r w:rsidRPr="00B004EE">
        <w:rPr>
          <w:rFonts w:ascii="Tahoma" w:hAnsi="Tahoma" w:cs="Tahoma"/>
          <w:sz w:val="20"/>
          <w:szCs w:val="20"/>
        </w:rPr>
        <w:t>physique</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personne</w:t>
      </w:r>
      <w:r w:rsidR="00DB1635" w:rsidRPr="00B004EE">
        <w:rPr>
          <w:rFonts w:ascii="Tahoma" w:hAnsi="Tahoma" w:cs="Tahoma"/>
          <w:sz w:val="20"/>
          <w:szCs w:val="20"/>
        </w:rPr>
        <w:t xml:space="preserve"> </w:t>
      </w:r>
      <w:r w:rsidRPr="00B004EE">
        <w:rPr>
          <w:rFonts w:ascii="Tahoma" w:hAnsi="Tahoma" w:cs="Tahoma"/>
          <w:sz w:val="20"/>
          <w:szCs w:val="20"/>
        </w:rPr>
        <w:t>morale</w:t>
      </w:r>
      <w:r w:rsidR="00DB1635" w:rsidRPr="00B004EE">
        <w:rPr>
          <w:rFonts w:ascii="Tahoma" w:hAnsi="Tahoma" w:cs="Tahoma"/>
          <w:sz w:val="20"/>
          <w:szCs w:val="20"/>
        </w:rPr>
        <w:t xml:space="preserve"> </w:t>
      </w:r>
      <w:r w:rsidRPr="00B004EE">
        <w:rPr>
          <w:rFonts w:ascii="Tahoma" w:hAnsi="Tahoma" w:cs="Tahoma"/>
          <w:sz w:val="20"/>
          <w:szCs w:val="20"/>
        </w:rPr>
        <w:t>qui</w:t>
      </w:r>
      <w:r w:rsidR="00DB1635" w:rsidRPr="00B004EE">
        <w:rPr>
          <w:rFonts w:ascii="Tahoma" w:hAnsi="Tahoma" w:cs="Tahoma"/>
          <w:sz w:val="20"/>
          <w:szCs w:val="20"/>
        </w:rPr>
        <w:t xml:space="preserve"> </w:t>
      </w:r>
      <w:r w:rsidRPr="00B004EE">
        <w:rPr>
          <w:rFonts w:ascii="Tahoma" w:hAnsi="Tahoma" w:cs="Tahoma"/>
          <w:sz w:val="20"/>
          <w:szCs w:val="20"/>
        </w:rPr>
        <w:t>détient</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contrôle</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titulaire,</w:t>
      </w:r>
      <w:r w:rsidR="00DB1635" w:rsidRPr="00B004EE">
        <w:rPr>
          <w:rFonts w:ascii="Tahoma" w:hAnsi="Tahoma" w:cs="Tahoma"/>
          <w:sz w:val="20"/>
          <w:szCs w:val="20"/>
        </w:rPr>
        <w:t xml:space="preserve"> </w:t>
      </w:r>
    </w:p>
    <w:p w14:paraId="4E415C4A" w14:textId="7946E44D" w:rsidR="008518B0" w:rsidRPr="00B004EE" w:rsidRDefault="008518B0" w:rsidP="00420DDA">
      <w:pPr>
        <w:numPr>
          <w:ilvl w:val="0"/>
          <w:numId w:val="59"/>
        </w:numPr>
        <w:ind w:left="567"/>
        <w:jc w:val="both"/>
        <w:rPr>
          <w:rFonts w:ascii="Tahoma" w:hAnsi="Tahoma" w:cs="Tahoma"/>
          <w:sz w:val="20"/>
          <w:szCs w:val="20"/>
        </w:rPr>
      </w:pP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concessions</w:t>
      </w:r>
      <w:r w:rsidR="00DB1635" w:rsidRPr="00B004EE">
        <w:rPr>
          <w:rFonts w:ascii="Tahoma" w:hAnsi="Tahoma" w:cs="Tahoma"/>
          <w:sz w:val="20"/>
          <w:szCs w:val="20"/>
        </w:rPr>
        <w:t xml:space="preserve"> </w:t>
      </w:r>
      <w:r w:rsidRPr="00B004EE">
        <w:rPr>
          <w:rFonts w:ascii="Tahoma" w:hAnsi="Tahoma" w:cs="Tahoma"/>
          <w:sz w:val="20"/>
          <w:szCs w:val="20"/>
        </w:rPr>
        <w:t>obtenues</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personne</w:t>
      </w:r>
      <w:r w:rsidR="00DB1635" w:rsidRPr="00B004EE">
        <w:rPr>
          <w:rFonts w:ascii="Tahoma" w:hAnsi="Tahoma" w:cs="Tahoma"/>
          <w:sz w:val="20"/>
          <w:szCs w:val="20"/>
        </w:rPr>
        <w:t xml:space="preserve"> </w:t>
      </w:r>
      <w:r w:rsidRPr="00B004EE">
        <w:rPr>
          <w:rFonts w:ascii="Tahoma" w:hAnsi="Tahoma" w:cs="Tahoma"/>
          <w:sz w:val="20"/>
          <w:szCs w:val="20"/>
        </w:rPr>
        <w:t>physique</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morale</w:t>
      </w:r>
      <w:r w:rsidR="00DB1635" w:rsidRPr="00B004EE">
        <w:rPr>
          <w:rFonts w:ascii="Tahoma" w:hAnsi="Tahoma" w:cs="Tahoma"/>
          <w:sz w:val="20"/>
          <w:szCs w:val="20"/>
        </w:rPr>
        <w:t xml:space="preserve"> </w:t>
      </w:r>
      <w:r w:rsidRPr="00B004EE">
        <w:rPr>
          <w:rFonts w:ascii="Tahoma" w:hAnsi="Tahoma" w:cs="Tahoma"/>
          <w:sz w:val="20"/>
          <w:szCs w:val="20"/>
        </w:rPr>
        <w:t>dont</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titulaire</w:t>
      </w:r>
      <w:r w:rsidR="00DB1635" w:rsidRPr="00B004EE">
        <w:rPr>
          <w:rFonts w:ascii="Tahoma" w:hAnsi="Tahoma" w:cs="Tahoma"/>
          <w:sz w:val="20"/>
          <w:szCs w:val="20"/>
        </w:rPr>
        <w:t xml:space="preserve"> </w:t>
      </w:r>
      <w:r w:rsidRPr="00B004EE">
        <w:rPr>
          <w:rFonts w:ascii="Tahoma" w:hAnsi="Tahoma" w:cs="Tahoma"/>
          <w:sz w:val="20"/>
          <w:szCs w:val="20"/>
        </w:rPr>
        <w:t>détient</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contrôle</w:t>
      </w:r>
      <w:r w:rsidR="00DB1635" w:rsidRPr="00B004EE">
        <w:rPr>
          <w:rFonts w:ascii="Tahoma" w:hAnsi="Tahoma" w:cs="Tahoma"/>
          <w:sz w:val="20"/>
          <w:szCs w:val="20"/>
        </w:rPr>
        <w:t xml:space="preserve"> </w:t>
      </w:r>
      <w:r w:rsidRPr="00B004EE">
        <w:rPr>
          <w:rFonts w:ascii="Tahoma" w:hAnsi="Tahoma" w:cs="Tahoma"/>
          <w:sz w:val="20"/>
          <w:szCs w:val="20"/>
        </w:rPr>
        <w:t>;</w:t>
      </w:r>
    </w:p>
    <w:p w14:paraId="3C7E6005" w14:textId="5BDD1C79" w:rsidR="008518B0" w:rsidRPr="00B004EE" w:rsidRDefault="00DB1635" w:rsidP="00420DDA">
      <w:pPr>
        <w:numPr>
          <w:ilvl w:val="0"/>
          <w:numId w:val="59"/>
        </w:numPr>
        <w:ind w:left="567"/>
        <w:jc w:val="both"/>
        <w:rPr>
          <w:rFonts w:ascii="Tahoma" w:hAnsi="Tahoma" w:cs="Tahoma"/>
          <w:sz w:val="20"/>
          <w:szCs w:val="20"/>
        </w:rPr>
      </w:pPr>
      <w:r w:rsidRPr="00B004EE">
        <w:rPr>
          <w:rFonts w:ascii="Tahoma" w:hAnsi="Tahoma" w:cs="Tahoma"/>
          <w:sz w:val="20"/>
          <w:szCs w:val="20"/>
        </w:rPr>
        <w:t xml:space="preserve"> </w:t>
      </w:r>
      <w:r w:rsidR="008518B0" w:rsidRPr="00B004EE">
        <w:rPr>
          <w:rFonts w:ascii="Tahoma" w:hAnsi="Tahoma" w:cs="Tahoma"/>
          <w:sz w:val="20"/>
          <w:szCs w:val="20"/>
        </w:rPr>
        <w:t>Les</w:t>
      </w:r>
      <w:r w:rsidRPr="00B004EE">
        <w:rPr>
          <w:rFonts w:ascii="Tahoma" w:hAnsi="Tahoma" w:cs="Tahoma"/>
          <w:sz w:val="20"/>
          <w:szCs w:val="20"/>
        </w:rPr>
        <w:t xml:space="preserve"> </w:t>
      </w:r>
      <w:r w:rsidR="008518B0" w:rsidRPr="00B004EE">
        <w:rPr>
          <w:rFonts w:ascii="Tahoma" w:hAnsi="Tahoma" w:cs="Tahoma"/>
          <w:sz w:val="20"/>
          <w:szCs w:val="20"/>
        </w:rPr>
        <w:t>concessions</w:t>
      </w:r>
      <w:r w:rsidRPr="00B004EE">
        <w:rPr>
          <w:rFonts w:ascii="Tahoma" w:hAnsi="Tahoma" w:cs="Tahoma"/>
          <w:sz w:val="20"/>
          <w:szCs w:val="20"/>
        </w:rPr>
        <w:t xml:space="preserve"> </w:t>
      </w:r>
      <w:r w:rsidR="008518B0" w:rsidRPr="00B004EE">
        <w:rPr>
          <w:rFonts w:ascii="Tahoma" w:hAnsi="Tahoma" w:cs="Tahoma"/>
          <w:sz w:val="20"/>
          <w:szCs w:val="20"/>
        </w:rPr>
        <w:t>détenues</w:t>
      </w:r>
      <w:r w:rsidRPr="00B004EE">
        <w:rPr>
          <w:rFonts w:ascii="Tahoma" w:hAnsi="Tahoma" w:cs="Tahoma"/>
          <w:sz w:val="20"/>
          <w:szCs w:val="20"/>
        </w:rPr>
        <w:t xml:space="preserve"> </w:t>
      </w:r>
      <w:r w:rsidR="008518B0" w:rsidRPr="00B004EE">
        <w:rPr>
          <w:rFonts w:ascii="Tahoma" w:hAnsi="Tahoma" w:cs="Tahoma"/>
          <w:sz w:val="20"/>
          <w:szCs w:val="20"/>
        </w:rPr>
        <w:t>par</w:t>
      </w:r>
      <w:r w:rsidRPr="00B004EE">
        <w:rPr>
          <w:rFonts w:ascii="Tahoma" w:hAnsi="Tahoma" w:cs="Tahoma"/>
          <w:sz w:val="20"/>
          <w:szCs w:val="20"/>
        </w:rPr>
        <w:t xml:space="preserve"> </w:t>
      </w:r>
      <w:r w:rsidR="008518B0" w:rsidRPr="00B004EE">
        <w:rPr>
          <w:rFonts w:ascii="Tahoma" w:hAnsi="Tahoma" w:cs="Tahoma"/>
          <w:sz w:val="20"/>
          <w:szCs w:val="20"/>
        </w:rPr>
        <w:t>une</w:t>
      </w:r>
      <w:r w:rsidRPr="00B004EE">
        <w:rPr>
          <w:rFonts w:ascii="Tahoma" w:hAnsi="Tahoma" w:cs="Tahoma"/>
          <w:sz w:val="20"/>
          <w:szCs w:val="20"/>
        </w:rPr>
        <w:t xml:space="preserve"> </w:t>
      </w:r>
      <w:r w:rsidR="008518B0" w:rsidRPr="00B004EE">
        <w:rPr>
          <w:rFonts w:ascii="Tahoma" w:hAnsi="Tahoma" w:cs="Tahoma"/>
          <w:sz w:val="20"/>
          <w:szCs w:val="20"/>
        </w:rPr>
        <w:t>personne</w:t>
      </w:r>
      <w:r w:rsidRPr="00B004EE">
        <w:rPr>
          <w:rFonts w:ascii="Tahoma" w:hAnsi="Tahoma" w:cs="Tahoma"/>
          <w:sz w:val="20"/>
          <w:szCs w:val="20"/>
        </w:rPr>
        <w:t xml:space="preserve"> </w:t>
      </w:r>
      <w:r w:rsidR="008518B0" w:rsidRPr="00B004EE">
        <w:rPr>
          <w:rFonts w:ascii="Tahoma" w:hAnsi="Tahoma" w:cs="Tahoma"/>
          <w:sz w:val="20"/>
          <w:szCs w:val="20"/>
        </w:rPr>
        <w:t>physique</w:t>
      </w:r>
      <w:r w:rsidRPr="00B004EE">
        <w:rPr>
          <w:rFonts w:ascii="Tahoma" w:hAnsi="Tahoma" w:cs="Tahoma"/>
          <w:sz w:val="20"/>
          <w:szCs w:val="20"/>
        </w:rPr>
        <w:t xml:space="preserve"> </w:t>
      </w:r>
      <w:r w:rsidR="008518B0" w:rsidRPr="00B004EE">
        <w:rPr>
          <w:rFonts w:ascii="Tahoma" w:hAnsi="Tahoma" w:cs="Tahoma"/>
          <w:sz w:val="20"/>
          <w:szCs w:val="20"/>
        </w:rPr>
        <w:t>ou</w:t>
      </w:r>
      <w:r w:rsidRPr="00B004EE">
        <w:rPr>
          <w:rFonts w:ascii="Tahoma" w:hAnsi="Tahoma" w:cs="Tahoma"/>
          <w:sz w:val="20"/>
          <w:szCs w:val="20"/>
        </w:rPr>
        <w:t xml:space="preserve"> </w:t>
      </w:r>
      <w:r w:rsidR="008518B0" w:rsidRPr="00B004EE">
        <w:rPr>
          <w:rFonts w:ascii="Tahoma" w:hAnsi="Tahoma" w:cs="Tahoma"/>
          <w:sz w:val="20"/>
          <w:szCs w:val="20"/>
        </w:rPr>
        <w:t>morale</w:t>
      </w:r>
      <w:r w:rsidRPr="00B004EE">
        <w:rPr>
          <w:rFonts w:ascii="Tahoma" w:hAnsi="Tahoma" w:cs="Tahoma"/>
          <w:sz w:val="20"/>
          <w:szCs w:val="20"/>
        </w:rPr>
        <w:t xml:space="preserve"> </w:t>
      </w:r>
      <w:r w:rsidR="008518B0" w:rsidRPr="00B004EE">
        <w:rPr>
          <w:rFonts w:ascii="Tahoma" w:hAnsi="Tahoma" w:cs="Tahoma"/>
          <w:sz w:val="20"/>
          <w:szCs w:val="20"/>
        </w:rPr>
        <w:t>appartenant</w:t>
      </w:r>
      <w:r w:rsidRPr="00B004EE">
        <w:rPr>
          <w:rFonts w:ascii="Tahoma" w:hAnsi="Tahoma" w:cs="Tahoma"/>
          <w:sz w:val="20"/>
          <w:szCs w:val="20"/>
        </w:rPr>
        <w:t xml:space="preserve"> </w:t>
      </w:r>
      <w:r w:rsidR="008518B0" w:rsidRPr="00B004EE">
        <w:rPr>
          <w:rFonts w:ascii="Tahoma" w:hAnsi="Tahoma" w:cs="Tahoma"/>
          <w:sz w:val="20"/>
          <w:szCs w:val="20"/>
        </w:rPr>
        <w:t>au</w:t>
      </w:r>
      <w:r w:rsidRPr="00B004EE">
        <w:rPr>
          <w:rFonts w:ascii="Tahoma" w:hAnsi="Tahoma" w:cs="Tahoma"/>
          <w:sz w:val="20"/>
          <w:szCs w:val="20"/>
        </w:rPr>
        <w:t xml:space="preserve"> </w:t>
      </w:r>
      <w:r w:rsidR="008518B0" w:rsidRPr="00B004EE">
        <w:rPr>
          <w:rFonts w:ascii="Tahoma" w:hAnsi="Tahoma" w:cs="Tahoma"/>
          <w:sz w:val="20"/>
          <w:szCs w:val="20"/>
        </w:rPr>
        <w:t>même</w:t>
      </w:r>
      <w:r w:rsidRPr="00B004EE">
        <w:rPr>
          <w:rFonts w:ascii="Tahoma" w:hAnsi="Tahoma" w:cs="Tahoma"/>
          <w:sz w:val="20"/>
          <w:szCs w:val="20"/>
        </w:rPr>
        <w:t xml:space="preserve"> </w:t>
      </w:r>
      <w:r w:rsidR="008518B0" w:rsidRPr="00B004EE">
        <w:rPr>
          <w:rFonts w:ascii="Tahoma" w:hAnsi="Tahoma" w:cs="Tahoma"/>
          <w:sz w:val="20"/>
          <w:szCs w:val="20"/>
        </w:rPr>
        <w:t>groupe</w:t>
      </w:r>
      <w:r w:rsidRPr="00B004EE">
        <w:rPr>
          <w:rFonts w:ascii="Tahoma" w:hAnsi="Tahoma" w:cs="Tahoma"/>
          <w:sz w:val="20"/>
          <w:szCs w:val="20"/>
        </w:rPr>
        <w:t xml:space="preserve"> </w:t>
      </w:r>
      <w:r w:rsidR="008518B0" w:rsidRPr="00B004EE">
        <w:rPr>
          <w:rFonts w:ascii="Tahoma" w:hAnsi="Tahoma" w:cs="Tahoma"/>
          <w:sz w:val="20"/>
          <w:szCs w:val="20"/>
        </w:rPr>
        <w:t>de</w:t>
      </w:r>
      <w:r w:rsidRPr="00B004EE">
        <w:rPr>
          <w:rFonts w:ascii="Tahoma" w:hAnsi="Tahoma" w:cs="Tahoma"/>
          <w:sz w:val="20"/>
          <w:szCs w:val="20"/>
        </w:rPr>
        <w:t xml:space="preserve"> </w:t>
      </w:r>
      <w:r w:rsidR="008518B0" w:rsidRPr="00B004EE">
        <w:rPr>
          <w:rFonts w:ascii="Tahoma" w:hAnsi="Tahoma" w:cs="Tahoma"/>
          <w:sz w:val="20"/>
          <w:szCs w:val="20"/>
        </w:rPr>
        <w:t>sociétés</w:t>
      </w:r>
      <w:r w:rsidRPr="00B004EE">
        <w:rPr>
          <w:rFonts w:ascii="Tahoma" w:hAnsi="Tahoma" w:cs="Tahoma"/>
          <w:sz w:val="20"/>
          <w:szCs w:val="20"/>
        </w:rPr>
        <w:t xml:space="preserve"> </w:t>
      </w:r>
      <w:r w:rsidR="008518B0" w:rsidRPr="00B004EE">
        <w:rPr>
          <w:rFonts w:ascii="Tahoma" w:hAnsi="Tahoma" w:cs="Tahoma"/>
          <w:sz w:val="20"/>
          <w:szCs w:val="20"/>
        </w:rPr>
        <w:t>que</w:t>
      </w:r>
      <w:r w:rsidRPr="00B004EE">
        <w:rPr>
          <w:rFonts w:ascii="Tahoma" w:hAnsi="Tahoma" w:cs="Tahoma"/>
          <w:sz w:val="20"/>
          <w:szCs w:val="20"/>
        </w:rPr>
        <w:t xml:space="preserve"> </w:t>
      </w:r>
      <w:r w:rsidR="008518B0" w:rsidRPr="00B004EE">
        <w:rPr>
          <w:rFonts w:ascii="Tahoma" w:hAnsi="Tahoma" w:cs="Tahoma"/>
          <w:sz w:val="20"/>
          <w:szCs w:val="20"/>
        </w:rPr>
        <w:t>le</w:t>
      </w:r>
      <w:r w:rsidRPr="00B004EE">
        <w:rPr>
          <w:rFonts w:ascii="Tahoma" w:hAnsi="Tahoma" w:cs="Tahoma"/>
          <w:sz w:val="20"/>
          <w:szCs w:val="20"/>
        </w:rPr>
        <w:t xml:space="preserve"> </w:t>
      </w:r>
      <w:r w:rsidR="008518B0" w:rsidRPr="00B004EE">
        <w:rPr>
          <w:rFonts w:ascii="Tahoma" w:hAnsi="Tahoma" w:cs="Tahoma"/>
          <w:sz w:val="20"/>
          <w:szCs w:val="20"/>
        </w:rPr>
        <w:t>titulaire.</w:t>
      </w:r>
      <w:r w:rsidRPr="00B004EE">
        <w:rPr>
          <w:rFonts w:ascii="Tahoma" w:hAnsi="Tahoma" w:cs="Tahoma"/>
          <w:sz w:val="20"/>
          <w:szCs w:val="20"/>
        </w:rPr>
        <w:t xml:space="preserve"> </w:t>
      </w:r>
    </w:p>
    <w:p w14:paraId="57367130" w14:textId="77777777" w:rsidR="008518B0" w:rsidRPr="00B004EE" w:rsidRDefault="008518B0" w:rsidP="00B004EE">
      <w:pPr>
        <w:jc w:val="both"/>
        <w:rPr>
          <w:rFonts w:ascii="Tahoma" w:hAnsi="Tahoma" w:cs="Tahoma"/>
          <w:sz w:val="20"/>
          <w:szCs w:val="20"/>
        </w:rPr>
      </w:pPr>
    </w:p>
    <w:p w14:paraId="5EA12251" w14:textId="04C8A35E" w:rsidR="008518B0" w:rsidRPr="00B004EE" w:rsidRDefault="008518B0" w:rsidP="00B004EE">
      <w:pPr>
        <w:jc w:val="both"/>
        <w:rPr>
          <w:rFonts w:ascii="Tahoma" w:hAnsi="Tahoma" w:cs="Tahoma"/>
          <w:sz w:val="20"/>
          <w:szCs w:val="20"/>
        </w:rPr>
      </w:pPr>
      <w:r w:rsidRPr="00B004EE">
        <w:rPr>
          <w:rFonts w:ascii="Tahoma" w:hAnsi="Tahoma" w:cs="Tahoma"/>
          <w:sz w:val="20"/>
          <w:szCs w:val="20"/>
        </w:rPr>
        <w:t>Article</w:t>
      </w:r>
      <w:r w:rsidR="00DB1635" w:rsidRPr="00B004EE">
        <w:rPr>
          <w:rFonts w:ascii="Tahoma" w:hAnsi="Tahoma" w:cs="Tahoma"/>
          <w:sz w:val="20"/>
          <w:szCs w:val="20"/>
        </w:rPr>
        <w:t xml:space="preserve"> </w:t>
      </w:r>
      <w:r w:rsidRPr="00B004EE">
        <w:rPr>
          <w:rFonts w:ascii="Tahoma" w:hAnsi="Tahoma" w:cs="Tahoma"/>
          <w:sz w:val="20"/>
          <w:szCs w:val="20"/>
        </w:rPr>
        <w:t>17</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durée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concession</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droits</w:t>
      </w:r>
      <w:r w:rsidR="00DB1635" w:rsidRPr="00B004EE">
        <w:rPr>
          <w:rFonts w:ascii="Tahoma" w:hAnsi="Tahoma" w:cs="Tahoma"/>
          <w:sz w:val="20"/>
          <w:szCs w:val="20"/>
        </w:rPr>
        <w:t xml:space="preserve"> </w:t>
      </w:r>
      <w:r w:rsidRPr="00B004EE">
        <w:rPr>
          <w:rFonts w:ascii="Tahoma" w:hAnsi="Tahoma" w:cs="Tahoma"/>
          <w:sz w:val="20"/>
          <w:szCs w:val="20"/>
        </w:rPr>
        <w:t>d'usage</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fixée</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fonction</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volume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nature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investissements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niveau</w:t>
      </w:r>
      <w:r w:rsidR="00DB1635" w:rsidRPr="00B004EE">
        <w:rPr>
          <w:rFonts w:ascii="Tahoma" w:hAnsi="Tahoma" w:cs="Tahoma"/>
          <w:sz w:val="20"/>
          <w:szCs w:val="20"/>
        </w:rPr>
        <w:t xml:space="preserve"> </w:t>
      </w:r>
      <w:r w:rsidRPr="00B004EE">
        <w:rPr>
          <w:rFonts w:ascii="Tahoma" w:hAnsi="Tahoma" w:cs="Tahoma"/>
          <w:sz w:val="20"/>
          <w:szCs w:val="20"/>
        </w:rPr>
        <w:t>d’intégration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activités</w:t>
      </w:r>
      <w:r w:rsidR="00DB1635" w:rsidRPr="00B004EE">
        <w:rPr>
          <w:rFonts w:ascii="Tahoma" w:hAnsi="Tahoma" w:cs="Tahoma"/>
          <w:sz w:val="20"/>
          <w:szCs w:val="20"/>
        </w:rPr>
        <w:t xml:space="preserve"> </w:t>
      </w:r>
      <w:r w:rsidRPr="00B004EE">
        <w:rPr>
          <w:rFonts w:ascii="Tahoma" w:hAnsi="Tahoma" w:cs="Tahoma"/>
          <w:sz w:val="20"/>
          <w:szCs w:val="20"/>
        </w:rPr>
        <w:t>envisagées</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l’économie</w:t>
      </w:r>
      <w:r w:rsidR="00DB1635" w:rsidRPr="00B004EE">
        <w:rPr>
          <w:rFonts w:ascii="Tahoma" w:hAnsi="Tahoma" w:cs="Tahoma"/>
          <w:sz w:val="20"/>
          <w:szCs w:val="20"/>
        </w:rPr>
        <w:t xml:space="preserve"> </w:t>
      </w:r>
      <w:r w:rsidRPr="00B004EE">
        <w:rPr>
          <w:rFonts w:ascii="Tahoma" w:hAnsi="Tahoma" w:cs="Tahoma"/>
          <w:sz w:val="20"/>
          <w:szCs w:val="20"/>
        </w:rPr>
        <w:t>nationale.</w:t>
      </w:r>
    </w:p>
    <w:p w14:paraId="66AE5C22" w14:textId="77777777" w:rsidR="008518B0" w:rsidRPr="00B004EE" w:rsidRDefault="008518B0" w:rsidP="00B004EE">
      <w:pPr>
        <w:jc w:val="both"/>
        <w:rPr>
          <w:rFonts w:ascii="Tahoma" w:hAnsi="Tahoma" w:cs="Tahoma"/>
          <w:sz w:val="20"/>
          <w:szCs w:val="20"/>
        </w:rPr>
      </w:pPr>
    </w:p>
    <w:p w14:paraId="4A1174F8" w14:textId="5E8B02C1" w:rsidR="008518B0" w:rsidRPr="00B004EE" w:rsidRDefault="008518B0" w:rsidP="00B004EE">
      <w:pPr>
        <w:jc w:val="both"/>
        <w:rPr>
          <w:rFonts w:ascii="Tahoma" w:hAnsi="Tahoma" w:cs="Tahoma"/>
          <w:sz w:val="20"/>
          <w:szCs w:val="20"/>
        </w:rPr>
      </w:pP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degré</w:t>
      </w:r>
      <w:r w:rsidR="00DB1635" w:rsidRPr="00B004EE">
        <w:rPr>
          <w:rFonts w:ascii="Tahoma" w:hAnsi="Tahoma" w:cs="Tahoma"/>
          <w:sz w:val="20"/>
          <w:szCs w:val="20"/>
        </w:rPr>
        <w:t xml:space="preserve"> </w:t>
      </w:r>
      <w:r w:rsidRPr="00B004EE">
        <w:rPr>
          <w:rFonts w:ascii="Tahoma" w:hAnsi="Tahoma" w:cs="Tahoma"/>
          <w:sz w:val="20"/>
          <w:szCs w:val="20"/>
        </w:rPr>
        <w:t>d’intégration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activités</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apprécié</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fonction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critères</w:t>
      </w:r>
      <w:r w:rsidR="00DB1635" w:rsidRPr="00B004EE">
        <w:rPr>
          <w:rFonts w:ascii="Tahoma" w:hAnsi="Tahoma" w:cs="Tahoma"/>
          <w:sz w:val="20"/>
          <w:szCs w:val="20"/>
        </w:rPr>
        <w:t xml:space="preserve"> </w:t>
      </w:r>
      <w:r w:rsidRPr="00B004EE">
        <w:rPr>
          <w:rFonts w:ascii="Tahoma" w:hAnsi="Tahoma" w:cs="Tahoma"/>
          <w:sz w:val="20"/>
          <w:szCs w:val="20"/>
        </w:rPr>
        <w:t>objectifs</w:t>
      </w:r>
      <w:r w:rsidR="00DB1635" w:rsidRPr="00B004EE">
        <w:rPr>
          <w:rFonts w:ascii="Tahoma" w:hAnsi="Tahoma" w:cs="Tahoma"/>
          <w:sz w:val="20"/>
          <w:szCs w:val="20"/>
        </w:rPr>
        <w:t xml:space="preserve"> </w:t>
      </w:r>
      <w:r w:rsidRPr="00B004EE">
        <w:rPr>
          <w:rFonts w:ascii="Tahoma" w:hAnsi="Tahoma" w:cs="Tahoma"/>
          <w:sz w:val="20"/>
          <w:szCs w:val="20"/>
        </w:rPr>
        <w:t>dont</w:t>
      </w:r>
      <w:r w:rsidR="00DB1635" w:rsidRPr="00B004EE">
        <w:rPr>
          <w:rFonts w:ascii="Tahoma" w:hAnsi="Tahoma" w:cs="Tahoma"/>
          <w:sz w:val="20"/>
          <w:szCs w:val="20"/>
        </w:rPr>
        <w:t xml:space="preserve"> </w:t>
      </w:r>
      <w:r w:rsidR="00566A20" w:rsidRPr="00B004EE">
        <w:rPr>
          <w:rFonts w:ascii="Tahoma" w:hAnsi="Tahoma" w:cs="Tahoma"/>
          <w:sz w:val="20"/>
          <w:szCs w:val="20"/>
        </w:rPr>
        <w:t>notamment :</w:t>
      </w:r>
      <w:r w:rsidR="00DB1635" w:rsidRPr="00B004EE">
        <w:rPr>
          <w:rFonts w:ascii="Tahoma" w:hAnsi="Tahoma" w:cs="Tahoma"/>
          <w:sz w:val="20"/>
          <w:szCs w:val="20"/>
        </w:rPr>
        <w:t xml:space="preserve"> </w:t>
      </w:r>
    </w:p>
    <w:p w14:paraId="1AC12829" w14:textId="77777777" w:rsidR="008518B0" w:rsidRPr="00B004EE" w:rsidRDefault="008518B0" w:rsidP="00B004EE">
      <w:pPr>
        <w:jc w:val="both"/>
        <w:rPr>
          <w:rFonts w:ascii="Tahoma" w:hAnsi="Tahoma" w:cs="Tahoma"/>
          <w:sz w:val="20"/>
          <w:szCs w:val="20"/>
        </w:rPr>
      </w:pPr>
    </w:p>
    <w:p w14:paraId="7F2E6D1B" w14:textId="736F2A31" w:rsidR="008518B0" w:rsidRPr="00B004EE" w:rsidRDefault="008518B0" w:rsidP="00420DDA">
      <w:pPr>
        <w:numPr>
          <w:ilvl w:val="0"/>
          <w:numId w:val="63"/>
        </w:numPr>
        <w:ind w:left="426"/>
        <w:jc w:val="both"/>
        <w:rPr>
          <w:rFonts w:ascii="Tahoma" w:hAnsi="Tahoma" w:cs="Tahoma"/>
          <w:sz w:val="20"/>
          <w:szCs w:val="20"/>
        </w:rPr>
      </w:pP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frais</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congelés,</w:t>
      </w:r>
      <w:r w:rsidR="00DB1635" w:rsidRPr="00B004EE">
        <w:rPr>
          <w:rFonts w:ascii="Tahoma" w:hAnsi="Tahoma" w:cs="Tahoma"/>
          <w:sz w:val="20"/>
          <w:szCs w:val="20"/>
        </w:rPr>
        <w:t xml:space="preserve"> </w:t>
      </w:r>
      <w:r w:rsidRPr="00B004EE">
        <w:rPr>
          <w:rFonts w:ascii="Tahoma" w:hAnsi="Tahoma" w:cs="Tahoma"/>
          <w:sz w:val="20"/>
          <w:szCs w:val="20"/>
        </w:rPr>
        <w:t>traitement,</w:t>
      </w:r>
      <w:r w:rsidR="00DB1635" w:rsidRPr="00B004EE">
        <w:rPr>
          <w:rFonts w:ascii="Tahoma" w:hAnsi="Tahoma" w:cs="Tahoma"/>
          <w:sz w:val="20"/>
          <w:szCs w:val="20"/>
        </w:rPr>
        <w:t xml:space="preserve"> </w:t>
      </w:r>
      <w:r w:rsidRPr="00B004EE">
        <w:rPr>
          <w:rFonts w:ascii="Tahoma" w:hAnsi="Tahoma" w:cs="Tahoma"/>
          <w:sz w:val="20"/>
          <w:szCs w:val="20"/>
        </w:rPr>
        <w:t>congélation</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stockage</w:t>
      </w:r>
      <w:r w:rsidR="00DB1635" w:rsidRPr="00B004EE">
        <w:rPr>
          <w:rFonts w:ascii="Tahoma" w:hAnsi="Tahoma" w:cs="Tahoma"/>
          <w:sz w:val="20"/>
          <w:szCs w:val="20"/>
        </w:rPr>
        <w:t xml:space="preserve"> </w:t>
      </w:r>
      <w:r w:rsidRPr="00B004EE">
        <w:rPr>
          <w:rFonts w:ascii="Tahoma" w:hAnsi="Tahoma" w:cs="Tahoma"/>
          <w:sz w:val="20"/>
          <w:szCs w:val="20"/>
        </w:rPr>
        <w:t>;</w:t>
      </w:r>
    </w:p>
    <w:p w14:paraId="331C9833" w14:textId="081874C8" w:rsidR="008518B0" w:rsidRPr="00B004EE" w:rsidRDefault="008518B0" w:rsidP="00420DDA">
      <w:pPr>
        <w:numPr>
          <w:ilvl w:val="0"/>
          <w:numId w:val="63"/>
        </w:numPr>
        <w:ind w:left="426"/>
        <w:jc w:val="both"/>
        <w:rPr>
          <w:rFonts w:ascii="Tahoma" w:hAnsi="Tahoma" w:cs="Tahoma"/>
          <w:sz w:val="20"/>
          <w:szCs w:val="20"/>
        </w:rPr>
      </w:pP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préparés,</w:t>
      </w:r>
      <w:r w:rsidR="00DB1635" w:rsidRPr="00B004EE">
        <w:rPr>
          <w:rFonts w:ascii="Tahoma" w:hAnsi="Tahoma" w:cs="Tahoma"/>
          <w:sz w:val="20"/>
          <w:szCs w:val="20"/>
        </w:rPr>
        <w:t xml:space="preserve"> </w:t>
      </w:r>
      <w:r w:rsidRPr="00B004EE">
        <w:rPr>
          <w:rFonts w:ascii="Tahoma" w:hAnsi="Tahoma" w:cs="Tahoma"/>
          <w:sz w:val="20"/>
          <w:szCs w:val="20"/>
        </w:rPr>
        <w:t>élaborés,</w:t>
      </w:r>
      <w:r w:rsidR="00DB1635" w:rsidRPr="00B004EE">
        <w:rPr>
          <w:rFonts w:ascii="Tahoma" w:hAnsi="Tahoma" w:cs="Tahoma"/>
          <w:sz w:val="20"/>
          <w:szCs w:val="20"/>
        </w:rPr>
        <w:t xml:space="preserve"> </w:t>
      </w:r>
      <w:r w:rsidRPr="00B004EE">
        <w:rPr>
          <w:rFonts w:ascii="Tahoma" w:hAnsi="Tahoma" w:cs="Tahoma"/>
          <w:sz w:val="20"/>
          <w:szCs w:val="20"/>
        </w:rPr>
        <w:t>frais</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congelés</w:t>
      </w:r>
      <w:r w:rsidR="00DB1635" w:rsidRPr="00B004EE">
        <w:rPr>
          <w:rFonts w:ascii="Tahoma" w:hAnsi="Tahoma" w:cs="Tahoma"/>
          <w:sz w:val="20"/>
          <w:szCs w:val="20"/>
        </w:rPr>
        <w:t xml:space="preserve"> </w:t>
      </w:r>
      <w:r w:rsidRPr="00B004EE">
        <w:rPr>
          <w:rFonts w:ascii="Tahoma" w:hAnsi="Tahoma" w:cs="Tahoma"/>
          <w:sz w:val="20"/>
          <w:szCs w:val="20"/>
        </w:rPr>
        <w:t>;</w:t>
      </w:r>
    </w:p>
    <w:p w14:paraId="6B07ABE0" w14:textId="2A61C713" w:rsidR="008518B0" w:rsidRPr="00B004EE" w:rsidRDefault="008518B0" w:rsidP="00420DDA">
      <w:pPr>
        <w:numPr>
          <w:ilvl w:val="0"/>
          <w:numId w:val="63"/>
        </w:numPr>
        <w:ind w:left="426"/>
        <w:jc w:val="both"/>
        <w:rPr>
          <w:rFonts w:ascii="Tahoma" w:hAnsi="Tahoma" w:cs="Tahoma"/>
          <w:sz w:val="20"/>
          <w:szCs w:val="20"/>
        </w:rPr>
      </w:pP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transformés,</w:t>
      </w:r>
      <w:r w:rsidR="00DB1635" w:rsidRPr="00B004EE">
        <w:rPr>
          <w:rFonts w:ascii="Tahoma" w:hAnsi="Tahoma" w:cs="Tahoma"/>
          <w:sz w:val="20"/>
          <w:szCs w:val="20"/>
        </w:rPr>
        <w:t xml:space="preserve"> </w:t>
      </w:r>
      <w:r w:rsidRPr="00B004EE">
        <w:rPr>
          <w:rFonts w:ascii="Tahoma" w:hAnsi="Tahoma" w:cs="Tahoma"/>
          <w:sz w:val="20"/>
          <w:szCs w:val="20"/>
        </w:rPr>
        <w:t>semi-finis</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finis</w:t>
      </w:r>
      <w:r w:rsidR="00DB1635" w:rsidRPr="00B004EE">
        <w:rPr>
          <w:rFonts w:ascii="Tahoma" w:hAnsi="Tahoma" w:cs="Tahoma"/>
          <w:sz w:val="20"/>
          <w:szCs w:val="20"/>
        </w:rPr>
        <w:t xml:space="preserve"> </w:t>
      </w:r>
      <w:r w:rsidRPr="00B004EE">
        <w:rPr>
          <w:rFonts w:ascii="Tahoma" w:hAnsi="Tahoma" w:cs="Tahoma"/>
          <w:sz w:val="20"/>
          <w:szCs w:val="20"/>
        </w:rPr>
        <w:t>(plats</w:t>
      </w:r>
      <w:r w:rsidR="00DB1635" w:rsidRPr="00B004EE">
        <w:rPr>
          <w:rFonts w:ascii="Tahoma" w:hAnsi="Tahoma" w:cs="Tahoma"/>
          <w:sz w:val="20"/>
          <w:szCs w:val="20"/>
        </w:rPr>
        <w:t xml:space="preserve"> </w:t>
      </w:r>
      <w:r w:rsidRPr="00B004EE">
        <w:rPr>
          <w:rFonts w:ascii="Tahoma" w:hAnsi="Tahoma" w:cs="Tahoma"/>
          <w:sz w:val="20"/>
          <w:szCs w:val="20"/>
        </w:rPr>
        <w:t>cuisinés,</w:t>
      </w:r>
      <w:r w:rsidR="00DB1635" w:rsidRPr="00B004EE">
        <w:rPr>
          <w:rFonts w:ascii="Tahoma" w:hAnsi="Tahoma" w:cs="Tahoma"/>
          <w:sz w:val="20"/>
          <w:szCs w:val="20"/>
        </w:rPr>
        <w:t xml:space="preserve"> </w:t>
      </w:r>
      <w:r w:rsidRPr="00B004EE">
        <w:rPr>
          <w:rFonts w:ascii="Tahoma" w:hAnsi="Tahoma" w:cs="Tahoma"/>
          <w:sz w:val="20"/>
          <w:szCs w:val="20"/>
        </w:rPr>
        <w:t>conserveries…etc.)</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transformation</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ses</w:t>
      </w:r>
      <w:r w:rsidR="00DB1635" w:rsidRPr="00B004EE">
        <w:rPr>
          <w:rFonts w:ascii="Tahoma" w:hAnsi="Tahoma" w:cs="Tahoma"/>
          <w:sz w:val="20"/>
          <w:szCs w:val="20"/>
        </w:rPr>
        <w:t xml:space="preserve"> </w:t>
      </w:r>
      <w:r w:rsidRPr="00B004EE">
        <w:rPr>
          <w:rFonts w:ascii="Tahoma" w:hAnsi="Tahoma" w:cs="Tahoma"/>
          <w:sz w:val="20"/>
          <w:szCs w:val="20"/>
        </w:rPr>
        <w:t>propres</w:t>
      </w:r>
      <w:r w:rsidR="00DB1635" w:rsidRPr="00B004EE">
        <w:rPr>
          <w:rFonts w:ascii="Tahoma" w:hAnsi="Tahoma" w:cs="Tahoma"/>
          <w:sz w:val="20"/>
          <w:szCs w:val="20"/>
        </w:rPr>
        <w:t xml:space="preserve"> </w:t>
      </w:r>
      <w:r w:rsidRPr="00B004EE">
        <w:rPr>
          <w:rFonts w:ascii="Tahoma" w:hAnsi="Tahoma" w:cs="Tahoma"/>
          <w:sz w:val="20"/>
          <w:szCs w:val="20"/>
        </w:rPr>
        <w:t>déchets</w:t>
      </w:r>
      <w:r w:rsidR="00DB1635" w:rsidRPr="00B004EE">
        <w:rPr>
          <w:rFonts w:ascii="Tahoma" w:hAnsi="Tahoma" w:cs="Tahoma"/>
          <w:sz w:val="20"/>
          <w:szCs w:val="20"/>
        </w:rPr>
        <w:t xml:space="preserve"> </w:t>
      </w:r>
      <w:r w:rsidRPr="00B004EE">
        <w:rPr>
          <w:rFonts w:ascii="Tahoma" w:hAnsi="Tahoma" w:cs="Tahoma"/>
          <w:sz w:val="20"/>
          <w:szCs w:val="20"/>
        </w:rPr>
        <w:t>;</w:t>
      </w:r>
    </w:p>
    <w:p w14:paraId="205997EE" w14:textId="472F5BD8" w:rsidR="008518B0" w:rsidRPr="00B004EE" w:rsidRDefault="008518B0" w:rsidP="00420DDA">
      <w:pPr>
        <w:numPr>
          <w:ilvl w:val="0"/>
          <w:numId w:val="63"/>
        </w:numPr>
        <w:ind w:left="426"/>
        <w:jc w:val="both"/>
        <w:rPr>
          <w:rFonts w:ascii="Tahoma" w:hAnsi="Tahoma" w:cs="Tahoma"/>
          <w:sz w:val="20"/>
          <w:szCs w:val="20"/>
        </w:rPr>
      </w:pPr>
      <w:r w:rsidRPr="00B004EE">
        <w:rPr>
          <w:rFonts w:ascii="Tahoma" w:hAnsi="Tahoma" w:cs="Tahoma"/>
          <w:sz w:val="20"/>
          <w:szCs w:val="20"/>
        </w:rPr>
        <w:t>Nombre</w:t>
      </w:r>
      <w:r w:rsidR="00DB1635" w:rsidRPr="00B004EE">
        <w:rPr>
          <w:rFonts w:ascii="Tahoma" w:hAnsi="Tahoma" w:cs="Tahoma"/>
          <w:sz w:val="20"/>
          <w:szCs w:val="20"/>
        </w:rPr>
        <w:t xml:space="preserve"> </w:t>
      </w:r>
      <w:r w:rsidRPr="00B004EE">
        <w:rPr>
          <w:rFonts w:ascii="Tahoma" w:hAnsi="Tahoma" w:cs="Tahoma"/>
          <w:sz w:val="20"/>
          <w:szCs w:val="20"/>
        </w:rPr>
        <w:t>d'emplois</w:t>
      </w:r>
      <w:r w:rsidR="00DB1635" w:rsidRPr="00B004EE">
        <w:rPr>
          <w:rFonts w:ascii="Tahoma" w:hAnsi="Tahoma" w:cs="Tahoma"/>
          <w:sz w:val="20"/>
          <w:szCs w:val="20"/>
        </w:rPr>
        <w:t xml:space="preserve"> </w:t>
      </w:r>
      <w:r w:rsidRPr="00B004EE">
        <w:rPr>
          <w:rFonts w:ascii="Tahoma" w:hAnsi="Tahoma" w:cs="Tahoma"/>
          <w:sz w:val="20"/>
          <w:szCs w:val="20"/>
        </w:rPr>
        <w:t>créés</w:t>
      </w:r>
      <w:r w:rsidR="00DB1635" w:rsidRPr="00B004EE">
        <w:rPr>
          <w:rFonts w:ascii="Tahoma" w:hAnsi="Tahoma" w:cs="Tahoma"/>
          <w:sz w:val="20"/>
          <w:szCs w:val="20"/>
        </w:rPr>
        <w:t xml:space="preserve"> </w:t>
      </w:r>
      <w:r w:rsidRPr="00B004EE">
        <w:rPr>
          <w:rFonts w:ascii="Tahoma" w:hAnsi="Tahoma" w:cs="Tahoma"/>
          <w:sz w:val="20"/>
          <w:szCs w:val="20"/>
        </w:rPr>
        <w:t>(qualitatif</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quantitatif).</w:t>
      </w:r>
    </w:p>
    <w:p w14:paraId="28263A23" w14:textId="77777777" w:rsidR="008518B0" w:rsidRPr="00B004EE" w:rsidRDefault="008518B0" w:rsidP="00B004EE">
      <w:pPr>
        <w:ind w:left="426"/>
        <w:jc w:val="both"/>
        <w:rPr>
          <w:rFonts w:ascii="Tahoma" w:hAnsi="Tahoma" w:cs="Tahoma"/>
          <w:sz w:val="20"/>
          <w:szCs w:val="20"/>
        </w:rPr>
      </w:pPr>
    </w:p>
    <w:p w14:paraId="5D911ECA" w14:textId="366DA341" w:rsidR="008518B0" w:rsidRPr="00B004EE" w:rsidRDefault="008518B0" w:rsidP="00B004EE">
      <w:pPr>
        <w:jc w:val="both"/>
        <w:rPr>
          <w:rFonts w:ascii="Tahoma" w:hAnsi="Tahoma" w:cs="Tahoma"/>
          <w:sz w:val="20"/>
          <w:szCs w:val="20"/>
        </w:rPr>
      </w:pP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dispositions</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présent</w:t>
      </w:r>
      <w:r w:rsidR="00DB1635" w:rsidRPr="00B004EE">
        <w:rPr>
          <w:rFonts w:ascii="Tahoma" w:hAnsi="Tahoma" w:cs="Tahoma"/>
          <w:sz w:val="20"/>
          <w:szCs w:val="20"/>
        </w:rPr>
        <w:t xml:space="preserve"> </w:t>
      </w:r>
      <w:r w:rsidRPr="00B004EE">
        <w:rPr>
          <w:rFonts w:ascii="Tahoma" w:hAnsi="Tahoma" w:cs="Tahoma"/>
          <w:sz w:val="20"/>
          <w:szCs w:val="20"/>
        </w:rPr>
        <w:t>article</w:t>
      </w:r>
      <w:r w:rsidR="00DB1635" w:rsidRPr="00B004EE">
        <w:rPr>
          <w:rFonts w:ascii="Tahoma" w:hAnsi="Tahoma" w:cs="Tahoma"/>
          <w:sz w:val="20"/>
          <w:szCs w:val="20"/>
        </w:rPr>
        <w:t xml:space="preserve"> </w:t>
      </w:r>
      <w:r w:rsidRPr="00B004EE">
        <w:rPr>
          <w:rFonts w:ascii="Tahoma" w:hAnsi="Tahoma" w:cs="Tahoma"/>
          <w:sz w:val="20"/>
          <w:szCs w:val="20"/>
        </w:rPr>
        <w:t>seront</w:t>
      </w:r>
      <w:r w:rsidR="00DB1635" w:rsidRPr="00B004EE">
        <w:rPr>
          <w:rFonts w:ascii="Tahoma" w:hAnsi="Tahoma" w:cs="Tahoma"/>
          <w:sz w:val="20"/>
          <w:szCs w:val="20"/>
        </w:rPr>
        <w:t xml:space="preserve"> </w:t>
      </w:r>
      <w:r w:rsidRPr="00B004EE">
        <w:rPr>
          <w:rFonts w:ascii="Tahoma" w:hAnsi="Tahoma" w:cs="Tahoma"/>
          <w:sz w:val="20"/>
          <w:szCs w:val="20"/>
        </w:rPr>
        <w:t>précisées</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arrêté</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ministre</w:t>
      </w:r>
      <w:r w:rsidR="00DB1635" w:rsidRPr="00B004EE">
        <w:rPr>
          <w:rFonts w:ascii="Tahoma" w:hAnsi="Tahoma" w:cs="Tahoma"/>
          <w:sz w:val="20"/>
          <w:szCs w:val="20"/>
        </w:rPr>
        <w:t xml:space="preserve"> </w:t>
      </w:r>
      <w:r w:rsidRPr="00B004EE">
        <w:rPr>
          <w:rFonts w:ascii="Tahoma" w:hAnsi="Tahoma" w:cs="Tahoma"/>
          <w:sz w:val="20"/>
          <w:szCs w:val="20"/>
        </w:rPr>
        <w:t>chargé</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sz w:val="20"/>
          <w:szCs w:val="20"/>
        </w:rPr>
        <w:t xml:space="preserve"> </w:t>
      </w:r>
    </w:p>
    <w:p w14:paraId="23570F90" w14:textId="77777777" w:rsidR="008518B0" w:rsidRPr="00B004EE" w:rsidRDefault="008518B0" w:rsidP="00B004EE">
      <w:pPr>
        <w:jc w:val="both"/>
        <w:rPr>
          <w:rFonts w:ascii="Tahoma" w:hAnsi="Tahoma" w:cs="Tahoma"/>
          <w:sz w:val="20"/>
          <w:szCs w:val="20"/>
        </w:rPr>
      </w:pPr>
    </w:p>
    <w:p w14:paraId="5DFCDB88" w14:textId="7417BCA8" w:rsidR="008518B0" w:rsidRPr="00B004EE" w:rsidRDefault="008518B0" w:rsidP="00B004EE">
      <w:pPr>
        <w:jc w:val="both"/>
        <w:rPr>
          <w:rFonts w:ascii="Tahoma" w:hAnsi="Tahoma" w:cs="Tahoma"/>
          <w:sz w:val="20"/>
          <w:szCs w:val="20"/>
        </w:rPr>
      </w:pPr>
      <w:r w:rsidRPr="00B004EE">
        <w:rPr>
          <w:rFonts w:ascii="Tahoma" w:hAnsi="Tahoma" w:cs="Tahoma"/>
          <w:sz w:val="20"/>
          <w:szCs w:val="20"/>
        </w:rPr>
        <w:t>Article</w:t>
      </w:r>
      <w:r w:rsidR="00DB1635" w:rsidRPr="00B004EE">
        <w:rPr>
          <w:rFonts w:ascii="Tahoma" w:hAnsi="Tahoma" w:cs="Tahoma"/>
          <w:sz w:val="20"/>
          <w:szCs w:val="20"/>
        </w:rPr>
        <w:t xml:space="preserve"> </w:t>
      </w:r>
      <w:r w:rsidRPr="00B004EE">
        <w:rPr>
          <w:rFonts w:ascii="Tahoma" w:hAnsi="Tahoma" w:cs="Tahoma"/>
          <w:sz w:val="20"/>
          <w:szCs w:val="20"/>
        </w:rPr>
        <w:t>18</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concessions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droits</w:t>
      </w:r>
      <w:r w:rsidR="00DB1635" w:rsidRPr="00B004EE">
        <w:rPr>
          <w:rFonts w:ascii="Tahoma" w:hAnsi="Tahoma" w:cs="Tahoma"/>
          <w:sz w:val="20"/>
          <w:szCs w:val="20"/>
        </w:rPr>
        <w:t xml:space="preserve"> </w:t>
      </w:r>
      <w:r w:rsidRPr="00B004EE">
        <w:rPr>
          <w:rFonts w:ascii="Tahoma" w:hAnsi="Tahoma" w:cs="Tahoma"/>
          <w:sz w:val="20"/>
          <w:szCs w:val="20"/>
        </w:rPr>
        <w:t>d'usage</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accordées</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ministre</w:t>
      </w:r>
      <w:r w:rsidR="00DB1635" w:rsidRPr="00B004EE">
        <w:rPr>
          <w:rFonts w:ascii="Tahoma" w:hAnsi="Tahoma" w:cs="Tahoma"/>
          <w:sz w:val="20"/>
          <w:szCs w:val="20"/>
        </w:rPr>
        <w:t xml:space="preserve"> </w:t>
      </w:r>
      <w:r w:rsidRPr="00B004EE">
        <w:rPr>
          <w:rFonts w:ascii="Tahoma" w:hAnsi="Tahoma" w:cs="Tahoma"/>
          <w:sz w:val="20"/>
          <w:szCs w:val="20"/>
        </w:rPr>
        <w:t>chargé</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limites</w:t>
      </w:r>
      <w:r w:rsidR="00DB1635" w:rsidRPr="00B004EE">
        <w:rPr>
          <w:rFonts w:ascii="Tahoma" w:hAnsi="Tahoma" w:cs="Tahoma"/>
          <w:sz w:val="20"/>
          <w:szCs w:val="20"/>
        </w:rPr>
        <w:t xml:space="preserve"> </w:t>
      </w:r>
      <w:r w:rsidRPr="00B004EE">
        <w:rPr>
          <w:rFonts w:ascii="Tahoma" w:hAnsi="Tahoma" w:cs="Tahoma"/>
          <w:sz w:val="20"/>
          <w:szCs w:val="20"/>
        </w:rPr>
        <w:t>fixées</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plans</w:t>
      </w:r>
      <w:r w:rsidR="00DB1635" w:rsidRPr="00B004EE">
        <w:rPr>
          <w:rFonts w:ascii="Tahoma" w:hAnsi="Tahoma" w:cs="Tahoma"/>
          <w:sz w:val="20"/>
          <w:szCs w:val="20"/>
        </w:rPr>
        <w:t xml:space="preserve"> </w:t>
      </w:r>
      <w:r w:rsidRPr="00B004EE">
        <w:rPr>
          <w:rFonts w:ascii="Tahoma" w:hAnsi="Tahoma" w:cs="Tahoma"/>
          <w:sz w:val="20"/>
          <w:szCs w:val="20"/>
        </w:rPr>
        <w:t>d'aménagement</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gestion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pêcheries.</w:t>
      </w:r>
    </w:p>
    <w:p w14:paraId="487ED08A" w14:textId="77777777" w:rsidR="008518B0" w:rsidRPr="00B004EE" w:rsidRDefault="008518B0" w:rsidP="00B004EE">
      <w:pPr>
        <w:jc w:val="both"/>
        <w:rPr>
          <w:rFonts w:ascii="Tahoma" w:hAnsi="Tahoma" w:cs="Tahoma"/>
          <w:sz w:val="20"/>
          <w:szCs w:val="20"/>
        </w:rPr>
      </w:pPr>
    </w:p>
    <w:p w14:paraId="441319B2" w14:textId="172FD2D6" w:rsidR="008518B0" w:rsidRPr="00B004EE" w:rsidRDefault="008518B0" w:rsidP="00B004EE">
      <w:pPr>
        <w:jc w:val="both"/>
        <w:rPr>
          <w:rFonts w:ascii="Tahoma" w:hAnsi="Tahoma" w:cs="Tahoma"/>
          <w:sz w:val="20"/>
          <w:szCs w:val="20"/>
        </w:rPr>
      </w:pPr>
      <w:r w:rsidRPr="00B004EE">
        <w:rPr>
          <w:rFonts w:ascii="Tahoma" w:hAnsi="Tahoma" w:cs="Tahoma"/>
          <w:sz w:val="20"/>
          <w:szCs w:val="20"/>
        </w:rPr>
        <w:lastRenderedPageBreak/>
        <w:t>Les</w:t>
      </w:r>
      <w:r w:rsidR="00DB1635" w:rsidRPr="00B004EE">
        <w:rPr>
          <w:rFonts w:ascii="Tahoma" w:hAnsi="Tahoma" w:cs="Tahoma"/>
          <w:sz w:val="20"/>
          <w:szCs w:val="20"/>
        </w:rPr>
        <w:t xml:space="preserve"> </w:t>
      </w:r>
      <w:r w:rsidRPr="00B004EE">
        <w:rPr>
          <w:rFonts w:ascii="Tahoma" w:hAnsi="Tahoma" w:cs="Tahoma"/>
          <w:sz w:val="20"/>
          <w:szCs w:val="20"/>
        </w:rPr>
        <w:t>demandes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concessions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droits</w:t>
      </w:r>
      <w:r w:rsidR="00DB1635" w:rsidRPr="00B004EE">
        <w:rPr>
          <w:rFonts w:ascii="Tahoma" w:hAnsi="Tahoma" w:cs="Tahoma"/>
          <w:sz w:val="20"/>
          <w:szCs w:val="20"/>
        </w:rPr>
        <w:t xml:space="preserve"> </w:t>
      </w:r>
      <w:r w:rsidRPr="00B004EE">
        <w:rPr>
          <w:rFonts w:ascii="Tahoma" w:hAnsi="Tahoma" w:cs="Tahoma"/>
          <w:sz w:val="20"/>
          <w:szCs w:val="20"/>
        </w:rPr>
        <w:t>d'usage</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adressées</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ministre</w:t>
      </w:r>
      <w:r w:rsidR="00DB1635" w:rsidRPr="00B004EE">
        <w:rPr>
          <w:rFonts w:ascii="Tahoma" w:hAnsi="Tahoma" w:cs="Tahoma"/>
          <w:sz w:val="20"/>
          <w:szCs w:val="20"/>
        </w:rPr>
        <w:t xml:space="preserve"> </w:t>
      </w:r>
      <w:r w:rsidRPr="00B004EE">
        <w:rPr>
          <w:rFonts w:ascii="Tahoma" w:hAnsi="Tahoma" w:cs="Tahoma"/>
          <w:sz w:val="20"/>
          <w:szCs w:val="20"/>
        </w:rPr>
        <w:t>chargé</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sz w:val="20"/>
          <w:szCs w:val="20"/>
        </w:rPr>
        <w:t xml:space="preserve"> </w:t>
      </w:r>
      <w:r w:rsidRPr="00B004EE">
        <w:rPr>
          <w:rFonts w:ascii="Tahoma" w:hAnsi="Tahoma" w:cs="Tahoma"/>
          <w:sz w:val="20"/>
          <w:szCs w:val="20"/>
        </w:rPr>
        <w:t>Elles</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déposées</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forme</w:t>
      </w:r>
      <w:r w:rsidR="00DB1635" w:rsidRPr="00B004EE">
        <w:rPr>
          <w:rFonts w:ascii="Tahoma" w:hAnsi="Tahoma" w:cs="Tahoma"/>
          <w:sz w:val="20"/>
          <w:szCs w:val="20"/>
        </w:rPr>
        <w:t xml:space="preserve"> </w:t>
      </w:r>
      <w:r w:rsidRPr="00B004EE">
        <w:rPr>
          <w:rFonts w:ascii="Tahoma" w:hAnsi="Tahoma" w:cs="Tahoma"/>
          <w:sz w:val="20"/>
          <w:szCs w:val="20"/>
        </w:rPr>
        <w:t>écrite,</w:t>
      </w:r>
      <w:r w:rsidR="00DB1635" w:rsidRPr="00B004EE">
        <w:rPr>
          <w:rFonts w:ascii="Tahoma" w:hAnsi="Tahoma" w:cs="Tahoma"/>
          <w:sz w:val="20"/>
          <w:szCs w:val="20"/>
        </w:rPr>
        <w:t xml:space="preserve"> </w:t>
      </w:r>
      <w:r w:rsidRPr="00B004EE">
        <w:rPr>
          <w:rFonts w:ascii="Tahoma" w:hAnsi="Tahoma" w:cs="Tahoma"/>
          <w:sz w:val="20"/>
          <w:szCs w:val="20"/>
        </w:rPr>
        <w:t>auprès</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services</w:t>
      </w:r>
      <w:r w:rsidR="00DB1635" w:rsidRPr="00B004EE">
        <w:rPr>
          <w:rFonts w:ascii="Tahoma" w:hAnsi="Tahoma" w:cs="Tahoma"/>
          <w:sz w:val="20"/>
          <w:szCs w:val="20"/>
        </w:rPr>
        <w:t xml:space="preserve"> </w:t>
      </w:r>
      <w:r w:rsidRPr="00B004EE">
        <w:rPr>
          <w:rFonts w:ascii="Tahoma" w:hAnsi="Tahoma" w:cs="Tahoma"/>
          <w:sz w:val="20"/>
          <w:szCs w:val="20"/>
        </w:rPr>
        <w:t>techniques</w:t>
      </w:r>
      <w:r w:rsidR="00DB1635" w:rsidRPr="00B004EE">
        <w:rPr>
          <w:rFonts w:ascii="Tahoma" w:hAnsi="Tahoma" w:cs="Tahoma"/>
          <w:sz w:val="20"/>
          <w:szCs w:val="20"/>
        </w:rPr>
        <w:t xml:space="preserve"> </w:t>
      </w:r>
      <w:r w:rsidRPr="00B004EE">
        <w:rPr>
          <w:rFonts w:ascii="Tahoma" w:hAnsi="Tahoma" w:cs="Tahoma"/>
          <w:sz w:val="20"/>
          <w:szCs w:val="20"/>
        </w:rPr>
        <w:t>compétents</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ministère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signées</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demandeur</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son</w:t>
      </w:r>
      <w:r w:rsidR="00DB1635" w:rsidRPr="00B004EE">
        <w:rPr>
          <w:rFonts w:ascii="Tahoma" w:hAnsi="Tahoma" w:cs="Tahoma"/>
          <w:sz w:val="20"/>
          <w:szCs w:val="20"/>
        </w:rPr>
        <w:t xml:space="preserve"> </w:t>
      </w:r>
      <w:r w:rsidRPr="00B004EE">
        <w:rPr>
          <w:rFonts w:ascii="Tahoma" w:hAnsi="Tahoma" w:cs="Tahoma"/>
          <w:sz w:val="20"/>
          <w:szCs w:val="20"/>
        </w:rPr>
        <w:t>mandataire.</w:t>
      </w:r>
      <w:r w:rsidR="00DB1635" w:rsidRPr="00B004EE">
        <w:rPr>
          <w:rFonts w:ascii="Tahoma" w:hAnsi="Tahoma" w:cs="Tahoma"/>
          <w:sz w:val="20"/>
          <w:szCs w:val="20"/>
        </w:rPr>
        <w:t xml:space="preserve"> </w:t>
      </w:r>
    </w:p>
    <w:p w14:paraId="2BCD9A28" w14:textId="77777777" w:rsidR="008518B0" w:rsidRPr="00B004EE" w:rsidRDefault="008518B0" w:rsidP="00B004EE">
      <w:pPr>
        <w:jc w:val="both"/>
        <w:rPr>
          <w:rFonts w:ascii="Tahoma" w:hAnsi="Tahoma" w:cs="Tahoma"/>
          <w:sz w:val="20"/>
          <w:szCs w:val="20"/>
        </w:rPr>
      </w:pPr>
    </w:p>
    <w:p w14:paraId="4EA36978" w14:textId="1368B519" w:rsidR="008518B0" w:rsidRPr="00B004EE" w:rsidRDefault="008518B0" w:rsidP="00B004EE">
      <w:pPr>
        <w:jc w:val="both"/>
        <w:rPr>
          <w:rFonts w:ascii="Tahoma" w:hAnsi="Tahoma" w:cs="Tahoma"/>
          <w:sz w:val="20"/>
          <w:szCs w:val="20"/>
        </w:rPr>
      </w:pP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recevable,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demande</w:t>
      </w:r>
      <w:r w:rsidR="00DB1635" w:rsidRPr="00B004EE">
        <w:rPr>
          <w:rFonts w:ascii="Tahoma" w:hAnsi="Tahoma" w:cs="Tahoma"/>
          <w:sz w:val="20"/>
          <w:szCs w:val="20"/>
        </w:rPr>
        <w:t xml:space="preserve"> </w:t>
      </w:r>
      <w:r w:rsidRPr="00B004EE">
        <w:rPr>
          <w:rFonts w:ascii="Tahoma" w:hAnsi="Tahoma" w:cs="Tahoma"/>
          <w:sz w:val="20"/>
          <w:szCs w:val="20"/>
        </w:rPr>
        <w:t>doit</w:t>
      </w:r>
      <w:r w:rsidR="00DB1635" w:rsidRPr="00B004EE">
        <w:rPr>
          <w:rFonts w:ascii="Tahoma" w:hAnsi="Tahoma" w:cs="Tahoma"/>
          <w:sz w:val="20"/>
          <w:szCs w:val="20"/>
        </w:rPr>
        <w:t xml:space="preserve"> </w:t>
      </w:r>
      <w:r w:rsidRPr="00B004EE">
        <w:rPr>
          <w:rFonts w:ascii="Tahoma" w:hAnsi="Tahoma" w:cs="Tahoma"/>
          <w:sz w:val="20"/>
          <w:szCs w:val="20"/>
        </w:rPr>
        <w:t>:</w:t>
      </w:r>
    </w:p>
    <w:p w14:paraId="6E12055F" w14:textId="616FA490" w:rsidR="008518B0" w:rsidRPr="00B004EE" w:rsidRDefault="008518B0" w:rsidP="00420DDA">
      <w:pPr>
        <w:numPr>
          <w:ilvl w:val="0"/>
          <w:numId w:val="63"/>
        </w:numPr>
        <w:ind w:left="426"/>
        <w:jc w:val="both"/>
        <w:rPr>
          <w:rFonts w:ascii="Tahoma" w:hAnsi="Tahoma" w:cs="Tahoma"/>
          <w:sz w:val="20"/>
          <w:szCs w:val="20"/>
        </w:rPr>
      </w:pPr>
      <w:proofErr w:type="gramStart"/>
      <w:r w:rsidRPr="00B004EE">
        <w:rPr>
          <w:rFonts w:ascii="Tahoma" w:hAnsi="Tahoma" w:cs="Tahoma"/>
          <w:sz w:val="20"/>
          <w:szCs w:val="20"/>
        </w:rPr>
        <w:t>comporter</w:t>
      </w:r>
      <w:proofErr w:type="gramEnd"/>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récépissé</w:t>
      </w:r>
      <w:r w:rsidR="00DB1635" w:rsidRPr="00B004EE">
        <w:rPr>
          <w:rFonts w:ascii="Tahoma" w:hAnsi="Tahoma" w:cs="Tahoma"/>
          <w:sz w:val="20"/>
          <w:szCs w:val="20"/>
        </w:rPr>
        <w:t xml:space="preserve"> </w:t>
      </w:r>
      <w:r w:rsidRPr="00B004EE">
        <w:rPr>
          <w:rFonts w:ascii="Tahoma" w:hAnsi="Tahoma" w:cs="Tahoma"/>
          <w:sz w:val="20"/>
          <w:szCs w:val="20"/>
        </w:rPr>
        <w:t>d’acquittement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droits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réception</w:t>
      </w:r>
      <w:r w:rsidR="00DB1635" w:rsidRPr="00B004EE">
        <w:rPr>
          <w:rFonts w:ascii="Tahoma" w:hAnsi="Tahoma" w:cs="Tahoma"/>
          <w:sz w:val="20"/>
          <w:szCs w:val="20"/>
        </w:rPr>
        <w:t xml:space="preserve"> </w:t>
      </w:r>
      <w:r w:rsidRPr="00B004EE">
        <w:rPr>
          <w:rFonts w:ascii="Tahoma" w:hAnsi="Tahoma" w:cs="Tahoma"/>
          <w:sz w:val="20"/>
          <w:szCs w:val="20"/>
        </w:rPr>
        <w:t>tel</w:t>
      </w:r>
      <w:r w:rsidR="00DB1635" w:rsidRPr="00B004EE">
        <w:rPr>
          <w:rFonts w:ascii="Tahoma" w:hAnsi="Tahoma" w:cs="Tahoma"/>
          <w:sz w:val="20"/>
          <w:szCs w:val="20"/>
        </w:rPr>
        <w:t xml:space="preserve"> </w:t>
      </w:r>
      <w:r w:rsidRPr="00B004EE">
        <w:rPr>
          <w:rFonts w:ascii="Tahoma" w:hAnsi="Tahoma" w:cs="Tahoma"/>
          <w:sz w:val="20"/>
          <w:szCs w:val="20"/>
        </w:rPr>
        <w:t>que</w:t>
      </w:r>
      <w:r w:rsidR="00DB1635" w:rsidRPr="00B004EE">
        <w:rPr>
          <w:rFonts w:ascii="Tahoma" w:hAnsi="Tahoma" w:cs="Tahoma"/>
          <w:sz w:val="20"/>
          <w:szCs w:val="20"/>
        </w:rPr>
        <w:t xml:space="preserve"> </w:t>
      </w:r>
      <w:r w:rsidRPr="00B004EE">
        <w:rPr>
          <w:rFonts w:ascii="Tahoma" w:hAnsi="Tahoma" w:cs="Tahoma"/>
          <w:sz w:val="20"/>
          <w:szCs w:val="20"/>
        </w:rPr>
        <w:t>fixé</w:t>
      </w:r>
      <w:r w:rsidR="00DB1635" w:rsidRPr="00B004EE">
        <w:rPr>
          <w:rFonts w:ascii="Tahoma" w:hAnsi="Tahoma" w:cs="Tahoma"/>
          <w:sz w:val="20"/>
          <w:szCs w:val="20"/>
        </w:rPr>
        <w:t xml:space="preserve"> </w:t>
      </w:r>
      <w:r w:rsidRPr="00B004EE">
        <w:rPr>
          <w:rFonts w:ascii="Tahoma" w:hAnsi="Tahoma" w:cs="Tahoma"/>
          <w:sz w:val="20"/>
          <w:szCs w:val="20"/>
        </w:rPr>
        <w:t>ci-</w:t>
      </w:r>
      <w:r w:rsidR="00401897" w:rsidRPr="00B004EE">
        <w:rPr>
          <w:rFonts w:ascii="Tahoma" w:hAnsi="Tahoma" w:cs="Tahoma"/>
          <w:sz w:val="20"/>
          <w:szCs w:val="20"/>
        </w:rPr>
        <w:t>dessous</w:t>
      </w:r>
      <w:r w:rsidR="00DB1635" w:rsidRPr="00B004EE">
        <w:rPr>
          <w:rFonts w:ascii="Tahoma" w:hAnsi="Tahoma" w:cs="Tahoma"/>
          <w:sz w:val="20"/>
          <w:szCs w:val="20"/>
        </w:rPr>
        <w:t xml:space="preserve"> </w:t>
      </w:r>
    </w:p>
    <w:p w14:paraId="4464F31D" w14:textId="6016F241" w:rsidR="008518B0" w:rsidRPr="00B004EE" w:rsidRDefault="008518B0" w:rsidP="00420DDA">
      <w:pPr>
        <w:numPr>
          <w:ilvl w:val="0"/>
          <w:numId w:val="63"/>
        </w:numPr>
        <w:ind w:left="426"/>
        <w:jc w:val="both"/>
        <w:rPr>
          <w:rFonts w:ascii="Tahoma" w:hAnsi="Tahoma" w:cs="Tahoma"/>
          <w:sz w:val="20"/>
          <w:szCs w:val="20"/>
        </w:rPr>
      </w:pPr>
      <w:proofErr w:type="gramStart"/>
      <w:r w:rsidRPr="00B004EE">
        <w:rPr>
          <w:rFonts w:ascii="Tahoma" w:hAnsi="Tahoma" w:cs="Tahoma"/>
          <w:sz w:val="20"/>
          <w:szCs w:val="20"/>
        </w:rPr>
        <w:t>préciser</w:t>
      </w:r>
      <w:proofErr w:type="gramEnd"/>
      <w:r w:rsidR="00DB1635" w:rsidRPr="00B004EE">
        <w:rPr>
          <w:rFonts w:ascii="Tahoma" w:hAnsi="Tahoma" w:cs="Tahoma"/>
          <w:sz w:val="20"/>
          <w:szCs w:val="20"/>
        </w:rPr>
        <w:t xml:space="preserve"> </w:t>
      </w:r>
      <w:r w:rsidRPr="00B004EE">
        <w:rPr>
          <w:rFonts w:ascii="Tahoma" w:hAnsi="Tahoma" w:cs="Tahoma"/>
          <w:sz w:val="20"/>
          <w:szCs w:val="20"/>
        </w:rPr>
        <w:t>l’identification,</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nationalité</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l’adresse</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demandeur</w:t>
      </w:r>
      <w:r w:rsidR="00DB1635" w:rsidRPr="00B004EE">
        <w:rPr>
          <w:rFonts w:ascii="Tahoma" w:hAnsi="Tahoma" w:cs="Tahoma"/>
          <w:sz w:val="20"/>
          <w:szCs w:val="20"/>
        </w:rPr>
        <w:t xml:space="preserve"> </w:t>
      </w:r>
      <w:r w:rsidRPr="00B004EE">
        <w:rPr>
          <w:rFonts w:ascii="Tahoma" w:hAnsi="Tahoma" w:cs="Tahoma"/>
          <w:sz w:val="20"/>
          <w:szCs w:val="20"/>
        </w:rPr>
        <w:t>;</w:t>
      </w:r>
    </w:p>
    <w:p w14:paraId="6FCF850F" w14:textId="77777777" w:rsidR="008518B0" w:rsidRPr="00B004EE" w:rsidRDefault="008518B0" w:rsidP="00B004EE">
      <w:pPr>
        <w:pStyle w:val="TxBrp2"/>
        <w:tabs>
          <w:tab w:val="clear" w:pos="204"/>
          <w:tab w:val="left" w:pos="426"/>
          <w:tab w:val="left" w:pos="9923"/>
        </w:tabs>
        <w:spacing w:line="240" w:lineRule="auto"/>
        <w:ind w:left="426" w:right="-1"/>
        <w:rPr>
          <w:rFonts w:ascii="Tahoma" w:hAnsi="Tahoma" w:cs="Tahoma"/>
          <w:sz w:val="20"/>
          <w:lang w:val="fr-FR"/>
        </w:rPr>
      </w:pPr>
    </w:p>
    <w:p w14:paraId="07309560" w14:textId="648CB94A" w:rsidR="008518B0" w:rsidRPr="00B004EE" w:rsidRDefault="008518B0" w:rsidP="00B004EE">
      <w:pPr>
        <w:pStyle w:val="TxBrp2"/>
        <w:tabs>
          <w:tab w:val="clear" w:pos="204"/>
          <w:tab w:val="left" w:pos="426"/>
          <w:tab w:val="left" w:pos="9923"/>
        </w:tabs>
        <w:spacing w:line="240" w:lineRule="auto"/>
        <w:ind w:left="66" w:right="-1"/>
        <w:rPr>
          <w:rFonts w:ascii="Tahoma" w:hAnsi="Tahoma" w:cs="Tahoma"/>
          <w:sz w:val="20"/>
          <w:lang w:val="fr-FR"/>
        </w:rPr>
      </w:pPr>
      <w:r w:rsidRPr="00B004EE">
        <w:rPr>
          <w:rFonts w:ascii="Tahoma" w:hAnsi="Tahoma" w:cs="Tahoma"/>
          <w:sz w:val="20"/>
          <w:lang w:val="fr-FR"/>
        </w:rPr>
        <w:t>Le</w:t>
      </w:r>
      <w:r w:rsidR="00DB1635" w:rsidRPr="00B004EE">
        <w:rPr>
          <w:rFonts w:ascii="Tahoma" w:hAnsi="Tahoma" w:cs="Tahoma"/>
          <w:sz w:val="20"/>
          <w:lang w:val="fr-FR"/>
        </w:rPr>
        <w:t xml:space="preserve"> </w:t>
      </w:r>
      <w:r w:rsidRPr="00B004EE">
        <w:rPr>
          <w:rFonts w:ascii="Tahoma" w:hAnsi="Tahoma" w:cs="Tahoma"/>
          <w:sz w:val="20"/>
          <w:lang w:val="fr-FR"/>
        </w:rPr>
        <w:t>demandeur</w:t>
      </w:r>
      <w:r w:rsidR="00DB1635" w:rsidRPr="00B004EE">
        <w:rPr>
          <w:rFonts w:ascii="Tahoma" w:hAnsi="Tahoma" w:cs="Tahoma"/>
          <w:sz w:val="20"/>
          <w:lang w:val="fr-FR"/>
        </w:rPr>
        <w:t xml:space="preserve"> </w:t>
      </w:r>
      <w:r w:rsidRPr="00B004EE">
        <w:rPr>
          <w:rFonts w:ascii="Tahoma" w:hAnsi="Tahoma" w:cs="Tahoma"/>
          <w:sz w:val="20"/>
          <w:lang w:val="fr-FR"/>
        </w:rPr>
        <w:t>doit</w:t>
      </w:r>
      <w:r w:rsidR="00DB1635" w:rsidRPr="00B004EE">
        <w:rPr>
          <w:rFonts w:ascii="Tahoma" w:hAnsi="Tahoma" w:cs="Tahoma"/>
          <w:sz w:val="20"/>
          <w:lang w:val="fr-FR"/>
        </w:rPr>
        <w:t xml:space="preserve"> </w:t>
      </w:r>
      <w:r w:rsidRPr="00B004EE">
        <w:rPr>
          <w:rFonts w:ascii="Tahoma" w:hAnsi="Tahoma" w:cs="Tahoma"/>
          <w:sz w:val="20"/>
          <w:lang w:val="fr-FR"/>
        </w:rPr>
        <w:t>spécifier</w:t>
      </w:r>
      <w:r w:rsidR="00DB1635" w:rsidRPr="00B004EE">
        <w:rPr>
          <w:rFonts w:ascii="Tahoma" w:hAnsi="Tahoma" w:cs="Tahoma"/>
          <w:sz w:val="20"/>
          <w:lang w:val="fr-FR"/>
        </w:rPr>
        <w:t xml:space="preserve"> </w:t>
      </w:r>
      <w:r w:rsidRPr="00B004EE">
        <w:rPr>
          <w:rFonts w:ascii="Tahoma" w:hAnsi="Tahoma" w:cs="Tahoma"/>
          <w:sz w:val="20"/>
          <w:lang w:val="fr-FR"/>
        </w:rPr>
        <w:t>les</w:t>
      </w:r>
      <w:r w:rsidR="00DB1635" w:rsidRPr="00B004EE">
        <w:rPr>
          <w:rFonts w:ascii="Tahoma" w:hAnsi="Tahoma" w:cs="Tahoma"/>
          <w:sz w:val="20"/>
          <w:lang w:val="fr-FR"/>
        </w:rPr>
        <w:t xml:space="preserve"> </w:t>
      </w:r>
      <w:r w:rsidRPr="00B004EE">
        <w:rPr>
          <w:rFonts w:ascii="Tahoma" w:hAnsi="Tahoma" w:cs="Tahoma"/>
          <w:sz w:val="20"/>
          <w:lang w:val="fr-FR"/>
        </w:rPr>
        <w:t>éléments</w:t>
      </w:r>
      <w:r w:rsidR="00DB1635" w:rsidRPr="00B004EE">
        <w:rPr>
          <w:rFonts w:ascii="Tahoma" w:hAnsi="Tahoma" w:cs="Tahoma"/>
          <w:sz w:val="20"/>
          <w:lang w:val="fr-FR"/>
        </w:rPr>
        <w:t xml:space="preserve"> </w:t>
      </w:r>
      <w:r w:rsidRPr="00B004EE">
        <w:rPr>
          <w:rFonts w:ascii="Tahoma" w:hAnsi="Tahoma" w:cs="Tahoma"/>
          <w:sz w:val="20"/>
          <w:lang w:val="fr-FR"/>
        </w:rPr>
        <w:t>d’informations</w:t>
      </w:r>
      <w:r w:rsidR="00DB1635" w:rsidRPr="00B004EE">
        <w:rPr>
          <w:rFonts w:ascii="Tahoma" w:hAnsi="Tahoma" w:cs="Tahoma"/>
          <w:sz w:val="20"/>
          <w:lang w:val="fr-FR"/>
        </w:rPr>
        <w:t xml:space="preserve"> </w:t>
      </w:r>
      <w:r w:rsidRPr="00B004EE">
        <w:rPr>
          <w:rFonts w:ascii="Tahoma" w:hAnsi="Tahoma" w:cs="Tahoma"/>
          <w:sz w:val="20"/>
          <w:lang w:val="fr-FR"/>
        </w:rPr>
        <w:t>suivants</w:t>
      </w:r>
      <w:r w:rsidR="00DB1635" w:rsidRPr="00B004EE">
        <w:rPr>
          <w:rFonts w:ascii="Tahoma" w:hAnsi="Tahoma" w:cs="Tahoma"/>
          <w:sz w:val="20"/>
          <w:lang w:val="fr-FR"/>
        </w:rPr>
        <w:t xml:space="preserve"> </w:t>
      </w:r>
      <w:r w:rsidRPr="00B004EE">
        <w:rPr>
          <w:rFonts w:ascii="Tahoma" w:hAnsi="Tahoma" w:cs="Tahoma"/>
          <w:sz w:val="20"/>
          <w:lang w:val="fr-FR"/>
        </w:rPr>
        <w:t>:</w:t>
      </w:r>
      <w:r w:rsidR="00DB1635" w:rsidRPr="00B004EE">
        <w:rPr>
          <w:rFonts w:ascii="Tahoma" w:hAnsi="Tahoma" w:cs="Tahoma"/>
          <w:sz w:val="20"/>
          <w:lang w:val="fr-FR"/>
        </w:rPr>
        <w:t xml:space="preserve"> </w:t>
      </w:r>
    </w:p>
    <w:p w14:paraId="28B439DA" w14:textId="624E8B94" w:rsidR="008518B0" w:rsidRPr="00B004EE" w:rsidRDefault="008518B0" w:rsidP="00420DDA">
      <w:pPr>
        <w:pStyle w:val="TxBrp2"/>
        <w:numPr>
          <w:ilvl w:val="0"/>
          <w:numId w:val="58"/>
        </w:numPr>
        <w:tabs>
          <w:tab w:val="clear" w:pos="204"/>
          <w:tab w:val="clear" w:pos="1776"/>
          <w:tab w:val="left" w:pos="426"/>
          <w:tab w:val="left" w:pos="9923"/>
        </w:tabs>
        <w:spacing w:line="240" w:lineRule="auto"/>
        <w:ind w:left="426" w:right="-1"/>
        <w:rPr>
          <w:rFonts w:ascii="Tahoma" w:hAnsi="Tahoma" w:cs="Tahoma"/>
          <w:sz w:val="20"/>
          <w:lang w:val="fr-FR"/>
        </w:rPr>
      </w:pPr>
      <w:proofErr w:type="gramStart"/>
      <w:r w:rsidRPr="00B004EE">
        <w:rPr>
          <w:rFonts w:ascii="Tahoma" w:hAnsi="Tahoma" w:cs="Tahoma"/>
          <w:sz w:val="20"/>
          <w:lang w:val="fr-FR"/>
        </w:rPr>
        <w:t>l'espèce</w:t>
      </w:r>
      <w:proofErr w:type="gramEnd"/>
      <w:r w:rsidR="00DB1635" w:rsidRPr="00B004EE">
        <w:rPr>
          <w:rFonts w:ascii="Tahoma" w:hAnsi="Tahoma" w:cs="Tahoma"/>
          <w:sz w:val="20"/>
          <w:lang w:val="fr-FR"/>
        </w:rPr>
        <w:t xml:space="preserve"> </w:t>
      </w:r>
      <w:r w:rsidRPr="00B004EE">
        <w:rPr>
          <w:rFonts w:ascii="Tahoma" w:hAnsi="Tahoma" w:cs="Tahoma"/>
          <w:sz w:val="20"/>
          <w:lang w:val="fr-FR"/>
        </w:rPr>
        <w:t>ou</w:t>
      </w:r>
      <w:r w:rsidR="00DB1635" w:rsidRPr="00B004EE">
        <w:rPr>
          <w:rFonts w:ascii="Tahoma" w:hAnsi="Tahoma" w:cs="Tahoma"/>
          <w:sz w:val="20"/>
          <w:lang w:val="fr-FR"/>
        </w:rPr>
        <w:t xml:space="preserve"> </w:t>
      </w:r>
      <w:r w:rsidRPr="00B004EE">
        <w:rPr>
          <w:rFonts w:ascii="Tahoma" w:hAnsi="Tahoma" w:cs="Tahoma"/>
          <w:sz w:val="20"/>
          <w:lang w:val="fr-FR"/>
        </w:rPr>
        <w:t>groupe</w:t>
      </w:r>
      <w:r w:rsidR="00DB1635" w:rsidRPr="00B004EE">
        <w:rPr>
          <w:rFonts w:ascii="Tahoma" w:hAnsi="Tahoma" w:cs="Tahoma"/>
          <w:sz w:val="20"/>
          <w:lang w:val="fr-FR"/>
        </w:rPr>
        <w:t xml:space="preserve"> </w:t>
      </w:r>
      <w:r w:rsidRPr="00B004EE">
        <w:rPr>
          <w:rFonts w:ascii="Tahoma" w:hAnsi="Tahoma" w:cs="Tahoma"/>
          <w:sz w:val="20"/>
          <w:lang w:val="fr-FR"/>
        </w:rPr>
        <w:t>d’espèces</w:t>
      </w:r>
      <w:r w:rsidR="00DB1635" w:rsidRPr="00B004EE">
        <w:rPr>
          <w:rFonts w:ascii="Tahoma" w:hAnsi="Tahoma" w:cs="Tahoma"/>
          <w:sz w:val="20"/>
          <w:lang w:val="fr-FR"/>
        </w:rPr>
        <w:t xml:space="preserve"> </w:t>
      </w:r>
      <w:r w:rsidRPr="00B004EE">
        <w:rPr>
          <w:rFonts w:ascii="Tahoma" w:hAnsi="Tahoma" w:cs="Tahoma"/>
          <w:sz w:val="20"/>
          <w:lang w:val="fr-FR"/>
        </w:rPr>
        <w:t>ciblées</w:t>
      </w:r>
      <w:r w:rsidR="00DB1635" w:rsidRPr="00B004EE">
        <w:rPr>
          <w:rFonts w:ascii="Tahoma" w:hAnsi="Tahoma" w:cs="Tahoma"/>
          <w:sz w:val="20"/>
          <w:lang w:val="fr-FR"/>
        </w:rPr>
        <w:t xml:space="preserve"> </w:t>
      </w:r>
      <w:r w:rsidRPr="00B004EE">
        <w:rPr>
          <w:rFonts w:ascii="Tahoma" w:hAnsi="Tahoma" w:cs="Tahoma"/>
          <w:sz w:val="20"/>
          <w:lang w:val="fr-FR"/>
        </w:rPr>
        <w:t>;</w:t>
      </w:r>
      <w:r w:rsidR="00DB1635" w:rsidRPr="00B004EE">
        <w:rPr>
          <w:rFonts w:ascii="Tahoma" w:hAnsi="Tahoma" w:cs="Tahoma"/>
          <w:sz w:val="20"/>
          <w:lang w:val="fr-FR"/>
        </w:rPr>
        <w:t xml:space="preserve"> </w:t>
      </w:r>
    </w:p>
    <w:p w14:paraId="251C1792" w14:textId="0D7E5FAE" w:rsidR="008518B0" w:rsidRPr="00B004EE" w:rsidRDefault="008518B0" w:rsidP="00420DDA">
      <w:pPr>
        <w:pStyle w:val="TxBrp2"/>
        <w:numPr>
          <w:ilvl w:val="0"/>
          <w:numId w:val="58"/>
        </w:numPr>
        <w:tabs>
          <w:tab w:val="clear" w:pos="204"/>
          <w:tab w:val="clear" w:pos="1776"/>
          <w:tab w:val="left" w:pos="426"/>
          <w:tab w:val="left" w:pos="9923"/>
        </w:tabs>
        <w:spacing w:line="240" w:lineRule="auto"/>
        <w:ind w:left="426" w:right="-1"/>
        <w:rPr>
          <w:rFonts w:ascii="Tahoma" w:hAnsi="Tahoma" w:cs="Tahoma"/>
          <w:sz w:val="20"/>
          <w:lang w:val="fr-FR"/>
        </w:rPr>
      </w:pPr>
      <w:proofErr w:type="gramStart"/>
      <w:r w:rsidRPr="00B004EE">
        <w:rPr>
          <w:rFonts w:ascii="Tahoma" w:hAnsi="Tahoma" w:cs="Tahoma"/>
          <w:sz w:val="20"/>
          <w:lang w:val="fr-FR"/>
        </w:rPr>
        <w:t>le</w:t>
      </w:r>
      <w:proofErr w:type="gramEnd"/>
      <w:r w:rsidR="00DB1635" w:rsidRPr="00B004EE">
        <w:rPr>
          <w:rFonts w:ascii="Tahoma" w:hAnsi="Tahoma" w:cs="Tahoma"/>
          <w:sz w:val="20"/>
          <w:lang w:val="fr-FR"/>
        </w:rPr>
        <w:t xml:space="preserve"> </w:t>
      </w:r>
      <w:r w:rsidRPr="00B004EE">
        <w:rPr>
          <w:rFonts w:ascii="Tahoma" w:hAnsi="Tahoma" w:cs="Tahoma"/>
          <w:sz w:val="20"/>
          <w:lang w:val="fr-FR"/>
        </w:rPr>
        <w:t>support</w:t>
      </w:r>
      <w:r w:rsidR="00DB1635" w:rsidRPr="00B004EE">
        <w:rPr>
          <w:rFonts w:ascii="Tahoma" w:hAnsi="Tahoma" w:cs="Tahoma"/>
          <w:sz w:val="20"/>
          <w:lang w:val="fr-FR"/>
        </w:rPr>
        <w:t xml:space="preserve"> </w:t>
      </w:r>
      <w:r w:rsidRPr="00B004EE">
        <w:rPr>
          <w:rFonts w:ascii="Tahoma" w:hAnsi="Tahoma" w:cs="Tahoma"/>
          <w:sz w:val="20"/>
          <w:lang w:val="fr-FR"/>
        </w:rPr>
        <w:t>du</w:t>
      </w:r>
      <w:r w:rsidR="00DB1635" w:rsidRPr="00B004EE">
        <w:rPr>
          <w:rFonts w:ascii="Tahoma" w:hAnsi="Tahoma" w:cs="Tahoma"/>
          <w:sz w:val="20"/>
          <w:lang w:val="fr-FR"/>
        </w:rPr>
        <w:t xml:space="preserve"> </w:t>
      </w:r>
      <w:r w:rsidRPr="00B004EE">
        <w:rPr>
          <w:rFonts w:ascii="Tahoma" w:hAnsi="Tahoma" w:cs="Tahoma"/>
          <w:sz w:val="20"/>
          <w:lang w:val="fr-FR"/>
        </w:rPr>
        <w:t>droit</w:t>
      </w:r>
      <w:r w:rsidR="00DB1635" w:rsidRPr="00B004EE">
        <w:rPr>
          <w:rFonts w:ascii="Tahoma" w:hAnsi="Tahoma" w:cs="Tahoma"/>
          <w:sz w:val="20"/>
          <w:lang w:val="fr-FR"/>
        </w:rPr>
        <w:t xml:space="preserve"> </w:t>
      </w:r>
      <w:r w:rsidRPr="00B004EE">
        <w:rPr>
          <w:rFonts w:ascii="Tahoma" w:hAnsi="Tahoma" w:cs="Tahoma"/>
          <w:sz w:val="20"/>
          <w:lang w:val="fr-FR"/>
        </w:rPr>
        <w:t>d'usage</w:t>
      </w:r>
      <w:r w:rsidR="00DB1635" w:rsidRPr="00B004EE">
        <w:rPr>
          <w:rFonts w:ascii="Tahoma" w:hAnsi="Tahoma" w:cs="Tahoma"/>
          <w:sz w:val="20"/>
          <w:lang w:val="fr-FR"/>
        </w:rPr>
        <w:t xml:space="preserve"> </w:t>
      </w:r>
      <w:r w:rsidRPr="00B004EE">
        <w:rPr>
          <w:rFonts w:ascii="Tahoma" w:hAnsi="Tahoma" w:cs="Tahoma"/>
          <w:sz w:val="20"/>
          <w:lang w:val="fr-FR"/>
        </w:rPr>
        <w:t>:</w:t>
      </w:r>
      <w:r w:rsidR="00DB1635" w:rsidRPr="00B004EE">
        <w:rPr>
          <w:rFonts w:ascii="Tahoma" w:hAnsi="Tahoma" w:cs="Tahoma"/>
          <w:sz w:val="20"/>
          <w:lang w:val="fr-FR"/>
        </w:rPr>
        <w:t xml:space="preserve"> </w:t>
      </w:r>
      <w:r w:rsidRPr="00B004EE">
        <w:rPr>
          <w:rFonts w:ascii="Tahoma" w:hAnsi="Tahoma" w:cs="Tahoma"/>
          <w:sz w:val="20"/>
          <w:lang w:val="fr-FR"/>
        </w:rPr>
        <w:t>contingentement</w:t>
      </w:r>
      <w:r w:rsidR="00DB1635" w:rsidRPr="00B004EE">
        <w:rPr>
          <w:rFonts w:ascii="Tahoma" w:hAnsi="Tahoma" w:cs="Tahoma"/>
          <w:sz w:val="20"/>
          <w:lang w:val="fr-FR"/>
        </w:rPr>
        <w:t xml:space="preserve"> </w:t>
      </w:r>
      <w:r w:rsidRPr="00B004EE">
        <w:rPr>
          <w:rFonts w:ascii="Tahoma" w:hAnsi="Tahoma" w:cs="Tahoma"/>
          <w:sz w:val="20"/>
          <w:lang w:val="fr-FR"/>
        </w:rPr>
        <w:t>(quantité),</w:t>
      </w:r>
      <w:r w:rsidR="00DB1635" w:rsidRPr="00B004EE">
        <w:rPr>
          <w:rFonts w:ascii="Tahoma" w:hAnsi="Tahoma" w:cs="Tahoma"/>
          <w:sz w:val="20"/>
          <w:lang w:val="fr-FR"/>
        </w:rPr>
        <w:t xml:space="preserve"> </w:t>
      </w:r>
      <w:r w:rsidRPr="00B004EE">
        <w:rPr>
          <w:rFonts w:ascii="Tahoma" w:hAnsi="Tahoma" w:cs="Tahoma"/>
          <w:sz w:val="20"/>
          <w:lang w:val="fr-FR"/>
        </w:rPr>
        <w:t>nature</w:t>
      </w:r>
      <w:r w:rsidR="00DB1635" w:rsidRPr="00B004EE">
        <w:rPr>
          <w:rFonts w:ascii="Tahoma" w:hAnsi="Tahoma" w:cs="Tahoma"/>
          <w:sz w:val="20"/>
          <w:lang w:val="fr-FR"/>
        </w:rPr>
        <w:t xml:space="preserve"> </w:t>
      </w:r>
      <w:r w:rsidRPr="00B004EE">
        <w:rPr>
          <w:rFonts w:ascii="Tahoma" w:hAnsi="Tahoma" w:cs="Tahoma"/>
          <w:sz w:val="20"/>
          <w:lang w:val="fr-FR"/>
        </w:rPr>
        <w:t>de</w:t>
      </w:r>
      <w:r w:rsidR="00DB1635" w:rsidRPr="00B004EE">
        <w:rPr>
          <w:rFonts w:ascii="Tahoma" w:hAnsi="Tahoma" w:cs="Tahoma"/>
          <w:sz w:val="20"/>
          <w:lang w:val="fr-FR"/>
        </w:rPr>
        <w:t xml:space="preserve"> </w:t>
      </w:r>
      <w:r w:rsidRPr="00B004EE">
        <w:rPr>
          <w:rFonts w:ascii="Tahoma" w:hAnsi="Tahoma" w:cs="Tahoma"/>
          <w:sz w:val="20"/>
          <w:lang w:val="fr-FR"/>
        </w:rPr>
        <w:t>l'effort/moyens</w:t>
      </w:r>
      <w:r w:rsidR="00DB1635" w:rsidRPr="00B004EE">
        <w:rPr>
          <w:rFonts w:ascii="Tahoma" w:hAnsi="Tahoma" w:cs="Tahoma"/>
          <w:sz w:val="20"/>
          <w:lang w:val="fr-FR"/>
        </w:rPr>
        <w:t xml:space="preserve"> </w:t>
      </w:r>
      <w:r w:rsidRPr="00B004EE">
        <w:rPr>
          <w:rFonts w:ascii="Tahoma" w:hAnsi="Tahoma" w:cs="Tahoma"/>
          <w:sz w:val="20"/>
          <w:lang w:val="fr-FR"/>
        </w:rPr>
        <w:t>d’exploitation,</w:t>
      </w:r>
      <w:r w:rsidR="00DB1635" w:rsidRPr="00B004EE">
        <w:rPr>
          <w:rFonts w:ascii="Tahoma" w:hAnsi="Tahoma" w:cs="Tahoma"/>
          <w:sz w:val="20"/>
          <w:lang w:val="fr-FR"/>
        </w:rPr>
        <w:t xml:space="preserve"> </w:t>
      </w:r>
      <w:r w:rsidRPr="00B004EE">
        <w:rPr>
          <w:rFonts w:ascii="Tahoma" w:hAnsi="Tahoma" w:cs="Tahoma"/>
          <w:sz w:val="20"/>
          <w:lang w:val="fr-FR"/>
        </w:rPr>
        <w:t>zone;</w:t>
      </w:r>
    </w:p>
    <w:p w14:paraId="41C0F86E" w14:textId="617E5A15" w:rsidR="008518B0" w:rsidRPr="00B004EE" w:rsidRDefault="008518B0" w:rsidP="00420DDA">
      <w:pPr>
        <w:pStyle w:val="TxBrp2"/>
        <w:numPr>
          <w:ilvl w:val="0"/>
          <w:numId w:val="58"/>
        </w:numPr>
        <w:tabs>
          <w:tab w:val="clear" w:pos="204"/>
          <w:tab w:val="clear" w:pos="1776"/>
          <w:tab w:val="left" w:pos="426"/>
          <w:tab w:val="left" w:pos="9923"/>
        </w:tabs>
        <w:spacing w:line="240" w:lineRule="auto"/>
        <w:ind w:left="426" w:right="-1"/>
        <w:rPr>
          <w:rFonts w:ascii="Tahoma" w:hAnsi="Tahoma" w:cs="Tahoma"/>
          <w:sz w:val="20"/>
          <w:lang w:val="fr-FR"/>
        </w:rPr>
      </w:pPr>
      <w:proofErr w:type="gramStart"/>
      <w:r w:rsidRPr="00B004EE">
        <w:rPr>
          <w:rFonts w:ascii="Tahoma" w:hAnsi="Tahoma" w:cs="Tahoma"/>
          <w:sz w:val="20"/>
          <w:lang w:val="fr-FR"/>
        </w:rPr>
        <w:t>le</w:t>
      </w:r>
      <w:proofErr w:type="gramEnd"/>
      <w:r w:rsidR="00DB1635" w:rsidRPr="00B004EE">
        <w:rPr>
          <w:rFonts w:ascii="Tahoma" w:hAnsi="Tahoma" w:cs="Tahoma"/>
          <w:sz w:val="20"/>
          <w:lang w:val="fr-FR"/>
        </w:rPr>
        <w:t xml:space="preserve"> </w:t>
      </w:r>
      <w:r w:rsidRPr="00B004EE">
        <w:rPr>
          <w:rFonts w:ascii="Tahoma" w:hAnsi="Tahoma" w:cs="Tahoma"/>
          <w:sz w:val="20"/>
          <w:lang w:val="fr-FR"/>
        </w:rPr>
        <w:t>ou</w:t>
      </w:r>
      <w:r w:rsidR="00DB1635" w:rsidRPr="00B004EE">
        <w:rPr>
          <w:rFonts w:ascii="Tahoma" w:hAnsi="Tahoma" w:cs="Tahoma"/>
          <w:sz w:val="20"/>
          <w:lang w:val="fr-FR"/>
        </w:rPr>
        <w:t xml:space="preserve"> </w:t>
      </w:r>
      <w:r w:rsidRPr="00B004EE">
        <w:rPr>
          <w:rFonts w:ascii="Tahoma" w:hAnsi="Tahoma" w:cs="Tahoma"/>
          <w:sz w:val="20"/>
          <w:lang w:val="fr-FR"/>
        </w:rPr>
        <w:t>les</w:t>
      </w:r>
      <w:r w:rsidR="00DB1635" w:rsidRPr="00B004EE">
        <w:rPr>
          <w:rFonts w:ascii="Tahoma" w:hAnsi="Tahoma" w:cs="Tahoma"/>
          <w:sz w:val="20"/>
          <w:lang w:val="fr-FR"/>
        </w:rPr>
        <w:t xml:space="preserve"> </w:t>
      </w:r>
      <w:r w:rsidRPr="00B004EE">
        <w:rPr>
          <w:rFonts w:ascii="Tahoma" w:hAnsi="Tahoma" w:cs="Tahoma"/>
          <w:sz w:val="20"/>
          <w:lang w:val="fr-FR"/>
        </w:rPr>
        <w:t>navire</w:t>
      </w:r>
      <w:r w:rsidR="00DB1635" w:rsidRPr="00B004EE">
        <w:rPr>
          <w:rFonts w:ascii="Tahoma" w:hAnsi="Tahoma" w:cs="Tahoma"/>
          <w:sz w:val="20"/>
          <w:lang w:val="fr-FR"/>
        </w:rPr>
        <w:t xml:space="preserve"> </w:t>
      </w:r>
      <w:r w:rsidRPr="00B004EE">
        <w:rPr>
          <w:rFonts w:ascii="Tahoma" w:hAnsi="Tahoma" w:cs="Tahoma"/>
          <w:sz w:val="20"/>
          <w:lang w:val="fr-FR"/>
        </w:rPr>
        <w:t>(s)</w:t>
      </w:r>
      <w:r w:rsidR="00DB1635" w:rsidRPr="00B004EE">
        <w:rPr>
          <w:rFonts w:ascii="Tahoma" w:hAnsi="Tahoma" w:cs="Tahoma"/>
          <w:sz w:val="20"/>
          <w:lang w:val="fr-FR"/>
        </w:rPr>
        <w:t xml:space="preserve"> </w:t>
      </w:r>
      <w:r w:rsidRPr="00B004EE">
        <w:rPr>
          <w:rFonts w:ascii="Tahoma" w:hAnsi="Tahoma" w:cs="Tahoma"/>
          <w:sz w:val="20"/>
          <w:lang w:val="fr-FR"/>
        </w:rPr>
        <w:t>dont</w:t>
      </w:r>
      <w:r w:rsidR="00DB1635" w:rsidRPr="00B004EE">
        <w:rPr>
          <w:rFonts w:ascii="Tahoma" w:hAnsi="Tahoma" w:cs="Tahoma"/>
          <w:sz w:val="20"/>
          <w:lang w:val="fr-FR"/>
        </w:rPr>
        <w:t xml:space="preserve"> </w:t>
      </w:r>
      <w:r w:rsidRPr="00B004EE">
        <w:rPr>
          <w:rFonts w:ascii="Tahoma" w:hAnsi="Tahoma" w:cs="Tahoma"/>
          <w:sz w:val="20"/>
          <w:lang w:val="fr-FR"/>
        </w:rPr>
        <w:t>l’utilisation</w:t>
      </w:r>
      <w:r w:rsidR="00DB1635" w:rsidRPr="00B004EE">
        <w:rPr>
          <w:rFonts w:ascii="Tahoma" w:hAnsi="Tahoma" w:cs="Tahoma"/>
          <w:sz w:val="20"/>
          <w:lang w:val="fr-FR"/>
        </w:rPr>
        <w:t xml:space="preserve"> </w:t>
      </w:r>
      <w:r w:rsidRPr="00B004EE">
        <w:rPr>
          <w:rFonts w:ascii="Tahoma" w:hAnsi="Tahoma" w:cs="Tahoma"/>
          <w:sz w:val="20"/>
          <w:lang w:val="fr-FR"/>
        </w:rPr>
        <w:t>est</w:t>
      </w:r>
      <w:r w:rsidR="00DB1635" w:rsidRPr="00B004EE">
        <w:rPr>
          <w:rFonts w:ascii="Tahoma" w:hAnsi="Tahoma" w:cs="Tahoma"/>
          <w:sz w:val="20"/>
          <w:lang w:val="fr-FR"/>
        </w:rPr>
        <w:t xml:space="preserve"> </w:t>
      </w:r>
      <w:r w:rsidRPr="00B004EE">
        <w:rPr>
          <w:rFonts w:ascii="Tahoma" w:hAnsi="Tahoma" w:cs="Tahoma"/>
          <w:sz w:val="20"/>
          <w:lang w:val="fr-FR"/>
        </w:rPr>
        <w:t>envisagée</w:t>
      </w:r>
      <w:r w:rsidR="00DB1635" w:rsidRPr="00B004EE">
        <w:rPr>
          <w:rFonts w:ascii="Tahoma" w:hAnsi="Tahoma" w:cs="Tahoma"/>
          <w:sz w:val="20"/>
          <w:lang w:val="fr-FR"/>
        </w:rPr>
        <w:t xml:space="preserve"> </w:t>
      </w:r>
      <w:r w:rsidRPr="00B004EE">
        <w:rPr>
          <w:rFonts w:ascii="Tahoma" w:hAnsi="Tahoma" w:cs="Tahoma"/>
          <w:sz w:val="20"/>
          <w:lang w:val="fr-FR"/>
        </w:rPr>
        <w:t>;</w:t>
      </w:r>
    </w:p>
    <w:p w14:paraId="23077D3D" w14:textId="4B39FBC3" w:rsidR="008518B0" w:rsidRPr="00B004EE" w:rsidRDefault="008518B0" w:rsidP="00420DDA">
      <w:pPr>
        <w:pStyle w:val="TxBrp2"/>
        <w:numPr>
          <w:ilvl w:val="0"/>
          <w:numId w:val="58"/>
        </w:numPr>
        <w:tabs>
          <w:tab w:val="clear" w:pos="204"/>
          <w:tab w:val="clear" w:pos="1776"/>
          <w:tab w:val="left" w:pos="426"/>
          <w:tab w:val="left" w:pos="9923"/>
        </w:tabs>
        <w:spacing w:line="240" w:lineRule="auto"/>
        <w:ind w:left="426" w:right="-1"/>
        <w:rPr>
          <w:rFonts w:ascii="Tahoma" w:hAnsi="Tahoma" w:cs="Tahoma"/>
          <w:sz w:val="20"/>
          <w:lang w:val="fr-FR"/>
        </w:rPr>
      </w:pPr>
      <w:proofErr w:type="gramStart"/>
      <w:r w:rsidRPr="00B004EE">
        <w:rPr>
          <w:rFonts w:ascii="Tahoma" w:hAnsi="Tahoma" w:cs="Tahoma"/>
          <w:sz w:val="20"/>
          <w:lang w:val="fr-FR"/>
        </w:rPr>
        <w:t>la</w:t>
      </w:r>
      <w:proofErr w:type="gramEnd"/>
      <w:r w:rsidR="00DB1635" w:rsidRPr="00B004EE">
        <w:rPr>
          <w:rFonts w:ascii="Tahoma" w:hAnsi="Tahoma" w:cs="Tahoma"/>
          <w:sz w:val="20"/>
          <w:lang w:val="fr-FR"/>
        </w:rPr>
        <w:t xml:space="preserve"> </w:t>
      </w:r>
      <w:r w:rsidRPr="00B004EE">
        <w:rPr>
          <w:rFonts w:ascii="Tahoma" w:hAnsi="Tahoma" w:cs="Tahoma"/>
          <w:sz w:val="20"/>
          <w:lang w:val="fr-FR"/>
        </w:rPr>
        <w:t>catégorie</w:t>
      </w:r>
      <w:r w:rsidR="00DB1635" w:rsidRPr="00B004EE">
        <w:rPr>
          <w:rFonts w:ascii="Tahoma" w:hAnsi="Tahoma" w:cs="Tahoma"/>
          <w:sz w:val="20"/>
          <w:lang w:val="fr-FR"/>
        </w:rPr>
        <w:t xml:space="preserve"> </w:t>
      </w:r>
      <w:r w:rsidRPr="00B004EE">
        <w:rPr>
          <w:rFonts w:ascii="Tahoma" w:hAnsi="Tahoma" w:cs="Tahoma"/>
          <w:sz w:val="20"/>
          <w:lang w:val="fr-FR"/>
        </w:rPr>
        <w:t>de</w:t>
      </w:r>
      <w:r w:rsidR="00DB1635" w:rsidRPr="00B004EE">
        <w:rPr>
          <w:rFonts w:ascii="Tahoma" w:hAnsi="Tahoma" w:cs="Tahoma"/>
          <w:sz w:val="20"/>
          <w:lang w:val="fr-FR"/>
        </w:rPr>
        <w:t xml:space="preserve"> </w:t>
      </w:r>
      <w:r w:rsidRPr="00B004EE">
        <w:rPr>
          <w:rFonts w:ascii="Tahoma" w:hAnsi="Tahoma" w:cs="Tahoma"/>
          <w:sz w:val="20"/>
          <w:lang w:val="fr-FR"/>
        </w:rPr>
        <w:t>transformation</w:t>
      </w:r>
      <w:r w:rsidR="00DB1635" w:rsidRPr="00B004EE">
        <w:rPr>
          <w:rFonts w:ascii="Tahoma" w:hAnsi="Tahoma" w:cs="Tahoma"/>
          <w:sz w:val="20"/>
          <w:lang w:val="fr-FR"/>
        </w:rPr>
        <w:t xml:space="preserve"> </w:t>
      </w:r>
      <w:r w:rsidRPr="00B004EE">
        <w:rPr>
          <w:rFonts w:ascii="Tahoma" w:hAnsi="Tahoma" w:cs="Tahoma"/>
          <w:sz w:val="20"/>
          <w:lang w:val="fr-FR"/>
        </w:rPr>
        <w:t>envisagée</w:t>
      </w:r>
      <w:r w:rsidR="00DB1635" w:rsidRPr="00B004EE">
        <w:rPr>
          <w:rFonts w:ascii="Tahoma" w:hAnsi="Tahoma" w:cs="Tahoma"/>
          <w:sz w:val="20"/>
          <w:lang w:val="fr-FR"/>
        </w:rPr>
        <w:t xml:space="preserve"> </w:t>
      </w:r>
      <w:r w:rsidRPr="00B004EE">
        <w:rPr>
          <w:rFonts w:ascii="Tahoma" w:hAnsi="Tahoma" w:cs="Tahoma"/>
          <w:sz w:val="20"/>
          <w:lang w:val="fr-FR"/>
        </w:rPr>
        <w:t>;</w:t>
      </w:r>
    </w:p>
    <w:p w14:paraId="715C4880" w14:textId="2441B018" w:rsidR="008518B0" w:rsidRPr="00B004EE" w:rsidRDefault="008518B0" w:rsidP="00420DDA">
      <w:pPr>
        <w:pStyle w:val="TxBrp2"/>
        <w:numPr>
          <w:ilvl w:val="0"/>
          <w:numId w:val="58"/>
        </w:numPr>
        <w:tabs>
          <w:tab w:val="clear" w:pos="204"/>
          <w:tab w:val="clear" w:pos="1776"/>
          <w:tab w:val="left" w:pos="426"/>
          <w:tab w:val="left" w:pos="9923"/>
        </w:tabs>
        <w:spacing w:line="240" w:lineRule="auto"/>
        <w:ind w:left="426" w:right="-1"/>
        <w:rPr>
          <w:rFonts w:ascii="Tahoma" w:hAnsi="Tahoma" w:cs="Tahoma"/>
          <w:sz w:val="20"/>
          <w:lang w:val="fr-FR"/>
        </w:rPr>
      </w:pPr>
      <w:proofErr w:type="gramStart"/>
      <w:r w:rsidRPr="00B004EE">
        <w:rPr>
          <w:rFonts w:ascii="Tahoma" w:hAnsi="Tahoma" w:cs="Tahoma"/>
          <w:sz w:val="20"/>
          <w:lang w:val="fr-FR"/>
        </w:rPr>
        <w:t>le</w:t>
      </w:r>
      <w:proofErr w:type="gramEnd"/>
      <w:r w:rsidR="00DB1635" w:rsidRPr="00B004EE">
        <w:rPr>
          <w:rFonts w:ascii="Tahoma" w:hAnsi="Tahoma" w:cs="Tahoma"/>
          <w:sz w:val="20"/>
          <w:lang w:val="fr-FR"/>
        </w:rPr>
        <w:t xml:space="preserve"> </w:t>
      </w:r>
      <w:r w:rsidRPr="00B004EE">
        <w:rPr>
          <w:rFonts w:ascii="Tahoma" w:hAnsi="Tahoma" w:cs="Tahoma"/>
          <w:sz w:val="20"/>
          <w:lang w:val="fr-FR"/>
        </w:rPr>
        <w:t>nombre</w:t>
      </w:r>
      <w:r w:rsidR="00DB1635" w:rsidRPr="00B004EE">
        <w:rPr>
          <w:rFonts w:ascii="Tahoma" w:hAnsi="Tahoma" w:cs="Tahoma"/>
          <w:sz w:val="20"/>
          <w:lang w:val="fr-FR"/>
        </w:rPr>
        <w:t xml:space="preserve"> </w:t>
      </w:r>
      <w:r w:rsidRPr="00B004EE">
        <w:rPr>
          <w:rFonts w:ascii="Tahoma" w:hAnsi="Tahoma" w:cs="Tahoma"/>
          <w:sz w:val="20"/>
          <w:lang w:val="fr-FR"/>
        </w:rPr>
        <w:t>d’emplois</w:t>
      </w:r>
      <w:r w:rsidR="00DB1635" w:rsidRPr="00B004EE">
        <w:rPr>
          <w:rFonts w:ascii="Tahoma" w:hAnsi="Tahoma" w:cs="Tahoma"/>
          <w:sz w:val="20"/>
          <w:lang w:val="fr-FR"/>
        </w:rPr>
        <w:t xml:space="preserve"> </w:t>
      </w:r>
      <w:r w:rsidRPr="00B004EE">
        <w:rPr>
          <w:rFonts w:ascii="Tahoma" w:hAnsi="Tahoma" w:cs="Tahoma"/>
          <w:sz w:val="20"/>
          <w:lang w:val="fr-FR"/>
        </w:rPr>
        <w:t>générés</w:t>
      </w:r>
      <w:r w:rsidR="00DB1635" w:rsidRPr="00B004EE">
        <w:rPr>
          <w:rFonts w:ascii="Tahoma" w:hAnsi="Tahoma" w:cs="Tahoma"/>
          <w:sz w:val="20"/>
          <w:lang w:val="fr-FR"/>
        </w:rPr>
        <w:t xml:space="preserve"> </w:t>
      </w:r>
      <w:r w:rsidRPr="00B004EE">
        <w:rPr>
          <w:rFonts w:ascii="Tahoma" w:hAnsi="Tahoma" w:cs="Tahoma"/>
          <w:sz w:val="20"/>
          <w:lang w:val="fr-FR"/>
        </w:rPr>
        <w:t>par</w:t>
      </w:r>
      <w:r w:rsidR="00DB1635" w:rsidRPr="00B004EE">
        <w:rPr>
          <w:rFonts w:ascii="Tahoma" w:hAnsi="Tahoma" w:cs="Tahoma"/>
          <w:sz w:val="20"/>
          <w:lang w:val="fr-FR"/>
        </w:rPr>
        <w:t xml:space="preserve"> </w:t>
      </w:r>
      <w:r w:rsidRPr="00B004EE">
        <w:rPr>
          <w:rFonts w:ascii="Tahoma" w:hAnsi="Tahoma" w:cs="Tahoma"/>
          <w:sz w:val="20"/>
          <w:lang w:val="fr-FR"/>
        </w:rPr>
        <w:t>l’activité</w:t>
      </w:r>
      <w:r w:rsidR="00DB1635" w:rsidRPr="00B004EE">
        <w:rPr>
          <w:rFonts w:ascii="Tahoma" w:hAnsi="Tahoma" w:cs="Tahoma"/>
          <w:sz w:val="20"/>
          <w:lang w:val="fr-FR"/>
        </w:rPr>
        <w:t xml:space="preserve"> </w:t>
      </w:r>
      <w:r w:rsidRPr="00B004EE">
        <w:rPr>
          <w:rFonts w:ascii="Tahoma" w:hAnsi="Tahoma" w:cs="Tahoma"/>
          <w:sz w:val="20"/>
          <w:lang w:val="fr-FR"/>
        </w:rPr>
        <w:t>;</w:t>
      </w:r>
    </w:p>
    <w:p w14:paraId="7C56514E" w14:textId="671E0DF8" w:rsidR="008518B0" w:rsidRPr="00B004EE" w:rsidRDefault="008518B0" w:rsidP="00420DDA">
      <w:pPr>
        <w:pStyle w:val="TxBrp2"/>
        <w:numPr>
          <w:ilvl w:val="0"/>
          <w:numId w:val="58"/>
        </w:numPr>
        <w:tabs>
          <w:tab w:val="clear" w:pos="204"/>
          <w:tab w:val="clear" w:pos="1776"/>
          <w:tab w:val="left" w:pos="426"/>
          <w:tab w:val="left" w:pos="9923"/>
        </w:tabs>
        <w:spacing w:line="240" w:lineRule="auto"/>
        <w:ind w:left="426" w:right="-1"/>
        <w:rPr>
          <w:rFonts w:ascii="Tahoma" w:hAnsi="Tahoma" w:cs="Tahoma"/>
          <w:sz w:val="20"/>
          <w:lang w:val="fr-FR"/>
        </w:rPr>
      </w:pPr>
      <w:proofErr w:type="gramStart"/>
      <w:r w:rsidRPr="00B004EE">
        <w:rPr>
          <w:rFonts w:ascii="Tahoma" w:hAnsi="Tahoma" w:cs="Tahoma"/>
          <w:sz w:val="20"/>
          <w:lang w:val="fr-FR"/>
        </w:rPr>
        <w:t>le</w:t>
      </w:r>
      <w:proofErr w:type="gramEnd"/>
      <w:r w:rsidR="00DB1635" w:rsidRPr="00B004EE">
        <w:rPr>
          <w:rFonts w:ascii="Tahoma" w:hAnsi="Tahoma" w:cs="Tahoma"/>
          <w:sz w:val="20"/>
          <w:lang w:val="fr-FR"/>
        </w:rPr>
        <w:t xml:space="preserve"> </w:t>
      </w:r>
      <w:r w:rsidRPr="00B004EE">
        <w:rPr>
          <w:rFonts w:ascii="Tahoma" w:hAnsi="Tahoma" w:cs="Tahoma"/>
          <w:sz w:val="20"/>
          <w:lang w:val="fr-FR"/>
        </w:rPr>
        <w:t>montant</w:t>
      </w:r>
      <w:r w:rsidR="00DB1635" w:rsidRPr="00B004EE">
        <w:rPr>
          <w:rFonts w:ascii="Tahoma" w:hAnsi="Tahoma" w:cs="Tahoma"/>
          <w:sz w:val="20"/>
          <w:lang w:val="fr-FR"/>
        </w:rPr>
        <w:t xml:space="preserve"> </w:t>
      </w:r>
      <w:r w:rsidRPr="00B004EE">
        <w:rPr>
          <w:rFonts w:ascii="Tahoma" w:hAnsi="Tahoma" w:cs="Tahoma"/>
          <w:sz w:val="20"/>
          <w:lang w:val="fr-FR"/>
        </w:rPr>
        <w:t>de</w:t>
      </w:r>
      <w:r w:rsidR="00DB1635" w:rsidRPr="00B004EE">
        <w:rPr>
          <w:rFonts w:ascii="Tahoma" w:hAnsi="Tahoma" w:cs="Tahoma"/>
          <w:sz w:val="20"/>
          <w:lang w:val="fr-FR"/>
        </w:rPr>
        <w:t xml:space="preserve"> </w:t>
      </w:r>
      <w:r w:rsidRPr="00B004EE">
        <w:rPr>
          <w:rFonts w:ascii="Tahoma" w:hAnsi="Tahoma" w:cs="Tahoma"/>
          <w:sz w:val="20"/>
          <w:lang w:val="fr-FR"/>
        </w:rPr>
        <w:t>l'investissement</w:t>
      </w:r>
      <w:r w:rsidR="00DB1635" w:rsidRPr="00B004EE">
        <w:rPr>
          <w:rFonts w:ascii="Tahoma" w:hAnsi="Tahoma" w:cs="Tahoma"/>
          <w:sz w:val="20"/>
          <w:lang w:val="fr-FR"/>
        </w:rPr>
        <w:t xml:space="preserve"> </w:t>
      </w:r>
      <w:r w:rsidRPr="00B004EE">
        <w:rPr>
          <w:rFonts w:ascii="Tahoma" w:hAnsi="Tahoma" w:cs="Tahoma"/>
          <w:sz w:val="20"/>
          <w:lang w:val="fr-FR"/>
        </w:rPr>
        <w:t>global</w:t>
      </w:r>
      <w:r w:rsidR="00DB1635" w:rsidRPr="00B004EE">
        <w:rPr>
          <w:rFonts w:ascii="Tahoma" w:hAnsi="Tahoma" w:cs="Tahoma"/>
          <w:sz w:val="20"/>
          <w:lang w:val="fr-FR"/>
        </w:rPr>
        <w:t xml:space="preserve"> </w:t>
      </w:r>
      <w:r w:rsidRPr="00B004EE">
        <w:rPr>
          <w:rFonts w:ascii="Tahoma" w:hAnsi="Tahoma" w:cs="Tahoma"/>
          <w:sz w:val="20"/>
          <w:lang w:val="fr-FR"/>
        </w:rPr>
        <w:t>(à</w:t>
      </w:r>
      <w:r w:rsidR="00DB1635" w:rsidRPr="00B004EE">
        <w:rPr>
          <w:rFonts w:ascii="Tahoma" w:hAnsi="Tahoma" w:cs="Tahoma"/>
          <w:sz w:val="20"/>
          <w:lang w:val="fr-FR"/>
        </w:rPr>
        <w:t xml:space="preserve"> </w:t>
      </w:r>
      <w:r w:rsidRPr="00B004EE">
        <w:rPr>
          <w:rFonts w:ascii="Tahoma" w:hAnsi="Tahoma" w:cs="Tahoma"/>
          <w:sz w:val="20"/>
          <w:lang w:val="fr-FR"/>
        </w:rPr>
        <w:t>terre</w:t>
      </w:r>
      <w:r w:rsidR="00DB1635" w:rsidRPr="00B004EE">
        <w:rPr>
          <w:rFonts w:ascii="Tahoma" w:hAnsi="Tahoma" w:cs="Tahoma"/>
          <w:sz w:val="20"/>
          <w:lang w:val="fr-FR"/>
        </w:rPr>
        <w:t xml:space="preserve"> </w:t>
      </w:r>
      <w:r w:rsidRPr="00B004EE">
        <w:rPr>
          <w:rFonts w:ascii="Tahoma" w:hAnsi="Tahoma" w:cs="Tahoma"/>
          <w:sz w:val="20"/>
          <w:lang w:val="fr-FR"/>
        </w:rPr>
        <w:t>et/ou</w:t>
      </w:r>
      <w:r w:rsidR="00DB1635" w:rsidRPr="00B004EE">
        <w:rPr>
          <w:rFonts w:ascii="Tahoma" w:hAnsi="Tahoma" w:cs="Tahoma"/>
          <w:sz w:val="20"/>
          <w:lang w:val="fr-FR"/>
        </w:rPr>
        <w:t xml:space="preserve"> </w:t>
      </w:r>
      <w:r w:rsidRPr="00B004EE">
        <w:rPr>
          <w:rFonts w:ascii="Tahoma" w:hAnsi="Tahoma" w:cs="Tahoma"/>
          <w:sz w:val="20"/>
          <w:lang w:val="fr-FR"/>
        </w:rPr>
        <w:t>en</w:t>
      </w:r>
      <w:r w:rsidR="00DB1635" w:rsidRPr="00B004EE">
        <w:rPr>
          <w:rFonts w:ascii="Tahoma" w:hAnsi="Tahoma" w:cs="Tahoma"/>
          <w:sz w:val="20"/>
          <w:lang w:val="fr-FR"/>
        </w:rPr>
        <w:t xml:space="preserve"> </w:t>
      </w:r>
      <w:r w:rsidRPr="00B004EE">
        <w:rPr>
          <w:rFonts w:ascii="Tahoma" w:hAnsi="Tahoma" w:cs="Tahoma"/>
          <w:sz w:val="20"/>
          <w:lang w:val="fr-FR"/>
        </w:rPr>
        <w:t>mer)</w:t>
      </w:r>
      <w:r w:rsidR="00DB1635" w:rsidRPr="00B004EE">
        <w:rPr>
          <w:rFonts w:ascii="Tahoma" w:hAnsi="Tahoma" w:cs="Tahoma"/>
          <w:sz w:val="20"/>
          <w:lang w:val="fr-FR"/>
        </w:rPr>
        <w:t xml:space="preserve"> </w:t>
      </w:r>
      <w:r w:rsidRPr="00B004EE">
        <w:rPr>
          <w:rFonts w:ascii="Tahoma" w:hAnsi="Tahoma" w:cs="Tahoma"/>
          <w:sz w:val="20"/>
          <w:lang w:val="fr-FR"/>
        </w:rPr>
        <w:t>associé</w:t>
      </w:r>
      <w:r w:rsidR="00DB1635" w:rsidRPr="00B004EE">
        <w:rPr>
          <w:rFonts w:ascii="Tahoma" w:hAnsi="Tahoma" w:cs="Tahoma"/>
          <w:sz w:val="20"/>
          <w:lang w:val="fr-FR"/>
        </w:rPr>
        <w:t xml:space="preserve"> </w:t>
      </w:r>
      <w:r w:rsidRPr="00B004EE">
        <w:rPr>
          <w:rFonts w:ascii="Tahoma" w:hAnsi="Tahoma" w:cs="Tahoma"/>
          <w:sz w:val="20"/>
          <w:lang w:val="fr-FR"/>
        </w:rPr>
        <w:t>à</w:t>
      </w:r>
      <w:r w:rsidR="00DB1635" w:rsidRPr="00B004EE">
        <w:rPr>
          <w:rFonts w:ascii="Tahoma" w:hAnsi="Tahoma" w:cs="Tahoma"/>
          <w:sz w:val="20"/>
          <w:lang w:val="fr-FR"/>
        </w:rPr>
        <w:t xml:space="preserve"> </w:t>
      </w:r>
      <w:r w:rsidRPr="00B004EE">
        <w:rPr>
          <w:rFonts w:ascii="Tahoma" w:hAnsi="Tahoma" w:cs="Tahoma"/>
          <w:sz w:val="20"/>
          <w:lang w:val="fr-FR"/>
        </w:rPr>
        <w:t>la</w:t>
      </w:r>
      <w:r w:rsidR="00DB1635" w:rsidRPr="00B004EE">
        <w:rPr>
          <w:rFonts w:ascii="Tahoma" w:hAnsi="Tahoma" w:cs="Tahoma"/>
          <w:sz w:val="20"/>
          <w:lang w:val="fr-FR"/>
        </w:rPr>
        <w:t xml:space="preserve"> </w:t>
      </w:r>
      <w:r w:rsidRPr="00B004EE">
        <w:rPr>
          <w:rFonts w:ascii="Tahoma" w:hAnsi="Tahoma" w:cs="Tahoma"/>
          <w:sz w:val="20"/>
          <w:lang w:val="fr-FR"/>
        </w:rPr>
        <w:t>concession</w:t>
      </w:r>
      <w:r w:rsidR="00DB1635" w:rsidRPr="00B004EE">
        <w:rPr>
          <w:rFonts w:ascii="Tahoma" w:hAnsi="Tahoma" w:cs="Tahoma"/>
          <w:sz w:val="20"/>
          <w:lang w:val="fr-FR"/>
        </w:rPr>
        <w:t xml:space="preserve"> </w:t>
      </w:r>
      <w:r w:rsidRPr="00B004EE">
        <w:rPr>
          <w:rFonts w:ascii="Tahoma" w:hAnsi="Tahoma" w:cs="Tahoma"/>
          <w:sz w:val="20"/>
          <w:lang w:val="fr-FR"/>
        </w:rPr>
        <w:t>;</w:t>
      </w:r>
    </w:p>
    <w:p w14:paraId="167A1274" w14:textId="7170CBD7" w:rsidR="008518B0" w:rsidRPr="00B004EE" w:rsidRDefault="008518B0" w:rsidP="00420DDA">
      <w:pPr>
        <w:pStyle w:val="TxBrp2"/>
        <w:numPr>
          <w:ilvl w:val="0"/>
          <w:numId w:val="58"/>
        </w:numPr>
        <w:tabs>
          <w:tab w:val="clear" w:pos="204"/>
          <w:tab w:val="clear" w:pos="1776"/>
          <w:tab w:val="left" w:pos="426"/>
          <w:tab w:val="left" w:pos="9923"/>
        </w:tabs>
        <w:spacing w:line="240" w:lineRule="auto"/>
        <w:ind w:left="426" w:right="-1"/>
        <w:rPr>
          <w:rFonts w:ascii="Tahoma" w:hAnsi="Tahoma" w:cs="Tahoma"/>
          <w:sz w:val="20"/>
          <w:lang w:val="fr-FR"/>
        </w:rPr>
      </w:pPr>
      <w:proofErr w:type="gramStart"/>
      <w:r w:rsidRPr="00B004EE">
        <w:rPr>
          <w:rFonts w:ascii="Tahoma" w:hAnsi="Tahoma" w:cs="Tahoma"/>
          <w:sz w:val="20"/>
          <w:lang w:val="fr-FR"/>
        </w:rPr>
        <w:t>la</w:t>
      </w:r>
      <w:proofErr w:type="gramEnd"/>
      <w:r w:rsidR="00DB1635" w:rsidRPr="00B004EE">
        <w:rPr>
          <w:rFonts w:ascii="Tahoma" w:hAnsi="Tahoma" w:cs="Tahoma"/>
          <w:sz w:val="20"/>
          <w:lang w:val="fr-FR"/>
        </w:rPr>
        <w:t xml:space="preserve"> </w:t>
      </w:r>
      <w:r w:rsidRPr="00B004EE">
        <w:rPr>
          <w:rFonts w:ascii="Tahoma" w:hAnsi="Tahoma" w:cs="Tahoma"/>
          <w:sz w:val="20"/>
          <w:lang w:val="fr-FR"/>
        </w:rPr>
        <w:t>description</w:t>
      </w:r>
      <w:r w:rsidR="00DB1635" w:rsidRPr="00B004EE">
        <w:rPr>
          <w:rFonts w:ascii="Tahoma" w:hAnsi="Tahoma" w:cs="Tahoma"/>
          <w:sz w:val="20"/>
          <w:lang w:val="fr-FR"/>
        </w:rPr>
        <w:t xml:space="preserve"> </w:t>
      </w:r>
      <w:r w:rsidRPr="00B004EE">
        <w:rPr>
          <w:rFonts w:ascii="Tahoma" w:hAnsi="Tahoma" w:cs="Tahoma"/>
          <w:sz w:val="20"/>
          <w:lang w:val="fr-FR"/>
        </w:rPr>
        <w:t>de</w:t>
      </w:r>
      <w:r w:rsidR="00DB1635" w:rsidRPr="00B004EE">
        <w:rPr>
          <w:rFonts w:ascii="Tahoma" w:hAnsi="Tahoma" w:cs="Tahoma"/>
          <w:sz w:val="20"/>
          <w:lang w:val="fr-FR"/>
        </w:rPr>
        <w:t xml:space="preserve"> </w:t>
      </w:r>
      <w:r w:rsidRPr="00B004EE">
        <w:rPr>
          <w:rFonts w:ascii="Tahoma" w:hAnsi="Tahoma" w:cs="Tahoma"/>
          <w:sz w:val="20"/>
          <w:lang w:val="fr-FR"/>
        </w:rPr>
        <w:t>l’expérience</w:t>
      </w:r>
      <w:r w:rsidR="00DB1635" w:rsidRPr="00B004EE">
        <w:rPr>
          <w:rFonts w:ascii="Tahoma" w:hAnsi="Tahoma" w:cs="Tahoma"/>
          <w:sz w:val="20"/>
          <w:lang w:val="fr-FR"/>
        </w:rPr>
        <w:t xml:space="preserve"> </w:t>
      </w:r>
      <w:r w:rsidRPr="00B004EE">
        <w:rPr>
          <w:rFonts w:ascii="Tahoma" w:hAnsi="Tahoma" w:cs="Tahoma"/>
          <w:sz w:val="20"/>
          <w:lang w:val="fr-FR"/>
        </w:rPr>
        <w:t>professionnelle</w:t>
      </w:r>
      <w:r w:rsidR="00DB1635" w:rsidRPr="00B004EE">
        <w:rPr>
          <w:rFonts w:ascii="Tahoma" w:hAnsi="Tahoma" w:cs="Tahoma"/>
          <w:sz w:val="20"/>
          <w:lang w:val="fr-FR"/>
        </w:rPr>
        <w:t xml:space="preserve"> </w:t>
      </w:r>
      <w:r w:rsidRPr="00B004EE">
        <w:rPr>
          <w:rFonts w:ascii="Tahoma" w:hAnsi="Tahoma" w:cs="Tahoma"/>
          <w:sz w:val="20"/>
          <w:lang w:val="fr-FR"/>
        </w:rPr>
        <w:t>du</w:t>
      </w:r>
      <w:r w:rsidR="00DB1635" w:rsidRPr="00B004EE">
        <w:rPr>
          <w:rFonts w:ascii="Tahoma" w:hAnsi="Tahoma" w:cs="Tahoma"/>
          <w:sz w:val="20"/>
          <w:lang w:val="fr-FR"/>
        </w:rPr>
        <w:t xml:space="preserve"> </w:t>
      </w:r>
      <w:r w:rsidRPr="00B004EE">
        <w:rPr>
          <w:rFonts w:ascii="Tahoma" w:hAnsi="Tahoma" w:cs="Tahoma"/>
          <w:sz w:val="20"/>
          <w:lang w:val="fr-FR"/>
        </w:rPr>
        <w:t>demandeur</w:t>
      </w:r>
      <w:r w:rsidR="00DB1635" w:rsidRPr="00B004EE">
        <w:rPr>
          <w:rFonts w:ascii="Tahoma" w:hAnsi="Tahoma" w:cs="Tahoma"/>
          <w:sz w:val="20"/>
          <w:lang w:val="fr-FR"/>
        </w:rPr>
        <w:t xml:space="preserve"> </w:t>
      </w:r>
      <w:r w:rsidRPr="00B004EE">
        <w:rPr>
          <w:rFonts w:ascii="Tahoma" w:hAnsi="Tahoma" w:cs="Tahoma"/>
          <w:sz w:val="20"/>
          <w:lang w:val="fr-FR"/>
        </w:rPr>
        <w:t>dans</w:t>
      </w:r>
      <w:r w:rsidR="00DB1635" w:rsidRPr="00B004EE">
        <w:rPr>
          <w:rFonts w:ascii="Tahoma" w:hAnsi="Tahoma" w:cs="Tahoma"/>
          <w:sz w:val="20"/>
          <w:lang w:val="fr-FR"/>
        </w:rPr>
        <w:t xml:space="preserve"> </w:t>
      </w:r>
      <w:r w:rsidRPr="00B004EE">
        <w:rPr>
          <w:rFonts w:ascii="Tahoma" w:hAnsi="Tahoma" w:cs="Tahoma"/>
          <w:sz w:val="20"/>
          <w:lang w:val="fr-FR"/>
        </w:rPr>
        <w:t>les</w:t>
      </w:r>
      <w:r w:rsidR="00DB1635" w:rsidRPr="00B004EE">
        <w:rPr>
          <w:rFonts w:ascii="Tahoma" w:hAnsi="Tahoma" w:cs="Tahoma"/>
          <w:sz w:val="20"/>
          <w:lang w:val="fr-FR"/>
        </w:rPr>
        <w:t xml:space="preserve"> </w:t>
      </w:r>
      <w:r w:rsidRPr="00B004EE">
        <w:rPr>
          <w:rFonts w:ascii="Tahoma" w:hAnsi="Tahoma" w:cs="Tahoma"/>
          <w:sz w:val="20"/>
          <w:lang w:val="fr-FR"/>
        </w:rPr>
        <w:t>eaux</w:t>
      </w:r>
      <w:r w:rsidR="00DB1635" w:rsidRPr="00B004EE">
        <w:rPr>
          <w:rFonts w:ascii="Tahoma" w:hAnsi="Tahoma" w:cs="Tahoma"/>
          <w:sz w:val="20"/>
          <w:lang w:val="fr-FR"/>
        </w:rPr>
        <w:t xml:space="preserve"> </w:t>
      </w:r>
      <w:r w:rsidRPr="00B004EE">
        <w:rPr>
          <w:rFonts w:ascii="Tahoma" w:hAnsi="Tahoma" w:cs="Tahoma"/>
          <w:sz w:val="20"/>
          <w:lang w:val="fr-FR"/>
        </w:rPr>
        <w:t>sous</w:t>
      </w:r>
      <w:r w:rsidR="00DB1635" w:rsidRPr="00B004EE">
        <w:rPr>
          <w:rFonts w:ascii="Tahoma" w:hAnsi="Tahoma" w:cs="Tahoma"/>
          <w:sz w:val="20"/>
          <w:lang w:val="fr-FR"/>
        </w:rPr>
        <w:t xml:space="preserve"> </w:t>
      </w:r>
      <w:r w:rsidRPr="00B004EE">
        <w:rPr>
          <w:rFonts w:ascii="Tahoma" w:hAnsi="Tahoma" w:cs="Tahoma"/>
          <w:sz w:val="20"/>
          <w:lang w:val="fr-FR"/>
        </w:rPr>
        <w:t>juridiction</w:t>
      </w:r>
      <w:r w:rsidR="00DB1635" w:rsidRPr="00B004EE">
        <w:rPr>
          <w:rFonts w:ascii="Tahoma" w:hAnsi="Tahoma" w:cs="Tahoma"/>
          <w:sz w:val="20"/>
          <w:lang w:val="fr-FR"/>
        </w:rPr>
        <w:t xml:space="preserve"> </w:t>
      </w:r>
      <w:r w:rsidRPr="00B004EE">
        <w:rPr>
          <w:rFonts w:ascii="Tahoma" w:hAnsi="Tahoma" w:cs="Tahoma"/>
          <w:sz w:val="20"/>
          <w:lang w:val="fr-FR"/>
        </w:rPr>
        <w:t>mauritanienne</w:t>
      </w:r>
      <w:r w:rsidR="00DB1635" w:rsidRPr="00B004EE">
        <w:rPr>
          <w:rFonts w:ascii="Tahoma" w:hAnsi="Tahoma" w:cs="Tahoma"/>
          <w:sz w:val="20"/>
          <w:lang w:val="fr-FR"/>
        </w:rPr>
        <w:t xml:space="preserve"> </w:t>
      </w:r>
      <w:r w:rsidRPr="00B004EE">
        <w:rPr>
          <w:rFonts w:ascii="Tahoma" w:hAnsi="Tahoma" w:cs="Tahoma"/>
          <w:sz w:val="20"/>
          <w:lang w:val="fr-FR"/>
        </w:rPr>
        <w:t>et</w:t>
      </w:r>
      <w:r w:rsidR="00DB1635" w:rsidRPr="00B004EE">
        <w:rPr>
          <w:rFonts w:ascii="Tahoma" w:hAnsi="Tahoma" w:cs="Tahoma"/>
          <w:sz w:val="20"/>
          <w:lang w:val="fr-FR"/>
        </w:rPr>
        <w:t xml:space="preserve"> </w:t>
      </w:r>
      <w:r w:rsidRPr="00B004EE">
        <w:rPr>
          <w:rFonts w:ascii="Tahoma" w:hAnsi="Tahoma" w:cs="Tahoma"/>
          <w:sz w:val="20"/>
          <w:lang w:val="fr-FR"/>
        </w:rPr>
        <w:t>dans</w:t>
      </w:r>
      <w:r w:rsidR="00DB1635" w:rsidRPr="00B004EE">
        <w:rPr>
          <w:rFonts w:ascii="Tahoma" w:hAnsi="Tahoma" w:cs="Tahoma"/>
          <w:sz w:val="20"/>
          <w:lang w:val="fr-FR"/>
        </w:rPr>
        <w:t xml:space="preserve"> </w:t>
      </w:r>
      <w:r w:rsidRPr="00B004EE">
        <w:rPr>
          <w:rFonts w:ascii="Tahoma" w:hAnsi="Tahoma" w:cs="Tahoma"/>
          <w:sz w:val="20"/>
          <w:lang w:val="fr-FR"/>
        </w:rPr>
        <w:t>la</w:t>
      </w:r>
      <w:r w:rsidR="00DB1635" w:rsidRPr="00B004EE">
        <w:rPr>
          <w:rFonts w:ascii="Tahoma" w:hAnsi="Tahoma" w:cs="Tahoma"/>
          <w:sz w:val="20"/>
          <w:lang w:val="fr-FR"/>
        </w:rPr>
        <w:t xml:space="preserve"> </w:t>
      </w:r>
      <w:r w:rsidRPr="00B004EE">
        <w:rPr>
          <w:rFonts w:ascii="Tahoma" w:hAnsi="Tahoma" w:cs="Tahoma"/>
          <w:sz w:val="20"/>
          <w:lang w:val="fr-FR"/>
        </w:rPr>
        <w:t>sous-région;</w:t>
      </w:r>
    </w:p>
    <w:p w14:paraId="64229C05" w14:textId="05A52346" w:rsidR="008518B0" w:rsidRPr="00B004EE" w:rsidRDefault="008518B0" w:rsidP="00420DDA">
      <w:pPr>
        <w:pStyle w:val="TxBrp2"/>
        <w:numPr>
          <w:ilvl w:val="0"/>
          <w:numId w:val="58"/>
        </w:numPr>
        <w:tabs>
          <w:tab w:val="clear" w:pos="204"/>
          <w:tab w:val="clear" w:pos="1776"/>
          <w:tab w:val="left" w:pos="426"/>
          <w:tab w:val="left" w:pos="9923"/>
        </w:tabs>
        <w:spacing w:line="240" w:lineRule="auto"/>
        <w:ind w:left="426" w:right="-1"/>
        <w:rPr>
          <w:rFonts w:ascii="Tahoma" w:hAnsi="Tahoma" w:cs="Tahoma"/>
          <w:sz w:val="20"/>
          <w:lang w:val="fr-FR"/>
        </w:rPr>
      </w:pPr>
      <w:proofErr w:type="gramStart"/>
      <w:r w:rsidRPr="00B004EE">
        <w:rPr>
          <w:rFonts w:ascii="Tahoma" w:hAnsi="Tahoma" w:cs="Tahoma"/>
          <w:sz w:val="20"/>
          <w:lang w:val="fr-FR"/>
        </w:rPr>
        <w:t>un</w:t>
      </w:r>
      <w:proofErr w:type="gramEnd"/>
      <w:r w:rsidR="00DB1635" w:rsidRPr="00B004EE">
        <w:rPr>
          <w:rFonts w:ascii="Tahoma" w:hAnsi="Tahoma" w:cs="Tahoma"/>
          <w:sz w:val="20"/>
          <w:lang w:val="fr-FR"/>
        </w:rPr>
        <w:t xml:space="preserve"> </w:t>
      </w:r>
      <w:r w:rsidRPr="00B004EE">
        <w:rPr>
          <w:rFonts w:ascii="Tahoma" w:hAnsi="Tahoma" w:cs="Tahoma"/>
          <w:sz w:val="20"/>
          <w:lang w:val="fr-FR"/>
        </w:rPr>
        <w:t>engagement</w:t>
      </w:r>
      <w:r w:rsidR="00DB1635" w:rsidRPr="00B004EE">
        <w:rPr>
          <w:rFonts w:ascii="Tahoma" w:hAnsi="Tahoma" w:cs="Tahoma"/>
          <w:sz w:val="20"/>
          <w:lang w:val="fr-FR"/>
        </w:rPr>
        <w:t xml:space="preserve"> </w:t>
      </w:r>
      <w:r w:rsidRPr="00B004EE">
        <w:rPr>
          <w:rFonts w:ascii="Tahoma" w:hAnsi="Tahoma" w:cs="Tahoma"/>
          <w:sz w:val="20"/>
          <w:lang w:val="fr-FR"/>
        </w:rPr>
        <w:t>à</w:t>
      </w:r>
      <w:r w:rsidR="00DB1635" w:rsidRPr="00B004EE">
        <w:rPr>
          <w:rFonts w:ascii="Tahoma" w:hAnsi="Tahoma" w:cs="Tahoma"/>
          <w:sz w:val="20"/>
          <w:lang w:val="fr-FR"/>
        </w:rPr>
        <w:t xml:space="preserve"> </w:t>
      </w:r>
      <w:r w:rsidRPr="00B004EE">
        <w:rPr>
          <w:rFonts w:ascii="Tahoma" w:hAnsi="Tahoma" w:cs="Tahoma"/>
          <w:sz w:val="20"/>
          <w:lang w:val="fr-FR"/>
        </w:rPr>
        <w:t>respecter</w:t>
      </w:r>
      <w:r w:rsidR="00DB1635" w:rsidRPr="00B004EE">
        <w:rPr>
          <w:rFonts w:ascii="Tahoma" w:hAnsi="Tahoma" w:cs="Tahoma"/>
          <w:sz w:val="20"/>
          <w:lang w:val="fr-FR"/>
        </w:rPr>
        <w:t xml:space="preserve"> </w:t>
      </w:r>
      <w:r w:rsidRPr="00B004EE">
        <w:rPr>
          <w:rFonts w:ascii="Tahoma" w:hAnsi="Tahoma" w:cs="Tahoma"/>
          <w:sz w:val="20"/>
          <w:lang w:val="fr-FR"/>
        </w:rPr>
        <w:t>(i)</w:t>
      </w:r>
      <w:r w:rsidR="00DB1635" w:rsidRPr="00B004EE">
        <w:rPr>
          <w:rFonts w:ascii="Tahoma" w:hAnsi="Tahoma" w:cs="Tahoma"/>
          <w:sz w:val="20"/>
          <w:lang w:val="fr-FR"/>
        </w:rPr>
        <w:t xml:space="preserve"> </w:t>
      </w:r>
      <w:r w:rsidRPr="00B004EE">
        <w:rPr>
          <w:rFonts w:ascii="Tahoma" w:hAnsi="Tahoma" w:cs="Tahoma"/>
          <w:sz w:val="20"/>
          <w:lang w:val="fr-FR"/>
        </w:rPr>
        <w:t>les</w:t>
      </w:r>
      <w:r w:rsidR="00DB1635" w:rsidRPr="00B004EE">
        <w:rPr>
          <w:rFonts w:ascii="Tahoma" w:hAnsi="Tahoma" w:cs="Tahoma"/>
          <w:sz w:val="20"/>
          <w:lang w:val="fr-FR"/>
        </w:rPr>
        <w:t xml:space="preserve"> </w:t>
      </w:r>
      <w:r w:rsidRPr="00B004EE">
        <w:rPr>
          <w:rFonts w:ascii="Tahoma" w:hAnsi="Tahoma" w:cs="Tahoma"/>
          <w:sz w:val="20"/>
          <w:lang w:val="fr-FR"/>
        </w:rPr>
        <w:t>lois</w:t>
      </w:r>
      <w:r w:rsidR="00DB1635" w:rsidRPr="00B004EE">
        <w:rPr>
          <w:rFonts w:ascii="Tahoma" w:hAnsi="Tahoma" w:cs="Tahoma"/>
          <w:sz w:val="20"/>
          <w:lang w:val="fr-FR"/>
        </w:rPr>
        <w:t xml:space="preserve"> </w:t>
      </w:r>
      <w:r w:rsidRPr="00B004EE">
        <w:rPr>
          <w:rFonts w:ascii="Tahoma" w:hAnsi="Tahoma" w:cs="Tahoma"/>
          <w:sz w:val="20"/>
          <w:lang w:val="fr-FR"/>
        </w:rPr>
        <w:t>et</w:t>
      </w:r>
      <w:r w:rsidR="00DB1635" w:rsidRPr="00B004EE">
        <w:rPr>
          <w:rFonts w:ascii="Tahoma" w:hAnsi="Tahoma" w:cs="Tahoma"/>
          <w:sz w:val="20"/>
          <w:lang w:val="fr-FR"/>
        </w:rPr>
        <w:t xml:space="preserve"> </w:t>
      </w:r>
      <w:r w:rsidRPr="00B004EE">
        <w:rPr>
          <w:rFonts w:ascii="Tahoma" w:hAnsi="Tahoma" w:cs="Tahoma"/>
          <w:sz w:val="20"/>
          <w:lang w:val="fr-FR"/>
        </w:rPr>
        <w:t>règlements</w:t>
      </w:r>
      <w:r w:rsidR="00DB1635" w:rsidRPr="00B004EE">
        <w:rPr>
          <w:rFonts w:ascii="Tahoma" w:hAnsi="Tahoma" w:cs="Tahoma"/>
          <w:sz w:val="20"/>
          <w:lang w:val="fr-FR"/>
        </w:rPr>
        <w:t xml:space="preserve"> </w:t>
      </w:r>
      <w:r w:rsidRPr="00B004EE">
        <w:rPr>
          <w:rFonts w:ascii="Tahoma" w:hAnsi="Tahoma" w:cs="Tahoma"/>
          <w:sz w:val="20"/>
          <w:lang w:val="fr-FR"/>
        </w:rPr>
        <w:t>en</w:t>
      </w:r>
      <w:r w:rsidR="00DB1635" w:rsidRPr="00B004EE">
        <w:rPr>
          <w:rFonts w:ascii="Tahoma" w:hAnsi="Tahoma" w:cs="Tahoma"/>
          <w:sz w:val="20"/>
          <w:lang w:val="fr-FR"/>
        </w:rPr>
        <w:t xml:space="preserve"> </w:t>
      </w:r>
      <w:r w:rsidRPr="00B004EE">
        <w:rPr>
          <w:rFonts w:ascii="Tahoma" w:hAnsi="Tahoma" w:cs="Tahoma"/>
          <w:sz w:val="20"/>
          <w:lang w:val="fr-FR"/>
        </w:rPr>
        <w:t>vigueur</w:t>
      </w:r>
      <w:r w:rsidR="00DB1635" w:rsidRPr="00B004EE">
        <w:rPr>
          <w:rFonts w:ascii="Tahoma" w:hAnsi="Tahoma" w:cs="Tahoma"/>
          <w:sz w:val="20"/>
          <w:lang w:val="fr-FR"/>
        </w:rPr>
        <w:t xml:space="preserve"> </w:t>
      </w:r>
      <w:r w:rsidRPr="00B004EE">
        <w:rPr>
          <w:rFonts w:ascii="Tahoma" w:hAnsi="Tahoma" w:cs="Tahoma"/>
          <w:sz w:val="20"/>
          <w:lang w:val="fr-FR"/>
        </w:rPr>
        <w:t>et</w:t>
      </w:r>
      <w:r w:rsidR="00DB1635" w:rsidRPr="00B004EE">
        <w:rPr>
          <w:rFonts w:ascii="Tahoma" w:hAnsi="Tahoma" w:cs="Tahoma"/>
          <w:sz w:val="20"/>
          <w:lang w:val="fr-FR"/>
        </w:rPr>
        <w:t xml:space="preserve"> </w:t>
      </w:r>
      <w:r w:rsidRPr="00B004EE">
        <w:rPr>
          <w:rFonts w:ascii="Tahoma" w:hAnsi="Tahoma" w:cs="Tahoma"/>
          <w:sz w:val="20"/>
          <w:lang w:val="fr-FR"/>
        </w:rPr>
        <w:t>(ii)</w:t>
      </w:r>
      <w:r w:rsidR="00DB1635" w:rsidRPr="00B004EE">
        <w:rPr>
          <w:rFonts w:ascii="Tahoma" w:hAnsi="Tahoma" w:cs="Tahoma"/>
          <w:sz w:val="20"/>
          <w:lang w:val="fr-FR"/>
        </w:rPr>
        <w:t xml:space="preserve"> </w:t>
      </w:r>
      <w:r w:rsidRPr="00B004EE">
        <w:rPr>
          <w:rFonts w:ascii="Tahoma" w:hAnsi="Tahoma" w:cs="Tahoma"/>
          <w:sz w:val="20"/>
          <w:lang w:val="fr-FR"/>
        </w:rPr>
        <w:t>le</w:t>
      </w:r>
      <w:r w:rsidR="00DB1635" w:rsidRPr="00B004EE">
        <w:rPr>
          <w:rFonts w:ascii="Tahoma" w:hAnsi="Tahoma" w:cs="Tahoma"/>
          <w:sz w:val="20"/>
          <w:lang w:val="fr-FR"/>
        </w:rPr>
        <w:t xml:space="preserve"> </w:t>
      </w:r>
      <w:r w:rsidRPr="00B004EE">
        <w:rPr>
          <w:rFonts w:ascii="Tahoma" w:hAnsi="Tahoma" w:cs="Tahoma"/>
          <w:sz w:val="20"/>
          <w:lang w:val="fr-FR"/>
        </w:rPr>
        <w:t>cahier</w:t>
      </w:r>
      <w:r w:rsidR="00DB1635" w:rsidRPr="00B004EE">
        <w:rPr>
          <w:rFonts w:ascii="Tahoma" w:hAnsi="Tahoma" w:cs="Tahoma"/>
          <w:sz w:val="20"/>
          <w:lang w:val="fr-FR"/>
        </w:rPr>
        <w:t xml:space="preserve"> </w:t>
      </w:r>
      <w:r w:rsidRPr="00B004EE">
        <w:rPr>
          <w:rFonts w:ascii="Tahoma" w:hAnsi="Tahoma" w:cs="Tahoma"/>
          <w:sz w:val="20"/>
          <w:lang w:val="fr-FR"/>
        </w:rPr>
        <w:t>des</w:t>
      </w:r>
      <w:r w:rsidR="00DB1635" w:rsidRPr="00B004EE">
        <w:rPr>
          <w:rFonts w:ascii="Tahoma" w:hAnsi="Tahoma" w:cs="Tahoma"/>
          <w:sz w:val="20"/>
          <w:lang w:val="fr-FR"/>
        </w:rPr>
        <w:t xml:space="preserve"> </w:t>
      </w:r>
      <w:r w:rsidRPr="00B004EE">
        <w:rPr>
          <w:rFonts w:ascii="Tahoma" w:hAnsi="Tahoma" w:cs="Tahoma"/>
          <w:sz w:val="20"/>
          <w:lang w:val="fr-FR"/>
        </w:rPr>
        <w:t>charges</w:t>
      </w:r>
      <w:r w:rsidR="00DB1635" w:rsidRPr="00B004EE">
        <w:rPr>
          <w:rFonts w:ascii="Tahoma" w:hAnsi="Tahoma" w:cs="Tahoma"/>
          <w:sz w:val="20"/>
          <w:lang w:val="fr-FR"/>
        </w:rPr>
        <w:t xml:space="preserve"> </w:t>
      </w:r>
      <w:r w:rsidRPr="00B004EE">
        <w:rPr>
          <w:rFonts w:ascii="Tahoma" w:hAnsi="Tahoma" w:cs="Tahoma"/>
          <w:sz w:val="20"/>
          <w:lang w:val="fr-FR"/>
        </w:rPr>
        <w:t>correspondant</w:t>
      </w:r>
      <w:r w:rsidR="00DB1635" w:rsidRPr="00B004EE">
        <w:rPr>
          <w:rFonts w:ascii="Tahoma" w:hAnsi="Tahoma" w:cs="Tahoma"/>
          <w:sz w:val="20"/>
          <w:lang w:val="fr-FR"/>
        </w:rPr>
        <w:t xml:space="preserve"> </w:t>
      </w:r>
      <w:r w:rsidRPr="00B004EE">
        <w:rPr>
          <w:rFonts w:ascii="Tahoma" w:hAnsi="Tahoma" w:cs="Tahoma"/>
          <w:sz w:val="20"/>
          <w:lang w:val="fr-FR"/>
        </w:rPr>
        <w:t>aux</w:t>
      </w:r>
      <w:r w:rsidR="00DB1635" w:rsidRPr="00B004EE">
        <w:rPr>
          <w:rFonts w:ascii="Tahoma" w:hAnsi="Tahoma" w:cs="Tahoma"/>
          <w:sz w:val="20"/>
          <w:lang w:val="fr-FR"/>
        </w:rPr>
        <w:t xml:space="preserve"> </w:t>
      </w:r>
      <w:r w:rsidRPr="00B004EE">
        <w:rPr>
          <w:rFonts w:ascii="Tahoma" w:hAnsi="Tahoma" w:cs="Tahoma"/>
          <w:sz w:val="20"/>
          <w:lang w:val="fr-FR"/>
        </w:rPr>
        <w:t>concessions</w:t>
      </w:r>
      <w:r w:rsidR="00DB1635" w:rsidRPr="00B004EE">
        <w:rPr>
          <w:rFonts w:ascii="Tahoma" w:hAnsi="Tahoma" w:cs="Tahoma"/>
          <w:sz w:val="20"/>
          <w:lang w:val="fr-FR"/>
        </w:rPr>
        <w:t xml:space="preserve"> </w:t>
      </w:r>
      <w:r w:rsidRPr="00B004EE">
        <w:rPr>
          <w:rFonts w:ascii="Tahoma" w:hAnsi="Tahoma" w:cs="Tahoma"/>
          <w:sz w:val="20"/>
          <w:lang w:val="fr-FR"/>
        </w:rPr>
        <w:t>de</w:t>
      </w:r>
      <w:r w:rsidR="00DB1635" w:rsidRPr="00B004EE">
        <w:rPr>
          <w:rFonts w:ascii="Tahoma" w:hAnsi="Tahoma" w:cs="Tahoma"/>
          <w:sz w:val="20"/>
          <w:lang w:val="fr-FR"/>
        </w:rPr>
        <w:t xml:space="preserve"> </w:t>
      </w:r>
      <w:r w:rsidRPr="00B004EE">
        <w:rPr>
          <w:rFonts w:ascii="Tahoma" w:hAnsi="Tahoma" w:cs="Tahoma"/>
          <w:sz w:val="20"/>
          <w:lang w:val="fr-FR"/>
        </w:rPr>
        <w:t>droits</w:t>
      </w:r>
      <w:r w:rsidR="00DB1635" w:rsidRPr="00B004EE">
        <w:rPr>
          <w:rFonts w:ascii="Tahoma" w:hAnsi="Tahoma" w:cs="Tahoma"/>
          <w:sz w:val="20"/>
          <w:lang w:val="fr-FR"/>
        </w:rPr>
        <w:t xml:space="preserve"> </w:t>
      </w:r>
      <w:r w:rsidRPr="00B004EE">
        <w:rPr>
          <w:rFonts w:ascii="Tahoma" w:hAnsi="Tahoma" w:cs="Tahoma"/>
          <w:sz w:val="20"/>
          <w:lang w:val="fr-FR"/>
        </w:rPr>
        <w:t>d’usage</w:t>
      </w:r>
      <w:r w:rsidR="00DB1635" w:rsidRPr="00B004EE">
        <w:rPr>
          <w:rFonts w:ascii="Tahoma" w:hAnsi="Tahoma" w:cs="Tahoma"/>
          <w:sz w:val="20"/>
          <w:lang w:val="fr-FR"/>
        </w:rPr>
        <w:t xml:space="preserve"> </w:t>
      </w:r>
      <w:r w:rsidRPr="00B004EE">
        <w:rPr>
          <w:rFonts w:ascii="Tahoma" w:hAnsi="Tahoma" w:cs="Tahoma"/>
          <w:sz w:val="20"/>
          <w:lang w:val="fr-FR"/>
        </w:rPr>
        <w:t>;</w:t>
      </w:r>
      <w:r w:rsidR="00DB1635" w:rsidRPr="00B004EE">
        <w:rPr>
          <w:rFonts w:ascii="Tahoma" w:hAnsi="Tahoma" w:cs="Tahoma"/>
          <w:sz w:val="20"/>
          <w:lang w:val="fr-FR"/>
        </w:rPr>
        <w:t xml:space="preserve"> </w:t>
      </w:r>
    </w:p>
    <w:p w14:paraId="1EC84848" w14:textId="56A52FCD" w:rsidR="008518B0" w:rsidRPr="00B004EE" w:rsidRDefault="008518B0" w:rsidP="00420DDA">
      <w:pPr>
        <w:pStyle w:val="TxBrp2"/>
        <w:numPr>
          <w:ilvl w:val="0"/>
          <w:numId w:val="58"/>
        </w:numPr>
        <w:tabs>
          <w:tab w:val="clear" w:pos="204"/>
          <w:tab w:val="clear" w:pos="1776"/>
          <w:tab w:val="left" w:pos="426"/>
          <w:tab w:val="left" w:pos="9923"/>
        </w:tabs>
        <w:spacing w:line="240" w:lineRule="auto"/>
        <w:ind w:left="426" w:right="-1"/>
        <w:rPr>
          <w:rFonts w:ascii="Tahoma" w:hAnsi="Tahoma" w:cs="Tahoma"/>
          <w:sz w:val="20"/>
          <w:lang w:val="fr-FR"/>
        </w:rPr>
      </w:pPr>
      <w:proofErr w:type="gramStart"/>
      <w:r w:rsidRPr="00B004EE">
        <w:rPr>
          <w:rFonts w:ascii="Tahoma" w:hAnsi="Tahoma" w:cs="Tahoma"/>
          <w:sz w:val="20"/>
          <w:lang w:val="fr-FR"/>
        </w:rPr>
        <w:t>une</w:t>
      </w:r>
      <w:proofErr w:type="gramEnd"/>
      <w:r w:rsidR="00DB1635" w:rsidRPr="00B004EE">
        <w:rPr>
          <w:rFonts w:ascii="Tahoma" w:hAnsi="Tahoma" w:cs="Tahoma"/>
          <w:sz w:val="20"/>
          <w:lang w:val="fr-FR"/>
        </w:rPr>
        <w:t xml:space="preserve"> </w:t>
      </w:r>
      <w:r w:rsidRPr="00B004EE">
        <w:rPr>
          <w:rFonts w:ascii="Tahoma" w:hAnsi="Tahoma" w:cs="Tahoma"/>
          <w:sz w:val="20"/>
          <w:lang w:val="fr-FR"/>
        </w:rPr>
        <w:t>quittance</w:t>
      </w:r>
      <w:r w:rsidR="00DB1635" w:rsidRPr="00B004EE">
        <w:rPr>
          <w:rFonts w:ascii="Tahoma" w:hAnsi="Tahoma" w:cs="Tahoma"/>
          <w:sz w:val="20"/>
          <w:lang w:val="fr-FR"/>
        </w:rPr>
        <w:t xml:space="preserve"> </w:t>
      </w:r>
      <w:r w:rsidRPr="00B004EE">
        <w:rPr>
          <w:rFonts w:ascii="Tahoma" w:hAnsi="Tahoma" w:cs="Tahoma"/>
          <w:sz w:val="20"/>
          <w:lang w:val="fr-FR"/>
        </w:rPr>
        <w:t>de</w:t>
      </w:r>
      <w:r w:rsidR="00DB1635" w:rsidRPr="00B004EE">
        <w:rPr>
          <w:rFonts w:ascii="Tahoma" w:hAnsi="Tahoma" w:cs="Tahoma"/>
          <w:sz w:val="20"/>
          <w:lang w:val="fr-FR"/>
        </w:rPr>
        <w:t xml:space="preserve"> </w:t>
      </w:r>
      <w:r w:rsidRPr="00B004EE">
        <w:rPr>
          <w:rFonts w:ascii="Tahoma" w:hAnsi="Tahoma" w:cs="Tahoma"/>
          <w:sz w:val="20"/>
          <w:lang w:val="fr-FR"/>
        </w:rPr>
        <w:t>paiement,</w:t>
      </w:r>
      <w:r w:rsidR="00DB1635" w:rsidRPr="00B004EE">
        <w:rPr>
          <w:rFonts w:ascii="Tahoma" w:hAnsi="Tahoma" w:cs="Tahoma"/>
          <w:sz w:val="20"/>
          <w:lang w:val="fr-FR"/>
        </w:rPr>
        <w:t xml:space="preserve"> </w:t>
      </w:r>
      <w:r w:rsidRPr="00B004EE">
        <w:rPr>
          <w:rFonts w:ascii="Tahoma" w:hAnsi="Tahoma" w:cs="Tahoma"/>
          <w:sz w:val="20"/>
          <w:lang w:val="fr-FR"/>
        </w:rPr>
        <w:t>au</w:t>
      </w:r>
      <w:r w:rsidR="00DB1635" w:rsidRPr="00B004EE">
        <w:rPr>
          <w:rFonts w:ascii="Tahoma" w:hAnsi="Tahoma" w:cs="Tahoma"/>
          <w:sz w:val="20"/>
          <w:lang w:val="fr-FR"/>
        </w:rPr>
        <w:t xml:space="preserve"> </w:t>
      </w:r>
      <w:r w:rsidRPr="00B004EE">
        <w:rPr>
          <w:rFonts w:ascii="Tahoma" w:hAnsi="Tahoma" w:cs="Tahoma"/>
          <w:sz w:val="20"/>
          <w:lang w:val="fr-FR"/>
        </w:rPr>
        <w:t>Trésor</w:t>
      </w:r>
      <w:r w:rsidR="00DB1635" w:rsidRPr="00B004EE">
        <w:rPr>
          <w:rFonts w:ascii="Tahoma" w:hAnsi="Tahoma" w:cs="Tahoma"/>
          <w:sz w:val="20"/>
          <w:lang w:val="fr-FR"/>
        </w:rPr>
        <w:t xml:space="preserve"> </w:t>
      </w:r>
      <w:r w:rsidRPr="00B004EE">
        <w:rPr>
          <w:rFonts w:ascii="Tahoma" w:hAnsi="Tahoma" w:cs="Tahoma"/>
          <w:sz w:val="20"/>
          <w:lang w:val="fr-FR"/>
        </w:rPr>
        <w:t>public,</w:t>
      </w:r>
      <w:r w:rsidR="00DB1635" w:rsidRPr="00B004EE">
        <w:rPr>
          <w:rFonts w:ascii="Tahoma" w:hAnsi="Tahoma" w:cs="Tahoma"/>
          <w:sz w:val="20"/>
          <w:lang w:val="fr-FR"/>
        </w:rPr>
        <w:t xml:space="preserve"> </w:t>
      </w:r>
      <w:r w:rsidRPr="00B004EE">
        <w:rPr>
          <w:rFonts w:ascii="Tahoma" w:hAnsi="Tahoma" w:cs="Tahoma"/>
          <w:sz w:val="20"/>
          <w:lang w:val="fr-FR"/>
        </w:rPr>
        <w:t>d'un</w:t>
      </w:r>
      <w:r w:rsidR="00DB1635" w:rsidRPr="00B004EE">
        <w:rPr>
          <w:rFonts w:ascii="Tahoma" w:hAnsi="Tahoma" w:cs="Tahoma"/>
          <w:sz w:val="20"/>
          <w:lang w:val="fr-FR"/>
        </w:rPr>
        <w:t xml:space="preserve"> </w:t>
      </w:r>
      <w:r w:rsidRPr="00B004EE">
        <w:rPr>
          <w:rFonts w:ascii="Tahoma" w:hAnsi="Tahoma" w:cs="Tahoma"/>
          <w:sz w:val="20"/>
          <w:lang w:val="fr-FR"/>
        </w:rPr>
        <w:t>droit</w:t>
      </w:r>
      <w:r w:rsidR="00DB1635" w:rsidRPr="00B004EE">
        <w:rPr>
          <w:rFonts w:ascii="Tahoma" w:hAnsi="Tahoma" w:cs="Tahoma"/>
          <w:sz w:val="20"/>
          <w:lang w:val="fr-FR"/>
        </w:rPr>
        <w:t xml:space="preserve"> </w:t>
      </w:r>
      <w:r w:rsidRPr="00B004EE">
        <w:rPr>
          <w:rFonts w:ascii="Tahoma" w:hAnsi="Tahoma" w:cs="Tahoma"/>
          <w:sz w:val="20"/>
          <w:lang w:val="fr-FR"/>
        </w:rPr>
        <w:t>de</w:t>
      </w:r>
      <w:r w:rsidR="00DB1635" w:rsidRPr="00B004EE">
        <w:rPr>
          <w:rFonts w:ascii="Tahoma" w:hAnsi="Tahoma" w:cs="Tahoma"/>
          <w:sz w:val="20"/>
          <w:lang w:val="fr-FR"/>
        </w:rPr>
        <w:t xml:space="preserve"> </w:t>
      </w:r>
      <w:r w:rsidRPr="00B004EE">
        <w:rPr>
          <w:rFonts w:ascii="Tahoma" w:hAnsi="Tahoma" w:cs="Tahoma"/>
          <w:sz w:val="20"/>
          <w:lang w:val="fr-FR"/>
        </w:rPr>
        <w:t>réception</w:t>
      </w:r>
      <w:r w:rsidR="00DB1635" w:rsidRPr="00B004EE">
        <w:rPr>
          <w:rFonts w:ascii="Tahoma" w:hAnsi="Tahoma" w:cs="Tahoma"/>
          <w:sz w:val="20"/>
          <w:lang w:val="fr-FR"/>
        </w:rPr>
        <w:t xml:space="preserve"> </w:t>
      </w:r>
      <w:r w:rsidRPr="00B004EE">
        <w:rPr>
          <w:rFonts w:ascii="Tahoma" w:hAnsi="Tahoma" w:cs="Tahoma"/>
          <w:sz w:val="20"/>
          <w:lang w:val="fr-FR"/>
        </w:rPr>
        <w:t>du</w:t>
      </w:r>
      <w:r w:rsidR="00DB1635" w:rsidRPr="00B004EE">
        <w:rPr>
          <w:rFonts w:ascii="Tahoma" w:hAnsi="Tahoma" w:cs="Tahoma"/>
          <w:sz w:val="20"/>
          <w:lang w:val="fr-FR"/>
        </w:rPr>
        <w:t xml:space="preserve"> </w:t>
      </w:r>
      <w:r w:rsidRPr="00B004EE">
        <w:rPr>
          <w:rFonts w:ascii="Tahoma" w:hAnsi="Tahoma" w:cs="Tahoma"/>
          <w:sz w:val="20"/>
          <w:lang w:val="fr-FR"/>
        </w:rPr>
        <w:t>dossier</w:t>
      </w:r>
      <w:r w:rsidR="00DB1635" w:rsidRPr="00B004EE">
        <w:rPr>
          <w:rFonts w:ascii="Tahoma" w:hAnsi="Tahoma" w:cs="Tahoma"/>
          <w:sz w:val="20"/>
          <w:lang w:val="fr-FR"/>
        </w:rPr>
        <w:t xml:space="preserve"> </w:t>
      </w:r>
      <w:r w:rsidRPr="00B004EE">
        <w:rPr>
          <w:rFonts w:ascii="Tahoma" w:hAnsi="Tahoma" w:cs="Tahoma"/>
          <w:sz w:val="20"/>
          <w:lang w:val="fr-FR"/>
        </w:rPr>
        <w:t>et</w:t>
      </w:r>
      <w:r w:rsidR="00DB1635" w:rsidRPr="00B004EE">
        <w:rPr>
          <w:rFonts w:ascii="Tahoma" w:hAnsi="Tahoma" w:cs="Tahoma"/>
          <w:sz w:val="20"/>
          <w:lang w:val="fr-FR"/>
        </w:rPr>
        <w:t xml:space="preserve"> </w:t>
      </w:r>
      <w:r w:rsidRPr="00B004EE">
        <w:rPr>
          <w:rFonts w:ascii="Tahoma" w:hAnsi="Tahoma" w:cs="Tahoma"/>
          <w:sz w:val="20"/>
          <w:lang w:val="fr-FR"/>
        </w:rPr>
        <w:t>des</w:t>
      </w:r>
      <w:r w:rsidR="00DB1635" w:rsidRPr="00B004EE">
        <w:rPr>
          <w:rFonts w:ascii="Tahoma" w:hAnsi="Tahoma" w:cs="Tahoma"/>
          <w:sz w:val="20"/>
          <w:lang w:val="fr-FR"/>
        </w:rPr>
        <w:t xml:space="preserve"> </w:t>
      </w:r>
      <w:r w:rsidRPr="00B004EE">
        <w:rPr>
          <w:rFonts w:ascii="Tahoma" w:hAnsi="Tahoma" w:cs="Tahoma"/>
          <w:sz w:val="20"/>
          <w:lang w:val="fr-FR"/>
        </w:rPr>
        <w:t>frais</w:t>
      </w:r>
      <w:r w:rsidR="00DB1635" w:rsidRPr="00B004EE">
        <w:rPr>
          <w:rFonts w:ascii="Tahoma" w:hAnsi="Tahoma" w:cs="Tahoma"/>
          <w:sz w:val="20"/>
          <w:lang w:val="fr-FR"/>
        </w:rPr>
        <w:t xml:space="preserve"> </w:t>
      </w:r>
      <w:r w:rsidRPr="00B004EE">
        <w:rPr>
          <w:rFonts w:ascii="Tahoma" w:hAnsi="Tahoma" w:cs="Tahoma"/>
          <w:sz w:val="20"/>
          <w:lang w:val="fr-FR"/>
        </w:rPr>
        <w:t>d'établissement</w:t>
      </w:r>
      <w:r w:rsidR="00DB1635" w:rsidRPr="00B004EE">
        <w:rPr>
          <w:rFonts w:ascii="Tahoma" w:hAnsi="Tahoma" w:cs="Tahoma"/>
          <w:sz w:val="20"/>
          <w:lang w:val="fr-FR"/>
        </w:rPr>
        <w:t xml:space="preserve"> </w:t>
      </w:r>
      <w:r w:rsidRPr="00B004EE">
        <w:rPr>
          <w:rFonts w:ascii="Tahoma" w:hAnsi="Tahoma" w:cs="Tahoma"/>
          <w:sz w:val="20"/>
          <w:lang w:val="fr-FR"/>
        </w:rPr>
        <w:t>des</w:t>
      </w:r>
      <w:r w:rsidR="00DB1635" w:rsidRPr="00B004EE">
        <w:rPr>
          <w:rFonts w:ascii="Tahoma" w:hAnsi="Tahoma" w:cs="Tahoma"/>
          <w:sz w:val="20"/>
          <w:lang w:val="fr-FR"/>
        </w:rPr>
        <w:t xml:space="preserve"> </w:t>
      </w:r>
      <w:r w:rsidRPr="00B004EE">
        <w:rPr>
          <w:rFonts w:ascii="Tahoma" w:hAnsi="Tahoma" w:cs="Tahoma"/>
          <w:sz w:val="20"/>
          <w:lang w:val="fr-FR"/>
        </w:rPr>
        <w:t>droits</w:t>
      </w:r>
      <w:r w:rsidR="00DB1635" w:rsidRPr="00B004EE">
        <w:rPr>
          <w:rFonts w:ascii="Tahoma" w:hAnsi="Tahoma" w:cs="Tahoma"/>
          <w:sz w:val="20"/>
          <w:lang w:val="fr-FR"/>
        </w:rPr>
        <w:t xml:space="preserve"> </w:t>
      </w:r>
      <w:r w:rsidRPr="00B004EE">
        <w:rPr>
          <w:rFonts w:ascii="Tahoma" w:hAnsi="Tahoma" w:cs="Tahoma"/>
          <w:sz w:val="20"/>
          <w:lang w:val="fr-FR"/>
        </w:rPr>
        <w:t>d'usage</w:t>
      </w:r>
      <w:r w:rsidR="00DB1635" w:rsidRPr="00B004EE">
        <w:rPr>
          <w:rFonts w:ascii="Tahoma" w:hAnsi="Tahoma" w:cs="Tahoma"/>
          <w:sz w:val="20"/>
          <w:lang w:val="fr-FR"/>
        </w:rPr>
        <w:t xml:space="preserve"> </w:t>
      </w:r>
      <w:r w:rsidRPr="00B004EE">
        <w:rPr>
          <w:rFonts w:ascii="Tahoma" w:hAnsi="Tahoma" w:cs="Tahoma"/>
          <w:sz w:val="20"/>
          <w:lang w:val="fr-FR"/>
        </w:rPr>
        <w:t>du</w:t>
      </w:r>
      <w:r w:rsidR="00DB1635" w:rsidRPr="00B004EE">
        <w:rPr>
          <w:rFonts w:ascii="Tahoma" w:hAnsi="Tahoma" w:cs="Tahoma"/>
          <w:sz w:val="20"/>
          <w:lang w:val="fr-FR"/>
        </w:rPr>
        <w:t xml:space="preserve"> </w:t>
      </w:r>
      <w:r w:rsidRPr="00B004EE">
        <w:rPr>
          <w:rFonts w:ascii="Tahoma" w:hAnsi="Tahoma" w:cs="Tahoma"/>
          <w:sz w:val="20"/>
          <w:lang w:val="fr-FR"/>
        </w:rPr>
        <w:t>cahier</w:t>
      </w:r>
      <w:r w:rsidR="00DB1635" w:rsidRPr="00B004EE">
        <w:rPr>
          <w:rFonts w:ascii="Tahoma" w:hAnsi="Tahoma" w:cs="Tahoma"/>
          <w:sz w:val="20"/>
          <w:lang w:val="fr-FR"/>
        </w:rPr>
        <w:t xml:space="preserve"> </w:t>
      </w:r>
      <w:r w:rsidRPr="00B004EE">
        <w:rPr>
          <w:rFonts w:ascii="Tahoma" w:hAnsi="Tahoma" w:cs="Tahoma"/>
          <w:sz w:val="20"/>
          <w:lang w:val="fr-FR"/>
        </w:rPr>
        <w:t>de</w:t>
      </w:r>
      <w:r w:rsidR="00DB1635" w:rsidRPr="00B004EE">
        <w:rPr>
          <w:rFonts w:ascii="Tahoma" w:hAnsi="Tahoma" w:cs="Tahoma"/>
          <w:sz w:val="20"/>
          <w:lang w:val="fr-FR"/>
        </w:rPr>
        <w:t xml:space="preserve"> </w:t>
      </w:r>
      <w:r w:rsidRPr="00B004EE">
        <w:rPr>
          <w:rFonts w:ascii="Tahoma" w:hAnsi="Tahoma" w:cs="Tahoma"/>
          <w:sz w:val="20"/>
          <w:lang w:val="fr-FR"/>
        </w:rPr>
        <w:t>charge,</w:t>
      </w:r>
      <w:r w:rsidR="00DB1635" w:rsidRPr="00B004EE">
        <w:rPr>
          <w:rFonts w:ascii="Tahoma" w:hAnsi="Tahoma" w:cs="Tahoma"/>
          <w:sz w:val="20"/>
          <w:lang w:val="fr-FR"/>
        </w:rPr>
        <w:t xml:space="preserve"> </w:t>
      </w:r>
      <w:r w:rsidRPr="00B004EE">
        <w:rPr>
          <w:rFonts w:ascii="Tahoma" w:hAnsi="Tahoma" w:cs="Tahoma"/>
          <w:sz w:val="20"/>
          <w:lang w:val="fr-FR"/>
        </w:rPr>
        <w:t>et,</w:t>
      </w:r>
      <w:r w:rsidR="00DB1635" w:rsidRPr="00B004EE">
        <w:rPr>
          <w:rFonts w:ascii="Tahoma" w:hAnsi="Tahoma" w:cs="Tahoma"/>
          <w:sz w:val="20"/>
          <w:lang w:val="fr-FR"/>
        </w:rPr>
        <w:t xml:space="preserve"> </w:t>
      </w:r>
    </w:p>
    <w:p w14:paraId="0489AB2E" w14:textId="72CE3960" w:rsidR="008518B0" w:rsidRPr="00B004EE" w:rsidRDefault="008518B0" w:rsidP="00420DDA">
      <w:pPr>
        <w:pStyle w:val="TxBrp2"/>
        <w:numPr>
          <w:ilvl w:val="0"/>
          <w:numId w:val="58"/>
        </w:numPr>
        <w:tabs>
          <w:tab w:val="clear" w:pos="204"/>
          <w:tab w:val="clear" w:pos="1776"/>
          <w:tab w:val="left" w:pos="426"/>
          <w:tab w:val="left" w:pos="9923"/>
        </w:tabs>
        <w:spacing w:line="240" w:lineRule="auto"/>
        <w:ind w:left="426" w:right="-1"/>
        <w:rPr>
          <w:rFonts w:ascii="Tahoma" w:hAnsi="Tahoma" w:cs="Tahoma"/>
          <w:sz w:val="20"/>
          <w:lang w:val="fr-FR"/>
        </w:rPr>
      </w:pPr>
      <w:proofErr w:type="gramStart"/>
      <w:r w:rsidRPr="00B004EE">
        <w:rPr>
          <w:rFonts w:ascii="Tahoma" w:hAnsi="Tahoma" w:cs="Tahoma"/>
          <w:sz w:val="20"/>
          <w:lang w:val="fr-FR"/>
        </w:rPr>
        <w:t>toutes</w:t>
      </w:r>
      <w:proofErr w:type="gramEnd"/>
      <w:r w:rsidR="00DB1635" w:rsidRPr="00B004EE">
        <w:rPr>
          <w:rFonts w:ascii="Tahoma" w:hAnsi="Tahoma" w:cs="Tahoma"/>
          <w:sz w:val="20"/>
          <w:lang w:val="fr-FR"/>
        </w:rPr>
        <w:t xml:space="preserve"> </w:t>
      </w:r>
      <w:r w:rsidRPr="00B004EE">
        <w:rPr>
          <w:rFonts w:ascii="Tahoma" w:hAnsi="Tahoma" w:cs="Tahoma"/>
          <w:sz w:val="20"/>
          <w:lang w:val="fr-FR"/>
        </w:rPr>
        <w:t>les</w:t>
      </w:r>
      <w:r w:rsidR="00DB1635" w:rsidRPr="00B004EE">
        <w:rPr>
          <w:rFonts w:ascii="Tahoma" w:hAnsi="Tahoma" w:cs="Tahoma"/>
          <w:sz w:val="20"/>
          <w:lang w:val="fr-FR"/>
        </w:rPr>
        <w:t xml:space="preserve"> </w:t>
      </w:r>
      <w:r w:rsidRPr="00B004EE">
        <w:rPr>
          <w:rFonts w:ascii="Tahoma" w:hAnsi="Tahoma" w:cs="Tahoma"/>
          <w:sz w:val="20"/>
          <w:lang w:val="fr-FR"/>
        </w:rPr>
        <w:t>informations</w:t>
      </w:r>
      <w:r w:rsidR="00DB1635" w:rsidRPr="00B004EE">
        <w:rPr>
          <w:rFonts w:ascii="Tahoma" w:hAnsi="Tahoma" w:cs="Tahoma"/>
          <w:sz w:val="20"/>
          <w:lang w:val="fr-FR"/>
        </w:rPr>
        <w:t xml:space="preserve"> </w:t>
      </w:r>
      <w:r w:rsidRPr="00B004EE">
        <w:rPr>
          <w:rFonts w:ascii="Tahoma" w:hAnsi="Tahoma" w:cs="Tahoma"/>
          <w:sz w:val="20"/>
          <w:lang w:val="fr-FR"/>
        </w:rPr>
        <w:t>demandées</w:t>
      </w:r>
      <w:r w:rsidR="00DB1635" w:rsidRPr="00B004EE">
        <w:rPr>
          <w:rFonts w:ascii="Tahoma" w:hAnsi="Tahoma" w:cs="Tahoma"/>
          <w:sz w:val="20"/>
          <w:lang w:val="fr-FR"/>
        </w:rPr>
        <w:t xml:space="preserve"> </w:t>
      </w:r>
      <w:r w:rsidRPr="00B004EE">
        <w:rPr>
          <w:rFonts w:ascii="Tahoma" w:hAnsi="Tahoma" w:cs="Tahoma"/>
          <w:sz w:val="20"/>
          <w:lang w:val="fr-FR"/>
        </w:rPr>
        <w:t>par</w:t>
      </w:r>
      <w:r w:rsidR="00DB1635" w:rsidRPr="00B004EE">
        <w:rPr>
          <w:rFonts w:ascii="Tahoma" w:hAnsi="Tahoma" w:cs="Tahoma"/>
          <w:sz w:val="20"/>
          <w:lang w:val="fr-FR"/>
        </w:rPr>
        <w:t xml:space="preserve"> </w:t>
      </w:r>
      <w:r w:rsidRPr="00B004EE">
        <w:rPr>
          <w:rFonts w:ascii="Tahoma" w:hAnsi="Tahoma" w:cs="Tahoma"/>
          <w:sz w:val="20"/>
          <w:lang w:val="fr-FR"/>
        </w:rPr>
        <w:t>l’administration</w:t>
      </w:r>
      <w:r w:rsidR="00DB1635" w:rsidRPr="00B004EE">
        <w:rPr>
          <w:rFonts w:ascii="Tahoma" w:hAnsi="Tahoma" w:cs="Tahoma"/>
          <w:sz w:val="20"/>
          <w:lang w:val="fr-FR"/>
        </w:rPr>
        <w:t xml:space="preserve"> </w:t>
      </w:r>
      <w:r w:rsidRPr="00B004EE">
        <w:rPr>
          <w:rFonts w:ascii="Tahoma" w:hAnsi="Tahoma" w:cs="Tahoma"/>
          <w:sz w:val="20"/>
          <w:lang w:val="fr-FR"/>
        </w:rPr>
        <w:t>et</w:t>
      </w:r>
      <w:r w:rsidR="00DB1635" w:rsidRPr="00B004EE">
        <w:rPr>
          <w:rFonts w:ascii="Tahoma" w:hAnsi="Tahoma" w:cs="Tahoma"/>
          <w:sz w:val="20"/>
          <w:lang w:val="fr-FR"/>
        </w:rPr>
        <w:t xml:space="preserve"> </w:t>
      </w:r>
      <w:r w:rsidRPr="00B004EE">
        <w:rPr>
          <w:rFonts w:ascii="Tahoma" w:hAnsi="Tahoma" w:cs="Tahoma"/>
          <w:sz w:val="20"/>
          <w:lang w:val="fr-FR"/>
        </w:rPr>
        <w:t>notamment</w:t>
      </w:r>
      <w:r w:rsidR="00DB1635" w:rsidRPr="00B004EE">
        <w:rPr>
          <w:rFonts w:ascii="Tahoma" w:hAnsi="Tahoma" w:cs="Tahoma"/>
          <w:sz w:val="20"/>
          <w:lang w:val="fr-FR"/>
        </w:rPr>
        <w:t xml:space="preserve"> </w:t>
      </w:r>
      <w:r w:rsidRPr="00B004EE">
        <w:rPr>
          <w:rFonts w:ascii="Tahoma" w:hAnsi="Tahoma" w:cs="Tahoma"/>
          <w:sz w:val="20"/>
          <w:lang w:val="fr-FR"/>
        </w:rPr>
        <w:t>celles</w:t>
      </w:r>
      <w:r w:rsidR="00DB1635" w:rsidRPr="00B004EE">
        <w:rPr>
          <w:rFonts w:ascii="Tahoma" w:hAnsi="Tahoma" w:cs="Tahoma"/>
          <w:sz w:val="20"/>
          <w:lang w:val="fr-FR"/>
        </w:rPr>
        <w:t xml:space="preserve"> </w:t>
      </w:r>
      <w:r w:rsidRPr="00B004EE">
        <w:rPr>
          <w:rFonts w:ascii="Tahoma" w:hAnsi="Tahoma" w:cs="Tahoma"/>
          <w:sz w:val="20"/>
          <w:lang w:val="fr-FR"/>
        </w:rPr>
        <w:t>permettant</w:t>
      </w:r>
      <w:r w:rsidR="00DB1635" w:rsidRPr="00B004EE">
        <w:rPr>
          <w:rFonts w:ascii="Tahoma" w:hAnsi="Tahoma" w:cs="Tahoma"/>
          <w:sz w:val="20"/>
          <w:lang w:val="fr-FR"/>
        </w:rPr>
        <w:t xml:space="preserve"> </w:t>
      </w:r>
      <w:r w:rsidRPr="00B004EE">
        <w:rPr>
          <w:rFonts w:ascii="Tahoma" w:hAnsi="Tahoma" w:cs="Tahoma"/>
          <w:sz w:val="20"/>
          <w:lang w:val="fr-FR"/>
        </w:rPr>
        <w:t>d’apprécier</w:t>
      </w:r>
      <w:r w:rsidR="00DB1635" w:rsidRPr="00B004EE">
        <w:rPr>
          <w:rFonts w:ascii="Tahoma" w:hAnsi="Tahoma" w:cs="Tahoma"/>
          <w:sz w:val="20"/>
          <w:lang w:val="fr-FR"/>
        </w:rPr>
        <w:t xml:space="preserve"> </w:t>
      </w:r>
      <w:r w:rsidRPr="00B004EE">
        <w:rPr>
          <w:rFonts w:ascii="Tahoma" w:hAnsi="Tahoma" w:cs="Tahoma"/>
          <w:sz w:val="20"/>
          <w:lang w:val="fr-FR"/>
        </w:rPr>
        <w:t>les</w:t>
      </w:r>
      <w:r w:rsidR="00DB1635" w:rsidRPr="00B004EE">
        <w:rPr>
          <w:rFonts w:ascii="Tahoma" w:hAnsi="Tahoma" w:cs="Tahoma"/>
          <w:sz w:val="20"/>
          <w:lang w:val="fr-FR"/>
        </w:rPr>
        <w:t xml:space="preserve"> </w:t>
      </w:r>
      <w:r w:rsidRPr="00B004EE">
        <w:rPr>
          <w:rFonts w:ascii="Tahoma" w:hAnsi="Tahoma" w:cs="Tahoma"/>
          <w:sz w:val="20"/>
          <w:lang w:val="fr-FR"/>
        </w:rPr>
        <w:t>critères</w:t>
      </w:r>
      <w:r w:rsidR="00DB1635" w:rsidRPr="00B004EE">
        <w:rPr>
          <w:rFonts w:ascii="Tahoma" w:hAnsi="Tahoma" w:cs="Tahoma"/>
          <w:sz w:val="20"/>
          <w:lang w:val="fr-FR"/>
        </w:rPr>
        <w:t xml:space="preserve"> </w:t>
      </w:r>
      <w:r w:rsidRPr="00B004EE">
        <w:rPr>
          <w:rFonts w:ascii="Tahoma" w:hAnsi="Tahoma" w:cs="Tahoma"/>
          <w:sz w:val="20"/>
          <w:lang w:val="fr-FR"/>
        </w:rPr>
        <w:t>prévus</w:t>
      </w:r>
      <w:r w:rsidR="00DB1635" w:rsidRPr="00B004EE">
        <w:rPr>
          <w:rFonts w:ascii="Tahoma" w:hAnsi="Tahoma" w:cs="Tahoma"/>
          <w:sz w:val="20"/>
          <w:lang w:val="fr-FR"/>
        </w:rPr>
        <w:t xml:space="preserve"> </w:t>
      </w:r>
      <w:r w:rsidRPr="00B004EE">
        <w:rPr>
          <w:rFonts w:ascii="Tahoma" w:hAnsi="Tahoma" w:cs="Tahoma"/>
          <w:sz w:val="20"/>
          <w:lang w:val="fr-FR"/>
        </w:rPr>
        <w:t>à</w:t>
      </w:r>
      <w:r w:rsidR="00DB1635" w:rsidRPr="00B004EE">
        <w:rPr>
          <w:rFonts w:ascii="Tahoma" w:hAnsi="Tahoma" w:cs="Tahoma"/>
          <w:sz w:val="20"/>
          <w:lang w:val="fr-FR"/>
        </w:rPr>
        <w:t xml:space="preserve"> </w:t>
      </w:r>
      <w:r w:rsidRPr="00B004EE">
        <w:rPr>
          <w:rFonts w:ascii="Tahoma" w:hAnsi="Tahoma" w:cs="Tahoma"/>
          <w:sz w:val="20"/>
          <w:lang w:val="fr-FR"/>
        </w:rPr>
        <w:t>l’article</w:t>
      </w:r>
      <w:r w:rsidR="00DB1635" w:rsidRPr="00B004EE">
        <w:rPr>
          <w:rFonts w:ascii="Tahoma" w:hAnsi="Tahoma" w:cs="Tahoma"/>
          <w:sz w:val="20"/>
          <w:lang w:val="fr-FR"/>
        </w:rPr>
        <w:t xml:space="preserve"> </w:t>
      </w:r>
      <w:r w:rsidRPr="00B004EE">
        <w:rPr>
          <w:rFonts w:ascii="Tahoma" w:hAnsi="Tahoma" w:cs="Tahoma"/>
          <w:sz w:val="20"/>
          <w:lang w:val="fr-FR"/>
        </w:rPr>
        <w:t>25</w:t>
      </w:r>
      <w:r w:rsidR="00DB1635" w:rsidRPr="00B004EE">
        <w:rPr>
          <w:rFonts w:ascii="Tahoma" w:hAnsi="Tahoma" w:cs="Tahoma"/>
          <w:sz w:val="20"/>
          <w:lang w:val="fr-FR"/>
        </w:rPr>
        <w:t xml:space="preserve"> </w:t>
      </w:r>
      <w:r w:rsidRPr="00B004EE">
        <w:rPr>
          <w:rFonts w:ascii="Tahoma" w:hAnsi="Tahoma" w:cs="Tahoma"/>
          <w:sz w:val="20"/>
          <w:lang w:val="fr-FR"/>
        </w:rPr>
        <w:t>de</w:t>
      </w:r>
      <w:r w:rsidR="00DB1635" w:rsidRPr="00B004EE">
        <w:rPr>
          <w:rFonts w:ascii="Tahoma" w:hAnsi="Tahoma" w:cs="Tahoma"/>
          <w:sz w:val="20"/>
          <w:lang w:val="fr-FR"/>
        </w:rPr>
        <w:t xml:space="preserve"> </w:t>
      </w:r>
      <w:r w:rsidRPr="00B004EE">
        <w:rPr>
          <w:rFonts w:ascii="Tahoma" w:hAnsi="Tahoma" w:cs="Tahoma"/>
          <w:sz w:val="20"/>
          <w:lang w:val="fr-FR"/>
        </w:rPr>
        <w:t>la</w:t>
      </w:r>
      <w:r w:rsidR="00DB1635" w:rsidRPr="00B004EE">
        <w:rPr>
          <w:rFonts w:ascii="Tahoma" w:hAnsi="Tahoma" w:cs="Tahoma"/>
          <w:sz w:val="20"/>
          <w:lang w:val="fr-FR"/>
        </w:rPr>
        <w:t xml:space="preserve"> </w:t>
      </w:r>
      <w:r w:rsidRPr="00B004EE">
        <w:rPr>
          <w:rFonts w:ascii="Tahoma" w:hAnsi="Tahoma" w:cs="Tahoma"/>
          <w:sz w:val="20"/>
          <w:lang w:val="fr-FR"/>
        </w:rPr>
        <w:t>loi</w:t>
      </w:r>
      <w:r w:rsidR="00DB1635" w:rsidRPr="00B004EE">
        <w:rPr>
          <w:rFonts w:ascii="Tahoma" w:hAnsi="Tahoma" w:cs="Tahoma"/>
          <w:sz w:val="20"/>
          <w:lang w:val="fr-FR"/>
        </w:rPr>
        <w:t xml:space="preserve"> </w:t>
      </w:r>
      <w:r w:rsidRPr="00B004EE">
        <w:rPr>
          <w:rFonts w:ascii="Tahoma" w:hAnsi="Tahoma" w:cs="Tahoma"/>
          <w:sz w:val="20"/>
          <w:lang w:val="fr-FR"/>
        </w:rPr>
        <w:t>n°017-2015</w:t>
      </w:r>
      <w:r w:rsidR="00DB1635" w:rsidRPr="00B004EE">
        <w:rPr>
          <w:rFonts w:ascii="Tahoma" w:hAnsi="Tahoma" w:cs="Tahoma"/>
          <w:sz w:val="20"/>
          <w:lang w:val="fr-FR"/>
        </w:rPr>
        <w:t xml:space="preserve"> </w:t>
      </w:r>
      <w:r w:rsidRPr="00B004EE">
        <w:rPr>
          <w:rFonts w:ascii="Tahoma" w:hAnsi="Tahoma" w:cs="Tahoma"/>
          <w:sz w:val="20"/>
          <w:lang w:val="fr-FR"/>
        </w:rPr>
        <w:t>du</w:t>
      </w:r>
      <w:r w:rsidR="00DB1635" w:rsidRPr="00B004EE">
        <w:rPr>
          <w:rFonts w:ascii="Tahoma" w:hAnsi="Tahoma" w:cs="Tahoma"/>
          <w:sz w:val="20"/>
          <w:lang w:val="fr-FR"/>
        </w:rPr>
        <w:t xml:space="preserve"> </w:t>
      </w:r>
      <w:r w:rsidRPr="00B004EE">
        <w:rPr>
          <w:rFonts w:ascii="Tahoma" w:hAnsi="Tahoma" w:cs="Tahoma"/>
          <w:sz w:val="20"/>
          <w:lang w:val="fr-FR"/>
        </w:rPr>
        <w:t>29</w:t>
      </w:r>
      <w:r w:rsidR="00DB1635" w:rsidRPr="00B004EE">
        <w:rPr>
          <w:rFonts w:ascii="Tahoma" w:hAnsi="Tahoma" w:cs="Tahoma"/>
          <w:sz w:val="20"/>
          <w:lang w:val="fr-FR"/>
        </w:rPr>
        <w:t xml:space="preserve"> </w:t>
      </w:r>
      <w:r w:rsidRPr="00B004EE">
        <w:rPr>
          <w:rFonts w:ascii="Tahoma" w:hAnsi="Tahoma" w:cs="Tahoma"/>
          <w:sz w:val="20"/>
          <w:lang w:val="fr-FR"/>
        </w:rPr>
        <w:t>juillet</w:t>
      </w:r>
      <w:r w:rsidR="00DB1635" w:rsidRPr="00B004EE">
        <w:rPr>
          <w:rFonts w:ascii="Tahoma" w:hAnsi="Tahoma" w:cs="Tahoma"/>
          <w:sz w:val="20"/>
          <w:lang w:val="fr-FR"/>
        </w:rPr>
        <w:t xml:space="preserve"> </w:t>
      </w:r>
      <w:r w:rsidRPr="00B004EE">
        <w:rPr>
          <w:rFonts w:ascii="Tahoma" w:hAnsi="Tahoma" w:cs="Tahoma"/>
          <w:sz w:val="20"/>
          <w:lang w:val="fr-FR"/>
        </w:rPr>
        <w:t>2105</w:t>
      </w:r>
      <w:r w:rsidR="00DB1635" w:rsidRPr="00B004EE">
        <w:rPr>
          <w:rFonts w:ascii="Tahoma" w:hAnsi="Tahoma" w:cs="Tahoma"/>
          <w:sz w:val="20"/>
          <w:lang w:val="fr-FR"/>
        </w:rPr>
        <w:t xml:space="preserve"> </w:t>
      </w:r>
      <w:r w:rsidRPr="00B004EE">
        <w:rPr>
          <w:rFonts w:ascii="Tahoma" w:hAnsi="Tahoma" w:cs="Tahoma"/>
          <w:sz w:val="20"/>
          <w:lang w:val="fr-FR"/>
        </w:rPr>
        <w:t>portant</w:t>
      </w:r>
      <w:r w:rsidR="00DB1635" w:rsidRPr="00B004EE">
        <w:rPr>
          <w:rFonts w:ascii="Tahoma" w:hAnsi="Tahoma" w:cs="Tahoma"/>
          <w:sz w:val="20"/>
          <w:lang w:val="fr-FR"/>
        </w:rPr>
        <w:t xml:space="preserve"> </w:t>
      </w:r>
      <w:r w:rsidRPr="00B004EE">
        <w:rPr>
          <w:rFonts w:ascii="Tahoma" w:hAnsi="Tahoma" w:cs="Tahoma"/>
          <w:sz w:val="20"/>
          <w:lang w:val="fr-FR"/>
        </w:rPr>
        <w:t>Code</w:t>
      </w:r>
      <w:r w:rsidR="00DB1635" w:rsidRPr="00B004EE">
        <w:rPr>
          <w:rFonts w:ascii="Tahoma" w:hAnsi="Tahoma" w:cs="Tahoma"/>
          <w:sz w:val="20"/>
          <w:lang w:val="fr-FR"/>
        </w:rPr>
        <w:t xml:space="preserve"> </w:t>
      </w:r>
      <w:r w:rsidRPr="00B004EE">
        <w:rPr>
          <w:rFonts w:ascii="Tahoma" w:hAnsi="Tahoma" w:cs="Tahoma"/>
          <w:sz w:val="20"/>
          <w:lang w:val="fr-FR"/>
        </w:rPr>
        <w:t>des</w:t>
      </w:r>
      <w:r w:rsidR="00DB1635" w:rsidRPr="00B004EE">
        <w:rPr>
          <w:rFonts w:ascii="Tahoma" w:hAnsi="Tahoma" w:cs="Tahoma"/>
          <w:sz w:val="20"/>
          <w:lang w:val="fr-FR"/>
        </w:rPr>
        <w:t xml:space="preserve"> </w:t>
      </w:r>
      <w:r w:rsidRPr="00B004EE">
        <w:rPr>
          <w:rFonts w:ascii="Tahoma" w:hAnsi="Tahoma" w:cs="Tahoma"/>
          <w:sz w:val="20"/>
          <w:lang w:val="fr-FR"/>
        </w:rPr>
        <w:t>pêches</w:t>
      </w:r>
      <w:r w:rsidR="00DB1635" w:rsidRPr="00B004EE">
        <w:rPr>
          <w:rFonts w:ascii="Tahoma" w:hAnsi="Tahoma" w:cs="Tahoma"/>
          <w:sz w:val="20"/>
          <w:lang w:val="fr-FR"/>
        </w:rPr>
        <w:t xml:space="preserve"> </w:t>
      </w:r>
      <w:r w:rsidRPr="00B004EE">
        <w:rPr>
          <w:rFonts w:ascii="Tahoma" w:hAnsi="Tahoma" w:cs="Tahoma"/>
          <w:sz w:val="20"/>
          <w:lang w:val="fr-FR"/>
        </w:rPr>
        <w:t>.</w:t>
      </w:r>
      <w:r w:rsidR="00DB1635" w:rsidRPr="00B004EE">
        <w:rPr>
          <w:rFonts w:ascii="Tahoma" w:hAnsi="Tahoma" w:cs="Tahoma"/>
          <w:sz w:val="20"/>
          <w:lang w:val="fr-FR"/>
        </w:rPr>
        <w:t xml:space="preserve"> </w:t>
      </w:r>
    </w:p>
    <w:p w14:paraId="3078BFF4" w14:textId="77777777" w:rsidR="008518B0" w:rsidRPr="00B004EE" w:rsidRDefault="008518B0" w:rsidP="00B004EE">
      <w:pPr>
        <w:rPr>
          <w:rFonts w:ascii="Tahoma" w:hAnsi="Tahoma" w:cs="Tahoma"/>
          <w:sz w:val="20"/>
          <w:szCs w:val="20"/>
        </w:rPr>
      </w:pPr>
    </w:p>
    <w:p w14:paraId="2368CEFB" w14:textId="15EF5C4F" w:rsidR="008518B0" w:rsidRPr="00B004EE" w:rsidRDefault="008518B0" w:rsidP="00B004EE">
      <w:pPr>
        <w:rPr>
          <w:rFonts w:ascii="Tahoma" w:hAnsi="Tahoma" w:cs="Tahoma"/>
          <w:sz w:val="20"/>
          <w:szCs w:val="20"/>
        </w:rPr>
      </w:pP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droit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réception</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fixé</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w:t>
      </w:r>
    </w:p>
    <w:p w14:paraId="5616F743" w14:textId="160B3655" w:rsidR="008518B0" w:rsidRPr="00B004EE" w:rsidRDefault="008518B0" w:rsidP="00420DDA">
      <w:pPr>
        <w:pStyle w:val="TxBrp2"/>
        <w:numPr>
          <w:ilvl w:val="0"/>
          <w:numId w:val="58"/>
        </w:numPr>
        <w:tabs>
          <w:tab w:val="clear" w:pos="204"/>
          <w:tab w:val="clear" w:pos="1776"/>
          <w:tab w:val="left" w:pos="426"/>
          <w:tab w:val="left" w:pos="9923"/>
        </w:tabs>
        <w:spacing w:line="240" w:lineRule="auto"/>
        <w:ind w:left="426" w:right="-1"/>
        <w:rPr>
          <w:rFonts w:ascii="Tahoma" w:hAnsi="Tahoma" w:cs="Tahoma"/>
          <w:sz w:val="20"/>
          <w:lang w:val="fr-FR"/>
        </w:rPr>
      </w:pPr>
      <w:proofErr w:type="gramStart"/>
      <w:r w:rsidRPr="00B004EE">
        <w:rPr>
          <w:rFonts w:ascii="Tahoma" w:hAnsi="Tahoma" w:cs="Tahoma"/>
          <w:sz w:val="20"/>
          <w:lang w:val="fr-FR"/>
        </w:rPr>
        <w:t>un</w:t>
      </w:r>
      <w:proofErr w:type="gramEnd"/>
      <w:r w:rsidR="00DB1635" w:rsidRPr="00B004EE">
        <w:rPr>
          <w:rFonts w:ascii="Tahoma" w:hAnsi="Tahoma" w:cs="Tahoma"/>
          <w:sz w:val="20"/>
          <w:lang w:val="fr-FR"/>
        </w:rPr>
        <w:t xml:space="preserve"> </w:t>
      </w:r>
      <w:r w:rsidRPr="00B004EE">
        <w:rPr>
          <w:rFonts w:ascii="Tahoma" w:hAnsi="Tahoma" w:cs="Tahoma"/>
          <w:sz w:val="20"/>
          <w:lang w:val="fr-FR"/>
        </w:rPr>
        <w:t>(1)</w:t>
      </w:r>
      <w:r w:rsidR="00DB1635" w:rsidRPr="00B004EE">
        <w:rPr>
          <w:rFonts w:ascii="Tahoma" w:hAnsi="Tahoma" w:cs="Tahoma"/>
          <w:sz w:val="20"/>
          <w:lang w:val="fr-FR"/>
        </w:rPr>
        <w:t xml:space="preserve"> </w:t>
      </w:r>
      <w:r w:rsidRPr="00B004EE">
        <w:rPr>
          <w:rFonts w:ascii="Tahoma" w:hAnsi="Tahoma" w:cs="Tahoma"/>
          <w:sz w:val="20"/>
          <w:lang w:val="fr-FR"/>
        </w:rPr>
        <w:t>million</w:t>
      </w:r>
      <w:r w:rsidR="00DB1635" w:rsidRPr="00B004EE">
        <w:rPr>
          <w:rFonts w:ascii="Tahoma" w:hAnsi="Tahoma" w:cs="Tahoma"/>
          <w:sz w:val="20"/>
          <w:lang w:val="fr-FR"/>
        </w:rPr>
        <w:t xml:space="preserve"> </w:t>
      </w:r>
      <w:r w:rsidRPr="00B004EE">
        <w:rPr>
          <w:rFonts w:ascii="Tahoma" w:hAnsi="Tahoma" w:cs="Tahoma"/>
          <w:sz w:val="20"/>
          <w:lang w:val="fr-FR"/>
        </w:rPr>
        <w:t>ouguiya</w:t>
      </w:r>
      <w:r w:rsidR="00DB1635" w:rsidRPr="00B004EE">
        <w:rPr>
          <w:rFonts w:ascii="Tahoma" w:hAnsi="Tahoma" w:cs="Tahoma"/>
          <w:sz w:val="20"/>
          <w:lang w:val="fr-FR"/>
        </w:rPr>
        <w:t xml:space="preserve"> </w:t>
      </w:r>
      <w:r w:rsidRPr="00B004EE">
        <w:rPr>
          <w:rFonts w:ascii="Tahoma" w:hAnsi="Tahoma" w:cs="Tahoma"/>
          <w:sz w:val="20"/>
          <w:lang w:val="fr-FR"/>
        </w:rPr>
        <w:t>pour</w:t>
      </w:r>
      <w:r w:rsidR="00DB1635" w:rsidRPr="00B004EE">
        <w:rPr>
          <w:rFonts w:ascii="Tahoma" w:hAnsi="Tahoma" w:cs="Tahoma"/>
          <w:sz w:val="20"/>
          <w:lang w:val="fr-FR"/>
        </w:rPr>
        <w:t xml:space="preserve"> </w:t>
      </w:r>
      <w:r w:rsidRPr="00B004EE">
        <w:rPr>
          <w:rFonts w:ascii="Tahoma" w:hAnsi="Tahoma" w:cs="Tahoma"/>
          <w:sz w:val="20"/>
          <w:lang w:val="fr-FR"/>
        </w:rPr>
        <w:t>les</w:t>
      </w:r>
      <w:r w:rsidR="00DB1635" w:rsidRPr="00B004EE">
        <w:rPr>
          <w:rFonts w:ascii="Tahoma" w:hAnsi="Tahoma" w:cs="Tahoma"/>
          <w:sz w:val="20"/>
          <w:lang w:val="fr-FR"/>
        </w:rPr>
        <w:t xml:space="preserve"> </w:t>
      </w:r>
      <w:r w:rsidRPr="00B004EE">
        <w:rPr>
          <w:rFonts w:ascii="Tahoma" w:hAnsi="Tahoma" w:cs="Tahoma"/>
          <w:sz w:val="20"/>
          <w:lang w:val="fr-FR"/>
        </w:rPr>
        <w:t>activités</w:t>
      </w:r>
      <w:r w:rsidR="00DB1635" w:rsidRPr="00B004EE">
        <w:rPr>
          <w:rFonts w:ascii="Tahoma" w:hAnsi="Tahoma" w:cs="Tahoma"/>
          <w:sz w:val="20"/>
          <w:lang w:val="fr-FR"/>
        </w:rPr>
        <w:t xml:space="preserve"> </w:t>
      </w:r>
      <w:r w:rsidRPr="00B004EE">
        <w:rPr>
          <w:rFonts w:ascii="Tahoma" w:hAnsi="Tahoma" w:cs="Tahoma"/>
          <w:sz w:val="20"/>
          <w:lang w:val="fr-FR"/>
        </w:rPr>
        <w:t>liées</w:t>
      </w:r>
      <w:r w:rsidR="00DB1635" w:rsidRPr="00B004EE">
        <w:rPr>
          <w:rFonts w:ascii="Tahoma" w:hAnsi="Tahoma" w:cs="Tahoma"/>
          <w:sz w:val="20"/>
          <w:lang w:val="fr-FR"/>
        </w:rPr>
        <w:t xml:space="preserve"> </w:t>
      </w:r>
      <w:r w:rsidRPr="00B004EE">
        <w:rPr>
          <w:rFonts w:ascii="Tahoma" w:hAnsi="Tahoma" w:cs="Tahoma"/>
          <w:sz w:val="20"/>
          <w:lang w:val="fr-FR"/>
        </w:rPr>
        <w:t>à</w:t>
      </w:r>
      <w:r w:rsidR="00DB1635" w:rsidRPr="00B004EE">
        <w:rPr>
          <w:rFonts w:ascii="Tahoma" w:hAnsi="Tahoma" w:cs="Tahoma"/>
          <w:sz w:val="20"/>
          <w:lang w:val="fr-FR"/>
        </w:rPr>
        <w:t xml:space="preserve"> </w:t>
      </w:r>
      <w:r w:rsidRPr="00B004EE">
        <w:rPr>
          <w:rFonts w:ascii="Tahoma" w:hAnsi="Tahoma" w:cs="Tahoma"/>
          <w:sz w:val="20"/>
          <w:lang w:val="fr-FR"/>
        </w:rPr>
        <w:t>la</w:t>
      </w:r>
      <w:r w:rsidR="00DB1635" w:rsidRPr="00B004EE">
        <w:rPr>
          <w:rFonts w:ascii="Tahoma" w:hAnsi="Tahoma" w:cs="Tahoma"/>
          <w:sz w:val="20"/>
          <w:lang w:val="fr-FR"/>
        </w:rPr>
        <w:t xml:space="preserve"> </w:t>
      </w:r>
      <w:r w:rsidRPr="00B004EE">
        <w:rPr>
          <w:rFonts w:ascii="Tahoma" w:hAnsi="Tahoma" w:cs="Tahoma"/>
          <w:sz w:val="20"/>
          <w:lang w:val="fr-FR"/>
        </w:rPr>
        <w:t>pêche</w:t>
      </w:r>
      <w:r w:rsidR="00DB1635" w:rsidRPr="00B004EE">
        <w:rPr>
          <w:rFonts w:ascii="Tahoma" w:hAnsi="Tahoma" w:cs="Tahoma"/>
          <w:sz w:val="20"/>
          <w:lang w:val="fr-FR"/>
        </w:rPr>
        <w:t xml:space="preserve"> </w:t>
      </w:r>
      <w:r w:rsidRPr="00B004EE">
        <w:rPr>
          <w:rFonts w:ascii="Tahoma" w:hAnsi="Tahoma" w:cs="Tahoma"/>
          <w:sz w:val="20"/>
          <w:lang w:val="fr-FR"/>
        </w:rPr>
        <w:t>hauturière</w:t>
      </w:r>
      <w:r w:rsidR="00DB1635" w:rsidRPr="00B004EE">
        <w:rPr>
          <w:rFonts w:ascii="Tahoma" w:hAnsi="Tahoma" w:cs="Tahoma"/>
          <w:sz w:val="20"/>
          <w:lang w:val="fr-FR"/>
        </w:rPr>
        <w:t xml:space="preserve"> </w:t>
      </w:r>
      <w:r w:rsidRPr="00B004EE">
        <w:rPr>
          <w:rFonts w:ascii="Tahoma" w:hAnsi="Tahoma" w:cs="Tahoma"/>
          <w:sz w:val="20"/>
          <w:lang w:val="fr-FR"/>
        </w:rPr>
        <w:t>;</w:t>
      </w:r>
      <w:r w:rsidR="00DB1635" w:rsidRPr="00B004EE">
        <w:rPr>
          <w:rFonts w:ascii="Tahoma" w:hAnsi="Tahoma" w:cs="Tahoma"/>
          <w:sz w:val="20"/>
          <w:lang w:val="fr-FR"/>
        </w:rPr>
        <w:t xml:space="preserve"> </w:t>
      </w:r>
    </w:p>
    <w:p w14:paraId="4A189B0F" w14:textId="457999E2" w:rsidR="008518B0" w:rsidRPr="00B004EE" w:rsidRDefault="00DB1635" w:rsidP="00420DDA">
      <w:pPr>
        <w:pStyle w:val="TxBrp2"/>
        <w:numPr>
          <w:ilvl w:val="0"/>
          <w:numId w:val="58"/>
        </w:numPr>
        <w:tabs>
          <w:tab w:val="clear" w:pos="204"/>
          <w:tab w:val="clear" w:pos="1776"/>
          <w:tab w:val="left" w:pos="426"/>
          <w:tab w:val="left" w:pos="9923"/>
        </w:tabs>
        <w:spacing w:line="240" w:lineRule="auto"/>
        <w:ind w:left="426" w:right="-1"/>
        <w:rPr>
          <w:rFonts w:ascii="Tahoma" w:hAnsi="Tahoma" w:cs="Tahoma"/>
          <w:sz w:val="20"/>
          <w:lang w:val="fr-FR"/>
        </w:rPr>
      </w:pPr>
      <w:r w:rsidRPr="00B004EE">
        <w:rPr>
          <w:rFonts w:ascii="Tahoma" w:hAnsi="Tahoma" w:cs="Tahoma"/>
          <w:sz w:val="20"/>
          <w:lang w:val="fr-FR"/>
        </w:rPr>
        <w:t xml:space="preserve"> </w:t>
      </w:r>
      <w:proofErr w:type="gramStart"/>
      <w:r w:rsidR="008518B0" w:rsidRPr="00B004EE">
        <w:rPr>
          <w:rFonts w:ascii="Tahoma" w:hAnsi="Tahoma" w:cs="Tahoma"/>
          <w:sz w:val="20"/>
          <w:lang w:val="fr-FR"/>
        </w:rPr>
        <w:t>trois</w:t>
      </w:r>
      <w:proofErr w:type="gramEnd"/>
      <w:r w:rsidRPr="00B004EE">
        <w:rPr>
          <w:rFonts w:ascii="Tahoma" w:hAnsi="Tahoma" w:cs="Tahoma"/>
          <w:sz w:val="20"/>
          <w:lang w:val="fr-FR"/>
        </w:rPr>
        <w:t xml:space="preserve"> </w:t>
      </w:r>
      <w:r w:rsidR="008518B0" w:rsidRPr="00B004EE">
        <w:rPr>
          <w:rFonts w:ascii="Tahoma" w:hAnsi="Tahoma" w:cs="Tahoma"/>
          <w:sz w:val="20"/>
          <w:lang w:val="fr-FR"/>
        </w:rPr>
        <w:t>cent</w:t>
      </w:r>
      <w:r w:rsidRPr="00B004EE">
        <w:rPr>
          <w:rFonts w:ascii="Tahoma" w:hAnsi="Tahoma" w:cs="Tahoma"/>
          <w:sz w:val="20"/>
          <w:lang w:val="fr-FR"/>
        </w:rPr>
        <w:t xml:space="preserve"> </w:t>
      </w:r>
      <w:r w:rsidR="008518B0" w:rsidRPr="00B004EE">
        <w:rPr>
          <w:rFonts w:ascii="Tahoma" w:hAnsi="Tahoma" w:cs="Tahoma"/>
          <w:sz w:val="20"/>
          <w:lang w:val="fr-FR"/>
        </w:rPr>
        <w:t>(300)</w:t>
      </w:r>
      <w:r w:rsidRPr="00B004EE">
        <w:rPr>
          <w:rFonts w:ascii="Tahoma" w:hAnsi="Tahoma" w:cs="Tahoma"/>
          <w:sz w:val="20"/>
          <w:lang w:val="fr-FR"/>
        </w:rPr>
        <w:t xml:space="preserve"> </w:t>
      </w:r>
      <w:r w:rsidR="008518B0" w:rsidRPr="00B004EE">
        <w:rPr>
          <w:rFonts w:ascii="Tahoma" w:hAnsi="Tahoma" w:cs="Tahoma"/>
          <w:sz w:val="20"/>
          <w:lang w:val="fr-FR"/>
        </w:rPr>
        <w:t>mille</w:t>
      </w:r>
      <w:r w:rsidRPr="00B004EE">
        <w:rPr>
          <w:rFonts w:ascii="Tahoma" w:hAnsi="Tahoma" w:cs="Tahoma"/>
          <w:sz w:val="20"/>
          <w:lang w:val="fr-FR"/>
        </w:rPr>
        <w:t xml:space="preserve"> </w:t>
      </w:r>
      <w:r w:rsidR="008518B0" w:rsidRPr="00B004EE">
        <w:rPr>
          <w:rFonts w:ascii="Tahoma" w:hAnsi="Tahoma" w:cs="Tahoma"/>
          <w:sz w:val="20"/>
          <w:lang w:val="fr-FR"/>
        </w:rPr>
        <w:t>ouguiya</w:t>
      </w:r>
      <w:r w:rsidRPr="00B004EE">
        <w:rPr>
          <w:rFonts w:ascii="Tahoma" w:hAnsi="Tahoma" w:cs="Tahoma"/>
          <w:sz w:val="20"/>
          <w:lang w:val="fr-FR"/>
        </w:rPr>
        <w:t xml:space="preserve"> </w:t>
      </w:r>
      <w:r w:rsidR="008518B0" w:rsidRPr="00B004EE">
        <w:rPr>
          <w:rFonts w:ascii="Tahoma" w:hAnsi="Tahoma" w:cs="Tahoma"/>
          <w:sz w:val="20"/>
          <w:lang w:val="fr-FR"/>
        </w:rPr>
        <w:t>pour</w:t>
      </w:r>
      <w:r w:rsidRPr="00B004EE">
        <w:rPr>
          <w:rFonts w:ascii="Tahoma" w:hAnsi="Tahoma" w:cs="Tahoma"/>
          <w:sz w:val="20"/>
          <w:lang w:val="fr-FR"/>
        </w:rPr>
        <w:t xml:space="preserve"> </w:t>
      </w:r>
      <w:r w:rsidR="008518B0" w:rsidRPr="00B004EE">
        <w:rPr>
          <w:rFonts w:ascii="Tahoma" w:hAnsi="Tahoma" w:cs="Tahoma"/>
          <w:sz w:val="20"/>
          <w:lang w:val="fr-FR"/>
        </w:rPr>
        <w:t>les</w:t>
      </w:r>
      <w:r w:rsidRPr="00B004EE">
        <w:rPr>
          <w:rFonts w:ascii="Tahoma" w:hAnsi="Tahoma" w:cs="Tahoma"/>
          <w:sz w:val="20"/>
          <w:lang w:val="fr-FR"/>
        </w:rPr>
        <w:t xml:space="preserve"> </w:t>
      </w:r>
      <w:r w:rsidR="008518B0" w:rsidRPr="00B004EE">
        <w:rPr>
          <w:rFonts w:ascii="Tahoma" w:hAnsi="Tahoma" w:cs="Tahoma"/>
          <w:sz w:val="20"/>
          <w:lang w:val="fr-FR"/>
        </w:rPr>
        <w:t>activités</w:t>
      </w:r>
      <w:r w:rsidRPr="00B004EE">
        <w:rPr>
          <w:rFonts w:ascii="Tahoma" w:hAnsi="Tahoma" w:cs="Tahoma"/>
          <w:sz w:val="20"/>
          <w:lang w:val="fr-FR"/>
        </w:rPr>
        <w:t xml:space="preserve"> </w:t>
      </w:r>
      <w:r w:rsidR="008518B0" w:rsidRPr="00B004EE">
        <w:rPr>
          <w:rFonts w:ascii="Tahoma" w:hAnsi="Tahoma" w:cs="Tahoma"/>
          <w:sz w:val="20"/>
          <w:lang w:val="fr-FR"/>
        </w:rPr>
        <w:t>de</w:t>
      </w:r>
      <w:r w:rsidRPr="00B004EE">
        <w:rPr>
          <w:rFonts w:ascii="Tahoma" w:hAnsi="Tahoma" w:cs="Tahoma"/>
          <w:sz w:val="20"/>
          <w:lang w:val="fr-FR"/>
        </w:rPr>
        <w:t xml:space="preserve"> </w:t>
      </w:r>
      <w:r w:rsidR="008518B0" w:rsidRPr="00B004EE">
        <w:rPr>
          <w:rFonts w:ascii="Tahoma" w:hAnsi="Tahoma" w:cs="Tahoma"/>
          <w:sz w:val="20"/>
          <w:lang w:val="fr-FR"/>
        </w:rPr>
        <w:t>la</w:t>
      </w:r>
      <w:r w:rsidRPr="00B004EE">
        <w:rPr>
          <w:rFonts w:ascii="Tahoma" w:hAnsi="Tahoma" w:cs="Tahoma"/>
          <w:sz w:val="20"/>
          <w:lang w:val="fr-FR"/>
        </w:rPr>
        <w:t xml:space="preserve"> </w:t>
      </w:r>
      <w:r w:rsidR="008518B0" w:rsidRPr="00B004EE">
        <w:rPr>
          <w:rFonts w:ascii="Tahoma" w:hAnsi="Tahoma" w:cs="Tahoma"/>
          <w:sz w:val="20"/>
          <w:lang w:val="fr-FR"/>
        </w:rPr>
        <w:t>pêche</w:t>
      </w:r>
      <w:r w:rsidRPr="00B004EE">
        <w:rPr>
          <w:rFonts w:ascii="Tahoma" w:hAnsi="Tahoma" w:cs="Tahoma"/>
          <w:sz w:val="20"/>
          <w:lang w:val="fr-FR"/>
        </w:rPr>
        <w:t xml:space="preserve"> </w:t>
      </w:r>
      <w:r w:rsidR="008518B0" w:rsidRPr="00B004EE">
        <w:rPr>
          <w:rFonts w:ascii="Tahoma" w:hAnsi="Tahoma" w:cs="Tahoma"/>
          <w:sz w:val="20"/>
          <w:lang w:val="fr-FR"/>
        </w:rPr>
        <w:t>côtière</w:t>
      </w:r>
      <w:r w:rsidRPr="00B004EE">
        <w:rPr>
          <w:rFonts w:ascii="Tahoma" w:hAnsi="Tahoma" w:cs="Tahoma"/>
          <w:sz w:val="20"/>
          <w:lang w:val="fr-FR"/>
        </w:rPr>
        <w:t xml:space="preserve"> </w:t>
      </w:r>
      <w:r w:rsidR="008518B0" w:rsidRPr="00B004EE">
        <w:rPr>
          <w:rFonts w:ascii="Tahoma" w:hAnsi="Tahoma" w:cs="Tahoma"/>
          <w:sz w:val="20"/>
          <w:lang w:val="fr-FR"/>
        </w:rPr>
        <w:t>;</w:t>
      </w:r>
    </w:p>
    <w:p w14:paraId="2D01607F" w14:textId="7B968409" w:rsidR="008518B0" w:rsidRPr="00B004EE" w:rsidRDefault="008518B0" w:rsidP="00420DDA">
      <w:pPr>
        <w:pStyle w:val="TxBrp2"/>
        <w:numPr>
          <w:ilvl w:val="0"/>
          <w:numId w:val="58"/>
        </w:numPr>
        <w:tabs>
          <w:tab w:val="clear" w:pos="204"/>
          <w:tab w:val="clear" w:pos="1776"/>
          <w:tab w:val="left" w:pos="426"/>
          <w:tab w:val="left" w:pos="9923"/>
        </w:tabs>
        <w:spacing w:line="240" w:lineRule="auto"/>
        <w:ind w:left="426" w:right="-1"/>
        <w:rPr>
          <w:rFonts w:ascii="Tahoma" w:hAnsi="Tahoma" w:cs="Tahoma"/>
          <w:sz w:val="20"/>
          <w:lang w:val="fr-FR"/>
        </w:rPr>
      </w:pPr>
      <w:proofErr w:type="gramStart"/>
      <w:r w:rsidRPr="00B004EE">
        <w:rPr>
          <w:rFonts w:ascii="Tahoma" w:hAnsi="Tahoma" w:cs="Tahoma"/>
          <w:sz w:val="20"/>
          <w:lang w:val="fr-FR"/>
        </w:rPr>
        <w:t>cinquante</w:t>
      </w:r>
      <w:proofErr w:type="gramEnd"/>
      <w:r w:rsidR="00DB1635" w:rsidRPr="00B004EE">
        <w:rPr>
          <w:rFonts w:ascii="Tahoma" w:hAnsi="Tahoma" w:cs="Tahoma"/>
          <w:sz w:val="20"/>
          <w:lang w:val="fr-FR"/>
        </w:rPr>
        <w:t xml:space="preserve"> </w:t>
      </w:r>
      <w:r w:rsidRPr="00B004EE">
        <w:rPr>
          <w:rFonts w:ascii="Tahoma" w:hAnsi="Tahoma" w:cs="Tahoma"/>
          <w:sz w:val="20"/>
          <w:lang w:val="fr-FR"/>
        </w:rPr>
        <w:t>(50</w:t>
      </w:r>
      <w:r w:rsidR="00DB1635" w:rsidRPr="00B004EE">
        <w:rPr>
          <w:rFonts w:ascii="Tahoma" w:hAnsi="Tahoma" w:cs="Tahoma"/>
          <w:sz w:val="20"/>
          <w:lang w:val="fr-FR"/>
        </w:rPr>
        <w:t xml:space="preserve"> </w:t>
      </w:r>
      <w:r w:rsidRPr="00B004EE">
        <w:rPr>
          <w:rFonts w:ascii="Tahoma" w:hAnsi="Tahoma" w:cs="Tahoma"/>
          <w:sz w:val="20"/>
          <w:lang w:val="fr-FR"/>
        </w:rPr>
        <w:t>)</w:t>
      </w:r>
      <w:r w:rsidR="00DB1635" w:rsidRPr="00B004EE">
        <w:rPr>
          <w:rFonts w:ascii="Tahoma" w:hAnsi="Tahoma" w:cs="Tahoma"/>
          <w:sz w:val="20"/>
          <w:lang w:val="fr-FR"/>
        </w:rPr>
        <w:t xml:space="preserve"> </w:t>
      </w:r>
      <w:r w:rsidRPr="00B004EE">
        <w:rPr>
          <w:rFonts w:ascii="Tahoma" w:hAnsi="Tahoma" w:cs="Tahoma"/>
          <w:sz w:val="20"/>
          <w:lang w:val="fr-FR"/>
        </w:rPr>
        <w:t>mille</w:t>
      </w:r>
      <w:r w:rsidR="00DB1635" w:rsidRPr="00B004EE">
        <w:rPr>
          <w:rFonts w:ascii="Tahoma" w:hAnsi="Tahoma" w:cs="Tahoma"/>
          <w:sz w:val="20"/>
          <w:lang w:val="fr-FR"/>
        </w:rPr>
        <w:t xml:space="preserve"> </w:t>
      </w:r>
      <w:r w:rsidRPr="00B004EE">
        <w:rPr>
          <w:rFonts w:ascii="Tahoma" w:hAnsi="Tahoma" w:cs="Tahoma"/>
          <w:sz w:val="20"/>
          <w:lang w:val="fr-FR"/>
        </w:rPr>
        <w:t>ouguiya</w:t>
      </w:r>
      <w:r w:rsidR="00DB1635" w:rsidRPr="00B004EE">
        <w:rPr>
          <w:rFonts w:ascii="Tahoma" w:hAnsi="Tahoma" w:cs="Tahoma"/>
          <w:sz w:val="20"/>
          <w:lang w:val="fr-FR"/>
        </w:rPr>
        <w:t xml:space="preserve"> </w:t>
      </w:r>
      <w:r w:rsidRPr="00B004EE">
        <w:rPr>
          <w:rFonts w:ascii="Tahoma" w:hAnsi="Tahoma" w:cs="Tahoma"/>
          <w:sz w:val="20"/>
          <w:lang w:val="fr-FR"/>
        </w:rPr>
        <w:t>pour</w:t>
      </w:r>
      <w:r w:rsidR="00DB1635" w:rsidRPr="00B004EE">
        <w:rPr>
          <w:rFonts w:ascii="Tahoma" w:hAnsi="Tahoma" w:cs="Tahoma"/>
          <w:sz w:val="20"/>
          <w:lang w:val="fr-FR"/>
        </w:rPr>
        <w:t xml:space="preserve"> </w:t>
      </w:r>
      <w:r w:rsidRPr="00B004EE">
        <w:rPr>
          <w:rFonts w:ascii="Tahoma" w:hAnsi="Tahoma" w:cs="Tahoma"/>
          <w:sz w:val="20"/>
          <w:lang w:val="fr-FR"/>
        </w:rPr>
        <w:t>les</w:t>
      </w:r>
      <w:r w:rsidR="00DB1635" w:rsidRPr="00B004EE">
        <w:rPr>
          <w:rFonts w:ascii="Tahoma" w:hAnsi="Tahoma" w:cs="Tahoma"/>
          <w:sz w:val="20"/>
          <w:lang w:val="fr-FR"/>
        </w:rPr>
        <w:t xml:space="preserve"> </w:t>
      </w:r>
      <w:r w:rsidRPr="00B004EE">
        <w:rPr>
          <w:rFonts w:ascii="Tahoma" w:hAnsi="Tahoma" w:cs="Tahoma"/>
          <w:sz w:val="20"/>
          <w:lang w:val="fr-FR"/>
        </w:rPr>
        <w:t>activités</w:t>
      </w:r>
      <w:r w:rsidR="00DB1635" w:rsidRPr="00B004EE">
        <w:rPr>
          <w:rFonts w:ascii="Tahoma" w:hAnsi="Tahoma" w:cs="Tahoma"/>
          <w:sz w:val="20"/>
          <w:lang w:val="fr-FR"/>
        </w:rPr>
        <w:t xml:space="preserve"> </w:t>
      </w:r>
      <w:r w:rsidRPr="00B004EE">
        <w:rPr>
          <w:rFonts w:ascii="Tahoma" w:hAnsi="Tahoma" w:cs="Tahoma"/>
          <w:sz w:val="20"/>
          <w:lang w:val="fr-FR"/>
        </w:rPr>
        <w:t>liées</w:t>
      </w:r>
      <w:r w:rsidR="00DB1635" w:rsidRPr="00B004EE">
        <w:rPr>
          <w:rFonts w:ascii="Tahoma" w:hAnsi="Tahoma" w:cs="Tahoma"/>
          <w:sz w:val="20"/>
          <w:lang w:val="fr-FR"/>
        </w:rPr>
        <w:t xml:space="preserve"> </w:t>
      </w:r>
      <w:r w:rsidRPr="00B004EE">
        <w:rPr>
          <w:rFonts w:ascii="Tahoma" w:hAnsi="Tahoma" w:cs="Tahoma"/>
          <w:sz w:val="20"/>
          <w:lang w:val="fr-FR"/>
        </w:rPr>
        <w:t>à</w:t>
      </w:r>
      <w:r w:rsidR="00DB1635" w:rsidRPr="00B004EE">
        <w:rPr>
          <w:rFonts w:ascii="Tahoma" w:hAnsi="Tahoma" w:cs="Tahoma"/>
          <w:sz w:val="20"/>
          <w:lang w:val="fr-FR"/>
        </w:rPr>
        <w:t xml:space="preserve"> </w:t>
      </w:r>
      <w:r w:rsidRPr="00B004EE">
        <w:rPr>
          <w:rFonts w:ascii="Tahoma" w:hAnsi="Tahoma" w:cs="Tahoma"/>
          <w:sz w:val="20"/>
          <w:lang w:val="fr-FR"/>
        </w:rPr>
        <w:t>la</w:t>
      </w:r>
      <w:r w:rsidR="00DB1635" w:rsidRPr="00B004EE">
        <w:rPr>
          <w:rFonts w:ascii="Tahoma" w:hAnsi="Tahoma" w:cs="Tahoma"/>
          <w:sz w:val="20"/>
          <w:lang w:val="fr-FR"/>
        </w:rPr>
        <w:t xml:space="preserve"> </w:t>
      </w:r>
      <w:r w:rsidRPr="00B004EE">
        <w:rPr>
          <w:rFonts w:ascii="Tahoma" w:hAnsi="Tahoma" w:cs="Tahoma"/>
          <w:sz w:val="20"/>
          <w:lang w:val="fr-FR"/>
        </w:rPr>
        <w:t>pêche</w:t>
      </w:r>
      <w:r w:rsidR="00DB1635" w:rsidRPr="00B004EE">
        <w:rPr>
          <w:rFonts w:ascii="Tahoma" w:hAnsi="Tahoma" w:cs="Tahoma"/>
          <w:sz w:val="20"/>
          <w:lang w:val="fr-FR"/>
        </w:rPr>
        <w:t xml:space="preserve"> </w:t>
      </w:r>
      <w:r w:rsidRPr="00B004EE">
        <w:rPr>
          <w:rFonts w:ascii="Tahoma" w:hAnsi="Tahoma" w:cs="Tahoma"/>
          <w:sz w:val="20"/>
          <w:lang w:val="fr-FR"/>
        </w:rPr>
        <w:t>artisanale.</w:t>
      </w:r>
      <w:r w:rsidR="00DB1635" w:rsidRPr="00B004EE">
        <w:rPr>
          <w:rFonts w:ascii="Tahoma" w:hAnsi="Tahoma" w:cs="Tahoma"/>
          <w:sz w:val="20"/>
          <w:lang w:val="fr-FR"/>
        </w:rPr>
        <w:t xml:space="preserve"> </w:t>
      </w:r>
    </w:p>
    <w:p w14:paraId="28DFBE02" w14:textId="77777777" w:rsidR="008518B0" w:rsidRPr="00B004EE" w:rsidRDefault="008518B0" w:rsidP="00B004EE">
      <w:pPr>
        <w:rPr>
          <w:rFonts w:ascii="Tahoma" w:hAnsi="Tahoma" w:cs="Tahoma"/>
          <w:sz w:val="20"/>
          <w:szCs w:val="20"/>
        </w:rPr>
      </w:pPr>
    </w:p>
    <w:p w14:paraId="2A890C59" w14:textId="02A96426" w:rsidR="008518B0" w:rsidRPr="00B004EE" w:rsidRDefault="008518B0" w:rsidP="00B004EE">
      <w:pPr>
        <w:rPr>
          <w:rFonts w:ascii="Tahoma" w:hAnsi="Tahoma" w:cs="Tahoma"/>
          <w:sz w:val="20"/>
          <w:szCs w:val="20"/>
        </w:rPr>
      </w:pPr>
      <w:r w:rsidRPr="00B004EE">
        <w:rPr>
          <w:rFonts w:ascii="Tahoma" w:hAnsi="Tahoma" w:cs="Tahoma"/>
          <w:sz w:val="20"/>
          <w:szCs w:val="20"/>
        </w:rPr>
        <w:t>Ce</w:t>
      </w:r>
      <w:r w:rsidR="00DB1635" w:rsidRPr="00B004EE">
        <w:rPr>
          <w:rFonts w:ascii="Tahoma" w:hAnsi="Tahoma" w:cs="Tahoma"/>
          <w:sz w:val="20"/>
          <w:szCs w:val="20"/>
        </w:rPr>
        <w:t xml:space="preserve"> </w:t>
      </w:r>
      <w:r w:rsidRPr="00B004EE">
        <w:rPr>
          <w:rFonts w:ascii="Tahoma" w:hAnsi="Tahoma" w:cs="Tahoma"/>
          <w:sz w:val="20"/>
          <w:szCs w:val="20"/>
        </w:rPr>
        <w:t>montant</w:t>
      </w:r>
      <w:r w:rsidR="00DB1635" w:rsidRPr="00B004EE">
        <w:rPr>
          <w:rFonts w:ascii="Tahoma" w:hAnsi="Tahoma" w:cs="Tahoma"/>
          <w:sz w:val="20"/>
          <w:szCs w:val="20"/>
        </w:rPr>
        <w:t xml:space="preserve"> </w:t>
      </w:r>
      <w:r w:rsidRPr="00B004EE">
        <w:rPr>
          <w:rFonts w:ascii="Tahoma" w:hAnsi="Tahoma" w:cs="Tahoma"/>
          <w:sz w:val="20"/>
          <w:szCs w:val="20"/>
        </w:rPr>
        <w:t>n’est</w:t>
      </w:r>
      <w:r w:rsidR="00DB1635" w:rsidRPr="00B004EE">
        <w:rPr>
          <w:rFonts w:ascii="Tahoma" w:hAnsi="Tahoma" w:cs="Tahoma"/>
          <w:sz w:val="20"/>
          <w:szCs w:val="20"/>
        </w:rPr>
        <w:t xml:space="preserve"> </w:t>
      </w:r>
      <w:r w:rsidRPr="00B004EE">
        <w:rPr>
          <w:rFonts w:ascii="Tahoma" w:hAnsi="Tahoma" w:cs="Tahoma"/>
          <w:sz w:val="20"/>
          <w:szCs w:val="20"/>
        </w:rPr>
        <w:t>pas</w:t>
      </w:r>
      <w:r w:rsidR="00DB1635" w:rsidRPr="00B004EE">
        <w:rPr>
          <w:rFonts w:ascii="Tahoma" w:hAnsi="Tahoma" w:cs="Tahoma"/>
          <w:sz w:val="20"/>
          <w:szCs w:val="20"/>
        </w:rPr>
        <w:t xml:space="preserve"> </w:t>
      </w:r>
      <w:r w:rsidRPr="00B004EE">
        <w:rPr>
          <w:rFonts w:ascii="Tahoma" w:hAnsi="Tahoma" w:cs="Tahoma"/>
          <w:sz w:val="20"/>
          <w:szCs w:val="20"/>
        </w:rPr>
        <w:t>remboursé</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cas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rejet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demande.</w:t>
      </w:r>
    </w:p>
    <w:p w14:paraId="66AB7FF5" w14:textId="77777777" w:rsidR="008518B0" w:rsidRPr="00B004EE" w:rsidRDefault="008518B0" w:rsidP="00B004EE">
      <w:pPr>
        <w:rPr>
          <w:rFonts w:ascii="Tahoma" w:hAnsi="Tahoma" w:cs="Tahoma"/>
          <w:sz w:val="20"/>
          <w:szCs w:val="20"/>
        </w:rPr>
      </w:pPr>
    </w:p>
    <w:p w14:paraId="5C58BABC" w14:textId="3EF40427" w:rsidR="008518B0" w:rsidRPr="00B004EE" w:rsidRDefault="008518B0" w:rsidP="00B004EE">
      <w:pPr>
        <w:pStyle w:val="TxBrp2"/>
        <w:tabs>
          <w:tab w:val="left" w:pos="9923"/>
        </w:tabs>
        <w:spacing w:line="240" w:lineRule="auto"/>
        <w:ind w:right="-1"/>
        <w:rPr>
          <w:rFonts w:ascii="Tahoma" w:hAnsi="Tahoma" w:cs="Tahoma"/>
          <w:bCs/>
          <w:sz w:val="20"/>
          <w:lang w:val="fr-FR"/>
        </w:rPr>
      </w:pPr>
      <w:r w:rsidRPr="00B004EE">
        <w:rPr>
          <w:rFonts w:ascii="Tahoma" w:hAnsi="Tahoma" w:cs="Tahoma"/>
          <w:bCs/>
          <w:sz w:val="20"/>
          <w:lang w:val="fr-FR"/>
        </w:rPr>
        <w:t>Article</w:t>
      </w:r>
      <w:r w:rsidR="00DB1635" w:rsidRPr="00B004EE">
        <w:rPr>
          <w:rFonts w:ascii="Tahoma" w:hAnsi="Tahoma" w:cs="Tahoma"/>
          <w:bCs/>
          <w:sz w:val="20"/>
          <w:lang w:val="fr-FR"/>
        </w:rPr>
        <w:t xml:space="preserve"> </w:t>
      </w:r>
      <w:r w:rsidRPr="00B004EE">
        <w:rPr>
          <w:rFonts w:ascii="Tahoma" w:hAnsi="Tahoma" w:cs="Tahoma"/>
          <w:bCs/>
          <w:sz w:val="20"/>
          <w:lang w:val="fr-FR"/>
        </w:rPr>
        <w:t>19</w:t>
      </w:r>
      <w:r w:rsidR="00DB1635" w:rsidRPr="00B004EE">
        <w:rPr>
          <w:rFonts w:ascii="Tahoma" w:hAnsi="Tahoma" w:cs="Tahoma"/>
          <w:bCs/>
          <w:sz w:val="20"/>
          <w:lang w:val="fr-FR"/>
        </w:rPr>
        <w:t xml:space="preserve"> </w:t>
      </w:r>
      <w:r w:rsidRPr="00B004EE">
        <w:rPr>
          <w:rFonts w:ascii="Tahoma" w:hAnsi="Tahoma" w:cs="Tahoma"/>
          <w:bCs/>
          <w:sz w:val="20"/>
          <w:lang w:val="fr-FR"/>
        </w:rPr>
        <w:t>:</w:t>
      </w:r>
      <w:r w:rsidR="00DB1635" w:rsidRPr="00B004EE">
        <w:rPr>
          <w:rFonts w:ascii="Tahoma" w:hAnsi="Tahoma" w:cs="Tahoma"/>
          <w:bCs/>
          <w:sz w:val="20"/>
          <w:lang w:val="fr-FR"/>
        </w:rPr>
        <w:t xml:space="preserve"> </w:t>
      </w:r>
      <w:r w:rsidRPr="00B004EE">
        <w:rPr>
          <w:rFonts w:ascii="Tahoma" w:hAnsi="Tahoma" w:cs="Tahoma"/>
          <w:bCs/>
          <w:sz w:val="20"/>
          <w:lang w:val="fr-FR"/>
        </w:rPr>
        <w:t>Il</w:t>
      </w:r>
      <w:r w:rsidR="00DB1635" w:rsidRPr="00B004EE">
        <w:rPr>
          <w:rFonts w:ascii="Tahoma" w:hAnsi="Tahoma" w:cs="Tahoma"/>
          <w:bCs/>
          <w:sz w:val="20"/>
          <w:lang w:val="fr-FR"/>
        </w:rPr>
        <w:t xml:space="preserve"> </w:t>
      </w:r>
      <w:r w:rsidRPr="00B004EE">
        <w:rPr>
          <w:rFonts w:ascii="Tahoma" w:hAnsi="Tahoma" w:cs="Tahoma"/>
          <w:bCs/>
          <w:sz w:val="20"/>
          <w:lang w:val="fr-FR"/>
        </w:rPr>
        <w:t>ne</w:t>
      </w:r>
      <w:r w:rsidR="00DB1635" w:rsidRPr="00B004EE">
        <w:rPr>
          <w:rFonts w:ascii="Tahoma" w:hAnsi="Tahoma" w:cs="Tahoma"/>
          <w:bCs/>
          <w:sz w:val="20"/>
          <w:lang w:val="fr-FR"/>
        </w:rPr>
        <w:t xml:space="preserve"> </w:t>
      </w:r>
      <w:r w:rsidRPr="00B004EE">
        <w:rPr>
          <w:rFonts w:ascii="Tahoma" w:hAnsi="Tahoma" w:cs="Tahoma"/>
          <w:bCs/>
          <w:sz w:val="20"/>
          <w:lang w:val="fr-FR"/>
        </w:rPr>
        <w:t>sera</w:t>
      </w:r>
      <w:r w:rsidR="00DB1635" w:rsidRPr="00B004EE">
        <w:rPr>
          <w:rFonts w:ascii="Tahoma" w:hAnsi="Tahoma" w:cs="Tahoma"/>
          <w:bCs/>
          <w:sz w:val="20"/>
          <w:lang w:val="fr-FR"/>
        </w:rPr>
        <w:t xml:space="preserve"> </w:t>
      </w:r>
      <w:r w:rsidRPr="00B004EE">
        <w:rPr>
          <w:rFonts w:ascii="Tahoma" w:hAnsi="Tahoma" w:cs="Tahoma"/>
          <w:bCs/>
          <w:sz w:val="20"/>
          <w:lang w:val="fr-FR"/>
        </w:rPr>
        <w:t>pas</w:t>
      </w:r>
      <w:r w:rsidR="00DB1635" w:rsidRPr="00B004EE">
        <w:rPr>
          <w:rFonts w:ascii="Tahoma" w:hAnsi="Tahoma" w:cs="Tahoma"/>
          <w:bCs/>
          <w:sz w:val="20"/>
          <w:lang w:val="fr-FR"/>
        </w:rPr>
        <w:t xml:space="preserve"> </w:t>
      </w:r>
      <w:r w:rsidRPr="00B004EE">
        <w:rPr>
          <w:rFonts w:ascii="Tahoma" w:hAnsi="Tahoma" w:cs="Tahoma"/>
          <w:bCs/>
          <w:sz w:val="20"/>
          <w:lang w:val="fr-FR"/>
        </w:rPr>
        <w:t>accordé</w:t>
      </w:r>
      <w:r w:rsidR="00DB1635" w:rsidRPr="00B004EE">
        <w:rPr>
          <w:rFonts w:ascii="Tahoma" w:hAnsi="Tahoma" w:cs="Tahoma"/>
          <w:bCs/>
          <w:sz w:val="20"/>
          <w:lang w:val="fr-FR"/>
        </w:rPr>
        <w:t xml:space="preserve"> </w:t>
      </w:r>
      <w:r w:rsidRPr="00B004EE">
        <w:rPr>
          <w:rFonts w:ascii="Tahoma" w:hAnsi="Tahoma" w:cs="Tahoma"/>
          <w:bCs/>
          <w:sz w:val="20"/>
          <w:lang w:val="fr-FR"/>
        </w:rPr>
        <w:t>de</w:t>
      </w:r>
      <w:r w:rsidR="00DB1635" w:rsidRPr="00B004EE">
        <w:rPr>
          <w:rFonts w:ascii="Tahoma" w:hAnsi="Tahoma" w:cs="Tahoma"/>
          <w:bCs/>
          <w:sz w:val="20"/>
          <w:lang w:val="fr-FR"/>
        </w:rPr>
        <w:t xml:space="preserve"> </w:t>
      </w:r>
      <w:r w:rsidRPr="00B004EE">
        <w:rPr>
          <w:rFonts w:ascii="Tahoma" w:hAnsi="Tahoma" w:cs="Tahoma"/>
          <w:bCs/>
          <w:sz w:val="20"/>
          <w:lang w:val="fr-FR"/>
        </w:rPr>
        <w:t>concession</w:t>
      </w:r>
      <w:r w:rsidR="00DB1635" w:rsidRPr="00B004EE">
        <w:rPr>
          <w:rFonts w:ascii="Tahoma" w:hAnsi="Tahoma" w:cs="Tahoma"/>
          <w:bCs/>
          <w:sz w:val="20"/>
          <w:lang w:val="fr-FR"/>
        </w:rPr>
        <w:t xml:space="preserve"> </w:t>
      </w:r>
      <w:r w:rsidRPr="00B004EE">
        <w:rPr>
          <w:rFonts w:ascii="Tahoma" w:hAnsi="Tahoma" w:cs="Tahoma"/>
          <w:bCs/>
          <w:sz w:val="20"/>
          <w:lang w:val="fr-FR"/>
        </w:rPr>
        <w:t>si</w:t>
      </w:r>
      <w:r w:rsidR="00DB1635" w:rsidRPr="00B004EE">
        <w:rPr>
          <w:rFonts w:ascii="Tahoma" w:hAnsi="Tahoma" w:cs="Tahoma"/>
          <w:bCs/>
          <w:sz w:val="20"/>
          <w:lang w:val="fr-FR"/>
        </w:rPr>
        <w:t xml:space="preserve"> </w:t>
      </w:r>
      <w:r w:rsidRPr="00B004EE">
        <w:rPr>
          <w:rFonts w:ascii="Tahoma" w:hAnsi="Tahoma" w:cs="Tahoma"/>
          <w:bCs/>
          <w:sz w:val="20"/>
          <w:lang w:val="fr-FR"/>
        </w:rPr>
        <w:t>l’instruction</w:t>
      </w:r>
      <w:r w:rsidR="00DB1635" w:rsidRPr="00B004EE">
        <w:rPr>
          <w:rFonts w:ascii="Tahoma" w:hAnsi="Tahoma" w:cs="Tahoma"/>
          <w:bCs/>
          <w:sz w:val="20"/>
          <w:lang w:val="fr-FR"/>
        </w:rPr>
        <w:t xml:space="preserve"> </w:t>
      </w:r>
      <w:r w:rsidRPr="00B004EE">
        <w:rPr>
          <w:rFonts w:ascii="Tahoma" w:hAnsi="Tahoma" w:cs="Tahoma"/>
          <w:bCs/>
          <w:sz w:val="20"/>
          <w:lang w:val="fr-FR"/>
        </w:rPr>
        <w:t>de</w:t>
      </w:r>
      <w:r w:rsidR="00DB1635" w:rsidRPr="00B004EE">
        <w:rPr>
          <w:rFonts w:ascii="Tahoma" w:hAnsi="Tahoma" w:cs="Tahoma"/>
          <w:bCs/>
          <w:sz w:val="20"/>
          <w:lang w:val="fr-FR"/>
        </w:rPr>
        <w:t xml:space="preserve"> </w:t>
      </w:r>
      <w:r w:rsidRPr="00B004EE">
        <w:rPr>
          <w:rFonts w:ascii="Tahoma" w:hAnsi="Tahoma" w:cs="Tahoma"/>
          <w:bCs/>
          <w:sz w:val="20"/>
          <w:lang w:val="fr-FR"/>
        </w:rPr>
        <w:t>la</w:t>
      </w:r>
      <w:r w:rsidR="00DB1635" w:rsidRPr="00B004EE">
        <w:rPr>
          <w:rFonts w:ascii="Tahoma" w:hAnsi="Tahoma" w:cs="Tahoma"/>
          <w:bCs/>
          <w:sz w:val="20"/>
          <w:lang w:val="fr-FR"/>
        </w:rPr>
        <w:t xml:space="preserve"> </w:t>
      </w:r>
      <w:r w:rsidRPr="00B004EE">
        <w:rPr>
          <w:rFonts w:ascii="Tahoma" w:hAnsi="Tahoma" w:cs="Tahoma"/>
          <w:bCs/>
          <w:sz w:val="20"/>
          <w:lang w:val="fr-FR"/>
        </w:rPr>
        <w:t>demande</w:t>
      </w:r>
      <w:r w:rsidR="00DB1635" w:rsidRPr="00B004EE">
        <w:rPr>
          <w:rFonts w:ascii="Tahoma" w:hAnsi="Tahoma" w:cs="Tahoma"/>
          <w:bCs/>
          <w:sz w:val="20"/>
          <w:lang w:val="fr-FR"/>
        </w:rPr>
        <w:t xml:space="preserve"> </w:t>
      </w:r>
      <w:r w:rsidRPr="00B004EE">
        <w:rPr>
          <w:rFonts w:ascii="Tahoma" w:hAnsi="Tahoma" w:cs="Tahoma"/>
          <w:bCs/>
          <w:sz w:val="20"/>
          <w:lang w:val="fr-FR"/>
        </w:rPr>
        <w:t>révèle</w:t>
      </w:r>
      <w:r w:rsidR="00DB1635" w:rsidRPr="00B004EE">
        <w:rPr>
          <w:rFonts w:ascii="Tahoma" w:hAnsi="Tahoma" w:cs="Tahoma"/>
          <w:bCs/>
          <w:sz w:val="20"/>
          <w:lang w:val="fr-FR"/>
        </w:rPr>
        <w:t xml:space="preserve"> </w:t>
      </w:r>
      <w:r w:rsidRPr="00B004EE">
        <w:rPr>
          <w:rFonts w:ascii="Tahoma" w:hAnsi="Tahoma" w:cs="Tahoma"/>
          <w:bCs/>
          <w:sz w:val="20"/>
          <w:lang w:val="fr-FR"/>
        </w:rPr>
        <w:t>notamment</w:t>
      </w:r>
      <w:r w:rsidR="00DB1635" w:rsidRPr="00B004EE">
        <w:rPr>
          <w:rFonts w:ascii="Tahoma" w:hAnsi="Tahoma" w:cs="Tahoma"/>
          <w:bCs/>
          <w:sz w:val="20"/>
          <w:lang w:val="fr-FR"/>
        </w:rPr>
        <w:t xml:space="preserve"> </w:t>
      </w:r>
      <w:r w:rsidRPr="00B004EE">
        <w:rPr>
          <w:rFonts w:ascii="Tahoma" w:hAnsi="Tahoma" w:cs="Tahoma"/>
          <w:bCs/>
          <w:sz w:val="20"/>
          <w:lang w:val="fr-FR"/>
        </w:rPr>
        <w:t>que</w:t>
      </w:r>
      <w:r w:rsidR="00DB1635" w:rsidRPr="00B004EE">
        <w:rPr>
          <w:rFonts w:ascii="Tahoma" w:hAnsi="Tahoma" w:cs="Tahoma"/>
          <w:bCs/>
          <w:sz w:val="20"/>
          <w:lang w:val="fr-FR"/>
        </w:rPr>
        <w:t xml:space="preserve"> </w:t>
      </w:r>
      <w:r w:rsidRPr="00B004EE">
        <w:rPr>
          <w:rFonts w:ascii="Tahoma" w:hAnsi="Tahoma" w:cs="Tahoma"/>
          <w:bCs/>
          <w:sz w:val="20"/>
          <w:lang w:val="fr-FR"/>
        </w:rPr>
        <w:t>:</w:t>
      </w:r>
    </w:p>
    <w:p w14:paraId="5BB64768" w14:textId="6D57C519" w:rsidR="008518B0" w:rsidRPr="00B004EE" w:rsidRDefault="008518B0" w:rsidP="00420DDA">
      <w:pPr>
        <w:pStyle w:val="TxBrp2"/>
        <w:numPr>
          <w:ilvl w:val="0"/>
          <w:numId w:val="58"/>
        </w:numPr>
        <w:tabs>
          <w:tab w:val="clear" w:pos="204"/>
          <w:tab w:val="clear" w:pos="1776"/>
          <w:tab w:val="left" w:pos="426"/>
          <w:tab w:val="left" w:pos="9923"/>
        </w:tabs>
        <w:spacing w:line="240" w:lineRule="auto"/>
        <w:ind w:left="426" w:right="-1"/>
        <w:rPr>
          <w:rFonts w:ascii="Tahoma" w:hAnsi="Tahoma" w:cs="Tahoma"/>
          <w:bCs/>
          <w:sz w:val="20"/>
          <w:lang w:val="fr-FR"/>
        </w:rPr>
      </w:pPr>
      <w:proofErr w:type="gramStart"/>
      <w:r w:rsidRPr="00B004EE">
        <w:rPr>
          <w:rFonts w:ascii="Tahoma" w:hAnsi="Tahoma" w:cs="Tahoma"/>
          <w:bCs/>
          <w:sz w:val="20"/>
          <w:lang w:val="fr-FR"/>
        </w:rPr>
        <w:t>le</w:t>
      </w:r>
      <w:proofErr w:type="gramEnd"/>
      <w:r w:rsidR="00DB1635" w:rsidRPr="00B004EE">
        <w:rPr>
          <w:rFonts w:ascii="Tahoma" w:hAnsi="Tahoma" w:cs="Tahoma"/>
          <w:bCs/>
          <w:sz w:val="20"/>
          <w:lang w:val="fr-FR"/>
        </w:rPr>
        <w:t xml:space="preserve"> </w:t>
      </w:r>
      <w:r w:rsidRPr="00B004EE">
        <w:rPr>
          <w:rFonts w:ascii="Tahoma" w:hAnsi="Tahoma" w:cs="Tahoma"/>
          <w:bCs/>
          <w:sz w:val="20"/>
          <w:lang w:val="fr-FR"/>
        </w:rPr>
        <w:t>dossier</w:t>
      </w:r>
      <w:r w:rsidR="00DB1635" w:rsidRPr="00B004EE">
        <w:rPr>
          <w:rFonts w:ascii="Tahoma" w:hAnsi="Tahoma" w:cs="Tahoma"/>
          <w:bCs/>
          <w:sz w:val="20"/>
          <w:lang w:val="fr-FR"/>
        </w:rPr>
        <w:t xml:space="preserve"> </w:t>
      </w:r>
      <w:r w:rsidRPr="00B004EE">
        <w:rPr>
          <w:rFonts w:ascii="Tahoma" w:hAnsi="Tahoma" w:cs="Tahoma"/>
          <w:bCs/>
          <w:sz w:val="20"/>
          <w:lang w:val="fr-FR"/>
        </w:rPr>
        <w:t>est</w:t>
      </w:r>
      <w:r w:rsidR="00DB1635" w:rsidRPr="00B004EE">
        <w:rPr>
          <w:rFonts w:ascii="Tahoma" w:hAnsi="Tahoma" w:cs="Tahoma"/>
          <w:bCs/>
          <w:sz w:val="20"/>
          <w:lang w:val="fr-FR"/>
        </w:rPr>
        <w:t xml:space="preserve"> </w:t>
      </w:r>
      <w:r w:rsidRPr="00B004EE">
        <w:rPr>
          <w:rFonts w:ascii="Tahoma" w:hAnsi="Tahoma" w:cs="Tahoma"/>
          <w:bCs/>
          <w:sz w:val="20"/>
          <w:lang w:val="fr-FR"/>
        </w:rPr>
        <w:t>incomplet</w:t>
      </w:r>
      <w:r w:rsidR="00DB1635" w:rsidRPr="00B004EE">
        <w:rPr>
          <w:rFonts w:ascii="Tahoma" w:hAnsi="Tahoma" w:cs="Tahoma"/>
          <w:bCs/>
          <w:sz w:val="20"/>
          <w:lang w:val="fr-FR"/>
        </w:rPr>
        <w:t xml:space="preserve"> </w:t>
      </w:r>
      <w:r w:rsidRPr="00B004EE">
        <w:rPr>
          <w:rFonts w:ascii="Tahoma" w:hAnsi="Tahoma" w:cs="Tahoma"/>
          <w:bCs/>
          <w:sz w:val="20"/>
          <w:lang w:val="fr-FR"/>
        </w:rPr>
        <w:t>ou</w:t>
      </w:r>
      <w:r w:rsidR="00DB1635" w:rsidRPr="00B004EE">
        <w:rPr>
          <w:rFonts w:ascii="Tahoma" w:hAnsi="Tahoma" w:cs="Tahoma"/>
          <w:bCs/>
          <w:sz w:val="20"/>
          <w:lang w:val="fr-FR"/>
        </w:rPr>
        <w:t xml:space="preserve"> </w:t>
      </w:r>
      <w:r w:rsidRPr="00B004EE">
        <w:rPr>
          <w:rFonts w:ascii="Tahoma" w:hAnsi="Tahoma" w:cs="Tahoma"/>
          <w:bCs/>
          <w:sz w:val="20"/>
          <w:lang w:val="fr-FR"/>
        </w:rPr>
        <w:t>que</w:t>
      </w:r>
      <w:r w:rsidR="00DB1635" w:rsidRPr="00B004EE">
        <w:rPr>
          <w:rFonts w:ascii="Tahoma" w:hAnsi="Tahoma" w:cs="Tahoma"/>
          <w:bCs/>
          <w:sz w:val="20"/>
          <w:lang w:val="fr-FR"/>
        </w:rPr>
        <w:t xml:space="preserve"> </w:t>
      </w:r>
      <w:r w:rsidRPr="00B004EE">
        <w:rPr>
          <w:rFonts w:ascii="Tahoma" w:hAnsi="Tahoma" w:cs="Tahoma"/>
          <w:bCs/>
          <w:sz w:val="20"/>
          <w:lang w:val="fr-FR"/>
        </w:rPr>
        <w:t>le</w:t>
      </w:r>
      <w:r w:rsidR="00DB1635" w:rsidRPr="00B004EE">
        <w:rPr>
          <w:rFonts w:ascii="Tahoma" w:hAnsi="Tahoma" w:cs="Tahoma"/>
          <w:bCs/>
          <w:sz w:val="20"/>
          <w:lang w:val="fr-FR"/>
        </w:rPr>
        <w:t xml:space="preserve"> </w:t>
      </w:r>
      <w:r w:rsidRPr="00B004EE">
        <w:rPr>
          <w:rFonts w:ascii="Tahoma" w:hAnsi="Tahoma" w:cs="Tahoma"/>
          <w:bCs/>
          <w:sz w:val="20"/>
          <w:lang w:val="fr-FR"/>
        </w:rPr>
        <w:t>demandeur</w:t>
      </w:r>
      <w:r w:rsidR="00DB1635" w:rsidRPr="00B004EE">
        <w:rPr>
          <w:rFonts w:ascii="Tahoma" w:hAnsi="Tahoma" w:cs="Tahoma"/>
          <w:bCs/>
          <w:sz w:val="20"/>
          <w:lang w:val="fr-FR"/>
        </w:rPr>
        <w:t xml:space="preserve"> </w:t>
      </w:r>
      <w:r w:rsidRPr="00B004EE">
        <w:rPr>
          <w:rFonts w:ascii="Tahoma" w:hAnsi="Tahoma" w:cs="Tahoma"/>
          <w:bCs/>
          <w:sz w:val="20"/>
          <w:lang w:val="fr-FR"/>
        </w:rPr>
        <w:t>refuse</w:t>
      </w:r>
      <w:r w:rsidR="00DB1635" w:rsidRPr="00B004EE">
        <w:rPr>
          <w:rFonts w:ascii="Tahoma" w:hAnsi="Tahoma" w:cs="Tahoma"/>
          <w:bCs/>
          <w:sz w:val="20"/>
          <w:lang w:val="fr-FR"/>
        </w:rPr>
        <w:t xml:space="preserve"> </w:t>
      </w:r>
      <w:r w:rsidRPr="00B004EE">
        <w:rPr>
          <w:rFonts w:ascii="Tahoma" w:hAnsi="Tahoma" w:cs="Tahoma"/>
          <w:bCs/>
          <w:sz w:val="20"/>
          <w:lang w:val="fr-FR"/>
        </w:rPr>
        <w:t>de</w:t>
      </w:r>
      <w:r w:rsidR="00DB1635" w:rsidRPr="00B004EE">
        <w:rPr>
          <w:rFonts w:ascii="Tahoma" w:hAnsi="Tahoma" w:cs="Tahoma"/>
          <w:bCs/>
          <w:sz w:val="20"/>
          <w:lang w:val="fr-FR"/>
        </w:rPr>
        <w:t xml:space="preserve"> </w:t>
      </w:r>
      <w:r w:rsidRPr="00B004EE">
        <w:rPr>
          <w:rFonts w:ascii="Tahoma" w:hAnsi="Tahoma" w:cs="Tahoma"/>
          <w:bCs/>
          <w:sz w:val="20"/>
          <w:lang w:val="fr-FR"/>
        </w:rPr>
        <w:t>fournir</w:t>
      </w:r>
      <w:r w:rsidR="00DB1635" w:rsidRPr="00B004EE">
        <w:rPr>
          <w:rFonts w:ascii="Tahoma" w:hAnsi="Tahoma" w:cs="Tahoma"/>
          <w:bCs/>
          <w:sz w:val="20"/>
          <w:lang w:val="fr-FR"/>
        </w:rPr>
        <w:t xml:space="preserve"> </w:t>
      </w:r>
      <w:r w:rsidRPr="00B004EE">
        <w:rPr>
          <w:rFonts w:ascii="Tahoma" w:hAnsi="Tahoma" w:cs="Tahoma"/>
          <w:bCs/>
          <w:sz w:val="20"/>
          <w:lang w:val="fr-FR"/>
        </w:rPr>
        <w:t>toutes</w:t>
      </w:r>
      <w:r w:rsidR="00DB1635" w:rsidRPr="00B004EE">
        <w:rPr>
          <w:rFonts w:ascii="Tahoma" w:hAnsi="Tahoma" w:cs="Tahoma"/>
          <w:bCs/>
          <w:sz w:val="20"/>
          <w:lang w:val="fr-FR"/>
        </w:rPr>
        <w:t xml:space="preserve"> </w:t>
      </w:r>
      <w:r w:rsidRPr="00B004EE">
        <w:rPr>
          <w:rFonts w:ascii="Tahoma" w:hAnsi="Tahoma" w:cs="Tahoma"/>
          <w:bCs/>
          <w:sz w:val="20"/>
          <w:lang w:val="fr-FR"/>
        </w:rPr>
        <w:t>les</w:t>
      </w:r>
      <w:r w:rsidR="00DB1635" w:rsidRPr="00B004EE">
        <w:rPr>
          <w:rFonts w:ascii="Tahoma" w:hAnsi="Tahoma" w:cs="Tahoma"/>
          <w:bCs/>
          <w:sz w:val="20"/>
          <w:lang w:val="fr-FR"/>
        </w:rPr>
        <w:t xml:space="preserve"> </w:t>
      </w:r>
      <w:r w:rsidRPr="00B004EE">
        <w:rPr>
          <w:rFonts w:ascii="Tahoma" w:hAnsi="Tahoma" w:cs="Tahoma"/>
          <w:bCs/>
          <w:sz w:val="20"/>
          <w:lang w:val="fr-FR"/>
        </w:rPr>
        <w:t>informations</w:t>
      </w:r>
      <w:r w:rsidR="00DB1635" w:rsidRPr="00B004EE">
        <w:rPr>
          <w:rFonts w:ascii="Tahoma" w:hAnsi="Tahoma" w:cs="Tahoma"/>
          <w:bCs/>
          <w:sz w:val="20"/>
          <w:lang w:val="fr-FR"/>
        </w:rPr>
        <w:t xml:space="preserve"> </w:t>
      </w:r>
      <w:r w:rsidRPr="00B004EE">
        <w:rPr>
          <w:rFonts w:ascii="Tahoma" w:hAnsi="Tahoma" w:cs="Tahoma"/>
          <w:bCs/>
          <w:sz w:val="20"/>
          <w:lang w:val="fr-FR"/>
        </w:rPr>
        <w:t>requises</w:t>
      </w:r>
      <w:r w:rsidR="00DB1635" w:rsidRPr="00B004EE">
        <w:rPr>
          <w:rFonts w:ascii="Tahoma" w:hAnsi="Tahoma" w:cs="Tahoma"/>
          <w:bCs/>
          <w:sz w:val="20"/>
          <w:lang w:val="fr-FR"/>
        </w:rPr>
        <w:t xml:space="preserve"> </w:t>
      </w:r>
      <w:r w:rsidRPr="00B004EE">
        <w:rPr>
          <w:rFonts w:ascii="Tahoma" w:hAnsi="Tahoma" w:cs="Tahoma"/>
          <w:bCs/>
          <w:sz w:val="20"/>
          <w:lang w:val="fr-FR"/>
        </w:rPr>
        <w:t>;</w:t>
      </w:r>
    </w:p>
    <w:p w14:paraId="7ADE5178" w14:textId="40498413" w:rsidR="008518B0" w:rsidRPr="00B004EE" w:rsidRDefault="008518B0" w:rsidP="00420DDA">
      <w:pPr>
        <w:pStyle w:val="TxBrp2"/>
        <w:numPr>
          <w:ilvl w:val="0"/>
          <w:numId w:val="58"/>
        </w:numPr>
        <w:tabs>
          <w:tab w:val="clear" w:pos="204"/>
          <w:tab w:val="clear" w:pos="1776"/>
          <w:tab w:val="left" w:pos="426"/>
          <w:tab w:val="left" w:pos="9923"/>
        </w:tabs>
        <w:spacing w:line="240" w:lineRule="auto"/>
        <w:ind w:left="426" w:right="-1"/>
        <w:rPr>
          <w:rFonts w:ascii="Tahoma" w:hAnsi="Tahoma" w:cs="Tahoma"/>
          <w:bCs/>
          <w:sz w:val="20"/>
          <w:lang w:val="fr-FR"/>
        </w:rPr>
      </w:pPr>
      <w:proofErr w:type="gramStart"/>
      <w:r w:rsidRPr="00B004EE">
        <w:rPr>
          <w:rFonts w:ascii="Tahoma" w:hAnsi="Tahoma" w:cs="Tahoma"/>
          <w:bCs/>
          <w:sz w:val="20"/>
          <w:lang w:val="fr-FR"/>
        </w:rPr>
        <w:t>l’opération</w:t>
      </w:r>
      <w:proofErr w:type="gramEnd"/>
      <w:r w:rsidR="00DB1635" w:rsidRPr="00B004EE">
        <w:rPr>
          <w:rFonts w:ascii="Tahoma" w:hAnsi="Tahoma" w:cs="Tahoma"/>
          <w:bCs/>
          <w:sz w:val="20"/>
          <w:lang w:val="fr-FR"/>
        </w:rPr>
        <w:t xml:space="preserve"> </w:t>
      </w:r>
      <w:r w:rsidRPr="00B004EE">
        <w:rPr>
          <w:rFonts w:ascii="Tahoma" w:hAnsi="Tahoma" w:cs="Tahoma"/>
          <w:bCs/>
          <w:sz w:val="20"/>
          <w:lang w:val="fr-FR"/>
        </w:rPr>
        <w:t>envisagée</w:t>
      </w:r>
      <w:r w:rsidR="00DB1635" w:rsidRPr="00B004EE">
        <w:rPr>
          <w:rFonts w:ascii="Tahoma" w:hAnsi="Tahoma" w:cs="Tahoma"/>
          <w:bCs/>
          <w:sz w:val="20"/>
          <w:lang w:val="fr-FR"/>
        </w:rPr>
        <w:t xml:space="preserve"> </w:t>
      </w:r>
      <w:r w:rsidRPr="00B004EE">
        <w:rPr>
          <w:rFonts w:ascii="Tahoma" w:hAnsi="Tahoma" w:cs="Tahoma"/>
          <w:bCs/>
          <w:sz w:val="20"/>
          <w:lang w:val="fr-FR"/>
        </w:rPr>
        <w:t>menace</w:t>
      </w:r>
      <w:r w:rsidR="00DB1635" w:rsidRPr="00B004EE">
        <w:rPr>
          <w:rFonts w:ascii="Tahoma" w:hAnsi="Tahoma" w:cs="Tahoma"/>
          <w:bCs/>
          <w:sz w:val="20"/>
          <w:lang w:val="fr-FR"/>
        </w:rPr>
        <w:t xml:space="preserve"> </w:t>
      </w:r>
      <w:r w:rsidRPr="00B004EE">
        <w:rPr>
          <w:rFonts w:ascii="Tahoma" w:hAnsi="Tahoma" w:cs="Tahoma"/>
          <w:bCs/>
          <w:sz w:val="20"/>
          <w:lang w:val="fr-FR"/>
        </w:rPr>
        <w:t>la</w:t>
      </w:r>
      <w:r w:rsidR="00DB1635" w:rsidRPr="00B004EE">
        <w:rPr>
          <w:rFonts w:ascii="Tahoma" w:hAnsi="Tahoma" w:cs="Tahoma"/>
          <w:bCs/>
          <w:sz w:val="20"/>
          <w:lang w:val="fr-FR"/>
        </w:rPr>
        <w:t xml:space="preserve"> </w:t>
      </w:r>
      <w:r w:rsidRPr="00B004EE">
        <w:rPr>
          <w:rFonts w:ascii="Tahoma" w:hAnsi="Tahoma" w:cs="Tahoma"/>
          <w:bCs/>
          <w:sz w:val="20"/>
          <w:lang w:val="fr-FR"/>
        </w:rPr>
        <w:t>durabilité</w:t>
      </w:r>
      <w:r w:rsidR="00DB1635" w:rsidRPr="00B004EE">
        <w:rPr>
          <w:rFonts w:ascii="Tahoma" w:hAnsi="Tahoma" w:cs="Tahoma"/>
          <w:bCs/>
          <w:sz w:val="20"/>
          <w:lang w:val="fr-FR"/>
        </w:rPr>
        <w:t xml:space="preserve"> </w:t>
      </w:r>
      <w:r w:rsidRPr="00B004EE">
        <w:rPr>
          <w:rFonts w:ascii="Tahoma" w:hAnsi="Tahoma" w:cs="Tahoma"/>
          <w:bCs/>
          <w:sz w:val="20"/>
          <w:lang w:val="fr-FR"/>
        </w:rPr>
        <w:t>de</w:t>
      </w:r>
      <w:r w:rsidR="00DB1635" w:rsidRPr="00B004EE">
        <w:rPr>
          <w:rFonts w:ascii="Tahoma" w:hAnsi="Tahoma" w:cs="Tahoma"/>
          <w:bCs/>
          <w:sz w:val="20"/>
          <w:lang w:val="fr-FR"/>
        </w:rPr>
        <w:t xml:space="preserve"> </w:t>
      </w:r>
      <w:r w:rsidRPr="00B004EE">
        <w:rPr>
          <w:rFonts w:ascii="Tahoma" w:hAnsi="Tahoma" w:cs="Tahoma"/>
          <w:bCs/>
          <w:sz w:val="20"/>
          <w:lang w:val="fr-FR"/>
        </w:rPr>
        <w:t>la</w:t>
      </w:r>
      <w:r w:rsidR="00DB1635" w:rsidRPr="00B004EE">
        <w:rPr>
          <w:rFonts w:ascii="Tahoma" w:hAnsi="Tahoma" w:cs="Tahoma"/>
          <w:bCs/>
          <w:sz w:val="20"/>
          <w:lang w:val="fr-FR"/>
        </w:rPr>
        <w:t xml:space="preserve"> </w:t>
      </w:r>
      <w:r w:rsidRPr="00B004EE">
        <w:rPr>
          <w:rFonts w:ascii="Tahoma" w:hAnsi="Tahoma" w:cs="Tahoma"/>
          <w:bCs/>
          <w:sz w:val="20"/>
          <w:lang w:val="fr-FR"/>
        </w:rPr>
        <w:t>ressource</w:t>
      </w:r>
      <w:r w:rsidR="00DB1635" w:rsidRPr="00B004EE">
        <w:rPr>
          <w:rFonts w:ascii="Tahoma" w:hAnsi="Tahoma" w:cs="Tahoma"/>
          <w:bCs/>
          <w:sz w:val="20"/>
          <w:lang w:val="fr-FR"/>
        </w:rPr>
        <w:t xml:space="preserve"> </w:t>
      </w:r>
      <w:r w:rsidRPr="00B004EE">
        <w:rPr>
          <w:rFonts w:ascii="Tahoma" w:hAnsi="Tahoma" w:cs="Tahoma"/>
          <w:bCs/>
          <w:sz w:val="20"/>
          <w:lang w:val="fr-FR"/>
        </w:rPr>
        <w:t>halieutique;</w:t>
      </w:r>
    </w:p>
    <w:p w14:paraId="3DE86FFD" w14:textId="07EA2B0B" w:rsidR="008518B0" w:rsidRPr="00B004EE" w:rsidRDefault="008518B0" w:rsidP="00420DDA">
      <w:pPr>
        <w:pStyle w:val="TxBrp2"/>
        <w:numPr>
          <w:ilvl w:val="0"/>
          <w:numId w:val="58"/>
        </w:numPr>
        <w:tabs>
          <w:tab w:val="clear" w:pos="204"/>
          <w:tab w:val="clear" w:pos="1776"/>
          <w:tab w:val="left" w:pos="426"/>
          <w:tab w:val="left" w:pos="9923"/>
        </w:tabs>
        <w:spacing w:line="240" w:lineRule="auto"/>
        <w:ind w:left="426" w:right="-1"/>
        <w:rPr>
          <w:rFonts w:ascii="Tahoma" w:hAnsi="Tahoma" w:cs="Tahoma"/>
          <w:bCs/>
          <w:sz w:val="20"/>
          <w:lang w:val="fr-FR"/>
        </w:rPr>
      </w:pPr>
      <w:proofErr w:type="gramStart"/>
      <w:r w:rsidRPr="00B004EE">
        <w:rPr>
          <w:rFonts w:ascii="Tahoma" w:hAnsi="Tahoma" w:cs="Tahoma"/>
          <w:bCs/>
          <w:sz w:val="20"/>
          <w:lang w:val="fr-FR"/>
        </w:rPr>
        <w:t>le</w:t>
      </w:r>
      <w:proofErr w:type="gramEnd"/>
      <w:r w:rsidR="00DB1635" w:rsidRPr="00B004EE">
        <w:rPr>
          <w:rFonts w:ascii="Tahoma" w:hAnsi="Tahoma" w:cs="Tahoma"/>
          <w:bCs/>
          <w:sz w:val="20"/>
          <w:lang w:val="fr-FR"/>
        </w:rPr>
        <w:t xml:space="preserve"> </w:t>
      </w:r>
      <w:r w:rsidRPr="00B004EE">
        <w:rPr>
          <w:rFonts w:ascii="Tahoma" w:hAnsi="Tahoma" w:cs="Tahoma"/>
          <w:bCs/>
          <w:sz w:val="20"/>
          <w:lang w:val="fr-FR"/>
        </w:rPr>
        <w:t>demandeur</w:t>
      </w:r>
      <w:r w:rsidR="00DB1635" w:rsidRPr="00B004EE">
        <w:rPr>
          <w:rFonts w:ascii="Tahoma" w:hAnsi="Tahoma" w:cs="Tahoma"/>
          <w:bCs/>
          <w:sz w:val="20"/>
          <w:lang w:val="fr-FR"/>
        </w:rPr>
        <w:t xml:space="preserve"> </w:t>
      </w:r>
      <w:r w:rsidRPr="00B004EE">
        <w:rPr>
          <w:rFonts w:ascii="Tahoma" w:hAnsi="Tahoma" w:cs="Tahoma"/>
          <w:bCs/>
          <w:sz w:val="20"/>
          <w:lang w:val="fr-FR"/>
        </w:rPr>
        <w:t>a</w:t>
      </w:r>
      <w:r w:rsidR="00DB1635" w:rsidRPr="00B004EE">
        <w:rPr>
          <w:rFonts w:ascii="Tahoma" w:hAnsi="Tahoma" w:cs="Tahoma"/>
          <w:bCs/>
          <w:sz w:val="20"/>
          <w:lang w:val="fr-FR"/>
        </w:rPr>
        <w:t xml:space="preserve"> </w:t>
      </w:r>
      <w:r w:rsidRPr="00B004EE">
        <w:rPr>
          <w:rFonts w:ascii="Tahoma" w:hAnsi="Tahoma" w:cs="Tahoma"/>
          <w:bCs/>
          <w:sz w:val="20"/>
          <w:lang w:val="fr-FR"/>
        </w:rPr>
        <w:t>fourni</w:t>
      </w:r>
      <w:r w:rsidR="00DB1635" w:rsidRPr="00B004EE">
        <w:rPr>
          <w:rFonts w:ascii="Tahoma" w:hAnsi="Tahoma" w:cs="Tahoma"/>
          <w:bCs/>
          <w:sz w:val="20"/>
          <w:lang w:val="fr-FR"/>
        </w:rPr>
        <w:t xml:space="preserve"> </w:t>
      </w:r>
      <w:r w:rsidRPr="00B004EE">
        <w:rPr>
          <w:rFonts w:ascii="Tahoma" w:hAnsi="Tahoma" w:cs="Tahoma"/>
          <w:bCs/>
          <w:sz w:val="20"/>
          <w:lang w:val="fr-FR"/>
        </w:rPr>
        <w:t>une</w:t>
      </w:r>
      <w:r w:rsidR="00DB1635" w:rsidRPr="00B004EE">
        <w:rPr>
          <w:rFonts w:ascii="Tahoma" w:hAnsi="Tahoma" w:cs="Tahoma"/>
          <w:bCs/>
          <w:sz w:val="20"/>
          <w:lang w:val="fr-FR"/>
        </w:rPr>
        <w:t xml:space="preserve"> </w:t>
      </w:r>
      <w:r w:rsidRPr="00B004EE">
        <w:rPr>
          <w:rFonts w:ascii="Tahoma" w:hAnsi="Tahoma" w:cs="Tahoma"/>
          <w:bCs/>
          <w:sz w:val="20"/>
          <w:lang w:val="fr-FR"/>
        </w:rPr>
        <w:t>information</w:t>
      </w:r>
      <w:r w:rsidR="00DB1635" w:rsidRPr="00B004EE">
        <w:rPr>
          <w:rFonts w:ascii="Tahoma" w:hAnsi="Tahoma" w:cs="Tahoma"/>
          <w:bCs/>
          <w:sz w:val="20"/>
          <w:lang w:val="fr-FR"/>
        </w:rPr>
        <w:t xml:space="preserve"> </w:t>
      </w:r>
      <w:r w:rsidRPr="00B004EE">
        <w:rPr>
          <w:rFonts w:ascii="Tahoma" w:hAnsi="Tahoma" w:cs="Tahoma"/>
          <w:bCs/>
          <w:sz w:val="20"/>
          <w:lang w:val="fr-FR"/>
        </w:rPr>
        <w:t>incorrecte</w:t>
      </w:r>
      <w:r w:rsidR="00DB1635" w:rsidRPr="00B004EE">
        <w:rPr>
          <w:rFonts w:ascii="Tahoma" w:hAnsi="Tahoma" w:cs="Tahoma"/>
          <w:bCs/>
          <w:sz w:val="20"/>
          <w:lang w:val="fr-FR"/>
        </w:rPr>
        <w:t xml:space="preserve"> </w:t>
      </w:r>
      <w:r w:rsidRPr="00B004EE">
        <w:rPr>
          <w:rFonts w:ascii="Tahoma" w:hAnsi="Tahoma" w:cs="Tahoma"/>
          <w:bCs/>
          <w:sz w:val="20"/>
          <w:lang w:val="fr-FR"/>
        </w:rPr>
        <w:t>ou</w:t>
      </w:r>
      <w:r w:rsidR="00DB1635" w:rsidRPr="00B004EE">
        <w:rPr>
          <w:rFonts w:ascii="Tahoma" w:hAnsi="Tahoma" w:cs="Tahoma"/>
          <w:bCs/>
          <w:sz w:val="20"/>
          <w:lang w:val="fr-FR"/>
        </w:rPr>
        <w:t xml:space="preserve"> </w:t>
      </w:r>
      <w:r w:rsidRPr="00B004EE">
        <w:rPr>
          <w:rFonts w:ascii="Tahoma" w:hAnsi="Tahoma" w:cs="Tahoma"/>
          <w:bCs/>
          <w:sz w:val="20"/>
          <w:lang w:val="fr-FR"/>
        </w:rPr>
        <w:t>incomplète</w:t>
      </w:r>
      <w:r w:rsidR="00DB1635" w:rsidRPr="00B004EE">
        <w:rPr>
          <w:rFonts w:ascii="Tahoma" w:hAnsi="Tahoma" w:cs="Tahoma"/>
          <w:bCs/>
          <w:sz w:val="20"/>
          <w:lang w:val="fr-FR"/>
        </w:rPr>
        <w:t xml:space="preserve"> </w:t>
      </w:r>
      <w:r w:rsidRPr="00B004EE">
        <w:rPr>
          <w:rFonts w:ascii="Tahoma" w:hAnsi="Tahoma" w:cs="Tahoma"/>
          <w:bCs/>
          <w:sz w:val="20"/>
          <w:lang w:val="fr-FR"/>
        </w:rPr>
        <w:t>;</w:t>
      </w:r>
    </w:p>
    <w:p w14:paraId="191D1F72" w14:textId="4ACB710B" w:rsidR="008518B0" w:rsidRPr="00B004EE" w:rsidRDefault="008518B0" w:rsidP="00420DDA">
      <w:pPr>
        <w:pStyle w:val="TxBrp2"/>
        <w:numPr>
          <w:ilvl w:val="0"/>
          <w:numId w:val="58"/>
        </w:numPr>
        <w:tabs>
          <w:tab w:val="clear" w:pos="204"/>
          <w:tab w:val="clear" w:pos="1776"/>
          <w:tab w:val="left" w:pos="426"/>
          <w:tab w:val="left" w:pos="9923"/>
        </w:tabs>
        <w:spacing w:line="240" w:lineRule="auto"/>
        <w:ind w:left="426" w:right="-1"/>
        <w:rPr>
          <w:rFonts w:ascii="Tahoma" w:hAnsi="Tahoma" w:cs="Tahoma"/>
          <w:bCs/>
          <w:sz w:val="20"/>
          <w:lang w:val="fr-FR"/>
        </w:rPr>
      </w:pPr>
      <w:proofErr w:type="gramStart"/>
      <w:r w:rsidRPr="00B004EE">
        <w:rPr>
          <w:rFonts w:ascii="Tahoma" w:hAnsi="Tahoma" w:cs="Tahoma"/>
          <w:bCs/>
          <w:sz w:val="20"/>
          <w:lang w:val="fr-FR"/>
        </w:rPr>
        <w:t>la</w:t>
      </w:r>
      <w:proofErr w:type="gramEnd"/>
      <w:r w:rsidR="00DB1635" w:rsidRPr="00B004EE">
        <w:rPr>
          <w:rFonts w:ascii="Tahoma" w:hAnsi="Tahoma" w:cs="Tahoma"/>
          <w:bCs/>
          <w:sz w:val="20"/>
          <w:lang w:val="fr-FR"/>
        </w:rPr>
        <w:t xml:space="preserve"> </w:t>
      </w:r>
      <w:r w:rsidRPr="00B004EE">
        <w:rPr>
          <w:rFonts w:ascii="Tahoma" w:hAnsi="Tahoma" w:cs="Tahoma"/>
          <w:bCs/>
          <w:sz w:val="20"/>
          <w:lang w:val="fr-FR"/>
        </w:rPr>
        <w:t>demande</w:t>
      </w:r>
      <w:r w:rsidR="00DB1635" w:rsidRPr="00B004EE">
        <w:rPr>
          <w:rFonts w:ascii="Tahoma" w:hAnsi="Tahoma" w:cs="Tahoma"/>
          <w:bCs/>
          <w:sz w:val="20"/>
          <w:lang w:val="fr-FR"/>
        </w:rPr>
        <w:t xml:space="preserve"> </w:t>
      </w:r>
      <w:r w:rsidRPr="00B004EE">
        <w:rPr>
          <w:rFonts w:ascii="Tahoma" w:hAnsi="Tahoma" w:cs="Tahoma"/>
          <w:bCs/>
          <w:sz w:val="20"/>
          <w:lang w:val="fr-FR"/>
        </w:rPr>
        <w:t>n’entre</w:t>
      </w:r>
      <w:r w:rsidR="00DB1635" w:rsidRPr="00B004EE">
        <w:rPr>
          <w:rFonts w:ascii="Tahoma" w:hAnsi="Tahoma" w:cs="Tahoma"/>
          <w:bCs/>
          <w:sz w:val="20"/>
          <w:lang w:val="fr-FR"/>
        </w:rPr>
        <w:t xml:space="preserve"> </w:t>
      </w:r>
      <w:r w:rsidRPr="00B004EE">
        <w:rPr>
          <w:rFonts w:ascii="Tahoma" w:hAnsi="Tahoma" w:cs="Tahoma"/>
          <w:bCs/>
          <w:sz w:val="20"/>
          <w:lang w:val="fr-FR"/>
        </w:rPr>
        <w:t>pas</w:t>
      </w:r>
      <w:r w:rsidR="00DB1635" w:rsidRPr="00B004EE">
        <w:rPr>
          <w:rFonts w:ascii="Tahoma" w:hAnsi="Tahoma" w:cs="Tahoma"/>
          <w:bCs/>
          <w:sz w:val="20"/>
          <w:lang w:val="fr-FR"/>
        </w:rPr>
        <w:t xml:space="preserve"> </w:t>
      </w:r>
      <w:r w:rsidRPr="00B004EE">
        <w:rPr>
          <w:rFonts w:ascii="Tahoma" w:hAnsi="Tahoma" w:cs="Tahoma"/>
          <w:bCs/>
          <w:sz w:val="20"/>
          <w:lang w:val="fr-FR"/>
        </w:rPr>
        <w:t>dans</w:t>
      </w:r>
      <w:r w:rsidR="00DB1635" w:rsidRPr="00B004EE">
        <w:rPr>
          <w:rFonts w:ascii="Tahoma" w:hAnsi="Tahoma" w:cs="Tahoma"/>
          <w:bCs/>
          <w:sz w:val="20"/>
          <w:lang w:val="fr-FR"/>
        </w:rPr>
        <w:t xml:space="preserve"> </w:t>
      </w:r>
      <w:r w:rsidRPr="00B004EE">
        <w:rPr>
          <w:rFonts w:ascii="Tahoma" w:hAnsi="Tahoma" w:cs="Tahoma"/>
          <w:bCs/>
          <w:sz w:val="20"/>
          <w:lang w:val="fr-FR"/>
        </w:rPr>
        <w:t>le</w:t>
      </w:r>
      <w:r w:rsidR="00DB1635" w:rsidRPr="00B004EE">
        <w:rPr>
          <w:rFonts w:ascii="Tahoma" w:hAnsi="Tahoma" w:cs="Tahoma"/>
          <w:bCs/>
          <w:sz w:val="20"/>
          <w:lang w:val="fr-FR"/>
        </w:rPr>
        <w:t xml:space="preserve"> </w:t>
      </w:r>
      <w:r w:rsidRPr="00B004EE">
        <w:rPr>
          <w:rFonts w:ascii="Tahoma" w:hAnsi="Tahoma" w:cs="Tahoma"/>
          <w:bCs/>
          <w:sz w:val="20"/>
          <w:lang w:val="fr-FR"/>
        </w:rPr>
        <w:t>cadre</w:t>
      </w:r>
      <w:r w:rsidR="00DB1635" w:rsidRPr="00B004EE">
        <w:rPr>
          <w:rFonts w:ascii="Tahoma" w:hAnsi="Tahoma" w:cs="Tahoma"/>
          <w:bCs/>
          <w:sz w:val="20"/>
          <w:lang w:val="fr-FR"/>
        </w:rPr>
        <w:t xml:space="preserve"> </w:t>
      </w:r>
      <w:r w:rsidRPr="00B004EE">
        <w:rPr>
          <w:rFonts w:ascii="Tahoma" w:hAnsi="Tahoma" w:cs="Tahoma"/>
          <w:bCs/>
          <w:sz w:val="20"/>
          <w:lang w:val="fr-FR"/>
        </w:rPr>
        <w:t>des</w:t>
      </w:r>
      <w:r w:rsidR="00DB1635" w:rsidRPr="00B004EE">
        <w:rPr>
          <w:rFonts w:ascii="Tahoma" w:hAnsi="Tahoma" w:cs="Tahoma"/>
          <w:bCs/>
          <w:sz w:val="20"/>
          <w:lang w:val="fr-FR"/>
        </w:rPr>
        <w:t xml:space="preserve"> </w:t>
      </w:r>
      <w:r w:rsidRPr="00B004EE">
        <w:rPr>
          <w:rFonts w:ascii="Tahoma" w:hAnsi="Tahoma" w:cs="Tahoma"/>
          <w:bCs/>
          <w:sz w:val="20"/>
          <w:lang w:val="fr-FR"/>
        </w:rPr>
        <w:t>orientations</w:t>
      </w:r>
      <w:r w:rsidR="00DB1635" w:rsidRPr="00B004EE">
        <w:rPr>
          <w:rFonts w:ascii="Tahoma" w:hAnsi="Tahoma" w:cs="Tahoma"/>
          <w:bCs/>
          <w:sz w:val="20"/>
          <w:lang w:val="fr-FR"/>
        </w:rPr>
        <w:t xml:space="preserve"> </w:t>
      </w:r>
      <w:r w:rsidRPr="00B004EE">
        <w:rPr>
          <w:rFonts w:ascii="Tahoma" w:hAnsi="Tahoma" w:cs="Tahoma"/>
          <w:bCs/>
          <w:sz w:val="20"/>
          <w:lang w:val="fr-FR"/>
        </w:rPr>
        <w:t>de</w:t>
      </w:r>
      <w:r w:rsidR="00DB1635" w:rsidRPr="00B004EE">
        <w:rPr>
          <w:rFonts w:ascii="Tahoma" w:hAnsi="Tahoma" w:cs="Tahoma"/>
          <w:bCs/>
          <w:sz w:val="20"/>
          <w:lang w:val="fr-FR"/>
        </w:rPr>
        <w:t xml:space="preserve"> </w:t>
      </w:r>
      <w:r w:rsidRPr="00B004EE">
        <w:rPr>
          <w:rFonts w:ascii="Tahoma" w:hAnsi="Tahoma" w:cs="Tahoma"/>
          <w:bCs/>
          <w:sz w:val="20"/>
          <w:lang w:val="fr-FR"/>
        </w:rPr>
        <w:t>la</w:t>
      </w:r>
      <w:r w:rsidR="00DB1635" w:rsidRPr="00B004EE">
        <w:rPr>
          <w:rFonts w:ascii="Tahoma" w:hAnsi="Tahoma" w:cs="Tahoma"/>
          <w:bCs/>
          <w:sz w:val="20"/>
          <w:lang w:val="fr-FR"/>
        </w:rPr>
        <w:t xml:space="preserve"> </w:t>
      </w:r>
      <w:r w:rsidRPr="00B004EE">
        <w:rPr>
          <w:rFonts w:ascii="Tahoma" w:hAnsi="Tahoma" w:cs="Tahoma"/>
          <w:bCs/>
          <w:sz w:val="20"/>
          <w:lang w:val="fr-FR"/>
        </w:rPr>
        <w:t>politique</w:t>
      </w:r>
      <w:r w:rsidR="00DB1635" w:rsidRPr="00B004EE">
        <w:rPr>
          <w:rFonts w:ascii="Tahoma" w:hAnsi="Tahoma" w:cs="Tahoma"/>
          <w:bCs/>
          <w:sz w:val="20"/>
          <w:lang w:val="fr-FR"/>
        </w:rPr>
        <w:t xml:space="preserve"> </w:t>
      </w:r>
      <w:r w:rsidRPr="00B004EE">
        <w:rPr>
          <w:rFonts w:ascii="Tahoma" w:hAnsi="Tahoma" w:cs="Tahoma"/>
          <w:bCs/>
          <w:sz w:val="20"/>
          <w:lang w:val="fr-FR"/>
        </w:rPr>
        <w:t>nationale</w:t>
      </w:r>
      <w:r w:rsidR="00DB1635" w:rsidRPr="00B004EE">
        <w:rPr>
          <w:rFonts w:ascii="Tahoma" w:hAnsi="Tahoma" w:cs="Tahoma"/>
          <w:bCs/>
          <w:sz w:val="20"/>
          <w:lang w:val="fr-FR"/>
        </w:rPr>
        <w:t xml:space="preserve"> </w:t>
      </w:r>
      <w:r w:rsidRPr="00B004EE">
        <w:rPr>
          <w:rFonts w:ascii="Tahoma" w:hAnsi="Tahoma" w:cs="Tahoma"/>
          <w:bCs/>
          <w:sz w:val="20"/>
          <w:lang w:val="fr-FR"/>
        </w:rPr>
        <w:t>des</w:t>
      </w:r>
      <w:r w:rsidR="00DB1635" w:rsidRPr="00B004EE">
        <w:rPr>
          <w:rFonts w:ascii="Tahoma" w:hAnsi="Tahoma" w:cs="Tahoma"/>
          <w:bCs/>
          <w:sz w:val="20"/>
          <w:lang w:val="fr-FR"/>
        </w:rPr>
        <w:t xml:space="preserve"> </w:t>
      </w:r>
      <w:r w:rsidRPr="00B004EE">
        <w:rPr>
          <w:rFonts w:ascii="Tahoma" w:hAnsi="Tahoma" w:cs="Tahoma"/>
          <w:bCs/>
          <w:sz w:val="20"/>
          <w:lang w:val="fr-FR"/>
        </w:rPr>
        <w:t>pêches</w:t>
      </w:r>
      <w:r w:rsidR="00DB1635" w:rsidRPr="00B004EE">
        <w:rPr>
          <w:rFonts w:ascii="Tahoma" w:hAnsi="Tahoma" w:cs="Tahoma"/>
          <w:bCs/>
          <w:sz w:val="20"/>
          <w:lang w:val="fr-FR"/>
        </w:rPr>
        <w:t xml:space="preserve"> </w:t>
      </w:r>
      <w:r w:rsidRPr="00B004EE">
        <w:rPr>
          <w:rFonts w:ascii="Tahoma" w:hAnsi="Tahoma" w:cs="Tahoma"/>
          <w:bCs/>
          <w:sz w:val="20"/>
          <w:lang w:val="fr-FR"/>
        </w:rPr>
        <w:t>;</w:t>
      </w:r>
      <w:r w:rsidR="00DB1635" w:rsidRPr="00B004EE">
        <w:rPr>
          <w:rFonts w:ascii="Tahoma" w:hAnsi="Tahoma" w:cs="Tahoma"/>
          <w:bCs/>
          <w:sz w:val="20"/>
          <w:lang w:val="fr-FR"/>
        </w:rPr>
        <w:t xml:space="preserve"> </w:t>
      </w:r>
    </w:p>
    <w:p w14:paraId="0D4C066C" w14:textId="242F2CFA" w:rsidR="008518B0" w:rsidRPr="00B004EE" w:rsidRDefault="008518B0" w:rsidP="00420DDA">
      <w:pPr>
        <w:pStyle w:val="TxBrp2"/>
        <w:numPr>
          <w:ilvl w:val="0"/>
          <w:numId w:val="58"/>
        </w:numPr>
        <w:tabs>
          <w:tab w:val="clear" w:pos="204"/>
          <w:tab w:val="clear" w:pos="1776"/>
          <w:tab w:val="left" w:pos="426"/>
          <w:tab w:val="left" w:pos="9923"/>
        </w:tabs>
        <w:spacing w:line="240" w:lineRule="auto"/>
        <w:ind w:left="426" w:right="-1"/>
        <w:rPr>
          <w:rFonts w:ascii="Tahoma" w:hAnsi="Tahoma" w:cs="Tahoma"/>
          <w:bCs/>
          <w:sz w:val="20"/>
          <w:lang w:val="fr-FR"/>
        </w:rPr>
      </w:pPr>
      <w:proofErr w:type="gramStart"/>
      <w:r w:rsidRPr="00B004EE">
        <w:rPr>
          <w:rFonts w:ascii="Tahoma" w:hAnsi="Tahoma" w:cs="Tahoma"/>
          <w:bCs/>
          <w:sz w:val="20"/>
          <w:lang w:val="fr-FR"/>
        </w:rPr>
        <w:t>l’octroi</w:t>
      </w:r>
      <w:proofErr w:type="gramEnd"/>
      <w:r w:rsidR="00DB1635" w:rsidRPr="00B004EE">
        <w:rPr>
          <w:rFonts w:ascii="Tahoma" w:hAnsi="Tahoma" w:cs="Tahoma"/>
          <w:bCs/>
          <w:sz w:val="20"/>
          <w:lang w:val="fr-FR"/>
        </w:rPr>
        <w:t xml:space="preserve"> </w:t>
      </w:r>
      <w:r w:rsidRPr="00B004EE">
        <w:rPr>
          <w:rFonts w:ascii="Tahoma" w:hAnsi="Tahoma" w:cs="Tahoma"/>
          <w:bCs/>
          <w:sz w:val="20"/>
          <w:lang w:val="fr-FR"/>
        </w:rPr>
        <w:t>de</w:t>
      </w:r>
      <w:r w:rsidR="00DB1635" w:rsidRPr="00B004EE">
        <w:rPr>
          <w:rFonts w:ascii="Tahoma" w:hAnsi="Tahoma" w:cs="Tahoma"/>
          <w:bCs/>
          <w:sz w:val="20"/>
          <w:lang w:val="fr-FR"/>
        </w:rPr>
        <w:t xml:space="preserve"> </w:t>
      </w:r>
      <w:r w:rsidRPr="00B004EE">
        <w:rPr>
          <w:rFonts w:ascii="Tahoma" w:hAnsi="Tahoma" w:cs="Tahoma"/>
          <w:bCs/>
          <w:sz w:val="20"/>
          <w:lang w:val="fr-FR"/>
        </w:rPr>
        <w:t>la</w:t>
      </w:r>
      <w:r w:rsidR="00DB1635" w:rsidRPr="00B004EE">
        <w:rPr>
          <w:rFonts w:ascii="Tahoma" w:hAnsi="Tahoma" w:cs="Tahoma"/>
          <w:bCs/>
          <w:sz w:val="20"/>
          <w:lang w:val="fr-FR"/>
        </w:rPr>
        <w:t xml:space="preserve"> </w:t>
      </w:r>
      <w:r w:rsidRPr="00B004EE">
        <w:rPr>
          <w:rFonts w:ascii="Tahoma" w:hAnsi="Tahoma" w:cs="Tahoma"/>
          <w:bCs/>
          <w:sz w:val="20"/>
          <w:lang w:val="fr-FR"/>
        </w:rPr>
        <w:t>concession</w:t>
      </w:r>
      <w:r w:rsidR="00DB1635" w:rsidRPr="00B004EE">
        <w:rPr>
          <w:rFonts w:ascii="Tahoma" w:hAnsi="Tahoma" w:cs="Tahoma"/>
          <w:bCs/>
          <w:sz w:val="20"/>
          <w:lang w:val="fr-FR"/>
        </w:rPr>
        <w:t xml:space="preserve"> </w:t>
      </w:r>
      <w:r w:rsidRPr="00B004EE">
        <w:rPr>
          <w:rFonts w:ascii="Tahoma" w:hAnsi="Tahoma" w:cs="Tahoma"/>
          <w:bCs/>
          <w:sz w:val="20"/>
          <w:lang w:val="fr-FR"/>
        </w:rPr>
        <w:t>est</w:t>
      </w:r>
      <w:r w:rsidR="00DB1635" w:rsidRPr="00B004EE">
        <w:rPr>
          <w:rFonts w:ascii="Tahoma" w:hAnsi="Tahoma" w:cs="Tahoma"/>
          <w:bCs/>
          <w:sz w:val="20"/>
          <w:lang w:val="fr-FR"/>
        </w:rPr>
        <w:t xml:space="preserve"> </w:t>
      </w:r>
      <w:r w:rsidRPr="00B004EE">
        <w:rPr>
          <w:rFonts w:ascii="Tahoma" w:hAnsi="Tahoma" w:cs="Tahoma"/>
          <w:bCs/>
          <w:sz w:val="20"/>
          <w:lang w:val="fr-FR"/>
        </w:rPr>
        <w:t>contraire</w:t>
      </w:r>
      <w:r w:rsidR="00DB1635" w:rsidRPr="00B004EE">
        <w:rPr>
          <w:rFonts w:ascii="Tahoma" w:hAnsi="Tahoma" w:cs="Tahoma"/>
          <w:bCs/>
          <w:sz w:val="20"/>
          <w:lang w:val="fr-FR"/>
        </w:rPr>
        <w:t xml:space="preserve"> </w:t>
      </w:r>
      <w:r w:rsidRPr="00B004EE">
        <w:rPr>
          <w:rFonts w:ascii="Tahoma" w:hAnsi="Tahoma" w:cs="Tahoma"/>
          <w:bCs/>
          <w:sz w:val="20"/>
          <w:lang w:val="fr-FR"/>
        </w:rPr>
        <w:t>aux</w:t>
      </w:r>
      <w:r w:rsidR="00DB1635" w:rsidRPr="00B004EE">
        <w:rPr>
          <w:rFonts w:ascii="Tahoma" w:hAnsi="Tahoma" w:cs="Tahoma"/>
          <w:bCs/>
          <w:sz w:val="20"/>
          <w:lang w:val="fr-FR"/>
        </w:rPr>
        <w:t xml:space="preserve"> </w:t>
      </w:r>
      <w:r w:rsidRPr="00B004EE">
        <w:rPr>
          <w:rFonts w:ascii="Tahoma" w:hAnsi="Tahoma" w:cs="Tahoma"/>
          <w:bCs/>
          <w:sz w:val="20"/>
          <w:lang w:val="fr-FR"/>
        </w:rPr>
        <w:t>engagements</w:t>
      </w:r>
      <w:r w:rsidR="00DB1635" w:rsidRPr="00B004EE">
        <w:rPr>
          <w:rFonts w:ascii="Tahoma" w:hAnsi="Tahoma" w:cs="Tahoma"/>
          <w:bCs/>
          <w:sz w:val="20"/>
          <w:lang w:val="fr-FR"/>
        </w:rPr>
        <w:t xml:space="preserve"> </w:t>
      </w:r>
      <w:r w:rsidRPr="00B004EE">
        <w:rPr>
          <w:rFonts w:ascii="Tahoma" w:hAnsi="Tahoma" w:cs="Tahoma"/>
          <w:bCs/>
          <w:sz w:val="20"/>
          <w:lang w:val="fr-FR"/>
        </w:rPr>
        <w:t>internationaux</w:t>
      </w:r>
      <w:r w:rsidR="00DB1635" w:rsidRPr="00B004EE">
        <w:rPr>
          <w:rFonts w:ascii="Tahoma" w:hAnsi="Tahoma" w:cs="Tahoma"/>
          <w:bCs/>
          <w:sz w:val="20"/>
          <w:lang w:val="fr-FR"/>
        </w:rPr>
        <w:t xml:space="preserve"> </w:t>
      </w:r>
      <w:r w:rsidRPr="00B004EE">
        <w:rPr>
          <w:rFonts w:ascii="Tahoma" w:hAnsi="Tahoma" w:cs="Tahoma"/>
          <w:bCs/>
          <w:sz w:val="20"/>
          <w:lang w:val="fr-FR"/>
        </w:rPr>
        <w:t>de</w:t>
      </w:r>
      <w:r w:rsidR="00DB1635" w:rsidRPr="00B004EE">
        <w:rPr>
          <w:rFonts w:ascii="Tahoma" w:hAnsi="Tahoma" w:cs="Tahoma"/>
          <w:bCs/>
          <w:sz w:val="20"/>
          <w:lang w:val="fr-FR"/>
        </w:rPr>
        <w:t xml:space="preserve"> </w:t>
      </w:r>
      <w:r w:rsidRPr="00B004EE">
        <w:rPr>
          <w:rFonts w:ascii="Tahoma" w:hAnsi="Tahoma" w:cs="Tahoma"/>
          <w:bCs/>
          <w:sz w:val="20"/>
          <w:lang w:val="fr-FR"/>
        </w:rPr>
        <w:t>la</w:t>
      </w:r>
      <w:r w:rsidR="00DB1635" w:rsidRPr="00B004EE">
        <w:rPr>
          <w:rFonts w:ascii="Tahoma" w:hAnsi="Tahoma" w:cs="Tahoma"/>
          <w:bCs/>
          <w:sz w:val="20"/>
          <w:lang w:val="fr-FR"/>
        </w:rPr>
        <w:t xml:space="preserve"> </w:t>
      </w:r>
      <w:r w:rsidRPr="00B004EE">
        <w:rPr>
          <w:rFonts w:ascii="Tahoma" w:hAnsi="Tahoma" w:cs="Tahoma"/>
          <w:bCs/>
          <w:sz w:val="20"/>
          <w:lang w:val="fr-FR"/>
        </w:rPr>
        <w:t>Mauritanie.</w:t>
      </w:r>
    </w:p>
    <w:p w14:paraId="389F24F1" w14:textId="1B29844B" w:rsidR="008518B0" w:rsidRPr="00B004EE" w:rsidRDefault="008518B0" w:rsidP="00420DDA">
      <w:pPr>
        <w:pStyle w:val="TxBrp2"/>
        <w:numPr>
          <w:ilvl w:val="0"/>
          <w:numId w:val="58"/>
        </w:numPr>
        <w:tabs>
          <w:tab w:val="clear" w:pos="204"/>
          <w:tab w:val="clear" w:pos="1776"/>
          <w:tab w:val="left" w:pos="426"/>
          <w:tab w:val="left" w:pos="9923"/>
        </w:tabs>
        <w:spacing w:line="240" w:lineRule="auto"/>
        <w:ind w:left="426" w:right="-1"/>
        <w:rPr>
          <w:rFonts w:ascii="Tahoma" w:hAnsi="Tahoma" w:cs="Tahoma"/>
          <w:bCs/>
          <w:sz w:val="20"/>
          <w:lang w:val="fr-FR"/>
        </w:rPr>
      </w:pPr>
      <w:proofErr w:type="gramStart"/>
      <w:r w:rsidRPr="00B004EE">
        <w:rPr>
          <w:rFonts w:ascii="Tahoma" w:hAnsi="Tahoma" w:cs="Tahoma"/>
          <w:bCs/>
          <w:sz w:val="20"/>
          <w:lang w:val="fr-FR"/>
        </w:rPr>
        <w:t>l’un</w:t>
      </w:r>
      <w:proofErr w:type="gramEnd"/>
      <w:r w:rsidR="00DB1635" w:rsidRPr="00B004EE">
        <w:rPr>
          <w:rFonts w:ascii="Tahoma" w:hAnsi="Tahoma" w:cs="Tahoma"/>
          <w:bCs/>
          <w:sz w:val="20"/>
          <w:lang w:val="fr-FR"/>
        </w:rPr>
        <w:t xml:space="preserve"> </w:t>
      </w:r>
      <w:r w:rsidRPr="00B004EE">
        <w:rPr>
          <w:rFonts w:ascii="Tahoma" w:hAnsi="Tahoma" w:cs="Tahoma"/>
          <w:bCs/>
          <w:sz w:val="20"/>
          <w:lang w:val="fr-FR"/>
        </w:rPr>
        <w:t>des</w:t>
      </w:r>
      <w:r w:rsidR="00DB1635" w:rsidRPr="00B004EE">
        <w:rPr>
          <w:rFonts w:ascii="Tahoma" w:hAnsi="Tahoma" w:cs="Tahoma"/>
          <w:bCs/>
          <w:sz w:val="20"/>
          <w:lang w:val="fr-FR"/>
        </w:rPr>
        <w:t xml:space="preserve"> </w:t>
      </w:r>
      <w:r w:rsidRPr="00B004EE">
        <w:rPr>
          <w:rFonts w:ascii="Tahoma" w:hAnsi="Tahoma" w:cs="Tahoma"/>
          <w:bCs/>
          <w:sz w:val="20"/>
          <w:lang w:val="fr-FR"/>
        </w:rPr>
        <w:t>navires</w:t>
      </w:r>
      <w:r w:rsidR="00DB1635" w:rsidRPr="00B004EE">
        <w:rPr>
          <w:rFonts w:ascii="Tahoma" w:hAnsi="Tahoma" w:cs="Tahoma"/>
          <w:bCs/>
          <w:sz w:val="20"/>
          <w:lang w:val="fr-FR"/>
        </w:rPr>
        <w:t xml:space="preserve"> </w:t>
      </w:r>
      <w:r w:rsidRPr="00B004EE">
        <w:rPr>
          <w:rFonts w:ascii="Tahoma" w:hAnsi="Tahoma" w:cs="Tahoma"/>
          <w:bCs/>
          <w:sz w:val="20"/>
          <w:lang w:val="fr-FR"/>
        </w:rPr>
        <w:t>envisagés</w:t>
      </w:r>
      <w:r w:rsidR="00DB1635" w:rsidRPr="00B004EE">
        <w:rPr>
          <w:rFonts w:ascii="Tahoma" w:hAnsi="Tahoma" w:cs="Tahoma"/>
          <w:bCs/>
          <w:sz w:val="20"/>
          <w:lang w:val="fr-FR"/>
        </w:rPr>
        <w:t xml:space="preserve"> </w:t>
      </w:r>
      <w:r w:rsidRPr="00B004EE">
        <w:rPr>
          <w:rFonts w:ascii="Tahoma" w:hAnsi="Tahoma" w:cs="Tahoma"/>
          <w:bCs/>
          <w:sz w:val="20"/>
          <w:lang w:val="fr-FR"/>
        </w:rPr>
        <w:t>pour</w:t>
      </w:r>
      <w:r w:rsidR="00DB1635" w:rsidRPr="00B004EE">
        <w:rPr>
          <w:rFonts w:ascii="Tahoma" w:hAnsi="Tahoma" w:cs="Tahoma"/>
          <w:bCs/>
          <w:sz w:val="20"/>
          <w:lang w:val="fr-FR"/>
        </w:rPr>
        <w:t xml:space="preserve"> </w:t>
      </w:r>
      <w:r w:rsidRPr="00B004EE">
        <w:rPr>
          <w:rFonts w:ascii="Tahoma" w:hAnsi="Tahoma" w:cs="Tahoma"/>
          <w:bCs/>
          <w:sz w:val="20"/>
          <w:lang w:val="fr-FR"/>
        </w:rPr>
        <w:t>l’exploitation</w:t>
      </w:r>
      <w:r w:rsidR="00DB1635" w:rsidRPr="00B004EE">
        <w:rPr>
          <w:rFonts w:ascii="Tahoma" w:hAnsi="Tahoma" w:cs="Tahoma"/>
          <w:bCs/>
          <w:sz w:val="20"/>
          <w:lang w:val="fr-FR"/>
        </w:rPr>
        <w:t xml:space="preserve"> </w:t>
      </w:r>
      <w:r w:rsidRPr="00B004EE">
        <w:rPr>
          <w:rFonts w:ascii="Tahoma" w:hAnsi="Tahoma" w:cs="Tahoma"/>
          <w:bCs/>
          <w:sz w:val="20"/>
          <w:lang w:val="fr-FR"/>
        </w:rPr>
        <w:t>de</w:t>
      </w:r>
      <w:r w:rsidR="00DB1635" w:rsidRPr="00B004EE">
        <w:rPr>
          <w:rFonts w:ascii="Tahoma" w:hAnsi="Tahoma" w:cs="Tahoma"/>
          <w:bCs/>
          <w:sz w:val="20"/>
          <w:lang w:val="fr-FR"/>
        </w:rPr>
        <w:t xml:space="preserve"> </w:t>
      </w:r>
      <w:r w:rsidRPr="00B004EE">
        <w:rPr>
          <w:rFonts w:ascii="Tahoma" w:hAnsi="Tahoma" w:cs="Tahoma"/>
          <w:bCs/>
          <w:sz w:val="20"/>
          <w:lang w:val="fr-FR"/>
        </w:rPr>
        <w:t>la</w:t>
      </w:r>
      <w:r w:rsidR="00DB1635" w:rsidRPr="00B004EE">
        <w:rPr>
          <w:rFonts w:ascii="Tahoma" w:hAnsi="Tahoma" w:cs="Tahoma"/>
          <w:bCs/>
          <w:sz w:val="20"/>
          <w:lang w:val="fr-FR"/>
        </w:rPr>
        <w:t xml:space="preserve"> </w:t>
      </w:r>
      <w:r w:rsidRPr="00B004EE">
        <w:rPr>
          <w:rFonts w:ascii="Tahoma" w:hAnsi="Tahoma" w:cs="Tahoma"/>
          <w:bCs/>
          <w:sz w:val="20"/>
          <w:lang w:val="fr-FR"/>
        </w:rPr>
        <w:t>concession</w:t>
      </w:r>
      <w:r w:rsidR="00DB1635" w:rsidRPr="00B004EE">
        <w:rPr>
          <w:rFonts w:ascii="Tahoma" w:hAnsi="Tahoma" w:cs="Tahoma"/>
          <w:bCs/>
          <w:sz w:val="20"/>
          <w:lang w:val="fr-FR"/>
        </w:rPr>
        <w:t xml:space="preserve"> </w:t>
      </w:r>
      <w:r w:rsidRPr="00B004EE">
        <w:rPr>
          <w:rFonts w:ascii="Tahoma" w:hAnsi="Tahoma" w:cs="Tahoma"/>
          <w:bCs/>
          <w:sz w:val="20"/>
          <w:lang w:val="fr-FR"/>
        </w:rPr>
        <w:t>a</w:t>
      </w:r>
      <w:r w:rsidR="00DB1635" w:rsidRPr="00B004EE">
        <w:rPr>
          <w:rFonts w:ascii="Tahoma" w:hAnsi="Tahoma" w:cs="Tahoma"/>
          <w:bCs/>
          <w:sz w:val="20"/>
          <w:lang w:val="fr-FR"/>
        </w:rPr>
        <w:t xml:space="preserve"> </w:t>
      </w:r>
      <w:r w:rsidRPr="00B004EE">
        <w:rPr>
          <w:rFonts w:ascii="Tahoma" w:hAnsi="Tahoma" w:cs="Tahoma"/>
          <w:bCs/>
          <w:sz w:val="20"/>
          <w:lang w:val="fr-FR"/>
        </w:rPr>
        <w:t>été</w:t>
      </w:r>
      <w:r w:rsidR="00DB1635" w:rsidRPr="00B004EE">
        <w:rPr>
          <w:rFonts w:ascii="Tahoma" w:hAnsi="Tahoma" w:cs="Tahoma"/>
          <w:bCs/>
          <w:sz w:val="20"/>
          <w:lang w:val="fr-FR"/>
        </w:rPr>
        <w:t xml:space="preserve"> </w:t>
      </w:r>
      <w:r w:rsidRPr="00B004EE">
        <w:rPr>
          <w:rFonts w:ascii="Tahoma" w:hAnsi="Tahoma" w:cs="Tahoma"/>
          <w:bCs/>
          <w:sz w:val="20"/>
          <w:lang w:val="fr-FR"/>
        </w:rPr>
        <w:t>reconnu</w:t>
      </w:r>
      <w:r w:rsidR="00DB1635" w:rsidRPr="00B004EE">
        <w:rPr>
          <w:rFonts w:ascii="Tahoma" w:hAnsi="Tahoma" w:cs="Tahoma"/>
          <w:bCs/>
          <w:sz w:val="20"/>
          <w:lang w:val="fr-FR"/>
        </w:rPr>
        <w:t xml:space="preserve"> </w:t>
      </w:r>
      <w:r w:rsidRPr="00B004EE">
        <w:rPr>
          <w:rFonts w:ascii="Tahoma" w:hAnsi="Tahoma" w:cs="Tahoma"/>
          <w:bCs/>
          <w:sz w:val="20"/>
          <w:lang w:val="fr-FR"/>
        </w:rPr>
        <w:t>avoir</w:t>
      </w:r>
      <w:r w:rsidR="00DB1635" w:rsidRPr="00B004EE">
        <w:rPr>
          <w:rFonts w:ascii="Tahoma" w:hAnsi="Tahoma" w:cs="Tahoma"/>
          <w:bCs/>
          <w:sz w:val="20"/>
          <w:lang w:val="fr-FR"/>
        </w:rPr>
        <w:t xml:space="preserve"> </w:t>
      </w:r>
      <w:r w:rsidRPr="00B004EE">
        <w:rPr>
          <w:rFonts w:ascii="Tahoma" w:hAnsi="Tahoma" w:cs="Tahoma"/>
          <w:bCs/>
          <w:sz w:val="20"/>
          <w:lang w:val="fr-FR"/>
        </w:rPr>
        <w:t>pratiqué</w:t>
      </w:r>
      <w:r w:rsidR="00DB1635" w:rsidRPr="00B004EE">
        <w:rPr>
          <w:rFonts w:ascii="Tahoma" w:hAnsi="Tahoma" w:cs="Tahoma"/>
          <w:bCs/>
          <w:sz w:val="20"/>
          <w:lang w:val="fr-FR"/>
        </w:rPr>
        <w:t xml:space="preserve"> </w:t>
      </w:r>
      <w:r w:rsidRPr="00B004EE">
        <w:rPr>
          <w:rFonts w:ascii="Tahoma" w:hAnsi="Tahoma" w:cs="Tahoma"/>
          <w:bCs/>
          <w:sz w:val="20"/>
          <w:lang w:val="fr-FR"/>
        </w:rPr>
        <w:t>la</w:t>
      </w:r>
      <w:r w:rsidR="00DB1635" w:rsidRPr="00B004EE">
        <w:rPr>
          <w:rFonts w:ascii="Tahoma" w:hAnsi="Tahoma" w:cs="Tahoma"/>
          <w:bCs/>
          <w:sz w:val="20"/>
          <w:lang w:val="fr-FR"/>
        </w:rPr>
        <w:t xml:space="preserve"> </w:t>
      </w:r>
      <w:r w:rsidRPr="00B004EE">
        <w:rPr>
          <w:rFonts w:ascii="Tahoma" w:hAnsi="Tahoma" w:cs="Tahoma"/>
          <w:bCs/>
          <w:sz w:val="20"/>
          <w:lang w:val="fr-FR"/>
        </w:rPr>
        <w:t>pêche</w:t>
      </w:r>
      <w:r w:rsidR="00DB1635" w:rsidRPr="00B004EE">
        <w:rPr>
          <w:rFonts w:ascii="Tahoma" w:hAnsi="Tahoma" w:cs="Tahoma"/>
          <w:bCs/>
          <w:sz w:val="20"/>
          <w:lang w:val="fr-FR"/>
        </w:rPr>
        <w:t xml:space="preserve"> </w:t>
      </w:r>
      <w:r w:rsidRPr="00B004EE">
        <w:rPr>
          <w:rFonts w:ascii="Tahoma" w:hAnsi="Tahoma" w:cs="Tahoma"/>
          <w:bCs/>
          <w:sz w:val="20"/>
          <w:lang w:val="fr-FR"/>
        </w:rPr>
        <w:t>illicite,</w:t>
      </w:r>
      <w:r w:rsidR="00DB1635" w:rsidRPr="00B004EE">
        <w:rPr>
          <w:rFonts w:ascii="Tahoma" w:hAnsi="Tahoma" w:cs="Tahoma"/>
          <w:bCs/>
          <w:sz w:val="20"/>
          <w:lang w:val="fr-FR"/>
        </w:rPr>
        <w:t xml:space="preserve"> </w:t>
      </w:r>
      <w:r w:rsidRPr="00B004EE">
        <w:rPr>
          <w:rFonts w:ascii="Tahoma" w:hAnsi="Tahoma" w:cs="Tahoma"/>
          <w:bCs/>
          <w:sz w:val="20"/>
          <w:lang w:val="fr-FR"/>
        </w:rPr>
        <w:t>non</w:t>
      </w:r>
      <w:r w:rsidR="00DB1635" w:rsidRPr="00B004EE">
        <w:rPr>
          <w:rFonts w:ascii="Tahoma" w:hAnsi="Tahoma" w:cs="Tahoma"/>
          <w:bCs/>
          <w:sz w:val="20"/>
          <w:lang w:val="fr-FR"/>
        </w:rPr>
        <w:t xml:space="preserve"> </w:t>
      </w:r>
      <w:r w:rsidRPr="00B004EE">
        <w:rPr>
          <w:rFonts w:ascii="Tahoma" w:hAnsi="Tahoma" w:cs="Tahoma"/>
          <w:bCs/>
          <w:sz w:val="20"/>
          <w:lang w:val="fr-FR"/>
        </w:rPr>
        <w:t>déclarée</w:t>
      </w:r>
      <w:r w:rsidR="00DB1635" w:rsidRPr="00B004EE">
        <w:rPr>
          <w:rFonts w:ascii="Tahoma" w:hAnsi="Tahoma" w:cs="Tahoma"/>
          <w:bCs/>
          <w:sz w:val="20"/>
          <w:lang w:val="fr-FR"/>
        </w:rPr>
        <w:t xml:space="preserve"> </w:t>
      </w:r>
      <w:r w:rsidRPr="00B004EE">
        <w:rPr>
          <w:rFonts w:ascii="Tahoma" w:hAnsi="Tahoma" w:cs="Tahoma"/>
          <w:bCs/>
          <w:sz w:val="20"/>
          <w:lang w:val="fr-FR"/>
        </w:rPr>
        <w:t>et</w:t>
      </w:r>
      <w:r w:rsidR="00DB1635" w:rsidRPr="00B004EE">
        <w:rPr>
          <w:rFonts w:ascii="Tahoma" w:hAnsi="Tahoma" w:cs="Tahoma"/>
          <w:bCs/>
          <w:sz w:val="20"/>
          <w:lang w:val="fr-FR"/>
        </w:rPr>
        <w:t xml:space="preserve"> </w:t>
      </w:r>
      <w:r w:rsidRPr="00B004EE">
        <w:rPr>
          <w:rFonts w:ascii="Tahoma" w:hAnsi="Tahoma" w:cs="Tahoma"/>
          <w:bCs/>
          <w:sz w:val="20"/>
          <w:lang w:val="fr-FR"/>
        </w:rPr>
        <w:t>non</w:t>
      </w:r>
      <w:r w:rsidR="00DB1635" w:rsidRPr="00B004EE">
        <w:rPr>
          <w:rFonts w:ascii="Tahoma" w:hAnsi="Tahoma" w:cs="Tahoma"/>
          <w:bCs/>
          <w:sz w:val="20"/>
          <w:lang w:val="fr-FR"/>
        </w:rPr>
        <w:t xml:space="preserve"> </w:t>
      </w:r>
      <w:r w:rsidRPr="00B004EE">
        <w:rPr>
          <w:rFonts w:ascii="Tahoma" w:hAnsi="Tahoma" w:cs="Tahoma"/>
          <w:bCs/>
          <w:sz w:val="20"/>
          <w:lang w:val="fr-FR"/>
        </w:rPr>
        <w:t>règlementée</w:t>
      </w:r>
      <w:r w:rsidR="00DB1635" w:rsidRPr="00B004EE">
        <w:rPr>
          <w:rFonts w:ascii="Tahoma" w:hAnsi="Tahoma" w:cs="Tahoma"/>
          <w:bCs/>
          <w:sz w:val="20"/>
          <w:lang w:val="fr-FR"/>
        </w:rPr>
        <w:t xml:space="preserve"> </w:t>
      </w:r>
      <w:r w:rsidRPr="00B004EE">
        <w:rPr>
          <w:rFonts w:ascii="Tahoma" w:hAnsi="Tahoma" w:cs="Tahoma"/>
          <w:bCs/>
          <w:sz w:val="20"/>
          <w:lang w:val="fr-FR"/>
        </w:rPr>
        <w:t>(INN)</w:t>
      </w:r>
    </w:p>
    <w:p w14:paraId="4C5904DF" w14:textId="77777777" w:rsidR="008518B0" w:rsidRPr="00B004EE" w:rsidRDefault="008518B0" w:rsidP="00B004EE">
      <w:pPr>
        <w:pStyle w:val="TxBrp2"/>
        <w:tabs>
          <w:tab w:val="clear" w:pos="204"/>
          <w:tab w:val="left" w:pos="426"/>
          <w:tab w:val="left" w:pos="9923"/>
        </w:tabs>
        <w:spacing w:line="240" w:lineRule="auto"/>
        <w:ind w:left="66" w:right="-1"/>
        <w:rPr>
          <w:rFonts w:ascii="Tahoma" w:hAnsi="Tahoma" w:cs="Tahoma"/>
          <w:bCs/>
          <w:sz w:val="20"/>
          <w:lang w:val="fr-FR"/>
        </w:rPr>
      </w:pPr>
    </w:p>
    <w:p w14:paraId="0E1CB841" w14:textId="670CE4B1" w:rsidR="008518B0" w:rsidRPr="00B004EE" w:rsidRDefault="008518B0" w:rsidP="00B004EE">
      <w:pPr>
        <w:jc w:val="both"/>
        <w:rPr>
          <w:rFonts w:ascii="Tahoma" w:hAnsi="Tahoma" w:cs="Tahoma"/>
          <w:bCs/>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20</w:t>
      </w:r>
      <w:r w:rsidR="00DB1635" w:rsidRPr="00B004EE">
        <w:rPr>
          <w:rFonts w:ascii="Tahoma" w:hAnsi="Tahoma" w:cs="Tahoma"/>
          <w:bCs/>
          <w:sz w:val="20"/>
          <w:szCs w:val="20"/>
        </w:rPr>
        <w:t xml:space="preserve"> </w:t>
      </w:r>
      <w:r w:rsidRPr="00B004EE">
        <w:rPr>
          <w:rFonts w:ascii="Tahoma" w:hAnsi="Tahoma" w:cs="Tahoma"/>
          <w:bCs/>
          <w:sz w:val="20"/>
          <w:szCs w:val="20"/>
        </w:rPr>
        <w:t>:</w:t>
      </w:r>
      <w:r w:rsidR="00DB1635" w:rsidRPr="00B004EE">
        <w:rPr>
          <w:rFonts w:ascii="Tahoma" w:hAnsi="Tahoma" w:cs="Tahoma"/>
          <w:bCs/>
          <w:sz w:val="20"/>
          <w:szCs w:val="20"/>
        </w:rPr>
        <w:t xml:space="preserve"> </w:t>
      </w:r>
      <w:r w:rsidRPr="00B004EE">
        <w:rPr>
          <w:rFonts w:ascii="Tahoma" w:hAnsi="Tahoma" w:cs="Tahoma"/>
          <w:bCs/>
          <w:sz w:val="20"/>
          <w:szCs w:val="20"/>
        </w:rPr>
        <w:t>Les</w:t>
      </w:r>
      <w:r w:rsidR="00DB1635" w:rsidRPr="00B004EE">
        <w:rPr>
          <w:rFonts w:ascii="Tahoma" w:hAnsi="Tahoma" w:cs="Tahoma"/>
          <w:bCs/>
          <w:sz w:val="20"/>
          <w:szCs w:val="20"/>
        </w:rPr>
        <w:t xml:space="preserve"> </w:t>
      </w:r>
      <w:r w:rsidRPr="00B004EE">
        <w:rPr>
          <w:rFonts w:ascii="Tahoma" w:hAnsi="Tahoma" w:cs="Tahoma"/>
          <w:bCs/>
          <w:sz w:val="20"/>
          <w:szCs w:val="20"/>
        </w:rPr>
        <w:t>concessions</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droits</w:t>
      </w:r>
      <w:r w:rsidR="00DB1635" w:rsidRPr="00B004EE">
        <w:rPr>
          <w:rFonts w:ascii="Tahoma" w:hAnsi="Tahoma" w:cs="Tahoma"/>
          <w:bCs/>
          <w:sz w:val="20"/>
          <w:szCs w:val="20"/>
        </w:rPr>
        <w:t xml:space="preserve"> </w:t>
      </w:r>
      <w:r w:rsidRPr="00B004EE">
        <w:rPr>
          <w:rFonts w:ascii="Tahoma" w:hAnsi="Tahoma" w:cs="Tahoma"/>
          <w:bCs/>
          <w:sz w:val="20"/>
          <w:szCs w:val="20"/>
        </w:rPr>
        <w:t>d’usage</w:t>
      </w:r>
      <w:r w:rsidR="00DB1635" w:rsidRPr="00B004EE">
        <w:rPr>
          <w:rFonts w:ascii="Tahoma" w:hAnsi="Tahoma" w:cs="Tahoma"/>
          <w:bCs/>
          <w:sz w:val="20"/>
          <w:szCs w:val="20"/>
        </w:rPr>
        <w:t xml:space="preserve"> </w:t>
      </w:r>
      <w:r w:rsidRPr="00B004EE">
        <w:rPr>
          <w:rFonts w:ascii="Tahoma" w:hAnsi="Tahoma" w:cs="Tahoma"/>
          <w:bCs/>
          <w:sz w:val="20"/>
          <w:szCs w:val="20"/>
        </w:rPr>
        <w:t>ne</w:t>
      </w:r>
      <w:r w:rsidR="00DB1635" w:rsidRPr="00B004EE">
        <w:rPr>
          <w:rFonts w:ascii="Tahoma" w:hAnsi="Tahoma" w:cs="Tahoma"/>
          <w:bCs/>
          <w:sz w:val="20"/>
          <w:szCs w:val="20"/>
        </w:rPr>
        <w:t xml:space="preserve"> </w:t>
      </w:r>
      <w:r w:rsidRPr="00B004EE">
        <w:rPr>
          <w:rFonts w:ascii="Tahoma" w:hAnsi="Tahoma" w:cs="Tahoma"/>
          <w:bCs/>
          <w:sz w:val="20"/>
          <w:szCs w:val="20"/>
        </w:rPr>
        <w:t>sont</w:t>
      </w:r>
      <w:r w:rsidR="00DB1635" w:rsidRPr="00B004EE">
        <w:rPr>
          <w:rFonts w:ascii="Tahoma" w:hAnsi="Tahoma" w:cs="Tahoma"/>
          <w:bCs/>
          <w:sz w:val="20"/>
          <w:szCs w:val="20"/>
        </w:rPr>
        <w:t xml:space="preserve"> </w:t>
      </w:r>
      <w:r w:rsidRPr="00B004EE">
        <w:rPr>
          <w:rFonts w:ascii="Tahoma" w:hAnsi="Tahoma" w:cs="Tahoma"/>
          <w:bCs/>
          <w:sz w:val="20"/>
          <w:szCs w:val="20"/>
        </w:rPr>
        <w:t>pas</w:t>
      </w:r>
      <w:r w:rsidR="00DB1635" w:rsidRPr="00B004EE">
        <w:rPr>
          <w:rFonts w:ascii="Tahoma" w:hAnsi="Tahoma" w:cs="Tahoma"/>
          <w:bCs/>
          <w:sz w:val="20"/>
          <w:szCs w:val="20"/>
        </w:rPr>
        <w:t xml:space="preserve"> </w:t>
      </w:r>
      <w:r w:rsidRPr="00B004EE">
        <w:rPr>
          <w:rFonts w:ascii="Tahoma" w:hAnsi="Tahoma" w:cs="Tahoma"/>
          <w:bCs/>
          <w:sz w:val="20"/>
          <w:szCs w:val="20"/>
        </w:rPr>
        <w:t>transférables</w:t>
      </w:r>
      <w:r w:rsidR="00DB1635" w:rsidRPr="00B004EE">
        <w:rPr>
          <w:rFonts w:ascii="Tahoma" w:hAnsi="Tahoma" w:cs="Tahoma"/>
          <w:bCs/>
          <w:sz w:val="20"/>
          <w:szCs w:val="20"/>
        </w:rPr>
        <w:t xml:space="preserve"> </w:t>
      </w:r>
      <w:r w:rsidRPr="00B004EE">
        <w:rPr>
          <w:rFonts w:ascii="Tahoma" w:hAnsi="Tahoma" w:cs="Tahoma"/>
          <w:bCs/>
          <w:sz w:val="20"/>
          <w:szCs w:val="20"/>
        </w:rPr>
        <w:t>d’une</w:t>
      </w:r>
      <w:r w:rsidR="00DB1635" w:rsidRPr="00B004EE">
        <w:rPr>
          <w:rFonts w:ascii="Tahoma" w:hAnsi="Tahoma" w:cs="Tahoma"/>
          <w:bCs/>
          <w:sz w:val="20"/>
          <w:szCs w:val="20"/>
        </w:rPr>
        <w:t xml:space="preserve"> </w:t>
      </w:r>
      <w:r w:rsidRPr="00B004EE">
        <w:rPr>
          <w:rFonts w:ascii="Tahoma" w:hAnsi="Tahoma" w:cs="Tahoma"/>
          <w:bCs/>
          <w:sz w:val="20"/>
          <w:szCs w:val="20"/>
        </w:rPr>
        <w:t>personne</w:t>
      </w:r>
      <w:r w:rsidR="00DB1635" w:rsidRPr="00B004EE">
        <w:rPr>
          <w:rFonts w:ascii="Tahoma" w:hAnsi="Tahoma" w:cs="Tahoma"/>
          <w:bCs/>
          <w:sz w:val="20"/>
          <w:szCs w:val="20"/>
        </w:rPr>
        <w:t xml:space="preserve"> </w:t>
      </w:r>
      <w:r w:rsidRPr="00B004EE">
        <w:rPr>
          <w:rFonts w:ascii="Tahoma" w:hAnsi="Tahoma" w:cs="Tahoma"/>
          <w:bCs/>
          <w:sz w:val="20"/>
          <w:szCs w:val="20"/>
        </w:rPr>
        <w:t>physique</w:t>
      </w:r>
      <w:r w:rsidR="00DB1635" w:rsidRPr="00B004EE">
        <w:rPr>
          <w:rFonts w:ascii="Tahoma" w:hAnsi="Tahoma" w:cs="Tahoma"/>
          <w:bCs/>
          <w:sz w:val="20"/>
          <w:szCs w:val="20"/>
        </w:rPr>
        <w:t xml:space="preserve"> </w:t>
      </w:r>
      <w:r w:rsidRPr="00B004EE">
        <w:rPr>
          <w:rFonts w:ascii="Tahoma" w:hAnsi="Tahoma" w:cs="Tahoma"/>
          <w:bCs/>
          <w:sz w:val="20"/>
          <w:szCs w:val="20"/>
        </w:rPr>
        <w:t>ou</w:t>
      </w:r>
      <w:r w:rsidR="00DB1635" w:rsidRPr="00B004EE">
        <w:rPr>
          <w:rFonts w:ascii="Tahoma" w:hAnsi="Tahoma" w:cs="Tahoma"/>
          <w:bCs/>
          <w:sz w:val="20"/>
          <w:szCs w:val="20"/>
        </w:rPr>
        <w:t xml:space="preserve"> </w:t>
      </w:r>
      <w:r w:rsidRPr="00B004EE">
        <w:rPr>
          <w:rFonts w:ascii="Tahoma" w:hAnsi="Tahoma" w:cs="Tahoma"/>
          <w:bCs/>
          <w:sz w:val="20"/>
          <w:szCs w:val="20"/>
        </w:rPr>
        <w:t>morale</w:t>
      </w:r>
      <w:r w:rsidR="00DB1635" w:rsidRPr="00B004EE">
        <w:rPr>
          <w:rFonts w:ascii="Tahoma" w:hAnsi="Tahoma" w:cs="Tahoma"/>
          <w:bCs/>
          <w:sz w:val="20"/>
          <w:szCs w:val="20"/>
        </w:rPr>
        <w:t xml:space="preserve"> </w:t>
      </w:r>
      <w:r w:rsidRPr="00B004EE">
        <w:rPr>
          <w:rFonts w:ascii="Tahoma" w:hAnsi="Tahoma" w:cs="Tahoma"/>
          <w:bCs/>
          <w:sz w:val="20"/>
          <w:szCs w:val="20"/>
        </w:rPr>
        <w:t>à</w:t>
      </w:r>
      <w:r w:rsidR="00DB1635" w:rsidRPr="00B004EE">
        <w:rPr>
          <w:rFonts w:ascii="Tahoma" w:hAnsi="Tahoma" w:cs="Tahoma"/>
          <w:bCs/>
          <w:sz w:val="20"/>
          <w:szCs w:val="20"/>
        </w:rPr>
        <w:t xml:space="preserve"> </w:t>
      </w:r>
      <w:r w:rsidRPr="00B004EE">
        <w:rPr>
          <w:rFonts w:ascii="Tahoma" w:hAnsi="Tahoma" w:cs="Tahoma"/>
          <w:bCs/>
          <w:sz w:val="20"/>
          <w:szCs w:val="20"/>
        </w:rPr>
        <w:t>une</w:t>
      </w:r>
      <w:r w:rsidR="00DB1635" w:rsidRPr="00B004EE">
        <w:rPr>
          <w:rFonts w:ascii="Tahoma" w:hAnsi="Tahoma" w:cs="Tahoma"/>
          <w:bCs/>
          <w:sz w:val="20"/>
          <w:szCs w:val="20"/>
        </w:rPr>
        <w:t xml:space="preserve"> </w:t>
      </w:r>
      <w:r w:rsidRPr="00B004EE">
        <w:rPr>
          <w:rFonts w:ascii="Tahoma" w:hAnsi="Tahoma" w:cs="Tahoma"/>
          <w:bCs/>
          <w:sz w:val="20"/>
          <w:szCs w:val="20"/>
        </w:rPr>
        <w:t>autre</w:t>
      </w:r>
      <w:r w:rsidR="00DB1635" w:rsidRPr="00B004EE">
        <w:rPr>
          <w:rFonts w:ascii="Tahoma" w:hAnsi="Tahoma" w:cs="Tahoma"/>
          <w:bCs/>
          <w:sz w:val="20"/>
          <w:szCs w:val="20"/>
        </w:rPr>
        <w:t xml:space="preserve"> </w:t>
      </w:r>
      <w:r w:rsidRPr="00B004EE">
        <w:rPr>
          <w:rFonts w:ascii="Tahoma" w:hAnsi="Tahoma" w:cs="Tahoma"/>
          <w:bCs/>
          <w:sz w:val="20"/>
          <w:szCs w:val="20"/>
        </w:rPr>
        <w:t>pendant</w:t>
      </w:r>
      <w:r w:rsidR="00DB1635" w:rsidRPr="00B004EE">
        <w:rPr>
          <w:rFonts w:ascii="Tahoma" w:hAnsi="Tahoma" w:cs="Tahoma"/>
          <w:bCs/>
          <w:sz w:val="20"/>
          <w:szCs w:val="20"/>
        </w:rPr>
        <w:t xml:space="preserve"> </w:t>
      </w:r>
      <w:r w:rsidRPr="00B004EE">
        <w:rPr>
          <w:rFonts w:ascii="Tahoma" w:hAnsi="Tahoma" w:cs="Tahoma"/>
          <w:bCs/>
          <w:sz w:val="20"/>
          <w:szCs w:val="20"/>
        </w:rPr>
        <w:t>une</w:t>
      </w:r>
      <w:r w:rsidR="00DB1635" w:rsidRPr="00B004EE">
        <w:rPr>
          <w:rFonts w:ascii="Tahoma" w:hAnsi="Tahoma" w:cs="Tahoma"/>
          <w:bCs/>
          <w:sz w:val="20"/>
          <w:szCs w:val="20"/>
        </w:rPr>
        <w:t xml:space="preserve"> </w:t>
      </w:r>
      <w:r w:rsidRPr="00B004EE">
        <w:rPr>
          <w:rFonts w:ascii="Tahoma" w:hAnsi="Tahoma" w:cs="Tahoma"/>
          <w:bCs/>
          <w:sz w:val="20"/>
          <w:szCs w:val="20"/>
        </w:rPr>
        <w:t>période</w:t>
      </w:r>
      <w:r w:rsidR="00DB1635" w:rsidRPr="00B004EE">
        <w:rPr>
          <w:rFonts w:ascii="Tahoma" w:hAnsi="Tahoma" w:cs="Tahoma"/>
          <w:bCs/>
          <w:sz w:val="20"/>
          <w:szCs w:val="20"/>
        </w:rPr>
        <w:t xml:space="preserve"> </w:t>
      </w:r>
      <w:r w:rsidRPr="00B004EE">
        <w:rPr>
          <w:rFonts w:ascii="Tahoma" w:hAnsi="Tahoma" w:cs="Tahoma"/>
          <w:bCs/>
          <w:sz w:val="20"/>
          <w:szCs w:val="20"/>
        </w:rPr>
        <w:t>d'au</w:t>
      </w:r>
      <w:r w:rsidR="00DB1635" w:rsidRPr="00B004EE">
        <w:rPr>
          <w:rFonts w:ascii="Tahoma" w:hAnsi="Tahoma" w:cs="Tahoma"/>
          <w:bCs/>
          <w:sz w:val="20"/>
          <w:szCs w:val="20"/>
        </w:rPr>
        <w:t xml:space="preserve"> </w:t>
      </w:r>
      <w:r w:rsidRPr="00B004EE">
        <w:rPr>
          <w:rFonts w:ascii="Tahoma" w:hAnsi="Tahoma" w:cs="Tahoma"/>
          <w:bCs/>
          <w:sz w:val="20"/>
          <w:szCs w:val="20"/>
        </w:rPr>
        <w:t>moins</w:t>
      </w:r>
      <w:r w:rsidR="00DB1635" w:rsidRPr="00B004EE">
        <w:rPr>
          <w:rFonts w:ascii="Tahoma" w:hAnsi="Tahoma" w:cs="Tahoma"/>
          <w:bCs/>
          <w:sz w:val="20"/>
          <w:szCs w:val="20"/>
        </w:rPr>
        <w:t xml:space="preserve"> </w:t>
      </w:r>
      <w:r w:rsidRPr="00B004EE">
        <w:rPr>
          <w:rFonts w:ascii="Tahoma" w:hAnsi="Tahoma" w:cs="Tahoma"/>
          <w:bCs/>
          <w:sz w:val="20"/>
          <w:szCs w:val="20"/>
        </w:rPr>
        <w:t>cinq</w:t>
      </w:r>
      <w:r w:rsidR="00DB1635" w:rsidRPr="00B004EE">
        <w:rPr>
          <w:rFonts w:ascii="Tahoma" w:hAnsi="Tahoma" w:cs="Tahoma"/>
          <w:bCs/>
          <w:sz w:val="20"/>
          <w:szCs w:val="20"/>
        </w:rPr>
        <w:t xml:space="preserve"> </w:t>
      </w:r>
      <w:r w:rsidRPr="00B004EE">
        <w:rPr>
          <w:rFonts w:ascii="Tahoma" w:hAnsi="Tahoma" w:cs="Tahoma"/>
          <w:bCs/>
          <w:sz w:val="20"/>
          <w:szCs w:val="20"/>
        </w:rPr>
        <w:t>(5)</w:t>
      </w:r>
      <w:r w:rsidR="00DB1635" w:rsidRPr="00B004EE">
        <w:rPr>
          <w:rFonts w:ascii="Tahoma" w:hAnsi="Tahoma" w:cs="Tahoma"/>
          <w:bCs/>
          <w:sz w:val="20"/>
          <w:szCs w:val="20"/>
        </w:rPr>
        <w:t xml:space="preserve"> </w:t>
      </w:r>
      <w:r w:rsidRPr="00B004EE">
        <w:rPr>
          <w:rFonts w:ascii="Tahoma" w:hAnsi="Tahoma" w:cs="Tahoma"/>
          <w:bCs/>
          <w:sz w:val="20"/>
          <w:szCs w:val="20"/>
        </w:rPr>
        <w:t>ans</w:t>
      </w:r>
      <w:r w:rsidR="00DB1635" w:rsidRPr="00B004EE">
        <w:rPr>
          <w:rFonts w:ascii="Tahoma" w:hAnsi="Tahoma" w:cs="Tahoma"/>
          <w:bCs/>
          <w:sz w:val="20"/>
          <w:szCs w:val="20"/>
        </w:rPr>
        <w:t xml:space="preserve"> </w:t>
      </w:r>
      <w:r w:rsidRPr="00B004EE">
        <w:rPr>
          <w:rFonts w:ascii="Tahoma" w:hAnsi="Tahoma" w:cs="Tahoma"/>
          <w:bCs/>
          <w:sz w:val="20"/>
          <w:szCs w:val="20"/>
        </w:rPr>
        <w:t>à</w:t>
      </w:r>
      <w:r w:rsidR="00DB1635" w:rsidRPr="00B004EE">
        <w:rPr>
          <w:rFonts w:ascii="Tahoma" w:hAnsi="Tahoma" w:cs="Tahoma"/>
          <w:bCs/>
          <w:sz w:val="20"/>
          <w:szCs w:val="20"/>
        </w:rPr>
        <w:t xml:space="preserve"> </w:t>
      </w:r>
      <w:r w:rsidRPr="00B004EE">
        <w:rPr>
          <w:rFonts w:ascii="Tahoma" w:hAnsi="Tahoma" w:cs="Tahoma"/>
          <w:bCs/>
          <w:sz w:val="20"/>
          <w:szCs w:val="20"/>
        </w:rPr>
        <w:t>compter</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leur</w:t>
      </w:r>
      <w:r w:rsidR="00DB1635" w:rsidRPr="00B004EE">
        <w:rPr>
          <w:rFonts w:ascii="Tahoma" w:hAnsi="Tahoma" w:cs="Tahoma"/>
          <w:bCs/>
          <w:sz w:val="20"/>
          <w:szCs w:val="20"/>
        </w:rPr>
        <w:t xml:space="preserve"> </w:t>
      </w:r>
      <w:r w:rsidRPr="00B004EE">
        <w:rPr>
          <w:rFonts w:ascii="Tahoma" w:hAnsi="Tahoma" w:cs="Tahoma"/>
          <w:bCs/>
          <w:sz w:val="20"/>
          <w:szCs w:val="20"/>
        </w:rPr>
        <w:t>première</w:t>
      </w:r>
      <w:r w:rsidR="00DB1635" w:rsidRPr="00B004EE">
        <w:rPr>
          <w:rFonts w:ascii="Tahoma" w:hAnsi="Tahoma" w:cs="Tahoma"/>
          <w:bCs/>
          <w:sz w:val="20"/>
          <w:szCs w:val="20"/>
        </w:rPr>
        <w:t xml:space="preserve"> </w:t>
      </w:r>
      <w:r w:rsidRPr="00B004EE">
        <w:rPr>
          <w:rFonts w:ascii="Tahoma" w:hAnsi="Tahoma" w:cs="Tahoma"/>
          <w:bCs/>
          <w:sz w:val="20"/>
          <w:szCs w:val="20"/>
        </w:rPr>
        <w:t>attribution</w:t>
      </w:r>
      <w:r w:rsidR="00DB1635" w:rsidRPr="00B004EE">
        <w:rPr>
          <w:rFonts w:ascii="Tahoma" w:hAnsi="Tahoma" w:cs="Tahoma"/>
          <w:bCs/>
          <w:sz w:val="20"/>
          <w:szCs w:val="20"/>
        </w:rPr>
        <w:t xml:space="preserve"> </w:t>
      </w:r>
      <w:r w:rsidRPr="00B004EE">
        <w:rPr>
          <w:rFonts w:ascii="Tahoma" w:hAnsi="Tahoma" w:cs="Tahoma"/>
          <w:bCs/>
          <w:sz w:val="20"/>
          <w:szCs w:val="20"/>
        </w:rPr>
        <w:t>par</w:t>
      </w:r>
      <w:r w:rsidR="00DB1635" w:rsidRPr="00B004EE">
        <w:rPr>
          <w:rFonts w:ascii="Tahoma" w:hAnsi="Tahoma" w:cs="Tahoma"/>
          <w:bCs/>
          <w:sz w:val="20"/>
          <w:szCs w:val="20"/>
        </w:rPr>
        <w:t xml:space="preserve"> </w:t>
      </w:r>
      <w:r w:rsidRPr="00B004EE">
        <w:rPr>
          <w:rFonts w:ascii="Tahoma" w:hAnsi="Tahoma" w:cs="Tahoma"/>
          <w:bCs/>
          <w:sz w:val="20"/>
          <w:szCs w:val="20"/>
        </w:rPr>
        <w:t>le</w:t>
      </w:r>
      <w:r w:rsidR="00DB1635" w:rsidRPr="00B004EE">
        <w:rPr>
          <w:rFonts w:ascii="Tahoma" w:hAnsi="Tahoma" w:cs="Tahoma"/>
          <w:bCs/>
          <w:sz w:val="20"/>
          <w:szCs w:val="20"/>
        </w:rPr>
        <w:t xml:space="preserve"> </w:t>
      </w:r>
      <w:r w:rsidRPr="00B004EE">
        <w:rPr>
          <w:rFonts w:ascii="Tahoma" w:hAnsi="Tahoma" w:cs="Tahoma"/>
          <w:bCs/>
          <w:sz w:val="20"/>
          <w:szCs w:val="20"/>
        </w:rPr>
        <w:t>Concédant.</w:t>
      </w:r>
      <w:r w:rsidR="00DB1635" w:rsidRPr="00B004EE">
        <w:rPr>
          <w:rFonts w:ascii="Tahoma" w:hAnsi="Tahoma" w:cs="Tahoma"/>
          <w:bCs/>
          <w:sz w:val="20"/>
          <w:szCs w:val="20"/>
        </w:rPr>
        <w:t xml:space="preserve"> </w:t>
      </w:r>
    </w:p>
    <w:p w14:paraId="7ED555E6" w14:textId="77777777" w:rsidR="008518B0" w:rsidRPr="00B004EE" w:rsidRDefault="008518B0" w:rsidP="00B004EE">
      <w:pPr>
        <w:jc w:val="both"/>
        <w:rPr>
          <w:rFonts w:ascii="Tahoma" w:hAnsi="Tahoma" w:cs="Tahoma"/>
          <w:bCs/>
          <w:sz w:val="20"/>
          <w:szCs w:val="20"/>
        </w:rPr>
      </w:pPr>
    </w:p>
    <w:p w14:paraId="594D52E9" w14:textId="73129A2E" w:rsidR="008518B0" w:rsidRPr="00B004EE" w:rsidRDefault="008518B0" w:rsidP="00B004EE">
      <w:pPr>
        <w:jc w:val="both"/>
        <w:rPr>
          <w:rFonts w:ascii="Tahoma" w:hAnsi="Tahoma" w:cs="Tahoma"/>
          <w:bCs/>
          <w:sz w:val="20"/>
          <w:szCs w:val="20"/>
        </w:rPr>
      </w:pPr>
      <w:r w:rsidRPr="00B004EE">
        <w:rPr>
          <w:rFonts w:ascii="Tahoma" w:hAnsi="Tahoma" w:cs="Tahoma"/>
          <w:bCs/>
          <w:sz w:val="20"/>
          <w:szCs w:val="20"/>
        </w:rPr>
        <w:t>Passée</w:t>
      </w:r>
      <w:r w:rsidR="00DB1635" w:rsidRPr="00B004EE">
        <w:rPr>
          <w:rFonts w:ascii="Tahoma" w:hAnsi="Tahoma" w:cs="Tahoma"/>
          <w:bCs/>
          <w:sz w:val="20"/>
          <w:szCs w:val="20"/>
        </w:rPr>
        <w:t xml:space="preserve"> </w:t>
      </w:r>
      <w:r w:rsidRPr="00B004EE">
        <w:rPr>
          <w:rFonts w:ascii="Tahoma" w:hAnsi="Tahoma" w:cs="Tahoma"/>
          <w:bCs/>
          <w:sz w:val="20"/>
          <w:szCs w:val="20"/>
        </w:rPr>
        <w:t>cette</w:t>
      </w:r>
      <w:r w:rsidR="00DB1635" w:rsidRPr="00B004EE">
        <w:rPr>
          <w:rFonts w:ascii="Tahoma" w:hAnsi="Tahoma" w:cs="Tahoma"/>
          <w:bCs/>
          <w:sz w:val="20"/>
          <w:szCs w:val="20"/>
        </w:rPr>
        <w:t xml:space="preserve"> </w:t>
      </w:r>
      <w:r w:rsidRPr="00B004EE">
        <w:rPr>
          <w:rFonts w:ascii="Tahoma" w:hAnsi="Tahoma" w:cs="Tahoma"/>
          <w:bCs/>
          <w:sz w:val="20"/>
          <w:szCs w:val="20"/>
        </w:rPr>
        <w:t>période,</w:t>
      </w:r>
      <w:r w:rsidR="00DB1635" w:rsidRPr="00B004EE">
        <w:rPr>
          <w:rFonts w:ascii="Tahoma" w:hAnsi="Tahoma" w:cs="Tahoma"/>
          <w:bCs/>
          <w:sz w:val="20"/>
          <w:szCs w:val="20"/>
        </w:rPr>
        <w:t xml:space="preserve"> </w:t>
      </w:r>
      <w:r w:rsidRPr="00B004EE">
        <w:rPr>
          <w:rFonts w:ascii="Tahoma" w:hAnsi="Tahoma" w:cs="Tahoma"/>
          <w:bCs/>
          <w:sz w:val="20"/>
          <w:szCs w:val="20"/>
        </w:rPr>
        <w:t>les</w:t>
      </w:r>
      <w:r w:rsidR="00DB1635" w:rsidRPr="00B004EE">
        <w:rPr>
          <w:rFonts w:ascii="Tahoma" w:hAnsi="Tahoma" w:cs="Tahoma"/>
          <w:bCs/>
          <w:sz w:val="20"/>
          <w:szCs w:val="20"/>
        </w:rPr>
        <w:t xml:space="preserve"> </w:t>
      </w:r>
      <w:r w:rsidRPr="00B004EE">
        <w:rPr>
          <w:rFonts w:ascii="Tahoma" w:hAnsi="Tahoma" w:cs="Tahoma"/>
          <w:bCs/>
          <w:sz w:val="20"/>
          <w:szCs w:val="20"/>
        </w:rPr>
        <w:t>concessions</w:t>
      </w:r>
      <w:r w:rsidR="00DB1635" w:rsidRPr="00B004EE">
        <w:rPr>
          <w:rFonts w:ascii="Tahoma" w:hAnsi="Tahoma" w:cs="Tahoma"/>
          <w:bCs/>
          <w:sz w:val="20"/>
          <w:szCs w:val="20"/>
        </w:rPr>
        <w:t xml:space="preserve"> </w:t>
      </w:r>
      <w:r w:rsidRPr="00B004EE">
        <w:rPr>
          <w:rFonts w:ascii="Tahoma" w:hAnsi="Tahoma" w:cs="Tahoma"/>
          <w:bCs/>
          <w:sz w:val="20"/>
          <w:szCs w:val="20"/>
        </w:rPr>
        <w:t>du</w:t>
      </w:r>
      <w:r w:rsidR="00DB1635" w:rsidRPr="00B004EE">
        <w:rPr>
          <w:rFonts w:ascii="Tahoma" w:hAnsi="Tahoma" w:cs="Tahoma"/>
          <w:bCs/>
          <w:sz w:val="20"/>
          <w:szCs w:val="20"/>
        </w:rPr>
        <w:t xml:space="preserve"> </w:t>
      </w:r>
      <w:r w:rsidRPr="00B004EE">
        <w:rPr>
          <w:rFonts w:ascii="Tahoma" w:hAnsi="Tahoma" w:cs="Tahoma"/>
          <w:bCs/>
          <w:sz w:val="20"/>
          <w:szCs w:val="20"/>
        </w:rPr>
        <w:t>droit</w:t>
      </w:r>
      <w:r w:rsidR="00DB1635" w:rsidRPr="00B004EE">
        <w:rPr>
          <w:rFonts w:ascii="Tahoma" w:hAnsi="Tahoma" w:cs="Tahoma"/>
          <w:bCs/>
          <w:sz w:val="20"/>
          <w:szCs w:val="20"/>
        </w:rPr>
        <w:t xml:space="preserve"> </w:t>
      </w:r>
      <w:r w:rsidRPr="00B004EE">
        <w:rPr>
          <w:rFonts w:ascii="Tahoma" w:hAnsi="Tahoma" w:cs="Tahoma"/>
          <w:bCs/>
          <w:sz w:val="20"/>
          <w:szCs w:val="20"/>
        </w:rPr>
        <w:t>d'usage</w:t>
      </w:r>
      <w:r w:rsidR="00DB1635" w:rsidRPr="00B004EE">
        <w:rPr>
          <w:rFonts w:ascii="Tahoma" w:hAnsi="Tahoma" w:cs="Tahoma"/>
          <w:bCs/>
          <w:sz w:val="20"/>
          <w:szCs w:val="20"/>
        </w:rPr>
        <w:t xml:space="preserve"> </w:t>
      </w:r>
      <w:r w:rsidRPr="00B004EE">
        <w:rPr>
          <w:rFonts w:ascii="Tahoma" w:hAnsi="Tahoma" w:cs="Tahoma"/>
          <w:bCs/>
          <w:sz w:val="20"/>
          <w:szCs w:val="20"/>
        </w:rPr>
        <w:t>peuvent</w:t>
      </w:r>
      <w:r w:rsidR="00DB1635" w:rsidRPr="00B004EE">
        <w:rPr>
          <w:rFonts w:ascii="Tahoma" w:hAnsi="Tahoma" w:cs="Tahoma"/>
          <w:bCs/>
          <w:sz w:val="20"/>
          <w:szCs w:val="20"/>
        </w:rPr>
        <w:t xml:space="preserve"> </w:t>
      </w:r>
      <w:r w:rsidRPr="00B004EE">
        <w:rPr>
          <w:rFonts w:ascii="Tahoma" w:hAnsi="Tahoma" w:cs="Tahoma"/>
          <w:bCs/>
          <w:sz w:val="20"/>
          <w:szCs w:val="20"/>
        </w:rPr>
        <w:t>être</w:t>
      </w:r>
      <w:r w:rsidR="00DB1635" w:rsidRPr="00B004EE">
        <w:rPr>
          <w:rFonts w:ascii="Tahoma" w:hAnsi="Tahoma" w:cs="Tahoma"/>
          <w:bCs/>
          <w:sz w:val="20"/>
          <w:szCs w:val="20"/>
        </w:rPr>
        <w:t xml:space="preserve"> </w:t>
      </w:r>
      <w:r w:rsidRPr="00B004EE">
        <w:rPr>
          <w:rFonts w:ascii="Tahoma" w:hAnsi="Tahoma" w:cs="Tahoma"/>
          <w:bCs/>
          <w:sz w:val="20"/>
          <w:szCs w:val="20"/>
        </w:rPr>
        <w:t>cédées</w:t>
      </w:r>
      <w:r w:rsidR="00DB1635" w:rsidRPr="00B004EE">
        <w:rPr>
          <w:rFonts w:ascii="Tahoma" w:hAnsi="Tahoma" w:cs="Tahoma"/>
          <w:bCs/>
          <w:sz w:val="20"/>
          <w:szCs w:val="20"/>
        </w:rPr>
        <w:t xml:space="preserve"> </w:t>
      </w:r>
      <w:r w:rsidRPr="00B004EE">
        <w:rPr>
          <w:rFonts w:ascii="Tahoma" w:hAnsi="Tahoma" w:cs="Tahoma"/>
          <w:bCs/>
          <w:sz w:val="20"/>
          <w:szCs w:val="20"/>
        </w:rPr>
        <w:t>ou</w:t>
      </w:r>
      <w:r w:rsidR="00DB1635" w:rsidRPr="00B004EE">
        <w:rPr>
          <w:rFonts w:ascii="Tahoma" w:hAnsi="Tahoma" w:cs="Tahoma"/>
          <w:bCs/>
          <w:sz w:val="20"/>
          <w:szCs w:val="20"/>
        </w:rPr>
        <w:t xml:space="preserve"> </w:t>
      </w:r>
      <w:r w:rsidRPr="00B004EE">
        <w:rPr>
          <w:rFonts w:ascii="Tahoma" w:hAnsi="Tahoma" w:cs="Tahoma"/>
          <w:bCs/>
          <w:sz w:val="20"/>
          <w:szCs w:val="20"/>
        </w:rPr>
        <w:t>transférées</w:t>
      </w:r>
      <w:r w:rsidR="00DB1635" w:rsidRPr="00B004EE">
        <w:rPr>
          <w:rFonts w:ascii="Tahoma" w:hAnsi="Tahoma" w:cs="Tahoma"/>
          <w:bCs/>
          <w:sz w:val="20"/>
          <w:szCs w:val="20"/>
        </w:rPr>
        <w:t xml:space="preserve"> </w:t>
      </w:r>
      <w:r w:rsidRPr="00B004EE">
        <w:rPr>
          <w:rFonts w:ascii="Tahoma" w:hAnsi="Tahoma" w:cs="Tahoma"/>
          <w:bCs/>
          <w:sz w:val="20"/>
          <w:szCs w:val="20"/>
        </w:rPr>
        <w:t>sur</w:t>
      </w:r>
      <w:r w:rsidR="00DB1635" w:rsidRPr="00B004EE">
        <w:rPr>
          <w:rFonts w:ascii="Tahoma" w:hAnsi="Tahoma" w:cs="Tahoma"/>
          <w:bCs/>
          <w:sz w:val="20"/>
          <w:szCs w:val="20"/>
        </w:rPr>
        <w:t xml:space="preserve"> </w:t>
      </w:r>
      <w:r w:rsidRPr="00B004EE">
        <w:rPr>
          <w:rFonts w:ascii="Tahoma" w:hAnsi="Tahoma" w:cs="Tahoma"/>
          <w:bCs/>
          <w:sz w:val="20"/>
          <w:szCs w:val="20"/>
        </w:rPr>
        <w:t>autorisation</w:t>
      </w:r>
      <w:r w:rsidR="00DB1635" w:rsidRPr="00B004EE">
        <w:rPr>
          <w:rFonts w:ascii="Tahoma" w:hAnsi="Tahoma" w:cs="Tahoma"/>
          <w:bCs/>
          <w:sz w:val="20"/>
          <w:szCs w:val="20"/>
        </w:rPr>
        <w:t xml:space="preserve"> </w:t>
      </w:r>
      <w:r w:rsidRPr="00B004EE">
        <w:rPr>
          <w:rFonts w:ascii="Tahoma" w:hAnsi="Tahoma" w:cs="Tahoma"/>
          <w:bCs/>
          <w:sz w:val="20"/>
          <w:szCs w:val="20"/>
        </w:rPr>
        <w:t>préalable</w:t>
      </w:r>
      <w:r w:rsidR="00DB1635" w:rsidRPr="00B004EE">
        <w:rPr>
          <w:rFonts w:ascii="Tahoma" w:hAnsi="Tahoma" w:cs="Tahoma"/>
          <w:bCs/>
          <w:sz w:val="20"/>
          <w:szCs w:val="20"/>
        </w:rPr>
        <w:t xml:space="preserve"> </w:t>
      </w:r>
      <w:r w:rsidRPr="00B004EE">
        <w:rPr>
          <w:rFonts w:ascii="Tahoma" w:hAnsi="Tahoma" w:cs="Tahoma"/>
          <w:bCs/>
          <w:sz w:val="20"/>
          <w:szCs w:val="20"/>
        </w:rPr>
        <w:t>du</w:t>
      </w:r>
      <w:r w:rsidR="00DB1635" w:rsidRPr="00B004EE">
        <w:rPr>
          <w:rFonts w:ascii="Tahoma" w:hAnsi="Tahoma" w:cs="Tahoma"/>
          <w:bCs/>
          <w:sz w:val="20"/>
          <w:szCs w:val="20"/>
        </w:rPr>
        <w:t xml:space="preserve"> </w:t>
      </w:r>
      <w:r w:rsidRPr="00B004EE">
        <w:rPr>
          <w:rFonts w:ascii="Tahoma" w:hAnsi="Tahoma" w:cs="Tahoma"/>
          <w:bCs/>
          <w:sz w:val="20"/>
          <w:szCs w:val="20"/>
        </w:rPr>
        <w:t>ministre</w:t>
      </w:r>
      <w:r w:rsidR="00DB1635" w:rsidRPr="00B004EE">
        <w:rPr>
          <w:rFonts w:ascii="Tahoma" w:hAnsi="Tahoma" w:cs="Tahoma"/>
          <w:bCs/>
          <w:sz w:val="20"/>
          <w:szCs w:val="20"/>
        </w:rPr>
        <w:t xml:space="preserve"> </w:t>
      </w:r>
      <w:r w:rsidRPr="00B004EE">
        <w:rPr>
          <w:rFonts w:ascii="Tahoma" w:hAnsi="Tahoma" w:cs="Tahoma"/>
          <w:bCs/>
          <w:sz w:val="20"/>
          <w:szCs w:val="20"/>
        </w:rPr>
        <w:t>chargé</w:t>
      </w:r>
      <w:r w:rsidR="00DB1635" w:rsidRPr="00B004EE">
        <w:rPr>
          <w:rFonts w:ascii="Tahoma" w:hAnsi="Tahoma" w:cs="Tahoma"/>
          <w:bCs/>
          <w:sz w:val="20"/>
          <w:szCs w:val="20"/>
        </w:rPr>
        <w:t xml:space="preserve"> </w:t>
      </w:r>
      <w:r w:rsidRPr="00B004EE">
        <w:rPr>
          <w:rFonts w:ascii="Tahoma" w:hAnsi="Tahoma" w:cs="Tahoma"/>
          <w:bCs/>
          <w:sz w:val="20"/>
          <w:szCs w:val="20"/>
        </w:rPr>
        <w:t>des</w:t>
      </w:r>
      <w:r w:rsidR="00DB1635" w:rsidRPr="00B004EE">
        <w:rPr>
          <w:rFonts w:ascii="Tahoma" w:hAnsi="Tahoma" w:cs="Tahoma"/>
          <w:bCs/>
          <w:sz w:val="20"/>
          <w:szCs w:val="20"/>
        </w:rPr>
        <w:t xml:space="preserve"> </w:t>
      </w:r>
      <w:r w:rsidRPr="00B004EE">
        <w:rPr>
          <w:rFonts w:ascii="Tahoma" w:hAnsi="Tahoma" w:cs="Tahoma"/>
          <w:bCs/>
          <w:sz w:val="20"/>
          <w:szCs w:val="20"/>
        </w:rPr>
        <w:t>pêches</w:t>
      </w:r>
      <w:r w:rsidR="00DB1635" w:rsidRPr="00B004EE">
        <w:rPr>
          <w:rFonts w:ascii="Tahoma" w:hAnsi="Tahoma" w:cs="Tahoma"/>
          <w:bCs/>
          <w:sz w:val="20"/>
          <w:szCs w:val="20"/>
        </w:rPr>
        <w:t xml:space="preserve"> </w:t>
      </w:r>
      <w:r w:rsidRPr="00B004EE">
        <w:rPr>
          <w:rFonts w:ascii="Tahoma" w:hAnsi="Tahoma" w:cs="Tahoma"/>
          <w:bCs/>
          <w:sz w:val="20"/>
          <w:szCs w:val="20"/>
        </w:rPr>
        <w:t>et</w:t>
      </w:r>
      <w:r w:rsidR="00DB1635" w:rsidRPr="00B004EE">
        <w:rPr>
          <w:rFonts w:ascii="Tahoma" w:hAnsi="Tahoma" w:cs="Tahoma"/>
          <w:bCs/>
          <w:sz w:val="20"/>
          <w:szCs w:val="20"/>
        </w:rPr>
        <w:t xml:space="preserve"> </w:t>
      </w:r>
      <w:r w:rsidRPr="00B004EE">
        <w:rPr>
          <w:rFonts w:ascii="Tahoma" w:hAnsi="Tahoma" w:cs="Tahoma"/>
          <w:bCs/>
          <w:sz w:val="20"/>
          <w:szCs w:val="20"/>
        </w:rPr>
        <w:t>moyennant</w:t>
      </w:r>
      <w:r w:rsidR="00DB1635" w:rsidRPr="00B004EE">
        <w:rPr>
          <w:rFonts w:ascii="Tahoma" w:hAnsi="Tahoma" w:cs="Tahoma"/>
          <w:bCs/>
          <w:sz w:val="20"/>
          <w:szCs w:val="20"/>
        </w:rPr>
        <w:t xml:space="preserve"> </w:t>
      </w:r>
      <w:r w:rsidRPr="00B004EE">
        <w:rPr>
          <w:rFonts w:ascii="Tahoma" w:hAnsi="Tahoma" w:cs="Tahoma"/>
          <w:bCs/>
          <w:sz w:val="20"/>
          <w:szCs w:val="20"/>
        </w:rPr>
        <w:t>une</w:t>
      </w:r>
      <w:r w:rsidR="00DB1635" w:rsidRPr="00B004EE">
        <w:rPr>
          <w:rFonts w:ascii="Tahoma" w:hAnsi="Tahoma" w:cs="Tahoma"/>
          <w:bCs/>
          <w:sz w:val="20"/>
          <w:szCs w:val="20"/>
        </w:rPr>
        <w:t xml:space="preserve"> </w:t>
      </w:r>
      <w:r w:rsidRPr="00B004EE">
        <w:rPr>
          <w:rFonts w:ascii="Tahoma" w:hAnsi="Tahoma" w:cs="Tahoma"/>
          <w:bCs/>
          <w:sz w:val="20"/>
          <w:szCs w:val="20"/>
        </w:rPr>
        <w:t>rétrocession,</w:t>
      </w:r>
      <w:r w:rsidR="00DB1635" w:rsidRPr="00B004EE">
        <w:rPr>
          <w:rFonts w:ascii="Tahoma" w:hAnsi="Tahoma" w:cs="Tahoma"/>
          <w:bCs/>
          <w:sz w:val="20"/>
          <w:szCs w:val="20"/>
        </w:rPr>
        <w:t xml:space="preserve"> </w:t>
      </w:r>
      <w:r w:rsidRPr="00B004EE">
        <w:rPr>
          <w:rFonts w:ascii="Tahoma" w:hAnsi="Tahoma" w:cs="Tahoma"/>
          <w:bCs/>
          <w:sz w:val="20"/>
          <w:szCs w:val="20"/>
        </w:rPr>
        <w:t>sans</w:t>
      </w:r>
      <w:r w:rsidR="00DB1635" w:rsidRPr="00B004EE">
        <w:rPr>
          <w:rFonts w:ascii="Tahoma" w:hAnsi="Tahoma" w:cs="Tahoma"/>
          <w:bCs/>
          <w:sz w:val="20"/>
          <w:szCs w:val="20"/>
        </w:rPr>
        <w:t xml:space="preserve"> </w:t>
      </w:r>
      <w:r w:rsidRPr="00B004EE">
        <w:rPr>
          <w:rFonts w:ascii="Tahoma" w:hAnsi="Tahoma" w:cs="Tahoma"/>
          <w:bCs/>
          <w:sz w:val="20"/>
          <w:szCs w:val="20"/>
        </w:rPr>
        <w:t>contrepartie,</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30%</w:t>
      </w:r>
      <w:r w:rsidR="00DB1635" w:rsidRPr="00B004EE">
        <w:rPr>
          <w:rFonts w:ascii="Tahoma" w:hAnsi="Tahoma" w:cs="Tahoma"/>
          <w:bCs/>
          <w:sz w:val="20"/>
          <w:szCs w:val="20"/>
        </w:rPr>
        <w:t xml:space="preserve"> </w:t>
      </w:r>
      <w:r w:rsidRPr="00B004EE">
        <w:rPr>
          <w:rFonts w:ascii="Tahoma" w:hAnsi="Tahoma" w:cs="Tahoma"/>
          <w:bCs/>
          <w:sz w:val="20"/>
          <w:szCs w:val="20"/>
        </w:rPr>
        <w:t>du</w:t>
      </w:r>
      <w:r w:rsidR="00DB1635" w:rsidRPr="00B004EE">
        <w:rPr>
          <w:rFonts w:ascii="Tahoma" w:hAnsi="Tahoma" w:cs="Tahoma"/>
          <w:bCs/>
          <w:sz w:val="20"/>
          <w:szCs w:val="20"/>
        </w:rPr>
        <w:t xml:space="preserve"> </w:t>
      </w:r>
      <w:r w:rsidRPr="00B004EE">
        <w:rPr>
          <w:rFonts w:ascii="Tahoma" w:hAnsi="Tahoma" w:cs="Tahoma"/>
          <w:bCs/>
          <w:sz w:val="20"/>
          <w:szCs w:val="20"/>
        </w:rPr>
        <w:t>quota</w:t>
      </w:r>
      <w:r w:rsidR="00DB1635" w:rsidRPr="00B004EE">
        <w:rPr>
          <w:rFonts w:ascii="Tahoma" w:hAnsi="Tahoma" w:cs="Tahoma"/>
          <w:bCs/>
          <w:sz w:val="20"/>
          <w:szCs w:val="20"/>
        </w:rPr>
        <w:t xml:space="preserve"> </w:t>
      </w:r>
      <w:r w:rsidRPr="00B004EE">
        <w:rPr>
          <w:rFonts w:ascii="Tahoma" w:hAnsi="Tahoma" w:cs="Tahoma"/>
          <w:bCs/>
          <w:sz w:val="20"/>
          <w:szCs w:val="20"/>
        </w:rPr>
        <w:t>objet</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la</w:t>
      </w:r>
      <w:r w:rsidR="00DB1635" w:rsidRPr="00B004EE">
        <w:rPr>
          <w:rFonts w:ascii="Tahoma" w:hAnsi="Tahoma" w:cs="Tahoma"/>
          <w:bCs/>
          <w:sz w:val="20"/>
          <w:szCs w:val="20"/>
        </w:rPr>
        <w:t xml:space="preserve"> </w:t>
      </w:r>
      <w:r w:rsidRPr="00B004EE">
        <w:rPr>
          <w:rFonts w:ascii="Tahoma" w:hAnsi="Tahoma" w:cs="Tahoma"/>
          <w:bCs/>
          <w:sz w:val="20"/>
          <w:szCs w:val="20"/>
        </w:rPr>
        <w:t>concession.</w:t>
      </w:r>
    </w:p>
    <w:p w14:paraId="0672A651" w14:textId="77777777" w:rsidR="008518B0" w:rsidRPr="00B004EE" w:rsidRDefault="008518B0" w:rsidP="00B004EE">
      <w:pPr>
        <w:pStyle w:val="TxBrp2"/>
        <w:tabs>
          <w:tab w:val="left" w:pos="9923"/>
        </w:tabs>
        <w:spacing w:line="240" w:lineRule="auto"/>
        <w:ind w:right="-1"/>
        <w:rPr>
          <w:rFonts w:ascii="Tahoma" w:hAnsi="Tahoma" w:cs="Tahoma"/>
          <w:bCs/>
          <w:sz w:val="20"/>
          <w:lang w:val="fr-FR"/>
        </w:rPr>
      </w:pPr>
    </w:p>
    <w:p w14:paraId="77631397" w14:textId="49481A54" w:rsidR="008518B0" w:rsidRPr="00B004EE" w:rsidRDefault="008518B0" w:rsidP="00B004EE">
      <w:pPr>
        <w:pStyle w:val="TxBrp2"/>
        <w:tabs>
          <w:tab w:val="left" w:pos="9923"/>
        </w:tabs>
        <w:spacing w:line="240" w:lineRule="auto"/>
        <w:ind w:right="-1"/>
        <w:rPr>
          <w:rFonts w:ascii="Tahoma" w:hAnsi="Tahoma" w:cs="Tahoma"/>
          <w:sz w:val="20"/>
          <w:lang w:val="fr-FR"/>
        </w:rPr>
      </w:pPr>
      <w:r w:rsidRPr="00B004EE">
        <w:rPr>
          <w:rFonts w:ascii="Tahoma" w:hAnsi="Tahoma" w:cs="Tahoma"/>
          <w:bCs/>
          <w:sz w:val="20"/>
          <w:lang w:val="fr-FR"/>
        </w:rPr>
        <w:t>Article</w:t>
      </w:r>
      <w:r w:rsidR="00DB1635" w:rsidRPr="00B004EE">
        <w:rPr>
          <w:rFonts w:ascii="Tahoma" w:hAnsi="Tahoma" w:cs="Tahoma"/>
          <w:bCs/>
          <w:sz w:val="20"/>
          <w:lang w:val="fr-FR"/>
        </w:rPr>
        <w:t xml:space="preserve"> </w:t>
      </w:r>
      <w:r w:rsidRPr="00B004EE">
        <w:rPr>
          <w:rFonts w:ascii="Tahoma" w:hAnsi="Tahoma" w:cs="Tahoma"/>
          <w:bCs/>
          <w:sz w:val="20"/>
          <w:lang w:val="fr-FR"/>
        </w:rPr>
        <w:t>21</w:t>
      </w:r>
      <w:r w:rsidR="00DB1635" w:rsidRPr="00B004EE">
        <w:rPr>
          <w:rFonts w:ascii="Tahoma" w:hAnsi="Tahoma" w:cs="Tahoma"/>
          <w:bCs/>
          <w:sz w:val="20"/>
          <w:lang w:val="fr-FR"/>
        </w:rPr>
        <w:t xml:space="preserve"> </w:t>
      </w:r>
      <w:r w:rsidRPr="00B004EE">
        <w:rPr>
          <w:rFonts w:ascii="Tahoma" w:hAnsi="Tahoma" w:cs="Tahoma"/>
          <w:bCs/>
          <w:sz w:val="20"/>
          <w:lang w:val="fr-FR"/>
        </w:rPr>
        <w:t>:</w:t>
      </w:r>
      <w:r w:rsidR="00DB1635" w:rsidRPr="00B004EE">
        <w:rPr>
          <w:rFonts w:ascii="Tahoma" w:hAnsi="Tahoma" w:cs="Tahoma"/>
          <w:bCs/>
          <w:sz w:val="20"/>
          <w:lang w:val="fr-FR"/>
        </w:rPr>
        <w:t xml:space="preserve"> </w:t>
      </w:r>
      <w:r w:rsidRPr="00B004EE">
        <w:rPr>
          <w:rFonts w:ascii="Tahoma" w:hAnsi="Tahoma" w:cs="Tahoma"/>
          <w:bCs/>
          <w:sz w:val="20"/>
          <w:lang w:val="fr-FR"/>
        </w:rPr>
        <w:t>Le</w:t>
      </w:r>
      <w:r w:rsidR="00DB1635" w:rsidRPr="00B004EE">
        <w:rPr>
          <w:rFonts w:ascii="Tahoma" w:hAnsi="Tahoma" w:cs="Tahoma"/>
          <w:bCs/>
          <w:sz w:val="20"/>
          <w:lang w:val="fr-FR"/>
        </w:rPr>
        <w:t xml:space="preserve"> </w:t>
      </w:r>
      <w:r w:rsidRPr="00B004EE">
        <w:rPr>
          <w:rFonts w:ascii="Tahoma" w:hAnsi="Tahoma" w:cs="Tahoma"/>
          <w:bCs/>
          <w:sz w:val="20"/>
          <w:lang w:val="fr-FR"/>
        </w:rPr>
        <w:t>ministre</w:t>
      </w:r>
      <w:r w:rsidR="00DB1635" w:rsidRPr="00B004EE">
        <w:rPr>
          <w:rFonts w:ascii="Tahoma" w:hAnsi="Tahoma" w:cs="Tahoma"/>
          <w:bCs/>
          <w:sz w:val="20"/>
          <w:lang w:val="fr-FR"/>
        </w:rPr>
        <w:t xml:space="preserve"> </w:t>
      </w:r>
      <w:r w:rsidRPr="00B004EE">
        <w:rPr>
          <w:rFonts w:ascii="Tahoma" w:hAnsi="Tahoma" w:cs="Tahoma"/>
          <w:bCs/>
          <w:sz w:val="20"/>
          <w:lang w:val="fr-FR"/>
        </w:rPr>
        <w:t>chargé</w:t>
      </w:r>
      <w:r w:rsidR="00DB1635" w:rsidRPr="00B004EE">
        <w:rPr>
          <w:rFonts w:ascii="Tahoma" w:hAnsi="Tahoma" w:cs="Tahoma"/>
          <w:bCs/>
          <w:sz w:val="20"/>
          <w:lang w:val="fr-FR"/>
        </w:rPr>
        <w:t xml:space="preserve"> </w:t>
      </w:r>
      <w:r w:rsidRPr="00B004EE">
        <w:rPr>
          <w:rFonts w:ascii="Tahoma" w:hAnsi="Tahoma" w:cs="Tahoma"/>
          <w:bCs/>
          <w:sz w:val="20"/>
          <w:lang w:val="fr-FR"/>
        </w:rPr>
        <w:t>des</w:t>
      </w:r>
      <w:r w:rsidR="00DB1635" w:rsidRPr="00B004EE">
        <w:rPr>
          <w:rFonts w:ascii="Tahoma" w:hAnsi="Tahoma" w:cs="Tahoma"/>
          <w:bCs/>
          <w:sz w:val="20"/>
          <w:lang w:val="fr-FR"/>
        </w:rPr>
        <w:t xml:space="preserve"> </w:t>
      </w:r>
      <w:r w:rsidRPr="00B004EE">
        <w:rPr>
          <w:rFonts w:ascii="Tahoma" w:hAnsi="Tahoma" w:cs="Tahoma"/>
          <w:bCs/>
          <w:sz w:val="20"/>
          <w:lang w:val="fr-FR"/>
        </w:rPr>
        <w:t>Pêches</w:t>
      </w:r>
      <w:r w:rsidR="00DB1635" w:rsidRPr="00B004EE">
        <w:rPr>
          <w:rFonts w:ascii="Tahoma" w:hAnsi="Tahoma" w:cs="Tahoma"/>
          <w:bCs/>
          <w:sz w:val="20"/>
          <w:lang w:val="fr-FR"/>
        </w:rPr>
        <w:t xml:space="preserve"> </w:t>
      </w:r>
      <w:r w:rsidRPr="00B004EE">
        <w:rPr>
          <w:rFonts w:ascii="Tahoma" w:hAnsi="Tahoma" w:cs="Tahoma"/>
          <w:bCs/>
          <w:sz w:val="20"/>
          <w:lang w:val="fr-FR"/>
        </w:rPr>
        <w:t>peut,</w:t>
      </w:r>
      <w:r w:rsidR="00DB1635" w:rsidRPr="00B004EE">
        <w:rPr>
          <w:rFonts w:ascii="Tahoma" w:hAnsi="Tahoma" w:cs="Tahoma"/>
          <w:bCs/>
          <w:sz w:val="20"/>
          <w:lang w:val="fr-FR"/>
        </w:rPr>
        <w:t xml:space="preserve"> </w:t>
      </w:r>
      <w:r w:rsidRPr="00B004EE">
        <w:rPr>
          <w:rFonts w:ascii="Tahoma" w:hAnsi="Tahoma" w:cs="Tahoma"/>
          <w:bCs/>
          <w:sz w:val="20"/>
          <w:lang w:val="fr-FR"/>
        </w:rPr>
        <w:t>sur</w:t>
      </w:r>
      <w:r w:rsidR="00DB1635" w:rsidRPr="00B004EE">
        <w:rPr>
          <w:rFonts w:ascii="Tahoma" w:hAnsi="Tahoma" w:cs="Tahoma"/>
          <w:bCs/>
          <w:sz w:val="20"/>
          <w:lang w:val="fr-FR"/>
        </w:rPr>
        <w:t xml:space="preserve"> </w:t>
      </w:r>
      <w:r w:rsidRPr="00B004EE">
        <w:rPr>
          <w:rFonts w:ascii="Tahoma" w:hAnsi="Tahoma" w:cs="Tahoma"/>
          <w:bCs/>
          <w:sz w:val="20"/>
          <w:lang w:val="fr-FR"/>
        </w:rPr>
        <w:t>avis</w:t>
      </w:r>
      <w:r w:rsidR="00DB1635" w:rsidRPr="00B004EE">
        <w:rPr>
          <w:rFonts w:ascii="Tahoma" w:hAnsi="Tahoma" w:cs="Tahoma"/>
          <w:bCs/>
          <w:sz w:val="20"/>
          <w:lang w:val="fr-FR"/>
        </w:rPr>
        <w:t xml:space="preserve"> </w:t>
      </w:r>
      <w:r w:rsidRPr="00B004EE">
        <w:rPr>
          <w:rFonts w:ascii="Tahoma" w:hAnsi="Tahoma" w:cs="Tahoma"/>
          <w:bCs/>
          <w:sz w:val="20"/>
          <w:lang w:val="fr-FR"/>
        </w:rPr>
        <w:t>motivé</w:t>
      </w:r>
      <w:r w:rsidR="00DB1635" w:rsidRPr="00B004EE">
        <w:rPr>
          <w:rFonts w:ascii="Tahoma" w:hAnsi="Tahoma" w:cs="Tahoma"/>
          <w:bCs/>
          <w:sz w:val="20"/>
          <w:lang w:val="fr-FR"/>
        </w:rPr>
        <w:t xml:space="preserve"> </w:t>
      </w:r>
      <w:r w:rsidRPr="00B004EE">
        <w:rPr>
          <w:rFonts w:ascii="Tahoma" w:hAnsi="Tahoma" w:cs="Tahoma"/>
          <w:bCs/>
          <w:sz w:val="20"/>
          <w:lang w:val="fr-FR"/>
        </w:rPr>
        <w:t>des</w:t>
      </w:r>
      <w:r w:rsidR="00DB1635" w:rsidRPr="00B004EE">
        <w:rPr>
          <w:rFonts w:ascii="Tahoma" w:hAnsi="Tahoma" w:cs="Tahoma"/>
          <w:bCs/>
          <w:sz w:val="20"/>
          <w:lang w:val="fr-FR"/>
        </w:rPr>
        <w:t xml:space="preserve"> </w:t>
      </w:r>
      <w:r w:rsidRPr="00B004EE">
        <w:rPr>
          <w:rFonts w:ascii="Tahoma" w:hAnsi="Tahoma" w:cs="Tahoma"/>
          <w:bCs/>
          <w:sz w:val="20"/>
          <w:lang w:val="fr-FR"/>
        </w:rPr>
        <w:t>services</w:t>
      </w:r>
      <w:r w:rsidR="00DB1635" w:rsidRPr="00B004EE">
        <w:rPr>
          <w:rFonts w:ascii="Tahoma" w:hAnsi="Tahoma" w:cs="Tahoma"/>
          <w:bCs/>
          <w:sz w:val="20"/>
          <w:lang w:val="fr-FR"/>
        </w:rPr>
        <w:t xml:space="preserve"> </w:t>
      </w:r>
      <w:r w:rsidRPr="00B004EE">
        <w:rPr>
          <w:rFonts w:ascii="Tahoma" w:hAnsi="Tahoma" w:cs="Tahoma"/>
          <w:bCs/>
          <w:sz w:val="20"/>
          <w:lang w:val="fr-FR"/>
        </w:rPr>
        <w:t>compétents,</w:t>
      </w:r>
      <w:r w:rsidR="00DB1635" w:rsidRPr="00B004EE">
        <w:rPr>
          <w:rFonts w:ascii="Tahoma" w:hAnsi="Tahoma" w:cs="Tahoma"/>
          <w:bCs/>
          <w:sz w:val="20"/>
          <w:lang w:val="fr-FR"/>
        </w:rPr>
        <w:t xml:space="preserve"> </w:t>
      </w:r>
      <w:r w:rsidRPr="00B004EE">
        <w:rPr>
          <w:rFonts w:ascii="Tahoma" w:hAnsi="Tahoma" w:cs="Tahoma"/>
          <w:bCs/>
          <w:sz w:val="20"/>
          <w:lang w:val="fr-FR"/>
        </w:rPr>
        <w:t>en</w:t>
      </w:r>
      <w:r w:rsidR="00DB1635" w:rsidRPr="00B004EE">
        <w:rPr>
          <w:rFonts w:ascii="Tahoma" w:hAnsi="Tahoma" w:cs="Tahoma"/>
          <w:bCs/>
          <w:sz w:val="20"/>
          <w:lang w:val="fr-FR"/>
        </w:rPr>
        <w:t xml:space="preserve"> </w:t>
      </w:r>
      <w:r w:rsidRPr="00B004EE">
        <w:rPr>
          <w:rFonts w:ascii="Tahoma" w:hAnsi="Tahoma" w:cs="Tahoma"/>
          <w:bCs/>
          <w:sz w:val="20"/>
          <w:lang w:val="fr-FR"/>
        </w:rPr>
        <w:t>cas</w:t>
      </w:r>
      <w:r w:rsidR="00DB1635" w:rsidRPr="00B004EE">
        <w:rPr>
          <w:rFonts w:ascii="Tahoma" w:hAnsi="Tahoma" w:cs="Tahoma"/>
          <w:bCs/>
          <w:sz w:val="20"/>
          <w:lang w:val="fr-FR"/>
        </w:rPr>
        <w:t xml:space="preserve"> </w:t>
      </w:r>
      <w:r w:rsidRPr="00B004EE">
        <w:rPr>
          <w:rFonts w:ascii="Tahoma" w:hAnsi="Tahoma" w:cs="Tahoma"/>
          <w:bCs/>
          <w:sz w:val="20"/>
          <w:lang w:val="fr-FR"/>
        </w:rPr>
        <w:t>de</w:t>
      </w:r>
      <w:r w:rsidR="00DB1635" w:rsidRPr="00B004EE">
        <w:rPr>
          <w:rFonts w:ascii="Tahoma" w:hAnsi="Tahoma" w:cs="Tahoma"/>
          <w:bCs/>
          <w:sz w:val="20"/>
          <w:lang w:val="fr-FR"/>
        </w:rPr>
        <w:t xml:space="preserve"> </w:t>
      </w:r>
      <w:r w:rsidRPr="00B004EE">
        <w:rPr>
          <w:rFonts w:ascii="Tahoma" w:hAnsi="Tahoma" w:cs="Tahoma"/>
          <w:bCs/>
          <w:sz w:val="20"/>
          <w:lang w:val="fr-FR"/>
        </w:rPr>
        <w:t>manquement</w:t>
      </w:r>
      <w:r w:rsidR="00DB1635" w:rsidRPr="00B004EE">
        <w:rPr>
          <w:rFonts w:ascii="Tahoma" w:hAnsi="Tahoma" w:cs="Tahoma"/>
          <w:bCs/>
          <w:sz w:val="20"/>
          <w:lang w:val="fr-FR"/>
        </w:rPr>
        <w:t xml:space="preserve"> </w:t>
      </w:r>
      <w:r w:rsidRPr="00B004EE">
        <w:rPr>
          <w:rFonts w:ascii="Tahoma" w:hAnsi="Tahoma" w:cs="Tahoma"/>
          <w:bCs/>
          <w:sz w:val="20"/>
          <w:lang w:val="fr-FR"/>
        </w:rPr>
        <w:t>grave</w:t>
      </w:r>
      <w:r w:rsidR="00DB1635" w:rsidRPr="00B004EE">
        <w:rPr>
          <w:rFonts w:ascii="Tahoma" w:hAnsi="Tahoma" w:cs="Tahoma"/>
          <w:bCs/>
          <w:sz w:val="20"/>
          <w:lang w:val="fr-FR"/>
        </w:rPr>
        <w:t xml:space="preserve"> </w:t>
      </w:r>
      <w:r w:rsidRPr="00B004EE">
        <w:rPr>
          <w:rFonts w:ascii="Tahoma" w:hAnsi="Tahoma" w:cs="Tahoma"/>
          <w:bCs/>
          <w:sz w:val="20"/>
          <w:lang w:val="fr-FR"/>
        </w:rPr>
        <w:t>aux</w:t>
      </w:r>
      <w:r w:rsidR="00DB1635" w:rsidRPr="00B004EE">
        <w:rPr>
          <w:rFonts w:ascii="Tahoma" w:hAnsi="Tahoma" w:cs="Tahoma"/>
          <w:bCs/>
          <w:sz w:val="20"/>
          <w:lang w:val="fr-FR"/>
        </w:rPr>
        <w:t xml:space="preserve"> </w:t>
      </w:r>
      <w:r w:rsidRPr="00B004EE">
        <w:rPr>
          <w:rFonts w:ascii="Tahoma" w:hAnsi="Tahoma" w:cs="Tahoma"/>
          <w:bCs/>
          <w:sz w:val="20"/>
          <w:lang w:val="fr-FR"/>
        </w:rPr>
        <w:t>dispositions</w:t>
      </w:r>
      <w:r w:rsidR="00DB1635" w:rsidRPr="00B004EE">
        <w:rPr>
          <w:rFonts w:ascii="Tahoma" w:hAnsi="Tahoma" w:cs="Tahoma"/>
          <w:bCs/>
          <w:sz w:val="20"/>
          <w:lang w:val="fr-FR"/>
        </w:rPr>
        <w:t xml:space="preserve"> </w:t>
      </w:r>
      <w:r w:rsidRPr="00B004EE">
        <w:rPr>
          <w:rFonts w:ascii="Tahoma" w:hAnsi="Tahoma" w:cs="Tahoma"/>
          <w:bCs/>
          <w:sz w:val="20"/>
          <w:lang w:val="fr-FR"/>
        </w:rPr>
        <w:t>du</w:t>
      </w:r>
      <w:r w:rsidR="00DB1635" w:rsidRPr="00B004EE">
        <w:rPr>
          <w:rFonts w:ascii="Tahoma" w:hAnsi="Tahoma" w:cs="Tahoma"/>
          <w:bCs/>
          <w:sz w:val="20"/>
          <w:lang w:val="fr-FR"/>
        </w:rPr>
        <w:t xml:space="preserve"> </w:t>
      </w:r>
      <w:r w:rsidRPr="00B004EE">
        <w:rPr>
          <w:rFonts w:ascii="Tahoma" w:hAnsi="Tahoma" w:cs="Tahoma"/>
          <w:bCs/>
          <w:sz w:val="20"/>
          <w:lang w:val="fr-FR"/>
        </w:rPr>
        <w:t>Code</w:t>
      </w:r>
      <w:r w:rsidR="00DB1635" w:rsidRPr="00B004EE">
        <w:rPr>
          <w:rFonts w:ascii="Tahoma" w:hAnsi="Tahoma" w:cs="Tahoma"/>
          <w:bCs/>
          <w:sz w:val="20"/>
          <w:lang w:val="fr-FR"/>
        </w:rPr>
        <w:t xml:space="preserve"> </w:t>
      </w:r>
      <w:r w:rsidRPr="00B004EE">
        <w:rPr>
          <w:rFonts w:ascii="Tahoma" w:hAnsi="Tahoma" w:cs="Tahoma"/>
          <w:bCs/>
          <w:sz w:val="20"/>
          <w:lang w:val="fr-FR"/>
        </w:rPr>
        <w:t>des</w:t>
      </w:r>
      <w:r w:rsidR="00DB1635" w:rsidRPr="00B004EE">
        <w:rPr>
          <w:rFonts w:ascii="Tahoma" w:hAnsi="Tahoma" w:cs="Tahoma"/>
          <w:bCs/>
          <w:sz w:val="20"/>
          <w:lang w:val="fr-FR"/>
        </w:rPr>
        <w:t xml:space="preserve"> </w:t>
      </w:r>
      <w:r w:rsidRPr="00B004EE">
        <w:rPr>
          <w:rFonts w:ascii="Tahoma" w:hAnsi="Tahoma" w:cs="Tahoma"/>
          <w:bCs/>
          <w:sz w:val="20"/>
          <w:lang w:val="fr-FR"/>
        </w:rPr>
        <w:t>Pêches,</w:t>
      </w:r>
      <w:r w:rsidR="00DB1635" w:rsidRPr="00B004EE">
        <w:rPr>
          <w:rFonts w:ascii="Tahoma" w:hAnsi="Tahoma" w:cs="Tahoma"/>
          <w:bCs/>
          <w:sz w:val="20"/>
          <w:lang w:val="fr-FR"/>
        </w:rPr>
        <w:t xml:space="preserve"> </w:t>
      </w:r>
      <w:r w:rsidRPr="00B004EE">
        <w:rPr>
          <w:rFonts w:ascii="Tahoma" w:hAnsi="Tahoma" w:cs="Tahoma"/>
          <w:bCs/>
          <w:sz w:val="20"/>
          <w:lang w:val="fr-FR"/>
        </w:rPr>
        <w:t>de</w:t>
      </w:r>
      <w:r w:rsidR="00DB1635" w:rsidRPr="00B004EE">
        <w:rPr>
          <w:rFonts w:ascii="Tahoma" w:hAnsi="Tahoma" w:cs="Tahoma"/>
          <w:bCs/>
          <w:sz w:val="20"/>
          <w:lang w:val="fr-FR"/>
        </w:rPr>
        <w:t xml:space="preserve"> </w:t>
      </w:r>
      <w:r w:rsidRPr="00B004EE">
        <w:rPr>
          <w:rFonts w:ascii="Tahoma" w:hAnsi="Tahoma" w:cs="Tahoma"/>
          <w:bCs/>
          <w:sz w:val="20"/>
          <w:lang w:val="fr-FR"/>
        </w:rPr>
        <w:t>ses</w:t>
      </w:r>
      <w:r w:rsidR="00DB1635" w:rsidRPr="00B004EE">
        <w:rPr>
          <w:rFonts w:ascii="Tahoma" w:hAnsi="Tahoma" w:cs="Tahoma"/>
          <w:bCs/>
          <w:sz w:val="20"/>
          <w:lang w:val="fr-FR"/>
        </w:rPr>
        <w:t xml:space="preserve"> </w:t>
      </w:r>
      <w:r w:rsidRPr="00B004EE">
        <w:rPr>
          <w:rFonts w:ascii="Tahoma" w:hAnsi="Tahoma" w:cs="Tahoma"/>
          <w:bCs/>
          <w:sz w:val="20"/>
          <w:lang w:val="fr-FR"/>
        </w:rPr>
        <w:t>règlements</w:t>
      </w:r>
      <w:r w:rsidR="00DB1635" w:rsidRPr="00B004EE">
        <w:rPr>
          <w:rFonts w:ascii="Tahoma" w:hAnsi="Tahoma" w:cs="Tahoma"/>
          <w:bCs/>
          <w:sz w:val="20"/>
          <w:lang w:val="fr-FR"/>
        </w:rPr>
        <w:t xml:space="preserve"> </w:t>
      </w:r>
      <w:r w:rsidRPr="00B004EE">
        <w:rPr>
          <w:rFonts w:ascii="Tahoma" w:hAnsi="Tahoma" w:cs="Tahoma"/>
          <w:bCs/>
          <w:sz w:val="20"/>
          <w:lang w:val="fr-FR"/>
        </w:rPr>
        <w:t>d’application,</w:t>
      </w:r>
      <w:r w:rsidR="00DB1635" w:rsidRPr="00B004EE">
        <w:rPr>
          <w:rFonts w:ascii="Tahoma" w:hAnsi="Tahoma" w:cs="Tahoma"/>
          <w:bCs/>
          <w:sz w:val="20"/>
          <w:lang w:val="fr-FR"/>
        </w:rPr>
        <w:t xml:space="preserve"> </w:t>
      </w:r>
      <w:r w:rsidRPr="00B004EE">
        <w:rPr>
          <w:rFonts w:ascii="Tahoma" w:hAnsi="Tahoma" w:cs="Tahoma"/>
          <w:bCs/>
          <w:sz w:val="20"/>
          <w:lang w:val="fr-FR"/>
        </w:rPr>
        <w:t>ou</w:t>
      </w:r>
      <w:r w:rsidR="00DB1635" w:rsidRPr="00B004EE">
        <w:rPr>
          <w:rFonts w:ascii="Tahoma" w:hAnsi="Tahoma" w:cs="Tahoma"/>
          <w:bCs/>
          <w:sz w:val="20"/>
          <w:lang w:val="fr-FR"/>
        </w:rPr>
        <w:t xml:space="preserve"> </w:t>
      </w:r>
      <w:r w:rsidRPr="00B004EE">
        <w:rPr>
          <w:rFonts w:ascii="Tahoma" w:hAnsi="Tahoma" w:cs="Tahoma"/>
          <w:bCs/>
          <w:sz w:val="20"/>
          <w:lang w:val="fr-FR"/>
        </w:rPr>
        <w:t>du</w:t>
      </w:r>
      <w:r w:rsidR="00DB1635" w:rsidRPr="00B004EE">
        <w:rPr>
          <w:rFonts w:ascii="Tahoma" w:hAnsi="Tahoma" w:cs="Tahoma"/>
          <w:bCs/>
          <w:sz w:val="20"/>
          <w:lang w:val="fr-FR"/>
        </w:rPr>
        <w:t xml:space="preserve"> </w:t>
      </w:r>
      <w:r w:rsidRPr="00B004EE">
        <w:rPr>
          <w:rFonts w:ascii="Tahoma" w:hAnsi="Tahoma" w:cs="Tahoma"/>
          <w:bCs/>
          <w:sz w:val="20"/>
          <w:lang w:val="fr-FR"/>
        </w:rPr>
        <w:t>cahier</w:t>
      </w:r>
      <w:r w:rsidR="00DB1635" w:rsidRPr="00B004EE">
        <w:rPr>
          <w:rFonts w:ascii="Tahoma" w:hAnsi="Tahoma" w:cs="Tahoma"/>
          <w:bCs/>
          <w:sz w:val="20"/>
          <w:lang w:val="fr-FR"/>
        </w:rPr>
        <w:t xml:space="preserve"> </w:t>
      </w:r>
      <w:r w:rsidRPr="00B004EE">
        <w:rPr>
          <w:rFonts w:ascii="Tahoma" w:hAnsi="Tahoma" w:cs="Tahoma"/>
          <w:bCs/>
          <w:sz w:val="20"/>
          <w:lang w:val="fr-FR"/>
        </w:rPr>
        <w:t>des</w:t>
      </w:r>
      <w:r w:rsidR="00DB1635" w:rsidRPr="00B004EE">
        <w:rPr>
          <w:rFonts w:ascii="Tahoma" w:hAnsi="Tahoma" w:cs="Tahoma"/>
          <w:bCs/>
          <w:sz w:val="20"/>
          <w:lang w:val="fr-FR"/>
        </w:rPr>
        <w:t xml:space="preserve"> </w:t>
      </w:r>
      <w:r w:rsidRPr="00B004EE">
        <w:rPr>
          <w:rFonts w:ascii="Tahoma" w:hAnsi="Tahoma" w:cs="Tahoma"/>
          <w:bCs/>
          <w:sz w:val="20"/>
          <w:lang w:val="fr-FR"/>
        </w:rPr>
        <w:t>charges,</w:t>
      </w:r>
      <w:r w:rsidR="00DB1635" w:rsidRPr="00B004EE">
        <w:rPr>
          <w:rFonts w:ascii="Tahoma" w:hAnsi="Tahoma" w:cs="Tahoma"/>
          <w:bCs/>
          <w:sz w:val="20"/>
          <w:lang w:val="fr-FR"/>
        </w:rPr>
        <w:t xml:space="preserve"> </w:t>
      </w:r>
      <w:r w:rsidRPr="00B004EE">
        <w:rPr>
          <w:rFonts w:ascii="Tahoma" w:hAnsi="Tahoma" w:cs="Tahoma"/>
          <w:bCs/>
          <w:sz w:val="20"/>
          <w:lang w:val="fr-FR"/>
        </w:rPr>
        <w:t>suspendre</w:t>
      </w:r>
      <w:r w:rsidR="00DB1635" w:rsidRPr="00B004EE">
        <w:rPr>
          <w:rFonts w:ascii="Tahoma" w:hAnsi="Tahoma" w:cs="Tahoma"/>
          <w:bCs/>
          <w:sz w:val="20"/>
          <w:lang w:val="fr-FR"/>
        </w:rPr>
        <w:t xml:space="preserve"> </w:t>
      </w:r>
      <w:r w:rsidRPr="00B004EE">
        <w:rPr>
          <w:rFonts w:ascii="Tahoma" w:hAnsi="Tahoma" w:cs="Tahoma"/>
          <w:bCs/>
          <w:sz w:val="20"/>
          <w:lang w:val="fr-FR"/>
        </w:rPr>
        <w:t>la</w:t>
      </w:r>
      <w:r w:rsidR="00DB1635" w:rsidRPr="00B004EE">
        <w:rPr>
          <w:rFonts w:ascii="Tahoma" w:hAnsi="Tahoma" w:cs="Tahoma"/>
          <w:bCs/>
          <w:sz w:val="20"/>
          <w:lang w:val="fr-FR"/>
        </w:rPr>
        <w:t xml:space="preserve"> </w:t>
      </w:r>
      <w:r w:rsidRPr="00B004EE">
        <w:rPr>
          <w:rFonts w:ascii="Tahoma" w:hAnsi="Tahoma" w:cs="Tahoma"/>
          <w:bCs/>
          <w:sz w:val="20"/>
          <w:lang w:val="fr-FR"/>
        </w:rPr>
        <w:t>validité</w:t>
      </w:r>
      <w:r w:rsidR="00DB1635" w:rsidRPr="00B004EE">
        <w:rPr>
          <w:rFonts w:ascii="Tahoma" w:hAnsi="Tahoma" w:cs="Tahoma"/>
          <w:bCs/>
          <w:sz w:val="20"/>
          <w:lang w:val="fr-FR"/>
        </w:rPr>
        <w:t xml:space="preserve"> </w:t>
      </w:r>
      <w:r w:rsidRPr="00B004EE">
        <w:rPr>
          <w:rFonts w:ascii="Tahoma" w:hAnsi="Tahoma" w:cs="Tahoma"/>
          <w:bCs/>
          <w:sz w:val="20"/>
          <w:lang w:val="fr-FR"/>
        </w:rPr>
        <w:t>d’une</w:t>
      </w:r>
      <w:r w:rsidR="00DB1635" w:rsidRPr="00B004EE">
        <w:rPr>
          <w:rFonts w:ascii="Tahoma" w:hAnsi="Tahoma" w:cs="Tahoma"/>
          <w:bCs/>
          <w:sz w:val="20"/>
          <w:lang w:val="fr-FR"/>
        </w:rPr>
        <w:t xml:space="preserve"> </w:t>
      </w:r>
      <w:r w:rsidRPr="00B004EE">
        <w:rPr>
          <w:rFonts w:ascii="Tahoma" w:hAnsi="Tahoma" w:cs="Tahoma"/>
          <w:bCs/>
          <w:sz w:val="20"/>
          <w:lang w:val="fr-FR"/>
        </w:rPr>
        <w:t>concession</w:t>
      </w:r>
      <w:r w:rsidR="00DB1635" w:rsidRPr="00B004EE">
        <w:rPr>
          <w:rFonts w:ascii="Tahoma" w:hAnsi="Tahoma" w:cs="Tahoma"/>
          <w:bCs/>
          <w:sz w:val="20"/>
          <w:lang w:val="fr-FR"/>
        </w:rPr>
        <w:t xml:space="preserve"> </w:t>
      </w:r>
      <w:r w:rsidRPr="00B004EE">
        <w:rPr>
          <w:rFonts w:ascii="Tahoma" w:hAnsi="Tahoma" w:cs="Tahoma"/>
          <w:bCs/>
          <w:sz w:val="20"/>
          <w:lang w:val="fr-FR"/>
        </w:rPr>
        <w:t>de</w:t>
      </w:r>
      <w:r w:rsidR="00DB1635" w:rsidRPr="00B004EE">
        <w:rPr>
          <w:rFonts w:ascii="Tahoma" w:hAnsi="Tahoma" w:cs="Tahoma"/>
          <w:bCs/>
          <w:sz w:val="20"/>
          <w:lang w:val="fr-FR"/>
        </w:rPr>
        <w:t xml:space="preserve"> </w:t>
      </w:r>
      <w:r w:rsidRPr="00B004EE">
        <w:rPr>
          <w:rFonts w:ascii="Tahoma" w:hAnsi="Tahoma" w:cs="Tahoma"/>
          <w:bCs/>
          <w:sz w:val="20"/>
          <w:lang w:val="fr-FR"/>
        </w:rPr>
        <w:t>pêches.</w:t>
      </w:r>
      <w:r w:rsidR="00DB1635" w:rsidRPr="00B004EE">
        <w:rPr>
          <w:rFonts w:ascii="Tahoma" w:hAnsi="Tahoma" w:cs="Tahoma"/>
          <w:sz w:val="20"/>
          <w:lang w:val="fr-FR"/>
        </w:rPr>
        <w:t xml:space="preserve"> </w:t>
      </w:r>
      <w:r w:rsidRPr="00B004EE">
        <w:rPr>
          <w:rFonts w:ascii="Tahoma" w:hAnsi="Tahoma" w:cs="Tahoma"/>
          <w:sz w:val="20"/>
          <w:lang w:val="fr-FR"/>
        </w:rPr>
        <w:t>Si</w:t>
      </w:r>
      <w:r w:rsidR="00DB1635" w:rsidRPr="00B004EE">
        <w:rPr>
          <w:rFonts w:ascii="Tahoma" w:hAnsi="Tahoma" w:cs="Tahoma"/>
          <w:sz w:val="20"/>
          <w:lang w:val="fr-FR"/>
        </w:rPr>
        <w:t xml:space="preserve"> </w:t>
      </w:r>
      <w:r w:rsidRPr="00B004EE">
        <w:rPr>
          <w:rFonts w:ascii="Tahoma" w:hAnsi="Tahoma" w:cs="Tahoma"/>
          <w:sz w:val="20"/>
          <w:lang w:val="fr-FR"/>
        </w:rPr>
        <w:t>les</w:t>
      </w:r>
      <w:r w:rsidR="00DB1635" w:rsidRPr="00B004EE">
        <w:rPr>
          <w:rFonts w:ascii="Tahoma" w:hAnsi="Tahoma" w:cs="Tahoma"/>
          <w:sz w:val="20"/>
          <w:lang w:val="fr-FR"/>
        </w:rPr>
        <w:t xml:space="preserve"> </w:t>
      </w:r>
      <w:r w:rsidRPr="00B004EE">
        <w:rPr>
          <w:rFonts w:ascii="Tahoma" w:hAnsi="Tahoma" w:cs="Tahoma"/>
          <w:sz w:val="20"/>
          <w:lang w:val="fr-FR"/>
        </w:rPr>
        <w:t>défauts</w:t>
      </w:r>
      <w:r w:rsidR="00DB1635" w:rsidRPr="00B004EE">
        <w:rPr>
          <w:rFonts w:ascii="Tahoma" w:hAnsi="Tahoma" w:cs="Tahoma"/>
          <w:sz w:val="20"/>
          <w:lang w:val="fr-FR"/>
        </w:rPr>
        <w:t xml:space="preserve"> </w:t>
      </w:r>
      <w:r w:rsidRPr="00B004EE">
        <w:rPr>
          <w:rFonts w:ascii="Tahoma" w:hAnsi="Tahoma" w:cs="Tahoma"/>
          <w:sz w:val="20"/>
          <w:lang w:val="fr-FR"/>
        </w:rPr>
        <w:t>ou</w:t>
      </w:r>
      <w:r w:rsidR="00DB1635" w:rsidRPr="00B004EE">
        <w:rPr>
          <w:rFonts w:ascii="Tahoma" w:hAnsi="Tahoma" w:cs="Tahoma"/>
          <w:sz w:val="20"/>
          <w:lang w:val="fr-FR"/>
        </w:rPr>
        <w:t xml:space="preserve"> </w:t>
      </w:r>
      <w:r w:rsidRPr="00B004EE">
        <w:rPr>
          <w:rFonts w:ascii="Tahoma" w:hAnsi="Tahoma" w:cs="Tahoma"/>
          <w:sz w:val="20"/>
          <w:lang w:val="fr-FR"/>
        </w:rPr>
        <w:t>circonstances</w:t>
      </w:r>
      <w:r w:rsidR="00DB1635" w:rsidRPr="00B004EE">
        <w:rPr>
          <w:rFonts w:ascii="Tahoma" w:hAnsi="Tahoma" w:cs="Tahoma"/>
          <w:sz w:val="20"/>
          <w:lang w:val="fr-FR"/>
        </w:rPr>
        <w:t xml:space="preserve"> </w:t>
      </w:r>
      <w:r w:rsidRPr="00B004EE">
        <w:rPr>
          <w:rFonts w:ascii="Tahoma" w:hAnsi="Tahoma" w:cs="Tahoma"/>
          <w:sz w:val="20"/>
          <w:lang w:val="fr-FR"/>
        </w:rPr>
        <w:t>détectées</w:t>
      </w:r>
      <w:r w:rsidR="00DB1635" w:rsidRPr="00B004EE">
        <w:rPr>
          <w:rFonts w:ascii="Tahoma" w:hAnsi="Tahoma" w:cs="Tahoma"/>
          <w:sz w:val="20"/>
          <w:lang w:val="fr-FR"/>
        </w:rPr>
        <w:t xml:space="preserve"> </w:t>
      </w:r>
      <w:r w:rsidRPr="00B004EE">
        <w:rPr>
          <w:rFonts w:ascii="Tahoma" w:hAnsi="Tahoma" w:cs="Tahoma"/>
          <w:sz w:val="20"/>
          <w:lang w:val="fr-FR"/>
        </w:rPr>
        <w:t>ne</w:t>
      </w:r>
      <w:r w:rsidR="00DB1635" w:rsidRPr="00B004EE">
        <w:rPr>
          <w:rFonts w:ascii="Tahoma" w:hAnsi="Tahoma" w:cs="Tahoma"/>
          <w:sz w:val="20"/>
          <w:lang w:val="fr-FR"/>
        </w:rPr>
        <w:t xml:space="preserve"> </w:t>
      </w:r>
      <w:r w:rsidRPr="00B004EE">
        <w:rPr>
          <w:rFonts w:ascii="Tahoma" w:hAnsi="Tahoma" w:cs="Tahoma"/>
          <w:sz w:val="20"/>
          <w:lang w:val="fr-FR"/>
        </w:rPr>
        <w:t>sont</w:t>
      </w:r>
      <w:r w:rsidR="00DB1635" w:rsidRPr="00B004EE">
        <w:rPr>
          <w:rFonts w:ascii="Tahoma" w:hAnsi="Tahoma" w:cs="Tahoma"/>
          <w:sz w:val="20"/>
          <w:lang w:val="fr-FR"/>
        </w:rPr>
        <w:t xml:space="preserve"> </w:t>
      </w:r>
      <w:r w:rsidRPr="00B004EE">
        <w:rPr>
          <w:rFonts w:ascii="Tahoma" w:hAnsi="Tahoma" w:cs="Tahoma"/>
          <w:sz w:val="20"/>
          <w:lang w:val="fr-FR"/>
        </w:rPr>
        <w:t>pas</w:t>
      </w:r>
      <w:r w:rsidR="00DB1635" w:rsidRPr="00B004EE">
        <w:rPr>
          <w:rFonts w:ascii="Tahoma" w:hAnsi="Tahoma" w:cs="Tahoma"/>
          <w:sz w:val="20"/>
          <w:lang w:val="fr-FR"/>
        </w:rPr>
        <w:t xml:space="preserve"> </w:t>
      </w:r>
      <w:r w:rsidRPr="00B004EE">
        <w:rPr>
          <w:rFonts w:ascii="Tahoma" w:hAnsi="Tahoma" w:cs="Tahoma"/>
          <w:sz w:val="20"/>
          <w:lang w:val="fr-FR"/>
        </w:rPr>
        <w:t>corrigés</w:t>
      </w:r>
      <w:r w:rsidR="00DB1635" w:rsidRPr="00B004EE">
        <w:rPr>
          <w:rFonts w:ascii="Tahoma" w:hAnsi="Tahoma" w:cs="Tahoma"/>
          <w:sz w:val="20"/>
          <w:lang w:val="fr-FR"/>
        </w:rPr>
        <w:t xml:space="preserve"> </w:t>
      </w:r>
      <w:r w:rsidRPr="00B004EE">
        <w:rPr>
          <w:rFonts w:ascii="Tahoma" w:hAnsi="Tahoma" w:cs="Tahoma"/>
          <w:sz w:val="20"/>
          <w:lang w:val="fr-FR"/>
        </w:rPr>
        <w:t>dans</w:t>
      </w:r>
      <w:r w:rsidR="00DB1635" w:rsidRPr="00B004EE">
        <w:rPr>
          <w:rFonts w:ascii="Tahoma" w:hAnsi="Tahoma" w:cs="Tahoma"/>
          <w:sz w:val="20"/>
          <w:lang w:val="fr-FR"/>
        </w:rPr>
        <w:t xml:space="preserve"> </w:t>
      </w:r>
      <w:r w:rsidRPr="00B004EE">
        <w:rPr>
          <w:rFonts w:ascii="Tahoma" w:hAnsi="Tahoma" w:cs="Tahoma"/>
          <w:sz w:val="20"/>
          <w:lang w:val="fr-FR"/>
        </w:rPr>
        <w:t>les</w:t>
      </w:r>
      <w:r w:rsidR="00DB1635" w:rsidRPr="00B004EE">
        <w:rPr>
          <w:rFonts w:ascii="Tahoma" w:hAnsi="Tahoma" w:cs="Tahoma"/>
          <w:sz w:val="20"/>
          <w:lang w:val="fr-FR"/>
        </w:rPr>
        <w:t xml:space="preserve"> </w:t>
      </w:r>
      <w:r w:rsidRPr="00B004EE">
        <w:rPr>
          <w:rFonts w:ascii="Tahoma" w:hAnsi="Tahoma" w:cs="Tahoma"/>
          <w:sz w:val="20"/>
          <w:lang w:val="fr-FR"/>
        </w:rPr>
        <w:t>délais</w:t>
      </w:r>
      <w:r w:rsidR="00DB1635" w:rsidRPr="00B004EE">
        <w:rPr>
          <w:rFonts w:ascii="Tahoma" w:hAnsi="Tahoma" w:cs="Tahoma"/>
          <w:sz w:val="20"/>
          <w:lang w:val="fr-FR"/>
        </w:rPr>
        <w:t xml:space="preserve"> </w:t>
      </w:r>
      <w:r w:rsidRPr="00B004EE">
        <w:rPr>
          <w:rFonts w:ascii="Tahoma" w:hAnsi="Tahoma" w:cs="Tahoma"/>
          <w:sz w:val="20"/>
          <w:lang w:val="fr-FR"/>
        </w:rPr>
        <w:t>impartis</w:t>
      </w:r>
      <w:r w:rsidR="00DB1635" w:rsidRPr="00B004EE">
        <w:rPr>
          <w:rFonts w:ascii="Tahoma" w:hAnsi="Tahoma" w:cs="Tahoma"/>
          <w:sz w:val="20"/>
          <w:lang w:val="fr-FR"/>
        </w:rPr>
        <w:t xml:space="preserve"> </w:t>
      </w:r>
      <w:r w:rsidRPr="00B004EE">
        <w:rPr>
          <w:rFonts w:ascii="Tahoma" w:hAnsi="Tahoma" w:cs="Tahoma"/>
          <w:sz w:val="20"/>
          <w:lang w:val="fr-FR"/>
        </w:rPr>
        <w:t>au</w:t>
      </w:r>
      <w:r w:rsidR="00DB1635" w:rsidRPr="00B004EE">
        <w:rPr>
          <w:rFonts w:ascii="Tahoma" w:hAnsi="Tahoma" w:cs="Tahoma"/>
          <w:sz w:val="20"/>
          <w:lang w:val="fr-FR"/>
        </w:rPr>
        <w:t xml:space="preserve"> </w:t>
      </w:r>
      <w:r w:rsidRPr="00B004EE">
        <w:rPr>
          <w:rFonts w:ascii="Tahoma" w:hAnsi="Tahoma" w:cs="Tahoma"/>
          <w:sz w:val="20"/>
          <w:lang w:val="fr-FR"/>
        </w:rPr>
        <w:t>titulaire,</w:t>
      </w:r>
      <w:r w:rsidR="00DB1635" w:rsidRPr="00B004EE">
        <w:rPr>
          <w:rFonts w:ascii="Tahoma" w:hAnsi="Tahoma" w:cs="Tahoma"/>
          <w:sz w:val="20"/>
          <w:lang w:val="fr-FR"/>
        </w:rPr>
        <w:t xml:space="preserve"> </w:t>
      </w:r>
      <w:r w:rsidRPr="00B004EE">
        <w:rPr>
          <w:rFonts w:ascii="Tahoma" w:hAnsi="Tahoma" w:cs="Tahoma"/>
          <w:sz w:val="20"/>
          <w:lang w:val="fr-FR"/>
        </w:rPr>
        <w:t>il</w:t>
      </w:r>
      <w:r w:rsidR="00DB1635" w:rsidRPr="00B004EE">
        <w:rPr>
          <w:rFonts w:ascii="Tahoma" w:hAnsi="Tahoma" w:cs="Tahoma"/>
          <w:sz w:val="20"/>
          <w:lang w:val="fr-FR"/>
        </w:rPr>
        <w:t xml:space="preserve"> </w:t>
      </w:r>
      <w:r w:rsidRPr="00B004EE">
        <w:rPr>
          <w:rFonts w:ascii="Tahoma" w:hAnsi="Tahoma" w:cs="Tahoma"/>
          <w:sz w:val="20"/>
          <w:lang w:val="fr-FR"/>
        </w:rPr>
        <w:t>peut</w:t>
      </w:r>
      <w:r w:rsidR="00DB1635" w:rsidRPr="00B004EE">
        <w:rPr>
          <w:rFonts w:ascii="Tahoma" w:hAnsi="Tahoma" w:cs="Tahoma"/>
          <w:sz w:val="20"/>
          <w:lang w:val="fr-FR"/>
        </w:rPr>
        <w:t xml:space="preserve"> </w:t>
      </w:r>
      <w:r w:rsidRPr="00B004EE">
        <w:rPr>
          <w:rFonts w:ascii="Tahoma" w:hAnsi="Tahoma" w:cs="Tahoma"/>
          <w:sz w:val="20"/>
          <w:lang w:val="fr-FR"/>
        </w:rPr>
        <w:t>l’annuler</w:t>
      </w:r>
      <w:r w:rsidR="00DB1635" w:rsidRPr="00B004EE">
        <w:rPr>
          <w:rFonts w:ascii="Tahoma" w:hAnsi="Tahoma" w:cs="Tahoma"/>
          <w:sz w:val="20"/>
          <w:lang w:val="fr-FR"/>
        </w:rPr>
        <w:t xml:space="preserve"> </w:t>
      </w:r>
      <w:r w:rsidRPr="00B004EE">
        <w:rPr>
          <w:rFonts w:ascii="Tahoma" w:hAnsi="Tahoma" w:cs="Tahoma"/>
          <w:sz w:val="20"/>
          <w:lang w:val="fr-FR"/>
        </w:rPr>
        <w:t>définitivement.</w:t>
      </w:r>
    </w:p>
    <w:p w14:paraId="2EF38177" w14:textId="77777777" w:rsidR="008518B0" w:rsidRPr="00B004EE" w:rsidRDefault="008518B0" w:rsidP="00B004EE">
      <w:pPr>
        <w:pStyle w:val="TxBrp2"/>
        <w:tabs>
          <w:tab w:val="left" w:pos="9923"/>
        </w:tabs>
        <w:spacing w:line="240" w:lineRule="auto"/>
        <w:ind w:right="-1"/>
        <w:rPr>
          <w:rFonts w:ascii="Tahoma" w:hAnsi="Tahoma" w:cs="Tahoma"/>
          <w:sz w:val="20"/>
          <w:lang w:val="fr-FR"/>
        </w:rPr>
      </w:pPr>
    </w:p>
    <w:p w14:paraId="4EBA8493" w14:textId="3815A0D9" w:rsidR="008518B0" w:rsidRPr="00B004EE" w:rsidRDefault="008518B0" w:rsidP="00B004EE">
      <w:pPr>
        <w:jc w:val="both"/>
        <w:rPr>
          <w:rFonts w:ascii="Tahoma" w:hAnsi="Tahoma" w:cs="Tahoma"/>
          <w:sz w:val="20"/>
          <w:szCs w:val="20"/>
        </w:rPr>
      </w:pPr>
      <w:r w:rsidRPr="00B004EE">
        <w:rPr>
          <w:rFonts w:ascii="Tahoma" w:hAnsi="Tahoma" w:cs="Tahoma"/>
          <w:sz w:val="20"/>
          <w:szCs w:val="20"/>
        </w:rPr>
        <w:t>Cette</w:t>
      </w:r>
      <w:r w:rsidR="00DB1635" w:rsidRPr="00B004EE">
        <w:rPr>
          <w:rFonts w:ascii="Tahoma" w:hAnsi="Tahoma" w:cs="Tahoma"/>
          <w:sz w:val="20"/>
          <w:szCs w:val="20"/>
        </w:rPr>
        <w:t xml:space="preserve"> </w:t>
      </w:r>
      <w:r w:rsidRPr="00B004EE">
        <w:rPr>
          <w:rFonts w:ascii="Tahoma" w:hAnsi="Tahoma" w:cs="Tahoma"/>
          <w:sz w:val="20"/>
          <w:szCs w:val="20"/>
        </w:rPr>
        <w:t>décision</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susceptible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recours</w:t>
      </w:r>
      <w:r w:rsidR="00DB1635" w:rsidRPr="00B004EE">
        <w:rPr>
          <w:rFonts w:ascii="Tahoma" w:hAnsi="Tahoma" w:cs="Tahoma"/>
          <w:sz w:val="20"/>
          <w:szCs w:val="20"/>
        </w:rPr>
        <w:t xml:space="preserve"> </w:t>
      </w:r>
      <w:r w:rsidRPr="00B004EE">
        <w:rPr>
          <w:rFonts w:ascii="Tahoma" w:hAnsi="Tahoma" w:cs="Tahoma"/>
          <w:sz w:val="20"/>
          <w:szCs w:val="20"/>
        </w:rPr>
        <w:t>devant</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Chambre</w:t>
      </w:r>
      <w:r w:rsidR="00DB1635" w:rsidRPr="00B004EE">
        <w:rPr>
          <w:rFonts w:ascii="Tahoma" w:hAnsi="Tahoma" w:cs="Tahoma"/>
          <w:sz w:val="20"/>
          <w:szCs w:val="20"/>
        </w:rPr>
        <w:t xml:space="preserve"> </w:t>
      </w:r>
      <w:r w:rsidRPr="00B004EE">
        <w:rPr>
          <w:rFonts w:ascii="Tahoma" w:hAnsi="Tahoma" w:cs="Tahoma"/>
          <w:sz w:val="20"/>
          <w:szCs w:val="20"/>
        </w:rPr>
        <w:t>administrative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Cour</w:t>
      </w:r>
      <w:r w:rsidR="00DB1635" w:rsidRPr="00B004EE">
        <w:rPr>
          <w:rFonts w:ascii="Tahoma" w:hAnsi="Tahoma" w:cs="Tahoma"/>
          <w:sz w:val="20"/>
          <w:szCs w:val="20"/>
        </w:rPr>
        <w:t xml:space="preserve"> </w:t>
      </w:r>
      <w:r w:rsidRPr="00B004EE">
        <w:rPr>
          <w:rFonts w:ascii="Tahoma" w:hAnsi="Tahoma" w:cs="Tahoma"/>
          <w:sz w:val="20"/>
          <w:szCs w:val="20"/>
        </w:rPr>
        <w:t>suprême.</w:t>
      </w:r>
      <w:r w:rsidR="00DB1635" w:rsidRPr="00B004EE">
        <w:rPr>
          <w:rFonts w:ascii="Tahoma" w:hAnsi="Tahoma" w:cs="Tahoma"/>
          <w:sz w:val="20"/>
          <w:szCs w:val="20"/>
        </w:rPr>
        <w:t xml:space="preserve"> </w:t>
      </w:r>
    </w:p>
    <w:p w14:paraId="647CED24" w14:textId="77777777" w:rsidR="008518B0" w:rsidRPr="00B004EE" w:rsidRDefault="008518B0" w:rsidP="00B004EE">
      <w:pPr>
        <w:rPr>
          <w:rFonts w:ascii="Tahoma" w:hAnsi="Tahoma" w:cs="Tahoma"/>
          <w:sz w:val="20"/>
          <w:szCs w:val="20"/>
        </w:rPr>
      </w:pPr>
    </w:p>
    <w:p w14:paraId="27A273F1" w14:textId="03B49315" w:rsidR="008518B0" w:rsidRPr="00B004EE" w:rsidRDefault="008518B0" w:rsidP="00B004EE">
      <w:pPr>
        <w:jc w:val="both"/>
        <w:rPr>
          <w:rFonts w:ascii="Tahoma" w:hAnsi="Tahoma" w:cs="Tahoma"/>
          <w:sz w:val="20"/>
          <w:szCs w:val="20"/>
        </w:rPr>
      </w:pPr>
      <w:r w:rsidRPr="00B004EE">
        <w:rPr>
          <w:rFonts w:ascii="Tahoma" w:hAnsi="Tahoma" w:cs="Tahoma"/>
          <w:sz w:val="20"/>
          <w:szCs w:val="20"/>
        </w:rPr>
        <w:t>Article</w:t>
      </w:r>
      <w:r w:rsidR="00DB1635" w:rsidRPr="00B004EE">
        <w:rPr>
          <w:rFonts w:ascii="Tahoma" w:hAnsi="Tahoma" w:cs="Tahoma"/>
          <w:sz w:val="20"/>
          <w:szCs w:val="20"/>
        </w:rPr>
        <w:t xml:space="preserve"> </w:t>
      </w:r>
      <w:r w:rsidRPr="00B004EE">
        <w:rPr>
          <w:rFonts w:ascii="Tahoma" w:hAnsi="Tahoma" w:cs="Tahoma"/>
          <w:sz w:val="20"/>
          <w:szCs w:val="20"/>
        </w:rPr>
        <w:t>22</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conditions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suspension</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retrait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concessions</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précisées</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contrat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concession.</w:t>
      </w:r>
      <w:r w:rsidR="00DB1635" w:rsidRPr="00B004EE">
        <w:rPr>
          <w:rFonts w:ascii="Tahoma" w:hAnsi="Tahoma" w:cs="Tahoma"/>
          <w:sz w:val="20"/>
          <w:szCs w:val="20"/>
        </w:rPr>
        <w:t xml:space="preserve"> </w:t>
      </w:r>
    </w:p>
    <w:p w14:paraId="1E46B3AD" w14:textId="77777777" w:rsidR="008518B0" w:rsidRPr="00B004EE" w:rsidRDefault="008518B0" w:rsidP="00B004EE">
      <w:pPr>
        <w:jc w:val="both"/>
        <w:rPr>
          <w:rFonts w:ascii="Tahoma" w:hAnsi="Tahoma" w:cs="Tahoma"/>
          <w:sz w:val="20"/>
          <w:szCs w:val="20"/>
        </w:rPr>
      </w:pPr>
    </w:p>
    <w:p w14:paraId="1967C67F" w14:textId="5430A766" w:rsidR="008518B0" w:rsidRPr="00B004EE" w:rsidRDefault="008518B0" w:rsidP="00B004EE">
      <w:pPr>
        <w:jc w:val="both"/>
        <w:rPr>
          <w:rFonts w:ascii="Tahoma" w:hAnsi="Tahoma" w:cs="Tahoma"/>
          <w:sz w:val="20"/>
          <w:szCs w:val="20"/>
        </w:rPr>
      </w:pP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suspensions,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transferts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retraits</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concessions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droits</w:t>
      </w:r>
      <w:r w:rsidR="00DB1635" w:rsidRPr="00B004EE">
        <w:rPr>
          <w:rFonts w:ascii="Tahoma" w:hAnsi="Tahoma" w:cs="Tahoma"/>
          <w:sz w:val="20"/>
          <w:szCs w:val="20"/>
        </w:rPr>
        <w:t xml:space="preserve"> </w:t>
      </w:r>
      <w:r w:rsidRPr="00B004EE">
        <w:rPr>
          <w:rFonts w:ascii="Tahoma" w:hAnsi="Tahoma" w:cs="Tahoma"/>
          <w:sz w:val="20"/>
          <w:szCs w:val="20"/>
        </w:rPr>
        <w:t>d'usage</w:t>
      </w:r>
      <w:r w:rsidR="00DB1635" w:rsidRPr="00B004EE">
        <w:rPr>
          <w:rFonts w:ascii="Tahoma" w:hAnsi="Tahoma" w:cs="Tahoma"/>
          <w:sz w:val="20"/>
          <w:szCs w:val="20"/>
        </w:rPr>
        <w:t xml:space="preserve"> </w:t>
      </w:r>
      <w:r w:rsidRPr="00B004EE">
        <w:rPr>
          <w:rFonts w:ascii="Tahoma" w:hAnsi="Tahoma" w:cs="Tahoma"/>
          <w:sz w:val="20"/>
          <w:szCs w:val="20"/>
        </w:rPr>
        <w:t>seront</w:t>
      </w:r>
      <w:r w:rsidR="00DB1635" w:rsidRPr="00B004EE">
        <w:rPr>
          <w:rFonts w:ascii="Tahoma" w:hAnsi="Tahoma" w:cs="Tahoma"/>
          <w:sz w:val="20"/>
          <w:szCs w:val="20"/>
        </w:rPr>
        <w:t xml:space="preserve"> </w:t>
      </w:r>
      <w:r w:rsidRPr="00B004EE">
        <w:rPr>
          <w:rFonts w:ascii="Tahoma" w:hAnsi="Tahoma" w:cs="Tahoma"/>
          <w:sz w:val="20"/>
          <w:szCs w:val="20"/>
        </w:rPr>
        <w:t>transcrits</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registre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concessions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droits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prévus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l’article</w:t>
      </w:r>
      <w:r w:rsidR="00DB1635" w:rsidRPr="00B004EE">
        <w:rPr>
          <w:rFonts w:ascii="Tahoma" w:hAnsi="Tahoma" w:cs="Tahoma"/>
          <w:sz w:val="20"/>
          <w:szCs w:val="20"/>
        </w:rPr>
        <w:t xml:space="preserve"> </w:t>
      </w:r>
      <w:r w:rsidRPr="00B004EE">
        <w:rPr>
          <w:rFonts w:ascii="Tahoma" w:hAnsi="Tahoma" w:cs="Tahoma"/>
          <w:sz w:val="20"/>
          <w:szCs w:val="20"/>
        </w:rPr>
        <w:t>32</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loi</w:t>
      </w:r>
      <w:r w:rsidR="00DB1635" w:rsidRPr="00B004EE">
        <w:rPr>
          <w:rFonts w:ascii="Tahoma" w:hAnsi="Tahoma" w:cs="Tahoma"/>
          <w:sz w:val="20"/>
          <w:szCs w:val="20"/>
        </w:rPr>
        <w:t xml:space="preserve"> </w:t>
      </w:r>
      <w:r w:rsidRPr="00B004EE">
        <w:rPr>
          <w:rFonts w:ascii="Tahoma" w:hAnsi="Tahoma" w:cs="Tahoma"/>
          <w:sz w:val="20"/>
          <w:szCs w:val="20"/>
        </w:rPr>
        <w:t>n°2015</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017</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29</w:t>
      </w:r>
      <w:r w:rsidR="00DB1635" w:rsidRPr="00B004EE">
        <w:rPr>
          <w:rFonts w:ascii="Tahoma" w:hAnsi="Tahoma" w:cs="Tahoma"/>
          <w:sz w:val="20"/>
          <w:szCs w:val="20"/>
        </w:rPr>
        <w:t xml:space="preserve"> </w:t>
      </w:r>
      <w:r w:rsidRPr="00B004EE">
        <w:rPr>
          <w:rFonts w:ascii="Tahoma" w:hAnsi="Tahoma" w:cs="Tahoma"/>
          <w:sz w:val="20"/>
          <w:szCs w:val="20"/>
        </w:rPr>
        <w:t>juillet</w:t>
      </w:r>
      <w:r w:rsidR="00DB1635" w:rsidRPr="00B004EE">
        <w:rPr>
          <w:rFonts w:ascii="Tahoma" w:hAnsi="Tahoma" w:cs="Tahoma"/>
          <w:sz w:val="20"/>
          <w:szCs w:val="20"/>
        </w:rPr>
        <w:t xml:space="preserve"> </w:t>
      </w:r>
      <w:r w:rsidRPr="00B004EE">
        <w:rPr>
          <w:rFonts w:ascii="Tahoma" w:hAnsi="Tahoma" w:cs="Tahoma"/>
          <w:sz w:val="20"/>
          <w:szCs w:val="20"/>
        </w:rPr>
        <w:t>2105</w:t>
      </w:r>
      <w:r w:rsidR="00DB1635" w:rsidRPr="00B004EE">
        <w:rPr>
          <w:rFonts w:ascii="Tahoma" w:hAnsi="Tahoma" w:cs="Tahoma"/>
          <w:sz w:val="20"/>
          <w:szCs w:val="20"/>
        </w:rPr>
        <w:t xml:space="preserve"> </w:t>
      </w:r>
      <w:r w:rsidRPr="00B004EE">
        <w:rPr>
          <w:rFonts w:ascii="Tahoma" w:hAnsi="Tahoma" w:cs="Tahoma"/>
          <w:sz w:val="20"/>
          <w:szCs w:val="20"/>
        </w:rPr>
        <w:t>portant</w:t>
      </w:r>
      <w:r w:rsidR="00DB1635" w:rsidRPr="00B004EE">
        <w:rPr>
          <w:rFonts w:ascii="Tahoma" w:hAnsi="Tahoma" w:cs="Tahoma"/>
          <w:sz w:val="20"/>
          <w:szCs w:val="20"/>
        </w:rPr>
        <w:t xml:space="preserve"> </w:t>
      </w:r>
      <w:r w:rsidRPr="00B004EE">
        <w:rPr>
          <w:rFonts w:ascii="Tahoma" w:hAnsi="Tahoma" w:cs="Tahoma"/>
          <w:sz w:val="20"/>
          <w:szCs w:val="20"/>
        </w:rPr>
        <w:t>Code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sz w:val="20"/>
          <w:szCs w:val="20"/>
        </w:rPr>
        <w:t xml:space="preserve"> </w:t>
      </w:r>
    </w:p>
    <w:p w14:paraId="27B34A9D" w14:textId="77777777" w:rsidR="00DF657F" w:rsidRPr="00B004EE" w:rsidRDefault="00DF657F" w:rsidP="00B004EE">
      <w:pPr>
        <w:jc w:val="center"/>
        <w:rPr>
          <w:rFonts w:ascii="Tahoma" w:hAnsi="Tahoma" w:cs="Tahoma"/>
          <w:sz w:val="20"/>
          <w:szCs w:val="20"/>
        </w:rPr>
      </w:pPr>
    </w:p>
    <w:p w14:paraId="7718468E" w14:textId="29FC3352" w:rsidR="008518B0" w:rsidRPr="00B004EE" w:rsidRDefault="008518B0" w:rsidP="00B004EE">
      <w:pPr>
        <w:jc w:val="center"/>
        <w:rPr>
          <w:rFonts w:ascii="Tahoma" w:hAnsi="Tahoma" w:cs="Tahoma"/>
          <w:b/>
          <w:bCs/>
          <w:sz w:val="20"/>
          <w:szCs w:val="20"/>
        </w:rPr>
      </w:pPr>
      <w:r w:rsidRPr="00B004EE">
        <w:rPr>
          <w:rFonts w:ascii="Tahoma" w:hAnsi="Tahoma" w:cs="Tahoma"/>
          <w:b/>
          <w:bCs/>
          <w:sz w:val="20"/>
          <w:szCs w:val="20"/>
        </w:rPr>
        <w:t>Section</w:t>
      </w:r>
      <w:r w:rsidR="00DB1635" w:rsidRPr="00B004EE">
        <w:rPr>
          <w:rFonts w:ascii="Tahoma" w:hAnsi="Tahoma" w:cs="Tahoma"/>
          <w:b/>
          <w:bCs/>
          <w:sz w:val="20"/>
          <w:szCs w:val="20"/>
        </w:rPr>
        <w:t xml:space="preserve"> </w:t>
      </w:r>
      <w:r w:rsidRPr="00B004EE">
        <w:rPr>
          <w:rFonts w:ascii="Tahoma" w:hAnsi="Tahoma" w:cs="Tahoma"/>
          <w:b/>
          <w:bCs/>
          <w:sz w:val="20"/>
          <w:szCs w:val="20"/>
        </w:rPr>
        <w:t>III</w:t>
      </w:r>
      <w:r w:rsidR="00DB1635" w:rsidRPr="00B004EE">
        <w:rPr>
          <w:rFonts w:ascii="Tahoma" w:hAnsi="Tahoma" w:cs="Tahoma"/>
          <w:b/>
          <w:bCs/>
          <w:sz w:val="20"/>
          <w:szCs w:val="20"/>
        </w:rPr>
        <w:t xml:space="preserve"> </w:t>
      </w:r>
      <w:r w:rsidRPr="00B004EE">
        <w:rPr>
          <w:rFonts w:ascii="Tahoma" w:hAnsi="Tahoma" w:cs="Tahoma"/>
          <w:b/>
          <w:bCs/>
          <w:sz w:val="20"/>
          <w:szCs w:val="20"/>
        </w:rPr>
        <w:t>:</w:t>
      </w:r>
      <w:r w:rsidR="00DB1635" w:rsidRPr="00B004EE">
        <w:rPr>
          <w:rFonts w:ascii="Tahoma" w:hAnsi="Tahoma" w:cs="Tahoma"/>
          <w:b/>
          <w:bCs/>
          <w:sz w:val="20"/>
          <w:szCs w:val="20"/>
        </w:rPr>
        <w:t xml:space="preserve"> </w:t>
      </w:r>
      <w:r w:rsidRPr="00B004EE">
        <w:rPr>
          <w:rFonts w:ascii="Tahoma" w:hAnsi="Tahoma" w:cs="Tahoma"/>
          <w:b/>
          <w:bCs/>
          <w:sz w:val="20"/>
          <w:szCs w:val="20"/>
        </w:rPr>
        <w:t>Des</w:t>
      </w:r>
      <w:r w:rsidR="00DB1635" w:rsidRPr="00B004EE">
        <w:rPr>
          <w:rFonts w:ascii="Tahoma" w:hAnsi="Tahoma" w:cs="Tahoma"/>
          <w:b/>
          <w:bCs/>
          <w:sz w:val="20"/>
          <w:szCs w:val="20"/>
        </w:rPr>
        <w:t xml:space="preserve"> </w:t>
      </w:r>
      <w:r w:rsidRPr="00B004EE">
        <w:rPr>
          <w:rFonts w:ascii="Tahoma" w:hAnsi="Tahoma" w:cs="Tahoma"/>
          <w:b/>
          <w:bCs/>
          <w:sz w:val="20"/>
          <w:szCs w:val="20"/>
        </w:rPr>
        <w:t>licences</w:t>
      </w:r>
      <w:r w:rsidR="00DB1635" w:rsidRPr="00B004EE">
        <w:rPr>
          <w:rFonts w:ascii="Tahoma" w:hAnsi="Tahoma" w:cs="Tahoma"/>
          <w:b/>
          <w:bCs/>
          <w:sz w:val="20"/>
          <w:szCs w:val="20"/>
        </w:rPr>
        <w:t xml:space="preserve"> </w:t>
      </w:r>
      <w:r w:rsidRPr="00B004EE">
        <w:rPr>
          <w:rFonts w:ascii="Tahoma" w:hAnsi="Tahoma" w:cs="Tahoma"/>
          <w:b/>
          <w:bCs/>
          <w:sz w:val="20"/>
          <w:szCs w:val="20"/>
        </w:rPr>
        <w:t>de</w:t>
      </w:r>
      <w:r w:rsidR="00DB1635" w:rsidRPr="00B004EE">
        <w:rPr>
          <w:rFonts w:ascii="Tahoma" w:hAnsi="Tahoma" w:cs="Tahoma"/>
          <w:b/>
          <w:bCs/>
          <w:sz w:val="20"/>
          <w:szCs w:val="20"/>
        </w:rPr>
        <w:t xml:space="preserve"> </w:t>
      </w:r>
      <w:r w:rsidRPr="00B004EE">
        <w:rPr>
          <w:rFonts w:ascii="Tahoma" w:hAnsi="Tahoma" w:cs="Tahoma"/>
          <w:b/>
          <w:bCs/>
          <w:sz w:val="20"/>
          <w:szCs w:val="20"/>
        </w:rPr>
        <w:t>pêche</w:t>
      </w:r>
    </w:p>
    <w:p w14:paraId="7957AC92" w14:textId="77777777" w:rsidR="008518B0" w:rsidRPr="00B004EE" w:rsidRDefault="008518B0" w:rsidP="00B004EE">
      <w:pPr>
        <w:jc w:val="center"/>
        <w:rPr>
          <w:rFonts w:ascii="Tahoma" w:hAnsi="Tahoma" w:cs="Tahoma"/>
          <w:b/>
          <w:bCs/>
          <w:sz w:val="20"/>
          <w:szCs w:val="20"/>
        </w:rPr>
      </w:pPr>
    </w:p>
    <w:p w14:paraId="338447F6" w14:textId="3685D7F3" w:rsidR="008518B0" w:rsidRPr="00B004EE" w:rsidRDefault="008518B0" w:rsidP="00B004EE">
      <w:pPr>
        <w:pStyle w:val="article"/>
        <w:numPr>
          <w:ilvl w:val="0"/>
          <w:numId w:val="0"/>
        </w:numPr>
        <w:tabs>
          <w:tab w:val="left" w:pos="1200"/>
        </w:tabs>
        <w:spacing w:before="0" w:line="240" w:lineRule="auto"/>
        <w:rPr>
          <w:rFonts w:ascii="Tahoma" w:hAnsi="Tahoma" w:cs="Tahoma"/>
          <w:sz w:val="20"/>
          <w:szCs w:val="20"/>
        </w:rPr>
      </w:pPr>
      <w:r w:rsidRPr="00B004EE">
        <w:rPr>
          <w:rFonts w:ascii="Tahoma" w:hAnsi="Tahoma" w:cs="Tahoma"/>
          <w:sz w:val="20"/>
          <w:szCs w:val="20"/>
        </w:rPr>
        <w:t>Article</w:t>
      </w:r>
      <w:r w:rsidR="00DB1635" w:rsidRPr="00B004EE">
        <w:rPr>
          <w:rFonts w:ascii="Tahoma" w:hAnsi="Tahoma" w:cs="Tahoma"/>
          <w:sz w:val="20"/>
          <w:szCs w:val="20"/>
        </w:rPr>
        <w:t xml:space="preserve"> </w:t>
      </w:r>
      <w:r w:rsidRPr="00B004EE">
        <w:rPr>
          <w:rFonts w:ascii="Tahoma" w:hAnsi="Tahoma" w:cs="Tahoma"/>
          <w:sz w:val="20"/>
          <w:szCs w:val="20"/>
        </w:rPr>
        <w:t>23</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licence</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autorisation</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l’acte</w:t>
      </w:r>
      <w:r w:rsidR="00DB1635" w:rsidRPr="00B004EE">
        <w:rPr>
          <w:rFonts w:ascii="Tahoma" w:hAnsi="Tahoma" w:cs="Tahoma"/>
          <w:sz w:val="20"/>
          <w:szCs w:val="20"/>
        </w:rPr>
        <w:t xml:space="preserve"> </w:t>
      </w:r>
      <w:r w:rsidRPr="00B004EE">
        <w:rPr>
          <w:rFonts w:ascii="Tahoma" w:hAnsi="Tahoma" w:cs="Tahoma"/>
          <w:sz w:val="20"/>
          <w:szCs w:val="20"/>
        </w:rPr>
        <w:t>administratif,</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lequel</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ministre</w:t>
      </w:r>
      <w:r w:rsidR="00DB1635" w:rsidRPr="00B004EE">
        <w:rPr>
          <w:rFonts w:ascii="Tahoma" w:hAnsi="Tahoma" w:cs="Tahoma"/>
          <w:sz w:val="20"/>
          <w:szCs w:val="20"/>
        </w:rPr>
        <w:t xml:space="preserve"> </w:t>
      </w:r>
      <w:r w:rsidRPr="00B004EE">
        <w:rPr>
          <w:rFonts w:ascii="Tahoma" w:hAnsi="Tahoma" w:cs="Tahoma"/>
          <w:sz w:val="20"/>
          <w:szCs w:val="20"/>
        </w:rPr>
        <w:t>chargé</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sz w:val="20"/>
          <w:szCs w:val="20"/>
        </w:rPr>
        <w:t xml:space="preserve"> </w:t>
      </w:r>
      <w:r w:rsidRPr="00B004EE">
        <w:rPr>
          <w:rFonts w:ascii="Tahoma" w:hAnsi="Tahoma" w:cs="Tahoma"/>
          <w:sz w:val="20"/>
          <w:szCs w:val="20"/>
        </w:rPr>
        <w:t>confère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navire</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droit</w:t>
      </w:r>
      <w:r w:rsidR="00DB1635" w:rsidRPr="00B004EE">
        <w:rPr>
          <w:rFonts w:ascii="Tahoma" w:hAnsi="Tahoma" w:cs="Tahoma"/>
          <w:sz w:val="20"/>
          <w:szCs w:val="20"/>
        </w:rPr>
        <w:t xml:space="preserve"> </w:t>
      </w:r>
      <w:r w:rsidRPr="00B004EE">
        <w:rPr>
          <w:rFonts w:ascii="Tahoma" w:hAnsi="Tahoma" w:cs="Tahoma"/>
          <w:sz w:val="20"/>
          <w:szCs w:val="20"/>
        </w:rPr>
        <w:t>d'exercer</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eaux</w:t>
      </w:r>
      <w:r w:rsidR="00DB1635" w:rsidRPr="00B004EE">
        <w:rPr>
          <w:rFonts w:ascii="Tahoma" w:hAnsi="Tahoma" w:cs="Tahoma"/>
          <w:sz w:val="20"/>
          <w:szCs w:val="20"/>
        </w:rPr>
        <w:t xml:space="preserve"> </w:t>
      </w:r>
      <w:r w:rsidRPr="00B004EE">
        <w:rPr>
          <w:rFonts w:ascii="Tahoma" w:hAnsi="Tahoma" w:cs="Tahoma"/>
          <w:sz w:val="20"/>
          <w:szCs w:val="20"/>
        </w:rPr>
        <w:t>sous</w:t>
      </w:r>
      <w:r w:rsidR="00DB1635" w:rsidRPr="00B004EE">
        <w:rPr>
          <w:rFonts w:ascii="Tahoma" w:hAnsi="Tahoma" w:cs="Tahoma"/>
          <w:sz w:val="20"/>
          <w:szCs w:val="20"/>
        </w:rPr>
        <w:t xml:space="preserve"> </w:t>
      </w:r>
      <w:r w:rsidRPr="00B004EE">
        <w:rPr>
          <w:rFonts w:ascii="Tahoma" w:hAnsi="Tahoma" w:cs="Tahoma"/>
          <w:sz w:val="20"/>
          <w:szCs w:val="20"/>
        </w:rPr>
        <w:t>juridiction</w:t>
      </w:r>
      <w:r w:rsidR="00DB1635" w:rsidRPr="00B004EE">
        <w:rPr>
          <w:rFonts w:ascii="Tahoma" w:hAnsi="Tahoma" w:cs="Tahoma"/>
          <w:sz w:val="20"/>
          <w:szCs w:val="20"/>
        </w:rPr>
        <w:t xml:space="preserve"> </w:t>
      </w:r>
      <w:r w:rsidRPr="00B004EE">
        <w:rPr>
          <w:rFonts w:ascii="Tahoma" w:hAnsi="Tahoma" w:cs="Tahoma"/>
          <w:sz w:val="20"/>
          <w:szCs w:val="20"/>
        </w:rPr>
        <w:t>mauritanienne</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cadre</w:t>
      </w:r>
      <w:r w:rsidR="00DB1635" w:rsidRPr="00B004EE">
        <w:rPr>
          <w:rFonts w:ascii="Tahoma" w:hAnsi="Tahoma" w:cs="Tahoma"/>
          <w:sz w:val="20"/>
          <w:szCs w:val="20"/>
        </w:rPr>
        <w:t xml:space="preserve"> </w:t>
      </w:r>
      <w:r w:rsidRPr="00B004EE">
        <w:rPr>
          <w:rFonts w:ascii="Tahoma" w:hAnsi="Tahoma" w:cs="Tahoma"/>
          <w:sz w:val="20"/>
          <w:szCs w:val="20"/>
        </w:rPr>
        <w:t>d'une</w:t>
      </w:r>
      <w:r w:rsidR="00DB1635" w:rsidRPr="00B004EE">
        <w:rPr>
          <w:rFonts w:ascii="Tahoma" w:hAnsi="Tahoma" w:cs="Tahoma"/>
          <w:sz w:val="20"/>
          <w:szCs w:val="20"/>
        </w:rPr>
        <w:t xml:space="preserve"> </w:t>
      </w:r>
      <w:r w:rsidRPr="00B004EE">
        <w:rPr>
          <w:rFonts w:ascii="Tahoma" w:hAnsi="Tahoma" w:cs="Tahoma"/>
          <w:sz w:val="20"/>
          <w:szCs w:val="20"/>
        </w:rPr>
        <w:t>concession</w:t>
      </w:r>
      <w:r w:rsidR="00DB1635" w:rsidRPr="00B004EE">
        <w:rPr>
          <w:rFonts w:ascii="Tahoma" w:hAnsi="Tahoma" w:cs="Tahoma"/>
          <w:sz w:val="20"/>
          <w:szCs w:val="20"/>
        </w:rPr>
        <w:t xml:space="preserve"> </w:t>
      </w:r>
      <w:r w:rsidRPr="00B004EE">
        <w:rPr>
          <w:rFonts w:ascii="Tahoma" w:hAnsi="Tahoma" w:cs="Tahoma"/>
          <w:sz w:val="20"/>
          <w:szCs w:val="20"/>
        </w:rPr>
        <w:t>d'un</w:t>
      </w:r>
      <w:r w:rsidR="00DB1635" w:rsidRPr="00B004EE">
        <w:rPr>
          <w:rFonts w:ascii="Tahoma" w:hAnsi="Tahoma" w:cs="Tahoma"/>
          <w:sz w:val="20"/>
          <w:szCs w:val="20"/>
        </w:rPr>
        <w:t xml:space="preserve"> </w:t>
      </w:r>
      <w:r w:rsidRPr="00B004EE">
        <w:rPr>
          <w:rFonts w:ascii="Tahoma" w:hAnsi="Tahoma" w:cs="Tahoma"/>
          <w:sz w:val="20"/>
          <w:szCs w:val="20"/>
        </w:rPr>
        <w:t>droit</w:t>
      </w:r>
      <w:r w:rsidR="00DB1635" w:rsidRPr="00B004EE">
        <w:rPr>
          <w:rFonts w:ascii="Tahoma" w:hAnsi="Tahoma" w:cs="Tahoma"/>
          <w:sz w:val="20"/>
          <w:szCs w:val="20"/>
        </w:rPr>
        <w:t xml:space="preserve"> </w:t>
      </w:r>
      <w:r w:rsidRPr="00B004EE">
        <w:rPr>
          <w:rFonts w:ascii="Tahoma" w:hAnsi="Tahoma" w:cs="Tahoma"/>
          <w:sz w:val="20"/>
          <w:szCs w:val="20"/>
        </w:rPr>
        <w:t>d'usage.</w:t>
      </w:r>
      <w:r w:rsidR="00DB1635" w:rsidRPr="00B004EE">
        <w:rPr>
          <w:rFonts w:ascii="Tahoma" w:hAnsi="Tahoma" w:cs="Tahoma"/>
          <w:sz w:val="20"/>
          <w:szCs w:val="20"/>
        </w:rPr>
        <w:t xml:space="preserve"> </w:t>
      </w:r>
    </w:p>
    <w:p w14:paraId="74C989FF" w14:textId="77777777" w:rsidR="008518B0" w:rsidRPr="00B004EE" w:rsidRDefault="008518B0" w:rsidP="00B004EE">
      <w:pPr>
        <w:pStyle w:val="article"/>
        <w:numPr>
          <w:ilvl w:val="0"/>
          <w:numId w:val="0"/>
        </w:numPr>
        <w:tabs>
          <w:tab w:val="left" w:pos="1200"/>
        </w:tabs>
        <w:spacing w:before="0" w:line="240" w:lineRule="auto"/>
        <w:rPr>
          <w:rFonts w:ascii="Tahoma" w:hAnsi="Tahoma" w:cs="Tahoma"/>
          <w:sz w:val="20"/>
          <w:szCs w:val="20"/>
        </w:rPr>
      </w:pPr>
    </w:p>
    <w:p w14:paraId="72BFEF79" w14:textId="2AF09959" w:rsidR="008518B0" w:rsidRPr="00B004EE" w:rsidRDefault="008518B0" w:rsidP="00B004EE">
      <w:pPr>
        <w:pStyle w:val="article"/>
        <w:numPr>
          <w:ilvl w:val="0"/>
          <w:numId w:val="0"/>
        </w:numPr>
        <w:tabs>
          <w:tab w:val="left" w:pos="1200"/>
        </w:tabs>
        <w:spacing w:before="0" w:line="240" w:lineRule="auto"/>
        <w:rPr>
          <w:rFonts w:ascii="Tahoma" w:hAnsi="Tahoma" w:cs="Tahoma"/>
          <w:sz w:val="20"/>
          <w:szCs w:val="20"/>
        </w:rPr>
      </w:pPr>
      <w:r w:rsidRPr="00B004EE">
        <w:rPr>
          <w:rFonts w:ascii="Tahoma" w:hAnsi="Tahoma" w:cs="Tahoma"/>
          <w:sz w:val="20"/>
          <w:szCs w:val="20"/>
        </w:rPr>
        <w:t>Article</w:t>
      </w:r>
      <w:r w:rsidR="00DB1635" w:rsidRPr="00B004EE">
        <w:rPr>
          <w:rFonts w:ascii="Tahoma" w:hAnsi="Tahoma" w:cs="Tahoma"/>
          <w:sz w:val="20"/>
          <w:szCs w:val="20"/>
        </w:rPr>
        <w:t xml:space="preserve"> </w:t>
      </w:r>
      <w:r w:rsidRPr="00B004EE">
        <w:rPr>
          <w:rFonts w:ascii="Tahoma" w:hAnsi="Tahoma" w:cs="Tahoma"/>
          <w:sz w:val="20"/>
          <w:szCs w:val="20"/>
        </w:rPr>
        <w:t>24</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demandes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licence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adressées</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ministère</w:t>
      </w:r>
      <w:r w:rsidR="00DB1635" w:rsidRPr="00B004EE">
        <w:rPr>
          <w:rFonts w:ascii="Tahoma" w:hAnsi="Tahoma" w:cs="Tahoma"/>
          <w:sz w:val="20"/>
          <w:szCs w:val="20"/>
        </w:rPr>
        <w:t xml:space="preserve"> </w:t>
      </w:r>
      <w:r w:rsidRPr="00B004EE">
        <w:rPr>
          <w:rFonts w:ascii="Tahoma" w:hAnsi="Tahoma" w:cs="Tahoma"/>
          <w:sz w:val="20"/>
          <w:szCs w:val="20"/>
        </w:rPr>
        <w:t>chargé</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signées</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concessionnaire</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son</w:t>
      </w:r>
      <w:r w:rsidR="00DB1635" w:rsidRPr="00B004EE">
        <w:rPr>
          <w:rFonts w:ascii="Tahoma" w:hAnsi="Tahoma" w:cs="Tahoma"/>
          <w:sz w:val="20"/>
          <w:szCs w:val="20"/>
        </w:rPr>
        <w:t xml:space="preserve"> </w:t>
      </w:r>
      <w:r w:rsidRPr="00B004EE">
        <w:rPr>
          <w:rFonts w:ascii="Tahoma" w:hAnsi="Tahoma" w:cs="Tahoma"/>
          <w:sz w:val="20"/>
          <w:szCs w:val="20"/>
        </w:rPr>
        <w:t>mandataire.</w:t>
      </w:r>
      <w:r w:rsidR="00DB1635" w:rsidRPr="00B004EE">
        <w:rPr>
          <w:rFonts w:ascii="Tahoma" w:hAnsi="Tahoma" w:cs="Tahoma"/>
          <w:sz w:val="20"/>
          <w:szCs w:val="20"/>
        </w:rPr>
        <w:t xml:space="preserve"> </w:t>
      </w:r>
      <w:r w:rsidRPr="00B004EE">
        <w:rPr>
          <w:rFonts w:ascii="Tahoma" w:hAnsi="Tahoma" w:cs="Tahoma"/>
          <w:sz w:val="20"/>
          <w:szCs w:val="20"/>
        </w:rPr>
        <w:t>Elles</w:t>
      </w:r>
      <w:r w:rsidR="00DB1635" w:rsidRPr="00B004EE">
        <w:rPr>
          <w:rFonts w:ascii="Tahoma" w:hAnsi="Tahoma" w:cs="Tahoma"/>
          <w:sz w:val="20"/>
          <w:szCs w:val="20"/>
        </w:rPr>
        <w:t xml:space="preserve"> </w:t>
      </w:r>
      <w:r w:rsidRPr="00B004EE">
        <w:rPr>
          <w:rFonts w:ascii="Tahoma" w:hAnsi="Tahoma" w:cs="Tahoma"/>
          <w:sz w:val="20"/>
          <w:szCs w:val="20"/>
        </w:rPr>
        <w:t>doivent</w:t>
      </w:r>
      <w:r w:rsidR="00DB1635" w:rsidRPr="00B004EE">
        <w:rPr>
          <w:rFonts w:ascii="Tahoma" w:hAnsi="Tahoma" w:cs="Tahoma"/>
          <w:sz w:val="20"/>
          <w:szCs w:val="20"/>
        </w:rPr>
        <w:t xml:space="preserve"> </w:t>
      </w:r>
      <w:r w:rsidRPr="00B004EE">
        <w:rPr>
          <w:rFonts w:ascii="Tahoma" w:hAnsi="Tahoma" w:cs="Tahoma"/>
          <w:sz w:val="20"/>
          <w:szCs w:val="20"/>
        </w:rPr>
        <w:t>comporter</w:t>
      </w:r>
      <w:r w:rsidR="00DB1635" w:rsidRPr="00B004EE">
        <w:rPr>
          <w:rFonts w:ascii="Tahoma" w:hAnsi="Tahoma" w:cs="Tahoma"/>
          <w:sz w:val="20"/>
          <w:szCs w:val="20"/>
        </w:rPr>
        <w:t xml:space="preserve"> </w:t>
      </w:r>
      <w:r w:rsidRPr="00B004EE">
        <w:rPr>
          <w:rFonts w:ascii="Tahoma" w:hAnsi="Tahoma" w:cs="Tahoma"/>
          <w:sz w:val="20"/>
          <w:szCs w:val="20"/>
        </w:rPr>
        <w:t>:</w:t>
      </w:r>
    </w:p>
    <w:p w14:paraId="308B838A" w14:textId="6D502A05" w:rsidR="008518B0" w:rsidRPr="00B004EE" w:rsidRDefault="008518B0" w:rsidP="00420DDA">
      <w:pPr>
        <w:numPr>
          <w:ilvl w:val="0"/>
          <w:numId w:val="49"/>
        </w:numPr>
        <w:tabs>
          <w:tab w:val="left" w:pos="-1440"/>
        </w:tabs>
        <w:ind w:left="426" w:hanging="284"/>
        <w:jc w:val="both"/>
        <w:rPr>
          <w:rFonts w:ascii="Tahoma" w:hAnsi="Tahoma" w:cs="Tahoma"/>
          <w:sz w:val="20"/>
          <w:szCs w:val="20"/>
        </w:rPr>
      </w:pPr>
      <w:proofErr w:type="gramStart"/>
      <w:r w:rsidRPr="00B004EE">
        <w:rPr>
          <w:rFonts w:ascii="Tahoma" w:hAnsi="Tahoma" w:cs="Tahoma"/>
          <w:sz w:val="20"/>
          <w:szCs w:val="20"/>
        </w:rPr>
        <w:t>le</w:t>
      </w:r>
      <w:proofErr w:type="gramEnd"/>
      <w:r w:rsidR="00DB1635" w:rsidRPr="00B004EE">
        <w:rPr>
          <w:rFonts w:ascii="Tahoma" w:hAnsi="Tahoma" w:cs="Tahoma"/>
          <w:sz w:val="20"/>
          <w:szCs w:val="20"/>
        </w:rPr>
        <w:t xml:space="preserve"> </w:t>
      </w:r>
      <w:r w:rsidRPr="00B004EE">
        <w:rPr>
          <w:rFonts w:ascii="Tahoma" w:hAnsi="Tahoma" w:cs="Tahoma"/>
          <w:sz w:val="20"/>
          <w:szCs w:val="20"/>
        </w:rPr>
        <w:t>certificat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nationalité</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navire;</w:t>
      </w:r>
    </w:p>
    <w:p w14:paraId="734220FE" w14:textId="1C374E91" w:rsidR="008518B0" w:rsidRPr="00B004EE" w:rsidRDefault="008518B0" w:rsidP="00420DDA">
      <w:pPr>
        <w:numPr>
          <w:ilvl w:val="0"/>
          <w:numId w:val="49"/>
        </w:numPr>
        <w:tabs>
          <w:tab w:val="left" w:pos="-1440"/>
        </w:tabs>
        <w:ind w:left="426" w:hanging="284"/>
        <w:jc w:val="both"/>
        <w:rPr>
          <w:rFonts w:ascii="Tahoma" w:hAnsi="Tahoma" w:cs="Tahoma"/>
          <w:sz w:val="20"/>
          <w:szCs w:val="20"/>
        </w:rPr>
      </w:pPr>
      <w:proofErr w:type="gramStart"/>
      <w:r w:rsidRPr="00B004EE">
        <w:rPr>
          <w:rFonts w:ascii="Tahoma" w:hAnsi="Tahoma" w:cs="Tahoma"/>
          <w:sz w:val="20"/>
          <w:szCs w:val="20"/>
        </w:rPr>
        <w:t>le</w:t>
      </w:r>
      <w:proofErr w:type="gramEnd"/>
      <w:r w:rsidR="00DB1635" w:rsidRPr="00B004EE">
        <w:rPr>
          <w:rFonts w:ascii="Tahoma" w:hAnsi="Tahoma" w:cs="Tahoma"/>
          <w:sz w:val="20"/>
          <w:szCs w:val="20"/>
        </w:rPr>
        <w:t xml:space="preserve"> </w:t>
      </w:r>
      <w:r w:rsidRPr="00B004EE">
        <w:rPr>
          <w:rFonts w:ascii="Tahoma" w:hAnsi="Tahoma" w:cs="Tahoma"/>
          <w:sz w:val="20"/>
          <w:szCs w:val="20"/>
        </w:rPr>
        <w:t>certificat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classification</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p>
    <w:p w14:paraId="4AF8A4A3" w14:textId="613AEBB6" w:rsidR="008518B0" w:rsidRPr="00B004EE" w:rsidRDefault="008518B0" w:rsidP="00420DDA">
      <w:pPr>
        <w:numPr>
          <w:ilvl w:val="0"/>
          <w:numId w:val="49"/>
        </w:numPr>
        <w:tabs>
          <w:tab w:val="left" w:pos="-1440"/>
        </w:tabs>
        <w:ind w:left="426" w:hanging="284"/>
        <w:jc w:val="both"/>
        <w:rPr>
          <w:rFonts w:ascii="Tahoma" w:hAnsi="Tahoma" w:cs="Tahoma"/>
          <w:sz w:val="20"/>
          <w:szCs w:val="20"/>
        </w:rPr>
      </w:pPr>
      <w:proofErr w:type="gramStart"/>
      <w:r w:rsidRPr="00B004EE">
        <w:rPr>
          <w:rFonts w:ascii="Tahoma" w:hAnsi="Tahoma" w:cs="Tahoma"/>
          <w:sz w:val="20"/>
          <w:szCs w:val="20"/>
        </w:rPr>
        <w:t>le</w:t>
      </w:r>
      <w:proofErr w:type="gramEnd"/>
      <w:r w:rsidR="00DB1635" w:rsidRPr="00B004EE">
        <w:rPr>
          <w:rFonts w:ascii="Tahoma" w:hAnsi="Tahoma" w:cs="Tahoma"/>
          <w:sz w:val="20"/>
          <w:szCs w:val="20"/>
        </w:rPr>
        <w:t xml:space="preserve"> </w:t>
      </w:r>
      <w:r w:rsidRPr="00B004EE">
        <w:rPr>
          <w:rFonts w:ascii="Tahoma" w:hAnsi="Tahoma" w:cs="Tahoma"/>
          <w:sz w:val="20"/>
          <w:szCs w:val="20"/>
        </w:rPr>
        <w:t>certificat</w:t>
      </w:r>
      <w:r w:rsidR="00DB1635" w:rsidRPr="00B004EE">
        <w:rPr>
          <w:rFonts w:ascii="Tahoma" w:hAnsi="Tahoma" w:cs="Tahoma"/>
          <w:sz w:val="20"/>
          <w:szCs w:val="20"/>
        </w:rPr>
        <w:t xml:space="preserve"> </w:t>
      </w:r>
      <w:r w:rsidRPr="00B004EE">
        <w:rPr>
          <w:rFonts w:ascii="Tahoma" w:hAnsi="Tahoma" w:cs="Tahoma"/>
          <w:sz w:val="20"/>
          <w:szCs w:val="20"/>
        </w:rPr>
        <w:t>d'immatriculation</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p>
    <w:p w14:paraId="3FD0DE80" w14:textId="56DF9AC0" w:rsidR="008518B0" w:rsidRPr="00B004EE" w:rsidRDefault="008518B0" w:rsidP="00420DDA">
      <w:pPr>
        <w:numPr>
          <w:ilvl w:val="0"/>
          <w:numId w:val="49"/>
        </w:numPr>
        <w:tabs>
          <w:tab w:val="left" w:pos="-1440"/>
        </w:tabs>
        <w:ind w:left="426" w:hanging="284"/>
        <w:jc w:val="both"/>
        <w:rPr>
          <w:rFonts w:ascii="Tahoma" w:hAnsi="Tahoma" w:cs="Tahoma"/>
          <w:sz w:val="20"/>
          <w:szCs w:val="20"/>
        </w:rPr>
      </w:pPr>
      <w:proofErr w:type="gramStart"/>
      <w:r w:rsidRPr="00B004EE">
        <w:rPr>
          <w:rFonts w:ascii="Tahoma" w:hAnsi="Tahoma" w:cs="Tahoma"/>
          <w:sz w:val="20"/>
          <w:szCs w:val="20"/>
        </w:rPr>
        <w:t>le</w:t>
      </w:r>
      <w:proofErr w:type="gramEnd"/>
      <w:r w:rsidR="00DB1635" w:rsidRPr="00B004EE">
        <w:rPr>
          <w:rFonts w:ascii="Tahoma" w:hAnsi="Tahoma" w:cs="Tahoma"/>
          <w:sz w:val="20"/>
          <w:szCs w:val="20"/>
        </w:rPr>
        <w:t xml:space="preserve"> </w:t>
      </w:r>
      <w:r w:rsidRPr="00B004EE">
        <w:rPr>
          <w:rFonts w:ascii="Tahoma" w:hAnsi="Tahoma" w:cs="Tahoma"/>
          <w:sz w:val="20"/>
          <w:szCs w:val="20"/>
        </w:rPr>
        <w:t>certificat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sécurité</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p>
    <w:p w14:paraId="4AF4B3CF" w14:textId="6EBAB948" w:rsidR="008518B0" w:rsidRPr="00B004EE" w:rsidRDefault="008518B0" w:rsidP="00420DDA">
      <w:pPr>
        <w:numPr>
          <w:ilvl w:val="0"/>
          <w:numId w:val="49"/>
        </w:numPr>
        <w:tabs>
          <w:tab w:val="left" w:pos="-1440"/>
        </w:tabs>
        <w:ind w:left="426" w:hanging="284"/>
        <w:jc w:val="both"/>
        <w:rPr>
          <w:rFonts w:ascii="Tahoma" w:hAnsi="Tahoma" w:cs="Tahoma"/>
          <w:sz w:val="20"/>
          <w:szCs w:val="20"/>
        </w:rPr>
      </w:pPr>
      <w:proofErr w:type="gramStart"/>
      <w:r w:rsidRPr="00B004EE">
        <w:rPr>
          <w:rFonts w:ascii="Tahoma" w:hAnsi="Tahoma" w:cs="Tahoma"/>
          <w:sz w:val="20"/>
          <w:szCs w:val="20"/>
        </w:rPr>
        <w:t>la</w:t>
      </w:r>
      <w:proofErr w:type="gramEnd"/>
      <w:r w:rsidR="00DB1635" w:rsidRPr="00B004EE">
        <w:rPr>
          <w:rFonts w:ascii="Tahoma" w:hAnsi="Tahoma" w:cs="Tahoma"/>
          <w:sz w:val="20"/>
          <w:szCs w:val="20"/>
        </w:rPr>
        <w:t xml:space="preserve"> </w:t>
      </w:r>
      <w:r w:rsidRPr="00B004EE">
        <w:rPr>
          <w:rFonts w:ascii="Tahoma" w:hAnsi="Tahoma" w:cs="Tahoma"/>
          <w:sz w:val="20"/>
          <w:szCs w:val="20"/>
        </w:rPr>
        <w:t>licence</w:t>
      </w:r>
      <w:r w:rsidR="00DB1635" w:rsidRPr="00B004EE">
        <w:rPr>
          <w:rFonts w:ascii="Tahoma" w:hAnsi="Tahoma" w:cs="Tahoma"/>
          <w:sz w:val="20"/>
          <w:szCs w:val="20"/>
        </w:rPr>
        <w:t xml:space="preserve"> </w:t>
      </w:r>
      <w:r w:rsidRPr="00B004EE">
        <w:rPr>
          <w:rFonts w:ascii="Tahoma" w:hAnsi="Tahoma" w:cs="Tahoma"/>
          <w:sz w:val="20"/>
          <w:szCs w:val="20"/>
        </w:rPr>
        <w:t>Radio</w:t>
      </w:r>
      <w:r w:rsidR="00DB1635" w:rsidRPr="00B004EE">
        <w:rPr>
          <w:rFonts w:ascii="Tahoma" w:hAnsi="Tahoma" w:cs="Tahoma"/>
          <w:sz w:val="20"/>
          <w:szCs w:val="20"/>
        </w:rPr>
        <w:t xml:space="preserve"> </w:t>
      </w:r>
      <w:r w:rsidRPr="00B004EE">
        <w:rPr>
          <w:rFonts w:ascii="Tahoma" w:hAnsi="Tahoma" w:cs="Tahoma"/>
          <w:sz w:val="20"/>
          <w:szCs w:val="20"/>
        </w:rPr>
        <w:t>;</w:t>
      </w:r>
    </w:p>
    <w:p w14:paraId="28A2E7D7" w14:textId="5349568F" w:rsidR="008518B0" w:rsidRPr="00B004EE" w:rsidRDefault="008518B0" w:rsidP="00420DDA">
      <w:pPr>
        <w:numPr>
          <w:ilvl w:val="0"/>
          <w:numId w:val="49"/>
        </w:numPr>
        <w:tabs>
          <w:tab w:val="left" w:pos="-1440"/>
        </w:tabs>
        <w:ind w:left="426" w:hanging="284"/>
        <w:jc w:val="both"/>
        <w:rPr>
          <w:rFonts w:ascii="Tahoma" w:hAnsi="Tahoma" w:cs="Tahoma"/>
          <w:sz w:val="20"/>
          <w:szCs w:val="20"/>
        </w:rPr>
      </w:pPr>
      <w:proofErr w:type="gramStart"/>
      <w:r w:rsidRPr="00B004EE">
        <w:rPr>
          <w:rFonts w:ascii="Tahoma" w:hAnsi="Tahoma" w:cs="Tahoma"/>
          <w:sz w:val="20"/>
          <w:szCs w:val="20"/>
        </w:rPr>
        <w:t>le</w:t>
      </w:r>
      <w:proofErr w:type="gramEnd"/>
      <w:r w:rsidR="00DB1635" w:rsidRPr="00B004EE">
        <w:rPr>
          <w:rFonts w:ascii="Tahoma" w:hAnsi="Tahoma" w:cs="Tahoma"/>
          <w:sz w:val="20"/>
          <w:szCs w:val="20"/>
        </w:rPr>
        <w:t xml:space="preserve"> </w:t>
      </w:r>
      <w:r w:rsidRPr="00B004EE">
        <w:rPr>
          <w:rFonts w:ascii="Tahoma" w:hAnsi="Tahoma" w:cs="Tahoma"/>
          <w:sz w:val="20"/>
          <w:szCs w:val="20"/>
        </w:rPr>
        <w:t>certificat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jaugeage;</w:t>
      </w:r>
      <w:r w:rsidR="00DB1635" w:rsidRPr="00B004EE">
        <w:rPr>
          <w:rFonts w:ascii="Tahoma" w:hAnsi="Tahoma" w:cs="Tahoma"/>
          <w:sz w:val="20"/>
          <w:szCs w:val="20"/>
        </w:rPr>
        <w:t xml:space="preserve"> </w:t>
      </w:r>
    </w:p>
    <w:p w14:paraId="0CA4DC34" w14:textId="2A3888AC" w:rsidR="008518B0" w:rsidRPr="00B004EE" w:rsidRDefault="008518B0" w:rsidP="00420DDA">
      <w:pPr>
        <w:numPr>
          <w:ilvl w:val="0"/>
          <w:numId w:val="49"/>
        </w:numPr>
        <w:tabs>
          <w:tab w:val="left" w:pos="-1440"/>
        </w:tabs>
        <w:ind w:left="426" w:hanging="284"/>
        <w:jc w:val="both"/>
        <w:rPr>
          <w:rFonts w:ascii="Tahoma" w:hAnsi="Tahoma" w:cs="Tahoma"/>
          <w:sz w:val="20"/>
          <w:szCs w:val="20"/>
        </w:rPr>
      </w:pPr>
      <w:proofErr w:type="gramStart"/>
      <w:r w:rsidRPr="00B004EE">
        <w:rPr>
          <w:rFonts w:ascii="Tahoma" w:hAnsi="Tahoma" w:cs="Tahoma"/>
          <w:sz w:val="20"/>
          <w:szCs w:val="20"/>
        </w:rPr>
        <w:t>le</w:t>
      </w:r>
      <w:proofErr w:type="gramEnd"/>
      <w:r w:rsidR="00DB1635" w:rsidRPr="00B004EE">
        <w:rPr>
          <w:rFonts w:ascii="Tahoma" w:hAnsi="Tahoma" w:cs="Tahoma"/>
          <w:sz w:val="20"/>
          <w:szCs w:val="20"/>
        </w:rPr>
        <w:t xml:space="preserve"> </w:t>
      </w:r>
      <w:r w:rsidRPr="00B004EE">
        <w:rPr>
          <w:rFonts w:ascii="Tahoma" w:hAnsi="Tahoma" w:cs="Tahoma"/>
          <w:sz w:val="20"/>
          <w:szCs w:val="20"/>
        </w:rPr>
        <w:t>certificat</w:t>
      </w:r>
      <w:r w:rsidR="00DB1635" w:rsidRPr="00B004EE">
        <w:rPr>
          <w:rFonts w:ascii="Tahoma" w:hAnsi="Tahoma" w:cs="Tahoma"/>
          <w:sz w:val="20"/>
          <w:szCs w:val="20"/>
        </w:rPr>
        <w:t xml:space="preserve"> </w:t>
      </w:r>
      <w:r w:rsidRPr="00B004EE">
        <w:rPr>
          <w:rFonts w:ascii="Tahoma" w:hAnsi="Tahoma" w:cs="Tahoma"/>
          <w:sz w:val="20"/>
          <w:szCs w:val="20"/>
        </w:rPr>
        <w:t>d'effectif</w:t>
      </w:r>
      <w:r w:rsidR="00DB1635" w:rsidRPr="00B004EE">
        <w:rPr>
          <w:rFonts w:ascii="Tahoma" w:hAnsi="Tahoma" w:cs="Tahoma"/>
          <w:sz w:val="20"/>
          <w:szCs w:val="20"/>
        </w:rPr>
        <w:t xml:space="preserve"> </w:t>
      </w:r>
      <w:r w:rsidRPr="00B004EE">
        <w:rPr>
          <w:rFonts w:ascii="Tahoma" w:hAnsi="Tahoma" w:cs="Tahoma"/>
          <w:sz w:val="20"/>
          <w:szCs w:val="20"/>
        </w:rPr>
        <w:t>minimum</w:t>
      </w:r>
      <w:r w:rsidR="00DB1635" w:rsidRPr="00B004EE">
        <w:rPr>
          <w:rFonts w:ascii="Tahoma" w:hAnsi="Tahoma" w:cs="Tahoma"/>
          <w:sz w:val="20"/>
          <w:szCs w:val="20"/>
        </w:rPr>
        <w:t xml:space="preserve"> </w:t>
      </w:r>
      <w:r w:rsidRPr="00B004EE">
        <w:rPr>
          <w:rFonts w:ascii="Tahoma" w:hAnsi="Tahoma" w:cs="Tahoma"/>
          <w:sz w:val="20"/>
          <w:szCs w:val="20"/>
        </w:rPr>
        <w:t>;</w:t>
      </w:r>
    </w:p>
    <w:p w14:paraId="2BA07A1A" w14:textId="3AF4275C" w:rsidR="008518B0" w:rsidRPr="00B004EE" w:rsidRDefault="008518B0" w:rsidP="00420DDA">
      <w:pPr>
        <w:numPr>
          <w:ilvl w:val="0"/>
          <w:numId w:val="49"/>
        </w:numPr>
        <w:tabs>
          <w:tab w:val="left" w:pos="-1440"/>
        </w:tabs>
        <w:ind w:left="426" w:hanging="284"/>
        <w:jc w:val="both"/>
        <w:rPr>
          <w:rFonts w:ascii="Tahoma" w:hAnsi="Tahoma" w:cs="Tahoma"/>
          <w:sz w:val="20"/>
          <w:szCs w:val="20"/>
        </w:rPr>
      </w:pPr>
      <w:proofErr w:type="gramStart"/>
      <w:r w:rsidRPr="00B004EE">
        <w:rPr>
          <w:rFonts w:ascii="Tahoma" w:hAnsi="Tahoma" w:cs="Tahoma"/>
          <w:sz w:val="20"/>
          <w:szCs w:val="20"/>
        </w:rPr>
        <w:t>le</w:t>
      </w:r>
      <w:proofErr w:type="gramEnd"/>
      <w:r w:rsidR="00DB1635" w:rsidRPr="00B004EE">
        <w:rPr>
          <w:rFonts w:ascii="Tahoma" w:hAnsi="Tahoma" w:cs="Tahoma"/>
          <w:sz w:val="20"/>
          <w:szCs w:val="20"/>
        </w:rPr>
        <w:t xml:space="preserve"> </w:t>
      </w:r>
      <w:r w:rsidRPr="00B004EE">
        <w:rPr>
          <w:rFonts w:ascii="Tahoma" w:hAnsi="Tahoma" w:cs="Tahoma"/>
          <w:sz w:val="20"/>
          <w:szCs w:val="20"/>
        </w:rPr>
        <w:t>certificat</w:t>
      </w:r>
      <w:r w:rsidR="00DB1635" w:rsidRPr="00B004EE">
        <w:rPr>
          <w:rFonts w:ascii="Tahoma" w:hAnsi="Tahoma" w:cs="Tahoma"/>
          <w:sz w:val="20"/>
          <w:szCs w:val="20"/>
        </w:rPr>
        <w:t xml:space="preserve"> </w:t>
      </w:r>
      <w:r w:rsidRPr="00B004EE">
        <w:rPr>
          <w:rFonts w:ascii="Tahoma" w:hAnsi="Tahoma" w:cs="Tahoma"/>
          <w:sz w:val="20"/>
          <w:szCs w:val="20"/>
        </w:rPr>
        <w:t>d'assurance</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p>
    <w:p w14:paraId="46790EA9" w14:textId="2D212265" w:rsidR="008518B0" w:rsidRPr="00B004EE" w:rsidRDefault="008518B0" w:rsidP="00420DDA">
      <w:pPr>
        <w:numPr>
          <w:ilvl w:val="0"/>
          <w:numId w:val="49"/>
        </w:numPr>
        <w:tabs>
          <w:tab w:val="left" w:pos="-1440"/>
        </w:tabs>
        <w:ind w:left="426" w:hanging="284"/>
        <w:jc w:val="both"/>
        <w:rPr>
          <w:rFonts w:ascii="Tahoma" w:hAnsi="Tahoma" w:cs="Tahoma"/>
          <w:sz w:val="20"/>
          <w:szCs w:val="20"/>
        </w:rPr>
      </w:pPr>
      <w:proofErr w:type="gramStart"/>
      <w:r w:rsidRPr="00B004EE">
        <w:rPr>
          <w:rFonts w:ascii="Tahoma" w:hAnsi="Tahoma" w:cs="Tahoma"/>
          <w:sz w:val="20"/>
          <w:szCs w:val="20"/>
        </w:rPr>
        <w:t>le</w:t>
      </w:r>
      <w:proofErr w:type="gramEnd"/>
      <w:r w:rsidR="00DB1635" w:rsidRPr="00B004EE">
        <w:rPr>
          <w:rFonts w:ascii="Tahoma" w:hAnsi="Tahoma" w:cs="Tahoma"/>
          <w:sz w:val="20"/>
          <w:szCs w:val="20"/>
        </w:rPr>
        <w:t xml:space="preserve"> </w:t>
      </w:r>
      <w:r w:rsidRPr="00B004EE">
        <w:rPr>
          <w:rFonts w:ascii="Tahoma" w:hAnsi="Tahoma" w:cs="Tahoma"/>
          <w:sz w:val="20"/>
          <w:szCs w:val="20"/>
        </w:rPr>
        <w:t>rôle</w:t>
      </w:r>
      <w:r w:rsidR="00DB1635" w:rsidRPr="00B004EE">
        <w:rPr>
          <w:rFonts w:ascii="Tahoma" w:hAnsi="Tahoma" w:cs="Tahoma"/>
          <w:sz w:val="20"/>
          <w:szCs w:val="20"/>
        </w:rPr>
        <w:t xml:space="preserve"> </w:t>
      </w:r>
      <w:r w:rsidRPr="00B004EE">
        <w:rPr>
          <w:rFonts w:ascii="Tahoma" w:hAnsi="Tahoma" w:cs="Tahoma"/>
          <w:sz w:val="20"/>
          <w:szCs w:val="20"/>
        </w:rPr>
        <w:t>d'équipage</w:t>
      </w:r>
      <w:r w:rsidR="00DB1635" w:rsidRPr="00B004EE">
        <w:rPr>
          <w:rFonts w:ascii="Tahoma" w:hAnsi="Tahoma" w:cs="Tahoma"/>
          <w:sz w:val="20"/>
          <w:szCs w:val="20"/>
        </w:rPr>
        <w:t xml:space="preserve"> </w:t>
      </w:r>
      <w:r w:rsidRPr="00B004EE">
        <w:rPr>
          <w:rFonts w:ascii="Tahoma" w:hAnsi="Tahoma" w:cs="Tahoma"/>
          <w:sz w:val="20"/>
          <w:szCs w:val="20"/>
        </w:rPr>
        <w:t>;</w:t>
      </w:r>
    </w:p>
    <w:p w14:paraId="2D3453B8" w14:textId="594F4108" w:rsidR="008518B0" w:rsidRPr="00B004EE" w:rsidRDefault="008518B0" w:rsidP="00420DDA">
      <w:pPr>
        <w:numPr>
          <w:ilvl w:val="0"/>
          <w:numId w:val="49"/>
        </w:numPr>
        <w:tabs>
          <w:tab w:val="left" w:pos="-1440"/>
        </w:tabs>
        <w:ind w:left="426" w:hanging="284"/>
        <w:jc w:val="both"/>
        <w:rPr>
          <w:rFonts w:ascii="Tahoma" w:hAnsi="Tahoma" w:cs="Tahoma"/>
          <w:sz w:val="20"/>
          <w:szCs w:val="20"/>
        </w:rPr>
      </w:pPr>
      <w:proofErr w:type="gramStart"/>
      <w:r w:rsidRPr="00B004EE">
        <w:rPr>
          <w:rFonts w:ascii="Tahoma" w:hAnsi="Tahoma" w:cs="Tahoma"/>
          <w:sz w:val="20"/>
          <w:szCs w:val="20"/>
        </w:rPr>
        <w:t>le</w:t>
      </w:r>
      <w:proofErr w:type="gramEnd"/>
      <w:r w:rsidR="00DB1635" w:rsidRPr="00B004EE">
        <w:rPr>
          <w:rFonts w:ascii="Tahoma" w:hAnsi="Tahoma" w:cs="Tahoma"/>
          <w:sz w:val="20"/>
          <w:szCs w:val="20"/>
        </w:rPr>
        <w:t xml:space="preserve"> </w:t>
      </w:r>
      <w:r w:rsidRPr="00B004EE">
        <w:rPr>
          <w:rFonts w:ascii="Tahoma" w:hAnsi="Tahoma" w:cs="Tahoma"/>
          <w:sz w:val="20"/>
          <w:szCs w:val="20"/>
        </w:rPr>
        <w:t>numéro</w:t>
      </w:r>
      <w:r w:rsidR="00DB1635" w:rsidRPr="00B004EE">
        <w:rPr>
          <w:rFonts w:ascii="Tahoma" w:hAnsi="Tahoma" w:cs="Tahoma"/>
          <w:sz w:val="20"/>
          <w:szCs w:val="20"/>
        </w:rPr>
        <w:t xml:space="preserve"> </w:t>
      </w:r>
      <w:r w:rsidRPr="00B004EE">
        <w:rPr>
          <w:rFonts w:ascii="Tahoma" w:hAnsi="Tahoma" w:cs="Tahoma"/>
          <w:sz w:val="20"/>
          <w:szCs w:val="20"/>
        </w:rPr>
        <w:t>ID</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balises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suivi</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positionnement;</w:t>
      </w:r>
    </w:p>
    <w:p w14:paraId="4B7C8A04" w14:textId="4AF0423F" w:rsidR="008518B0" w:rsidRPr="00B004EE" w:rsidRDefault="008518B0" w:rsidP="00420DDA">
      <w:pPr>
        <w:numPr>
          <w:ilvl w:val="0"/>
          <w:numId w:val="49"/>
        </w:numPr>
        <w:tabs>
          <w:tab w:val="left" w:pos="-1440"/>
        </w:tabs>
        <w:ind w:left="426" w:hanging="284"/>
        <w:jc w:val="both"/>
        <w:rPr>
          <w:rFonts w:ascii="Tahoma" w:hAnsi="Tahoma" w:cs="Tahoma"/>
          <w:sz w:val="20"/>
          <w:szCs w:val="20"/>
        </w:rPr>
      </w:pPr>
      <w:proofErr w:type="gramStart"/>
      <w:r w:rsidRPr="00B004EE">
        <w:rPr>
          <w:rFonts w:ascii="Tahoma" w:hAnsi="Tahoma" w:cs="Tahoma"/>
          <w:sz w:val="20"/>
          <w:szCs w:val="20"/>
        </w:rPr>
        <w:t>l’attestation</w:t>
      </w:r>
      <w:proofErr w:type="gramEnd"/>
      <w:r w:rsidR="00DB1635" w:rsidRPr="00B004EE">
        <w:rPr>
          <w:rFonts w:ascii="Tahoma" w:hAnsi="Tahoma" w:cs="Tahoma"/>
          <w:sz w:val="20"/>
          <w:szCs w:val="20"/>
        </w:rPr>
        <w:t xml:space="preserve"> </w:t>
      </w:r>
      <w:r w:rsidRPr="00B004EE">
        <w:rPr>
          <w:rFonts w:ascii="Tahoma" w:hAnsi="Tahoma" w:cs="Tahoma"/>
          <w:sz w:val="20"/>
          <w:szCs w:val="20"/>
        </w:rPr>
        <w:t>d'inscription</w:t>
      </w:r>
      <w:r w:rsidR="00DB1635" w:rsidRPr="00B004EE">
        <w:rPr>
          <w:rFonts w:ascii="Tahoma" w:hAnsi="Tahoma" w:cs="Tahoma"/>
          <w:sz w:val="20"/>
          <w:szCs w:val="20"/>
        </w:rPr>
        <w:t xml:space="preserve"> </w:t>
      </w:r>
      <w:r w:rsidRPr="00B004EE">
        <w:rPr>
          <w:rFonts w:ascii="Tahoma" w:hAnsi="Tahoma" w:cs="Tahoma"/>
          <w:sz w:val="20"/>
          <w:szCs w:val="20"/>
        </w:rPr>
        <w:t>sur</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registre</w:t>
      </w:r>
      <w:r w:rsidR="00DB1635" w:rsidRPr="00B004EE">
        <w:rPr>
          <w:rFonts w:ascii="Tahoma" w:hAnsi="Tahoma" w:cs="Tahoma"/>
          <w:sz w:val="20"/>
          <w:szCs w:val="20"/>
        </w:rPr>
        <w:t xml:space="preserve"> </w:t>
      </w:r>
      <w:r w:rsidRPr="00B004EE">
        <w:rPr>
          <w:rFonts w:ascii="Tahoma" w:hAnsi="Tahoma" w:cs="Tahoma"/>
          <w:sz w:val="20"/>
          <w:szCs w:val="20"/>
        </w:rPr>
        <w:t>national</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navires</w:t>
      </w:r>
      <w:r w:rsidR="00DB1635" w:rsidRPr="00B004EE">
        <w:rPr>
          <w:rFonts w:ascii="Tahoma" w:hAnsi="Tahoma" w:cs="Tahoma"/>
          <w:sz w:val="20"/>
          <w:szCs w:val="20"/>
        </w:rPr>
        <w:t xml:space="preserve"> </w:t>
      </w:r>
      <w:r w:rsidRPr="00B004EE">
        <w:rPr>
          <w:rFonts w:ascii="Tahoma" w:hAnsi="Tahoma" w:cs="Tahoma"/>
          <w:sz w:val="20"/>
          <w:szCs w:val="20"/>
        </w:rPr>
        <w:t>;</w:t>
      </w:r>
    </w:p>
    <w:p w14:paraId="03C7A2EF" w14:textId="5C7F876F" w:rsidR="008518B0" w:rsidRPr="00B004EE" w:rsidRDefault="008518B0" w:rsidP="00420DDA">
      <w:pPr>
        <w:numPr>
          <w:ilvl w:val="0"/>
          <w:numId w:val="49"/>
        </w:numPr>
        <w:tabs>
          <w:tab w:val="left" w:pos="-1440"/>
        </w:tabs>
        <w:ind w:left="426" w:hanging="284"/>
        <w:jc w:val="both"/>
        <w:rPr>
          <w:rFonts w:ascii="Tahoma" w:hAnsi="Tahoma" w:cs="Tahoma"/>
          <w:sz w:val="20"/>
          <w:szCs w:val="20"/>
        </w:rPr>
      </w:pPr>
      <w:proofErr w:type="gramStart"/>
      <w:r w:rsidRPr="00B004EE">
        <w:rPr>
          <w:rFonts w:ascii="Tahoma" w:hAnsi="Tahoma" w:cs="Tahoma"/>
          <w:sz w:val="20"/>
          <w:szCs w:val="20"/>
        </w:rPr>
        <w:t>le</w:t>
      </w:r>
      <w:proofErr w:type="gramEnd"/>
      <w:r w:rsidR="00DB1635" w:rsidRPr="00B004EE">
        <w:rPr>
          <w:rFonts w:ascii="Tahoma" w:hAnsi="Tahoma" w:cs="Tahoma"/>
          <w:sz w:val="20"/>
          <w:szCs w:val="20"/>
        </w:rPr>
        <w:t xml:space="preserve"> </w:t>
      </w:r>
      <w:r w:rsidRPr="00B004EE">
        <w:rPr>
          <w:rFonts w:ascii="Tahoma" w:hAnsi="Tahoma" w:cs="Tahoma"/>
          <w:sz w:val="20"/>
          <w:szCs w:val="20"/>
        </w:rPr>
        <w:t>mode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conservation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captures,</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nombre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capacité</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cales</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p>
    <w:p w14:paraId="1CC25862" w14:textId="7584D566" w:rsidR="008518B0" w:rsidRPr="00B004EE" w:rsidRDefault="008518B0" w:rsidP="00420DDA">
      <w:pPr>
        <w:numPr>
          <w:ilvl w:val="0"/>
          <w:numId w:val="49"/>
        </w:numPr>
        <w:tabs>
          <w:tab w:val="left" w:pos="-1440"/>
        </w:tabs>
        <w:ind w:left="426" w:hanging="284"/>
        <w:jc w:val="both"/>
        <w:rPr>
          <w:rFonts w:ascii="Tahoma" w:hAnsi="Tahoma" w:cs="Tahoma"/>
          <w:sz w:val="20"/>
          <w:szCs w:val="20"/>
        </w:rPr>
      </w:pPr>
      <w:proofErr w:type="gramStart"/>
      <w:r w:rsidRPr="00B004EE">
        <w:rPr>
          <w:rFonts w:ascii="Tahoma" w:hAnsi="Tahoma" w:cs="Tahoma"/>
          <w:sz w:val="20"/>
          <w:szCs w:val="20"/>
        </w:rPr>
        <w:t>les</w:t>
      </w:r>
      <w:proofErr w:type="gramEnd"/>
      <w:r w:rsidR="00DB1635" w:rsidRPr="00B004EE">
        <w:rPr>
          <w:rFonts w:ascii="Tahoma" w:hAnsi="Tahoma" w:cs="Tahoma"/>
          <w:sz w:val="20"/>
          <w:szCs w:val="20"/>
        </w:rPr>
        <w:t xml:space="preserve"> </w:t>
      </w:r>
      <w:r w:rsidRPr="00B004EE">
        <w:rPr>
          <w:rFonts w:ascii="Tahoma" w:hAnsi="Tahoma" w:cs="Tahoma"/>
          <w:sz w:val="20"/>
          <w:szCs w:val="20"/>
        </w:rPr>
        <w:t>caractéristiques</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treuil</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navires</w:t>
      </w:r>
      <w:r w:rsidR="00DB1635" w:rsidRPr="00B004EE">
        <w:rPr>
          <w:rFonts w:ascii="Tahoma" w:hAnsi="Tahoma" w:cs="Tahoma"/>
          <w:sz w:val="20"/>
          <w:szCs w:val="20"/>
        </w:rPr>
        <w:t xml:space="preserve"> </w:t>
      </w:r>
      <w:r w:rsidRPr="00B004EE">
        <w:rPr>
          <w:rFonts w:ascii="Tahoma" w:hAnsi="Tahoma" w:cs="Tahoma"/>
          <w:sz w:val="20"/>
          <w:szCs w:val="20"/>
        </w:rPr>
        <w:t>chalutiers</w:t>
      </w:r>
      <w:r w:rsidR="00DB1635" w:rsidRPr="00B004EE">
        <w:rPr>
          <w:rFonts w:ascii="Tahoma" w:hAnsi="Tahoma" w:cs="Tahoma"/>
          <w:sz w:val="20"/>
          <w:szCs w:val="20"/>
        </w:rPr>
        <w:t xml:space="preserve"> </w:t>
      </w:r>
      <w:r w:rsidRPr="00B004EE">
        <w:rPr>
          <w:rFonts w:ascii="Tahoma" w:hAnsi="Tahoma" w:cs="Tahoma"/>
          <w:sz w:val="20"/>
          <w:szCs w:val="20"/>
        </w:rPr>
        <w:t>;</w:t>
      </w:r>
    </w:p>
    <w:p w14:paraId="66C56BDC" w14:textId="36316CC8" w:rsidR="008518B0" w:rsidRPr="00B004EE" w:rsidRDefault="008518B0" w:rsidP="00420DDA">
      <w:pPr>
        <w:numPr>
          <w:ilvl w:val="0"/>
          <w:numId w:val="49"/>
        </w:numPr>
        <w:tabs>
          <w:tab w:val="left" w:pos="-1440"/>
        </w:tabs>
        <w:ind w:left="426" w:hanging="284"/>
        <w:jc w:val="both"/>
        <w:rPr>
          <w:rFonts w:ascii="Tahoma" w:hAnsi="Tahoma" w:cs="Tahoma"/>
          <w:sz w:val="20"/>
          <w:szCs w:val="20"/>
        </w:rPr>
      </w:pPr>
      <w:proofErr w:type="gramStart"/>
      <w:r w:rsidRPr="00B004EE">
        <w:rPr>
          <w:rFonts w:ascii="Tahoma" w:hAnsi="Tahoma" w:cs="Tahoma"/>
          <w:sz w:val="20"/>
          <w:szCs w:val="20"/>
        </w:rPr>
        <w:t>le</w:t>
      </w:r>
      <w:proofErr w:type="gramEnd"/>
      <w:r w:rsidR="00DB1635" w:rsidRPr="00B004EE">
        <w:rPr>
          <w:rFonts w:ascii="Tahoma" w:hAnsi="Tahoma" w:cs="Tahoma"/>
          <w:sz w:val="20"/>
          <w:szCs w:val="20"/>
        </w:rPr>
        <w:t xml:space="preserve"> </w:t>
      </w:r>
      <w:r w:rsidRPr="00B004EE">
        <w:rPr>
          <w:rFonts w:ascii="Tahoma" w:hAnsi="Tahoma" w:cs="Tahoma"/>
          <w:sz w:val="20"/>
          <w:szCs w:val="20"/>
        </w:rPr>
        <w:t>port</w:t>
      </w:r>
      <w:r w:rsidR="00DB1635" w:rsidRPr="00B004EE">
        <w:rPr>
          <w:rFonts w:ascii="Tahoma" w:hAnsi="Tahoma" w:cs="Tahoma"/>
          <w:sz w:val="20"/>
          <w:szCs w:val="20"/>
        </w:rPr>
        <w:t xml:space="preserve"> </w:t>
      </w:r>
      <w:r w:rsidRPr="00B004EE">
        <w:rPr>
          <w:rFonts w:ascii="Tahoma" w:hAnsi="Tahoma" w:cs="Tahoma"/>
          <w:sz w:val="20"/>
          <w:szCs w:val="20"/>
        </w:rPr>
        <w:t>d’attache;</w:t>
      </w:r>
      <w:r w:rsidR="00DB1635" w:rsidRPr="00B004EE">
        <w:rPr>
          <w:rFonts w:ascii="Tahoma" w:hAnsi="Tahoma" w:cs="Tahoma"/>
          <w:sz w:val="20"/>
          <w:szCs w:val="20"/>
        </w:rPr>
        <w:t xml:space="preserve"> </w:t>
      </w:r>
    </w:p>
    <w:p w14:paraId="3EC7C2F8" w14:textId="30D7A70E" w:rsidR="008518B0" w:rsidRPr="00B004EE" w:rsidRDefault="008518B0" w:rsidP="00420DDA">
      <w:pPr>
        <w:numPr>
          <w:ilvl w:val="0"/>
          <w:numId w:val="49"/>
        </w:numPr>
        <w:tabs>
          <w:tab w:val="left" w:pos="-1440"/>
        </w:tabs>
        <w:ind w:left="426" w:hanging="284"/>
        <w:jc w:val="both"/>
        <w:rPr>
          <w:rFonts w:ascii="Tahoma" w:hAnsi="Tahoma" w:cs="Tahoma"/>
          <w:sz w:val="20"/>
          <w:szCs w:val="20"/>
        </w:rPr>
      </w:pPr>
      <w:proofErr w:type="gramStart"/>
      <w:r w:rsidRPr="00B004EE">
        <w:rPr>
          <w:rFonts w:ascii="Tahoma" w:hAnsi="Tahoma" w:cs="Tahoma"/>
          <w:sz w:val="20"/>
          <w:szCs w:val="20"/>
        </w:rPr>
        <w:t>une</w:t>
      </w:r>
      <w:proofErr w:type="gramEnd"/>
      <w:r w:rsidR="00DB1635" w:rsidRPr="00B004EE">
        <w:rPr>
          <w:rFonts w:ascii="Tahoma" w:hAnsi="Tahoma" w:cs="Tahoma"/>
          <w:sz w:val="20"/>
          <w:szCs w:val="20"/>
        </w:rPr>
        <w:t xml:space="preserve"> </w:t>
      </w:r>
      <w:r w:rsidRPr="00B004EE">
        <w:rPr>
          <w:rFonts w:ascii="Tahoma" w:hAnsi="Tahoma" w:cs="Tahoma"/>
          <w:sz w:val="20"/>
          <w:szCs w:val="20"/>
        </w:rPr>
        <w:t>photographie</w:t>
      </w:r>
      <w:r w:rsidR="00DB1635" w:rsidRPr="00B004EE">
        <w:rPr>
          <w:rFonts w:ascii="Tahoma" w:hAnsi="Tahoma" w:cs="Tahoma"/>
          <w:sz w:val="20"/>
          <w:szCs w:val="20"/>
        </w:rPr>
        <w:t xml:space="preserve"> </w:t>
      </w:r>
      <w:r w:rsidRPr="00B004EE">
        <w:rPr>
          <w:rFonts w:ascii="Tahoma" w:hAnsi="Tahoma" w:cs="Tahoma"/>
          <w:sz w:val="20"/>
          <w:szCs w:val="20"/>
        </w:rPr>
        <w:t>récente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l’ensemble</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navire</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format</w:t>
      </w:r>
      <w:r w:rsidR="00DB1635" w:rsidRPr="00B004EE">
        <w:rPr>
          <w:rFonts w:ascii="Tahoma" w:hAnsi="Tahoma" w:cs="Tahoma"/>
          <w:sz w:val="20"/>
          <w:szCs w:val="20"/>
        </w:rPr>
        <w:t xml:space="preserve"> </w:t>
      </w:r>
      <w:r w:rsidRPr="00B004EE">
        <w:rPr>
          <w:rFonts w:ascii="Tahoma" w:hAnsi="Tahoma" w:cs="Tahoma"/>
          <w:sz w:val="20"/>
          <w:szCs w:val="20"/>
        </w:rPr>
        <w:t>numérique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papier</w:t>
      </w:r>
      <w:r w:rsidR="00DB1635" w:rsidRPr="00B004EE">
        <w:rPr>
          <w:rFonts w:ascii="Tahoma" w:hAnsi="Tahoma" w:cs="Tahoma"/>
          <w:sz w:val="20"/>
          <w:szCs w:val="20"/>
        </w:rPr>
        <w:t xml:space="preserve"> </w:t>
      </w:r>
      <w:r w:rsidRPr="00B004EE">
        <w:rPr>
          <w:rFonts w:ascii="Tahoma" w:hAnsi="Tahoma" w:cs="Tahoma"/>
          <w:sz w:val="20"/>
          <w:szCs w:val="20"/>
        </w:rPr>
        <w:t>;</w:t>
      </w:r>
    </w:p>
    <w:p w14:paraId="108F7B17" w14:textId="75A9318F" w:rsidR="008518B0" w:rsidRPr="00B004EE" w:rsidRDefault="008518B0" w:rsidP="00420DDA">
      <w:pPr>
        <w:numPr>
          <w:ilvl w:val="0"/>
          <w:numId w:val="49"/>
        </w:numPr>
        <w:tabs>
          <w:tab w:val="left" w:pos="-1440"/>
        </w:tabs>
        <w:ind w:left="426" w:hanging="284"/>
        <w:jc w:val="both"/>
        <w:rPr>
          <w:rFonts w:ascii="Tahoma" w:hAnsi="Tahoma" w:cs="Tahoma"/>
          <w:sz w:val="20"/>
          <w:szCs w:val="20"/>
        </w:rPr>
      </w:pPr>
      <w:proofErr w:type="gramStart"/>
      <w:r w:rsidRPr="00B004EE">
        <w:rPr>
          <w:rFonts w:ascii="Tahoma" w:hAnsi="Tahoma" w:cs="Tahoma"/>
          <w:sz w:val="20"/>
          <w:szCs w:val="20"/>
        </w:rPr>
        <w:t>le</w:t>
      </w:r>
      <w:proofErr w:type="gramEnd"/>
      <w:r w:rsidR="00DB1635" w:rsidRPr="00B004EE">
        <w:rPr>
          <w:rFonts w:ascii="Tahoma" w:hAnsi="Tahoma" w:cs="Tahoma"/>
          <w:sz w:val="20"/>
          <w:szCs w:val="20"/>
        </w:rPr>
        <w:t xml:space="preserve"> </w:t>
      </w:r>
      <w:r w:rsidRPr="00B004EE">
        <w:rPr>
          <w:rFonts w:ascii="Tahoma" w:hAnsi="Tahoma" w:cs="Tahoma"/>
          <w:sz w:val="20"/>
          <w:szCs w:val="20"/>
        </w:rPr>
        <w:t>nom</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nationalité</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capitaine</w:t>
      </w:r>
      <w:r w:rsidR="00DB1635" w:rsidRPr="00B004EE">
        <w:rPr>
          <w:rFonts w:ascii="Tahoma" w:hAnsi="Tahoma" w:cs="Tahoma"/>
          <w:sz w:val="20"/>
          <w:szCs w:val="20"/>
        </w:rPr>
        <w:t xml:space="preserve"> </w:t>
      </w:r>
      <w:r w:rsidRPr="00B004EE">
        <w:rPr>
          <w:rFonts w:ascii="Tahoma" w:hAnsi="Tahoma" w:cs="Tahoma"/>
          <w:sz w:val="20"/>
          <w:szCs w:val="20"/>
        </w:rPr>
        <w:t>titulaire</w:t>
      </w:r>
      <w:r w:rsidR="00DB1635" w:rsidRPr="00B004EE">
        <w:rPr>
          <w:rFonts w:ascii="Tahoma" w:hAnsi="Tahoma" w:cs="Tahoma"/>
          <w:sz w:val="20"/>
          <w:szCs w:val="20"/>
        </w:rPr>
        <w:t xml:space="preserve"> </w:t>
      </w:r>
      <w:r w:rsidRPr="00B004EE">
        <w:rPr>
          <w:rFonts w:ascii="Tahoma" w:hAnsi="Tahoma" w:cs="Tahoma"/>
          <w:sz w:val="20"/>
          <w:szCs w:val="20"/>
        </w:rPr>
        <w:t>;</w:t>
      </w:r>
    </w:p>
    <w:p w14:paraId="6B71D068" w14:textId="0834E2D2" w:rsidR="008518B0" w:rsidRPr="00B004EE" w:rsidRDefault="008518B0" w:rsidP="00420DDA">
      <w:pPr>
        <w:numPr>
          <w:ilvl w:val="0"/>
          <w:numId w:val="49"/>
        </w:numPr>
        <w:tabs>
          <w:tab w:val="left" w:pos="-1440"/>
        </w:tabs>
        <w:ind w:left="426" w:hanging="284"/>
        <w:jc w:val="both"/>
        <w:rPr>
          <w:rFonts w:ascii="Tahoma" w:hAnsi="Tahoma" w:cs="Tahoma"/>
          <w:sz w:val="20"/>
          <w:szCs w:val="20"/>
        </w:rPr>
      </w:pPr>
      <w:proofErr w:type="gramStart"/>
      <w:r w:rsidRPr="00B004EE">
        <w:rPr>
          <w:rFonts w:ascii="Tahoma" w:hAnsi="Tahoma" w:cs="Tahoma"/>
          <w:sz w:val="20"/>
          <w:szCs w:val="20"/>
        </w:rPr>
        <w:t>le</w:t>
      </w:r>
      <w:proofErr w:type="gramEnd"/>
      <w:r w:rsidR="00DB1635" w:rsidRPr="00B004EE">
        <w:rPr>
          <w:rFonts w:ascii="Tahoma" w:hAnsi="Tahoma" w:cs="Tahoma"/>
          <w:sz w:val="20"/>
          <w:szCs w:val="20"/>
        </w:rPr>
        <w:t xml:space="preserve"> </w:t>
      </w:r>
      <w:r w:rsidRPr="00B004EE">
        <w:rPr>
          <w:rFonts w:ascii="Tahoma" w:hAnsi="Tahoma" w:cs="Tahoma"/>
          <w:sz w:val="20"/>
          <w:szCs w:val="20"/>
        </w:rPr>
        <w:t>nom</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l’adresse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l'armateur</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concessionnaire</w:t>
      </w:r>
      <w:r w:rsidR="00DB1635" w:rsidRPr="00B004EE">
        <w:rPr>
          <w:rFonts w:ascii="Tahoma" w:hAnsi="Tahoma" w:cs="Tahoma"/>
          <w:sz w:val="20"/>
          <w:szCs w:val="20"/>
        </w:rPr>
        <w:t xml:space="preserve"> </w:t>
      </w:r>
      <w:r w:rsidRPr="00B004EE">
        <w:rPr>
          <w:rFonts w:ascii="Tahoma" w:hAnsi="Tahoma" w:cs="Tahoma"/>
          <w:sz w:val="20"/>
          <w:szCs w:val="20"/>
        </w:rPr>
        <w:t>;</w:t>
      </w:r>
    </w:p>
    <w:p w14:paraId="085528AF" w14:textId="7570BFF4" w:rsidR="008518B0" w:rsidRPr="00B004EE" w:rsidRDefault="008518B0" w:rsidP="00420DDA">
      <w:pPr>
        <w:numPr>
          <w:ilvl w:val="0"/>
          <w:numId w:val="49"/>
        </w:numPr>
        <w:tabs>
          <w:tab w:val="left" w:pos="-1440"/>
        </w:tabs>
        <w:ind w:left="426" w:hanging="284"/>
        <w:jc w:val="both"/>
        <w:rPr>
          <w:rFonts w:ascii="Tahoma" w:hAnsi="Tahoma" w:cs="Tahoma"/>
          <w:sz w:val="20"/>
          <w:szCs w:val="20"/>
        </w:rPr>
      </w:pPr>
      <w:proofErr w:type="gramStart"/>
      <w:r w:rsidRPr="00B004EE">
        <w:rPr>
          <w:rFonts w:ascii="Tahoma" w:hAnsi="Tahoma" w:cs="Tahoma"/>
          <w:sz w:val="20"/>
          <w:szCs w:val="20"/>
        </w:rPr>
        <w:t>le</w:t>
      </w:r>
      <w:proofErr w:type="gramEnd"/>
      <w:r w:rsidR="00DB1635" w:rsidRPr="00B004EE">
        <w:rPr>
          <w:rFonts w:ascii="Tahoma" w:hAnsi="Tahoma" w:cs="Tahoma"/>
          <w:sz w:val="20"/>
          <w:szCs w:val="20"/>
        </w:rPr>
        <w:t xml:space="preserve"> </w:t>
      </w:r>
      <w:r w:rsidRPr="00B004EE">
        <w:rPr>
          <w:rFonts w:ascii="Tahoma" w:hAnsi="Tahoma" w:cs="Tahoma"/>
          <w:sz w:val="20"/>
          <w:szCs w:val="20"/>
        </w:rPr>
        <w:t>nom,</w:t>
      </w:r>
      <w:r w:rsidR="00DB1635" w:rsidRPr="00B004EE">
        <w:rPr>
          <w:rFonts w:ascii="Tahoma" w:hAnsi="Tahoma" w:cs="Tahoma"/>
          <w:sz w:val="20"/>
          <w:szCs w:val="20"/>
        </w:rPr>
        <w:t xml:space="preserve"> </w:t>
      </w:r>
      <w:r w:rsidRPr="00B004EE">
        <w:rPr>
          <w:rFonts w:ascii="Tahoma" w:hAnsi="Tahoma" w:cs="Tahoma"/>
          <w:sz w:val="20"/>
          <w:szCs w:val="20"/>
        </w:rPr>
        <w:t>adresse,</w:t>
      </w:r>
      <w:r w:rsidR="00DB1635" w:rsidRPr="00B004EE">
        <w:rPr>
          <w:rFonts w:ascii="Tahoma" w:hAnsi="Tahoma" w:cs="Tahoma"/>
          <w:sz w:val="20"/>
          <w:szCs w:val="20"/>
        </w:rPr>
        <w:t xml:space="preserve"> </w:t>
      </w:r>
      <w:r w:rsidRPr="00B004EE">
        <w:rPr>
          <w:rFonts w:ascii="Tahoma" w:hAnsi="Tahoma" w:cs="Tahoma"/>
          <w:sz w:val="20"/>
          <w:szCs w:val="20"/>
        </w:rPr>
        <w:t>qualité,</w:t>
      </w:r>
      <w:r w:rsidR="00DB1635" w:rsidRPr="00B004EE">
        <w:rPr>
          <w:rFonts w:ascii="Tahoma" w:hAnsi="Tahoma" w:cs="Tahoma"/>
          <w:sz w:val="20"/>
          <w:szCs w:val="20"/>
        </w:rPr>
        <w:t xml:space="preserve"> </w:t>
      </w:r>
      <w:r w:rsidRPr="00B004EE">
        <w:rPr>
          <w:rFonts w:ascii="Tahoma" w:hAnsi="Tahoma" w:cs="Tahoma"/>
          <w:sz w:val="20"/>
          <w:szCs w:val="20"/>
        </w:rPr>
        <w:t>agrément</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pouvoirs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l'agent</w:t>
      </w:r>
      <w:r w:rsidR="00DB1635" w:rsidRPr="00B004EE">
        <w:rPr>
          <w:rFonts w:ascii="Tahoma" w:hAnsi="Tahoma" w:cs="Tahoma"/>
          <w:sz w:val="20"/>
          <w:szCs w:val="20"/>
        </w:rPr>
        <w:t xml:space="preserve"> </w:t>
      </w:r>
      <w:r w:rsidRPr="00B004EE">
        <w:rPr>
          <w:rFonts w:ascii="Tahoma" w:hAnsi="Tahoma" w:cs="Tahoma"/>
          <w:sz w:val="20"/>
          <w:szCs w:val="20"/>
        </w:rPr>
        <w:t>local</w:t>
      </w:r>
      <w:r w:rsidR="00DB1635" w:rsidRPr="00B004EE">
        <w:rPr>
          <w:rFonts w:ascii="Tahoma" w:hAnsi="Tahoma" w:cs="Tahoma"/>
          <w:sz w:val="20"/>
          <w:szCs w:val="20"/>
        </w:rPr>
        <w:t xml:space="preserve"> </w:t>
      </w:r>
      <w:r w:rsidRPr="00B004EE">
        <w:rPr>
          <w:rFonts w:ascii="Tahoma" w:hAnsi="Tahoma" w:cs="Tahoma"/>
          <w:sz w:val="20"/>
          <w:szCs w:val="20"/>
        </w:rPr>
        <w:t>habilité</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représenter</w:t>
      </w:r>
      <w:r w:rsidR="00DB1635" w:rsidRPr="00B004EE">
        <w:rPr>
          <w:rFonts w:ascii="Tahoma" w:hAnsi="Tahoma" w:cs="Tahoma"/>
          <w:sz w:val="20"/>
          <w:szCs w:val="20"/>
        </w:rPr>
        <w:t xml:space="preserve"> </w:t>
      </w:r>
      <w:r w:rsidRPr="00B004EE">
        <w:rPr>
          <w:rFonts w:ascii="Tahoma" w:hAnsi="Tahoma" w:cs="Tahoma"/>
          <w:sz w:val="20"/>
          <w:szCs w:val="20"/>
        </w:rPr>
        <w:t>l'armateur</w:t>
      </w:r>
    </w:p>
    <w:p w14:paraId="460681A3" w14:textId="0B12E236" w:rsidR="008518B0" w:rsidRPr="00B004EE" w:rsidRDefault="008518B0" w:rsidP="00420DDA">
      <w:pPr>
        <w:numPr>
          <w:ilvl w:val="0"/>
          <w:numId w:val="49"/>
        </w:numPr>
        <w:tabs>
          <w:tab w:val="left" w:pos="-1440"/>
        </w:tabs>
        <w:ind w:left="426" w:hanging="284"/>
        <w:jc w:val="both"/>
        <w:rPr>
          <w:rFonts w:ascii="Tahoma" w:hAnsi="Tahoma" w:cs="Tahoma"/>
          <w:sz w:val="20"/>
          <w:szCs w:val="20"/>
        </w:rPr>
      </w:pPr>
      <w:proofErr w:type="gramStart"/>
      <w:r w:rsidRPr="00B004EE">
        <w:rPr>
          <w:rFonts w:ascii="Tahoma" w:hAnsi="Tahoma" w:cs="Tahoma"/>
          <w:sz w:val="20"/>
          <w:szCs w:val="20"/>
        </w:rPr>
        <w:t>la</w:t>
      </w:r>
      <w:proofErr w:type="gramEnd"/>
      <w:r w:rsidR="00DB1635" w:rsidRPr="00B004EE">
        <w:rPr>
          <w:rFonts w:ascii="Tahoma" w:hAnsi="Tahoma" w:cs="Tahoma"/>
          <w:sz w:val="20"/>
          <w:szCs w:val="20"/>
        </w:rPr>
        <w:t xml:space="preserve"> </w:t>
      </w:r>
      <w:r w:rsidRPr="00B004EE">
        <w:rPr>
          <w:rFonts w:ascii="Tahoma" w:hAnsi="Tahoma" w:cs="Tahoma"/>
          <w:sz w:val="20"/>
          <w:szCs w:val="20"/>
        </w:rPr>
        <w:t>pêcherie</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laquelle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licence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demandée;</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segment</w:t>
      </w:r>
      <w:r w:rsidR="00DB1635" w:rsidRPr="00B004EE">
        <w:rPr>
          <w:rFonts w:ascii="Tahoma" w:hAnsi="Tahoma" w:cs="Tahoma"/>
          <w:sz w:val="20"/>
          <w:szCs w:val="20"/>
        </w:rPr>
        <w:t xml:space="preserve"> </w:t>
      </w:r>
      <w:r w:rsidRPr="00B004EE">
        <w:rPr>
          <w:rFonts w:ascii="Tahoma" w:hAnsi="Tahoma" w:cs="Tahoma"/>
          <w:sz w:val="20"/>
          <w:szCs w:val="20"/>
        </w:rPr>
        <w:t>d'exploitation</w:t>
      </w:r>
      <w:r w:rsidR="00DB1635" w:rsidRPr="00B004EE">
        <w:rPr>
          <w:rFonts w:ascii="Tahoma" w:hAnsi="Tahoma" w:cs="Tahoma"/>
          <w:sz w:val="20"/>
          <w:szCs w:val="20"/>
        </w:rPr>
        <w:t xml:space="preserve"> </w:t>
      </w:r>
      <w:r w:rsidRPr="00B004EE">
        <w:rPr>
          <w:rFonts w:ascii="Tahoma" w:hAnsi="Tahoma" w:cs="Tahoma"/>
          <w:sz w:val="20"/>
          <w:szCs w:val="20"/>
        </w:rPr>
        <w:t>concernée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engins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utilisés</w:t>
      </w:r>
      <w:r w:rsidR="00DB1635" w:rsidRPr="00B004EE">
        <w:rPr>
          <w:rFonts w:ascii="Tahoma" w:hAnsi="Tahoma" w:cs="Tahoma"/>
          <w:sz w:val="20"/>
          <w:szCs w:val="20"/>
        </w:rPr>
        <w:t xml:space="preserve"> </w:t>
      </w:r>
      <w:r w:rsidRPr="00B004EE">
        <w:rPr>
          <w:rFonts w:ascii="Tahoma" w:hAnsi="Tahoma" w:cs="Tahoma"/>
          <w:sz w:val="20"/>
          <w:szCs w:val="20"/>
        </w:rPr>
        <w:t>;</w:t>
      </w:r>
    </w:p>
    <w:p w14:paraId="02A82FAC" w14:textId="1151AFD2" w:rsidR="008518B0" w:rsidRPr="00B004EE" w:rsidRDefault="008518B0" w:rsidP="00420DDA">
      <w:pPr>
        <w:numPr>
          <w:ilvl w:val="0"/>
          <w:numId w:val="49"/>
        </w:numPr>
        <w:tabs>
          <w:tab w:val="left" w:pos="-1440"/>
        </w:tabs>
        <w:ind w:left="426" w:hanging="284"/>
        <w:jc w:val="both"/>
        <w:rPr>
          <w:rFonts w:ascii="Tahoma" w:hAnsi="Tahoma" w:cs="Tahoma"/>
          <w:sz w:val="20"/>
          <w:szCs w:val="20"/>
        </w:rPr>
      </w:pPr>
      <w:proofErr w:type="gramStart"/>
      <w:r w:rsidRPr="00B004EE">
        <w:rPr>
          <w:rFonts w:ascii="Tahoma" w:hAnsi="Tahoma" w:cs="Tahoma"/>
          <w:sz w:val="20"/>
          <w:szCs w:val="20"/>
        </w:rPr>
        <w:t>et</w:t>
      </w:r>
      <w:proofErr w:type="gramEnd"/>
      <w:r w:rsidR="00DB1635" w:rsidRPr="00B004EE">
        <w:rPr>
          <w:rFonts w:ascii="Tahoma" w:hAnsi="Tahoma" w:cs="Tahoma"/>
          <w:sz w:val="20"/>
          <w:szCs w:val="20"/>
        </w:rPr>
        <w:t xml:space="preserve"> </w:t>
      </w:r>
      <w:r w:rsidRPr="00B004EE">
        <w:rPr>
          <w:rFonts w:ascii="Tahoma" w:hAnsi="Tahoma" w:cs="Tahoma"/>
          <w:sz w:val="20"/>
          <w:szCs w:val="20"/>
        </w:rPr>
        <w:t>tout</w:t>
      </w:r>
      <w:r w:rsidR="00DB1635" w:rsidRPr="00B004EE">
        <w:rPr>
          <w:rFonts w:ascii="Tahoma" w:hAnsi="Tahoma" w:cs="Tahoma"/>
          <w:sz w:val="20"/>
          <w:szCs w:val="20"/>
        </w:rPr>
        <w:t xml:space="preserve"> </w:t>
      </w:r>
      <w:r w:rsidRPr="00B004EE">
        <w:rPr>
          <w:rFonts w:ascii="Tahoma" w:hAnsi="Tahoma" w:cs="Tahoma"/>
          <w:sz w:val="20"/>
          <w:szCs w:val="20"/>
        </w:rPr>
        <w:t>autre</w:t>
      </w:r>
      <w:r w:rsidR="00DB1635" w:rsidRPr="00B004EE">
        <w:rPr>
          <w:rFonts w:ascii="Tahoma" w:hAnsi="Tahoma" w:cs="Tahoma"/>
          <w:sz w:val="20"/>
          <w:szCs w:val="20"/>
        </w:rPr>
        <w:t xml:space="preserve"> </w:t>
      </w:r>
      <w:r w:rsidRPr="00B004EE">
        <w:rPr>
          <w:rFonts w:ascii="Tahoma" w:hAnsi="Tahoma" w:cs="Tahoma"/>
          <w:sz w:val="20"/>
          <w:szCs w:val="20"/>
        </w:rPr>
        <w:t>renseignement</w:t>
      </w:r>
      <w:r w:rsidR="00DB1635" w:rsidRPr="00B004EE">
        <w:rPr>
          <w:rFonts w:ascii="Tahoma" w:hAnsi="Tahoma" w:cs="Tahoma"/>
          <w:sz w:val="20"/>
          <w:szCs w:val="20"/>
        </w:rPr>
        <w:t xml:space="preserve"> </w:t>
      </w:r>
      <w:r w:rsidRPr="00B004EE">
        <w:rPr>
          <w:rFonts w:ascii="Tahoma" w:hAnsi="Tahoma" w:cs="Tahoma"/>
          <w:sz w:val="20"/>
          <w:szCs w:val="20"/>
        </w:rPr>
        <w:t>qui</w:t>
      </w:r>
      <w:r w:rsidR="00DB1635" w:rsidRPr="00B004EE">
        <w:rPr>
          <w:rFonts w:ascii="Tahoma" w:hAnsi="Tahoma" w:cs="Tahoma"/>
          <w:sz w:val="20"/>
          <w:szCs w:val="20"/>
        </w:rPr>
        <w:t xml:space="preserve"> </w:t>
      </w:r>
      <w:r w:rsidRPr="00B004EE">
        <w:rPr>
          <w:rFonts w:ascii="Tahoma" w:hAnsi="Tahoma" w:cs="Tahoma"/>
          <w:sz w:val="20"/>
          <w:szCs w:val="20"/>
        </w:rPr>
        <w:t>pourrait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demandé</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services</w:t>
      </w:r>
      <w:r w:rsidR="00DB1635" w:rsidRPr="00B004EE">
        <w:rPr>
          <w:rFonts w:ascii="Tahoma" w:hAnsi="Tahoma" w:cs="Tahoma"/>
          <w:sz w:val="20"/>
          <w:szCs w:val="20"/>
        </w:rPr>
        <w:t xml:space="preserve"> </w:t>
      </w:r>
      <w:r w:rsidRPr="00B004EE">
        <w:rPr>
          <w:rFonts w:ascii="Tahoma" w:hAnsi="Tahoma" w:cs="Tahoma"/>
          <w:sz w:val="20"/>
          <w:szCs w:val="20"/>
        </w:rPr>
        <w:t>compétents</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ministère</w:t>
      </w:r>
      <w:r w:rsidR="00DB1635" w:rsidRPr="00B004EE">
        <w:rPr>
          <w:rFonts w:ascii="Tahoma" w:hAnsi="Tahoma" w:cs="Tahoma"/>
          <w:sz w:val="20"/>
          <w:szCs w:val="20"/>
        </w:rPr>
        <w:t xml:space="preserve"> </w:t>
      </w:r>
      <w:r w:rsidRPr="00B004EE">
        <w:rPr>
          <w:rFonts w:ascii="Tahoma" w:hAnsi="Tahoma" w:cs="Tahoma"/>
          <w:sz w:val="20"/>
          <w:szCs w:val="20"/>
        </w:rPr>
        <w:t>chargé</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vue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préciser</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compléter</w:t>
      </w:r>
      <w:r w:rsidR="00DB1635" w:rsidRPr="00B004EE">
        <w:rPr>
          <w:rFonts w:ascii="Tahoma" w:hAnsi="Tahoma" w:cs="Tahoma"/>
          <w:sz w:val="20"/>
          <w:szCs w:val="20"/>
        </w:rPr>
        <w:t xml:space="preserve"> </w:t>
      </w:r>
      <w:r w:rsidRPr="00B004EE">
        <w:rPr>
          <w:rFonts w:ascii="Tahoma" w:hAnsi="Tahoma" w:cs="Tahoma"/>
          <w:sz w:val="20"/>
          <w:szCs w:val="20"/>
        </w:rPr>
        <w:t>l'information</w:t>
      </w:r>
      <w:r w:rsidR="00DB1635" w:rsidRPr="00B004EE">
        <w:rPr>
          <w:rFonts w:ascii="Tahoma" w:hAnsi="Tahoma" w:cs="Tahoma"/>
          <w:sz w:val="20"/>
          <w:szCs w:val="20"/>
        </w:rPr>
        <w:t xml:space="preserve"> </w:t>
      </w:r>
      <w:r w:rsidRPr="00B004EE">
        <w:rPr>
          <w:rFonts w:ascii="Tahoma" w:hAnsi="Tahoma" w:cs="Tahoma"/>
          <w:sz w:val="20"/>
          <w:szCs w:val="20"/>
        </w:rPr>
        <w:t>fournie</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requérant.</w:t>
      </w:r>
    </w:p>
    <w:p w14:paraId="09398AB7" w14:textId="77777777" w:rsidR="008518B0" w:rsidRPr="00B004EE" w:rsidRDefault="008518B0" w:rsidP="00B004EE">
      <w:pPr>
        <w:pStyle w:val="article"/>
        <w:numPr>
          <w:ilvl w:val="0"/>
          <w:numId w:val="0"/>
        </w:numPr>
        <w:tabs>
          <w:tab w:val="left" w:pos="1200"/>
        </w:tabs>
        <w:spacing w:before="0" w:line="240" w:lineRule="auto"/>
        <w:rPr>
          <w:rFonts w:ascii="Tahoma" w:hAnsi="Tahoma" w:cs="Tahoma"/>
          <w:b/>
          <w:bCs/>
          <w:sz w:val="20"/>
          <w:szCs w:val="20"/>
          <w:u w:val="single"/>
        </w:rPr>
      </w:pPr>
    </w:p>
    <w:p w14:paraId="7F8B4EEB" w14:textId="59262A3E" w:rsidR="008518B0" w:rsidRPr="00B004EE" w:rsidRDefault="008518B0" w:rsidP="00B004EE">
      <w:pPr>
        <w:pStyle w:val="article"/>
        <w:numPr>
          <w:ilvl w:val="0"/>
          <w:numId w:val="0"/>
        </w:numPr>
        <w:tabs>
          <w:tab w:val="left" w:pos="1200"/>
        </w:tabs>
        <w:spacing w:before="0" w:line="240" w:lineRule="auto"/>
        <w:rPr>
          <w:rFonts w:ascii="Tahoma" w:hAnsi="Tahoma" w:cs="Tahoma"/>
          <w:sz w:val="20"/>
          <w:szCs w:val="20"/>
        </w:rPr>
      </w:pPr>
      <w:r w:rsidRPr="00B004EE">
        <w:rPr>
          <w:rFonts w:ascii="Tahoma" w:hAnsi="Tahoma" w:cs="Tahoma"/>
          <w:sz w:val="20"/>
          <w:szCs w:val="20"/>
        </w:rPr>
        <w:t>Article</w:t>
      </w:r>
      <w:r w:rsidR="00DB1635" w:rsidRPr="00B004EE">
        <w:rPr>
          <w:rFonts w:ascii="Tahoma" w:hAnsi="Tahoma" w:cs="Tahoma"/>
          <w:sz w:val="20"/>
          <w:szCs w:val="20"/>
        </w:rPr>
        <w:t xml:space="preserve"> </w:t>
      </w:r>
      <w:r w:rsidRPr="00B004EE">
        <w:rPr>
          <w:rFonts w:ascii="Tahoma" w:hAnsi="Tahoma" w:cs="Tahoma"/>
          <w:sz w:val="20"/>
          <w:szCs w:val="20"/>
        </w:rPr>
        <w:t>25</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Toutes</w:t>
      </w:r>
      <w:r w:rsidR="00DB1635" w:rsidRPr="00B004EE">
        <w:rPr>
          <w:rFonts w:ascii="Tahoma" w:hAnsi="Tahoma" w:cs="Tahoma"/>
          <w:sz w:val="20"/>
          <w:szCs w:val="20"/>
        </w:rPr>
        <w:t xml:space="preserve"> </w:t>
      </w:r>
      <w:r w:rsidRPr="00B004EE">
        <w:rPr>
          <w:rFonts w:ascii="Tahoma" w:hAnsi="Tahoma" w:cs="Tahoma"/>
          <w:sz w:val="20"/>
          <w:szCs w:val="20"/>
        </w:rPr>
        <w:t>modifications</w:t>
      </w:r>
      <w:r w:rsidR="00DB1635" w:rsidRPr="00B004EE">
        <w:rPr>
          <w:rFonts w:ascii="Tahoma" w:hAnsi="Tahoma" w:cs="Tahoma"/>
          <w:sz w:val="20"/>
          <w:szCs w:val="20"/>
        </w:rPr>
        <w:t xml:space="preserve"> </w:t>
      </w:r>
      <w:r w:rsidRPr="00B004EE">
        <w:rPr>
          <w:rFonts w:ascii="Tahoma" w:hAnsi="Tahoma" w:cs="Tahoma"/>
          <w:sz w:val="20"/>
          <w:szCs w:val="20"/>
        </w:rPr>
        <w:t>apportées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navire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lequel</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licence</w:t>
      </w:r>
      <w:r w:rsidR="00DB1635" w:rsidRPr="00B004EE">
        <w:rPr>
          <w:rFonts w:ascii="Tahoma" w:hAnsi="Tahoma" w:cs="Tahoma"/>
          <w:sz w:val="20"/>
          <w:szCs w:val="20"/>
        </w:rPr>
        <w:t xml:space="preserve"> </w:t>
      </w:r>
      <w:r w:rsidRPr="00B004EE">
        <w:rPr>
          <w:rFonts w:ascii="Tahoma" w:hAnsi="Tahoma" w:cs="Tahoma"/>
          <w:sz w:val="20"/>
          <w:szCs w:val="20"/>
        </w:rPr>
        <w:t>a</w:t>
      </w:r>
      <w:r w:rsidR="00DB1635" w:rsidRPr="00B004EE">
        <w:rPr>
          <w:rFonts w:ascii="Tahoma" w:hAnsi="Tahoma" w:cs="Tahoma"/>
          <w:sz w:val="20"/>
          <w:szCs w:val="20"/>
        </w:rPr>
        <w:t xml:space="preserve"> </w:t>
      </w:r>
      <w:r w:rsidRPr="00B004EE">
        <w:rPr>
          <w:rFonts w:ascii="Tahoma" w:hAnsi="Tahoma" w:cs="Tahoma"/>
          <w:sz w:val="20"/>
          <w:szCs w:val="20"/>
        </w:rPr>
        <w:t>été</w:t>
      </w:r>
      <w:r w:rsidR="00DB1635" w:rsidRPr="00B004EE">
        <w:rPr>
          <w:rFonts w:ascii="Tahoma" w:hAnsi="Tahoma" w:cs="Tahoma"/>
          <w:sz w:val="20"/>
          <w:szCs w:val="20"/>
        </w:rPr>
        <w:t xml:space="preserve"> </w:t>
      </w:r>
      <w:r w:rsidRPr="00B004EE">
        <w:rPr>
          <w:rFonts w:ascii="Tahoma" w:hAnsi="Tahoma" w:cs="Tahoma"/>
          <w:sz w:val="20"/>
          <w:szCs w:val="20"/>
        </w:rPr>
        <w:t>accordée,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particulier,</w:t>
      </w:r>
      <w:r w:rsidR="00DB1635" w:rsidRPr="00B004EE">
        <w:rPr>
          <w:rFonts w:ascii="Tahoma" w:hAnsi="Tahoma" w:cs="Tahoma"/>
          <w:sz w:val="20"/>
          <w:szCs w:val="20"/>
        </w:rPr>
        <w:t xml:space="preserve"> </w:t>
      </w:r>
      <w:r w:rsidRPr="00B004EE">
        <w:rPr>
          <w:rFonts w:ascii="Tahoma" w:hAnsi="Tahoma" w:cs="Tahoma"/>
          <w:sz w:val="20"/>
          <w:szCs w:val="20"/>
        </w:rPr>
        <w:t>celles</w:t>
      </w:r>
      <w:r w:rsidR="00DB1635" w:rsidRPr="00B004EE">
        <w:rPr>
          <w:rFonts w:ascii="Tahoma" w:hAnsi="Tahoma" w:cs="Tahoma"/>
          <w:sz w:val="20"/>
          <w:szCs w:val="20"/>
        </w:rPr>
        <w:t xml:space="preserve"> </w:t>
      </w:r>
      <w:r w:rsidRPr="00B004EE">
        <w:rPr>
          <w:rFonts w:ascii="Tahoma" w:hAnsi="Tahoma" w:cs="Tahoma"/>
          <w:sz w:val="20"/>
          <w:szCs w:val="20"/>
        </w:rPr>
        <w:t>apportées</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moteur,</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engins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coque,</w:t>
      </w:r>
      <w:r w:rsidR="00DB1635" w:rsidRPr="00B004EE">
        <w:rPr>
          <w:rFonts w:ascii="Tahoma" w:hAnsi="Tahoma" w:cs="Tahoma"/>
          <w:sz w:val="20"/>
          <w:szCs w:val="20"/>
        </w:rPr>
        <w:t xml:space="preserve"> </w:t>
      </w:r>
      <w:r w:rsidRPr="00B004EE">
        <w:rPr>
          <w:rFonts w:ascii="Tahoma" w:hAnsi="Tahoma" w:cs="Tahoma"/>
          <w:sz w:val="20"/>
          <w:szCs w:val="20"/>
        </w:rPr>
        <w:t>doivent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autorisées</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préalable</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ministre</w:t>
      </w:r>
      <w:r w:rsidR="00DB1635" w:rsidRPr="00B004EE">
        <w:rPr>
          <w:rFonts w:ascii="Tahoma" w:hAnsi="Tahoma" w:cs="Tahoma"/>
          <w:sz w:val="20"/>
          <w:szCs w:val="20"/>
        </w:rPr>
        <w:t xml:space="preserve"> </w:t>
      </w:r>
      <w:r w:rsidRPr="00B004EE">
        <w:rPr>
          <w:rFonts w:ascii="Tahoma" w:hAnsi="Tahoma" w:cs="Tahoma"/>
          <w:sz w:val="20"/>
          <w:szCs w:val="20"/>
        </w:rPr>
        <w:t>chargé</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sz w:val="20"/>
          <w:szCs w:val="20"/>
        </w:rPr>
        <w:t xml:space="preserve"> </w:t>
      </w:r>
    </w:p>
    <w:p w14:paraId="1E5F864C" w14:textId="77777777" w:rsidR="008518B0" w:rsidRPr="00B004EE" w:rsidRDefault="008518B0" w:rsidP="00B004EE">
      <w:pPr>
        <w:pStyle w:val="article"/>
        <w:numPr>
          <w:ilvl w:val="0"/>
          <w:numId w:val="0"/>
        </w:numPr>
        <w:tabs>
          <w:tab w:val="left" w:pos="1200"/>
        </w:tabs>
        <w:spacing w:before="0" w:line="240" w:lineRule="auto"/>
        <w:rPr>
          <w:rFonts w:ascii="Tahoma" w:hAnsi="Tahoma" w:cs="Tahoma"/>
          <w:sz w:val="20"/>
          <w:szCs w:val="20"/>
        </w:rPr>
      </w:pPr>
    </w:p>
    <w:p w14:paraId="51AFE2C2" w14:textId="04114CB9" w:rsidR="008518B0" w:rsidRPr="00B004EE" w:rsidRDefault="008518B0" w:rsidP="00B004EE">
      <w:pPr>
        <w:pStyle w:val="article"/>
        <w:numPr>
          <w:ilvl w:val="0"/>
          <w:numId w:val="0"/>
        </w:numPr>
        <w:spacing w:before="0" w:line="240" w:lineRule="auto"/>
        <w:rPr>
          <w:rFonts w:ascii="Tahoma" w:hAnsi="Tahoma" w:cs="Tahoma"/>
          <w:sz w:val="20"/>
          <w:szCs w:val="20"/>
        </w:rPr>
      </w:pPr>
      <w:r w:rsidRPr="00B004EE">
        <w:rPr>
          <w:rFonts w:ascii="Tahoma" w:hAnsi="Tahoma" w:cs="Tahoma"/>
          <w:sz w:val="20"/>
          <w:szCs w:val="20"/>
        </w:rPr>
        <w:t>S’il</w:t>
      </w:r>
      <w:r w:rsidR="00DB1635" w:rsidRPr="00B004EE">
        <w:rPr>
          <w:rFonts w:ascii="Tahoma" w:hAnsi="Tahoma" w:cs="Tahoma"/>
          <w:sz w:val="20"/>
          <w:szCs w:val="20"/>
        </w:rPr>
        <w:t xml:space="preserve"> </w:t>
      </w:r>
      <w:r w:rsidRPr="00B004EE">
        <w:rPr>
          <w:rFonts w:ascii="Tahoma" w:hAnsi="Tahoma" w:cs="Tahoma"/>
          <w:sz w:val="20"/>
          <w:szCs w:val="20"/>
        </w:rPr>
        <w:t>y</w:t>
      </w:r>
      <w:r w:rsidR="00DB1635" w:rsidRPr="00B004EE">
        <w:rPr>
          <w:rFonts w:ascii="Tahoma" w:hAnsi="Tahoma" w:cs="Tahoma"/>
          <w:sz w:val="20"/>
          <w:szCs w:val="20"/>
        </w:rPr>
        <w:t xml:space="preserve"> </w:t>
      </w:r>
      <w:r w:rsidRPr="00B004EE">
        <w:rPr>
          <w:rFonts w:ascii="Tahoma" w:hAnsi="Tahoma" w:cs="Tahoma"/>
          <w:sz w:val="20"/>
          <w:szCs w:val="20"/>
        </w:rPr>
        <w:t>a</w:t>
      </w:r>
      <w:r w:rsidR="00DB1635" w:rsidRPr="00B004EE">
        <w:rPr>
          <w:rFonts w:ascii="Tahoma" w:hAnsi="Tahoma" w:cs="Tahoma"/>
          <w:sz w:val="20"/>
          <w:szCs w:val="20"/>
        </w:rPr>
        <w:t xml:space="preserve"> </w:t>
      </w:r>
      <w:r w:rsidRPr="00B004EE">
        <w:rPr>
          <w:rFonts w:ascii="Tahoma" w:hAnsi="Tahoma" w:cs="Tahoma"/>
          <w:sz w:val="20"/>
          <w:szCs w:val="20"/>
        </w:rPr>
        <w:t>lieu,</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ministre</w:t>
      </w:r>
      <w:r w:rsidR="00DB1635" w:rsidRPr="00B004EE">
        <w:rPr>
          <w:rFonts w:ascii="Tahoma" w:hAnsi="Tahoma" w:cs="Tahoma"/>
          <w:sz w:val="20"/>
          <w:szCs w:val="20"/>
        </w:rPr>
        <w:t xml:space="preserve"> </w:t>
      </w:r>
      <w:r w:rsidRPr="00B004EE">
        <w:rPr>
          <w:rFonts w:ascii="Tahoma" w:hAnsi="Tahoma" w:cs="Tahoma"/>
          <w:sz w:val="20"/>
          <w:szCs w:val="20"/>
        </w:rPr>
        <w:t>chargé</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sz w:val="20"/>
          <w:szCs w:val="20"/>
        </w:rPr>
        <w:t xml:space="preserve"> </w:t>
      </w:r>
      <w:r w:rsidRPr="00B004EE">
        <w:rPr>
          <w:rFonts w:ascii="Tahoma" w:hAnsi="Tahoma" w:cs="Tahoma"/>
          <w:sz w:val="20"/>
          <w:szCs w:val="20"/>
        </w:rPr>
        <w:t>pourra</w:t>
      </w:r>
      <w:r w:rsidR="00DB1635" w:rsidRPr="00B004EE">
        <w:rPr>
          <w:rFonts w:ascii="Tahoma" w:hAnsi="Tahoma" w:cs="Tahoma"/>
          <w:sz w:val="20"/>
          <w:szCs w:val="20"/>
        </w:rPr>
        <w:t xml:space="preserve"> </w:t>
      </w:r>
      <w:r w:rsidRPr="00B004EE">
        <w:rPr>
          <w:rFonts w:ascii="Tahoma" w:hAnsi="Tahoma" w:cs="Tahoma"/>
          <w:sz w:val="20"/>
          <w:szCs w:val="20"/>
        </w:rPr>
        <w:t>inscrire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conditions</w:t>
      </w:r>
      <w:r w:rsidR="00DB1635" w:rsidRPr="00B004EE">
        <w:rPr>
          <w:rFonts w:ascii="Tahoma" w:hAnsi="Tahoma" w:cs="Tahoma"/>
          <w:sz w:val="20"/>
          <w:szCs w:val="20"/>
        </w:rPr>
        <w:t xml:space="preserve"> </w:t>
      </w:r>
      <w:r w:rsidRPr="00B004EE">
        <w:rPr>
          <w:rFonts w:ascii="Tahoma" w:hAnsi="Tahoma" w:cs="Tahoma"/>
          <w:sz w:val="20"/>
          <w:szCs w:val="20"/>
        </w:rPr>
        <w:t>nouvelles,</w:t>
      </w:r>
      <w:r w:rsidR="00DB1635" w:rsidRPr="00B004EE">
        <w:rPr>
          <w:rFonts w:ascii="Tahoma" w:hAnsi="Tahoma" w:cs="Tahoma"/>
          <w:sz w:val="20"/>
          <w:szCs w:val="20"/>
        </w:rPr>
        <w:t xml:space="preserve"> </w:t>
      </w:r>
      <w:r w:rsidRPr="00B004EE">
        <w:rPr>
          <w:rFonts w:ascii="Tahoma" w:hAnsi="Tahoma" w:cs="Tahoma"/>
          <w:sz w:val="20"/>
          <w:szCs w:val="20"/>
        </w:rPr>
        <w:t>réclamer</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redevance</w:t>
      </w:r>
      <w:r w:rsidR="00DB1635" w:rsidRPr="00B004EE">
        <w:rPr>
          <w:rFonts w:ascii="Tahoma" w:hAnsi="Tahoma" w:cs="Tahoma"/>
          <w:sz w:val="20"/>
          <w:szCs w:val="20"/>
        </w:rPr>
        <w:t xml:space="preserve"> </w:t>
      </w:r>
      <w:r w:rsidRPr="00B004EE">
        <w:rPr>
          <w:rFonts w:ascii="Tahoma" w:hAnsi="Tahoma" w:cs="Tahoma"/>
          <w:sz w:val="20"/>
          <w:szCs w:val="20"/>
        </w:rPr>
        <w:t>supplémentaire</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retirer</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licence.</w:t>
      </w:r>
    </w:p>
    <w:p w14:paraId="639AFB73" w14:textId="77777777" w:rsidR="008518B0" w:rsidRPr="00B004EE" w:rsidRDefault="008518B0" w:rsidP="00B004EE">
      <w:pPr>
        <w:pStyle w:val="article"/>
        <w:numPr>
          <w:ilvl w:val="0"/>
          <w:numId w:val="0"/>
        </w:numPr>
        <w:spacing w:before="0" w:line="240" w:lineRule="auto"/>
        <w:rPr>
          <w:rFonts w:ascii="Tahoma" w:hAnsi="Tahoma" w:cs="Tahoma"/>
          <w:sz w:val="20"/>
          <w:szCs w:val="20"/>
        </w:rPr>
      </w:pPr>
    </w:p>
    <w:p w14:paraId="4BAD55D9" w14:textId="6AAA9FD5" w:rsidR="008518B0" w:rsidRPr="00B004EE" w:rsidRDefault="008518B0" w:rsidP="00B004EE">
      <w:pPr>
        <w:pStyle w:val="article"/>
        <w:numPr>
          <w:ilvl w:val="12"/>
          <w:numId w:val="0"/>
        </w:numPr>
        <w:spacing w:before="0" w:line="240" w:lineRule="auto"/>
        <w:rPr>
          <w:rFonts w:ascii="Tahoma" w:hAnsi="Tahoma" w:cs="Tahoma"/>
          <w:sz w:val="20"/>
          <w:szCs w:val="20"/>
        </w:rPr>
      </w:pP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licences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délivrées</w:t>
      </w:r>
      <w:r w:rsidR="00DB1635" w:rsidRPr="00B004EE">
        <w:rPr>
          <w:rFonts w:ascii="Tahoma" w:hAnsi="Tahoma" w:cs="Tahoma"/>
          <w:sz w:val="20"/>
          <w:szCs w:val="20"/>
        </w:rPr>
        <w:t xml:space="preserve"> </w:t>
      </w:r>
      <w:r w:rsidRPr="00B004EE">
        <w:rPr>
          <w:rFonts w:ascii="Tahoma" w:hAnsi="Tahoma" w:cs="Tahoma"/>
          <w:sz w:val="20"/>
          <w:szCs w:val="20"/>
        </w:rPr>
        <w:t>conformément</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modèles</w:t>
      </w:r>
      <w:r w:rsidR="00DB1635" w:rsidRPr="00B004EE">
        <w:rPr>
          <w:rFonts w:ascii="Tahoma" w:hAnsi="Tahoma" w:cs="Tahoma"/>
          <w:sz w:val="20"/>
          <w:szCs w:val="20"/>
        </w:rPr>
        <w:t xml:space="preserve"> </w:t>
      </w:r>
      <w:r w:rsidRPr="00B004EE">
        <w:rPr>
          <w:rFonts w:ascii="Tahoma" w:hAnsi="Tahoma" w:cs="Tahoma"/>
          <w:sz w:val="20"/>
          <w:szCs w:val="20"/>
        </w:rPr>
        <w:t>approuvés</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arrêté</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ministre</w:t>
      </w:r>
      <w:r w:rsidR="00DB1635" w:rsidRPr="00B004EE">
        <w:rPr>
          <w:rFonts w:ascii="Tahoma" w:hAnsi="Tahoma" w:cs="Tahoma"/>
          <w:sz w:val="20"/>
          <w:szCs w:val="20"/>
        </w:rPr>
        <w:t xml:space="preserve"> </w:t>
      </w:r>
      <w:r w:rsidRPr="00B004EE">
        <w:rPr>
          <w:rFonts w:ascii="Tahoma" w:hAnsi="Tahoma" w:cs="Tahoma"/>
          <w:sz w:val="20"/>
          <w:szCs w:val="20"/>
        </w:rPr>
        <w:t>chargé</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sz w:val="20"/>
          <w:szCs w:val="20"/>
        </w:rPr>
        <w:t xml:space="preserve"> </w:t>
      </w:r>
    </w:p>
    <w:p w14:paraId="08A8704F" w14:textId="03DAF1E2" w:rsidR="00F81386" w:rsidRDefault="00F81386" w:rsidP="00B004EE">
      <w:pPr>
        <w:pStyle w:val="article"/>
        <w:numPr>
          <w:ilvl w:val="12"/>
          <w:numId w:val="0"/>
        </w:numPr>
        <w:spacing w:before="0" w:line="240" w:lineRule="auto"/>
        <w:jc w:val="center"/>
        <w:rPr>
          <w:rFonts w:ascii="Tahoma" w:hAnsi="Tahoma" w:cs="Tahoma"/>
          <w:b/>
          <w:bCs/>
          <w:sz w:val="20"/>
          <w:szCs w:val="20"/>
        </w:rPr>
      </w:pPr>
    </w:p>
    <w:p w14:paraId="017E0C4D" w14:textId="77777777" w:rsidR="002D26AE" w:rsidRPr="00B004EE" w:rsidRDefault="002D26AE" w:rsidP="00B004EE">
      <w:pPr>
        <w:pStyle w:val="article"/>
        <w:numPr>
          <w:ilvl w:val="12"/>
          <w:numId w:val="0"/>
        </w:numPr>
        <w:spacing w:before="0" w:line="240" w:lineRule="auto"/>
        <w:jc w:val="center"/>
        <w:rPr>
          <w:rFonts w:ascii="Tahoma" w:hAnsi="Tahoma" w:cs="Tahoma"/>
          <w:b/>
          <w:bCs/>
          <w:sz w:val="20"/>
          <w:szCs w:val="20"/>
        </w:rPr>
      </w:pPr>
    </w:p>
    <w:p w14:paraId="07AD35C9" w14:textId="44DB1566" w:rsidR="008518B0" w:rsidRPr="00B004EE" w:rsidRDefault="008518B0" w:rsidP="00B004EE">
      <w:pPr>
        <w:pStyle w:val="article"/>
        <w:numPr>
          <w:ilvl w:val="12"/>
          <w:numId w:val="0"/>
        </w:numPr>
        <w:spacing w:before="0" w:line="240" w:lineRule="auto"/>
        <w:jc w:val="center"/>
        <w:rPr>
          <w:rFonts w:ascii="Tahoma" w:hAnsi="Tahoma" w:cs="Tahoma"/>
          <w:b/>
          <w:bCs/>
          <w:sz w:val="20"/>
          <w:szCs w:val="20"/>
        </w:rPr>
      </w:pPr>
      <w:r w:rsidRPr="00B004EE">
        <w:rPr>
          <w:rFonts w:ascii="Tahoma" w:hAnsi="Tahoma" w:cs="Tahoma"/>
          <w:b/>
          <w:bCs/>
          <w:sz w:val="20"/>
          <w:szCs w:val="20"/>
        </w:rPr>
        <w:lastRenderedPageBreak/>
        <w:t>Section</w:t>
      </w:r>
      <w:r w:rsidR="00DB1635" w:rsidRPr="00B004EE">
        <w:rPr>
          <w:rFonts w:ascii="Tahoma" w:hAnsi="Tahoma" w:cs="Tahoma"/>
          <w:b/>
          <w:bCs/>
          <w:sz w:val="20"/>
          <w:szCs w:val="20"/>
        </w:rPr>
        <w:t xml:space="preserve"> </w:t>
      </w:r>
      <w:r w:rsidRPr="00B004EE">
        <w:rPr>
          <w:rFonts w:ascii="Tahoma" w:hAnsi="Tahoma" w:cs="Tahoma"/>
          <w:b/>
          <w:bCs/>
          <w:sz w:val="20"/>
          <w:szCs w:val="20"/>
        </w:rPr>
        <w:t>IV</w:t>
      </w:r>
      <w:r w:rsidR="00DB1635" w:rsidRPr="00B004EE">
        <w:rPr>
          <w:rFonts w:ascii="Tahoma" w:hAnsi="Tahoma" w:cs="Tahoma"/>
          <w:b/>
          <w:bCs/>
          <w:sz w:val="20"/>
          <w:szCs w:val="20"/>
        </w:rPr>
        <w:t xml:space="preserve"> </w:t>
      </w:r>
      <w:r w:rsidRPr="00B004EE">
        <w:rPr>
          <w:rFonts w:ascii="Tahoma" w:hAnsi="Tahoma" w:cs="Tahoma"/>
          <w:b/>
          <w:bCs/>
          <w:sz w:val="20"/>
          <w:szCs w:val="20"/>
        </w:rPr>
        <w:t>:</w:t>
      </w:r>
      <w:r w:rsidR="00DB1635" w:rsidRPr="00B004EE">
        <w:rPr>
          <w:rFonts w:ascii="Tahoma" w:hAnsi="Tahoma" w:cs="Tahoma"/>
          <w:b/>
          <w:bCs/>
          <w:sz w:val="20"/>
          <w:szCs w:val="20"/>
        </w:rPr>
        <w:t xml:space="preserve"> </w:t>
      </w:r>
      <w:r w:rsidRPr="00B004EE">
        <w:rPr>
          <w:rFonts w:ascii="Tahoma" w:hAnsi="Tahoma" w:cs="Tahoma"/>
          <w:b/>
          <w:bCs/>
          <w:sz w:val="20"/>
          <w:szCs w:val="20"/>
        </w:rPr>
        <w:t>Du</w:t>
      </w:r>
      <w:r w:rsidR="00DB1635" w:rsidRPr="00B004EE">
        <w:rPr>
          <w:rFonts w:ascii="Tahoma" w:hAnsi="Tahoma" w:cs="Tahoma"/>
          <w:b/>
          <w:bCs/>
          <w:sz w:val="20"/>
          <w:szCs w:val="20"/>
        </w:rPr>
        <w:t xml:space="preserve"> </w:t>
      </w:r>
      <w:r w:rsidRPr="00B004EE">
        <w:rPr>
          <w:rFonts w:ascii="Tahoma" w:hAnsi="Tahoma" w:cs="Tahoma"/>
          <w:b/>
          <w:bCs/>
          <w:sz w:val="20"/>
          <w:szCs w:val="20"/>
        </w:rPr>
        <w:t>régime</w:t>
      </w:r>
      <w:r w:rsidR="00DB1635" w:rsidRPr="00B004EE">
        <w:rPr>
          <w:rFonts w:ascii="Tahoma" w:hAnsi="Tahoma" w:cs="Tahoma"/>
          <w:b/>
          <w:bCs/>
          <w:sz w:val="20"/>
          <w:szCs w:val="20"/>
        </w:rPr>
        <w:t xml:space="preserve"> </w:t>
      </w:r>
      <w:r w:rsidRPr="00B004EE">
        <w:rPr>
          <w:rFonts w:ascii="Tahoma" w:hAnsi="Tahoma" w:cs="Tahoma"/>
          <w:b/>
          <w:bCs/>
          <w:sz w:val="20"/>
          <w:szCs w:val="20"/>
        </w:rPr>
        <w:t>d’exploitation</w:t>
      </w:r>
      <w:r w:rsidR="00DB1635" w:rsidRPr="00B004EE">
        <w:rPr>
          <w:rFonts w:ascii="Tahoma" w:hAnsi="Tahoma" w:cs="Tahoma"/>
          <w:b/>
          <w:bCs/>
          <w:sz w:val="20"/>
          <w:szCs w:val="20"/>
        </w:rPr>
        <w:t xml:space="preserve"> </w:t>
      </w:r>
      <w:r w:rsidRPr="00B004EE">
        <w:rPr>
          <w:rFonts w:ascii="Tahoma" w:hAnsi="Tahoma" w:cs="Tahoma"/>
          <w:b/>
          <w:bCs/>
          <w:sz w:val="20"/>
          <w:szCs w:val="20"/>
        </w:rPr>
        <w:t>des</w:t>
      </w:r>
      <w:r w:rsidR="00DB1635" w:rsidRPr="00B004EE">
        <w:rPr>
          <w:rFonts w:ascii="Tahoma" w:hAnsi="Tahoma" w:cs="Tahoma"/>
          <w:b/>
          <w:bCs/>
          <w:sz w:val="20"/>
          <w:szCs w:val="20"/>
        </w:rPr>
        <w:t xml:space="preserve"> </w:t>
      </w:r>
      <w:r w:rsidRPr="00B004EE">
        <w:rPr>
          <w:rFonts w:ascii="Tahoma" w:hAnsi="Tahoma" w:cs="Tahoma"/>
          <w:b/>
          <w:bCs/>
          <w:sz w:val="20"/>
          <w:szCs w:val="20"/>
        </w:rPr>
        <w:t>navires</w:t>
      </w:r>
      <w:r w:rsidR="00DB1635" w:rsidRPr="00B004EE">
        <w:rPr>
          <w:rFonts w:ascii="Tahoma" w:hAnsi="Tahoma" w:cs="Tahoma"/>
          <w:b/>
          <w:bCs/>
          <w:sz w:val="20"/>
          <w:szCs w:val="20"/>
        </w:rPr>
        <w:t xml:space="preserve"> </w:t>
      </w:r>
      <w:r w:rsidRPr="00B004EE">
        <w:rPr>
          <w:rFonts w:ascii="Tahoma" w:hAnsi="Tahoma" w:cs="Tahoma"/>
          <w:b/>
          <w:bCs/>
          <w:sz w:val="20"/>
          <w:szCs w:val="20"/>
        </w:rPr>
        <w:t>de</w:t>
      </w:r>
      <w:r w:rsidR="00DB1635" w:rsidRPr="00B004EE">
        <w:rPr>
          <w:rFonts w:ascii="Tahoma" w:hAnsi="Tahoma" w:cs="Tahoma"/>
          <w:b/>
          <w:bCs/>
          <w:sz w:val="20"/>
          <w:szCs w:val="20"/>
        </w:rPr>
        <w:t xml:space="preserve"> </w:t>
      </w:r>
      <w:r w:rsidRPr="00B004EE">
        <w:rPr>
          <w:rFonts w:ascii="Tahoma" w:hAnsi="Tahoma" w:cs="Tahoma"/>
          <w:b/>
          <w:bCs/>
          <w:sz w:val="20"/>
          <w:szCs w:val="20"/>
        </w:rPr>
        <w:t>pêche</w:t>
      </w:r>
      <w:r w:rsidR="00DB1635" w:rsidRPr="00B004EE">
        <w:rPr>
          <w:rFonts w:ascii="Tahoma" w:hAnsi="Tahoma" w:cs="Tahoma"/>
          <w:b/>
          <w:bCs/>
          <w:sz w:val="20"/>
          <w:szCs w:val="20"/>
        </w:rPr>
        <w:t xml:space="preserve"> </w:t>
      </w:r>
      <w:r w:rsidRPr="00B004EE">
        <w:rPr>
          <w:rFonts w:ascii="Tahoma" w:hAnsi="Tahoma" w:cs="Tahoma"/>
          <w:b/>
          <w:bCs/>
          <w:sz w:val="20"/>
          <w:szCs w:val="20"/>
        </w:rPr>
        <w:t>à</w:t>
      </w:r>
      <w:r w:rsidR="00DB1635" w:rsidRPr="00B004EE">
        <w:rPr>
          <w:rFonts w:ascii="Tahoma" w:hAnsi="Tahoma" w:cs="Tahoma"/>
          <w:b/>
          <w:bCs/>
          <w:sz w:val="20"/>
          <w:szCs w:val="20"/>
        </w:rPr>
        <w:t xml:space="preserve"> </w:t>
      </w:r>
      <w:r w:rsidRPr="00B004EE">
        <w:rPr>
          <w:rFonts w:ascii="Tahoma" w:hAnsi="Tahoma" w:cs="Tahoma"/>
          <w:b/>
          <w:bCs/>
          <w:sz w:val="20"/>
          <w:szCs w:val="20"/>
        </w:rPr>
        <w:t>l’intérieur</w:t>
      </w:r>
      <w:r w:rsidR="00DB1635" w:rsidRPr="00B004EE">
        <w:rPr>
          <w:rFonts w:ascii="Tahoma" w:hAnsi="Tahoma" w:cs="Tahoma"/>
          <w:b/>
          <w:bCs/>
          <w:sz w:val="20"/>
          <w:szCs w:val="20"/>
        </w:rPr>
        <w:t xml:space="preserve"> </w:t>
      </w:r>
      <w:r w:rsidRPr="00B004EE">
        <w:rPr>
          <w:rFonts w:ascii="Tahoma" w:hAnsi="Tahoma" w:cs="Tahoma"/>
          <w:b/>
          <w:bCs/>
          <w:sz w:val="20"/>
          <w:szCs w:val="20"/>
        </w:rPr>
        <w:t>des</w:t>
      </w:r>
      <w:r w:rsidR="00DB1635" w:rsidRPr="00B004EE">
        <w:rPr>
          <w:rFonts w:ascii="Tahoma" w:hAnsi="Tahoma" w:cs="Tahoma"/>
          <w:b/>
          <w:bCs/>
          <w:sz w:val="20"/>
          <w:szCs w:val="20"/>
        </w:rPr>
        <w:t xml:space="preserve"> </w:t>
      </w:r>
      <w:r w:rsidRPr="00B004EE">
        <w:rPr>
          <w:rFonts w:ascii="Tahoma" w:hAnsi="Tahoma" w:cs="Tahoma"/>
          <w:b/>
          <w:bCs/>
          <w:sz w:val="20"/>
          <w:szCs w:val="20"/>
        </w:rPr>
        <w:t>eaux</w:t>
      </w:r>
      <w:r w:rsidR="00DB1635" w:rsidRPr="00B004EE">
        <w:rPr>
          <w:rFonts w:ascii="Tahoma" w:hAnsi="Tahoma" w:cs="Tahoma"/>
          <w:b/>
          <w:bCs/>
          <w:sz w:val="20"/>
          <w:szCs w:val="20"/>
        </w:rPr>
        <w:t xml:space="preserve"> </w:t>
      </w:r>
      <w:r w:rsidRPr="00B004EE">
        <w:rPr>
          <w:rFonts w:ascii="Tahoma" w:hAnsi="Tahoma" w:cs="Tahoma"/>
          <w:b/>
          <w:bCs/>
          <w:sz w:val="20"/>
          <w:szCs w:val="20"/>
        </w:rPr>
        <w:t>sous</w:t>
      </w:r>
      <w:r w:rsidR="00DB1635" w:rsidRPr="00B004EE">
        <w:rPr>
          <w:rFonts w:ascii="Tahoma" w:hAnsi="Tahoma" w:cs="Tahoma"/>
          <w:b/>
          <w:bCs/>
          <w:sz w:val="20"/>
          <w:szCs w:val="20"/>
        </w:rPr>
        <w:t xml:space="preserve"> </w:t>
      </w:r>
      <w:r w:rsidRPr="00B004EE">
        <w:rPr>
          <w:rFonts w:ascii="Tahoma" w:hAnsi="Tahoma" w:cs="Tahoma"/>
          <w:b/>
          <w:bCs/>
          <w:sz w:val="20"/>
          <w:szCs w:val="20"/>
        </w:rPr>
        <w:t>juridiction</w:t>
      </w:r>
      <w:r w:rsidR="00DB1635" w:rsidRPr="00B004EE">
        <w:rPr>
          <w:rFonts w:ascii="Tahoma" w:hAnsi="Tahoma" w:cs="Tahoma"/>
          <w:b/>
          <w:bCs/>
          <w:sz w:val="20"/>
          <w:szCs w:val="20"/>
        </w:rPr>
        <w:t xml:space="preserve"> </w:t>
      </w:r>
      <w:r w:rsidRPr="00B004EE">
        <w:rPr>
          <w:rFonts w:ascii="Tahoma" w:hAnsi="Tahoma" w:cs="Tahoma"/>
          <w:b/>
          <w:bCs/>
          <w:sz w:val="20"/>
          <w:szCs w:val="20"/>
        </w:rPr>
        <w:t>mauritaniennes</w:t>
      </w:r>
    </w:p>
    <w:p w14:paraId="1AF51153" w14:textId="77777777" w:rsidR="008518B0" w:rsidRPr="00B004EE" w:rsidRDefault="008518B0" w:rsidP="00B004EE">
      <w:pPr>
        <w:pStyle w:val="article"/>
        <w:numPr>
          <w:ilvl w:val="12"/>
          <w:numId w:val="0"/>
        </w:numPr>
        <w:spacing w:before="0" w:line="240" w:lineRule="auto"/>
        <w:jc w:val="center"/>
        <w:rPr>
          <w:rFonts w:ascii="Tahoma" w:hAnsi="Tahoma" w:cs="Tahoma"/>
          <w:b/>
          <w:bCs/>
          <w:sz w:val="20"/>
          <w:szCs w:val="20"/>
        </w:rPr>
      </w:pPr>
    </w:p>
    <w:p w14:paraId="46A6648F" w14:textId="1EAAF2AA" w:rsidR="008518B0" w:rsidRPr="00B004EE" w:rsidRDefault="008518B0" w:rsidP="00B004EE">
      <w:pPr>
        <w:pStyle w:val="article"/>
        <w:numPr>
          <w:ilvl w:val="12"/>
          <w:numId w:val="0"/>
        </w:numPr>
        <w:spacing w:before="0" w:line="240" w:lineRule="auto"/>
        <w:rPr>
          <w:rFonts w:ascii="Tahoma" w:hAnsi="Tahoma" w:cs="Tahoma"/>
          <w:sz w:val="20"/>
          <w:szCs w:val="20"/>
        </w:rPr>
      </w:pPr>
      <w:r w:rsidRPr="00B004EE">
        <w:rPr>
          <w:rFonts w:ascii="Tahoma" w:hAnsi="Tahoma" w:cs="Tahoma"/>
          <w:sz w:val="20"/>
          <w:szCs w:val="20"/>
        </w:rPr>
        <w:t>Article</w:t>
      </w:r>
      <w:r w:rsidR="00DB1635" w:rsidRPr="00B004EE">
        <w:rPr>
          <w:rFonts w:ascii="Tahoma" w:hAnsi="Tahoma" w:cs="Tahoma"/>
          <w:sz w:val="20"/>
          <w:szCs w:val="20"/>
        </w:rPr>
        <w:t xml:space="preserve"> </w:t>
      </w:r>
      <w:r w:rsidRPr="00B004EE">
        <w:rPr>
          <w:rFonts w:ascii="Tahoma" w:hAnsi="Tahoma" w:cs="Tahoma"/>
          <w:sz w:val="20"/>
          <w:szCs w:val="20"/>
        </w:rPr>
        <w:t>26</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navires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opérant</w:t>
      </w:r>
      <w:r w:rsidR="00DB1635" w:rsidRPr="00B004EE">
        <w:rPr>
          <w:rFonts w:ascii="Tahoma" w:hAnsi="Tahoma" w:cs="Tahoma"/>
          <w:sz w:val="20"/>
          <w:szCs w:val="20"/>
        </w:rPr>
        <w:t xml:space="preserve"> </w:t>
      </w:r>
      <w:r w:rsidRPr="00B004EE">
        <w:rPr>
          <w:rFonts w:ascii="Tahoma" w:hAnsi="Tahoma" w:cs="Tahoma"/>
          <w:sz w:val="20"/>
          <w:szCs w:val="20"/>
        </w:rPr>
        <w:t>sous</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régime</w:t>
      </w:r>
      <w:r w:rsidR="00DB1635" w:rsidRPr="00B004EE">
        <w:rPr>
          <w:rFonts w:ascii="Tahoma" w:hAnsi="Tahoma" w:cs="Tahoma"/>
          <w:sz w:val="20"/>
          <w:szCs w:val="20"/>
        </w:rPr>
        <w:t xml:space="preserve"> </w:t>
      </w:r>
      <w:r w:rsidRPr="00B004EE">
        <w:rPr>
          <w:rFonts w:ascii="Tahoma" w:hAnsi="Tahoma" w:cs="Tahoma"/>
          <w:sz w:val="20"/>
          <w:szCs w:val="20"/>
        </w:rPr>
        <w:t>national</w:t>
      </w:r>
      <w:r w:rsidR="00DB1635" w:rsidRPr="00B004EE">
        <w:rPr>
          <w:rFonts w:ascii="Tahoma" w:hAnsi="Tahoma" w:cs="Tahoma"/>
          <w:sz w:val="20"/>
          <w:szCs w:val="20"/>
        </w:rPr>
        <w:t xml:space="preserve"> </w:t>
      </w:r>
      <w:r w:rsidRPr="00B004EE">
        <w:rPr>
          <w:rFonts w:ascii="Tahoma" w:hAnsi="Tahoma" w:cs="Tahoma"/>
          <w:sz w:val="20"/>
          <w:szCs w:val="20"/>
        </w:rPr>
        <w:t>prévu</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l’article</w:t>
      </w:r>
      <w:r w:rsidR="00DB1635" w:rsidRPr="00B004EE">
        <w:rPr>
          <w:rFonts w:ascii="Tahoma" w:hAnsi="Tahoma" w:cs="Tahoma"/>
          <w:sz w:val="20"/>
          <w:szCs w:val="20"/>
        </w:rPr>
        <w:t xml:space="preserve"> </w:t>
      </w:r>
      <w:r w:rsidRPr="00B004EE">
        <w:rPr>
          <w:rFonts w:ascii="Tahoma" w:hAnsi="Tahoma" w:cs="Tahoma"/>
          <w:sz w:val="20"/>
          <w:szCs w:val="20"/>
        </w:rPr>
        <w:t>33</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loi</w:t>
      </w:r>
      <w:r w:rsidR="00DB1635" w:rsidRPr="00B004EE">
        <w:rPr>
          <w:rFonts w:ascii="Tahoma" w:hAnsi="Tahoma" w:cs="Tahoma"/>
          <w:sz w:val="20"/>
          <w:szCs w:val="20"/>
        </w:rPr>
        <w:t xml:space="preserve"> </w:t>
      </w:r>
      <w:r w:rsidRPr="00B004EE">
        <w:rPr>
          <w:rFonts w:ascii="Tahoma" w:hAnsi="Tahoma" w:cs="Tahoma"/>
          <w:sz w:val="20"/>
          <w:szCs w:val="20"/>
        </w:rPr>
        <w:t>n°017-2015</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29</w:t>
      </w:r>
      <w:r w:rsidR="00DB1635" w:rsidRPr="00B004EE">
        <w:rPr>
          <w:rFonts w:ascii="Tahoma" w:hAnsi="Tahoma" w:cs="Tahoma"/>
          <w:sz w:val="20"/>
          <w:szCs w:val="20"/>
        </w:rPr>
        <w:t xml:space="preserve"> </w:t>
      </w:r>
      <w:r w:rsidRPr="00B004EE">
        <w:rPr>
          <w:rFonts w:ascii="Tahoma" w:hAnsi="Tahoma" w:cs="Tahoma"/>
          <w:sz w:val="20"/>
          <w:szCs w:val="20"/>
        </w:rPr>
        <w:t>juillet</w:t>
      </w:r>
      <w:r w:rsidR="00DB1635" w:rsidRPr="00B004EE">
        <w:rPr>
          <w:rFonts w:ascii="Tahoma" w:hAnsi="Tahoma" w:cs="Tahoma"/>
          <w:sz w:val="20"/>
          <w:szCs w:val="20"/>
        </w:rPr>
        <w:t xml:space="preserve"> </w:t>
      </w:r>
      <w:r w:rsidRPr="00B004EE">
        <w:rPr>
          <w:rFonts w:ascii="Tahoma" w:hAnsi="Tahoma" w:cs="Tahoma"/>
          <w:sz w:val="20"/>
          <w:szCs w:val="20"/>
        </w:rPr>
        <w:t>2105</w:t>
      </w:r>
      <w:r w:rsidR="00DB1635" w:rsidRPr="00B004EE">
        <w:rPr>
          <w:rFonts w:ascii="Tahoma" w:hAnsi="Tahoma" w:cs="Tahoma"/>
          <w:sz w:val="20"/>
          <w:szCs w:val="20"/>
        </w:rPr>
        <w:t xml:space="preserve"> </w:t>
      </w:r>
      <w:r w:rsidRPr="00B004EE">
        <w:rPr>
          <w:rFonts w:ascii="Tahoma" w:hAnsi="Tahoma" w:cs="Tahoma"/>
          <w:sz w:val="20"/>
          <w:szCs w:val="20"/>
        </w:rPr>
        <w:t>portant</w:t>
      </w:r>
      <w:r w:rsidR="00DB1635" w:rsidRPr="00B004EE">
        <w:rPr>
          <w:rFonts w:ascii="Tahoma" w:hAnsi="Tahoma" w:cs="Tahoma"/>
          <w:sz w:val="20"/>
          <w:szCs w:val="20"/>
        </w:rPr>
        <w:t xml:space="preserve"> </w:t>
      </w:r>
      <w:r w:rsidRPr="00B004EE">
        <w:rPr>
          <w:rFonts w:ascii="Tahoma" w:hAnsi="Tahoma" w:cs="Tahoma"/>
          <w:sz w:val="20"/>
          <w:szCs w:val="20"/>
        </w:rPr>
        <w:t>Code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navires</w:t>
      </w:r>
      <w:r w:rsidR="00DB1635" w:rsidRPr="00B004EE">
        <w:rPr>
          <w:rFonts w:ascii="Tahoma" w:hAnsi="Tahoma" w:cs="Tahoma"/>
          <w:sz w:val="20"/>
          <w:szCs w:val="20"/>
        </w:rPr>
        <w:t xml:space="preserve"> </w:t>
      </w:r>
      <w:r w:rsidRPr="00B004EE">
        <w:rPr>
          <w:rFonts w:ascii="Tahoma" w:hAnsi="Tahoma" w:cs="Tahoma"/>
          <w:sz w:val="20"/>
          <w:szCs w:val="20"/>
        </w:rPr>
        <w:t>dont</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concessionnaire</w:t>
      </w:r>
      <w:r w:rsidR="00DB1635" w:rsidRPr="00B004EE">
        <w:rPr>
          <w:rFonts w:ascii="Tahoma" w:hAnsi="Tahoma" w:cs="Tahoma"/>
          <w:sz w:val="20"/>
          <w:szCs w:val="20"/>
        </w:rPr>
        <w:t xml:space="preserve"> </w:t>
      </w:r>
      <w:r w:rsidRPr="00B004EE">
        <w:rPr>
          <w:rFonts w:ascii="Tahoma" w:hAnsi="Tahoma" w:cs="Tahoma"/>
          <w:sz w:val="20"/>
          <w:szCs w:val="20"/>
        </w:rPr>
        <w:t>débarque,</w:t>
      </w:r>
      <w:r w:rsidR="00DB1635" w:rsidRPr="00B004EE">
        <w:rPr>
          <w:rFonts w:ascii="Tahoma" w:hAnsi="Tahoma" w:cs="Tahoma"/>
          <w:sz w:val="20"/>
          <w:szCs w:val="20"/>
        </w:rPr>
        <w:t xml:space="preserve"> </w:t>
      </w:r>
      <w:r w:rsidRPr="00B004EE">
        <w:rPr>
          <w:rFonts w:ascii="Tahoma" w:hAnsi="Tahoma" w:cs="Tahoma"/>
          <w:sz w:val="20"/>
          <w:szCs w:val="20"/>
        </w:rPr>
        <w:t>traite,</w:t>
      </w:r>
      <w:r w:rsidR="00DB1635" w:rsidRPr="00B004EE">
        <w:rPr>
          <w:rFonts w:ascii="Tahoma" w:hAnsi="Tahoma" w:cs="Tahoma"/>
          <w:sz w:val="20"/>
          <w:szCs w:val="20"/>
        </w:rPr>
        <w:t xml:space="preserve"> </w:t>
      </w:r>
      <w:r w:rsidRPr="00B004EE">
        <w:rPr>
          <w:rFonts w:ascii="Tahoma" w:hAnsi="Tahoma" w:cs="Tahoma"/>
          <w:sz w:val="20"/>
          <w:szCs w:val="20"/>
        </w:rPr>
        <w:t>valorise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commercialise</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partir</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Mauritanie.</w:t>
      </w:r>
      <w:r w:rsidR="00DB1635" w:rsidRPr="00B004EE">
        <w:rPr>
          <w:rFonts w:ascii="Tahoma" w:hAnsi="Tahoma" w:cs="Tahoma"/>
          <w:sz w:val="20"/>
          <w:szCs w:val="20"/>
        </w:rPr>
        <w:t xml:space="preserve"> </w:t>
      </w:r>
      <w:r w:rsidRPr="00B004EE">
        <w:rPr>
          <w:rFonts w:ascii="Tahoma" w:hAnsi="Tahoma" w:cs="Tahoma"/>
          <w:sz w:val="20"/>
          <w:szCs w:val="20"/>
        </w:rPr>
        <w:t>Ces</w:t>
      </w:r>
      <w:r w:rsidR="00DB1635" w:rsidRPr="00B004EE">
        <w:rPr>
          <w:rFonts w:ascii="Tahoma" w:hAnsi="Tahoma" w:cs="Tahoma"/>
          <w:sz w:val="20"/>
          <w:szCs w:val="20"/>
        </w:rPr>
        <w:t xml:space="preserve"> </w:t>
      </w:r>
      <w:r w:rsidRPr="00B004EE">
        <w:rPr>
          <w:rFonts w:ascii="Tahoma" w:hAnsi="Tahoma" w:cs="Tahoma"/>
          <w:sz w:val="20"/>
          <w:szCs w:val="20"/>
        </w:rPr>
        <w:t>navires</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w:t>
      </w:r>
    </w:p>
    <w:p w14:paraId="786C9FC2" w14:textId="77777777" w:rsidR="008518B0" w:rsidRPr="00B004EE" w:rsidRDefault="008518B0" w:rsidP="00B004EE">
      <w:pPr>
        <w:pStyle w:val="Paragraphedeliste1"/>
        <w:spacing w:after="0" w:line="240" w:lineRule="auto"/>
        <w:ind w:left="360"/>
        <w:rPr>
          <w:rFonts w:ascii="Tahoma" w:hAnsi="Tahoma" w:cs="Tahoma"/>
          <w:sz w:val="20"/>
          <w:szCs w:val="20"/>
          <w:lang w:val="fr-FR"/>
        </w:rPr>
      </w:pPr>
    </w:p>
    <w:p w14:paraId="7A39BF32" w14:textId="65D0E26F" w:rsidR="008518B0" w:rsidRPr="00B004EE" w:rsidRDefault="008518B0" w:rsidP="00420DDA">
      <w:pPr>
        <w:numPr>
          <w:ilvl w:val="0"/>
          <w:numId w:val="49"/>
        </w:numPr>
        <w:tabs>
          <w:tab w:val="left" w:pos="-1440"/>
        </w:tabs>
        <w:ind w:left="426" w:hanging="284"/>
        <w:jc w:val="both"/>
        <w:rPr>
          <w:rFonts w:ascii="Tahoma" w:hAnsi="Tahoma" w:cs="Tahoma"/>
          <w:sz w:val="20"/>
          <w:szCs w:val="20"/>
        </w:rPr>
      </w:pPr>
      <w:proofErr w:type="gramStart"/>
      <w:r w:rsidRPr="00B004EE">
        <w:rPr>
          <w:rFonts w:ascii="Tahoma" w:hAnsi="Tahoma" w:cs="Tahoma"/>
          <w:sz w:val="20"/>
          <w:szCs w:val="20"/>
        </w:rPr>
        <w:t>les</w:t>
      </w:r>
      <w:proofErr w:type="gramEnd"/>
      <w:r w:rsidR="00DB1635" w:rsidRPr="00B004EE">
        <w:rPr>
          <w:rFonts w:ascii="Tahoma" w:hAnsi="Tahoma" w:cs="Tahoma"/>
          <w:sz w:val="20"/>
          <w:szCs w:val="20"/>
        </w:rPr>
        <w:t xml:space="preserve"> </w:t>
      </w:r>
      <w:r w:rsidRPr="00B004EE">
        <w:rPr>
          <w:rFonts w:ascii="Tahoma" w:hAnsi="Tahoma" w:cs="Tahoma"/>
          <w:sz w:val="20"/>
          <w:szCs w:val="20"/>
        </w:rPr>
        <w:t>navires</w:t>
      </w:r>
      <w:r w:rsidR="00DB1635" w:rsidRPr="00B004EE">
        <w:rPr>
          <w:rFonts w:ascii="Tahoma" w:hAnsi="Tahoma" w:cs="Tahoma"/>
          <w:sz w:val="20"/>
          <w:szCs w:val="20"/>
        </w:rPr>
        <w:t xml:space="preserve"> </w:t>
      </w:r>
      <w:r w:rsidRPr="00B004EE">
        <w:rPr>
          <w:rFonts w:ascii="Tahoma" w:hAnsi="Tahoma" w:cs="Tahoma"/>
          <w:sz w:val="20"/>
          <w:szCs w:val="20"/>
        </w:rPr>
        <w:t>appartenant</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personnes</w:t>
      </w:r>
      <w:r w:rsidR="00DB1635" w:rsidRPr="00B004EE">
        <w:rPr>
          <w:rFonts w:ascii="Tahoma" w:hAnsi="Tahoma" w:cs="Tahoma"/>
          <w:sz w:val="20"/>
          <w:szCs w:val="20"/>
        </w:rPr>
        <w:t xml:space="preserve"> </w:t>
      </w:r>
      <w:r w:rsidRPr="00B004EE">
        <w:rPr>
          <w:rFonts w:ascii="Tahoma" w:hAnsi="Tahoma" w:cs="Tahoma"/>
          <w:sz w:val="20"/>
          <w:szCs w:val="20"/>
        </w:rPr>
        <w:t>physiques</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morales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droit</w:t>
      </w:r>
      <w:r w:rsidR="00DB1635" w:rsidRPr="00B004EE">
        <w:rPr>
          <w:rFonts w:ascii="Tahoma" w:hAnsi="Tahoma" w:cs="Tahoma"/>
          <w:sz w:val="20"/>
          <w:szCs w:val="20"/>
        </w:rPr>
        <w:t xml:space="preserve"> </w:t>
      </w:r>
      <w:r w:rsidRPr="00B004EE">
        <w:rPr>
          <w:rFonts w:ascii="Tahoma" w:hAnsi="Tahoma" w:cs="Tahoma"/>
          <w:sz w:val="20"/>
          <w:szCs w:val="20"/>
        </w:rPr>
        <w:t>mauritaniens</w:t>
      </w:r>
      <w:r w:rsidR="00DB1635" w:rsidRPr="00B004EE">
        <w:rPr>
          <w:rFonts w:ascii="Tahoma" w:hAnsi="Tahoma" w:cs="Tahoma"/>
          <w:sz w:val="20"/>
          <w:szCs w:val="20"/>
        </w:rPr>
        <w:t xml:space="preserve"> </w:t>
      </w:r>
      <w:r w:rsidRPr="00B004EE">
        <w:rPr>
          <w:rFonts w:ascii="Tahoma" w:hAnsi="Tahoma" w:cs="Tahoma"/>
          <w:sz w:val="20"/>
          <w:szCs w:val="20"/>
        </w:rPr>
        <w:t>;</w:t>
      </w:r>
    </w:p>
    <w:p w14:paraId="1468ECC2" w14:textId="223AFC96" w:rsidR="008518B0" w:rsidRPr="00B004EE" w:rsidRDefault="00DB1635" w:rsidP="00420DDA">
      <w:pPr>
        <w:numPr>
          <w:ilvl w:val="0"/>
          <w:numId w:val="49"/>
        </w:numPr>
        <w:tabs>
          <w:tab w:val="left" w:pos="-1440"/>
        </w:tabs>
        <w:ind w:left="426" w:hanging="284"/>
        <w:jc w:val="both"/>
        <w:rPr>
          <w:rFonts w:ascii="Tahoma" w:hAnsi="Tahoma" w:cs="Tahoma"/>
          <w:sz w:val="20"/>
          <w:szCs w:val="20"/>
        </w:rPr>
      </w:pPr>
      <w:r w:rsidRPr="00B004EE">
        <w:rPr>
          <w:rFonts w:ascii="Tahoma" w:hAnsi="Tahoma" w:cs="Tahoma"/>
          <w:sz w:val="20"/>
          <w:szCs w:val="20"/>
        </w:rPr>
        <w:t xml:space="preserve"> </w:t>
      </w:r>
      <w:proofErr w:type="gramStart"/>
      <w:r w:rsidR="008518B0" w:rsidRPr="00B004EE">
        <w:rPr>
          <w:rFonts w:ascii="Tahoma" w:hAnsi="Tahoma" w:cs="Tahoma"/>
          <w:sz w:val="20"/>
          <w:szCs w:val="20"/>
        </w:rPr>
        <w:t>les</w:t>
      </w:r>
      <w:proofErr w:type="gramEnd"/>
      <w:r w:rsidRPr="00B004EE">
        <w:rPr>
          <w:rFonts w:ascii="Tahoma" w:hAnsi="Tahoma" w:cs="Tahoma"/>
          <w:sz w:val="20"/>
          <w:szCs w:val="20"/>
        </w:rPr>
        <w:t xml:space="preserve"> </w:t>
      </w:r>
      <w:r w:rsidR="008518B0" w:rsidRPr="00B004EE">
        <w:rPr>
          <w:rFonts w:ascii="Tahoma" w:hAnsi="Tahoma" w:cs="Tahoma"/>
          <w:sz w:val="20"/>
          <w:szCs w:val="20"/>
        </w:rPr>
        <w:t>navires</w:t>
      </w:r>
      <w:r w:rsidRPr="00B004EE">
        <w:rPr>
          <w:rFonts w:ascii="Tahoma" w:hAnsi="Tahoma" w:cs="Tahoma"/>
          <w:sz w:val="20"/>
          <w:szCs w:val="20"/>
        </w:rPr>
        <w:t xml:space="preserve"> </w:t>
      </w:r>
      <w:r w:rsidR="008518B0" w:rsidRPr="00B004EE">
        <w:rPr>
          <w:rFonts w:ascii="Tahoma" w:hAnsi="Tahoma" w:cs="Tahoma"/>
          <w:sz w:val="20"/>
          <w:szCs w:val="20"/>
        </w:rPr>
        <w:t>étrangers</w:t>
      </w:r>
      <w:r w:rsidRPr="00B004EE">
        <w:rPr>
          <w:rFonts w:ascii="Tahoma" w:hAnsi="Tahoma" w:cs="Tahoma"/>
          <w:sz w:val="20"/>
          <w:szCs w:val="20"/>
        </w:rPr>
        <w:t xml:space="preserve"> </w:t>
      </w:r>
      <w:r w:rsidR="008518B0" w:rsidRPr="00B004EE">
        <w:rPr>
          <w:rFonts w:ascii="Tahoma" w:hAnsi="Tahoma" w:cs="Tahoma"/>
          <w:sz w:val="20"/>
          <w:szCs w:val="20"/>
        </w:rPr>
        <w:t>appartenant</w:t>
      </w:r>
      <w:r w:rsidRPr="00B004EE">
        <w:rPr>
          <w:rFonts w:ascii="Tahoma" w:hAnsi="Tahoma" w:cs="Tahoma"/>
          <w:sz w:val="20"/>
          <w:szCs w:val="20"/>
        </w:rPr>
        <w:t xml:space="preserve"> </w:t>
      </w:r>
      <w:r w:rsidR="008518B0" w:rsidRPr="00B004EE">
        <w:rPr>
          <w:rFonts w:ascii="Tahoma" w:hAnsi="Tahoma" w:cs="Tahoma"/>
          <w:sz w:val="20"/>
          <w:szCs w:val="20"/>
        </w:rPr>
        <w:t>à</w:t>
      </w:r>
      <w:r w:rsidRPr="00B004EE">
        <w:rPr>
          <w:rFonts w:ascii="Tahoma" w:hAnsi="Tahoma" w:cs="Tahoma"/>
          <w:sz w:val="20"/>
          <w:szCs w:val="20"/>
        </w:rPr>
        <w:t xml:space="preserve"> </w:t>
      </w:r>
      <w:r w:rsidR="008518B0" w:rsidRPr="00B004EE">
        <w:rPr>
          <w:rFonts w:ascii="Tahoma" w:hAnsi="Tahoma" w:cs="Tahoma"/>
          <w:sz w:val="20"/>
          <w:szCs w:val="20"/>
        </w:rPr>
        <w:t>des</w:t>
      </w:r>
      <w:r w:rsidRPr="00B004EE">
        <w:rPr>
          <w:rFonts w:ascii="Tahoma" w:hAnsi="Tahoma" w:cs="Tahoma"/>
          <w:sz w:val="20"/>
          <w:szCs w:val="20"/>
        </w:rPr>
        <w:t xml:space="preserve"> </w:t>
      </w:r>
      <w:r w:rsidR="008518B0" w:rsidRPr="00B004EE">
        <w:rPr>
          <w:rFonts w:ascii="Tahoma" w:hAnsi="Tahoma" w:cs="Tahoma"/>
          <w:sz w:val="20"/>
          <w:szCs w:val="20"/>
        </w:rPr>
        <w:t>personnes</w:t>
      </w:r>
      <w:r w:rsidRPr="00B004EE">
        <w:rPr>
          <w:rFonts w:ascii="Tahoma" w:hAnsi="Tahoma" w:cs="Tahoma"/>
          <w:sz w:val="20"/>
          <w:szCs w:val="20"/>
        </w:rPr>
        <w:t xml:space="preserve"> </w:t>
      </w:r>
      <w:r w:rsidR="008518B0" w:rsidRPr="00B004EE">
        <w:rPr>
          <w:rFonts w:ascii="Tahoma" w:hAnsi="Tahoma" w:cs="Tahoma"/>
          <w:sz w:val="20"/>
          <w:szCs w:val="20"/>
        </w:rPr>
        <w:t>physiques</w:t>
      </w:r>
      <w:r w:rsidRPr="00B004EE">
        <w:rPr>
          <w:rFonts w:ascii="Tahoma" w:hAnsi="Tahoma" w:cs="Tahoma"/>
          <w:sz w:val="20"/>
          <w:szCs w:val="20"/>
        </w:rPr>
        <w:t xml:space="preserve"> </w:t>
      </w:r>
      <w:r w:rsidR="008518B0" w:rsidRPr="00B004EE">
        <w:rPr>
          <w:rFonts w:ascii="Tahoma" w:hAnsi="Tahoma" w:cs="Tahoma"/>
          <w:sz w:val="20"/>
          <w:szCs w:val="20"/>
        </w:rPr>
        <w:t>ayant</w:t>
      </w:r>
      <w:r w:rsidRPr="00B004EE">
        <w:rPr>
          <w:rFonts w:ascii="Tahoma" w:hAnsi="Tahoma" w:cs="Tahoma"/>
          <w:sz w:val="20"/>
          <w:szCs w:val="20"/>
        </w:rPr>
        <w:t xml:space="preserve"> </w:t>
      </w:r>
      <w:r w:rsidR="008518B0" w:rsidRPr="00B004EE">
        <w:rPr>
          <w:rFonts w:ascii="Tahoma" w:hAnsi="Tahoma" w:cs="Tahoma"/>
          <w:sz w:val="20"/>
          <w:szCs w:val="20"/>
        </w:rPr>
        <w:t>la</w:t>
      </w:r>
      <w:r w:rsidRPr="00B004EE">
        <w:rPr>
          <w:rFonts w:ascii="Tahoma" w:hAnsi="Tahoma" w:cs="Tahoma"/>
          <w:sz w:val="20"/>
          <w:szCs w:val="20"/>
        </w:rPr>
        <w:t xml:space="preserve"> </w:t>
      </w:r>
      <w:r w:rsidR="008518B0" w:rsidRPr="00B004EE">
        <w:rPr>
          <w:rFonts w:ascii="Tahoma" w:hAnsi="Tahoma" w:cs="Tahoma"/>
          <w:sz w:val="20"/>
          <w:szCs w:val="20"/>
        </w:rPr>
        <w:t>nationalité</w:t>
      </w:r>
      <w:r w:rsidRPr="00B004EE">
        <w:rPr>
          <w:rFonts w:ascii="Tahoma" w:hAnsi="Tahoma" w:cs="Tahoma"/>
          <w:sz w:val="20"/>
          <w:szCs w:val="20"/>
        </w:rPr>
        <w:t xml:space="preserve"> </w:t>
      </w:r>
      <w:r w:rsidR="008518B0" w:rsidRPr="00B004EE">
        <w:rPr>
          <w:rFonts w:ascii="Tahoma" w:hAnsi="Tahoma" w:cs="Tahoma"/>
          <w:sz w:val="20"/>
          <w:szCs w:val="20"/>
        </w:rPr>
        <w:t>d’un</w:t>
      </w:r>
      <w:r w:rsidRPr="00B004EE">
        <w:rPr>
          <w:rFonts w:ascii="Tahoma" w:hAnsi="Tahoma" w:cs="Tahoma"/>
          <w:sz w:val="20"/>
          <w:szCs w:val="20"/>
        </w:rPr>
        <w:t xml:space="preserve"> </w:t>
      </w:r>
      <w:r w:rsidR="008518B0" w:rsidRPr="00B004EE">
        <w:rPr>
          <w:rFonts w:ascii="Tahoma" w:hAnsi="Tahoma" w:cs="Tahoma"/>
          <w:sz w:val="20"/>
          <w:szCs w:val="20"/>
        </w:rPr>
        <w:t>Etat</w:t>
      </w:r>
      <w:r w:rsidRPr="00B004EE">
        <w:rPr>
          <w:rFonts w:ascii="Tahoma" w:hAnsi="Tahoma" w:cs="Tahoma"/>
          <w:sz w:val="20"/>
          <w:szCs w:val="20"/>
        </w:rPr>
        <w:t xml:space="preserve"> </w:t>
      </w:r>
      <w:r w:rsidR="008518B0" w:rsidRPr="00B004EE">
        <w:rPr>
          <w:rFonts w:ascii="Tahoma" w:hAnsi="Tahoma" w:cs="Tahoma"/>
          <w:sz w:val="20"/>
          <w:szCs w:val="20"/>
        </w:rPr>
        <w:t>avec</w:t>
      </w:r>
      <w:r w:rsidRPr="00B004EE">
        <w:rPr>
          <w:rFonts w:ascii="Tahoma" w:hAnsi="Tahoma" w:cs="Tahoma"/>
          <w:sz w:val="20"/>
          <w:szCs w:val="20"/>
        </w:rPr>
        <w:t xml:space="preserve"> </w:t>
      </w:r>
      <w:r w:rsidR="008518B0" w:rsidRPr="00B004EE">
        <w:rPr>
          <w:rFonts w:ascii="Tahoma" w:hAnsi="Tahoma" w:cs="Tahoma"/>
          <w:sz w:val="20"/>
          <w:szCs w:val="20"/>
        </w:rPr>
        <w:t>lequel</w:t>
      </w:r>
      <w:r w:rsidRPr="00B004EE">
        <w:rPr>
          <w:rFonts w:ascii="Tahoma" w:hAnsi="Tahoma" w:cs="Tahoma"/>
          <w:sz w:val="20"/>
          <w:szCs w:val="20"/>
        </w:rPr>
        <w:t xml:space="preserve"> </w:t>
      </w:r>
      <w:r w:rsidR="008518B0" w:rsidRPr="00B004EE">
        <w:rPr>
          <w:rFonts w:ascii="Tahoma" w:hAnsi="Tahoma" w:cs="Tahoma"/>
          <w:sz w:val="20"/>
          <w:szCs w:val="20"/>
        </w:rPr>
        <w:t>a</w:t>
      </w:r>
      <w:r w:rsidRPr="00B004EE">
        <w:rPr>
          <w:rFonts w:ascii="Tahoma" w:hAnsi="Tahoma" w:cs="Tahoma"/>
          <w:sz w:val="20"/>
          <w:szCs w:val="20"/>
        </w:rPr>
        <w:t xml:space="preserve"> </w:t>
      </w:r>
      <w:r w:rsidR="008518B0" w:rsidRPr="00B004EE">
        <w:rPr>
          <w:rFonts w:ascii="Tahoma" w:hAnsi="Tahoma" w:cs="Tahoma"/>
          <w:sz w:val="20"/>
          <w:szCs w:val="20"/>
        </w:rPr>
        <w:t>été</w:t>
      </w:r>
      <w:r w:rsidRPr="00B004EE">
        <w:rPr>
          <w:rFonts w:ascii="Tahoma" w:hAnsi="Tahoma" w:cs="Tahoma"/>
          <w:sz w:val="20"/>
          <w:szCs w:val="20"/>
        </w:rPr>
        <w:t xml:space="preserve"> </w:t>
      </w:r>
      <w:r w:rsidR="008518B0" w:rsidRPr="00B004EE">
        <w:rPr>
          <w:rFonts w:ascii="Tahoma" w:hAnsi="Tahoma" w:cs="Tahoma"/>
          <w:sz w:val="20"/>
          <w:szCs w:val="20"/>
        </w:rPr>
        <w:t>passé</w:t>
      </w:r>
      <w:r w:rsidRPr="00B004EE">
        <w:rPr>
          <w:rFonts w:ascii="Tahoma" w:hAnsi="Tahoma" w:cs="Tahoma"/>
          <w:sz w:val="20"/>
          <w:szCs w:val="20"/>
        </w:rPr>
        <w:t xml:space="preserve"> </w:t>
      </w:r>
      <w:r w:rsidR="008518B0" w:rsidRPr="00B004EE">
        <w:rPr>
          <w:rFonts w:ascii="Tahoma" w:hAnsi="Tahoma" w:cs="Tahoma"/>
          <w:sz w:val="20"/>
          <w:szCs w:val="20"/>
        </w:rPr>
        <w:t>un</w:t>
      </w:r>
      <w:r w:rsidRPr="00B004EE">
        <w:rPr>
          <w:rFonts w:ascii="Tahoma" w:hAnsi="Tahoma" w:cs="Tahoma"/>
          <w:sz w:val="20"/>
          <w:szCs w:val="20"/>
        </w:rPr>
        <w:t xml:space="preserve"> </w:t>
      </w:r>
      <w:r w:rsidR="008518B0" w:rsidRPr="00B004EE">
        <w:rPr>
          <w:rFonts w:ascii="Tahoma" w:hAnsi="Tahoma" w:cs="Tahoma"/>
          <w:sz w:val="20"/>
          <w:szCs w:val="20"/>
        </w:rPr>
        <w:t>accord</w:t>
      </w:r>
      <w:r w:rsidRPr="00B004EE">
        <w:rPr>
          <w:rFonts w:ascii="Tahoma" w:hAnsi="Tahoma" w:cs="Tahoma"/>
          <w:sz w:val="20"/>
          <w:szCs w:val="20"/>
        </w:rPr>
        <w:t xml:space="preserve"> </w:t>
      </w:r>
      <w:r w:rsidR="008518B0" w:rsidRPr="00B004EE">
        <w:rPr>
          <w:rFonts w:ascii="Tahoma" w:hAnsi="Tahoma" w:cs="Tahoma"/>
          <w:sz w:val="20"/>
          <w:szCs w:val="20"/>
        </w:rPr>
        <w:t>de</w:t>
      </w:r>
      <w:r w:rsidRPr="00B004EE">
        <w:rPr>
          <w:rFonts w:ascii="Tahoma" w:hAnsi="Tahoma" w:cs="Tahoma"/>
          <w:sz w:val="20"/>
          <w:szCs w:val="20"/>
        </w:rPr>
        <w:t xml:space="preserve"> </w:t>
      </w:r>
      <w:r w:rsidR="008518B0" w:rsidRPr="00B004EE">
        <w:rPr>
          <w:rFonts w:ascii="Tahoma" w:hAnsi="Tahoma" w:cs="Tahoma"/>
          <w:sz w:val="20"/>
          <w:szCs w:val="20"/>
        </w:rPr>
        <w:t>réciprocité</w:t>
      </w:r>
      <w:r w:rsidRPr="00B004EE">
        <w:rPr>
          <w:rFonts w:ascii="Tahoma" w:hAnsi="Tahoma" w:cs="Tahoma"/>
          <w:sz w:val="20"/>
          <w:szCs w:val="20"/>
        </w:rPr>
        <w:t xml:space="preserve"> </w:t>
      </w:r>
      <w:r w:rsidR="008518B0" w:rsidRPr="00B004EE">
        <w:rPr>
          <w:rFonts w:ascii="Tahoma" w:hAnsi="Tahoma" w:cs="Tahoma"/>
          <w:sz w:val="20"/>
          <w:szCs w:val="20"/>
        </w:rPr>
        <w:t>et</w:t>
      </w:r>
      <w:r w:rsidRPr="00B004EE">
        <w:rPr>
          <w:rFonts w:ascii="Tahoma" w:hAnsi="Tahoma" w:cs="Tahoma"/>
          <w:sz w:val="20"/>
          <w:szCs w:val="20"/>
        </w:rPr>
        <w:t xml:space="preserve"> </w:t>
      </w:r>
      <w:r w:rsidR="008518B0" w:rsidRPr="00B004EE">
        <w:rPr>
          <w:rFonts w:ascii="Tahoma" w:hAnsi="Tahoma" w:cs="Tahoma"/>
          <w:sz w:val="20"/>
          <w:szCs w:val="20"/>
        </w:rPr>
        <w:t>qui</w:t>
      </w:r>
      <w:r w:rsidRPr="00B004EE">
        <w:rPr>
          <w:rFonts w:ascii="Tahoma" w:hAnsi="Tahoma" w:cs="Tahoma"/>
          <w:sz w:val="20"/>
          <w:szCs w:val="20"/>
        </w:rPr>
        <w:t xml:space="preserve"> </w:t>
      </w:r>
      <w:r w:rsidR="008518B0" w:rsidRPr="00B004EE">
        <w:rPr>
          <w:rFonts w:ascii="Tahoma" w:hAnsi="Tahoma" w:cs="Tahoma"/>
          <w:sz w:val="20"/>
          <w:szCs w:val="20"/>
        </w:rPr>
        <w:t>a,</w:t>
      </w:r>
      <w:r w:rsidRPr="00B004EE">
        <w:rPr>
          <w:rFonts w:ascii="Tahoma" w:hAnsi="Tahoma" w:cs="Tahoma"/>
          <w:sz w:val="20"/>
          <w:szCs w:val="20"/>
        </w:rPr>
        <w:t xml:space="preserve"> </w:t>
      </w:r>
      <w:r w:rsidR="008518B0" w:rsidRPr="00B004EE">
        <w:rPr>
          <w:rFonts w:ascii="Tahoma" w:hAnsi="Tahoma" w:cs="Tahoma"/>
          <w:sz w:val="20"/>
          <w:szCs w:val="20"/>
        </w:rPr>
        <w:t>dans</w:t>
      </w:r>
      <w:r w:rsidRPr="00B004EE">
        <w:rPr>
          <w:rFonts w:ascii="Tahoma" w:hAnsi="Tahoma" w:cs="Tahoma"/>
          <w:sz w:val="20"/>
          <w:szCs w:val="20"/>
        </w:rPr>
        <w:t xml:space="preserve"> </w:t>
      </w:r>
      <w:r w:rsidR="008518B0" w:rsidRPr="00B004EE">
        <w:rPr>
          <w:rFonts w:ascii="Tahoma" w:hAnsi="Tahoma" w:cs="Tahoma"/>
          <w:sz w:val="20"/>
          <w:szCs w:val="20"/>
        </w:rPr>
        <w:t>cet</w:t>
      </w:r>
      <w:r w:rsidRPr="00B004EE">
        <w:rPr>
          <w:rFonts w:ascii="Tahoma" w:hAnsi="Tahoma" w:cs="Tahoma"/>
          <w:sz w:val="20"/>
          <w:szCs w:val="20"/>
        </w:rPr>
        <w:t xml:space="preserve"> </w:t>
      </w:r>
      <w:r w:rsidR="008518B0" w:rsidRPr="00B004EE">
        <w:rPr>
          <w:rFonts w:ascii="Tahoma" w:hAnsi="Tahoma" w:cs="Tahoma"/>
          <w:sz w:val="20"/>
          <w:szCs w:val="20"/>
        </w:rPr>
        <w:t>Etat,</w:t>
      </w:r>
      <w:r w:rsidRPr="00B004EE">
        <w:rPr>
          <w:rFonts w:ascii="Tahoma" w:hAnsi="Tahoma" w:cs="Tahoma"/>
          <w:sz w:val="20"/>
          <w:szCs w:val="20"/>
        </w:rPr>
        <w:t xml:space="preserve"> </w:t>
      </w:r>
      <w:r w:rsidR="008518B0" w:rsidRPr="00B004EE">
        <w:rPr>
          <w:rFonts w:ascii="Tahoma" w:hAnsi="Tahoma" w:cs="Tahoma"/>
          <w:sz w:val="20"/>
          <w:szCs w:val="20"/>
        </w:rPr>
        <w:t>son</w:t>
      </w:r>
      <w:r w:rsidRPr="00B004EE">
        <w:rPr>
          <w:rFonts w:ascii="Tahoma" w:hAnsi="Tahoma" w:cs="Tahoma"/>
          <w:sz w:val="20"/>
          <w:szCs w:val="20"/>
        </w:rPr>
        <w:t xml:space="preserve"> </w:t>
      </w:r>
      <w:r w:rsidR="008518B0" w:rsidRPr="00B004EE">
        <w:rPr>
          <w:rFonts w:ascii="Tahoma" w:hAnsi="Tahoma" w:cs="Tahoma"/>
          <w:sz w:val="20"/>
          <w:szCs w:val="20"/>
        </w:rPr>
        <w:t>domicile</w:t>
      </w:r>
      <w:r w:rsidRPr="00B004EE">
        <w:rPr>
          <w:rFonts w:ascii="Tahoma" w:hAnsi="Tahoma" w:cs="Tahoma"/>
          <w:sz w:val="20"/>
          <w:szCs w:val="20"/>
        </w:rPr>
        <w:t xml:space="preserve"> </w:t>
      </w:r>
      <w:r w:rsidR="008518B0" w:rsidRPr="00B004EE">
        <w:rPr>
          <w:rFonts w:ascii="Tahoma" w:hAnsi="Tahoma" w:cs="Tahoma"/>
          <w:sz w:val="20"/>
          <w:szCs w:val="20"/>
        </w:rPr>
        <w:t>ou</w:t>
      </w:r>
      <w:r w:rsidRPr="00B004EE">
        <w:rPr>
          <w:rFonts w:ascii="Tahoma" w:hAnsi="Tahoma" w:cs="Tahoma"/>
          <w:sz w:val="20"/>
          <w:szCs w:val="20"/>
        </w:rPr>
        <w:t xml:space="preserve"> </w:t>
      </w:r>
      <w:r w:rsidR="008518B0" w:rsidRPr="00B004EE">
        <w:rPr>
          <w:rFonts w:ascii="Tahoma" w:hAnsi="Tahoma" w:cs="Tahoma"/>
          <w:sz w:val="20"/>
          <w:szCs w:val="20"/>
        </w:rPr>
        <w:t>sa</w:t>
      </w:r>
      <w:r w:rsidRPr="00B004EE">
        <w:rPr>
          <w:rFonts w:ascii="Tahoma" w:hAnsi="Tahoma" w:cs="Tahoma"/>
          <w:sz w:val="20"/>
          <w:szCs w:val="20"/>
        </w:rPr>
        <w:t xml:space="preserve"> </w:t>
      </w:r>
      <w:r w:rsidR="008518B0" w:rsidRPr="00B004EE">
        <w:rPr>
          <w:rFonts w:ascii="Tahoma" w:hAnsi="Tahoma" w:cs="Tahoma"/>
          <w:sz w:val="20"/>
          <w:szCs w:val="20"/>
        </w:rPr>
        <w:t>résidence</w:t>
      </w:r>
      <w:r w:rsidRPr="00B004EE">
        <w:rPr>
          <w:rFonts w:ascii="Tahoma" w:hAnsi="Tahoma" w:cs="Tahoma"/>
          <w:sz w:val="20"/>
          <w:szCs w:val="20"/>
        </w:rPr>
        <w:t xml:space="preserve"> </w:t>
      </w:r>
      <w:r w:rsidR="008518B0" w:rsidRPr="00B004EE">
        <w:rPr>
          <w:rFonts w:ascii="Tahoma" w:hAnsi="Tahoma" w:cs="Tahoma"/>
          <w:sz w:val="20"/>
          <w:szCs w:val="20"/>
        </w:rPr>
        <w:t>habituelle;</w:t>
      </w:r>
    </w:p>
    <w:p w14:paraId="184F913E" w14:textId="36EBF1D1" w:rsidR="008518B0" w:rsidRPr="00B004EE" w:rsidRDefault="008518B0" w:rsidP="00420DDA">
      <w:pPr>
        <w:numPr>
          <w:ilvl w:val="0"/>
          <w:numId w:val="49"/>
        </w:numPr>
        <w:tabs>
          <w:tab w:val="left" w:pos="-1440"/>
        </w:tabs>
        <w:ind w:left="426" w:hanging="284"/>
        <w:jc w:val="both"/>
        <w:rPr>
          <w:rFonts w:ascii="Tahoma" w:hAnsi="Tahoma" w:cs="Tahoma"/>
          <w:sz w:val="20"/>
          <w:szCs w:val="20"/>
        </w:rPr>
      </w:pPr>
      <w:proofErr w:type="gramStart"/>
      <w:r w:rsidRPr="00B004EE">
        <w:rPr>
          <w:rFonts w:ascii="Tahoma" w:hAnsi="Tahoma" w:cs="Tahoma"/>
          <w:sz w:val="20"/>
          <w:szCs w:val="20"/>
        </w:rPr>
        <w:t>les</w:t>
      </w:r>
      <w:proofErr w:type="gramEnd"/>
      <w:r w:rsidR="00DB1635" w:rsidRPr="00B004EE">
        <w:rPr>
          <w:rFonts w:ascii="Tahoma" w:hAnsi="Tahoma" w:cs="Tahoma"/>
          <w:sz w:val="20"/>
          <w:szCs w:val="20"/>
        </w:rPr>
        <w:t xml:space="preserve"> </w:t>
      </w:r>
      <w:r w:rsidRPr="00B004EE">
        <w:rPr>
          <w:rFonts w:ascii="Tahoma" w:hAnsi="Tahoma" w:cs="Tahoma"/>
          <w:sz w:val="20"/>
          <w:szCs w:val="20"/>
        </w:rPr>
        <w:t>navires</w:t>
      </w:r>
      <w:r w:rsidR="00DB1635" w:rsidRPr="00B004EE">
        <w:rPr>
          <w:rFonts w:ascii="Tahoma" w:hAnsi="Tahoma" w:cs="Tahoma"/>
          <w:sz w:val="20"/>
          <w:szCs w:val="20"/>
        </w:rPr>
        <w:t xml:space="preserve"> </w:t>
      </w:r>
      <w:r w:rsidRPr="00B004EE">
        <w:rPr>
          <w:rFonts w:ascii="Tahoma" w:hAnsi="Tahoma" w:cs="Tahoma"/>
          <w:sz w:val="20"/>
          <w:szCs w:val="20"/>
        </w:rPr>
        <w:t>étrangers</w:t>
      </w:r>
      <w:r w:rsidR="00DB1635" w:rsidRPr="00B004EE">
        <w:rPr>
          <w:rFonts w:ascii="Tahoma" w:hAnsi="Tahoma" w:cs="Tahoma"/>
          <w:sz w:val="20"/>
          <w:szCs w:val="20"/>
        </w:rPr>
        <w:t xml:space="preserve"> </w:t>
      </w:r>
      <w:r w:rsidRPr="00B004EE">
        <w:rPr>
          <w:rFonts w:ascii="Tahoma" w:hAnsi="Tahoma" w:cs="Tahoma"/>
          <w:sz w:val="20"/>
          <w:szCs w:val="20"/>
        </w:rPr>
        <w:t>appartenant</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sociétés</w:t>
      </w:r>
      <w:r w:rsidR="00DB1635" w:rsidRPr="00B004EE">
        <w:rPr>
          <w:rFonts w:ascii="Tahoma" w:hAnsi="Tahoma" w:cs="Tahoma"/>
          <w:sz w:val="20"/>
          <w:szCs w:val="20"/>
        </w:rPr>
        <w:t xml:space="preserve"> </w:t>
      </w:r>
      <w:r w:rsidRPr="00B004EE">
        <w:rPr>
          <w:rFonts w:ascii="Tahoma" w:hAnsi="Tahoma" w:cs="Tahoma"/>
          <w:sz w:val="20"/>
          <w:szCs w:val="20"/>
        </w:rPr>
        <w:t>commerciales</w:t>
      </w:r>
      <w:r w:rsidR="00DB1635" w:rsidRPr="00B004EE">
        <w:rPr>
          <w:rFonts w:ascii="Tahoma" w:hAnsi="Tahoma" w:cs="Tahoma"/>
          <w:sz w:val="20"/>
          <w:szCs w:val="20"/>
        </w:rPr>
        <w:t xml:space="preserve"> </w:t>
      </w:r>
      <w:r w:rsidRPr="00B004EE">
        <w:rPr>
          <w:rFonts w:ascii="Tahoma" w:hAnsi="Tahoma" w:cs="Tahoma"/>
          <w:sz w:val="20"/>
          <w:szCs w:val="20"/>
        </w:rPr>
        <w:t>d’un</w:t>
      </w:r>
      <w:r w:rsidR="00DB1635" w:rsidRPr="00B004EE">
        <w:rPr>
          <w:rFonts w:ascii="Tahoma" w:hAnsi="Tahoma" w:cs="Tahoma"/>
          <w:sz w:val="20"/>
          <w:szCs w:val="20"/>
        </w:rPr>
        <w:t xml:space="preserve"> </w:t>
      </w:r>
      <w:r w:rsidRPr="00B004EE">
        <w:rPr>
          <w:rFonts w:ascii="Tahoma" w:hAnsi="Tahoma" w:cs="Tahoma"/>
          <w:sz w:val="20"/>
          <w:szCs w:val="20"/>
        </w:rPr>
        <w:t>Etat</w:t>
      </w:r>
      <w:r w:rsidR="00DB1635" w:rsidRPr="00B004EE">
        <w:rPr>
          <w:rFonts w:ascii="Tahoma" w:hAnsi="Tahoma" w:cs="Tahoma"/>
          <w:sz w:val="20"/>
          <w:szCs w:val="20"/>
        </w:rPr>
        <w:t xml:space="preserve"> </w:t>
      </w:r>
      <w:r w:rsidRPr="00B004EE">
        <w:rPr>
          <w:rFonts w:ascii="Tahoma" w:hAnsi="Tahoma" w:cs="Tahoma"/>
          <w:sz w:val="20"/>
          <w:szCs w:val="20"/>
        </w:rPr>
        <w:t>avec</w:t>
      </w:r>
      <w:r w:rsidR="00DB1635" w:rsidRPr="00B004EE">
        <w:rPr>
          <w:rFonts w:ascii="Tahoma" w:hAnsi="Tahoma" w:cs="Tahoma"/>
          <w:sz w:val="20"/>
          <w:szCs w:val="20"/>
        </w:rPr>
        <w:t xml:space="preserve"> </w:t>
      </w:r>
      <w:r w:rsidRPr="00B004EE">
        <w:rPr>
          <w:rFonts w:ascii="Tahoma" w:hAnsi="Tahoma" w:cs="Tahoma"/>
          <w:sz w:val="20"/>
          <w:szCs w:val="20"/>
        </w:rPr>
        <w:t>lequel</w:t>
      </w:r>
      <w:r w:rsidR="00DB1635" w:rsidRPr="00B004EE">
        <w:rPr>
          <w:rFonts w:ascii="Tahoma" w:hAnsi="Tahoma" w:cs="Tahoma"/>
          <w:sz w:val="20"/>
          <w:szCs w:val="20"/>
        </w:rPr>
        <w:t xml:space="preserve"> </w:t>
      </w:r>
      <w:r w:rsidRPr="00B004EE">
        <w:rPr>
          <w:rFonts w:ascii="Tahoma" w:hAnsi="Tahoma" w:cs="Tahoma"/>
          <w:sz w:val="20"/>
          <w:szCs w:val="20"/>
        </w:rPr>
        <w:t>a</w:t>
      </w:r>
      <w:r w:rsidR="00DB1635" w:rsidRPr="00B004EE">
        <w:rPr>
          <w:rFonts w:ascii="Tahoma" w:hAnsi="Tahoma" w:cs="Tahoma"/>
          <w:sz w:val="20"/>
          <w:szCs w:val="20"/>
        </w:rPr>
        <w:t xml:space="preserve"> </w:t>
      </w:r>
      <w:r w:rsidRPr="00B004EE">
        <w:rPr>
          <w:rFonts w:ascii="Tahoma" w:hAnsi="Tahoma" w:cs="Tahoma"/>
          <w:sz w:val="20"/>
          <w:szCs w:val="20"/>
        </w:rPr>
        <w:t>été</w:t>
      </w:r>
      <w:r w:rsidR="00DB1635" w:rsidRPr="00B004EE">
        <w:rPr>
          <w:rFonts w:ascii="Tahoma" w:hAnsi="Tahoma" w:cs="Tahoma"/>
          <w:sz w:val="20"/>
          <w:szCs w:val="20"/>
        </w:rPr>
        <w:t xml:space="preserve"> </w:t>
      </w:r>
      <w:r w:rsidRPr="00B004EE">
        <w:rPr>
          <w:rFonts w:ascii="Tahoma" w:hAnsi="Tahoma" w:cs="Tahoma"/>
          <w:sz w:val="20"/>
          <w:szCs w:val="20"/>
        </w:rPr>
        <w:t>passé</w:t>
      </w:r>
      <w:r w:rsidR="00DB1635" w:rsidRPr="00B004EE">
        <w:rPr>
          <w:rFonts w:ascii="Tahoma" w:hAnsi="Tahoma" w:cs="Tahoma"/>
          <w:sz w:val="20"/>
          <w:szCs w:val="20"/>
        </w:rPr>
        <w:t xml:space="preserve"> </w:t>
      </w: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accord</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réciprocité</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représentées</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installées</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république</w:t>
      </w:r>
      <w:r w:rsidR="00DB1635" w:rsidRPr="00B004EE">
        <w:rPr>
          <w:rFonts w:ascii="Tahoma" w:hAnsi="Tahoma" w:cs="Tahoma"/>
          <w:sz w:val="20"/>
          <w:szCs w:val="20"/>
        </w:rPr>
        <w:t xml:space="preserve"> </w:t>
      </w:r>
      <w:r w:rsidRPr="00B004EE">
        <w:rPr>
          <w:rFonts w:ascii="Tahoma" w:hAnsi="Tahoma" w:cs="Tahoma"/>
          <w:sz w:val="20"/>
          <w:szCs w:val="20"/>
        </w:rPr>
        <w:t>Islamique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Mauritanie;</w:t>
      </w:r>
    </w:p>
    <w:p w14:paraId="3F83A4EE" w14:textId="3CA5C597" w:rsidR="008518B0" w:rsidRPr="00B004EE" w:rsidRDefault="008518B0" w:rsidP="00420DDA">
      <w:pPr>
        <w:numPr>
          <w:ilvl w:val="0"/>
          <w:numId w:val="49"/>
        </w:numPr>
        <w:tabs>
          <w:tab w:val="left" w:pos="-1440"/>
        </w:tabs>
        <w:ind w:left="426" w:hanging="284"/>
        <w:jc w:val="both"/>
        <w:rPr>
          <w:rFonts w:ascii="Tahoma" w:hAnsi="Tahoma" w:cs="Tahoma"/>
          <w:sz w:val="20"/>
          <w:szCs w:val="20"/>
        </w:rPr>
      </w:pPr>
      <w:proofErr w:type="gramStart"/>
      <w:r w:rsidRPr="00B004EE">
        <w:rPr>
          <w:rFonts w:ascii="Tahoma" w:hAnsi="Tahoma" w:cs="Tahoma"/>
          <w:sz w:val="20"/>
          <w:szCs w:val="20"/>
        </w:rPr>
        <w:t>les</w:t>
      </w:r>
      <w:proofErr w:type="gramEnd"/>
      <w:r w:rsidR="00DB1635" w:rsidRPr="00B004EE">
        <w:rPr>
          <w:rFonts w:ascii="Tahoma" w:hAnsi="Tahoma" w:cs="Tahoma"/>
          <w:sz w:val="20"/>
          <w:szCs w:val="20"/>
        </w:rPr>
        <w:t xml:space="preserve"> </w:t>
      </w:r>
      <w:r w:rsidRPr="00B004EE">
        <w:rPr>
          <w:rFonts w:ascii="Tahoma" w:hAnsi="Tahoma" w:cs="Tahoma"/>
          <w:sz w:val="20"/>
          <w:szCs w:val="20"/>
        </w:rPr>
        <w:t>navires</w:t>
      </w:r>
      <w:r w:rsidR="00DB1635" w:rsidRPr="00B004EE">
        <w:rPr>
          <w:rFonts w:ascii="Tahoma" w:hAnsi="Tahoma" w:cs="Tahoma"/>
          <w:sz w:val="20"/>
          <w:szCs w:val="20"/>
        </w:rPr>
        <w:t xml:space="preserve"> </w:t>
      </w:r>
      <w:r w:rsidRPr="00B004EE">
        <w:rPr>
          <w:rFonts w:ascii="Tahoma" w:hAnsi="Tahoma" w:cs="Tahoma"/>
          <w:sz w:val="20"/>
          <w:szCs w:val="20"/>
        </w:rPr>
        <w:t>étrangers</w:t>
      </w:r>
      <w:r w:rsidR="00DB1635" w:rsidRPr="00B004EE">
        <w:rPr>
          <w:rFonts w:ascii="Tahoma" w:hAnsi="Tahoma" w:cs="Tahoma"/>
          <w:sz w:val="20"/>
          <w:szCs w:val="20"/>
        </w:rPr>
        <w:t xml:space="preserve"> </w:t>
      </w:r>
      <w:r w:rsidRPr="00B004EE">
        <w:rPr>
          <w:rFonts w:ascii="Tahoma" w:hAnsi="Tahoma" w:cs="Tahoma"/>
          <w:sz w:val="20"/>
          <w:szCs w:val="20"/>
        </w:rPr>
        <w:t>appartenant</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société</w:t>
      </w:r>
      <w:r w:rsidR="00DB1635" w:rsidRPr="00B004EE">
        <w:rPr>
          <w:rFonts w:ascii="Tahoma" w:hAnsi="Tahoma" w:cs="Tahoma"/>
          <w:sz w:val="20"/>
          <w:szCs w:val="20"/>
        </w:rPr>
        <w:t xml:space="preserve"> </w:t>
      </w:r>
      <w:r w:rsidRPr="00B004EE">
        <w:rPr>
          <w:rFonts w:ascii="Tahoma" w:hAnsi="Tahoma" w:cs="Tahoma"/>
          <w:sz w:val="20"/>
          <w:szCs w:val="20"/>
        </w:rPr>
        <w:t>étrangère</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filiale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celle-ci</w:t>
      </w:r>
      <w:r w:rsidR="00DB1635" w:rsidRPr="00B004EE">
        <w:rPr>
          <w:rFonts w:ascii="Tahoma" w:hAnsi="Tahoma" w:cs="Tahoma"/>
          <w:sz w:val="20"/>
          <w:szCs w:val="20"/>
        </w:rPr>
        <w:t xml:space="preserve"> </w:t>
      </w:r>
      <w:r w:rsidRPr="00B004EE">
        <w:rPr>
          <w:rFonts w:ascii="Tahoma" w:hAnsi="Tahoma" w:cs="Tahoma"/>
          <w:sz w:val="20"/>
          <w:szCs w:val="20"/>
        </w:rPr>
        <w:t>l’ayant</w:t>
      </w:r>
      <w:r w:rsidR="00DB1635" w:rsidRPr="00B004EE">
        <w:rPr>
          <w:rFonts w:ascii="Tahoma" w:hAnsi="Tahoma" w:cs="Tahoma"/>
          <w:sz w:val="20"/>
          <w:szCs w:val="20"/>
        </w:rPr>
        <w:t xml:space="preserve"> </w:t>
      </w:r>
      <w:r w:rsidRPr="00B004EE">
        <w:rPr>
          <w:rFonts w:ascii="Tahoma" w:hAnsi="Tahoma" w:cs="Tahoma"/>
          <w:sz w:val="20"/>
          <w:szCs w:val="20"/>
        </w:rPr>
        <w:t>acquis</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cadre</w:t>
      </w:r>
      <w:r w:rsidR="00DB1635" w:rsidRPr="00B004EE">
        <w:rPr>
          <w:rFonts w:ascii="Tahoma" w:hAnsi="Tahoma" w:cs="Tahoma"/>
          <w:sz w:val="20"/>
          <w:szCs w:val="20"/>
        </w:rPr>
        <w:t xml:space="preserve"> </w:t>
      </w:r>
      <w:r w:rsidRPr="00B004EE">
        <w:rPr>
          <w:rFonts w:ascii="Tahoma" w:hAnsi="Tahoma" w:cs="Tahoma"/>
          <w:sz w:val="20"/>
          <w:szCs w:val="20"/>
        </w:rPr>
        <w:t>d’un</w:t>
      </w:r>
      <w:r w:rsidR="00DB1635" w:rsidRPr="00B004EE">
        <w:rPr>
          <w:rFonts w:ascii="Tahoma" w:hAnsi="Tahoma" w:cs="Tahoma"/>
          <w:sz w:val="20"/>
          <w:szCs w:val="20"/>
        </w:rPr>
        <w:t xml:space="preserve"> </w:t>
      </w:r>
      <w:r w:rsidRPr="00B004EE">
        <w:rPr>
          <w:rFonts w:ascii="Tahoma" w:hAnsi="Tahoma" w:cs="Tahoma"/>
          <w:sz w:val="20"/>
          <w:szCs w:val="20"/>
        </w:rPr>
        <w:t>investissement</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secteur</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faisant</w:t>
      </w:r>
      <w:r w:rsidR="00DB1635" w:rsidRPr="00B004EE">
        <w:rPr>
          <w:rFonts w:ascii="Tahoma" w:hAnsi="Tahoma" w:cs="Tahoma"/>
          <w:sz w:val="20"/>
          <w:szCs w:val="20"/>
        </w:rPr>
        <w:t xml:space="preserve"> </w:t>
      </w:r>
      <w:r w:rsidRPr="00B004EE">
        <w:rPr>
          <w:rFonts w:ascii="Tahoma" w:hAnsi="Tahoma" w:cs="Tahoma"/>
          <w:sz w:val="20"/>
          <w:szCs w:val="20"/>
        </w:rPr>
        <w:t>l’objet</w:t>
      </w:r>
      <w:r w:rsidR="00DB1635" w:rsidRPr="00B004EE">
        <w:rPr>
          <w:rFonts w:ascii="Tahoma" w:hAnsi="Tahoma" w:cs="Tahoma"/>
          <w:sz w:val="20"/>
          <w:szCs w:val="20"/>
        </w:rPr>
        <w:t xml:space="preserve"> </w:t>
      </w:r>
      <w:r w:rsidRPr="00B004EE">
        <w:rPr>
          <w:rFonts w:ascii="Tahoma" w:hAnsi="Tahoma" w:cs="Tahoma"/>
          <w:sz w:val="20"/>
          <w:szCs w:val="20"/>
        </w:rPr>
        <w:t>d’une</w:t>
      </w:r>
      <w:r w:rsidR="00DB1635" w:rsidRPr="00B004EE">
        <w:rPr>
          <w:rFonts w:ascii="Tahoma" w:hAnsi="Tahoma" w:cs="Tahoma"/>
          <w:sz w:val="20"/>
          <w:szCs w:val="20"/>
        </w:rPr>
        <w:t xml:space="preserve"> </w:t>
      </w:r>
      <w:r w:rsidRPr="00B004EE">
        <w:rPr>
          <w:rFonts w:ascii="Tahoma" w:hAnsi="Tahoma" w:cs="Tahoma"/>
          <w:sz w:val="20"/>
          <w:szCs w:val="20"/>
        </w:rPr>
        <w:t>Convention</w:t>
      </w:r>
      <w:r w:rsidR="00DB1635" w:rsidRPr="00B004EE">
        <w:rPr>
          <w:rFonts w:ascii="Tahoma" w:hAnsi="Tahoma" w:cs="Tahoma"/>
          <w:sz w:val="20"/>
          <w:szCs w:val="20"/>
        </w:rPr>
        <w:t xml:space="preserve"> </w:t>
      </w:r>
      <w:r w:rsidRPr="00B004EE">
        <w:rPr>
          <w:rFonts w:ascii="Tahoma" w:hAnsi="Tahoma" w:cs="Tahoma"/>
          <w:sz w:val="20"/>
          <w:szCs w:val="20"/>
        </w:rPr>
        <w:t>d’Etablissement</w:t>
      </w:r>
      <w:r w:rsidR="00DB1635" w:rsidRPr="00B004EE">
        <w:rPr>
          <w:rFonts w:ascii="Tahoma" w:hAnsi="Tahoma" w:cs="Tahoma"/>
          <w:sz w:val="20"/>
          <w:szCs w:val="20"/>
        </w:rPr>
        <w:t xml:space="preserve"> </w:t>
      </w:r>
      <w:r w:rsidRPr="00B004EE">
        <w:rPr>
          <w:rFonts w:ascii="Tahoma" w:hAnsi="Tahoma" w:cs="Tahoma"/>
          <w:sz w:val="20"/>
          <w:szCs w:val="20"/>
        </w:rPr>
        <w:t>;</w:t>
      </w:r>
    </w:p>
    <w:p w14:paraId="385B1B26" w14:textId="5B5A4DCF" w:rsidR="008518B0" w:rsidRPr="00B004EE" w:rsidRDefault="008518B0" w:rsidP="00420DDA">
      <w:pPr>
        <w:numPr>
          <w:ilvl w:val="0"/>
          <w:numId w:val="49"/>
        </w:numPr>
        <w:tabs>
          <w:tab w:val="left" w:pos="-1440"/>
        </w:tabs>
        <w:ind w:left="426" w:hanging="284"/>
        <w:jc w:val="both"/>
        <w:rPr>
          <w:rFonts w:ascii="Tahoma" w:hAnsi="Tahoma" w:cs="Tahoma"/>
          <w:sz w:val="20"/>
          <w:szCs w:val="20"/>
        </w:rPr>
      </w:pPr>
      <w:proofErr w:type="gramStart"/>
      <w:r w:rsidRPr="00B004EE">
        <w:rPr>
          <w:rFonts w:ascii="Tahoma" w:hAnsi="Tahoma" w:cs="Tahoma"/>
          <w:sz w:val="20"/>
          <w:szCs w:val="20"/>
        </w:rPr>
        <w:t>les</w:t>
      </w:r>
      <w:proofErr w:type="gramEnd"/>
      <w:r w:rsidR="00DB1635" w:rsidRPr="00B004EE">
        <w:rPr>
          <w:rFonts w:ascii="Tahoma" w:hAnsi="Tahoma" w:cs="Tahoma"/>
          <w:sz w:val="20"/>
          <w:szCs w:val="20"/>
        </w:rPr>
        <w:t xml:space="preserve"> </w:t>
      </w:r>
      <w:r w:rsidRPr="00B004EE">
        <w:rPr>
          <w:rFonts w:ascii="Tahoma" w:hAnsi="Tahoma" w:cs="Tahoma"/>
          <w:sz w:val="20"/>
          <w:szCs w:val="20"/>
        </w:rPr>
        <w:t>navires</w:t>
      </w:r>
      <w:r w:rsidR="00DB1635" w:rsidRPr="00B004EE">
        <w:rPr>
          <w:rFonts w:ascii="Tahoma" w:hAnsi="Tahoma" w:cs="Tahoma"/>
          <w:sz w:val="20"/>
          <w:szCs w:val="20"/>
        </w:rPr>
        <w:t xml:space="preserve"> </w:t>
      </w:r>
      <w:r w:rsidRPr="00B004EE">
        <w:rPr>
          <w:rFonts w:ascii="Tahoma" w:hAnsi="Tahoma" w:cs="Tahoma"/>
          <w:sz w:val="20"/>
          <w:szCs w:val="20"/>
        </w:rPr>
        <w:t>étrangers</w:t>
      </w:r>
      <w:r w:rsidR="00DB1635" w:rsidRPr="00B004EE">
        <w:rPr>
          <w:rFonts w:ascii="Tahoma" w:hAnsi="Tahoma" w:cs="Tahoma"/>
          <w:sz w:val="20"/>
          <w:szCs w:val="20"/>
        </w:rPr>
        <w:t xml:space="preserve"> </w:t>
      </w:r>
      <w:r w:rsidRPr="00B004EE">
        <w:rPr>
          <w:rFonts w:ascii="Tahoma" w:hAnsi="Tahoma" w:cs="Tahoma"/>
          <w:sz w:val="20"/>
          <w:szCs w:val="20"/>
        </w:rPr>
        <w:t>affrétés</w:t>
      </w:r>
      <w:r w:rsidR="00DB1635" w:rsidRPr="00B004EE">
        <w:rPr>
          <w:rFonts w:ascii="Tahoma" w:hAnsi="Tahoma" w:cs="Tahoma"/>
          <w:sz w:val="20"/>
          <w:szCs w:val="20"/>
        </w:rPr>
        <w:t xml:space="preserve"> </w:t>
      </w:r>
      <w:r w:rsidRPr="00B004EE">
        <w:rPr>
          <w:rFonts w:ascii="Tahoma" w:hAnsi="Tahoma" w:cs="Tahoma"/>
          <w:sz w:val="20"/>
          <w:szCs w:val="20"/>
        </w:rPr>
        <w:t>coque</w:t>
      </w:r>
      <w:r w:rsidR="00DB1635" w:rsidRPr="00B004EE">
        <w:rPr>
          <w:rFonts w:ascii="Tahoma" w:hAnsi="Tahoma" w:cs="Tahoma"/>
          <w:sz w:val="20"/>
          <w:szCs w:val="20"/>
        </w:rPr>
        <w:t xml:space="preserve"> </w:t>
      </w:r>
      <w:r w:rsidRPr="00B004EE">
        <w:rPr>
          <w:rFonts w:ascii="Tahoma" w:hAnsi="Tahoma" w:cs="Tahoma"/>
          <w:sz w:val="20"/>
          <w:szCs w:val="20"/>
        </w:rPr>
        <w:t>nue</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armateur</w:t>
      </w:r>
      <w:r w:rsidR="00DB1635" w:rsidRPr="00B004EE">
        <w:rPr>
          <w:rFonts w:ascii="Tahoma" w:hAnsi="Tahoma" w:cs="Tahoma"/>
          <w:sz w:val="20"/>
          <w:szCs w:val="20"/>
        </w:rPr>
        <w:t xml:space="preserve"> </w:t>
      </w:r>
      <w:r w:rsidRPr="00B004EE">
        <w:rPr>
          <w:rFonts w:ascii="Tahoma" w:hAnsi="Tahoma" w:cs="Tahoma"/>
          <w:sz w:val="20"/>
          <w:szCs w:val="20"/>
        </w:rPr>
        <w:t>mauritanien</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société</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droit</w:t>
      </w:r>
      <w:r w:rsidR="00DB1635" w:rsidRPr="00B004EE">
        <w:rPr>
          <w:rFonts w:ascii="Tahoma" w:hAnsi="Tahoma" w:cs="Tahoma"/>
          <w:sz w:val="20"/>
          <w:szCs w:val="20"/>
        </w:rPr>
        <w:t xml:space="preserve"> </w:t>
      </w:r>
      <w:r w:rsidRPr="00B004EE">
        <w:rPr>
          <w:rFonts w:ascii="Tahoma" w:hAnsi="Tahoma" w:cs="Tahoma"/>
          <w:sz w:val="20"/>
          <w:szCs w:val="20"/>
        </w:rPr>
        <w:t>mauritanien</w:t>
      </w:r>
      <w:r w:rsidR="00DB1635" w:rsidRPr="00B004EE">
        <w:rPr>
          <w:rFonts w:ascii="Tahoma" w:hAnsi="Tahoma" w:cs="Tahoma"/>
          <w:sz w:val="20"/>
          <w:szCs w:val="20"/>
        </w:rPr>
        <w:t xml:space="preserve"> </w:t>
      </w:r>
      <w:r w:rsidRPr="00B004EE">
        <w:rPr>
          <w:rFonts w:ascii="Tahoma" w:hAnsi="Tahoma" w:cs="Tahoma"/>
          <w:sz w:val="20"/>
          <w:szCs w:val="20"/>
        </w:rPr>
        <w:t>qui</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assure</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contrôle,</w:t>
      </w:r>
      <w:r w:rsidR="00DB1635" w:rsidRPr="00B004EE">
        <w:rPr>
          <w:rFonts w:ascii="Tahoma" w:hAnsi="Tahoma" w:cs="Tahoma"/>
          <w:sz w:val="20"/>
          <w:szCs w:val="20"/>
        </w:rPr>
        <w:t xml:space="preserve"> </w:t>
      </w:r>
      <w:r w:rsidRPr="00B004EE">
        <w:rPr>
          <w:rFonts w:ascii="Tahoma" w:hAnsi="Tahoma" w:cs="Tahoma"/>
          <w:sz w:val="20"/>
          <w:szCs w:val="20"/>
        </w:rPr>
        <w:t>l’armement,</w:t>
      </w:r>
      <w:r w:rsidR="00DB1635" w:rsidRPr="00B004EE">
        <w:rPr>
          <w:rFonts w:ascii="Tahoma" w:hAnsi="Tahoma" w:cs="Tahoma"/>
          <w:sz w:val="20"/>
          <w:szCs w:val="20"/>
        </w:rPr>
        <w:t xml:space="preserve"> </w:t>
      </w:r>
      <w:r w:rsidRPr="00B004EE">
        <w:rPr>
          <w:rFonts w:ascii="Tahoma" w:hAnsi="Tahoma" w:cs="Tahoma"/>
          <w:sz w:val="20"/>
          <w:szCs w:val="20"/>
        </w:rPr>
        <w:t>l’exploitation</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gestion</w:t>
      </w:r>
      <w:r w:rsidR="00DB1635" w:rsidRPr="00B004EE">
        <w:rPr>
          <w:rFonts w:ascii="Tahoma" w:hAnsi="Tahoma" w:cs="Tahoma"/>
          <w:sz w:val="20"/>
          <w:szCs w:val="20"/>
        </w:rPr>
        <w:t xml:space="preserve"> </w:t>
      </w:r>
      <w:r w:rsidRPr="00B004EE">
        <w:rPr>
          <w:rFonts w:ascii="Tahoma" w:hAnsi="Tahoma" w:cs="Tahoma"/>
          <w:sz w:val="20"/>
          <w:szCs w:val="20"/>
        </w:rPr>
        <w:t>nautique</w:t>
      </w:r>
      <w:r w:rsidR="00DB1635" w:rsidRPr="00B004EE">
        <w:rPr>
          <w:rFonts w:ascii="Tahoma" w:hAnsi="Tahoma" w:cs="Tahoma"/>
          <w:sz w:val="20"/>
          <w:szCs w:val="20"/>
        </w:rPr>
        <w:t xml:space="preserve"> </w:t>
      </w:r>
      <w:r w:rsidRPr="00B004EE">
        <w:rPr>
          <w:rFonts w:ascii="Tahoma" w:hAnsi="Tahoma" w:cs="Tahoma"/>
          <w:sz w:val="20"/>
          <w:szCs w:val="20"/>
        </w:rPr>
        <w:t>;</w:t>
      </w:r>
    </w:p>
    <w:p w14:paraId="1A2D4EBC" w14:textId="1A83F9A7" w:rsidR="008518B0" w:rsidRPr="00B004EE" w:rsidRDefault="008518B0" w:rsidP="00420DDA">
      <w:pPr>
        <w:numPr>
          <w:ilvl w:val="0"/>
          <w:numId w:val="49"/>
        </w:numPr>
        <w:tabs>
          <w:tab w:val="left" w:pos="-1440"/>
        </w:tabs>
        <w:ind w:left="426" w:hanging="284"/>
        <w:jc w:val="both"/>
        <w:rPr>
          <w:rFonts w:ascii="Tahoma" w:hAnsi="Tahoma" w:cs="Tahoma"/>
          <w:sz w:val="20"/>
          <w:szCs w:val="20"/>
        </w:rPr>
      </w:pPr>
      <w:proofErr w:type="gramStart"/>
      <w:r w:rsidRPr="00B004EE">
        <w:rPr>
          <w:rFonts w:ascii="Tahoma" w:hAnsi="Tahoma" w:cs="Tahoma"/>
          <w:sz w:val="20"/>
          <w:szCs w:val="20"/>
        </w:rPr>
        <w:t>les</w:t>
      </w:r>
      <w:proofErr w:type="gramEnd"/>
      <w:r w:rsidR="00DB1635" w:rsidRPr="00B004EE">
        <w:rPr>
          <w:rFonts w:ascii="Tahoma" w:hAnsi="Tahoma" w:cs="Tahoma"/>
          <w:sz w:val="20"/>
          <w:szCs w:val="20"/>
        </w:rPr>
        <w:t xml:space="preserve"> </w:t>
      </w:r>
      <w:r w:rsidRPr="00B004EE">
        <w:rPr>
          <w:rFonts w:ascii="Tahoma" w:hAnsi="Tahoma" w:cs="Tahoma"/>
          <w:sz w:val="20"/>
          <w:szCs w:val="20"/>
        </w:rPr>
        <w:t>navires</w:t>
      </w:r>
      <w:r w:rsidR="00DB1635" w:rsidRPr="00B004EE">
        <w:rPr>
          <w:rFonts w:ascii="Tahoma" w:hAnsi="Tahoma" w:cs="Tahoma"/>
          <w:sz w:val="20"/>
          <w:szCs w:val="20"/>
        </w:rPr>
        <w:t xml:space="preserve"> </w:t>
      </w:r>
      <w:r w:rsidRPr="00B004EE">
        <w:rPr>
          <w:rFonts w:ascii="Tahoma" w:hAnsi="Tahoma" w:cs="Tahoma"/>
          <w:sz w:val="20"/>
          <w:szCs w:val="20"/>
        </w:rPr>
        <w:t>destinés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appartenir,</w:t>
      </w:r>
      <w:r w:rsidR="00DB1635" w:rsidRPr="00B004EE">
        <w:rPr>
          <w:rFonts w:ascii="Tahoma" w:hAnsi="Tahoma" w:cs="Tahoma"/>
          <w:sz w:val="20"/>
          <w:szCs w:val="20"/>
        </w:rPr>
        <w:t xml:space="preserve"> </w:t>
      </w:r>
      <w:r w:rsidRPr="00B004EE">
        <w:rPr>
          <w:rFonts w:ascii="Tahoma" w:hAnsi="Tahoma" w:cs="Tahoma"/>
          <w:sz w:val="20"/>
          <w:szCs w:val="20"/>
        </w:rPr>
        <w:t>après</w:t>
      </w:r>
      <w:r w:rsidR="00DB1635" w:rsidRPr="00B004EE">
        <w:rPr>
          <w:rFonts w:ascii="Tahoma" w:hAnsi="Tahoma" w:cs="Tahoma"/>
          <w:sz w:val="20"/>
          <w:szCs w:val="20"/>
        </w:rPr>
        <w:t xml:space="preserve"> </w:t>
      </w:r>
      <w:r w:rsidRPr="00B004EE">
        <w:rPr>
          <w:rFonts w:ascii="Tahoma" w:hAnsi="Tahoma" w:cs="Tahoma"/>
          <w:sz w:val="20"/>
          <w:szCs w:val="20"/>
        </w:rPr>
        <w:t>levée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l’option</w:t>
      </w:r>
      <w:r w:rsidR="00DB1635" w:rsidRPr="00B004EE">
        <w:rPr>
          <w:rFonts w:ascii="Tahoma" w:hAnsi="Tahoma" w:cs="Tahoma"/>
          <w:sz w:val="20"/>
          <w:szCs w:val="20"/>
        </w:rPr>
        <w:t xml:space="preserve"> </w:t>
      </w:r>
      <w:r w:rsidRPr="00B004EE">
        <w:rPr>
          <w:rFonts w:ascii="Tahoma" w:hAnsi="Tahoma" w:cs="Tahoma"/>
          <w:sz w:val="20"/>
          <w:szCs w:val="20"/>
        </w:rPr>
        <w:t>ouverte</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l’acquisition</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propriété</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contrat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00566A20" w:rsidRPr="00B004EE">
        <w:rPr>
          <w:rFonts w:ascii="Tahoma" w:hAnsi="Tahoma" w:cs="Tahoma"/>
          <w:sz w:val="20"/>
          <w:szCs w:val="20"/>
        </w:rPr>
        <w:t>crédit-bail</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personne</w:t>
      </w:r>
      <w:r w:rsidR="00DB1635" w:rsidRPr="00B004EE">
        <w:rPr>
          <w:rFonts w:ascii="Tahoma" w:hAnsi="Tahoma" w:cs="Tahoma"/>
          <w:sz w:val="20"/>
          <w:szCs w:val="20"/>
        </w:rPr>
        <w:t xml:space="preserve"> </w:t>
      </w:r>
      <w:r w:rsidRPr="00B004EE">
        <w:rPr>
          <w:rFonts w:ascii="Tahoma" w:hAnsi="Tahoma" w:cs="Tahoma"/>
          <w:sz w:val="20"/>
          <w:szCs w:val="20"/>
        </w:rPr>
        <w:t>physique</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société</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droit</w:t>
      </w:r>
      <w:r w:rsidR="00DB1635" w:rsidRPr="00B004EE">
        <w:rPr>
          <w:rFonts w:ascii="Tahoma" w:hAnsi="Tahoma" w:cs="Tahoma"/>
          <w:sz w:val="20"/>
          <w:szCs w:val="20"/>
        </w:rPr>
        <w:t xml:space="preserve"> </w:t>
      </w:r>
      <w:r w:rsidRPr="00B004EE">
        <w:rPr>
          <w:rFonts w:ascii="Tahoma" w:hAnsi="Tahoma" w:cs="Tahoma"/>
          <w:sz w:val="20"/>
          <w:szCs w:val="20"/>
        </w:rPr>
        <w:t>mauritanien.</w:t>
      </w:r>
    </w:p>
    <w:p w14:paraId="5732322D" w14:textId="77777777" w:rsidR="008518B0" w:rsidRPr="00B004EE" w:rsidRDefault="008518B0" w:rsidP="00B004EE">
      <w:pPr>
        <w:tabs>
          <w:tab w:val="left" w:pos="-1440"/>
        </w:tabs>
        <w:ind w:left="426"/>
        <w:jc w:val="both"/>
        <w:rPr>
          <w:rFonts w:ascii="Tahoma" w:hAnsi="Tahoma" w:cs="Tahoma"/>
          <w:sz w:val="20"/>
          <w:szCs w:val="20"/>
        </w:rPr>
      </w:pPr>
    </w:p>
    <w:p w14:paraId="3BBBC4CF" w14:textId="6CB1962D" w:rsidR="008518B0" w:rsidRPr="00B004EE" w:rsidRDefault="008518B0" w:rsidP="00B004EE">
      <w:pPr>
        <w:autoSpaceDE w:val="0"/>
        <w:autoSpaceDN w:val="0"/>
        <w:adjustRightInd w:val="0"/>
        <w:jc w:val="both"/>
        <w:rPr>
          <w:rFonts w:ascii="Tahoma" w:hAnsi="Tahoma" w:cs="Tahoma"/>
          <w:bCs/>
          <w:sz w:val="20"/>
          <w:szCs w:val="20"/>
        </w:rPr>
      </w:pPr>
      <w:r w:rsidRPr="00B004EE">
        <w:rPr>
          <w:rFonts w:ascii="Tahoma" w:hAnsi="Tahoma" w:cs="Tahoma"/>
          <w:sz w:val="20"/>
          <w:szCs w:val="20"/>
        </w:rPr>
        <w:t>Article</w:t>
      </w:r>
      <w:r w:rsidR="00DB1635" w:rsidRPr="00B004EE">
        <w:rPr>
          <w:rFonts w:ascii="Tahoma" w:hAnsi="Tahoma" w:cs="Tahoma"/>
          <w:sz w:val="20"/>
          <w:szCs w:val="20"/>
        </w:rPr>
        <w:t xml:space="preserve"> </w:t>
      </w:r>
      <w:r w:rsidRPr="00B004EE">
        <w:rPr>
          <w:rFonts w:ascii="Tahoma" w:hAnsi="Tahoma" w:cs="Tahoma"/>
          <w:sz w:val="20"/>
          <w:szCs w:val="20"/>
        </w:rPr>
        <w:t>27</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régime</w:t>
      </w:r>
      <w:r w:rsidR="00DB1635" w:rsidRPr="00B004EE">
        <w:rPr>
          <w:rFonts w:ascii="Tahoma" w:hAnsi="Tahoma" w:cs="Tahoma"/>
          <w:sz w:val="20"/>
          <w:szCs w:val="20"/>
        </w:rPr>
        <w:t xml:space="preserve"> </w:t>
      </w:r>
      <w:r w:rsidRPr="00B004EE">
        <w:rPr>
          <w:rFonts w:ascii="Tahoma" w:hAnsi="Tahoma" w:cs="Tahoma"/>
          <w:sz w:val="20"/>
          <w:szCs w:val="20"/>
        </w:rPr>
        <w:t>étranger</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régime</w:t>
      </w:r>
      <w:r w:rsidR="00DB1635" w:rsidRPr="00B004EE">
        <w:rPr>
          <w:rFonts w:ascii="Tahoma" w:hAnsi="Tahoma" w:cs="Tahoma"/>
          <w:sz w:val="20"/>
          <w:szCs w:val="20"/>
        </w:rPr>
        <w:t xml:space="preserve"> </w:t>
      </w:r>
      <w:r w:rsidRPr="00B004EE">
        <w:rPr>
          <w:rFonts w:ascii="Tahoma" w:hAnsi="Tahoma" w:cs="Tahoma"/>
          <w:sz w:val="20"/>
          <w:szCs w:val="20"/>
        </w:rPr>
        <w:t>d'exploitation</w:t>
      </w:r>
      <w:r w:rsidR="00DB1635" w:rsidRPr="00B004EE">
        <w:rPr>
          <w:rFonts w:ascii="Tahoma" w:hAnsi="Tahoma" w:cs="Tahoma"/>
          <w:sz w:val="20"/>
          <w:szCs w:val="20"/>
        </w:rPr>
        <w:t xml:space="preserve"> </w:t>
      </w:r>
      <w:r w:rsidRPr="00B004EE">
        <w:rPr>
          <w:rFonts w:ascii="Tahoma" w:hAnsi="Tahoma" w:cs="Tahoma"/>
          <w:sz w:val="20"/>
          <w:szCs w:val="20"/>
        </w:rPr>
        <w:t>exceptionnel</w:t>
      </w:r>
      <w:r w:rsidR="00DB1635" w:rsidRPr="00B004EE">
        <w:rPr>
          <w:rFonts w:ascii="Tahoma" w:hAnsi="Tahoma" w:cs="Tahoma"/>
          <w:sz w:val="20"/>
          <w:szCs w:val="20"/>
        </w:rPr>
        <w:t xml:space="preserve"> </w:t>
      </w:r>
      <w:r w:rsidRPr="00B004EE">
        <w:rPr>
          <w:rFonts w:ascii="Tahoma" w:hAnsi="Tahoma" w:cs="Tahoma"/>
          <w:sz w:val="20"/>
          <w:szCs w:val="20"/>
        </w:rPr>
        <w:t>accordé</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tout</w:t>
      </w:r>
      <w:r w:rsidR="00DB1635" w:rsidRPr="00B004EE">
        <w:rPr>
          <w:rFonts w:ascii="Tahoma" w:hAnsi="Tahoma" w:cs="Tahoma"/>
          <w:bCs/>
          <w:sz w:val="20"/>
          <w:szCs w:val="20"/>
        </w:rPr>
        <w:t xml:space="preserve"> </w:t>
      </w:r>
      <w:r w:rsidRPr="00B004EE">
        <w:rPr>
          <w:rFonts w:ascii="Tahoma" w:hAnsi="Tahoma" w:cs="Tahoma"/>
          <w:bCs/>
          <w:sz w:val="20"/>
          <w:szCs w:val="20"/>
        </w:rPr>
        <w:t>concessionnaire</w:t>
      </w:r>
      <w:r w:rsidR="00DB1635" w:rsidRPr="00B004EE">
        <w:rPr>
          <w:rFonts w:ascii="Tahoma" w:hAnsi="Tahoma" w:cs="Tahoma"/>
          <w:bCs/>
          <w:sz w:val="20"/>
          <w:szCs w:val="20"/>
        </w:rPr>
        <w:t xml:space="preserve"> </w:t>
      </w:r>
      <w:r w:rsidRPr="00B004EE">
        <w:rPr>
          <w:rFonts w:ascii="Tahoma" w:hAnsi="Tahoma" w:cs="Tahoma"/>
          <w:bCs/>
          <w:sz w:val="20"/>
          <w:szCs w:val="20"/>
        </w:rPr>
        <w:t>disposant</w:t>
      </w:r>
      <w:r w:rsidR="00DB1635" w:rsidRPr="00B004EE">
        <w:rPr>
          <w:rFonts w:ascii="Tahoma" w:hAnsi="Tahoma" w:cs="Tahoma"/>
          <w:bCs/>
          <w:sz w:val="20"/>
          <w:szCs w:val="20"/>
        </w:rPr>
        <w:t xml:space="preserve"> </w:t>
      </w:r>
      <w:r w:rsidRPr="00B004EE">
        <w:rPr>
          <w:rFonts w:ascii="Tahoma" w:hAnsi="Tahoma" w:cs="Tahoma"/>
          <w:bCs/>
          <w:sz w:val="20"/>
          <w:szCs w:val="20"/>
        </w:rPr>
        <w:t>d'un</w:t>
      </w:r>
      <w:r w:rsidR="00DB1635" w:rsidRPr="00B004EE">
        <w:rPr>
          <w:rFonts w:ascii="Tahoma" w:hAnsi="Tahoma" w:cs="Tahoma"/>
          <w:bCs/>
          <w:sz w:val="20"/>
          <w:szCs w:val="20"/>
        </w:rPr>
        <w:t xml:space="preserve"> </w:t>
      </w:r>
      <w:r w:rsidRPr="00B004EE">
        <w:rPr>
          <w:rFonts w:ascii="Tahoma" w:hAnsi="Tahoma" w:cs="Tahoma"/>
          <w:bCs/>
          <w:sz w:val="20"/>
          <w:szCs w:val="20"/>
        </w:rPr>
        <w:t>droit</w:t>
      </w:r>
      <w:r w:rsidR="00DB1635" w:rsidRPr="00B004EE">
        <w:rPr>
          <w:rFonts w:ascii="Tahoma" w:hAnsi="Tahoma" w:cs="Tahoma"/>
          <w:bCs/>
          <w:sz w:val="20"/>
          <w:szCs w:val="20"/>
        </w:rPr>
        <w:t xml:space="preserve"> </w:t>
      </w:r>
      <w:r w:rsidRPr="00B004EE">
        <w:rPr>
          <w:rFonts w:ascii="Tahoma" w:hAnsi="Tahoma" w:cs="Tahoma"/>
          <w:bCs/>
          <w:sz w:val="20"/>
          <w:szCs w:val="20"/>
        </w:rPr>
        <w:t>d'usage</w:t>
      </w:r>
      <w:r w:rsidR="00DB1635" w:rsidRPr="00B004EE">
        <w:rPr>
          <w:rFonts w:ascii="Tahoma" w:hAnsi="Tahoma" w:cs="Tahoma"/>
          <w:bCs/>
          <w:sz w:val="20"/>
          <w:szCs w:val="20"/>
        </w:rPr>
        <w:t xml:space="preserve"> </w:t>
      </w:r>
      <w:r w:rsidRPr="00B004EE">
        <w:rPr>
          <w:rFonts w:ascii="Tahoma" w:hAnsi="Tahoma" w:cs="Tahoma"/>
          <w:bCs/>
          <w:sz w:val="20"/>
          <w:szCs w:val="20"/>
        </w:rPr>
        <w:t>alloué</w:t>
      </w:r>
      <w:r w:rsidR="00DB1635" w:rsidRPr="00B004EE">
        <w:rPr>
          <w:rFonts w:ascii="Tahoma" w:hAnsi="Tahoma" w:cs="Tahoma"/>
          <w:bCs/>
          <w:sz w:val="20"/>
          <w:szCs w:val="20"/>
        </w:rPr>
        <w:t xml:space="preserve"> </w:t>
      </w:r>
      <w:r w:rsidRPr="00B004EE">
        <w:rPr>
          <w:rFonts w:ascii="Tahoma" w:hAnsi="Tahoma" w:cs="Tahoma"/>
          <w:bCs/>
          <w:sz w:val="20"/>
          <w:szCs w:val="20"/>
        </w:rPr>
        <w:t>dans</w:t>
      </w:r>
      <w:r w:rsidR="00DB1635" w:rsidRPr="00B004EE">
        <w:rPr>
          <w:rFonts w:ascii="Tahoma" w:hAnsi="Tahoma" w:cs="Tahoma"/>
          <w:bCs/>
          <w:sz w:val="20"/>
          <w:szCs w:val="20"/>
        </w:rPr>
        <w:t xml:space="preserve"> </w:t>
      </w:r>
      <w:r w:rsidRPr="00B004EE">
        <w:rPr>
          <w:rFonts w:ascii="Tahoma" w:hAnsi="Tahoma" w:cs="Tahoma"/>
          <w:bCs/>
          <w:sz w:val="20"/>
          <w:szCs w:val="20"/>
        </w:rPr>
        <w:t>le</w:t>
      </w:r>
      <w:r w:rsidR="00DB1635" w:rsidRPr="00B004EE">
        <w:rPr>
          <w:rFonts w:ascii="Tahoma" w:hAnsi="Tahoma" w:cs="Tahoma"/>
          <w:bCs/>
          <w:sz w:val="20"/>
          <w:szCs w:val="20"/>
        </w:rPr>
        <w:t xml:space="preserve"> </w:t>
      </w:r>
      <w:r w:rsidRPr="00B004EE">
        <w:rPr>
          <w:rFonts w:ascii="Tahoma" w:hAnsi="Tahoma" w:cs="Tahoma"/>
          <w:bCs/>
          <w:sz w:val="20"/>
          <w:szCs w:val="20"/>
        </w:rPr>
        <w:t>cadre</w:t>
      </w:r>
      <w:r w:rsidR="00DB1635" w:rsidRPr="00B004EE">
        <w:rPr>
          <w:rFonts w:ascii="Tahoma" w:hAnsi="Tahoma" w:cs="Tahoma"/>
          <w:bCs/>
          <w:sz w:val="20"/>
          <w:szCs w:val="20"/>
        </w:rPr>
        <w:t xml:space="preserve"> </w:t>
      </w:r>
      <w:r w:rsidRPr="00B004EE">
        <w:rPr>
          <w:rFonts w:ascii="Tahoma" w:hAnsi="Tahoma" w:cs="Tahoma"/>
          <w:bCs/>
          <w:sz w:val="20"/>
          <w:szCs w:val="20"/>
        </w:rPr>
        <w:t>d’accords</w:t>
      </w:r>
      <w:r w:rsidR="00DB1635" w:rsidRPr="00B004EE">
        <w:rPr>
          <w:rFonts w:ascii="Tahoma" w:hAnsi="Tahoma" w:cs="Tahoma"/>
          <w:bCs/>
          <w:sz w:val="20"/>
          <w:szCs w:val="20"/>
        </w:rPr>
        <w:t xml:space="preserve"> </w:t>
      </w:r>
      <w:r w:rsidRPr="00B004EE">
        <w:rPr>
          <w:rFonts w:ascii="Tahoma" w:hAnsi="Tahoma" w:cs="Tahoma"/>
          <w:bCs/>
          <w:sz w:val="20"/>
          <w:szCs w:val="20"/>
        </w:rPr>
        <w:t>internationaux</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pêche</w:t>
      </w:r>
      <w:r w:rsidR="00DB1635" w:rsidRPr="00B004EE">
        <w:rPr>
          <w:rFonts w:ascii="Tahoma" w:hAnsi="Tahoma" w:cs="Tahoma"/>
          <w:bCs/>
          <w:sz w:val="20"/>
          <w:szCs w:val="20"/>
        </w:rPr>
        <w:t xml:space="preserve"> </w:t>
      </w:r>
      <w:r w:rsidRPr="00B004EE">
        <w:rPr>
          <w:rFonts w:ascii="Tahoma" w:hAnsi="Tahoma" w:cs="Tahoma"/>
          <w:bCs/>
          <w:sz w:val="20"/>
          <w:szCs w:val="20"/>
        </w:rPr>
        <w:t>ou</w:t>
      </w:r>
      <w:r w:rsidR="00DB1635" w:rsidRPr="00B004EE">
        <w:rPr>
          <w:rFonts w:ascii="Tahoma" w:hAnsi="Tahoma" w:cs="Tahoma"/>
          <w:bCs/>
          <w:sz w:val="20"/>
          <w:szCs w:val="20"/>
        </w:rPr>
        <w:t xml:space="preserve"> </w:t>
      </w:r>
      <w:r w:rsidRPr="00B004EE">
        <w:rPr>
          <w:rFonts w:ascii="Tahoma" w:hAnsi="Tahoma" w:cs="Tahoma"/>
          <w:bCs/>
          <w:sz w:val="20"/>
          <w:szCs w:val="20"/>
        </w:rPr>
        <w:t>autres</w:t>
      </w:r>
      <w:r w:rsidR="00DB1635" w:rsidRPr="00B004EE">
        <w:rPr>
          <w:rFonts w:ascii="Tahoma" w:hAnsi="Tahoma" w:cs="Tahoma"/>
          <w:bCs/>
          <w:sz w:val="20"/>
          <w:szCs w:val="20"/>
        </w:rPr>
        <w:t xml:space="preserve"> </w:t>
      </w:r>
      <w:r w:rsidRPr="00B004EE">
        <w:rPr>
          <w:rFonts w:ascii="Tahoma" w:hAnsi="Tahoma" w:cs="Tahoma"/>
          <w:bCs/>
          <w:sz w:val="20"/>
          <w:szCs w:val="20"/>
        </w:rPr>
        <w:t>arrangements</w:t>
      </w:r>
      <w:r w:rsidR="00DB1635" w:rsidRPr="00B004EE">
        <w:rPr>
          <w:rFonts w:ascii="Tahoma" w:hAnsi="Tahoma" w:cs="Tahoma"/>
          <w:bCs/>
          <w:sz w:val="20"/>
          <w:szCs w:val="20"/>
        </w:rPr>
        <w:t xml:space="preserve"> </w:t>
      </w:r>
      <w:r w:rsidRPr="00B004EE">
        <w:rPr>
          <w:rFonts w:ascii="Tahoma" w:hAnsi="Tahoma" w:cs="Tahoma"/>
          <w:bCs/>
          <w:sz w:val="20"/>
          <w:szCs w:val="20"/>
        </w:rPr>
        <w:t>avec</w:t>
      </w:r>
      <w:r w:rsidR="00DB1635" w:rsidRPr="00B004EE">
        <w:rPr>
          <w:rFonts w:ascii="Tahoma" w:hAnsi="Tahoma" w:cs="Tahoma"/>
          <w:bCs/>
          <w:sz w:val="20"/>
          <w:szCs w:val="20"/>
        </w:rPr>
        <w:t xml:space="preserve"> </w:t>
      </w:r>
      <w:r w:rsidRPr="00B004EE">
        <w:rPr>
          <w:rFonts w:ascii="Tahoma" w:hAnsi="Tahoma" w:cs="Tahoma"/>
          <w:bCs/>
          <w:sz w:val="20"/>
          <w:szCs w:val="20"/>
        </w:rPr>
        <w:t>un</w:t>
      </w:r>
      <w:r w:rsidR="00DB1635" w:rsidRPr="00B004EE">
        <w:rPr>
          <w:rFonts w:ascii="Tahoma" w:hAnsi="Tahoma" w:cs="Tahoma"/>
          <w:bCs/>
          <w:sz w:val="20"/>
          <w:szCs w:val="20"/>
        </w:rPr>
        <w:t xml:space="preserve"> </w:t>
      </w:r>
      <w:r w:rsidRPr="00B004EE">
        <w:rPr>
          <w:rFonts w:ascii="Tahoma" w:hAnsi="Tahoma" w:cs="Tahoma"/>
          <w:bCs/>
          <w:sz w:val="20"/>
          <w:szCs w:val="20"/>
        </w:rPr>
        <w:t>Pays</w:t>
      </w:r>
      <w:r w:rsidR="00DB1635" w:rsidRPr="00B004EE">
        <w:rPr>
          <w:rFonts w:ascii="Tahoma" w:hAnsi="Tahoma" w:cs="Tahoma"/>
          <w:bCs/>
          <w:sz w:val="20"/>
          <w:szCs w:val="20"/>
        </w:rPr>
        <w:t xml:space="preserve"> </w:t>
      </w:r>
      <w:r w:rsidRPr="00B004EE">
        <w:rPr>
          <w:rFonts w:ascii="Tahoma" w:hAnsi="Tahoma" w:cs="Tahoma"/>
          <w:bCs/>
          <w:sz w:val="20"/>
          <w:szCs w:val="20"/>
        </w:rPr>
        <w:t>tiers,</w:t>
      </w:r>
      <w:r w:rsidR="00DB1635" w:rsidRPr="00B004EE">
        <w:rPr>
          <w:rFonts w:ascii="Tahoma" w:hAnsi="Tahoma" w:cs="Tahoma"/>
          <w:bCs/>
          <w:sz w:val="20"/>
          <w:szCs w:val="20"/>
        </w:rPr>
        <w:t xml:space="preserve"> </w:t>
      </w:r>
      <w:r w:rsidRPr="00B004EE">
        <w:rPr>
          <w:rFonts w:ascii="Tahoma" w:hAnsi="Tahoma" w:cs="Tahoma"/>
          <w:bCs/>
          <w:sz w:val="20"/>
          <w:szCs w:val="20"/>
        </w:rPr>
        <w:t>un</w:t>
      </w:r>
      <w:r w:rsidR="00DB1635" w:rsidRPr="00B004EE">
        <w:rPr>
          <w:rFonts w:ascii="Tahoma" w:hAnsi="Tahoma" w:cs="Tahoma"/>
          <w:bCs/>
          <w:sz w:val="20"/>
          <w:szCs w:val="20"/>
        </w:rPr>
        <w:t xml:space="preserve"> </w:t>
      </w:r>
      <w:r w:rsidRPr="00B004EE">
        <w:rPr>
          <w:rFonts w:ascii="Tahoma" w:hAnsi="Tahoma" w:cs="Tahoma"/>
          <w:bCs/>
          <w:sz w:val="20"/>
          <w:szCs w:val="20"/>
        </w:rPr>
        <w:t>Groupe</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Pays</w:t>
      </w:r>
      <w:r w:rsidR="00DB1635" w:rsidRPr="00B004EE">
        <w:rPr>
          <w:rFonts w:ascii="Tahoma" w:hAnsi="Tahoma" w:cs="Tahoma"/>
          <w:bCs/>
          <w:sz w:val="20"/>
          <w:szCs w:val="20"/>
        </w:rPr>
        <w:t xml:space="preserve"> </w:t>
      </w:r>
      <w:r w:rsidRPr="00B004EE">
        <w:rPr>
          <w:rFonts w:ascii="Tahoma" w:hAnsi="Tahoma" w:cs="Tahoma"/>
          <w:bCs/>
          <w:sz w:val="20"/>
          <w:szCs w:val="20"/>
        </w:rPr>
        <w:t>ou</w:t>
      </w:r>
      <w:r w:rsidR="00DB1635" w:rsidRPr="00B004EE">
        <w:rPr>
          <w:rFonts w:ascii="Tahoma" w:hAnsi="Tahoma" w:cs="Tahoma"/>
          <w:bCs/>
          <w:sz w:val="20"/>
          <w:szCs w:val="20"/>
        </w:rPr>
        <w:t xml:space="preserve"> </w:t>
      </w:r>
      <w:r w:rsidRPr="00B004EE">
        <w:rPr>
          <w:rFonts w:ascii="Tahoma" w:hAnsi="Tahoma" w:cs="Tahoma"/>
          <w:bCs/>
          <w:sz w:val="20"/>
          <w:szCs w:val="20"/>
        </w:rPr>
        <w:t>une</w:t>
      </w:r>
      <w:r w:rsidR="00DB1635" w:rsidRPr="00B004EE">
        <w:rPr>
          <w:rFonts w:ascii="Tahoma" w:hAnsi="Tahoma" w:cs="Tahoma"/>
          <w:bCs/>
          <w:sz w:val="20"/>
          <w:szCs w:val="20"/>
        </w:rPr>
        <w:t xml:space="preserve"> </w:t>
      </w:r>
      <w:r w:rsidRPr="00B004EE">
        <w:rPr>
          <w:rFonts w:ascii="Tahoma" w:hAnsi="Tahoma" w:cs="Tahoma"/>
          <w:bCs/>
          <w:sz w:val="20"/>
          <w:szCs w:val="20"/>
        </w:rPr>
        <w:t>entité</w:t>
      </w:r>
      <w:r w:rsidR="00DB1635" w:rsidRPr="00B004EE">
        <w:rPr>
          <w:rFonts w:ascii="Tahoma" w:hAnsi="Tahoma" w:cs="Tahoma"/>
          <w:bCs/>
          <w:sz w:val="20"/>
          <w:szCs w:val="20"/>
        </w:rPr>
        <w:t xml:space="preserve"> </w:t>
      </w:r>
      <w:r w:rsidRPr="00B004EE">
        <w:rPr>
          <w:rFonts w:ascii="Tahoma" w:hAnsi="Tahoma" w:cs="Tahoma"/>
          <w:bCs/>
          <w:sz w:val="20"/>
          <w:szCs w:val="20"/>
        </w:rPr>
        <w:t>privée</w:t>
      </w:r>
      <w:r w:rsidR="00DB1635" w:rsidRPr="00B004EE">
        <w:rPr>
          <w:rFonts w:ascii="Tahoma" w:hAnsi="Tahoma" w:cs="Tahoma"/>
          <w:bCs/>
          <w:sz w:val="20"/>
          <w:szCs w:val="20"/>
        </w:rPr>
        <w:t xml:space="preserve"> </w:t>
      </w:r>
      <w:r w:rsidRPr="00B004EE">
        <w:rPr>
          <w:rFonts w:ascii="Tahoma" w:hAnsi="Tahoma" w:cs="Tahoma"/>
          <w:bCs/>
          <w:sz w:val="20"/>
          <w:szCs w:val="20"/>
        </w:rPr>
        <w:t>étrangère.</w:t>
      </w:r>
      <w:r w:rsidR="00DB1635" w:rsidRPr="00B004EE">
        <w:rPr>
          <w:rFonts w:ascii="Tahoma" w:hAnsi="Tahoma" w:cs="Tahoma"/>
          <w:bCs/>
          <w:sz w:val="20"/>
          <w:szCs w:val="20"/>
        </w:rPr>
        <w:t xml:space="preserve"> </w:t>
      </w:r>
      <w:r w:rsidRPr="00B004EE">
        <w:rPr>
          <w:rFonts w:ascii="Tahoma" w:hAnsi="Tahoma" w:cs="Tahoma"/>
          <w:bCs/>
          <w:sz w:val="20"/>
          <w:szCs w:val="20"/>
        </w:rPr>
        <w:t>Le</w:t>
      </w:r>
      <w:r w:rsidR="00DB1635" w:rsidRPr="00B004EE">
        <w:rPr>
          <w:rFonts w:ascii="Tahoma" w:hAnsi="Tahoma" w:cs="Tahoma"/>
          <w:bCs/>
          <w:sz w:val="20"/>
          <w:szCs w:val="20"/>
        </w:rPr>
        <w:t xml:space="preserve"> </w:t>
      </w:r>
      <w:r w:rsidRPr="00B004EE">
        <w:rPr>
          <w:rFonts w:ascii="Tahoma" w:hAnsi="Tahoma" w:cs="Tahoma"/>
          <w:bCs/>
          <w:sz w:val="20"/>
          <w:szCs w:val="20"/>
        </w:rPr>
        <w:t>navire</w:t>
      </w:r>
      <w:r w:rsidR="00DB1635" w:rsidRPr="00B004EE">
        <w:rPr>
          <w:rFonts w:ascii="Tahoma" w:hAnsi="Tahoma" w:cs="Tahoma"/>
          <w:bCs/>
          <w:sz w:val="20"/>
          <w:szCs w:val="20"/>
        </w:rPr>
        <w:t xml:space="preserve"> </w:t>
      </w:r>
      <w:r w:rsidRPr="00B004EE">
        <w:rPr>
          <w:rFonts w:ascii="Tahoma" w:hAnsi="Tahoma" w:cs="Tahoma"/>
          <w:bCs/>
          <w:sz w:val="20"/>
          <w:szCs w:val="20"/>
        </w:rPr>
        <w:t>opérant</w:t>
      </w:r>
      <w:r w:rsidR="00DB1635" w:rsidRPr="00B004EE">
        <w:rPr>
          <w:rFonts w:ascii="Tahoma" w:hAnsi="Tahoma" w:cs="Tahoma"/>
          <w:bCs/>
          <w:sz w:val="20"/>
          <w:szCs w:val="20"/>
        </w:rPr>
        <w:t xml:space="preserve"> </w:t>
      </w:r>
      <w:r w:rsidRPr="00B004EE">
        <w:rPr>
          <w:rFonts w:ascii="Tahoma" w:hAnsi="Tahoma" w:cs="Tahoma"/>
          <w:bCs/>
          <w:sz w:val="20"/>
          <w:szCs w:val="20"/>
        </w:rPr>
        <w:t>sous</w:t>
      </w:r>
      <w:r w:rsidR="00DB1635" w:rsidRPr="00B004EE">
        <w:rPr>
          <w:rFonts w:ascii="Tahoma" w:hAnsi="Tahoma" w:cs="Tahoma"/>
          <w:bCs/>
          <w:sz w:val="20"/>
          <w:szCs w:val="20"/>
        </w:rPr>
        <w:t xml:space="preserve"> </w:t>
      </w:r>
      <w:r w:rsidRPr="00B004EE">
        <w:rPr>
          <w:rFonts w:ascii="Tahoma" w:hAnsi="Tahoma" w:cs="Tahoma"/>
          <w:bCs/>
          <w:sz w:val="20"/>
          <w:szCs w:val="20"/>
        </w:rPr>
        <w:t>ce</w:t>
      </w:r>
      <w:r w:rsidR="00DB1635" w:rsidRPr="00B004EE">
        <w:rPr>
          <w:rFonts w:ascii="Tahoma" w:hAnsi="Tahoma" w:cs="Tahoma"/>
          <w:bCs/>
          <w:sz w:val="20"/>
          <w:szCs w:val="20"/>
        </w:rPr>
        <w:t xml:space="preserve"> </w:t>
      </w:r>
      <w:r w:rsidRPr="00B004EE">
        <w:rPr>
          <w:rFonts w:ascii="Tahoma" w:hAnsi="Tahoma" w:cs="Tahoma"/>
          <w:bCs/>
          <w:sz w:val="20"/>
          <w:szCs w:val="20"/>
        </w:rPr>
        <w:t>régime</w:t>
      </w:r>
      <w:r w:rsidR="00DB1635" w:rsidRPr="00B004EE">
        <w:rPr>
          <w:rFonts w:ascii="Tahoma" w:hAnsi="Tahoma" w:cs="Tahoma"/>
          <w:bCs/>
          <w:sz w:val="20"/>
          <w:szCs w:val="20"/>
        </w:rPr>
        <w:t xml:space="preserve"> </w:t>
      </w:r>
      <w:r w:rsidRPr="00B004EE">
        <w:rPr>
          <w:rFonts w:ascii="Tahoma" w:hAnsi="Tahoma" w:cs="Tahoma"/>
          <w:bCs/>
          <w:sz w:val="20"/>
          <w:szCs w:val="20"/>
        </w:rPr>
        <w:t>battant</w:t>
      </w:r>
      <w:r w:rsidR="00DB1635" w:rsidRPr="00B004EE">
        <w:rPr>
          <w:rFonts w:ascii="Tahoma" w:hAnsi="Tahoma" w:cs="Tahoma"/>
          <w:bCs/>
          <w:sz w:val="20"/>
          <w:szCs w:val="20"/>
        </w:rPr>
        <w:t xml:space="preserve"> </w:t>
      </w:r>
      <w:r w:rsidRPr="00B004EE">
        <w:rPr>
          <w:rFonts w:ascii="Tahoma" w:hAnsi="Tahoma" w:cs="Tahoma"/>
          <w:bCs/>
          <w:sz w:val="20"/>
          <w:szCs w:val="20"/>
        </w:rPr>
        <w:t>pavillon</w:t>
      </w:r>
      <w:r w:rsidR="00DB1635" w:rsidRPr="00B004EE">
        <w:rPr>
          <w:rFonts w:ascii="Tahoma" w:hAnsi="Tahoma" w:cs="Tahoma"/>
          <w:bCs/>
          <w:sz w:val="20"/>
          <w:szCs w:val="20"/>
        </w:rPr>
        <w:t xml:space="preserve"> </w:t>
      </w:r>
      <w:r w:rsidRPr="00B004EE">
        <w:rPr>
          <w:rFonts w:ascii="Tahoma" w:hAnsi="Tahoma" w:cs="Tahoma"/>
          <w:bCs/>
          <w:sz w:val="20"/>
          <w:szCs w:val="20"/>
        </w:rPr>
        <w:t>étranger</w:t>
      </w:r>
      <w:r w:rsidR="00DB1635" w:rsidRPr="00B004EE">
        <w:rPr>
          <w:rFonts w:ascii="Tahoma" w:hAnsi="Tahoma" w:cs="Tahoma"/>
          <w:bCs/>
          <w:sz w:val="20"/>
          <w:szCs w:val="20"/>
        </w:rPr>
        <w:t xml:space="preserve"> </w:t>
      </w:r>
      <w:r w:rsidRPr="00B004EE">
        <w:rPr>
          <w:rFonts w:ascii="Tahoma" w:hAnsi="Tahoma" w:cs="Tahoma"/>
          <w:bCs/>
          <w:sz w:val="20"/>
          <w:szCs w:val="20"/>
        </w:rPr>
        <w:t>est</w:t>
      </w:r>
      <w:r w:rsidR="00DB1635" w:rsidRPr="00B004EE">
        <w:rPr>
          <w:rFonts w:ascii="Tahoma" w:hAnsi="Tahoma" w:cs="Tahoma"/>
          <w:bCs/>
          <w:sz w:val="20"/>
          <w:szCs w:val="20"/>
        </w:rPr>
        <w:t xml:space="preserve"> </w:t>
      </w:r>
      <w:r w:rsidRPr="00B004EE">
        <w:rPr>
          <w:rFonts w:ascii="Tahoma" w:hAnsi="Tahoma" w:cs="Tahoma"/>
          <w:bCs/>
          <w:sz w:val="20"/>
          <w:szCs w:val="20"/>
        </w:rPr>
        <w:t>astreint</w:t>
      </w:r>
      <w:r w:rsidR="00DB1635" w:rsidRPr="00B004EE">
        <w:rPr>
          <w:rFonts w:ascii="Tahoma" w:hAnsi="Tahoma" w:cs="Tahoma"/>
          <w:bCs/>
          <w:sz w:val="20"/>
          <w:szCs w:val="20"/>
        </w:rPr>
        <w:t xml:space="preserve"> </w:t>
      </w:r>
      <w:r w:rsidRPr="00B004EE">
        <w:rPr>
          <w:rFonts w:ascii="Tahoma" w:hAnsi="Tahoma" w:cs="Tahoma"/>
          <w:bCs/>
          <w:sz w:val="20"/>
          <w:szCs w:val="20"/>
        </w:rPr>
        <w:t>au</w:t>
      </w:r>
      <w:r w:rsidR="00DB1635" w:rsidRPr="00B004EE">
        <w:rPr>
          <w:rFonts w:ascii="Tahoma" w:hAnsi="Tahoma" w:cs="Tahoma"/>
          <w:bCs/>
          <w:sz w:val="20"/>
          <w:szCs w:val="20"/>
        </w:rPr>
        <w:t xml:space="preserve"> </w:t>
      </w:r>
      <w:r w:rsidRPr="00B004EE">
        <w:rPr>
          <w:rFonts w:ascii="Tahoma" w:hAnsi="Tahoma" w:cs="Tahoma"/>
          <w:bCs/>
          <w:sz w:val="20"/>
          <w:szCs w:val="20"/>
        </w:rPr>
        <w:t>débarquement</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ses</w:t>
      </w:r>
      <w:r w:rsidR="00DB1635" w:rsidRPr="00B004EE">
        <w:rPr>
          <w:rFonts w:ascii="Tahoma" w:hAnsi="Tahoma" w:cs="Tahoma"/>
          <w:bCs/>
          <w:sz w:val="20"/>
          <w:szCs w:val="20"/>
        </w:rPr>
        <w:t xml:space="preserve"> </w:t>
      </w:r>
      <w:r w:rsidRPr="00B004EE">
        <w:rPr>
          <w:rFonts w:ascii="Tahoma" w:hAnsi="Tahoma" w:cs="Tahoma"/>
          <w:bCs/>
          <w:sz w:val="20"/>
          <w:szCs w:val="20"/>
        </w:rPr>
        <w:t>captures</w:t>
      </w:r>
      <w:r w:rsidR="00DB1635" w:rsidRPr="00B004EE">
        <w:rPr>
          <w:rFonts w:ascii="Tahoma" w:hAnsi="Tahoma" w:cs="Tahoma"/>
          <w:bCs/>
          <w:sz w:val="20"/>
          <w:szCs w:val="20"/>
        </w:rPr>
        <w:t xml:space="preserve"> </w:t>
      </w:r>
      <w:r w:rsidRPr="00B004EE">
        <w:rPr>
          <w:rFonts w:ascii="Tahoma" w:hAnsi="Tahoma" w:cs="Tahoma"/>
          <w:bCs/>
          <w:sz w:val="20"/>
          <w:szCs w:val="20"/>
        </w:rPr>
        <w:t>en</w:t>
      </w:r>
      <w:r w:rsidR="00DB1635" w:rsidRPr="00B004EE">
        <w:rPr>
          <w:rFonts w:ascii="Tahoma" w:hAnsi="Tahoma" w:cs="Tahoma"/>
          <w:bCs/>
          <w:sz w:val="20"/>
          <w:szCs w:val="20"/>
        </w:rPr>
        <w:t xml:space="preserve"> </w:t>
      </w:r>
      <w:r w:rsidRPr="00B004EE">
        <w:rPr>
          <w:rFonts w:ascii="Tahoma" w:hAnsi="Tahoma" w:cs="Tahoma"/>
          <w:bCs/>
          <w:sz w:val="20"/>
          <w:szCs w:val="20"/>
        </w:rPr>
        <w:t>Mauritanie.</w:t>
      </w:r>
      <w:r w:rsidR="00DB1635" w:rsidRPr="00B004EE">
        <w:rPr>
          <w:rFonts w:ascii="Tahoma" w:hAnsi="Tahoma" w:cs="Tahoma"/>
          <w:bCs/>
          <w:sz w:val="20"/>
          <w:szCs w:val="20"/>
        </w:rPr>
        <w:t xml:space="preserve"> </w:t>
      </w:r>
      <w:r w:rsidRPr="00B004EE">
        <w:rPr>
          <w:rFonts w:ascii="Tahoma" w:hAnsi="Tahoma" w:cs="Tahoma"/>
          <w:bCs/>
          <w:sz w:val="20"/>
          <w:szCs w:val="20"/>
        </w:rPr>
        <w:t>Des</w:t>
      </w:r>
      <w:r w:rsidR="00DB1635" w:rsidRPr="00B004EE">
        <w:rPr>
          <w:rFonts w:ascii="Tahoma" w:hAnsi="Tahoma" w:cs="Tahoma"/>
          <w:bCs/>
          <w:sz w:val="20"/>
          <w:szCs w:val="20"/>
        </w:rPr>
        <w:t xml:space="preserve"> </w:t>
      </w:r>
      <w:r w:rsidRPr="00B004EE">
        <w:rPr>
          <w:rFonts w:ascii="Tahoma" w:hAnsi="Tahoma" w:cs="Tahoma"/>
          <w:bCs/>
          <w:sz w:val="20"/>
          <w:szCs w:val="20"/>
        </w:rPr>
        <w:t>dérogations</w:t>
      </w:r>
      <w:r w:rsidR="00DB1635" w:rsidRPr="00B004EE">
        <w:rPr>
          <w:rFonts w:ascii="Tahoma" w:hAnsi="Tahoma" w:cs="Tahoma"/>
          <w:bCs/>
          <w:sz w:val="20"/>
          <w:szCs w:val="20"/>
        </w:rPr>
        <w:t xml:space="preserve"> </w:t>
      </w:r>
      <w:r w:rsidRPr="00B004EE">
        <w:rPr>
          <w:rFonts w:ascii="Tahoma" w:hAnsi="Tahoma" w:cs="Tahoma"/>
          <w:bCs/>
          <w:sz w:val="20"/>
          <w:szCs w:val="20"/>
        </w:rPr>
        <w:t>peuvent</w:t>
      </w:r>
      <w:r w:rsidR="00DB1635" w:rsidRPr="00B004EE">
        <w:rPr>
          <w:rFonts w:ascii="Tahoma" w:hAnsi="Tahoma" w:cs="Tahoma"/>
          <w:bCs/>
          <w:sz w:val="20"/>
          <w:szCs w:val="20"/>
        </w:rPr>
        <w:t xml:space="preserve"> </w:t>
      </w:r>
      <w:r w:rsidRPr="00B004EE">
        <w:rPr>
          <w:rFonts w:ascii="Tahoma" w:hAnsi="Tahoma" w:cs="Tahoma"/>
          <w:bCs/>
          <w:sz w:val="20"/>
          <w:szCs w:val="20"/>
        </w:rPr>
        <w:t>être</w:t>
      </w:r>
      <w:r w:rsidR="00DB1635" w:rsidRPr="00B004EE">
        <w:rPr>
          <w:rFonts w:ascii="Tahoma" w:hAnsi="Tahoma" w:cs="Tahoma"/>
          <w:bCs/>
          <w:sz w:val="20"/>
          <w:szCs w:val="20"/>
        </w:rPr>
        <w:t xml:space="preserve"> </w:t>
      </w:r>
      <w:r w:rsidRPr="00B004EE">
        <w:rPr>
          <w:rFonts w:ascii="Tahoma" w:hAnsi="Tahoma" w:cs="Tahoma"/>
          <w:bCs/>
          <w:sz w:val="20"/>
          <w:szCs w:val="20"/>
        </w:rPr>
        <w:t>accordées</w:t>
      </w:r>
      <w:r w:rsidR="00DB1635" w:rsidRPr="00B004EE">
        <w:rPr>
          <w:rFonts w:ascii="Tahoma" w:hAnsi="Tahoma" w:cs="Tahoma"/>
          <w:bCs/>
          <w:sz w:val="20"/>
          <w:szCs w:val="20"/>
        </w:rPr>
        <w:t xml:space="preserve"> </w:t>
      </w:r>
      <w:r w:rsidRPr="00B004EE">
        <w:rPr>
          <w:rFonts w:ascii="Tahoma" w:hAnsi="Tahoma" w:cs="Tahoma"/>
          <w:bCs/>
          <w:sz w:val="20"/>
          <w:szCs w:val="20"/>
        </w:rPr>
        <w:t>conformément</w:t>
      </w:r>
      <w:r w:rsidR="00DB1635" w:rsidRPr="00B004EE">
        <w:rPr>
          <w:rFonts w:ascii="Tahoma" w:hAnsi="Tahoma" w:cs="Tahoma"/>
          <w:bCs/>
          <w:sz w:val="20"/>
          <w:szCs w:val="20"/>
        </w:rPr>
        <w:t xml:space="preserve"> </w:t>
      </w:r>
      <w:r w:rsidRPr="00B004EE">
        <w:rPr>
          <w:rFonts w:ascii="Tahoma" w:hAnsi="Tahoma" w:cs="Tahoma"/>
          <w:bCs/>
          <w:sz w:val="20"/>
          <w:szCs w:val="20"/>
        </w:rPr>
        <w:t>aux</w:t>
      </w:r>
      <w:r w:rsidR="00DB1635" w:rsidRPr="00B004EE">
        <w:rPr>
          <w:rFonts w:ascii="Tahoma" w:hAnsi="Tahoma" w:cs="Tahoma"/>
          <w:bCs/>
          <w:sz w:val="20"/>
          <w:szCs w:val="20"/>
        </w:rPr>
        <w:t xml:space="preserve"> </w:t>
      </w:r>
      <w:r w:rsidRPr="00B004EE">
        <w:rPr>
          <w:rFonts w:ascii="Tahoma" w:hAnsi="Tahoma" w:cs="Tahoma"/>
          <w:bCs/>
          <w:sz w:val="20"/>
          <w:szCs w:val="20"/>
        </w:rPr>
        <w:t>dispositions</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l’article</w:t>
      </w:r>
      <w:r w:rsidR="00DB1635" w:rsidRPr="00B004EE">
        <w:rPr>
          <w:rFonts w:ascii="Tahoma" w:hAnsi="Tahoma" w:cs="Tahoma"/>
          <w:bCs/>
          <w:sz w:val="20"/>
          <w:szCs w:val="20"/>
        </w:rPr>
        <w:t xml:space="preserve"> </w:t>
      </w:r>
      <w:r w:rsidRPr="00B004EE">
        <w:rPr>
          <w:rFonts w:ascii="Tahoma" w:hAnsi="Tahoma" w:cs="Tahoma"/>
          <w:bCs/>
          <w:sz w:val="20"/>
          <w:szCs w:val="20"/>
        </w:rPr>
        <w:t>41</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la</w:t>
      </w:r>
      <w:r w:rsidR="00DB1635" w:rsidRPr="00B004EE">
        <w:rPr>
          <w:rFonts w:ascii="Tahoma" w:hAnsi="Tahoma" w:cs="Tahoma"/>
          <w:bCs/>
          <w:sz w:val="20"/>
          <w:szCs w:val="20"/>
        </w:rPr>
        <w:t xml:space="preserve"> </w:t>
      </w:r>
      <w:r w:rsidRPr="00B004EE">
        <w:rPr>
          <w:rFonts w:ascii="Tahoma" w:hAnsi="Tahoma" w:cs="Tahoma"/>
          <w:bCs/>
          <w:sz w:val="20"/>
          <w:szCs w:val="20"/>
        </w:rPr>
        <w:t>loi</w:t>
      </w:r>
      <w:r w:rsidR="00DB1635" w:rsidRPr="00B004EE">
        <w:rPr>
          <w:rFonts w:ascii="Tahoma" w:hAnsi="Tahoma" w:cs="Tahoma"/>
          <w:bCs/>
          <w:sz w:val="20"/>
          <w:szCs w:val="20"/>
        </w:rPr>
        <w:t xml:space="preserve"> </w:t>
      </w:r>
      <w:r w:rsidRPr="00B004EE">
        <w:rPr>
          <w:rFonts w:ascii="Tahoma" w:hAnsi="Tahoma" w:cs="Tahoma"/>
          <w:bCs/>
          <w:sz w:val="20"/>
          <w:szCs w:val="20"/>
        </w:rPr>
        <w:t>n°</w:t>
      </w:r>
      <w:r w:rsidRPr="00B004EE">
        <w:rPr>
          <w:rFonts w:ascii="Tahoma" w:hAnsi="Tahoma" w:cs="Tahoma"/>
          <w:sz w:val="20"/>
          <w:szCs w:val="20"/>
        </w:rPr>
        <w:t>017-2015</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29</w:t>
      </w:r>
      <w:r w:rsidR="00DB1635" w:rsidRPr="00B004EE">
        <w:rPr>
          <w:rFonts w:ascii="Tahoma" w:hAnsi="Tahoma" w:cs="Tahoma"/>
          <w:sz w:val="20"/>
          <w:szCs w:val="20"/>
        </w:rPr>
        <w:t xml:space="preserve"> </w:t>
      </w:r>
      <w:r w:rsidRPr="00B004EE">
        <w:rPr>
          <w:rFonts w:ascii="Tahoma" w:hAnsi="Tahoma" w:cs="Tahoma"/>
          <w:sz w:val="20"/>
          <w:szCs w:val="20"/>
        </w:rPr>
        <w:t>juillet</w:t>
      </w:r>
      <w:r w:rsidR="00DB1635" w:rsidRPr="00B004EE">
        <w:rPr>
          <w:rFonts w:ascii="Tahoma" w:hAnsi="Tahoma" w:cs="Tahoma"/>
          <w:sz w:val="20"/>
          <w:szCs w:val="20"/>
        </w:rPr>
        <w:t xml:space="preserve"> </w:t>
      </w:r>
      <w:r w:rsidRPr="00B004EE">
        <w:rPr>
          <w:rFonts w:ascii="Tahoma" w:hAnsi="Tahoma" w:cs="Tahoma"/>
          <w:sz w:val="20"/>
          <w:szCs w:val="20"/>
        </w:rPr>
        <w:t>2105</w:t>
      </w:r>
      <w:r w:rsidR="00DB1635" w:rsidRPr="00B004EE">
        <w:rPr>
          <w:rFonts w:ascii="Tahoma" w:hAnsi="Tahoma" w:cs="Tahoma"/>
          <w:sz w:val="20"/>
          <w:szCs w:val="20"/>
        </w:rPr>
        <w:t xml:space="preserve"> </w:t>
      </w:r>
      <w:r w:rsidRPr="00B004EE">
        <w:rPr>
          <w:rFonts w:ascii="Tahoma" w:hAnsi="Tahoma" w:cs="Tahoma"/>
          <w:bCs/>
          <w:sz w:val="20"/>
          <w:szCs w:val="20"/>
        </w:rPr>
        <w:t>portant</w:t>
      </w:r>
      <w:r w:rsidR="00DB1635" w:rsidRPr="00B004EE">
        <w:rPr>
          <w:rFonts w:ascii="Tahoma" w:hAnsi="Tahoma" w:cs="Tahoma"/>
          <w:bCs/>
          <w:sz w:val="20"/>
          <w:szCs w:val="20"/>
        </w:rPr>
        <w:t xml:space="preserve"> </w:t>
      </w:r>
      <w:r w:rsidRPr="00B004EE">
        <w:rPr>
          <w:rFonts w:ascii="Tahoma" w:hAnsi="Tahoma" w:cs="Tahoma"/>
          <w:bCs/>
          <w:sz w:val="20"/>
          <w:szCs w:val="20"/>
        </w:rPr>
        <w:t>Code</w:t>
      </w:r>
      <w:r w:rsidR="00DB1635" w:rsidRPr="00B004EE">
        <w:rPr>
          <w:rFonts w:ascii="Tahoma" w:hAnsi="Tahoma" w:cs="Tahoma"/>
          <w:bCs/>
          <w:sz w:val="20"/>
          <w:szCs w:val="20"/>
        </w:rPr>
        <w:t xml:space="preserve"> </w:t>
      </w:r>
      <w:r w:rsidRPr="00B004EE">
        <w:rPr>
          <w:rFonts w:ascii="Tahoma" w:hAnsi="Tahoma" w:cs="Tahoma"/>
          <w:bCs/>
          <w:sz w:val="20"/>
          <w:szCs w:val="20"/>
        </w:rPr>
        <w:t>des</w:t>
      </w:r>
      <w:r w:rsidR="00DB1635" w:rsidRPr="00B004EE">
        <w:rPr>
          <w:rFonts w:ascii="Tahoma" w:hAnsi="Tahoma" w:cs="Tahoma"/>
          <w:bCs/>
          <w:sz w:val="20"/>
          <w:szCs w:val="20"/>
        </w:rPr>
        <w:t xml:space="preserve"> </w:t>
      </w:r>
      <w:r w:rsidRPr="00B004EE">
        <w:rPr>
          <w:rFonts w:ascii="Tahoma" w:hAnsi="Tahoma" w:cs="Tahoma"/>
          <w:bCs/>
          <w:sz w:val="20"/>
          <w:szCs w:val="20"/>
        </w:rPr>
        <w:t>Pêches.</w:t>
      </w:r>
      <w:r w:rsidR="00DB1635" w:rsidRPr="00B004EE">
        <w:rPr>
          <w:rFonts w:ascii="Tahoma" w:hAnsi="Tahoma" w:cs="Tahoma"/>
          <w:bCs/>
          <w:sz w:val="20"/>
          <w:szCs w:val="20"/>
        </w:rPr>
        <w:t xml:space="preserve"> </w:t>
      </w:r>
    </w:p>
    <w:p w14:paraId="2D7A1896" w14:textId="77777777" w:rsidR="008518B0" w:rsidRPr="00B004EE" w:rsidRDefault="008518B0" w:rsidP="00B004EE">
      <w:pPr>
        <w:autoSpaceDE w:val="0"/>
        <w:autoSpaceDN w:val="0"/>
        <w:adjustRightInd w:val="0"/>
        <w:jc w:val="both"/>
        <w:rPr>
          <w:rFonts w:ascii="Tahoma" w:hAnsi="Tahoma" w:cs="Tahoma"/>
          <w:bCs/>
          <w:sz w:val="20"/>
          <w:szCs w:val="20"/>
        </w:rPr>
      </w:pPr>
    </w:p>
    <w:p w14:paraId="35BC99CD" w14:textId="3D1449A8" w:rsidR="008518B0" w:rsidRPr="00B004EE" w:rsidRDefault="008518B0" w:rsidP="00B004EE">
      <w:pPr>
        <w:autoSpaceDE w:val="0"/>
        <w:autoSpaceDN w:val="0"/>
        <w:adjustRightInd w:val="0"/>
        <w:jc w:val="center"/>
        <w:rPr>
          <w:rFonts w:ascii="Tahoma" w:hAnsi="Tahoma" w:cs="Tahoma"/>
          <w:b/>
          <w:bCs/>
          <w:sz w:val="20"/>
          <w:szCs w:val="20"/>
        </w:rPr>
      </w:pPr>
      <w:r w:rsidRPr="00B004EE">
        <w:rPr>
          <w:rFonts w:ascii="Tahoma" w:hAnsi="Tahoma" w:cs="Tahoma"/>
          <w:b/>
          <w:bCs/>
          <w:sz w:val="20"/>
          <w:szCs w:val="20"/>
        </w:rPr>
        <w:t>CHAPITRE</w:t>
      </w:r>
      <w:r w:rsidR="00DB1635" w:rsidRPr="00B004EE">
        <w:rPr>
          <w:rFonts w:ascii="Tahoma" w:hAnsi="Tahoma" w:cs="Tahoma"/>
          <w:b/>
          <w:bCs/>
          <w:sz w:val="20"/>
          <w:szCs w:val="20"/>
        </w:rPr>
        <w:t xml:space="preserve"> </w:t>
      </w:r>
      <w:r w:rsidRPr="00B004EE">
        <w:rPr>
          <w:rFonts w:ascii="Tahoma" w:hAnsi="Tahoma" w:cs="Tahoma"/>
          <w:b/>
          <w:bCs/>
          <w:sz w:val="20"/>
          <w:szCs w:val="20"/>
        </w:rPr>
        <w:t>II</w:t>
      </w:r>
      <w:r w:rsidR="00DB1635" w:rsidRPr="00B004EE">
        <w:rPr>
          <w:rFonts w:ascii="Tahoma" w:hAnsi="Tahoma" w:cs="Tahoma"/>
          <w:b/>
          <w:bCs/>
          <w:sz w:val="20"/>
          <w:szCs w:val="20"/>
        </w:rPr>
        <w:t xml:space="preserve"> </w:t>
      </w:r>
      <w:r w:rsidRPr="00B004EE">
        <w:rPr>
          <w:rFonts w:ascii="Tahoma" w:hAnsi="Tahoma" w:cs="Tahoma"/>
          <w:b/>
          <w:bCs/>
          <w:sz w:val="20"/>
          <w:szCs w:val="20"/>
        </w:rPr>
        <w:t>:</w:t>
      </w:r>
      <w:r w:rsidR="00DB1635" w:rsidRPr="00B004EE">
        <w:rPr>
          <w:rFonts w:ascii="Tahoma" w:hAnsi="Tahoma" w:cs="Tahoma"/>
          <w:b/>
          <w:bCs/>
          <w:sz w:val="20"/>
          <w:szCs w:val="20"/>
        </w:rPr>
        <w:t xml:space="preserve"> </w:t>
      </w:r>
      <w:r w:rsidRPr="00B004EE">
        <w:rPr>
          <w:rFonts w:ascii="Tahoma" w:hAnsi="Tahoma" w:cs="Tahoma"/>
          <w:b/>
          <w:bCs/>
          <w:sz w:val="20"/>
          <w:szCs w:val="20"/>
        </w:rPr>
        <w:t>DES</w:t>
      </w:r>
      <w:r w:rsidR="00DB1635" w:rsidRPr="00B004EE">
        <w:rPr>
          <w:rFonts w:ascii="Tahoma" w:hAnsi="Tahoma" w:cs="Tahoma"/>
          <w:b/>
          <w:bCs/>
          <w:sz w:val="20"/>
          <w:szCs w:val="20"/>
        </w:rPr>
        <w:t xml:space="preserve"> </w:t>
      </w:r>
      <w:r w:rsidRPr="00B004EE">
        <w:rPr>
          <w:rFonts w:ascii="Tahoma" w:hAnsi="Tahoma" w:cs="Tahoma"/>
          <w:b/>
          <w:bCs/>
          <w:sz w:val="20"/>
          <w:szCs w:val="20"/>
        </w:rPr>
        <w:t>MESURES</w:t>
      </w:r>
      <w:r w:rsidR="00DB1635" w:rsidRPr="00B004EE">
        <w:rPr>
          <w:rFonts w:ascii="Tahoma" w:hAnsi="Tahoma" w:cs="Tahoma"/>
          <w:b/>
          <w:bCs/>
          <w:sz w:val="20"/>
          <w:szCs w:val="20"/>
        </w:rPr>
        <w:t xml:space="preserve"> </w:t>
      </w:r>
      <w:r w:rsidRPr="00B004EE">
        <w:rPr>
          <w:rFonts w:ascii="Tahoma" w:hAnsi="Tahoma" w:cs="Tahoma"/>
          <w:b/>
          <w:bCs/>
          <w:sz w:val="20"/>
          <w:szCs w:val="20"/>
        </w:rPr>
        <w:t>DE</w:t>
      </w:r>
      <w:r w:rsidR="00DB1635" w:rsidRPr="00B004EE">
        <w:rPr>
          <w:rFonts w:ascii="Tahoma" w:hAnsi="Tahoma" w:cs="Tahoma"/>
          <w:b/>
          <w:bCs/>
          <w:sz w:val="20"/>
          <w:szCs w:val="20"/>
        </w:rPr>
        <w:t xml:space="preserve"> </w:t>
      </w:r>
      <w:r w:rsidRPr="00B004EE">
        <w:rPr>
          <w:rFonts w:ascii="Tahoma" w:hAnsi="Tahoma" w:cs="Tahoma"/>
          <w:b/>
          <w:bCs/>
          <w:sz w:val="20"/>
          <w:szCs w:val="20"/>
        </w:rPr>
        <w:t>CONSERVATION</w:t>
      </w:r>
    </w:p>
    <w:p w14:paraId="05BC0416" w14:textId="5059260A" w:rsidR="008518B0" w:rsidRPr="00B004EE" w:rsidRDefault="008518B0" w:rsidP="00B004EE">
      <w:pPr>
        <w:autoSpaceDE w:val="0"/>
        <w:autoSpaceDN w:val="0"/>
        <w:adjustRightInd w:val="0"/>
        <w:jc w:val="center"/>
        <w:rPr>
          <w:rFonts w:ascii="Tahoma" w:hAnsi="Tahoma" w:cs="Tahoma"/>
          <w:b/>
          <w:bCs/>
          <w:sz w:val="20"/>
          <w:szCs w:val="20"/>
        </w:rPr>
      </w:pPr>
      <w:r w:rsidRPr="00B004EE">
        <w:rPr>
          <w:rFonts w:ascii="Tahoma" w:hAnsi="Tahoma" w:cs="Tahoma"/>
          <w:b/>
          <w:bCs/>
          <w:sz w:val="20"/>
          <w:szCs w:val="20"/>
        </w:rPr>
        <w:t>Section</w:t>
      </w:r>
      <w:r w:rsidR="00DB1635" w:rsidRPr="00B004EE">
        <w:rPr>
          <w:rFonts w:ascii="Tahoma" w:hAnsi="Tahoma" w:cs="Tahoma"/>
          <w:b/>
          <w:bCs/>
          <w:sz w:val="20"/>
          <w:szCs w:val="20"/>
        </w:rPr>
        <w:t xml:space="preserve"> </w:t>
      </w:r>
      <w:r w:rsidRPr="00B004EE">
        <w:rPr>
          <w:rFonts w:ascii="Tahoma" w:hAnsi="Tahoma" w:cs="Tahoma"/>
          <w:b/>
          <w:bCs/>
          <w:sz w:val="20"/>
          <w:szCs w:val="20"/>
        </w:rPr>
        <w:t>I</w:t>
      </w:r>
      <w:r w:rsidR="00DB1635" w:rsidRPr="00B004EE">
        <w:rPr>
          <w:rFonts w:ascii="Tahoma" w:hAnsi="Tahoma" w:cs="Tahoma"/>
          <w:b/>
          <w:bCs/>
          <w:sz w:val="20"/>
          <w:szCs w:val="20"/>
        </w:rPr>
        <w:t xml:space="preserve"> </w:t>
      </w:r>
      <w:r w:rsidRPr="00B004EE">
        <w:rPr>
          <w:rFonts w:ascii="Tahoma" w:hAnsi="Tahoma" w:cs="Tahoma"/>
          <w:b/>
          <w:bCs/>
          <w:sz w:val="20"/>
          <w:szCs w:val="20"/>
        </w:rPr>
        <w:t>:</w:t>
      </w:r>
      <w:r w:rsidR="00DB1635" w:rsidRPr="00B004EE">
        <w:rPr>
          <w:rFonts w:ascii="Tahoma" w:hAnsi="Tahoma" w:cs="Tahoma"/>
          <w:b/>
          <w:bCs/>
          <w:sz w:val="20"/>
          <w:szCs w:val="20"/>
        </w:rPr>
        <w:t xml:space="preserve"> </w:t>
      </w:r>
      <w:r w:rsidRPr="00B004EE">
        <w:rPr>
          <w:rFonts w:ascii="Tahoma" w:hAnsi="Tahoma" w:cs="Tahoma"/>
          <w:b/>
          <w:bCs/>
          <w:sz w:val="20"/>
          <w:szCs w:val="20"/>
        </w:rPr>
        <w:t>Des</w:t>
      </w:r>
      <w:r w:rsidR="00DB1635" w:rsidRPr="00B004EE">
        <w:rPr>
          <w:rFonts w:ascii="Tahoma" w:hAnsi="Tahoma" w:cs="Tahoma"/>
          <w:b/>
          <w:bCs/>
          <w:sz w:val="20"/>
          <w:szCs w:val="20"/>
        </w:rPr>
        <w:t xml:space="preserve"> </w:t>
      </w:r>
      <w:r w:rsidRPr="00B004EE">
        <w:rPr>
          <w:rFonts w:ascii="Tahoma" w:hAnsi="Tahoma" w:cs="Tahoma"/>
          <w:b/>
          <w:bCs/>
          <w:sz w:val="20"/>
          <w:szCs w:val="20"/>
        </w:rPr>
        <w:t>engins</w:t>
      </w:r>
      <w:r w:rsidR="00DB1635" w:rsidRPr="00B004EE">
        <w:rPr>
          <w:rFonts w:ascii="Tahoma" w:hAnsi="Tahoma" w:cs="Tahoma"/>
          <w:b/>
          <w:bCs/>
          <w:sz w:val="20"/>
          <w:szCs w:val="20"/>
        </w:rPr>
        <w:t xml:space="preserve"> </w:t>
      </w:r>
      <w:r w:rsidRPr="00B004EE">
        <w:rPr>
          <w:rFonts w:ascii="Tahoma" w:hAnsi="Tahoma" w:cs="Tahoma"/>
          <w:b/>
          <w:bCs/>
          <w:sz w:val="20"/>
          <w:szCs w:val="20"/>
        </w:rPr>
        <w:t>de</w:t>
      </w:r>
      <w:r w:rsidR="00DB1635" w:rsidRPr="00B004EE">
        <w:rPr>
          <w:rFonts w:ascii="Tahoma" w:hAnsi="Tahoma" w:cs="Tahoma"/>
          <w:b/>
          <w:bCs/>
          <w:sz w:val="20"/>
          <w:szCs w:val="20"/>
        </w:rPr>
        <w:t xml:space="preserve"> </w:t>
      </w:r>
      <w:r w:rsidRPr="00B004EE">
        <w:rPr>
          <w:rFonts w:ascii="Tahoma" w:hAnsi="Tahoma" w:cs="Tahoma"/>
          <w:b/>
          <w:bCs/>
          <w:sz w:val="20"/>
          <w:szCs w:val="20"/>
        </w:rPr>
        <w:t>pêche</w:t>
      </w:r>
    </w:p>
    <w:p w14:paraId="18F56370" w14:textId="77777777" w:rsidR="008518B0" w:rsidRPr="00B004EE" w:rsidRDefault="008518B0" w:rsidP="00B004EE">
      <w:pPr>
        <w:autoSpaceDE w:val="0"/>
        <w:autoSpaceDN w:val="0"/>
        <w:adjustRightInd w:val="0"/>
        <w:jc w:val="center"/>
        <w:rPr>
          <w:rFonts w:ascii="Tahoma" w:hAnsi="Tahoma" w:cs="Tahoma"/>
          <w:b/>
          <w:bCs/>
          <w:sz w:val="20"/>
          <w:szCs w:val="20"/>
        </w:rPr>
      </w:pPr>
    </w:p>
    <w:p w14:paraId="18F46FF2" w14:textId="67C285A6" w:rsidR="008518B0" w:rsidRPr="00B004EE" w:rsidRDefault="008518B0" w:rsidP="00B004EE">
      <w:pPr>
        <w:pStyle w:val="article"/>
        <w:numPr>
          <w:ilvl w:val="0"/>
          <w:numId w:val="0"/>
        </w:numPr>
        <w:tabs>
          <w:tab w:val="left" w:pos="1200"/>
        </w:tabs>
        <w:spacing w:before="0" w:line="240" w:lineRule="auto"/>
        <w:rPr>
          <w:rFonts w:ascii="Tahoma" w:hAnsi="Tahoma" w:cs="Tahoma"/>
          <w:sz w:val="20"/>
          <w:szCs w:val="20"/>
        </w:rPr>
      </w:pPr>
      <w:r w:rsidRPr="00B004EE">
        <w:rPr>
          <w:rFonts w:ascii="Tahoma" w:hAnsi="Tahoma" w:cs="Tahoma"/>
          <w:sz w:val="20"/>
          <w:szCs w:val="20"/>
        </w:rPr>
        <w:t>Article</w:t>
      </w:r>
      <w:r w:rsidR="00DB1635" w:rsidRPr="00B004EE">
        <w:rPr>
          <w:rFonts w:ascii="Tahoma" w:hAnsi="Tahoma" w:cs="Tahoma"/>
          <w:sz w:val="20"/>
          <w:szCs w:val="20"/>
        </w:rPr>
        <w:t xml:space="preserve"> </w:t>
      </w:r>
      <w:r w:rsidRPr="00B004EE">
        <w:rPr>
          <w:rFonts w:ascii="Tahoma" w:hAnsi="Tahoma" w:cs="Tahoma"/>
          <w:sz w:val="20"/>
          <w:szCs w:val="20"/>
        </w:rPr>
        <w:t>28</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engins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artisanale,</w:t>
      </w:r>
      <w:r w:rsidR="00DB1635" w:rsidRPr="00B004EE">
        <w:rPr>
          <w:rFonts w:ascii="Tahoma" w:hAnsi="Tahoma" w:cs="Tahoma"/>
          <w:sz w:val="20"/>
          <w:szCs w:val="20"/>
        </w:rPr>
        <w:t xml:space="preserve"> </w:t>
      </w:r>
      <w:r w:rsidRPr="00B004EE">
        <w:rPr>
          <w:rFonts w:ascii="Tahoma" w:hAnsi="Tahoma" w:cs="Tahoma"/>
          <w:sz w:val="20"/>
          <w:szCs w:val="20"/>
        </w:rPr>
        <w:t>côtière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hauturière</w:t>
      </w:r>
      <w:r w:rsidR="00DB1635" w:rsidRPr="00B004EE">
        <w:rPr>
          <w:rFonts w:ascii="Tahoma" w:hAnsi="Tahoma" w:cs="Tahoma"/>
          <w:sz w:val="20"/>
          <w:szCs w:val="20"/>
        </w:rPr>
        <w:t xml:space="preserve"> </w:t>
      </w:r>
      <w:r w:rsidRPr="00B004EE">
        <w:rPr>
          <w:rFonts w:ascii="Tahoma" w:hAnsi="Tahoma" w:cs="Tahoma"/>
          <w:sz w:val="20"/>
          <w:szCs w:val="20"/>
        </w:rPr>
        <w:t>dont</w:t>
      </w:r>
      <w:r w:rsidR="00DB1635" w:rsidRPr="00B004EE">
        <w:rPr>
          <w:rFonts w:ascii="Tahoma" w:hAnsi="Tahoma" w:cs="Tahoma"/>
          <w:sz w:val="20"/>
          <w:szCs w:val="20"/>
        </w:rPr>
        <w:t xml:space="preserve"> </w:t>
      </w:r>
      <w:r w:rsidRPr="00B004EE">
        <w:rPr>
          <w:rFonts w:ascii="Tahoma" w:hAnsi="Tahoma" w:cs="Tahoma"/>
          <w:sz w:val="20"/>
          <w:szCs w:val="20"/>
        </w:rPr>
        <w:t>l'utilisation</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autorisée</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eaux</w:t>
      </w:r>
      <w:r w:rsidR="00DB1635" w:rsidRPr="00B004EE">
        <w:rPr>
          <w:rFonts w:ascii="Tahoma" w:hAnsi="Tahoma" w:cs="Tahoma"/>
          <w:sz w:val="20"/>
          <w:szCs w:val="20"/>
        </w:rPr>
        <w:t xml:space="preserve"> </w:t>
      </w:r>
      <w:r w:rsidRPr="00B004EE">
        <w:rPr>
          <w:rFonts w:ascii="Tahoma" w:hAnsi="Tahoma" w:cs="Tahoma"/>
          <w:sz w:val="20"/>
          <w:szCs w:val="20"/>
        </w:rPr>
        <w:t>sous</w:t>
      </w:r>
      <w:r w:rsidR="00DB1635" w:rsidRPr="00B004EE">
        <w:rPr>
          <w:rFonts w:ascii="Tahoma" w:hAnsi="Tahoma" w:cs="Tahoma"/>
          <w:sz w:val="20"/>
          <w:szCs w:val="20"/>
        </w:rPr>
        <w:t xml:space="preserve"> </w:t>
      </w:r>
      <w:r w:rsidRPr="00B004EE">
        <w:rPr>
          <w:rFonts w:ascii="Tahoma" w:hAnsi="Tahoma" w:cs="Tahoma"/>
          <w:sz w:val="20"/>
          <w:szCs w:val="20"/>
        </w:rPr>
        <w:t>juridiction</w:t>
      </w:r>
      <w:r w:rsidR="00DB1635" w:rsidRPr="00B004EE">
        <w:rPr>
          <w:rFonts w:ascii="Tahoma" w:hAnsi="Tahoma" w:cs="Tahoma"/>
          <w:sz w:val="20"/>
          <w:szCs w:val="20"/>
        </w:rPr>
        <w:t xml:space="preserve"> </w:t>
      </w:r>
      <w:r w:rsidRPr="00B004EE">
        <w:rPr>
          <w:rFonts w:ascii="Tahoma" w:hAnsi="Tahoma" w:cs="Tahoma"/>
          <w:sz w:val="20"/>
          <w:szCs w:val="20"/>
        </w:rPr>
        <w:t>nationale</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notamment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filets,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pièges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lignes.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mailles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filets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pièges</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autorisées</w:t>
      </w:r>
      <w:r w:rsidR="00DB1635" w:rsidRPr="00B004EE">
        <w:rPr>
          <w:rFonts w:ascii="Tahoma" w:hAnsi="Tahoma" w:cs="Tahoma"/>
          <w:sz w:val="20"/>
          <w:szCs w:val="20"/>
        </w:rPr>
        <w:t xml:space="preserve"> </w:t>
      </w:r>
      <w:r w:rsidRPr="00B004EE">
        <w:rPr>
          <w:rFonts w:ascii="Tahoma" w:hAnsi="Tahoma" w:cs="Tahoma"/>
          <w:sz w:val="20"/>
          <w:szCs w:val="20"/>
        </w:rPr>
        <w:t>conformément</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indications</w:t>
      </w:r>
      <w:r w:rsidR="00DB1635" w:rsidRPr="00B004EE">
        <w:rPr>
          <w:rFonts w:ascii="Tahoma" w:hAnsi="Tahoma" w:cs="Tahoma"/>
          <w:sz w:val="20"/>
          <w:szCs w:val="20"/>
        </w:rPr>
        <w:t xml:space="preserve"> </w:t>
      </w:r>
      <w:r w:rsidRPr="00B004EE">
        <w:rPr>
          <w:rFonts w:ascii="Tahoma" w:hAnsi="Tahoma" w:cs="Tahoma"/>
          <w:sz w:val="20"/>
          <w:szCs w:val="20"/>
        </w:rPr>
        <w:t>citées</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annexe</w:t>
      </w:r>
      <w:r w:rsidR="00DB1635" w:rsidRPr="00B004EE">
        <w:rPr>
          <w:rFonts w:ascii="Tahoma" w:hAnsi="Tahoma" w:cs="Tahoma"/>
          <w:sz w:val="20"/>
          <w:szCs w:val="20"/>
        </w:rPr>
        <w:t xml:space="preserve"> </w:t>
      </w:r>
      <w:r w:rsidRPr="00B004EE">
        <w:rPr>
          <w:rFonts w:ascii="Tahoma" w:hAnsi="Tahoma" w:cs="Tahoma"/>
          <w:sz w:val="20"/>
          <w:szCs w:val="20"/>
        </w:rPr>
        <w:t>II</w:t>
      </w:r>
      <w:r w:rsidR="00DB1635" w:rsidRPr="00B004EE">
        <w:rPr>
          <w:rFonts w:ascii="Tahoma" w:hAnsi="Tahoma" w:cs="Tahoma"/>
          <w:sz w:val="20"/>
          <w:szCs w:val="20"/>
        </w:rPr>
        <w:t xml:space="preserve"> </w:t>
      </w:r>
      <w:r w:rsidRPr="00B004EE">
        <w:rPr>
          <w:rFonts w:ascii="Tahoma" w:hAnsi="Tahoma" w:cs="Tahoma"/>
          <w:sz w:val="20"/>
          <w:szCs w:val="20"/>
        </w:rPr>
        <w:t>qui</w:t>
      </w:r>
      <w:r w:rsidR="00DB1635" w:rsidRPr="00B004EE">
        <w:rPr>
          <w:rFonts w:ascii="Tahoma" w:hAnsi="Tahoma" w:cs="Tahoma"/>
          <w:sz w:val="20"/>
          <w:szCs w:val="20"/>
        </w:rPr>
        <w:t xml:space="preserve"> </w:t>
      </w:r>
      <w:r w:rsidRPr="00B004EE">
        <w:rPr>
          <w:rFonts w:ascii="Tahoma" w:hAnsi="Tahoma" w:cs="Tahoma"/>
          <w:sz w:val="20"/>
          <w:szCs w:val="20"/>
        </w:rPr>
        <w:t>fait</w:t>
      </w:r>
      <w:r w:rsidR="00DB1635" w:rsidRPr="00B004EE">
        <w:rPr>
          <w:rFonts w:ascii="Tahoma" w:hAnsi="Tahoma" w:cs="Tahoma"/>
          <w:sz w:val="20"/>
          <w:szCs w:val="20"/>
        </w:rPr>
        <w:t xml:space="preserve"> </w:t>
      </w:r>
      <w:r w:rsidRPr="00B004EE">
        <w:rPr>
          <w:rFonts w:ascii="Tahoma" w:hAnsi="Tahoma" w:cs="Tahoma"/>
          <w:sz w:val="20"/>
          <w:szCs w:val="20"/>
        </w:rPr>
        <w:t>partie</w:t>
      </w:r>
      <w:r w:rsidR="00DB1635" w:rsidRPr="00B004EE">
        <w:rPr>
          <w:rFonts w:ascii="Tahoma" w:hAnsi="Tahoma" w:cs="Tahoma"/>
          <w:sz w:val="20"/>
          <w:szCs w:val="20"/>
        </w:rPr>
        <w:t xml:space="preserve"> </w:t>
      </w:r>
      <w:r w:rsidRPr="00B004EE">
        <w:rPr>
          <w:rFonts w:ascii="Tahoma" w:hAnsi="Tahoma" w:cs="Tahoma"/>
          <w:sz w:val="20"/>
          <w:szCs w:val="20"/>
        </w:rPr>
        <w:t>intégrante</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présent</w:t>
      </w:r>
      <w:r w:rsidR="00DB1635" w:rsidRPr="00B004EE">
        <w:rPr>
          <w:rFonts w:ascii="Tahoma" w:hAnsi="Tahoma" w:cs="Tahoma"/>
          <w:sz w:val="20"/>
          <w:szCs w:val="20"/>
        </w:rPr>
        <w:t xml:space="preserve"> </w:t>
      </w:r>
      <w:r w:rsidRPr="00B004EE">
        <w:rPr>
          <w:rFonts w:ascii="Tahoma" w:hAnsi="Tahoma" w:cs="Tahoma"/>
          <w:sz w:val="20"/>
          <w:szCs w:val="20"/>
        </w:rPr>
        <w:t>décret.</w:t>
      </w:r>
    </w:p>
    <w:p w14:paraId="7477497D" w14:textId="77777777" w:rsidR="008518B0" w:rsidRPr="00B004EE" w:rsidRDefault="008518B0" w:rsidP="00B004EE">
      <w:pPr>
        <w:pStyle w:val="article"/>
        <w:numPr>
          <w:ilvl w:val="0"/>
          <w:numId w:val="0"/>
        </w:numPr>
        <w:tabs>
          <w:tab w:val="left" w:pos="1200"/>
        </w:tabs>
        <w:spacing w:before="0" w:line="240" w:lineRule="auto"/>
        <w:rPr>
          <w:rFonts w:ascii="Tahoma" w:hAnsi="Tahoma" w:cs="Tahoma"/>
          <w:sz w:val="20"/>
          <w:szCs w:val="20"/>
        </w:rPr>
      </w:pPr>
    </w:p>
    <w:p w14:paraId="1F4B318E" w14:textId="6E3D4A75" w:rsidR="008518B0" w:rsidRPr="00B004EE" w:rsidRDefault="008518B0" w:rsidP="00B004EE">
      <w:pPr>
        <w:pStyle w:val="article"/>
        <w:numPr>
          <w:ilvl w:val="0"/>
          <w:numId w:val="0"/>
        </w:numPr>
        <w:tabs>
          <w:tab w:val="left" w:pos="1200"/>
        </w:tabs>
        <w:spacing w:before="0" w:line="240" w:lineRule="auto"/>
        <w:rPr>
          <w:rFonts w:ascii="Tahoma" w:hAnsi="Tahoma" w:cs="Tahoma"/>
          <w:sz w:val="20"/>
          <w:szCs w:val="20"/>
        </w:rPr>
      </w:pP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caractéristiques</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engins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autorisés</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définies</w:t>
      </w:r>
      <w:r w:rsidR="00DB1635" w:rsidRPr="00B004EE">
        <w:rPr>
          <w:rFonts w:ascii="Tahoma" w:hAnsi="Tahoma" w:cs="Tahoma"/>
          <w:sz w:val="20"/>
          <w:szCs w:val="20"/>
        </w:rPr>
        <w:t xml:space="preserve"> </w:t>
      </w:r>
      <w:r w:rsidRPr="00B004EE">
        <w:rPr>
          <w:rFonts w:ascii="Tahoma" w:hAnsi="Tahoma" w:cs="Tahoma"/>
          <w:sz w:val="20"/>
          <w:szCs w:val="20"/>
        </w:rPr>
        <w:t>conformément</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indications</w:t>
      </w:r>
      <w:r w:rsidR="00DB1635" w:rsidRPr="00B004EE">
        <w:rPr>
          <w:rFonts w:ascii="Tahoma" w:hAnsi="Tahoma" w:cs="Tahoma"/>
          <w:sz w:val="20"/>
          <w:szCs w:val="20"/>
        </w:rPr>
        <w:t xml:space="preserve"> </w:t>
      </w:r>
      <w:r w:rsidRPr="00B004EE">
        <w:rPr>
          <w:rFonts w:ascii="Tahoma" w:hAnsi="Tahoma" w:cs="Tahoma"/>
          <w:sz w:val="20"/>
          <w:szCs w:val="20"/>
        </w:rPr>
        <w:t>prévues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l’article</w:t>
      </w:r>
      <w:r w:rsidR="00DB1635" w:rsidRPr="00B004EE">
        <w:rPr>
          <w:rFonts w:ascii="Tahoma" w:hAnsi="Tahoma" w:cs="Tahoma"/>
          <w:sz w:val="20"/>
          <w:szCs w:val="20"/>
        </w:rPr>
        <w:t xml:space="preserve"> </w:t>
      </w:r>
      <w:r w:rsidRPr="00B004EE">
        <w:rPr>
          <w:rFonts w:ascii="Tahoma" w:hAnsi="Tahoma" w:cs="Tahoma"/>
          <w:sz w:val="20"/>
          <w:szCs w:val="20"/>
        </w:rPr>
        <w:t>33</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présent</w:t>
      </w:r>
      <w:r w:rsidR="00DB1635" w:rsidRPr="00B004EE">
        <w:rPr>
          <w:rFonts w:ascii="Tahoma" w:hAnsi="Tahoma" w:cs="Tahoma"/>
          <w:sz w:val="20"/>
          <w:szCs w:val="20"/>
        </w:rPr>
        <w:t xml:space="preserve"> </w:t>
      </w:r>
      <w:r w:rsidRPr="00B004EE">
        <w:rPr>
          <w:rFonts w:ascii="Tahoma" w:hAnsi="Tahoma" w:cs="Tahoma"/>
          <w:sz w:val="20"/>
          <w:szCs w:val="20"/>
        </w:rPr>
        <w:t>décret.</w:t>
      </w:r>
    </w:p>
    <w:p w14:paraId="277DCCDD" w14:textId="7FFBB717" w:rsidR="008518B0" w:rsidRPr="00B004EE" w:rsidRDefault="008518B0" w:rsidP="00B004EE">
      <w:pPr>
        <w:pStyle w:val="article"/>
        <w:numPr>
          <w:ilvl w:val="0"/>
          <w:numId w:val="0"/>
        </w:numPr>
        <w:spacing w:before="0" w:line="240" w:lineRule="auto"/>
        <w:rPr>
          <w:rFonts w:ascii="Tahoma" w:hAnsi="Tahoma" w:cs="Tahoma"/>
          <w:sz w:val="20"/>
          <w:szCs w:val="20"/>
        </w:rPr>
      </w:pP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arrêté</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ministre</w:t>
      </w:r>
      <w:r w:rsidR="00DB1635" w:rsidRPr="00B004EE">
        <w:rPr>
          <w:rFonts w:ascii="Tahoma" w:hAnsi="Tahoma" w:cs="Tahoma"/>
          <w:sz w:val="20"/>
          <w:szCs w:val="20"/>
        </w:rPr>
        <w:t xml:space="preserve"> </w:t>
      </w:r>
      <w:r w:rsidRPr="00B004EE">
        <w:rPr>
          <w:rFonts w:ascii="Tahoma" w:hAnsi="Tahoma" w:cs="Tahoma"/>
          <w:sz w:val="20"/>
          <w:szCs w:val="20"/>
        </w:rPr>
        <w:t>chargé</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sz w:val="20"/>
          <w:szCs w:val="20"/>
        </w:rPr>
        <w:t xml:space="preserve"> </w:t>
      </w:r>
      <w:r w:rsidRPr="00B004EE">
        <w:rPr>
          <w:rFonts w:ascii="Tahoma" w:hAnsi="Tahoma" w:cs="Tahoma"/>
          <w:sz w:val="20"/>
          <w:szCs w:val="20"/>
        </w:rPr>
        <w:t>précisera,</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tant</w:t>
      </w:r>
      <w:r w:rsidR="00DB1635" w:rsidRPr="00B004EE">
        <w:rPr>
          <w:rFonts w:ascii="Tahoma" w:hAnsi="Tahoma" w:cs="Tahoma"/>
          <w:sz w:val="20"/>
          <w:szCs w:val="20"/>
        </w:rPr>
        <w:t xml:space="preserve"> </w:t>
      </w:r>
      <w:r w:rsidRPr="00B004EE">
        <w:rPr>
          <w:rFonts w:ascii="Tahoma" w:hAnsi="Tahoma" w:cs="Tahoma"/>
          <w:sz w:val="20"/>
          <w:szCs w:val="20"/>
        </w:rPr>
        <w:t>que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besoin,</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caractéristiques</w:t>
      </w:r>
      <w:r w:rsidR="00DB1635" w:rsidRPr="00B004EE">
        <w:rPr>
          <w:rFonts w:ascii="Tahoma" w:hAnsi="Tahoma" w:cs="Tahoma"/>
          <w:sz w:val="20"/>
          <w:szCs w:val="20"/>
        </w:rPr>
        <w:t xml:space="preserve"> </w:t>
      </w:r>
      <w:r w:rsidRPr="00B004EE">
        <w:rPr>
          <w:rFonts w:ascii="Tahoma" w:hAnsi="Tahoma" w:cs="Tahoma"/>
          <w:sz w:val="20"/>
          <w:szCs w:val="20"/>
        </w:rPr>
        <w:t>techniques</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autres</w:t>
      </w:r>
      <w:r w:rsidR="00DB1635" w:rsidRPr="00B004EE">
        <w:rPr>
          <w:rFonts w:ascii="Tahoma" w:hAnsi="Tahoma" w:cs="Tahoma"/>
          <w:sz w:val="20"/>
          <w:szCs w:val="20"/>
        </w:rPr>
        <w:t xml:space="preserve"> </w:t>
      </w:r>
      <w:r w:rsidRPr="00B004EE">
        <w:rPr>
          <w:rFonts w:ascii="Tahoma" w:hAnsi="Tahoma" w:cs="Tahoma"/>
          <w:sz w:val="20"/>
          <w:szCs w:val="20"/>
        </w:rPr>
        <w:t>engins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artisanale,</w:t>
      </w:r>
      <w:r w:rsidR="00DB1635" w:rsidRPr="00B004EE">
        <w:rPr>
          <w:rFonts w:ascii="Tahoma" w:hAnsi="Tahoma" w:cs="Tahoma"/>
          <w:sz w:val="20"/>
          <w:szCs w:val="20"/>
        </w:rPr>
        <w:t xml:space="preserve"> </w:t>
      </w:r>
      <w:r w:rsidRPr="00B004EE">
        <w:rPr>
          <w:rFonts w:ascii="Tahoma" w:hAnsi="Tahoma" w:cs="Tahoma"/>
          <w:sz w:val="20"/>
          <w:szCs w:val="20"/>
        </w:rPr>
        <w:t>côtière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hauturière</w:t>
      </w:r>
      <w:r w:rsidR="00DB1635" w:rsidRPr="00B004EE">
        <w:rPr>
          <w:rFonts w:ascii="Tahoma" w:hAnsi="Tahoma" w:cs="Tahoma"/>
          <w:sz w:val="20"/>
          <w:szCs w:val="20"/>
        </w:rPr>
        <w:t xml:space="preserve"> </w:t>
      </w:r>
      <w:r w:rsidRPr="00B004EE">
        <w:rPr>
          <w:rFonts w:ascii="Tahoma" w:hAnsi="Tahoma" w:cs="Tahoma"/>
          <w:sz w:val="20"/>
          <w:szCs w:val="20"/>
        </w:rPr>
        <w:t>autorisés</w:t>
      </w:r>
      <w:r w:rsidR="00DB1635" w:rsidRPr="00B004EE">
        <w:rPr>
          <w:rFonts w:ascii="Tahoma" w:hAnsi="Tahoma" w:cs="Tahoma"/>
          <w:sz w:val="20"/>
          <w:szCs w:val="20"/>
        </w:rPr>
        <w:t xml:space="preserve"> </w:t>
      </w:r>
      <w:r w:rsidRPr="00B004EE">
        <w:rPr>
          <w:rFonts w:ascii="Tahoma" w:hAnsi="Tahoma" w:cs="Tahoma"/>
          <w:sz w:val="20"/>
          <w:szCs w:val="20"/>
        </w:rPr>
        <w:t>ainsi</w:t>
      </w:r>
      <w:r w:rsidR="00DB1635" w:rsidRPr="00B004EE">
        <w:rPr>
          <w:rFonts w:ascii="Tahoma" w:hAnsi="Tahoma" w:cs="Tahoma"/>
          <w:sz w:val="20"/>
          <w:szCs w:val="20"/>
        </w:rPr>
        <w:t xml:space="preserve"> </w:t>
      </w:r>
      <w:r w:rsidRPr="00B004EE">
        <w:rPr>
          <w:rFonts w:ascii="Tahoma" w:hAnsi="Tahoma" w:cs="Tahoma"/>
          <w:sz w:val="20"/>
          <w:szCs w:val="20"/>
        </w:rPr>
        <w:t>que</w:t>
      </w:r>
      <w:r w:rsidR="00DB1635" w:rsidRPr="00B004EE">
        <w:rPr>
          <w:rFonts w:ascii="Tahoma" w:hAnsi="Tahoma" w:cs="Tahoma"/>
          <w:sz w:val="20"/>
          <w:szCs w:val="20"/>
        </w:rPr>
        <w:t xml:space="preserve"> </w:t>
      </w:r>
      <w:r w:rsidRPr="00B004EE">
        <w:rPr>
          <w:rFonts w:ascii="Tahoma" w:hAnsi="Tahoma" w:cs="Tahoma"/>
          <w:sz w:val="20"/>
          <w:szCs w:val="20"/>
        </w:rPr>
        <w:t>leurs</w:t>
      </w:r>
      <w:r w:rsidR="00DB1635" w:rsidRPr="00B004EE">
        <w:rPr>
          <w:rFonts w:ascii="Tahoma" w:hAnsi="Tahoma" w:cs="Tahoma"/>
          <w:sz w:val="20"/>
          <w:szCs w:val="20"/>
        </w:rPr>
        <w:t xml:space="preserve"> </w:t>
      </w:r>
      <w:r w:rsidRPr="00B004EE">
        <w:rPr>
          <w:rFonts w:ascii="Tahoma" w:hAnsi="Tahoma" w:cs="Tahoma"/>
          <w:sz w:val="20"/>
          <w:szCs w:val="20"/>
        </w:rPr>
        <w:t>conditions</w:t>
      </w:r>
      <w:r w:rsidR="00DB1635" w:rsidRPr="00B004EE">
        <w:rPr>
          <w:rFonts w:ascii="Tahoma" w:hAnsi="Tahoma" w:cs="Tahoma"/>
          <w:sz w:val="20"/>
          <w:szCs w:val="20"/>
        </w:rPr>
        <w:t xml:space="preserve"> </w:t>
      </w:r>
      <w:r w:rsidRPr="00B004EE">
        <w:rPr>
          <w:rFonts w:ascii="Tahoma" w:hAnsi="Tahoma" w:cs="Tahoma"/>
          <w:sz w:val="20"/>
          <w:szCs w:val="20"/>
        </w:rPr>
        <w:t>d’utilisation.</w:t>
      </w:r>
    </w:p>
    <w:p w14:paraId="202901B2" w14:textId="77777777" w:rsidR="008518B0" w:rsidRPr="00B004EE" w:rsidRDefault="008518B0" w:rsidP="00B004EE">
      <w:pPr>
        <w:pStyle w:val="article"/>
        <w:numPr>
          <w:ilvl w:val="0"/>
          <w:numId w:val="0"/>
        </w:numPr>
        <w:spacing w:before="0" w:line="240" w:lineRule="auto"/>
        <w:rPr>
          <w:rFonts w:ascii="Tahoma" w:hAnsi="Tahoma" w:cs="Tahoma"/>
          <w:sz w:val="20"/>
          <w:szCs w:val="20"/>
        </w:rPr>
      </w:pPr>
    </w:p>
    <w:p w14:paraId="6032C11C" w14:textId="75355280" w:rsidR="008518B0" w:rsidRPr="00B004EE" w:rsidRDefault="008518B0" w:rsidP="00B004EE">
      <w:pPr>
        <w:pStyle w:val="article"/>
        <w:numPr>
          <w:ilvl w:val="0"/>
          <w:numId w:val="0"/>
        </w:numPr>
        <w:tabs>
          <w:tab w:val="left" w:pos="1200"/>
        </w:tabs>
        <w:spacing w:before="0" w:line="240" w:lineRule="auto"/>
        <w:rPr>
          <w:rFonts w:ascii="Tahoma" w:hAnsi="Tahoma" w:cs="Tahoma"/>
          <w:sz w:val="20"/>
          <w:szCs w:val="20"/>
        </w:rPr>
      </w:pPr>
      <w:r w:rsidRPr="00B004EE">
        <w:rPr>
          <w:rFonts w:ascii="Tahoma" w:hAnsi="Tahoma" w:cs="Tahoma"/>
          <w:sz w:val="20"/>
          <w:szCs w:val="20"/>
        </w:rPr>
        <w:t>Article</w:t>
      </w:r>
      <w:r w:rsidR="00DB1635" w:rsidRPr="00B004EE">
        <w:rPr>
          <w:rFonts w:ascii="Tahoma" w:hAnsi="Tahoma" w:cs="Tahoma"/>
          <w:sz w:val="20"/>
          <w:szCs w:val="20"/>
        </w:rPr>
        <w:t xml:space="preserve"> </w:t>
      </w:r>
      <w:r w:rsidRPr="00B004EE">
        <w:rPr>
          <w:rFonts w:ascii="Tahoma" w:hAnsi="Tahoma" w:cs="Tahoma"/>
          <w:sz w:val="20"/>
          <w:szCs w:val="20"/>
        </w:rPr>
        <w:t>29</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fins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contrôle,</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ministre</w:t>
      </w:r>
      <w:r w:rsidR="00DB1635" w:rsidRPr="00B004EE">
        <w:rPr>
          <w:rFonts w:ascii="Tahoma" w:hAnsi="Tahoma" w:cs="Tahoma"/>
          <w:sz w:val="20"/>
          <w:szCs w:val="20"/>
        </w:rPr>
        <w:t xml:space="preserve"> </w:t>
      </w:r>
      <w:r w:rsidRPr="00B004EE">
        <w:rPr>
          <w:rFonts w:ascii="Tahoma" w:hAnsi="Tahoma" w:cs="Tahoma"/>
          <w:sz w:val="20"/>
          <w:szCs w:val="20"/>
        </w:rPr>
        <w:t>chargé</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sz w:val="20"/>
          <w:szCs w:val="20"/>
        </w:rPr>
        <w:t xml:space="preserve"> </w:t>
      </w:r>
      <w:r w:rsidRPr="00B004EE">
        <w:rPr>
          <w:rFonts w:ascii="Tahoma" w:hAnsi="Tahoma" w:cs="Tahoma"/>
          <w:sz w:val="20"/>
          <w:szCs w:val="20"/>
        </w:rPr>
        <w:t>peut</w:t>
      </w:r>
      <w:r w:rsidR="00DB1635" w:rsidRPr="00B004EE">
        <w:rPr>
          <w:rFonts w:ascii="Tahoma" w:hAnsi="Tahoma" w:cs="Tahoma"/>
          <w:sz w:val="20"/>
          <w:szCs w:val="20"/>
        </w:rPr>
        <w:t xml:space="preserve"> </w:t>
      </w:r>
      <w:r w:rsidRPr="00B004EE">
        <w:rPr>
          <w:rFonts w:ascii="Tahoma" w:hAnsi="Tahoma" w:cs="Tahoma"/>
          <w:sz w:val="20"/>
          <w:szCs w:val="20"/>
        </w:rPr>
        <w:t>définir</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arrêté</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conditions</w:t>
      </w:r>
      <w:r w:rsidR="00DB1635" w:rsidRPr="00B004EE">
        <w:rPr>
          <w:rFonts w:ascii="Tahoma" w:hAnsi="Tahoma" w:cs="Tahoma"/>
          <w:sz w:val="20"/>
          <w:szCs w:val="20"/>
        </w:rPr>
        <w:t xml:space="preserve"> </w:t>
      </w:r>
      <w:r w:rsidRPr="00B004EE">
        <w:rPr>
          <w:rFonts w:ascii="Tahoma" w:hAnsi="Tahoma" w:cs="Tahoma"/>
          <w:sz w:val="20"/>
          <w:szCs w:val="20"/>
        </w:rPr>
        <w:t>applicables</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marquage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identification</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mer</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engins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p>
    <w:p w14:paraId="162738E6" w14:textId="77777777" w:rsidR="008518B0" w:rsidRPr="00B004EE" w:rsidRDefault="008518B0" w:rsidP="00B004EE">
      <w:pPr>
        <w:pStyle w:val="article"/>
        <w:numPr>
          <w:ilvl w:val="0"/>
          <w:numId w:val="0"/>
        </w:numPr>
        <w:tabs>
          <w:tab w:val="left" w:pos="1200"/>
        </w:tabs>
        <w:spacing w:before="0" w:line="240" w:lineRule="auto"/>
        <w:rPr>
          <w:rFonts w:ascii="Tahoma" w:hAnsi="Tahoma" w:cs="Tahoma"/>
          <w:sz w:val="20"/>
          <w:szCs w:val="20"/>
        </w:rPr>
      </w:pPr>
    </w:p>
    <w:p w14:paraId="79BE8E57" w14:textId="616989E4" w:rsidR="008518B0" w:rsidRPr="00B004EE" w:rsidRDefault="008518B0" w:rsidP="00B004EE">
      <w:pPr>
        <w:pStyle w:val="article"/>
        <w:numPr>
          <w:ilvl w:val="0"/>
          <w:numId w:val="0"/>
        </w:numPr>
        <w:tabs>
          <w:tab w:val="left" w:pos="1200"/>
        </w:tabs>
        <w:spacing w:before="0" w:line="240" w:lineRule="auto"/>
        <w:rPr>
          <w:rFonts w:ascii="Tahoma" w:hAnsi="Tahoma" w:cs="Tahoma"/>
          <w:b/>
          <w:bCs/>
          <w:sz w:val="20"/>
          <w:szCs w:val="20"/>
          <w:u w:val="single"/>
        </w:rPr>
      </w:pPr>
      <w:r w:rsidRPr="00B004EE">
        <w:rPr>
          <w:rFonts w:ascii="Tahoma" w:hAnsi="Tahoma" w:cs="Tahoma"/>
          <w:sz w:val="20"/>
          <w:szCs w:val="20"/>
        </w:rPr>
        <w:t>Article</w:t>
      </w:r>
      <w:r w:rsidR="00DB1635" w:rsidRPr="00B004EE">
        <w:rPr>
          <w:rFonts w:ascii="Tahoma" w:hAnsi="Tahoma" w:cs="Tahoma"/>
          <w:sz w:val="20"/>
          <w:szCs w:val="20"/>
        </w:rPr>
        <w:t xml:space="preserve"> </w:t>
      </w:r>
      <w:r w:rsidRPr="00B004EE">
        <w:rPr>
          <w:rFonts w:ascii="Tahoma" w:hAnsi="Tahoma" w:cs="Tahoma"/>
          <w:sz w:val="20"/>
          <w:szCs w:val="20"/>
        </w:rPr>
        <w:t>30</w:t>
      </w:r>
      <w:r w:rsidR="00566A20" w:rsidRPr="00B004EE">
        <w:rPr>
          <w:rFonts w:ascii="Tahoma" w:hAnsi="Tahoma" w:cs="Tahoma"/>
          <w:sz w:val="20"/>
          <w:szCs w:val="20"/>
        </w:rPr>
        <w:t xml:space="preserve"> : En</w:t>
      </w:r>
      <w:r w:rsidR="00DB1635" w:rsidRPr="00B004EE">
        <w:rPr>
          <w:rFonts w:ascii="Tahoma" w:hAnsi="Tahoma" w:cs="Tahoma"/>
          <w:sz w:val="20"/>
          <w:szCs w:val="20"/>
        </w:rPr>
        <w:t xml:space="preserve"> </w:t>
      </w:r>
      <w:r w:rsidRPr="00B004EE">
        <w:rPr>
          <w:rFonts w:ascii="Tahoma" w:hAnsi="Tahoma" w:cs="Tahoma"/>
          <w:sz w:val="20"/>
          <w:szCs w:val="20"/>
        </w:rPr>
        <w:t>vue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préserver</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ressource</w:t>
      </w:r>
      <w:r w:rsidR="00DB1635" w:rsidRPr="00B004EE">
        <w:rPr>
          <w:rFonts w:ascii="Tahoma" w:hAnsi="Tahoma" w:cs="Tahoma"/>
          <w:sz w:val="20"/>
          <w:szCs w:val="20"/>
        </w:rPr>
        <w:t xml:space="preserve"> </w:t>
      </w:r>
      <w:r w:rsidRPr="00B004EE">
        <w:rPr>
          <w:rFonts w:ascii="Tahoma" w:hAnsi="Tahoma" w:cs="Tahoma"/>
          <w:sz w:val="20"/>
          <w:szCs w:val="20"/>
        </w:rPr>
        <w:t>halieutique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l’environnement</w:t>
      </w:r>
      <w:r w:rsidR="00DB1635" w:rsidRPr="00B004EE">
        <w:rPr>
          <w:rFonts w:ascii="Tahoma" w:hAnsi="Tahoma" w:cs="Tahoma"/>
          <w:sz w:val="20"/>
          <w:szCs w:val="20"/>
        </w:rPr>
        <w:t xml:space="preserve"> </w:t>
      </w:r>
      <w:r w:rsidRPr="00B004EE">
        <w:rPr>
          <w:rFonts w:ascii="Tahoma" w:hAnsi="Tahoma" w:cs="Tahoma"/>
          <w:sz w:val="20"/>
          <w:szCs w:val="20"/>
        </w:rPr>
        <w:t>aquatique,</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ministre</w:t>
      </w:r>
      <w:r w:rsidR="00DB1635" w:rsidRPr="00B004EE">
        <w:rPr>
          <w:rFonts w:ascii="Tahoma" w:hAnsi="Tahoma" w:cs="Tahoma"/>
          <w:sz w:val="20"/>
          <w:szCs w:val="20"/>
        </w:rPr>
        <w:t xml:space="preserve"> </w:t>
      </w:r>
      <w:r w:rsidRPr="00B004EE">
        <w:rPr>
          <w:rFonts w:ascii="Tahoma" w:hAnsi="Tahoma" w:cs="Tahoma"/>
          <w:sz w:val="20"/>
          <w:szCs w:val="20"/>
        </w:rPr>
        <w:t>chargé</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sz w:val="20"/>
          <w:szCs w:val="20"/>
        </w:rPr>
        <w:t xml:space="preserve"> </w:t>
      </w:r>
      <w:r w:rsidRPr="00B004EE">
        <w:rPr>
          <w:rFonts w:ascii="Tahoma" w:hAnsi="Tahoma" w:cs="Tahoma"/>
          <w:sz w:val="20"/>
          <w:szCs w:val="20"/>
        </w:rPr>
        <w:t>peut</w:t>
      </w:r>
      <w:r w:rsidR="00DB1635" w:rsidRPr="00B004EE">
        <w:rPr>
          <w:rFonts w:ascii="Tahoma" w:hAnsi="Tahoma" w:cs="Tahoma"/>
          <w:sz w:val="20"/>
          <w:szCs w:val="20"/>
        </w:rPr>
        <w:t xml:space="preserve"> </w:t>
      </w:r>
      <w:r w:rsidRPr="00B004EE">
        <w:rPr>
          <w:rFonts w:ascii="Tahoma" w:hAnsi="Tahoma" w:cs="Tahoma"/>
          <w:sz w:val="20"/>
          <w:szCs w:val="20"/>
        </w:rPr>
        <w:t>prendre,</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arrêté,</w:t>
      </w:r>
      <w:r w:rsidR="00DB1635" w:rsidRPr="00B004EE">
        <w:rPr>
          <w:rFonts w:ascii="Tahoma" w:hAnsi="Tahoma" w:cs="Tahoma"/>
          <w:sz w:val="20"/>
          <w:szCs w:val="20"/>
        </w:rPr>
        <w:t xml:space="preserve"> </w:t>
      </w:r>
      <w:r w:rsidRPr="00B004EE">
        <w:rPr>
          <w:rFonts w:ascii="Tahoma" w:hAnsi="Tahoma" w:cs="Tahoma"/>
          <w:sz w:val="20"/>
          <w:szCs w:val="20"/>
        </w:rPr>
        <w:t>sur</w:t>
      </w:r>
      <w:r w:rsidR="00DB1635" w:rsidRPr="00B004EE">
        <w:rPr>
          <w:rFonts w:ascii="Tahoma" w:hAnsi="Tahoma" w:cs="Tahoma"/>
          <w:sz w:val="20"/>
          <w:szCs w:val="20"/>
        </w:rPr>
        <w:t xml:space="preserve"> </w:t>
      </w:r>
      <w:r w:rsidRPr="00B004EE">
        <w:rPr>
          <w:rFonts w:ascii="Tahoma" w:hAnsi="Tahoma" w:cs="Tahoma"/>
          <w:sz w:val="20"/>
          <w:szCs w:val="20"/>
        </w:rPr>
        <w:t>avis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l’institution</w:t>
      </w:r>
      <w:r w:rsidR="00DB1635" w:rsidRPr="00B004EE">
        <w:rPr>
          <w:rFonts w:ascii="Tahoma" w:hAnsi="Tahoma" w:cs="Tahoma"/>
          <w:sz w:val="20"/>
          <w:szCs w:val="20"/>
        </w:rPr>
        <w:t xml:space="preserve"> </w:t>
      </w:r>
      <w:r w:rsidRPr="00B004EE">
        <w:rPr>
          <w:rFonts w:ascii="Tahoma" w:hAnsi="Tahoma" w:cs="Tahoma"/>
          <w:sz w:val="20"/>
          <w:szCs w:val="20"/>
        </w:rPr>
        <w:t>nationale</w:t>
      </w:r>
      <w:r w:rsidR="00DB1635" w:rsidRPr="00B004EE">
        <w:rPr>
          <w:rFonts w:ascii="Tahoma" w:hAnsi="Tahoma" w:cs="Tahoma"/>
          <w:sz w:val="20"/>
          <w:szCs w:val="20"/>
        </w:rPr>
        <w:t xml:space="preserve"> </w:t>
      </w:r>
      <w:r w:rsidRPr="00B004EE">
        <w:rPr>
          <w:rFonts w:ascii="Tahoma" w:hAnsi="Tahoma" w:cs="Tahoma"/>
          <w:sz w:val="20"/>
          <w:szCs w:val="20"/>
        </w:rPr>
        <w:t>chargée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recherche</w:t>
      </w:r>
      <w:r w:rsidR="00DB1635" w:rsidRPr="00B004EE">
        <w:rPr>
          <w:rFonts w:ascii="Tahoma" w:hAnsi="Tahoma" w:cs="Tahoma"/>
          <w:sz w:val="20"/>
          <w:szCs w:val="20"/>
        </w:rPr>
        <w:t xml:space="preserve"> </w:t>
      </w:r>
      <w:r w:rsidRPr="00B004EE">
        <w:rPr>
          <w:rFonts w:ascii="Tahoma" w:hAnsi="Tahoma" w:cs="Tahoma"/>
          <w:sz w:val="20"/>
          <w:szCs w:val="20"/>
        </w:rPr>
        <w:t>océanographique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mesures</w:t>
      </w:r>
      <w:r w:rsidR="00DB1635" w:rsidRPr="00B004EE">
        <w:rPr>
          <w:rFonts w:ascii="Tahoma" w:hAnsi="Tahoma" w:cs="Tahoma"/>
          <w:sz w:val="20"/>
          <w:szCs w:val="20"/>
        </w:rPr>
        <w:t xml:space="preserve"> </w:t>
      </w:r>
      <w:r w:rsidRPr="00B004EE">
        <w:rPr>
          <w:rFonts w:ascii="Tahoma" w:hAnsi="Tahoma" w:cs="Tahoma"/>
          <w:sz w:val="20"/>
          <w:szCs w:val="20"/>
        </w:rPr>
        <w:t>d'interdiction</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restriction</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l'utilisation</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tout</w:t>
      </w:r>
      <w:r w:rsidR="00DB1635" w:rsidRPr="00B004EE">
        <w:rPr>
          <w:rFonts w:ascii="Tahoma" w:hAnsi="Tahoma" w:cs="Tahoma"/>
          <w:sz w:val="20"/>
          <w:szCs w:val="20"/>
        </w:rPr>
        <w:t xml:space="preserve"> </w:t>
      </w:r>
      <w:r w:rsidRPr="00B004EE">
        <w:rPr>
          <w:rFonts w:ascii="Tahoma" w:hAnsi="Tahoma" w:cs="Tahoma"/>
          <w:sz w:val="20"/>
          <w:szCs w:val="20"/>
        </w:rPr>
        <w:t>dispositif</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gréement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nature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détruire</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habitats</w:t>
      </w:r>
      <w:r w:rsidR="00DB1635" w:rsidRPr="00B004EE">
        <w:rPr>
          <w:rFonts w:ascii="Tahoma" w:hAnsi="Tahoma" w:cs="Tahoma"/>
          <w:sz w:val="20"/>
          <w:szCs w:val="20"/>
        </w:rPr>
        <w:t xml:space="preserve"> </w:t>
      </w:r>
      <w:r w:rsidRPr="00B004EE">
        <w:rPr>
          <w:rFonts w:ascii="Tahoma" w:hAnsi="Tahoma" w:cs="Tahoma"/>
          <w:sz w:val="20"/>
          <w:szCs w:val="20"/>
        </w:rPr>
        <w:t>naturels</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espèces</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réduire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sélectivité</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engins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Il</w:t>
      </w:r>
      <w:r w:rsidR="00DB1635" w:rsidRPr="00B004EE">
        <w:rPr>
          <w:rFonts w:ascii="Tahoma" w:hAnsi="Tahoma" w:cs="Tahoma"/>
          <w:sz w:val="20"/>
          <w:szCs w:val="20"/>
        </w:rPr>
        <w:t xml:space="preserve"> </w:t>
      </w:r>
      <w:r w:rsidRPr="00B004EE">
        <w:rPr>
          <w:rFonts w:ascii="Tahoma" w:hAnsi="Tahoma" w:cs="Tahoma"/>
          <w:sz w:val="20"/>
          <w:szCs w:val="20"/>
        </w:rPr>
        <w:t>peut</w:t>
      </w:r>
      <w:r w:rsidR="00DB1635" w:rsidRPr="00B004EE">
        <w:rPr>
          <w:rFonts w:ascii="Tahoma" w:hAnsi="Tahoma" w:cs="Tahoma"/>
          <w:sz w:val="20"/>
          <w:szCs w:val="20"/>
        </w:rPr>
        <w:t xml:space="preserve"> </w:t>
      </w:r>
      <w:r w:rsidRPr="00B004EE">
        <w:rPr>
          <w:rFonts w:ascii="Tahoma" w:hAnsi="Tahoma" w:cs="Tahoma"/>
          <w:sz w:val="20"/>
          <w:szCs w:val="20"/>
        </w:rPr>
        <w:t>également</w:t>
      </w:r>
      <w:r w:rsidR="00DB1635" w:rsidRPr="00B004EE">
        <w:rPr>
          <w:rFonts w:ascii="Tahoma" w:hAnsi="Tahoma" w:cs="Tahoma"/>
          <w:sz w:val="20"/>
          <w:szCs w:val="20"/>
        </w:rPr>
        <w:t xml:space="preserve"> </w:t>
      </w:r>
      <w:r w:rsidRPr="00B004EE">
        <w:rPr>
          <w:rFonts w:ascii="Tahoma" w:hAnsi="Tahoma" w:cs="Tahoma"/>
          <w:sz w:val="20"/>
          <w:szCs w:val="20"/>
        </w:rPr>
        <w:t>rendre</w:t>
      </w:r>
      <w:r w:rsidR="00DB1635" w:rsidRPr="00B004EE">
        <w:rPr>
          <w:rFonts w:ascii="Tahoma" w:hAnsi="Tahoma" w:cs="Tahoma"/>
          <w:sz w:val="20"/>
          <w:szCs w:val="20"/>
        </w:rPr>
        <w:t xml:space="preserve"> </w:t>
      </w:r>
      <w:r w:rsidRPr="00B004EE">
        <w:rPr>
          <w:rFonts w:ascii="Tahoma" w:hAnsi="Tahoma" w:cs="Tahoma"/>
          <w:sz w:val="20"/>
          <w:szCs w:val="20"/>
        </w:rPr>
        <w:t>obligatoire</w:t>
      </w:r>
      <w:r w:rsidR="00DB1635" w:rsidRPr="00B004EE">
        <w:rPr>
          <w:rFonts w:ascii="Tahoma" w:hAnsi="Tahoma" w:cs="Tahoma"/>
          <w:sz w:val="20"/>
          <w:szCs w:val="20"/>
        </w:rPr>
        <w:t xml:space="preserve"> </w:t>
      </w:r>
      <w:r w:rsidRPr="00B004EE">
        <w:rPr>
          <w:rFonts w:ascii="Tahoma" w:hAnsi="Tahoma" w:cs="Tahoma"/>
          <w:sz w:val="20"/>
          <w:szCs w:val="20"/>
        </w:rPr>
        <w:t>l'utilisation</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tout</w:t>
      </w:r>
      <w:r w:rsidR="00DB1635" w:rsidRPr="00B004EE">
        <w:rPr>
          <w:rFonts w:ascii="Tahoma" w:hAnsi="Tahoma" w:cs="Tahoma"/>
          <w:sz w:val="20"/>
          <w:szCs w:val="20"/>
        </w:rPr>
        <w:t xml:space="preserve"> </w:t>
      </w:r>
      <w:r w:rsidRPr="00B004EE">
        <w:rPr>
          <w:rFonts w:ascii="Tahoma" w:hAnsi="Tahoma" w:cs="Tahoma"/>
          <w:sz w:val="20"/>
          <w:szCs w:val="20"/>
        </w:rPr>
        <w:t>engin</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dispositif</w:t>
      </w:r>
      <w:r w:rsidR="00DB1635" w:rsidRPr="00B004EE">
        <w:rPr>
          <w:rFonts w:ascii="Tahoma" w:hAnsi="Tahoma" w:cs="Tahoma"/>
          <w:sz w:val="20"/>
          <w:szCs w:val="20"/>
        </w:rPr>
        <w:t xml:space="preserve"> </w:t>
      </w:r>
      <w:r w:rsidRPr="00B004EE">
        <w:rPr>
          <w:rFonts w:ascii="Tahoma" w:hAnsi="Tahoma" w:cs="Tahoma"/>
          <w:sz w:val="20"/>
          <w:szCs w:val="20"/>
        </w:rPr>
        <w:t>sélectif</w:t>
      </w:r>
      <w:r w:rsidR="00DB1635" w:rsidRPr="00B004EE">
        <w:rPr>
          <w:rFonts w:ascii="Tahoma" w:hAnsi="Tahoma" w:cs="Tahoma"/>
          <w:sz w:val="20"/>
          <w:szCs w:val="20"/>
        </w:rPr>
        <w:t xml:space="preserve"> </w:t>
      </w:r>
      <w:r w:rsidRPr="00B004EE">
        <w:rPr>
          <w:rFonts w:ascii="Tahoma" w:hAnsi="Tahoma" w:cs="Tahoma"/>
          <w:sz w:val="20"/>
          <w:szCs w:val="20"/>
        </w:rPr>
        <w:t>ayant</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finalité</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préservation</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biodiversité</w:t>
      </w:r>
      <w:r w:rsidR="00DB1635" w:rsidRPr="00B004EE">
        <w:rPr>
          <w:rFonts w:ascii="Tahoma" w:hAnsi="Tahoma" w:cs="Tahoma"/>
          <w:sz w:val="20"/>
          <w:szCs w:val="20"/>
        </w:rPr>
        <w:t xml:space="preserve"> </w:t>
      </w:r>
      <w:r w:rsidRPr="00B004EE">
        <w:rPr>
          <w:rFonts w:ascii="Tahoma" w:hAnsi="Tahoma" w:cs="Tahoma"/>
          <w:sz w:val="20"/>
          <w:szCs w:val="20"/>
        </w:rPr>
        <w:t>aquatique,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l'équilibre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stocks</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gestion</w:t>
      </w:r>
      <w:r w:rsidR="00DB1635" w:rsidRPr="00B004EE">
        <w:rPr>
          <w:rFonts w:ascii="Tahoma" w:hAnsi="Tahoma" w:cs="Tahoma"/>
          <w:sz w:val="20"/>
          <w:szCs w:val="20"/>
        </w:rPr>
        <w:t xml:space="preserve"> </w:t>
      </w:r>
      <w:r w:rsidRPr="00B004EE">
        <w:rPr>
          <w:rFonts w:ascii="Tahoma" w:hAnsi="Tahoma" w:cs="Tahoma"/>
          <w:sz w:val="20"/>
          <w:szCs w:val="20"/>
        </w:rPr>
        <w:t>rationnelle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ressources</w:t>
      </w:r>
      <w:r w:rsidR="00DB1635" w:rsidRPr="00B004EE">
        <w:rPr>
          <w:rFonts w:ascii="Tahoma" w:hAnsi="Tahoma" w:cs="Tahoma"/>
          <w:sz w:val="20"/>
          <w:szCs w:val="20"/>
        </w:rPr>
        <w:t xml:space="preserve"> </w:t>
      </w:r>
      <w:r w:rsidRPr="00B004EE">
        <w:rPr>
          <w:rFonts w:ascii="Tahoma" w:hAnsi="Tahoma" w:cs="Tahoma"/>
          <w:sz w:val="20"/>
          <w:szCs w:val="20"/>
        </w:rPr>
        <w:t>halieutiques.</w:t>
      </w:r>
      <w:r w:rsidR="00DB1635" w:rsidRPr="00B004EE">
        <w:rPr>
          <w:rFonts w:ascii="Tahoma" w:hAnsi="Tahoma" w:cs="Tahoma"/>
          <w:sz w:val="20"/>
          <w:szCs w:val="20"/>
        </w:rPr>
        <w:t xml:space="preserve"> </w:t>
      </w:r>
    </w:p>
    <w:p w14:paraId="1E67A80D" w14:textId="77777777" w:rsidR="008518B0" w:rsidRPr="00B004EE" w:rsidRDefault="008518B0" w:rsidP="00B004EE">
      <w:pPr>
        <w:pStyle w:val="article"/>
        <w:numPr>
          <w:ilvl w:val="0"/>
          <w:numId w:val="0"/>
        </w:numPr>
        <w:tabs>
          <w:tab w:val="left" w:pos="1200"/>
        </w:tabs>
        <w:spacing w:before="0" w:line="240" w:lineRule="auto"/>
        <w:rPr>
          <w:rFonts w:ascii="Tahoma" w:hAnsi="Tahoma" w:cs="Tahoma"/>
          <w:sz w:val="20"/>
          <w:szCs w:val="20"/>
        </w:rPr>
      </w:pPr>
    </w:p>
    <w:p w14:paraId="09A6CBB9" w14:textId="7C0BCD67" w:rsidR="008518B0" w:rsidRPr="00B004EE" w:rsidRDefault="008518B0" w:rsidP="00B004EE">
      <w:pPr>
        <w:pStyle w:val="article"/>
        <w:numPr>
          <w:ilvl w:val="0"/>
          <w:numId w:val="0"/>
        </w:numPr>
        <w:tabs>
          <w:tab w:val="left" w:pos="1200"/>
        </w:tabs>
        <w:spacing w:before="0" w:line="240" w:lineRule="auto"/>
        <w:rPr>
          <w:rFonts w:ascii="Tahoma" w:hAnsi="Tahoma" w:cs="Tahoma"/>
          <w:sz w:val="20"/>
          <w:szCs w:val="20"/>
        </w:rPr>
      </w:pPr>
      <w:r w:rsidRPr="00B004EE">
        <w:rPr>
          <w:rFonts w:ascii="Tahoma" w:hAnsi="Tahoma" w:cs="Tahoma"/>
          <w:sz w:val="20"/>
          <w:szCs w:val="20"/>
        </w:rPr>
        <w:t>Article</w:t>
      </w:r>
      <w:r w:rsidR="00DB1635" w:rsidRPr="00B004EE">
        <w:rPr>
          <w:rFonts w:ascii="Tahoma" w:hAnsi="Tahoma" w:cs="Tahoma"/>
          <w:sz w:val="20"/>
          <w:szCs w:val="20"/>
        </w:rPr>
        <w:t xml:space="preserve"> </w:t>
      </w:r>
      <w:r w:rsidRPr="00B004EE">
        <w:rPr>
          <w:rFonts w:ascii="Tahoma" w:hAnsi="Tahoma" w:cs="Tahoma"/>
          <w:sz w:val="20"/>
          <w:szCs w:val="20"/>
        </w:rPr>
        <w:t>31</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fins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contrôle,</w:t>
      </w:r>
      <w:r w:rsidR="00DB1635" w:rsidRPr="00B004EE">
        <w:rPr>
          <w:rFonts w:ascii="Tahoma" w:hAnsi="Tahoma" w:cs="Tahoma"/>
          <w:sz w:val="20"/>
          <w:szCs w:val="20"/>
        </w:rPr>
        <w:t xml:space="preserve"> </w:t>
      </w: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arrêté</w:t>
      </w:r>
      <w:r w:rsidR="00DB1635" w:rsidRPr="00B004EE">
        <w:rPr>
          <w:rFonts w:ascii="Tahoma" w:hAnsi="Tahoma" w:cs="Tahoma"/>
          <w:sz w:val="20"/>
          <w:szCs w:val="20"/>
        </w:rPr>
        <w:t xml:space="preserve"> </w:t>
      </w:r>
      <w:r w:rsidRPr="00B004EE">
        <w:rPr>
          <w:rFonts w:ascii="Tahoma" w:hAnsi="Tahoma" w:cs="Tahoma"/>
          <w:sz w:val="20"/>
          <w:szCs w:val="20"/>
        </w:rPr>
        <w:t>pris</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ministre</w:t>
      </w:r>
      <w:r w:rsidR="00DB1635" w:rsidRPr="00B004EE">
        <w:rPr>
          <w:rFonts w:ascii="Tahoma" w:hAnsi="Tahoma" w:cs="Tahoma"/>
          <w:sz w:val="20"/>
          <w:szCs w:val="20"/>
        </w:rPr>
        <w:t xml:space="preserve"> </w:t>
      </w:r>
      <w:r w:rsidRPr="00B004EE">
        <w:rPr>
          <w:rFonts w:ascii="Tahoma" w:hAnsi="Tahoma" w:cs="Tahoma"/>
          <w:sz w:val="20"/>
          <w:szCs w:val="20"/>
        </w:rPr>
        <w:t>chargé</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sz w:val="20"/>
          <w:szCs w:val="20"/>
        </w:rPr>
        <w:t xml:space="preserve"> </w:t>
      </w:r>
      <w:r w:rsidRPr="00B004EE">
        <w:rPr>
          <w:rFonts w:ascii="Tahoma" w:hAnsi="Tahoma" w:cs="Tahoma"/>
          <w:sz w:val="20"/>
          <w:szCs w:val="20"/>
        </w:rPr>
        <w:t>définira</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conditions</w:t>
      </w:r>
      <w:r w:rsidR="00DB1635" w:rsidRPr="00B004EE">
        <w:rPr>
          <w:rFonts w:ascii="Tahoma" w:hAnsi="Tahoma" w:cs="Tahoma"/>
          <w:sz w:val="20"/>
          <w:szCs w:val="20"/>
        </w:rPr>
        <w:t xml:space="preserve"> </w:t>
      </w:r>
      <w:r w:rsidRPr="00B004EE">
        <w:rPr>
          <w:rFonts w:ascii="Tahoma" w:hAnsi="Tahoma" w:cs="Tahoma"/>
          <w:sz w:val="20"/>
          <w:szCs w:val="20"/>
        </w:rPr>
        <w:t>applicables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l’identification</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marquage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engins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p>
    <w:p w14:paraId="5EE2393E" w14:textId="77777777" w:rsidR="008518B0" w:rsidRPr="00B004EE" w:rsidRDefault="008518B0" w:rsidP="00B004EE">
      <w:pPr>
        <w:pStyle w:val="article"/>
        <w:numPr>
          <w:ilvl w:val="0"/>
          <w:numId w:val="0"/>
        </w:numPr>
        <w:tabs>
          <w:tab w:val="left" w:pos="1200"/>
        </w:tabs>
        <w:spacing w:before="0" w:line="240" w:lineRule="auto"/>
        <w:jc w:val="center"/>
        <w:rPr>
          <w:rFonts w:ascii="Tahoma" w:hAnsi="Tahoma" w:cs="Tahoma"/>
          <w:b/>
          <w:bCs/>
          <w:sz w:val="20"/>
          <w:szCs w:val="20"/>
        </w:rPr>
      </w:pPr>
    </w:p>
    <w:p w14:paraId="27BAF2D7" w14:textId="73DB5CA4" w:rsidR="008518B0" w:rsidRPr="00B004EE" w:rsidRDefault="008518B0" w:rsidP="00B004EE">
      <w:pPr>
        <w:pStyle w:val="article"/>
        <w:numPr>
          <w:ilvl w:val="0"/>
          <w:numId w:val="0"/>
        </w:numPr>
        <w:tabs>
          <w:tab w:val="left" w:pos="1200"/>
        </w:tabs>
        <w:spacing w:before="0" w:line="240" w:lineRule="auto"/>
        <w:jc w:val="center"/>
        <w:rPr>
          <w:rFonts w:ascii="Tahoma" w:hAnsi="Tahoma" w:cs="Tahoma"/>
          <w:b/>
          <w:bCs/>
          <w:sz w:val="20"/>
          <w:szCs w:val="20"/>
        </w:rPr>
      </w:pPr>
      <w:r w:rsidRPr="00B004EE">
        <w:rPr>
          <w:rFonts w:ascii="Tahoma" w:hAnsi="Tahoma" w:cs="Tahoma"/>
          <w:b/>
          <w:bCs/>
          <w:sz w:val="20"/>
          <w:szCs w:val="20"/>
        </w:rPr>
        <w:t>Section</w:t>
      </w:r>
      <w:r w:rsidR="00DB1635" w:rsidRPr="00B004EE">
        <w:rPr>
          <w:rFonts w:ascii="Tahoma" w:hAnsi="Tahoma" w:cs="Tahoma"/>
          <w:b/>
          <w:bCs/>
          <w:sz w:val="20"/>
          <w:szCs w:val="20"/>
        </w:rPr>
        <w:t xml:space="preserve"> </w:t>
      </w:r>
      <w:r w:rsidRPr="00B004EE">
        <w:rPr>
          <w:rFonts w:ascii="Tahoma" w:hAnsi="Tahoma" w:cs="Tahoma"/>
          <w:b/>
          <w:bCs/>
          <w:sz w:val="20"/>
          <w:szCs w:val="20"/>
        </w:rPr>
        <w:t>II</w:t>
      </w:r>
      <w:r w:rsidR="00DB1635" w:rsidRPr="00B004EE">
        <w:rPr>
          <w:rFonts w:ascii="Tahoma" w:hAnsi="Tahoma" w:cs="Tahoma"/>
          <w:b/>
          <w:bCs/>
          <w:sz w:val="20"/>
          <w:szCs w:val="20"/>
        </w:rPr>
        <w:t xml:space="preserve"> </w:t>
      </w:r>
      <w:r w:rsidRPr="00B004EE">
        <w:rPr>
          <w:rFonts w:ascii="Tahoma" w:hAnsi="Tahoma" w:cs="Tahoma"/>
          <w:b/>
          <w:bCs/>
          <w:sz w:val="20"/>
          <w:szCs w:val="20"/>
        </w:rPr>
        <w:t>:</w:t>
      </w:r>
      <w:r w:rsidR="00DB1635" w:rsidRPr="00B004EE">
        <w:rPr>
          <w:rFonts w:ascii="Tahoma" w:hAnsi="Tahoma" w:cs="Tahoma"/>
          <w:b/>
          <w:bCs/>
          <w:sz w:val="20"/>
          <w:szCs w:val="20"/>
        </w:rPr>
        <w:t xml:space="preserve"> </w:t>
      </w:r>
      <w:r w:rsidRPr="00B004EE">
        <w:rPr>
          <w:rFonts w:ascii="Tahoma" w:hAnsi="Tahoma" w:cs="Tahoma"/>
          <w:b/>
          <w:bCs/>
          <w:sz w:val="20"/>
          <w:szCs w:val="20"/>
        </w:rPr>
        <w:t>De</w:t>
      </w:r>
      <w:r w:rsidR="00DB1635" w:rsidRPr="00B004EE">
        <w:rPr>
          <w:rFonts w:ascii="Tahoma" w:hAnsi="Tahoma" w:cs="Tahoma"/>
          <w:b/>
          <w:bCs/>
          <w:sz w:val="20"/>
          <w:szCs w:val="20"/>
        </w:rPr>
        <w:t xml:space="preserve"> </w:t>
      </w:r>
      <w:r w:rsidRPr="00B004EE">
        <w:rPr>
          <w:rFonts w:ascii="Tahoma" w:hAnsi="Tahoma" w:cs="Tahoma"/>
          <w:b/>
          <w:bCs/>
          <w:sz w:val="20"/>
          <w:szCs w:val="20"/>
        </w:rPr>
        <w:t>la</w:t>
      </w:r>
      <w:r w:rsidR="00DB1635" w:rsidRPr="00B004EE">
        <w:rPr>
          <w:rFonts w:ascii="Tahoma" w:hAnsi="Tahoma" w:cs="Tahoma"/>
          <w:b/>
          <w:bCs/>
          <w:sz w:val="20"/>
          <w:szCs w:val="20"/>
        </w:rPr>
        <w:t xml:space="preserve"> </w:t>
      </w:r>
      <w:r w:rsidRPr="00B004EE">
        <w:rPr>
          <w:rFonts w:ascii="Tahoma" w:hAnsi="Tahoma" w:cs="Tahoma"/>
          <w:b/>
          <w:bCs/>
          <w:sz w:val="20"/>
          <w:szCs w:val="20"/>
        </w:rPr>
        <w:t>mesure</w:t>
      </w:r>
      <w:r w:rsidR="00DB1635" w:rsidRPr="00B004EE">
        <w:rPr>
          <w:rFonts w:ascii="Tahoma" w:hAnsi="Tahoma" w:cs="Tahoma"/>
          <w:b/>
          <w:bCs/>
          <w:sz w:val="20"/>
          <w:szCs w:val="20"/>
        </w:rPr>
        <w:t xml:space="preserve"> </w:t>
      </w:r>
      <w:r w:rsidRPr="00B004EE">
        <w:rPr>
          <w:rFonts w:ascii="Tahoma" w:hAnsi="Tahoma" w:cs="Tahoma"/>
          <w:b/>
          <w:bCs/>
          <w:sz w:val="20"/>
          <w:szCs w:val="20"/>
        </w:rPr>
        <w:t>des</w:t>
      </w:r>
      <w:r w:rsidR="00DB1635" w:rsidRPr="00B004EE">
        <w:rPr>
          <w:rFonts w:ascii="Tahoma" w:hAnsi="Tahoma" w:cs="Tahoma"/>
          <w:b/>
          <w:bCs/>
          <w:sz w:val="20"/>
          <w:szCs w:val="20"/>
        </w:rPr>
        <w:t xml:space="preserve"> </w:t>
      </w:r>
      <w:r w:rsidRPr="00B004EE">
        <w:rPr>
          <w:rFonts w:ascii="Tahoma" w:hAnsi="Tahoma" w:cs="Tahoma"/>
          <w:b/>
          <w:bCs/>
          <w:sz w:val="20"/>
          <w:szCs w:val="20"/>
        </w:rPr>
        <w:t>mailles</w:t>
      </w:r>
      <w:r w:rsidR="00DB1635" w:rsidRPr="00B004EE">
        <w:rPr>
          <w:rFonts w:ascii="Tahoma" w:hAnsi="Tahoma" w:cs="Tahoma"/>
          <w:b/>
          <w:bCs/>
          <w:sz w:val="20"/>
          <w:szCs w:val="20"/>
        </w:rPr>
        <w:t xml:space="preserve"> </w:t>
      </w:r>
      <w:r w:rsidRPr="00B004EE">
        <w:rPr>
          <w:rFonts w:ascii="Tahoma" w:hAnsi="Tahoma" w:cs="Tahoma"/>
          <w:b/>
          <w:bCs/>
          <w:sz w:val="20"/>
          <w:szCs w:val="20"/>
        </w:rPr>
        <w:t>des</w:t>
      </w:r>
      <w:r w:rsidR="00DB1635" w:rsidRPr="00B004EE">
        <w:rPr>
          <w:rFonts w:ascii="Tahoma" w:hAnsi="Tahoma" w:cs="Tahoma"/>
          <w:b/>
          <w:bCs/>
          <w:sz w:val="20"/>
          <w:szCs w:val="20"/>
        </w:rPr>
        <w:t xml:space="preserve"> </w:t>
      </w:r>
      <w:r w:rsidRPr="00B004EE">
        <w:rPr>
          <w:rFonts w:ascii="Tahoma" w:hAnsi="Tahoma" w:cs="Tahoma"/>
          <w:b/>
          <w:bCs/>
          <w:sz w:val="20"/>
          <w:szCs w:val="20"/>
        </w:rPr>
        <w:t>engins</w:t>
      </w:r>
      <w:r w:rsidR="00DB1635" w:rsidRPr="00B004EE">
        <w:rPr>
          <w:rFonts w:ascii="Tahoma" w:hAnsi="Tahoma" w:cs="Tahoma"/>
          <w:b/>
          <w:bCs/>
          <w:sz w:val="20"/>
          <w:szCs w:val="20"/>
        </w:rPr>
        <w:t xml:space="preserve"> </w:t>
      </w:r>
      <w:r w:rsidRPr="00B004EE">
        <w:rPr>
          <w:rFonts w:ascii="Tahoma" w:hAnsi="Tahoma" w:cs="Tahoma"/>
          <w:b/>
          <w:bCs/>
          <w:sz w:val="20"/>
          <w:szCs w:val="20"/>
        </w:rPr>
        <w:t>de</w:t>
      </w:r>
      <w:r w:rsidR="00DB1635" w:rsidRPr="00B004EE">
        <w:rPr>
          <w:rFonts w:ascii="Tahoma" w:hAnsi="Tahoma" w:cs="Tahoma"/>
          <w:b/>
          <w:bCs/>
          <w:sz w:val="20"/>
          <w:szCs w:val="20"/>
        </w:rPr>
        <w:t xml:space="preserve"> </w:t>
      </w:r>
      <w:r w:rsidRPr="00B004EE">
        <w:rPr>
          <w:rFonts w:ascii="Tahoma" w:hAnsi="Tahoma" w:cs="Tahoma"/>
          <w:b/>
          <w:bCs/>
          <w:sz w:val="20"/>
          <w:szCs w:val="20"/>
        </w:rPr>
        <w:t>pêche</w:t>
      </w:r>
    </w:p>
    <w:p w14:paraId="4A02EA7C" w14:textId="77777777" w:rsidR="008518B0" w:rsidRPr="00B004EE" w:rsidRDefault="008518B0" w:rsidP="00B004EE">
      <w:pPr>
        <w:pStyle w:val="article"/>
        <w:numPr>
          <w:ilvl w:val="0"/>
          <w:numId w:val="0"/>
        </w:numPr>
        <w:tabs>
          <w:tab w:val="left" w:pos="1200"/>
        </w:tabs>
        <w:spacing w:before="0" w:line="240" w:lineRule="auto"/>
        <w:jc w:val="center"/>
        <w:rPr>
          <w:rFonts w:ascii="Tahoma" w:hAnsi="Tahoma" w:cs="Tahoma"/>
          <w:b/>
          <w:bCs/>
          <w:sz w:val="20"/>
          <w:szCs w:val="20"/>
        </w:rPr>
      </w:pPr>
    </w:p>
    <w:p w14:paraId="6CEA82B7" w14:textId="1209F74F" w:rsidR="008518B0" w:rsidRPr="00B004EE" w:rsidRDefault="008518B0" w:rsidP="00B004EE">
      <w:pPr>
        <w:pStyle w:val="article"/>
        <w:numPr>
          <w:ilvl w:val="0"/>
          <w:numId w:val="0"/>
        </w:numPr>
        <w:tabs>
          <w:tab w:val="left" w:pos="1200"/>
        </w:tabs>
        <w:spacing w:before="0" w:line="240" w:lineRule="auto"/>
        <w:rPr>
          <w:rFonts w:ascii="Tahoma" w:hAnsi="Tahoma" w:cs="Tahoma"/>
          <w:sz w:val="20"/>
          <w:szCs w:val="20"/>
        </w:rPr>
      </w:pPr>
      <w:r w:rsidRPr="00B004EE">
        <w:rPr>
          <w:rFonts w:ascii="Tahoma" w:hAnsi="Tahoma" w:cs="Tahoma"/>
          <w:sz w:val="20"/>
          <w:szCs w:val="20"/>
        </w:rPr>
        <w:t>Article</w:t>
      </w:r>
      <w:r w:rsidR="00DB1635" w:rsidRPr="00B004EE">
        <w:rPr>
          <w:rFonts w:ascii="Tahoma" w:hAnsi="Tahoma" w:cs="Tahoma"/>
          <w:sz w:val="20"/>
          <w:szCs w:val="20"/>
        </w:rPr>
        <w:t xml:space="preserve"> </w:t>
      </w:r>
      <w:r w:rsidRPr="00B004EE">
        <w:rPr>
          <w:rFonts w:ascii="Tahoma" w:hAnsi="Tahoma" w:cs="Tahoma"/>
          <w:sz w:val="20"/>
          <w:szCs w:val="20"/>
        </w:rPr>
        <w:t>32</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maillage</w:t>
      </w:r>
      <w:r w:rsidR="00DB1635" w:rsidRPr="00B004EE">
        <w:rPr>
          <w:rFonts w:ascii="Tahoma" w:hAnsi="Tahoma" w:cs="Tahoma"/>
          <w:sz w:val="20"/>
          <w:szCs w:val="20"/>
        </w:rPr>
        <w:t xml:space="preserve"> </w:t>
      </w:r>
      <w:r w:rsidRPr="00B004EE">
        <w:rPr>
          <w:rFonts w:ascii="Tahoma" w:hAnsi="Tahoma" w:cs="Tahoma"/>
          <w:sz w:val="20"/>
          <w:szCs w:val="20"/>
        </w:rPr>
        <w:t>minimum</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filets</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déterminé</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mesure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l'ouverture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maille.</w:t>
      </w:r>
      <w:r w:rsidR="00DB1635" w:rsidRPr="00B004EE">
        <w:rPr>
          <w:rFonts w:ascii="Tahoma" w:hAnsi="Tahoma" w:cs="Tahoma"/>
          <w:sz w:val="20"/>
          <w:szCs w:val="20"/>
        </w:rPr>
        <w:t xml:space="preserve"> </w:t>
      </w:r>
    </w:p>
    <w:p w14:paraId="7BA5A75B" w14:textId="77777777" w:rsidR="008518B0" w:rsidRPr="00B004EE" w:rsidRDefault="008518B0" w:rsidP="00B004EE">
      <w:pPr>
        <w:pStyle w:val="article"/>
        <w:numPr>
          <w:ilvl w:val="0"/>
          <w:numId w:val="0"/>
        </w:numPr>
        <w:spacing w:before="0" w:line="240" w:lineRule="auto"/>
        <w:rPr>
          <w:rFonts w:ascii="Tahoma" w:hAnsi="Tahoma" w:cs="Tahoma"/>
          <w:sz w:val="20"/>
          <w:szCs w:val="20"/>
        </w:rPr>
      </w:pPr>
    </w:p>
    <w:p w14:paraId="1D123816" w14:textId="3B84F548" w:rsidR="008518B0" w:rsidRPr="00B004EE" w:rsidRDefault="008518B0" w:rsidP="00B004EE">
      <w:pPr>
        <w:pStyle w:val="article"/>
        <w:numPr>
          <w:ilvl w:val="0"/>
          <w:numId w:val="0"/>
        </w:numPr>
        <w:spacing w:before="0" w:line="240" w:lineRule="auto"/>
        <w:rPr>
          <w:rFonts w:ascii="Tahoma" w:hAnsi="Tahoma" w:cs="Tahoma"/>
          <w:sz w:val="20"/>
          <w:szCs w:val="20"/>
        </w:rPr>
      </w:pPr>
      <w:r w:rsidRPr="00B004EE">
        <w:rPr>
          <w:rFonts w:ascii="Tahoma" w:hAnsi="Tahoma" w:cs="Tahoma"/>
          <w:sz w:val="20"/>
          <w:szCs w:val="20"/>
        </w:rPr>
        <w:t>L’ouverture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maille</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mesurée</w:t>
      </w:r>
      <w:r w:rsidR="00DB1635" w:rsidRPr="00B004EE">
        <w:rPr>
          <w:rFonts w:ascii="Tahoma" w:hAnsi="Tahoma" w:cs="Tahoma"/>
          <w:sz w:val="20"/>
          <w:szCs w:val="20"/>
        </w:rPr>
        <w:t xml:space="preserve"> </w:t>
      </w:r>
      <w:r w:rsidRPr="00B004EE">
        <w:rPr>
          <w:rFonts w:ascii="Tahoma" w:hAnsi="Tahoma" w:cs="Tahoma"/>
          <w:sz w:val="20"/>
          <w:szCs w:val="20"/>
        </w:rPr>
        <w:t>ainsi</w:t>
      </w:r>
      <w:r w:rsidR="00DB1635" w:rsidRPr="00B004EE">
        <w:rPr>
          <w:rFonts w:ascii="Tahoma" w:hAnsi="Tahoma" w:cs="Tahoma"/>
          <w:sz w:val="20"/>
          <w:szCs w:val="20"/>
        </w:rPr>
        <w:t xml:space="preserve"> </w:t>
      </w:r>
      <w:r w:rsidRPr="00B004EE">
        <w:rPr>
          <w:rFonts w:ascii="Tahoma" w:hAnsi="Tahoma" w:cs="Tahoma"/>
          <w:sz w:val="20"/>
          <w:szCs w:val="20"/>
        </w:rPr>
        <w:t>qu’il</w:t>
      </w:r>
      <w:r w:rsidR="00DB1635" w:rsidRPr="00B004EE">
        <w:rPr>
          <w:rFonts w:ascii="Tahoma" w:hAnsi="Tahoma" w:cs="Tahoma"/>
          <w:sz w:val="20"/>
          <w:szCs w:val="20"/>
        </w:rPr>
        <w:t xml:space="preserve"> </w:t>
      </w:r>
      <w:r w:rsidRPr="00B004EE">
        <w:rPr>
          <w:rFonts w:ascii="Tahoma" w:hAnsi="Tahoma" w:cs="Tahoma"/>
          <w:sz w:val="20"/>
          <w:szCs w:val="20"/>
        </w:rPr>
        <w:t>suit</w:t>
      </w:r>
      <w:r w:rsidR="00DB1635" w:rsidRPr="00B004EE">
        <w:rPr>
          <w:rFonts w:ascii="Tahoma" w:hAnsi="Tahoma" w:cs="Tahoma"/>
          <w:sz w:val="20"/>
          <w:szCs w:val="20"/>
        </w:rPr>
        <w:t xml:space="preserve"> </w:t>
      </w:r>
      <w:r w:rsidRPr="00B004EE">
        <w:rPr>
          <w:rFonts w:ascii="Tahoma" w:hAnsi="Tahoma" w:cs="Tahoma"/>
          <w:sz w:val="20"/>
          <w:szCs w:val="20"/>
        </w:rPr>
        <w:t>:</w:t>
      </w:r>
    </w:p>
    <w:p w14:paraId="5EFE585E" w14:textId="3B1B2387" w:rsidR="008518B0" w:rsidRPr="00B004EE" w:rsidRDefault="008518B0" w:rsidP="00B004EE">
      <w:pPr>
        <w:pStyle w:val="Corpsdetexte22"/>
        <w:tabs>
          <w:tab w:val="clear" w:pos="0"/>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rPr>
          <w:rFonts w:ascii="Tahoma" w:hAnsi="Tahoma" w:cs="Tahoma"/>
          <w:sz w:val="20"/>
          <w:szCs w:val="20"/>
        </w:rPr>
      </w:pPr>
      <w:r w:rsidRPr="00B004EE">
        <w:rPr>
          <w:rFonts w:ascii="Tahoma" w:hAnsi="Tahoma" w:cs="Tahoma"/>
          <w:sz w:val="20"/>
          <w:szCs w:val="20"/>
        </w:rPr>
        <w:t>A)</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artisanale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côtière</w:t>
      </w:r>
      <w:r w:rsidR="00DB1635" w:rsidRPr="00B004EE">
        <w:rPr>
          <w:rFonts w:ascii="Tahoma" w:hAnsi="Tahoma" w:cs="Tahoma"/>
          <w:sz w:val="20"/>
          <w:szCs w:val="20"/>
        </w:rPr>
        <w:t xml:space="preserve"> </w:t>
      </w:r>
      <w:r w:rsidRPr="00B004EE">
        <w:rPr>
          <w:rFonts w:ascii="Tahoma" w:hAnsi="Tahoma" w:cs="Tahoma"/>
          <w:sz w:val="20"/>
          <w:szCs w:val="20"/>
        </w:rPr>
        <w:t>:</w:t>
      </w:r>
    </w:p>
    <w:p w14:paraId="5E90E6B6" w14:textId="4B79F5A2" w:rsidR="008518B0" w:rsidRPr="00B004EE" w:rsidRDefault="008518B0" w:rsidP="00420DDA">
      <w:pPr>
        <w:pStyle w:val="Corpsdetexte22"/>
        <w:numPr>
          <w:ilvl w:val="0"/>
          <w:numId w:val="55"/>
        </w:numPr>
        <w:tabs>
          <w:tab w:val="clear" w:pos="0"/>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ind w:left="567"/>
        <w:rPr>
          <w:rFonts w:ascii="Tahoma" w:hAnsi="Tahoma" w:cs="Tahoma"/>
          <w:sz w:val="20"/>
          <w:szCs w:val="20"/>
        </w:rPr>
      </w:pP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filets</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mesurés</w:t>
      </w:r>
      <w:r w:rsidR="00DB1635" w:rsidRPr="00B004EE">
        <w:rPr>
          <w:rFonts w:ascii="Tahoma" w:hAnsi="Tahoma" w:cs="Tahoma"/>
          <w:sz w:val="20"/>
          <w:szCs w:val="20"/>
        </w:rPr>
        <w:t xml:space="preserve"> </w:t>
      </w:r>
      <w:r w:rsidRPr="00B004EE">
        <w:rPr>
          <w:rFonts w:ascii="Tahoma" w:hAnsi="Tahoma" w:cs="Tahoma"/>
          <w:sz w:val="20"/>
          <w:szCs w:val="20"/>
        </w:rPr>
        <w:t>mouillés</w:t>
      </w:r>
      <w:r w:rsidR="00DB1635" w:rsidRPr="00B004EE">
        <w:rPr>
          <w:rFonts w:ascii="Tahoma" w:hAnsi="Tahoma" w:cs="Tahoma"/>
          <w:sz w:val="20"/>
          <w:szCs w:val="20"/>
        </w:rPr>
        <w:t xml:space="preserve"> </w:t>
      </w:r>
      <w:r w:rsidRPr="00B004EE">
        <w:rPr>
          <w:rFonts w:ascii="Tahoma" w:hAnsi="Tahoma" w:cs="Tahoma"/>
          <w:sz w:val="20"/>
          <w:szCs w:val="20"/>
        </w:rPr>
        <w:t>;</w:t>
      </w:r>
    </w:p>
    <w:p w14:paraId="77EFC8C7" w14:textId="04231F77" w:rsidR="008518B0" w:rsidRPr="00B004EE" w:rsidRDefault="008518B0" w:rsidP="00420DDA">
      <w:pPr>
        <w:pStyle w:val="Corpsdetexte22"/>
        <w:numPr>
          <w:ilvl w:val="0"/>
          <w:numId w:val="55"/>
        </w:numPr>
        <w:tabs>
          <w:tab w:val="clear" w:pos="0"/>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ind w:left="567"/>
        <w:rPr>
          <w:rFonts w:ascii="Tahoma" w:hAnsi="Tahoma" w:cs="Tahoma"/>
          <w:sz w:val="20"/>
          <w:szCs w:val="20"/>
        </w:rPr>
      </w:pPr>
      <w:r w:rsidRPr="00B004EE">
        <w:rPr>
          <w:rFonts w:ascii="Tahoma" w:hAnsi="Tahoma" w:cs="Tahoma"/>
          <w:sz w:val="20"/>
          <w:szCs w:val="20"/>
        </w:rPr>
        <w:t>L’instrument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mesure</w:t>
      </w:r>
      <w:r w:rsidR="00DB1635" w:rsidRPr="00B004EE">
        <w:rPr>
          <w:rFonts w:ascii="Tahoma" w:hAnsi="Tahoma" w:cs="Tahoma"/>
          <w:sz w:val="20"/>
          <w:szCs w:val="20"/>
        </w:rPr>
        <w:t xml:space="preserve"> </w:t>
      </w:r>
      <w:r w:rsidRPr="00B004EE">
        <w:rPr>
          <w:rFonts w:ascii="Tahoma" w:hAnsi="Tahoma" w:cs="Tahoma"/>
          <w:sz w:val="20"/>
          <w:szCs w:val="20"/>
        </w:rPr>
        <w:t>utilisé</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règle</w:t>
      </w:r>
      <w:r w:rsidR="00DB1635" w:rsidRPr="00B004EE">
        <w:rPr>
          <w:rFonts w:ascii="Tahoma" w:hAnsi="Tahoma" w:cs="Tahoma"/>
          <w:sz w:val="20"/>
          <w:szCs w:val="20"/>
        </w:rPr>
        <w:t xml:space="preserve"> </w:t>
      </w:r>
      <w:r w:rsidRPr="00B004EE">
        <w:rPr>
          <w:rFonts w:ascii="Tahoma" w:hAnsi="Tahoma" w:cs="Tahoma"/>
          <w:sz w:val="20"/>
          <w:szCs w:val="20"/>
        </w:rPr>
        <w:t>graduée</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jauge</w:t>
      </w:r>
      <w:r w:rsidR="00DB1635" w:rsidRPr="00B004EE">
        <w:rPr>
          <w:rFonts w:ascii="Tahoma" w:hAnsi="Tahoma" w:cs="Tahoma"/>
          <w:sz w:val="20"/>
          <w:szCs w:val="20"/>
        </w:rPr>
        <w:t xml:space="preserve"> </w:t>
      </w:r>
      <w:r w:rsidRPr="00B004EE">
        <w:rPr>
          <w:rFonts w:ascii="Tahoma" w:hAnsi="Tahoma" w:cs="Tahoma"/>
          <w:sz w:val="20"/>
          <w:szCs w:val="20"/>
        </w:rPr>
        <w:t>triangulaire</w:t>
      </w:r>
      <w:r w:rsidR="00DB1635" w:rsidRPr="00B004EE">
        <w:rPr>
          <w:rFonts w:ascii="Tahoma" w:hAnsi="Tahoma" w:cs="Tahoma"/>
          <w:sz w:val="20"/>
          <w:szCs w:val="20"/>
        </w:rPr>
        <w:t xml:space="preserve"> </w:t>
      </w:r>
      <w:r w:rsidRPr="00B004EE">
        <w:rPr>
          <w:rFonts w:ascii="Tahoma" w:hAnsi="Tahoma" w:cs="Tahoma"/>
          <w:sz w:val="20"/>
          <w:szCs w:val="20"/>
        </w:rPr>
        <w:t>;</w:t>
      </w:r>
    </w:p>
    <w:p w14:paraId="44F67361" w14:textId="769551FE" w:rsidR="008518B0" w:rsidRPr="00B004EE" w:rsidRDefault="008518B0" w:rsidP="00420DDA">
      <w:pPr>
        <w:pStyle w:val="Corpsdetexte22"/>
        <w:numPr>
          <w:ilvl w:val="0"/>
          <w:numId w:val="55"/>
        </w:numPr>
        <w:tabs>
          <w:tab w:val="clear" w:pos="0"/>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ind w:left="567"/>
        <w:rPr>
          <w:rFonts w:ascii="Tahoma" w:hAnsi="Tahoma" w:cs="Tahoma"/>
          <w:sz w:val="20"/>
          <w:szCs w:val="20"/>
        </w:rPr>
      </w:pP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maillage</w:t>
      </w:r>
      <w:r w:rsidR="00DB1635" w:rsidRPr="00B004EE">
        <w:rPr>
          <w:rFonts w:ascii="Tahoma" w:hAnsi="Tahoma" w:cs="Tahoma"/>
          <w:sz w:val="20"/>
          <w:szCs w:val="20"/>
        </w:rPr>
        <w:t xml:space="preserve"> </w:t>
      </w:r>
      <w:r w:rsidRPr="00B004EE">
        <w:rPr>
          <w:rFonts w:ascii="Tahoma" w:hAnsi="Tahoma" w:cs="Tahoma"/>
          <w:sz w:val="20"/>
          <w:szCs w:val="20"/>
        </w:rPr>
        <w:t>retenu</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égal</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deux</w:t>
      </w:r>
      <w:r w:rsidR="00DB1635" w:rsidRPr="00B004EE">
        <w:rPr>
          <w:rFonts w:ascii="Tahoma" w:hAnsi="Tahoma" w:cs="Tahoma"/>
          <w:sz w:val="20"/>
          <w:szCs w:val="20"/>
        </w:rPr>
        <w:t xml:space="preserve"> </w:t>
      </w:r>
      <w:r w:rsidRPr="00B004EE">
        <w:rPr>
          <w:rFonts w:ascii="Tahoma" w:hAnsi="Tahoma" w:cs="Tahoma"/>
          <w:sz w:val="20"/>
          <w:szCs w:val="20"/>
        </w:rPr>
        <w:t>fois</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moyenne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mesures</w:t>
      </w:r>
      <w:r w:rsidR="00DB1635" w:rsidRPr="00B004EE">
        <w:rPr>
          <w:rFonts w:ascii="Tahoma" w:hAnsi="Tahoma" w:cs="Tahoma"/>
          <w:sz w:val="20"/>
          <w:szCs w:val="20"/>
        </w:rPr>
        <w:t xml:space="preserve"> </w:t>
      </w:r>
      <w:r w:rsidRPr="00B004EE">
        <w:rPr>
          <w:rFonts w:ascii="Tahoma" w:hAnsi="Tahoma" w:cs="Tahoma"/>
          <w:sz w:val="20"/>
          <w:szCs w:val="20"/>
        </w:rPr>
        <w:t>d'une</w:t>
      </w:r>
      <w:r w:rsidR="00DB1635" w:rsidRPr="00B004EE">
        <w:rPr>
          <w:rFonts w:ascii="Tahoma" w:hAnsi="Tahoma" w:cs="Tahoma"/>
          <w:sz w:val="20"/>
          <w:szCs w:val="20"/>
        </w:rPr>
        <w:t xml:space="preserve"> </w:t>
      </w:r>
      <w:r w:rsidRPr="00B004EE">
        <w:rPr>
          <w:rFonts w:ascii="Tahoma" w:hAnsi="Tahoma" w:cs="Tahoma"/>
          <w:sz w:val="20"/>
          <w:szCs w:val="20"/>
        </w:rPr>
        <w:t>série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dix</w:t>
      </w:r>
      <w:r w:rsidR="00DB1635" w:rsidRPr="00B004EE">
        <w:rPr>
          <w:rFonts w:ascii="Tahoma" w:hAnsi="Tahoma" w:cs="Tahoma"/>
          <w:sz w:val="20"/>
          <w:szCs w:val="20"/>
        </w:rPr>
        <w:t xml:space="preserve"> </w:t>
      </w:r>
      <w:r w:rsidRPr="00B004EE">
        <w:rPr>
          <w:rFonts w:ascii="Tahoma" w:hAnsi="Tahoma" w:cs="Tahoma"/>
          <w:sz w:val="20"/>
          <w:szCs w:val="20"/>
        </w:rPr>
        <w:t>côtés</w:t>
      </w:r>
      <w:r w:rsidR="00DB1635" w:rsidRPr="00B004EE">
        <w:rPr>
          <w:rFonts w:ascii="Tahoma" w:hAnsi="Tahoma" w:cs="Tahoma"/>
          <w:sz w:val="20"/>
          <w:szCs w:val="20"/>
        </w:rPr>
        <w:t xml:space="preserve"> </w:t>
      </w:r>
      <w:r w:rsidRPr="00B004EE">
        <w:rPr>
          <w:rFonts w:ascii="Tahoma" w:hAnsi="Tahoma" w:cs="Tahoma"/>
          <w:sz w:val="20"/>
          <w:szCs w:val="20"/>
        </w:rPr>
        <w:t>consécutifs</w:t>
      </w:r>
      <w:r w:rsidR="00DB1635" w:rsidRPr="00B004EE">
        <w:rPr>
          <w:rFonts w:ascii="Tahoma" w:hAnsi="Tahoma" w:cs="Tahoma"/>
          <w:sz w:val="20"/>
          <w:szCs w:val="20"/>
        </w:rPr>
        <w:t xml:space="preserve"> </w:t>
      </w:r>
      <w:r w:rsidRPr="00B004EE">
        <w:rPr>
          <w:rFonts w:ascii="Tahoma" w:hAnsi="Tahoma" w:cs="Tahoma"/>
          <w:sz w:val="20"/>
          <w:szCs w:val="20"/>
        </w:rPr>
        <w:t>mesurés</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milieu</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premier</w:t>
      </w:r>
      <w:r w:rsidR="00DB1635" w:rsidRPr="00B004EE">
        <w:rPr>
          <w:rFonts w:ascii="Tahoma" w:hAnsi="Tahoma" w:cs="Tahoma"/>
          <w:sz w:val="20"/>
          <w:szCs w:val="20"/>
        </w:rPr>
        <w:t xml:space="preserve"> </w:t>
      </w:r>
      <w:r w:rsidRPr="00B004EE">
        <w:rPr>
          <w:rFonts w:ascii="Tahoma" w:hAnsi="Tahoma" w:cs="Tahoma"/>
          <w:sz w:val="20"/>
          <w:szCs w:val="20"/>
        </w:rPr>
        <w:t>nœud</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milieu</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onzième</w:t>
      </w:r>
      <w:r w:rsidR="00DB1635" w:rsidRPr="00B004EE">
        <w:rPr>
          <w:rFonts w:ascii="Tahoma" w:hAnsi="Tahoma" w:cs="Tahoma"/>
          <w:sz w:val="20"/>
          <w:szCs w:val="20"/>
        </w:rPr>
        <w:t xml:space="preserve"> </w:t>
      </w:r>
      <w:r w:rsidRPr="00B004EE">
        <w:rPr>
          <w:rFonts w:ascii="Tahoma" w:hAnsi="Tahoma" w:cs="Tahoma"/>
          <w:sz w:val="20"/>
          <w:szCs w:val="20"/>
        </w:rPr>
        <w:t>nœud.</w:t>
      </w:r>
    </w:p>
    <w:p w14:paraId="3DB51818" w14:textId="77777777" w:rsidR="008518B0" w:rsidRPr="00B004EE" w:rsidRDefault="008518B0" w:rsidP="00B004EE">
      <w:pPr>
        <w:pStyle w:val="Corpsdetexte22"/>
        <w:tabs>
          <w:tab w:val="clear" w:pos="0"/>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rPr>
          <w:rFonts w:ascii="Tahoma" w:hAnsi="Tahoma" w:cs="Tahoma"/>
          <w:sz w:val="20"/>
          <w:szCs w:val="20"/>
        </w:rPr>
      </w:pPr>
    </w:p>
    <w:p w14:paraId="676A31F9" w14:textId="2E7E4DBF" w:rsidR="008518B0" w:rsidRPr="00B004EE" w:rsidRDefault="008518B0" w:rsidP="00B004EE">
      <w:pPr>
        <w:pStyle w:val="Corpsdetexte22"/>
        <w:tabs>
          <w:tab w:val="clear" w:pos="0"/>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rPr>
          <w:rFonts w:ascii="Tahoma" w:hAnsi="Tahoma" w:cs="Tahoma"/>
          <w:sz w:val="20"/>
          <w:szCs w:val="20"/>
        </w:rPr>
      </w:pPr>
      <w:r w:rsidRPr="00B004EE">
        <w:rPr>
          <w:rFonts w:ascii="Tahoma" w:hAnsi="Tahoma" w:cs="Tahoma"/>
          <w:sz w:val="20"/>
          <w:szCs w:val="20"/>
        </w:rPr>
        <w:t>B)</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hauturière</w:t>
      </w:r>
      <w:r w:rsidR="00DB1635" w:rsidRPr="00B004EE">
        <w:rPr>
          <w:rFonts w:ascii="Tahoma" w:hAnsi="Tahoma" w:cs="Tahoma"/>
          <w:sz w:val="20"/>
          <w:szCs w:val="20"/>
        </w:rPr>
        <w:t xml:space="preserve"> </w:t>
      </w:r>
      <w:r w:rsidRPr="00B004EE">
        <w:rPr>
          <w:rFonts w:ascii="Tahoma" w:hAnsi="Tahoma" w:cs="Tahoma"/>
          <w:sz w:val="20"/>
          <w:szCs w:val="20"/>
        </w:rPr>
        <w:t>:</w:t>
      </w:r>
    </w:p>
    <w:p w14:paraId="700C14D1" w14:textId="47B76546" w:rsidR="008518B0" w:rsidRPr="00B004EE" w:rsidRDefault="008518B0" w:rsidP="00420DDA">
      <w:pPr>
        <w:pStyle w:val="Retraitcorpsdetexte"/>
        <w:numPr>
          <w:ilvl w:val="0"/>
          <w:numId w:val="50"/>
        </w:numPr>
        <w:tabs>
          <w:tab w:val="clear" w:pos="360"/>
          <w:tab w:val="left" w:pos="0"/>
          <w:tab w:val="num" w:pos="717"/>
        </w:tabs>
        <w:autoSpaceDE/>
        <w:autoSpaceDN/>
        <w:adjustRightInd/>
        <w:ind w:left="567" w:hanging="357"/>
        <w:rPr>
          <w:rFonts w:ascii="Tahoma" w:hAnsi="Tahoma" w:cs="Tahoma"/>
          <w:bCs/>
          <w:sz w:val="20"/>
          <w:szCs w:val="20"/>
        </w:rPr>
      </w:pPr>
      <w:r w:rsidRPr="00B004EE">
        <w:rPr>
          <w:rFonts w:ascii="Tahoma" w:hAnsi="Tahoma" w:cs="Tahoma"/>
          <w:bCs/>
          <w:sz w:val="20"/>
          <w:szCs w:val="20"/>
        </w:rPr>
        <w:t>Les</w:t>
      </w:r>
      <w:r w:rsidR="00DB1635" w:rsidRPr="00B004EE">
        <w:rPr>
          <w:rFonts w:ascii="Tahoma" w:hAnsi="Tahoma" w:cs="Tahoma"/>
          <w:bCs/>
          <w:sz w:val="20"/>
          <w:szCs w:val="20"/>
        </w:rPr>
        <w:t xml:space="preserve"> </w:t>
      </w:r>
      <w:r w:rsidRPr="00B004EE">
        <w:rPr>
          <w:rFonts w:ascii="Tahoma" w:hAnsi="Tahoma" w:cs="Tahoma"/>
          <w:bCs/>
          <w:sz w:val="20"/>
          <w:szCs w:val="20"/>
        </w:rPr>
        <w:t>filets</w:t>
      </w:r>
      <w:r w:rsidR="00DB1635" w:rsidRPr="00B004EE">
        <w:rPr>
          <w:rFonts w:ascii="Tahoma" w:hAnsi="Tahoma" w:cs="Tahoma"/>
          <w:bCs/>
          <w:sz w:val="20"/>
          <w:szCs w:val="20"/>
        </w:rPr>
        <w:t xml:space="preserve"> </w:t>
      </w:r>
      <w:r w:rsidRPr="00B004EE">
        <w:rPr>
          <w:rFonts w:ascii="Tahoma" w:hAnsi="Tahoma" w:cs="Tahoma"/>
          <w:bCs/>
          <w:sz w:val="20"/>
          <w:szCs w:val="20"/>
        </w:rPr>
        <w:t>sont</w:t>
      </w:r>
      <w:r w:rsidR="00DB1635" w:rsidRPr="00B004EE">
        <w:rPr>
          <w:rFonts w:ascii="Tahoma" w:hAnsi="Tahoma" w:cs="Tahoma"/>
          <w:bCs/>
          <w:sz w:val="20"/>
          <w:szCs w:val="20"/>
        </w:rPr>
        <w:t xml:space="preserve"> </w:t>
      </w:r>
      <w:r w:rsidRPr="00B004EE">
        <w:rPr>
          <w:rFonts w:ascii="Tahoma" w:hAnsi="Tahoma" w:cs="Tahoma"/>
          <w:bCs/>
          <w:sz w:val="20"/>
          <w:szCs w:val="20"/>
        </w:rPr>
        <w:t>mesurés</w:t>
      </w:r>
      <w:r w:rsidR="00DB1635" w:rsidRPr="00B004EE">
        <w:rPr>
          <w:rFonts w:ascii="Tahoma" w:hAnsi="Tahoma" w:cs="Tahoma"/>
          <w:bCs/>
          <w:sz w:val="20"/>
          <w:szCs w:val="20"/>
        </w:rPr>
        <w:t xml:space="preserve"> </w:t>
      </w:r>
      <w:r w:rsidRPr="00B004EE">
        <w:rPr>
          <w:rFonts w:ascii="Tahoma" w:hAnsi="Tahoma" w:cs="Tahoma"/>
          <w:bCs/>
          <w:sz w:val="20"/>
          <w:szCs w:val="20"/>
        </w:rPr>
        <w:t>mouillés</w:t>
      </w:r>
      <w:r w:rsidR="00DB1635" w:rsidRPr="00B004EE">
        <w:rPr>
          <w:rFonts w:ascii="Tahoma" w:hAnsi="Tahoma" w:cs="Tahoma"/>
          <w:bCs/>
          <w:sz w:val="20"/>
          <w:szCs w:val="20"/>
        </w:rPr>
        <w:t xml:space="preserve"> </w:t>
      </w:r>
      <w:r w:rsidRPr="00B004EE">
        <w:rPr>
          <w:rFonts w:ascii="Tahoma" w:hAnsi="Tahoma" w:cs="Tahoma"/>
          <w:bCs/>
          <w:sz w:val="20"/>
          <w:szCs w:val="20"/>
        </w:rPr>
        <w:t>;</w:t>
      </w:r>
    </w:p>
    <w:p w14:paraId="1A877D54" w14:textId="639F0566" w:rsidR="008518B0" w:rsidRPr="00B004EE" w:rsidRDefault="008518B0" w:rsidP="00420DDA">
      <w:pPr>
        <w:pStyle w:val="Retraitcorpsdetexte"/>
        <w:numPr>
          <w:ilvl w:val="0"/>
          <w:numId w:val="50"/>
        </w:numPr>
        <w:tabs>
          <w:tab w:val="clear" w:pos="360"/>
          <w:tab w:val="left" w:pos="0"/>
          <w:tab w:val="num" w:pos="717"/>
        </w:tabs>
        <w:autoSpaceDE/>
        <w:autoSpaceDN/>
        <w:adjustRightInd/>
        <w:ind w:left="567" w:hanging="357"/>
        <w:rPr>
          <w:rFonts w:ascii="Tahoma" w:hAnsi="Tahoma" w:cs="Tahoma"/>
          <w:bCs/>
          <w:sz w:val="20"/>
          <w:szCs w:val="20"/>
        </w:rPr>
      </w:pPr>
      <w:r w:rsidRPr="00B004EE">
        <w:rPr>
          <w:rFonts w:ascii="Tahoma" w:hAnsi="Tahoma" w:cs="Tahoma"/>
          <w:bCs/>
          <w:sz w:val="20"/>
          <w:szCs w:val="20"/>
        </w:rPr>
        <w:t>L’instrument</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mesure</w:t>
      </w:r>
      <w:r w:rsidR="00DB1635" w:rsidRPr="00B004EE">
        <w:rPr>
          <w:rFonts w:ascii="Tahoma" w:hAnsi="Tahoma" w:cs="Tahoma"/>
          <w:bCs/>
          <w:sz w:val="20"/>
          <w:szCs w:val="20"/>
        </w:rPr>
        <w:t xml:space="preserve"> </w:t>
      </w:r>
      <w:r w:rsidRPr="00B004EE">
        <w:rPr>
          <w:rFonts w:ascii="Tahoma" w:hAnsi="Tahoma" w:cs="Tahoma"/>
          <w:bCs/>
          <w:sz w:val="20"/>
          <w:szCs w:val="20"/>
        </w:rPr>
        <w:t>utilisé</w:t>
      </w:r>
      <w:r w:rsidR="00DB1635" w:rsidRPr="00B004EE">
        <w:rPr>
          <w:rFonts w:ascii="Tahoma" w:hAnsi="Tahoma" w:cs="Tahoma"/>
          <w:bCs/>
          <w:sz w:val="20"/>
          <w:szCs w:val="20"/>
        </w:rPr>
        <w:t xml:space="preserve"> </w:t>
      </w:r>
      <w:r w:rsidRPr="00B004EE">
        <w:rPr>
          <w:rFonts w:ascii="Tahoma" w:hAnsi="Tahoma" w:cs="Tahoma"/>
          <w:bCs/>
          <w:sz w:val="20"/>
          <w:szCs w:val="20"/>
        </w:rPr>
        <w:t>est</w:t>
      </w:r>
      <w:r w:rsidR="00DB1635" w:rsidRPr="00B004EE">
        <w:rPr>
          <w:rFonts w:ascii="Tahoma" w:hAnsi="Tahoma" w:cs="Tahoma"/>
          <w:bCs/>
          <w:sz w:val="20"/>
          <w:szCs w:val="20"/>
        </w:rPr>
        <w:t xml:space="preserve"> </w:t>
      </w:r>
      <w:r w:rsidRPr="00B004EE">
        <w:rPr>
          <w:rFonts w:ascii="Tahoma" w:hAnsi="Tahoma" w:cs="Tahoma"/>
          <w:bCs/>
          <w:sz w:val="20"/>
          <w:szCs w:val="20"/>
        </w:rPr>
        <w:t>une</w:t>
      </w:r>
      <w:r w:rsidR="00DB1635" w:rsidRPr="00B004EE">
        <w:rPr>
          <w:rFonts w:ascii="Tahoma" w:hAnsi="Tahoma" w:cs="Tahoma"/>
          <w:bCs/>
          <w:sz w:val="20"/>
          <w:szCs w:val="20"/>
        </w:rPr>
        <w:t xml:space="preserve"> </w:t>
      </w:r>
      <w:r w:rsidRPr="00B004EE">
        <w:rPr>
          <w:rFonts w:ascii="Tahoma" w:hAnsi="Tahoma" w:cs="Tahoma"/>
          <w:bCs/>
          <w:sz w:val="20"/>
          <w:szCs w:val="20"/>
        </w:rPr>
        <w:t>jauge</w:t>
      </w:r>
      <w:r w:rsidR="00DB1635" w:rsidRPr="00B004EE">
        <w:rPr>
          <w:rFonts w:ascii="Tahoma" w:hAnsi="Tahoma" w:cs="Tahoma"/>
          <w:bCs/>
          <w:sz w:val="20"/>
          <w:szCs w:val="20"/>
        </w:rPr>
        <w:t xml:space="preserve"> </w:t>
      </w:r>
      <w:r w:rsidRPr="00B004EE">
        <w:rPr>
          <w:rFonts w:ascii="Tahoma" w:hAnsi="Tahoma" w:cs="Tahoma"/>
          <w:bCs/>
          <w:sz w:val="20"/>
          <w:szCs w:val="20"/>
        </w:rPr>
        <w:t>plate</w:t>
      </w:r>
      <w:r w:rsidR="00DB1635" w:rsidRPr="00B004EE">
        <w:rPr>
          <w:rFonts w:ascii="Tahoma" w:hAnsi="Tahoma" w:cs="Tahoma"/>
          <w:bCs/>
          <w:sz w:val="20"/>
          <w:szCs w:val="20"/>
        </w:rPr>
        <w:t xml:space="preserve"> </w:t>
      </w:r>
      <w:r w:rsidRPr="00B004EE">
        <w:rPr>
          <w:rFonts w:ascii="Tahoma" w:hAnsi="Tahoma" w:cs="Tahoma"/>
          <w:bCs/>
          <w:sz w:val="20"/>
          <w:szCs w:val="20"/>
        </w:rPr>
        <w:t>triangulaire</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deux</w:t>
      </w:r>
      <w:r w:rsidR="00DB1635" w:rsidRPr="00B004EE">
        <w:rPr>
          <w:rFonts w:ascii="Tahoma" w:hAnsi="Tahoma" w:cs="Tahoma"/>
          <w:bCs/>
          <w:sz w:val="20"/>
          <w:szCs w:val="20"/>
        </w:rPr>
        <w:t xml:space="preserve"> </w:t>
      </w:r>
      <w:r w:rsidRPr="00B004EE">
        <w:rPr>
          <w:rFonts w:ascii="Tahoma" w:hAnsi="Tahoma" w:cs="Tahoma"/>
          <w:bCs/>
          <w:sz w:val="20"/>
          <w:szCs w:val="20"/>
        </w:rPr>
        <w:t>(2)</w:t>
      </w:r>
      <w:r w:rsidR="00DB1635" w:rsidRPr="00B004EE">
        <w:rPr>
          <w:rFonts w:ascii="Tahoma" w:hAnsi="Tahoma" w:cs="Tahoma"/>
          <w:bCs/>
          <w:sz w:val="20"/>
          <w:szCs w:val="20"/>
        </w:rPr>
        <w:t xml:space="preserve"> </w:t>
      </w:r>
      <w:r w:rsidRPr="00B004EE">
        <w:rPr>
          <w:rFonts w:ascii="Tahoma" w:hAnsi="Tahoma" w:cs="Tahoma"/>
          <w:bCs/>
          <w:sz w:val="20"/>
          <w:szCs w:val="20"/>
        </w:rPr>
        <w:t>millimètres</w:t>
      </w:r>
      <w:r w:rsidR="00DB1635" w:rsidRPr="00B004EE">
        <w:rPr>
          <w:rFonts w:ascii="Tahoma" w:hAnsi="Tahoma" w:cs="Tahoma"/>
          <w:bCs/>
          <w:sz w:val="20"/>
          <w:szCs w:val="20"/>
        </w:rPr>
        <w:t xml:space="preserve"> </w:t>
      </w:r>
      <w:r w:rsidRPr="00B004EE">
        <w:rPr>
          <w:rFonts w:ascii="Tahoma" w:hAnsi="Tahoma" w:cs="Tahoma"/>
          <w:bCs/>
          <w:sz w:val="20"/>
          <w:szCs w:val="20"/>
        </w:rPr>
        <w:t>d'épaisseur</w:t>
      </w:r>
      <w:r w:rsidR="00DB1635" w:rsidRPr="00B004EE">
        <w:rPr>
          <w:rFonts w:ascii="Tahoma" w:hAnsi="Tahoma" w:cs="Tahoma"/>
          <w:bCs/>
          <w:sz w:val="20"/>
          <w:szCs w:val="20"/>
        </w:rPr>
        <w:t xml:space="preserve"> </w:t>
      </w:r>
      <w:r w:rsidRPr="00B004EE">
        <w:rPr>
          <w:rFonts w:ascii="Tahoma" w:hAnsi="Tahoma" w:cs="Tahoma"/>
          <w:bCs/>
          <w:sz w:val="20"/>
          <w:szCs w:val="20"/>
        </w:rPr>
        <w:t>dont</w:t>
      </w:r>
      <w:r w:rsidR="00DB1635" w:rsidRPr="00B004EE">
        <w:rPr>
          <w:rFonts w:ascii="Tahoma" w:hAnsi="Tahoma" w:cs="Tahoma"/>
          <w:bCs/>
          <w:sz w:val="20"/>
          <w:szCs w:val="20"/>
        </w:rPr>
        <w:t xml:space="preserve"> </w:t>
      </w:r>
      <w:r w:rsidRPr="00B004EE">
        <w:rPr>
          <w:rFonts w:ascii="Tahoma" w:hAnsi="Tahoma" w:cs="Tahoma"/>
          <w:bCs/>
          <w:sz w:val="20"/>
          <w:szCs w:val="20"/>
        </w:rPr>
        <w:t>la</w:t>
      </w:r>
      <w:r w:rsidR="00DB1635" w:rsidRPr="00B004EE">
        <w:rPr>
          <w:rFonts w:ascii="Tahoma" w:hAnsi="Tahoma" w:cs="Tahoma"/>
          <w:bCs/>
          <w:sz w:val="20"/>
          <w:szCs w:val="20"/>
        </w:rPr>
        <w:t xml:space="preserve"> </w:t>
      </w:r>
      <w:r w:rsidRPr="00B004EE">
        <w:rPr>
          <w:rFonts w:ascii="Tahoma" w:hAnsi="Tahoma" w:cs="Tahoma"/>
          <w:bCs/>
          <w:sz w:val="20"/>
          <w:szCs w:val="20"/>
        </w:rPr>
        <w:t>largeur</w:t>
      </w:r>
      <w:r w:rsidR="00DB1635" w:rsidRPr="00B004EE">
        <w:rPr>
          <w:rFonts w:ascii="Tahoma" w:hAnsi="Tahoma" w:cs="Tahoma"/>
          <w:bCs/>
          <w:sz w:val="20"/>
          <w:szCs w:val="20"/>
        </w:rPr>
        <w:t xml:space="preserve"> </w:t>
      </w:r>
      <w:r w:rsidRPr="00B004EE">
        <w:rPr>
          <w:rFonts w:ascii="Tahoma" w:hAnsi="Tahoma" w:cs="Tahoma"/>
          <w:bCs/>
          <w:sz w:val="20"/>
          <w:szCs w:val="20"/>
        </w:rPr>
        <w:t>décroît</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chaque</w:t>
      </w:r>
      <w:r w:rsidR="00DB1635" w:rsidRPr="00B004EE">
        <w:rPr>
          <w:rFonts w:ascii="Tahoma" w:hAnsi="Tahoma" w:cs="Tahoma"/>
          <w:bCs/>
          <w:sz w:val="20"/>
          <w:szCs w:val="20"/>
        </w:rPr>
        <w:t xml:space="preserve"> </w:t>
      </w:r>
      <w:r w:rsidRPr="00B004EE">
        <w:rPr>
          <w:rFonts w:ascii="Tahoma" w:hAnsi="Tahoma" w:cs="Tahoma"/>
          <w:bCs/>
          <w:sz w:val="20"/>
          <w:szCs w:val="20"/>
        </w:rPr>
        <w:t>côté</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deux</w:t>
      </w:r>
      <w:r w:rsidR="00DB1635" w:rsidRPr="00B004EE">
        <w:rPr>
          <w:rFonts w:ascii="Tahoma" w:hAnsi="Tahoma" w:cs="Tahoma"/>
          <w:bCs/>
          <w:sz w:val="20"/>
          <w:szCs w:val="20"/>
        </w:rPr>
        <w:t xml:space="preserve"> </w:t>
      </w:r>
      <w:r w:rsidRPr="00B004EE">
        <w:rPr>
          <w:rFonts w:ascii="Tahoma" w:hAnsi="Tahoma" w:cs="Tahoma"/>
          <w:bCs/>
          <w:sz w:val="20"/>
          <w:szCs w:val="20"/>
        </w:rPr>
        <w:t>(2)</w:t>
      </w:r>
      <w:r w:rsidR="00DB1635" w:rsidRPr="00B004EE">
        <w:rPr>
          <w:rFonts w:ascii="Tahoma" w:hAnsi="Tahoma" w:cs="Tahoma"/>
          <w:bCs/>
          <w:sz w:val="20"/>
          <w:szCs w:val="20"/>
        </w:rPr>
        <w:t xml:space="preserve"> </w:t>
      </w:r>
      <w:r w:rsidRPr="00B004EE">
        <w:rPr>
          <w:rFonts w:ascii="Tahoma" w:hAnsi="Tahoma" w:cs="Tahoma"/>
          <w:bCs/>
          <w:sz w:val="20"/>
          <w:szCs w:val="20"/>
        </w:rPr>
        <w:t>centimètres</w:t>
      </w:r>
      <w:r w:rsidR="00DB1635" w:rsidRPr="00B004EE">
        <w:rPr>
          <w:rFonts w:ascii="Tahoma" w:hAnsi="Tahoma" w:cs="Tahoma"/>
          <w:bCs/>
          <w:sz w:val="20"/>
          <w:szCs w:val="20"/>
        </w:rPr>
        <w:t xml:space="preserve"> </w:t>
      </w:r>
      <w:r w:rsidRPr="00B004EE">
        <w:rPr>
          <w:rFonts w:ascii="Tahoma" w:hAnsi="Tahoma" w:cs="Tahoma"/>
          <w:bCs/>
          <w:sz w:val="20"/>
          <w:szCs w:val="20"/>
        </w:rPr>
        <w:t>pour</w:t>
      </w:r>
      <w:r w:rsidR="00DB1635" w:rsidRPr="00B004EE">
        <w:rPr>
          <w:rFonts w:ascii="Tahoma" w:hAnsi="Tahoma" w:cs="Tahoma"/>
          <w:bCs/>
          <w:sz w:val="20"/>
          <w:szCs w:val="20"/>
        </w:rPr>
        <w:t xml:space="preserve"> </w:t>
      </w:r>
      <w:r w:rsidRPr="00B004EE">
        <w:rPr>
          <w:rFonts w:ascii="Tahoma" w:hAnsi="Tahoma" w:cs="Tahoma"/>
          <w:bCs/>
          <w:sz w:val="20"/>
          <w:szCs w:val="20"/>
        </w:rPr>
        <w:t>huit</w:t>
      </w:r>
      <w:r w:rsidR="00DB1635" w:rsidRPr="00B004EE">
        <w:rPr>
          <w:rFonts w:ascii="Tahoma" w:hAnsi="Tahoma" w:cs="Tahoma"/>
          <w:bCs/>
          <w:sz w:val="20"/>
          <w:szCs w:val="20"/>
        </w:rPr>
        <w:t xml:space="preserve"> </w:t>
      </w:r>
      <w:r w:rsidRPr="00B004EE">
        <w:rPr>
          <w:rFonts w:ascii="Tahoma" w:hAnsi="Tahoma" w:cs="Tahoma"/>
          <w:bCs/>
          <w:sz w:val="20"/>
          <w:szCs w:val="20"/>
        </w:rPr>
        <w:t>(8)</w:t>
      </w:r>
      <w:r w:rsidR="00DB1635" w:rsidRPr="00B004EE">
        <w:rPr>
          <w:rFonts w:ascii="Tahoma" w:hAnsi="Tahoma" w:cs="Tahoma"/>
          <w:bCs/>
          <w:sz w:val="20"/>
          <w:szCs w:val="20"/>
        </w:rPr>
        <w:t xml:space="preserve"> </w:t>
      </w:r>
      <w:r w:rsidRPr="00B004EE">
        <w:rPr>
          <w:rFonts w:ascii="Tahoma" w:hAnsi="Tahoma" w:cs="Tahoma"/>
          <w:bCs/>
          <w:sz w:val="20"/>
          <w:szCs w:val="20"/>
        </w:rPr>
        <w:t>centimètres</w:t>
      </w:r>
      <w:r w:rsidR="00DB1635" w:rsidRPr="00B004EE">
        <w:rPr>
          <w:rFonts w:ascii="Tahoma" w:hAnsi="Tahoma" w:cs="Tahoma"/>
          <w:bCs/>
          <w:sz w:val="20"/>
          <w:szCs w:val="20"/>
        </w:rPr>
        <w:t xml:space="preserve"> </w:t>
      </w:r>
      <w:r w:rsidRPr="00B004EE">
        <w:rPr>
          <w:rFonts w:ascii="Tahoma" w:hAnsi="Tahoma" w:cs="Tahoma"/>
          <w:bCs/>
          <w:sz w:val="20"/>
          <w:szCs w:val="20"/>
        </w:rPr>
        <w:t>qui</w:t>
      </w:r>
      <w:r w:rsidR="00DB1635" w:rsidRPr="00B004EE">
        <w:rPr>
          <w:rFonts w:ascii="Tahoma" w:hAnsi="Tahoma" w:cs="Tahoma"/>
          <w:bCs/>
          <w:sz w:val="20"/>
          <w:szCs w:val="20"/>
        </w:rPr>
        <w:t xml:space="preserve"> </w:t>
      </w:r>
      <w:r w:rsidRPr="00B004EE">
        <w:rPr>
          <w:rFonts w:ascii="Tahoma" w:hAnsi="Tahoma" w:cs="Tahoma"/>
          <w:bCs/>
          <w:sz w:val="20"/>
          <w:szCs w:val="20"/>
        </w:rPr>
        <w:t>sera</w:t>
      </w:r>
      <w:r w:rsidR="00DB1635" w:rsidRPr="00B004EE">
        <w:rPr>
          <w:rFonts w:ascii="Tahoma" w:hAnsi="Tahoma" w:cs="Tahoma"/>
          <w:bCs/>
          <w:sz w:val="20"/>
          <w:szCs w:val="20"/>
        </w:rPr>
        <w:t xml:space="preserve"> </w:t>
      </w:r>
      <w:r w:rsidRPr="00B004EE">
        <w:rPr>
          <w:rFonts w:ascii="Tahoma" w:hAnsi="Tahoma" w:cs="Tahoma"/>
          <w:bCs/>
          <w:sz w:val="20"/>
          <w:szCs w:val="20"/>
        </w:rPr>
        <w:t>insérée</w:t>
      </w:r>
      <w:r w:rsidR="00DB1635" w:rsidRPr="00B004EE">
        <w:rPr>
          <w:rFonts w:ascii="Tahoma" w:hAnsi="Tahoma" w:cs="Tahoma"/>
          <w:bCs/>
          <w:sz w:val="20"/>
          <w:szCs w:val="20"/>
        </w:rPr>
        <w:t xml:space="preserve"> </w:t>
      </w:r>
      <w:r w:rsidRPr="00B004EE">
        <w:rPr>
          <w:rFonts w:ascii="Tahoma" w:hAnsi="Tahoma" w:cs="Tahoma"/>
          <w:bCs/>
          <w:sz w:val="20"/>
          <w:szCs w:val="20"/>
        </w:rPr>
        <w:t>dans</w:t>
      </w:r>
      <w:r w:rsidR="00DB1635" w:rsidRPr="00B004EE">
        <w:rPr>
          <w:rFonts w:ascii="Tahoma" w:hAnsi="Tahoma" w:cs="Tahoma"/>
          <w:bCs/>
          <w:sz w:val="20"/>
          <w:szCs w:val="20"/>
        </w:rPr>
        <w:t xml:space="preserve"> </w:t>
      </w:r>
      <w:r w:rsidRPr="00B004EE">
        <w:rPr>
          <w:rFonts w:ascii="Tahoma" w:hAnsi="Tahoma" w:cs="Tahoma"/>
          <w:bCs/>
          <w:sz w:val="20"/>
          <w:szCs w:val="20"/>
        </w:rPr>
        <w:t>la</w:t>
      </w:r>
      <w:r w:rsidR="00DB1635" w:rsidRPr="00B004EE">
        <w:rPr>
          <w:rFonts w:ascii="Tahoma" w:hAnsi="Tahoma" w:cs="Tahoma"/>
          <w:bCs/>
          <w:sz w:val="20"/>
          <w:szCs w:val="20"/>
        </w:rPr>
        <w:t xml:space="preserve"> </w:t>
      </w:r>
      <w:r w:rsidRPr="00B004EE">
        <w:rPr>
          <w:rFonts w:ascii="Tahoma" w:hAnsi="Tahoma" w:cs="Tahoma"/>
          <w:bCs/>
          <w:sz w:val="20"/>
          <w:szCs w:val="20"/>
        </w:rPr>
        <w:t>maille</w:t>
      </w:r>
      <w:r w:rsidR="00DB1635" w:rsidRPr="00B004EE">
        <w:rPr>
          <w:rFonts w:ascii="Tahoma" w:hAnsi="Tahoma" w:cs="Tahoma"/>
          <w:bCs/>
          <w:sz w:val="20"/>
          <w:szCs w:val="20"/>
        </w:rPr>
        <w:t xml:space="preserve"> </w:t>
      </w:r>
      <w:r w:rsidRPr="00B004EE">
        <w:rPr>
          <w:rFonts w:ascii="Tahoma" w:hAnsi="Tahoma" w:cs="Tahoma"/>
          <w:bCs/>
          <w:sz w:val="20"/>
          <w:szCs w:val="20"/>
        </w:rPr>
        <w:t>sous</w:t>
      </w:r>
      <w:r w:rsidR="00DB1635" w:rsidRPr="00B004EE">
        <w:rPr>
          <w:rFonts w:ascii="Tahoma" w:hAnsi="Tahoma" w:cs="Tahoma"/>
          <w:bCs/>
          <w:sz w:val="20"/>
          <w:szCs w:val="20"/>
        </w:rPr>
        <w:t xml:space="preserve"> </w:t>
      </w:r>
      <w:r w:rsidRPr="00B004EE">
        <w:rPr>
          <w:rFonts w:ascii="Tahoma" w:hAnsi="Tahoma" w:cs="Tahoma"/>
          <w:bCs/>
          <w:sz w:val="20"/>
          <w:szCs w:val="20"/>
        </w:rPr>
        <w:t>une</w:t>
      </w:r>
      <w:r w:rsidR="00DB1635" w:rsidRPr="00B004EE">
        <w:rPr>
          <w:rFonts w:ascii="Tahoma" w:hAnsi="Tahoma" w:cs="Tahoma"/>
          <w:bCs/>
          <w:sz w:val="20"/>
          <w:szCs w:val="20"/>
        </w:rPr>
        <w:t xml:space="preserve"> </w:t>
      </w:r>
      <w:r w:rsidRPr="00B004EE">
        <w:rPr>
          <w:rFonts w:ascii="Tahoma" w:hAnsi="Tahoma" w:cs="Tahoma"/>
          <w:bCs/>
          <w:sz w:val="20"/>
          <w:szCs w:val="20"/>
        </w:rPr>
        <w:t>pression</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cinq</w:t>
      </w:r>
      <w:r w:rsidR="00DB1635" w:rsidRPr="00B004EE">
        <w:rPr>
          <w:rFonts w:ascii="Tahoma" w:hAnsi="Tahoma" w:cs="Tahoma"/>
          <w:bCs/>
          <w:sz w:val="20"/>
          <w:szCs w:val="20"/>
        </w:rPr>
        <w:t xml:space="preserve"> </w:t>
      </w:r>
      <w:r w:rsidRPr="00B004EE">
        <w:rPr>
          <w:rFonts w:ascii="Tahoma" w:hAnsi="Tahoma" w:cs="Tahoma"/>
          <w:bCs/>
          <w:sz w:val="20"/>
          <w:szCs w:val="20"/>
        </w:rPr>
        <w:t>(5)</w:t>
      </w:r>
      <w:r w:rsidR="00DB1635" w:rsidRPr="00B004EE">
        <w:rPr>
          <w:rFonts w:ascii="Tahoma" w:hAnsi="Tahoma" w:cs="Tahoma"/>
          <w:bCs/>
          <w:sz w:val="20"/>
          <w:szCs w:val="20"/>
        </w:rPr>
        <w:t xml:space="preserve"> </w:t>
      </w:r>
      <w:r w:rsidRPr="00B004EE">
        <w:rPr>
          <w:rFonts w:ascii="Tahoma" w:hAnsi="Tahoma" w:cs="Tahoma"/>
          <w:bCs/>
          <w:sz w:val="20"/>
          <w:szCs w:val="20"/>
        </w:rPr>
        <w:t>kilogrammes.</w:t>
      </w:r>
      <w:r w:rsidR="00DB1635" w:rsidRPr="00B004EE">
        <w:rPr>
          <w:rFonts w:ascii="Tahoma" w:hAnsi="Tahoma" w:cs="Tahoma"/>
          <w:bCs/>
          <w:sz w:val="20"/>
          <w:szCs w:val="20"/>
        </w:rPr>
        <w:t xml:space="preserve"> </w:t>
      </w:r>
      <w:r w:rsidRPr="00B004EE">
        <w:rPr>
          <w:rFonts w:ascii="Tahoma" w:hAnsi="Tahoma" w:cs="Tahoma"/>
          <w:bCs/>
          <w:sz w:val="20"/>
          <w:szCs w:val="20"/>
        </w:rPr>
        <w:t>Il</w:t>
      </w:r>
      <w:r w:rsidR="00DB1635" w:rsidRPr="00B004EE">
        <w:rPr>
          <w:rFonts w:ascii="Tahoma" w:hAnsi="Tahoma" w:cs="Tahoma"/>
          <w:bCs/>
          <w:sz w:val="20"/>
          <w:szCs w:val="20"/>
        </w:rPr>
        <w:t xml:space="preserve"> </w:t>
      </w:r>
      <w:r w:rsidRPr="00B004EE">
        <w:rPr>
          <w:rFonts w:ascii="Tahoma" w:hAnsi="Tahoma" w:cs="Tahoma"/>
          <w:bCs/>
          <w:sz w:val="20"/>
          <w:szCs w:val="20"/>
        </w:rPr>
        <w:t>pourra</w:t>
      </w:r>
      <w:r w:rsidR="00DB1635" w:rsidRPr="00B004EE">
        <w:rPr>
          <w:rFonts w:ascii="Tahoma" w:hAnsi="Tahoma" w:cs="Tahoma"/>
          <w:bCs/>
          <w:sz w:val="20"/>
          <w:szCs w:val="20"/>
        </w:rPr>
        <w:t xml:space="preserve"> </w:t>
      </w:r>
      <w:r w:rsidRPr="00B004EE">
        <w:rPr>
          <w:rFonts w:ascii="Tahoma" w:hAnsi="Tahoma" w:cs="Tahoma"/>
          <w:bCs/>
          <w:sz w:val="20"/>
          <w:szCs w:val="20"/>
        </w:rPr>
        <w:t>également</w:t>
      </w:r>
      <w:r w:rsidR="00DB1635" w:rsidRPr="00B004EE">
        <w:rPr>
          <w:rFonts w:ascii="Tahoma" w:hAnsi="Tahoma" w:cs="Tahoma"/>
          <w:bCs/>
          <w:sz w:val="20"/>
          <w:szCs w:val="20"/>
        </w:rPr>
        <w:t xml:space="preserve"> </w:t>
      </w:r>
      <w:r w:rsidRPr="00B004EE">
        <w:rPr>
          <w:rFonts w:ascii="Tahoma" w:hAnsi="Tahoma" w:cs="Tahoma"/>
          <w:bCs/>
          <w:sz w:val="20"/>
          <w:szCs w:val="20"/>
        </w:rPr>
        <w:t>être</w:t>
      </w:r>
      <w:r w:rsidR="00DB1635" w:rsidRPr="00B004EE">
        <w:rPr>
          <w:rFonts w:ascii="Tahoma" w:hAnsi="Tahoma" w:cs="Tahoma"/>
          <w:bCs/>
          <w:sz w:val="20"/>
          <w:szCs w:val="20"/>
        </w:rPr>
        <w:t xml:space="preserve"> </w:t>
      </w:r>
      <w:r w:rsidRPr="00B004EE">
        <w:rPr>
          <w:rFonts w:ascii="Tahoma" w:hAnsi="Tahoma" w:cs="Tahoma"/>
          <w:bCs/>
          <w:sz w:val="20"/>
          <w:szCs w:val="20"/>
        </w:rPr>
        <w:t>fait</w:t>
      </w:r>
      <w:r w:rsidR="00DB1635" w:rsidRPr="00B004EE">
        <w:rPr>
          <w:rFonts w:ascii="Tahoma" w:hAnsi="Tahoma" w:cs="Tahoma"/>
          <w:bCs/>
          <w:sz w:val="20"/>
          <w:szCs w:val="20"/>
        </w:rPr>
        <w:t xml:space="preserve"> </w:t>
      </w:r>
      <w:r w:rsidRPr="00B004EE">
        <w:rPr>
          <w:rFonts w:ascii="Tahoma" w:hAnsi="Tahoma" w:cs="Tahoma"/>
          <w:bCs/>
          <w:sz w:val="20"/>
          <w:szCs w:val="20"/>
        </w:rPr>
        <w:t>usage</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la</w:t>
      </w:r>
      <w:r w:rsidR="00DB1635" w:rsidRPr="00B004EE">
        <w:rPr>
          <w:rFonts w:ascii="Tahoma" w:hAnsi="Tahoma" w:cs="Tahoma"/>
          <w:bCs/>
          <w:sz w:val="20"/>
          <w:szCs w:val="20"/>
        </w:rPr>
        <w:t xml:space="preserve"> </w:t>
      </w:r>
      <w:r w:rsidRPr="00B004EE">
        <w:rPr>
          <w:rFonts w:ascii="Tahoma" w:hAnsi="Tahoma" w:cs="Tahoma"/>
          <w:bCs/>
          <w:sz w:val="20"/>
          <w:szCs w:val="20"/>
        </w:rPr>
        <w:t>jauge</w:t>
      </w:r>
      <w:r w:rsidR="00DB1635" w:rsidRPr="00B004EE">
        <w:rPr>
          <w:rFonts w:ascii="Tahoma" w:hAnsi="Tahoma" w:cs="Tahoma"/>
          <w:bCs/>
          <w:sz w:val="20"/>
          <w:szCs w:val="20"/>
        </w:rPr>
        <w:t xml:space="preserve"> </w:t>
      </w:r>
      <w:r w:rsidRPr="00B004EE">
        <w:rPr>
          <w:rFonts w:ascii="Tahoma" w:hAnsi="Tahoma" w:cs="Tahoma"/>
          <w:bCs/>
          <w:sz w:val="20"/>
          <w:szCs w:val="20"/>
        </w:rPr>
        <w:t>à</w:t>
      </w:r>
      <w:r w:rsidR="00DB1635" w:rsidRPr="00B004EE">
        <w:rPr>
          <w:rFonts w:ascii="Tahoma" w:hAnsi="Tahoma" w:cs="Tahoma"/>
          <w:bCs/>
          <w:sz w:val="20"/>
          <w:szCs w:val="20"/>
        </w:rPr>
        <w:t xml:space="preserve"> </w:t>
      </w:r>
      <w:r w:rsidRPr="00B004EE">
        <w:rPr>
          <w:rFonts w:ascii="Tahoma" w:hAnsi="Tahoma" w:cs="Tahoma"/>
          <w:bCs/>
          <w:sz w:val="20"/>
          <w:szCs w:val="20"/>
        </w:rPr>
        <w:t>pression</w:t>
      </w:r>
      <w:r w:rsidR="00DB1635" w:rsidRPr="00B004EE">
        <w:rPr>
          <w:rFonts w:ascii="Tahoma" w:hAnsi="Tahoma" w:cs="Tahoma"/>
          <w:bCs/>
          <w:sz w:val="20"/>
          <w:szCs w:val="20"/>
        </w:rPr>
        <w:t xml:space="preserve"> </w:t>
      </w:r>
      <w:r w:rsidRPr="00B004EE">
        <w:rPr>
          <w:rFonts w:ascii="Tahoma" w:hAnsi="Tahoma" w:cs="Tahoma"/>
          <w:bCs/>
          <w:sz w:val="20"/>
          <w:szCs w:val="20"/>
        </w:rPr>
        <w:t>normalisée</w:t>
      </w:r>
      <w:r w:rsidR="00DB1635" w:rsidRPr="00B004EE">
        <w:rPr>
          <w:rFonts w:ascii="Tahoma" w:hAnsi="Tahoma" w:cs="Tahoma"/>
          <w:bCs/>
          <w:sz w:val="20"/>
          <w:szCs w:val="20"/>
        </w:rPr>
        <w:t xml:space="preserve"> </w:t>
      </w:r>
      <w:r w:rsidRPr="00B004EE">
        <w:rPr>
          <w:rFonts w:ascii="Tahoma" w:hAnsi="Tahoma" w:cs="Tahoma"/>
          <w:bCs/>
          <w:sz w:val="20"/>
          <w:szCs w:val="20"/>
        </w:rPr>
        <w:t>recommandée</w:t>
      </w:r>
      <w:r w:rsidR="00DB1635" w:rsidRPr="00B004EE">
        <w:rPr>
          <w:rFonts w:ascii="Tahoma" w:hAnsi="Tahoma" w:cs="Tahoma"/>
          <w:bCs/>
          <w:sz w:val="20"/>
          <w:szCs w:val="20"/>
        </w:rPr>
        <w:t xml:space="preserve"> </w:t>
      </w:r>
      <w:r w:rsidRPr="00B004EE">
        <w:rPr>
          <w:rFonts w:ascii="Tahoma" w:hAnsi="Tahoma" w:cs="Tahoma"/>
          <w:bCs/>
          <w:sz w:val="20"/>
          <w:szCs w:val="20"/>
        </w:rPr>
        <w:t>par</w:t>
      </w:r>
      <w:r w:rsidR="00DB1635" w:rsidRPr="00B004EE">
        <w:rPr>
          <w:rFonts w:ascii="Tahoma" w:hAnsi="Tahoma" w:cs="Tahoma"/>
          <w:bCs/>
          <w:sz w:val="20"/>
          <w:szCs w:val="20"/>
        </w:rPr>
        <w:t xml:space="preserve"> </w:t>
      </w:r>
      <w:r w:rsidRPr="00B004EE">
        <w:rPr>
          <w:rFonts w:ascii="Tahoma" w:hAnsi="Tahoma" w:cs="Tahoma"/>
          <w:bCs/>
          <w:sz w:val="20"/>
          <w:szCs w:val="20"/>
        </w:rPr>
        <w:t>le</w:t>
      </w:r>
      <w:r w:rsidR="00DB1635" w:rsidRPr="00B004EE">
        <w:rPr>
          <w:rFonts w:ascii="Tahoma" w:hAnsi="Tahoma" w:cs="Tahoma"/>
          <w:bCs/>
          <w:sz w:val="20"/>
          <w:szCs w:val="20"/>
        </w:rPr>
        <w:t xml:space="preserve"> </w:t>
      </w:r>
      <w:r w:rsidRPr="00B004EE">
        <w:rPr>
          <w:rFonts w:ascii="Tahoma" w:hAnsi="Tahoma" w:cs="Tahoma"/>
          <w:bCs/>
          <w:sz w:val="20"/>
          <w:szCs w:val="20"/>
        </w:rPr>
        <w:t>Conseil</w:t>
      </w:r>
      <w:r w:rsidR="00DB1635" w:rsidRPr="00B004EE">
        <w:rPr>
          <w:rFonts w:ascii="Tahoma" w:hAnsi="Tahoma" w:cs="Tahoma"/>
          <w:bCs/>
          <w:sz w:val="20"/>
          <w:szCs w:val="20"/>
        </w:rPr>
        <w:t xml:space="preserve"> </w:t>
      </w:r>
      <w:r w:rsidRPr="00B004EE">
        <w:rPr>
          <w:rFonts w:ascii="Tahoma" w:hAnsi="Tahoma" w:cs="Tahoma"/>
          <w:bCs/>
          <w:sz w:val="20"/>
          <w:szCs w:val="20"/>
        </w:rPr>
        <w:t>International</w:t>
      </w:r>
      <w:r w:rsidR="00DB1635" w:rsidRPr="00B004EE">
        <w:rPr>
          <w:rFonts w:ascii="Tahoma" w:hAnsi="Tahoma" w:cs="Tahoma"/>
          <w:bCs/>
          <w:sz w:val="20"/>
          <w:szCs w:val="20"/>
        </w:rPr>
        <w:t xml:space="preserve"> </w:t>
      </w:r>
      <w:r w:rsidRPr="00B004EE">
        <w:rPr>
          <w:rFonts w:ascii="Tahoma" w:hAnsi="Tahoma" w:cs="Tahoma"/>
          <w:bCs/>
          <w:sz w:val="20"/>
          <w:szCs w:val="20"/>
        </w:rPr>
        <w:t>pour</w:t>
      </w:r>
      <w:r w:rsidR="00DB1635" w:rsidRPr="00B004EE">
        <w:rPr>
          <w:rFonts w:ascii="Tahoma" w:hAnsi="Tahoma" w:cs="Tahoma"/>
          <w:bCs/>
          <w:sz w:val="20"/>
          <w:szCs w:val="20"/>
        </w:rPr>
        <w:t xml:space="preserve"> </w:t>
      </w:r>
      <w:r w:rsidRPr="00B004EE">
        <w:rPr>
          <w:rFonts w:ascii="Tahoma" w:hAnsi="Tahoma" w:cs="Tahoma"/>
          <w:bCs/>
          <w:sz w:val="20"/>
          <w:szCs w:val="20"/>
        </w:rPr>
        <w:t>l'Exploitation</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la</w:t>
      </w:r>
      <w:r w:rsidR="00DB1635" w:rsidRPr="00B004EE">
        <w:rPr>
          <w:rFonts w:ascii="Tahoma" w:hAnsi="Tahoma" w:cs="Tahoma"/>
          <w:bCs/>
          <w:sz w:val="20"/>
          <w:szCs w:val="20"/>
        </w:rPr>
        <w:t xml:space="preserve"> </w:t>
      </w:r>
      <w:r w:rsidRPr="00B004EE">
        <w:rPr>
          <w:rFonts w:ascii="Tahoma" w:hAnsi="Tahoma" w:cs="Tahoma"/>
          <w:bCs/>
          <w:sz w:val="20"/>
          <w:szCs w:val="20"/>
        </w:rPr>
        <w:t>Mer</w:t>
      </w:r>
      <w:r w:rsidR="00DB1635" w:rsidRPr="00B004EE">
        <w:rPr>
          <w:rFonts w:ascii="Tahoma" w:hAnsi="Tahoma" w:cs="Tahoma"/>
          <w:bCs/>
          <w:sz w:val="20"/>
          <w:szCs w:val="20"/>
        </w:rPr>
        <w:t xml:space="preserve"> </w:t>
      </w:r>
      <w:r w:rsidRPr="00B004EE">
        <w:rPr>
          <w:rFonts w:ascii="Tahoma" w:hAnsi="Tahoma" w:cs="Tahoma"/>
          <w:bCs/>
          <w:sz w:val="20"/>
          <w:szCs w:val="20"/>
        </w:rPr>
        <w:t>(C.I.E.M.),</w:t>
      </w:r>
      <w:r w:rsidR="00DB1635" w:rsidRPr="00B004EE">
        <w:rPr>
          <w:rFonts w:ascii="Tahoma" w:hAnsi="Tahoma" w:cs="Tahoma"/>
          <w:bCs/>
          <w:sz w:val="20"/>
          <w:szCs w:val="20"/>
        </w:rPr>
        <w:t xml:space="preserve"> </w:t>
      </w:r>
      <w:r w:rsidRPr="00B004EE">
        <w:rPr>
          <w:rFonts w:ascii="Tahoma" w:hAnsi="Tahoma" w:cs="Tahoma"/>
          <w:bCs/>
          <w:sz w:val="20"/>
          <w:szCs w:val="20"/>
        </w:rPr>
        <w:t>notamment</w:t>
      </w:r>
      <w:r w:rsidR="00DB1635" w:rsidRPr="00B004EE">
        <w:rPr>
          <w:rFonts w:ascii="Tahoma" w:hAnsi="Tahoma" w:cs="Tahoma"/>
          <w:bCs/>
          <w:sz w:val="20"/>
          <w:szCs w:val="20"/>
        </w:rPr>
        <w:t xml:space="preserve"> </w:t>
      </w:r>
      <w:r w:rsidRPr="00B004EE">
        <w:rPr>
          <w:rFonts w:ascii="Tahoma" w:hAnsi="Tahoma" w:cs="Tahoma"/>
          <w:bCs/>
          <w:sz w:val="20"/>
          <w:szCs w:val="20"/>
        </w:rPr>
        <w:t>pour</w:t>
      </w:r>
      <w:r w:rsidR="00DB1635" w:rsidRPr="00B004EE">
        <w:rPr>
          <w:rFonts w:ascii="Tahoma" w:hAnsi="Tahoma" w:cs="Tahoma"/>
          <w:bCs/>
          <w:sz w:val="20"/>
          <w:szCs w:val="20"/>
        </w:rPr>
        <w:t xml:space="preserve"> </w:t>
      </w:r>
      <w:r w:rsidRPr="00B004EE">
        <w:rPr>
          <w:rFonts w:ascii="Tahoma" w:hAnsi="Tahoma" w:cs="Tahoma"/>
          <w:bCs/>
          <w:sz w:val="20"/>
          <w:szCs w:val="20"/>
        </w:rPr>
        <w:t>étalonner</w:t>
      </w:r>
      <w:r w:rsidR="00DB1635" w:rsidRPr="00B004EE">
        <w:rPr>
          <w:rFonts w:ascii="Tahoma" w:hAnsi="Tahoma" w:cs="Tahoma"/>
          <w:bCs/>
          <w:sz w:val="20"/>
          <w:szCs w:val="20"/>
        </w:rPr>
        <w:t xml:space="preserve"> </w:t>
      </w:r>
      <w:r w:rsidRPr="00B004EE">
        <w:rPr>
          <w:rFonts w:ascii="Tahoma" w:hAnsi="Tahoma" w:cs="Tahoma"/>
          <w:bCs/>
          <w:sz w:val="20"/>
          <w:szCs w:val="20"/>
        </w:rPr>
        <w:t>les</w:t>
      </w:r>
      <w:r w:rsidR="00DB1635" w:rsidRPr="00B004EE">
        <w:rPr>
          <w:rFonts w:ascii="Tahoma" w:hAnsi="Tahoma" w:cs="Tahoma"/>
          <w:bCs/>
          <w:sz w:val="20"/>
          <w:szCs w:val="20"/>
        </w:rPr>
        <w:t xml:space="preserve"> </w:t>
      </w:r>
      <w:r w:rsidRPr="00B004EE">
        <w:rPr>
          <w:rFonts w:ascii="Tahoma" w:hAnsi="Tahoma" w:cs="Tahoma"/>
          <w:bCs/>
          <w:sz w:val="20"/>
          <w:szCs w:val="20"/>
        </w:rPr>
        <w:t>mesures</w:t>
      </w:r>
      <w:r w:rsidR="00DB1635" w:rsidRPr="00B004EE">
        <w:rPr>
          <w:rFonts w:ascii="Tahoma" w:hAnsi="Tahoma" w:cs="Tahoma"/>
          <w:bCs/>
          <w:sz w:val="20"/>
          <w:szCs w:val="20"/>
        </w:rPr>
        <w:t xml:space="preserve"> </w:t>
      </w:r>
      <w:r w:rsidRPr="00B004EE">
        <w:rPr>
          <w:rFonts w:ascii="Tahoma" w:hAnsi="Tahoma" w:cs="Tahoma"/>
          <w:bCs/>
          <w:sz w:val="20"/>
          <w:szCs w:val="20"/>
        </w:rPr>
        <w:t>faites</w:t>
      </w:r>
      <w:r w:rsidR="00DB1635" w:rsidRPr="00B004EE">
        <w:rPr>
          <w:rFonts w:ascii="Tahoma" w:hAnsi="Tahoma" w:cs="Tahoma"/>
          <w:bCs/>
          <w:sz w:val="20"/>
          <w:szCs w:val="20"/>
        </w:rPr>
        <w:t xml:space="preserve"> </w:t>
      </w:r>
      <w:r w:rsidRPr="00B004EE">
        <w:rPr>
          <w:rFonts w:ascii="Tahoma" w:hAnsi="Tahoma" w:cs="Tahoma"/>
          <w:bCs/>
          <w:sz w:val="20"/>
          <w:szCs w:val="20"/>
        </w:rPr>
        <w:t>avec</w:t>
      </w:r>
      <w:r w:rsidR="00DB1635" w:rsidRPr="00B004EE">
        <w:rPr>
          <w:rFonts w:ascii="Tahoma" w:hAnsi="Tahoma" w:cs="Tahoma"/>
          <w:bCs/>
          <w:sz w:val="20"/>
          <w:szCs w:val="20"/>
        </w:rPr>
        <w:t xml:space="preserve"> </w:t>
      </w:r>
      <w:r w:rsidRPr="00B004EE">
        <w:rPr>
          <w:rFonts w:ascii="Tahoma" w:hAnsi="Tahoma" w:cs="Tahoma"/>
          <w:bCs/>
          <w:sz w:val="20"/>
          <w:szCs w:val="20"/>
        </w:rPr>
        <w:t>la</w:t>
      </w:r>
      <w:r w:rsidR="00DB1635" w:rsidRPr="00B004EE">
        <w:rPr>
          <w:rFonts w:ascii="Tahoma" w:hAnsi="Tahoma" w:cs="Tahoma"/>
          <w:bCs/>
          <w:sz w:val="20"/>
          <w:szCs w:val="20"/>
        </w:rPr>
        <w:t xml:space="preserve"> </w:t>
      </w:r>
      <w:r w:rsidRPr="00B004EE">
        <w:rPr>
          <w:rFonts w:ascii="Tahoma" w:hAnsi="Tahoma" w:cs="Tahoma"/>
          <w:bCs/>
          <w:sz w:val="20"/>
          <w:szCs w:val="20"/>
        </w:rPr>
        <w:t>jauge</w:t>
      </w:r>
      <w:r w:rsidR="00DB1635" w:rsidRPr="00B004EE">
        <w:rPr>
          <w:rFonts w:ascii="Tahoma" w:hAnsi="Tahoma" w:cs="Tahoma"/>
          <w:bCs/>
          <w:sz w:val="20"/>
          <w:szCs w:val="20"/>
        </w:rPr>
        <w:t xml:space="preserve"> </w:t>
      </w:r>
      <w:r w:rsidRPr="00B004EE">
        <w:rPr>
          <w:rFonts w:ascii="Tahoma" w:hAnsi="Tahoma" w:cs="Tahoma"/>
          <w:bCs/>
          <w:sz w:val="20"/>
          <w:szCs w:val="20"/>
        </w:rPr>
        <w:t>triangulaire</w:t>
      </w:r>
      <w:r w:rsidR="00DB1635" w:rsidRPr="00B004EE">
        <w:rPr>
          <w:rFonts w:ascii="Tahoma" w:hAnsi="Tahoma" w:cs="Tahoma"/>
          <w:bCs/>
          <w:sz w:val="20"/>
          <w:szCs w:val="20"/>
        </w:rPr>
        <w:t xml:space="preserve"> </w:t>
      </w:r>
      <w:r w:rsidRPr="00B004EE">
        <w:rPr>
          <w:rFonts w:ascii="Tahoma" w:hAnsi="Tahoma" w:cs="Tahoma"/>
          <w:bCs/>
          <w:sz w:val="20"/>
          <w:szCs w:val="20"/>
        </w:rPr>
        <w:t>;</w:t>
      </w:r>
    </w:p>
    <w:p w14:paraId="5ADFCC77" w14:textId="42028EE8" w:rsidR="008518B0" w:rsidRPr="00B004EE" w:rsidRDefault="008518B0" w:rsidP="00420DDA">
      <w:pPr>
        <w:numPr>
          <w:ilvl w:val="0"/>
          <w:numId w:val="50"/>
        </w:numPr>
        <w:tabs>
          <w:tab w:val="clear" w:pos="360"/>
          <w:tab w:val="num" w:pos="717"/>
        </w:tabs>
        <w:ind w:left="567" w:hanging="357"/>
        <w:jc w:val="both"/>
        <w:rPr>
          <w:rFonts w:ascii="Tahoma" w:hAnsi="Tahoma" w:cs="Tahoma"/>
          <w:sz w:val="20"/>
          <w:szCs w:val="20"/>
        </w:rPr>
      </w:pP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dimension</w:t>
      </w:r>
      <w:r w:rsidR="00DB1635" w:rsidRPr="00B004EE">
        <w:rPr>
          <w:rFonts w:ascii="Tahoma" w:hAnsi="Tahoma" w:cs="Tahoma"/>
          <w:sz w:val="20"/>
          <w:szCs w:val="20"/>
        </w:rPr>
        <w:t xml:space="preserve"> </w:t>
      </w:r>
      <w:r w:rsidRPr="00B004EE">
        <w:rPr>
          <w:rFonts w:ascii="Tahoma" w:hAnsi="Tahoma" w:cs="Tahoma"/>
          <w:sz w:val="20"/>
          <w:szCs w:val="20"/>
        </w:rPr>
        <w:t>retenue</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mailles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partie</w:t>
      </w:r>
      <w:r w:rsidR="00DB1635" w:rsidRPr="00B004EE">
        <w:rPr>
          <w:rFonts w:ascii="Tahoma" w:hAnsi="Tahoma" w:cs="Tahoma"/>
          <w:sz w:val="20"/>
          <w:szCs w:val="20"/>
        </w:rPr>
        <w:t xml:space="preserve"> </w:t>
      </w:r>
      <w:r w:rsidRPr="00B004EE">
        <w:rPr>
          <w:rFonts w:ascii="Tahoma" w:hAnsi="Tahoma" w:cs="Tahoma"/>
          <w:sz w:val="20"/>
          <w:szCs w:val="20"/>
        </w:rPr>
        <w:t>inférieure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poche</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chalut</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moyenne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mesures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vingt-cinq</w:t>
      </w:r>
      <w:r w:rsidR="00DB1635" w:rsidRPr="00B004EE">
        <w:rPr>
          <w:rFonts w:ascii="Tahoma" w:hAnsi="Tahoma" w:cs="Tahoma"/>
          <w:sz w:val="20"/>
          <w:szCs w:val="20"/>
        </w:rPr>
        <w:t xml:space="preserve"> </w:t>
      </w:r>
      <w:r w:rsidRPr="00B004EE">
        <w:rPr>
          <w:rFonts w:ascii="Tahoma" w:hAnsi="Tahoma" w:cs="Tahoma"/>
          <w:sz w:val="20"/>
          <w:szCs w:val="20"/>
        </w:rPr>
        <w:t>(25)</w:t>
      </w:r>
      <w:r w:rsidR="00DB1635" w:rsidRPr="00B004EE">
        <w:rPr>
          <w:rFonts w:ascii="Tahoma" w:hAnsi="Tahoma" w:cs="Tahoma"/>
          <w:sz w:val="20"/>
          <w:szCs w:val="20"/>
        </w:rPr>
        <w:t xml:space="preserve"> </w:t>
      </w:r>
      <w:r w:rsidRPr="00B004EE">
        <w:rPr>
          <w:rFonts w:ascii="Tahoma" w:hAnsi="Tahoma" w:cs="Tahoma"/>
          <w:sz w:val="20"/>
          <w:szCs w:val="20"/>
        </w:rPr>
        <w:t>mailles</w:t>
      </w:r>
      <w:r w:rsidR="00DB1635" w:rsidRPr="00B004EE">
        <w:rPr>
          <w:rFonts w:ascii="Tahoma" w:hAnsi="Tahoma" w:cs="Tahoma"/>
          <w:sz w:val="20"/>
          <w:szCs w:val="20"/>
        </w:rPr>
        <w:t xml:space="preserve"> </w:t>
      </w:r>
      <w:r w:rsidRPr="00B004EE">
        <w:rPr>
          <w:rFonts w:ascii="Tahoma" w:hAnsi="Tahoma" w:cs="Tahoma"/>
          <w:sz w:val="20"/>
          <w:szCs w:val="20"/>
        </w:rPr>
        <w:t>consécutives</w:t>
      </w:r>
      <w:r w:rsidR="00DB1635" w:rsidRPr="00B004EE">
        <w:rPr>
          <w:rFonts w:ascii="Tahoma" w:hAnsi="Tahoma" w:cs="Tahoma"/>
          <w:sz w:val="20"/>
          <w:szCs w:val="20"/>
        </w:rPr>
        <w:t xml:space="preserve"> </w:t>
      </w:r>
      <w:r w:rsidRPr="00B004EE">
        <w:rPr>
          <w:rFonts w:ascii="Tahoma" w:hAnsi="Tahoma" w:cs="Tahoma"/>
          <w:sz w:val="20"/>
          <w:szCs w:val="20"/>
        </w:rPr>
        <w:t>situées</w:t>
      </w:r>
      <w:r w:rsidR="00DB1635" w:rsidRPr="00B004EE">
        <w:rPr>
          <w:rFonts w:ascii="Tahoma" w:hAnsi="Tahoma" w:cs="Tahoma"/>
          <w:sz w:val="20"/>
          <w:szCs w:val="20"/>
        </w:rPr>
        <w:t xml:space="preserve"> </w:t>
      </w:r>
      <w:r w:rsidRPr="00B004EE">
        <w:rPr>
          <w:rFonts w:ascii="Tahoma" w:hAnsi="Tahoma" w:cs="Tahoma"/>
          <w:sz w:val="20"/>
          <w:szCs w:val="20"/>
        </w:rPr>
        <w:t>sur</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dessus,</w:t>
      </w:r>
      <w:r w:rsidR="00DB1635" w:rsidRPr="00B004EE">
        <w:rPr>
          <w:rFonts w:ascii="Tahoma" w:hAnsi="Tahoma" w:cs="Tahoma"/>
          <w:sz w:val="20"/>
          <w:szCs w:val="20"/>
        </w:rPr>
        <w:t xml:space="preserve"> </w:t>
      </w:r>
      <w:r w:rsidRPr="00B004EE">
        <w:rPr>
          <w:rFonts w:ascii="Tahoma" w:hAnsi="Tahoma" w:cs="Tahoma"/>
          <w:sz w:val="20"/>
          <w:szCs w:val="20"/>
        </w:rPr>
        <w:t>parallèlement</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l'axe</w:t>
      </w:r>
      <w:r w:rsidR="00DB1635" w:rsidRPr="00B004EE">
        <w:rPr>
          <w:rFonts w:ascii="Tahoma" w:hAnsi="Tahoma" w:cs="Tahoma"/>
          <w:sz w:val="20"/>
          <w:szCs w:val="20"/>
        </w:rPr>
        <w:t xml:space="preserve"> </w:t>
      </w:r>
      <w:r w:rsidRPr="00B004EE">
        <w:rPr>
          <w:rFonts w:ascii="Tahoma" w:hAnsi="Tahoma" w:cs="Tahoma"/>
          <w:sz w:val="20"/>
          <w:szCs w:val="20"/>
        </w:rPr>
        <w:t>longitudinal</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commençant</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l'extrémité</w:t>
      </w:r>
      <w:r w:rsidR="00DB1635" w:rsidRPr="00B004EE">
        <w:rPr>
          <w:rFonts w:ascii="Tahoma" w:hAnsi="Tahoma" w:cs="Tahoma"/>
          <w:sz w:val="20"/>
          <w:szCs w:val="20"/>
        </w:rPr>
        <w:t xml:space="preserve"> </w:t>
      </w:r>
      <w:r w:rsidRPr="00B004EE">
        <w:rPr>
          <w:rFonts w:ascii="Tahoma" w:hAnsi="Tahoma" w:cs="Tahoma"/>
          <w:sz w:val="20"/>
          <w:szCs w:val="20"/>
        </w:rPr>
        <w:t>postérieure,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distance</w:t>
      </w:r>
      <w:r w:rsidR="00DB1635" w:rsidRPr="00B004EE">
        <w:rPr>
          <w:rFonts w:ascii="Tahoma" w:hAnsi="Tahoma" w:cs="Tahoma"/>
          <w:sz w:val="20"/>
          <w:szCs w:val="20"/>
        </w:rPr>
        <w:t xml:space="preserve"> </w:t>
      </w:r>
      <w:r w:rsidRPr="00B004EE">
        <w:rPr>
          <w:rFonts w:ascii="Tahoma" w:hAnsi="Tahoma" w:cs="Tahoma"/>
          <w:sz w:val="20"/>
          <w:szCs w:val="20"/>
        </w:rPr>
        <w:t>d'au</w:t>
      </w:r>
      <w:r w:rsidR="00DB1635" w:rsidRPr="00B004EE">
        <w:rPr>
          <w:rFonts w:ascii="Tahoma" w:hAnsi="Tahoma" w:cs="Tahoma"/>
          <w:sz w:val="20"/>
          <w:szCs w:val="20"/>
        </w:rPr>
        <w:t xml:space="preserve"> </w:t>
      </w:r>
      <w:r w:rsidRPr="00B004EE">
        <w:rPr>
          <w:rFonts w:ascii="Tahoma" w:hAnsi="Tahoma" w:cs="Tahoma"/>
          <w:sz w:val="20"/>
          <w:szCs w:val="20"/>
        </w:rPr>
        <w:t>moins</w:t>
      </w:r>
      <w:r w:rsidR="00DB1635" w:rsidRPr="00B004EE">
        <w:rPr>
          <w:rFonts w:ascii="Tahoma" w:hAnsi="Tahoma" w:cs="Tahoma"/>
          <w:sz w:val="20"/>
          <w:szCs w:val="20"/>
        </w:rPr>
        <w:t xml:space="preserve"> </w:t>
      </w:r>
      <w:r w:rsidRPr="00B004EE">
        <w:rPr>
          <w:rFonts w:ascii="Tahoma" w:hAnsi="Tahoma" w:cs="Tahoma"/>
          <w:sz w:val="20"/>
          <w:szCs w:val="20"/>
        </w:rPr>
        <w:t>cinq</w:t>
      </w:r>
      <w:r w:rsidR="00DB1635" w:rsidRPr="00B004EE">
        <w:rPr>
          <w:rFonts w:ascii="Tahoma" w:hAnsi="Tahoma" w:cs="Tahoma"/>
          <w:sz w:val="20"/>
          <w:szCs w:val="20"/>
        </w:rPr>
        <w:t xml:space="preserve"> </w:t>
      </w:r>
      <w:r w:rsidRPr="00B004EE">
        <w:rPr>
          <w:rFonts w:ascii="Tahoma" w:hAnsi="Tahoma" w:cs="Tahoma"/>
          <w:sz w:val="20"/>
          <w:szCs w:val="20"/>
        </w:rPr>
        <w:t>(5)</w:t>
      </w:r>
      <w:r w:rsidR="00DB1635" w:rsidRPr="00B004EE">
        <w:rPr>
          <w:rFonts w:ascii="Tahoma" w:hAnsi="Tahoma" w:cs="Tahoma"/>
          <w:sz w:val="20"/>
          <w:szCs w:val="20"/>
        </w:rPr>
        <w:t xml:space="preserve"> </w:t>
      </w:r>
      <w:r w:rsidRPr="00B004EE">
        <w:rPr>
          <w:rFonts w:ascii="Tahoma" w:hAnsi="Tahoma" w:cs="Tahoma"/>
          <w:sz w:val="20"/>
          <w:szCs w:val="20"/>
        </w:rPr>
        <w:t>mailles</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avant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cette</w:t>
      </w:r>
      <w:r w:rsidR="00DB1635" w:rsidRPr="00B004EE">
        <w:rPr>
          <w:rFonts w:ascii="Tahoma" w:hAnsi="Tahoma" w:cs="Tahoma"/>
          <w:sz w:val="20"/>
          <w:szCs w:val="20"/>
        </w:rPr>
        <w:t xml:space="preserve"> </w:t>
      </w:r>
      <w:r w:rsidRPr="00B004EE">
        <w:rPr>
          <w:rFonts w:ascii="Tahoma" w:hAnsi="Tahoma" w:cs="Tahoma"/>
          <w:sz w:val="20"/>
          <w:szCs w:val="20"/>
        </w:rPr>
        <w:t>extrémité</w:t>
      </w:r>
      <w:r w:rsidR="00DB1635" w:rsidRPr="00B004EE">
        <w:rPr>
          <w:rFonts w:ascii="Tahoma" w:hAnsi="Tahoma" w:cs="Tahoma"/>
          <w:sz w:val="20"/>
          <w:szCs w:val="20"/>
        </w:rPr>
        <w:t xml:space="preserve"> </w:t>
      </w:r>
      <w:r w:rsidRPr="00B004EE">
        <w:rPr>
          <w:rFonts w:ascii="Tahoma" w:hAnsi="Tahoma" w:cs="Tahoma"/>
          <w:sz w:val="20"/>
          <w:szCs w:val="20"/>
        </w:rPr>
        <w:t>;</w:t>
      </w:r>
    </w:p>
    <w:p w14:paraId="56B3DFF9" w14:textId="1355CF93" w:rsidR="008518B0" w:rsidRPr="00B004EE" w:rsidRDefault="008518B0" w:rsidP="00420DDA">
      <w:pPr>
        <w:pStyle w:val="Retraitcorpsdetexte"/>
        <w:numPr>
          <w:ilvl w:val="0"/>
          <w:numId w:val="50"/>
        </w:numPr>
        <w:tabs>
          <w:tab w:val="clear" w:pos="360"/>
          <w:tab w:val="left" w:pos="0"/>
          <w:tab w:val="num" w:pos="717"/>
        </w:tabs>
        <w:autoSpaceDE/>
        <w:autoSpaceDN/>
        <w:adjustRightInd/>
        <w:ind w:left="567" w:hanging="357"/>
        <w:rPr>
          <w:rFonts w:ascii="Tahoma" w:hAnsi="Tahoma" w:cs="Tahoma"/>
          <w:bCs/>
          <w:sz w:val="20"/>
          <w:szCs w:val="20"/>
        </w:rPr>
      </w:pPr>
      <w:r w:rsidRPr="00B004EE">
        <w:rPr>
          <w:rFonts w:ascii="Tahoma" w:hAnsi="Tahoma" w:cs="Tahoma"/>
          <w:bCs/>
          <w:sz w:val="20"/>
          <w:szCs w:val="20"/>
        </w:rPr>
        <w:t>La</w:t>
      </w:r>
      <w:r w:rsidR="00DB1635" w:rsidRPr="00B004EE">
        <w:rPr>
          <w:rFonts w:ascii="Tahoma" w:hAnsi="Tahoma" w:cs="Tahoma"/>
          <w:bCs/>
          <w:sz w:val="20"/>
          <w:szCs w:val="20"/>
        </w:rPr>
        <w:t xml:space="preserve"> </w:t>
      </w:r>
      <w:r w:rsidRPr="00B004EE">
        <w:rPr>
          <w:rFonts w:ascii="Tahoma" w:hAnsi="Tahoma" w:cs="Tahoma"/>
          <w:bCs/>
          <w:sz w:val="20"/>
          <w:szCs w:val="20"/>
        </w:rPr>
        <w:t>série</w:t>
      </w:r>
      <w:r w:rsidR="00DB1635" w:rsidRPr="00B004EE">
        <w:rPr>
          <w:rFonts w:ascii="Tahoma" w:hAnsi="Tahoma" w:cs="Tahoma"/>
          <w:bCs/>
          <w:sz w:val="20"/>
          <w:szCs w:val="20"/>
        </w:rPr>
        <w:t xml:space="preserve"> </w:t>
      </w:r>
      <w:r w:rsidRPr="00B004EE">
        <w:rPr>
          <w:rFonts w:ascii="Tahoma" w:hAnsi="Tahoma" w:cs="Tahoma"/>
          <w:bCs/>
          <w:sz w:val="20"/>
          <w:szCs w:val="20"/>
        </w:rPr>
        <w:t>mesurée</w:t>
      </w:r>
      <w:r w:rsidR="00DB1635" w:rsidRPr="00B004EE">
        <w:rPr>
          <w:rFonts w:ascii="Tahoma" w:hAnsi="Tahoma" w:cs="Tahoma"/>
          <w:bCs/>
          <w:sz w:val="20"/>
          <w:szCs w:val="20"/>
        </w:rPr>
        <w:t xml:space="preserve"> </w:t>
      </w:r>
      <w:r w:rsidRPr="00B004EE">
        <w:rPr>
          <w:rFonts w:ascii="Tahoma" w:hAnsi="Tahoma" w:cs="Tahoma"/>
          <w:bCs/>
          <w:sz w:val="20"/>
          <w:szCs w:val="20"/>
        </w:rPr>
        <w:t>ne</w:t>
      </w:r>
      <w:r w:rsidR="00DB1635" w:rsidRPr="00B004EE">
        <w:rPr>
          <w:rFonts w:ascii="Tahoma" w:hAnsi="Tahoma" w:cs="Tahoma"/>
          <w:bCs/>
          <w:sz w:val="20"/>
          <w:szCs w:val="20"/>
        </w:rPr>
        <w:t xml:space="preserve"> </w:t>
      </w:r>
      <w:r w:rsidRPr="00B004EE">
        <w:rPr>
          <w:rFonts w:ascii="Tahoma" w:hAnsi="Tahoma" w:cs="Tahoma"/>
          <w:bCs/>
          <w:sz w:val="20"/>
          <w:szCs w:val="20"/>
        </w:rPr>
        <w:t>doit</w:t>
      </w:r>
      <w:r w:rsidR="00DB1635" w:rsidRPr="00B004EE">
        <w:rPr>
          <w:rFonts w:ascii="Tahoma" w:hAnsi="Tahoma" w:cs="Tahoma"/>
          <w:bCs/>
          <w:sz w:val="20"/>
          <w:szCs w:val="20"/>
        </w:rPr>
        <w:t xml:space="preserve"> </w:t>
      </w:r>
      <w:r w:rsidRPr="00B004EE">
        <w:rPr>
          <w:rFonts w:ascii="Tahoma" w:hAnsi="Tahoma" w:cs="Tahoma"/>
          <w:bCs/>
          <w:sz w:val="20"/>
          <w:szCs w:val="20"/>
        </w:rPr>
        <w:t>pas</w:t>
      </w:r>
      <w:r w:rsidR="00DB1635" w:rsidRPr="00B004EE">
        <w:rPr>
          <w:rFonts w:ascii="Tahoma" w:hAnsi="Tahoma" w:cs="Tahoma"/>
          <w:bCs/>
          <w:sz w:val="20"/>
          <w:szCs w:val="20"/>
        </w:rPr>
        <w:t xml:space="preserve"> </w:t>
      </w:r>
      <w:r w:rsidRPr="00B004EE">
        <w:rPr>
          <w:rFonts w:ascii="Tahoma" w:hAnsi="Tahoma" w:cs="Tahoma"/>
          <w:bCs/>
          <w:sz w:val="20"/>
          <w:szCs w:val="20"/>
        </w:rPr>
        <w:t>être</w:t>
      </w:r>
      <w:r w:rsidR="00DB1635" w:rsidRPr="00B004EE">
        <w:rPr>
          <w:rFonts w:ascii="Tahoma" w:hAnsi="Tahoma" w:cs="Tahoma"/>
          <w:bCs/>
          <w:sz w:val="20"/>
          <w:szCs w:val="20"/>
        </w:rPr>
        <w:t xml:space="preserve"> </w:t>
      </w:r>
      <w:r w:rsidRPr="00B004EE">
        <w:rPr>
          <w:rFonts w:ascii="Tahoma" w:hAnsi="Tahoma" w:cs="Tahoma"/>
          <w:bCs/>
          <w:sz w:val="20"/>
          <w:szCs w:val="20"/>
        </w:rPr>
        <w:t>proche</w:t>
      </w:r>
      <w:r w:rsidR="00DB1635" w:rsidRPr="00B004EE">
        <w:rPr>
          <w:rFonts w:ascii="Tahoma" w:hAnsi="Tahoma" w:cs="Tahoma"/>
          <w:bCs/>
          <w:sz w:val="20"/>
          <w:szCs w:val="20"/>
        </w:rPr>
        <w:t xml:space="preserve"> </w:t>
      </w:r>
      <w:r w:rsidRPr="00B004EE">
        <w:rPr>
          <w:rFonts w:ascii="Tahoma" w:hAnsi="Tahoma" w:cs="Tahoma"/>
          <w:bCs/>
          <w:sz w:val="20"/>
          <w:szCs w:val="20"/>
        </w:rPr>
        <w:t>des</w:t>
      </w:r>
      <w:r w:rsidR="00DB1635" w:rsidRPr="00B004EE">
        <w:rPr>
          <w:rFonts w:ascii="Tahoma" w:hAnsi="Tahoma" w:cs="Tahoma"/>
          <w:bCs/>
          <w:sz w:val="20"/>
          <w:szCs w:val="20"/>
        </w:rPr>
        <w:t xml:space="preserve"> </w:t>
      </w:r>
      <w:r w:rsidRPr="00B004EE">
        <w:rPr>
          <w:rFonts w:ascii="Tahoma" w:hAnsi="Tahoma" w:cs="Tahoma"/>
          <w:bCs/>
          <w:sz w:val="20"/>
          <w:szCs w:val="20"/>
        </w:rPr>
        <w:t>lisières</w:t>
      </w:r>
      <w:r w:rsidR="00DB1635" w:rsidRPr="00B004EE">
        <w:rPr>
          <w:rFonts w:ascii="Tahoma" w:hAnsi="Tahoma" w:cs="Tahoma"/>
          <w:bCs/>
          <w:sz w:val="20"/>
          <w:szCs w:val="20"/>
        </w:rPr>
        <w:t xml:space="preserve"> </w:t>
      </w:r>
      <w:r w:rsidRPr="00B004EE">
        <w:rPr>
          <w:rFonts w:ascii="Tahoma" w:hAnsi="Tahoma" w:cs="Tahoma"/>
          <w:bCs/>
          <w:sz w:val="20"/>
          <w:szCs w:val="20"/>
        </w:rPr>
        <w:t>et</w:t>
      </w:r>
      <w:r w:rsidR="00DB1635" w:rsidRPr="00B004EE">
        <w:rPr>
          <w:rFonts w:ascii="Tahoma" w:hAnsi="Tahoma" w:cs="Tahoma"/>
          <w:bCs/>
          <w:sz w:val="20"/>
          <w:szCs w:val="20"/>
        </w:rPr>
        <w:t xml:space="preserve"> </w:t>
      </w:r>
      <w:r w:rsidRPr="00B004EE">
        <w:rPr>
          <w:rFonts w:ascii="Tahoma" w:hAnsi="Tahoma" w:cs="Tahoma"/>
          <w:bCs/>
          <w:sz w:val="20"/>
          <w:szCs w:val="20"/>
        </w:rPr>
        <w:t>les</w:t>
      </w:r>
      <w:r w:rsidR="00DB1635" w:rsidRPr="00B004EE">
        <w:rPr>
          <w:rFonts w:ascii="Tahoma" w:hAnsi="Tahoma" w:cs="Tahoma"/>
          <w:bCs/>
          <w:sz w:val="20"/>
          <w:szCs w:val="20"/>
        </w:rPr>
        <w:t xml:space="preserve"> </w:t>
      </w:r>
      <w:r w:rsidRPr="00B004EE">
        <w:rPr>
          <w:rFonts w:ascii="Tahoma" w:hAnsi="Tahoma" w:cs="Tahoma"/>
          <w:bCs/>
          <w:sz w:val="20"/>
          <w:szCs w:val="20"/>
        </w:rPr>
        <w:t>mailles</w:t>
      </w:r>
      <w:r w:rsidR="00DB1635" w:rsidRPr="00B004EE">
        <w:rPr>
          <w:rFonts w:ascii="Tahoma" w:hAnsi="Tahoma" w:cs="Tahoma"/>
          <w:bCs/>
          <w:sz w:val="20"/>
          <w:szCs w:val="20"/>
        </w:rPr>
        <w:t xml:space="preserve"> </w:t>
      </w:r>
      <w:r w:rsidRPr="00B004EE">
        <w:rPr>
          <w:rFonts w:ascii="Tahoma" w:hAnsi="Tahoma" w:cs="Tahoma"/>
          <w:bCs/>
          <w:sz w:val="20"/>
          <w:szCs w:val="20"/>
        </w:rPr>
        <w:t>voisines</w:t>
      </w:r>
      <w:r w:rsidR="00DB1635" w:rsidRPr="00B004EE">
        <w:rPr>
          <w:rFonts w:ascii="Tahoma" w:hAnsi="Tahoma" w:cs="Tahoma"/>
          <w:bCs/>
          <w:sz w:val="20"/>
          <w:szCs w:val="20"/>
        </w:rPr>
        <w:t xml:space="preserve"> </w:t>
      </w:r>
      <w:r w:rsidRPr="00B004EE">
        <w:rPr>
          <w:rFonts w:ascii="Tahoma" w:hAnsi="Tahoma" w:cs="Tahoma"/>
          <w:bCs/>
          <w:sz w:val="20"/>
          <w:szCs w:val="20"/>
        </w:rPr>
        <w:t>des</w:t>
      </w:r>
      <w:r w:rsidR="00DB1635" w:rsidRPr="00B004EE">
        <w:rPr>
          <w:rFonts w:ascii="Tahoma" w:hAnsi="Tahoma" w:cs="Tahoma"/>
          <w:bCs/>
          <w:sz w:val="20"/>
          <w:szCs w:val="20"/>
        </w:rPr>
        <w:t xml:space="preserve"> </w:t>
      </w:r>
      <w:r w:rsidRPr="00B004EE">
        <w:rPr>
          <w:rFonts w:ascii="Tahoma" w:hAnsi="Tahoma" w:cs="Tahoma"/>
          <w:bCs/>
          <w:sz w:val="20"/>
          <w:szCs w:val="20"/>
        </w:rPr>
        <w:t>ralingues</w:t>
      </w:r>
      <w:r w:rsidR="00DB1635" w:rsidRPr="00B004EE">
        <w:rPr>
          <w:rFonts w:ascii="Tahoma" w:hAnsi="Tahoma" w:cs="Tahoma"/>
          <w:bCs/>
          <w:sz w:val="20"/>
          <w:szCs w:val="20"/>
        </w:rPr>
        <w:t xml:space="preserve"> </w:t>
      </w:r>
      <w:r w:rsidRPr="00B004EE">
        <w:rPr>
          <w:rFonts w:ascii="Tahoma" w:hAnsi="Tahoma" w:cs="Tahoma"/>
          <w:bCs/>
          <w:sz w:val="20"/>
          <w:szCs w:val="20"/>
        </w:rPr>
        <w:t>ou</w:t>
      </w:r>
      <w:r w:rsidR="00DB1635" w:rsidRPr="00B004EE">
        <w:rPr>
          <w:rFonts w:ascii="Tahoma" w:hAnsi="Tahoma" w:cs="Tahoma"/>
          <w:bCs/>
          <w:sz w:val="20"/>
          <w:szCs w:val="20"/>
        </w:rPr>
        <w:t xml:space="preserve"> </w:t>
      </w:r>
      <w:r w:rsidRPr="00B004EE">
        <w:rPr>
          <w:rFonts w:ascii="Tahoma" w:hAnsi="Tahoma" w:cs="Tahoma"/>
          <w:bCs/>
          <w:sz w:val="20"/>
          <w:szCs w:val="20"/>
        </w:rPr>
        <w:t>des</w:t>
      </w:r>
      <w:r w:rsidR="00DB1635" w:rsidRPr="00B004EE">
        <w:rPr>
          <w:rFonts w:ascii="Tahoma" w:hAnsi="Tahoma" w:cs="Tahoma"/>
          <w:bCs/>
          <w:sz w:val="20"/>
          <w:szCs w:val="20"/>
        </w:rPr>
        <w:t xml:space="preserve"> </w:t>
      </w:r>
      <w:r w:rsidRPr="00B004EE">
        <w:rPr>
          <w:rFonts w:ascii="Tahoma" w:hAnsi="Tahoma" w:cs="Tahoma"/>
          <w:bCs/>
          <w:sz w:val="20"/>
          <w:szCs w:val="20"/>
        </w:rPr>
        <w:t>coutures</w:t>
      </w:r>
      <w:r w:rsidR="00DB1635" w:rsidRPr="00B004EE">
        <w:rPr>
          <w:rFonts w:ascii="Tahoma" w:hAnsi="Tahoma" w:cs="Tahoma"/>
          <w:bCs/>
          <w:sz w:val="20"/>
          <w:szCs w:val="20"/>
        </w:rPr>
        <w:t xml:space="preserve"> </w:t>
      </w:r>
      <w:r w:rsidRPr="00B004EE">
        <w:rPr>
          <w:rFonts w:ascii="Tahoma" w:hAnsi="Tahoma" w:cs="Tahoma"/>
          <w:bCs/>
          <w:sz w:val="20"/>
          <w:szCs w:val="20"/>
        </w:rPr>
        <w:t>ne</w:t>
      </w:r>
      <w:r w:rsidR="00DB1635" w:rsidRPr="00B004EE">
        <w:rPr>
          <w:rFonts w:ascii="Tahoma" w:hAnsi="Tahoma" w:cs="Tahoma"/>
          <w:bCs/>
          <w:sz w:val="20"/>
          <w:szCs w:val="20"/>
        </w:rPr>
        <w:t xml:space="preserve"> </w:t>
      </w:r>
      <w:r w:rsidRPr="00B004EE">
        <w:rPr>
          <w:rFonts w:ascii="Tahoma" w:hAnsi="Tahoma" w:cs="Tahoma"/>
          <w:bCs/>
          <w:sz w:val="20"/>
          <w:szCs w:val="20"/>
        </w:rPr>
        <w:t>seront</w:t>
      </w:r>
      <w:r w:rsidR="00DB1635" w:rsidRPr="00B004EE">
        <w:rPr>
          <w:rFonts w:ascii="Tahoma" w:hAnsi="Tahoma" w:cs="Tahoma"/>
          <w:bCs/>
          <w:sz w:val="20"/>
          <w:szCs w:val="20"/>
        </w:rPr>
        <w:t xml:space="preserve"> </w:t>
      </w:r>
      <w:r w:rsidRPr="00B004EE">
        <w:rPr>
          <w:rFonts w:ascii="Tahoma" w:hAnsi="Tahoma" w:cs="Tahoma"/>
          <w:bCs/>
          <w:sz w:val="20"/>
          <w:szCs w:val="20"/>
        </w:rPr>
        <w:t>pas</w:t>
      </w:r>
      <w:r w:rsidR="00DB1635" w:rsidRPr="00B004EE">
        <w:rPr>
          <w:rFonts w:ascii="Tahoma" w:hAnsi="Tahoma" w:cs="Tahoma"/>
          <w:bCs/>
          <w:sz w:val="20"/>
          <w:szCs w:val="20"/>
        </w:rPr>
        <w:t xml:space="preserve"> </w:t>
      </w:r>
      <w:r w:rsidRPr="00B004EE">
        <w:rPr>
          <w:rFonts w:ascii="Tahoma" w:hAnsi="Tahoma" w:cs="Tahoma"/>
          <w:bCs/>
          <w:sz w:val="20"/>
          <w:szCs w:val="20"/>
        </w:rPr>
        <w:t>mesurées</w:t>
      </w:r>
      <w:r w:rsidR="00DB1635" w:rsidRPr="00B004EE">
        <w:rPr>
          <w:rFonts w:ascii="Tahoma" w:hAnsi="Tahoma" w:cs="Tahoma"/>
          <w:bCs/>
          <w:sz w:val="20"/>
          <w:szCs w:val="20"/>
        </w:rPr>
        <w:t xml:space="preserve"> </w:t>
      </w:r>
      <w:r w:rsidRPr="00B004EE">
        <w:rPr>
          <w:rFonts w:ascii="Tahoma" w:hAnsi="Tahoma" w:cs="Tahoma"/>
          <w:bCs/>
          <w:sz w:val="20"/>
          <w:szCs w:val="20"/>
        </w:rPr>
        <w:t>;</w:t>
      </w:r>
    </w:p>
    <w:p w14:paraId="4DA43F21" w14:textId="5FA39BD3" w:rsidR="008518B0" w:rsidRPr="00B004EE" w:rsidRDefault="008518B0" w:rsidP="00420DDA">
      <w:pPr>
        <w:pStyle w:val="Retraitcorpsdetexte2"/>
        <w:numPr>
          <w:ilvl w:val="0"/>
          <w:numId w:val="50"/>
        </w:numPr>
        <w:tabs>
          <w:tab w:val="clear" w:pos="360"/>
          <w:tab w:val="num" w:pos="717"/>
        </w:tabs>
        <w:ind w:left="567" w:hanging="357"/>
        <w:rPr>
          <w:rFonts w:ascii="Tahoma" w:hAnsi="Tahoma" w:cs="Tahoma"/>
          <w:color w:val="auto"/>
          <w:sz w:val="20"/>
          <w:szCs w:val="20"/>
        </w:rPr>
      </w:pPr>
      <w:r w:rsidRPr="00B004EE">
        <w:rPr>
          <w:rFonts w:ascii="Tahoma" w:hAnsi="Tahoma" w:cs="Tahoma"/>
          <w:color w:val="auto"/>
          <w:sz w:val="20"/>
          <w:szCs w:val="20"/>
        </w:rPr>
        <w:t>Dans</w:t>
      </w:r>
      <w:r w:rsidR="00DB1635" w:rsidRPr="00B004EE">
        <w:rPr>
          <w:rFonts w:ascii="Tahoma" w:hAnsi="Tahoma" w:cs="Tahoma"/>
          <w:color w:val="auto"/>
          <w:sz w:val="20"/>
          <w:szCs w:val="20"/>
        </w:rPr>
        <w:t xml:space="preserve"> </w:t>
      </w:r>
      <w:r w:rsidRPr="00B004EE">
        <w:rPr>
          <w:rFonts w:ascii="Tahoma" w:hAnsi="Tahoma" w:cs="Tahoma"/>
          <w:color w:val="auto"/>
          <w:sz w:val="20"/>
          <w:szCs w:val="20"/>
        </w:rPr>
        <w:t>le</w:t>
      </w:r>
      <w:r w:rsidR="00DB1635" w:rsidRPr="00B004EE">
        <w:rPr>
          <w:rFonts w:ascii="Tahoma" w:hAnsi="Tahoma" w:cs="Tahoma"/>
          <w:color w:val="auto"/>
          <w:sz w:val="20"/>
          <w:szCs w:val="20"/>
        </w:rPr>
        <w:t xml:space="preserve"> </w:t>
      </w:r>
      <w:r w:rsidRPr="00B004EE">
        <w:rPr>
          <w:rFonts w:ascii="Tahoma" w:hAnsi="Tahoma" w:cs="Tahoma"/>
          <w:color w:val="auto"/>
          <w:sz w:val="20"/>
          <w:szCs w:val="20"/>
        </w:rPr>
        <w:t>cas</w:t>
      </w:r>
      <w:r w:rsidR="00DB1635" w:rsidRPr="00B004EE">
        <w:rPr>
          <w:rFonts w:ascii="Tahoma" w:hAnsi="Tahoma" w:cs="Tahoma"/>
          <w:color w:val="auto"/>
          <w:sz w:val="20"/>
          <w:szCs w:val="20"/>
        </w:rPr>
        <w:t xml:space="preserve"> </w:t>
      </w:r>
      <w:r w:rsidRPr="00B004EE">
        <w:rPr>
          <w:rFonts w:ascii="Tahoma" w:hAnsi="Tahoma" w:cs="Tahoma"/>
          <w:color w:val="auto"/>
          <w:sz w:val="20"/>
          <w:szCs w:val="20"/>
        </w:rPr>
        <w:t>des</w:t>
      </w:r>
      <w:r w:rsidR="00DB1635" w:rsidRPr="00B004EE">
        <w:rPr>
          <w:rFonts w:ascii="Tahoma" w:hAnsi="Tahoma" w:cs="Tahoma"/>
          <w:color w:val="auto"/>
          <w:sz w:val="20"/>
          <w:szCs w:val="20"/>
        </w:rPr>
        <w:t xml:space="preserve"> </w:t>
      </w:r>
      <w:r w:rsidRPr="00B004EE">
        <w:rPr>
          <w:rFonts w:ascii="Tahoma" w:hAnsi="Tahoma" w:cs="Tahoma"/>
          <w:color w:val="auto"/>
          <w:sz w:val="20"/>
          <w:szCs w:val="20"/>
        </w:rPr>
        <w:t>chaluts,</w:t>
      </w:r>
      <w:r w:rsidR="00DB1635" w:rsidRPr="00B004EE">
        <w:rPr>
          <w:rFonts w:ascii="Tahoma" w:hAnsi="Tahoma" w:cs="Tahoma"/>
          <w:color w:val="auto"/>
          <w:sz w:val="20"/>
          <w:szCs w:val="20"/>
        </w:rPr>
        <w:t xml:space="preserve"> </w:t>
      </w:r>
      <w:r w:rsidRPr="00B004EE">
        <w:rPr>
          <w:rFonts w:ascii="Tahoma" w:hAnsi="Tahoma" w:cs="Tahoma"/>
          <w:color w:val="auto"/>
          <w:sz w:val="20"/>
          <w:szCs w:val="20"/>
        </w:rPr>
        <w:t>les</w:t>
      </w:r>
      <w:r w:rsidR="00DB1635" w:rsidRPr="00B004EE">
        <w:rPr>
          <w:rFonts w:ascii="Tahoma" w:hAnsi="Tahoma" w:cs="Tahoma"/>
          <w:color w:val="auto"/>
          <w:sz w:val="20"/>
          <w:szCs w:val="20"/>
        </w:rPr>
        <w:t xml:space="preserve"> </w:t>
      </w:r>
      <w:r w:rsidRPr="00B004EE">
        <w:rPr>
          <w:rFonts w:ascii="Tahoma" w:hAnsi="Tahoma" w:cs="Tahoma"/>
          <w:color w:val="auto"/>
          <w:sz w:val="20"/>
          <w:szCs w:val="20"/>
        </w:rPr>
        <w:t>mailles</w:t>
      </w:r>
      <w:r w:rsidR="00DB1635" w:rsidRPr="00B004EE">
        <w:rPr>
          <w:rFonts w:ascii="Tahoma" w:hAnsi="Tahoma" w:cs="Tahoma"/>
          <w:color w:val="auto"/>
          <w:sz w:val="20"/>
          <w:szCs w:val="20"/>
        </w:rPr>
        <w:t xml:space="preserve"> </w:t>
      </w:r>
      <w:r w:rsidRPr="00B004EE">
        <w:rPr>
          <w:rFonts w:ascii="Tahoma" w:hAnsi="Tahoma" w:cs="Tahoma"/>
          <w:color w:val="auto"/>
          <w:sz w:val="20"/>
          <w:szCs w:val="20"/>
        </w:rPr>
        <w:t>à</w:t>
      </w:r>
      <w:r w:rsidR="00DB1635" w:rsidRPr="00B004EE">
        <w:rPr>
          <w:rFonts w:ascii="Tahoma" w:hAnsi="Tahoma" w:cs="Tahoma"/>
          <w:color w:val="auto"/>
          <w:sz w:val="20"/>
          <w:szCs w:val="20"/>
        </w:rPr>
        <w:t xml:space="preserve"> </w:t>
      </w:r>
      <w:r w:rsidRPr="00B004EE">
        <w:rPr>
          <w:rFonts w:ascii="Tahoma" w:hAnsi="Tahoma" w:cs="Tahoma"/>
          <w:color w:val="auto"/>
          <w:sz w:val="20"/>
          <w:szCs w:val="20"/>
        </w:rPr>
        <w:t>mesurer</w:t>
      </w:r>
      <w:r w:rsidR="00DB1635" w:rsidRPr="00B004EE">
        <w:rPr>
          <w:rFonts w:ascii="Tahoma" w:hAnsi="Tahoma" w:cs="Tahoma"/>
          <w:color w:val="auto"/>
          <w:sz w:val="20"/>
          <w:szCs w:val="20"/>
        </w:rPr>
        <w:t xml:space="preserve"> </w:t>
      </w:r>
      <w:r w:rsidRPr="00B004EE">
        <w:rPr>
          <w:rFonts w:ascii="Tahoma" w:hAnsi="Tahoma" w:cs="Tahoma"/>
          <w:color w:val="auto"/>
          <w:sz w:val="20"/>
          <w:szCs w:val="20"/>
        </w:rPr>
        <w:t>doivent</w:t>
      </w:r>
      <w:r w:rsidR="00DB1635" w:rsidRPr="00B004EE">
        <w:rPr>
          <w:rFonts w:ascii="Tahoma" w:hAnsi="Tahoma" w:cs="Tahoma"/>
          <w:color w:val="auto"/>
          <w:sz w:val="20"/>
          <w:szCs w:val="20"/>
        </w:rPr>
        <w:t xml:space="preserve"> </w:t>
      </w:r>
      <w:r w:rsidRPr="00B004EE">
        <w:rPr>
          <w:rFonts w:ascii="Tahoma" w:hAnsi="Tahoma" w:cs="Tahoma"/>
          <w:color w:val="auto"/>
          <w:sz w:val="20"/>
          <w:szCs w:val="20"/>
        </w:rPr>
        <w:t>être</w:t>
      </w:r>
      <w:r w:rsidR="00DB1635" w:rsidRPr="00B004EE">
        <w:rPr>
          <w:rFonts w:ascii="Tahoma" w:hAnsi="Tahoma" w:cs="Tahoma"/>
          <w:color w:val="auto"/>
          <w:sz w:val="20"/>
          <w:szCs w:val="20"/>
        </w:rPr>
        <w:t xml:space="preserve"> </w:t>
      </w:r>
      <w:r w:rsidRPr="00B004EE">
        <w:rPr>
          <w:rFonts w:ascii="Tahoma" w:hAnsi="Tahoma" w:cs="Tahoma"/>
          <w:color w:val="auto"/>
          <w:sz w:val="20"/>
          <w:szCs w:val="20"/>
        </w:rPr>
        <w:t>situées</w:t>
      </w:r>
      <w:r w:rsidR="00DB1635" w:rsidRPr="00B004EE">
        <w:rPr>
          <w:rFonts w:ascii="Tahoma" w:hAnsi="Tahoma" w:cs="Tahoma"/>
          <w:color w:val="auto"/>
          <w:sz w:val="20"/>
          <w:szCs w:val="20"/>
        </w:rPr>
        <w:t xml:space="preserve"> </w:t>
      </w:r>
      <w:r w:rsidRPr="00B004EE">
        <w:rPr>
          <w:rFonts w:ascii="Tahoma" w:hAnsi="Tahoma" w:cs="Tahoma"/>
          <w:color w:val="auto"/>
          <w:sz w:val="20"/>
          <w:szCs w:val="20"/>
        </w:rPr>
        <w:t>sur</w:t>
      </w:r>
      <w:r w:rsidR="00DB1635" w:rsidRPr="00B004EE">
        <w:rPr>
          <w:rFonts w:ascii="Tahoma" w:hAnsi="Tahoma" w:cs="Tahoma"/>
          <w:color w:val="auto"/>
          <w:sz w:val="20"/>
          <w:szCs w:val="20"/>
        </w:rPr>
        <w:t xml:space="preserve"> </w:t>
      </w:r>
      <w:r w:rsidRPr="00B004EE">
        <w:rPr>
          <w:rFonts w:ascii="Tahoma" w:hAnsi="Tahoma" w:cs="Tahoma"/>
          <w:color w:val="auto"/>
          <w:sz w:val="20"/>
          <w:szCs w:val="20"/>
        </w:rPr>
        <w:t>le</w:t>
      </w:r>
      <w:r w:rsidR="00DB1635" w:rsidRPr="00B004EE">
        <w:rPr>
          <w:rFonts w:ascii="Tahoma" w:hAnsi="Tahoma" w:cs="Tahoma"/>
          <w:color w:val="auto"/>
          <w:sz w:val="20"/>
          <w:szCs w:val="20"/>
        </w:rPr>
        <w:t xml:space="preserve"> </w:t>
      </w:r>
      <w:r w:rsidRPr="00B004EE">
        <w:rPr>
          <w:rFonts w:ascii="Tahoma" w:hAnsi="Tahoma" w:cs="Tahoma"/>
          <w:color w:val="auto"/>
          <w:sz w:val="20"/>
          <w:szCs w:val="20"/>
        </w:rPr>
        <w:t>dessus</w:t>
      </w:r>
      <w:r w:rsidR="00DB1635" w:rsidRPr="00B004EE">
        <w:rPr>
          <w:rFonts w:ascii="Tahoma" w:hAnsi="Tahoma" w:cs="Tahoma"/>
          <w:color w:val="auto"/>
          <w:sz w:val="20"/>
          <w:szCs w:val="20"/>
        </w:rPr>
        <w:t xml:space="preserve"> </w:t>
      </w:r>
      <w:r w:rsidRPr="00B004EE">
        <w:rPr>
          <w:rFonts w:ascii="Tahoma" w:hAnsi="Tahoma" w:cs="Tahoma"/>
          <w:color w:val="auto"/>
          <w:sz w:val="20"/>
          <w:szCs w:val="20"/>
        </w:rPr>
        <w:t>parallèlement</w:t>
      </w:r>
      <w:r w:rsidR="00DB1635" w:rsidRPr="00B004EE">
        <w:rPr>
          <w:rFonts w:ascii="Tahoma" w:hAnsi="Tahoma" w:cs="Tahoma"/>
          <w:color w:val="auto"/>
          <w:sz w:val="20"/>
          <w:szCs w:val="20"/>
        </w:rPr>
        <w:t xml:space="preserve"> </w:t>
      </w:r>
      <w:r w:rsidRPr="00B004EE">
        <w:rPr>
          <w:rFonts w:ascii="Tahoma" w:hAnsi="Tahoma" w:cs="Tahoma"/>
          <w:color w:val="auto"/>
          <w:sz w:val="20"/>
          <w:szCs w:val="20"/>
        </w:rPr>
        <w:t>à</w:t>
      </w:r>
      <w:r w:rsidR="00DB1635" w:rsidRPr="00B004EE">
        <w:rPr>
          <w:rFonts w:ascii="Tahoma" w:hAnsi="Tahoma" w:cs="Tahoma"/>
          <w:color w:val="auto"/>
          <w:sz w:val="20"/>
          <w:szCs w:val="20"/>
        </w:rPr>
        <w:t xml:space="preserve"> </w:t>
      </w:r>
      <w:r w:rsidRPr="00B004EE">
        <w:rPr>
          <w:rFonts w:ascii="Tahoma" w:hAnsi="Tahoma" w:cs="Tahoma"/>
          <w:color w:val="auto"/>
          <w:sz w:val="20"/>
          <w:szCs w:val="20"/>
        </w:rPr>
        <w:t>l'axe</w:t>
      </w:r>
      <w:r w:rsidR="00DB1635" w:rsidRPr="00B004EE">
        <w:rPr>
          <w:rFonts w:ascii="Tahoma" w:hAnsi="Tahoma" w:cs="Tahoma"/>
          <w:color w:val="auto"/>
          <w:sz w:val="20"/>
          <w:szCs w:val="20"/>
        </w:rPr>
        <w:t xml:space="preserve"> </w:t>
      </w:r>
      <w:r w:rsidRPr="00B004EE">
        <w:rPr>
          <w:rFonts w:ascii="Tahoma" w:hAnsi="Tahoma" w:cs="Tahoma"/>
          <w:color w:val="auto"/>
          <w:sz w:val="20"/>
          <w:szCs w:val="20"/>
        </w:rPr>
        <w:t>longitudinal.</w:t>
      </w:r>
      <w:r w:rsidR="00DB1635" w:rsidRPr="00B004EE">
        <w:rPr>
          <w:rFonts w:ascii="Tahoma" w:hAnsi="Tahoma" w:cs="Tahoma"/>
          <w:color w:val="auto"/>
          <w:sz w:val="20"/>
          <w:szCs w:val="20"/>
        </w:rPr>
        <w:t xml:space="preserve"> </w:t>
      </w:r>
      <w:r w:rsidRPr="00B004EE">
        <w:rPr>
          <w:rFonts w:ascii="Tahoma" w:hAnsi="Tahoma" w:cs="Tahoma"/>
          <w:color w:val="auto"/>
          <w:sz w:val="20"/>
          <w:szCs w:val="20"/>
        </w:rPr>
        <w:t>On</w:t>
      </w:r>
      <w:r w:rsidR="00DB1635" w:rsidRPr="00B004EE">
        <w:rPr>
          <w:rFonts w:ascii="Tahoma" w:hAnsi="Tahoma" w:cs="Tahoma"/>
          <w:color w:val="auto"/>
          <w:sz w:val="20"/>
          <w:szCs w:val="20"/>
        </w:rPr>
        <w:t xml:space="preserve"> </w:t>
      </w:r>
      <w:r w:rsidRPr="00B004EE">
        <w:rPr>
          <w:rFonts w:ascii="Tahoma" w:hAnsi="Tahoma" w:cs="Tahoma"/>
          <w:color w:val="auto"/>
          <w:sz w:val="20"/>
          <w:szCs w:val="20"/>
        </w:rPr>
        <w:t>commence</w:t>
      </w:r>
      <w:r w:rsidR="00DB1635" w:rsidRPr="00B004EE">
        <w:rPr>
          <w:rFonts w:ascii="Tahoma" w:hAnsi="Tahoma" w:cs="Tahoma"/>
          <w:color w:val="auto"/>
          <w:sz w:val="20"/>
          <w:szCs w:val="20"/>
        </w:rPr>
        <w:t xml:space="preserve"> </w:t>
      </w:r>
      <w:r w:rsidRPr="00B004EE">
        <w:rPr>
          <w:rFonts w:ascii="Tahoma" w:hAnsi="Tahoma" w:cs="Tahoma"/>
          <w:color w:val="auto"/>
          <w:sz w:val="20"/>
          <w:szCs w:val="20"/>
        </w:rPr>
        <w:t>par</w:t>
      </w:r>
      <w:r w:rsidR="00DB1635" w:rsidRPr="00B004EE">
        <w:rPr>
          <w:rFonts w:ascii="Tahoma" w:hAnsi="Tahoma" w:cs="Tahoma"/>
          <w:color w:val="auto"/>
          <w:sz w:val="20"/>
          <w:szCs w:val="20"/>
        </w:rPr>
        <w:t xml:space="preserve"> </w:t>
      </w:r>
      <w:r w:rsidRPr="00B004EE">
        <w:rPr>
          <w:rFonts w:ascii="Tahoma" w:hAnsi="Tahoma" w:cs="Tahoma"/>
          <w:color w:val="auto"/>
          <w:sz w:val="20"/>
          <w:szCs w:val="20"/>
        </w:rPr>
        <w:t>l'extrémité</w:t>
      </w:r>
      <w:r w:rsidR="00DB1635" w:rsidRPr="00B004EE">
        <w:rPr>
          <w:rFonts w:ascii="Tahoma" w:hAnsi="Tahoma" w:cs="Tahoma"/>
          <w:color w:val="auto"/>
          <w:sz w:val="20"/>
          <w:szCs w:val="20"/>
        </w:rPr>
        <w:t xml:space="preserve"> </w:t>
      </w:r>
      <w:r w:rsidRPr="00B004EE">
        <w:rPr>
          <w:rFonts w:ascii="Tahoma" w:hAnsi="Tahoma" w:cs="Tahoma"/>
          <w:color w:val="auto"/>
          <w:sz w:val="20"/>
          <w:szCs w:val="20"/>
        </w:rPr>
        <w:t>postérieure</w:t>
      </w:r>
      <w:r w:rsidR="00DB1635" w:rsidRPr="00B004EE">
        <w:rPr>
          <w:rFonts w:ascii="Tahoma" w:hAnsi="Tahoma" w:cs="Tahoma"/>
          <w:color w:val="auto"/>
          <w:sz w:val="20"/>
          <w:szCs w:val="20"/>
        </w:rPr>
        <w:t xml:space="preserve"> </w:t>
      </w:r>
      <w:r w:rsidRPr="00B004EE">
        <w:rPr>
          <w:rFonts w:ascii="Tahoma" w:hAnsi="Tahoma" w:cs="Tahoma"/>
          <w:color w:val="auto"/>
          <w:sz w:val="20"/>
          <w:szCs w:val="20"/>
        </w:rPr>
        <w:t>à</w:t>
      </w:r>
      <w:r w:rsidR="00DB1635" w:rsidRPr="00B004EE">
        <w:rPr>
          <w:rFonts w:ascii="Tahoma" w:hAnsi="Tahoma" w:cs="Tahoma"/>
          <w:color w:val="auto"/>
          <w:sz w:val="20"/>
          <w:szCs w:val="20"/>
        </w:rPr>
        <w:t xml:space="preserve"> </w:t>
      </w:r>
      <w:r w:rsidRPr="00B004EE">
        <w:rPr>
          <w:rFonts w:ascii="Tahoma" w:hAnsi="Tahoma" w:cs="Tahoma"/>
          <w:color w:val="auto"/>
          <w:sz w:val="20"/>
          <w:szCs w:val="20"/>
        </w:rPr>
        <w:t>une</w:t>
      </w:r>
      <w:r w:rsidR="00DB1635" w:rsidRPr="00B004EE">
        <w:rPr>
          <w:rFonts w:ascii="Tahoma" w:hAnsi="Tahoma" w:cs="Tahoma"/>
          <w:color w:val="auto"/>
          <w:sz w:val="20"/>
          <w:szCs w:val="20"/>
        </w:rPr>
        <w:t xml:space="preserve"> </w:t>
      </w:r>
      <w:r w:rsidRPr="00B004EE">
        <w:rPr>
          <w:rFonts w:ascii="Tahoma" w:hAnsi="Tahoma" w:cs="Tahoma"/>
          <w:color w:val="auto"/>
          <w:sz w:val="20"/>
          <w:szCs w:val="20"/>
        </w:rPr>
        <w:t>distance</w:t>
      </w:r>
      <w:r w:rsidR="00DB1635" w:rsidRPr="00B004EE">
        <w:rPr>
          <w:rFonts w:ascii="Tahoma" w:hAnsi="Tahoma" w:cs="Tahoma"/>
          <w:color w:val="auto"/>
          <w:sz w:val="20"/>
          <w:szCs w:val="20"/>
        </w:rPr>
        <w:t xml:space="preserve"> </w:t>
      </w:r>
      <w:r w:rsidRPr="00B004EE">
        <w:rPr>
          <w:rFonts w:ascii="Tahoma" w:hAnsi="Tahoma" w:cs="Tahoma"/>
          <w:color w:val="auto"/>
          <w:sz w:val="20"/>
          <w:szCs w:val="20"/>
        </w:rPr>
        <w:t>d'au</w:t>
      </w:r>
      <w:r w:rsidR="00DB1635" w:rsidRPr="00B004EE">
        <w:rPr>
          <w:rFonts w:ascii="Tahoma" w:hAnsi="Tahoma" w:cs="Tahoma"/>
          <w:color w:val="auto"/>
          <w:sz w:val="20"/>
          <w:szCs w:val="20"/>
        </w:rPr>
        <w:t xml:space="preserve"> </w:t>
      </w:r>
      <w:r w:rsidRPr="00B004EE">
        <w:rPr>
          <w:rFonts w:ascii="Tahoma" w:hAnsi="Tahoma" w:cs="Tahoma"/>
          <w:color w:val="auto"/>
          <w:sz w:val="20"/>
          <w:szCs w:val="20"/>
        </w:rPr>
        <w:t>moins</w:t>
      </w:r>
      <w:r w:rsidR="00DB1635" w:rsidRPr="00B004EE">
        <w:rPr>
          <w:rFonts w:ascii="Tahoma" w:hAnsi="Tahoma" w:cs="Tahoma"/>
          <w:color w:val="auto"/>
          <w:sz w:val="20"/>
          <w:szCs w:val="20"/>
        </w:rPr>
        <w:t xml:space="preserve"> </w:t>
      </w:r>
      <w:r w:rsidRPr="00B004EE">
        <w:rPr>
          <w:rFonts w:ascii="Tahoma" w:hAnsi="Tahoma" w:cs="Tahoma"/>
          <w:color w:val="auto"/>
          <w:sz w:val="20"/>
          <w:szCs w:val="20"/>
        </w:rPr>
        <w:t>cinq</w:t>
      </w:r>
      <w:r w:rsidR="00DB1635" w:rsidRPr="00B004EE">
        <w:rPr>
          <w:rFonts w:ascii="Tahoma" w:hAnsi="Tahoma" w:cs="Tahoma"/>
          <w:color w:val="auto"/>
          <w:sz w:val="20"/>
          <w:szCs w:val="20"/>
        </w:rPr>
        <w:t xml:space="preserve"> </w:t>
      </w:r>
      <w:r w:rsidRPr="00B004EE">
        <w:rPr>
          <w:rFonts w:ascii="Tahoma" w:hAnsi="Tahoma" w:cs="Tahoma"/>
          <w:color w:val="auto"/>
          <w:sz w:val="20"/>
          <w:szCs w:val="20"/>
        </w:rPr>
        <w:t>mailles</w:t>
      </w:r>
      <w:r w:rsidR="00DB1635" w:rsidRPr="00B004EE">
        <w:rPr>
          <w:rFonts w:ascii="Tahoma" w:hAnsi="Tahoma" w:cs="Tahoma"/>
          <w:color w:val="auto"/>
          <w:sz w:val="20"/>
          <w:szCs w:val="20"/>
        </w:rPr>
        <w:t xml:space="preserve"> </w:t>
      </w:r>
      <w:r w:rsidRPr="00B004EE">
        <w:rPr>
          <w:rFonts w:ascii="Tahoma" w:hAnsi="Tahoma" w:cs="Tahoma"/>
          <w:color w:val="auto"/>
          <w:sz w:val="20"/>
          <w:szCs w:val="20"/>
        </w:rPr>
        <w:t>en</w:t>
      </w:r>
      <w:r w:rsidR="00DB1635" w:rsidRPr="00B004EE">
        <w:rPr>
          <w:rFonts w:ascii="Tahoma" w:hAnsi="Tahoma" w:cs="Tahoma"/>
          <w:color w:val="auto"/>
          <w:sz w:val="20"/>
          <w:szCs w:val="20"/>
        </w:rPr>
        <w:t xml:space="preserve"> </w:t>
      </w:r>
      <w:r w:rsidRPr="00B004EE">
        <w:rPr>
          <w:rFonts w:ascii="Tahoma" w:hAnsi="Tahoma" w:cs="Tahoma"/>
          <w:color w:val="auto"/>
          <w:sz w:val="20"/>
          <w:szCs w:val="20"/>
        </w:rPr>
        <w:t>avant</w:t>
      </w:r>
      <w:r w:rsidR="00DB1635" w:rsidRPr="00B004EE">
        <w:rPr>
          <w:rFonts w:ascii="Tahoma" w:hAnsi="Tahoma" w:cs="Tahoma"/>
          <w:color w:val="auto"/>
          <w:sz w:val="20"/>
          <w:szCs w:val="20"/>
        </w:rPr>
        <w:t xml:space="preserve"> </w:t>
      </w:r>
      <w:r w:rsidRPr="00B004EE">
        <w:rPr>
          <w:rFonts w:ascii="Tahoma" w:hAnsi="Tahoma" w:cs="Tahoma"/>
          <w:color w:val="auto"/>
          <w:sz w:val="20"/>
          <w:szCs w:val="20"/>
        </w:rPr>
        <w:t>de</w:t>
      </w:r>
      <w:r w:rsidR="00DB1635" w:rsidRPr="00B004EE">
        <w:rPr>
          <w:rFonts w:ascii="Tahoma" w:hAnsi="Tahoma" w:cs="Tahoma"/>
          <w:color w:val="auto"/>
          <w:sz w:val="20"/>
          <w:szCs w:val="20"/>
        </w:rPr>
        <w:t xml:space="preserve"> </w:t>
      </w:r>
      <w:r w:rsidRPr="00B004EE">
        <w:rPr>
          <w:rFonts w:ascii="Tahoma" w:hAnsi="Tahoma" w:cs="Tahoma"/>
          <w:color w:val="auto"/>
          <w:sz w:val="20"/>
          <w:szCs w:val="20"/>
        </w:rPr>
        <w:t>cette</w:t>
      </w:r>
      <w:r w:rsidR="00DB1635" w:rsidRPr="00B004EE">
        <w:rPr>
          <w:rFonts w:ascii="Tahoma" w:hAnsi="Tahoma" w:cs="Tahoma"/>
          <w:color w:val="auto"/>
          <w:sz w:val="20"/>
          <w:szCs w:val="20"/>
        </w:rPr>
        <w:t xml:space="preserve"> </w:t>
      </w:r>
      <w:r w:rsidRPr="00B004EE">
        <w:rPr>
          <w:rFonts w:ascii="Tahoma" w:hAnsi="Tahoma" w:cs="Tahoma"/>
          <w:color w:val="auto"/>
          <w:sz w:val="20"/>
          <w:szCs w:val="20"/>
        </w:rPr>
        <w:t>extrémité</w:t>
      </w:r>
      <w:r w:rsidR="00DB1635" w:rsidRPr="00B004EE">
        <w:rPr>
          <w:rFonts w:ascii="Tahoma" w:hAnsi="Tahoma" w:cs="Tahoma"/>
          <w:color w:val="auto"/>
          <w:sz w:val="20"/>
          <w:szCs w:val="20"/>
        </w:rPr>
        <w:t xml:space="preserve"> </w:t>
      </w:r>
      <w:r w:rsidRPr="00B004EE">
        <w:rPr>
          <w:rFonts w:ascii="Tahoma" w:hAnsi="Tahoma" w:cs="Tahoma"/>
          <w:color w:val="auto"/>
          <w:sz w:val="20"/>
          <w:szCs w:val="20"/>
        </w:rPr>
        <w:t>;</w:t>
      </w:r>
    </w:p>
    <w:p w14:paraId="3116AF81" w14:textId="77777777" w:rsidR="008518B0" w:rsidRPr="00B004EE" w:rsidRDefault="008518B0" w:rsidP="00B004EE">
      <w:pPr>
        <w:pStyle w:val="Retraitcorpsdetexte2"/>
        <w:ind w:left="714" w:firstLine="0"/>
        <w:rPr>
          <w:rFonts w:ascii="Tahoma" w:hAnsi="Tahoma" w:cs="Tahoma"/>
          <w:color w:val="auto"/>
          <w:sz w:val="20"/>
          <w:szCs w:val="20"/>
        </w:rPr>
      </w:pPr>
    </w:p>
    <w:p w14:paraId="4E57AB86" w14:textId="3C0777F6" w:rsidR="008518B0" w:rsidRPr="00B004EE" w:rsidRDefault="008518B0" w:rsidP="00B004EE">
      <w:pPr>
        <w:pStyle w:val="Retraitcorpsdetexte2"/>
        <w:ind w:left="0" w:firstLine="0"/>
        <w:rPr>
          <w:rFonts w:ascii="Tahoma" w:hAnsi="Tahoma" w:cs="Tahoma"/>
          <w:color w:val="auto"/>
          <w:sz w:val="20"/>
          <w:szCs w:val="20"/>
        </w:rPr>
      </w:pPr>
      <w:r w:rsidRPr="00B004EE">
        <w:rPr>
          <w:rFonts w:ascii="Tahoma" w:hAnsi="Tahoma" w:cs="Tahoma"/>
          <w:color w:val="auto"/>
          <w:sz w:val="20"/>
          <w:szCs w:val="20"/>
        </w:rPr>
        <w:t>Toutefois,</w:t>
      </w:r>
      <w:r w:rsidR="00DB1635" w:rsidRPr="00B004EE">
        <w:rPr>
          <w:rFonts w:ascii="Tahoma" w:hAnsi="Tahoma" w:cs="Tahoma"/>
          <w:color w:val="auto"/>
          <w:sz w:val="20"/>
          <w:szCs w:val="20"/>
        </w:rPr>
        <w:t xml:space="preserve"> </w:t>
      </w:r>
      <w:r w:rsidRPr="00B004EE">
        <w:rPr>
          <w:rFonts w:ascii="Tahoma" w:hAnsi="Tahoma" w:cs="Tahoma"/>
          <w:color w:val="auto"/>
          <w:sz w:val="20"/>
          <w:szCs w:val="20"/>
        </w:rPr>
        <w:t>afin</w:t>
      </w:r>
      <w:r w:rsidR="00DB1635" w:rsidRPr="00B004EE">
        <w:rPr>
          <w:rFonts w:ascii="Tahoma" w:hAnsi="Tahoma" w:cs="Tahoma"/>
          <w:color w:val="auto"/>
          <w:sz w:val="20"/>
          <w:szCs w:val="20"/>
        </w:rPr>
        <w:t xml:space="preserve"> </w:t>
      </w:r>
      <w:r w:rsidRPr="00B004EE">
        <w:rPr>
          <w:rFonts w:ascii="Tahoma" w:hAnsi="Tahoma" w:cs="Tahoma"/>
          <w:color w:val="auto"/>
          <w:sz w:val="20"/>
          <w:szCs w:val="20"/>
        </w:rPr>
        <w:t>d’éviter</w:t>
      </w:r>
      <w:r w:rsidR="00DB1635" w:rsidRPr="00B004EE">
        <w:rPr>
          <w:rFonts w:ascii="Tahoma" w:hAnsi="Tahoma" w:cs="Tahoma"/>
          <w:color w:val="auto"/>
          <w:sz w:val="20"/>
          <w:szCs w:val="20"/>
        </w:rPr>
        <w:t xml:space="preserve"> </w:t>
      </w:r>
      <w:r w:rsidRPr="00B004EE">
        <w:rPr>
          <w:rFonts w:ascii="Tahoma" w:hAnsi="Tahoma" w:cs="Tahoma"/>
          <w:color w:val="auto"/>
          <w:sz w:val="20"/>
          <w:szCs w:val="20"/>
        </w:rPr>
        <w:t>l’usure</w:t>
      </w:r>
      <w:r w:rsidR="00DB1635" w:rsidRPr="00B004EE">
        <w:rPr>
          <w:rFonts w:ascii="Tahoma" w:hAnsi="Tahoma" w:cs="Tahoma"/>
          <w:color w:val="auto"/>
          <w:sz w:val="20"/>
          <w:szCs w:val="20"/>
        </w:rPr>
        <w:t xml:space="preserve"> </w:t>
      </w:r>
      <w:r w:rsidRPr="00B004EE">
        <w:rPr>
          <w:rFonts w:ascii="Tahoma" w:hAnsi="Tahoma" w:cs="Tahoma"/>
          <w:color w:val="auto"/>
          <w:sz w:val="20"/>
          <w:szCs w:val="20"/>
        </w:rPr>
        <w:t>ou</w:t>
      </w:r>
      <w:r w:rsidR="00DB1635" w:rsidRPr="00B004EE">
        <w:rPr>
          <w:rFonts w:ascii="Tahoma" w:hAnsi="Tahoma" w:cs="Tahoma"/>
          <w:color w:val="auto"/>
          <w:sz w:val="20"/>
          <w:szCs w:val="20"/>
        </w:rPr>
        <w:t xml:space="preserve"> </w:t>
      </w:r>
      <w:r w:rsidRPr="00B004EE">
        <w:rPr>
          <w:rFonts w:ascii="Tahoma" w:hAnsi="Tahoma" w:cs="Tahoma"/>
          <w:color w:val="auto"/>
          <w:sz w:val="20"/>
          <w:szCs w:val="20"/>
        </w:rPr>
        <w:t>les</w:t>
      </w:r>
      <w:r w:rsidR="00DB1635" w:rsidRPr="00B004EE">
        <w:rPr>
          <w:rFonts w:ascii="Tahoma" w:hAnsi="Tahoma" w:cs="Tahoma"/>
          <w:color w:val="auto"/>
          <w:sz w:val="20"/>
          <w:szCs w:val="20"/>
        </w:rPr>
        <w:t xml:space="preserve"> </w:t>
      </w:r>
      <w:r w:rsidRPr="00B004EE">
        <w:rPr>
          <w:rFonts w:ascii="Tahoma" w:hAnsi="Tahoma" w:cs="Tahoma"/>
          <w:color w:val="auto"/>
          <w:sz w:val="20"/>
          <w:szCs w:val="20"/>
        </w:rPr>
        <w:t>déchirures,</w:t>
      </w:r>
      <w:r w:rsidR="00DB1635" w:rsidRPr="00B004EE">
        <w:rPr>
          <w:rFonts w:ascii="Tahoma" w:hAnsi="Tahoma" w:cs="Tahoma"/>
          <w:color w:val="auto"/>
          <w:sz w:val="20"/>
          <w:szCs w:val="20"/>
        </w:rPr>
        <w:t xml:space="preserve"> </w:t>
      </w:r>
      <w:r w:rsidRPr="00B004EE">
        <w:rPr>
          <w:rFonts w:ascii="Tahoma" w:hAnsi="Tahoma" w:cs="Tahoma"/>
          <w:color w:val="auto"/>
          <w:sz w:val="20"/>
          <w:szCs w:val="20"/>
        </w:rPr>
        <w:t>il</w:t>
      </w:r>
      <w:r w:rsidR="00DB1635" w:rsidRPr="00B004EE">
        <w:rPr>
          <w:rFonts w:ascii="Tahoma" w:hAnsi="Tahoma" w:cs="Tahoma"/>
          <w:color w:val="auto"/>
          <w:sz w:val="20"/>
          <w:szCs w:val="20"/>
        </w:rPr>
        <w:t xml:space="preserve"> </w:t>
      </w:r>
      <w:r w:rsidRPr="00B004EE">
        <w:rPr>
          <w:rFonts w:ascii="Tahoma" w:hAnsi="Tahoma" w:cs="Tahoma"/>
          <w:color w:val="auto"/>
          <w:sz w:val="20"/>
          <w:szCs w:val="20"/>
        </w:rPr>
        <w:t>est</w:t>
      </w:r>
      <w:r w:rsidR="00DB1635" w:rsidRPr="00B004EE">
        <w:rPr>
          <w:rFonts w:ascii="Tahoma" w:hAnsi="Tahoma" w:cs="Tahoma"/>
          <w:color w:val="auto"/>
          <w:sz w:val="20"/>
          <w:szCs w:val="20"/>
        </w:rPr>
        <w:t xml:space="preserve"> </w:t>
      </w:r>
      <w:r w:rsidRPr="00B004EE">
        <w:rPr>
          <w:rFonts w:ascii="Tahoma" w:hAnsi="Tahoma" w:cs="Tahoma"/>
          <w:color w:val="auto"/>
          <w:sz w:val="20"/>
          <w:szCs w:val="20"/>
        </w:rPr>
        <w:t>permis</w:t>
      </w:r>
      <w:r w:rsidR="00DB1635" w:rsidRPr="00B004EE">
        <w:rPr>
          <w:rFonts w:ascii="Tahoma" w:hAnsi="Tahoma" w:cs="Tahoma"/>
          <w:color w:val="auto"/>
          <w:sz w:val="20"/>
          <w:szCs w:val="20"/>
        </w:rPr>
        <w:t xml:space="preserve"> </w:t>
      </w:r>
      <w:r w:rsidRPr="00B004EE">
        <w:rPr>
          <w:rFonts w:ascii="Tahoma" w:hAnsi="Tahoma" w:cs="Tahoma"/>
          <w:color w:val="auto"/>
          <w:sz w:val="20"/>
          <w:szCs w:val="20"/>
        </w:rPr>
        <w:t>de</w:t>
      </w:r>
      <w:r w:rsidR="00DB1635" w:rsidRPr="00B004EE">
        <w:rPr>
          <w:rFonts w:ascii="Tahoma" w:hAnsi="Tahoma" w:cs="Tahoma"/>
          <w:color w:val="auto"/>
          <w:sz w:val="20"/>
          <w:szCs w:val="20"/>
        </w:rPr>
        <w:t xml:space="preserve"> </w:t>
      </w:r>
      <w:r w:rsidRPr="00B004EE">
        <w:rPr>
          <w:rFonts w:ascii="Tahoma" w:hAnsi="Tahoma" w:cs="Tahoma"/>
          <w:color w:val="auto"/>
          <w:sz w:val="20"/>
          <w:szCs w:val="20"/>
        </w:rPr>
        <w:t>fixer,</w:t>
      </w:r>
      <w:r w:rsidR="00DB1635" w:rsidRPr="00B004EE">
        <w:rPr>
          <w:rFonts w:ascii="Tahoma" w:hAnsi="Tahoma" w:cs="Tahoma"/>
          <w:color w:val="auto"/>
          <w:sz w:val="20"/>
          <w:szCs w:val="20"/>
        </w:rPr>
        <w:t xml:space="preserve"> </w:t>
      </w:r>
      <w:r w:rsidRPr="00B004EE">
        <w:rPr>
          <w:rFonts w:ascii="Tahoma" w:hAnsi="Tahoma" w:cs="Tahoma"/>
          <w:color w:val="auto"/>
          <w:sz w:val="20"/>
          <w:szCs w:val="20"/>
        </w:rPr>
        <w:t>exclusivement</w:t>
      </w:r>
      <w:r w:rsidR="00DB1635" w:rsidRPr="00B004EE">
        <w:rPr>
          <w:rFonts w:ascii="Tahoma" w:hAnsi="Tahoma" w:cs="Tahoma"/>
          <w:color w:val="auto"/>
          <w:sz w:val="20"/>
          <w:szCs w:val="20"/>
        </w:rPr>
        <w:t xml:space="preserve"> </w:t>
      </w:r>
      <w:r w:rsidRPr="00B004EE">
        <w:rPr>
          <w:rFonts w:ascii="Tahoma" w:hAnsi="Tahoma" w:cs="Tahoma"/>
          <w:color w:val="auto"/>
          <w:sz w:val="20"/>
          <w:szCs w:val="20"/>
        </w:rPr>
        <w:t>sous</w:t>
      </w:r>
      <w:r w:rsidR="00DB1635" w:rsidRPr="00B004EE">
        <w:rPr>
          <w:rFonts w:ascii="Tahoma" w:hAnsi="Tahoma" w:cs="Tahoma"/>
          <w:color w:val="auto"/>
          <w:sz w:val="20"/>
          <w:szCs w:val="20"/>
        </w:rPr>
        <w:t xml:space="preserve"> </w:t>
      </w:r>
      <w:r w:rsidRPr="00B004EE">
        <w:rPr>
          <w:rFonts w:ascii="Tahoma" w:hAnsi="Tahoma" w:cs="Tahoma"/>
          <w:color w:val="auto"/>
          <w:sz w:val="20"/>
          <w:szCs w:val="20"/>
        </w:rPr>
        <w:t>la</w:t>
      </w:r>
      <w:r w:rsidR="00DB1635" w:rsidRPr="00B004EE">
        <w:rPr>
          <w:rFonts w:ascii="Tahoma" w:hAnsi="Tahoma" w:cs="Tahoma"/>
          <w:color w:val="auto"/>
          <w:sz w:val="20"/>
          <w:szCs w:val="20"/>
        </w:rPr>
        <w:t xml:space="preserve"> </w:t>
      </w:r>
      <w:r w:rsidRPr="00B004EE">
        <w:rPr>
          <w:rFonts w:ascii="Tahoma" w:hAnsi="Tahoma" w:cs="Tahoma"/>
          <w:color w:val="auto"/>
          <w:sz w:val="20"/>
          <w:szCs w:val="20"/>
        </w:rPr>
        <w:t>partie</w:t>
      </w:r>
      <w:r w:rsidR="00DB1635" w:rsidRPr="00B004EE">
        <w:rPr>
          <w:rFonts w:ascii="Tahoma" w:hAnsi="Tahoma" w:cs="Tahoma"/>
          <w:color w:val="auto"/>
          <w:sz w:val="20"/>
          <w:szCs w:val="20"/>
        </w:rPr>
        <w:t xml:space="preserve"> </w:t>
      </w:r>
      <w:r w:rsidRPr="00B004EE">
        <w:rPr>
          <w:rFonts w:ascii="Tahoma" w:hAnsi="Tahoma" w:cs="Tahoma"/>
          <w:color w:val="auto"/>
          <w:sz w:val="20"/>
          <w:szCs w:val="20"/>
        </w:rPr>
        <w:t>inférieure</w:t>
      </w:r>
      <w:r w:rsidR="00DB1635" w:rsidRPr="00B004EE">
        <w:rPr>
          <w:rFonts w:ascii="Tahoma" w:hAnsi="Tahoma" w:cs="Tahoma"/>
          <w:color w:val="auto"/>
          <w:sz w:val="20"/>
          <w:szCs w:val="20"/>
        </w:rPr>
        <w:t xml:space="preserve"> </w:t>
      </w:r>
      <w:r w:rsidRPr="00B004EE">
        <w:rPr>
          <w:rFonts w:ascii="Tahoma" w:hAnsi="Tahoma" w:cs="Tahoma"/>
          <w:color w:val="auto"/>
          <w:sz w:val="20"/>
          <w:szCs w:val="20"/>
        </w:rPr>
        <w:t>de</w:t>
      </w:r>
      <w:r w:rsidR="00DB1635" w:rsidRPr="00B004EE">
        <w:rPr>
          <w:rFonts w:ascii="Tahoma" w:hAnsi="Tahoma" w:cs="Tahoma"/>
          <w:color w:val="auto"/>
          <w:sz w:val="20"/>
          <w:szCs w:val="20"/>
        </w:rPr>
        <w:t xml:space="preserve"> </w:t>
      </w:r>
      <w:r w:rsidRPr="00B004EE">
        <w:rPr>
          <w:rFonts w:ascii="Tahoma" w:hAnsi="Tahoma" w:cs="Tahoma"/>
          <w:color w:val="auto"/>
          <w:sz w:val="20"/>
          <w:szCs w:val="20"/>
        </w:rPr>
        <w:t>la</w:t>
      </w:r>
      <w:r w:rsidR="00DB1635" w:rsidRPr="00B004EE">
        <w:rPr>
          <w:rFonts w:ascii="Tahoma" w:hAnsi="Tahoma" w:cs="Tahoma"/>
          <w:color w:val="auto"/>
          <w:sz w:val="20"/>
          <w:szCs w:val="20"/>
        </w:rPr>
        <w:t xml:space="preserve"> </w:t>
      </w:r>
      <w:r w:rsidRPr="00B004EE">
        <w:rPr>
          <w:rFonts w:ascii="Tahoma" w:hAnsi="Tahoma" w:cs="Tahoma"/>
          <w:color w:val="auto"/>
          <w:sz w:val="20"/>
          <w:szCs w:val="20"/>
        </w:rPr>
        <w:t>poche</w:t>
      </w:r>
      <w:r w:rsidR="00DB1635" w:rsidRPr="00B004EE">
        <w:rPr>
          <w:rFonts w:ascii="Tahoma" w:hAnsi="Tahoma" w:cs="Tahoma"/>
          <w:color w:val="auto"/>
          <w:sz w:val="20"/>
          <w:szCs w:val="20"/>
        </w:rPr>
        <w:t xml:space="preserve"> </w:t>
      </w:r>
      <w:r w:rsidRPr="00B004EE">
        <w:rPr>
          <w:rFonts w:ascii="Tahoma" w:hAnsi="Tahoma" w:cs="Tahoma"/>
          <w:color w:val="auto"/>
          <w:sz w:val="20"/>
          <w:szCs w:val="20"/>
        </w:rPr>
        <w:t>des</w:t>
      </w:r>
      <w:r w:rsidR="00DB1635" w:rsidRPr="00B004EE">
        <w:rPr>
          <w:rFonts w:ascii="Tahoma" w:hAnsi="Tahoma" w:cs="Tahoma"/>
          <w:color w:val="auto"/>
          <w:sz w:val="20"/>
          <w:szCs w:val="20"/>
        </w:rPr>
        <w:t xml:space="preserve"> </w:t>
      </w:r>
      <w:r w:rsidRPr="00B004EE">
        <w:rPr>
          <w:rFonts w:ascii="Tahoma" w:hAnsi="Tahoma" w:cs="Tahoma"/>
          <w:color w:val="auto"/>
          <w:sz w:val="20"/>
          <w:szCs w:val="20"/>
        </w:rPr>
        <w:t>chaluts</w:t>
      </w:r>
      <w:r w:rsidR="00DB1635" w:rsidRPr="00B004EE">
        <w:rPr>
          <w:rFonts w:ascii="Tahoma" w:hAnsi="Tahoma" w:cs="Tahoma"/>
          <w:color w:val="auto"/>
          <w:sz w:val="20"/>
          <w:szCs w:val="20"/>
        </w:rPr>
        <w:t xml:space="preserve"> </w:t>
      </w:r>
      <w:r w:rsidRPr="00B004EE">
        <w:rPr>
          <w:rFonts w:ascii="Tahoma" w:hAnsi="Tahoma" w:cs="Tahoma"/>
          <w:color w:val="auto"/>
          <w:sz w:val="20"/>
          <w:szCs w:val="20"/>
        </w:rPr>
        <w:t>de</w:t>
      </w:r>
      <w:r w:rsidR="00DB1635" w:rsidRPr="00B004EE">
        <w:rPr>
          <w:rFonts w:ascii="Tahoma" w:hAnsi="Tahoma" w:cs="Tahoma"/>
          <w:color w:val="auto"/>
          <w:sz w:val="20"/>
          <w:szCs w:val="20"/>
        </w:rPr>
        <w:t xml:space="preserve"> </w:t>
      </w:r>
      <w:r w:rsidRPr="00B004EE">
        <w:rPr>
          <w:rFonts w:ascii="Tahoma" w:hAnsi="Tahoma" w:cs="Tahoma"/>
          <w:color w:val="auto"/>
          <w:sz w:val="20"/>
          <w:szCs w:val="20"/>
        </w:rPr>
        <w:t>fond,</w:t>
      </w:r>
      <w:r w:rsidR="00DB1635" w:rsidRPr="00B004EE">
        <w:rPr>
          <w:rFonts w:ascii="Tahoma" w:hAnsi="Tahoma" w:cs="Tahoma"/>
          <w:color w:val="auto"/>
          <w:sz w:val="20"/>
          <w:szCs w:val="20"/>
        </w:rPr>
        <w:t xml:space="preserve"> </w:t>
      </w:r>
      <w:r w:rsidRPr="00B004EE">
        <w:rPr>
          <w:rFonts w:ascii="Tahoma" w:hAnsi="Tahoma" w:cs="Tahoma"/>
          <w:color w:val="auto"/>
          <w:sz w:val="20"/>
          <w:szCs w:val="20"/>
        </w:rPr>
        <w:t>des</w:t>
      </w:r>
      <w:r w:rsidR="00DB1635" w:rsidRPr="00B004EE">
        <w:rPr>
          <w:rFonts w:ascii="Tahoma" w:hAnsi="Tahoma" w:cs="Tahoma"/>
          <w:color w:val="auto"/>
          <w:sz w:val="20"/>
          <w:szCs w:val="20"/>
        </w:rPr>
        <w:t xml:space="preserve"> </w:t>
      </w:r>
      <w:r w:rsidRPr="00B004EE">
        <w:rPr>
          <w:rFonts w:ascii="Tahoma" w:hAnsi="Tahoma" w:cs="Tahoma"/>
          <w:color w:val="auto"/>
          <w:sz w:val="20"/>
          <w:szCs w:val="20"/>
        </w:rPr>
        <w:t>tabliers</w:t>
      </w:r>
      <w:r w:rsidR="00DB1635" w:rsidRPr="00B004EE">
        <w:rPr>
          <w:rFonts w:ascii="Tahoma" w:hAnsi="Tahoma" w:cs="Tahoma"/>
          <w:color w:val="auto"/>
          <w:sz w:val="20"/>
          <w:szCs w:val="20"/>
        </w:rPr>
        <w:t xml:space="preserve"> </w:t>
      </w:r>
      <w:r w:rsidRPr="00B004EE">
        <w:rPr>
          <w:rFonts w:ascii="Tahoma" w:hAnsi="Tahoma" w:cs="Tahoma"/>
          <w:color w:val="auto"/>
          <w:sz w:val="20"/>
          <w:szCs w:val="20"/>
        </w:rPr>
        <w:t>de</w:t>
      </w:r>
      <w:r w:rsidR="00DB1635" w:rsidRPr="00B004EE">
        <w:rPr>
          <w:rFonts w:ascii="Tahoma" w:hAnsi="Tahoma" w:cs="Tahoma"/>
          <w:color w:val="auto"/>
          <w:sz w:val="20"/>
          <w:szCs w:val="20"/>
        </w:rPr>
        <w:t xml:space="preserve"> </w:t>
      </w:r>
      <w:r w:rsidRPr="00B004EE">
        <w:rPr>
          <w:rFonts w:ascii="Tahoma" w:hAnsi="Tahoma" w:cs="Tahoma"/>
          <w:color w:val="auto"/>
          <w:sz w:val="20"/>
          <w:szCs w:val="20"/>
        </w:rPr>
        <w:t>protection</w:t>
      </w:r>
      <w:r w:rsidR="00DB1635" w:rsidRPr="00B004EE">
        <w:rPr>
          <w:rFonts w:ascii="Tahoma" w:hAnsi="Tahoma" w:cs="Tahoma"/>
          <w:color w:val="auto"/>
          <w:sz w:val="20"/>
          <w:szCs w:val="20"/>
        </w:rPr>
        <w:t xml:space="preserve"> </w:t>
      </w:r>
      <w:r w:rsidRPr="00B004EE">
        <w:rPr>
          <w:rFonts w:ascii="Tahoma" w:hAnsi="Tahoma" w:cs="Tahoma"/>
          <w:color w:val="auto"/>
          <w:sz w:val="20"/>
          <w:szCs w:val="20"/>
        </w:rPr>
        <w:t>en</w:t>
      </w:r>
      <w:r w:rsidR="00DB1635" w:rsidRPr="00B004EE">
        <w:rPr>
          <w:rFonts w:ascii="Tahoma" w:hAnsi="Tahoma" w:cs="Tahoma"/>
          <w:color w:val="auto"/>
          <w:sz w:val="20"/>
          <w:szCs w:val="20"/>
        </w:rPr>
        <w:t xml:space="preserve"> </w:t>
      </w:r>
      <w:r w:rsidRPr="00B004EE">
        <w:rPr>
          <w:rFonts w:ascii="Tahoma" w:hAnsi="Tahoma" w:cs="Tahoma"/>
          <w:color w:val="auto"/>
          <w:sz w:val="20"/>
          <w:szCs w:val="20"/>
        </w:rPr>
        <w:t>filet</w:t>
      </w:r>
      <w:r w:rsidR="00DB1635" w:rsidRPr="00B004EE">
        <w:rPr>
          <w:rFonts w:ascii="Tahoma" w:hAnsi="Tahoma" w:cs="Tahoma"/>
          <w:color w:val="auto"/>
          <w:sz w:val="20"/>
          <w:szCs w:val="20"/>
        </w:rPr>
        <w:t xml:space="preserve"> </w:t>
      </w:r>
      <w:r w:rsidRPr="00B004EE">
        <w:rPr>
          <w:rFonts w:ascii="Tahoma" w:hAnsi="Tahoma" w:cs="Tahoma"/>
          <w:color w:val="auto"/>
          <w:sz w:val="20"/>
          <w:szCs w:val="20"/>
        </w:rPr>
        <w:t>ou</w:t>
      </w:r>
      <w:r w:rsidR="00DB1635" w:rsidRPr="00B004EE">
        <w:rPr>
          <w:rFonts w:ascii="Tahoma" w:hAnsi="Tahoma" w:cs="Tahoma"/>
          <w:color w:val="auto"/>
          <w:sz w:val="20"/>
          <w:szCs w:val="20"/>
        </w:rPr>
        <w:t xml:space="preserve"> </w:t>
      </w:r>
      <w:r w:rsidRPr="00B004EE">
        <w:rPr>
          <w:rFonts w:ascii="Tahoma" w:hAnsi="Tahoma" w:cs="Tahoma"/>
          <w:color w:val="auto"/>
          <w:sz w:val="20"/>
          <w:szCs w:val="20"/>
        </w:rPr>
        <w:t>toute</w:t>
      </w:r>
      <w:r w:rsidR="00DB1635" w:rsidRPr="00B004EE">
        <w:rPr>
          <w:rFonts w:ascii="Tahoma" w:hAnsi="Tahoma" w:cs="Tahoma"/>
          <w:color w:val="auto"/>
          <w:sz w:val="20"/>
          <w:szCs w:val="20"/>
        </w:rPr>
        <w:t xml:space="preserve"> </w:t>
      </w:r>
      <w:r w:rsidRPr="00B004EE">
        <w:rPr>
          <w:rFonts w:ascii="Tahoma" w:hAnsi="Tahoma" w:cs="Tahoma"/>
          <w:color w:val="auto"/>
          <w:sz w:val="20"/>
          <w:szCs w:val="20"/>
        </w:rPr>
        <w:t>autre</w:t>
      </w:r>
      <w:r w:rsidR="00DB1635" w:rsidRPr="00B004EE">
        <w:rPr>
          <w:rFonts w:ascii="Tahoma" w:hAnsi="Tahoma" w:cs="Tahoma"/>
          <w:color w:val="auto"/>
          <w:sz w:val="20"/>
          <w:szCs w:val="20"/>
        </w:rPr>
        <w:t xml:space="preserve"> </w:t>
      </w:r>
      <w:r w:rsidRPr="00B004EE">
        <w:rPr>
          <w:rFonts w:ascii="Tahoma" w:hAnsi="Tahoma" w:cs="Tahoma"/>
          <w:color w:val="auto"/>
          <w:sz w:val="20"/>
          <w:szCs w:val="20"/>
        </w:rPr>
        <w:t>matière</w:t>
      </w:r>
      <w:r w:rsidR="00DB1635" w:rsidRPr="00B004EE">
        <w:rPr>
          <w:rFonts w:ascii="Tahoma" w:hAnsi="Tahoma" w:cs="Tahoma"/>
          <w:color w:val="auto"/>
          <w:sz w:val="20"/>
          <w:szCs w:val="20"/>
        </w:rPr>
        <w:t xml:space="preserve"> </w:t>
      </w:r>
      <w:r w:rsidRPr="00B004EE">
        <w:rPr>
          <w:rFonts w:ascii="Tahoma" w:hAnsi="Tahoma" w:cs="Tahoma"/>
          <w:color w:val="auto"/>
          <w:sz w:val="20"/>
          <w:szCs w:val="20"/>
        </w:rPr>
        <w:t>reconnue</w:t>
      </w:r>
      <w:r w:rsidR="00DB1635" w:rsidRPr="00B004EE">
        <w:rPr>
          <w:rFonts w:ascii="Tahoma" w:hAnsi="Tahoma" w:cs="Tahoma"/>
          <w:color w:val="auto"/>
          <w:sz w:val="20"/>
          <w:szCs w:val="20"/>
        </w:rPr>
        <w:t xml:space="preserve"> </w:t>
      </w:r>
      <w:r w:rsidRPr="00B004EE">
        <w:rPr>
          <w:rFonts w:ascii="Tahoma" w:hAnsi="Tahoma" w:cs="Tahoma"/>
          <w:color w:val="auto"/>
          <w:sz w:val="20"/>
          <w:szCs w:val="20"/>
        </w:rPr>
        <w:t>pour</w:t>
      </w:r>
      <w:r w:rsidR="00DB1635" w:rsidRPr="00B004EE">
        <w:rPr>
          <w:rFonts w:ascii="Tahoma" w:hAnsi="Tahoma" w:cs="Tahoma"/>
          <w:color w:val="auto"/>
          <w:sz w:val="20"/>
          <w:szCs w:val="20"/>
        </w:rPr>
        <w:t xml:space="preserve"> </w:t>
      </w:r>
      <w:r w:rsidRPr="00B004EE">
        <w:rPr>
          <w:rFonts w:ascii="Tahoma" w:hAnsi="Tahoma" w:cs="Tahoma"/>
          <w:color w:val="auto"/>
          <w:sz w:val="20"/>
          <w:szCs w:val="20"/>
        </w:rPr>
        <w:t>n’avoir</w:t>
      </w:r>
      <w:r w:rsidR="00DB1635" w:rsidRPr="00B004EE">
        <w:rPr>
          <w:rFonts w:ascii="Tahoma" w:hAnsi="Tahoma" w:cs="Tahoma"/>
          <w:color w:val="auto"/>
          <w:sz w:val="20"/>
          <w:szCs w:val="20"/>
        </w:rPr>
        <w:t xml:space="preserve"> </w:t>
      </w:r>
      <w:r w:rsidRPr="00B004EE">
        <w:rPr>
          <w:rFonts w:ascii="Tahoma" w:hAnsi="Tahoma" w:cs="Tahoma"/>
          <w:color w:val="auto"/>
          <w:sz w:val="20"/>
          <w:szCs w:val="20"/>
        </w:rPr>
        <w:t>aucune</w:t>
      </w:r>
      <w:r w:rsidR="00DB1635" w:rsidRPr="00B004EE">
        <w:rPr>
          <w:rFonts w:ascii="Tahoma" w:hAnsi="Tahoma" w:cs="Tahoma"/>
          <w:color w:val="auto"/>
          <w:sz w:val="20"/>
          <w:szCs w:val="20"/>
        </w:rPr>
        <w:t xml:space="preserve"> </w:t>
      </w:r>
      <w:r w:rsidRPr="00B004EE">
        <w:rPr>
          <w:rFonts w:ascii="Tahoma" w:hAnsi="Tahoma" w:cs="Tahoma"/>
          <w:color w:val="auto"/>
          <w:sz w:val="20"/>
          <w:szCs w:val="20"/>
        </w:rPr>
        <w:t>incidence</w:t>
      </w:r>
      <w:r w:rsidR="00DB1635" w:rsidRPr="00B004EE">
        <w:rPr>
          <w:rFonts w:ascii="Tahoma" w:hAnsi="Tahoma" w:cs="Tahoma"/>
          <w:color w:val="auto"/>
          <w:sz w:val="20"/>
          <w:szCs w:val="20"/>
        </w:rPr>
        <w:t xml:space="preserve"> </w:t>
      </w:r>
      <w:r w:rsidRPr="00B004EE">
        <w:rPr>
          <w:rFonts w:ascii="Tahoma" w:hAnsi="Tahoma" w:cs="Tahoma"/>
          <w:color w:val="auto"/>
          <w:sz w:val="20"/>
          <w:szCs w:val="20"/>
        </w:rPr>
        <w:t>négative</w:t>
      </w:r>
      <w:r w:rsidR="00DB1635" w:rsidRPr="00B004EE">
        <w:rPr>
          <w:rFonts w:ascii="Tahoma" w:hAnsi="Tahoma" w:cs="Tahoma"/>
          <w:color w:val="auto"/>
          <w:sz w:val="20"/>
          <w:szCs w:val="20"/>
        </w:rPr>
        <w:t xml:space="preserve"> </w:t>
      </w:r>
      <w:r w:rsidRPr="00B004EE">
        <w:rPr>
          <w:rFonts w:ascii="Tahoma" w:hAnsi="Tahoma" w:cs="Tahoma"/>
          <w:color w:val="auto"/>
          <w:sz w:val="20"/>
          <w:szCs w:val="20"/>
        </w:rPr>
        <w:t>sur</w:t>
      </w:r>
      <w:r w:rsidR="00DB1635" w:rsidRPr="00B004EE">
        <w:rPr>
          <w:rFonts w:ascii="Tahoma" w:hAnsi="Tahoma" w:cs="Tahoma"/>
          <w:color w:val="auto"/>
          <w:sz w:val="20"/>
          <w:szCs w:val="20"/>
        </w:rPr>
        <w:t xml:space="preserve"> </w:t>
      </w:r>
      <w:r w:rsidRPr="00B004EE">
        <w:rPr>
          <w:rFonts w:ascii="Tahoma" w:hAnsi="Tahoma" w:cs="Tahoma"/>
          <w:color w:val="auto"/>
          <w:sz w:val="20"/>
          <w:szCs w:val="20"/>
        </w:rPr>
        <w:t>le</w:t>
      </w:r>
      <w:r w:rsidR="00DB1635" w:rsidRPr="00B004EE">
        <w:rPr>
          <w:rFonts w:ascii="Tahoma" w:hAnsi="Tahoma" w:cs="Tahoma"/>
          <w:color w:val="auto"/>
          <w:sz w:val="20"/>
          <w:szCs w:val="20"/>
        </w:rPr>
        <w:t xml:space="preserve"> </w:t>
      </w:r>
      <w:r w:rsidRPr="00B004EE">
        <w:rPr>
          <w:rFonts w:ascii="Tahoma" w:hAnsi="Tahoma" w:cs="Tahoma"/>
          <w:color w:val="auto"/>
          <w:sz w:val="20"/>
          <w:szCs w:val="20"/>
        </w:rPr>
        <w:t>milieu</w:t>
      </w:r>
      <w:r w:rsidR="00DB1635" w:rsidRPr="00B004EE">
        <w:rPr>
          <w:rFonts w:ascii="Tahoma" w:hAnsi="Tahoma" w:cs="Tahoma"/>
          <w:color w:val="auto"/>
          <w:sz w:val="20"/>
          <w:szCs w:val="20"/>
        </w:rPr>
        <w:t xml:space="preserve"> </w:t>
      </w:r>
      <w:r w:rsidRPr="00B004EE">
        <w:rPr>
          <w:rFonts w:ascii="Tahoma" w:hAnsi="Tahoma" w:cs="Tahoma"/>
          <w:color w:val="auto"/>
          <w:sz w:val="20"/>
          <w:szCs w:val="20"/>
        </w:rPr>
        <w:t>marin.</w:t>
      </w:r>
      <w:r w:rsidR="00DB1635" w:rsidRPr="00B004EE">
        <w:rPr>
          <w:rFonts w:ascii="Tahoma" w:hAnsi="Tahoma" w:cs="Tahoma"/>
          <w:color w:val="auto"/>
          <w:sz w:val="20"/>
          <w:szCs w:val="20"/>
        </w:rPr>
        <w:t xml:space="preserve"> </w:t>
      </w:r>
      <w:r w:rsidRPr="00B004EE">
        <w:rPr>
          <w:rFonts w:ascii="Tahoma" w:hAnsi="Tahoma" w:cs="Tahoma"/>
          <w:color w:val="auto"/>
          <w:sz w:val="20"/>
          <w:szCs w:val="20"/>
        </w:rPr>
        <w:t>Ces</w:t>
      </w:r>
      <w:r w:rsidR="00DB1635" w:rsidRPr="00B004EE">
        <w:rPr>
          <w:rFonts w:ascii="Tahoma" w:hAnsi="Tahoma" w:cs="Tahoma"/>
          <w:color w:val="auto"/>
          <w:sz w:val="20"/>
          <w:szCs w:val="20"/>
        </w:rPr>
        <w:t xml:space="preserve"> </w:t>
      </w:r>
      <w:r w:rsidRPr="00B004EE">
        <w:rPr>
          <w:rFonts w:ascii="Tahoma" w:hAnsi="Tahoma" w:cs="Tahoma"/>
          <w:color w:val="auto"/>
          <w:sz w:val="20"/>
          <w:szCs w:val="20"/>
        </w:rPr>
        <w:t>tabliers</w:t>
      </w:r>
      <w:r w:rsidR="00DB1635" w:rsidRPr="00B004EE">
        <w:rPr>
          <w:rFonts w:ascii="Tahoma" w:hAnsi="Tahoma" w:cs="Tahoma"/>
          <w:color w:val="auto"/>
          <w:sz w:val="20"/>
          <w:szCs w:val="20"/>
        </w:rPr>
        <w:t xml:space="preserve"> </w:t>
      </w:r>
      <w:r w:rsidRPr="00B004EE">
        <w:rPr>
          <w:rFonts w:ascii="Tahoma" w:hAnsi="Tahoma" w:cs="Tahoma"/>
          <w:color w:val="auto"/>
          <w:sz w:val="20"/>
          <w:szCs w:val="20"/>
        </w:rPr>
        <w:t>ne</w:t>
      </w:r>
      <w:r w:rsidR="00DB1635" w:rsidRPr="00B004EE">
        <w:rPr>
          <w:rFonts w:ascii="Tahoma" w:hAnsi="Tahoma" w:cs="Tahoma"/>
          <w:color w:val="auto"/>
          <w:sz w:val="20"/>
          <w:szCs w:val="20"/>
        </w:rPr>
        <w:t xml:space="preserve"> </w:t>
      </w:r>
      <w:r w:rsidRPr="00B004EE">
        <w:rPr>
          <w:rFonts w:ascii="Tahoma" w:hAnsi="Tahoma" w:cs="Tahoma"/>
          <w:color w:val="auto"/>
          <w:sz w:val="20"/>
          <w:szCs w:val="20"/>
        </w:rPr>
        <w:t>peuvent</w:t>
      </w:r>
      <w:r w:rsidR="00DB1635" w:rsidRPr="00B004EE">
        <w:rPr>
          <w:rFonts w:ascii="Tahoma" w:hAnsi="Tahoma" w:cs="Tahoma"/>
          <w:color w:val="auto"/>
          <w:sz w:val="20"/>
          <w:szCs w:val="20"/>
        </w:rPr>
        <w:t xml:space="preserve"> </w:t>
      </w:r>
      <w:r w:rsidRPr="00B004EE">
        <w:rPr>
          <w:rFonts w:ascii="Tahoma" w:hAnsi="Tahoma" w:cs="Tahoma"/>
          <w:color w:val="auto"/>
          <w:sz w:val="20"/>
          <w:szCs w:val="20"/>
        </w:rPr>
        <w:t>être</w:t>
      </w:r>
      <w:r w:rsidR="00DB1635" w:rsidRPr="00B004EE">
        <w:rPr>
          <w:rFonts w:ascii="Tahoma" w:hAnsi="Tahoma" w:cs="Tahoma"/>
          <w:color w:val="auto"/>
          <w:sz w:val="20"/>
          <w:szCs w:val="20"/>
        </w:rPr>
        <w:t xml:space="preserve"> </w:t>
      </w:r>
      <w:r w:rsidRPr="00B004EE">
        <w:rPr>
          <w:rFonts w:ascii="Tahoma" w:hAnsi="Tahoma" w:cs="Tahoma"/>
          <w:color w:val="auto"/>
          <w:sz w:val="20"/>
          <w:szCs w:val="20"/>
        </w:rPr>
        <w:t>fixés</w:t>
      </w:r>
      <w:r w:rsidR="00DB1635" w:rsidRPr="00B004EE">
        <w:rPr>
          <w:rFonts w:ascii="Tahoma" w:hAnsi="Tahoma" w:cs="Tahoma"/>
          <w:color w:val="auto"/>
          <w:sz w:val="20"/>
          <w:szCs w:val="20"/>
        </w:rPr>
        <w:t xml:space="preserve"> </w:t>
      </w:r>
      <w:r w:rsidRPr="00B004EE">
        <w:rPr>
          <w:rFonts w:ascii="Tahoma" w:hAnsi="Tahoma" w:cs="Tahoma"/>
          <w:color w:val="auto"/>
          <w:sz w:val="20"/>
          <w:szCs w:val="20"/>
        </w:rPr>
        <w:t>qu'aux</w:t>
      </w:r>
      <w:r w:rsidR="00DB1635" w:rsidRPr="00B004EE">
        <w:rPr>
          <w:rFonts w:ascii="Tahoma" w:hAnsi="Tahoma" w:cs="Tahoma"/>
          <w:color w:val="auto"/>
          <w:sz w:val="20"/>
          <w:szCs w:val="20"/>
        </w:rPr>
        <w:t xml:space="preserve"> </w:t>
      </w:r>
      <w:r w:rsidRPr="00B004EE">
        <w:rPr>
          <w:rFonts w:ascii="Tahoma" w:hAnsi="Tahoma" w:cs="Tahoma"/>
          <w:color w:val="auto"/>
          <w:sz w:val="20"/>
          <w:szCs w:val="20"/>
        </w:rPr>
        <w:t>bords</w:t>
      </w:r>
      <w:r w:rsidR="00DB1635" w:rsidRPr="00B004EE">
        <w:rPr>
          <w:rFonts w:ascii="Tahoma" w:hAnsi="Tahoma" w:cs="Tahoma"/>
          <w:color w:val="auto"/>
          <w:sz w:val="20"/>
          <w:szCs w:val="20"/>
        </w:rPr>
        <w:t xml:space="preserve"> </w:t>
      </w:r>
      <w:r w:rsidRPr="00B004EE">
        <w:rPr>
          <w:rFonts w:ascii="Tahoma" w:hAnsi="Tahoma" w:cs="Tahoma"/>
          <w:color w:val="auto"/>
          <w:sz w:val="20"/>
          <w:szCs w:val="20"/>
        </w:rPr>
        <w:t>antérieurs</w:t>
      </w:r>
      <w:r w:rsidR="00DB1635" w:rsidRPr="00B004EE">
        <w:rPr>
          <w:rFonts w:ascii="Tahoma" w:hAnsi="Tahoma" w:cs="Tahoma"/>
          <w:color w:val="auto"/>
          <w:sz w:val="20"/>
          <w:szCs w:val="20"/>
        </w:rPr>
        <w:t xml:space="preserve"> </w:t>
      </w:r>
      <w:r w:rsidRPr="00B004EE">
        <w:rPr>
          <w:rFonts w:ascii="Tahoma" w:hAnsi="Tahoma" w:cs="Tahoma"/>
          <w:color w:val="auto"/>
          <w:sz w:val="20"/>
          <w:szCs w:val="20"/>
        </w:rPr>
        <w:t>et</w:t>
      </w:r>
      <w:r w:rsidR="00DB1635" w:rsidRPr="00B004EE">
        <w:rPr>
          <w:rFonts w:ascii="Tahoma" w:hAnsi="Tahoma" w:cs="Tahoma"/>
          <w:color w:val="auto"/>
          <w:sz w:val="20"/>
          <w:szCs w:val="20"/>
        </w:rPr>
        <w:t xml:space="preserve"> </w:t>
      </w:r>
      <w:r w:rsidRPr="00B004EE">
        <w:rPr>
          <w:rFonts w:ascii="Tahoma" w:hAnsi="Tahoma" w:cs="Tahoma"/>
          <w:color w:val="auto"/>
          <w:sz w:val="20"/>
          <w:szCs w:val="20"/>
        </w:rPr>
        <w:t>latéraux</w:t>
      </w:r>
      <w:r w:rsidR="00DB1635" w:rsidRPr="00B004EE">
        <w:rPr>
          <w:rFonts w:ascii="Tahoma" w:hAnsi="Tahoma" w:cs="Tahoma"/>
          <w:color w:val="auto"/>
          <w:sz w:val="20"/>
          <w:szCs w:val="20"/>
        </w:rPr>
        <w:t xml:space="preserve"> </w:t>
      </w:r>
      <w:r w:rsidRPr="00B004EE">
        <w:rPr>
          <w:rFonts w:ascii="Tahoma" w:hAnsi="Tahoma" w:cs="Tahoma"/>
          <w:color w:val="auto"/>
          <w:sz w:val="20"/>
          <w:szCs w:val="20"/>
        </w:rPr>
        <w:t>de</w:t>
      </w:r>
      <w:r w:rsidR="00DB1635" w:rsidRPr="00B004EE">
        <w:rPr>
          <w:rFonts w:ascii="Tahoma" w:hAnsi="Tahoma" w:cs="Tahoma"/>
          <w:color w:val="auto"/>
          <w:sz w:val="20"/>
          <w:szCs w:val="20"/>
        </w:rPr>
        <w:t xml:space="preserve"> </w:t>
      </w:r>
      <w:r w:rsidRPr="00B004EE">
        <w:rPr>
          <w:rFonts w:ascii="Tahoma" w:hAnsi="Tahoma" w:cs="Tahoma"/>
          <w:color w:val="auto"/>
          <w:sz w:val="20"/>
          <w:szCs w:val="20"/>
        </w:rPr>
        <w:t>la</w:t>
      </w:r>
      <w:r w:rsidR="00DB1635" w:rsidRPr="00B004EE">
        <w:rPr>
          <w:rFonts w:ascii="Tahoma" w:hAnsi="Tahoma" w:cs="Tahoma"/>
          <w:color w:val="auto"/>
          <w:sz w:val="20"/>
          <w:szCs w:val="20"/>
        </w:rPr>
        <w:t xml:space="preserve"> </w:t>
      </w:r>
      <w:r w:rsidRPr="00B004EE">
        <w:rPr>
          <w:rFonts w:ascii="Tahoma" w:hAnsi="Tahoma" w:cs="Tahoma"/>
          <w:color w:val="auto"/>
          <w:sz w:val="20"/>
          <w:szCs w:val="20"/>
        </w:rPr>
        <w:t>poche</w:t>
      </w:r>
      <w:r w:rsidR="00DB1635" w:rsidRPr="00B004EE">
        <w:rPr>
          <w:rFonts w:ascii="Tahoma" w:hAnsi="Tahoma" w:cs="Tahoma"/>
          <w:color w:val="auto"/>
          <w:sz w:val="20"/>
          <w:szCs w:val="20"/>
        </w:rPr>
        <w:t xml:space="preserve"> </w:t>
      </w:r>
      <w:r w:rsidRPr="00B004EE">
        <w:rPr>
          <w:rFonts w:ascii="Tahoma" w:hAnsi="Tahoma" w:cs="Tahoma"/>
          <w:color w:val="auto"/>
          <w:sz w:val="20"/>
          <w:szCs w:val="20"/>
        </w:rPr>
        <w:t>des</w:t>
      </w:r>
      <w:r w:rsidR="00DB1635" w:rsidRPr="00B004EE">
        <w:rPr>
          <w:rFonts w:ascii="Tahoma" w:hAnsi="Tahoma" w:cs="Tahoma"/>
          <w:color w:val="auto"/>
          <w:sz w:val="20"/>
          <w:szCs w:val="20"/>
        </w:rPr>
        <w:t xml:space="preserve"> </w:t>
      </w:r>
      <w:r w:rsidRPr="00B004EE">
        <w:rPr>
          <w:rFonts w:ascii="Tahoma" w:hAnsi="Tahoma" w:cs="Tahoma"/>
          <w:color w:val="auto"/>
          <w:sz w:val="20"/>
          <w:szCs w:val="20"/>
        </w:rPr>
        <w:t>chaluts.</w:t>
      </w:r>
      <w:r w:rsidR="00DB1635" w:rsidRPr="00B004EE">
        <w:rPr>
          <w:rFonts w:ascii="Tahoma" w:hAnsi="Tahoma" w:cs="Tahoma"/>
          <w:color w:val="auto"/>
          <w:sz w:val="20"/>
          <w:szCs w:val="20"/>
        </w:rPr>
        <w:t xml:space="preserve"> </w:t>
      </w:r>
      <w:r w:rsidRPr="00B004EE">
        <w:rPr>
          <w:rFonts w:ascii="Tahoma" w:hAnsi="Tahoma" w:cs="Tahoma"/>
          <w:color w:val="auto"/>
          <w:sz w:val="20"/>
          <w:szCs w:val="20"/>
        </w:rPr>
        <w:t>Pour</w:t>
      </w:r>
      <w:r w:rsidR="00DB1635" w:rsidRPr="00B004EE">
        <w:rPr>
          <w:rFonts w:ascii="Tahoma" w:hAnsi="Tahoma" w:cs="Tahoma"/>
          <w:color w:val="auto"/>
          <w:sz w:val="20"/>
          <w:szCs w:val="20"/>
        </w:rPr>
        <w:t xml:space="preserve"> </w:t>
      </w:r>
      <w:r w:rsidRPr="00B004EE">
        <w:rPr>
          <w:rFonts w:ascii="Tahoma" w:hAnsi="Tahoma" w:cs="Tahoma"/>
          <w:color w:val="auto"/>
          <w:sz w:val="20"/>
          <w:szCs w:val="20"/>
        </w:rPr>
        <w:t>la</w:t>
      </w:r>
      <w:r w:rsidR="00DB1635" w:rsidRPr="00B004EE">
        <w:rPr>
          <w:rFonts w:ascii="Tahoma" w:hAnsi="Tahoma" w:cs="Tahoma"/>
          <w:color w:val="auto"/>
          <w:sz w:val="20"/>
          <w:szCs w:val="20"/>
        </w:rPr>
        <w:t xml:space="preserve"> </w:t>
      </w:r>
      <w:r w:rsidRPr="00B004EE">
        <w:rPr>
          <w:rFonts w:ascii="Tahoma" w:hAnsi="Tahoma" w:cs="Tahoma"/>
          <w:color w:val="auto"/>
          <w:sz w:val="20"/>
          <w:szCs w:val="20"/>
        </w:rPr>
        <w:t>partie</w:t>
      </w:r>
      <w:r w:rsidR="00DB1635" w:rsidRPr="00B004EE">
        <w:rPr>
          <w:rFonts w:ascii="Tahoma" w:hAnsi="Tahoma" w:cs="Tahoma"/>
          <w:color w:val="auto"/>
          <w:sz w:val="20"/>
          <w:szCs w:val="20"/>
        </w:rPr>
        <w:t xml:space="preserve"> </w:t>
      </w:r>
      <w:r w:rsidRPr="00B004EE">
        <w:rPr>
          <w:rFonts w:ascii="Tahoma" w:hAnsi="Tahoma" w:cs="Tahoma"/>
          <w:color w:val="auto"/>
          <w:sz w:val="20"/>
          <w:szCs w:val="20"/>
        </w:rPr>
        <w:t>dorsale</w:t>
      </w:r>
      <w:r w:rsidR="00DB1635" w:rsidRPr="00B004EE">
        <w:rPr>
          <w:rFonts w:ascii="Tahoma" w:hAnsi="Tahoma" w:cs="Tahoma"/>
          <w:color w:val="auto"/>
          <w:sz w:val="20"/>
          <w:szCs w:val="20"/>
        </w:rPr>
        <w:t xml:space="preserve"> </w:t>
      </w:r>
      <w:r w:rsidRPr="00B004EE">
        <w:rPr>
          <w:rFonts w:ascii="Tahoma" w:hAnsi="Tahoma" w:cs="Tahoma"/>
          <w:color w:val="auto"/>
          <w:sz w:val="20"/>
          <w:szCs w:val="20"/>
        </w:rPr>
        <w:t>des</w:t>
      </w:r>
      <w:r w:rsidR="00DB1635" w:rsidRPr="00B004EE">
        <w:rPr>
          <w:rFonts w:ascii="Tahoma" w:hAnsi="Tahoma" w:cs="Tahoma"/>
          <w:color w:val="auto"/>
          <w:sz w:val="20"/>
          <w:szCs w:val="20"/>
        </w:rPr>
        <w:t xml:space="preserve"> </w:t>
      </w:r>
      <w:r w:rsidRPr="00B004EE">
        <w:rPr>
          <w:rFonts w:ascii="Tahoma" w:hAnsi="Tahoma" w:cs="Tahoma"/>
          <w:color w:val="auto"/>
          <w:sz w:val="20"/>
          <w:szCs w:val="20"/>
        </w:rPr>
        <w:t>chaluts,</w:t>
      </w:r>
      <w:r w:rsidR="00DB1635" w:rsidRPr="00B004EE">
        <w:rPr>
          <w:rFonts w:ascii="Tahoma" w:hAnsi="Tahoma" w:cs="Tahoma"/>
          <w:color w:val="auto"/>
          <w:sz w:val="20"/>
          <w:szCs w:val="20"/>
        </w:rPr>
        <w:t xml:space="preserve"> </w:t>
      </w:r>
      <w:r w:rsidRPr="00B004EE">
        <w:rPr>
          <w:rFonts w:ascii="Tahoma" w:hAnsi="Tahoma" w:cs="Tahoma"/>
          <w:color w:val="auto"/>
          <w:sz w:val="20"/>
          <w:szCs w:val="20"/>
        </w:rPr>
        <w:t>il</w:t>
      </w:r>
      <w:r w:rsidR="00DB1635" w:rsidRPr="00B004EE">
        <w:rPr>
          <w:rFonts w:ascii="Tahoma" w:hAnsi="Tahoma" w:cs="Tahoma"/>
          <w:color w:val="auto"/>
          <w:sz w:val="20"/>
          <w:szCs w:val="20"/>
        </w:rPr>
        <w:t xml:space="preserve"> </w:t>
      </w:r>
      <w:r w:rsidRPr="00B004EE">
        <w:rPr>
          <w:rFonts w:ascii="Tahoma" w:hAnsi="Tahoma" w:cs="Tahoma"/>
          <w:color w:val="auto"/>
          <w:sz w:val="20"/>
          <w:szCs w:val="20"/>
        </w:rPr>
        <w:t>est</w:t>
      </w:r>
      <w:r w:rsidR="00DB1635" w:rsidRPr="00B004EE">
        <w:rPr>
          <w:rFonts w:ascii="Tahoma" w:hAnsi="Tahoma" w:cs="Tahoma"/>
          <w:color w:val="auto"/>
          <w:sz w:val="20"/>
          <w:szCs w:val="20"/>
        </w:rPr>
        <w:t xml:space="preserve"> </w:t>
      </w:r>
      <w:r w:rsidRPr="00B004EE">
        <w:rPr>
          <w:rFonts w:ascii="Tahoma" w:hAnsi="Tahoma" w:cs="Tahoma"/>
          <w:color w:val="auto"/>
          <w:sz w:val="20"/>
          <w:szCs w:val="20"/>
        </w:rPr>
        <w:t>permis</w:t>
      </w:r>
      <w:r w:rsidR="00DB1635" w:rsidRPr="00B004EE">
        <w:rPr>
          <w:rFonts w:ascii="Tahoma" w:hAnsi="Tahoma" w:cs="Tahoma"/>
          <w:color w:val="auto"/>
          <w:sz w:val="20"/>
          <w:szCs w:val="20"/>
        </w:rPr>
        <w:t xml:space="preserve"> </w:t>
      </w:r>
      <w:r w:rsidRPr="00B004EE">
        <w:rPr>
          <w:rFonts w:ascii="Tahoma" w:hAnsi="Tahoma" w:cs="Tahoma"/>
          <w:color w:val="auto"/>
          <w:sz w:val="20"/>
          <w:szCs w:val="20"/>
        </w:rPr>
        <w:t>d'utiliser</w:t>
      </w:r>
      <w:r w:rsidR="00DB1635" w:rsidRPr="00B004EE">
        <w:rPr>
          <w:rFonts w:ascii="Tahoma" w:hAnsi="Tahoma" w:cs="Tahoma"/>
          <w:color w:val="auto"/>
          <w:sz w:val="20"/>
          <w:szCs w:val="20"/>
        </w:rPr>
        <w:t xml:space="preserve"> </w:t>
      </w:r>
      <w:r w:rsidRPr="00B004EE">
        <w:rPr>
          <w:rFonts w:ascii="Tahoma" w:hAnsi="Tahoma" w:cs="Tahoma"/>
          <w:color w:val="auto"/>
          <w:sz w:val="20"/>
          <w:szCs w:val="20"/>
        </w:rPr>
        <w:t>des</w:t>
      </w:r>
      <w:r w:rsidR="00DB1635" w:rsidRPr="00B004EE">
        <w:rPr>
          <w:rFonts w:ascii="Tahoma" w:hAnsi="Tahoma" w:cs="Tahoma"/>
          <w:color w:val="auto"/>
          <w:sz w:val="20"/>
          <w:szCs w:val="20"/>
        </w:rPr>
        <w:t xml:space="preserve"> </w:t>
      </w:r>
      <w:r w:rsidRPr="00B004EE">
        <w:rPr>
          <w:rFonts w:ascii="Tahoma" w:hAnsi="Tahoma" w:cs="Tahoma"/>
          <w:color w:val="auto"/>
          <w:sz w:val="20"/>
          <w:szCs w:val="20"/>
        </w:rPr>
        <w:t>dispositifs</w:t>
      </w:r>
      <w:r w:rsidR="00DB1635" w:rsidRPr="00B004EE">
        <w:rPr>
          <w:rFonts w:ascii="Tahoma" w:hAnsi="Tahoma" w:cs="Tahoma"/>
          <w:color w:val="auto"/>
          <w:sz w:val="20"/>
          <w:szCs w:val="20"/>
        </w:rPr>
        <w:t xml:space="preserve"> </w:t>
      </w:r>
      <w:r w:rsidRPr="00B004EE">
        <w:rPr>
          <w:rFonts w:ascii="Tahoma" w:hAnsi="Tahoma" w:cs="Tahoma"/>
          <w:color w:val="auto"/>
          <w:sz w:val="20"/>
          <w:szCs w:val="20"/>
        </w:rPr>
        <w:t>de</w:t>
      </w:r>
      <w:r w:rsidR="00DB1635" w:rsidRPr="00B004EE">
        <w:rPr>
          <w:rFonts w:ascii="Tahoma" w:hAnsi="Tahoma" w:cs="Tahoma"/>
          <w:color w:val="auto"/>
          <w:sz w:val="20"/>
          <w:szCs w:val="20"/>
        </w:rPr>
        <w:t xml:space="preserve"> </w:t>
      </w:r>
      <w:r w:rsidRPr="00B004EE">
        <w:rPr>
          <w:rFonts w:ascii="Tahoma" w:hAnsi="Tahoma" w:cs="Tahoma"/>
          <w:color w:val="auto"/>
          <w:sz w:val="20"/>
          <w:szCs w:val="20"/>
        </w:rPr>
        <w:t>protection</w:t>
      </w:r>
      <w:r w:rsidR="00DB1635" w:rsidRPr="00B004EE">
        <w:rPr>
          <w:rFonts w:ascii="Tahoma" w:hAnsi="Tahoma" w:cs="Tahoma"/>
          <w:color w:val="auto"/>
          <w:sz w:val="20"/>
          <w:szCs w:val="20"/>
        </w:rPr>
        <w:t xml:space="preserve"> </w:t>
      </w:r>
      <w:r w:rsidRPr="00B004EE">
        <w:rPr>
          <w:rFonts w:ascii="Tahoma" w:hAnsi="Tahoma" w:cs="Tahoma"/>
          <w:color w:val="auto"/>
          <w:sz w:val="20"/>
          <w:szCs w:val="20"/>
        </w:rPr>
        <w:t>à</w:t>
      </w:r>
      <w:r w:rsidR="00DB1635" w:rsidRPr="00B004EE">
        <w:rPr>
          <w:rFonts w:ascii="Tahoma" w:hAnsi="Tahoma" w:cs="Tahoma"/>
          <w:color w:val="auto"/>
          <w:sz w:val="20"/>
          <w:szCs w:val="20"/>
        </w:rPr>
        <w:t xml:space="preserve"> </w:t>
      </w:r>
      <w:r w:rsidRPr="00B004EE">
        <w:rPr>
          <w:rFonts w:ascii="Tahoma" w:hAnsi="Tahoma" w:cs="Tahoma"/>
          <w:color w:val="auto"/>
          <w:sz w:val="20"/>
          <w:szCs w:val="20"/>
        </w:rPr>
        <w:t>condition</w:t>
      </w:r>
      <w:r w:rsidR="00DB1635" w:rsidRPr="00B004EE">
        <w:rPr>
          <w:rFonts w:ascii="Tahoma" w:hAnsi="Tahoma" w:cs="Tahoma"/>
          <w:color w:val="auto"/>
          <w:sz w:val="20"/>
          <w:szCs w:val="20"/>
        </w:rPr>
        <w:t xml:space="preserve"> </w:t>
      </w:r>
      <w:r w:rsidRPr="00B004EE">
        <w:rPr>
          <w:rFonts w:ascii="Tahoma" w:hAnsi="Tahoma" w:cs="Tahoma"/>
          <w:color w:val="auto"/>
          <w:sz w:val="20"/>
          <w:szCs w:val="20"/>
        </w:rPr>
        <w:t>qu'ils</w:t>
      </w:r>
      <w:r w:rsidR="00DB1635" w:rsidRPr="00B004EE">
        <w:rPr>
          <w:rFonts w:ascii="Tahoma" w:hAnsi="Tahoma" w:cs="Tahoma"/>
          <w:color w:val="auto"/>
          <w:sz w:val="20"/>
          <w:szCs w:val="20"/>
        </w:rPr>
        <w:t xml:space="preserve"> </w:t>
      </w:r>
      <w:r w:rsidRPr="00B004EE">
        <w:rPr>
          <w:rFonts w:ascii="Tahoma" w:hAnsi="Tahoma" w:cs="Tahoma"/>
          <w:color w:val="auto"/>
          <w:sz w:val="20"/>
          <w:szCs w:val="20"/>
        </w:rPr>
        <w:t>consistent</w:t>
      </w:r>
      <w:r w:rsidR="00DB1635" w:rsidRPr="00B004EE">
        <w:rPr>
          <w:rFonts w:ascii="Tahoma" w:hAnsi="Tahoma" w:cs="Tahoma"/>
          <w:color w:val="auto"/>
          <w:sz w:val="20"/>
          <w:szCs w:val="20"/>
        </w:rPr>
        <w:t xml:space="preserve"> </w:t>
      </w:r>
      <w:r w:rsidRPr="00B004EE">
        <w:rPr>
          <w:rFonts w:ascii="Tahoma" w:hAnsi="Tahoma" w:cs="Tahoma"/>
          <w:color w:val="auto"/>
          <w:sz w:val="20"/>
          <w:szCs w:val="20"/>
        </w:rPr>
        <w:t>en</w:t>
      </w:r>
      <w:r w:rsidR="00DB1635" w:rsidRPr="00B004EE">
        <w:rPr>
          <w:rFonts w:ascii="Tahoma" w:hAnsi="Tahoma" w:cs="Tahoma"/>
          <w:color w:val="auto"/>
          <w:sz w:val="20"/>
          <w:szCs w:val="20"/>
        </w:rPr>
        <w:t xml:space="preserve"> </w:t>
      </w:r>
      <w:r w:rsidRPr="00B004EE">
        <w:rPr>
          <w:rFonts w:ascii="Tahoma" w:hAnsi="Tahoma" w:cs="Tahoma"/>
          <w:color w:val="auto"/>
          <w:sz w:val="20"/>
          <w:szCs w:val="20"/>
        </w:rPr>
        <w:t>une</w:t>
      </w:r>
      <w:r w:rsidR="00DB1635" w:rsidRPr="00B004EE">
        <w:rPr>
          <w:rFonts w:ascii="Tahoma" w:hAnsi="Tahoma" w:cs="Tahoma"/>
          <w:color w:val="auto"/>
          <w:sz w:val="20"/>
          <w:szCs w:val="20"/>
        </w:rPr>
        <w:t xml:space="preserve"> </w:t>
      </w:r>
      <w:r w:rsidRPr="00B004EE">
        <w:rPr>
          <w:rFonts w:ascii="Tahoma" w:hAnsi="Tahoma" w:cs="Tahoma"/>
          <w:color w:val="auto"/>
          <w:sz w:val="20"/>
          <w:szCs w:val="20"/>
        </w:rPr>
        <w:t>pièce</w:t>
      </w:r>
      <w:r w:rsidR="00DB1635" w:rsidRPr="00B004EE">
        <w:rPr>
          <w:rFonts w:ascii="Tahoma" w:hAnsi="Tahoma" w:cs="Tahoma"/>
          <w:color w:val="auto"/>
          <w:sz w:val="20"/>
          <w:szCs w:val="20"/>
        </w:rPr>
        <w:t xml:space="preserve"> </w:t>
      </w:r>
      <w:r w:rsidRPr="00B004EE">
        <w:rPr>
          <w:rFonts w:ascii="Tahoma" w:hAnsi="Tahoma" w:cs="Tahoma"/>
          <w:color w:val="auto"/>
          <w:sz w:val="20"/>
          <w:szCs w:val="20"/>
        </w:rPr>
        <w:t>unique</w:t>
      </w:r>
      <w:r w:rsidR="00DB1635" w:rsidRPr="00B004EE">
        <w:rPr>
          <w:rFonts w:ascii="Tahoma" w:hAnsi="Tahoma" w:cs="Tahoma"/>
          <w:color w:val="auto"/>
          <w:sz w:val="20"/>
          <w:szCs w:val="20"/>
        </w:rPr>
        <w:t xml:space="preserve"> </w:t>
      </w:r>
      <w:r w:rsidRPr="00B004EE">
        <w:rPr>
          <w:rFonts w:ascii="Tahoma" w:hAnsi="Tahoma" w:cs="Tahoma"/>
          <w:color w:val="auto"/>
          <w:sz w:val="20"/>
          <w:szCs w:val="20"/>
        </w:rPr>
        <w:t>de</w:t>
      </w:r>
      <w:r w:rsidR="00DB1635" w:rsidRPr="00B004EE">
        <w:rPr>
          <w:rFonts w:ascii="Tahoma" w:hAnsi="Tahoma" w:cs="Tahoma"/>
          <w:color w:val="auto"/>
          <w:sz w:val="20"/>
          <w:szCs w:val="20"/>
        </w:rPr>
        <w:t xml:space="preserve"> </w:t>
      </w:r>
      <w:r w:rsidRPr="00B004EE">
        <w:rPr>
          <w:rFonts w:ascii="Tahoma" w:hAnsi="Tahoma" w:cs="Tahoma"/>
          <w:color w:val="auto"/>
          <w:sz w:val="20"/>
          <w:szCs w:val="20"/>
        </w:rPr>
        <w:t>filet</w:t>
      </w:r>
      <w:r w:rsidR="00DB1635" w:rsidRPr="00B004EE">
        <w:rPr>
          <w:rFonts w:ascii="Tahoma" w:hAnsi="Tahoma" w:cs="Tahoma"/>
          <w:color w:val="auto"/>
          <w:sz w:val="20"/>
          <w:szCs w:val="20"/>
        </w:rPr>
        <w:t xml:space="preserve"> </w:t>
      </w:r>
      <w:r w:rsidRPr="00B004EE">
        <w:rPr>
          <w:rFonts w:ascii="Tahoma" w:hAnsi="Tahoma" w:cs="Tahoma"/>
          <w:color w:val="auto"/>
          <w:sz w:val="20"/>
          <w:szCs w:val="20"/>
        </w:rPr>
        <w:t>de</w:t>
      </w:r>
      <w:r w:rsidR="00DB1635" w:rsidRPr="00B004EE">
        <w:rPr>
          <w:rFonts w:ascii="Tahoma" w:hAnsi="Tahoma" w:cs="Tahoma"/>
          <w:color w:val="auto"/>
          <w:sz w:val="20"/>
          <w:szCs w:val="20"/>
        </w:rPr>
        <w:t xml:space="preserve"> </w:t>
      </w:r>
      <w:r w:rsidRPr="00B004EE">
        <w:rPr>
          <w:rFonts w:ascii="Tahoma" w:hAnsi="Tahoma" w:cs="Tahoma"/>
          <w:color w:val="auto"/>
          <w:sz w:val="20"/>
          <w:szCs w:val="20"/>
        </w:rPr>
        <w:t>même</w:t>
      </w:r>
      <w:r w:rsidR="00DB1635" w:rsidRPr="00B004EE">
        <w:rPr>
          <w:rFonts w:ascii="Tahoma" w:hAnsi="Tahoma" w:cs="Tahoma"/>
          <w:color w:val="auto"/>
          <w:sz w:val="20"/>
          <w:szCs w:val="20"/>
        </w:rPr>
        <w:t xml:space="preserve"> </w:t>
      </w:r>
      <w:r w:rsidRPr="00B004EE">
        <w:rPr>
          <w:rFonts w:ascii="Tahoma" w:hAnsi="Tahoma" w:cs="Tahoma"/>
          <w:color w:val="auto"/>
          <w:sz w:val="20"/>
          <w:szCs w:val="20"/>
        </w:rPr>
        <w:t>matériau</w:t>
      </w:r>
      <w:r w:rsidR="00DB1635" w:rsidRPr="00B004EE">
        <w:rPr>
          <w:rFonts w:ascii="Tahoma" w:hAnsi="Tahoma" w:cs="Tahoma"/>
          <w:color w:val="auto"/>
          <w:sz w:val="20"/>
          <w:szCs w:val="20"/>
        </w:rPr>
        <w:t xml:space="preserve"> </w:t>
      </w:r>
      <w:r w:rsidRPr="00B004EE">
        <w:rPr>
          <w:rFonts w:ascii="Tahoma" w:hAnsi="Tahoma" w:cs="Tahoma"/>
          <w:color w:val="auto"/>
          <w:sz w:val="20"/>
          <w:szCs w:val="20"/>
        </w:rPr>
        <w:t>que</w:t>
      </w:r>
      <w:r w:rsidR="00DB1635" w:rsidRPr="00B004EE">
        <w:rPr>
          <w:rFonts w:ascii="Tahoma" w:hAnsi="Tahoma" w:cs="Tahoma"/>
          <w:color w:val="auto"/>
          <w:sz w:val="20"/>
          <w:szCs w:val="20"/>
        </w:rPr>
        <w:t xml:space="preserve"> </w:t>
      </w:r>
      <w:r w:rsidRPr="00B004EE">
        <w:rPr>
          <w:rFonts w:ascii="Tahoma" w:hAnsi="Tahoma" w:cs="Tahoma"/>
          <w:color w:val="auto"/>
          <w:sz w:val="20"/>
          <w:szCs w:val="20"/>
        </w:rPr>
        <w:t>la</w:t>
      </w:r>
      <w:r w:rsidR="00DB1635" w:rsidRPr="00B004EE">
        <w:rPr>
          <w:rFonts w:ascii="Tahoma" w:hAnsi="Tahoma" w:cs="Tahoma"/>
          <w:color w:val="auto"/>
          <w:sz w:val="20"/>
          <w:szCs w:val="20"/>
        </w:rPr>
        <w:t xml:space="preserve"> </w:t>
      </w:r>
      <w:r w:rsidRPr="00B004EE">
        <w:rPr>
          <w:rFonts w:ascii="Tahoma" w:hAnsi="Tahoma" w:cs="Tahoma"/>
          <w:color w:val="auto"/>
          <w:sz w:val="20"/>
          <w:szCs w:val="20"/>
        </w:rPr>
        <w:t>poche</w:t>
      </w:r>
      <w:r w:rsidR="00DB1635" w:rsidRPr="00B004EE">
        <w:rPr>
          <w:rFonts w:ascii="Tahoma" w:hAnsi="Tahoma" w:cs="Tahoma"/>
          <w:color w:val="auto"/>
          <w:sz w:val="20"/>
          <w:szCs w:val="20"/>
        </w:rPr>
        <w:t xml:space="preserve"> </w:t>
      </w:r>
      <w:r w:rsidRPr="00B004EE">
        <w:rPr>
          <w:rFonts w:ascii="Tahoma" w:hAnsi="Tahoma" w:cs="Tahoma"/>
          <w:color w:val="auto"/>
          <w:sz w:val="20"/>
          <w:szCs w:val="20"/>
        </w:rPr>
        <w:t>et</w:t>
      </w:r>
      <w:r w:rsidR="00DB1635" w:rsidRPr="00B004EE">
        <w:rPr>
          <w:rFonts w:ascii="Tahoma" w:hAnsi="Tahoma" w:cs="Tahoma"/>
          <w:color w:val="auto"/>
          <w:sz w:val="20"/>
          <w:szCs w:val="20"/>
        </w:rPr>
        <w:t xml:space="preserve"> </w:t>
      </w:r>
      <w:r w:rsidRPr="00B004EE">
        <w:rPr>
          <w:rFonts w:ascii="Tahoma" w:hAnsi="Tahoma" w:cs="Tahoma"/>
          <w:color w:val="auto"/>
          <w:sz w:val="20"/>
          <w:szCs w:val="20"/>
        </w:rPr>
        <w:t>dont</w:t>
      </w:r>
      <w:r w:rsidR="00DB1635" w:rsidRPr="00B004EE">
        <w:rPr>
          <w:rFonts w:ascii="Tahoma" w:hAnsi="Tahoma" w:cs="Tahoma"/>
          <w:color w:val="auto"/>
          <w:sz w:val="20"/>
          <w:szCs w:val="20"/>
        </w:rPr>
        <w:t xml:space="preserve"> </w:t>
      </w:r>
      <w:r w:rsidRPr="00B004EE">
        <w:rPr>
          <w:rFonts w:ascii="Tahoma" w:hAnsi="Tahoma" w:cs="Tahoma"/>
          <w:color w:val="auto"/>
          <w:sz w:val="20"/>
          <w:szCs w:val="20"/>
        </w:rPr>
        <w:t>l'ouverture</w:t>
      </w:r>
      <w:r w:rsidR="00DB1635" w:rsidRPr="00B004EE">
        <w:rPr>
          <w:rFonts w:ascii="Tahoma" w:hAnsi="Tahoma" w:cs="Tahoma"/>
          <w:color w:val="auto"/>
          <w:sz w:val="20"/>
          <w:szCs w:val="20"/>
        </w:rPr>
        <w:t xml:space="preserve"> </w:t>
      </w:r>
      <w:r w:rsidRPr="00B004EE">
        <w:rPr>
          <w:rFonts w:ascii="Tahoma" w:hAnsi="Tahoma" w:cs="Tahoma"/>
          <w:color w:val="auto"/>
          <w:sz w:val="20"/>
          <w:szCs w:val="20"/>
        </w:rPr>
        <w:t>des</w:t>
      </w:r>
      <w:r w:rsidR="00DB1635" w:rsidRPr="00B004EE">
        <w:rPr>
          <w:rFonts w:ascii="Tahoma" w:hAnsi="Tahoma" w:cs="Tahoma"/>
          <w:color w:val="auto"/>
          <w:sz w:val="20"/>
          <w:szCs w:val="20"/>
        </w:rPr>
        <w:t xml:space="preserve"> </w:t>
      </w:r>
      <w:r w:rsidRPr="00B004EE">
        <w:rPr>
          <w:rFonts w:ascii="Tahoma" w:hAnsi="Tahoma" w:cs="Tahoma"/>
          <w:color w:val="auto"/>
          <w:sz w:val="20"/>
          <w:szCs w:val="20"/>
        </w:rPr>
        <w:t>mailles</w:t>
      </w:r>
      <w:r w:rsidR="00DB1635" w:rsidRPr="00B004EE">
        <w:rPr>
          <w:rFonts w:ascii="Tahoma" w:hAnsi="Tahoma" w:cs="Tahoma"/>
          <w:color w:val="auto"/>
          <w:sz w:val="20"/>
          <w:szCs w:val="20"/>
        </w:rPr>
        <w:t xml:space="preserve"> </w:t>
      </w:r>
      <w:r w:rsidRPr="00B004EE">
        <w:rPr>
          <w:rFonts w:ascii="Tahoma" w:hAnsi="Tahoma" w:cs="Tahoma"/>
          <w:color w:val="auto"/>
          <w:sz w:val="20"/>
          <w:szCs w:val="20"/>
        </w:rPr>
        <w:t>mesure</w:t>
      </w:r>
      <w:r w:rsidR="00DB1635" w:rsidRPr="00B004EE">
        <w:rPr>
          <w:rFonts w:ascii="Tahoma" w:hAnsi="Tahoma" w:cs="Tahoma"/>
          <w:color w:val="auto"/>
          <w:sz w:val="20"/>
          <w:szCs w:val="20"/>
        </w:rPr>
        <w:t xml:space="preserve"> </w:t>
      </w:r>
      <w:r w:rsidRPr="00B004EE">
        <w:rPr>
          <w:rFonts w:ascii="Tahoma" w:hAnsi="Tahoma" w:cs="Tahoma"/>
          <w:color w:val="auto"/>
          <w:sz w:val="20"/>
          <w:szCs w:val="20"/>
        </w:rPr>
        <w:t>au</w:t>
      </w:r>
      <w:r w:rsidR="00DB1635" w:rsidRPr="00B004EE">
        <w:rPr>
          <w:rFonts w:ascii="Tahoma" w:hAnsi="Tahoma" w:cs="Tahoma"/>
          <w:color w:val="auto"/>
          <w:sz w:val="20"/>
          <w:szCs w:val="20"/>
        </w:rPr>
        <w:t xml:space="preserve"> </w:t>
      </w:r>
      <w:r w:rsidRPr="00B004EE">
        <w:rPr>
          <w:rFonts w:ascii="Tahoma" w:hAnsi="Tahoma" w:cs="Tahoma"/>
          <w:color w:val="auto"/>
          <w:sz w:val="20"/>
          <w:szCs w:val="20"/>
        </w:rPr>
        <w:t>moins</w:t>
      </w:r>
      <w:r w:rsidR="00DB1635" w:rsidRPr="00B004EE">
        <w:rPr>
          <w:rFonts w:ascii="Tahoma" w:hAnsi="Tahoma" w:cs="Tahoma"/>
          <w:color w:val="auto"/>
          <w:sz w:val="20"/>
          <w:szCs w:val="20"/>
        </w:rPr>
        <w:t xml:space="preserve"> </w:t>
      </w:r>
      <w:r w:rsidRPr="00B004EE">
        <w:rPr>
          <w:rFonts w:ascii="Tahoma" w:hAnsi="Tahoma" w:cs="Tahoma"/>
          <w:color w:val="auto"/>
          <w:sz w:val="20"/>
          <w:szCs w:val="20"/>
        </w:rPr>
        <w:t>trois</w:t>
      </w:r>
      <w:r w:rsidR="00DB1635" w:rsidRPr="00B004EE">
        <w:rPr>
          <w:rFonts w:ascii="Tahoma" w:hAnsi="Tahoma" w:cs="Tahoma"/>
          <w:color w:val="auto"/>
          <w:sz w:val="20"/>
          <w:szCs w:val="20"/>
        </w:rPr>
        <w:t xml:space="preserve"> </w:t>
      </w:r>
      <w:r w:rsidRPr="00B004EE">
        <w:rPr>
          <w:rFonts w:ascii="Tahoma" w:hAnsi="Tahoma" w:cs="Tahoma"/>
          <w:color w:val="auto"/>
          <w:sz w:val="20"/>
          <w:szCs w:val="20"/>
        </w:rPr>
        <w:t>cents</w:t>
      </w:r>
      <w:r w:rsidR="00DB1635" w:rsidRPr="00B004EE">
        <w:rPr>
          <w:rFonts w:ascii="Tahoma" w:hAnsi="Tahoma" w:cs="Tahoma"/>
          <w:color w:val="auto"/>
          <w:sz w:val="20"/>
          <w:szCs w:val="20"/>
        </w:rPr>
        <w:t xml:space="preserve"> </w:t>
      </w:r>
      <w:r w:rsidRPr="00B004EE">
        <w:rPr>
          <w:rFonts w:ascii="Tahoma" w:hAnsi="Tahoma" w:cs="Tahoma"/>
          <w:color w:val="auto"/>
          <w:sz w:val="20"/>
          <w:szCs w:val="20"/>
        </w:rPr>
        <w:t>(300)</w:t>
      </w:r>
      <w:r w:rsidR="00DB1635" w:rsidRPr="00B004EE">
        <w:rPr>
          <w:rFonts w:ascii="Tahoma" w:hAnsi="Tahoma" w:cs="Tahoma"/>
          <w:color w:val="auto"/>
          <w:sz w:val="20"/>
          <w:szCs w:val="20"/>
        </w:rPr>
        <w:t xml:space="preserve"> </w:t>
      </w:r>
      <w:r w:rsidRPr="00B004EE">
        <w:rPr>
          <w:rFonts w:ascii="Tahoma" w:hAnsi="Tahoma" w:cs="Tahoma"/>
          <w:color w:val="auto"/>
          <w:sz w:val="20"/>
          <w:szCs w:val="20"/>
        </w:rPr>
        <w:t>mm.</w:t>
      </w:r>
    </w:p>
    <w:p w14:paraId="145C0E59" w14:textId="7A3923D7" w:rsidR="008518B0" w:rsidRPr="00B004EE" w:rsidRDefault="008518B0" w:rsidP="00B004EE">
      <w:pPr>
        <w:pStyle w:val="Retraitcorpsdetexte2"/>
        <w:ind w:left="0" w:firstLine="0"/>
        <w:rPr>
          <w:rFonts w:ascii="Tahoma" w:hAnsi="Tahoma" w:cs="Tahoma"/>
          <w:color w:val="auto"/>
          <w:sz w:val="20"/>
          <w:szCs w:val="20"/>
        </w:rPr>
      </w:pPr>
      <w:r w:rsidRPr="00B004EE">
        <w:rPr>
          <w:rFonts w:ascii="Tahoma" w:hAnsi="Tahoma" w:cs="Tahoma"/>
          <w:color w:val="auto"/>
          <w:sz w:val="20"/>
          <w:szCs w:val="20"/>
        </w:rPr>
        <w:t>Sans</w:t>
      </w:r>
      <w:r w:rsidR="00DB1635" w:rsidRPr="00B004EE">
        <w:rPr>
          <w:rFonts w:ascii="Tahoma" w:hAnsi="Tahoma" w:cs="Tahoma"/>
          <w:color w:val="auto"/>
          <w:sz w:val="20"/>
          <w:szCs w:val="20"/>
        </w:rPr>
        <w:t xml:space="preserve"> </w:t>
      </w:r>
      <w:r w:rsidRPr="00B004EE">
        <w:rPr>
          <w:rFonts w:ascii="Tahoma" w:hAnsi="Tahoma" w:cs="Tahoma"/>
          <w:color w:val="auto"/>
          <w:sz w:val="20"/>
          <w:szCs w:val="20"/>
        </w:rPr>
        <w:t>préjudice</w:t>
      </w:r>
      <w:r w:rsidR="00DB1635" w:rsidRPr="00B004EE">
        <w:rPr>
          <w:rFonts w:ascii="Tahoma" w:hAnsi="Tahoma" w:cs="Tahoma"/>
          <w:color w:val="auto"/>
          <w:sz w:val="20"/>
          <w:szCs w:val="20"/>
        </w:rPr>
        <w:t xml:space="preserve"> </w:t>
      </w:r>
      <w:r w:rsidRPr="00B004EE">
        <w:rPr>
          <w:rFonts w:ascii="Tahoma" w:hAnsi="Tahoma" w:cs="Tahoma"/>
          <w:color w:val="auto"/>
          <w:sz w:val="20"/>
          <w:szCs w:val="20"/>
        </w:rPr>
        <w:t>des</w:t>
      </w:r>
      <w:r w:rsidR="00DB1635" w:rsidRPr="00B004EE">
        <w:rPr>
          <w:rFonts w:ascii="Tahoma" w:hAnsi="Tahoma" w:cs="Tahoma"/>
          <w:color w:val="auto"/>
          <w:sz w:val="20"/>
          <w:szCs w:val="20"/>
        </w:rPr>
        <w:t xml:space="preserve"> </w:t>
      </w:r>
      <w:r w:rsidRPr="00B004EE">
        <w:rPr>
          <w:rFonts w:ascii="Tahoma" w:hAnsi="Tahoma" w:cs="Tahoma"/>
          <w:color w:val="auto"/>
          <w:sz w:val="20"/>
          <w:szCs w:val="20"/>
        </w:rPr>
        <w:t>dispositions</w:t>
      </w:r>
      <w:r w:rsidR="00DB1635" w:rsidRPr="00B004EE">
        <w:rPr>
          <w:rFonts w:ascii="Tahoma" w:hAnsi="Tahoma" w:cs="Tahoma"/>
          <w:color w:val="auto"/>
          <w:sz w:val="20"/>
          <w:szCs w:val="20"/>
        </w:rPr>
        <w:t xml:space="preserve"> </w:t>
      </w:r>
      <w:r w:rsidRPr="00B004EE">
        <w:rPr>
          <w:rFonts w:ascii="Tahoma" w:hAnsi="Tahoma" w:cs="Tahoma"/>
          <w:color w:val="auto"/>
          <w:sz w:val="20"/>
          <w:szCs w:val="20"/>
        </w:rPr>
        <w:t>ci-dessus,</w:t>
      </w:r>
      <w:r w:rsidR="00DB1635" w:rsidRPr="00B004EE">
        <w:rPr>
          <w:rFonts w:ascii="Tahoma" w:hAnsi="Tahoma" w:cs="Tahoma"/>
          <w:color w:val="auto"/>
          <w:sz w:val="20"/>
          <w:szCs w:val="20"/>
        </w:rPr>
        <w:t xml:space="preserve"> </w:t>
      </w:r>
      <w:r w:rsidRPr="00B004EE">
        <w:rPr>
          <w:rFonts w:ascii="Tahoma" w:hAnsi="Tahoma" w:cs="Tahoma"/>
          <w:color w:val="auto"/>
          <w:sz w:val="20"/>
          <w:szCs w:val="20"/>
        </w:rPr>
        <w:t>les</w:t>
      </w:r>
      <w:r w:rsidR="00DB1635" w:rsidRPr="00B004EE">
        <w:rPr>
          <w:rFonts w:ascii="Tahoma" w:hAnsi="Tahoma" w:cs="Tahoma"/>
          <w:color w:val="auto"/>
          <w:sz w:val="20"/>
          <w:szCs w:val="20"/>
        </w:rPr>
        <w:t xml:space="preserve"> </w:t>
      </w:r>
      <w:r w:rsidRPr="00B004EE">
        <w:rPr>
          <w:rFonts w:ascii="Tahoma" w:hAnsi="Tahoma" w:cs="Tahoma"/>
          <w:color w:val="auto"/>
          <w:sz w:val="20"/>
          <w:szCs w:val="20"/>
        </w:rPr>
        <w:t>tabliers</w:t>
      </w:r>
      <w:r w:rsidR="00DB1635" w:rsidRPr="00B004EE">
        <w:rPr>
          <w:rFonts w:ascii="Tahoma" w:hAnsi="Tahoma" w:cs="Tahoma"/>
          <w:color w:val="auto"/>
          <w:sz w:val="20"/>
          <w:szCs w:val="20"/>
        </w:rPr>
        <w:t xml:space="preserve"> </w:t>
      </w:r>
      <w:r w:rsidRPr="00B004EE">
        <w:rPr>
          <w:rFonts w:ascii="Tahoma" w:hAnsi="Tahoma" w:cs="Tahoma"/>
          <w:color w:val="auto"/>
          <w:sz w:val="20"/>
          <w:szCs w:val="20"/>
        </w:rPr>
        <w:t>et</w:t>
      </w:r>
      <w:r w:rsidR="00DB1635" w:rsidRPr="00B004EE">
        <w:rPr>
          <w:rFonts w:ascii="Tahoma" w:hAnsi="Tahoma" w:cs="Tahoma"/>
          <w:color w:val="auto"/>
          <w:sz w:val="20"/>
          <w:szCs w:val="20"/>
        </w:rPr>
        <w:t xml:space="preserve"> </w:t>
      </w:r>
      <w:r w:rsidRPr="00B004EE">
        <w:rPr>
          <w:rFonts w:ascii="Tahoma" w:hAnsi="Tahoma" w:cs="Tahoma"/>
          <w:color w:val="auto"/>
          <w:sz w:val="20"/>
          <w:szCs w:val="20"/>
        </w:rPr>
        <w:t>erses</w:t>
      </w:r>
      <w:r w:rsidR="00DB1635" w:rsidRPr="00B004EE">
        <w:rPr>
          <w:rFonts w:ascii="Tahoma" w:hAnsi="Tahoma" w:cs="Tahoma"/>
          <w:color w:val="auto"/>
          <w:sz w:val="20"/>
          <w:szCs w:val="20"/>
        </w:rPr>
        <w:t xml:space="preserve"> </w:t>
      </w:r>
      <w:r w:rsidRPr="00B004EE">
        <w:rPr>
          <w:rFonts w:ascii="Tahoma" w:hAnsi="Tahoma" w:cs="Tahoma"/>
          <w:color w:val="auto"/>
          <w:sz w:val="20"/>
          <w:szCs w:val="20"/>
        </w:rPr>
        <w:t>doivent</w:t>
      </w:r>
      <w:r w:rsidR="00DB1635" w:rsidRPr="00B004EE">
        <w:rPr>
          <w:rFonts w:ascii="Tahoma" w:hAnsi="Tahoma" w:cs="Tahoma"/>
          <w:color w:val="auto"/>
          <w:sz w:val="20"/>
          <w:szCs w:val="20"/>
        </w:rPr>
        <w:t xml:space="preserve"> </w:t>
      </w:r>
      <w:r w:rsidRPr="00B004EE">
        <w:rPr>
          <w:rFonts w:ascii="Tahoma" w:hAnsi="Tahoma" w:cs="Tahoma"/>
          <w:color w:val="auto"/>
          <w:sz w:val="20"/>
          <w:szCs w:val="20"/>
        </w:rPr>
        <w:t>répondre</w:t>
      </w:r>
      <w:r w:rsidR="00DB1635" w:rsidRPr="00B004EE">
        <w:rPr>
          <w:rFonts w:ascii="Tahoma" w:hAnsi="Tahoma" w:cs="Tahoma"/>
          <w:color w:val="auto"/>
          <w:sz w:val="20"/>
          <w:szCs w:val="20"/>
        </w:rPr>
        <w:t xml:space="preserve"> </w:t>
      </w:r>
      <w:r w:rsidRPr="00B004EE">
        <w:rPr>
          <w:rFonts w:ascii="Tahoma" w:hAnsi="Tahoma" w:cs="Tahoma"/>
          <w:color w:val="auto"/>
          <w:sz w:val="20"/>
          <w:szCs w:val="20"/>
        </w:rPr>
        <w:t>aux</w:t>
      </w:r>
      <w:r w:rsidR="00DB1635" w:rsidRPr="00B004EE">
        <w:rPr>
          <w:rFonts w:ascii="Tahoma" w:hAnsi="Tahoma" w:cs="Tahoma"/>
          <w:color w:val="auto"/>
          <w:sz w:val="20"/>
          <w:szCs w:val="20"/>
        </w:rPr>
        <w:t xml:space="preserve"> </w:t>
      </w:r>
      <w:r w:rsidRPr="00B004EE">
        <w:rPr>
          <w:rFonts w:ascii="Tahoma" w:hAnsi="Tahoma" w:cs="Tahoma"/>
          <w:color w:val="auto"/>
          <w:sz w:val="20"/>
          <w:szCs w:val="20"/>
        </w:rPr>
        <w:t>caractéristiques</w:t>
      </w:r>
      <w:r w:rsidR="00DB1635" w:rsidRPr="00B004EE">
        <w:rPr>
          <w:rFonts w:ascii="Tahoma" w:hAnsi="Tahoma" w:cs="Tahoma"/>
          <w:color w:val="auto"/>
          <w:sz w:val="20"/>
          <w:szCs w:val="20"/>
        </w:rPr>
        <w:t xml:space="preserve"> </w:t>
      </w:r>
      <w:r w:rsidRPr="00B004EE">
        <w:rPr>
          <w:rFonts w:ascii="Tahoma" w:hAnsi="Tahoma" w:cs="Tahoma"/>
          <w:color w:val="auto"/>
          <w:sz w:val="20"/>
          <w:szCs w:val="20"/>
        </w:rPr>
        <w:t>suivantes</w:t>
      </w:r>
      <w:r w:rsidR="00DB1635" w:rsidRPr="00B004EE">
        <w:rPr>
          <w:rFonts w:ascii="Tahoma" w:hAnsi="Tahoma" w:cs="Tahoma"/>
          <w:color w:val="auto"/>
          <w:sz w:val="20"/>
          <w:szCs w:val="20"/>
        </w:rPr>
        <w:t xml:space="preserve"> </w:t>
      </w:r>
      <w:r w:rsidRPr="00B004EE">
        <w:rPr>
          <w:rFonts w:ascii="Tahoma" w:hAnsi="Tahoma" w:cs="Tahoma"/>
          <w:color w:val="auto"/>
          <w:sz w:val="20"/>
          <w:szCs w:val="20"/>
        </w:rPr>
        <w:t>:</w:t>
      </w:r>
    </w:p>
    <w:p w14:paraId="12420E54" w14:textId="77777777" w:rsidR="00612C1A" w:rsidRPr="00B004EE" w:rsidRDefault="00612C1A" w:rsidP="00B004EE">
      <w:pPr>
        <w:pStyle w:val="Retraitcorpsdetexte2"/>
        <w:ind w:left="0" w:firstLine="0"/>
        <w:rPr>
          <w:rFonts w:ascii="Tahoma" w:hAnsi="Tahoma" w:cs="Tahoma"/>
          <w:color w:val="auto"/>
          <w:sz w:val="20"/>
          <w:szCs w:val="20"/>
        </w:rPr>
      </w:pPr>
    </w:p>
    <w:p w14:paraId="2A9F1791" w14:textId="13B8F18E" w:rsidR="008518B0" w:rsidRPr="00B004EE" w:rsidRDefault="008518B0" w:rsidP="00B004EE">
      <w:pPr>
        <w:pStyle w:val="Retraitcorpsdetexte"/>
        <w:ind w:left="0" w:firstLine="0"/>
        <w:rPr>
          <w:rFonts w:ascii="Tahoma" w:hAnsi="Tahoma" w:cs="Tahoma"/>
          <w:b/>
          <w:bCs/>
          <w:sz w:val="20"/>
          <w:szCs w:val="20"/>
          <w:u w:val="single"/>
        </w:rPr>
      </w:pPr>
      <w:r w:rsidRPr="00B004EE">
        <w:rPr>
          <w:rFonts w:ascii="Tahoma" w:hAnsi="Tahoma" w:cs="Tahoma"/>
          <w:b/>
          <w:bCs/>
          <w:sz w:val="20"/>
          <w:szCs w:val="20"/>
          <w:u w:val="single"/>
        </w:rPr>
        <w:t>1)</w:t>
      </w:r>
      <w:r w:rsidR="00DB1635" w:rsidRPr="00B004EE">
        <w:rPr>
          <w:rFonts w:ascii="Tahoma" w:hAnsi="Tahoma" w:cs="Tahoma"/>
          <w:b/>
          <w:bCs/>
          <w:sz w:val="20"/>
          <w:szCs w:val="20"/>
          <w:u w:val="single"/>
        </w:rPr>
        <w:t xml:space="preserve"> </w:t>
      </w:r>
      <w:r w:rsidRPr="00B004EE">
        <w:rPr>
          <w:rFonts w:ascii="Tahoma" w:hAnsi="Tahoma" w:cs="Tahoma"/>
          <w:b/>
          <w:bCs/>
          <w:sz w:val="20"/>
          <w:szCs w:val="20"/>
          <w:u w:val="single"/>
        </w:rPr>
        <w:t>Les</w:t>
      </w:r>
      <w:r w:rsidR="00DB1635" w:rsidRPr="00B004EE">
        <w:rPr>
          <w:rFonts w:ascii="Tahoma" w:hAnsi="Tahoma" w:cs="Tahoma"/>
          <w:b/>
          <w:bCs/>
          <w:sz w:val="20"/>
          <w:szCs w:val="20"/>
          <w:u w:val="single"/>
        </w:rPr>
        <w:t xml:space="preserve"> </w:t>
      </w:r>
      <w:r w:rsidRPr="00B004EE">
        <w:rPr>
          <w:rFonts w:ascii="Tahoma" w:hAnsi="Tahoma" w:cs="Tahoma"/>
          <w:b/>
          <w:bCs/>
          <w:sz w:val="20"/>
          <w:szCs w:val="20"/>
          <w:u w:val="single"/>
        </w:rPr>
        <w:t>tabliers</w:t>
      </w:r>
      <w:r w:rsidR="00F81386" w:rsidRPr="00B004EE">
        <w:rPr>
          <w:rFonts w:ascii="Tahoma" w:hAnsi="Tahoma" w:cs="Tahoma"/>
          <w:b/>
          <w:bCs/>
          <w:sz w:val="20"/>
          <w:szCs w:val="20"/>
          <w:u w:val="single"/>
        </w:rPr>
        <w:t xml:space="preserve"> : </w:t>
      </w:r>
    </w:p>
    <w:p w14:paraId="3457E819" w14:textId="2EDC627E" w:rsidR="008518B0" w:rsidRPr="00B004EE" w:rsidRDefault="008518B0" w:rsidP="00B004EE">
      <w:pPr>
        <w:pStyle w:val="Retraitcorpsdetexte"/>
        <w:ind w:left="567"/>
        <w:rPr>
          <w:rFonts w:ascii="Tahoma" w:hAnsi="Tahoma" w:cs="Tahoma"/>
          <w:sz w:val="20"/>
          <w:szCs w:val="20"/>
        </w:rPr>
      </w:pPr>
      <w:r w:rsidRPr="00B004EE">
        <w:rPr>
          <w:rFonts w:ascii="Tahoma" w:hAnsi="Tahoma" w:cs="Tahoma"/>
          <w:sz w:val="20"/>
          <w:szCs w:val="20"/>
        </w:rPr>
        <w:t>a)</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tabliers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dessous</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fixés</w:t>
      </w:r>
      <w:r w:rsidR="00DB1635" w:rsidRPr="00B004EE">
        <w:rPr>
          <w:rFonts w:ascii="Tahoma" w:hAnsi="Tahoma" w:cs="Tahoma"/>
          <w:sz w:val="20"/>
          <w:szCs w:val="20"/>
        </w:rPr>
        <w:t xml:space="preserve"> </w:t>
      </w:r>
      <w:r w:rsidRPr="00B004EE">
        <w:rPr>
          <w:rFonts w:ascii="Tahoma" w:hAnsi="Tahoma" w:cs="Tahoma"/>
          <w:sz w:val="20"/>
          <w:szCs w:val="20"/>
        </w:rPr>
        <w:t>exclusivement</w:t>
      </w:r>
      <w:r w:rsidR="00DB1635" w:rsidRPr="00B004EE">
        <w:rPr>
          <w:rFonts w:ascii="Tahoma" w:hAnsi="Tahoma" w:cs="Tahoma"/>
          <w:sz w:val="20"/>
          <w:szCs w:val="20"/>
        </w:rPr>
        <w:t xml:space="preserve"> </w:t>
      </w:r>
      <w:r w:rsidRPr="00B004EE">
        <w:rPr>
          <w:rFonts w:ascii="Tahoma" w:hAnsi="Tahoma" w:cs="Tahoma"/>
          <w:sz w:val="20"/>
          <w:szCs w:val="20"/>
        </w:rPr>
        <w:t>sous</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u w:val="single"/>
        </w:rPr>
        <w:t>partie</w:t>
      </w:r>
      <w:r w:rsidR="00DB1635" w:rsidRPr="00B004EE">
        <w:rPr>
          <w:rFonts w:ascii="Tahoma" w:hAnsi="Tahoma" w:cs="Tahoma"/>
          <w:sz w:val="20"/>
          <w:szCs w:val="20"/>
          <w:u w:val="single"/>
        </w:rPr>
        <w:t xml:space="preserve"> </w:t>
      </w:r>
      <w:r w:rsidRPr="00B004EE">
        <w:rPr>
          <w:rFonts w:ascii="Tahoma" w:hAnsi="Tahoma" w:cs="Tahoma"/>
          <w:sz w:val="20"/>
          <w:szCs w:val="20"/>
          <w:u w:val="single"/>
        </w:rPr>
        <w:t>inférieure</w:t>
      </w:r>
      <w:r w:rsidR="00DB1635" w:rsidRPr="00B004EE">
        <w:rPr>
          <w:rFonts w:ascii="Tahoma" w:hAnsi="Tahoma" w:cs="Tahoma"/>
          <w:sz w:val="20"/>
          <w:szCs w:val="20"/>
          <w:u w:val="single"/>
        </w:rPr>
        <w:t xml:space="preserve"> </w:t>
      </w:r>
      <w:r w:rsidRPr="00B004EE">
        <w:rPr>
          <w:rFonts w:ascii="Tahoma" w:hAnsi="Tahoma" w:cs="Tahoma"/>
          <w:sz w:val="20"/>
          <w:szCs w:val="20"/>
          <w:u w:val="single"/>
        </w:rPr>
        <w:t>de</w:t>
      </w:r>
      <w:r w:rsidR="00DB1635" w:rsidRPr="00B004EE">
        <w:rPr>
          <w:rFonts w:ascii="Tahoma" w:hAnsi="Tahoma" w:cs="Tahoma"/>
          <w:sz w:val="20"/>
          <w:szCs w:val="20"/>
          <w:u w:val="single"/>
        </w:rPr>
        <w:t xml:space="preserve"> </w:t>
      </w:r>
      <w:r w:rsidRPr="00B004EE">
        <w:rPr>
          <w:rFonts w:ascii="Tahoma" w:hAnsi="Tahoma" w:cs="Tahoma"/>
          <w:sz w:val="20"/>
          <w:szCs w:val="20"/>
          <w:u w:val="single"/>
        </w:rPr>
        <w:t>la</w:t>
      </w:r>
      <w:r w:rsidR="00DB1635" w:rsidRPr="00B004EE">
        <w:rPr>
          <w:rFonts w:ascii="Tahoma" w:hAnsi="Tahoma" w:cs="Tahoma"/>
          <w:sz w:val="20"/>
          <w:szCs w:val="20"/>
          <w:u w:val="single"/>
        </w:rPr>
        <w:t xml:space="preserve"> </w:t>
      </w:r>
      <w:r w:rsidRPr="00B004EE">
        <w:rPr>
          <w:rFonts w:ascii="Tahoma" w:hAnsi="Tahoma" w:cs="Tahoma"/>
          <w:sz w:val="20"/>
          <w:szCs w:val="20"/>
          <w:u w:val="single"/>
        </w:rPr>
        <w:t>poche</w:t>
      </w:r>
      <w:r w:rsidR="00DB1635" w:rsidRPr="00B004EE">
        <w:rPr>
          <w:rFonts w:ascii="Tahoma" w:hAnsi="Tahoma" w:cs="Tahoma"/>
          <w:sz w:val="20"/>
          <w:szCs w:val="20"/>
          <w:u w:val="single"/>
        </w:rPr>
        <w:t xml:space="preserve"> </w:t>
      </w:r>
      <w:r w:rsidRPr="00B004EE">
        <w:rPr>
          <w:rFonts w:ascii="Tahoma" w:hAnsi="Tahoma" w:cs="Tahoma"/>
          <w:sz w:val="20"/>
          <w:szCs w:val="20"/>
          <w:u w:val="single"/>
        </w:rPr>
        <w:t>des</w:t>
      </w:r>
      <w:r w:rsidR="00DB1635" w:rsidRPr="00B004EE">
        <w:rPr>
          <w:rFonts w:ascii="Tahoma" w:hAnsi="Tahoma" w:cs="Tahoma"/>
          <w:sz w:val="20"/>
          <w:szCs w:val="20"/>
          <w:u w:val="single"/>
        </w:rPr>
        <w:t xml:space="preserve"> </w:t>
      </w:r>
      <w:r w:rsidRPr="00B004EE">
        <w:rPr>
          <w:rFonts w:ascii="Tahoma" w:hAnsi="Tahoma" w:cs="Tahoma"/>
          <w:sz w:val="20"/>
          <w:szCs w:val="20"/>
          <w:u w:val="single"/>
        </w:rPr>
        <w:t>chaluts</w:t>
      </w:r>
      <w:r w:rsidR="00DB1635" w:rsidRPr="00B004EE">
        <w:rPr>
          <w:rFonts w:ascii="Tahoma" w:hAnsi="Tahoma" w:cs="Tahoma"/>
          <w:sz w:val="20"/>
          <w:szCs w:val="20"/>
          <w:u w:val="single"/>
        </w:rPr>
        <w:t xml:space="preserve"> </w:t>
      </w:r>
      <w:r w:rsidRPr="00B004EE">
        <w:rPr>
          <w:rFonts w:ascii="Tahoma" w:hAnsi="Tahoma" w:cs="Tahoma"/>
          <w:sz w:val="20"/>
          <w:szCs w:val="20"/>
          <w:u w:val="single"/>
        </w:rPr>
        <w:t>de</w:t>
      </w:r>
      <w:r w:rsidR="00DB1635" w:rsidRPr="00B004EE">
        <w:rPr>
          <w:rFonts w:ascii="Tahoma" w:hAnsi="Tahoma" w:cs="Tahoma"/>
          <w:sz w:val="20"/>
          <w:szCs w:val="20"/>
          <w:u w:val="single"/>
        </w:rPr>
        <w:t xml:space="preserve"> </w:t>
      </w:r>
      <w:r w:rsidRPr="00B004EE">
        <w:rPr>
          <w:rFonts w:ascii="Tahoma" w:hAnsi="Tahoma" w:cs="Tahoma"/>
          <w:sz w:val="20"/>
          <w:szCs w:val="20"/>
          <w:u w:val="single"/>
        </w:rPr>
        <w:t>fond.</w:t>
      </w:r>
      <w:r w:rsidR="00DB1635" w:rsidRPr="00B004EE">
        <w:rPr>
          <w:rFonts w:ascii="Tahoma" w:hAnsi="Tahoma" w:cs="Tahoma"/>
          <w:sz w:val="20"/>
          <w:szCs w:val="20"/>
        </w:rPr>
        <w:t xml:space="preserve"> </w:t>
      </w:r>
      <w:r w:rsidRPr="00B004EE">
        <w:rPr>
          <w:rFonts w:ascii="Tahoma" w:hAnsi="Tahoma" w:cs="Tahoma"/>
          <w:sz w:val="20"/>
          <w:szCs w:val="20"/>
        </w:rPr>
        <w:t>Ils</w:t>
      </w:r>
      <w:r w:rsidR="00DB1635" w:rsidRPr="00B004EE">
        <w:rPr>
          <w:rFonts w:ascii="Tahoma" w:hAnsi="Tahoma" w:cs="Tahoma"/>
          <w:sz w:val="20"/>
          <w:szCs w:val="20"/>
        </w:rPr>
        <w:t xml:space="preserve"> </w:t>
      </w:r>
      <w:r w:rsidRPr="00B004EE">
        <w:rPr>
          <w:rFonts w:ascii="Tahoma" w:hAnsi="Tahoma" w:cs="Tahoma"/>
          <w:sz w:val="20"/>
          <w:szCs w:val="20"/>
        </w:rPr>
        <w:t>constituent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tabliers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protection</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filet</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toute</w:t>
      </w:r>
      <w:r w:rsidR="00DB1635" w:rsidRPr="00B004EE">
        <w:rPr>
          <w:rFonts w:ascii="Tahoma" w:hAnsi="Tahoma" w:cs="Tahoma"/>
          <w:sz w:val="20"/>
          <w:szCs w:val="20"/>
        </w:rPr>
        <w:t xml:space="preserve"> </w:t>
      </w:r>
      <w:r w:rsidRPr="00B004EE">
        <w:rPr>
          <w:rFonts w:ascii="Tahoma" w:hAnsi="Tahoma" w:cs="Tahoma"/>
          <w:sz w:val="20"/>
          <w:szCs w:val="20"/>
        </w:rPr>
        <w:t>autre</w:t>
      </w:r>
      <w:r w:rsidR="00DB1635" w:rsidRPr="00B004EE">
        <w:rPr>
          <w:rFonts w:ascii="Tahoma" w:hAnsi="Tahoma" w:cs="Tahoma"/>
          <w:sz w:val="20"/>
          <w:szCs w:val="20"/>
        </w:rPr>
        <w:t xml:space="preserve"> </w:t>
      </w:r>
      <w:r w:rsidRPr="00B004EE">
        <w:rPr>
          <w:rFonts w:ascii="Tahoma" w:hAnsi="Tahoma" w:cs="Tahoma"/>
          <w:sz w:val="20"/>
          <w:szCs w:val="20"/>
        </w:rPr>
        <w:t>matière</w:t>
      </w:r>
      <w:r w:rsidR="00DB1635" w:rsidRPr="00B004EE">
        <w:rPr>
          <w:rFonts w:ascii="Tahoma" w:hAnsi="Tahoma" w:cs="Tahoma"/>
          <w:sz w:val="20"/>
          <w:szCs w:val="20"/>
        </w:rPr>
        <w:t xml:space="preserve"> </w:t>
      </w:r>
      <w:r w:rsidRPr="00B004EE">
        <w:rPr>
          <w:rFonts w:ascii="Tahoma" w:hAnsi="Tahoma" w:cs="Tahoma"/>
          <w:sz w:val="20"/>
          <w:szCs w:val="20"/>
        </w:rPr>
        <w:t>reconnue</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n’avoir</w:t>
      </w:r>
      <w:r w:rsidR="00DB1635" w:rsidRPr="00B004EE">
        <w:rPr>
          <w:rFonts w:ascii="Tahoma" w:hAnsi="Tahoma" w:cs="Tahoma"/>
          <w:sz w:val="20"/>
          <w:szCs w:val="20"/>
        </w:rPr>
        <w:t xml:space="preserve"> </w:t>
      </w:r>
      <w:r w:rsidRPr="00B004EE">
        <w:rPr>
          <w:rFonts w:ascii="Tahoma" w:hAnsi="Tahoma" w:cs="Tahoma"/>
          <w:sz w:val="20"/>
          <w:szCs w:val="20"/>
        </w:rPr>
        <w:t>aucune</w:t>
      </w:r>
      <w:r w:rsidR="00DB1635" w:rsidRPr="00B004EE">
        <w:rPr>
          <w:rFonts w:ascii="Tahoma" w:hAnsi="Tahoma" w:cs="Tahoma"/>
          <w:sz w:val="20"/>
          <w:szCs w:val="20"/>
        </w:rPr>
        <w:t xml:space="preserve"> </w:t>
      </w:r>
      <w:r w:rsidRPr="00B004EE">
        <w:rPr>
          <w:rFonts w:ascii="Tahoma" w:hAnsi="Tahoma" w:cs="Tahoma"/>
          <w:sz w:val="20"/>
          <w:szCs w:val="20"/>
        </w:rPr>
        <w:t>incidence</w:t>
      </w:r>
      <w:r w:rsidR="00DB1635" w:rsidRPr="00B004EE">
        <w:rPr>
          <w:rFonts w:ascii="Tahoma" w:hAnsi="Tahoma" w:cs="Tahoma"/>
          <w:sz w:val="20"/>
          <w:szCs w:val="20"/>
        </w:rPr>
        <w:t xml:space="preserve"> </w:t>
      </w:r>
      <w:r w:rsidRPr="00B004EE">
        <w:rPr>
          <w:rFonts w:ascii="Tahoma" w:hAnsi="Tahoma" w:cs="Tahoma"/>
          <w:sz w:val="20"/>
          <w:szCs w:val="20"/>
        </w:rPr>
        <w:t>négative</w:t>
      </w:r>
      <w:r w:rsidR="00DB1635" w:rsidRPr="00B004EE">
        <w:rPr>
          <w:rFonts w:ascii="Tahoma" w:hAnsi="Tahoma" w:cs="Tahoma"/>
          <w:sz w:val="20"/>
          <w:szCs w:val="20"/>
        </w:rPr>
        <w:t xml:space="preserve"> </w:t>
      </w:r>
      <w:r w:rsidRPr="00B004EE">
        <w:rPr>
          <w:rFonts w:ascii="Tahoma" w:hAnsi="Tahoma" w:cs="Tahoma"/>
          <w:sz w:val="20"/>
          <w:szCs w:val="20"/>
        </w:rPr>
        <w:t>sur</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milieu</w:t>
      </w:r>
      <w:r w:rsidR="00DB1635" w:rsidRPr="00B004EE">
        <w:rPr>
          <w:rFonts w:ascii="Tahoma" w:hAnsi="Tahoma" w:cs="Tahoma"/>
          <w:sz w:val="20"/>
          <w:szCs w:val="20"/>
        </w:rPr>
        <w:t xml:space="preserve"> </w:t>
      </w:r>
      <w:r w:rsidRPr="00B004EE">
        <w:rPr>
          <w:rFonts w:ascii="Tahoma" w:hAnsi="Tahoma" w:cs="Tahoma"/>
          <w:sz w:val="20"/>
          <w:szCs w:val="20"/>
        </w:rPr>
        <w:t>marin.</w:t>
      </w:r>
      <w:r w:rsidR="00DB1635" w:rsidRPr="00B004EE">
        <w:rPr>
          <w:rFonts w:ascii="Tahoma" w:hAnsi="Tahoma" w:cs="Tahoma"/>
          <w:sz w:val="20"/>
          <w:szCs w:val="20"/>
        </w:rPr>
        <w:t xml:space="preserve"> </w:t>
      </w:r>
      <w:r w:rsidRPr="00B004EE">
        <w:rPr>
          <w:rFonts w:ascii="Tahoma" w:hAnsi="Tahoma" w:cs="Tahoma"/>
          <w:sz w:val="20"/>
          <w:szCs w:val="20"/>
        </w:rPr>
        <w:t>Ces</w:t>
      </w:r>
      <w:r w:rsidR="00DB1635" w:rsidRPr="00B004EE">
        <w:rPr>
          <w:rFonts w:ascii="Tahoma" w:hAnsi="Tahoma" w:cs="Tahoma"/>
          <w:sz w:val="20"/>
          <w:szCs w:val="20"/>
        </w:rPr>
        <w:t xml:space="preserve"> </w:t>
      </w:r>
      <w:r w:rsidRPr="00B004EE">
        <w:rPr>
          <w:rFonts w:ascii="Tahoma" w:hAnsi="Tahoma" w:cs="Tahoma"/>
          <w:sz w:val="20"/>
          <w:szCs w:val="20"/>
        </w:rPr>
        <w:t>tabliers</w:t>
      </w:r>
      <w:r w:rsidR="00DB1635" w:rsidRPr="00B004EE">
        <w:rPr>
          <w:rFonts w:ascii="Tahoma" w:hAnsi="Tahoma" w:cs="Tahoma"/>
          <w:sz w:val="20"/>
          <w:szCs w:val="20"/>
        </w:rPr>
        <w:t xml:space="preserve"> </w:t>
      </w:r>
      <w:r w:rsidRPr="00B004EE">
        <w:rPr>
          <w:rFonts w:ascii="Tahoma" w:hAnsi="Tahoma" w:cs="Tahoma"/>
          <w:sz w:val="20"/>
          <w:szCs w:val="20"/>
        </w:rPr>
        <w:t>ne</w:t>
      </w:r>
      <w:r w:rsidR="00DB1635" w:rsidRPr="00B004EE">
        <w:rPr>
          <w:rFonts w:ascii="Tahoma" w:hAnsi="Tahoma" w:cs="Tahoma"/>
          <w:sz w:val="20"/>
          <w:szCs w:val="20"/>
        </w:rPr>
        <w:t xml:space="preserve"> </w:t>
      </w:r>
      <w:r w:rsidRPr="00B004EE">
        <w:rPr>
          <w:rFonts w:ascii="Tahoma" w:hAnsi="Tahoma" w:cs="Tahoma"/>
          <w:sz w:val="20"/>
          <w:szCs w:val="20"/>
        </w:rPr>
        <w:t>peuvent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fixés</w:t>
      </w:r>
      <w:r w:rsidR="00DB1635" w:rsidRPr="00B004EE">
        <w:rPr>
          <w:rFonts w:ascii="Tahoma" w:hAnsi="Tahoma" w:cs="Tahoma"/>
          <w:sz w:val="20"/>
          <w:szCs w:val="20"/>
        </w:rPr>
        <w:t xml:space="preserve"> </w:t>
      </w:r>
      <w:r w:rsidRPr="00B004EE">
        <w:rPr>
          <w:rFonts w:ascii="Tahoma" w:hAnsi="Tahoma" w:cs="Tahoma"/>
          <w:sz w:val="20"/>
          <w:szCs w:val="20"/>
        </w:rPr>
        <w:t>qu’aux</w:t>
      </w:r>
      <w:r w:rsidR="00DB1635" w:rsidRPr="00B004EE">
        <w:rPr>
          <w:rFonts w:ascii="Tahoma" w:hAnsi="Tahoma" w:cs="Tahoma"/>
          <w:sz w:val="20"/>
          <w:szCs w:val="20"/>
        </w:rPr>
        <w:t xml:space="preserve"> </w:t>
      </w:r>
      <w:r w:rsidRPr="00B004EE">
        <w:rPr>
          <w:rFonts w:ascii="Tahoma" w:hAnsi="Tahoma" w:cs="Tahoma"/>
          <w:sz w:val="20"/>
          <w:szCs w:val="20"/>
        </w:rPr>
        <w:t>bords</w:t>
      </w:r>
      <w:r w:rsidR="00DB1635" w:rsidRPr="00B004EE">
        <w:rPr>
          <w:rFonts w:ascii="Tahoma" w:hAnsi="Tahoma" w:cs="Tahoma"/>
          <w:sz w:val="20"/>
          <w:szCs w:val="20"/>
        </w:rPr>
        <w:t xml:space="preserve"> </w:t>
      </w:r>
      <w:r w:rsidRPr="00B004EE">
        <w:rPr>
          <w:rFonts w:ascii="Tahoma" w:hAnsi="Tahoma" w:cs="Tahoma"/>
          <w:sz w:val="20"/>
          <w:szCs w:val="20"/>
        </w:rPr>
        <w:t>antérieurs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latéraux</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poche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chaluts.</w:t>
      </w:r>
    </w:p>
    <w:p w14:paraId="2B6FD96E" w14:textId="74F02E07" w:rsidR="008518B0" w:rsidRPr="00B004EE" w:rsidRDefault="00DB1635" w:rsidP="00B004EE">
      <w:pPr>
        <w:pStyle w:val="Retraitcorpsdetexte"/>
        <w:ind w:left="567"/>
        <w:rPr>
          <w:rFonts w:ascii="Tahoma" w:hAnsi="Tahoma" w:cs="Tahoma"/>
          <w:sz w:val="20"/>
          <w:szCs w:val="20"/>
        </w:rPr>
      </w:pPr>
      <w:r w:rsidRPr="00B004EE">
        <w:rPr>
          <w:rFonts w:ascii="Tahoma" w:hAnsi="Tahoma" w:cs="Tahoma"/>
          <w:sz w:val="20"/>
          <w:szCs w:val="20"/>
        </w:rPr>
        <w:t xml:space="preserve"> </w:t>
      </w:r>
      <w:r w:rsidR="008518B0" w:rsidRPr="00B004EE">
        <w:rPr>
          <w:rFonts w:ascii="Tahoma" w:hAnsi="Tahoma" w:cs="Tahoma"/>
          <w:sz w:val="20"/>
          <w:szCs w:val="20"/>
        </w:rPr>
        <w:t>b)</w:t>
      </w:r>
      <w:r w:rsidRPr="00B004EE">
        <w:rPr>
          <w:rFonts w:ascii="Tahoma" w:hAnsi="Tahoma" w:cs="Tahoma"/>
          <w:sz w:val="20"/>
          <w:szCs w:val="20"/>
        </w:rPr>
        <w:t xml:space="preserve"> </w:t>
      </w:r>
      <w:r w:rsidR="008518B0" w:rsidRPr="00B004EE">
        <w:rPr>
          <w:rFonts w:ascii="Tahoma" w:hAnsi="Tahoma" w:cs="Tahoma"/>
          <w:sz w:val="20"/>
          <w:szCs w:val="20"/>
        </w:rPr>
        <w:t>Les</w:t>
      </w:r>
      <w:r w:rsidRPr="00B004EE">
        <w:rPr>
          <w:rFonts w:ascii="Tahoma" w:hAnsi="Tahoma" w:cs="Tahoma"/>
          <w:sz w:val="20"/>
          <w:szCs w:val="20"/>
        </w:rPr>
        <w:t xml:space="preserve"> </w:t>
      </w:r>
      <w:r w:rsidR="008518B0" w:rsidRPr="00B004EE">
        <w:rPr>
          <w:rFonts w:ascii="Tahoma" w:hAnsi="Tahoma" w:cs="Tahoma"/>
          <w:sz w:val="20"/>
          <w:szCs w:val="20"/>
        </w:rPr>
        <w:t>tabliers</w:t>
      </w:r>
      <w:r w:rsidRPr="00B004EE">
        <w:rPr>
          <w:rFonts w:ascii="Tahoma" w:hAnsi="Tahoma" w:cs="Tahoma"/>
          <w:sz w:val="20"/>
          <w:szCs w:val="20"/>
        </w:rPr>
        <w:t xml:space="preserve"> </w:t>
      </w:r>
      <w:r w:rsidR="008518B0" w:rsidRPr="00B004EE">
        <w:rPr>
          <w:rFonts w:ascii="Tahoma" w:hAnsi="Tahoma" w:cs="Tahoma"/>
          <w:sz w:val="20"/>
          <w:szCs w:val="20"/>
        </w:rPr>
        <w:t>de</w:t>
      </w:r>
      <w:r w:rsidRPr="00B004EE">
        <w:rPr>
          <w:rFonts w:ascii="Tahoma" w:hAnsi="Tahoma" w:cs="Tahoma"/>
          <w:sz w:val="20"/>
          <w:szCs w:val="20"/>
        </w:rPr>
        <w:t xml:space="preserve"> </w:t>
      </w:r>
      <w:r w:rsidR="008518B0" w:rsidRPr="00B004EE">
        <w:rPr>
          <w:rFonts w:ascii="Tahoma" w:hAnsi="Tahoma" w:cs="Tahoma"/>
          <w:sz w:val="20"/>
          <w:szCs w:val="20"/>
        </w:rPr>
        <w:t>dessus</w:t>
      </w:r>
      <w:r w:rsidRPr="00B004EE">
        <w:rPr>
          <w:rFonts w:ascii="Tahoma" w:hAnsi="Tahoma" w:cs="Tahoma"/>
          <w:sz w:val="20"/>
          <w:szCs w:val="20"/>
        </w:rPr>
        <w:t xml:space="preserve"> </w:t>
      </w:r>
      <w:r w:rsidR="008518B0" w:rsidRPr="00B004EE">
        <w:rPr>
          <w:rFonts w:ascii="Tahoma" w:hAnsi="Tahoma" w:cs="Tahoma"/>
          <w:sz w:val="20"/>
          <w:szCs w:val="20"/>
        </w:rPr>
        <w:t>ou</w:t>
      </w:r>
      <w:r w:rsidRPr="00B004EE">
        <w:rPr>
          <w:rFonts w:ascii="Tahoma" w:hAnsi="Tahoma" w:cs="Tahoma"/>
          <w:sz w:val="20"/>
          <w:szCs w:val="20"/>
        </w:rPr>
        <w:t xml:space="preserve"> </w:t>
      </w:r>
      <w:r w:rsidR="008518B0" w:rsidRPr="00B004EE">
        <w:rPr>
          <w:rFonts w:ascii="Tahoma" w:hAnsi="Tahoma" w:cs="Tahoma"/>
          <w:sz w:val="20"/>
          <w:szCs w:val="20"/>
        </w:rPr>
        <w:t>couvertures</w:t>
      </w:r>
      <w:r w:rsidRPr="00B004EE">
        <w:rPr>
          <w:rFonts w:ascii="Tahoma" w:hAnsi="Tahoma" w:cs="Tahoma"/>
          <w:sz w:val="20"/>
          <w:szCs w:val="20"/>
        </w:rPr>
        <w:t xml:space="preserve"> </w:t>
      </w:r>
      <w:r w:rsidR="008518B0" w:rsidRPr="00B004EE">
        <w:rPr>
          <w:rFonts w:ascii="Tahoma" w:hAnsi="Tahoma" w:cs="Tahoma"/>
          <w:sz w:val="20"/>
          <w:szCs w:val="20"/>
        </w:rPr>
        <w:t>pour</w:t>
      </w:r>
      <w:r w:rsidRPr="00B004EE">
        <w:rPr>
          <w:rFonts w:ascii="Tahoma" w:hAnsi="Tahoma" w:cs="Tahoma"/>
          <w:sz w:val="20"/>
          <w:szCs w:val="20"/>
        </w:rPr>
        <w:t xml:space="preserve"> </w:t>
      </w:r>
      <w:r w:rsidR="008518B0" w:rsidRPr="00B004EE">
        <w:rPr>
          <w:rFonts w:ascii="Tahoma" w:hAnsi="Tahoma" w:cs="Tahoma"/>
          <w:sz w:val="20"/>
          <w:szCs w:val="20"/>
        </w:rPr>
        <w:t>la</w:t>
      </w:r>
      <w:r w:rsidRPr="00B004EE">
        <w:rPr>
          <w:rFonts w:ascii="Tahoma" w:hAnsi="Tahoma" w:cs="Tahoma"/>
          <w:sz w:val="20"/>
          <w:szCs w:val="20"/>
        </w:rPr>
        <w:t xml:space="preserve"> </w:t>
      </w:r>
      <w:r w:rsidR="008518B0" w:rsidRPr="00B004EE">
        <w:rPr>
          <w:rFonts w:ascii="Tahoma" w:hAnsi="Tahoma" w:cs="Tahoma"/>
          <w:sz w:val="20"/>
          <w:szCs w:val="20"/>
        </w:rPr>
        <w:t>partie</w:t>
      </w:r>
      <w:r w:rsidRPr="00B004EE">
        <w:rPr>
          <w:rFonts w:ascii="Tahoma" w:hAnsi="Tahoma" w:cs="Tahoma"/>
          <w:sz w:val="20"/>
          <w:szCs w:val="20"/>
        </w:rPr>
        <w:t xml:space="preserve"> </w:t>
      </w:r>
      <w:r w:rsidR="008518B0" w:rsidRPr="00B004EE">
        <w:rPr>
          <w:rFonts w:ascii="Tahoma" w:hAnsi="Tahoma" w:cs="Tahoma"/>
          <w:sz w:val="20"/>
          <w:szCs w:val="20"/>
        </w:rPr>
        <w:t>dorsale</w:t>
      </w:r>
      <w:r w:rsidRPr="00B004EE">
        <w:rPr>
          <w:rFonts w:ascii="Tahoma" w:hAnsi="Tahoma" w:cs="Tahoma"/>
          <w:sz w:val="20"/>
          <w:szCs w:val="20"/>
        </w:rPr>
        <w:t xml:space="preserve"> </w:t>
      </w:r>
      <w:r w:rsidR="008518B0" w:rsidRPr="00B004EE">
        <w:rPr>
          <w:rFonts w:ascii="Tahoma" w:hAnsi="Tahoma" w:cs="Tahoma"/>
          <w:sz w:val="20"/>
          <w:szCs w:val="20"/>
        </w:rPr>
        <w:t>des</w:t>
      </w:r>
      <w:r w:rsidRPr="00B004EE">
        <w:rPr>
          <w:rFonts w:ascii="Tahoma" w:hAnsi="Tahoma" w:cs="Tahoma"/>
          <w:sz w:val="20"/>
          <w:szCs w:val="20"/>
        </w:rPr>
        <w:t xml:space="preserve"> </w:t>
      </w:r>
      <w:r w:rsidR="008518B0" w:rsidRPr="00B004EE">
        <w:rPr>
          <w:rFonts w:ascii="Tahoma" w:hAnsi="Tahoma" w:cs="Tahoma"/>
          <w:sz w:val="20"/>
          <w:szCs w:val="20"/>
        </w:rPr>
        <w:t>chaluts</w:t>
      </w:r>
      <w:r w:rsidRPr="00B004EE">
        <w:rPr>
          <w:rFonts w:ascii="Tahoma" w:hAnsi="Tahoma" w:cs="Tahoma"/>
          <w:sz w:val="20"/>
          <w:szCs w:val="20"/>
        </w:rPr>
        <w:t xml:space="preserve"> </w:t>
      </w:r>
      <w:r w:rsidR="008518B0" w:rsidRPr="00B004EE">
        <w:rPr>
          <w:rFonts w:ascii="Tahoma" w:hAnsi="Tahoma" w:cs="Tahoma"/>
          <w:sz w:val="20"/>
          <w:szCs w:val="20"/>
        </w:rPr>
        <w:t>pélagiques,</w:t>
      </w:r>
      <w:r w:rsidRPr="00B004EE">
        <w:rPr>
          <w:rFonts w:ascii="Tahoma" w:hAnsi="Tahoma" w:cs="Tahoma"/>
          <w:sz w:val="20"/>
          <w:szCs w:val="20"/>
        </w:rPr>
        <w:t xml:space="preserve"> </w:t>
      </w:r>
      <w:r w:rsidR="008518B0" w:rsidRPr="00B004EE">
        <w:rPr>
          <w:rFonts w:ascii="Tahoma" w:hAnsi="Tahoma" w:cs="Tahoma"/>
          <w:sz w:val="20"/>
          <w:szCs w:val="20"/>
        </w:rPr>
        <w:t>sont</w:t>
      </w:r>
      <w:r w:rsidRPr="00B004EE">
        <w:rPr>
          <w:rFonts w:ascii="Tahoma" w:hAnsi="Tahoma" w:cs="Tahoma"/>
          <w:sz w:val="20"/>
          <w:szCs w:val="20"/>
        </w:rPr>
        <w:t xml:space="preserve"> </w:t>
      </w:r>
      <w:r w:rsidR="008518B0" w:rsidRPr="00B004EE">
        <w:rPr>
          <w:rFonts w:ascii="Tahoma" w:hAnsi="Tahoma" w:cs="Tahoma"/>
          <w:sz w:val="20"/>
          <w:szCs w:val="20"/>
        </w:rPr>
        <w:t>des</w:t>
      </w:r>
      <w:r w:rsidRPr="00B004EE">
        <w:rPr>
          <w:rFonts w:ascii="Tahoma" w:hAnsi="Tahoma" w:cs="Tahoma"/>
          <w:sz w:val="20"/>
          <w:szCs w:val="20"/>
        </w:rPr>
        <w:t xml:space="preserve"> </w:t>
      </w:r>
      <w:r w:rsidR="008518B0" w:rsidRPr="00B004EE">
        <w:rPr>
          <w:rFonts w:ascii="Tahoma" w:hAnsi="Tahoma" w:cs="Tahoma"/>
          <w:sz w:val="20"/>
          <w:szCs w:val="20"/>
        </w:rPr>
        <w:t>dispositifs</w:t>
      </w:r>
      <w:r w:rsidRPr="00B004EE">
        <w:rPr>
          <w:rFonts w:ascii="Tahoma" w:hAnsi="Tahoma" w:cs="Tahoma"/>
          <w:sz w:val="20"/>
          <w:szCs w:val="20"/>
        </w:rPr>
        <w:t xml:space="preserve"> </w:t>
      </w:r>
      <w:r w:rsidR="008518B0" w:rsidRPr="00B004EE">
        <w:rPr>
          <w:rFonts w:ascii="Tahoma" w:hAnsi="Tahoma" w:cs="Tahoma"/>
          <w:sz w:val="20"/>
          <w:szCs w:val="20"/>
        </w:rPr>
        <w:t>de</w:t>
      </w:r>
      <w:r w:rsidRPr="00B004EE">
        <w:rPr>
          <w:rFonts w:ascii="Tahoma" w:hAnsi="Tahoma" w:cs="Tahoma"/>
          <w:sz w:val="20"/>
          <w:szCs w:val="20"/>
        </w:rPr>
        <w:t xml:space="preserve"> </w:t>
      </w:r>
      <w:r w:rsidR="008518B0" w:rsidRPr="00B004EE">
        <w:rPr>
          <w:rFonts w:ascii="Tahoma" w:hAnsi="Tahoma" w:cs="Tahoma"/>
          <w:sz w:val="20"/>
          <w:szCs w:val="20"/>
        </w:rPr>
        <w:t>protection</w:t>
      </w:r>
      <w:r w:rsidRPr="00B004EE">
        <w:rPr>
          <w:rFonts w:ascii="Tahoma" w:hAnsi="Tahoma" w:cs="Tahoma"/>
          <w:sz w:val="20"/>
          <w:szCs w:val="20"/>
        </w:rPr>
        <w:t xml:space="preserve"> </w:t>
      </w:r>
      <w:r w:rsidR="008518B0" w:rsidRPr="00B004EE">
        <w:rPr>
          <w:rFonts w:ascii="Tahoma" w:hAnsi="Tahoma" w:cs="Tahoma"/>
          <w:sz w:val="20"/>
          <w:szCs w:val="20"/>
        </w:rPr>
        <w:t>qui</w:t>
      </w:r>
      <w:r w:rsidRPr="00B004EE">
        <w:rPr>
          <w:rFonts w:ascii="Tahoma" w:hAnsi="Tahoma" w:cs="Tahoma"/>
          <w:sz w:val="20"/>
          <w:szCs w:val="20"/>
        </w:rPr>
        <w:t xml:space="preserve"> </w:t>
      </w:r>
      <w:r w:rsidR="008518B0" w:rsidRPr="00B004EE">
        <w:rPr>
          <w:rFonts w:ascii="Tahoma" w:hAnsi="Tahoma" w:cs="Tahoma"/>
          <w:sz w:val="20"/>
          <w:szCs w:val="20"/>
        </w:rPr>
        <w:t>consistent</w:t>
      </w:r>
      <w:r w:rsidRPr="00B004EE">
        <w:rPr>
          <w:rFonts w:ascii="Tahoma" w:hAnsi="Tahoma" w:cs="Tahoma"/>
          <w:sz w:val="20"/>
          <w:szCs w:val="20"/>
        </w:rPr>
        <w:t xml:space="preserve"> </w:t>
      </w:r>
      <w:r w:rsidR="008518B0" w:rsidRPr="00B004EE">
        <w:rPr>
          <w:rFonts w:ascii="Tahoma" w:hAnsi="Tahoma" w:cs="Tahoma"/>
          <w:sz w:val="20"/>
          <w:szCs w:val="20"/>
        </w:rPr>
        <w:t>en</w:t>
      </w:r>
      <w:r w:rsidRPr="00B004EE">
        <w:rPr>
          <w:rFonts w:ascii="Tahoma" w:hAnsi="Tahoma" w:cs="Tahoma"/>
          <w:sz w:val="20"/>
          <w:szCs w:val="20"/>
        </w:rPr>
        <w:t xml:space="preserve"> </w:t>
      </w:r>
      <w:r w:rsidR="008518B0" w:rsidRPr="00B004EE">
        <w:rPr>
          <w:rFonts w:ascii="Tahoma" w:hAnsi="Tahoma" w:cs="Tahoma"/>
          <w:sz w:val="20"/>
          <w:szCs w:val="20"/>
        </w:rPr>
        <w:t>une</w:t>
      </w:r>
      <w:r w:rsidRPr="00B004EE">
        <w:rPr>
          <w:rFonts w:ascii="Tahoma" w:hAnsi="Tahoma" w:cs="Tahoma"/>
          <w:sz w:val="20"/>
          <w:szCs w:val="20"/>
        </w:rPr>
        <w:t xml:space="preserve"> </w:t>
      </w:r>
      <w:r w:rsidR="008518B0" w:rsidRPr="00B004EE">
        <w:rPr>
          <w:rFonts w:ascii="Tahoma" w:hAnsi="Tahoma" w:cs="Tahoma"/>
          <w:sz w:val="20"/>
          <w:szCs w:val="20"/>
        </w:rPr>
        <w:t>pièce</w:t>
      </w:r>
      <w:r w:rsidRPr="00B004EE">
        <w:rPr>
          <w:rFonts w:ascii="Tahoma" w:hAnsi="Tahoma" w:cs="Tahoma"/>
          <w:sz w:val="20"/>
          <w:szCs w:val="20"/>
        </w:rPr>
        <w:t xml:space="preserve"> </w:t>
      </w:r>
      <w:r w:rsidR="008518B0" w:rsidRPr="00B004EE">
        <w:rPr>
          <w:rFonts w:ascii="Tahoma" w:hAnsi="Tahoma" w:cs="Tahoma"/>
          <w:sz w:val="20"/>
          <w:szCs w:val="20"/>
        </w:rPr>
        <w:t>unique</w:t>
      </w:r>
      <w:r w:rsidRPr="00B004EE">
        <w:rPr>
          <w:rFonts w:ascii="Tahoma" w:hAnsi="Tahoma" w:cs="Tahoma"/>
          <w:sz w:val="20"/>
          <w:szCs w:val="20"/>
        </w:rPr>
        <w:t xml:space="preserve"> </w:t>
      </w:r>
      <w:r w:rsidR="008518B0" w:rsidRPr="00B004EE">
        <w:rPr>
          <w:rFonts w:ascii="Tahoma" w:hAnsi="Tahoma" w:cs="Tahoma"/>
          <w:sz w:val="20"/>
          <w:szCs w:val="20"/>
        </w:rPr>
        <w:t>de</w:t>
      </w:r>
      <w:r w:rsidRPr="00B004EE">
        <w:rPr>
          <w:rFonts w:ascii="Tahoma" w:hAnsi="Tahoma" w:cs="Tahoma"/>
          <w:sz w:val="20"/>
          <w:szCs w:val="20"/>
        </w:rPr>
        <w:t xml:space="preserve"> </w:t>
      </w:r>
      <w:r w:rsidR="008518B0" w:rsidRPr="00B004EE">
        <w:rPr>
          <w:rFonts w:ascii="Tahoma" w:hAnsi="Tahoma" w:cs="Tahoma"/>
          <w:sz w:val="20"/>
          <w:szCs w:val="20"/>
        </w:rPr>
        <w:t>filet</w:t>
      </w:r>
      <w:r w:rsidRPr="00B004EE">
        <w:rPr>
          <w:rFonts w:ascii="Tahoma" w:hAnsi="Tahoma" w:cs="Tahoma"/>
          <w:sz w:val="20"/>
          <w:szCs w:val="20"/>
        </w:rPr>
        <w:t xml:space="preserve"> </w:t>
      </w:r>
      <w:r w:rsidR="008518B0" w:rsidRPr="00B004EE">
        <w:rPr>
          <w:rFonts w:ascii="Tahoma" w:hAnsi="Tahoma" w:cs="Tahoma"/>
          <w:sz w:val="20"/>
          <w:szCs w:val="20"/>
        </w:rPr>
        <w:t>de</w:t>
      </w:r>
      <w:r w:rsidRPr="00B004EE">
        <w:rPr>
          <w:rFonts w:ascii="Tahoma" w:hAnsi="Tahoma" w:cs="Tahoma"/>
          <w:sz w:val="20"/>
          <w:szCs w:val="20"/>
        </w:rPr>
        <w:t xml:space="preserve"> </w:t>
      </w:r>
      <w:r w:rsidR="008518B0" w:rsidRPr="00B004EE">
        <w:rPr>
          <w:rFonts w:ascii="Tahoma" w:hAnsi="Tahoma" w:cs="Tahoma"/>
          <w:sz w:val="20"/>
          <w:szCs w:val="20"/>
        </w:rPr>
        <w:t>même</w:t>
      </w:r>
      <w:r w:rsidRPr="00B004EE">
        <w:rPr>
          <w:rFonts w:ascii="Tahoma" w:hAnsi="Tahoma" w:cs="Tahoma"/>
          <w:sz w:val="20"/>
          <w:szCs w:val="20"/>
        </w:rPr>
        <w:t xml:space="preserve"> </w:t>
      </w:r>
      <w:r w:rsidR="008518B0" w:rsidRPr="00B004EE">
        <w:rPr>
          <w:rFonts w:ascii="Tahoma" w:hAnsi="Tahoma" w:cs="Tahoma"/>
          <w:sz w:val="20"/>
          <w:szCs w:val="20"/>
        </w:rPr>
        <w:t>matériau</w:t>
      </w:r>
      <w:r w:rsidRPr="00B004EE">
        <w:rPr>
          <w:rFonts w:ascii="Tahoma" w:hAnsi="Tahoma" w:cs="Tahoma"/>
          <w:sz w:val="20"/>
          <w:szCs w:val="20"/>
        </w:rPr>
        <w:t xml:space="preserve"> </w:t>
      </w:r>
      <w:r w:rsidR="008518B0" w:rsidRPr="00B004EE">
        <w:rPr>
          <w:rFonts w:ascii="Tahoma" w:hAnsi="Tahoma" w:cs="Tahoma"/>
          <w:sz w:val="20"/>
          <w:szCs w:val="20"/>
        </w:rPr>
        <w:t>que</w:t>
      </w:r>
      <w:r w:rsidRPr="00B004EE">
        <w:rPr>
          <w:rFonts w:ascii="Tahoma" w:hAnsi="Tahoma" w:cs="Tahoma"/>
          <w:sz w:val="20"/>
          <w:szCs w:val="20"/>
        </w:rPr>
        <w:t xml:space="preserve"> </w:t>
      </w:r>
      <w:r w:rsidR="008518B0" w:rsidRPr="00B004EE">
        <w:rPr>
          <w:rFonts w:ascii="Tahoma" w:hAnsi="Tahoma" w:cs="Tahoma"/>
          <w:sz w:val="20"/>
          <w:szCs w:val="20"/>
        </w:rPr>
        <w:t>la</w:t>
      </w:r>
      <w:r w:rsidRPr="00B004EE">
        <w:rPr>
          <w:rFonts w:ascii="Tahoma" w:hAnsi="Tahoma" w:cs="Tahoma"/>
          <w:sz w:val="20"/>
          <w:szCs w:val="20"/>
        </w:rPr>
        <w:t xml:space="preserve"> </w:t>
      </w:r>
      <w:r w:rsidR="008518B0" w:rsidRPr="00B004EE">
        <w:rPr>
          <w:rFonts w:ascii="Tahoma" w:hAnsi="Tahoma" w:cs="Tahoma"/>
          <w:sz w:val="20"/>
          <w:szCs w:val="20"/>
        </w:rPr>
        <w:t>poche</w:t>
      </w:r>
      <w:r w:rsidRPr="00B004EE">
        <w:rPr>
          <w:rFonts w:ascii="Tahoma" w:hAnsi="Tahoma" w:cs="Tahoma"/>
          <w:sz w:val="20"/>
          <w:szCs w:val="20"/>
        </w:rPr>
        <w:t xml:space="preserve"> </w:t>
      </w:r>
      <w:r w:rsidR="008518B0" w:rsidRPr="00B004EE">
        <w:rPr>
          <w:rFonts w:ascii="Tahoma" w:hAnsi="Tahoma" w:cs="Tahoma"/>
          <w:sz w:val="20"/>
          <w:szCs w:val="20"/>
        </w:rPr>
        <w:t>et</w:t>
      </w:r>
      <w:r w:rsidRPr="00B004EE">
        <w:rPr>
          <w:rFonts w:ascii="Tahoma" w:hAnsi="Tahoma" w:cs="Tahoma"/>
          <w:sz w:val="20"/>
          <w:szCs w:val="20"/>
        </w:rPr>
        <w:t xml:space="preserve"> </w:t>
      </w:r>
      <w:r w:rsidR="008518B0" w:rsidRPr="00B004EE">
        <w:rPr>
          <w:rFonts w:ascii="Tahoma" w:hAnsi="Tahoma" w:cs="Tahoma"/>
          <w:sz w:val="20"/>
          <w:szCs w:val="20"/>
        </w:rPr>
        <w:t>dont</w:t>
      </w:r>
      <w:r w:rsidRPr="00B004EE">
        <w:rPr>
          <w:rFonts w:ascii="Tahoma" w:hAnsi="Tahoma" w:cs="Tahoma"/>
          <w:sz w:val="20"/>
          <w:szCs w:val="20"/>
        </w:rPr>
        <w:t xml:space="preserve"> </w:t>
      </w:r>
      <w:r w:rsidR="008518B0" w:rsidRPr="00B004EE">
        <w:rPr>
          <w:rFonts w:ascii="Tahoma" w:hAnsi="Tahoma" w:cs="Tahoma"/>
          <w:sz w:val="20"/>
          <w:szCs w:val="20"/>
        </w:rPr>
        <w:t>l’ouverture</w:t>
      </w:r>
      <w:r w:rsidRPr="00B004EE">
        <w:rPr>
          <w:rFonts w:ascii="Tahoma" w:hAnsi="Tahoma" w:cs="Tahoma"/>
          <w:sz w:val="20"/>
          <w:szCs w:val="20"/>
        </w:rPr>
        <w:t xml:space="preserve"> </w:t>
      </w:r>
      <w:r w:rsidR="008518B0" w:rsidRPr="00B004EE">
        <w:rPr>
          <w:rFonts w:ascii="Tahoma" w:hAnsi="Tahoma" w:cs="Tahoma"/>
          <w:sz w:val="20"/>
          <w:szCs w:val="20"/>
        </w:rPr>
        <w:t>des</w:t>
      </w:r>
      <w:r w:rsidRPr="00B004EE">
        <w:rPr>
          <w:rFonts w:ascii="Tahoma" w:hAnsi="Tahoma" w:cs="Tahoma"/>
          <w:sz w:val="20"/>
          <w:szCs w:val="20"/>
        </w:rPr>
        <w:t xml:space="preserve"> </w:t>
      </w:r>
      <w:r w:rsidR="008518B0" w:rsidRPr="00B004EE">
        <w:rPr>
          <w:rFonts w:ascii="Tahoma" w:hAnsi="Tahoma" w:cs="Tahoma"/>
          <w:sz w:val="20"/>
          <w:szCs w:val="20"/>
        </w:rPr>
        <w:t>mailles</w:t>
      </w:r>
      <w:r w:rsidRPr="00B004EE">
        <w:rPr>
          <w:rFonts w:ascii="Tahoma" w:hAnsi="Tahoma" w:cs="Tahoma"/>
          <w:sz w:val="20"/>
          <w:szCs w:val="20"/>
        </w:rPr>
        <w:t xml:space="preserve"> </w:t>
      </w:r>
      <w:r w:rsidR="008518B0" w:rsidRPr="00B004EE">
        <w:rPr>
          <w:rFonts w:ascii="Tahoma" w:hAnsi="Tahoma" w:cs="Tahoma"/>
          <w:sz w:val="20"/>
          <w:szCs w:val="20"/>
        </w:rPr>
        <w:t>mesure</w:t>
      </w:r>
      <w:r w:rsidRPr="00B004EE">
        <w:rPr>
          <w:rFonts w:ascii="Tahoma" w:hAnsi="Tahoma" w:cs="Tahoma"/>
          <w:sz w:val="20"/>
          <w:szCs w:val="20"/>
        </w:rPr>
        <w:t xml:space="preserve"> </w:t>
      </w:r>
      <w:r w:rsidR="008518B0" w:rsidRPr="00B004EE">
        <w:rPr>
          <w:rFonts w:ascii="Tahoma" w:hAnsi="Tahoma" w:cs="Tahoma"/>
          <w:sz w:val="20"/>
          <w:szCs w:val="20"/>
        </w:rPr>
        <w:t>au</w:t>
      </w:r>
      <w:r w:rsidRPr="00B004EE">
        <w:rPr>
          <w:rFonts w:ascii="Tahoma" w:hAnsi="Tahoma" w:cs="Tahoma"/>
          <w:sz w:val="20"/>
          <w:szCs w:val="20"/>
        </w:rPr>
        <w:t xml:space="preserve"> </w:t>
      </w:r>
      <w:r w:rsidR="008518B0" w:rsidRPr="00B004EE">
        <w:rPr>
          <w:rFonts w:ascii="Tahoma" w:hAnsi="Tahoma" w:cs="Tahoma"/>
          <w:sz w:val="20"/>
          <w:szCs w:val="20"/>
        </w:rPr>
        <w:t>moins</w:t>
      </w:r>
      <w:r w:rsidRPr="00B004EE">
        <w:rPr>
          <w:rFonts w:ascii="Tahoma" w:hAnsi="Tahoma" w:cs="Tahoma"/>
          <w:sz w:val="20"/>
          <w:szCs w:val="20"/>
        </w:rPr>
        <w:t xml:space="preserve"> </w:t>
      </w:r>
      <w:r w:rsidR="008518B0" w:rsidRPr="00B004EE">
        <w:rPr>
          <w:rFonts w:ascii="Tahoma" w:hAnsi="Tahoma" w:cs="Tahoma"/>
          <w:sz w:val="20"/>
          <w:szCs w:val="20"/>
        </w:rPr>
        <w:t>trois</w:t>
      </w:r>
      <w:r w:rsidRPr="00B004EE">
        <w:rPr>
          <w:rFonts w:ascii="Tahoma" w:hAnsi="Tahoma" w:cs="Tahoma"/>
          <w:sz w:val="20"/>
          <w:szCs w:val="20"/>
        </w:rPr>
        <w:t xml:space="preserve"> </w:t>
      </w:r>
      <w:r w:rsidR="008518B0" w:rsidRPr="00B004EE">
        <w:rPr>
          <w:rFonts w:ascii="Tahoma" w:hAnsi="Tahoma" w:cs="Tahoma"/>
          <w:sz w:val="20"/>
          <w:szCs w:val="20"/>
        </w:rPr>
        <w:t>cent</w:t>
      </w:r>
      <w:r w:rsidRPr="00B004EE">
        <w:rPr>
          <w:rFonts w:ascii="Tahoma" w:hAnsi="Tahoma" w:cs="Tahoma"/>
          <w:sz w:val="20"/>
          <w:szCs w:val="20"/>
        </w:rPr>
        <w:t xml:space="preserve"> </w:t>
      </w:r>
      <w:r w:rsidR="008518B0" w:rsidRPr="00B004EE">
        <w:rPr>
          <w:rFonts w:ascii="Tahoma" w:hAnsi="Tahoma" w:cs="Tahoma"/>
          <w:sz w:val="20"/>
          <w:szCs w:val="20"/>
        </w:rPr>
        <w:t>(400)</w:t>
      </w:r>
      <w:r w:rsidRPr="00B004EE">
        <w:rPr>
          <w:rFonts w:ascii="Tahoma" w:hAnsi="Tahoma" w:cs="Tahoma"/>
          <w:sz w:val="20"/>
          <w:szCs w:val="20"/>
        </w:rPr>
        <w:t xml:space="preserve"> </w:t>
      </w:r>
      <w:r w:rsidR="008518B0" w:rsidRPr="00B004EE">
        <w:rPr>
          <w:rFonts w:ascii="Tahoma" w:hAnsi="Tahoma" w:cs="Tahoma"/>
          <w:sz w:val="20"/>
          <w:szCs w:val="20"/>
        </w:rPr>
        <w:t>mm.</w:t>
      </w:r>
      <w:r w:rsidRPr="00B004EE">
        <w:rPr>
          <w:rFonts w:ascii="Tahoma" w:hAnsi="Tahoma" w:cs="Tahoma"/>
          <w:sz w:val="20"/>
          <w:szCs w:val="20"/>
        </w:rPr>
        <w:t xml:space="preserve"> </w:t>
      </w:r>
    </w:p>
    <w:p w14:paraId="7CF51C56" w14:textId="5D576D34" w:rsidR="008518B0" w:rsidRPr="00B004EE" w:rsidRDefault="008518B0" w:rsidP="00B004EE">
      <w:pPr>
        <w:pStyle w:val="Retraitcorpsdetexte"/>
        <w:ind w:left="0" w:firstLine="0"/>
        <w:rPr>
          <w:rFonts w:ascii="Tahoma" w:hAnsi="Tahoma" w:cs="Tahoma"/>
          <w:sz w:val="20"/>
          <w:szCs w:val="20"/>
        </w:rPr>
      </w:pP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cadre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hauturière</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chalut,</w:t>
      </w:r>
      <w:r w:rsidR="00DB1635" w:rsidRPr="00B004EE">
        <w:rPr>
          <w:rFonts w:ascii="Tahoma" w:hAnsi="Tahoma" w:cs="Tahoma"/>
          <w:sz w:val="20"/>
          <w:szCs w:val="20"/>
        </w:rPr>
        <w:t xml:space="preserve"> </w:t>
      </w:r>
      <w:r w:rsidRPr="00B004EE">
        <w:rPr>
          <w:rFonts w:ascii="Tahoma" w:hAnsi="Tahoma" w:cs="Tahoma"/>
          <w:sz w:val="20"/>
          <w:szCs w:val="20"/>
        </w:rPr>
        <w:t>l’utilisation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erses</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renforcer</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chalut</w:t>
      </w:r>
      <w:r w:rsidR="00DB1635" w:rsidRPr="00B004EE">
        <w:rPr>
          <w:rFonts w:ascii="Tahoma" w:hAnsi="Tahoma" w:cs="Tahoma"/>
          <w:sz w:val="20"/>
          <w:szCs w:val="20"/>
        </w:rPr>
        <w:t xml:space="preserve"> </w:t>
      </w:r>
      <w:r w:rsidRPr="00B004EE">
        <w:rPr>
          <w:rFonts w:ascii="Tahoma" w:hAnsi="Tahoma" w:cs="Tahoma"/>
          <w:sz w:val="20"/>
          <w:szCs w:val="20"/>
        </w:rPr>
        <w:t>(pélagique,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fond)</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autorisée</w:t>
      </w:r>
      <w:r w:rsidR="00DB1635" w:rsidRPr="00B004EE">
        <w:rPr>
          <w:rFonts w:ascii="Tahoma" w:hAnsi="Tahoma" w:cs="Tahoma"/>
          <w:sz w:val="20"/>
          <w:szCs w:val="20"/>
        </w:rPr>
        <w:t xml:space="preserve"> </w:t>
      </w:r>
      <w:r w:rsidRPr="00B004EE">
        <w:rPr>
          <w:rFonts w:ascii="Tahoma" w:hAnsi="Tahoma" w:cs="Tahoma"/>
          <w:sz w:val="20"/>
          <w:szCs w:val="20"/>
        </w:rPr>
        <w:t>sur</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base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conditions</w:t>
      </w:r>
      <w:r w:rsidR="00DB1635" w:rsidRPr="00B004EE">
        <w:rPr>
          <w:rFonts w:ascii="Tahoma" w:hAnsi="Tahoma" w:cs="Tahoma"/>
          <w:sz w:val="20"/>
          <w:szCs w:val="20"/>
        </w:rPr>
        <w:t xml:space="preserve"> </w:t>
      </w:r>
      <w:r w:rsidRPr="00B004EE">
        <w:rPr>
          <w:rFonts w:ascii="Tahoma" w:hAnsi="Tahoma" w:cs="Tahoma"/>
          <w:sz w:val="20"/>
          <w:szCs w:val="20"/>
        </w:rPr>
        <w:t>suivantes</w:t>
      </w:r>
      <w:r w:rsidR="00DB1635" w:rsidRPr="00B004EE">
        <w:rPr>
          <w:rFonts w:ascii="Tahoma" w:hAnsi="Tahoma" w:cs="Tahoma"/>
          <w:sz w:val="20"/>
          <w:szCs w:val="20"/>
        </w:rPr>
        <w:t xml:space="preserve"> </w:t>
      </w:r>
      <w:r w:rsidRPr="00B004EE">
        <w:rPr>
          <w:rFonts w:ascii="Tahoma" w:hAnsi="Tahoma" w:cs="Tahoma"/>
          <w:sz w:val="20"/>
          <w:szCs w:val="20"/>
        </w:rPr>
        <w:t>:</w:t>
      </w:r>
    </w:p>
    <w:p w14:paraId="47BF7A9E" w14:textId="77777777" w:rsidR="00612C1A" w:rsidRPr="00B004EE" w:rsidRDefault="00612C1A" w:rsidP="00B004EE">
      <w:pPr>
        <w:pStyle w:val="Retraitcorpsdetexte"/>
        <w:ind w:left="0" w:firstLine="0"/>
        <w:rPr>
          <w:rFonts w:ascii="Tahoma" w:hAnsi="Tahoma" w:cs="Tahoma"/>
          <w:sz w:val="20"/>
          <w:szCs w:val="20"/>
        </w:rPr>
      </w:pPr>
    </w:p>
    <w:p w14:paraId="624D051A" w14:textId="5724BB79" w:rsidR="008518B0" w:rsidRPr="00B004EE" w:rsidRDefault="008518B0" w:rsidP="00B004EE">
      <w:pPr>
        <w:pStyle w:val="Retraitcorpsdetexte"/>
        <w:ind w:left="0" w:firstLine="0"/>
        <w:rPr>
          <w:rFonts w:ascii="Tahoma" w:hAnsi="Tahoma" w:cs="Tahoma"/>
          <w:b/>
          <w:bCs/>
          <w:sz w:val="20"/>
          <w:szCs w:val="20"/>
          <w:u w:val="single"/>
        </w:rPr>
      </w:pPr>
      <w:r w:rsidRPr="00B004EE">
        <w:rPr>
          <w:rFonts w:ascii="Tahoma" w:hAnsi="Tahoma" w:cs="Tahoma"/>
          <w:b/>
          <w:bCs/>
          <w:sz w:val="20"/>
          <w:szCs w:val="20"/>
          <w:u w:val="single"/>
        </w:rPr>
        <w:t>2)</w:t>
      </w:r>
      <w:r w:rsidR="00DB1635" w:rsidRPr="00B004EE">
        <w:rPr>
          <w:rFonts w:ascii="Tahoma" w:hAnsi="Tahoma" w:cs="Tahoma"/>
          <w:b/>
          <w:bCs/>
          <w:sz w:val="20"/>
          <w:szCs w:val="20"/>
          <w:u w:val="single"/>
        </w:rPr>
        <w:t xml:space="preserve"> </w:t>
      </w:r>
      <w:r w:rsidRPr="00B004EE">
        <w:rPr>
          <w:rFonts w:ascii="Tahoma" w:hAnsi="Tahoma" w:cs="Tahoma"/>
          <w:b/>
          <w:bCs/>
          <w:sz w:val="20"/>
          <w:szCs w:val="20"/>
          <w:u w:val="single"/>
        </w:rPr>
        <w:t>Les</w:t>
      </w:r>
      <w:r w:rsidR="00DB1635" w:rsidRPr="00B004EE">
        <w:rPr>
          <w:rFonts w:ascii="Tahoma" w:hAnsi="Tahoma" w:cs="Tahoma"/>
          <w:b/>
          <w:bCs/>
          <w:sz w:val="20"/>
          <w:szCs w:val="20"/>
          <w:u w:val="single"/>
        </w:rPr>
        <w:t xml:space="preserve"> </w:t>
      </w:r>
      <w:r w:rsidRPr="00B004EE">
        <w:rPr>
          <w:rFonts w:ascii="Tahoma" w:hAnsi="Tahoma" w:cs="Tahoma"/>
          <w:b/>
          <w:bCs/>
          <w:sz w:val="20"/>
          <w:szCs w:val="20"/>
          <w:u w:val="single"/>
        </w:rPr>
        <w:t>erses</w:t>
      </w:r>
      <w:r w:rsidR="00F81386" w:rsidRPr="00B004EE">
        <w:rPr>
          <w:rFonts w:ascii="Tahoma" w:hAnsi="Tahoma" w:cs="Tahoma"/>
          <w:b/>
          <w:bCs/>
          <w:sz w:val="20"/>
          <w:szCs w:val="20"/>
          <w:u w:val="single"/>
        </w:rPr>
        <w:t> :</w:t>
      </w:r>
    </w:p>
    <w:p w14:paraId="3FC9AC02" w14:textId="4029FC19" w:rsidR="008518B0" w:rsidRPr="00B004EE" w:rsidRDefault="00DB1635" w:rsidP="00420DDA">
      <w:pPr>
        <w:pStyle w:val="Retraitcorpsdetexte"/>
        <w:numPr>
          <w:ilvl w:val="0"/>
          <w:numId w:val="61"/>
        </w:numPr>
        <w:tabs>
          <w:tab w:val="clear" w:pos="1065"/>
          <w:tab w:val="left" w:pos="0"/>
          <w:tab w:val="num" w:pos="709"/>
        </w:tabs>
        <w:autoSpaceDE/>
        <w:autoSpaceDN/>
        <w:adjustRightInd/>
        <w:ind w:left="567"/>
        <w:rPr>
          <w:rFonts w:ascii="Tahoma" w:hAnsi="Tahoma" w:cs="Tahoma"/>
          <w:sz w:val="20"/>
          <w:szCs w:val="20"/>
        </w:rPr>
      </w:pPr>
      <w:r w:rsidRPr="00B004EE">
        <w:rPr>
          <w:rFonts w:ascii="Tahoma" w:hAnsi="Tahoma" w:cs="Tahoma"/>
          <w:kern w:val="32"/>
          <w:sz w:val="20"/>
          <w:szCs w:val="20"/>
        </w:rPr>
        <w:t xml:space="preserve"> </w:t>
      </w:r>
      <w:proofErr w:type="gramStart"/>
      <w:r w:rsidR="008518B0" w:rsidRPr="00B004EE">
        <w:rPr>
          <w:rFonts w:ascii="Tahoma" w:hAnsi="Tahoma" w:cs="Tahoma"/>
          <w:kern w:val="32"/>
          <w:sz w:val="20"/>
          <w:szCs w:val="20"/>
        </w:rPr>
        <w:t>erses</w:t>
      </w:r>
      <w:proofErr w:type="gramEnd"/>
      <w:r w:rsidRPr="00B004EE">
        <w:rPr>
          <w:rFonts w:ascii="Tahoma" w:hAnsi="Tahoma" w:cs="Tahoma"/>
          <w:kern w:val="32"/>
          <w:sz w:val="20"/>
          <w:szCs w:val="20"/>
        </w:rPr>
        <w:t xml:space="preserve"> </w:t>
      </w:r>
      <w:r w:rsidR="008518B0" w:rsidRPr="00B004EE">
        <w:rPr>
          <w:rFonts w:ascii="Tahoma" w:hAnsi="Tahoma" w:cs="Tahoma"/>
          <w:kern w:val="32"/>
          <w:sz w:val="20"/>
          <w:szCs w:val="20"/>
        </w:rPr>
        <w:t>circulaires:</w:t>
      </w:r>
      <w:r w:rsidRPr="00B004EE">
        <w:rPr>
          <w:rFonts w:ascii="Tahoma" w:hAnsi="Tahoma" w:cs="Tahoma"/>
          <w:kern w:val="32"/>
          <w:sz w:val="20"/>
          <w:szCs w:val="20"/>
        </w:rPr>
        <w:t xml:space="preserve"> </w:t>
      </w:r>
      <w:r w:rsidR="008518B0" w:rsidRPr="00B004EE">
        <w:rPr>
          <w:rFonts w:ascii="Tahoma" w:hAnsi="Tahoma" w:cs="Tahoma"/>
          <w:sz w:val="20"/>
          <w:szCs w:val="20"/>
        </w:rPr>
        <w:t>La</w:t>
      </w:r>
      <w:r w:rsidRPr="00B004EE">
        <w:rPr>
          <w:rFonts w:ascii="Tahoma" w:hAnsi="Tahoma" w:cs="Tahoma"/>
          <w:sz w:val="20"/>
          <w:szCs w:val="20"/>
        </w:rPr>
        <w:t xml:space="preserve"> </w:t>
      </w:r>
      <w:r w:rsidR="008518B0" w:rsidRPr="00B004EE">
        <w:rPr>
          <w:rFonts w:ascii="Tahoma" w:hAnsi="Tahoma" w:cs="Tahoma"/>
          <w:sz w:val="20"/>
          <w:szCs w:val="20"/>
        </w:rPr>
        <w:t>longueur</w:t>
      </w:r>
      <w:r w:rsidRPr="00B004EE">
        <w:rPr>
          <w:rFonts w:ascii="Tahoma" w:hAnsi="Tahoma" w:cs="Tahoma"/>
          <w:sz w:val="20"/>
          <w:szCs w:val="20"/>
        </w:rPr>
        <w:t xml:space="preserve"> </w:t>
      </w:r>
      <w:r w:rsidR="008518B0" w:rsidRPr="00B004EE">
        <w:rPr>
          <w:rFonts w:ascii="Tahoma" w:hAnsi="Tahoma" w:cs="Tahoma"/>
          <w:sz w:val="20"/>
          <w:szCs w:val="20"/>
        </w:rPr>
        <w:t>d'une</w:t>
      </w:r>
      <w:r w:rsidRPr="00B004EE">
        <w:rPr>
          <w:rFonts w:ascii="Tahoma" w:hAnsi="Tahoma" w:cs="Tahoma"/>
          <w:sz w:val="20"/>
          <w:szCs w:val="20"/>
        </w:rPr>
        <w:t xml:space="preserve"> </w:t>
      </w:r>
      <w:r w:rsidR="008518B0" w:rsidRPr="00B004EE">
        <w:rPr>
          <w:rFonts w:ascii="Tahoma" w:hAnsi="Tahoma" w:cs="Tahoma"/>
          <w:sz w:val="20"/>
          <w:szCs w:val="20"/>
        </w:rPr>
        <w:t>erse</w:t>
      </w:r>
      <w:r w:rsidRPr="00B004EE">
        <w:rPr>
          <w:rFonts w:ascii="Tahoma" w:hAnsi="Tahoma" w:cs="Tahoma"/>
          <w:sz w:val="20"/>
          <w:szCs w:val="20"/>
        </w:rPr>
        <w:t xml:space="preserve"> </w:t>
      </w:r>
      <w:r w:rsidR="008518B0" w:rsidRPr="00B004EE">
        <w:rPr>
          <w:rFonts w:ascii="Tahoma" w:hAnsi="Tahoma" w:cs="Tahoma"/>
          <w:sz w:val="20"/>
          <w:szCs w:val="20"/>
        </w:rPr>
        <w:t>circulaire</w:t>
      </w:r>
      <w:r w:rsidRPr="00B004EE">
        <w:rPr>
          <w:rFonts w:ascii="Tahoma" w:hAnsi="Tahoma" w:cs="Tahoma"/>
          <w:sz w:val="20"/>
          <w:szCs w:val="20"/>
        </w:rPr>
        <w:t xml:space="preserve"> </w:t>
      </w:r>
      <w:r w:rsidR="008518B0" w:rsidRPr="00B004EE">
        <w:rPr>
          <w:rFonts w:ascii="Tahoma" w:hAnsi="Tahoma" w:cs="Tahoma"/>
          <w:sz w:val="20"/>
          <w:szCs w:val="20"/>
        </w:rPr>
        <w:t>est</w:t>
      </w:r>
      <w:r w:rsidRPr="00B004EE">
        <w:rPr>
          <w:rFonts w:ascii="Tahoma" w:hAnsi="Tahoma" w:cs="Tahoma"/>
          <w:sz w:val="20"/>
          <w:szCs w:val="20"/>
        </w:rPr>
        <w:t xml:space="preserve"> </w:t>
      </w:r>
      <w:r w:rsidR="008518B0" w:rsidRPr="00B004EE">
        <w:rPr>
          <w:rFonts w:ascii="Tahoma" w:hAnsi="Tahoma" w:cs="Tahoma"/>
          <w:sz w:val="20"/>
          <w:szCs w:val="20"/>
        </w:rPr>
        <w:t>au</w:t>
      </w:r>
      <w:r w:rsidRPr="00B004EE">
        <w:rPr>
          <w:rFonts w:ascii="Tahoma" w:hAnsi="Tahoma" w:cs="Tahoma"/>
          <w:sz w:val="20"/>
          <w:szCs w:val="20"/>
        </w:rPr>
        <w:t xml:space="preserve"> </w:t>
      </w:r>
      <w:r w:rsidR="008518B0" w:rsidRPr="00B004EE">
        <w:rPr>
          <w:rFonts w:ascii="Tahoma" w:hAnsi="Tahoma" w:cs="Tahoma"/>
          <w:sz w:val="20"/>
          <w:szCs w:val="20"/>
        </w:rPr>
        <w:t>moins</w:t>
      </w:r>
      <w:r w:rsidRPr="00B004EE">
        <w:rPr>
          <w:rFonts w:ascii="Tahoma" w:hAnsi="Tahoma" w:cs="Tahoma"/>
          <w:sz w:val="20"/>
          <w:szCs w:val="20"/>
        </w:rPr>
        <w:t xml:space="preserve"> </w:t>
      </w:r>
      <w:r w:rsidR="008518B0" w:rsidRPr="00B004EE">
        <w:rPr>
          <w:rFonts w:ascii="Tahoma" w:hAnsi="Tahoma" w:cs="Tahoma"/>
          <w:sz w:val="20"/>
          <w:szCs w:val="20"/>
        </w:rPr>
        <w:t>égale</w:t>
      </w:r>
      <w:r w:rsidRPr="00B004EE">
        <w:rPr>
          <w:rFonts w:ascii="Tahoma" w:hAnsi="Tahoma" w:cs="Tahoma"/>
          <w:sz w:val="20"/>
          <w:szCs w:val="20"/>
        </w:rPr>
        <w:t xml:space="preserve"> </w:t>
      </w:r>
      <w:r w:rsidR="008518B0" w:rsidRPr="00B004EE">
        <w:rPr>
          <w:rFonts w:ascii="Tahoma" w:hAnsi="Tahoma" w:cs="Tahoma"/>
          <w:sz w:val="20"/>
          <w:szCs w:val="20"/>
        </w:rPr>
        <w:t>à</w:t>
      </w:r>
      <w:r w:rsidRPr="00B004EE">
        <w:rPr>
          <w:rFonts w:ascii="Tahoma" w:hAnsi="Tahoma" w:cs="Tahoma"/>
          <w:sz w:val="20"/>
          <w:szCs w:val="20"/>
        </w:rPr>
        <w:t xml:space="preserve"> </w:t>
      </w:r>
      <w:r w:rsidR="008518B0" w:rsidRPr="00B004EE">
        <w:rPr>
          <w:rFonts w:ascii="Tahoma" w:hAnsi="Tahoma" w:cs="Tahoma"/>
          <w:sz w:val="20"/>
          <w:szCs w:val="20"/>
        </w:rPr>
        <w:t>40</w:t>
      </w:r>
      <w:r w:rsidRPr="00B004EE">
        <w:rPr>
          <w:rFonts w:ascii="Tahoma" w:hAnsi="Tahoma" w:cs="Tahoma"/>
          <w:sz w:val="20"/>
          <w:szCs w:val="20"/>
        </w:rPr>
        <w:t xml:space="preserve"> </w:t>
      </w:r>
      <w:r w:rsidR="008518B0" w:rsidRPr="00B004EE">
        <w:rPr>
          <w:rFonts w:ascii="Tahoma" w:hAnsi="Tahoma" w:cs="Tahoma"/>
          <w:sz w:val="20"/>
          <w:szCs w:val="20"/>
        </w:rPr>
        <w:t>%</w:t>
      </w:r>
      <w:r w:rsidRPr="00B004EE">
        <w:rPr>
          <w:rFonts w:ascii="Tahoma" w:hAnsi="Tahoma" w:cs="Tahoma"/>
          <w:sz w:val="20"/>
          <w:szCs w:val="20"/>
        </w:rPr>
        <w:t xml:space="preserve"> </w:t>
      </w:r>
      <w:r w:rsidR="008518B0" w:rsidRPr="00B004EE">
        <w:rPr>
          <w:rFonts w:ascii="Tahoma" w:hAnsi="Tahoma" w:cs="Tahoma"/>
          <w:sz w:val="20"/>
          <w:szCs w:val="20"/>
        </w:rPr>
        <w:t>de</w:t>
      </w:r>
      <w:r w:rsidRPr="00B004EE">
        <w:rPr>
          <w:rFonts w:ascii="Tahoma" w:hAnsi="Tahoma" w:cs="Tahoma"/>
          <w:sz w:val="20"/>
          <w:szCs w:val="20"/>
        </w:rPr>
        <w:t xml:space="preserve"> </w:t>
      </w:r>
      <w:r w:rsidR="008518B0" w:rsidRPr="00B004EE">
        <w:rPr>
          <w:rFonts w:ascii="Tahoma" w:hAnsi="Tahoma" w:cs="Tahoma"/>
          <w:sz w:val="20"/>
          <w:szCs w:val="20"/>
        </w:rPr>
        <w:t>la</w:t>
      </w:r>
      <w:r w:rsidRPr="00B004EE">
        <w:rPr>
          <w:rFonts w:ascii="Tahoma" w:hAnsi="Tahoma" w:cs="Tahoma"/>
          <w:sz w:val="20"/>
          <w:szCs w:val="20"/>
        </w:rPr>
        <w:t xml:space="preserve"> </w:t>
      </w:r>
      <w:r w:rsidR="008518B0" w:rsidRPr="00B004EE">
        <w:rPr>
          <w:rFonts w:ascii="Tahoma" w:hAnsi="Tahoma" w:cs="Tahoma"/>
          <w:sz w:val="20"/>
          <w:szCs w:val="20"/>
        </w:rPr>
        <w:t>circonférence</w:t>
      </w:r>
      <w:r w:rsidRPr="00B004EE">
        <w:rPr>
          <w:rFonts w:ascii="Tahoma" w:hAnsi="Tahoma" w:cs="Tahoma"/>
          <w:sz w:val="20"/>
          <w:szCs w:val="20"/>
        </w:rPr>
        <w:t xml:space="preserve"> </w:t>
      </w:r>
      <w:r w:rsidR="008518B0" w:rsidRPr="00B004EE">
        <w:rPr>
          <w:rFonts w:ascii="Tahoma" w:hAnsi="Tahoma" w:cs="Tahoma"/>
          <w:sz w:val="20"/>
          <w:szCs w:val="20"/>
        </w:rPr>
        <w:t>du</w:t>
      </w:r>
      <w:r w:rsidRPr="00B004EE">
        <w:rPr>
          <w:rFonts w:ascii="Tahoma" w:hAnsi="Tahoma" w:cs="Tahoma"/>
          <w:sz w:val="20"/>
          <w:szCs w:val="20"/>
        </w:rPr>
        <w:t xml:space="preserve"> </w:t>
      </w:r>
      <w:r w:rsidR="008518B0" w:rsidRPr="00B004EE">
        <w:rPr>
          <w:rFonts w:ascii="Tahoma" w:hAnsi="Tahoma" w:cs="Tahoma"/>
          <w:sz w:val="20"/>
          <w:szCs w:val="20"/>
        </w:rPr>
        <w:t>cul</w:t>
      </w:r>
      <w:r w:rsidRPr="00B004EE">
        <w:rPr>
          <w:rFonts w:ascii="Tahoma" w:hAnsi="Tahoma" w:cs="Tahoma"/>
          <w:sz w:val="20"/>
          <w:szCs w:val="20"/>
        </w:rPr>
        <w:t xml:space="preserve"> </w:t>
      </w:r>
      <w:r w:rsidR="008518B0" w:rsidRPr="00B004EE">
        <w:rPr>
          <w:rFonts w:ascii="Tahoma" w:hAnsi="Tahoma" w:cs="Tahoma"/>
          <w:sz w:val="20"/>
          <w:szCs w:val="20"/>
        </w:rPr>
        <w:t>dont</w:t>
      </w:r>
      <w:r w:rsidRPr="00B004EE">
        <w:rPr>
          <w:rFonts w:ascii="Tahoma" w:hAnsi="Tahoma" w:cs="Tahoma"/>
          <w:sz w:val="20"/>
          <w:szCs w:val="20"/>
        </w:rPr>
        <w:t xml:space="preserve"> </w:t>
      </w:r>
      <w:r w:rsidR="008518B0" w:rsidRPr="00B004EE">
        <w:rPr>
          <w:rFonts w:ascii="Tahoma" w:hAnsi="Tahoma" w:cs="Tahoma"/>
          <w:sz w:val="20"/>
          <w:szCs w:val="20"/>
        </w:rPr>
        <w:t>la</w:t>
      </w:r>
      <w:r w:rsidRPr="00B004EE">
        <w:rPr>
          <w:rFonts w:ascii="Tahoma" w:hAnsi="Tahoma" w:cs="Tahoma"/>
          <w:sz w:val="20"/>
          <w:szCs w:val="20"/>
        </w:rPr>
        <w:t xml:space="preserve"> </w:t>
      </w:r>
      <w:r w:rsidR="008518B0" w:rsidRPr="00B004EE">
        <w:rPr>
          <w:rFonts w:ascii="Tahoma" w:hAnsi="Tahoma" w:cs="Tahoma"/>
          <w:sz w:val="20"/>
          <w:szCs w:val="20"/>
        </w:rPr>
        <w:t>mesure</w:t>
      </w:r>
      <w:r w:rsidRPr="00B004EE">
        <w:rPr>
          <w:rFonts w:ascii="Tahoma" w:hAnsi="Tahoma" w:cs="Tahoma"/>
          <w:sz w:val="20"/>
          <w:szCs w:val="20"/>
        </w:rPr>
        <w:t xml:space="preserve"> </w:t>
      </w:r>
      <w:r w:rsidR="008518B0" w:rsidRPr="00B004EE">
        <w:rPr>
          <w:rFonts w:ascii="Tahoma" w:hAnsi="Tahoma" w:cs="Tahoma"/>
          <w:sz w:val="20"/>
          <w:szCs w:val="20"/>
        </w:rPr>
        <w:t>correspond</w:t>
      </w:r>
      <w:r w:rsidRPr="00B004EE">
        <w:rPr>
          <w:rFonts w:ascii="Tahoma" w:hAnsi="Tahoma" w:cs="Tahoma"/>
          <w:sz w:val="20"/>
          <w:szCs w:val="20"/>
        </w:rPr>
        <w:t xml:space="preserve"> </w:t>
      </w:r>
      <w:r w:rsidR="008518B0" w:rsidRPr="00B004EE">
        <w:rPr>
          <w:rFonts w:ascii="Tahoma" w:hAnsi="Tahoma" w:cs="Tahoma"/>
          <w:sz w:val="20"/>
          <w:szCs w:val="20"/>
        </w:rPr>
        <w:t>au</w:t>
      </w:r>
      <w:r w:rsidRPr="00B004EE">
        <w:rPr>
          <w:rFonts w:ascii="Tahoma" w:hAnsi="Tahoma" w:cs="Tahoma"/>
          <w:sz w:val="20"/>
          <w:szCs w:val="20"/>
        </w:rPr>
        <w:t xml:space="preserve"> </w:t>
      </w:r>
      <w:r w:rsidR="008518B0" w:rsidRPr="00B004EE">
        <w:rPr>
          <w:rFonts w:ascii="Tahoma" w:hAnsi="Tahoma" w:cs="Tahoma"/>
          <w:sz w:val="20"/>
          <w:szCs w:val="20"/>
        </w:rPr>
        <w:t>produit</w:t>
      </w:r>
      <w:r w:rsidRPr="00B004EE">
        <w:rPr>
          <w:rFonts w:ascii="Tahoma" w:hAnsi="Tahoma" w:cs="Tahoma"/>
          <w:sz w:val="20"/>
          <w:szCs w:val="20"/>
        </w:rPr>
        <w:t xml:space="preserve"> </w:t>
      </w:r>
      <w:r w:rsidR="008518B0" w:rsidRPr="00B004EE">
        <w:rPr>
          <w:rFonts w:ascii="Tahoma" w:hAnsi="Tahoma" w:cs="Tahoma"/>
          <w:sz w:val="20"/>
          <w:szCs w:val="20"/>
        </w:rPr>
        <w:t>du</w:t>
      </w:r>
      <w:r w:rsidRPr="00B004EE">
        <w:rPr>
          <w:rFonts w:ascii="Tahoma" w:hAnsi="Tahoma" w:cs="Tahoma"/>
          <w:sz w:val="20"/>
          <w:szCs w:val="20"/>
        </w:rPr>
        <w:t xml:space="preserve"> </w:t>
      </w:r>
      <w:r w:rsidR="008518B0" w:rsidRPr="00B004EE">
        <w:rPr>
          <w:rFonts w:ascii="Tahoma" w:hAnsi="Tahoma" w:cs="Tahoma"/>
          <w:sz w:val="20"/>
          <w:szCs w:val="20"/>
        </w:rPr>
        <w:t>nombre</w:t>
      </w:r>
      <w:r w:rsidRPr="00B004EE">
        <w:rPr>
          <w:rFonts w:ascii="Tahoma" w:hAnsi="Tahoma" w:cs="Tahoma"/>
          <w:sz w:val="20"/>
          <w:szCs w:val="20"/>
        </w:rPr>
        <w:t xml:space="preserve"> </w:t>
      </w:r>
      <w:r w:rsidR="008518B0" w:rsidRPr="00B004EE">
        <w:rPr>
          <w:rFonts w:ascii="Tahoma" w:hAnsi="Tahoma" w:cs="Tahoma"/>
          <w:sz w:val="20"/>
          <w:szCs w:val="20"/>
        </w:rPr>
        <w:t>de</w:t>
      </w:r>
      <w:r w:rsidRPr="00B004EE">
        <w:rPr>
          <w:rFonts w:ascii="Tahoma" w:hAnsi="Tahoma" w:cs="Tahoma"/>
          <w:sz w:val="20"/>
          <w:szCs w:val="20"/>
        </w:rPr>
        <w:t xml:space="preserve"> </w:t>
      </w:r>
      <w:r w:rsidR="008518B0" w:rsidRPr="00B004EE">
        <w:rPr>
          <w:rFonts w:ascii="Tahoma" w:hAnsi="Tahoma" w:cs="Tahoma"/>
          <w:sz w:val="20"/>
          <w:szCs w:val="20"/>
        </w:rPr>
        <w:t>mailles</w:t>
      </w:r>
      <w:r w:rsidRPr="00B004EE">
        <w:rPr>
          <w:rFonts w:ascii="Tahoma" w:hAnsi="Tahoma" w:cs="Tahoma"/>
          <w:sz w:val="20"/>
          <w:szCs w:val="20"/>
        </w:rPr>
        <w:t xml:space="preserve"> </w:t>
      </w:r>
      <w:r w:rsidR="008518B0" w:rsidRPr="00B004EE">
        <w:rPr>
          <w:rFonts w:ascii="Tahoma" w:hAnsi="Tahoma" w:cs="Tahoma"/>
          <w:sz w:val="20"/>
          <w:szCs w:val="20"/>
        </w:rPr>
        <w:t>de</w:t>
      </w:r>
      <w:r w:rsidRPr="00B004EE">
        <w:rPr>
          <w:rFonts w:ascii="Tahoma" w:hAnsi="Tahoma" w:cs="Tahoma"/>
          <w:sz w:val="20"/>
          <w:szCs w:val="20"/>
        </w:rPr>
        <w:t xml:space="preserve"> </w:t>
      </w:r>
      <w:r w:rsidR="008518B0" w:rsidRPr="00B004EE">
        <w:rPr>
          <w:rFonts w:ascii="Tahoma" w:hAnsi="Tahoma" w:cs="Tahoma"/>
          <w:sz w:val="20"/>
          <w:szCs w:val="20"/>
        </w:rPr>
        <w:t>la</w:t>
      </w:r>
      <w:r w:rsidRPr="00B004EE">
        <w:rPr>
          <w:rFonts w:ascii="Tahoma" w:hAnsi="Tahoma" w:cs="Tahoma"/>
          <w:sz w:val="20"/>
          <w:szCs w:val="20"/>
        </w:rPr>
        <w:t xml:space="preserve"> </w:t>
      </w:r>
      <w:r w:rsidR="008518B0" w:rsidRPr="00B004EE">
        <w:rPr>
          <w:rFonts w:ascii="Tahoma" w:hAnsi="Tahoma" w:cs="Tahoma"/>
          <w:sz w:val="20"/>
          <w:szCs w:val="20"/>
        </w:rPr>
        <w:t>circonférence</w:t>
      </w:r>
      <w:r w:rsidRPr="00B004EE">
        <w:rPr>
          <w:rFonts w:ascii="Tahoma" w:hAnsi="Tahoma" w:cs="Tahoma"/>
          <w:sz w:val="20"/>
          <w:szCs w:val="20"/>
        </w:rPr>
        <w:t xml:space="preserve"> </w:t>
      </w:r>
      <w:r w:rsidR="008518B0" w:rsidRPr="00B004EE">
        <w:rPr>
          <w:rFonts w:ascii="Tahoma" w:hAnsi="Tahoma" w:cs="Tahoma"/>
          <w:sz w:val="20"/>
          <w:szCs w:val="20"/>
        </w:rPr>
        <w:t>du</w:t>
      </w:r>
      <w:r w:rsidRPr="00B004EE">
        <w:rPr>
          <w:rFonts w:ascii="Tahoma" w:hAnsi="Tahoma" w:cs="Tahoma"/>
          <w:sz w:val="20"/>
          <w:szCs w:val="20"/>
        </w:rPr>
        <w:t xml:space="preserve"> </w:t>
      </w:r>
      <w:r w:rsidR="008518B0" w:rsidRPr="00B004EE">
        <w:rPr>
          <w:rFonts w:ascii="Tahoma" w:hAnsi="Tahoma" w:cs="Tahoma"/>
          <w:sz w:val="20"/>
          <w:szCs w:val="20"/>
        </w:rPr>
        <w:t>cul</w:t>
      </w:r>
      <w:r w:rsidRPr="00B004EE">
        <w:rPr>
          <w:rFonts w:ascii="Tahoma" w:hAnsi="Tahoma" w:cs="Tahoma"/>
          <w:sz w:val="20"/>
          <w:szCs w:val="20"/>
        </w:rPr>
        <w:t xml:space="preserve"> </w:t>
      </w:r>
      <w:r w:rsidR="008518B0" w:rsidRPr="00B004EE">
        <w:rPr>
          <w:rFonts w:ascii="Tahoma" w:hAnsi="Tahoma" w:cs="Tahoma"/>
          <w:sz w:val="20"/>
          <w:szCs w:val="20"/>
        </w:rPr>
        <w:t>multiplié</w:t>
      </w:r>
      <w:r w:rsidRPr="00B004EE">
        <w:rPr>
          <w:rFonts w:ascii="Tahoma" w:hAnsi="Tahoma" w:cs="Tahoma"/>
          <w:sz w:val="20"/>
          <w:szCs w:val="20"/>
        </w:rPr>
        <w:t xml:space="preserve"> </w:t>
      </w:r>
      <w:r w:rsidR="008518B0" w:rsidRPr="00B004EE">
        <w:rPr>
          <w:rFonts w:ascii="Tahoma" w:hAnsi="Tahoma" w:cs="Tahoma"/>
          <w:sz w:val="20"/>
          <w:szCs w:val="20"/>
        </w:rPr>
        <w:t>par</w:t>
      </w:r>
      <w:r w:rsidRPr="00B004EE">
        <w:rPr>
          <w:rFonts w:ascii="Tahoma" w:hAnsi="Tahoma" w:cs="Tahoma"/>
          <w:sz w:val="20"/>
          <w:szCs w:val="20"/>
        </w:rPr>
        <w:t xml:space="preserve"> </w:t>
      </w:r>
      <w:r w:rsidR="008518B0" w:rsidRPr="00B004EE">
        <w:rPr>
          <w:rFonts w:ascii="Tahoma" w:hAnsi="Tahoma" w:cs="Tahoma"/>
          <w:sz w:val="20"/>
          <w:szCs w:val="20"/>
        </w:rPr>
        <w:t>le</w:t>
      </w:r>
      <w:r w:rsidRPr="00B004EE">
        <w:rPr>
          <w:rFonts w:ascii="Tahoma" w:hAnsi="Tahoma" w:cs="Tahoma"/>
          <w:sz w:val="20"/>
          <w:szCs w:val="20"/>
        </w:rPr>
        <w:t xml:space="preserve"> </w:t>
      </w:r>
      <w:r w:rsidR="008518B0" w:rsidRPr="00B004EE">
        <w:rPr>
          <w:rFonts w:ascii="Tahoma" w:hAnsi="Tahoma" w:cs="Tahoma"/>
          <w:sz w:val="20"/>
          <w:szCs w:val="20"/>
        </w:rPr>
        <w:t>maillage</w:t>
      </w:r>
      <w:r w:rsidRPr="00B004EE">
        <w:rPr>
          <w:rFonts w:ascii="Tahoma" w:hAnsi="Tahoma" w:cs="Tahoma"/>
          <w:sz w:val="20"/>
          <w:szCs w:val="20"/>
        </w:rPr>
        <w:t xml:space="preserve"> </w:t>
      </w:r>
      <w:r w:rsidR="008518B0" w:rsidRPr="00B004EE">
        <w:rPr>
          <w:rFonts w:ascii="Tahoma" w:hAnsi="Tahoma" w:cs="Tahoma"/>
          <w:sz w:val="20"/>
          <w:szCs w:val="20"/>
        </w:rPr>
        <w:t>effectif,</w:t>
      </w:r>
      <w:r w:rsidRPr="00B004EE">
        <w:rPr>
          <w:rFonts w:ascii="Tahoma" w:hAnsi="Tahoma" w:cs="Tahoma"/>
          <w:sz w:val="20"/>
          <w:szCs w:val="20"/>
        </w:rPr>
        <w:t xml:space="preserve"> </w:t>
      </w:r>
      <w:r w:rsidR="008518B0" w:rsidRPr="00B004EE">
        <w:rPr>
          <w:rFonts w:ascii="Tahoma" w:hAnsi="Tahoma" w:cs="Tahoma"/>
          <w:sz w:val="20"/>
          <w:szCs w:val="20"/>
        </w:rPr>
        <w:t>sauf</w:t>
      </w:r>
      <w:r w:rsidRPr="00B004EE">
        <w:rPr>
          <w:rFonts w:ascii="Tahoma" w:hAnsi="Tahoma" w:cs="Tahoma"/>
          <w:sz w:val="20"/>
          <w:szCs w:val="20"/>
        </w:rPr>
        <w:t xml:space="preserve"> </w:t>
      </w:r>
      <w:r w:rsidR="008518B0" w:rsidRPr="00B004EE">
        <w:rPr>
          <w:rFonts w:ascii="Tahoma" w:hAnsi="Tahoma" w:cs="Tahoma"/>
          <w:sz w:val="20"/>
          <w:szCs w:val="20"/>
        </w:rPr>
        <w:t>pour</w:t>
      </w:r>
      <w:r w:rsidRPr="00B004EE">
        <w:rPr>
          <w:rFonts w:ascii="Tahoma" w:hAnsi="Tahoma" w:cs="Tahoma"/>
          <w:sz w:val="20"/>
          <w:szCs w:val="20"/>
        </w:rPr>
        <w:t xml:space="preserve"> </w:t>
      </w:r>
      <w:r w:rsidR="008518B0" w:rsidRPr="00B004EE">
        <w:rPr>
          <w:rFonts w:ascii="Tahoma" w:hAnsi="Tahoma" w:cs="Tahoma"/>
          <w:sz w:val="20"/>
          <w:szCs w:val="20"/>
        </w:rPr>
        <w:t>l'erse</w:t>
      </w:r>
      <w:r w:rsidRPr="00B004EE">
        <w:rPr>
          <w:rFonts w:ascii="Tahoma" w:hAnsi="Tahoma" w:cs="Tahoma"/>
          <w:sz w:val="20"/>
          <w:szCs w:val="20"/>
        </w:rPr>
        <w:t xml:space="preserve"> </w:t>
      </w:r>
      <w:r w:rsidR="008518B0" w:rsidRPr="00B004EE">
        <w:rPr>
          <w:rFonts w:ascii="Tahoma" w:hAnsi="Tahoma" w:cs="Tahoma"/>
          <w:sz w:val="20"/>
          <w:szCs w:val="20"/>
        </w:rPr>
        <w:t>circulaire</w:t>
      </w:r>
      <w:r w:rsidRPr="00B004EE">
        <w:rPr>
          <w:rFonts w:ascii="Tahoma" w:hAnsi="Tahoma" w:cs="Tahoma"/>
          <w:sz w:val="20"/>
          <w:szCs w:val="20"/>
        </w:rPr>
        <w:t xml:space="preserve"> </w:t>
      </w:r>
      <w:r w:rsidR="008518B0" w:rsidRPr="00B004EE">
        <w:rPr>
          <w:rFonts w:ascii="Tahoma" w:hAnsi="Tahoma" w:cs="Tahoma"/>
          <w:sz w:val="20"/>
          <w:szCs w:val="20"/>
        </w:rPr>
        <w:t>située</w:t>
      </w:r>
      <w:r w:rsidRPr="00B004EE">
        <w:rPr>
          <w:rFonts w:ascii="Tahoma" w:hAnsi="Tahoma" w:cs="Tahoma"/>
          <w:sz w:val="20"/>
          <w:szCs w:val="20"/>
        </w:rPr>
        <w:t xml:space="preserve"> </w:t>
      </w:r>
      <w:r w:rsidR="008518B0" w:rsidRPr="00B004EE">
        <w:rPr>
          <w:rFonts w:ascii="Tahoma" w:hAnsi="Tahoma" w:cs="Tahoma"/>
          <w:sz w:val="20"/>
          <w:szCs w:val="20"/>
        </w:rPr>
        <w:t>la</w:t>
      </w:r>
      <w:r w:rsidRPr="00B004EE">
        <w:rPr>
          <w:rFonts w:ascii="Tahoma" w:hAnsi="Tahoma" w:cs="Tahoma"/>
          <w:sz w:val="20"/>
          <w:szCs w:val="20"/>
        </w:rPr>
        <w:t xml:space="preserve"> </w:t>
      </w:r>
      <w:r w:rsidR="008518B0" w:rsidRPr="00B004EE">
        <w:rPr>
          <w:rFonts w:ascii="Tahoma" w:hAnsi="Tahoma" w:cs="Tahoma"/>
          <w:sz w:val="20"/>
          <w:szCs w:val="20"/>
        </w:rPr>
        <w:t>plus</w:t>
      </w:r>
      <w:r w:rsidRPr="00B004EE">
        <w:rPr>
          <w:rFonts w:ascii="Tahoma" w:hAnsi="Tahoma" w:cs="Tahoma"/>
          <w:sz w:val="20"/>
          <w:szCs w:val="20"/>
        </w:rPr>
        <w:t xml:space="preserve"> </w:t>
      </w:r>
      <w:r w:rsidR="008518B0" w:rsidRPr="00B004EE">
        <w:rPr>
          <w:rFonts w:ascii="Tahoma" w:hAnsi="Tahoma" w:cs="Tahoma"/>
          <w:sz w:val="20"/>
          <w:szCs w:val="20"/>
        </w:rPr>
        <w:t>en</w:t>
      </w:r>
      <w:r w:rsidRPr="00B004EE">
        <w:rPr>
          <w:rFonts w:ascii="Tahoma" w:hAnsi="Tahoma" w:cs="Tahoma"/>
          <w:sz w:val="20"/>
          <w:szCs w:val="20"/>
        </w:rPr>
        <w:t xml:space="preserve"> </w:t>
      </w:r>
      <w:r w:rsidR="008518B0" w:rsidRPr="00B004EE">
        <w:rPr>
          <w:rFonts w:ascii="Tahoma" w:hAnsi="Tahoma" w:cs="Tahoma"/>
          <w:sz w:val="20"/>
          <w:szCs w:val="20"/>
        </w:rPr>
        <w:t>arrière</w:t>
      </w:r>
      <w:r w:rsidRPr="00B004EE">
        <w:rPr>
          <w:rFonts w:ascii="Tahoma" w:hAnsi="Tahoma" w:cs="Tahoma"/>
          <w:sz w:val="20"/>
          <w:szCs w:val="20"/>
        </w:rPr>
        <w:t xml:space="preserve"> </w:t>
      </w:r>
      <w:r w:rsidR="008518B0" w:rsidRPr="00B004EE">
        <w:rPr>
          <w:rFonts w:ascii="Tahoma" w:hAnsi="Tahoma" w:cs="Tahoma"/>
          <w:sz w:val="20"/>
          <w:szCs w:val="20"/>
        </w:rPr>
        <w:t>appelée</w:t>
      </w:r>
      <w:r w:rsidRPr="00B004EE">
        <w:rPr>
          <w:rFonts w:ascii="Tahoma" w:hAnsi="Tahoma" w:cs="Tahoma"/>
          <w:sz w:val="20"/>
          <w:szCs w:val="20"/>
        </w:rPr>
        <w:t xml:space="preserve"> </w:t>
      </w:r>
      <w:r w:rsidR="008518B0" w:rsidRPr="00B004EE">
        <w:rPr>
          <w:rFonts w:ascii="Tahoma" w:hAnsi="Tahoma" w:cs="Tahoma"/>
          <w:sz w:val="20"/>
          <w:szCs w:val="20"/>
        </w:rPr>
        <w:t>«</w:t>
      </w:r>
      <w:r w:rsidRPr="00B004EE">
        <w:rPr>
          <w:rFonts w:ascii="Tahoma" w:hAnsi="Tahoma" w:cs="Tahoma"/>
          <w:sz w:val="20"/>
          <w:szCs w:val="20"/>
        </w:rPr>
        <w:t xml:space="preserve"> </w:t>
      </w:r>
      <w:r w:rsidR="008518B0" w:rsidRPr="00B004EE">
        <w:rPr>
          <w:rFonts w:ascii="Tahoma" w:hAnsi="Tahoma" w:cs="Tahoma"/>
          <w:sz w:val="20"/>
          <w:szCs w:val="20"/>
        </w:rPr>
        <w:t>erse</w:t>
      </w:r>
      <w:r w:rsidRPr="00B004EE">
        <w:rPr>
          <w:rFonts w:ascii="Tahoma" w:hAnsi="Tahoma" w:cs="Tahoma"/>
          <w:sz w:val="20"/>
          <w:szCs w:val="20"/>
        </w:rPr>
        <w:t xml:space="preserve"> </w:t>
      </w:r>
      <w:r w:rsidR="008518B0" w:rsidRPr="00B004EE">
        <w:rPr>
          <w:rFonts w:ascii="Tahoma" w:hAnsi="Tahoma" w:cs="Tahoma"/>
          <w:sz w:val="20"/>
          <w:szCs w:val="20"/>
        </w:rPr>
        <w:t>arrière</w:t>
      </w:r>
      <w:r w:rsidRPr="00B004EE">
        <w:rPr>
          <w:rFonts w:ascii="Tahoma" w:hAnsi="Tahoma" w:cs="Tahoma"/>
          <w:sz w:val="20"/>
          <w:szCs w:val="20"/>
        </w:rPr>
        <w:t xml:space="preserve"> </w:t>
      </w:r>
      <w:r w:rsidR="008518B0" w:rsidRPr="00B004EE">
        <w:rPr>
          <w:rFonts w:ascii="Tahoma" w:hAnsi="Tahoma" w:cs="Tahoma"/>
          <w:sz w:val="20"/>
          <w:szCs w:val="20"/>
        </w:rPr>
        <w:t>»,</w:t>
      </w:r>
      <w:r w:rsidRPr="00B004EE">
        <w:rPr>
          <w:rFonts w:ascii="Tahoma" w:hAnsi="Tahoma" w:cs="Tahoma"/>
          <w:sz w:val="20"/>
          <w:szCs w:val="20"/>
        </w:rPr>
        <w:t xml:space="preserve"> </w:t>
      </w:r>
      <w:r w:rsidR="008518B0" w:rsidRPr="00B004EE">
        <w:rPr>
          <w:rFonts w:ascii="Tahoma" w:hAnsi="Tahoma" w:cs="Tahoma"/>
          <w:sz w:val="20"/>
          <w:szCs w:val="20"/>
        </w:rPr>
        <w:t>si</w:t>
      </w:r>
      <w:r w:rsidRPr="00B004EE">
        <w:rPr>
          <w:rFonts w:ascii="Tahoma" w:hAnsi="Tahoma" w:cs="Tahoma"/>
          <w:sz w:val="20"/>
          <w:szCs w:val="20"/>
        </w:rPr>
        <w:t xml:space="preserve"> </w:t>
      </w:r>
      <w:r w:rsidR="008518B0" w:rsidRPr="00B004EE">
        <w:rPr>
          <w:rFonts w:ascii="Tahoma" w:hAnsi="Tahoma" w:cs="Tahoma"/>
          <w:sz w:val="20"/>
          <w:szCs w:val="20"/>
        </w:rPr>
        <w:lastRenderedPageBreak/>
        <w:t>celle-ci</w:t>
      </w:r>
      <w:r w:rsidRPr="00B004EE">
        <w:rPr>
          <w:rFonts w:ascii="Tahoma" w:hAnsi="Tahoma" w:cs="Tahoma"/>
          <w:sz w:val="20"/>
          <w:szCs w:val="20"/>
        </w:rPr>
        <w:t xml:space="preserve"> </w:t>
      </w:r>
      <w:r w:rsidR="008518B0" w:rsidRPr="00B004EE">
        <w:rPr>
          <w:rFonts w:ascii="Tahoma" w:hAnsi="Tahoma" w:cs="Tahoma"/>
          <w:sz w:val="20"/>
          <w:szCs w:val="20"/>
        </w:rPr>
        <w:t>est</w:t>
      </w:r>
      <w:r w:rsidRPr="00B004EE">
        <w:rPr>
          <w:rFonts w:ascii="Tahoma" w:hAnsi="Tahoma" w:cs="Tahoma"/>
          <w:sz w:val="20"/>
          <w:szCs w:val="20"/>
        </w:rPr>
        <w:t xml:space="preserve"> </w:t>
      </w:r>
      <w:r w:rsidR="008518B0" w:rsidRPr="00B004EE">
        <w:rPr>
          <w:rFonts w:ascii="Tahoma" w:hAnsi="Tahoma" w:cs="Tahoma"/>
          <w:sz w:val="20"/>
          <w:szCs w:val="20"/>
        </w:rPr>
        <w:t>fixée</w:t>
      </w:r>
      <w:r w:rsidRPr="00B004EE">
        <w:rPr>
          <w:rFonts w:ascii="Tahoma" w:hAnsi="Tahoma" w:cs="Tahoma"/>
          <w:sz w:val="20"/>
          <w:szCs w:val="20"/>
        </w:rPr>
        <w:t xml:space="preserve"> </w:t>
      </w:r>
      <w:r w:rsidR="008518B0" w:rsidRPr="00B004EE">
        <w:rPr>
          <w:rFonts w:ascii="Tahoma" w:hAnsi="Tahoma" w:cs="Tahoma"/>
          <w:sz w:val="20"/>
          <w:szCs w:val="20"/>
        </w:rPr>
        <w:t>à</w:t>
      </w:r>
      <w:r w:rsidRPr="00B004EE">
        <w:rPr>
          <w:rFonts w:ascii="Tahoma" w:hAnsi="Tahoma" w:cs="Tahoma"/>
          <w:sz w:val="20"/>
          <w:szCs w:val="20"/>
        </w:rPr>
        <w:t xml:space="preserve"> </w:t>
      </w:r>
      <w:r w:rsidR="008518B0" w:rsidRPr="00B004EE">
        <w:rPr>
          <w:rFonts w:ascii="Tahoma" w:hAnsi="Tahoma" w:cs="Tahoma"/>
          <w:sz w:val="20"/>
          <w:szCs w:val="20"/>
        </w:rPr>
        <w:t>une</w:t>
      </w:r>
      <w:r w:rsidRPr="00B004EE">
        <w:rPr>
          <w:rFonts w:ascii="Tahoma" w:hAnsi="Tahoma" w:cs="Tahoma"/>
          <w:sz w:val="20"/>
          <w:szCs w:val="20"/>
        </w:rPr>
        <w:t xml:space="preserve"> </w:t>
      </w:r>
      <w:r w:rsidR="008518B0" w:rsidRPr="00B004EE">
        <w:rPr>
          <w:rFonts w:ascii="Tahoma" w:hAnsi="Tahoma" w:cs="Tahoma"/>
          <w:sz w:val="20"/>
          <w:szCs w:val="20"/>
        </w:rPr>
        <w:t>distance</w:t>
      </w:r>
      <w:r w:rsidRPr="00B004EE">
        <w:rPr>
          <w:rFonts w:ascii="Tahoma" w:hAnsi="Tahoma" w:cs="Tahoma"/>
          <w:sz w:val="20"/>
          <w:szCs w:val="20"/>
        </w:rPr>
        <w:t xml:space="preserve"> </w:t>
      </w:r>
      <w:r w:rsidR="008518B0" w:rsidRPr="00B004EE">
        <w:rPr>
          <w:rFonts w:ascii="Tahoma" w:hAnsi="Tahoma" w:cs="Tahoma"/>
          <w:sz w:val="20"/>
          <w:szCs w:val="20"/>
        </w:rPr>
        <w:t>égale</w:t>
      </w:r>
      <w:r w:rsidRPr="00B004EE">
        <w:rPr>
          <w:rFonts w:ascii="Tahoma" w:hAnsi="Tahoma" w:cs="Tahoma"/>
          <w:sz w:val="20"/>
          <w:szCs w:val="20"/>
        </w:rPr>
        <w:t xml:space="preserve"> </w:t>
      </w:r>
      <w:r w:rsidR="008518B0" w:rsidRPr="00B004EE">
        <w:rPr>
          <w:rFonts w:ascii="Tahoma" w:hAnsi="Tahoma" w:cs="Tahoma"/>
          <w:sz w:val="20"/>
          <w:szCs w:val="20"/>
        </w:rPr>
        <w:t>ou</w:t>
      </w:r>
      <w:r w:rsidRPr="00B004EE">
        <w:rPr>
          <w:rFonts w:ascii="Tahoma" w:hAnsi="Tahoma" w:cs="Tahoma"/>
          <w:sz w:val="20"/>
          <w:szCs w:val="20"/>
        </w:rPr>
        <w:t xml:space="preserve"> </w:t>
      </w:r>
      <w:r w:rsidR="008518B0" w:rsidRPr="00B004EE">
        <w:rPr>
          <w:rFonts w:ascii="Tahoma" w:hAnsi="Tahoma" w:cs="Tahoma"/>
          <w:sz w:val="20"/>
          <w:szCs w:val="20"/>
        </w:rPr>
        <w:t>inférieure</w:t>
      </w:r>
      <w:r w:rsidRPr="00B004EE">
        <w:rPr>
          <w:rFonts w:ascii="Tahoma" w:hAnsi="Tahoma" w:cs="Tahoma"/>
          <w:sz w:val="20"/>
          <w:szCs w:val="20"/>
        </w:rPr>
        <w:t xml:space="preserve"> </w:t>
      </w:r>
      <w:r w:rsidR="008518B0" w:rsidRPr="00B004EE">
        <w:rPr>
          <w:rFonts w:ascii="Tahoma" w:hAnsi="Tahoma" w:cs="Tahoma"/>
          <w:sz w:val="20"/>
          <w:szCs w:val="20"/>
        </w:rPr>
        <w:t>à</w:t>
      </w:r>
      <w:r w:rsidRPr="00B004EE">
        <w:rPr>
          <w:rFonts w:ascii="Tahoma" w:hAnsi="Tahoma" w:cs="Tahoma"/>
          <w:sz w:val="20"/>
          <w:szCs w:val="20"/>
        </w:rPr>
        <w:t xml:space="preserve"> </w:t>
      </w:r>
      <w:r w:rsidR="008518B0" w:rsidRPr="00B004EE">
        <w:rPr>
          <w:rFonts w:ascii="Tahoma" w:hAnsi="Tahoma" w:cs="Tahoma"/>
          <w:sz w:val="20"/>
          <w:szCs w:val="20"/>
        </w:rPr>
        <w:t>deux</w:t>
      </w:r>
      <w:r w:rsidRPr="00B004EE">
        <w:rPr>
          <w:rFonts w:ascii="Tahoma" w:hAnsi="Tahoma" w:cs="Tahoma"/>
          <w:sz w:val="20"/>
          <w:szCs w:val="20"/>
        </w:rPr>
        <w:t xml:space="preserve"> </w:t>
      </w:r>
      <w:r w:rsidR="008518B0" w:rsidRPr="00B004EE">
        <w:rPr>
          <w:rFonts w:ascii="Tahoma" w:hAnsi="Tahoma" w:cs="Tahoma"/>
          <w:sz w:val="20"/>
          <w:szCs w:val="20"/>
        </w:rPr>
        <w:t>mètres</w:t>
      </w:r>
      <w:r w:rsidRPr="00B004EE">
        <w:rPr>
          <w:rFonts w:ascii="Tahoma" w:hAnsi="Tahoma" w:cs="Tahoma"/>
          <w:sz w:val="20"/>
          <w:szCs w:val="20"/>
        </w:rPr>
        <w:t xml:space="preserve"> </w:t>
      </w:r>
      <w:r w:rsidR="008518B0" w:rsidRPr="00B004EE">
        <w:rPr>
          <w:rFonts w:ascii="Tahoma" w:hAnsi="Tahoma" w:cs="Tahoma"/>
          <w:sz w:val="20"/>
          <w:szCs w:val="20"/>
        </w:rPr>
        <w:t>à</w:t>
      </w:r>
      <w:r w:rsidRPr="00B004EE">
        <w:rPr>
          <w:rFonts w:ascii="Tahoma" w:hAnsi="Tahoma" w:cs="Tahoma"/>
          <w:sz w:val="20"/>
          <w:szCs w:val="20"/>
        </w:rPr>
        <w:t xml:space="preserve"> </w:t>
      </w:r>
      <w:r w:rsidR="008518B0" w:rsidRPr="00B004EE">
        <w:rPr>
          <w:rFonts w:ascii="Tahoma" w:hAnsi="Tahoma" w:cs="Tahoma"/>
          <w:sz w:val="20"/>
          <w:szCs w:val="20"/>
        </w:rPr>
        <w:t>partir</w:t>
      </w:r>
      <w:r w:rsidRPr="00B004EE">
        <w:rPr>
          <w:rFonts w:ascii="Tahoma" w:hAnsi="Tahoma" w:cs="Tahoma"/>
          <w:sz w:val="20"/>
          <w:szCs w:val="20"/>
        </w:rPr>
        <w:t xml:space="preserve"> </w:t>
      </w:r>
      <w:r w:rsidR="008518B0" w:rsidRPr="00B004EE">
        <w:rPr>
          <w:rFonts w:ascii="Tahoma" w:hAnsi="Tahoma" w:cs="Tahoma"/>
          <w:sz w:val="20"/>
          <w:szCs w:val="20"/>
        </w:rPr>
        <w:t>des</w:t>
      </w:r>
      <w:r w:rsidRPr="00B004EE">
        <w:rPr>
          <w:rFonts w:ascii="Tahoma" w:hAnsi="Tahoma" w:cs="Tahoma"/>
          <w:sz w:val="20"/>
          <w:szCs w:val="20"/>
        </w:rPr>
        <w:t xml:space="preserve"> </w:t>
      </w:r>
      <w:r w:rsidR="008518B0" w:rsidRPr="00B004EE">
        <w:rPr>
          <w:rFonts w:ascii="Tahoma" w:hAnsi="Tahoma" w:cs="Tahoma"/>
          <w:sz w:val="20"/>
          <w:szCs w:val="20"/>
        </w:rPr>
        <w:t>mailles</w:t>
      </w:r>
      <w:r w:rsidRPr="00B004EE">
        <w:rPr>
          <w:rFonts w:ascii="Tahoma" w:hAnsi="Tahoma" w:cs="Tahoma"/>
          <w:sz w:val="20"/>
          <w:szCs w:val="20"/>
        </w:rPr>
        <w:t xml:space="preserve"> </w:t>
      </w:r>
      <w:r w:rsidR="008518B0" w:rsidRPr="00B004EE">
        <w:rPr>
          <w:rFonts w:ascii="Tahoma" w:hAnsi="Tahoma" w:cs="Tahoma"/>
          <w:sz w:val="20"/>
          <w:szCs w:val="20"/>
        </w:rPr>
        <w:t>du</w:t>
      </w:r>
      <w:r w:rsidRPr="00B004EE">
        <w:rPr>
          <w:rFonts w:ascii="Tahoma" w:hAnsi="Tahoma" w:cs="Tahoma"/>
          <w:sz w:val="20"/>
          <w:szCs w:val="20"/>
        </w:rPr>
        <w:t xml:space="preserve"> </w:t>
      </w:r>
      <w:r w:rsidR="008518B0" w:rsidRPr="00B004EE">
        <w:rPr>
          <w:rFonts w:ascii="Tahoma" w:hAnsi="Tahoma" w:cs="Tahoma"/>
          <w:sz w:val="20"/>
          <w:szCs w:val="20"/>
        </w:rPr>
        <w:t>ruban</w:t>
      </w:r>
      <w:r w:rsidRPr="00B004EE">
        <w:rPr>
          <w:rFonts w:ascii="Tahoma" w:hAnsi="Tahoma" w:cs="Tahoma"/>
          <w:sz w:val="20"/>
          <w:szCs w:val="20"/>
        </w:rPr>
        <w:t xml:space="preserve"> </w:t>
      </w:r>
      <w:r w:rsidR="008518B0" w:rsidRPr="00B004EE">
        <w:rPr>
          <w:rFonts w:ascii="Tahoma" w:hAnsi="Tahoma" w:cs="Tahoma"/>
          <w:sz w:val="20"/>
          <w:szCs w:val="20"/>
        </w:rPr>
        <w:t>de</w:t>
      </w:r>
      <w:r w:rsidRPr="00B004EE">
        <w:rPr>
          <w:rFonts w:ascii="Tahoma" w:hAnsi="Tahoma" w:cs="Tahoma"/>
          <w:sz w:val="20"/>
          <w:szCs w:val="20"/>
        </w:rPr>
        <w:t xml:space="preserve"> </w:t>
      </w:r>
      <w:r w:rsidR="008518B0" w:rsidRPr="00B004EE">
        <w:rPr>
          <w:rFonts w:ascii="Tahoma" w:hAnsi="Tahoma" w:cs="Tahoma"/>
          <w:sz w:val="20"/>
          <w:szCs w:val="20"/>
        </w:rPr>
        <w:t>cul,</w:t>
      </w:r>
      <w:r w:rsidRPr="00B004EE">
        <w:rPr>
          <w:rFonts w:ascii="Tahoma" w:hAnsi="Tahoma" w:cs="Tahoma"/>
          <w:sz w:val="20"/>
          <w:szCs w:val="20"/>
        </w:rPr>
        <w:t xml:space="preserve"> </w:t>
      </w:r>
      <w:r w:rsidR="008518B0" w:rsidRPr="00B004EE">
        <w:rPr>
          <w:rFonts w:ascii="Tahoma" w:hAnsi="Tahoma" w:cs="Tahoma"/>
          <w:sz w:val="20"/>
          <w:szCs w:val="20"/>
        </w:rPr>
        <w:t>mesurée</w:t>
      </w:r>
      <w:r w:rsidRPr="00B004EE">
        <w:rPr>
          <w:rFonts w:ascii="Tahoma" w:hAnsi="Tahoma" w:cs="Tahoma"/>
          <w:sz w:val="20"/>
          <w:szCs w:val="20"/>
        </w:rPr>
        <w:t xml:space="preserve"> </w:t>
      </w:r>
      <w:r w:rsidR="008518B0" w:rsidRPr="00B004EE">
        <w:rPr>
          <w:rFonts w:ascii="Tahoma" w:hAnsi="Tahoma" w:cs="Tahoma"/>
          <w:sz w:val="20"/>
          <w:szCs w:val="20"/>
        </w:rPr>
        <w:t>lorsque</w:t>
      </w:r>
      <w:r w:rsidRPr="00B004EE">
        <w:rPr>
          <w:rFonts w:ascii="Tahoma" w:hAnsi="Tahoma" w:cs="Tahoma"/>
          <w:sz w:val="20"/>
          <w:szCs w:val="20"/>
        </w:rPr>
        <w:t xml:space="preserve"> </w:t>
      </w:r>
      <w:r w:rsidR="008518B0" w:rsidRPr="00B004EE">
        <w:rPr>
          <w:rFonts w:ascii="Tahoma" w:hAnsi="Tahoma" w:cs="Tahoma"/>
          <w:sz w:val="20"/>
          <w:szCs w:val="20"/>
        </w:rPr>
        <w:t>les</w:t>
      </w:r>
      <w:r w:rsidRPr="00B004EE">
        <w:rPr>
          <w:rFonts w:ascii="Tahoma" w:hAnsi="Tahoma" w:cs="Tahoma"/>
          <w:sz w:val="20"/>
          <w:szCs w:val="20"/>
        </w:rPr>
        <w:t xml:space="preserve"> </w:t>
      </w:r>
      <w:r w:rsidR="008518B0" w:rsidRPr="00B004EE">
        <w:rPr>
          <w:rFonts w:ascii="Tahoma" w:hAnsi="Tahoma" w:cs="Tahoma"/>
          <w:sz w:val="20"/>
          <w:szCs w:val="20"/>
        </w:rPr>
        <w:t>mailles</w:t>
      </w:r>
      <w:r w:rsidRPr="00B004EE">
        <w:rPr>
          <w:rFonts w:ascii="Tahoma" w:hAnsi="Tahoma" w:cs="Tahoma"/>
          <w:sz w:val="20"/>
          <w:szCs w:val="20"/>
        </w:rPr>
        <w:t xml:space="preserve"> </w:t>
      </w:r>
      <w:r w:rsidR="008518B0" w:rsidRPr="00B004EE">
        <w:rPr>
          <w:rFonts w:ascii="Tahoma" w:hAnsi="Tahoma" w:cs="Tahoma"/>
          <w:sz w:val="20"/>
          <w:szCs w:val="20"/>
        </w:rPr>
        <w:t>sont</w:t>
      </w:r>
      <w:r w:rsidRPr="00B004EE">
        <w:rPr>
          <w:rFonts w:ascii="Tahoma" w:hAnsi="Tahoma" w:cs="Tahoma"/>
          <w:sz w:val="20"/>
          <w:szCs w:val="20"/>
        </w:rPr>
        <w:t xml:space="preserve"> </w:t>
      </w:r>
      <w:r w:rsidR="008518B0" w:rsidRPr="00B004EE">
        <w:rPr>
          <w:rFonts w:ascii="Tahoma" w:hAnsi="Tahoma" w:cs="Tahoma"/>
          <w:sz w:val="20"/>
          <w:szCs w:val="20"/>
        </w:rPr>
        <w:t>étirées</w:t>
      </w:r>
      <w:r w:rsidRPr="00B004EE">
        <w:rPr>
          <w:rFonts w:ascii="Tahoma" w:hAnsi="Tahoma" w:cs="Tahoma"/>
          <w:sz w:val="20"/>
          <w:szCs w:val="20"/>
        </w:rPr>
        <w:t xml:space="preserve"> </w:t>
      </w:r>
      <w:r w:rsidR="008518B0" w:rsidRPr="00B004EE">
        <w:rPr>
          <w:rFonts w:ascii="Tahoma" w:hAnsi="Tahoma" w:cs="Tahoma"/>
          <w:sz w:val="20"/>
          <w:szCs w:val="20"/>
        </w:rPr>
        <w:t>longitudinalement.</w:t>
      </w:r>
    </w:p>
    <w:p w14:paraId="36D8A257" w14:textId="601E7394" w:rsidR="008518B0" w:rsidRPr="00B004EE" w:rsidRDefault="00DB1635" w:rsidP="00B004EE">
      <w:pPr>
        <w:pStyle w:val="Retraitcorpsdetexte"/>
        <w:tabs>
          <w:tab w:val="num" w:pos="709"/>
        </w:tabs>
        <w:ind w:left="567"/>
        <w:rPr>
          <w:rFonts w:ascii="Tahoma" w:hAnsi="Tahoma" w:cs="Tahoma"/>
          <w:sz w:val="20"/>
          <w:szCs w:val="20"/>
        </w:rPr>
      </w:pPr>
      <w:r w:rsidRPr="00B004EE">
        <w:rPr>
          <w:rFonts w:ascii="Tahoma" w:hAnsi="Tahoma" w:cs="Tahoma"/>
          <w:sz w:val="20"/>
          <w:szCs w:val="20"/>
        </w:rPr>
        <w:t xml:space="preserve"> </w:t>
      </w:r>
      <w:r w:rsidR="008518B0" w:rsidRPr="00B004EE">
        <w:rPr>
          <w:rFonts w:ascii="Tahoma" w:hAnsi="Tahoma" w:cs="Tahoma"/>
          <w:sz w:val="20"/>
          <w:szCs w:val="20"/>
        </w:rPr>
        <w:tab/>
        <w:t>La</w:t>
      </w:r>
      <w:r w:rsidRPr="00B004EE">
        <w:rPr>
          <w:rFonts w:ascii="Tahoma" w:hAnsi="Tahoma" w:cs="Tahoma"/>
          <w:sz w:val="20"/>
          <w:szCs w:val="20"/>
        </w:rPr>
        <w:t xml:space="preserve"> </w:t>
      </w:r>
      <w:r w:rsidR="008518B0" w:rsidRPr="00B004EE">
        <w:rPr>
          <w:rFonts w:ascii="Tahoma" w:hAnsi="Tahoma" w:cs="Tahoma"/>
          <w:sz w:val="20"/>
          <w:szCs w:val="20"/>
        </w:rPr>
        <w:t>distance</w:t>
      </w:r>
      <w:r w:rsidRPr="00B004EE">
        <w:rPr>
          <w:rFonts w:ascii="Tahoma" w:hAnsi="Tahoma" w:cs="Tahoma"/>
          <w:sz w:val="20"/>
          <w:szCs w:val="20"/>
        </w:rPr>
        <w:t xml:space="preserve"> </w:t>
      </w:r>
      <w:r w:rsidR="008518B0" w:rsidRPr="00B004EE">
        <w:rPr>
          <w:rFonts w:ascii="Tahoma" w:hAnsi="Tahoma" w:cs="Tahoma"/>
          <w:sz w:val="20"/>
          <w:szCs w:val="20"/>
        </w:rPr>
        <w:t>séparant</w:t>
      </w:r>
      <w:r w:rsidRPr="00B004EE">
        <w:rPr>
          <w:rFonts w:ascii="Tahoma" w:hAnsi="Tahoma" w:cs="Tahoma"/>
          <w:sz w:val="20"/>
          <w:szCs w:val="20"/>
        </w:rPr>
        <w:t xml:space="preserve"> </w:t>
      </w:r>
      <w:r w:rsidR="008518B0" w:rsidRPr="00B004EE">
        <w:rPr>
          <w:rFonts w:ascii="Tahoma" w:hAnsi="Tahoma" w:cs="Tahoma"/>
          <w:sz w:val="20"/>
          <w:szCs w:val="20"/>
        </w:rPr>
        <w:t>deux</w:t>
      </w:r>
      <w:r w:rsidRPr="00B004EE">
        <w:rPr>
          <w:rFonts w:ascii="Tahoma" w:hAnsi="Tahoma" w:cs="Tahoma"/>
          <w:sz w:val="20"/>
          <w:szCs w:val="20"/>
        </w:rPr>
        <w:t xml:space="preserve"> </w:t>
      </w:r>
      <w:r w:rsidR="008518B0" w:rsidRPr="00B004EE">
        <w:rPr>
          <w:rFonts w:ascii="Tahoma" w:hAnsi="Tahoma" w:cs="Tahoma"/>
          <w:sz w:val="20"/>
          <w:szCs w:val="20"/>
        </w:rPr>
        <w:t>erses</w:t>
      </w:r>
      <w:r w:rsidRPr="00B004EE">
        <w:rPr>
          <w:rFonts w:ascii="Tahoma" w:hAnsi="Tahoma" w:cs="Tahoma"/>
          <w:sz w:val="20"/>
          <w:szCs w:val="20"/>
        </w:rPr>
        <w:t xml:space="preserve"> </w:t>
      </w:r>
      <w:r w:rsidR="008518B0" w:rsidRPr="00B004EE">
        <w:rPr>
          <w:rFonts w:ascii="Tahoma" w:hAnsi="Tahoma" w:cs="Tahoma"/>
          <w:sz w:val="20"/>
          <w:szCs w:val="20"/>
        </w:rPr>
        <w:t>circulaires</w:t>
      </w:r>
      <w:r w:rsidRPr="00B004EE">
        <w:rPr>
          <w:rFonts w:ascii="Tahoma" w:hAnsi="Tahoma" w:cs="Tahoma"/>
          <w:sz w:val="20"/>
          <w:szCs w:val="20"/>
        </w:rPr>
        <w:t xml:space="preserve"> </w:t>
      </w:r>
      <w:r w:rsidR="008518B0" w:rsidRPr="00B004EE">
        <w:rPr>
          <w:rFonts w:ascii="Tahoma" w:hAnsi="Tahoma" w:cs="Tahoma"/>
          <w:sz w:val="20"/>
          <w:szCs w:val="20"/>
        </w:rPr>
        <w:t>successives</w:t>
      </w:r>
      <w:r w:rsidRPr="00B004EE">
        <w:rPr>
          <w:rFonts w:ascii="Tahoma" w:hAnsi="Tahoma" w:cs="Tahoma"/>
          <w:sz w:val="20"/>
          <w:szCs w:val="20"/>
        </w:rPr>
        <w:t xml:space="preserve"> </w:t>
      </w:r>
      <w:r w:rsidR="008518B0" w:rsidRPr="00B004EE">
        <w:rPr>
          <w:rFonts w:ascii="Tahoma" w:hAnsi="Tahoma" w:cs="Tahoma"/>
          <w:sz w:val="20"/>
          <w:szCs w:val="20"/>
        </w:rPr>
        <w:t>doit</w:t>
      </w:r>
      <w:r w:rsidRPr="00B004EE">
        <w:rPr>
          <w:rFonts w:ascii="Tahoma" w:hAnsi="Tahoma" w:cs="Tahoma"/>
          <w:sz w:val="20"/>
          <w:szCs w:val="20"/>
        </w:rPr>
        <w:t xml:space="preserve"> </w:t>
      </w:r>
      <w:r w:rsidR="008518B0" w:rsidRPr="00B004EE">
        <w:rPr>
          <w:rFonts w:ascii="Tahoma" w:hAnsi="Tahoma" w:cs="Tahoma"/>
          <w:sz w:val="20"/>
          <w:szCs w:val="20"/>
        </w:rPr>
        <w:t>être</w:t>
      </w:r>
      <w:r w:rsidRPr="00B004EE">
        <w:rPr>
          <w:rFonts w:ascii="Tahoma" w:hAnsi="Tahoma" w:cs="Tahoma"/>
          <w:sz w:val="20"/>
          <w:szCs w:val="20"/>
        </w:rPr>
        <w:t xml:space="preserve"> </w:t>
      </w:r>
      <w:r w:rsidR="008518B0" w:rsidRPr="00B004EE">
        <w:rPr>
          <w:rFonts w:ascii="Tahoma" w:hAnsi="Tahoma" w:cs="Tahoma"/>
          <w:sz w:val="20"/>
          <w:szCs w:val="20"/>
        </w:rPr>
        <w:t>égale</w:t>
      </w:r>
      <w:r w:rsidRPr="00B004EE">
        <w:rPr>
          <w:rFonts w:ascii="Tahoma" w:hAnsi="Tahoma" w:cs="Tahoma"/>
          <w:sz w:val="20"/>
          <w:szCs w:val="20"/>
        </w:rPr>
        <w:t xml:space="preserve"> </w:t>
      </w:r>
      <w:r w:rsidR="008518B0" w:rsidRPr="00B004EE">
        <w:rPr>
          <w:rFonts w:ascii="Tahoma" w:hAnsi="Tahoma" w:cs="Tahoma"/>
          <w:sz w:val="20"/>
          <w:szCs w:val="20"/>
        </w:rPr>
        <w:t>ou</w:t>
      </w:r>
      <w:r w:rsidRPr="00B004EE">
        <w:rPr>
          <w:rFonts w:ascii="Tahoma" w:hAnsi="Tahoma" w:cs="Tahoma"/>
          <w:sz w:val="20"/>
          <w:szCs w:val="20"/>
        </w:rPr>
        <w:t xml:space="preserve"> </w:t>
      </w:r>
      <w:r w:rsidR="008518B0" w:rsidRPr="00B004EE">
        <w:rPr>
          <w:rFonts w:ascii="Tahoma" w:hAnsi="Tahoma" w:cs="Tahoma"/>
          <w:sz w:val="20"/>
          <w:szCs w:val="20"/>
        </w:rPr>
        <w:t>supérieure</w:t>
      </w:r>
      <w:r w:rsidRPr="00B004EE">
        <w:rPr>
          <w:rFonts w:ascii="Tahoma" w:hAnsi="Tahoma" w:cs="Tahoma"/>
          <w:sz w:val="20"/>
          <w:szCs w:val="20"/>
        </w:rPr>
        <w:t xml:space="preserve"> </w:t>
      </w:r>
      <w:r w:rsidR="008518B0" w:rsidRPr="00B004EE">
        <w:rPr>
          <w:rFonts w:ascii="Tahoma" w:hAnsi="Tahoma" w:cs="Tahoma"/>
          <w:sz w:val="20"/>
          <w:szCs w:val="20"/>
        </w:rPr>
        <w:t>à</w:t>
      </w:r>
      <w:r w:rsidRPr="00B004EE">
        <w:rPr>
          <w:rFonts w:ascii="Tahoma" w:hAnsi="Tahoma" w:cs="Tahoma"/>
          <w:sz w:val="20"/>
          <w:szCs w:val="20"/>
        </w:rPr>
        <w:t xml:space="preserve"> </w:t>
      </w:r>
      <w:r w:rsidR="008518B0" w:rsidRPr="00B004EE">
        <w:rPr>
          <w:rFonts w:ascii="Tahoma" w:hAnsi="Tahoma" w:cs="Tahoma"/>
          <w:sz w:val="20"/>
          <w:szCs w:val="20"/>
        </w:rPr>
        <w:t>un</w:t>
      </w:r>
      <w:r w:rsidRPr="00B004EE">
        <w:rPr>
          <w:rFonts w:ascii="Tahoma" w:hAnsi="Tahoma" w:cs="Tahoma"/>
          <w:sz w:val="20"/>
          <w:szCs w:val="20"/>
        </w:rPr>
        <w:t xml:space="preserve"> </w:t>
      </w:r>
      <w:r w:rsidR="008518B0" w:rsidRPr="00B004EE">
        <w:rPr>
          <w:rFonts w:ascii="Tahoma" w:hAnsi="Tahoma" w:cs="Tahoma"/>
          <w:sz w:val="20"/>
          <w:szCs w:val="20"/>
        </w:rPr>
        <w:t>mètre</w:t>
      </w:r>
      <w:r w:rsidRPr="00B004EE">
        <w:rPr>
          <w:rFonts w:ascii="Tahoma" w:hAnsi="Tahoma" w:cs="Tahoma"/>
          <w:sz w:val="20"/>
          <w:szCs w:val="20"/>
        </w:rPr>
        <w:t xml:space="preserve"> </w:t>
      </w:r>
      <w:r w:rsidR="008518B0" w:rsidRPr="00B004EE">
        <w:rPr>
          <w:rFonts w:ascii="Tahoma" w:hAnsi="Tahoma" w:cs="Tahoma"/>
          <w:sz w:val="20"/>
          <w:szCs w:val="20"/>
        </w:rPr>
        <w:t>cinquante</w:t>
      </w:r>
      <w:r w:rsidRPr="00B004EE">
        <w:rPr>
          <w:rFonts w:ascii="Tahoma" w:hAnsi="Tahoma" w:cs="Tahoma"/>
          <w:sz w:val="20"/>
          <w:szCs w:val="20"/>
        </w:rPr>
        <w:t xml:space="preserve"> </w:t>
      </w:r>
      <w:r w:rsidR="008518B0" w:rsidRPr="00B004EE">
        <w:rPr>
          <w:rFonts w:ascii="Tahoma" w:hAnsi="Tahoma" w:cs="Tahoma"/>
          <w:sz w:val="20"/>
          <w:szCs w:val="20"/>
        </w:rPr>
        <w:t>(1,5</w:t>
      </w:r>
      <w:r w:rsidRPr="00B004EE">
        <w:rPr>
          <w:rFonts w:ascii="Tahoma" w:hAnsi="Tahoma" w:cs="Tahoma"/>
          <w:sz w:val="20"/>
          <w:szCs w:val="20"/>
        </w:rPr>
        <w:t xml:space="preserve"> </w:t>
      </w:r>
      <w:r w:rsidR="008518B0" w:rsidRPr="00B004EE">
        <w:rPr>
          <w:rFonts w:ascii="Tahoma" w:hAnsi="Tahoma" w:cs="Tahoma"/>
          <w:sz w:val="20"/>
          <w:szCs w:val="20"/>
        </w:rPr>
        <w:t>m).</w:t>
      </w:r>
      <w:r w:rsidRPr="00B004EE">
        <w:rPr>
          <w:rFonts w:ascii="Tahoma" w:hAnsi="Tahoma" w:cs="Tahoma"/>
          <w:sz w:val="20"/>
          <w:szCs w:val="20"/>
        </w:rPr>
        <w:t xml:space="preserve"> </w:t>
      </w:r>
    </w:p>
    <w:p w14:paraId="2FD8C6BD" w14:textId="5D68A2EE" w:rsidR="008518B0" w:rsidRPr="00B004EE" w:rsidRDefault="008518B0" w:rsidP="00B004EE">
      <w:pPr>
        <w:pStyle w:val="Retraitcorpsdetexte"/>
        <w:tabs>
          <w:tab w:val="num" w:pos="709"/>
        </w:tabs>
        <w:ind w:left="567" w:firstLine="0"/>
        <w:rPr>
          <w:rFonts w:ascii="Tahoma" w:hAnsi="Tahoma" w:cs="Tahoma"/>
          <w:sz w:val="20"/>
          <w:szCs w:val="20"/>
        </w:rPr>
      </w:pPr>
      <w:r w:rsidRPr="00B004EE">
        <w:rPr>
          <w:rFonts w:ascii="Tahoma" w:hAnsi="Tahoma" w:cs="Tahoma"/>
          <w:sz w:val="20"/>
          <w:szCs w:val="20"/>
        </w:rPr>
        <w:t>Cependant,</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erse</w:t>
      </w:r>
      <w:r w:rsidR="00DB1635" w:rsidRPr="00B004EE">
        <w:rPr>
          <w:rFonts w:ascii="Tahoma" w:hAnsi="Tahoma" w:cs="Tahoma"/>
          <w:sz w:val="20"/>
          <w:szCs w:val="20"/>
        </w:rPr>
        <w:t xml:space="preserve"> </w:t>
      </w:r>
      <w:r w:rsidRPr="00B004EE">
        <w:rPr>
          <w:rFonts w:ascii="Tahoma" w:hAnsi="Tahoma" w:cs="Tahoma"/>
          <w:sz w:val="20"/>
          <w:szCs w:val="20"/>
        </w:rPr>
        <w:t>circulaire</w:t>
      </w:r>
      <w:r w:rsidR="00DB1635" w:rsidRPr="00B004EE">
        <w:rPr>
          <w:rFonts w:ascii="Tahoma" w:hAnsi="Tahoma" w:cs="Tahoma"/>
          <w:sz w:val="20"/>
          <w:szCs w:val="20"/>
        </w:rPr>
        <w:t xml:space="preserve"> </w:t>
      </w:r>
      <w:r w:rsidRPr="00B004EE">
        <w:rPr>
          <w:rFonts w:ascii="Tahoma" w:hAnsi="Tahoma" w:cs="Tahoma"/>
          <w:sz w:val="20"/>
          <w:szCs w:val="20"/>
        </w:rPr>
        <w:t>peut</w:t>
      </w:r>
      <w:r w:rsidR="00DB1635" w:rsidRPr="00B004EE">
        <w:rPr>
          <w:rFonts w:ascii="Tahoma" w:hAnsi="Tahoma" w:cs="Tahoma"/>
          <w:sz w:val="20"/>
          <w:szCs w:val="20"/>
        </w:rPr>
        <w:t xml:space="preserve"> </w:t>
      </w:r>
      <w:r w:rsidRPr="00B004EE">
        <w:rPr>
          <w:rFonts w:ascii="Tahoma" w:hAnsi="Tahoma" w:cs="Tahoma"/>
          <w:sz w:val="20"/>
          <w:szCs w:val="20"/>
        </w:rPr>
        <w:t>entourer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fourreaux</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renforcement,</w:t>
      </w:r>
      <w:r w:rsidR="00DB1635" w:rsidRPr="00B004EE">
        <w:rPr>
          <w:rFonts w:ascii="Tahoma" w:hAnsi="Tahoma" w:cs="Tahoma"/>
          <w:sz w:val="20"/>
          <w:szCs w:val="20"/>
        </w:rPr>
        <w:t xml:space="preserve"> </w:t>
      </w:r>
      <w:r w:rsidRPr="00B004EE">
        <w:rPr>
          <w:rFonts w:ascii="Tahoma" w:hAnsi="Tahoma" w:cs="Tahoma"/>
          <w:sz w:val="20"/>
          <w:szCs w:val="20"/>
        </w:rPr>
        <w:t>mais</w:t>
      </w:r>
      <w:r w:rsidR="00DB1635" w:rsidRPr="00B004EE">
        <w:rPr>
          <w:rFonts w:ascii="Tahoma" w:hAnsi="Tahoma" w:cs="Tahoma"/>
          <w:sz w:val="20"/>
          <w:szCs w:val="20"/>
        </w:rPr>
        <w:t xml:space="preserve"> </w:t>
      </w:r>
      <w:r w:rsidRPr="00B004EE">
        <w:rPr>
          <w:rFonts w:ascii="Tahoma" w:hAnsi="Tahoma" w:cs="Tahoma"/>
          <w:sz w:val="20"/>
          <w:szCs w:val="20"/>
        </w:rPr>
        <w:t>ne</w:t>
      </w:r>
      <w:r w:rsidR="00DB1635" w:rsidRPr="00B004EE">
        <w:rPr>
          <w:rFonts w:ascii="Tahoma" w:hAnsi="Tahoma" w:cs="Tahoma"/>
          <w:sz w:val="20"/>
          <w:szCs w:val="20"/>
        </w:rPr>
        <w:t xml:space="preserve"> </w:t>
      </w:r>
      <w:r w:rsidRPr="00B004EE">
        <w:rPr>
          <w:rFonts w:ascii="Tahoma" w:hAnsi="Tahoma" w:cs="Tahoma"/>
          <w:sz w:val="20"/>
          <w:szCs w:val="20"/>
        </w:rPr>
        <w:t>peut</w:t>
      </w:r>
      <w:r w:rsidR="00DB1635" w:rsidRPr="00B004EE">
        <w:rPr>
          <w:rFonts w:ascii="Tahoma" w:hAnsi="Tahoma" w:cs="Tahoma"/>
          <w:sz w:val="20"/>
          <w:szCs w:val="20"/>
        </w:rPr>
        <w:t xml:space="preserve"> </w:t>
      </w:r>
      <w:r w:rsidRPr="00B004EE">
        <w:rPr>
          <w:rFonts w:ascii="Tahoma" w:hAnsi="Tahoma" w:cs="Tahoma"/>
          <w:sz w:val="20"/>
          <w:szCs w:val="20"/>
        </w:rPr>
        <w:t>entourer</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couverture</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tablier</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dessous</w:t>
      </w:r>
    </w:p>
    <w:p w14:paraId="2A4D000D" w14:textId="77777777" w:rsidR="008518B0" w:rsidRPr="00B004EE" w:rsidRDefault="008518B0" w:rsidP="00B004EE">
      <w:pPr>
        <w:pStyle w:val="Retraitcorpsdetexte"/>
        <w:tabs>
          <w:tab w:val="num" w:pos="709"/>
        </w:tabs>
        <w:ind w:left="567"/>
        <w:rPr>
          <w:rFonts w:ascii="Tahoma" w:hAnsi="Tahoma" w:cs="Tahoma"/>
          <w:sz w:val="20"/>
          <w:szCs w:val="20"/>
        </w:rPr>
      </w:pPr>
    </w:p>
    <w:p w14:paraId="6707BFD2" w14:textId="3C49B6FE" w:rsidR="008518B0" w:rsidRPr="00B004EE" w:rsidRDefault="008518B0" w:rsidP="00420DDA">
      <w:pPr>
        <w:pStyle w:val="Retraitcorpsdetexte"/>
        <w:numPr>
          <w:ilvl w:val="0"/>
          <w:numId w:val="61"/>
        </w:numPr>
        <w:tabs>
          <w:tab w:val="clear" w:pos="1065"/>
          <w:tab w:val="left" w:pos="0"/>
          <w:tab w:val="num" w:pos="709"/>
        </w:tabs>
        <w:autoSpaceDE/>
        <w:autoSpaceDN/>
        <w:adjustRightInd/>
        <w:ind w:left="567"/>
        <w:jc w:val="left"/>
        <w:rPr>
          <w:rFonts w:ascii="Tahoma" w:hAnsi="Tahoma" w:cs="Tahoma"/>
          <w:sz w:val="20"/>
          <w:szCs w:val="20"/>
        </w:rPr>
      </w:pPr>
      <w:proofErr w:type="gramStart"/>
      <w:r w:rsidRPr="00B004EE">
        <w:rPr>
          <w:rFonts w:ascii="Tahoma" w:hAnsi="Tahoma" w:cs="Tahoma"/>
          <w:kern w:val="32"/>
          <w:sz w:val="20"/>
          <w:szCs w:val="20"/>
        </w:rPr>
        <w:t>erses</w:t>
      </w:r>
      <w:proofErr w:type="gramEnd"/>
      <w:r w:rsidR="00DB1635" w:rsidRPr="00B004EE">
        <w:rPr>
          <w:rFonts w:ascii="Tahoma" w:hAnsi="Tahoma" w:cs="Tahoma"/>
          <w:kern w:val="32"/>
          <w:sz w:val="20"/>
          <w:szCs w:val="20"/>
        </w:rPr>
        <w:t xml:space="preserve"> </w:t>
      </w:r>
      <w:r w:rsidRPr="00B004EE">
        <w:rPr>
          <w:rFonts w:ascii="Tahoma" w:hAnsi="Tahoma" w:cs="Tahoma"/>
          <w:kern w:val="32"/>
          <w:sz w:val="20"/>
          <w:szCs w:val="20"/>
        </w:rPr>
        <w:t>de</w:t>
      </w:r>
      <w:r w:rsidR="00DB1635" w:rsidRPr="00B004EE">
        <w:rPr>
          <w:rFonts w:ascii="Tahoma" w:hAnsi="Tahoma" w:cs="Tahoma"/>
          <w:kern w:val="32"/>
          <w:sz w:val="20"/>
          <w:szCs w:val="20"/>
        </w:rPr>
        <w:t xml:space="preserve"> </w:t>
      </w:r>
      <w:r w:rsidRPr="00B004EE">
        <w:rPr>
          <w:rFonts w:ascii="Tahoma" w:hAnsi="Tahoma" w:cs="Tahoma"/>
          <w:kern w:val="32"/>
          <w:sz w:val="20"/>
          <w:szCs w:val="20"/>
        </w:rPr>
        <w:t>levage:</w:t>
      </w:r>
      <w:r w:rsidR="00DB1635" w:rsidRPr="00B004EE">
        <w:rPr>
          <w:rFonts w:ascii="Tahoma" w:hAnsi="Tahoma" w:cs="Tahoma"/>
          <w:kern w:val="32"/>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longueur</w:t>
      </w:r>
      <w:r w:rsidR="00DB1635" w:rsidRPr="00B004EE">
        <w:rPr>
          <w:rFonts w:ascii="Tahoma" w:hAnsi="Tahoma" w:cs="Tahoma"/>
          <w:sz w:val="20"/>
          <w:szCs w:val="20"/>
        </w:rPr>
        <w:t xml:space="preserve"> </w:t>
      </w:r>
      <w:r w:rsidRPr="00B004EE">
        <w:rPr>
          <w:rFonts w:ascii="Tahoma" w:hAnsi="Tahoma" w:cs="Tahoma"/>
          <w:sz w:val="20"/>
          <w:szCs w:val="20"/>
        </w:rPr>
        <w:t>minimale</w:t>
      </w:r>
      <w:r w:rsidR="00DB1635" w:rsidRPr="00B004EE">
        <w:rPr>
          <w:rFonts w:ascii="Tahoma" w:hAnsi="Tahoma" w:cs="Tahoma"/>
          <w:sz w:val="20"/>
          <w:szCs w:val="20"/>
        </w:rPr>
        <w:t xml:space="preserve"> </w:t>
      </w:r>
      <w:r w:rsidRPr="00B004EE">
        <w:rPr>
          <w:rFonts w:ascii="Tahoma" w:hAnsi="Tahoma" w:cs="Tahoma"/>
          <w:sz w:val="20"/>
          <w:szCs w:val="20"/>
        </w:rPr>
        <w:t>doit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conforme</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mêmes</w:t>
      </w:r>
      <w:r w:rsidR="00DB1635" w:rsidRPr="00B004EE">
        <w:rPr>
          <w:rFonts w:ascii="Tahoma" w:hAnsi="Tahoma" w:cs="Tahoma"/>
          <w:sz w:val="20"/>
          <w:szCs w:val="20"/>
        </w:rPr>
        <w:t xml:space="preserve"> </w:t>
      </w:r>
      <w:r w:rsidRPr="00B004EE">
        <w:rPr>
          <w:rFonts w:ascii="Tahoma" w:hAnsi="Tahoma" w:cs="Tahoma"/>
          <w:sz w:val="20"/>
          <w:szCs w:val="20"/>
        </w:rPr>
        <w:t>règles</w:t>
      </w:r>
      <w:r w:rsidR="00DB1635" w:rsidRPr="00B004EE">
        <w:rPr>
          <w:rFonts w:ascii="Tahoma" w:hAnsi="Tahoma" w:cs="Tahoma"/>
          <w:sz w:val="20"/>
          <w:szCs w:val="20"/>
        </w:rPr>
        <w:t xml:space="preserve"> </w:t>
      </w:r>
      <w:r w:rsidRPr="00B004EE">
        <w:rPr>
          <w:rFonts w:ascii="Tahoma" w:hAnsi="Tahoma" w:cs="Tahoma"/>
          <w:sz w:val="20"/>
          <w:szCs w:val="20"/>
        </w:rPr>
        <w:t>que</w:t>
      </w:r>
      <w:r w:rsidR="00DB1635" w:rsidRPr="00B004EE">
        <w:rPr>
          <w:rFonts w:ascii="Tahoma" w:hAnsi="Tahoma" w:cs="Tahoma"/>
          <w:sz w:val="20"/>
          <w:szCs w:val="20"/>
        </w:rPr>
        <w:t xml:space="preserve"> </w:t>
      </w:r>
      <w:r w:rsidRPr="00B004EE">
        <w:rPr>
          <w:rFonts w:ascii="Tahoma" w:hAnsi="Tahoma" w:cs="Tahoma"/>
          <w:sz w:val="20"/>
          <w:szCs w:val="20"/>
        </w:rPr>
        <w:t>celles</w:t>
      </w:r>
      <w:r w:rsidR="00DB1635" w:rsidRPr="00B004EE">
        <w:rPr>
          <w:rFonts w:ascii="Tahoma" w:hAnsi="Tahoma" w:cs="Tahoma"/>
          <w:sz w:val="20"/>
          <w:szCs w:val="20"/>
        </w:rPr>
        <w:t xml:space="preserve"> </w:t>
      </w:r>
      <w:r w:rsidRPr="00B004EE">
        <w:rPr>
          <w:rFonts w:ascii="Tahoma" w:hAnsi="Tahoma" w:cs="Tahoma"/>
          <w:sz w:val="20"/>
          <w:szCs w:val="20"/>
        </w:rPr>
        <w:t>qui</w:t>
      </w:r>
      <w:r w:rsidR="00DB1635" w:rsidRPr="00B004EE">
        <w:rPr>
          <w:rFonts w:ascii="Tahoma" w:hAnsi="Tahoma" w:cs="Tahoma"/>
          <w:sz w:val="20"/>
          <w:szCs w:val="20"/>
        </w:rPr>
        <w:t xml:space="preserve"> </w:t>
      </w:r>
      <w:r w:rsidRPr="00B004EE">
        <w:rPr>
          <w:rFonts w:ascii="Tahoma" w:hAnsi="Tahoma" w:cs="Tahoma"/>
          <w:sz w:val="20"/>
          <w:szCs w:val="20"/>
        </w:rPr>
        <w:t>régissent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erses</w:t>
      </w:r>
      <w:r w:rsidR="00DB1635" w:rsidRPr="00B004EE">
        <w:rPr>
          <w:rFonts w:ascii="Tahoma" w:hAnsi="Tahoma" w:cs="Tahoma"/>
          <w:sz w:val="20"/>
          <w:szCs w:val="20"/>
        </w:rPr>
        <w:t xml:space="preserve"> </w:t>
      </w:r>
      <w:r w:rsidRPr="00B004EE">
        <w:rPr>
          <w:rFonts w:ascii="Tahoma" w:hAnsi="Tahoma" w:cs="Tahoma"/>
          <w:sz w:val="20"/>
          <w:szCs w:val="20"/>
        </w:rPr>
        <w:t>circulaires,</w:t>
      </w:r>
      <w:r w:rsidR="00DB1635" w:rsidRPr="00B004EE">
        <w:rPr>
          <w:rFonts w:ascii="Tahoma" w:hAnsi="Tahoma" w:cs="Tahoma"/>
          <w:sz w:val="20"/>
          <w:szCs w:val="20"/>
        </w:rPr>
        <w:t xml:space="preserve"> </w:t>
      </w:r>
      <w:r w:rsidRPr="00B004EE">
        <w:rPr>
          <w:rFonts w:ascii="Tahoma" w:hAnsi="Tahoma" w:cs="Tahoma"/>
          <w:sz w:val="20"/>
          <w:szCs w:val="20"/>
        </w:rPr>
        <w:t>définies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l'alinéa</w:t>
      </w:r>
      <w:r w:rsidR="00DB1635" w:rsidRPr="00B004EE">
        <w:rPr>
          <w:rFonts w:ascii="Tahoma" w:hAnsi="Tahoma" w:cs="Tahoma"/>
          <w:sz w:val="20"/>
          <w:szCs w:val="20"/>
        </w:rPr>
        <w:t xml:space="preserve"> </w:t>
      </w:r>
      <w:r w:rsidRPr="00B004EE">
        <w:rPr>
          <w:rFonts w:ascii="Tahoma" w:hAnsi="Tahoma" w:cs="Tahoma"/>
          <w:sz w:val="20"/>
          <w:szCs w:val="20"/>
        </w:rPr>
        <w:t>(a),</w:t>
      </w:r>
      <w:r w:rsidR="00DB1635" w:rsidRPr="00B004EE">
        <w:rPr>
          <w:rFonts w:ascii="Tahoma" w:hAnsi="Tahoma" w:cs="Tahoma"/>
          <w:sz w:val="20"/>
          <w:szCs w:val="20"/>
        </w:rPr>
        <w:t xml:space="preserve"> </w:t>
      </w:r>
      <w:r w:rsidRPr="00B004EE">
        <w:rPr>
          <w:rFonts w:ascii="Tahoma" w:hAnsi="Tahoma" w:cs="Tahoma"/>
          <w:sz w:val="20"/>
          <w:szCs w:val="20"/>
        </w:rPr>
        <w:t>sauf</w:t>
      </w:r>
      <w:r w:rsidR="00DB1635" w:rsidRPr="00B004EE">
        <w:rPr>
          <w:rFonts w:ascii="Tahoma" w:hAnsi="Tahoma" w:cs="Tahoma"/>
          <w:sz w:val="20"/>
          <w:szCs w:val="20"/>
        </w:rPr>
        <w:t xml:space="preserve"> </w:t>
      </w:r>
      <w:r w:rsidRPr="00B004EE">
        <w:rPr>
          <w:rFonts w:ascii="Tahoma" w:hAnsi="Tahoma" w:cs="Tahoma"/>
          <w:sz w:val="20"/>
          <w:szCs w:val="20"/>
        </w:rPr>
        <w:t>que</w:t>
      </w:r>
      <w:r w:rsidR="00DB1635" w:rsidRPr="00B004EE">
        <w:rPr>
          <w:rFonts w:ascii="Tahoma" w:hAnsi="Tahoma" w:cs="Tahoma"/>
          <w:sz w:val="20"/>
          <w:szCs w:val="20"/>
        </w:rPr>
        <w:t xml:space="preserve"> </w:t>
      </w:r>
      <w:r w:rsidRPr="00B004EE">
        <w:rPr>
          <w:rFonts w:ascii="Tahoma" w:hAnsi="Tahoma" w:cs="Tahoma"/>
          <w:sz w:val="20"/>
          <w:szCs w:val="20"/>
        </w:rPr>
        <w:t>l'erse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levage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plus</w:t>
      </w:r>
      <w:r w:rsidR="00DB1635" w:rsidRPr="00B004EE">
        <w:rPr>
          <w:rFonts w:ascii="Tahoma" w:hAnsi="Tahoma" w:cs="Tahoma"/>
          <w:sz w:val="20"/>
          <w:szCs w:val="20"/>
        </w:rPr>
        <w:t xml:space="preserve"> </w:t>
      </w:r>
      <w:r w:rsidRPr="00B004EE">
        <w:rPr>
          <w:rFonts w:ascii="Tahoma" w:hAnsi="Tahoma" w:cs="Tahoma"/>
          <w:sz w:val="20"/>
          <w:szCs w:val="20"/>
        </w:rPr>
        <w:t>proche</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cul</w:t>
      </w:r>
      <w:r w:rsidR="00DB1635" w:rsidRPr="00B004EE">
        <w:rPr>
          <w:rFonts w:ascii="Tahoma" w:hAnsi="Tahoma" w:cs="Tahoma"/>
          <w:sz w:val="20"/>
          <w:szCs w:val="20"/>
        </w:rPr>
        <w:t xml:space="preserve"> </w:t>
      </w:r>
      <w:r w:rsidRPr="00B004EE">
        <w:rPr>
          <w:rFonts w:ascii="Tahoma" w:hAnsi="Tahoma" w:cs="Tahoma"/>
          <w:sz w:val="20"/>
          <w:szCs w:val="20"/>
        </w:rPr>
        <w:t>peut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plus</w:t>
      </w:r>
      <w:r w:rsidR="00DB1635" w:rsidRPr="00B004EE">
        <w:rPr>
          <w:rFonts w:ascii="Tahoma" w:hAnsi="Tahoma" w:cs="Tahoma"/>
          <w:sz w:val="20"/>
          <w:szCs w:val="20"/>
        </w:rPr>
        <w:t xml:space="preserve"> </w:t>
      </w:r>
      <w:r w:rsidRPr="00B004EE">
        <w:rPr>
          <w:rFonts w:ascii="Tahoma" w:hAnsi="Tahoma" w:cs="Tahoma"/>
          <w:sz w:val="20"/>
          <w:szCs w:val="20"/>
        </w:rPr>
        <w:t>courte.</w:t>
      </w:r>
    </w:p>
    <w:p w14:paraId="2F56D7F9" w14:textId="77777777" w:rsidR="008518B0" w:rsidRPr="00B004EE" w:rsidRDefault="008518B0" w:rsidP="00B004EE">
      <w:pPr>
        <w:pStyle w:val="Retraitcorpsdetexte"/>
        <w:ind w:left="1065"/>
        <w:rPr>
          <w:rFonts w:ascii="Tahoma" w:hAnsi="Tahoma" w:cs="Tahoma"/>
          <w:sz w:val="20"/>
          <w:szCs w:val="20"/>
        </w:rPr>
      </w:pPr>
    </w:p>
    <w:p w14:paraId="31A82886" w14:textId="0B2F789B" w:rsidR="008518B0" w:rsidRPr="00B004EE" w:rsidRDefault="008518B0" w:rsidP="00B004EE">
      <w:pPr>
        <w:pStyle w:val="Retraitcorpsdetexte2"/>
        <w:ind w:left="0" w:firstLine="0"/>
        <w:rPr>
          <w:rFonts w:ascii="Tahoma" w:hAnsi="Tahoma" w:cs="Tahoma"/>
          <w:color w:val="auto"/>
          <w:sz w:val="20"/>
          <w:szCs w:val="20"/>
        </w:rPr>
      </w:pPr>
      <w:r w:rsidRPr="00B004EE">
        <w:rPr>
          <w:rFonts w:ascii="Tahoma" w:hAnsi="Tahoma" w:cs="Tahoma"/>
          <w:color w:val="auto"/>
          <w:sz w:val="20"/>
          <w:szCs w:val="20"/>
        </w:rPr>
        <w:t>L'utilisation</w:t>
      </w:r>
      <w:r w:rsidR="00DB1635" w:rsidRPr="00B004EE">
        <w:rPr>
          <w:rFonts w:ascii="Tahoma" w:hAnsi="Tahoma" w:cs="Tahoma"/>
          <w:color w:val="auto"/>
          <w:sz w:val="20"/>
          <w:szCs w:val="20"/>
        </w:rPr>
        <w:t xml:space="preserve"> </w:t>
      </w:r>
      <w:r w:rsidRPr="00B004EE">
        <w:rPr>
          <w:rFonts w:ascii="Tahoma" w:hAnsi="Tahoma" w:cs="Tahoma"/>
          <w:color w:val="auto"/>
          <w:sz w:val="20"/>
          <w:szCs w:val="20"/>
        </w:rPr>
        <w:t>d’autres</w:t>
      </w:r>
      <w:r w:rsidR="00DB1635" w:rsidRPr="00B004EE">
        <w:rPr>
          <w:rFonts w:ascii="Tahoma" w:hAnsi="Tahoma" w:cs="Tahoma"/>
          <w:color w:val="auto"/>
          <w:sz w:val="20"/>
          <w:szCs w:val="20"/>
        </w:rPr>
        <w:t xml:space="preserve"> </w:t>
      </w:r>
      <w:r w:rsidRPr="00B004EE">
        <w:rPr>
          <w:rFonts w:ascii="Tahoma" w:hAnsi="Tahoma" w:cs="Tahoma"/>
          <w:color w:val="auto"/>
          <w:sz w:val="20"/>
          <w:szCs w:val="20"/>
        </w:rPr>
        <w:t>dispositifs</w:t>
      </w:r>
      <w:r w:rsidR="00DB1635" w:rsidRPr="00B004EE">
        <w:rPr>
          <w:rFonts w:ascii="Tahoma" w:hAnsi="Tahoma" w:cs="Tahoma"/>
          <w:color w:val="auto"/>
          <w:sz w:val="20"/>
          <w:szCs w:val="20"/>
        </w:rPr>
        <w:t xml:space="preserve"> </w:t>
      </w:r>
      <w:r w:rsidRPr="00B004EE">
        <w:rPr>
          <w:rFonts w:ascii="Tahoma" w:hAnsi="Tahoma" w:cs="Tahoma"/>
          <w:color w:val="auto"/>
          <w:sz w:val="20"/>
          <w:szCs w:val="20"/>
        </w:rPr>
        <w:t>de</w:t>
      </w:r>
      <w:r w:rsidR="00DB1635" w:rsidRPr="00B004EE">
        <w:rPr>
          <w:rFonts w:ascii="Tahoma" w:hAnsi="Tahoma" w:cs="Tahoma"/>
          <w:color w:val="auto"/>
          <w:sz w:val="20"/>
          <w:szCs w:val="20"/>
        </w:rPr>
        <w:t xml:space="preserve"> </w:t>
      </w:r>
      <w:r w:rsidRPr="00B004EE">
        <w:rPr>
          <w:rFonts w:ascii="Tahoma" w:hAnsi="Tahoma" w:cs="Tahoma"/>
          <w:color w:val="auto"/>
          <w:sz w:val="20"/>
          <w:szCs w:val="20"/>
        </w:rPr>
        <w:t>protection</w:t>
      </w:r>
      <w:r w:rsidR="00DB1635" w:rsidRPr="00B004EE">
        <w:rPr>
          <w:rFonts w:ascii="Tahoma" w:hAnsi="Tahoma" w:cs="Tahoma"/>
          <w:color w:val="auto"/>
          <w:sz w:val="20"/>
          <w:szCs w:val="20"/>
        </w:rPr>
        <w:t xml:space="preserve"> </w:t>
      </w:r>
      <w:r w:rsidRPr="00B004EE">
        <w:rPr>
          <w:rFonts w:ascii="Tahoma" w:hAnsi="Tahoma" w:cs="Tahoma"/>
          <w:color w:val="auto"/>
          <w:sz w:val="20"/>
          <w:szCs w:val="20"/>
        </w:rPr>
        <w:t>susceptibles</w:t>
      </w:r>
      <w:r w:rsidR="00DB1635" w:rsidRPr="00B004EE">
        <w:rPr>
          <w:rFonts w:ascii="Tahoma" w:hAnsi="Tahoma" w:cs="Tahoma"/>
          <w:color w:val="auto"/>
          <w:sz w:val="20"/>
          <w:szCs w:val="20"/>
        </w:rPr>
        <w:t xml:space="preserve"> </w:t>
      </w:r>
      <w:r w:rsidRPr="00B004EE">
        <w:rPr>
          <w:rFonts w:ascii="Tahoma" w:hAnsi="Tahoma" w:cs="Tahoma"/>
          <w:color w:val="auto"/>
          <w:sz w:val="20"/>
          <w:szCs w:val="20"/>
        </w:rPr>
        <w:t>d'obstruer,</w:t>
      </w:r>
      <w:r w:rsidR="00DB1635" w:rsidRPr="00B004EE">
        <w:rPr>
          <w:rFonts w:ascii="Tahoma" w:hAnsi="Tahoma" w:cs="Tahoma"/>
          <w:color w:val="auto"/>
          <w:sz w:val="20"/>
          <w:szCs w:val="20"/>
        </w:rPr>
        <w:t xml:space="preserve"> </w:t>
      </w:r>
      <w:r w:rsidRPr="00B004EE">
        <w:rPr>
          <w:rFonts w:ascii="Tahoma" w:hAnsi="Tahoma" w:cs="Tahoma"/>
          <w:color w:val="auto"/>
          <w:sz w:val="20"/>
          <w:szCs w:val="20"/>
        </w:rPr>
        <w:t>de</w:t>
      </w:r>
      <w:r w:rsidR="00DB1635" w:rsidRPr="00B004EE">
        <w:rPr>
          <w:rFonts w:ascii="Tahoma" w:hAnsi="Tahoma" w:cs="Tahoma"/>
          <w:color w:val="auto"/>
          <w:sz w:val="20"/>
          <w:szCs w:val="20"/>
        </w:rPr>
        <w:t xml:space="preserve"> </w:t>
      </w:r>
      <w:r w:rsidRPr="00B004EE">
        <w:rPr>
          <w:rFonts w:ascii="Tahoma" w:hAnsi="Tahoma" w:cs="Tahoma"/>
          <w:color w:val="auto"/>
          <w:sz w:val="20"/>
          <w:szCs w:val="20"/>
        </w:rPr>
        <w:t>fermer</w:t>
      </w:r>
      <w:r w:rsidR="00DB1635" w:rsidRPr="00B004EE">
        <w:rPr>
          <w:rFonts w:ascii="Tahoma" w:hAnsi="Tahoma" w:cs="Tahoma"/>
          <w:color w:val="auto"/>
          <w:sz w:val="20"/>
          <w:szCs w:val="20"/>
        </w:rPr>
        <w:t xml:space="preserve"> </w:t>
      </w:r>
      <w:r w:rsidRPr="00B004EE">
        <w:rPr>
          <w:rFonts w:ascii="Tahoma" w:hAnsi="Tahoma" w:cs="Tahoma"/>
          <w:color w:val="auto"/>
          <w:sz w:val="20"/>
          <w:szCs w:val="20"/>
        </w:rPr>
        <w:t>les</w:t>
      </w:r>
      <w:r w:rsidR="00DB1635" w:rsidRPr="00B004EE">
        <w:rPr>
          <w:rFonts w:ascii="Tahoma" w:hAnsi="Tahoma" w:cs="Tahoma"/>
          <w:color w:val="auto"/>
          <w:sz w:val="20"/>
          <w:szCs w:val="20"/>
        </w:rPr>
        <w:t xml:space="preserve"> </w:t>
      </w:r>
      <w:r w:rsidRPr="00B004EE">
        <w:rPr>
          <w:rFonts w:ascii="Tahoma" w:hAnsi="Tahoma" w:cs="Tahoma"/>
          <w:color w:val="auto"/>
          <w:sz w:val="20"/>
          <w:szCs w:val="20"/>
        </w:rPr>
        <w:t>mailles</w:t>
      </w:r>
      <w:r w:rsidR="00DB1635" w:rsidRPr="00B004EE">
        <w:rPr>
          <w:rFonts w:ascii="Tahoma" w:hAnsi="Tahoma" w:cs="Tahoma"/>
          <w:color w:val="auto"/>
          <w:sz w:val="20"/>
          <w:szCs w:val="20"/>
        </w:rPr>
        <w:t xml:space="preserve"> </w:t>
      </w:r>
      <w:r w:rsidRPr="00B004EE">
        <w:rPr>
          <w:rFonts w:ascii="Tahoma" w:hAnsi="Tahoma" w:cs="Tahoma"/>
          <w:color w:val="auto"/>
          <w:sz w:val="20"/>
          <w:szCs w:val="20"/>
        </w:rPr>
        <w:t>ou</w:t>
      </w:r>
      <w:r w:rsidR="00DB1635" w:rsidRPr="00B004EE">
        <w:rPr>
          <w:rFonts w:ascii="Tahoma" w:hAnsi="Tahoma" w:cs="Tahoma"/>
          <w:color w:val="auto"/>
          <w:sz w:val="20"/>
          <w:szCs w:val="20"/>
        </w:rPr>
        <w:t xml:space="preserve"> </w:t>
      </w:r>
      <w:r w:rsidRPr="00B004EE">
        <w:rPr>
          <w:rFonts w:ascii="Tahoma" w:hAnsi="Tahoma" w:cs="Tahoma"/>
          <w:color w:val="auto"/>
          <w:sz w:val="20"/>
          <w:szCs w:val="20"/>
        </w:rPr>
        <w:t>d'avoir</w:t>
      </w:r>
      <w:r w:rsidR="00DB1635" w:rsidRPr="00B004EE">
        <w:rPr>
          <w:rFonts w:ascii="Tahoma" w:hAnsi="Tahoma" w:cs="Tahoma"/>
          <w:color w:val="auto"/>
          <w:sz w:val="20"/>
          <w:szCs w:val="20"/>
        </w:rPr>
        <w:t xml:space="preserve"> </w:t>
      </w:r>
      <w:r w:rsidRPr="00B004EE">
        <w:rPr>
          <w:rFonts w:ascii="Tahoma" w:hAnsi="Tahoma" w:cs="Tahoma"/>
          <w:color w:val="auto"/>
          <w:sz w:val="20"/>
          <w:szCs w:val="20"/>
        </w:rPr>
        <w:t>pour</w:t>
      </w:r>
      <w:r w:rsidR="00DB1635" w:rsidRPr="00B004EE">
        <w:rPr>
          <w:rFonts w:ascii="Tahoma" w:hAnsi="Tahoma" w:cs="Tahoma"/>
          <w:color w:val="auto"/>
          <w:sz w:val="20"/>
          <w:szCs w:val="20"/>
        </w:rPr>
        <w:t xml:space="preserve"> </w:t>
      </w:r>
      <w:r w:rsidRPr="00B004EE">
        <w:rPr>
          <w:rFonts w:ascii="Tahoma" w:hAnsi="Tahoma" w:cs="Tahoma"/>
          <w:color w:val="auto"/>
          <w:sz w:val="20"/>
          <w:szCs w:val="20"/>
        </w:rPr>
        <w:t>effet</w:t>
      </w:r>
      <w:r w:rsidR="00DB1635" w:rsidRPr="00B004EE">
        <w:rPr>
          <w:rFonts w:ascii="Tahoma" w:hAnsi="Tahoma" w:cs="Tahoma"/>
          <w:color w:val="auto"/>
          <w:sz w:val="20"/>
          <w:szCs w:val="20"/>
        </w:rPr>
        <w:t xml:space="preserve"> </w:t>
      </w:r>
      <w:r w:rsidRPr="00B004EE">
        <w:rPr>
          <w:rFonts w:ascii="Tahoma" w:hAnsi="Tahoma" w:cs="Tahoma"/>
          <w:color w:val="auto"/>
          <w:sz w:val="20"/>
          <w:szCs w:val="20"/>
        </w:rPr>
        <w:t>de</w:t>
      </w:r>
      <w:r w:rsidR="00DB1635" w:rsidRPr="00B004EE">
        <w:rPr>
          <w:rFonts w:ascii="Tahoma" w:hAnsi="Tahoma" w:cs="Tahoma"/>
          <w:color w:val="auto"/>
          <w:sz w:val="20"/>
          <w:szCs w:val="20"/>
        </w:rPr>
        <w:t xml:space="preserve"> </w:t>
      </w:r>
      <w:r w:rsidRPr="00B004EE">
        <w:rPr>
          <w:rFonts w:ascii="Tahoma" w:hAnsi="Tahoma" w:cs="Tahoma"/>
          <w:color w:val="auto"/>
          <w:sz w:val="20"/>
          <w:szCs w:val="20"/>
        </w:rPr>
        <w:t>réduire</w:t>
      </w:r>
      <w:r w:rsidR="00DB1635" w:rsidRPr="00B004EE">
        <w:rPr>
          <w:rFonts w:ascii="Tahoma" w:hAnsi="Tahoma" w:cs="Tahoma"/>
          <w:color w:val="auto"/>
          <w:sz w:val="20"/>
          <w:szCs w:val="20"/>
        </w:rPr>
        <w:t xml:space="preserve"> </w:t>
      </w:r>
      <w:r w:rsidRPr="00B004EE">
        <w:rPr>
          <w:rFonts w:ascii="Tahoma" w:hAnsi="Tahoma" w:cs="Tahoma"/>
          <w:color w:val="auto"/>
          <w:sz w:val="20"/>
          <w:szCs w:val="20"/>
        </w:rPr>
        <w:t>effectivement</w:t>
      </w:r>
      <w:r w:rsidR="00DB1635" w:rsidRPr="00B004EE">
        <w:rPr>
          <w:rFonts w:ascii="Tahoma" w:hAnsi="Tahoma" w:cs="Tahoma"/>
          <w:color w:val="auto"/>
          <w:sz w:val="20"/>
          <w:szCs w:val="20"/>
        </w:rPr>
        <w:t xml:space="preserve"> </w:t>
      </w:r>
      <w:r w:rsidRPr="00B004EE">
        <w:rPr>
          <w:rFonts w:ascii="Tahoma" w:hAnsi="Tahoma" w:cs="Tahoma"/>
          <w:color w:val="auto"/>
          <w:sz w:val="20"/>
          <w:szCs w:val="20"/>
        </w:rPr>
        <w:t>leurs</w:t>
      </w:r>
      <w:r w:rsidR="00DB1635" w:rsidRPr="00B004EE">
        <w:rPr>
          <w:rFonts w:ascii="Tahoma" w:hAnsi="Tahoma" w:cs="Tahoma"/>
          <w:color w:val="auto"/>
          <w:sz w:val="20"/>
          <w:szCs w:val="20"/>
        </w:rPr>
        <w:t xml:space="preserve"> </w:t>
      </w:r>
      <w:r w:rsidRPr="00B004EE">
        <w:rPr>
          <w:rFonts w:ascii="Tahoma" w:hAnsi="Tahoma" w:cs="Tahoma"/>
          <w:color w:val="auto"/>
          <w:sz w:val="20"/>
          <w:szCs w:val="20"/>
        </w:rPr>
        <w:t>dimensions</w:t>
      </w:r>
      <w:r w:rsidR="00DB1635" w:rsidRPr="00B004EE">
        <w:rPr>
          <w:rFonts w:ascii="Tahoma" w:hAnsi="Tahoma" w:cs="Tahoma"/>
          <w:color w:val="auto"/>
          <w:sz w:val="20"/>
          <w:szCs w:val="20"/>
        </w:rPr>
        <w:t xml:space="preserve"> </w:t>
      </w:r>
      <w:r w:rsidRPr="00B004EE">
        <w:rPr>
          <w:rFonts w:ascii="Tahoma" w:hAnsi="Tahoma" w:cs="Tahoma"/>
          <w:color w:val="auto"/>
          <w:sz w:val="20"/>
          <w:szCs w:val="20"/>
        </w:rPr>
        <w:t>est</w:t>
      </w:r>
      <w:r w:rsidR="00DB1635" w:rsidRPr="00B004EE">
        <w:rPr>
          <w:rFonts w:ascii="Tahoma" w:hAnsi="Tahoma" w:cs="Tahoma"/>
          <w:color w:val="auto"/>
          <w:sz w:val="20"/>
          <w:szCs w:val="20"/>
        </w:rPr>
        <w:t xml:space="preserve"> </w:t>
      </w:r>
      <w:r w:rsidRPr="00B004EE">
        <w:rPr>
          <w:rFonts w:ascii="Tahoma" w:hAnsi="Tahoma" w:cs="Tahoma"/>
          <w:color w:val="auto"/>
          <w:sz w:val="20"/>
          <w:szCs w:val="20"/>
        </w:rPr>
        <w:t>interdite.</w:t>
      </w:r>
    </w:p>
    <w:p w14:paraId="1B2777F2" w14:textId="77777777" w:rsidR="008518B0" w:rsidRPr="00B004EE" w:rsidRDefault="008518B0" w:rsidP="00B004EE">
      <w:pPr>
        <w:pStyle w:val="Retraitcorpsdetexte2"/>
        <w:ind w:left="0" w:firstLine="0"/>
        <w:rPr>
          <w:rFonts w:ascii="Tahoma" w:hAnsi="Tahoma" w:cs="Tahoma"/>
          <w:color w:val="auto"/>
          <w:sz w:val="20"/>
          <w:szCs w:val="20"/>
        </w:rPr>
      </w:pPr>
    </w:p>
    <w:p w14:paraId="54313B88" w14:textId="72B1EA6E" w:rsidR="008518B0" w:rsidRPr="00B004EE" w:rsidRDefault="008518B0" w:rsidP="00B004EE">
      <w:pPr>
        <w:pStyle w:val="article"/>
        <w:numPr>
          <w:ilvl w:val="0"/>
          <w:numId w:val="0"/>
        </w:numPr>
        <w:tabs>
          <w:tab w:val="left" w:pos="1200"/>
        </w:tabs>
        <w:spacing w:before="0" w:line="240" w:lineRule="auto"/>
        <w:rPr>
          <w:rFonts w:ascii="Tahoma" w:hAnsi="Tahoma" w:cs="Tahoma"/>
          <w:sz w:val="20"/>
          <w:szCs w:val="20"/>
        </w:rPr>
      </w:pPr>
      <w:r w:rsidRPr="00B004EE">
        <w:rPr>
          <w:rFonts w:ascii="Tahoma" w:hAnsi="Tahoma" w:cs="Tahoma"/>
          <w:sz w:val="20"/>
          <w:szCs w:val="20"/>
        </w:rPr>
        <w:t>Article</w:t>
      </w:r>
      <w:r w:rsidR="00DB1635" w:rsidRPr="00B004EE">
        <w:rPr>
          <w:rFonts w:ascii="Tahoma" w:hAnsi="Tahoma" w:cs="Tahoma"/>
          <w:sz w:val="20"/>
          <w:szCs w:val="20"/>
        </w:rPr>
        <w:t xml:space="preserve"> </w:t>
      </w:r>
      <w:r w:rsidRPr="00B004EE">
        <w:rPr>
          <w:rFonts w:ascii="Tahoma" w:hAnsi="Tahoma" w:cs="Tahoma"/>
          <w:sz w:val="20"/>
          <w:szCs w:val="20"/>
        </w:rPr>
        <w:t>33</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interdites</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eaux</w:t>
      </w:r>
      <w:r w:rsidR="00DB1635" w:rsidRPr="00B004EE">
        <w:rPr>
          <w:rFonts w:ascii="Tahoma" w:hAnsi="Tahoma" w:cs="Tahoma"/>
          <w:sz w:val="20"/>
          <w:szCs w:val="20"/>
        </w:rPr>
        <w:t xml:space="preserve"> </w:t>
      </w:r>
      <w:r w:rsidRPr="00B004EE">
        <w:rPr>
          <w:rFonts w:ascii="Tahoma" w:hAnsi="Tahoma" w:cs="Tahoma"/>
          <w:sz w:val="20"/>
          <w:szCs w:val="20"/>
        </w:rPr>
        <w:t>sous</w:t>
      </w:r>
      <w:r w:rsidR="00DB1635" w:rsidRPr="00B004EE">
        <w:rPr>
          <w:rFonts w:ascii="Tahoma" w:hAnsi="Tahoma" w:cs="Tahoma"/>
          <w:sz w:val="20"/>
          <w:szCs w:val="20"/>
        </w:rPr>
        <w:t xml:space="preserve"> </w:t>
      </w:r>
      <w:r w:rsidRPr="00B004EE">
        <w:rPr>
          <w:rFonts w:ascii="Tahoma" w:hAnsi="Tahoma" w:cs="Tahoma"/>
          <w:sz w:val="20"/>
          <w:szCs w:val="20"/>
        </w:rPr>
        <w:t>juridiction</w:t>
      </w:r>
      <w:r w:rsidR="00DB1635" w:rsidRPr="00B004EE">
        <w:rPr>
          <w:rFonts w:ascii="Tahoma" w:hAnsi="Tahoma" w:cs="Tahoma"/>
          <w:sz w:val="20"/>
          <w:szCs w:val="20"/>
        </w:rPr>
        <w:t xml:space="preserve"> </w:t>
      </w:r>
      <w:r w:rsidRPr="00B004EE">
        <w:rPr>
          <w:rFonts w:ascii="Tahoma" w:hAnsi="Tahoma" w:cs="Tahoma"/>
          <w:sz w:val="20"/>
          <w:szCs w:val="20"/>
        </w:rPr>
        <w:t>mauritanienne</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p>
    <w:p w14:paraId="7FC5A838" w14:textId="77777777" w:rsidR="008518B0" w:rsidRPr="00B004EE" w:rsidRDefault="008518B0" w:rsidP="00B004EE">
      <w:pPr>
        <w:pStyle w:val="article"/>
        <w:numPr>
          <w:ilvl w:val="0"/>
          <w:numId w:val="0"/>
        </w:numPr>
        <w:tabs>
          <w:tab w:val="left" w:pos="1200"/>
        </w:tabs>
        <w:spacing w:before="0" w:line="240" w:lineRule="auto"/>
        <w:rPr>
          <w:rFonts w:ascii="Tahoma" w:hAnsi="Tahoma" w:cs="Tahoma"/>
          <w:sz w:val="20"/>
          <w:szCs w:val="20"/>
        </w:rPr>
      </w:pPr>
    </w:p>
    <w:p w14:paraId="5CD3680D" w14:textId="0B032EE1" w:rsidR="008518B0" w:rsidRPr="00B004EE" w:rsidRDefault="008518B0" w:rsidP="00420DDA">
      <w:pPr>
        <w:pStyle w:val="Paragraphedeliste"/>
        <w:numPr>
          <w:ilvl w:val="0"/>
          <w:numId w:val="66"/>
        </w:numPr>
        <w:tabs>
          <w:tab w:val="left" w:pos="-1440"/>
        </w:tabs>
        <w:jc w:val="both"/>
        <w:rPr>
          <w:rFonts w:ascii="Tahoma" w:hAnsi="Tahoma" w:cs="Tahoma"/>
          <w:sz w:val="20"/>
          <w:szCs w:val="20"/>
        </w:rPr>
      </w:pPr>
      <w:proofErr w:type="gramStart"/>
      <w:r w:rsidRPr="00B004EE">
        <w:rPr>
          <w:rFonts w:ascii="Tahoma" w:hAnsi="Tahoma" w:cs="Tahoma"/>
          <w:sz w:val="20"/>
          <w:szCs w:val="20"/>
        </w:rPr>
        <w:t>l’utilisation</w:t>
      </w:r>
      <w:proofErr w:type="gramEnd"/>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bœuf</w:t>
      </w:r>
      <w:r w:rsidR="00DB1635" w:rsidRPr="00B004EE">
        <w:rPr>
          <w:rFonts w:ascii="Tahoma" w:hAnsi="Tahoma" w:cs="Tahoma"/>
          <w:sz w:val="20"/>
          <w:szCs w:val="20"/>
        </w:rPr>
        <w:t xml:space="preserve"> </w:t>
      </w:r>
      <w:r w:rsidRPr="00B004EE">
        <w:rPr>
          <w:rFonts w:ascii="Tahoma" w:hAnsi="Tahoma" w:cs="Tahoma"/>
          <w:sz w:val="20"/>
          <w:szCs w:val="20"/>
        </w:rPr>
        <w:t>démersal</w:t>
      </w:r>
    </w:p>
    <w:p w14:paraId="354B905E" w14:textId="64F3FE2B" w:rsidR="008518B0" w:rsidRPr="00B004EE" w:rsidRDefault="008518B0" w:rsidP="00420DDA">
      <w:pPr>
        <w:pStyle w:val="Paragraphedeliste"/>
        <w:numPr>
          <w:ilvl w:val="0"/>
          <w:numId w:val="66"/>
        </w:numPr>
        <w:tabs>
          <w:tab w:val="left" w:pos="-1440"/>
        </w:tabs>
        <w:jc w:val="both"/>
        <w:rPr>
          <w:rFonts w:ascii="Tahoma" w:hAnsi="Tahoma" w:cs="Tahoma"/>
          <w:sz w:val="20"/>
          <w:szCs w:val="20"/>
        </w:rPr>
      </w:pPr>
      <w:proofErr w:type="gramStart"/>
      <w:r w:rsidRPr="00B004EE">
        <w:rPr>
          <w:rFonts w:ascii="Tahoma" w:hAnsi="Tahoma" w:cs="Tahoma"/>
          <w:sz w:val="20"/>
          <w:szCs w:val="20"/>
        </w:rPr>
        <w:t>l’utilisation</w:t>
      </w:r>
      <w:proofErr w:type="gramEnd"/>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chalut</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perche</w:t>
      </w:r>
      <w:r w:rsidR="00DB1635" w:rsidRPr="00B004EE">
        <w:rPr>
          <w:rFonts w:ascii="Tahoma" w:hAnsi="Tahoma" w:cs="Tahoma"/>
          <w:sz w:val="20"/>
          <w:szCs w:val="20"/>
        </w:rPr>
        <w:t xml:space="preserve"> </w:t>
      </w:r>
      <w:r w:rsidRPr="00B004EE">
        <w:rPr>
          <w:rFonts w:ascii="Tahoma" w:hAnsi="Tahoma" w:cs="Tahoma"/>
          <w:sz w:val="20"/>
          <w:szCs w:val="20"/>
        </w:rPr>
        <w:t>;</w:t>
      </w:r>
    </w:p>
    <w:p w14:paraId="2EEE313A" w14:textId="75B5874D" w:rsidR="008518B0" w:rsidRPr="00B004EE" w:rsidRDefault="008518B0" w:rsidP="00420DDA">
      <w:pPr>
        <w:pStyle w:val="Paragraphedeliste"/>
        <w:numPr>
          <w:ilvl w:val="0"/>
          <w:numId w:val="66"/>
        </w:numPr>
        <w:tabs>
          <w:tab w:val="left" w:pos="-1440"/>
        </w:tabs>
        <w:jc w:val="both"/>
        <w:rPr>
          <w:rFonts w:ascii="Tahoma" w:hAnsi="Tahoma" w:cs="Tahoma"/>
          <w:sz w:val="20"/>
          <w:szCs w:val="20"/>
        </w:rPr>
      </w:pPr>
      <w:proofErr w:type="gramStart"/>
      <w:r w:rsidRPr="00B004EE">
        <w:rPr>
          <w:rFonts w:ascii="Tahoma" w:hAnsi="Tahoma" w:cs="Tahoma"/>
          <w:sz w:val="20"/>
          <w:szCs w:val="20"/>
        </w:rPr>
        <w:t>l’utilisation</w:t>
      </w:r>
      <w:proofErr w:type="gramEnd"/>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chaînes</w:t>
      </w:r>
      <w:r w:rsidR="00DB1635" w:rsidRPr="00B004EE">
        <w:rPr>
          <w:rFonts w:ascii="Tahoma" w:hAnsi="Tahoma" w:cs="Tahoma"/>
          <w:sz w:val="20"/>
          <w:szCs w:val="20"/>
        </w:rPr>
        <w:t xml:space="preserve"> </w:t>
      </w:r>
      <w:r w:rsidRPr="00B004EE">
        <w:rPr>
          <w:rFonts w:ascii="Tahoma" w:hAnsi="Tahoma" w:cs="Tahoma"/>
          <w:sz w:val="20"/>
          <w:szCs w:val="20"/>
        </w:rPr>
        <w:t>racleuses</w:t>
      </w:r>
      <w:r w:rsidR="00DB1635" w:rsidRPr="00B004EE">
        <w:rPr>
          <w:rFonts w:ascii="Tahoma" w:hAnsi="Tahoma" w:cs="Tahoma"/>
          <w:sz w:val="20"/>
          <w:szCs w:val="20"/>
        </w:rPr>
        <w:t xml:space="preserve"> </w:t>
      </w:r>
      <w:r w:rsidRPr="00B004EE">
        <w:rPr>
          <w:rFonts w:ascii="Tahoma" w:hAnsi="Tahoma" w:cs="Tahoma"/>
          <w:sz w:val="20"/>
          <w:szCs w:val="20"/>
        </w:rPr>
        <w:t>sur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gréements</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chaluts</w:t>
      </w:r>
      <w:r w:rsidR="00DB1635" w:rsidRPr="00B004EE">
        <w:rPr>
          <w:rFonts w:ascii="Tahoma" w:hAnsi="Tahoma" w:cs="Tahoma"/>
          <w:sz w:val="20"/>
          <w:szCs w:val="20"/>
        </w:rPr>
        <w:t xml:space="preserve"> </w:t>
      </w:r>
      <w:r w:rsidRPr="00B004EE">
        <w:rPr>
          <w:rFonts w:ascii="Tahoma" w:hAnsi="Tahoma" w:cs="Tahoma"/>
          <w:sz w:val="20"/>
          <w:szCs w:val="20"/>
        </w:rPr>
        <w:t>;</w:t>
      </w:r>
    </w:p>
    <w:p w14:paraId="02E35810" w14:textId="182A30D9" w:rsidR="008518B0" w:rsidRPr="00B004EE" w:rsidRDefault="008518B0" w:rsidP="00420DDA">
      <w:pPr>
        <w:numPr>
          <w:ilvl w:val="0"/>
          <w:numId w:val="66"/>
        </w:numPr>
        <w:tabs>
          <w:tab w:val="left" w:pos="-1440"/>
        </w:tabs>
        <w:jc w:val="both"/>
        <w:rPr>
          <w:rFonts w:ascii="Tahoma" w:hAnsi="Tahoma" w:cs="Tahoma"/>
          <w:sz w:val="20"/>
          <w:szCs w:val="20"/>
        </w:rPr>
      </w:pPr>
      <w:proofErr w:type="gramStart"/>
      <w:r w:rsidRPr="00B004EE">
        <w:rPr>
          <w:rFonts w:ascii="Tahoma" w:hAnsi="Tahoma" w:cs="Tahoma"/>
          <w:sz w:val="20"/>
          <w:szCs w:val="20"/>
        </w:rPr>
        <w:t>le</w:t>
      </w:r>
      <w:proofErr w:type="gramEnd"/>
      <w:r w:rsidR="00DB1635" w:rsidRPr="00B004EE">
        <w:rPr>
          <w:rFonts w:ascii="Tahoma" w:hAnsi="Tahoma" w:cs="Tahoma"/>
          <w:sz w:val="20"/>
          <w:szCs w:val="20"/>
        </w:rPr>
        <w:t xml:space="preserve"> </w:t>
      </w:r>
      <w:r w:rsidRPr="00B004EE">
        <w:rPr>
          <w:rFonts w:ascii="Tahoma" w:hAnsi="Tahoma" w:cs="Tahoma"/>
          <w:sz w:val="20"/>
          <w:szCs w:val="20"/>
        </w:rPr>
        <w:t>doublage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poche</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chalut</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doublage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files</w:t>
      </w:r>
      <w:r w:rsidR="00DB1635" w:rsidRPr="00B004EE">
        <w:rPr>
          <w:rFonts w:ascii="Tahoma" w:hAnsi="Tahoma" w:cs="Tahoma"/>
          <w:sz w:val="20"/>
          <w:szCs w:val="20"/>
        </w:rPr>
        <w:t xml:space="preserve"> </w:t>
      </w:r>
      <w:r w:rsidRPr="00B004EE">
        <w:rPr>
          <w:rFonts w:ascii="Tahoma" w:hAnsi="Tahoma" w:cs="Tahoma"/>
          <w:sz w:val="20"/>
          <w:szCs w:val="20"/>
        </w:rPr>
        <w:t>constituant</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poche</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chalut;</w:t>
      </w:r>
    </w:p>
    <w:p w14:paraId="66B6170E" w14:textId="22042003" w:rsidR="008518B0" w:rsidRPr="00B004EE" w:rsidRDefault="008518B0" w:rsidP="00420DDA">
      <w:pPr>
        <w:numPr>
          <w:ilvl w:val="0"/>
          <w:numId w:val="66"/>
        </w:numPr>
        <w:tabs>
          <w:tab w:val="left" w:pos="-1440"/>
        </w:tabs>
        <w:jc w:val="both"/>
        <w:rPr>
          <w:rFonts w:ascii="Tahoma" w:hAnsi="Tahoma" w:cs="Tahoma"/>
          <w:sz w:val="20"/>
          <w:szCs w:val="20"/>
        </w:rPr>
      </w:pPr>
      <w:proofErr w:type="gramStart"/>
      <w:r w:rsidRPr="00B004EE">
        <w:rPr>
          <w:rFonts w:ascii="Tahoma" w:hAnsi="Tahoma" w:cs="Tahoma"/>
          <w:sz w:val="20"/>
          <w:szCs w:val="20"/>
        </w:rPr>
        <w:t>l'utilisation</w:t>
      </w:r>
      <w:proofErr w:type="gramEnd"/>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filet</w:t>
      </w:r>
      <w:r w:rsidR="00DB1635" w:rsidRPr="00B004EE">
        <w:rPr>
          <w:rFonts w:ascii="Tahoma" w:hAnsi="Tahoma" w:cs="Tahoma"/>
          <w:sz w:val="20"/>
          <w:szCs w:val="20"/>
        </w:rPr>
        <w:t xml:space="preserve"> </w:t>
      </w:r>
      <w:r w:rsidRPr="00B004EE">
        <w:rPr>
          <w:rFonts w:ascii="Tahoma" w:hAnsi="Tahoma" w:cs="Tahoma"/>
          <w:sz w:val="20"/>
          <w:szCs w:val="20"/>
        </w:rPr>
        <w:t>maillant</w:t>
      </w:r>
      <w:r w:rsidR="00DB1635" w:rsidRPr="00B004EE">
        <w:rPr>
          <w:rFonts w:ascii="Tahoma" w:hAnsi="Tahoma" w:cs="Tahoma"/>
          <w:sz w:val="20"/>
          <w:szCs w:val="20"/>
        </w:rPr>
        <w:t xml:space="preserve"> </w:t>
      </w:r>
      <w:r w:rsidRPr="00B004EE">
        <w:rPr>
          <w:rFonts w:ascii="Tahoma" w:hAnsi="Tahoma" w:cs="Tahoma"/>
          <w:sz w:val="20"/>
          <w:szCs w:val="20"/>
        </w:rPr>
        <w:t>dérivant</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thon</w:t>
      </w:r>
      <w:r w:rsidR="00DB1635" w:rsidRPr="00B004EE">
        <w:rPr>
          <w:rFonts w:ascii="Tahoma" w:hAnsi="Tahoma" w:cs="Tahoma"/>
          <w:sz w:val="20"/>
          <w:szCs w:val="20"/>
        </w:rPr>
        <w:t xml:space="preserve"> </w:t>
      </w:r>
      <w:r w:rsidRPr="00B004EE">
        <w:rPr>
          <w:rFonts w:ascii="Tahoma" w:hAnsi="Tahoma" w:cs="Tahoma"/>
          <w:sz w:val="20"/>
          <w:szCs w:val="20"/>
        </w:rPr>
        <w:t>;</w:t>
      </w:r>
    </w:p>
    <w:p w14:paraId="729F6B99" w14:textId="3BBB4EB8" w:rsidR="008518B0" w:rsidRPr="00B004EE" w:rsidRDefault="008518B0" w:rsidP="00420DDA">
      <w:pPr>
        <w:numPr>
          <w:ilvl w:val="0"/>
          <w:numId w:val="66"/>
        </w:numPr>
        <w:tabs>
          <w:tab w:val="left" w:pos="-1440"/>
        </w:tabs>
        <w:jc w:val="both"/>
        <w:rPr>
          <w:rFonts w:ascii="Tahoma" w:hAnsi="Tahoma" w:cs="Tahoma"/>
          <w:sz w:val="20"/>
          <w:szCs w:val="20"/>
        </w:rPr>
      </w:pPr>
      <w:proofErr w:type="gramStart"/>
      <w:r w:rsidRPr="00B004EE">
        <w:rPr>
          <w:rFonts w:ascii="Tahoma" w:hAnsi="Tahoma" w:cs="Tahoma"/>
          <w:sz w:val="20"/>
          <w:szCs w:val="20"/>
        </w:rPr>
        <w:t>l’utilisation</w:t>
      </w:r>
      <w:proofErr w:type="gramEnd"/>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filet</w:t>
      </w:r>
      <w:r w:rsidR="00DB1635" w:rsidRPr="00B004EE">
        <w:rPr>
          <w:rFonts w:ascii="Tahoma" w:hAnsi="Tahoma" w:cs="Tahoma"/>
          <w:sz w:val="20"/>
          <w:szCs w:val="20"/>
        </w:rPr>
        <w:t xml:space="preserve"> </w:t>
      </w:r>
      <w:r w:rsidRPr="00B004EE">
        <w:rPr>
          <w:rFonts w:ascii="Tahoma" w:hAnsi="Tahoma" w:cs="Tahoma"/>
          <w:sz w:val="20"/>
          <w:szCs w:val="20"/>
        </w:rPr>
        <w:t>maillant</w:t>
      </w:r>
      <w:r w:rsidR="00DB1635" w:rsidRPr="00B004EE">
        <w:rPr>
          <w:rFonts w:ascii="Tahoma" w:hAnsi="Tahoma" w:cs="Tahoma"/>
          <w:sz w:val="20"/>
          <w:szCs w:val="20"/>
        </w:rPr>
        <w:t xml:space="preserve"> </w:t>
      </w:r>
      <w:r w:rsidRPr="00B004EE">
        <w:rPr>
          <w:rFonts w:ascii="Tahoma" w:hAnsi="Tahoma" w:cs="Tahoma"/>
          <w:sz w:val="20"/>
          <w:szCs w:val="20"/>
        </w:rPr>
        <w:t>dérivant</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langouste</w:t>
      </w:r>
      <w:r w:rsidR="00DB1635" w:rsidRPr="00B004EE">
        <w:rPr>
          <w:rFonts w:ascii="Tahoma" w:hAnsi="Tahoma" w:cs="Tahoma"/>
          <w:sz w:val="20"/>
          <w:szCs w:val="20"/>
        </w:rPr>
        <w:t xml:space="preserve"> </w:t>
      </w:r>
      <w:r w:rsidRPr="00B004EE">
        <w:rPr>
          <w:rFonts w:ascii="Tahoma" w:hAnsi="Tahoma" w:cs="Tahoma"/>
          <w:sz w:val="20"/>
          <w:szCs w:val="20"/>
        </w:rPr>
        <w:t>rose</w:t>
      </w:r>
      <w:r w:rsidR="00DB1635" w:rsidRPr="00B004EE">
        <w:rPr>
          <w:rFonts w:ascii="Tahoma" w:hAnsi="Tahoma" w:cs="Tahoma"/>
          <w:sz w:val="20"/>
          <w:szCs w:val="20"/>
        </w:rPr>
        <w:t xml:space="preserve"> </w:t>
      </w:r>
      <w:r w:rsidRPr="00B004EE">
        <w:rPr>
          <w:rFonts w:ascii="Tahoma" w:hAnsi="Tahoma" w:cs="Tahoma"/>
          <w:sz w:val="20"/>
          <w:szCs w:val="20"/>
        </w:rPr>
        <w:t>;</w:t>
      </w:r>
    </w:p>
    <w:p w14:paraId="68EFB28F" w14:textId="4637ADF4" w:rsidR="008518B0" w:rsidRPr="00B004EE" w:rsidRDefault="008518B0" w:rsidP="00420DDA">
      <w:pPr>
        <w:numPr>
          <w:ilvl w:val="0"/>
          <w:numId w:val="66"/>
        </w:numPr>
        <w:tabs>
          <w:tab w:val="left" w:pos="-1440"/>
        </w:tabs>
        <w:jc w:val="both"/>
        <w:rPr>
          <w:rFonts w:ascii="Tahoma" w:hAnsi="Tahoma" w:cs="Tahoma"/>
          <w:sz w:val="20"/>
          <w:szCs w:val="20"/>
        </w:rPr>
      </w:pPr>
      <w:proofErr w:type="gramStart"/>
      <w:r w:rsidRPr="00B004EE">
        <w:rPr>
          <w:rFonts w:ascii="Tahoma" w:hAnsi="Tahoma" w:cs="Tahoma"/>
          <w:sz w:val="20"/>
          <w:szCs w:val="20"/>
        </w:rPr>
        <w:t>l'utilisation</w:t>
      </w:r>
      <w:proofErr w:type="gramEnd"/>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détention</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bord</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navires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filets</w:t>
      </w:r>
      <w:r w:rsidR="00DB1635" w:rsidRPr="00B004EE">
        <w:rPr>
          <w:rFonts w:ascii="Tahoma" w:hAnsi="Tahoma" w:cs="Tahoma"/>
          <w:sz w:val="20"/>
          <w:szCs w:val="20"/>
        </w:rPr>
        <w:t xml:space="preserve"> </w:t>
      </w:r>
      <w:r w:rsidRPr="00B004EE">
        <w:rPr>
          <w:rFonts w:ascii="Tahoma" w:hAnsi="Tahoma" w:cs="Tahoma"/>
          <w:sz w:val="20"/>
          <w:szCs w:val="20"/>
        </w:rPr>
        <w:t>maillants</w:t>
      </w:r>
      <w:r w:rsidR="00DB1635" w:rsidRPr="00B004EE">
        <w:rPr>
          <w:rFonts w:ascii="Tahoma" w:hAnsi="Tahoma" w:cs="Tahoma"/>
          <w:sz w:val="20"/>
          <w:szCs w:val="20"/>
        </w:rPr>
        <w:t xml:space="preserve"> </w:t>
      </w:r>
      <w:r w:rsidRPr="00B004EE">
        <w:rPr>
          <w:rFonts w:ascii="Tahoma" w:hAnsi="Tahoma" w:cs="Tahoma"/>
          <w:sz w:val="20"/>
          <w:szCs w:val="20"/>
        </w:rPr>
        <w:t>fabriqués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partir</w:t>
      </w:r>
      <w:r w:rsidR="00DB1635" w:rsidRPr="00B004EE">
        <w:rPr>
          <w:rFonts w:ascii="Tahoma" w:hAnsi="Tahoma" w:cs="Tahoma"/>
          <w:sz w:val="20"/>
          <w:szCs w:val="20"/>
        </w:rPr>
        <w:t xml:space="preserve"> </w:t>
      </w:r>
      <w:r w:rsidRPr="00B004EE">
        <w:rPr>
          <w:rFonts w:ascii="Tahoma" w:hAnsi="Tahoma" w:cs="Tahoma"/>
          <w:sz w:val="20"/>
          <w:szCs w:val="20"/>
        </w:rPr>
        <w:t>d'éléments</w:t>
      </w:r>
      <w:r w:rsidR="00DB1635" w:rsidRPr="00B004EE">
        <w:rPr>
          <w:rFonts w:ascii="Tahoma" w:hAnsi="Tahoma" w:cs="Tahoma"/>
          <w:sz w:val="20"/>
          <w:szCs w:val="20"/>
        </w:rPr>
        <w:t xml:space="preserve"> </w:t>
      </w:r>
      <w:r w:rsidRPr="00B004EE">
        <w:rPr>
          <w:rFonts w:ascii="Tahoma" w:hAnsi="Tahoma" w:cs="Tahoma"/>
          <w:sz w:val="20"/>
          <w:szCs w:val="20"/>
        </w:rPr>
        <w:t>mono</w:t>
      </w:r>
      <w:r w:rsidR="00DB1635" w:rsidRPr="00B004EE">
        <w:rPr>
          <w:rFonts w:ascii="Tahoma" w:hAnsi="Tahoma" w:cs="Tahoma"/>
          <w:sz w:val="20"/>
          <w:szCs w:val="20"/>
        </w:rPr>
        <w:t xml:space="preserve"> </w:t>
      </w:r>
      <w:r w:rsidRPr="00B004EE">
        <w:rPr>
          <w:rFonts w:ascii="Tahoma" w:hAnsi="Tahoma" w:cs="Tahoma"/>
          <w:sz w:val="20"/>
          <w:szCs w:val="20"/>
        </w:rPr>
        <w:t>filaments</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multi</w:t>
      </w:r>
      <w:r w:rsidR="00DB1635" w:rsidRPr="00B004EE">
        <w:rPr>
          <w:rFonts w:ascii="Tahoma" w:hAnsi="Tahoma" w:cs="Tahoma"/>
          <w:sz w:val="20"/>
          <w:szCs w:val="20"/>
        </w:rPr>
        <w:t xml:space="preserve"> </w:t>
      </w:r>
      <w:r w:rsidRPr="00B004EE">
        <w:rPr>
          <w:rFonts w:ascii="Tahoma" w:hAnsi="Tahoma" w:cs="Tahoma"/>
          <w:sz w:val="20"/>
          <w:szCs w:val="20"/>
        </w:rPr>
        <w:t>mono</w:t>
      </w:r>
      <w:r w:rsidR="00DB1635" w:rsidRPr="00B004EE">
        <w:rPr>
          <w:rFonts w:ascii="Tahoma" w:hAnsi="Tahoma" w:cs="Tahoma"/>
          <w:sz w:val="20"/>
          <w:szCs w:val="20"/>
        </w:rPr>
        <w:t xml:space="preserve"> </w:t>
      </w:r>
      <w:r w:rsidRPr="00B004EE">
        <w:rPr>
          <w:rFonts w:ascii="Tahoma" w:hAnsi="Tahoma" w:cs="Tahoma"/>
          <w:sz w:val="20"/>
          <w:szCs w:val="20"/>
        </w:rPr>
        <w:t>filaments;</w:t>
      </w:r>
    </w:p>
    <w:p w14:paraId="4EA1FA08" w14:textId="6224634C" w:rsidR="008518B0" w:rsidRPr="00B004EE" w:rsidRDefault="008518B0" w:rsidP="00420DDA">
      <w:pPr>
        <w:numPr>
          <w:ilvl w:val="0"/>
          <w:numId w:val="66"/>
        </w:numPr>
        <w:jc w:val="both"/>
        <w:rPr>
          <w:rFonts w:ascii="Tahoma" w:hAnsi="Tahoma" w:cs="Tahoma"/>
          <w:sz w:val="20"/>
          <w:szCs w:val="20"/>
        </w:rPr>
      </w:pPr>
      <w:proofErr w:type="gramStart"/>
      <w:r w:rsidRPr="00B004EE">
        <w:rPr>
          <w:rFonts w:ascii="Tahoma" w:hAnsi="Tahoma" w:cs="Tahoma"/>
          <w:sz w:val="20"/>
          <w:szCs w:val="20"/>
        </w:rPr>
        <w:t>l’utilisation</w:t>
      </w:r>
      <w:proofErr w:type="gramEnd"/>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nappes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filets</w:t>
      </w:r>
      <w:r w:rsidR="00DB1635" w:rsidRPr="00B004EE">
        <w:rPr>
          <w:rFonts w:ascii="Tahoma" w:hAnsi="Tahoma" w:cs="Tahoma"/>
          <w:sz w:val="20"/>
          <w:szCs w:val="20"/>
        </w:rPr>
        <w:t xml:space="preserve"> </w:t>
      </w:r>
      <w:r w:rsidRPr="00B004EE">
        <w:rPr>
          <w:rFonts w:ascii="Tahoma" w:hAnsi="Tahoma" w:cs="Tahoma"/>
          <w:sz w:val="20"/>
          <w:szCs w:val="20"/>
        </w:rPr>
        <w:t>fabriqués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partir</w:t>
      </w:r>
      <w:r w:rsidR="00DB1635" w:rsidRPr="00B004EE">
        <w:rPr>
          <w:rFonts w:ascii="Tahoma" w:hAnsi="Tahoma" w:cs="Tahoma"/>
          <w:sz w:val="20"/>
          <w:szCs w:val="20"/>
        </w:rPr>
        <w:t xml:space="preserve"> </w:t>
      </w:r>
      <w:r w:rsidRPr="00B004EE">
        <w:rPr>
          <w:rFonts w:ascii="Tahoma" w:hAnsi="Tahoma" w:cs="Tahoma"/>
          <w:sz w:val="20"/>
          <w:szCs w:val="20"/>
        </w:rPr>
        <w:t>d’un</w:t>
      </w:r>
      <w:r w:rsidR="00DB1635" w:rsidRPr="00B004EE">
        <w:rPr>
          <w:rFonts w:ascii="Tahoma" w:hAnsi="Tahoma" w:cs="Tahoma"/>
          <w:sz w:val="20"/>
          <w:szCs w:val="20"/>
        </w:rPr>
        <w:t xml:space="preserve"> </w:t>
      </w:r>
      <w:r w:rsidRPr="00B004EE">
        <w:rPr>
          <w:rFonts w:ascii="Tahoma" w:hAnsi="Tahoma" w:cs="Tahoma"/>
          <w:sz w:val="20"/>
          <w:szCs w:val="20"/>
        </w:rPr>
        <w:t>matériau</w:t>
      </w:r>
      <w:r w:rsidR="00DB1635" w:rsidRPr="00B004EE">
        <w:rPr>
          <w:rFonts w:ascii="Tahoma" w:hAnsi="Tahoma" w:cs="Tahoma"/>
          <w:sz w:val="20"/>
          <w:szCs w:val="20"/>
        </w:rPr>
        <w:t xml:space="preserve"> </w:t>
      </w:r>
      <w:r w:rsidRPr="00B004EE">
        <w:rPr>
          <w:rFonts w:ascii="Tahoma" w:hAnsi="Tahoma" w:cs="Tahoma"/>
          <w:sz w:val="20"/>
          <w:szCs w:val="20"/>
        </w:rPr>
        <w:t>non</w:t>
      </w:r>
      <w:r w:rsidR="00DB1635" w:rsidRPr="00B004EE">
        <w:rPr>
          <w:rFonts w:ascii="Tahoma" w:hAnsi="Tahoma" w:cs="Tahoma"/>
          <w:sz w:val="20"/>
          <w:szCs w:val="20"/>
        </w:rPr>
        <w:t xml:space="preserve"> </w:t>
      </w:r>
      <w:r w:rsidRPr="00B004EE">
        <w:rPr>
          <w:rFonts w:ascii="Tahoma" w:hAnsi="Tahoma" w:cs="Tahoma"/>
          <w:sz w:val="20"/>
          <w:szCs w:val="20"/>
        </w:rPr>
        <w:t>biodégradable;</w:t>
      </w:r>
    </w:p>
    <w:p w14:paraId="3701D5D4" w14:textId="58D4DF95" w:rsidR="008518B0" w:rsidRPr="00B004EE" w:rsidRDefault="008518B0" w:rsidP="00420DDA">
      <w:pPr>
        <w:numPr>
          <w:ilvl w:val="0"/>
          <w:numId w:val="66"/>
        </w:numPr>
        <w:jc w:val="both"/>
        <w:rPr>
          <w:rFonts w:ascii="Tahoma" w:hAnsi="Tahoma" w:cs="Tahoma"/>
          <w:sz w:val="20"/>
          <w:szCs w:val="20"/>
        </w:rPr>
      </w:pPr>
      <w:proofErr w:type="gramStart"/>
      <w:r w:rsidRPr="00B004EE">
        <w:rPr>
          <w:rFonts w:ascii="Tahoma" w:hAnsi="Tahoma" w:cs="Tahoma"/>
          <w:sz w:val="20"/>
          <w:szCs w:val="20"/>
        </w:rPr>
        <w:t>la</w:t>
      </w:r>
      <w:proofErr w:type="gramEnd"/>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l’explosif,</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électrique</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l’aide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substances</w:t>
      </w:r>
      <w:r w:rsidR="00DB1635" w:rsidRPr="00B004EE">
        <w:rPr>
          <w:rFonts w:ascii="Tahoma" w:hAnsi="Tahoma" w:cs="Tahoma"/>
          <w:sz w:val="20"/>
          <w:szCs w:val="20"/>
        </w:rPr>
        <w:t xml:space="preserve"> </w:t>
      </w:r>
      <w:r w:rsidRPr="00B004EE">
        <w:rPr>
          <w:rFonts w:ascii="Tahoma" w:hAnsi="Tahoma" w:cs="Tahoma"/>
          <w:sz w:val="20"/>
          <w:szCs w:val="20"/>
        </w:rPr>
        <w:t>toxiques</w:t>
      </w:r>
      <w:r w:rsidR="00DB1635" w:rsidRPr="00B004EE">
        <w:rPr>
          <w:rFonts w:ascii="Tahoma" w:hAnsi="Tahoma" w:cs="Tahoma"/>
          <w:sz w:val="20"/>
          <w:szCs w:val="20"/>
        </w:rPr>
        <w:t xml:space="preserve"> </w:t>
      </w:r>
      <w:r w:rsidRPr="00B004EE">
        <w:rPr>
          <w:rFonts w:ascii="Tahoma" w:hAnsi="Tahoma" w:cs="Tahoma"/>
          <w:sz w:val="20"/>
          <w:szCs w:val="20"/>
        </w:rPr>
        <w:t>;</w:t>
      </w:r>
    </w:p>
    <w:p w14:paraId="5C750672" w14:textId="033D7BA6" w:rsidR="008518B0" w:rsidRPr="00B004EE" w:rsidRDefault="008518B0" w:rsidP="00420DDA">
      <w:pPr>
        <w:pStyle w:val="Corpsdetexte2"/>
        <w:numPr>
          <w:ilvl w:val="0"/>
          <w:numId w:val="66"/>
        </w:numPr>
        <w:spacing w:after="0" w:line="240" w:lineRule="auto"/>
        <w:jc w:val="both"/>
        <w:rPr>
          <w:rFonts w:ascii="Tahoma" w:hAnsi="Tahoma" w:cs="Tahoma"/>
          <w:sz w:val="20"/>
          <w:szCs w:val="20"/>
        </w:rPr>
      </w:pPr>
      <w:proofErr w:type="gramStart"/>
      <w:r w:rsidRPr="00B004EE">
        <w:rPr>
          <w:rFonts w:ascii="Tahoma" w:hAnsi="Tahoma" w:cs="Tahoma"/>
          <w:sz w:val="20"/>
          <w:szCs w:val="20"/>
        </w:rPr>
        <w:t>la</w:t>
      </w:r>
      <w:proofErr w:type="gramEnd"/>
      <w:r w:rsidR="00DB1635" w:rsidRPr="00B004EE">
        <w:rPr>
          <w:rFonts w:ascii="Tahoma" w:hAnsi="Tahoma" w:cs="Tahoma"/>
          <w:sz w:val="20"/>
          <w:szCs w:val="20"/>
        </w:rPr>
        <w:t xml:space="preserve"> </w:t>
      </w:r>
      <w:r w:rsidRPr="00B004EE">
        <w:rPr>
          <w:rFonts w:ascii="Tahoma" w:hAnsi="Tahoma" w:cs="Tahoma"/>
          <w:sz w:val="20"/>
          <w:szCs w:val="20"/>
        </w:rPr>
        <w:t>détention</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l’utilisation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engins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non</w:t>
      </w:r>
      <w:r w:rsidR="00DB1635" w:rsidRPr="00B004EE">
        <w:rPr>
          <w:rFonts w:ascii="Tahoma" w:hAnsi="Tahoma" w:cs="Tahoma"/>
          <w:sz w:val="20"/>
          <w:szCs w:val="20"/>
        </w:rPr>
        <w:t xml:space="preserve"> </w:t>
      </w:r>
      <w:r w:rsidRPr="00B004EE">
        <w:rPr>
          <w:rFonts w:ascii="Tahoma" w:hAnsi="Tahoma" w:cs="Tahoma"/>
          <w:sz w:val="20"/>
          <w:szCs w:val="20"/>
        </w:rPr>
        <w:t>autorisés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mailles</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dessous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celles</w:t>
      </w:r>
      <w:r w:rsidR="00DB1635" w:rsidRPr="00B004EE">
        <w:rPr>
          <w:rFonts w:ascii="Tahoma" w:hAnsi="Tahoma" w:cs="Tahoma"/>
          <w:sz w:val="20"/>
          <w:szCs w:val="20"/>
        </w:rPr>
        <w:t xml:space="preserve"> </w:t>
      </w:r>
      <w:r w:rsidRPr="00B004EE">
        <w:rPr>
          <w:rFonts w:ascii="Tahoma" w:hAnsi="Tahoma" w:cs="Tahoma"/>
          <w:sz w:val="20"/>
          <w:szCs w:val="20"/>
        </w:rPr>
        <w:t>autorisées.</w:t>
      </w:r>
    </w:p>
    <w:p w14:paraId="10853ADA" w14:textId="77777777" w:rsidR="008518B0" w:rsidRPr="00B004EE" w:rsidRDefault="008518B0" w:rsidP="00B004EE">
      <w:pPr>
        <w:pStyle w:val="article"/>
        <w:numPr>
          <w:ilvl w:val="0"/>
          <w:numId w:val="0"/>
        </w:numPr>
        <w:tabs>
          <w:tab w:val="left" w:pos="1200"/>
        </w:tabs>
        <w:spacing w:before="0" w:line="240" w:lineRule="auto"/>
        <w:jc w:val="center"/>
        <w:rPr>
          <w:rFonts w:ascii="Tahoma" w:hAnsi="Tahoma" w:cs="Tahoma"/>
          <w:b/>
          <w:bCs/>
          <w:sz w:val="20"/>
          <w:szCs w:val="20"/>
        </w:rPr>
      </w:pPr>
    </w:p>
    <w:p w14:paraId="622F8533" w14:textId="4E06FE90" w:rsidR="008518B0" w:rsidRPr="00B004EE" w:rsidRDefault="008518B0" w:rsidP="00B004EE">
      <w:pPr>
        <w:pStyle w:val="article"/>
        <w:numPr>
          <w:ilvl w:val="0"/>
          <w:numId w:val="0"/>
        </w:numPr>
        <w:tabs>
          <w:tab w:val="left" w:pos="1200"/>
        </w:tabs>
        <w:spacing w:before="0" w:line="240" w:lineRule="auto"/>
        <w:jc w:val="center"/>
        <w:rPr>
          <w:rFonts w:ascii="Tahoma" w:hAnsi="Tahoma" w:cs="Tahoma"/>
          <w:b/>
          <w:bCs/>
          <w:sz w:val="20"/>
          <w:szCs w:val="20"/>
        </w:rPr>
      </w:pPr>
      <w:r w:rsidRPr="00B004EE">
        <w:rPr>
          <w:rFonts w:ascii="Tahoma" w:hAnsi="Tahoma" w:cs="Tahoma"/>
          <w:b/>
          <w:bCs/>
          <w:sz w:val="20"/>
          <w:szCs w:val="20"/>
        </w:rPr>
        <w:t>Section</w:t>
      </w:r>
      <w:r w:rsidR="00DB1635" w:rsidRPr="00B004EE">
        <w:rPr>
          <w:rFonts w:ascii="Tahoma" w:hAnsi="Tahoma" w:cs="Tahoma"/>
          <w:b/>
          <w:bCs/>
          <w:sz w:val="20"/>
          <w:szCs w:val="20"/>
        </w:rPr>
        <w:t xml:space="preserve"> </w:t>
      </w:r>
      <w:r w:rsidRPr="00B004EE">
        <w:rPr>
          <w:rFonts w:ascii="Tahoma" w:hAnsi="Tahoma" w:cs="Tahoma"/>
          <w:b/>
          <w:bCs/>
          <w:sz w:val="20"/>
          <w:szCs w:val="20"/>
        </w:rPr>
        <w:t>III</w:t>
      </w:r>
      <w:r w:rsidR="00DB1635" w:rsidRPr="00B004EE">
        <w:rPr>
          <w:rFonts w:ascii="Tahoma" w:hAnsi="Tahoma" w:cs="Tahoma"/>
          <w:b/>
          <w:bCs/>
          <w:sz w:val="20"/>
          <w:szCs w:val="20"/>
        </w:rPr>
        <w:t xml:space="preserve"> </w:t>
      </w:r>
      <w:r w:rsidRPr="00B004EE">
        <w:rPr>
          <w:rFonts w:ascii="Tahoma" w:hAnsi="Tahoma" w:cs="Tahoma"/>
          <w:b/>
          <w:bCs/>
          <w:sz w:val="20"/>
          <w:szCs w:val="20"/>
        </w:rPr>
        <w:t>:</w:t>
      </w:r>
      <w:r w:rsidR="00DB1635" w:rsidRPr="00B004EE">
        <w:rPr>
          <w:rFonts w:ascii="Tahoma" w:hAnsi="Tahoma" w:cs="Tahoma"/>
          <w:b/>
          <w:bCs/>
          <w:sz w:val="20"/>
          <w:szCs w:val="20"/>
        </w:rPr>
        <w:t xml:space="preserve"> </w:t>
      </w:r>
      <w:r w:rsidRPr="00B004EE">
        <w:rPr>
          <w:rFonts w:ascii="Tahoma" w:hAnsi="Tahoma" w:cs="Tahoma"/>
          <w:b/>
          <w:bCs/>
          <w:sz w:val="20"/>
          <w:szCs w:val="20"/>
        </w:rPr>
        <w:t>Des</w:t>
      </w:r>
      <w:r w:rsidR="00DB1635" w:rsidRPr="00B004EE">
        <w:rPr>
          <w:rFonts w:ascii="Tahoma" w:hAnsi="Tahoma" w:cs="Tahoma"/>
          <w:b/>
          <w:bCs/>
          <w:sz w:val="20"/>
          <w:szCs w:val="20"/>
        </w:rPr>
        <w:t xml:space="preserve"> </w:t>
      </w:r>
      <w:r w:rsidRPr="00B004EE">
        <w:rPr>
          <w:rFonts w:ascii="Tahoma" w:hAnsi="Tahoma" w:cs="Tahoma"/>
          <w:b/>
          <w:bCs/>
          <w:sz w:val="20"/>
          <w:szCs w:val="20"/>
        </w:rPr>
        <w:t>tailles</w:t>
      </w:r>
      <w:r w:rsidR="00DB1635" w:rsidRPr="00B004EE">
        <w:rPr>
          <w:rFonts w:ascii="Tahoma" w:hAnsi="Tahoma" w:cs="Tahoma"/>
          <w:b/>
          <w:bCs/>
          <w:sz w:val="20"/>
          <w:szCs w:val="20"/>
        </w:rPr>
        <w:t xml:space="preserve"> </w:t>
      </w:r>
      <w:r w:rsidRPr="00B004EE">
        <w:rPr>
          <w:rFonts w:ascii="Tahoma" w:hAnsi="Tahoma" w:cs="Tahoma"/>
          <w:b/>
          <w:bCs/>
          <w:sz w:val="20"/>
          <w:szCs w:val="20"/>
        </w:rPr>
        <w:t>et</w:t>
      </w:r>
      <w:r w:rsidR="00DB1635" w:rsidRPr="00B004EE">
        <w:rPr>
          <w:rFonts w:ascii="Tahoma" w:hAnsi="Tahoma" w:cs="Tahoma"/>
          <w:b/>
          <w:bCs/>
          <w:sz w:val="20"/>
          <w:szCs w:val="20"/>
        </w:rPr>
        <w:t xml:space="preserve"> </w:t>
      </w:r>
      <w:r w:rsidRPr="00B004EE">
        <w:rPr>
          <w:rFonts w:ascii="Tahoma" w:hAnsi="Tahoma" w:cs="Tahoma"/>
          <w:b/>
          <w:bCs/>
          <w:sz w:val="20"/>
          <w:szCs w:val="20"/>
        </w:rPr>
        <w:t>poids</w:t>
      </w:r>
      <w:r w:rsidR="00DB1635" w:rsidRPr="00B004EE">
        <w:rPr>
          <w:rFonts w:ascii="Tahoma" w:hAnsi="Tahoma" w:cs="Tahoma"/>
          <w:b/>
          <w:bCs/>
          <w:sz w:val="20"/>
          <w:szCs w:val="20"/>
        </w:rPr>
        <w:t xml:space="preserve"> </w:t>
      </w:r>
      <w:r w:rsidRPr="00B004EE">
        <w:rPr>
          <w:rFonts w:ascii="Tahoma" w:hAnsi="Tahoma" w:cs="Tahoma"/>
          <w:b/>
          <w:bCs/>
          <w:sz w:val="20"/>
          <w:szCs w:val="20"/>
        </w:rPr>
        <w:t>minima</w:t>
      </w:r>
      <w:r w:rsidR="00DB1635" w:rsidRPr="00B004EE">
        <w:rPr>
          <w:rFonts w:ascii="Tahoma" w:hAnsi="Tahoma" w:cs="Tahoma"/>
          <w:b/>
          <w:bCs/>
          <w:sz w:val="20"/>
          <w:szCs w:val="20"/>
        </w:rPr>
        <w:t xml:space="preserve"> </w:t>
      </w:r>
      <w:r w:rsidRPr="00B004EE">
        <w:rPr>
          <w:rFonts w:ascii="Tahoma" w:hAnsi="Tahoma" w:cs="Tahoma"/>
          <w:b/>
          <w:bCs/>
          <w:sz w:val="20"/>
          <w:szCs w:val="20"/>
        </w:rPr>
        <w:t>des</w:t>
      </w:r>
      <w:r w:rsidR="00DB1635" w:rsidRPr="00B004EE">
        <w:rPr>
          <w:rFonts w:ascii="Tahoma" w:hAnsi="Tahoma" w:cs="Tahoma"/>
          <w:b/>
          <w:bCs/>
          <w:sz w:val="20"/>
          <w:szCs w:val="20"/>
        </w:rPr>
        <w:t xml:space="preserve"> </w:t>
      </w:r>
      <w:r w:rsidRPr="00B004EE">
        <w:rPr>
          <w:rFonts w:ascii="Tahoma" w:hAnsi="Tahoma" w:cs="Tahoma"/>
          <w:b/>
          <w:bCs/>
          <w:sz w:val="20"/>
          <w:szCs w:val="20"/>
        </w:rPr>
        <w:t>espèces</w:t>
      </w:r>
    </w:p>
    <w:p w14:paraId="5415E4B8" w14:textId="77777777" w:rsidR="008518B0" w:rsidRPr="00B004EE" w:rsidRDefault="008518B0" w:rsidP="00B004EE">
      <w:pPr>
        <w:pStyle w:val="article"/>
        <w:numPr>
          <w:ilvl w:val="0"/>
          <w:numId w:val="0"/>
        </w:numPr>
        <w:tabs>
          <w:tab w:val="left" w:pos="1200"/>
        </w:tabs>
        <w:spacing w:before="0" w:line="240" w:lineRule="auto"/>
        <w:jc w:val="center"/>
        <w:rPr>
          <w:rFonts w:ascii="Tahoma" w:hAnsi="Tahoma" w:cs="Tahoma"/>
          <w:b/>
          <w:bCs/>
          <w:sz w:val="20"/>
          <w:szCs w:val="20"/>
        </w:rPr>
      </w:pPr>
    </w:p>
    <w:p w14:paraId="66F455F6" w14:textId="76392DEB" w:rsidR="008518B0" w:rsidRPr="00B004EE" w:rsidRDefault="008518B0" w:rsidP="00B004EE">
      <w:pPr>
        <w:pStyle w:val="article"/>
        <w:numPr>
          <w:ilvl w:val="0"/>
          <w:numId w:val="0"/>
        </w:numPr>
        <w:tabs>
          <w:tab w:val="left" w:pos="1200"/>
        </w:tabs>
        <w:spacing w:before="0" w:line="240" w:lineRule="auto"/>
        <w:rPr>
          <w:rFonts w:ascii="Tahoma" w:hAnsi="Tahoma" w:cs="Tahoma"/>
          <w:sz w:val="20"/>
          <w:szCs w:val="20"/>
        </w:rPr>
      </w:pPr>
      <w:r w:rsidRPr="00B004EE">
        <w:rPr>
          <w:rFonts w:ascii="Tahoma" w:hAnsi="Tahoma" w:cs="Tahoma"/>
          <w:sz w:val="20"/>
          <w:szCs w:val="20"/>
        </w:rPr>
        <w:t>Article</w:t>
      </w:r>
      <w:r w:rsidR="00DB1635" w:rsidRPr="00B004EE">
        <w:rPr>
          <w:rFonts w:ascii="Tahoma" w:hAnsi="Tahoma" w:cs="Tahoma"/>
          <w:sz w:val="20"/>
          <w:szCs w:val="20"/>
        </w:rPr>
        <w:t xml:space="preserve"> </w:t>
      </w:r>
      <w:r w:rsidRPr="00B004EE">
        <w:rPr>
          <w:rFonts w:ascii="Tahoma" w:hAnsi="Tahoma" w:cs="Tahoma"/>
          <w:sz w:val="20"/>
          <w:szCs w:val="20"/>
        </w:rPr>
        <w:t>34</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dimensions</w:t>
      </w:r>
      <w:r w:rsidR="00DB1635" w:rsidRPr="00B004EE">
        <w:rPr>
          <w:rFonts w:ascii="Tahoma" w:hAnsi="Tahoma" w:cs="Tahoma"/>
          <w:sz w:val="20"/>
          <w:szCs w:val="20"/>
        </w:rPr>
        <w:t xml:space="preserve"> </w:t>
      </w:r>
      <w:r w:rsidRPr="00B004EE">
        <w:rPr>
          <w:rFonts w:ascii="Tahoma" w:hAnsi="Tahoma" w:cs="Tahoma"/>
          <w:sz w:val="20"/>
          <w:szCs w:val="20"/>
        </w:rPr>
        <w:t>minima</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espèces</w:t>
      </w:r>
      <w:r w:rsidR="00DB1635" w:rsidRPr="00B004EE">
        <w:rPr>
          <w:rFonts w:ascii="Tahoma" w:hAnsi="Tahoma" w:cs="Tahoma"/>
          <w:sz w:val="20"/>
          <w:szCs w:val="20"/>
        </w:rPr>
        <w:t xml:space="preserve"> </w:t>
      </w:r>
      <w:r w:rsidRPr="00B004EE">
        <w:rPr>
          <w:rFonts w:ascii="Tahoma" w:hAnsi="Tahoma" w:cs="Tahoma"/>
          <w:sz w:val="20"/>
          <w:szCs w:val="20"/>
        </w:rPr>
        <w:t>doivent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mesurées</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p>
    <w:p w14:paraId="4692A684" w14:textId="34CE7DBC" w:rsidR="008518B0" w:rsidRPr="00B004EE" w:rsidRDefault="008518B0" w:rsidP="00420DDA">
      <w:pPr>
        <w:pStyle w:val="Lgende"/>
        <w:numPr>
          <w:ilvl w:val="0"/>
          <w:numId w:val="68"/>
        </w:numPr>
        <w:rPr>
          <w:rFonts w:ascii="Tahoma" w:hAnsi="Tahoma" w:cs="Tahoma"/>
          <w:b w:val="0"/>
          <w:bCs w:val="0"/>
        </w:rPr>
      </w:pPr>
      <w:proofErr w:type="gramStart"/>
      <w:r w:rsidRPr="00B004EE">
        <w:rPr>
          <w:rFonts w:ascii="Tahoma" w:hAnsi="Tahoma" w:cs="Tahoma"/>
          <w:b w:val="0"/>
          <w:bCs w:val="0"/>
        </w:rPr>
        <w:t>pour</w:t>
      </w:r>
      <w:proofErr w:type="gramEnd"/>
      <w:r w:rsidR="00DB1635" w:rsidRPr="00B004EE">
        <w:rPr>
          <w:rFonts w:ascii="Tahoma" w:hAnsi="Tahoma" w:cs="Tahoma"/>
          <w:b w:val="0"/>
          <w:bCs w:val="0"/>
        </w:rPr>
        <w:t xml:space="preserve"> </w:t>
      </w:r>
      <w:r w:rsidRPr="00B004EE">
        <w:rPr>
          <w:rFonts w:ascii="Tahoma" w:hAnsi="Tahoma" w:cs="Tahoma"/>
          <w:b w:val="0"/>
          <w:bCs w:val="0"/>
        </w:rPr>
        <w:t>les</w:t>
      </w:r>
      <w:r w:rsidR="00DB1635" w:rsidRPr="00B004EE">
        <w:rPr>
          <w:rFonts w:ascii="Tahoma" w:hAnsi="Tahoma" w:cs="Tahoma"/>
          <w:b w:val="0"/>
          <w:bCs w:val="0"/>
        </w:rPr>
        <w:t xml:space="preserve"> </w:t>
      </w:r>
      <w:r w:rsidRPr="00B004EE">
        <w:rPr>
          <w:rFonts w:ascii="Tahoma" w:hAnsi="Tahoma" w:cs="Tahoma"/>
          <w:b w:val="0"/>
          <w:bCs w:val="0"/>
        </w:rPr>
        <w:t>poissons,</w:t>
      </w:r>
      <w:r w:rsidR="00DB1635" w:rsidRPr="00B004EE">
        <w:rPr>
          <w:rFonts w:ascii="Tahoma" w:hAnsi="Tahoma" w:cs="Tahoma"/>
          <w:b w:val="0"/>
          <w:bCs w:val="0"/>
        </w:rPr>
        <w:t xml:space="preserve"> </w:t>
      </w:r>
      <w:r w:rsidRPr="00B004EE">
        <w:rPr>
          <w:rFonts w:ascii="Tahoma" w:hAnsi="Tahoma" w:cs="Tahoma"/>
          <w:b w:val="0"/>
          <w:bCs w:val="0"/>
        </w:rPr>
        <w:t>du</w:t>
      </w:r>
      <w:r w:rsidR="00DB1635" w:rsidRPr="00B004EE">
        <w:rPr>
          <w:rFonts w:ascii="Tahoma" w:hAnsi="Tahoma" w:cs="Tahoma"/>
          <w:b w:val="0"/>
          <w:bCs w:val="0"/>
        </w:rPr>
        <w:t xml:space="preserve"> </w:t>
      </w:r>
      <w:r w:rsidRPr="00B004EE">
        <w:rPr>
          <w:rFonts w:ascii="Tahoma" w:hAnsi="Tahoma" w:cs="Tahoma"/>
          <w:b w:val="0"/>
          <w:bCs w:val="0"/>
        </w:rPr>
        <w:t>bout</w:t>
      </w:r>
      <w:r w:rsidR="00DB1635" w:rsidRPr="00B004EE">
        <w:rPr>
          <w:rFonts w:ascii="Tahoma" w:hAnsi="Tahoma" w:cs="Tahoma"/>
          <w:b w:val="0"/>
          <w:bCs w:val="0"/>
        </w:rPr>
        <w:t xml:space="preserve"> </w:t>
      </w:r>
      <w:r w:rsidRPr="00B004EE">
        <w:rPr>
          <w:rFonts w:ascii="Tahoma" w:hAnsi="Tahoma" w:cs="Tahoma"/>
          <w:b w:val="0"/>
          <w:bCs w:val="0"/>
        </w:rPr>
        <w:t>du</w:t>
      </w:r>
      <w:r w:rsidR="00DB1635" w:rsidRPr="00B004EE">
        <w:rPr>
          <w:rFonts w:ascii="Tahoma" w:hAnsi="Tahoma" w:cs="Tahoma"/>
          <w:b w:val="0"/>
          <w:bCs w:val="0"/>
        </w:rPr>
        <w:t xml:space="preserve"> </w:t>
      </w:r>
      <w:r w:rsidRPr="00B004EE">
        <w:rPr>
          <w:rFonts w:ascii="Tahoma" w:hAnsi="Tahoma" w:cs="Tahoma"/>
          <w:b w:val="0"/>
          <w:bCs w:val="0"/>
        </w:rPr>
        <w:t>museau</w:t>
      </w:r>
      <w:r w:rsidR="00DB1635" w:rsidRPr="00B004EE">
        <w:rPr>
          <w:rFonts w:ascii="Tahoma" w:hAnsi="Tahoma" w:cs="Tahoma"/>
          <w:b w:val="0"/>
          <w:bCs w:val="0"/>
        </w:rPr>
        <w:t xml:space="preserve"> </w:t>
      </w:r>
      <w:r w:rsidRPr="00B004EE">
        <w:rPr>
          <w:rFonts w:ascii="Tahoma" w:hAnsi="Tahoma" w:cs="Tahoma"/>
          <w:b w:val="0"/>
          <w:bCs w:val="0"/>
        </w:rPr>
        <w:t>à</w:t>
      </w:r>
      <w:r w:rsidR="00DB1635" w:rsidRPr="00B004EE">
        <w:rPr>
          <w:rFonts w:ascii="Tahoma" w:hAnsi="Tahoma" w:cs="Tahoma"/>
          <w:b w:val="0"/>
          <w:bCs w:val="0"/>
        </w:rPr>
        <w:t xml:space="preserve"> </w:t>
      </w:r>
      <w:r w:rsidRPr="00B004EE">
        <w:rPr>
          <w:rFonts w:ascii="Tahoma" w:hAnsi="Tahoma" w:cs="Tahoma"/>
          <w:b w:val="0"/>
          <w:bCs w:val="0"/>
        </w:rPr>
        <w:t>l’extrémité</w:t>
      </w:r>
      <w:r w:rsidR="00DB1635" w:rsidRPr="00B004EE">
        <w:rPr>
          <w:rFonts w:ascii="Tahoma" w:hAnsi="Tahoma" w:cs="Tahoma"/>
          <w:b w:val="0"/>
          <w:bCs w:val="0"/>
        </w:rPr>
        <w:t xml:space="preserve"> </w:t>
      </w:r>
      <w:r w:rsidRPr="00B004EE">
        <w:rPr>
          <w:rFonts w:ascii="Tahoma" w:hAnsi="Tahoma" w:cs="Tahoma"/>
          <w:b w:val="0"/>
          <w:bCs w:val="0"/>
        </w:rPr>
        <w:t>de</w:t>
      </w:r>
      <w:r w:rsidR="00DB1635" w:rsidRPr="00B004EE">
        <w:rPr>
          <w:rFonts w:ascii="Tahoma" w:hAnsi="Tahoma" w:cs="Tahoma"/>
          <w:b w:val="0"/>
          <w:bCs w:val="0"/>
        </w:rPr>
        <w:t xml:space="preserve"> </w:t>
      </w:r>
      <w:r w:rsidRPr="00B004EE">
        <w:rPr>
          <w:rFonts w:ascii="Tahoma" w:hAnsi="Tahoma" w:cs="Tahoma"/>
          <w:b w:val="0"/>
          <w:bCs w:val="0"/>
        </w:rPr>
        <w:t>la</w:t>
      </w:r>
      <w:r w:rsidR="00DB1635" w:rsidRPr="00B004EE">
        <w:rPr>
          <w:rFonts w:ascii="Tahoma" w:hAnsi="Tahoma" w:cs="Tahoma"/>
          <w:b w:val="0"/>
          <w:bCs w:val="0"/>
        </w:rPr>
        <w:t xml:space="preserve"> </w:t>
      </w:r>
      <w:r w:rsidRPr="00B004EE">
        <w:rPr>
          <w:rFonts w:ascii="Tahoma" w:hAnsi="Tahoma" w:cs="Tahoma"/>
          <w:b w:val="0"/>
          <w:bCs w:val="0"/>
        </w:rPr>
        <w:t>nageoire</w:t>
      </w:r>
      <w:r w:rsidR="00DB1635" w:rsidRPr="00B004EE">
        <w:rPr>
          <w:rFonts w:ascii="Tahoma" w:hAnsi="Tahoma" w:cs="Tahoma"/>
          <w:b w:val="0"/>
          <w:bCs w:val="0"/>
        </w:rPr>
        <w:t xml:space="preserve"> </w:t>
      </w:r>
      <w:r w:rsidRPr="00B004EE">
        <w:rPr>
          <w:rFonts w:ascii="Tahoma" w:hAnsi="Tahoma" w:cs="Tahoma"/>
          <w:b w:val="0"/>
          <w:bCs w:val="0"/>
        </w:rPr>
        <w:t>caudale</w:t>
      </w:r>
      <w:r w:rsidR="00DB1635" w:rsidRPr="00B004EE">
        <w:rPr>
          <w:rFonts w:ascii="Tahoma" w:hAnsi="Tahoma" w:cs="Tahoma"/>
          <w:b w:val="0"/>
          <w:bCs w:val="0"/>
        </w:rPr>
        <w:t xml:space="preserve"> </w:t>
      </w:r>
      <w:r w:rsidRPr="00B004EE">
        <w:rPr>
          <w:rFonts w:ascii="Tahoma" w:hAnsi="Tahoma" w:cs="Tahoma"/>
          <w:b w:val="0"/>
          <w:bCs w:val="0"/>
        </w:rPr>
        <w:t>(longueur</w:t>
      </w:r>
      <w:r w:rsidR="00DB1635" w:rsidRPr="00B004EE">
        <w:rPr>
          <w:rFonts w:ascii="Tahoma" w:hAnsi="Tahoma" w:cs="Tahoma"/>
          <w:b w:val="0"/>
          <w:bCs w:val="0"/>
        </w:rPr>
        <w:t xml:space="preserve"> </w:t>
      </w:r>
      <w:r w:rsidRPr="00B004EE">
        <w:rPr>
          <w:rFonts w:ascii="Tahoma" w:hAnsi="Tahoma" w:cs="Tahoma"/>
          <w:b w:val="0"/>
          <w:bCs w:val="0"/>
        </w:rPr>
        <w:t>totale)</w:t>
      </w:r>
      <w:r w:rsidR="00DB1635" w:rsidRPr="00B004EE">
        <w:rPr>
          <w:rFonts w:ascii="Tahoma" w:hAnsi="Tahoma" w:cs="Tahoma"/>
          <w:b w:val="0"/>
          <w:bCs w:val="0"/>
        </w:rPr>
        <w:t xml:space="preserve"> </w:t>
      </w:r>
      <w:r w:rsidRPr="00B004EE">
        <w:rPr>
          <w:rFonts w:ascii="Tahoma" w:hAnsi="Tahoma" w:cs="Tahoma"/>
          <w:b w:val="0"/>
          <w:bCs w:val="0"/>
        </w:rPr>
        <w:t>;</w:t>
      </w:r>
    </w:p>
    <w:p w14:paraId="030B023B" w14:textId="712E083E" w:rsidR="008518B0" w:rsidRPr="00B004EE" w:rsidRDefault="008518B0" w:rsidP="00420DDA">
      <w:pPr>
        <w:pStyle w:val="Lgende"/>
        <w:numPr>
          <w:ilvl w:val="0"/>
          <w:numId w:val="68"/>
        </w:numPr>
        <w:rPr>
          <w:rFonts w:ascii="Tahoma" w:hAnsi="Tahoma" w:cs="Tahoma"/>
          <w:b w:val="0"/>
          <w:bCs w:val="0"/>
        </w:rPr>
      </w:pPr>
      <w:proofErr w:type="gramStart"/>
      <w:r w:rsidRPr="00B004EE">
        <w:rPr>
          <w:rFonts w:ascii="Tahoma" w:hAnsi="Tahoma" w:cs="Tahoma"/>
          <w:b w:val="0"/>
          <w:bCs w:val="0"/>
        </w:rPr>
        <w:t>pour</w:t>
      </w:r>
      <w:proofErr w:type="gramEnd"/>
      <w:r w:rsidR="00DB1635" w:rsidRPr="00B004EE">
        <w:rPr>
          <w:rFonts w:ascii="Tahoma" w:hAnsi="Tahoma" w:cs="Tahoma"/>
          <w:b w:val="0"/>
          <w:bCs w:val="0"/>
        </w:rPr>
        <w:t xml:space="preserve"> </w:t>
      </w:r>
      <w:r w:rsidRPr="00B004EE">
        <w:rPr>
          <w:rFonts w:ascii="Tahoma" w:hAnsi="Tahoma" w:cs="Tahoma"/>
          <w:b w:val="0"/>
          <w:bCs w:val="0"/>
        </w:rPr>
        <w:t>les</w:t>
      </w:r>
      <w:r w:rsidR="00DB1635" w:rsidRPr="00B004EE">
        <w:rPr>
          <w:rFonts w:ascii="Tahoma" w:hAnsi="Tahoma" w:cs="Tahoma"/>
          <w:b w:val="0"/>
          <w:bCs w:val="0"/>
        </w:rPr>
        <w:t xml:space="preserve"> </w:t>
      </w:r>
      <w:r w:rsidRPr="00B004EE">
        <w:rPr>
          <w:rFonts w:ascii="Tahoma" w:hAnsi="Tahoma" w:cs="Tahoma"/>
          <w:b w:val="0"/>
          <w:bCs w:val="0"/>
        </w:rPr>
        <w:t>céphalopodes</w:t>
      </w:r>
      <w:r w:rsidR="00DB1635" w:rsidRPr="00B004EE">
        <w:rPr>
          <w:rFonts w:ascii="Tahoma" w:hAnsi="Tahoma" w:cs="Tahoma"/>
          <w:b w:val="0"/>
          <w:bCs w:val="0"/>
        </w:rPr>
        <w:t xml:space="preserve"> </w:t>
      </w:r>
      <w:r w:rsidRPr="00B004EE">
        <w:rPr>
          <w:rFonts w:ascii="Tahoma" w:hAnsi="Tahoma" w:cs="Tahoma"/>
          <w:b w:val="0"/>
          <w:bCs w:val="0"/>
        </w:rPr>
        <w:t>:</w:t>
      </w:r>
    </w:p>
    <w:p w14:paraId="5861309A" w14:textId="024426F0" w:rsidR="008518B0" w:rsidRPr="00B004EE" w:rsidRDefault="008518B0" w:rsidP="00420DDA">
      <w:pPr>
        <w:numPr>
          <w:ilvl w:val="0"/>
          <w:numId w:val="62"/>
        </w:numPr>
        <w:ind w:left="1134"/>
        <w:jc w:val="both"/>
        <w:rPr>
          <w:rFonts w:ascii="Tahoma" w:hAnsi="Tahoma" w:cs="Tahoma"/>
          <w:sz w:val="20"/>
          <w:szCs w:val="20"/>
        </w:rPr>
      </w:pPr>
      <w:proofErr w:type="gramStart"/>
      <w:r w:rsidRPr="00B004EE">
        <w:rPr>
          <w:rFonts w:ascii="Tahoma" w:hAnsi="Tahoma" w:cs="Tahoma"/>
          <w:sz w:val="20"/>
          <w:szCs w:val="20"/>
        </w:rPr>
        <w:t>pour</w:t>
      </w:r>
      <w:proofErr w:type="gramEnd"/>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poulpe,</w:t>
      </w:r>
      <w:r w:rsidR="00DB1635" w:rsidRPr="00B004EE">
        <w:rPr>
          <w:rFonts w:ascii="Tahoma" w:hAnsi="Tahoma" w:cs="Tahoma"/>
          <w:sz w:val="20"/>
          <w:szCs w:val="20"/>
        </w:rPr>
        <w:t xml:space="preserve"> </w:t>
      </w:r>
      <w:r w:rsidRPr="00B004EE">
        <w:rPr>
          <w:rFonts w:ascii="Tahoma" w:hAnsi="Tahoma" w:cs="Tahoma"/>
          <w:sz w:val="20"/>
          <w:szCs w:val="20"/>
        </w:rPr>
        <w:t>poids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l’individu</w:t>
      </w:r>
      <w:r w:rsidR="00DB1635" w:rsidRPr="00B004EE">
        <w:rPr>
          <w:rFonts w:ascii="Tahoma" w:hAnsi="Tahoma" w:cs="Tahoma"/>
          <w:sz w:val="20"/>
          <w:szCs w:val="20"/>
        </w:rPr>
        <w:t xml:space="preserve"> </w:t>
      </w:r>
      <w:r w:rsidRPr="00B004EE">
        <w:rPr>
          <w:rFonts w:ascii="Tahoma" w:hAnsi="Tahoma" w:cs="Tahoma"/>
          <w:sz w:val="20"/>
          <w:szCs w:val="20"/>
        </w:rPr>
        <w:t>éviscéré</w:t>
      </w:r>
    </w:p>
    <w:p w14:paraId="2392735E" w14:textId="75E4C83C" w:rsidR="008518B0" w:rsidRPr="00B004EE" w:rsidRDefault="008518B0" w:rsidP="00420DDA">
      <w:pPr>
        <w:numPr>
          <w:ilvl w:val="0"/>
          <w:numId w:val="62"/>
        </w:numPr>
        <w:ind w:left="1134"/>
        <w:jc w:val="both"/>
        <w:rPr>
          <w:rFonts w:ascii="Tahoma" w:hAnsi="Tahoma" w:cs="Tahoma"/>
          <w:sz w:val="20"/>
          <w:szCs w:val="20"/>
        </w:rPr>
      </w:pPr>
      <w:proofErr w:type="gramStart"/>
      <w:r w:rsidRPr="00B004EE">
        <w:rPr>
          <w:rFonts w:ascii="Tahoma" w:hAnsi="Tahoma" w:cs="Tahoma"/>
          <w:sz w:val="20"/>
          <w:szCs w:val="20"/>
        </w:rPr>
        <w:t>pour</w:t>
      </w:r>
      <w:proofErr w:type="gramEnd"/>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seiches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calamars,</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longueur</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manteau</w:t>
      </w:r>
      <w:r w:rsidR="00DB1635" w:rsidRPr="00B004EE">
        <w:rPr>
          <w:rFonts w:ascii="Tahoma" w:hAnsi="Tahoma" w:cs="Tahoma"/>
          <w:sz w:val="20"/>
          <w:szCs w:val="20"/>
        </w:rPr>
        <w:t xml:space="preserve"> </w:t>
      </w:r>
      <w:r w:rsidRPr="00B004EE">
        <w:rPr>
          <w:rFonts w:ascii="Tahoma" w:hAnsi="Tahoma" w:cs="Tahoma"/>
          <w:sz w:val="20"/>
          <w:szCs w:val="20"/>
        </w:rPr>
        <w:t>(corps</w:t>
      </w:r>
      <w:r w:rsidR="00DB1635" w:rsidRPr="00B004EE">
        <w:rPr>
          <w:rFonts w:ascii="Tahoma" w:hAnsi="Tahoma" w:cs="Tahoma"/>
          <w:sz w:val="20"/>
          <w:szCs w:val="20"/>
        </w:rPr>
        <w:t xml:space="preserve"> </w:t>
      </w:r>
      <w:r w:rsidRPr="00B004EE">
        <w:rPr>
          <w:rFonts w:ascii="Tahoma" w:hAnsi="Tahoma" w:cs="Tahoma"/>
          <w:sz w:val="20"/>
          <w:szCs w:val="20"/>
        </w:rPr>
        <w:t>sans</w:t>
      </w:r>
      <w:r w:rsidR="00DB1635" w:rsidRPr="00B004EE">
        <w:rPr>
          <w:rFonts w:ascii="Tahoma" w:hAnsi="Tahoma" w:cs="Tahoma"/>
          <w:sz w:val="20"/>
          <w:szCs w:val="20"/>
        </w:rPr>
        <w:t xml:space="preserve"> </w:t>
      </w:r>
      <w:r w:rsidRPr="00B004EE">
        <w:rPr>
          <w:rFonts w:ascii="Tahoma" w:hAnsi="Tahoma" w:cs="Tahoma"/>
          <w:sz w:val="20"/>
          <w:szCs w:val="20"/>
        </w:rPr>
        <w:t>tentacules)</w:t>
      </w:r>
      <w:r w:rsidR="00DB1635" w:rsidRPr="00B004EE">
        <w:rPr>
          <w:rFonts w:ascii="Tahoma" w:hAnsi="Tahoma" w:cs="Tahoma"/>
          <w:sz w:val="20"/>
          <w:szCs w:val="20"/>
        </w:rPr>
        <w:t xml:space="preserve"> </w:t>
      </w:r>
    </w:p>
    <w:p w14:paraId="4460AB73" w14:textId="5533F795" w:rsidR="008518B0" w:rsidRPr="00B004EE" w:rsidRDefault="008518B0" w:rsidP="00420DDA">
      <w:pPr>
        <w:numPr>
          <w:ilvl w:val="0"/>
          <w:numId w:val="62"/>
        </w:numPr>
        <w:ind w:left="1134"/>
        <w:jc w:val="both"/>
        <w:rPr>
          <w:rFonts w:ascii="Tahoma" w:hAnsi="Tahoma" w:cs="Tahoma"/>
          <w:sz w:val="20"/>
          <w:szCs w:val="20"/>
        </w:rPr>
      </w:pPr>
      <w:proofErr w:type="gramStart"/>
      <w:r w:rsidRPr="00B004EE">
        <w:rPr>
          <w:rFonts w:ascii="Tahoma" w:hAnsi="Tahoma" w:cs="Tahoma"/>
          <w:sz w:val="20"/>
          <w:szCs w:val="20"/>
        </w:rPr>
        <w:t>pour</w:t>
      </w:r>
      <w:proofErr w:type="gramEnd"/>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coquillages</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longueur</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coquille</w:t>
      </w:r>
      <w:r w:rsidR="00DB1635" w:rsidRPr="00B004EE">
        <w:rPr>
          <w:rFonts w:ascii="Tahoma" w:hAnsi="Tahoma" w:cs="Tahoma"/>
          <w:sz w:val="20"/>
          <w:szCs w:val="20"/>
        </w:rPr>
        <w:t xml:space="preserve"> </w:t>
      </w:r>
      <w:r w:rsidRPr="00B004EE">
        <w:rPr>
          <w:rFonts w:ascii="Tahoma" w:hAnsi="Tahoma" w:cs="Tahoma"/>
          <w:sz w:val="20"/>
          <w:szCs w:val="20"/>
        </w:rPr>
        <w:t>mesurée</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centimètre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l'aide</w:t>
      </w:r>
      <w:r w:rsidR="00DB1635" w:rsidRPr="00B004EE">
        <w:rPr>
          <w:rFonts w:ascii="Tahoma" w:hAnsi="Tahoma" w:cs="Tahoma"/>
          <w:sz w:val="20"/>
          <w:szCs w:val="20"/>
        </w:rPr>
        <w:t xml:space="preserve"> </w:t>
      </w:r>
      <w:r w:rsidRPr="00B004EE">
        <w:rPr>
          <w:rFonts w:ascii="Tahoma" w:hAnsi="Tahoma" w:cs="Tahoma"/>
          <w:sz w:val="20"/>
          <w:szCs w:val="20"/>
        </w:rPr>
        <w:t>d'un</w:t>
      </w:r>
      <w:r w:rsidR="00DB1635" w:rsidRPr="00B004EE">
        <w:rPr>
          <w:rFonts w:ascii="Tahoma" w:hAnsi="Tahoma" w:cs="Tahoma"/>
          <w:sz w:val="20"/>
          <w:szCs w:val="20"/>
        </w:rPr>
        <w:t xml:space="preserve"> </w:t>
      </w:r>
      <w:r w:rsidRPr="00B004EE">
        <w:rPr>
          <w:rFonts w:ascii="Tahoma" w:hAnsi="Tahoma" w:cs="Tahoma"/>
          <w:sz w:val="20"/>
          <w:szCs w:val="20"/>
        </w:rPr>
        <w:t>pied</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coulisse</w:t>
      </w:r>
      <w:r w:rsidR="00DB1635" w:rsidRPr="00B004EE">
        <w:rPr>
          <w:rFonts w:ascii="Tahoma" w:hAnsi="Tahoma" w:cs="Tahoma"/>
          <w:sz w:val="20"/>
          <w:szCs w:val="20"/>
        </w:rPr>
        <w:t xml:space="preserve"> </w:t>
      </w:r>
      <w:r w:rsidRPr="00B004EE">
        <w:rPr>
          <w:rFonts w:ascii="Tahoma" w:hAnsi="Tahoma" w:cs="Tahoma"/>
          <w:sz w:val="20"/>
          <w:szCs w:val="20"/>
        </w:rPr>
        <w:t>;</w:t>
      </w:r>
    </w:p>
    <w:p w14:paraId="4B9E2D7F" w14:textId="2C15D17F" w:rsidR="008518B0" w:rsidRPr="00B004EE" w:rsidRDefault="008518B0" w:rsidP="00420DDA">
      <w:pPr>
        <w:numPr>
          <w:ilvl w:val="0"/>
          <w:numId w:val="62"/>
        </w:numPr>
        <w:ind w:left="1134"/>
        <w:jc w:val="both"/>
        <w:rPr>
          <w:rFonts w:ascii="Tahoma" w:hAnsi="Tahoma" w:cs="Tahoma"/>
          <w:sz w:val="20"/>
          <w:szCs w:val="20"/>
        </w:rPr>
      </w:pPr>
      <w:proofErr w:type="gramStart"/>
      <w:r w:rsidRPr="00B004EE">
        <w:rPr>
          <w:rFonts w:ascii="Tahoma" w:hAnsi="Tahoma" w:cs="Tahoma"/>
          <w:sz w:val="20"/>
          <w:szCs w:val="20"/>
        </w:rPr>
        <w:t>pour</w:t>
      </w:r>
      <w:proofErr w:type="gramEnd"/>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crustacés,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base</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rostre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l'extrémité</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queue.</w:t>
      </w:r>
    </w:p>
    <w:p w14:paraId="0E444F5C" w14:textId="77777777" w:rsidR="008518B0" w:rsidRPr="00B004EE" w:rsidRDefault="008518B0" w:rsidP="00B004EE">
      <w:pPr>
        <w:ind w:left="1785"/>
        <w:jc w:val="both"/>
        <w:rPr>
          <w:rFonts w:ascii="Tahoma" w:hAnsi="Tahoma" w:cs="Tahoma"/>
          <w:sz w:val="20"/>
          <w:szCs w:val="20"/>
        </w:rPr>
      </w:pPr>
    </w:p>
    <w:p w14:paraId="6DA53750" w14:textId="76D3761F" w:rsidR="008518B0" w:rsidRPr="00B004EE" w:rsidRDefault="008518B0" w:rsidP="00B004EE">
      <w:pPr>
        <w:pStyle w:val="article"/>
        <w:numPr>
          <w:ilvl w:val="0"/>
          <w:numId w:val="0"/>
        </w:numPr>
        <w:spacing w:before="0" w:line="240" w:lineRule="auto"/>
        <w:rPr>
          <w:rFonts w:ascii="Tahoma" w:hAnsi="Tahoma" w:cs="Tahoma"/>
          <w:sz w:val="20"/>
          <w:szCs w:val="20"/>
        </w:rPr>
      </w:pP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pointe</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rostre</w:t>
      </w:r>
      <w:r w:rsidR="00DB1635" w:rsidRPr="00B004EE">
        <w:rPr>
          <w:rFonts w:ascii="Tahoma" w:hAnsi="Tahoma" w:cs="Tahoma"/>
          <w:sz w:val="20"/>
          <w:szCs w:val="20"/>
        </w:rPr>
        <w:t xml:space="preserve"> </w:t>
      </w:r>
      <w:r w:rsidRPr="00B004EE">
        <w:rPr>
          <w:rFonts w:ascii="Tahoma" w:hAnsi="Tahoma" w:cs="Tahoma"/>
          <w:sz w:val="20"/>
          <w:szCs w:val="20"/>
        </w:rPr>
        <w:t>désigne</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prolongement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carapace</w:t>
      </w:r>
      <w:r w:rsidR="00DB1635" w:rsidRPr="00B004EE">
        <w:rPr>
          <w:rFonts w:ascii="Tahoma" w:hAnsi="Tahoma" w:cs="Tahoma"/>
          <w:sz w:val="20"/>
          <w:szCs w:val="20"/>
        </w:rPr>
        <w:t xml:space="preserve"> </w:t>
      </w:r>
      <w:r w:rsidRPr="00B004EE">
        <w:rPr>
          <w:rFonts w:ascii="Tahoma" w:hAnsi="Tahoma" w:cs="Tahoma"/>
          <w:sz w:val="20"/>
          <w:szCs w:val="20"/>
        </w:rPr>
        <w:t>qui</w:t>
      </w:r>
      <w:r w:rsidR="00DB1635" w:rsidRPr="00B004EE">
        <w:rPr>
          <w:rFonts w:ascii="Tahoma" w:hAnsi="Tahoma" w:cs="Tahoma"/>
          <w:sz w:val="20"/>
          <w:szCs w:val="20"/>
        </w:rPr>
        <w:t xml:space="preserve"> </w:t>
      </w:r>
      <w:r w:rsidRPr="00B004EE">
        <w:rPr>
          <w:rFonts w:ascii="Tahoma" w:hAnsi="Tahoma" w:cs="Tahoma"/>
          <w:sz w:val="20"/>
          <w:szCs w:val="20"/>
        </w:rPr>
        <w:t>se</w:t>
      </w:r>
      <w:r w:rsidR="00DB1635" w:rsidRPr="00B004EE">
        <w:rPr>
          <w:rFonts w:ascii="Tahoma" w:hAnsi="Tahoma" w:cs="Tahoma"/>
          <w:sz w:val="20"/>
          <w:szCs w:val="20"/>
        </w:rPr>
        <w:t xml:space="preserve"> </w:t>
      </w:r>
      <w:r w:rsidRPr="00B004EE">
        <w:rPr>
          <w:rFonts w:ascii="Tahoma" w:hAnsi="Tahoma" w:cs="Tahoma"/>
          <w:sz w:val="20"/>
          <w:szCs w:val="20"/>
        </w:rPr>
        <w:t>trouve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partie</w:t>
      </w:r>
      <w:r w:rsidR="00DB1635" w:rsidRPr="00B004EE">
        <w:rPr>
          <w:rFonts w:ascii="Tahoma" w:hAnsi="Tahoma" w:cs="Tahoma"/>
          <w:sz w:val="20"/>
          <w:szCs w:val="20"/>
        </w:rPr>
        <w:t xml:space="preserve"> </w:t>
      </w:r>
      <w:r w:rsidRPr="00B004EE">
        <w:rPr>
          <w:rFonts w:ascii="Tahoma" w:hAnsi="Tahoma" w:cs="Tahoma"/>
          <w:sz w:val="20"/>
          <w:szCs w:val="20"/>
        </w:rPr>
        <w:t>antérieure</w:t>
      </w:r>
      <w:r w:rsidR="00DB1635" w:rsidRPr="00B004EE">
        <w:rPr>
          <w:rFonts w:ascii="Tahoma" w:hAnsi="Tahoma" w:cs="Tahoma"/>
          <w:sz w:val="20"/>
          <w:szCs w:val="20"/>
        </w:rPr>
        <w:t xml:space="preserve"> </w:t>
      </w:r>
      <w:r w:rsidRPr="00B004EE">
        <w:rPr>
          <w:rFonts w:ascii="Tahoma" w:hAnsi="Tahoma" w:cs="Tahoma"/>
          <w:sz w:val="20"/>
          <w:szCs w:val="20"/>
        </w:rPr>
        <w:t>médiane</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céphalothorax.</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langouste</w:t>
      </w:r>
      <w:r w:rsidR="00DB1635" w:rsidRPr="00B004EE">
        <w:rPr>
          <w:rFonts w:ascii="Tahoma" w:hAnsi="Tahoma" w:cs="Tahoma"/>
          <w:sz w:val="20"/>
          <w:szCs w:val="20"/>
        </w:rPr>
        <w:t xml:space="preserve"> </w:t>
      </w:r>
      <w:r w:rsidRPr="00B004EE">
        <w:rPr>
          <w:rFonts w:ascii="Tahoma" w:hAnsi="Tahoma" w:cs="Tahoma"/>
          <w:sz w:val="20"/>
          <w:szCs w:val="20"/>
        </w:rPr>
        <w:t>rose,</w:t>
      </w:r>
      <w:r w:rsidR="00DB1635" w:rsidRPr="00B004EE">
        <w:rPr>
          <w:rFonts w:ascii="Tahoma" w:hAnsi="Tahoma" w:cs="Tahoma"/>
          <w:sz w:val="20"/>
          <w:szCs w:val="20"/>
        </w:rPr>
        <w:t xml:space="preserve"> </w:t>
      </w:r>
      <w:r w:rsidRPr="00B004EE">
        <w:rPr>
          <w:rFonts w:ascii="Tahoma" w:hAnsi="Tahoma" w:cs="Tahoma"/>
          <w:sz w:val="20"/>
          <w:szCs w:val="20"/>
        </w:rPr>
        <w:t>c'est</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milieu</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partie</w:t>
      </w:r>
      <w:r w:rsidR="00DB1635" w:rsidRPr="00B004EE">
        <w:rPr>
          <w:rFonts w:ascii="Tahoma" w:hAnsi="Tahoma" w:cs="Tahoma"/>
          <w:sz w:val="20"/>
          <w:szCs w:val="20"/>
        </w:rPr>
        <w:t xml:space="preserve"> </w:t>
      </w:r>
      <w:r w:rsidRPr="00B004EE">
        <w:rPr>
          <w:rFonts w:ascii="Tahoma" w:hAnsi="Tahoma" w:cs="Tahoma"/>
          <w:sz w:val="20"/>
          <w:szCs w:val="20"/>
        </w:rPr>
        <w:t>concave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carapace</w:t>
      </w:r>
      <w:r w:rsidR="00DB1635" w:rsidRPr="00B004EE">
        <w:rPr>
          <w:rFonts w:ascii="Tahoma" w:hAnsi="Tahoma" w:cs="Tahoma"/>
          <w:sz w:val="20"/>
          <w:szCs w:val="20"/>
        </w:rPr>
        <w:t xml:space="preserve"> </w:t>
      </w:r>
      <w:r w:rsidRPr="00B004EE">
        <w:rPr>
          <w:rFonts w:ascii="Tahoma" w:hAnsi="Tahoma" w:cs="Tahoma"/>
          <w:sz w:val="20"/>
          <w:szCs w:val="20"/>
        </w:rPr>
        <w:t>située</w:t>
      </w:r>
      <w:r w:rsidR="00DB1635" w:rsidRPr="00B004EE">
        <w:rPr>
          <w:rFonts w:ascii="Tahoma" w:hAnsi="Tahoma" w:cs="Tahoma"/>
          <w:sz w:val="20"/>
          <w:szCs w:val="20"/>
        </w:rPr>
        <w:t xml:space="preserve"> </w:t>
      </w:r>
      <w:r w:rsidRPr="00B004EE">
        <w:rPr>
          <w:rFonts w:ascii="Tahoma" w:hAnsi="Tahoma" w:cs="Tahoma"/>
          <w:sz w:val="20"/>
          <w:szCs w:val="20"/>
        </w:rPr>
        <w:t>entre</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deux</w:t>
      </w:r>
      <w:r w:rsidR="00DB1635" w:rsidRPr="00B004EE">
        <w:rPr>
          <w:rFonts w:ascii="Tahoma" w:hAnsi="Tahoma" w:cs="Tahoma"/>
          <w:sz w:val="20"/>
          <w:szCs w:val="20"/>
        </w:rPr>
        <w:t xml:space="preserve"> </w:t>
      </w:r>
      <w:r w:rsidRPr="00B004EE">
        <w:rPr>
          <w:rFonts w:ascii="Tahoma" w:hAnsi="Tahoma" w:cs="Tahoma"/>
          <w:sz w:val="20"/>
          <w:szCs w:val="20"/>
        </w:rPr>
        <w:t>cornes</w:t>
      </w:r>
      <w:r w:rsidR="00DB1635" w:rsidRPr="00B004EE">
        <w:rPr>
          <w:rFonts w:ascii="Tahoma" w:hAnsi="Tahoma" w:cs="Tahoma"/>
          <w:sz w:val="20"/>
          <w:szCs w:val="20"/>
        </w:rPr>
        <w:t xml:space="preserve"> </w:t>
      </w:r>
      <w:r w:rsidRPr="00B004EE">
        <w:rPr>
          <w:rFonts w:ascii="Tahoma" w:hAnsi="Tahoma" w:cs="Tahoma"/>
          <w:sz w:val="20"/>
          <w:szCs w:val="20"/>
        </w:rPr>
        <w:t>frontales</w:t>
      </w:r>
      <w:r w:rsidR="00DB1635" w:rsidRPr="00B004EE">
        <w:rPr>
          <w:rFonts w:ascii="Tahoma" w:hAnsi="Tahoma" w:cs="Tahoma"/>
          <w:sz w:val="20"/>
          <w:szCs w:val="20"/>
        </w:rPr>
        <w:t xml:space="preserve"> </w:t>
      </w:r>
      <w:r w:rsidRPr="00B004EE">
        <w:rPr>
          <w:rFonts w:ascii="Tahoma" w:hAnsi="Tahoma" w:cs="Tahoma"/>
          <w:sz w:val="20"/>
          <w:szCs w:val="20"/>
        </w:rPr>
        <w:t>qui</w:t>
      </w:r>
      <w:r w:rsidR="00DB1635" w:rsidRPr="00B004EE">
        <w:rPr>
          <w:rFonts w:ascii="Tahoma" w:hAnsi="Tahoma" w:cs="Tahoma"/>
          <w:sz w:val="20"/>
          <w:szCs w:val="20"/>
        </w:rPr>
        <w:t xml:space="preserve"> </w:t>
      </w:r>
      <w:r w:rsidRPr="00B004EE">
        <w:rPr>
          <w:rFonts w:ascii="Tahoma" w:hAnsi="Tahoma" w:cs="Tahoma"/>
          <w:sz w:val="20"/>
          <w:szCs w:val="20"/>
        </w:rPr>
        <w:t>doit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choisi</w:t>
      </w:r>
      <w:r w:rsidR="00DB1635" w:rsidRPr="00B004EE">
        <w:rPr>
          <w:rFonts w:ascii="Tahoma" w:hAnsi="Tahoma" w:cs="Tahoma"/>
          <w:sz w:val="20"/>
          <w:szCs w:val="20"/>
        </w:rPr>
        <w:t xml:space="preserve"> </w:t>
      </w:r>
      <w:r w:rsidRPr="00B004EE">
        <w:rPr>
          <w:rFonts w:ascii="Tahoma" w:hAnsi="Tahoma" w:cs="Tahoma"/>
          <w:sz w:val="20"/>
          <w:szCs w:val="20"/>
        </w:rPr>
        <w:t>comme</w:t>
      </w:r>
      <w:r w:rsidR="00DB1635" w:rsidRPr="00B004EE">
        <w:rPr>
          <w:rFonts w:ascii="Tahoma" w:hAnsi="Tahoma" w:cs="Tahoma"/>
          <w:sz w:val="20"/>
          <w:szCs w:val="20"/>
        </w:rPr>
        <w:t xml:space="preserve"> </w:t>
      </w:r>
      <w:r w:rsidRPr="00B004EE">
        <w:rPr>
          <w:rFonts w:ascii="Tahoma" w:hAnsi="Tahoma" w:cs="Tahoma"/>
          <w:sz w:val="20"/>
          <w:szCs w:val="20"/>
        </w:rPr>
        <w:t>point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référence.</w:t>
      </w:r>
    </w:p>
    <w:p w14:paraId="7647EF6C" w14:textId="77777777" w:rsidR="008518B0" w:rsidRPr="00B004EE" w:rsidRDefault="008518B0" w:rsidP="00B004EE">
      <w:pPr>
        <w:pStyle w:val="article"/>
        <w:numPr>
          <w:ilvl w:val="0"/>
          <w:numId w:val="0"/>
        </w:numPr>
        <w:tabs>
          <w:tab w:val="left" w:pos="1200"/>
        </w:tabs>
        <w:spacing w:before="0" w:line="240" w:lineRule="auto"/>
        <w:rPr>
          <w:rFonts w:ascii="Tahoma" w:hAnsi="Tahoma" w:cs="Tahoma"/>
          <w:b/>
          <w:bCs/>
          <w:sz w:val="20"/>
          <w:szCs w:val="20"/>
          <w:u w:val="single"/>
        </w:rPr>
      </w:pPr>
    </w:p>
    <w:p w14:paraId="40B8E9B6" w14:textId="74A5BD9C" w:rsidR="008518B0" w:rsidRPr="00B004EE" w:rsidRDefault="008518B0" w:rsidP="00B004EE">
      <w:pPr>
        <w:pStyle w:val="article"/>
        <w:numPr>
          <w:ilvl w:val="0"/>
          <w:numId w:val="0"/>
        </w:numPr>
        <w:tabs>
          <w:tab w:val="left" w:pos="1200"/>
        </w:tabs>
        <w:spacing w:before="0" w:line="240" w:lineRule="auto"/>
        <w:rPr>
          <w:rFonts w:ascii="Tahoma" w:hAnsi="Tahoma" w:cs="Tahoma"/>
          <w:sz w:val="20"/>
          <w:szCs w:val="20"/>
        </w:rPr>
      </w:pPr>
      <w:r w:rsidRPr="00B004EE">
        <w:rPr>
          <w:rFonts w:ascii="Tahoma" w:hAnsi="Tahoma" w:cs="Tahoma"/>
          <w:sz w:val="20"/>
          <w:szCs w:val="20"/>
        </w:rPr>
        <w:t>Article</w:t>
      </w:r>
      <w:r w:rsidR="00DB1635" w:rsidRPr="00B004EE">
        <w:rPr>
          <w:rFonts w:ascii="Tahoma" w:hAnsi="Tahoma" w:cs="Tahoma"/>
          <w:sz w:val="20"/>
          <w:szCs w:val="20"/>
        </w:rPr>
        <w:t xml:space="preserve"> </w:t>
      </w:r>
      <w:r w:rsidRPr="00B004EE">
        <w:rPr>
          <w:rFonts w:ascii="Tahoma" w:hAnsi="Tahoma" w:cs="Tahoma"/>
          <w:sz w:val="20"/>
          <w:szCs w:val="20"/>
        </w:rPr>
        <w:t>35</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tailles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poids</w:t>
      </w:r>
      <w:r w:rsidR="00DB1635" w:rsidRPr="00B004EE">
        <w:rPr>
          <w:rFonts w:ascii="Tahoma" w:hAnsi="Tahoma" w:cs="Tahoma"/>
          <w:sz w:val="20"/>
          <w:szCs w:val="20"/>
        </w:rPr>
        <w:t xml:space="preserve"> </w:t>
      </w:r>
      <w:r w:rsidRPr="00B004EE">
        <w:rPr>
          <w:rFonts w:ascii="Tahoma" w:hAnsi="Tahoma" w:cs="Tahoma"/>
          <w:sz w:val="20"/>
          <w:szCs w:val="20"/>
        </w:rPr>
        <w:t>minima</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poissons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mer,</w:t>
      </w:r>
      <w:r w:rsidR="00DB1635" w:rsidRPr="00B004EE">
        <w:rPr>
          <w:rFonts w:ascii="Tahoma" w:hAnsi="Tahoma" w:cs="Tahoma"/>
          <w:sz w:val="20"/>
          <w:szCs w:val="20"/>
        </w:rPr>
        <w:t xml:space="preserve"> </w:t>
      </w:r>
      <w:r w:rsidRPr="00B004EE">
        <w:rPr>
          <w:rFonts w:ascii="Tahoma" w:hAnsi="Tahoma" w:cs="Tahoma"/>
          <w:sz w:val="20"/>
          <w:szCs w:val="20"/>
        </w:rPr>
        <w:t>céphalopodes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crustacés</w:t>
      </w:r>
      <w:r w:rsidR="00DB1635" w:rsidRPr="00B004EE">
        <w:rPr>
          <w:rFonts w:ascii="Tahoma" w:hAnsi="Tahoma" w:cs="Tahoma"/>
          <w:sz w:val="20"/>
          <w:szCs w:val="20"/>
        </w:rPr>
        <w:t xml:space="preserve"> </w:t>
      </w:r>
      <w:r w:rsidRPr="00B004EE">
        <w:rPr>
          <w:rFonts w:ascii="Tahoma" w:hAnsi="Tahoma" w:cs="Tahoma"/>
          <w:sz w:val="20"/>
          <w:szCs w:val="20"/>
        </w:rPr>
        <w:t>dont</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autorisée</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p>
    <w:p w14:paraId="10EABF1D" w14:textId="77777777" w:rsidR="008518B0" w:rsidRPr="00B004EE" w:rsidRDefault="008518B0" w:rsidP="00B004EE">
      <w:pPr>
        <w:pStyle w:val="article"/>
        <w:numPr>
          <w:ilvl w:val="0"/>
          <w:numId w:val="0"/>
        </w:numPr>
        <w:tabs>
          <w:tab w:val="left" w:pos="1200"/>
        </w:tabs>
        <w:spacing w:before="0" w:line="240" w:lineRule="auto"/>
        <w:rPr>
          <w:rFonts w:ascii="Tahoma" w:hAnsi="Tahoma" w:cs="Tahoma"/>
          <w:sz w:val="20"/>
          <w:szCs w:val="20"/>
        </w:rPr>
      </w:pPr>
    </w:p>
    <w:p w14:paraId="18B286C4" w14:textId="4CFD7BAA" w:rsidR="008518B0" w:rsidRPr="00B004EE" w:rsidRDefault="008518B0" w:rsidP="00420DDA">
      <w:pPr>
        <w:pStyle w:val="Paragraphedeliste"/>
        <w:numPr>
          <w:ilvl w:val="0"/>
          <w:numId w:val="69"/>
        </w:numPr>
        <w:tabs>
          <w:tab w:val="left" w:pos="8080"/>
          <w:tab w:val="center" w:leader="dot" w:pos="8364"/>
        </w:tabs>
        <w:jc w:val="both"/>
        <w:rPr>
          <w:rFonts w:ascii="Tahoma" w:hAnsi="Tahoma" w:cs="Tahoma"/>
          <w:b/>
          <w:bCs/>
          <w:i/>
          <w:iCs/>
          <w:sz w:val="20"/>
          <w:szCs w:val="20"/>
        </w:rPr>
      </w:pPr>
      <w:r w:rsidRPr="00B004EE">
        <w:rPr>
          <w:rFonts w:ascii="Tahoma" w:hAnsi="Tahoma" w:cs="Tahoma"/>
          <w:b/>
          <w:bCs/>
          <w:i/>
          <w:iCs/>
          <w:sz w:val="20"/>
          <w:szCs w:val="20"/>
        </w:rPr>
        <w:t>Pour</w:t>
      </w:r>
      <w:r w:rsidR="00DB1635" w:rsidRPr="00B004EE">
        <w:rPr>
          <w:rFonts w:ascii="Tahoma" w:hAnsi="Tahoma" w:cs="Tahoma"/>
          <w:b/>
          <w:bCs/>
          <w:i/>
          <w:iCs/>
          <w:sz w:val="20"/>
          <w:szCs w:val="20"/>
        </w:rPr>
        <w:t xml:space="preserve"> </w:t>
      </w:r>
      <w:r w:rsidRPr="00B004EE">
        <w:rPr>
          <w:rFonts w:ascii="Tahoma" w:hAnsi="Tahoma" w:cs="Tahoma"/>
          <w:b/>
          <w:bCs/>
          <w:i/>
          <w:iCs/>
          <w:sz w:val="20"/>
          <w:szCs w:val="20"/>
        </w:rPr>
        <w:t>les</w:t>
      </w:r>
      <w:r w:rsidR="00DB1635" w:rsidRPr="00B004EE">
        <w:rPr>
          <w:rFonts w:ascii="Tahoma" w:hAnsi="Tahoma" w:cs="Tahoma"/>
          <w:b/>
          <w:bCs/>
          <w:i/>
          <w:iCs/>
          <w:sz w:val="20"/>
          <w:szCs w:val="20"/>
        </w:rPr>
        <w:t xml:space="preserve"> </w:t>
      </w:r>
      <w:r w:rsidRPr="00B004EE">
        <w:rPr>
          <w:rFonts w:ascii="Tahoma" w:hAnsi="Tahoma" w:cs="Tahoma"/>
          <w:b/>
          <w:bCs/>
          <w:i/>
          <w:iCs/>
          <w:sz w:val="20"/>
          <w:szCs w:val="20"/>
        </w:rPr>
        <w:t>poissons</w:t>
      </w:r>
      <w:r w:rsidR="00DB1635" w:rsidRPr="00B004EE">
        <w:rPr>
          <w:rFonts w:ascii="Tahoma" w:hAnsi="Tahoma" w:cs="Tahoma"/>
          <w:b/>
          <w:bCs/>
          <w:i/>
          <w:iCs/>
          <w:sz w:val="20"/>
          <w:szCs w:val="20"/>
        </w:rPr>
        <w:t xml:space="preserve"> </w:t>
      </w:r>
      <w:r w:rsidRPr="00B004EE">
        <w:rPr>
          <w:rFonts w:ascii="Tahoma" w:hAnsi="Tahoma" w:cs="Tahoma"/>
          <w:b/>
          <w:bCs/>
          <w:i/>
          <w:iCs/>
          <w:sz w:val="20"/>
          <w:szCs w:val="20"/>
        </w:rPr>
        <w:t>de</w:t>
      </w:r>
      <w:r w:rsidR="00DB1635" w:rsidRPr="00B004EE">
        <w:rPr>
          <w:rFonts w:ascii="Tahoma" w:hAnsi="Tahoma" w:cs="Tahoma"/>
          <w:b/>
          <w:bCs/>
          <w:i/>
          <w:iCs/>
          <w:sz w:val="20"/>
          <w:szCs w:val="20"/>
        </w:rPr>
        <w:t xml:space="preserve"> </w:t>
      </w:r>
      <w:r w:rsidRPr="00B004EE">
        <w:rPr>
          <w:rFonts w:ascii="Tahoma" w:hAnsi="Tahoma" w:cs="Tahoma"/>
          <w:b/>
          <w:bCs/>
          <w:i/>
          <w:iCs/>
          <w:sz w:val="20"/>
          <w:szCs w:val="20"/>
        </w:rPr>
        <w:t>mer</w:t>
      </w:r>
      <w:r w:rsidR="00DB1635" w:rsidRPr="00B004EE">
        <w:rPr>
          <w:rFonts w:ascii="Tahoma" w:hAnsi="Tahoma" w:cs="Tahoma"/>
          <w:b/>
          <w:bCs/>
          <w:i/>
          <w:iCs/>
          <w:sz w:val="20"/>
          <w:szCs w:val="20"/>
        </w:rPr>
        <w:t xml:space="preserve"> </w:t>
      </w:r>
      <w:r w:rsidRPr="00B004EE">
        <w:rPr>
          <w:rFonts w:ascii="Tahoma" w:hAnsi="Tahoma" w:cs="Tahoma"/>
          <w:b/>
          <w:bCs/>
          <w:i/>
          <w:iCs/>
          <w:sz w:val="20"/>
          <w:szCs w:val="20"/>
        </w:rPr>
        <w:t>:</w:t>
      </w:r>
      <w:r w:rsidR="00DB1635" w:rsidRPr="00B004EE">
        <w:rPr>
          <w:rFonts w:ascii="Tahoma" w:hAnsi="Tahoma" w:cs="Tahoma"/>
          <w:b/>
          <w:bCs/>
          <w:i/>
          <w:iCs/>
          <w:sz w:val="20"/>
          <w:szCs w:val="20"/>
        </w:rPr>
        <w:t xml:space="preserve"> </w:t>
      </w:r>
    </w:p>
    <w:p w14:paraId="13E8CEC5" w14:textId="755FDBE7" w:rsidR="008518B0" w:rsidRPr="00B004EE" w:rsidRDefault="008518B0" w:rsidP="00420DDA">
      <w:pPr>
        <w:numPr>
          <w:ilvl w:val="0"/>
          <w:numId w:val="51"/>
        </w:numPr>
        <w:tabs>
          <w:tab w:val="clear" w:pos="1065"/>
          <w:tab w:val="num" w:pos="567"/>
          <w:tab w:val="center" w:leader="dot" w:pos="8364"/>
        </w:tabs>
        <w:ind w:left="567"/>
        <w:jc w:val="both"/>
        <w:rPr>
          <w:rFonts w:ascii="Tahoma" w:hAnsi="Tahoma" w:cs="Tahoma"/>
          <w:sz w:val="20"/>
          <w:szCs w:val="20"/>
        </w:rPr>
      </w:pPr>
      <w:r w:rsidRPr="00B004EE">
        <w:rPr>
          <w:rFonts w:ascii="Tahoma" w:hAnsi="Tahoma" w:cs="Tahoma"/>
          <w:sz w:val="20"/>
          <w:szCs w:val="20"/>
        </w:rPr>
        <w:t>Sardinelle</w:t>
      </w:r>
      <w:r w:rsidR="00DB1635" w:rsidRPr="00B004EE">
        <w:rPr>
          <w:rFonts w:ascii="Tahoma" w:hAnsi="Tahoma" w:cs="Tahoma"/>
          <w:sz w:val="20"/>
          <w:szCs w:val="20"/>
        </w:rPr>
        <w:t xml:space="preserve"> </w:t>
      </w:r>
      <w:r w:rsidRPr="00B004EE">
        <w:rPr>
          <w:rFonts w:ascii="Tahoma" w:hAnsi="Tahoma" w:cs="Tahoma"/>
          <w:sz w:val="20"/>
          <w:szCs w:val="20"/>
        </w:rPr>
        <w:t>(S</w:t>
      </w:r>
      <w:r w:rsidRPr="00B004EE">
        <w:rPr>
          <w:rFonts w:ascii="Tahoma" w:hAnsi="Tahoma" w:cs="Tahoma"/>
          <w:i/>
          <w:sz w:val="20"/>
          <w:szCs w:val="20"/>
        </w:rPr>
        <w:t>ardinella</w:t>
      </w:r>
      <w:r w:rsidR="00DB1635" w:rsidRPr="00B004EE">
        <w:rPr>
          <w:rFonts w:ascii="Tahoma" w:hAnsi="Tahoma" w:cs="Tahoma"/>
          <w:i/>
          <w:sz w:val="20"/>
          <w:szCs w:val="20"/>
        </w:rPr>
        <w:t xml:space="preserve"> </w:t>
      </w:r>
      <w:r w:rsidRPr="00B004EE">
        <w:rPr>
          <w:rFonts w:ascii="Tahoma" w:hAnsi="Tahoma" w:cs="Tahoma"/>
          <w:i/>
          <w:sz w:val="20"/>
          <w:szCs w:val="20"/>
        </w:rPr>
        <w:t>aurita</w:t>
      </w:r>
      <w:r w:rsidR="00DB1635" w:rsidRPr="00B004EE">
        <w:rPr>
          <w:rFonts w:ascii="Tahoma" w:hAnsi="Tahoma" w:cs="Tahoma"/>
          <w:i/>
          <w:sz w:val="20"/>
          <w:szCs w:val="20"/>
        </w:rPr>
        <w:t xml:space="preserve"> </w:t>
      </w:r>
      <w:r w:rsidRPr="00B004EE">
        <w:rPr>
          <w:rFonts w:ascii="Tahoma" w:hAnsi="Tahoma" w:cs="Tahoma"/>
          <w:i/>
          <w:sz w:val="20"/>
          <w:szCs w:val="20"/>
        </w:rPr>
        <w:t>et</w:t>
      </w:r>
      <w:r w:rsidR="00DB1635" w:rsidRPr="00B004EE">
        <w:rPr>
          <w:rFonts w:ascii="Tahoma" w:hAnsi="Tahoma" w:cs="Tahoma"/>
          <w:i/>
          <w:sz w:val="20"/>
          <w:szCs w:val="20"/>
        </w:rPr>
        <w:t xml:space="preserve"> </w:t>
      </w:r>
      <w:r w:rsidRPr="00B004EE">
        <w:rPr>
          <w:rFonts w:ascii="Tahoma" w:hAnsi="Tahoma" w:cs="Tahoma"/>
          <w:i/>
          <w:sz w:val="20"/>
          <w:szCs w:val="20"/>
        </w:rPr>
        <w:t>Sardinella</w:t>
      </w:r>
      <w:r w:rsidR="00DB1635" w:rsidRPr="00B004EE">
        <w:rPr>
          <w:rFonts w:ascii="Tahoma" w:hAnsi="Tahoma" w:cs="Tahoma"/>
          <w:i/>
          <w:sz w:val="20"/>
          <w:szCs w:val="20"/>
        </w:rPr>
        <w:t xml:space="preserve"> </w:t>
      </w:r>
      <w:r w:rsidRPr="00B004EE">
        <w:rPr>
          <w:rFonts w:ascii="Tahoma" w:hAnsi="Tahoma" w:cs="Tahoma"/>
          <w:i/>
          <w:sz w:val="20"/>
          <w:szCs w:val="20"/>
        </w:rPr>
        <w:t>maderensis)</w:t>
      </w:r>
      <w:r w:rsidRPr="00B004EE">
        <w:rPr>
          <w:rFonts w:ascii="Tahoma" w:hAnsi="Tahoma" w:cs="Tahoma"/>
          <w:sz w:val="20"/>
          <w:szCs w:val="20"/>
        </w:rPr>
        <w:tab/>
        <w:t>18</w:t>
      </w:r>
      <w:r w:rsidR="00DB1635" w:rsidRPr="00B004EE">
        <w:rPr>
          <w:rFonts w:ascii="Tahoma" w:hAnsi="Tahoma" w:cs="Tahoma"/>
          <w:sz w:val="20"/>
          <w:szCs w:val="20"/>
        </w:rPr>
        <w:t xml:space="preserve"> </w:t>
      </w:r>
      <w:r w:rsidRPr="00B004EE">
        <w:rPr>
          <w:rFonts w:ascii="Tahoma" w:hAnsi="Tahoma" w:cs="Tahoma"/>
          <w:sz w:val="20"/>
          <w:szCs w:val="20"/>
        </w:rPr>
        <w:t>cm</w:t>
      </w:r>
    </w:p>
    <w:p w14:paraId="65510C91" w14:textId="1D0569F1" w:rsidR="008518B0" w:rsidRPr="00B004EE" w:rsidRDefault="008518B0" w:rsidP="00420DDA">
      <w:pPr>
        <w:numPr>
          <w:ilvl w:val="0"/>
          <w:numId w:val="51"/>
        </w:numPr>
        <w:tabs>
          <w:tab w:val="clear" w:pos="1065"/>
          <w:tab w:val="num" w:pos="567"/>
          <w:tab w:val="center" w:leader="dot" w:pos="8364"/>
        </w:tabs>
        <w:ind w:left="567"/>
        <w:jc w:val="both"/>
        <w:rPr>
          <w:rFonts w:ascii="Tahoma" w:hAnsi="Tahoma" w:cs="Tahoma"/>
          <w:sz w:val="20"/>
          <w:szCs w:val="20"/>
        </w:rPr>
      </w:pPr>
      <w:r w:rsidRPr="00B004EE">
        <w:rPr>
          <w:rFonts w:ascii="Tahoma" w:hAnsi="Tahoma" w:cs="Tahoma"/>
          <w:sz w:val="20"/>
          <w:szCs w:val="20"/>
        </w:rPr>
        <w:t>Sardine</w:t>
      </w:r>
      <w:r w:rsidR="00DB1635" w:rsidRPr="00B004EE">
        <w:rPr>
          <w:rFonts w:ascii="Tahoma" w:hAnsi="Tahoma" w:cs="Tahoma"/>
          <w:sz w:val="20"/>
          <w:szCs w:val="20"/>
        </w:rPr>
        <w:t xml:space="preserve"> </w:t>
      </w:r>
      <w:r w:rsidRPr="00B004EE">
        <w:rPr>
          <w:rFonts w:ascii="Tahoma" w:hAnsi="Tahoma" w:cs="Tahoma"/>
          <w:sz w:val="20"/>
          <w:szCs w:val="20"/>
        </w:rPr>
        <w:t>(</w:t>
      </w:r>
      <w:r w:rsidRPr="00B004EE">
        <w:rPr>
          <w:rFonts w:ascii="Tahoma" w:hAnsi="Tahoma" w:cs="Tahoma"/>
          <w:i/>
          <w:sz w:val="20"/>
          <w:szCs w:val="20"/>
        </w:rPr>
        <w:t>Sardina</w:t>
      </w:r>
      <w:r w:rsidR="00DB1635" w:rsidRPr="00B004EE">
        <w:rPr>
          <w:rFonts w:ascii="Tahoma" w:hAnsi="Tahoma" w:cs="Tahoma"/>
          <w:i/>
          <w:sz w:val="20"/>
          <w:szCs w:val="20"/>
        </w:rPr>
        <w:t xml:space="preserve"> </w:t>
      </w:r>
      <w:r w:rsidRPr="00B004EE">
        <w:rPr>
          <w:rFonts w:ascii="Tahoma" w:hAnsi="Tahoma" w:cs="Tahoma"/>
          <w:i/>
          <w:sz w:val="20"/>
          <w:szCs w:val="20"/>
        </w:rPr>
        <w:t>pilchardus</w:t>
      </w:r>
      <w:r w:rsidRPr="00B004EE">
        <w:rPr>
          <w:rFonts w:ascii="Tahoma" w:hAnsi="Tahoma" w:cs="Tahoma"/>
          <w:sz w:val="20"/>
          <w:szCs w:val="20"/>
        </w:rPr>
        <w:t>)</w:t>
      </w:r>
      <w:r w:rsidRPr="00B004EE">
        <w:rPr>
          <w:rFonts w:ascii="Tahoma" w:hAnsi="Tahoma" w:cs="Tahoma"/>
          <w:sz w:val="20"/>
          <w:szCs w:val="20"/>
        </w:rPr>
        <w:tab/>
        <w:t>16</w:t>
      </w:r>
      <w:r w:rsidR="00DB1635" w:rsidRPr="00B004EE">
        <w:rPr>
          <w:rFonts w:ascii="Tahoma" w:hAnsi="Tahoma" w:cs="Tahoma"/>
          <w:sz w:val="20"/>
          <w:szCs w:val="20"/>
        </w:rPr>
        <w:t xml:space="preserve"> </w:t>
      </w:r>
      <w:r w:rsidRPr="00B004EE">
        <w:rPr>
          <w:rFonts w:ascii="Tahoma" w:hAnsi="Tahoma" w:cs="Tahoma"/>
          <w:sz w:val="20"/>
          <w:szCs w:val="20"/>
        </w:rPr>
        <w:t>cm</w:t>
      </w:r>
    </w:p>
    <w:p w14:paraId="715C0EEF" w14:textId="0730F91C" w:rsidR="008518B0" w:rsidRPr="00B004EE" w:rsidRDefault="008518B0" w:rsidP="00420DDA">
      <w:pPr>
        <w:numPr>
          <w:ilvl w:val="0"/>
          <w:numId w:val="51"/>
        </w:numPr>
        <w:tabs>
          <w:tab w:val="clear" w:pos="1065"/>
          <w:tab w:val="num" w:pos="567"/>
          <w:tab w:val="center" w:leader="dot" w:pos="8364"/>
        </w:tabs>
        <w:ind w:left="567"/>
        <w:jc w:val="both"/>
        <w:rPr>
          <w:rFonts w:ascii="Tahoma" w:hAnsi="Tahoma" w:cs="Tahoma"/>
          <w:sz w:val="20"/>
          <w:szCs w:val="20"/>
        </w:rPr>
      </w:pPr>
      <w:r w:rsidRPr="00B004EE">
        <w:rPr>
          <w:rFonts w:ascii="Tahoma" w:hAnsi="Tahoma" w:cs="Tahoma"/>
          <w:sz w:val="20"/>
          <w:szCs w:val="20"/>
        </w:rPr>
        <w:t>Chinchard</w:t>
      </w:r>
      <w:r w:rsidR="00DB1635" w:rsidRPr="00B004EE">
        <w:rPr>
          <w:rFonts w:ascii="Tahoma" w:hAnsi="Tahoma" w:cs="Tahoma"/>
          <w:sz w:val="20"/>
          <w:szCs w:val="20"/>
        </w:rPr>
        <w:t xml:space="preserve"> </w:t>
      </w:r>
      <w:r w:rsidRPr="00B004EE">
        <w:rPr>
          <w:rFonts w:ascii="Tahoma" w:hAnsi="Tahoma" w:cs="Tahoma"/>
          <w:sz w:val="20"/>
          <w:szCs w:val="20"/>
        </w:rPr>
        <w:t>d'Europe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Chinchard</w:t>
      </w:r>
      <w:r w:rsidR="00DB1635" w:rsidRPr="00B004EE">
        <w:rPr>
          <w:rFonts w:ascii="Tahoma" w:hAnsi="Tahoma" w:cs="Tahoma"/>
          <w:sz w:val="20"/>
          <w:szCs w:val="20"/>
        </w:rPr>
        <w:t xml:space="preserve"> </w:t>
      </w:r>
      <w:r w:rsidRPr="00B004EE">
        <w:rPr>
          <w:rFonts w:ascii="Tahoma" w:hAnsi="Tahoma" w:cs="Tahoma"/>
          <w:sz w:val="20"/>
          <w:szCs w:val="20"/>
        </w:rPr>
        <w:t>Noir</w:t>
      </w:r>
      <w:r w:rsidR="00DB1635" w:rsidRPr="00B004EE">
        <w:rPr>
          <w:rFonts w:ascii="Tahoma" w:hAnsi="Tahoma" w:cs="Tahoma"/>
          <w:sz w:val="20"/>
          <w:szCs w:val="20"/>
        </w:rPr>
        <w:t xml:space="preserve"> </w:t>
      </w:r>
      <w:r w:rsidRPr="00B004EE">
        <w:rPr>
          <w:rFonts w:ascii="Tahoma" w:hAnsi="Tahoma" w:cs="Tahoma"/>
          <w:sz w:val="20"/>
          <w:szCs w:val="20"/>
        </w:rPr>
        <w:t>Africain</w:t>
      </w:r>
      <w:r w:rsidR="00DB1635" w:rsidRPr="00B004EE">
        <w:rPr>
          <w:rFonts w:ascii="Tahoma" w:hAnsi="Tahoma" w:cs="Tahoma"/>
          <w:sz w:val="20"/>
          <w:szCs w:val="20"/>
        </w:rPr>
        <w:t xml:space="preserve"> </w:t>
      </w:r>
      <w:r w:rsidRPr="00B004EE">
        <w:rPr>
          <w:rFonts w:ascii="Tahoma" w:hAnsi="Tahoma" w:cs="Tahoma"/>
          <w:sz w:val="20"/>
          <w:szCs w:val="20"/>
        </w:rPr>
        <w:t>(</w:t>
      </w:r>
      <w:r w:rsidRPr="00B004EE">
        <w:rPr>
          <w:rFonts w:ascii="Tahoma" w:hAnsi="Tahoma" w:cs="Tahoma"/>
          <w:i/>
          <w:sz w:val="20"/>
          <w:szCs w:val="20"/>
        </w:rPr>
        <w:t>Trachurus</w:t>
      </w:r>
      <w:r w:rsidR="00DB1635" w:rsidRPr="00B004EE">
        <w:rPr>
          <w:rFonts w:ascii="Tahoma" w:hAnsi="Tahoma" w:cs="Tahoma"/>
          <w:i/>
          <w:sz w:val="20"/>
          <w:szCs w:val="20"/>
        </w:rPr>
        <w:t xml:space="preserve"> </w:t>
      </w:r>
      <w:r w:rsidRPr="00B004EE">
        <w:rPr>
          <w:rFonts w:ascii="Tahoma" w:hAnsi="Tahoma" w:cs="Tahoma"/>
          <w:i/>
          <w:sz w:val="20"/>
          <w:szCs w:val="20"/>
        </w:rPr>
        <w:t>Spp)</w:t>
      </w:r>
      <w:r w:rsidRPr="00B004EE">
        <w:rPr>
          <w:rFonts w:ascii="Tahoma" w:hAnsi="Tahoma" w:cs="Tahoma"/>
          <w:sz w:val="20"/>
          <w:szCs w:val="20"/>
        </w:rPr>
        <w:tab/>
        <w:t>19</w:t>
      </w:r>
      <w:r w:rsidR="00DB1635" w:rsidRPr="00B004EE">
        <w:rPr>
          <w:rFonts w:ascii="Tahoma" w:hAnsi="Tahoma" w:cs="Tahoma"/>
          <w:sz w:val="20"/>
          <w:szCs w:val="20"/>
        </w:rPr>
        <w:t xml:space="preserve"> </w:t>
      </w:r>
      <w:r w:rsidRPr="00B004EE">
        <w:rPr>
          <w:rFonts w:ascii="Tahoma" w:hAnsi="Tahoma" w:cs="Tahoma"/>
          <w:sz w:val="20"/>
          <w:szCs w:val="20"/>
        </w:rPr>
        <w:t>cm</w:t>
      </w:r>
    </w:p>
    <w:p w14:paraId="73B5D51E" w14:textId="1BA75817" w:rsidR="008518B0" w:rsidRPr="00B004EE" w:rsidRDefault="008518B0" w:rsidP="00420DDA">
      <w:pPr>
        <w:numPr>
          <w:ilvl w:val="0"/>
          <w:numId w:val="51"/>
        </w:numPr>
        <w:tabs>
          <w:tab w:val="clear" w:pos="1065"/>
          <w:tab w:val="num" w:pos="567"/>
          <w:tab w:val="center" w:leader="dot" w:pos="8364"/>
        </w:tabs>
        <w:ind w:left="567"/>
        <w:jc w:val="both"/>
        <w:rPr>
          <w:rFonts w:ascii="Tahoma" w:hAnsi="Tahoma" w:cs="Tahoma"/>
          <w:sz w:val="20"/>
          <w:szCs w:val="20"/>
          <w:lang w:val="en-GB"/>
        </w:rPr>
      </w:pPr>
      <w:r w:rsidRPr="00B004EE">
        <w:rPr>
          <w:rFonts w:ascii="Tahoma" w:hAnsi="Tahoma" w:cs="Tahoma"/>
          <w:sz w:val="20"/>
          <w:szCs w:val="20"/>
          <w:lang w:val="en-GB"/>
        </w:rPr>
        <w:t>Chinchard,</w:t>
      </w:r>
      <w:r w:rsidR="00DB1635" w:rsidRPr="00B004EE">
        <w:rPr>
          <w:rFonts w:ascii="Tahoma" w:hAnsi="Tahoma" w:cs="Tahoma"/>
          <w:sz w:val="20"/>
          <w:szCs w:val="20"/>
          <w:lang w:val="en-GB"/>
        </w:rPr>
        <w:t xml:space="preserve"> </w:t>
      </w:r>
      <w:r w:rsidRPr="00B004EE">
        <w:rPr>
          <w:rFonts w:ascii="Tahoma" w:hAnsi="Tahoma" w:cs="Tahoma"/>
          <w:sz w:val="20"/>
          <w:szCs w:val="20"/>
          <w:lang w:val="en-GB"/>
        </w:rPr>
        <w:t>Chinchard</w:t>
      </w:r>
      <w:r w:rsidR="00DB1635" w:rsidRPr="00B004EE">
        <w:rPr>
          <w:rFonts w:ascii="Tahoma" w:hAnsi="Tahoma" w:cs="Tahoma"/>
          <w:sz w:val="20"/>
          <w:szCs w:val="20"/>
          <w:lang w:val="en-GB"/>
        </w:rPr>
        <w:t xml:space="preserve"> </w:t>
      </w:r>
      <w:r w:rsidRPr="00B004EE">
        <w:rPr>
          <w:rFonts w:ascii="Tahoma" w:hAnsi="Tahoma" w:cs="Tahoma"/>
          <w:sz w:val="20"/>
          <w:szCs w:val="20"/>
          <w:lang w:val="en-GB"/>
        </w:rPr>
        <w:t>jaune</w:t>
      </w:r>
      <w:r w:rsidR="00DB1635" w:rsidRPr="00B004EE">
        <w:rPr>
          <w:rFonts w:ascii="Tahoma" w:hAnsi="Tahoma" w:cs="Tahoma"/>
          <w:sz w:val="20"/>
          <w:szCs w:val="20"/>
          <w:lang w:val="en-GB"/>
        </w:rPr>
        <w:t xml:space="preserve"> </w:t>
      </w:r>
      <w:r w:rsidRPr="00B004EE">
        <w:rPr>
          <w:rFonts w:ascii="Tahoma" w:hAnsi="Tahoma" w:cs="Tahoma"/>
          <w:sz w:val="20"/>
          <w:szCs w:val="20"/>
          <w:lang w:val="en-GB"/>
        </w:rPr>
        <w:t>(</w:t>
      </w:r>
      <w:r w:rsidRPr="00B004EE">
        <w:rPr>
          <w:rFonts w:ascii="Tahoma" w:hAnsi="Tahoma" w:cs="Tahoma"/>
          <w:i/>
          <w:sz w:val="20"/>
          <w:szCs w:val="20"/>
          <w:lang w:val="en-GB"/>
        </w:rPr>
        <w:t>Decapturus</w:t>
      </w:r>
      <w:r w:rsidR="00DB1635" w:rsidRPr="00B004EE">
        <w:rPr>
          <w:rFonts w:ascii="Tahoma" w:hAnsi="Tahoma" w:cs="Tahoma"/>
          <w:i/>
          <w:sz w:val="20"/>
          <w:szCs w:val="20"/>
          <w:lang w:val="en-GB"/>
        </w:rPr>
        <w:t xml:space="preserve"> </w:t>
      </w:r>
      <w:r w:rsidR="00566A20" w:rsidRPr="00B004EE">
        <w:rPr>
          <w:rFonts w:ascii="Tahoma" w:hAnsi="Tahoma" w:cs="Tahoma"/>
          <w:i/>
          <w:sz w:val="20"/>
          <w:szCs w:val="20"/>
          <w:lang w:val="en-GB"/>
        </w:rPr>
        <w:t>rhonchus</w:t>
      </w:r>
      <w:r w:rsidR="00566A20" w:rsidRPr="00B004EE">
        <w:rPr>
          <w:rFonts w:ascii="Tahoma" w:hAnsi="Tahoma" w:cs="Tahoma"/>
          <w:sz w:val="20"/>
          <w:szCs w:val="20"/>
          <w:lang w:val="en-GB"/>
        </w:rPr>
        <w:t>)</w:t>
      </w:r>
      <w:r w:rsidRPr="00B004EE">
        <w:rPr>
          <w:rFonts w:ascii="Tahoma" w:hAnsi="Tahoma" w:cs="Tahoma"/>
          <w:sz w:val="20"/>
          <w:szCs w:val="20"/>
          <w:lang w:val="en-GB"/>
        </w:rPr>
        <w:tab/>
        <w:t>19</w:t>
      </w:r>
      <w:r w:rsidR="00DB1635" w:rsidRPr="00B004EE">
        <w:rPr>
          <w:rFonts w:ascii="Tahoma" w:hAnsi="Tahoma" w:cs="Tahoma"/>
          <w:sz w:val="20"/>
          <w:szCs w:val="20"/>
          <w:lang w:val="en-GB"/>
        </w:rPr>
        <w:t xml:space="preserve"> </w:t>
      </w:r>
      <w:r w:rsidRPr="00B004EE">
        <w:rPr>
          <w:rFonts w:ascii="Tahoma" w:hAnsi="Tahoma" w:cs="Tahoma"/>
          <w:sz w:val="20"/>
          <w:szCs w:val="20"/>
          <w:lang w:val="en-GB"/>
        </w:rPr>
        <w:t>cm</w:t>
      </w:r>
    </w:p>
    <w:p w14:paraId="21BDC820" w14:textId="375438DC" w:rsidR="008518B0" w:rsidRPr="00B004EE" w:rsidRDefault="008518B0" w:rsidP="00420DDA">
      <w:pPr>
        <w:numPr>
          <w:ilvl w:val="0"/>
          <w:numId w:val="51"/>
        </w:numPr>
        <w:tabs>
          <w:tab w:val="clear" w:pos="1065"/>
          <w:tab w:val="num" w:pos="567"/>
          <w:tab w:val="center" w:leader="dot" w:pos="8364"/>
        </w:tabs>
        <w:ind w:left="567"/>
        <w:jc w:val="both"/>
        <w:rPr>
          <w:rFonts w:ascii="Tahoma" w:hAnsi="Tahoma" w:cs="Tahoma"/>
          <w:sz w:val="20"/>
          <w:szCs w:val="20"/>
        </w:rPr>
      </w:pPr>
      <w:r w:rsidRPr="00B004EE">
        <w:rPr>
          <w:rFonts w:ascii="Tahoma" w:hAnsi="Tahoma" w:cs="Tahoma"/>
          <w:sz w:val="20"/>
          <w:szCs w:val="20"/>
        </w:rPr>
        <w:t>Maquereau</w:t>
      </w:r>
      <w:r w:rsidR="00DB1635" w:rsidRPr="00B004EE">
        <w:rPr>
          <w:rFonts w:ascii="Tahoma" w:hAnsi="Tahoma" w:cs="Tahoma"/>
          <w:sz w:val="20"/>
          <w:szCs w:val="20"/>
        </w:rPr>
        <w:t xml:space="preserve"> </w:t>
      </w:r>
      <w:r w:rsidRPr="00B004EE">
        <w:rPr>
          <w:rFonts w:ascii="Tahoma" w:hAnsi="Tahoma" w:cs="Tahoma"/>
          <w:sz w:val="20"/>
          <w:szCs w:val="20"/>
        </w:rPr>
        <w:t>(</w:t>
      </w:r>
      <w:r w:rsidRPr="00B004EE">
        <w:rPr>
          <w:rFonts w:ascii="Tahoma" w:hAnsi="Tahoma" w:cs="Tahoma"/>
          <w:i/>
          <w:sz w:val="20"/>
          <w:szCs w:val="20"/>
        </w:rPr>
        <w:t>Scomber</w:t>
      </w:r>
      <w:r w:rsidR="00DB1635" w:rsidRPr="00B004EE">
        <w:rPr>
          <w:rFonts w:ascii="Tahoma" w:hAnsi="Tahoma" w:cs="Tahoma"/>
          <w:i/>
          <w:sz w:val="20"/>
          <w:szCs w:val="20"/>
        </w:rPr>
        <w:t xml:space="preserve"> </w:t>
      </w:r>
      <w:r w:rsidRPr="00B004EE">
        <w:rPr>
          <w:rFonts w:ascii="Tahoma" w:hAnsi="Tahoma" w:cs="Tahoma"/>
          <w:i/>
          <w:sz w:val="20"/>
          <w:szCs w:val="20"/>
        </w:rPr>
        <w:t>japonicus</w:t>
      </w:r>
      <w:r w:rsidRPr="00B004EE">
        <w:rPr>
          <w:rFonts w:ascii="Tahoma" w:hAnsi="Tahoma" w:cs="Tahoma"/>
          <w:sz w:val="20"/>
          <w:szCs w:val="20"/>
        </w:rPr>
        <w:t>)</w:t>
      </w:r>
      <w:r w:rsidRPr="00B004EE">
        <w:rPr>
          <w:rFonts w:ascii="Tahoma" w:hAnsi="Tahoma" w:cs="Tahoma"/>
          <w:sz w:val="20"/>
          <w:szCs w:val="20"/>
        </w:rPr>
        <w:tab/>
        <w:t>25</w:t>
      </w:r>
      <w:r w:rsidR="00DB1635" w:rsidRPr="00B004EE">
        <w:rPr>
          <w:rFonts w:ascii="Tahoma" w:hAnsi="Tahoma" w:cs="Tahoma"/>
          <w:sz w:val="20"/>
          <w:szCs w:val="20"/>
        </w:rPr>
        <w:t xml:space="preserve"> </w:t>
      </w:r>
      <w:r w:rsidRPr="00B004EE">
        <w:rPr>
          <w:rFonts w:ascii="Tahoma" w:hAnsi="Tahoma" w:cs="Tahoma"/>
          <w:sz w:val="20"/>
          <w:szCs w:val="20"/>
        </w:rPr>
        <w:t>cm</w:t>
      </w:r>
    </w:p>
    <w:p w14:paraId="08B34094" w14:textId="40AC7804" w:rsidR="008518B0" w:rsidRPr="00B004EE" w:rsidRDefault="008518B0" w:rsidP="00420DDA">
      <w:pPr>
        <w:pStyle w:val="Corpsdetexte22"/>
        <w:numPr>
          <w:ilvl w:val="0"/>
          <w:numId w:val="51"/>
        </w:numPr>
        <w:tabs>
          <w:tab w:val="clear" w:pos="0"/>
          <w:tab w:val="clear" w:pos="708"/>
          <w:tab w:val="clear" w:pos="1065"/>
          <w:tab w:val="clear" w:pos="1416"/>
          <w:tab w:val="clear" w:pos="2124"/>
          <w:tab w:val="clear" w:pos="2832"/>
          <w:tab w:val="clear" w:pos="3540"/>
          <w:tab w:val="clear" w:pos="4248"/>
          <w:tab w:val="clear" w:pos="4956"/>
          <w:tab w:val="clear" w:pos="5664"/>
          <w:tab w:val="clear" w:pos="6372"/>
          <w:tab w:val="clear" w:pos="7080"/>
          <w:tab w:val="clear" w:pos="7788"/>
          <w:tab w:val="clear" w:pos="8496"/>
          <w:tab w:val="num" w:pos="567"/>
          <w:tab w:val="center" w:leader="dot" w:pos="8364"/>
        </w:tabs>
        <w:ind w:left="567"/>
        <w:rPr>
          <w:rFonts w:ascii="Tahoma" w:hAnsi="Tahoma" w:cs="Tahoma"/>
          <w:sz w:val="20"/>
          <w:szCs w:val="20"/>
        </w:rPr>
      </w:pPr>
      <w:r w:rsidRPr="00B004EE">
        <w:rPr>
          <w:rFonts w:ascii="Tahoma" w:hAnsi="Tahoma" w:cs="Tahoma"/>
          <w:sz w:val="20"/>
          <w:szCs w:val="20"/>
        </w:rPr>
        <w:lastRenderedPageBreak/>
        <w:t>Dorade,</w:t>
      </w:r>
      <w:r w:rsidR="00DB1635" w:rsidRPr="00B004EE">
        <w:rPr>
          <w:rFonts w:ascii="Tahoma" w:hAnsi="Tahoma" w:cs="Tahoma"/>
          <w:sz w:val="20"/>
          <w:szCs w:val="20"/>
        </w:rPr>
        <w:t xml:space="preserve"> </w:t>
      </w:r>
      <w:r w:rsidRPr="00B004EE">
        <w:rPr>
          <w:rFonts w:ascii="Tahoma" w:hAnsi="Tahoma" w:cs="Tahoma"/>
          <w:sz w:val="20"/>
          <w:szCs w:val="20"/>
        </w:rPr>
        <w:t>Dorada</w:t>
      </w:r>
      <w:r w:rsidR="00DB1635" w:rsidRPr="00B004EE">
        <w:rPr>
          <w:rFonts w:ascii="Tahoma" w:hAnsi="Tahoma" w:cs="Tahoma"/>
          <w:sz w:val="20"/>
          <w:szCs w:val="20"/>
        </w:rPr>
        <w:t xml:space="preserve"> </w:t>
      </w:r>
      <w:r w:rsidRPr="00B004EE">
        <w:rPr>
          <w:rFonts w:ascii="Tahoma" w:hAnsi="Tahoma" w:cs="Tahoma"/>
          <w:sz w:val="20"/>
          <w:szCs w:val="20"/>
        </w:rPr>
        <w:t>(</w:t>
      </w:r>
      <w:r w:rsidRPr="00B004EE">
        <w:rPr>
          <w:rFonts w:ascii="Tahoma" w:hAnsi="Tahoma" w:cs="Tahoma"/>
          <w:i/>
          <w:sz w:val="20"/>
          <w:szCs w:val="20"/>
        </w:rPr>
        <w:t>Sparus</w:t>
      </w:r>
      <w:r w:rsidR="00DB1635" w:rsidRPr="00B004EE">
        <w:rPr>
          <w:rFonts w:ascii="Tahoma" w:hAnsi="Tahoma" w:cs="Tahoma"/>
          <w:i/>
          <w:sz w:val="20"/>
          <w:szCs w:val="20"/>
        </w:rPr>
        <w:t xml:space="preserve"> </w:t>
      </w:r>
      <w:r w:rsidRPr="00B004EE">
        <w:rPr>
          <w:rFonts w:ascii="Tahoma" w:hAnsi="Tahoma" w:cs="Tahoma"/>
          <w:i/>
          <w:sz w:val="20"/>
          <w:szCs w:val="20"/>
        </w:rPr>
        <w:t>auratus</w:t>
      </w:r>
      <w:r w:rsidRPr="00B004EE">
        <w:rPr>
          <w:rFonts w:ascii="Tahoma" w:hAnsi="Tahoma" w:cs="Tahoma"/>
          <w:sz w:val="20"/>
          <w:szCs w:val="20"/>
        </w:rPr>
        <w:t>)</w:t>
      </w:r>
      <w:r w:rsidRPr="00B004EE">
        <w:rPr>
          <w:rFonts w:ascii="Tahoma" w:hAnsi="Tahoma" w:cs="Tahoma"/>
          <w:sz w:val="20"/>
          <w:szCs w:val="20"/>
        </w:rPr>
        <w:tab/>
        <w:t>20</w:t>
      </w:r>
      <w:r w:rsidR="00DB1635" w:rsidRPr="00B004EE">
        <w:rPr>
          <w:rFonts w:ascii="Tahoma" w:hAnsi="Tahoma" w:cs="Tahoma"/>
          <w:sz w:val="20"/>
          <w:szCs w:val="20"/>
        </w:rPr>
        <w:t xml:space="preserve"> </w:t>
      </w:r>
      <w:r w:rsidRPr="00B004EE">
        <w:rPr>
          <w:rFonts w:ascii="Tahoma" w:hAnsi="Tahoma" w:cs="Tahoma"/>
          <w:sz w:val="20"/>
          <w:szCs w:val="20"/>
        </w:rPr>
        <w:t>cm</w:t>
      </w:r>
    </w:p>
    <w:p w14:paraId="5FC13625" w14:textId="603954CF" w:rsidR="008518B0" w:rsidRPr="00B004EE" w:rsidRDefault="008518B0" w:rsidP="00420DDA">
      <w:pPr>
        <w:numPr>
          <w:ilvl w:val="0"/>
          <w:numId w:val="51"/>
        </w:numPr>
        <w:tabs>
          <w:tab w:val="clear" w:pos="1065"/>
          <w:tab w:val="num" w:pos="567"/>
          <w:tab w:val="center" w:leader="dot" w:pos="8364"/>
        </w:tabs>
        <w:ind w:left="567"/>
        <w:jc w:val="both"/>
        <w:rPr>
          <w:rFonts w:ascii="Tahoma" w:hAnsi="Tahoma" w:cs="Tahoma"/>
          <w:sz w:val="20"/>
          <w:szCs w:val="20"/>
        </w:rPr>
      </w:pPr>
      <w:r w:rsidRPr="00B004EE">
        <w:rPr>
          <w:rFonts w:ascii="Tahoma" w:hAnsi="Tahoma" w:cs="Tahoma"/>
          <w:sz w:val="20"/>
          <w:szCs w:val="20"/>
        </w:rPr>
        <w:t>Pagre</w:t>
      </w:r>
      <w:r w:rsidR="00DB1635" w:rsidRPr="00B004EE">
        <w:rPr>
          <w:rFonts w:ascii="Tahoma" w:hAnsi="Tahoma" w:cs="Tahoma"/>
          <w:sz w:val="20"/>
          <w:szCs w:val="20"/>
        </w:rPr>
        <w:t xml:space="preserve"> </w:t>
      </w:r>
      <w:r w:rsidRPr="00B004EE">
        <w:rPr>
          <w:rFonts w:ascii="Tahoma" w:hAnsi="Tahoma" w:cs="Tahoma"/>
          <w:sz w:val="20"/>
          <w:szCs w:val="20"/>
        </w:rPr>
        <w:t>bleuté,</w:t>
      </w:r>
      <w:r w:rsidR="00DB1635" w:rsidRPr="00B004EE">
        <w:rPr>
          <w:rFonts w:ascii="Tahoma" w:hAnsi="Tahoma" w:cs="Tahoma"/>
          <w:sz w:val="20"/>
          <w:szCs w:val="20"/>
        </w:rPr>
        <w:t xml:space="preserve"> </w:t>
      </w:r>
      <w:r w:rsidRPr="00B004EE">
        <w:rPr>
          <w:rFonts w:ascii="Tahoma" w:hAnsi="Tahoma" w:cs="Tahoma"/>
          <w:sz w:val="20"/>
          <w:szCs w:val="20"/>
        </w:rPr>
        <w:t>Pagre</w:t>
      </w:r>
      <w:r w:rsidR="00DB1635" w:rsidRPr="00B004EE">
        <w:rPr>
          <w:rFonts w:ascii="Tahoma" w:hAnsi="Tahoma" w:cs="Tahoma"/>
          <w:sz w:val="20"/>
          <w:szCs w:val="20"/>
        </w:rPr>
        <w:t xml:space="preserve"> </w:t>
      </w:r>
      <w:r w:rsidRPr="00B004EE">
        <w:rPr>
          <w:rFonts w:ascii="Tahoma" w:hAnsi="Tahoma" w:cs="Tahoma"/>
          <w:sz w:val="20"/>
          <w:szCs w:val="20"/>
        </w:rPr>
        <w:t>(</w:t>
      </w:r>
      <w:r w:rsidRPr="00B004EE">
        <w:rPr>
          <w:rFonts w:ascii="Tahoma" w:hAnsi="Tahoma" w:cs="Tahoma"/>
          <w:i/>
          <w:sz w:val="20"/>
          <w:szCs w:val="20"/>
        </w:rPr>
        <w:t>Sparus</w:t>
      </w:r>
      <w:r w:rsidR="00DB1635" w:rsidRPr="00B004EE">
        <w:rPr>
          <w:rFonts w:ascii="Tahoma" w:hAnsi="Tahoma" w:cs="Tahoma"/>
          <w:i/>
          <w:sz w:val="20"/>
          <w:szCs w:val="20"/>
        </w:rPr>
        <w:t xml:space="preserve"> </w:t>
      </w:r>
      <w:r w:rsidRPr="00B004EE">
        <w:rPr>
          <w:rFonts w:ascii="Tahoma" w:hAnsi="Tahoma" w:cs="Tahoma"/>
          <w:i/>
          <w:sz w:val="20"/>
          <w:szCs w:val="20"/>
        </w:rPr>
        <w:t>coeruleostictus</w:t>
      </w:r>
      <w:r w:rsidRPr="00B004EE">
        <w:rPr>
          <w:rFonts w:ascii="Tahoma" w:hAnsi="Tahoma" w:cs="Tahoma"/>
          <w:sz w:val="20"/>
          <w:szCs w:val="20"/>
        </w:rPr>
        <w:t>),</w:t>
      </w:r>
      <w:r w:rsidRPr="00B004EE">
        <w:rPr>
          <w:rFonts w:ascii="Tahoma" w:hAnsi="Tahoma" w:cs="Tahoma"/>
          <w:sz w:val="20"/>
          <w:szCs w:val="20"/>
        </w:rPr>
        <w:tab/>
        <w:t>23</w:t>
      </w:r>
      <w:r w:rsidR="00DB1635" w:rsidRPr="00B004EE">
        <w:rPr>
          <w:rFonts w:ascii="Tahoma" w:hAnsi="Tahoma" w:cs="Tahoma"/>
          <w:sz w:val="20"/>
          <w:szCs w:val="20"/>
        </w:rPr>
        <w:t xml:space="preserve"> </w:t>
      </w:r>
      <w:r w:rsidRPr="00B004EE">
        <w:rPr>
          <w:rFonts w:ascii="Tahoma" w:hAnsi="Tahoma" w:cs="Tahoma"/>
          <w:sz w:val="20"/>
          <w:szCs w:val="20"/>
        </w:rPr>
        <w:t>cm</w:t>
      </w:r>
    </w:p>
    <w:p w14:paraId="1247151E" w14:textId="0A898087" w:rsidR="008518B0" w:rsidRPr="00B004EE" w:rsidRDefault="008518B0" w:rsidP="00420DDA">
      <w:pPr>
        <w:pStyle w:val="Corpsdetexte22"/>
        <w:numPr>
          <w:ilvl w:val="0"/>
          <w:numId w:val="51"/>
        </w:numPr>
        <w:tabs>
          <w:tab w:val="clear" w:pos="0"/>
          <w:tab w:val="clear" w:pos="708"/>
          <w:tab w:val="clear" w:pos="1065"/>
          <w:tab w:val="clear" w:pos="1416"/>
          <w:tab w:val="clear" w:pos="2124"/>
          <w:tab w:val="clear" w:pos="2832"/>
          <w:tab w:val="clear" w:pos="3540"/>
          <w:tab w:val="clear" w:pos="4248"/>
          <w:tab w:val="clear" w:pos="4956"/>
          <w:tab w:val="clear" w:pos="5664"/>
          <w:tab w:val="clear" w:pos="6372"/>
          <w:tab w:val="clear" w:pos="7080"/>
          <w:tab w:val="clear" w:pos="7788"/>
          <w:tab w:val="clear" w:pos="8496"/>
          <w:tab w:val="num" w:pos="567"/>
          <w:tab w:val="center" w:leader="dot" w:pos="8364"/>
        </w:tabs>
        <w:ind w:left="567"/>
        <w:rPr>
          <w:rFonts w:ascii="Tahoma" w:hAnsi="Tahoma" w:cs="Tahoma"/>
          <w:sz w:val="20"/>
          <w:szCs w:val="20"/>
        </w:rPr>
      </w:pPr>
      <w:r w:rsidRPr="00B004EE">
        <w:rPr>
          <w:rFonts w:ascii="Tahoma" w:hAnsi="Tahoma" w:cs="Tahoma"/>
          <w:sz w:val="20"/>
          <w:szCs w:val="20"/>
        </w:rPr>
        <w:t>Pagre</w:t>
      </w:r>
      <w:r w:rsidR="00DB1635" w:rsidRPr="00B004EE">
        <w:rPr>
          <w:rFonts w:ascii="Tahoma" w:hAnsi="Tahoma" w:cs="Tahoma"/>
          <w:sz w:val="20"/>
          <w:szCs w:val="20"/>
        </w:rPr>
        <w:t xml:space="preserve"> </w:t>
      </w:r>
      <w:r w:rsidRPr="00B004EE">
        <w:rPr>
          <w:rFonts w:ascii="Tahoma" w:hAnsi="Tahoma" w:cs="Tahoma"/>
          <w:sz w:val="20"/>
          <w:szCs w:val="20"/>
        </w:rPr>
        <w:t>rayé</w:t>
      </w:r>
      <w:r w:rsidR="00DB1635" w:rsidRPr="00B004EE">
        <w:rPr>
          <w:rFonts w:ascii="Tahoma" w:hAnsi="Tahoma" w:cs="Tahoma"/>
          <w:sz w:val="20"/>
          <w:szCs w:val="20"/>
        </w:rPr>
        <w:t xml:space="preserve"> </w:t>
      </w:r>
      <w:r w:rsidRPr="00B004EE">
        <w:rPr>
          <w:rFonts w:ascii="Tahoma" w:hAnsi="Tahoma" w:cs="Tahoma"/>
          <w:sz w:val="20"/>
          <w:szCs w:val="20"/>
        </w:rPr>
        <w:t>(Sparus</w:t>
      </w:r>
      <w:r w:rsidR="00DB1635" w:rsidRPr="00B004EE">
        <w:rPr>
          <w:rFonts w:ascii="Tahoma" w:hAnsi="Tahoma" w:cs="Tahoma"/>
          <w:sz w:val="20"/>
          <w:szCs w:val="20"/>
        </w:rPr>
        <w:t xml:space="preserve"> </w:t>
      </w:r>
      <w:r w:rsidRPr="00B004EE">
        <w:rPr>
          <w:rFonts w:ascii="Tahoma" w:hAnsi="Tahoma" w:cs="Tahoma"/>
          <w:sz w:val="20"/>
          <w:szCs w:val="20"/>
        </w:rPr>
        <w:t>auriga),</w:t>
      </w:r>
      <w:r w:rsidR="00DB1635" w:rsidRPr="00B004EE">
        <w:rPr>
          <w:rFonts w:ascii="Tahoma" w:hAnsi="Tahoma" w:cs="Tahoma"/>
          <w:sz w:val="20"/>
          <w:szCs w:val="20"/>
        </w:rPr>
        <w:t xml:space="preserve"> </w:t>
      </w:r>
      <w:r w:rsidRPr="00B004EE">
        <w:rPr>
          <w:rFonts w:ascii="Tahoma" w:hAnsi="Tahoma" w:cs="Tahoma"/>
          <w:sz w:val="20"/>
          <w:szCs w:val="20"/>
        </w:rPr>
        <w:t>Pagre</w:t>
      </w:r>
      <w:r w:rsidR="00DB1635" w:rsidRPr="00B004EE">
        <w:rPr>
          <w:rFonts w:ascii="Tahoma" w:hAnsi="Tahoma" w:cs="Tahoma"/>
          <w:sz w:val="20"/>
          <w:szCs w:val="20"/>
        </w:rPr>
        <w:t xml:space="preserve"> </w:t>
      </w:r>
      <w:r w:rsidRPr="00B004EE">
        <w:rPr>
          <w:rFonts w:ascii="Tahoma" w:hAnsi="Tahoma" w:cs="Tahoma"/>
          <w:sz w:val="20"/>
          <w:szCs w:val="20"/>
        </w:rPr>
        <w:t>africain</w:t>
      </w:r>
      <w:r w:rsidR="00DB1635" w:rsidRPr="00B004EE">
        <w:rPr>
          <w:rFonts w:ascii="Tahoma" w:hAnsi="Tahoma" w:cs="Tahoma"/>
          <w:sz w:val="20"/>
          <w:szCs w:val="20"/>
        </w:rPr>
        <w:t xml:space="preserve"> </w:t>
      </w:r>
      <w:r w:rsidRPr="00B004EE">
        <w:rPr>
          <w:rFonts w:ascii="Tahoma" w:hAnsi="Tahoma" w:cs="Tahoma"/>
          <w:sz w:val="20"/>
          <w:szCs w:val="20"/>
        </w:rPr>
        <w:t>(</w:t>
      </w:r>
      <w:r w:rsidRPr="00B004EE">
        <w:rPr>
          <w:rFonts w:ascii="Tahoma" w:hAnsi="Tahoma" w:cs="Tahoma"/>
          <w:i/>
          <w:sz w:val="20"/>
          <w:szCs w:val="20"/>
        </w:rPr>
        <w:t>Sparus</w:t>
      </w:r>
      <w:r w:rsidR="00DB1635" w:rsidRPr="00B004EE">
        <w:rPr>
          <w:rFonts w:ascii="Tahoma" w:hAnsi="Tahoma" w:cs="Tahoma"/>
          <w:i/>
          <w:sz w:val="20"/>
          <w:szCs w:val="20"/>
        </w:rPr>
        <w:t xml:space="preserve"> </w:t>
      </w:r>
      <w:r w:rsidRPr="00B004EE">
        <w:rPr>
          <w:rFonts w:ascii="Tahoma" w:hAnsi="Tahoma" w:cs="Tahoma"/>
          <w:i/>
          <w:sz w:val="20"/>
          <w:szCs w:val="20"/>
        </w:rPr>
        <w:t>pagrus</w:t>
      </w:r>
      <w:r w:rsidRPr="00B004EE">
        <w:rPr>
          <w:rFonts w:ascii="Tahoma" w:hAnsi="Tahoma" w:cs="Tahoma"/>
          <w:sz w:val="20"/>
          <w:szCs w:val="20"/>
        </w:rPr>
        <w:t>)</w:t>
      </w:r>
      <w:r w:rsidRPr="00B004EE">
        <w:rPr>
          <w:rFonts w:ascii="Tahoma" w:hAnsi="Tahoma" w:cs="Tahoma"/>
          <w:sz w:val="20"/>
          <w:szCs w:val="20"/>
        </w:rPr>
        <w:tab/>
        <w:t>23</w:t>
      </w:r>
      <w:r w:rsidR="00DB1635" w:rsidRPr="00B004EE">
        <w:rPr>
          <w:rFonts w:ascii="Tahoma" w:hAnsi="Tahoma" w:cs="Tahoma"/>
          <w:sz w:val="20"/>
          <w:szCs w:val="20"/>
        </w:rPr>
        <w:t xml:space="preserve"> </w:t>
      </w:r>
      <w:r w:rsidRPr="00B004EE">
        <w:rPr>
          <w:rFonts w:ascii="Tahoma" w:hAnsi="Tahoma" w:cs="Tahoma"/>
          <w:sz w:val="20"/>
          <w:szCs w:val="20"/>
        </w:rPr>
        <w:t>cm</w:t>
      </w:r>
    </w:p>
    <w:p w14:paraId="4C01D40C" w14:textId="56745095" w:rsidR="008518B0" w:rsidRPr="00B004EE" w:rsidRDefault="008518B0" w:rsidP="00420DDA">
      <w:pPr>
        <w:numPr>
          <w:ilvl w:val="0"/>
          <w:numId w:val="51"/>
        </w:numPr>
        <w:tabs>
          <w:tab w:val="clear" w:pos="1065"/>
          <w:tab w:val="num" w:pos="567"/>
          <w:tab w:val="center" w:leader="dot" w:pos="8364"/>
        </w:tabs>
        <w:ind w:left="567"/>
        <w:jc w:val="both"/>
        <w:rPr>
          <w:rFonts w:ascii="Tahoma" w:hAnsi="Tahoma" w:cs="Tahoma"/>
          <w:sz w:val="20"/>
          <w:szCs w:val="20"/>
        </w:rPr>
      </w:pPr>
      <w:r w:rsidRPr="00B004EE">
        <w:rPr>
          <w:rFonts w:ascii="Tahoma" w:hAnsi="Tahoma" w:cs="Tahoma"/>
          <w:sz w:val="20"/>
          <w:szCs w:val="20"/>
        </w:rPr>
        <w:t>Denté</w:t>
      </w:r>
      <w:r w:rsidR="00DB1635" w:rsidRPr="00B004EE">
        <w:rPr>
          <w:rFonts w:ascii="Tahoma" w:hAnsi="Tahoma" w:cs="Tahoma"/>
          <w:sz w:val="20"/>
          <w:szCs w:val="20"/>
        </w:rPr>
        <w:t xml:space="preserve"> </w:t>
      </w:r>
      <w:r w:rsidRPr="00B004EE">
        <w:rPr>
          <w:rFonts w:ascii="Tahoma" w:hAnsi="Tahoma" w:cs="Tahoma"/>
          <w:sz w:val="20"/>
          <w:szCs w:val="20"/>
        </w:rPr>
        <w:t>(</w:t>
      </w:r>
      <w:r w:rsidRPr="00B004EE">
        <w:rPr>
          <w:rFonts w:ascii="Tahoma" w:hAnsi="Tahoma" w:cs="Tahoma"/>
          <w:i/>
          <w:sz w:val="20"/>
          <w:szCs w:val="20"/>
        </w:rPr>
        <w:t>Dentex</w:t>
      </w:r>
      <w:r w:rsidR="00DB1635" w:rsidRPr="00B004EE">
        <w:rPr>
          <w:rFonts w:ascii="Tahoma" w:hAnsi="Tahoma" w:cs="Tahoma"/>
          <w:i/>
          <w:sz w:val="20"/>
          <w:szCs w:val="20"/>
        </w:rPr>
        <w:t xml:space="preserve"> </w:t>
      </w:r>
      <w:r w:rsidRPr="00B004EE">
        <w:rPr>
          <w:rFonts w:ascii="Tahoma" w:hAnsi="Tahoma" w:cs="Tahoma"/>
          <w:i/>
          <w:sz w:val="20"/>
          <w:szCs w:val="20"/>
        </w:rPr>
        <w:t>Spp</w:t>
      </w:r>
      <w:r w:rsidRPr="00B004EE">
        <w:rPr>
          <w:rFonts w:ascii="Tahoma" w:hAnsi="Tahoma" w:cs="Tahoma"/>
          <w:sz w:val="20"/>
          <w:szCs w:val="20"/>
        </w:rPr>
        <w:t>)</w:t>
      </w:r>
      <w:r w:rsidRPr="00B004EE">
        <w:rPr>
          <w:rFonts w:ascii="Tahoma" w:hAnsi="Tahoma" w:cs="Tahoma"/>
          <w:sz w:val="20"/>
          <w:szCs w:val="20"/>
        </w:rPr>
        <w:tab/>
      </w:r>
      <w:r w:rsidR="00DB1635" w:rsidRPr="00B004EE">
        <w:rPr>
          <w:rFonts w:ascii="Tahoma" w:hAnsi="Tahoma" w:cs="Tahoma"/>
          <w:sz w:val="20"/>
          <w:szCs w:val="20"/>
        </w:rPr>
        <w:t xml:space="preserve"> </w:t>
      </w:r>
      <w:r w:rsidRPr="00B004EE">
        <w:rPr>
          <w:rFonts w:ascii="Tahoma" w:hAnsi="Tahoma" w:cs="Tahoma"/>
          <w:sz w:val="20"/>
          <w:szCs w:val="20"/>
        </w:rPr>
        <w:t>15</w:t>
      </w:r>
      <w:r w:rsidR="00DB1635" w:rsidRPr="00B004EE">
        <w:rPr>
          <w:rFonts w:ascii="Tahoma" w:hAnsi="Tahoma" w:cs="Tahoma"/>
          <w:sz w:val="20"/>
          <w:szCs w:val="20"/>
        </w:rPr>
        <w:t xml:space="preserve"> </w:t>
      </w:r>
      <w:r w:rsidRPr="00B004EE">
        <w:rPr>
          <w:rFonts w:ascii="Tahoma" w:hAnsi="Tahoma" w:cs="Tahoma"/>
          <w:sz w:val="20"/>
          <w:szCs w:val="20"/>
        </w:rPr>
        <w:t>cm</w:t>
      </w:r>
    </w:p>
    <w:p w14:paraId="7D30BA61" w14:textId="080CD0E1" w:rsidR="008518B0" w:rsidRPr="00B004EE" w:rsidRDefault="008518B0" w:rsidP="00420DDA">
      <w:pPr>
        <w:numPr>
          <w:ilvl w:val="0"/>
          <w:numId w:val="51"/>
        </w:numPr>
        <w:tabs>
          <w:tab w:val="clear" w:pos="1065"/>
          <w:tab w:val="num" w:pos="567"/>
          <w:tab w:val="center" w:leader="dot" w:pos="8364"/>
        </w:tabs>
        <w:ind w:left="567"/>
        <w:jc w:val="both"/>
        <w:rPr>
          <w:rFonts w:ascii="Tahoma" w:hAnsi="Tahoma" w:cs="Tahoma"/>
          <w:sz w:val="20"/>
          <w:szCs w:val="20"/>
        </w:rPr>
      </w:pPr>
      <w:r w:rsidRPr="00B004EE">
        <w:rPr>
          <w:rFonts w:ascii="Tahoma" w:hAnsi="Tahoma" w:cs="Tahoma"/>
          <w:sz w:val="20"/>
          <w:szCs w:val="20"/>
        </w:rPr>
        <w:t>Pageot</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point</w:t>
      </w:r>
      <w:r w:rsidR="00DB1635" w:rsidRPr="00B004EE">
        <w:rPr>
          <w:rFonts w:ascii="Tahoma" w:hAnsi="Tahoma" w:cs="Tahoma"/>
          <w:sz w:val="20"/>
          <w:szCs w:val="20"/>
        </w:rPr>
        <w:t xml:space="preserve"> </w:t>
      </w:r>
      <w:r w:rsidRPr="00B004EE">
        <w:rPr>
          <w:rFonts w:ascii="Tahoma" w:hAnsi="Tahoma" w:cs="Tahoma"/>
          <w:sz w:val="20"/>
          <w:szCs w:val="20"/>
        </w:rPr>
        <w:t>rouge,</w:t>
      </w:r>
      <w:r w:rsidR="00DB1635" w:rsidRPr="00B004EE">
        <w:rPr>
          <w:rFonts w:ascii="Tahoma" w:hAnsi="Tahoma" w:cs="Tahoma"/>
          <w:sz w:val="20"/>
          <w:szCs w:val="20"/>
        </w:rPr>
        <w:t xml:space="preserve"> </w:t>
      </w:r>
      <w:r w:rsidRPr="00B004EE">
        <w:rPr>
          <w:rFonts w:ascii="Tahoma" w:hAnsi="Tahoma" w:cs="Tahoma"/>
          <w:sz w:val="20"/>
          <w:szCs w:val="20"/>
        </w:rPr>
        <w:t>besugo</w:t>
      </w:r>
      <w:r w:rsidR="00DB1635" w:rsidRPr="00B004EE">
        <w:rPr>
          <w:rFonts w:ascii="Tahoma" w:hAnsi="Tahoma" w:cs="Tahoma"/>
          <w:sz w:val="20"/>
          <w:szCs w:val="20"/>
        </w:rPr>
        <w:t xml:space="preserve"> </w:t>
      </w:r>
      <w:r w:rsidRPr="00B004EE">
        <w:rPr>
          <w:rFonts w:ascii="Tahoma" w:hAnsi="Tahoma" w:cs="Tahoma"/>
          <w:sz w:val="20"/>
          <w:szCs w:val="20"/>
        </w:rPr>
        <w:t>(</w:t>
      </w:r>
      <w:r w:rsidRPr="00B004EE">
        <w:rPr>
          <w:rFonts w:ascii="Tahoma" w:hAnsi="Tahoma" w:cs="Tahoma"/>
          <w:i/>
          <w:sz w:val="20"/>
          <w:szCs w:val="20"/>
        </w:rPr>
        <w:t>Pagellus</w:t>
      </w:r>
      <w:r w:rsidR="00DB1635" w:rsidRPr="00B004EE">
        <w:rPr>
          <w:rFonts w:ascii="Tahoma" w:hAnsi="Tahoma" w:cs="Tahoma"/>
          <w:i/>
          <w:sz w:val="20"/>
          <w:szCs w:val="20"/>
        </w:rPr>
        <w:t xml:space="preserve"> </w:t>
      </w:r>
      <w:r w:rsidRPr="00B004EE">
        <w:rPr>
          <w:rFonts w:ascii="Tahoma" w:hAnsi="Tahoma" w:cs="Tahoma"/>
          <w:i/>
          <w:sz w:val="20"/>
          <w:szCs w:val="20"/>
        </w:rPr>
        <w:t>bellottii,</w:t>
      </w:r>
      <w:r w:rsidR="00DB1635" w:rsidRPr="00B004EE">
        <w:rPr>
          <w:rFonts w:ascii="Tahoma" w:hAnsi="Tahoma" w:cs="Tahoma"/>
          <w:i/>
          <w:sz w:val="20"/>
          <w:szCs w:val="20"/>
        </w:rPr>
        <w:t xml:space="preserve"> </w:t>
      </w:r>
      <w:r w:rsidRPr="00B004EE">
        <w:rPr>
          <w:rFonts w:ascii="Tahoma" w:hAnsi="Tahoma" w:cs="Tahoma"/>
          <w:i/>
          <w:sz w:val="20"/>
          <w:szCs w:val="20"/>
        </w:rPr>
        <w:t>Pagellus</w:t>
      </w:r>
      <w:r w:rsidR="00DB1635" w:rsidRPr="00B004EE">
        <w:rPr>
          <w:rFonts w:ascii="Tahoma" w:hAnsi="Tahoma" w:cs="Tahoma"/>
          <w:i/>
          <w:sz w:val="20"/>
          <w:szCs w:val="20"/>
        </w:rPr>
        <w:t xml:space="preserve"> </w:t>
      </w:r>
      <w:r w:rsidRPr="00B004EE">
        <w:rPr>
          <w:rFonts w:ascii="Tahoma" w:hAnsi="Tahoma" w:cs="Tahoma"/>
          <w:i/>
          <w:sz w:val="20"/>
          <w:szCs w:val="20"/>
        </w:rPr>
        <w:t>acarne</w:t>
      </w:r>
      <w:r w:rsidRPr="00B004EE">
        <w:rPr>
          <w:rFonts w:ascii="Tahoma" w:hAnsi="Tahoma" w:cs="Tahoma"/>
          <w:sz w:val="20"/>
          <w:szCs w:val="20"/>
        </w:rPr>
        <w:t>)</w:t>
      </w:r>
      <w:r w:rsidRPr="00B004EE">
        <w:rPr>
          <w:rFonts w:ascii="Tahoma" w:hAnsi="Tahoma" w:cs="Tahoma"/>
          <w:sz w:val="20"/>
          <w:szCs w:val="20"/>
        </w:rPr>
        <w:tab/>
      </w:r>
      <w:r w:rsidR="00DB1635" w:rsidRPr="00B004EE">
        <w:rPr>
          <w:rFonts w:ascii="Tahoma" w:hAnsi="Tahoma" w:cs="Tahoma"/>
          <w:sz w:val="20"/>
          <w:szCs w:val="20"/>
        </w:rPr>
        <w:t xml:space="preserve"> </w:t>
      </w:r>
      <w:r w:rsidRPr="00B004EE">
        <w:rPr>
          <w:rFonts w:ascii="Tahoma" w:hAnsi="Tahoma" w:cs="Tahoma"/>
          <w:sz w:val="20"/>
          <w:szCs w:val="20"/>
        </w:rPr>
        <w:t>19</w:t>
      </w:r>
      <w:r w:rsidR="00DB1635" w:rsidRPr="00B004EE">
        <w:rPr>
          <w:rFonts w:ascii="Tahoma" w:hAnsi="Tahoma" w:cs="Tahoma"/>
          <w:sz w:val="20"/>
          <w:szCs w:val="20"/>
        </w:rPr>
        <w:t xml:space="preserve"> </w:t>
      </w:r>
      <w:r w:rsidRPr="00B004EE">
        <w:rPr>
          <w:rFonts w:ascii="Tahoma" w:hAnsi="Tahoma" w:cs="Tahoma"/>
          <w:sz w:val="20"/>
          <w:szCs w:val="20"/>
        </w:rPr>
        <w:t>cm</w:t>
      </w:r>
    </w:p>
    <w:p w14:paraId="516B1C44" w14:textId="49980083" w:rsidR="008518B0" w:rsidRPr="00B004EE" w:rsidRDefault="008518B0" w:rsidP="00420DDA">
      <w:pPr>
        <w:numPr>
          <w:ilvl w:val="0"/>
          <w:numId w:val="51"/>
        </w:numPr>
        <w:tabs>
          <w:tab w:val="clear" w:pos="1065"/>
          <w:tab w:val="num" w:pos="567"/>
          <w:tab w:val="center" w:leader="dot" w:pos="8364"/>
        </w:tabs>
        <w:ind w:left="567"/>
        <w:jc w:val="both"/>
        <w:rPr>
          <w:rFonts w:ascii="Tahoma" w:hAnsi="Tahoma" w:cs="Tahoma"/>
          <w:sz w:val="20"/>
          <w:szCs w:val="20"/>
        </w:rPr>
      </w:pPr>
      <w:r w:rsidRPr="00B004EE">
        <w:rPr>
          <w:rFonts w:ascii="Tahoma" w:hAnsi="Tahoma" w:cs="Tahoma"/>
          <w:sz w:val="20"/>
          <w:szCs w:val="20"/>
        </w:rPr>
        <w:t>Diagramme,</w:t>
      </w:r>
      <w:r w:rsidR="00DB1635" w:rsidRPr="00B004EE">
        <w:rPr>
          <w:rFonts w:ascii="Tahoma" w:hAnsi="Tahoma" w:cs="Tahoma"/>
          <w:sz w:val="20"/>
          <w:szCs w:val="20"/>
        </w:rPr>
        <w:t xml:space="preserve"> </w:t>
      </w:r>
      <w:r w:rsidRPr="00B004EE">
        <w:rPr>
          <w:rFonts w:ascii="Tahoma" w:hAnsi="Tahoma" w:cs="Tahoma"/>
          <w:sz w:val="20"/>
          <w:szCs w:val="20"/>
        </w:rPr>
        <w:t>Burro</w:t>
      </w:r>
      <w:r w:rsidR="00DB1635" w:rsidRPr="00B004EE">
        <w:rPr>
          <w:rFonts w:ascii="Tahoma" w:hAnsi="Tahoma" w:cs="Tahoma"/>
          <w:sz w:val="20"/>
          <w:szCs w:val="20"/>
        </w:rPr>
        <w:t xml:space="preserve"> </w:t>
      </w:r>
      <w:r w:rsidRPr="00B004EE">
        <w:rPr>
          <w:rFonts w:ascii="Tahoma" w:hAnsi="Tahoma" w:cs="Tahoma"/>
          <w:sz w:val="20"/>
          <w:szCs w:val="20"/>
        </w:rPr>
        <w:t>(</w:t>
      </w:r>
      <w:r w:rsidRPr="00B004EE">
        <w:rPr>
          <w:rFonts w:ascii="Tahoma" w:hAnsi="Tahoma" w:cs="Tahoma"/>
          <w:i/>
          <w:sz w:val="20"/>
          <w:szCs w:val="20"/>
        </w:rPr>
        <w:t>Plectorhynchus</w:t>
      </w:r>
      <w:r w:rsidR="00DB1635" w:rsidRPr="00B004EE">
        <w:rPr>
          <w:rFonts w:ascii="Tahoma" w:hAnsi="Tahoma" w:cs="Tahoma"/>
          <w:i/>
          <w:sz w:val="20"/>
          <w:szCs w:val="20"/>
        </w:rPr>
        <w:t xml:space="preserve"> </w:t>
      </w:r>
      <w:r w:rsidRPr="00B004EE">
        <w:rPr>
          <w:rFonts w:ascii="Tahoma" w:hAnsi="Tahoma" w:cs="Tahoma"/>
          <w:i/>
          <w:sz w:val="20"/>
          <w:szCs w:val="20"/>
        </w:rPr>
        <w:t>mediterraneus</w:t>
      </w:r>
      <w:r w:rsidRPr="00B004EE">
        <w:rPr>
          <w:rFonts w:ascii="Tahoma" w:hAnsi="Tahoma" w:cs="Tahoma"/>
          <w:sz w:val="20"/>
          <w:szCs w:val="20"/>
        </w:rPr>
        <w:t>)</w:t>
      </w:r>
      <w:r w:rsidRPr="00B004EE">
        <w:rPr>
          <w:rFonts w:ascii="Tahoma" w:hAnsi="Tahoma" w:cs="Tahoma"/>
          <w:sz w:val="20"/>
          <w:szCs w:val="20"/>
        </w:rPr>
        <w:tab/>
        <w:t>25</w:t>
      </w:r>
      <w:r w:rsidR="00DB1635" w:rsidRPr="00B004EE">
        <w:rPr>
          <w:rFonts w:ascii="Tahoma" w:hAnsi="Tahoma" w:cs="Tahoma"/>
          <w:sz w:val="20"/>
          <w:szCs w:val="20"/>
        </w:rPr>
        <w:t xml:space="preserve"> </w:t>
      </w:r>
      <w:r w:rsidRPr="00B004EE">
        <w:rPr>
          <w:rFonts w:ascii="Tahoma" w:hAnsi="Tahoma" w:cs="Tahoma"/>
          <w:sz w:val="20"/>
          <w:szCs w:val="20"/>
        </w:rPr>
        <w:t>cm</w:t>
      </w:r>
    </w:p>
    <w:p w14:paraId="15282E74" w14:textId="1284282E" w:rsidR="008518B0" w:rsidRPr="00B004EE" w:rsidRDefault="008518B0" w:rsidP="00B004EE">
      <w:pPr>
        <w:numPr>
          <w:ilvl w:val="12"/>
          <w:numId w:val="0"/>
        </w:numPr>
        <w:tabs>
          <w:tab w:val="num" w:pos="567"/>
          <w:tab w:val="center" w:leader="dot" w:pos="8364"/>
        </w:tabs>
        <w:ind w:left="567"/>
        <w:jc w:val="both"/>
        <w:rPr>
          <w:rFonts w:ascii="Tahoma" w:hAnsi="Tahoma" w:cs="Tahoma"/>
          <w:sz w:val="20"/>
          <w:szCs w:val="20"/>
        </w:rPr>
      </w:pPr>
      <w:r w:rsidRPr="00B004EE">
        <w:rPr>
          <w:rFonts w:ascii="Tahoma" w:hAnsi="Tahoma" w:cs="Tahoma"/>
          <w:sz w:val="20"/>
          <w:szCs w:val="20"/>
        </w:rPr>
        <w:t>Vieille</w:t>
      </w:r>
      <w:r w:rsidR="00DB1635" w:rsidRPr="00B004EE">
        <w:rPr>
          <w:rFonts w:ascii="Tahoma" w:hAnsi="Tahoma" w:cs="Tahoma"/>
          <w:sz w:val="20"/>
          <w:szCs w:val="20"/>
        </w:rPr>
        <w:t xml:space="preserve"> </w:t>
      </w:r>
      <w:r w:rsidRPr="00B004EE">
        <w:rPr>
          <w:rFonts w:ascii="Tahoma" w:hAnsi="Tahoma" w:cs="Tahoma"/>
          <w:sz w:val="20"/>
          <w:szCs w:val="20"/>
        </w:rPr>
        <w:t>noire</w:t>
      </w:r>
      <w:r w:rsidRPr="00B004EE">
        <w:rPr>
          <w:rFonts w:ascii="Tahoma" w:hAnsi="Tahoma" w:cs="Tahoma"/>
          <w:sz w:val="20"/>
          <w:szCs w:val="20"/>
        </w:rPr>
        <w:tab/>
        <w:t>25</w:t>
      </w:r>
      <w:r w:rsidR="00DB1635" w:rsidRPr="00B004EE">
        <w:rPr>
          <w:rFonts w:ascii="Tahoma" w:hAnsi="Tahoma" w:cs="Tahoma"/>
          <w:sz w:val="20"/>
          <w:szCs w:val="20"/>
        </w:rPr>
        <w:t xml:space="preserve"> </w:t>
      </w:r>
      <w:r w:rsidRPr="00B004EE">
        <w:rPr>
          <w:rFonts w:ascii="Tahoma" w:hAnsi="Tahoma" w:cs="Tahoma"/>
          <w:sz w:val="20"/>
          <w:szCs w:val="20"/>
        </w:rPr>
        <w:t>cm</w:t>
      </w:r>
    </w:p>
    <w:p w14:paraId="418AD223" w14:textId="5C9A63E9" w:rsidR="008518B0" w:rsidRPr="00B004EE" w:rsidRDefault="008518B0" w:rsidP="00420DDA">
      <w:pPr>
        <w:numPr>
          <w:ilvl w:val="0"/>
          <w:numId w:val="51"/>
        </w:numPr>
        <w:tabs>
          <w:tab w:val="clear" w:pos="1065"/>
          <w:tab w:val="num" w:pos="567"/>
          <w:tab w:val="center" w:leader="dot" w:pos="8364"/>
        </w:tabs>
        <w:ind w:left="567"/>
        <w:jc w:val="both"/>
        <w:rPr>
          <w:rFonts w:ascii="Tahoma" w:hAnsi="Tahoma" w:cs="Tahoma"/>
          <w:sz w:val="20"/>
          <w:szCs w:val="20"/>
          <w:lang w:val="en-GB"/>
        </w:rPr>
      </w:pPr>
      <w:r w:rsidRPr="00B004EE">
        <w:rPr>
          <w:rFonts w:ascii="Tahoma" w:hAnsi="Tahoma" w:cs="Tahoma"/>
          <w:sz w:val="20"/>
          <w:szCs w:val="20"/>
          <w:lang w:val="en-GB"/>
        </w:rPr>
        <w:t>Ombrine</w:t>
      </w:r>
      <w:r w:rsidR="00DB1635" w:rsidRPr="00B004EE">
        <w:rPr>
          <w:rFonts w:ascii="Tahoma" w:hAnsi="Tahoma" w:cs="Tahoma"/>
          <w:sz w:val="20"/>
          <w:szCs w:val="20"/>
          <w:lang w:val="en-GB"/>
        </w:rPr>
        <w:t xml:space="preserve"> </w:t>
      </w:r>
      <w:r w:rsidRPr="00B004EE">
        <w:rPr>
          <w:rFonts w:ascii="Tahoma" w:hAnsi="Tahoma" w:cs="Tahoma"/>
          <w:sz w:val="20"/>
          <w:szCs w:val="20"/>
          <w:lang w:val="en-GB"/>
        </w:rPr>
        <w:t>(</w:t>
      </w:r>
      <w:r w:rsidRPr="00B004EE">
        <w:rPr>
          <w:rFonts w:ascii="Tahoma" w:hAnsi="Tahoma" w:cs="Tahoma"/>
          <w:i/>
          <w:sz w:val="20"/>
          <w:szCs w:val="20"/>
          <w:lang w:val="en-GB"/>
        </w:rPr>
        <w:t>Sciana</w:t>
      </w:r>
      <w:r w:rsidR="00DB1635" w:rsidRPr="00B004EE">
        <w:rPr>
          <w:rFonts w:ascii="Tahoma" w:hAnsi="Tahoma" w:cs="Tahoma"/>
          <w:i/>
          <w:sz w:val="20"/>
          <w:szCs w:val="20"/>
          <w:lang w:val="en-GB"/>
        </w:rPr>
        <w:t xml:space="preserve"> </w:t>
      </w:r>
      <w:r w:rsidRPr="00B004EE">
        <w:rPr>
          <w:rFonts w:ascii="Tahoma" w:hAnsi="Tahoma" w:cs="Tahoma"/>
          <w:i/>
          <w:sz w:val="20"/>
          <w:szCs w:val="20"/>
          <w:lang w:val="en-GB"/>
        </w:rPr>
        <w:t>umbra</w:t>
      </w:r>
      <w:r w:rsidRPr="00B004EE">
        <w:rPr>
          <w:rFonts w:ascii="Tahoma" w:hAnsi="Tahoma" w:cs="Tahoma"/>
          <w:sz w:val="20"/>
          <w:szCs w:val="20"/>
          <w:lang w:val="en-GB"/>
        </w:rPr>
        <w:t>)</w:t>
      </w:r>
      <w:r w:rsidRPr="00B004EE">
        <w:rPr>
          <w:rFonts w:ascii="Tahoma" w:hAnsi="Tahoma" w:cs="Tahoma"/>
          <w:sz w:val="20"/>
          <w:szCs w:val="20"/>
          <w:lang w:val="en-GB"/>
        </w:rPr>
        <w:tab/>
        <w:t>25</w:t>
      </w:r>
      <w:r w:rsidR="00DB1635" w:rsidRPr="00B004EE">
        <w:rPr>
          <w:rFonts w:ascii="Tahoma" w:hAnsi="Tahoma" w:cs="Tahoma"/>
          <w:sz w:val="20"/>
          <w:szCs w:val="20"/>
          <w:lang w:val="en-GB"/>
        </w:rPr>
        <w:t xml:space="preserve"> </w:t>
      </w:r>
      <w:r w:rsidRPr="00B004EE">
        <w:rPr>
          <w:rFonts w:ascii="Tahoma" w:hAnsi="Tahoma" w:cs="Tahoma"/>
          <w:sz w:val="20"/>
          <w:szCs w:val="20"/>
          <w:lang w:val="en-GB"/>
        </w:rPr>
        <w:t>cm</w:t>
      </w:r>
    </w:p>
    <w:p w14:paraId="05AC52D3" w14:textId="25B72570" w:rsidR="008518B0" w:rsidRPr="00B004EE" w:rsidRDefault="008518B0" w:rsidP="00420DDA">
      <w:pPr>
        <w:numPr>
          <w:ilvl w:val="0"/>
          <w:numId w:val="51"/>
        </w:numPr>
        <w:tabs>
          <w:tab w:val="clear" w:pos="1065"/>
          <w:tab w:val="num" w:pos="567"/>
          <w:tab w:val="center" w:leader="dot" w:pos="8364"/>
        </w:tabs>
        <w:ind w:left="567"/>
        <w:jc w:val="both"/>
        <w:rPr>
          <w:rFonts w:ascii="Tahoma" w:hAnsi="Tahoma" w:cs="Tahoma"/>
          <w:sz w:val="20"/>
          <w:szCs w:val="20"/>
        </w:rPr>
      </w:pPr>
      <w:r w:rsidRPr="00B004EE">
        <w:rPr>
          <w:rFonts w:ascii="Tahoma" w:hAnsi="Tahoma" w:cs="Tahoma"/>
          <w:sz w:val="20"/>
          <w:szCs w:val="20"/>
        </w:rPr>
        <w:t>Courbines</w:t>
      </w:r>
      <w:r w:rsidR="00DB1635" w:rsidRPr="00B004EE">
        <w:rPr>
          <w:rFonts w:ascii="Tahoma" w:hAnsi="Tahoma" w:cs="Tahoma"/>
          <w:sz w:val="20"/>
          <w:szCs w:val="20"/>
        </w:rPr>
        <w:t xml:space="preserve"> </w:t>
      </w:r>
      <w:r w:rsidRPr="00B004EE">
        <w:rPr>
          <w:rFonts w:ascii="Tahoma" w:hAnsi="Tahoma" w:cs="Tahoma"/>
          <w:sz w:val="20"/>
          <w:szCs w:val="20"/>
        </w:rPr>
        <w:t>(</w:t>
      </w:r>
      <w:r w:rsidRPr="00B004EE">
        <w:rPr>
          <w:rFonts w:ascii="Tahoma" w:hAnsi="Tahoma" w:cs="Tahoma"/>
          <w:i/>
          <w:sz w:val="20"/>
          <w:szCs w:val="20"/>
        </w:rPr>
        <w:t>Argirosomus</w:t>
      </w:r>
      <w:r w:rsidR="00DB1635" w:rsidRPr="00B004EE">
        <w:rPr>
          <w:rFonts w:ascii="Tahoma" w:hAnsi="Tahoma" w:cs="Tahoma"/>
          <w:i/>
          <w:sz w:val="20"/>
          <w:szCs w:val="20"/>
        </w:rPr>
        <w:t xml:space="preserve"> </w:t>
      </w:r>
      <w:r w:rsidRPr="00B004EE">
        <w:rPr>
          <w:rFonts w:ascii="Tahoma" w:hAnsi="Tahoma" w:cs="Tahoma"/>
          <w:i/>
          <w:sz w:val="20"/>
          <w:szCs w:val="20"/>
        </w:rPr>
        <w:t>regius</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Capitaine</w:t>
      </w:r>
      <w:r w:rsidR="00DB1635" w:rsidRPr="00B004EE">
        <w:rPr>
          <w:rFonts w:ascii="Tahoma" w:hAnsi="Tahoma" w:cs="Tahoma"/>
          <w:sz w:val="20"/>
          <w:szCs w:val="20"/>
        </w:rPr>
        <w:t xml:space="preserve"> </w:t>
      </w:r>
      <w:r w:rsidRPr="00B004EE">
        <w:rPr>
          <w:rFonts w:ascii="Tahoma" w:hAnsi="Tahoma" w:cs="Tahoma"/>
          <w:sz w:val="20"/>
          <w:szCs w:val="20"/>
        </w:rPr>
        <w:t>(</w:t>
      </w:r>
      <w:r w:rsidRPr="00B004EE">
        <w:rPr>
          <w:rFonts w:ascii="Tahoma" w:hAnsi="Tahoma" w:cs="Tahoma"/>
          <w:i/>
          <w:sz w:val="20"/>
          <w:szCs w:val="20"/>
        </w:rPr>
        <w:t>Pseudotholithus</w:t>
      </w:r>
      <w:r w:rsidR="00DB1635" w:rsidRPr="00B004EE">
        <w:rPr>
          <w:rFonts w:ascii="Tahoma" w:hAnsi="Tahoma" w:cs="Tahoma"/>
          <w:i/>
          <w:sz w:val="20"/>
          <w:szCs w:val="20"/>
        </w:rPr>
        <w:t xml:space="preserve"> </w:t>
      </w:r>
      <w:r w:rsidRPr="00B004EE">
        <w:rPr>
          <w:rFonts w:ascii="Tahoma" w:hAnsi="Tahoma" w:cs="Tahoma"/>
          <w:i/>
          <w:sz w:val="20"/>
          <w:szCs w:val="20"/>
        </w:rPr>
        <w:t>senegalensis</w:t>
      </w:r>
      <w:r w:rsidRPr="00B004EE">
        <w:rPr>
          <w:rFonts w:ascii="Tahoma" w:hAnsi="Tahoma" w:cs="Tahoma"/>
          <w:sz w:val="20"/>
          <w:szCs w:val="20"/>
        </w:rPr>
        <w:t>)</w:t>
      </w:r>
      <w:r w:rsidRPr="00B004EE">
        <w:rPr>
          <w:rFonts w:ascii="Tahoma" w:hAnsi="Tahoma" w:cs="Tahoma"/>
          <w:sz w:val="20"/>
          <w:szCs w:val="20"/>
        </w:rPr>
        <w:tab/>
        <w:t>70</w:t>
      </w:r>
      <w:r w:rsidR="00DB1635" w:rsidRPr="00B004EE">
        <w:rPr>
          <w:rFonts w:ascii="Tahoma" w:hAnsi="Tahoma" w:cs="Tahoma"/>
          <w:sz w:val="20"/>
          <w:szCs w:val="20"/>
        </w:rPr>
        <w:t xml:space="preserve"> </w:t>
      </w:r>
      <w:r w:rsidRPr="00B004EE">
        <w:rPr>
          <w:rFonts w:ascii="Tahoma" w:hAnsi="Tahoma" w:cs="Tahoma"/>
          <w:sz w:val="20"/>
          <w:szCs w:val="20"/>
        </w:rPr>
        <w:t>cm</w:t>
      </w:r>
    </w:p>
    <w:p w14:paraId="3EF20E6B" w14:textId="5C6199BB" w:rsidR="008518B0" w:rsidRPr="00B004EE" w:rsidRDefault="008518B0" w:rsidP="00420DDA">
      <w:pPr>
        <w:numPr>
          <w:ilvl w:val="0"/>
          <w:numId w:val="51"/>
        </w:numPr>
        <w:tabs>
          <w:tab w:val="clear" w:pos="1065"/>
          <w:tab w:val="num" w:pos="567"/>
          <w:tab w:val="center" w:leader="dot" w:pos="8364"/>
        </w:tabs>
        <w:ind w:left="567"/>
        <w:jc w:val="both"/>
        <w:rPr>
          <w:rFonts w:ascii="Tahoma" w:hAnsi="Tahoma" w:cs="Tahoma"/>
          <w:sz w:val="20"/>
          <w:szCs w:val="20"/>
          <w:lang w:val="en-GB"/>
        </w:rPr>
      </w:pPr>
      <w:r w:rsidRPr="00B004EE">
        <w:rPr>
          <w:rFonts w:ascii="Tahoma" w:hAnsi="Tahoma" w:cs="Tahoma"/>
          <w:sz w:val="20"/>
          <w:szCs w:val="20"/>
        </w:rPr>
        <w:t>Mérou,</w:t>
      </w:r>
      <w:r w:rsidR="00DB1635" w:rsidRPr="00B004EE">
        <w:rPr>
          <w:rFonts w:ascii="Tahoma" w:hAnsi="Tahoma" w:cs="Tahoma"/>
          <w:sz w:val="20"/>
          <w:szCs w:val="20"/>
        </w:rPr>
        <w:t xml:space="preserve"> </w:t>
      </w:r>
      <w:r w:rsidRPr="00B004EE">
        <w:rPr>
          <w:rFonts w:ascii="Tahoma" w:hAnsi="Tahoma" w:cs="Tahoma"/>
          <w:sz w:val="20"/>
          <w:szCs w:val="20"/>
        </w:rPr>
        <w:t>Mérou</w:t>
      </w:r>
      <w:r w:rsidR="00DB1635" w:rsidRPr="00B004EE">
        <w:rPr>
          <w:rFonts w:ascii="Tahoma" w:hAnsi="Tahoma" w:cs="Tahoma"/>
          <w:sz w:val="20"/>
          <w:szCs w:val="20"/>
        </w:rPr>
        <w:t xml:space="preserve"> </w:t>
      </w:r>
      <w:r w:rsidRPr="00B004EE">
        <w:rPr>
          <w:rFonts w:ascii="Tahoma" w:hAnsi="Tahoma" w:cs="Tahoma"/>
          <w:sz w:val="20"/>
          <w:szCs w:val="20"/>
        </w:rPr>
        <w:t>rouge,</w:t>
      </w:r>
      <w:r w:rsidR="00DB1635" w:rsidRPr="00B004EE">
        <w:rPr>
          <w:rFonts w:ascii="Tahoma" w:hAnsi="Tahoma" w:cs="Tahoma"/>
          <w:sz w:val="20"/>
          <w:szCs w:val="20"/>
        </w:rPr>
        <w:t xml:space="preserve"> </w:t>
      </w:r>
      <w:r w:rsidRPr="00B004EE">
        <w:rPr>
          <w:rFonts w:ascii="Tahoma" w:hAnsi="Tahoma" w:cs="Tahoma"/>
          <w:sz w:val="20"/>
          <w:szCs w:val="20"/>
        </w:rPr>
        <w:t>Cherne,</w:t>
      </w:r>
      <w:r w:rsidR="00DB1635" w:rsidRPr="00B004EE">
        <w:rPr>
          <w:rFonts w:ascii="Tahoma" w:hAnsi="Tahoma" w:cs="Tahoma"/>
          <w:sz w:val="20"/>
          <w:szCs w:val="20"/>
        </w:rPr>
        <w:t xml:space="preserve"> </w:t>
      </w:r>
      <w:r w:rsidRPr="00B004EE">
        <w:rPr>
          <w:rFonts w:ascii="Tahoma" w:hAnsi="Tahoma" w:cs="Tahoma"/>
          <w:sz w:val="20"/>
          <w:szCs w:val="20"/>
        </w:rPr>
        <w:t>Garoupa,</w:t>
      </w:r>
      <w:r w:rsidR="00DB1635" w:rsidRPr="00B004EE">
        <w:rPr>
          <w:rFonts w:ascii="Tahoma" w:hAnsi="Tahoma" w:cs="Tahoma"/>
          <w:sz w:val="20"/>
          <w:szCs w:val="20"/>
        </w:rPr>
        <w:t xml:space="preserve"> </w:t>
      </w:r>
      <w:r w:rsidRPr="00B004EE">
        <w:rPr>
          <w:rFonts w:ascii="Tahoma" w:hAnsi="Tahoma" w:cs="Tahoma"/>
          <w:sz w:val="20"/>
          <w:szCs w:val="20"/>
        </w:rPr>
        <w:t>Abae.</w:t>
      </w:r>
      <w:r w:rsidR="00DB1635" w:rsidRPr="00B004EE">
        <w:rPr>
          <w:rFonts w:ascii="Tahoma" w:hAnsi="Tahoma" w:cs="Tahoma"/>
          <w:sz w:val="20"/>
          <w:szCs w:val="20"/>
        </w:rPr>
        <w:t xml:space="preserve"> </w:t>
      </w:r>
      <w:r w:rsidRPr="00B004EE">
        <w:rPr>
          <w:rFonts w:ascii="Tahoma" w:hAnsi="Tahoma" w:cs="Tahoma"/>
          <w:i/>
          <w:sz w:val="20"/>
          <w:szCs w:val="20"/>
          <w:lang w:val="en-GB"/>
        </w:rPr>
        <w:t>(Epinephelus</w:t>
      </w:r>
      <w:r w:rsidR="00DB1635" w:rsidRPr="00B004EE">
        <w:rPr>
          <w:rFonts w:ascii="Tahoma" w:hAnsi="Tahoma" w:cs="Tahoma"/>
          <w:i/>
          <w:sz w:val="20"/>
          <w:szCs w:val="20"/>
          <w:lang w:val="en-GB"/>
        </w:rPr>
        <w:t xml:space="preserve"> </w:t>
      </w:r>
      <w:r w:rsidRPr="00B004EE">
        <w:rPr>
          <w:rFonts w:ascii="Tahoma" w:hAnsi="Tahoma" w:cs="Tahoma"/>
          <w:i/>
          <w:sz w:val="20"/>
          <w:szCs w:val="20"/>
          <w:lang w:val="en-GB"/>
        </w:rPr>
        <w:t>Spp</w:t>
      </w:r>
      <w:r w:rsidRPr="00B004EE">
        <w:rPr>
          <w:rFonts w:ascii="Tahoma" w:hAnsi="Tahoma" w:cs="Tahoma"/>
          <w:sz w:val="20"/>
          <w:szCs w:val="20"/>
          <w:lang w:val="en-GB"/>
        </w:rPr>
        <w:t>)</w:t>
      </w:r>
      <w:r w:rsidRPr="00B004EE">
        <w:rPr>
          <w:rFonts w:ascii="Tahoma" w:hAnsi="Tahoma" w:cs="Tahoma"/>
          <w:sz w:val="20"/>
          <w:szCs w:val="20"/>
          <w:lang w:val="en-GB"/>
        </w:rPr>
        <w:tab/>
        <w:t>40</w:t>
      </w:r>
      <w:r w:rsidR="00DB1635" w:rsidRPr="00B004EE">
        <w:rPr>
          <w:rFonts w:ascii="Tahoma" w:hAnsi="Tahoma" w:cs="Tahoma"/>
          <w:sz w:val="20"/>
          <w:szCs w:val="20"/>
          <w:lang w:val="en-GB"/>
        </w:rPr>
        <w:t xml:space="preserve"> </w:t>
      </w:r>
      <w:r w:rsidRPr="00B004EE">
        <w:rPr>
          <w:rFonts w:ascii="Tahoma" w:hAnsi="Tahoma" w:cs="Tahoma"/>
          <w:sz w:val="20"/>
          <w:szCs w:val="20"/>
          <w:lang w:val="en-GB"/>
        </w:rPr>
        <w:t>cm</w:t>
      </w:r>
    </w:p>
    <w:p w14:paraId="671FE753" w14:textId="188361E1" w:rsidR="008518B0" w:rsidRPr="00B004EE" w:rsidRDefault="008518B0" w:rsidP="00420DDA">
      <w:pPr>
        <w:numPr>
          <w:ilvl w:val="0"/>
          <w:numId w:val="51"/>
        </w:numPr>
        <w:tabs>
          <w:tab w:val="clear" w:pos="1065"/>
          <w:tab w:val="num" w:pos="567"/>
          <w:tab w:val="center" w:leader="dot" w:pos="8364"/>
        </w:tabs>
        <w:ind w:left="567"/>
        <w:jc w:val="both"/>
        <w:rPr>
          <w:rFonts w:ascii="Tahoma" w:hAnsi="Tahoma" w:cs="Tahoma"/>
          <w:sz w:val="20"/>
          <w:szCs w:val="20"/>
          <w:lang w:val="en-GB"/>
        </w:rPr>
      </w:pPr>
      <w:r w:rsidRPr="00B004EE">
        <w:rPr>
          <w:rFonts w:ascii="Tahoma" w:hAnsi="Tahoma" w:cs="Tahoma"/>
          <w:sz w:val="20"/>
          <w:szCs w:val="20"/>
          <w:lang w:val="en-GB"/>
        </w:rPr>
        <w:t>Tassergal,</w:t>
      </w:r>
      <w:r w:rsidR="00DB1635" w:rsidRPr="00B004EE">
        <w:rPr>
          <w:rFonts w:ascii="Tahoma" w:hAnsi="Tahoma" w:cs="Tahoma"/>
          <w:sz w:val="20"/>
          <w:szCs w:val="20"/>
          <w:lang w:val="en-GB"/>
        </w:rPr>
        <w:t xml:space="preserve"> </w:t>
      </w:r>
      <w:r w:rsidRPr="00B004EE">
        <w:rPr>
          <w:rFonts w:ascii="Tahoma" w:hAnsi="Tahoma" w:cs="Tahoma"/>
          <w:sz w:val="20"/>
          <w:szCs w:val="20"/>
          <w:lang w:val="en-GB"/>
        </w:rPr>
        <w:t>(</w:t>
      </w:r>
      <w:r w:rsidRPr="00B004EE">
        <w:rPr>
          <w:rFonts w:ascii="Tahoma" w:hAnsi="Tahoma" w:cs="Tahoma"/>
          <w:i/>
          <w:sz w:val="20"/>
          <w:szCs w:val="20"/>
          <w:lang w:val="en-GB"/>
        </w:rPr>
        <w:t>Pomatomus</w:t>
      </w:r>
      <w:r w:rsidR="00DB1635" w:rsidRPr="00B004EE">
        <w:rPr>
          <w:rFonts w:ascii="Tahoma" w:hAnsi="Tahoma" w:cs="Tahoma"/>
          <w:i/>
          <w:sz w:val="20"/>
          <w:szCs w:val="20"/>
          <w:lang w:val="en-GB"/>
        </w:rPr>
        <w:t xml:space="preserve"> </w:t>
      </w:r>
      <w:proofErr w:type="gramStart"/>
      <w:r w:rsidRPr="00B004EE">
        <w:rPr>
          <w:rFonts w:ascii="Tahoma" w:hAnsi="Tahoma" w:cs="Tahoma"/>
          <w:i/>
          <w:sz w:val="20"/>
          <w:szCs w:val="20"/>
          <w:lang w:val="en-GB"/>
        </w:rPr>
        <w:t>saltator</w:t>
      </w:r>
      <w:r w:rsidR="00DB1635" w:rsidRPr="00B004EE">
        <w:rPr>
          <w:rFonts w:ascii="Tahoma" w:hAnsi="Tahoma" w:cs="Tahoma"/>
          <w:sz w:val="20"/>
          <w:szCs w:val="20"/>
          <w:lang w:val="en-GB"/>
        </w:rPr>
        <w:t xml:space="preserve"> </w:t>
      </w:r>
      <w:r w:rsidRPr="00B004EE">
        <w:rPr>
          <w:rFonts w:ascii="Tahoma" w:hAnsi="Tahoma" w:cs="Tahoma"/>
          <w:sz w:val="20"/>
          <w:szCs w:val="20"/>
          <w:lang w:val="en-GB"/>
        </w:rPr>
        <w:t>)</w:t>
      </w:r>
      <w:proofErr w:type="gramEnd"/>
      <w:r w:rsidRPr="00B004EE">
        <w:rPr>
          <w:rFonts w:ascii="Tahoma" w:hAnsi="Tahoma" w:cs="Tahoma"/>
          <w:sz w:val="20"/>
          <w:szCs w:val="20"/>
          <w:lang w:val="en-GB"/>
        </w:rPr>
        <w:tab/>
        <w:t>30</w:t>
      </w:r>
      <w:r w:rsidR="00DB1635" w:rsidRPr="00B004EE">
        <w:rPr>
          <w:rFonts w:ascii="Tahoma" w:hAnsi="Tahoma" w:cs="Tahoma"/>
          <w:sz w:val="20"/>
          <w:szCs w:val="20"/>
          <w:lang w:val="en-GB"/>
        </w:rPr>
        <w:t xml:space="preserve"> </w:t>
      </w:r>
      <w:r w:rsidRPr="00B004EE">
        <w:rPr>
          <w:rFonts w:ascii="Tahoma" w:hAnsi="Tahoma" w:cs="Tahoma"/>
          <w:sz w:val="20"/>
          <w:szCs w:val="20"/>
          <w:lang w:val="en-GB"/>
        </w:rPr>
        <w:t>cm</w:t>
      </w:r>
    </w:p>
    <w:p w14:paraId="4DFA4DCB" w14:textId="1133AFE7" w:rsidR="008518B0" w:rsidRPr="00B004EE" w:rsidRDefault="008518B0" w:rsidP="00420DDA">
      <w:pPr>
        <w:numPr>
          <w:ilvl w:val="0"/>
          <w:numId w:val="51"/>
        </w:numPr>
        <w:tabs>
          <w:tab w:val="clear" w:pos="1065"/>
          <w:tab w:val="num" w:pos="567"/>
          <w:tab w:val="center" w:leader="dot" w:pos="8364"/>
        </w:tabs>
        <w:ind w:left="567"/>
        <w:jc w:val="both"/>
        <w:rPr>
          <w:rFonts w:ascii="Tahoma" w:hAnsi="Tahoma" w:cs="Tahoma"/>
          <w:sz w:val="20"/>
          <w:szCs w:val="20"/>
          <w:lang w:val="en-GB"/>
        </w:rPr>
      </w:pPr>
      <w:r w:rsidRPr="00B004EE">
        <w:rPr>
          <w:rFonts w:ascii="Tahoma" w:hAnsi="Tahoma" w:cs="Tahoma"/>
          <w:sz w:val="20"/>
          <w:szCs w:val="20"/>
          <w:lang w:val="en-GB"/>
        </w:rPr>
        <w:t>Rouget,</w:t>
      </w:r>
      <w:r w:rsidR="00DB1635" w:rsidRPr="00B004EE">
        <w:rPr>
          <w:rFonts w:ascii="Tahoma" w:hAnsi="Tahoma" w:cs="Tahoma"/>
          <w:sz w:val="20"/>
          <w:szCs w:val="20"/>
          <w:lang w:val="en-GB"/>
        </w:rPr>
        <w:t xml:space="preserve"> </w:t>
      </w:r>
      <w:r w:rsidRPr="00B004EE">
        <w:rPr>
          <w:rFonts w:ascii="Tahoma" w:hAnsi="Tahoma" w:cs="Tahoma"/>
          <w:sz w:val="20"/>
          <w:szCs w:val="20"/>
          <w:lang w:val="en-GB"/>
        </w:rPr>
        <w:t>Salmonete</w:t>
      </w:r>
      <w:r w:rsidR="00DB1635" w:rsidRPr="00B004EE">
        <w:rPr>
          <w:rFonts w:ascii="Tahoma" w:hAnsi="Tahoma" w:cs="Tahoma"/>
          <w:sz w:val="20"/>
          <w:szCs w:val="20"/>
          <w:lang w:val="en-GB"/>
        </w:rPr>
        <w:t xml:space="preserve"> </w:t>
      </w:r>
      <w:r w:rsidRPr="00B004EE">
        <w:rPr>
          <w:rFonts w:ascii="Tahoma" w:hAnsi="Tahoma" w:cs="Tahoma"/>
          <w:sz w:val="20"/>
          <w:szCs w:val="20"/>
          <w:lang w:val="en-GB"/>
        </w:rPr>
        <w:t>(</w:t>
      </w:r>
      <w:r w:rsidRPr="00B004EE">
        <w:rPr>
          <w:rFonts w:ascii="Tahoma" w:hAnsi="Tahoma" w:cs="Tahoma"/>
          <w:i/>
          <w:sz w:val="20"/>
          <w:szCs w:val="20"/>
          <w:lang w:val="en-GB"/>
        </w:rPr>
        <w:t>Pseudupeneus</w:t>
      </w:r>
      <w:r w:rsidR="00DB1635" w:rsidRPr="00B004EE">
        <w:rPr>
          <w:rFonts w:ascii="Tahoma" w:hAnsi="Tahoma" w:cs="Tahoma"/>
          <w:i/>
          <w:sz w:val="20"/>
          <w:szCs w:val="20"/>
          <w:lang w:val="en-GB"/>
        </w:rPr>
        <w:t xml:space="preserve"> </w:t>
      </w:r>
      <w:r w:rsidRPr="00B004EE">
        <w:rPr>
          <w:rFonts w:ascii="Tahoma" w:hAnsi="Tahoma" w:cs="Tahoma"/>
          <w:i/>
          <w:sz w:val="20"/>
          <w:szCs w:val="20"/>
          <w:lang w:val="en-GB"/>
        </w:rPr>
        <w:t>prayensis</w:t>
      </w:r>
      <w:r w:rsidRPr="00B004EE">
        <w:rPr>
          <w:rFonts w:ascii="Tahoma" w:hAnsi="Tahoma" w:cs="Tahoma"/>
          <w:sz w:val="20"/>
          <w:szCs w:val="20"/>
          <w:lang w:val="en-GB"/>
        </w:rPr>
        <w:t>)</w:t>
      </w:r>
      <w:r w:rsidRPr="00B004EE">
        <w:rPr>
          <w:rFonts w:ascii="Tahoma" w:hAnsi="Tahoma" w:cs="Tahoma"/>
          <w:sz w:val="20"/>
          <w:szCs w:val="20"/>
          <w:lang w:val="en-GB"/>
        </w:rPr>
        <w:tab/>
        <w:t>17</w:t>
      </w:r>
      <w:r w:rsidR="00DB1635" w:rsidRPr="00B004EE">
        <w:rPr>
          <w:rFonts w:ascii="Tahoma" w:hAnsi="Tahoma" w:cs="Tahoma"/>
          <w:sz w:val="20"/>
          <w:szCs w:val="20"/>
          <w:lang w:val="en-GB"/>
        </w:rPr>
        <w:t xml:space="preserve"> </w:t>
      </w:r>
      <w:r w:rsidRPr="00B004EE">
        <w:rPr>
          <w:rFonts w:ascii="Tahoma" w:hAnsi="Tahoma" w:cs="Tahoma"/>
          <w:sz w:val="20"/>
          <w:szCs w:val="20"/>
          <w:lang w:val="en-GB"/>
        </w:rPr>
        <w:t>cm</w:t>
      </w:r>
    </w:p>
    <w:p w14:paraId="16873B24" w14:textId="0774D550" w:rsidR="008518B0" w:rsidRPr="00B004EE" w:rsidRDefault="008518B0" w:rsidP="00420DDA">
      <w:pPr>
        <w:numPr>
          <w:ilvl w:val="0"/>
          <w:numId w:val="51"/>
        </w:numPr>
        <w:tabs>
          <w:tab w:val="clear" w:pos="1065"/>
          <w:tab w:val="num" w:pos="567"/>
          <w:tab w:val="center" w:leader="dot" w:pos="8364"/>
        </w:tabs>
        <w:ind w:left="567"/>
        <w:jc w:val="both"/>
        <w:rPr>
          <w:rFonts w:ascii="Tahoma" w:hAnsi="Tahoma" w:cs="Tahoma"/>
          <w:sz w:val="20"/>
          <w:szCs w:val="20"/>
        </w:rPr>
      </w:pPr>
      <w:r w:rsidRPr="00B004EE">
        <w:rPr>
          <w:rFonts w:ascii="Tahoma" w:hAnsi="Tahoma" w:cs="Tahoma"/>
          <w:sz w:val="20"/>
          <w:szCs w:val="20"/>
        </w:rPr>
        <w:t>Mulet,</w:t>
      </w:r>
      <w:r w:rsidR="00DB1635" w:rsidRPr="00B004EE">
        <w:rPr>
          <w:rFonts w:ascii="Tahoma" w:hAnsi="Tahoma" w:cs="Tahoma"/>
          <w:sz w:val="20"/>
          <w:szCs w:val="20"/>
        </w:rPr>
        <w:t xml:space="preserve"> </w:t>
      </w:r>
      <w:r w:rsidRPr="00B004EE">
        <w:rPr>
          <w:rFonts w:ascii="Tahoma" w:hAnsi="Tahoma" w:cs="Tahoma"/>
          <w:sz w:val="20"/>
          <w:szCs w:val="20"/>
        </w:rPr>
        <w:t>Cabezote</w:t>
      </w:r>
      <w:r w:rsidR="00DB1635" w:rsidRPr="00B004EE">
        <w:rPr>
          <w:rFonts w:ascii="Tahoma" w:hAnsi="Tahoma" w:cs="Tahoma"/>
          <w:sz w:val="20"/>
          <w:szCs w:val="20"/>
        </w:rPr>
        <w:t xml:space="preserve"> </w:t>
      </w:r>
      <w:r w:rsidRPr="00B004EE">
        <w:rPr>
          <w:rFonts w:ascii="Tahoma" w:hAnsi="Tahoma" w:cs="Tahoma"/>
          <w:sz w:val="20"/>
          <w:szCs w:val="20"/>
        </w:rPr>
        <w:t>(</w:t>
      </w:r>
      <w:r w:rsidRPr="00B004EE">
        <w:rPr>
          <w:rFonts w:ascii="Tahoma" w:hAnsi="Tahoma" w:cs="Tahoma"/>
          <w:i/>
          <w:sz w:val="20"/>
          <w:szCs w:val="20"/>
        </w:rPr>
        <w:t>Mugil</w:t>
      </w:r>
      <w:r w:rsidR="00DB1635" w:rsidRPr="00B004EE">
        <w:rPr>
          <w:rFonts w:ascii="Tahoma" w:hAnsi="Tahoma" w:cs="Tahoma"/>
          <w:i/>
          <w:sz w:val="20"/>
          <w:szCs w:val="20"/>
        </w:rPr>
        <w:t xml:space="preserve"> </w:t>
      </w:r>
      <w:r w:rsidRPr="00B004EE">
        <w:rPr>
          <w:rFonts w:ascii="Tahoma" w:hAnsi="Tahoma" w:cs="Tahoma"/>
          <w:i/>
          <w:sz w:val="20"/>
          <w:szCs w:val="20"/>
        </w:rPr>
        <w:t>Spp</w:t>
      </w:r>
      <w:r w:rsidRPr="00B004EE">
        <w:rPr>
          <w:rFonts w:ascii="Tahoma" w:hAnsi="Tahoma" w:cs="Tahoma"/>
          <w:sz w:val="20"/>
          <w:szCs w:val="20"/>
        </w:rPr>
        <w:t>)</w:t>
      </w:r>
      <w:r w:rsidRPr="00B004EE">
        <w:rPr>
          <w:rFonts w:ascii="Tahoma" w:hAnsi="Tahoma" w:cs="Tahoma"/>
          <w:sz w:val="20"/>
          <w:szCs w:val="20"/>
        </w:rPr>
        <w:tab/>
        <w:t>20</w:t>
      </w:r>
      <w:r w:rsidR="00DB1635" w:rsidRPr="00B004EE">
        <w:rPr>
          <w:rFonts w:ascii="Tahoma" w:hAnsi="Tahoma" w:cs="Tahoma"/>
          <w:sz w:val="20"/>
          <w:szCs w:val="20"/>
        </w:rPr>
        <w:t xml:space="preserve"> </w:t>
      </w:r>
      <w:r w:rsidRPr="00B004EE">
        <w:rPr>
          <w:rFonts w:ascii="Tahoma" w:hAnsi="Tahoma" w:cs="Tahoma"/>
          <w:sz w:val="20"/>
          <w:szCs w:val="20"/>
        </w:rPr>
        <w:t>cm</w:t>
      </w:r>
    </w:p>
    <w:p w14:paraId="5CF4981D" w14:textId="2363E48A" w:rsidR="008518B0" w:rsidRPr="00B004EE" w:rsidRDefault="008518B0" w:rsidP="00420DDA">
      <w:pPr>
        <w:numPr>
          <w:ilvl w:val="0"/>
          <w:numId w:val="51"/>
        </w:numPr>
        <w:tabs>
          <w:tab w:val="clear" w:pos="1065"/>
          <w:tab w:val="num" w:pos="567"/>
          <w:tab w:val="center" w:leader="dot" w:pos="8364"/>
        </w:tabs>
        <w:ind w:left="567"/>
        <w:jc w:val="both"/>
        <w:rPr>
          <w:rFonts w:ascii="Tahoma" w:hAnsi="Tahoma" w:cs="Tahoma"/>
          <w:sz w:val="20"/>
          <w:szCs w:val="20"/>
        </w:rPr>
      </w:pPr>
      <w:r w:rsidRPr="00B004EE">
        <w:rPr>
          <w:rFonts w:ascii="Tahoma" w:hAnsi="Tahoma" w:cs="Tahoma"/>
          <w:sz w:val="20"/>
          <w:szCs w:val="20"/>
        </w:rPr>
        <w:t>Chien</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mer,</w:t>
      </w:r>
      <w:r w:rsidR="00DB1635" w:rsidRPr="00B004EE">
        <w:rPr>
          <w:rFonts w:ascii="Tahoma" w:hAnsi="Tahoma" w:cs="Tahoma"/>
          <w:sz w:val="20"/>
          <w:szCs w:val="20"/>
        </w:rPr>
        <w:t xml:space="preserve"> </w:t>
      </w:r>
      <w:r w:rsidRPr="00B004EE">
        <w:rPr>
          <w:rFonts w:ascii="Tahoma" w:hAnsi="Tahoma" w:cs="Tahoma"/>
          <w:sz w:val="20"/>
          <w:szCs w:val="20"/>
        </w:rPr>
        <w:t>Tollos,</w:t>
      </w:r>
      <w:r w:rsidR="00DB1635" w:rsidRPr="00B004EE">
        <w:rPr>
          <w:rFonts w:ascii="Tahoma" w:hAnsi="Tahoma" w:cs="Tahoma"/>
          <w:sz w:val="20"/>
          <w:szCs w:val="20"/>
        </w:rPr>
        <w:t xml:space="preserve"> </w:t>
      </w:r>
      <w:r w:rsidRPr="00B004EE">
        <w:rPr>
          <w:rFonts w:ascii="Tahoma" w:hAnsi="Tahoma" w:cs="Tahoma"/>
          <w:sz w:val="20"/>
          <w:szCs w:val="20"/>
        </w:rPr>
        <w:t>Cazon</w:t>
      </w:r>
      <w:r w:rsidR="00DB1635" w:rsidRPr="00B004EE">
        <w:rPr>
          <w:rFonts w:ascii="Tahoma" w:hAnsi="Tahoma" w:cs="Tahoma"/>
          <w:sz w:val="20"/>
          <w:szCs w:val="20"/>
        </w:rPr>
        <w:t xml:space="preserve"> </w:t>
      </w:r>
      <w:r w:rsidRPr="00B004EE">
        <w:rPr>
          <w:rFonts w:ascii="Tahoma" w:hAnsi="Tahoma" w:cs="Tahoma"/>
          <w:sz w:val="20"/>
          <w:szCs w:val="20"/>
        </w:rPr>
        <w:t>(</w:t>
      </w:r>
      <w:r w:rsidRPr="00B004EE">
        <w:rPr>
          <w:rFonts w:ascii="Tahoma" w:hAnsi="Tahoma" w:cs="Tahoma"/>
          <w:i/>
          <w:sz w:val="20"/>
          <w:szCs w:val="20"/>
        </w:rPr>
        <w:t>Mustellus</w:t>
      </w:r>
      <w:r w:rsidR="00DB1635" w:rsidRPr="00B004EE">
        <w:rPr>
          <w:rFonts w:ascii="Tahoma" w:hAnsi="Tahoma" w:cs="Tahoma"/>
          <w:i/>
          <w:sz w:val="20"/>
          <w:szCs w:val="20"/>
        </w:rPr>
        <w:t xml:space="preserve"> </w:t>
      </w:r>
      <w:r w:rsidRPr="00B004EE">
        <w:rPr>
          <w:rFonts w:ascii="Tahoma" w:hAnsi="Tahoma" w:cs="Tahoma"/>
          <w:i/>
          <w:sz w:val="20"/>
          <w:szCs w:val="20"/>
        </w:rPr>
        <w:t>mustellus,</w:t>
      </w:r>
      <w:r w:rsidR="00DB1635" w:rsidRPr="00B004EE">
        <w:rPr>
          <w:rFonts w:ascii="Tahoma" w:hAnsi="Tahoma" w:cs="Tahoma"/>
          <w:i/>
          <w:sz w:val="20"/>
          <w:szCs w:val="20"/>
        </w:rPr>
        <w:t xml:space="preserve"> </w:t>
      </w:r>
      <w:r w:rsidRPr="00B004EE">
        <w:rPr>
          <w:rFonts w:ascii="Tahoma" w:hAnsi="Tahoma" w:cs="Tahoma"/>
          <w:i/>
          <w:sz w:val="20"/>
          <w:szCs w:val="20"/>
        </w:rPr>
        <w:t>Leptocharias</w:t>
      </w:r>
      <w:r w:rsidR="00DB1635" w:rsidRPr="00B004EE">
        <w:rPr>
          <w:rFonts w:ascii="Tahoma" w:hAnsi="Tahoma" w:cs="Tahoma"/>
          <w:i/>
          <w:sz w:val="20"/>
          <w:szCs w:val="20"/>
        </w:rPr>
        <w:t xml:space="preserve"> </w:t>
      </w:r>
      <w:r w:rsidRPr="00B004EE">
        <w:rPr>
          <w:rFonts w:ascii="Tahoma" w:hAnsi="Tahoma" w:cs="Tahoma"/>
          <w:i/>
          <w:sz w:val="20"/>
          <w:szCs w:val="20"/>
        </w:rPr>
        <w:t>smithi</w:t>
      </w:r>
      <w:r w:rsidRPr="00B004EE">
        <w:rPr>
          <w:rFonts w:ascii="Tahoma" w:hAnsi="Tahoma" w:cs="Tahoma"/>
          <w:sz w:val="20"/>
          <w:szCs w:val="20"/>
        </w:rPr>
        <w:t>)</w:t>
      </w:r>
      <w:r w:rsidRPr="00B004EE">
        <w:rPr>
          <w:rFonts w:ascii="Tahoma" w:hAnsi="Tahoma" w:cs="Tahoma"/>
          <w:sz w:val="20"/>
          <w:szCs w:val="20"/>
        </w:rPr>
        <w:tab/>
        <w:t>60</w:t>
      </w:r>
      <w:r w:rsidR="00DB1635" w:rsidRPr="00B004EE">
        <w:rPr>
          <w:rFonts w:ascii="Tahoma" w:hAnsi="Tahoma" w:cs="Tahoma"/>
          <w:sz w:val="20"/>
          <w:szCs w:val="20"/>
        </w:rPr>
        <w:t xml:space="preserve"> </w:t>
      </w:r>
      <w:r w:rsidRPr="00B004EE">
        <w:rPr>
          <w:rFonts w:ascii="Tahoma" w:hAnsi="Tahoma" w:cs="Tahoma"/>
          <w:sz w:val="20"/>
          <w:szCs w:val="20"/>
        </w:rPr>
        <w:t>cm</w:t>
      </w:r>
    </w:p>
    <w:p w14:paraId="2E7C67AE" w14:textId="026555C3" w:rsidR="008518B0" w:rsidRPr="00B004EE" w:rsidRDefault="008518B0" w:rsidP="00420DDA">
      <w:pPr>
        <w:numPr>
          <w:ilvl w:val="0"/>
          <w:numId w:val="51"/>
        </w:numPr>
        <w:tabs>
          <w:tab w:val="clear" w:pos="1065"/>
          <w:tab w:val="num" w:pos="567"/>
          <w:tab w:val="center" w:leader="dot" w:pos="8364"/>
        </w:tabs>
        <w:ind w:left="567"/>
        <w:jc w:val="both"/>
        <w:rPr>
          <w:rFonts w:ascii="Tahoma" w:hAnsi="Tahoma" w:cs="Tahoma"/>
          <w:sz w:val="20"/>
          <w:szCs w:val="20"/>
        </w:rPr>
      </w:pPr>
      <w:r w:rsidRPr="00B004EE">
        <w:rPr>
          <w:rFonts w:ascii="Tahoma" w:hAnsi="Tahoma" w:cs="Tahoma"/>
          <w:sz w:val="20"/>
          <w:szCs w:val="20"/>
        </w:rPr>
        <w:t>Truites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mer,</w:t>
      </w:r>
      <w:r w:rsidR="00DB1635" w:rsidRPr="00B004EE">
        <w:rPr>
          <w:rFonts w:ascii="Tahoma" w:hAnsi="Tahoma" w:cs="Tahoma"/>
          <w:sz w:val="20"/>
          <w:szCs w:val="20"/>
        </w:rPr>
        <w:t xml:space="preserve"> </w:t>
      </w:r>
      <w:r w:rsidRPr="00B004EE">
        <w:rPr>
          <w:rFonts w:ascii="Tahoma" w:hAnsi="Tahoma" w:cs="Tahoma"/>
          <w:sz w:val="20"/>
          <w:szCs w:val="20"/>
        </w:rPr>
        <w:t>Baïla</w:t>
      </w:r>
      <w:r w:rsidR="00DB1635" w:rsidRPr="00B004EE">
        <w:rPr>
          <w:rFonts w:ascii="Tahoma" w:hAnsi="Tahoma" w:cs="Tahoma"/>
          <w:sz w:val="20"/>
          <w:szCs w:val="20"/>
        </w:rPr>
        <w:t xml:space="preserve"> </w:t>
      </w:r>
      <w:r w:rsidRPr="00B004EE">
        <w:rPr>
          <w:rFonts w:ascii="Tahoma" w:hAnsi="Tahoma" w:cs="Tahoma"/>
          <w:sz w:val="20"/>
          <w:szCs w:val="20"/>
        </w:rPr>
        <w:t>(</w:t>
      </w:r>
      <w:r w:rsidRPr="00B004EE">
        <w:rPr>
          <w:rFonts w:ascii="Tahoma" w:hAnsi="Tahoma" w:cs="Tahoma"/>
          <w:i/>
          <w:sz w:val="20"/>
          <w:szCs w:val="20"/>
        </w:rPr>
        <w:t>Dicentrarchus</w:t>
      </w:r>
      <w:r w:rsidR="00DB1635" w:rsidRPr="00B004EE">
        <w:rPr>
          <w:rFonts w:ascii="Tahoma" w:hAnsi="Tahoma" w:cs="Tahoma"/>
          <w:i/>
          <w:sz w:val="20"/>
          <w:szCs w:val="20"/>
        </w:rPr>
        <w:t xml:space="preserve"> </w:t>
      </w:r>
      <w:r w:rsidRPr="00B004EE">
        <w:rPr>
          <w:rFonts w:ascii="Tahoma" w:hAnsi="Tahoma" w:cs="Tahoma"/>
          <w:i/>
          <w:sz w:val="20"/>
          <w:szCs w:val="20"/>
        </w:rPr>
        <w:t>punctatus</w:t>
      </w:r>
      <w:r w:rsidRPr="00B004EE">
        <w:rPr>
          <w:rFonts w:ascii="Tahoma" w:hAnsi="Tahoma" w:cs="Tahoma"/>
          <w:sz w:val="20"/>
          <w:szCs w:val="20"/>
        </w:rPr>
        <w:t>)</w:t>
      </w:r>
      <w:r w:rsidRPr="00B004EE">
        <w:rPr>
          <w:rFonts w:ascii="Tahoma" w:hAnsi="Tahoma" w:cs="Tahoma"/>
          <w:sz w:val="20"/>
          <w:szCs w:val="20"/>
        </w:rPr>
        <w:tab/>
        <w:t>20</w:t>
      </w:r>
      <w:r w:rsidR="00DB1635" w:rsidRPr="00B004EE">
        <w:rPr>
          <w:rFonts w:ascii="Tahoma" w:hAnsi="Tahoma" w:cs="Tahoma"/>
          <w:sz w:val="20"/>
          <w:szCs w:val="20"/>
        </w:rPr>
        <w:t xml:space="preserve"> </w:t>
      </w:r>
      <w:r w:rsidRPr="00B004EE">
        <w:rPr>
          <w:rFonts w:ascii="Tahoma" w:hAnsi="Tahoma" w:cs="Tahoma"/>
          <w:sz w:val="20"/>
          <w:szCs w:val="20"/>
        </w:rPr>
        <w:t>cm</w:t>
      </w:r>
    </w:p>
    <w:p w14:paraId="75A23B33" w14:textId="715534D1" w:rsidR="008518B0" w:rsidRPr="00B004EE" w:rsidRDefault="008518B0" w:rsidP="00420DDA">
      <w:pPr>
        <w:numPr>
          <w:ilvl w:val="0"/>
          <w:numId w:val="51"/>
        </w:numPr>
        <w:tabs>
          <w:tab w:val="clear" w:pos="1065"/>
          <w:tab w:val="num" w:pos="567"/>
          <w:tab w:val="center" w:leader="dot" w:pos="8364"/>
        </w:tabs>
        <w:ind w:left="567"/>
        <w:jc w:val="both"/>
        <w:rPr>
          <w:rFonts w:ascii="Tahoma" w:hAnsi="Tahoma" w:cs="Tahoma"/>
          <w:sz w:val="20"/>
          <w:szCs w:val="20"/>
        </w:rPr>
      </w:pPr>
      <w:r w:rsidRPr="00B004EE">
        <w:rPr>
          <w:rFonts w:ascii="Tahoma" w:hAnsi="Tahoma" w:cs="Tahoma"/>
          <w:sz w:val="20"/>
          <w:szCs w:val="20"/>
        </w:rPr>
        <w:t>Lengua,</w:t>
      </w:r>
      <w:r w:rsidR="00DB1635" w:rsidRPr="00B004EE">
        <w:rPr>
          <w:rFonts w:ascii="Tahoma" w:hAnsi="Tahoma" w:cs="Tahoma"/>
          <w:sz w:val="20"/>
          <w:szCs w:val="20"/>
        </w:rPr>
        <w:t xml:space="preserve"> </w:t>
      </w:r>
      <w:r w:rsidRPr="00B004EE">
        <w:rPr>
          <w:rFonts w:ascii="Tahoma" w:hAnsi="Tahoma" w:cs="Tahoma"/>
          <w:sz w:val="20"/>
          <w:szCs w:val="20"/>
        </w:rPr>
        <w:t>sole-langue</w:t>
      </w:r>
      <w:r w:rsidR="00DB1635" w:rsidRPr="00B004EE">
        <w:rPr>
          <w:rFonts w:ascii="Tahoma" w:hAnsi="Tahoma" w:cs="Tahoma"/>
          <w:sz w:val="20"/>
          <w:szCs w:val="20"/>
        </w:rPr>
        <w:t xml:space="preserve"> </w:t>
      </w:r>
      <w:r w:rsidRPr="00B004EE">
        <w:rPr>
          <w:rFonts w:ascii="Tahoma" w:hAnsi="Tahoma" w:cs="Tahoma"/>
          <w:sz w:val="20"/>
          <w:szCs w:val="20"/>
        </w:rPr>
        <w:t>(Cynoglossus</w:t>
      </w:r>
      <w:r w:rsidR="00DB1635" w:rsidRPr="00B004EE">
        <w:rPr>
          <w:rFonts w:ascii="Tahoma" w:hAnsi="Tahoma" w:cs="Tahoma"/>
          <w:sz w:val="20"/>
          <w:szCs w:val="20"/>
        </w:rPr>
        <w:t xml:space="preserve"> </w:t>
      </w:r>
      <w:r w:rsidRPr="00B004EE">
        <w:rPr>
          <w:rFonts w:ascii="Tahoma" w:hAnsi="Tahoma" w:cs="Tahoma"/>
          <w:sz w:val="20"/>
          <w:szCs w:val="20"/>
        </w:rPr>
        <w:t>canariensis,</w:t>
      </w:r>
      <w:r w:rsidR="00DB1635" w:rsidRPr="00B004EE">
        <w:rPr>
          <w:rFonts w:ascii="Tahoma" w:hAnsi="Tahoma" w:cs="Tahoma"/>
          <w:sz w:val="20"/>
          <w:szCs w:val="20"/>
        </w:rPr>
        <w:t xml:space="preserve"> </w:t>
      </w:r>
      <w:r w:rsidRPr="00B004EE">
        <w:rPr>
          <w:rFonts w:ascii="Tahoma" w:hAnsi="Tahoma" w:cs="Tahoma"/>
          <w:sz w:val="20"/>
          <w:szCs w:val="20"/>
        </w:rPr>
        <w:t>Cynoglossus</w:t>
      </w:r>
      <w:r w:rsidR="00DB1635" w:rsidRPr="00B004EE">
        <w:rPr>
          <w:rFonts w:ascii="Tahoma" w:hAnsi="Tahoma" w:cs="Tahoma"/>
          <w:sz w:val="20"/>
          <w:szCs w:val="20"/>
        </w:rPr>
        <w:t xml:space="preserve"> </w:t>
      </w:r>
      <w:r w:rsidRPr="00B004EE">
        <w:rPr>
          <w:rFonts w:ascii="Tahoma" w:hAnsi="Tahoma" w:cs="Tahoma"/>
          <w:sz w:val="20"/>
          <w:szCs w:val="20"/>
        </w:rPr>
        <w:t>monodi)</w:t>
      </w:r>
      <w:r w:rsidRPr="00B004EE">
        <w:rPr>
          <w:rFonts w:ascii="Tahoma" w:hAnsi="Tahoma" w:cs="Tahoma"/>
          <w:sz w:val="20"/>
          <w:szCs w:val="20"/>
        </w:rPr>
        <w:tab/>
        <w:t>20</w:t>
      </w:r>
      <w:r w:rsidR="00DB1635" w:rsidRPr="00B004EE">
        <w:rPr>
          <w:rFonts w:ascii="Tahoma" w:hAnsi="Tahoma" w:cs="Tahoma"/>
          <w:sz w:val="20"/>
          <w:szCs w:val="20"/>
        </w:rPr>
        <w:t xml:space="preserve"> </w:t>
      </w:r>
      <w:r w:rsidRPr="00B004EE">
        <w:rPr>
          <w:rFonts w:ascii="Tahoma" w:hAnsi="Tahoma" w:cs="Tahoma"/>
          <w:sz w:val="20"/>
          <w:szCs w:val="20"/>
        </w:rPr>
        <w:t>cm</w:t>
      </w:r>
    </w:p>
    <w:p w14:paraId="6BC60E2F" w14:textId="7D134B7A" w:rsidR="008518B0" w:rsidRPr="00B004EE" w:rsidRDefault="008518B0" w:rsidP="00420DDA">
      <w:pPr>
        <w:numPr>
          <w:ilvl w:val="0"/>
          <w:numId w:val="51"/>
        </w:numPr>
        <w:tabs>
          <w:tab w:val="clear" w:pos="1065"/>
          <w:tab w:val="num" w:pos="567"/>
          <w:tab w:val="center" w:leader="dot" w:pos="8364"/>
        </w:tabs>
        <w:ind w:left="567"/>
        <w:jc w:val="both"/>
        <w:rPr>
          <w:rFonts w:ascii="Tahoma" w:hAnsi="Tahoma" w:cs="Tahoma"/>
          <w:sz w:val="20"/>
          <w:szCs w:val="20"/>
        </w:rPr>
      </w:pPr>
      <w:r w:rsidRPr="00B004EE">
        <w:rPr>
          <w:rFonts w:ascii="Tahoma" w:hAnsi="Tahoma" w:cs="Tahoma"/>
          <w:sz w:val="20"/>
          <w:szCs w:val="20"/>
        </w:rPr>
        <w:t>Lengua,</w:t>
      </w:r>
      <w:r w:rsidR="00DB1635" w:rsidRPr="00B004EE">
        <w:rPr>
          <w:rFonts w:ascii="Tahoma" w:hAnsi="Tahoma" w:cs="Tahoma"/>
          <w:sz w:val="20"/>
          <w:szCs w:val="20"/>
        </w:rPr>
        <w:t xml:space="preserve"> </w:t>
      </w:r>
      <w:r w:rsidRPr="00B004EE">
        <w:rPr>
          <w:rFonts w:ascii="Tahoma" w:hAnsi="Tahoma" w:cs="Tahoma"/>
          <w:sz w:val="20"/>
          <w:szCs w:val="20"/>
        </w:rPr>
        <w:t>sole-langue</w:t>
      </w:r>
      <w:r w:rsidR="00566A20" w:rsidRPr="00B004EE">
        <w:rPr>
          <w:rFonts w:ascii="Tahoma" w:hAnsi="Tahoma" w:cs="Tahoma"/>
          <w:sz w:val="20"/>
          <w:szCs w:val="20"/>
        </w:rPr>
        <w:t xml:space="preserve"> </w:t>
      </w:r>
      <w:r w:rsidRPr="00B004EE">
        <w:rPr>
          <w:rFonts w:ascii="Tahoma" w:hAnsi="Tahoma" w:cs="Tahoma"/>
          <w:sz w:val="20"/>
          <w:szCs w:val="20"/>
        </w:rPr>
        <w:t>(Cynoglossus</w:t>
      </w:r>
      <w:r w:rsidR="00DB1635" w:rsidRPr="00B004EE">
        <w:rPr>
          <w:rFonts w:ascii="Tahoma" w:hAnsi="Tahoma" w:cs="Tahoma"/>
          <w:sz w:val="20"/>
          <w:szCs w:val="20"/>
        </w:rPr>
        <w:t xml:space="preserve"> </w:t>
      </w:r>
      <w:r w:rsidRPr="00B004EE">
        <w:rPr>
          <w:rFonts w:ascii="Tahoma" w:hAnsi="Tahoma" w:cs="Tahoma"/>
          <w:sz w:val="20"/>
          <w:szCs w:val="20"/>
        </w:rPr>
        <w:t>cadenati,</w:t>
      </w:r>
      <w:r w:rsidR="00DB1635" w:rsidRPr="00B004EE">
        <w:rPr>
          <w:rFonts w:ascii="Tahoma" w:hAnsi="Tahoma" w:cs="Tahoma"/>
          <w:sz w:val="20"/>
          <w:szCs w:val="20"/>
        </w:rPr>
        <w:t xml:space="preserve"> </w:t>
      </w:r>
      <w:r w:rsidRPr="00B004EE">
        <w:rPr>
          <w:rFonts w:ascii="Tahoma" w:hAnsi="Tahoma" w:cs="Tahoma"/>
          <w:sz w:val="20"/>
          <w:szCs w:val="20"/>
        </w:rPr>
        <w:t>Cynoglossus</w:t>
      </w:r>
      <w:r w:rsidR="00DB1635" w:rsidRPr="00B004EE">
        <w:rPr>
          <w:rFonts w:ascii="Tahoma" w:hAnsi="Tahoma" w:cs="Tahoma"/>
          <w:sz w:val="20"/>
          <w:szCs w:val="20"/>
        </w:rPr>
        <w:t xml:space="preserve"> </w:t>
      </w:r>
      <w:r w:rsidRPr="00B004EE">
        <w:rPr>
          <w:rFonts w:ascii="Tahoma" w:hAnsi="Tahoma" w:cs="Tahoma"/>
          <w:sz w:val="20"/>
          <w:szCs w:val="20"/>
        </w:rPr>
        <w:t>senegalensis)</w:t>
      </w:r>
      <w:r w:rsidRPr="00B004EE">
        <w:rPr>
          <w:rFonts w:ascii="Tahoma" w:hAnsi="Tahoma" w:cs="Tahoma"/>
          <w:sz w:val="20"/>
          <w:szCs w:val="20"/>
        </w:rPr>
        <w:tab/>
        <w:t>30</w:t>
      </w:r>
      <w:r w:rsidR="00DB1635" w:rsidRPr="00B004EE">
        <w:rPr>
          <w:rFonts w:ascii="Tahoma" w:hAnsi="Tahoma" w:cs="Tahoma"/>
          <w:sz w:val="20"/>
          <w:szCs w:val="20"/>
        </w:rPr>
        <w:t xml:space="preserve"> </w:t>
      </w:r>
      <w:r w:rsidRPr="00B004EE">
        <w:rPr>
          <w:rFonts w:ascii="Tahoma" w:hAnsi="Tahoma" w:cs="Tahoma"/>
          <w:sz w:val="20"/>
          <w:szCs w:val="20"/>
        </w:rPr>
        <w:t>cm</w:t>
      </w:r>
    </w:p>
    <w:p w14:paraId="281B0841" w14:textId="07F9C6E5" w:rsidR="008518B0" w:rsidRPr="00B004EE" w:rsidRDefault="008518B0" w:rsidP="00420DDA">
      <w:pPr>
        <w:numPr>
          <w:ilvl w:val="0"/>
          <w:numId w:val="51"/>
        </w:numPr>
        <w:tabs>
          <w:tab w:val="clear" w:pos="1065"/>
          <w:tab w:val="num" w:pos="567"/>
          <w:tab w:val="center" w:leader="dot" w:pos="8364"/>
        </w:tabs>
        <w:ind w:left="567"/>
        <w:jc w:val="both"/>
        <w:rPr>
          <w:rFonts w:ascii="Tahoma" w:hAnsi="Tahoma" w:cs="Tahoma"/>
          <w:sz w:val="20"/>
          <w:szCs w:val="20"/>
          <w:lang w:val="de-DE"/>
        </w:rPr>
      </w:pPr>
      <w:r w:rsidRPr="00B004EE">
        <w:rPr>
          <w:rFonts w:ascii="Tahoma" w:hAnsi="Tahoma" w:cs="Tahoma"/>
          <w:sz w:val="20"/>
          <w:szCs w:val="20"/>
          <w:lang w:val="de-DE"/>
        </w:rPr>
        <w:t>Merlu</w:t>
      </w:r>
      <w:r w:rsidR="00DB1635" w:rsidRPr="00B004EE">
        <w:rPr>
          <w:rFonts w:ascii="Tahoma" w:hAnsi="Tahoma" w:cs="Tahoma"/>
          <w:sz w:val="20"/>
          <w:szCs w:val="20"/>
          <w:lang w:val="de-DE"/>
        </w:rPr>
        <w:t xml:space="preserve"> </w:t>
      </w:r>
      <w:r w:rsidRPr="00B004EE">
        <w:rPr>
          <w:rFonts w:ascii="Tahoma" w:hAnsi="Tahoma" w:cs="Tahoma"/>
          <w:sz w:val="20"/>
          <w:szCs w:val="20"/>
          <w:lang w:val="de-DE"/>
        </w:rPr>
        <w:t>(</w:t>
      </w:r>
      <w:r w:rsidRPr="00B004EE">
        <w:rPr>
          <w:rFonts w:ascii="Tahoma" w:hAnsi="Tahoma" w:cs="Tahoma"/>
          <w:i/>
          <w:sz w:val="20"/>
          <w:szCs w:val="20"/>
          <w:lang w:val="de-DE"/>
        </w:rPr>
        <w:t>Merliccius</w:t>
      </w:r>
      <w:r w:rsidR="00DB1635" w:rsidRPr="00B004EE">
        <w:rPr>
          <w:rFonts w:ascii="Tahoma" w:hAnsi="Tahoma" w:cs="Tahoma"/>
          <w:i/>
          <w:sz w:val="20"/>
          <w:szCs w:val="20"/>
          <w:lang w:val="de-DE"/>
        </w:rPr>
        <w:t xml:space="preserve"> </w:t>
      </w:r>
      <w:r w:rsidRPr="00B004EE">
        <w:rPr>
          <w:rFonts w:ascii="Tahoma" w:hAnsi="Tahoma" w:cs="Tahoma"/>
          <w:i/>
          <w:sz w:val="20"/>
          <w:szCs w:val="20"/>
          <w:lang w:val="de-DE"/>
        </w:rPr>
        <w:t>Spp)</w:t>
      </w:r>
      <w:r w:rsidRPr="00B004EE">
        <w:rPr>
          <w:rFonts w:ascii="Tahoma" w:hAnsi="Tahoma" w:cs="Tahoma"/>
          <w:sz w:val="20"/>
          <w:szCs w:val="20"/>
          <w:lang w:val="de-DE"/>
        </w:rPr>
        <w:tab/>
        <w:t>30</w:t>
      </w:r>
      <w:r w:rsidR="00DB1635" w:rsidRPr="00B004EE">
        <w:rPr>
          <w:rFonts w:ascii="Tahoma" w:hAnsi="Tahoma" w:cs="Tahoma"/>
          <w:sz w:val="20"/>
          <w:szCs w:val="20"/>
          <w:lang w:val="de-DE"/>
        </w:rPr>
        <w:t xml:space="preserve"> </w:t>
      </w:r>
      <w:r w:rsidRPr="00B004EE">
        <w:rPr>
          <w:rFonts w:ascii="Tahoma" w:hAnsi="Tahoma" w:cs="Tahoma"/>
          <w:sz w:val="20"/>
          <w:szCs w:val="20"/>
          <w:lang w:val="de-DE"/>
        </w:rPr>
        <w:t>cm</w:t>
      </w:r>
    </w:p>
    <w:p w14:paraId="30185DBC" w14:textId="59E20A8D" w:rsidR="008518B0" w:rsidRPr="00B004EE" w:rsidRDefault="008518B0" w:rsidP="00420DDA">
      <w:pPr>
        <w:numPr>
          <w:ilvl w:val="0"/>
          <w:numId w:val="51"/>
        </w:numPr>
        <w:tabs>
          <w:tab w:val="clear" w:pos="1065"/>
          <w:tab w:val="num" w:pos="567"/>
          <w:tab w:val="center" w:leader="dot" w:pos="8364"/>
        </w:tabs>
        <w:ind w:left="567"/>
        <w:jc w:val="both"/>
        <w:rPr>
          <w:rFonts w:ascii="Tahoma" w:hAnsi="Tahoma" w:cs="Tahoma"/>
          <w:sz w:val="20"/>
          <w:szCs w:val="20"/>
        </w:rPr>
      </w:pPr>
      <w:r w:rsidRPr="00B004EE">
        <w:rPr>
          <w:rFonts w:ascii="Tahoma" w:hAnsi="Tahoma" w:cs="Tahoma"/>
          <w:sz w:val="20"/>
          <w:szCs w:val="20"/>
        </w:rPr>
        <w:t>Albacore</w:t>
      </w:r>
      <w:r w:rsidR="00DB1635" w:rsidRPr="00B004EE">
        <w:rPr>
          <w:rFonts w:ascii="Tahoma" w:hAnsi="Tahoma" w:cs="Tahoma"/>
          <w:sz w:val="20"/>
          <w:szCs w:val="20"/>
        </w:rPr>
        <w:t xml:space="preserve"> </w:t>
      </w:r>
      <w:r w:rsidRPr="00B004EE">
        <w:rPr>
          <w:rFonts w:ascii="Tahoma" w:hAnsi="Tahoma" w:cs="Tahoma"/>
          <w:sz w:val="20"/>
          <w:szCs w:val="20"/>
        </w:rPr>
        <w:t>(</w:t>
      </w:r>
      <w:r w:rsidRPr="00B004EE">
        <w:rPr>
          <w:rFonts w:ascii="Tahoma" w:hAnsi="Tahoma" w:cs="Tahoma"/>
          <w:i/>
          <w:sz w:val="20"/>
          <w:szCs w:val="20"/>
        </w:rPr>
        <w:t>Thunnus</w:t>
      </w:r>
      <w:r w:rsidR="00DB1635" w:rsidRPr="00B004EE">
        <w:rPr>
          <w:rFonts w:ascii="Tahoma" w:hAnsi="Tahoma" w:cs="Tahoma"/>
          <w:i/>
          <w:sz w:val="20"/>
          <w:szCs w:val="20"/>
        </w:rPr>
        <w:t xml:space="preserve"> </w:t>
      </w:r>
      <w:r w:rsidRPr="00B004EE">
        <w:rPr>
          <w:rFonts w:ascii="Tahoma" w:hAnsi="Tahoma" w:cs="Tahoma"/>
          <w:i/>
          <w:sz w:val="20"/>
          <w:szCs w:val="20"/>
        </w:rPr>
        <w:t>albacares</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d'un</w:t>
      </w:r>
      <w:r w:rsidR="00DB1635" w:rsidRPr="00B004EE">
        <w:rPr>
          <w:rFonts w:ascii="Tahoma" w:hAnsi="Tahoma" w:cs="Tahoma"/>
          <w:sz w:val="20"/>
          <w:szCs w:val="20"/>
        </w:rPr>
        <w:t xml:space="preserve"> </w:t>
      </w:r>
      <w:r w:rsidRPr="00B004EE">
        <w:rPr>
          <w:rFonts w:ascii="Tahoma" w:hAnsi="Tahoma" w:cs="Tahoma"/>
          <w:sz w:val="20"/>
          <w:szCs w:val="20"/>
        </w:rPr>
        <w:t>poids</w:t>
      </w:r>
      <w:r w:rsidR="00DB1635" w:rsidRPr="00B004EE">
        <w:rPr>
          <w:rFonts w:ascii="Tahoma" w:hAnsi="Tahoma" w:cs="Tahoma"/>
          <w:sz w:val="20"/>
          <w:szCs w:val="20"/>
        </w:rPr>
        <w:t xml:space="preserve"> </w:t>
      </w:r>
      <w:r w:rsidRPr="00B004EE">
        <w:rPr>
          <w:rFonts w:ascii="Tahoma" w:hAnsi="Tahoma" w:cs="Tahoma"/>
          <w:sz w:val="20"/>
          <w:szCs w:val="20"/>
        </w:rPr>
        <w:t>inférieur</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ab/>
        <w:t>3,2</w:t>
      </w:r>
      <w:r w:rsidR="00DB1635" w:rsidRPr="00B004EE">
        <w:rPr>
          <w:rFonts w:ascii="Tahoma" w:hAnsi="Tahoma" w:cs="Tahoma"/>
          <w:sz w:val="20"/>
          <w:szCs w:val="20"/>
        </w:rPr>
        <w:t xml:space="preserve"> </w:t>
      </w:r>
      <w:r w:rsidRPr="00B004EE">
        <w:rPr>
          <w:rFonts w:ascii="Tahoma" w:hAnsi="Tahoma" w:cs="Tahoma"/>
          <w:sz w:val="20"/>
          <w:szCs w:val="20"/>
        </w:rPr>
        <w:t>kg</w:t>
      </w:r>
    </w:p>
    <w:p w14:paraId="31D0D103" w14:textId="40568FEB" w:rsidR="008518B0" w:rsidRPr="00B004EE" w:rsidRDefault="008518B0" w:rsidP="00420DDA">
      <w:pPr>
        <w:pStyle w:val="Pieddepage"/>
        <w:numPr>
          <w:ilvl w:val="0"/>
          <w:numId w:val="51"/>
        </w:numPr>
        <w:tabs>
          <w:tab w:val="clear" w:pos="1065"/>
          <w:tab w:val="clear" w:pos="4536"/>
          <w:tab w:val="clear" w:pos="9072"/>
          <w:tab w:val="num" w:pos="567"/>
          <w:tab w:val="center" w:leader="dot" w:pos="8364"/>
        </w:tabs>
        <w:ind w:left="567"/>
        <w:jc w:val="both"/>
        <w:rPr>
          <w:rFonts w:ascii="Tahoma" w:hAnsi="Tahoma" w:cs="Tahoma"/>
        </w:rPr>
      </w:pPr>
      <w:r w:rsidRPr="00B004EE">
        <w:rPr>
          <w:rFonts w:ascii="Tahoma" w:hAnsi="Tahoma" w:cs="Tahoma"/>
        </w:rPr>
        <w:t>Patudo</w:t>
      </w:r>
      <w:r w:rsidR="00DB1635" w:rsidRPr="00B004EE">
        <w:rPr>
          <w:rFonts w:ascii="Tahoma" w:hAnsi="Tahoma" w:cs="Tahoma"/>
        </w:rPr>
        <w:t xml:space="preserve"> </w:t>
      </w:r>
      <w:r w:rsidRPr="00B004EE">
        <w:rPr>
          <w:rFonts w:ascii="Tahoma" w:hAnsi="Tahoma" w:cs="Tahoma"/>
        </w:rPr>
        <w:t>(</w:t>
      </w:r>
      <w:r w:rsidRPr="00B004EE">
        <w:rPr>
          <w:rFonts w:ascii="Tahoma" w:hAnsi="Tahoma" w:cs="Tahoma"/>
          <w:i/>
        </w:rPr>
        <w:t>Thunnus</w:t>
      </w:r>
      <w:r w:rsidR="00DB1635" w:rsidRPr="00B004EE">
        <w:rPr>
          <w:rFonts w:ascii="Tahoma" w:hAnsi="Tahoma" w:cs="Tahoma"/>
          <w:i/>
        </w:rPr>
        <w:t xml:space="preserve"> </w:t>
      </w:r>
      <w:r w:rsidRPr="00B004EE">
        <w:rPr>
          <w:rFonts w:ascii="Tahoma" w:hAnsi="Tahoma" w:cs="Tahoma"/>
          <w:i/>
        </w:rPr>
        <w:t>obesus</w:t>
      </w:r>
      <w:r w:rsidRPr="00B004EE">
        <w:rPr>
          <w:rFonts w:ascii="Tahoma" w:hAnsi="Tahoma" w:cs="Tahoma"/>
        </w:rPr>
        <w:t>)</w:t>
      </w:r>
      <w:r w:rsidR="00DB1635" w:rsidRPr="00B004EE">
        <w:rPr>
          <w:rFonts w:ascii="Tahoma" w:hAnsi="Tahoma" w:cs="Tahoma"/>
        </w:rPr>
        <w:t xml:space="preserve"> </w:t>
      </w:r>
      <w:r w:rsidRPr="00B004EE">
        <w:rPr>
          <w:rFonts w:ascii="Tahoma" w:hAnsi="Tahoma" w:cs="Tahoma"/>
        </w:rPr>
        <w:t>d'un</w:t>
      </w:r>
      <w:r w:rsidR="00DB1635" w:rsidRPr="00B004EE">
        <w:rPr>
          <w:rFonts w:ascii="Tahoma" w:hAnsi="Tahoma" w:cs="Tahoma"/>
        </w:rPr>
        <w:t xml:space="preserve"> </w:t>
      </w:r>
      <w:r w:rsidRPr="00B004EE">
        <w:rPr>
          <w:rFonts w:ascii="Tahoma" w:hAnsi="Tahoma" w:cs="Tahoma"/>
        </w:rPr>
        <w:t>poids</w:t>
      </w:r>
      <w:r w:rsidR="00DB1635" w:rsidRPr="00B004EE">
        <w:rPr>
          <w:rFonts w:ascii="Tahoma" w:hAnsi="Tahoma" w:cs="Tahoma"/>
        </w:rPr>
        <w:t xml:space="preserve"> </w:t>
      </w:r>
      <w:r w:rsidRPr="00B004EE">
        <w:rPr>
          <w:rFonts w:ascii="Tahoma" w:hAnsi="Tahoma" w:cs="Tahoma"/>
        </w:rPr>
        <w:t>inférieur</w:t>
      </w:r>
      <w:r w:rsidR="00DB1635" w:rsidRPr="00B004EE">
        <w:rPr>
          <w:rFonts w:ascii="Tahoma" w:hAnsi="Tahoma" w:cs="Tahoma"/>
        </w:rPr>
        <w:t xml:space="preserve"> </w:t>
      </w:r>
      <w:r w:rsidRPr="00B004EE">
        <w:rPr>
          <w:rFonts w:ascii="Tahoma" w:hAnsi="Tahoma" w:cs="Tahoma"/>
        </w:rPr>
        <w:t>à</w:t>
      </w:r>
      <w:r w:rsidR="00DB1635" w:rsidRPr="00B004EE">
        <w:rPr>
          <w:rFonts w:ascii="Tahoma" w:hAnsi="Tahoma" w:cs="Tahoma"/>
        </w:rPr>
        <w:t xml:space="preserve"> </w:t>
      </w:r>
      <w:r w:rsidRPr="00B004EE">
        <w:rPr>
          <w:rFonts w:ascii="Tahoma" w:hAnsi="Tahoma" w:cs="Tahoma"/>
        </w:rPr>
        <w:tab/>
        <w:t>3,2</w:t>
      </w:r>
      <w:r w:rsidR="00DB1635" w:rsidRPr="00B004EE">
        <w:rPr>
          <w:rFonts w:ascii="Tahoma" w:hAnsi="Tahoma" w:cs="Tahoma"/>
        </w:rPr>
        <w:t xml:space="preserve"> </w:t>
      </w:r>
      <w:r w:rsidRPr="00B004EE">
        <w:rPr>
          <w:rFonts w:ascii="Tahoma" w:hAnsi="Tahoma" w:cs="Tahoma"/>
        </w:rPr>
        <w:t>kg</w:t>
      </w:r>
    </w:p>
    <w:p w14:paraId="32EF2028" w14:textId="77777777" w:rsidR="008518B0" w:rsidRPr="00B004EE" w:rsidRDefault="008518B0" w:rsidP="00B004EE">
      <w:pPr>
        <w:pStyle w:val="Pieddepage"/>
        <w:tabs>
          <w:tab w:val="clear" w:pos="4536"/>
          <w:tab w:val="clear" w:pos="9072"/>
          <w:tab w:val="center" w:leader="dot" w:pos="8364"/>
        </w:tabs>
        <w:ind w:left="567"/>
        <w:jc w:val="both"/>
        <w:rPr>
          <w:rFonts w:ascii="Tahoma" w:hAnsi="Tahoma" w:cs="Tahoma"/>
        </w:rPr>
      </w:pPr>
    </w:p>
    <w:p w14:paraId="1AB15DA0" w14:textId="1826E578" w:rsidR="008518B0" w:rsidRPr="00B004EE" w:rsidRDefault="008518B0" w:rsidP="00420DDA">
      <w:pPr>
        <w:pStyle w:val="Paragraphedeliste"/>
        <w:numPr>
          <w:ilvl w:val="0"/>
          <w:numId w:val="69"/>
        </w:numPr>
        <w:tabs>
          <w:tab w:val="left" w:pos="8080"/>
          <w:tab w:val="center" w:leader="dot" w:pos="8364"/>
        </w:tabs>
        <w:jc w:val="both"/>
        <w:rPr>
          <w:rFonts w:ascii="Tahoma" w:hAnsi="Tahoma" w:cs="Tahoma"/>
          <w:b/>
          <w:bCs/>
          <w:i/>
          <w:iCs/>
          <w:sz w:val="20"/>
          <w:szCs w:val="20"/>
        </w:rPr>
      </w:pPr>
      <w:r w:rsidRPr="00B004EE">
        <w:rPr>
          <w:rFonts w:ascii="Tahoma" w:hAnsi="Tahoma" w:cs="Tahoma"/>
          <w:b/>
          <w:bCs/>
          <w:i/>
          <w:iCs/>
          <w:sz w:val="20"/>
          <w:szCs w:val="20"/>
        </w:rPr>
        <w:t>Pour</w:t>
      </w:r>
      <w:r w:rsidR="00DB1635" w:rsidRPr="00B004EE">
        <w:rPr>
          <w:rFonts w:ascii="Tahoma" w:hAnsi="Tahoma" w:cs="Tahoma"/>
          <w:b/>
          <w:bCs/>
          <w:i/>
          <w:iCs/>
          <w:sz w:val="20"/>
          <w:szCs w:val="20"/>
        </w:rPr>
        <w:t xml:space="preserve"> </w:t>
      </w:r>
      <w:r w:rsidRPr="00B004EE">
        <w:rPr>
          <w:rFonts w:ascii="Tahoma" w:hAnsi="Tahoma" w:cs="Tahoma"/>
          <w:b/>
          <w:bCs/>
          <w:i/>
          <w:iCs/>
          <w:sz w:val="20"/>
          <w:szCs w:val="20"/>
        </w:rPr>
        <w:t>les</w:t>
      </w:r>
      <w:r w:rsidR="00DB1635" w:rsidRPr="00B004EE">
        <w:rPr>
          <w:rFonts w:ascii="Tahoma" w:hAnsi="Tahoma" w:cs="Tahoma"/>
          <w:b/>
          <w:bCs/>
          <w:i/>
          <w:iCs/>
          <w:sz w:val="20"/>
          <w:szCs w:val="20"/>
        </w:rPr>
        <w:t xml:space="preserve"> </w:t>
      </w:r>
      <w:r w:rsidRPr="00B004EE">
        <w:rPr>
          <w:rFonts w:ascii="Tahoma" w:hAnsi="Tahoma" w:cs="Tahoma"/>
          <w:b/>
          <w:bCs/>
          <w:i/>
          <w:iCs/>
          <w:sz w:val="20"/>
          <w:szCs w:val="20"/>
        </w:rPr>
        <w:t>céphalopodes</w:t>
      </w:r>
      <w:r w:rsidR="00DB1635" w:rsidRPr="00B004EE">
        <w:rPr>
          <w:rFonts w:ascii="Tahoma" w:hAnsi="Tahoma" w:cs="Tahoma"/>
          <w:b/>
          <w:bCs/>
          <w:i/>
          <w:iCs/>
          <w:sz w:val="20"/>
          <w:szCs w:val="20"/>
        </w:rPr>
        <w:t xml:space="preserve"> </w:t>
      </w:r>
      <w:r w:rsidRPr="00B004EE">
        <w:rPr>
          <w:rFonts w:ascii="Tahoma" w:hAnsi="Tahoma" w:cs="Tahoma"/>
          <w:b/>
          <w:bCs/>
          <w:i/>
          <w:iCs/>
          <w:sz w:val="20"/>
          <w:szCs w:val="20"/>
        </w:rPr>
        <w:t>:</w:t>
      </w:r>
    </w:p>
    <w:p w14:paraId="2161745B" w14:textId="1BCF9D5A" w:rsidR="008518B0" w:rsidRPr="00B004EE" w:rsidRDefault="008518B0" w:rsidP="00420DDA">
      <w:pPr>
        <w:numPr>
          <w:ilvl w:val="0"/>
          <w:numId w:val="60"/>
        </w:numPr>
        <w:tabs>
          <w:tab w:val="center" w:pos="8080"/>
          <w:tab w:val="center" w:leader="dot" w:pos="8364"/>
        </w:tabs>
        <w:ind w:left="567" w:hanging="425"/>
        <w:jc w:val="both"/>
        <w:rPr>
          <w:rFonts w:ascii="Tahoma" w:hAnsi="Tahoma" w:cs="Tahoma"/>
          <w:sz w:val="20"/>
          <w:szCs w:val="20"/>
        </w:rPr>
      </w:pPr>
      <w:r w:rsidRPr="00B004EE">
        <w:rPr>
          <w:rFonts w:ascii="Tahoma" w:hAnsi="Tahoma" w:cs="Tahoma"/>
          <w:sz w:val="20"/>
          <w:szCs w:val="20"/>
        </w:rPr>
        <w:t>Poulpe,</w:t>
      </w:r>
      <w:r w:rsidR="00DB1635" w:rsidRPr="00B004EE">
        <w:rPr>
          <w:rFonts w:ascii="Tahoma" w:hAnsi="Tahoma" w:cs="Tahoma"/>
          <w:sz w:val="20"/>
          <w:szCs w:val="20"/>
        </w:rPr>
        <w:t xml:space="preserve"> </w:t>
      </w:r>
      <w:r w:rsidRPr="00B004EE">
        <w:rPr>
          <w:rFonts w:ascii="Tahoma" w:hAnsi="Tahoma" w:cs="Tahoma"/>
          <w:sz w:val="20"/>
          <w:szCs w:val="20"/>
        </w:rPr>
        <w:t>Tako</w:t>
      </w:r>
      <w:r w:rsidR="00DB1635" w:rsidRPr="00B004EE">
        <w:rPr>
          <w:rFonts w:ascii="Tahoma" w:hAnsi="Tahoma" w:cs="Tahoma"/>
          <w:sz w:val="20"/>
          <w:szCs w:val="20"/>
        </w:rPr>
        <w:t xml:space="preserve"> </w:t>
      </w:r>
      <w:r w:rsidRPr="00B004EE">
        <w:rPr>
          <w:rFonts w:ascii="Tahoma" w:hAnsi="Tahoma" w:cs="Tahoma"/>
          <w:sz w:val="20"/>
          <w:szCs w:val="20"/>
        </w:rPr>
        <w:t>(O</w:t>
      </w:r>
      <w:r w:rsidRPr="00B004EE">
        <w:rPr>
          <w:rFonts w:ascii="Tahoma" w:hAnsi="Tahoma" w:cs="Tahoma"/>
          <w:i/>
          <w:sz w:val="20"/>
          <w:szCs w:val="20"/>
        </w:rPr>
        <w:t>ctopus</w:t>
      </w:r>
      <w:r w:rsidR="00DB1635" w:rsidRPr="00B004EE">
        <w:rPr>
          <w:rFonts w:ascii="Tahoma" w:hAnsi="Tahoma" w:cs="Tahoma"/>
          <w:i/>
          <w:sz w:val="20"/>
          <w:szCs w:val="20"/>
        </w:rPr>
        <w:t xml:space="preserve"> </w:t>
      </w:r>
      <w:proofErr w:type="gramStart"/>
      <w:r w:rsidRPr="00B004EE">
        <w:rPr>
          <w:rFonts w:ascii="Tahoma" w:hAnsi="Tahoma" w:cs="Tahoma"/>
          <w:i/>
          <w:sz w:val="20"/>
          <w:szCs w:val="20"/>
        </w:rPr>
        <w:t>vulgaris</w:t>
      </w:r>
      <w:r w:rsidRPr="00B004EE">
        <w:rPr>
          <w:rFonts w:ascii="Tahoma" w:hAnsi="Tahoma" w:cs="Tahoma"/>
          <w:sz w:val="20"/>
          <w:szCs w:val="20"/>
        </w:rPr>
        <w:t>)…</w:t>
      </w:r>
      <w:proofErr w:type="gramEnd"/>
      <w:r w:rsidRPr="00B004EE">
        <w:rPr>
          <w:rFonts w:ascii="Tahoma" w:hAnsi="Tahoma" w:cs="Tahoma"/>
          <w:sz w:val="20"/>
          <w:szCs w:val="20"/>
        </w:rPr>
        <w:t>……………………………………</w:t>
      </w:r>
      <w:r w:rsidRPr="00B004EE">
        <w:rPr>
          <w:rFonts w:ascii="Tahoma" w:hAnsi="Tahoma" w:cs="Tahoma"/>
          <w:sz w:val="20"/>
          <w:szCs w:val="20"/>
        </w:rPr>
        <w:tab/>
        <w:t>500</w:t>
      </w:r>
      <w:r w:rsidR="00DB1635" w:rsidRPr="00B004EE">
        <w:rPr>
          <w:rFonts w:ascii="Tahoma" w:hAnsi="Tahoma" w:cs="Tahoma"/>
          <w:sz w:val="20"/>
          <w:szCs w:val="20"/>
        </w:rPr>
        <w:t xml:space="preserve"> </w:t>
      </w:r>
      <w:r w:rsidRPr="00B004EE">
        <w:rPr>
          <w:rFonts w:ascii="Tahoma" w:hAnsi="Tahoma" w:cs="Tahoma"/>
          <w:sz w:val="20"/>
          <w:szCs w:val="20"/>
        </w:rPr>
        <w:t>gr</w:t>
      </w:r>
      <w:r w:rsidR="00DB1635" w:rsidRPr="00B004EE">
        <w:rPr>
          <w:rFonts w:ascii="Tahoma" w:hAnsi="Tahoma" w:cs="Tahoma"/>
          <w:sz w:val="20"/>
          <w:szCs w:val="20"/>
        </w:rPr>
        <w:t xml:space="preserve"> </w:t>
      </w:r>
      <w:r w:rsidRPr="00B004EE">
        <w:rPr>
          <w:rFonts w:ascii="Tahoma" w:hAnsi="Tahoma" w:cs="Tahoma"/>
          <w:sz w:val="20"/>
          <w:szCs w:val="20"/>
        </w:rPr>
        <w:t>(éviscéré)</w:t>
      </w:r>
    </w:p>
    <w:p w14:paraId="32B98780" w14:textId="1FE362A2" w:rsidR="008518B0" w:rsidRPr="00B004EE" w:rsidRDefault="008518B0" w:rsidP="00420DDA">
      <w:pPr>
        <w:numPr>
          <w:ilvl w:val="0"/>
          <w:numId w:val="60"/>
        </w:numPr>
        <w:tabs>
          <w:tab w:val="center" w:pos="8080"/>
          <w:tab w:val="center" w:leader="dot" w:pos="8364"/>
        </w:tabs>
        <w:ind w:left="567" w:hanging="425"/>
        <w:jc w:val="both"/>
        <w:rPr>
          <w:rFonts w:ascii="Tahoma" w:hAnsi="Tahoma" w:cs="Tahoma"/>
          <w:sz w:val="20"/>
          <w:szCs w:val="20"/>
          <w:lang w:val="en-GB"/>
        </w:rPr>
      </w:pPr>
      <w:r w:rsidRPr="00B004EE">
        <w:rPr>
          <w:rFonts w:ascii="Tahoma" w:hAnsi="Tahoma" w:cs="Tahoma"/>
          <w:sz w:val="20"/>
          <w:szCs w:val="20"/>
          <w:lang w:val="en-GB"/>
        </w:rPr>
        <w:t>Calamar</w:t>
      </w:r>
      <w:r w:rsidR="00DB1635" w:rsidRPr="00B004EE">
        <w:rPr>
          <w:rFonts w:ascii="Tahoma" w:hAnsi="Tahoma" w:cs="Tahoma"/>
          <w:sz w:val="20"/>
          <w:szCs w:val="20"/>
          <w:lang w:val="en-GB"/>
        </w:rPr>
        <w:t xml:space="preserve"> </w:t>
      </w:r>
      <w:r w:rsidRPr="00B004EE">
        <w:rPr>
          <w:rFonts w:ascii="Tahoma" w:hAnsi="Tahoma" w:cs="Tahoma"/>
          <w:sz w:val="20"/>
          <w:szCs w:val="20"/>
          <w:lang w:val="en-GB"/>
        </w:rPr>
        <w:t>(L</w:t>
      </w:r>
      <w:r w:rsidRPr="00B004EE">
        <w:rPr>
          <w:rFonts w:ascii="Tahoma" w:hAnsi="Tahoma" w:cs="Tahoma"/>
          <w:i/>
          <w:sz w:val="20"/>
          <w:szCs w:val="20"/>
          <w:lang w:val="en-GB"/>
        </w:rPr>
        <w:t>oligo</w:t>
      </w:r>
      <w:r w:rsidR="00DB1635" w:rsidRPr="00B004EE">
        <w:rPr>
          <w:rFonts w:ascii="Tahoma" w:hAnsi="Tahoma" w:cs="Tahoma"/>
          <w:i/>
          <w:sz w:val="20"/>
          <w:szCs w:val="20"/>
          <w:lang w:val="en-GB"/>
        </w:rPr>
        <w:t xml:space="preserve"> </w:t>
      </w:r>
      <w:r w:rsidRPr="00B004EE">
        <w:rPr>
          <w:rFonts w:ascii="Tahoma" w:hAnsi="Tahoma" w:cs="Tahoma"/>
          <w:i/>
          <w:sz w:val="20"/>
          <w:szCs w:val="20"/>
          <w:lang w:val="en-GB"/>
        </w:rPr>
        <w:t>vulgaris</w:t>
      </w:r>
      <w:r w:rsidRPr="00B004EE">
        <w:rPr>
          <w:rFonts w:ascii="Tahoma" w:hAnsi="Tahoma" w:cs="Tahoma"/>
          <w:sz w:val="20"/>
          <w:szCs w:val="20"/>
          <w:lang w:val="en-GB"/>
        </w:rPr>
        <w:t>)</w:t>
      </w:r>
      <w:r w:rsidR="00DB1635" w:rsidRPr="00B004EE">
        <w:rPr>
          <w:rFonts w:ascii="Tahoma" w:hAnsi="Tahoma" w:cs="Tahoma"/>
          <w:sz w:val="20"/>
          <w:szCs w:val="20"/>
          <w:lang w:val="en-GB"/>
        </w:rPr>
        <w:t xml:space="preserve"> </w:t>
      </w:r>
      <w:r w:rsidRPr="00B004EE">
        <w:rPr>
          <w:rFonts w:ascii="Tahoma" w:hAnsi="Tahoma" w:cs="Tahoma"/>
          <w:sz w:val="20"/>
          <w:szCs w:val="20"/>
          <w:lang w:val="en-GB"/>
        </w:rPr>
        <w:t>……………………………………………………</w:t>
      </w:r>
      <w:r w:rsidRPr="00B004EE">
        <w:rPr>
          <w:rFonts w:ascii="Tahoma" w:hAnsi="Tahoma" w:cs="Tahoma"/>
          <w:sz w:val="20"/>
          <w:szCs w:val="20"/>
          <w:lang w:val="en-GB"/>
        </w:rPr>
        <w:tab/>
      </w:r>
      <w:proofErr w:type="gramStart"/>
      <w:r w:rsidRPr="00B004EE">
        <w:rPr>
          <w:rFonts w:ascii="Tahoma" w:hAnsi="Tahoma" w:cs="Tahoma"/>
          <w:sz w:val="20"/>
          <w:szCs w:val="20"/>
          <w:lang w:val="en-GB"/>
        </w:rPr>
        <w:t>..</w:t>
      </w:r>
      <w:proofErr w:type="gramEnd"/>
      <w:r w:rsidRPr="00B004EE">
        <w:rPr>
          <w:rFonts w:ascii="Tahoma" w:hAnsi="Tahoma" w:cs="Tahoma"/>
          <w:sz w:val="20"/>
          <w:szCs w:val="20"/>
          <w:lang w:val="en-GB"/>
        </w:rPr>
        <w:t>13</w:t>
      </w:r>
      <w:r w:rsidR="00DB1635" w:rsidRPr="00B004EE">
        <w:rPr>
          <w:rFonts w:ascii="Tahoma" w:hAnsi="Tahoma" w:cs="Tahoma"/>
          <w:sz w:val="20"/>
          <w:szCs w:val="20"/>
          <w:lang w:val="en-GB"/>
        </w:rPr>
        <w:t xml:space="preserve"> </w:t>
      </w:r>
      <w:r w:rsidRPr="00B004EE">
        <w:rPr>
          <w:rFonts w:ascii="Tahoma" w:hAnsi="Tahoma" w:cs="Tahoma"/>
          <w:sz w:val="20"/>
          <w:szCs w:val="20"/>
          <w:lang w:val="en-GB"/>
        </w:rPr>
        <w:t>cm</w:t>
      </w:r>
    </w:p>
    <w:p w14:paraId="128FF512" w14:textId="596F1020" w:rsidR="008518B0" w:rsidRPr="00B004EE" w:rsidRDefault="008518B0" w:rsidP="00420DDA">
      <w:pPr>
        <w:numPr>
          <w:ilvl w:val="0"/>
          <w:numId w:val="60"/>
        </w:numPr>
        <w:tabs>
          <w:tab w:val="center" w:pos="8080"/>
          <w:tab w:val="center" w:leader="dot" w:pos="8364"/>
        </w:tabs>
        <w:ind w:left="567" w:hanging="425"/>
        <w:jc w:val="both"/>
        <w:rPr>
          <w:rFonts w:ascii="Tahoma" w:hAnsi="Tahoma" w:cs="Tahoma"/>
          <w:b/>
          <w:sz w:val="20"/>
          <w:szCs w:val="20"/>
        </w:rPr>
      </w:pPr>
      <w:r w:rsidRPr="00B004EE">
        <w:rPr>
          <w:rFonts w:ascii="Tahoma" w:hAnsi="Tahoma" w:cs="Tahoma"/>
          <w:sz w:val="20"/>
          <w:szCs w:val="20"/>
          <w:lang w:val="en-GB"/>
        </w:rPr>
        <w:t>Seiche</w:t>
      </w:r>
      <w:r w:rsidR="00DB1635" w:rsidRPr="00B004EE">
        <w:rPr>
          <w:rFonts w:ascii="Tahoma" w:hAnsi="Tahoma" w:cs="Tahoma"/>
          <w:sz w:val="20"/>
          <w:szCs w:val="20"/>
          <w:lang w:val="en-GB"/>
        </w:rPr>
        <w:t xml:space="preserve"> </w:t>
      </w:r>
      <w:r w:rsidRPr="00B004EE">
        <w:rPr>
          <w:rFonts w:ascii="Tahoma" w:hAnsi="Tahoma" w:cs="Tahoma"/>
          <w:sz w:val="20"/>
          <w:szCs w:val="20"/>
          <w:lang w:val="en-GB"/>
        </w:rPr>
        <w:t>Mongo</w:t>
      </w:r>
      <w:r w:rsidR="00DB1635" w:rsidRPr="00B004EE">
        <w:rPr>
          <w:rFonts w:ascii="Tahoma" w:hAnsi="Tahoma" w:cs="Tahoma"/>
          <w:sz w:val="20"/>
          <w:szCs w:val="20"/>
          <w:lang w:val="en-GB"/>
        </w:rPr>
        <w:t xml:space="preserve"> </w:t>
      </w:r>
      <w:r w:rsidRPr="00B004EE">
        <w:rPr>
          <w:rFonts w:ascii="Tahoma" w:hAnsi="Tahoma" w:cs="Tahoma"/>
          <w:sz w:val="20"/>
          <w:szCs w:val="20"/>
          <w:lang w:val="en-GB"/>
        </w:rPr>
        <w:t>(S</w:t>
      </w:r>
      <w:r w:rsidRPr="00B004EE">
        <w:rPr>
          <w:rFonts w:ascii="Tahoma" w:hAnsi="Tahoma" w:cs="Tahoma"/>
          <w:i/>
          <w:sz w:val="20"/>
          <w:szCs w:val="20"/>
          <w:lang w:val="en-GB"/>
        </w:rPr>
        <w:t>epia</w:t>
      </w:r>
      <w:r w:rsidR="00DB1635" w:rsidRPr="00B004EE">
        <w:rPr>
          <w:rFonts w:ascii="Tahoma" w:hAnsi="Tahoma" w:cs="Tahoma"/>
          <w:i/>
          <w:sz w:val="20"/>
          <w:szCs w:val="20"/>
          <w:lang w:val="en-GB"/>
        </w:rPr>
        <w:t xml:space="preserve"> </w:t>
      </w:r>
      <w:proofErr w:type="gramStart"/>
      <w:r w:rsidRPr="00B004EE">
        <w:rPr>
          <w:rFonts w:ascii="Tahoma" w:hAnsi="Tahoma" w:cs="Tahoma"/>
          <w:i/>
          <w:sz w:val="20"/>
          <w:szCs w:val="20"/>
          <w:lang w:val="en-GB"/>
        </w:rPr>
        <w:t>officinalis</w:t>
      </w:r>
      <w:r w:rsidRPr="00B004EE">
        <w:rPr>
          <w:rFonts w:ascii="Tahoma" w:hAnsi="Tahoma" w:cs="Tahoma"/>
          <w:sz w:val="20"/>
          <w:szCs w:val="20"/>
          <w:lang w:val="en-GB"/>
        </w:rPr>
        <w:t>)…</w:t>
      </w:r>
      <w:proofErr w:type="gramEnd"/>
      <w:r w:rsidRPr="00B004EE">
        <w:rPr>
          <w:rFonts w:ascii="Tahoma" w:hAnsi="Tahoma" w:cs="Tahoma"/>
          <w:sz w:val="20"/>
          <w:szCs w:val="20"/>
          <w:lang w:val="en-GB"/>
        </w:rPr>
        <w:t>…………………………………………..</w:t>
      </w:r>
      <w:r w:rsidRPr="00B004EE">
        <w:rPr>
          <w:rFonts w:ascii="Tahoma" w:hAnsi="Tahoma" w:cs="Tahoma"/>
          <w:sz w:val="20"/>
          <w:szCs w:val="20"/>
          <w:lang w:val="en-GB"/>
        </w:rPr>
        <w:tab/>
      </w:r>
      <w:proofErr w:type="gramStart"/>
      <w:r w:rsidRPr="00B004EE">
        <w:rPr>
          <w:rFonts w:ascii="Tahoma" w:hAnsi="Tahoma" w:cs="Tahoma"/>
          <w:sz w:val="20"/>
          <w:szCs w:val="20"/>
          <w:lang w:val="en-GB"/>
        </w:rPr>
        <w:t>..</w:t>
      </w:r>
      <w:proofErr w:type="gramEnd"/>
      <w:r w:rsidRPr="00B004EE">
        <w:rPr>
          <w:rFonts w:ascii="Tahoma" w:hAnsi="Tahoma" w:cs="Tahoma"/>
          <w:sz w:val="20"/>
          <w:szCs w:val="20"/>
        </w:rPr>
        <w:t>13</w:t>
      </w:r>
      <w:r w:rsidR="00DB1635" w:rsidRPr="00B004EE">
        <w:rPr>
          <w:rFonts w:ascii="Tahoma" w:hAnsi="Tahoma" w:cs="Tahoma"/>
          <w:sz w:val="20"/>
          <w:szCs w:val="20"/>
        </w:rPr>
        <w:t xml:space="preserve"> </w:t>
      </w:r>
      <w:r w:rsidRPr="00B004EE">
        <w:rPr>
          <w:rFonts w:ascii="Tahoma" w:hAnsi="Tahoma" w:cs="Tahoma"/>
          <w:sz w:val="20"/>
          <w:szCs w:val="20"/>
        </w:rPr>
        <w:t>cm</w:t>
      </w:r>
    </w:p>
    <w:p w14:paraId="37B97687" w14:textId="0C344A5D" w:rsidR="008518B0" w:rsidRPr="00B004EE" w:rsidRDefault="008518B0" w:rsidP="00B004EE">
      <w:pPr>
        <w:numPr>
          <w:ilvl w:val="12"/>
          <w:numId w:val="0"/>
        </w:numPr>
        <w:tabs>
          <w:tab w:val="center" w:leader="dot" w:pos="8364"/>
        </w:tabs>
        <w:ind w:left="567" w:hanging="425"/>
        <w:jc w:val="both"/>
        <w:rPr>
          <w:rFonts w:ascii="Tahoma" w:hAnsi="Tahoma" w:cs="Tahoma"/>
          <w:sz w:val="20"/>
          <w:szCs w:val="20"/>
        </w:rPr>
      </w:pPr>
      <w:r w:rsidRPr="00B004EE">
        <w:rPr>
          <w:rFonts w:ascii="Tahoma" w:hAnsi="Tahoma" w:cs="Tahoma"/>
          <w:b/>
          <w:sz w:val="20"/>
          <w:szCs w:val="20"/>
        </w:rPr>
        <w:t>-</w:t>
      </w:r>
      <w:r w:rsidRPr="00B004EE">
        <w:rPr>
          <w:rFonts w:ascii="Tahoma" w:hAnsi="Tahoma" w:cs="Tahoma"/>
          <w:b/>
          <w:sz w:val="20"/>
          <w:szCs w:val="20"/>
        </w:rPr>
        <w:tab/>
      </w:r>
      <w:r w:rsidRPr="00B004EE">
        <w:rPr>
          <w:rFonts w:ascii="Tahoma" w:hAnsi="Tahoma" w:cs="Tahoma"/>
          <w:sz w:val="20"/>
          <w:szCs w:val="20"/>
        </w:rPr>
        <w:t>Seiche</w:t>
      </w:r>
      <w:r w:rsidR="00DB1635" w:rsidRPr="00B004EE">
        <w:rPr>
          <w:rFonts w:ascii="Tahoma" w:hAnsi="Tahoma" w:cs="Tahoma"/>
          <w:sz w:val="20"/>
          <w:szCs w:val="20"/>
        </w:rPr>
        <w:t xml:space="preserve"> </w:t>
      </w:r>
      <w:r w:rsidRPr="00B004EE">
        <w:rPr>
          <w:rFonts w:ascii="Tahoma" w:hAnsi="Tahoma" w:cs="Tahoma"/>
          <w:sz w:val="20"/>
          <w:szCs w:val="20"/>
        </w:rPr>
        <w:t>Sépiola</w:t>
      </w:r>
      <w:r w:rsidR="00DB1635" w:rsidRPr="00B004EE">
        <w:rPr>
          <w:rFonts w:ascii="Tahoma" w:hAnsi="Tahoma" w:cs="Tahoma"/>
          <w:sz w:val="20"/>
          <w:szCs w:val="20"/>
        </w:rPr>
        <w:t xml:space="preserve"> </w:t>
      </w:r>
      <w:r w:rsidRPr="00B004EE">
        <w:rPr>
          <w:rFonts w:ascii="Tahoma" w:hAnsi="Tahoma" w:cs="Tahoma"/>
          <w:sz w:val="20"/>
          <w:szCs w:val="20"/>
        </w:rPr>
        <w:t>(</w:t>
      </w:r>
      <w:r w:rsidRPr="00B004EE">
        <w:rPr>
          <w:rFonts w:ascii="Tahoma" w:hAnsi="Tahoma" w:cs="Tahoma"/>
          <w:i/>
          <w:sz w:val="20"/>
          <w:szCs w:val="20"/>
        </w:rPr>
        <w:t>Sepia</w:t>
      </w:r>
      <w:r w:rsidR="00DB1635" w:rsidRPr="00B004EE">
        <w:rPr>
          <w:rFonts w:ascii="Tahoma" w:hAnsi="Tahoma" w:cs="Tahoma"/>
          <w:i/>
          <w:sz w:val="20"/>
          <w:szCs w:val="20"/>
        </w:rPr>
        <w:t xml:space="preserve"> </w:t>
      </w:r>
      <w:r w:rsidRPr="00B004EE">
        <w:rPr>
          <w:rFonts w:ascii="Tahoma" w:hAnsi="Tahoma" w:cs="Tahoma"/>
          <w:i/>
          <w:sz w:val="20"/>
          <w:szCs w:val="20"/>
        </w:rPr>
        <w:t>bertheloti)</w:t>
      </w:r>
      <w:r w:rsidRPr="00B004EE">
        <w:rPr>
          <w:rFonts w:ascii="Tahoma" w:hAnsi="Tahoma" w:cs="Tahoma"/>
          <w:sz w:val="20"/>
          <w:szCs w:val="20"/>
        </w:rPr>
        <w:tab/>
        <w:t>07</w:t>
      </w:r>
      <w:r w:rsidR="00DB1635" w:rsidRPr="00B004EE">
        <w:rPr>
          <w:rFonts w:ascii="Tahoma" w:hAnsi="Tahoma" w:cs="Tahoma"/>
          <w:sz w:val="20"/>
          <w:szCs w:val="20"/>
        </w:rPr>
        <w:t xml:space="preserve"> </w:t>
      </w:r>
      <w:r w:rsidRPr="00B004EE">
        <w:rPr>
          <w:rFonts w:ascii="Tahoma" w:hAnsi="Tahoma" w:cs="Tahoma"/>
          <w:sz w:val="20"/>
          <w:szCs w:val="20"/>
        </w:rPr>
        <w:t>cm</w:t>
      </w:r>
    </w:p>
    <w:p w14:paraId="6104DB5A" w14:textId="77777777" w:rsidR="008518B0" w:rsidRPr="00B004EE" w:rsidRDefault="008518B0" w:rsidP="00B004EE">
      <w:pPr>
        <w:numPr>
          <w:ilvl w:val="12"/>
          <w:numId w:val="0"/>
        </w:numPr>
        <w:tabs>
          <w:tab w:val="left" w:pos="8080"/>
          <w:tab w:val="center" w:leader="dot" w:pos="8364"/>
        </w:tabs>
        <w:jc w:val="both"/>
        <w:rPr>
          <w:rFonts w:ascii="Tahoma" w:hAnsi="Tahoma" w:cs="Tahoma"/>
          <w:sz w:val="20"/>
          <w:szCs w:val="20"/>
        </w:rPr>
      </w:pPr>
    </w:p>
    <w:p w14:paraId="12600263" w14:textId="20C7CB68" w:rsidR="008518B0" w:rsidRPr="00B004EE" w:rsidRDefault="008518B0" w:rsidP="00420DDA">
      <w:pPr>
        <w:pStyle w:val="Paragraphedeliste"/>
        <w:numPr>
          <w:ilvl w:val="0"/>
          <w:numId w:val="69"/>
        </w:numPr>
        <w:tabs>
          <w:tab w:val="left" w:pos="8080"/>
          <w:tab w:val="center" w:leader="dot" w:pos="8364"/>
        </w:tabs>
        <w:jc w:val="both"/>
        <w:rPr>
          <w:rFonts w:ascii="Tahoma" w:hAnsi="Tahoma" w:cs="Tahoma"/>
          <w:b/>
          <w:bCs/>
          <w:i/>
          <w:iCs/>
          <w:sz w:val="20"/>
          <w:szCs w:val="20"/>
        </w:rPr>
      </w:pPr>
      <w:r w:rsidRPr="00B004EE">
        <w:rPr>
          <w:rFonts w:ascii="Tahoma" w:hAnsi="Tahoma" w:cs="Tahoma"/>
          <w:b/>
          <w:bCs/>
          <w:i/>
          <w:iCs/>
          <w:sz w:val="20"/>
          <w:szCs w:val="20"/>
        </w:rPr>
        <w:t>Pour</w:t>
      </w:r>
      <w:r w:rsidR="00DB1635" w:rsidRPr="00B004EE">
        <w:rPr>
          <w:rFonts w:ascii="Tahoma" w:hAnsi="Tahoma" w:cs="Tahoma"/>
          <w:b/>
          <w:bCs/>
          <w:i/>
          <w:iCs/>
          <w:sz w:val="20"/>
          <w:szCs w:val="20"/>
        </w:rPr>
        <w:t xml:space="preserve"> </w:t>
      </w:r>
      <w:r w:rsidRPr="00B004EE">
        <w:rPr>
          <w:rFonts w:ascii="Tahoma" w:hAnsi="Tahoma" w:cs="Tahoma"/>
          <w:b/>
          <w:bCs/>
          <w:i/>
          <w:iCs/>
          <w:sz w:val="20"/>
          <w:szCs w:val="20"/>
        </w:rPr>
        <w:t>les</w:t>
      </w:r>
      <w:r w:rsidR="00DB1635" w:rsidRPr="00B004EE">
        <w:rPr>
          <w:rFonts w:ascii="Tahoma" w:hAnsi="Tahoma" w:cs="Tahoma"/>
          <w:b/>
          <w:bCs/>
          <w:i/>
          <w:iCs/>
          <w:sz w:val="20"/>
          <w:szCs w:val="20"/>
        </w:rPr>
        <w:t xml:space="preserve"> </w:t>
      </w:r>
      <w:r w:rsidRPr="00B004EE">
        <w:rPr>
          <w:rFonts w:ascii="Tahoma" w:hAnsi="Tahoma" w:cs="Tahoma"/>
          <w:b/>
          <w:bCs/>
          <w:i/>
          <w:iCs/>
          <w:sz w:val="20"/>
          <w:szCs w:val="20"/>
        </w:rPr>
        <w:t>crustacés</w:t>
      </w:r>
      <w:r w:rsidR="00DB1635" w:rsidRPr="00B004EE">
        <w:rPr>
          <w:rFonts w:ascii="Tahoma" w:hAnsi="Tahoma" w:cs="Tahoma"/>
          <w:b/>
          <w:bCs/>
          <w:i/>
          <w:iCs/>
          <w:sz w:val="20"/>
          <w:szCs w:val="20"/>
        </w:rPr>
        <w:t xml:space="preserve"> </w:t>
      </w:r>
      <w:r w:rsidRPr="00B004EE">
        <w:rPr>
          <w:rFonts w:ascii="Tahoma" w:hAnsi="Tahoma" w:cs="Tahoma"/>
          <w:b/>
          <w:bCs/>
          <w:i/>
          <w:iCs/>
          <w:sz w:val="20"/>
          <w:szCs w:val="20"/>
        </w:rPr>
        <w:t>:</w:t>
      </w:r>
    </w:p>
    <w:p w14:paraId="084838A8" w14:textId="6D28BC5C" w:rsidR="008518B0" w:rsidRPr="00B004EE" w:rsidRDefault="008518B0" w:rsidP="00B004EE">
      <w:pPr>
        <w:tabs>
          <w:tab w:val="center" w:leader="dot" w:pos="8364"/>
        </w:tabs>
        <w:ind w:left="567"/>
        <w:jc w:val="both"/>
        <w:rPr>
          <w:rFonts w:ascii="Tahoma" w:hAnsi="Tahoma" w:cs="Tahoma"/>
          <w:sz w:val="20"/>
          <w:szCs w:val="20"/>
        </w:rPr>
      </w:pPr>
      <w:r w:rsidRPr="00B004EE">
        <w:rPr>
          <w:rFonts w:ascii="Tahoma" w:hAnsi="Tahoma" w:cs="Tahoma"/>
          <w:sz w:val="20"/>
          <w:szCs w:val="20"/>
        </w:rPr>
        <w:t>Langouste</w:t>
      </w:r>
      <w:r w:rsidR="00DB1635" w:rsidRPr="00B004EE">
        <w:rPr>
          <w:rFonts w:ascii="Tahoma" w:hAnsi="Tahoma" w:cs="Tahoma"/>
          <w:sz w:val="20"/>
          <w:szCs w:val="20"/>
        </w:rPr>
        <w:t xml:space="preserve"> </w:t>
      </w:r>
      <w:r w:rsidRPr="00B004EE">
        <w:rPr>
          <w:rFonts w:ascii="Tahoma" w:hAnsi="Tahoma" w:cs="Tahoma"/>
          <w:sz w:val="20"/>
          <w:szCs w:val="20"/>
        </w:rPr>
        <w:t>verte</w:t>
      </w:r>
      <w:r w:rsidR="00DB1635" w:rsidRPr="00B004EE">
        <w:rPr>
          <w:rFonts w:ascii="Tahoma" w:hAnsi="Tahoma" w:cs="Tahoma"/>
          <w:sz w:val="20"/>
          <w:szCs w:val="20"/>
        </w:rPr>
        <w:t xml:space="preserve"> </w:t>
      </w:r>
      <w:r w:rsidRPr="00B004EE">
        <w:rPr>
          <w:rFonts w:ascii="Tahoma" w:hAnsi="Tahoma" w:cs="Tahoma"/>
          <w:sz w:val="20"/>
          <w:szCs w:val="20"/>
        </w:rPr>
        <w:t>(</w:t>
      </w:r>
      <w:r w:rsidRPr="00B004EE">
        <w:rPr>
          <w:rFonts w:ascii="Tahoma" w:hAnsi="Tahoma" w:cs="Tahoma"/>
          <w:i/>
          <w:sz w:val="20"/>
          <w:szCs w:val="20"/>
        </w:rPr>
        <w:t>Panulirus</w:t>
      </w:r>
      <w:r w:rsidR="00DB1635" w:rsidRPr="00B004EE">
        <w:rPr>
          <w:rFonts w:ascii="Tahoma" w:hAnsi="Tahoma" w:cs="Tahoma"/>
          <w:i/>
          <w:sz w:val="20"/>
          <w:szCs w:val="20"/>
        </w:rPr>
        <w:t xml:space="preserve"> </w:t>
      </w:r>
      <w:r w:rsidRPr="00B004EE">
        <w:rPr>
          <w:rFonts w:ascii="Tahoma" w:hAnsi="Tahoma" w:cs="Tahoma"/>
          <w:i/>
          <w:sz w:val="20"/>
          <w:szCs w:val="20"/>
        </w:rPr>
        <w:t>regius</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ab/>
        <w:t>21</w:t>
      </w:r>
      <w:r w:rsidR="00DB1635" w:rsidRPr="00B004EE">
        <w:rPr>
          <w:rFonts w:ascii="Tahoma" w:hAnsi="Tahoma" w:cs="Tahoma"/>
          <w:sz w:val="20"/>
          <w:szCs w:val="20"/>
        </w:rPr>
        <w:t xml:space="preserve"> </w:t>
      </w:r>
      <w:r w:rsidRPr="00B004EE">
        <w:rPr>
          <w:rFonts w:ascii="Tahoma" w:hAnsi="Tahoma" w:cs="Tahoma"/>
          <w:sz w:val="20"/>
          <w:szCs w:val="20"/>
        </w:rPr>
        <w:t>cm</w:t>
      </w:r>
    </w:p>
    <w:p w14:paraId="55B22A58" w14:textId="1DA54618" w:rsidR="008518B0" w:rsidRPr="00B004EE" w:rsidRDefault="008518B0" w:rsidP="00B004EE">
      <w:pPr>
        <w:tabs>
          <w:tab w:val="center" w:leader="dot" w:pos="8364"/>
        </w:tabs>
        <w:ind w:left="567"/>
        <w:jc w:val="both"/>
        <w:rPr>
          <w:rFonts w:ascii="Tahoma" w:hAnsi="Tahoma" w:cs="Tahoma"/>
          <w:sz w:val="20"/>
          <w:szCs w:val="20"/>
        </w:rPr>
      </w:pPr>
      <w:r w:rsidRPr="00B004EE">
        <w:rPr>
          <w:rFonts w:ascii="Tahoma" w:hAnsi="Tahoma" w:cs="Tahoma"/>
          <w:sz w:val="20"/>
          <w:szCs w:val="20"/>
        </w:rPr>
        <w:t>Langouste</w:t>
      </w:r>
      <w:r w:rsidR="00DB1635" w:rsidRPr="00B004EE">
        <w:rPr>
          <w:rFonts w:ascii="Tahoma" w:hAnsi="Tahoma" w:cs="Tahoma"/>
          <w:sz w:val="20"/>
          <w:szCs w:val="20"/>
        </w:rPr>
        <w:t xml:space="preserve"> </w:t>
      </w:r>
      <w:r w:rsidRPr="00B004EE">
        <w:rPr>
          <w:rFonts w:ascii="Tahoma" w:hAnsi="Tahoma" w:cs="Tahoma"/>
          <w:sz w:val="20"/>
          <w:szCs w:val="20"/>
        </w:rPr>
        <w:t>rose</w:t>
      </w:r>
      <w:r w:rsidR="00DB1635" w:rsidRPr="00B004EE">
        <w:rPr>
          <w:rFonts w:ascii="Tahoma" w:hAnsi="Tahoma" w:cs="Tahoma"/>
          <w:sz w:val="20"/>
          <w:szCs w:val="20"/>
        </w:rPr>
        <w:t xml:space="preserve"> </w:t>
      </w:r>
      <w:r w:rsidRPr="00B004EE">
        <w:rPr>
          <w:rFonts w:ascii="Tahoma" w:hAnsi="Tahoma" w:cs="Tahoma"/>
          <w:sz w:val="20"/>
          <w:szCs w:val="20"/>
        </w:rPr>
        <w:t>(</w:t>
      </w:r>
      <w:r w:rsidRPr="00B004EE">
        <w:rPr>
          <w:rFonts w:ascii="Tahoma" w:hAnsi="Tahoma" w:cs="Tahoma"/>
          <w:i/>
          <w:sz w:val="20"/>
          <w:szCs w:val="20"/>
        </w:rPr>
        <w:t>Palinurus</w:t>
      </w:r>
      <w:r w:rsidR="00DB1635" w:rsidRPr="00B004EE">
        <w:rPr>
          <w:rFonts w:ascii="Tahoma" w:hAnsi="Tahoma" w:cs="Tahoma"/>
          <w:i/>
          <w:sz w:val="20"/>
          <w:szCs w:val="20"/>
        </w:rPr>
        <w:t xml:space="preserve"> </w:t>
      </w:r>
      <w:r w:rsidRPr="00B004EE">
        <w:rPr>
          <w:rFonts w:ascii="Tahoma" w:hAnsi="Tahoma" w:cs="Tahoma"/>
          <w:i/>
          <w:sz w:val="20"/>
          <w:szCs w:val="20"/>
        </w:rPr>
        <w:t>mauritanicus</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ab/>
        <w:t>23</w:t>
      </w:r>
      <w:r w:rsidR="00DB1635" w:rsidRPr="00B004EE">
        <w:rPr>
          <w:rFonts w:ascii="Tahoma" w:hAnsi="Tahoma" w:cs="Tahoma"/>
          <w:sz w:val="20"/>
          <w:szCs w:val="20"/>
        </w:rPr>
        <w:t xml:space="preserve"> </w:t>
      </w:r>
      <w:r w:rsidRPr="00B004EE">
        <w:rPr>
          <w:rFonts w:ascii="Tahoma" w:hAnsi="Tahoma" w:cs="Tahoma"/>
          <w:sz w:val="20"/>
          <w:szCs w:val="20"/>
        </w:rPr>
        <w:t>cm</w:t>
      </w:r>
    </w:p>
    <w:p w14:paraId="2F0F5D58" w14:textId="4C417F1D" w:rsidR="008518B0" w:rsidRPr="00B004EE" w:rsidRDefault="008518B0" w:rsidP="00B004EE">
      <w:pPr>
        <w:tabs>
          <w:tab w:val="center" w:leader="dot" w:pos="8364"/>
        </w:tabs>
        <w:ind w:left="567"/>
        <w:jc w:val="both"/>
        <w:rPr>
          <w:rFonts w:ascii="Tahoma" w:hAnsi="Tahoma" w:cs="Tahoma"/>
          <w:sz w:val="20"/>
          <w:szCs w:val="20"/>
        </w:rPr>
      </w:pPr>
      <w:r w:rsidRPr="00B004EE">
        <w:rPr>
          <w:rFonts w:ascii="Tahoma" w:hAnsi="Tahoma" w:cs="Tahoma"/>
          <w:sz w:val="20"/>
          <w:szCs w:val="20"/>
        </w:rPr>
        <w:t>Gamba</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Crevette</w:t>
      </w:r>
      <w:r w:rsidR="00DB1635" w:rsidRPr="00B004EE">
        <w:rPr>
          <w:rFonts w:ascii="Tahoma" w:hAnsi="Tahoma" w:cs="Tahoma"/>
          <w:sz w:val="20"/>
          <w:szCs w:val="20"/>
        </w:rPr>
        <w:t xml:space="preserve"> </w:t>
      </w:r>
      <w:r w:rsidRPr="00B004EE">
        <w:rPr>
          <w:rFonts w:ascii="Tahoma" w:hAnsi="Tahoma" w:cs="Tahoma"/>
          <w:sz w:val="20"/>
          <w:szCs w:val="20"/>
        </w:rPr>
        <w:t>profonde</w:t>
      </w:r>
      <w:r w:rsidR="00DB1635" w:rsidRPr="00B004EE">
        <w:rPr>
          <w:rFonts w:ascii="Tahoma" w:hAnsi="Tahoma" w:cs="Tahoma"/>
          <w:sz w:val="20"/>
          <w:szCs w:val="20"/>
        </w:rPr>
        <w:t xml:space="preserve"> </w:t>
      </w:r>
      <w:r w:rsidRPr="00B004EE">
        <w:rPr>
          <w:rFonts w:ascii="Tahoma" w:hAnsi="Tahoma" w:cs="Tahoma"/>
          <w:sz w:val="20"/>
          <w:szCs w:val="20"/>
        </w:rPr>
        <w:t>(</w:t>
      </w:r>
      <w:r w:rsidRPr="00B004EE">
        <w:rPr>
          <w:rFonts w:ascii="Tahoma" w:hAnsi="Tahoma" w:cs="Tahoma"/>
          <w:i/>
          <w:sz w:val="20"/>
          <w:szCs w:val="20"/>
        </w:rPr>
        <w:t>Parapeneus</w:t>
      </w:r>
      <w:r w:rsidR="00DB1635" w:rsidRPr="00B004EE">
        <w:rPr>
          <w:rFonts w:ascii="Tahoma" w:hAnsi="Tahoma" w:cs="Tahoma"/>
          <w:i/>
          <w:sz w:val="20"/>
          <w:szCs w:val="20"/>
        </w:rPr>
        <w:t xml:space="preserve"> </w:t>
      </w:r>
      <w:r w:rsidRPr="00B004EE">
        <w:rPr>
          <w:rFonts w:ascii="Tahoma" w:hAnsi="Tahoma" w:cs="Tahoma"/>
          <w:i/>
          <w:sz w:val="20"/>
          <w:szCs w:val="20"/>
        </w:rPr>
        <w:t>longriostrus</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ab/>
        <w:t>06</w:t>
      </w:r>
      <w:r w:rsidR="00DB1635" w:rsidRPr="00B004EE">
        <w:rPr>
          <w:rFonts w:ascii="Tahoma" w:hAnsi="Tahoma" w:cs="Tahoma"/>
          <w:sz w:val="20"/>
          <w:szCs w:val="20"/>
        </w:rPr>
        <w:t xml:space="preserve"> </w:t>
      </w:r>
      <w:r w:rsidRPr="00B004EE">
        <w:rPr>
          <w:rFonts w:ascii="Tahoma" w:hAnsi="Tahoma" w:cs="Tahoma"/>
          <w:sz w:val="20"/>
          <w:szCs w:val="20"/>
        </w:rPr>
        <w:t>cm</w:t>
      </w:r>
    </w:p>
    <w:p w14:paraId="7B7CB79B" w14:textId="7416147B" w:rsidR="008518B0" w:rsidRPr="00B004EE" w:rsidRDefault="008518B0" w:rsidP="00B004EE">
      <w:pPr>
        <w:tabs>
          <w:tab w:val="center" w:leader="dot" w:pos="8364"/>
        </w:tabs>
        <w:ind w:left="567"/>
        <w:jc w:val="both"/>
        <w:rPr>
          <w:rFonts w:ascii="Tahoma" w:hAnsi="Tahoma" w:cs="Tahoma"/>
          <w:sz w:val="20"/>
          <w:szCs w:val="20"/>
        </w:rPr>
      </w:pPr>
      <w:r w:rsidRPr="00B004EE">
        <w:rPr>
          <w:rFonts w:ascii="Tahoma" w:hAnsi="Tahoma" w:cs="Tahoma"/>
          <w:sz w:val="20"/>
          <w:szCs w:val="20"/>
        </w:rPr>
        <w:t>Géryon,</w:t>
      </w:r>
      <w:r w:rsidR="00DB1635" w:rsidRPr="00B004EE">
        <w:rPr>
          <w:rFonts w:ascii="Tahoma" w:hAnsi="Tahoma" w:cs="Tahoma"/>
          <w:sz w:val="20"/>
          <w:szCs w:val="20"/>
        </w:rPr>
        <w:t xml:space="preserve"> </w:t>
      </w:r>
      <w:r w:rsidRPr="00B004EE">
        <w:rPr>
          <w:rFonts w:ascii="Tahoma" w:hAnsi="Tahoma" w:cs="Tahoma"/>
          <w:sz w:val="20"/>
          <w:szCs w:val="20"/>
        </w:rPr>
        <w:t>Crabe</w:t>
      </w:r>
      <w:r w:rsidR="00DB1635" w:rsidRPr="00B004EE">
        <w:rPr>
          <w:rFonts w:ascii="Tahoma" w:hAnsi="Tahoma" w:cs="Tahoma"/>
          <w:sz w:val="20"/>
          <w:szCs w:val="20"/>
        </w:rPr>
        <w:t xml:space="preserve"> </w:t>
      </w:r>
      <w:r w:rsidRPr="00B004EE">
        <w:rPr>
          <w:rFonts w:ascii="Tahoma" w:hAnsi="Tahoma" w:cs="Tahoma"/>
          <w:sz w:val="20"/>
          <w:szCs w:val="20"/>
        </w:rPr>
        <w:t>profond</w:t>
      </w:r>
      <w:r w:rsidR="00DB1635" w:rsidRPr="00B004EE">
        <w:rPr>
          <w:rFonts w:ascii="Tahoma" w:hAnsi="Tahoma" w:cs="Tahoma"/>
          <w:sz w:val="20"/>
          <w:szCs w:val="20"/>
        </w:rPr>
        <w:t xml:space="preserve"> </w:t>
      </w:r>
      <w:r w:rsidRPr="00B004EE">
        <w:rPr>
          <w:rFonts w:ascii="Tahoma" w:hAnsi="Tahoma" w:cs="Tahoma"/>
          <w:sz w:val="20"/>
          <w:szCs w:val="20"/>
        </w:rPr>
        <w:t>(</w:t>
      </w:r>
      <w:r w:rsidRPr="00B004EE">
        <w:rPr>
          <w:rFonts w:ascii="Tahoma" w:hAnsi="Tahoma" w:cs="Tahoma"/>
          <w:i/>
          <w:sz w:val="20"/>
          <w:szCs w:val="20"/>
        </w:rPr>
        <w:t>Geyryon</w:t>
      </w:r>
      <w:r w:rsidR="00DB1635" w:rsidRPr="00B004EE">
        <w:rPr>
          <w:rFonts w:ascii="Tahoma" w:hAnsi="Tahoma" w:cs="Tahoma"/>
          <w:i/>
          <w:sz w:val="20"/>
          <w:szCs w:val="20"/>
        </w:rPr>
        <w:t xml:space="preserve"> </w:t>
      </w:r>
      <w:r w:rsidRPr="00B004EE">
        <w:rPr>
          <w:rFonts w:ascii="Tahoma" w:hAnsi="Tahoma" w:cs="Tahoma"/>
          <w:i/>
          <w:sz w:val="20"/>
          <w:szCs w:val="20"/>
        </w:rPr>
        <w:t>maritae</w:t>
      </w:r>
      <w:r w:rsidRPr="00B004EE">
        <w:rPr>
          <w:rFonts w:ascii="Tahoma" w:hAnsi="Tahoma" w:cs="Tahoma"/>
          <w:sz w:val="20"/>
          <w:szCs w:val="20"/>
        </w:rPr>
        <w:t>)</w:t>
      </w:r>
      <w:r w:rsidRPr="00B004EE">
        <w:rPr>
          <w:rFonts w:ascii="Tahoma" w:hAnsi="Tahoma" w:cs="Tahoma"/>
          <w:sz w:val="20"/>
          <w:szCs w:val="20"/>
        </w:rPr>
        <w:tab/>
        <w:t>06</w:t>
      </w:r>
      <w:r w:rsidR="00DB1635" w:rsidRPr="00B004EE">
        <w:rPr>
          <w:rFonts w:ascii="Tahoma" w:hAnsi="Tahoma" w:cs="Tahoma"/>
          <w:sz w:val="20"/>
          <w:szCs w:val="20"/>
        </w:rPr>
        <w:t xml:space="preserve"> </w:t>
      </w:r>
      <w:r w:rsidRPr="00B004EE">
        <w:rPr>
          <w:rFonts w:ascii="Tahoma" w:hAnsi="Tahoma" w:cs="Tahoma"/>
          <w:sz w:val="20"/>
          <w:szCs w:val="20"/>
        </w:rPr>
        <w:t>cm</w:t>
      </w:r>
    </w:p>
    <w:p w14:paraId="7A9CAFD0" w14:textId="3EC5B1BA" w:rsidR="008518B0" w:rsidRPr="00B004EE" w:rsidRDefault="008518B0" w:rsidP="00B004EE">
      <w:pPr>
        <w:tabs>
          <w:tab w:val="center" w:leader="dot" w:pos="8364"/>
        </w:tabs>
        <w:ind w:left="567"/>
        <w:jc w:val="both"/>
        <w:rPr>
          <w:rFonts w:ascii="Tahoma" w:hAnsi="Tahoma" w:cs="Tahoma"/>
          <w:sz w:val="20"/>
          <w:szCs w:val="20"/>
        </w:rPr>
      </w:pPr>
      <w:r w:rsidRPr="00B004EE">
        <w:rPr>
          <w:rFonts w:ascii="Tahoma" w:hAnsi="Tahoma" w:cs="Tahoma"/>
          <w:sz w:val="20"/>
          <w:szCs w:val="20"/>
        </w:rPr>
        <w:t>Langostino</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Crevette</w:t>
      </w:r>
      <w:r w:rsidR="00DB1635" w:rsidRPr="00B004EE">
        <w:rPr>
          <w:rFonts w:ascii="Tahoma" w:hAnsi="Tahoma" w:cs="Tahoma"/>
          <w:sz w:val="20"/>
          <w:szCs w:val="20"/>
        </w:rPr>
        <w:t xml:space="preserve"> </w:t>
      </w:r>
      <w:r w:rsidRPr="00B004EE">
        <w:rPr>
          <w:rFonts w:ascii="Tahoma" w:hAnsi="Tahoma" w:cs="Tahoma"/>
          <w:sz w:val="20"/>
          <w:szCs w:val="20"/>
        </w:rPr>
        <w:t>côtière</w:t>
      </w:r>
      <w:r w:rsidR="00DB1635" w:rsidRPr="00B004EE">
        <w:rPr>
          <w:rFonts w:ascii="Tahoma" w:hAnsi="Tahoma" w:cs="Tahoma"/>
          <w:sz w:val="20"/>
          <w:szCs w:val="20"/>
        </w:rPr>
        <w:t xml:space="preserve"> </w:t>
      </w:r>
      <w:r w:rsidRPr="00B004EE">
        <w:rPr>
          <w:rFonts w:ascii="Tahoma" w:hAnsi="Tahoma" w:cs="Tahoma"/>
          <w:sz w:val="20"/>
          <w:szCs w:val="20"/>
        </w:rPr>
        <w:t>(</w:t>
      </w:r>
      <w:r w:rsidRPr="00B004EE">
        <w:rPr>
          <w:rFonts w:ascii="Tahoma" w:hAnsi="Tahoma" w:cs="Tahoma"/>
          <w:i/>
          <w:sz w:val="20"/>
          <w:szCs w:val="20"/>
        </w:rPr>
        <w:t>Penaeus</w:t>
      </w:r>
      <w:r w:rsidR="00DB1635" w:rsidRPr="00B004EE">
        <w:rPr>
          <w:rFonts w:ascii="Tahoma" w:hAnsi="Tahoma" w:cs="Tahoma"/>
          <w:i/>
          <w:sz w:val="20"/>
          <w:szCs w:val="20"/>
        </w:rPr>
        <w:t xml:space="preserve"> </w:t>
      </w:r>
      <w:r w:rsidRPr="00B004EE">
        <w:rPr>
          <w:rFonts w:ascii="Tahoma" w:hAnsi="Tahoma" w:cs="Tahoma"/>
          <w:i/>
          <w:sz w:val="20"/>
          <w:szCs w:val="20"/>
        </w:rPr>
        <w:t>notialis</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i/>
          <w:sz w:val="20"/>
          <w:szCs w:val="20"/>
        </w:rPr>
        <w:t>Penaeus</w:t>
      </w:r>
      <w:r w:rsidR="00DB1635" w:rsidRPr="00B004EE">
        <w:rPr>
          <w:rFonts w:ascii="Tahoma" w:hAnsi="Tahoma" w:cs="Tahoma"/>
          <w:i/>
          <w:sz w:val="20"/>
          <w:szCs w:val="20"/>
        </w:rPr>
        <w:t xml:space="preserve"> </w:t>
      </w:r>
      <w:r w:rsidRPr="00B004EE">
        <w:rPr>
          <w:rFonts w:ascii="Tahoma" w:hAnsi="Tahoma" w:cs="Tahoma"/>
          <w:i/>
          <w:sz w:val="20"/>
          <w:szCs w:val="20"/>
        </w:rPr>
        <w:t>kerathurus)</w:t>
      </w:r>
      <w:r w:rsidRPr="00B004EE">
        <w:rPr>
          <w:rFonts w:ascii="Tahoma" w:hAnsi="Tahoma" w:cs="Tahoma"/>
          <w:sz w:val="20"/>
          <w:szCs w:val="20"/>
        </w:rPr>
        <w:tab/>
        <w:t>200</w:t>
      </w:r>
      <w:r w:rsidR="00DB1635" w:rsidRPr="00B004EE">
        <w:rPr>
          <w:rFonts w:ascii="Tahoma" w:hAnsi="Tahoma" w:cs="Tahoma"/>
          <w:sz w:val="20"/>
          <w:szCs w:val="20"/>
        </w:rPr>
        <w:t xml:space="preserve"> </w:t>
      </w:r>
      <w:r w:rsidRPr="00B004EE">
        <w:rPr>
          <w:rFonts w:ascii="Tahoma" w:hAnsi="Tahoma" w:cs="Tahoma"/>
          <w:sz w:val="20"/>
          <w:szCs w:val="20"/>
        </w:rPr>
        <w:t>indv/kg</w:t>
      </w:r>
    </w:p>
    <w:p w14:paraId="6811BE2A" w14:textId="77777777" w:rsidR="008518B0" w:rsidRPr="00B004EE" w:rsidRDefault="008518B0" w:rsidP="00B004EE">
      <w:pPr>
        <w:tabs>
          <w:tab w:val="center" w:leader="dot" w:pos="8364"/>
        </w:tabs>
        <w:ind w:left="567"/>
        <w:jc w:val="both"/>
        <w:rPr>
          <w:rFonts w:ascii="Tahoma" w:hAnsi="Tahoma" w:cs="Tahoma"/>
          <w:sz w:val="20"/>
          <w:szCs w:val="20"/>
        </w:rPr>
      </w:pPr>
    </w:p>
    <w:p w14:paraId="0BB937FD" w14:textId="46A2C441" w:rsidR="008518B0" w:rsidRPr="00B004EE" w:rsidRDefault="008518B0" w:rsidP="00B004EE">
      <w:pPr>
        <w:tabs>
          <w:tab w:val="center" w:leader="dot" w:pos="8364"/>
        </w:tabs>
        <w:jc w:val="both"/>
        <w:rPr>
          <w:rFonts w:ascii="Tahoma" w:hAnsi="Tahoma" w:cs="Tahoma"/>
          <w:sz w:val="20"/>
          <w:szCs w:val="20"/>
        </w:rPr>
      </w:pP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arrêté</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Ministre</w:t>
      </w:r>
      <w:r w:rsidR="00DB1635" w:rsidRPr="00B004EE">
        <w:rPr>
          <w:rFonts w:ascii="Tahoma" w:hAnsi="Tahoma" w:cs="Tahoma"/>
          <w:sz w:val="20"/>
          <w:szCs w:val="20"/>
        </w:rPr>
        <w:t xml:space="preserve"> </w:t>
      </w:r>
      <w:r w:rsidRPr="00B004EE">
        <w:rPr>
          <w:rFonts w:ascii="Tahoma" w:hAnsi="Tahoma" w:cs="Tahoma"/>
          <w:sz w:val="20"/>
          <w:szCs w:val="20"/>
        </w:rPr>
        <w:t>chargé</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sz w:val="20"/>
          <w:szCs w:val="20"/>
        </w:rPr>
        <w:t xml:space="preserve"> </w:t>
      </w:r>
      <w:r w:rsidRPr="00B004EE">
        <w:rPr>
          <w:rFonts w:ascii="Tahoma" w:hAnsi="Tahoma" w:cs="Tahoma"/>
          <w:sz w:val="20"/>
          <w:szCs w:val="20"/>
        </w:rPr>
        <w:t>peut</w:t>
      </w:r>
      <w:r w:rsidR="00DB1635" w:rsidRPr="00B004EE">
        <w:rPr>
          <w:rFonts w:ascii="Tahoma" w:hAnsi="Tahoma" w:cs="Tahoma"/>
          <w:sz w:val="20"/>
          <w:szCs w:val="20"/>
        </w:rPr>
        <w:t xml:space="preserve"> </w:t>
      </w:r>
      <w:r w:rsidRPr="00B004EE">
        <w:rPr>
          <w:rFonts w:ascii="Tahoma" w:hAnsi="Tahoma" w:cs="Tahoma"/>
          <w:sz w:val="20"/>
          <w:szCs w:val="20"/>
        </w:rPr>
        <w:t>modifier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tailles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poids</w:t>
      </w:r>
      <w:r w:rsidR="00DB1635" w:rsidRPr="00B004EE">
        <w:rPr>
          <w:rFonts w:ascii="Tahoma" w:hAnsi="Tahoma" w:cs="Tahoma"/>
          <w:sz w:val="20"/>
          <w:szCs w:val="20"/>
        </w:rPr>
        <w:t xml:space="preserve"> </w:t>
      </w:r>
      <w:r w:rsidRPr="00B004EE">
        <w:rPr>
          <w:rFonts w:ascii="Tahoma" w:hAnsi="Tahoma" w:cs="Tahoma"/>
          <w:sz w:val="20"/>
          <w:szCs w:val="20"/>
        </w:rPr>
        <w:t>minima</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poissons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mer,</w:t>
      </w:r>
      <w:r w:rsidR="00DB1635" w:rsidRPr="00B004EE">
        <w:rPr>
          <w:rFonts w:ascii="Tahoma" w:hAnsi="Tahoma" w:cs="Tahoma"/>
          <w:sz w:val="20"/>
          <w:szCs w:val="20"/>
        </w:rPr>
        <w:t xml:space="preserve"> </w:t>
      </w:r>
      <w:r w:rsidRPr="00B004EE">
        <w:rPr>
          <w:rFonts w:ascii="Tahoma" w:hAnsi="Tahoma" w:cs="Tahoma"/>
          <w:sz w:val="20"/>
          <w:szCs w:val="20"/>
        </w:rPr>
        <w:t>céphalopodes,</w:t>
      </w:r>
      <w:r w:rsidR="00DB1635" w:rsidRPr="00B004EE">
        <w:rPr>
          <w:rFonts w:ascii="Tahoma" w:hAnsi="Tahoma" w:cs="Tahoma"/>
          <w:sz w:val="20"/>
          <w:szCs w:val="20"/>
        </w:rPr>
        <w:t xml:space="preserve"> </w:t>
      </w:r>
      <w:r w:rsidRPr="00B004EE">
        <w:rPr>
          <w:rFonts w:ascii="Tahoma" w:hAnsi="Tahoma" w:cs="Tahoma"/>
          <w:sz w:val="20"/>
          <w:szCs w:val="20"/>
        </w:rPr>
        <w:t>mollusques,</w:t>
      </w:r>
      <w:r w:rsidR="00DB1635" w:rsidRPr="00B004EE">
        <w:rPr>
          <w:rFonts w:ascii="Tahoma" w:hAnsi="Tahoma" w:cs="Tahoma"/>
          <w:sz w:val="20"/>
          <w:szCs w:val="20"/>
        </w:rPr>
        <w:t xml:space="preserve"> </w:t>
      </w:r>
      <w:r w:rsidRPr="00B004EE">
        <w:rPr>
          <w:rFonts w:ascii="Tahoma" w:hAnsi="Tahoma" w:cs="Tahoma"/>
          <w:sz w:val="20"/>
          <w:szCs w:val="20"/>
        </w:rPr>
        <w:t>crustacés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autres</w:t>
      </w:r>
      <w:r w:rsidR="00DB1635" w:rsidRPr="00B004EE">
        <w:rPr>
          <w:rFonts w:ascii="Tahoma" w:hAnsi="Tahoma" w:cs="Tahoma"/>
          <w:sz w:val="20"/>
          <w:szCs w:val="20"/>
        </w:rPr>
        <w:t xml:space="preserve"> </w:t>
      </w:r>
      <w:r w:rsidRPr="00B004EE">
        <w:rPr>
          <w:rFonts w:ascii="Tahoma" w:hAnsi="Tahoma" w:cs="Tahoma"/>
          <w:sz w:val="20"/>
          <w:szCs w:val="20"/>
        </w:rPr>
        <w:t>espèces</w:t>
      </w:r>
      <w:r w:rsidR="00DB1635" w:rsidRPr="00B004EE">
        <w:rPr>
          <w:rFonts w:ascii="Tahoma" w:hAnsi="Tahoma" w:cs="Tahoma"/>
          <w:sz w:val="20"/>
          <w:szCs w:val="20"/>
        </w:rPr>
        <w:t xml:space="preserve"> </w:t>
      </w:r>
      <w:r w:rsidRPr="00B004EE">
        <w:rPr>
          <w:rFonts w:ascii="Tahoma" w:hAnsi="Tahoma" w:cs="Tahoma"/>
          <w:sz w:val="20"/>
          <w:szCs w:val="20"/>
        </w:rPr>
        <w:t>dont</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autorisée</w:t>
      </w:r>
      <w:r w:rsidR="00DB1635" w:rsidRPr="00B004EE">
        <w:rPr>
          <w:rFonts w:ascii="Tahoma" w:hAnsi="Tahoma" w:cs="Tahoma"/>
          <w:sz w:val="20"/>
          <w:szCs w:val="20"/>
        </w:rPr>
        <w:t xml:space="preserve"> </w:t>
      </w:r>
      <w:r w:rsidRPr="00B004EE">
        <w:rPr>
          <w:rFonts w:ascii="Tahoma" w:hAnsi="Tahoma" w:cs="Tahoma"/>
          <w:sz w:val="20"/>
          <w:szCs w:val="20"/>
        </w:rPr>
        <w:t>conformément</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données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recherche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plans</w:t>
      </w:r>
      <w:r w:rsidR="00DB1635" w:rsidRPr="00B004EE">
        <w:rPr>
          <w:rFonts w:ascii="Tahoma" w:hAnsi="Tahoma" w:cs="Tahoma"/>
          <w:sz w:val="20"/>
          <w:szCs w:val="20"/>
        </w:rPr>
        <w:t xml:space="preserve"> </w:t>
      </w:r>
      <w:r w:rsidRPr="00B004EE">
        <w:rPr>
          <w:rFonts w:ascii="Tahoma" w:hAnsi="Tahoma" w:cs="Tahoma"/>
          <w:sz w:val="20"/>
          <w:szCs w:val="20"/>
        </w:rPr>
        <w:t>d’aménagement</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gestion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pêcheries.</w:t>
      </w:r>
      <w:r w:rsidR="00DB1635" w:rsidRPr="00B004EE">
        <w:rPr>
          <w:rFonts w:ascii="Tahoma" w:hAnsi="Tahoma" w:cs="Tahoma"/>
          <w:sz w:val="20"/>
          <w:szCs w:val="20"/>
        </w:rPr>
        <w:t xml:space="preserve"> </w:t>
      </w:r>
    </w:p>
    <w:p w14:paraId="5BA59982" w14:textId="77777777" w:rsidR="008518B0" w:rsidRPr="00B004EE" w:rsidRDefault="008518B0" w:rsidP="00B004EE">
      <w:pPr>
        <w:tabs>
          <w:tab w:val="center" w:leader="dot" w:pos="8364"/>
        </w:tabs>
        <w:jc w:val="both"/>
        <w:rPr>
          <w:rFonts w:ascii="Tahoma" w:hAnsi="Tahoma" w:cs="Tahoma"/>
          <w:sz w:val="20"/>
          <w:szCs w:val="20"/>
        </w:rPr>
      </w:pPr>
    </w:p>
    <w:p w14:paraId="7AFEFDB2" w14:textId="547EB157" w:rsidR="008518B0" w:rsidRPr="00B004EE" w:rsidRDefault="008518B0" w:rsidP="00B004EE">
      <w:pPr>
        <w:pStyle w:val="article"/>
        <w:numPr>
          <w:ilvl w:val="0"/>
          <w:numId w:val="0"/>
        </w:numPr>
        <w:tabs>
          <w:tab w:val="left" w:pos="1200"/>
        </w:tabs>
        <w:spacing w:before="0" w:line="240" w:lineRule="auto"/>
        <w:rPr>
          <w:rFonts w:ascii="Tahoma" w:hAnsi="Tahoma" w:cs="Tahoma"/>
          <w:sz w:val="20"/>
          <w:szCs w:val="20"/>
        </w:rPr>
      </w:pPr>
      <w:r w:rsidRPr="00B004EE">
        <w:rPr>
          <w:rFonts w:ascii="Tahoma" w:hAnsi="Tahoma" w:cs="Tahoma"/>
          <w:sz w:val="20"/>
          <w:szCs w:val="20"/>
        </w:rPr>
        <w:t>Article</w:t>
      </w:r>
      <w:r w:rsidR="00DB1635" w:rsidRPr="00B004EE">
        <w:rPr>
          <w:rFonts w:ascii="Tahoma" w:hAnsi="Tahoma" w:cs="Tahoma"/>
          <w:sz w:val="20"/>
          <w:szCs w:val="20"/>
        </w:rPr>
        <w:t xml:space="preserve"> </w:t>
      </w:r>
      <w:r w:rsidRPr="00B004EE">
        <w:rPr>
          <w:rFonts w:ascii="Tahoma" w:hAnsi="Tahoma" w:cs="Tahoma"/>
          <w:sz w:val="20"/>
          <w:szCs w:val="20"/>
        </w:rPr>
        <w:t>36</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Il</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interdit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pêcher,</w:t>
      </w:r>
      <w:r w:rsidR="00DB1635" w:rsidRPr="00B004EE">
        <w:rPr>
          <w:rFonts w:ascii="Tahoma" w:hAnsi="Tahoma" w:cs="Tahoma"/>
          <w:sz w:val="20"/>
          <w:szCs w:val="20"/>
        </w:rPr>
        <w:t xml:space="preserve"> </w:t>
      </w:r>
      <w:r w:rsidRPr="00B004EE">
        <w:rPr>
          <w:rFonts w:ascii="Tahoma" w:hAnsi="Tahoma" w:cs="Tahoma"/>
          <w:sz w:val="20"/>
          <w:szCs w:val="20"/>
        </w:rPr>
        <w:t>faire</w:t>
      </w:r>
      <w:r w:rsidR="00DB1635" w:rsidRPr="00B004EE">
        <w:rPr>
          <w:rFonts w:ascii="Tahoma" w:hAnsi="Tahoma" w:cs="Tahoma"/>
          <w:sz w:val="20"/>
          <w:szCs w:val="20"/>
        </w:rPr>
        <w:t xml:space="preserve"> </w:t>
      </w:r>
      <w:r w:rsidRPr="00B004EE">
        <w:rPr>
          <w:rFonts w:ascii="Tahoma" w:hAnsi="Tahoma" w:cs="Tahoma"/>
          <w:sz w:val="20"/>
          <w:szCs w:val="20"/>
        </w:rPr>
        <w:t>pêcher,</w:t>
      </w:r>
      <w:r w:rsidR="00DB1635" w:rsidRPr="00B004EE">
        <w:rPr>
          <w:rFonts w:ascii="Tahoma" w:hAnsi="Tahoma" w:cs="Tahoma"/>
          <w:sz w:val="20"/>
          <w:szCs w:val="20"/>
        </w:rPr>
        <w:t xml:space="preserve"> </w:t>
      </w:r>
      <w:r w:rsidRPr="00B004EE">
        <w:rPr>
          <w:rFonts w:ascii="Tahoma" w:hAnsi="Tahoma" w:cs="Tahoma"/>
          <w:sz w:val="20"/>
          <w:szCs w:val="20"/>
        </w:rPr>
        <w:t>garder</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bord,</w:t>
      </w:r>
      <w:r w:rsidR="00DB1635" w:rsidRPr="00B004EE">
        <w:rPr>
          <w:rFonts w:ascii="Tahoma" w:hAnsi="Tahoma" w:cs="Tahoma"/>
          <w:sz w:val="20"/>
          <w:szCs w:val="20"/>
        </w:rPr>
        <w:t xml:space="preserve"> </w:t>
      </w:r>
      <w:r w:rsidRPr="00B004EE">
        <w:rPr>
          <w:rFonts w:ascii="Tahoma" w:hAnsi="Tahoma" w:cs="Tahoma"/>
          <w:sz w:val="20"/>
          <w:szCs w:val="20"/>
        </w:rPr>
        <w:t>acheter,</w:t>
      </w:r>
      <w:r w:rsidR="00DB1635" w:rsidRPr="00B004EE">
        <w:rPr>
          <w:rFonts w:ascii="Tahoma" w:hAnsi="Tahoma" w:cs="Tahoma"/>
          <w:sz w:val="20"/>
          <w:szCs w:val="20"/>
        </w:rPr>
        <w:t xml:space="preserve"> </w:t>
      </w:r>
      <w:r w:rsidRPr="00B004EE">
        <w:rPr>
          <w:rFonts w:ascii="Tahoma" w:hAnsi="Tahoma" w:cs="Tahoma"/>
          <w:sz w:val="20"/>
          <w:szCs w:val="20"/>
        </w:rPr>
        <w:t>vendre,</w:t>
      </w:r>
      <w:r w:rsidR="00DB1635" w:rsidRPr="00B004EE">
        <w:rPr>
          <w:rFonts w:ascii="Tahoma" w:hAnsi="Tahoma" w:cs="Tahoma"/>
          <w:sz w:val="20"/>
          <w:szCs w:val="20"/>
        </w:rPr>
        <w:t xml:space="preserve"> </w:t>
      </w:r>
      <w:r w:rsidRPr="00B004EE">
        <w:rPr>
          <w:rFonts w:ascii="Tahoma" w:hAnsi="Tahoma" w:cs="Tahoma"/>
          <w:sz w:val="20"/>
          <w:szCs w:val="20"/>
        </w:rPr>
        <w:t>faire</w:t>
      </w:r>
      <w:r w:rsidR="00DB1635" w:rsidRPr="00B004EE">
        <w:rPr>
          <w:rFonts w:ascii="Tahoma" w:hAnsi="Tahoma" w:cs="Tahoma"/>
          <w:sz w:val="20"/>
          <w:szCs w:val="20"/>
        </w:rPr>
        <w:t xml:space="preserve"> </w:t>
      </w:r>
      <w:r w:rsidRPr="00B004EE">
        <w:rPr>
          <w:rFonts w:ascii="Tahoma" w:hAnsi="Tahoma" w:cs="Tahoma"/>
          <w:sz w:val="20"/>
          <w:szCs w:val="20"/>
        </w:rPr>
        <w:t>vendre,</w:t>
      </w:r>
      <w:r w:rsidR="00DB1635" w:rsidRPr="00B004EE">
        <w:rPr>
          <w:rFonts w:ascii="Tahoma" w:hAnsi="Tahoma" w:cs="Tahoma"/>
          <w:sz w:val="20"/>
          <w:szCs w:val="20"/>
        </w:rPr>
        <w:t xml:space="preserve"> </w:t>
      </w:r>
      <w:r w:rsidRPr="00B004EE">
        <w:rPr>
          <w:rFonts w:ascii="Tahoma" w:hAnsi="Tahoma" w:cs="Tahoma"/>
          <w:sz w:val="20"/>
          <w:szCs w:val="20"/>
        </w:rPr>
        <w:t>transporter</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employer</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usage</w:t>
      </w:r>
      <w:r w:rsidR="00DB1635" w:rsidRPr="00B004EE">
        <w:rPr>
          <w:rFonts w:ascii="Tahoma" w:hAnsi="Tahoma" w:cs="Tahoma"/>
          <w:sz w:val="20"/>
          <w:szCs w:val="20"/>
        </w:rPr>
        <w:t xml:space="preserve"> </w:t>
      </w:r>
      <w:r w:rsidRPr="00B004EE">
        <w:rPr>
          <w:rFonts w:ascii="Tahoma" w:hAnsi="Tahoma" w:cs="Tahoma"/>
          <w:sz w:val="20"/>
          <w:szCs w:val="20"/>
        </w:rPr>
        <w:t>quelconque,</w:t>
      </w:r>
      <w:r w:rsidR="00DB1635" w:rsidRPr="00B004EE">
        <w:rPr>
          <w:rFonts w:ascii="Tahoma" w:hAnsi="Tahoma" w:cs="Tahoma"/>
          <w:sz w:val="20"/>
          <w:szCs w:val="20"/>
        </w:rPr>
        <w:t xml:space="preserve"> </w:t>
      </w:r>
      <w:r w:rsidRPr="00B004EE">
        <w:rPr>
          <w:rFonts w:ascii="Tahoma" w:hAnsi="Tahoma" w:cs="Tahoma"/>
          <w:sz w:val="20"/>
          <w:szCs w:val="20"/>
        </w:rPr>
        <w:t>notamment</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nourriture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animaux</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fertilisation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terres,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poissons,</w:t>
      </w:r>
      <w:r w:rsidR="00DB1635" w:rsidRPr="00B004EE">
        <w:rPr>
          <w:rFonts w:ascii="Tahoma" w:hAnsi="Tahoma" w:cs="Tahoma"/>
          <w:sz w:val="20"/>
          <w:szCs w:val="20"/>
        </w:rPr>
        <w:t xml:space="preserve"> </w:t>
      </w:r>
      <w:r w:rsidRPr="00B004EE">
        <w:rPr>
          <w:rFonts w:ascii="Tahoma" w:hAnsi="Tahoma" w:cs="Tahoma"/>
          <w:sz w:val="20"/>
          <w:szCs w:val="20"/>
        </w:rPr>
        <w:t>céphalopodes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crustacés,</w:t>
      </w:r>
      <w:r w:rsidR="00DB1635" w:rsidRPr="00B004EE">
        <w:rPr>
          <w:rFonts w:ascii="Tahoma" w:hAnsi="Tahoma" w:cs="Tahoma"/>
          <w:sz w:val="20"/>
          <w:szCs w:val="20"/>
        </w:rPr>
        <w:t xml:space="preserve"> </w:t>
      </w:r>
      <w:r w:rsidRPr="00B004EE">
        <w:rPr>
          <w:rFonts w:ascii="Tahoma" w:hAnsi="Tahoma" w:cs="Tahoma"/>
          <w:sz w:val="20"/>
          <w:szCs w:val="20"/>
        </w:rPr>
        <w:t>qui</w:t>
      </w:r>
      <w:r w:rsidR="00DB1635" w:rsidRPr="00B004EE">
        <w:rPr>
          <w:rFonts w:ascii="Tahoma" w:hAnsi="Tahoma" w:cs="Tahoma"/>
          <w:sz w:val="20"/>
          <w:szCs w:val="20"/>
        </w:rPr>
        <w:t xml:space="preserve"> </w:t>
      </w:r>
      <w:r w:rsidRPr="00B004EE">
        <w:rPr>
          <w:rFonts w:ascii="Tahoma" w:hAnsi="Tahoma" w:cs="Tahoma"/>
          <w:sz w:val="20"/>
          <w:szCs w:val="20"/>
        </w:rPr>
        <w:t>n'auraient</w:t>
      </w:r>
      <w:r w:rsidR="00DB1635" w:rsidRPr="00B004EE">
        <w:rPr>
          <w:rFonts w:ascii="Tahoma" w:hAnsi="Tahoma" w:cs="Tahoma"/>
          <w:sz w:val="20"/>
          <w:szCs w:val="20"/>
        </w:rPr>
        <w:t xml:space="preserve"> </w:t>
      </w:r>
      <w:r w:rsidRPr="00B004EE">
        <w:rPr>
          <w:rFonts w:ascii="Tahoma" w:hAnsi="Tahoma" w:cs="Tahoma"/>
          <w:sz w:val="20"/>
          <w:szCs w:val="20"/>
        </w:rPr>
        <w:t>pas</w:t>
      </w:r>
      <w:r w:rsidR="00DB1635" w:rsidRPr="00B004EE">
        <w:rPr>
          <w:rFonts w:ascii="Tahoma" w:hAnsi="Tahoma" w:cs="Tahoma"/>
          <w:sz w:val="20"/>
          <w:szCs w:val="20"/>
        </w:rPr>
        <w:t xml:space="preserve"> </w:t>
      </w:r>
      <w:r w:rsidRPr="00B004EE">
        <w:rPr>
          <w:rFonts w:ascii="Tahoma" w:hAnsi="Tahoma" w:cs="Tahoma"/>
          <w:sz w:val="20"/>
          <w:szCs w:val="20"/>
        </w:rPr>
        <w:t>atteint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tailles</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poids</w:t>
      </w:r>
      <w:r w:rsidR="00DB1635" w:rsidRPr="00B004EE">
        <w:rPr>
          <w:rFonts w:ascii="Tahoma" w:hAnsi="Tahoma" w:cs="Tahoma"/>
          <w:sz w:val="20"/>
          <w:szCs w:val="20"/>
        </w:rPr>
        <w:t xml:space="preserve"> </w:t>
      </w:r>
      <w:r w:rsidRPr="00B004EE">
        <w:rPr>
          <w:rFonts w:ascii="Tahoma" w:hAnsi="Tahoma" w:cs="Tahoma"/>
          <w:sz w:val="20"/>
          <w:szCs w:val="20"/>
        </w:rPr>
        <w:t>minima</w:t>
      </w:r>
      <w:r w:rsidR="00DB1635" w:rsidRPr="00B004EE">
        <w:rPr>
          <w:rFonts w:ascii="Tahoma" w:hAnsi="Tahoma" w:cs="Tahoma"/>
          <w:sz w:val="20"/>
          <w:szCs w:val="20"/>
        </w:rPr>
        <w:t xml:space="preserve"> </w:t>
      </w:r>
      <w:r w:rsidRPr="00B004EE">
        <w:rPr>
          <w:rFonts w:ascii="Tahoma" w:hAnsi="Tahoma" w:cs="Tahoma"/>
          <w:sz w:val="20"/>
          <w:szCs w:val="20"/>
        </w:rPr>
        <w:t>fixés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l’article</w:t>
      </w:r>
      <w:r w:rsidR="00DB1635" w:rsidRPr="00B004EE">
        <w:rPr>
          <w:rFonts w:ascii="Tahoma" w:hAnsi="Tahoma" w:cs="Tahoma"/>
          <w:sz w:val="20"/>
          <w:szCs w:val="20"/>
        </w:rPr>
        <w:t xml:space="preserve"> </w:t>
      </w:r>
      <w:r w:rsidRPr="00B004EE">
        <w:rPr>
          <w:rFonts w:ascii="Tahoma" w:hAnsi="Tahoma" w:cs="Tahoma"/>
          <w:sz w:val="20"/>
          <w:szCs w:val="20"/>
        </w:rPr>
        <w:t>35</w:t>
      </w:r>
      <w:r w:rsidR="00DB1635" w:rsidRPr="00B004EE">
        <w:rPr>
          <w:rFonts w:ascii="Tahoma" w:hAnsi="Tahoma" w:cs="Tahoma"/>
          <w:sz w:val="20"/>
          <w:szCs w:val="20"/>
        </w:rPr>
        <w:t xml:space="preserve"> </w:t>
      </w:r>
      <w:r w:rsidRPr="00B004EE">
        <w:rPr>
          <w:rFonts w:ascii="Tahoma" w:hAnsi="Tahoma" w:cs="Tahoma"/>
          <w:sz w:val="20"/>
          <w:szCs w:val="20"/>
        </w:rPr>
        <w:t>ci-dessus.</w:t>
      </w:r>
      <w:r w:rsidR="00DB1635" w:rsidRPr="00B004EE">
        <w:rPr>
          <w:rFonts w:ascii="Tahoma" w:hAnsi="Tahoma" w:cs="Tahoma"/>
          <w:sz w:val="20"/>
          <w:szCs w:val="20"/>
        </w:rPr>
        <w:t xml:space="preserve"> </w:t>
      </w:r>
    </w:p>
    <w:p w14:paraId="23577DF7" w14:textId="77777777" w:rsidR="008518B0" w:rsidRPr="00B004EE" w:rsidRDefault="008518B0" w:rsidP="00B004EE">
      <w:pPr>
        <w:pStyle w:val="article"/>
        <w:numPr>
          <w:ilvl w:val="0"/>
          <w:numId w:val="0"/>
        </w:numPr>
        <w:tabs>
          <w:tab w:val="left" w:pos="1200"/>
        </w:tabs>
        <w:spacing w:before="0" w:line="240" w:lineRule="auto"/>
        <w:rPr>
          <w:rFonts w:ascii="Tahoma" w:hAnsi="Tahoma" w:cs="Tahoma"/>
          <w:sz w:val="20"/>
          <w:szCs w:val="20"/>
        </w:rPr>
      </w:pPr>
    </w:p>
    <w:p w14:paraId="6E884093" w14:textId="506930C8" w:rsidR="008518B0" w:rsidRPr="00B004EE" w:rsidRDefault="008518B0" w:rsidP="00B004EE">
      <w:pPr>
        <w:pStyle w:val="article"/>
        <w:numPr>
          <w:ilvl w:val="0"/>
          <w:numId w:val="0"/>
        </w:numPr>
        <w:spacing w:before="0" w:line="240" w:lineRule="auto"/>
        <w:rPr>
          <w:rFonts w:ascii="Tahoma" w:hAnsi="Tahoma" w:cs="Tahoma"/>
          <w:sz w:val="20"/>
          <w:szCs w:val="20"/>
        </w:rPr>
      </w:pPr>
      <w:r w:rsidRPr="00B004EE">
        <w:rPr>
          <w:rFonts w:ascii="Tahoma" w:hAnsi="Tahoma" w:cs="Tahoma"/>
          <w:sz w:val="20"/>
          <w:szCs w:val="20"/>
        </w:rPr>
        <w:t>Il</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interdit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garder</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bord,</w:t>
      </w:r>
      <w:r w:rsidR="00DB1635" w:rsidRPr="00B004EE">
        <w:rPr>
          <w:rFonts w:ascii="Tahoma" w:hAnsi="Tahoma" w:cs="Tahoma"/>
          <w:sz w:val="20"/>
          <w:szCs w:val="20"/>
        </w:rPr>
        <w:t xml:space="preserve"> </w:t>
      </w:r>
      <w:r w:rsidRPr="00B004EE">
        <w:rPr>
          <w:rFonts w:ascii="Tahoma" w:hAnsi="Tahoma" w:cs="Tahoma"/>
          <w:sz w:val="20"/>
          <w:szCs w:val="20"/>
        </w:rPr>
        <w:t>acheter,</w:t>
      </w:r>
      <w:r w:rsidR="00DB1635" w:rsidRPr="00B004EE">
        <w:rPr>
          <w:rFonts w:ascii="Tahoma" w:hAnsi="Tahoma" w:cs="Tahoma"/>
          <w:sz w:val="20"/>
          <w:szCs w:val="20"/>
        </w:rPr>
        <w:t xml:space="preserve"> </w:t>
      </w:r>
      <w:r w:rsidRPr="00B004EE">
        <w:rPr>
          <w:rFonts w:ascii="Tahoma" w:hAnsi="Tahoma" w:cs="Tahoma"/>
          <w:sz w:val="20"/>
          <w:szCs w:val="20"/>
        </w:rPr>
        <w:t>vendre,</w:t>
      </w:r>
      <w:r w:rsidR="00DB1635" w:rsidRPr="00B004EE">
        <w:rPr>
          <w:rFonts w:ascii="Tahoma" w:hAnsi="Tahoma" w:cs="Tahoma"/>
          <w:sz w:val="20"/>
          <w:szCs w:val="20"/>
        </w:rPr>
        <w:t xml:space="preserve"> </w:t>
      </w:r>
      <w:r w:rsidRPr="00B004EE">
        <w:rPr>
          <w:rFonts w:ascii="Tahoma" w:hAnsi="Tahoma" w:cs="Tahoma"/>
          <w:sz w:val="20"/>
          <w:szCs w:val="20"/>
        </w:rPr>
        <w:t>faire</w:t>
      </w:r>
      <w:r w:rsidR="00DB1635" w:rsidRPr="00B004EE">
        <w:rPr>
          <w:rFonts w:ascii="Tahoma" w:hAnsi="Tahoma" w:cs="Tahoma"/>
          <w:sz w:val="20"/>
          <w:szCs w:val="20"/>
        </w:rPr>
        <w:t xml:space="preserve"> </w:t>
      </w:r>
      <w:r w:rsidRPr="00B004EE">
        <w:rPr>
          <w:rFonts w:ascii="Tahoma" w:hAnsi="Tahoma" w:cs="Tahoma"/>
          <w:sz w:val="20"/>
          <w:szCs w:val="20"/>
        </w:rPr>
        <w:t>vendre,</w:t>
      </w:r>
      <w:r w:rsidR="00DB1635" w:rsidRPr="00B004EE">
        <w:rPr>
          <w:rFonts w:ascii="Tahoma" w:hAnsi="Tahoma" w:cs="Tahoma"/>
          <w:i/>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d'employer</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usage</w:t>
      </w:r>
      <w:r w:rsidR="00DB1635" w:rsidRPr="00B004EE">
        <w:rPr>
          <w:rFonts w:ascii="Tahoma" w:hAnsi="Tahoma" w:cs="Tahoma"/>
          <w:sz w:val="20"/>
          <w:szCs w:val="20"/>
        </w:rPr>
        <w:t xml:space="preserve"> </w:t>
      </w:r>
      <w:r w:rsidRPr="00B004EE">
        <w:rPr>
          <w:rFonts w:ascii="Tahoma" w:hAnsi="Tahoma" w:cs="Tahoma"/>
          <w:sz w:val="20"/>
          <w:szCs w:val="20"/>
        </w:rPr>
        <w:t>quelconque,</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femelles</w:t>
      </w:r>
      <w:r w:rsidR="00DB1635" w:rsidRPr="00B004EE">
        <w:rPr>
          <w:rFonts w:ascii="Tahoma" w:hAnsi="Tahoma" w:cs="Tahoma"/>
          <w:sz w:val="20"/>
          <w:szCs w:val="20"/>
        </w:rPr>
        <w:t xml:space="preserve"> </w:t>
      </w:r>
      <w:r w:rsidRPr="00B004EE">
        <w:rPr>
          <w:rFonts w:ascii="Tahoma" w:hAnsi="Tahoma" w:cs="Tahoma"/>
          <w:sz w:val="20"/>
          <w:szCs w:val="20"/>
        </w:rPr>
        <w:t>grainées</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langoustes,</w:t>
      </w:r>
      <w:r w:rsidR="00DB1635" w:rsidRPr="00B004EE">
        <w:rPr>
          <w:rFonts w:ascii="Tahoma" w:hAnsi="Tahoma" w:cs="Tahoma"/>
          <w:sz w:val="20"/>
          <w:szCs w:val="20"/>
        </w:rPr>
        <w:t xml:space="preserve"> </w:t>
      </w:r>
      <w:r w:rsidRPr="00B004EE">
        <w:rPr>
          <w:rFonts w:ascii="Tahoma" w:hAnsi="Tahoma" w:cs="Tahoma"/>
          <w:sz w:val="20"/>
          <w:szCs w:val="20"/>
        </w:rPr>
        <w:t>crevettes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crabes,</w:t>
      </w:r>
      <w:r w:rsidR="00DB1635" w:rsidRPr="00B004EE">
        <w:rPr>
          <w:rFonts w:ascii="Tahoma" w:hAnsi="Tahoma" w:cs="Tahoma"/>
          <w:sz w:val="20"/>
          <w:szCs w:val="20"/>
        </w:rPr>
        <w:t xml:space="preserve"> </w:t>
      </w:r>
      <w:r w:rsidRPr="00B004EE">
        <w:rPr>
          <w:rFonts w:ascii="Tahoma" w:hAnsi="Tahoma" w:cs="Tahoma"/>
          <w:sz w:val="20"/>
          <w:szCs w:val="20"/>
        </w:rPr>
        <w:t>quels</w:t>
      </w:r>
      <w:r w:rsidR="00DB1635" w:rsidRPr="00B004EE">
        <w:rPr>
          <w:rFonts w:ascii="Tahoma" w:hAnsi="Tahoma" w:cs="Tahoma"/>
          <w:sz w:val="20"/>
          <w:szCs w:val="20"/>
        </w:rPr>
        <w:t xml:space="preserve"> </w:t>
      </w:r>
      <w:r w:rsidRPr="00B004EE">
        <w:rPr>
          <w:rFonts w:ascii="Tahoma" w:hAnsi="Tahoma" w:cs="Tahoma"/>
          <w:sz w:val="20"/>
          <w:szCs w:val="20"/>
        </w:rPr>
        <w:t>que</w:t>
      </w:r>
      <w:r w:rsidR="00DB1635" w:rsidRPr="00B004EE">
        <w:rPr>
          <w:rFonts w:ascii="Tahoma" w:hAnsi="Tahoma" w:cs="Tahoma"/>
          <w:sz w:val="20"/>
          <w:szCs w:val="20"/>
        </w:rPr>
        <w:t xml:space="preserve"> </w:t>
      </w:r>
      <w:r w:rsidRPr="00B004EE">
        <w:rPr>
          <w:rFonts w:ascii="Tahoma" w:hAnsi="Tahoma" w:cs="Tahoma"/>
          <w:sz w:val="20"/>
          <w:szCs w:val="20"/>
        </w:rPr>
        <w:t>soit</w:t>
      </w:r>
      <w:r w:rsidR="00DB1635" w:rsidRPr="00B004EE">
        <w:rPr>
          <w:rFonts w:ascii="Tahoma" w:hAnsi="Tahoma" w:cs="Tahoma"/>
          <w:sz w:val="20"/>
          <w:szCs w:val="20"/>
        </w:rPr>
        <w:t xml:space="preserve"> </w:t>
      </w:r>
      <w:r w:rsidRPr="00B004EE">
        <w:rPr>
          <w:rFonts w:ascii="Tahoma" w:hAnsi="Tahoma" w:cs="Tahoma"/>
          <w:sz w:val="20"/>
          <w:szCs w:val="20"/>
        </w:rPr>
        <w:t>leur</w:t>
      </w:r>
      <w:r w:rsidR="00DB1635" w:rsidRPr="00B004EE">
        <w:rPr>
          <w:rFonts w:ascii="Tahoma" w:hAnsi="Tahoma" w:cs="Tahoma"/>
          <w:sz w:val="20"/>
          <w:szCs w:val="20"/>
        </w:rPr>
        <w:t xml:space="preserve"> </w:t>
      </w:r>
      <w:r w:rsidRPr="00B004EE">
        <w:rPr>
          <w:rFonts w:ascii="Tahoma" w:hAnsi="Tahoma" w:cs="Tahoma"/>
          <w:sz w:val="20"/>
          <w:szCs w:val="20"/>
        </w:rPr>
        <w:t>âge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leur</w:t>
      </w:r>
      <w:r w:rsidR="00DB1635" w:rsidRPr="00B004EE">
        <w:rPr>
          <w:rFonts w:ascii="Tahoma" w:hAnsi="Tahoma" w:cs="Tahoma"/>
          <w:sz w:val="20"/>
          <w:szCs w:val="20"/>
        </w:rPr>
        <w:t xml:space="preserve"> </w:t>
      </w:r>
      <w:r w:rsidRPr="00B004EE">
        <w:rPr>
          <w:rFonts w:ascii="Tahoma" w:hAnsi="Tahoma" w:cs="Tahoma"/>
          <w:sz w:val="20"/>
          <w:szCs w:val="20"/>
        </w:rPr>
        <w:t>dimension.</w:t>
      </w:r>
      <w:r w:rsidR="00DB1635" w:rsidRPr="00B004EE">
        <w:rPr>
          <w:rFonts w:ascii="Tahoma" w:hAnsi="Tahoma" w:cs="Tahoma"/>
          <w:sz w:val="20"/>
          <w:szCs w:val="20"/>
        </w:rPr>
        <w:t xml:space="preserve"> </w:t>
      </w:r>
      <w:r w:rsidRPr="00B004EE">
        <w:rPr>
          <w:rFonts w:ascii="Tahoma" w:hAnsi="Tahoma" w:cs="Tahoma"/>
          <w:sz w:val="20"/>
          <w:szCs w:val="20"/>
        </w:rPr>
        <w:t>Si</w:t>
      </w:r>
      <w:r w:rsidR="00DB1635" w:rsidRPr="00B004EE">
        <w:rPr>
          <w:rFonts w:ascii="Tahoma" w:hAnsi="Tahoma" w:cs="Tahoma"/>
          <w:sz w:val="20"/>
          <w:szCs w:val="20"/>
        </w:rPr>
        <w:t xml:space="preserve"> </w:t>
      </w:r>
      <w:r w:rsidRPr="00B004EE">
        <w:rPr>
          <w:rFonts w:ascii="Tahoma" w:hAnsi="Tahoma" w:cs="Tahoma"/>
          <w:sz w:val="20"/>
          <w:szCs w:val="20"/>
        </w:rPr>
        <w:t>elles</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pêchées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façon</w:t>
      </w:r>
      <w:r w:rsidR="00DB1635" w:rsidRPr="00B004EE">
        <w:rPr>
          <w:rFonts w:ascii="Tahoma" w:hAnsi="Tahoma" w:cs="Tahoma"/>
          <w:sz w:val="20"/>
          <w:szCs w:val="20"/>
        </w:rPr>
        <w:t xml:space="preserve"> </w:t>
      </w:r>
      <w:r w:rsidRPr="00B004EE">
        <w:rPr>
          <w:rFonts w:ascii="Tahoma" w:hAnsi="Tahoma" w:cs="Tahoma"/>
          <w:sz w:val="20"/>
          <w:szCs w:val="20"/>
        </w:rPr>
        <w:t>accidentelle,</w:t>
      </w:r>
      <w:r w:rsidR="00DB1635" w:rsidRPr="00B004EE">
        <w:rPr>
          <w:rFonts w:ascii="Tahoma" w:hAnsi="Tahoma" w:cs="Tahoma"/>
          <w:sz w:val="20"/>
          <w:szCs w:val="20"/>
        </w:rPr>
        <w:t xml:space="preserve"> </w:t>
      </w:r>
      <w:r w:rsidRPr="00B004EE">
        <w:rPr>
          <w:rFonts w:ascii="Tahoma" w:hAnsi="Tahoma" w:cs="Tahoma"/>
          <w:sz w:val="20"/>
          <w:szCs w:val="20"/>
        </w:rPr>
        <w:t>ces</w:t>
      </w:r>
      <w:r w:rsidR="00DB1635" w:rsidRPr="00B004EE">
        <w:rPr>
          <w:rFonts w:ascii="Tahoma" w:hAnsi="Tahoma" w:cs="Tahoma"/>
          <w:sz w:val="20"/>
          <w:szCs w:val="20"/>
        </w:rPr>
        <w:t xml:space="preserve"> </w:t>
      </w:r>
      <w:r w:rsidRPr="00B004EE">
        <w:rPr>
          <w:rFonts w:ascii="Tahoma" w:hAnsi="Tahoma" w:cs="Tahoma"/>
          <w:sz w:val="20"/>
          <w:szCs w:val="20"/>
        </w:rPr>
        <w:t>espèces</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immédiatement</w:t>
      </w:r>
      <w:r w:rsidR="00DB1635" w:rsidRPr="00B004EE">
        <w:rPr>
          <w:rFonts w:ascii="Tahoma" w:hAnsi="Tahoma" w:cs="Tahoma"/>
          <w:sz w:val="20"/>
          <w:szCs w:val="20"/>
        </w:rPr>
        <w:t xml:space="preserve"> </w:t>
      </w:r>
      <w:r w:rsidRPr="00B004EE">
        <w:rPr>
          <w:rFonts w:ascii="Tahoma" w:hAnsi="Tahoma" w:cs="Tahoma"/>
          <w:sz w:val="20"/>
          <w:szCs w:val="20"/>
        </w:rPr>
        <w:t>rejetées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l’eau.</w:t>
      </w:r>
    </w:p>
    <w:p w14:paraId="7C222B0E" w14:textId="77777777" w:rsidR="008518B0" w:rsidRPr="00B004EE" w:rsidRDefault="008518B0" w:rsidP="00B004EE">
      <w:pPr>
        <w:pStyle w:val="article"/>
        <w:numPr>
          <w:ilvl w:val="0"/>
          <w:numId w:val="0"/>
        </w:numPr>
        <w:spacing w:before="0" w:line="240" w:lineRule="auto"/>
        <w:rPr>
          <w:rFonts w:ascii="Tahoma" w:hAnsi="Tahoma" w:cs="Tahoma"/>
          <w:sz w:val="20"/>
          <w:szCs w:val="20"/>
        </w:rPr>
      </w:pPr>
    </w:p>
    <w:p w14:paraId="45DAA867" w14:textId="3D63E153" w:rsidR="008518B0" w:rsidRPr="00B004EE" w:rsidRDefault="008518B0" w:rsidP="00B004EE">
      <w:pPr>
        <w:pStyle w:val="article"/>
        <w:numPr>
          <w:ilvl w:val="0"/>
          <w:numId w:val="0"/>
        </w:numPr>
        <w:spacing w:before="0" w:line="240" w:lineRule="auto"/>
        <w:rPr>
          <w:rFonts w:ascii="Tahoma" w:hAnsi="Tahoma" w:cs="Tahoma"/>
          <w:sz w:val="20"/>
          <w:szCs w:val="20"/>
        </w:rPr>
      </w:pPr>
      <w:r w:rsidRPr="00B004EE">
        <w:rPr>
          <w:rFonts w:ascii="Tahoma" w:hAnsi="Tahoma" w:cs="Tahoma"/>
          <w:sz w:val="20"/>
          <w:szCs w:val="20"/>
        </w:rPr>
        <w:t>Si</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œufs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langouste</w:t>
      </w:r>
      <w:r w:rsidR="00DB1635" w:rsidRPr="00B004EE">
        <w:rPr>
          <w:rFonts w:ascii="Tahoma" w:hAnsi="Tahoma" w:cs="Tahoma"/>
          <w:sz w:val="20"/>
          <w:szCs w:val="20"/>
        </w:rPr>
        <w:t xml:space="preserve"> </w:t>
      </w:r>
      <w:r w:rsidRPr="00B004EE">
        <w:rPr>
          <w:rFonts w:ascii="Tahoma" w:hAnsi="Tahoma" w:cs="Tahoma"/>
          <w:sz w:val="20"/>
          <w:szCs w:val="20"/>
        </w:rPr>
        <w:t>apparaissent</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cours</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transport</w:t>
      </w:r>
      <w:r w:rsidR="00DB1635" w:rsidRPr="00B004EE">
        <w:rPr>
          <w:rFonts w:ascii="Tahoma" w:hAnsi="Tahoma" w:cs="Tahoma"/>
          <w:sz w:val="20"/>
          <w:szCs w:val="20"/>
        </w:rPr>
        <w:t xml:space="preserve"> </w:t>
      </w:r>
      <w:r w:rsidRPr="00B004EE">
        <w:rPr>
          <w:rFonts w:ascii="Tahoma" w:hAnsi="Tahoma" w:cs="Tahoma"/>
          <w:sz w:val="20"/>
          <w:szCs w:val="20"/>
        </w:rPr>
        <w:t>après</w:t>
      </w:r>
      <w:r w:rsidR="00DB1635" w:rsidRPr="00B004EE">
        <w:rPr>
          <w:rFonts w:ascii="Tahoma" w:hAnsi="Tahoma" w:cs="Tahoma"/>
          <w:sz w:val="20"/>
          <w:szCs w:val="20"/>
        </w:rPr>
        <w:t xml:space="preserve"> </w:t>
      </w:r>
      <w:r w:rsidRPr="00B004EE">
        <w:rPr>
          <w:rFonts w:ascii="Tahoma" w:hAnsi="Tahoma" w:cs="Tahoma"/>
          <w:sz w:val="20"/>
          <w:szCs w:val="20"/>
        </w:rPr>
        <w:t>débarquement,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femelles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langoustes</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placées</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vivier</w:t>
      </w:r>
      <w:r w:rsidR="00DB1635" w:rsidRPr="00B004EE">
        <w:rPr>
          <w:rFonts w:ascii="Tahoma" w:hAnsi="Tahoma" w:cs="Tahoma"/>
          <w:sz w:val="20"/>
          <w:szCs w:val="20"/>
        </w:rPr>
        <w:t xml:space="preserve"> </w:t>
      </w:r>
      <w:r w:rsidRPr="00B004EE">
        <w:rPr>
          <w:rFonts w:ascii="Tahoma" w:hAnsi="Tahoma" w:cs="Tahoma"/>
          <w:sz w:val="20"/>
          <w:szCs w:val="20"/>
        </w:rPr>
        <w:t>d’égrainage</w:t>
      </w:r>
      <w:r w:rsidR="00DB1635" w:rsidRPr="00B004EE">
        <w:rPr>
          <w:rFonts w:ascii="Tahoma" w:hAnsi="Tahoma" w:cs="Tahoma"/>
          <w:sz w:val="20"/>
          <w:szCs w:val="20"/>
        </w:rPr>
        <w:t xml:space="preserve"> </w:t>
      </w:r>
      <w:r w:rsidRPr="00B004EE">
        <w:rPr>
          <w:rFonts w:ascii="Tahoma" w:hAnsi="Tahoma" w:cs="Tahoma"/>
          <w:sz w:val="20"/>
          <w:szCs w:val="20"/>
        </w:rPr>
        <w:t>avant</w:t>
      </w:r>
      <w:r w:rsidR="00DB1635" w:rsidRPr="00B004EE">
        <w:rPr>
          <w:rFonts w:ascii="Tahoma" w:hAnsi="Tahoma" w:cs="Tahoma"/>
          <w:sz w:val="20"/>
          <w:szCs w:val="20"/>
        </w:rPr>
        <w:t xml:space="preserve"> </w:t>
      </w:r>
      <w:r w:rsidRPr="00B004EE">
        <w:rPr>
          <w:rFonts w:ascii="Tahoma" w:hAnsi="Tahoma" w:cs="Tahoma"/>
          <w:sz w:val="20"/>
          <w:szCs w:val="20"/>
        </w:rPr>
        <w:t>leur</w:t>
      </w:r>
      <w:r w:rsidR="00DB1635" w:rsidRPr="00B004EE">
        <w:rPr>
          <w:rFonts w:ascii="Tahoma" w:hAnsi="Tahoma" w:cs="Tahoma"/>
          <w:sz w:val="20"/>
          <w:szCs w:val="20"/>
        </w:rPr>
        <w:t xml:space="preserve"> </w:t>
      </w:r>
      <w:r w:rsidRPr="00B004EE">
        <w:rPr>
          <w:rFonts w:ascii="Tahoma" w:hAnsi="Tahoma" w:cs="Tahoma"/>
          <w:sz w:val="20"/>
          <w:szCs w:val="20"/>
        </w:rPr>
        <w:t>commercialisation.</w:t>
      </w:r>
    </w:p>
    <w:p w14:paraId="707B5C0B" w14:textId="77777777" w:rsidR="008518B0" w:rsidRPr="00B004EE" w:rsidRDefault="008518B0" w:rsidP="00B004EE">
      <w:pPr>
        <w:pStyle w:val="article"/>
        <w:numPr>
          <w:ilvl w:val="0"/>
          <w:numId w:val="0"/>
        </w:numPr>
        <w:spacing w:before="0" w:line="240" w:lineRule="auto"/>
        <w:rPr>
          <w:rFonts w:ascii="Tahoma" w:hAnsi="Tahoma" w:cs="Tahoma"/>
          <w:sz w:val="20"/>
          <w:szCs w:val="20"/>
        </w:rPr>
      </w:pPr>
    </w:p>
    <w:p w14:paraId="47871006" w14:textId="4AEF5D85" w:rsidR="008518B0" w:rsidRPr="00B004EE" w:rsidRDefault="008518B0" w:rsidP="00B004EE">
      <w:pPr>
        <w:pStyle w:val="article"/>
        <w:numPr>
          <w:ilvl w:val="0"/>
          <w:numId w:val="0"/>
        </w:numPr>
        <w:tabs>
          <w:tab w:val="left" w:pos="1200"/>
        </w:tabs>
        <w:spacing w:before="0" w:line="240" w:lineRule="auto"/>
        <w:rPr>
          <w:rFonts w:ascii="Tahoma" w:hAnsi="Tahoma" w:cs="Tahoma"/>
          <w:sz w:val="20"/>
          <w:szCs w:val="20"/>
        </w:rPr>
      </w:pPr>
      <w:r w:rsidRPr="00B004EE">
        <w:rPr>
          <w:rFonts w:ascii="Tahoma" w:hAnsi="Tahoma" w:cs="Tahoma"/>
          <w:sz w:val="20"/>
          <w:szCs w:val="20"/>
        </w:rPr>
        <w:t>Article</w:t>
      </w:r>
      <w:r w:rsidR="00DB1635" w:rsidRPr="00B004EE">
        <w:rPr>
          <w:rFonts w:ascii="Tahoma" w:hAnsi="Tahoma" w:cs="Tahoma"/>
          <w:sz w:val="20"/>
          <w:szCs w:val="20"/>
        </w:rPr>
        <w:t xml:space="preserve"> </w:t>
      </w:r>
      <w:r w:rsidRPr="00B004EE">
        <w:rPr>
          <w:rFonts w:ascii="Tahoma" w:hAnsi="Tahoma" w:cs="Tahoma"/>
          <w:sz w:val="20"/>
          <w:szCs w:val="20"/>
        </w:rPr>
        <w:t>37</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liste</w:t>
      </w:r>
      <w:r w:rsidR="00DB1635" w:rsidRPr="00B004EE">
        <w:rPr>
          <w:rFonts w:ascii="Tahoma" w:hAnsi="Tahoma" w:cs="Tahoma"/>
          <w:sz w:val="20"/>
          <w:szCs w:val="20"/>
        </w:rPr>
        <w:t xml:space="preserve"> </w:t>
      </w:r>
      <w:r w:rsidRPr="00B004EE">
        <w:rPr>
          <w:rFonts w:ascii="Tahoma" w:hAnsi="Tahoma" w:cs="Tahoma"/>
          <w:sz w:val="20"/>
          <w:szCs w:val="20"/>
        </w:rPr>
        <w:t>relative</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tailles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espèces</w:t>
      </w:r>
      <w:r w:rsidR="00DB1635" w:rsidRPr="00B004EE">
        <w:rPr>
          <w:rFonts w:ascii="Tahoma" w:hAnsi="Tahoma" w:cs="Tahoma"/>
          <w:sz w:val="20"/>
          <w:szCs w:val="20"/>
        </w:rPr>
        <w:t xml:space="preserve"> </w:t>
      </w:r>
      <w:r w:rsidRPr="00B004EE">
        <w:rPr>
          <w:rFonts w:ascii="Tahoma" w:hAnsi="Tahoma" w:cs="Tahoma"/>
          <w:sz w:val="20"/>
          <w:szCs w:val="20"/>
        </w:rPr>
        <w:t>commerciales</w:t>
      </w:r>
      <w:r w:rsidR="00DB1635" w:rsidRPr="00B004EE">
        <w:rPr>
          <w:rFonts w:ascii="Tahoma" w:hAnsi="Tahoma" w:cs="Tahoma"/>
          <w:sz w:val="20"/>
          <w:szCs w:val="20"/>
        </w:rPr>
        <w:t xml:space="preserve"> </w:t>
      </w:r>
      <w:r w:rsidRPr="00B004EE">
        <w:rPr>
          <w:rFonts w:ascii="Tahoma" w:hAnsi="Tahoma" w:cs="Tahoma"/>
          <w:sz w:val="20"/>
          <w:szCs w:val="20"/>
        </w:rPr>
        <w:t>pourra</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précisée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complétée</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arrêté</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ministre</w:t>
      </w:r>
      <w:r w:rsidR="00DB1635" w:rsidRPr="00B004EE">
        <w:rPr>
          <w:rFonts w:ascii="Tahoma" w:hAnsi="Tahoma" w:cs="Tahoma"/>
          <w:sz w:val="20"/>
          <w:szCs w:val="20"/>
        </w:rPr>
        <w:t xml:space="preserve"> </w:t>
      </w:r>
      <w:r w:rsidRPr="00B004EE">
        <w:rPr>
          <w:rFonts w:ascii="Tahoma" w:hAnsi="Tahoma" w:cs="Tahoma"/>
          <w:sz w:val="20"/>
          <w:szCs w:val="20"/>
        </w:rPr>
        <w:t>chargé</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sz w:val="20"/>
          <w:szCs w:val="20"/>
        </w:rPr>
        <w:t xml:space="preserve"> </w:t>
      </w:r>
      <w:r w:rsidRPr="00B004EE">
        <w:rPr>
          <w:rFonts w:ascii="Tahoma" w:hAnsi="Tahoma" w:cs="Tahoma"/>
          <w:sz w:val="20"/>
          <w:szCs w:val="20"/>
        </w:rPr>
        <w:t>sur</w:t>
      </w:r>
      <w:r w:rsidR="00DB1635" w:rsidRPr="00B004EE">
        <w:rPr>
          <w:rFonts w:ascii="Tahoma" w:hAnsi="Tahoma" w:cs="Tahoma"/>
          <w:sz w:val="20"/>
          <w:szCs w:val="20"/>
        </w:rPr>
        <w:t xml:space="preserve"> </w:t>
      </w:r>
      <w:r w:rsidRPr="00B004EE">
        <w:rPr>
          <w:rFonts w:ascii="Tahoma" w:hAnsi="Tahoma" w:cs="Tahoma"/>
          <w:sz w:val="20"/>
          <w:szCs w:val="20"/>
        </w:rPr>
        <w:t>avis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l’institution</w:t>
      </w:r>
      <w:r w:rsidR="00DB1635" w:rsidRPr="00B004EE">
        <w:rPr>
          <w:rFonts w:ascii="Tahoma" w:hAnsi="Tahoma" w:cs="Tahoma"/>
          <w:sz w:val="20"/>
          <w:szCs w:val="20"/>
        </w:rPr>
        <w:t xml:space="preserve"> </w:t>
      </w:r>
      <w:r w:rsidRPr="00B004EE">
        <w:rPr>
          <w:rFonts w:ascii="Tahoma" w:hAnsi="Tahoma" w:cs="Tahoma"/>
          <w:sz w:val="20"/>
          <w:szCs w:val="20"/>
        </w:rPr>
        <w:t>nationale</w:t>
      </w:r>
      <w:r w:rsidR="00DB1635" w:rsidRPr="00B004EE">
        <w:rPr>
          <w:rFonts w:ascii="Tahoma" w:hAnsi="Tahoma" w:cs="Tahoma"/>
          <w:sz w:val="20"/>
          <w:szCs w:val="20"/>
        </w:rPr>
        <w:t xml:space="preserve"> </w:t>
      </w:r>
      <w:r w:rsidRPr="00B004EE">
        <w:rPr>
          <w:rFonts w:ascii="Tahoma" w:hAnsi="Tahoma" w:cs="Tahoma"/>
          <w:sz w:val="20"/>
          <w:szCs w:val="20"/>
        </w:rPr>
        <w:t>chargée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recherche</w:t>
      </w:r>
      <w:r w:rsidR="00DB1635" w:rsidRPr="00B004EE">
        <w:rPr>
          <w:rFonts w:ascii="Tahoma" w:hAnsi="Tahoma" w:cs="Tahoma"/>
          <w:sz w:val="20"/>
          <w:szCs w:val="20"/>
        </w:rPr>
        <w:t xml:space="preserve"> </w:t>
      </w:r>
      <w:r w:rsidR="00612C1A" w:rsidRPr="00B004EE">
        <w:rPr>
          <w:rFonts w:ascii="Tahoma" w:hAnsi="Tahoma" w:cs="Tahoma"/>
          <w:sz w:val="20"/>
          <w:szCs w:val="20"/>
        </w:rPr>
        <w:t>océanographique</w:t>
      </w:r>
      <w:r w:rsidR="00DB1635" w:rsidRPr="00B004EE">
        <w:rPr>
          <w:rFonts w:ascii="Tahoma" w:hAnsi="Tahoma" w:cs="Tahoma"/>
          <w:sz w:val="20"/>
          <w:szCs w:val="20"/>
        </w:rPr>
        <w:t xml:space="preserve"> </w:t>
      </w:r>
      <w:r w:rsidR="00612C1A" w:rsidRPr="00B004EE">
        <w:rPr>
          <w:rFonts w:ascii="Tahoma" w:hAnsi="Tahoma" w:cs="Tahoma"/>
          <w:sz w:val="20"/>
          <w:szCs w:val="20"/>
        </w:rPr>
        <w:t>et</w:t>
      </w:r>
      <w:r w:rsidR="00DB1635" w:rsidRPr="00B004EE">
        <w:rPr>
          <w:rFonts w:ascii="Tahoma" w:hAnsi="Tahoma" w:cs="Tahoma"/>
          <w:sz w:val="20"/>
          <w:szCs w:val="20"/>
        </w:rPr>
        <w:t xml:space="preserve"> </w:t>
      </w:r>
      <w:r w:rsidR="00612C1A" w:rsidRPr="00B004EE">
        <w:rPr>
          <w:rFonts w:ascii="Tahoma" w:hAnsi="Tahoma" w:cs="Tahoma"/>
          <w:sz w:val="20"/>
          <w:szCs w:val="20"/>
        </w:rPr>
        <w:t>des</w:t>
      </w:r>
      <w:r w:rsidR="00DB1635" w:rsidRPr="00B004EE">
        <w:rPr>
          <w:rFonts w:ascii="Tahoma" w:hAnsi="Tahoma" w:cs="Tahoma"/>
          <w:sz w:val="20"/>
          <w:szCs w:val="20"/>
        </w:rPr>
        <w:t xml:space="preserve"> </w:t>
      </w:r>
      <w:r w:rsidR="00612C1A" w:rsidRPr="00B004EE">
        <w:rPr>
          <w:rFonts w:ascii="Tahoma" w:hAnsi="Tahoma" w:cs="Tahoma"/>
          <w:sz w:val="20"/>
          <w:szCs w:val="20"/>
        </w:rPr>
        <w:t>pêches.</w:t>
      </w:r>
    </w:p>
    <w:p w14:paraId="7DA61E47" w14:textId="77777777" w:rsidR="00612C1A" w:rsidRPr="00B004EE" w:rsidRDefault="00612C1A" w:rsidP="00B004EE">
      <w:pPr>
        <w:pStyle w:val="article"/>
        <w:numPr>
          <w:ilvl w:val="0"/>
          <w:numId w:val="0"/>
        </w:numPr>
        <w:tabs>
          <w:tab w:val="left" w:pos="1200"/>
        </w:tabs>
        <w:spacing w:before="0" w:line="240" w:lineRule="auto"/>
        <w:rPr>
          <w:rFonts w:ascii="Tahoma" w:hAnsi="Tahoma" w:cs="Tahoma"/>
          <w:sz w:val="20"/>
          <w:szCs w:val="20"/>
        </w:rPr>
      </w:pPr>
    </w:p>
    <w:p w14:paraId="237EA41A" w14:textId="544088E1" w:rsidR="008518B0" w:rsidRPr="00B004EE" w:rsidRDefault="008518B0" w:rsidP="00B004EE">
      <w:pPr>
        <w:pStyle w:val="article"/>
        <w:numPr>
          <w:ilvl w:val="0"/>
          <w:numId w:val="0"/>
        </w:numPr>
        <w:tabs>
          <w:tab w:val="left" w:pos="1200"/>
        </w:tabs>
        <w:spacing w:before="0" w:line="240" w:lineRule="auto"/>
        <w:jc w:val="center"/>
        <w:rPr>
          <w:rFonts w:ascii="Tahoma" w:hAnsi="Tahoma" w:cs="Tahoma"/>
          <w:b/>
          <w:bCs/>
          <w:sz w:val="20"/>
          <w:szCs w:val="20"/>
        </w:rPr>
      </w:pPr>
      <w:r w:rsidRPr="00B004EE">
        <w:rPr>
          <w:rFonts w:ascii="Tahoma" w:hAnsi="Tahoma" w:cs="Tahoma"/>
          <w:b/>
          <w:bCs/>
          <w:sz w:val="20"/>
          <w:szCs w:val="20"/>
        </w:rPr>
        <w:t>Section</w:t>
      </w:r>
      <w:r w:rsidR="00DB1635" w:rsidRPr="00B004EE">
        <w:rPr>
          <w:rFonts w:ascii="Tahoma" w:hAnsi="Tahoma" w:cs="Tahoma"/>
          <w:b/>
          <w:bCs/>
          <w:sz w:val="20"/>
          <w:szCs w:val="20"/>
        </w:rPr>
        <w:t xml:space="preserve"> </w:t>
      </w:r>
      <w:r w:rsidRPr="00B004EE">
        <w:rPr>
          <w:rFonts w:ascii="Tahoma" w:hAnsi="Tahoma" w:cs="Tahoma"/>
          <w:b/>
          <w:bCs/>
          <w:sz w:val="20"/>
          <w:szCs w:val="20"/>
        </w:rPr>
        <w:t>IV</w:t>
      </w:r>
      <w:r w:rsidR="00DB1635" w:rsidRPr="00B004EE">
        <w:rPr>
          <w:rFonts w:ascii="Tahoma" w:hAnsi="Tahoma" w:cs="Tahoma"/>
          <w:b/>
          <w:bCs/>
          <w:sz w:val="20"/>
          <w:szCs w:val="20"/>
        </w:rPr>
        <w:t xml:space="preserve"> </w:t>
      </w:r>
      <w:r w:rsidRPr="00B004EE">
        <w:rPr>
          <w:rFonts w:ascii="Tahoma" w:hAnsi="Tahoma" w:cs="Tahoma"/>
          <w:b/>
          <w:bCs/>
          <w:sz w:val="20"/>
          <w:szCs w:val="20"/>
        </w:rPr>
        <w:t>:</w:t>
      </w:r>
      <w:r w:rsidR="00DB1635" w:rsidRPr="00B004EE">
        <w:rPr>
          <w:rFonts w:ascii="Tahoma" w:hAnsi="Tahoma" w:cs="Tahoma"/>
          <w:b/>
          <w:bCs/>
          <w:sz w:val="20"/>
          <w:szCs w:val="20"/>
        </w:rPr>
        <w:t xml:space="preserve"> </w:t>
      </w:r>
      <w:r w:rsidRPr="00B004EE">
        <w:rPr>
          <w:rFonts w:ascii="Tahoma" w:hAnsi="Tahoma" w:cs="Tahoma"/>
          <w:b/>
          <w:bCs/>
          <w:sz w:val="20"/>
          <w:szCs w:val="20"/>
        </w:rPr>
        <w:t>Des</w:t>
      </w:r>
      <w:r w:rsidR="00DB1635" w:rsidRPr="00B004EE">
        <w:rPr>
          <w:rFonts w:ascii="Tahoma" w:hAnsi="Tahoma" w:cs="Tahoma"/>
          <w:b/>
          <w:bCs/>
          <w:sz w:val="20"/>
          <w:szCs w:val="20"/>
        </w:rPr>
        <w:t xml:space="preserve"> </w:t>
      </w:r>
      <w:r w:rsidRPr="00B004EE">
        <w:rPr>
          <w:rFonts w:ascii="Tahoma" w:hAnsi="Tahoma" w:cs="Tahoma"/>
          <w:b/>
          <w:bCs/>
          <w:sz w:val="20"/>
          <w:szCs w:val="20"/>
        </w:rPr>
        <w:t>prises</w:t>
      </w:r>
      <w:r w:rsidR="00DB1635" w:rsidRPr="00B004EE">
        <w:rPr>
          <w:rFonts w:ascii="Tahoma" w:hAnsi="Tahoma" w:cs="Tahoma"/>
          <w:b/>
          <w:bCs/>
          <w:sz w:val="20"/>
          <w:szCs w:val="20"/>
        </w:rPr>
        <w:t xml:space="preserve"> </w:t>
      </w:r>
      <w:r w:rsidRPr="00B004EE">
        <w:rPr>
          <w:rFonts w:ascii="Tahoma" w:hAnsi="Tahoma" w:cs="Tahoma"/>
          <w:b/>
          <w:bCs/>
          <w:sz w:val="20"/>
          <w:szCs w:val="20"/>
        </w:rPr>
        <w:t>accessoires</w:t>
      </w:r>
    </w:p>
    <w:p w14:paraId="4C6A3ED4" w14:textId="77777777" w:rsidR="008518B0" w:rsidRPr="00B004EE" w:rsidRDefault="008518B0" w:rsidP="00B004EE">
      <w:pPr>
        <w:pStyle w:val="article"/>
        <w:numPr>
          <w:ilvl w:val="0"/>
          <w:numId w:val="0"/>
        </w:numPr>
        <w:tabs>
          <w:tab w:val="left" w:pos="1200"/>
        </w:tabs>
        <w:spacing w:before="0" w:line="240" w:lineRule="auto"/>
        <w:jc w:val="center"/>
        <w:rPr>
          <w:rFonts w:ascii="Tahoma" w:hAnsi="Tahoma" w:cs="Tahoma"/>
          <w:b/>
          <w:bCs/>
          <w:sz w:val="20"/>
          <w:szCs w:val="20"/>
        </w:rPr>
      </w:pPr>
    </w:p>
    <w:p w14:paraId="22F92C80" w14:textId="0C1930DF" w:rsidR="008518B0" w:rsidRPr="00B004EE" w:rsidRDefault="008518B0" w:rsidP="00B004EE">
      <w:pPr>
        <w:pStyle w:val="article"/>
        <w:numPr>
          <w:ilvl w:val="0"/>
          <w:numId w:val="0"/>
        </w:numPr>
        <w:tabs>
          <w:tab w:val="left" w:pos="1200"/>
        </w:tabs>
        <w:spacing w:before="0" w:line="240" w:lineRule="auto"/>
        <w:rPr>
          <w:rFonts w:ascii="Tahoma" w:hAnsi="Tahoma" w:cs="Tahoma"/>
          <w:sz w:val="20"/>
          <w:szCs w:val="20"/>
        </w:rPr>
      </w:pPr>
      <w:r w:rsidRPr="00B004EE">
        <w:rPr>
          <w:rFonts w:ascii="Tahoma" w:hAnsi="Tahoma" w:cs="Tahoma"/>
          <w:sz w:val="20"/>
          <w:szCs w:val="20"/>
        </w:rPr>
        <w:t>Article</w:t>
      </w:r>
      <w:r w:rsidR="00DB1635" w:rsidRPr="00B004EE">
        <w:rPr>
          <w:rFonts w:ascii="Tahoma" w:hAnsi="Tahoma" w:cs="Tahoma"/>
          <w:sz w:val="20"/>
          <w:szCs w:val="20"/>
        </w:rPr>
        <w:t xml:space="preserve"> </w:t>
      </w:r>
      <w:r w:rsidRPr="00B004EE">
        <w:rPr>
          <w:rFonts w:ascii="Tahoma" w:hAnsi="Tahoma" w:cs="Tahoma"/>
          <w:sz w:val="20"/>
          <w:szCs w:val="20"/>
        </w:rPr>
        <w:t>38</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taux</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prises</w:t>
      </w:r>
      <w:r w:rsidR="00DB1635" w:rsidRPr="00B004EE">
        <w:rPr>
          <w:rFonts w:ascii="Tahoma" w:hAnsi="Tahoma" w:cs="Tahoma"/>
          <w:sz w:val="20"/>
          <w:szCs w:val="20"/>
        </w:rPr>
        <w:t xml:space="preserve"> </w:t>
      </w:r>
      <w:r w:rsidRPr="00B004EE">
        <w:rPr>
          <w:rFonts w:ascii="Tahoma" w:hAnsi="Tahoma" w:cs="Tahoma"/>
          <w:sz w:val="20"/>
          <w:szCs w:val="20"/>
        </w:rPr>
        <w:t>accessoires</w:t>
      </w:r>
      <w:r w:rsidR="00DB1635" w:rsidRPr="00B004EE">
        <w:rPr>
          <w:rFonts w:ascii="Tahoma" w:hAnsi="Tahoma" w:cs="Tahoma"/>
          <w:sz w:val="20"/>
          <w:szCs w:val="20"/>
        </w:rPr>
        <w:t xml:space="preserve"> </w:t>
      </w:r>
      <w:r w:rsidRPr="00B004EE">
        <w:rPr>
          <w:rFonts w:ascii="Tahoma" w:hAnsi="Tahoma" w:cs="Tahoma"/>
          <w:sz w:val="20"/>
          <w:szCs w:val="20"/>
        </w:rPr>
        <w:t>autorisé</w:t>
      </w:r>
      <w:r w:rsidR="00DB1635" w:rsidRPr="00B004EE">
        <w:rPr>
          <w:rFonts w:ascii="Tahoma" w:hAnsi="Tahoma" w:cs="Tahoma"/>
          <w:sz w:val="20"/>
          <w:szCs w:val="20"/>
        </w:rPr>
        <w:t xml:space="preserve"> </w:t>
      </w:r>
      <w:r w:rsidRPr="00B004EE">
        <w:rPr>
          <w:rFonts w:ascii="Tahoma" w:hAnsi="Tahoma" w:cs="Tahoma"/>
          <w:sz w:val="20"/>
          <w:szCs w:val="20"/>
        </w:rPr>
        <w:t>ne</w:t>
      </w:r>
      <w:r w:rsidR="00DB1635" w:rsidRPr="00B004EE">
        <w:rPr>
          <w:rFonts w:ascii="Tahoma" w:hAnsi="Tahoma" w:cs="Tahoma"/>
          <w:sz w:val="20"/>
          <w:szCs w:val="20"/>
        </w:rPr>
        <w:t xml:space="preserve"> </w:t>
      </w:r>
      <w:r w:rsidRPr="00B004EE">
        <w:rPr>
          <w:rFonts w:ascii="Tahoma" w:hAnsi="Tahoma" w:cs="Tahoma"/>
          <w:sz w:val="20"/>
          <w:szCs w:val="20"/>
        </w:rPr>
        <w:t>peut</w:t>
      </w:r>
      <w:r w:rsidR="00DB1635" w:rsidRPr="00B004EE">
        <w:rPr>
          <w:rFonts w:ascii="Tahoma" w:hAnsi="Tahoma" w:cs="Tahoma"/>
          <w:sz w:val="20"/>
          <w:szCs w:val="20"/>
        </w:rPr>
        <w:t xml:space="preserve"> </w:t>
      </w:r>
      <w:r w:rsidRPr="00B004EE">
        <w:rPr>
          <w:rFonts w:ascii="Tahoma" w:hAnsi="Tahoma" w:cs="Tahoma"/>
          <w:sz w:val="20"/>
          <w:szCs w:val="20"/>
        </w:rPr>
        <w:t>excéder,</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tout</w:t>
      </w:r>
      <w:r w:rsidR="00DB1635" w:rsidRPr="00B004EE">
        <w:rPr>
          <w:rFonts w:ascii="Tahoma" w:hAnsi="Tahoma" w:cs="Tahoma"/>
          <w:sz w:val="20"/>
          <w:szCs w:val="20"/>
        </w:rPr>
        <w:t xml:space="preserve"> </w:t>
      </w:r>
      <w:r w:rsidRPr="00B004EE">
        <w:rPr>
          <w:rFonts w:ascii="Tahoma" w:hAnsi="Tahoma" w:cs="Tahoma"/>
          <w:sz w:val="20"/>
          <w:szCs w:val="20"/>
        </w:rPr>
        <w:t>moment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marée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tout</w:t>
      </w:r>
      <w:r w:rsidR="00DB1635" w:rsidRPr="00B004EE">
        <w:rPr>
          <w:rFonts w:ascii="Tahoma" w:hAnsi="Tahoma" w:cs="Tahoma"/>
          <w:sz w:val="20"/>
          <w:szCs w:val="20"/>
        </w:rPr>
        <w:t xml:space="preserve"> </w:t>
      </w:r>
      <w:r w:rsidRPr="00B004EE">
        <w:rPr>
          <w:rFonts w:ascii="Tahoma" w:hAnsi="Tahoma" w:cs="Tahoma"/>
          <w:sz w:val="20"/>
          <w:szCs w:val="20"/>
        </w:rPr>
        <w:t>navire,</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proportions</w:t>
      </w:r>
      <w:r w:rsidR="00DB1635" w:rsidRPr="00B004EE">
        <w:rPr>
          <w:rFonts w:ascii="Tahoma" w:hAnsi="Tahoma" w:cs="Tahoma"/>
          <w:sz w:val="20"/>
          <w:szCs w:val="20"/>
        </w:rPr>
        <w:t xml:space="preserve"> </w:t>
      </w:r>
      <w:r w:rsidRPr="00B004EE">
        <w:rPr>
          <w:rFonts w:ascii="Tahoma" w:hAnsi="Tahoma" w:cs="Tahoma"/>
          <w:sz w:val="20"/>
          <w:szCs w:val="20"/>
        </w:rPr>
        <w:t>suivantes</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p>
    <w:p w14:paraId="4C2CEA0A" w14:textId="08EE0160" w:rsidR="008518B0" w:rsidRPr="00B004EE" w:rsidRDefault="008518B0" w:rsidP="00420DDA">
      <w:pPr>
        <w:numPr>
          <w:ilvl w:val="0"/>
          <w:numId w:val="60"/>
        </w:numPr>
        <w:ind w:left="993" w:hanging="284"/>
        <w:jc w:val="both"/>
        <w:rPr>
          <w:rFonts w:ascii="Tahoma" w:hAnsi="Tahoma" w:cs="Tahoma"/>
          <w:sz w:val="20"/>
          <w:szCs w:val="20"/>
        </w:rPr>
      </w:pPr>
      <w:r w:rsidRPr="00B004EE">
        <w:rPr>
          <w:rFonts w:ascii="Tahoma" w:hAnsi="Tahoma" w:cs="Tahoma"/>
          <w:sz w:val="20"/>
          <w:szCs w:val="20"/>
        </w:rPr>
        <w:t>15%</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poisson</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8%</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céphalopodes</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navires</w:t>
      </w:r>
      <w:r w:rsidR="00DB1635" w:rsidRPr="00B004EE">
        <w:rPr>
          <w:rFonts w:ascii="Tahoma" w:hAnsi="Tahoma" w:cs="Tahoma"/>
          <w:sz w:val="20"/>
          <w:szCs w:val="20"/>
        </w:rPr>
        <w:t xml:space="preserve"> </w:t>
      </w:r>
      <w:r w:rsidRPr="00B004EE">
        <w:rPr>
          <w:rFonts w:ascii="Tahoma" w:hAnsi="Tahoma" w:cs="Tahoma"/>
          <w:sz w:val="20"/>
          <w:szCs w:val="20"/>
        </w:rPr>
        <w:t>munis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licence</w:t>
      </w:r>
      <w:r w:rsidR="00DB1635" w:rsidRPr="00B004EE">
        <w:rPr>
          <w:rFonts w:ascii="Tahoma" w:hAnsi="Tahoma" w:cs="Tahoma"/>
          <w:sz w:val="20"/>
          <w:szCs w:val="20"/>
        </w:rPr>
        <w:t xml:space="preserve"> </w:t>
      </w:r>
      <w:r w:rsidRPr="00B004EE">
        <w:rPr>
          <w:rFonts w:ascii="Tahoma" w:hAnsi="Tahoma" w:cs="Tahoma"/>
          <w:sz w:val="20"/>
          <w:szCs w:val="20"/>
        </w:rPr>
        <w:t>relevant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catégories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crevette</w:t>
      </w:r>
      <w:r w:rsidR="00DB1635" w:rsidRPr="00B004EE">
        <w:rPr>
          <w:rFonts w:ascii="Tahoma" w:hAnsi="Tahoma" w:cs="Tahoma"/>
          <w:sz w:val="20"/>
          <w:szCs w:val="20"/>
        </w:rPr>
        <w:t xml:space="preserve"> </w:t>
      </w:r>
      <w:r w:rsidRPr="00B004EE">
        <w:rPr>
          <w:rFonts w:ascii="Tahoma" w:hAnsi="Tahoma" w:cs="Tahoma"/>
          <w:sz w:val="20"/>
          <w:szCs w:val="20"/>
        </w:rPr>
        <w:t>langostinos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crevette</w:t>
      </w:r>
      <w:r w:rsidR="00DB1635" w:rsidRPr="00B004EE">
        <w:rPr>
          <w:rFonts w:ascii="Tahoma" w:hAnsi="Tahoma" w:cs="Tahoma"/>
          <w:sz w:val="20"/>
          <w:szCs w:val="20"/>
        </w:rPr>
        <w:t xml:space="preserve"> </w:t>
      </w:r>
      <w:r w:rsidRPr="00B004EE">
        <w:rPr>
          <w:rFonts w:ascii="Tahoma" w:hAnsi="Tahoma" w:cs="Tahoma"/>
          <w:sz w:val="20"/>
          <w:szCs w:val="20"/>
        </w:rPr>
        <w:t>Gambas</w:t>
      </w:r>
      <w:r w:rsidR="00DB1635" w:rsidRPr="00B004EE">
        <w:rPr>
          <w:rFonts w:ascii="Tahoma" w:hAnsi="Tahoma" w:cs="Tahoma"/>
          <w:sz w:val="20"/>
          <w:szCs w:val="20"/>
        </w:rPr>
        <w:t xml:space="preserve"> </w:t>
      </w:r>
      <w:r w:rsidRPr="00B004EE">
        <w:rPr>
          <w:rFonts w:ascii="Tahoma" w:hAnsi="Tahoma" w:cs="Tahoma"/>
          <w:sz w:val="20"/>
          <w:szCs w:val="20"/>
        </w:rPr>
        <w:t>;</w:t>
      </w:r>
    </w:p>
    <w:p w14:paraId="721B5CAB" w14:textId="0EDD5E3A" w:rsidR="008518B0" w:rsidRPr="00B004EE" w:rsidRDefault="008518B0" w:rsidP="00420DDA">
      <w:pPr>
        <w:numPr>
          <w:ilvl w:val="0"/>
          <w:numId w:val="60"/>
        </w:numPr>
        <w:ind w:left="993" w:hanging="284"/>
        <w:jc w:val="both"/>
        <w:rPr>
          <w:rFonts w:ascii="Tahoma" w:hAnsi="Tahoma" w:cs="Tahoma"/>
          <w:sz w:val="20"/>
          <w:szCs w:val="20"/>
        </w:rPr>
      </w:pPr>
      <w:r w:rsidRPr="00B004EE">
        <w:rPr>
          <w:rFonts w:ascii="Tahoma" w:hAnsi="Tahoma" w:cs="Tahoma"/>
          <w:sz w:val="20"/>
          <w:szCs w:val="20"/>
        </w:rPr>
        <w:t>5%</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crevettes,</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navires</w:t>
      </w:r>
      <w:r w:rsidR="00DB1635" w:rsidRPr="00B004EE">
        <w:rPr>
          <w:rFonts w:ascii="Tahoma" w:hAnsi="Tahoma" w:cs="Tahoma"/>
          <w:sz w:val="20"/>
          <w:szCs w:val="20"/>
        </w:rPr>
        <w:t xml:space="preserve"> </w:t>
      </w:r>
      <w:r w:rsidRPr="00B004EE">
        <w:rPr>
          <w:rFonts w:ascii="Tahoma" w:hAnsi="Tahoma" w:cs="Tahoma"/>
          <w:sz w:val="20"/>
          <w:szCs w:val="20"/>
        </w:rPr>
        <w:t>munis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licence</w:t>
      </w:r>
      <w:r w:rsidR="00DB1635" w:rsidRPr="00B004EE">
        <w:rPr>
          <w:rFonts w:ascii="Tahoma" w:hAnsi="Tahoma" w:cs="Tahoma"/>
          <w:sz w:val="20"/>
          <w:szCs w:val="20"/>
        </w:rPr>
        <w:t xml:space="preserve"> </w:t>
      </w:r>
      <w:r w:rsidRPr="00B004EE">
        <w:rPr>
          <w:rFonts w:ascii="Tahoma" w:hAnsi="Tahoma" w:cs="Tahoma"/>
          <w:sz w:val="20"/>
          <w:szCs w:val="20"/>
        </w:rPr>
        <w:t>relevant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catégorie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céphalopodes</w:t>
      </w:r>
      <w:r w:rsidR="00DB1635" w:rsidRPr="00B004EE">
        <w:rPr>
          <w:rFonts w:ascii="Tahoma" w:hAnsi="Tahoma" w:cs="Tahoma"/>
          <w:sz w:val="20"/>
          <w:szCs w:val="20"/>
        </w:rPr>
        <w:t xml:space="preserve"> </w:t>
      </w:r>
      <w:r w:rsidRPr="00B004EE">
        <w:rPr>
          <w:rFonts w:ascii="Tahoma" w:hAnsi="Tahoma" w:cs="Tahoma"/>
          <w:sz w:val="20"/>
          <w:szCs w:val="20"/>
        </w:rPr>
        <w:t>;</w:t>
      </w:r>
    </w:p>
    <w:p w14:paraId="1EBF0090" w14:textId="72A6464F" w:rsidR="008518B0" w:rsidRPr="00B004EE" w:rsidRDefault="008518B0" w:rsidP="00420DDA">
      <w:pPr>
        <w:numPr>
          <w:ilvl w:val="0"/>
          <w:numId w:val="60"/>
        </w:numPr>
        <w:ind w:left="993" w:hanging="284"/>
        <w:jc w:val="both"/>
        <w:rPr>
          <w:rFonts w:ascii="Tahoma" w:hAnsi="Tahoma" w:cs="Tahoma"/>
          <w:sz w:val="20"/>
          <w:szCs w:val="20"/>
        </w:rPr>
      </w:pPr>
      <w:r w:rsidRPr="00B004EE">
        <w:rPr>
          <w:rFonts w:ascii="Tahoma" w:hAnsi="Tahoma" w:cs="Tahoma"/>
          <w:sz w:val="20"/>
          <w:szCs w:val="20"/>
        </w:rPr>
        <w:t>25%</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poissons</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navires</w:t>
      </w:r>
      <w:r w:rsidR="00DB1635" w:rsidRPr="00B004EE">
        <w:rPr>
          <w:rFonts w:ascii="Tahoma" w:hAnsi="Tahoma" w:cs="Tahoma"/>
          <w:sz w:val="20"/>
          <w:szCs w:val="20"/>
        </w:rPr>
        <w:t xml:space="preserve"> </w:t>
      </w:r>
      <w:r w:rsidRPr="00B004EE">
        <w:rPr>
          <w:rFonts w:ascii="Tahoma" w:hAnsi="Tahoma" w:cs="Tahoma"/>
          <w:sz w:val="20"/>
          <w:szCs w:val="20"/>
        </w:rPr>
        <w:t>chalutiers</w:t>
      </w:r>
      <w:r w:rsidR="00DB1635" w:rsidRPr="00B004EE">
        <w:rPr>
          <w:rFonts w:ascii="Tahoma" w:hAnsi="Tahoma" w:cs="Tahoma"/>
          <w:sz w:val="20"/>
          <w:szCs w:val="20"/>
        </w:rPr>
        <w:t xml:space="preserve"> </w:t>
      </w:r>
      <w:r w:rsidRPr="00B004EE">
        <w:rPr>
          <w:rFonts w:ascii="Tahoma" w:hAnsi="Tahoma" w:cs="Tahoma"/>
          <w:sz w:val="20"/>
          <w:szCs w:val="20"/>
        </w:rPr>
        <w:t>munis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licence</w:t>
      </w:r>
      <w:r w:rsidR="00DB1635" w:rsidRPr="00B004EE">
        <w:rPr>
          <w:rFonts w:ascii="Tahoma" w:hAnsi="Tahoma" w:cs="Tahoma"/>
          <w:sz w:val="20"/>
          <w:szCs w:val="20"/>
        </w:rPr>
        <w:t xml:space="preserve"> </w:t>
      </w:r>
      <w:r w:rsidRPr="00B004EE">
        <w:rPr>
          <w:rFonts w:ascii="Tahoma" w:hAnsi="Tahoma" w:cs="Tahoma"/>
          <w:sz w:val="20"/>
          <w:szCs w:val="20"/>
        </w:rPr>
        <w:t>relevant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catégorie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merlu</w:t>
      </w:r>
      <w:r w:rsidR="00DB1635" w:rsidRPr="00B004EE">
        <w:rPr>
          <w:rFonts w:ascii="Tahoma" w:hAnsi="Tahoma" w:cs="Tahoma"/>
          <w:sz w:val="20"/>
          <w:szCs w:val="20"/>
        </w:rPr>
        <w:t xml:space="preserve"> </w:t>
      </w:r>
      <w:r w:rsidRPr="00B004EE">
        <w:rPr>
          <w:rFonts w:ascii="Tahoma" w:hAnsi="Tahoma" w:cs="Tahoma"/>
          <w:sz w:val="20"/>
          <w:szCs w:val="20"/>
        </w:rPr>
        <w:t>:</w:t>
      </w:r>
    </w:p>
    <w:p w14:paraId="20855248" w14:textId="00E76DF3" w:rsidR="008518B0" w:rsidRPr="00B004EE" w:rsidRDefault="008518B0" w:rsidP="00420DDA">
      <w:pPr>
        <w:numPr>
          <w:ilvl w:val="0"/>
          <w:numId w:val="60"/>
        </w:numPr>
        <w:ind w:left="993" w:hanging="284"/>
        <w:jc w:val="both"/>
        <w:rPr>
          <w:rFonts w:ascii="Tahoma" w:hAnsi="Tahoma" w:cs="Tahoma"/>
          <w:sz w:val="20"/>
          <w:szCs w:val="20"/>
        </w:rPr>
      </w:pPr>
      <w:r w:rsidRPr="00B004EE">
        <w:rPr>
          <w:rFonts w:ascii="Tahoma" w:hAnsi="Tahoma" w:cs="Tahoma"/>
          <w:sz w:val="20"/>
          <w:szCs w:val="20"/>
        </w:rPr>
        <w:t>50%</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poissons</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navires</w:t>
      </w:r>
      <w:r w:rsidR="00DB1635" w:rsidRPr="00B004EE">
        <w:rPr>
          <w:rFonts w:ascii="Tahoma" w:hAnsi="Tahoma" w:cs="Tahoma"/>
          <w:sz w:val="20"/>
          <w:szCs w:val="20"/>
        </w:rPr>
        <w:t xml:space="preserve"> </w:t>
      </w:r>
      <w:r w:rsidRPr="00B004EE">
        <w:rPr>
          <w:rFonts w:ascii="Tahoma" w:hAnsi="Tahoma" w:cs="Tahoma"/>
          <w:sz w:val="20"/>
          <w:szCs w:val="20"/>
        </w:rPr>
        <w:t>palangriers</w:t>
      </w:r>
      <w:r w:rsidR="00DB1635" w:rsidRPr="00B004EE">
        <w:rPr>
          <w:rFonts w:ascii="Tahoma" w:hAnsi="Tahoma" w:cs="Tahoma"/>
          <w:sz w:val="20"/>
          <w:szCs w:val="20"/>
        </w:rPr>
        <w:t xml:space="preserve"> </w:t>
      </w:r>
      <w:r w:rsidRPr="00B004EE">
        <w:rPr>
          <w:rFonts w:ascii="Tahoma" w:hAnsi="Tahoma" w:cs="Tahoma"/>
          <w:sz w:val="20"/>
          <w:szCs w:val="20"/>
        </w:rPr>
        <w:t>munis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licence</w:t>
      </w:r>
      <w:r w:rsidR="00DB1635" w:rsidRPr="00B004EE">
        <w:rPr>
          <w:rFonts w:ascii="Tahoma" w:hAnsi="Tahoma" w:cs="Tahoma"/>
          <w:sz w:val="20"/>
          <w:szCs w:val="20"/>
        </w:rPr>
        <w:t xml:space="preserve"> </w:t>
      </w:r>
      <w:r w:rsidRPr="00B004EE">
        <w:rPr>
          <w:rFonts w:ascii="Tahoma" w:hAnsi="Tahoma" w:cs="Tahoma"/>
          <w:sz w:val="20"/>
          <w:szCs w:val="20"/>
        </w:rPr>
        <w:t>relevant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catégorie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merlu</w:t>
      </w:r>
      <w:r w:rsidR="00DB1635" w:rsidRPr="00B004EE">
        <w:rPr>
          <w:rFonts w:ascii="Tahoma" w:hAnsi="Tahoma" w:cs="Tahoma"/>
          <w:sz w:val="20"/>
          <w:szCs w:val="20"/>
        </w:rPr>
        <w:t xml:space="preserve"> </w:t>
      </w:r>
      <w:r w:rsidRPr="00B004EE">
        <w:rPr>
          <w:rFonts w:ascii="Tahoma" w:hAnsi="Tahoma" w:cs="Tahoma"/>
          <w:sz w:val="20"/>
          <w:szCs w:val="20"/>
        </w:rPr>
        <w:t>;</w:t>
      </w:r>
    </w:p>
    <w:p w14:paraId="35B24FF3" w14:textId="7069E33B" w:rsidR="008518B0" w:rsidRPr="00B004EE" w:rsidRDefault="008518B0" w:rsidP="00420DDA">
      <w:pPr>
        <w:numPr>
          <w:ilvl w:val="0"/>
          <w:numId w:val="60"/>
        </w:numPr>
        <w:ind w:left="993" w:hanging="284"/>
        <w:jc w:val="both"/>
        <w:rPr>
          <w:rFonts w:ascii="Tahoma" w:hAnsi="Tahoma" w:cs="Tahoma"/>
          <w:sz w:val="20"/>
          <w:szCs w:val="20"/>
        </w:rPr>
      </w:pPr>
      <w:r w:rsidRPr="00B004EE">
        <w:rPr>
          <w:rFonts w:ascii="Tahoma" w:hAnsi="Tahoma" w:cs="Tahoma"/>
          <w:sz w:val="20"/>
          <w:szCs w:val="20"/>
        </w:rPr>
        <w:t>10</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total</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l’espèce</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groupe</w:t>
      </w:r>
      <w:r w:rsidR="00DB1635" w:rsidRPr="00B004EE">
        <w:rPr>
          <w:rFonts w:ascii="Tahoma" w:hAnsi="Tahoma" w:cs="Tahoma"/>
          <w:sz w:val="20"/>
          <w:szCs w:val="20"/>
        </w:rPr>
        <w:t xml:space="preserve"> </w:t>
      </w:r>
      <w:r w:rsidRPr="00B004EE">
        <w:rPr>
          <w:rFonts w:ascii="Tahoma" w:hAnsi="Tahoma" w:cs="Tahoma"/>
          <w:sz w:val="20"/>
          <w:szCs w:val="20"/>
        </w:rPr>
        <w:t>d’espèces</w:t>
      </w:r>
      <w:r w:rsidR="00DB1635" w:rsidRPr="00B004EE">
        <w:rPr>
          <w:rFonts w:ascii="Tahoma" w:hAnsi="Tahoma" w:cs="Tahoma"/>
          <w:sz w:val="20"/>
          <w:szCs w:val="20"/>
        </w:rPr>
        <w:t xml:space="preserve"> </w:t>
      </w:r>
      <w:r w:rsidRPr="00B004EE">
        <w:rPr>
          <w:rFonts w:ascii="Tahoma" w:hAnsi="Tahoma" w:cs="Tahoma"/>
          <w:sz w:val="20"/>
          <w:szCs w:val="20"/>
        </w:rPr>
        <w:t>cibles</w:t>
      </w:r>
      <w:r w:rsidR="00DB1635" w:rsidRPr="00B004EE">
        <w:rPr>
          <w:rFonts w:ascii="Tahoma" w:hAnsi="Tahoma" w:cs="Tahoma"/>
          <w:sz w:val="20"/>
          <w:szCs w:val="20"/>
        </w:rPr>
        <w:t xml:space="preserve"> </w:t>
      </w:r>
      <w:r w:rsidRPr="00B004EE">
        <w:rPr>
          <w:rFonts w:ascii="Tahoma" w:hAnsi="Tahoma" w:cs="Tahoma"/>
          <w:sz w:val="20"/>
          <w:szCs w:val="20"/>
        </w:rPr>
        <w:t>autorisées</w:t>
      </w:r>
      <w:r w:rsidR="00DB1635" w:rsidRPr="00B004EE">
        <w:rPr>
          <w:rFonts w:ascii="Tahoma" w:hAnsi="Tahoma" w:cs="Tahoma"/>
          <w:sz w:val="20"/>
          <w:szCs w:val="20"/>
        </w:rPr>
        <w:t xml:space="preserve"> </w:t>
      </w:r>
      <w:r w:rsidRPr="00B004EE">
        <w:rPr>
          <w:rFonts w:ascii="Tahoma" w:hAnsi="Tahoma" w:cs="Tahoma"/>
          <w:sz w:val="20"/>
          <w:szCs w:val="20"/>
        </w:rPr>
        <w:t>(poids</w:t>
      </w:r>
      <w:r w:rsidR="00DB1635" w:rsidRPr="00B004EE">
        <w:rPr>
          <w:rFonts w:ascii="Tahoma" w:hAnsi="Tahoma" w:cs="Tahoma"/>
          <w:sz w:val="20"/>
          <w:szCs w:val="20"/>
        </w:rPr>
        <w:t xml:space="preserve"> </w:t>
      </w:r>
      <w:r w:rsidRPr="00B004EE">
        <w:rPr>
          <w:rFonts w:ascii="Tahoma" w:hAnsi="Tahoma" w:cs="Tahoma"/>
          <w:sz w:val="20"/>
          <w:szCs w:val="20"/>
        </w:rPr>
        <w:t>exprimés</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vif),</w:t>
      </w:r>
      <w:r w:rsidR="00DB1635" w:rsidRPr="00B004EE">
        <w:rPr>
          <w:rFonts w:ascii="Tahoma" w:hAnsi="Tahoma" w:cs="Tahoma"/>
          <w:sz w:val="20"/>
          <w:szCs w:val="20"/>
        </w:rPr>
        <w:t xml:space="preserve"> </w:t>
      </w:r>
      <w:r w:rsidRPr="00B004EE">
        <w:rPr>
          <w:rFonts w:ascii="Tahoma" w:hAnsi="Tahoma" w:cs="Tahoma"/>
          <w:sz w:val="20"/>
          <w:szCs w:val="20"/>
        </w:rPr>
        <w:t>dont</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maximum</w:t>
      </w:r>
      <w:r w:rsidR="00DB1635" w:rsidRPr="00B004EE">
        <w:rPr>
          <w:rFonts w:ascii="Tahoma" w:hAnsi="Tahoma" w:cs="Tahoma"/>
          <w:sz w:val="20"/>
          <w:szCs w:val="20"/>
        </w:rPr>
        <w:t xml:space="preserve"> </w:t>
      </w:r>
      <w:r w:rsidRPr="00B004EE">
        <w:rPr>
          <w:rFonts w:ascii="Tahoma" w:hAnsi="Tahoma" w:cs="Tahoma"/>
          <w:sz w:val="20"/>
          <w:szCs w:val="20"/>
        </w:rPr>
        <w:t>5%</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crevettes,</w:t>
      </w:r>
      <w:r w:rsidR="00DB1635" w:rsidRPr="00B004EE">
        <w:rPr>
          <w:rFonts w:ascii="Tahoma" w:hAnsi="Tahoma" w:cs="Tahoma"/>
          <w:sz w:val="20"/>
          <w:szCs w:val="20"/>
        </w:rPr>
        <w:t xml:space="preserve"> </w:t>
      </w:r>
      <w:r w:rsidRPr="00B004EE">
        <w:rPr>
          <w:rFonts w:ascii="Tahoma" w:hAnsi="Tahoma" w:cs="Tahoma"/>
          <w:sz w:val="20"/>
          <w:szCs w:val="20"/>
        </w:rPr>
        <w:t>5%</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calamars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seiches,</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navires</w:t>
      </w:r>
      <w:r w:rsidR="00DB1635" w:rsidRPr="00B004EE">
        <w:rPr>
          <w:rFonts w:ascii="Tahoma" w:hAnsi="Tahoma" w:cs="Tahoma"/>
          <w:sz w:val="20"/>
          <w:szCs w:val="20"/>
        </w:rPr>
        <w:t xml:space="preserve"> </w:t>
      </w:r>
      <w:r w:rsidRPr="00B004EE">
        <w:rPr>
          <w:rFonts w:ascii="Tahoma" w:hAnsi="Tahoma" w:cs="Tahoma"/>
          <w:sz w:val="20"/>
          <w:szCs w:val="20"/>
        </w:rPr>
        <w:t>munis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licence</w:t>
      </w:r>
      <w:r w:rsidR="00DB1635" w:rsidRPr="00B004EE">
        <w:rPr>
          <w:rFonts w:ascii="Tahoma" w:hAnsi="Tahoma" w:cs="Tahoma"/>
          <w:sz w:val="20"/>
          <w:szCs w:val="20"/>
        </w:rPr>
        <w:t xml:space="preserve"> </w:t>
      </w:r>
      <w:r w:rsidRPr="00B004EE">
        <w:rPr>
          <w:rFonts w:ascii="Tahoma" w:hAnsi="Tahoma" w:cs="Tahoma"/>
          <w:sz w:val="20"/>
          <w:szCs w:val="20"/>
        </w:rPr>
        <w:t>relevant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catégorie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poissons</w:t>
      </w:r>
      <w:r w:rsidR="00DB1635" w:rsidRPr="00B004EE">
        <w:rPr>
          <w:rFonts w:ascii="Tahoma" w:hAnsi="Tahoma" w:cs="Tahoma"/>
          <w:sz w:val="20"/>
          <w:szCs w:val="20"/>
        </w:rPr>
        <w:t xml:space="preserve"> </w:t>
      </w:r>
      <w:r w:rsidRPr="00B004EE">
        <w:rPr>
          <w:rFonts w:ascii="Tahoma" w:hAnsi="Tahoma" w:cs="Tahoma"/>
          <w:sz w:val="20"/>
          <w:szCs w:val="20"/>
        </w:rPr>
        <w:t>démersaux</w:t>
      </w:r>
      <w:r w:rsidR="00DB1635" w:rsidRPr="00B004EE">
        <w:rPr>
          <w:rFonts w:ascii="Tahoma" w:hAnsi="Tahoma" w:cs="Tahoma"/>
          <w:sz w:val="20"/>
          <w:szCs w:val="20"/>
        </w:rPr>
        <w:t xml:space="preserve"> </w:t>
      </w:r>
      <w:r w:rsidRPr="00B004EE">
        <w:rPr>
          <w:rFonts w:ascii="Tahoma" w:hAnsi="Tahoma" w:cs="Tahoma"/>
          <w:sz w:val="20"/>
          <w:szCs w:val="20"/>
        </w:rPr>
        <w:t>;</w:t>
      </w:r>
    </w:p>
    <w:p w14:paraId="14B1F52C" w14:textId="121B3F73" w:rsidR="008518B0" w:rsidRPr="00B004EE" w:rsidRDefault="008518B0" w:rsidP="00420DDA">
      <w:pPr>
        <w:numPr>
          <w:ilvl w:val="0"/>
          <w:numId w:val="60"/>
        </w:numPr>
        <w:ind w:left="993" w:hanging="284"/>
        <w:jc w:val="both"/>
        <w:rPr>
          <w:rFonts w:ascii="Tahoma" w:hAnsi="Tahoma" w:cs="Tahoma"/>
          <w:sz w:val="20"/>
          <w:szCs w:val="20"/>
        </w:rPr>
      </w:pPr>
      <w:r w:rsidRPr="00B004EE">
        <w:rPr>
          <w:rFonts w:ascii="Tahoma" w:hAnsi="Tahoma" w:cs="Tahoma"/>
          <w:sz w:val="20"/>
          <w:szCs w:val="20"/>
        </w:rPr>
        <w:t>3%</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total</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l’espèce</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groupe</w:t>
      </w:r>
      <w:r w:rsidR="00DB1635" w:rsidRPr="00B004EE">
        <w:rPr>
          <w:rFonts w:ascii="Tahoma" w:hAnsi="Tahoma" w:cs="Tahoma"/>
          <w:sz w:val="20"/>
          <w:szCs w:val="20"/>
        </w:rPr>
        <w:t xml:space="preserve"> </w:t>
      </w:r>
      <w:r w:rsidRPr="00B004EE">
        <w:rPr>
          <w:rFonts w:ascii="Tahoma" w:hAnsi="Tahoma" w:cs="Tahoma"/>
          <w:sz w:val="20"/>
          <w:szCs w:val="20"/>
        </w:rPr>
        <w:t>d’espèces</w:t>
      </w:r>
      <w:r w:rsidR="00DB1635" w:rsidRPr="00B004EE">
        <w:rPr>
          <w:rFonts w:ascii="Tahoma" w:hAnsi="Tahoma" w:cs="Tahoma"/>
          <w:sz w:val="20"/>
          <w:szCs w:val="20"/>
        </w:rPr>
        <w:t xml:space="preserve"> </w:t>
      </w:r>
      <w:r w:rsidRPr="00B004EE">
        <w:rPr>
          <w:rFonts w:ascii="Tahoma" w:hAnsi="Tahoma" w:cs="Tahoma"/>
          <w:sz w:val="20"/>
          <w:szCs w:val="20"/>
        </w:rPr>
        <w:t>cibles</w:t>
      </w:r>
      <w:r w:rsidR="00DB1635" w:rsidRPr="00B004EE">
        <w:rPr>
          <w:rFonts w:ascii="Tahoma" w:hAnsi="Tahoma" w:cs="Tahoma"/>
          <w:sz w:val="20"/>
          <w:szCs w:val="20"/>
        </w:rPr>
        <w:t xml:space="preserve"> </w:t>
      </w:r>
      <w:r w:rsidRPr="00B004EE">
        <w:rPr>
          <w:rFonts w:ascii="Tahoma" w:hAnsi="Tahoma" w:cs="Tahoma"/>
          <w:sz w:val="20"/>
          <w:szCs w:val="20"/>
        </w:rPr>
        <w:t>autorisées</w:t>
      </w:r>
      <w:r w:rsidR="00DB1635" w:rsidRPr="00B004EE">
        <w:rPr>
          <w:rFonts w:ascii="Tahoma" w:hAnsi="Tahoma" w:cs="Tahoma"/>
          <w:sz w:val="20"/>
          <w:szCs w:val="20"/>
        </w:rPr>
        <w:t xml:space="preserve"> </w:t>
      </w:r>
      <w:r w:rsidRPr="00B004EE">
        <w:rPr>
          <w:rFonts w:ascii="Tahoma" w:hAnsi="Tahoma" w:cs="Tahoma"/>
          <w:sz w:val="20"/>
          <w:szCs w:val="20"/>
        </w:rPr>
        <w:t>(poids</w:t>
      </w:r>
      <w:r w:rsidR="00DB1635" w:rsidRPr="00B004EE">
        <w:rPr>
          <w:rFonts w:ascii="Tahoma" w:hAnsi="Tahoma" w:cs="Tahoma"/>
          <w:sz w:val="20"/>
          <w:szCs w:val="20"/>
        </w:rPr>
        <w:t xml:space="preserve"> </w:t>
      </w:r>
      <w:r w:rsidRPr="00B004EE">
        <w:rPr>
          <w:rFonts w:ascii="Tahoma" w:hAnsi="Tahoma" w:cs="Tahoma"/>
          <w:sz w:val="20"/>
          <w:szCs w:val="20"/>
        </w:rPr>
        <w:t>exprimé</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vif),</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navires</w:t>
      </w:r>
      <w:r w:rsidR="00DB1635" w:rsidRPr="00B004EE">
        <w:rPr>
          <w:rFonts w:ascii="Tahoma" w:hAnsi="Tahoma" w:cs="Tahoma"/>
          <w:sz w:val="20"/>
          <w:szCs w:val="20"/>
        </w:rPr>
        <w:t xml:space="preserve"> </w:t>
      </w:r>
      <w:r w:rsidRPr="00B004EE">
        <w:rPr>
          <w:rFonts w:ascii="Tahoma" w:hAnsi="Tahoma" w:cs="Tahoma"/>
          <w:sz w:val="20"/>
          <w:szCs w:val="20"/>
        </w:rPr>
        <w:t>munis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licence</w:t>
      </w:r>
      <w:r w:rsidR="00DB1635" w:rsidRPr="00B004EE">
        <w:rPr>
          <w:rFonts w:ascii="Tahoma" w:hAnsi="Tahoma" w:cs="Tahoma"/>
          <w:sz w:val="20"/>
          <w:szCs w:val="20"/>
        </w:rPr>
        <w:t xml:space="preserve"> </w:t>
      </w:r>
      <w:r w:rsidRPr="00B004EE">
        <w:rPr>
          <w:rFonts w:ascii="Tahoma" w:hAnsi="Tahoma" w:cs="Tahoma"/>
          <w:sz w:val="20"/>
          <w:szCs w:val="20"/>
        </w:rPr>
        <w:t>relevant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catégorie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petits</w:t>
      </w:r>
      <w:r w:rsidR="00DB1635" w:rsidRPr="00B004EE">
        <w:rPr>
          <w:rFonts w:ascii="Tahoma" w:hAnsi="Tahoma" w:cs="Tahoma"/>
          <w:sz w:val="20"/>
          <w:szCs w:val="20"/>
        </w:rPr>
        <w:t xml:space="preserve"> </w:t>
      </w:r>
      <w:r w:rsidRPr="00B004EE">
        <w:rPr>
          <w:rFonts w:ascii="Tahoma" w:hAnsi="Tahoma" w:cs="Tahoma"/>
          <w:sz w:val="20"/>
          <w:szCs w:val="20"/>
        </w:rPr>
        <w:t>pélagiques.</w:t>
      </w:r>
    </w:p>
    <w:p w14:paraId="0A174EF0" w14:textId="77777777" w:rsidR="008518B0" w:rsidRPr="00B004EE" w:rsidRDefault="008518B0" w:rsidP="00B004EE">
      <w:pPr>
        <w:ind w:left="993"/>
        <w:jc w:val="both"/>
        <w:rPr>
          <w:rFonts w:ascii="Tahoma" w:hAnsi="Tahoma" w:cs="Tahoma"/>
          <w:sz w:val="20"/>
          <w:szCs w:val="20"/>
        </w:rPr>
      </w:pPr>
    </w:p>
    <w:p w14:paraId="3B3BF846" w14:textId="716B3D14" w:rsidR="008518B0" w:rsidRPr="00B004EE" w:rsidRDefault="008518B0" w:rsidP="00420DDA">
      <w:pPr>
        <w:numPr>
          <w:ilvl w:val="0"/>
          <w:numId w:val="70"/>
        </w:numPr>
        <w:jc w:val="both"/>
        <w:rPr>
          <w:rFonts w:ascii="Tahoma" w:hAnsi="Tahoma" w:cs="Tahoma"/>
          <w:sz w:val="20"/>
          <w:szCs w:val="20"/>
        </w:rPr>
      </w:pPr>
      <w:r w:rsidRPr="00B004EE">
        <w:rPr>
          <w:rFonts w:ascii="Tahoma" w:hAnsi="Tahoma" w:cs="Tahoma"/>
          <w:sz w:val="20"/>
          <w:szCs w:val="20"/>
        </w:rPr>
        <w:t>Il</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interdit</w:t>
      </w:r>
      <w:r w:rsidR="00DB1635" w:rsidRPr="00B004EE">
        <w:rPr>
          <w:rFonts w:ascii="Tahoma" w:hAnsi="Tahoma" w:cs="Tahoma"/>
          <w:sz w:val="20"/>
          <w:szCs w:val="20"/>
        </w:rPr>
        <w:t xml:space="preserve"> </w:t>
      </w:r>
      <w:r w:rsidRPr="00B004EE">
        <w:rPr>
          <w:rFonts w:ascii="Tahoma" w:hAnsi="Tahoma" w:cs="Tahoma"/>
          <w:sz w:val="20"/>
          <w:szCs w:val="20"/>
        </w:rPr>
        <w:t>:</w:t>
      </w:r>
    </w:p>
    <w:p w14:paraId="06B059EB" w14:textId="4C854876" w:rsidR="008518B0" w:rsidRPr="00B004EE" w:rsidRDefault="008518B0" w:rsidP="00420DDA">
      <w:pPr>
        <w:numPr>
          <w:ilvl w:val="0"/>
          <w:numId w:val="60"/>
        </w:numPr>
        <w:ind w:left="993" w:hanging="284"/>
        <w:jc w:val="both"/>
        <w:rPr>
          <w:rFonts w:ascii="Tahoma" w:hAnsi="Tahoma" w:cs="Tahoma"/>
          <w:sz w:val="20"/>
          <w:szCs w:val="20"/>
        </w:rPr>
      </w:pPr>
      <w:proofErr w:type="gramStart"/>
      <w:r w:rsidRPr="00B004EE">
        <w:rPr>
          <w:rFonts w:ascii="Tahoma" w:hAnsi="Tahoma" w:cs="Tahoma"/>
          <w:sz w:val="20"/>
          <w:szCs w:val="20"/>
        </w:rPr>
        <w:t>aux</w:t>
      </w:r>
      <w:proofErr w:type="gramEnd"/>
      <w:r w:rsidR="00DB1635" w:rsidRPr="00B004EE">
        <w:rPr>
          <w:rFonts w:ascii="Tahoma" w:hAnsi="Tahoma" w:cs="Tahoma"/>
          <w:sz w:val="20"/>
          <w:szCs w:val="20"/>
        </w:rPr>
        <w:t xml:space="preserve"> </w:t>
      </w:r>
      <w:r w:rsidRPr="00B004EE">
        <w:rPr>
          <w:rFonts w:ascii="Tahoma" w:hAnsi="Tahoma" w:cs="Tahoma"/>
          <w:sz w:val="20"/>
          <w:szCs w:val="20"/>
        </w:rPr>
        <w:t>navires</w:t>
      </w:r>
      <w:r w:rsidR="00DB1635" w:rsidRPr="00B004EE">
        <w:rPr>
          <w:rFonts w:ascii="Tahoma" w:hAnsi="Tahoma" w:cs="Tahoma"/>
          <w:sz w:val="20"/>
          <w:szCs w:val="20"/>
        </w:rPr>
        <w:t xml:space="preserve"> </w:t>
      </w:r>
      <w:r w:rsidRPr="00B004EE">
        <w:rPr>
          <w:rFonts w:ascii="Tahoma" w:hAnsi="Tahoma" w:cs="Tahoma"/>
          <w:sz w:val="20"/>
          <w:szCs w:val="20"/>
        </w:rPr>
        <w:t>munis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licence</w:t>
      </w:r>
      <w:r w:rsidR="00DB1635" w:rsidRPr="00B004EE">
        <w:rPr>
          <w:rFonts w:ascii="Tahoma" w:hAnsi="Tahoma" w:cs="Tahoma"/>
          <w:sz w:val="20"/>
          <w:szCs w:val="20"/>
        </w:rPr>
        <w:t xml:space="preserve"> </w:t>
      </w:r>
      <w:r w:rsidRPr="00B004EE">
        <w:rPr>
          <w:rFonts w:ascii="Tahoma" w:hAnsi="Tahoma" w:cs="Tahoma"/>
          <w:sz w:val="20"/>
          <w:szCs w:val="20"/>
        </w:rPr>
        <w:t>relevant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catégories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crevettes</w:t>
      </w:r>
      <w:r w:rsidR="00DB1635" w:rsidRPr="00B004EE">
        <w:rPr>
          <w:rFonts w:ascii="Tahoma" w:hAnsi="Tahoma" w:cs="Tahoma"/>
          <w:sz w:val="20"/>
          <w:szCs w:val="20"/>
        </w:rPr>
        <w:t xml:space="preserve"> </w:t>
      </w:r>
      <w:r w:rsidRPr="00B004EE">
        <w:rPr>
          <w:rFonts w:ascii="Tahoma" w:hAnsi="Tahoma" w:cs="Tahoma"/>
          <w:sz w:val="20"/>
          <w:szCs w:val="20"/>
        </w:rPr>
        <w:t>Langostinos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crevettes</w:t>
      </w:r>
      <w:r w:rsidR="00DB1635" w:rsidRPr="00B004EE">
        <w:rPr>
          <w:rFonts w:ascii="Tahoma" w:hAnsi="Tahoma" w:cs="Tahoma"/>
          <w:sz w:val="20"/>
          <w:szCs w:val="20"/>
        </w:rPr>
        <w:t xml:space="preserve"> </w:t>
      </w:r>
      <w:r w:rsidRPr="00B004EE">
        <w:rPr>
          <w:rFonts w:ascii="Tahoma" w:hAnsi="Tahoma" w:cs="Tahoma"/>
          <w:sz w:val="20"/>
          <w:szCs w:val="20"/>
        </w:rPr>
        <w:t>Gambas,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détenir</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prises</w:t>
      </w:r>
      <w:r w:rsidR="00DB1635" w:rsidRPr="00B004EE">
        <w:rPr>
          <w:rFonts w:ascii="Tahoma" w:hAnsi="Tahoma" w:cs="Tahoma"/>
          <w:sz w:val="20"/>
          <w:szCs w:val="20"/>
        </w:rPr>
        <w:t xml:space="preserve"> </w:t>
      </w:r>
      <w:r w:rsidRPr="00B004EE">
        <w:rPr>
          <w:rFonts w:ascii="Tahoma" w:hAnsi="Tahoma" w:cs="Tahoma"/>
          <w:sz w:val="20"/>
          <w:szCs w:val="20"/>
        </w:rPr>
        <w:t>accessoires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langouste</w:t>
      </w:r>
      <w:r w:rsidR="00DB1635" w:rsidRPr="00B004EE">
        <w:rPr>
          <w:rFonts w:ascii="Tahoma" w:hAnsi="Tahoma" w:cs="Tahoma"/>
          <w:sz w:val="20"/>
          <w:szCs w:val="20"/>
        </w:rPr>
        <w:t xml:space="preserve"> </w:t>
      </w:r>
      <w:r w:rsidRPr="00B004EE">
        <w:rPr>
          <w:rFonts w:ascii="Tahoma" w:hAnsi="Tahoma" w:cs="Tahoma"/>
          <w:sz w:val="20"/>
          <w:szCs w:val="20"/>
        </w:rPr>
        <w:t>;</w:t>
      </w:r>
    </w:p>
    <w:p w14:paraId="36764099" w14:textId="46CC2FDF" w:rsidR="008518B0" w:rsidRPr="00B004EE" w:rsidRDefault="008518B0" w:rsidP="00420DDA">
      <w:pPr>
        <w:numPr>
          <w:ilvl w:val="0"/>
          <w:numId w:val="60"/>
        </w:numPr>
        <w:ind w:left="993" w:hanging="284"/>
        <w:jc w:val="both"/>
        <w:rPr>
          <w:rFonts w:ascii="Tahoma" w:hAnsi="Tahoma" w:cs="Tahoma"/>
          <w:sz w:val="20"/>
          <w:szCs w:val="20"/>
        </w:rPr>
      </w:pPr>
      <w:proofErr w:type="gramStart"/>
      <w:r w:rsidRPr="00B004EE">
        <w:rPr>
          <w:rFonts w:ascii="Tahoma" w:hAnsi="Tahoma" w:cs="Tahoma"/>
          <w:sz w:val="20"/>
          <w:szCs w:val="20"/>
        </w:rPr>
        <w:t>aux</w:t>
      </w:r>
      <w:proofErr w:type="gramEnd"/>
      <w:r w:rsidR="00DB1635" w:rsidRPr="00B004EE">
        <w:rPr>
          <w:rFonts w:ascii="Tahoma" w:hAnsi="Tahoma" w:cs="Tahoma"/>
          <w:sz w:val="20"/>
          <w:szCs w:val="20"/>
        </w:rPr>
        <w:t xml:space="preserve"> </w:t>
      </w:r>
      <w:r w:rsidRPr="00B004EE">
        <w:rPr>
          <w:rFonts w:ascii="Tahoma" w:hAnsi="Tahoma" w:cs="Tahoma"/>
          <w:sz w:val="20"/>
          <w:szCs w:val="20"/>
        </w:rPr>
        <w:t>navires</w:t>
      </w:r>
      <w:r w:rsidR="00DB1635" w:rsidRPr="00B004EE">
        <w:rPr>
          <w:rFonts w:ascii="Tahoma" w:hAnsi="Tahoma" w:cs="Tahoma"/>
          <w:sz w:val="20"/>
          <w:szCs w:val="20"/>
        </w:rPr>
        <w:t xml:space="preserve"> </w:t>
      </w:r>
      <w:r w:rsidRPr="00B004EE">
        <w:rPr>
          <w:rFonts w:ascii="Tahoma" w:hAnsi="Tahoma" w:cs="Tahoma"/>
          <w:sz w:val="20"/>
          <w:szCs w:val="20"/>
        </w:rPr>
        <w:t>munis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licence</w:t>
      </w:r>
      <w:r w:rsidR="00DB1635" w:rsidRPr="00B004EE">
        <w:rPr>
          <w:rFonts w:ascii="Tahoma" w:hAnsi="Tahoma" w:cs="Tahoma"/>
          <w:sz w:val="20"/>
          <w:szCs w:val="20"/>
        </w:rPr>
        <w:t xml:space="preserve"> </w:t>
      </w:r>
      <w:r w:rsidRPr="00B004EE">
        <w:rPr>
          <w:rFonts w:ascii="Tahoma" w:hAnsi="Tahoma" w:cs="Tahoma"/>
          <w:sz w:val="20"/>
          <w:szCs w:val="20"/>
        </w:rPr>
        <w:t>relevant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catégories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merlu,</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détenir</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prises</w:t>
      </w:r>
      <w:r w:rsidR="00DB1635" w:rsidRPr="00B004EE">
        <w:rPr>
          <w:rFonts w:ascii="Tahoma" w:hAnsi="Tahoma" w:cs="Tahoma"/>
          <w:sz w:val="20"/>
          <w:szCs w:val="20"/>
        </w:rPr>
        <w:t xml:space="preserve"> </w:t>
      </w:r>
      <w:r w:rsidRPr="00B004EE">
        <w:rPr>
          <w:rFonts w:ascii="Tahoma" w:hAnsi="Tahoma" w:cs="Tahoma"/>
          <w:sz w:val="20"/>
          <w:szCs w:val="20"/>
        </w:rPr>
        <w:t>accessoires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céphalopodes</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crustacés</w:t>
      </w:r>
      <w:r w:rsidR="00DB1635" w:rsidRPr="00B004EE">
        <w:rPr>
          <w:rFonts w:ascii="Tahoma" w:hAnsi="Tahoma" w:cs="Tahoma"/>
          <w:sz w:val="20"/>
          <w:szCs w:val="20"/>
        </w:rPr>
        <w:t xml:space="preserve"> </w:t>
      </w:r>
      <w:r w:rsidRPr="00B004EE">
        <w:rPr>
          <w:rFonts w:ascii="Tahoma" w:hAnsi="Tahoma" w:cs="Tahoma"/>
          <w:sz w:val="20"/>
          <w:szCs w:val="20"/>
        </w:rPr>
        <w:t>;</w:t>
      </w:r>
    </w:p>
    <w:p w14:paraId="7198F835" w14:textId="1D6E3978" w:rsidR="008518B0" w:rsidRPr="00B004EE" w:rsidRDefault="008518B0" w:rsidP="00420DDA">
      <w:pPr>
        <w:numPr>
          <w:ilvl w:val="0"/>
          <w:numId w:val="60"/>
        </w:numPr>
        <w:ind w:left="993" w:hanging="284"/>
        <w:jc w:val="both"/>
        <w:rPr>
          <w:rFonts w:ascii="Tahoma" w:hAnsi="Tahoma" w:cs="Tahoma"/>
          <w:sz w:val="20"/>
          <w:szCs w:val="20"/>
        </w:rPr>
      </w:pPr>
      <w:proofErr w:type="gramStart"/>
      <w:r w:rsidRPr="00B004EE">
        <w:rPr>
          <w:rFonts w:ascii="Tahoma" w:hAnsi="Tahoma" w:cs="Tahoma"/>
          <w:sz w:val="20"/>
          <w:szCs w:val="20"/>
        </w:rPr>
        <w:t>aux</w:t>
      </w:r>
      <w:proofErr w:type="gramEnd"/>
      <w:r w:rsidR="00DB1635" w:rsidRPr="00B004EE">
        <w:rPr>
          <w:rFonts w:ascii="Tahoma" w:hAnsi="Tahoma" w:cs="Tahoma"/>
          <w:sz w:val="20"/>
          <w:szCs w:val="20"/>
        </w:rPr>
        <w:t xml:space="preserve"> </w:t>
      </w:r>
      <w:r w:rsidRPr="00B004EE">
        <w:rPr>
          <w:rFonts w:ascii="Tahoma" w:hAnsi="Tahoma" w:cs="Tahoma"/>
          <w:sz w:val="20"/>
          <w:szCs w:val="20"/>
        </w:rPr>
        <w:t>navires</w:t>
      </w:r>
      <w:r w:rsidR="00DB1635" w:rsidRPr="00B004EE">
        <w:rPr>
          <w:rFonts w:ascii="Tahoma" w:hAnsi="Tahoma" w:cs="Tahoma"/>
          <w:sz w:val="20"/>
          <w:szCs w:val="20"/>
        </w:rPr>
        <w:t xml:space="preserve"> </w:t>
      </w:r>
      <w:r w:rsidRPr="00B004EE">
        <w:rPr>
          <w:rFonts w:ascii="Tahoma" w:hAnsi="Tahoma" w:cs="Tahoma"/>
          <w:sz w:val="20"/>
          <w:szCs w:val="20"/>
        </w:rPr>
        <w:t>munis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licence</w:t>
      </w:r>
      <w:r w:rsidR="00DB1635" w:rsidRPr="00B004EE">
        <w:rPr>
          <w:rFonts w:ascii="Tahoma" w:hAnsi="Tahoma" w:cs="Tahoma"/>
          <w:sz w:val="20"/>
          <w:szCs w:val="20"/>
        </w:rPr>
        <w:t xml:space="preserve"> </w:t>
      </w:r>
      <w:r w:rsidRPr="00B004EE">
        <w:rPr>
          <w:rFonts w:ascii="Tahoma" w:hAnsi="Tahoma" w:cs="Tahoma"/>
          <w:sz w:val="20"/>
          <w:szCs w:val="20"/>
        </w:rPr>
        <w:t>relevant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catégorie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poissons</w:t>
      </w:r>
      <w:r w:rsidR="00DB1635" w:rsidRPr="00B004EE">
        <w:rPr>
          <w:rFonts w:ascii="Tahoma" w:hAnsi="Tahoma" w:cs="Tahoma"/>
          <w:sz w:val="20"/>
          <w:szCs w:val="20"/>
        </w:rPr>
        <w:t xml:space="preserve"> </w:t>
      </w:r>
      <w:r w:rsidRPr="00B004EE">
        <w:rPr>
          <w:rFonts w:ascii="Tahoma" w:hAnsi="Tahoma" w:cs="Tahoma"/>
          <w:sz w:val="20"/>
          <w:szCs w:val="20"/>
        </w:rPr>
        <w:t>démersaux</w:t>
      </w:r>
      <w:r w:rsidR="00DB1635" w:rsidRPr="00B004EE">
        <w:rPr>
          <w:rFonts w:ascii="Tahoma" w:hAnsi="Tahoma" w:cs="Tahoma"/>
          <w:sz w:val="20"/>
          <w:szCs w:val="20"/>
        </w:rPr>
        <w:t xml:space="preserve"> </w:t>
      </w:r>
      <w:r w:rsidRPr="00B004EE">
        <w:rPr>
          <w:rFonts w:ascii="Tahoma" w:hAnsi="Tahoma" w:cs="Tahoma"/>
          <w:sz w:val="20"/>
          <w:szCs w:val="20"/>
        </w:rPr>
        <w:t>autre</w:t>
      </w:r>
      <w:r w:rsidR="00DB1635" w:rsidRPr="00B004EE">
        <w:rPr>
          <w:rFonts w:ascii="Tahoma" w:hAnsi="Tahoma" w:cs="Tahoma"/>
          <w:sz w:val="20"/>
          <w:szCs w:val="20"/>
        </w:rPr>
        <w:t xml:space="preserve"> </w:t>
      </w:r>
      <w:r w:rsidRPr="00B004EE">
        <w:rPr>
          <w:rFonts w:ascii="Tahoma" w:hAnsi="Tahoma" w:cs="Tahoma"/>
          <w:sz w:val="20"/>
          <w:szCs w:val="20"/>
        </w:rPr>
        <w:t>que</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merlu,</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détenir</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prises</w:t>
      </w:r>
      <w:r w:rsidR="00DB1635" w:rsidRPr="00B004EE">
        <w:rPr>
          <w:rFonts w:ascii="Tahoma" w:hAnsi="Tahoma" w:cs="Tahoma"/>
          <w:sz w:val="20"/>
          <w:szCs w:val="20"/>
        </w:rPr>
        <w:t xml:space="preserve"> </w:t>
      </w:r>
      <w:r w:rsidRPr="00B004EE">
        <w:rPr>
          <w:rFonts w:ascii="Tahoma" w:hAnsi="Tahoma" w:cs="Tahoma"/>
          <w:sz w:val="20"/>
          <w:szCs w:val="20"/>
        </w:rPr>
        <w:t>accessoires</w:t>
      </w:r>
      <w:r w:rsidR="0098318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merlu,</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céphalopodes</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crustacés</w:t>
      </w:r>
      <w:r w:rsidR="00DB1635" w:rsidRPr="00B004EE">
        <w:rPr>
          <w:rFonts w:ascii="Tahoma" w:hAnsi="Tahoma" w:cs="Tahoma"/>
          <w:sz w:val="20"/>
          <w:szCs w:val="20"/>
        </w:rPr>
        <w:t xml:space="preserve"> </w:t>
      </w:r>
      <w:r w:rsidRPr="00B004EE">
        <w:rPr>
          <w:rFonts w:ascii="Tahoma" w:hAnsi="Tahoma" w:cs="Tahoma"/>
          <w:sz w:val="20"/>
          <w:szCs w:val="20"/>
        </w:rPr>
        <w:t>;</w:t>
      </w:r>
    </w:p>
    <w:p w14:paraId="1477062A" w14:textId="00A86F8C" w:rsidR="008518B0" w:rsidRPr="00B004EE" w:rsidRDefault="008518B0" w:rsidP="00420DDA">
      <w:pPr>
        <w:numPr>
          <w:ilvl w:val="0"/>
          <w:numId w:val="60"/>
        </w:numPr>
        <w:ind w:left="1050" w:hanging="300"/>
        <w:jc w:val="both"/>
        <w:rPr>
          <w:rFonts w:ascii="Tahoma" w:hAnsi="Tahoma" w:cs="Tahoma"/>
          <w:sz w:val="20"/>
          <w:szCs w:val="20"/>
        </w:rPr>
      </w:pPr>
      <w:proofErr w:type="gramStart"/>
      <w:r w:rsidRPr="00B004EE">
        <w:rPr>
          <w:rFonts w:ascii="Tahoma" w:hAnsi="Tahoma" w:cs="Tahoma"/>
          <w:sz w:val="20"/>
          <w:szCs w:val="20"/>
        </w:rPr>
        <w:t>aux</w:t>
      </w:r>
      <w:proofErr w:type="gramEnd"/>
      <w:r w:rsidR="00DB1635" w:rsidRPr="00B004EE">
        <w:rPr>
          <w:rFonts w:ascii="Tahoma" w:hAnsi="Tahoma" w:cs="Tahoma"/>
          <w:sz w:val="20"/>
          <w:szCs w:val="20"/>
        </w:rPr>
        <w:t xml:space="preserve"> </w:t>
      </w:r>
      <w:r w:rsidRPr="00B004EE">
        <w:rPr>
          <w:rFonts w:ascii="Tahoma" w:hAnsi="Tahoma" w:cs="Tahoma"/>
          <w:sz w:val="20"/>
          <w:szCs w:val="20"/>
        </w:rPr>
        <w:t>navires</w:t>
      </w:r>
      <w:r w:rsidR="00DB1635" w:rsidRPr="00B004EE">
        <w:rPr>
          <w:rFonts w:ascii="Tahoma" w:hAnsi="Tahoma" w:cs="Tahoma"/>
          <w:sz w:val="20"/>
          <w:szCs w:val="20"/>
        </w:rPr>
        <w:t xml:space="preserve"> </w:t>
      </w:r>
      <w:r w:rsidRPr="00B004EE">
        <w:rPr>
          <w:rFonts w:ascii="Tahoma" w:hAnsi="Tahoma" w:cs="Tahoma"/>
          <w:sz w:val="20"/>
          <w:szCs w:val="20"/>
        </w:rPr>
        <w:t>munis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licence</w:t>
      </w:r>
      <w:r w:rsidR="00DB1635" w:rsidRPr="00B004EE">
        <w:rPr>
          <w:rFonts w:ascii="Tahoma" w:hAnsi="Tahoma" w:cs="Tahoma"/>
          <w:sz w:val="20"/>
          <w:szCs w:val="20"/>
        </w:rPr>
        <w:t xml:space="preserve"> </w:t>
      </w:r>
      <w:r w:rsidRPr="00B004EE">
        <w:rPr>
          <w:rFonts w:ascii="Tahoma" w:hAnsi="Tahoma" w:cs="Tahoma"/>
          <w:sz w:val="20"/>
          <w:szCs w:val="20"/>
        </w:rPr>
        <w:t>relevant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catégorie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poissons</w:t>
      </w:r>
      <w:r w:rsidR="00DB1635" w:rsidRPr="00B004EE">
        <w:rPr>
          <w:rFonts w:ascii="Tahoma" w:hAnsi="Tahoma" w:cs="Tahoma"/>
          <w:sz w:val="20"/>
          <w:szCs w:val="20"/>
        </w:rPr>
        <w:t xml:space="preserve"> </w:t>
      </w:r>
      <w:r w:rsidRPr="00B004EE">
        <w:rPr>
          <w:rFonts w:ascii="Tahoma" w:hAnsi="Tahoma" w:cs="Tahoma"/>
          <w:sz w:val="20"/>
          <w:szCs w:val="20"/>
        </w:rPr>
        <w:t>démersaux,</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détenir</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prises</w:t>
      </w:r>
      <w:r w:rsidR="00DB1635" w:rsidRPr="00B004EE">
        <w:rPr>
          <w:rFonts w:ascii="Tahoma" w:hAnsi="Tahoma" w:cs="Tahoma"/>
          <w:sz w:val="20"/>
          <w:szCs w:val="20"/>
        </w:rPr>
        <w:t xml:space="preserve"> </w:t>
      </w:r>
      <w:r w:rsidRPr="00B004EE">
        <w:rPr>
          <w:rFonts w:ascii="Tahoma" w:hAnsi="Tahoma" w:cs="Tahoma"/>
          <w:sz w:val="20"/>
          <w:szCs w:val="20"/>
        </w:rPr>
        <w:t>accessoires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poulpe</w:t>
      </w:r>
      <w:r w:rsidR="00DB1635" w:rsidRPr="00B004EE">
        <w:rPr>
          <w:rFonts w:ascii="Tahoma" w:hAnsi="Tahoma" w:cs="Tahoma"/>
          <w:sz w:val="20"/>
          <w:szCs w:val="20"/>
        </w:rPr>
        <w:t xml:space="preserve"> </w:t>
      </w:r>
      <w:r w:rsidRPr="00B004EE">
        <w:rPr>
          <w:rFonts w:ascii="Tahoma" w:hAnsi="Tahoma" w:cs="Tahoma"/>
          <w:sz w:val="20"/>
          <w:szCs w:val="20"/>
        </w:rPr>
        <w:t>;</w:t>
      </w:r>
    </w:p>
    <w:p w14:paraId="353424F1" w14:textId="05813BB5" w:rsidR="008518B0" w:rsidRPr="00B004EE" w:rsidRDefault="008518B0" w:rsidP="00420DDA">
      <w:pPr>
        <w:numPr>
          <w:ilvl w:val="0"/>
          <w:numId w:val="60"/>
        </w:numPr>
        <w:ind w:left="1050" w:hanging="300"/>
        <w:jc w:val="both"/>
        <w:rPr>
          <w:rFonts w:ascii="Tahoma" w:hAnsi="Tahoma" w:cs="Tahoma"/>
          <w:sz w:val="20"/>
          <w:szCs w:val="20"/>
        </w:rPr>
      </w:pPr>
      <w:proofErr w:type="gramStart"/>
      <w:r w:rsidRPr="00B004EE">
        <w:rPr>
          <w:rFonts w:ascii="Tahoma" w:hAnsi="Tahoma" w:cs="Tahoma"/>
          <w:sz w:val="20"/>
          <w:szCs w:val="20"/>
        </w:rPr>
        <w:t>aux</w:t>
      </w:r>
      <w:proofErr w:type="gramEnd"/>
      <w:r w:rsidR="00DB1635" w:rsidRPr="00B004EE">
        <w:rPr>
          <w:rFonts w:ascii="Tahoma" w:hAnsi="Tahoma" w:cs="Tahoma"/>
          <w:sz w:val="20"/>
          <w:szCs w:val="20"/>
        </w:rPr>
        <w:t xml:space="preserve"> </w:t>
      </w:r>
      <w:r w:rsidRPr="00B004EE">
        <w:rPr>
          <w:rFonts w:ascii="Tahoma" w:hAnsi="Tahoma" w:cs="Tahoma"/>
          <w:sz w:val="20"/>
          <w:szCs w:val="20"/>
        </w:rPr>
        <w:t>navires</w:t>
      </w:r>
      <w:r w:rsidR="00DB1635" w:rsidRPr="00B004EE">
        <w:rPr>
          <w:rFonts w:ascii="Tahoma" w:hAnsi="Tahoma" w:cs="Tahoma"/>
          <w:sz w:val="20"/>
          <w:szCs w:val="20"/>
        </w:rPr>
        <w:t xml:space="preserve"> </w:t>
      </w:r>
      <w:r w:rsidRPr="00B004EE">
        <w:rPr>
          <w:rFonts w:ascii="Tahoma" w:hAnsi="Tahoma" w:cs="Tahoma"/>
          <w:sz w:val="20"/>
          <w:szCs w:val="20"/>
        </w:rPr>
        <w:t>munis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licence</w:t>
      </w:r>
      <w:r w:rsidR="00DB1635" w:rsidRPr="00B004EE">
        <w:rPr>
          <w:rFonts w:ascii="Tahoma" w:hAnsi="Tahoma" w:cs="Tahoma"/>
          <w:sz w:val="20"/>
          <w:szCs w:val="20"/>
        </w:rPr>
        <w:t xml:space="preserve"> </w:t>
      </w:r>
      <w:r w:rsidRPr="00B004EE">
        <w:rPr>
          <w:rFonts w:ascii="Tahoma" w:hAnsi="Tahoma" w:cs="Tahoma"/>
          <w:sz w:val="20"/>
          <w:szCs w:val="20"/>
        </w:rPr>
        <w:t>relevant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catégorie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langouste</w:t>
      </w:r>
      <w:r w:rsidR="00DB1635" w:rsidRPr="00B004EE">
        <w:rPr>
          <w:rFonts w:ascii="Tahoma" w:hAnsi="Tahoma" w:cs="Tahoma"/>
          <w:sz w:val="20"/>
          <w:szCs w:val="20"/>
        </w:rPr>
        <w:t xml:space="preserve"> </w:t>
      </w:r>
      <w:r w:rsidRPr="00B004EE">
        <w:rPr>
          <w:rFonts w:ascii="Tahoma" w:hAnsi="Tahoma" w:cs="Tahoma"/>
          <w:sz w:val="20"/>
          <w:szCs w:val="20"/>
        </w:rPr>
        <w:t>rose,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détenir</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prises</w:t>
      </w:r>
      <w:r w:rsidR="00DB1635" w:rsidRPr="00B004EE">
        <w:rPr>
          <w:rFonts w:ascii="Tahoma" w:hAnsi="Tahoma" w:cs="Tahoma"/>
          <w:sz w:val="20"/>
          <w:szCs w:val="20"/>
        </w:rPr>
        <w:t xml:space="preserve"> </w:t>
      </w:r>
      <w:r w:rsidRPr="00B004EE">
        <w:rPr>
          <w:rFonts w:ascii="Tahoma" w:hAnsi="Tahoma" w:cs="Tahoma"/>
          <w:sz w:val="20"/>
          <w:szCs w:val="20"/>
        </w:rPr>
        <w:t>accessoires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poissons,</w:t>
      </w:r>
      <w:r w:rsidR="00DB1635" w:rsidRPr="00B004EE">
        <w:rPr>
          <w:rFonts w:ascii="Tahoma" w:hAnsi="Tahoma" w:cs="Tahoma"/>
          <w:sz w:val="20"/>
          <w:szCs w:val="20"/>
        </w:rPr>
        <w:t xml:space="preserve"> </w:t>
      </w:r>
      <w:r w:rsidRPr="00B004EE">
        <w:rPr>
          <w:rFonts w:ascii="Tahoma" w:hAnsi="Tahoma" w:cs="Tahoma"/>
          <w:sz w:val="20"/>
          <w:szCs w:val="20"/>
        </w:rPr>
        <w:t>céphalopodes</w:t>
      </w:r>
      <w:r w:rsidR="00983185" w:rsidRPr="00B004EE">
        <w:rPr>
          <w:rFonts w:ascii="Tahoma" w:hAnsi="Tahoma" w:cs="Tahoma"/>
          <w:sz w:val="20"/>
          <w:szCs w:val="20"/>
        </w:rPr>
        <w:t xml:space="preserve"> ,</w:t>
      </w:r>
      <w:r w:rsidRPr="00B004EE">
        <w:rPr>
          <w:rFonts w:ascii="Tahoma" w:hAnsi="Tahoma" w:cs="Tahoma"/>
          <w:sz w:val="20"/>
          <w:szCs w:val="20"/>
        </w:rPr>
        <w:t>crevettes,</w:t>
      </w:r>
      <w:r w:rsidR="00DB1635" w:rsidRPr="00B004EE">
        <w:rPr>
          <w:rFonts w:ascii="Tahoma" w:hAnsi="Tahoma" w:cs="Tahoma"/>
          <w:sz w:val="20"/>
          <w:szCs w:val="20"/>
        </w:rPr>
        <w:t xml:space="preserve"> </w:t>
      </w:r>
      <w:r w:rsidRPr="00B004EE">
        <w:rPr>
          <w:rFonts w:ascii="Tahoma" w:hAnsi="Tahoma" w:cs="Tahoma"/>
          <w:sz w:val="20"/>
          <w:szCs w:val="20"/>
        </w:rPr>
        <w:t>langoustes</w:t>
      </w:r>
      <w:r w:rsidR="00DB1635" w:rsidRPr="00B004EE">
        <w:rPr>
          <w:rFonts w:ascii="Tahoma" w:hAnsi="Tahoma" w:cs="Tahoma"/>
          <w:sz w:val="20"/>
          <w:szCs w:val="20"/>
        </w:rPr>
        <w:t xml:space="preserve"> </w:t>
      </w:r>
      <w:r w:rsidRPr="00B004EE">
        <w:rPr>
          <w:rFonts w:ascii="Tahoma" w:hAnsi="Tahoma" w:cs="Tahoma"/>
          <w:sz w:val="20"/>
          <w:szCs w:val="20"/>
        </w:rPr>
        <w:t>vertes,</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crabes</w:t>
      </w:r>
      <w:r w:rsidR="00DB1635" w:rsidRPr="00B004EE">
        <w:rPr>
          <w:rFonts w:ascii="Tahoma" w:hAnsi="Tahoma" w:cs="Tahoma"/>
          <w:sz w:val="20"/>
          <w:szCs w:val="20"/>
        </w:rPr>
        <w:t xml:space="preserve"> </w:t>
      </w:r>
      <w:r w:rsidRPr="00B004EE">
        <w:rPr>
          <w:rFonts w:ascii="Tahoma" w:hAnsi="Tahoma" w:cs="Tahoma"/>
          <w:sz w:val="20"/>
          <w:szCs w:val="20"/>
        </w:rPr>
        <w:t>;</w:t>
      </w:r>
    </w:p>
    <w:p w14:paraId="2C7A076C" w14:textId="7F250BDC" w:rsidR="008518B0" w:rsidRPr="00B004EE" w:rsidRDefault="008518B0" w:rsidP="00420DDA">
      <w:pPr>
        <w:numPr>
          <w:ilvl w:val="0"/>
          <w:numId w:val="60"/>
        </w:numPr>
        <w:ind w:left="1050" w:hanging="300"/>
        <w:jc w:val="both"/>
        <w:rPr>
          <w:rFonts w:ascii="Tahoma" w:hAnsi="Tahoma" w:cs="Tahoma"/>
          <w:sz w:val="20"/>
          <w:szCs w:val="20"/>
        </w:rPr>
      </w:pPr>
      <w:proofErr w:type="gramStart"/>
      <w:r w:rsidRPr="00B004EE">
        <w:rPr>
          <w:rFonts w:ascii="Tahoma" w:hAnsi="Tahoma" w:cs="Tahoma"/>
          <w:sz w:val="20"/>
          <w:szCs w:val="20"/>
        </w:rPr>
        <w:t>aux</w:t>
      </w:r>
      <w:proofErr w:type="gramEnd"/>
      <w:r w:rsidR="00DB1635" w:rsidRPr="00B004EE">
        <w:rPr>
          <w:rFonts w:ascii="Tahoma" w:hAnsi="Tahoma" w:cs="Tahoma"/>
          <w:sz w:val="20"/>
          <w:szCs w:val="20"/>
        </w:rPr>
        <w:t xml:space="preserve"> </w:t>
      </w:r>
      <w:r w:rsidRPr="00B004EE">
        <w:rPr>
          <w:rFonts w:ascii="Tahoma" w:hAnsi="Tahoma" w:cs="Tahoma"/>
          <w:sz w:val="20"/>
          <w:szCs w:val="20"/>
        </w:rPr>
        <w:t>navires</w:t>
      </w:r>
      <w:r w:rsidR="00DB1635" w:rsidRPr="00B004EE">
        <w:rPr>
          <w:rFonts w:ascii="Tahoma" w:hAnsi="Tahoma" w:cs="Tahoma"/>
          <w:sz w:val="20"/>
          <w:szCs w:val="20"/>
        </w:rPr>
        <w:t xml:space="preserve"> </w:t>
      </w:r>
      <w:r w:rsidRPr="00B004EE">
        <w:rPr>
          <w:rFonts w:ascii="Tahoma" w:hAnsi="Tahoma" w:cs="Tahoma"/>
          <w:sz w:val="20"/>
          <w:szCs w:val="20"/>
        </w:rPr>
        <w:t>munis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licence</w:t>
      </w:r>
      <w:r w:rsidR="00DB1635" w:rsidRPr="00B004EE">
        <w:rPr>
          <w:rFonts w:ascii="Tahoma" w:hAnsi="Tahoma" w:cs="Tahoma"/>
          <w:sz w:val="20"/>
          <w:szCs w:val="20"/>
        </w:rPr>
        <w:t xml:space="preserve"> </w:t>
      </w:r>
      <w:r w:rsidRPr="00B004EE">
        <w:rPr>
          <w:rFonts w:ascii="Tahoma" w:hAnsi="Tahoma" w:cs="Tahoma"/>
          <w:sz w:val="20"/>
          <w:szCs w:val="20"/>
        </w:rPr>
        <w:t>relevant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catégorie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crabe</w:t>
      </w:r>
      <w:r w:rsidR="00DB1635" w:rsidRPr="00B004EE">
        <w:rPr>
          <w:rFonts w:ascii="Tahoma" w:hAnsi="Tahoma" w:cs="Tahoma"/>
          <w:sz w:val="20"/>
          <w:szCs w:val="20"/>
        </w:rPr>
        <w:t xml:space="preserve"> </w:t>
      </w:r>
      <w:r w:rsidRPr="00B004EE">
        <w:rPr>
          <w:rFonts w:ascii="Tahoma" w:hAnsi="Tahoma" w:cs="Tahoma"/>
          <w:sz w:val="20"/>
          <w:szCs w:val="20"/>
        </w:rPr>
        <w:t>profond,</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détenir</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prises</w:t>
      </w:r>
      <w:r w:rsidR="00DB1635" w:rsidRPr="00B004EE">
        <w:rPr>
          <w:rFonts w:ascii="Tahoma" w:hAnsi="Tahoma" w:cs="Tahoma"/>
          <w:sz w:val="20"/>
          <w:szCs w:val="20"/>
        </w:rPr>
        <w:t xml:space="preserve"> </w:t>
      </w:r>
      <w:r w:rsidRPr="00B004EE">
        <w:rPr>
          <w:rFonts w:ascii="Tahoma" w:hAnsi="Tahoma" w:cs="Tahoma"/>
          <w:sz w:val="20"/>
          <w:szCs w:val="20"/>
        </w:rPr>
        <w:t>accessoires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poissons,</w:t>
      </w:r>
      <w:r w:rsidR="00DB1635" w:rsidRPr="00B004EE">
        <w:rPr>
          <w:rFonts w:ascii="Tahoma" w:hAnsi="Tahoma" w:cs="Tahoma"/>
          <w:sz w:val="20"/>
          <w:szCs w:val="20"/>
        </w:rPr>
        <w:t xml:space="preserve"> </w:t>
      </w:r>
      <w:r w:rsidRPr="00B004EE">
        <w:rPr>
          <w:rFonts w:ascii="Tahoma" w:hAnsi="Tahoma" w:cs="Tahoma"/>
          <w:sz w:val="20"/>
          <w:szCs w:val="20"/>
        </w:rPr>
        <w:t>céphalopodes</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crustacés</w:t>
      </w:r>
      <w:r w:rsidR="00DB1635" w:rsidRPr="00B004EE">
        <w:rPr>
          <w:rFonts w:ascii="Tahoma" w:hAnsi="Tahoma" w:cs="Tahoma"/>
          <w:sz w:val="20"/>
          <w:szCs w:val="20"/>
        </w:rPr>
        <w:t xml:space="preserve"> </w:t>
      </w:r>
      <w:r w:rsidRPr="00B004EE">
        <w:rPr>
          <w:rFonts w:ascii="Tahoma" w:hAnsi="Tahoma" w:cs="Tahoma"/>
          <w:sz w:val="20"/>
          <w:szCs w:val="20"/>
        </w:rPr>
        <w:t>autre</w:t>
      </w:r>
      <w:r w:rsidR="00DB1635" w:rsidRPr="00B004EE">
        <w:rPr>
          <w:rFonts w:ascii="Tahoma" w:hAnsi="Tahoma" w:cs="Tahoma"/>
          <w:sz w:val="20"/>
          <w:szCs w:val="20"/>
        </w:rPr>
        <w:t xml:space="preserve"> </w:t>
      </w:r>
      <w:r w:rsidRPr="00B004EE">
        <w:rPr>
          <w:rFonts w:ascii="Tahoma" w:hAnsi="Tahoma" w:cs="Tahoma"/>
          <w:sz w:val="20"/>
          <w:szCs w:val="20"/>
        </w:rPr>
        <w:t>que</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crabe</w:t>
      </w:r>
      <w:r w:rsidR="00DB1635" w:rsidRPr="00B004EE">
        <w:rPr>
          <w:rFonts w:ascii="Tahoma" w:hAnsi="Tahoma" w:cs="Tahoma"/>
          <w:sz w:val="20"/>
          <w:szCs w:val="20"/>
        </w:rPr>
        <w:t xml:space="preserve"> </w:t>
      </w:r>
      <w:r w:rsidRPr="00B004EE">
        <w:rPr>
          <w:rFonts w:ascii="Tahoma" w:hAnsi="Tahoma" w:cs="Tahoma"/>
          <w:sz w:val="20"/>
          <w:szCs w:val="20"/>
        </w:rPr>
        <w:t>profond</w:t>
      </w:r>
      <w:r w:rsidR="00DB1635" w:rsidRPr="00B004EE">
        <w:rPr>
          <w:rFonts w:ascii="Tahoma" w:hAnsi="Tahoma" w:cs="Tahoma"/>
          <w:sz w:val="20"/>
          <w:szCs w:val="20"/>
        </w:rPr>
        <w:t xml:space="preserve"> </w:t>
      </w:r>
      <w:r w:rsidRPr="00B004EE">
        <w:rPr>
          <w:rFonts w:ascii="Tahoma" w:hAnsi="Tahoma" w:cs="Tahoma"/>
          <w:sz w:val="20"/>
          <w:szCs w:val="20"/>
        </w:rPr>
        <w:t>;</w:t>
      </w:r>
    </w:p>
    <w:p w14:paraId="607B73DA" w14:textId="65D0F295" w:rsidR="008518B0" w:rsidRPr="00B004EE" w:rsidRDefault="008518B0" w:rsidP="00420DDA">
      <w:pPr>
        <w:numPr>
          <w:ilvl w:val="0"/>
          <w:numId w:val="60"/>
        </w:numPr>
        <w:ind w:left="1050" w:hanging="300"/>
        <w:jc w:val="both"/>
        <w:rPr>
          <w:rFonts w:ascii="Tahoma" w:hAnsi="Tahoma" w:cs="Tahoma"/>
          <w:sz w:val="20"/>
          <w:szCs w:val="20"/>
        </w:rPr>
      </w:pPr>
      <w:proofErr w:type="gramStart"/>
      <w:r w:rsidRPr="00B004EE">
        <w:rPr>
          <w:rFonts w:ascii="Tahoma" w:hAnsi="Tahoma" w:cs="Tahoma"/>
          <w:sz w:val="20"/>
          <w:szCs w:val="20"/>
        </w:rPr>
        <w:t>aux</w:t>
      </w:r>
      <w:proofErr w:type="gramEnd"/>
      <w:r w:rsidR="00DB1635" w:rsidRPr="00B004EE">
        <w:rPr>
          <w:rFonts w:ascii="Tahoma" w:hAnsi="Tahoma" w:cs="Tahoma"/>
          <w:sz w:val="20"/>
          <w:szCs w:val="20"/>
        </w:rPr>
        <w:t xml:space="preserve"> </w:t>
      </w:r>
      <w:r w:rsidRPr="00B004EE">
        <w:rPr>
          <w:rFonts w:ascii="Tahoma" w:hAnsi="Tahoma" w:cs="Tahoma"/>
          <w:sz w:val="20"/>
          <w:szCs w:val="20"/>
        </w:rPr>
        <w:t>navires</w:t>
      </w:r>
      <w:r w:rsidR="00DB1635" w:rsidRPr="00B004EE">
        <w:rPr>
          <w:rFonts w:ascii="Tahoma" w:hAnsi="Tahoma" w:cs="Tahoma"/>
          <w:sz w:val="20"/>
          <w:szCs w:val="20"/>
        </w:rPr>
        <w:t xml:space="preserve"> </w:t>
      </w:r>
      <w:r w:rsidRPr="00B004EE">
        <w:rPr>
          <w:rFonts w:ascii="Tahoma" w:hAnsi="Tahoma" w:cs="Tahoma"/>
          <w:sz w:val="20"/>
          <w:szCs w:val="20"/>
        </w:rPr>
        <w:t>munis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licence</w:t>
      </w:r>
      <w:r w:rsidR="00DB1635" w:rsidRPr="00B004EE">
        <w:rPr>
          <w:rFonts w:ascii="Tahoma" w:hAnsi="Tahoma" w:cs="Tahoma"/>
          <w:sz w:val="20"/>
          <w:szCs w:val="20"/>
        </w:rPr>
        <w:t xml:space="preserve"> </w:t>
      </w:r>
      <w:r w:rsidRPr="00B004EE">
        <w:rPr>
          <w:rFonts w:ascii="Tahoma" w:hAnsi="Tahoma" w:cs="Tahoma"/>
          <w:sz w:val="20"/>
          <w:szCs w:val="20"/>
        </w:rPr>
        <w:t>relevant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catégorie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thon,</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détenir</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prises</w:t>
      </w:r>
      <w:r w:rsidR="00DB1635" w:rsidRPr="00B004EE">
        <w:rPr>
          <w:rFonts w:ascii="Tahoma" w:hAnsi="Tahoma" w:cs="Tahoma"/>
          <w:sz w:val="20"/>
          <w:szCs w:val="20"/>
        </w:rPr>
        <w:t xml:space="preserve"> </w:t>
      </w:r>
      <w:r w:rsidRPr="00B004EE">
        <w:rPr>
          <w:rFonts w:ascii="Tahoma" w:hAnsi="Tahoma" w:cs="Tahoma"/>
          <w:sz w:val="20"/>
          <w:szCs w:val="20"/>
        </w:rPr>
        <w:t>accessoires</w:t>
      </w:r>
      <w:r w:rsidR="00DB1635" w:rsidRPr="00B004EE">
        <w:rPr>
          <w:rFonts w:ascii="Tahoma" w:hAnsi="Tahoma" w:cs="Tahoma"/>
          <w:sz w:val="20"/>
          <w:szCs w:val="20"/>
        </w:rPr>
        <w:t xml:space="preserve"> </w:t>
      </w:r>
      <w:r w:rsidRPr="00B004EE">
        <w:rPr>
          <w:rFonts w:ascii="Tahoma" w:hAnsi="Tahoma" w:cs="Tahoma"/>
          <w:sz w:val="20"/>
          <w:szCs w:val="20"/>
        </w:rPr>
        <w:t>d’autres</w:t>
      </w:r>
      <w:r w:rsidR="00DB1635" w:rsidRPr="00B004EE">
        <w:rPr>
          <w:rFonts w:ascii="Tahoma" w:hAnsi="Tahoma" w:cs="Tahoma"/>
          <w:sz w:val="20"/>
          <w:szCs w:val="20"/>
        </w:rPr>
        <w:t xml:space="preserve"> </w:t>
      </w:r>
      <w:r w:rsidRPr="00B004EE">
        <w:rPr>
          <w:rFonts w:ascii="Tahoma" w:hAnsi="Tahoma" w:cs="Tahoma"/>
          <w:sz w:val="20"/>
          <w:szCs w:val="20"/>
        </w:rPr>
        <w:t>espèces</w:t>
      </w:r>
      <w:r w:rsidR="00DB1635" w:rsidRPr="00B004EE">
        <w:rPr>
          <w:rFonts w:ascii="Tahoma" w:hAnsi="Tahoma" w:cs="Tahoma"/>
          <w:sz w:val="20"/>
          <w:szCs w:val="20"/>
        </w:rPr>
        <w:t xml:space="preserve"> </w:t>
      </w:r>
      <w:r w:rsidRPr="00B004EE">
        <w:rPr>
          <w:rFonts w:ascii="Tahoma" w:hAnsi="Tahoma" w:cs="Tahoma"/>
          <w:sz w:val="20"/>
          <w:szCs w:val="20"/>
        </w:rPr>
        <w:t>que</w:t>
      </w:r>
      <w:r w:rsidR="00DB1635" w:rsidRPr="00B004EE">
        <w:rPr>
          <w:rFonts w:ascii="Tahoma" w:hAnsi="Tahoma" w:cs="Tahoma"/>
          <w:sz w:val="20"/>
          <w:szCs w:val="20"/>
        </w:rPr>
        <w:t xml:space="preserve"> </w:t>
      </w:r>
      <w:r w:rsidRPr="00B004EE">
        <w:rPr>
          <w:rFonts w:ascii="Tahoma" w:hAnsi="Tahoma" w:cs="Tahoma"/>
          <w:sz w:val="20"/>
          <w:szCs w:val="20"/>
        </w:rPr>
        <w:t>l’espèce</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groupe</w:t>
      </w:r>
      <w:r w:rsidR="00DB1635" w:rsidRPr="00B004EE">
        <w:rPr>
          <w:rFonts w:ascii="Tahoma" w:hAnsi="Tahoma" w:cs="Tahoma"/>
          <w:sz w:val="20"/>
          <w:szCs w:val="20"/>
        </w:rPr>
        <w:t xml:space="preserve"> </w:t>
      </w:r>
      <w:r w:rsidRPr="00B004EE">
        <w:rPr>
          <w:rFonts w:ascii="Tahoma" w:hAnsi="Tahoma" w:cs="Tahoma"/>
          <w:sz w:val="20"/>
          <w:szCs w:val="20"/>
        </w:rPr>
        <w:t>d’espèces</w:t>
      </w:r>
      <w:r w:rsidR="00DB1635" w:rsidRPr="00B004EE">
        <w:rPr>
          <w:rFonts w:ascii="Tahoma" w:hAnsi="Tahoma" w:cs="Tahoma"/>
          <w:sz w:val="20"/>
          <w:szCs w:val="20"/>
        </w:rPr>
        <w:t xml:space="preserve"> </w:t>
      </w:r>
      <w:r w:rsidRPr="00B004EE">
        <w:rPr>
          <w:rFonts w:ascii="Tahoma" w:hAnsi="Tahoma" w:cs="Tahoma"/>
          <w:sz w:val="20"/>
          <w:szCs w:val="20"/>
        </w:rPr>
        <w:t>cibles</w:t>
      </w:r>
      <w:r w:rsidR="00DB1635" w:rsidRPr="00B004EE">
        <w:rPr>
          <w:rFonts w:ascii="Tahoma" w:hAnsi="Tahoma" w:cs="Tahoma"/>
          <w:sz w:val="20"/>
          <w:szCs w:val="20"/>
        </w:rPr>
        <w:t xml:space="preserve"> </w:t>
      </w:r>
      <w:r w:rsidRPr="00B004EE">
        <w:rPr>
          <w:rFonts w:ascii="Tahoma" w:hAnsi="Tahoma" w:cs="Tahoma"/>
          <w:sz w:val="20"/>
          <w:szCs w:val="20"/>
        </w:rPr>
        <w:t>;</w:t>
      </w:r>
    </w:p>
    <w:p w14:paraId="7B18662E" w14:textId="5CE0E704" w:rsidR="008518B0" w:rsidRPr="00B004EE" w:rsidRDefault="008518B0" w:rsidP="00420DDA">
      <w:pPr>
        <w:numPr>
          <w:ilvl w:val="0"/>
          <w:numId w:val="60"/>
        </w:numPr>
        <w:ind w:left="1050" w:hanging="300"/>
        <w:jc w:val="both"/>
        <w:rPr>
          <w:rFonts w:ascii="Tahoma" w:hAnsi="Tahoma" w:cs="Tahoma"/>
          <w:sz w:val="20"/>
          <w:szCs w:val="20"/>
        </w:rPr>
      </w:pPr>
      <w:proofErr w:type="gramStart"/>
      <w:r w:rsidRPr="00B004EE">
        <w:rPr>
          <w:rFonts w:ascii="Tahoma" w:hAnsi="Tahoma" w:cs="Tahoma"/>
          <w:sz w:val="20"/>
          <w:szCs w:val="20"/>
        </w:rPr>
        <w:t>aux</w:t>
      </w:r>
      <w:proofErr w:type="gramEnd"/>
      <w:r w:rsidR="00DB1635" w:rsidRPr="00B004EE">
        <w:rPr>
          <w:rFonts w:ascii="Tahoma" w:hAnsi="Tahoma" w:cs="Tahoma"/>
          <w:sz w:val="20"/>
          <w:szCs w:val="20"/>
        </w:rPr>
        <w:t xml:space="preserve"> </w:t>
      </w:r>
      <w:r w:rsidRPr="00B004EE">
        <w:rPr>
          <w:rFonts w:ascii="Tahoma" w:hAnsi="Tahoma" w:cs="Tahoma"/>
          <w:sz w:val="20"/>
          <w:szCs w:val="20"/>
        </w:rPr>
        <w:t>navires</w:t>
      </w:r>
      <w:r w:rsidR="00DB1635" w:rsidRPr="00B004EE">
        <w:rPr>
          <w:rFonts w:ascii="Tahoma" w:hAnsi="Tahoma" w:cs="Tahoma"/>
          <w:sz w:val="20"/>
          <w:szCs w:val="20"/>
        </w:rPr>
        <w:t xml:space="preserve"> </w:t>
      </w:r>
      <w:r w:rsidRPr="00B004EE">
        <w:rPr>
          <w:rFonts w:ascii="Tahoma" w:hAnsi="Tahoma" w:cs="Tahoma"/>
          <w:sz w:val="20"/>
          <w:szCs w:val="20"/>
        </w:rPr>
        <w:t>munis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licence</w:t>
      </w:r>
      <w:r w:rsidR="00DB1635" w:rsidRPr="00B004EE">
        <w:rPr>
          <w:rFonts w:ascii="Tahoma" w:hAnsi="Tahoma" w:cs="Tahoma"/>
          <w:sz w:val="20"/>
          <w:szCs w:val="20"/>
        </w:rPr>
        <w:t xml:space="preserve"> </w:t>
      </w:r>
      <w:r w:rsidRPr="00B004EE">
        <w:rPr>
          <w:rFonts w:ascii="Tahoma" w:hAnsi="Tahoma" w:cs="Tahoma"/>
          <w:sz w:val="20"/>
          <w:szCs w:val="20"/>
        </w:rPr>
        <w:t>relevant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catégorie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petits</w:t>
      </w:r>
      <w:r w:rsidR="00DB1635" w:rsidRPr="00B004EE">
        <w:rPr>
          <w:rFonts w:ascii="Tahoma" w:hAnsi="Tahoma" w:cs="Tahoma"/>
          <w:sz w:val="20"/>
          <w:szCs w:val="20"/>
        </w:rPr>
        <w:t xml:space="preserve"> </w:t>
      </w:r>
      <w:r w:rsidRPr="00B004EE">
        <w:rPr>
          <w:rFonts w:ascii="Tahoma" w:hAnsi="Tahoma" w:cs="Tahoma"/>
          <w:sz w:val="20"/>
          <w:szCs w:val="20"/>
        </w:rPr>
        <w:t>pélagiques,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détenir</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prises</w:t>
      </w:r>
      <w:r w:rsidR="00DB1635" w:rsidRPr="00B004EE">
        <w:rPr>
          <w:rFonts w:ascii="Tahoma" w:hAnsi="Tahoma" w:cs="Tahoma"/>
          <w:sz w:val="20"/>
          <w:szCs w:val="20"/>
        </w:rPr>
        <w:t xml:space="preserve"> </w:t>
      </w:r>
      <w:r w:rsidRPr="00B004EE">
        <w:rPr>
          <w:rFonts w:ascii="Tahoma" w:hAnsi="Tahoma" w:cs="Tahoma"/>
          <w:sz w:val="20"/>
          <w:szCs w:val="20"/>
        </w:rPr>
        <w:t>accessoires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crustacés</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céphalopodes,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l’exception</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calamar.</w:t>
      </w:r>
    </w:p>
    <w:p w14:paraId="7214F9CE" w14:textId="77777777" w:rsidR="008518B0" w:rsidRPr="00B004EE" w:rsidRDefault="008518B0" w:rsidP="00B004EE">
      <w:pPr>
        <w:jc w:val="both"/>
        <w:rPr>
          <w:rFonts w:ascii="Tahoma" w:hAnsi="Tahoma" w:cs="Tahoma"/>
          <w:sz w:val="20"/>
          <w:szCs w:val="20"/>
        </w:rPr>
      </w:pPr>
    </w:p>
    <w:p w14:paraId="29C040DC" w14:textId="1D09B845" w:rsidR="008518B0" w:rsidRPr="00B004EE" w:rsidRDefault="008518B0" w:rsidP="00B004EE">
      <w:pPr>
        <w:jc w:val="both"/>
        <w:rPr>
          <w:rFonts w:ascii="Tahoma" w:hAnsi="Tahoma" w:cs="Tahoma"/>
          <w:sz w:val="20"/>
          <w:szCs w:val="20"/>
        </w:rPr>
      </w:pPr>
      <w:r w:rsidRPr="00B004EE">
        <w:rPr>
          <w:rFonts w:ascii="Tahoma" w:hAnsi="Tahoma" w:cs="Tahoma"/>
          <w:sz w:val="20"/>
          <w:szCs w:val="20"/>
        </w:rPr>
        <w:t>Toutefois</w:t>
      </w:r>
      <w:r w:rsidR="00DB1635" w:rsidRPr="00B004EE">
        <w:rPr>
          <w:rFonts w:ascii="Tahoma" w:hAnsi="Tahoma" w:cs="Tahoma"/>
          <w:sz w:val="20"/>
          <w:szCs w:val="20"/>
        </w:rPr>
        <w:t xml:space="preserve"> </w:t>
      </w:r>
      <w:r w:rsidRPr="00B004EE">
        <w:rPr>
          <w:rFonts w:ascii="Tahoma" w:hAnsi="Tahoma" w:cs="Tahoma"/>
          <w:sz w:val="20"/>
          <w:szCs w:val="20"/>
        </w:rPr>
        <w:t>ces</w:t>
      </w:r>
      <w:r w:rsidR="00DB1635" w:rsidRPr="00B004EE">
        <w:rPr>
          <w:rFonts w:ascii="Tahoma" w:hAnsi="Tahoma" w:cs="Tahoma"/>
          <w:sz w:val="20"/>
          <w:szCs w:val="20"/>
        </w:rPr>
        <w:t xml:space="preserve"> </w:t>
      </w:r>
      <w:r w:rsidRPr="00B004EE">
        <w:rPr>
          <w:rFonts w:ascii="Tahoma" w:hAnsi="Tahoma" w:cs="Tahoma"/>
          <w:sz w:val="20"/>
          <w:szCs w:val="20"/>
        </w:rPr>
        <w:t>taux</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prises</w:t>
      </w:r>
      <w:r w:rsidR="00DB1635" w:rsidRPr="00B004EE">
        <w:rPr>
          <w:rFonts w:ascii="Tahoma" w:hAnsi="Tahoma" w:cs="Tahoma"/>
          <w:sz w:val="20"/>
          <w:szCs w:val="20"/>
        </w:rPr>
        <w:t xml:space="preserve"> </w:t>
      </w:r>
      <w:r w:rsidRPr="00B004EE">
        <w:rPr>
          <w:rFonts w:ascii="Tahoma" w:hAnsi="Tahoma" w:cs="Tahoma"/>
          <w:sz w:val="20"/>
          <w:szCs w:val="20"/>
        </w:rPr>
        <w:t>accessoires</w:t>
      </w:r>
      <w:r w:rsidR="00DB1635" w:rsidRPr="00B004EE">
        <w:rPr>
          <w:rFonts w:ascii="Tahoma" w:hAnsi="Tahoma" w:cs="Tahoma"/>
          <w:sz w:val="20"/>
          <w:szCs w:val="20"/>
        </w:rPr>
        <w:t xml:space="preserve"> </w:t>
      </w:r>
      <w:r w:rsidRPr="00B004EE">
        <w:rPr>
          <w:rFonts w:ascii="Tahoma" w:hAnsi="Tahoma" w:cs="Tahoma"/>
          <w:sz w:val="20"/>
          <w:szCs w:val="20"/>
        </w:rPr>
        <w:t>pourront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modifiée</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arrêté</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Ministre</w:t>
      </w:r>
      <w:r w:rsidR="00DB1635" w:rsidRPr="00B004EE">
        <w:rPr>
          <w:rFonts w:ascii="Tahoma" w:hAnsi="Tahoma" w:cs="Tahoma"/>
          <w:sz w:val="20"/>
          <w:szCs w:val="20"/>
        </w:rPr>
        <w:t xml:space="preserve"> </w:t>
      </w:r>
      <w:r w:rsidRPr="00B004EE">
        <w:rPr>
          <w:rFonts w:ascii="Tahoma" w:hAnsi="Tahoma" w:cs="Tahoma"/>
          <w:sz w:val="20"/>
          <w:szCs w:val="20"/>
        </w:rPr>
        <w:t>chargé</w:t>
      </w:r>
      <w:r w:rsidR="00DB1635" w:rsidRPr="00B004EE">
        <w:rPr>
          <w:rFonts w:ascii="Tahoma" w:hAnsi="Tahoma" w:cs="Tahoma"/>
          <w:sz w:val="20"/>
          <w:szCs w:val="20"/>
        </w:rPr>
        <w:t xml:space="preserve"> </w:t>
      </w:r>
      <w:r w:rsidR="00BD7C35" w:rsidRPr="00B004EE">
        <w:rPr>
          <w:rFonts w:ascii="Tahoma" w:hAnsi="Tahoma" w:cs="Tahoma"/>
          <w:sz w:val="20"/>
          <w:szCs w:val="20"/>
        </w:rPr>
        <w:t>des pêches</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conformément</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avis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l’institut</w:t>
      </w:r>
      <w:r w:rsidR="00DB1635" w:rsidRPr="00B004EE">
        <w:rPr>
          <w:rFonts w:ascii="Tahoma" w:hAnsi="Tahoma" w:cs="Tahoma"/>
          <w:sz w:val="20"/>
          <w:szCs w:val="20"/>
        </w:rPr>
        <w:t xml:space="preserve"> </w:t>
      </w:r>
      <w:r w:rsidRPr="00B004EE">
        <w:rPr>
          <w:rFonts w:ascii="Tahoma" w:hAnsi="Tahoma" w:cs="Tahoma"/>
          <w:sz w:val="20"/>
          <w:szCs w:val="20"/>
        </w:rPr>
        <w:t>chargé</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recherche</w:t>
      </w:r>
      <w:r w:rsidR="00DB1635" w:rsidRPr="00B004EE">
        <w:rPr>
          <w:rFonts w:ascii="Tahoma" w:hAnsi="Tahoma" w:cs="Tahoma"/>
          <w:sz w:val="20"/>
          <w:szCs w:val="20"/>
        </w:rPr>
        <w:t xml:space="preserve"> </w:t>
      </w:r>
      <w:r w:rsidRPr="00B004EE">
        <w:rPr>
          <w:rFonts w:ascii="Tahoma" w:hAnsi="Tahoma" w:cs="Tahoma"/>
          <w:sz w:val="20"/>
          <w:szCs w:val="20"/>
        </w:rPr>
        <w:t>et/ou</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dispositions</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plans</w:t>
      </w:r>
      <w:r w:rsidR="00DB1635" w:rsidRPr="00B004EE">
        <w:rPr>
          <w:rFonts w:ascii="Tahoma" w:hAnsi="Tahoma" w:cs="Tahoma"/>
          <w:sz w:val="20"/>
          <w:szCs w:val="20"/>
        </w:rPr>
        <w:t xml:space="preserve"> </w:t>
      </w:r>
      <w:r w:rsidRPr="00B004EE">
        <w:rPr>
          <w:rFonts w:ascii="Tahoma" w:hAnsi="Tahoma" w:cs="Tahoma"/>
          <w:sz w:val="20"/>
          <w:szCs w:val="20"/>
        </w:rPr>
        <w:t>d’aménagement</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gestion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pêcheries.</w:t>
      </w:r>
    </w:p>
    <w:p w14:paraId="4F84F67D" w14:textId="77777777" w:rsidR="008518B0" w:rsidRPr="00B004EE" w:rsidRDefault="008518B0" w:rsidP="00B004EE">
      <w:pPr>
        <w:jc w:val="both"/>
        <w:rPr>
          <w:rFonts w:ascii="Tahoma" w:hAnsi="Tahoma" w:cs="Tahoma"/>
          <w:sz w:val="20"/>
          <w:szCs w:val="20"/>
        </w:rPr>
      </w:pPr>
    </w:p>
    <w:p w14:paraId="3AF0E696" w14:textId="7457D0D4" w:rsidR="008518B0" w:rsidRPr="00B004EE" w:rsidRDefault="008518B0" w:rsidP="00B004EE">
      <w:pPr>
        <w:pStyle w:val="article"/>
        <w:numPr>
          <w:ilvl w:val="0"/>
          <w:numId w:val="0"/>
        </w:numPr>
        <w:tabs>
          <w:tab w:val="left" w:pos="1200"/>
        </w:tabs>
        <w:spacing w:before="0" w:line="240" w:lineRule="auto"/>
        <w:rPr>
          <w:rFonts w:ascii="Tahoma" w:hAnsi="Tahoma" w:cs="Tahoma"/>
          <w:sz w:val="20"/>
          <w:szCs w:val="20"/>
        </w:rPr>
      </w:pPr>
      <w:r w:rsidRPr="00B004EE">
        <w:rPr>
          <w:rFonts w:ascii="Tahoma" w:hAnsi="Tahoma" w:cs="Tahoma"/>
          <w:sz w:val="20"/>
          <w:szCs w:val="20"/>
        </w:rPr>
        <w:t>Article</w:t>
      </w:r>
      <w:r w:rsidR="00DB1635" w:rsidRPr="00B004EE">
        <w:rPr>
          <w:rFonts w:ascii="Tahoma" w:hAnsi="Tahoma" w:cs="Tahoma"/>
          <w:sz w:val="20"/>
          <w:szCs w:val="20"/>
        </w:rPr>
        <w:t xml:space="preserve"> </w:t>
      </w:r>
      <w:r w:rsidRPr="00B004EE">
        <w:rPr>
          <w:rFonts w:ascii="Tahoma" w:hAnsi="Tahoma" w:cs="Tahoma"/>
          <w:sz w:val="20"/>
          <w:szCs w:val="20"/>
        </w:rPr>
        <w:t>39</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fins</w:t>
      </w:r>
      <w:r w:rsidR="00DB1635" w:rsidRPr="00B004EE">
        <w:rPr>
          <w:rFonts w:ascii="Tahoma" w:hAnsi="Tahoma" w:cs="Tahoma"/>
          <w:sz w:val="20"/>
          <w:szCs w:val="20"/>
        </w:rPr>
        <w:t xml:space="preserve"> </w:t>
      </w:r>
      <w:r w:rsidRPr="00B004EE">
        <w:rPr>
          <w:rFonts w:ascii="Tahoma" w:hAnsi="Tahoma" w:cs="Tahoma"/>
          <w:sz w:val="20"/>
          <w:szCs w:val="20"/>
        </w:rPr>
        <w:t>d’aménagement</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gestion</w:t>
      </w:r>
      <w:r w:rsidR="00DB1635" w:rsidRPr="00B004EE">
        <w:rPr>
          <w:rFonts w:ascii="Tahoma" w:hAnsi="Tahoma" w:cs="Tahoma"/>
          <w:sz w:val="20"/>
          <w:szCs w:val="20"/>
        </w:rPr>
        <w:t xml:space="preserve"> </w:t>
      </w:r>
      <w:r w:rsidRPr="00B004EE">
        <w:rPr>
          <w:rFonts w:ascii="Tahoma" w:hAnsi="Tahoma" w:cs="Tahoma"/>
          <w:sz w:val="20"/>
          <w:szCs w:val="20"/>
        </w:rPr>
        <w:t>rationnelle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ressource,</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ministre</w:t>
      </w:r>
      <w:r w:rsidR="00DB1635" w:rsidRPr="00B004EE">
        <w:rPr>
          <w:rFonts w:ascii="Tahoma" w:hAnsi="Tahoma" w:cs="Tahoma"/>
          <w:sz w:val="20"/>
          <w:szCs w:val="20"/>
        </w:rPr>
        <w:t xml:space="preserve"> </w:t>
      </w:r>
      <w:r w:rsidRPr="00B004EE">
        <w:rPr>
          <w:rFonts w:ascii="Tahoma" w:hAnsi="Tahoma" w:cs="Tahoma"/>
          <w:sz w:val="20"/>
          <w:szCs w:val="20"/>
        </w:rPr>
        <w:t>chargé</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sz w:val="20"/>
          <w:szCs w:val="20"/>
        </w:rPr>
        <w:t xml:space="preserve"> </w:t>
      </w:r>
      <w:r w:rsidRPr="00B004EE">
        <w:rPr>
          <w:rFonts w:ascii="Tahoma" w:hAnsi="Tahoma" w:cs="Tahoma"/>
          <w:sz w:val="20"/>
          <w:szCs w:val="20"/>
        </w:rPr>
        <w:t>peut</w:t>
      </w:r>
      <w:r w:rsidR="00DB1635" w:rsidRPr="00B004EE">
        <w:rPr>
          <w:rFonts w:ascii="Tahoma" w:hAnsi="Tahoma" w:cs="Tahoma"/>
          <w:sz w:val="20"/>
          <w:szCs w:val="20"/>
        </w:rPr>
        <w:t xml:space="preserve"> </w:t>
      </w:r>
      <w:r w:rsidRPr="00B004EE">
        <w:rPr>
          <w:rFonts w:ascii="Tahoma" w:hAnsi="Tahoma" w:cs="Tahoma"/>
          <w:sz w:val="20"/>
          <w:szCs w:val="20"/>
        </w:rPr>
        <w:t>prendre,</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arrêté</w:t>
      </w:r>
      <w:r w:rsidR="00DB1635" w:rsidRPr="00B004EE">
        <w:rPr>
          <w:rFonts w:ascii="Tahoma" w:hAnsi="Tahoma" w:cs="Tahoma"/>
          <w:sz w:val="20"/>
          <w:szCs w:val="20"/>
        </w:rPr>
        <w:t xml:space="preserve"> </w:t>
      </w:r>
      <w:r w:rsidRPr="00B004EE">
        <w:rPr>
          <w:rFonts w:ascii="Tahoma" w:hAnsi="Tahoma" w:cs="Tahoma"/>
          <w:sz w:val="20"/>
          <w:szCs w:val="20"/>
        </w:rPr>
        <w:t>sur</w:t>
      </w:r>
      <w:r w:rsidR="00DB1635" w:rsidRPr="00B004EE">
        <w:rPr>
          <w:rFonts w:ascii="Tahoma" w:hAnsi="Tahoma" w:cs="Tahoma"/>
          <w:sz w:val="20"/>
          <w:szCs w:val="20"/>
        </w:rPr>
        <w:t xml:space="preserve"> </w:t>
      </w:r>
      <w:r w:rsidRPr="00B004EE">
        <w:rPr>
          <w:rFonts w:ascii="Tahoma" w:hAnsi="Tahoma" w:cs="Tahoma"/>
          <w:sz w:val="20"/>
          <w:szCs w:val="20"/>
        </w:rPr>
        <w:t>avis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l’institution</w:t>
      </w:r>
      <w:r w:rsidR="00DB1635" w:rsidRPr="00B004EE">
        <w:rPr>
          <w:rFonts w:ascii="Tahoma" w:hAnsi="Tahoma" w:cs="Tahoma"/>
          <w:sz w:val="20"/>
          <w:szCs w:val="20"/>
        </w:rPr>
        <w:t xml:space="preserve"> </w:t>
      </w:r>
      <w:r w:rsidRPr="00B004EE">
        <w:rPr>
          <w:rFonts w:ascii="Tahoma" w:hAnsi="Tahoma" w:cs="Tahoma"/>
          <w:sz w:val="20"/>
          <w:szCs w:val="20"/>
        </w:rPr>
        <w:t>nationale</w:t>
      </w:r>
      <w:r w:rsidR="00DB1635" w:rsidRPr="00B004EE">
        <w:rPr>
          <w:rFonts w:ascii="Tahoma" w:hAnsi="Tahoma" w:cs="Tahoma"/>
          <w:sz w:val="20"/>
          <w:szCs w:val="20"/>
        </w:rPr>
        <w:t xml:space="preserve"> </w:t>
      </w:r>
      <w:r w:rsidRPr="00B004EE">
        <w:rPr>
          <w:rFonts w:ascii="Tahoma" w:hAnsi="Tahoma" w:cs="Tahoma"/>
          <w:sz w:val="20"/>
          <w:szCs w:val="20"/>
        </w:rPr>
        <w:t>chargée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recherche</w:t>
      </w:r>
      <w:r w:rsidR="00DB1635" w:rsidRPr="00B004EE">
        <w:rPr>
          <w:rFonts w:ascii="Tahoma" w:hAnsi="Tahoma" w:cs="Tahoma"/>
          <w:sz w:val="20"/>
          <w:szCs w:val="20"/>
        </w:rPr>
        <w:t xml:space="preserve"> </w:t>
      </w:r>
      <w:r w:rsidRPr="00B004EE">
        <w:rPr>
          <w:rFonts w:ascii="Tahoma" w:hAnsi="Tahoma" w:cs="Tahoma"/>
          <w:sz w:val="20"/>
          <w:szCs w:val="20"/>
        </w:rPr>
        <w:t>océanographique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mesures</w:t>
      </w:r>
      <w:r w:rsidR="00DB1635" w:rsidRPr="00B004EE">
        <w:rPr>
          <w:rFonts w:ascii="Tahoma" w:hAnsi="Tahoma" w:cs="Tahoma"/>
          <w:sz w:val="20"/>
          <w:szCs w:val="20"/>
        </w:rPr>
        <w:t xml:space="preserve"> </w:t>
      </w:r>
      <w:r w:rsidRPr="00B004EE">
        <w:rPr>
          <w:rFonts w:ascii="Tahoma" w:hAnsi="Tahoma" w:cs="Tahoma"/>
          <w:sz w:val="20"/>
          <w:szCs w:val="20"/>
        </w:rPr>
        <w:t>complémentaires</w:t>
      </w:r>
      <w:r w:rsidR="00DB1635" w:rsidRPr="00B004EE">
        <w:rPr>
          <w:rFonts w:ascii="Tahoma" w:hAnsi="Tahoma" w:cs="Tahoma"/>
          <w:sz w:val="20"/>
          <w:szCs w:val="20"/>
        </w:rPr>
        <w:t xml:space="preserve"> </w:t>
      </w:r>
      <w:r w:rsidRPr="00B004EE">
        <w:rPr>
          <w:rFonts w:ascii="Tahoma" w:hAnsi="Tahoma" w:cs="Tahoma"/>
          <w:sz w:val="20"/>
          <w:szCs w:val="20"/>
        </w:rPr>
        <w:t>relatives</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prises</w:t>
      </w:r>
      <w:r w:rsidR="00DB1635" w:rsidRPr="00B004EE">
        <w:rPr>
          <w:rFonts w:ascii="Tahoma" w:hAnsi="Tahoma" w:cs="Tahoma"/>
          <w:sz w:val="20"/>
          <w:szCs w:val="20"/>
        </w:rPr>
        <w:t xml:space="preserve"> </w:t>
      </w:r>
      <w:r w:rsidRPr="00B004EE">
        <w:rPr>
          <w:rFonts w:ascii="Tahoma" w:hAnsi="Tahoma" w:cs="Tahoma"/>
          <w:sz w:val="20"/>
          <w:szCs w:val="20"/>
        </w:rPr>
        <w:t>accessoires.</w:t>
      </w:r>
      <w:r w:rsidR="00DB1635" w:rsidRPr="00B004EE">
        <w:rPr>
          <w:rFonts w:ascii="Tahoma" w:hAnsi="Tahoma" w:cs="Tahoma"/>
          <w:sz w:val="20"/>
          <w:szCs w:val="20"/>
        </w:rPr>
        <w:t xml:space="preserve"> </w:t>
      </w:r>
    </w:p>
    <w:p w14:paraId="46CAE5C7" w14:textId="76FEA4CC" w:rsidR="008518B0" w:rsidRPr="00B004EE" w:rsidRDefault="008518B0" w:rsidP="00B004EE">
      <w:pPr>
        <w:pStyle w:val="article"/>
        <w:numPr>
          <w:ilvl w:val="0"/>
          <w:numId w:val="0"/>
        </w:numPr>
        <w:tabs>
          <w:tab w:val="left" w:pos="1200"/>
        </w:tabs>
        <w:spacing w:before="0" w:line="240" w:lineRule="auto"/>
        <w:jc w:val="center"/>
        <w:rPr>
          <w:rFonts w:ascii="Tahoma" w:hAnsi="Tahoma" w:cs="Tahoma"/>
          <w:b/>
          <w:bCs/>
          <w:sz w:val="20"/>
          <w:szCs w:val="20"/>
        </w:rPr>
      </w:pPr>
      <w:r w:rsidRPr="00B004EE">
        <w:rPr>
          <w:rFonts w:ascii="Tahoma" w:hAnsi="Tahoma" w:cs="Tahoma"/>
          <w:b/>
          <w:bCs/>
          <w:sz w:val="20"/>
          <w:szCs w:val="20"/>
        </w:rPr>
        <w:t>Section</w:t>
      </w:r>
      <w:r w:rsidR="00DB1635" w:rsidRPr="00B004EE">
        <w:rPr>
          <w:rFonts w:ascii="Tahoma" w:hAnsi="Tahoma" w:cs="Tahoma"/>
          <w:b/>
          <w:bCs/>
          <w:sz w:val="20"/>
          <w:szCs w:val="20"/>
        </w:rPr>
        <w:t xml:space="preserve"> </w:t>
      </w:r>
      <w:r w:rsidR="00BD7C35" w:rsidRPr="00B004EE">
        <w:rPr>
          <w:rFonts w:ascii="Tahoma" w:hAnsi="Tahoma" w:cs="Tahoma"/>
          <w:b/>
          <w:bCs/>
          <w:sz w:val="20"/>
          <w:szCs w:val="20"/>
        </w:rPr>
        <w:t>V :</w:t>
      </w:r>
      <w:r w:rsidR="00DB1635" w:rsidRPr="00B004EE">
        <w:rPr>
          <w:rFonts w:ascii="Tahoma" w:hAnsi="Tahoma" w:cs="Tahoma"/>
          <w:b/>
          <w:bCs/>
          <w:sz w:val="20"/>
          <w:szCs w:val="20"/>
        </w:rPr>
        <w:t xml:space="preserve"> </w:t>
      </w:r>
      <w:r w:rsidRPr="00B004EE">
        <w:rPr>
          <w:rFonts w:ascii="Tahoma" w:hAnsi="Tahoma" w:cs="Tahoma"/>
          <w:b/>
          <w:bCs/>
          <w:sz w:val="20"/>
          <w:szCs w:val="20"/>
        </w:rPr>
        <w:t>Des</w:t>
      </w:r>
      <w:r w:rsidR="00DB1635" w:rsidRPr="00B004EE">
        <w:rPr>
          <w:rFonts w:ascii="Tahoma" w:hAnsi="Tahoma" w:cs="Tahoma"/>
          <w:b/>
          <w:bCs/>
          <w:sz w:val="20"/>
          <w:szCs w:val="20"/>
        </w:rPr>
        <w:t xml:space="preserve"> </w:t>
      </w:r>
      <w:r w:rsidRPr="00B004EE">
        <w:rPr>
          <w:rFonts w:ascii="Tahoma" w:hAnsi="Tahoma" w:cs="Tahoma"/>
          <w:b/>
          <w:bCs/>
          <w:sz w:val="20"/>
          <w:szCs w:val="20"/>
        </w:rPr>
        <w:t>zones</w:t>
      </w:r>
      <w:r w:rsidR="00DB1635" w:rsidRPr="00B004EE">
        <w:rPr>
          <w:rFonts w:ascii="Tahoma" w:hAnsi="Tahoma" w:cs="Tahoma"/>
          <w:b/>
          <w:bCs/>
          <w:sz w:val="20"/>
          <w:szCs w:val="20"/>
        </w:rPr>
        <w:t xml:space="preserve"> </w:t>
      </w:r>
      <w:r w:rsidRPr="00B004EE">
        <w:rPr>
          <w:rFonts w:ascii="Tahoma" w:hAnsi="Tahoma" w:cs="Tahoma"/>
          <w:b/>
          <w:bCs/>
          <w:sz w:val="20"/>
          <w:szCs w:val="20"/>
        </w:rPr>
        <w:t>de</w:t>
      </w:r>
      <w:r w:rsidR="00DB1635" w:rsidRPr="00B004EE">
        <w:rPr>
          <w:rFonts w:ascii="Tahoma" w:hAnsi="Tahoma" w:cs="Tahoma"/>
          <w:b/>
          <w:bCs/>
          <w:sz w:val="20"/>
          <w:szCs w:val="20"/>
        </w:rPr>
        <w:t xml:space="preserve"> </w:t>
      </w:r>
      <w:r w:rsidRPr="00B004EE">
        <w:rPr>
          <w:rFonts w:ascii="Tahoma" w:hAnsi="Tahoma" w:cs="Tahoma"/>
          <w:b/>
          <w:bCs/>
          <w:sz w:val="20"/>
          <w:szCs w:val="20"/>
        </w:rPr>
        <w:t>pêche</w:t>
      </w:r>
    </w:p>
    <w:p w14:paraId="70DDE299" w14:textId="77777777" w:rsidR="008518B0" w:rsidRPr="00B004EE" w:rsidRDefault="008518B0" w:rsidP="00B004EE">
      <w:pPr>
        <w:pStyle w:val="article"/>
        <w:numPr>
          <w:ilvl w:val="0"/>
          <w:numId w:val="0"/>
        </w:numPr>
        <w:tabs>
          <w:tab w:val="left" w:pos="1200"/>
        </w:tabs>
        <w:spacing w:before="0" w:line="240" w:lineRule="auto"/>
        <w:jc w:val="center"/>
        <w:rPr>
          <w:rFonts w:ascii="Tahoma" w:hAnsi="Tahoma" w:cs="Tahoma"/>
          <w:b/>
          <w:bCs/>
          <w:sz w:val="20"/>
          <w:szCs w:val="20"/>
        </w:rPr>
      </w:pPr>
    </w:p>
    <w:p w14:paraId="0B4B0996" w14:textId="34614190" w:rsidR="008518B0" w:rsidRPr="00B004EE" w:rsidRDefault="008518B0" w:rsidP="00B004EE">
      <w:pPr>
        <w:pStyle w:val="article"/>
        <w:numPr>
          <w:ilvl w:val="0"/>
          <w:numId w:val="0"/>
        </w:numPr>
        <w:tabs>
          <w:tab w:val="left" w:pos="1200"/>
        </w:tabs>
        <w:spacing w:before="0" w:line="240" w:lineRule="auto"/>
        <w:rPr>
          <w:rFonts w:ascii="Tahoma" w:hAnsi="Tahoma" w:cs="Tahoma"/>
          <w:sz w:val="20"/>
          <w:szCs w:val="20"/>
        </w:rPr>
      </w:pPr>
      <w:r w:rsidRPr="00B004EE">
        <w:rPr>
          <w:rFonts w:ascii="Tahoma" w:hAnsi="Tahoma" w:cs="Tahoma"/>
          <w:sz w:val="20"/>
          <w:szCs w:val="20"/>
        </w:rPr>
        <w:t>Article</w:t>
      </w:r>
      <w:r w:rsidR="00DB1635" w:rsidRPr="00B004EE">
        <w:rPr>
          <w:rFonts w:ascii="Tahoma" w:hAnsi="Tahoma" w:cs="Tahoma"/>
          <w:sz w:val="20"/>
          <w:szCs w:val="20"/>
        </w:rPr>
        <w:t xml:space="preserve"> </w:t>
      </w:r>
      <w:r w:rsidRPr="00B004EE">
        <w:rPr>
          <w:rFonts w:ascii="Tahoma" w:hAnsi="Tahoma" w:cs="Tahoma"/>
          <w:sz w:val="20"/>
          <w:szCs w:val="20"/>
        </w:rPr>
        <w:t>40</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zones</w:t>
      </w:r>
      <w:r w:rsidR="00DB1635" w:rsidRPr="00B004EE">
        <w:rPr>
          <w:rFonts w:ascii="Tahoma" w:hAnsi="Tahoma" w:cs="Tahoma"/>
          <w:sz w:val="20"/>
          <w:szCs w:val="20"/>
        </w:rPr>
        <w:t xml:space="preserve"> </w:t>
      </w:r>
      <w:r w:rsidRPr="00B004EE">
        <w:rPr>
          <w:rFonts w:ascii="Tahoma" w:hAnsi="Tahoma" w:cs="Tahoma"/>
          <w:sz w:val="20"/>
          <w:szCs w:val="20"/>
        </w:rPr>
        <w:t>où</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autorisée</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définies</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fonction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types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catégories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prévues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l’article</w:t>
      </w:r>
      <w:r w:rsidR="00DB1635" w:rsidRPr="00B004EE">
        <w:rPr>
          <w:rFonts w:ascii="Tahoma" w:hAnsi="Tahoma" w:cs="Tahoma"/>
          <w:sz w:val="20"/>
          <w:szCs w:val="20"/>
        </w:rPr>
        <w:t xml:space="preserve"> </w:t>
      </w:r>
      <w:r w:rsidRPr="00B004EE">
        <w:rPr>
          <w:rFonts w:ascii="Tahoma" w:hAnsi="Tahoma" w:cs="Tahoma"/>
          <w:sz w:val="20"/>
          <w:szCs w:val="20"/>
        </w:rPr>
        <w:t>13</w:t>
      </w:r>
      <w:r w:rsidR="00DB1635" w:rsidRPr="00B004EE">
        <w:rPr>
          <w:rFonts w:ascii="Tahoma" w:hAnsi="Tahoma" w:cs="Tahoma"/>
          <w:sz w:val="20"/>
          <w:szCs w:val="20"/>
        </w:rPr>
        <w:t xml:space="preserve"> </w:t>
      </w:r>
      <w:r w:rsidRPr="00B004EE">
        <w:rPr>
          <w:rFonts w:ascii="Tahoma" w:hAnsi="Tahoma" w:cs="Tahoma"/>
          <w:sz w:val="20"/>
          <w:szCs w:val="20"/>
        </w:rPr>
        <w:t>ci-dessus,</w:t>
      </w:r>
      <w:r w:rsidR="00DB1635" w:rsidRPr="00B004EE">
        <w:rPr>
          <w:rFonts w:ascii="Tahoma" w:hAnsi="Tahoma" w:cs="Tahoma"/>
          <w:sz w:val="20"/>
          <w:szCs w:val="20"/>
        </w:rPr>
        <w:t xml:space="preserve"> </w:t>
      </w:r>
      <w:r w:rsidRPr="00B004EE">
        <w:rPr>
          <w:rFonts w:ascii="Tahoma" w:hAnsi="Tahoma" w:cs="Tahoma"/>
          <w:sz w:val="20"/>
          <w:szCs w:val="20"/>
        </w:rPr>
        <w:t>conformément</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indications</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Tableau</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annexe</w:t>
      </w:r>
      <w:r w:rsidR="00DB1635" w:rsidRPr="00B004EE">
        <w:rPr>
          <w:rFonts w:ascii="Tahoma" w:hAnsi="Tahoma" w:cs="Tahoma"/>
          <w:sz w:val="20"/>
          <w:szCs w:val="20"/>
        </w:rPr>
        <w:t xml:space="preserve"> </w:t>
      </w:r>
      <w:r w:rsidRPr="00B004EE">
        <w:rPr>
          <w:rFonts w:ascii="Tahoma" w:hAnsi="Tahoma" w:cs="Tahoma"/>
          <w:sz w:val="20"/>
          <w:szCs w:val="20"/>
        </w:rPr>
        <w:t>I</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présent</w:t>
      </w:r>
      <w:r w:rsidR="00DB1635" w:rsidRPr="00B004EE">
        <w:rPr>
          <w:rFonts w:ascii="Tahoma" w:hAnsi="Tahoma" w:cs="Tahoma"/>
          <w:sz w:val="20"/>
          <w:szCs w:val="20"/>
        </w:rPr>
        <w:t xml:space="preserve"> </w:t>
      </w:r>
      <w:r w:rsidRPr="00B004EE">
        <w:rPr>
          <w:rFonts w:ascii="Tahoma" w:hAnsi="Tahoma" w:cs="Tahoma"/>
          <w:sz w:val="20"/>
          <w:szCs w:val="20"/>
        </w:rPr>
        <w:t>décret.</w:t>
      </w:r>
      <w:r w:rsidR="00DB1635" w:rsidRPr="00B004EE">
        <w:rPr>
          <w:rFonts w:ascii="Tahoma" w:hAnsi="Tahoma" w:cs="Tahoma"/>
          <w:sz w:val="20"/>
          <w:szCs w:val="20"/>
        </w:rPr>
        <w:t xml:space="preserve"> </w:t>
      </w:r>
      <w:r w:rsidRPr="00B004EE">
        <w:rPr>
          <w:rFonts w:ascii="Tahoma" w:hAnsi="Tahoma" w:cs="Tahoma"/>
          <w:sz w:val="20"/>
          <w:szCs w:val="20"/>
        </w:rPr>
        <w:t>Toutefois,</w:t>
      </w:r>
      <w:r w:rsidR="00DB1635" w:rsidRPr="00B004EE">
        <w:rPr>
          <w:rFonts w:ascii="Tahoma" w:hAnsi="Tahoma" w:cs="Tahoma"/>
          <w:sz w:val="20"/>
          <w:szCs w:val="20"/>
        </w:rPr>
        <w:t xml:space="preserve"> </w:t>
      </w:r>
      <w:r w:rsidRPr="00B004EE">
        <w:rPr>
          <w:rFonts w:ascii="Tahoma" w:hAnsi="Tahoma" w:cs="Tahoma"/>
          <w:sz w:val="20"/>
          <w:szCs w:val="20"/>
        </w:rPr>
        <w:t>ces</w:t>
      </w:r>
      <w:r w:rsidR="00DB1635" w:rsidRPr="00B004EE">
        <w:rPr>
          <w:rFonts w:ascii="Tahoma" w:hAnsi="Tahoma" w:cs="Tahoma"/>
          <w:sz w:val="20"/>
          <w:szCs w:val="20"/>
        </w:rPr>
        <w:t xml:space="preserve"> </w:t>
      </w:r>
      <w:r w:rsidRPr="00B004EE">
        <w:rPr>
          <w:rFonts w:ascii="Tahoma" w:hAnsi="Tahoma" w:cs="Tahoma"/>
          <w:sz w:val="20"/>
          <w:szCs w:val="20"/>
        </w:rPr>
        <w:t>zones</w:t>
      </w:r>
      <w:r w:rsidR="00DB1635" w:rsidRPr="00B004EE">
        <w:rPr>
          <w:rFonts w:ascii="Tahoma" w:hAnsi="Tahoma" w:cs="Tahoma"/>
          <w:sz w:val="20"/>
          <w:szCs w:val="20"/>
        </w:rPr>
        <w:t xml:space="preserve"> </w:t>
      </w:r>
      <w:r w:rsidRPr="00B004EE">
        <w:rPr>
          <w:rFonts w:ascii="Tahoma" w:hAnsi="Tahoma" w:cs="Tahoma"/>
          <w:sz w:val="20"/>
          <w:szCs w:val="20"/>
        </w:rPr>
        <w:t>peuvent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ajustées</w:t>
      </w:r>
      <w:r w:rsidR="00DB1635" w:rsidRPr="00B004EE">
        <w:rPr>
          <w:rFonts w:ascii="Tahoma" w:hAnsi="Tahoma" w:cs="Tahoma"/>
          <w:sz w:val="20"/>
          <w:szCs w:val="20"/>
        </w:rPr>
        <w:t xml:space="preserve"> </w:t>
      </w:r>
      <w:r w:rsidRPr="00B004EE">
        <w:rPr>
          <w:rFonts w:ascii="Tahoma" w:hAnsi="Tahoma" w:cs="Tahoma"/>
          <w:sz w:val="20"/>
          <w:szCs w:val="20"/>
        </w:rPr>
        <w:t>et/ou</w:t>
      </w:r>
      <w:r w:rsidR="00DB1635" w:rsidRPr="00B004EE">
        <w:rPr>
          <w:rFonts w:ascii="Tahoma" w:hAnsi="Tahoma" w:cs="Tahoma"/>
          <w:sz w:val="20"/>
          <w:szCs w:val="20"/>
        </w:rPr>
        <w:t xml:space="preserve"> </w:t>
      </w:r>
      <w:r w:rsidRPr="00B004EE">
        <w:rPr>
          <w:rFonts w:ascii="Tahoma" w:hAnsi="Tahoma" w:cs="Tahoma"/>
          <w:sz w:val="20"/>
          <w:szCs w:val="20"/>
        </w:rPr>
        <w:t>modifiées</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arrêté</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Ministre</w:t>
      </w:r>
      <w:r w:rsidR="00DB1635" w:rsidRPr="00B004EE">
        <w:rPr>
          <w:rFonts w:ascii="Tahoma" w:hAnsi="Tahoma" w:cs="Tahoma"/>
          <w:sz w:val="20"/>
          <w:szCs w:val="20"/>
        </w:rPr>
        <w:t xml:space="preserve"> </w:t>
      </w:r>
      <w:r w:rsidRPr="00B004EE">
        <w:rPr>
          <w:rFonts w:ascii="Tahoma" w:hAnsi="Tahoma" w:cs="Tahoma"/>
          <w:sz w:val="20"/>
          <w:szCs w:val="20"/>
        </w:rPr>
        <w:t>chargé</w:t>
      </w:r>
      <w:r w:rsidR="00DB1635" w:rsidRPr="00B004EE">
        <w:rPr>
          <w:rFonts w:ascii="Tahoma" w:hAnsi="Tahoma" w:cs="Tahoma"/>
          <w:sz w:val="20"/>
          <w:szCs w:val="20"/>
        </w:rPr>
        <w:t xml:space="preserve"> </w:t>
      </w:r>
      <w:r w:rsidR="00BD7C35" w:rsidRPr="00B004EE">
        <w:rPr>
          <w:rFonts w:ascii="Tahoma" w:hAnsi="Tahoma" w:cs="Tahoma"/>
          <w:sz w:val="20"/>
          <w:szCs w:val="20"/>
        </w:rPr>
        <w:t>des pêches</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fonction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objectifs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développement</w:t>
      </w:r>
      <w:r w:rsidR="00DB1635" w:rsidRPr="00B004EE">
        <w:rPr>
          <w:rFonts w:ascii="Tahoma" w:hAnsi="Tahoma" w:cs="Tahoma"/>
          <w:sz w:val="20"/>
          <w:szCs w:val="20"/>
        </w:rPr>
        <w:t xml:space="preserve"> </w:t>
      </w:r>
      <w:r w:rsidRPr="00B004EE">
        <w:rPr>
          <w:rFonts w:ascii="Tahoma" w:hAnsi="Tahoma" w:cs="Tahoma"/>
          <w:sz w:val="20"/>
          <w:szCs w:val="20"/>
        </w:rPr>
        <w:t>économiques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sous</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contrainte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préservation</w:t>
      </w:r>
      <w:r w:rsidR="00DB1635" w:rsidRPr="00B004EE">
        <w:rPr>
          <w:rFonts w:ascii="Tahoma" w:hAnsi="Tahoma" w:cs="Tahoma"/>
          <w:sz w:val="20"/>
          <w:szCs w:val="20"/>
        </w:rPr>
        <w:t xml:space="preserve"> </w:t>
      </w:r>
      <w:r w:rsidR="00BD7C35" w:rsidRPr="00B004EE">
        <w:rPr>
          <w:rFonts w:ascii="Tahoma" w:hAnsi="Tahoma" w:cs="Tahoma"/>
          <w:sz w:val="20"/>
          <w:szCs w:val="20"/>
        </w:rPr>
        <w:t>de la ressource.</w:t>
      </w:r>
      <w:r w:rsidR="00DB1635" w:rsidRPr="00B004EE">
        <w:rPr>
          <w:rFonts w:ascii="Tahoma" w:hAnsi="Tahoma" w:cs="Tahoma"/>
          <w:sz w:val="20"/>
          <w:szCs w:val="20"/>
        </w:rPr>
        <w:t xml:space="preserve"> </w:t>
      </w:r>
    </w:p>
    <w:p w14:paraId="58BB78A9" w14:textId="327DA34A" w:rsidR="008518B0" w:rsidRPr="00B004EE" w:rsidRDefault="00DB1635" w:rsidP="00B004EE">
      <w:pPr>
        <w:pStyle w:val="article"/>
        <w:numPr>
          <w:ilvl w:val="0"/>
          <w:numId w:val="0"/>
        </w:numPr>
        <w:tabs>
          <w:tab w:val="left" w:pos="1200"/>
        </w:tabs>
        <w:spacing w:before="0" w:line="240" w:lineRule="auto"/>
        <w:rPr>
          <w:rFonts w:ascii="Tahoma" w:hAnsi="Tahoma" w:cs="Tahoma"/>
          <w:sz w:val="20"/>
          <w:szCs w:val="20"/>
        </w:rPr>
      </w:pPr>
      <w:r w:rsidRPr="00B004EE">
        <w:rPr>
          <w:rFonts w:ascii="Tahoma" w:hAnsi="Tahoma" w:cs="Tahoma"/>
          <w:sz w:val="20"/>
          <w:szCs w:val="20"/>
        </w:rPr>
        <w:t xml:space="preserve"> </w:t>
      </w:r>
    </w:p>
    <w:p w14:paraId="2B10DBF0" w14:textId="4CA862F0" w:rsidR="008518B0" w:rsidRPr="00B004EE" w:rsidRDefault="008518B0" w:rsidP="00B004EE">
      <w:pPr>
        <w:pStyle w:val="article"/>
        <w:numPr>
          <w:ilvl w:val="0"/>
          <w:numId w:val="0"/>
        </w:numPr>
        <w:tabs>
          <w:tab w:val="left" w:pos="1200"/>
        </w:tabs>
        <w:spacing w:before="0" w:line="240" w:lineRule="auto"/>
        <w:rPr>
          <w:rFonts w:ascii="Tahoma" w:hAnsi="Tahoma" w:cs="Tahoma"/>
          <w:sz w:val="20"/>
          <w:szCs w:val="20"/>
        </w:rPr>
      </w:pPr>
      <w:r w:rsidRPr="00B004EE">
        <w:rPr>
          <w:rFonts w:ascii="Tahoma" w:hAnsi="Tahoma" w:cs="Tahoma"/>
          <w:sz w:val="20"/>
          <w:szCs w:val="20"/>
        </w:rPr>
        <w:t>Article</w:t>
      </w:r>
      <w:r w:rsidR="00DB1635" w:rsidRPr="00B004EE">
        <w:rPr>
          <w:rFonts w:ascii="Tahoma" w:hAnsi="Tahoma" w:cs="Tahoma"/>
          <w:sz w:val="20"/>
          <w:szCs w:val="20"/>
        </w:rPr>
        <w:t xml:space="preserve"> </w:t>
      </w:r>
      <w:r w:rsidRPr="00B004EE">
        <w:rPr>
          <w:rFonts w:ascii="Tahoma" w:hAnsi="Tahoma" w:cs="Tahoma"/>
          <w:sz w:val="20"/>
          <w:szCs w:val="20"/>
        </w:rPr>
        <w:t>41</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Sans</w:t>
      </w:r>
      <w:r w:rsidR="00DB1635" w:rsidRPr="00B004EE">
        <w:rPr>
          <w:rFonts w:ascii="Tahoma" w:hAnsi="Tahoma" w:cs="Tahoma"/>
          <w:sz w:val="20"/>
          <w:szCs w:val="20"/>
        </w:rPr>
        <w:t xml:space="preserve"> </w:t>
      </w:r>
      <w:r w:rsidRPr="00B004EE">
        <w:rPr>
          <w:rFonts w:ascii="Tahoma" w:hAnsi="Tahoma" w:cs="Tahoma"/>
          <w:sz w:val="20"/>
          <w:szCs w:val="20"/>
        </w:rPr>
        <w:t>préjudice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dispositions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l’article</w:t>
      </w:r>
      <w:r w:rsidR="00DB1635" w:rsidRPr="00B004EE">
        <w:rPr>
          <w:rFonts w:ascii="Tahoma" w:hAnsi="Tahoma" w:cs="Tahoma"/>
          <w:sz w:val="20"/>
          <w:szCs w:val="20"/>
        </w:rPr>
        <w:t xml:space="preserve"> </w:t>
      </w:r>
      <w:r w:rsidRPr="00B004EE">
        <w:rPr>
          <w:rFonts w:ascii="Tahoma" w:hAnsi="Tahoma" w:cs="Tahoma"/>
          <w:sz w:val="20"/>
          <w:szCs w:val="20"/>
        </w:rPr>
        <w:t>40</w:t>
      </w:r>
      <w:r w:rsidR="00DB1635" w:rsidRPr="00B004EE">
        <w:rPr>
          <w:rFonts w:ascii="Tahoma" w:hAnsi="Tahoma" w:cs="Tahoma"/>
          <w:sz w:val="20"/>
          <w:szCs w:val="20"/>
        </w:rPr>
        <w:t xml:space="preserve"> </w:t>
      </w:r>
      <w:r w:rsidRPr="00B004EE">
        <w:rPr>
          <w:rFonts w:ascii="Tahoma" w:hAnsi="Tahoma" w:cs="Tahoma"/>
          <w:sz w:val="20"/>
          <w:szCs w:val="20"/>
        </w:rPr>
        <w:t>ci-dessus,</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interdites</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p>
    <w:p w14:paraId="40D25949" w14:textId="454169B3" w:rsidR="008518B0" w:rsidRPr="00B004EE" w:rsidRDefault="008518B0" w:rsidP="00420DDA">
      <w:pPr>
        <w:numPr>
          <w:ilvl w:val="0"/>
          <w:numId w:val="52"/>
        </w:numPr>
        <w:tabs>
          <w:tab w:val="clear" w:pos="1069"/>
          <w:tab w:val="num" w:pos="851"/>
        </w:tabs>
        <w:ind w:left="850" w:hanging="425"/>
        <w:jc w:val="both"/>
        <w:rPr>
          <w:rFonts w:ascii="Tahoma" w:hAnsi="Tahoma" w:cs="Tahoma"/>
          <w:sz w:val="20"/>
          <w:szCs w:val="20"/>
        </w:rPr>
      </w:pPr>
      <w:proofErr w:type="gramStart"/>
      <w:r w:rsidRPr="00B004EE">
        <w:rPr>
          <w:rFonts w:ascii="Tahoma" w:hAnsi="Tahoma" w:cs="Tahoma"/>
          <w:sz w:val="20"/>
          <w:szCs w:val="20"/>
        </w:rPr>
        <w:lastRenderedPageBreak/>
        <w:t>toutes</w:t>
      </w:r>
      <w:proofErr w:type="gramEnd"/>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activités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commerciale,</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plan</w:t>
      </w:r>
      <w:r w:rsidR="00DB1635" w:rsidRPr="00B004EE">
        <w:rPr>
          <w:rFonts w:ascii="Tahoma" w:hAnsi="Tahoma" w:cs="Tahoma"/>
          <w:sz w:val="20"/>
          <w:szCs w:val="20"/>
        </w:rPr>
        <w:t xml:space="preserve"> </w:t>
      </w:r>
      <w:r w:rsidRPr="00B004EE">
        <w:rPr>
          <w:rFonts w:ascii="Tahoma" w:hAnsi="Tahoma" w:cs="Tahoma"/>
          <w:sz w:val="20"/>
          <w:szCs w:val="20"/>
        </w:rPr>
        <w:t>d'eau</w:t>
      </w:r>
      <w:r w:rsidR="00DB1635" w:rsidRPr="00B004EE">
        <w:rPr>
          <w:rFonts w:ascii="Tahoma" w:hAnsi="Tahoma" w:cs="Tahoma"/>
          <w:sz w:val="20"/>
          <w:szCs w:val="20"/>
        </w:rPr>
        <w:t xml:space="preserve"> </w:t>
      </w:r>
      <w:r w:rsidRPr="00B004EE">
        <w:rPr>
          <w:rFonts w:ascii="Tahoma" w:hAnsi="Tahoma" w:cs="Tahoma"/>
          <w:sz w:val="20"/>
          <w:szCs w:val="20"/>
        </w:rPr>
        <w:t>délimité</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cercle</w:t>
      </w:r>
      <w:r w:rsidR="00DB1635" w:rsidRPr="00B004EE">
        <w:rPr>
          <w:rFonts w:ascii="Tahoma" w:hAnsi="Tahoma" w:cs="Tahoma"/>
          <w:sz w:val="20"/>
          <w:szCs w:val="20"/>
        </w:rPr>
        <w:t xml:space="preserve"> </w:t>
      </w:r>
      <w:r w:rsidRPr="00B004EE">
        <w:rPr>
          <w:rFonts w:ascii="Tahoma" w:hAnsi="Tahoma" w:cs="Tahoma"/>
          <w:sz w:val="20"/>
          <w:szCs w:val="20"/>
        </w:rPr>
        <w:t>d'un</w:t>
      </w:r>
      <w:r w:rsidR="00DB1635" w:rsidRPr="00B004EE">
        <w:rPr>
          <w:rFonts w:ascii="Tahoma" w:hAnsi="Tahoma" w:cs="Tahoma"/>
          <w:sz w:val="20"/>
          <w:szCs w:val="20"/>
        </w:rPr>
        <w:t xml:space="preserve"> </w:t>
      </w:r>
      <w:r w:rsidRPr="00B004EE">
        <w:rPr>
          <w:rFonts w:ascii="Tahoma" w:hAnsi="Tahoma" w:cs="Tahoma"/>
          <w:sz w:val="20"/>
          <w:szCs w:val="20"/>
        </w:rPr>
        <w:t>mille</w:t>
      </w:r>
      <w:r w:rsidR="00DB1635" w:rsidRPr="00B004EE">
        <w:rPr>
          <w:rFonts w:ascii="Tahoma" w:hAnsi="Tahoma" w:cs="Tahoma"/>
          <w:sz w:val="20"/>
          <w:szCs w:val="20"/>
        </w:rPr>
        <w:t xml:space="preserve"> </w:t>
      </w:r>
      <w:r w:rsidRPr="00B004EE">
        <w:rPr>
          <w:rFonts w:ascii="Tahoma" w:hAnsi="Tahoma" w:cs="Tahoma"/>
          <w:sz w:val="20"/>
          <w:szCs w:val="20"/>
        </w:rPr>
        <w:t>nautique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rayon</w:t>
      </w:r>
      <w:r w:rsidR="00DB1635" w:rsidRPr="00B004EE">
        <w:rPr>
          <w:rFonts w:ascii="Tahoma" w:hAnsi="Tahoma" w:cs="Tahoma"/>
          <w:sz w:val="20"/>
          <w:szCs w:val="20"/>
        </w:rPr>
        <w:t xml:space="preserve"> </w:t>
      </w:r>
      <w:r w:rsidRPr="00B004EE">
        <w:rPr>
          <w:rFonts w:ascii="Tahoma" w:hAnsi="Tahoma" w:cs="Tahoma"/>
          <w:sz w:val="20"/>
          <w:szCs w:val="20"/>
        </w:rPr>
        <w:t>dont</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centre</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milieu</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front</w:t>
      </w:r>
      <w:r w:rsidR="00DB1635" w:rsidRPr="00B004EE">
        <w:rPr>
          <w:rFonts w:ascii="Tahoma" w:hAnsi="Tahoma" w:cs="Tahoma"/>
          <w:sz w:val="20"/>
          <w:szCs w:val="20"/>
        </w:rPr>
        <w:t xml:space="preserve"> </w:t>
      </w:r>
      <w:r w:rsidRPr="00B004EE">
        <w:rPr>
          <w:rFonts w:ascii="Tahoma" w:hAnsi="Tahoma" w:cs="Tahoma"/>
          <w:sz w:val="20"/>
          <w:szCs w:val="20"/>
        </w:rPr>
        <w:t>d'accostage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l'ouvrage</w:t>
      </w:r>
      <w:r w:rsidR="00DB1635" w:rsidRPr="00B004EE">
        <w:rPr>
          <w:rFonts w:ascii="Tahoma" w:hAnsi="Tahoma" w:cs="Tahoma"/>
          <w:sz w:val="20"/>
          <w:szCs w:val="20"/>
        </w:rPr>
        <w:t xml:space="preserve"> </w:t>
      </w:r>
      <w:r w:rsidRPr="00B004EE">
        <w:rPr>
          <w:rFonts w:ascii="Tahoma" w:hAnsi="Tahoma" w:cs="Tahoma"/>
          <w:sz w:val="20"/>
          <w:szCs w:val="20"/>
        </w:rPr>
        <w:t>portuaire</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Point-</w:t>
      </w:r>
      <w:r w:rsidR="00DB1635" w:rsidRPr="00B004EE">
        <w:rPr>
          <w:rFonts w:ascii="Tahoma" w:hAnsi="Tahoma" w:cs="Tahoma"/>
          <w:sz w:val="20"/>
          <w:szCs w:val="20"/>
        </w:rPr>
        <w:t xml:space="preserve"> </w:t>
      </w:r>
      <w:r w:rsidRPr="00B004EE">
        <w:rPr>
          <w:rFonts w:ascii="Tahoma" w:hAnsi="Tahoma" w:cs="Tahoma"/>
          <w:sz w:val="20"/>
          <w:szCs w:val="20"/>
        </w:rPr>
        <w:t>Central</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Nouadhibou</w:t>
      </w:r>
      <w:r w:rsidR="00DB1635" w:rsidRPr="00B004EE">
        <w:rPr>
          <w:rFonts w:ascii="Tahoma" w:hAnsi="Tahoma" w:cs="Tahoma"/>
          <w:sz w:val="20"/>
          <w:szCs w:val="20"/>
        </w:rPr>
        <w:t xml:space="preserve"> </w:t>
      </w:r>
      <w:r w:rsidRPr="00B004EE">
        <w:rPr>
          <w:rFonts w:ascii="Tahoma" w:hAnsi="Tahoma" w:cs="Tahoma"/>
          <w:sz w:val="20"/>
          <w:szCs w:val="20"/>
        </w:rPr>
        <w:t>;</w:t>
      </w:r>
    </w:p>
    <w:p w14:paraId="60B809DA" w14:textId="7248C9C6" w:rsidR="008518B0" w:rsidRPr="00B004EE" w:rsidRDefault="008518B0" w:rsidP="00420DDA">
      <w:pPr>
        <w:pStyle w:val="Retraitcorpsdetexte3"/>
        <w:numPr>
          <w:ilvl w:val="0"/>
          <w:numId w:val="52"/>
        </w:numPr>
        <w:tabs>
          <w:tab w:val="clear" w:pos="1069"/>
          <w:tab w:val="num" w:pos="851"/>
        </w:tabs>
        <w:ind w:left="850" w:hanging="425"/>
        <w:rPr>
          <w:rFonts w:ascii="Tahoma" w:hAnsi="Tahoma" w:cs="Tahoma"/>
          <w:sz w:val="20"/>
          <w:szCs w:val="20"/>
        </w:rPr>
      </w:pPr>
      <w:proofErr w:type="gramStart"/>
      <w:r w:rsidRPr="00B004EE">
        <w:rPr>
          <w:rFonts w:ascii="Tahoma" w:hAnsi="Tahoma" w:cs="Tahoma"/>
          <w:sz w:val="20"/>
          <w:szCs w:val="20"/>
        </w:rPr>
        <w:t>toutes</w:t>
      </w:r>
      <w:proofErr w:type="gramEnd"/>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activités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commerciale,</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chenaux</w:t>
      </w:r>
      <w:r w:rsidR="00DB1635" w:rsidRPr="00B004EE">
        <w:rPr>
          <w:rFonts w:ascii="Tahoma" w:hAnsi="Tahoma" w:cs="Tahoma"/>
          <w:sz w:val="20"/>
          <w:szCs w:val="20"/>
        </w:rPr>
        <w:t xml:space="preserve"> </w:t>
      </w:r>
      <w:r w:rsidRPr="00B004EE">
        <w:rPr>
          <w:rFonts w:ascii="Tahoma" w:hAnsi="Tahoma" w:cs="Tahoma"/>
          <w:sz w:val="20"/>
          <w:szCs w:val="20"/>
        </w:rPr>
        <w:t>d'accès</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sur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installations</w:t>
      </w:r>
      <w:r w:rsidR="00DB1635" w:rsidRPr="00B004EE">
        <w:rPr>
          <w:rFonts w:ascii="Tahoma" w:hAnsi="Tahoma" w:cs="Tahoma"/>
          <w:sz w:val="20"/>
          <w:szCs w:val="20"/>
        </w:rPr>
        <w:t xml:space="preserve"> </w:t>
      </w:r>
      <w:r w:rsidRPr="00B004EE">
        <w:rPr>
          <w:rFonts w:ascii="Tahoma" w:hAnsi="Tahoma" w:cs="Tahoma"/>
          <w:sz w:val="20"/>
          <w:szCs w:val="20"/>
        </w:rPr>
        <w:t>portuaires</w:t>
      </w:r>
      <w:r w:rsidR="00DB1635" w:rsidRPr="00B004EE">
        <w:rPr>
          <w:rFonts w:ascii="Tahoma" w:hAnsi="Tahoma" w:cs="Tahoma"/>
          <w:sz w:val="20"/>
          <w:szCs w:val="20"/>
        </w:rPr>
        <w:t xml:space="preserve"> </w:t>
      </w:r>
      <w:r w:rsidRPr="00B004EE">
        <w:rPr>
          <w:rFonts w:ascii="Tahoma" w:hAnsi="Tahoma" w:cs="Tahoma"/>
          <w:sz w:val="20"/>
          <w:szCs w:val="20"/>
        </w:rPr>
        <w:t>;</w:t>
      </w:r>
    </w:p>
    <w:p w14:paraId="0F5EE337" w14:textId="437ACA90" w:rsidR="008518B0" w:rsidRPr="00B004EE" w:rsidRDefault="008518B0" w:rsidP="00420DDA">
      <w:pPr>
        <w:pStyle w:val="Retraitcorpsdetexte"/>
        <w:numPr>
          <w:ilvl w:val="0"/>
          <w:numId w:val="52"/>
        </w:numPr>
        <w:tabs>
          <w:tab w:val="clear" w:pos="1069"/>
          <w:tab w:val="left" w:pos="0"/>
          <w:tab w:val="num" w:pos="851"/>
        </w:tabs>
        <w:autoSpaceDE/>
        <w:autoSpaceDN/>
        <w:adjustRightInd/>
        <w:ind w:left="850" w:hanging="425"/>
        <w:rPr>
          <w:rFonts w:ascii="Tahoma" w:hAnsi="Tahoma" w:cs="Tahoma"/>
          <w:bCs/>
          <w:sz w:val="20"/>
          <w:szCs w:val="20"/>
        </w:rPr>
      </w:pPr>
      <w:proofErr w:type="gramStart"/>
      <w:r w:rsidRPr="00B004EE">
        <w:rPr>
          <w:rFonts w:ascii="Tahoma" w:hAnsi="Tahoma" w:cs="Tahoma"/>
          <w:bCs/>
          <w:sz w:val="20"/>
          <w:szCs w:val="20"/>
        </w:rPr>
        <w:t>toutes</w:t>
      </w:r>
      <w:proofErr w:type="gramEnd"/>
      <w:r w:rsidR="00DB1635" w:rsidRPr="00B004EE">
        <w:rPr>
          <w:rFonts w:ascii="Tahoma" w:hAnsi="Tahoma" w:cs="Tahoma"/>
          <w:bCs/>
          <w:sz w:val="20"/>
          <w:szCs w:val="20"/>
        </w:rPr>
        <w:t xml:space="preserve"> </w:t>
      </w:r>
      <w:r w:rsidRPr="00B004EE">
        <w:rPr>
          <w:rFonts w:ascii="Tahoma" w:hAnsi="Tahoma" w:cs="Tahoma"/>
          <w:bCs/>
          <w:sz w:val="20"/>
          <w:szCs w:val="20"/>
        </w:rPr>
        <w:t>les</w:t>
      </w:r>
      <w:r w:rsidR="00DB1635" w:rsidRPr="00B004EE">
        <w:rPr>
          <w:rFonts w:ascii="Tahoma" w:hAnsi="Tahoma" w:cs="Tahoma"/>
          <w:bCs/>
          <w:sz w:val="20"/>
          <w:szCs w:val="20"/>
        </w:rPr>
        <w:t xml:space="preserve"> </w:t>
      </w:r>
      <w:r w:rsidRPr="00B004EE">
        <w:rPr>
          <w:rFonts w:ascii="Tahoma" w:hAnsi="Tahoma" w:cs="Tahoma"/>
          <w:bCs/>
          <w:sz w:val="20"/>
          <w:szCs w:val="20"/>
        </w:rPr>
        <w:t>activités</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pêche</w:t>
      </w:r>
      <w:r w:rsidR="00DB1635" w:rsidRPr="00B004EE">
        <w:rPr>
          <w:rFonts w:ascii="Tahoma" w:hAnsi="Tahoma" w:cs="Tahoma"/>
          <w:bCs/>
          <w:sz w:val="20"/>
          <w:szCs w:val="20"/>
        </w:rPr>
        <w:t xml:space="preserve"> </w:t>
      </w:r>
      <w:r w:rsidRPr="00B004EE">
        <w:rPr>
          <w:rFonts w:ascii="Tahoma" w:hAnsi="Tahoma" w:cs="Tahoma"/>
          <w:bCs/>
          <w:sz w:val="20"/>
          <w:szCs w:val="20"/>
        </w:rPr>
        <w:t>commerciale,</w:t>
      </w:r>
      <w:r w:rsidR="00DB1635" w:rsidRPr="00B004EE">
        <w:rPr>
          <w:rFonts w:ascii="Tahoma" w:hAnsi="Tahoma" w:cs="Tahoma"/>
          <w:bCs/>
          <w:sz w:val="20"/>
          <w:szCs w:val="20"/>
        </w:rPr>
        <w:t xml:space="preserve"> </w:t>
      </w:r>
      <w:r w:rsidRPr="00B004EE">
        <w:rPr>
          <w:rFonts w:ascii="Tahoma" w:hAnsi="Tahoma" w:cs="Tahoma"/>
          <w:bCs/>
          <w:sz w:val="20"/>
          <w:szCs w:val="20"/>
        </w:rPr>
        <w:t>à</w:t>
      </w:r>
      <w:r w:rsidR="00DB1635" w:rsidRPr="00B004EE">
        <w:rPr>
          <w:rFonts w:ascii="Tahoma" w:hAnsi="Tahoma" w:cs="Tahoma"/>
          <w:bCs/>
          <w:sz w:val="20"/>
          <w:szCs w:val="20"/>
        </w:rPr>
        <w:t xml:space="preserve"> </w:t>
      </w:r>
      <w:r w:rsidRPr="00B004EE">
        <w:rPr>
          <w:rFonts w:ascii="Tahoma" w:hAnsi="Tahoma" w:cs="Tahoma"/>
          <w:bCs/>
          <w:sz w:val="20"/>
          <w:szCs w:val="20"/>
        </w:rPr>
        <w:t>l'intérieur</w:t>
      </w:r>
      <w:r w:rsidR="00DB1635" w:rsidRPr="00B004EE">
        <w:rPr>
          <w:rFonts w:ascii="Tahoma" w:hAnsi="Tahoma" w:cs="Tahoma"/>
          <w:bCs/>
          <w:sz w:val="20"/>
          <w:szCs w:val="20"/>
        </w:rPr>
        <w:t xml:space="preserve"> </w:t>
      </w:r>
      <w:r w:rsidRPr="00B004EE">
        <w:rPr>
          <w:rFonts w:ascii="Tahoma" w:hAnsi="Tahoma" w:cs="Tahoma"/>
          <w:bCs/>
          <w:sz w:val="20"/>
          <w:szCs w:val="20"/>
        </w:rPr>
        <w:t>du</w:t>
      </w:r>
      <w:r w:rsidR="00DB1635" w:rsidRPr="00B004EE">
        <w:rPr>
          <w:rFonts w:ascii="Tahoma" w:hAnsi="Tahoma" w:cs="Tahoma"/>
          <w:bCs/>
          <w:sz w:val="20"/>
          <w:szCs w:val="20"/>
        </w:rPr>
        <w:t xml:space="preserve"> </w:t>
      </w:r>
      <w:r w:rsidRPr="00B004EE">
        <w:rPr>
          <w:rFonts w:ascii="Tahoma" w:hAnsi="Tahoma" w:cs="Tahoma"/>
          <w:bCs/>
          <w:sz w:val="20"/>
          <w:szCs w:val="20"/>
        </w:rPr>
        <w:t>périmètre</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protection</w:t>
      </w:r>
      <w:r w:rsidR="00DB1635" w:rsidRPr="00B004EE">
        <w:rPr>
          <w:rFonts w:ascii="Tahoma" w:hAnsi="Tahoma" w:cs="Tahoma"/>
          <w:bCs/>
          <w:sz w:val="20"/>
          <w:szCs w:val="20"/>
        </w:rPr>
        <w:t xml:space="preserve"> </w:t>
      </w:r>
      <w:r w:rsidRPr="00B004EE">
        <w:rPr>
          <w:rFonts w:ascii="Tahoma" w:hAnsi="Tahoma" w:cs="Tahoma"/>
          <w:bCs/>
          <w:sz w:val="20"/>
          <w:szCs w:val="20"/>
        </w:rPr>
        <w:t>délimité</w:t>
      </w:r>
      <w:r w:rsidR="00DB1635" w:rsidRPr="00B004EE">
        <w:rPr>
          <w:rFonts w:ascii="Tahoma" w:hAnsi="Tahoma" w:cs="Tahoma"/>
          <w:bCs/>
          <w:sz w:val="20"/>
          <w:szCs w:val="20"/>
        </w:rPr>
        <w:t xml:space="preserve"> </w:t>
      </w:r>
      <w:r w:rsidRPr="00B004EE">
        <w:rPr>
          <w:rFonts w:ascii="Tahoma" w:hAnsi="Tahoma" w:cs="Tahoma"/>
          <w:bCs/>
          <w:sz w:val="20"/>
          <w:szCs w:val="20"/>
        </w:rPr>
        <w:t>par</w:t>
      </w:r>
      <w:r w:rsidR="00DB1635" w:rsidRPr="00B004EE">
        <w:rPr>
          <w:rFonts w:ascii="Tahoma" w:hAnsi="Tahoma" w:cs="Tahoma"/>
          <w:bCs/>
          <w:sz w:val="20"/>
          <w:szCs w:val="20"/>
        </w:rPr>
        <w:t xml:space="preserve"> </w:t>
      </w:r>
      <w:r w:rsidRPr="00B004EE">
        <w:rPr>
          <w:rFonts w:ascii="Tahoma" w:hAnsi="Tahoma" w:cs="Tahoma"/>
          <w:bCs/>
          <w:sz w:val="20"/>
          <w:szCs w:val="20"/>
        </w:rPr>
        <w:t>le</w:t>
      </w:r>
      <w:r w:rsidR="00DB1635" w:rsidRPr="00B004EE">
        <w:rPr>
          <w:rFonts w:ascii="Tahoma" w:hAnsi="Tahoma" w:cs="Tahoma"/>
          <w:bCs/>
          <w:sz w:val="20"/>
          <w:szCs w:val="20"/>
        </w:rPr>
        <w:t xml:space="preserve"> </w:t>
      </w:r>
      <w:r w:rsidRPr="00B004EE">
        <w:rPr>
          <w:rFonts w:ascii="Tahoma" w:hAnsi="Tahoma" w:cs="Tahoma"/>
          <w:bCs/>
          <w:sz w:val="20"/>
          <w:szCs w:val="20"/>
        </w:rPr>
        <w:t>décret</w:t>
      </w:r>
      <w:r w:rsidR="00DB1635" w:rsidRPr="00B004EE">
        <w:rPr>
          <w:rFonts w:ascii="Tahoma" w:hAnsi="Tahoma" w:cs="Tahoma"/>
          <w:bCs/>
          <w:sz w:val="20"/>
          <w:szCs w:val="20"/>
        </w:rPr>
        <w:t xml:space="preserve"> </w:t>
      </w:r>
      <w:r w:rsidRPr="00B004EE">
        <w:rPr>
          <w:rFonts w:ascii="Tahoma" w:hAnsi="Tahoma" w:cs="Tahoma"/>
          <w:bCs/>
          <w:sz w:val="20"/>
          <w:szCs w:val="20"/>
        </w:rPr>
        <w:t>n°</w:t>
      </w:r>
      <w:r w:rsidR="00DB1635" w:rsidRPr="00B004EE">
        <w:rPr>
          <w:rFonts w:ascii="Tahoma" w:hAnsi="Tahoma" w:cs="Tahoma"/>
          <w:bCs/>
          <w:sz w:val="20"/>
          <w:szCs w:val="20"/>
        </w:rPr>
        <w:t xml:space="preserve"> </w:t>
      </w:r>
      <w:r w:rsidRPr="00B004EE">
        <w:rPr>
          <w:rFonts w:ascii="Tahoma" w:hAnsi="Tahoma" w:cs="Tahoma"/>
          <w:bCs/>
          <w:sz w:val="20"/>
          <w:szCs w:val="20"/>
        </w:rPr>
        <w:t>86.060</w:t>
      </w:r>
      <w:r w:rsidR="00DB1635" w:rsidRPr="00B004EE">
        <w:rPr>
          <w:rFonts w:ascii="Tahoma" w:hAnsi="Tahoma" w:cs="Tahoma"/>
          <w:bCs/>
          <w:sz w:val="20"/>
          <w:szCs w:val="20"/>
        </w:rPr>
        <w:t xml:space="preserve"> </w:t>
      </w:r>
      <w:r w:rsidRPr="00B004EE">
        <w:rPr>
          <w:rFonts w:ascii="Tahoma" w:hAnsi="Tahoma" w:cs="Tahoma"/>
          <w:bCs/>
          <w:sz w:val="20"/>
          <w:szCs w:val="20"/>
        </w:rPr>
        <w:t>du</w:t>
      </w:r>
      <w:r w:rsidR="00DB1635" w:rsidRPr="00B004EE">
        <w:rPr>
          <w:rFonts w:ascii="Tahoma" w:hAnsi="Tahoma" w:cs="Tahoma"/>
          <w:bCs/>
          <w:sz w:val="20"/>
          <w:szCs w:val="20"/>
        </w:rPr>
        <w:t xml:space="preserve"> </w:t>
      </w:r>
      <w:r w:rsidRPr="00B004EE">
        <w:rPr>
          <w:rFonts w:ascii="Tahoma" w:hAnsi="Tahoma" w:cs="Tahoma"/>
          <w:bCs/>
          <w:sz w:val="20"/>
          <w:szCs w:val="20"/>
        </w:rPr>
        <w:t>2</w:t>
      </w:r>
      <w:r w:rsidR="00DB1635" w:rsidRPr="00B004EE">
        <w:rPr>
          <w:rFonts w:ascii="Tahoma" w:hAnsi="Tahoma" w:cs="Tahoma"/>
          <w:bCs/>
          <w:sz w:val="20"/>
          <w:szCs w:val="20"/>
        </w:rPr>
        <w:t xml:space="preserve"> </w:t>
      </w:r>
      <w:r w:rsidRPr="00B004EE">
        <w:rPr>
          <w:rFonts w:ascii="Tahoma" w:hAnsi="Tahoma" w:cs="Tahoma"/>
          <w:bCs/>
          <w:sz w:val="20"/>
          <w:szCs w:val="20"/>
        </w:rPr>
        <w:t>avril</w:t>
      </w:r>
      <w:r w:rsidR="00DB1635" w:rsidRPr="00B004EE">
        <w:rPr>
          <w:rFonts w:ascii="Tahoma" w:hAnsi="Tahoma" w:cs="Tahoma"/>
          <w:bCs/>
          <w:sz w:val="20"/>
          <w:szCs w:val="20"/>
        </w:rPr>
        <w:t xml:space="preserve"> </w:t>
      </w:r>
      <w:r w:rsidRPr="00B004EE">
        <w:rPr>
          <w:rFonts w:ascii="Tahoma" w:hAnsi="Tahoma" w:cs="Tahoma"/>
          <w:bCs/>
          <w:sz w:val="20"/>
          <w:szCs w:val="20"/>
        </w:rPr>
        <w:t>1986</w:t>
      </w:r>
      <w:r w:rsidR="00DB1635" w:rsidRPr="00B004EE">
        <w:rPr>
          <w:rFonts w:ascii="Tahoma" w:hAnsi="Tahoma" w:cs="Tahoma"/>
          <w:bCs/>
          <w:sz w:val="20"/>
          <w:szCs w:val="20"/>
        </w:rPr>
        <w:t xml:space="preserve"> </w:t>
      </w:r>
      <w:r w:rsidRPr="00B004EE">
        <w:rPr>
          <w:rFonts w:ascii="Tahoma" w:hAnsi="Tahoma" w:cs="Tahoma"/>
          <w:bCs/>
          <w:sz w:val="20"/>
          <w:szCs w:val="20"/>
        </w:rPr>
        <w:t>relatif</w:t>
      </w:r>
      <w:r w:rsidR="00DB1635" w:rsidRPr="00B004EE">
        <w:rPr>
          <w:rFonts w:ascii="Tahoma" w:hAnsi="Tahoma" w:cs="Tahoma"/>
          <w:bCs/>
          <w:sz w:val="20"/>
          <w:szCs w:val="20"/>
        </w:rPr>
        <w:t xml:space="preserve"> </w:t>
      </w:r>
      <w:r w:rsidRPr="00B004EE">
        <w:rPr>
          <w:rFonts w:ascii="Tahoma" w:hAnsi="Tahoma" w:cs="Tahoma"/>
          <w:bCs/>
          <w:sz w:val="20"/>
          <w:szCs w:val="20"/>
        </w:rPr>
        <w:t>à</w:t>
      </w:r>
      <w:r w:rsidR="00DB1635" w:rsidRPr="00B004EE">
        <w:rPr>
          <w:rFonts w:ascii="Tahoma" w:hAnsi="Tahoma" w:cs="Tahoma"/>
          <w:bCs/>
          <w:sz w:val="20"/>
          <w:szCs w:val="20"/>
        </w:rPr>
        <w:t xml:space="preserve"> </w:t>
      </w:r>
      <w:r w:rsidRPr="00B004EE">
        <w:rPr>
          <w:rFonts w:ascii="Tahoma" w:hAnsi="Tahoma" w:cs="Tahoma"/>
          <w:bCs/>
          <w:sz w:val="20"/>
          <w:szCs w:val="20"/>
        </w:rPr>
        <w:t>la</w:t>
      </w:r>
      <w:r w:rsidR="00DB1635" w:rsidRPr="00B004EE">
        <w:rPr>
          <w:rFonts w:ascii="Tahoma" w:hAnsi="Tahoma" w:cs="Tahoma"/>
          <w:bCs/>
          <w:sz w:val="20"/>
          <w:szCs w:val="20"/>
        </w:rPr>
        <w:t xml:space="preserve"> </w:t>
      </w:r>
      <w:r w:rsidRPr="00B004EE">
        <w:rPr>
          <w:rFonts w:ascii="Tahoma" w:hAnsi="Tahoma" w:cs="Tahoma"/>
          <w:bCs/>
          <w:sz w:val="20"/>
          <w:szCs w:val="20"/>
        </w:rPr>
        <w:t>réserve</w:t>
      </w:r>
      <w:r w:rsidR="00DB1635" w:rsidRPr="00B004EE">
        <w:rPr>
          <w:rFonts w:ascii="Tahoma" w:hAnsi="Tahoma" w:cs="Tahoma"/>
          <w:bCs/>
          <w:sz w:val="20"/>
          <w:szCs w:val="20"/>
        </w:rPr>
        <w:t xml:space="preserve"> </w:t>
      </w:r>
      <w:r w:rsidRPr="00B004EE">
        <w:rPr>
          <w:rFonts w:ascii="Tahoma" w:hAnsi="Tahoma" w:cs="Tahoma"/>
          <w:bCs/>
          <w:sz w:val="20"/>
          <w:szCs w:val="20"/>
        </w:rPr>
        <w:t>satellite</w:t>
      </w:r>
      <w:r w:rsidR="00DB1635" w:rsidRPr="00B004EE">
        <w:rPr>
          <w:rFonts w:ascii="Tahoma" w:hAnsi="Tahoma" w:cs="Tahoma"/>
          <w:bCs/>
          <w:sz w:val="20"/>
          <w:szCs w:val="20"/>
        </w:rPr>
        <w:t xml:space="preserve"> </w:t>
      </w:r>
      <w:r w:rsidRPr="00B004EE">
        <w:rPr>
          <w:rFonts w:ascii="Tahoma" w:hAnsi="Tahoma" w:cs="Tahoma"/>
          <w:bCs/>
          <w:sz w:val="20"/>
          <w:szCs w:val="20"/>
        </w:rPr>
        <w:t>du</w:t>
      </w:r>
      <w:r w:rsidR="00DB1635" w:rsidRPr="00B004EE">
        <w:rPr>
          <w:rFonts w:ascii="Tahoma" w:hAnsi="Tahoma" w:cs="Tahoma"/>
          <w:bCs/>
          <w:sz w:val="20"/>
          <w:szCs w:val="20"/>
        </w:rPr>
        <w:t xml:space="preserve"> </w:t>
      </w:r>
      <w:r w:rsidRPr="00B004EE">
        <w:rPr>
          <w:rFonts w:ascii="Tahoma" w:hAnsi="Tahoma" w:cs="Tahoma"/>
          <w:bCs/>
          <w:sz w:val="20"/>
          <w:szCs w:val="20"/>
        </w:rPr>
        <w:t>Cap</w:t>
      </w:r>
      <w:r w:rsidR="00DB1635" w:rsidRPr="00B004EE">
        <w:rPr>
          <w:rFonts w:ascii="Tahoma" w:hAnsi="Tahoma" w:cs="Tahoma"/>
          <w:bCs/>
          <w:sz w:val="20"/>
          <w:szCs w:val="20"/>
        </w:rPr>
        <w:t xml:space="preserve"> </w:t>
      </w:r>
      <w:r w:rsidRPr="00B004EE">
        <w:rPr>
          <w:rFonts w:ascii="Tahoma" w:hAnsi="Tahoma" w:cs="Tahoma"/>
          <w:bCs/>
          <w:sz w:val="20"/>
          <w:szCs w:val="20"/>
        </w:rPr>
        <w:t>Blanc</w:t>
      </w:r>
      <w:r w:rsidR="00DB1635" w:rsidRPr="00B004EE">
        <w:rPr>
          <w:rFonts w:ascii="Tahoma" w:hAnsi="Tahoma" w:cs="Tahoma"/>
          <w:bCs/>
          <w:sz w:val="20"/>
          <w:szCs w:val="20"/>
        </w:rPr>
        <w:t xml:space="preserve"> </w:t>
      </w:r>
      <w:r w:rsidRPr="00B004EE">
        <w:rPr>
          <w:rFonts w:ascii="Tahoma" w:hAnsi="Tahoma" w:cs="Tahoma"/>
          <w:bCs/>
          <w:sz w:val="20"/>
          <w:szCs w:val="20"/>
        </w:rPr>
        <w:t>pour</w:t>
      </w:r>
      <w:r w:rsidR="00DB1635" w:rsidRPr="00B004EE">
        <w:rPr>
          <w:rFonts w:ascii="Tahoma" w:hAnsi="Tahoma" w:cs="Tahoma"/>
          <w:bCs/>
          <w:sz w:val="20"/>
          <w:szCs w:val="20"/>
        </w:rPr>
        <w:t xml:space="preserve"> </w:t>
      </w:r>
      <w:r w:rsidRPr="00B004EE">
        <w:rPr>
          <w:rFonts w:ascii="Tahoma" w:hAnsi="Tahoma" w:cs="Tahoma"/>
          <w:bCs/>
          <w:sz w:val="20"/>
          <w:szCs w:val="20"/>
        </w:rPr>
        <w:t>la</w:t>
      </w:r>
      <w:r w:rsidR="00DB1635" w:rsidRPr="00B004EE">
        <w:rPr>
          <w:rFonts w:ascii="Tahoma" w:hAnsi="Tahoma" w:cs="Tahoma"/>
          <w:bCs/>
          <w:sz w:val="20"/>
          <w:szCs w:val="20"/>
        </w:rPr>
        <w:t xml:space="preserve"> </w:t>
      </w:r>
      <w:r w:rsidRPr="00B004EE">
        <w:rPr>
          <w:rFonts w:ascii="Tahoma" w:hAnsi="Tahoma" w:cs="Tahoma"/>
          <w:bCs/>
          <w:sz w:val="20"/>
          <w:szCs w:val="20"/>
        </w:rPr>
        <w:t>conservation</w:t>
      </w:r>
      <w:r w:rsidR="00DB1635" w:rsidRPr="00B004EE">
        <w:rPr>
          <w:rFonts w:ascii="Tahoma" w:hAnsi="Tahoma" w:cs="Tahoma"/>
          <w:bCs/>
          <w:sz w:val="20"/>
          <w:szCs w:val="20"/>
        </w:rPr>
        <w:t xml:space="preserve"> </w:t>
      </w:r>
      <w:r w:rsidRPr="00B004EE">
        <w:rPr>
          <w:rFonts w:ascii="Tahoma" w:hAnsi="Tahoma" w:cs="Tahoma"/>
          <w:bCs/>
          <w:sz w:val="20"/>
          <w:szCs w:val="20"/>
        </w:rPr>
        <w:t>et</w:t>
      </w:r>
      <w:r w:rsidR="00DB1635" w:rsidRPr="00B004EE">
        <w:rPr>
          <w:rFonts w:ascii="Tahoma" w:hAnsi="Tahoma" w:cs="Tahoma"/>
          <w:bCs/>
          <w:sz w:val="20"/>
          <w:szCs w:val="20"/>
        </w:rPr>
        <w:t xml:space="preserve"> </w:t>
      </w:r>
      <w:r w:rsidRPr="00B004EE">
        <w:rPr>
          <w:rFonts w:ascii="Tahoma" w:hAnsi="Tahoma" w:cs="Tahoma"/>
          <w:bCs/>
          <w:sz w:val="20"/>
          <w:szCs w:val="20"/>
        </w:rPr>
        <w:t>la</w:t>
      </w:r>
      <w:r w:rsidR="00DB1635" w:rsidRPr="00B004EE">
        <w:rPr>
          <w:rFonts w:ascii="Tahoma" w:hAnsi="Tahoma" w:cs="Tahoma"/>
          <w:bCs/>
          <w:sz w:val="20"/>
          <w:szCs w:val="20"/>
        </w:rPr>
        <w:t xml:space="preserve"> </w:t>
      </w:r>
      <w:r w:rsidRPr="00B004EE">
        <w:rPr>
          <w:rFonts w:ascii="Tahoma" w:hAnsi="Tahoma" w:cs="Tahoma"/>
          <w:bCs/>
          <w:sz w:val="20"/>
          <w:szCs w:val="20"/>
        </w:rPr>
        <w:t>protection</w:t>
      </w:r>
      <w:r w:rsidR="00DB1635" w:rsidRPr="00B004EE">
        <w:rPr>
          <w:rFonts w:ascii="Tahoma" w:hAnsi="Tahoma" w:cs="Tahoma"/>
          <w:bCs/>
          <w:sz w:val="20"/>
          <w:szCs w:val="20"/>
        </w:rPr>
        <w:t xml:space="preserve"> </w:t>
      </w:r>
      <w:r w:rsidRPr="00B004EE">
        <w:rPr>
          <w:rFonts w:ascii="Tahoma" w:hAnsi="Tahoma" w:cs="Tahoma"/>
          <w:bCs/>
          <w:sz w:val="20"/>
          <w:szCs w:val="20"/>
        </w:rPr>
        <w:t>du</w:t>
      </w:r>
      <w:r w:rsidR="00DB1635" w:rsidRPr="00B004EE">
        <w:rPr>
          <w:rFonts w:ascii="Tahoma" w:hAnsi="Tahoma" w:cs="Tahoma"/>
          <w:bCs/>
          <w:sz w:val="20"/>
          <w:szCs w:val="20"/>
        </w:rPr>
        <w:t xml:space="preserve"> </w:t>
      </w:r>
      <w:r w:rsidRPr="00B004EE">
        <w:rPr>
          <w:rFonts w:ascii="Tahoma" w:hAnsi="Tahoma" w:cs="Tahoma"/>
          <w:bCs/>
          <w:sz w:val="20"/>
          <w:szCs w:val="20"/>
        </w:rPr>
        <w:t>phoque</w:t>
      </w:r>
      <w:r w:rsidR="00DB1635" w:rsidRPr="00B004EE">
        <w:rPr>
          <w:rFonts w:ascii="Tahoma" w:hAnsi="Tahoma" w:cs="Tahoma"/>
          <w:bCs/>
          <w:sz w:val="20"/>
          <w:szCs w:val="20"/>
        </w:rPr>
        <w:t xml:space="preserve"> </w:t>
      </w:r>
      <w:r w:rsidRPr="00B004EE">
        <w:rPr>
          <w:rFonts w:ascii="Tahoma" w:hAnsi="Tahoma" w:cs="Tahoma"/>
          <w:bCs/>
          <w:sz w:val="20"/>
          <w:szCs w:val="20"/>
        </w:rPr>
        <w:t>moine</w:t>
      </w:r>
      <w:r w:rsidR="00DB1635" w:rsidRPr="00B004EE">
        <w:rPr>
          <w:rFonts w:ascii="Tahoma" w:hAnsi="Tahoma" w:cs="Tahoma"/>
          <w:bCs/>
          <w:sz w:val="20"/>
          <w:szCs w:val="20"/>
        </w:rPr>
        <w:t xml:space="preserve"> </w:t>
      </w:r>
      <w:r w:rsidRPr="00B004EE">
        <w:rPr>
          <w:rFonts w:ascii="Tahoma" w:hAnsi="Tahoma" w:cs="Tahoma"/>
          <w:bCs/>
          <w:sz w:val="20"/>
          <w:szCs w:val="20"/>
        </w:rPr>
        <w:t>;</w:t>
      </w:r>
    </w:p>
    <w:p w14:paraId="463F617D" w14:textId="57FB9BFF" w:rsidR="008518B0" w:rsidRPr="00B004EE" w:rsidRDefault="008518B0" w:rsidP="00420DDA">
      <w:pPr>
        <w:numPr>
          <w:ilvl w:val="0"/>
          <w:numId w:val="52"/>
        </w:numPr>
        <w:tabs>
          <w:tab w:val="clear" w:pos="1069"/>
          <w:tab w:val="num" w:pos="851"/>
        </w:tabs>
        <w:ind w:left="850" w:hanging="425"/>
        <w:jc w:val="both"/>
        <w:rPr>
          <w:rFonts w:ascii="Tahoma" w:hAnsi="Tahoma" w:cs="Tahoma"/>
          <w:sz w:val="20"/>
          <w:szCs w:val="20"/>
        </w:rPr>
      </w:pPr>
      <w:proofErr w:type="gramStart"/>
      <w:r w:rsidRPr="00B004EE">
        <w:rPr>
          <w:rFonts w:ascii="Tahoma" w:hAnsi="Tahoma" w:cs="Tahoma"/>
          <w:sz w:val="20"/>
          <w:szCs w:val="20"/>
        </w:rPr>
        <w:t>toutes</w:t>
      </w:r>
      <w:proofErr w:type="gramEnd"/>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activités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parties</w:t>
      </w:r>
      <w:r w:rsidR="00DB1635" w:rsidRPr="00B004EE">
        <w:rPr>
          <w:rFonts w:ascii="Tahoma" w:hAnsi="Tahoma" w:cs="Tahoma"/>
          <w:sz w:val="20"/>
          <w:szCs w:val="20"/>
        </w:rPr>
        <w:t xml:space="preserve"> </w:t>
      </w:r>
      <w:r w:rsidRPr="00B004EE">
        <w:rPr>
          <w:rFonts w:ascii="Tahoma" w:hAnsi="Tahoma" w:cs="Tahoma"/>
          <w:sz w:val="20"/>
          <w:szCs w:val="20"/>
        </w:rPr>
        <w:t>maritimes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insulaires</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Parc</w:t>
      </w:r>
      <w:r w:rsidR="00DB1635" w:rsidRPr="00B004EE">
        <w:rPr>
          <w:rFonts w:ascii="Tahoma" w:hAnsi="Tahoma" w:cs="Tahoma"/>
          <w:sz w:val="20"/>
          <w:szCs w:val="20"/>
        </w:rPr>
        <w:t xml:space="preserve"> </w:t>
      </w:r>
      <w:r w:rsidRPr="00B004EE">
        <w:rPr>
          <w:rFonts w:ascii="Tahoma" w:hAnsi="Tahoma" w:cs="Tahoma"/>
          <w:sz w:val="20"/>
          <w:szCs w:val="20"/>
        </w:rPr>
        <w:t>National</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Banc</w:t>
      </w:r>
      <w:r w:rsidR="00DB1635" w:rsidRPr="00B004EE">
        <w:rPr>
          <w:rFonts w:ascii="Tahoma" w:hAnsi="Tahoma" w:cs="Tahoma"/>
          <w:sz w:val="20"/>
          <w:szCs w:val="20"/>
        </w:rPr>
        <w:t xml:space="preserve"> </w:t>
      </w:r>
      <w:r w:rsidRPr="00B004EE">
        <w:rPr>
          <w:rFonts w:ascii="Tahoma" w:hAnsi="Tahoma" w:cs="Tahoma"/>
          <w:sz w:val="20"/>
          <w:szCs w:val="20"/>
        </w:rPr>
        <w:t>d'Arguin,</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l'exception</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celles</w:t>
      </w:r>
      <w:r w:rsidR="00DB1635" w:rsidRPr="00B004EE">
        <w:rPr>
          <w:rFonts w:ascii="Tahoma" w:hAnsi="Tahoma" w:cs="Tahoma"/>
          <w:sz w:val="20"/>
          <w:szCs w:val="20"/>
        </w:rPr>
        <w:t xml:space="preserve"> </w:t>
      </w:r>
      <w:r w:rsidRPr="00B004EE">
        <w:rPr>
          <w:rFonts w:ascii="Tahoma" w:hAnsi="Tahoma" w:cs="Tahoma"/>
          <w:sz w:val="20"/>
          <w:szCs w:val="20"/>
        </w:rPr>
        <w:t>expressément</w:t>
      </w:r>
      <w:r w:rsidR="00DB1635" w:rsidRPr="00B004EE">
        <w:rPr>
          <w:rFonts w:ascii="Tahoma" w:hAnsi="Tahoma" w:cs="Tahoma"/>
          <w:sz w:val="20"/>
          <w:szCs w:val="20"/>
        </w:rPr>
        <w:t xml:space="preserve"> </w:t>
      </w:r>
      <w:r w:rsidRPr="00B004EE">
        <w:rPr>
          <w:rFonts w:ascii="Tahoma" w:hAnsi="Tahoma" w:cs="Tahoma"/>
          <w:sz w:val="20"/>
          <w:szCs w:val="20"/>
        </w:rPr>
        <w:t>réservées</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loi</w:t>
      </w:r>
      <w:r w:rsidR="00DB1635" w:rsidRPr="00B004EE">
        <w:rPr>
          <w:rFonts w:ascii="Tahoma" w:hAnsi="Tahoma" w:cs="Tahoma"/>
          <w:sz w:val="20"/>
          <w:szCs w:val="20"/>
        </w:rPr>
        <w:t xml:space="preserve"> </w:t>
      </w:r>
      <w:r w:rsidRPr="00B004EE">
        <w:rPr>
          <w:rFonts w:ascii="Tahoma" w:hAnsi="Tahoma" w:cs="Tahoma"/>
          <w:sz w:val="20"/>
          <w:szCs w:val="20"/>
        </w:rPr>
        <w:t>n°2000-24</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19</w:t>
      </w:r>
      <w:r w:rsidR="00DB1635" w:rsidRPr="00B004EE">
        <w:rPr>
          <w:rFonts w:ascii="Tahoma" w:hAnsi="Tahoma" w:cs="Tahoma"/>
          <w:sz w:val="20"/>
          <w:szCs w:val="20"/>
        </w:rPr>
        <w:t xml:space="preserve"> </w:t>
      </w:r>
      <w:r w:rsidRPr="00B004EE">
        <w:rPr>
          <w:rFonts w:ascii="Tahoma" w:hAnsi="Tahoma" w:cs="Tahoma"/>
          <w:sz w:val="20"/>
          <w:szCs w:val="20"/>
        </w:rPr>
        <w:t>janvier</w:t>
      </w:r>
      <w:r w:rsidR="00DB1635" w:rsidRPr="00B004EE">
        <w:rPr>
          <w:rFonts w:ascii="Tahoma" w:hAnsi="Tahoma" w:cs="Tahoma"/>
          <w:sz w:val="20"/>
          <w:szCs w:val="20"/>
        </w:rPr>
        <w:t xml:space="preserve"> </w:t>
      </w:r>
      <w:r w:rsidRPr="00B004EE">
        <w:rPr>
          <w:rFonts w:ascii="Tahoma" w:hAnsi="Tahoma" w:cs="Tahoma"/>
          <w:sz w:val="20"/>
          <w:szCs w:val="20"/>
        </w:rPr>
        <w:t>2000</w:t>
      </w:r>
      <w:r w:rsidR="00DB1635" w:rsidRPr="00B004EE">
        <w:rPr>
          <w:rFonts w:ascii="Tahoma" w:hAnsi="Tahoma" w:cs="Tahoma"/>
          <w:sz w:val="20"/>
          <w:szCs w:val="20"/>
        </w:rPr>
        <w:t xml:space="preserve"> </w:t>
      </w:r>
      <w:r w:rsidRPr="00B004EE">
        <w:rPr>
          <w:rFonts w:ascii="Tahoma" w:hAnsi="Tahoma" w:cs="Tahoma"/>
          <w:sz w:val="20"/>
          <w:szCs w:val="20"/>
        </w:rPr>
        <w:t>;</w:t>
      </w:r>
    </w:p>
    <w:p w14:paraId="088BCE35" w14:textId="60BFC857" w:rsidR="008518B0" w:rsidRPr="00B004EE" w:rsidRDefault="008518B0" w:rsidP="00420DDA">
      <w:pPr>
        <w:numPr>
          <w:ilvl w:val="0"/>
          <w:numId w:val="52"/>
        </w:numPr>
        <w:tabs>
          <w:tab w:val="clear" w:pos="1069"/>
          <w:tab w:val="num" w:pos="851"/>
        </w:tabs>
        <w:ind w:left="850" w:hanging="425"/>
        <w:jc w:val="both"/>
        <w:rPr>
          <w:rFonts w:ascii="Tahoma" w:hAnsi="Tahoma" w:cs="Tahoma"/>
          <w:sz w:val="20"/>
          <w:szCs w:val="20"/>
        </w:rPr>
      </w:pPr>
      <w:proofErr w:type="gramStart"/>
      <w:r w:rsidRPr="00B004EE">
        <w:rPr>
          <w:rFonts w:ascii="Tahoma" w:hAnsi="Tahoma" w:cs="Tahoma"/>
          <w:sz w:val="20"/>
          <w:szCs w:val="20"/>
        </w:rPr>
        <w:t>toutes</w:t>
      </w:r>
      <w:proofErr w:type="gramEnd"/>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activités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commerciale</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zone</w:t>
      </w:r>
      <w:r w:rsidR="00DB1635" w:rsidRPr="00B004EE">
        <w:rPr>
          <w:rFonts w:ascii="Tahoma" w:hAnsi="Tahoma" w:cs="Tahoma"/>
          <w:sz w:val="20"/>
          <w:szCs w:val="20"/>
        </w:rPr>
        <w:t xml:space="preserve"> </w:t>
      </w:r>
      <w:r w:rsidRPr="00B004EE">
        <w:rPr>
          <w:rFonts w:ascii="Tahoma" w:hAnsi="Tahoma" w:cs="Tahoma"/>
          <w:sz w:val="20"/>
          <w:szCs w:val="20"/>
        </w:rPr>
        <w:t>d'un</w:t>
      </w:r>
      <w:r w:rsidR="00DB1635" w:rsidRPr="00B004EE">
        <w:rPr>
          <w:rFonts w:ascii="Tahoma" w:hAnsi="Tahoma" w:cs="Tahoma"/>
          <w:sz w:val="20"/>
          <w:szCs w:val="20"/>
        </w:rPr>
        <w:t xml:space="preserve"> </w:t>
      </w:r>
      <w:r w:rsidRPr="00B004EE">
        <w:rPr>
          <w:rFonts w:ascii="Tahoma" w:hAnsi="Tahoma" w:cs="Tahoma"/>
          <w:sz w:val="20"/>
          <w:szCs w:val="20"/>
        </w:rPr>
        <w:t>mille</w:t>
      </w:r>
      <w:r w:rsidR="00DB1635" w:rsidRPr="00B004EE">
        <w:rPr>
          <w:rFonts w:ascii="Tahoma" w:hAnsi="Tahoma" w:cs="Tahoma"/>
          <w:sz w:val="20"/>
          <w:szCs w:val="20"/>
        </w:rPr>
        <w:t xml:space="preserve"> </w:t>
      </w:r>
      <w:r w:rsidRPr="00B004EE">
        <w:rPr>
          <w:rFonts w:ascii="Tahoma" w:hAnsi="Tahoma" w:cs="Tahoma"/>
          <w:sz w:val="20"/>
          <w:szCs w:val="20"/>
        </w:rPr>
        <w:t>marin</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large</w:t>
      </w:r>
      <w:r w:rsidR="00DB1635" w:rsidRPr="00B004EE">
        <w:rPr>
          <w:rFonts w:ascii="Tahoma" w:hAnsi="Tahoma" w:cs="Tahoma"/>
          <w:sz w:val="20"/>
          <w:szCs w:val="20"/>
        </w:rPr>
        <w:t xml:space="preserve"> </w:t>
      </w:r>
      <w:r w:rsidRPr="00B004EE">
        <w:rPr>
          <w:rFonts w:ascii="Tahoma" w:hAnsi="Tahoma" w:cs="Tahoma"/>
          <w:sz w:val="20"/>
          <w:szCs w:val="20"/>
        </w:rPr>
        <w:t>s'étendant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Baie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l'Etoile</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sud,</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Pointe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l'Archimède</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nord</w:t>
      </w:r>
      <w:r w:rsidR="00DB1635" w:rsidRPr="00B004EE">
        <w:rPr>
          <w:rFonts w:ascii="Tahoma" w:hAnsi="Tahoma" w:cs="Tahoma"/>
          <w:sz w:val="20"/>
          <w:szCs w:val="20"/>
        </w:rPr>
        <w:t xml:space="preserve"> </w:t>
      </w:r>
      <w:r w:rsidRPr="00B004EE">
        <w:rPr>
          <w:rFonts w:ascii="Tahoma" w:hAnsi="Tahoma" w:cs="Tahoma"/>
          <w:sz w:val="20"/>
          <w:szCs w:val="20"/>
        </w:rPr>
        <w:t>;</w:t>
      </w:r>
    </w:p>
    <w:p w14:paraId="767279E7" w14:textId="77777777" w:rsidR="008518B0" w:rsidRPr="00B004EE" w:rsidRDefault="008518B0" w:rsidP="00B004EE">
      <w:pPr>
        <w:tabs>
          <w:tab w:val="num" w:pos="851"/>
        </w:tabs>
        <w:ind w:left="850"/>
        <w:jc w:val="both"/>
        <w:rPr>
          <w:rFonts w:ascii="Tahoma" w:hAnsi="Tahoma" w:cs="Tahoma"/>
          <w:sz w:val="20"/>
          <w:szCs w:val="20"/>
        </w:rPr>
      </w:pPr>
    </w:p>
    <w:p w14:paraId="20BB8B08" w14:textId="7A9C2412" w:rsidR="008518B0" w:rsidRPr="00B004EE" w:rsidRDefault="008518B0" w:rsidP="00B004EE">
      <w:pPr>
        <w:pStyle w:val="article"/>
        <w:numPr>
          <w:ilvl w:val="0"/>
          <w:numId w:val="0"/>
        </w:numPr>
        <w:tabs>
          <w:tab w:val="left" w:pos="1200"/>
        </w:tabs>
        <w:spacing w:before="0" w:line="240" w:lineRule="auto"/>
        <w:rPr>
          <w:rFonts w:ascii="Tahoma" w:hAnsi="Tahoma" w:cs="Tahoma"/>
          <w:sz w:val="20"/>
          <w:szCs w:val="20"/>
        </w:rPr>
      </w:pPr>
      <w:r w:rsidRPr="00B004EE">
        <w:rPr>
          <w:rFonts w:ascii="Tahoma" w:hAnsi="Tahoma" w:cs="Tahoma"/>
          <w:sz w:val="20"/>
          <w:szCs w:val="20"/>
        </w:rPr>
        <w:t>Article</w:t>
      </w:r>
      <w:r w:rsidR="00DB1635" w:rsidRPr="00B004EE">
        <w:rPr>
          <w:rFonts w:ascii="Tahoma" w:hAnsi="Tahoma" w:cs="Tahoma"/>
          <w:sz w:val="20"/>
          <w:szCs w:val="20"/>
        </w:rPr>
        <w:t xml:space="preserve"> </w:t>
      </w:r>
      <w:r w:rsidRPr="00B004EE">
        <w:rPr>
          <w:rFonts w:ascii="Tahoma" w:hAnsi="Tahoma" w:cs="Tahoma"/>
          <w:sz w:val="20"/>
          <w:szCs w:val="20"/>
        </w:rPr>
        <w:t>42</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impératifs</w:t>
      </w:r>
      <w:r w:rsidR="00DB1635" w:rsidRPr="00B004EE">
        <w:rPr>
          <w:rFonts w:ascii="Tahoma" w:hAnsi="Tahoma" w:cs="Tahoma"/>
          <w:sz w:val="20"/>
          <w:szCs w:val="20"/>
        </w:rPr>
        <w:t xml:space="preserve"> </w:t>
      </w:r>
      <w:r w:rsidRPr="00B004EE">
        <w:rPr>
          <w:rFonts w:ascii="Tahoma" w:hAnsi="Tahoma" w:cs="Tahoma"/>
          <w:sz w:val="20"/>
          <w:szCs w:val="20"/>
        </w:rPr>
        <w:t>liés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préservation,</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conservation</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l’exploitation</w:t>
      </w:r>
      <w:r w:rsidR="00DB1635" w:rsidRPr="00B004EE">
        <w:rPr>
          <w:rFonts w:ascii="Tahoma" w:hAnsi="Tahoma" w:cs="Tahoma"/>
          <w:sz w:val="20"/>
          <w:szCs w:val="20"/>
        </w:rPr>
        <w:t xml:space="preserve"> </w:t>
      </w:r>
      <w:r w:rsidRPr="00B004EE">
        <w:rPr>
          <w:rFonts w:ascii="Tahoma" w:hAnsi="Tahoma" w:cs="Tahoma"/>
          <w:sz w:val="20"/>
          <w:szCs w:val="20"/>
        </w:rPr>
        <w:t>rationnelle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ressources</w:t>
      </w:r>
      <w:r w:rsidR="00DB1635" w:rsidRPr="00B004EE">
        <w:rPr>
          <w:rFonts w:ascii="Tahoma" w:hAnsi="Tahoma" w:cs="Tahoma"/>
          <w:sz w:val="20"/>
          <w:szCs w:val="20"/>
        </w:rPr>
        <w:t xml:space="preserve"> </w:t>
      </w:r>
      <w:r w:rsidRPr="00B004EE">
        <w:rPr>
          <w:rFonts w:ascii="Tahoma" w:hAnsi="Tahoma" w:cs="Tahoma"/>
          <w:sz w:val="20"/>
          <w:szCs w:val="20"/>
        </w:rPr>
        <w:t>halieutiques,</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ministre</w:t>
      </w:r>
      <w:r w:rsidR="00DB1635" w:rsidRPr="00B004EE">
        <w:rPr>
          <w:rFonts w:ascii="Tahoma" w:hAnsi="Tahoma" w:cs="Tahoma"/>
          <w:sz w:val="20"/>
          <w:szCs w:val="20"/>
        </w:rPr>
        <w:t xml:space="preserve"> </w:t>
      </w:r>
      <w:r w:rsidRPr="00B004EE">
        <w:rPr>
          <w:rFonts w:ascii="Tahoma" w:hAnsi="Tahoma" w:cs="Tahoma"/>
          <w:sz w:val="20"/>
          <w:szCs w:val="20"/>
        </w:rPr>
        <w:t>chargé</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sz w:val="20"/>
          <w:szCs w:val="20"/>
        </w:rPr>
        <w:t xml:space="preserve"> </w:t>
      </w:r>
      <w:r w:rsidRPr="00B004EE">
        <w:rPr>
          <w:rFonts w:ascii="Tahoma" w:hAnsi="Tahoma" w:cs="Tahoma"/>
          <w:sz w:val="20"/>
          <w:szCs w:val="20"/>
        </w:rPr>
        <w:t>peut</w:t>
      </w:r>
      <w:r w:rsidR="00DB1635" w:rsidRPr="00B004EE">
        <w:rPr>
          <w:rFonts w:ascii="Tahoma" w:hAnsi="Tahoma" w:cs="Tahoma"/>
          <w:sz w:val="20"/>
          <w:szCs w:val="20"/>
        </w:rPr>
        <w:t xml:space="preserve"> </w:t>
      </w:r>
      <w:r w:rsidRPr="00B004EE">
        <w:rPr>
          <w:rFonts w:ascii="Tahoma" w:hAnsi="Tahoma" w:cs="Tahoma"/>
          <w:sz w:val="20"/>
          <w:szCs w:val="20"/>
        </w:rPr>
        <w:t>déterminer,</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titre</w:t>
      </w:r>
      <w:r w:rsidR="00DB1635" w:rsidRPr="00B004EE">
        <w:rPr>
          <w:rFonts w:ascii="Tahoma" w:hAnsi="Tahoma" w:cs="Tahoma"/>
          <w:sz w:val="20"/>
          <w:szCs w:val="20"/>
        </w:rPr>
        <w:t xml:space="preserve"> </w:t>
      </w:r>
      <w:r w:rsidRPr="00B004EE">
        <w:rPr>
          <w:rFonts w:ascii="Tahoma" w:hAnsi="Tahoma" w:cs="Tahoma"/>
          <w:sz w:val="20"/>
          <w:szCs w:val="20"/>
        </w:rPr>
        <w:t>exceptionnel,</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arrêté</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sur</w:t>
      </w:r>
      <w:r w:rsidR="00DB1635" w:rsidRPr="00B004EE">
        <w:rPr>
          <w:rFonts w:ascii="Tahoma" w:hAnsi="Tahoma" w:cs="Tahoma"/>
          <w:sz w:val="20"/>
          <w:szCs w:val="20"/>
        </w:rPr>
        <w:t xml:space="preserve"> </w:t>
      </w:r>
      <w:r w:rsidRPr="00B004EE">
        <w:rPr>
          <w:rFonts w:ascii="Tahoma" w:hAnsi="Tahoma" w:cs="Tahoma"/>
          <w:sz w:val="20"/>
          <w:szCs w:val="20"/>
        </w:rPr>
        <w:t>avis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l’institution</w:t>
      </w:r>
      <w:r w:rsidR="00DB1635" w:rsidRPr="00B004EE">
        <w:rPr>
          <w:rFonts w:ascii="Tahoma" w:hAnsi="Tahoma" w:cs="Tahoma"/>
          <w:sz w:val="20"/>
          <w:szCs w:val="20"/>
        </w:rPr>
        <w:t xml:space="preserve"> </w:t>
      </w:r>
      <w:r w:rsidRPr="00B004EE">
        <w:rPr>
          <w:rFonts w:ascii="Tahoma" w:hAnsi="Tahoma" w:cs="Tahoma"/>
          <w:sz w:val="20"/>
          <w:szCs w:val="20"/>
        </w:rPr>
        <w:t>nationale</w:t>
      </w:r>
      <w:r w:rsidR="00DB1635" w:rsidRPr="00B004EE">
        <w:rPr>
          <w:rFonts w:ascii="Tahoma" w:hAnsi="Tahoma" w:cs="Tahoma"/>
          <w:sz w:val="20"/>
          <w:szCs w:val="20"/>
        </w:rPr>
        <w:t xml:space="preserve"> </w:t>
      </w:r>
      <w:r w:rsidRPr="00B004EE">
        <w:rPr>
          <w:rFonts w:ascii="Tahoma" w:hAnsi="Tahoma" w:cs="Tahoma"/>
          <w:sz w:val="20"/>
          <w:szCs w:val="20"/>
        </w:rPr>
        <w:t>chargée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recherche</w:t>
      </w:r>
      <w:r w:rsidR="00DB1635" w:rsidRPr="00B004EE">
        <w:rPr>
          <w:rFonts w:ascii="Tahoma" w:hAnsi="Tahoma" w:cs="Tahoma"/>
          <w:sz w:val="20"/>
          <w:szCs w:val="20"/>
        </w:rPr>
        <w:t xml:space="preserve"> </w:t>
      </w:r>
      <w:r w:rsidRPr="00B004EE">
        <w:rPr>
          <w:rFonts w:ascii="Tahoma" w:hAnsi="Tahoma" w:cs="Tahoma"/>
          <w:sz w:val="20"/>
          <w:szCs w:val="20"/>
        </w:rPr>
        <w:t>océanographique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périodes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fermeture,</w:t>
      </w:r>
      <w:r w:rsidR="00DB1635" w:rsidRPr="00B004EE">
        <w:rPr>
          <w:rFonts w:ascii="Tahoma" w:hAnsi="Tahoma" w:cs="Tahoma"/>
          <w:sz w:val="20"/>
          <w:szCs w:val="20"/>
        </w:rPr>
        <w:t xml:space="preserve"> </w:t>
      </w:r>
      <w:r w:rsidRPr="00B004EE">
        <w:rPr>
          <w:rFonts w:ascii="Tahoma" w:hAnsi="Tahoma" w:cs="Tahoma"/>
          <w:sz w:val="20"/>
          <w:szCs w:val="20"/>
        </w:rPr>
        <w:t>totale</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temporaire,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tout</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partie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eaux</w:t>
      </w:r>
      <w:r w:rsidR="00DB1635" w:rsidRPr="00B004EE">
        <w:rPr>
          <w:rFonts w:ascii="Tahoma" w:hAnsi="Tahoma" w:cs="Tahoma"/>
          <w:sz w:val="20"/>
          <w:szCs w:val="20"/>
        </w:rPr>
        <w:t xml:space="preserve"> </w:t>
      </w:r>
      <w:r w:rsidRPr="00B004EE">
        <w:rPr>
          <w:rFonts w:ascii="Tahoma" w:hAnsi="Tahoma" w:cs="Tahoma"/>
          <w:sz w:val="20"/>
          <w:szCs w:val="20"/>
        </w:rPr>
        <w:t>maritimes</w:t>
      </w:r>
      <w:r w:rsidR="00DB1635" w:rsidRPr="00B004EE">
        <w:rPr>
          <w:rFonts w:ascii="Tahoma" w:hAnsi="Tahoma" w:cs="Tahoma"/>
          <w:sz w:val="20"/>
          <w:szCs w:val="20"/>
        </w:rPr>
        <w:t xml:space="preserve"> </w:t>
      </w:r>
      <w:r w:rsidRPr="00B004EE">
        <w:rPr>
          <w:rFonts w:ascii="Tahoma" w:hAnsi="Tahoma" w:cs="Tahoma"/>
          <w:sz w:val="20"/>
          <w:szCs w:val="20"/>
        </w:rPr>
        <w:t>sous</w:t>
      </w:r>
      <w:r w:rsidR="00DB1635" w:rsidRPr="00B004EE">
        <w:rPr>
          <w:rFonts w:ascii="Tahoma" w:hAnsi="Tahoma" w:cs="Tahoma"/>
          <w:sz w:val="20"/>
          <w:szCs w:val="20"/>
        </w:rPr>
        <w:t xml:space="preserve"> </w:t>
      </w:r>
      <w:r w:rsidRPr="00B004EE">
        <w:rPr>
          <w:rFonts w:ascii="Tahoma" w:hAnsi="Tahoma" w:cs="Tahoma"/>
          <w:sz w:val="20"/>
          <w:szCs w:val="20"/>
        </w:rPr>
        <w:t>juridiction</w:t>
      </w:r>
      <w:r w:rsidR="00DB1635" w:rsidRPr="00B004EE">
        <w:rPr>
          <w:rFonts w:ascii="Tahoma" w:hAnsi="Tahoma" w:cs="Tahoma"/>
          <w:sz w:val="20"/>
          <w:szCs w:val="20"/>
        </w:rPr>
        <w:t xml:space="preserve"> </w:t>
      </w:r>
      <w:r w:rsidRPr="00B004EE">
        <w:rPr>
          <w:rFonts w:ascii="Tahoma" w:hAnsi="Tahoma" w:cs="Tahoma"/>
          <w:sz w:val="20"/>
          <w:szCs w:val="20"/>
        </w:rPr>
        <w:t>mauritanienne.</w:t>
      </w:r>
      <w:r w:rsidR="00DB1635" w:rsidRPr="00B004EE">
        <w:rPr>
          <w:rFonts w:ascii="Tahoma" w:hAnsi="Tahoma" w:cs="Tahoma"/>
          <w:sz w:val="20"/>
          <w:szCs w:val="20"/>
        </w:rPr>
        <w:t xml:space="preserve"> </w:t>
      </w:r>
    </w:p>
    <w:p w14:paraId="55D16BFA" w14:textId="77777777" w:rsidR="008518B0" w:rsidRPr="00B004EE" w:rsidRDefault="008518B0" w:rsidP="00B004EE">
      <w:pPr>
        <w:pStyle w:val="article"/>
        <w:numPr>
          <w:ilvl w:val="0"/>
          <w:numId w:val="0"/>
        </w:numPr>
        <w:tabs>
          <w:tab w:val="left" w:pos="1200"/>
        </w:tabs>
        <w:spacing w:before="0" w:line="240" w:lineRule="auto"/>
        <w:rPr>
          <w:rFonts w:ascii="Tahoma" w:hAnsi="Tahoma" w:cs="Tahoma"/>
          <w:sz w:val="20"/>
          <w:szCs w:val="20"/>
        </w:rPr>
      </w:pPr>
    </w:p>
    <w:p w14:paraId="5E2826E4" w14:textId="085D8F8C" w:rsidR="008518B0" w:rsidRPr="00B004EE" w:rsidRDefault="008518B0" w:rsidP="00B004EE">
      <w:pPr>
        <w:pStyle w:val="article"/>
        <w:numPr>
          <w:ilvl w:val="0"/>
          <w:numId w:val="0"/>
        </w:numPr>
        <w:tabs>
          <w:tab w:val="left" w:pos="1200"/>
        </w:tabs>
        <w:spacing w:before="0" w:line="240" w:lineRule="auto"/>
        <w:rPr>
          <w:rFonts w:ascii="Tahoma" w:hAnsi="Tahoma" w:cs="Tahoma"/>
          <w:sz w:val="20"/>
          <w:szCs w:val="20"/>
        </w:rPr>
      </w:pPr>
      <w:r w:rsidRPr="00B004EE">
        <w:rPr>
          <w:rFonts w:ascii="Tahoma" w:hAnsi="Tahoma" w:cs="Tahoma"/>
          <w:sz w:val="20"/>
          <w:szCs w:val="20"/>
        </w:rPr>
        <w:t>Article</w:t>
      </w:r>
      <w:r w:rsidR="00DB1635" w:rsidRPr="00B004EE">
        <w:rPr>
          <w:rFonts w:ascii="Tahoma" w:hAnsi="Tahoma" w:cs="Tahoma"/>
          <w:sz w:val="20"/>
          <w:szCs w:val="20"/>
        </w:rPr>
        <w:t xml:space="preserve"> </w:t>
      </w:r>
      <w:r w:rsidRPr="00B004EE">
        <w:rPr>
          <w:rFonts w:ascii="Tahoma" w:hAnsi="Tahoma" w:cs="Tahoma"/>
          <w:sz w:val="20"/>
          <w:szCs w:val="20"/>
        </w:rPr>
        <w:t>43</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zones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prévues</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articles</w:t>
      </w:r>
      <w:r w:rsidR="00DB1635" w:rsidRPr="00B004EE">
        <w:rPr>
          <w:rFonts w:ascii="Tahoma" w:hAnsi="Tahoma" w:cs="Tahoma"/>
          <w:sz w:val="20"/>
          <w:szCs w:val="20"/>
        </w:rPr>
        <w:t xml:space="preserve"> </w:t>
      </w:r>
      <w:r w:rsidRPr="00B004EE">
        <w:rPr>
          <w:rFonts w:ascii="Tahoma" w:hAnsi="Tahoma" w:cs="Tahoma"/>
          <w:sz w:val="20"/>
          <w:szCs w:val="20"/>
        </w:rPr>
        <w:t>41</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42</w:t>
      </w:r>
      <w:r w:rsidR="00DB1635" w:rsidRPr="00B004EE">
        <w:rPr>
          <w:rFonts w:ascii="Tahoma" w:hAnsi="Tahoma" w:cs="Tahoma"/>
          <w:sz w:val="20"/>
          <w:szCs w:val="20"/>
        </w:rPr>
        <w:t xml:space="preserve"> </w:t>
      </w:r>
      <w:r w:rsidRPr="00B004EE">
        <w:rPr>
          <w:rFonts w:ascii="Tahoma" w:hAnsi="Tahoma" w:cs="Tahoma"/>
          <w:sz w:val="20"/>
          <w:szCs w:val="20"/>
        </w:rPr>
        <w:t>ci-dessus</w:t>
      </w:r>
      <w:r w:rsidR="00DB1635" w:rsidRPr="00B004EE">
        <w:rPr>
          <w:rFonts w:ascii="Tahoma" w:hAnsi="Tahoma" w:cs="Tahoma"/>
          <w:sz w:val="20"/>
          <w:szCs w:val="20"/>
        </w:rPr>
        <w:t xml:space="preserve"> </w:t>
      </w:r>
      <w:r w:rsidRPr="00B004EE">
        <w:rPr>
          <w:rFonts w:ascii="Tahoma" w:hAnsi="Tahoma" w:cs="Tahoma"/>
          <w:sz w:val="20"/>
          <w:szCs w:val="20"/>
        </w:rPr>
        <w:t>seront</w:t>
      </w:r>
      <w:r w:rsidR="00DB1635" w:rsidRPr="00B004EE">
        <w:rPr>
          <w:rFonts w:ascii="Tahoma" w:hAnsi="Tahoma" w:cs="Tahoma"/>
          <w:sz w:val="20"/>
          <w:szCs w:val="20"/>
        </w:rPr>
        <w:t xml:space="preserve"> </w:t>
      </w:r>
      <w:r w:rsidRPr="00B004EE">
        <w:rPr>
          <w:rFonts w:ascii="Tahoma" w:hAnsi="Tahoma" w:cs="Tahoma"/>
          <w:sz w:val="20"/>
          <w:szCs w:val="20"/>
        </w:rPr>
        <w:t>portées</w:t>
      </w:r>
      <w:r w:rsidR="00DB1635" w:rsidRPr="00B004EE">
        <w:rPr>
          <w:rFonts w:ascii="Tahoma" w:hAnsi="Tahoma" w:cs="Tahoma"/>
          <w:sz w:val="20"/>
          <w:szCs w:val="20"/>
        </w:rPr>
        <w:t xml:space="preserve"> </w:t>
      </w:r>
      <w:r w:rsidRPr="00B004EE">
        <w:rPr>
          <w:rFonts w:ascii="Tahoma" w:hAnsi="Tahoma" w:cs="Tahoma"/>
          <w:sz w:val="20"/>
          <w:szCs w:val="20"/>
        </w:rPr>
        <w:t>sur</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carte</w:t>
      </w:r>
      <w:r w:rsidR="00DB1635" w:rsidRPr="00B004EE">
        <w:rPr>
          <w:rFonts w:ascii="Tahoma" w:hAnsi="Tahoma" w:cs="Tahoma"/>
          <w:sz w:val="20"/>
          <w:szCs w:val="20"/>
        </w:rPr>
        <w:t xml:space="preserve"> </w:t>
      </w:r>
      <w:r w:rsidRPr="00B004EE">
        <w:rPr>
          <w:rFonts w:ascii="Tahoma" w:hAnsi="Tahoma" w:cs="Tahoma"/>
          <w:sz w:val="20"/>
          <w:szCs w:val="20"/>
        </w:rPr>
        <w:t>marine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grande</w:t>
      </w:r>
      <w:r w:rsidR="00DB1635" w:rsidRPr="00B004EE">
        <w:rPr>
          <w:rFonts w:ascii="Tahoma" w:hAnsi="Tahoma" w:cs="Tahoma"/>
          <w:sz w:val="20"/>
          <w:szCs w:val="20"/>
        </w:rPr>
        <w:t xml:space="preserve"> </w:t>
      </w:r>
      <w:r w:rsidRPr="00B004EE">
        <w:rPr>
          <w:rFonts w:ascii="Tahoma" w:hAnsi="Tahoma" w:cs="Tahoma"/>
          <w:sz w:val="20"/>
          <w:szCs w:val="20"/>
        </w:rPr>
        <w:t>échelle,</w:t>
      </w:r>
      <w:r w:rsidR="00DB1635" w:rsidRPr="00B004EE">
        <w:rPr>
          <w:rFonts w:ascii="Tahoma" w:hAnsi="Tahoma" w:cs="Tahoma"/>
          <w:sz w:val="20"/>
          <w:szCs w:val="20"/>
        </w:rPr>
        <w:t xml:space="preserve"> </w:t>
      </w:r>
      <w:r w:rsidRPr="00B004EE">
        <w:rPr>
          <w:rFonts w:ascii="Tahoma" w:hAnsi="Tahoma" w:cs="Tahoma"/>
          <w:sz w:val="20"/>
          <w:szCs w:val="20"/>
        </w:rPr>
        <w:t>validée</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visa</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direction</w:t>
      </w:r>
      <w:r w:rsidR="00DB1635" w:rsidRPr="00B004EE">
        <w:rPr>
          <w:rFonts w:ascii="Tahoma" w:hAnsi="Tahoma" w:cs="Tahoma"/>
          <w:sz w:val="20"/>
          <w:szCs w:val="20"/>
        </w:rPr>
        <w:t xml:space="preserve"> </w:t>
      </w:r>
      <w:r w:rsidRPr="00B004EE">
        <w:rPr>
          <w:rFonts w:ascii="Tahoma" w:hAnsi="Tahoma" w:cs="Tahoma"/>
          <w:sz w:val="20"/>
          <w:szCs w:val="20"/>
        </w:rPr>
        <w:t>chargée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l’aménagement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ressource</w:t>
      </w:r>
      <w:r w:rsidR="00DB1635" w:rsidRPr="00B004EE">
        <w:rPr>
          <w:rFonts w:ascii="Tahoma" w:hAnsi="Tahoma" w:cs="Tahoma"/>
          <w:sz w:val="20"/>
          <w:szCs w:val="20"/>
        </w:rPr>
        <w:t xml:space="preserve"> </w:t>
      </w:r>
      <w:r w:rsidRPr="00B004EE">
        <w:rPr>
          <w:rFonts w:ascii="Tahoma" w:hAnsi="Tahoma" w:cs="Tahoma"/>
          <w:sz w:val="20"/>
          <w:szCs w:val="20"/>
        </w:rPr>
        <w:t>halieutique,</w:t>
      </w:r>
      <w:r w:rsidR="00DB1635" w:rsidRPr="00B004EE">
        <w:rPr>
          <w:rFonts w:ascii="Tahoma" w:hAnsi="Tahoma" w:cs="Tahoma"/>
          <w:sz w:val="20"/>
          <w:szCs w:val="20"/>
        </w:rPr>
        <w:t xml:space="preserve"> </w:t>
      </w:r>
      <w:r w:rsidRPr="00B004EE">
        <w:rPr>
          <w:rFonts w:ascii="Tahoma" w:hAnsi="Tahoma" w:cs="Tahoma"/>
          <w:sz w:val="20"/>
          <w:szCs w:val="20"/>
        </w:rPr>
        <w:t>mais</w:t>
      </w:r>
      <w:r w:rsidR="00DB1635" w:rsidRPr="00B004EE">
        <w:rPr>
          <w:rFonts w:ascii="Tahoma" w:hAnsi="Tahoma" w:cs="Tahoma"/>
          <w:sz w:val="20"/>
          <w:szCs w:val="20"/>
        </w:rPr>
        <w:t xml:space="preserve"> </w:t>
      </w:r>
      <w:r w:rsidRPr="00B004EE">
        <w:rPr>
          <w:rFonts w:ascii="Tahoma" w:hAnsi="Tahoma" w:cs="Tahoma"/>
          <w:sz w:val="20"/>
          <w:szCs w:val="20"/>
        </w:rPr>
        <w:t>aussi</w:t>
      </w:r>
      <w:r w:rsidR="00DB1635" w:rsidRPr="00B004EE">
        <w:rPr>
          <w:rFonts w:ascii="Tahoma" w:hAnsi="Tahoma" w:cs="Tahoma"/>
          <w:sz w:val="20"/>
          <w:szCs w:val="20"/>
        </w:rPr>
        <w:t xml:space="preserve"> </w:t>
      </w:r>
      <w:r w:rsidRPr="00B004EE">
        <w:rPr>
          <w:rFonts w:ascii="Tahoma" w:hAnsi="Tahoma" w:cs="Tahoma"/>
          <w:sz w:val="20"/>
          <w:szCs w:val="20"/>
        </w:rPr>
        <w:t>sur</w:t>
      </w:r>
      <w:r w:rsidR="00DB1635" w:rsidRPr="00B004EE">
        <w:rPr>
          <w:rFonts w:ascii="Tahoma" w:hAnsi="Tahoma" w:cs="Tahoma"/>
          <w:sz w:val="20"/>
          <w:szCs w:val="20"/>
        </w:rPr>
        <w:t xml:space="preserve"> </w:t>
      </w:r>
      <w:r w:rsidRPr="00B004EE">
        <w:rPr>
          <w:rFonts w:ascii="Tahoma" w:hAnsi="Tahoma" w:cs="Tahoma"/>
          <w:sz w:val="20"/>
          <w:szCs w:val="20"/>
        </w:rPr>
        <w:t>formats</w:t>
      </w:r>
      <w:r w:rsidR="00DB1635" w:rsidRPr="00B004EE">
        <w:rPr>
          <w:rFonts w:ascii="Tahoma" w:hAnsi="Tahoma" w:cs="Tahoma"/>
          <w:sz w:val="20"/>
          <w:szCs w:val="20"/>
        </w:rPr>
        <w:t xml:space="preserve"> </w:t>
      </w:r>
      <w:r w:rsidRPr="00B004EE">
        <w:rPr>
          <w:rFonts w:ascii="Tahoma" w:hAnsi="Tahoma" w:cs="Tahoma"/>
          <w:sz w:val="20"/>
          <w:szCs w:val="20"/>
        </w:rPr>
        <w:t>numériques</w:t>
      </w:r>
      <w:r w:rsidR="00DB1635" w:rsidRPr="00B004EE">
        <w:rPr>
          <w:rFonts w:ascii="Tahoma" w:hAnsi="Tahoma" w:cs="Tahoma"/>
          <w:sz w:val="20"/>
          <w:szCs w:val="20"/>
        </w:rPr>
        <w:t xml:space="preserve"> </w:t>
      </w:r>
      <w:r w:rsidRPr="00B004EE">
        <w:rPr>
          <w:rFonts w:ascii="Tahoma" w:hAnsi="Tahoma" w:cs="Tahoma"/>
          <w:sz w:val="20"/>
          <w:szCs w:val="20"/>
        </w:rPr>
        <w:t>non</w:t>
      </w:r>
      <w:r w:rsidR="00DB1635" w:rsidRPr="00B004EE">
        <w:rPr>
          <w:rFonts w:ascii="Tahoma" w:hAnsi="Tahoma" w:cs="Tahoma"/>
          <w:sz w:val="20"/>
          <w:szCs w:val="20"/>
        </w:rPr>
        <w:t xml:space="preserve"> </w:t>
      </w:r>
      <w:r w:rsidRPr="00B004EE">
        <w:rPr>
          <w:rFonts w:ascii="Tahoma" w:hAnsi="Tahoma" w:cs="Tahoma"/>
          <w:sz w:val="20"/>
          <w:szCs w:val="20"/>
        </w:rPr>
        <w:t>modifiable.</w:t>
      </w:r>
      <w:r w:rsidR="00DB1635" w:rsidRPr="00B004EE">
        <w:rPr>
          <w:rFonts w:ascii="Tahoma" w:hAnsi="Tahoma" w:cs="Tahoma"/>
          <w:sz w:val="20"/>
          <w:szCs w:val="20"/>
        </w:rPr>
        <w:t xml:space="preserve"> </w:t>
      </w:r>
    </w:p>
    <w:p w14:paraId="4568E733" w14:textId="77777777" w:rsidR="008518B0" w:rsidRPr="00B004EE" w:rsidRDefault="008518B0" w:rsidP="00B004EE">
      <w:pPr>
        <w:pStyle w:val="article"/>
        <w:numPr>
          <w:ilvl w:val="0"/>
          <w:numId w:val="0"/>
        </w:numPr>
        <w:tabs>
          <w:tab w:val="left" w:pos="1200"/>
        </w:tabs>
        <w:spacing w:before="0" w:line="240" w:lineRule="auto"/>
        <w:rPr>
          <w:rFonts w:ascii="Tahoma" w:hAnsi="Tahoma" w:cs="Tahoma"/>
          <w:sz w:val="20"/>
          <w:szCs w:val="20"/>
        </w:rPr>
      </w:pPr>
    </w:p>
    <w:p w14:paraId="647A585B" w14:textId="0A7A1102" w:rsidR="008518B0" w:rsidRPr="00B004EE" w:rsidRDefault="008518B0" w:rsidP="00B004EE">
      <w:pPr>
        <w:pStyle w:val="article"/>
        <w:numPr>
          <w:ilvl w:val="0"/>
          <w:numId w:val="0"/>
        </w:numPr>
        <w:tabs>
          <w:tab w:val="left" w:pos="1200"/>
        </w:tabs>
        <w:spacing w:before="0" w:line="240" w:lineRule="auto"/>
        <w:jc w:val="center"/>
        <w:rPr>
          <w:rFonts w:ascii="Tahoma" w:hAnsi="Tahoma" w:cs="Tahoma"/>
          <w:b/>
          <w:bCs/>
          <w:sz w:val="20"/>
          <w:szCs w:val="20"/>
        </w:rPr>
      </w:pPr>
      <w:r w:rsidRPr="00B004EE">
        <w:rPr>
          <w:rFonts w:ascii="Tahoma" w:hAnsi="Tahoma" w:cs="Tahoma"/>
          <w:b/>
          <w:bCs/>
          <w:sz w:val="20"/>
          <w:szCs w:val="20"/>
        </w:rPr>
        <w:t>Section</w:t>
      </w:r>
      <w:r w:rsidR="00DB1635" w:rsidRPr="00B004EE">
        <w:rPr>
          <w:rFonts w:ascii="Tahoma" w:hAnsi="Tahoma" w:cs="Tahoma"/>
          <w:b/>
          <w:bCs/>
          <w:sz w:val="20"/>
          <w:szCs w:val="20"/>
        </w:rPr>
        <w:t xml:space="preserve"> </w:t>
      </w:r>
      <w:r w:rsidRPr="00B004EE">
        <w:rPr>
          <w:rFonts w:ascii="Tahoma" w:hAnsi="Tahoma" w:cs="Tahoma"/>
          <w:b/>
          <w:bCs/>
          <w:sz w:val="20"/>
          <w:szCs w:val="20"/>
        </w:rPr>
        <w:t>VI</w:t>
      </w:r>
      <w:r w:rsidR="00DB1635" w:rsidRPr="00B004EE">
        <w:rPr>
          <w:rFonts w:ascii="Tahoma" w:hAnsi="Tahoma" w:cs="Tahoma"/>
          <w:b/>
          <w:bCs/>
          <w:sz w:val="20"/>
          <w:szCs w:val="20"/>
        </w:rPr>
        <w:t xml:space="preserve"> </w:t>
      </w:r>
      <w:r w:rsidRPr="00B004EE">
        <w:rPr>
          <w:rFonts w:ascii="Tahoma" w:hAnsi="Tahoma" w:cs="Tahoma"/>
          <w:b/>
          <w:bCs/>
          <w:sz w:val="20"/>
          <w:szCs w:val="20"/>
        </w:rPr>
        <w:t>:</w:t>
      </w:r>
      <w:r w:rsidR="00DB1635" w:rsidRPr="00B004EE">
        <w:rPr>
          <w:rFonts w:ascii="Tahoma" w:hAnsi="Tahoma" w:cs="Tahoma"/>
          <w:b/>
          <w:bCs/>
          <w:sz w:val="20"/>
          <w:szCs w:val="20"/>
        </w:rPr>
        <w:t xml:space="preserve"> </w:t>
      </w:r>
      <w:r w:rsidRPr="00B004EE">
        <w:rPr>
          <w:rFonts w:ascii="Tahoma" w:hAnsi="Tahoma" w:cs="Tahoma"/>
          <w:b/>
          <w:bCs/>
          <w:sz w:val="20"/>
          <w:szCs w:val="20"/>
        </w:rPr>
        <w:t>De</w:t>
      </w:r>
      <w:r w:rsidR="00DB1635" w:rsidRPr="00B004EE">
        <w:rPr>
          <w:rFonts w:ascii="Tahoma" w:hAnsi="Tahoma" w:cs="Tahoma"/>
          <w:b/>
          <w:bCs/>
          <w:sz w:val="20"/>
          <w:szCs w:val="20"/>
        </w:rPr>
        <w:t xml:space="preserve"> </w:t>
      </w:r>
      <w:r w:rsidRPr="00B004EE">
        <w:rPr>
          <w:rFonts w:ascii="Tahoma" w:hAnsi="Tahoma" w:cs="Tahoma"/>
          <w:b/>
          <w:bCs/>
          <w:sz w:val="20"/>
          <w:szCs w:val="20"/>
        </w:rPr>
        <w:t>l'arrimage</w:t>
      </w:r>
      <w:r w:rsidR="00DB1635" w:rsidRPr="00B004EE">
        <w:rPr>
          <w:rFonts w:ascii="Tahoma" w:hAnsi="Tahoma" w:cs="Tahoma"/>
          <w:b/>
          <w:bCs/>
          <w:sz w:val="20"/>
          <w:szCs w:val="20"/>
        </w:rPr>
        <w:t xml:space="preserve"> </w:t>
      </w:r>
      <w:r w:rsidRPr="00B004EE">
        <w:rPr>
          <w:rFonts w:ascii="Tahoma" w:hAnsi="Tahoma" w:cs="Tahoma"/>
          <w:b/>
          <w:bCs/>
          <w:sz w:val="20"/>
          <w:szCs w:val="20"/>
        </w:rPr>
        <w:t>des</w:t>
      </w:r>
      <w:r w:rsidR="00DB1635" w:rsidRPr="00B004EE">
        <w:rPr>
          <w:rFonts w:ascii="Tahoma" w:hAnsi="Tahoma" w:cs="Tahoma"/>
          <w:b/>
          <w:bCs/>
          <w:sz w:val="20"/>
          <w:szCs w:val="20"/>
        </w:rPr>
        <w:t xml:space="preserve"> </w:t>
      </w:r>
      <w:r w:rsidRPr="00B004EE">
        <w:rPr>
          <w:rFonts w:ascii="Tahoma" w:hAnsi="Tahoma" w:cs="Tahoma"/>
          <w:b/>
          <w:bCs/>
          <w:sz w:val="20"/>
          <w:szCs w:val="20"/>
        </w:rPr>
        <w:t>engins</w:t>
      </w:r>
      <w:r w:rsidR="00DB1635" w:rsidRPr="00B004EE">
        <w:rPr>
          <w:rFonts w:ascii="Tahoma" w:hAnsi="Tahoma" w:cs="Tahoma"/>
          <w:b/>
          <w:bCs/>
          <w:sz w:val="20"/>
          <w:szCs w:val="20"/>
        </w:rPr>
        <w:t xml:space="preserve"> </w:t>
      </w:r>
      <w:r w:rsidRPr="00B004EE">
        <w:rPr>
          <w:rFonts w:ascii="Tahoma" w:hAnsi="Tahoma" w:cs="Tahoma"/>
          <w:b/>
          <w:bCs/>
          <w:sz w:val="20"/>
          <w:szCs w:val="20"/>
        </w:rPr>
        <w:t>des</w:t>
      </w:r>
      <w:r w:rsidR="00DB1635" w:rsidRPr="00B004EE">
        <w:rPr>
          <w:rFonts w:ascii="Tahoma" w:hAnsi="Tahoma" w:cs="Tahoma"/>
          <w:b/>
          <w:bCs/>
          <w:sz w:val="20"/>
          <w:szCs w:val="20"/>
        </w:rPr>
        <w:t xml:space="preserve"> </w:t>
      </w:r>
      <w:r w:rsidRPr="00B004EE">
        <w:rPr>
          <w:rFonts w:ascii="Tahoma" w:hAnsi="Tahoma" w:cs="Tahoma"/>
          <w:b/>
          <w:bCs/>
          <w:sz w:val="20"/>
          <w:szCs w:val="20"/>
        </w:rPr>
        <w:t>navires</w:t>
      </w:r>
      <w:r w:rsidR="00DB1635" w:rsidRPr="00B004EE">
        <w:rPr>
          <w:rFonts w:ascii="Tahoma" w:hAnsi="Tahoma" w:cs="Tahoma"/>
          <w:b/>
          <w:bCs/>
          <w:sz w:val="20"/>
          <w:szCs w:val="20"/>
        </w:rPr>
        <w:t xml:space="preserve"> </w:t>
      </w:r>
      <w:r w:rsidRPr="00B004EE">
        <w:rPr>
          <w:rFonts w:ascii="Tahoma" w:hAnsi="Tahoma" w:cs="Tahoma"/>
          <w:b/>
          <w:bCs/>
          <w:sz w:val="20"/>
          <w:szCs w:val="20"/>
        </w:rPr>
        <w:t>de</w:t>
      </w:r>
      <w:r w:rsidR="00DB1635" w:rsidRPr="00B004EE">
        <w:rPr>
          <w:rFonts w:ascii="Tahoma" w:hAnsi="Tahoma" w:cs="Tahoma"/>
          <w:b/>
          <w:bCs/>
          <w:sz w:val="20"/>
          <w:szCs w:val="20"/>
        </w:rPr>
        <w:t xml:space="preserve"> </w:t>
      </w:r>
      <w:r w:rsidRPr="00B004EE">
        <w:rPr>
          <w:rFonts w:ascii="Tahoma" w:hAnsi="Tahoma" w:cs="Tahoma"/>
          <w:b/>
          <w:bCs/>
          <w:sz w:val="20"/>
          <w:szCs w:val="20"/>
        </w:rPr>
        <w:t>pêche</w:t>
      </w:r>
    </w:p>
    <w:p w14:paraId="449C8A2D" w14:textId="77777777" w:rsidR="008518B0" w:rsidRPr="00B004EE" w:rsidRDefault="008518B0" w:rsidP="00B004EE">
      <w:pPr>
        <w:pStyle w:val="article"/>
        <w:numPr>
          <w:ilvl w:val="0"/>
          <w:numId w:val="0"/>
        </w:numPr>
        <w:tabs>
          <w:tab w:val="left" w:pos="1200"/>
        </w:tabs>
        <w:spacing w:before="0" w:line="240" w:lineRule="auto"/>
        <w:rPr>
          <w:rFonts w:ascii="Tahoma" w:hAnsi="Tahoma" w:cs="Tahoma"/>
          <w:sz w:val="20"/>
          <w:szCs w:val="20"/>
        </w:rPr>
      </w:pPr>
    </w:p>
    <w:p w14:paraId="446DC87F" w14:textId="530F2409" w:rsidR="008518B0" w:rsidRPr="00B004EE" w:rsidRDefault="008518B0" w:rsidP="00B004EE">
      <w:pPr>
        <w:pStyle w:val="article"/>
        <w:numPr>
          <w:ilvl w:val="0"/>
          <w:numId w:val="0"/>
        </w:numPr>
        <w:tabs>
          <w:tab w:val="left" w:pos="1200"/>
        </w:tabs>
        <w:spacing w:before="0" w:line="240" w:lineRule="auto"/>
        <w:rPr>
          <w:rFonts w:ascii="Tahoma" w:hAnsi="Tahoma" w:cs="Tahoma"/>
          <w:sz w:val="20"/>
          <w:szCs w:val="20"/>
        </w:rPr>
      </w:pPr>
      <w:r w:rsidRPr="00B004EE">
        <w:rPr>
          <w:rFonts w:ascii="Tahoma" w:hAnsi="Tahoma" w:cs="Tahoma"/>
          <w:sz w:val="20"/>
          <w:szCs w:val="20"/>
        </w:rPr>
        <w:t>Article</w:t>
      </w:r>
      <w:r w:rsidR="00DB1635" w:rsidRPr="00B004EE">
        <w:rPr>
          <w:rFonts w:ascii="Tahoma" w:hAnsi="Tahoma" w:cs="Tahoma"/>
          <w:sz w:val="20"/>
          <w:szCs w:val="20"/>
        </w:rPr>
        <w:t xml:space="preserve"> </w:t>
      </w:r>
      <w:r w:rsidRPr="00B004EE">
        <w:rPr>
          <w:rFonts w:ascii="Tahoma" w:hAnsi="Tahoma" w:cs="Tahoma"/>
          <w:sz w:val="20"/>
          <w:szCs w:val="20"/>
        </w:rPr>
        <w:t>44</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engins</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navires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étrangers</w:t>
      </w:r>
      <w:r w:rsidR="00DB1635" w:rsidRPr="00B004EE">
        <w:rPr>
          <w:rFonts w:ascii="Tahoma" w:hAnsi="Tahoma" w:cs="Tahoma"/>
          <w:sz w:val="20"/>
          <w:szCs w:val="20"/>
        </w:rPr>
        <w:t xml:space="preserve"> </w:t>
      </w:r>
      <w:r w:rsidRPr="00B004EE">
        <w:rPr>
          <w:rFonts w:ascii="Tahoma" w:hAnsi="Tahoma" w:cs="Tahoma"/>
          <w:sz w:val="20"/>
          <w:szCs w:val="20"/>
        </w:rPr>
        <w:t>visés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l'article</w:t>
      </w:r>
      <w:r w:rsidR="00DB1635" w:rsidRPr="00B004EE">
        <w:rPr>
          <w:rFonts w:ascii="Tahoma" w:hAnsi="Tahoma" w:cs="Tahoma"/>
          <w:sz w:val="20"/>
          <w:szCs w:val="20"/>
        </w:rPr>
        <w:t xml:space="preserve"> </w:t>
      </w:r>
      <w:r w:rsidRPr="00B004EE">
        <w:rPr>
          <w:rFonts w:ascii="Tahoma" w:hAnsi="Tahoma" w:cs="Tahoma"/>
          <w:sz w:val="20"/>
          <w:szCs w:val="20"/>
        </w:rPr>
        <w:t>47</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loi</w:t>
      </w:r>
      <w:r w:rsidR="00DB1635" w:rsidRPr="00B004EE">
        <w:rPr>
          <w:rFonts w:ascii="Tahoma" w:hAnsi="Tahoma" w:cs="Tahoma"/>
          <w:sz w:val="20"/>
          <w:szCs w:val="20"/>
        </w:rPr>
        <w:t xml:space="preserve"> </w:t>
      </w:r>
      <w:r w:rsidRPr="00B004EE">
        <w:rPr>
          <w:rFonts w:ascii="Tahoma" w:hAnsi="Tahoma" w:cs="Tahoma"/>
          <w:sz w:val="20"/>
          <w:szCs w:val="20"/>
        </w:rPr>
        <w:t>n°</w:t>
      </w:r>
      <w:r w:rsidR="00DB1635" w:rsidRPr="00B004EE">
        <w:rPr>
          <w:rFonts w:ascii="Tahoma" w:hAnsi="Tahoma" w:cs="Tahoma"/>
          <w:sz w:val="20"/>
          <w:szCs w:val="20"/>
        </w:rPr>
        <w:t xml:space="preserve"> </w:t>
      </w:r>
      <w:r w:rsidRPr="00B004EE">
        <w:rPr>
          <w:rFonts w:ascii="Tahoma" w:hAnsi="Tahoma" w:cs="Tahoma"/>
          <w:sz w:val="20"/>
          <w:szCs w:val="20"/>
        </w:rPr>
        <w:t>2015/017</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29</w:t>
      </w:r>
      <w:r w:rsidR="00DB1635" w:rsidRPr="00B004EE">
        <w:rPr>
          <w:rFonts w:ascii="Tahoma" w:hAnsi="Tahoma" w:cs="Tahoma"/>
          <w:sz w:val="20"/>
          <w:szCs w:val="20"/>
        </w:rPr>
        <w:t xml:space="preserve"> </w:t>
      </w:r>
      <w:r w:rsidRPr="00B004EE">
        <w:rPr>
          <w:rFonts w:ascii="Tahoma" w:hAnsi="Tahoma" w:cs="Tahoma"/>
          <w:sz w:val="20"/>
          <w:szCs w:val="20"/>
        </w:rPr>
        <w:t>juillet</w:t>
      </w:r>
      <w:r w:rsidR="00DB1635" w:rsidRPr="00B004EE">
        <w:rPr>
          <w:rFonts w:ascii="Tahoma" w:hAnsi="Tahoma" w:cs="Tahoma"/>
          <w:sz w:val="20"/>
          <w:szCs w:val="20"/>
        </w:rPr>
        <w:t xml:space="preserve"> </w:t>
      </w:r>
      <w:r w:rsidRPr="00B004EE">
        <w:rPr>
          <w:rFonts w:ascii="Tahoma" w:hAnsi="Tahoma" w:cs="Tahoma"/>
          <w:sz w:val="20"/>
          <w:szCs w:val="20"/>
        </w:rPr>
        <w:t>2105</w:t>
      </w:r>
      <w:r w:rsidR="00DB1635" w:rsidRPr="00B004EE">
        <w:rPr>
          <w:rFonts w:ascii="Tahoma" w:hAnsi="Tahoma" w:cs="Tahoma"/>
          <w:sz w:val="20"/>
          <w:szCs w:val="20"/>
        </w:rPr>
        <w:t xml:space="preserve"> </w:t>
      </w:r>
      <w:r w:rsidRPr="00B004EE">
        <w:rPr>
          <w:rFonts w:ascii="Tahoma" w:hAnsi="Tahoma" w:cs="Tahoma"/>
          <w:sz w:val="20"/>
          <w:szCs w:val="20"/>
        </w:rPr>
        <w:t>portant</w:t>
      </w:r>
      <w:r w:rsidR="00DB1635" w:rsidRPr="00B004EE">
        <w:rPr>
          <w:rFonts w:ascii="Tahoma" w:hAnsi="Tahoma" w:cs="Tahoma"/>
          <w:sz w:val="20"/>
          <w:szCs w:val="20"/>
        </w:rPr>
        <w:t xml:space="preserve"> </w:t>
      </w:r>
      <w:r w:rsidRPr="00B004EE">
        <w:rPr>
          <w:rFonts w:ascii="Tahoma" w:hAnsi="Tahoma" w:cs="Tahoma"/>
          <w:sz w:val="20"/>
          <w:szCs w:val="20"/>
        </w:rPr>
        <w:t>Code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sz w:val="20"/>
          <w:szCs w:val="20"/>
        </w:rPr>
        <w:t xml:space="preserve"> </w:t>
      </w:r>
      <w:r w:rsidRPr="00B004EE">
        <w:rPr>
          <w:rFonts w:ascii="Tahoma" w:hAnsi="Tahoma" w:cs="Tahoma"/>
          <w:sz w:val="20"/>
          <w:szCs w:val="20"/>
        </w:rPr>
        <w:t>doivent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rangés</w:t>
      </w:r>
      <w:r w:rsidR="00DB1635" w:rsidRPr="00B004EE">
        <w:rPr>
          <w:rFonts w:ascii="Tahoma" w:hAnsi="Tahoma" w:cs="Tahoma"/>
          <w:sz w:val="20"/>
          <w:szCs w:val="20"/>
        </w:rPr>
        <w:t xml:space="preserve"> </w:t>
      </w:r>
      <w:r w:rsidRPr="00B004EE">
        <w:rPr>
          <w:rFonts w:ascii="Tahoma" w:hAnsi="Tahoma" w:cs="Tahoma"/>
          <w:sz w:val="20"/>
          <w:szCs w:val="20"/>
        </w:rPr>
        <w:t>conformément</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indications</w:t>
      </w:r>
      <w:r w:rsidR="00DB1635" w:rsidRPr="00B004EE">
        <w:rPr>
          <w:rFonts w:ascii="Tahoma" w:hAnsi="Tahoma" w:cs="Tahoma"/>
          <w:sz w:val="20"/>
          <w:szCs w:val="20"/>
        </w:rPr>
        <w:t xml:space="preserve"> </w:t>
      </w:r>
      <w:r w:rsidRPr="00B004EE">
        <w:rPr>
          <w:rFonts w:ascii="Tahoma" w:hAnsi="Tahoma" w:cs="Tahoma"/>
          <w:sz w:val="20"/>
          <w:szCs w:val="20"/>
        </w:rPr>
        <w:t>suivantes</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p>
    <w:p w14:paraId="42B19C69" w14:textId="33305127" w:rsidR="008518B0" w:rsidRPr="00B004EE" w:rsidRDefault="008518B0" w:rsidP="00420DDA">
      <w:pPr>
        <w:pStyle w:val="Retraitcorpsdetexte"/>
        <w:numPr>
          <w:ilvl w:val="0"/>
          <w:numId w:val="53"/>
        </w:numPr>
        <w:tabs>
          <w:tab w:val="left" w:pos="0"/>
          <w:tab w:val="left" w:pos="750"/>
          <w:tab w:val="left" w:pos="993"/>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rPr>
          <w:rFonts w:ascii="Tahoma" w:hAnsi="Tahoma" w:cs="Tahoma"/>
          <w:bCs/>
          <w:sz w:val="20"/>
          <w:szCs w:val="20"/>
        </w:rPr>
      </w:pPr>
      <w:proofErr w:type="gramStart"/>
      <w:r w:rsidRPr="00B004EE">
        <w:rPr>
          <w:rFonts w:ascii="Tahoma" w:hAnsi="Tahoma" w:cs="Tahoma"/>
          <w:bCs/>
          <w:sz w:val="20"/>
          <w:szCs w:val="20"/>
        </w:rPr>
        <w:t>les</w:t>
      </w:r>
      <w:proofErr w:type="gramEnd"/>
      <w:r w:rsidR="00DB1635" w:rsidRPr="00B004EE">
        <w:rPr>
          <w:rFonts w:ascii="Tahoma" w:hAnsi="Tahoma" w:cs="Tahoma"/>
          <w:bCs/>
          <w:sz w:val="20"/>
          <w:szCs w:val="20"/>
        </w:rPr>
        <w:t xml:space="preserve"> </w:t>
      </w:r>
      <w:r w:rsidRPr="00B004EE">
        <w:rPr>
          <w:rFonts w:ascii="Tahoma" w:hAnsi="Tahoma" w:cs="Tahoma"/>
          <w:bCs/>
          <w:sz w:val="20"/>
          <w:szCs w:val="20"/>
        </w:rPr>
        <w:t>chalutiers</w:t>
      </w:r>
      <w:r w:rsidR="00DB1635" w:rsidRPr="00B004EE">
        <w:rPr>
          <w:rFonts w:ascii="Tahoma" w:hAnsi="Tahoma" w:cs="Tahoma"/>
          <w:bCs/>
          <w:sz w:val="20"/>
          <w:szCs w:val="20"/>
        </w:rPr>
        <w:t xml:space="preserve"> </w:t>
      </w:r>
      <w:r w:rsidRPr="00B004EE">
        <w:rPr>
          <w:rFonts w:ascii="Tahoma" w:hAnsi="Tahoma" w:cs="Tahoma"/>
          <w:bCs/>
          <w:sz w:val="20"/>
          <w:szCs w:val="20"/>
        </w:rPr>
        <w:t>auront</w:t>
      </w:r>
      <w:r w:rsidR="00DB1635" w:rsidRPr="00B004EE">
        <w:rPr>
          <w:rFonts w:ascii="Tahoma" w:hAnsi="Tahoma" w:cs="Tahoma"/>
          <w:bCs/>
          <w:sz w:val="20"/>
          <w:szCs w:val="20"/>
        </w:rPr>
        <w:t xml:space="preserve"> </w:t>
      </w:r>
      <w:r w:rsidRPr="00B004EE">
        <w:rPr>
          <w:rFonts w:ascii="Tahoma" w:hAnsi="Tahoma" w:cs="Tahoma"/>
          <w:bCs/>
          <w:sz w:val="20"/>
          <w:szCs w:val="20"/>
        </w:rPr>
        <w:t>leurs</w:t>
      </w:r>
      <w:r w:rsidR="00DB1635" w:rsidRPr="00B004EE">
        <w:rPr>
          <w:rFonts w:ascii="Tahoma" w:hAnsi="Tahoma" w:cs="Tahoma"/>
          <w:bCs/>
          <w:sz w:val="20"/>
          <w:szCs w:val="20"/>
        </w:rPr>
        <w:t xml:space="preserve"> </w:t>
      </w:r>
      <w:r w:rsidRPr="00B004EE">
        <w:rPr>
          <w:rFonts w:ascii="Tahoma" w:hAnsi="Tahoma" w:cs="Tahoma"/>
          <w:bCs/>
          <w:sz w:val="20"/>
          <w:szCs w:val="20"/>
        </w:rPr>
        <w:t>chaluts,</w:t>
      </w:r>
      <w:r w:rsidR="00DB1635" w:rsidRPr="00B004EE">
        <w:rPr>
          <w:rFonts w:ascii="Tahoma" w:hAnsi="Tahoma" w:cs="Tahoma"/>
          <w:bCs/>
          <w:sz w:val="20"/>
          <w:szCs w:val="20"/>
        </w:rPr>
        <w:t xml:space="preserve"> </w:t>
      </w:r>
      <w:r w:rsidRPr="00B004EE">
        <w:rPr>
          <w:rFonts w:ascii="Tahoma" w:hAnsi="Tahoma" w:cs="Tahoma"/>
          <w:bCs/>
          <w:sz w:val="20"/>
          <w:szCs w:val="20"/>
        </w:rPr>
        <w:t>panneaux</w:t>
      </w:r>
      <w:r w:rsidR="00DB1635" w:rsidRPr="00B004EE">
        <w:rPr>
          <w:rFonts w:ascii="Tahoma" w:hAnsi="Tahoma" w:cs="Tahoma"/>
          <w:bCs/>
          <w:sz w:val="20"/>
          <w:szCs w:val="20"/>
        </w:rPr>
        <w:t xml:space="preserve"> </w:t>
      </w:r>
      <w:r w:rsidRPr="00B004EE">
        <w:rPr>
          <w:rFonts w:ascii="Tahoma" w:hAnsi="Tahoma" w:cs="Tahoma"/>
          <w:bCs/>
          <w:sz w:val="20"/>
          <w:szCs w:val="20"/>
        </w:rPr>
        <w:t>et</w:t>
      </w:r>
      <w:r w:rsidR="00DB1635" w:rsidRPr="00B004EE">
        <w:rPr>
          <w:rFonts w:ascii="Tahoma" w:hAnsi="Tahoma" w:cs="Tahoma"/>
          <w:bCs/>
          <w:sz w:val="20"/>
          <w:szCs w:val="20"/>
        </w:rPr>
        <w:t xml:space="preserve"> </w:t>
      </w:r>
      <w:r w:rsidRPr="00B004EE">
        <w:rPr>
          <w:rFonts w:ascii="Tahoma" w:hAnsi="Tahoma" w:cs="Tahoma"/>
          <w:bCs/>
          <w:sz w:val="20"/>
          <w:szCs w:val="20"/>
        </w:rPr>
        <w:t>poids</w:t>
      </w:r>
      <w:r w:rsidR="00DB1635" w:rsidRPr="00B004EE">
        <w:rPr>
          <w:rFonts w:ascii="Tahoma" w:hAnsi="Tahoma" w:cs="Tahoma"/>
          <w:bCs/>
          <w:sz w:val="20"/>
          <w:szCs w:val="20"/>
        </w:rPr>
        <w:t xml:space="preserve"> </w:t>
      </w:r>
      <w:r w:rsidRPr="00B004EE">
        <w:rPr>
          <w:rFonts w:ascii="Tahoma" w:hAnsi="Tahoma" w:cs="Tahoma"/>
          <w:bCs/>
          <w:sz w:val="20"/>
          <w:szCs w:val="20"/>
        </w:rPr>
        <w:t>défaits</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leurs</w:t>
      </w:r>
      <w:r w:rsidR="00DB1635" w:rsidRPr="00B004EE">
        <w:rPr>
          <w:rFonts w:ascii="Tahoma" w:hAnsi="Tahoma" w:cs="Tahoma"/>
          <w:bCs/>
          <w:sz w:val="20"/>
          <w:szCs w:val="20"/>
        </w:rPr>
        <w:t xml:space="preserve"> </w:t>
      </w:r>
      <w:r w:rsidRPr="00B004EE">
        <w:rPr>
          <w:rFonts w:ascii="Tahoma" w:hAnsi="Tahoma" w:cs="Tahoma"/>
          <w:bCs/>
          <w:sz w:val="20"/>
          <w:szCs w:val="20"/>
        </w:rPr>
        <w:t>câbles</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remorque</w:t>
      </w:r>
      <w:r w:rsidR="00DB1635" w:rsidRPr="00B004EE">
        <w:rPr>
          <w:rFonts w:ascii="Tahoma" w:hAnsi="Tahoma" w:cs="Tahoma"/>
          <w:bCs/>
          <w:sz w:val="20"/>
          <w:szCs w:val="20"/>
        </w:rPr>
        <w:t xml:space="preserve"> </w:t>
      </w:r>
      <w:r w:rsidRPr="00B004EE">
        <w:rPr>
          <w:rFonts w:ascii="Tahoma" w:hAnsi="Tahoma" w:cs="Tahoma"/>
          <w:bCs/>
          <w:sz w:val="20"/>
          <w:szCs w:val="20"/>
        </w:rPr>
        <w:t>ou</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leurs</w:t>
      </w:r>
      <w:r w:rsidR="00DB1635" w:rsidRPr="00B004EE">
        <w:rPr>
          <w:rFonts w:ascii="Tahoma" w:hAnsi="Tahoma" w:cs="Tahoma"/>
          <w:bCs/>
          <w:sz w:val="20"/>
          <w:szCs w:val="20"/>
        </w:rPr>
        <w:t xml:space="preserve"> </w:t>
      </w:r>
      <w:r w:rsidRPr="00B004EE">
        <w:rPr>
          <w:rFonts w:ascii="Tahoma" w:hAnsi="Tahoma" w:cs="Tahoma"/>
          <w:bCs/>
          <w:sz w:val="20"/>
          <w:szCs w:val="20"/>
        </w:rPr>
        <w:t>cadres</w:t>
      </w:r>
      <w:r w:rsidR="00DB1635" w:rsidRPr="00B004EE">
        <w:rPr>
          <w:rFonts w:ascii="Tahoma" w:hAnsi="Tahoma" w:cs="Tahoma"/>
          <w:bCs/>
          <w:sz w:val="20"/>
          <w:szCs w:val="20"/>
        </w:rPr>
        <w:t xml:space="preserve"> </w:t>
      </w:r>
      <w:r w:rsidRPr="00B004EE">
        <w:rPr>
          <w:rFonts w:ascii="Tahoma" w:hAnsi="Tahoma" w:cs="Tahoma"/>
          <w:bCs/>
          <w:sz w:val="20"/>
          <w:szCs w:val="20"/>
        </w:rPr>
        <w:t>fixes;</w:t>
      </w:r>
      <w:r w:rsidR="00DB1635" w:rsidRPr="00B004EE">
        <w:rPr>
          <w:rFonts w:ascii="Tahoma" w:hAnsi="Tahoma" w:cs="Tahoma"/>
          <w:bCs/>
          <w:sz w:val="20"/>
          <w:szCs w:val="20"/>
        </w:rPr>
        <w:t xml:space="preserve"> </w:t>
      </w:r>
      <w:r w:rsidRPr="00B004EE">
        <w:rPr>
          <w:rFonts w:ascii="Tahoma" w:hAnsi="Tahoma" w:cs="Tahoma"/>
          <w:bCs/>
          <w:sz w:val="20"/>
          <w:szCs w:val="20"/>
        </w:rPr>
        <w:t>les</w:t>
      </w:r>
      <w:r w:rsidR="00DB1635" w:rsidRPr="00B004EE">
        <w:rPr>
          <w:rFonts w:ascii="Tahoma" w:hAnsi="Tahoma" w:cs="Tahoma"/>
          <w:bCs/>
          <w:sz w:val="20"/>
          <w:szCs w:val="20"/>
        </w:rPr>
        <w:t xml:space="preserve"> </w:t>
      </w:r>
      <w:r w:rsidRPr="00B004EE">
        <w:rPr>
          <w:rFonts w:ascii="Tahoma" w:hAnsi="Tahoma" w:cs="Tahoma"/>
          <w:bCs/>
          <w:sz w:val="20"/>
          <w:szCs w:val="20"/>
        </w:rPr>
        <w:t>chaluts</w:t>
      </w:r>
      <w:r w:rsidR="00DB1635" w:rsidRPr="00B004EE">
        <w:rPr>
          <w:rFonts w:ascii="Tahoma" w:hAnsi="Tahoma" w:cs="Tahoma"/>
          <w:bCs/>
          <w:sz w:val="20"/>
          <w:szCs w:val="20"/>
        </w:rPr>
        <w:t xml:space="preserve"> </w:t>
      </w:r>
      <w:r w:rsidRPr="00B004EE">
        <w:rPr>
          <w:rFonts w:ascii="Tahoma" w:hAnsi="Tahoma" w:cs="Tahoma"/>
          <w:bCs/>
          <w:sz w:val="20"/>
          <w:szCs w:val="20"/>
        </w:rPr>
        <w:t>et</w:t>
      </w:r>
      <w:r w:rsidR="00DB1635" w:rsidRPr="00B004EE">
        <w:rPr>
          <w:rFonts w:ascii="Tahoma" w:hAnsi="Tahoma" w:cs="Tahoma"/>
          <w:bCs/>
          <w:sz w:val="20"/>
          <w:szCs w:val="20"/>
        </w:rPr>
        <w:t xml:space="preserve"> </w:t>
      </w:r>
      <w:r w:rsidRPr="00B004EE">
        <w:rPr>
          <w:rFonts w:ascii="Tahoma" w:hAnsi="Tahoma" w:cs="Tahoma"/>
          <w:bCs/>
          <w:sz w:val="20"/>
          <w:szCs w:val="20"/>
        </w:rPr>
        <w:t>les</w:t>
      </w:r>
      <w:r w:rsidR="00DB1635" w:rsidRPr="00B004EE">
        <w:rPr>
          <w:rFonts w:ascii="Tahoma" w:hAnsi="Tahoma" w:cs="Tahoma"/>
          <w:bCs/>
          <w:sz w:val="20"/>
          <w:szCs w:val="20"/>
        </w:rPr>
        <w:t xml:space="preserve"> </w:t>
      </w:r>
      <w:r w:rsidRPr="00B004EE">
        <w:rPr>
          <w:rFonts w:ascii="Tahoma" w:hAnsi="Tahoma" w:cs="Tahoma"/>
          <w:bCs/>
          <w:sz w:val="20"/>
          <w:szCs w:val="20"/>
        </w:rPr>
        <w:t>panneaux</w:t>
      </w:r>
      <w:r w:rsidR="00DB1635" w:rsidRPr="00B004EE">
        <w:rPr>
          <w:rFonts w:ascii="Tahoma" w:hAnsi="Tahoma" w:cs="Tahoma"/>
          <w:bCs/>
          <w:sz w:val="20"/>
          <w:szCs w:val="20"/>
        </w:rPr>
        <w:t xml:space="preserve"> </w:t>
      </w:r>
      <w:r w:rsidRPr="00B004EE">
        <w:rPr>
          <w:rFonts w:ascii="Tahoma" w:hAnsi="Tahoma" w:cs="Tahoma"/>
          <w:bCs/>
          <w:sz w:val="20"/>
          <w:szCs w:val="20"/>
        </w:rPr>
        <w:t>seront</w:t>
      </w:r>
      <w:r w:rsidR="00DB1635" w:rsidRPr="00B004EE">
        <w:rPr>
          <w:rFonts w:ascii="Tahoma" w:hAnsi="Tahoma" w:cs="Tahoma"/>
          <w:bCs/>
          <w:sz w:val="20"/>
          <w:szCs w:val="20"/>
        </w:rPr>
        <w:t xml:space="preserve"> </w:t>
      </w:r>
      <w:r w:rsidRPr="00B004EE">
        <w:rPr>
          <w:rFonts w:ascii="Tahoma" w:hAnsi="Tahoma" w:cs="Tahoma"/>
          <w:bCs/>
          <w:sz w:val="20"/>
          <w:szCs w:val="20"/>
        </w:rPr>
        <w:t>arrimés</w:t>
      </w:r>
      <w:r w:rsidR="00DB1635" w:rsidRPr="00B004EE">
        <w:rPr>
          <w:rFonts w:ascii="Tahoma" w:hAnsi="Tahoma" w:cs="Tahoma"/>
          <w:bCs/>
          <w:sz w:val="20"/>
          <w:szCs w:val="20"/>
        </w:rPr>
        <w:t xml:space="preserve"> </w:t>
      </w:r>
      <w:r w:rsidRPr="00B004EE">
        <w:rPr>
          <w:rFonts w:ascii="Tahoma" w:hAnsi="Tahoma" w:cs="Tahoma"/>
          <w:bCs/>
          <w:sz w:val="20"/>
          <w:szCs w:val="20"/>
        </w:rPr>
        <w:t>et</w:t>
      </w:r>
      <w:r w:rsidR="00DB1635" w:rsidRPr="00B004EE">
        <w:rPr>
          <w:rFonts w:ascii="Tahoma" w:hAnsi="Tahoma" w:cs="Tahoma"/>
          <w:bCs/>
          <w:sz w:val="20"/>
          <w:szCs w:val="20"/>
        </w:rPr>
        <w:t xml:space="preserve"> </w:t>
      </w:r>
      <w:r w:rsidRPr="00B004EE">
        <w:rPr>
          <w:rFonts w:ascii="Tahoma" w:hAnsi="Tahoma" w:cs="Tahoma"/>
          <w:bCs/>
          <w:sz w:val="20"/>
          <w:szCs w:val="20"/>
        </w:rPr>
        <w:t>fixés</w:t>
      </w:r>
      <w:r w:rsidR="00DB1635" w:rsidRPr="00B004EE">
        <w:rPr>
          <w:rFonts w:ascii="Tahoma" w:hAnsi="Tahoma" w:cs="Tahoma"/>
          <w:bCs/>
          <w:sz w:val="20"/>
          <w:szCs w:val="20"/>
        </w:rPr>
        <w:t xml:space="preserve"> </w:t>
      </w:r>
      <w:r w:rsidRPr="00B004EE">
        <w:rPr>
          <w:rFonts w:ascii="Tahoma" w:hAnsi="Tahoma" w:cs="Tahoma"/>
          <w:bCs/>
          <w:sz w:val="20"/>
          <w:szCs w:val="20"/>
        </w:rPr>
        <w:t>à</w:t>
      </w:r>
      <w:r w:rsidR="00DB1635" w:rsidRPr="00B004EE">
        <w:rPr>
          <w:rFonts w:ascii="Tahoma" w:hAnsi="Tahoma" w:cs="Tahoma"/>
          <w:bCs/>
          <w:sz w:val="20"/>
          <w:szCs w:val="20"/>
        </w:rPr>
        <w:t xml:space="preserve"> </w:t>
      </w:r>
      <w:r w:rsidRPr="00B004EE">
        <w:rPr>
          <w:rFonts w:ascii="Tahoma" w:hAnsi="Tahoma" w:cs="Tahoma"/>
          <w:bCs/>
          <w:sz w:val="20"/>
          <w:szCs w:val="20"/>
        </w:rPr>
        <w:t>une</w:t>
      </w:r>
      <w:r w:rsidR="00DB1635" w:rsidRPr="00B004EE">
        <w:rPr>
          <w:rFonts w:ascii="Tahoma" w:hAnsi="Tahoma" w:cs="Tahoma"/>
          <w:bCs/>
          <w:sz w:val="20"/>
          <w:szCs w:val="20"/>
        </w:rPr>
        <w:t xml:space="preserve"> </w:t>
      </w:r>
      <w:r w:rsidRPr="00B004EE">
        <w:rPr>
          <w:rFonts w:ascii="Tahoma" w:hAnsi="Tahoma" w:cs="Tahoma"/>
          <w:bCs/>
          <w:sz w:val="20"/>
          <w:szCs w:val="20"/>
        </w:rPr>
        <w:t>partie</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la</w:t>
      </w:r>
      <w:r w:rsidR="00DB1635" w:rsidRPr="00B004EE">
        <w:rPr>
          <w:rFonts w:ascii="Tahoma" w:hAnsi="Tahoma" w:cs="Tahoma"/>
          <w:bCs/>
          <w:sz w:val="20"/>
          <w:szCs w:val="20"/>
        </w:rPr>
        <w:t xml:space="preserve"> </w:t>
      </w:r>
      <w:r w:rsidRPr="00B004EE">
        <w:rPr>
          <w:rFonts w:ascii="Tahoma" w:hAnsi="Tahoma" w:cs="Tahoma"/>
          <w:bCs/>
          <w:sz w:val="20"/>
          <w:szCs w:val="20"/>
        </w:rPr>
        <w:t>superstructure</w:t>
      </w:r>
      <w:r w:rsidR="00DB1635" w:rsidRPr="00B004EE">
        <w:rPr>
          <w:rFonts w:ascii="Tahoma" w:hAnsi="Tahoma" w:cs="Tahoma"/>
          <w:bCs/>
          <w:sz w:val="20"/>
          <w:szCs w:val="20"/>
        </w:rPr>
        <w:t xml:space="preserve"> </w:t>
      </w:r>
      <w:r w:rsidRPr="00B004EE">
        <w:rPr>
          <w:rFonts w:ascii="Tahoma" w:hAnsi="Tahoma" w:cs="Tahoma"/>
          <w:bCs/>
          <w:sz w:val="20"/>
          <w:szCs w:val="20"/>
        </w:rPr>
        <w:t>du</w:t>
      </w:r>
      <w:r w:rsidR="00DB1635" w:rsidRPr="00B004EE">
        <w:rPr>
          <w:rFonts w:ascii="Tahoma" w:hAnsi="Tahoma" w:cs="Tahoma"/>
          <w:bCs/>
          <w:sz w:val="20"/>
          <w:szCs w:val="20"/>
        </w:rPr>
        <w:t xml:space="preserve"> </w:t>
      </w:r>
      <w:r w:rsidRPr="00B004EE">
        <w:rPr>
          <w:rFonts w:ascii="Tahoma" w:hAnsi="Tahoma" w:cs="Tahoma"/>
          <w:bCs/>
          <w:sz w:val="20"/>
          <w:szCs w:val="20"/>
        </w:rPr>
        <w:t>navire</w:t>
      </w:r>
      <w:r w:rsidR="00DB1635" w:rsidRPr="00B004EE">
        <w:rPr>
          <w:rFonts w:ascii="Tahoma" w:hAnsi="Tahoma" w:cs="Tahoma"/>
          <w:bCs/>
          <w:sz w:val="20"/>
          <w:szCs w:val="20"/>
        </w:rPr>
        <w:t xml:space="preserve"> </w:t>
      </w:r>
      <w:r w:rsidRPr="00B004EE">
        <w:rPr>
          <w:rFonts w:ascii="Tahoma" w:hAnsi="Tahoma" w:cs="Tahoma"/>
          <w:bCs/>
          <w:sz w:val="20"/>
          <w:szCs w:val="20"/>
        </w:rPr>
        <w:t>ou</w:t>
      </w:r>
      <w:r w:rsidR="00DB1635" w:rsidRPr="00B004EE">
        <w:rPr>
          <w:rFonts w:ascii="Tahoma" w:hAnsi="Tahoma" w:cs="Tahoma"/>
          <w:bCs/>
          <w:sz w:val="20"/>
          <w:szCs w:val="20"/>
        </w:rPr>
        <w:t xml:space="preserve"> </w:t>
      </w:r>
      <w:r w:rsidRPr="00B004EE">
        <w:rPr>
          <w:rFonts w:ascii="Tahoma" w:hAnsi="Tahoma" w:cs="Tahoma"/>
          <w:bCs/>
          <w:sz w:val="20"/>
          <w:szCs w:val="20"/>
        </w:rPr>
        <w:t>descendus</w:t>
      </w:r>
      <w:r w:rsidR="00DB1635" w:rsidRPr="00B004EE">
        <w:rPr>
          <w:rFonts w:ascii="Tahoma" w:hAnsi="Tahoma" w:cs="Tahoma"/>
          <w:bCs/>
          <w:sz w:val="20"/>
          <w:szCs w:val="20"/>
        </w:rPr>
        <w:t xml:space="preserve"> </w:t>
      </w:r>
      <w:r w:rsidRPr="00B004EE">
        <w:rPr>
          <w:rFonts w:ascii="Tahoma" w:hAnsi="Tahoma" w:cs="Tahoma"/>
          <w:bCs/>
          <w:sz w:val="20"/>
          <w:szCs w:val="20"/>
        </w:rPr>
        <w:t>en</w:t>
      </w:r>
      <w:r w:rsidR="00DB1635" w:rsidRPr="00B004EE">
        <w:rPr>
          <w:rFonts w:ascii="Tahoma" w:hAnsi="Tahoma" w:cs="Tahoma"/>
          <w:bCs/>
          <w:sz w:val="20"/>
          <w:szCs w:val="20"/>
        </w:rPr>
        <w:t xml:space="preserve"> </w:t>
      </w:r>
      <w:r w:rsidRPr="00B004EE">
        <w:rPr>
          <w:rFonts w:ascii="Tahoma" w:hAnsi="Tahoma" w:cs="Tahoma"/>
          <w:bCs/>
          <w:sz w:val="20"/>
          <w:szCs w:val="20"/>
        </w:rPr>
        <w:t>cale;</w:t>
      </w:r>
    </w:p>
    <w:p w14:paraId="32CA2DAE" w14:textId="43E22E21" w:rsidR="008518B0" w:rsidRPr="00B004EE" w:rsidRDefault="008518B0" w:rsidP="00420DDA">
      <w:pPr>
        <w:pStyle w:val="Retraitcorpsdetexte"/>
        <w:numPr>
          <w:ilvl w:val="0"/>
          <w:numId w:val="53"/>
        </w:numPr>
        <w:tabs>
          <w:tab w:val="left" w:pos="0"/>
          <w:tab w:val="left" w:pos="750"/>
          <w:tab w:val="left" w:pos="993"/>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rPr>
          <w:rFonts w:ascii="Tahoma" w:hAnsi="Tahoma" w:cs="Tahoma"/>
          <w:bCs/>
          <w:sz w:val="20"/>
          <w:szCs w:val="20"/>
        </w:rPr>
      </w:pPr>
      <w:proofErr w:type="gramStart"/>
      <w:r w:rsidRPr="00B004EE">
        <w:rPr>
          <w:rFonts w:ascii="Tahoma" w:hAnsi="Tahoma" w:cs="Tahoma"/>
          <w:bCs/>
          <w:sz w:val="20"/>
          <w:szCs w:val="20"/>
        </w:rPr>
        <w:t>les</w:t>
      </w:r>
      <w:proofErr w:type="gramEnd"/>
      <w:r w:rsidR="00DB1635" w:rsidRPr="00B004EE">
        <w:rPr>
          <w:rFonts w:ascii="Tahoma" w:hAnsi="Tahoma" w:cs="Tahoma"/>
          <w:bCs/>
          <w:sz w:val="20"/>
          <w:szCs w:val="20"/>
        </w:rPr>
        <w:t xml:space="preserve"> </w:t>
      </w:r>
      <w:r w:rsidRPr="00B004EE">
        <w:rPr>
          <w:rFonts w:ascii="Tahoma" w:hAnsi="Tahoma" w:cs="Tahoma"/>
          <w:bCs/>
          <w:sz w:val="20"/>
          <w:szCs w:val="20"/>
        </w:rPr>
        <w:t>engins</w:t>
      </w:r>
      <w:r w:rsidR="00DB1635" w:rsidRPr="00B004EE">
        <w:rPr>
          <w:rFonts w:ascii="Tahoma" w:hAnsi="Tahoma" w:cs="Tahoma"/>
          <w:bCs/>
          <w:sz w:val="20"/>
          <w:szCs w:val="20"/>
        </w:rPr>
        <w:t xml:space="preserve"> </w:t>
      </w:r>
      <w:r w:rsidRPr="00B004EE">
        <w:rPr>
          <w:rFonts w:ascii="Tahoma" w:hAnsi="Tahoma" w:cs="Tahoma"/>
          <w:bCs/>
          <w:sz w:val="20"/>
          <w:szCs w:val="20"/>
        </w:rPr>
        <w:t>tels</w:t>
      </w:r>
      <w:r w:rsidR="00DB1635" w:rsidRPr="00B004EE">
        <w:rPr>
          <w:rFonts w:ascii="Tahoma" w:hAnsi="Tahoma" w:cs="Tahoma"/>
          <w:bCs/>
          <w:sz w:val="20"/>
          <w:szCs w:val="20"/>
        </w:rPr>
        <w:t xml:space="preserve"> </w:t>
      </w:r>
      <w:r w:rsidRPr="00B004EE">
        <w:rPr>
          <w:rFonts w:ascii="Tahoma" w:hAnsi="Tahoma" w:cs="Tahoma"/>
          <w:bCs/>
          <w:sz w:val="20"/>
          <w:szCs w:val="20"/>
        </w:rPr>
        <w:t>que</w:t>
      </w:r>
      <w:r w:rsidR="00DB1635" w:rsidRPr="00B004EE">
        <w:rPr>
          <w:rFonts w:ascii="Tahoma" w:hAnsi="Tahoma" w:cs="Tahoma"/>
          <w:bCs/>
          <w:sz w:val="20"/>
          <w:szCs w:val="20"/>
        </w:rPr>
        <w:t xml:space="preserve"> </w:t>
      </w:r>
      <w:r w:rsidRPr="00B004EE">
        <w:rPr>
          <w:rFonts w:ascii="Tahoma" w:hAnsi="Tahoma" w:cs="Tahoma"/>
          <w:bCs/>
          <w:sz w:val="20"/>
          <w:szCs w:val="20"/>
        </w:rPr>
        <w:t>filets,</w:t>
      </w:r>
      <w:r w:rsidR="00DB1635" w:rsidRPr="00B004EE">
        <w:rPr>
          <w:rFonts w:ascii="Tahoma" w:hAnsi="Tahoma" w:cs="Tahoma"/>
          <w:bCs/>
          <w:sz w:val="20"/>
          <w:szCs w:val="20"/>
        </w:rPr>
        <w:t xml:space="preserve"> </w:t>
      </w:r>
      <w:r w:rsidRPr="00B004EE">
        <w:rPr>
          <w:rFonts w:ascii="Tahoma" w:hAnsi="Tahoma" w:cs="Tahoma"/>
          <w:bCs/>
          <w:sz w:val="20"/>
          <w:szCs w:val="20"/>
        </w:rPr>
        <w:t>casiers</w:t>
      </w:r>
      <w:r w:rsidR="00DB1635" w:rsidRPr="00B004EE">
        <w:rPr>
          <w:rFonts w:ascii="Tahoma" w:hAnsi="Tahoma" w:cs="Tahoma"/>
          <w:bCs/>
          <w:sz w:val="20"/>
          <w:szCs w:val="20"/>
        </w:rPr>
        <w:t xml:space="preserve"> </w:t>
      </w:r>
      <w:r w:rsidRPr="00B004EE">
        <w:rPr>
          <w:rFonts w:ascii="Tahoma" w:hAnsi="Tahoma" w:cs="Tahoma"/>
          <w:bCs/>
          <w:sz w:val="20"/>
          <w:szCs w:val="20"/>
        </w:rPr>
        <w:t>et</w:t>
      </w:r>
      <w:r w:rsidR="00DB1635" w:rsidRPr="00B004EE">
        <w:rPr>
          <w:rFonts w:ascii="Tahoma" w:hAnsi="Tahoma" w:cs="Tahoma"/>
          <w:bCs/>
          <w:sz w:val="20"/>
          <w:szCs w:val="20"/>
        </w:rPr>
        <w:t xml:space="preserve"> </w:t>
      </w:r>
      <w:r w:rsidRPr="00B004EE">
        <w:rPr>
          <w:rFonts w:ascii="Tahoma" w:hAnsi="Tahoma" w:cs="Tahoma"/>
          <w:bCs/>
          <w:sz w:val="20"/>
          <w:szCs w:val="20"/>
        </w:rPr>
        <w:t>palangres</w:t>
      </w:r>
      <w:r w:rsidR="00DB1635" w:rsidRPr="00B004EE">
        <w:rPr>
          <w:rFonts w:ascii="Tahoma" w:hAnsi="Tahoma" w:cs="Tahoma"/>
          <w:bCs/>
          <w:sz w:val="20"/>
          <w:szCs w:val="20"/>
        </w:rPr>
        <w:t xml:space="preserve"> </w:t>
      </w:r>
      <w:r w:rsidRPr="00B004EE">
        <w:rPr>
          <w:rFonts w:ascii="Tahoma" w:hAnsi="Tahoma" w:cs="Tahoma"/>
          <w:bCs/>
          <w:sz w:val="20"/>
          <w:szCs w:val="20"/>
        </w:rPr>
        <w:t>ne</w:t>
      </w:r>
      <w:r w:rsidR="00DB1635" w:rsidRPr="00B004EE">
        <w:rPr>
          <w:rFonts w:ascii="Tahoma" w:hAnsi="Tahoma" w:cs="Tahoma"/>
          <w:bCs/>
          <w:sz w:val="20"/>
          <w:szCs w:val="20"/>
        </w:rPr>
        <w:t xml:space="preserve"> </w:t>
      </w:r>
      <w:r w:rsidRPr="00B004EE">
        <w:rPr>
          <w:rFonts w:ascii="Tahoma" w:hAnsi="Tahoma" w:cs="Tahoma"/>
          <w:bCs/>
          <w:sz w:val="20"/>
          <w:szCs w:val="20"/>
        </w:rPr>
        <w:t>doivent</w:t>
      </w:r>
      <w:r w:rsidR="00DB1635" w:rsidRPr="00B004EE">
        <w:rPr>
          <w:rFonts w:ascii="Tahoma" w:hAnsi="Tahoma" w:cs="Tahoma"/>
          <w:bCs/>
          <w:sz w:val="20"/>
          <w:szCs w:val="20"/>
        </w:rPr>
        <w:t xml:space="preserve"> </w:t>
      </w:r>
      <w:r w:rsidRPr="00B004EE">
        <w:rPr>
          <w:rFonts w:ascii="Tahoma" w:hAnsi="Tahoma" w:cs="Tahoma"/>
          <w:bCs/>
          <w:sz w:val="20"/>
          <w:szCs w:val="20"/>
        </w:rPr>
        <w:t>pas</w:t>
      </w:r>
      <w:r w:rsidR="00DB1635" w:rsidRPr="00B004EE">
        <w:rPr>
          <w:rFonts w:ascii="Tahoma" w:hAnsi="Tahoma" w:cs="Tahoma"/>
          <w:bCs/>
          <w:sz w:val="20"/>
          <w:szCs w:val="20"/>
        </w:rPr>
        <w:t xml:space="preserve"> </w:t>
      </w:r>
      <w:r w:rsidRPr="00B004EE">
        <w:rPr>
          <w:rFonts w:ascii="Tahoma" w:hAnsi="Tahoma" w:cs="Tahoma"/>
          <w:bCs/>
          <w:sz w:val="20"/>
          <w:szCs w:val="20"/>
        </w:rPr>
        <w:t>être</w:t>
      </w:r>
      <w:r w:rsidR="00DB1635" w:rsidRPr="00B004EE">
        <w:rPr>
          <w:rFonts w:ascii="Tahoma" w:hAnsi="Tahoma" w:cs="Tahoma"/>
          <w:bCs/>
          <w:sz w:val="20"/>
          <w:szCs w:val="20"/>
        </w:rPr>
        <w:t xml:space="preserve"> </w:t>
      </w:r>
      <w:r w:rsidRPr="00B004EE">
        <w:rPr>
          <w:rFonts w:ascii="Tahoma" w:hAnsi="Tahoma" w:cs="Tahoma"/>
          <w:bCs/>
          <w:sz w:val="20"/>
          <w:szCs w:val="20"/>
        </w:rPr>
        <w:t>appâtés</w:t>
      </w:r>
      <w:r w:rsidR="00DB1635" w:rsidRPr="00B004EE">
        <w:rPr>
          <w:rFonts w:ascii="Tahoma" w:hAnsi="Tahoma" w:cs="Tahoma"/>
          <w:bCs/>
          <w:sz w:val="20"/>
          <w:szCs w:val="20"/>
        </w:rPr>
        <w:t xml:space="preserve"> </w:t>
      </w:r>
      <w:r w:rsidRPr="00B004EE">
        <w:rPr>
          <w:rFonts w:ascii="Tahoma" w:hAnsi="Tahoma" w:cs="Tahoma"/>
          <w:bCs/>
          <w:sz w:val="20"/>
          <w:szCs w:val="20"/>
        </w:rPr>
        <w:t>et</w:t>
      </w:r>
      <w:r w:rsidR="00DB1635" w:rsidRPr="00B004EE">
        <w:rPr>
          <w:rFonts w:ascii="Tahoma" w:hAnsi="Tahoma" w:cs="Tahoma"/>
          <w:bCs/>
          <w:sz w:val="20"/>
          <w:szCs w:val="20"/>
        </w:rPr>
        <w:t xml:space="preserve"> </w:t>
      </w:r>
      <w:r w:rsidRPr="00B004EE">
        <w:rPr>
          <w:rFonts w:ascii="Tahoma" w:hAnsi="Tahoma" w:cs="Tahoma"/>
          <w:bCs/>
          <w:sz w:val="20"/>
          <w:szCs w:val="20"/>
        </w:rPr>
        <w:t>seront</w:t>
      </w:r>
      <w:r w:rsidR="00DB1635" w:rsidRPr="00B004EE">
        <w:rPr>
          <w:rFonts w:ascii="Tahoma" w:hAnsi="Tahoma" w:cs="Tahoma"/>
          <w:bCs/>
          <w:sz w:val="20"/>
          <w:szCs w:val="20"/>
        </w:rPr>
        <w:t xml:space="preserve"> </w:t>
      </w:r>
      <w:r w:rsidRPr="00B004EE">
        <w:rPr>
          <w:rFonts w:ascii="Tahoma" w:hAnsi="Tahoma" w:cs="Tahoma"/>
          <w:bCs/>
          <w:sz w:val="20"/>
          <w:szCs w:val="20"/>
        </w:rPr>
        <w:t>clairement</w:t>
      </w:r>
      <w:r w:rsidR="00DB1635" w:rsidRPr="00B004EE">
        <w:rPr>
          <w:rFonts w:ascii="Tahoma" w:hAnsi="Tahoma" w:cs="Tahoma"/>
          <w:bCs/>
          <w:sz w:val="20"/>
          <w:szCs w:val="20"/>
        </w:rPr>
        <w:t xml:space="preserve"> </w:t>
      </w:r>
      <w:r w:rsidRPr="00B004EE">
        <w:rPr>
          <w:rFonts w:ascii="Tahoma" w:hAnsi="Tahoma" w:cs="Tahoma"/>
          <w:bCs/>
          <w:sz w:val="20"/>
          <w:szCs w:val="20"/>
        </w:rPr>
        <w:t>séparés</w:t>
      </w:r>
      <w:r w:rsidR="00DB1635" w:rsidRPr="00B004EE">
        <w:rPr>
          <w:rFonts w:ascii="Tahoma" w:hAnsi="Tahoma" w:cs="Tahoma"/>
          <w:bCs/>
          <w:sz w:val="20"/>
          <w:szCs w:val="20"/>
        </w:rPr>
        <w:t xml:space="preserve"> </w:t>
      </w:r>
      <w:r w:rsidRPr="00B004EE">
        <w:rPr>
          <w:rFonts w:ascii="Tahoma" w:hAnsi="Tahoma" w:cs="Tahoma"/>
          <w:bCs/>
          <w:sz w:val="20"/>
          <w:szCs w:val="20"/>
        </w:rPr>
        <w:t>des</w:t>
      </w:r>
      <w:r w:rsidR="00DB1635" w:rsidRPr="00B004EE">
        <w:rPr>
          <w:rFonts w:ascii="Tahoma" w:hAnsi="Tahoma" w:cs="Tahoma"/>
          <w:bCs/>
          <w:sz w:val="20"/>
          <w:szCs w:val="20"/>
        </w:rPr>
        <w:t xml:space="preserve"> </w:t>
      </w:r>
      <w:r w:rsidRPr="00B004EE">
        <w:rPr>
          <w:rFonts w:ascii="Tahoma" w:hAnsi="Tahoma" w:cs="Tahoma"/>
          <w:bCs/>
          <w:sz w:val="20"/>
          <w:szCs w:val="20"/>
        </w:rPr>
        <w:t>ancres,</w:t>
      </w:r>
      <w:r w:rsidR="00DB1635" w:rsidRPr="00B004EE">
        <w:rPr>
          <w:rFonts w:ascii="Tahoma" w:hAnsi="Tahoma" w:cs="Tahoma"/>
          <w:bCs/>
          <w:sz w:val="20"/>
          <w:szCs w:val="20"/>
        </w:rPr>
        <w:t xml:space="preserve"> </w:t>
      </w:r>
      <w:r w:rsidRPr="00B004EE">
        <w:rPr>
          <w:rFonts w:ascii="Tahoma" w:hAnsi="Tahoma" w:cs="Tahoma"/>
          <w:bCs/>
          <w:sz w:val="20"/>
          <w:szCs w:val="20"/>
        </w:rPr>
        <w:t>bouées</w:t>
      </w:r>
      <w:r w:rsidR="00DB1635" w:rsidRPr="00B004EE">
        <w:rPr>
          <w:rFonts w:ascii="Tahoma" w:hAnsi="Tahoma" w:cs="Tahoma"/>
          <w:bCs/>
          <w:sz w:val="20"/>
          <w:szCs w:val="20"/>
        </w:rPr>
        <w:t xml:space="preserve"> </w:t>
      </w:r>
      <w:r w:rsidRPr="00B004EE">
        <w:rPr>
          <w:rFonts w:ascii="Tahoma" w:hAnsi="Tahoma" w:cs="Tahoma"/>
          <w:bCs/>
          <w:sz w:val="20"/>
          <w:szCs w:val="20"/>
        </w:rPr>
        <w:t>ou</w:t>
      </w:r>
      <w:r w:rsidR="00DB1635" w:rsidRPr="00B004EE">
        <w:rPr>
          <w:rFonts w:ascii="Tahoma" w:hAnsi="Tahoma" w:cs="Tahoma"/>
          <w:bCs/>
          <w:sz w:val="20"/>
          <w:szCs w:val="20"/>
        </w:rPr>
        <w:t xml:space="preserve"> </w:t>
      </w:r>
      <w:r w:rsidRPr="00B004EE">
        <w:rPr>
          <w:rFonts w:ascii="Tahoma" w:hAnsi="Tahoma" w:cs="Tahoma"/>
          <w:bCs/>
          <w:sz w:val="20"/>
          <w:szCs w:val="20"/>
        </w:rPr>
        <w:t>cordages</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liaison</w:t>
      </w:r>
      <w:r w:rsidR="00DB1635" w:rsidRPr="00B004EE">
        <w:rPr>
          <w:rFonts w:ascii="Tahoma" w:hAnsi="Tahoma" w:cs="Tahoma"/>
          <w:bCs/>
          <w:sz w:val="20"/>
          <w:szCs w:val="20"/>
        </w:rPr>
        <w:t xml:space="preserve"> </w:t>
      </w:r>
      <w:r w:rsidRPr="00B004EE">
        <w:rPr>
          <w:rFonts w:ascii="Tahoma" w:hAnsi="Tahoma" w:cs="Tahoma"/>
          <w:bCs/>
          <w:sz w:val="20"/>
          <w:szCs w:val="20"/>
        </w:rPr>
        <w:t>servant</w:t>
      </w:r>
      <w:r w:rsidR="00DB1635" w:rsidRPr="00B004EE">
        <w:rPr>
          <w:rFonts w:ascii="Tahoma" w:hAnsi="Tahoma" w:cs="Tahoma"/>
          <w:bCs/>
          <w:sz w:val="20"/>
          <w:szCs w:val="20"/>
        </w:rPr>
        <w:t xml:space="preserve"> </w:t>
      </w:r>
      <w:r w:rsidRPr="00B004EE">
        <w:rPr>
          <w:rFonts w:ascii="Tahoma" w:hAnsi="Tahoma" w:cs="Tahoma"/>
          <w:bCs/>
          <w:sz w:val="20"/>
          <w:szCs w:val="20"/>
        </w:rPr>
        <w:t>à</w:t>
      </w:r>
      <w:r w:rsidR="00DB1635" w:rsidRPr="00B004EE">
        <w:rPr>
          <w:rFonts w:ascii="Tahoma" w:hAnsi="Tahoma" w:cs="Tahoma"/>
          <w:bCs/>
          <w:sz w:val="20"/>
          <w:szCs w:val="20"/>
        </w:rPr>
        <w:t xml:space="preserve"> </w:t>
      </w:r>
      <w:r w:rsidRPr="00B004EE">
        <w:rPr>
          <w:rFonts w:ascii="Tahoma" w:hAnsi="Tahoma" w:cs="Tahoma"/>
          <w:bCs/>
          <w:sz w:val="20"/>
          <w:szCs w:val="20"/>
        </w:rPr>
        <w:t>leur</w:t>
      </w:r>
      <w:r w:rsidR="00DB1635" w:rsidRPr="00B004EE">
        <w:rPr>
          <w:rFonts w:ascii="Tahoma" w:hAnsi="Tahoma" w:cs="Tahoma"/>
          <w:bCs/>
          <w:sz w:val="20"/>
          <w:szCs w:val="20"/>
        </w:rPr>
        <w:t xml:space="preserve"> </w:t>
      </w:r>
      <w:r w:rsidRPr="00B004EE">
        <w:rPr>
          <w:rFonts w:ascii="Tahoma" w:hAnsi="Tahoma" w:cs="Tahoma"/>
          <w:bCs/>
          <w:sz w:val="20"/>
          <w:szCs w:val="20"/>
        </w:rPr>
        <w:t>utilisation.</w:t>
      </w:r>
      <w:r w:rsidR="00DB1635" w:rsidRPr="00B004EE">
        <w:rPr>
          <w:rFonts w:ascii="Tahoma" w:hAnsi="Tahoma" w:cs="Tahoma"/>
          <w:bCs/>
          <w:sz w:val="20"/>
          <w:szCs w:val="20"/>
        </w:rPr>
        <w:t xml:space="preserve"> </w:t>
      </w:r>
      <w:r w:rsidRPr="00B004EE">
        <w:rPr>
          <w:rFonts w:ascii="Tahoma" w:hAnsi="Tahoma" w:cs="Tahoma"/>
          <w:bCs/>
          <w:sz w:val="20"/>
          <w:szCs w:val="20"/>
        </w:rPr>
        <w:t>L'ensemble</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ces</w:t>
      </w:r>
      <w:r w:rsidR="00DB1635" w:rsidRPr="00B004EE">
        <w:rPr>
          <w:rFonts w:ascii="Tahoma" w:hAnsi="Tahoma" w:cs="Tahoma"/>
          <w:bCs/>
          <w:sz w:val="20"/>
          <w:szCs w:val="20"/>
        </w:rPr>
        <w:t xml:space="preserve"> </w:t>
      </w:r>
      <w:r w:rsidRPr="00B004EE">
        <w:rPr>
          <w:rFonts w:ascii="Tahoma" w:hAnsi="Tahoma" w:cs="Tahoma"/>
          <w:bCs/>
          <w:sz w:val="20"/>
          <w:szCs w:val="20"/>
        </w:rPr>
        <w:t>engins,</w:t>
      </w:r>
      <w:r w:rsidR="00DB1635" w:rsidRPr="00B004EE">
        <w:rPr>
          <w:rFonts w:ascii="Tahoma" w:hAnsi="Tahoma" w:cs="Tahoma"/>
          <w:bCs/>
          <w:sz w:val="20"/>
          <w:szCs w:val="20"/>
        </w:rPr>
        <w:t xml:space="preserve"> </w:t>
      </w:r>
      <w:r w:rsidRPr="00B004EE">
        <w:rPr>
          <w:rFonts w:ascii="Tahoma" w:hAnsi="Tahoma" w:cs="Tahoma"/>
          <w:bCs/>
          <w:sz w:val="20"/>
          <w:szCs w:val="20"/>
        </w:rPr>
        <w:t>lorsqu'ils</w:t>
      </w:r>
      <w:r w:rsidR="00DB1635" w:rsidRPr="00B004EE">
        <w:rPr>
          <w:rFonts w:ascii="Tahoma" w:hAnsi="Tahoma" w:cs="Tahoma"/>
          <w:bCs/>
          <w:sz w:val="20"/>
          <w:szCs w:val="20"/>
        </w:rPr>
        <w:t xml:space="preserve"> </w:t>
      </w:r>
      <w:r w:rsidRPr="00B004EE">
        <w:rPr>
          <w:rFonts w:ascii="Tahoma" w:hAnsi="Tahoma" w:cs="Tahoma"/>
          <w:bCs/>
          <w:sz w:val="20"/>
          <w:szCs w:val="20"/>
        </w:rPr>
        <w:t>se</w:t>
      </w:r>
      <w:r w:rsidR="00DB1635" w:rsidRPr="00B004EE">
        <w:rPr>
          <w:rFonts w:ascii="Tahoma" w:hAnsi="Tahoma" w:cs="Tahoma"/>
          <w:bCs/>
          <w:sz w:val="20"/>
          <w:szCs w:val="20"/>
        </w:rPr>
        <w:t xml:space="preserve"> </w:t>
      </w:r>
      <w:r w:rsidRPr="00B004EE">
        <w:rPr>
          <w:rFonts w:ascii="Tahoma" w:hAnsi="Tahoma" w:cs="Tahoma"/>
          <w:bCs/>
          <w:sz w:val="20"/>
          <w:szCs w:val="20"/>
        </w:rPr>
        <w:t>trouvent</w:t>
      </w:r>
      <w:r w:rsidR="00DB1635" w:rsidRPr="00B004EE">
        <w:rPr>
          <w:rFonts w:ascii="Tahoma" w:hAnsi="Tahoma" w:cs="Tahoma"/>
          <w:bCs/>
          <w:sz w:val="20"/>
          <w:szCs w:val="20"/>
        </w:rPr>
        <w:t xml:space="preserve"> </w:t>
      </w:r>
      <w:r w:rsidRPr="00B004EE">
        <w:rPr>
          <w:rFonts w:ascii="Tahoma" w:hAnsi="Tahoma" w:cs="Tahoma"/>
          <w:bCs/>
          <w:sz w:val="20"/>
          <w:szCs w:val="20"/>
        </w:rPr>
        <w:t>sur</w:t>
      </w:r>
      <w:r w:rsidR="00DB1635" w:rsidRPr="00B004EE">
        <w:rPr>
          <w:rFonts w:ascii="Tahoma" w:hAnsi="Tahoma" w:cs="Tahoma"/>
          <w:bCs/>
          <w:sz w:val="20"/>
          <w:szCs w:val="20"/>
        </w:rPr>
        <w:t xml:space="preserve"> </w:t>
      </w:r>
      <w:r w:rsidRPr="00B004EE">
        <w:rPr>
          <w:rFonts w:ascii="Tahoma" w:hAnsi="Tahoma" w:cs="Tahoma"/>
          <w:bCs/>
          <w:sz w:val="20"/>
          <w:szCs w:val="20"/>
        </w:rPr>
        <w:t>le</w:t>
      </w:r>
      <w:r w:rsidR="00DB1635" w:rsidRPr="00B004EE">
        <w:rPr>
          <w:rFonts w:ascii="Tahoma" w:hAnsi="Tahoma" w:cs="Tahoma"/>
          <w:bCs/>
          <w:sz w:val="20"/>
          <w:szCs w:val="20"/>
        </w:rPr>
        <w:t xml:space="preserve"> </w:t>
      </w:r>
      <w:r w:rsidRPr="00B004EE">
        <w:rPr>
          <w:rFonts w:ascii="Tahoma" w:hAnsi="Tahoma" w:cs="Tahoma"/>
          <w:bCs/>
          <w:sz w:val="20"/>
          <w:szCs w:val="20"/>
        </w:rPr>
        <w:t>pont,</w:t>
      </w:r>
      <w:r w:rsidR="00DB1635" w:rsidRPr="00B004EE">
        <w:rPr>
          <w:rFonts w:ascii="Tahoma" w:hAnsi="Tahoma" w:cs="Tahoma"/>
          <w:bCs/>
          <w:sz w:val="20"/>
          <w:szCs w:val="20"/>
        </w:rPr>
        <w:t xml:space="preserve"> </w:t>
      </w:r>
      <w:r w:rsidRPr="00B004EE">
        <w:rPr>
          <w:rFonts w:ascii="Tahoma" w:hAnsi="Tahoma" w:cs="Tahoma"/>
          <w:bCs/>
          <w:sz w:val="20"/>
          <w:szCs w:val="20"/>
        </w:rPr>
        <w:t>doivent</w:t>
      </w:r>
      <w:r w:rsidR="00DB1635" w:rsidRPr="00B004EE">
        <w:rPr>
          <w:rFonts w:ascii="Tahoma" w:hAnsi="Tahoma" w:cs="Tahoma"/>
          <w:bCs/>
          <w:sz w:val="20"/>
          <w:szCs w:val="20"/>
        </w:rPr>
        <w:t xml:space="preserve"> </w:t>
      </w:r>
      <w:r w:rsidRPr="00B004EE">
        <w:rPr>
          <w:rFonts w:ascii="Tahoma" w:hAnsi="Tahoma" w:cs="Tahoma"/>
          <w:bCs/>
          <w:sz w:val="20"/>
          <w:szCs w:val="20"/>
        </w:rPr>
        <w:t>être</w:t>
      </w:r>
      <w:r w:rsidR="00DB1635" w:rsidRPr="00B004EE">
        <w:rPr>
          <w:rFonts w:ascii="Tahoma" w:hAnsi="Tahoma" w:cs="Tahoma"/>
          <w:bCs/>
          <w:sz w:val="20"/>
          <w:szCs w:val="20"/>
        </w:rPr>
        <w:t xml:space="preserve"> </w:t>
      </w:r>
      <w:r w:rsidRPr="00B004EE">
        <w:rPr>
          <w:rFonts w:ascii="Tahoma" w:hAnsi="Tahoma" w:cs="Tahoma"/>
          <w:bCs/>
          <w:sz w:val="20"/>
          <w:szCs w:val="20"/>
        </w:rPr>
        <w:t>bâchés</w:t>
      </w:r>
      <w:r w:rsidR="00DB1635" w:rsidRPr="00B004EE">
        <w:rPr>
          <w:rFonts w:ascii="Tahoma" w:hAnsi="Tahoma" w:cs="Tahoma"/>
          <w:bCs/>
          <w:sz w:val="20"/>
          <w:szCs w:val="20"/>
        </w:rPr>
        <w:t xml:space="preserve"> </w:t>
      </w:r>
      <w:r w:rsidRPr="00B004EE">
        <w:rPr>
          <w:rFonts w:ascii="Tahoma" w:hAnsi="Tahoma" w:cs="Tahoma"/>
          <w:bCs/>
          <w:sz w:val="20"/>
          <w:szCs w:val="20"/>
        </w:rPr>
        <w:t>et</w:t>
      </w:r>
      <w:r w:rsidR="00DB1635" w:rsidRPr="00B004EE">
        <w:rPr>
          <w:rFonts w:ascii="Tahoma" w:hAnsi="Tahoma" w:cs="Tahoma"/>
          <w:bCs/>
          <w:sz w:val="20"/>
          <w:szCs w:val="20"/>
        </w:rPr>
        <w:t xml:space="preserve"> </w:t>
      </w:r>
      <w:r w:rsidRPr="00B004EE">
        <w:rPr>
          <w:rFonts w:ascii="Tahoma" w:hAnsi="Tahoma" w:cs="Tahoma"/>
          <w:bCs/>
          <w:sz w:val="20"/>
          <w:szCs w:val="20"/>
        </w:rPr>
        <w:t>arrimés</w:t>
      </w:r>
      <w:r w:rsidR="00DB1635" w:rsidRPr="00B004EE">
        <w:rPr>
          <w:rFonts w:ascii="Tahoma" w:hAnsi="Tahoma" w:cs="Tahoma"/>
          <w:bCs/>
          <w:sz w:val="20"/>
          <w:szCs w:val="20"/>
        </w:rPr>
        <w:t xml:space="preserve"> </w:t>
      </w:r>
      <w:r w:rsidRPr="00B004EE">
        <w:rPr>
          <w:rFonts w:ascii="Tahoma" w:hAnsi="Tahoma" w:cs="Tahoma"/>
          <w:bCs/>
          <w:sz w:val="20"/>
          <w:szCs w:val="20"/>
        </w:rPr>
        <w:t>;</w:t>
      </w:r>
    </w:p>
    <w:p w14:paraId="11473545" w14:textId="14372BFA" w:rsidR="008518B0" w:rsidRPr="00B004EE" w:rsidRDefault="008518B0" w:rsidP="00420DDA">
      <w:pPr>
        <w:numPr>
          <w:ilvl w:val="0"/>
          <w:numId w:val="53"/>
        </w:numPr>
        <w:tabs>
          <w:tab w:val="left" w:pos="0"/>
          <w:tab w:val="left" w:pos="750"/>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ahoma" w:hAnsi="Tahoma" w:cs="Tahoma"/>
          <w:bCs/>
          <w:sz w:val="20"/>
          <w:szCs w:val="20"/>
        </w:rPr>
      </w:pPr>
      <w:proofErr w:type="gramStart"/>
      <w:r w:rsidRPr="00B004EE">
        <w:rPr>
          <w:rFonts w:ascii="Tahoma" w:hAnsi="Tahoma" w:cs="Tahoma"/>
          <w:bCs/>
          <w:sz w:val="20"/>
          <w:szCs w:val="20"/>
        </w:rPr>
        <w:t>le</w:t>
      </w:r>
      <w:proofErr w:type="gramEnd"/>
      <w:r w:rsidR="00DB1635" w:rsidRPr="00B004EE">
        <w:rPr>
          <w:rFonts w:ascii="Tahoma" w:hAnsi="Tahoma" w:cs="Tahoma"/>
          <w:bCs/>
          <w:sz w:val="20"/>
          <w:szCs w:val="20"/>
        </w:rPr>
        <w:t xml:space="preserve"> </w:t>
      </w:r>
      <w:r w:rsidRPr="00B004EE">
        <w:rPr>
          <w:rFonts w:ascii="Tahoma" w:hAnsi="Tahoma" w:cs="Tahoma"/>
          <w:bCs/>
          <w:sz w:val="20"/>
          <w:szCs w:val="20"/>
        </w:rPr>
        <w:t>power-</w:t>
      </w:r>
      <w:r w:rsidR="00DB1635" w:rsidRPr="00B004EE">
        <w:rPr>
          <w:rFonts w:ascii="Tahoma" w:hAnsi="Tahoma" w:cs="Tahoma"/>
          <w:bCs/>
          <w:sz w:val="20"/>
          <w:szCs w:val="20"/>
        </w:rPr>
        <w:t xml:space="preserve"> </w:t>
      </w:r>
      <w:r w:rsidRPr="00B004EE">
        <w:rPr>
          <w:rFonts w:ascii="Tahoma" w:hAnsi="Tahoma" w:cs="Tahoma"/>
          <w:bCs/>
          <w:sz w:val="20"/>
          <w:szCs w:val="20"/>
        </w:rPr>
        <w:t>block</w:t>
      </w:r>
      <w:r w:rsidR="00DB1635" w:rsidRPr="00B004EE">
        <w:rPr>
          <w:rFonts w:ascii="Tahoma" w:hAnsi="Tahoma" w:cs="Tahoma"/>
          <w:bCs/>
          <w:sz w:val="20"/>
          <w:szCs w:val="20"/>
        </w:rPr>
        <w:t xml:space="preserve"> </w:t>
      </w:r>
      <w:r w:rsidRPr="00B004EE">
        <w:rPr>
          <w:rFonts w:ascii="Tahoma" w:hAnsi="Tahoma" w:cs="Tahoma"/>
          <w:bCs/>
          <w:sz w:val="20"/>
          <w:szCs w:val="20"/>
        </w:rPr>
        <w:t>du</w:t>
      </w:r>
      <w:r w:rsidR="00DB1635" w:rsidRPr="00B004EE">
        <w:rPr>
          <w:rFonts w:ascii="Tahoma" w:hAnsi="Tahoma" w:cs="Tahoma"/>
          <w:bCs/>
          <w:sz w:val="20"/>
          <w:szCs w:val="20"/>
        </w:rPr>
        <w:t xml:space="preserve"> </w:t>
      </w:r>
      <w:r w:rsidRPr="00B004EE">
        <w:rPr>
          <w:rFonts w:ascii="Tahoma" w:hAnsi="Tahoma" w:cs="Tahoma"/>
          <w:bCs/>
          <w:sz w:val="20"/>
          <w:szCs w:val="20"/>
        </w:rPr>
        <w:t>senneur</w:t>
      </w:r>
      <w:r w:rsidR="00DB1635" w:rsidRPr="00B004EE">
        <w:rPr>
          <w:rFonts w:ascii="Tahoma" w:hAnsi="Tahoma" w:cs="Tahoma"/>
          <w:bCs/>
          <w:sz w:val="20"/>
          <w:szCs w:val="20"/>
        </w:rPr>
        <w:t xml:space="preserve"> </w:t>
      </w:r>
      <w:r w:rsidRPr="00B004EE">
        <w:rPr>
          <w:rFonts w:ascii="Tahoma" w:hAnsi="Tahoma" w:cs="Tahoma"/>
          <w:bCs/>
          <w:sz w:val="20"/>
          <w:szCs w:val="20"/>
        </w:rPr>
        <w:t>sera</w:t>
      </w:r>
      <w:r w:rsidR="00DB1635" w:rsidRPr="00B004EE">
        <w:rPr>
          <w:rFonts w:ascii="Tahoma" w:hAnsi="Tahoma" w:cs="Tahoma"/>
          <w:bCs/>
          <w:sz w:val="20"/>
          <w:szCs w:val="20"/>
        </w:rPr>
        <w:t xml:space="preserve"> </w:t>
      </w:r>
      <w:r w:rsidRPr="00B004EE">
        <w:rPr>
          <w:rFonts w:ascii="Tahoma" w:hAnsi="Tahoma" w:cs="Tahoma"/>
          <w:bCs/>
          <w:sz w:val="20"/>
          <w:szCs w:val="20"/>
        </w:rPr>
        <w:t>déconnecté</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sa</w:t>
      </w:r>
      <w:r w:rsidR="00DB1635" w:rsidRPr="00B004EE">
        <w:rPr>
          <w:rFonts w:ascii="Tahoma" w:hAnsi="Tahoma" w:cs="Tahoma"/>
          <w:bCs/>
          <w:sz w:val="20"/>
          <w:szCs w:val="20"/>
        </w:rPr>
        <w:t xml:space="preserve"> </w:t>
      </w:r>
      <w:r w:rsidRPr="00B004EE">
        <w:rPr>
          <w:rFonts w:ascii="Tahoma" w:hAnsi="Tahoma" w:cs="Tahoma"/>
          <w:bCs/>
          <w:sz w:val="20"/>
          <w:szCs w:val="20"/>
        </w:rPr>
        <w:t>source</w:t>
      </w:r>
      <w:r w:rsidR="00DB1635" w:rsidRPr="00B004EE">
        <w:rPr>
          <w:rFonts w:ascii="Tahoma" w:hAnsi="Tahoma" w:cs="Tahoma"/>
          <w:bCs/>
          <w:sz w:val="20"/>
          <w:szCs w:val="20"/>
        </w:rPr>
        <w:t xml:space="preserve"> </w:t>
      </w:r>
      <w:r w:rsidRPr="00B004EE">
        <w:rPr>
          <w:rFonts w:ascii="Tahoma" w:hAnsi="Tahoma" w:cs="Tahoma"/>
          <w:bCs/>
          <w:sz w:val="20"/>
          <w:szCs w:val="20"/>
        </w:rPr>
        <w:t>d'énergie.</w:t>
      </w:r>
    </w:p>
    <w:p w14:paraId="12B65ECD" w14:textId="77777777" w:rsidR="008518B0" w:rsidRPr="00B004EE" w:rsidRDefault="008518B0" w:rsidP="00B004EE">
      <w:pPr>
        <w:tabs>
          <w:tab w:val="left" w:pos="0"/>
          <w:tab w:val="left" w:pos="750"/>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ahoma" w:hAnsi="Tahoma" w:cs="Tahoma"/>
          <w:bCs/>
          <w:sz w:val="20"/>
          <w:szCs w:val="20"/>
        </w:rPr>
      </w:pPr>
    </w:p>
    <w:p w14:paraId="73D34F5C" w14:textId="34525C71" w:rsidR="008518B0" w:rsidRPr="00B004EE" w:rsidRDefault="008518B0" w:rsidP="00B004EE">
      <w:pPr>
        <w:pStyle w:val="Lgende"/>
        <w:jc w:val="center"/>
        <w:rPr>
          <w:rFonts w:ascii="Tahoma" w:hAnsi="Tahoma" w:cs="Tahoma"/>
        </w:rPr>
      </w:pPr>
      <w:r w:rsidRPr="00B004EE">
        <w:rPr>
          <w:rFonts w:ascii="Tahoma" w:hAnsi="Tahoma" w:cs="Tahoma"/>
        </w:rPr>
        <w:t>Section</w:t>
      </w:r>
      <w:r w:rsidR="00DB1635" w:rsidRPr="00B004EE">
        <w:rPr>
          <w:rFonts w:ascii="Tahoma" w:hAnsi="Tahoma" w:cs="Tahoma"/>
        </w:rPr>
        <w:t xml:space="preserve"> </w:t>
      </w:r>
      <w:r w:rsidRPr="00B004EE">
        <w:rPr>
          <w:rFonts w:ascii="Tahoma" w:hAnsi="Tahoma" w:cs="Tahoma"/>
        </w:rPr>
        <w:t>VII</w:t>
      </w:r>
      <w:r w:rsidR="00DB1635" w:rsidRPr="00B004EE">
        <w:rPr>
          <w:rFonts w:ascii="Tahoma" w:hAnsi="Tahoma" w:cs="Tahoma"/>
        </w:rPr>
        <w:t xml:space="preserve"> </w:t>
      </w:r>
      <w:r w:rsidRPr="00B004EE">
        <w:rPr>
          <w:rFonts w:ascii="Tahoma" w:hAnsi="Tahoma" w:cs="Tahoma"/>
        </w:rPr>
        <w:t>:</w:t>
      </w:r>
      <w:r w:rsidR="00DB1635" w:rsidRPr="00B004EE">
        <w:rPr>
          <w:rFonts w:ascii="Tahoma" w:hAnsi="Tahoma" w:cs="Tahoma"/>
        </w:rPr>
        <w:t xml:space="preserve"> </w:t>
      </w:r>
      <w:r w:rsidRPr="00B004EE">
        <w:rPr>
          <w:rFonts w:ascii="Tahoma" w:hAnsi="Tahoma" w:cs="Tahoma"/>
        </w:rPr>
        <w:t>Des</w:t>
      </w:r>
      <w:r w:rsidR="00DB1635" w:rsidRPr="00B004EE">
        <w:rPr>
          <w:rFonts w:ascii="Tahoma" w:hAnsi="Tahoma" w:cs="Tahoma"/>
        </w:rPr>
        <w:t xml:space="preserve"> </w:t>
      </w:r>
      <w:r w:rsidRPr="00B004EE">
        <w:rPr>
          <w:rFonts w:ascii="Tahoma" w:hAnsi="Tahoma" w:cs="Tahoma"/>
        </w:rPr>
        <w:t>dispositifs</w:t>
      </w:r>
      <w:r w:rsidR="00DB1635" w:rsidRPr="00B004EE">
        <w:rPr>
          <w:rFonts w:ascii="Tahoma" w:hAnsi="Tahoma" w:cs="Tahoma"/>
        </w:rPr>
        <w:t xml:space="preserve"> </w:t>
      </w:r>
      <w:r w:rsidRPr="00B004EE">
        <w:rPr>
          <w:rFonts w:ascii="Tahoma" w:hAnsi="Tahoma" w:cs="Tahoma"/>
        </w:rPr>
        <w:t>d'identification</w:t>
      </w:r>
      <w:r w:rsidR="00DB1635" w:rsidRPr="00B004EE">
        <w:rPr>
          <w:rFonts w:ascii="Tahoma" w:hAnsi="Tahoma" w:cs="Tahoma"/>
        </w:rPr>
        <w:t xml:space="preserve"> </w:t>
      </w:r>
      <w:r w:rsidRPr="00B004EE">
        <w:rPr>
          <w:rFonts w:ascii="Tahoma" w:hAnsi="Tahoma" w:cs="Tahoma"/>
        </w:rPr>
        <w:t>des</w:t>
      </w:r>
      <w:r w:rsidR="00DB1635" w:rsidRPr="00B004EE">
        <w:rPr>
          <w:rFonts w:ascii="Tahoma" w:hAnsi="Tahoma" w:cs="Tahoma"/>
        </w:rPr>
        <w:t xml:space="preserve"> </w:t>
      </w:r>
      <w:r w:rsidRPr="00B004EE">
        <w:rPr>
          <w:rFonts w:ascii="Tahoma" w:hAnsi="Tahoma" w:cs="Tahoma"/>
        </w:rPr>
        <w:t>navires</w:t>
      </w:r>
      <w:r w:rsidR="00DB1635" w:rsidRPr="00B004EE">
        <w:rPr>
          <w:rFonts w:ascii="Tahoma" w:hAnsi="Tahoma" w:cs="Tahoma"/>
        </w:rPr>
        <w:t xml:space="preserve"> </w:t>
      </w:r>
      <w:r w:rsidRPr="00B004EE">
        <w:rPr>
          <w:rFonts w:ascii="Tahoma" w:hAnsi="Tahoma" w:cs="Tahoma"/>
        </w:rPr>
        <w:t>de</w:t>
      </w:r>
      <w:r w:rsidR="00DB1635" w:rsidRPr="00B004EE">
        <w:rPr>
          <w:rFonts w:ascii="Tahoma" w:hAnsi="Tahoma" w:cs="Tahoma"/>
        </w:rPr>
        <w:t xml:space="preserve"> </w:t>
      </w:r>
      <w:r w:rsidRPr="00B004EE">
        <w:rPr>
          <w:rFonts w:ascii="Tahoma" w:hAnsi="Tahoma" w:cs="Tahoma"/>
        </w:rPr>
        <w:t>pêche</w:t>
      </w:r>
    </w:p>
    <w:p w14:paraId="0C987E93" w14:textId="77777777" w:rsidR="008518B0" w:rsidRPr="00B004EE" w:rsidRDefault="008518B0" w:rsidP="00B004EE">
      <w:pPr>
        <w:pStyle w:val="Lgende"/>
        <w:jc w:val="center"/>
        <w:rPr>
          <w:rFonts w:ascii="Tahoma" w:hAnsi="Tahoma" w:cs="Tahoma"/>
          <w:b w:val="0"/>
          <w:bCs w:val="0"/>
        </w:rPr>
      </w:pPr>
    </w:p>
    <w:p w14:paraId="513C9482" w14:textId="53C6BE33" w:rsidR="008518B0" w:rsidRPr="00B004EE" w:rsidRDefault="008518B0" w:rsidP="00B004EE">
      <w:pPr>
        <w:pStyle w:val="article"/>
        <w:numPr>
          <w:ilvl w:val="0"/>
          <w:numId w:val="0"/>
        </w:numPr>
        <w:tabs>
          <w:tab w:val="left" w:pos="1200"/>
        </w:tabs>
        <w:spacing w:before="0" w:line="240" w:lineRule="auto"/>
        <w:rPr>
          <w:rFonts w:ascii="Tahoma" w:hAnsi="Tahoma" w:cs="Tahoma"/>
          <w:sz w:val="20"/>
          <w:szCs w:val="20"/>
        </w:rPr>
      </w:pPr>
      <w:r w:rsidRPr="00B004EE">
        <w:rPr>
          <w:rFonts w:ascii="Tahoma" w:hAnsi="Tahoma" w:cs="Tahoma"/>
          <w:sz w:val="20"/>
          <w:szCs w:val="20"/>
        </w:rPr>
        <w:t>Article</w:t>
      </w:r>
      <w:r w:rsidR="00DB1635" w:rsidRPr="00B004EE">
        <w:rPr>
          <w:rFonts w:ascii="Tahoma" w:hAnsi="Tahoma" w:cs="Tahoma"/>
          <w:sz w:val="20"/>
          <w:szCs w:val="20"/>
        </w:rPr>
        <w:t xml:space="preserve"> </w:t>
      </w:r>
      <w:r w:rsidRPr="00B004EE">
        <w:rPr>
          <w:rFonts w:ascii="Tahoma" w:hAnsi="Tahoma" w:cs="Tahoma"/>
          <w:sz w:val="20"/>
          <w:szCs w:val="20"/>
        </w:rPr>
        <w:t>45</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Sans</w:t>
      </w:r>
      <w:r w:rsidR="00DB1635" w:rsidRPr="00B004EE">
        <w:rPr>
          <w:rFonts w:ascii="Tahoma" w:hAnsi="Tahoma" w:cs="Tahoma"/>
          <w:sz w:val="20"/>
          <w:szCs w:val="20"/>
        </w:rPr>
        <w:t xml:space="preserve"> </w:t>
      </w:r>
      <w:r w:rsidRPr="00B004EE">
        <w:rPr>
          <w:rFonts w:ascii="Tahoma" w:hAnsi="Tahoma" w:cs="Tahoma"/>
          <w:sz w:val="20"/>
          <w:szCs w:val="20"/>
        </w:rPr>
        <w:t>préjudice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normes</w:t>
      </w:r>
      <w:r w:rsidR="00DB1635" w:rsidRPr="00B004EE">
        <w:rPr>
          <w:rFonts w:ascii="Tahoma" w:hAnsi="Tahoma" w:cs="Tahoma"/>
          <w:sz w:val="20"/>
          <w:szCs w:val="20"/>
        </w:rPr>
        <w:t xml:space="preserve"> </w:t>
      </w:r>
      <w:r w:rsidRPr="00B004EE">
        <w:rPr>
          <w:rFonts w:ascii="Tahoma" w:hAnsi="Tahoma" w:cs="Tahoma"/>
          <w:sz w:val="20"/>
          <w:szCs w:val="20"/>
        </w:rPr>
        <w:t>relatives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l'immatriculation,</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navires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autorisés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opérer</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eaux</w:t>
      </w:r>
      <w:r w:rsidR="00DB1635" w:rsidRPr="00B004EE">
        <w:rPr>
          <w:rFonts w:ascii="Tahoma" w:hAnsi="Tahoma" w:cs="Tahoma"/>
          <w:sz w:val="20"/>
          <w:szCs w:val="20"/>
        </w:rPr>
        <w:t xml:space="preserve"> </w:t>
      </w:r>
      <w:r w:rsidRPr="00B004EE">
        <w:rPr>
          <w:rFonts w:ascii="Tahoma" w:hAnsi="Tahoma" w:cs="Tahoma"/>
          <w:sz w:val="20"/>
          <w:szCs w:val="20"/>
        </w:rPr>
        <w:t>sous</w:t>
      </w:r>
      <w:r w:rsidR="00DB1635" w:rsidRPr="00B004EE">
        <w:rPr>
          <w:rFonts w:ascii="Tahoma" w:hAnsi="Tahoma" w:cs="Tahoma"/>
          <w:sz w:val="20"/>
          <w:szCs w:val="20"/>
        </w:rPr>
        <w:t xml:space="preserve"> </w:t>
      </w:r>
      <w:r w:rsidRPr="00B004EE">
        <w:rPr>
          <w:rFonts w:ascii="Tahoma" w:hAnsi="Tahoma" w:cs="Tahoma"/>
          <w:sz w:val="20"/>
          <w:szCs w:val="20"/>
        </w:rPr>
        <w:t>juridiction</w:t>
      </w:r>
      <w:r w:rsidR="00DB1635" w:rsidRPr="00B004EE">
        <w:rPr>
          <w:rFonts w:ascii="Tahoma" w:hAnsi="Tahoma" w:cs="Tahoma"/>
          <w:sz w:val="20"/>
          <w:szCs w:val="20"/>
        </w:rPr>
        <w:t xml:space="preserve"> </w:t>
      </w:r>
      <w:r w:rsidRPr="00B004EE">
        <w:rPr>
          <w:rFonts w:ascii="Tahoma" w:hAnsi="Tahoma" w:cs="Tahoma"/>
          <w:sz w:val="20"/>
          <w:szCs w:val="20"/>
        </w:rPr>
        <w:t>mauritanienne</w:t>
      </w:r>
      <w:r w:rsidR="00DB1635" w:rsidRPr="00B004EE">
        <w:rPr>
          <w:rFonts w:ascii="Tahoma" w:hAnsi="Tahoma" w:cs="Tahoma"/>
          <w:sz w:val="20"/>
          <w:szCs w:val="20"/>
        </w:rPr>
        <w:t xml:space="preserve"> </w:t>
      </w:r>
      <w:r w:rsidRPr="00B004EE">
        <w:rPr>
          <w:rFonts w:ascii="Tahoma" w:hAnsi="Tahoma" w:cs="Tahoma"/>
          <w:sz w:val="20"/>
          <w:szCs w:val="20"/>
        </w:rPr>
        <w:t>doivent,</w:t>
      </w:r>
      <w:r w:rsidR="00DB1635" w:rsidRPr="00B004EE">
        <w:rPr>
          <w:rFonts w:ascii="Tahoma" w:hAnsi="Tahoma" w:cs="Tahoma"/>
          <w:sz w:val="20"/>
          <w:szCs w:val="20"/>
        </w:rPr>
        <w:t xml:space="preserve"> </w:t>
      </w:r>
      <w:r w:rsidRPr="00B004EE">
        <w:rPr>
          <w:rFonts w:ascii="Tahoma" w:hAnsi="Tahoma" w:cs="Tahoma"/>
          <w:sz w:val="20"/>
          <w:szCs w:val="20"/>
        </w:rPr>
        <w:t>exhiber</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permanence</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marques</w:t>
      </w:r>
      <w:r w:rsidR="00DB1635" w:rsidRPr="00B004EE">
        <w:rPr>
          <w:rFonts w:ascii="Tahoma" w:hAnsi="Tahoma" w:cs="Tahoma"/>
          <w:sz w:val="20"/>
          <w:szCs w:val="20"/>
        </w:rPr>
        <w:t xml:space="preserve"> </w:t>
      </w:r>
      <w:r w:rsidRPr="00B004EE">
        <w:rPr>
          <w:rFonts w:ascii="Tahoma" w:hAnsi="Tahoma" w:cs="Tahoma"/>
          <w:sz w:val="20"/>
          <w:szCs w:val="20"/>
        </w:rPr>
        <w:t>d'identification</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l'indicatif</w:t>
      </w:r>
      <w:r w:rsidR="00DB1635" w:rsidRPr="00B004EE">
        <w:rPr>
          <w:rFonts w:ascii="Tahoma" w:hAnsi="Tahoma" w:cs="Tahoma"/>
          <w:sz w:val="20"/>
          <w:szCs w:val="20"/>
        </w:rPr>
        <w:t xml:space="preserve"> </w:t>
      </w:r>
      <w:r w:rsidRPr="00B004EE">
        <w:rPr>
          <w:rFonts w:ascii="Tahoma" w:hAnsi="Tahoma" w:cs="Tahoma"/>
          <w:sz w:val="20"/>
          <w:szCs w:val="20"/>
        </w:rPr>
        <w:t>d'appel</w:t>
      </w:r>
      <w:r w:rsidR="00DB1635" w:rsidRPr="00B004EE">
        <w:rPr>
          <w:rFonts w:ascii="Tahoma" w:hAnsi="Tahoma" w:cs="Tahoma"/>
          <w:sz w:val="20"/>
          <w:szCs w:val="20"/>
        </w:rPr>
        <w:t xml:space="preserve"> </w:t>
      </w:r>
      <w:r w:rsidRPr="00B004EE">
        <w:rPr>
          <w:rFonts w:ascii="Tahoma" w:hAnsi="Tahoma" w:cs="Tahoma"/>
          <w:sz w:val="20"/>
          <w:szCs w:val="20"/>
        </w:rPr>
        <w:t>radio</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l'Union</w:t>
      </w:r>
      <w:r w:rsidR="00DB1635" w:rsidRPr="00B004EE">
        <w:rPr>
          <w:rFonts w:ascii="Tahoma" w:hAnsi="Tahoma" w:cs="Tahoma"/>
          <w:sz w:val="20"/>
          <w:szCs w:val="20"/>
        </w:rPr>
        <w:t xml:space="preserve"> </w:t>
      </w:r>
      <w:r w:rsidRPr="00B004EE">
        <w:rPr>
          <w:rFonts w:ascii="Tahoma" w:hAnsi="Tahoma" w:cs="Tahoma"/>
          <w:sz w:val="20"/>
          <w:szCs w:val="20"/>
        </w:rPr>
        <w:t>Internationale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Télécommunications</w:t>
      </w:r>
      <w:r w:rsidR="00DB1635" w:rsidRPr="00B004EE">
        <w:rPr>
          <w:rFonts w:ascii="Tahoma" w:hAnsi="Tahoma" w:cs="Tahoma"/>
          <w:sz w:val="20"/>
          <w:szCs w:val="20"/>
        </w:rPr>
        <w:t xml:space="preserve"> </w:t>
      </w:r>
      <w:r w:rsidRPr="00B004EE">
        <w:rPr>
          <w:rFonts w:ascii="Tahoma" w:hAnsi="Tahoma" w:cs="Tahoma"/>
          <w:sz w:val="20"/>
          <w:szCs w:val="20"/>
        </w:rPr>
        <w:t>selon</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prescriptions</w:t>
      </w:r>
      <w:r w:rsidR="00DB1635" w:rsidRPr="00B004EE">
        <w:rPr>
          <w:rFonts w:ascii="Tahoma" w:hAnsi="Tahoma" w:cs="Tahoma"/>
          <w:sz w:val="20"/>
          <w:szCs w:val="20"/>
        </w:rPr>
        <w:t xml:space="preserve"> </w:t>
      </w:r>
      <w:r w:rsidRPr="00B004EE">
        <w:rPr>
          <w:rFonts w:ascii="Tahoma" w:hAnsi="Tahoma" w:cs="Tahoma"/>
          <w:sz w:val="20"/>
          <w:szCs w:val="20"/>
        </w:rPr>
        <w:t>suivantes</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p>
    <w:p w14:paraId="1C1A2787" w14:textId="553BD090" w:rsidR="008518B0" w:rsidRPr="00B004EE" w:rsidRDefault="008518B0" w:rsidP="00420DDA">
      <w:pPr>
        <w:numPr>
          <w:ilvl w:val="0"/>
          <w:numId w:val="54"/>
        </w:numPr>
        <w:jc w:val="both"/>
        <w:rPr>
          <w:rFonts w:ascii="Tahoma" w:hAnsi="Tahoma" w:cs="Tahoma"/>
          <w:sz w:val="20"/>
          <w:szCs w:val="20"/>
        </w:rPr>
      </w:pPr>
      <w:proofErr w:type="gramStart"/>
      <w:r w:rsidRPr="00B004EE">
        <w:rPr>
          <w:rFonts w:ascii="Tahoma" w:hAnsi="Tahoma" w:cs="Tahoma"/>
          <w:sz w:val="20"/>
          <w:szCs w:val="20"/>
        </w:rPr>
        <w:t>chaque</w:t>
      </w:r>
      <w:proofErr w:type="gramEnd"/>
      <w:r w:rsidR="00DB1635" w:rsidRPr="00B004EE">
        <w:rPr>
          <w:rFonts w:ascii="Tahoma" w:hAnsi="Tahoma" w:cs="Tahoma"/>
          <w:sz w:val="20"/>
          <w:szCs w:val="20"/>
        </w:rPr>
        <w:t xml:space="preserve"> </w:t>
      </w:r>
      <w:r w:rsidRPr="00B004EE">
        <w:rPr>
          <w:rFonts w:ascii="Tahoma" w:hAnsi="Tahoma" w:cs="Tahoma"/>
          <w:sz w:val="20"/>
          <w:szCs w:val="20"/>
        </w:rPr>
        <w:t>caractère</w:t>
      </w:r>
      <w:r w:rsidR="00DB1635" w:rsidRPr="00B004EE">
        <w:rPr>
          <w:rFonts w:ascii="Tahoma" w:hAnsi="Tahoma" w:cs="Tahoma"/>
          <w:sz w:val="20"/>
          <w:szCs w:val="20"/>
        </w:rPr>
        <w:t xml:space="preserve"> </w:t>
      </w:r>
      <w:r w:rsidRPr="00B004EE">
        <w:rPr>
          <w:rFonts w:ascii="Tahoma" w:hAnsi="Tahoma" w:cs="Tahoma"/>
          <w:sz w:val="20"/>
          <w:szCs w:val="20"/>
        </w:rPr>
        <w:t>doit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exhibé</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permanence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deux</w:t>
      </w:r>
      <w:r w:rsidR="00DB1635" w:rsidRPr="00B004EE">
        <w:rPr>
          <w:rFonts w:ascii="Tahoma" w:hAnsi="Tahoma" w:cs="Tahoma"/>
          <w:sz w:val="20"/>
          <w:szCs w:val="20"/>
        </w:rPr>
        <w:t xml:space="preserve"> </w:t>
      </w:r>
      <w:r w:rsidRPr="00B004EE">
        <w:rPr>
          <w:rFonts w:ascii="Tahoma" w:hAnsi="Tahoma" w:cs="Tahoma"/>
          <w:sz w:val="20"/>
          <w:szCs w:val="20"/>
        </w:rPr>
        <w:t>côtés</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navire,</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plus</w:t>
      </w:r>
      <w:r w:rsidR="00DB1635" w:rsidRPr="00B004EE">
        <w:rPr>
          <w:rFonts w:ascii="Tahoma" w:hAnsi="Tahoma" w:cs="Tahoma"/>
          <w:sz w:val="20"/>
          <w:szCs w:val="20"/>
        </w:rPr>
        <w:t xml:space="preserve"> </w:t>
      </w:r>
      <w:r w:rsidRPr="00B004EE">
        <w:rPr>
          <w:rFonts w:ascii="Tahoma" w:hAnsi="Tahoma" w:cs="Tahoma"/>
          <w:sz w:val="20"/>
          <w:szCs w:val="20"/>
        </w:rPr>
        <w:t>haut</w:t>
      </w:r>
      <w:r w:rsidR="00DB1635" w:rsidRPr="00B004EE">
        <w:rPr>
          <w:rFonts w:ascii="Tahoma" w:hAnsi="Tahoma" w:cs="Tahoma"/>
          <w:sz w:val="20"/>
          <w:szCs w:val="20"/>
        </w:rPr>
        <w:t xml:space="preserve"> </w:t>
      </w:r>
      <w:r w:rsidRPr="00B004EE">
        <w:rPr>
          <w:rFonts w:ascii="Tahoma" w:hAnsi="Tahoma" w:cs="Tahoma"/>
          <w:sz w:val="20"/>
          <w:szCs w:val="20"/>
        </w:rPr>
        <w:t>possible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partir</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ligne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flottaison</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sur</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toit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superstructure</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navire</w:t>
      </w:r>
      <w:r w:rsidR="00DB1635" w:rsidRPr="00B004EE">
        <w:rPr>
          <w:rFonts w:ascii="Tahoma" w:hAnsi="Tahoma" w:cs="Tahoma"/>
          <w:sz w:val="20"/>
          <w:szCs w:val="20"/>
        </w:rPr>
        <w:t xml:space="preserve"> </w:t>
      </w:r>
      <w:r w:rsidRPr="00B004EE">
        <w:rPr>
          <w:rFonts w:ascii="Tahoma" w:hAnsi="Tahoma" w:cs="Tahoma"/>
          <w:sz w:val="20"/>
          <w:szCs w:val="20"/>
        </w:rPr>
        <w:t>afin</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faciliter</w:t>
      </w:r>
      <w:r w:rsidR="00DB1635" w:rsidRPr="00B004EE">
        <w:rPr>
          <w:rFonts w:ascii="Tahoma" w:hAnsi="Tahoma" w:cs="Tahoma"/>
          <w:sz w:val="20"/>
          <w:szCs w:val="20"/>
        </w:rPr>
        <w:t xml:space="preserve"> </w:t>
      </w:r>
      <w:r w:rsidRPr="00B004EE">
        <w:rPr>
          <w:rFonts w:ascii="Tahoma" w:hAnsi="Tahoma" w:cs="Tahoma"/>
          <w:sz w:val="20"/>
          <w:szCs w:val="20"/>
        </w:rPr>
        <w:t>son</w:t>
      </w:r>
      <w:r w:rsidR="00DB1635" w:rsidRPr="00B004EE">
        <w:rPr>
          <w:rFonts w:ascii="Tahoma" w:hAnsi="Tahoma" w:cs="Tahoma"/>
          <w:sz w:val="20"/>
          <w:szCs w:val="20"/>
        </w:rPr>
        <w:t xml:space="preserve"> </w:t>
      </w:r>
      <w:r w:rsidRPr="00B004EE">
        <w:rPr>
          <w:rFonts w:ascii="Tahoma" w:hAnsi="Tahoma" w:cs="Tahoma"/>
          <w:sz w:val="20"/>
          <w:szCs w:val="20"/>
        </w:rPr>
        <w:t>identification</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unités</w:t>
      </w:r>
      <w:r w:rsidR="00DB1635" w:rsidRPr="00B004EE">
        <w:rPr>
          <w:rFonts w:ascii="Tahoma" w:hAnsi="Tahoma" w:cs="Tahoma"/>
          <w:sz w:val="20"/>
          <w:szCs w:val="20"/>
        </w:rPr>
        <w:t xml:space="preserve"> </w:t>
      </w:r>
      <w:r w:rsidRPr="00B004EE">
        <w:rPr>
          <w:rFonts w:ascii="Tahoma" w:hAnsi="Tahoma" w:cs="Tahoma"/>
          <w:sz w:val="20"/>
          <w:szCs w:val="20"/>
        </w:rPr>
        <w:t>marines</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aériennes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surveillance</w:t>
      </w:r>
      <w:r w:rsidR="00DB1635" w:rsidRPr="00B004EE">
        <w:rPr>
          <w:rFonts w:ascii="Tahoma" w:hAnsi="Tahoma" w:cs="Tahoma"/>
          <w:sz w:val="20"/>
          <w:szCs w:val="20"/>
        </w:rPr>
        <w:t xml:space="preserve"> </w:t>
      </w:r>
      <w:r w:rsidRPr="00B004EE">
        <w:rPr>
          <w:rFonts w:ascii="Tahoma" w:hAnsi="Tahoma" w:cs="Tahoma"/>
          <w:sz w:val="20"/>
          <w:szCs w:val="20"/>
        </w:rPr>
        <w:t>;</w:t>
      </w:r>
    </w:p>
    <w:p w14:paraId="326B39E4" w14:textId="69FE6119" w:rsidR="008518B0" w:rsidRPr="00B004EE" w:rsidRDefault="008518B0" w:rsidP="00420DDA">
      <w:pPr>
        <w:numPr>
          <w:ilvl w:val="0"/>
          <w:numId w:val="54"/>
        </w:numPr>
        <w:jc w:val="both"/>
        <w:rPr>
          <w:rFonts w:ascii="Tahoma" w:hAnsi="Tahoma" w:cs="Tahoma"/>
          <w:sz w:val="20"/>
          <w:szCs w:val="20"/>
        </w:rPr>
      </w:pPr>
      <w:proofErr w:type="gramStart"/>
      <w:r w:rsidRPr="00B004EE">
        <w:rPr>
          <w:rFonts w:ascii="Tahoma" w:hAnsi="Tahoma" w:cs="Tahoma"/>
          <w:sz w:val="20"/>
          <w:szCs w:val="20"/>
        </w:rPr>
        <w:t>les</w:t>
      </w:r>
      <w:proofErr w:type="gramEnd"/>
      <w:r w:rsidR="00DB1635" w:rsidRPr="00B004EE">
        <w:rPr>
          <w:rFonts w:ascii="Tahoma" w:hAnsi="Tahoma" w:cs="Tahoma"/>
          <w:sz w:val="20"/>
          <w:szCs w:val="20"/>
        </w:rPr>
        <w:t xml:space="preserve"> </w:t>
      </w:r>
      <w:r w:rsidRPr="00B004EE">
        <w:rPr>
          <w:rFonts w:ascii="Tahoma" w:hAnsi="Tahoma" w:cs="Tahoma"/>
          <w:sz w:val="20"/>
          <w:szCs w:val="20"/>
        </w:rPr>
        <w:t>caractères</w:t>
      </w:r>
      <w:r w:rsidR="00DB1635" w:rsidRPr="00B004EE">
        <w:rPr>
          <w:rFonts w:ascii="Tahoma" w:hAnsi="Tahoma" w:cs="Tahoma"/>
          <w:sz w:val="20"/>
          <w:szCs w:val="20"/>
        </w:rPr>
        <w:t xml:space="preserve"> </w:t>
      </w:r>
      <w:r w:rsidRPr="00B004EE">
        <w:rPr>
          <w:rFonts w:ascii="Tahoma" w:hAnsi="Tahoma" w:cs="Tahoma"/>
          <w:sz w:val="20"/>
          <w:szCs w:val="20"/>
        </w:rPr>
        <w:t>doivent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peints</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couleur</w:t>
      </w:r>
      <w:r w:rsidR="00DB1635" w:rsidRPr="00B004EE">
        <w:rPr>
          <w:rFonts w:ascii="Tahoma" w:hAnsi="Tahoma" w:cs="Tahoma"/>
          <w:sz w:val="20"/>
          <w:szCs w:val="20"/>
        </w:rPr>
        <w:t xml:space="preserve"> </w:t>
      </w:r>
      <w:r w:rsidRPr="00B004EE">
        <w:rPr>
          <w:rFonts w:ascii="Tahoma" w:hAnsi="Tahoma" w:cs="Tahoma"/>
          <w:sz w:val="20"/>
          <w:szCs w:val="20"/>
        </w:rPr>
        <w:t>blanche</w:t>
      </w:r>
      <w:r w:rsidR="00DB1635" w:rsidRPr="00B004EE">
        <w:rPr>
          <w:rFonts w:ascii="Tahoma" w:hAnsi="Tahoma" w:cs="Tahoma"/>
          <w:sz w:val="20"/>
          <w:szCs w:val="20"/>
        </w:rPr>
        <w:t xml:space="preserve"> </w:t>
      </w:r>
      <w:r w:rsidRPr="00B004EE">
        <w:rPr>
          <w:rFonts w:ascii="Tahoma" w:hAnsi="Tahoma" w:cs="Tahoma"/>
          <w:sz w:val="20"/>
          <w:szCs w:val="20"/>
        </w:rPr>
        <w:t>sur</w:t>
      </w:r>
      <w:r w:rsidR="00DB1635" w:rsidRPr="00B004EE">
        <w:rPr>
          <w:rFonts w:ascii="Tahoma" w:hAnsi="Tahoma" w:cs="Tahoma"/>
          <w:sz w:val="20"/>
          <w:szCs w:val="20"/>
        </w:rPr>
        <w:t xml:space="preserve"> </w:t>
      </w:r>
      <w:r w:rsidRPr="00B004EE">
        <w:rPr>
          <w:rFonts w:ascii="Tahoma" w:hAnsi="Tahoma" w:cs="Tahoma"/>
          <w:sz w:val="20"/>
          <w:szCs w:val="20"/>
        </w:rPr>
        <w:t>fond</w:t>
      </w:r>
      <w:r w:rsidR="00DB1635" w:rsidRPr="00B004EE">
        <w:rPr>
          <w:rFonts w:ascii="Tahoma" w:hAnsi="Tahoma" w:cs="Tahoma"/>
          <w:sz w:val="20"/>
          <w:szCs w:val="20"/>
        </w:rPr>
        <w:t xml:space="preserve"> </w:t>
      </w:r>
      <w:r w:rsidRPr="00B004EE">
        <w:rPr>
          <w:rFonts w:ascii="Tahoma" w:hAnsi="Tahoma" w:cs="Tahoma"/>
          <w:sz w:val="20"/>
          <w:szCs w:val="20"/>
        </w:rPr>
        <w:t>noir</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couleur</w:t>
      </w:r>
      <w:r w:rsidR="00DB1635" w:rsidRPr="00B004EE">
        <w:rPr>
          <w:rFonts w:ascii="Tahoma" w:hAnsi="Tahoma" w:cs="Tahoma"/>
          <w:sz w:val="20"/>
          <w:szCs w:val="20"/>
        </w:rPr>
        <w:t xml:space="preserve"> </w:t>
      </w:r>
      <w:r w:rsidRPr="00B004EE">
        <w:rPr>
          <w:rFonts w:ascii="Tahoma" w:hAnsi="Tahoma" w:cs="Tahoma"/>
          <w:sz w:val="20"/>
          <w:szCs w:val="20"/>
        </w:rPr>
        <w:t>noire</w:t>
      </w:r>
      <w:r w:rsidR="00DB1635" w:rsidRPr="00B004EE">
        <w:rPr>
          <w:rFonts w:ascii="Tahoma" w:hAnsi="Tahoma" w:cs="Tahoma"/>
          <w:sz w:val="20"/>
          <w:szCs w:val="20"/>
        </w:rPr>
        <w:t xml:space="preserve"> </w:t>
      </w:r>
      <w:r w:rsidRPr="00B004EE">
        <w:rPr>
          <w:rFonts w:ascii="Tahoma" w:hAnsi="Tahoma" w:cs="Tahoma"/>
          <w:sz w:val="20"/>
          <w:szCs w:val="20"/>
        </w:rPr>
        <w:t>sur</w:t>
      </w:r>
      <w:r w:rsidR="00DB1635" w:rsidRPr="00B004EE">
        <w:rPr>
          <w:rFonts w:ascii="Tahoma" w:hAnsi="Tahoma" w:cs="Tahoma"/>
          <w:sz w:val="20"/>
          <w:szCs w:val="20"/>
        </w:rPr>
        <w:t xml:space="preserve"> </w:t>
      </w:r>
      <w:r w:rsidRPr="00B004EE">
        <w:rPr>
          <w:rFonts w:ascii="Tahoma" w:hAnsi="Tahoma" w:cs="Tahoma"/>
          <w:sz w:val="20"/>
          <w:szCs w:val="20"/>
        </w:rPr>
        <w:t>fond</w:t>
      </w:r>
      <w:r w:rsidR="00DB1635" w:rsidRPr="00B004EE">
        <w:rPr>
          <w:rFonts w:ascii="Tahoma" w:hAnsi="Tahoma" w:cs="Tahoma"/>
          <w:sz w:val="20"/>
          <w:szCs w:val="20"/>
        </w:rPr>
        <w:t xml:space="preserve"> </w:t>
      </w:r>
      <w:r w:rsidRPr="00B004EE">
        <w:rPr>
          <w:rFonts w:ascii="Tahoma" w:hAnsi="Tahoma" w:cs="Tahoma"/>
          <w:sz w:val="20"/>
          <w:szCs w:val="20"/>
        </w:rPr>
        <w:t>blanc</w:t>
      </w:r>
      <w:r w:rsidR="00DB1635" w:rsidRPr="00B004EE">
        <w:rPr>
          <w:rFonts w:ascii="Tahoma" w:hAnsi="Tahoma" w:cs="Tahoma"/>
          <w:sz w:val="20"/>
          <w:szCs w:val="20"/>
        </w:rPr>
        <w:t xml:space="preserve"> </w:t>
      </w:r>
      <w:r w:rsidRPr="00B004EE">
        <w:rPr>
          <w:rFonts w:ascii="Tahoma" w:hAnsi="Tahoma" w:cs="Tahoma"/>
          <w:sz w:val="20"/>
          <w:szCs w:val="20"/>
        </w:rPr>
        <w:t>;</w:t>
      </w:r>
    </w:p>
    <w:p w14:paraId="56989D1E" w14:textId="59B42E39" w:rsidR="008518B0" w:rsidRPr="00B004EE" w:rsidRDefault="008518B0" w:rsidP="00420DDA">
      <w:pPr>
        <w:numPr>
          <w:ilvl w:val="0"/>
          <w:numId w:val="54"/>
        </w:numPr>
        <w:jc w:val="both"/>
        <w:rPr>
          <w:rFonts w:ascii="Tahoma" w:hAnsi="Tahoma" w:cs="Tahoma"/>
          <w:sz w:val="20"/>
          <w:szCs w:val="20"/>
        </w:rPr>
      </w:pPr>
      <w:proofErr w:type="gramStart"/>
      <w:r w:rsidRPr="00B004EE">
        <w:rPr>
          <w:rFonts w:ascii="Tahoma" w:hAnsi="Tahoma" w:cs="Tahoma"/>
          <w:sz w:val="20"/>
          <w:szCs w:val="20"/>
        </w:rPr>
        <w:t>la</w:t>
      </w:r>
      <w:proofErr w:type="gramEnd"/>
      <w:r w:rsidR="00DB1635" w:rsidRPr="00B004EE">
        <w:rPr>
          <w:rFonts w:ascii="Tahoma" w:hAnsi="Tahoma" w:cs="Tahoma"/>
          <w:sz w:val="20"/>
          <w:szCs w:val="20"/>
        </w:rPr>
        <w:t xml:space="preserve"> </w:t>
      </w:r>
      <w:r w:rsidRPr="00B004EE">
        <w:rPr>
          <w:rFonts w:ascii="Tahoma" w:hAnsi="Tahoma" w:cs="Tahoma"/>
          <w:sz w:val="20"/>
          <w:szCs w:val="20"/>
        </w:rPr>
        <w:t>dimension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caractères</w:t>
      </w:r>
      <w:r w:rsidR="00DB1635" w:rsidRPr="00B004EE">
        <w:rPr>
          <w:rFonts w:ascii="Tahoma" w:hAnsi="Tahoma" w:cs="Tahoma"/>
          <w:sz w:val="20"/>
          <w:szCs w:val="20"/>
        </w:rPr>
        <w:t xml:space="preserve"> </w:t>
      </w:r>
      <w:r w:rsidRPr="00B004EE">
        <w:rPr>
          <w:rFonts w:ascii="Tahoma" w:hAnsi="Tahoma" w:cs="Tahoma"/>
          <w:sz w:val="20"/>
          <w:szCs w:val="20"/>
        </w:rPr>
        <w:t>doit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fixée,</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fonction</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longueur</w:t>
      </w:r>
      <w:r w:rsidR="00DB1635" w:rsidRPr="00B004EE">
        <w:rPr>
          <w:rFonts w:ascii="Tahoma" w:hAnsi="Tahoma" w:cs="Tahoma"/>
          <w:sz w:val="20"/>
          <w:szCs w:val="20"/>
        </w:rPr>
        <w:t xml:space="preserve"> </w:t>
      </w:r>
      <w:r w:rsidRPr="00B004EE">
        <w:rPr>
          <w:rFonts w:ascii="Tahoma" w:hAnsi="Tahoma" w:cs="Tahoma"/>
          <w:sz w:val="20"/>
          <w:szCs w:val="20"/>
        </w:rPr>
        <w:t>hors</w:t>
      </w:r>
      <w:r w:rsidR="00DB1635" w:rsidRPr="00B004EE">
        <w:rPr>
          <w:rFonts w:ascii="Tahoma" w:hAnsi="Tahoma" w:cs="Tahoma"/>
          <w:sz w:val="20"/>
          <w:szCs w:val="20"/>
        </w:rPr>
        <w:t xml:space="preserve"> </w:t>
      </w:r>
      <w:r w:rsidRPr="00B004EE">
        <w:rPr>
          <w:rFonts w:ascii="Tahoma" w:hAnsi="Tahoma" w:cs="Tahoma"/>
          <w:sz w:val="20"/>
          <w:szCs w:val="20"/>
        </w:rPr>
        <w:t>tout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navires,</w:t>
      </w:r>
      <w:r w:rsidR="00DB1635" w:rsidRPr="00B004EE">
        <w:rPr>
          <w:rFonts w:ascii="Tahoma" w:hAnsi="Tahoma" w:cs="Tahoma"/>
          <w:sz w:val="20"/>
          <w:szCs w:val="20"/>
        </w:rPr>
        <w:t xml:space="preserve"> </w:t>
      </w:r>
      <w:r w:rsidRPr="00B004EE">
        <w:rPr>
          <w:rFonts w:ascii="Tahoma" w:hAnsi="Tahoma" w:cs="Tahoma"/>
          <w:sz w:val="20"/>
          <w:szCs w:val="20"/>
        </w:rPr>
        <w:t>conformément</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tableau</w:t>
      </w:r>
      <w:r w:rsidR="00DB1635" w:rsidRPr="00B004EE">
        <w:rPr>
          <w:rFonts w:ascii="Tahoma" w:hAnsi="Tahoma" w:cs="Tahoma"/>
          <w:sz w:val="20"/>
          <w:szCs w:val="20"/>
        </w:rPr>
        <w:t xml:space="preserve"> </w:t>
      </w:r>
      <w:r w:rsidRPr="00B004EE">
        <w:rPr>
          <w:rFonts w:ascii="Tahoma" w:hAnsi="Tahoma" w:cs="Tahoma"/>
          <w:sz w:val="20"/>
          <w:szCs w:val="20"/>
        </w:rPr>
        <w:t>ci-après</w:t>
      </w:r>
      <w:r w:rsidR="00DB1635" w:rsidRPr="00B004EE">
        <w:rPr>
          <w:rFonts w:ascii="Tahoma" w:hAnsi="Tahoma" w:cs="Tahoma"/>
          <w:sz w:val="20"/>
          <w:szCs w:val="20"/>
        </w:rPr>
        <w:t xml:space="preserve"> </w:t>
      </w:r>
      <w:r w:rsidRPr="00B004EE">
        <w:rPr>
          <w:rFonts w:ascii="Tahoma" w:hAnsi="Tahoma" w:cs="Tahoma"/>
          <w:sz w:val="20"/>
          <w:szCs w:val="20"/>
        </w:rPr>
        <w:t>:</w:t>
      </w:r>
    </w:p>
    <w:p w14:paraId="705E1599" w14:textId="77777777" w:rsidR="00DF657F" w:rsidRPr="00B004EE" w:rsidRDefault="00DF657F" w:rsidP="00B004EE">
      <w:pPr>
        <w:ind w:left="1069"/>
        <w:jc w:val="both"/>
        <w:rPr>
          <w:rFonts w:ascii="Tahoma" w:hAnsi="Tahoma" w:cs="Tahoma"/>
          <w:sz w:val="20"/>
          <w:szCs w:val="20"/>
        </w:rPr>
      </w:pPr>
    </w:p>
    <w:tbl>
      <w:tblPr>
        <w:tblW w:w="8789" w:type="dxa"/>
        <w:tblInd w:w="709" w:type="dxa"/>
        <w:tblLayout w:type="fixed"/>
        <w:tblCellMar>
          <w:left w:w="70" w:type="dxa"/>
          <w:right w:w="70" w:type="dxa"/>
        </w:tblCellMar>
        <w:tblLook w:val="0000" w:firstRow="0" w:lastRow="0" w:firstColumn="0" w:lastColumn="0" w:noHBand="0" w:noVBand="0"/>
      </w:tblPr>
      <w:tblGrid>
        <w:gridCol w:w="3614"/>
        <w:gridCol w:w="5175"/>
      </w:tblGrid>
      <w:tr w:rsidR="00150C90" w:rsidRPr="00B004EE" w14:paraId="7B9416AF" w14:textId="77777777" w:rsidTr="00BD7C35">
        <w:tc>
          <w:tcPr>
            <w:tcW w:w="3614" w:type="dxa"/>
          </w:tcPr>
          <w:p w14:paraId="37D07811" w14:textId="5798FBC0" w:rsidR="008518B0" w:rsidRPr="00B004EE" w:rsidRDefault="008518B0" w:rsidP="00B004EE">
            <w:pPr>
              <w:numPr>
                <w:ilvl w:val="12"/>
                <w:numId w:val="0"/>
              </w:numPr>
              <w:rPr>
                <w:rFonts w:ascii="Tahoma" w:hAnsi="Tahoma" w:cs="Tahoma"/>
                <w:sz w:val="20"/>
                <w:szCs w:val="20"/>
              </w:rPr>
            </w:pPr>
            <w:r w:rsidRPr="00B004EE">
              <w:rPr>
                <w:rFonts w:ascii="Tahoma" w:hAnsi="Tahoma" w:cs="Tahoma"/>
                <w:sz w:val="20"/>
                <w:szCs w:val="20"/>
              </w:rPr>
              <w:t>Longueur</w:t>
            </w:r>
            <w:r w:rsidR="00DB1635" w:rsidRPr="00B004EE">
              <w:rPr>
                <w:rFonts w:ascii="Tahoma" w:hAnsi="Tahoma" w:cs="Tahoma"/>
                <w:sz w:val="20"/>
                <w:szCs w:val="20"/>
              </w:rPr>
              <w:t xml:space="preserve"> </w:t>
            </w:r>
            <w:r w:rsidRPr="00B004EE">
              <w:rPr>
                <w:rFonts w:ascii="Tahoma" w:hAnsi="Tahoma" w:cs="Tahoma"/>
                <w:sz w:val="20"/>
                <w:szCs w:val="20"/>
              </w:rPr>
              <w:t>hors</w:t>
            </w:r>
            <w:r w:rsidR="00DB1635" w:rsidRPr="00B004EE">
              <w:rPr>
                <w:rFonts w:ascii="Tahoma" w:hAnsi="Tahoma" w:cs="Tahoma"/>
                <w:sz w:val="20"/>
                <w:szCs w:val="20"/>
              </w:rPr>
              <w:t xml:space="preserve"> </w:t>
            </w:r>
            <w:r w:rsidRPr="00B004EE">
              <w:rPr>
                <w:rFonts w:ascii="Tahoma" w:hAnsi="Tahoma" w:cs="Tahoma"/>
                <w:sz w:val="20"/>
                <w:szCs w:val="20"/>
              </w:rPr>
              <w:t>tout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navires</w:t>
            </w:r>
          </w:p>
        </w:tc>
        <w:tc>
          <w:tcPr>
            <w:tcW w:w="5175" w:type="dxa"/>
          </w:tcPr>
          <w:p w14:paraId="539AFACB" w14:textId="77D7805C" w:rsidR="008518B0" w:rsidRPr="00B004EE" w:rsidRDefault="008518B0" w:rsidP="00B004EE">
            <w:pPr>
              <w:numPr>
                <w:ilvl w:val="12"/>
                <w:numId w:val="0"/>
              </w:numPr>
              <w:jc w:val="center"/>
              <w:rPr>
                <w:rFonts w:ascii="Tahoma" w:hAnsi="Tahoma" w:cs="Tahoma"/>
                <w:sz w:val="20"/>
                <w:szCs w:val="20"/>
              </w:rPr>
            </w:pPr>
            <w:r w:rsidRPr="00B004EE">
              <w:rPr>
                <w:rFonts w:ascii="Tahoma" w:hAnsi="Tahoma" w:cs="Tahoma"/>
                <w:sz w:val="20"/>
                <w:szCs w:val="20"/>
              </w:rPr>
              <w:t>Hauteur</w:t>
            </w:r>
            <w:r w:rsidR="00DB1635" w:rsidRPr="00B004EE">
              <w:rPr>
                <w:rFonts w:ascii="Tahoma" w:hAnsi="Tahoma" w:cs="Tahoma"/>
                <w:sz w:val="20"/>
                <w:szCs w:val="20"/>
              </w:rPr>
              <w:t xml:space="preserve"> </w:t>
            </w:r>
            <w:r w:rsidRPr="00B004EE">
              <w:rPr>
                <w:rFonts w:ascii="Tahoma" w:hAnsi="Tahoma" w:cs="Tahoma"/>
                <w:sz w:val="20"/>
                <w:szCs w:val="20"/>
              </w:rPr>
              <w:t>minimale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caractères</w:t>
            </w:r>
          </w:p>
        </w:tc>
      </w:tr>
      <w:tr w:rsidR="00150C90" w:rsidRPr="00B004EE" w14:paraId="3490691E" w14:textId="77777777" w:rsidTr="00BD7C35">
        <w:tc>
          <w:tcPr>
            <w:tcW w:w="3614" w:type="dxa"/>
          </w:tcPr>
          <w:p w14:paraId="7B3728B6" w14:textId="07214D95" w:rsidR="008518B0" w:rsidRPr="00B004EE" w:rsidRDefault="008518B0" w:rsidP="00B004EE">
            <w:pPr>
              <w:numPr>
                <w:ilvl w:val="12"/>
                <w:numId w:val="0"/>
              </w:numPr>
              <w:jc w:val="center"/>
              <w:rPr>
                <w:rFonts w:ascii="Tahoma" w:hAnsi="Tahoma" w:cs="Tahoma"/>
                <w:sz w:val="20"/>
                <w:szCs w:val="20"/>
              </w:rPr>
            </w:pPr>
            <w:r w:rsidRPr="00B004EE">
              <w:rPr>
                <w:rFonts w:ascii="Tahoma" w:hAnsi="Tahoma" w:cs="Tahoma"/>
                <w:sz w:val="20"/>
                <w:szCs w:val="20"/>
              </w:rPr>
              <w:t>25</w:t>
            </w:r>
            <w:r w:rsidR="00DB1635" w:rsidRPr="00B004EE">
              <w:rPr>
                <w:rFonts w:ascii="Tahoma" w:hAnsi="Tahoma" w:cs="Tahoma"/>
                <w:sz w:val="20"/>
                <w:szCs w:val="20"/>
              </w:rPr>
              <w:t xml:space="preserve"> </w:t>
            </w:r>
            <w:r w:rsidRPr="00B004EE">
              <w:rPr>
                <w:rFonts w:ascii="Tahoma" w:hAnsi="Tahoma" w:cs="Tahoma"/>
                <w:sz w:val="20"/>
                <w:szCs w:val="20"/>
              </w:rPr>
              <w:t>m</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plus</w:t>
            </w:r>
          </w:p>
          <w:p w14:paraId="0E21D91D" w14:textId="5E58A5E4" w:rsidR="008518B0" w:rsidRPr="00B004EE" w:rsidRDefault="008518B0" w:rsidP="00B004EE">
            <w:pPr>
              <w:numPr>
                <w:ilvl w:val="12"/>
                <w:numId w:val="0"/>
              </w:numPr>
              <w:jc w:val="center"/>
              <w:rPr>
                <w:rFonts w:ascii="Tahoma" w:hAnsi="Tahoma" w:cs="Tahoma"/>
                <w:sz w:val="20"/>
                <w:szCs w:val="20"/>
              </w:rPr>
            </w:pPr>
            <w:proofErr w:type="gramStart"/>
            <w:r w:rsidRPr="00B004EE">
              <w:rPr>
                <w:rFonts w:ascii="Tahoma" w:hAnsi="Tahoma" w:cs="Tahoma"/>
                <w:sz w:val="20"/>
                <w:szCs w:val="20"/>
              </w:rPr>
              <w:t>de</w:t>
            </w:r>
            <w:proofErr w:type="gramEnd"/>
            <w:r w:rsidR="00DB1635" w:rsidRPr="00B004EE">
              <w:rPr>
                <w:rFonts w:ascii="Tahoma" w:hAnsi="Tahoma" w:cs="Tahoma"/>
                <w:sz w:val="20"/>
                <w:szCs w:val="20"/>
              </w:rPr>
              <w:t xml:space="preserve"> </w:t>
            </w:r>
            <w:r w:rsidRPr="00B004EE">
              <w:rPr>
                <w:rFonts w:ascii="Tahoma" w:hAnsi="Tahoma" w:cs="Tahoma"/>
                <w:sz w:val="20"/>
                <w:szCs w:val="20"/>
              </w:rPr>
              <w:t>20</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25</w:t>
            </w:r>
            <w:r w:rsidR="00DB1635" w:rsidRPr="00B004EE">
              <w:rPr>
                <w:rFonts w:ascii="Tahoma" w:hAnsi="Tahoma" w:cs="Tahoma"/>
                <w:sz w:val="20"/>
                <w:szCs w:val="20"/>
              </w:rPr>
              <w:t xml:space="preserve"> </w:t>
            </w:r>
            <w:r w:rsidRPr="00B004EE">
              <w:rPr>
                <w:rFonts w:ascii="Tahoma" w:hAnsi="Tahoma" w:cs="Tahoma"/>
                <w:sz w:val="20"/>
                <w:szCs w:val="20"/>
              </w:rPr>
              <w:t>m</w:t>
            </w:r>
          </w:p>
          <w:p w14:paraId="4392DEEA" w14:textId="484ECA40" w:rsidR="008518B0" w:rsidRPr="00B004EE" w:rsidRDefault="008518B0" w:rsidP="00B004EE">
            <w:pPr>
              <w:numPr>
                <w:ilvl w:val="12"/>
                <w:numId w:val="0"/>
              </w:numPr>
              <w:jc w:val="center"/>
              <w:rPr>
                <w:rFonts w:ascii="Tahoma" w:hAnsi="Tahoma" w:cs="Tahoma"/>
                <w:sz w:val="20"/>
                <w:szCs w:val="20"/>
              </w:rPr>
            </w:pPr>
            <w:proofErr w:type="gramStart"/>
            <w:r w:rsidRPr="00B004EE">
              <w:rPr>
                <w:rFonts w:ascii="Tahoma" w:hAnsi="Tahoma" w:cs="Tahoma"/>
                <w:sz w:val="20"/>
                <w:szCs w:val="20"/>
              </w:rPr>
              <w:lastRenderedPageBreak/>
              <w:t>de</w:t>
            </w:r>
            <w:proofErr w:type="gramEnd"/>
            <w:r w:rsidR="00DB1635" w:rsidRPr="00B004EE">
              <w:rPr>
                <w:rFonts w:ascii="Tahoma" w:hAnsi="Tahoma" w:cs="Tahoma"/>
                <w:sz w:val="20"/>
                <w:szCs w:val="20"/>
              </w:rPr>
              <w:t xml:space="preserve"> </w:t>
            </w:r>
            <w:r w:rsidRPr="00B004EE">
              <w:rPr>
                <w:rFonts w:ascii="Tahoma" w:hAnsi="Tahoma" w:cs="Tahoma"/>
                <w:sz w:val="20"/>
                <w:szCs w:val="20"/>
              </w:rPr>
              <w:t>15</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20</w:t>
            </w:r>
            <w:r w:rsidR="00DB1635" w:rsidRPr="00B004EE">
              <w:rPr>
                <w:rFonts w:ascii="Tahoma" w:hAnsi="Tahoma" w:cs="Tahoma"/>
                <w:sz w:val="20"/>
                <w:szCs w:val="20"/>
              </w:rPr>
              <w:t xml:space="preserve"> </w:t>
            </w:r>
            <w:r w:rsidRPr="00B004EE">
              <w:rPr>
                <w:rFonts w:ascii="Tahoma" w:hAnsi="Tahoma" w:cs="Tahoma"/>
                <w:sz w:val="20"/>
                <w:szCs w:val="20"/>
              </w:rPr>
              <w:t>m</w:t>
            </w:r>
          </w:p>
          <w:p w14:paraId="747E8561" w14:textId="246DC60E" w:rsidR="008518B0" w:rsidRPr="00B004EE" w:rsidRDefault="008518B0" w:rsidP="00B004EE">
            <w:pPr>
              <w:numPr>
                <w:ilvl w:val="12"/>
                <w:numId w:val="0"/>
              </w:numPr>
              <w:jc w:val="center"/>
              <w:rPr>
                <w:rFonts w:ascii="Tahoma" w:hAnsi="Tahoma" w:cs="Tahoma"/>
                <w:sz w:val="20"/>
                <w:szCs w:val="20"/>
              </w:rPr>
            </w:pPr>
            <w:proofErr w:type="gramStart"/>
            <w:r w:rsidRPr="00B004EE">
              <w:rPr>
                <w:rFonts w:ascii="Tahoma" w:hAnsi="Tahoma" w:cs="Tahoma"/>
                <w:sz w:val="20"/>
                <w:szCs w:val="20"/>
              </w:rPr>
              <w:t>de</w:t>
            </w:r>
            <w:proofErr w:type="gramEnd"/>
            <w:r w:rsidR="00DB1635" w:rsidRPr="00B004EE">
              <w:rPr>
                <w:rFonts w:ascii="Tahoma" w:hAnsi="Tahoma" w:cs="Tahoma"/>
                <w:sz w:val="20"/>
                <w:szCs w:val="20"/>
              </w:rPr>
              <w:t xml:space="preserve"> </w:t>
            </w:r>
            <w:r w:rsidRPr="00B004EE">
              <w:rPr>
                <w:rFonts w:ascii="Tahoma" w:hAnsi="Tahoma" w:cs="Tahoma"/>
                <w:sz w:val="20"/>
                <w:szCs w:val="20"/>
              </w:rPr>
              <w:t>12</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15</w:t>
            </w:r>
            <w:r w:rsidR="00DB1635" w:rsidRPr="00B004EE">
              <w:rPr>
                <w:rFonts w:ascii="Tahoma" w:hAnsi="Tahoma" w:cs="Tahoma"/>
                <w:sz w:val="20"/>
                <w:szCs w:val="20"/>
              </w:rPr>
              <w:t xml:space="preserve"> </w:t>
            </w:r>
            <w:r w:rsidRPr="00B004EE">
              <w:rPr>
                <w:rFonts w:ascii="Tahoma" w:hAnsi="Tahoma" w:cs="Tahoma"/>
                <w:sz w:val="20"/>
                <w:szCs w:val="20"/>
              </w:rPr>
              <w:t>m</w:t>
            </w:r>
          </w:p>
          <w:p w14:paraId="34CFDA4B" w14:textId="42048C9F" w:rsidR="008518B0" w:rsidRPr="00B004EE" w:rsidRDefault="008518B0" w:rsidP="00B004EE">
            <w:pPr>
              <w:numPr>
                <w:ilvl w:val="12"/>
                <w:numId w:val="0"/>
              </w:numPr>
              <w:jc w:val="center"/>
              <w:rPr>
                <w:rFonts w:ascii="Tahoma" w:hAnsi="Tahoma" w:cs="Tahoma"/>
                <w:sz w:val="20"/>
                <w:szCs w:val="20"/>
              </w:rPr>
            </w:pPr>
            <w:proofErr w:type="gramStart"/>
            <w:r w:rsidRPr="00B004EE">
              <w:rPr>
                <w:rFonts w:ascii="Tahoma" w:hAnsi="Tahoma" w:cs="Tahoma"/>
                <w:sz w:val="20"/>
                <w:szCs w:val="20"/>
              </w:rPr>
              <w:t>de</w:t>
            </w:r>
            <w:proofErr w:type="gramEnd"/>
            <w:r w:rsidR="00DB1635" w:rsidRPr="00B004EE">
              <w:rPr>
                <w:rFonts w:ascii="Tahoma" w:hAnsi="Tahoma" w:cs="Tahoma"/>
                <w:sz w:val="20"/>
                <w:szCs w:val="20"/>
              </w:rPr>
              <w:t xml:space="preserve"> </w:t>
            </w:r>
            <w:r w:rsidRPr="00B004EE">
              <w:rPr>
                <w:rFonts w:ascii="Tahoma" w:hAnsi="Tahoma" w:cs="Tahoma"/>
                <w:sz w:val="20"/>
                <w:szCs w:val="20"/>
              </w:rPr>
              <w:t>5</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12</w:t>
            </w:r>
            <w:r w:rsidR="00DB1635" w:rsidRPr="00B004EE">
              <w:rPr>
                <w:rFonts w:ascii="Tahoma" w:hAnsi="Tahoma" w:cs="Tahoma"/>
                <w:sz w:val="20"/>
                <w:szCs w:val="20"/>
              </w:rPr>
              <w:t xml:space="preserve"> </w:t>
            </w:r>
            <w:r w:rsidRPr="00B004EE">
              <w:rPr>
                <w:rFonts w:ascii="Tahoma" w:hAnsi="Tahoma" w:cs="Tahoma"/>
                <w:sz w:val="20"/>
                <w:szCs w:val="20"/>
              </w:rPr>
              <w:t>m</w:t>
            </w:r>
          </w:p>
          <w:p w14:paraId="24F6330F" w14:textId="384A07F2" w:rsidR="008518B0" w:rsidRPr="00B004EE" w:rsidRDefault="008518B0" w:rsidP="00B004EE">
            <w:pPr>
              <w:numPr>
                <w:ilvl w:val="12"/>
                <w:numId w:val="0"/>
              </w:numPr>
              <w:jc w:val="center"/>
              <w:rPr>
                <w:rFonts w:ascii="Tahoma" w:hAnsi="Tahoma" w:cs="Tahoma"/>
                <w:sz w:val="20"/>
                <w:szCs w:val="20"/>
              </w:rPr>
            </w:pPr>
            <w:r w:rsidRPr="00B004EE">
              <w:rPr>
                <w:rFonts w:ascii="Tahoma" w:hAnsi="Tahoma" w:cs="Tahoma"/>
                <w:sz w:val="20"/>
                <w:szCs w:val="20"/>
              </w:rPr>
              <w:t>moins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5</w:t>
            </w:r>
            <w:r w:rsidR="00DB1635" w:rsidRPr="00B004EE">
              <w:rPr>
                <w:rFonts w:ascii="Tahoma" w:hAnsi="Tahoma" w:cs="Tahoma"/>
                <w:sz w:val="20"/>
                <w:szCs w:val="20"/>
              </w:rPr>
              <w:t xml:space="preserve"> </w:t>
            </w:r>
            <w:r w:rsidRPr="00B004EE">
              <w:rPr>
                <w:rFonts w:ascii="Tahoma" w:hAnsi="Tahoma" w:cs="Tahoma"/>
                <w:sz w:val="20"/>
                <w:szCs w:val="20"/>
              </w:rPr>
              <w:t>m</w:t>
            </w:r>
          </w:p>
        </w:tc>
        <w:tc>
          <w:tcPr>
            <w:tcW w:w="5175" w:type="dxa"/>
          </w:tcPr>
          <w:p w14:paraId="141188B0" w14:textId="554CABCE" w:rsidR="008518B0" w:rsidRPr="00B004EE" w:rsidRDefault="008518B0" w:rsidP="00B004EE">
            <w:pPr>
              <w:numPr>
                <w:ilvl w:val="12"/>
                <w:numId w:val="0"/>
              </w:numPr>
              <w:jc w:val="center"/>
              <w:rPr>
                <w:rFonts w:ascii="Tahoma" w:hAnsi="Tahoma" w:cs="Tahoma"/>
                <w:sz w:val="20"/>
                <w:szCs w:val="20"/>
              </w:rPr>
            </w:pPr>
            <w:r w:rsidRPr="00B004EE">
              <w:rPr>
                <w:rFonts w:ascii="Tahoma" w:hAnsi="Tahoma" w:cs="Tahoma"/>
                <w:sz w:val="20"/>
                <w:szCs w:val="20"/>
              </w:rPr>
              <w:lastRenderedPageBreak/>
              <w:t>1,0</w:t>
            </w:r>
            <w:r w:rsidR="00DB1635" w:rsidRPr="00B004EE">
              <w:rPr>
                <w:rFonts w:ascii="Tahoma" w:hAnsi="Tahoma" w:cs="Tahoma"/>
                <w:sz w:val="20"/>
                <w:szCs w:val="20"/>
              </w:rPr>
              <w:t xml:space="preserve"> </w:t>
            </w:r>
            <w:r w:rsidRPr="00B004EE">
              <w:rPr>
                <w:rFonts w:ascii="Tahoma" w:hAnsi="Tahoma" w:cs="Tahoma"/>
                <w:sz w:val="20"/>
                <w:szCs w:val="20"/>
              </w:rPr>
              <w:t>m</w:t>
            </w:r>
          </w:p>
          <w:p w14:paraId="7FB5914A" w14:textId="231133C2" w:rsidR="008518B0" w:rsidRPr="00B004EE" w:rsidRDefault="008518B0" w:rsidP="00B004EE">
            <w:pPr>
              <w:numPr>
                <w:ilvl w:val="12"/>
                <w:numId w:val="0"/>
              </w:numPr>
              <w:jc w:val="center"/>
              <w:rPr>
                <w:rFonts w:ascii="Tahoma" w:hAnsi="Tahoma" w:cs="Tahoma"/>
                <w:sz w:val="20"/>
                <w:szCs w:val="20"/>
              </w:rPr>
            </w:pPr>
            <w:r w:rsidRPr="00B004EE">
              <w:rPr>
                <w:rFonts w:ascii="Tahoma" w:hAnsi="Tahoma" w:cs="Tahoma"/>
                <w:sz w:val="20"/>
                <w:szCs w:val="20"/>
              </w:rPr>
              <w:t>0,8</w:t>
            </w:r>
            <w:r w:rsidR="00DB1635" w:rsidRPr="00B004EE">
              <w:rPr>
                <w:rFonts w:ascii="Tahoma" w:hAnsi="Tahoma" w:cs="Tahoma"/>
                <w:sz w:val="20"/>
                <w:szCs w:val="20"/>
              </w:rPr>
              <w:t xml:space="preserve"> </w:t>
            </w:r>
            <w:r w:rsidRPr="00B004EE">
              <w:rPr>
                <w:rFonts w:ascii="Tahoma" w:hAnsi="Tahoma" w:cs="Tahoma"/>
                <w:sz w:val="20"/>
                <w:szCs w:val="20"/>
              </w:rPr>
              <w:t>m</w:t>
            </w:r>
          </w:p>
          <w:p w14:paraId="7393BD6A" w14:textId="785BD4ED" w:rsidR="008518B0" w:rsidRPr="00B004EE" w:rsidRDefault="008518B0" w:rsidP="00B004EE">
            <w:pPr>
              <w:numPr>
                <w:ilvl w:val="12"/>
                <w:numId w:val="0"/>
              </w:numPr>
              <w:jc w:val="center"/>
              <w:rPr>
                <w:rFonts w:ascii="Tahoma" w:hAnsi="Tahoma" w:cs="Tahoma"/>
                <w:sz w:val="20"/>
                <w:szCs w:val="20"/>
              </w:rPr>
            </w:pPr>
            <w:r w:rsidRPr="00B004EE">
              <w:rPr>
                <w:rFonts w:ascii="Tahoma" w:hAnsi="Tahoma" w:cs="Tahoma"/>
                <w:sz w:val="20"/>
                <w:szCs w:val="20"/>
              </w:rPr>
              <w:lastRenderedPageBreak/>
              <w:t>0,6</w:t>
            </w:r>
            <w:r w:rsidR="00DB1635" w:rsidRPr="00B004EE">
              <w:rPr>
                <w:rFonts w:ascii="Tahoma" w:hAnsi="Tahoma" w:cs="Tahoma"/>
                <w:sz w:val="20"/>
                <w:szCs w:val="20"/>
              </w:rPr>
              <w:t xml:space="preserve"> </w:t>
            </w:r>
            <w:r w:rsidRPr="00B004EE">
              <w:rPr>
                <w:rFonts w:ascii="Tahoma" w:hAnsi="Tahoma" w:cs="Tahoma"/>
                <w:sz w:val="20"/>
                <w:szCs w:val="20"/>
              </w:rPr>
              <w:t>m</w:t>
            </w:r>
          </w:p>
          <w:p w14:paraId="05D67D54" w14:textId="24B49D54" w:rsidR="008518B0" w:rsidRPr="00B004EE" w:rsidRDefault="008518B0" w:rsidP="00B004EE">
            <w:pPr>
              <w:numPr>
                <w:ilvl w:val="12"/>
                <w:numId w:val="0"/>
              </w:numPr>
              <w:jc w:val="center"/>
              <w:rPr>
                <w:rFonts w:ascii="Tahoma" w:hAnsi="Tahoma" w:cs="Tahoma"/>
                <w:sz w:val="20"/>
                <w:szCs w:val="20"/>
              </w:rPr>
            </w:pPr>
            <w:r w:rsidRPr="00B004EE">
              <w:rPr>
                <w:rFonts w:ascii="Tahoma" w:hAnsi="Tahoma" w:cs="Tahoma"/>
                <w:sz w:val="20"/>
                <w:szCs w:val="20"/>
              </w:rPr>
              <w:t>0,4</w:t>
            </w:r>
            <w:r w:rsidR="00DB1635" w:rsidRPr="00B004EE">
              <w:rPr>
                <w:rFonts w:ascii="Tahoma" w:hAnsi="Tahoma" w:cs="Tahoma"/>
                <w:sz w:val="20"/>
                <w:szCs w:val="20"/>
              </w:rPr>
              <w:t xml:space="preserve"> </w:t>
            </w:r>
            <w:r w:rsidRPr="00B004EE">
              <w:rPr>
                <w:rFonts w:ascii="Tahoma" w:hAnsi="Tahoma" w:cs="Tahoma"/>
                <w:sz w:val="20"/>
                <w:szCs w:val="20"/>
              </w:rPr>
              <w:t>m</w:t>
            </w:r>
          </w:p>
          <w:p w14:paraId="1092AFB3" w14:textId="037A4EB9" w:rsidR="008518B0" w:rsidRPr="00B004EE" w:rsidRDefault="008518B0" w:rsidP="00B004EE">
            <w:pPr>
              <w:numPr>
                <w:ilvl w:val="12"/>
                <w:numId w:val="0"/>
              </w:numPr>
              <w:jc w:val="center"/>
              <w:rPr>
                <w:rFonts w:ascii="Tahoma" w:hAnsi="Tahoma" w:cs="Tahoma"/>
                <w:sz w:val="20"/>
                <w:szCs w:val="20"/>
              </w:rPr>
            </w:pPr>
            <w:r w:rsidRPr="00B004EE">
              <w:rPr>
                <w:rFonts w:ascii="Tahoma" w:hAnsi="Tahoma" w:cs="Tahoma"/>
                <w:sz w:val="20"/>
                <w:szCs w:val="20"/>
              </w:rPr>
              <w:t>0,3</w:t>
            </w:r>
            <w:r w:rsidR="00DB1635" w:rsidRPr="00B004EE">
              <w:rPr>
                <w:rFonts w:ascii="Tahoma" w:hAnsi="Tahoma" w:cs="Tahoma"/>
                <w:sz w:val="20"/>
                <w:szCs w:val="20"/>
              </w:rPr>
              <w:t xml:space="preserve"> </w:t>
            </w:r>
            <w:r w:rsidRPr="00B004EE">
              <w:rPr>
                <w:rFonts w:ascii="Tahoma" w:hAnsi="Tahoma" w:cs="Tahoma"/>
                <w:sz w:val="20"/>
                <w:szCs w:val="20"/>
              </w:rPr>
              <w:t>m</w:t>
            </w:r>
          </w:p>
          <w:p w14:paraId="666B11A2" w14:textId="2FD21863" w:rsidR="008518B0" w:rsidRPr="00B004EE" w:rsidRDefault="008518B0" w:rsidP="00B004EE">
            <w:pPr>
              <w:numPr>
                <w:ilvl w:val="12"/>
                <w:numId w:val="0"/>
              </w:numPr>
              <w:jc w:val="center"/>
              <w:rPr>
                <w:rFonts w:ascii="Tahoma" w:hAnsi="Tahoma" w:cs="Tahoma"/>
                <w:sz w:val="20"/>
                <w:szCs w:val="20"/>
              </w:rPr>
            </w:pPr>
            <w:r w:rsidRPr="00B004EE">
              <w:rPr>
                <w:rFonts w:ascii="Tahoma" w:hAnsi="Tahoma" w:cs="Tahoma"/>
                <w:sz w:val="20"/>
                <w:szCs w:val="20"/>
              </w:rPr>
              <w:t>0,1</w:t>
            </w:r>
            <w:r w:rsidR="00DB1635" w:rsidRPr="00B004EE">
              <w:rPr>
                <w:rFonts w:ascii="Tahoma" w:hAnsi="Tahoma" w:cs="Tahoma"/>
                <w:sz w:val="20"/>
                <w:szCs w:val="20"/>
              </w:rPr>
              <w:t xml:space="preserve"> </w:t>
            </w:r>
            <w:r w:rsidRPr="00B004EE">
              <w:rPr>
                <w:rFonts w:ascii="Tahoma" w:hAnsi="Tahoma" w:cs="Tahoma"/>
                <w:sz w:val="20"/>
                <w:szCs w:val="20"/>
              </w:rPr>
              <w:t>m</w:t>
            </w:r>
          </w:p>
        </w:tc>
      </w:tr>
    </w:tbl>
    <w:p w14:paraId="231D61A4" w14:textId="5A69B0C4" w:rsidR="008518B0" w:rsidRPr="00B004EE" w:rsidRDefault="008518B0" w:rsidP="00420DDA">
      <w:pPr>
        <w:numPr>
          <w:ilvl w:val="0"/>
          <w:numId w:val="54"/>
        </w:numPr>
        <w:jc w:val="both"/>
        <w:rPr>
          <w:rFonts w:ascii="Tahoma" w:hAnsi="Tahoma" w:cs="Tahoma"/>
          <w:sz w:val="20"/>
          <w:szCs w:val="20"/>
        </w:rPr>
      </w:pPr>
      <w:proofErr w:type="gramStart"/>
      <w:r w:rsidRPr="00B004EE">
        <w:rPr>
          <w:rFonts w:ascii="Tahoma" w:hAnsi="Tahoma" w:cs="Tahoma"/>
          <w:sz w:val="20"/>
          <w:szCs w:val="20"/>
        </w:rPr>
        <w:t>chaque</w:t>
      </w:r>
      <w:proofErr w:type="gramEnd"/>
      <w:r w:rsidR="00DB1635" w:rsidRPr="00B004EE">
        <w:rPr>
          <w:rFonts w:ascii="Tahoma" w:hAnsi="Tahoma" w:cs="Tahoma"/>
          <w:sz w:val="20"/>
          <w:szCs w:val="20"/>
        </w:rPr>
        <w:t xml:space="preserve"> </w:t>
      </w:r>
      <w:r w:rsidRPr="00B004EE">
        <w:rPr>
          <w:rFonts w:ascii="Tahoma" w:hAnsi="Tahoma" w:cs="Tahoma"/>
          <w:sz w:val="20"/>
          <w:szCs w:val="20"/>
        </w:rPr>
        <w:t>caractère</w:t>
      </w:r>
      <w:r w:rsidR="00DB1635" w:rsidRPr="00B004EE">
        <w:rPr>
          <w:rFonts w:ascii="Tahoma" w:hAnsi="Tahoma" w:cs="Tahoma"/>
          <w:sz w:val="20"/>
          <w:szCs w:val="20"/>
        </w:rPr>
        <w:t xml:space="preserve"> </w:t>
      </w:r>
      <w:r w:rsidRPr="00B004EE">
        <w:rPr>
          <w:rFonts w:ascii="Tahoma" w:hAnsi="Tahoma" w:cs="Tahoma"/>
          <w:sz w:val="20"/>
          <w:szCs w:val="20"/>
        </w:rPr>
        <w:t>doit</w:t>
      </w:r>
      <w:r w:rsidR="00DB1635" w:rsidRPr="00B004EE">
        <w:rPr>
          <w:rFonts w:ascii="Tahoma" w:hAnsi="Tahoma" w:cs="Tahoma"/>
          <w:sz w:val="20"/>
          <w:szCs w:val="20"/>
        </w:rPr>
        <w:t xml:space="preserve"> </w:t>
      </w:r>
      <w:r w:rsidRPr="00B004EE">
        <w:rPr>
          <w:rFonts w:ascii="Tahoma" w:hAnsi="Tahoma" w:cs="Tahoma"/>
          <w:sz w:val="20"/>
          <w:szCs w:val="20"/>
        </w:rPr>
        <w:t>avoir</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largeur</w:t>
      </w:r>
      <w:r w:rsidR="00DB1635" w:rsidRPr="00B004EE">
        <w:rPr>
          <w:rFonts w:ascii="Tahoma" w:hAnsi="Tahoma" w:cs="Tahoma"/>
          <w:sz w:val="20"/>
          <w:szCs w:val="20"/>
        </w:rPr>
        <w:t xml:space="preserve"> </w:t>
      </w:r>
      <w:r w:rsidRPr="00B004EE">
        <w:rPr>
          <w:rFonts w:ascii="Tahoma" w:hAnsi="Tahoma" w:cs="Tahoma"/>
          <w:sz w:val="20"/>
          <w:szCs w:val="20"/>
        </w:rPr>
        <w:t>égale</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moins</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sixième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sa</w:t>
      </w:r>
      <w:r w:rsidR="00DB1635" w:rsidRPr="00B004EE">
        <w:rPr>
          <w:rFonts w:ascii="Tahoma" w:hAnsi="Tahoma" w:cs="Tahoma"/>
          <w:sz w:val="20"/>
          <w:szCs w:val="20"/>
        </w:rPr>
        <w:t xml:space="preserve"> </w:t>
      </w:r>
      <w:r w:rsidRPr="00B004EE">
        <w:rPr>
          <w:rFonts w:ascii="Tahoma" w:hAnsi="Tahoma" w:cs="Tahoma"/>
          <w:sz w:val="20"/>
          <w:szCs w:val="20"/>
        </w:rPr>
        <w:t>hauteur</w:t>
      </w:r>
      <w:r w:rsidR="00DB1635" w:rsidRPr="00B004EE">
        <w:rPr>
          <w:rFonts w:ascii="Tahoma" w:hAnsi="Tahoma" w:cs="Tahoma"/>
          <w:sz w:val="20"/>
          <w:szCs w:val="20"/>
        </w:rPr>
        <w:t xml:space="preserve"> </w:t>
      </w:r>
      <w:r w:rsidRPr="00B004EE">
        <w:rPr>
          <w:rFonts w:ascii="Tahoma" w:hAnsi="Tahoma" w:cs="Tahoma"/>
          <w:sz w:val="20"/>
          <w:szCs w:val="20"/>
        </w:rPr>
        <w:t>sans</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autant</w:t>
      </w:r>
      <w:r w:rsidR="00DB1635" w:rsidRPr="00B004EE">
        <w:rPr>
          <w:rFonts w:ascii="Tahoma" w:hAnsi="Tahoma" w:cs="Tahoma"/>
          <w:sz w:val="20"/>
          <w:szCs w:val="20"/>
        </w:rPr>
        <w:t xml:space="preserve"> </w:t>
      </w:r>
      <w:r w:rsidRPr="00B004EE">
        <w:rPr>
          <w:rFonts w:ascii="Tahoma" w:hAnsi="Tahoma" w:cs="Tahoma"/>
          <w:sz w:val="20"/>
          <w:szCs w:val="20"/>
        </w:rPr>
        <w:t>que</w:t>
      </w:r>
      <w:r w:rsidR="00DB1635" w:rsidRPr="00B004EE">
        <w:rPr>
          <w:rFonts w:ascii="Tahoma" w:hAnsi="Tahoma" w:cs="Tahoma"/>
          <w:sz w:val="20"/>
          <w:szCs w:val="20"/>
        </w:rPr>
        <w:t xml:space="preserve"> </w:t>
      </w:r>
      <w:r w:rsidRPr="00B004EE">
        <w:rPr>
          <w:rFonts w:ascii="Tahoma" w:hAnsi="Tahoma" w:cs="Tahoma"/>
          <w:sz w:val="20"/>
          <w:szCs w:val="20"/>
        </w:rPr>
        <w:t>cette</w:t>
      </w:r>
      <w:r w:rsidR="00DB1635" w:rsidRPr="00B004EE">
        <w:rPr>
          <w:rFonts w:ascii="Tahoma" w:hAnsi="Tahoma" w:cs="Tahoma"/>
          <w:sz w:val="20"/>
          <w:szCs w:val="20"/>
        </w:rPr>
        <w:t xml:space="preserve"> </w:t>
      </w:r>
      <w:r w:rsidRPr="00B004EE">
        <w:rPr>
          <w:rFonts w:ascii="Tahoma" w:hAnsi="Tahoma" w:cs="Tahoma"/>
          <w:sz w:val="20"/>
          <w:szCs w:val="20"/>
        </w:rPr>
        <w:t>largeur</w:t>
      </w:r>
      <w:r w:rsidR="00DB1635" w:rsidRPr="00B004EE">
        <w:rPr>
          <w:rFonts w:ascii="Tahoma" w:hAnsi="Tahoma" w:cs="Tahoma"/>
          <w:sz w:val="20"/>
          <w:szCs w:val="20"/>
        </w:rPr>
        <w:t xml:space="preserve"> </w:t>
      </w:r>
      <w:r w:rsidRPr="00B004EE">
        <w:rPr>
          <w:rFonts w:ascii="Tahoma" w:hAnsi="Tahoma" w:cs="Tahoma"/>
          <w:sz w:val="20"/>
          <w:szCs w:val="20"/>
        </w:rPr>
        <w:t>puisse</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inférieur</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8</w:t>
      </w:r>
      <w:r w:rsidR="00DB1635" w:rsidRPr="00B004EE">
        <w:rPr>
          <w:rFonts w:ascii="Tahoma" w:hAnsi="Tahoma" w:cs="Tahoma"/>
          <w:sz w:val="20"/>
          <w:szCs w:val="20"/>
        </w:rPr>
        <w:t xml:space="preserve"> </w:t>
      </w:r>
      <w:r w:rsidRPr="00B004EE">
        <w:rPr>
          <w:rFonts w:ascii="Tahoma" w:hAnsi="Tahoma" w:cs="Tahoma"/>
          <w:sz w:val="20"/>
          <w:szCs w:val="20"/>
        </w:rPr>
        <w:t>cm.</w:t>
      </w:r>
      <w:r w:rsidR="00DB1635" w:rsidRPr="00B004EE">
        <w:rPr>
          <w:rFonts w:ascii="Tahoma" w:hAnsi="Tahoma" w:cs="Tahoma"/>
          <w:sz w:val="20"/>
          <w:szCs w:val="20"/>
        </w:rPr>
        <w:t xml:space="preserve"> </w:t>
      </w:r>
    </w:p>
    <w:p w14:paraId="27F42DB7" w14:textId="77777777" w:rsidR="00DF657F" w:rsidRPr="00B004EE" w:rsidRDefault="00DF657F" w:rsidP="00B004EE">
      <w:pPr>
        <w:pStyle w:val="Corpsdetexte22"/>
        <w:numPr>
          <w:ilvl w:val="12"/>
          <w:numId w:val="0"/>
        </w:numPr>
        <w:tabs>
          <w:tab w:val="clear" w:pos="0"/>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rPr>
          <w:rFonts w:ascii="Tahoma" w:hAnsi="Tahoma" w:cs="Tahoma"/>
          <w:sz w:val="20"/>
          <w:szCs w:val="20"/>
        </w:rPr>
      </w:pPr>
    </w:p>
    <w:p w14:paraId="39379DD4" w14:textId="18BD0EF9" w:rsidR="008518B0" w:rsidRPr="00B004EE" w:rsidRDefault="008518B0" w:rsidP="00B004EE">
      <w:pPr>
        <w:pStyle w:val="Corpsdetexte22"/>
        <w:numPr>
          <w:ilvl w:val="12"/>
          <w:numId w:val="0"/>
        </w:numPr>
        <w:tabs>
          <w:tab w:val="clear" w:pos="0"/>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rPr>
          <w:rFonts w:ascii="Tahoma" w:hAnsi="Tahoma" w:cs="Tahoma"/>
          <w:sz w:val="20"/>
          <w:szCs w:val="20"/>
        </w:rPr>
      </w:pP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dispositions</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présent</w:t>
      </w:r>
      <w:r w:rsidR="00DB1635" w:rsidRPr="00B004EE">
        <w:rPr>
          <w:rFonts w:ascii="Tahoma" w:hAnsi="Tahoma" w:cs="Tahoma"/>
          <w:sz w:val="20"/>
          <w:szCs w:val="20"/>
        </w:rPr>
        <w:t xml:space="preserve"> </w:t>
      </w:r>
      <w:r w:rsidRPr="00B004EE">
        <w:rPr>
          <w:rFonts w:ascii="Tahoma" w:hAnsi="Tahoma" w:cs="Tahoma"/>
          <w:sz w:val="20"/>
          <w:szCs w:val="20"/>
        </w:rPr>
        <w:t>article</w:t>
      </w:r>
      <w:r w:rsidR="00DB1635" w:rsidRPr="00B004EE">
        <w:rPr>
          <w:rFonts w:ascii="Tahoma" w:hAnsi="Tahoma" w:cs="Tahoma"/>
          <w:sz w:val="20"/>
          <w:szCs w:val="20"/>
        </w:rPr>
        <w:t xml:space="preserve"> </w:t>
      </w:r>
      <w:r w:rsidRPr="00B004EE">
        <w:rPr>
          <w:rFonts w:ascii="Tahoma" w:hAnsi="Tahoma" w:cs="Tahoma"/>
          <w:sz w:val="20"/>
          <w:szCs w:val="20"/>
        </w:rPr>
        <w:t>seront</w:t>
      </w:r>
      <w:r w:rsidR="00DB1635" w:rsidRPr="00B004EE">
        <w:rPr>
          <w:rFonts w:ascii="Tahoma" w:hAnsi="Tahoma" w:cs="Tahoma"/>
          <w:sz w:val="20"/>
          <w:szCs w:val="20"/>
        </w:rPr>
        <w:t xml:space="preserve"> </w:t>
      </w:r>
      <w:r w:rsidRPr="00B004EE">
        <w:rPr>
          <w:rFonts w:ascii="Tahoma" w:hAnsi="Tahoma" w:cs="Tahoma"/>
          <w:sz w:val="20"/>
          <w:szCs w:val="20"/>
        </w:rPr>
        <w:t>précisées,</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cas</w:t>
      </w:r>
      <w:r w:rsidR="00DB1635" w:rsidRPr="00B004EE">
        <w:rPr>
          <w:rFonts w:ascii="Tahoma" w:hAnsi="Tahoma" w:cs="Tahoma"/>
          <w:sz w:val="20"/>
          <w:szCs w:val="20"/>
        </w:rPr>
        <w:t xml:space="preserve"> </w:t>
      </w:r>
      <w:r w:rsidRPr="00B004EE">
        <w:rPr>
          <w:rFonts w:ascii="Tahoma" w:hAnsi="Tahoma" w:cs="Tahoma"/>
          <w:sz w:val="20"/>
          <w:szCs w:val="20"/>
        </w:rPr>
        <w:t>échéant,</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arrêté</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ministre</w:t>
      </w:r>
      <w:r w:rsidR="00DB1635" w:rsidRPr="00B004EE">
        <w:rPr>
          <w:rFonts w:ascii="Tahoma" w:hAnsi="Tahoma" w:cs="Tahoma"/>
          <w:sz w:val="20"/>
          <w:szCs w:val="20"/>
        </w:rPr>
        <w:t xml:space="preserve"> </w:t>
      </w:r>
      <w:r w:rsidRPr="00B004EE">
        <w:rPr>
          <w:rFonts w:ascii="Tahoma" w:hAnsi="Tahoma" w:cs="Tahoma"/>
          <w:sz w:val="20"/>
          <w:szCs w:val="20"/>
        </w:rPr>
        <w:t>chargé</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p>
    <w:p w14:paraId="25AEB246" w14:textId="77777777" w:rsidR="008518B0" w:rsidRPr="00B004EE" w:rsidRDefault="008518B0" w:rsidP="00B004EE">
      <w:pPr>
        <w:pStyle w:val="Corpsdetexte22"/>
        <w:numPr>
          <w:ilvl w:val="12"/>
          <w:numId w:val="0"/>
        </w:numPr>
        <w:tabs>
          <w:tab w:val="clear" w:pos="0"/>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rPr>
          <w:rFonts w:ascii="Tahoma" w:hAnsi="Tahoma" w:cs="Tahoma"/>
          <w:sz w:val="20"/>
          <w:szCs w:val="20"/>
        </w:rPr>
      </w:pPr>
    </w:p>
    <w:p w14:paraId="39F9DC41" w14:textId="4ED82FDA" w:rsidR="008518B0" w:rsidRPr="00B004EE" w:rsidRDefault="008518B0" w:rsidP="00B004EE">
      <w:pPr>
        <w:pStyle w:val="article"/>
        <w:numPr>
          <w:ilvl w:val="0"/>
          <w:numId w:val="0"/>
        </w:numPr>
        <w:tabs>
          <w:tab w:val="left" w:pos="1200"/>
        </w:tabs>
        <w:spacing w:before="0" w:line="240" w:lineRule="auto"/>
        <w:rPr>
          <w:rFonts w:ascii="Tahoma" w:hAnsi="Tahoma" w:cs="Tahoma"/>
          <w:sz w:val="20"/>
          <w:szCs w:val="20"/>
        </w:rPr>
      </w:pPr>
      <w:r w:rsidRPr="00B004EE">
        <w:rPr>
          <w:rFonts w:ascii="Tahoma" w:hAnsi="Tahoma" w:cs="Tahoma"/>
          <w:sz w:val="20"/>
          <w:szCs w:val="20"/>
        </w:rPr>
        <w:t>Article</w:t>
      </w:r>
      <w:r w:rsidR="00DB1635" w:rsidRPr="00B004EE">
        <w:rPr>
          <w:rFonts w:ascii="Tahoma" w:hAnsi="Tahoma" w:cs="Tahoma"/>
          <w:sz w:val="20"/>
          <w:szCs w:val="20"/>
        </w:rPr>
        <w:t xml:space="preserve"> </w:t>
      </w:r>
      <w:r w:rsidRPr="00B004EE">
        <w:rPr>
          <w:rFonts w:ascii="Tahoma" w:hAnsi="Tahoma" w:cs="Tahoma"/>
          <w:sz w:val="20"/>
          <w:szCs w:val="20"/>
        </w:rPr>
        <w:t>46</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fins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contrôle,</w:t>
      </w:r>
      <w:r w:rsidR="00DB1635" w:rsidRPr="00B004EE">
        <w:rPr>
          <w:rFonts w:ascii="Tahoma" w:hAnsi="Tahoma" w:cs="Tahoma"/>
          <w:sz w:val="20"/>
          <w:szCs w:val="20"/>
        </w:rPr>
        <w:t xml:space="preserve"> </w:t>
      </w:r>
      <w:r w:rsidRPr="00B004EE">
        <w:rPr>
          <w:rFonts w:ascii="Tahoma" w:hAnsi="Tahoma" w:cs="Tahoma"/>
          <w:sz w:val="20"/>
          <w:szCs w:val="20"/>
        </w:rPr>
        <w:t>tout</w:t>
      </w:r>
      <w:r w:rsidR="00DB1635" w:rsidRPr="00B004EE">
        <w:rPr>
          <w:rFonts w:ascii="Tahoma" w:hAnsi="Tahoma" w:cs="Tahoma"/>
          <w:sz w:val="20"/>
          <w:szCs w:val="20"/>
        </w:rPr>
        <w:t xml:space="preserve"> </w:t>
      </w:r>
      <w:r w:rsidRPr="00B004EE">
        <w:rPr>
          <w:rFonts w:ascii="Tahoma" w:hAnsi="Tahoma" w:cs="Tahoma"/>
          <w:sz w:val="20"/>
          <w:szCs w:val="20"/>
        </w:rPr>
        <w:t>navire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côtière</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hauturière,</w:t>
      </w:r>
      <w:r w:rsidR="00DB1635" w:rsidRPr="00B004EE">
        <w:rPr>
          <w:rFonts w:ascii="Tahoma" w:hAnsi="Tahoma" w:cs="Tahoma"/>
          <w:sz w:val="20"/>
          <w:szCs w:val="20"/>
        </w:rPr>
        <w:t xml:space="preserve"> </w:t>
      </w:r>
      <w:r w:rsidRPr="00B004EE">
        <w:rPr>
          <w:rFonts w:ascii="Tahoma" w:hAnsi="Tahoma" w:cs="Tahoma"/>
          <w:sz w:val="20"/>
          <w:szCs w:val="20"/>
        </w:rPr>
        <w:t>autorisé</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pêcher</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zone</w:t>
      </w:r>
      <w:r w:rsidR="00DB1635" w:rsidRPr="00B004EE">
        <w:rPr>
          <w:rFonts w:ascii="Tahoma" w:hAnsi="Tahoma" w:cs="Tahoma"/>
          <w:sz w:val="20"/>
          <w:szCs w:val="20"/>
        </w:rPr>
        <w:t xml:space="preserve"> </w:t>
      </w:r>
      <w:r w:rsidRPr="00B004EE">
        <w:rPr>
          <w:rFonts w:ascii="Tahoma" w:hAnsi="Tahoma" w:cs="Tahoma"/>
          <w:sz w:val="20"/>
          <w:szCs w:val="20"/>
        </w:rPr>
        <w:t>économique</w:t>
      </w:r>
      <w:r w:rsidR="00DB1635" w:rsidRPr="00B004EE">
        <w:rPr>
          <w:rFonts w:ascii="Tahoma" w:hAnsi="Tahoma" w:cs="Tahoma"/>
          <w:sz w:val="20"/>
          <w:szCs w:val="20"/>
        </w:rPr>
        <w:t xml:space="preserve"> </w:t>
      </w:r>
      <w:r w:rsidRPr="00B004EE">
        <w:rPr>
          <w:rFonts w:ascii="Tahoma" w:hAnsi="Tahoma" w:cs="Tahoma"/>
          <w:sz w:val="20"/>
          <w:szCs w:val="20"/>
        </w:rPr>
        <w:t>exclusive</w:t>
      </w:r>
      <w:r w:rsidR="00DB1635" w:rsidRPr="00B004EE">
        <w:rPr>
          <w:rFonts w:ascii="Tahoma" w:hAnsi="Tahoma" w:cs="Tahoma"/>
          <w:sz w:val="20"/>
          <w:szCs w:val="20"/>
        </w:rPr>
        <w:t xml:space="preserve"> </w:t>
      </w:r>
      <w:r w:rsidRPr="00B004EE">
        <w:rPr>
          <w:rFonts w:ascii="Tahoma" w:hAnsi="Tahoma" w:cs="Tahoma"/>
          <w:sz w:val="20"/>
          <w:szCs w:val="20"/>
        </w:rPr>
        <w:t>mauritanienne,</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tenu</w:t>
      </w:r>
      <w:r w:rsidR="00DB1635" w:rsidRPr="00B004EE">
        <w:rPr>
          <w:rFonts w:ascii="Tahoma" w:hAnsi="Tahoma" w:cs="Tahoma"/>
          <w:sz w:val="20"/>
          <w:szCs w:val="20"/>
        </w:rPr>
        <w:t xml:space="preserve"> </w:t>
      </w:r>
      <w:r w:rsidRPr="00B004EE">
        <w:rPr>
          <w:rFonts w:ascii="Tahoma" w:hAnsi="Tahoma" w:cs="Tahoma"/>
          <w:sz w:val="20"/>
          <w:szCs w:val="20"/>
        </w:rPr>
        <w:t>d’avoir</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bord</w:t>
      </w:r>
      <w:r w:rsidR="00DB1635" w:rsidRPr="00B004EE">
        <w:rPr>
          <w:rFonts w:ascii="Tahoma" w:hAnsi="Tahoma" w:cs="Tahoma"/>
          <w:sz w:val="20"/>
          <w:szCs w:val="20"/>
        </w:rPr>
        <w:t xml:space="preserve"> </w:t>
      </w: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transpondeur</w:t>
      </w:r>
      <w:r w:rsidR="00DB1635" w:rsidRPr="00B004EE">
        <w:rPr>
          <w:rFonts w:ascii="Tahoma" w:hAnsi="Tahoma" w:cs="Tahoma"/>
          <w:sz w:val="20"/>
          <w:szCs w:val="20"/>
        </w:rPr>
        <w:t xml:space="preserve"> </w:t>
      </w:r>
      <w:r w:rsidRPr="00B004EE">
        <w:rPr>
          <w:rFonts w:ascii="Tahoma" w:hAnsi="Tahoma" w:cs="Tahoma"/>
          <w:sz w:val="20"/>
          <w:szCs w:val="20"/>
        </w:rPr>
        <w:t>permettant</w:t>
      </w:r>
      <w:r w:rsidR="00DB1635" w:rsidRPr="00B004EE">
        <w:rPr>
          <w:rFonts w:ascii="Tahoma" w:hAnsi="Tahoma" w:cs="Tahoma"/>
          <w:sz w:val="20"/>
          <w:szCs w:val="20"/>
        </w:rPr>
        <w:t xml:space="preserve"> </w:t>
      </w:r>
      <w:r w:rsidRPr="00B004EE">
        <w:rPr>
          <w:rFonts w:ascii="Tahoma" w:hAnsi="Tahoma" w:cs="Tahoma"/>
          <w:sz w:val="20"/>
          <w:szCs w:val="20"/>
        </w:rPr>
        <w:t>son</w:t>
      </w:r>
      <w:r w:rsidR="00DB1635" w:rsidRPr="00B004EE">
        <w:rPr>
          <w:rFonts w:ascii="Tahoma" w:hAnsi="Tahoma" w:cs="Tahoma"/>
          <w:sz w:val="20"/>
          <w:szCs w:val="20"/>
        </w:rPr>
        <w:t xml:space="preserve"> </w:t>
      </w:r>
      <w:r w:rsidRPr="00B004EE">
        <w:rPr>
          <w:rFonts w:ascii="Tahoma" w:hAnsi="Tahoma" w:cs="Tahoma"/>
          <w:sz w:val="20"/>
          <w:szCs w:val="20"/>
        </w:rPr>
        <w:t>identification</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unités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dispositifs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surveillance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l’institution</w:t>
      </w:r>
      <w:r w:rsidR="00DB1635" w:rsidRPr="00B004EE">
        <w:rPr>
          <w:rFonts w:ascii="Tahoma" w:hAnsi="Tahoma" w:cs="Tahoma"/>
          <w:sz w:val="20"/>
          <w:szCs w:val="20"/>
        </w:rPr>
        <w:t xml:space="preserve"> </w:t>
      </w:r>
      <w:r w:rsidRPr="00B004EE">
        <w:rPr>
          <w:rFonts w:ascii="Tahoma" w:hAnsi="Tahoma" w:cs="Tahoma"/>
          <w:sz w:val="20"/>
          <w:szCs w:val="20"/>
        </w:rPr>
        <w:t>nationale</w:t>
      </w:r>
      <w:r w:rsidR="00DB1635" w:rsidRPr="00B004EE">
        <w:rPr>
          <w:rFonts w:ascii="Tahoma" w:hAnsi="Tahoma" w:cs="Tahoma"/>
          <w:sz w:val="20"/>
          <w:szCs w:val="20"/>
        </w:rPr>
        <w:t xml:space="preserve"> </w:t>
      </w:r>
      <w:r w:rsidRPr="00B004EE">
        <w:rPr>
          <w:rFonts w:ascii="Tahoma" w:hAnsi="Tahoma" w:cs="Tahoma"/>
          <w:sz w:val="20"/>
          <w:szCs w:val="20"/>
        </w:rPr>
        <w:t>chargée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surveillance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sz w:val="20"/>
          <w:szCs w:val="20"/>
        </w:rPr>
        <w:t xml:space="preserve"> </w:t>
      </w:r>
    </w:p>
    <w:p w14:paraId="418385A0" w14:textId="77777777" w:rsidR="008518B0" w:rsidRPr="00B004EE" w:rsidRDefault="008518B0" w:rsidP="00B004EE">
      <w:pPr>
        <w:pStyle w:val="article"/>
        <w:numPr>
          <w:ilvl w:val="0"/>
          <w:numId w:val="0"/>
        </w:numPr>
        <w:tabs>
          <w:tab w:val="left" w:pos="1200"/>
        </w:tabs>
        <w:spacing w:before="0" w:line="240" w:lineRule="auto"/>
        <w:rPr>
          <w:rFonts w:ascii="Tahoma" w:hAnsi="Tahoma" w:cs="Tahoma"/>
          <w:sz w:val="20"/>
          <w:szCs w:val="20"/>
        </w:rPr>
      </w:pPr>
    </w:p>
    <w:p w14:paraId="6DAA270F" w14:textId="39A865CE" w:rsidR="008518B0" w:rsidRPr="00B004EE" w:rsidRDefault="008518B0" w:rsidP="00B004EE">
      <w:pPr>
        <w:pStyle w:val="Corpsdetexte22"/>
        <w:numPr>
          <w:ilvl w:val="12"/>
          <w:numId w:val="0"/>
        </w:numPr>
        <w:tabs>
          <w:tab w:val="clear" w:pos="0"/>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rPr>
          <w:rFonts w:ascii="Tahoma" w:hAnsi="Tahoma" w:cs="Tahoma"/>
          <w:sz w:val="20"/>
          <w:szCs w:val="20"/>
        </w:rPr>
      </w:pP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normes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caractéristiques</w:t>
      </w:r>
      <w:r w:rsidR="00DB1635" w:rsidRPr="00B004EE">
        <w:rPr>
          <w:rFonts w:ascii="Tahoma" w:hAnsi="Tahoma" w:cs="Tahoma"/>
          <w:sz w:val="20"/>
          <w:szCs w:val="20"/>
        </w:rPr>
        <w:t xml:space="preserve"> </w:t>
      </w:r>
      <w:r w:rsidRPr="00B004EE">
        <w:rPr>
          <w:rFonts w:ascii="Tahoma" w:hAnsi="Tahoma" w:cs="Tahoma"/>
          <w:sz w:val="20"/>
          <w:szCs w:val="20"/>
        </w:rPr>
        <w:t>techniques</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transpondeur</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définies</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arrêté</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ministre</w:t>
      </w:r>
      <w:r w:rsidR="00DB1635" w:rsidRPr="00B004EE">
        <w:rPr>
          <w:rFonts w:ascii="Tahoma" w:hAnsi="Tahoma" w:cs="Tahoma"/>
          <w:sz w:val="20"/>
          <w:szCs w:val="20"/>
        </w:rPr>
        <w:t xml:space="preserve"> </w:t>
      </w:r>
      <w:r w:rsidRPr="00B004EE">
        <w:rPr>
          <w:rFonts w:ascii="Tahoma" w:hAnsi="Tahoma" w:cs="Tahoma"/>
          <w:sz w:val="20"/>
          <w:szCs w:val="20"/>
        </w:rPr>
        <w:t>chargé</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p>
    <w:p w14:paraId="33A965C8" w14:textId="77777777" w:rsidR="008518B0" w:rsidRPr="00B004EE" w:rsidRDefault="008518B0" w:rsidP="00B004EE">
      <w:pPr>
        <w:pStyle w:val="Lgende"/>
        <w:jc w:val="center"/>
        <w:rPr>
          <w:rFonts w:ascii="Tahoma" w:hAnsi="Tahoma" w:cs="Tahoma"/>
        </w:rPr>
      </w:pPr>
    </w:p>
    <w:p w14:paraId="04B282E6" w14:textId="130FD671" w:rsidR="008518B0" w:rsidRPr="00B004EE" w:rsidRDefault="008518B0" w:rsidP="00B004EE">
      <w:pPr>
        <w:pStyle w:val="Lgende"/>
        <w:jc w:val="center"/>
        <w:rPr>
          <w:rFonts w:ascii="Tahoma" w:hAnsi="Tahoma" w:cs="Tahoma"/>
        </w:rPr>
      </w:pPr>
      <w:r w:rsidRPr="00B004EE">
        <w:rPr>
          <w:rFonts w:ascii="Tahoma" w:hAnsi="Tahoma" w:cs="Tahoma"/>
        </w:rPr>
        <w:t>CHAPITRE</w:t>
      </w:r>
      <w:r w:rsidR="00DB1635" w:rsidRPr="00B004EE">
        <w:rPr>
          <w:rFonts w:ascii="Tahoma" w:hAnsi="Tahoma" w:cs="Tahoma"/>
        </w:rPr>
        <w:t xml:space="preserve"> </w:t>
      </w:r>
      <w:r w:rsidRPr="00B004EE">
        <w:rPr>
          <w:rFonts w:ascii="Tahoma" w:hAnsi="Tahoma" w:cs="Tahoma"/>
        </w:rPr>
        <w:t>III</w:t>
      </w:r>
      <w:r w:rsidR="00DB1635" w:rsidRPr="00B004EE">
        <w:rPr>
          <w:rFonts w:ascii="Tahoma" w:hAnsi="Tahoma" w:cs="Tahoma"/>
        </w:rPr>
        <w:t xml:space="preserve"> </w:t>
      </w:r>
      <w:r w:rsidRPr="00B004EE">
        <w:rPr>
          <w:rFonts w:ascii="Tahoma" w:hAnsi="Tahoma" w:cs="Tahoma"/>
        </w:rPr>
        <w:t>:</w:t>
      </w:r>
      <w:r w:rsidR="00DB1635" w:rsidRPr="00B004EE">
        <w:rPr>
          <w:rFonts w:ascii="Tahoma" w:hAnsi="Tahoma" w:cs="Tahoma"/>
        </w:rPr>
        <w:t xml:space="preserve"> </w:t>
      </w:r>
      <w:r w:rsidRPr="00B004EE">
        <w:rPr>
          <w:rFonts w:ascii="Tahoma" w:hAnsi="Tahoma" w:cs="Tahoma"/>
        </w:rPr>
        <w:t>DES</w:t>
      </w:r>
      <w:r w:rsidR="00DB1635" w:rsidRPr="00B004EE">
        <w:rPr>
          <w:rFonts w:ascii="Tahoma" w:hAnsi="Tahoma" w:cs="Tahoma"/>
        </w:rPr>
        <w:t xml:space="preserve"> </w:t>
      </w:r>
      <w:r w:rsidRPr="00B004EE">
        <w:rPr>
          <w:rFonts w:ascii="Tahoma" w:hAnsi="Tahoma" w:cs="Tahoma"/>
        </w:rPr>
        <w:t>MARINS</w:t>
      </w:r>
      <w:r w:rsidR="00DB1635" w:rsidRPr="00B004EE">
        <w:rPr>
          <w:rFonts w:ascii="Tahoma" w:hAnsi="Tahoma" w:cs="Tahoma"/>
        </w:rPr>
        <w:t xml:space="preserve"> </w:t>
      </w:r>
      <w:r w:rsidRPr="00B004EE">
        <w:rPr>
          <w:rFonts w:ascii="Tahoma" w:hAnsi="Tahoma" w:cs="Tahoma"/>
        </w:rPr>
        <w:t>MAURITANIENS</w:t>
      </w:r>
      <w:r w:rsidR="00DB1635" w:rsidRPr="00B004EE">
        <w:rPr>
          <w:rFonts w:ascii="Tahoma" w:hAnsi="Tahoma" w:cs="Tahoma"/>
        </w:rPr>
        <w:t xml:space="preserve"> </w:t>
      </w:r>
      <w:r w:rsidRPr="00B004EE">
        <w:rPr>
          <w:rFonts w:ascii="Tahoma" w:hAnsi="Tahoma" w:cs="Tahoma"/>
        </w:rPr>
        <w:t>A</w:t>
      </w:r>
      <w:r w:rsidR="00DB1635" w:rsidRPr="00B004EE">
        <w:rPr>
          <w:rFonts w:ascii="Tahoma" w:hAnsi="Tahoma" w:cs="Tahoma"/>
        </w:rPr>
        <w:t xml:space="preserve"> </w:t>
      </w:r>
      <w:r w:rsidRPr="00B004EE">
        <w:rPr>
          <w:rFonts w:ascii="Tahoma" w:hAnsi="Tahoma" w:cs="Tahoma"/>
        </w:rPr>
        <w:t>BORD</w:t>
      </w:r>
      <w:r w:rsidR="00DB1635" w:rsidRPr="00B004EE">
        <w:rPr>
          <w:rFonts w:ascii="Tahoma" w:hAnsi="Tahoma" w:cs="Tahoma"/>
        </w:rPr>
        <w:t xml:space="preserve"> </w:t>
      </w:r>
      <w:r w:rsidRPr="00B004EE">
        <w:rPr>
          <w:rFonts w:ascii="Tahoma" w:hAnsi="Tahoma" w:cs="Tahoma"/>
        </w:rPr>
        <w:t>DES</w:t>
      </w:r>
      <w:r w:rsidR="00DB1635" w:rsidRPr="00B004EE">
        <w:rPr>
          <w:rFonts w:ascii="Tahoma" w:hAnsi="Tahoma" w:cs="Tahoma"/>
        </w:rPr>
        <w:t xml:space="preserve"> </w:t>
      </w:r>
      <w:r w:rsidRPr="00B004EE">
        <w:rPr>
          <w:rFonts w:ascii="Tahoma" w:hAnsi="Tahoma" w:cs="Tahoma"/>
        </w:rPr>
        <w:t>NAVIRES</w:t>
      </w:r>
      <w:r w:rsidR="00DB1635" w:rsidRPr="00B004EE">
        <w:rPr>
          <w:rFonts w:ascii="Tahoma" w:hAnsi="Tahoma" w:cs="Tahoma"/>
        </w:rPr>
        <w:t xml:space="preserve"> </w:t>
      </w:r>
      <w:r w:rsidRPr="00B004EE">
        <w:rPr>
          <w:rFonts w:ascii="Tahoma" w:hAnsi="Tahoma" w:cs="Tahoma"/>
        </w:rPr>
        <w:t>DE</w:t>
      </w:r>
      <w:r w:rsidR="00DB1635" w:rsidRPr="00B004EE">
        <w:rPr>
          <w:rFonts w:ascii="Tahoma" w:hAnsi="Tahoma" w:cs="Tahoma"/>
        </w:rPr>
        <w:t xml:space="preserve"> </w:t>
      </w:r>
      <w:r w:rsidRPr="00B004EE">
        <w:rPr>
          <w:rFonts w:ascii="Tahoma" w:hAnsi="Tahoma" w:cs="Tahoma"/>
        </w:rPr>
        <w:t>PECHE</w:t>
      </w:r>
    </w:p>
    <w:p w14:paraId="4F5471D8" w14:textId="77777777" w:rsidR="008518B0" w:rsidRPr="00B004EE" w:rsidRDefault="008518B0" w:rsidP="00B004EE">
      <w:pPr>
        <w:pStyle w:val="Lgende"/>
        <w:jc w:val="center"/>
        <w:rPr>
          <w:rFonts w:ascii="Tahoma" w:hAnsi="Tahoma" w:cs="Tahoma"/>
        </w:rPr>
      </w:pPr>
    </w:p>
    <w:p w14:paraId="75A03F76" w14:textId="49227D5C" w:rsidR="008518B0" w:rsidRPr="00B004EE" w:rsidRDefault="008518B0" w:rsidP="00B004EE">
      <w:pPr>
        <w:pStyle w:val="article"/>
        <w:numPr>
          <w:ilvl w:val="0"/>
          <w:numId w:val="0"/>
        </w:numPr>
        <w:tabs>
          <w:tab w:val="left" w:pos="1200"/>
        </w:tabs>
        <w:spacing w:before="0" w:line="240" w:lineRule="auto"/>
        <w:rPr>
          <w:rFonts w:ascii="Tahoma" w:hAnsi="Tahoma" w:cs="Tahoma"/>
          <w:sz w:val="20"/>
          <w:szCs w:val="20"/>
        </w:rPr>
      </w:pPr>
      <w:r w:rsidRPr="00B004EE">
        <w:rPr>
          <w:rFonts w:ascii="Tahoma" w:hAnsi="Tahoma" w:cs="Tahoma"/>
          <w:sz w:val="20"/>
          <w:szCs w:val="20"/>
        </w:rPr>
        <w:t>Article</w:t>
      </w:r>
      <w:r w:rsidR="00DB1635" w:rsidRPr="00B004EE">
        <w:rPr>
          <w:rFonts w:ascii="Tahoma" w:hAnsi="Tahoma" w:cs="Tahoma"/>
          <w:sz w:val="20"/>
          <w:szCs w:val="20"/>
        </w:rPr>
        <w:t xml:space="preserve"> </w:t>
      </w:r>
      <w:r w:rsidRPr="00B004EE">
        <w:rPr>
          <w:rFonts w:ascii="Tahoma" w:hAnsi="Tahoma" w:cs="Tahoma"/>
          <w:sz w:val="20"/>
          <w:szCs w:val="20"/>
        </w:rPr>
        <w:t>47</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proportion</w:t>
      </w:r>
      <w:r w:rsidR="00DB1635" w:rsidRPr="00B004EE">
        <w:rPr>
          <w:rFonts w:ascii="Tahoma" w:hAnsi="Tahoma" w:cs="Tahoma"/>
          <w:sz w:val="20"/>
          <w:szCs w:val="20"/>
        </w:rPr>
        <w:t xml:space="preserve"> </w:t>
      </w:r>
      <w:r w:rsidRPr="00B004EE">
        <w:rPr>
          <w:rFonts w:ascii="Tahoma" w:hAnsi="Tahoma" w:cs="Tahoma"/>
          <w:sz w:val="20"/>
          <w:szCs w:val="20"/>
        </w:rPr>
        <w:t>minimum</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marins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nationalité</w:t>
      </w:r>
      <w:r w:rsidR="00DB1635" w:rsidRPr="00B004EE">
        <w:rPr>
          <w:rFonts w:ascii="Tahoma" w:hAnsi="Tahoma" w:cs="Tahoma"/>
          <w:sz w:val="20"/>
          <w:szCs w:val="20"/>
        </w:rPr>
        <w:t xml:space="preserve"> </w:t>
      </w:r>
      <w:r w:rsidRPr="00B004EE">
        <w:rPr>
          <w:rFonts w:ascii="Tahoma" w:hAnsi="Tahoma" w:cs="Tahoma"/>
          <w:sz w:val="20"/>
          <w:szCs w:val="20"/>
        </w:rPr>
        <w:t>mauritanienne</w:t>
      </w:r>
      <w:r w:rsidR="00DB1635" w:rsidRPr="00B004EE">
        <w:rPr>
          <w:rFonts w:ascii="Tahoma" w:hAnsi="Tahoma" w:cs="Tahoma"/>
          <w:sz w:val="20"/>
          <w:szCs w:val="20"/>
        </w:rPr>
        <w:t xml:space="preserve"> </w:t>
      </w:r>
      <w:r w:rsidRPr="00B004EE">
        <w:rPr>
          <w:rFonts w:ascii="Tahoma" w:hAnsi="Tahoma" w:cs="Tahoma"/>
          <w:sz w:val="20"/>
          <w:szCs w:val="20"/>
        </w:rPr>
        <w:t>qui</w:t>
      </w:r>
      <w:r w:rsidR="00DB1635" w:rsidRPr="00B004EE">
        <w:rPr>
          <w:rFonts w:ascii="Tahoma" w:hAnsi="Tahoma" w:cs="Tahoma"/>
          <w:sz w:val="20"/>
          <w:szCs w:val="20"/>
        </w:rPr>
        <w:t xml:space="preserve"> </w:t>
      </w:r>
      <w:r w:rsidRPr="00B004EE">
        <w:rPr>
          <w:rFonts w:ascii="Tahoma" w:hAnsi="Tahoma" w:cs="Tahoma"/>
          <w:sz w:val="20"/>
          <w:szCs w:val="20"/>
        </w:rPr>
        <w:t>doivent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embarqués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bord</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navires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opérant</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cadre</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régime</w:t>
      </w:r>
      <w:r w:rsidR="00DB1635" w:rsidRPr="00B004EE">
        <w:rPr>
          <w:rFonts w:ascii="Tahoma" w:hAnsi="Tahoma" w:cs="Tahoma"/>
          <w:sz w:val="20"/>
          <w:szCs w:val="20"/>
        </w:rPr>
        <w:t xml:space="preserve"> </w:t>
      </w:r>
      <w:r w:rsidRPr="00B004EE">
        <w:rPr>
          <w:rFonts w:ascii="Tahoma" w:hAnsi="Tahoma" w:cs="Tahoma"/>
          <w:sz w:val="20"/>
          <w:szCs w:val="20"/>
        </w:rPr>
        <w:t>national</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celle</w:t>
      </w:r>
      <w:r w:rsidR="00DB1635" w:rsidRPr="00B004EE">
        <w:rPr>
          <w:rFonts w:ascii="Tahoma" w:hAnsi="Tahoma" w:cs="Tahoma"/>
          <w:sz w:val="20"/>
          <w:szCs w:val="20"/>
        </w:rPr>
        <w:t xml:space="preserve"> </w:t>
      </w:r>
      <w:r w:rsidRPr="00B004EE">
        <w:rPr>
          <w:rFonts w:ascii="Tahoma" w:hAnsi="Tahoma" w:cs="Tahoma"/>
          <w:sz w:val="20"/>
          <w:szCs w:val="20"/>
        </w:rPr>
        <w:t>prévue</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dispositions</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Code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Marine</w:t>
      </w:r>
      <w:r w:rsidR="00DB1635" w:rsidRPr="00B004EE">
        <w:rPr>
          <w:rFonts w:ascii="Tahoma" w:hAnsi="Tahoma" w:cs="Tahoma"/>
          <w:sz w:val="20"/>
          <w:szCs w:val="20"/>
        </w:rPr>
        <w:t xml:space="preserve"> </w:t>
      </w:r>
      <w:r w:rsidRPr="00B004EE">
        <w:rPr>
          <w:rFonts w:ascii="Tahoma" w:hAnsi="Tahoma" w:cs="Tahoma"/>
          <w:sz w:val="20"/>
          <w:szCs w:val="20"/>
        </w:rPr>
        <w:t>Marchande.</w:t>
      </w:r>
      <w:r w:rsidR="00DB1635" w:rsidRPr="00B004EE">
        <w:rPr>
          <w:rFonts w:ascii="Tahoma" w:hAnsi="Tahoma" w:cs="Tahoma"/>
          <w:sz w:val="20"/>
          <w:szCs w:val="20"/>
        </w:rPr>
        <w:t xml:space="preserve"> </w:t>
      </w:r>
    </w:p>
    <w:p w14:paraId="1FAF8376" w14:textId="77777777" w:rsidR="008518B0" w:rsidRPr="00B004EE" w:rsidRDefault="008518B0" w:rsidP="00B004EE">
      <w:pPr>
        <w:pStyle w:val="article"/>
        <w:numPr>
          <w:ilvl w:val="0"/>
          <w:numId w:val="0"/>
        </w:numPr>
        <w:tabs>
          <w:tab w:val="left" w:pos="1200"/>
        </w:tabs>
        <w:spacing w:before="0" w:line="240" w:lineRule="auto"/>
        <w:rPr>
          <w:rFonts w:ascii="Tahoma" w:hAnsi="Tahoma" w:cs="Tahoma"/>
          <w:sz w:val="20"/>
          <w:szCs w:val="20"/>
        </w:rPr>
      </w:pPr>
    </w:p>
    <w:p w14:paraId="2B53076E" w14:textId="2B3E5CDE" w:rsidR="008518B0" w:rsidRPr="00B004EE" w:rsidRDefault="008518B0" w:rsidP="00B004EE">
      <w:pPr>
        <w:pStyle w:val="Corpsdetexte"/>
        <w:numPr>
          <w:ilvl w:val="12"/>
          <w:numId w:val="0"/>
        </w:numPr>
        <w:tabs>
          <w:tab w:val="center" w:pos="4680"/>
          <w:tab w:val="left" w:pos="4956"/>
          <w:tab w:val="left" w:pos="5664"/>
          <w:tab w:val="left" w:pos="6372"/>
          <w:tab w:val="left" w:pos="7080"/>
          <w:tab w:val="left" w:pos="7788"/>
          <w:tab w:val="left" w:pos="8496"/>
        </w:tabs>
        <w:rPr>
          <w:rFonts w:ascii="Tahoma" w:hAnsi="Tahoma" w:cs="Tahoma"/>
          <w:bCs/>
          <w:sz w:val="20"/>
          <w:szCs w:val="20"/>
        </w:rPr>
      </w:pP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proportion</w:t>
      </w:r>
      <w:r w:rsidR="00DB1635" w:rsidRPr="00B004EE">
        <w:rPr>
          <w:rFonts w:ascii="Tahoma" w:hAnsi="Tahoma" w:cs="Tahoma"/>
          <w:sz w:val="20"/>
          <w:szCs w:val="20"/>
        </w:rPr>
        <w:t xml:space="preserve"> </w:t>
      </w:r>
      <w:r w:rsidRPr="00B004EE">
        <w:rPr>
          <w:rFonts w:ascii="Tahoma" w:hAnsi="Tahoma" w:cs="Tahoma"/>
          <w:sz w:val="20"/>
          <w:szCs w:val="20"/>
        </w:rPr>
        <w:t>minimum</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marins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nationalité</w:t>
      </w:r>
      <w:r w:rsidR="00DB1635" w:rsidRPr="00B004EE">
        <w:rPr>
          <w:rFonts w:ascii="Tahoma" w:hAnsi="Tahoma" w:cs="Tahoma"/>
          <w:sz w:val="20"/>
          <w:szCs w:val="20"/>
        </w:rPr>
        <w:t xml:space="preserve"> </w:t>
      </w:r>
      <w:r w:rsidRPr="00B004EE">
        <w:rPr>
          <w:rFonts w:ascii="Tahoma" w:hAnsi="Tahoma" w:cs="Tahoma"/>
          <w:sz w:val="20"/>
          <w:szCs w:val="20"/>
        </w:rPr>
        <w:t>mauritanienne</w:t>
      </w:r>
      <w:r w:rsidR="00DB1635" w:rsidRPr="00B004EE">
        <w:rPr>
          <w:rFonts w:ascii="Tahoma" w:hAnsi="Tahoma" w:cs="Tahoma"/>
          <w:sz w:val="20"/>
          <w:szCs w:val="20"/>
        </w:rPr>
        <w:t xml:space="preserve"> </w:t>
      </w:r>
      <w:r w:rsidRPr="00B004EE">
        <w:rPr>
          <w:rFonts w:ascii="Tahoma" w:hAnsi="Tahoma" w:cs="Tahoma"/>
          <w:sz w:val="20"/>
          <w:szCs w:val="20"/>
        </w:rPr>
        <w:t>qui</w:t>
      </w:r>
      <w:r w:rsidR="00DB1635" w:rsidRPr="00B004EE">
        <w:rPr>
          <w:rFonts w:ascii="Tahoma" w:hAnsi="Tahoma" w:cs="Tahoma"/>
          <w:sz w:val="20"/>
          <w:szCs w:val="20"/>
        </w:rPr>
        <w:t xml:space="preserve"> </w:t>
      </w:r>
      <w:r w:rsidRPr="00B004EE">
        <w:rPr>
          <w:rFonts w:ascii="Tahoma" w:hAnsi="Tahoma" w:cs="Tahoma"/>
          <w:sz w:val="20"/>
          <w:szCs w:val="20"/>
        </w:rPr>
        <w:t>doivent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bCs/>
          <w:sz w:val="20"/>
          <w:szCs w:val="20"/>
        </w:rPr>
        <w:t xml:space="preserve"> </w:t>
      </w:r>
      <w:r w:rsidRPr="00B004EE">
        <w:rPr>
          <w:rFonts w:ascii="Tahoma" w:hAnsi="Tahoma" w:cs="Tahoma"/>
          <w:bCs/>
          <w:sz w:val="20"/>
          <w:szCs w:val="20"/>
        </w:rPr>
        <w:t>embarqués</w:t>
      </w:r>
      <w:r w:rsidR="00DB1635" w:rsidRPr="00B004EE">
        <w:rPr>
          <w:rFonts w:ascii="Tahoma" w:hAnsi="Tahoma" w:cs="Tahoma"/>
          <w:bCs/>
          <w:sz w:val="20"/>
          <w:szCs w:val="20"/>
        </w:rPr>
        <w:t xml:space="preserve"> </w:t>
      </w:r>
      <w:r w:rsidRPr="00B004EE">
        <w:rPr>
          <w:rFonts w:ascii="Tahoma" w:hAnsi="Tahoma" w:cs="Tahoma"/>
          <w:bCs/>
          <w:sz w:val="20"/>
          <w:szCs w:val="20"/>
        </w:rPr>
        <w:t>à</w:t>
      </w:r>
      <w:r w:rsidR="00DB1635" w:rsidRPr="00B004EE">
        <w:rPr>
          <w:rFonts w:ascii="Tahoma" w:hAnsi="Tahoma" w:cs="Tahoma"/>
          <w:bCs/>
          <w:sz w:val="20"/>
          <w:szCs w:val="20"/>
        </w:rPr>
        <w:t xml:space="preserve"> </w:t>
      </w:r>
      <w:r w:rsidRPr="00B004EE">
        <w:rPr>
          <w:rFonts w:ascii="Tahoma" w:hAnsi="Tahoma" w:cs="Tahoma"/>
          <w:bCs/>
          <w:sz w:val="20"/>
          <w:szCs w:val="20"/>
        </w:rPr>
        <w:t>bord</w:t>
      </w:r>
      <w:r w:rsidR="00DB1635" w:rsidRPr="00B004EE">
        <w:rPr>
          <w:rFonts w:ascii="Tahoma" w:hAnsi="Tahoma" w:cs="Tahoma"/>
          <w:bCs/>
          <w:sz w:val="20"/>
          <w:szCs w:val="20"/>
        </w:rPr>
        <w:t xml:space="preserve"> </w:t>
      </w:r>
      <w:r w:rsidRPr="00B004EE">
        <w:rPr>
          <w:rFonts w:ascii="Tahoma" w:hAnsi="Tahoma" w:cs="Tahoma"/>
          <w:bCs/>
          <w:sz w:val="20"/>
          <w:szCs w:val="20"/>
        </w:rPr>
        <w:t>des</w:t>
      </w:r>
      <w:r w:rsidR="00DB1635" w:rsidRPr="00B004EE">
        <w:rPr>
          <w:rFonts w:ascii="Tahoma" w:hAnsi="Tahoma" w:cs="Tahoma"/>
          <w:bCs/>
          <w:sz w:val="20"/>
          <w:szCs w:val="20"/>
        </w:rPr>
        <w:t xml:space="preserve"> </w:t>
      </w:r>
      <w:r w:rsidRPr="00B004EE">
        <w:rPr>
          <w:rFonts w:ascii="Tahoma" w:hAnsi="Tahoma" w:cs="Tahoma"/>
          <w:bCs/>
          <w:sz w:val="20"/>
          <w:szCs w:val="20"/>
        </w:rPr>
        <w:t>navires</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pêche</w:t>
      </w:r>
      <w:r w:rsidR="00DB1635" w:rsidRPr="00B004EE">
        <w:rPr>
          <w:rFonts w:ascii="Tahoma" w:hAnsi="Tahoma" w:cs="Tahoma"/>
          <w:bCs/>
          <w:sz w:val="20"/>
          <w:szCs w:val="20"/>
        </w:rPr>
        <w:t xml:space="preserve"> </w:t>
      </w:r>
      <w:r w:rsidRPr="00B004EE">
        <w:rPr>
          <w:rFonts w:ascii="Tahoma" w:hAnsi="Tahoma" w:cs="Tahoma"/>
          <w:bCs/>
          <w:sz w:val="20"/>
          <w:szCs w:val="20"/>
        </w:rPr>
        <w:t>opérant</w:t>
      </w:r>
      <w:r w:rsidR="00DB1635" w:rsidRPr="00B004EE">
        <w:rPr>
          <w:rFonts w:ascii="Tahoma" w:hAnsi="Tahoma" w:cs="Tahoma"/>
          <w:bCs/>
          <w:sz w:val="20"/>
          <w:szCs w:val="20"/>
        </w:rPr>
        <w:t xml:space="preserve"> </w:t>
      </w:r>
      <w:r w:rsidRPr="00B004EE">
        <w:rPr>
          <w:rFonts w:ascii="Tahoma" w:hAnsi="Tahoma" w:cs="Tahoma"/>
          <w:bCs/>
          <w:sz w:val="20"/>
          <w:szCs w:val="20"/>
        </w:rPr>
        <w:t>en</w:t>
      </w:r>
      <w:r w:rsidR="00DB1635" w:rsidRPr="00B004EE">
        <w:rPr>
          <w:rFonts w:ascii="Tahoma" w:hAnsi="Tahoma" w:cs="Tahoma"/>
          <w:bCs/>
          <w:sz w:val="20"/>
          <w:szCs w:val="20"/>
        </w:rPr>
        <w:t xml:space="preserve"> </w:t>
      </w:r>
      <w:r w:rsidRPr="00B004EE">
        <w:rPr>
          <w:rFonts w:ascii="Tahoma" w:hAnsi="Tahoma" w:cs="Tahoma"/>
          <w:bCs/>
          <w:sz w:val="20"/>
          <w:szCs w:val="20"/>
        </w:rPr>
        <w:t>Mauritanie</w:t>
      </w:r>
      <w:r w:rsidR="00DB1635" w:rsidRPr="00B004EE">
        <w:rPr>
          <w:rFonts w:ascii="Tahoma" w:hAnsi="Tahoma" w:cs="Tahoma"/>
          <w:bCs/>
          <w:sz w:val="20"/>
          <w:szCs w:val="20"/>
        </w:rPr>
        <w:t xml:space="preserve"> </w:t>
      </w:r>
      <w:r w:rsidRPr="00B004EE">
        <w:rPr>
          <w:rFonts w:ascii="Tahoma" w:hAnsi="Tahoma" w:cs="Tahoma"/>
          <w:bCs/>
          <w:sz w:val="20"/>
          <w:szCs w:val="20"/>
        </w:rPr>
        <w:t>sous</w:t>
      </w:r>
      <w:r w:rsidR="00DB1635" w:rsidRPr="00B004EE">
        <w:rPr>
          <w:rFonts w:ascii="Tahoma" w:hAnsi="Tahoma" w:cs="Tahoma"/>
          <w:bCs/>
          <w:sz w:val="20"/>
          <w:szCs w:val="20"/>
        </w:rPr>
        <w:t xml:space="preserve"> </w:t>
      </w:r>
      <w:r w:rsidRPr="00B004EE">
        <w:rPr>
          <w:rFonts w:ascii="Tahoma" w:hAnsi="Tahoma" w:cs="Tahoma"/>
          <w:bCs/>
          <w:sz w:val="20"/>
          <w:szCs w:val="20"/>
        </w:rPr>
        <w:t>le</w:t>
      </w:r>
      <w:r w:rsidR="00DB1635" w:rsidRPr="00B004EE">
        <w:rPr>
          <w:rFonts w:ascii="Tahoma" w:hAnsi="Tahoma" w:cs="Tahoma"/>
          <w:bCs/>
          <w:sz w:val="20"/>
          <w:szCs w:val="20"/>
        </w:rPr>
        <w:t xml:space="preserve"> </w:t>
      </w:r>
      <w:r w:rsidRPr="00B004EE">
        <w:rPr>
          <w:rFonts w:ascii="Tahoma" w:hAnsi="Tahoma" w:cs="Tahoma"/>
          <w:bCs/>
          <w:sz w:val="20"/>
          <w:szCs w:val="20"/>
        </w:rPr>
        <w:t>régime</w:t>
      </w:r>
      <w:r w:rsidR="00DB1635" w:rsidRPr="00B004EE">
        <w:rPr>
          <w:rFonts w:ascii="Tahoma" w:hAnsi="Tahoma" w:cs="Tahoma"/>
          <w:bCs/>
          <w:sz w:val="20"/>
          <w:szCs w:val="20"/>
        </w:rPr>
        <w:t xml:space="preserve"> </w:t>
      </w:r>
      <w:r w:rsidRPr="00B004EE">
        <w:rPr>
          <w:rFonts w:ascii="Tahoma" w:hAnsi="Tahoma" w:cs="Tahoma"/>
          <w:bCs/>
          <w:sz w:val="20"/>
          <w:szCs w:val="20"/>
        </w:rPr>
        <w:t>étranger,</w:t>
      </w:r>
      <w:r w:rsidR="00DB1635" w:rsidRPr="00B004EE">
        <w:rPr>
          <w:rFonts w:ascii="Tahoma" w:hAnsi="Tahoma" w:cs="Tahoma"/>
          <w:bCs/>
          <w:sz w:val="20"/>
          <w:szCs w:val="20"/>
        </w:rPr>
        <w:t xml:space="preserve"> </w:t>
      </w:r>
      <w:r w:rsidRPr="00B004EE">
        <w:rPr>
          <w:rFonts w:ascii="Tahoma" w:hAnsi="Tahoma" w:cs="Tahoma"/>
          <w:bCs/>
          <w:sz w:val="20"/>
          <w:szCs w:val="20"/>
        </w:rPr>
        <w:t>est</w:t>
      </w:r>
      <w:r w:rsidR="00DB1635" w:rsidRPr="00B004EE">
        <w:rPr>
          <w:rFonts w:ascii="Tahoma" w:hAnsi="Tahoma" w:cs="Tahoma"/>
          <w:bCs/>
          <w:sz w:val="20"/>
          <w:szCs w:val="20"/>
        </w:rPr>
        <w:t xml:space="preserve"> </w:t>
      </w:r>
      <w:r w:rsidRPr="00B004EE">
        <w:rPr>
          <w:rFonts w:ascii="Tahoma" w:hAnsi="Tahoma" w:cs="Tahoma"/>
          <w:bCs/>
          <w:sz w:val="20"/>
          <w:szCs w:val="20"/>
        </w:rPr>
        <w:t>fixée</w:t>
      </w:r>
      <w:r w:rsidR="00DB1635" w:rsidRPr="00B004EE">
        <w:rPr>
          <w:rFonts w:ascii="Tahoma" w:hAnsi="Tahoma" w:cs="Tahoma"/>
          <w:bCs/>
          <w:sz w:val="20"/>
          <w:szCs w:val="20"/>
        </w:rPr>
        <w:t xml:space="preserve"> </w:t>
      </w:r>
      <w:r w:rsidRPr="00B004EE">
        <w:rPr>
          <w:rFonts w:ascii="Tahoma" w:hAnsi="Tahoma" w:cs="Tahoma"/>
          <w:bCs/>
          <w:sz w:val="20"/>
          <w:szCs w:val="20"/>
        </w:rPr>
        <w:t>à</w:t>
      </w:r>
      <w:r w:rsidR="00DB1635" w:rsidRPr="00B004EE">
        <w:rPr>
          <w:rFonts w:ascii="Tahoma" w:hAnsi="Tahoma" w:cs="Tahoma"/>
          <w:bCs/>
          <w:sz w:val="20"/>
          <w:szCs w:val="20"/>
        </w:rPr>
        <w:t xml:space="preserve"> </w:t>
      </w:r>
      <w:r w:rsidRPr="00B004EE">
        <w:rPr>
          <w:rFonts w:ascii="Tahoma" w:hAnsi="Tahoma" w:cs="Tahoma"/>
          <w:bCs/>
          <w:sz w:val="20"/>
          <w:szCs w:val="20"/>
        </w:rPr>
        <w:t>60</w:t>
      </w:r>
      <w:r w:rsidR="00DB1635" w:rsidRPr="00B004EE">
        <w:rPr>
          <w:rFonts w:ascii="Tahoma" w:hAnsi="Tahoma" w:cs="Tahoma"/>
          <w:bCs/>
          <w:sz w:val="20"/>
          <w:szCs w:val="20"/>
        </w:rPr>
        <w:t xml:space="preserve"> </w:t>
      </w:r>
      <w:r w:rsidRPr="00B004EE">
        <w:rPr>
          <w:rFonts w:ascii="Tahoma" w:hAnsi="Tahoma" w:cs="Tahoma"/>
          <w:bCs/>
          <w:sz w:val="20"/>
          <w:szCs w:val="20"/>
        </w:rPr>
        <w:t>%</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l’effectif</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l’équipage</w:t>
      </w:r>
      <w:r w:rsidR="00DB1635" w:rsidRPr="00B004EE">
        <w:rPr>
          <w:rFonts w:ascii="Tahoma" w:hAnsi="Tahoma" w:cs="Tahoma"/>
          <w:bCs/>
          <w:sz w:val="20"/>
          <w:szCs w:val="20"/>
        </w:rPr>
        <w:t xml:space="preserve"> </w:t>
      </w:r>
      <w:r w:rsidRPr="00B004EE">
        <w:rPr>
          <w:rFonts w:ascii="Tahoma" w:hAnsi="Tahoma" w:cs="Tahoma"/>
          <w:bCs/>
          <w:sz w:val="20"/>
          <w:szCs w:val="20"/>
        </w:rPr>
        <w:t>global,</w:t>
      </w:r>
      <w:r w:rsidR="00DB1635" w:rsidRPr="00B004EE">
        <w:rPr>
          <w:rFonts w:ascii="Tahoma" w:hAnsi="Tahoma" w:cs="Tahoma"/>
          <w:bCs/>
          <w:sz w:val="20"/>
          <w:szCs w:val="20"/>
        </w:rPr>
        <w:t xml:space="preserve"> </w:t>
      </w:r>
      <w:r w:rsidRPr="00B004EE">
        <w:rPr>
          <w:rFonts w:ascii="Tahoma" w:hAnsi="Tahoma" w:cs="Tahoma"/>
          <w:bCs/>
          <w:sz w:val="20"/>
          <w:szCs w:val="20"/>
        </w:rPr>
        <w:t>y</w:t>
      </w:r>
      <w:r w:rsidR="00DB1635" w:rsidRPr="00B004EE">
        <w:rPr>
          <w:rFonts w:ascii="Tahoma" w:hAnsi="Tahoma" w:cs="Tahoma"/>
          <w:bCs/>
          <w:sz w:val="20"/>
          <w:szCs w:val="20"/>
        </w:rPr>
        <w:t xml:space="preserve"> </w:t>
      </w:r>
      <w:r w:rsidRPr="00B004EE">
        <w:rPr>
          <w:rFonts w:ascii="Tahoma" w:hAnsi="Tahoma" w:cs="Tahoma"/>
          <w:bCs/>
          <w:sz w:val="20"/>
          <w:szCs w:val="20"/>
        </w:rPr>
        <w:t>compris</w:t>
      </w:r>
      <w:r w:rsidR="00DB1635" w:rsidRPr="00B004EE">
        <w:rPr>
          <w:rFonts w:ascii="Tahoma" w:hAnsi="Tahoma" w:cs="Tahoma"/>
          <w:bCs/>
          <w:sz w:val="20"/>
          <w:szCs w:val="20"/>
        </w:rPr>
        <w:t xml:space="preserve"> </w:t>
      </w:r>
      <w:r w:rsidRPr="00B004EE">
        <w:rPr>
          <w:rFonts w:ascii="Tahoma" w:hAnsi="Tahoma" w:cs="Tahoma"/>
          <w:bCs/>
          <w:sz w:val="20"/>
          <w:szCs w:val="20"/>
        </w:rPr>
        <w:t>le</w:t>
      </w:r>
      <w:r w:rsidR="00DB1635" w:rsidRPr="00B004EE">
        <w:rPr>
          <w:rFonts w:ascii="Tahoma" w:hAnsi="Tahoma" w:cs="Tahoma"/>
          <w:bCs/>
          <w:sz w:val="20"/>
          <w:szCs w:val="20"/>
        </w:rPr>
        <w:t xml:space="preserve"> </w:t>
      </w:r>
      <w:r w:rsidRPr="00B004EE">
        <w:rPr>
          <w:rFonts w:ascii="Tahoma" w:hAnsi="Tahoma" w:cs="Tahoma"/>
          <w:bCs/>
          <w:sz w:val="20"/>
          <w:szCs w:val="20"/>
        </w:rPr>
        <w:t>capitaine</w:t>
      </w:r>
      <w:r w:rsidR="00DB1635" w:rsidRPr="00B004EE">
        <w:rPr>
          <w:rFonts w:ascii="Tahoma" w:hAnsi="Tahoma" w:cs="Tahoma"/>
          <w:bCs/>
          <w:sz w:val="20"/>
          <w:szCs w:val="20"/>
        </w:rPr>
        <w:t xml:space="preserve"> </w:t>
      </w:r>
      <w:r w:rsidRPr="00B004EE">
        <w:rPr>
          <w:rFonts w:ascii="Tahoma" w:hAnsi="Tahoma" w:cs="Tahoma"/>
          <w:bCs/>
          <w:sz w:val="20"/>
          <w:szCs w:val="20"/>
        </w:rPr>
        <w:t>et</w:t>
      </w:r>
      <w:r w:rsidR="00DB1635" w:rsidRPr="00B004EE">
        <w:rPr>
          <w:rFonts w:ascii="Tahoma" w:hAnsi="Tahoma" w:cs="Tahoma"/>
          <w:bCs/>
          <w:sz w:val="20"/>
          <w:szCs w:val="20"/>
        </w:rPr>
        <w:t xml:space="preserve"> </w:t>
      </w:r>
      <w:r w:rsidRPr="00B004EE">
        <w:rPr>
          <w:rFonts w:ascii="Tahoma" w:hAnsi="Tahoma" w:cs="Tahoma"/>
          <w:bCs/>
          <w:sz w:val="20"/>
          <w:szCs w:val="20"/>
        </w:rPr>
        <w:t>les</w:t>
      </w:r>
      <w:r w:rsidR="00DB1635" w:rsidRPr="00B004EE">
        <w:rPr>
          <w:rFonts w:ascii="Tahoma" w:hAnsi="Tahoma" w:cs="Tahoma"/>
          <w:bCs/>
          <w:sz w:val="20"/>
          <w:szCs w:val="20"/>
        </w:rPr>
        <w:t xml:space="preserve"> </w:t>
      </w:r>
      <w:r w:rsidRPr="00B004EE">
        <w:rPr>
          <w:rFonts w:ascii="Tahoma" w:hAnsi="Tahoma" w:cs="Tahoma"/>
          <w:bCs/>
          <w:sz w:val="20"/>
          <w:szCs w:val="20"/>
        </w:rPr>
        <w:t>officiers.</w:t>
      </w:r>
    </w:p>
    <w:p w14:paraId="2B50DE54" w14:textId="341279F3" w:rsidR="008518B0" w:rsidRPr="00B004EE" w:rsidRDefault="008518B0" w:rsidP="00B004EE">
      <w:pPr>
        <w:pStyle w:val="Corpsdetexte"/>
        <w:numPr>
          <w:ilvl w:val="12"/>
          <w:numId w:val="0"/>
        </w:numPr>
        <w:tabs>
          <w:tab w:val="center" w:pos="4680"/>
          <w:tab w:val="left" w:pos="4956"/>
          <w:tab w:val="left" w:pos="5664"/>
          <w:tab w:val="left" w:pos="6372"/>
          <w:tab w:val="left" w:pos="7080"/>
          <w:tab w:val="left" w:pos="7788"/>
          <w:tab w:val="left" w:pos="8496"/>
        </w:tabs>
        <w:rPr>
          <w:rFonts w:ascii="Tahoma" w:hAnsi="Tahoma" w:cs="Tahoma"/>
          <w:bCs/>
          <w:sz w:val="20"/>
          <w:szCs w:val="20"/>
        </w:rPr>
      </w:pPr>
      <w:r w:rsidRPr="00B004EE">
        <w:rPr>
          <w:rFonts w:ascii="Tahoma" w:hAnsi="Tahoma" w:cs="Tahoma"/>
          <w:bCs/>
          <w:sz w:val="20"/>
          <w:szCs w:val="20"/>
        </w:rPr>
        <w:t>A</w:t>
      </w:r>
      <w:r w:rsidR="00DB1635" w:rsidRPr="00B004EE">
        <w:rPr>
          <w:rFonts w:ascii="Tahoma" w:hAnsi="Tahoma" w:cs="Tahoma"/>
          <w:bCs/>
          <w:sz w:val="20"/>
          <w:szCs w:val="20"/>
        </w:rPr>
        <w:t xml:space="preserve"> </w:t>
      </w:r>
      <w:r w:rsidRPr="00B004EE">
        <w:rPr>
          <w:rFonts w:ascii="Tahoma" w:hAnsi="Tahoma" w:cs="Tahoma"/>
          <w:bCs/>
          <w:sz w:val="20"/>
          <w:szCs w:val="20"/>
        </w:rPr>
        <w:t>bord</w:t>
      </w:r>
      <w:r w:rsidR="00DB1635" w:rsidRPr="00B004EE">
        <w:rPr>
          <w:rFonts w:ascii="Tahoma" w:hAnsi="Tahoma" w:cs="Tahoma"/>
          <w:bCs/>
          <w:sz w:val="20"/>
          <w:szCs w:val="20"/>
        </w:rPr>
        <w:t xml:space="preserve"> </w:t>
      </w:r>
      <w:r w:rsidRPr="00B004EE">
        <w:rPr>
          <w:rFonts w:ascii="Tahoma" w:hAnsi="Tahoma" w:cs="Tahoma"/>
          <w:bCs/>
          <w:sz w:val="20"/>
          <w:szCs w:val="20"/>
        </w:rPr>
        <w:t>des</w:t>
      </w:r>
      <w:r w:rsidR="00DB1635" w:rsidRPr="00B004EE">
        <w:rPr>
          <w:rFonts w:ascii="Tahoma" w:hAnsi="Tahoma" w:cs="Tahoma"/>
          <w:bCs/>
          <w:sz w:val="20"/>
          <w:szCs w:val="20"/>
        </w:rPr>
        <w:t xml:space="preserve"> </w:t>
      </w:r>
      <w:r w:rsidRPr="00B004EE">
        <w:rPr>
          <w:rFonts w:ascii="Tahoma" w:hAnsi="Tahoma" w:cs="Tahoma"/>
          <w:bCs/>
          <w:sz w:val="20"/>
          <w:szCs w:val="20"/>
        </w:rPr>
        <w:t>navires</w:t>
      </w:r>
      <w:r w:rsidR="00DB1635" w:rsidRPr="00B004EE">
        <w:rPr>
          <w:rFonts w:ascii="Tahoma" w:hAnsi="Tahoma" w:cs="Tahoma"/>
          <w:bCs/>
          <w:sz w:val="20"/>
          <w:szCs w:val="20"/>
        </w:rPr>
        <w:t xml:space="preserve"> </w:t>
      </w:r>
      <w:r w:rsidRPr="00B004EE">
        <w:rPr>
          <w:rFonts w:ascii="Tahoma" w:hAnsi="Tahoma" w:cs="Tahoma"/>
          <w:bCs/>
          <w:sz w:val="20"/>
          <w:szCs w:val="20"/>
        </w:rPr>
        <w:t>où</w:t>
      </w:r>
      <w:r w:rsidR="00DB1635" w:rsidRPr="00B004EE">
        <w:rPr>
          <w:rFonts w:ascii="Tahoma" w:hAnsi="Tahoma" w:cs="Tahoma"/>
          <w:bCs/>
          <w:sz w:val="20"/>
          <w:szCs w:val="20"/>
        </w:rPr>
        <w:t xml:space="preserve"> </w:t>
      </w:r>
      <w:r w:rsidRPr="00B004EE">
        <w:rPr>
          <w:rFonts w:ascii="Tahoma" w:hAnsi="Tahoma" w:cs="Tahoma"/>
          <w:bCs/>
          <w:sz w:val="20"/>
          <w:szCs w:val="20"/>
        </w:rPr>
        <w:t>ils</w:t>
      </w:r>
      <w:r w:rsidR="00DB1635" w:rsidRPr="00B004EE">
        <w:rPr>
          <w:rFonts w:ascii="Tahoma" w:hAnsi="Tahoma" w:cs="Tahoma"/>
          <w:bCs/>
          <w:sz w:val="20"/>
          <w:szCs w:val="20"/>
        </w:rPr>
        <w:t xml:space="preserve"> </w:t>
      </w:r>
      <w:r w:rsidRPr="00B004EE">
        <w:rPr>
          <w:rFonts w:ascii="Tahoma" w:hAnsi="Tahoma" w:cs="Tahoma"/>
          <w:bCs/>
          <w:sz w:val="20"/>
          <w:szCs w:val="20"/>
        </w:rPr>
        <w:t>sont</w:t>
      </w:r>
      <w:r w:rsidR="00DB1635" w:rsidRPr="00B004EE">
        <w:rPr>
          <w:rFonts w:ascii="Tahoma" w:hAnsi="Tahoma" w:cs="Tahoma"/>
          <w:bCs/>
          <w:sz w:val="20"/>
          <w:szCs w:val="20"/>
        </w:rPr>
        <w:t xml:space="preserve"> </w:t>
      </w:r>
      <w:r w:rsidRPr="00B004EE">
        <w:rPr>
          <w:rFonts w:ascii="Tahoma" w:hAnsi="Tahoma" w:cs="Tahoma"/>
          <w:bCs/>
          <w:sz w:val="20"/>
          <w:szCs w:val="20"/>
        </w:rPr>
        <w:t>embarqués,</w:t>
      </w:r>
      <w:r w:rsidR="00DB1635" w:rsidRPr="00B004EE">
        <w:rPr>
          <w:rFonts w:ascii="Tahoma" w:hAnsi="Tahoma" w:cs="Tahoma"/>
          <w:bCs/>
          <w:sz w:val="20"/>
          <w:szCs w:val="20"/>
        </w:rPr>
        <w:t xml:space="preserve"> </w:t>
      </w:r>
      <w:r w:rsidRPr="00B004EE">
        <w:rPr>
          <w:rFonts w:ascii="Tahoma" w:hAnsi="Tahoma" w:cs="Tahoma"/>
          <w:bCs/>
          <w:sz w:val="20"/>
          <w:szCs w:val="20"/>
        </w:rPr>
        <w:t>les</w:t>
      </w:r>
      <w:r w:rsidR="00DB1635" w:rsidRPr="00B004EE">
        <w:rPr>
          <w:rFonts w:ascii="Tahoma" w:hAnsi="Tahoma" w:cs="Tahoma"/>
          <w:bCs/>
          <w:sz w:val="20"/>
          <w:szCs w:val="20"/>
        </w:rPr>
        <w:t xml:space="preserve"> </w:t>
      </w:r>
      <w:r w:rsidRPr="00B004EE">
        <w:rPr>
          <w:rFonts w:ascii="Tahoma" w:hAnsi="Tahoma" w:cs="Tahoma"/>
          <w:bCs/>
          <w:sz w:val="20"/>
          <w:szCs w:val="20"/>
        </w:rPr>
        <w:t>marins</w:t>
      </w:r>
      <w:r w:rsidR="00DB1635" w:rsidRPr="00B004EE">
        <w:rPr>
          <w:rFonts w:ascii="Tahoma" w:hAnsi="Tahoma" w:cs="Tahoma"/>
          <w:bCs/>
          <w:sz w:val="20"/>
          <w:szCs w:val="20"/>
        </w:rPr>
        <w:t xml:space="preserve"> </w:t>
      </w:r>
      <w:r w:rsidRPr="00B004EE">
        <w:rPr>
          <w:rFonts w:ascii="Tahoma" w:hAnsi="Tahoma" w:cs="Tahoma"/>
          <w:bCs/>
          <w:sz w:val="20"/>
          <w:szCs w:val="20"/>
        </w:rPr>
        <w:t>mauritaniens</w:t>
      </w:r>
      <w:r w:rsidR="00DB1635" w:rsidRPr="00B004EE">
        <w:rPr>
          <w:rFonts w:ascii="Tahoma" w:hAnsi="Tahoma" w:cs="Tahoma"/>
          <w:bCs/>
          <w:sz w:val="20"/>
          <w:szCs w:val="20"/>
        </w:rPr>
        <w:t xml:space="preserve"> </w:t>
      </w:r>
      <w:r w:rsidRPr="00B004EE">
        <w:rPr>
          <w:rFonts w:ascii="Tahoma" w:hAnsi="Tahoma" w:cs="Tahoma"/>
          <w:bCs/>
          <w:sz w:val="20"/>
          <w:szCs w:val="20"/>
        </w:rPr>
        <w:t>doivent</w:t>
      </w:r>
      <w:r w:rsidR="00DB1635" w:rsidRPr="00B004EE">
        <w:rPr>
          <w:rFonts w:ascii="Tahoma" w:hAnsi="Tahoma" w:cs="Tahoma"/>
          <w:bCs/>
          <w:sz w:val="20"/>
          <w:szCs w:val="20"/>
        </w:rPr>
        <w:t xml:space="preserve"> </w:t>
      </w:r>
      <w:r w:rsidRPr="00B004EE">
        <w:rPr>
          <w:rFonts w:ascii="Tahoma" w:hAnsi="Tahoma" w:cs="Tahoma"/>
          <w:bCs/>
          <w:sz w:val="20"/>
          <w:szCs w:val="20"/>
        </w:rPr>
        <w:t>être</w:t>
      </w:r>
      <w:r w:rsidR="00DB1635" w:rsidRPr="00B004EE">
        <w:rPr>
          <w:rFonts w:ascii="Tahoma" w:hAnsi="Tahoma" w:cs="Tahoma"/>
          <w:bCs/>
          <w:sz w:val="20"/>
          <w:szCs w:val="20"/>
        </w:rPr>
        <w:t xml:space="preserve"> </w:t>
      </w:r>
      <w:r w:rsidRPr="00B004EE">
        <w:rPr>
          <w:rFonts w:ascii="Tahoma" w:hAnsi="Tahoma" w:cs="Tahoma"/>
          <w:bCs/>
          <w:sz w:val="20"/>
          <w:szCs w:val="20"/>
        </w:rPr>
        <w:t>pleinement</w:t>
      </w:r>
      <w:r w:rsidR="00DB1635" w:rsidRPr="00B004EE">
        <w:rPr>
          <w:rFonts w:ascii="Tahoma" w:hAnsi="Tahoma" w:cs="Tahoma"/>
          <w:bCs/>
          <w:sz w:val="20"/>
          <w:szCs w:val="20"/>
        </w:rPr>
        <w:t xml:space="preserve"> </w:t>
      </w:r>
      <w:r w:rsidRPr="00B004EE">
        <w:rPr>
          <w:rFonts w:ascii="Tahoma" w:hAnsi="Tahoma" w:cs="Tahoma"/>
          <w:bCs/>
          <w:sz w:val="20"/>
          <w:szCs w:val="20"/>
        </w:rPr>
        <w:t>associés</w:t>
      </w:r>
      <w:r w:rsidR="00DB1635" w:rsidRPr="00B004EE">
        <w:rPr>
          <w:rFonts w:ascii="Tahoma" w:hAnsi="Tahoma" w:cs="Tahoma"/>
          <w:bCs/>
          <w:sz w:val="20"/>
          <w:szCs w:val="20"/>
        </w:rPr>
        <w:t xml:space="preserve"> </w:t>
      </w:r>
      <w:r w:rsidRPr="00B004EE">
        <w:rPr>
          <w:rFonts w:ascii="Tahoma" w:hAnsi="Tahoma" w:cs="Tahoma"/>
          <w:bCs/>
          <w:sz w:val="20"/>
          <w:szCs w:val="20"/>
        </w:rPr>
        <w:t>au</w:t>
      </w:r>
      <w:r w:rsidR="00DB1635" w:rsidRPr="00B004EE">
        <w:rPr>
          <w:rFonts w:ascii="Tahoma" w:hAnsi="Tahoma" w:cs="Tahoma"/>
          <w:bCs/>
          <w:sz w:val="20"/>
          <w:szCs w:val="20"/>
        </w:rPr>
        <w:t xml:space="preserve"> </w:t>
      </w:r>
      <w:r w:rsidRPr="00B004EE">
        <w:rPr>
          <w:rFonts w:ascii="Tahoma" w:hAnsi="Tahoma" w:cs="Tahoma"/>
          <w:bCs/>
          <w:sz w:val="20"/>
          <w:szCs w:val="20"/>
        </w:rPr>
        <w:t>travail</w:t>
      </w:r>
      <w:r w:rsidR="00DB1635" w:rsidRPr="00B004EE">
        <w:rPr>
          <w:rFonts w:ascii="Tahoma" w:hAnsi="Tahoma" w:cs="Tahoma"/>
          <w:bCs/>
          <w:sz w:val="20"/>
          <w:szCs w:val="20"/>
        </w:rPr>
        <w:t xml:space="preserve"> </w:t>
      </w:r>
      <w:r w:rsidRPr="00B004EE">
        <w:rPr>
          <w:rFonts w:ascii="Tahoma" w:hAnsi="Tahoma" w:cs="Tahoma"/>
          <w:bCs/>
          <w:sz w:val="20"/>
          <w:szCs w:val="20"/>
        </w:rPr>
        <w:t>en</w:t>
      </w:r>
      <w:r w:rsidR="00DB1635" w:rsidRPr="00B004EE">
        <w:rPr>
          <w:rFonts w:ascii="Tahoma" w:hAnsi="Tahoma" w:cs="Tahoma"/>
          <w:bCs/>
          <w:sz w:val="20"/>
          <w:szCs w:val="20"/>
        </w:rPr>
        <w:t xml:space="preserve"> </w:t>
      </w:r>
      <w:r w:rsidRPr="00B004EE">
        <w:rPr>
          <w:rFonts w:ascii="Tahoma" w:hAnsi="Tahoma" w:cs="Tahoma"/>
          <w:bCs/>
          <w:sz w:val="20"/>
          <w:szCs w:val="20"/>
        </w:rPr>
        <w:t>mer</w:t>
      </w:r>
      <w:r w:rsidR="00DB1635" w:rsidRPr="00B004EE">
        <w:rPr>
          <w:rFonts w:ascii="Tahoma" w:hAnsi="Tahoma" w:cs="Tahoma"/>
          <w:bCs/>
          <w:sz w:val="20"/>
          <w:szCs w:val="20"/>
        </w:rPr>
        <w:t xml:space="preserve"> </w:t>
      </w:r>
      <w:r w:rsidRPr="00B004EE">
        <w:rPr>
          <w:rFonts w:ascii="Tahoma" w:hAnsi="Tahoma" w:cs="Tahoma"/>
          <w:bCs/>
          <w:sz w:val="20"/>
          <w:szCs w:val="20"/>
        </w:rPr>
        <w:t>et</w:t>
      </w:r>
      <w:r w:rsidR="00DB1635" w:rsidRPr="00B004EE">
        <w:rPr>
          <w:rFonts w:ascii="Tahoma" w:hAnsi="Tahoma" w:cs="Tahoma"/>
          <w:bCs/>
          <w:sz w:val="20"/>
          <w:szCs w:val="20"/>
        </w:rPr>
        <w:t xml:space="preserve"> </w:t>
      </w:r>
      <w:r w:rsidRPr="00B004EE">
        <w:rPr>
          <w:rFonts w:ascii="Tahoma" w:hAnsi="Tahoma" w:cs="Tahoma"/>
          <w:bCs/>
          <w:sz w:val="20"/>
          <w:szCs w:val="20"/>
        </w:rPr>
        <w:t>aux</w:t>
      </w:r>
      <w:r w:rsidR="00DB1635" w:rsidRPr="00B004EE">
        <w:rPr>
          <w:rFonts w:ascii="Tahoma" w:hAnsi="Tahoma" w:cs="Tahoma"/>
          <w:bCs/>
          <w:sz w:val="20"/>
          <w:szCs w:val="20"/>
        </w:rPr>
        <w:t xml:space="preserve"> </w:t>
      </w:r>
      <w:r w:rsidRPr="00B004EE">
        <w:rPr>
          <w:rFonts w:ascii="Tahoma" w:hAnsi="Tahoma" w:cs="Tahoma"/>
          <w:bCs/>
          <w:sz w:val="20"/>
          <w:szCs w:val="20"/>
        </w:rPr>
        <w:t>techniques</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pêche.</w:t>
      </w:r>
    </w:p>
    <w:p w14:paraId="36E05F83" w14:textId="152483A7" w:rsidR="00A621C8" w:rsidRPr="00B004EE" w:rsidRDefault="00A621C8" w:rsidP="00B004EE">
      <w:pPr>
        <w:pStyle w:val="Corpsdetexte"/>
        <w:numPr>
          <w:ilvl w:val="12"/>
          <w:numId w:val="0"/>
        </w:numPr>
        <w:tabs>
          <w:tab w:val="center" w:pos="4680"/>
          <w:tab w:val="left" w:pos="4956"/>
          <w:tab w:val="left" w:pos="5664"/>
          <w:tab w:val="left" w:pos="6372"/>
          <w:tab w:val="left" w:pos="7080"/>
          <w:tab w:val="left" w:pos="7788"/>
          <w:tab w:val="left" w:pos="8496"/>
        </w:tabs>
        <w:rPr>
          <w:rFonts w:ascii="Tahoma" w:hAnsi="Tahoma" w:cs="Tahoma"/>
          <w:bCs/>
          <w:sz w:val="20"/>
          <w:szCs w:val="20"/>
        </w:rPr>
      </w:pPr>
    </w:p>
    <w:p w14:paraId="586E0E69" w14:textId="0D186D96" w:rsidR="008518B0" w:rsidRPr="00B004EE" w:rsidRDefault="008518B0" w:rsidP="00B004EE">
      <w:pPr>
        <w:pStyle w:val="Lgende"/>
        <w:jc w:val="center"/>
        <w:rPr>
          <w:rFonts w:ascii="Tahoma" w:hAnsi="Tahoma" w:cs="Tahoma"/>
        </w:rPr>
      </w:pPr>
      <w:r w:rsidRPr="00B004EE">
        <w:rPr>
          <w:rFonts w:ascii="Tahoma" w:hAnsi="Tahoma" w:cs="Tahoma"/>
        </w:rPr>
        <w:t>Chapitre</w:t>
      </w:r>
      <w:r w:rsidR="00DB1635" w:rsidRPr="00B004EE">
        <w:rPr>
          <w:rFonts w:ascii="Tahoma" w:hAnsi="Tahoma" w:cs="Tahoma"/>
        </w:rPr>
        <w:t xml:space="preserve"> </w:t>
      </w:r>
      <w:r w:rsidRPr="00B004EE">
        <w:rPr>
          <w:rFonts w:ascii="Tahoma" w:hAnsi="Tahoma" w:cs="Tahoma"/>
        </w:rPr>
        <w:t>IV</w:t>
      </w:r>
      <w:r w:rsidR="00DB1635" w:rsidRPr="00B004EE">
        <w:rPr>
          <w:rFonts w:ascii="Tahoma" w:hAnsi="Tahoma" w:cs="Tahoma"/>
        </w:rPr>
        <w:t xml:space="preserve"> </w:t>
      </w:r>
      <w:r w:rsidRPr="00B004EE">
        <w:rPr>
          <w:rFonts w:ascii="Tahoma" w:hAnsi="Tahoma" w:cs="Tahoma"/>
        </w:rPr>
        <w:t>:</w:t>
      </w:r>
      <w:r w:rsidR="00DB1635" w:rsidRPr="00B004EE">
        <w:rPr>
          <w:rFonts w:ascii="Tahoma" w:hAnsi="Tahoma" w:cs="Tahoma"/>
        </w:rPr>
        <w:t xml:space="preserve"> </w:t>
      </w:r>
      <w:r w:rsidRPr="00B004EE">
        <w:rPr>
          <w:rFonts w:ascii="Tahoma" w:hAnsi="Tahoma" w:cs="Tahoma"/>
        </w:rPr>
        <w:t>DU</w:t>
      </w:r>
      <w:r w:rsidR="00DB1635" w:rsidRPr="00B004EE">
        <w:rPr>
          <w:rFonts w:ascii="Tahoma" w:hAnsi="Tahoma" w:cs="Tahoma"/>
        </w:rPr>
        <w:t xml:space="preserve"> </w:t>
      </w:r>
      <w:r w:rsidRPr="00B004EE">
        <w:rPr>
          <w:rFonts w:ascii="Tahoma" w:hAnsi="Tahoma" w:cs="Tahoma"/>
        </w:rPr>
        <w:t>SUIVI,</w:t>
      </w:r>
      <w:r w:rsidR="00DB1635" w:rsidRPr="00B004EE">
        <w:rPr>
          <w:rFonts w:ascii="Tahoma" w:hAnsi="Tahoma" w:cs="Tahoma"/>
        </w:rPr>
        <w:t xml:space="preserve"> </w:t>
      </w:r>
      <w:r w:rsidRPr="00B004EE">
        <w:rPr>
          <w:rFonts w:ascii="Tahoma" w:hAnsi="Tahoma" w:cs="Tahoma"/>
        </w:rPr>
        <w:t>CONTRÔLE</w:t>
      </w:r>
      <w:r w:rsidR="00DB1635" w:rsidRPr="00B004EE">
        <w:rPr>
          <w:rFonts w:ascii="Tahoma" w:hAnsi="Tahoma" w:cs="Tahoma"/>
        </w:rPr>
        <w:t xml:space="preserve"> </w:t>
      </w:r>
      <w:r w:rsidRPr="00B004EE">
        <w:rPr>
          <w:rFonts w:ascii="Tahoma" w:hAnsi="Tahoma" w:cs="Tahoma"/>
        </w:rPr>
        <w:t>ET</w:t>
      </w:r>
      <w:r w:rsidR="00DB1635" w:rsidRPr="00B004EE">
        <w:rPr>
          <w:rFonts w:ascii="Tahoma" w:hAnsi="Tahoma" w:cs="Tahoma"/>
        </w:rPr>
        <w:t xml:space="preserve"> </w:t>
      </w:r>
      <w:r w:rsidRPr="00B004EE">
        <w:rPr>
          <w:rFonts w:ascii="Tahoma" w:hAnsi="Tahoma" w:cs="Tahoma"/>
        </w:rPr>
        <w:t>SURVEILLANCE</w:t>
      </w:r>
      <w:r w:rsidR="00DB1635" w:rsidRPr="00B004EE">
        <w:rPr>
          <w:rFonts w:ascii="Tahoma" w:hAnsi="Tahoma" w:cs="Tahoma"/>
        </w:rPr>
        <w:t xml:space="preserve"> </w:t>
      </w:r>
      <w:r w:rsidRPr="00B004EE">
        <w:rPr>
          <w:rFonts w:ascii="Tahoma" w:hAnsi="Tahoma" w:cs="Tahoma"/>
        </w:rPr>
        <w:t>DES</w:t>
      </w:r>
      <w:r w:rsidR="00DB1635" w:rsidRPr="00B004EE">
        <w:rPr>
          <w:rFonts w:ascii="Tahoma" w:hAnsi="Tahoma" w:cs="Tahoma"/>
        </w:rPr>
        <w:t xml:space="preserve"> </w:t>
      </w:r>
      <w:r w:rsidRPr="00B004EE">
        <w:rPr>
          <w:rFonts w:ascii="Tahoma" w:hAnsi="Tahoma" w:cs="Tahoma"/>
        </w:rPr>
        <w:t>OPERATIONS</w:t>
      </w:r>
      <w:r w:rsidR="00DB1635" w:rsidRPr="00B004EE">
        <w:rPr>
          <w:rFonts w:ascii="Tahoma" w:hAnsi="Tahoma" w:cs="Tahoma"/>
        </w:rPr>
        <w:t xml:space="preserve"> </w:t>
      </w:r>
      <w:r w:rsidRPr="00B004EE">
        <w:rPr>
          <w:rFonts w:ascii="Tahoma" w:hAnsi="Tahoma" w:cs="Tahoma"/>
        </w:rPr>
        <w:t>DE</w:t>
      </w:r>
      <w:r w:rsidR="00DB1635" w:rsidRPr="00B004EE">
        <w:rPr>
          <w:rFonts w:ascii="Tahoma" w:hAnsi="Tahoma" w:cs="Tahoma"/>
        </w:rPr>
        <w:t xml:space="preserve"> </w:t>
      </w:r>
      <w:r w:rsidRPr="00B004EE">
        <w:rPr>
          <w:rFonts w:ascii="Tahoma" w:hAnsi="Tahoma" w:cs="Tahoma"/>
        </w:rPr>
        <w:t>PÊCHE</w:t>
      </w:r>
    </w:p>
    <w:p w14:paraId="7C594FC5" w14:textId="77777777" w:rsidR="007562A8" w:rsidRPr="00B004EE" w:rsidRDefault="007562A8" w:rsidP="00B004EE">
      <w:pPr>
        <w:pStyle w:val="Lgende"/>
        <w:jc w:val="center"/>
        <w:rPr>
          <w:rFonts w:ascii="Tahoma" w:hAnsi="Tahoma" w:cs="Tahoma"/>
        </w:rPr>
      </w:pPr>
      <w:bookmarkStart w:id="165" w:name="_Toc327344823"/>
      <w:bookmarkStart w:id="166" w:name="_Toc327396165"/>
      <w:bookmarkStart w:id="167" w:name="_Toc327625409"/>
    </w:p>
    <w:p w14:paraId="112BC071" w14:textId="23973F04" w:rsidR="008518B0" w:rsidRPr="00B004EE" w:rsidRDefault="008518B0" w:rsidP="00B004EE">
      <w:pPr>
        <w:pStyle w:val="Lgende"/>
        <w:jc w:val="center"/>
        <w:rPr>
          <w:rFonts w:ascii="Tahoma" w:hAnsi="Tahoma" w:cs="Tahoma"/>
        </w:rPr>
      </w:pPr>
      <w:r w:rsidRPr="00B004EE">
        <w:rPr>
          <w:rFonts w:ascii="Tahoma" w:hAnsi="Tahoma" w:cs="Tahoma"/>
        </w:rPr>
        <w:t>Section</w:t>
      </w:r>
      <w:r w:rsidR="00DB1635" w:rsidRPr="00B004EE">
        <w:rPr>
          <w:rFonts w:ascii="Tahoma" w:hAnsi="Tahoma" w:cs="Tahoma"/>
        </w:rPr>
        <w:t xml:space="preserve"> </w:t>
      </w:r>
      <w:r w:rsidRPr="00B004EE">
        <w:rPr>
          <w:rFonts w:ascii="Tahoma" w:hAnsi="Tahoma" w:cs="Tahoma"/>
        </w:rPr>
        <w:t>I</w:t>
      </w:r>
      <w:r w:rsidR="00DB1635" w:rsidRPr="00B004EE">
        <w:rPr>
          <w:rFonts w:ascii="Tahoma" w:hAnsi="Tahoma" w:cs="Tahoma"/>
        </w:rPr>
        <w:t xml:space="preserve"> </w:t>
      </w:r>
      <w:r w:rsidRPr="00B004EE">
        <w:rPr>
          <w:rFonts w:ascii="Tahoma" w:hAnsi="Tahoma" w:cs="Tahoma"/>
        </w:rPr>
        <w:t>:</w:t>
      </w:r>
      <w:r w:rsidR="00DB1635" w:rsidRPr="00B004EE">
        <w:rPr>
          <w:rFonts w:ascii="Tahoma" w:hAnsi="Tahoma" w:cs="Tahoma"/>
        </w:rPr>
        <w:t xml:space="preserve"> </w:t>
      </w:r>
      <w:r w:rsidRPr="00B004EE">
        <w:rPr>
          <w:rFonts w:ascii="Tahoma" w:hAnsi="Tahoma" w:cs="Tahoma"/>
        </w:rPr>
        <w:t>Du</w:t>
      </w:r>
      <w:r w:rsidR="00DB1635" w:rsidRPr="00B004EE">
        <w:rPr>
          <w:rFonts w:ascii="Tahoma" w:hAnsi="Tahoma" w:cs="Tahoma"/>
        </w:rPr>
        <w:t xml:space="preserve"> </w:t>
      </w:r>
      <w:r w:rsidRPr="00B004EE">
        <w:rPr>
          <w:rFonts w:ascii="Tahoma" w:hAnsi="Tahoma" w:cs="Tahoma"/>
        </w:rPr>
        <w:t>contrôle</w:t>
      </w:r>
      <w:r w:rsidR="00DB1635" w:rsidRPr="00B004EE">
        <w:rPr>
          <w:rFonts w:ascii="Tahoma" w:hAnsi="Tahoma" w:cs="Tahoma"/>
        </w:rPr>
        <w:t xml:space="preserve"> </w:t>
      </w:r>
      <w:r w:rsidRPr="00B004EE">
        <w:rPr>
          <w:rFonts w:ascii="Tahoma" w:hAnsi="Tahoma" w:cs="Tahoma"/>
        </w:rPr>
        <w:t>au</w:t>
      </w:r>
      <w:r w:rsidR="00DB1635" w:rsidRPr="00B004EE">
        <w:rPr>
          <w:rFonts w:ascii="Tahoma" w:hAnsi="Tahoma" w:cs="Tahoma"/>
        </w:rPr>
        <w:t xml:space="preserve"> </w:t>
      </w:r>
      <w:r w:rsidRPr="00B004EE">
        <w:rPr>
          <w:rFonts w:ascii="Tahoma" w:hAnsi="Tahoma" w:cs="Tahoma"/>
        </w:rPr>
        <w:t>débarquement</w:t>
      </w:r>
    </w:p>
    <w:p w14:paraId="60FF2DDA" w14:textId="77777777" w:rsidR="007562A8" w:rsidRPr="00B004EE" w:rsidRDefault="007562A8" w:rsidP="00B004EE">
      <w:pPr>
        <w:rPr>
          <w:sz w:val="20"/>
          <w:szCs w:val="20"/>
        </w:rPr>
      </w:pPr>
    </w:p>
    <w:p w14:paraId="568270E9" w14:textId="02DBB6D0" w:rsidR="008518B0" w:rsidRPr="00B004EE" w:rsidRDefault="008518B0" w:rsidP="00B004EE">
      <w:pPr>
        <w:jc w:val="both"/>
        <w:rPr>
          <w:rFonts w:ascii="Tahoma" w:hAnsi="Tahoma" w:cs="Tahoma"/>
          <w:sz w:val="20"/>
          <w:szCs w:val="20"/>
        </w:rPr>
      </w:pPr>
      <w:r w:rsidRPr="00B004EE">
        <w:rPr>
          <w:rFonts w:ascii="Tahoma" w:hAnsi="Tahoma" w:cs="Tahoma"/>
          <w:sz w:val="20"/>
          <w:szCs w:val="20"/>
        </w:rPr>
        <w:t>Article</w:t>
      </w:r>
      <w:r w:rsidR="00DB1635" w:rsidRPr="00B004EE">
        <w:rPr>
          <w:rFonts w:ascii="Tahoma" w:hAnsi="Tahoma" w:cs="Tahoma"/>
          <w:sz w:val="20"/>
          <w:szCs w:val="20"/>
        </w:rPr>
        <w:t xml:space="preserve"> </w:t>
      </w:r>
      <w:r w:rsidRPr="00B004EE">
        <w:rPr>
          <w:rFonts w:ascii="Tahoma" w:hAnsi="Tahoma" w:cs="Tahoma"/>
          <w:sz w:val="20"/>
          <w:szCs w:val="20"/>
        </w:rPr>
        <w:t>48</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contrôle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débarquements</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obligatoire</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tous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navires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sz w:val="20"/>
          <w:szCs w:val="20"/>
        </w:rPr>
        <w:t xml:space="preserve"> </w:t>
      </w:r>
      <w:r w:rsidRPr="00B004EE">
        <w:rPr>
          <w:rFonts w:ascii="Tahoma" w:hAnsi="Tahoma" w:cs="Tahoma"/>
          <w:sz w:val="20"/>
          <w:szCs w:val="20"/>
        </w:rPr>
        <w:t>opérant</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eaux</w:t>
      </w:r>
      <w:r w:rsidR="00DB1635" w:rsidRPr="00B004EE">
        <w:rPr>
          <w:rFonts w:ascii="Tahoma" w:hAnsi="Tahoma" w:cs="Tahoma"/>
          <w:sz w:val="20"/>
          <w:szCs w:val="20"/>
        </w:rPr>
        <w:t xml:space="preserve"> </w:t>
      </w:r>
      <w:r w:rsidRPr="00B004EE">
        <w:rPr>
          <w:rFonts w:ascii="Tahoma" w:hAnsi="Tahoma" w:cs="Tahoma"/>
          <w:sz w:val="20"/>
          <w:szCs w:val="20"/>
        </w:rPr>
        <w:t>maritimes</w:t>
      </w:r>
      <w:r w:rsidR="00DB1635" w:rsidRPr="00B004EE">
        <w:rPr>
          <w:rFonts w:ascii="Tahoma" w:hAnsi="Tahoma" w:cs="Tahoma"/>
          <w:sz w:val="20"/>
          <w:szCs w:val="20"/>
        </w:rPr>
        <w:t xml:space="preserve"> </w:t>
      </w:r>
      <w:r w:rsidRPr="00B004EE">
        <w:rPr>
          <w:rFonts w:ascii="Tahoma" w:hAnsi="Tahoma" w:cs="Tahoma"/>
          <w:sz w:val="20"/>
          <w:szCs w:val="20"/>
        </w:rPr>
        <w:t>mauritaniennes.</w:t>
      </w:r>
      <w:r w:rsidR="00DB1635" w:rsidRPr="00B004EE">
        <w:rPr>
          <w:rFonts w:ascii="Tahoma" w:hAnsi="Tahoma" w:cs="Tahoma"/>
          <w:sz w:val="20"/>
          <w:szCs w:val="20"/>
        </w:rPr>
        <w:t xml:space="preserve"> </w:t>
      </w:r>
    </w:p>
    <w:p w14:paraId="65328DE2" w14:textId="77777777" w:rsidR="008518B0" w:rsidRPr="00B004EE" w:rsidRDefault="008518B0" w:rsidP="00B004EE">
      <w:pPr>
        <w:jc w:val="both"/>
        <w:rPr>
          <w:rFonts w:ascii="Tahoma" w:hAnsi="Tahoma" w:cs="Tahoma"/>
          <w:sz w:val="20"/>
          <w:szCs w:val="20"/>
        </w:rPr>
      </w:pPr>
    </w:p>
    <w:p w14:paraId="5F79FEE0" w14:textId="4BE280DA" w:rsidR="008518B0" w:rsidRPr="00B004EE" w:rsidRDefault="008518B0" w:rsidP="00B004EE">
      <w:pPr>
        <w:jc w:val="both"/>
        <w:rPr>
          <w:rFonts w:ascii="Tahoma" w:hAnsi="Tahoma" w:cs="Tahoma"/>
          <w:sz w:val="20"/>
          <w:szCs w:val="20"/>
        </w:rPr>
      </w:pP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navires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côtière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hauturière</w:t>
      </w:r>
      <w:r w:rsidR="00DB1635" w:rsidRPr="00B004EE">
        <w:rPr>
          <w:rFonts w:ascii="Tahoma" w:hAnsi="Tahoma" w:cs="Tahoma"/>
          <w:sz w:val="20"/>
          <w:szCs w:val="20"/>
        </w:rPr>
        <w:t xml:space="preserve"> </w:t>
      </w:r>
      <w:r w:rsidRPr="00B004EE">
        <w:rPr>
          <w:rFonts w:ascii="Tahoma" w:hAnsi="Tahoma" w:cs="Tahoma"/>
          <w:sz w:val="20"/>
          <w:szCs w:val="20"/>
        </w:rPr>
        <w:t>astreints</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débarquement</w:t>
      </w:r>
      <w:r w:rsidR="00DB1635" w:rsidRPr="00B004EE">
        <w:rPr>
          <w:rFonts w:ascii="Tahoma" w:hAnsi="Tahoma" w:cs="Tahoma"/>
          <w:sz w:val="20"/>
          <w:szCs w:val="20"/>
        </w:rPr>
        <w:t xml:space="preserve"> </w:t>
      </w:r>
      <w:r w:rsidRPr="00B004EE">
        <w:rPr>
          <w:rFonts w:ascii="Tahoma" w:hAnsi="Tahoma" w:cs="Tahoma"/>
          <w:sz w:val="20"/>
          <w:szCs w:val="20"/>
        </w:rPr>
        <w:t>choisiront</w:t>
      </w:r>
      <w:r w:rsidR="00DB1635" w:rsidRPr="00B004EE">
        <w:rPr>
          <w:rFonts w:ascii="Tahoma" w:hAnsi="Tahoma" w:cs="Tahoma"/>
          <w:sz w:val="20"/>
          <w:szCs w:val="20"/>
        </w:rPr>
        <w:t xml:space="preserve"> </w:t>
      </w: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seul</w:t>
      </w:r>
      <w:r w:rsidR="00DB1635" w:rsidRPr="00B004EE">
        <w:rPr>
          <w:rFonts w:ascii="Tahoma" w:hAnsi="Tahoma" w:cs="Tahoma"/>
          <w:sz w:val="20"/>
          <w:szCs w:val="20"/>
        </w:rPr>
        <w:t xml:space="preserve"> </w:t>
      </w:r>
      <w:r w:rsidRPr="00B004EE">
        <w:rPr>
          <w:rFonts w:ascii="Tahoma" w:hAnsi="Tahoma" w:cs="Tahoma"/>
          <w:sz w:val="20"/>
          <w:szCs w:val="20"/>
        </w:rPr>
        <w:t>port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liste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ports</w:t>
      </w:r>
      <w:r w:rsidR="00DB1635" w:rsidRPr="00B004EE">
        <w:rPr>
          <w:rFonts w:ascii="Tahoma" w:hAnsi="Tahoma" w:cs="Tahoma"/>
          <w:sz w:val="20"/>
          <w:szCs w:val="20"/>
        </w:rPr>
        <w:t xml:space="preserve"> </w:t>
      </w:r>
      <w:r w:rsidRPr="00B004EE">
        <w:rPr>
          <w:rFonts w:ascii="Tahoma" w:hAnsi="Tahoma" w:cs="Tahoma"/>
          <w:sz w:val="20"/>
          <w:szCs w:val="20"/>
        </w:rPr>
        <w:t>où</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débarquements</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autorisés.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navires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artisanale,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défaut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port</w:t>
      </w:r>
      <w:r w:rsidR="00DB1635" w:rsidRPr="00B004EE">
        <w:rPr>
          <w:rFonts w:ascii="Tahoma" w:hAnsi="Tahoma" w:cs="Tahoma"/>
          <w:sz w:val="20"/>
          <w:szCs w:val="20"/>
        </w:rPr>
        <w:t xml:space="preserve"> </w:t>
      </w:r>
      <w:r w:rsidRPr="00B004EE">
        <w:rPr>
          <w:rFonts w:ascii="Tahoma" w:hAnsi="Tahoma" w:cs="Tahoma"/>
          <w:sz w:val="20"/>
          <w:szCs w:val="20"/>
        </w:rPr>
        <w:t>d’attache</w:t>
      </w:r>
      <w:r w:rsidR="00DB1635" w:rsidRPr="00B004EE">
        <w:rPr>
          <w:rFonts w:ascii="Tahoma" w:hAnsi="Tahoma" w:cs="Tahoma"/>
          <w:sz w:val="20"/>
          <w:szCs w:val="20"/>
        </w:rPr>
        <w:t xml:space="preserve"> </w:t>
      </w:r>
      <w:r w:rsidRPr="00B004EE">
        <w:rPr>
          <w:rFonts w:ascii="Tahoma" w:hAnsi="Tahoma" w:cs="Tahoma"/>
          <w:sz w:val="20"/>
          <w:szCs w:val="20"/>
        </w:rPr>
        <w:t>fixe,</w:t>
      </w:r>
      <w:r w:rsidR="00DB1635" w:rsidRPr="00B004EE">
        <w:rPr>
          <w:rFonts w:ascii="Tahoma" w:hAnsi="Tahoma" w:cs="Tahoma"/>
          <w:sz w:val="20"/>
          <w:szCs w:val="20"/>
        </w:rPr>
        <w:t xml:space="preserve"> </w:t>
      </w:r>
      <w:r w:rsidRPr="00B004EE">
        <w:rPr>
          <w:rFonts w:ascii="Tahoma" w:hAnsi="Tahoma" w:cs="Tahoma"/>
          <w:sz w:val="20"/>
          <w:szCs w:val="20"/>
        </w:rPr>
        <w:t>ne</w:t>
      </w:r>
      <w:r w:rsidR="00DB1635" w:rsidRPr="00B004EE">
        <w:rPr>
          <w:rFonts w:ascii="Tahoma" w:hAnsi="Tahoma" w:cs="Tahoma"/>
          <w:sz w:val="20"/>
          <w:szCs w:val="20"/>
        </w:rPr>
        <w:t xml:space="preserve"> </w:t>
      </w:r>
      <w:r w:rsidRPr="00B004EE">
        <w:rPr>
          <w:rFonts w:ascii="Tahoma" w:hAnsi="Tahoma" w:cs="Tahoma"/>
          <w:sz w:val="20"/>
          <w:szCs w:val="20"/>
        </w:rPr>
        <w:t>peuvent</w:t>
      </w:r>
      <w:r w:rsidR="00DB1635" w:rsidRPr="00B004EE">
        <w:rPr>
          <w:rFonts w:ascii="Tahoma" w:hAnsi="Tahoma" w:cs="Tahoma"/>
          <w:sz w:val="20"/>
          <w:szCs w:val="20"/>
        </w:rPr>
        <w:t xml:space="preserve"> </w:t>
      </w:r>
      <w:r w:rsidRPr="00B004EE">
        <w:rPr>
          <w:rFonts w:ascii="Tahoma" w:hAnsi="Tahoma" w:cs="Tahoma"/>
          <w:sz w:val="20"/>
          <w:szCs w:val="20"/>
        </w:rPr>
        <w:t>débarquer</w:t>
      </w:r>
      <w:r w:rsidR="00DB1635" w:rsidRPr="00B004EE">
        <w:rPr>
          <w:rFonts w:ascii="Tahoma" w:hAnsi="Tahoma" w:cs="Tahoma"/>
          <w:sz w:val="20"/>
          <w:szCs w:val="20"/>
        </w:rPr>
        <w:t xml:space="preserve"> </w:t>
      </w:r>
      <w:r w:rsidRPr="00B004EE">
        <w:rPr>
          <w:rFonts w:ascii="Tahoma" w:hAnsi="Tahoma" w:cs="Tahoma"/>
          <w:sz w:val="20"/>
          <w:szCs w:val="20"/>
        </w:rPr>
        <w:t>leur</w:t>
      </w:r>
      <w:r w:rsidR="00DB1635" w:rsidRPr="00B004EE">
        <w:rPr>
          <w:rFonts w:ascii="Tahoma" w:hAnsi="Tahoma" w:cs="Tahoma"/>
          <w:sz w:val="20"/>
          <w:szCs w:val="20"/>
        </w:rPr>
        <w:t xml:space="preserve"> </w:t>
      </w:r>
      <w:r w:rsidRPr="00B004EE">
        <w:rPr>
          <w:rFonts w:ascii="Tahoma" w:hAnsi="Tahoma" w:cs="Tahoma"/>
          <w:sz w:val="20"/>
          <w:szCs w:val="20"/>
        </w:rPr>
        <w:t>production</w:t>
      </w:r>
      <w:r w:rsidR="00DB1635" w:rsidRPr="00B004EE">
        <w:rPr>
          <w:rFonts w:ascii="Tahoma" w:hAnsi="Tahoma" w:cs="Tahoma"/>
          <w:sz w:val="20"/>
          <w:szCs w:val="20"/>
        </w:rPr>
        <w:t xml:space="preserve"> </w:t>
      </w:r>
      <w:r w:rsidRPr="00B004EE">
        <w:rPr>
          <w:rFonts w:ascii="Tahoma" w:hAnsi="Tahoma" w:cs="Tahoma"/>
          <w:sz w:val="20"/>
          <w:szCs w:val="20"/>
        </w:rPr>
        <w:t>qu’au</w:t>
      </w:r>
      <w:r w:rsidR="00DB1635" w:rsidRPr="00B004EE">
        <w:rPr>
          <w:rFonts w:ascii="Tahoma" w:hAnsi="Tahoma" w:cs="Tahoma"/>
          <w:sz w:val="20"/>
          <w:szCs w:val="20"/>
        </w:rPr>
        <w:t xml:space="preserve"> </w:t>
      </w:r>
      <w:r w:rsidRPr="00B004EE">
        <w:rPr>
          <w:rFonts w:ascii="Tahoma" w:hAnsi="Tahoma" w:cs="Tahoma"/>
          <w:sz w:val="20"/>
          <w:szCs w:val="20"/>
        </w:rPr>
        <w:t>niveau</w:t>
      </w:r>
      <w:r w:rsidR="00DB1635" w:rsidRPr="00B004EE">
        <w:rPr>
          <w:rFonts w:ascii="Tahoma" w:hAnsi="Tahoma" w:cs="Tahoma"/>
          <w:sz w:val="20"/>
          <w:szCs w:val="20"/>
        </w:rPr>
        <w:t xml:space="preserve"> </w:t>
      </w:r>
      <w:r w:rsidRPr="00B004EE">
        <w:rPr>
          <w:rFonts w:ascii="Tahoma" w:hAnsi="Tahoma" w:cs="Tahoma"/>
          <w:sz w:val="20"/>
          <w:szCs w:val="20"/>
        </w:rPr>
        <w:t>d’une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unique</w:t>
      </w:r>
      <w:r w:rsidR="00DB1635" w:rsidRPr="00B004EE">
        <w:rPr>
          <w:rFonts w:ascii="Tahoma" w:hAnsi="Tahoma" w:cs="Tahoma"/>
          <w:sz w:val="20"/>
          <w:szCs w:val="20"/>
        </w:rPr>
        <w:t xml:space="preserve"> </w:t>
      </w:r>
      <w:r w:rsidRPr="00B004EE">
        <w:rPr>
          <w:rFonts w:ascii="Tahoma" w:hAnsi="Tahoma" w:cs="Tahoma"/>
          <w:sz w:val="20"/>
          <w:szCs w:val="20"/>
        </w:rPr>
        <w:t>zone</w:t>
      </w:r>
      <w:r w:rsidR="00DB1635" w:rsidRPr="00B004EE">
        <w:rPr>
          <w:rFonts w:ascii="Tahoma" w:hAnsi="Tahoma" w:cs="Tahoma"/>
          <w:sz w:val="20"/>
          <w:szCs w:val="20"/>
        </w:rPr>
        <w:t xml:space="preserve"> </w:t>
      </w:r>
      <w:r w:rsidRPr="00B004EE">
        <w:rPr>
          <w:rFonts w:ascii="Tahoma" w:hAnsi="Tahoma" w:cs="Tahoma"/>
          <w:sz w:val="20"/>
          <w:szCs w:val="20"/>
        </w:rPr>
        <w:t>choisie</w:t>
      </w:r>
      <w:r w:rsidR="00DB1635" w:rsidRPr="00B004EE">
        <w:rPr>
          <w:rFonts w:ascii="Tahoma" w:hAnsi="Tahoma" w:cs="Tahoma"/>
          <w:sz w:val="20"/>
          <w:szCs w:val="20"/>
        </w:rPr>
        <w:t xml:space="preserve"> </w:t>
      </w:r>
      <w:r w:rsidRPr="00B004EE">
        <w:rPr>
          <w:rFonts w:ascii="Tahoma" w:hAnsi="Tahoma" w:cs="Tahoma"/>
          <w:sz w:val="20"/>
          <w:szCs w:val="20"/>
        </w:rPr>
        <w:t>parmi</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3</w:t>
      </w:r>
      <w:r w:rsidR="00DB1635" w:rsidRPr="00B004EE">
        <w:rPr>
          <w:rFonts w:ascii="Tahoma" w:hAnsi="Tahoma" w:cs="Tahoma"/>
          <w:sz w:val="20"/>
          <w:szCs w:val="20"/>
        </w:rPr>
        <w:t xml:space="preserve"> </w:t>
      </w:r>
      <w:r w:rsidRPr="00B004EE">
        <w:rPr>
          <w:rFonts w:ascii="Tahoma" w:hAnsi="Tahoma" w:cs="Tahoma"/>
          <w:sz w:val="20"/>
          <w:szCs w:val="20"/>
        </w:rPr>
        <w:t>zones</w:t>
      </w:r>
      <w:r w:rsidR="00DB1635" w:rsidRPr="00B004EE">
        <w:rPr>
          <w:rFonts w:ascii="Tahoma" w:hAnsi="Tahoma" w:cs="Tahoma"/>
          <w:sz w:val="20"/>
          <w:szCs w:val="20"/>
        </w:rPr>
        <w:t xml:space="preserve"> </w:t>
      </w:r>
      <w:r w:rsidRPr="00B004EE">
        <w:rPr>
          <w:rFonts w:ascii="Tahoma" w:hAnsi="Tahoma" w:cs="Tahoma"/>
          <w:sz w:val="20"/>
          <w:szCs w:val="20"/>
        </w:rPr>
        <w:t>suivantes</w:t>
      </w:r>
      <w:r w:rsidR="00DB1635" w:rsidRPr="00B004EE">
        <w:rPr>
          <w:rFonts w:ascii="Tahoma" w:hAnsi="Tahoma" w:cs="Tahoma"/>
          <w:sz w:val="20"/>
          <w:szCs w:val="20"/>
        </w:rPr>
        <w:t xml:space="preserve"> </w:t>
      </w:r>
      <w:r w:rsidRPr="00B004EE">
        <w:rPr>
          <w:rFonts w:ascii="Tahoma" w:hAnsi="Tahoma" w:cs="Tahoma"/>
          <w:sz w:val="20"/>
          <w:szCs w:val="20"/>
        </w:rPr>
        <w:t>:</w:t>
      </w:r>
    </w:p>
    <w:p w14:paraId="6633C72A" w14:textId="77777777" w:rsidR="008518B0" w:rsidRPr="00B004EE" w:rsidRDefault="008518B0" w:rsidP="00B004EE">
      <w:pPr>
        <w:jc w:val="both"/>
        <w:rPr>
          <w:rFonts w:ascii="Tahoma" w:hAnsi="Tahoma" w:cs="Tahoma"/>
          <w:sz w:val="20"/>
          <w:szCs w:val="20"/>
        </w:rPr>
      </w:pPr>
    </w:p>
    <w:p w14:paraId="6B6C96C2" w14:textId="1D0AD084" w:rsidR="008518B0" w:rsidRPr="00B004EE" w:rsidRDefault="008518B0" w:rsidP="00420DDA">
      <w:pPr>
        <w:numPr>
          <w:ilvl w:val="0"/>
          <w:numId w:val="65"/>
        </w:numPr>
        <w:jc w:val="both"/>
        <w:rPr>
          <w:rFonts w:ascii="Tahoma" w:hAnsi="Tahoma" w:cs="Tahoma"/>
          <w:sz w:val="20"/>
          <w:szCs w:val="20"/>
        </w:rPr>
      </w:pPr>
      <w:proofErr w:type="gramStart"/>
      <w:r w:rsidRPr="00B004EE">
        <w:rPr>
          <w:rFonts w:ascii="Tahoma" w:hAnsi="Tahoma" w:cs="Tahoma"/>
          <w:sz w:val="20"/>
          <w:szCs w:val="20"/>
        </w:rPr>
        <w:t>la</w:t>
      </w:r>
      <w:proofErr w:type="gramEnd"/>
      <w:r w:rsidR="00DB1635" w:rsidRPr="00B004EE">
        <w:rPr>
          <w:rFonts w:ascii="Tahoma" w:hAnsi="Tahoma" w:cs="Tahoma"/>
          <w:sz w:val="20"/>
          <w:szCs w:val="20"/>
        </w:rPr>
        <w:t xml:space="preserve"> </w:t>
      </w:r>
      <w:r w:rsidRPr="00B004EE">
        <w:rPr>
          <w:rFonts w:ascii="Tahoma" w:hAnsi="Tahoma" w:cs="Tahoma"/>
          <w:sz w:val="20"/>
          <w:szCs w:val="20"/>
        </w:rPr>
        <w:t>zone</w:t>
      </w:r>
      <w:r w:rsidR="00DB1635" w:rsidRPr="00B004EE">
        <w:rPr>
          <w:rFonts w:ascii="Tahoma" w:hAnsi="Tahoma" w:cs="Tahoma"/>
          <w:sz w:val="20"/>
          <w:szCs w:val="20"/>
        </w:rPr>
        <w:t xml:space="preserve"> </w:t>
      </w:r>
      <w:r w:rsidRPr="00B004EE">
        <w:rPr>
          <w:rFonts w:ascii="Tahoma" w:hAnsi="Tahoma" w:cs="Tahoma"/>
          <w:sz w:val="20"/>
          <w:szCs w:val="20"/>
        </w:rPr>
        <w:t>Nord</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nord</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19°19.12N</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Mamghar</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Nouadhibou,</w:t>
      </w:r>
      <w:r w:rsidR="00DB1635" w:rsidRPr="00B004EE">
        <w:rPr>
          <w:rFonts w:ascii="Tahoma" w:hAnsi="Tahoma" w:cs="Tahoma"/>
          <w:sz w:val="20"/>
          <w:szCs w:val="20"/>
        </w:rPr>
        <w:t xml:space="preserve"> </w:t>
      </w:r>
    </w:p>
    <w:p w14:paraId="3FE07E06" w14:textId="7D530A22" w:rsidR="008518B0" w:rsidRPr="00B004EE" w:rsidRDefault="008518B0" w:rsidP="00420DDA">
      <w:pPr>
        <w:numPr>
          <w:ilvl w:val="0"/>
          <w:numId w:val="65"/>
        </w:numPr>
        <w:jc w:val="both"/>
        <w:rPr>
          <w:rFonts w:ascii="Tahoma" w:hAnsi="Tahoma" w:cs="Tahoma"/>
          <w:sz w:val="20"/>
          <w:szCs w:val="20"/>
        </w:rPr>
      </w:pPr>
      <w:proofErr w:type="gramStart"/>
      <w:r w:rsidRPr="00B004EE">
        <w:rPr>
          <w:rFonts w:ascii="Tahoma" w:hAnsi="Tahoma" w:cs="Tahoma"/>
          <w:sz w:val="20"/>
          <w:szCs w:val="20"/>
        </w:rPr>
        <w:t>la</w:t>
      </w:r>
      <w:proofErr w:type="gramEnd"/>
      <w:r w:rsidR="00DB1635" w:rsidRPr="00B004EE">
        <w:rPr>
          <w:rFonts w:ascii="Tahoma" w:hAnsi="Tahoma" w:cs="Tahoma"/>
          <w:sz w:val="20"/>
          <w:szCs w:val="20"/>
        </w:rPr>
        <w:t xml:space="preserve"> </w:t>
      </w:r>
      <w:r w:rsidRPr="00B004EE">
        <w:rPr>
          <w:rFonts w:ascii="Tahoma" w:hAnsi="Tahoma" w:cs="Tahoma"/>
          <w:sz w:val="20"/>
          <w:szCs w:val="20"/>
        </w:rPr>
        <w:t>zone</w:t>
      </w:r>
      <w:r w:rsidR="00DB1635" w:rsidRPr="00B004EE">
        <w:rPr>
          <w:rFonts w:ascii="Tahoma" w:hAnsi="Tahoma" w:cs="Tahoma"/>
          <w:sz w:val="20"/>
          <w:szCs w:val="20"/>
        </w:rPr>
        <w:t xml:space="preserve"> </w:t>
      </w:r>
      <w:r w:rsidRPr="00B004EE">
        <w:rPr>
          <w:rFonts w:ascii="Tahoma" w:hAnsi="Tahoma" w:cs="Tahoma"/>
          <w:sz w:val="20"/>
          <w:szCs w:val="20"/>
        </w:rPr>
        <w:t>Centre</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19°19.12N</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17°50.00N</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couvrira</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sites</w:t>
      </w:r>
      <w:r w:rsidR="00DB1635" w:rsidRPr="00B004EE">
        <w:rPr>
          <w:rFonts w:ascii="Tahoma" w:hAnsi="Tahoma" w:cs="Tahoma"/>
          <w:sz w:val="20"/>
          <w:szCs w:val="20"/>
        </w:rPr>
        <w:t xml:space="preserve"> </w:t>
      </w:r>
      <w:r w:rsidRPr="00B004EE">
        <w:rPr>
          <w:rFonts w:ascii="Tahoma" w:hAnsi="Tahoma" w:cs="Tahoma"/>
          <w:sz w:val="20"/>
          <w:szCs w:val="20"/>
        </w:rPr>
        <w:t>allant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Jreif</w:t>
      </w:r>
      <w:r w:rsidR="00DB1635" w:rsidRPr="00B004EE">
        <w:rPr>
          <w:rFonts w:ascii="Tahoma" w:hAnsi="Tahoma" w:cs="Tahoma"/>
          <w:sz w:val="20"/>
          <w:szCs w:val="20"/>
        </w:rPr>
        <w:t xml:space="preserve"> </w:t>
      </w:r>
      <w:r w:rsidRPr="00B004EE">
        <w:rPr>
          <w:rFonts w:ascii="Tahoma" w:hAnsi="Tahoma" w:cs="Tahoma"/>
          <w:sz w:val="20"/>
          <w:szCs w:val="20"/>
        </w:rPr>
        <w:t>(19°15’58N-16°28’26W)</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PK28</w:t>
      </w:r>
      <w:r w:rsidR="00DB1635" w:rsidRPr="00B004EE">
        <w:rPr>
          <w:rFonts w:ascii="Tahoma" w:hAnsi="Tahoma" w:cs="Tahoma"/>
          <w:sz w:val="20"/>
          <w:szCs w:val="20"/>
        </w:rPr>
        <w:t xml:space="preserve"> </w:t>
      </w:r>
      <w:r w:rsidRPr="00B004EE">
        <w:rPr>
          <w:rFonts w:ascii="Tahoma" w:hAnsi="Tahoma" w:cs="Tahoma"/>
          <w:sz w:val="20"/>
          <w:szCs w:val="20"/>
        </w:rPr>
        <w:t>(non</w:t>
      </w:r>
      <w:r w:rsidR="00DB1635" w:rsidRPr="00B004EE">
        <w:rPr>
          <w:rFonts w:ascii="Tahoma" w:hAnsi="Tahoma" w:cs="Tahoma"/>
          <w:sz w:val="20"/>
          <w:szCs w:val="20"/>
        </w:rPr>
        <w:t xml:space="preserve"> </w:t>
      </w:r>
      <w:r w:rsidRPr="00B004EE">
        <w:rPr>
          <w:rFonts w:ascii="Tahoma" w:hAnsi="Tahoma" w:cs="Tahoma"/>
          <w:sz w:val="20"/>
          <w:szCs w:val="20"/>
        </w:rPr>
        <w:t>compris)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comprend</w:t>
      </w:r>
      <w:r w:rsidR="00DB1635" w:rsidRPr="00B004EE">
        <w:rPr>
          <w:rFonts w:ascii="Tahoma" w:hAnsi="Tahoma" w:cs="Tahoma"/>
          <w:sz w:val="20"/>
          <w:szCs w:val="20"/>
        </w:rPr>
        <w:t xml:space="preserve"> </w:t>
      </w:r>
      <w:r w:rsidRPr="00B004EE">
        <w:rPr>
          <w:rFonts w:ascii="Tahoma" w:hAnsi="Tahoma" w:cs="Tahoma"/>
          <w:sz w:val="20"/>
          <w:szCs w:val="20"/>
        </w:rPr>
        <w:t>alors</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port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Tanit</w:t>
      </w:r>
      <w:r w:rsidR="00DB1635" w:rsidRPr="00B004EE">
        <w:rPr>
          <w:rFonts w:ascii="Tahoma" w:hAnsi="Tahoma" w:cs="Tahoma"/>
          <w:sz w:val="20"/>
          <w:szCs w:val="20"/>
        </w:rPr>
        <w:t xml:space="preserve"> </w:t>
      </w:r>
      <w:r w:rsidRPr="00B004EE">
        <w:rPr>
          <w:rFonts w:ascii="Tahoma" w:hAnsi="Tahoma" w:cs="Tahoma"/>
          <w:sz w:val="20"/>
          <w:szCs w:val="20"/>
        </w:rPr>
        <w:t>(18°32’00N-16°06’00W)</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p>
    <w:p w14:paraId="224F753D" w14:textId="3FFB0B1D" w:rsidR="008518B0" w:rsidRPr="00B004EE" w:rsidRDefault="008518B0" w:rsidP="00420DDA">
      <w:pPr>
        <w:numPr>
          <w:ilvl w:val="0"/>
          <w:numId w:val="65"/>
        </w:numPr>
        <w:jc w:val="both"/>
        <w:rPr>
          <w:rFonts w:ascii="Tahoma" w:hAnsi="Tahoma" w:cs="Tahoma"/>
          <w:sz w:val="20"/>
          <w:szCs w:val="20"/>
        </w:rPr>
      </w:pPr>
      <w:proofErr w:type="gramStart"/>
      <w:r w:rsidRPr="00B004EE">
        <w:rPr>
          <w:rFonts w:ascii="Tahoma" w:hAnsi="Tahoma" w:cs="Tahoma"/>
          <w:sz w:val="20"/>
          <w:szCs w:val="20"/>
        </w:rPr>
        <w:t>la</w:t>
      </w:r>
      <w:proofErr w:type="gramEnd"/>
      <w:r w:rsidR="00DB1635" w:rsidRPr="00B004EE">
        <w:rPr>
          <w:rFonts w:ascii="Tahoma" w:hAnsi="Tahoma" w:cs="Tahoma"/>
          <w:sz w:val="20"/>
          <w:szCs w:val="20"/>
        </w:rPr>
        <w:t xml:space="preserve"> </w:t>
      </w:r>
      <w:r w:rsidRPr="00B004EE">
        <w:rPr>
          <w:rFonts w:ascii="Tahoma" w:hAnsi="Tahoma" w:cs="Tahoma"/>
          <w:sz w:val="20"/>
          <w:szCs w:val="20"/>
        </w:rPr>
        <w:t>zone</w:t>
      </w:r>
      <w:r w:rsidR="00DB1635" w:rsidRPr="00B004EE">
        <w:rPr>
          <w:rFonts w:ascii="Tahoma" w:hAnsi="Tahoma" w:cs="Tahoma"/>
          <w:sz w:val="20"/>
          <w:szCs w:val="20"/>
        </w:rPr>
        <w:t xml:space="preserve"> </w:t>
      </w:r>
      <w:r w:rsidRPr="00B004EE">
        <w:rPr>
          <w:rFonts w:ascii="Tahoma" w:hAnsi="Tahoma" w:cs="Tahoma"/>
          <w:sz w:val="20"/>
          <w:szCs w:val="20"/>
        </w:rPr>
        <w:t>Sud</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sud</w:t>
      </w:r>
      <w:r w:rsidR="00DB1635" w:rsidRPr="00B004EE">
        <w:rPr>
          <w:rFonts w:ascii="Tahoma" w:hAnsi="Tahoma" w:cs="Tahoma"/>
          <w:sz w:val="20"/>
          <w:szCs w:val="20"/>
        </w:rPr>
        <w:t xml:space="preserve"> </w:t>
      </w:r>
      <w:r w:rsidRPr="00B004EE">
        <w:rPr>
          <w:rFonts w:ascii="Tahoma" w:hAnsi="Tahoma" w:cs="Tahoma"/>
          <w:sz w:val="20"/>
          <w:szCs w:val="20"/>
        </w:rPr>
        <w:t>17°50.00N)</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sites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PK</w:t>
      </w:r>
      <w:r w:rsidR="00DB1635" w:rsidRPr="00B004EE">
        <w:rPr>
          <w:rFonts w:ascii="Tahoma" w:hAnsi="Tahoma" w:cs="Tahoma"/>
          <w:sz w:val="20"/>
          <w:szCs w:val="20"/>
        </w:rPr>
        <w:t xml:space="preserve"> </w:t>
      </w:r>
      <w:r w:rsidRPr="00B004EE">
        <w:rPr>
          <w:rFonts w:ascii="Tahoma" w:hAnsi="Tahoma" w:cs="Tahoma"/>
          <w:sz w:val="20"/>
          <w:szCs w:val="20"/>
        </w:rPr>
        <w:t>28</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N’diago.</w:t>
      </w:r>
    </w:p>
    <w:p w14:paraId="5D515C75" w14:textId="77777777" w:rsidR="008518B0" w:rsidRPr="00B004EE" w:rsidRDefault="008518B0" w:rsidP="00B004EE">
      <w:pPr>
        <w:jc w:val="both"/>
        <w:rPr>
          <w:rFonts w:ascii="Tahoma" w:hAnsi="Tahoma" w:cs="Tahoma"/>
          <w:sz w:val="20"/>
          <w:szCs w:val="20"/>
        </w:rPr>
      </w:pPr>
    </w:p>
    <w:p w14:paraId="1554D04B" w14:textId="730B5F88" w:rsidR="008518B0" w:rsidRPr="00B004EE" w:rsidRDefault="008518B0" w:rsidP="00B004EE">
      <w:pPr>
        <w:jc w:val="both"/>
        <w:rPr>
          <w:rFonts w:ascii="Tahoma" w:hAnsi="Tahoma" w:cs="Tahoma"/>
          <w:sz w:val="20"/>
          <w:szCs w:val="20"/>
        </w:rPr>
      </w:pP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choix</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zone</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notifié</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l’avance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l’administration</w:t>
      </w:r>
      <w:r w:rsidR="00DB1635" w:rsidRPr="00B004EE">
        <w:rPr>
          <w:rFonts w:ascii="Tahoma" w:hAnsi="Tahoma" w:cs="Tahoma"/>
          <w:sz w:val="20"/>
          <w:szCs w:val="20"/>
        </w:rPr>
        <w:t xml:space="preserve"> </w:t>
      </w:r>
      <w:r w:rsidRPr="00B004EE">
        <w:rPr>
          <w:rFonts w:ascii="Tahoma" w:hAnsi="Tahoma" w:cs="Tahoma"/>
          <w:sz w:val="20"/>
          <w:szCs w:val="20"/>
        </w:rPr>
        <w:t>compétente.</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changer</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zone,</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autorisation</w:t>
      </w:r>
      <w:r w:rsidR="00DB1635" w:rsidRPr="00B004EE">
        <w:rPr>
          <w:rFonts w:ascii="Tahoma" w:hAnsi="Tahoma" w:cs="Tahoma"/>
          <w:sz w:val="20"/>
          <w:szCs w:val="20"/>
        </w:rPr>
        <w:t xml:space="preserve"> </w:t>
      </w:r>
      <w:r w:rsidRPr="00B004EE">
        <w:rPr>
          <w:rFonts w:ascii="Tahoma" w:hAnsi="Tahoma" w:cs="Tahoma"/>
          <w:sz w:val="20"/>
          <w:szCs w:val="20"/>
        </w:rPr>
        <w:t>préalable,</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requise.</w:t>
      </w:r>
      <w:bookmarkEnd w:id="165"/>
      <w:bookmarkEnd w:id="166"/>
      <w:bookmarkEnd w:id="167"/>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modification</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port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débarquement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captures</w:t>
      </w:r>
      <w:r w:rsidR="00DB1635" w:rsidRPr="00B004EE">
        <w:rPr>
          <w:rFonts w:ascii="Tahoma" w:hAnsi="Tahoma" w:cs="Tahoma"/>
          <w:sz w:val="20"/>
          <w:szCs w:val="20"/>
        </w:rPr>
        <w:t xml:space="preserve"> </w:t>
      </w:r>
      <w:r w:rsidRPr="00B004EE">
        <w:rPr>
          <w:rFonts w:ascii="Tahoma" w:hAnsi="Tahoma" w:cs="Tahoma"/>
          <w:sz w:val="20"/>
          <w:szCs w:val="20"/>
        </w:rPr>
        <w:t>ne</w:t>
      </w:r>
      <w:r w:rsidR="00DB1635" w:rsidRPr="00B004EE">
        <w:rPr>
          <w:rFonts w:ascii="Tahoma" w:hAnsi="Tahoma" w:cs="Tahoma"/>
          <w:sz w:val="20"/>
          <w:szCs w:val="20"/>
        </w:rPr>
        <w:t xml:space="preserve"> </w:t>
      </w:r>
      <w:r w:rsidRPr="00B004EE">
        <w:rPr>
          <w:rFonts w:ascii="Tahoma" w:hAnsi="Tahoma" w:cs="Tahoma"/>
          <w:sz w:val="20"/>
          <w:szCs w:val="20"/>
        </w:rPr>
        <w:t>peut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autorisée</w:t>
      </w:r>
      <w:r w:rsidR="00DB1635" w:rsidRPr="00B004EE">
        <w:rPr>
          <w:rFonts w:ascii="Tahoma" w:hAnsi="Tahoma" w:cs="Tahoma"/>
          <w:sz w:val="20"/>
          <w:szCs w:val="20"/>
        </w:rPr>
        <w:t xml:space="preserve"> </w:t>
      </w:r>
      <w:r w:rsidRPr="00B004EE">
        <w:rPr>
          <w:rFonts w:ascii="Tahoma" w:hAnsi="Tahoma" w:cs="Tahoma"/>
          <w:sz w:val="20"/>
          <w:szCs w:val="20"/>
        </w:rPr>
        <w:t>qu’au</w:t>
      </w:r>
      <w:r w:rsidR="00DB1635" w:rsidRPr="00B004EE">
        <w:rPr>
          <w:rFonts w:ascii="Tahoma" w:hAnsi="Tahoma" w:cs="Tahoma"/>
          <w:sz w:val="20"/>
          <w:szCs w:val="20"/>
        </w:rPr>
        <w:t xml:space="preserve"> </w:t>
      </w:r>
      <w:r w:rsidRPr="00B004EE">
        <w:rPr>
          <w:rFonts w:ascii="Tahoma" w:hAnsi="Tahoma" w:cs="Tahoma"/>
          <w:sz w:val="20"/>
          <w:szCs w:val="20"/>
        </w:rPr>
        <w:t>début</w:t>
      </w:r>
      <w:r w:rsidR="00DB1635" w:rsidRPr="00B004EE">
        <w:rPr>
          <w:rFonts w:ascii="Tahoma" w:hAnsi="Tahoma" w:cs="Tahoma"/>
          <w:sz w:val="20"/>
          <w:szCs w:val="20"/>
        </w:rPr>
        <w:t xml:space="preserve"> </w:t>
      </w:r>
      <w:r w:rsidRPr="00B004EE">
        <w:rPr>
          <w:rFonts w:ascii="Tahoma" w:hAnsi="Tahoma" w:cs="Tahoma"/>
          <w:sz w:val="20"/>
          <w:szCs w:val="20"/>
        </w:rPr>
        <w:t>d’une</w:t>
      </w:r>
      <w:r w:rsidR="00DB1635" w:rsidRPr="00B004EE">
        <w:rPr>
          <w:rFonts w:ascii="Tahoma" w:hAnsi="Tahoma" w:cs="Tahoma"/>
          <w:sz w:val="20"/>
          <w:szCs w:val="20"/>
        </w:rPr>
        <w:t xml:space="preserve"> </w:t>
      </w:r>
      <w:r w:rsidRPr="00B004EE">
        <w:rPr>
          <w:rFonts w:ascii="Tahoma" w:hAnsi="Tahoma" w:cs="Tahoma"/>
          <w:sz w:val="20"/>
          <w:szCs w:val="20"/>
        </w:rPr>
        <w:t>marée.</w:t>
      </w:r>
    </w:p>
    <w:p w14:paraId="71C79447" w14:textId="77777777" w:rsidR="008518B0" w:rsidRPr="00B004EE" w:rsidRDefault="008518B0" w:rsidP="00B004EE">
      <w:pPr>
        <w:rPr>
          <w:rFonts w:ascii="Tahoma" w:hAnsi="Tahoma" w:cs="Tahoma"/>
          <w:sz w:val="20"/>
          <w:szCs w:val="20"/>
        </w:rPr>
      </w:pPr>
    </w:p>
    <w:p w14:paraId="10904921" w14:textId="1B601009" w:rsidR="008518B0" w:rsidRPr="00B004EE" w:rsidRDefault="008518B0" w:rsidP="00B004EE">
      <w:pPr>
        <w:jc w:val="both"/>
        <w:rPr>
          <w:rFonts w:ascii="Tahoma" w:hAnsi="Tahoma" w:cs="Tahoma"/>
          <w:sz w:val="20"/>
          <w:szCs w:val="20"/>
        </w:rPr>
      </w:pP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ministre</w:t>
      </w:r>
      <w:r w:rsidR="00DB1635" w:rsidRPr="00B004EE">
        <w:rPr>
          <w:rFonts w:ascii="Tahoma" w:hAnsi="Tahoma" w:cs="Tahoma"/>
          <w:sz w:val="20"/>
          <w:szCs w:val="20"/>
        </w:rPr>
        <w:t xml:space="preserve"> </w:t>
      </w:r>
      <w:r w:rsidRPr="00B004EE">
        <w:rPr>
          <w:rFonts w:ascii="Tahoma" w:hAnsi="Tahoma" w:cs="Tahoma"/>
          <w:sz w:val="20"/>
          <w:szCs w:val="20"/>
        </w:rPr>
        <w:t>chargé</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sz w:val="20"/>
          <w:szCs w:val="20"/>
        </w:rPr>
        <w:t xml:space="preserve"> </w:t>
      </w:r>
      <w:r w:rsidRPr="00B004EE">
        <w:rPr>
          <w:rFonts w:ascii="Tahoma" w:hAnsi="Tahoma" w:cs="Tahoma"/>
          <w:sz w:val="20"/>
          <w:szCs w:val="20"/>
        </w:rPr>
        <w:t>précisera</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arrêté</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dispositions</w:t>
      </w:r>
      <w:r w:rsidR="00DB1635" w:rsidRPr="00B004EE">
        <w:rPr>
          <w:rFonts w:ascii="Tahoma" w:hAnsi="Tahoma" w:cs="Tahoma"/>
          <w:sz w:val="20"/>
          <w:szCs w:val="20"/>
        </w:rPr>
        <w:t xml:space="preserve"> </w:t>
      </w:r>
      <w:r w:rsidRPr="00B004EE">
        <w:rPr>
          <w:rFonts w:ascii="Tahoma" w:hAnsi="Tahoma" w:cs="Tahoma"/>
          <w:sz w:val="20"/>
          <w:szCs w:val="20"/>
        </w:rPr>
        <w:t>opérationnelles</w:t>
      </w:r>
      <w:r w:rsidR="00DB1635" w:rsidRPr="00B004EE">
        <w:rPr>
          <w:rFonts w:ascii="Tahoma" w:hAnsi="Tahoma" w:cs="Tahoma"/>
          <w:sz w:val="20"/>
          <w:szCs w:val="20"/>
        </w:rPr>
        <w:t xml:space="preserve"> </w:t>
      </w:r>
      <w:r w:rsidRPr="00B004EE">
        <w:rPr>
          <w:rFonts w:ascii="Tahoma" w:hAnsi="Tahoma" w:cs="Tahoma"/>
          <w:sz w:val="20"/>
          <w:szCs w:val="20"/>
        </w:rPr>
        <w:t>relatives</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contrôle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débarquements.</w:t>
      </w:r>
      <w:r w:rsidR="00DB1635" w:rsidRPr="00B004EE">
        <w:rPr>
          <w:rFonts w:ascii="Tahoma" w:hAnsi="Tahoma" w:cs="Tahoma"/>
          <w:sz w:val="20"/>
          <w:szCs w:val="20"/>
        </w:rPr>
        <w:t xml:space="preserve"> </w:t>
      </w:r>
    </w:p>
    <w:p w14:paraId="0A5228AB" w14:textId="77777777" w:rsidR="008518B0" w:rsidRPr="00B004EE" w:rsidRDefault="008518B0" w:rsidP="00B004EE">
      <w:pPr>
        <w:pStyle w:val="Lgende"/>
        <w:jc w:val="center"/>
        <w:rPr>
          <w:rFonts w:ascii="Tahoma" w:hAnsi="Tahoma" w:cs="Tahoma"/>
        </w:rPr>
      </w:pPr>
    </w:p>
    <w:p w14:paraId="0CEEEC02" w14:textId="4C32F71B" w:rsidR="008518B0" w:rsidRPr="00B004EE" w:rsidRDefault="008518B0" w:rsidP="00B004EE">
      <w:pPr>
        <w:pStyle w:val="Lgende"/>
        <w:jc w:val="center"/>
        <w:rPr>
          <w:rFonts w:ascii="Tahoma" w:hAnsi="Tahoma" w:cs="Tahoma"/>
        </w:rPr>
      </w:pPr>
      <w:r w:rsidRPr="00B004EE">
        <w:rPr>
          <w:rFonts w:ascii="Tahoma" w:hAnsi="Tahoma" w:cs="Tahoma"/>
        </w:rPr>
        <w:lastRenderedPageBreak/>
        <w:t>Section</w:t>
      </w:r>
      <w:r w:rsidR="00DB1635" w:rsidRPr="00B004EE">
        <w:rPr>
          <w:rFonts w:ascii="Tahoma" w:hAnsi="Tahoma" w:cs="Tahoma"/>
        </w:rPr>
        <w:t xml:space="preserve"> </w:t>
      </w:r>
      <w:r w:rsidRPr="00B004EE">
        <w:rPr>
          <w:rFonts w:ascii="Tahoma" w:hAnsi="Tahoma" w:cs="Tahoma"/>
        </w:rPr>
        <w:t>2</w:t>
      </w:r>
      <w:r w:rsidR="00DB1635" w:rsidRPr="00B004EE">
        <w:rPr>
          <w:rFonts w:ascii="Tahoma" w:hAnsi="Tahoma" w:cs="Tahoma"/>
        </w:rPr>
        <w:t xml:space="preserve"> </w:t>
      </w:r>
      <w:r w:rsidRPr="00B004EE">
        <w:rPr>
          <w:rFonts w:ascii="Tahoma" w:hAnsi="Tahoma" w:cs="Tahoma"/>
        </w:rPr>
        <w:t>:</w:t>
      </w:r>
      <w:r w:rsidR="00DB1635" w:rsidRPr="00B004EE">
        <w:rPr>
          <w:rFonts w:ascii="Tahoma" w:hAnsi="Tahoma" w:cs="Tahoma"/>
        </w:rPr>
        <w:t xml:space="preserve"> </w:t>
      </w:r>
      <w:r w:rsidRPr="00B004EE">
        <w:rPr>
          <w:rFonts w:ascii="Tahoma" w:hAnsi="Tahoma" w:cs="Tahoma"/>
        </w:rPr>
        <w:t>Du</w:t>
      </w:r>
      <w:r w:rsidR="00DB1635" w:rsidRPr="00B004EE">
        <w:rPr>
          <w:rFonts w:ascii="Tahoma" w:hAnsi="Tahoma" w:cs="Tahoma"/>
        </w:rPr>
        <w:t xml:space="preserve"> </w:t>
      </w:r>
      <w:r w:rsidRPr="00B004EE">
        <w:rPr>
          <w:rFonts w:ascii="Tahoma" w:hAnsi="Tahoma" w:cs="Tahoma"/>
        </w:rPr>
        <w:t>journal</w:t>
      </w:r>
      <w:r w:rsidR="00DB1635" w:rsidRPr="00B004EE">
        <w:rPr>
          <w:rFonts w:ascii="Tahoma" w:hAnsi="Tahoma" w:cs="Tahoma"/>
        </w:rPr>
        <w:t xml:space="preserve"> </w:t>
      </w:r>
      <w:r w:rsidRPr="00B004EE">
        <w:rPr>
          <w:rFonts w:ascii="Tahoma" w:hAnsi="Tahoma" w:cs="Tahoma"/>
        </w:rPr>
        <w:t>de</w:t>
      </w:r>
      <w:r w:rsidR="00DB1635" w:rsidRPr="00B004EE">
        <w:rPr>
          <w:rFonts w:ascii="Tahoma" w:hAnsi="Tahoma" w:cs="Tahoma"/>
        </w:rPr>
        <w:t xml:space="preserve"> </w:t>
      </w:r>
      <w:r w:rsidRPr="00B004EE">
        <w:rPr>
          <w:rFonts w:ascii="Tahoma" w:hAnsi="Tahoma" w:cs="Tahoma"/>
        </w:rPr>
        <w:t>bord</w:t>
      </w:r>
      <w:r w:rsidR="00DB1635" w:rsidRPr="00B004EE">
        <w:rPr>
          <w:rFonts w:ascii="Tahoma" w:hAnsi="Tahoma" w:cs="Tahoma"/>
        </w:rPr>
        <w:t xml:space="preserve"> </w:t>
      </w:r>
      <w:r w:rsidRPr="00B004EE">
        <w:rPr>
          <w:rFonts w:ascii="Tahoma" w:hAnsi="Tahoma" w:cs="Tahoma"/>
        </w:rPr>
        <w:t>de</w:t>
      </w:r>
      <w:r w:rsidR="00DB1635" w:rsidRPr="00B004EE">
        <w:rPr>
          <w:rFonts w:ascii="Tahoma" w:hAnsi="Tahoma" w:cs="Tahoma"/>
        </w:rPr>
        <w:t xml:space="preserve"> </w:t>
      </w:r>
      <w:r w:rsidRPr="00B004EE">
        <w:rPr>
          <w:rFonts w:ascii="Tahoma" w:hAnsi="Tahoma" w:cs="Tahoma"/>
        </w:rPr>
        <w:t>pêche</w:t>
      </w:r>
    </w:p>
    <w:p w14:paraId="528B600C" w14:textId="77777777" w:rsidR="008518B0" w:rsidRPr="00B004EE" w:rsidRDefault="008518B0" w:rsidP="00B004EE">
      <w:pPr>
        <w:rPr>
          <w:rFonts w:ascii="Tahoma" w:hAnsi="Tahoma" w:cs="Tahoma"/>
          <w:sz w:val="20"/>
          <w:szCs w:val="20"/>
        </w:rPr>
      </w:pPr>
    </w:p>
    <w:p w14:paraId="44E0D1EE" w14:textId="24CE31B6" w:rsidR="008518B0" w:rsidRPr="00B004EE" w:rsidRDefault="008518B0" w:rsidP="00B004EE">
      <w:pPr>
        <w:pStyle w:val="article"/>
        <w:numPr>
          <w:ilvl w:val="0"/>
          <w:numId w:val="0"/>
        </w:numPr>
        <w:tabs>
          <w:tab w:val="left" w:pos="1200"/>
        </w:tabs>
        <w:spacing w:before="0" w:line="240" w:lineRule="auto"/>
        <w:rPr>
          <w:rFonts w:ascii="Tahoma" w:hAnsi="Tahoma" w:cs="Tahoma"/>
          <w:sz w:val="20"/>
          <w:szCs w:val="20"/>
        </w:rPr>
      </w:pPr>
      <w:r w:rsidRPr="00B004EE">
        <w:rPr>
          <w:rFonts w:ascii="Tahoma" w:hAnsi="Tahoma" w:cs="Tahoma"/>
          <w:sz w:val="20"/>
          <w:szCs w:val="20"/>
        </w:rPr>
        <w:t>Article</w:t>
      </w:r>
      <w:r w:rsidR="00DB1635" w:rsidRPr="00B004EE">
        <w:rPr>
          <w:rFonts w:ascii="Tahoma" w:hAnsi="Tahoma" w:cs="Tahoma"/>
          <w:sz w:val="20"/>
          <w:szCs w:val="20"/>
        </w:rPr>
        <w:t xml:space="preserve"> </w:t>
      </w:r>
      <w:r w:rsidRPr="00B004EE">
        <w:rPr>
          <w:rFonts w:ascii="Tahoma" w:hAnsi="Tahoma" w:cs="Tahoma"/>
          <w:sz w:val="20"/>
          <w:szCs w:val="20"/>
        </w:rPr>
        <w:t>49</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capitaines</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navires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hauturière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côtière</w:t>
      </w:r>
      <w:r w:rsidR="00DB1635" w:rsidRPr="00B004EE">
        <w:rPr>
          <w:rFonts w:ascii="Tahoma" w:hAnsi="Tahoma" w:cs="Tahoma"/>
          <w:sz w:val="20"/>
          <w:szCs w:val="20"/>
        </w:rPr>
        <w:t xml:space="preserve"> </w:t>
      </w:r>
      <w:r w:rsidRPr="00B004EE">
        <w:rPr>
          <w:rFonts w:ascii="Tahoma" w:hAnsi="Tahoma" w:cs="Tahoma"/>
          <w:sz w:val="20"/>
          <w:szCs w:val="20"/>
        </w:rPr>
        <w:t>autorisés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opérer</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eaux</w:t>
      </w:r>
      <w:r w:rsidR="00DB1635" w:rsidRPr="00B004EE">
        <w:rPr>
          <w:rFonts w:ascii="Tahoma" w:hAnsi="Tahoma" w:cs="Tahoma"/>
          <w:sz w:val="20"/>
          <w:szCs w:val="20"/>
        </w:rPr>
        <w:t xml:space="preserve"> </w:t>
      </w:r>
      <w:r w:rsidRPr="00B004EE">
        <w:rPr>
          <w:rFonts w:ascii="Tahoma" w:hAnsi="Tahoma" w:cs="Tahoma"/>
          <w:sz w:val="20"/>
          <w:szCs w:val="20"/>
        </w:rPr>
        <w:t>sous</w:t>
      </w:r>
      <w:r w:rsidR="00DB1635" w:rsidRPr="00B004EE">
        <w:rPr>
          <w:rFonts w:ascii="Tahoma" w:hAnsi="Tahoma" w:cs="Tahoma"/>
          <w:sz w:val="20"/>
          <w:szCs w:val="20"/>
        </w:rPr>
        <w:t xml:space="preserve"> </w:t>
      </w:r>
      <w:r w:rsidRPr="00B004EE">
        <w:rPr>
          <w:rFonts w:ascii="Tahoma" w:hAnsi="Tahoma" w:cs="Tahoma"/>
          <w:sz w:val="20"/>
          <w:szCs w:val="20"/>
        </w:rPr>
        <w:t>juridiction</w:t>
      </w:r>
      <w:r w:rsidR="00DB1635" w:rsidRPr="00B004EE">
        <w:rPr>
          <w:rFonts w:ascii="Tahoma" w:hAnsi="Tahoma" w:cs="Tahoma"/>
          <w:sz w:val="20"/>
          <w:szCs w:val="20"/>
        </w:rPr>
        <w:t xml:space="preserve"> </w:t>
      </w:r>
      <w:r w:rsidRPr="00B004EE">
        <w:rPr>
          <w:rFonts w:ascii="Tahoma" w:hAnsi="Tahoma" w:cs="Tahoma"/>
          <w:sz w:val="20"/>
          <w:szCs w:val="20"/>
        </w:rPr>
        <w:t>mauritanienne</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tenus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maintenir,</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jour,</w:t>
      </w:r>
      <w:r w:rsidR="00DB1635" w:rsidRPr="00B004EE">
        <w:rPr>
          <w:rFonts w:ascii="Tahoma" w:hAnsi="Tahoma" w:cs="Tahoma"/>
          <w:sz w:val="20"/>
          <w:szCs w:val="20"/>
        </w:rPr>
        <w:t xml:space="preserve"> </w:t>
      </w: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journal</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bord,</w:t>
      </w:r>
      <w:r w:rsidR="00DB1635" w:rsidRPr="00B004EE">
        <w:rPr>
          <w:rFonts w:ascii="Tahoma" w:hAnsi="Tahoma" w:cs="Tahoma"/>
          <w:sz w:val="20"/>
          <w:szCs w:val="20"/>
        </w:rPr>
        <w:t xml:space="preserve"> </w:t>
      </w:r>
      <w:r w:rsidRPr="00B004EE">
        <w:rPr>
          <w:rFonts w:ascii="Tahoma" w:hAnsi="Tahoma" w:cs="Tahoma"/>
          <w:sz w:val="20"/>
          <w:szCs w:val="20"/>
        </w:rPr>
        <w:t>selon</w:t>
      </w:r>
      <w:r w:rsidR="00DB1635" w:rsidRPr="00B004EE">
        <w:rPr>
          <w:rFonts w:ascii="Tahoma" w:hAnsi="Tahoma" w:cs="Tahoma"/>
          <w:sz w:val="20"/>
          <w:szCs w:val="20"/>
        </w:rPr>
        <w:t xml:space="preserve"> </w:t>
      </w: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modèle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approuver</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arrêté</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ministre</w:t>
      </w:r>
      <w:r w:rsidR="00DB1635" w:rsidRPr="00B004EE">
        <w:rPr>
          <w:rFonts w:ascii="Tahoma" w:hAnsi="Tahoma" w:cs="Tahoma"/>
          <w:sz w:val="20"/>
          <w:szCs w:val="20"/>
        </w:rPr>
        <w:t xml:space="preserve"> </w:t>
      </w:r>
      <w:r w:rsidRPr="00B004EE">
        <w:rPr>
          <w:rFonts w:ascii="Tahoma" w:hAnsi="Tahoma" w:cs="Tahoma"/>
          <w:sz w:val="20"/>
          <w:szCs w:val="20"/>
        </w:rPr>
        <w:t>chargé</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lequel</w:t>
      </w:r>
      <w:r w:rsidR="00DB1635" w:rsidRPr="00B004EE">
        <w:rPr>
          <w:rFonts w:ascii="Tahoma" w:hAnsi="Tahoma" w:cs="Tahoma"/>
          <w:sz w:val="20"/>
          <w:szCs w:val="20"/>
        </w:rPr>
        <w:t xml:space="preserve"> </w:t>
      </w:r>
      <w:r w:rsidRPr="00B004EE">
        <w:rPr>
          <w:rFonts w:ascii="Tahoma" w:hAnsi="Tahoma" w:cs="Tahoma"/>
          <w:sz w:val="20"/>
          <w:szCs w:val="20"/>
        </w:rPr>
        <w:t>ils</w:t>
      </w:r>
      <w:r w:rsidR="00DB1635" w:rsidRPr="00B004EE">
        <w:rPr>
          <w:rFonts w:ascii="Tahoma" w:hAnsi="Tahoma" w:cs="Tahoma"/>
          <w:sz w:val="20"/>
          <w:szCs w:val="20"/>
        </w:rPr>
        <w:t xml:space="preserve"> </w:t>
      </w:r>
      <w:r w:rsidRPr="00B004EE">
        <w:rPr>
          <w:rFonts w:ascii="Tahoma" w:hAnsi="Tahoma" w:cs="Tahoma"/>
          <w:sz w:val="20"/>
          <w:szCs w:val="20"/>
        </w:rPr>
        <w:t>enregistrent</w:t>
      </w:r>
      <w:r w:rsidR="00DB1635" w:rsidRPr="00B004EE">
        <w:rPr>
          <w:rFonts w:ascii="Tahoma" w:hAnsi="Tahoma" w:cs="Tahoma"/>
          <w:sz w:val="20"/>
          <w:szCs w:val="20"/>
        </w:rPr>
        <w:t xml:space="preserve"> </w:t>
      </w:r>
      <w:r w:rsidRPr="00B004EE">
        <w:rPr>
          <w:rFonts w:ascii="Tahoma" w:hAnsi="Tahoma" w:cs="Tahoma"/>
          <w:sz w:val="20"/>
          <w:szCs w:val="20"/>
        </w:rPr>
        <w:t>quotidiennement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renseignements</w:t>
      </w:r>
      <w:r w:rsidR="00DB1635" w:rsidRPr="00B004EE">
        <w:rPr>
          <w:rFonts w:ascii="Tahoma" w:hAnsi="Tahoma" w:cs="Tahoma"/>
          <w:sz w:val="20"/>
          <w:szCs w:val="20"/>
        </w:rPr>
        <w:t xml:space="preserve"> </w:t>
      </w:r>
      <w:r w:rsidRPr="00B004EE">
        <w:rPr>
          <w:rFonts w:ascii="Tahoma" w:hAnsi="Tahoma" w:cs="Tahoma"/>
          <w:sz w:val="20"/>
          <w:szCs w:val="20"/>
        </w:rPr>
        <w:t>relatifs</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activités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p>
    <w:p w14:paraId="7FE2830E" w14:textId="41B3D6AD" w:rsidR="008518B0" w:rsidRPr="00B004EE" w:rsidRDefault="008518B0" w:rsidP="00B004EE">
      <w:pPr>
        <w:pStyle w:val="article"/>
        <w:numPr>
          <w:ilvl w:val="0"/>
          <w:numId w:val="0"/>
        </w:numPr>
        <w:spacing w:before="0" w:line="240" w:lineRule="auto"/>
        <w:rPr>
          <w:rFonts w:ascii="Tahoma" w:hAnsi="Tahoma" w:cs="Tahoma"/>
          <w:sz w:val="20"/>
          <w:szCs w:val="20"/>
        </w:rPr>
      </w:pP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journal</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transmis,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l’issue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chaque</w:t>
      </w:r>
      <w:r w:rsidR="00DB1635" w:rsidRPr="00B004EE">
        <w:rPr>
          <w:rFonts w:ascii="Tahoma" w:hAnsi="Tahoma" w:cs="Tahoma"/>
          <w:sz w:val="20"/>
          <w:szCs w:val="20"/>
        </w:rPr>
        <w:t xml:space="preserve"> </w:t>
      </w:r>
      <w:r w:rsidRPr="00B004EE">
        <w:rPr>
          <w:rFonts w:ascii="Tahoma" w:hAnsi="Tahoma" w:cs="Tahoma"/>
          <w:sz w:val="20"/>
          <w:szCs w:val="20"/>
        </w:rPr>
        <w:t>marée,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l’administration</w:t>
      </w:r>
      <w:r w:rsidR="00DB1635" w:rsidRPr="00B004EE">
        <w:rPr>
          <w:rFonts w:ascii="Tahoma" w:hAnsi="Tahoma" w:cs="Tahoma"/>
          <w:sz w:val="20"/>
          <w:szCs w:val="20"/>
        </w:rPr>
        <w:t xml:space="preserve"> </w:t>
      </w:r>
      <w:r w:rsidRPr="00B004EE">
        <w:rPr>
          <w:rFonts w:ascii="Tahoma" w:hAnsi="Tahoma" w:cs="Tahoma"/>
          <w:sz w:val="20"/>
          <w:szCs w:val="20"/>
        </w:rPr>
        <w:t>compétente</w:t>
      </w:r>
      <w:r w:rsidR="00DB1635" w:rsidRPr="00B004EE">
        <w:rPr>
          <w:rFonts w:ascii="Tahoma" w:hAnsi="Tahoma" w:cs="Tahoma"/>
          <w:sz w:val="20"/>
          <w:szCs w:val="20"/>
        </w:rPr>
        <w:t xml:space="preserve"> </w:t>
      </w:r>
      <w:r w:rsidRPr="00B004EE">
        <w:rPr>
          <w:rFonts w:ascii="Tahoma" w:hAnsi="Tahoma" w:cs="Tahoma"/>
          <w:sz w:val="20"/>
          <w:szCs w:val="20"/>
        </w:rPr>
        <w:t>qui</w:t>
      </w:r>
      <w:r w:rsidR="00DB1635" w:rsidRPr="00B004EE">
        <w:rPr>
          <w:rFonts w:ascii="Tahoma" w:hAnsi="Tahoma" w:cs="Tahoma"/>
          <w:sz w:val="20"/>
          <w:szCs w:val="20"/>
        </w:rPr>
        <w:t xml:space="preserve"> </w:t>
      </w:r>
      <w:r w:rsidRPr="00B004EE">
        <w:rPr>
          <w:rFonts w:ascii="Tahoma" w:hAnsi="Tahoma" w:cs="Tahoma"/>
          <w:sz w:val="20"/>
          <w:szCs w:val="20"/>
        </w:rPr>
        <w:t>pourra</w:t>
      </w:r>
      <w:r w:rsidR="00DB1635" w:rsidRPr="00B004EE">
        <w:rPr>
          <w:rFonts w:ascii="Tahoma" w:hAnsi="Tahoma" w:cs="Tahoma"/>
          <w:sz w:val="20"/>
          <w:szCs w:val="20"/>
        </w:rPr>
        <w:t xml:space="preserve"> </w:t>
      </w:r>
      <w:r w:rsidRPr="00B004EE">
        <w:rPr>
          <w:rFonts w:ascii="Tahoma" w:hAnsi="Tahoma" w:cs="Tahoma"/>
          <w:sz w:val="20"/>
          <w:szCs w:val="20"/>
        </w:rPr>
        <w:t>exiger,</w:t>
      </w:r>
      <w:r w:rsidR="00DB1635" w:rsidRPr="00B004EE">
        <w:rPr>
          <w:rFonts w:ascii="Tahoma" w:hAnsi="Tahoma" w:cs="Tahoma"/>
          <w:sz w:val="20"/>
          <w:szCs w:val="20"/>
        </w:rPr>
        <w:t xml:space="preserve"> </w:t>
      </w:r>
      <w:r w:rsidRPr="00B004EE">
        <w:rPr>
          <w:rFonts w:ascii="Tahoma" w:hAnsi="Tahoma" w:cs="Tahoma"/>
          <w:sz w:val="20"/>
          <w:szCs w:val="20"/>
        </w:rPr>
        <w:t>si</w:t>
      </w:r>
      <w:r w:rsidR="00DB1635" w:rsidRPr="00B004EE">
        <w:rPr>
          <w:rFonts w:ascii="Tahoma" w:hAnsi="Tahoma" w:cs="Tahoma"/>
          <w:sz w:val="20"/>
          <w:szCs w:val="20"/>
        </w:rPr>
        <w:t xml:space="preserve"> </w:t>
      </w:r>
      <w:r w:rsidRPr="00B004EE">
        <w:rPr>
          <w:rFonts w:ascii="Tahoma" w:hAnsi="Tahoma" w:cs="Tahoma"/>
          <w:sz w:val="20"/>
          <w:szCs w:val="20"/>
        </w:rPr>
        <w:t>nécessaire,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transmission</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message</w:t>
      </w:r>
      <w:r w:rsidR="00DB1635" w:rsidRPr="00B004EE">
        <w:rPr>
          <w:rFonts w:ascii="Tahoma" w:hAnsi="Tahoma" w:cs="Tahoma"/>
          <w:sz w:val="20"/>
          <w:szCs w:val="20"/>
        </w:rPr>
        <w:t xml:space="preserve"> </w:t>
      </w:r>
      <w:r w:rsidRPr="00B004EE">
        <w:rPr>
          <w:rFonts w:ascii="Tahoma" w:hAnsi="Tahoma" w:cs="Tahoma"/>
          <w:sz w:val="20"/>
          <w:szCs w:val="20"/>
        </w:rPr>
        <w:t>radio,</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renseignements</w:t>
      </w:r>
      <w:r w:rsidR="00DB1635" w:rsidRPr="00B004EE">
        <w:rPr>
          <w:rFonts w:ascii="Tahoma" w:hAnsi="Tahoma" w:cs="Tahoma"/>
          <w:sz w:val="20"/>
          <w:szCs w:val="20"/>
        </w:rPr>
        <w:t xml:space="preserve"> </w:t>
      </w:r>
      <w:r w:rsidRPr="00B004EE">
        <w:rPr>
          <w:rFonts w:ascii="Tahoma" w:hAnsi="Tahoma" w:cs="Tahoma"/>
          <w:sz w:val="20"/>
          <w:szCs w:val="20"/>
        </w:rPr>
        <w:t>sur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captures</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fur</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mesure</w:t>
      </w:r>
      <w:r w:rsidR="00DB1635" w:rsidRPr="00B004EE">
        <w:rPr>
          <w:rFonts w:ascii="Tahoma" w:hAnsi="Tahoma" w:cs="Tahoma"/>
          <w:sz w:val="20"/>
          <w:szCs w:val="20"/>
        </w:rPr>
        <w:t xml:space="preserve"> </w:t>
      </w:r>
      <w:r w:rsidRPr="00B004EE">
        <w:rPr>
          <w:rFonts w:ascii="Tahoma" w:hAnsi="Tahoma" w:cs="Tahoma"/>
          <w:sz w:val="20"/>
          <w:szCs w:val="20"/>
        </w:rPr>
        <w:t>qu’elles</w:t>
      </w:r>
      <w:r w:rsidR="00DB1635" w:rsidRPr="00B004EE">
        <w:rPr>
          <w:rFonts w:ascii="Tahoma" w:hAnsi="Tahoma" w:cs="Tahoma"/>
          <w:sz w:val="20"/>
          <w:szCs w:val="20"/>
        </w:rPr>
        <w:t xml:space="preserve"> </w:t>
      </w:r>
      <w:r w:rsidRPr="00B004EE">
        <w:rPr>
          <w:rFonts w:ascii="Tahoma" w:hAnsi="Tahoma" w:cs="Tahoma"/>
          <w:sz w:val="20"/>
          <w:szCs w:val="20"/>
        </w:rPr>
        <w:t>se</w:t>
      </w:r>
      <w:r w:rsidR="00DB1635" w:rsidRPr="00B004EE">
        <w:rPr>
          <w:rFonts w:ascii="Tahoma" w:hAnsi="Tahoma" w:cs="Tahoma"/>
          <w:sz w:val="20"/>
          <w:szCs w:val="20"/>
        </w:rPr>
        <w:t xml:space="preserve"> </w:t>
      </w:r>
      <w:r w:rsidRPr="00B004EE">
        <w:rPr>
          <w:rFonts w:ascii="Tahoma" w:hAnsi="Tahoma" w:cs="Tahoma"/>
          <w:sz w:val="20"/>
          <w:szCs w:val="20"/>
        </w:rPr>
        <w:t>réalisent.</w:t>
      </w:r>
    </w:p>
    <w:p w14:paraId="2FCAA9FF" w14:textId="1C4884E2" w:rsidR="008518B0" w:rsidRPr="00B004EE" w:rsidRDefault="008518B0" w:rsidP="00B004EE">
      <w:pPr>
        <w:pStyle w:val="article"/>
        <w:numPr>
          <w:ilvl w:val="0"/>
          <w:numId w:val="0"/>
        </w:numPr>
        <w:tabs>
          <w:tab w:val="left" w:pos="1200"/>
        </w:tabs>
        <w:spacing w:before="0" w:line="240" w:lineRule="auto"/>
        <w:rPr>
          <w:rFonts w:ascii="Tahoma" w:hAnsi="Tahoma" w:cs="Tahoma"/>
          <w:sz w:val="20"/>
          <w:szCs w:val="20"/>
        </w:rPr>
      </w:pP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patrons</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navires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artisanale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côtière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moins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14</w:t>
      </w:r>
      <w:r w:rsidR="00DB1635" w:rsidRPr="00B004EE">
        <w:rPr>
          <w:rFonts w:ascii="Tahoma" w:hAnsi="Tahoma" w:cs="Tahoma"/>
          <w:sz w:val="20"/>
          <w:szCs w:val="20"/>
        </w:rPr>
        <w:t xml:space="preserve"> </w:t>
      </w:r>
      <w:r w:rsidRPr="00B004EE">
        <w:rPr>
          <w:rFonts w:ascii="Tahoma" w:hAnsi="Tahoma" w:cs="Tahoma"/>
          <w:sz w:val="20"/>
          <w:szCs w:val="20"/>
        </w:rPr>
        <w:t>mètres</w:t>
      </w:r>
      <w:r w:rsidR="00DB1635" w:rsidRPr="00B004EE">
        <w:rPr>
          <w:rFonts w:ascii="Tahoma" w:hAnsi="Tahoma" w:cs="Tahoma"/>
          <w:sz w:val="20"/>
          <w:szCs w:val="20"/>
        </w:rPr>
        <w:t xml:space="preserve"> </w:t>
      </w:r>
      <w:r w:rsidRPr="00B004EE">
        <w:rPr>
          <w:rFonts w:ascii="Tahoma" w:hAnsi="Tahoma" w:cs="Tahoma"/>
          <w:sz w:val="20"/>
          <w:szCs w:val="20"/>
        </w:rPr>
        <w:t>fourniront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informations</w:t>
      </w:r>
      <w:r w:rsidR="00DB1635" w:rsidRPr="00B004EE">
        <w:rPr>
          <w:rFonts w:ascii="Tahoma" w:hAnsi="Tahoma" w:cs="Tahoma"/>
          <w:sz w:val="20"/>
          <w:szCs w:val="20"/>
        </w:rPr>
        <w:t xml:space="preserve"> </w:t>
      </w:r>
      <w:r w:rsidRPr="00B004EE">
        <w:rPr>
          <w:rFonts w:ascii="Tahoma" w:hAnsi="Tahoma" w:cs="Tahoma"/>
          <w:sz w:val="20"/>
          <w:szCs w:val="20"/>
        </w:rPr>
        <w:t>sur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captures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sur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zones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selon</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fiche</w:t>
      </w:r>
      <w:r w:rsidR="00DB1635" w:rsidRPr="00B004EE">
        <w:rPr>
          <w:rFonts w:ascii="Tahoma" w:hAnsi="Tahoma" w:cs="Tahoma"/>
          <w:sz w:val="20"/>
          <w:szCs w:val="20"/>
        </w:rPr>
        <w:t xml:space="preserve"> </w:t>
      </w:r>
      <w:r w:rsidRPr="00B004EE">
        <w:rPr>
          <w:rFonts w:ascii="Tahoma" w:hAnsi="Tahoma" w:cs="Tahoma"/>
          <w:sz w:val="20"/>
          <w:szCs w:val="20"/>
        </w:rPr>
        <w:t>dont</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modèle</w:t>
      </w:r>
      <w:r w:rsidR="00DB1635" w:rsidRPr="00B004EE">
        <w:rPr>
          <w:rFonts w:ascii="Tahoma" w:hAnsi="Tahoma" w:cs="Tahoma"/>
          <w:sz w:val="20"/>
          <w:szCs w:val="20"/>
        </w:rPr>
        <w:t xml:space="preserve"> </w:t>
      </w:r>
      <w:r w:rsidRPr="00B004EE">
        <w:rPr>
          <w:rFonts w:ascii="Tahoma" w:hAnsi="Tahoma" w:cs="Tahoma"/>
          <w:sz w:val="20"/>
          <w:szCs w:val="20"/>
        </w:rPr>
        <w:t>sera</w:t>
      </w:r>
      <w:r w:rsidR="00DB1635" w:rsidRPr="00B004EE">
        <w:rPr>
          <w:rFonts w:ascii="Tahoma" w:hAnsi="Tahoma" w:cs="Tahoma"/>
          <w:sz w:val="20"/>
          <w:szCs w:val="20"/>
        </w:rPr>
        <w:t xml:space="preserve"> </w:t>
      </w:r>
      <w:r w:rsidRPr="00B004EE">
        <w:rPr>
          <w:rFonts w:ascii="Tahoma" w:hAnsi="Tahoma" w:cs="Tahoma"/>
          <w:sz w:val="20"/>
          <w:szCs w:val="20"/>
        </w:rPr>
        <w:t>défini</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arrêté</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ministre</w:t>
      </w:r>
      <w:r w:rsidR="00DB1635" w:rsidRPr="00B004EE">
        <w:rPr>
          <w:rFonts w:ascii="Tahoma" w:hAnsi="Tahoma" w:cs="Tahoma"/>
          <w:sz w:val="20"/>
          <w:szCs w:val="20"/>
        </w:rPr>
        <w:t xml:space="preserve"> </w:t>
      </w:r>
      <w:r w:rsidRPr="00B004EE">
        <w:rPr>
          <w:rFonts w:ascii="Tahoma" w:hAnsi="Tahoma" w:cs="Tahoma"/>
          <w:sz w:val="20"/>
          <w:szCs w:val="20"/>
        </w:rPr>
        <w:t>chargé</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p>
    <w:p w14:paraId="0CE8637F" w14:textId="6AEC4CCF" w:rsidR="008518B0" w:rsidRPr="00B004EE" w:rsidRDefault="008518B0" w:rsidP="00B004EE">
      <w:pPr>
        <w:pStyle w:val="article"/>
        <w:numPr>
          <w:ilvl w:val="0"/>
          <w:numId w:val="0"/>
        </w:numPr>
        <w:tabs>
          <w:tab w:val="left" w:pos="1200"/>
        </w:tabs>
        <w:spacing w:before="0" w:line="240" w:lineRule="auto"/>
        <w:rPr>
          <w:rFonts w:ascii="Tahoma" w:hAnsi="Tahoma" w:cs="Tahoma"/>
          <w:sz w:val="20"/>
          <w:szCs w:val="20"/>
        </w:rPr>
      </w:pP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deux</w:t>
      </w:r>
      <w:r w:rsidR="00DB1635" w:rsidRPr="00B004EE">
        <w:rPr>
          <w:rFonts w:ascii="Tahoma" w:hAnsi="Tahoma" w:cs="Tahoma"/>
          <w:sz w:val="20"/>
          <w:szCs w:val="20"/>
        </w:rPr>
        <w:t xml:space="preserve"> </w:t>
      </w:r>
      <w:r w:rsidRPr="00B004EE">
        <w:rPr>
          <w:rFonts w:ascii="Tahoma" w:hAnsi="Tahoma" w:cs="Tahoma"/>
          <w:sz w:val="20"/>
          <w:szCs w:val="20"/>
        </w:rPr>
        <w:t>cas,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renseignements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fournir</w:t>
      </w:r>
      <w:r w:rsidR="00DB1635" w:rsidRPr="00B004EE">
        <w:rPr>
          <w:rFonts w:ascii="Tahoma" w:hAnsi="Tahoma" w:cs="Tahoma"/>
          <w:sz w:val="20"/>
          <w:szCs w:val="20"/>
        </w:rPr>
        <w:t xml:space="preserve"> </w:t>
      </w:r>
      <w:r w:rsidRPr="00B004EE">
        <w:rPr>
          <w:rFonts w:ascii="Tahoma" w:hAnsi="Tahoma" w:cs="Tahoma"/>
          <w:sz w:val="20"/>
          <w:szCs w:val="20"/>
        </w:rPr>
        <w:t>portent,</w:t>
      </w:r>
      <w:r w:rsidR="00DB1635" w:rsidRPr="00B004EE">
        <w:rPr>
          <w:rFonts w:ascii="Tahoma" w:hAnsi="Tahoma" w:cs="Tahoma"/>
          <w:sz w:val="20"/>
          <w:szCs w:val="20"/>
        </w:rPr>
        <w:t xml:space="preserve"> </w:t>
      </w:r>
      <w:r w:rsidRPr="00B004EE">
        <w:rPr>
          <w:rFonts w:ascii="Tahoma" w:hAnsi="Tahoma" w:cs="Tahoma"/>
          <w:sz w:val="20"/>
          <w:szCs w:val="20"/>
        </w:rPr>
        <w:t>notamment,</w:t>
      </w:r>
      <w:r w:rsidR="00DB1635" w:rsidRPr="00B004EE">
        <w:rPr>
          <w:rFonts w:ascii="Tahoma" w:hAnsi="Tahoma" w:cs="Tahoma"/>
          <w:sz w:val="20"/>
          <w:szCs w:val="20"/>
        </w:rPr>
        <w:t xml:space="preserve"> </w:t>
      </w:r>
      <w:r w:rsidRPr="00B004EE">
        <w:rPr>
          <w:rFonts w:ascii="Tahoma" w:hAnsi="Tahoma" w:cs="Tahoma"/>
          <w:sz w:val="20"/>
          <w:szCs w:val="20"/>
        </w:rPr>
        <w:t>sur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quantités</w:t>
      </w:r>
      <w:r w:rsidR="00DB1635" w:rsidRPr="00B004EE">
        <w:rPr>
          <w:rFonts w:ascii="Tahoma" w:hAnsi="Tahoma" w:cs="Tahoma"/>
          <w:sz w:val="20"/>
          <w:szCs w:val="20"/>
        </w:rPr>
        <w:t xml:space="preserve"> </w:t>
      </w:r>
      <w:r w:rsidRPr="00B004EE">
        <w:rPr>
          <w:rFonts w:ascii="Tahoma" w:hAnsi="Tahoma" w:cs="Tahoma"/>
          <w:sz w:val="20"/>
          <w:szCs w:val="20"/>
        </w:rPr>
        <w:t>pêchées,</w:t>
      </w:r>
      <w:r w:rsidR="00DB1635" w:rsidRPr="00B004EE">
        <w:rPr>
          <w:rFonts w:ascii="Tahoma" w:hAnsi="Tahoma" w:cs="Tahoma"/>
          <w:sz w:val="20"/>
          <w:szCs w:val="20"/>
        </w:rPr>
        <w:t xml:space="preserve"> </w:t>
      </w:r>
      <w:r w:rsidRPr="00B004EE">
        <w:rPr>
          <w:rFonts w:ascii="Tahoma" w:hAnsi="Tahoma" w:cs="Tahoma"/>
          <w:sz w:val="20"/>
          <w:szCs w:val="20"/>
        </w:rPr>
        <w:t>transbordées</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transportées,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dates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zones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prises</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transbordement,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caractéristiques</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navires,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engins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méthodes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utilisées</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tout</w:t>
      </w:r>
      <w:r w:rsidR="00DB1635" w:rsidRPr="00B004EE">
        <w:rPr>
          <w:rFonts w:ascii="Tahoma" w:hAnsi="Tahoma" w:cs="Tahoma"/>
          <w:sz w:val="20"/>
          <w:szCs w:val="20"/>
        </w:rPr>
        <w:t xml:space="preserve"> </w:t>
      </w:r>
      <w:r w:rsidRPr="00B004EE">
        <w:rPr>
          <w:rFonts w:ascii="Tahoma" w:hAnsi="Tahoma" w:cs="Tahoma"/>
          <w:sz w:val="20"/>
          <w:szCs w:val="20"/>
        </w:rPr>
        <w:t>autre</w:t>
      </w:r>
      <w:r w:rsidR="00DB1635" w:rsidRPr="00B004EE">
        <w:rPr>
          <w:rFonts w:ascii="Tahoma" w:hAnsi="Tahoma" w:cs="Tahoma"/>
          <w:sz w:val="20"/>
          <w:szCs w:val="20"/>
        </w:rPr>
        <w:t xml:space="preserve"> </w:t>
      </w:r>
      <w:r w:rsidRPr="00B004EE">
        <w:rPr>
          <w:rFonts w:ascii="Tahoma" w:hAnsi="Tahoma" w:cs="Tahoma"/>
          <w:sz w:val="20"/>
          <w:szCs w:val="20"/>
        </w:rPr>
        <w:t>renseignement</w:t>
      </w:r>
      <w:r w:rsidR="00DB1635" w:rsidRPr="00B004EE">
        <w:rPr>
          <w:rFonts w:ascii="Tahoma" w:hAnsi="Tahoma" w:cs="Tahoma"/>
          <w:sz w:val="20"/>
          <w:szCs w:val="20"/>
        </w:rPr>
        <w:t xml:space="preserve"> </w:t>
      </w:r>
      <w:r w:rsidRPr="00B004EE">
        <w:rPr>
          <w:rFonts w:ascii="Tahoma" w:hAnsi="Tahoma" w:cs="Tahoma"/>
          <w:sz w:val="20"/>
          <w:szCs w:val="20"/>
        </w:rPr>
        <w:t>utile.</w:t>
      </w:r>
      <w:r w:rsidR="00DB1635" w:rsidRPr="00B004EE">
        <w:rPr>
          <w:rFonts w:ascii="Tahoma" w:hAnsi="Tahoma" w:cs="Tahoma"/>
          <w:sz w:val="20"/>
          <w:szCs w:val="20"/>
        </w:rPr>
        <w:t xml:space="preserve"> </w:t>
      </w:r>
    </w:p>
    <w:p w14:paraId="4A3DBA08" w14:textId="2F877A07" w:rsidR="008518B0" w:rsidRPr="00B004EE" w:rsidRDefault="008518B0" w:rsidP="00B004EE">
      <w:pPr>
        <w:pStyle w:val="Corpsdetexte22"/>
        <w:numPr>
          <w:ilvl w:val="12"/>
          <w:numId w:val="0"/>
        </w:numPr>
        <w:tabs>
          <w:tab w:val="clear" w:pos="4956"/>
        </w:tabs>
        <w:rPr>
          <w:rFonts w:ascii="Tahoma" w:hAnsi="Tahoma" w:cs="Tahoma"/>
          <w:sz w:val="20"/>
          <w:szCs w:val="20"/>
        </w:rPr>
      </w:pP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journal</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bord</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électronique</w:t>
      </w:r>
      <w:r w:rsidR="00DB1635" w:rsidRPr="00B004EE">
        <w:rPr>
          <w:rFonts w:ascii="Tahoma" w:hAnsi="Tahoma" w:cs="Tahoma"/>
          <w:sz w:val="20"/>
          <w:szCs w:val="20"/>
        </w:rPr>
        <w:t xml:space="preserve"> </w:t>
      </w:r>
      <w:r w:rsidRPr="00B004EE">
        <w:rPr>
          <w:rFonts w:ascii="Tahoma" w:hAnsi="Tahoma" w:cs="Tahoma"/>
          <w:sz w:val="20"/>
          <w:szCs w:val="20"/>
        </w:rPr>
        <w:t>sera</w:t>
      </w:r>
      <w:r w:rsidR="00DB1635" w:rsidRPr="00B004EE">
        <w:rPr>
          <w:rFonts w:ascii="Tahoma" w:hAnsi="Tahoma" w:cs="Tahoma"/>
          <w:sz w:val="20"/>
          <w:szCs w:val="20"/>
        </w:rPr>
        <w:t xml:space="preserve"> </w:t>
      </w:r>
      <w:r w:rsidRPr="00B004EE">
        <w:rPr>
          <w:rFonts w:ascii="Tahoma" w:hAnsi="Tahoma" w:cs="Tahoma"/>
          <w:sz w:val="20"/>
          <w:szCs w:val="20"/>
        </w:rPr>
        <w:t>institué</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arrêté.</w:t>
      </w:r>
    </w:p>
    <w:p w14:paraId="3D1695E7" w14:textId="77777777" w:rsidR="008518B0" w:rsidRPr="00B004EE" w:rsidRDefault="008518B0" w:rsidP="00B004EE">
      <w:pPr>
        <w:pStyle w:val="Corpsdetexte22"/>
        <w:numPr>
          <w:ilvl w:val="12"/>
          <w:numId w:val="0"/>
        </w:numPr>
        <w:tabs>
          <w:tab w:val="clear" w:pos="4956"/>
        </w:tabs>
        <w:rPr>
          <w:rFonts w:ascii="Tahoma" w:hAnsi="Tahoma" w:cs="Tahoma"/>
          <w:sz w:val="20"/>
          <w:szCs w:val="20"/>
        </w:rPr>
      </w:pPr>
    </w:p>
    <w:p w14:paraId="2681A652" w14:textId="7B0B5F74" w:rsidR="008518B0" w:rsidRPr="00B004EE" w:rsidRDefault="008518B0" w:rsidP="00B004EE">
      <w:pPr>
        <w:pStyle w:val="Lgende"/>
        <w:jc w:val="center"/>
        <w:rPr>
          <w:rFonts w:ascii="Tahoma" w:hAnsi="Tahoma" w:cs="Tahoma"/>
        </w:rPr>
      </w:pPr>
      <w:r w:rsidRPr="00B004EE">
        <w:rPr>
          <w:rFonts w:ascii="Tahoma" w:hAnsi="Tahoma" w:cs="Tahoma"/>
        </w:rPr>
        <w:t>Section</w:t>
      </w:r>
      <w:r w:rsidR="00DB1635" w:rsidRPr="00B004EE">
        <w:rPr>
          <w:rFonts w:ascii="Tahoma" w:hAnsi="Tahoma" w:cs="Tahoma"/>
        </w:rPr>
        <w:t xml:space="preserve"> </w:t>
      </w:r>
      <w:r w:rsidRPr="00B004EE">
        <w:rPr>
          <w:rFonts w:ascii="Tahoma" w:hAnsi="Tahoma" w:cs="Tahoma"/>
        </w:rPr>
        <w:t>3</w:t>
      </w:r>
      <w:r w:rsidR="00DB1635" w:rsidRPr="00B004EE">
        <w:rPr>
          <w:rFonts w:ascii="Tahoma" w:hAnsi="Tahoma" w:cs="Tahoma"/>
        </w:rPr>
        <w:t xml:space="preserve"> </w:t>
      </w:r>
      <w:r w:rsidRPr="00B004EE">
        <w:rPr>
          <w:rFonts w:ascii="Tahoma" w:hAnsi="Tahoma" w:cs="Tahoma"/>
        </w:rPr>
        <w:t>:</w:t>
      </w:r>
      <w:r w:rsidR="00DB1635" w:rsidRPr="00B004EE">
        <w:rPr>
          <w:rFonts w:ascii="Tahoma" w:hAnsi="Tahoma" w:cs="Tahoma"/>
        </w:rPr>
        <w:t xml:space="preserve"> </w:t>
      </w:r>
      <w:r w:rsidRPr="00B004EE">
        <w:rPr>
          <w:rFonts w:ascii="Tahoma" w:hAnsi="Tahoma" w:cs="Tahoma"/>
        </w:rPr>
        <w:t>Déclarations</w:t>
      </w:r>
      <w:r w:rsidR="00DB1635" w:rsidRPr="00B004EE">
        <w:rPr>
          <w:rFonts w:ascii="Tahoma" w:hAnsi="Tahoma" w:cs="Tahoma"/>
        </w:rPr>
        <w:t xml:space="preserve"> </w:t>
      </w:r>
      <w:r w:rsidRPr="00B004EE">
        <w:rPr>
          <w:rFonts w:ascii="Tahoma" w:hAnsi="Tahoma" w:cs="Tahoma"/>
        </w:rPr>
        <w:t>d’entrée</w:t>
      </w:r>
      <w:r w:rsidR="00DB1635" w:rsidRPr="00B004EE">
        <w:rPr>
          <w:rFonts w:ascii="Tahoma" w:hAnsi="Tahoma" w:cs="Tahoma"/>
        </w:rPr>
        <w:t xml:space="preserve"> </w:t>
      </w:r>
      <w:r w:rsidRPr="00B004EE">
        <w:rPr>
          <w:rFonts w:ascii="Tahoma" w:hAnsi="Tahoma" w:cs="Tahoma"/>
        </w:rPr>
        <w:t>et</w:t>
      </w:r>
      <w:r w:rsidR="00DB1635" w:rsidRPr="00B004EE">
        <w:rPr>
          <w:rFonts w:ascii="Tahoma" w:hAnsi="Tahoma" w:cs="Tahoma"/>
        </w:rPr>
        <w:t xml:space="preserve"> </w:t>
      </w:r>
      <w:r w:rsidRPr="00B004EE">
        <w:rPr>
          <w:rFonts w:ascii="Tahoma" w:hAnsi="Tahoma" w:cs="Tahoma"/>
        </w:rPr>
        <w:t>de</w:t>
      </w:r>
      <w:r w:rsidR="00DB1635" w:rsidRPr="00B004EE">
        <w:rPr>
          <w:rFonts w:ascii="Tahoma" w:hAnsi="Tahoma" w:cs="Tahoma"/>
        </w:rPr>
        <w:t xml:space="preserve"> </w:t>
      </w:r>
      <w:r w:rsidRPr="00B004EE">
        <w:rPr>
          <w:rFonts w:ascii="Tahoma" w:hAnsi="Tahoma" w:cs="Tahoma"/>
        </w:rPr>
        <w:t>sortie</w:t>
      </w:r>
      <w:r w:rsidR="00DB1635" w:rsidRPr="00B004EE">
        <w:rPr>
          <w:rFonts w:ascii="Tahoma" w:hAnsi="Tahoma" w:cs="Tahoma"/>
        </w:rPr>
        <w:t xml:space="preserve"> </w:t>
      </w:r>
      <w:r w:rsidRPr="00B004EE">
        <w:rPr>
          <w:rFonts w:ascii="Tahoma" w:hAnsi="Tahoma" w:cs="Tahoma"/>
        </w:rPr>
        <w:t>et</w:t>
      </w:r>
      <w:r w:rsidR="00DB1635" w:rsidRPr="00B004EE">
        <w:rPr>
          <w:rFonts w:ascii="Tahoma" w:hAnsi="Tahoma" w:cs="Tahoma"/>
        </w:rPr>
        <w:t xml:space="preserve"> </w:t>
      </w:r>
      <w:r w:rsidRPr="00B004EE">
        <w:rPr>
          <w:rFonts w:ascii="Tahoma" w:hAnsi="Tahoma" w:cs="Tahoma"/>
        </w:rPr>
        <w:t>autres</w:t>
      </w:r>
      <w:r w:rsidR="00DB1635" w:rsidRPr="00B004EE">
        <w:rPr>
          <w:rFonts w:ascii="Tahoma" w:hAnsi="Tahoma" w:cs="Tahoma"/>
        </w:rPr>
        <w:t xml:space="preserve"> </w:t>
      </w:r>
      <w:r w:rsidRPr="00B004EE">
        <w:rPr>
          <w:rFonts w:ascii="Tahoma" w:hAnsi="Tahoma" w:cs="Tahoma"/>
        </w:rPr>
        <w:t>déclarations</w:t>
      </w:r>
    </w:p>
    <w:p w14:paraId="56D664BD" w14:textId="77777777" w:rsidR="008518B0" w:rsidRPr="00B004EE" w:rsidRDefault="008518B0" w:rsidP="00B004EE">
      <w:pPr>
        <w:pStyle w:val="Lgende"/>
        <w:jc w:val="center"/>
        <w:rPr>
          <w:rFonts w:ascii="Tahoma" w:hAnsi="Tahoma" w:cs="Tahoma"/>
        </w:rPr>
      </w:pPr>
    </w:p>
    <w:p w14:paraId="79E39567" w14:textId="729484C8" w:rsidR="008518B0" w:rsidRPr="00B004EE" w:rsidRDefault="008518B0" w:rsidP="00B004EE">
      <w:pPr>
        <w:pStyle w:val="article"/>
        <w:numPr>
          <w:ilvl w:val="0"/>
          <w:numId w:val="0"/>
        </w:numPr>
        <w:tabs>
          <w:tab w:val="left" w:pos="1200"/>
        </w:tabs>
        <w:spacing w:before="0" w:line="240" w:lineRule="auto"/>
        <w:rPr>
          <w:rFonts w:ascii="Tahoma" w:hAnsi="Tahoma" w:cs="Tahoma"/>
          <w:sz w:val="20"/>
          <w:szCs w:val="20"/>
        </w:rPr>
      </w:pPr>
      <w:r w:rsidRPr="00B004EE">
        <w:rPr>
          <w:rFonts w:ascii="Tahoma" w:hAnsi="Tahoma" w:cs="Tahoma"/>
          <w:sz w:val="20"/>
          <w:szCs w:val="20"/>
        </w:rPr>
        <w:t>Article</w:t>
      </w:r>
      <w:r w:rsidR="00DB1635" w:rsidRPr="00B004EE">
        <w:rPr>
          <w:rFonts w:ascii="Tahoma" w:hAnsi="Tahoma" w:cs="Tahoma"/>
          <w:sz w:val="20"/>
          <w:szCs w:val="20"/>
        </w:rPr>
        <w:t xml:space="preserve"> </w:t>
      </w:r>
      <w:r w:rsidRPr="00B004EE">
        <w:rPr>
          <w:rFonts w:ascii="Tahoma" w:hAnsi="Tahoma" w:cs="Tahoma"/>
          <w:sz w:val="20"/>
          <w:szCs w:val="20"/>
        </w:rPr>
        <w:t>50</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navires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étrangers</w:t>
      </w:r>
      <w:r w:rsidR="00DB1635" w:rsidRPr="00B004EE">
        <w:rPr>
          <w:rFonts w:ascii="Tahoma" w:hAnsi="Tahoma" w:cs="Tahoma"/>
          <w:sz w:val="20"/>
          <w:szCs w:val="20"/>
        </w:rPr>
        <w:t xml:space="preserve"> </w:t>
      </w:r>
      <w:r w:rsidRPr="00B004EE">
        <w:rPr>
          <w:rFonts w:ascii="Tahoma" w:hAnsi="Tahoma" w:cs="Tahoma"/>
          <w:sz w:val="20"/>
          <w:szCs w:val="20"/>
        </w:rPr>
        <w:t>autorisés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pêcher</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eaux</w:t>
      </w:r>
      <w:r w:rsidR="00DB1635" w:rsidRPr="00B004EE">
        <w:rPr>
          <w:rFonts w:ascii="Tahoma" w:hAnsi="Tahoma" w:cs="Tahoma"/>
          <w:sz w:val="20"/>
          <w:szCs w:val="20"/>
        </w:rPr>
        <w:t xml:space="preserve"> </w:t>
      </w:r>
      <w:r w:rsidRPr="00B004EE">
        <w:rPr>
          <w:rFonts w:ascii="Tahoma" w:hAnsi="Tahoma" w:cs="Tahoma"/>
          <w:sz w:val="20"/>
          <w:szCs w:val="20"/>
        </w:rPr>
        <w:t>sous</w:t>
      </w:r>
      <w:r w:rsidR="00DB1635" w:rsidRPr="00B004EE">
        <w:rPr>
          <w:rFonts w:ascii="Tahoma" w:hAnsi="Tahoma" w:cs="Tahoma"/>
          <w:sz w:val="20"/>
          <w:szCs w:val="20"/>
        </w:rPr>
        <w:t xml:space="preserve"> </w:t>
      </w:r>
      <w:r w:rsidRPr="00B004EE">
        <w:rPr>
          <w:rFonts w:ascii="Tahoma" w:hAnsi="Tahoma" w:cs="Tahoma"/>
          <w:sz w:val="20"/>
          <w:szCs w:val="20"/>
        </w:rPr>
        <w:t>juridiction</w:t>
      </w:r>
      <w:r w:rsidR="00DB1635" w:rsidRPr="00B004EE">
        <w:rPr>
          <w:rFonts w:ascii="Tahoma" w:hAnsi="Tahoma" w:cs="Tahoma"/>
          <w:sz w:val="20"/>
          <w:szCs w:val="20"/>
        </w:rPr>
        <w:t xml:space="preserve"> </w:t>
      </w:r>
      <w:r w:rsidRPr="00B004EE">
        <w:rPr>
          <w:rFonts w:ascii="Tahoma" w:hAnsi="Tahoma" w:cs="Tahoma"/>
          <w:sz w:val="20"/>
          <w:szCs w:val="20"/>
        </w:rPr>
        <w:t>mauritanienne</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tenus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communiquer</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l’administration</w:t>
      </w:r>
      <w:r w:rsidR="00DB1635" w:rsidRPr="00B004EE">
        <w:rPr>
          <w:rFonts w:ascii="Tahoma" w:hAnsi="Tahoma" w:cs="Tahoma"/>
          <w:sz w:val="20"/>
          <w:szCs w:val="20"/>
        </w:rPr>
        <w:t xml:space="preserve"> </w:t>
      </w:r>
      <w:r w:rsidRPr="00B004EE">
        <w:rPr>
          <w:rFonts w:ascii="Tahoma" w:hAnsi="Tahoma" w:cs="Tahoma"/>
          <w:sz w:val="20"/>
          <w:szCs w:val="20"/>
        </w:rPr>
        <w:t>compétente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selon</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modalités</w:t>
      </w:r>
      <w:r w:rsidR="00DB1635" w:rsidRPr="00B004EE">
        <w:rPr>
          <w:rFonts w:ascii="Tahoma" w:hAnsi="Tahoma" w:cs="Tahoma"/>
          <w:sz w:val="20"/>
          <w:szCs w:val="20"/>
        </w:rPr>
        <w:t xml:space="preserve"> </w:t>
      </w:r>
      <w:r w:rsidRPr="00B004EE">
        <w:rPr>
          <w:rFonts w:ascii="Tahoma" w:hAnsi="Tahoma" w:cs="Tahoma"/>
          <w:sz w:val="20"/>
          <w:szCs w:val="20"/>
        </w:rPr>
        <w:t>fixées</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arrêté</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ministre</w:t>
      </w:r>
      <w:r w:rsidR="00DB1635" w:rsidRPr="00B004EE">
        <w:rPr>
          <w:rFonts w:ascii="Tahoma" w:hAnsi="Tahoma" w:cs="Tahoma"/>
          <w:sz w:val="20"/>
          <w:szCs w:val="20"/>
        </w:rPr>
        <w:t xml:space="preserve"> </w:t>
      </w:r>
      <w:r w:rsidRPr="00B004EE">
        <w:rPr>
          <w:rFonts w:ascii="Tahoma" w:hAnsi="Tahoma" w:cs="Tahoma"/>
          <w:sz w:val="20"/>
          <w:szCs w:val="20"/>
        </w:rPr>
        <w:t>chargé</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informations</w:t>
      </w:r>
      <w:r w:rsidR="00DB1635" w:rsidRPr="00B004EE">
        <w:rPr>
          <w:rFonts w:ascii="Tahoma" w:hAnsi="Tahoma" w:cs="Tahoma"/>
          <w:sz w:val="20"/>
          <w:szCs w:val="20"/>
        </w:rPr>
        <w:t xml:space="preserve"> </w:t>
      </w:r>
      <w:r w:rsidRPr="00B004EE">
        <w:rPr>
          <w:rFonts w:ascii="Tahoma" w:hAnsi="Tahoma" w:cs="Tahoma"/>
          <w:sz w:val="20"/>
          <w:szCs w:val="20"/>
        </w:rPr>
        <w:t>indiquant</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moment</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lieu</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leurs</w:t>
      </w:r>
      <w:r w:rsidR="00DB1635" w:rsidRPr="00B004EE">
        <w:rPr>
          <w:rFonts w:ascii="Tahoma" w:hAnsi="Tahoma" w:cs="Tahoma"/>
          <w:sz w:val="20"/>
          <w:szCs w:val="20"/>
        </w:rPr>
        <w:t xml:space="preserve"> </w:t>
      </w:r>
      <w:r w:rsidRPr="00B004EE">
        <w:rPr>
          <w:rFonts w:ascii="Tahoma" w:hAnsi="Tahoma" w:cs="Tahoma"/>
          <w:sz w:val="20"/>
          <w:szCs w:val="20"/>
        </w:rPr>
        <w:t>entrées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sorties</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eaux</w:t>
      </w:r>
      <w:r w:rsidR="00DB1635" w:rsidRPr="00B004EE">
        <w:rPr>
          <w:rFonts w:ascii="Tahoma" w:hAnsi="Tahoma" w:cs="Tahoma"/>
          <w:sz w:val="20"/>
          <w:szCs w:val="20"/>
        </w:rPr>
        <w:t xml:space="preserve"> </w:t>
      </w:r>
      <w:r w:rsidRPr="00B004EE">
        <w:rPr>
          <w:rFonts w:ascii="Tahoma" w:hAnsi="Tahoma" w:cs="Tahoma"/>
          <w:sz w:val="20"/>
          <w:szCs w:val="20"/>
        </w:rPr>
        <w:t>sous</w:t>
      </w:r>
      <w:r w:rsidR="00DB1635" w:rsidRPr="00B004EE">
        <w:rPr>
          <w:rFonts w:ascii="Tahoma" w:hAnsi="Tahoma" w:cs="Tahoma"/>
          <w:sz w:val="20"/>
          <w:szCs w:val="20"/>
        </w:rPr>
        <w:t xml:space="preserve"> </w:t>
      </w:r>
      <w:r w:rsidRPr="00B004EE">
        <w:rPr>
          <w:rFonts w:ascii="Tahoma" w:hAnsi="Tahoma" w:cs="Tahoma"/>
          <w:sz w:val="20"/>
          <w:szCs w:val="20"/>
        </w:rPr>
        <w:t>juridiction</w:t>
      </w:r>
      <w:r w:rsidR="00DB1635" w:rsidRPr="00B004EE">
        <w:rPr>
          <w:rFonts w:ascii="Tahoma" w:hAnsi="Tahoma" w:cs="Tahoma"/>
          <w:sz w:val="20"/>
          <w:szCs w:val="20"/>
        </w:rPr>
        <w:t xml:space="preserve"> </w:t>
      </w:r>
      <w:r w:rsidRPr="00B004EE">
        <w:rPr>
          <w:rFonts w:ascii="Tahoma" w:hAnsi="Tahoma" w:cs="Tahoma"/>
          <w:sz w:val="20"/>
          <w:szCs w:val="20"/>
        </w:rPr>
        <w:t>mauritanienne,</w:t>
      </w:r>
      <w:r w:rsidR="00DB1635" w:rsidRPr="00B004EE">
        <w:rPr>
          <w:rFonts w:ascii="Tahoma" w:hAnsi="Tahoma" w:cs="Tahoma"/>
          <w:sz w:val="20"/>
          <w:szCs w:val="20"/>
        </w:rPr>
        <w:t xml:space="preserve"> </w:t>
      </w:r>
      <w:r w:rsidRPr="00B004EE">
        <w:rPr>
          <w:rFonts w:ascii="Tahoma" w:hAnsi="Tahoma" w:cs="Tahoma"/>
          <w:sz w:val="20"/>
          <w:szCs w:val="20"/>
        </w:rPr>
        <w:t>leur</w:t>
      </w:r>
      <w:r w:rsidR="00DB1635" w:rsidRPr="00B004EE">
        <w:rPr>
          <w:rFonts w:ascii="Tahoma" w:hAnsi="Tahoma" w:cs="Tahoma"/>
          <w:sz w:val="20"/>
          <w:szCs w:val="20"/>
        </w:rPr>
        <w:t xml:space="preserve"> </w:t>
      </w:r>
      <w:r w:rsidRPr="00B004EE">
        <w:rPr>
          <w:rFonts w:ascii="Tahoma" w:hAnsi="Tahoma" w:cs="Tahoma"/>
          <w:sz w:val="20"/>
          <w:szCs w:val="20"/>
        </w:rPr>
        <w:t>position</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intervalles</w:t>
      </w:r>
      <w:r w:rsidR="00DB1635" w:rsidRPr="00B004EE">
        <w:rPr>
          <w:rFonts w:ascii="Tahoma" w:hAnsi="Tahoma" w:cs="Tahoma"/>
          <w:sz w:val="20"/>
          <w:szCs w:val="20"/>
        </w:rPr>
        <w:t xml:space="preserve"> </w:t>
      </w:r>
      <w:r w:rsidRPr="00B004EE">
        <w:rPr>
          <w:rFonts w:ascii="Tahoma" w:hAnsi="Tahoma" w:cs="Tahoma"/>
          <w:sz w:val="20"/>
          <w:szCs w:val="20"/>
        </w:rPr>
        <w:t>réguliers,</w:t>
      </w:r>
      <w:r w:rsidR="00DB1635" w:rsidRPr="00B004EE">
        <w:rPr>
          <w:rFonts w:ascii="Tahoma" w:hAnsi="Tahoma" w:cs="Tahoma"/>
          <w:sz w:val="20"/>
          <w:szCs w:val="20"/>
        </w:rPr>
        <w:t xml:space="preserve"> </w:t>
      </w:r>
      <w:r w:rsidRPr="00B004EE">
        <w:rPr>
          <w:rFonts w:ascii="Tahoma" w:hAnsi="Tahoma" w:cs="Tahoma"/>
          <w:sz w:val="20"/>
          <w:szCs w:val="20"/>
        </w:rPr>
        <w:t>leur</w:t>
      </w:r>
      <w:r w:rsidR="00DB1635" w:rsidRPr="00B004EE">
        <w:rPr>
          <w:rFonts w:ascii="Tahoma" w:hAnsi="Tahoma" w:cs="Tahoma"/>
          <w:sz w:val="20"/>
          <w:szCs w:val="20"/>
        </w:rPr>
        <w:t xml:space="preserve"> </w:t>
      </w:r>
      <w:r w:rsidRPr="00B004EE">
        <w:rPr>
          <w:rFonts w:ascii="Tahoma" w:hAnsi="Tahoma" w:cs="Tahoma"/>
          <w:sz w:val="20"/>
          <w:szCs w:val="20"/>
        </w:rPr>
        <w:t>cargaison</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titres</w:t>
      </w:r>
      <w:r w:rsidR="00DB1635" w:rsidRPr="00B004EE">
        <w:rPr>
          <w:rFonts w:ascii="Tahoma" w:hAnsi="Tahoma" w:cs="Tahoma"/>
          <w:sz w:val="20"/>
          <w:szCs w:val="20"/>
        </w:rPr>
        <w:t xml:space="preserve"> </w:t>
      </w:r>
      <w:r w:rsidRPr="00B004EE">
        <w:rPr>
          <w:rFonts w:ascii="Tahoma" w:hAnsi="Tahoma" w:cs="Tahoma"/>
          <w:sz w:val="20"/>
          <w:szCs w:val="20"/>
        </w:rPr>
        <w:t>justificatifs</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captures</w:t>
      </w:r>
      <w:r w:rsidR="00DB1635" w:rsidRPr="00B004EE">
        <w:rPr>
          <w:rFonts w:ascii="Tahoma" w:hAnsi="Tahoma" w:cs="Tahoma"/>
          <w:sz w:val="20"/>
          <w:szCs w:val="20"/>
        </w:rPr>
        <w:t xml:space="preserve"> </w:t>
      </w:r>
      <w:r w:rsidRPr="00B004EE">
        <w:rPr>
          <w:rFonts w:ascii="Tahoma" w:hAnsi="Tahoma" w:cs="Tahoma"/>
          <w:sz w:val="20"/>
          <w:szCs w:val="20"/>
        </w:rPr>
        <w:t>éventuelles</w:t>
      </w:r>
      <w:r w:rsidR="00DB1635" w:rsidRPr="00B004EE">
        <w:rPr>
          <w:rFonts w:ascii="Tahoma" w:hAnsi="Tahoma" w:cs="Tahoma"/>
          <w:sz w:val="20"/>
          <w:szCs w:val="20"/>
        </w:rPr>
        <w:t xml:space="preserve"> </w:t>
      </w:r>
      <w:r w:rsidRPr="00B004EE">
        <w:rPr>
          <w:rFonts w:ascii="Tahoma" w:hAnsi="Tahoma" w:cs="Tahoma"/>
          <w:sz w:val="20"/>
          <w:szCs w:val="20"/>
        </w:rPr>
        <w:t>effectuées.</w:t>
      </w:r>
      <w:r w:rsidR="00DB1635" w:rsidRPr="00B004EE">
        <w:rPr>
          <w:rFonts w:ascii="Tahoma" w:hAnsi="Tahoma" w:cs="Tahoma"/>
          <w:sz w:val="20"/>
          <w:szCs w:val="20"/>
        </w:rPr>
        <w:t xml:space="preserve"> </w:t>
      </w:r>
    </w:p>
    <w:p w14:paraId="2182AFF3" w14:textId="77777777" w:rsidR="00A621C8" w:rsidRPr="00B004EE" w:rsidRDefault="00A621C8" w:rsidP="00B004EE">
      <w:pPr>
        <w:pStyle w:val="article"/>
        <w:numPr>
          <w:ilvl w:val="0"/>
          <w:numId w:val="0"/>
        </w:numPr>
        <w:tabs>
          <w:tab w:val="left" w:pos="1200"/>
        </w:tabs>
        <w:spacing w:before="0" w:line="240" w:lineRule="auto"/>
        <w:rPr>
          <w:rFonts w:ascii="Tahoma" w:hAnsi="Tahoma" w:cs="Tahoma"/>
          <w:sz w:val="20"/>
          <w:szCs w:val="20"/>
        </w:rPr>
      </w:pPr>
    </w:p>
    <w:p w14:paraId="2AE77C17" w14:textId="0ABC80E0" w:rsidR="008518B0" w:rsidRPr="00B004EE" w:rsidRDefault="008518B0" w:rsidP="00B004EE">
      <w:pPr>
        <w:pStyle w:val="Lgende"/>
        <w:jc w:val="center"/>
        <w:rPr>
          <w:rFonts w:ascii="Tahoma" w:hAnsi="Tahoma" w:cs="Tahoma"/>
        </w:rPr>
      </w:pPr>
      <w:r w:rsidRPr="00B004EE">
        <w:rPr>
          <w:rFonts w:ascii="Tahoma" w:hAnsi="Tahoma" w:cs="Tahoma"/>
        </w:rPr>
        <w:t>Section</w:t>
      </w:r>
      <w:r w:rsidR="00DB1635" w:rsidRPr="00B004EE">
        <w:rPr>
          <w:rFonts w:ascii="Tahoma" w:hAnsi="Tahoma" w:cs="Tahoma"/>
        </w:rPr>
        <w:t xml:space="preserve"> </w:t>
      </w:r>
      <w:r w:rsidRPr="00B004EE">
        <w:rPr>
          <w:rFonts w:ascii="Tahoma" w:hAnsi="Tahoma" w:cs="Tahoma"/>
        </w:rPr>
        <w:t>4</w:t>
      </w:r>
      <w:r w:rsidR="00DB1635" w:rsidRPr="00B004EE">
        <w:rPr>
          <w:rFonts w:ascii="Tahoma" w:hAnsi="Tahoma" w:cs="Tahoma"/>
        </w:rPr>
        <w:t xml:space="preserve"> </w:t>
      </w:r>
      <w:r w:rsidRPr="00B004EE">
        <w:rPr>
          <w:rFonts w:ascii="Tahoma" w:hAnsi="Tahoma" w:cs="Tahoma"/>
        </w:rPr>
        <w:t>:</w:t>
      </w:r>
      <w:r w:rsidR="00DB1635" w:rsidRPr="00B004EE">
        <w:rPr>
          <w:rFonts w:ascii="Tahoma" w:hAnsi="Tahoma" w:cs="Tahoma"/>
        </w:rPr>
        <w:t xml:space="preserve"> </w:t>
      </w:r>
      <w:r w:rsidRPr="00B004EE">
        <w:rPr>
          <w:rFonts w:ascii="Tahoma" w:hAnsi="Tahoma" w:cs="Tahoma"/>
        </w:rPr>
        <w:t>Des</w:t>
      </w:r>
      <w:r w:rsidR="00DB1635" w:rsidRPr="00B004EE">
        <w:rPr>
          <w:rFonts w:ascii="Tahoma" w:hAnsi="Tahoma" w:cs="Tahoma"/>
        </w:rPr>
        <w:t xml:space="preserve"> </w:t>
      </w:r>
      <w:r w:rsidRPr="00B004EE">
        <w:rPr>
          <w:rFonts w:ascii="Tahoma" w:hAnsi="Tahoma" w:cs="Tahoma"/>
        </w:rPr>
        <w:t>observateurs</w:t>
      </w:r>
      <w:r w:rsidR="00DB1635" w:rsidRPr="00B004EE">
        <w:rPr>
          <w:rFonts w:ascii="Tahoma" w:hAnsi="Tahoma" w:cs="Tahoma"/>
        </w:rPr>
        <w:t xml:space="preserve"> </w:t>
      </w:r>
      <w:r w:rsidRPr="00B004EE">
        <w:rPr>
          <w:rFonts w:ascii="Tahoma" w:hAnsi="Tahoma" w:cs="Tahoma"/>
        </w:rPr>
        <w:t>scientifiques</w:t>
      </w:r>
      <w:r w:rsidR="00DB1635" w:rsidRPr="00B004EE">
        <w:rPr>
          <w:rFonts w:ascii="Tahoma" w:hAnsi="Tahoma" w:cs="Tahoma"/>
        </w:rPr>
        <w:t xml:space="preserve"> </w:t>
      </w:r>
      <w:r w:rsidRPr="00B004EE">
        <w:rPr>
          <w:rFonts w:ascii="Tahoma" w:hAnsi="Tahoma" w:cs="Tahoma"/>
        </w:rPr>
        <w:t>et</w:t>
      </w:r>
      <w:r w:rsidR="00DB1635" w:rsidRPr="00B004EE">
        <w:rPr>
          <w:rFonts w:ascii="Tahoma" w:hAnsi="Tahoma" w:cs="Tahoma"/>
        </w:rPr>
        <w:t xml:space="preserve"> </w:t>
      </w:r>
      <w:r w:rsidRPr="00B004EE">
        <w:rPr>
          <w:rFonts w:ascii="Tahoma" w:hAnsi="Tahoma" w:cs="Tahoma"/>
        </w:rPr>
        <w:t>autres</w:t>
      </w:r>
      <w:r w:rsidR="00DB1635" w:rsidRPr="00B004EE">
        <w:rPr>
          <w:rFonts w:ascii="Tahoma" w:hAnsi="Tahoma" w:cs="Tahoma"/>
        </w:rPr>
        <w:t xml:space="preserve"> </w:t>
      </w:r>
      <w:r w:rsidRPr="00B004EE">
        <w:rPr>
          <w:rFonts w:ascii="Tahoma" w:hAnsi="Tahoma" w:cs="Tahoma"/>
        </w:rPr>
        <w:t>agents</w:t>
      </w:r>
      <w:r w:rsidR="00DB1635" w:rsidRPr="00B004EE">
        <w:rPr>
          <w:rFonts w:ascii="Tahoma" w:hAnsi="Tahoma" w:cs="Tahoma"/>
        </w:rPr>
        <w:t xml:space="preserve"> </w:t>
      </w:r>
      <w:r w:rsidRPr="00B004EE">
        <w:rPr>
          <w:rFonts w:ascii="Tahoma" w:hAnsi="Tahoma" w:cs="Tahoma"/>
        </w:rPr>
        <w:t>de</w:t>
      </w:r>
      <w:r w:rsidR="00DB1635" w:rsidRPr="00B004EE">
        <w:rPr>
          <w:rFonts w:ascii="Tahoma" w:hAnsi="Tahoma" w:cs="Tahoma"/>
        </w:rPr>
        <w:t xml:space="preserve"> </w:t>
      </w:r>
      <w:r w:rsidRPr="00B004EE">
        <w:rPr>
          <w:rFonts w:ascii="Tahoma" w:hAnsi="Tahoma" w:cs="Tahoma"/>
        </w:rPr>
        <w:t>collecte</w:t>
      </w:r>
      <w:r w:rsidR="00DB1635" w:rsidRPr="00B004EE">
        <w:rPr>
          <w:rFonts w:ascii="Tahoma" w:hAnsi="Tahoma" w:cs="Tahoma"/>
        </w:rPr>
        <w:t xml:space="preserve"> </w:t>
      </w:r>
      <w:r w:rsidRPr="00B004EE">
        <w:rPr>
          <w:rFonts w:ascii="Tahoma" w:hAnsi="Tahoma" w:cs="Tahoma"/>
        </w:rPr>
        <w:t>de</w:t>
      </w:r>
      <w:r w:rsidR="00DB1635" w:rsidRPr="00B004EE">
        <w:rPr>
          <w:rFonts w:ascii="Tahoma" w:hAnsi="Tahoma" w:cs="Tahoma"/>
        </w:rPr>
        <w:t xml:space="preserve"> </w:t>
      </w:r>
      <w:r w:rsidRPr="00B004EE">
        <w:rPr>
          <w:rFonts w:ascii="Tahoma" w:hAnsi="Tahoma" w:cs="Tahoma"/>
        </w:rPr>
        <w:t>données</w:t>
      </w:r>
    </w:p>
    <w:p w14:paraId="666DE8A3" w14:textId="77777777" w:rsidR="00A621C8" w:rsidRPr="00B004EE" w:rsidRDefault="00A621C8" w:rsidP="00B004EE">
      <w:pPr>
        <w:pStyle w:val="Lgende"/>
        <w:jc w:val="center"/>
        <w:rPr>
          <w:rFonts w:ascii="Tahoma" w:hAnsi="Tahoma" w:cs="Tahoma"/>
        </w:rPr>
      </w:pPr>
    </w:p>
    <w:p w14:paraId="0D9058F2" w14:textId="7F1882C2" w:rsidR="008518B0" w:rsidRPr="00B004EE" w:rsidRDefault="008518B0" w:rsidP="00B004EE">
      <w:pPr>
        <w:pStyle w:val="article"/>
        <w:numPr>
          <w:ilvl w:val="0"/>
          <w:numId w:val="0"/>
        </w:numPr>
        <w:tabs>
          <w:tab w:val="left" w:pos="1200"/>
        </w:tabs>
        <w:spacing w:before="0" w:line="240" w:lineRule="auto"/>
        <w:rPr>
          <w:rFonts w:ascii="Tahoma" w:hAnsi="Tahoma" w:cs="Tahoma"/>
          <w:sz w:val="20"/>
          <w:szCs w:val="20"/>
        </w:rPr>
      </w:pPr>
      <w:r w:rsidRPr="00B004EE">
        <w:rPr>
          <w:rFonts w:ascii="Tahoma" w:hAnsi="Tahoma" w:cs="Tahoma"/>
          <w:sz w:val="20"/>
          <w:szCs w:val="20"/>
        </w:rPr>
        <w:t>Article</w:t>
      </w:r>
      <w:r w:rsidR="00DB1635" w:rsidRPr="00B004EE">
        <w:rPr>
          <w:rFonts w:ascii="Tahoma" w:hAnsi="Tahoma" w:cs="Tahoma"/>
          <w:sz w:val="20"/>
          <w:szCs w:val="20"/>
        </w:rPr>
        <w:t xml:space="preserve"> </w:t>
      </w:r>
      <w:r w:rsidRPr="00B004EE">
        <w:rPr>
          <w:rFonts w:ascii="Tahoma" w:hAnsi="Tahoma" w:cs="Tahoma"/>
          <w:sz w:val="20"/>
          <w:szCs w:val="20"/>
        </w:rPr>
        <w:t>51</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Tout</w:t>
      </w:r>
      <w:r w:rsidR="00DB1635" w:rsidRPr="00B004EE">
        <w:rPr>
          <w:rFonts w:ascii="Tahoma" w:hAnsi="Tahoma" w:cs="Tahoma"/>
          <w:sz w:val="20"/>
          <w:szCs w:val="20"/>
        </w:rPr>
        <w:t xml:space="preserve"> </w:t>
      </w:r>
      <w:r w:rsidRPr="00B004EE">
        <w:rPr>
          <w:rFonts w:ascii="Tahoma" w:hAnsi="Tahoma" w:cs="Tahoma"/>
          <w:sz w:val="20"/>
          <w:szCs w:val="20"/>
        </w:rPr>
        <w:t>capitaine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navire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hauturière</w:t>
      </w:r>
      <w:r w:rsidR="00DB1635" w:rsidRPr="00B004EE">
        <w:rPr>
          <w:rFonts w:ascii="Tahoma" w:hAnsi="Tahoma" w:cs="Tahoma"/>
          <w:sz w:val="20"/>
          <w:szCs w:val="20"/>
        </w:rPr>
        <w:t xml:space="preserve"> </w:t>
      </w:r>
      <w:r w:rsidRPr="00B004EE">
        <w:rPr>
          <w:rFonts w:ascii="Tahoma" w:hAnsi="Tahoma" w:cs="Tahoma"/>
          <w:sz w:val="20"/>
          <w:szCs w:val="20"/>
        </w:rPr>
        <w:t>autorisé</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opérer</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eaux</w:t>
      </w:r>
      <w:r w:rsidR="00DB1635" w:rsidRPr="00B004EE">
        <w:rPr>
          <w:rFonts w:ascii="Tahoma" w:hAnsi="Tahoma" w:cs="Tahoma"/>
          <w:sz w:val="20"/>
          <w:szCs w:val="20"/>
        </w:rPr>
        <w:t xml:space="preserve"> </w:t>
      </w:r>
      <w:r w:rsidRPr="00B004EE">
        <w:rPr>
          <w:rFonts w:ascii="Tahoma" w:hAnsi="Tahoma" w:cs="Tahoma"/>
          <w:sz w:val="20"/>
          <w:szCs w:val="20"/>
        </w:rPr>
        <w:t>sous</w:t>
      </w:r>
      <w:r w:rsidR="00DB1635" w:rsidRPr="00B004EE">
        <w:rPr>
          <w:rFonts w:ascii="Tahoma" w:hAnsi="Tahoma" w:cs="Tahoma"/>
          <w:sz w:val="20"/>
          <w:szCs w:val="20"/>
        </w:rPr>
        <w:t xml:space="preserve"> </w:t>
      </w:r>
      <w:r w:rsidRPr="00B004EE">
        <w:rPr>
          <w:rFonts w:ascii="Tahoma" w:hAnsi="Tahoma" w:cs="Tahoma"/>
          <w:sz w:val="20"/>
          <w:szCs w:val="20"/>
        </w:rPr>
        <w:t>juridiction</w:t>
      </w:r>
      <w:r w:rsidR="00DB1635" w:rsidRPr="00B004EE">
        <w:rPr>
          <w:rFonts w:ascii="Tahoma" w:hAnsi="Tahoma" w:cs="Tahoma"/>
          <w:sz w:val="20"/>
          <w:szCs w:val="20"/>
        </w:rPr>
        <w:t xml:space="preserve"> </w:t>
      </w:r>
      <w:r w:rsidRPr="00B004EE">
        <w:rPr>
          <w:rFonts w:ascii="Tahoma" w:hAnsi="Tahoma" w:cs="Tahoma"/>
          <w:sz w:val="20"/>
          <w:szCs w:val="20"/>
        </w:rPr>
        <w:t>mauritanienne</w:t>
      </w:r>
      <w:r w:rsidR="00DB1635" w:rsidRPr="00B004EE">
        <w:rPr>
          <w:rFonts w:ascii="Tahoma" w:hAnsi="Tahoma" w:cs="Tahoma"/>
          <w:sz w:val="20"/>
          <w:szCs w:val="20"/>
        </w:rPr>
        <w:t xml:space="preserve"> </w:t>
      </w:r>
      <w:r w:rsidRPr="00B004EE">
        <w:rPr>
          <w:rFonts w:ascii="Tahoma" w:hAnsi="Tahoma" w:cs="Tahoma"/>
          <w:sz w:val="20"/>
          <w:szCs w:val="20"/>
        </w:rPr>
        <w:t>devra,</w:t>
      </w:r>
      <w:r w:rsidR="00DB1635" w:rsidRPr="00B004EE">
        <w:rPr>
          <w:rFonts w:ascii="Tahoma" w:hAnsi="Tahoma" w:cs="Tahoma"/>
          <w:sz w:val="20"/>
          <w:szCs w:val="20"/>
        </w:rPr>
        <w:t xml:space="preserve"> </w:t>
      </w:r>
      <w:r w:rsidRPr="00B004EE">
        <w:rPr>
          <w:rFonts w:ascii="Tahoma" w:hAnsi="Tahoma" w:cs="Tahoma"/>
          <w:sz w:val="20"/>
          <w:szCs w:val="20"/>
        </w:rPr>
        <w:t>lorsqu'il</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requis</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l'autorité</w:t>
      </w:r>
      <w:r w:rsidR="00DB1635" w:rsidRPr="00B004EE">
        <w:rPr>
          <w:rFonts w:ascii="Tahoma" w:hAnsi="Tahoma" w:cs="Tahoma"/>
          <w:sz w:val="20"/>
          <w:szCs w:val="20"/>
        </w:rPr>
        <w:t xml:space="preserve"> </w:t>
      </w:r>
      <w:r w:rsidRPr="00B004EE">
        <w:rPr>
          <w:rFonts w:ascii="Tahoma" w:hAnsi="Tahoma" w:cs="Tahoma"/>
          <w:sz w:val="20"/>
          <w:szCs w:val="20"/>
        </w:rPr>
        <w:t>compétente,</w:t>
      </w:r>
      <w:r w:rsidR="00DB1635" w:rsidRPr="00B004EE">
        <w:rPr>
          <w:rFonts w:ascii="Tahoma" w:hAnsi="Tahoma" w:cs="Tahoma"/>
          <w:sz w:val="20"/>
          <w:szCs w:val="20"/>
        </w:rPr>
        <w:t xml:space="preserve"> </w:t>
      </w:r>
      <w:r w:rsidRPr="00B004EE">
        <w:rPr>
          <w:rFonts w:ascii="Tahoma" w:hAnsi="Tahoma" w:cs="Tahoma"/>
          <w:sz w:val="20"/>
          <w:szCs w:val="20"/>
        </w:rPr>
        <w:t>permettre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l’observateur</w:t>
      </w:r>
      <w:r w:rsidR="00DB1635" w:rsidRPr="00B004EE">
        <w:rPr>
          <w:rFonts w:ascii="Tahoma" w:hAnsi="Tahoma" w:cs="Tahoma"/>
          <w:sz w:val="20"/>
          <w:szCs w:val="20"/>
        </w:rPr>
        <w:t xml:space="preserve"> </w:t>
      </w:r>
      <w:r w:rsidRPr="00B004EE">
        <w:rPr>
          <w:rFonts w:ascii="Tahoma" w:hAnsi="Tahoma" w:cs="Tahoma"/>
          <w:sz w:val="20"/>
          <w:szCs w:val="20"/>
        </w:rPr>
        <w:t>scientifique</w:t>
      </w:r>
      <w:r w:rsidR="00DB1635" w:rsidRPr="00B004EE">
        <w:rPr>
          <w:rFonts w:ascii="Tahoma" w:hAnsi="Tahoma" w:cs="Tahoma"/>
          <w:sz w:val="20"/>
          <w:szCs w:val="20"/>
        </w:rPr>
        <w:t xml:space="preserve"> </w:t>
      </w:r>
      <w:r w:rsidRPr="00B004EE">
        <w:rPr>
          <w:rFonts w:ascii="Tahoma" w:hAnsi="Tahoma" w:cs="Tahoma"/>
          <w:sz w:val="20"/>
          <w:szCs w:val="20"/>
        </w:rPr>
        <w:t>mauritanien</w:t>
      </w:r>
      <w:r w:rsidR="00DB1635" w:rsidRPr="00B004EE">
        <w:rPr>
          <w:rFonts w:ascii="Tahoma" w:hAnsi="Tahoma" w:cs="Tahoma"/>
          <w:sz w:val="20"/>
          <w:szCs w:val="20"/>
        </w:rPr>
        <w:t xml:space="preserve"> </w:t>
      </w:r>
      <w:r w:rsidRPr="00B004EE">
        <w:rPr>
          <w:rFonts w:ascii="Tahoma" w:hAnsi="Tahoma" w:cs="Tahoma"/>
          <w:sz w:val="20"/>
          <w:szCs w:val="20"/>
        </w:rPr>
        <w:t>d’embarquer</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bord</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navire</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durée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son</w:t>
      </w:r>
      <w:r w:rsidR="00DB1635" w:rsidRPr="00B004EE">
        <w:rPr>
          <w:rFonts w:ascii="Tahoma" w:hAnsi="Tahoma" w:cs="Tahoma"/>
          <w:sz w:val="20"/>
          <w:szCs w:val="20"/>
        </w:rPr>
        <w:t xml:space="preserve"> </w:t>
      </w:r>
      <w:r w:rsidRPr="00B004EE">
        <w:rPr>
          <w:rFonts w:ascii="Tahoma" w:hAnsi="Tahoma" w:cs="Tahoma"/>
          <w:sz w:val="20"/>
          <w:szCs w:val="20"/>
        </w:rPr>
        <w:t>séjour</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l'intérieur</w:t>
      </w:r>
      <w:r w:rsidR="00DB1635" w:rsidRPr="00B004EE">
        <w:rPr>
          <w:rFonts w:ascii="Tahoma" w:hAnsi="Tahoma" w:cs="Tahoma"/>
          <w:sz w:val="20"/>
          <w:szCs w:val="20"/>
        </w:rPr>
        <w:t xml:space="preserve"> </w:t>
      </w:r>
      <w:r w:rsidRPr="00B004EE">
        <w:rPr>
          <w:rFonts w:ascii="Tahoma" w:hAnsi="Tahoma" w:cs="Tahoma"/>
          <w:sz w:val="20"/>
          <w:szCs w:val="20"/>
        </w:rPr>
        <w:t>desdites</w:t>
      </w:r>
      <w:r w:rsidR="00DB1635" w:rsidRPr="00B004EE">
        <w:rPr>
          <w:rFonts w:ascii="Tahoma" w:hAnsi="Tahoma" w:cs="Tahoma"/>
          <w:sz w:val="20"/>
          <w:szCs w:val="20"/>
        </w:rPr>
        <w:t xml:space="preserve"> </w:t>
      </w:r>
      <w:r w:rsidRPr="00B004EE">
        <w:rPr>
          <w:rFonts w:ascii="Tahoma" w:hAnsi="Tahoma" w:cs="Tahoma"/>
          <w:sz w:val="20"/>
          <w:szCs w:val="20"/>
        </w:rPr>
        <w:t>eaux.</w:t>
      </w:r>
      <w:r w:rsidR="00DB1635" w:rsidRPr="00B004EE">
        <w:rPr>
          <w:rFonts w:ascii="Tahoma" w:hAnsi="Tahoma" w:cs="Tahoma"/>
          <w:sz w:val="20"/>
          <w:szCs w:val="20"/>
        </w:rPr>
        <w:t xml:space="preserve"> </w:t>
      </w:r>
      <w:r w:rsidRPr="00B004EE">
        <w:rPr>
          <w:rFonts w:ascii="Tahoma" w:hAnsi="Tahoma" w:cs="Tahoma"/>
          <w:sz w:val="20"/>
          <w:szCs w:val="20"/>
        </w:rPr>
        <w:t>A</w:t>
      </w:r>
      <w:r w:rsidR="00DB1635" w:rsidRPr="00B004EE">
        <w:rPr>
          <w:rFonts w:ascii="Tahoma" w:hAnsi="Tahoma" w:cs="Tahoma"/>
          <w:sz w:val="20"/>
          <w:szCs w:val="20"/>
        </w:rPr>
        <w:t xml:space="preserve"> </w:t>
      </w:r>
      <w:r w:rsidRPr="00B004EE">
        <w:rPr>
          <w:rFonts w:ascii="Tahoma" w:hAnsi="Tahoma" w:cs="Tahoma"/>
          <w:sz w:val="20"/>
          <w:szCs w:val="20"/>
        </w:rPr>
        <w:t>cet</w:t>
      </w:r>
      <w:r w:rsidR="00DB1635" w:rsidRPr="00B004EE">
        <w:rPr>
          <w:rFonts w:ascii="Tahoma" w:hAnsi="Tahoma" w:cs="Tahoma"/>
          <w:sz w:val="20"/>
          <w:szCs w:val="20"/>
        </w:rPr>
        <w:t xml:space="preserve"> </w:t>
      </w:r>
      <w:r w:rsidRPr="00B004EE">
        <w:rPr>
          <w:rFonts w:ascii="Tahoma" w:hAnsi="Tahoma" w:cs="Tahoma"/>
          <w:sz w:val="20"/>
          <w:szCs w:val="20"/>
        </w:rPr>
        <w:t>effet,</w:t>
      </w:r>
      <w:r w:rsidR="00DB1635" w:rsidRPr="00B004EE">
        <w:rPr>
          <w:rFonts w:ascii="Tahoma" w:hAnsi="Tahoma" w:cs="Tahoma"/>
          <w:sz w:val="20"/>
          <w:szCs w:val="20"/>
        </w:rPr>
        <w:t xml:space="preserve"> </w:t>
      </w:r>
      <w:r w:rsidRPr="00B004EE">
        <w:rPr>
          <w:rFonts w:ascii="Tahoma" w:hAnsi="Tahoma" w:cs="Tahoma"/>
          <w:sz w:val="20"/>
          <w:szCs w:val="20"/>
        </w:rPr>
        <w:t>il</w:t>
      </w:r>
      <w:r w:rsidR="00DB1635" w:rsidRPr="00B004EE">
        <w:rPr>
          <w:rFonts w:ascii="Tahoma" w:hAnsi="Tahoma" w:cs="Tahoma"/>
          <w:sz w:val="20"/>
          <w:szCs w:val="20"/>
        </w:rPr>
        <w:t xml:space="preserve"> </w:t>
      </w:r>
      <w:r w:rsidRPr="00B004EE">
        <w:rPr>
          <w:rFonts w:ascii="Tahoma" w:hAnsi="Tahoma" w:cs="Tahoma"/>
          <w:sz w:val="20"/>
          <w:szCs w:val="20"/>
        </w:rPr>
        <w:t>dirigera</w:t>
      </w:r>
      <w:r w:rsidR="00DB1635" w:rsidRPr="00B004EE">
        <w:rPr>
          <w:rFonts w:ascii="Tahoma" w:hAnsi="Tahoma" w:cs="Tahoma"/>
          <w:sz w:val="20"/>
          <w:szCs w:val="20"/>
        </w:rPr>
        <w:t xml:space="preserve"> </w:t>
      </w:r>
      <w:r w:rsidRPr="00B004EE">
        <w:rPr>
          <w:rFonts w:ascii="Tahoma" w:hAnsi="Tahoma" w:cs="Tahoma"/>
          <w:sz w:val="20"/>
          <w:szCs w:val="20"/>
        </w:rPr>
        <w:t>son</w:t>
      </w:r>
      <w:r w:rsidR="00DB1635" w:rsidRPr="00B004EE">
        <w:rPr>
          <w:rFonts w:ascii="Tahoma" w:hAnsi="Tahoma" w:cs="Tahoma"/>
          <w:sz w:val="20"/>
          <w:szCs w:val="20"/>
        </w:rPr>
        <w:t xml:space="preserve"> </w:t>
      </w:r>
      <w:r w:rsidRPr="00B004EE">
        <w:rPr>
          <w:rFonts w:ascii="Tahoma" w:hAnsi="Tahoma" w:cs="Tahoma"/>
          <w:sz w:val="20"/>
          <w:szCs w:val="20"/>
        </w:rPr>
        <w:t>navire</w:t>
      </w:r>
      <w:r w:rsidR="00DB1635" w:rsidRPr="00B004EE">
        <w:rPr>
          <w:rFonts w:ascii="Tahoma" w:hAnsi="Tahoma" w:cs="Tahoma"/>
          <w:sz w:val="20"/>
          <w:szCs w:val="20"/>
        </w:rPr>
        <w:t xml:space="preserve"> </w:t>
      </w:r>
      <w:r w:rsidRPr="00B004EE">
        <w:rPr>
          <w:rFonts w:ascii="Tahoma" w:hAnsi="Tahoma" w:cs="Tahoma"/>
          <w:sz w:val="20"/>
          <w:szCs w:val="20"/>
        </w:rPr>
        <w:t>vers</w:t>
      </w:r>
      <w:r w:rsidR="00DB1635" w:rsidRPr="00B004EE">
        <w:rPr>
          <w:rFonts w:ascii="Tahoma" w:hAnsi="Tahoma" w:cs="Tahoma"/>
          <w:sz w:val="20"/>
          <w:szCs w:val="20"/>
        </w:rPr>
        <w:t xml:space="preserve"> </w:t>
      </w: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port</w:t>
      </w:r>
      <w:r w:rsidR="00DB1635" w:rsidRPr="00B004EE">
        <w:rPr>
          <w:rFonts w:ascii="Tahoma" w:hAnsi="Tahoma" w:cs="Tahoma"/>
          <w:sz w:val="20"/>
          <w:szCs w:val="20"/>
        </w:rPr>
        <w:t xml:space="preserve"> </w:t>
      </w:r>
      <w:r w:rsidRPr="00B004EE">
        <w:rPr>
          <w:rFonts w:ascii="Tahoma" w:hAnsi="Tahoma" w:cs="Tahoma"/>
          <w:sz w:val="20"/>
          <w:szCs w:val="20"/>
        </w:rPr>
        <w:t>mauritanien</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tout</w:t>
      </w:r>
      <w:r w:rsidR="00DB1635" w:rsidRPr="00B004EE">
        <w:rPr>
          <w:rFonts w:ascii="Tahoma" w:hAnsi="Tahoma" w:cs="Tahoma"/>
          <w:sz w:val="20"/>
          <w:szCs w:val="20"/>
        </w:rPr>
        <w:t xml:space="preserve"> </w:t>
      </w:r>
      <w:r w:rsidRPr="00B004EE">
        <w:rPr>
          <w:rFonts w:ascii="Tahoma" w:hAnsi="Tahoma" w:cs="Tahoma"/>
          <w:sz w:val="20"/>
          <w:szCs w:val="20"/>
        </w:rPr>
        <w:t>autre</w:t>
      </w:r>
      <w:r w:rsidR="00DB1635" w:rsidRPr="00B004EE">
        <w:rPr>
          <w:rFonts w:ascii="Tahoma" w:hAnsi="Tahoma" w:cs="Tahoma"/>
          <w:sz w:val="20"/>
          <w:szCs w:val="20"/>
        </w:rPr>
        <w:t xml:space="preserve"> </w:t>
      </w:r>
      <w:r w:rsidRPr="00B004EE">
        <w:rPr>
          <w:rFonts w:ascii="Tahoma" w:hAnsi="Tahoma" w:cs="Tahoma"/>
          <w:sz w:val="20"/>
          <w:szCs w:val="20"/>
        </w:rPr>
        <w:t>endroit</w:t>
      </w:r>
      <w:r w:rsidR="00DB1635" w:rsidRPr="00B004EE">
        <w:rPr>
          <w:rFonts w:ascii="Tahoma" w:hAnsi="Tahoma" w:cs="Tahoma"/>
          <w:sz w:val="20"/>
          <w:szCs w:val="20"/>
        </w:rPr>
        <w:t xml:space="preserve"> </w:t>
      </w:r>
      <w:r w:rsidRPr="00B004EE">
        <w:rPr>
          <w:rFonts w:ascii="Tahoma" w:hAnsi="Tahoma" w:cs="Tahoma"/>
          <w:sz w:val="20"/>
          <w:szCs w:val="20"/>
        </w:rPr>
        <w:t>qui</w:t>
      </w:r>
      <w:r w:rsidR="00DB1635" w:rsidRPr="00B004EE">
        <w:rPr>
          <w:rFonts w:ascii="Tahoma" w:hAnsi="Tahoma" w:cs="Tahoma"/>
          <w:sz w:val="20"/>
          <w:szCs w:val="20"/>
        </w:rPr>
        <w:t xml:space="preserve"> </w:t>
      </w:r>
      <w:r w:rsidRPr="00B004EE">
        <w:rPr>
          <w:rFonts w:ascii="Tahoma" w:hAnsi="Tahoma" w:cs="Tahoma"/>
          <w:sz w:val="20"/>
          <w:szCs w:val="20"/>
        </w:rPr>
        <w:t>aura</w:t>
      </w:r>
      <w:r w:rsidR="00DB1635" w:rsidRPr="00B004EE">
        <w:rPr>
          <w:rFonts w:ascii="Tahoma" w:hAnsi="Tahoma" w:cs="Tahoma"/>
          <w:sz w:val="20"/>
          <w:szCs w:val="20"/>
        </w:rPr>
        <w:t xml:space="preserve"> </w:t>
      </w:r>
      <w:r w:rsidRPr="00B004EE">
        <w:rPr>
          <w:rFonts w:ascii="Tahoma" w:hAnsi="Tahoma" w:cs="Tahoma"/>
          <w:sz w:val="20"/>
          <w:szCs w:val="20"/>
        </w:rPr>
        <w:t>été</w:t>
      </w:r>
      <w:r w:rsidR="00DB1635" w:rsidRPr="00B004EE">
        <w:rPr>
          <w:rFonts w:ascii="Tahoma" w:hAnsi="Tahoma" w:cs="Tahoma"/>
          <w:sz w:val="20"/>
          <w:szCs w:val="20"/>
        </w:rPr>
        <w:t xml:space="preserve"> </w:t>
      </w:r>
      <w:r w:rsidRPr="00B004EE">
        <w:rPr>
          <w:rFonts w:ascii="Tahoma" w:hAnsi="Tahoma" w:cs="Tahoma"/>
          <w:sz w:val="20"/>
          <w:szCs w:val="20"/>
        </w:rPr>
        <w:t>désigné,</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fins</w:t>
      </w:r>
      <w:r w:rsidR="00DB1635" w:rsidRPr="00B004EE">
        <w:rPr>
          <w:rFonts w:ascii="Tahoma" w:hAnsi="Tahoma" w:cs="Tahoma"/>
          <w:sz w:val="20"/>
          <w:szCs w:val="20"/>
        </w:rPr>
        <w:t xml:space="preserve"> </w:t>
      </w:r>
      <w:r w:rsidRPr="00B004EE">
        <w:rPr>
          <w:rFonts w:ascii="Tahoma" w:hAnsi="Tahoma" w:cs="Tahoma"/>
          <w:sz w:val="20"/>
          <w:szCs w:val="20"/>
        </w:rPr>
        <w:t>d'embarquer</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débarquer</w:t>
      </w:r>
      <w:r w:rsidR="00DB1635" w:rsidRPr="00B004EE">
        <w:rPr>
          <w:rFonts w:ascii="Tahoma" w:hAnsi="Tahoma" w:cs="Tahoma"/>
          <w:sz w:val="20"/>
          <w:szCs w:val="20"/>
        </w:rPr>
        <w:t xml:space="preserve"> </w:t>
      </w: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observateur</w:t>
      </w:r>
      <w:r w:rsidR="00DB1635" w:rsidRPr="00B004EE">
        <w:rPr>
          <w:rFonts w:ascii="Tahoma" w:hAnsi="Tahoma" w:cs="Tahoma"/>
          <w:sz w:val="20"/>
          <w:szCs w:val="20"/>
        </w:rPr>
        <w:t xml:space="preserve"> </w:t>
      </w:r>
      <w:r w:rsidRPr="00B004EE">
        <w:rPr>
          <w:rFonts w:ascii="Tahoma" w:hAnsi="Tahoma" w:cs="Tahoma"/>
          <w:sz w:val="20"/>
          <w:szCs w:val="20"/>
        </w:rPr>
        <w:t>scientifique</w:t>
      </w:r>
      <w:r w:rsidR="00DB1635" w:rsidRPr="00B004EE">
        <w:rPr>
          <w:rFonts w:ascii="Tahoma" w:hAnsi="Tahoma" w:cs="Tahoma"/>
          <w:sz w:val="20"/>
          <w:szCs w:val="20"/>
        </w:rPr>
        <w:t xml:space="preserve"> </w:t>
      </w:r>
      <w:r w:rsidRPr="00B004EE">
        <w:rPr>
          <w:rFonts w:ascii="Tahoma" w:hAnsi="Tahoma" w:cs="Tahoma"/>
          <w:sz w:val="20"/>
          <w:szCs w:val="20"/>
        </w:rPr>
        <w:t>désigné.</w:t>
      </w:r>
      <w:r w:rsidR="00DB1635" w:rsidRPr="00B004EE">
        <w:rPr>
          <w:rFonts w:ascii="Tahoma" w:hAnsi="Tahoma" w:cs="Tahoma"/>
          <w:sz w:val="20"/>
          <w:szCs w:val="20"/>
        </w:rPr>
        <w:t xml:space="preserve"> </w:t>
      </w:r>
    </w:p>
    <w:p w14:paraId="75B1068A" w14:textId="5A74882D" w:rsidR="008518B0" w:rsidRPr="00B004EE" w:rsidRDefault="008518B0" w:rsidP="00B004EE">
      <w:pPr>
        <w:pStyle w:val="article"/>
        <w:numPr>
          <w:ilvl w:val="0"/>
          <w:numId w:val="0"/>
        </w:numPr>
        <w:tabs>
          <w:tab w:val="left" w:pos="1200"/>
        </w:tabs>
        <w:spacing w:before="0" w:line="240" w:lineRule="auto"/>
        <w:rPr>
          <w:rFonts w:ascii="Tahoma" w:hAnsi="Tahoma" w:cs="Tahoma"/>
          <w:sz w:val="20"/>
          <w:szCs w:val="20"/>
        </w:rPr>
      </w:pPr>
      <w:r w:rsidRPr="00B004EE">
        <w:rPr>
          <w:rFonts w:ascii="Tahoma" w:hAnsi="Tahoma" w:cs="Tahoma"/>
          <w:sz w:val="20"/>
          <w:szCs w:val="20"/>
        </w:rPr>
        <w:t>L’observateur</w:t>
      </w:r>
      <w:r w:rsidR="00DB1635" w:rsidRPr="00B004EE">
        <w:rPr>
          <w:rFonts w:ascii="Tahoma" w:hAnsi="Tahoma" w:cs="Tahoma"/>
          <w:sz w:val="20"/>
          <w:szCs w:val="20"/>
        </w:rPr>
        <w:t xml:space="preserve"> </w:t>
      </w:r>
      <w:r w:rsidRPr="00B004EE">
        <w:rPr>
          <w:rFonts w:ascii="Tahoma" w:hAnsi="Tahoma" w:cs="Tahoma"/>
          <w:sz w:val="20"/>
          <w:szCs w:val="20"/>
        </w:rPr>
        <w:t>scientifique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bord</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navires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a</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fonction</w:t>
      </w:r>
      <w:r w:rsidR="00DB1635" w:rsidRPr="00B004EE">
        <w:rPr>
          <w:rFonts w:ascii="Tahoma" w:hAnsi="Tahoma" w:cs="Tahoma"/>
          <w:sz w:val="20"/>
          <w:szCs w:val="20"/>
        </w:rPr>
        <w:t xml:space="preserve"> </w:t>
      </w:r>
      <w:r w:rsidRPr="00B004EE">
        <w:rPr>
          <w:rFonts w:ascii="Tahoma" w:hAnsi="Tahoma" w:cs="Tahoma"/>
          <w:sz w:val="20"/>
          <w:szCs w:val="20"/>
        </w:rPr>
        <w:t>générale</w:t>
      </w:r>
      <w:r w:rsidR="00DB1635" w:rsidRPr="00B004EE">
        <w:rPr>
          <w:rFonts w:ascii="Tahoma" w:hAnsi="Tahoma" w:cs="Tahoma"/>
          <w:sz w:val="20"/>
          <w:szCs w:val="20"/>
        </w:rPr>
        <w:t xml:space="preserve"> </w:t>
      </w:r>
      <w:r w:rsidRPr="00B004EE">
        <w:rPr>
          <w:rFonts w:ascii="Tahoma" w:hAnsi="Tahoma" w:cs="Tahoma"/>
          <w:sz w:val="20"/>
          <w:szCs w:val="20"/>
        </w:rPr>
        <w:t>d'observer,</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compte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autorités</w:t>
      </w:r>
      <w:r w:rsidR="00DB1635" w:rsidRPr="00B004EE">
        <w:rPr>
          <w:rFonts w:ascii="Tahoma" w:hAnsi="Tahoma" w:cs="Tahoma"/>
          <w:sz w:val="20"/>
          <w:szCs w:val="20"/>
        </w:rPr>
        <w:t xml:space="preserve"> </w:t>
      </w:r>
      <w:r w:rsidRPr="00B004EE">
        <w:rPr>
          <w:rFonts w:ascii="Tahoma" w:hAnsi="Tahoma" w:cs="Tahoma"/>
          <w:sz w:val="20"/>
          <w:szCs w:val="20"/>
        </w:rPr>
        <w:t>chargées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recherche</w:t>
      </w:r>
      <w:r w:rsidR="00DB1635" w:rsidRPr="00B004EE">
        <w:rPr>
          <w:rFonts w:ascii="Tahoma" w:hAnsi="Tahoma" w:cs="Tahoma"/>
          <w:sz w:val="20"/>
          <w:szCs w:val="20"/>
        </w:rPr>
        <w:t xml:space="preserve"> </w:t>
      </w:r>
      <w:r w:rsidRPr="00B004EE">
        <w:rPr>
          <w:rFonts w:ascii="Tahoma" w:hAnsi="Tahoma" w:cs="Tahoma"/>
          <w:sz w:val="20"/>
          <w:szCs w:val="20"/>
        </w:rPr>
        <w:t>halieutique,</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déroulement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activités</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navires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p>
    <w:p w14:paraId="2354D90A" w14:textId="39CA2EE5" w:rsidR="008518B0" w:rsidRPr="00B004EE" w:rsidRDefault="008518B0" w:rsidP="00B004EE">
      <w:pPr>
        <w:pStyle w:val="article"/>
        <w:numPr>
          <w:ilvl w:val="0"/>
          <w:numId w:val="0"/>
        </w:numPr>
        <w:spacing w:before="0" w:line="240" w:lineRule="auto"/>
        <w:rPr>
          <w:rFonts w:ascii="Tahoma" w:hAnsi="Tahoma" w:cs="Tahoma"/>
          <w:sz w:val="20"/>
          <w:szCs w:val="20"/>
        </w:rPr>
      </w:pPr>
      <w:r w:rsidRPr="00B004EE">
        <w:rPr>
          <w:rFonts w:ascii="Tahoma" w:hAnsi="Tahoma" w:cs="Tahoma"/>
          <w:sz w:val="20"/>
          <w:szCs w:val="20"/>
        </w:rPr>
        <w:t>Pendant</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séjour</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bord</w:t>
      </w:r>
      <w:r w:rsidR="00DB1635" w:rsidRPr="00B004EE">
        <w:rPr>
          <w:rFonts w:ascii="Tahoma" w:hAnsi="Tahoma" w:cs="Tahoma"/>
          <w:sz w:val="20"/>
          <w:szCs w:val="20"/>
        </w:rPr>
        <w:t xml:space="preserve"> </w:t>
      </w:r>
      <w:r w:rsidRPr="00B004EE">
        <w:rPr>
          <w:rFonts w:ascii="Tahoma" w:hAnsi="Tahoma" w:cs="Tahoma"/>
          <w:sz w:val="20"/>
          <w:szCs w:val="20"/>
        </w:rPr>
        <w:t>d'un</w:t>
      </w:r>
      <w:r w:rsidR="00DB1635" w:rsidRPr="00B004EE">
        <w:rPr>
          <w:rFonts w:ascii="Tahoma" w:hAnsi="Tahoma" w:cs="Tahoma"/>
          <w:sz w:val="20"/>
          <w:szCs w:val="20"/>
        </w:rPr>
        <w:t xml:space="preserve"> </w:t>
      </w:r>
      <w:r w:rsidRPr="00B004EE">
        <w:rPr>
          <w:rFonts w:ascii="Tahoma" w:hAnsi="Tahoma" w:cs="Tahoma"/>
          <w:sz w:val="20"/>
          <w:szCs w:val="20"/>
        </w:rPr>
        <w:t>observateur</w:t>
      </w:r>
      <w:r w:rsidR="00DB1635" w:rsidRPr="00B004EE">
        <w:rPr>
          <w:rFonts w:ascii="Tahoma" w:hAnsi="Tahoma" w:cs="Tahoma"/>
          <w:sz w:val="20"/>
          <w:szCs w:val="20"/>
        </w:rPr>
        <w:t xml:space="preserve"> </w:t>
      </w:r>
      <w:r w:rsidRPr="00B004EE">
        <w:rPr>
          <w:rFonts w:ascii="Tahoma" w:hAnsi="Tahoma" w:cs="Tahoma"/>
          <w:sz w:val="20"/>
          <w:szCs w:val="20"/>
        </w:rPr>
        <w:t>scientifique,</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capitaine</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navire</w:t>
      </w:r>
      <w:r w:rsidR="00DB1635" w:rsidRPr="00B004EE">
        <w:rPr>
          <w:rFonts w:ascii="Tahoma" w:hAnsi="Tahoma" w:cs="Tahoma"/>
          <w:sz w:val="20"/>
          <w:szCs w:val="20"/>
        </w:rPr>
        <w:t xml:space="preserve"> </w:t>
      </w:r>
      <w:r w:rsidRPr="00B004EE">
        <w:rPr>
          <w:rFonts w:ascii="Tahoma" w:hAnsi="Tahoma" w:cs="Tahoma"/>
          <w:sz w:val="20"/>
          <w:szCs w:val="20"/>
        </w:rPr>
        <w:t>devra</w:t>
      </w:r>
      <w:r w:rsidR="00DB1635" w:rsidRPr="00B004EE">
        <w:rPr>
          <w:rFonts w:ascii="Tahoma" w:hAnsi="Tahoma" w:cs="Tahoma"/>
          <w:sz w:val="20"/>
          <w:szCs w:val="20"/>
        </w:rPr>
        <w:t xml:space="preserve"> </w:t>
      </w:r>
      <w:r w:rsidRPr="00B004EE">
        <w:rPr>
          <w:rFonts w:ascii="Tahoma" w:hAnsi="Tahoma" w:cs="Tahoma"/>
          <w:sz w:val="20"/>
          <w:szCs w:val="20"/>
        </w:rPr>
        <w:t>:</w:t>
      </w:r>
    </w:p>
    <w:p w14:paraId="091726AF" w14:textId="7299296E" w:rsidR="008518B0" w:rsidRPr="00B004EE" w:rsidRDefault="008518B0" w:rsidP="00420DDA">
      <w:pPr>
        <w:pStyle w:val="article"/>
        <w:numPr>
          <w:ilvl w:val="0"/>
          <w:numId w:val="56"/>
        </w:numPr>
        <w:tabs>
          <w:tab w:val="clear" w:pos="720"/>
        </w:tabs>
        <w:spacing w:before="0" w:line="240" w:lineRule="auto"/>
        <w:ind w:left="567" w:hanging="357"/>
        <w:rPr>
          <w:rFonts w:ascii="Tahoma" w:hAnsi="Tahoma" w:cs="Tahoma"/>
          <w:sz w:val="20"/>
          <w:szCs w:val="20"/>
        </w:rPr>
      </w:pPr>
      <w:proofErr w:type="gramStart"/>
      <w:r w:rsidRPr="00B004EE">
        <w:rPr>
          <w:rFonts w:ascii="Tahoma" w:hAnsi="Tahoma" w:cs="Tahoma"/>
          <w:sz w:val="20"/>
          <w:szCs w:val="20"/>
        </w:rPr>
        <w:t>assurer</w:t>
      </w:r>
      <w:proofErr w:type="gramEnd"/>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l'observateur</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bonnes</w:t>
      </w:r>
      <w:r w:rsidR="00DB1635" w:rsidRPr="00B004EE">
        <w:rPr>
          <w:rFonts w:ascii="Tahoma" w:hAnsi="Tahoma" w:cs="Tahoma"/>
          <w:sz w:val="20"/>
          <w:szCs w:val="20"/>
        </w:rPr>
        <w:t xml:space="preserve"> </w:t>
      </w:r>
      <w:r w:rsidRPr="00B004EE">
        <w:rPr>
          <w:rFonts w:ascii="Tahoma" w:hAnsi="Tahoma" w:cs="Tahoma"/>
          <w:sz w:val="20"/>
          <w:szCs w:val="20"/>
        </w:rPr>
        <w:t>conditions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sécurité,</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travail</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séjour</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bord</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navire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notamment</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nourriture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logement</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moins</w:t>
      </w:r>
      <w:r w:rsidR="00DB1635" w:rsidRPr="00B004EE">
        <w:rPr>
          <w:rFonts w:ascii="Tahoma" w:hAnsi="Tahoma" w:cs="Tahoma"/>
          <w:sz w:val="20"/>
          <w:szCs w:val="20"/>
        </w:rPr>
        <w:t xml:space="preserve"> </w:t>
      </w:r>
      <w:r w:rsidRPr="00B004EE">
        <w:rPr>
          <w:rFonts w:ascii="Tahoma" w:hAnsi="Tahoma" w:cs="Tahoma"/>
          <w:sz w:val="20"/>
          <w:szCs w:val="20"/>
        </w:rPr>
        <w:t>équivalents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ceux</w:t>
      </w:r>
      <w:r w:rsidR="00DB1635" w:rsidRPr="00B004EE">
        <w:rPr>
          <w:rFonts w:ascii="Tahoma" w:hAnsi="Tahoma" w:cs="Tahoma"/>
          <w:sz w:val="20"/>
          <w:szCs w:val="20"/>
        </w:rPr>
        <w:t xml:space="preserve"> </w:t>
      </w:r>
      <w:r w:rsidRPr="00B004EE">
        <w:rPr>
          <w:rFonts w:ascii="Tahoma" w:hAnsi="Tahoma" w:cs="Tahoma"/>
          <w:sz w:val="20"/>
          <w:szCs w:val="20"/>
        </w:rPr>
        <w:t>qui</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fournis</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officiers</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navire.</w:t>
      </w:r>
    </w:p>
    <w:p w14:paraId="5833B714" w14:textId="218FF574" w:rsidR="008518B0" w:rsidRPr="00B004EE" w:rsidRDefault="008518B0" w:rsidP="00420DDA">
      <w:pPr>
        <w:numPr>
          <w:ilvl w:val="0"/>
          <w:numId w:val="56"/>
        </w:numPr>
        <w:tabs>
          <w:tab w:val="clear" w:pos="720"/>
        </w:tabs>
        <w:ind w:left="567" w:hanging="357"/>
        <w:jc w:val="both"/>
        <w:rPr>
          <w:rFonts w:ascii="Tahoma" w:hAnsi="Tahoma" w:cs="Tahoma"/>
          <w:sz w:val="20"/>
          <w:szCs w:val="20"/>
        </w:rPr>
      </w:pPr>
      <w:proofErr w:type="gramStart"/>
      <w:r w:rsidRPr="00B004EE">
        <w:rPr>
          <w:rFonts w:ascii="Tahoma" w:hAnsi="Tahoma" w:cs="Tahoma"/>
          <w:sz w:val="20"/>
          <w:szCs w:val="20"/>
        </w:rPr>
        <w:t>permettre</w:t>
      </w:r>
      <w:proofErr w:type="gramEnd"/>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l’observateur</w:t>
      </w:r>
      <w:r w:rsidR="00DB1635" w:rsidRPr="00B004EE">
        <w:rPr>
          <w:rFonts w:ascii="Tahoma" w:hAnsi="Tahoma" w:cs="Tahoma"/>
          <w:sz w:val="20"/>
          <w:szCs w:val="20"/>
        </w:rPr>
        <w:t xml:space="preserve"> </w:t>
      </w:r>
      <w:r w:rsidRPr="00B004EE">
        <w:rPr>
          <w:rFonts w:ascii="Tahoma" w:hAnsi="Tahoma" w:cs="Tahoma"/>
          <w:sz w:val="20"/>
          <w:szCs w:val="20"/>
        </w:rPr>
        <w:t>d’avoir</w:t>
      </w:r>
      <w:r w:rsidR="00DB1635" w:rsidRPr="00B004EE">
        <w:rPr>
          <w:rFonts w:ascii="Tahoma" w:hAnsi="Tahoma" w:cs="Tahoma"/>
          <w:sz w:val="20"/>
          <w:szCs w:val="20"/>
        </w:rPr>
        <w:t xml:space="preserve"> </w:t>
      </w:r>
      <w:r w:rsidRPr="00B004EE">
        <w:rPr>
          <w:rFonts w:ascii="Tahoma" w:hAnsi="Tahoma" w:cs="Tahoma"/>
          <w:sz w:val="20"/>
          <w:szCs w:val="20"/>
        </w:rPr>
        <w:t>accès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tout</w:t>
      </w:r>
      <w:r w:rsidR="00DB1635" w:rsidRPr="00B004EE">
        <w:rPr>
          <w:rFonts w:ascii="Tahoma" w:hAnsi="Tahoma" w:cs="Tahoma"/>
          <w:sz w:val="20"/>
          <w:szCs w:val="20"/>
        </w:rPr>
        <w:t xml:space="preserve"> </w:t>
      </w:r>
      <w:r w:rsidRPr="00B004EE">
        <w:rPr>
          <w:rFonts w:ascii="Tahoma" w:hAnsi="Tahoma" w:cs="Tahoma"/>
          <w:sz w:val="20"/>
          <w:szCs w:val="20"/>
        </w:rPr>
        <w:t>matériel,</w:t>
      </w:r>
      <w:r w:rsidR="00DB1635" w:rsidRPr="00B004EE">
        <w:rPr>
          <w:rFonts w:ascii="Tahoma" w:hAnsi="Tahoma" w:cs="Tahoma"/>
          <w:sz w:val="20"/>
          <w:szCs w:val="20"/>
        </w:rPr>
        <w:t xml:space="preserve"> </w:t>
      </w:r>
      <w:r w:rsidRPr="00B004EE">
        <w:rPr>
          <w:rFonts w:ascii="Tahoma" w:hAnsi="Tahoma" w:cs="Tahoma"/>
          <w:sz w:val="20"/>
          <w:szCs w:val="20"/>
        </w:rPr>
        <w:t>registre,</w:t>
      </w:r>
      <w:r w:rsidR="00DB1635" w:rsidRPr="00B004EE">
        <w:rPr>
          <w:rFonts w:ascii="Tahoma" w:hAnsi="Tahoma" w:cs="Tahoma"/>
          <w:sz w:val="20"/>
          <w:szCs w:val="20"/>
        </w:rPr>
        <w:t xml:space="preserve"> </w:t>
      </w:r>
      <w:r w:rsidRPr="00B004EE">
        <w:rPr>
          <w:rFonts w:ascii="Tahoma" w:hAnsi="Tahoma" w:cs="Tahoma"/>
          <w:sz w:val="20"/>
          <w:szCs w:val="20"/>
        </w:rPr>
        <w:t>document</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produit</w:t>
      </w:r>
      <w:r w:rsidR="00DB1635" w:rsidRPr="00B004EE">
        <w:rPr>
          <w:rFonts w:ascii="Tahoma" w:hAnsi="Tahoma" w:cs="Tahoma"/>
          <w:sz w:val="20"/>
          <w:szCs w:val="20"/>
        </w:rPr>
        <w:t xml:space="preserve"> </w:t>
      </w:r>
      <w:r w:rsidRPr="00B004EE">
        <w:rPr>
          <w:rFonts w:ascii="Tahoma" w:hAnsi="Tahoma" w:cs="Tahoma"/>
          <w:sz w:val="20"/>
          <w:szCs w:val="20"/>
        </w:rPr>
        <w:t>se</w:t>
      </w:r>
      <w:r w:rsidR="00DB1635" w:rsidRPr="00B004EE">
        <w:rPr>
          <w:rFonts w:ascii="Tahoma" w:hAnsi="Tahoma" w:cs="Tahoma"/>
          <w:sz w:val="20"/>
          <w:szCs w:val="20"/>
        </w:rPr>
        <w:t xml:space="preserve"> </w:t>
      </w:r>
      <w:r w:rsidRPr="00B004EE">
        <w:rPr>
          <w:rFonts w:ascii="Tahoma" w:hAnsi="Tahoma" w:cs="Tahoma"/>
          <w:sz w:val="20"/>
          <w:szCs w:val="20"/>
        </w:rPr>
        <w:t>trouvant</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bord</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navire,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procéder</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tests</w:t>
      </w:r>
      <w:r w:rsidR="00DB1635" w:rsidRPr="00B004EE">
        <w:rPr>
          <w:rFonts w:ascii="Tahoma" w:hAnsi="Tahoma" w:cs="Tahoma"/>
          <w:sz w:val="20"/>
          <w:szCs w:val="20"/>
        </w:rPr>
        <w:t xml:space="preserve"> </w:t>
      </w:r>
      <w:r w:rsidRPr="00B004EE">
        <w:rPr>
          <w:rFonts w:ascii="Tahoma" w:hAnsi="Tahoma" w:cs="Tahoma"/>
          <w:sz w:val="20"/>
          <w:szCs w:val="20"/>
        </w:rPr>
        <w:t>observations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enregistrements,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filmer</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photographier,</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prendre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prélever</w:t>
      </w:r>
      <w:r w:rsidR="00DB1635" w:rsidRPr="00B004EE">
        <w:rPr>
          <w:rFonts w:ascii="Tahoma" w:hAnsi="Tahoma" w:cs="Tahoma"/>
          <w:sz w:val="20"/>
          <w:szCs w:val="20"/>
        </w:rPr>
        <w:t xml:space="preserve"> </w:t>
      </w:r>
      <w:r w:rsidRPr="00B004EE">
        <w:rPr>
          <w:rFonts w:ascii="Tahoma" w:hAnsi="Tahoma" w:cs="Tahoma"/>
          <w:sz w:val="20"/>
          <w:szCs w:val="20"/>
        </w:rPr>
        <w:t>tous</w:t>
      </w:r>
      <w:r w:rsidR="00DB1635" w:rsidRPr="00B004EE">
        <w:rPr>
          <w:rFonts w:ascii="Tahoma" w:hAnsi="Tahoma" w:cs="Tahoma"/>
          <w:sz w:val="20"/>
          <w:szCs w:val="20"/>
        </w:rPr>
        <w:t xml:space="preserve"> </w:t>
      </w:r>
      <w:r w:rsidRPr="00B004EE">
        <w:rPr>
          <w:rFonts w:ascii="Tahoma" w:hAnsi="Tahoma" w:cs="Tahoma"/>
          <w:sz w:val="20"/>
          <w:szCs w:val="20"/>
        </w:rPr>
        <w:t>échantillons</w:t>
      </w:r>
      <w:r w:rsidR="00DB1635" w:rsidRPr="00B004EE">
        <w:rPr>
          <w:rFonts w:ascii="Tahoma" w:hAnsi="Tahoma" w:cs="Tahoma"/>
          <w:sz w:val="20"/>
          <w:szCs w:val="20"/>
        </w:rPr>
        <w:t xml:space="preserve"> </w:t>
      </w:r>
      <w:r w:rsidRPr="00B004EE">
        <w:rPr>
          <w:rFonts w:ascii="Tahoma" w:hAnsi="Tahoma" w:cs="Tahoma"/>
          <w:sz w:val="20"/>
          <w:szCs w:val="20"/>
        </w:rPr>
        <w:t>nécessaires</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vue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déterminer</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nature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l'étendue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activités</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navire</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limites</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eaux</w:t>
      </w:r>
      <w:r w:rsidR="00DB1635" w:rsidRPr="00B004EE">
        <w:rPr>
          <w:rFonts w:ascii="Tahoma" w:hAnsi="Tahoma" w:cs="Tahoma"/>
          <w:sz w:val="20"/>
          <w:szCs w:val="20"/>
        </w:rPr>
        <w:t xml:space="preserve"> </w:t>
      </w:r>
      <w:r w:rsidRPr="00B004EE">
        <w:rPr>
          <w:rFonts w:ascii="Tahoma" w:hAnsi="Tahoma" w:cs="Tahoma"/>
          <w:sz w:val="20"/>
          <w:szCs w:val="20"/>
        </w:rPr>
        <w:t>mauritaniennes.</w:t>
      </w:r>
    </w:p>
    <w:p w14:paraId="53035A3F" w14:textId="3B9F8C61" w:rsidR="008518B0" w:rsidRPr="00B004EE" w:rsidRDefault="008518B0" w:rsidP="00420DDA">
      <w:pPr>
        <w:numPr>
          <w:ilvl w:val="0"/>
          <w:numId w:val="56"/>
        </w:numPr>
        <w:tabs>
          <w:tab w:val="clear" w:pos="720"/>
        </w:tabs>
        <w:ind w:left="567" w:hanging="357"/>
        <w:jc w:val="both"/>
        <w:rPr>
          <w:rFonts w:ascii="Tahoma" w:hAnsi="Tahoma" w:cs="Tahoma"/>
          <w:sz w:val="20"/>
          <w:szCs w:val="20"/>
        </w:rPr>
      </w:pPr>
      <w:proofErr w:type="gramStart"/>
      <w:r w:rsidRPr="00B004EE">
        <w:rPr>
          <w:rFonts w:ascii="Tahoma" w:hAnsi="Tahoma" w:cs="Tahoma"/>
          <w:sz w:val="20"/>
          <w:szCs w:val="20"/>
        </w:rPr>
        <w:t>fournir</w:t>
      </w:r>
      <w:proofErr w:type="gramEnd"/>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l'observateur</w:t>
      </w:r>
      <w:r w:rsidR="00DB1635" w:rsidRPr="00B004EE">
        <w:rPr>
          <w:rFonts w:ascii="Tahoma" w:hAnsi="Tahoma" w:cs="Tahoma"/>
          <w:sz w:val="20"/>
          <w:szCs w:val="20"/>
        </w:rPr>
        <w:t xml:space="preserve"> </w:t>
      </w:r>
      <w:r w:rsidRPr="00B004EE">
        <w:rPr>
          <w:rFonts w:ascii="Tahoma" w:hAnsi="Tahoma" w:cs="Tahoma"/>
          <w:sz w:val="20"/>
          <w:szCs w:val="20"/>
        </w:rPr>
        <w:t>toute</w:t>
      </w:r>
      <w:r w:rsidR="00DB1635" w:rsidRPr="00B004EE">
        <w:rPr>
          <w:rFonts w:ascii="Tahoma" w:hAnsi="Tahoma" w:cs="Tahoma"/>
          <w:sz w:val="20"/>
          <w:szCs w:val="20"/>
        </w:rPr>
        <w:t xml:space="preserve"> </w:t>
      </w:r>
      <w:r w:rsidRPr="00B004EE">
        <w:rPr>
          <w:rFonts w:ascii="Tahoma" w:hAnsi="Tahoma" w:cs="Tahoma"/>
          <w:sz w:val="20"/>
          <w:szCs w:val="20"/>
        </w:rPr>
        <w:t>assistance</w:t>
      </w:r>
      <w:r w:rsidR="00DB1635" w:rsidRPr="00B004EE">
        <w:rPr>
          <w:rFonts w:ascii="Tahoma" w:hAnsi="Tahoma" w:cs="Tahoma"/>
          <w:sz w:val="20"/>
          <w:szCs w:val="20"/>
        </w:rPr>
        <w:t xml:space="preserve"> </w:t>
      </w:r>
      <w:r w:rsidRPr="00B004EE">
        <w:rPr>
          <w:rFonts w:ascii="Tahoma" w:hAnsi="Tahoma" w:cs="Tahoma"/>
          <w:sz w:val="20"/>
          <w:szCs w:val="20"/>
        </w:rPr>
        <w:t>raisonnable</w:t>
      </w:r>
      <w:r w:rsidR="00DB1635" w:rsidRPr="00B004EE">
        <w:rPr>
          <w:rFonts w:ascii="Tahoma" w:hAnsi="Tahoma" w:cs="Tahoma"/>
          <w:sz w:val="20"/>
          <w:szCs w:val="20"/>
        </w:rPr>
        <w:t xml:space="preserve"> </w:t>
      </w:r>
      <w:r w:rsidRPr="00B004EE">
        <w:rPr>
          <w:rFonts w:ascii="Tahoma" w:hAnsi="Tahoma" w:cs="Tahoma"/>
          <w:sz w:val="20"/>
          <w:szCs w:val="20"/>
        </w:rPr>
        <w:t>lui</w:t>
      </w:r>
      <w:r w:rsidR="00DB1635" w:rsidRPr="00B004EE">
        <w:rPr>
          <w:rFonts w:ascii="Tahoma" w:hAnsi="Tahoma" w:cs="Tahoma"/>
          <w:sz w:val="20"/>
          <w:szCs w:val="20"/>
        </w:rPr>
        <w:t xml:space="preserve"> </w:t>
      </w:r>
      <w:r w:rsidRPr="00B004EE">
        <w:rPr>
          <w:rFonts w:ascii="Tahoma" w:hAnsi="Tahoma" w:cs="Tahoma"/>
          <w:sz w:val="20"/>
          <w:szCs w:val="20"/>
        </w:rPr>
        <w:t>permettant</w:t>
      </w:r>
      <w:r w:rsidR="00DB1635" w:rsidRPr="00B004EE">
        <w:rPr>
          <w:rFonts w:ascii="Tahoma" w:hAnsi="Tahoma" w:cs="Tahoma"/>
          <w:sz w:val="20"/>
          <w:szCs w:val="20"/>
        </w:rPr>
        <w:t xml:space="preserve"> </w:t>
      </w:r>
      <w:r w:rsidRPr="00B004EE">
        <w:rPr>
          <w:rFonts w:ascii="Tahoma" w:hAnsi="Tahoma" w:cs="Tahoma"/>
          <w:sz w:val="20"/>
          <w:szCs w:val="20"/>
        </w:rPr>
        <w:t>d'effectuer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actions</w:t>
      </w:r>
      <w:r w:rsidR="00DB1635" w:rsidRPr="00B004EE">
        <w:rPr>
          <w:rFonts w:ascii="Tahoma" w:hAnsi="Tahoma" w:cs="Tahoma"/>
          <w:sz w:val="20"/>
          <w:szCs w:val="20"/>
        </w:rPr>
        <w:t xml:space="preserve"> </w:t>
      </w:r>
      <w:r w:rsidRPr="00B004EE">
        <w:rPr>
          <w:rFonts w:ascii="Tahoma" w:hAnsi="Tahoma" w:cs="Tahoma"/>
          <w:sz w:val="20"/>
          <w:szCs w:val="20"/>
        </w:rPr>
        <w:t>prévues</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alinéas</w:t>
      </w:r>
      <w:r w:rsidR="00DB1635" w:rsidRPr="00B004EE">
        <w:rPr>
          <w:rFonts w:ascii="Tahoma" w:hAnsi="Tahoma" w:cs="Tahoma"/>
          <w:sz w:val="20"/>
          <w:szCs w:val="20"/>
        </w:rPr>
        <w:t xml:space="preserve"> </w:t>
      </w:r>
      <w:r w:rsidRPr="00B004EE">
        <w:rPr>
          <w:rFonts w:ascii="Tahoma" w:hAnsi="Tahoma" w:cs="Tahoma"/>
          <w:sz w:val="20"/>
          <w:szCs w:val="20"/>
        </w:rPr>
        <w:t>(a)</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(b)</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présent</w:t>
      </w:r>
      <w:r w:rsidR="00DB1635" w:rsidRPr="00B004EE">
        <w:rPr>
          <w:rFonts w:ascii="Tahoma" w:hAnsi="Tahoma" w:cs="Tahoma"/>
          <w:sz w:val="20"/>
          <w:szCs w:val="20"/>
        </w:rPr>
        <w:t xml:space="preserve"> </w:t>
      </w:r>
      <w:r w:rsidRPr="00B004EE">
        <w:rPr>
          <w:rFonts w:ascii="Tahoma" w:hAnsi="Tahoma" w:cs="Tahoma"/>
          <w:sz w:val="20"/>
          <w:szCs w:val="20"/>
        </w:rPr>
        <w:t>paragraphe.</w:t>
      </w:r>
    </w:p>
    <w:p w14:paraId="2525CADE" w14:textId="77777777" w:rsidR="00A621C8" w:rsidRPr="00B004EE" w:rsidRDefault="00A621C8" w:rsidP="00B004EE">
      <w:pPr>
        <w:ind w:left="896"/>
        <w:jc w:val="both"/>
        <w:rPr>
          <w:rFonts w:ascii="Tahoma" w:hAnsi="Tahoma" w:cs="Tahoma"/>
          <w:sz w:val="20"/>
          <w:szCs w:val="20"/>
        </w:rPr>
      </w:pPr>
    </w:p>
    <w:p w14:paraId="42AA16E0" w14:textId="70866E61" w:rsidR="008518B0" w:rsidRPr="00B004EE" w:rsidRDefault="008518B0" w:rsidP="00B004EE">
      <w:pPr>
        <w:pStyle w:val="article"/>
        <w:numPr>
          <w:ilvl w:val="0"/>
          <w:numId w:val="0"/>
        </w:numPr>
        <w:tabs>
          <w:tab w:val="left" w:pos="1200"/>
        </w:tabs>
        <w:spacing w:before="0" w:line="240" w:lineRule="auto"/>
        <w:rPr>
          <w:rFonts w:ascii="Tahoma" w:hAnsi="Tahoma" w:cs="Tahoma"/>
          <w:sz w:val="20"/>
          <w:szCs w:val="20"/>
        </w:rPr>
      </w:pPr>
      <w:r w:rsidRPr="00B004EE">
        <w:rPr>
          <w:rFonts w:ascii="Tahoma" w:hAnsi="Tahoma" w:cs="Tahoma"/>
          <w:sz w:val="20"/>
          <w:szCs w:val="20"/>
        </w:rPr>
        <w:t>Article</w:t>
      </w:r>
      <w:r w:rsidR="00DB1635" w:rsidRPr="00B004EE">
        <w:rPr>
          <w:rFonts w:ascii="Tahoma" w:hAnsi="Tahoma" w:cs="Tahoma"/>
          <w:sz w:val="20"/>
          <w:szCs w:val="20"/>
        </w:rPr>
        <w:t xml:space="preserve"> </w:t>
      </w:r>
      <w:r w:rsidRPr="00B004EE">
        <w:rPr>
          <w:rFonts w:ascii="Tahoma" w:hAnsi="Tahoma" w:cs="Tahoma"/>
          <w:sz w:val="20"/>
          <w:szCs w:val="20"/>
        </w:rPr>
        <w:t>52</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Lorsque</w:t>
      </w:r>
      <w:r w:rsidR="00DB1635" w:rsidRPr="00B004EE">
        <w:rPr>
          <w:rFonts w:ascii="Tahoma" w:hAnsi="Tahoma" w:cs="Tahoma"/>
          <w:sz w:val="20"/>
          <w:szCs w:val="20"/>
        </w:rPr>
        <w:t xml:space="preserve"> </w:t>
      </w:r>
      <w:r w:rsidRPr="00B004EE">
        <w:rPr>
          <w:rFonts w:ascii="Tahoma" w:hAnsi="Tahoma" w:cs="Tahoma"/>
          <w:sz w:val="20"/>
          <w:szCs w:val="20"/>
        </w:rPr>
        <w:t>l'observateur</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débarqué</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port</w:t>
      </w:r>
      <w:r w:rsidR="00DB1635" w:rsidRPr="00B004EE">
        <w:rPr>
          <w:rFonts w:ascii="Tahoma" w:hAnsi="Tahoma" w:cs="Tahoma"/>
          <w:sz w:val="20"/>
          <w:szCs w:val="20"/>
        </w:rPr>
        <w:t xml:space="preserve"> </w:t>
      </w:r>
      <w:r w:rsidRPr="00B004EE">
        <w:rPr>
          <w:rFonts w:ascii="Tahoma" w:hAnsi="Tahoma" w:cs="Tahoma"/>
          <w:sz w:val="20"/>
          <w:szCs w:val="20"/>
        </w:rPr>
        <w:t>étranger,</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l'issue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sa</w:t>
      </w:r>
      <w:r w:rsidR="00DB1635" w:rsidRPr="00B004EE">
        <w:rPr>
          <w:rFonts w:ascii="Tahoma" w:hAnsi="Tahoma" w:cs="Tahoma"/>
          <w:sz w:val="20"/>
          <w:szCs w:val="20"/>
        </w:rPr>
        <w:t xml:space="preserve"> </w:t>
      </w:r>
      <w:r w:rsidRPr="00B004EE">
        <w:rPr>
          <w:rFonts w:ascii="Tahoma" w:hAnsi="Tahoma" w:cs="Tahoma"/>
          <w:sz w:val="20"/>
          <w:szCs w:val="20"/>
        </w:rPr>
        <w:t>mission</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toute</w:t>
      </w:r>
      <w:r w:rsidR="00DB1635" w:rsidRPr="00B004EE">
        <w:rPr>
          <w:rFonts w:ascii="Tahoma" w:hAnsi="Tahoma" w:cs="Tahoma"/>
          <w:sz w:val="20"/>
          <w:szCs w:val="20"/>
        </w:rPr>
        <w:t xml:space="preserve"> </w:t>
      </w:r>
      <w:r w:rsidRPr="00B004EE">
        <w:rPr>
          <w:rFonts w:ascii="Tahoma" w:hAnsi="Tahoma" w:cs="Tahoma"/>
          <w:sz w:val="20"/>
          <w:szCs w:val="20"/>
        </w:rPr>
        <w:t>autre</w:t>
      </w:r>
      <w:r w:rsidR="00DB1635" w:rsidRPr="00B004EE">
        <w:rPr>
          <w:rFonts w:ascii="Tahoma" w:hAnsi="Tahoma" w:cs="Tahoma"/>
          <w:sz w:val="20"/>
          <w:szCs w:val="20"/>
        </w:rPr>
        <w:t xml:space="preserve"> </w:t>
      </w:r>
      <w:r w:rsidRPr="00B004EE">
        <w:rPr>
          <w:rFonts w:ascii="Tahoma" w:hAnsi="Tahoma" w:cs="Tahoma"/>
          <w:sz w:val="20"/>
          <w:szCs w:val="20"/>
        </w:rPr>
        <w:t>circonstance,</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vue</w:t>
      </w:r>
      <w:r w:rsidR="00DB1635" w:rsidRPr="00B004EE">
        <w:rPr>
          <w:rFonts w:ascii="Tahoma" w:hAnsi="Tahoma" w:cs="Tahoma"/>
          <w:sz w:val="20"/>
          <w:szCs w:val="20"/>
        </w:rPr>
        <w:t xml:space="preserve"> </w:t>
      </w:r>
      <w:r w:rsidRPr="00B004EE">
        <w:rPr>
          <w:rFonts w:ascii="Tahoma" w:hAnsi="Tahoma" w:cs="Tahoma"/>
          <w:sz w:val="20"/>
          <w:szCs w:val="20"/>
        </w:rPr>
        <w:t>d'un</w:t>
      </w:r>
      <w:r w:rsidR="00DB1635" w:rsidRPr="00B004EE">
        <w:rPr>
          <w:rFonts w:ascii="Tahoma" w:hAnsi="Tahoma" w:cs="Tahoma"/>
          <w:sz w:val="20"/>
          <w:szCs w:val="20"/>
        </w:rPr>
        <w:t xml:space="preserve"> </w:t>
      </w:r>
      <w:r w:rsidRPr="00B004EE">
        <w:rPr>
          <w:rFonts w:ascii="Tahoma" w:hAnsi="Tahoma" w:cs="Tahoma"/>
          <w:sz w:val="20"/>
          <w:szCs w:val="20"/>
        </w:rPr>
        <w:t>rapatriement</w:t>
      </w:r>
      <w:r w:rsidR="00DB1635" w:rsidRPr="00B004EE">
        <w:rPr>
          <w:rFonts w:ascii="Tahoma" w:hAnsi="Tahoma" w:cs="Tahoma"/>
          <w:sz w:val="20"/>
          <w:szCs w:val="20"/>
        </w:rPr>
        <w:t xml:space="preserve"> </w:t>
      </w:r>
      <w:r w:rsidRPr="00B004EE">
        <w:rPr>
          <w:rFonts w:ascii="Tahoma" w:hAnsi="Tahoma" w:cs="Tahoma"/>
          <w:sz w:val="20"/>
          <w:szCs w:val="20"/>
        </w:rPr>
        <w:t>vers</w:t>
      </w:r>
      <w:r w:rsidR="00DB1635" w:rsidRPr="00B004EE">
        <w:rPr>
          <w:rFonts w:ascii="Tahoma" w:hAnsi="Tahoma" w:cs="Tahoma"/>
          <w:sz w:val="20"/>
          <w:szCs w:val="20"/>
        </w:rPr>
        <w:t xml:space="preserve"> </w:t>
      </w:r>
      <w:r w:rsidRPr="00B004EE">
        <w:rPr>
          <w:rFonts w:ascii="Tahoma" w:hAnsi="Tahoma" w:cs="Tahoma"/>
          <w:sz w:val="20"/>
          <w:szCs w:val="20"/>
        </w:rPr>
        <w:t>son</w:t>
      </w:r>
      <w:r w:rsidR="00DB1635" w:rsidRPr="00B004EE">
        <w:rPr>
          <w:rFonts w:ascii="Tahoma" w:hAnsi="Tahoma" w:cs="Tahoma"/>
          <w:sz w:val="20"/>
          <w:szCs w:val="20"/>
        </w:rPr>
        <w:t xml:space="preserve"> </w:t>
      </w:r>
      <w:r w:rsidRPr="00B004EE">
        <w:rPr>
          <w:rFonts w:ascii="Tahoma" w:hAnsi="Tahoma" w:cs="Tahoma"/>
          <w:sz w:val="20"/>
          <w:szCs w:val="20"/>
        </w:rPr>
        <w:t>lieu</w:t>
      </w:r>
      <w:r w:rsidR="00DB1635" w:rsidRPr="00B004EE">
        <w:rPr>
          <w:rFonts w:ascii="Tahoma" w:hAnsi="Tahoma" w:cs="Tahoma"/>
          <w:sz w:val="20"/>
          <w:szCs w:val="20"/>
        </w:rPr>
        <w:t xml:space="preserve"> </w:t>
      </w:r>
      <w:r w:rsidRPr="00B004EE">
        <w:rPr>
          <w:rFonts w:ascii="Tahoma" w:hAnsi="Tahoma" w:cs="Tahoma"/>
          <w:sz w:val="20"/>
          <w:szCs w:val="20"/>
        </w:rPr>
        <w:t>d'origine,</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concessionnaire</w:t>
      </w:r>
      <w:r w:rsidR="00DB1635" w:rsidRPr="00B004EE">
        <w:rPr>
          <w:rFonts w:ascii="Tahoma" w:hAnsi="Tahoma" w:cs="Tahoma"/>
          <w:sz w:val="20"/>
          <w:szCs w:val="20"/>
        </w:rPr>
        <w:t xml:space="preserve"> </w:t>
      </w:r>
      <w:r w:rsidRPr="00B004EE">
        <w:rPr>
          <w:rFonts w:ascii="Tahoma" w:hAnsi="Tahoma" w:cs="Tahoma"/>
          <w:sz w:val="20"/>
          <w:szCs w:val="20"/>
        </w:rPr>
        <w:t>prend</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charge</w:t>
      </w:r>
      <w:r w:rsidR="00DB1635" w:rsidRPr="00B004EE">
        <w:rPr>
          <w:rFonts w:ascii="Tahoma" w:hAnsi="Tahoma" w:cs="Tahoma"/>
          <w:sz w:val="20"/>
          <w:szCs w:val="20"/>
        </w:rPr>
        <w:t xml:space="preserve"> </w:t>
      </w:r>
      <w:r w:rsidRPr="00B004EE">
        <w:rPr>
          <w:rFonts w:ascii="Tahoma" w:hAnsi="Tahoma" w:cs="Tahoma"/>
          <w:sz w:val="20"/>
          <w:szCs w:val="20"/>
        </w:rPr>
        <w:t>l'ensemble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frais</w:t>
      </w:r>
      <w:r w:rsidR="00DB1635" w:rsidRPr="00B004EE">
        <w:rPr>
          <w:rFonts w:ascii="Tahoma" w:hAnsi="Tahoma" w:cs="Tahoma"/>
          <w:sz w:val="20"/>
          <w:szCs w:val="20"/>
        </w:rPr>
        <w:t xml:space="preserve"> </w:t>
      </w:r>
      <w:r w:rsidRPr="00B004EE">
        <w:rPr>
          <w:rFonts w:ascii="Tahoma" w:hAnsi="Tahoma" w:cs="Tahoma"/>
          <w:sz w:val="20"/>
          <w:szCs w:val="20"/>
        </w:rPr>
        <w:t>subséquents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notamment</w:t>
      </w:r>
      <w:r w:rsidR="00DB1635" w:rsidRPr="00B004EE">
        <w:rPr>
          <w:rFonts w:ascii="Tahoma" w:hAnsi="Tahoma" w:cs="Tahoma"/>
          <w:sz w:val="20"/>
          <w:szCs w:val="20"/>
        </w:rPr>
        <w:t xml:space="preserve"> </w:t>
      </w:r>
      <w:r w:rsidRPr="00B004EE">
        <w:rPr>
          <w:rFonts w:ascii="Tahoma" w:hAnsi="Tahoma" w:cs="Tahoma"/>
          <w:sz w:val="20"/>
          <w:szCs w:val="20"/>
        </w:rPr>
        <w:t>ceux</w:t>
      </w:r>
      <w:r w:rsidR="00DB1635" w:rsidRPr="00B004EE">
        <w:rPr>
          <w:rFonts w:ascii="Tahoma" w:hAnsi="Tahoma" w:cs="Tahoma"/>
          <w:sz w:val="20"/>
          <w:szCs w:val="20"/>
        </w:rPr>
        <w:t xml:space="preserve"> </w:t>
      </w:r>
      <w:r w:rsidRPr="00B004EE">
        <w:rPr>
          <w:rFonts w:ascii="Tahoma" w:hAnsi="Tahoma" w:cs="Tahoma"/>
          <w:sz w:val="20"/>
          <w:szCs w:val="20"/>
        </w:rPr>
        <w:t>afférents</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séjour</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transport.</w:t>
      </w:r>
      <w:r w:rsidR="00DB1635" w:rsidRPr="00B004EE">
        <w:rPr>
          <w:rFonts w:ascii="Tahoma" w:hAnsi="Tahoma" w:cs="Tahoma"/>
          <w:sz w:val="20"/>
          <w:szCs w:val="20"/>
        </w:rPr>
        <w:t xml:space="preserve"> </w:t>
      </w:r>
    </w:p>
    <w:p w14:paraId="35E47FE4" w14:textId="77777777" w:rsidR="00A621C8" w:rsidRPr="00B004EE" w:rsidRDefault="00A621C8" w:rsidP="00B004EE">
      <w:pPr>
        <w:pStyle w:val="article"/>
        <w:numPr>
          <w:ilvl w:val="0"/>
          <w:numId w:val="0"/>
        </w:numPr>
        <w:tabs>
          <w:tab w:val="left" w:pos="1200"/>
        </w:tabs>
        <w:spacing w:before="0" w:line="240" w:lineRule="auto"/>
        <w:rPr>
          <w:rFonts w:ascii="Tahoma" w:hAnsi="Tahoma" w:cs="Tahoma"/>
          <w:sz w:val="20"/>
          <w:szCs w:val="20"/>
        </w:rPr>
      </w:pPr>
    </w:p>
    <w:p w14:paraId="123C701C" w14:textId="1A6C0AEB" w:rsidR="008518B0" w:rsidRPr="00B004EE" w:rsidRDefault="008518B0" w:rsidP="00B004EE">
      <w:pPr>
        <w:pStyle w:val="article"/>
        <w:numPr>
          <w:ilvl w:val="0"/>
          <w:numId w:val="0"/>
        </w:numPr>
        <w:tabs>
          <w:tab w:val="left" w:pos="1200"/>
        </w:tabs>
        <w:spacing w:before="0" w:line="240" w:lineRule="auto"/>
        <w:rPr>
          <w:rFonts w:ascii="Tahoma" w:hAnsi="Tahoma" w:cs="Tahoma"/>
          <w:sz w:val="20"/>
          <w:szCs w:val="20"/>
        </w:rPr>
      </w:pPr>
      <w:r w:rsidRPr="00B004EE">
        <w:rPr>
          <w:rFonts w:ascii="Tahoma" w:hAnsi="Tahoma" w:cs="Tahoma"/>
          <w:sz w:val="20"/>
          <w:szCs w:val="20"/>
        </w:rPr>
        <w:t>Article</w:t>
      </w:r>
      <w:r w:rsidR="00DB1635" w:rsidRPr="00B004EE">
        <w:rPr>
          <w:rFonts w:ascii="Tahoma" w:hAnsi="Tahoma" w:cs="Tahoma"/>
          <w:sz w:val="20"/>
          <w:szCs w:val="20"/>
        </w:rPr>
        <w:t xml:space="preserve"> </w:t>
      </w:r>
      <w:r w:rsidRPr="00B004EE">
        <w:rPr>
          <w:rFonts w:ascii="Tahoma" w:hAnsi="Tahoma" w:cs="Tahoma"/>
          <w:sz w:val="20"/>
          <w:szCs w:val="20"/>
        </w:rPr>
        <w:t>53</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Tout</w:t>
      </w:r>
      <w:r w:rsidR="00DB1635" w:rsidRPr="00B004EE">
        <w:rPr>
          <w:rFonts w:ascii="Tahoma" w:hAnsi="Tahoma" w:cs="Tahoma"/>
          <w:sz w:val="20"/>
          <w:szCs w:val="20"/>
        </w:rPr>
        <w:t xml:space="preserve"> </w:t>
      </w:r>
      <w:r w:rsidRPr="00B004EE">
        <w:rPr>
          <w:rFonts w:ascii="Tahoma" w:hAnsi="Tahoma" w:cs="Tahoma"/>
          <w:sz w:val="20"/>
          <w:szCs w:val="20"/>
        </w:rPr>
        <w:t>capitaine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navire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hauturière</w:t>
      </w:r>
      <w:r w:rsidR="00DB1635" w:rsidRPr="00B004EE">
        <w:rPr>
          <w:rFonts w:ascii="Tahoma" w:hAnsi="Tahoma" w:cs="Tahoma"/>
          <w:sz w:val="20"/>
          <w:szCs w:val="20"/>
        </w:rPr>
        <w:t xml:space="preserve"> </w:t>
      </w:r>
      <w:r w:rsidRPr="00B004EE">
        <w:rPr>
          <w:rFonts w:ascii="Tahoma" w:hAnsi="Tahoma" w:cs="Tahoma"/>
          <w:sz w:val="20"/>
          <w:szCs w:val="20"/>
        </w:rPr>
        <w:t>autorisé</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opérer</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eaux</w:t>
      </w:r>
      <w:r w:rsidR="00DB1635" w:rsidRPr="00B004EE">
        <w:rPr>
          <w:rFonts w:ascii="Tahoma" w:hAnsi="Tahoma" w:cs="Tahoma"/>
          <w:sz w:val="20"/>
          <w:szCs w:val="20"/>
        </w:rPr>
        <w:t xml:space="preserve"> </w:t>
      </w:r>
      <w:r w:rsidRPr="00B004EE">
        <w:rPr>
          <w:rFonts w:ascii="Tahoma" w:hAnsi="Tahoma" w:cs="Tahoma"/>
          <w:sz w:val="20"/>
          <w:szCs w:val="20"/>
        </w:rPr>
        <w:t>sous</w:t>
      </w:r>
      <w:r w:rsidR="00DB1635" w:rsidRPr="00B004EE">
        <w:rPr>
          <w:rFonts w:ascii="Tahoma" w:hAnsi="Tahoma" w:cs="Tahoma"/>
          <w:sz w:val="20"/>
          <w:szCs w:val="20"/>
        </w:rPr>
        <w:t xml:space="preserve"> </w:t>
      </w:r>
      <w:r w:rsidRPr="00B004EE">
        <w:rPr>
          <w:rFonts w:ascii="Tahoma" w:hAnsi="Tahoma" w:cs="Tahoma"/>
          <w:sz w:val="20"/>
          <w:szCs w:val="20"/>
        </w:rPr>
        <w:t>juridiction</w:t>
      </w:r>
      <w:r w:rsidR="00DB1635" w:rsidRPr="00B004EE">
        <w:rPr>
          <w:rFonts w:ascii="Tahoma" w:hAnsi="Tahoma" w:cs="Tahoma"/>
          <w:sz w:val="20"/>
          <w:szCs w:val="20"/>
        </w:rPr>
        <w:t xml:space="preserve"> </w:t>
      </w:r>
      <w:r w:rsidRPr="00B004EE">
        <w:rPr>
          <w:rFonts w:ascii="Tahoma" w:hAnsi="Tahoma" w:cs="Tahoma"/>
          <w:sz w:val="20"/>
          <w:szCs w:val="20"/>
        </w:rPr>
        <w:t>mauritanienne</w:t>
      </w:r>
      <w:r w:rsidR="00DB1635" w:rsidRPr="00B004EE">
        <w:rPr>
          <w:rFonts w:ascii="Tahoma" w:hAnsi="Tahoma" w:cs="Tahoma"/>
          <w:sz w:val="20"/>
          <w:szCs w:val="20"/>
        </w:rPr>
        <w:t xml:space="preserve"> </w:t>
      </w:r>
      <w:r w:rsidRPr="00B004EE">
        <w:rPr>
          <w:rFonts w:ascii="Tahoma" w:hAnsi="Tahoma" w:cs="Tahoma"/>
          <w:sz w:val="20"/>
          <w:szCs w:val="20"/>
        </w:rPr>
        <w:t>devra,</w:t>
      </w:r>
      <w:r w:rsidR="00DB1635" w:rsidRPr="00B004EE">
        <w:rPr>
          <w:rFonts w:ascii="Tahoma" w:hAnsi="Tahoma" w:cs="Tahoma"/>
          <w:sz w:val="20"/>
          <w:szCs w:val="20"/>
        </w:rPr>
        <w:t xml:space="preserve"> </w:t>
      </w:r>
      <w:r w:rsidRPr="00B004EE">
        <w:rPr>
          <w:rFonts w:ascii="Tahoma" w:hAnsi="Tahoma" w:cs="Tahoma"/>
          <w:sz w:val="20"/>
          <w:szCs w:val="20"/>
        </w:rPr>
        <w:t>lorsqu'il</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requis</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ministre</w:t>
      </w:r>
      <w:r w:rsidR="00DB1635" w:rsidRPr="00B004EE">
        <w:rPr>
          <w:rFonts w:ascii="Tahoma" w:hAnsi="Tahoma" w:cs="Tahoma"/>
          <w:sz w:val="20"/>
          <w:szCs w:val="20"/>
        </w:rPr>
        <w:t xml:space="preserve"> </w:t>
      </w:r>
      <w:r w:rsidRPr="00B004EE">
        <w:rPr>
          <w:rFonts w:ascii="Tahoma" w:hAnsi="Tahoma" w:cs="Tahoma"/>
          <w:sz w:val="20"/>
          <w:szCs w:val="20"/>
        </w:rPr>
        <w:t>chargé</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b/>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l'autorité</w:t>
      </w:r>
      <w:r w:rsidR="00DB1635" w:rsidRPr="00B004EE">
        <w:rPr>
          <w:rFonts w:ascii="Tahoma" w:hAnsi="Tahoma" w:cs="Tahoma"/>
          <w:sz w:val="20"/>
          <w:szCs w:val="20"/>
        </w:rPr>
        <w:t xml:space="preserve"> </w:t>
      </w:r>
      <w:r w:rsidRPr="00B004EE">
        <w:rPr>
          <w:rFonts w:ascii="Tahoma" w:hAnsi="Tahoma" w:cs="Tahoma"/>
          <w:sz w:val="20"/>
          <w:szCs w:val="20"/>
        </w:rPr>
        <w:t>désignée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cet</w:t>
      </w:r>
      <w:r w:rsidR="00DB1635" w:rsidRPr="00B004EE">
        <w:rPr>
          <w:rFonts w:ascii="Tahoma" w:hAnsi="Tahoma" w:cs="Tahoma"/>
          <w:sz w:val="20"/>
          <w:szCs w:val="20"/>
        </w:rPr>
        <w:t xml:space="preserve"> </w:t>
      </w:r>
      <w:r w:rsidRPr="00B004EE">
        <w:rPr>
          <w:rFonts w:ascii="Tahoma" w:hAnsi="Tahoma" w:cs="Tahoma"/>
          <w:sz w:val="20"/>
          <w:szCs w:val="20"/>
        </w:rPr>
        <w:t>effet,</w:t>
      </w:r>
      <w:r w:rsidR="00DB1635" w:rsidRPr="00B004EE">
        <w:rPr>
          <w:rFonts w:ascii="Tahoma" w:hAnsi="Tahoma" w:cs="Tahoma"/>
          <w:sz w:val="20"/>
          <w:szCs w:val="20"/>
        </w:rPr>
        <w:t xml:space="preserve"> </w:t>
      </w:r>
      <w:r w:rsidRPr="00B004EE">
        <w:rPr>
          <w:rFonts w:ascii="Tahoma" w:hAnsi="Tahoma" w:cs="Tahoma"/>
          <w:sz w:val="20"/>
          <w:szCs w:val="20"/>
        </w:rPr>
        <w:t>permettre</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chercheurs,</w:t>
      </w:r>
      <w:r w:rsidR="00DB1635" w:rsidRPr="00B004EE">
        <w:rPr>
          <w:rFonts w:ascii="Tahoma" w:hAnsi="Tahoma" w:cs="Tahoma"/>
          <w:sz w:val="20"/>
          <w:szCs w:val="20"/>
        </w:rPr>
        <w:t xml:space="preserve"> </w:t>
      </w:r>
      <w:r w:rsidRPr="00B004EE">
        <w:rPr>
          <w:rFonts w:ascii="Tahoma" w:hAnsi="Tahoma" w:cs="Tahoma"/>
          <w:sz w:val="20"/>
          <w:szCs w:val="20"/>
        </w:rPr>
        <w:t>agents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contrôle</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tout</w:t>
      </w:r>
      <w:r w:rsidR="00DB1635" w:rsidRPr="00B004EE">
        <w:rPr>
          <w:rFonts w:ascii="Tahoma" w:hAnsi="Tahoma" w:cs="Tahoma"/>
          <w:sz w:val="20"/>
          <w:szCs w:val="20"/>
        </w:rPr>
        <w:t xml:space="preserve"> </w:t>
      </w:r>
      <w:r w:rsidRPr="00B004EE">
        <w:rPr>
          <w:rFonts w:ascii="Tahoma" w:hAnsi="Tahoma" w:cs="Tahoma"/>
          <w:sz w:val="20"/>
          <w:szCs w:val="20"/>
        </w:rPr>
        <w:t>autre</w:t>
      </w:r>
      <w:r w:rsidR="00DB1635" w:rsidRPr="00B004EE">
        <w:rPr>
          <w:rFonts w:ascii="Tahoma" w:hAnsi="Tahoma" w:cs="Tahoma"/>
          <w:sz w:val="20"/>
          <w:szCs w:val="20"/>
        </w:rPr>
        <w:t xml:space="preserve"> </w:t>
      </w:r>
      <w:r w:rsidRPr="00B004EE">
        <w:rPr>
          <w:rFonts w:ascii="Tahoma" w:hAnsi="Tahoma" w:cs="Tahoma"/>
          <w:sz w:val="20"/>
          <w:szCs w:val="20"/>
        </w:rPr>
        <w:t>agent</w:t>
      </w:r>
      <w:r w:rsidR="00DB1635" w:rsidRPr="00B004EE">
        <w:rPr>
          <w:rFonts w:ascii="Tahoma" w:hAnsi="Tahoma" w:cs="Tahoma"/>
          <w:sz w:val="20"/>
          <w:szCs w:val="20"/>
        </w:rPr>
        <w:t xml:space="preserve"> </w:t>
      </w:r>
      <w:r w:rsidRPr="00B004EE">
        <w:rPr>
          <w:rFonts w:ascii="Tahoma" w:hAnsi="Tahoma" w:cs="Tahoma"/>
          <w:sz w:val="20"/>
          <w:szCs w:val="20"/>
        </w:rPr>
        <w:t>investi</w:t>
      </w:r>
      <w:r w:rsidR="00DB1635" w:rsidRPr="00B004EE">
        <w:rPr>
          <w:rFonts w:ascii="Tahoma" w:hAnsi="Tahoma" w:cs="Tahoma"/>
          <w:sz w:val="20"/>
          <w:szCs w:val="20"/>
        </w:rPr>
        <w:t xml:space="preserve"> </w:t>
      </w:r>
      <w:r w:rsidRPr="00B004EE">
        <w:rPr>
          <w:rFonts w:ascii="Tahoma" w:hAnsi="Tahoma" w:cs="Tahoma"/>
          <w:sz w:val="20"/>
          <w:szCs w:val="20"/>
        </w:rPr>
        <w:t>d'une</w:t>
      </w:r>
      <w:r w:rsidR="00DB1635" w:rsidRPr="00B004EE">
        <w:rPr>
          <w:rFonts w:ascii="Tahoma" w:hAnsi="Tahoma" w:cs="Tahoma"/>
          <w:sz w:val="20"/>
          <w:szCs w:val="20"/>
        </w:rPr>
        <w:t xml:space="preserve"> </w:t>
      </w:r>
      <w:r w:rsidRPr="00B004EE">
        <w:rPr>
          <w:rFonts w:ascii="Tahoma" w:hAnsi="Tahoma" w:cs="Tahoma"/>
          <w:sz w:val="20"/>
          <w:szCs w:val="20"/>
        </w:rPr>
        <w:t>mission</w:t>
      </w:r>
      <w:r w:rsidR="00DB1635" w:rsidRPr="00B004EE">
        <w:rPr>
          <w:rFonts w:ascii="Tahoma" w:hAnsi="Tahoma" w:cs="Tahoma"/>
          <w:sz w:val="20"/>
          <w:szCs w:val="20"/>
        </w:rPr>
        <w:t xml:space="preserve"> </w:t>
      </w:r>
      <w:r w:rsidRPr="00B004EE">
        <w:rPr>
          <w:rFonts w:ascii="Tahoma" w:hAnsi="Tahoma" w:cs="Tahoma"/>
          <w:sz w:val="20"/>
          <w:szCs w:val="20"/>
        </w:rPr>
        <w:t>d'étude,</w:t>
      </w:r>
      <w:r w:rsidR="00DB1635" w:rsidRPr="00B004EE">
        <w:rPr>
          <w:rFonts w:ascii="Tahoma" w:hAnsi="Tahoma" w:cs="Tahoma"/>
          <w:sz w:val="20"/>
          <w:szCs w:val="20"/>
        </w:rPr>
        <w:t xml:space="preserve"> </w:t>
      </w:r>
      <w:r w:rsidRPr="00B004EE">
        <w:rPr>
          <w:rFonts w:ascii="Tahoma" w:hAnsi="Tahoma" w:cs="Tahoma"/>
          <w:sz w:val="20"/>
          <w:szCs w:val="20"/>
        </w:rPr>
        <w:lastRenderedPageBreak/>
        <w:t>de</w:t>
      </w:r>
      <w:r w:rsidR="00DB1635" w:rsidRPr="00B004EE">
        <w:rPr>
          <w:rFonts w:ascii="Tahoma" w:hAnsi="Tahoma" w:cs="Tahoma"/>
          <w:sz w:val="20"/>
          <w:szCs w:val="20"/>
        </w:rPr>
        <w:t xml:space="preserve"> </w:t>
      </w:r>
      <w:r w:rsidRPr="00B004EE">
        <w:rPr>
          <w:rFonts w:ascii="Tahoma" w:hAnsi="Tahoma" w:cs="Tahoma"/>
          <w:sz w:val="20"/>
          <w:szCs w:val="20"/>
        </w:rPr>
        <w:t>suivi</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contrôle,</w:t>
      </w:r>
      <w:r w:rsidR="00DB1635" w:rsidRPr="00B004EE">
        <w:rPr>
          <w:rFonts w:ascii="Tahoma" w:hAnsi="Tahoma" w:cs="Tahoma"/>
          <w:sz w:val="20"/>
          <w:szCs w:val="20"/>
        </w:rPr>
        <w:t xml:space="preserve"> </w:t>
      </w:r>
      <w:r w:rsidRPr="00B004EE">
        <w:rPr>
          <w:rFonts w:ascii="Tahoma" w:hAnsi="Tahoma" w:cs="Tahoma"/>
          <w:sz w:val="20"/>
          <w:szCs w:val="20"/>
        </w:rPr>
        <w:t>d'embarquer</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bord</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navire</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durée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son</w:t>
      </w:r>
      <w:r w:rsidR="00DB1635" w:rsidRPr="00B004EE">
        <w:rPr>
          <w:rFonts w:ascii="Tahoma" w:hAnsi="Tahoma" w:cs="Tahoma"/>
          <w:sz w:val="20"/>
          <w:szCs w:val="20"/>
        </w:rPr>
        <w:t xml:space="preserve"> </w:t>
      </w:r>
      <w:r w:rsidRPr="00B004EE">
        <w:rPr>
          <w:rFonts w:ascii="Tahoma" w:hAnsi="Tahoma" w:cs="Tahoma"/>
          <w:sz w:val="20"/>
          <w:szCs w:val="20"/>
        </w:rPr>
        <w:t>séjour</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l'intérieur</w:t>
      </w:r>
      <w:r w:rsidR="00DB1635" w:rsidRPr="00B004EE">
        <w:rPr>
          <w:rFonts w:ascii="Tahoma" w:hAnsi="Tahoma" w:cs="Tahoma"/>
          <w:sz w:val="20"/>
          <w:szCs w:val="20"/>
        </w:rPr>
        <w:t xml:space="preserve"> </w:t>
      </w:r>
      <w:r w:rsidRPr="00B004EE">
        <w:rPr>
          <w:rFonts w:ascii="Tahoma" w:hAnsi="Tahoma" w:cs="Tahoma"/>
          <w:sz w:val="20"/>
          <w:szCs w:val="20"/>
        </w:rPr>
        <w:t>desdites</w:t>
      </w:r>
      <w:r w:rsidR="00DB1635" w:rsidRPr="00B004EE">
        <w:rPr>
          <w:rFonts w:ascii="Tahoma" w:hAnsi="Tahoma" w:cs="Tahoma"/>
          <w:sz w:val="20"/>
          <w:szCs w:val="20"/>
        </w:rPr>
        <w:t xml:space="preserve"> </w:t>
      </w:r>
      <w:r w:rsidRPr="00B004EE">
        <w:rPr>
          <w:rFonts w:ascii="Tahoma" w:hAnsi="Tahoma" w:cs="Tahoma"/>
          <w:sz w:val="20"/>
          <w:szCs w:val="20"/>
        </w:rPr>
        <w:t>eaux.</w:t>
      </w:r>
      <w:r w:rsidR="00DB1635" w:rsidRPr="00B004EE">
        <w:rPr>
          <w:rFonts w:ascii="Tahoma" w:hAnsi="Tahoma" w:cs="Tahoma"/>
          <w:sz w:val="20"/>
          <w:szCs w:val="20"/>
        </w:rPr>
        <w:t xml:space="preserve"> </w:t>
      </w:r>
    </w:p>
    <w:p w14:paraId="1A0B0E1F" w14:textId="77777777" w:rsidR="00A621C8" w:rsidRPr="00B004EE" w:rsidRDefault="00A621C8" w:rsidP="00B004EE">
      <w:pPr>
        <w:pStyle w:val="article"/>
        <w:numPr>
          <w:ilvl w:val="0"/>
          <w:numId w:val="0"/>
        </w:numPr>
        <w:tabs>
          <w:tab w:val="left" w:pos="1200"/>
        </w:tabs>
        <w:spacing w:before="0" w:line="240" w:lineRule="auto"/>
        <w:rPr>
          <w:rFonts w:ascii="Tahoma" w:hAnsi="Tahoma" w:cs="Tahoma"/>
          <w:sz w:val="20"/>
          <w:szCs w:val="20"/>
        </w:rPr>
      </w:pPr>
    </w:p>
    <w:p w14:paraId="33A5A8C1" w14:textId="165ADA46" w:rsidR="008518B0" w:rsidRPr="00B004EE" w:rsidRDefault="008518B0" w:rsidP="00B004EE">
      <w:pPr>
        <w:pStyle w:val="article"/>
        <w:numPr>
          <w:ilvl w:val="0"/>
          <w:numId w:val="0"/>
        </w:numPr>
        <w:tabs>
          <w:tab w:val="left" w:pos="1200"/>
        </w:tabs>
        <w:spacing w:before="0" w:line="240" w:lineRule="auto"/>
        <w:rPr>
          <w:rFonts w:ascii="Tahoma" w:hAnsi="Tahoma" w:cs="Tahoma"/>
          <w:sz w:val="20"/>
          <w:szCs w:val="20"/>
        </w:rPr>
      </w:pPr>
      <w:r w:rsidRPr="00B004EE">
        <w:rPr>
          <w:rFonts w:ascii="Tahoma" w:hAnsi="Tahoma" w:cs="Tahoma"/>
          <w:sz w:val="20"/>
          <w:szCs w:val="20"/>
        </w:rPr>
        <w:t>Article</w:t>
      </w:r>
      <w:r w:rsidR="00DB1635" w:rsidRPr="00B004EE">
        <w:rPr>
          <w:rFonts w:ascii="Tahoma" w:hAnsi="Tahoma" w:cs="Tahoma"/>
          <w:sz w:val="20"/>
          <w:szCs w:val="20"/>
        </w:rPr>
        <w:t xml:space="preserve"> </w:t>
      </w:r>
      <w:r w:rsidRPr="00B004EE">
        <w:rPr>
          <w:rFonts w:ascii="Tahoma" w:hAnsi="Tahoma" w:cs="Tahoma"/>
          <w:sz w:val="20"/>
          <w:szCs w:val="20"/>
        </w:rPr>
        <w:t>54</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Aucune</w:t>
      </w:r>
      <w:r w:rsidR="00DB1635" w:rsidRPr="00B004EE">
        <w:rPr>
          <w:rFonts w:ascii="Tahoma" w:hAnsi="Tahoma" w:cs="Tahoma"/>
          <w:sz w:val="20"/>
          <w:szCs w:val="20"/>
        </w:rPr>
        <w:t xml:space="preserve"> </w:t>
      </w:r>
      <w:r w:rsidRPr="00B004EE">
        <w:rPr>
          <w:rFonts w:ascii="Tahoma" w:hAnsi="Tahoma" w:cs="Tahoma"/>
          <w:sz w:val="20"/>
          <w:szCs w:val="20"/>
        </w:rPr>
        <w:t>indemnité</w:t>
      </w:r>
      <w:r w:rsidR="00DB1635" w:rsidRPr="00B004EE">
        <w:rPr>
          <w:rFonts w:ascii="Tahoma" w:hAnsi="Tahoma" w:cs="Tahoma"/>
          <w:sz w:val="20"/>
          <w:szCs w:val="20"/>
        </w:rPr>
        <w:t xml:space="preserve"> </w:t>
      </w:r>
      <w:r w:rsidRPr="00B004EE">
        <w:rPr>
          <w:rFonts w:ascii="Tahoma" w:hAnsi="Tahoma" w:cs="Tahoma"/>
          <w:sz w:val="20"/>
          <w:szCs w:val="20"/>
        </w:rPr>
        <w:t>ne</w:t>
      </w:r>
      <w:r w:rsidR="00DB1635" w:rsidRPr="00B004EE">
        <w:rPr>
          <w:rFonts w:ascii="Tahoma" w:hAnsi="Tahoma" w:cs="Tahoma"/>
          <w:sz w:val="20"/>
          <w:szCs w:val="20"/>
        </w:rPr>
        <w:t xml:space="preserve"> </w:t>
      </w:r>
      <w:r w:rsidRPr="00B004EE">
        <w:rPr>
          <w:rFonts w:ascii="Tahoma" w:hAnsi="Tahoma" w:cs="Tahoma"/>
          <w:sz w:val="20"/>
          <w:szCs w:val="20"/>
        </w:rPr>
        <w:t>sera</w:t>
      </w:r>
      <w:r w:rsidR="00DB1635" w:rsidRPr="00B004EE">
        <w:rPr>
          <w:rFonts w:ascii="Tahoma" w:hAnsi="Tahoma" w:cs="Tahoma"/>
          <w:sz w:val="20"/>
          <w:szCs w:val="20"/>
        </w:rPr>
        <w:t xml:space="preserve"> </w:t>
      </w:r>
      <w:r w:rsidRPr="00B004EE">
        <w:rPr>
          <w:rFonts w:ascii="Tahoma" w:hAnsi="Tahoma" w:cs="Tahoma"/>
          <w:sz w:val="20"/>
          <w:szCs w:val="20"/>
        </w:rPr>
        <w:t>due</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l'État</w:t>
      </w:r>
      <w:r w:rsidR="00DB1635" w:rsidRPr="00B004EE">
        <w:rPr>
          <w:rFonts w:ascii="Tahoma" w:hAnsi="Tahoma" w:cs="Tahoma"/>
          <w:sz w:val="20"/>
          <w:szCs w:val="20"/>
        </w:rPr>
        <w:t xml:space="preserve"> </w:t>
      </w:r>
      <w:r w:rsidRPr="00B004EE">
        <w:rPr>
          <w:rFonts w:ascii="Tahoma" w:hAnsi="Tahoma" w:cs="Tahoma"/>
          <w:sz w:val="20"/>
          <w:szCs w:val="20"/>
        </w:rPr>
        <w:t>Mauritanien</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titulaire</w:t>
      </w:r>
      <w:r w:rsidR="00DB1635" w:rsidRPr="00B004EE">
        <w:rPr>
          <w:rFonts w:ascii="Tahoma" w:hAnsi="Tahoma" w:cs="Tahoma"/>
          <w:sz w:val="20"/>
          <w:szCs w:val="20"/>
        </w:rPr>
        <w:t xml:space="preserve"> </w:t>
      </w:r>
      <w:r w:rsidRPr="00B004EE">
        <w:rPr>
          <w:rFonts w:ascii="Tahoma" w:hAnsi="Tahoma" w:cs="Tahoma"/>
          <w:sz w:val="20"/>
          <w:szCs w:val="20"/>
        </w:rPr>
        <w:t>d'une</w:t>
      </w:r>
      <w:r w:rsidR="00DB1635" w:rsidRPr="00B004EE">
        <w:rPr>
          <w:rFonts w:ascii="Tahoma" w:hAnsi="Tahoma" w:cs="Tahoma"/>
          <w:sz w:val="20"/>
          <w:szCs w:val="20"/>
        </w:rPr>
        <w:t xml:space="preserve"> </w:t>
      </w:r>
      <w:r w:rsidRPr="00B004EE">
        <w:rPr>
          <w:rFonts w:ascii="Tahoma" w:hAnsi="Tahoma" w:cs="Tahoma"/>
          <w:sz w:val="20"/>
          <w:szCs w:val="20"/>
        </w:rPr>
        <w:t>concession</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droits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frais</w:t>
      </w:r>
      <w:r w:rsidR="00DB1635" w:rsidRPr="00B004EE">
        <w:rPr>
          <w:rFonts w:ascii="Tahoma" w:hAnsi="Tahoma" w:cs="Tahoma"/>
          <w:sz w:val="20"/>
          <w:szCs w:val="20"/>
        </w:rPr>
        <w:t xml:space="preserve"> </w:t>
      </w:r>
      <w:r w:rsidRPr="00B004EE">
        <w:rPr>
          <w:rFonts w:ascii="Tahoma" w:hAnsi="Tahoma" w:cs="Tahoma"/>
          <w:sz w:val="20"/>
          <w:szCs w:val="20"/>
        </w:rPr>
        <w:t>encourus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l'occasion</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mise</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œuvre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dispositions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présente</w:t>
      </w:r>
      <w:r w:rsidR="00DB1635" w:rsidRPr="00B004EE">
        <w:rPr>
          <w:rFonts w:ascii="Tahoma" w:hAnsi="Tahoma" w:cs="Tahoma"/>
          <w:sz w:val="20"/>
          <w:szCs w:val="20"/>
        </w:rPr>
        <w:t xml:space="preserve"> </w:t>
      </w:r>
      <w:r w:rsidRPr="00B004EE">
        <w:rPr>
          <w:rFonts w:ascii="Tahoma" w:hAnsi="Tahoma" w:cs="Tahoma"/>
          <w:sz w:val="20"/>
          <w:szCs w:val="20"/>
        </w:rPr>
        <w:t>section.</w:t>
      </w:r>
      <w:r w:rsidR="00DB1635" w:rsidRPr="00B004EE">
        <w:rPr>
          <w:rFonts w:ascii="Tahoma" w:hAnsi="Tahoma" w:cs="Tahoma"/>
          <w:sz w:val="20"/>
          <w:szCs w:val="20"/>
        </w:rPr>
        <w:t xml:space="preserve"> </w:t>
      </w:r>
    </w:p>
    <w:p w14:paraId="352968E5" w14:textId="77777777" w:rsidR="00A621C8" w:rsidRPr="00B004EE" w:rsidRDefault="00A621C8" w:rsidP="00B004EE">
      <w:pPr>
        <w:pStyle w:val="Lgende"/>
        <w:rPr>
          <w:rFonts w:ascii="Tahoma" w:hAnsi="Tahoma" w:cs="Tahoma"/>
          <w:b w:val="0"/>
          <w:bCs w:val="0"/>
        </w:rPr>
      </w:pPr>
    </w:p>
    <w:p w14:paraId="7547D1FF" w14:textId="190BD570" w:rsidR="008518B0" w:rsidRPr="00B004EE" w:rsidRDefault="008518B0" w:rsidP="00B004EE">
      <w:pPr>
        <w:pStyle w:val="Lgende"/>
        <w:jc w:val="center"/>
        <w:rPr>
          <w:rFonts w:ascii="Tahoma" w:hAnsi="Tahoma" w:cs="Tahoma"/>
        </w:rPr>
      </w:pPr>
      <w:r w:rsidRPr="00B004EE">
        <w:rPr>
          <w:rFonts w:ascii="Tahoma" w:hAnsi="Tahoma" w:cs="Tahoma"/>
        </w:rPr>
        <w:t>Section</w:t>
      </w:r>
      <w:r w:rsidR="00DB1635" w:rsidRPr="00B004EE">
        <w:rPr>
          <w:rFonts w:ascii="Tahoma" w:hAnsi="Tahoma" w:cs="Tahoma"/>
        </w:rPr>
        <w:t xml:space="preserve"> </w:t>
      </w:r>
      <w:r w:rsidRPr="00B004EE">
        <w:rPr>
          <w:rFonts w:ascii="Tahoma" w:hAnsi="Tahoma" w:cs="Tahoma"/>
        </w:rPr>
        <w:t>5</w:t>
      </w:r>
      <w:r w:rsidR="00DB1635" w:rsidRPr="00B004EE">
        <w:rPr>
          <w:rFonts w:ascii="Tahoma" w:hAnsi="Tahoma" w:cs="Tahoma"/>
        </w:rPr>
        <w:t xml:space="preserve"> </w:t>
      </w:r>
      <w:r w:rsidRPr="00B004EE">
        <w:rPr>
          <w:rFonts w:ascii="Tahoma" w:hAnsi="Tahoma" w:cs="Tahoma"/>
        </w:rPr>
        <w:t>:</w:t>
      </w:r>
      <w:r w:rsidR="00DB1635" w:rsidRPr="00B004EE">
        <w:rPr>
          <w:rFonts w:ascii="Tahoma" w:hAnsi="Tahoma" w:cs="Tahoma"/>
        </w:rPr>
        <w:t xml:space="preserve"> </w:t>
      </w:r>
      <w:r w:rsidRPr="00B004EE">
        <w:rPr>
          <w:rFonts w:ascii="Tahoma" w:hAnsi="Tahoma" w:cs="Tahoma"/>
        </w:rPr>
        <w:t>Des</w:t>
      </w:r>
      <w:r w:rsidR="00DB1635" w:rsidRPr="00B004EE">
        <w:rPr>
          <w:rFonts w:ascii="Tahoma" w:hAnsi="Tahoma" w:cs="Tahoma"/>
        </w:rPr>
        <w:t xml:space="preserve"> </w:t>
      </w:r>
      <w:r w:rsidRPr="00B004EE">
        <w:rPr>
          <w:rFonts w:ascii="Tahoma" w:hAnsi="Tahoma" w:cs="Tahoma"/>
        </w:rPr>
        <w:t>ports</w:t>
      </w:r>
      <w:r w:rsidR="00DB1635" w:rsidRPr="00B004EE">
        <w:rPr>
          <w:rFonts w:ascii="Tahoma" w:hAnsi="Tahoma" w:cs="Tahoma"/>
        </w:rPr>
        <w:t xml:space="preserve"> </w:t>
      </w:r>
      <w:r w:rsidRPr="00B004EE">
        <w:rPr>
          <w:rFonts w:ascii="Tahoma" w:hAnsi="Tahoma" w:cs="Tahoma"/>
        </w:rPr>
        <w:t>nationaux</w:t>
      </w:r>
      <w:r w:rsidR="00DB1635" w:rsidRPr="00B004EE">
        <w:rPr>
          <w:rFonts w:ascii="Tahoma" w:hAnsi="Tahoma" w:cs="Tahoma"/>
        </w:rPr>
        <w:t xml:space="preserve"> </w:t>
      </w:r>
      <w:r w:rsidRPr="00B004EE">
        <w:rPr>
          <w:rFonts w:ascii="Tahoma" w:hAnsi="Tahoma" w:cs="Tahoma"/>
        </w:rPr>
        <w:t>habilités</w:t>
      </w:r>
      <w:r w:rsidR="00DB1635" w:rsidRPr="00B004EE">
        <w:rPr>
          <w:rFonts w:ascii="Tahoma" w:hAnsi="Tahoma" w:cs="Tahoma"/>
        </w:rPr>
        <w:t xml:space="preserve"> </w:t>
      </w:r>
      <w:r w:rsidRPr="00B004EE">
        <w:rPr>
          <w:rFonts w:ascii="Tahoma" w:hAnsi="Tahoma" w:cs="Tahoma"/>
        </w:rPr>
        <w:t>à</w:t>
      </w:r>
      <w:r w:rsidR="00DB1635" w:rsidRPr="00B004EE">
        <w:rPr>
          <w:rFonts w:ascii="Tahoma" w:hAnsi="Tahoma" w:cs="Tahoma"/>
        </w:rPr>
        <w:t xml:space="preserve"> </w:t>
      </w:r>
      <w:r w:rsidRPr="00B004EE">
        <w:rPr>
          <w:rFonts w:ascii="Tahoma" w:hAnsi="Tahoma" w:cs="Tahoma"/>
        </w:rPr>
        <w:t>recevoir</w:t>
      </w:r>
      <w:r w:rsidR="00DB1635" w:rsidRPr="00B004EE">
        <w:rPr>
          <w:rFonts w:ascii="Tahoma" w:hAnsi="Tahoma" w:cs="Tahoma"/>
        </w:rPr>
        <w:t xml:space="preserve"> </w:t>
      </w:r>
      <w:r w:rsidRPr="00B004EE">
        <w:rPr>
          <w:rFonts w:ascii="Tahoma" w:hAnsi="Tahoma" w:cs="Tahoma"/>
        </w:rPr>
        <w:t>les</w:t>
      </w:r>
      <w:r w:rsidR="00DB1635" w:rsidRPr="00B004EE">
        <w:rPr>
          <w:rFonts w:ascii="Tahoma" w:hAnsi="Tahoma" w:cs="Tahoma"/>
        </w:rPr>
        <w:t xml:space="preserve"> </w:t>
      </w:r>
      <w:r w:rsidRPr="00B004EE">
        <w:rPr>
          <w:rFonts w:ascii="Tahoma" w:hAnsi="Tahoma" w:cs="Tahoma"/>
        </w:rPr>
        <w:t>navires</w:t>
      </w:r>
      <w:r w:rsidR="00DB1635" w:rsidRPr="00B004EE">
        <w:rPr>
          <w:rFonts w:ascii="Tahoma" w:hAnsi="Tahoma" w:cs="Tahoma"/>
        </w:rPr>
        <w:t xml:space="preserve"> </w:t>
      </w:r>
      <w:r w:rsidRPr="00B004EE">
        <w:rPr>
          <w:rFonts w:ascii="Tahoma" w:hAnsi="Tahoma" w:cs="Tahoma"/>
        </w:rPr>
        <w:t>de</w:t>
      </w:r>
      <w:r w:rsidR="00DB1635" w:rsidRPr="00B004EE">
        <w:rPr>
          <w:rFonts w:ascii="Tahoma" w:hAnsi="Tahoma" w:cs="Tahoma"/>
        </w:rPr>
        <w:t xml:space="preserve"> </w:t>
      </w:r>
      <w:r w:rsidRPr="00B004EE">
        <w:rPr>
          <w:rFonts w:ascii="Tahoma" w:hAnsi="Tahoma" w:cs="Tahoma"/>
        </w:rPr>
        <w:t>pêche</w:t>
      </w:r>
      <w:r w:rsidR="00DB1635" w:rsidRPr="00B004EE">
        <w:rPr>
          <w:rFonts w:ascii="Tahoma" w:hAnsi="Tahoma" w:cs="Tahoma"/>
        </w:rPr>
        <w:t xml:space="preserve"> </w:t>
      </w:r>
      <w:r w:rsidRPr="00B004EE">
        <w:rPr>
          <w:rFonts w:ascii="Tahoma" w:hAnsi="Tahoma" w:cs="Tahoma"/>
        </w:rPr>
        <w:t>étrangers</w:t>
      </w:r>
      <w:r w:rsidR="00DB1635" w:rsidRPr="00B004EE">
        <w:rPr>
          <w:rFonts w:ascii="Tahoma" w:hAnsi="Tahoma" w:cs="Tahoma"/>
        </w:rPr>
        <w:t xml:space="preserve"> </w:t>
      </w:r>
      <w:r w:rsidRPr="00B004EE">
        <w:rPr>
          <w:rFonts w:ascii="Tahoma" w:hAnsi="Tahoma" w:cs="Tahoma"/>
        </w:rPr>
        <w:t>en</w:t>
      </w:r>
      <w:r w:rsidR="00DB1635" w:rsidRPr="00B004EE">
        <w:rPr>
          <w:rFonts w:ascii="Tahoma" w:hAnsi="Tahoma" w:cs="Tahoma"/>
        </w:rPr>
        <w:t xml:space="preserve"> </w:t>
      </w:r>
      <w:r w:rsidRPr="00B004EE">
        <w:rPr>
          <w:rFonts w:ascii="Tahoma" w:hAnsi="Tahoma" w:cs="Tahoma"/>
        </w:rPr>
        <w:t>escale</w:t>
      </w:r>
    </w:p>
    <w:p w14:paraId="3457E347" w14:textId="77777777" w:rsidR="00A621C8" w:rsidRPr="00B004EE" w:rsidRDefault="00A621C8" w:rsidP="00B004EE">
      <w:pPr>
        <w:pStyle w:val="Lgende"/>
        <w:jc w:val="both"/>
        <w:rPr>
          <w:rFonts w:ascii="Tahoma" w:hAnsi="Tahoma" w:cs="Tahoma"/>
          <w:b w:val="0"/>
          <w:bCs w:val="0"/>
          <w:u w:val="single"/>
        </w:rPr>
      </w:pPr>
    </w:p>
    <w:p w14:paraId="5F501454" w14:textId="44CEDAB2" w:rsidR="008518B0" w:rsidRPr="00B004EE" w:rsidRDefault="008518B0" w:rsidP="00B004EE">
      <w:pPr>
        <w:pStyle w:val="Lgende"/>
        <w:jc w:val="both"/>
        <w:rPr>
          <w:rFonts w:ascii="Tahoma" w:hAnsi="Tahoma" w:cs="Tahoma"/>
          <w:b w:val="0"/>
          <w:bCs w:val="0"/>
        </w:rPr>
      </w:pPr>
      <w:r w:rsidRPr="00B004EE">
        <w:rPr>
          <w:rFonts w:ascii="Tahoma" w:hAnsi="Tahoma" w:cs="Tahoma"/>
          <w:b w:val="0"/>
          <w:bCs w:val="0"/>
        </w:rPr>
        <w:t>Article</w:t>
      </w:r>
      <w:r w:rsidR="00DB1635" w:rsidRPr="00B004EE">
        <w:rPr>
          <w:rFonts w:ascii="Tahoma" w:hAnsi="Tahoma" w:cs="Tahoma"/>
          <w:b w:val="0"/>
          <w:bCs w:val="0"/>
        </w:rPr>
        <w:t xml:space="preserve"> </w:t>
      </w:r>
      <w:r w:rsidRPr="00B004EE">
        <w:rPr>
          <w:rFonts w:ascii="Tahoma" w:hAnsi="Tahoma" w:cs="Tahoma"/>
          <w:b w:val="0"/>
          <w:bCs w:val="0"/>
        </w:rPr>
        <w:t>55</w:t>
      </w:r>
      <w:r w:rsidR="00DB1635" w:rsidRPr="00B004EE">
        <w:rPr>
          <w:rFonts w:ascii="Tahoma" w:hAnsi="Tahoma" w:cs="Tahoma"/>
          <w:b w:val="0"/>
          <w:bCs w:val="0"/>
        </w:rPr>
        <w:t xml:space="preserve"> </w:t>
      </w:r>
      <w:r w:rsidRPr="00B004EE">
        <w:rPr>
          <w:rFonts w:ascii="Tahoma" w:hAnsi="Tahoma" w:cs="Tahoma"/>
          <w:b w:val="0"/>
          <w:bCs w:val="0"/>
        </w:rPr>
        <w:t>:</w:t>
      </w:r>
      <w:r w:rsidR="00DB1635" w:rsidRPr="00B004EE">
        <w:rPr>
          <w:rFonts w:ascii="Tahoma" w:hAnsi="Tahoma" w:cs="Tahoma"/>
          <w:b w:val="0"/>
          <w:bCs w:val="0"/>
        </w:rPr>
        <w:t xml:space="preserve">  </w:t>
      </w:r>
      <w:r w:rsidRPr="00B004EE">
        <w:rPr>
          <w:rFonts w:ascii="Tahoma" w:hAnsi="Tahoma" w:cs="Tahoma"/>
          <w:b w:val="0"/>
          <w:bCs w:val="0"/>
        </w:rPr>
        <w:t>En</w:t>
      </w:r>
      <w:r w:rsidR="00DB1635" w:rsidRPr="00B004EE">
        <w:rPr>
          <w:rFonts w:ascii="Tahoma" w:hAnsi="Tahoma" w:cs="Tahoma"/>
          <w:b w:val="0"/>
          <w:bCs w:val="0"/>
        </w:rPr>
        <w:t xml:space="preserve"> </w:t>
      </w:r>
      <w:r w:rsidRPr="00B004EE">
        <w:rPr>
          <w:rFonts w:ascii="Tahoma" w:hAnsi="Tahoma" w:cs="Tahoma"/>
          <w:b w:val="0"/>
          <w:bCs w:val="0"/>
        </w:rPr>
        <w:t>application</w:t>
      </w:r>
      <w:r w:rsidR="00DB1635" w:rsidRPr="00B004EE">
        <w:rPr>
          <w:rFonts w:ascii="Tahoma" w:hAnsi="Tahoma" w:cs="Tahoma"/>
          <w:b w:val="0"/>
          <w:bCs w:val="0"/>
        </w:rPr>
        <w:t xml:space="preserve"> </w:t>
      </w:r>
      <w:r w:rsidRPr="00B004EE">
        <w:rPr>
          <w:rFonts w:ascii="Tahoma" w:hAnsi="Tahoma" w:cs="Tahoma"/>
          <w:b w:val="0"/>
          <w:bCs w:val="0"/>
        </w:rPr>
        <w:t>de</w:t>
      </w:r>
      <w:r w:rsidR="00DB1635" w:rsidRPr="00B004EE">
        <w:rPr>
          <w:rFonts w:ascii="Tahoma" w:hAnsi="Tahoma" w:cs="Tahoma"/>
          <w:b w:val="0"/>
          <w:bCs w:val="0"/>
        </w:rPr>
        <w:t xml:space="preserve"> </w:t>
      </w:r>
      <w:r w:rsidRPr="00B004EE">
        <w:rPr>
          <w:rFonts w:ascii="Tahoma" w:hAnsi="Tahoma" w:cs="Tahoma"/>
          <w:b w:val="0"/>
          <w:bCs w:val="0"/>
        </w:rPr>
        <w:t>l’article</w:t>
      </w:r>
      <w:r w:rsidR="00DB1635" w:rsidRPr="00B004EE">
        <w:rPr>
          <w:rFonts w:ascii="Tahoma" w:hAnsi="Tahoma" w:cs="Tahoma"/>
          <w:b w:val="0"/>
          <w:bCs w:val="0"/>
        </w:rPr>
        <w:t xml:space="preserve"> </w:t>
      </w:r>
      <w:r w:rsidRPr="00B004EE">
        <w:rPr>
          <w:rFonts w:ascii="Tahoma" w:hAnsi="Tahoma" w:cs="Tahoma"/>
          <w:b w:val="0"/>
          <w:bCs w:val="0"/>
        </w:rPr>
        <w:t>62</w:t>
      </w:r>
      <w:r w:rsidR="00DB1635" w:rsidRPr="00B004EE">
        <w:rPr>
          <w:rFonts w:ascii="Tahoma" w:hAnsi="Tahoma" w:cs="Tahoma"/>
          <w:b w:val="0"/>
          <w:bCs w:val="0"/>
        </w:rPr>
        <w:t xml:space="preserve"> </w:t>
      </w:r>
      <w:r w:rsidRPr="00B004EE">
        <w:rPr>
          <w:rFonts w:ascii="Tahoma" w:hAnsi="Tahoma" w:cs="Tahoma"/>
          <w:b w:val="0"/>
          <w:bCs w:val="0"/>
        </w:rPr>
        <w:t>de</w:t>
      </w:r>
      <w:r w:rsidR="00DB1635" w:rsidRPr="00B004EE">
        <w:rPr>
          <w:rFonts w:ascii="Tahoma" w:hAnsi="Tahoma" w:cs="Tahoma"/>
          <w:b w:val="0"/>
          <w:bCs w:val="0"/>
        </w:rPr>
        <w:t xml:space="preserve"> </w:t>
      </w:r>
      <w:r w:rsidRPr="00B004EE">
        <w:rPr>
          <w:rFonts w:ascii="Tahoma" w:hAnsi="Tahoma" w:cs="Tahoma"/>
          <w:b w:val="0"/>
          <w:bCs w:val="0"/>
        </w:rPr>
        <w:t>la</w:t>
      </w:r>
      <w:r w:rsidR="00DB1635" w:rsidRPr="00B004EE">
        <w:rPr>
          <w:rFonts w:ascii="Tahoma" w:hAnsi="Tahoma" w:cs="Tahoma"/>
          <w:b w:val="0"/>
          <w:bCs w:val="0"/>
        </w:rPr>
        <w:t xml:space="preserve"> </w:t>
      </w:r>
      <w:r w:rsidRPr="00B004EE">
        <w:rPr>
          <w:rFonts w:ascii="Tahoma" w:hAnsi="Tahoma" w:cs="Tahoma"/>
          <w:b w:val="0"/>
          <w:bCs w:val="0"/>
        </w:rPr>
        <w:t>loi</w:t>
      </w:r>
      <w:r w:rsidR="00DB1635" w:rsidRPr="00B004EE">
        <w:rPr>
          <w:rFonts w:ascii="Tahoma" w:hAnsi="Tahoma" w:cs="Tahoma"/>
          <w:b w:val="0"/>
          <w:bCs w:val="0"/>
        </w:rPr>
        <w:t xml:space="preserve"> </w:t>
      </w:r>
      <w:r w:rsidRPr="00B004EE">
        <w:rPr>
          <w:rFonts w:ascii="Tahoma" w:hAnsi="Tahoma" w:cs="Tahoma"/>
          <w:b w:val="0"/>
          <w:bCs w:val="0"/>
        </w:rPr>
        <w:t>n°017-2015</w:t>
      </w:r>
      <w:r w:rsidR="00DB1635" w:rsidRPr="00B004EE">
        <w:rPr>
          <w:rFonts w:ascii="Tahoma" w:hAnsi="Tahoma" w:cs="Tahoma"/>
          <w:b w:val="0"/>
          <w:bCs w:val="0"/>
        </w:rPr>
        <w:t xml:space="preserve"> </w:t>
      </w:r>
      <w:r w:rsidRPr="00B004EE">
        <w:rPr>
          <w:rFonts w:ascii="Tahoma" w:hAnsi="Tahoma" w:cs="Tahoma"/>
          <w:b w:val="0"/>
          <w:bCs w:val="0"/>
        </w:rPr>
        <w:t>du</w:t>
      </w:r>
      <w:r w:rsidR="00DB1635" w:rsidRPr="00B004EE">
        <w:rPr>
          <w:rFonts w:ascii="Tahoma" w:hAnsi="Tahoma" w:cs="Tahoma"/>
          <w:b w:val="0"/>
          <w:bCs w:val="0"/>
        </w:rPr>
        <w:t xml:space="preserve"> </w:t>
      </w:r>
      <w:r w:rsidRPr="00B004EE">
        <w:rPr>
          <w:rFonts w:ascii="Tahoma" w:hAnsi="Tahoma" w:cs="Tahoma"/>
          <w:b w:val="0"/>
          <w:bCs w:val="0"/>
        </w:rPr>
        <w:t>29</w:t>
      </w:r>
      <w:r w:rsidR="00DB1635" w:rsidRPr="00B004EE">
        <w:rPr>
          <w:rFonts w:ascii="Tahoma" w:hAnsi="Tahoma" w:cs="Tahoma"/>
          <w:b w:val="0"/>
          <w:bCs w:val="0"/>
        </w:rPr>
        <w:t xml:space="preserve"> </w:t>
      </w:r>
      <w:r w:rsidRPr="00B004EE">
        <w:rPr>
          <w:rFonts w:ascii="Tahoma" w:hAnsi="Tahoma" w:cs="Tahoma"/>
          <w:b w:val="0"/>
          <w:bCs w:val="0"/>
        </w:rPr>
        <w:t>juillet</w:t>
      </w:r>
      <w:r w:rsidR="00DB1635" w:rsidRPr="00B004EE">
        <w:rPr>
          <w:rFonts w:ascii="Tahoma" w:hAnsi="Tahoma" w:cs="Tahoma"/>
          <w:b w:val="0"/>
          <w:bCs w:val="0"/>
        </w:rPr>
        <w:t xml:space="preserve"> </w:t>
      </w:r>
      <w:r w:rsidRPr="00B004EE">
        <w:rPr>
          <w:rFonts w:ascii="Tahoma" w:hAnsi="Tahoma" w:cs="Tahoma"/>
          <w:b w:val="0"/>
          <w:bCs w:val="0"/>
        </w:rPr>
        <w:t>2105</w:t>
      </w:r>
      <w:r w:rsidR="00DB1635" w:rsidRPr="00B004EE">
        <w:rPr>
          <w:rFonts w:ascii="Tahoma" w:hAnsi="Tahoma" w:cs="Tahoma"/>
          <w:b w:val="0"/>
          <w:bCs w:val="0"/>
        </w:rPr>
        <w:t xml:space="preserve"> </w:t>
      </w:r>
      <w:r w:rsidRPr="00B004EE">
        <w:rPr>
          <w:rFonts w:ascii="Tahoma" w:hAnsi="Tahoma" w:cs="Tahoma"/>
          <w:b w:val="0"/>
          <w:bCs w:val="0"/>
        </w:rPr>
        <w:t>portant</w:t>
      </w:r>
      <w:r w:rsidR="00DB1635" w:rsidRPr="00B004EE">
        <w:rPr>
          <w:rFonts w:ascii="Tahoma" w:hAnsi="Tahoma" w:cs="Tahoma"/>
          <w:b w:val="0"/>
          <w:bCs w:val="0"/>
        </w:rPr>
        <w:t xml:space="preserve"> </w:t>
      </w:r>
      <w:r w:rsidRPr="00B004EE">
        <w:rPr>
          <w:rFonts w:ascii="Tahoma" w:hAnsi="Tahoma" w:cs="Tahoma"/>
          <w:b w:val="0"/>
          <w:bCs w:val="0"/>
        </w:rPr>
        <w:t>Code</w:t>
      </w:r>
      <w:r w:rsidR="00DB1635" w:rsidRPr="00B004EE">
        <w:rPr>
          <w:rFonts w:ascii="Tahoma" w:hAnsi="Tahoma" w:cs="Tahoma"/>
          <w:b w:val="0"/>
          <w:bCs w:val="0"/>
        </w:rPr>
        <w:t xml:space="preserve"> </w:t>
      </w:r>
      <w:r w:rsidRPr="00B004EE">
        <w:rPr>
          <w:rFonts w:ascii="Tahoma" w:hAnsi="Tahoma" w:cs="Tahoma"/>
          <w:b w:val="0"/>
          <w:bCs w:val="0"/>
        </w:rPr>
        <w:t>des</w:t>
      </w:r>
      <w:r w:rsidR="00DB1635" w:rsidRPr="00B004EE">
        <w:rPr>
          <w:rFonts w:ascii="Tahoma" w:hAnsi="Tahoma" w:cs="Tahoma"/>
          <w:b w:val="0"/>
          <w:bCs w:val="0"/>
        </w:rPr>
        <w:t xml:space="preserve"> </w:t>
      </w:r>
      <w:r w:rsidRPr="00B004EE">
        <w:rPr>
          <w:rFonts w:ascii="Tahoma" w:hAnsi="Tahoma" w:cs="Tahoma"/>
          <w:b w:val="0"/>
          <w:bCs w:val="0"/>
        </w:rPr>
        <w:t>Pêches,</w:t>
      </w:r>
      <w:r w:rsidR="00DB1635" w:rsidRPr="00B004EE">
        <w:rPr>
          <w:rFonts w:ascii="Tahoma" w:hAnsi="Tahoma" w:cs="Tahoma"/>
          <w:b w:val="0"/>
          <w:bCs w:val="0"/>
        </w:rPr>
        <w:t xml:space="preserve"> </w:t>
      </w:r>
      <w:r w:rsidRPr="00B004EE">
        <w:rPr>
          <w:rFonts w:ascii="Tahoma" w:hAnsi="Tahoma" w:cs="Tahoma"/>
          <w:b w:val="0"/>
          <w:bCs w:val="0"/>
        </w:rPr>
        <w:t>sont</w:t>
      </w:r>
      <w:r w:rsidR="00DB1635" w:rsidRPr="00B004EE">
        <w:rPr>
          <w:rFonts w:ascii="Tahoma" w:hAnsi="Tahoma" w:cs="Tahoma"/>
          <w:b w:val="0"/>
          <w:bCs w:val="0"/>
        </w:rPr>
        <w:t xml:space="preserve"> </w:t>
      </w:r>
      <w:r w:rsidRPr="00B004EE">
        <w:rPr>
          <w:rFonts w:ascii="Tahoma" w:hAnsi="Tahoma" w:cs="Tahoma"/>
          <w:b w:val="0"/>
          <w:bCs w:val="0"/>
        </w:rPr>
        <w:t>désignés</w:t>
      </w:r>
      <w:r w:rsidR="00DB1635" w:rsidRPr="00B004EE">
        <w:rPr>
          <w:rFonts w:ascii="Tahoma" w:hAnsi="Tahoma" w:cs="Tahoma"/>
          <w:b w:val="0"/>
          <w:bCs w:val="0"/>
        </w:rPr>
        <w:t xml:space="preserve"> </w:t>
      </w:r>
      <w:r w:rsidRPr="00B004EE">
        <w:rPr>
          <w:rFonts w:ascii="Tahoma" w:hAnsi="Tahoma" w:cs="Tahoma"/>
          <w:b w:val="0"/>
          <w:bCs w:val="0"/>
        </w:rPr>
        <w:t>comme</w:t>
      </w:r>
      <w:r w:rsidR="00DB1635" w:rsidRPr="00B004EE">
        <w:rPr>
          <w:rFonts w:ascii="Tahoma" w:hAnsi="Tahoma" w:cs="Tahoma"/>
          <w:b w:val="0"/>
          <w:bCs w:val="0"/>
        </w:rPr>
        <w:t xml:space="preserve"> </w:t>
      </w:r>
      <w:r w:rsidRPr="00B004EE">
        <w:rPr>
          <w:rFonts w:ascii="Tahoma" w:hAnsi="Tahoma" w:cs="Tahoma"/>
          <w:b w:val="0"/>
          <w:bCs w:val="0"/>
        </w:rPr>
        <w:t>ports</w:t>
      </w:r>
      <w:r w:rsidR="00DB1635" w:rsidRPr="00B004EE">
        <w:rPr>
          <w:rFonts w:ascii="Tahoma" w:hAnsi="Tahoma" w:cs="Tahoma"/>
          <w:b w:val="0"/>
          <w:bCs w:val="0"/>
        </w:rPr>
        <w:t xml:space="preserve"> </w:t>
      </w:r>
      <w:r w:rsidRPr="00B004EE">
        <w:rPr>
          <w:rFonts w:ascii="Tahoma" w:hAnsi="Tahoma" w:cs="Tahoma"/>
          <w:b w:val="0"/>
          <w:bCs w:val="0"/>
        </w:rPr>
        <w:t>habilités</w:t>
      </w:r>
      <w:r w:rsidR="00DB1635" w:rsidRPr="00B004EE">
        <w:rPr>
          <w:rFonts w:ascii="Tahoma" w:hAnsi="Tahoma" w:cs="Tahoma"/>
          <w:b w:val="0"/>
          <w:bCs w:val="0"/>
        </w:rPr>
        <w:t xml:space="preserve"> </w:t>
      </w:r>
      <w:r w:rsidRPr="00B004EE">
        <w:rPr>
          <w:rFonts w:ascii="Tahoma" w:hAnsi="Tahoma" w:cs="Tahoma"/>
          <w:b w:val="0"/>
          <w:bCs w:val="0"/>
        </w:rPr>
        <w:t>à</w:t>
      </w:r>
      <w:r w:rsidR="00DB1635" w:rsidRPr="00B004EE">
        <w:rPr>
          <w:rFonts w:ascii="Tahoma" w:hAnsi="Tahoma" w:cs="Tahoma"/>
          <w:b w:val="0"/>
          <w:bCs w:val="0"/>
        </w:rPr>
        <w:t xml:space="preserve"> </w:t>
      </w:r>
      <w:r w:rsidRPr="00B004EE">
        <w:rPr>
          <w:rFonts w:ascii="Tahoma" w:hAnsi="Tahoma" w:cs="Tahoma"/>
          <w:b w:val="0"/>
          <w:bCs w:val="0"/>
        </w:rPr>
        <w:t>recevoir</w:t>
      </w:r>
      <w:r w:rsidR="00DB1635" w:rsidRPr="00B004EE">
        <w:rPr>
          <w:rFonts w:ascii="Tahoma" w:hAnsi="Tahoma" w:cs="Tahoma"/>
          <w:b w:val="0"/>
          <w:bCs w:val="0"/>
        </w:rPr>
        <w:t xml:space="preserve"> </w:t>
      </w:r>
      <w:r w:rsidRPr="00B004EE">
        <w:rPr>
          <w:rFonts w:ascii="Tahoma" w:hAnsi="Tahoma" w:cs="Tahoma"/>
          <w:b w:val="0"/>
          <w:bCs w:val="0"/>
        </w:rPr>
        <w:t>les</w:t>
      </w:r>
      <w:r w:rsidR="00DB1635" w:rsidRPr="00B004EE">
        <w:rPr>
          <w:rFonts w:ascii="Tahoma" w:hAnsi="Tahoma" w:cs="Tahoma"/>
          <w:b w:val="0"/>
          <w:bCs w:val="0"/>
        </w:rPr>
        <w:t xml:space="preserve"> </w:t>
      </w:r>
      <w:r w:rsidRPr="00B004EE">
        <w:rPr>
          <w:rFonts w:ascii="Tahoma" w:hAnsi="Tahoma" w:cs="Tahoma"/>
          <w:b w:val="0"/>
          <w:bCs w:val="0"/>
        </w:rPr>
        <w:t>navires</w:t>
      </w:r>
      <w:r w:rsidR="00DB1635" w:rsidRPr="00B004EE">
        <w:rPr>
          <w:rFonts w:ascii="Tahoma" w:hAnsi="Tahoma" w:cs="Tahoma"/>
          <w:b w:val="0"/>
          <w:bCs w:val="0"/>
        </w:rPr>
        <w:t xml:space="preserve"> </w:t>
      </w:r>
      <w:r w:rsidRPr="00B004EE">
        <w:rPr>
          <w:rFonts w:ascii="Tahoma" w:hAnsi="Tahoma" w:cs="Tahoma"/>
          <w:b w:val="0"/>
          <w:bCs w:val="0"/>
        </w:rPr>
        <w:t>étrangers</w:t>
      </w:r>
      <w:r w:rsidR="00DB1635" w:rsidRPr="00B004EE">
        <w:rPr>
          <w:rFonts w:ascii="Tahoma" w:hAnsi="Tahoma" w:cs="Tahoma"/>
          <w:b w:val="0"/>
          <w:bCs w:val="0"/>
        </w:rPr>
        <w:t xml:space="preserve"> </w:t>
      </w:r>
      <w:r w:rsidRPr="00B004EE">
        <w:rPr>
          <w:rFonts w:ascii="Tahoma" w:hAnsi="Tahoma" w:cs="Tahoma"/>
          <w:b w:val="0"/>
          <w:bCs w:val="0"/>
        </w:rPr>
        <w:t>en</w:t>
      </w:r>
      <w:r w:rsidR="00DB1635" w:rsidRPr="00B004EE">
        <w:rPr>
          <w:rFonts w:ascii="Tahoma" w:hAnsi="Tahoma" w:cs="Tahoma"/>
          <w:b w:val="0"/>
          <w:bCs w:val="0"/>
        </w:rPr>
        <w:t xml:space="preserve"> </w:t>
      </w:r>
      <w:r w:rsidRPr="00B004EE">
        <w:rPr>
          <w:rFonts w:ascii="Tahoma" w:hAnsi="Tahoma" w:cs="Tahoma"/>
          <w:b w:val="0"/>
          <w:bCs w:val="0"/>
        </w:rPr>
        <w:t>escale</w:t>
      </w:r>
      <w:r w:rsidR="00DB1635" w:rsidRPr="00B004EE">
        <w:rPr>
          <w:rFonts w:ascii="Tahoma" w:hAnsi="Tahoma" w:cs="Tahoma"/>
          <w:b w:val="0"/>
          <w:bCs w:val="0"/>
        </w:rPr>
        <w:t xml:space="preserve"> </w:t>
      </w:r>
      <w:r w:rsidRPr="00B004EE">
        <w:rPr>
          <w:rFonts w:ascii="Tahoma" w:hAnsi="Tahoma" w:cs="Tahoma"/>
          <w:b w:val="0"/>
          <w:bCs w:val="0"/>
        </w:rPr>
        <w:t>:</w:t>
      </w:r>
      <w:r w:rsidR="00DB1635" w:rsidRPr="00B004EE">
        <w:rPr>
          <w:rFonts w:ascii="Tahoma" w:hAnsi="Tahoma" w:cs="Tahoma"/>
          <w:b w:val="0"/>
          <w:bCs w:val="0"/>
        </w:rPr>
        <w:t xml:space="preserve"> </w:t>
      </w:r>
    </w:p>
    <w:p w14:paraId="1E28BB8D" w14:textId="41B549B6" w:rsidR="008518B0" w:rsidRPr="00B004EE" w:rsidRDefault="008518B0" w:rsidP="00420DDA">
      <w:pPr>
        <w:pStyle w:val="Lgende"/>
        <w:numPr>
          <w:ilvl w:val="0"/>
          <w:numId w:val="71"/>
        </w:numPr>
        <w:jc w:val="both"/>
        <w:rPr>
          <w:rFonts w:ascii="Tahoma" w:hAnsi="Tahoma" w:cs="Tahoma"/>
          <w:b w:val="0"/>
          <w:bCs w:val="0"/>
        </w:rPr>
      </w:pPr>
      <w:proofErr w:type="gramStart"/>
      <w:r w:rsidRPr="00B004EE">
        <w:rPr>
          <w:rFonts w:ascii="Tahoma" w:hAnsi="Tahoma" w:cs="Tahoma"/>
          <w:b w:val="0"/>
          <w:bCs w:val="0"/>
        </w:rPr>
        <w:t>le</w:t>
      </w:r>
      <w:proofErr w:type="gramEnd"/>
      <w:r w:rsidR="00DB1635" w:rsidRPr="00B004EE">
        <w:rPr>
          <w:rFonts w:ascii="Tahoma" w:hAnsi="Tahoma" w:cs="Tahoma"/>
          <w:b w:val="0"/>
          <w:bCs w:val="0"/>
        </w:rPr>
        <w:t xml:space="preserve"> </w:t>
      </w:r>
      <w:r w:rsidRPr="00B004EE">
        <w:rPr>
          <w:rFonts w:ascii="Tahoma" w:hAnsi="Tahoma" w:cs="Tahoma"/>
          <w:b w:val="0"/>
          <w:bCs w:val="0"/>
        </w:rPr>
        <w:t>Port</w:t>
      </w:r>
      <w:r w:rsidR="00DB1635" w:rsidRPr="00B004EE">
        <w:rPr>
          <w:rFonts w:ascii="Tahoma" w:hAnsi="Tahoma" w:cs="Tahoma"/>
          <w:b w:val="0"/>
          <w:bCs w:val="0"/>
        </w:rPr>
        <w:t xml:space="preserve"> </w:t>
      </w:r>
      <w:r w:rsidRPr="00B004EE">
        <w:rPr>
          <w:rFonts w:ascii="Tahoma" w:hAnsi="Tahoma" w:cs="Tahoma"/>
          <w:b w:val="0"/>
          <w:bCs w:val="0"/>
        </w:rPr>
        <w:t>Autonome</w:t>
      </w:r>
      <w:r w:rsidR="00DB1635" w:rsidRPr="00B004EE">
        <w:rPr>
          <w:rFonts w:ascii="Tahoma" w:hAnsi="Tahoma" w:cs="Tahoma"/>
          <w:b w:val="0"/>
          <w:bCs w:val="0"/>
        </w:rPr>
        <w:t xml:space="preserve"> </w:t>
      </w:r>
      <w:r w:rsidRPr="00B004EE">
        <w:rPr>
          <w:rFonts w:ascii="Tahoma" w:hAnsi="Tahoma" w:cs="Tahoma"/>
          <w:b w:val="0"/>
          <w:bCs w:val="0"/>
        </w:rPr>
        <w:t>de</w:t>
      </w:r>
      <w:r w:rsidR="00DB1635" w:rsidRPr="00B004EE">
        <w:rPr>
          <w:rFonts w:ascii="Tahoma" w:hAnsi="Tahoma" w:cs="Tahoma"/>
          <w:b w:val="0"/>
          <w:bCs w:val="0"/>
        </w:rPr>
        <w:t xml:space="preserve"> </w:t>
      </w:r>
      <w:r w:rsidRPr="00B004EE">
        <w:rPr>
          <w:rFonts w:ascii="Tahoma" w:hAnsi="Tahoma" w:cs="Tahoma"/>
          <w:b w:val="0"/>
          <w:bCs w:val="0"/>
        </w:rPr>
        <w:t>Nouadhibou</w:t>
      </w:r>
      <w:r w:rsidR="00DB1635" w:rsidRPr="00B004EE">
        <w:rPr>
          <w:rFonts w:ascii="Tahoma" w:hAnsi="Tahoma" w:cs="Tahoma"/>
          <w:b w:val="0"/>
          <w:bCs w:val="0"/>
        </w:rPr>
        <w:t xml:space="preserve"> </w:t>
      </w:r>
      <w:r w:rsidRPr="00B004EE">
        <w:rPr>
          <w:rFonts w:ascii="Tahoma" w:hAnsi="Tahoma" w:cs="Tahoma"/>
          <w:b w:val="0"/>
          <w:bCs w:val="0"/>
        </w:rPr>
        <w:t>(PAN);</w:t>
      </w:r>
      <w:r w:rsidR="00DB1635" w:rsidRPr="00B004EE">
        <w:rPr>
          <w:rFonts w:ascii="Tahoma" w:hAnsi="Tahoma" w:cs="Tahoma"/>
          <w:b w:val="0"/>
          <w:bCs w:val="0"/>
        </w:rPr>
        <w:t xml:space="preserve"> </w:t>
      </w:r>
    </w:p>
    <w:p w14:paraId="1BAFCC51" w14:textId="608D9A31" w:rsidR="008518B0" w:rsidRPr="00B004EE" w:rsidRDefault="008518B0" w:rsidP="00420DDA">
      <w:pPr>
        <w:pStyle w:val="Lgende"/>
        <w:numPr>
          <w:ilvl w:val="0"/>
          <w:numId w:val="71"/>
        </w:numPr>
        <w:jc w:val="both"/>
        <w:rPr>
          <w:rFonts w:ascii="Tahoma" w:hAnsi="Tahoma" w:cs="Tahoma"/>
          <w:b w:val="0"/>
          <w:bCs w:val="0"/>
        </w:rPr>
      </w:pPr>
      <w:proofErr w:type="gramStart"/>
      <w:r w:rsidRPr="00B004EE">
        <w:rPr>
          <w:rFonts w:ascii="Tahoma" w:hAnsi="Tahoma" w:cs="Tahoma"/>
          <w:b w:val="0"/>
          <w:bCs w:val="0"/>
        </w:rPr>
        <w:t>le</w:t>
      </w:r>
      <w:proofErr w:type="gramEnd"/>
      <w:r w:rsidR="00DB1635" w:rsidRPr="00B004EE">
        <w:rPr>
          <w:rFonts w:ascii="Tahoma" w:hAnsi="Tahoma" w:cs="Tahoma"/>
          <w:b w:val="0"/>
          <w:bCs w:val="0"/>
        </w:rPr>
        <w:t xml:space="preserve"> </w:t>
      </w:r>
      <w:r w:rsidRPr="00B004EE">
        <w:rPr>
          <w:rFonts w:ascii="Tahoma" w:hAnsi="Tahoma" w:cs="Tahoma"/>
          <w:b w:val="0"/>
          <w:bCs w:val="0"/>
        </w:rPr>
        <w:t>Port</w:t>
      </w:r>
      <w:r w:rsidR="00DB1635" w:rsidRPr="00B004EE">
        <w:rPr>
          <w:rFonts w:ascii="Tahoma" w:hAnsi="Tahoma" w:cs="Tahoma"/>
          <w:b w:val="0"/>
          <w:bCs w:val="0"/>
        </w:rPr>
        <w:t xml:space="preserve"> </w:t>
      </w:r>
      <w:r w:rsidRPr="00B004EE">
        <w:rPr>
          <w:rFonts w:ascii="Tahoma" w:hAnsi="Tahoma" w:cs="Tahoma"/>
          <w:b w:val="0"/>
          <w:bCs w:val="0"/>
        </w:rPr>
        <w:t>autonome</w:t>
      </w:r>
      <w:r w:rsidR="00DB1635" w:rsidRPr="00B004EE">
        <w:rPr>
          <w:rFonts w:ascii="Tahoma" w:hAnsi="Tahoma" w:cs="Tahoma"/>
          <w:b w:val="0"/>
          <w:bCs w:val="0"/>
        </w:rPr>
        <w:t xml:space="preserve"> </w:t>
      </w:r>
      <w:r w:rsidRPr="00B004EE">
        <w:rPr>
          <w:rFonts w:ascii="Tahoma" w:hAnsi="Tahoma" w:cs="Tahoma"/>
          <w:b w:val="0"/>
          <w:bCs w:val="0"/>
        </w:rPr>
        <w:t>de</w:t>
      </w:r>
      <w:r w:rsidR="00DB1635" w:rsidRPr="00B004EE">
        <w:rPr>
          <w:rFonts w:ascii="Tahoma" w:hAnsi="Tahoma" w:cs="Tahoma"/>
          <w:b w:val="0"/>
          <w:bCs w:val="0"/>
        </w:rPr>
        <w:t xml:space="preserve"> </w:t>
      </w:r>
      <w:r w:rsidRPr="00B004EE">
        <w:rPr>
          <w:rFonts w:ascii="Tahoma" w:hAnsi="Tahoma" w:cs="Tahoma"/>
          <w:b w:val="0"/>
          <w:bCs w:val="0"/>
        </w:rPr>
        <w:t>Nouakchott</w:t>
      </w:r>
      <w:r w:rsidR="00DB1635" w:rsidRPr="00B004EE">
        <w:rPr>
          <w:rFonts w:ascii="Tahoma" w:hAnsi="Tahoma" w:cs="Tahoma"/>
          <w:b w:val="0"/>
          <w:bCs w:val="0"/>
        </w:rPr>
        <w:t xml:space="preserve"> </w:t>
      </w:r>
      <w:r w:rsidRPr="00B004EE">
        <w:rPr>
          <w:rFonts w:ascii="Tahoma" w:hAnsi="Tahoma" w:cs="Tahoma"/>
          <w:b w:val="0"/>
          <w:bCs w:val="0"/>
        </w:rPr>
        <w:t>dit</w:t>
      </w:r>
      <w:r w:rsidR="00DB1635" w:rsidRPr="00B004EE">
        <w:rPr>
          <w:rFonts w:ascii="Tahoma" w:hAnsi="Tahoma" w:cs="Tahoma"/>
          <w:b w:val="0"/>
          <w:bCs w:val="0"/>
        </w:rPr>
        <w:t xml:space="preserve"> </w:t>
      </w:r>
      <w:r w:rsidRPr="00B004EE">
        <w:rPr>
          <w:rFonts w:ascii="Tahoma" w:hAnsi="Tahoma" w:cs="Tahoma"/>
          <w:b w:val="0"/>
          <w:bCs w:val="0"/>
        </w:rPr>
        <w:t>«</w:t>
      </w:r>
      <w:r w:rsidR="00DB1635" w:rsidRPr="00B004EE">
        <w:rPr>
          <w:rFonts w:ascii="Tahoma" w:hAnsi="Tahoma" w:cs="Tahoma"/>
          <w:b w:val="0"/>
          <w:bCs w:val="0"/>
        </w:rPr>
        <w:t xml:space="preserve"> </w:t>
      </w:r>
      <w:r w:rsidRPr="00B004EE">
        <w:rPr>
          <w:rFonts w:ascii="Tahoma" w:hAnsi="Tahoma" w:cs="Tahoma"/>
          <w:b w:val="0"/>
          <w:bCs w:val="0"/>
        </w:rPr>
        <w:t>Port</w:t>
      </w:r>
      <w:r w:rsidR="00DB1635" w:rsidRPr="00B004EE">
        <w:rPr>
          <w:rFonts w:ascii="Tahoma" w:hAnsi="Tahoma" w:cs="Tahoma"/>
          <w:b w:val="0"/>
          <w:bCs w:val="0"/>
        </w:rPr>
        <w:t xml:space="preserve"> </w:t>
      </w:r>
      <w:r w:rsidRPr="00B004EE">
        <w:rPr>
          <w:rFonts w:ascii="Tahoma" w:hAnsi="Tahoma" w:cs="Tahoma"/>
          <w:b w:val="0"/>
          <w:bCs w:val="0"/>
        </w:rPr>
        <w:t>de</w:t>
      </w:r>
      <w:r w:rsidR="00DB1635" w:rsidRPr="00B004EE">
        <w:rPr>
          <w:rFonts w:ascii="Tahoma" w:hAnsi="Tahoma" w:cs="Tahoma"/>
          <w:b w:val="0"/>
          <w:bCs w:val="0"/>
        </w:rPr>
        <w:t xml:space="preserve"> </w:t>
      </w:r>
      <w:r w:rsidRPr="00B004EE">
        <w:rPr>
          <w:rFonts w:ascii="Tahoma" w:hAnsi="Tahoma" w:cs="Tahoma"/>
          <w:b w:val="0"/>
          <w:bCs w:val="0"/>
        </w:rPr>
        <w:t>l’Amitié</w:t>
      </w:r>
      <w:r w:rsidR="00DB1635" w:rsidRPr="00B004EE">
        <w:rPr>
          <w:rFonts w:ascii="Tahoma" w:hAnsi="Tahoma" w:cs="Tahoma"/>
          <w:b w:val="0"/>
          <w:bCs w:val="0"/>
        </w:rPr>
        <w:t xml:space="preserve"> </w:t>
      </w:r>
      <w:r w:rsidRPr="00B004EE">
        <w:rPr>
          <w:rFonts w:ascii="Tahoma" w:hAnsi="Tahoma" w:cs="Tahoma"/>
          <w:b w:val="0"/>
          <w:bCs w:val="0"/>
        </w:rPr>
        <w:t>(PANPA);</w:t>
      </w:r>
    </w:p>
    <w:p w14:paraId="423E0CD4" w14:textId="0E4DB837" w:rsidR="008518B0" w:rsidRPr="00B004EE" w:rsidRDefault="008518B0" w:rsidP="00420DDA">
      <w:pPr>
        <w:pStyle w:val="Lgende"/>
        <w:numPr>
          <w:ilvl w:val="0"/>
          <w:numId w:val="71"/>
        </w:numPr>
        <w:jc w:val="both"/>
        <w:rPr>
          <w:rFonts w:ascii="Tahoma" w:hAnsi="Tahoma" w:cs="Tahoma"/>
          <w:b w:val="0"/>
          <w:bCs w:val="0"/>
        </w:rPr>
      </w:pPr>
      <w:r w:rsidRPr="00B004EE">
        <w:rPr>
          <w:rFonts w:ascii="Tahoma" w:hAnsi="Tahoma" w:cs="Tahoma"/>
          <w:b w:val="0"/>
          <w:bCs w:val="0"/>
        </w:rPr>
        <w:t>Tout</w:t>
      </w:r>
      <w:r w:rsidR="00DB1635" w:rsidRPr="00B004EE">
        <w:rPr>
          <w:rFonts w:ascii="Tahoma" w:hAnsi="Tahoma" w:cs="Tahoma"/>
          <w:b w:val="0"/>
          <w:bCs w:val="0"/>
        </w:rPr>
        <w:t xml:space="preserve"> </w:t>
      </w:r>
      <w:r w:rsidRPr="00B004EE">
        <w:rPr>
          <w:rFonts w:ascii="Tahoma" w:hAnsi="Tahoma" w:cs="Tahoma"/>
          <w:b w:val="0"/>
          <w:bCs w:val="0"/>
        </w:rPr>
        <w:t>autre</w:t>
      </w:r>
      <w:r w:rsidR="00DB1635" w:rsidRPr="00B004EE">
        <w:rPr>
          <w:rFonts w:ascii="Tahoma" w:hAnsi="Tahoma" w:cs="Tahoma"/>
          <w:b w:val="0"/>
          <w:bCs w:val="0"/>
        </w:rPr>
        <w:t xml:space="preserve"> </w:t>
      </w:r>
      <w:r w:rsidRPr="00B004EE">
        <w:rPr>
          <w:rFonts w:ascii="Tahoma" w:hAnsi="Tahoma" w:cs="Tahoma"/>
          <w:b w:val="0"/>
          <w:bCs w:val="0"/>
        </w:rPr>
        <w:t>port</w:t>
      </w:r>
      <w:r w:rsidR="00DB1635" w:rsidRPr="00B004EE">
        <w:rPr>
          <w:rFonts w:ascii="Tahoma" w:hAnsi="Tahoma" w:cs="Tahoma"/>
          <w:b w:val="0"/>
          <w:bCs w:val="0"/>
        </w:rPr>
        <w:t xml:space="preserve"> </w:t>
      </w:r>
      <w:r w:rsidRPr="00B004EE">
        <w:rPr>
          <w:rFonts w:ascii="Tahoma" w:hAnsi="Tahoma" w:cs="Tahoma"/>
          <w:b w:val="0"/>
          <w:bCs w:val="0"/>
        </w:rPr>
        <w:t>désigné</w:t>
      </w:r>
      <w:r w:rsidR="00A621C8" w:rsidRPr="00B004EE">
        <w:rPr>
          <w:rFonts w:ascii="Tahoma" w:hAnsi="Tahoma" w:cs="Tahoma"/>
          <w:b w:val="0"/>
          <w:bCs w:val="0"/>
        </w:rPr>
        <w:t>.</w:t>
      </w:r>
    </w:p>
    <w:p w14:paraId="73739DF3" w14:textId="77777777" w:rsidR="00A621C8" w:rsidRPr="00B004EE" w:rsidRDefault="00A621C8" w:rsidP="00B004EE">
      <w:pPr>
        <w:rPr>
          <w:rFonts w:ascii="Tahoma" w:hAnsi="Tahoma" w:cs="Tahoma"/>
          <w:sz w:val="20"/>
          <w:szCs w:val="20"/>
        </w:rPr>
      </w:pPr>
    </w:p>
    <w:p w14:paraId="617EECD7" w14:textId="32F91D9B" w:rsidR="008518B0" w:rsidRPr="00B004EE" w:rsidRDefault="008518B0" w:rsidP="00B004EE">
      <w:pPr>
        <w:pStyle w:val="Lgende"/>
        <w:jc w:val="center"/>
        <w:rPr>
          <w:rFonts w:ascii="Tahoma" w:hAnsi="Tahoma" w:cs="Tahoma"/>
        </w:rPr>
      </w:pPr>
      <w:r w:rsidRPr="00B004EE">
        <w:rPr>
          <w:rFonts w:ascii="Tahoma" w:hAnsi="Tahoma" w:cs="Tahoma"/>
        </w:rPr>
        <w:t>Section</w:t>
      </w:r>
      <w:r w:rsidR="00DB1635" w:rsidRPr="00B004EE">
        <w:rPr>
          <w:rFonts w:ascii="Tahoma" w:hAnsi="Tahoma" w:cs="Tahoma"/>
        </w:rPr>
        <w:t xml:space="preserve"> </w:t>
      </w:r>
      <w:r w:rsidRPr="00B004EE">
        <w:rPr>
          <w:rFonts w:ascii="Tahoma" w:hAnsi="Tahoma" w:cs="Tahoma"/>
        </w:rPr>
        <w:t>6</w:t>
      </w:r>
      <w:r w:rsidR="00DB1635" w:rsidRPr="00B004EE">
        <w:rPr>
          <w:rFonts w:ascii="Tahoma" w:hAnsi="Tahoma" w:cs="Tahoma"/>
        </w:rPr>
        <w:t xml:space="preserve"> </w:t>
      </w:r>
      <w:r w:rsidRPr="00B004EE">
        <w:rPr>
          <w:rFonts w:ascii="Tahoma" w:hAnsi="Tahoma" w:cs="Tahoma"/>
        </w:rPr>
        <w:t>:</w:t>
      </w:r>
      <w:r w:rsidR="00DB1635" w:rsidRPr="00B004EE">
        <w:rPr>
          <w:rFonts w:ascii="Tahoma" w:hAnsi="Tahoma" w:cs="Tahoma"/>
        </w:rPr>
        <w:t xml:space="preserve"> </w:t>
      </w:r>
      <w:r w:rsidRPr="00B004EE">
        <w:rPr>
          <w:rFonts w:ascii="Tahoma" w:hAnsi="Tahoma" w:cs="Tahoma"/>
        </w:rPr>
        <w:t>De</w:t>
      </w:r>
      <w:r w:rsidR="00DB1635" w:rsidRPr="00B004EE">
        <w:rPr>
          <w:rFonts w:ascii="Tahoma" w:hAnsi="Tahoma" w:cs="Tahoma"/>
        </w:rPr>
        <w:t xml:space="preserve"> </w:t>
      </w:r>
      <w:r w:rsidRPr="00B004EE">
        <w:rPr>
          <w:rFonts w:ascii="Tahoma" w:hAnsi="Tahoma" w:cs="Tahoma"/>
        </w:rPr>
        <w:t>la</w:t>
      </w:r>
      <w:r w:rsidR="00DB1635" w:rsidRPr="00B004EE">
        <w:rPr>
          <w:rFonts w:ascii="Tahoma" w:hAnsi="Tahoma" w:cs="Tahoma"/>
        </w:rPr>
        <w:t xml:space="preserve"> </w:t>
      </w:r>
      <w:r w:rsidRPr="00B004EE">
        <w:rPr>
          <w:rFonts w:ascii="Tahoma" w:hAnsi="Tahoma" w:cs="Tahoma"/>
        </w:rPr>
        <w:t>procédure</w:t>
      </w:r>
      <w:r w:rsidR="00DB1635" w:rsidRPr="00B004EE">
        <w:rPr>
          <w:rFonts w:ascii="Tahoma" w:hAnsi="Tahoma" w:cs="Tahoma"/>
        </w:rPr>
        <w:t xml:space="preserve"> </w:t>
      </w:r>
      <w:r w:rsidRPr="00B004EE">
        <w:rPr>
          <w:rFonts w:ascii="Tahoma" w:hAnsi="Tahoma" w:cs="Tahoma"/>
        </w:rPr>
        <w:t>de</w:t>
      </w:r>
      <w:r w:rsidR="00DB1635" w:rsidRPr="00B004EE">
        <w:rPr>
          <w:rFonts w:ascii="Tahoma" w:hAnsi="Tahoma" w:cs="Tahoma"/>
        </w:rPr>
        <w:t xml:space="preserve"> </w:t>
      </w:r>
      <w:r w:rsidRPr="00B004EE">
        <w:rPr>
          <w:rFonts w:ascii="Tahoma" w:hAnsi="Tahoma" w:cs="Tahoma"/>
        </w:rPr>
        <w:t>contrôle</w:t>
      </w:r>
    </w:p>
    <w:p w14:paraId="76895B53" w14:textId="77777777" w:rsidR="00A621C8" w:rsidRPr="00B004EE" w:rsidRDefault="00A621C8" w:rsidP="00B004EE">
      <w:pPr>
        <w:rPr>
          <w:rFonts w:ascii="Tahoma" w:hAnsi="Tahoma" w:cs="Tahoma"/>
          <w:sz w:val="20"/>
          <w:szCs w:val="20"/>
        </w:rPr>
      </w:pPr>
    </w:p>
    <w:p w14:paraId="5D50ED6A" w14:textId="61C7920B" w:rsidR="008518B0" w:rsidRPr="00B004EE" w:rsidRDefault="008518B0" w:rsidP="00B004EE">
      <w:pPr>
        <w:pStyle w:val="article"/>
        <w:numPr>
          <w:ilvl w:val="0"/>
          <w:numId w:val="0"/>
        </w:numPr>
        <w:tabs>
          <w:tab w:val="left" w:pos="1200"/>
        </w:tabs>
        <w:spacing w:before="0" w:line="240" w:lineRule="auto"/>
        <w:rPr>
          <w:rFonts w:ascii="Tahoma" w:hAnsi="Tahoma" w:cs="Tahoma"/>
          <w:sz w:val="20"/>
          <w:szCs w:val="20"/>
        </w:rPr>
      </w:pPr>
      <w:r w:rsidRPr="00B004EE">
        <w:rPr>
          <w:rFonts w:ascii="Tahoma" w:hAnsi="Tahoma" w:cs="Tahoma"/>
          <w:sz w:val="20"/>
          <w:szCs w:val="20"/>
        </w:rPr>
        <w:t>Article</w:t>
      </w:r>
      <w:r w:rsidR="00DB1635" w:rsidRPr="00B004EE">
        <w:rPr>
          <w:rFonts w:ascii="Tahoma" w:hAnsi="Tahoma" w:cs="Tahoma"/>
          <w:sz w:val="20"/>
          <w:szCs w:val="20"/>
        </w:rPr>
        <w:t xml:space="preserve"> </w:t>
      </w:r>
      <w:r w:rsidRPr="00B004EE">
        <w:rPr>
          <w:rFonts w:ascii="Tahoma" w:hAnsi="Tahoma" w:cs="Tahoma"/>
          <w:sz w:val="20"/>
          <w:szCs w:val="20"/>
        </w:rPr>
        <w:t>56</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procédures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contrôle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modalités</w:t>
      </w:r>
      <w:r w:rsidR="00DB1635" w:rsidRPr="00B004EE">
        <w:rPr>
          <w:rFonts w:ascii="Tahoma" w:hAnsi="Tahoma" w:cs="Tahoma"/>
          <w:sz w:val="20"/>
          <w:szCs w:val="20"/>
        </w:rPr>
        <w:t xml:space="preserve"> </w:t>
      </w:r>
      <w:r w:rsidRPr="00B004EE">
        <w:rPr>
          <w:rFonts w:ascii="Tahoma" w:hAnsi="Tahoma" w:cs="Tahoma"/>
          <w:sz w:val="20"/>
          <w:szCs w:val="20"/>
        </w:rPr>
        <w:t>d’emploi</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force</w:t>
      </w:r>
      <w:r w:rsidR="00DB1635" w:rsidRPr="00B004EE">
        <w:rPr>
          <w:rFonts w:ascii="Tahoma" w:hAnsi="Tahoma" w:cs="Tahoma"/>
          <w:sz w:val="20"/>
          <w:szCs w:val="20"/>
        </w:rPr>
        <w:t xml:space="preserve"> </w:t>
      </w:r>
      <w:r w:rsidRPr="00B004EE">
        <w:rPr>
          <w:rFonts w:ascii="Tahoma" w:hAnsi="Tahoma" w:cs="Tahoma"/>
          <w:sz w:val="20"/>
          <w:szCs w:val="20"/>
        </w:rPr>
        <w:t>armée</w:t>
      </w:r>
      <w:r w:rsidR="00DB1635" w:rsidRPr="00B004EE">
        <w:rPr>
          <w:rFonts w:ascii="Tahoma" w:hAnsi="Tahoma" w:cs="Tahoma"/>
          <w:sz w:val="20"/>
          <w:szCs w:val="20"/>
        </w:rPr>
        <w:t xml:space="preserve"> </w:t>
      </w:r>
      <w:r w:rsidRPr="00B004EE">
        <w:rPr>
          <w:rFonts w:ascii="Tahoma" w:hAnsi="Tahoma" w:cs="Tahoma"/>
          <w:sz w:val="20"/>
          <w:szCs w:val="20"/>
        </w:rPr>
        <w:t>lors</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opérations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contrôle,</w:t>
      </w:r>
      <w:r w:rsidR="00DB1635" w:rsidRPr="00B004EE">
        <w:rPr>
          <w:rFonts w:ascii="Tahoma" w:hAnsi="Tahoma" w:cs="Tahoma"/>
          <w:sz w:val="20"/>
          <w:szCs w:val="20"/>
        </w:rPr>
        <w:t xml:space="preserve"> </w:t>
      </w:r>
      <w:r w:rsidRPr="00B004EE">
        <w:rPr>
          <w:rFonts w:ascii="Tahoma" w:hAnsi="Tahoma" w:cs="Tahoma"/>
          <w:sz w:val="20"/>
          <w:szCs w:val="20"/>
        </w:rPr>
        <w:t>se</w:t>
      </w:r>
      <w:r w:rsidR="00DB1635" w:rsidRPr="00B004EE">
        <w:rPr>
          <w:rFonts w:ascii="Tahoma" w:hAnsi="Tahoma" w:cs="Tahoma"/>
          <w:sz w:val="20"/>
          <w:szCs w:val="20"/>
        </w:rPr>
        <w:t xml:space="preserve"> </w:t>
      </w:r>
      <w:r w:rsidRPr="00B004EE">
        <w:rPr>
          <w:rFonts w:ascii="Tahoma" w:hAnsi="Tahoma" w:cs="Tahoma"/>
          <w:sz w:val="20"/>
          <w:szCs w:val="20"/>
        </w:rPr>
        <w:t>déroulent</w:t>
      </w:r>
      <w:r w:rsidR="00DB1635" w:rsidRPr="00B004EE">
        <w:rPr>
          <w:rFonts w:ascii="Tahoma" w:hAnsi="Tahoma" w:cs="Tahoma"/>
          <w:sz w:val="20"/>
          <w:szCs w:val="20"/>
        </w:rPr>
        <w:t xml:space="preserve"> </w:t>
      </w:r>
      <w:r w:rsidRPr="00B004EE">
        <w:rPr>
          <w:rFonts w:ascii="Tahoma" w:hAnsi="Tahoma" w:cs="Tahoma"/>
          <w:sz w:val="20"/>
          <w:szCs w:val="20"/>
        </w:rPr>
        <w:t>conformément</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dispositions</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décret</w:t>
      </w:r>
      <w:r w:rsidR="00DB1635" w:rsidRPr="00B004EE">
        <w:rPr>
          <w:rFonts w:ascii="Tahoma" w:hAnsi="Tahoma" w:cs="Tahoma"/>
          <w:sz w:val="20"/>
          <w:szCs w:val="20"/>
        </w:rPr>
        <w:t xml:space="preserve"> </w:t>
      </w:r>
      <w:r w:rsidRPr="00B004EE">
        <w:rPr>
          <w:rFonts w:ascii="Tahoma" w:hAnsi="Tahoma" w:cs="Tahoma"/>
          <w:sz w:val="20"/>
          <w:szCs w:val="20"/>
        </w:rPr>
        <w:t>n°</w:t>
      </w:r>
      <w:r w:rsidR="00DB1635" w:rsidRPr="00B004EE">
        <w:rPr>
          <w:rFonts w:ascii="Tahoma" w:hAnsi="Tahoma" w:cs="Tahoma"/>
          <w:sz w:val="20"/>
          <w:szCs w:val="20"/>
        </w:rPr>
        <w:t xml:space="preserve"> </w:t>
      </w:r>
      <w:r w:rsidRPr="00B004EE">
        <w:rPr>
          <w:rFonts w:ascii="Tahoma" w:hAnsi="Tahoma" w:cs="Tahoma"/>
          <w:sz w:val="20"/>
          <w:szCs w:val="20"/>
        </w:rPr>
        <w:t>92-026</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19</w:t>
      </w:r>
      <w:r w:rsidR="00DB1635" w:rsidRPr="00B004EE">
        <w:rPr>
          <w:rFonts w:ascii="Tahoma" w:hAnsi="Tahoma" w:cs="Tahoma"/>
          <w:sz w:val="20"/>
          <w:szCs w:val="20"/>
        </w:rPr>
        <w:t xml:space="preserve"> </w:t>
      </w:r>
      <w:r w:rsidRPr="00B004EE">
        <w:rPr>
          <w:rFonts w:ascii="Tahoma" w:hAnsi="Tahoma" w:cs="Tahoma"/>
          <w:sz w:val="20"/>
          <w:szCs w:val="20"/>
        </w:rPr>
        <w:t>juin</w:t>
      </w:r>
      <w:r w:rsidR="00DB1635" w:rsidRPr="00B004EE">
        <w:rPr>
          <w:rFonts w:ascii="Tahoma" w:hAnsi="Tahoma" w:cs="Tahoma"/>
          <w:sz w:val="20"/>
          <w:szCs w:val="20"/>
        </w:rPr>
        <w:t xml:space="preserve"> </w:t>
      </w:r>
      <w:r w:rsidRPr="00B004EE">
        <w:rPr>
          <w:rFonts w:ascii="Tahoma" w:hAnsi="Tahoma" w:cs="Tahoma"/>
          <w:sz w:val="20"/>
          <w:szCs w:val="20"/>
        </w:rPr>
        <w:t>1992</w:t>
      </w:r>
      <w:r w:rsidR="00DB1635" w:rsidRPr="00B004EE">
        <w:rPr>
          <w:rFonts w:ascii="Tahoma" w:hAnsi="Tahoma" w:cs="Tahoma"/>
          <w:sz w:val="20"/>
          <w:szCs w:val="20"/>
        </w:rPr>
        <w:t xml:space="preserve"> </w:t>
      </w:r>
      <w:r w:rsidRPr="00B004EE">
        <w:rPr>
          <w:rFonts w:ascii="Tahoma" w:hAnsi="Tahoma" w:cs="Tahoma"/>
          <w:sz w:val="20"/>
          <w:szCs w:val="20"/>
        </w:rPr>
        <w:t>relatif</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procédures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contrôle</w:t>
      </w:r>
      <w:r w:rsidR="00DB1635" w:rsidRPr="00B004EE">
        <w:rPr>
          <w:rFonts w:ascii="Tahoma" w:hAnsi="Tahoma" w:cs="Tahoma"/>
          <w:sz w:val="20"/>
          <w:szCs w:val="20"/>
        </w:rPr>
        <w:t xml:space="preserve"> </w:t>
      </w:r>
      <w:r w:rsidRPr="00B004EE">
        <w:rPr>
          <w:rFonts w:ascii="Tahoma" w:hAnsi="Tahoma" w:cs="Tahoma"/>
          <w:sz w:val="20"/>
          <w:szCs w:val="20"/>
        </w:rPr>
        <w:t>liées</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opérations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surveillance</w:t>
      </w:r>
      <w:r w:rsidR="00DB1635" w:rsidRPr="00B004EE">
        <w:rPr>
          <w:rFonts w:ascii="Tahoma" w:hAnsi="Tahoma" w:cs="Tahoma"/>
          <w:sz w:val="20"/>
          <w:szCs w:val="20"/>
        </w:rPr>
        <w:t xml:space="preserve"> </w:t>
      </w:r>
      <w:r w:rsidRPr="00B004EE">
        <w:rPr>
          <w:rFonts w:ascii="Tahoma" w:hAnsi="Tahoma" w:cs="Tahoma"/>
          <w:sz w:val="20"/>
          <w:szCs w:val="20"/>
        </w:rPr>
        <w:t>maritime.</w:t>
      </w:r>
      <w:r w:rsidR="00DB1635" w:rsidRPr="00B004EE">
        <w:rPr>
          <w:rFonts w:ascii="Tahoma" w:hAnsi="Tahoma" w:cs="Tahoma"/>
          <w:sz w:val="20"/>
          <w:szCs w:val="20"/>
        </w:rPr>
        <w:t xml:space="preserve"> </w:t>
      </w:r>
    </w:p>
    <w:p w14:paraId="0E817F48" w14:textId="77777777" w:rsidR="00A621C8" w:rsidRPr="00B004EE" w:rsidRDefault="00A621C8" w:rsidP="00B004EE">
      <w:pPr>
        <w:pStyle w:val="article"/>
        <w:numPr>
          <w:ilvl w:val="0"/>
          <w:numId w:val="0"/>
        </w:numPr>
        <w:tabs>
          <w:tab w:val="left" w:pos="1200"/>
        </w:tabs>
        <w:spacing w:before="0" w:line="240" w:lineRule="auto"/>
        <w:rPr>
          <w:rFonts w:ascii="Tahoma" w:hAnsi="Tahoma" w:cs="Tahoma"/>
          <w:sz w:val="20"/>
          <w:szCs w:val="20"/>
        </w:rPr>
      </w:pPr>
    </w:p>
    <w:p w14:paraId="04B0D846" w14:textId="4E8B017E" w:rsidR="008518B0" w:rsidRPr="00B004EE" w:rsidRDefault="008518B0" w:rsidP="00B004EE">
      <w:pPr>
        <w:pStyle w:val="article"/>
        <w:numPr>
          <w:ilvl w:val="0"/>
          <w:numId w:val="0"/>
        </w:numPr>
        <w:tabs>
          <w:tab w:val="left" w:pos="1200"/>
        </w:tabs>
        <w:spacing w:before="0" w:line="240" w:lineRule="auto"/>
        <w:rPr>
          <w:rFonts w:ascii="Tahoma" w:hAnsi="Tahoma" w:cs="Tahoma"/>
          <w:sz w:val="20"/>
          <w:szCs w:val="20"/>
        </w:rPr>
      </w:pPr>
      <w:r w:rsidRPr="00B004EE">
        <w:rPr>
          <w:rFonts w:ascii="Tahoma" w:hAnsi="Tahoma" w:cs="Tahoma"/>
          <w:sz w:val="20"/>
          <w:szCs w:val="20"/>
        </w:rPr>
        <w:t>Article</w:t>
      </w:r>
      <w:r w:rsidR="00DB1635" w:rsidRPr="00B004EE">
        <w:rPr>
          <w:rFonts w:ascii="Tahoma" w:hAnsi="Tahoma" w:cs="Tahoma"/>
          <w:sz w:val="20"/>
          <w:szCs w:val="20"/>
        </w:rPr>
        <w:t xml:space="preserve"> </w:t>
      </w:r>
      <w:r w:rsidRPr="00B004EE">
        <w:rPr>
          <w:rFonts w:ascii="Tahoma" w:hAnsi="Tahoma" w:cs="Tahoma"/>
          <w:sz w:val="20"/>
          <w:szCs w:val="20"/>
        </w:rPr>
        <w:t>57</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agents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contrôle</w:t>
      </w:r>
      <w:r w:rsidR="00DB1635" w:rsidRPr="00B004EE">
        <w:rPr>
          <w:rFonts w:ascii="Tahoma" w:hAnsi="Tahoma" w:cs="Tahoma"/>
          <w:sz w:val="20"/>
          <w:szCs w:val="20"/>
        </w:rPr>
        <w:t xml:space="preserve"> </w:t>
      </w:r>
      <w:r w:rsidRPr="00B004EE">
        <w:rPr>
          <w:rFonts w:ascii="Tahoma" w:hAnsi="Tahoma" w:cs="Tahoma"/>
          <w:sz w:val="20"/>
          <w:szCs w:val="20"/>
        </w:rPr>
        <w:t>visés</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points</w:t>
      </w:r>
      <w:r w:rsidR="00DB1635" w:rsidRPr="00B004EE">
        <w:rPr>
          <w:rFonts w:ascii="Tahoma" w:hAnsi="Tahoma" w:cs="Tahoma"/>
          <w:sz w:val="20"/>
          <w:szCs w:val="20"/>
        </w:rPr>
        <w:t xml:space="preserve"> </w:t>
      </w:r>
      <w:r w:rsidRPr="00B004EE">
        <w:rPr>
          <w:rFonts w:ascii="Tahoma" w:hAnsi="Tahoma" w:cs="Tahoma"/>
          <w:sz w:val="20"/>
          <w:szCs w:val="20"/>
        </w:rPr>
        <w:t>6,</w:t>
      </w:r>
      <w:r w:rsidR="00DB1635" w:rsidRPr="00B004EE">
        <w:rPr>
          <w:rFonts w:ascii="Tahoma" w:hAnsi="Tahoma" w:cs="Tahoma"/>
          <w:sz w:val="20"/>
          <w:szCs w:val="20"/>
        </w:rPr>
        <w:t xml:space="preserve"> </w:t>
      </w:r>
      <w:r w:rsidRPr="00B004EE">
        <w:rPr>
          <w:rFonts w:ascii="Tahoma" w:hAnsi="Tahoma" w:cs="Tahoma"/>
          <w:sz w:val="20"/>
          <w:szCs w:val="20"/>
        </w:rPr>
        <w:t>7</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8</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l’article</w:t>
      </w:r>
      <w:r w:rsidR="00DB1635" w:rsidRPr="00B004EE">
        <w:rPr>
          <w:rFonts w:ascii="Tahoma" w:hAnsi="Tahoma" w:cs="Tahoma"/>
          <w:sz w:val="20"/>
          <w:szCs w:val="20"/>
        </w:rPr>
        <w:t xml:space="preserve"> </w:t>
      </w:r>
      <w:r w:rsidRPr="00B004EE">
        <w:rPr>
          <w:rFonts w:ascii="Tahoma" w:hAnsi="Tahoma" w:cs="Tahoma"/>
          <w:sz w:val="20"/>
          <w:szCs w:val="20"/>
        </w:rPr>
        <w:t>66</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00BD7C35" w:rsidRPr="00B004EE">
        <w:rPr>
          <w:rFonts w:ascii="Tahoma" w:hAnsi="Tahoma" w:cs="Tahoma"/>
          <w:sz w:val="20"/>
          <w:szCs w:val="20"/>
        </w:rPr>
        <w:t>loi n</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017-2015</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29</w:t>
      </w:r>
      <w:r w:rsidR="00DB1635" w:rsidRPr="00B004EE">
        <w:rPr>
          <w:rFonts w:ascii="Tahoma" w:hAnsi="Tahoma" w:cs="Tahoma"/>
          <w:sz w:val="20"/>
          <w:szCs w:val="20"/>
        </w:rPr>
        <w:t xml:space="preserve"> </w:t>
      </w:r>
      <w:r w:rsidRPr="00B004EE">
        <w:rPr>
          <w:rFonts w:ascii="Tahoma" w:hAnsi="Tahoma" w:cs="Tahoma"/>
          <w:sz w:val="20"/>
          <w:szCs w:val="20"/>
        </w:rPr>
        <w:t>juillet</w:t>
      </w:r>
      <w:r w:rsidR="00DB1635" w:rsidRPr="00B004EE">
        <w:rPr>
          <w:rFonts w:ascii="Tahoma" w:hAnsi="Tahoma" w:cs="Tahoma"/>
          <w:sz w:val="20"/>
          <w:szCs w:val="20"/>
        </w:rPr>
        <w:t xml:space="preserve"> </w:t>
      </w:r>
      <w:r w:rsidRPr="00B004EE">
        <w:rPr>
          <w:rFonts w:ascii="Tahoma" w:hAnsi="Tahoma" w:cs="Tahoma"/>
          <w:sz w:val="20"/>
          <w:szCs w:val="20"/>
        </w:rPr>
        <w:t>2015</w:t>
      </w:r>
      <w:r w:rsidR="00DB1635" w:rsidRPr="00B004EE">
        <w:rPr>
          <w:rFonts w:ascii="Tahoma" w:hAnsi="Tahoma" w:cs="Tahoma"/>
          <w:sz w:val="20"/>
          <w:szCs w:val="20"/>
        </w:rPr>
        <w:t xml:space="preserve"> </w:t>
      </w:r>
      <w:r w:rsidRPr="00B004EE">
        <w:rPr>
          <w:rFonts w:ascii="Tahoma" w:hAnsi="Tahoma" w:cs="Tahoma"/>
          <w:sz w:val="20"/>
          <w:szCs w:val="20"/>
        </w:rPr>
        <w:t>portant</w:t>
      </w:r>
      <w:r w:rsidR="00DB1635" w:rsidRPr="00B004EE">
        <w:rPr>
          <w:rFonts w:ascii="Tahoma" w:hAnsi="Tahoma" w:cs="Tahoma"/>
          <w:sz w:val="20"/>
          <w:szCs w:val="20"/>
        </w:rPr>
        <w:t xml:space="preserve"> </w:t>
      </w:r>
      <w:r w:rsidRPr="00B004EE">
        <w:rPr>
          <w:rFonts w:ascii="Tahoma" w:hAnsi="Tahoma" w:cs="Tahoma"/>
          <w:sz w:val="20"/>
          <w:szCs w:val="20"/>
        </w:rPr>
        <w:t>Code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habilités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rechercher</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constater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infractions</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dispositions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ladite</w:t>
      </w:r>
      <w:r w:rsidR="00DB1635" w:rsidRPr="00B004EE">
        <w:rPr>
          <w:rFonts w:ascii="Tahoma" w:hAnsi="Tahoma" w:cs="Tahoma"/>
          <w:sz w:val="20"/>
          <w:szCs w:val="20"/>
        </w:rPr>
        <w:t xml:space="preserve"> </w:t>
      </w:r>
      <w:r w:rsidRPr="00B004EE">
        <w:rPr>
          <w:rFonts w:ascii="Tahoma" w:hAnsi="Tahoma" w:cs="Tahoma"/>
          <w:sz w:val="20"/>
          <w:szCs w:val="20"/>
        </w:rPr>
        <w:t>loi</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ses</w:t>
      </w:r>
      <w:r w:rsidR="00DB1635" w:rsidRPr="00B004EE">
        <w:rPr>
          <w:rFonts w:ascii="Tahoma" w:hAnsi="Tahoma" w:cs="Tahoma"/>
          <w:sz w:val="20"/>
          <w:szCs w:val="20"/>
        </w:rPr>
        <w:t xml:space="preserve"> </w:t>
      </w:r>
      <w:r w:rsidRPr="00B004EE">
        <w:rPr>
          <w:rFonts w:ascii="Tahoma" w:hAnsi="Tahoma" w:cs="Tahoma"/>
          <w:sz w:val="20"/>
          <w:szCs w:val="20"/>
        </w:rPr>
        <w:t>règlements</w:t>
      </w:r>
      <w:r w:rsidR="00DB1635" w:rsidRPr="00B004EE">
        <w:rPr>
          <w:rFonts w:ascii="Tahoma" w:hAnsi="Tahoma" w:cs="Tahoma"/>
          <w:sz w:val="20"/>
          <w:szCs w:val="20"/>
        </w:rPr>
        <w:t xml:space="preserve"> </w:t>
      </w:r>
      <w:r w:rsidRPr="00B004EE">
        <w:rPr>
          <w:rFonts w:ascii="Tahoma" w:hAnsi="Tahoma" w:cs="Tahoma"/>
          <w:sz w:val="20"/>
          <w:szCs w:val="20"/>
        </w:rPr>
        <w:t>d’application</w:t>
      </w:r>
      <w:r w:rsidR="00DB1635" w:rsidRPr="00B004EE">
        <w:rPr>
          <w:rFonts w:ascii="Tahoma" w:hAnsi="Tahoma" w:cs="Tahoma"/>
          <w:sz w:val="20"/>
          <w:szCs w:val="20"/>
        </w:rPr>
        <w:t xml:space="preserve"> </w:t>
      </w:r>
      <w:r w:rsidRPr="00B004EE">
        <w:rPr>
          <w:rFonts w:ascii="Tahoma" w:hAnsi="Tahoma" w:cs="Tahoma"/>
          <w:sz w:val="20"/>
          <w:szCs w:val="20"/>
        </w:rPr>
        <w:t>uniquement</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cadre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leur</w:t>
      </w:r>
      <w:r w:rsidR="00DB1635" w:rsidRPr="00B004EE">
        <w:rPr>
          <w:rFonts w:ascii="Tahoma" w:hAnsi="Tahoma" w:cs="Tahoma"/>
          <w:sz w:val="20"/>
          <w:szCs w:val="20"/>
        </w:rPr>
        <w:t xml:space="preserve"> </w:t>
      </w:r>
      <w:r w:rsidRPr="00B004EE">
        <w:rPr>
          <w:rFonts w:ascii="Tahoma" w:hAnsi="Tahoma" w:cs="Tahoma"/>
          <w:sz w:val="20"/>
          <w:szCs w:val="20"/>
        </w:rPr>
        <w:t>compétence</w:t>
      </w:r>
      <w:r w:rsidR="00DB1635" w:rsidRPr="00B004EE">
        <w:rPr>
          <w:rFonts w:ascii="Tahoma" w:hAnsi="Tahoma" w:cs="Tahoma"/>
          <w:sz w:val="20"/>
          <w:szCs w:val="20"/>
        </w:rPr>
        <w:t xml:space="preserve"> </w:t>
      </w:r>
      <w:r w:rsidRPr="00B004EE">
        <w:rPr>
          <w:rFonts w:ascii="Tahoma" w:hAnsi="Tahoma" w:cs="Tahoma"/>
          <w:sz w:val="20"/>
          <w:szCs w:val="20"/>
        </w:rPr>
        <w:t>territoriale</w:t>
      </w:r>
      <w:r w:rsidR="00DB1635" w:rsidRPr="00B004EE">
        <w:rPr>
          <w:rFonts w:ascii="Tahoma" w:hAnsi="Tahoma" w:cs="Tahoma"/>
          <w:sz w:val="20"/>
          <w:szCs w:val="20"/>
        </w:rPr>
        <w:t xml:space="preserve"> </w:t>
      </w:r>
      <w:r w:rsidRPr="00B004EE">
        <w:rPr>
          <w:rFonts w:ascii="Tahoma" w:hAnsi="Tahoma" w:cs="Tahoma"/>
          <w:sz w:val="20"/>
          <w:szCs w:val="20"/>
        </w:rPr>
        <w:t>respective.</w:t>
      </w:r>
      <w:r w:rsidR="00DB1635" w:rsidRPr="00B004EE">
        <w:rPr>
          <w:rFonts w:ascii="Tahoma" w:hAnsi="Tahoma" w:cs="Tahoma"/>
          <w:sz w:val="20"/>
          <w:szCs w:val="20"/>
        </w:rPr>
        <w:t xml:space="preserve"> </w:t>
      </w:r>
    </w:p>
    <w:p w14:paraId="18FCB803" w14:textId="77777777" w:rsidR="00A621C8" w:rsidRPr="00B004EE" w:rsidRDefault="00A621C8" w:rsidP="00B004EE">
      <w:pPr>
        <w:pStyle w:val="Lgende"/>
        <w:jc w:val="center"/>
        <w:rPr>
          <w:rFonts w:ascii="Tahoma" w:hAnsi="Tahoma" w:cs="Tahoma"/>
        </w:rPr>
      </w:pPr>
    </w:p>
    <w:p w14:paraId="0F65A3F7" w14:textId="6D07F073" w:rsidR="008518B0" w:rsidRPr="00B004EE" w:rsidRDefault="008518B0" w:rsidP="00B004EE">
      <w:pPr>
        <w:pStyle w:val="Lgende"/>
        <w:jc w:val="center"/>
        <w:rPr>
          <w:rFonts w:ascii="Tahoma" w:hAnsi="Tahoma" w:cs="Tahoma"/>
        </w:rPr>
      </w:pPr>
      <w:r w:rsidRPr="00B004EE">
        <w:rPr>
          <w:rFonts w:ascii="Tahoma" w:hAnsi="Tahoma" w:cs="Tahoma"/>
        </w:rPr>
        <w:t>Section</w:t>
      </w:r>
      <w:r w:rsidR="00DB1635" w:rsidRPr="00B004EE">
        <w:rPr>
          <w:rFonts w:ascii="Tahoma" w:hAnsi="Tahoma" w:cs="Tahoma"/>
        </w:rPr>
        <w:t xml:space="preserve"> </w:t>
      </w:r>
      <w:r w:rsidRPr="00B004EE">
        <w:rPr>
          <w:rFonts w:ascii="Tahoma" w:hAnsi="Tahoma" w:cs="Tahoma"/>
        </w:rPr>
        <w:t>7</w:t>
      </w:r>
      <w:r w:rsidR="00DB1635" w:rsidRPr="00B004EE">
        <w:rPr>
          <w:rFonts w:ascii="Tahoma" w:hAnsi="Tahoma" w:cs="Tahoma"/>
        </w:rPr>
        <w:t xml:space="preserve"> </w:t>
      </w:r>
      <w:r w:rsidRPr="00B004EE">
        <w:rPr>
          <w:rFonts w:ascii="Tahoma" w:hAnsi="Tahoma" w:cs="Tahoma"/>
        </w:rPr>
        <w:t>:</w:t>
      </w:r>
      <w:r w:rsidR="00DB1635" w:rsidRPr="00B004EE">
        <w:rPr>
          <w:rFonts w:ascii="Tahoma" w:hAnsi="Tahoma" w:cs="Tahoma"/>
        </w:rPr>
        <w:t xml:space="preserve"> </w:t>
      </w:r>
      <w:r w:rsidRPr="00B004EE">
        <w:rPr>
          <w:rFonts w:ascii="Tahoma" w:hAnsi="Tahoma" w:cs="Tahoma"/>
        </w:rPr>
        <w:t>De</w:t>
      </w:r>
      <w:r w:rsidR="00DB1635" w:rsidRPr="00B004EE">
        <w:rPr>
          <w:rFonts w:ascii="Tahoma" w:hAnsi="Tahoma" w:cs="Tahoma"/>
        </w:rPr>
        <w:t xml:space="preserve"> </w:t>
      </w:r>
      <w:r w:rsidRPr="00B004EE">
        <w:rPr>
          <w:rFonts w:ascii="Tahoma" w:hAnsi="Tahoma" w:cs="Tahoma"/>
        </w:rPr>
        <w:t>l’ajustement</w:t>
      </w:r>
      <w:r w:rsidR="00DB1635" w:rsidRPr="00B004EE">
        <w:rPr>
          <w:rFonts w:ascii="Tahoma" w:hAnsi="Tahoma" w:cs="Tahoma"/>
        </w:rPr>
        <w:t xml:space="preserve"> </w:t>
      </w:r>
      <w:r w:rsidRPr="00B004EE">
        <w:rPr>
          <w:rFonts w:ascii="Tahoma" w:hAnsi="Tahoma" w:cs="Tahoma"/>
        </w:rPr>
        <w:t>des</w:t>
      </w:r>
      <w:r w:rsidR="00DB1635" w:rsidRPr="00B004EE">
        <w:rPr>
          <w:rFonts w:ascii="Tahoma" w:hAnsi="Tahoma" w:cs="Tahoma"/>
        </w:rPr>
        <w:t xml:space="preserve"> </w:t>
      </w:r>
      <w:r w:rsidRPr="00B004EE">
        <w:rPr>
          <w:rFonts w:ascii="Tahoma" w:hAnsi="Tahoma" w:cs="Tahoma"/>
        </w:rPr>
        <w:t>sanctions</w:t>
      </w:r>
      <w:r w:rsidR="00DB1635" w:rsidRPr="00B004EE">
        <w:rPr>
          <w:rFonts w:ascii="Tahoma" w:hAnsi="Tahoma" w:cs="Tahoma"/>
        </w:rPr>
        <w:t xml:space="preserve"> </w:t>
      </w:r>
      <w:r w:rsidRPr="00B004EE">
        <w:rPr>
          <w:rFonts w:ascii="Tahoma" w:hAnsi="Tahoma" w:cs="Tahoma"/>
        </w:rPr>
        <w:t>dans</w:t>
      </w:r>
      <w:r w:rsidR="00DB1635" w:rsidRPr="00B004EE">
        <w:rPr>
          <w:rFonts w:ascii="Tahoma" w:hAnsi="Tahoma" w:cs="Tahoma"/>
        </w:rPr>
        <w:t xml:space="preserve"> </w:t>
      </w:r>
      <w:r w:rsidRPr="00B004EE">
        <w:rPr>
          <w:rFonts w:ascii="Tahoma" w:hAnsi="Tahoma" w:cs="Tahoma"/>
        </w:rPr>
        <w:t>les</w:t>
      </w:r>
      <w:r w:rsidR="00DB1635" w:rsidRPr="00B004EE">
        <w:rPr>
          <w:rFonts w:ascii="Tahoma" w:hAnsi="Tahoma" w:cs="Tahoma"/>
        </w:rPr>
        <w:t xml:space="preserve"> </w:t>
      </w:r>
      <w:r w:rsidRPr="00B004EE">
        <w:rPr>
          <w:rFonts w:ascii="Tahoma" w:hAnsi="Tahoma" w:cs="Tahoma"/>
        </w:rPr>
        <w:t>limites</w:t>
      </w:r>
      <w:r w:rsidR="00DB1635" w:rsidRPr="00B004EE">
        <w:rPr>
          <w:rFonts w:ascii="Tahoma" w:hAnsi="Tahoma" w:cs="Tahoma"/>
        </w:rPr>
        <w:t xml:space="preserve"> </w:t>
      </w:r>
      <w:r w:rsidRPr="00B004EE">
        <w:rPr>
          <w:rFonts w:ascii="Tahoma" w:hAnsi="Tahoma" w:cs="Tahoma"/>
        </w:rPr>
        <w:t>prévues</w:t>
      </w:r>
      <w:r w:rsidR="00DB1635" w:rsidRPr="00B004EE">
        <w:rPr>
          <w:rFonts w:ascii="Tahoma" w:hAnsi="Tahoma" w:cs="Tahoma"/>
        </w:rPr>
        <w:t xml:space="preserve"> </w:t>
      </w:r>
      <w:r w:rsidRPr="00B004EE">
        <w:rPr>
          <w:rFonts w:ascii="Tahoma" w:hAnsi="Tahoma" w:cs="Tahoma"/>
        </w:rPr>
        <w:t>par</w:t>
      </w:r>
      <w:r w:rsidR="00DB1635" w:rsidRPr="00B004EE">
        <w:rPr>
          <w:rFonts w:ascii="Tahoma" w:hAnsi="Tahoma" w:cs="Tahoma"/>
        </w:rPr>
        <w:t xml:space="preserve"> </w:t>
      </w:r>
      <w:r w:rsidRPr="00B004EE">
        <w:rPr>
          <w:rFonts w:ascii="Tahoma" w:hAnsi="Tahoma" w:cs="Tahoma"/>
        </w:rPr>
        <w:t>la</w:t>
      </w:r>
      <w:r w:rsidR="00DB1635" w:rsidRPr="00B004EE">
        <w:rPr>
          <w:rFonts w:ascii="Tahoma" w:hAnsi="Tahoma" w:cs="Tahoma"/>
        </w:rPr>
        <w:t xml:space="preserve"> </w:t>
      </w:r>
      <w:r w:rsidRPr="00B004EE">
        <w:rPr>
          <w:rFonts w:ascii="Tahoma" w:hAnsi="Tahoma" w:cs="Tahoma"/>
        </w:rPr>
        <w:t>loi</w:t>
      </w:r>
    </w:p>
    <w:p w14:paraId="11F12DCB" w14:textId="77777777" w:rsidR="00A621C8" w:rsidRPr="00B004EE" w:rsidRDefault="00A621C8" w:rsidP="00B004EE">
      <w:pPr>
        <w:rPr>
          <w:rFonts w:ascii="Tahoma" w:hAnsi="Tahoma" w:cs="Tahoma"/>
          <w:sz w:val="20"/>
          <w:szCs w:val="20"/>
        </w:rPr>
      </w:pPr>
    </w:p>
    <w:p w14:paraId="494FE67D" w14:textId="5084D7A0" w:rsidR="008518B0" w:rsidRPr="00B004EE" w:rsidRDefault="008518B0" w:rsidP="00B004EE">
      <w:pPr>
        <w:pStyle w:val="numsousart"/>
        <w:spacing w:before="0"/>
        <w:ind w:left="0" w:firstLine="0"/>
        <w:rPr>
          <w:rFonts w:ascii="Tahoma" w:hAnsi="Tahoma" w:cs="Tahoma"/>
          <w:sz w:val="20"/>
          <w:szCs w:val="20"/>
        </w:rPr>
      </w:pPr>
      <w:r w:rsidRPr="00B004EE">
        <w:rPr>
          <w:rFonts w:ascii="Tahoma" w:hAnsi="Tahoma" w:cs="Tahoma"/>
          <w:sz w:val="20"/>
          <w:szCs w:val="20"/>
        </w:rPr>
        <w:t>Article</w:t>
      </w:r>
      <w:r w:rsidR="00DB1635" w:rsidRPr="00B004EE">
        <w:rPr>
          <w:rFonts w:ascii="Tahoma" w:hAnsi="Tahoma" w:cs="Tahoma"/>
          <w:sz w:val="20"/>
          <w:szCs w:val="20"/>
        </w:rPr>
        <w:t xml:space="preserve"> </w:t>
      </w:r>
      <w:r w:rsidRPr="00B004EE">
        <w:rPr>
          <w:rFonts w:ascii="Tahoma" w:hAnsi="Tahoma" w:cs="Tahoma"/>
          <w:sz w:val="20"/>
          <w:szCs w:val="20"/>
        </w:rPr>
        <w:t>58</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amendes</w:t>
      </w:r>
      <w:r w:rsidR="00DB1635" w:rsidRPr="00B004EE">
        <w:rPr>
          <w:rFonts w:ascii="Tahoma" w:hAnsi="Tahoma" w:cs="Tahoma"/>
          <w:sz w:val="20"/>
          <w:szCs w:val="20"/>
        </w:rPr>
        <w:t xml:space="preserve"> </w:t>
      </w:r>
      <w:r w:rsidRPr="00B004EE">
        <w:rPr>
          <w:rFonts w:ascii="Tahoma" w:hAnsi="Tahoma" w:cs="Tahoma"/>
          <w:sz w:val="20"/>
          <w:szCs w:val="20"/>
        </w:rPr>
        <w:t>applicables</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auteurs</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infractions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très</w:t>
      </w:r>
      <w:r w:rsidR="00DB1635" w:rsidRPr="00B004EE">
        <w:rPr>
          <w:rFonts w:ascii="Tahoma" w:hAnsi="Tahoma" w:cs="Tahoma"/>
          <w:sz w:val="20"/>
          <w:szCs w:val="20"/>
        </w:rPr>
        <w:t xml:space="preserve"> </w:t>
      </w:r>
      <w:r w:rsidRPr="00B004EE">
        <w:rPr>
          <w:rFonts w:ascii="Tahoma" w:hAnsi="Tahoma" w:cs="Tahoma"/>
          <w:sz w:val="20"/>
          <w:szCs w:val="20"/>
        </w:rPr>
        <w:t>graves</w:t>
      </w:r>
      <w:r w:rsidR="00DB1635" w:rsidRPr="00B004EE">
        <w:rPr>
          <w:rFonts w:ascii="Tahoma" w:hAnsi="Tahoma" w:cs="Tahoma"/>
          <w:sz w:val="20"/>
          <w:szCs w:val="20"/>
        </w:rPr>
        <w:t xml:space="preserve"> </w:t>
      </w:r>
      <w:r w:rsidRPr="00B004EE">
        <w:rPr>
          <w:rFonts w:ascii="Tahoma" w:hAnsi="Tahoma" w:cs="Tahoma"/>
          <w:sz w:val="20"/>
          <w:szCs w:val="20"/>
        </w:rPr>
        <w:t>seront</w:t>
      </w:r>
      <w:r w:rsidR="00DB1635" w:rsidRPr="00B004EE">
        <w:rPr>
          <w:rFonts w:ascii="Tahoma" w:hAnsi="Tahoma" w:cs="Tahoma"/>
          <w:sz w:val="20"/>
          <w:szCs w:val="20"/>
        </w:rPr>
        <w:t xml:space="preserve"> </w:t>
      </w:r>
      <w:r w:rsidRPr="00B004EE">
        <w:rPr>
          <w:rFonts w:ascii="Tahoma" w:hAnsi="Tahoma" w:cs="Tahoma"/>
          <w:sz w:val="20"/>
          <w:szCs w:val="20"/>
        </w:rPr>
        <w:t>ajustées,</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limites</w:t>
      </w:r>
      <w:r w:rsidR="00DB1635" w:rsidRPr="00B004EE">
        <w:rPr>
          <w:rFonts w:ascii="Tahoma" w:hAnsi="Tahoma" w:cs="Tahoma"/>
          <w:sz w:val="20"/>
          <w:szCs w:val="20"/>
        </w:rPr>
        <w:t xml:space="preserve"> </w:t>
      </w:r>
      <w:r w:rsidRPr="00B004EE">
        <w:rPr>
          <w:rFonts w:ascii="Tahoma" w:hAnsi="Tahoma" w:cs="Tahoma"/>
          <w:sz w:val="20"/>
          <w:szCs w:val="20"/>
        </w:rPr>
        <w:t>prévues</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loi</w:t>
      </w:r>
      <w:r w:rsidR="00DB1635" w:rsidRPr="00B004EE">
        <w:rPr>
          <w:rFonts w:ascii="Tahoma" w:hAnsi="Tahoma" w:cs="Tahoma"/>
          <w:sz w:val="20"/>
          <w:szCs w:val="20"/>
        </w:rPr>
        <w:t xml:space="preserve"> </w:t>
      </w:r>
      <w:r w:rsidRPr="00B004EE">
        <w:rPr>
          <w:rFonts w:ascii="Tahoma" w:hAnsi="Tahoma" w:cs="Tahoma"/>
          <w:sz w:val="20"/>
          <w:szCs w:val="20"/>
        </w:rPr>
        <w:t>n°017-2015</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29</w:t>
      </w:r>
      <w:r w:rsidR="00DB1635" w:rsidRPr="00B004EE">
        <w:rPr>
          <w:rFonts w:ascii="Tahoma" w:hAnsi="Tahoma" w:cs="Tahoma"/>
          <w:sz w:val="20"/>
          <w:szCs w:val="20"/>
        </w:rPr>
        <w:t xml:space="preserve"> </w:t>
      </w:r>
      <w:r w:rsidRPr="00B004EE">
        <w:rPr>
          <w:rFonts w:ascii="Tahoma" w:hAnsi="Tahoma" w:cs="Tahoma"/>
          <w:sz w:val="20"/>
          <w:szCs w:val="20"/>
        </w:rPr>
        <w:t>juillet</w:t>
      </w:r>
      <w:r w:rsidR="00DB1635" w:rsidRPr="00B004EE">
        <w:rPr>
          <w:rFonts w:ascii="Tahoma" w:hAnsi="Tahoma" w:cs="Tahoma"/>
          <w:sz w:val="20"/>
          <w:szCs w:val="20"/>
        </w:rPr>
        <w:t xml:space="preserve"> </w:t>
      </w:r>
      <w:r w:rsidRPr="00B004EE">
        <w:rPr>
          <w:rFonts w:ascii="Tahoma" w:hAnsi="Tahoma" w:cs="Tahoma"/>
          <w:sz w:val="20"/>
          <w:szCs w:val="20"/>
        </w:rPr>
        <w:t>2015</w:t>
      </w:r>
      <w:r w:rsidR="00DB1635" w:rsidRPr="00B004EE">
        <w:rPr>
          <w:rFonts w:ascii="Tahoma" w:hAnsi="Tahoma" w:cs="Tahoma"/>
          <w:sz w:val="20"/>
          <w:szCs w:val="20"/>
        </w:rPr>
        <w:t xml:space="preserve"> </w:t>
      </w:r>
      <w:r w:rsidRPr="00B004EE">
        <w:rPr>
          <w:rFonts w:ascii="Tahoma" w:hAnsi="Tahoma" w:cs="Tahoma"/>
          <w:sz w:val="20"/>
          <w:szCs w:val="20"/>
        </w:rPr>
        <w:t>portant</w:t>
      </w:r>
      <w:r w:rsidR="00DB1635" w:rsidRPr="00B004EE">
        <w:rPr>
          <w:rFonts w:ascii="Tahoma" w:hAnsi="Tahoma" w:cs="Tahoma"/>
          <w:sz w:val="20"/>
          <w:szCs w:val="20"/>
        </w:rPr>
        <w:t xml:space="preserve"> </w:t>
      </w:r>
      <w:r w:rsidRPr="00B004EE">
        <w:rPr>
          <w:rFonts w:ascii="Tahoma" w:hAnsi="Tahoma" w:cs="Tahoma"/>
          <w:sz w:val="20"/>
          <w:szCs w:val="20"/>
        </w:rPr>
        <w:t>Code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sz w:val="20"/>
          <w:szCs w:val="20"/>
        </w:rPr>
        <w:t xml:space="preserve"> </w:t>
      </w:r>
      <w:r w:rsidRPr="00B004EE">
        <w:rPr>
          <w:rFonts w:ascii="Tahoma" w:hAnsi="Tahoma" w:cs="Tahoma"/>
          <w:sz w:val="20"/>
          <w:szCs w:val="20"/>
        </w:rPr>
        <w:t>conformément</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indications</w:t>
      </w:r>
      <w:r w:rsidR="00DB1635" w:rsidRPr="00B004EE">
        <w:rPr>
          <w:rFonts w:ascii="Tahoma" w:hAnsi="Tahoma" w:cs="Tahoma"/>
          <w:sz w:val="20"/>
          <w:szCs w:val="20"/>
        </w:rPr>
        <w:t xml:space="preserve"> </w:t>
      </w:r>
      <w:r w:rsidRPr="00B004EE">
        <w:rPr>
          <w:rFonts w:ascii="Tahoma" w:hAnsi="Tahoma" w:cs="Tahoma"/>
          <w:sz w:val="20"/>
          <w:szCs w:val="20"/>
        </w:rPr>
        <w:t>suivantes</w:t>
      </w:r>
      <w:r w:rsidR="00DB1635" w:rsidRPr="00B004EE">
        <w:rPr>
          <w:rFonts w:ascii="Tahoma" w:hAnsi="Tahoma" w:cs="Tahoma"/>
          <w:sz w:val="20"/>
          <w:szCs w:val="20"/>
        </w:rPr>
        <w:t xml:space="preserve"> </w:t>
      </w:r>
      <w:r w:rsidRPr="00B004EE">
        <w:rPr>
          <w:rFonts w:ascii="Tahoma" w:hAnsi="Tahoma" w:cs="Tahoma"/>
          <w:sz w:val="20"/>
          <w:szCs w:val="20"/>
        </w:rPr>
        <w:t>:</w:t>
      </w:r>
    </w:p>
    <w:p w14:paraId="48A41BBB" w14:textId="77777777" w:rsidR="00A621C8" w:rsidRPr="00B004EE" w:rsidRDefault="00A621C8" w:rsidP="00B004EE">
      <w:pPr>
        <w:pStyle w:val="numsousart"/>
        <w:spacing w:before="0"/>
        <w:ind w:left="0" w:firstLine="0"/>
        <w:rPr>
          <w:rFonts w:ascii="Tahoma" w:hAnsi="Tahoma" w:cs="Tahoma"/>
          <w:b/>
          <w:bCs/>
          <w:sz w:val="20"/>
          <w:szCs w:val="20"/>
          <w:u w:val="single"/>
        </w:rPr>
      </w:pPr>
    </w:p>
    <w:p w14:paraId="194A2640" w14:textId="724985C3" w:rsidR="008518B0" w:rsidRPr="00B004EE" w:rsidRDefault="008518B0" w:rsidP="00420DDA">
      <w:pPr>
        <w:pStyle w:val="numsousart"/>
        <w:numPr>
          <w:ilvl w:val="0"/>
          <w:numId w:val="71"/>
        </w:numPr>
        <w:spacing w:before="0"/>
        <w:rPr>
          <w:rFonts w:ascii="Tahoma" w:hAnsi="Tahoma" w:cs="Tahoma"/>
          <w:sz w:val="20"/>
          <w:szCs w:val="20"/>
        </w:rPr>
      </w:pPr>
      <w:proofErr w:type="gramStart"/>
      <w:r w:rsidRPr="00B004EE">
        <w:rPr>
          <w:rFonts w:ascii="Tahoma" w:hAnsi="Tahoma" w:cs="Tahoma"/>
          <w:sz w:val="20"/>
          <w:szCs w:val="20"/>
        </w:rPr>
        <w:t>de</w:t>
      </w:r>
      <w:proofErr w:type="gramEnd"/>
      <w:r w:rsidR="00DB1635" w:rsidRPr="00B004EE">
        <w:rPr>
          <w:rFonts w:ascii="Tahoma" w:hAnsi="Tahoma" w:cs="Tahoma"/>
          <w:sz w:val="20"/>
          <w:szCs w:val="20"/>
        </w:rPr>
        <w:t xml:space="preserve"> </w:t>
      </w:r>
      <w:r w:rsidRPr="00B004EE">
        <w:rPr>
          <w:rFonts w:ascii="Tahoma" w:hAnsi="Tahoma" w:cs="Tahoma"/>
          <w:sz w:val="20"/>
          <w:szCs w:val="20"/>
        </w:rPr>
        <w:t>cent</w:t>
      </w:r>
      <w:r w:rsidR="00DB1635" w:rsidRPr="00B004EE">
        <w:rPr>
          <w:rFonts w:ascii="Tahoma" w:hAnsi="Tahoma" w:cs="Tahoma"/>
          <w:sz w:val="20"/>
          <w:szCs w:val="20"/>
        </w:rPr>
        <w:t xml:space="preserve"> </w:t>
      </w:r>
      <w:r w:rsidRPr="00B004EE">
        <w:rPr>
          <w:rFonts w:ascii="Tahoma" w:hAnsi="Tahoma" w:cs="Tahoma"/>
          <w:sz w:val="20"/>
          <w:szCs w:val="20"/>
        </w:rPr>
        <w:t>mille</w:t>
      </w:r>
      <w:r w:rsidR="00DB1635" w:rsidRPr="00B004EE">
        <w:rPr>
          <w:rFonts w:ascii="Tahoma" w:hAnsi="Tahoma" w:cs="Tahoma"/>
          <w:sz w:val="20"/>
          <w:szCs w:val="20"/>
        </w:rPr>
        <w:t xml:space="preserve"> </w:t>
      </w:r>
      <w:r w:rsidRPr="00B004EE">
        <w:rPr>
          <w:rFonts w:ascii="Tahoma" w:hAnsi="Tahoma" w:cs="Tahoma"/>
          <w:sz w:val="20"/>
          <w:szCs w:val="20"/>
        </w:rPr>
        <w:t>(100.000)</w:t>
      </w:r>
      <w:r w:rsidR="00DB1635" w:rsidRPr="00B004EE">
        <w:rPr>
          <w:rFonts w:ascii="Tahoma" w:hAnsi="Tahoma" w:cs="Tahoma"/>
          <w:sz w:val="20"/>
          <w:szCs w:val="20"/>
        </w:rPr>
        <w:t xml:space="preserve"> </w:t>
      </w:r>
      <w:r w:rsidRPr="00B004EE">
        <w:rPr>
          <w:rFonts w:ascii="Tahoma" w:hAnsi="Tahoma" w:cs="Tahoma"/>
          <w:sz w:val="20"/>
          <w:szCs w:val="20"/>
        </w:rPr>
        <w:t>ouguiya</w:t>
      </w:r>
      <w:r w:rsidR="00DB1635" w:rsidRPr="00B004EE">
        <w:rPr>
          <w:rFonts w:ascii="Tahoma" w:hAnsi="Tahoma" w:cs="Tahoma"/>
          <w:sz w:val="20"/>
          <w:szCs w:val="20"/>
        </w:rPr>
        <w:t xml:space="preserve"> </w:t>
      </w:r>
      <w:r w:rsidRPr="00B004EE">
        <w:rPr>
          <w:rFonts w:ascii="Tahoma" w:hAnsi="Tahoma" w:cs="Tahoma"/>
          <w:sz w:val="20"/>
          <w:szCs w:val="20"/>
        </w:rPr>
        <w:t>jusqu’à</w:t>
      </w:r>
      <w:r w:rsidR="00DB1635" w:rsidRPr="00B004EE">
        <w:rPr>
          <w:rFonts w:ascii="Tahoma" w:hAnsi="Tahoma" w:cs="Tahoma"/>
          <w:sz w:val="20"/>
          <w:szCs w:val="20"/>
        </w:rPr>
        <w:t xml:space="preserve"> </w:t>
      </w:r>
      <w:r w:rsidRPr="00B004EE">
        <w:rPr>
          <w:rFonts w:ascii="Tahoma" w:hAnsi="Tahoma" w:cs="Tahoma"/>
          <w:sz w:val="20"/>
          <w:szCs w:val="20"/>
        </w:rPr>
        <w:t>quatre</w:t>
      </w:r>
      <w:r w:rsidR="00DB1635" w:rsidRPr="00B004EE">
        <w:rPr>
          <w:rFonts w:ascii="Tahoma" w:hAnsi="Tahoma" w:cs="Tahoma"/>
          <w:sz w:val="20"/>
          <w:szCs w:val="20"/>
        </w:rPr>
        <w:t xml:space="preserve"> </w:t>
      </w:r>
      <w:r w:rsidRPr="00B004EE">
        <w:rPr>
          <w:rFonts w:ascii="Tahoma" w:hAnsi="Tahoma" w:cs="Tahoma"/>
          <w:sz w:val="20"/>
          <w:szCs w:val="20"/>
        </w:rPr>
        <w:t>cent</w:t>
      </w:r>
      <w:r w:rsidR="00DB1635" w:rsidRPr="00B004EE">
        <w:rPr>
          <w:rFonts w:ascii="Tahoma" w:hAnsi="Tahoma" w:cs="Tahoma"/>
          <w:sz w:val="20"/>
          <w:szCs w:val="20"/>
        </w:rPr>
        <w:t xml:space="preserve"> </w:t>
      </w:r>
      <w:r w:rsidRPr="00B004EE">
        <w:rPr>
          <w:rFonts w:ascii="Tahoma" w:hAnsi="Tahoma" w:cs="Tahoma"/>
          <w:sz w:val="20"/>
          <w:szCs w:val="20"/>
        </w:rPr>
        <w:t>mille</w:t>
      </w:r>
      <w:r w:rsidR="00DB1635" w:rsidRPr="00B004EE">
        <w:rPr>
          <w:rFonts w:ascii="Tahoma" w:hAnsi="Tahoma" w:cs="Tahoma"/>
          <w:sz w:val="20"/>
          <w:szCs w:val="20"/>
        </w:rPr>
        <w:t xml:space="preserve"> </w:t>
      </w:r>
      <w:r w:rsidRPr="00B004EE">
        <w:rPr>
          <w:rFonts w:ascii="Tahoma" w:hAnsi="Tahoma" w:cs="Tahoma"/>
          <w:sz w:val="20"/>
          <w:szCs w:val="20"/>
        </w:rPr>
        <w:t>(400.000)</w:t>
      </w:r>
      <w:r w:rsidR="00DB1635" w:rsidRPr="00B004EE">
        <w:rPr>
          <w:rFonts w:ascii="Tahoma" w:hAnsi="Tahoma" w:cs="Tahoma"/>
          <w:sz w:val="20"/>
          <w:szCs w:val="20"/>
        </w:rPr>
        <w:t xml:space="preserve"> </w:t>
      </w:r>
      <w:r w:rsidRPr="00B004EE">
        <w:rPr>
          <w:rFonts w:ascii="Tahoma" w:hAnsi="Tahoma" w:cs="Tahoma"/>
          <w:sz w:val="20"/>
          <w:szCs w:val="20"/>
        </w:rPr>
        <w:t>ouguiya</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navires</w:t>
      </w:r>
      <w:r w:rsidR="00DB1635" w:rsidRPr="00B004EE">
        <w:rPr>
          <w:rFonts w:ascii="Tahoma" w:hAnsi="Tahoma" w:cs="Tahoma"/>
          <w:sz w:val="20"/>
          <w:szCs w:val="20"/>
        </w:rPr>
        <w:t xml:space="preserve"> </w:t>
      </w:r>
      <w:r w:rsidRPr="00B004EE">
        <w:rPr>
          <w:rFonts w:ascii="Tahoma" w:hAnsi="Tahoma" w:cs="Tahoma"/>
          <w:sz w:val="20"/>
          <w:szCs w:val="20"/>
        </w:rPr>
        <w:t>non</w:t>
      </w:r>
      <w:r w:rsidR="00DB1635" w:rsidRPr="00B004EE">
        <w:rPr>
          <w:rFonts w:ascii="Tahoma" w:hAnsi="Tahoma" w:cs="Tahoma"/>
          <w:sz w:val="20"/>
          <w:szCs w:val="20"/>
        </w:rPr>
        <w:t xml:space="preserve"> </w:t>
      </w:r>
      <w:r w:rsidRPr="00B004EE">
        <w:rPr>
          <w:rFonts w:ascii="Tahoma" w:hAnsi="Tahoma" w:cs="Tahoma"/>
          <w:sz w:val="20"/>
          <w:szCs w:val="20"/>
        </w:rPr>
        <w:t>pontés</w:t>
      </w:r>
      <w:r w:rsidR="00DB1635" w:rsidRPr="00B004EE">
        <w:rPr>
          <w:rFonts w:ascii="Tahoma" w:hAnsi="Tahoma" w:cs="Tahoma"/>
          <w:sz w:val="20"/>
          <w:szCs w:val="20"/>
        </w:rPr>
        <w:t xml:space="preserve"> </w:t>
      </w:r>
      <w:r w:rsidRPr="00B004EE">
        <w:rPr>
          <w:rFonts w:ascii="Tahoma" w:hAnsi="Tahoma" w:cs="Tahoma"/>
          <w:sz w:val="20"/>
          <w:szCs w:val="20"/>
        </w:rPr>
        <w:t>d’une</w:t>
      </w:r>
      <w:r w:rsidR="00DB1635" w:rsidRPr="00B004EE">
        <w:rPr>
          <w:rFonts w:ascii="Tahoma" w:hAnsi="Tahoma" w:cs="Tahoma"/>
          <w:sz w:val="20"/>
          <w:szCs w:val="20"/>
        </w:rPr>
        <w:t xml:space="preserve"> </w:t>
      </w:r>
      <w:r w:rsidRPr="00B004EE">
        <w:rPr>
          <w:rFonts w:ascii="Tahoma" w:hAnsi="Tahoma" w:cs="Tahoma"/>
          <w:sz w:val="20"/>
          <w:szCs w:val="20"/>
        </w:rPr>
        <w:t>longueur</w:t>
      </w:r>
      <w:r w:rsidR="00DB1635" w:rsidRPr="00B004EE">
        <w:rPr>
          <w:rFonts w:ascii="Tahoma" w:hAnsi="Tahoma" w:cs="Tahoma"/>
          <w:sz w:val="20"/>
          <w:szCs w:val="20"/>
        </w:rPr>
        <w:t xml:space="preserve"> </w:t>
      </w:r>
      <w:r w:rsidRPr="00B004EE">
        <w:rPr>
          <w:rFonts w:ascii="Tahoma" w:hAnsi="Tahoma" w:cs="Tahoma"/>
          <w:sz w:val="20"/>
          <w:szCs w:val="20"/>
        </w:rPr>
        <w:t>inférieure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14</w:t>
      </w:r>
      <w:r w:rsidR="00DB1635" w:rsidRPr="00B004EE">
        <w:rPr>
          <w:rFonts w:ascii="Tahoma" w:hAnsi="Tahoma" w:cs="Tahoma"/>
          <w:sz w:val="20"/>
          <w:szCs w:val="20"/>
        </w:rPr>
        <w:t xml:space="preserve"> </w:t>
      </w:r>
      <w:r w:rsidRPr="00B004EE">
        <w:rPr>
          <w:rFonts w:ascii="Tahoma" w:hAnsi="Tahoma" w:cs="Tahoma"/>
          <w:sz w:val="20"/>
          <w:szCs w:val="20"/>
        </w:rPr>
        <w:t>mètres</w:t>
      </w:r>
      <w:r w:rsidR="00DB1635" w:rsidRPr="00B004EE">
        <w:rPr>
          <w:rFonts w:ascii="Tahoma" w:hAnsi="Tahoma" w:cs="Tahoma"/>
          <w:sz w:val="20"/>
          <w:szCs w:val="20"/>
        </w:rPr>
        <w:t xml:space="preserve"> </w:t>
      </w:r>
      <w:r w:rsidRPr="00B004EE">
        <w:rPr>
          <w:rFonts w:ascii="Tahoma" w:hAnsi="Tahoma" w:cs="Tahoma"/>
          <w:sz w:val="20"/>
          <w:szCs w:val="20"/>
        </w:rPr>
        <w:t>;</w:t>
      </w:r>
    </w:p>
    <w:p w14:paraId="4CAA1AC0" w14:textId="5A061625" w:rsidR="008518B0" w:rsidRPr="00B004EE" w:rsidRDefault="008518B0" w:rsidP="00420DDA">
      <w:pPr>
        <w:pStyle w:val="numsousart"/>
        <w:numPr>
          <w:ilvl w:val="0"/>
          <w:numId w:val="71"/>
        </w:numPr>
        <w:spacing w:before="0"/>
        <w:rPr>
          <w:rFonts w:ascii="Tahoma" w:hAnsi="Tahoma" w:cs="Tahoma"/>
          <w:sz w:val="20"/>
          <w:szCs w:val="20"/>
        </w:rPr>
      </w:pPr>
      <w:proofErr w:type="gramStart"/>
      <w:r w:rsidRPr="00B004EE">
        <w:rPr>
          <w:rFonts w:ascii="Tahoma" w:hAnsi="Tahoma" w:cs="Tahoma"/>
          <w:sz w:val="20"/>
          <w:szCs w:val="20"/>
        </w:rPr>
        <w:t>de</w:t>
      </w:r>
      <w:proofErr w:type="gramEnd"/>
      <w:r w:rsidR="00DB1635" w:rsidRPr="00B004EE">
        <w:rPr>
          <w:rFonts w:ascii="Tahoma" w:hAnsi="Tahoma" w:cs="Tahoma"/>
          <w:sz w:val="20"/>
          <w:szCs w:val="20"/>
        </w:rPr>
        <w:t xml:space="preserve"> </w:t>
      </w:r>
      <w:r w:rsidRPr="00B004EE">
        <w:rPr>
          <w:rFonts w:ascii="Tahoma" w:hAnsi="Tahoma" w:cs="Tahoma"/>
          <w:sz w:val="20"/>
          <w:szCs w:val="20"/>
        </w:rPr>
        <w:t>deux</w:t>
      </w:r>
      <w:r w:rsidR="00DB1635" w:rsidRPr="00B004EE">
        <w:rPr>
          <w:rFonts w:ascii="Tahoma" w:hAnsi="Tahoma" w:cs="Tahoma"/>
          <w:sz w:val="20"/>
          <w:szCs w:val="20"/>
        </w:rPr>
        <w:t xml:space="preserve"> </w:t>
      </w:r>
      <w:r w:rsidRPr="00B004EE">
        <w:rPr>
          <w:rFonts w:ascii="Tahoma" w:hAnsi="Tahoma" w:cs="Tahoma"/>
          <w:sz w:val="20"/>
          <w:szCs w:val="20"/>
        </w:rPr>
        <w:t>cent</w:t>
      </w:r>
      <w:r w:rsidR="00DB1635" w:rsidRPr="00B004EE">
        <w:rPr>
          <w:rFonts w:ascii="Tahoma" w:hAnsi="Tahoma" w:cs="Tahoma"/>
          <w:sz w:val="20"/>
          <w:szCs w:val="20"/>
        </w:rPr>
        <w:t xml:space="preserve"> </w:t>
      </w:r>
      <w:r w:rsidRPr="00B004EE">
        <w:rPr>
          <w:rFonts w:ascii="Tahoma" w:hAnsi="Tahoma" w:cs="Tahoma"/>
          <w:sz w:val="20"/>
          <w:szCs w:val="20"/>
        </w:rPr>
        <w:t>mille</w:t>
      </w:r>
      <w:r w:rsidR="00DB1635" w:rsidRPr="00B004EE">
        <w:rPr>
          <w:rFonts w:ascii="Tahoma" w:hAnsi="Tahoma" w:cs="Tahoma"/>
          <w:sz w:val="20"/>
          <w:szCs w:val="20"/>
        </w:rPr>
        <w:t xml:space="preserve"> </w:t>
      </w:r>
      <w:r w:rsidRPr="00B004EE">
        <w:rPr>
          <w:rFonts w:ascii="Tahoma" w:hAnsi="Tahoma" w:cs="Tahoma"/>
          <w:sz w:val="20"/>
          <w:szCs w:val="20"/>
        </w:rPr>
        <w:t>(200.000)</w:t>
      </w:r>
      <w:r w:rsidR="00DB1635" w:rsidRPr="00B004EE">
        <w:rPr>
          <w:rFonts w:ascii="Tahoma" w:hAnsi="Tahoma" w:cs="Tahoma"/>
          <w:sz w:val="20"/>
          <w:szCs w:val="20"/>
        </w:rPr>
        <w:t xml:space="preserve"> </w:t>
      </w:r>
      <w:r w:rsidRPr="00B004EE">
        <w:rPr>
          <w:rFonts w:ascii="Tahoma" w:hAnsi="Tahoma" w:cs="Tahoma"/>
          <w:sz w:val="20"/>
          <w:szCs w:val="20"/>
        </w:rPr>
        <w:t>ouguiya</w:t>
      </w:r>
      <w:r w:rsidR="00DB1635" w:rsidRPr="00B004EE">
        <w:rPr>
          <w:rFonts w:ascii="Tahoma" w:hAnsi="Tahoma" w:cs="Tahoma"/>
          <w:sz w:val="20"/>
          <w:szCs w:val="20"/>
        </w:rPr>
        <w:t xml:space="preserve"> </w:t>
      </w:r>
      <w:r w:rsidRPr="00B004EE">
        <w:rPr>
          <w:rFonts w:ascii="Tahoma" w:hAnsi="Tahoma" w:cs="Tahoma"/>
          <w:sz w:val="20"/>
          <w:szCs w:val="20"/>
        </w:rPr>
        <w:t>jusqu'à</w:t>
      </w:r>
      <w:r w:rsidR="00DB1635" w:rsidRPr="00B004EE">
        <w:rPr>
          <w:rFonts w:ascii="Tahoma" w:hAnsi="Tahoma" w:cs="Tahoma"/>
          <w:sz w:val="20"/>
          <w:szCs w:val="20"/>
        </w:rPr>
        <w:t xml:space="preserve"> </w:t>
      </w:r>
      <w:r w:rsidRPr="00B004EE">
        <w:rPr>
          <w:rFonts w:ascii="Tahoma" w:hAnsi="Tahoma" w:cs="Tahoma"/>
          <w:sz w:val="20"/>
          <w:szCs w:val="20"/>
        </w:rPr>
        <w:t>huit</w:t>
      </w:r>
      <w:r w:rsidR="00DB1635" w:rsidRPr="00B004EE">
        <w:rPr>
          <w:rFonts w:ascii="Tahoma" w:hAnsi="Tahoma" w:cs="Tahoma"/>
          <w:sz w:val="20"/>
          <w:szCs w:val="20"/>
        </w:rPr>
        <w:t xml:space="preserve"> </w:t>
      </w:r>
      <w:r w:rsidRPr="00B004EE">
        <w:rPr>
          <w:rFonts w:ascii="Tahoma" w:hAnsi="Tahoma" w:cs="Tahoma"/>
          <w:sz w:val="20"/>
          <w:szCs w:val="20"/>
        </w:rPr>
        <w:t>cent</w:t>
      </w:r>
      <w:r w:rsidR="00DB1635" w:rsidRPr="00B004EE">
        <w:rPr>
          <w:rFonts w:ascii="Tahoma" w:hAnsi="Tahoma" w:cs="Tahoma"/>
          <w:sz w:val="20"/>
          <w:szCs w:val="20"/>
        </w:rPr>
        <w:t xml:space="preserve"> </w:t>
      </w:r>
      <w:r w:rsidRPr="00B004EE">
        <w:rPr>
          <w:rFonts w:ascii="Tahoma" w:hAnsi="Tahoma" w:cs="Tahoma"/>
          <w:sz w:val="20"/>
          <w:szCs w:val="20"/>
        </w:rPr>
        <w:t>mille</w:t>
      </w:r>
      <w:r w:rsidR="00DB1635" w:rsidRPr="00B004EE">
        <w:rPr>
          <w:rFonts w:ascii="Tahoma" w:hAnsi="Tahoma" w:cs="Tahoma"/>
          <w:sz w:val="20"/>
          <w:szCs w:val="20"/>
        </w:rPr>
        <w:t xml:space="preserve"> </w:t>
      </w:r>
      <w:r w:rsidRPr="00B004EE">
        <w:rPr>
          <w:rFonts w:ascii="Tahoma" w:hAnsi="Tahoma" w:cs="Tahoma"/>
          <w:sz w:val="20"/>
          <w:szCs w:val="20"/>
        </w:rPr>
        <w:t>(800</w:t>
      </w:r>
      <w:r w:rsidR="00DB1635" w:rsidRPr="00B004EE">
        <w:rPr>
          <w:rFonts w:ascii="Tahoma" w:hAnsi="Tahoma" w:cs="Tahoma"/>
          <w:sz w:val="20"/>
          <w:szCs w:val="20"/>
        </w:rPr>
        <w:t xml:space="preserve"> </w:t>
      </w:r>
      <w:r w:rsidRPr="00B004EE">
        <w:rPr>
          <w:rFonts w:ascii="Tahoma" w:hAnsi="Tahoma" w:cs="Tahoma"/>
          <w:sz w:val="20"/>
          <w:szCs w:val="20"/>
        </w:rPr>
        <w:t>000)</w:t>
      </w:r>
      <w:r w:rsidR="00DB1635" w:rsidRPr="00B004EE">
        <w:rPr>
          <w:rFonts w:ascii="Tahoma" w:hAnsi="Tahoma" w:cs="Tahoma"/>
          <w:sz w:val="20"/>
          <w:szCs w:val="20"/>
        </w:rPr>
        <w:t xml:space="preserve"> </w:t>
      </w:r>
      <w:r w:rsidRPr="00B004EE">
        <w:rPr>
          <w:rFonts w:ascii="Tahoma" w:hAnsi="Tahoma" w:cs="Tahoma"/>
          <w:sz w:val="20"/>
          <w:szCs w:val="20"/>
        </w:rPr>
        <w:t>ouguiya</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navires</w:t>
      </w:r>
      <w:r w:rsidR="00DB1635" w:rsidRPr="00B004EE">
        <w:rPr>
          <w:rFonts w:ascii="Tahoma" w:hAnsi="Tahoma" w:cs="Tahoma"/>
          <w:sz w:val="20"/>
          <w:szCs w:val="20"/>
        </w:rPr>
        <w:t xml:space="preserve"> </w:t>
      </w:r>
      <w:r w:rsidRPr="00B004EE">
        <w:rPr>
          <w:rFonts w:ascii="Tahoma" w:hAnsi="Tahoma" w:cs="Tahoma"/>
          <w:sz w:val="20"/>
          <w:szCs w:val="20"/>
        </w:rPr>
        <w:t>non</w:t>
      </w:r>
      <w:r w:rsidR="00DB1635" w:rsidRPr="00B004EE">
        <w:rPr>
          <w:rFonts w:ascii="Tahoma" w:hAnsi="Tahoma" w:cs="Tahoma"/>
          <w:sz w:val="20"/>
          <w:szCs w:val="20"/>
        </w:rPr>
        <w:t xml:space="preserve"> </w:t>
      </w:r>
      <w:r w:rsidRPr="00B004EE">
        <w:rPr>
          <w:rFonts w:ascii="Tahoma" w:hAnsi="Tahoma" w:cs="Tahoma"/>
          <w:sz w:val="20"/>
          <w:szCs w:val="20"/>
        </w:rPr>
        <w:t>pontés</w:t>
      </w:r>
      <w:r w:rsidR="00DB1635" w:rsidRPr="00B004EE">
        <w:rPr>
          <w:rFonts w:ascii="Tahoma" w:hAnsi="Tahoma" w:cs="Tahoma"/>
          <w:sz w:val="20"/>
          <w:szCs w:val="20"/>
        </w:rPr>
        <w:t xml:space="preserve"> </w:t>
      </w:r>
      <w:r w:rsidRPr="00B004EE">
        <w:rPr>
          <w:rFonts w:ascii="Tahoma" w:hAnsi="Tahoma" w:cs="Tahoma"/>
          <w:sz w:val="20"/>
          <w:szCs w:val="20"/>
        </w:rPr>
        <w:t>d’une</w:t>
      </w:r>
      <w:r w:rsidR="00DB1635" w:rsidRPr="00B004EE">
        <w:rPr>
          <w:rFonts w:ascii="Tahoma" w:hAnsi="Tahoma" w:cs="Tahoma"/>
          <w:sz w:val="20"/>
          <w:szCs w:val="20"/>
        </w:rPr>
        <w:t xml:space="preserve"> </w:t>
      </w:r>
      <w:r w:rsidRPr="00B004EE">
        <w:rPr>
          <w:rFonts w:ascii="Tahoma" w:hAnsi="Tahoma" w:cs="Tahoma"/>
          <w:sz w:val="20"/>
          <w:szCs w:val="20"/>
        </w:rPr>
        <w:t>longueur</w:t>
      </w:r>
      <w:r w:rsidR="00DB1635" w:rsidRPr="00B004EE">
        <w:rPr>
          <w:rFonts w:ascii="Tahoma" w:hAnsi="Tahoma" w:cs="Tahoma"/>
          <w:sz w:val="20"/>
          <w:szCs w:val="20"/>
        </w:rPr>
        <w:t xml:space="preserve"> </w:t>
      </w:r>
      <w:r w:rsidRPr="00B004EE">
        <w:rPr>
          <w:rFonts w:ascii="Tahoma" w:hAnsi="Tahoma" w:cs="Tahoma"/>
          <w:sz w:val="20"/>
          <w:szCs w:val="20"/>
        </w:rPr>
        <w:t>supérieure</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égale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14</w:t>
      </w:r>
      <w:r w:rsidR="00DB1635" w:rsidRPr="00B004EE">
        <w:rPr>
          <w:rFonts w:ascii="Tahoma" w:hAnsi="Tahoma" w:cs="Tahoma"/>
          <w:sz w:val="20"/>
          <w:szCs w:val="20"/>
        </w:rPr>
        <w:t xml:space="preserve"> </w:t>
      </w:r>
      <w:r w:rsidRPr="00B004EE">
        <w:rPr>
          <w:rFonts w:ascii="Tahoma" w:hAnsi="Tahoma" w:cs="Tahoma"/>
          <w:sz w:val="20"/>
          <w:szCs w:val="20"/>
        </w:rPr>
        <w:t>mètres</w:t>
      </w:r>
      <w:r w:rsidR="00DB1635" w:rsidRPr="00B004EE">
        <w:rPr>
          <w:rFonts w:ascii="Tahoma" w:hAnsi="Tahoma" w:cs="Tahoma"/>
          <w:sz w:val="20"/>
          <w:szCs w:val="20"/>
        </w:rPr>
        <w:t xml:space="preserve"> </w:t>
      </w:r>
      <w:r w:rsidRPr="00B004EE">
        <w:rPr>
          <w:rFonts w:ascii="Tahoma" w:hAnsi="Tahoma" w:cs="Tahoma"/>
          <w:sz w:val="20"/>
          <w:szCs w:val="20"/>
        </w:rPr>
        <w:t>;</w:t>
      </w:r>
    </w:p>
    <w:p w14:paraId="34D105C0" w14:textId="6758778D" w:rsidR="008518B0" w:rsidRPr="00B004EE" w:rsidRDefault="008518B0" w:rsidP="00420DDA">
      <w:pPr>
        <w:pStyle w:val="numsousart"/>
        <w:numPr>
          <w:ilvl w:val="0"/>
          <w:numId w:val="71"/>
        </w:numPr>
        <w:spacing w:before="0"/>
        <w:rPr>
          <w:rFonts w:ascii="Tahoma" w:hAnsi="Tahoma" w:cs="Tahoma"/>
          <w:sz w:val="20"/>
          <w:szCs w:val="20"/>
        </w:rPr>
      </w:pPr>
      <w:proofErr w:type="gramStart"/>
      <w:r w:rsidRPr="00B004EE">
        <w:rPr>
          <w:rFonts w:ascii="Tahoma" w:hAnsi="Tahoma" w:cs="Tahoma"/>
          <w:sz w:val="20"/>
          <w:szCs w:val="20"/>
        </w:rPr>
        <w:t>de</w:t>
      </w:r>
      <w:proofErr w:type="gramEnd"/>
      <w:r w:rsidR="00DB1635" w:rsidRPr="00B004EE">
        <w:rPr>
          <w:rFonts w:ascii="Tahoma" w:hAnsi="Tahoma" w:cs="Tahoma"/>
          <w:sz w:val="20"/>
          <w:szCs w:val="20"/>
        </w:rPr>
        <w:t xml:space="preserve"> </w:t>
      </w:r>
      <w:r w:rsidRPr="00B004EE">
        <w:rPr>
          <w:rFonts w:ascii="Tahoma" w:hAnsi="Tahoma" w:cs="Tahoma"/>
          <w:sz w:val="20"/>
          <w:szCs w:val="20"/>
        </w:rPr>
        <w:t>cinq</w:t>
      </w:r>
      <w:r w:rsidR="00DB1635" w:rsidRPr="00B004EE">
        <w:rPr>
          <w:rFonts w:ascii="Tahoma" w:hAnsi="Tahoma" w:cs="Tahoma"/>
          <w:sz w:val="20"/>
          <w:szCs w:val="20"/>
        </w:rPr>
        <w:t xml:space="preserve"> </w:t>
      </w:r>
      <w:r w:rsidRPr="00B004EE">
        <w:rPr>
          <w:rFonts w:ascii="Tahoma" w:hAnsi="Tahoma" w:cs="Tahoma"/>
          <w:sz w:val="20"/>
          <w:szCs w:val="20"/>
        </w:rPr>
        <w:t>cent</w:t>
      </w:r>
      <w:r w:rsidR="00DB1635" w:rsidRPr="00B004EE">
        <w:rPr>
          <w:rFonts w:ascii="Tahoma" w:hAnsi="Tahoma" w:cs="Tahoma"/>
          <w:sz w:val="20"/>
          <w:szCs w:val="20"/>
        </w:rPr>
        <w:t xml:space="preserve"> </w:t>
      </w:r>
      <w:r w:rsidRPr="00B004EE">
        <w:rPr>
          <w:rFonts w:ascii="Tahoma" w:hAnsi="Tahoma" w:cs="Tahoma"/>
          <w:sz w:val="20"/>
          <w:szCs w:val="20"/>
        </w:rPr>
        <w:t>mille</w:t>
      </w:r>
      <w:r w:rsidR="00DB1635" w:rsidRPr="00B004EE">
        <w:rPr>
          <w:rFonts w:ascii="Tahoma" w:hAnsi="Tahoma" w:cs="Tahoma"/>
          <w:sz w:val="20"/>
          <w:szCs w:val="20"/>
        </w:rPr>
        <w:t xml:space="preserve"> </w:t>
      </w:r>
      <w:r w:rsidRPr="00B004EE">
        <w:rPr>
          <w:rFonts w:ascii="Tahoma" w:hAnsi="Tahoma" w:cs="Tahoma"/>
          <w:sz w:val="20"/>
          <w:szCs w:val="20"/>
        </w:rPr>
        <w:t>(500.000)</w:t>
      </w:r>
      <w:r w:rsidR="00DB1635" w:rsidRPr="00B004EE">
        <w:rPr>
          <w:rFonts w:ascii="Tahoma" w:hAnsi="Tahoma" w:cs="Tahoma"/>
          <w:sz w:val="20"/>
          <w:szCs w:val="20"/>
        </w:rPr>
        <w:t xml:space="preserve"> </w:t>
      </w:r>
      <w:r w:rsidRPr="00B004EE">
        <w:rPr>
          <w:rFonts w:ascii="Tahoma" w:hAnsi="Tahoma" w:cs="Tahoma"/>
          <w:sz w:val="20"/>
          <w:szCs w:val="20"/>
        </w:rPr>
        <w:t>ouguiya</w:t>
      </w:r>
      <w:r w:rsidR="00DB1635" w:rsidRPr="00B004EE">
        <w:rPr>
          <w:rFonts w:ascii="Tahoma" w:hAnsi="Tahoma" w:cs="Tahoma"/>
          <w:sz w:val="20"/>
          <w:szCs w:val="20"/>
        </w:rPr>
        <w:t xml:space="preserve"> </w:t>
      </w:r>
      <w:r w:rsidRPr="00B004EE">
        <w:rPr>
          <w:rFonts w:ascii="Tahoma" w:hAnsi="Tahoma" w:cs="Tahoma"/>
          <w:sz w:val="20"/>
          <w:szCs w:val="20"/>
        </w:rPr>
        <w:t>jusqu’à</w:t>
      </w:r>
      <w:r w:rsidR="00DB1635" w:rsidRPr="00B004EE">
        <w:rPr>
          <w:rFonts w:ascii="Tahoma" w:hAnsi="Tahoma" w:cs="Tahoma"/>
          <w:sz w:val="20"/>
          <w:szCs w:val="20"/>
        </w:rPr>
        <w:t xml:space="preserve"> </w:t>
      </w:r>
      <w:r w:rsidRPr="00B004EE">
        <w:rPr>
          <w:rFonts w:ascii="Tahoma" w:hAnsi="Tahoma" w:cs="Tahoma"/>
          <w:sz w:val="20"/>
          <w:szCs w:val="20"/>
        </w:rPr>
        <w:t>deux</w:t>
      </w:r>
      <w:r w:rsidR="00DB1635" w:rsidRPr="00B004EE">
        <w:rPr>
          <w:rFonts w:ascii="Tahoma" w:hAnsi="Tahoma" w:cs="Tahoma"/>
          <w:sz w:val="20"/>
          <w:szCs w:val="20"/>
        </w:rPr>
        <w:t xml:space="preserve"> </w:t>
      </w:r>
      <w:r w:rsidRPr="00B004EE">
        <w:rPr>
          <w:rFonts w:ascii="Tahoma" w:hAnsi="Tahoma" w:cs="Tahoma"/>
          <w:sz w:val="20"/>
          <w:szCs w:val="20"/>
        </w:rPr>
        <w:t>millions</w:t>
      </w:r>
      <w:r w:rsidR="00DB1635" w:rsidRPr="00B004EE">
        <w:rPr>
          <w:rFonts w:ascii="Tahoma" w:hAnsi="Tahoma" w:cs="Tahoma"/>
          <w:sz w:val="20"/>
          <w:szCs w:val="20"/>
        </w:rPr>
        <w:t xml:space="preserve"> </w:t>
      </w:r>
      <w:r w:rsidRPr="00B004EE">
        <w:rPr>
          <w:rFonts w:ascii="Tahoma" w:hAnsi="Tahoma" w:cs="Tahoma"/>
          <w:sz w:val="20"/>
          <w:szCs w:val="20"/>
        </w:rPr>
        <w:t>(2.000.000)</w:t>
      </w:r>
      <w:r w:rsidR="00DB1635" w:rsidRPr="00B004EE">
        <w:rPr>
          <w:rFonts w:ascii="Tahoma" w:hAnsi="Tahoma" w:cs="Tahoma"/>
          <w:sz w:val="20"/>
          <w:szCs w:val="20"/>
        </w:rPr>
        <w:t xml:space="preserve"> </w:t>
      </w:r>
      <w:r w:rsidRPr="00B004EE">
        <w:rPr>
          <w:rFonts w:ascii="Tahoma" w:hAnsi="Tahoma" w:cs="Tahoma"/>
          <w:sz w:val="20"/>
          <w:szCs w:val="20"/>
        </w:rPr>
        <w:t>ouguiya</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navires</w:t>
      </w:r>
      <w:r w:rsidR="00DB1635" w:rsidRPr="00B004EE">
        <w:rPr>
          <w:rFonts w:ascii="Tahoma" w:hAnsi="Tahoma" w:cs="Tahoma"/>
          <w:sz w:val="20"/>
          <w:szCs w:val="20"/>
        </w:rPr>
        <w:t xml:space="preserve"> </w:t>
      </w:r>
      <w:r w:rsidRPr="00B004EE">
        <w:rPr>
          <w:rFonts w:ascii="Tahoma" w:hAnsi="Tahoma" w:cs="Tahoma"/>
          <w:sz w:val="20"/>
          <w:szCs w:val="20"/>
        </w:rPr>
        <w:t>d’un</w:t>
      </w:r>
      <w:r w:rsidR="00DB1635" w:rsidRPr="00B004EE">
        <w:rPr>
          <w:rFonts w:ascii="Tahoma" w:hAnsi="Tahoma" w:cs="Tahoma"/>
          <w:sz w:val="20"/>
          <w:szCs w:val="20"/>
        </w:rPr>
        <w:t xml:space="preserve"> </w:t>
      </w:r>
      <w:r w:rsidRPr="00B004EE">
        <w:rPr>
          <w:rFonts w:ascii="Tahoma" w:hAnsi="Tahoma" w:cs="Tahoma"/>
          <w:sz w:val="20"/>
          <w:szCs w:val="20"/>
        </w:rPr>
        <w:t>tonnage</w:t>
      </w:r>
      <w:r w:rsidR="00DB1635" w:rsidRPr="00B004EE">
        <w:rPr>
          <w:rFonts w:ascii="Tahoma" w:hAnsi="Tahoma" w:cs="Tahoma"/>
          <w:sz w:val="20"/>
          <w:szCs w:val="20"/>
        </w:rPr>
        <w:t xml:space="preserve"> </w:t>
      </w:r>
      <w:r w:rsidRPr="00B004EE">
        <w:rPr>
          <w:rFonts w:ascii="Tahoma" w:hAnsi="Tahoma" w:cs="Tahoma"/>
          <w:sz w:val="20"/>
          <w:szCs w:val="20"/>
        </w:rPr>
        <w:t>inférieur</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25</w:t>
      </w:r>
      <w:r w:rsidR="00DB1635" w:rsidRPr="00B004EE">
        <w:rPr>
          <w:rFonts w:ascii="Tahoma" w:hAnsi="Tahoma" w:cs="Tahoma"/>
          <w:sz w:val="20"/>
          <w:szCs w:val="20"/>
        </w:rPr>
        <w:t xml:space="preserve"> </w:t>
      </w:r>
      <w:r w:rsidRPr="00B004EE">
        <w:rPr>
          <w:rFonts w:ascii="Tahoma" w:hAnsi="Tahoma" w:cs="Tahoma"/>
          <w:sz w:val="20"/>
          <w:szCs w:val="20"/>
        </w:rPr>
        <w:t>GT;</w:t>
      </w:r>
    </w:p>
    <w:p w14:paraId="51D673F6" w14:textId="40F5E53B" w:rsidR="008518B0" w:rsidRPr="00B004EE" w:rsidRDefault="008518B0" w:rsidP="00420DDA">
      <w:pPr>
        <w:pStyle w:val="numsousart"/>
        <w:numPr>
          <w:ilvl w:val="0"/>
          <w:numId w:val="71"/>
        </w:numPr>
        <w:spacing w:before="0"/>
        <w:rPr>
          <w:rFonts w:ascii="Tahoma" w:hAnsi="Tahoma" w:cs="Tahoma"/>
          <w:sz w:val="20"/>
          <w:szCs w:val="20"/>
        </w:rPr>
      </w:pPr>
      <w:proofErr w:type="gramStart"/>
      <w:r w:rsidRPr="00B004EE">
        <w:rPr>
          <w:rFonts w:ascii="Tahoma" w:hAnsi="Tahoma" w:cs="Tahoma"/>
          <w:sz w:val="20"/>
          <w:szCs w:val="20"/>
        </w:rPr>
        <w:t>de</w:t>
      </w:r>
      <w:proofErr w:type="gramEnd"/>
      <w:r w:rsidR="00DB1635" w:rsidRPr="00B004EE">
        <w:rPr>
          <w:rFonts w:ascii="Tahoma" w:hAnsi="Tahoma" w:cs="Tahoma"/>
          <w:sz w:val="20"/>
          <w:szCs w:val="20"/>
        </w:rPr>
        <w:t xml:space="preserve"> </w:t>
      </w:r>
      <w:r w:rsidRPr="00B004EE">
        <w:rPr>
          <w:rFonts w:ascii="Tahoma" w:hAnsi="Tahoma" w:cs="Tahoma"/>
          <w:sz w:val="20"/>
          <w:szCs w:val="20"/>
        </w:rPr>
        <w:t>trois</w:t>
      </w:r>
      <w:r w:rsidR="00DB1635" w:rsidRPr="00B004EE">
        <w:rPr>
          <w:rFonts w:ascii="Tahoma" w:hAnsi="Tahoma" w:cs="Tahoma"/>
          <w:sz w:val="20"/>
          <w:szCs w:val="20"/>
        </w:rPr>
        <w:t xml:space="preserve"> </w:t>
      </w:r>
      <w:r w:rsidRPr="00B004EE">
        <w:rPr>
          <w:rFonts w:ascii="Tahoma" w:hAnsi="Tahoma" w:cs="Tahoma"/>
          <w:sz w:val="20"/>
          <w:szCs w:val="20"/>
        </w:rPr>
        <w:t>millions</w:t>
      </w:r>
      <w:r w:rsidR="00DB1635" w:rsidRPr="00B004EE">
        <w:rPr>
          <w:rFonts w:ascii="Tahoma" w:hAnsi="Tahoma" w:cs="Tahoma"/>
          <w:sz w:val="20"/>
          <w:szCs w:val="20"/>
        </w:rPr>
        <w:t xml:space="preserve"> </w:t>
      </w:r>
      <w:r w:rsidRPr="00B004EE">
        <w:rPr>
          <w:rFonts w:ascii="Tahoma" w:hAnsi="Tahoma" w:cs="Tahoma"/>
          <w:sz w:val="20"/>
          <w:szCs w:val="20"/>
        </w:rPr>
        <w:t>(3.000.000)</w:t>
      </w:r>
      <w:r w:rsidR="00DB1635" w:rsidRPr="00B004EE">
        <w:rPr>
          <w:rFonts w:ascii="Tahoma" w:hAnsi="Tahoma" w:cs="Tahoma"/>
          <w:sz w:val="20"/>
          <w:szCs w:val="20"/>
        </w:rPr>
        <w:t xml:space="preserve"> </w:t>
      </w:r>
      <w:r w:rsidRPr="00B004EE">
        <w:rPr>
          <w:rFonts w:ascii="Tahoma" w:hAnsi="Tahoma" w:cs="Tahoma"/>
          <w:sz w:val="20"/>
          <w:szCs w:val="20"/>
        </w:rPr>
        <w:t>ouguiya</w:t>
      </w:r>
      <w:r w:rsidR="00DB1635" w:rsidRPr="00B004EE">
        <w:rPr>
          <w:rFonts w:ascii="Tahoma" w:hAnsi="Tahoma" w:cs="Tahoma"/>
          <w:sz w:val="20"/>
          <w:szCs w:val="20"/>
        </w:rPr>
        <w:t xml:space="preserve"> </w:t>
      </w:r>
      <w:r w:rsidRPr="00B004EE">
        <w:rPr>
          <w:rFonts w:ascii="Tahoma" w:hAnsi="Tahoma" w:cs="Tahoma"/>
          <w:sz w:val="20"/>
          <w:szCs w:val="20"/>
        </w:rPr>
        <w:t>jusqu’à</w:t>
      </w:r>
      <w:r w:rsidR="00DB1635" w:rsidRPr="00B004EE">
        <w:rPr>
          <w:rFonts w:ascii="Tahoma" w:hAnsi="Tahoma" w:cs="Tahoma"/>
          <w:sz w:val="20"/>
          <w:szCs w:val="20"/>
        </w:rPr>
        <w:t xml:space="preserve"> </w:t>
      </w:r>
      <w:r w:rsidRPr="00B004EE">
        <w:rPr>
          <w:rFonts w:ascii="Tahoma" w:hAnsi="Tahoma" w:cs="Tahoma"/>
          <w:sz w:val="20"/>
          <w:szCs w:val="20"/>
        </w:rPr>
        <w:t>six</w:t>
      </w:r>
      <w:r w:rsidR="00DB1635" w:rsidRPr="00B004EE">
        <w:rPr>
          <w:rFonts w:ascii="Tahoma" w:hAnsi="Tahoma" w:cs="Tahoma"/>
          <w:sz w:val="20"/>
          <w:szCs w:val="20"/>
        </w:rPr>
        <w:t xml:space="preserve"> </w:t>
      </w:r>
      <w:r w:rsidRPr="00B004EE">
        <w:rPr>
          <w:rFonts w:ascii="Tahoma" w:hAnsi="Tahoma" w:cs="Tahoma"/>
          <w:sz w:val="20"/>
          <w:szCs w:val="20"/>
        </w:rPr>
        <w:t>millions</w:t>
      </w:r>
      <w:r w:rsidR="00DB1635" w:rsidRPr="00B004EE">
        <w:rPr>
          <w:rFonts w:ascii="Tahoma" w:hAnsi="Tahoma" w:cs="Tahoma"/>
          <w:sz w:val="20"/>
          <w:szCs w:val="20"/>
        </w:rPr>
        <w:t xml:space="preserve"> </w:t>
      </w:r>
      <w:r w:rsidRPr="00B004EE">
        <w:rPr>
          <w:rFonts w:ascii="Tahoma" w:hAnsi="Tahoma" w:cs="Tahoma"/>
          <w:sz w:val="20"/>
          <w:szCs w:val="20"/>
        </w:rPr>
        <w:t>(6.000.000)</w:t>
      </w:r>
      <w:r w:rsidR="00DB1635" w:rsidRPr="00B004EE">
        <w:rPr>
          <w:rFonts w:ascii="Tahoma" w:hAnsi="Tahoma" w:cs="Tahoma"/>
          <w:sz w:val="20"/>
          <w:szCs w:val="20"/>
        </w:rPr>
        <w:t xml:space="preserve"> </w:t>
      </w:r>
      <w:r w:rsidRPr="00B004EE">
        <w:rPr>
          <w:rFonts w:ascii="Tahoma" w:hAnsi="Tahoma" w:cs="Tahoma"/>
          <w:sz w:val="20"/>
          <w:szCs w:val="20"/>
        </w:rPr>
        <w:t>ouguiya</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navires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d’un</w:t>
      </w:r>
      <w:r w:rsidR="00DB1635" w:rsidRPr="00B004EE">
        <w:rPr>
          <w:rFonts w:ascii="Tahoma" w:hAnsi="Tahoma" w:cs="Tahoma"/>
          <w:sz w:val="20"/>
          <w:szCs w:val="20"/>
        </w:rPr>
        <w:t xml:space="preserve"> </w:t>
      </w:r>
      <w:r w:rsidRPr="00B004EE">
        <w:rPr>
          <w:rFonts w:ascii="Tahoma" w:hAnsi="Tahoma" w:cs="Tahoma"/>
          <w:sz w:val="20"/>
          <w:szCs w:val="20"/>
        </w:rPr>
        <w:t>tonnage</w:t>
      </w:r>
      <w:r w:rsidR="00DB1635" w:rsidRPr="00B004EE">
        <w:rPr>
          <w:rFonts w:ascii="Tahoma" w:hAnsi="Tahoma" w:cs="Tahoma"/>
          <w:sz w:val="20"/>
          <w:szCs w:val="20"/>
        </w:rPr>
        <w:t xml:space="preserve"> </w:t>
      </w:r>
      <w:r w:rsidRPr="00B004EE">
        <w:rPr>
          <w:rFonts w:ascii="Tahoma" w:hAnsi="Tahoma" w:cs="Tahoma"/>
          <w:sz w:val="20"/>
          <w:szCs w:val="20"/>
        </w:rPr>
        <w:t>supérieur</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égal</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25</w:t>
      </w:r>
      <w:r w:rsidR="00DB1635" w:rsidRPr="00B004EE">
        <w:rPr>
          <w:rFonts w:ascii="Tahoma" w:hAnsi="Tahoma" w:cs="Tahoma"/>
          <w:sz w:val="20"/>
          <w:szCs w:val="20"/>
        </w:rPr>
        <w:t xml:space="preserve"> </w:t>
      </w:r>
      <w:r w:rsidRPr="00B004EE">
        <w:rPr>
          <w:rFonts w:ascii="Tahoma" w:hAnsi="Tahoma" w:cs="Tahoma"/>
          <w:sz w:val="20"/>
          <w:szCs w:val="20"/>
        </w:rPr>
        <w:t>GT,</w:t>
      </w:r>
      <w:r w:rsidR="00DB1635" w:rsidRPr="00B004EE">
        <w:rPr>
          <w:rFonts w:ascii="Tahoma" w:hAnsi="Tahoma" w:cs="Tahoma"/>
          <w:sz w:val="20"/>
          <w:szCs w:val="20"/>
        </w:rPr>
        <w:t xml:space="preserve"> </w:t>
      </w:r>
      <w:r w:rsidRPr="00B004EE">
        <w:rPr>
          <w:rFonts w:ascii="Tahoma" w:hAnsi="Tahoma" w:cs="Tahoma"/>
          <w:sz w:val="20"/>
          <w:szCs w:val="20"/>
        </w:rPr>
        <w:t>mais</w:t>
      </w:r>
      <w:r w:rsidR="00DB1635" w:rsidRPr="00B004EE">
        <w:rPr>
          <w:rFonts w:ascii="Tahoma" w:hAnsi="Tahoma" w:cs="Tahoma"/>
          <w:sz w:val="20"/>
          <w:szCs w:val="20"/>
        </w:rPr>
        <w:t xml:space="preserve"> </w:t>
      </w:r>
      <w:r w:rsidRPr="00B004EE">
        <w:rPr>
          <w:rFonts w:ascii="Tahoma" w:hAnsi="Tahoma" w:cs="Tahoma"/>
          <w:sz w:val="20"/>
          <w:szCs w:val="20"/>
        </w:rPr>
        <w:t>inférieur</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50</w:t>
      </w:r>
      <w:r w:rsidR="00DB1635" w:rsidRPr="00B004EE">
        <w:rPr>
          <w:rFonts w:ascii="Tahoma" w:hAnsi="Tahoma" w:cs="Tahoma"/>
          <w:sz w:val="20"/>
          <w:szCs w:val="20"/>
        </w:rPr>
        <w:t xml:space="preserve"> </w:t>
      </w:r>
      <w:r w:rsidRPr="00B004EE">
        <w:rPr>
          <w:rFonts w:ascii="Tahoma" w:hAnsi="Tahoma" w:cs="Tahoma"/>
          <w:sz w:val="20"/>
          <w:szCs w:val="20"/>
        </w:rPr>
        <w:t>GT;</w:t>
      </w:r>
    </w:p>
    <w:p w14:paraId="2B2B7CB6" w14:textId="5CA71FCB" w:rsidR="008518B0" w:rsidRPr="00B004EE" w:rsidRDefault="008518B0" w:rsidP="00420DDA">
      <w:pPr>
        <w:pStyle w:val="numsousart"/>
        <w:numPr>
          <w:ilvl w:val="0"/>
          <w:numId w:val="71"/>
        </w:numPr>
        <w:spacing w:before="0"/>
        <w:rPr>
          <w:rFonts w:ascii="Tahoma" w:hAnsi="Tahoma" w:cs="Tahoma"/>
          <w:sz w:val="20"/>
          <w:szCs w:val="20"/>
        </w:rPr>
      </w:pPr>
      <w:proofErr w:type="gramStart"/>
      <w:r w:rsidRPr="00B004EE">
        <w:rPr>
          <w:rFonts w:ascii="Tahoma" w:hAnsi="Tahoma" w:cs="Tahoma"/>
          <w:sz w:val="20"/>
          <w:szCs w:val="20"/>
        </w:rPr>
        <w:t>de</w:t>
      </w:r>
      <w:proofErr w:type="gramEnd"/>
      <w:r w:rsidR="00DB1635" w:rsidRPr="00B004EE">
        <w:rPr>
          <w:rFonts w:ascii="Tahoma" w:hAnsi="Tahoma" w:cs="Tahoma"/>
          <w:sz w:val="20"/>
          <w:szCs w:val="20"/>
        </w:rPr>
        <w:t xml:space="preserve"> </w:t>
      </w:r>
      <w:r w:rsidRPr="00B004EE">
        <w:rPr>
          <w:rFonts w:ascii="Tahoma" w:hAnsi="Tahoma" w:cs="Tahoma"/>
          <w:sz w:val="20"/>
          <w:szCs w:val="20"/>
        </w:rPr>
        <w:t>sept</w:t>
      </w:r>
      <w:r w:rsidR="00DB1635" w:rsidRPr="00B004EE">
        <w:rPr>
          <w:rFonts w:ascii="Tahoma" w:hAnsi="Tahoma" w:cs="Tahoma"/>
          <w:sz w:val="20"/>
          <w:szCs w:val="20"/>
        </w:rPr>
        <w:t xml:space="preserve"> </w:t>
      </w:r>
      <w:r w:rsidRPr="00B004EE">
        <w:rPr>
          <w:rFonts w:ascii="Tahoma" w:hAnsi="Tahoma" w:cs="Tahoma"/>
          <w:sz w:val="20"/>
          <w:szCs w:val="20"/>
        </w:rPr>
        <w:t>millions</w:t>
      </w:r>
      <w:r w:rsidR="00DB1635" w:rsidRPr="00B004EE">
        <w:rPr>
          <w:rFonts w:ascii="Tahoma" w:hAnsi="Tahoma" w:cs="Tahoma"/>
          <w:sz w:val="20"/>
          <w:szCs w:val="20"/>
        </w:rPr>
        <w:t xml:space="preserve"> </w:t>
      </w:r>
      <w:r w:rsidRPr="00B004EE">
        <w:rPr>
          <w:rFonts w:ascii="Tahoma" w:hAnsi="Tahoma" w:cs="Tahoma"/>
          <w:sz w:val="20"/>
          <w:szCs w:val="20"/>
        </w:rPr>
        <w:t>(7.000.000)</w:t>
      </w:r>
      <w:r w:rsidR="00DB1635" w:rsidRPr="00B004EE">
        <w:rPr>
          <w:rFonts w:ascii="Tahoma" w:hAnsi="Tahoma" w:cs="Tahoma"/>
          <w:sz w:val="20"/>
          <w:szCs w:val="20"/>
        </w:rPr>
        <w:t xml:space="preserve"> </w:t>
      </w:r>
      <w:r w:rsidRPr="00B004EE">
        <w:rPr>
          <w:rFonts w:ascii="Tahoma" w:hAnsi="Tahoma" w:cs="Tahoma"/>
          <w:sz w:val="20"/>
          <w:szCs w:val="20"/>
        </w:rPr>
        <w:t>ouguiya</w:t>
      </w:r>
      <w:r w:rsidR="00DB1635" w:rsidRPr="00B004EE">
        <w:rPr>
          <w:rFonts w:ascii="Tahoma" w:hAnsi="Tahoma" w:cs="Tahoma"/>
          <w:sz w:val="20"/>
          <w:szCs w:val="20"/>
        </w:rPr>
        <w:t xml:space="preserve"> </w:t>
      </w:r>
      <w:r w:rsidRPr="00B004EE">
        <w:rPr>
          <w:rFonts w:ascii="Tahoma" w:hAnsi="Tahoma" w:cs="Tahoma"/>
          <w:sz w:val="20"/>
          <w:szCs w:val="20"/>
        </w:rPr>
        <w:t>jusqu’à</w:t>
      </w:r>
      <w:r w:rsidR="00DB1635" w:rsidRPr="00B004EE">
        <w:rPr>
          <w:rFonts w:ascii="Tahoma" w:hAnsi="Tahoma" w:cs="Tahoma"/>
          <w:sz w:val="20"/>
          <w:szCs w:val="20"/>
        </w:rPr>
        <w:t xml:space="preserve"> </w:t>
      </w:r>
      <w:r w:rsidRPr="00B004EE">
        <w:rPr>
          <w:rFonts w:ascii="Tahoma" w:hAnsi="Tahoma" w:cs="Tahoma"/>
          <w:sz w:val="20"/>
          <w:szCs w:val="20"/>
        </w:rPr>
        <w:t>quatorze</w:t>
      </w:r>
      <w:r w:rsidR="00DB1635" w:rsidRPr="00B004EE">
        <w:rPr>
          <w:rFonts w:ascii="Tahoma" w:hAnsi="Tahoma" w:cs="Tahoma"/>
          <w:sz w:val="20"/>
          <w:szCs w:val="20"/>
        </w:rPr>
        <w:t xml:space="preserve"> </w:t>
      </w:r>
      <w:r w:rsidRPr="00B004EE">
        <w:rPr>
          <w:rFonts w:ascii="Tahoma" w:hAnsi="Tahoma" w:cs="Tahoma"/>
          <w:sz w:val="20"/>
          <w:szCs w:val="20"/>
        </w:rPr>
        <w:t>millions</w:t>
      </w:r>
      <w:r w:rsidR="00DB1635" w:rsidRPr="00B004EE">
        <w:rPr>
          <w:rFonts w:ascii="Tahoma" w:hAnsi="Tahoma" w:cs="Tahoma"/>
          <w:sz w:val="20"/>
          <w:szCs w:val="20"/>
        </w:rPr>
        <w:t xml:space="preserve"> </w:t>
      </w:r>
      <w:r w:rsidRPr="00B004EE">
        <w:rPr>
          <w:rFonts w:ascii="Tahoma" w:hAnsi="Tahoma" w:cs="Tahoma"/>
          <w:sz w:val="20"/>
          <w:szCs w:val="20"/>
        </w:rPr>
        <w:t>(14.000.000)</w:t>
      </w:r>
      <w:r w:rsidR="00DB1635" w:rsidRPr="00B004EE">
        <w:rPr>
          <w:rFonts w:ascii="Tahoma" w:hAnsi="Tahoma" w:cs="Tahoma"/>
          <w:sz w:val="20"/>
          <w:szCs w:val="20"/>
        </w:rPr>
        <w:t xml:space="preserve"> </w:t>
      </w:r>
      <w:r w:rsidRPr="00B004EE">
        <w:rPr>
          <w:rFonts w:ascii="Tahoma" w:hAnsi="Tahoma" w:cs="Tahoma"/>
          <w:sz w:val="20"/>
          <w:szCs w:val="20"/>
        </w:rPr>
        <w:t>ouguiya</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navires</w:t>
      </w:r>
      <w:r w:rsidR="00DB1635" w:rsidRPr="00B004EE">
        <w:rPr>
          <w:rFonts w:ascii="Tahoma" w:hAnsi="Tahoma" w:cs="Tahoma"/>
          <w:sz w:val="20"/>
          <w:szCs w:val="20"/>
        </w:rPr>
        <w:t xml:space="preserve"> </w:t>
      </w:r>
      <w:r w:rsidRPr="00B004EE">
        <w:rPr>
          <w:rFonts w:ascii="Tahoma" w:hAnsi="Tahoma" w:cs="Tahoma"/>
          <w:sz w:val="20"/>
          <w:szCs w:val="20"/>
        </w:rPr>
        <w:t>d’un</w:t>
      </w:r>
      <w:r w:rsidR="00DB1635" w:rsidRPr="00B004EE">
        <w:rPr>
          <w:rFonts w:ascii="Tahoma" w:hAnsi="Tahoma" w:cs="Tahoma"/>
          <w:sz w:val="20"/>
          <w:szCs w:val="20"/>
        </w:rPr>
        <w:t xml:space="preserve"> </w:t>
      </w:r>
      <w:r w:rsidRPr="00B004EE">
        <w:rPr>
          <w:rFonts w:ascii="Tahoma" w:hAnsi="Tahoma" w:cs="Tahoma"/>
          <w:sz w:val="20"/>
          <w:szCs w:val="20"/>
        </w:rPr>
        <w:t>tonnage</w:t>
      </w:r>
      <w:r w:rsidR="00DB1635" w:rsidRPr="00B004EE">
        <w:rPr>
          <w:rFonts w:ascii="Tahoma" w:hAnsi="Tahoma" w:cs="Tahoma"/>
          <w:sz w:val="20"/>
          <w:szCs w:val="20"/>
        </w:rPr>
        <w:t xml:space="preserve"> </w:t>
      </w:r>
      <w:r w:rsidRPr="00B004EE">
        <w:rPr>
          <w:rFonts w:ascii="Tahoma" w:hAnsi="Tahoma" w:cs="Tahoma"/>
          <w:sz w:val="20"/>
          <w:szCs w:val="20"/>
        </w:rPr>
        <w:t>supérieur</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égal</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50</w:t>
      </w:r>
      <w:r w:rsidR="00DB1635" w:rsidRPr="00B004EE">
        <w:rPr>
          <w:rFonts w:ascii="Tahoma" w:hAnsi="Tahoma" w:cs="Tahoma"/>
          <w:sz w:val="20"/>
          <w:szCs w:val="20"/>
        </w:rPr>
        <w:t xml:space="preserve"> </w:t>
      </w:r>
      <w:r w:rsidRPr="00B004EE">
        <w:rPr>
          <w:rFonts w:ascii="Tahoma" w:hAnsi="Tahoma" w:cs="Tahoma"/>
          <w:sz w:val="20"/>
          <w:szCs w:val="20"/>
        </w:rPr>
        <w:t>GT,</w:t>
      </w:r>
      <w:r w:rsidR="00DB1635" w:rsidRPr="00B004EE">
        <w:rPr>
          <w:rFonts w:ascii="Tahoma" w:hAnsi="Tahoma" w:cs="Tahoma"/>
          <w:sz w:val="20"/>
          <w:szCs w:val="20"/>
        </w:rPr>
        <w:t xml:space="preserve"> </w:t>
      </w:r>
      <w:r w:rsidRPr="00B004EE">
        <w:rPr>
          <w:rFonts w:ascii="Tahoma" w:hAnsi="Tahoma" w:cs="Tahoma"/>
          <w:sz w:val="20"/>
          <w:szCs w:val="20"/>
        </w:rPr>
        <w:t>mais</w:t>
      </w:r>
      <w:r w:rsidR="00DB1635" w:rsidRPr="00B004EE">
        <w:rPr>
          <w:rFonts w:ascii="Tahoma" w:hAnsi="Tahoma" w:cs="Tahoma"/>
          <w:sz w:val="20"/>
          <w:szCs w:val="20"/>
        </w:rPr>
        <w:t xml:space="preserve"> </w:t>
      </w:r>
      <w:r w:rsidRPr="00B004EE">
        <w:rPr>
          <w:rFonts w:ascii="Tahoma" w:hAnsi="Tahoma" w:cs="Tahoma"/>
          <w:sz w:val="20"/>
          <w:szCs w:val="20"/>
        </w:rPr>
        <w:t>inférieur</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70</w:t>
      </w:r>
      <w:r w:rsidR="00DB1635" w:rsidRPr="00B004EE">
        <w:rPr>
          <w:rFonts w:ascii="Tahoma" w:hAnsi="Tahoma" w:cs="Tahoma"/>
          <w:sz w:val="20"/>
          <w:szCs w:val="20"/>
        </w:rPr>
        <w:t xml:space="preserve"> </w:t>
      </w:r>
      <w:r w:rsidRPr="00B004EE">
        <w:rPr>
          <w:rFonts w:ascii="Tahoma" w:hAnsi="Tahoma" w:cs="Tahoma"/>
          <w:sz w:val="20"/>
          <w:szCs w:val="20"/>
        </w:rPr>
        <w:t>GT;</w:t>
      </w:r>
    </w:p>
    <w:p w14:paraId="3E5C0B83" w14:textId="19FDD719" w:rsidR="008518B0" w:rsidRPr="00B004EE" w:rsidRDefault="008518B0" w:rsidP="00420DDA">
      <w:pPr>
        <w:pStyle w:val="numsousart"/>
        <w:numPr>
          <w:ilvl w:val="0"/>
          <w:numId w:val="71"/>
        </w:numPr>
        <w:spacing w:before="0"/>
        <w:rPr>
          <w:rFonts w:ascii="Tahoma" w:hAnsi="Tahoma" w:cs="Tahoma"/>
          <w:sz w:val="20"/>
          <w:szCs w:val="20"/>
        </w:rPr>
      </w:pPr>
      <w:proofErr w:type="gramStart"/>
      <w:r w:rsidRPr="00B004EE">
        <w:rPr>
          <w:rFonts w:ascii="Tahoma" w:hAnsi="Tahoma" w:cs="Tahoma"/>
          <w:sz w:val="20"/>
          <w:szCs w:val="20"/>
        </w:rPr>
        <w:t>de</w:t>
      </w:r>
      <w:proofErr w:type="gramEnd"/>
      <w:r w:rsidR="00DB1635" w:rsidRPr="00B004EE">
        <w:rPr>
          <w:rFonts w:ascii="Tahoma" w:hAnsi="Tahoma" w:cs="Tahoma"/>
          <w:sz w:val="20"/>
          <w:szCs w:val="20"/>
        </w:rPr>
        <w:t xml:space="preserve"> </w:t>
      </w:r>
      <w:r w:rsidRPr="00B004EE">
        <w:rPr>
          <w:rFonts w:ascii="Tahoma" w:hAnsi="Tahoma" w:cs="Tahoma"/>
          <w:sz w:val="20"/>
          <w:szCs w:val="20"/>
        </w:rPr>
        <w:t>huit</w:t>
      </w:r>
      <w:r w:rsidR="00DB1635" w:rsidRPr="00B004EE">
        <w:rPr>
          <w:rFonts w:ascii="Tahoma" w:hAnsi="Tahoma" w:cs="Tahoma"/>
          <w:sz w:val="20"/>
          <w:szCs w:val="20"/>
        </w:rPr>
        <w:t xml:space="preserve"> </w:t>
      </w:r>
      <w:r w:rsidRPr="00B004EE">
        <w:rPr>
          <w:rFonts w:ascii="Tahoma" w:hAnsi="Tahoma" w:cs="Tahoma"/>
          <w:sz w:val="20"/>
          <w:szCs w:val="20"/>
        </w:rPr>
        <w:t>millions</w:t>
      </w:r>
      <w:r w:rsidR="00DB1635" w:rsidRPr="00B004EE">
        <w:rPr>
          <w:rFonts w:ascii="Tahoma" w:hAnsi="Tahoma" w:cs="Tahoma"/>
          <w:sz w:val="20"/>
          <w:szCs w:val="20"/>
        </w:rPr>
        <w:t xml:space="preserve"> </w:t>
      </w:r>
      <w:r w:rsidRPr="00B004EE">
        <w:rPr>
          <w:rFonts w:ascii="Tahoma" w:hAnsi="Tahoma" w:cs="Tahoma"/>
          <w:sz w:val="20"/>
          <w:szCs w:val="20"/>
        </w:rPr>
        <w:t>(8.00.000)</w:t>
      </w:r>
      <w:r w:rsidR="00DB1635" w:rsidRPr="00B004EE">
        <w:rPr>
          <w:rFonts w:ascii="Tahoma" w:hAnsi="Tahoma" w:cs="Tahoma"/>
          <w:sz w:val="20"/>
          <w:szCs w:val="20"/>
        </w:rPr>
        <w:t xml:space="preserve"> </w:t>
      </w:r>
      <w:r w:rsidRPr="00B004EE">
        <w:rPr>
          <w:rFonts w:ascii="Tahoma" w:hAnsi="Tahoma" w:cs="Tahoma"/>
          <w:sz w:val="20"/>
          <w:szCs w:val="20"/>
        </w:rPr>
        <w:t>ouguiya</w:t>
      </w:r>
      <w:r w:rsidR="00DB1635" w:rsidRPr="00B004EE">
        <w:rPr>
          <w:rFonts w:ascii="Tahoma" w:hAnsi="Tahoma" w:cs="Tahoma"/>
          <w:sz w:val="20"/>
          <w:szCs w:val="20"/>
        </w:rPr>
        <w:t xml:space="preserve"> </w:t>
      </w:r>
      <w:r w:rsidRPr="00B004EE">
        <w:rPr>
          <w:rFonts w:ascii="Tahoma" w:hAnsi="Tahoma" w:cs="Tahoma"/>
          <w:sz w:val="20"/>
          <w:szCs w:val="20"/>
        </w:rPr>
        <w:t>jusqu’à</w:t>
      </w:r>
      <w:r w:rsidR="00DB1635" w:rsidRPr="00B004EE">
        <w:rPr>
          <w:rFonts w:ascii="Tahoma" w:hAnsi="Tahoma" w:cs="Tahoma"/>
          <w:sz w:val="20"/>
          <w:szCs w:val="20"/>
        </w:rPr>
        <w:t xml:space="preserve"> </w:t>
      </w:r>
      <w:r w:rsidRPr="00B004EE">
        <w:rPr>
          <w:rFonts w:ascii="Tahoma" w:hAnsi="Tahoma" w:cs="Tahoma"/>
          <w:sz w:val="20"/>
          <w:szCs w:val="20"/>
        </w:rPr>
        <w:t>quinze</w:t>
      </w:r>
      <w:r w:rsidR="00DB1635" w:rsidRPr="00B004EE">
        <w:rPr>
          <w:rFonts w:ascii="Tahoma" w:hAnsi="Tahoma" w:cs="Tahoma"/>
          <w:sz w:val="20"/>
          <w:szCs w:val="20"/>
        </w:rPr>
        <w:t xml:space="preserve"> </w:t>
      </w:r>
      <w:r w:rsidRPr="00B004EE">
        <w:rPr>
          <w:rFonts w:ascii="Tahoma" w:hAnsi="Tahoma" w:cs="Tahoma"/>
          <w:sz w:val="20"/>
          <w:szCs w:val="20"/>
        </w:rPr>
        <w:t>millions</w:t>
      </w:r>
      <w:r w:rsidR="00DB1635" w:rsidRPr="00B004EE">
        <w:rPr>
          <w:rFonts w:ascii="Tahoma" w:hAnsi="Tahoma" w:cs="Tahoma"/>
          <w:sz w:val="20"/>
          <w:szCs w:val="20"/>
        </w:rPr>
        <w:t xml:space="preserve"> </w:t>
      </w:r>
      <w:r w:rsidRPr="00B004EE">
        <w:rPr>
          <w:rFonts w:ascii="Tahoma" w:hAnsi="Tahoma" w:cs="Tahoma"/>
          <w:sz w:val="20"/>
          <w:szCs w:val="20"/>
        </w:rPr>
        <w:t>(16.000.000)</w:t>
      </w:r>
      <w:r w:rsidR="00DB1635" w:rsidRPr="00B004EE">
        <w:rPr>
          <w:rFonts w:ascii="Tahoma" w:hAnsi="Tahoma" w:cs="Tahoma"/>
          <w:sz w:val="20"/>
          <w:szCs w:val="20"/>
        </w:rPr>
        <w:t xml:space="preserve"> </w:t>
      </w:r>
      <w:r w:rsidRPr="00B004EE">
        <w:rPr>
          <w:rFonts w:ascii="Tahoma" w:hAnsi="Tahoma" w:cs="Tahoma"/>
          <w:sz w:val="20"/>
          <w:szCs w:val="20"/>
        </w:rPr>
        <w:t>ouguiya</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navires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d’un</w:t>
      </w:r>
      <w:r w:rsidR="00DB1635" w:rsidRPr="00B004EE">
        <w:rPr>
          <w:rFonts w:ascii="Tahoma" w:hAnsi="Tahoma" w:cs="Tahoma"/>
          <w:sz w:val="20"/>
          <w:szCs w:val="20"/>
        </w:rPr>
        <w:t xml:space="preserve"> </w:t>
      </w:r>
      <w:r w:rsidRPr="00B004EE">
        <w:rPr>
          <w:rFonts w:ascii="Tahoma" w:hAnsi="Tahoma" w:cs="Tahoma"/>
          <w:sz w:val="20"/>
          <w:szCs w:val="20"/>
        </w:rPr>
        <w:t>tonnage</w:t>
      </w:r>
      <w:r w:rsidR="00DB1635" w:rsidRPr="00B004EE">
        <w:rPr>
          <w:rFonts w:ascii="Tahoma" w:hAnsi="Tahoma" w:cs="Tahoma"/>
          <w:sz w:val="20"/>
          <w:szCs w:val="20"/>
        </w:rPr>
        <w:t xml:space="preserve"> </w:t>
      </w:r>
      <w:r w:rsidRPr="00B004EE">
        <w:rPr>
          <w:rFonts w:ascii="Tahoma" w:hAnsi="Tahoma" w:cs="Tahoma"/>
          <w:sz w:val="20"/>
          <w:szCs w:val="20"/>
        </w:rPr>
        <w:t>supérieur</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égal</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70</w:t>
      </w:r>
      <w:r w:rsidR="00DB1635" w:rsidRPr="00B004EE">
        <w:rPr>
          <w:rFonts w:ascii="Tahoma" w:hAnsi="Tahoma" w:cs="Tahoma"/>
          <w:sz w:val="20"/>
          <w:szCs w:val="20"/>
        </w:rPr>
        <w:t xml:space="preserve"> </w:t>
      </w:r>
      <w:r w:rsidRPr="00B004EE">
        <w:rPr>
          <w:rFonts w:ascii="Tahoma" w:hAnsi="Tahoma" w:cs="Tahoma"/>
          <w:sz w:val="20"/>
          <w:szCs w:val="20"/>
        </w:rPr>
        <w:t>GT,</w:t>
      </w:r>
      <w:r w:rsidR="00DB1635" w:rsidRPr="00B004EE">
        <w:rPr>
          <w:rFonts w:ascii="Tahoma" w:hAnsi="Tahoma" w:cs="Tahoma"/>
          <w:sz w:val="20"/>
          <w:szCs w:val="20"/>
        </w:rPr>
        <w:t xml:space="preserve"> </w:t>
      </w:r>
      <w:r w:rsidRPr="00B004EE">
        <w:rPr>
          <w:rFonts w:ascii="Tahoma" w:hAnsi="Tahoma" w:cs="Tahoma"/>
          <w:sz w:val="20"/>
          <w:szCs w:val="20"/>
        </w:rPr>
        <w:t>mais</w:t>
      </w:r>
      <w:r w:rsidR="00DB1635" w:rsidRPr="00B004EE">
        <w:rPr>
          <w:rFonts w:ascii="Tahoma" w:hAnsi="Tahoma" w:cs="Tahoma"/>
          <w:sz w:val="20"/>
          <w:szCs w:val="20"/>
        </w:rPr>
        <w:t xml:space="preserve"> </w:t>
      </w:r>
      <w:r w:rsidRPr="00B004EE">
        <w:rPr>
          <w:rFonts w:ascii="Tahoma" w:hAnsi="Tahoma" w:cs="Tahoma"/>
          <w:sz w:val="20"/>
          <w:szCs w:val="20"/>
        </w:rPr>
        <w:t>inférieur</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85</w:t>
      </w:r>
      <w:r w:rsidR="00DB1635" w:rsidRPr="00B004EE">
        <w:rPr>
          <w:rFonts w:ascii="Tahoma" w:hAnsi="Tahoma" w:cs="Tahoma"/>
          <w:sz w:val="20"/>
          <w:szCs w:val="20"/>
        </w:rPr>
        <w:t xml:space="preserve"> </w:t>
      </w:r>
      <w:r w:rsidRPr="00B004EE">
        <w:rPr>
          <w:rFonts w:ascii="Tahoma" w:hAnsi="Tahoma" w:cs="Tahoma"/>
          <w:sz w:val="20"/>
          <w:szCs w:val="20"/>
        </w:rPr>
        <w:t>GT;</w:t>
      </w:r>
    </w:p>
    <w:p w14:paraId="6C327FAC" w14:textId="3A4EB3B0" w:rsidR="008518B0" w:rsidRPr="00B004EE" w:rsidRDefault="008518B0" w:rsidP="00420DDA">
      <w:pPr>
        <w:pStyle w:val="numsousart"/>
        <w:numPr>
          <w:ilvl w:val="0"/>
          <w:numId w:val="71"/>
        </w:numPr>
        <w:spacing w:before="0"/>
        <w:rPr>
          <w:rFonts w:ascii="Tahoma" w:hAnsi="Tahoma" w:cs="Tahoma"/>
          <w:sz w:val="20"/>
          <w:szCs w:val="20"/>
        </w:rPr>
      </w:pPr>
      <w:proofErr w:type="gramStart"/>
      <w:r w:rsidRPr="00B004EE">
        <w:rPr>
          <w:rFonts w:ascii="Tahoma" w:hAnsi="Tahoma" w:cs="Tahoma"/>
          <w:sz w:val="20"/>
          <w:szCs w:val="20"/>
        </w:rPr>
        <w:t>de</w:t>
      </w:r>
      <w:proofErr w:type="gramEnd"/>
      <w:r w:rsidR="00DB1635" w:rsidRPr="00B004EE">
        <w:rPr>
          <w:rFonts w:ascii="Tahoma" w:hAnsi="Tahoma" w:cs="Tahoma"/>
          <w:sz w:val="20"/>
          <w:szCs w:val="20"/>
        </w:rPr>
        <w:t xml:space="preserve"> </w:t>
      </w:r>
      <w:r w:rsidRPr="00B004EE">
        <w:rPr>
          <w:rFonts w:ascii="Tahoma" w:hAnsi="Tahoma" w:cs="Tahoma"/>
          <w:sz w:val="20"/>
          <w:szCs w:val="20"/>
        </w:rPr>
        <w:t>dix</w:t>
      </w:r>
      <w:r w:rsidR="00DB1635" w:rsidRPr="00B004EE">
        <w:rPr>
          <w:rFonts w:ascii="Tahoma" w:hAnsi="Tahoma" w:cs="Tahoma"/>
          <w:sz w:val="20"/>
          <w:szCs w:val="20"/>
        </w:rPr>
        <w:t xml:space="preserve"> </w:t>
      </w:r>
      <w:r w:rsidRPr="00B004EE">
        <w:rPr>
          <w:rFonts w:ascii="Tahoma" w:hAnsi="Tahoma" w:cs="Tahoma"/>
          <w:sz w:val="20"/>
          <w:szCs w:val="20"/>
        </w:rPr>
        <w:t>millions</w:t>
      </w:r>
      <w:r w:rsidR="00DB1635" w:rsidRPr="00B004EE">
        <w:rPr>
          <w:rFonts w:ascii="Tahoma" w:hAnsi="Tahoma" w:cs="Tahoma"/>
          <w:sz w:val="20"/>
          <w:szCs w:val="20"/>
        </w:rPr>
        <w:t xml:space="preserve"> </w:t>
      </w:r>
      <w:r w:rsidRPr="00B004EE">
        <w:rPr>
          <w:rFonts w:ascii="Tahoma" w:hAnsi="Tahoma" w:cs="Tahoma"/>
          <w:sz w:val="20"/>
          <w:szCs w:val="20"/>
        </w:rPr>
        <w:t>(10.000.000)</w:t>
      </w:r>
      <w:r w:rsidR="00DB1635" w:rsidRPr="00B004EE">
        <w:rPr>
          <w:rFonts w:ascii="Tahoma" w:hAnsi="Tahoma" w:cs="Tahoma"/>
          <w:sz w:val="20"/>
          <w:szCs w:val="20"/>
        </w:rPr>
        <w:t xml:space="preserve"> </w:t>
      </w:r>
      <w:r w:rsidRPr="00B004EE">
        <w:rPr>
          <w:rFonts w:ascii="Tahoma" w:hAnsi="Tahoma" w:cs="Tahoma"/>
          <w:sz w:val="20"/>
          <w:szCs w:val="20"/>
        </w:rPr>
        <w:t>ouguiya</w:t>
      </w:r>
      <w:r w:rsidR="00DB1635" w:rsidRPr="00B004EE">
        <w:rPr>
          <w:rFonts w:ascii="Tahoma" w:hAnsi="Tahoma" w:cs="Tahoma"/>
          <w:sz w:val="20"/>
          <w:szCs w:val="20"/>
        </w:rPr>
        <w:t xml:space="preserve"> </w:t>
      </w:r>
      <w:r w:rsidRPr="00B004EE">
        <w:rPr>
          <w:rFonts w:ascii="Tahoma" w:hAnsi="Tahoma" w:cs="Tahoma"/>
          <w:sz w:val="20"/>
          <w:szCs w:val="20"/>
        </w:rPr>
        <w:t>jusqu’à</w:t>
      </w:r>
      <w:r w:rsidR="00DB1635" w:rsidRPr="00B004EE">
        <w:rPr>
          <w:rFonts w:ascii="Tahoma" w:hAnsi="Tahoma" w:cs="Tahoma"/>
          <w:sz w:val="20"/>
          <w:szCs w:val="20"/>
        </w:rPr>
        <w:t xml:space="preserve"> </w:t>
      </w:r>
      <w:r w:rsidRPr="00B004EE">
        <w:rPr>
          <w:rFonts w:ascii="Tahoma" w:hAnsi="Tahoma" w:cs="Tahoma"/>
          <w:sz w:val="20"/>
          <w:szCs w:val="20"/>
        </w:rPr>
        <w:t>vingt</w:t>
      </w:r>
      <w:r w:rsidR="00DB1635" w:rsidRPr="00B004EE">
        <w:rPr>
          <w:rFonts w:ascii="Tahoma" w:hAnsi="Tahoma" w:cs="Tahoma"/>
          <w:sz w:val="20"/>
          <w:szCs w:val="20"/>
        </w:rPr>
        <w:t xml:space="preserve"> </w:t>
      </w:r>
      <w:r w:rsidRPr="00B004EE">
        <w:rPr>
          <w:rFonts w:ascii="Tahoma" w:hAnsi="Tahoma" w:cs="Tahoma"/>
          <w:sz w:val="20"/>
          <w:szCs w:val="20"/>
        </w:rPr>
        <w:t>millions</w:t>
      </w:r>
      <w:r w:rsidR="00DB1635" w:rsidRPr="00B004EE">
        <w:rPr>
          <w:rFonts w:ascii="Tahoma" w:hAnsi="Tahoma" w:cs="Tahoma"/>
          <w:sz w:val="20"/>
          <w:szCs w:val="20"/>
        </w:rPr>
        <w:t xml:space="preserve"> </w:t>
      </w:r>
      <w:r w:rsidRPr="00B004EE">
        <w:rPr>
          <w:rFonts w:ascii="Tahoma" w:hAnsi="Tahoma" w:cs="Tahoma"/>
          <w:sz w:val="20"/>
          <w:szCs w:val="20"/>
        </w:rPr>
        <w:t>(20.000.000)</w:t>
      </w:r>
      <w:r w:rsidR="00DB1635" w:rsidRPr="00B004EE">
        <w:rPr>
          <w:rFonts w:ascii="Tahoma" w:hAnsi="Tahoma" w:cs="Tahoma"/>
          <w:sz w:val="20"/>
          <w:szCs w:val="20"/>
        </w:rPr>
        <w:t xml:space="preserve"> </w:t>
      </w:r>
      <w:r w:rsidRPr="00B004EE">
        <w:rPr>
          <w:rFonts w:ascii="Tahoma" w:hAnsi="Tahoma" w:cs="Tahoma"/>
          <w:sz w:val="20"/>
          <w:szCs w:val="20"/>
        </w:rPr>
        <w:t>d’ouguiya</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navires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d’un</w:t>
      </w:r>
      <w:r w:rsidR="00DB1635" w:rsidRPr="00B004EE">
        <w:rPr>
          <w:rFonts w:ascii="Tahoma" w:hAnsi="Tahoma" w:cs="Tahoma"/>
          <w:sz w:val="20"/>
          <w:szCs w:val="20"/>
        </w:rPr>
        <w:t xml:space="preserve"> </w:t>
      </w:r>
      <w:r w:rsidRPr="00B004EE">
        <w:rPr>
          <w:rFonts w:ascii="Tahoma" w:hAnsi="Tahoma" w:cs="Tahoma"/>
          <w:sz w:val="20"/>
          <w:szCs w:val="20"/>
        </w:rPr>
        <w:t>tonnage</w:t>
      </w:r>
      <w:r w:rsidR="00DB1635" w:rsidRPr="00B004EE">
        <w:rPr>
          <w:rFonts w:ascii="Tahoma" w:hAnsi="Tahoma" w:cs="Tahoma"/>
          <w:sz w:val="20"/>
          <w:szCs w:val="20"/>
        </w:rPr>
        <w:t xml:space="preserve"> </w:t>
      </w:r>
      <w:r w:rsidRPr="00B004EE">
        <w:rPr>
          <w:rFonts w:ascii="Tahoma" w:hAnsi="Tahoma" w:cs="Tahoma"/>
          <w:sz w:val="20"/>
          <w:szCs w:val="20"/>
        </w:rPr>
        <w:t>supérieur</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égal</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85</w:t>
      </w:r>
      <w:r w:rsidR="00DB1635" w:rsidRPr="00B004EE">
        <w:rPr>
          <w:rFonts w:ascii="Tahoma" w:hAnsi="Tahoma" w:cs="Tahoma"/>
          <w:sz w:val="20"/>
          <w:szCs w:val="20"/>
        </w:rPr>
        <w:t xml:space="preserve"> </w:t>
      </w:r>
      <w:r w:rsidRPr="00B004EE">
        <w:rPr>
          <w:rFonts w:ascii="Tahoma" w:hAnsi="Tahoma" w:cs="Tahoma"/>
          <w:sz w:val="20"/>
          <w:szCs w:val="20"/>
        </w:rPr>
        <w:t>GT,</w:t>
      </w:r>
      <w:r w:rsidR="00DB1635" w:rsidRPr="00B004EE">
        <w:rPr>
          <w:rFonts w:ascii="Tahoma" w:hAnsi="Tahoma" w:cs="Tahoma"/>
          <w:sz w:val="20"/>
          <w:szCs w:val="20"/>
        </w:rPr>
        <w:t xml:space="preserve"> </w:t>
      </w:r>
      <w:r w:rsidRPr="00B004EE">
        <w:rPr>
          <w:rFonts w:ascii="Tahoma" w:hAnsi="Tahoma" w:cs="Tahoma"/>
          <w:sz w:val="20"/>
          <w:szCs w:val="20"/>
        </w:rPr>
        <w:t>mais</w:t>
      </w:r>
      <w:r w:rsidR="00DB1635" w:rsidRPr="00B004EE">
        <w:rPr>
          <w:rFonts w:ascii="Tahoma" w:hAnsi="Tahoma" w:cs="Tahoma"/>
          <w:sz w:val="20"/>
          <w:szCs w:val="20"/>
        </w:rPr>
        <w:t xml:space="preserve"> </w:t>
      </w:r>
      <w:r w:rsidRPr="00B004EE">
        <w:rPr>
          <w:rFonts w:ascii="Tahoma" w:hAnsi="Tahoma" w:cs="Tahoma"/>
          <w:sz w:val="20"/>
          <w:szCs w:val="20"/>
        </w:rPr>
        <w:t>inférieur</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100</w:t>
      </w:r>
      <w:r w:rsidR="00DB1635" w:rsidRPr="00B004EE">
        <w:rPr>
          <w:rFonts w:ascii="Tahoma" w:hAnsi="Tahoma" w:cs="Tahoma"/>
          <w:sz w:val="20"/>
          <w:szCs w:val="20"/>
        </w:rPr>
        <w:t xml:space="preserve"> </w:t>
      </w:r>
      <w:r w:rsidRPr="00B004EE">
        <w:rPr>
          <w:rFonts w:ascii="Tahoma" w:hAnsi="Tahoma" w:cs="Tahoma"/>
          <w:sz w:val="20"/>
          <w:szCs w:val="20"/>
        </w:rPr>
        <w:t>GT;</w:t>
      </w:r>
    </w:p>
    <w:p w14:paraId="6858D694" w14:textId="3DEE5C89" w:rsidR="008518B0" w:rsidRPr="00B004EE" w:rsidRDefault="008518B0" w:rsidP="00420DDA">
      <w:pPr>
        <w:pStyle w:val="numsousart"/>
        <w:numPr>
          <w:ilvl w:val="0"/>
          <w:numId w:val="71"/>
        </w:numPr>
        <w:spacing w:before="0"/>
        <w:rPr>
          <w:rFonts w:ascii="Tahoma" w:hAnsi="Tahoma" w:cs="Tahoma"/>
          <w:sz w:val="20"/>
          <w:szCs w:val="20"/>
        </w:rPr>
      </w:pPr>
      <w:proofErr w:type="gramStart"/>
      <w:r w:rsidRPr="00B004EE">
        <w:rPr>
          <w:rFonts w:ascii="Tahoma" w:hAnsi="Tahoma" w:cs="Tahoma"/>
          <w:sz w:val="20"/>
          <w:szCs w:val="20"/>
        </w:rPr>
        <w:t>de</w:t>
      </w:r>
      <w:proofErr w:type="gramEnd"/>
      <w:r w:rsidR="00DB1635" w:rsidRPr="00B004EE">
        <w:rPr>
          <w:rFonts w:ascii="Tahoma" w:hAnsi="Tahoma" w:cs="Tahoma"/>
          <w:sz w:val="20"/>
          <w:szCs w:val="20"/>
        </w:rPr>
        <w:t xml:space="preserve"> </w:t>
      </w:r>
      <w:r w:rsidRPr="00B004EE">
        <w:rPr>
          <w:rFonts w:ascii="Tahoma" w:hAnsi="Tahoma" w:cs="Tahoma"/>
          <w:sz w:val="20"/>
          <w:szCs w:val="20"/>
        </w:rPr>
        <w:t>quinze</w:t>
      </w:r>
      <w:r w:rsidR="00DB1635" w:rsidRPr="00B004EE">
        <w:rPr>
          <w:rFonts w:ascii="Tahoma" w:hAnsi="Tahoma" w:cs="Tahoma"/>
          <w:sz w:val="20"/>
          <w:szCs w:val="20"/>
        </w:rPr>
        <w:t xml:space="preserve"> </w:t>
      </w:r>
      <w:r w:rsidRPr="00B004EE">
        <w:rPr>
          <w:rFonts w:ascii="Tahoma" w:hAnsi="Tahoma" w:cs="Tahoma"/>
          <w:sz w:val="20"/>
          <w:szCs w:val="20"/>
        </w:rPr>
        <w:t>millions</w:t>
      </w:r>
      <w:r w:rsidR="00DB1635" w:rsidRPr="00B004EE">
        <w:rPr>
          <w:rFonts w:ascii="Tahoma" w:hAnsi="Tahoma" w:cs="Tahoma"/>
          <w:sz w:val="20"/>
          <w:szCs w:val="20"/>
        </w:rPr>
        <w:t xml:space="preserve"> </w:t>
      </w:r>
      <w:r w:rsidRPr="00B004EE">
        <w:rPr>
          <w:rFonts w:ascii="Tahoma" w:hAnsi="Tahoma" w:cs="Tahoma"/>
          <w:sz w:val="20"/>
          <w:szCs w:val="20"/>
        </w:rPr>
        <w:t>(15.000.000)</w:t>
      </w:r>
      <w:r w:rsidR="00DB1635" w:rsidRPr="00B004EE">
        <w:rPr>
          <w:rFonts w:ascii="Tahoma" w:hAnsi="Tahoma" w:cs="Tahoma"/>
          <w:sz w:val="20"/>
          <w:szCs w:val="20"/>
        </w:rPr>
        <w:t xml:space="preserve"> </w:t>
      </w:r>
      <w:r w:rsidRPr="00B004EE">
        <w:rPr>
          <w:rFonts w:ascii="Tahoma" w:hAnsi="Tahoma" w:cs="Tahoma"/>
          <w:sz w:val="20"/>
          <w:szCs w:val="20"/>
        </w:rPr>
        <w:t>d’ouguiya</w:t>
      </w:r>
      <w:r w:rsidR="00DB1635" w:rsidRPr="00B004EE">
        <w:rPr>
          <w:rFonts w:ascii="Tahoma" w:hAnsi="Tahoma" w:cs="Tahoma"/>
          <w:sz w:val="20"/>
          <w:szCs w:val="20"/>
        </w:rPr>
        <w:t xml:space="preserve"> </w:t>
      </w:r>
      <w:r w:rsidRPr="00B004EE">
        <w:rPr>
          <w:rFonts w:ascii="Tahoma" w:hAnsi="Tahoma" w:cs="Tahoma"/>
          <w:sz w:val="20"/>
          <w:szCs w:val="20"/>
        </w:rPr>
        <w:t>jusqu'à</w:t>
      </w:r>
      <w:r w:rsidR="00DB1635" w:rsidRPr="00B004EE">
        <w:rPr>
          <w:rFonts w:ascii="Tahoma" w:hAnsi="Tahoma" w:cs="Tahoma"/>
          <w:sz w:val="20"/>
          <w:szCs w:val="20"/>
        </w:rPr>
        <w:t xml:space="preserve"> </w:t>
      </w:r>
      <w:r w:rsidR="00BD7C35" w:rsidRPr="00B004EE">
        <w:rPr>
          <w:rFonts w:ascii="Tahoma" w:hAnsi="Tahoma" w:cs="Tahoma"/>
          <w:sz w:val="20"/>
          <w:szCs w:val="20"/>
        </w:rPr>
        <w:t>vingt-cinq</w:t>
      </w:r>
      <w:r w:rsidR="00DB1635" w:rsidRPr="00B004EE">
        <w:rPr>
          <w:rFonts w:ascii="Tahoma" w:hAnsi="Tahoma" w:cs="Tahoma"/>
          <w:sz w:val="20"/>
          <w:szCs w:val="20"/>
        </w:rPr>
        <w:t xml:space="preserve"> </w:t>
      </w:r>
      <w:r w:rsidRPr="00B004EE">
        <w:rPr>
          <w:rFonts w:ascii="Tahoma" w:hAnsi="Tahoma" w:cs="Tahoma"/>
          <w:sz w:val="20"/>
          <w:szCs w:val="20"/>
        </w:rPr>
        <w:t>(25.000.000)</w:t>
      </w:r>
      <w:r w:rsidR="00DB1635" w:rsidRPr="00B004EE">
        <w:rPr>
          <w:rFonts w:ascii="Tahoma" w:hAnsi="Tahoma" w:cs="Tahoma"/>
          <w:sz w:val="20"/>
          <w:szCs w:val="20"/>
        </w:rPr>
        <w:t xml:space="preserve"> </w:t>
      </w:r>
      <w:r w:rsidRPr="00B004EE">
        <w:rPr>
          <w:rFonts w:ascii="Tahoma" w:hAnsi="Tahoma" w:cs="Tahoma"/>
          <w:sz w:val="20"/>
          <w:szCs w:val="20"/>
        </w:rPr>
        <w:t>ouguiya</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navires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d'un</w:t>
      </w:r>
      <w:r w:rsidR="00DB1635" w:rsidRPr="00B004EE">
        <w:rPr>
          <w:rFonts w:ascii="Tahoma" w:hAnsi="Tahoma" w:cs="Tahoma"/>
          <w:sz w:val="20"/>
          <w:szCs w:val="20"/>
        </w:rPr>
        <w:t xml:space="preserve"> </w:t>
      </w:r>
      <w:r w:rsidRPr="00B004EE">
        <w:rPr>
          <w:rFonts w:ascii="Tahoma" w:hAnsi="Tahoma" w:cs="Tahoma"/>
          <w:sz w:val="20"/>
          <w:szCs w:val="20"/>
        </w:rPr>
        <w:t>tonnage</w:t>
      </w:r>
      <w:r w:rsidR="00DB1635" w:rsidRPr="00B004EE">
        <w:rPr>
          <w:rFonts w:ascii="Tahoma" w:hAnsi="Tahoma" w:cs="Tahoma"/>
          <w:sz w:val="20"/>
          <w:szCs w:val="20"/>
        </w:rPr>
        <w:t xml:space="preserve"> </w:t>
      </w:r>
      <w:r w:rsidRPr="00B004EE">
        <w:rPr>
          <w:rFonts w:ascii="Tahoma" w:hAnsi="Tahoma" w:cs="Tahoma"/>
          <w:sz w:val="20"/>
          <w:szCs w:val="20"/>
        </w:rPr>
        <w:t>supérieur</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égal</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100</w:t>
      </w:r>
      <w:r w:rsidR="00DB1635" w:rsidRPr="00B004EE">
        <w:rPr>
          <w:rFonts w:ascii="Tahoma" w:hAnsi="Tahoma" w:cs="Tahoma"/>
          <w:sz w:val="20"/>
          <w:szCs w:val="20"/>
        </w:rPr>
        <w:t xml:space="preserve"> </w:t>
      </w:r>
      <w:r w:rsidRPr="00B004EE">
        <w:rPr>
          <w:rFonts w:ascii="Tahoma" w:hAnsi="Tahoma" w:cs="Tahoma"/>
          <w:sz w:val="20"/>
          <w:szCs w:val="20"/>
        </w:rPr>
        <w:t>GT,</w:t>
      </w:r>
      <w:r w:rsidR="00DB1635" w:rsidRPr="00B004EE">
        <w:rPr>
          <w:rFonts w:ascii="Tahoma" w:hAnsi="Tahoma" w:cs="Tahoma"/>
          <w:sz w:val="20"/>
          <w:szCs w:val="20"/>
        </w:rPr>
        <w:t xml:space="preserve"> </w:t>
      </w:r>
      <w:r w:rsidRPr="00B004EE">
        <w:rPr>
          <w:rFonts w:ascii="Tahoma" w:hAnsi="Tahoma" w:cs="Tahoma"/>
          <w:sz w:val="20"/>
          <w:szCs w:val="20"/>
        </w:rPr>
        <w:t>mais</w:t>
      </w:r>
      <w:r w:rsidR="00DB1635" w:rsidRPr="00B004EE">
        <w:rPr>
          <w:rFonts w:ascii="Tahoma" w:hAnsi="Tahoma" w:cs="Tahoma"/>
          <w:sz w:val="20"/>
          <w:szCs w:val="20"/>
        </w:rPr>
        <w:t xml:space="preserve"> </w:t>
      </w:r>
      <w:r w:rsidRPr="00B004EE">
        <w:rPr>
          <w:rFonts w:ascii="Tahoma" w:hAnsi="Tahoma" w:cs="Tahoma"/>
          <w:sz w:val="20"/>
          <w:szCs w:val="20"/>
        </w:rPr>
        <w:t>inférieur</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150</w:t>
      </w:r>
      <w:r w:rsidR="00DB1635" w:rsidRPr="00B004EE">
        <w:rPr>
          <w:rFonts w:ascii="Tahoma" w:hAnsi="Tahoma" w:cs="Tahoma"/>
          <w:sz w:val="20"/>
          <w:szCs w:val="20"/>
        </w:rPr>
        <w:t xml:space="preserve"> </w:t>
      </w:r>
      <w:r w:rsidRPr="00B004EE">
        <w:rPr>
          <w:rFonts w:ascii="Tahoma" w:hAnsi="Tahoma" w:cs="Tahoma"/>
          <w:sz w:val="20"/>
          <w:szCs w:val="20"/>
        </w:rPr>
        <w:t>GT;</w:t>
      </w:r>
    </w:p>
    <w:p w14:paraId="332CD797" w14:textId="75CF418C" w:rsidR="008518B0" w:rsidRPr="00B004EE" w:rsidRDefault="008518B0" w:rsidP="00420DDA">
      <w:pPr>
        <w:pStyle w:val="numsousart"/>
        <w:numPr>
          <w:ilvl w:val="0"/>
          <w:numId w:val="71"/>
        </w:numPr>
        <w:spacing w:before="0"/>
        <w:rPr>
          <w:rFonts w:ascii="Tahoma" w:hAnsi="Tahoma" w:cs="Tahoma"/>
          <w:sz w:val="20"/>
          <w:szCs w:val="20"/>
        </w:rPr>
      </w:pPr>
      <w:proofErr w:type="gramStart"/>
      <w:r w:rsidRPr="00B004EE">
        <w:rPr>
          <w:rFonts w:ascii="Tahoma" w:hAnsi="Tahoma" w:cs="Tahoma"/>
          <w:sz w:val="20"/>
          <w:szCs w:val="20"/>
        </w:rPr>
        <w:t>de</w:t>
      </w:r>
      <w:proofErr w:type="gramEnd"/>
      <w:r w:rsidR="00DB1635" w:rsidRPr="00B004EE">
        <w:rPr>
          <w:rFonts w:ascii="Tahoma" w:hAnsi="Tahoma" w:cs="Tahoma"/>
          <w:sz w:val="20"/>
          <w:szCs w:val="20"/>
        </w:rPr>
        <w:t xml:space="preserve"> </w:t>
      </w:r>
      <w:r w:rsidRPr="00B004EE">
        <w:rPr>
          <w:rFonts w:ascii="Tahoma" w:hAnsi="Tahoma" w:cs="Tahoma"/>
          <w:sz w:val="20"/>
          <w:szCs w:val="20"/>
        </w:rPr>
        <w:t>seize</w:t>
      </w:r>
      <w:r w:rsidR="00DB1635" w:rsidRPr="00B004EE">
        <w:rPr>
          <w:rFonts w:ascii="Tahoma" w:hAnsi="Tahoma" w:cs="Tahoma"/>
          <w:sz w:val="20"/>
          <w:szCs w:val="20"/>
        </w:rPr>
        <w:t xml:space="preserve"> </w:t>
      </w:r>
      <w:r w:rsidRPr="00B004EE">
        <w:rPr>
          <w:rFonts w:ascii="Tahoma" w:hAnsi="Tahoma" w:cs="Tahoma"/>
          <w:sz w:val="20"/>
          <w:szCs w:val="20"/>
        </w:rPr>
        <w:t>millions</w:t>
      </w:r>
      <w:r w:rsidR="00DB1635" w:rsidRPr="00B004EE">
        <w:rPr>
          <w:rFonts w:ascii="Tahoma" w:hAnsi="Tahoma" w:cs="Tahoma"/>
          <w:sz w:val="20"/>
          <w:szCs w:val="20"/>
        </w:rPr>
        <w:t xml:space="preserve"> </w:t>
      </w:r>
      <w:r w:rsidRPr="00B004EE">
        <w:rPr>
          <w:rFonts w:ascii="Tahoma" w:hAnsi="Tahoma" w:cs="Tahoma"/>
          <w:sz w:val="20"/>
          <w:szCs w:val="20"/>
        </w:rPr>
        <w:t>(16.000.000)</w:t>
      </w:r>
      <w:r w:rsidR="00DB1635" w:rsidRPr="00B004EE">
        <w:rPr>
          <w:rFonts w:ascii="Tahoma" w:hAnsi="Tahoma" w:cs="Tahoma"/>
          <w:sz w:val="20"/>
          <w:szCs w:val="20"/>
        </w:rPr>
        <w:t xml:space="preserve"> </w:t>
      </w:r>
      <w:r w:rsidRPr="00B004EE">
        <w:rPr>
          <w:rFonts w:ascii="Tahoma" w:hAnsi="Tahoma" w:cs="Tahoma"/>
          <w:sz w:val="20"/>
          <w:szCs w:val="20"/>
        </w:rPr>
        <w:t>ouguiya</w:t>
      </w:r>
      <w:r w:rsidR="00DB1635" w:rsidRPr="00B004EE">
        <w:rPr>
          <w:rFonts w:ascii="Tahoma" w:hAnsi="Tahoma" w:cs="Tahoma"/>
          <w:sz w:val="20"/>
          <w:szCs w:val="20"/>
        </w:rPr>
        <w:t xml:space="preserve"> </w:t>
      </w:r>
      <w:r w:rsidRPr="00B004EE">
        <w:rPr>
          <w:rFonts w:ascii="Tahoma" w:hAnsi="Tahoma" w:cs="Tahoma"/>
          <w:sz w:val="20"/>
          <w:szCs w:val="20"/>
        </w:rPr>
        <w:t>jusqu'à</w:t>
      </w:r>
      <w:r w:rsidR="00DB1635" w:rsidRPr="00B004EE">
        <w:rPr>
          <w:rFonts w:ascii="Tahoma" w:hAnsi="Tahoma" w:cs="Tahoma"/>
          <w:sz w:val="20"/>
          <w:szCs w:val="20"/>
        </w:rPr>
        <w:t xml:space="preserve"> </w:t>
      </w:r>
      <w:r w:rsidRPr="00B004EE">
        <w:rPr>
          <w:rFonts w:ascii="Tahoma" w:hAnsi="Tahoma" w:cs="Tahoma"/>
          <w:sz w:val="20"/>
          <w:szCs w:val="20"/>
        </w:rPr>
        <w:t>trente</w:t>
      </w:r>
      <w:r w:rsidR="00DB1635" w:rsidRPr="00B004EE">
        <w:rPr>
          <w:rFonts w:ascii="Tahoma" w:hAnsi="Tahoma" w:cs="Tahoma"/>
          <w:sz w:val="20"/>
          <w:szCs w:val="20"/>
        </w:rPr>
        <w:t xml:space="preserve"> </w:t>
      </w:r>
      <w:r w:rsidRPr="00B004EE">
        <w:rPr>
          <w:rFonts w:ascii="Tahoma" w:hAnsi="Tahoma" w:cs="Tahoma"/>
          <w:sz w:val="20"/>
          <w:szCs w:val="20"/>
        </w:rPr>
        <w:t>millions</w:t>
      </w:r>
      <w:r w:rsidR="00DB1635" w:rsidRPr="00B004EE">
        <w:rPr>
          <w:rFonts w:ascii="Tahoma" w:hAnsi="Tahoma" w:cs="Tahoma"/>
          <w:sz w:val="20"/>
          <w:szCs w:val="20"/>
        </w:rPr>
        <w:t xml:space="preserve"> </w:t>
      </w:r>
      <w:r w:rsidRPr="00B004EE">
        <w:rPr>
          <w:rFonts w:ascii="Tahoma" w:hAnsi="Tahoma" w:cs="Tahoma"/>
          <w:sz w:val="20"/>
          <w:szCs w:val="20"/>
        </w:rPr>
        <w:t>(30.000.000)</w:t>
      </w:r>
      <w:r w:rsidR="00DB1635" w:rsidRPr="00B004EE">
        <w:rPr>
          <w:rFonts w:ascii="Tahoma" w:hAnsi="Tahoma" w:cs="Tahoma"/>
          <w:sz w:val="20"/>
          <w:szCs w:val="20"/>
        </w:rPr>
        <w:t xml:space="preserve"> </w:t>
      </w:r>
      <w:r w:rsidRPr="00B004EE">
        <w:rPr>
          <w:rFonts w:ascii="Tahoma" w:hAnsi="Tahoma" w:cs="Tahoma"/>
          <w:sz w:val="20"/>
          <w:szCs w:val="20"/>
        </w:rPr>
        <w:t>ouguiya</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navires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d'un</w:t>
      </w:r>
      <w:r w:rsidR="00DB1635" w:rsidRPr="00B004EE">
        <w:rPr>
          <w:rFonts w:ascii="Tahoma" w:hAnsi="Tahoma" w:cs="Tahoma"/>
          <w:sz w:val="20"/>
          <w:szCs w:val="20"/>
        </w:rPr>
        <w:t xml:space="preserve"> </w:t>
      </w:r>
      <w:r w:rsidRPr="00B004EE">
        <w:rPr>
          <w:rFonts w:ascii="Tahoma" w:hAnsi="Tahoma" w:cs="Tahoma"/>
          <w:sz w:val="20"/>
          <w:szCs w:val="20"/>
        </w:rPr>
        <w:t>tonnage</w:t>
      </w:r>
      <w:r w:rsidR="00DB1635" w:rsidRPr="00B004EE">
        <w:rPr>
          <w:rFonts w:ascii="Tahoma" w:hAnsi="Tahoma" w:cs="Tahoma"/>
          <w:sz w:val="20"/>
          <w:szCs w:val="20"/>
        </w:rPr>
        <w:t xml:space="preserve"> </w:t>
      </w:r>
      <w:r w:rsidRPr="00B004EE">
        <w:rPr>
          <w:rFonts w:ascii="Tahoma" w:hAnsi="Tahoma" w:cs="Tahoma"/>
          <w:sz w:val="20"/>
          <w:szCs w:val="20"/>
        </w:rPr>
        <w:t>supérieur</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égal</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150</w:t>
      </w:r>
      <w:r w:rsidR="00DB1635" w:rsidRPr="00B004EE">
        <w:rPr>
          <w:rFonts w:ascii="Tahoma" w:hAnsi="Tahoma" w:cs="Tahoma"/>
          <w:sz w:val="20"/>
          <w:szCs w:val="20"/>
        </w:rPr>
        <w:t xml:space="preserve"> </w:t>
      </w:r>
      <w:r w:rsidRPr="00B004EE">
        <w:rPr>
          <w:rFonts w:ascii="Tahoma" w:hAnsi="Tahoma" w:cs="Tahoma"/>
          <w:sz w:val="20"/>
          <w:szCs w:val="20"/>
        </w:rPr>
        <w:t>GT,</w:t>
      </w:r>
      <w:r w:rsidR="00DB1635" w:rsidRPr="00B004EE">
        <w:rPr>
          <w:rFonts w:ascii="Tahoma" w:hAnsi="Tahoma" w:cs="Tahoma"/>
          <w:sz w:val="20"/>
          <w:szCs w:val="20"/>
        </w:rPr>
        <w:t xml:space="preserve"> </w:t>
      </w:r>
      <w:r w:rsidRPr="00B004EE">
        <w:rPr>
          <w:rFonts w:ascii="Tahoma" w:hAnsi="Tahoma" w:cs="Tahoma"/>
          <w:sz w:val="20"/>
          <w:szCs w:val="20"/>
        </w:rPr>
        <w:t>mais</w:t>
      </w:r>
      <w:r w:rsidR="00DB1635" w:rsidRPr="00B004EE">
        <w:rPr>
          <w:rFonts w:ascii="Tahoma" w:hAnsi="Tahoma" w:cs="Tahoma"/>
          <w:sz w:val="20"/>
          <w:szCs w:val="20"/>
        </w:rPr>
        <w:t xml:space="preserve"> </w:t>
      </w:r>
      <w:r w:rsidRPr="00B004EE">
        <w:rPr>
          <w:rFonts w:ascii="Tahoma" w:hAnsi="Tahoma" w:cs="Tahoma"/>
          <w:sz w:val="20"/>
          <w:szCs w:val="20"/>
        </w:rPr>
        <w:t>inférieur</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175</w:t>
      </w:r>
      <w:r w:rsidR="00DB1635" w:rsidRPr="00B004EE">
        <w:rPr>
          <w:rFonts w:ascii="Tahoma" w:hAnsi="Tahoma" w:cs="Tahoma"/>
          <w:sz w:val="20"/>
          <w:szCs w:val="20"/>
        </w:rPr>
        <w:t xml:space="preserve"> </w:t>
      </w:r>
      <w:r w:rsidRPr="00B004EE">
        <w:rPr>
          <w:rFonts w:ascii="Tahoma" w:hAnsi="Tahoma" w:cs="Tahoma"/>
          <w:sz w:val="20"/>
          <w:szCs w:val="20"/>
        </w:rPr>
        <w:t>GT;</w:t>
      </w:r>
    </w:p>
    <w:p w14:paraId="5A577DF1" w14:textId="03AC4E99" w:rsidR="008518B0" w:rsidRPr="00B004EE" w:rsidRDefault="008518B0" w:rsidP="00420DDA">
      <w:pPr>
        <w:pStyle w:val="numsousart"/>
        <w:numPr>
          <w:ilvl w:val="0"/>
          <w:numId w:val="71"/>
        </w:numPr>
        <w:spacing w:before="0"/>
        <w:rPr>
          <w:rFonts w:ascii="Tahoma" w:hAnsi="Tahoma" w:cs="Tahoma"/>
          <w:sz w:val="20"/>
          <w:szCs w:val="20"/>
        </w:rPr>
      </w:pPr>
      <w:proofErr w:type="gramStart"/>
      <w:r w:rsidRPr="00B004EE">
        <w:rPr>
          <w:rFonts w:ascii="Tahoma" w:hAnsi="Tahoma" w:cs="Tahoma"/>
          <w:sz w:val="20"/>
          <w:szCs w:val="20"/>
        </w:rPr>
        <w:t>de</w:t>
      </w:r>
      <w:proofErr w:type="gramEnd"/>
      <w:r w:rsidR="00DB1635" w:rsidRPr="00B004EE">
        <w:rPr>
          <w:rFonts w:ascii="Tahoma" w:hAnsi="Tahoma" w:cs="Tahoma"/>
          <w:sz w:val="20"/>
          <w:szCs w:val="20"/>
        </w:rPr>
        <w:t xml:space="preserve"> </w:t>
      </w:r>
      <w:r w:rsidR="00BD7C35" w:rsidRPr="00B004EE">
        <w:rPr>
          <w:rFonts w:ascii="Tahoma" w:hAnsi="Tahoma" w:cs="Tahoma"/>
          <w:sz w:val="20"/>
          <w:szCs w:val="20"/>
        </w:rPr>
        <w:t>dix-sept</w:t>
      </w:r>
      <w:r w:rsidR="00DB1635" w:rsidRPr="00B004EE">
        <w:rPr>
          <w:rFonts w:ascii="Tahoma" w:hAnsi="Tahoma" w:cs="Tahoma"/>
          <w:sz w:val="20"/>
          <w:szCs w:val="20"/>
        </w:rPr>
        <w:t xml:space="preserve"> </w:t>
      </w:r>
      <w:r w:rsidRPr="00B004EE">
        <w:rPr>
          <w:rFonts w:ascii="Tahoma" w:hAnsi="Tahoma" w:cs="Tahoma"/>
          <w:sz w:val="20"/>
          <w:szCs w:val="20"/>
        </w:rPr>
        <w:t>millions</w:t>
      </w:r>
      <w:r w:rsidR="00DB1635" w:rsidRPr="00B004EE">
        <w:rPr>
          <w:rFonts w:ascii="Tahoma" w:hAnsi="Tahoma" w:cs="Tahoma"/>
          <w:sz w:val="20"/>
          <w:szCs w:val="20"/>
        </w:rPr>
        <w:t xml:space="preserve"> </w:t>
      </w:r>
      <w:r w:rsidRPr="00B004EE">
        <w:rPr>
          <w:rFonts w:ascii="Tahoma" w:hAnsi="Tahoma" w:cs="Tahoma"/>
          <w:sz w:val="20"/>
          <w:szCs w:val="20"/>
        </w:rPr>
        <w:t>(17.000.000)</w:t>
      </w:r>
      <w:r w:rsidR="00DB1635" w:rsidRPr="00B004EE">
        <w:rPr>
          <w:rFonts w:ascii="Tahoma" w:hAnsi="Tahoma" w:cs="Tahoma"/>
          <w:sz w:val="20"/>
          <w:szCs w:val="20"/>
        </w:rPr>
        <w:t xml:space="preserve"> </w:t>
      </w:r>
      <w:r w:rsidRPr="00B004EE">
        <w:rPr>
          <w:rFonts w:ascii="Tahoma" w:hAnsi="Tahoma" w:cs="Tahoma"/>
          <w:sz w:val="20"/>
          <w:szCs w:val="20"/>
        </w:rPr>
        <w:t>ouguiya</w:t>
      </w:r>
      <w:r w:rsidR="00DB1635" w:rsidRPr="00B004EE">
        <w:rPr>
          <w:rFonts w:ascii="Tahoma" w:hAnsi="Tahoma" w:cs="Tahoma"/>
          <w:sz w:val="20"/>
          <w:szCs w:val="20"/>
        </w:rPr>
        <w:t xml:space="preserve"> </w:t>
      </w:r>
      <w:r w:rsidRPr="00B004EE">
        <w:rPr>
          <w:rFonts w:ascii="Tahoma" w:hAnsi="Tahoma" w:cs="Tahoma"/>
          <w:sz w:val="20"/>
          <w:szCs w:val="20"/>
        </w:rPr>
        <w:t>jusqu'à</w:t>
      </w:r>
      <w:r w:rsidR="00DB1635" w:rsidRPr="00B004EE">
        <w:rPr>
          <w:rFonts w:ascii="Tahoma" w:hAnsi="Tahoma" w:cs="Tahoma"/>
          <w:sz w:val="20"/>
          <w:szCs w:val="20"/>
        </w:rPr>
        <w:t xml:space="preserve"> </w:t>
      </w:r>
      <w:r w:rsidR="00BD7C35" w:rsidRPr="00B004EE">
        <w:rPr>
          <w:rFonts w:ascii="Tahoma" w:hAnsi="Tahoma" w:cs="Tahoma"/>
          <w:sz w:val="20"/>
          <w:szCs w:val="20"/>
        </w:rPr>
        <w:t>trente-cinq</w:t>
      </w:r>
      <w:r w:rsidR="00DB1635" w:rsidRPr="00B004EE">
        <w:rPr>
          <w:rFonts w:ascii="Tahoma" w:hAnsi="Tahoma" w:cs="Tahoma"/>
          <w:sz w:val="20"/>
          <w:szCs w:val="20"/>
        </w:rPr>
        <w:t xml:space="preserve"> </w:t>
      </w:r>
      <w:r w:rsidRPr="00B004EE">
        <w:rPr>
          <w:rFonts w:ascii="Tahoma" w:hAnsi="Tahoma" w:cs="Tahoma"/>
          <w:sz w:val="20"/>
          <w:szCs w:val="20"/>
        </w:rPr>
        <w:t>millions</w:t>
      </w:r>
      <w:r w:rsidR="00DB1635" w:rsidRPr="00B004EE">
        <w:rPr>
          <w:rFonts w:ascii="Tahoma" w:hAnsi="Tahoma" w:cs="Tahoma"/>
          <w:sz w:val="20"/>
          <w:szCs w:val="20"/>
        </w:rPr>
        <w:t xml:space="preserve"> </w:t>
      </w:r>
      <w:r w:rsidRPr="00B004EE">
        <w:rPr>
          <w:rFonts w:ascii="Tahoma" w:hAnsi="Tahoma" w:cs="Tahoma"/>
          <w:sz w:val="20"/>
          <w:szCs w:val="20"/>
        </w:rPr>
        <w:t>(35.000.000)</w:t>
      </w:r>
      <w:r w:rsidR="00DB1635" w:rsidRPr="00B004EE">
        <w:rPr>
          <w:rFonts w:ascii="Tahoma" w:hAnsi="Tahoma" w:cs="Tahoma"/>
          <w:sz w:val="20"/>
          <w:szCs w:val="20"/>
        </w:rPr>
        <w:t xml:space="preserve"> </w:t>
      </w:r>
      <w:r w:rsidRPr="00B004EE">
        <w:rPr>
          <w:rFonts w:ascii="Tahoma" w:hAnsi="Tahoma" w:cs="Tahoma"/>
          <w:sz w:val="20"/>
          <w:szCs w:val="20"/>
        </w:rPr>
        <w:t>ouguiya</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navires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d'un</w:t>
      </w:r>
      <w:r w:rsidR="00DB1635" w:rsidRPr="00B004EE">
        <w:rPr>
          <w:rFonts w:ascii="Tahoma" w:hAnsi="Tahoma" w:cs="Tahoma"/>
          <w:sz w:val="20"/>
          <w:szCs w:val="20"/>
        </w:rPr>
        <w:t xml:space="preserve"> </w:t>
      </w:r>
      <w:r w:rsidRPr="00B004EE">
        <w:rPr>
          <w:rFonts w:ascii="Tahoma" w:hAnsi="Tahoma" w:cs="Tahoma"/>
          <w:sz w:val="20"/>
          <w:szCs w:val="20"/>
        </w:rPr>
        <w:t>tonnage</w:t>
      </w:r>
      <w:r w:rsidR="00DB1635" w:rsidRPr="00B004EE">
        <w:rPr>
          <w:rFonts w:ascii="Tahoma" w:hAnsi="Tahoma" w:cs="Tahoma"/>
          <w:sz w:val="20"/>
          <w:szCs w:val="20"/>
        </w:rPr>
        <w:t xml:space="preserve"> </w:t>
      </w:r>
      <w:r w:rsidRPr="00B004EE">
        <w:rPr>
          <w:rFonts w:ascii="Tahoma" w:hAnsi="Tahoma" w:cs="Tahoma"/>
          <w:sz w:val="20"/>
          <w:szCs w:val="20"/>
        </w:rPr>
        <w:t>supérieur</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égal</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175</w:t>
      </w:r>
      <w:r w:rsidR="00DB1635" w:rsidRPr="00B004EE">
        <w:rPr>
          <w:rFonts w:ascii="Tahoma" w:hAnsi="Tahoma" w:cs="Tahoma"/>
          <w:sz w:val="20"/>
          <w:szCs w:val="20"/>
        </w:rPr>
        <w:t xml:space="preserve"> </w:t>
      </w:r>
      <w:r w:rsidRPr="00B004EE">
        <w:rPr>
          <w:rFonts w:ascii="Tahoma" w:hAnsi="Tahoma" w:cs="Tahoma"/>
          <w:sz w:val="20"/>
          <w:szCs w:val="20"/>
        </w:rPr>
        <w:t>GT,</w:t>
      </w:r>
      <w:r w:rsidR="00DB1635" w:rsidRPr="00B004EE">
        <w:rPr>
          <w:rFonts w:ascii="Tahoma" w:hAnsi="Tahoma" w:cs="Tahoma"/>
          <w:sz w:val="20"/>
          <w:szCs w:val="20"/>
        </w:rPr>
        <w:t xml:space="preserve"> </w:t>
      </w:r>
      <w:r w:rsidRPr="00B004EE">
        <w:rPr>
          <w:rFonts w:ascii="Tahoma" w:hAnsi="Tahoma" w:cs="Tahoma"/>
          <w:sz w:val="20"/>
          <w:szCs w:val="20"/>
        </w:rPr>
        <w:t>mais</w:t>
      </w:r>
      <w:r w:rsidR="00DB1635" w:rsidRPr="00B004EE">
        <w:rPr>
          <w:rFonts w:ascii="Tahoma" w:hAnsi="Tahoma" w:cs="Tahoma"/>
          <w:sz w:val="20"/>
          <w:szCs w:val="20"/>
        </w:rPr>
        <w:t xml:space="preserve"> </w:t>
      </w:r>
      <w:r w:rsidRPr="00B004EE">
        <w:rPr>
          <w:rFonts w:ascii="Tahoma" w:hAnsi="Tahoma" w:cs="Tahoma"/>
          <w:sz w:val="20"/>
          <w:szCs w:val="20"/>
        </w:rPr>
        <w:t>inférieur</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200</w:t>
      </w:r>
      <w:r w:rsidR="00DB1635" w:rsidRPr="00B004EE">
        <w:rPr>
          <w:rFonts w:ascii="Tahoma" w:hAnsi="Tahoma" w:cs="Tahoma"/>
          <w:sz w:val="20"/>
          <w:szCs w:val="20"/>
        </w:rPr>
        <w:t xml:space="preserve"> </w:t>
      </w:r>
      <w:r w:rsidRPr="00B004EE">
        <w:rPr>
          <w:rFonts w:ascii="Tahoma" w:hAnsi="Tahoma" w:cs="Tahoma"/>
          <w:sz w:val="20"/>
          <w:szCs w:val="20"/>
        </w:rPr>
        <w:t>GT;</w:t>
      </w:r>
    </w:p>
    <w:p w14:paraId="69876854" w14:textId="34B08938" w:rsidR="008518B0" w:rsidRPr="00B004EE" w:rsidRDefault="008518B0" w:rsidP="00420DDA">
      <w:pPr>
        <w:pStyle w:val="numsousart"/>
        <w:numPr>
          <w:ilvl w:val="0"/>
          <w:numId w:val="71"/>
        </w:numPr>
        <w:spacing w:before="0"/>
        <w:rPr>
          <w:rFonts w:ascii="Tahoma" w:hAnsi="Tahoma" w:cs="Tahoma"/>
          <w:sz w:val="20"/>
          <w:szCs w:val="20"/>
        </w:rPr>
      </w:pPr>
      <w:proofErr w:type="gramStart"/>
      <w:r w:rsidRPr="00B004EE">
        <w:rPr>
          <w:rFonts w:ascii="Tahoma" w:hAnsi="Tahoma" w:cs="Tahoma"/>
          <w:sz w:val="20"/>
          <w:szCs w:val="20"/>
        </w:rPr>
        <w:t>de</w:t>
      </w:r>
      <w:proofErr w:type="gramEnd"/>
      <w:r w:rsidR="00DB1635" w:rsidRPr="00B004EE">
        <w:rPr>
          <w:rFonts w:ascii="Tahoma" w:hAnsi="Tahoma" w:cs="Tahoma"/>
          <w:sz w:val="20"/>
          <w:szCs w:val="20"/>
        </w:rPr>
        <w:t xml:space="preserve"> </w:t>
      </w:r>
      <w:r w:rsidR="00BD7C35" w:rsidRPr="00B004EE">
        <w:rPr>
          <w:rFonts w:ascii="Tahoma" w:hAnsi="Tahoma" w:cs="Tahoma"/>
          <w:sz w:val="20"/>
          <w:szCs w:val="20"/>
        </w:rPr>
        <w:t>dix-huit</w:t>
      </w:r>
      <w:r w:rsidR="00DB1635" w:rsidRPr="00B004EE">
        <w:rPr>
          <w:rFonts w:ascii="Tahoma" w:hAnsi="Tahoma" w:cs="Tahoma"/>
          <w:sz w:val="20"/>
          <w:szCs w:val="20"/>
        </w:rPr>
        <w:t xml:space="preserve"> </w:t>
      </w:r>
      <w:r w:rsidRPr="00B004EE">
        <w:rPr>
          <w:rFonts w:ascii="Tahoma" w:hAnsi="Tahoma" w:cs="Tahoma"/>
          <w:sz w:val="20"/>
          <w:szCs w:val="20"/>
        </w:rPr>
        <w:t>millions</w:t>
      </w:r>
      <w:r w:rsidR="00DB1635" w:rsidRPr="00B004EE">
        <w:rPr>
          <w:rFonts w:ascii="Tahoma" w:hAnsi="Tahoma" w:cs="Tahoma"/>
          <w:sz w:val="20"/>
          <w:szCs w:val="20"/>
        </w:rPr>
        <w:t xml:space="preserve"> </w:t>
      </w:r>
      <w:r w:rsidRPr="00B004EE">
        <w:rPr>
          <w:rFonts w:ascii="Tahoma" w:hAnsi="Tahoma" w:cs="Tahoma"/>
          <w:sz w:val="20"/>
          <w:szCs w:val="20"/>
        </w:rPr>
        <w:t>(18.000.000)</w:t>
      </w:r>
      <w:r w:rsidR="00DB1635" w:rsidRPr="00B004EE">
        <w:rPr>
          <w:rFonts w:ascii="Tahoma" w:hAnsi="Tahoma" w:cs="Tahoma"/>
          <w:sz w:val="20"/>
          <w:szCs w:val="20"/>
        </w:rPr>
        <w:t xml:space="preserve"> </w:t>
      </w:r>
      <w:r w:rsidRPr="00B004EE">
        <w:rPr>
          <w:rFonts w:ascii="Tahoma" w:hAnsi="Tahoma" w:cs="Tahoma"/>
          <w:sz w:val="20"/>
          <w:szCs w:val="20"/>
        </w:rPr>
        <w:t>d’ouguiya</w:t>
      </w:r>
      <w:r w:rsidR="00DB1635" w:rsidRPr="00B004EE">
        <w:rPr>
          <w:rFonts w:ascii="Tahoma" w:hAnsi="Tahoma" w:cs="Tahoma"/>
          <w:sz w:val="20"/>
          <w:szCs w:val="20"/>
        </w:rPr>
        <w:t xml:space="preserve"> </w:t>
      </w:r>
      <w:r w:rsidRPr="00B004EE">
        <w:rPr>
          <w:rFonts w:ascii="Tahoma" w:hAnsi="Tahoma" w:cs="Tahoma"/>
          <w:sz w:val="20"/>
          <w:szCs w:val="20"/>
        </w:rPr>
        <w:t>jusqu'à</w:t>
      </w:r>
      <w:r w:rsidR="00DB1635" w:rsidRPr="00B004EE">
        <w:rPr>
          <w:rFonts w:ascii="Tahoma" w:hAnsi="Tahoma" w:cs="Tahoma"/>
          <w:sz w:val="20"/>
          <w:szCs w:val="20"/>
        </w:rPr>
        <w:t xml:space="preserve"> </w:t>
      </w:r>
      <w:r w:rsidRPr="00B004EE">
        <w:rPr>
          <w:rFonts w:ascii="Tahoma" w:hAnsi="Tahoma" w:cs="Tahoma"/>
          <w:sz w:val="20"/>
          <w:szCs w:val="20"/>
        </w:rPr>
        <w:t>quarante</w:t>
      </w:r>
      <w:r w:rsidR="00DB1635" w:rsidRPr="00B004EE">
        <w:rPr>
          <w:rFonts w:ascii="Tahoma" w:hAnsi="Tahoma" w:cs="Tahoma"/>
          <w:sz w:val="20"/>
          <w:szCs w:val="20"/>
        </w:rPr>
        <w:t xml:space="preserve"> </w:t>
      </w:r>
      <w:r w:rsidRPr="00B004EE">
        <w:rPr>
          <w:rFonts w:ascii="Tahoma" w:hAnsi="Tahoma" w:cs="Tahoma"/>
          <w:sz w:val="20"/>
          <w:szCs w:val="20"/>
        </w:rPr>
        <w:t>millions</w:t>
      </w:r>
      <w:r w:rsidR="00DB1635" w:rsidRPr="00B004EE">
        <w:rPr>
          <w:rFonts w:ascii="Tahoma" w:hAnsi="Tahoma" w:cs="Tahoma"/>
          <w:sz w:val="20"/>
          <w:szCs w:val="20"/>
        </w:rPr>
        <w:t xml:space="preserve"> </w:t>
      </w:r>
      <w:r w:rsidRPr="00B004EE">
        <w:rPr>
          <w:rFonts w:ascii="Tahoma" w:hAnsi="Tahoma" w:cs="Tahoma"/>
          <w:sz w:val="20"/>
          <w:szCs w:val="20"/>
        </w:rPr>
        <w:t>(40.000.000)</w:t>
      </w:r>
      <w:r w:rsidR="00DB1635" w:rsidRPr="00B004EE">
        <w:rPr>
          <w:rFonts w:ascii="Tahoma" w:hAnsi="Tahoma" w:cs="Tahoma"/>
          <w:sz w:val="20"/>
          <w:szCs w:val="20"/>
        </w:rPr>
        <w:t xml:space="preserve"> </w:t>
      </w:r>
      <w:r w:rsidRPr="00B004EE">
        <w:rPr>
          <w:rFonts w:ascii="Tahoma" w:hAnsi="Tahoma" w:cs="Tahoma"/>
          <w:sz w:val="20"/>
          <w:szCs w:val="20"/>
        </w:rPr>
        <w:t>ouguiya</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navires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d'un</w:t>
      </w:r>
      <w:r w:rsidR="00DB1635" w:rsidRPr="00B004EE">
        <w:rPr>
          <w:rFonts w:ascii="Tahoma" w:hAnsi="Tahoma" w:cs="Tahoma"/>
          <w:sz w:val="20"/>
          <w:szCs w:val="20"/>
        </w:rPr>
        <w:t xml:space="preserve"> </w:t>
      </w:r>
      <w:r w:rsidRPr="00B004EE">
        <w:rPr>
          <w:rFonts w:ascii="Tahoma" w:hAnsi="Tahoma" w:cs="Tahoma"/>
          <w:sz w:val="20"/>
          <w:szCs w:val="20"/>
        </w:rPr>
        <w:t>tonnage</w:t>
      </w:r>
      <w:r w:rsidR="00DB1635" w:rsidRPr="00B004EE">
        <w:rPr>
          <w:rFonts w:ascii="Tahoma" w:hAnsi="Tahoma" w:cs="Tahoma"/>
          <w:sz w:val="20"/>
          <w:szCs w:val="20"/>
        </w:rPr>
        <w:t xml:space="preserve"> </w:t>
      </w:r>
      <w:r w:rsidRPr="00B004EE">
        <w:rPr>
          <w:rFonts w:ascii="Tahoma" w:hAnsi="Tahoma" w:cs="Tahoma"/>
          <w:sz w:val="20"/>
          <w:szCs w:val="20"/>
        </w:rPr>
        <w:t>supérieur</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égal</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200</w:t>
      </w:r>
      <w:r w:rsidR="00DB1635" w:rsidRPr="00B004EE">
        <w:rPr>
          <w:rFonts w:ascii="Tahoma" w:hAnsi="Tahoma" w:cs="Tahoma"/>
          <w:sz w:val="20"/>
          <w:szCs w:val="20"/>
        </w:rPr>
        <w:t xml:space="preserve"> </w:t>
      </w:r>
      <w:r w:rsidRPr="00B004EE">
        <w:rPr>
          <w:rFonts w:ascii="Tahoma" w:hAnsi="Tahoma" w:cs="Tahoma"/>
          <w:sz w:val="20"/>
          <w:szCs w:val="20"/>
        </w:rPr>
        <w:t>GT,</w:t>
      </w:r>
      <w:r w:rsidR="00DB1635" w:rsidRPr="00B004EE">
        <w:rPr>
          <w:rFonts w:ascii="Tahoma" w:hAnsi="Tahoma" w:cs="Tahoma"/>
          <w:sz w:val="20"/>
          <w:szCs w:val="20"/>
        </w:rPr>
        <w:t xml:space="preserve"> </w:t>
      </w:r>
      <w:r w:rsidRPr="00B004EE">
        <w:rPr>
          <w:rFonts w:ascii="Tahoma" w:hAnsi="Tahoma" w:cs="Tahoma"/>
          <w:sz w:val="20"/>
          <w:szCs w:val="20"/>
        </w:rPr>
        <w:t>mais</w:t>
      </w:r>
      <w:r w:rsidR="00DB1635" w:rsidRPr="00B004EE">
        <w:rPr>
          <w:rFonts w:ascii="Tahoma" w:hAnsi="Tahoma" w:cs="Tahoma"/>
          <w:sz w:val="20"/>
          <w:szCs w:val="20"/>
        </w:rPr>
        <w:t xml:space="preserve"> </w:t>
      </w:r>
      <w:r w:rsidRPr="00B004EE">
        <w:rPr>
          <w:rFonts w:ascii="Tahoma" w:hAnsi="Tahoma" w:cs="Tahoma"/>
          <w:sz w:val="20"/>
          <w:szCs w:val="20"/>
        </w:rPr>
        <w:t>inférieur</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250</w:t>
      </w:r>
      <w:r w:rsidR="00DB1635" w:rsidRPr="00B004EE">
        <w:rPr>
          <w:rFonts w:ascii="Tahoma" w:hAnsi="Tahoma" w:cs="Tahoma"/>
          <w:sz w:val="20"/>
          <w:szCs w:val="20"/>
        </w:rPr>
        <w:t xml:space="preserve"> </w:t>
      </w:r>
      <w:r w:rsidRPr="00B004EE">
        <w:rPr>
          <w:rFonts w:ascii="Tahoma" w:hAnsi="Tahoma" w:cs="Tahoma"/>
          <w:sz w:val="20"/>
          <w:szCs w:val="20"/>
        </w:rPr>
        <w:t>GT.</w:t>
      </w:r>
    </w:p>
    <w:p w14:paraId="0ABA604C" w14:textId="281D6508" w:rsidR="008518B0" w:rsidRPr="00B004EE" w:rsidRDefault="008518B0" w:rsidP="00420DDA">
      <w:pPr>
        <w:pStyle w:val="numsousart"/>
        <w:numPr>
          <w:ilvl w:val="0"/>
          <w:numId w:val="71"/>
        </w:numPr>
        <w:spacing w:before="0"/>
        <w:rPr>
          <w:rFonts w:ascii="Tahoma" w:hAnsi="Tahoma" w:cs="Tahoma"/>
          <w:sz w:val="20"/>
          <w:szCs w:val="20"/>
        </w:rPr>
      </w:pPr>
      <w:proofErr w:type="gramStart"/>
      <w:r w:rsidRPr="00B004EE">
        <w:rPr>
          <w:rFonts w:ascii="Tahoma" w:hAnsi="Tahoma" w:cs="Tahoma"/>
          <w:sz w:val="20"/>
          <w:szCs w:val="20"/>
        </w:rPr>
        <w:lastRenderedPageBreak/>
        <w:t>de</w:t>
      </w:r>
      <w:proofErr w:type="gramEnd"/>
      <w:r w:rsidR="00DB1635" w:rsidRPr="00B004EE">
        <w:rPr>
          <w:rFonts w:ascii="Tahoma" w:hAnsi="Tahoma" w:cs="Tahoma"/>
          <w:sz w:val="20"/>
          <w:szCs w:val="20"/>
        </w:rPr>
        <w:t xml:space="preserve"> </w:t>
      </w:r>
      <w:r w:rsidRPr="00B004EE">
        <w:rPr>
          <w:rFonts w:ascii="Tahoma" w:hAnsi="Tahoma" w:cs="Tahoma"/>
          <w:sz w:val="20"/>
          <w:szCs w:val="20"/>
        </w:rPr>
        <w:t>vingt</w:t>
      </w:r>
      <w:r w:rsidR="00DB1635" w:rsidRPr="00B004EE">
        <w:rPr>
          <w:rFonts w:ascii="Tahoma" w:hAnsi="Tahoma" w:cs="Tahoma"/>
          <w:sz w:val="20"/>
          <w:szCs w:val="20"/>
        </w:rPr>
        <w:t xml:space="preserve"> </w:t>
      </w:r>
      <w:r w:rsidRPr="00B004EE">
        <w:rPr>
          <w:rFonts w:ascii="Tahoma" w:hAnsi="Tahoma" w:cs="Tahoma"/>
          <w:sz w:val="20"/>
          <w:szCs w:val="20"/>
        </w:rPr>
        <w:t>millions</w:t>
      </w:r>
      <w:r w:rsidR="00DB1635" w:rsidRPr="00B004EE">
        <w:rPr>
          <w:rFonts w:ascii="Tahoma" w:hAnsi="Tahoma" w:cs="Tahoma"/>
          <w:sz w:val="20"/>
          <w:szCs w:val="20"/>
        </w:rPr>
        <w:t xml:space="preserve"> </w:t>
      </w:r>
      <w:r w:rsidRPr="00B004EE">
        <w:rPr>
          <w:rFonts w:ascii="Tahoma" w:hAnsi="Tahoma" w:cs="Tahoma"/>
          <w:sz w:val="20"/>
          <w:szCs w:val="20"/>
        </w:rPr>
        <w:t>(20.000.000)</w:t>
      </w:r>
      <w:r w:rsidR="00DB1635" w:rsidRPr="00B004EE">
        <w:rPr>
          <w:rFonts w:ascii="Tahoma" w:hAnsi="Tahoma" w:cs="Tahoma"/>
          <w:sz w:val="20"/>
          <w:szCs w:val="20"/>
        </w:rPr>
        <w:t xml:space="preserve"> </w:t>
      </w:r>
      <w:r w:rsidRPr="00B004EE">
        <w:rPr>
          <w:rFonts w:ascii="Tahoma" w:hAnsi="Tahoma" w:cs="Tahoma"/>
          <w:sz w:val="20"/>
          <w:szCs w:val="20"/>
        </w:rPr>
        <w:t>ouguiya</w:t>
      </w:r>
      <w:r w:rsidR="00DB1635" w:rsidRPr="00B004EE">
        <w:rPr>
          <w:rFonts w:ascii="Tahoma" w:hAnsi="Tahoma" w:cs="Tahoma"/>
          <w:sz w:val="20"/>
          <w:szCs w:val="20"/>
        </w:rPr>
        <w:t xml:space="preserve"> </w:t>
      </w:r>
      <w:r w:rsidRPr="00B004EE">
        <w:rPr>
          <w:rFonts w:ascii="Tahoma" w:hAnsi="Tahoma" w:cs="Tahoma"/>
          <w:sz w:val="20"/>
          <w:szCs w:val="20"/>
        </w:rPr>
        <w:t>jusqu'à</w:t>
      </w:r>
      <w:r w:rsidR="00DB1635" w:rsidRPr="00B004EE">
        <w:rPr>
          <w:rFonts w:ascii="Tahoma" w:hAnsi="Tahoma" w:cs="Tahoma"/>
          <w:sz w:val="20"/>
          <w:szCs w:val="20"/>
        </w:rPr>
        <w:t xml:space="preserve"> </w:t>
      </w:r>
      <w:r w:rsidRPr="00B004EE">
        <w:rPr>
          <w:rFonts w:ascii="Tahoma" w:hAnsi="Tahoma" w:cs="Tahoma"/>
          <w:sz w:val="20"/>
          <w:szCs w:val="20"/>
        </w:rPr>
        <w:t>soixante</w:t>
      </w:r>
      <w:r w:rsidR="00DB1635" w:rsidRPr="00B004EE">
        <w:rPr>
          <w:rFonts w:ascii="Tahoma" w:hAnsi="Tahoma" w:cs="Tahoma"/>
          <w:sz w:val="20"/>
          <w:szCs w:val="20"/>
        </w:rPr>
        <w:t xml:space="preserve"> </w:t>
      </w:r>
      <w:r w:rsidRPr="00B004EE">
        <w:rPr>
          <w:rFonts w:ascii="Tahoma" w:hAnsi="Tahoma" w:cs="Tahoma"/>
          <w:sz w:val="20"/>
          <w:szCs w:val="20"/>
        </w:rPr>
        <w:t>millions</w:t>
      </w:r>
      <w:r w:rsidR="00DB1635" w:rsidRPr="00B004EE">
        <w:rPr>
          <w:rFonts w:ascii="Tahoma" w:hAnsi="Tahoma" w:cs="Tahoma"/>
          <w:sz w:val="20"/>
          <w:szCs w:val="20"/>
        </w:rPr>
        <w:t xml:space="preserve"> </w:t>
      </w:r>
      <w:r w:rsidRPr="00B004EE">
        <w:rPr>
          <w:rFonts w:ascii="Tahoma" w:hAnsi="Tahoma" w:cs="Tahoma"/>
          <w:sz w:val="20"/>
          <w:szCs w:val="20"/>
        </w:rPr>
        <w:t>(60.000.000)</w:t>
      </w:r>
      <w:r w:rsidR="00DB1635" w:rsidRPr="00B004EE">
        <w:rPr>
          <w:rFonts w:ascii="Tahoma" w:hAnsi="Tahoma" w:cs="Tahoma"/>
          <w:sz w:val="20"/>
          <w:szCs w:val="20"/>
        </w:rPr>
        <w:t xml:space="preserve"> </w:t>
      </w:r>
      <w:r w:rsidRPr="00B004EE">
        <w:rPr>
          <w:rFonts w:ascii="Tahoma" w:hAnsi="Tahoma" w:cs="Tahoma"/>
          <w:sz w:val="20"/>
          <w:szCs w:val="20"/>
        </w:rPr>
        <w:t>ouguiya</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navires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d'un</w:t>
      </w:r>
      <w:r w:rsidR="00DB1635" w:rsidRPr="00B004EE">
        <w:rPr>
          <w:rFonts w:ascii="Tahoma" w:hAnsi="Tahoma" w:cs="Tahoma"/>
          <w:sz w:val="20"/>
          <w:szCs w:val="20"/>
        </w:rPr>
        <w:t xml:space="preserve"> </w:t>
      </w:r>
      <w:r w:rsidRPr="00B004EE">
        <w:rPr>
          <w:rFonts w:ascii="Tahoma" w:hAnsi="Tahoma" w:cs="Tahoma"/>
          <w:sz w:val="20"/>
          <w:szCs w:val="20"/>
        </w:rPr>
        <w:t>tonnage</w:t>
      </w:r>
      <w:r w:rsidR="00DB1635" w:rsidRPr="00B004EE">
        <w:rPr>
          <w:rFonts w:ascii="Tahoma" w:hAnsi="Tahoma" w:cs="Tahoma"/>
          <w:sz w:val="20"/>
          <w:szCs w:val="20"/>
        </w:rPr>
        <w:t xml:space="preserve"> </w:t>
      </w:r>
      <w:r w:rsidRPr="00B004EE">
        <w:rPr>
          <w:rFonts w:ascii="Tahoma" w:hAnsi="Tahoma" w:cs="Tahoma"/>
          <w:sz w:val="20"/>
          <w:szCs w:val="20"/>
        </w:rPr>
        <w:t>supérieur</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égal</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250</w:t>
      </w:r>
      <w:r w:rsidR="00DB1635" w:rsidRPr="00B004EE">
        <w:rPr>
          <w:rFonts w:ascii="Tahoma" w:hAnsi="Tahoma" w:cs="Tahoma"/>
          <w:sz w:val="20"/>
          <w:szCs w:val="20"/>
        </w:rPr>
        <w:t xml:space="preserve"> </w:t>
      </w:r>
      <w:r w:rsidRPr="00B004EE">
        <w:rPr>
          <w:rFonts w:ascii="Tahoma" w:hAnsi="Tahoma" w:cs="Tahoma"/>
          <w:sz w:val="20"/>
          <w:szCs w:val="20"/>
        </w:rPr>
        <w:t>GT,</w:t>
      </w:r>
      <w:r w:rsidR="00DB1635" w:rsidRPr="00B004EE">
        <w:rPr>
          <w:rFonts w:ascii="Tahoma" w:hAnsi="Tahoma" w:cs="Tahoma"/>
          <w:sz w:val="20"/>
          <w:szCs w:val="20"/>
        </w:rPr>
        <w:t xml:space="preserve"> </w:t>
      </w:r>
      <w:r w:rsidRPr="00B004EE">
        <w:rPr>
          <w:rFonts w:ascii="Tahoma" w:hAnsi="Tahoma" w:cs="Tahoma"/>
          <w:sz w:val="20"/>
          <w:szCs w:val="20"/>
        </w:rPr>
        <w:t>mais</w:t>
      </w:r>
      <w:r w:rsidR="00DB1635" w:rsidRPr="00B004EE">
        <w:rPr>
          <w:rFonts w:ascii="Tahoma" w:hAnsi="Tahoma" w:cs="Tahoma"/>
          <w:sz w:val="20"/>
          <w:szCs w:val="20"/>
        </w:rPr>
        <w:t xml:space="preserve"> </w:t>
      </w:r>
      <w:r w:rsidRPr="00B004EE">
        <w:rPr>
          <w:rFonts w:ascii="Tahoma" w:hAnsi="Tahoma" w:cs="Tahoma"/>
          <w:sz w:val="20"/>
          <w:szCs w:val="20"/>
        </w:rPr>
        <w:t>inférieur</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350</w:t>
      </w:r>
      <w:r w:rsidR="00DB1635" w:rsidRPr="00B004EE">
        <w:rPr>
          <w:rFonts w:ascii="Tahoma" w:hAnsi="Tahoma" w:cs="Tahoma"/>
          <w:sz w:val="20"/>
          <w:szCs w:val="20"/>
        </w:rPr>
        <w:t xml:space="preserve"> </w:t>
      </w:r>
      <w:r w:rsidRPr="00B004EE">
        <w:rPr>
          <w:rFonts w:ascii="Tahoma" w:hAnsi="Tahoma" w:cs="Tahoma"/>
          <w:sz w:val="20"/>
          <w:szCs w:val="20"/>
        </w:rPr>
        <w:t>GT;</w:t>
      </w:r>
    </w:p>
    <w:p w14:paraId="2B0CE7CD" w14:textId="71C0E877" w:rsidR="008518B0" w:rsidRPr="00B004EE" w:rsidRDefault="008518B0" w:rsidP="00420DDA">
      <w:pPr>
        <w:pStyle w:val="numsousart"/>
        <w:numPr>
          <w:ilvl w:val="0"/>
          <w:numId w:val="71"/>
        </w:numPr>
        <w:spacing w:before="0"/>
        <w:rPr>
          <w:rFonts w:ascii="Tahoma" w:hAnsi="Tahoma" w:cs="Tahoma"/>
          <w:sz w:val="20"/>
          <w:szCs w:val="20"/>
        </w:rPr>
      </w:pPr>
      <w:proofErr w:type="gramStart"/>
      <w:r w:rsidRPr="00B004EE">
        <w:rPr>
          <w:rFonts w:ascii="Tahoma" w:hAnsi="Tahoma" w:cs="Tahoma"/>
          <w:sz w:val="20"/>
          <w:szCs w:val="20"/>
        </w:rPr>
        <w:t>de</w:t>
      </w:r>
      <w:proofErr w:type="gramEnd"/>
      <w:r w:rsidR="00DB1635" w:rsidRPr="00B004EE">
        <w:rPr>
          <w:rFonts w:ascii="Tahoma" w:hAnsi="Tahoma" w:cs="Tahoma"/>
          <w:sz w:val="20"/>
          <w:szCs w:val="20"/>
        </w:rPr>
        <w:t xml:space="preserve"> </w:t>
      </w:r>
      <w:r w:rsidR="00BD7C35" w:rsidRPr="00B004EE">
        <w:rPr>
          <w:rFonts w:ascii="Tahoma" w:hAnsi="Tahoma" w:cs="Tahoma"/>
          <w:sz w:val="20"/>
          <w:szCs w:val="20"/>
        </w:rPr>
        <w:t>vingt-cinq</w:t>
      </w:r>
      <w:r w:rsidR="00DB1635" w:rsidRPr="00B004EE">
        <w:rPr>
          <w:rFonts w:ascii="Tahoma" w:hAnsi="Tahoma" w:cs="Tahoma"/>
          <w:sz w:val="20"/>
          <w:szCs w:val="20"/>
        </w:rPr>
        <w:t xml:space="preserve"> </w:t>
      </w:r>
      <w:r w:rsidRPr="00B004EE">
        <w:rPr>
          <w:rFonts w:ascii="Tahoma" w:hAnsi="Tahoma" w:cs="Tahoma"/>
          <w:sz w:val="20"/>
          <w:szCs w:val="20"/>
        </w:rPr>
        <w:t>millions</w:t>
      </w:r>
      <w:r w:rsidR="00DB1635" w:rsidRPr="00B004EE">
        <w:rPr>
          <w:rFonts w:ascii="Tahoma" w:hAnsi="Tahoma" w:cs="Tahoma"/>
          <w:sz w:val="20"/>
          <w:szCs w:val="20"/>
        </w:rPr>
        <w:t xml:space="preserve"> </w:t>
      </w:r>
      <w:r w:rsidRPr="00B004EE">
        <w:rPr>
          <w:rFonts w:ascii="Tahoma" w:hAnsi="Tahoma" w:cs="Tahoma"/>
          <w:sz w:val="20"/>
          <w:szCs w:val="20"/>
        </w:rPr>
        <w:t>(25.000.000)</w:t>
      </w:r>
      <w:r w:rsidR="00DB1635" w:rsidRPr="00B004EE">
        <w:rPr>
          <w:rFonts w:ascii="Tahoma" w:hAnsi="Tahoma" w:cs="Tahoma"/>
          <w:sz w:val="20"/>
          <w:szCs w:val="20"/>
        </w:rPr>
        <w:t xml:space="preserve"> </w:t>
      </w:r>
      <w:r w:rsidRPr="00B004EE">
        <w:rPr>
          <w:rFonts w:ascii="Tahoma" w:hAnsi="Tahoma" w:cs="Tahoma"/>
          <w:sz w:val="20"/>
          <w:szCs w:val="20"/>
        </w:rPr>
        <w:t>ouguiya</w:t>
      </w:r>
      <w:r w:rsidR="00DB1635" w:rsidRPr="00B004EE">
        <w:rPr>
          <w:rFonts w:ascii="Tahoma" w:hAnsi="Tahoma" w:cs="Tahoma"/>
          <w:sz w:val="20"/>
          <w:szCs w:val="20"/>
        </w:rPr>
        <w:t xml:space="preserve"> </w:t>
      </w:r>
      <w:r w:rsidRPr="00B004EE">
        <w:rPr>
          <w:rFonts w:ascii="Tahoma" w:hAnsi="Tahoma" w:cs="Tahoma"/>
          <w:sz w:val="20"/>
          <w:szCs w:val="20"/>
        </w:rPr>
        <w:t>jusqu'à</w:t>
      </w:r>
      <w:r w:rsidR="00DB1635" w:rsidRPr="00B004EE">
        <w:rPr>
          <w:rFonts w:ascii="Tahoma" w:hAnsi="Tahoma" w:cs="Tahoma"/>
          <w:sz w:val="20"/>
          <w:szCs w:val="20"/>
        </w:rPr>
        <w:t xml:space="preserve"> </w:t>
      </w:r>
      <w:r w:rsidR="00BD7C35" w:rsidRPr="00B004EE">
        <w:rPr>
          <w:rFonts w:ascii="Tahoma" w:hAnsi="Tahoma" w:cs="Tahoma"/>
          <w:sz w:val="20"/>
          <w:szCs w:val="20"/>
        </w:rPr>
        <w:t>quatre-vingt</w:t>
      </w:r>
      <w:r w:rsidR="00DB1635" w:rsidRPr="00B004EE">
        <w:rPr>
          <w:rFonts w:ascii="Tahoma" w:hAnsi="Tahoma" w:cs="Tahoma"/>
          <w:sz w:val="20"/>
          <w:szCs w:val="20"/>
        </w:rPr>
        <w:t xml:space="preserve"> </w:t>
      </w:r>
      <w:r w:rsidRPr="00B004EE">
        <w:rPr>
          <w:rFonts w:ascii="Tahoma" w:hAnsi="Tahoma" w:cs="Tahoma"/>
          <w:sz w:val="20"/>
          <w:szCs w:val="20"/>
        </w:rPr>
        <w:t>millions</w:t>
      </w:r>
      <w:r w:rsidR="00DB1635" w:rsidRPr="00B004EE">
        <w:rPr>
          <w:rFonts w:ascii="Tahoma" w:hAnsi="Tahoma" w:cs="Tahoma"/>
          <w:sz w:val="20"/>
          <w:szCs w:val="20"/>
        </w:rPr>
        <w:t xml:space="preserve"> </w:t>
      </w:r>
      <w:r w:rsidRPr="00B004EE">
        <w:rPr>
          <w:rFonts w:ascii="Tahoma" w:hAnsi="Tahoma" w:cs="Tahoma"/>
          <w:sz w:val="20"/>
          <w:szCs w:val="20"/>
        </w:rPr>
        <w:t>(80.000.000)</w:t>
      </w:r>
      <w:r w:rsidR="00DB1635" w:rsidRPr="00B004EE">
        <w:rPr>
          <w:rFonts w:ascii="Tahoma" w:hAnsi="Tahoma" w:cs="Tahoma"/>
          <w:sz w:val="20"/>
          <w:szCs w:val="20"/>
        </w:rPr>
        <w:t xml:space="preserve"> </w:t>
      </w:r>
      <w:r w:rsidRPr="00B004EE">
        <w:rPr>
          <w:rFonts w:ascii="Tahoma" w:hAnsi="Tahoma" w:cs="Tahoma"/>
          <w:sz w:val="20"/>
          <w:szCs w:val="20"/>
        </w:rPr>
        <w:t>ouguiya</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navires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d'un</w:t>
      </w:r>
      <w:r w:rsidR="00DB1635" w:rsidRPr="00B004EE">
        <w:rPr>
          <w:rFonts w:ascii="Tahoma" w:hAnsi="Tahoma" w:cs="Tahoma"/>
          <w:sz w:val="20"/>
          <w:szCs w:val="20"/>
        </w:rPr>
        <w:t xml:space="preserve"> </w:t>
      </w:r>
      <w:r w:rsidRPr="00B004EE">
        <w:rPr>
          <w:rFonts w:ascii="Tahoma" w:hAnsi="Tahoma" w:cs="Tahoma"/>
          <w:sz w:val="20"/>
          <w:szCs w:val="20"/>
        </w:rPr>
        <w:t>tonnage</w:t>
      </w:r>
      <w:r w:rsidR="00DB1635" w:rsidRPr="00B004EE">
        <w:rPr>
          <w:rFonts w:ascii="Tahoma" w:hAnsi="Tahoma" w:cs="Tahoma"/>
          <w:sz w:val="20"/>
          <w:szCs w:val="20"/>
        </w:rPr>
        <w:t xml:space="preserve"> </w:t>
      </w:r>
      <w:r w:rsidRPr="00B004EE">
        <w:rPr>
          <w:rFonts w:ascii="Tahoma" w:hAnsi="Tahoma" w:cs="Tahoma"/>
          <w:sz w:val="20"/>
          <w:szCs w:val="20"/>
        </w:rPr>
        <w:t>supérieur</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égal</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350</w:t>
      </w:r>
      <w:r w:rsidR="00DB1635" w:rsidRPr="00B004EE">
        <w:rPr>
          <w:rFonts w:ascii="Tahoma" w:hAnsi="Tahoma" w:cs="Tahoma"/>
          <w:sz w:val="20"/>
          <w:szCs w:val="20"/>
        </w:rPr>
        <w:t xml:space="preserve"> </w:t>
      </w:r>
      <w:r w:rsidRPr="00B004EE">
        <w:rPr>
          <w:rFonts w:ascii="Tahoma" w:hAnsi="Tahoma" w:cs="Tahoma"/>
          <w:sz w:val="20"/>
          <w:szCs w:val="20"/>
        </w:rPr>
        <w:t>GT,</w:t>
      </w:r>
      <w:r w:rsidR="00DB1635" w:rsidRPr="00B004EE">
        <w:rPr>
          <w:rFonts w:ascii="Tahoma" w:hAnsi="Tahoma" w:cs="Tahoma"/>
          <w:sz w:val="20"/>
          <w:szCs w:val="20"/>
        </w:rPr>
        <w:t xml:space="preserve"> </w:t>
      </w:r>
      <w:r w:rsidRPr="00B004EE">
        <w:rPr>
          <w:rFonts w:ascii="Tahoma" w:hAnsi="Tahoma" w:cs="Tahoma"/>
          <w:sz w:val="20"/>
          <w:szCs w:val="20"/>
        </w:rPr>
        <w:t>mais</w:t>
      </w:r>
      <w:r w:rsidR="00DB1635" w:rsidRPr="00B004EE">
        <w:rPr>
          <w:rFonts w:ascii="Tahoma" w:hAnsi="Tahoma" w:cs="Tahoma"/>
          <w:sz w:val="20"/>
          <w:szCs w:val="20"/>
        </w:rPr>
        <w:t xml:space="preserve"> </w:t>
      </w:r>
      <w:r w:rsidRPr="00B004EE">
        <w:rPr>
          <w:rFonts w:ascii="Tahoma" w:hAnsi="Tahoma" w:cs="Tahoma"/>
          <w:sz w:val="20"/>
          <w:szCs w:val="20"/>
        </w:rPr>
        <w:t>inférieur</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600</w:t>
      </w:r>
      <w:r w:rsidR="00DB1635" w:rsidRPr="00B004EE">
        <w:rPr>
          <w:rFonts w:ascii="Tahoma" w:hAnsi="Tahoma" w:cs="Tahoma"/>
          <w:sz w:val="20"/>
          <w:szCs w:val="20"/>
        </w:rPr>
        <w:t xml:space="preserve"> </w:t>
      </w:r>
      <w:r w:rsidRPr="00B004EE">
        <w:rPr>
          <w:rFonts w:ascii="Tahoma" w:hAnsi="Tahoma" w:cs="Tahoma"/>
          <w:sz w:val="20"/>
          <w:szCs w:val="20"/>
        </w:rPr>
        <w:t>GT;</w:t>
      </w:r>
    </w:p>
    <w:p w14:paraId="2925730C" w14:textId="14549B71" w:rsidR="008518B0" w:rsidRPr="00B004EE" w:rsidRDefault="008518B0" w:rsidP="00420DDA">
      <w:pPr>
        <w:pStyle w:val="numsousart"/>
        <w:numPr>
          <w:ilvl w:val="0"/>
          <w:numId w:val="71"/>
        </w:numPr>
        <w:spacing w:before="0"/>
        <w:rPr>
          <w:rFonts w:ascii="Tahoma" w:hAnsi="Tahoma" w:cs="Tahoma"/>
          <w:sz w:val="20"/>
          <w:szCs w:val="20"/>
        </w:rPr>
      </w:pPr>
      <w:proofErr w:type="gramStart"/>
      <w:r w:rsidRPr="00B004EE">
        <w:rPr>
          <w:rFonts w:ascii="Tahoma" w:hAnsi="Tahoma" w:cs="Tahoma"/>
          <w:sz w:val="20"/>
          <w:szCs w:val="20"/>
        </w:rPr>
        <w:t>de</w:t>
      </w:r>
      <w:proofErr w:type="gramEnd"/>
      <w:r w:rsidR="00DB1635" w:rsidRPr="00B004EE">
        <w:rPr>
          <w:rFonts w:ascii="Tahoma" w:hAnsi="Tahoma" w:cs="Tahoma"/>
          <w:sz w:val="20"/>
          <w:szCs w:val="20"/>
        </w:rPr>
        <w:t xml:space="preserve"> </w:t>
      </w:r>
      <w:r w:rsidRPr="00B004EE">
        <w:rPr>
          <w:rFonts w:ascii="Tahoma" w:hAnsi="Tahoma" w:cs="Tahoma"/>
          <w:sz w:val="20"/>
          <w:szCs w:val="20"/>
        </w:rPr>
        <w:t>trente</w:t>
      </w:r>
      <w:r w:rsidR="00DB1635" w:rsidRPr="00B004EE">
        <w:rPr>
          <w:rFonts w:ascii="Tahoma" w:hAnsi="Tahoma" w:cs="Tahoma"/>
          <w:sz w:val="20"/>
          <w:szCs w:val="20"/>
        </w:rPr>
        <w:t xml:space="preserve"> </w:t>
      </w:r>
      <w:r w:rsidRPr="00B004EE">
        <w:rPr>
          <w:rFonts w:ascii="Tahoma" w:hAnsi="Tahoma" w:cs="Tahoma"/>
          <w:sz w:val="20"/>
          <w:szCs w:val="20"/>
        </w:rPr>
        <w:t>millions</w:t>
      </w:r>
      <w:r w:rsidR="00DB1635" w:rsidRPr="00B004EE">
        <w:rPr>
          <w:rFonts w:ascii="Tahoma" w:hAnsi="Tahoma" w:cs="Tahoma"/>
          <w:sz w:val="20"/>
          <w:szCs w:val="20"/>
        </w:rPr>
        <w:t xml:space="preserve"> </w:t>
      </w:r>
      <w:r w:rsidRPr="00B004EE">
        <w:rPr>
          <w:rFonts w:ascii="Tahoma" w:hAnsi="Tahoma" w:cs="Tahoma"/>
          <w:sz w:val="20"/>
          <w:szCs w:val="20"/>
        </w:rPr>
        <w:t>(30.000.000)</w:t>
      </w:r>
      <w:r w:rsidR="00DB1635" w:rsidRPr="00B004EE">
        <w:rPr>
          <w:rFonts w:ascii="Tahoma" w:hAnsi="Tahoma" w:cs="Tahoma"/>
          <w:sz w:val="20"/>
          <w:szCs w:val="20"/>
        </w:rPr>
        <w:t xml:space="preserve"> </w:t>
      </w:r>
      <w:r w:rsidRPr="00B004EE">
        <w:rPr>
          <w:rFonts w:ascii="Tahoma" w:hAnsi="Tahoma" w:cs="Tahoma"/>
          <w:sz w:val="20"/>
          <w:szCs w:val="20"/>
        </w:rPr>
        <w:t>ouguiya</w:t>
      </w:r>
      <w:r w:rsidR="00DB1635" w:rsidRPr="00B004EE">
        <w:rPr>
          <w:rFonts w:ascii="Tahoma" w:hAnsi="Tahoma" w:cs="Tahoma"/>
          <w:sz w:val="20"/>
          <w:szCs w:val="20"/>
        </w:rPr>
        <w:t xml:space="preserve"> </w:t>
      </w:r>
      <w:r w:rsidRPr="00B004EE">
        <w:rPr>
          <w:rFonts w:ascii="Tahoma" w:hAnsi="Tahoma" w:cs="Tahoma"/>
          <w:sz w:val="20"/>
          <w:szCs w:val="20"/>
        </w:rPr>
        <w:t>jusqu'à</w:t>
      </w:r>
      <w:r w:rsidR="00DB1635" w:rsidRPr="00B004EE">
        <w:rPr>
          <w:rFonts w:ascii="Tahoma" w:hAnsi="Tahoma" w:cs="Tahoma"/>
          <w:sz w:val="20"/>
          <w:szCs w:val="20"/>
        </w:rPr>
        <w:t xml:space="preserve"> </w:t>
      </w:r>
      <w:r w:rsidRPr="00B004EE">
        <w:rPr>
          <w:rFonts w:ascii="Tahoma" w:hAnsi="Tahoma" w:cs="Tahoma"/>
          <w:sz w:val="20"/>
          <w:szCs w:val="20"/>
        </w:rPr>
        <w:t>cent</w:t>
      </w:r>
      <w:r w:rsidR="00DB1635" w:rsidRPr="00B004EE">
        <w:rPr>
          <w:rFonts w:ascii="Tahoma" w:hAnsi="Tahoma" w:cs="Tahoma"/>
          <w:sz w:val="20"/>
          <w:szCs w:val="20"/>
        </w:rPr>
        <w:t xml:space="preserve"> </w:t>
      </w:r>
      <w:r w:rsidRPr="00B004EE">
        <w:rPr>
          <w:rFonts w:ascii="Tahoma" w:hAnsi="Tahoma" w:cs="Tahoma"/>
          <w:sz w:val="20"/>
          <w:szCs w:val="20"/>
        </w:rPr>
        <w:t>cinquante</w:t>
      </w:r>
      <w:r w:rsidR="00DB1635" w:rsidRPr="00B004EE">
        <w:rPr>
          <w:rFonts w:ascii="Tahoma" w:hAnsi="Tahoma" w:cs="Tahoma"/>
          <w:sz w:val="20"/>
          <w:szCs w:val="20"/>
        </w:rPr>
        <w:t xml:space="preserve"> </w:t>
      </w:r>
      <w:r w:rsidRPr="00B004EE">
        <w:rPr>
          <w:rFonts w:ascii="Tahoma" w:hAnsi="Tahoma" w:cs="Tahoma"/>
          <w:sz w:val="20"/>
          <w:szCs w:val="20"/>
        </w:rPr>
        <w:t>millions</w:t>
      </w:r>
      <w:r w:rsidR="00DB1635" w:rsidRPr="00B004EE">
        <w:rPr>
          <w:rFonts w:ascii="Tahoma" w:hAnsi="Tahoma" w:cs="Tahoma"/>
          <w:sz w:val="20"/>
          <w:szCs w:val="20"/>
        </w:rPr>
        <w:t xml:space="preserve"> </w:t>
      </w:r>
      <w:r w:rsidRPr="00B004EE">
        <w:rPr>
          <w:rFonts w:ascii="Tahoma" w:hAnsi="Tahoma" w:cs="Tahoma"/>
          <w:sz w:val="20"/>
          <w:szCs w:val="20"/>
        </w:rPr>
        <w:t>(150.000.000)</w:t>
      </w:r>
      <w:r w:rsidR="00DB1635" w:rsidRPr="00B004EE">
        <w:rPr>
          <w:rFonts w:ascii="Tahoma" w:hAnsi="Tahoma" w:cs="Tahoma"/>
          <w:sz w:val="20"/>
          <w:szCs w:val="20"/>
        </w:rPr>
        <w:t xml:space="preserve"> </w:t>
      </w:r>
      <w:r w:rsidRPr="00B004EE">
        <w:rPr>
          <w:rFonts w:ascii="Tahoma" w:hAnsi="Tahoma" w:cs="Tahoma"/>
          <w:sz w:val="20"/>
          <w:szCs w:val="20"/>
        </w:rPr>
        <w:t>ouguiya</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navires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d'un</w:t>
      </w:r>
      <w:r w:rsidR="00DB1635" w:rsidRPr="00B004EE">
        <w:rPr>
          <w:rFonts w:ascii="Tahoma" w:hAnsi="Tahoma" w:cs="Tahoma"/>
          <w:sz w:val="20"/>
          <w:szCs w:val="20"/>
        </w:rPr>
        <w:t xml:space="preserve"> </w:t>
      </w:r>
      <w:r w:rsidRPr="00B004EE">
        <w:rPr>
          <w:rFonts w:ascii="Tahoma" w:hAnsi="Tahoma" w:cs="Tahoma"/>
          <w:sz w:val="20"/>
          <w:szCs w:val="20"/>
        </w:rPr>
        <w:t>tonnage</w:t>
      </w:r>
      <w:r w:rsidR="00DB1635" w:rsidRPr="00B004EE">
        <w:rPr>
          <w:rFonts w:ascii="Tahoma" w:hAnsi="Tahoma" w:cs="Tahoma"/>
          <w:sz w:val="20"/>
          <w:szCs w:val="20"/>
        </w:rPr>
        <w:t xml:space="preserve"> </w:t>
      </w:r>
      <w:r w:rsidRPr="00B004EE">
        <w:rPr>
          <w:rFonts w:ascii="Tahoma" w:hAnsi="Tahoma" w:cs="Tahoma"/>
          <w:sz w:val="20"/>
          <w:szCs w:val="20"/>
        </w:rPr>
        <w:t>supérieur</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égal</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600</w:t>
      </w:r>
      <w:r w:rsidR="00DB1635" w:rsidRPr="00B004EE">
        <w:rPr>
          <w:rFonts w:ascii="Tahoma" w:hAnsi="Tahoma" w:cs="Tahoma"/>
          <w:sz w:val="20"/>
          <w:szCs w:val="20"/>
        </w:rPr>
        <w:t xml:space="preserve"> </w:t>
      </w:r>
      <w:r w:rsidRPr="00B004EE">
        <w:rPr>
          <w:rFonts w:ascii="Tahoma" w:hAnsi="Tahoma" w:cs="Tahoma"/>
          <w:sz w:val="20"/>
          <w:szCs w:val="20"/>
        </w:rPr>
        <w:t>GT.</w:t>
      </w:r>
    </w:p>
    <w:p w14:paraId="1CBB6974" w14:textId="77777777" w:rsidR="008518B0" w:rsidRPr="00B004EE" w:rsidRDefault="008518B0" w:rsidP="00B004EE">
      <w:pPr>
        <w:pStyle w:val="numsousart"/>
        <w:spacing w:before="0"/>
        <w:rPr>
          <w:rFonts w:ascii="Tahoma" w:hAnsi="Tahoma" w:cs="Tahoma"/>
          <w:sz w:val="20"/>
          <w:szCs w:val="20"/>
        </w:rPr>
      </w:pPr>
    </w:p>
    <w:p w14:paraId="5CC955AA" w14:textId="3A4AD914" w:rsidR="008518B0" w:rsidRPr="00B004EE" w:rsidRDefault="008518B0" w:rsidP="00B004EE">
      <w:pPr>
        <w:pStyle w:val="numsousart"/>
        <w:spacing w:before="0"/>
        <w:ind w:left="0" w:firstLine="0"/>
        <w:rPr>
          <w:rFonts w:ascii="Tahoma" w:hAnsi="Tahoma" w:cs="Tahoma"/>
          <w:sz w:val="20"/>
          <w:szCs w:val="20"/>
        </w:rPr>
      </w:pPr>
      <w:r w:rsidRPr="00B004EE">
        <w:rPr>
          <w:rFonts w:ascii="Tahoma" w:hAnsi="Tahoma" w:cs="Tahoma"/>
          <w:sz w:val="20"/>
          <w:szCs w:val="20"/>
        </w:rPr>
        <w:t>Article</w:t>
      </w:r>
      <w:r w:rsidR="00DB1635" w:rsidRPr="00B004EE">
        <w:rPr>
          <w:rFonts w:ascii="Tahoma" w:hAnsi="Tahoma" w:cs="Tahoma"/>
          <w:sz w:val="20"/>
          <w:szCs w:val="20"/>
        </w:rPr>
        <w:t xml:space="preserve"> </w:t>
      </w:r>
      <w:r w:rsidR="00566A20" w:rsidRPr="00B004EE">
        <w:rPr>
          <w:rFonts w:ascii="Tahoma" w:hAnsi="Tahoma" w:cs="Tahoma"/>
          <w:sz w:val="20"/>
          <w:szCs w:val="20"/>
        </w:rPr>
        <w:t>59 :</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amendes</w:t>
      </w:r>
      <w:r w:rsidR="00DB1635" w:rsidRPr="00B004EE">
        <w:rPr>
          <w:rFonts w:ascii="Tahoma" w:hAnsi="Tahoma" w:cs="Tahoma"/>
          <w:sz w:val="20"/>
          <w:szCs w:val="20"/>
        </w:rPr>
        <w:t xml:space="preserve"> </w:t>
      </w:r>
      <w:r w:rsidRPr="00B004EE">
        <w:rPr>
          <w:rFonts w:ascii="Tahoma" w:hAnsi="Tahoma" w:cs="Tahoma"/>
          <w:sz w:val="20"/>
          <w:szCs w:val="20"/>
        </w:rPr>
        <w:t>applicables</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auteurs</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infractions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graves</w:t>
      </w:r>
      <w:r w:rsidR="00DB1635" w:rsidRPr="00B004EE">
        <w:rPr>
          <w:rFonts w:ascii="Tahoma" w:hAnsi="Tahoma" w:cs="Tahoma"/>
          <w:sz w:val="20"/>
          <w:szCs w:val="20"/>
        </w:rPr>
        <w:t xml:space="preserve"> </w:t>
      </w:r>
      <w:r w:rsidRPr="00B004EE">
        <w:rPr>
          <w:rFonts w:ascii="Tahoma" w:hAnsi="Tahoma" w:cs="Tahoma"/>
          <w:sz w:val="20"/>
          <w:szCs w:val="20"/>
        </w:rPr>
        <w:t>seront</w:t>
      </w:r>
      <w:r w:rsidR="00DB1635" w:rsidRPr="00B004EE">
        <w:rPr>
          <w:rFonts w:ascii="Tahoma" w:hAnsi="Tahoma" w:cs="Tahoma"/>
          <w:sz w:val="20"/>
          <w:szCs w:val="20"/>
        </w:rPr>
        <w:t xml:space="preserve"> </w:t>
      </w:r>
      <w:r w:rsidRPr="00B004EE">
        <w:rPr>
          <w:rFonts w:ascii="Tahoma" w:hAnsi="Tahoma" w:cs="Tahoma"/>
          <w:sz w:val="20"/>
          <w:szCs w:val="20"/>
        </w:rPr>
        <w:t>ajustées,</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limites</w:t>
      </w:r>
      <w:r w:rsidR="00DB1635" w:rsidRPr="00B004EE">
        <w:rPr>
          <w:rFonts w:ascii="Tahoma" w:hAnsi="Tahoma" w:cs="Tahoma"/>
          <w:sz w:val="20"/>
          <w:szCs w:val="20"/>
        </w:rPr>
        <w:t xml:space="preserve"> </w:t>
      </w:r>
      <w:r w:rsidRPr="00B004EE">
        <w:rPr>
          <w:rFonts w:ascii="Tahoma" w:hAnsi="Tahoma" w:cs="Tahoma"/>
          <w:sz w:val="20"/>
          <w:szCs w:val="20"/>
        </w:rPr>
        <w:t>prévues</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loi</w:t>
      </w:r>
      <w:r w:rsidR="00DB1635" w:rsidRPr="00B004EE">
        <w:rPr>
          <w:rFonts w:ascii="Tahoma" w:hAnsi="Tahoma" w:cs="Tahoma"/>
          <w:sz w:val="20"/>
          <w:szCs w:val="20"/>
        </w:rPr>
        <w:t xml:space="preserve"> </w:t>
      </w:r>
      <w:r w:rsidRPr="00B004EE">
        <w:rPr>
          <w:rFonts w:ascii="Tahoma" w:hAnsi="Tahoma" w:cs="Tahoma"/>
          <w:sz w:val="20"/>
          <w:szCs w:val="20"/>
        </w:rPr>
        <w:t>n°017-2015</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29</w:t>
      </w:r>
      <w:r w:rsidR="00DB1635" w:rsidRPr="00B004EE">
        <w:rPr>
          <w:rFonts w:ascii="Tahoma" w:hAnsi="Tahoma" w:cs="Tahoma"/>
          <w:sz w:val="20"/>
          <w:szCs w:val="20"/>
        </w:rPr>
        <w:t xml:space="preserve"> </w:t>
      </w:r>
      <w:r w:rsidRPr="00B004EE">
        <w:rPr>
          <w:rFonts w:ascii="Tahoma" w:hAnsi="Tahoma" w:cs="Tahoma"/>
          <w:sz w:val="20"/>
          <w:szCs w:val="20"/>
        </w:rPr>
        <w:t>juillet</w:t>
      </w:r>
      <w:r w:rsidR="00DB1635" w:rsidRPr="00B004EE">
        <w:rPr>
          <w:rFonts w:ascii="Tahoma" w:hAnsi="Tahoma" w:cs="Tahoma"/>
          <w:sz w:val="20"/>
          <w:szCs w:val="20"/>
        </w:rPr>
        <w:t xml:space="preserve"> </w:t>
      </w:r>
      <w:r w:rsidRPr="00B004EE">
        <w:rPr>
          <w:rFonts w:ascii="Tahoma" w:hAnsi="Tahoma" w:cs="Tahoma"/>
          <w:sz w:val="20"/>
          <w:szCs w:val="20"/>
        </w:rPr>
        <w:t>2015</w:t>
      </w:r>
      <w:r w:rsidR="00DB1635" w:rsidRPr="00B004EE">
        <w:rPr>
          <w:rFonts w:ascii="Tahoma" w:hAnsi="Tahoma" w:cs="Tahoma"/>
          <w:sz w:val="20"/>
          <w:szCs w:val="20"/>
        </w:rPr>
        <w:t xml:space="preserve"> </w:t>
      </w:r>
      <w:r w:rsidRPr="00B004EE">
        <w:rPr>
          <w:rFonts w:ascii="Tahoma" w:hAnsi="Tahoma" w:cs="Tahoma"/>
          <w:sz w:val="20"/>
          <w:szCs w:val="20"/>
        </w:rPr>
        <w:t>portant</w:t>
      </w:r>
      <w:r w:rsidR="00DB1635" w:rsidRPr="00B004EE">
        <w:rPr>
          <w:rFonts w:ascii="Tahoma" w:hAnsi="Tahoma" w:cs="Tahoma"/>
          <w:sz w:val="20"/>
          <w:szCs w:val="20"/>
        </w:rPr>
        <w:t xml:space="preserve"> </w:t>
      </w:r>
      <w:r w:rsidRPr="00B004EE">
        <w:rPr>
          <w:rFonts w:ascii="Tahoma" w:hAnsi="Tahoma" w:cs="Tahoma"/>
          <w:sz w:val="20"/>
          <w:szCs w:val="20"/>
        </w:rPr>
        <w:t>Code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sz w:val="20"/>
          <w:szCs w:val="20"/>
        </w:rPr>
        <w:t xml:space="preserve"> </w:t>
      </w:r>
      <w:r w:rsidRPr="00B004EE">
        <w:rPr>
          <w:rFonts w:ascii="Tahoma" w:hAnsi="Tahoma" w:cs="Tahoma"/>
          <w:sz w:val="20"/>
          <w:szCs w:val="20"/>
        </w:rPr>
        <w:t>conformément</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indications</w:t>
      </w:r>
      <w:r w:rsidR="00DB1635" w:rsidRPr="00B004EE">
        <w:rPr>
          <w:rFonts w:ascii="Tahoma" w:hAnsi="Tahoma" w:cs="Tahoma"/>
          <w:sz w:val="20"/>
          <w:szCs w:val="20"/>
        </w:rPr>
        <w:t xml:space="preserve"> </w:t>
      </w:r>
      <w:r w:rsidRPr="00B004EE">
        <w:rPr>
          <w:rFonts w:ascii="Tahoma" w:hAnsi="Tahoma" w:cs="Tahoma"/>
          <w:sz w:val="20"/>
          <w:szCs w:val="20"/>
        </w:rPr>
        <w:t>suivantes</w:t>
      </w:r>
      <w:r w:rsidR="00DB1635" w:rsidRPr="00B004EE">
        <w:rPr>
          <w:rFonts w:ascii="Tahoma" w:hAnsi="Tahoma" w:cs="Tahoma"/>
          <w:sz w:val="20"/>
          <w:szCs w:val="20"/>
        </w:rPr>
        <w:t xml:space="preserve"> </w:t>
      </w:r>
      <w:r w:rsidRPr="00B004EE">
        <w:rPr>
          <w:rFonts w:ascii="Tahoma" w:hAnsi="Tahoma" w:cs="Tahoma"/>
          <w:sz w:val="20"/>
          <w:szCs w:val="20"/>
        </w:rPr>
        <w:t>:</w:t>
      </w:r>
    </w:p>
    <w:p w14:paraId="6C768841" w14:textId="77777777" w:rsidR="00A621C8" w:rsidRPr="00B004EE" w:rsidRDefault="00A621C8" w:rsidP="00B004EE">
      <w:pPr>
        <w:pStyle w:val="numsousart"/>
        <w:spacing w:before="0"/>
        <w:ind w:left="0" w:firstLine="0"/>
        <w:rPr>
          <w:rFonts w:ascii="Tahoma" w:hAnsi="Tahoma" w:cs="Tahoma"/>
          <w:sz w:val="20"/>
          <w:szCs w:val="20"/>
        </w:rPr>
      </w:pPr>
    </w:p>
    <w:p w14:paraId="32E84262" w14:textId="6D79F76A" w:rsidR="008518B0" w:rsidRPr="00B004EE" w:rsidRDefault="008518B0" w:rsidP="00420DDA">
      <w:pPr>
        <w:pStyle w:val="numsousart"/>
        <w:numPr>
          <w:ilvl w:val="0"/>
          <w:numId w:val="71"/>
        </w:numPr>
        <w:spacing w:before="0"/>
        <w:rPr>
          <w:rFonts w:ascii="Tahoma" w:hAnsi="Tahoma" w:cs="Tahoma"/>
          <w:sz w:val="20"/>
          <w:szCs w:val="20"/>
        </w:rPr>
      </w:pPr>
      <w:r w:rsidRPr="00B004EE">
        <w:rPr>
          <w:rFonts w:ascii="Tahoma" w:hAnsi="Tahoma" w:cs="Tahoma"/>
          <w:sz w:val="20"/>
          <w:szCs w:val="20"/>
        </w:rPr>
        <w:t>[</w:t>
      </w:r>
      <w:proofErr w:type="gramStart"/>
      <w:r w:rsidRPr="00B004EE">
        <w:rPr>
          <w:rFonts w:ascii="Tahoma" w:hAnsi="Tahoma" w:cs="Tahoma"/>
          <w:sz w:val="20"/>
          <w:szCs w:val="20"/>
        </w:rPr>
        <w:t>de</w:t>
      </w:r>
      <w:proofErr w:type="gramEnd"/>
      <w:r w:rsidR="00DB1635" w:rsidRPr="00B004EE">
        <w:rPr>
          <w:rFonts w:ascii="Tahoma" w:hAnsi="Tahoma" w:cs="Tahoma"/>
          <w:sz w:val="20"/>
          <w:szCs w:val="20"/>
        </w:rPr>
        <w:t xml:space="preserve"> </w:t>
      </w:r>
      <w:r w:rsidRPr="00B004EE">
        <w:rPr>
          <w:rFonts w:ascii="Tahoma" w:hAnsi="Tahoma" w:cs="Tahoma"/>
          <w:sz w:val="20"/>
          <w:szCs w:val="20"/>
        </w:rPr>
        <w:t>cinquante</w:t>
      </w:r>
      <w:r w:rsidR="00DB1635" w:rsidRPr="00B004EE">
        <w:rPr>
          <w:rFonts w:ascii="Tahoma" w:hAnsi="Tahoma" w:cs="Tahoma"/>
          <w:sz w:val="20"/>
          <w:szCs w:val="20"/>
        </w:rPr>
        <w:t xml:space="preserve"> </w:t>
      </w:r>
      <w:r w:rsidRPr="00B004EE">
        <w:rPr>
          <w:rFonts w:ascii="Tahoma" w:hAnsi="Tahoma" w:cs="Tahoma"/>
          <w:sz w:val="20"/>
          <w:szCs w:val="20"/>
        </w:rPr>
        <w:t>milles</w:t>
      </w:r>
      <w:r w:rsidR="00DB1635" w:rsidRPr="00B004EE">
        <w:rPr>
          <w:rFonts w:ascii="Tahoma" w:hAnsi="Tahoma" w:cs="Tahoma"/>
          <w:sz w:val="20"/>
          <w:szCs w:val="20"/>
        </w:rPr>
        <w:t xml:space="preserve"> </w:t>
      </w:r>
      <w:r w:rsidRPr="00B004EE">
        <w:rPr>
          <w:rFonts w:ascii="Tahoma" w:hAnsi="Tahoma" w:cs="Tahoma"/>
          <w:sz w:val="20"/>
          <w:szCs w:val="20"/>
        </w:rPr>
        <w:t>(50.000)</w:t>
      </w:r>
      <w:r w:rsidR="00DB1635" w:rsidRPr="00B004EE">
        <w:rPr>
          <w:rFonts w:ascii="Tahoma" w:hAnsi="Tahoma" w:cs="Tahoma"/>
          <w:sz w:val="20"/>
          <w:szCs w:val="20"/>
        </w:rPr>
        <w:t xml:space="preserve"> </w:t>
      </w:r>
      <w:r w:rsidRPr="00B004EE">
        <w:rPr>
          <w:rFonts w:ascii="Tahoma" w:hAnsi="Tahoma" w:cs="Tahoma"/>
          <w:sz w:val="20"/>
          <w:szCs w:val="20"/>
        </w:rPr>
        <w:t>ouguiya</w:t>
      </w:r>
      <w:r w:rsidR="00DB1635" w:rsidRPr="00B004EE">
        <w:rPr>
          <w:rFonts w:ascii="Tahoma" w:hAnsi="Tahoma" w:cs="Tahoma"/>
          <w:sz w:val="20"/>
          <w:szCs w:val="20"/>
        </w:rPr>
        <w:t xml:space="preserve"> </w:t>
      </w:r>
      <w:r w:rsidRPr="00B004EE">
        <w:rPr>
          <w:rFonts w:ascii="Tahoma" w:hAnsi="Tahoma" w:cs="Tahoma"/>
          <w:sz w:val="20"/>
          <w:szCs w:val="20"/>
        </w:rPr>
        <w:t>jusqu'à</w:t>
      </w:r>
      <w:r w:rsidR="00DB1635" w:rsidRPr="00B004EE">
        <w:rPr>
          <w:rFonts w:ascii="Tahoma" w:hAnsi="Tahoma" w:cs="Tahoma"/>
          <w:sz w:val="20"/>
          <w:szCs w:val="20"/>
        </w:rPr>
        <w:t xml:space="preserve"> </w:t>
      </w:r>
      <w:r w:rsidRPr="00B004EE">
        <w:rPr>
          <w:rFonts w:ascii="Tahoma" w:hAnsi="Tahoma" w:cs="Tahoma"/>
          <w:sz w:val="20"/>
          <w:szCs w:val="20"/>
        </w:rPr>
        <w:t>deux</w:t>
      </w:r>
      <w:r w:rsidR="00DB1635" w:rsidRPr="00B004EE">
        <w:rPr>
          <w:rFonts w:ascii="Tahoma" w:hAnsi="Tahoma" w:cs="Tahoma"/>
          <w:sz w:val="20"/>
          <w:szCs w:val="20"/>
        </w:rPr>
        <w:t xml:space="preserve"> </w:t>
      </w:r>
      <w:r w:rsidRPr="00B004EE">
        <w:rPr>
          <w:rFonts w:ascii="Tahoma" w:hAnsi="Tahoma" w:cs="Tahoma"/>
          <w:sz w:val="20"/>
          <w:szCs w:val="20"/>
        </w:rPr>
        <w:t>cent</w:t>
      </w:r>
      <w:r w:rsidR="00DB1635" w:rsidRPr="00B004EE">
        <w:rPr>
          <w:rFonts w:ascii="Tahoma" w:hAnsi="Tahoma" w:cs="Tahoma"/>
          <w:sz w:val="20"/>
          <w:szCs w:val="20"/>
        </w:rPr>
        <w:t xml:space="preserve"> </w:t>
      </w:r>
      <w:r w:rsidRPr="00B004EE">
        <w:rPr>
          <w:rFonts w:ascii="Tahoma" w:hAnsi="Tahoma" w:cs="Tahoma"/>
          <w:sz w:val="20"/>
          <w:szCs w:val="20"/>
        </w:rPr>
        <w:t>cinquante</w:t>
      </w:r>
      <w:r w:rsidR="00DB1635" w:rsidRPr="00B004EE">
        <w:rPr>
          <w:rFonts w:ascii="Tahoma" w:hAnsi="Tahoma" w:cs="Tahoma"/>
          <w:sz w:val="20"/>
          <w:szCs w:val="20"/>
        </w:rPr>
        <w:t xml:space="preserve"> </w:t>
      </w:r>
      <w:r w:rsidRPr="00B004EE">
        <w:rPr>
          <w:rFonts w:ascii="Tahoma" w:hAnsi="Tahoma" w:cs="Tahoma"/>
          <w:sz w:val="20"/>
          <w:szCs w:val="20"/>
        </w:rPr>
        <w:t>milles</w:t>
      </w:r>
      <w:r w:rsidR="00DB1635" w:rsidRPr="00B004EE">
        <w:rPr>
          <w:rFonts w:ascii="Tahoma" w:hAnsi="Tahoma" w:cs="Tahoma"/>
          <w:sz w:val="20"/>
          <w:szCs w:val="20"/>
        </w:rPr>
        <w:t xml:space="preserve"> </w:t>
      </w:r>
      <w:r w:rsidRPr="00B004EE">
        <w:rPr>
          <w:rFonts w:ascii="Tahoma" w:hAnsi="Tahoma" w:cs="Tahoma"/>
          <w:sz w:val="20"/>
          <w:szCs w:val="20"/>
        </w:rPr>
        <w:t>(250.000)</w:t>
      </w:r>
      <w:r w:rsidR="00DB1635" w:rsidRPr="00B004EE">
        <w:rPr>
          <w:rFonts w:ascii="Tahoma" w:hAnsi="Tahoma" w:cs="Tahoma"/>
          <w:sz w:val="20"/>
          <w:szCs w:val="20"/>
        </w:rPr>
        <w:t xml:space="preserve"> </w:t>
      </w:r>
      <w:r w:rsidRPr="00B004EE">
        <w:rPr>
          <w:rFonts w:ascii="Tahoma" w:hAnsi="Tahoma" w:cs="Tahoma"/>
          <w:sz w:val="20"/>
          <w:szCs w:val="20"/>
        </w:rPr>
        <w:t>ouguiya</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navires</w:t>
      </w:r>
      <w:r w:rsidR="00DB1635" w:rsidRPr="00B004EE">
        <w:rPr>
          <w:rFonts w:ascii="Tahoma" w:hAnsi="Tahoma" w:cs="Tahoma"/>
          <w:sz w:val="20"/>
          <w:szCs w:val="20"/>
        </w:rPr>
        <w:t xml:space="preserve"> </w:t>
      </w:r>
      <w:r w:rsidRPr="00B004EE">
        <w:rPr>
          <w:rFonts w:ascii="Tahoma" w:hAnsi="Tahoma" w:cs="Tahoma"/>
          <w:sz w:val="20"/>
          <w:szCs w:val="20"/>
        </w:rPr>
        <w:t>non</w:t>
      </w:r>
      <w:r w:rsidR="00DB1635" w:rsidRPr="00B004EE">
        <w:rPr>
          <w:rFonts w:ascii="Tahoma" w:hAnsi="Tahoma" w:cs="Tahoma"/>
          <w:sz w:val="20"/>
          <w:szCs w:val="20"/>
        </w:rPr>
        <w:t xml:space="preserve"> </w:t>
      </w:r>
      <w:r w:rsidRPr="00B004EE">
        <w:rPr>
          <w:rFonts w:ascii="Tahoma" w:hAnsi="Tahoma" w:cs="Tahoma"/>
          <w:sz w:val="20"/>
          <w:szCs w:val="20"/>
        </w:rPr>
        <w:t>pontés</w:t>
      </w:r>
      <w:r w:rsidR="00DB1635" w:rsidRPr="00B004EE">
        <w:rPr>
          <w:rFonts w:ascii="Tahoma" w:hAnsi="Tahoma" w:cs="Tahoma"/>
          <w:sz w:val="20"/>
          <w:szCs w:val="20"/>
        </w:rPr>
        <w:t xml:space="preserve"> </w:t>
      </w:r>
      <w:r w:rsidRPr="00B004EE">
        <w:rPr>
          <w:rFonts w:ascii="Tahoma" w:hAnsi="Tahoma" w:cs="Tahoma"/>
          <w:sz w:val="20"/>
          <w:szCs w:val="20"/>
        </w:rPr>
        <w:t>d’une</w:t>
      </w:r>
      <w:r w:rsidR="00DB1635" w:rsidRPr="00B004EE">
        <w:rPr>
          <w:rFonts w:ascii="Tahoma" w:hAnsi="Tahoma" w:cs="Tahoma"/>
          <w:sz w:val="20"/>
          <w:szCs w:val="20"/>
        </w:rPr>
        <w:t xml:space="preserve"> </w:t>
      </w:r>
      <w:r w:rsidRPr="00B004EE">
        <w:rPr>
          <w:rFonts w:ascii="Tahoma" w:hAnsi="Tahoma" w:cs="Tahoma"/>
          <w:sz w:val="20"/>
          <w:szCs w:val="20"/>
        </w:rPr>
        <w:t>longueur</w:t>
      </w:r>
      <w:r w:rsidR="00DB1635" w:rsidRPr="00B004EE">
        <w:rPr>
          <w:rFonts w:ascii="Tahoma" w:hAnsi="Tahoma" w:cs="Tahoma"/>
          <w:sz w:val="20"/>
          <w:szCs w:val="20"/>
        </w:rPr>
        <w:t xml:space="preserve"> </w:t>
      </w:r>
      <w:r w:rsidRPr="00B004EE">
        <w:rPr>
          <w:rFonts w:ascii="Tahoma" w:hAnsi="Tahoma" w:cs="Tahoma"/>
          <w:sz w:val="20"/>
          <w:szCs w:val="20"/>
        </w:rPr>
        <w:t>inférieure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14</w:t>
      </w:r>
      <w:r w:rsidR="00DB1635" w:rsidRPr="00B004EE">
        <w:rPr>
          <w:rFonts w:ascii="Tahoma" w:hAnsi="Tahoma" w:cs="Tahoma"/>
          <w:sz w:val="20"/>
          <w:szCs w:val="20"/>
        </w:rPr>
        <w:t xml:space="preserve"> </w:t>
      </w:r>
      <w:r w:rsidRPr="00B004EE">
        <w:rPr>
          <w:rFonts w:ascii="Tahoma" w:hAnsi="Tahoma" w:cs="Tahoma"/>
          <w:sz w:val="20"/>
          <w:szCs w:val="20"/>
        </w:rPr>
        <w:t>mètres</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p>
    <w:p w14:paraId="13478B76" w14:textId="398E8880" w:rsidR="008518B0" w:rsidRPr="00B004EE" w:rsidRDefault="008518B0" w:rsidP="00420DDA">
      <w:pPr>
        <w:pStyle w:val="numsousart"/>
        <w:numPr>
          <w:ilvl w:val="0"/>
          <w:numId w:val="71"/>
        </w:numPr>
        <w:spacing w:before="0"/>
        <w:rPr>
          <w:rFonts w:ascii="Tahoma" w:hAnsi="Tahoma" w:cs="Tahoma"/>
          <w:sz w:val="20"/>
          <w:szCs w:val="20"/>
        </w:rPr>
      </w:pPr>
      <w:proofErr w:type="gramStart"/>
      <w:r w:rsidRPr="00B004EE">
        <w:rPr>
          <w:rFonts w:ascii="Tahoma" w:hAnsi="Tahoma" w:cs="Tahoma"/>
          <w:sz w:val="20"/>
          <w:szCs w:val="20"/>
        </w:rPr>
        <w:t>de</w:t>
      </w:r>
      <w:proofErr w:type="gramEnd"/>
      <w:r w:rsidR="00DB1635" w:rsidRPr="00B004EE">
        <w:rPr>
          <w:rFonts w:ascii="Tahoma" w:hAnsi="Tahoma" w:cs="Tahoma"/>
          <w:sz w:val="20"/>
          <w:szCs w:val="20"/>
        </w:rPr>
        <w:t xml:space="preserve"> </w:t>
      </w:r>
      <w:r w:rsidRPr="00B004EE">
        <w:rPr>
          <w:rFonts w:ascii="Tahoma" w:hAnsi="Tahoma" w:cs="Tahoma"/>
          <w:sz w:val="20"/>
          <w:szCs w:val="20"/>
        </w:rPr>
        <w:t>cent</w:t>
      </w:r>
      <w:r w:rsidR="00DB1635" w:rsidRPr="00B004EE">
        <w:rPr>
          <w:rFonts w:ascii="Tahoma" w:hAnsi="Tahoma" w:cs="Tahoma"/>
          <w:sz w:val="20"/>
          <w:szCs w:val="20"/>
        </w:rPr>
        <w:t xml:space="preserve"> </w:t>
      </w:r>
      <w:r w:rsidRPr="00B004EE">
        <w:rPr>
          <w:rFonts w:ascii="Tahoma" w:hAnsi="Tahoma" w:cs="Tahoma"/>
          <w:sz w:val="20"/>
          <w:szCs w:val="20"/>
        </w:rPr>
        <w:t>milles</w:t>
      </w:r>
      <w:r w:rsidR="00DB1635" w:rsidRPr="00B004EE">
        <w:rPr>
          <w:rFonts w:ascii="Tahoma" w:hAnsi="Tahoma" w:cs="Tahoma"/>
          <w:sz w:val="20"/>
          <w:szCs w:val="20"/>
        </w:rPr>
        <w:t xml:space="preserve"> </w:t>
      </w:r>
      <w:r w:rsidRPr="00B004EE">
        <w:rPr>
          <w:rFonts w:ascii="Tahoma" w:hAnsi="Tahoma" w:cs="Tahoma"/>
          <w:sz w:val="20"/>
          <w:szCs w:val="20"/>
        </w:rPr>
        <w:t>(100.000)</w:t>
      </w:r>
      <w:r w:rsidR="00DB1635" w:rsidRPr="00B004EE">
        <w:rPr>
          <w:rFonts w:ascii="Tahoma" w:hAnsi="Tahoma" w:cs="Tahoma"/>
          <w:sz w:val="20"/>
          <w:szCs w:val="20"/>
        </w:rPr>
        <w:t xml:space="preserve"> </w:t>
      </w:r>
      <w:r w:rsidRPr="00B004EE">
        <w:rPr>
          <w:rFonts w:ascii="Tahoma" w:hAnsi="Tahoma" w:cs="Tahoma"/>
          <w:sz w:val="20"/>
          <w:szCs w:val="20"/>
        </w:rPr>
        <w:t>ouguiya</w:t>
      </w:r>
      <w:r w:rsidR="00DB1635" w:rsidRPr="00B004EE">
        <w:rPr>
          <w:rFonts w:ascii="Tahoma" w:hAnsi="Tahoma" w:cs="Tahoma"/>
          <w:sz w:val="20"/>
          <w:szCs w:val="20"/>
        </w:rPr>
        <w:t xml:space="preserve"> </w:t>
      </w:r>
      <w:r w:rsidRPr="00B004EE">
        <w:rPr>
          <w:rFonts w:ascii="Tahoma" w:hAnsi="Tahoma" w:cs="Tahoma"/>
          <w:sz w:val="20"/>
          <w:szCs w:val="20"/>
        </w:rPr>
        <w:t>jusqu'à</w:t>
      </w:r>
      <w:r w:rsidR="00DB1635" w:rsidRPr="00B004EE">
        <w:rPr>
          <w:rFonts w:ascii="Tahoma" w:hAnsi="Tahoma" w:cs="Tahoma"/>
          <w:sz w:val="20"/>
          <w:szCs w:val="20"/>
        </w:rPr>
        <w:t xml:space="preserve"> </w:t>
      </w:r>
      <w:r w:rsidRPr="00B004EE">
        <w:rPr>
          <w:rFonts w:ascii="Tahoma" w:hAnsi="Tahoma" w:cs="Tahoma"/>
          <w:sz w:val="20"/>
          <w:szCs w:val="20"/>
        </w:rPr>
        <w:t>cinq</w:t>
      </w:r>
      <w:r w:rsidR="00DB1635" w:rsidRPr="00B004EE">
        <w:rPr>
          <w:rFonts w:ascii="Tahoma" w:hAnsi="Tahoma" w:cs="Tahoma"/>
          <w:sz w:val="20"/>
          <w:szCs w:val="20"/>
        </w:rPr>
        <w:t xml:space="preserve"> </w:t>
      </w:r>
      <w:r w:rsidRPr="00B004EE">
        <w:rPr>
          <w:rFonts w:ascii="Tahoma" w:hAnsi="Tahoma" w:cs="Tahoma"/>
          <w:sz w:val="20"/>
          <w:szCs w:val="20"/>
        </w:rPr>
        <w:t>cent</w:t>
      </w:r>
      <w:r w:rsidR="00DB1635" w:rsidRPr="00B004EE">
        <w:rPr>
          <w:rFonts w:ascii="Tahoma" w:hAnsi="Tahoma" w:cs="Tahoma"/>
          <w:sz w:val="20"/>
          <w:szCs w:val="20"/>
        </w:rPr>
        <w:t xml:space="preserve"> </w:t>
      </w:r>
      <w:r w:rsidRPr="00B004EE">
        <w:rPr>
          <w:rFonts w:ascii="Tahoma" w:hAnsi="Tahoma" w:cs="Tahoma"/>
          <w:sz w:val="20"/>
          <w:szCs w:val="20"/>
        </w:rPr>
        <w:t>milles</w:t>
      </w:r>
      <w:r w:rsidR="00DB1635" w:rsidRPr="00B004EE">
        <w:rPr>
          <w:rFonts w:ascii="Tahoma" w:hAnsi="Tahoma" w:cs="Tahoma"/>
          <w:sz w:val="20"/>
          <w:szCs w:val="20"/>
        </w:rPr>
        <w:t xml:space="preserve"> </w:t>
      </w:r>
      <w:r w:rsidRPr="00B004EE">
        <w:rPr>
          <w:rFonts w:ascii="Tahoma" w:hAnsi="Tahoma" w:cs="Tahoma"/>
          <w:sz w:val="20"/>
          <w:szCs w:val="20"/>
        </w:rPr>
        <w:t>(500.000)</w:t>
      </w:r>
      <w:r w:rsidR="00DB1635" w:rsidRPr="00B004EE">
        <w:rPr>
          <w:rFonts w:ascii="Tahoma" w:hAnsi="Tahoma" w:cs="Tahoma"/>
          <w:sz w:val="20"/>
          <w:szCs w:val="20"/>
        </w:rPr>
        <w:t xml:space="preserve"> </w:t>
      </w:r>
      <w:r w:rsidRPr="00B004EE">
        <w:rPr>
          <w:rFonts w:ascii="Tahoma" w:hAnsi="Tahoma" w:cs="Tahoma"/>
          <w:sz w:val="20"/>
          <w:szCs w:val="20"/>
        </w:rPr>
        <w:t>ouguiya</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navires</w:t>
      </w:r>
      <w:r w:rsidR="00DB1635" w:rsidRPr="00B004EE">
        <w:rPr>
          <w:rFonts w:ascii="Tahoma" w:hAnsi="Tahoma" w:cs="Tahoma"/>
          <w:sz w:val="20"/>
          <w:szCs w:val="20"/>
        </w:rPr>
        <w:t xml:space="preserve"> </w:t>
      </w:r>
      <w:r w:rsidRPr="00B004EE">
        <w:rPr>
          <w:rFonts w:ascii="Tahoma" w:hAnsi="Tahoma" w:cs="Tahoma"/>
          <w:sz w:val="20"/>
          <w:szCs w:val="20"/>
        </w:rPr>
        <w:t>non</w:t>
      </w:r>
      <w:r w:rsidR="00DB1635" w:rsidRPr="00B004EE">
        <w:rPr>
          <w:rFonts w:ascii="Tahoma" w:hAnsi="Tahoma" w:cs="Tahoma"/>
          <w:sz w:val="20"/>
          <w:szCs w:val="20"/>
        </w:rPr>
        <w:t xml:space="preserve"> </w:t>
      </w:r>
      <w:r w:rsidRPr="00B004EE">
        <w:rPr>
          <w:rFonts w:ascii="Tahoma" w:hAnsi="Tahoma" w:cs="Tahoma"/>
          <w:sz w:val="20"/>
          <w:szCs w:val="20"/>
        </w:rPr>
        <w:t>pontés</w:t>
      </w:r>
      <w:r w:rsidR="00DB1635" w:rsidRPr="00B004EE">
        <w:rPr>
          <w:rFonts w:ascii="Tahoma" w:hAnsi="Tahoma" w:cs="Tahoma"/>
          <w:sz w:val="20"/>
          <w:szCs w:val="20"/>
        </w:rPr>
        <w:t xml:space="preserve"> </w:t>
      </w:r>
      <w:r w:rsidRPr="00B004EE">
        <w:rPr>
          <w:rFonts w:ascii="Tahoma" w:hAnsi="Tahoma" w:cs="Tahoma"/>
          <w:sz w:val="20"/>
          <w:szCs w:val="20"/>
        </w:rPr>
        <w:t>d’une</w:t>
      </w:r>
      <w:r w:rsidR="00DB1635" w:rsidRPr="00B004EE">
        <w:rPr>
          <w:rFonts w:ascii="Tahoma" w:hAnsi="Tahoma" w:cs="Tahoma"/>
          <w:sz w:val="20"/>
          <w:szCs w:val="20"/>
        </w:rPr>
        <w:t xml:space="preserve"> </w:t>
      </w:r>
      <w:r w:rsidRPr="00B004EE">
        <w:rPr>
          <w:rFonts w:ascii="Tahoma" w:hAnsi="Tahoma" w:cs="Tahoma"/>
          <w:sz w:val="20"/>
          <w:szCs w:val="20"/>
        </w:rPr>
        <w:t>longueur</w:t>
      </w:r>
      <w:r w:rsidR="00DB1635" w:rsidRPr="00B004EE">
        <w:rPr>
          <w:rFonts w:ascii="Tahoma" w:hAnsi="Tahoma" w:cs="Tahoma"/>
          <w:sz w:val="20"/>
          <w:szCs w:val="20"/>
        </w:rPr>
        <w:t xml:space="preserve"> </w:t>
      </w:r>
      <w:r w:rsidRPr="00B004EE">
        <w:rPr>
          <w:rFonts w:ascii="Tahoma" w:hAnsi="Tahoma" w:cs="Tahoma"/>
          <w:sz w:val="20"/>
          <w:szCs w:val="20"/>
        </w:rPr>
        <w:t>égale</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supérieure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14</w:t>
      </w:r>
      <w:r w:rsidR="00DB1635" w:rsidRPr="00B004EE">
        <w:rPr>
          <w:rFonts w:ascii="Tahoma" w:hAnsi="Tahoma" w:cs="Tahoma"/>
          <w:sz w:val="20"/>
          <w:szCs w:val="20"/>
        </w:rPr>
        <w:t xml:space="preserve"> </w:t>
      </w:r>
      <w:r w:rsidRPr="00B004EE">
        <w:rPr>
          <w:rFonts w:ascii="Tahoma" w:hAnsi="Tahoma" w:cs="Tahoma"/>
          <w:sz w:val="20"/>
          <w:szCs w:val="20"/>
        </w:rPr>
        <w:t>mètres;</w:t>
      </w:r>
    </w:p>
    <w:p w14:paraId="3ABDE9E3" w14:textId="4A78DB0D" w:rsidR="008518B0" w:rsidRPr="00B004EE" w:rsidRDefault="008518B0" w:rsidP="00420DDA">
      <w:pPr>
        <w:pStyle w:val="numsousart"/>
        <w:numPr>
          <w:ilvl w:val="0"/>
          <w:numId w:val="71"/>
        </w:numPr>
        <w:spacing w:before="0"/>
        <w:rPr>
          <w:rFonts w:ascii="Tahoma" w:hAnsi="Tahoma" w:cs="Tahoma"/>
          <w:sz w:val="20"/>
          <w:szCs w:val="20"/>
        </w:rPr>
      </w:pPr>
      <w:proofErr w:type="gramStart"/>
      <w:r w:rsidRPr="00B004EE">
        <w:rPr>
          <w:rFonts w:ascii="Tahoma" w:hAnsi="Tahoma" w:cs="Tahoma"/>
          <w:sz w:val="20"/>
          <w:szCs w:val="20"/>
        </w:rPr>
        <w:t>de</w:t>
      </w:r>
      <w:proofErr w:type="gramEnd"/>
      <w:r w:rsidR="00DB1635" w:rsidRPr="00B004EE">
        <w:rPr>
          <w:rFonts w:ascii="Tahoma" w:hAnsi="Tahoma" w:cs="Tahoma"/>
          <w:sz w:val="20"/>
          <w:szCs w:val="20"/>
        </w:rPr>
        <w:t xml:space="preserve"> </w:t>
      </w:r>
      <w:r w:rsidRPr="00B004EE">
        <w:rPr>
          <w:rFonts w:ascii="Tahoma" w:hAnsi="Tahoma" w:cs="Tahoma"/>
          <w:sz w:val="20"/>
          <w:szCs w:val="20"/>
        </w:rPr>
        <w:t>quatre</w:t>
      </w:r>
      <w:r w:rsidR="00DB1635" w:rsidRPr="00B004EE">
        <w:rPr>
          <w:rFonts w:ascii="Tahoma" w:hAnsi="Tahoma" w:cs="Tahoma"/>
          <w:sz w:val="20"/>
          <w:szCs w:val="20"/>
        </w:rPr>
        <w:t xml:space="preserve"> </w:t>
      </w:r>
      <w:r w:rsidRPr="00B004EE">
        <w:rPr>
          <w:rFonts w:ascii="Tahoma" w:hAnsi="Tahoma" w:cs="Tahoma"/>
          <w:sz w:val="20"/>
          <w:szCs w:val="20"/>
        </w:rPr>
        <w:t>cent</w:t>
      </w:r>
      <w:r w:rsidR="00DB1635" w:rsidRPr="00B004EE">
        <w:rPr>
          <w:rFonts w:ascii="Tahoma" w:hAnsi="Tahoma" w:cs="Tahoma"/>
          <w:sz w:val="20"/>
          <w:szCs w:val="20"/>
        </w:rPr>
        <w:t xml:space="preserve"> </w:t>
      </w:r>
      <w:r w:rsidRPr="00B004EE">
        <w:rPr>
          <w:rFonts w:ascii="Tahoma" w:hAnsi="Tahoma" w:cs="Tahoma"/>
          <w:sz w:val="20"/>
          <w:szCs w:val="20"/>
        </w:rPr>
        <w:t>mille</w:t>
      </w:r>
      <w:r w:rsidR="00DB1635" w:rsidRPr="00B004EE">
        <w:rPr>
          <w:rFonts w:ascii="Tahoma" w:hAnsi="Tahoma" w:cs="Tahoma"/>
          <w:sz w:val="20"/>
          <w:szCs w:val="20"/>
        </w:rPr>
        <w:t xml:space="preserve"> </w:t>
      </w:r>
      <w:r w:rsidRPr="00B004EE">
        <w:rPr>
          <w:rFonts w:ascii="Tahoma" w:hAnsi="Tahoma" w:cs="Tahoma"/>
          <w:sz w:val="20"/>
          <w:szCs w:val="20"/>
        </w:rPr>
        <w:t>(400.000)</w:t>
      </w:r>
      <w:r w:rsidR="00DB1635" w:rsidRPr="00B004EE">
        <w:rPr>
          <w:rFonts w:ascii="Tahoma" w:hAnsi="Tahoma" w:cs="Tahoma"/>
          <w:sz w:val="20"/>
          <w:szCs w:val="20"/>
        </w:rPr>
        <w:t xml:space="preserve"> </w:t>
      </w:r>
      <w:r w:rsidRPr="00B004EE">
        <w:rPr>
          <w:rFonts w:ascii="Tahoma" w:hAnsi="Tahoma" w:cs="Tahoma"/>
          <w:sz w:val="20"/>
          <w:szCs w:val="20"/>
        </w:rPr>
        <w:t>ouguiya</w:t>
      </w:r>
      <w:r w:rsidR="00DB1635" w:rsidRPr="00B004EE">
        <w:rPr>
          <w:rFonts w:ascii="Tahoma" w:hAnsi="Tahoma" w:cs="Tahoma"/>
          <w:sz w:val="20"/>
          <w:szCs w:val="20"/>
        </w:rPr>
        <w:t xml:space="preserve"> </w:t>
      </w:r>
      <w:r w:rsidRPr="00B004EE">
        <w:rPr>
          <w:rFonts w:ascii="Tahoma" w:hAnsi="Tahoma" w:cs="Tahoma"/>
          <w:sz w:val="20"/>
          <w:szCs w:val="20"/>
        </w:rPr>
        <w:t>jusqu'à</w:t>
      </w:r>
      <w:r w:rsidR="00DB1635" w:rsidRPr="00B004EE">
        <w:rPr>
          <w:rFonts w:ascii="Tahoma" w:hAnsi="Tahoma" w:cs="Tahoma"/>
          <w:sz w:val="20"/>
          <w:szCs w:val="20"/>
        </w:rPr>
        <w:t xml:space="preserve"> </w:t>
      </w:r>
      <w:r w:rsidRPr="00B004EE">
        <w:rPr>
          <w:rFonts w:ascii="Tahoma" w:hAnsi="Tahoma" w:cs="Tahoma"/>
          <w:sz w:val="20"/>
          <w:szCs w:val="20"/>
        </w:rPr>
        <w:t>deux</w:t>
      </w:r>
      <w:r w:rsidR="00DB1635" w:rsidRPr="00B004EE">
        <w:rPr>
          <w:rFonts w:ascii="Tahoma" w:hAnsi="Tahoma" w:cs="Tahoma"/>
          <w:sz w:val="20"/>
          <w:szCs w:val="20"/>
        </w:rPr>
        <w:t xml:space="preserve"> </w:t>
      </w:r>
      <w:r w:rsidRPr="00B004EE">
        <w:rPr>
          <w:rFonts w:ascii="Tahoma" w:hAnsi="Tahoma" w:cs="Tahoma"/>
          <w:sz w:val="20"/>
          <w:szCs w:val="20"/>
        </w:rPr>
        <w:t>millions</w:t>
      </w:r>
      <w:r w:rsidR="00DB1635" w:rsidRPr="00B004EE">
        <w:rPr>
          <w:rFonts w:ascii="Tahoma" w:hAnsi="Tahoma" w:cs="Tahoma"/>
          <w:sz w:val="20"/>
          <w:szCs w:val="20"/>
        </w:rPr>
        <w:t xml:space="preserve"> </w:t>
      </w:r>
      <w:r w:rsidRPr="00B004EE">
        <w:rPr>
          <w:rFonts w:ascii="Tahoma" w:hAnsi="Tahoma" w:cs="Tahoma"/>
          <w:sz w:val="20"/>
          <w:szCs w:val="20"/>
        </w:rPr>
        <w:t>(2.000.000)</w:t>
      </w:r>
      <w:r w:rsidR="00DB1635" w:rsidRPr="00B004EE">
        <w:rPr>
          <w:rFonts w:ascii="Tahoma" w:hAnsi="Tahoma" w:cs="Tahoma"/>
          <w:sz w:val="20"/>
          <w:szCs w:val="20"/>
        </w:rPr>
        <w:t xml:space="preserve"> </w:t>
      </w:r>
      <w:r w:rsidRPr="00B004EE">
        <w:rPr>
          <w:rFonts w:ascii="Tahoma" w:hAnsi="Tahoma" w:cs="Tahoma"/>
          <w:sz w:val="20"/>
          <w:szCs w:val="20"/>
        </w:rPr>
        <w:t>d’ouguiya</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navires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d’un</w:t>
      </w:r>
      <w:r w:rsidR="00DB1635" w:rsidRPr="00B004EE">
        <w:rPr>
          <w:rFonts w:ascii="Tahoma" w:hAnsi="Tahoma" w:cs="Tahoma"/>
          <w:sz w:val="20"/>
          <w:szCs w:val="20"/>
        </w:rPr>
        <w:t xml:space="preserve"> </w:t>
      </w:r>
      <w:r w:rsidRPr="00B004EE">
        <w:rPr>
          <w:rFonts w:ascii="Tahoma" w:hAnsi="Tahoma" w:cs="Tahoma"/>
          <w:sz w:val="20"/>
          <w:szCs w:val="20"/>
        </w:rPr>
        <w:t>tonnage</w:t>
      </w:r>
      <w:r w:rsidR="00DB1635" w:rsidRPr="00B004EE">
        <w:rPr>
          <w:rFonts w:ascii="Tahoma" w:hAnsi="Tahoma" w:cs="Tahoma"/>
          <w:sz w:val="20"/>
          <w:szCs w:val="20"/>
        </w:rPr>
        <w:t xml:space="preserve"> </w:t>
      </w:r>
      <w:r w:rsidRPr="00B004EE">
        <w:rPr>
          <w:rFonts w:ascii="Tahoma" w:hAnsi="Tahoma" w:cs="Tahoma"/>
          <w:sz w:val="20"/>
          <w:szCs w:val="20"/>
        </w:rPr>
        <w:t>inférieur</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25</w:t>
      </w:r>
      <w:r w:rsidR="00DB1635" w:rsidRPr="00B004EE">
        <w:rPr>
          <w:rFonts w:ascii="Tahoma" w:hAnsi="Tahoma" w:cs="Tahoma"/>
          <w:sz w:val="20"/>
          <w:szCs w:val="20"/>
        </w:rPr>
        <w:t xml:space="preserve"> </w:t>
      </w:r>
      <w:r w:rsidRPr="00B004EE">
        <w:rPr>
          <w:rFonts w:ascii="Tahoma" w:hAnsi="Tahoma" w:cs="Tahoma"/>
          <w:sz w:val="20"/>
          <w:szCs w:val="20"/>
        </w:rPr>
        <w:t>GT;</w:t>
      </w:r>
    </w:p>
    <w:p w14:paraId="22C26FE6" w14:textId="51496DC7" w:rsidR="008518B0" w:rsidRPr="00B004EE" w:rsidRDefault="008518B0" w:rsidP="00420DDA">
      <w:pPr>
        <w:pStyle w:val="numsousart"/>
        <w:numPr>
          <w:ilvl w:val="0"/>
          <w:numId w:val="71"/>
        </w:numPr>
        <w:spacing w:before="0"/>
        <w:rPr>
          <w:rFonts w:ascii="Tahoma" w:hAnsi="Tahoma" w:cs="Tahoma"/>
          <w:sz w:val="20"/>
          <w:szCs w:val="20"/>
        </w:rPr>
      </w:pPr>
      <w:proofErr w:type="gramStart"/>
      <w:r w:rsidRPr="00B004EE">
        <w:rPr>
          <w:rFonts w:ascii="Tahoma" w:hAnsi="Tahoma" w:cs="Tahoma"/>
          <w:sz w:val="20"/>
          <w:szCs w:val="20"/>
        </w:rPr>
        <w:t>de</w:t>
      </w:r>
      <w:proofErr w:type="gramEnd"/>
      <w:r w:rsidR="00DB1635" w:rsidRPr="00B004EE">
        <w:rPr>
          <w:rFonts w:ascii="Tahoma" w:hAnsi="Tahoma" w:cs="Tahoma"/>
          <w:sz w:val="20"/>
          <w:szCs w:val="20"/>
        </w:rPr>
        <w:t xml:space="preserve"> </w:t>
      </w:r>
      <w:r w:rsidRPr="00B004EE">
        <w:rPr>
          <w:rFonts w:ascii="Tahoma" w:hAnsi="Tahoma" w:cs="Tahoma"/>
          <w:sz w:val="20"/>
          <w:szCs w:val="20"/>
        </w:rPr>
        <w:t>huit</w:t>
      </w:r>
      <w:r w:rsidR="00DB1635" w:rsidRPr="00B004EE">
        <w:rPr>
          <w:rFonts w:ascii="Tahoma" w:hAnsi="Tahoma" w:cs="Tahoma"/>
          <w:sz w:val="20"/>
          <w:szCs w:val="20"/>
        </w:rPr>
        <w:t xml:space="preserve"> </w:t>
      </w:r>
      <w:r w:rsidRPr="00B004EE">
        <w:rPr>
          <w:rFonts w:ascii="Tahoma" w:hAnsi="Tahoma" w:cs="Tahoma"/>
          <w:sz w:val="20"/>
          <w:szCs w:val="20"/>
        </w:rPr>
        <w:t>cent</w:t>
      </w:r>
      <w:r w:rsidR="00DB1635" w:rsidRPr="00B004EE">
        <w:rPr>
          <w:rFonts w:ascii="Tahoma" w:hAnsi="Tahoma" w:cs="Tahoma"/>
          <w:sz w:val="20"/>
          <w:szCs w:val="20"/>
        </w:rPr>
        <w:t xml:space="preserve"> </w:t>
      </w:r>
      <w:r w:rsidRPr="00B004EE">
        <w:rPr>
          <w:rFonts w:ascii="Tahoma" w:hAnsi="Tahoma" w:cs="Tahoma"/>
          <w:sz w:val="20"/>
          <w:szCs w:val="20"/>
        </w:rPr>
        <w:t>mille</w:t>
      </w:r>
      <w:r w:rsidR="00DB1635" w:rsidRPr="00B004EE">
        <w:rPr>
          <w:rFonts w:ascii="Tahoma" w:hAnsi="Tahoma" w:cs="Tahoma"/>
          <w:sz w:val="20"/>
          <w:szCs w:val="20"/>
        </w:rPr>
        <w:t xml:space="preserve"> </w:t>
      </w:r>
      <w:r w:rsidRPr="00B004EE">
        <w:rPr>
          <w:rFonts w:ascii="Tahoma" w:hAnsi="Tahoma" w:cs="Tahoma"/>
          <w:sz w:val="20"/>
          <w:szCs w:val="20"/>
        </w:rPr>
        <w:t>(800.000)</w:t>
      </w:r>
      <w:r w:rsidR="00DB1635" w:rsidRPr="00B004EE">
        <w:rPr>
          <w:rFonts w:ascii="Tahoma" w:hAnsi="Tahoma" w:cs="Tahoma"/>
          <w:sz w:val="20"/>
          <w:szCs w:val="20"/>
        </w:rPr>
        <w:t xml:space="preserve"> </w:t>
      </w:r>
      <w:r w:rsidRPr="00B004EE">
        <w:rPr>
          <w:rFonts w:ascii="Tahoma" w:hAnsi="Tahoma" w:cs="Tahoma"/>
          <w:sz w:val="20"/>
          <w:szCs w:val="20"/>
        </w:rPr>
        <w:t>ouguiya</w:t>
      </w:r>
      <w:r w:rsidR="00DB1635" w:rsidRPr="00B004EE">
        <w:rPr>
          <w:rFonts w:ascii="Tahoma" w:hAnsi="Tahoma" w:cs="Tahoma"/>
          <w:sz w:val="20"/>
          <w:szCs w:val="20"/>
        </w:rPr>
        <w:t xml:space="preserve"> </w:t>
      </w:r>
      <w:r w:rsidRPr="00B004EE">
        <w:rPr>
          <w:rFonts w:ascii="Tahoma" w:hAnsi="Tahoma" w:cs="Tahoma"/>
          <w:sz w:val="20"/>
          <w:szCs w:val="20"/>
        </w:rPr>
        <w:t>jusqu'à</w:t>
      </w:r>
      <w:r w:rsidR="00DB1635" w:rsidRPr="00B004EE">
        <w:rPr>
          <w:rFonts w:ascii="Tahoma" w:hAnsi="Tahoma" w:cs="Tahoma"/>
          <w:sz w:val="20"/>
          <w:szCs w:val="20"/>
        </w:rPr>
        <w:t xml:space="preserve"> </w:t>
      </w:r>
      <w:r w:rsidRPr="00B004EE">
        <w:rPr>
          <w:rFonts w:ascii="Tahoma" w:hAnsi="Tahoma" w:cs="Tahoma"/>
          <w:sz w:val="20"/>
          <w:szCs w:val="20"/>
        </w:rPr>
        <w:t>quatre</w:t>
      </w:r>
      <w:r w:rsidR="00DB1635" w:rsidRPr="00B004EE">
        <w:rPr>
          <w:rFonts w:ascii="Tahoma" w:hAnsi="Tahoma" w:cs="Tahoma"/>
          <w:sz w:val="20"/>
          <w:szCs w:val="20"/>
        </w:rPr>
        <w:t xml:space="preserve"> </w:t>
      </w:r>
      <w:r w:rsidRPr="00B004EE">
        <w:rPr>
          <w:rFonts w:ascii="Tahoma" w:hAnsi="Tahoma" w:cs="Tahoma"/>
          <w:sz w:val="20"/>
          <w:szCs w:val="20"/>
        </w:rPr>
        <w:t>millions</w:t>
      </w:r>
      <w:r w:rsidR="00DB1635" w:rsidRPr="00B004EE">
        <w:rPr>
          <w:rFonts w:ascii="Tahoma" w:hAnsi="Tahoma" w:cs="Tahoma"/>
          <w:sz w:val="20"/>
          <w:szCs w:val="20"/>
        </w:rPr>
        <w:t xml:space="preserve"> </w:t>
      </w:r>
      <w:r w:rsidRPr="00B004EE">
        <w:rPr>
          <w:rFonts w:ascii="Tahoma" w:hAnsi="Tahoma" w:cs="Tahoma"/>
          <w:sz w:val="20"/>
          <w:szCs w:val="20"/>
        </w:rPr>
        <w:t>(4.000.000)</w:t>
      </w:r>
      <w:r w:rsidR="00DB1635" w:rsidRPr="00B004EE">
        <w:rPr>
          <w:rFonts w:ascii="Tahoma" w:hAnsi="Tahoma" w:cs="Tahoma"/>
          <w:sz w:val="20"/>
          <w:szCs w:val="20"/>
        </w:rPr>
        <w:t xml:space="preserve"> </w:t>
      </w:r>
      <w:r w:rsidRPr="00B004EE">
        <w:rPr>
          <w:rFonts w:ascii="Tahoma" w:hAnsi="Tahoma" w:cs="Tahoma"/>
          <w:sz w:val="20"/>
          <w:szCs w:val="20"/>
        </w:rPr>
        <w:t>ouguiya</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navires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d’un</w:t>
      </w:r>
      <w:r w:rsidR="00DB1635" w:rsidRPr="00B004EE">
        <w:rPr>
          <w:rFonts w:ascii="Tahoma" w:hAnsi="Tahoma" w:cs="Tahoma"/>
          <w:sz w:val="20"/>
          <w:szCs w:val="20"/>
        </w:rPr>
        <w:t xml:space="preserve"> </w:t>
      </w:r>
      <w:r w:rsidRPr="00B004EE">
        <w:rPr>
          <w:rFonts w:ascii="Tahoma" w:hAnsi="Tahoma" w:cs="Tahoma"/>
          <w:sz w:val="20"/>
          <w:szCs w:val="20"/>
        </w:rPr>
        <w:t>tonnage</w:t>
      </w:r>
      <w:r w:rsidR="00DB1635" w:rsidRPr="00B004EE">
        <w:rPr>
          <w:rFonts w:ascii="Tahoma" w:hAnsi="Tahoma" w:cs="Tahoma"/>
          <w:sz w:val="20"/>
          <w:szCs w:val="20"/>
        </w:rPr>
        <w:t xml:space="preserve"> </w:t>
      </w:r>
      <w:r w:rsidRPr="00B004EE">
        <w:rPr>
          <w:rFonts w:ascii="Tahoma" w:hAnsi="Tahoma" w:cs="Tahoma"/>
          <w:sz w:val="20"/>
          <w:szCs w:val="20"/>
        </w:rPr>
        <w:t>supérieur</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égal</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25</w:t>
      </w:r>
      <w:r w:rsidR="00DB1635" w:rsidRPr="00B004EE">
        <w:rPr>
          <w:rFonts w:ascii="Tahoma" w:hAnsi="Tahoma" w:cs="Tahoma"/>
          <w:sz w:val="20"/>
          <w:szCs w:val="20"/>
        </w:rPr>
        <w:t xml:space="preserve"> </w:t>
      </w:r>
      <w:r w:rsidRPr="00B004EE">
        <w:rPr>
          <w:rFonts w:ascii="Tahoma" w:hAnsi="Tahoma" w:cs="Tahoma"/>
          <w:sz w:val="20"/>
          <w:szCs w:val="20"/>
        </w:rPr>
        <w:t>GT,</w:t>
      </w:r>
      <w:r w:rsidR="00DB1635" w:rsidRPr="00B004EE">
        <w:rPr>
          <w:rFonts w:ascii="Tahoma" w:hAnsi="Tahoma" w:cs="Tahoma"/>
          <w:sz w:val="20"/>
          <w:szCs w:val="20"/>
        </w:rPr>
        <w:t xml:space="preserve"> </w:t>
      </w:r>
      <w:r w:rsidRPr="00B004EE">
        <w:rPr>
          <w:rFonts w:ascii="Tahoma" w:hAnsi="Tahoma" w:cs="Tahoma"/>
          <w:sz w:val="20"/>
          <w:szCs w:val="20"/>
        </w:rPr>
        <w:t>mais</w:t>
      </w:r>
      <w:r w:rsidR="00DB1635" w:rsidRPr="00B004EE">
        <w:rPr>
          <w:rFonts w:ascii="Tahoma" w:hAnsi="Tahoma" w:cs="Tahoma"/>
          <w:sz w:val="20"/>
          <w:szCs w:val="20"/>
        </w:rPr>
        <w:t xml:space="preserve"> </w:t>
      </w:r>
      <w:r w:rsidRPr="00B004EE">
        <w:rPr>
          <w:rFonts w:ascii="Tahoma" w:hAnsi="Tahoma" w:cs="Tahoma"/>
          <w:sz w:val="20"/>
          <w:szCs w:val="20"/>
        </w:rPr>
        <w:t>inférieur</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50</w:t>
      </w:r>
      <w:r w:rsidR="00DB1635" w:rsidRPr="00B004EE">
        <w:rPr>
          <w:rFonts w:ascii="Tahoma" w:hAnsi="Tahoma" w:cs="Tahoma"/>
          <w:sz w:val="20"/>
          <w:szCs w:val="20"/>
        </w:rPr>
        <w:t xml:space="preserve"> </w:t>
      </w:r>
      <w:r w:rsidRPr="00B004EE">
        <w:rPr>
          <w:rFonts w:ascii="Tahoma" w:hAnsi="Tahoma" w:cs="Tahoma"/>
          <w:sz w:val="20"/>
          <w:szCs w:val="20"/>
        </w:rPr>
        <w:t>GT;</w:t>
      </w:r>
    </w:p>
    <w:p w14:paraId="184B9A82" w14:textId="2263D3B6" w:rsidR="008518B0" w:rsidRPr="00B004EE" w:rsidRDefault="008518B0" w:rsidP="00420DDA">
      <w:pPr>
        <w:pStyle w:val="numsousart"/>
        <w:numPr>
          <w:ilvl w:val="0"/>
          <w:numId w:val="71"/>
        </w:numPr>
        <w:spacing w:before="0"/>
        <w:rPr>
          <w:rFonts w:ascii="Tahoma" w:hAnsi="Tahoma" w:cs="Tahoma"/>
          <w:sz w:val="20"/>
          <w:szCs w:val="20"/>
        </w:rPr>
      </w:pPr>
      <w:proofErr w:type="gramStart"/>
      <w:r w:rsidRPr="00B004EE">
        <w:rPr>
          <w:rFonts w:ascii="Tahoma" w:hAnsi="Tahoma" w:cs="Tahoma"/>
          <w:sz w:val="20"/>
          <w:szCs w:val="20"/>
        </w:rPr>
        <w:t>d’un</w:t>
      </w:r>
      <w:proofErr w:type="gramEnd"/>
      <w:r w:rsidR="00DB1635" w:rsidRPr="00B004EE">
        <w:rPr>
          <w:rFonts w:ascii="Tahoma" w:hAnsi="Tahoma" w:cs="Tahoma"/>
          <w:sz w:val="20"/>
          <w:szCs w:val="20"/>
        </w:rPr>
        <w:t xml:space="preserve"> </w:t>
      </w:r>
      <w:r w:rsidRPr="00B004EE">
        <w:rPr>
          <w:rFonts w:ascii="Tahoma" w:hAnsi="Tahoma" w:cs="Tahoma"/>
          <w:sz w:val="20"/>
          <w:szCs w:val="20"/>
        </w:rPr>
        <w:t>million</w:t>
      </w:r>
      <w:r w:rsidR="00DB1635" w:rsidRPr="00B004EE">
        <w:rPr>
          <w:rFonts w:ascii="Tahoma" w:hAnsi="Tahoma" w:cs="Tahoma"/>
          <w:sz w:val="20"/>
          <w:szCs w:val="20"/>
        </w:rPr>
        <w:t xml:space="preserve"> </w:t>
      </w:r>
      <w:r w:rsidRPr="00B004EE">
        <w:rPr>
          <w:rFonts w:ascii="Tahoma" w:hAnsi="Tahoma" w:cs="Tahoma"/>
          <w:sz w:val="20"/>
          <w:szCs w:val="20"/>
        </w:rPr>
        <w:t>(1.000.000)</w:t>
      </w:r>
      <w:r w:rsidR="00DB1635" w:rsidRPr="00B004EE">
        <w:rPr>
          <w:rFonts w:ascii="Tahoma" w:hAnsi="Tahoma" w:cs="Tahoma"/>
          <w:sz w:val="20"/>
          <w:szCs w:val="20"/>
        </w:rPr>
        <w:t xml:space="preserve"> </w:t>
      </w:r>
      <w:r w:rsidRPr="00B004EE">
        <w:rPr>
          <w:rFonts w:ascii="Tahoma" w:hAnsi="Tahoma" w:cs="Tahoma"/>
          <w:sz w:val="20"/>
          <w:szCs w:val="20"/>
        </w:rPr>
        <w:t>ouguiya</w:t>
      </w:r>
      <w:r w:rsidR="00DB1635" w:rsidRPr="00B004EE">
        <w:rPr>
          <w:rFonts w:ascii="Tahoma" w:hAnsi="Tahoma" w:cs="Tahoma"/>
          <w:sz w:val="20"/>
          <w:szCs w:val="20"/>
        </w:rPr>
        <w:t xml:space="preserve"> </w:t>
      </w:r>
      <w:r w:rsidRPr="00B004EE">
        <w:rPr>
          <w:rFonts w:ascii="Tahoma" w:hAnsi="Tahoma" w:cs="Tahoma"/>
          <w:sz w:val="20"/>
          <w:szCs w:val="20"/>
        </w:rPr>
        <w:t>jusqu'à</w:t>
      </w:r>
      <w:r w:rsidR="00DB1635" w:rsidRPr="00B004EE">
        <w:rPr>
          <w:rFonts w:ascii="Tahoma" w:hAnsi="Tahoma" w:cs="Tahoma"/>
          <w:sz w:val="20"/>
          <w:szCs w:val="20"/>
        </w:rPr>
        <w:t xml:space="preserve"> </w:t>
      </w:r>
      <w:r w:rsidRPr="00B004EE">
        <w:rPr>
          <w:rFonts w:ascii="Tahoma" w:hAnsi="Tahoma" w:cs="Tahoma"/>
          <w:sz w:val="20"/>
          <w:szCs w:val="20"/>
        </w:rPr>
        <w:t>cinq</w:t>
      </w:r>
      <w:r w:rsidR="00DB1635" w:rsidRPr="00B004EE">
        <w:rPr>
          <w:rFonts w:ascii="Tahoma" w:hAnsi="Tahoma" w:cs="Tahoma"/>
          <w:sz w:val="20"/>
          <w:szCs w:val="20"/>
        </w:rPr>
        <w:t xml:space="preserve"> </w:t>
      </w:r>
      <w:r w:rsidRPr="00B004EE">
        <w:rPr>
          <w:rFonts w:ascii="Tahoma" w:hAnsi="Tahoma" w:cs="Tahoma"/>
          <w:sz w:val="20"/>
          <w:szCs w:val="20"/>
        </w:rPr>
        <w:t>millions</w:t>
      </w:r>
      <w:r w:rsidR="00DB1635" w:rsidRPr="00B004EE">
        <w:rPr>
          <w:rFonts w:ascii="Tahoma" w:hAnsi="Tahoma" w:cs="Tahoma"/>
          <w:sz w:val="20"/>
          <w:szCs w:val="20"/>
        </w:rPr>
        <w:t xml:space="preserve"> </w:t>
      </w:r>
      <w:r w:rsidRPr="00B004EE">
        <w:rPr>
          <w:rFonts w:ascii="Tahoma" w:hAnsi="Tahoma" w:cs="Tahoma"/>
          <w:sz w:val="20"/>
          <w:szCs w:val="20"/>
        </w:rPr>
        <w:t>(5.000.000)</w:t>
      </w:r>
      <w:r w:rsidR="00DB1635" w:rsidRPr="00B004EE">
        <w:rPr>
          <w:rFonts w:ascii="Tahoma" w:hAnsi="Tahoma" w:cs="Tahoma"/>
          <w:sz w:val="20"/>
          <w:szCs w:val="20"/>
        </w:rPr>
        <w:t xml:space="preserve"> </w:t>
      </w:r>
      <w:r w:rsidRPr="00B004EE">
        <w:rPr>
          <w:rFonts w:ascii="Tahoma" w:hAnsi="Tahoma" w:cs="Tahoma"/>
          <w:sz w:val="20"/>
          <w:szCs w:val="20"/>
        </w:rPr>
        <w:t>d’ouguiya</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navires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d’un</w:t>
      </w:r>
      <w:r w:rsidR="00DB1635" w:rsidRPr="00B004EE">
        <w:rPr>
          <w:rFonts w:ascii="Tahoma" w:hAnsi="Tahoma" w:cs="Tahoma"/>
          <w:sz w:val="20"/>
          <w:szCs w:val="20"/>
        </w:rPr>
        <w:t xml:space="preserve"> </w:t>
      </w:r>
      <w:r w:rsidRPr="00B004EE">
        <w:rPr>
          <w:rFonts w:ascii="Tahoma" w:hAnsi="Tahoma" w:cs="Tahoma"/>
          <w:sz w:val="20"/>
          <w:szCs w:val="20"/>
        </w:rPr>
        <w:t>tonnage</w:t>
      </w:r>
      <w:r w:rsidR="00DB1635" w:rsidRPr="00B004EE">
        <w:rPr>
          <w:rFonts w:ascii="Tahoma" w:hAnsi="Tahoma" w:cs="Tahoma"/>
          <w:sz w:val="20"/>
          <w:szCs w:val="20"/>
        </w:rPr>
        <w:t xml:space="preserve"> </w:t>
      </w:r>
      <w:r w:rsidRPr="00B004EE">
        <w:rPr>
          <w:rFonts w:ascii="Tahoma" w:hAnsi="Tahoma" w:cs="Tahoma"/>
          <w:sz w:val="20"/>
          <w:szCs w:val="20"/>
        </w:rPr>
        <w:t>supérieur</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égal</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50</w:t>
      </w:r>
      <w:r w:rsidR="00DB1635" w:rsidRPr="00B004EE">
        <w:rPr>
          <w:rFonts w:ascii="Tahoma" w:hAnsi="Tahoma" w:cs="Tahoma"/>
          <w:sz w:val="20"/>
          <w:szCs w:val="20"/>
        </w:rPr>
        <w:t xml:space="preserve"> </w:t>
      </w:r>
      <w:r w:rsidRPr="00B004EE">
        <w:rPr>
          <w:rFonts w:ascii="Tahoma" w:hAnsi="Tahoma" w:cs="Tahoma"/>
          <w:sz w:val="20"/>
          <w:szCs w:val="20"/>
        </w:rPr>
        <w:t>GT,</w:t>
      </w:r>
      <w:r w:rsidR="00DB1635" w:rsidRPr="00B004EE">
        <w:rPr>
          <w:rFonts w:ascii="Tahoma" w:hAnsi="Tahoma" w:cs="Tahoma"/>
          <w:sz w:val="20"/>
          <w:szCs w:val="20"/>
        </w:rPr>
        <w:t xml:space="preserve"> </w:t>
      </w:r>
      <w:r w:rsidRPr="00B004EE">
        <w:rPr>
          <w:rFonts w:ascii="Tahoma" w:hAnsi="Tahoma" w:cs="Tahoma"/>
          <w:sz w:val="20"/>
          <w:szCs w:val="20"/>
        </w:rPr>
        <w:t>mais</w:t>
      </w:r>
      <w:r w:rsidR="00DB1635" w:rsidRPr="00B004EE">
        <w:rPr>
          <w:rFonts w:ascii="Tahoma" w:hAnsi="Tahoma" w:cs="Tahoma"/>
          <w:sz w:val="20"/>
          <w:szCs w:val="20"/>
        </w:rPr>
        <w:t xml:space="preserve"> </w:t>
      </w:r>
      <w:r w:rsidRPr="00B004EE">
        <w:rPr>
          <w:rFonts w:ascii="Tahoma" w:hAnsi="Tahoma" w:cs="Tahoma"/>
          <w:sz w:val="20"/>
          <w:szCs w:val="20"/>
        </w:rPr>
        <w:t>inférieur</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70</w:t>
      </w:r>
      <w:r w:rsidR="00DB1635" w:rsidRPr="00B004EE">
        <w:rPr>
          <w:rFonts w:ascii="Tahoma" w:hAnsi="Tahoma" w:cs="Tahoma"/>
          <w:sz w:val="20"/>
          <w:szCs w:val="20"/>
        </w:rPr>
        <w:t xml:space="preserve"> </w:t>
      </w:r>
      <w:r w:rsidRPr="00B004EE">
        <w:rPr>
          <w:rFonts w:ascii="Tahoma" w:hAnsi="Tahoma" w:cs="Tahoma"/>
          <w:sz w:val="20"/>
          <w:szCs w:val="20"/>
        </w:rPr>
        <w:t>GT;</w:t>
      </w:r>
    </w:p>
    <w:p w14:paraId="27731970" w14:textId="4D4ABDD5" w:rsidR="008518B0" w:rsidRPr="00B004EE" w:rsidRDefault="008518B0" w:rsidP="00420DDA">
      <w:pPr>
        <w:pStyle w:val="numsousart"/>
        <w:numPr>
          <w:ilvl w:val="0"/>
          <w:numId w:val="71"/>
        </w:numPr>
        <w:spacing w:before="0"/>
        <w:rPr>
          <w:rFonts w:ascii="Tahoma" w:hAnsi="Tahoma" w:cs="Tahoma"/>
          <w:sz w:val="20"/>
          <w:szCs w:val="20"/>
        </w:rPr>
      </w:pPr>
      <w:proofErr w:type="gramStart"/>
      <w:r w:rsidRPr="00B004EE">
        <w:rPr>
          <w:rFonts w:ascii="Tahoma" w:hAnsi="Tahoma" w:cs="Tahoma"/>
          <w:sz w:val="20"/>
          <w:szCs w:val="20"/>
        </w:rPr>
        <w:t>d’un</w:t>
      </w:r>
      <w:proofErr w:type="gramEnd"/>
      <w:r w:rsidR="00DB1635" w:rsidRPr="00B004EE">
        <w:rPr>
          <w:rFonts w:ascii="Tahoma" w:hAnsi="Tahoma" w:cs="Tahoma"/>
          <w:sz w:val="20"/>
          <w:szCs w:val="20"/>
        </w:rPr>
        <w:t xml:space="preserve"> </w:t>
      </w:r>
      <w:r w:rsidRPr="00B004EE">
        <w:rPr>
          <w:rFonts w:ascii="Tahoma" w:hAnsi="Tahoma" w:cs="Tahoma"/>
          <w:sz w:val="20"/>
          <w:szCs w:val="20"/>
        </w:rPr>
        <w:t>million</w:t>
      </w:r>
      <w:r w:rsidR="00DB1635" w:rsidRPr="00B004EE">
        <w:rPr>
          <w:rFonts w:ascii="Tahoma" w:hAnsi="Tahoma" w:cs="Tahoma"/>
          <w:sz w:val="20"/>
          <w:szCs w:val="20"/>
        </w:rPr>
        <w:t xml:space="preserve"> </w:t>
      </w:r>
      <w:r w:rsidRPr="00B004EE">
        <w:rPr>
          <w:rFonts w:ascii="Tahoma" w:hAnsi="Tahoma" w:cs="Tahoma"/>
          <w:sz w:val="20"/>
          <w:szCs w:val="20"/>
        </w:rPr>
        <w:t>quatre</w:t>
      </w:r>
      <w:r w:rsidR="00DB1635" w:rsidRPr="00B004EE">
        <w:rPr>
          <w:rFonts w:ascii="Tahoma" w:hAnsi="Tahoma" w:cs="Tahoma"/>
          <w:sz w:val="20"/>
          <w:szCs w:val="20"/>
        </w:rPr>
        <w:t xml:space="preserve"> </w:t>
      </w:r>
      <w:r w:rsidRPr="00B004EE">
        <w:rPr>
          <w:rFonts w:ascii="Tahoma" w:hAnsi="Tahoma" w:cs="Tahoma"/>
          <w:sz w:val="20"/>
          <w:szCs w:val="20"/>
        </w:rPr>
        <w:t>cent</w:t>
      </w:r>
      <w:r w:rsidR="00DB1635" w:rsidRPr="00B004EE">
        <w:rPr>
          <w:rFonts w:ascii="Tahoma" w:hAnsi="Tahoma" w:cs="Tahoma"/>
          <w:sz w:val="20"/>
          <w:szCs w:val="20"/>
        </w:rPr>
        <w:t xml:space="preserve"> </w:t>
      </w:r>
      <w:r w:rsidRPr="00B004EE">
        <w:rPr>
          <w:rFonts w:ascii="Tahoma" w:hAnsi="Tahoma" w:cs="Tahoma"/>
          <w:sz w:val="20"/>
          <w:szCs w:val="20"/>
        </w:rPr>
        <w:t>cinquante</w:t>
      </w:r>
      <w:r w:rsidR="00DB1635" w:rsidRPr="00B004EE">
        <w:rPr>
          <w:rFonts w:ascii="Tahoma" w:hAnsi="Tahoma" w:cs="Tahoma"/>
          <w:sz w:val="20"/>
          <w:szCs w:val="20"/>
        </w:rPr>
        <w:t xml:space="preserve"> </w:t>
      </w:r>
      <w:r w:rsidRPr="00B004EE">
        <w:rPr>
          <w:rFonts w:ascii="Tahoma" w:hAnsi="Tahoma" w:cs="Tahoma"/>
          <w:sz w:val="20"/>
          <w:szCs w:val="20"/>
        </w:rPr>
        <w:t>mille</w:t>
      </w:r>
      <w:r w:rsidR="00DB1635" w:rsidRPr="00B004EE">
        <w:rPr>
          <w:rFonts w:ascii="Tahoma" w:hAnsi="Tahoma" w:cs="Tahoma"/>
          <w:sz w:val="20"/>
          <w:szCs w:val="20"/>
        </w:rPr>
        <w:t xml:space="preserve"> </w:t>
      </w:r>
      <w:r w:rsidRPr="00B004EE">
        <w:rPr>
          <w:rFonts w:ascii="Tahoma" w:hAnsi="Tahoma" w:cs="Tahoma"/>
          <w:sz w:val="20"/>
          <w:szCs w:val="20"/>
        </w:rPr>
        <w:t>(1.450.000)</w:t>
      </w:r>
      <w:r w:rsidR="00DB1635" w:rsidRPr="00B004EE">
        <w:rPr>
          <w:rFonts w:ascii="Tahoma" w:hAnsi="Tahoma" w:cs="Tahoma"/>
          <w:sz w:val="20"/>
          <w:szCs w:val="20"/>
        </w:rPr>
        <w:t xml:space="preserve"> </w:t>
      </w:r>
      <w:r w:rsidRPr="00B004EE">
        <w:rPr>
          <w:rFonts w:ascii="Tahoma" w:hAnsi="Tahoma" w:cs="Tahoma"/>
          <w:sz w:val="20"/>
          <w:szCs w:val="20"/>
        </w:rPr>
        <w:t>ouguiya</w:t>
      </w:r>
      <w:r w:rsidR="00DB1635" w:rsidRPr="00B004EE">
        <w:rPr>
          <w:rFonts w:ascii="Tahoma" w:hAnsi="Tahoma" w:cs="Tahoma"/>
          <w:sz w:val="20"/>
          <w:szCs w:val="20"/>
        </w:rPr>
        <w:t xml:space="preserve"> </w:t>
      </w:r>
      <w:r w:rsidRPr="00B004EE">
        <w:rPr>
          <w:rFonts w:ascii="Tahoma" w:hAnsi="Tahoma" w:cs="Tahoma"/>
          <w:sz w:val="20"/>
          <w:szCs w:val="20"/>
        </w:rPr>
        <w:t>jusqu'à</w:t>
      </w:r>
      <w:r w:rsidR="00DB1635" w:rsidRPr="00B004EE">
        <w:rPr>
          <w:rFonts w:ascii="Tahoma" w:hAnsi="Tahoma" w:cs="Tahoma"/>
          <w:sz w:val="20"/>
          <w:szCs w:val="20"/>
        </w:rPr>
        <w:t xml:space="preserve"> </w:t>
      </w:r>
      <w:r w:rsidRPr="00B004EE">
        <w:rPr>
          <w:rFonts w:ascii="Tahoma" w:hAnsi="Tahoma" w:cs="Tahoma"/>
          <w:sz w:val="20"/>
          <w:szCs w:val="20"/>
        </w:rPr>
        <w:t>six</w:t>
      </w:r>
      <w:r w:rsidR="00DB1635" w:rsidRPr="00B004EE">
        <w:rPr>
          <w:rFonts w:ascii="Tahoma" w:hAnsi="Tahoma" w:cs="Tahoma"/>
          <w:sz w:val="20"/>
          <w:szCs w:val="20"/>
        </w:rPr>
        <w:t xml:space="preserve"> </w:t>
      </w:r>
      <w:r w:rsidRPr="00B004EE">
        <w:rPr>
          <w:rFonts w:ascii="Tahoma" w:hAnsi="Tahoma" w:cs="Tahoma"/>
          <w:sz w:val="20"/>
          <w:szCs w:val="20"/>
        </w:rPr>
        <w:t>millions</w:t>
      </w:r>
      <w:r w:rsidR="00DB1635" w:rsidRPr="00B004EE">
        <w:rPr>
          <w:rFonts w:ascii="Tahoma" w:hAnsi="Tahoma" w:cs="Tahoma"/>
          <w:sz w:val="20"/>
          <w:szCs w:val="20"/>
        </w:rPr>
        <w:t xml:space="preserve"> </w:t>
      </w:r>
      <w:r w:rsidRPr="00B004EE">
        <w:rPr>
          <w:rFonts w:ascii="Tahoma" w:hAnsi="Tahoma" w:cs="Tahoma"/>
          <w:sz w:val="20"/>
          <w:szCs w:val="20"/>
        </w:rPr>
        <w:t>(6.000.000)</w:t>
      </w:r>
      <w:r w:rsidR="00DB1635" w:rsidRPr="00B004EE">
        <w:rPr>
          <w:rFonts w:ascii="Tahoma" w:hAnsi="Tahoma" w:cs="Tahoma"/>
          <w:sz w:val="20"/>
          <w:szCs w:val="20"/>
        </w:rPr>
        <w:t xml:space="preserve"> </w:t>
      </w:r>
      <w:r w:rsidRPr="00B004EE">
        <w:rPr>
          <w:rFonts w:ascii="Tahoma" w:hAnsi="Tahoma" w:cs="Tahoma"/>
          <w:sz w:val="20"/>
          <w:szCs w:val="20"/>
        </w:rPr>
        <w:t>ouguiya</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navires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d’un</w:t>
      </w:r>
      <w:r w:rsidR="00DB1635" w:rsidRPr="00B004EE">
        <w:rPr>
          <w:rFonts w:ascii="Tahoma" w:hAnsi="Tahoma" w:cs="Tahoma"/>
          <w:sz w:val="20"/>
          <w:szCs w:val="20"/>
        </w:rPr>
        <w:t xml:space="preserve"> </w:t>
      </w:r>
      <w:r w:rsidRPr="00B004EE">
        <w:rPr>
          <w:rFonts w:ascii="Tahoma" w:hAnsi="Tahoma" w:cs="Tahoma"/>
          <w:sz w:val="20"/>
          <w:szCs w:val="20"/>
        </w:rPr>
        <w:t>tonnage</w:t>
      </w:r>
      <w:r w:rsidR="00DB1635" w:rsidRPr="00B004EE">
        <w:rPr>
          <w:rFonts w:ascii="Tahoma" w:hAnsi="Tahoma" w:cs="Tahoma"/>
          <w:sz w:val="20"/>
          <w:szCs w:val="20"/>
        </w:rPr>
        <w:t xml:space="preserve"> </w:t>
      </w:r>
      <w:r w:rsidRPr="00B004EE">
        <w:rPr>
          <w:rFonts w:ascii="Tahoma" w:hAnsi="Tahoma" w:cs="Tahoma"/>
          <w:sz w:val="20"/>
          <w:szCs w:val="20"/>
        </w:rPr>
        <w:t>égal</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supérieur</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70</w:t>
      </w:r>
      <w:r w:rsidR="00DB1635" w:rsidRPr="00B004EE">
        <w:rPr>
          <w:rFonts w:ascii="Tahoma" w:hAnsi="Tahoma" w:cs="Tahoma"/>
          <w:sz w:val="20"/>
          <w:szCs w:val="20"/>
        </w:rPr>
        <w:t xml:space="preserve"> </w:t>
      </w:r>
      <w:r w:rsidRPr="00B004EE">
        <w:rPr>
          <w:rFonts w:ascii="Tahoma" w:hAnsi="Tahoma" w:cs="Tahoma"/>
          <w:sz w:val="20"/>
          <w:szCs w:val="20"/>
        </w:rPr>
        <w:t>GT,</w:t>
      </w:r>
      <w:r w:rsidR="00DB1635" w:rsidRPr="00B004EE">
        <w:rPr>
          <w:rFonts w:ascii="Tahoma" w:hAnsi="Tahoma" w:cs="Tahoma"/>
          <w:sz w:val="20"/>
          <w:szCs w:val="20"/>
        </w:rPr>
        <w:t xml:space="preserve"> </w:t>
      </w:r>
      <w:r w:rsidRPr="00B004EE">
        <w:rPr>
          <w:rFonts w:ascii="Tahoma" w:hAnsi="Tahoma" w:cs="Tahoma"/>
          <w:sz w:val="20"/>
          <w:szCs w:val="20"/>
        </w:rPr>
        <w:t>mais</w:t>
      </w:r>
      <w:r w:rsidR="00DB1635" w:rsidRPr="00B004EE">
        <w:rPr>
          <w:rFonts w:ascii="Tahoma" w:hAnsi="Tahoma" w:cs="Tahoma"/>
          <w:sz w:val="20"/>
          <w:szCs w:val="20"/>
        </w:rPr>
        <w:t xml:space="preserve"> </w:t>
      </w:r>
      <w:r w:rsidRPr="00B004EE">
        <w:rPr>
          <w:rFonts w:ascii="Tahoma" w:hAnsi="Tahoma" w:cs="Tahoma"/>
          <w:sz w:val="20"/>
          <w:szCs w:val="20"/>
        </w:rPr>
        <w:t>inférieur</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85</w:t>
      </w:r>
      <w:r w:rsidR="00DB1635" w:rsidRPr="00B004EE">
        <w:rPr>
          <w:rFonts w:ascii="Tahoma" w:hAnsi="Tahoma" w:cs="Tahoma"/>
          <w:sz w:val="20"/>
          <w:szCs w:val="20"/>
        </w:rPr>
        <w:t xml:space="preserve"> </w:t>
      </w:r>
      <w:r w:rsidRPr="00B004EE">
        <w:rPr>
          <w:rFonts w:ascii="Tahoma" w:hAnsi="Tahoma" w:cs="Tahoma"/>
          <w:sz w:val="20"/>
          <w:szCs w:val="20"/>
        </w:rPr>
        <w:t>GT;</w:t>
      </w:r>
    </w:p>
    <w:p w14:paraId="05A3979C" w14:textId="27BA13D5" w:rsidR="008518B0" w:rsidRPr="00B004EE" w:rsidRDefault="008518B0" w:rsidP="00420DDA">
      <w:pPr>
        <w:pStyle w:val="numsousart"/>
        <w:numPr>
          <w:ilvl w:val="0"/>
          <w:numId w:val="71"/>
        </w:numPr>
        <w:spacing w:before="0"/>
        <w:rPr>
          <w:rFonts w:ascii="Tahoma" w:hAnsi="Tahoma" w:cs="Tahoma"/>
          <w:sz w:val="20"/>
          <w:szCs w:val="20"/>
        </w:rPr>
      </w:pPr>
      <w:proofErr w:type="gramStart"/>
      <w:r w:rsidRPr="00B004EE">
        <w:rPr>
          <w:rFonts w:ascii="Tahoma" w:hAnsi="Tahoma" w:cs="Tahoma"/>
          <w:sz w:val="20"/>
          <w:szCs w:val="20"/>
        </w:rPr>
        <w:t>d’un</w:t>
      </w:r>
      <w:proofErr w:type="gramEnd"/>
      <w:r w:rsidR="00DB1635" w:rsidRPr="00B004EE">
        <w:rPr>
          <w:rFonts w:ascii="Tahoma" w:hAnsi="Tahoma" w:cs="Tahoma"/>
          <w:sz w:val="20"/>
          <w:szCs w:val="20"/>
        </w:rPr>
        <w:t xml:space="preserve"> </w:t>
      </w:r>
      <w:r w:rsidRPr="00B004EE">
        <w:rPr>
          <w:rFonts w:ascii="Tahoma" w:hAnsi="Tahoma" w:cs="Tahoma"/>
          <w:sz w:val="20"/>
          <w:szCs w:val="20"/>
        </w:rPr>
        <w:t>million</w:t>
      </w:r>
      <w:r w:rsidR="00DB1635" w:rsidRPr="00B004EE">
        <w:rPr>
          <w:rFonts w:ascii="Tahoma" w:hAnsi="Tahoma" w:cs="Tahoma"/>
          <w:sz w:val="20"/>
          <w:szCs w:val="20"/>
        </w:rPr>
        <w:t xml:space="preserve"> </w:t>
      </w:r>
      <w:r w:rsidRPr="00B004EE">
        <w:rPr>
          <w:rFonts w:ascii="Tahoma" w:hAnsi="Tahoma" w:cs="Tahoma"/>
          <w:sz w:val="20"/>
          <w:szCs w:val="20"/>
        </w:rPr>
        <w:t>neuf</w:t>
      </w:r>
      <w:r w:rsidR="00DB1635" w:rsidRPr="00B004EE">
        <w:rPr>
          <w:rFonts w:ascii="Tahoma" w:hAnsi="Tahoma" w:cs="Tahoma"/>
          <w:sz w:val="20"/>
          <w:szCs w:val="20"/>
        </w:rPr>
        <w:t xml:space="preserve"> </w:t>
      </w:r>
      <w:r w:rsidRPr="00B004EE">
        <w:rPr>
          <w:rFonts w:ascii="Tahoma" w:hAnsi="Tahoma" w:cs="Tahoma"/>
          <w:sz w:val="20"/>
          <w:szCs w:val="20"/>
        </w:rPr>
        <w:t>cent</w:t>
      </w:r>
      <w:r w:rsidR="00DB1635" w:rsidRPr="00B004EE">
        <w:rPr>
          <w:rFonts w:ascii="Tahoma" w:hAnsi="Tahoma" w:cs="Tahoma"/>
          <w:sz w:val="20"/>
          <w:szCs w:val="20"/>
        </w:rPr>
        <w:t xml:space="preserve"> </w:t>
      </w:r>
      <w:r w:rsidRPr="00B004EE">
        <w:rPr>
          <w:rFonts w:ascii="Tahoma" w:hAnsi="Tahoma" w:cs="Tahoma"/>
          <w:sz w:val="20"/>
          <w:szCs w:val="20"/>
        </w:rPr>
        <w:t>mille</w:t>
      </w:r>
      <w:r w:rsidR="00DB1635" w:rsidRPr="00B004EE">
        <w:rPr>
          <w:rFonts w:ascii="Tahoma" w:hAnsi="Tahoma" w:cs="Tahoma"/>
          <w:sz w:val="20"/>
          <w:szCs w:val="20"/>
        </w:rPr>
        <w:t xml:space="preserve"> </w:t>
      </w:r>
      <w:r w:rsidRPr="00B004EE">
        <w:rPr>
          <w:rFonts w:ascii="Tahoma" w:hAnsi="Tahoma" w:cs="Tahoma"/>
          <w:sz w:val="20"/>
          <w:szCs w:val="20"/>
        </w:rPr>
        <w:t>(1.900.000)</w:t>
      </w:r>
      <w:r w:rsidR="00DB1635" w:rsidRPr="00B004EE">
        <w:rPr>
          <w:rFonts w:ascii="Tahoma" w:hAnsi="Tahoma" w:cs="Tahoma"/>
          <w:sz w:val="20"/>
          <w:szCs w:val="20"/>
        </w:rPr>
        <w:t xml:space="preserve"> </w:t>
      </w:r>
      <w:r w:rsidRPr="00B004EE">
        <w:rPr>
          <w:rFonts w:ascii="Tahoma" w:hAnsi="Tahoma" w:cs="Tahoma"/>
          <w:sz w:val="20"/>
          <w:szCs w:val="20"/>
        </w:rPr>
        <w:t>ouguiya</w:t>
      </w:r>
      <w:r w:rsidR="00DB1635" w:rsidRPr="00B004EE">
        <w:rPr>
          <w:rFonts w:ascii="Tahoma" w:hAnsi="Tahoma" w:cs="Tahoma"/>
          <w:sz w:val="20"/>
          <w:szCs w:val="20"/>
        </w:rPr>
        <w:t xml:space="preserve"> </w:t>
      </w:r>
      <w:r w:rsidRPr="00B004EE">
        <w:rPr>
          <w:rFonts w:ascii="Tahoma" w:hAnsi="Tahoma" w:cs="Tahoma"/>
          <w:sz w:val="20"/>
          <w:szCs w:val="20"/>
        </w:rPr>
        <w:t>jusqu'à</w:t>
      </w:r>
      <w:r w:rsidR="00DB1635" w:rsidRPr="00B004EE">
        <w:rPr>
          <w:rFonts w:ascii="Tahoma" w:hAnsi="Tahoma" w:cs="Tahoma"/>
          <w:sz w:val="20"/>
          <w:szCs w:val="20"/>
        </w:rPr>
        <w:t xml:space="preserve"> </w:t>
      </w:r>
      <w:r w:rsidRPr="00B004EE">
        <w:rPr>
          <w:rFonts w:ascii="Tahoma" w:hAnsi="Tahoma" w:cs="Tahoma"/>
          <w:sz w:val="20"/>
          <w:szCs w:val="20"/>
        </w:rPr>
        <w:t>huit</w:t>
      </w:r>
      <w:r w:rsidR="00DB1635" w:rsidRPr="00B004EE">
        <w:rPr>
          <w:rFonts w:ascii="Tahoma" w:hAnsi="Tahoma" w:cs="Tahoma"/>
          <w:sz w:val="20"/>
          <w:szCs w:val="20"/>
        </w:rPr>
        <w:t xml:space="preserve"> </w:t>
      </w:r>
      <w:r w:rsidRPr="00B004EE">
        <w:rPr>
          <w:rFonts w:ascii="Tahoma" w:hAnsi="Tahoma" w:cs="Tahoma"/>
          <w:sz w:val="20"/>
          <w:szCs w:val="20"/>
        </w:rPr>
        <w:t>millions</w:t>
      </w:r>
      <w:r w:rsidR="00DB1635" w:rsidRPr="00B004EE">
        <w:rPr>
          <w:rFonts w:ascii="Tahoma" w:hAnsi="Tahoma" w:cs="Tahoma"/>
          <w:sz w:val="20"/>
          <w:szCs w:val="20"/>
        </w:rPr>
        <w:t xml:space="preserve"> </w:t>
      </w:r>
      <w:r w:rsidRPr="00B004EE">
        <w:rPr>
          <w:rFonts w:ascii="Tahoma" w:hAnsi="Tahoma" w:cs="Tahoma"/>
          <w:sz w:val="20"/>
          <w:szCs w:val="20"/>
        </w:rPr>
        <w:t>(8.000.000)</w:t>
      </w:r>
      <w:r w:rsidR="00DB1635" w:rsidRPr="00B004EE">
        <w:rPr>
          <w:rFonts w:ascii="Tahoma" w:hAnsi="Tahoma" w:cs="Tahoma"/>
          <w:sz w:val="20"/>
          <w:szCs w:val="20"/>
        </w:rPr>
        <w:t xml:space="preserve"> </w:t>
      </w:r>
      <w:r w:rsidRPr="00B004EE">
        <w:rPr>
          <w:rFonts w:ascii="Tahoma" w:hAnsi="Tahoma" w:cs="Tahoma"/>
          <w:sz w:val="20"/>
          <w:szCs w:val="20"/>
        </w:rPr>
        <w:t>d’ouguiya</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navires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d’un</w:t>
      </w:r>
      <w:r w:rsidR="00DB1635" w:rsidRPr="00B004EE">
        <w:rPr>
          <w:rFonts w:ascii="Tahoma" w:hAnsi="Tahoma" w:cs="Tahoma"/>
          <w:sz w:val="20"/>
          <w:szCs w:val="20"/>
        </w:rPr>
        <w:t xml:space="preserve"> </w:t>
      </w:r>
      <w:r w:rsidRPr="00B004EE">
        <w:rPr>
          <w:rFonts w:ascii="Tahoma" w:hAnsi="Tahoma" w:cs="Tahoma"/>
          <w:sz w:val="20"/>
          <w:szCs w:val="20"/>
        </w:rPr>
        <w:t>tonnage</w:t>
      </w:r>
      <w:r w:rsidR="00DB1635" w:rsidRPr="00B004EE">
        <w:rPr>
          <w:rFonts w:ascii="Tahoma" w:hAnsi="Tahoma" w:cs="Tahoma"/>
          <w:sz w:val="20"/>
          <w:szCs w:val="20"/>
        </w:rPr>
        <w:t xml:space="preserve"> </w:t>
      </w:r>
      <w:r w:rsidRPr="00B004EE">
        <w:rPr>
          <w:rFonts w:ascii="Tahoma" w:hAnsi="Tahoma" w:cs="Tahoma"/>
          <w:sz w:val="20"/>
          <w:szCs w:val="20"/>
        </w:rPr>
        <w:t>supérieur</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égal</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85</w:t>
      </w:r>
      <w:r w:rsidR="00DB1635" w:rsidRPr="00B004EE">
        <w:rPr>
          <w:rFonts w:ascii="Tahoma" w:hAnsi="Tahoma" w:cs="Tahoma"/>
          <w:sz w:val="20"/>
          <w:szCs w:val="20"/>
        </w:rPr>
        <w:t xml:space="preserve"> </w:t>
      </w:r>
      <w:r w:rsidRPr="00B004EE">
        <w:rPr>
          <w:rFonts w:ascii="Tahoma" w:hAnsi="Tahoma" w:cs="Tahoma"/>
          <w:sz w:val="20"/>
          <w:szCs w:val="20"/>
        </w:rPr>
        <w:t>GT,</w:t>
      </w:r>
      <w:r w:rsidR="00DB1635" w:rsidRPr="00B004EE">
        <w:rPr>
          <w:rFonts w:ascii="Tahoma" w:hAnsi="Tahoma" w:cs="Tahoma"/>
          <w:sz w:val="20"/>
          <w:szCs w:val="20"/>
        </w:rPr>
        <w:t xml:space="preserve"> </w:t>
      </w:r>
      <w:r w:rsidRPr="00B004EE">
        <w:rPr>
          <w:rFonts w:ascii="Tahoma" w:hAnsi="Tahoma" w:cs="Tahoma"/>
          <w:sz w:val="20"/>
          <w:szCs w:val="20"/>
        </w:rPr>
        <w:t>mais</w:t>
      </w:r>
      <w:r w:rsidR="00DB1635" w:rsidRPr="00B004EE">
        <w:rPr>
          <w:rFonts w:ascii="Tahoma" w:hAnsi="Tahoma" w:cs="Tahoma"/>
          <w:sz w:val="20"/>
          <w:szCs w:val="20"/>
        </w:rPr>
        <w:t xml:space="preserve"> </w:t>
      </w:r>
      <w:r w:rsidRPr="00B004EE">
        <w:rPr>
          <w:rFonts w:ascii="Tahoma" w:hAnsi="Tahoma" w:cs="Tahoma"/>
          <w:sz w:val="20"/>
          <w:szCs w:val="20"/>
        </w:rPr>
        <w:t>inférieur</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100</w:t>
      </w:r>
      <w:r w:rsidR="00DB1635" w:rsidRPr="00B004EE">
        <w:rPr>
          <w:rFonts w:ascii="Tahoma" w:hAnsi="Tahoma" w:cs="Tahoma"/>
          <w:sz w:val="20"/>
          <w:szCs w:val="20"/>
        </w:rPr>
        <w:t xml:space="preserve"> </w:t>
      </w:r>
      <w:r w:rsidRPr="00B004EE">
        <w:rPr>
          <w:rFonts w:ascii="Tahoma" w:hAnsi="Tahoma" w:cs="Tahoma"/>
          <w:sz w:val="20"/>
          <w:szCs w:val="20"/>
        </w:rPr>
        <w:t>GT;</w:t>
      </w:r>
    </w:p>
    <w:p w14:paraId="6FFBFECE" w14:textId="07EAA428" w:rsidR="008518B0" w:rsidRPr="00B004EE" w:rsidRDefault="008518B0" w:rsidP="00420DDA">
      <w:pPr>
        <w:pStyle w:val="numsousart"/>
        <w:numPr>
          <w:ilvl w:val="0"/>
          <w:numId w:val="71"/>
        </w:numPr>
        <w:spacing w:before="0"/>
        <w:rPr>
          <w:rFonts w:ascii="Tahoma" w:hAnsi="Tahoma" w:cs="Tahoma"/>
          <w:sz w:val="20"/>
          <w:szCs w:val="20"/>
        </w:rPr>
      </w:pPr>
      <w:proofErr w:type="gramStart"/>
      <w:r w:rsidRPr="00B004EE">
        <w:rPr>
          <w:rFonts w:ascii="Tahoma" w:hAnsi="Tahoma" w:cs="Tahoma"/>
          <w:sz w:val="20"/>
          <w:szCs w:val="20"/>
        </w:rPr>
        <w:t>de</w:t>
      </w:r>
      <w:proofErr w:type="gramEnd"/>
      <w:r w:rsidR="00DB1635" w:rsidRPr="00B004EE">
        <w:rPr>
          <w:rFonts w:ascii="Tahoma" w:hAnsi="Tahoma" w:cs="Tahoma"/>
          <w:sz w:val="20"/>
          <w:szCs w:val="20"/>
        </w:rPr>
        <w:t xml:space="preserve"> </w:t>
      </w:r>
      <w:r w:rsidRPr="00B004EE">
        <w:rPr>
          <w:rFonts w:ascii="Tahoma" w:hAnsi="Tahoma" w:cs="Tahoma"/>
          <w:sz w:val="20"/>
          <w:szCs w:val="20"/>
        </w:rPr>
        <w:t>deux</w:t>
      </w:r>
      <w:r w:rsidR="00DB1635" w:rsidRPr="00B004EE">
        <w:rPr>
          <w:rFonts w:ascii="Tahoma" w:hAnsi="Tahoma" w:cs="Tahoma"/>
          <w:sz w:val="20"/>
          <w:szCs w:val="20"/>
        </w:rPr>
        <w:t xml:space="preserve"> </w:t>
      </w:r>
      <w:r w:rsidRPr="00B004EE">
        <w:rPr>
          <w:rFonts w:ascii="Tahoma" w:hAnsi="Tahoma" w:cs="Tahoma"/>
          <w:sz w:val="20"/>
          <w:szCs w:val="20"/>
        </w:rPr>
        <w:t>millions</w:t>
      </w:r>
      <w:r w:rsidR="00DB1635" w:rsidRPr="00B004EE">
        <w:rPr>
          <w:rFonts w:ascii="Tahoma" w:hAnsi="Tahoma" w:cs="Tahoma"/>
          <w:sz w:val="20"/>
          <w:szCs w:val="20"/>
        </w:rPr>
        <w:t xml:space="preserve"> </w:t>
      </w:r>
      <w:r w:rsidRPr="00B004EE">
        <w:rPr>
          <w:rFonts w:ascii="Tahoma" w:hAnsi="Tahoma" w:cs="Tahoma"/>
          <w:sz w:val="20"/>
          <w:szCs w:val="20"/>
        </w:rPr>
        <w:t>(2.000.000)</w:t>
      </w:r>
      <w:r w:rsidR="00DB1635" w:rsidRPr="00B004EE">
        <w:rPr>
          <w:rFonts w:ascii="Tahoma" w:hAnsi="Tahoma" w:cs="Tahoma"/>
          <w:sz w:val="20"/>
          <w:szCs w:val="20"/>
        </w:rPr>
        <w:t xml:space="preserve"> </w:t>
      </w:r>
      <w:r w:rsidRPr="00B004EE">
        <w:rPr>
          <w:rFonts w:ascii="Tahoma" w:hAnsi="Tahoma" w:cs="Tahoma"/>
          <w:sz w:val="20"/>
          <w:szCs w:val="20"/>
        </w:rPr>
        <w:t>d’ouguiyas</w:t>
      </w:r>
      <w:r w:rsidR="00DB1635" w:rsidRPr="00B004EE">
        <w:rPr>
          <w:rFonts w:ascii="Tahoma" w:hAnsi="Tahoma" w:cs="Tahoma"/>
          <w:sz w:val="20"/>
          <w:szCs w:val="20"/>
        </w:rPr>
        <w:t xml:space="preserve"> </w:t>
      </w:r>
      <w:r w:rsidRPr="00B004EE">
        <w:rPr>
          <w:rFonts w:ascii="Tahoma" w:hAnsi="Tahoma" w:cs="Tahoma"/>
          <w:sz w:val="20"/>
          <w:szCs w:val="20"/>
        </w:rPr>
        <w:t>jusqu'à</w:t>
      </w:r>
      <w:r w:rsidR="00DB1635" w:rsidRPr="00B004EE">
        <w:rPr>
          <w:rFonts w:ascii="Tahoma" w:hAnsi="Tahoma" w:cs="Tahoma"/>
          <w:sz w:val="20"/>
          <w:szCs w:val="20"/>
        </w:rPr>
        <w:t xml:space="preserve"> </w:t>
      </w:r>
      <w:r w:rsidRPr="00B004EE">
        <w:rPr>
          <w:rFonts w:ascii="Tahoma" w:hAnsi="Tahoma" w:cs="Tahoma"/>
          <w:sz w:val="20"/>
          <w:szCs w:val="20"/>
        </w:rPr>
        <w:t>huit</w:t>
      </w:r>
      <w:r w:rsidR="00DB1635" w:rsidRPr="00B004EE">
        <w:rPr>
          <w:rFonts w:ascii="Tahoma" w:hAnsi="Tahoma" w:cs="Tahoma"/>
          <w:sz w:val="20"/>
          <w:szCs w:val="20"/>
        </w:rPr>
        <w:t xml:space="preserve"> </w:t>
      </w:r>
      <w:r w:rsidRPr="00B004EE">
        <w:rPr>
          <w:rFonts w:ascii="Tahoma" w:hAnsi="Tahoma" w:cs="Tahoma"/>
          <w:sz w:val="20"/>
          <w:szCs w:val="20"/>
        </w:rPr>
        <w:t>millions</w:t>
      </w:r>
      <w:r w:rsidR="00DB1635" w:rsidRPr="00B004EE">
        <w:rPr>
          <w:rFonts w:ascii="Tahoma" w:hAnsi="Tahoma" w:cs="Tahoma"/>
          <w:sz w:val="20"/>
          <w:szCs w:val="20"/>
        </w:rPr>
        <w:t xml:space="preserve"> </w:t>
      </w:r>
      <w:r w:rsidRPr="00B004EE">
        <w:rPr>
          <w:rFonts w:ascii="Tahoma" w:hAnsi="Tahoma" w:cs="Tahoma"/>
          <w:sz w:val="20"/>
          <w:szCs w:val="20"/>
        </w:rPr>
        <w:t>(8.000.000)</w:t>
      </w:r>
      <w:r w:rsidR="00DB1635" w:rsidRPr="00B004EE">
        <w:rPr>
          <w:rFonts w:ascii="Tahoma" w:hAnsi="Tahoma" w:cs="Tahoma"/>
          <w:sz w:val="20"/>
          <w:szCs w:val="20"/>
        </w:rPr>
        <w:t xml:space="preserve"> </w:t>
      </w:r>
      <w:r w:rsidRPr="00B004EE">
        <w:rPr>
          <w:rFonts w:ascii="Tahoma" w:hAnsi="Tahoma" w:cs="Tahoma"/>
          <w:sz w:val="20"/>
          <w:szCs w:val="20"/>
        </w:rPr>
        <w:t>d’ouguiya</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navires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d'un</w:t>
      </w:r>
      <w:r w:rsidR="00DB1635" w:rsidRPr="00B004EE">
        <w:rPr>
          <w:rFonts w:ascii="Tahoma" w:hAnsi="Tahoma" w:cs="Tahoma"/>
          <w:sz w:val="20"/>
          <w:szCs w:val="20"/>
        </w:rPr>
        <w:t xml:space="preserve"> </w:t>
      </w:r>
      <w:r w:rsidRPr="00B004EE">
        <w:rPr>
          <w:rFonts w:ascii="Tahoma" w:hAnsi="Tahoma" w:cs="Tahoma"/>
          <w:sz w:val="20"/>
          <w:szCs w:val="20"/>
        </w:rPr>
        <w:t>tonnage</w:t>
      </w:r>
      <w:r w:rsidR="00DB1635" w:rsidRPr="00B004EE">
        <w:rPr>
          <w:rFonts w:ascii="Tahoma" w:hAnsi="Tahoma" w:cs="Tahoma"/>
          <w:sz w:val="20"/>
          <w:szCs w:val="20"/>
        </w:rPr>
        <w:t xml:space="preserve"> </w:t>
      </w:r>
      <w:r w:rsidRPr="00B004EE">
        <w:rPr>
          <w:rFonts w:ascii="Tahoma" w:hAnsi="Tahoma" w:cs="Tahoma"/>
          <w:sz w:val="20"/>
          <w:szCs w:val="20"/>
        </w:rPr>
        <w:t>égal</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supérieur</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100</w:t>
      </w:r>
      <w:r w:rsidR="00DB1635" w:rsidRPr="00B004EE">
        <w:rPr>
          <w:rFonts w:ascii="Tahoma" w:hAnsi="Tahoma" w:cs="Tahoma"/>
          <w:sz w:val="20"/>
          <w:szCs w:val="20"/>
        </w:rPr>
        <w:t xml:space="preserve"> </w:t>
      </w:r>
      <w:r w:rsidRPr="00B004EE">
        <w:rPr>
          <w:rFonts w:ascii="Tahoma" w:hAnsi="Tahoma" w:cs="Tahoma"/>
          <w:sz w:val="20"/>
          <w:szCs w:val="20"/>
        </w:rPr>
        <w:t>GT,</w:t>
      </w:r>
      <w:r w:rsidR="00DB1635" w:rsidRPr="00B004EE">
        <w:rPr>
          <w:rFonts w:ascii="Tahoma" w:hAnsi="Tahoma" w:cs="Tahoma"/>
          <w:sz w:val="20"/>
          <w:szCs w:val="20"/>
        </w:rPr>
        <w:t xml:space="preserve"> </w:t>
      </w:r>
      <w:r w:rsidRPr="00B004EE">
        <w:rPr>
          <w:rFonts w:ascii="Tahoma" w:hAnsi="Tahoma" w:cs="Tahoma"/>
          <w:sz w:val="20"/>
          <w:szCs w:val="20"/>
        </w:rPr>
        <w:t>mais</w:t>
      </w:r>
      <w:r w:rsidR="00DB1635" w:rsidRPr="00B004EE">
        <w:rPr>
          <w:rFonts w:ascii="Tahoma" w:hAnsi="Tahoma" w:cs="Tahoma"/>
          <w:sz w:val="20"/>
          <w:szCs w:val="20"/>
        </w:rPr>
        <w:t xml:space="preserve"> </w:t>
      </w:r>
      <w:r w:rsidRPr="00B004EE">
        <w:rPr>
          <w:rFonts w:ascii="Tahoma" w:hAnsi="Tahoma" w:cs="Tahoma"/>
          <w:sz w:val="20"/>
          <w:szCs w:val="20"/>
        </w:rPr>
        <w:t>inférieur</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150</w:t>
      </w:r>
      <w:r w:rsidR="00DB1635" w:rsidRPr="00B004EE">
        <w:rPr>
          <w:rFonts w:ascii="Tahoma" w:hAnsi="Tahoma" w:cs="Tahoma"/>
          <w:sz w:val="20"/>
          <w:szCs w:val="20"/>
        </w:rPr>
        <w:t xml:space="preserve"> </w:t>
      </w:r>
      <w:r w:rsidRPr="00B004EE">
        <w:rPr>
          <w:rFonts w:ascii="Tahoma" w:hAnsi="Tahoma" w:cs="Tahoma"/>
          <w:sz w:val="20"/>
          <w:szCs w:val="20"/>
        </w:rPr>
        <w:t>GT;</w:t>
      </w:r>
      <w:r w:rsidR="00DB1635" w:rsidRPr="00B004EE">
        <w:rPr>
          <w:rFonts w:ascii="Tahoma" w:hAnsi="Tahoma" w:cs="Tahoma"/>
          <w:sz w:val="20"/>
          <w:szCs w:val="20"/>
        </w:rPr>
        <w:t xml:space="preserve"> </w:t>
      </w:r>
    </w:p>
    <w:p w14:paraId="316B1B73" w14:textId="5FCF4454" w:rsidR="008518B0" w:rsidRPr="00B004EE" w:rsidRDefault="008518B0" w:rsidP="00420DDA">
      <w:pPr>
        <w:pStyle w:val="numsousart"/>
        <w:numPr>
          <w:ilvl w:val="0"/>
          <w:numId w:val="71"/>
        </w:numPr>
        <w:spacing w:before="0"/>
        <w:rPr>
          <w:rFonts w:ascii="Tahoma" w:hAnsi="Tahoma" w:cs="Tahoma"/>
          <w:sz w:val="20"/>
          <w:szCs w:val="20"/>
        </w:rPr>
      </w:pPr>
      <w:proofErr w:type="gramStart"/>
      <w:r w:rsidRPr="00B004EE">
        <w:rPr>
          <w:rFonts w:ascii="Tahoma" w:hAnsi="Tahoma" w:cs="Tahoma"/>
          <w:sz w:val="20"/>
          <w:szCs w:val="20"/>
        </w:rPr>
        <w:t>de</w:t>
      </w:r>
      <w:proofErr w:type="gramEnd"/>
      <w:r w:rsidR="00DB1635" w:rsidRPr="00B004EE">
        <w:rPr>
          <w:rFonts w:ascii="Tahoma" w:hAnsi="Tahoma" w:cs="Tahoma"/>
          <w:sz w:val="20"/>
          <w:szCs w:val="20"/>
        </w:rPr>
        <w:t xml:space="preserve"> </w:t>
      </w:r>
      <w:r w:rsidRPr="00B004EE">
        <w:rPr>
          <w:rFonts w:ascii="Tahoma" w:hAnsi="Tahoma" w:cs="Tahoma"/>
          <w:sz w:val="20"/>
          <w:szCs w:val="20"/>
        </w:rPr>
        <w:t>deux</w:t>
      </w:r>
      <w:r w:rsidR="00DB1635" w:rsidRPr="00B004EE">
        <w:rPr>
          <w:rFonts w:ascii="Tahoma" w:hAnsi="Tahoma" w:cs="Tahoma"/>
          <w:sz w:val="20"/>
          <w:szCs w:val="20"/>
        </w:rPr>
        <w:t xml:space="preserve"> </w:t>
      </w:r>
      <w:r w:rsidRPr="00B004EE">
        <w:rPr>
          <w:rFonts w:ascii="Tahoma" w:hAnsi="Tahoma" w:cs="Tahoma"/>
          <w:sz w:val="20"/>
          <w:szCs w:val="20"/>
        </w:rPr>
        <w:t>millions</w:t>
      </w:r>
      <w:r w:rsidR="00DB1635" w:rsidRPr="00B004EE">
        <w:rPr>
          <w:rFonts w:ascii="Tahoma" w:hAnsi="Tahoma" w:cs="Tahoma"/>
          <w:sz w:val="20"/>
          <w:szCs w:val="20"/>
        </w:rPr>
        <w:t xml:space="preserve"> </w:t>
      </w:r>
      <w:r w:rsidRPr="00B004EE">
        <w:rPr>
          <w:rFonts w:ascii="Tahoma" w:hAnsi="Tahoma" w:cs="Tahoma"/>
          <w:sz w:val="20"/>
          <w:szCs w:val="20"/>
        </w:rPr>
        <w:t>cent</w:t>
      </w:r>
      <w:r w:rsidR="00DB1635" w:rsidRPr="00B004EE">
        <w:rPr>
          <w:rFonts w:ascii="Tahoma" w:hAnsi="Tahoma" w:cs="Tahoma"/>
          <w:sz w:val="20"/>
          <w:szCs w:val="20"/>
        </w:rPr>
        <w:t xml:space="preserve"> </w:t>
      </w:r>
      <w:r w:rsidRPr="00B004EE">
        <w:rPr>
          <w:rFonts w:ascii="Tahoma" w:hAnsi="Tahoma" w:cs="Tahoma"/>
          <w:sz w:val="20"/>
          <w:szCs w:val="20"/>
        </w:rPr>
        <w:t>cinquante</w:t>
      </w:r>
      <w:r w:rsidR="00DB1635" w:rsidRPr="00B004EE">
        <w:rPr>
          <w:rFonts w:ascii="Tahoma" w:hAnsi="Tahoma" w:cs="Tahoma"/>
          <w:sz w:val="20"/>
          <w:szCs w:val="20"/>
        </w:rPr>
        <w:t xml:space="preserve"> </w:t>
      </w:r>
      <w:r w:rsidRPr="00B004EE">
        <w:rPr>
          <w:rFonts w:ascii="Tahoma" w:hAnsi="Tahoma" w:cs="Tahoma"/>
          <w:sz w:val="20"/>
          <w:szCs w:val="20"/>
        </w:rPr>
        <w:t>mille</w:t>
      </w:r>
      <w:r w:rsidR="00DB1635" w:rsidRPr="00B004EE">
        <w:rPr>
          <w:rFonts w:ascii="Tahoma" w:hAnsi="Tahoma" w:cs="Tahoma"/>
          <w:sz w:val="20"/>
          <w:szCs w:val="20"/>
        </w:rPr>
        <w:t xml:space="preserve"> </w:t>
      </w:r>
      <w:r w:rsidRPr="00B004EE">
        <w:rPr>
          <w:rFonts w:ascii="Tahoma" w:hAnsi="Tahoma" w:cs="Tahoma"/>
          <w:sz w:val="20"/>
          <w:szCs w:val="20"/>
        </w:rPr>
        <w:t>(2.150.000)</w:t>
      </w:r>
      <w:r w:rsidR="00DB1635" w:rsidRPr="00B004EE">
        <w:rPr>
          <w:rFonts w:ascii="Tahoma" w:hAnsi="Tahoma" w:cs="Tahoma"/>
          <w:sz w:val="20"/>
          <w:szCs w:val="20"/>
        </w:rPr>
        <w:t xml:space="preserve"> </w:t>
      </w:r>
      <w:r w:rsidRPr="00B004EE">
        <w:rPr>
          <w:rFonts w:ascii="Tahoma" w:hAnsi="Tahoma" w:cs="Tahoma"/>
          <w:sz w:val="20"/>
          <w:szCs w:val="20"/>
        </w:rPr>
        <w:t>ouguiya</w:t>
      </w:r>
      <w:r w:rsidR="00DB1635" w:rsidRPr="00B004EE">
        <w:rPr>
          <w:rFonts w:ascii="Tahoma" w:hAnsi="Tahoma" w:cs="Tahoma"/>
          <w:sz w:val="20"/>
          <w:szCs w:val="20"/>
        </w:rPr>
        <w:t xml:space="preserve"> </w:t>
      </w:r>
      <w:r w:rsidRPr="00B004EE">
        <w:rPr>
          <w:rFonts w:ascii="Tahoma" w:hAnsi="Tahoma" w:cs="Tahoma"/>
          <w:sz w:val="20"/>
          <w:szCs w:val="20"/>
        </w:rPr>
        <w:t>jusqu'à</w:t>
      </w:r>
      <w:r w:rsidR="00DB1635" w:rsidRPr="00B004EE">
        <w:rPr>
          <w:rFonts w:ascii="Tahoma" w:hAnsi="Tahoma" w:cs="Tahoma"/>
          <w:sz w:val="20"/>
          <w:szCs w:val="20"/>
        </w:rPr>
        <w:t xml:space="preserve"> </w:t>
      </w:r>
      <w:r w:rsidRPr="00B004EE">
        <w:rPr>
          <w:rFonts w:ascii="Tahoma" w:hAnsi="Tahoma" w:cs="Tahoma"/>
          <w:sz w:val="20"/>
          <w:szCs w:val="20"/>
        </w:rPr>
        <w:t>dix</w:t>
      </w:r>
      <w:r w:rsidR="00DB1635" w:rsidRPr="00B004EE">
        <w:rPr>
          <w:rFonts w:ascii="Tahoma" w:hAnsi="Tahoma" w:cs="Tahoma"/>
          <w:sz w:val="20"/>
          <w:szCs w:val="20"/>
        </w:rPr>
        <w:t xml:space="preserve"> </w:t>
      </w:r>
      <w:r w:rsidRPr="00B004EE">
        <w:rPr>
          <w:rFonts w:ascii="Tahoma" w:hAnsi="Tahoma" w:cs="Tahoma"/>
          <w:sz w:val="20"/>
          <w:szCs w:val="20"/>
        </w:rPr>
        <w:t>millions</w:t>
      </w:r>
      <w:r w:rsidR="00DB1635" w:rsidRPr="00B004EE">
        <w:rPr>
          <w:rFonts w:ascii="Tahoma" w:hAnsi="Tahoma" w:cs="Tahoma"/>
          <w:sz w:val="20"/>
          <w:szCs w:val="20"/>
        </w:rPr>
        <w:t xml:space="preserve"> </w:t>
      </w:r>
      <w:r w:rsidRPr="00B004EE">
        <w:rPr>
          <w:rFonts w:ascii="Tahoma" w:hAnsi="Tahoma" w:cs="Tahoma"/>
          <w:sz w:val="20"/>
          <w:szCs w:val="20"/>
        </w:rPr>
        <w:t>(10.000.000)</w:t>
      </w:r>
      <w:r w:rsidR="00DB1635" w:rsidRPr="00B004EE">
        <w:rPr>
          <w:rFonts w:ascii="Tahoma" w:hAnsi="Tahoma" w:cs="Tahoma"/>
          <w:sz w:val="20"/>
          <w:szCs w:val="20"/>
        </w:rPr>
        <w:t xml:space="preserve"> </w:t>
      </w:r>
      <w:r w:rsidRPr="00B004EE">
        <w:rPr>
          <w:rFonts w:ascii="Tahoma" w:hAnsi="Tahoma" w:cs="Tahoma"/>
          <w:sz w:val="20"/>
          <w:szCs w:val="20"/>
        </w:rPr>
        <w:t>ouguiya</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navires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d'un</w:t>
      </w:r>
      <w:r w:rsidR="00DB1635" w:rsidRPr="00B004EE">
        <w:rPr>
          <w:rFonts w:ascii="Tahoma" w:hAnsi="Tahoma" w:cs="Tahoma"/>
          <w:sz w:val="20"/>
          <w:szCs w:val="20"/>
        </w:rPr>
        <w:t xml:space="preserve"> </w:t>
      </w:r>
      <w:r w:rsidRPr="00B004EE">
        <w:rPr>
          <w:rFonts w:ascii="Tahoma" w:hAnsi="Tahoma" w:cs="Tahoma"/>
          <w:sz w:val="20"/>
          <w:szCs w:val="20"/>
        </w:rPr>
        <w:t>tonnage</w:t>
      </w:r>
      <w:r w:rsidR="00DB1635" w:rsidRPr="00B004EE">
        <w:rPr>
          <w:rFonts w:ascii="Tahoma" w:hAnsi="Tahoma" w:cs="Tahoma"/>
          <w:sz w:val="20"/>
          <w:szCs w:val="20"/>
        </w:rPr>
        <w:t xml:space="preserve"> </w:t>
      </w:r>
      <w:r w:rsidRPr="00B004EE">
        <w:rPr>
          <w:rFonts w:ascii="Tahoma" w:hAnsi="Tahoma" w:cs="Tahoma"/>
          <w:sz w:val="20"/>
          <w:szCs w:val="20"/>
        </w:rPr>
        <w:t>supérieur</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égal</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150</w:t>
      </w:r>
      <w:r w:rsidR="00DB1635" w:rsidRPr="00B004EE">
        <w:rPr>
          <w:rFonts w:ascii="Tahoma" w:hAnsi="Tahoma" w:cs="Tahoma"/>
          <w:sz w:val="20"/>
          <w:szCs w:val="20"/>
        </w:rPr>
        <w:t xml:space="preserve"> </w:t>
      </w:r>
      <w:r w:rsidRPr="00B004EE">
        <w:rPr>
          <w:rFonts w:ascii="Tahoma" w:hAnsi="Tahoma" w:cs="Tahoma"/>
          <w:sz w:val="20"/>
          <w:szCs w:val="20"/>
        </w:rPr>
        <w:t>GT,</w:t>
      </w:r>
      <w:r w:rsidR="00DB1635" w:rsidRPr="00B004EE">
        <w:rPr>
          <w:rFonts w:ascii="Tahoma" w:hAnsi="Tahoma" w:cs="Tahoma"/>
          <w:sz w:val="20"/>
          <w:szCs w:val="20"/>
        </w:rPr>
        <w:t xml:space="preserve"> </w:t>
      </w:r>
      <w:r w:rsidRPr="00B004EE">
        <w:rPr>
          <w:rFonts w:ascii="Tahoma" w:hAnsi="Tahoma" w:cs="Tahoma"/>
          <w:sz w:val="20"/>
          <w:szCs w:val="20"/>
        </w:rPr>
        <w:t>mais</w:t>
      </w:r>
      <w:r w:rsidR="00DB1635" w:rsidRPr="00B004EE">
        <w:rPr>
          <w:rFonts w:ascii="Tahoma" w:hAnsi="Tahoma" w:cs="Tahoma"/>
          <w:sz w:val="20"/>
          <w:szCs w:val="20"/>
        </w:rPr>
        <w:t xml:space="preserve"> </w:t>
      </w:r>
      <w:r w:rsidRPr="00B004EE">
        <w:rPr>
          <w:rFonts w:ascii="Tahoma" w:hAnsi="Tahoma" w:cs="Tahoma"/>
          <w:sz w:val="20"/>
          <w:szCs w:val="20"/>
        </w:rPr>
        <w:t>inférieur</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175</w:t>
      </w:r>
      <w:r w:rsidR="00DB1635" w:rsidRPr="00B004EE">
        <w:rPr>
          <w:rFonts w:ascii="Tahoma" w:hAnsi="Tahoma" w:cs="Tahoma"/>
          <w:sz w:val="20"/>
          <w:szCs w:val="20"/>
        </w:rPr>
        <w:t xml:space="preserve"> </w:t>
      </w:r>
      <w:r w:rsidRPr="00B004EE">
        <w:rPr>
          <w:rFonts w:ascii="Tahoma" w:hAnsi="Tahoma" w:cs="Tahoma"/>
          <w:sz w:val="20"/>
          <w:szCs w:val="20"/>
        </w:rPr>
        <w:t>GT;</w:t>
      </w:r>
      <w:r w:rsidR="00DB1635" w:rsidRPr="00B004EE">
        <w:rPr>
          <w:rFonts w:ascii="Tahoma" w:hAnsi="Tahoma" w:cs="Tahoma"/>
          <w:sz w:val="20"/>
          <w:szCs w:val="20"/>
        </w:rPr>
        <w:t xml:space="preserve"> </w:t>
      </w:r>
    </w:p>
    <w:p w14:paraId="7508D2EE" w14:textId="174FEFCF" w:rsidR="008518B0" w:rsidRPr="00B004EE" w:rsidRDefault="008518B0" w:rsidP="00420DDA">
      <w:pPr>
        <w:pStyle w:val="numsousart"/>
        <w:numPr>
          <w:ilvl w:val="0"/>
          <w:numId w:val="71"/>
        </w:numPr>
        <w:spacing w:before="0"/>
        <w:rPr>
          <w:rFonts w:ascii="Tahoma" w:hAnsi="Tahoma" w:cs="Tahoma"/>
          <w:sz w:val="20"/>
          <w:szCs w:val="20"/>
        </w:rPr>
      </w:pPr>
      <w:proofErr w:type="gramStart"/>
      <w:r w:rsidRPr="00B004EE">
        <w:rPr>
          <w:rFonts w:ascii="Tahoma" w:hAnsi="Tahoma" w:cs="Tahoma"/>
          <w:sz w:val="20"/>
          <w:szCs w:val="20"/>
        </w:rPr>
        <w:t>de</w:t>
      </w:r>
      <w:proofErr w:type="gramEnd"/>
      <w:r w:rsidR="00DB1635" w:rsidRPr="00B004EE">
        <w:rPr>
          <w:rFonts w:ascii="Tahoma" w:hAnsi="Tahoma" w:cs="Tahoma"/>
          <w:sz w:val="20"/>
          <w:szCs w:val="20"/>
        </w:rPr>
        <w:t xml:space="preserve"> </w:t>
      </w:r>
      <w:r w:rsidRPr="00B004EE">
        <w:rPr>
          <w:rFonts w:ascii="Tahoma" w:hAnsi="Tahoma" w:cs="Tahoma"/>
          <w:sz w:val="20"/>
          <w:szCs w:val="20"/>
        </w:rPr>
        <w:t>deux</w:t>
      </w:r>
      <w:r w:rsidR="00DB1635" w:rsidRPr="00B004EE">
        <w:rPr>
          <w:rFonts w:ascii="Tahoma" w:hAnsi="Tahoma" w:cs="Tahoma"/>
          <w:sz w:val="20"/>
          <w:szCs w:val="20"/>
        </w:rPr>
        <w:t xml:space="preserve"> </w:t>
      </w:r>
      <w:r w:rsidRPr="00B004EE">
        <w:rPr>
          <w:rFonts w:ascii="Tahoma" w:hAnsi="Tahoma" w:cs="Tahoma"/>
          <w:sz w:val="20"/>
          <w:szCs w:val="20"/>
        </w:rPr>
        <w:t>millions</w:t>
      </w:r>
      <w:r w:rsidR="00DB1635" w:rsidRPr="00B004EE">
        <w:rPr>
          <w:rFonts w:ascii="Tahoma" w:hAnsi="Tahoma" w:cs="Tahoma"/>
          <w:sz w:val="20"/>
          <w:szCs w:val="20"/>
        </w:rPr>
        <w:t xml:space="preserve"> </w:t>
      </w:r>
      <w:r w:rsidRPr="00B004EE">
        <w:rPr>
          <w:rFonts w:ascii="Tahoma" w:hAnsi="Tahoma" w:cs="Tahoma"/>
          <w:sz w:val="20"/>
          <w:szCs w:val="20"/>
        </w:rPr>
        <w:t>trois</w:t>
      </w:r>
      <w:r w:rsidR="00DB1635" w:rsidRPr="00B004EE">
        <w:rPr>
          <w:rFonts w:ascii="Tahoma" w:hAnsi="Tahoma" w:cs="Tahoma"/>
          <w:sz w:val="20"/>
          <w:szCs w:val="20"/>
        </w:rPr>
        <w:t xml:space="preserve"> </w:t>
      </w:r>
      <w:r w:rsidRPr="00B004EE">
        <w:rPr>
          <w:rFonts w:ascii="Tahoma" w:hAnsi="Tahoma" w:cs="Tahoma"/>
          <w:sz w:val="20"/>
          <w:szCs w:val="20"/>
        </w:rPr>
        <w:t>cent</w:t>
      </w:r>
      <w:r w:rsidR="00DB1635" w:rsidRPr="00B004EE">
        <w:rPr>
          <w:rFonts w:ascii="Tahoma" w:hAnsi="Tahoma" w:cs="Tahoma"/>
          <w:sz w:val="20"/>
          <w:szCs w:val="20"/>
        </w:rPr>
        <w:t xml:space="preserve"> </w:t>
      </w:r>
      <w:r w:rsidRPr="00B004EE">
        <w:rPr>
          <w:rFonts w:ascii="Tahoma" w:hAnsi="Tahoma" w:cs="Tahoma"/>
          <w:sz w:val="20"/>
          <w:szCs w:val="20"/>
        </w:rPr>
        <w:t>mille</w:t>
      </w:r>
      <w:r w:rsidR="00DB1635" w:rsidRPr="00B004EE">
        <w:rPr>
          <w:rFonts w:ascii="Tahoma" w:hAnsi="Tahoma" w:cs="Tahoma"/>
          <w:sz w:val="20"/>
          <w:szCs w:val="20"/>
        </w:rPr>
        <w:t xml:space="preserve"> </w:t>
      </w:r>
      <w:r w:rsidRPr="00B004EE">
        <w:rPr>
          <w:rFonts w:ascii="Tahoma" w:hAnsi="Tahoma" w:cs="Tahoma"/>
          <w:sz w:val="20"/>
          <w:szCs w:val="20"/>
        </w:rPr>
        <w:t>(2.300.000)</w:t>
      </w:r>
      <w:r w:rsidR="00DB1635" w:rsidRPr="00B004EE">
        <w:rPr>
          <w:rFonts w:ascii="Tahoma" w:hAnsi="Tahoma" w:cs="Tahoma"/>
          <w:sz w:val="20"/>
          <w:szCs w:val="20"/>
        </w:rPr>
        <w:t xml:space="preserve"> </w:t>
      </w:r>
      <w:r w:rsidRPr="00B004EE">
        <w:rPr>
          <w:rFonts w:ascii="Tahoma" w:hAnsi="Tahoma" w:cs="Tahoma"/>
          <w:sz w:val="20"/>
          <w:szCs w:val="20"/>
        </w:rPr>
        <w:t>ouguiya</w:t>
      </w:r>
      <w:r w:rsidR="00DB1635" w:rsidRPr="00B004EE">
        <w:rPr>
          <w:rFonts w:ascii="Tahoma" w:hAnsi="Tahoma" w:cs="Tahoma"/>
          <w:sz w:val="20"/>
          <w:szCs w:val="20"/>
        </w:rPr>
        <w:t xml:space="preserve"> </w:t>
      </w:r>
      <w:r w:rsidRPr="00B004EE">
        <w:rPr>
          <w:rFonts w:ascii="Tahoma" w:hAnsi="Tahoma" w:cs="Tahoma"/>
          <w:sz w:val="20"/>
          <w:szCs w:val="20"/>
        </w:rPr>
        <w:t>jusqu'à</w:t>
      </w:r>
      <w:r w:rsidR="00DB1635" w:rsidRPr="00B004EE">
        <w:rPr>
          <w:rFonts w:ascii="Tahoma" w:hAnsi="Tahoma" w:cs="Tahoma"/>
          <w:sz w:val="20"/>
          <w:szCs w:val="20"/>
        </w:rPr>
        <w:t xml:space="preserve"> </w:t>
      </w:r>
      <w:r w:rsidRPr="00B004EE">
        <w:rPr>
          <w:rFonts w:ascii="Tahoma" w:hAnsi="Tahoma" w:cs="Tahoma"/>
          <w:sz w:val="20"/>
          <w:szCs w:val="20"/>
        </w:rPr>
        <w:t>douze</w:t>
      </w:r>
      <w:r w:rsidR="00DB1635" w:rsidRPr="00B004EE">
        <w:rPr>
          <w:rFonts w:ascii="Tahoma" w:hAnsi="Tahoma" w:cs="Tahoma"/>
          <w:sz w:val="20"/>
          <w:szCs w:val="20"/>
        </w:rPr>
        <w:t xml:space="preserve"> </w:t>
      </w:r>
      <w:r w:rsidRPr="00B004EE">
        <w:rPr>
          <w:rFonts w:ascii="Tahoma" w:hAnsi="Tahoma" w:cs="Tahoma"/>
          <w:sz w:val="20"/>
          <w:szCs w:val="20"/>
        </w:rPr>
        <w:t>millions</w:t>
      </w:r>
      <w:r w:rsidR="00DB1635" w:rsidRPr="00B004EE">
        <w:rPr>
          <w:rFonts w:ascii="Tahoma" w:hAnsi="Tahoma" w:cs="Tahoma"/>
          <w:sz w:val="20"/>
          <w:szCs w:val="20"/>
        </w:rPr>
        <w:t xml:space="preserve"> </w:t>
      </w:r>
      <w:r w:rsidRPr="00B004EE">
        <w:rPr>
          <w:rFonts w:ascii="Tahoma" w:hAnsi="Tahoma" w:cs="Tahoma"/>
          <w:sz w:val="20"/>
          <w:szCs w:val="20"/>
        </w:rPr>
        <w:t>(12.000.000)</w:t>
      </w:r>
      <w:r w:rsidR="00DB1635" w:rsidRPr="00B004EE">
        <w:rPr>
          <w:rFonts w:ascii="Tahoma" w:hAnsi="Tahoma" w:cs="Tahoma"/>
          <w:sz w:val="20"/>
          <w:szCs w:val="20"/>
        </w:rPr>
        <w:t xml:space="preserve"> </w:t>
      </w:r>
      <w:r w:rsidRPr="00B004EE">
        <w:rPr>
          <w:rFonts w:ascii="Tahoma" w:hAnsi="Tahoma" w:cs="Tahoma"/>
          <w:sz w:val="20"/>
          <w:szCs w:val="20"/>
        </w:rPr>
        <w:t>ouguiya</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navires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d'un</w:t>
      </w:r>
      <w:r w:rsidR="00DB1635" w:rsidRPr="00B004EE">
        <w:rPr>
          <w:rFonts w:ascii="Tahoma" w:hAnsi="Tahoma" w:cs="Tahoma"/>
          <w:sz w:val="20"/>
          <w:szCs w:val="20"/>
        </w:rPr>
        <w:t xml:space="preserve"> </w:t>
      </w:r>
      <w:r w:rsidRPr="00B004EE">
        <w:rPr>
          <w:rFonts w:ascii="Tahoma" w:hAnsi="Tahoma" w:cs="Tahoma"/>
          <w:sz w:val="20"/>
          <w:szCs w:val="20"/>
        </w:rPr>
        <w:t>tonnage</w:t>
      </w:r>
      <w:r w:rsidR="00DB1635" w:rsidRPr="00B004EE">
        <w:rPr>
          <w:rFonts w:ascii="Tahoma" w:hAnsi="Tahoma" w:cs="Tahoma"/>
          <w:sz w:val="20"/>
          <w:szCs w:val="20"/>
        </w:rPr>
        <w:t xml:space="preserve"> </w:t>
      </w:r>
      <w:r w:rsidRPr="00B004EE">
        <w:rPr>
          <w:rFonts w:ascii="Tahoma" w:hAnsi="Tahoma" w:cs="Tahoma"/>
          <w:sz w:val="20"/>
          <w:szCs w:val="20"/>
        </w:rPr>
        <w:t>supérieur</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égal</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175</w:t>
      </w:r>
      <w:r w:rsidR="00DB1635" w:rsidRPr="00B004EE">
        <w:rPr>
          <w:rFonts w:ascii="Tahoma" w:hAnsi="Tahoma" w:cs="Tahoma"/>
          <w:sz w:val="20"/>
          <w:szCs w:val="20"/>
        </w:rPr>
        <w:t xml:space="preserve"> </w:t>
      </w:r>
      <w:r w:rsidRPr="00B004EE">
        <w:rPr>
          <w:rFonts w:ascii="Tahoma" w:hAnsi="Tahoma" w:cs="Tahoma"/>
          <w:sz w:val="20"/>
          <w:szCs w:val="20"/>
        </w:rPr>
        <w:t>GT,</w:t>
      </w:r>
      <w:r w:rsidR="00DB1635" w:rsidRPr="00B004EE">
        <w:rPr>
          <w:rFonts w:ascii="Tahoma" w:hAnsi="Tahoma" w:cs="Tahoma"/>
          <w:sz w:val="20"/>
          <w:szCs w:val="20"/>
        </w:rPr>
        <w:t xml:space="preserve"> </w:t>
      </w:r>
      <w:r w:rsidRPr="00B004EE">
        <w:rPr>
          <w:rFonts w:ascii="Tahoma" w:hAnsi="Tahoma" w:cs="Tahoma"/>
          <w:sz w:val="20"/>
          <w:szCs w:val="20"/>
        </w:rPr>
        <w:t>mais</w:t>
      </w:r>
      <w:r w:rsidR="00DB1635" w:rsidRPr="00B004EE">
        <w:rPr>
          <w:rFonts w:ascii="Tahoma" w:hAnsi="Tahoma" w:cs="Tahoma"/>
          <w:sz w:val="20"/>
          <w:szCs w:val="20"/>
        </w:rPr>
        <w:t xml:space="preserve"> </w:t>
      </w:r>
      <w:r w:rsidRPr="00B004EE">
        <w:rPr>
          <w:rFonts w:ascii="Tahoma" w:hAnsi="Tahoma" w:cs="Tahoma"/>
          <w:sz w:val="20"/>
          <w:szCs w:val="20"/>
        </w:rPr>
        <w:t>inférieur</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200</w:t>
      </w:r>
      <w:r w:rsidR="00DB1635" w:rsidRPr="00B004EE">
        <w:rPr>
          <w:rFonts w:ascii="Tahoma" w:hAnsi="Tahoma" w:cs="Tahoma"/>
          <w:sz w:val="20"/>
          <w:szCs w:val="20"/>
        </w:rPr>
        <w:t xml:space="preserve"> </w:t>
      </w:r>
      <w:r w:rsidRPr="00B004EE">
        <w:rPr>
          <w:rFonts w:ascii="Tahoma" w:hAnsi="Tahoma" w:cs="Tahoma"/>
          <w:sz w:val="20"/>
          <w:szCs w:val="20"/>
        </w:rPr>
        <w:t>GT;</w:t>
      </w:r>
      <w:r w:rsidR="00DB1635" w:rsidRPr="00B004EE">
        <w:rPr>
          <w:rFonts w:ascii="Tahoma" w:hAnsi="Tahoma" w:cs="Tahoma"/>
          <w:sz w:val="20"/>
          <w:szCs w:val="20"/>
        </w:rPr>
        <w:t xml:space="preserve"> </w:t>
      </w:r>
    </w:p>
    <w:p w14:paraId="6E90F197" w14:textId="0C0B2823" w:rsidR="008518B0" w:rsidRPr="00B004EE" w:rsidRDefault="008518B0" w:rsidP="00420DDA">
      <w:pPr>
        <w:pStyle w:val="numsousart"/>
        <w:numPr>
          <w:ilvl w:val="0"/>
          <w:numId w:val="71"/>
        </w:numPr>
        <w:spacing w:before="0"/>
        <w:rPr>
          <w:rFonts w:ascii="Tahoma" w:hAnsi="Tahoma" w:cs="Tahoma"/>
          <w:sz w:val="20"/>
          <w:szCs w:val="20"/>
        </w:rPr>
      </w:pPr>
      <w:proofErr w:type="gramStart"/>
      <w:r w:rsidRPr="00B004EE">
        <w:rPr>
          <w:rFonts w:ascii="Tahoma" w:hAnsi="Tahoma" w:cs="Tahoma"/>
          <w:sz w:val="20"/>
          <w:szCs w:val="20"/>
        </w:rPr>
        <w:t>de</w:t>
      </w:r>
      <w:proofErr w:type="gramEnd"/>
      <w:r w:rsidR="00DB1635" w:rsidRPr="00B004EE">
        <w:rPr>
          <w:rFonts w:ascii="Tahoma" w:hAnsi="Tahoma" w:cs="Tahoma"/>
          <w:sz w:val="20"/>
          <w:szCs w:val="20"/>
        </w:rPr>
        <w:t xml:space="preserve"> </w:t>
      </w:r>
      <w:r w:rsidRPr="00B004EE">
        <w:rPr>
          <w:rFonts w:ascii="Tahoma" w:hAnsi="Tahoma" w:cs="Tahoma"/>
          <w:sz w:val="20"/>
          <w:szCs w:val="20"/>
        </w:rPr>
        <w:t>deux</w:t>
      </w:r>
      <w:r w:rsidR="00DB1635" w:rsidRPr="00B004EE">
        <w:rPr>
          <w:rFonts w:ascii="Tahoma" w:hAnsi="Tahoma" w:cs="Tahoma"/>
          <w:sz w:val="20"/>
          <w:szCs w:val="20"/>
        </w:rPr>
        <w:t xml:space="preserve"> </w:t>
      </w:r>
      <w:r w:rsidRPr="00B004EE">
        <w:rPr>
          <w:rFonts w:ascii="Tahoma" w:hAnsi="Tahoma" w:cs="Tahoma"/>
          <w:sz w:val="20"/>
          <w:szCs w:val="20"/>
        </w:rPr>
        <w:t>millions</w:t>
      </w:r>
      <w:r w:rsidR="00DB1635" w:rsidRPr="00B004EE">
        <w:rPr>
          <w:rFonts w:ascii="Tahoma" w:hAnsi="Tahoma" w:cs="Tahoma"/>
          <w:sz w:val="20"/>
          <w:szCs w:val="20"/>
        </w:rPr>
        <w:t xml:space="preserve"> </w:t>
      </w:r>
      <w:r w:rsidRPr="00B004EE">
        <w:rPr>
          <w:rFonts w:ascii="Tahoma" w:hAnsi="Tahoma" w:cs="Tahoma"/>
          <w:sz w:val="20"/>
          <w:szCs w:val="20"/>
        </w:rPr>
        <w:t>cinq</w:t>
      </w:r>
      <w:r w:rsidR="00DB1635" w:rsidRPr="00B004EE">
        <w:rPr>
          <w:rFonts w:ascii="Tahoma" w:hAnsi="Tahoma" w:cs="Tahoma"/>
          <w:sz w:val="20"/>
          <w:szCs w:val="20"/>
        </w:rPr>
        <w:t xml:space="preserve"> </w:t>
      </w:r>
      <w:r w:rsidRPr="00B004EE">
        <w:rPr>
          <w:rFonts w:ascii="Tahoma" w:hAnsi="Tahoma" w:cs="Tahoma"/>
          <w:sz w:val="20"/>
          <w:szCs w:val="20"/>
        </w:rPr>
        <w:t>quatre</w:t>
      </w:r>
      <w:r w:rsidR="00DB1635" w:rsidRPr="00B004EE">
        <w:rPr>
          <w:rFonts w:ascii="Tahoma" w:hAnsi="Tahoma" w:cs="Tahoma"/>
          <w:sz w:val="20"/>
          <w:szCs w:val="20"/>
        </w:rPr>
        <w:t xml:space="preserve"> </w:t>
      </w:r>
      <w:r w:rsidRPr="00B004EE">
        <w:rPr>
          <w:rFonts w:ascii="Tahoma" w:hAnsi="Tahoma" w:cs="Tahoma"/>
          <w:sz w:val="20"/>
          <w:szCs w:val="20"/>
        </w:rPr>
        <w:t>cent</w:t>
      </w:r>
      <w:r w:rsidR="00DB1635" w:rsidRPr="00B004EE">
        <w:rPr>
          <w:rFonts w:ascii="Tahoma" w:hAnsi="Tahoma" w:cs="Tahoma"/>
          <w:sz w:val="20"/>
          <w:szCs w:val="20"/>
        </w:rPr>
        <w:t xml:space="preserve"> </w:t>
      </w:r>
      <w:r w:rsidRPr="00B004EE">
        <w:rPr>
          <w:rFonts w:ascii="Tahoma" w:hAnsi="Tahoma" w:cs="Tahoma"/>
          <w:sz w:val="20"/>
          <w:szCs w:val="20"/>
        </w:rPr>
        <w:t>cinquante</w:t>
      </w:r>
      <w:r w:rsidR="00DB1635" w:rsidRPr="00B004EE">
        <w:rPr>
          <w:rFonts w:ascii="Tahoma" w:hAnsi="Tahoma" w:cs="Tahoma"/>
          <w:sz w:val="20"/>
          <w:szCs w:val="20"/>
        </w:rPr>
        <w:t xml:space="preserve"> </w:t>
      </w:r>
      <w:r w:rsidRPr="00B004EE">
        <w:rPr>
          <w:rFonts w:ascii="Tahoma" w:hAnsi="Tahoma" w:cs="Tahoma"/>
          <w:sz w:val="20"/>
          <w:szCs w:val="20"/>
        </w:rPr>
        <w:t>mille</w:t>
      </w:r>
      <w:r w:rsidR="00DB1635" w:rsidRPr="00B004EE">
        <w:rPr>
          <w:rFonts w:ascii="Tahoma" w:hAnsi="Tahoma" w:cs="Tahoma"/>
          <w:sz w:val="20"/>
          <w:szCs w:val="20"/>
        </w:rPr>
        <w:t xml:space="preserve"> </w:t>
      </w:r>
      <w:r w:rsidRPr="00B004EE">
        <w:rPr>
          <w:rFonts w:ascii="Tahoma" w:hAnsi="Tahoma" w:cs="Tahoma"/>
          <w:sz w:val="20"/>
          <w:szCs w:val="20"/>
        </w:rPr>
        <w:t>(2.450.000)</w:t>
      </w:r>
      <w:r w:rsidR="00DB1635" w:rsidRPr="00B004EE">
        <w:rPr>
          <w:rFonts w:ascii="Tahoma" w:hAnsi="Tahoma" w:cs="Tahoma"/>
          <w:sz w:val="20"/>
          <w:szCs w:val="20"/>
        </w:rPr>
        <w:t xml:space="preserve"> </w:t>
      </w:r>
      <w:r w:rsidRPr="00B004EE">
        <w:rPr>
          <w:rFonts w:ascii="Tahoma" w:hAnsi="Tahoma" w:cs="Tahoma"/>
          <w:sz w:val="20"/>
          <w:szCs w:val="20"/>
        </w:rPr>
        <w:t>ouguiya</w:t>
      </w:r>
      <w:r w:rsidR="00DB1635" w:rsidRPr="00B004EE">
        <w:rPr>
          <w:rFonts w:ascii="Tahoma" w:hAnsi="Tahoma" w:cs="Tahoma"/>
          <w:sz w:val="20"/>
          <w:szCs w:val="20"/>
        </w:rPr>
        <w:t xml:space="preserve"> </w:t>
      </w:r>
      <w:r w:rsidRPr="00B004EE">
        <w:rPr>
          <w:rFonts w:ascii="Tahoma" w:hAnsi="Tahoma" w:cs="Tahoma"/>
          <w:sz w:val="20"/>
          <w:szCs w:val="20"/>
        </w:rPr>
        <w:t>jusqu'à</w:t>
      </w:r>
      <w:r w:rsidR="00DB1635" w:rsidRPr="00B004EE">
        <w:rPr>
          <w:rFonts w:ascii="Tahoma" w:hAnsi="Tahoma" w:cs="Tahoma"/>
          <w:sz w:val="20"/>
          <w:szCs w:val="20"/>
        </w:rPr>
        <w:t xml:space="preserve"> </w:t>
      </w:r>
      <w:r w:rsidRPr="00B004EE">
        <w:rPr>
          <w:rFonts w:ascii="Tahoma" w:hAnsi="Tahoma" w:cs="Tahoma"/>
          <w:sz w:val="20"/>
          <w:szCs w:val="20"/>
        </w:rPr>
        <w:t>quinze</w:t>
      </w:r>
      <w:r w:rsidR="00DB1635" w:rsidRPr="00B004EE">
        <w:rPr>
          <w:rFonts w:ascii="Tahoma" w:hAnsi="Tahoma" w:cs="Tahoma"/>
          <w:sz w:val="20"/>
          <w:szCs w:val="20"/>
        </w:rPr>
        <w:t xml:space="preserve"> </w:t>
      </w:r>
      <w:r w:rsidRPr="00B004EE">
        <w:rPr>
          <w:rFonts w:ascii="Tahoma" w:hAnsi="Tahoma" w:cs="Tahoma"/>
          <w:sz w:val="20"/>
          <w:szCs w:val="20"/>
        </w:rPr>
        <w:t>millions</w:t>
      </w:r>
      <w:r w:rsidR="00DB1635" w:rsidRPr="00B004EE">
        <w:rPr>
          <w:rFonts w:ascii="Tahoma" w:hAnsi="Tahoma" w:cs="Tahoma"/>
          <w:sz w:val="20"/>
          <w:szCs w:val="20"/>
        </w:rPr>
        <w:t xml:space="preserve"> </w:t>
      </w:r>
      <w:r w:rsidRPr="00B004EE">
        <w:rPr>
          <w:rFonts w:ascii="Tahoma" w:hAnsi="Tahoma" w:cs="Tahoma"/>
          <w:sz w:val="20"/>
          <w:szCs w:val="20"/>
        </w:rPr>
        <w:t>(15.000.000)</w:t>
      </w:r>
      <w:r w:rsidR="00DB1635" w:rsidRPr="00B004EE">
        <w:rPr>
          <w:rFonts w:ascii="Tahoma" w:hAnsi="Tahoma" w:cs="Tahoma"/>
          <w:sz w:val="20"/>
          <w:szCs w:val="20"/>
        </w:rPr>
        <w:t xml:space="preserve"> </w:t>
      </w:r>
      <w:r w:rsidRPr="00B004EE">
        <w:rPr>
          <w:rFonts w:ascii="Tahoma" w:hAnsi="Tahoma" w:cs="Tahoma"/>
          <w:sz w:val="20"/>
          <w:szCs w:val="20"/>
        </w:rPr>
        <w:t>ouguiya</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navires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d'un</w:t>
      </w:r>
      <w:r w:rsidR="00DB1635" w:rsidRPr="00B004EE">
        <w:rPr>
          <w:rFonts w:ascii="Tahoma" w:hAnsi="Tahoma" w:cs="Tahoma"/>
          <w:sz w:val="20"/>
          <w:szCs w:val="20"/>
        </w:rPr>
        <w:t xml:space="preserve"> </w:t>
      </w:r>
      <w:r w:rsidRPr="00B004EE">
        <w:rPr>
          <w:rFonts w:ascii="Tahoma" w:hAnsi="Tahoma" w:cs="Tahoma"/>
          <w:sz w:val="20"/>
          <w:szCs w:val="20"/>
        </w:rPr>
        <w:t>tonnage</w:t>
      </w:r>
      <w:r w:rsidR="00DB1635" w:rsidRPr="00B004EE">
        <w:rPr>
          <w:rFonts w:ascii="Tahoma" w:hAnsi="Tahoma" w:cs="Tahoma"/>
          <w:sz w:val="20"/>
          <w:szCs w:val="20"/>
        </w:rPr>
        <w:t xml:space="preserve"> </w:t>
      </w:r>
      <w:r w:rsidRPr="00B004EE">
        <w:rPr>
          <w:rFonts w:ascii="Tahoma" w:hAnsi="Tahoma" w:cs="Tahoma"/>
          <w:sz w:val="20"/>
          <w:szCs w:val="20"/>
        </w:rPr>
        <w:t>égal</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supérieur</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200</w:t>
      </w:r>
      <w:r w:rsidR="00DB1635" w:rsidRPr="00B004EE">
        <w:rPr>
          <w:rFonts w:ascii="Tahoma" w:hAnsi="Tahoma" w:cs="Tahoma"/>
          <w:sz w:val="20"/>
          <w:szCs w:val="20"/>
        </w:rPr>
        <w:t xml:space="preserve"> </w:t>
      </w:r>
      <w:r w:rsidRPr="00B004EE">
        <w:rPr>
          <w:rFonts w:ascii="Tahoma" w:hAnsi="Tahoma" w:cs="Tahoma"/>
          <w:sz w:val="20"/>
          <w:szCs w:val="20"/>
        </w:rPr>
        <w:t>GT,</w:t>
      </w:r>
      <w:r w:rsidR="00DB1635" w:rsidRPr="00B004EE">
        <w:rPr>
          <w:rFonts w:ascii="Tahoma" w:hAnsi="Tahoma" w:cs="Tahoma"/>
          <w:sz w:val="20"/>
          <w:szCs w:val="20"/>
        </w:rPr>
        <w:t xml:space="preserve"> </w:t>
      </w:r>
      <w:r w:rsidRPr="00B004EE">
        <w:rPr>
          <w:rFonts w:ascii="Tahoma" w:hAnsi="Tahoma" w:cs="Tahoma"/>
          <w:sz w:val="20"/>
          <w:szCs w:val="20"/>
        </w:rPr>
        <w:t>mais</w:t>
      </w:r>
      <w:r w:rsidR="00DB1635" w:rsidRPr="00B004EE">
        <w:rPr>
          <w:rFonts w:ascii="Tahoma" w:hAnsi="Tahoma" w:cs="Tahoma"/>
          <w:sz w:val="20"/>
          <w:szCs w:val="20"/>
        </w:rPr>
        <w:t xml:space="preserve"> </w:t>
      </w:r>
      <w:r w:rsidRPr="00B004EE">
        <w:rPr>
          <w:rFonts w:ascii="Tahoma" w:hAnsi="Tahoma" w:cs="Tahoma"/>
          <w:sz w:val="20"/>
          <w:szCs w:val="20"/>
        </w:rPr>
        <w:t>inférieur</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250</w:t>
      </w:r>
      <w:r w:rsidR="00DB1635" w:rsidRPr="00B004EE">
        <w:rPr>
          <w:rFonts w:ascii="Tahoma" w:hAnsi="Tahoma" w:cs="Tahoma"/>
          <w:sz w:val="20"/>
          <w:szCs w:val="20"/>
        </w:rPr>
        <w:t xml:space="preserve"> </w:t>
      </w:r>
      <w:r w:rsidRPr="00B004EE">
        <w:rPr>
          <w:rFonts w:ascii="Tahoma" w:hAnsi="Tahoma" w:cs="Tahoma"/>
          <w:sz w:val="20"/>
          <w:szCs w:val="20"/>
        </w:rPr>
        <w:t>GT;</w:t>
      </w:r>
    </w:p>
    <w:p w14:paraId="499114E2" w14:textId="229B65C3" w:rsidR="008518B0" w:rsidRPr="00B004EE" w:rsidRDefault="008518B0" w:rsidP="00420DDA">
      <w:pPr>
        <w:pStyle w:val="numsousart"/>
        <w:numPr>
          <w:ilvl w:val="0"/>
          <w:numId w:val="71"/>
        </w:numPr>
        <w:spacing w:before="0"/>
        <w:rPr>
          <w:rFonts w:ascii="Tahoma" w:hAnsi="Tahoma" w:cs="Tahoma"/>
          <w:sz w:val="20"/>
          <w:szCs w:val="20"/>
        </w:rPr>
      </w:pPr>
      <w:proofErr w:type="gramStart"/>
      <w:r w:rsidRPr="00B004EE">
        <w:rPr>
          <w:rFonts w:ascii="Tahoma" w:hAnsi="Tahoma" w:cs="Tahoma"/>
          <w:sz w:val="20"/>
          <w:szCs w:val="20"/>
        </w:rPr>
        <w:t>de</w:t>
      </w:r>
      <w:proofErr w:type="gramEnd"/>
      <w:r w:rsidR="00DB1635" w:rsidRPr="00B004EE">
        <w:rPr>
          <w:rFonts w:ascii="Tahoma" w:hAnsi="Tahoma" w:cs="Tahoma"/>
          <w:sz w:val="20"/>
          <w:szCs w:val="20"/>
        </w:rPr>
        <w:t xml:space="preserve"> </w:t>
      </w:r>
      <w:r w:rsidRPr="00B004EE">
        <w:rPr>
          <w:rFonts w:ascii="Tahoma" w:hAnsi="Tahoma" w:cs="Tahoma"/>
          <w:sz w:val="20"/>
          <w:szCs w:val="20"/>
        </w:rPr>
        <w:t>deux</w:t>
      </w:r>
      <w:r w:rsidR="00DB1635" w:rsidRPr="00B004EE">
        <w:rPr>
          <w:rFonts w:ascii="Tahoma" w:hAnsi="Tahoma" w:cs="Tahoma"/>
          <w:sz w:val="20"/>
          <w:szCs w:val="20"/>
        </w:rPr>
        <w:t xml:space="preserve"> </w:t>
      </w:r>
      <w:r w:rsidRPr="00B004EE">
        <w:rPr>
          <w:rFonts w:ascii="Tahoma" w:hAnsi="Tahoma" w:cs="Tahoma"/>
          <w:sz w:val="20"/>
          <w:szCs w:val="20"/>
        </w:rPr>
        <w:t>millions</w:t>
      </w:r>
      <w:r w:rsidR="00DB1635" w:rsidRPr="00B004EE">
        <w:rPr>
          <w:rFonts w:ascii="Tahoma" w:hAnsi="Tahoma" w:cs="Tahoma"/>
          <w:sz w:val="20"/>
          <w:szCs w:val="20"/>
        </w:rPr>
        <w:t xml:space="preserve"> </w:t>
      </w:r>
      <w:r w:rsidRPr="00B004EE">
        <w:rPr>
          <w:rFonts w:ascii="Tahoma" w:hAnsi="Tahoma" w:cs="Tahoma"/>
          <w:sz w:val="20"/>
          <w:szCs w:val="20"/>
        </w:rPr>
        <w:t>cinq</w:t>
      </w:r>
      <w:r w:rsidR="00DB1635" w:rsidRPr="00B004EE">
        <w:rPr>
          <w:rFonts w:ascii="Tahoma" w:hAnsi="Tahoma" w:cs="Tahoma"/>
          <w:sz w:val="20"/>
          <w:szCs w:val="20"/>
        </w:rPr>
        <w:t xml:space="preserve"> </w:t>
      </w:r>
      <w:r w:rsidRPr="00B004EE">
        <w:rPr>
          <w:rFonts w:ascii="Tahoma" w:hAnsi="Tahoma" w:cs="Tahoma"/>
          <w:sz w:val="20"/>
          <w:szCs w:val="20"/>
        </w:rPr>
        <w:t>cent</w:t>
      </w:r>
      <w:r w:rsidR="00DB1635" w:rsidRPr="00B004EE">
        <w:rPr>
          <w:rFonts w:ascii="Tahoma" w:hAnsi="Tahoma" w:cs="Tahoma"/>
          <w:sz w:val="20"/>
          <w:szCs w:val="20"/>
        </w:rPr>
        <w:t xml:space="preserve"> </w:t>
      </w:r>
      <w:r w:rsidRPr="00B004EE">
        <w:rPr>
          <w:rFonts w:ascii="Tahoma" w:hAnsi="Tahoma" w:cs="Tahoma"/>
          <w:sz w:val="20"/>
          <w:szCs w:val="20"/>
        </w:rPr>
        <w:t>(2.500.000)</w:t>
      </w:r>
      <w:r w:rsidR="00DB1635" w:rsidRPr="00B004EE">
        <w:rPr>
          <w:rFonts w:ascii="Tahoma" w:hAnsi="Tahoma" w:cs="Tahoma"/>
          <w:sz w:val="20"/>
          <w:szCs w:val="20"/>
        </w:rPr>
        <w:t xml:space="preserve"> </w:t>
      </w:r>
      <w:r w:rsidRPr="00B004EE">
        <w:rPr>
          <w:rFonts w:ascii="Tahoma" w:hAnsi="Tahoma" w:cs="Tahoma"/>
          <w:sz w:val="20"/>
          <w:szCs w:val="20"/>
        </w:rPr>
        <w:t>ouguiya</w:t>
      </w:r>
      <w:r w:rsidR="00DB1635" w:rsidRPr="00B004EE">
        <w:rPr>
          <w:rFonts w:ascii="Tahoma" w:hAnsi="Tahoma" w:cs="Tahoma"/>
          <w:sz w:val="20"/>
          <w:szCs w:val="20"/>
        </w:rPr>
        <w:t xml:space="preserve"> </w:t>
      </w:r>
      <w:r w:rsidRPr="00B004EE">
        <w:rPr>
          <w:rFonts w:ascii="Tahoma" w:hAnsi="Tahoma" w:cs="Tahoma"/>
          <w:sz w:val="20"/>
          <w:szCs w:val="20"/>
        </w:rPr>
        <w:t>jusqu'à</w:t>
      </w:r>
      <w:r w:rsidR="00DB1635" w:rsidRPr="00B004EE">
        <w:rPr>
          <w:rFonts w:ascii="Tahoma" w:hAnsi="Tahoma" w:cs="Tahoma"/>
          <w:sz w:val="20"/>
          <w:szCs w:val="20"/>
        </w:rPr>
        <w:t xml:space="preserve"> </w:t>
      </w:r>
      <w:r w:rsidRPr="00B004EE">
        <w:rPr>
          <w:rFonts w:ascii="Tahoma" w:hAnsi="Tahoma" w:cs="Tahoma"/>
          <w:sz w:val="20"/>
          <w:szCs w:val="20"/>
        </w:rPr>
        <w:t>vingt</w:t>
      </w:r>
      <w:r w:rsidR="00DB1635" w:rsidRPr="00B004EE">
        <w:rPr>
          <w:rFonts w:ascii="Tahoma" w:hAnsi="Tahoma" w:cs="Tahoma"/>
          <w:sz w:val="20"/>
          <w:szCs w:val="20"/>
        </w:rPr>
        <w:t xml:space="preserve"> </w:t>
      </w:r>
      <w:r w:rsidRPr="00B004EE">
        <w:rPr>
          <w:rFonts w:ascii="Tahoma" w:hAnsi="Tahoma" w:cs="Tahoma"/>
          <w:sz w:val="20"/>
          <w:szCs w:val="20"/>
        </w:rPr>
        <w:t>millions</w:t>
      </w:r>
      <w:r w:rsidR="00DB1635" w:rsidRPr="00B004EE">
        <w:rPr>
          <w:rFonts w:ascii="Tahoma" w:hAnsi="Tahoma" w:cs="Tahoma"/>
          <w:sz w:val="20"/>
          <w:szCs w:val="20"/>
        </w:rPr>
        <w:t xml:space="preserve"> </w:t>
      </w:r>
      <w:r w:rsidRPr="00B004EE">
        <w:rPr>
          <w:rFonts w:ascii="Tahoma" w:hAnsi="Tahoma" w:cs="Tahoma"/>
          <w:sz w:val="20"/>
          <w:szCs w:val="20"/>
        </w:rPr>
        <w:t>(20.000.000)</w:t>
      </w:r>
      <w:r w:rsidR="00DB1635" w:rsidRPr="00B004EE">
        <w:rPr>
          <w:rFonts w:ascii="Tahoma" w:hAnsi="Tahoma" w:cs="Tahoma"/>
          <w:sz w:val="20"/>
          <w:szCs w:val="20"/>
        </w:rPr>
        <w:t xml:space="preserve"> </w:t>
      </w:r>
      <w:r w:rsidRPr="00B004EE">
        <w:rPr>
          <w:rFonts w:ascii="Tahoma" w:hAnsi="Tahoma" w:cs="Tahoma"/>
          <w:sz w:val="20"/>
          <w:szCs w:val="20"/>
        </w:rPr>
        <w:t>d’ouguiya</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navires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d'un</w:t>
      </w:r>
      <w:r w:rsidR="00DB1635" w:rsidRPr="00B004EE">
        <w:rPr>
          <w:rFonts w:ascii="Tahoma" w:hAnsi="Tahoma" w:cs="Tahoma"/>
          <w:sz w:val="20"/>
          <w:szCs w:val="20"/>
        </w:rPr>
        <w:t xml:space="preserve"> </w:t>
      </w:r>
      <w:r w:rsidRPr="00B004EE">
        <w:rPr>
          <w:rFonts w:ascii="Tahoma" w:hAnsi="Tahoma" w:cs="Tahoma"/>
          <w:sz w:val="20"/>
          <w:szCs w:val="20"/>
        </w:rPr>
        <w:t>tonnage</w:t>
      </w:r>
      <w:r w:rsidR="00DB1635" w:rsidRPr="00B004EE">
        <w:rPr>
          <w:rFonts w:ascii="Tahoma" w:hAnsi="Tahoma" w:cs="Tahoma"/>
          <w:sz w:val="20"/>
          <w:szCs w:val="20"/>
        </w:rPr>
        <w:t xml:space="preserve"> </w:t>
      </w:r>
      <w:r w:rsidRPr="00B004EE">
        <w:rPr>
          <w:rFonts w:ascii="Tahoma" w:hAnsi="Tahoma" w:cs="Tahoma"/>
          <w:sz w:val="20"/>
          <w:szCs w:val="20"/>
        </w:rPr>
        <w:t>supérieur</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égal</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250</w:t>
      </w:r>
      <w:r w:rsidR="00DB1635" w:rsidRPr="00B004EE">
        <w:rPr>
          <w:rFonts w:ascii="Tahoma" w:hAnsi="Tahoma" w:cs="Tahoma"/>
          <w:sz w:val="20"/>
          <w:szCs w:val="20"/>
        </w:rPr>
        <w:t xml:space="preserve"> </w:t>
      </w:r>
      <w:r w:rsidRPr="00B004EE">
        <w:rPr>
          <w:rFonts w:ascii="Tahoma" w:hAnsi="Tahoma" w:cs="Tahoma"/>
          <w:sz w:val="20"/>
          <w:szCs w:val="20"/>
        </w:rPr>
        <w:t>GT,</w:t>
      </w:r>
      <w:r w:rsidR="00DB1635" w:rsidRPr="00B004EE">
        <w:rPr>
          <w:rFonts w:ascii="Tahoma" w:hAnsi="Tahoma" w:cs="Tahoma"/>
          <w:sz w:val="20"/>
          <w:szCs w:val="20"/>
        </w:rPr>
        <w:t xml:space="preserve"> </w:t>
      </w:r>
      <w:r w:rsidRPr="00B004EE">
        <w:rPr>
          <w:rFonts w:ascii="Tahoma" w:hAnsi="Tahoma" w:cs="Tahoma"/>
          <w:sz w:val="20"/>
          <w:szCs w:val="20"/>
        </w:rPr>
        <w:t>mais</w:t>
      </w:r>
      <w:r w:rsidR="00DB1635" w:rsidRPr="00B004EE">
        <w:rPr>
          <w:rFonts w:ascii="Tahoma" w:hAnsi="Tahoma" w:cs="Tahoma"/>
          <w:sz w:val="20"/>
          <w:szCs w:val="20"/>
        </w:rPr>
        <w:t xml:space="preserve"> </w:t>
      </w:r>
      <w:r w:rsidRPr="00B004EE">
        <w:rPr>
          <w:rFonts w:ascii="Tahoma" w:hAnsi="Tahoma" w:cs="Tahoma"/>
          <w:sz w:val="20"/>
          <w:szCs w:val="20"/>
        </w:rPr>
        <w:t>inférieur</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350</w:t>
      </w:r>
      <w:r w:rsidR="00DB1635" w:rsidRPr="00B004EE">
        <w:rPr>
          <w:rFonts w:ascii="Tahoma" w:hAnsi="Tahoma" w:cs="Tahoma"/>
          <w:sz w:val="20"/>
          <w:szCs w:val="20"/>
        </w:rPr>
        <w:t xml:space="preserve"> </w:t>
      </w:r>
      <w:r w:rsidRPr="00B004EE">
        <w:rPr>
          <w:rFonts w:ascii="Tahoma" w:hAnsi="Tahoma" w:cs="Tahoma"/>
          <w:sz w:val="20"/>
          <w:szCs w:val="20"/>
        </w:rPr>
        <w:t>GT</w:t>
      </w:r>
      <w:r w:rsidR="00DB1635" w:rsidRPr="00B004EE">
        <w:rPr>
          <w:rFonts w:ascii="Tahoma" w:hAnsi="Tahoma" w:cs="Tahoma"/>
          <w:sz w:val="20"/>
          <w:szCs w:val="20"/>
        </w:rPr>
        <w:t xml:space="preserve"> </w:t>
      </w:r>
      <w:r w:rsidRPr="00B004EE">
        <w:rPr>
          <w:rFonts w:ascii="Tahoma" w:hAnsi="Tahoma" w:cs="Tahoma"/>
          <w:sz w:val="20"/>
          <w:szCs w:val="20"/>
        </w:rPr>
        <w:t>;</w:t>
      </w:r>
    </w:p>
    <w:p w14:paraId="5DDAF2A6" w14:textId="30DE3AC7" w:rsidR="008518B0" w:rsidRPr="00B004EE" w:rsidRDefault="008518B0" w:rsidP="00420DDA">
      <w:pPr>
        <w:pStyle w:val="numsousart"/>
        <w:numPr>
          <w:ilvl w:val="0"/>
          <w:numId w:val="71"/>
        </w:numPr>
        <w:spacing w:before="0"/>
        <w:rPr>
          <w:rFonts w:ascii="Tahoma" w:hAnsi="Tahoma" w:cs="Tahoma"/>
          <w:sz w:val="20"/>
          <w:szCs w:val="20"/>
        </w:rPr>
      </w:pPr>
      <w:proofErr w:type="gramStart"/>
      <w:r w:rsidRPr="00B004EE">
        <w:rPr>
          <w:rFonts w:ascii="Tahoma" w:hAnsi="Tahoma" w:cs="Tahoma"/>
          <w:sz w:val="20"/>
          <w:szCs w:val="20"/>
        </w:rPr>
        <w:t>de</w:t>
      </w:r>
      <w:proofErr w:type="gramEnd"/>
      <w:r w:rsidR="00DB1635" w:rsidRPr="00B004EE">
        <w:rPr>
          <w:rFonts w:ascii="Tahoma" w:hAnsi="Tahoma" w:cs="Tahoma"/>
          <w:sz w:val="20"/>
          <w:szCs w:val="20"/>
        </w:rPr>
        <w:t xml:space="preserve"> </w:t>
      </w:r>
      <w:r w:rsidRPr="00B004EE">
        <w:rPr>
          <w:rFonts w:ascii="Tahoma" w:hAnsi="Tahoma" w:cs="Tahoma"/>
          <w:sz w:val="20"/>
          <w:szCs w:val="20"/>
        </w:rPr>
        <w:t>trois</w:t>
      </w:r>
      <w:r w:rsidR="00DB1635" w:rsidRPr="00B004EE">
        <w:rPr>
          <w:rFonts w:ascii="Tahoma" w:hAnsi="Tahoma" w:cs="Tahoma"/>
          <w:sz w:val="20"/>
          <w:szCs w:val="20"/>
        </w:rPr>
        <w:t xml:space="preserve"> </w:t>
      </w:r>
      <w:r w:rsidRPr="00B004EE">
        <w:rPr>
          <w:rFonts w:ascii="Tahoma" w:hAnsi="Tahoma" w:cs="Tahoma"/>
          <w:sz w:val="20"/>
          <w:szCs w:val="20"/>
        </w:rPr>
        <w:t>millions</w:t>
      </w:r>
      <w:r w:rsidR="00DB1635" w:rsidRPr="00B004EE">
        <w:rPr>
          <w:rFonts w:ascii="Tahoma" w:hAnsi="Tahoma" w:cs="Tahoma"/>
          <w:sz w:val="20"/>
          <w:szCs w:val="20"/>
        </w:rPr>
        <w:t xml:space="preserve"> </w:t>
      </w:r>
      <w:r w:rsidRPr="00B004EE">
        <w:rPr>
          <w:rFonts w:ascii="Tahoma" w:hAnsi="Tahoma" w:cs="Tahoma"/>
          <w:sz w:val="20"/>
          <w:szCs w:val="20"/>
        </w:rPr>
        <w:t>cinq</w:t>
      </w:r>
      <w:r w:rsidR="00DB1635" w:rsidRPr="00B004EE">
        <w:rPr>
          <w:rFonts w:ascii="Tahoma" w:hAnsi="Tahoma" w:cs="Tahoma"/>
          <w:sz w:val="20"/>
          <w:szCs w:val="20"/>
        </w:rPr>
        <w:t xml:space="preserve"> </w:t>
      </w:r>
      <w:r w:rsidRPr="00B004EE">
        <w:rPr>
          <w:rFonts w:ascii="Tahoma" w:hAnsi="Tahoma" w:cs="Tahoma"/>
          <w:sz w:val="20"/>
          <w:szCs w:val="20"/>
        </w:rPr>
        <w:t>cent</w:t>
      </w:r>
      <w:r w:rsidR="00DB1635" w:rsidRPr="00B004EE">
        <w:rPr>
          <w:rFonts w:ascii="Tahoma" w:hAnsi="Tahoma" w:cs="Tahoma"/>
          <w:sz w:val="20"/>
          <w:szCs w:val="20"/>
        </w:rPr>
        <w:t xml:space="preserve"> </w:t>
      </w:r>
      <w:r w:rsidRPr="00B004EE">
        <w:rPr>
          <w:rFonts w:ascii="Tahoma" w:hAnsi="Tahoma" w:cs="Tahoma"/>
          <w:sz w:val="20"/>
          <w:szCs w:val="20"/>
        </w:rPr>
        <w:t>(3.500.000)</w:t>
      </w:r>
      <w:r w:rsidR="00DB1635" w:rsidRPr="00B004EE">
        <w:rPr>
          <w:rFonts w:ascii="Tahoma" w:hAnsi="Tahoma" w:cs="Tahoma"/>
          <w:sz w:val="20"/>
          <w:szCs w:val="20"/>
        </w:rPr>
        <w:t xml:space="preserve"> </w:t>
      </w:r>
      <w:r w:rsidRPr="00B004EE">
        <w:rPr>
          <w:rFonts w:ascii="Tahoma" w:hAnsi="Tahoma" w:cs="Tahoma"/>
          <w:sz w:val="20"/>
          <w:szCs w:val="20"/>
        </w:rPr>
        <w:t>ouguiya</w:t>
      </w:r>
      <w:r w:rsidR="00DB1635" w:rsidRPr="00B004EE">
        <w:rPr>
          <w:rFonts w:ascii="Tahoma" w:hAnsi="Tahoma" w:cs="Tahoma"/>
          <w:sz w:val="20"/>
          <w:szCs w:val="20"/>
        </w:rPr>
        <w:t xml:space="preserve"> </w:t>
      </w:r>
      <w:r w:rsidRPr="00B004EE">
        <w:rPr>
          <w:rFonts w:ascii="Tahoma" w:hAnsi="Tahoma" w:cs="Tahoma"/>
          <w:sz w:val="20"/>
          <w:szCs w:val="20"/>
        </w:rPr>
        <w:t>jusqu'à</w:t>
      </w:r>
      <w:r w:rsidR="00DB1635" w:rsidRPr="00B004EE">
        <w:rPr>
          <w:rFonts w:ascii="Tahoma" w:hAnsi="Tahoma" w:cs="Tahoma"/>
          <w:sz w:val="20"/>
          <w:szCs w:val="20"/>
        </w:rPr>
        <w:t xml:space="preserve"> </w:t>
      </w:r>
      <w:r w:rsidRPr="00B004EE">
        <w:rPr>
          <w:rFonts w:ascii="Tahoma" w:hAnsi="Tahoma" w:cs="Tahoma"/>
          <w:sz w:val="20"/>
          <w:szCs w:val="20"/>
        </w:rPr>
        <w:t>vingt-cinq</w:t>
      </w:r>
      <w:r w:rsidR="00DB1635" w:rsidRPr="00B004EE">
        <w:rPr>
          <w:rFonts w:ascii="Tahoma" w:hAnsi="Tahoma" w:cs="Tahoma"/>
          <w:sz w:val="20"/>
          <w:szCs w:val="20"/>
        </w:rPr>
        <w:t xml:space="preserve"> </w:t>
      </w:r>
      <w:r w:rsidRPr="00B004EE">
        <w:rPr>
          <w:rFonts w:ascii="Tahoma" w:hAnsi="Tahoma" w:cs="Tahoma"/>
          <w:sz w:val="20"/>
          <w:szCs w:val="20"/>
        </w:rPr>
        <w:t>millions</w:t>
      </w:r>
      <w:r w:rsidR="00DB1635" w:rsidRPr="00B004EE">
        <w:rPr>
          <w:rFonts w:ascii="Tahoma" w:hAnsi="Tahoma" w:cs="Tahoma"/>
          <w:sz w:val="20"/>
          <w:szCs w:val="20"/>
        </w:rPr>
        <w:t xml:space="preserve"> </w:t>
      </w:r>
      <w:r w:rsidRPr="00B004EE">
        <w:rPr>
          <w:rFonts w:ascii="Tahoma" w:hAnsi="Tahoma" w:cs="Tahoma"/>
          <w:sz w:val="20"/>
          <w:szCs w:val="20"/>
        </w:rPr>
        <w:t>(25.000.000)</w:t>
      </w:r>
      <w:r w:rsidR="00DB1635" w:rsidRPr="00B004EE">
        <w:rPr>
          <w:rFonts w:ascii="Tahoma" w:hAnsi="Tahoma" w:cs="Tahoma"/>
          <w:sz w:val="20"/>
          <w:szCs w:val="20"/>
        </w:rPr>
        <w:t xml:space="preserve"> </w:t>
      </w:r>
      <w:r w:rsidRPr="00B004EE">
        <w:rPr>
          <w:rFonts w:ascii="Tahoma" w:hAnsi="Tahoma" w:cs="Tahoma"/>
          <w:sz w:val="20"/>
          <w:szCs w:val="20"/>
        </w:rPr>
        <w:t>ouguiya</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navires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d'un</w:t>
      </w:r>
      <w:r w:rsidR="00DB1635" w:rsidRPr="00B004EE">
        <w:rPr>
          <w:rFonts w:ascii="Tahoma" w:hAnsi="Tahoma" w:cs="Tahoma"/>
          <w:sz w:val="20"/>
          <w:szCs w:val="20"/>
        </w:rPr>
        <w:t xml:space="preserve"> </w:t>
      </w:r>
      <w:r w:rsidRPr="00B004EE">
        <w:rPr>
          <w:rFonts w:ascii="Tahoma" w:hAnsi="Tahoma" w:cs="Tahoma"/>
          <w:sz w:val="20"/>
          <w:szCs w:val="20"/>
        </w:rPr>
        <w:t>tonnage</w:t>
      </w:r>
      <w:r w:rsidR="00DB1635" w:rsidRPr="00B004EE">
        <w:rPr>
          <w:rFonts w:ascii="Tahoma" w:hAnsi="Tahoma" w:cs="Tahoma"/>
          <w:sz w:val="20"/>
          <w:szCs w:val="20"/>
        </w:rPr>
        <w:t xml:space="preserve"> </w:t>
      </w:r>
      <w:r w:rsidRPr="00B004EE">
        <w:rPr>
          <w:rFonts w:ascii="Tahoma" w:hAnsi="Tahoma" w:cs="Tahoma"/>
          <w:sz w:val="20"/>
          <w:szCs w:val="20"/>
        </w:rPr>
        <w:t>supérieur</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égal</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350</w:t>
      </w:r>
      <w:r w:rsidR="00DB1635" w:rsidRPr="00B004EE">
        <w:rPr>
          <w:rFonts w:ascii="Tahoma" w:hAnsi="Tahoma" w:cs="Tahoma"/>
          <w:sz w:val="20"/>
          <w:szCs w:val="20"/>
        </w:rPr>
        <w:t xml:space="preserve"> </w:t>
      </w:r>
      <w:r w:rsidRPr="00B004EE">
        <w:rPr>
          <w:rFonts w:ascii="Tahoma" w:hAnsi="Tahoma" w:cs="Tahoma"/>
          <w:sz w:val="20"/>
          <w:szCs w:val="20"/>
        </w:rPr>
        <w:t>GT,</w:t>
      </w:r>
      <w:r w:rsidR="00DB1635" w:rsidRPr="00B004EE">
        <w:rPr>
          <w:rFonts w:ascii="Tahoma" w:hAnsi="Tahoma" w:cs="Tahoma"/>
          <w:sz w:val="20"/>
          <w:szCs w:val="20"/>
        </w:rPr>
        <w:t xml:space="preserve"> </w:t>
      </w:r>
      <w:r w:rsidRPr="00B004EE">
        <w:rPr>
          <w:rFonts w:ascii="Tahoma" w:hAnsi="Tahoma" w:cs="Tahoma"/>
          <w:sz w:val="20"/>
          <w:szCs w:val="20"/>
        </w:rPr>
        <w:t>mais</w:t>
      </w:r>
      <w:r w:rsidR="00DB1635" w:rsidRPr="00B004EE">
        <w:rPr>
          <w:rFonts w:ascii="Tahoma" w:hAnsi="Tahoma" w:cs="Tahoma"/>
          <w:sz w:val="20"/>
          <w:szCs w:val="20"/>
        </w:rPr>
        <w:t xml:space="preserve"> </w:t>
      </w:r>
      <w:r w:rsidRPr="00B004EE">
        <w:rPr>
          <w:rFonts w:ascii="Tahoma" w:hAnsi="Tahoma" w:cs="Tahoma"/>
          <w:sz w:val="20"/>
          <w:szCs w:val="20"/>
        </w:rPr>
        <w:t>inférieur</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600</w:t>
      </w:r>
      <w:r w:rsidR="00DB1635" w:rsidRPr="00B004EE">
        <w:rPr>
          <w:rFonts w:ascii="Tahoma" w:hAnsi="Tahoma" w:cs="Tahoma"/>
          <w:sz w:val="20"/>
          <w:szCs w:val="20"/>
        </w:rPr>
        <w:t xml:space="preserve"> </w:t>
      </w:r>
      <w:r w:rsidRPr="00B004EE">
        <w:rPr>
          <w:rFonts w:ascii="Tahoma" w:hAnsi="Tahoma" w:cs="Tahoma"/>
          <w:sz w:val="20"/>
          <w:szCs w:val="20"/>
        </w:rPr>
        <w:t>GT</w:t>
      </w:r>
      <w:r w:rsidR="00DB1635" w:rsidRPr="00B004EE">
        <w:rPr>
          <w:rFonts w:ascii="Tahoma" w:hAnsi="Tahoma" w:cs="Tahoma"/>
          <w:sz w:val="20"/>
          <w:szCs w:val="20"/>
        </w:rPr>
        <w:t xml:space="preserve"> </w:t>
      </w:r>
      <w:r w:rsidRPr="00B004EE">
        <w:rPr>
          <w:rFonts w:ascii="Tahoma" w:hAnsi="Tahoma" w:cs="Tahoma"/>
          <w:sz w:val="20"/>
          <w:szCs w:val="20"/>
        </w:rPr>
        <w:t>;</w:t>
      </w:r>
    </w:p>
    <w:p w14:paraId="339BAE43" w14:textId="0739E7BB" w:rsidR="008518B0" w:rsidRPr="00B004EE" w:rsidRDefault="008518B0" w:rsidP="00420DDA">
      <w:pPr>
        <w:pStyle w:val="numsousart"/>
        <w:numPr>
          <w:ilvl w:val="0"/>
          <w:numId w:val="71"/>
        </w:numPr>
        <w:spacing w:before="0"/>
        <w:rPr>
          <w:rFonts w:ascii="Tahoma" w:hAnsi="Tahoma" w:cs="Tahoma"/>
          <w:sz w:val="20"/>
          <w:szCs w:val="20"/>
        </w:rPr>
      </w:pPr>
      <w:r w:rsidRPr="00B004EE">
        <w:rPr>
          <w:rFonts w:ascii="Tahoma" w:hAnsi="Tahoma" w:cs="Tahoma"/>
          <w:sz w:val="20"/>
          <w:szCs w:val="20"/>
        </w:rPr>
        <w:t>[</w:t>
      </w:r>
      <w:proofErr w:type="gramStart"/>
      <w:r w:rsidRPr="00B004EE">
        <w:rPr>
          <w:rFonts w:ascii="Tahoma" w:hAnsi="Tahoma" w:cs="Tahoma"/>
          <w:sz w:val="20"/>
          <w:szCs w:val="20"/>
        </w:rPr>
        <w:t>de</w:t>
      </w:r>
      <w:proofErr w:type="gramEnd"/>
      <w:r w:rsidR="00DB1635" w:rsidRPr="00B004EE">
        <w:rPr>
          <w:rFonts w:ascii="Tahoma" w:hAnsi="Tahoma" w:cs="Tahoma"/>
          <w:sz w:val="20"/>
          <w:szCs w:val="20"/>
        </w:rPr>
        <w:t xml:space="preserve"> </w:t>
      </w:r>
      <w:r w:rsidRPr="00B004EE">
        <w:rPr>
          <w:rFonts w:ascii="Tahoma" w:hAnsi="Tahoma" w:cs="Tahoma"/>
          <w:sz w:val="20"/>
          <w:szCs w:val="20"/>
        </w:rPr>
        <w:t>quatre</w:t>
      </w:r>
      <w:r w:rsidR="00DB1635" w:rsidRPr="00B004EE">
        <w:rPr>
          <w:rFonts w:ascii="Tahoma" w:hAnsi="Tahoma" w:cs="Tahoma"/>
          <w:sz w:val="20"/>
          <w:szCs w:val="20"/>
        </w:rPr>
        <w:t xml:space="preserve"> </w:t>
      </w:r>
      <w:r w:rsidRPr="00B004EE">
        <w:rPr>
          <w:rFonts w:ascii="Tahoma" w:hAnsi="Tahoma" w:cs="Tahoma"/>
          <w:sz w:val="20"/>
          <w:szCs w:val="20"/>
        </w:rPr>
        <w:t>millions</w:t>
      </w:r>
      <w:r w:rsidR="00DB1635" w:rsidRPr="00B004EE">
        <w:rPr>
          <w:rFonts w:ascii="Tahoma" w:hAnsi="Tahoma" w:cs="Tahoma"/>
          <w:sz w:val="20"/>
          <w:szCs w:val="20"/>
        </w:rPr>
        <w:t xml:space="preserve"> </w:t>
      </w:r>
      <w:r w:rsidRPr="00B004EE">
        <w:rPr>
          <w:rFonts w:ascii="Tahoma" w:hAnsi="Tahoma" w:cs="Tahoma"/>
          <w:sz w:val="20"/>
          <w:szCs w:val="20"/>
        </w:rPr>
        <w:t>(4.000.000)</w:t>
      </w:r>
      <w:r w:rsidR="00DB1635" w:rsidRPr="00B004EE">
        <w:rPr>
          <w:rFonts w:ascii="Tahoma" w:hAnsi="Tahoma" w:cs="Tahoma"/>
          <w:sz w:val="20"/>
          <w:szCs w:val="20"/>
        </w:rPr>
        <w:t xml:space="preserve"> </w:t>
      </w:r>
      <w:r w:rsidRPr="00B004EE">
        <w:rPr>
          <w:rFonts w:ascii="Tahoma" w:hAnsi="Tahoma" w:cs="Tahoma"/>
          <w:sz w:val="20"/>
          <w:szCs w:val="20"/>
        </w:rPr>
        <w:t>ouguiya</w:t>
      </w:r>
      <w:r w:rsidR="00DB1635" w:rsidRPr="00B004EE">
        <w:rPr>
          <w:rFonts w:ascii="Tahoma" w:hAnsi="Tahoma" w:cs="Tahoma"/>
          <w:sz w:val="20"/>
          <w:szCs w:val="20"/>
        </w:rPr>
        <w:t xml:space="preserve"> </w:t>
      </w:r>
      <w:r w:rsidRPr="00B004EE">
        <w:rPr>
          <w:rFonts w:ascii="Tahoma" w:hAnsi="Tahoma" w:cs="Tahoma"/>
          <w:sz w:val="20"/>
          <w:szCs w:val="20"/>
        </w:rPr>
        <w:t>jusqu'à</w:t>
      </w:r>
      <w:r w:rsidR="00DB1635" w:rsidRPr="00B004EE">
        <w:rPr>
          <w:rFonts w:ascii="Tahoma" w:hAnsi="Tahoma" w:cs="Tahoma"/>
          <w:sz w:val="20"/>
          <w:szCs w:val="20"/>
        </w:rPr>
        <w:t xml:space="preserve"> </w:t>
      </w:r>
      <w:r w:rsidRPr="00B004EE">
        <w:rPr>
          <w:rFonts w:ascii="Tahoma" w:hAnsi="Tahoma" w:cs="Tahoma"/>
          <w:sz w:val="20"/>
          <w:szCs w:val="20"/>
        </w:rPr>
        <w:t>quarante-cinq</w:t>
      </w:r>
      <w:r w:rsidR="00DB1635" w:rsidRPr="00B004EE">
        <w:rPr>
          <w:rFonts w:ascii="Tahoma" w:hAnsi="Tahoma" w:cs="Tahoma"/>
          <w:sz w:val="20"/>
          <w:szCs w:val="20"/>
        </w:rPr>
        <w:t xml:space="preserve"> </w:t>
      </w:r>
      <w:r w:rsidRPr="00B004EE">
        <w:rPr>
          <w:rFonts w:ascii="Tahoma" w:hAnsi="Tahoma" w:cs="Tahoma"/>
          <w:sz w:val="20"/>
          <w:szCs w:val="20"/>
        </w:rPr>
        <w:t>millions</w:t>
      </w:r>
      <w:r w:rsidR="00DB1635" w:rsidRPr="00B004EE">
        <w:rPr>
          <w:rFonts w:ascii="Tahoma" w:hAnsi="Tahoma" w:cs="Tahoma"/>
          <w:sz w:val="20"/>
          <w:szCs w:val="20"/>
        </w:rPr>
        <w:t xml:space="preserve"> </w:t>
      </w:r>
      <w:r w:rsidRPr="00B004EE">
        <w:rPr>
          <w:rFonts w:ascii="Tahoma" w:hAnsi="Tahoma" w:cs="Tahoma"/>
          <w:sz w:val="20"/>
          <w:szCs w:val="20"/>
        </w:rPr>
        <w:t>(45.000.000)</w:t>
      </w:r>
      <w:r w:rsidR="00DB1635" w:rsidRPr="00B004EE">
        <w:rPr>
          <w:rFonts w:ascii="Tahoma" w:hAnsi="Tahoma" w:cs="Tahoma"/>
          <w:sz w:val="20"/>
          <w:szCs w:val="20"/>
        </w:rPr>
        <w:t xml:space="preserve"> </w:t>
      </w:r>
      <w:r w:rsidRPr="00B004EE">
        <w:rPr>
          <w:rFonts w:ascii="Tahoma" w:hAnsi="Tahoma" w:cs="Tahoma"/>
          <w:sz w:val="20"/>
          <w:szCs w:val="20"/>
        </w:rPr>
        <w:t>d’ouguiya</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navires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d'un</w:t>
      </w:r>
      <w:r w:rsidR="00DB1635" w:rsidRPr="00B004EE">
        <w:rPr>
          <w:rFonts w:ascii="Tahoma" w:hAnsi="Tahoma" w:cs="Tahoma"/>
          <w:sz w:val="20"/>
          <w:szCs w:val="20"/>
        </w:rPr>
        <w:t xml:space="preserve"> </w:t>
      </w:r>
      <w:r w:rsidRPr="00B004EE">
        <w:rPr>
          <w:rFonts w:ascii="Tahoma" w:hAnsi="Tahoma" w:cs="Tahoma"/>
          <w:sz w:val="20"/>
          <w:szCs w:val="20"/>
        </w:rPr>
        <w:t>tonnage</w:t>
      </w:r>
      <w:r w:rsidR="00DB1635" w:rsidRPr="00B004EE">
        <w:rPr>
          <w:rFonts w:ascii="Tahoma" w:hAnsi="Tahoma" w:cs="Tahoma"/>
          <w:sz w:val="20"/>
          <w:szCs w:val="20"/>
        </w:rPr>
        <w:t xml:space="preserve"> </w:t>
      </w:r>
      <w:r w:rsidRPr="00B004EE">
        <w:rPr>
          <w:rFonts w:ascii="Tahoma" w:hAnsi="Tahoma" w:cs="Tahoma"/>
          <w:sz w:val="20"/>
          <w:szCs w:val="20"/>
        </w:rPr>
        <w:t>supérieur</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égal</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600</w:t>
      </w:r>
      <w:r w:rsidR="00DB1635" w:rsidRPr="00B004EE">
        <w:rPr>
          <w:rFonts w:ascii="Tahoma" w:hAnsi="Tahoma" w:cs="Tahoma"/>
          <w:sz w:val="20"/>
          <w:szCs w:val="20"/>
        </w:rPr>
        <w:t xml:space="preserve"> </w:t>
      </w:r>
      <w:r w:rsidRPr="00B004EE">
        <w:rPr>
          <w:rFonts w:ascii="Tahoma" w:hAnsi="Tahoma" w:cs="Tahoma"/>
          <w:sz w:val="20"/>
          <w:szCs w:val="20"/>
        </w:rPr>
        <w:t>GT.</w:t>
      </w:r>
    </w:p>
    <w:p w14:paraId="7678FFA7" w14:textId="77777777" w:rsidR="008518B0" w:rsidRPr="00B004EE" w:rsidRDefault="008518B0" w:rsidP="00B004EE">
      <w:pPr>
        <w:pStyle w:val="numsousart"/>
        <w:spacing w:before="0"/>
        <w:rPr>
          <w:rFonts w:ascii="Tahoma" w:hAnsi="Tahoma" w:cs="Tahoma"/>
          <w:sz w:val="20"/>
          <w:szCs w:val="20"/>
        </w:rPr>
      </w:pPr>
    </w:p>
    <w:p w14:paraId="1AF4962B" w14:textId="40274547" w:rsidR="008518B0" w:rsidRPr="00B004EE" w:rsidRDefault="008518B0" w:rsidP="00B004EE">
      <w:pPr>
        <w:pStyle w:val="article"/>
        <w:numPr>
          <w:ilvl w:val="0"/>
          <w:numId w:val="0"/>
        </w:numPr>
        <w:tabs>
          <w:tab w:val="left" w:pos="1200"/>
        </w:tabs>
        <w:spacing w:before="0" w:line="240" w:lineRule="auto"/>
        <w:rPr>
          <w:rFonts w:ascii="Tahoma" w:hAnsi="Tahoma" w:cs="Tahoma"/>
          <w:sz w:val="20"/>
          <w:szCs w:val="20"/>
        </w:rPr>
      </w:pPr>
      <w:r w:rsidRPr="00B004EE">
        <w:rPr>
          <w:rFonts w:ascii="Tahoma" w:hAnsi="Tahoma" w:cs="Tahoma"/>
          <w:sz w:val="20"/>
          <w:szCs w:val="20"/>
        </w:rPr>
        <w:t>Article</w:t>
      </w:r>
      <w:r w:rsidR="00DB1635" w:rsidRPr="00B004EE">
        <w:rPr>
          <w:rFonts w:ascii="Tahoma" w:hAnsi="Tahoma" w:cs="Tahoma"/>
          <w:sz w:val="20"/>
          <w:szCs w:val="20"/>
        </w:rPr>
        <w:t xml:space="preserve"> </w:t>
      </w:r>
      <w:r w:rsidRPr="00B004EE">
        <w:rPr>
          <w:rFonts w:ascii="Tahoma" w:hAnsi="Tahoma" w:cs="Tahoma"/>
          <w:sz w:val="20"/>
          <w:szCs w:val="20"/>
        </w:rPr>
        <w:t>60</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montant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sanctions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appliquer</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chaque</w:t>
      </w:r>
      <w:r w:rsidR="00DB1635" w:rsidRPr="00B004EE">
        <w:rPr>
          <w:rFonts w:ascii="Tahoma" w:hAnsi="Tahoma" w:cs="Tahoma"/>
          <w:sz w:val="20"/>
          <w:szCs w:val="20"/>
        </w:rPr>
        <w:t xml:space="preserve"> </w:t>
      </w:r>
      <w:r w:rsidRPr="00B004EE">
        <w:rPr>
          <w:rFonts w:ascii="Tahoma" w:hAnsi="Tahoma" w:cs="Tahoma"/>
          <w:sz w:val="20"/>
          <w:szCs w:val="20"/>
        </w:rPr>
        <w:t>cas</w:t>
      </w:r>
      <w:r w:rsidR="00DB1635" w:rsidRPr="00B004EE">
        <w:rPr>
          <w:rFonts w:ascii="Tahoma" w:hAnsi="Tahoma" w:cs="Tahoma"/>
          <w:sz w:val="20"/>
          <w:szCs w:val="20"/>
        </w:rPr>
        <w:t xml:space="preserve"> </w:t>
      </w:r>
      <w:r w:rsidRPr="00B004EE">
        <w:rPr>
          <w:rFonts w:ascii="Tahoma" w:hAnsi="Tahoma" w:cs="Tahoma"/>
          <w:sz w:val="20"/>
          <w:szCs w:val="20"/>
        </w:rPr>
        <w:t>sera</w:t>
      </w:r>
      <w:r w:rsidR="00DB1635" w:rsidRPr="00B004EE">
        <w:rPr>
          <w:rFonts w:ascii="Tahoma" w:hAnsi="Tahoma" w:cs="Tahoma"/>
          <w:sz w:val="20"/>
          <w:szCs w:val="20"/>
        </w:rPr>
        <w:t xml:space="preserve"> </w:t>
      </w:r>
      <w:r w:rsidRPr="00B004EE">
        <w:rPr>
          <w:rFonts w:ascii="Tahoma" w:hAnsi="Tahoma" w:cs="Tahoma"/>
          <w:sz w:val="20"/>
          <w:szCs w:val="20"/>
        </w:rPr>
        <w:t>défini,</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l’intérieur</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limites</w:t>
      </w:r>
      <w:r w:rsidR="00DB1635" w:rsidRPr="00B004EE">
        <w:rPr>
          <w:rFonts w:ascii="Tahoma" w:hAnsi="Tahoma" w:cs="Tahoma"/>
          <w:sz w:val="20"/>
          <w:szCs w:val="20"/>
        </w:rPr>
        <w:t xml:space="preserve"> </w:t>
      </w:r>
      <w:r w:rsidRPr="00B004EE">
        <w:rPr>
          <w:rFonts w:ascii="Tahoma" w:hAnsi="Tahoma" w:cs="Tahoma"/>
          <w:sz w:val="20"/>
          <w:szCs w:val="20"/>
        </w:rPr>
        <w:t>prescrites</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articles</w:t>
      </w:r>
      <w:r w:rsidR="00DB1635" w:rsidRPr="00B004EE">
        <w:rPr>
          <w:rFonts w:ascii="Tahoma" w:hAnsi="Tahoma" w:cs="Tahoma"/>
          <w:sz w:val="20"/>
          <w:szCs w:val="20"/>
        </w:rPr>
        <w:t xml:space="preserve"> </w:t>
      </w:r>
      <w:r w:rsidRPr="00B004EE">
        <w:rPr>
          <w:rFonts w:ascii="Tahoma" w:hAnsi="Tahoma" w:cs="Tahoma"/>
          <w:sz w:val="20"/>
          <w:szCs w:val="20"/>
        </w:rPr>
        <w:t>60</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61</w:t>
      </w:r>
      <w:r w:rsidR="00DB1635" w:rsidRPr="00B004EE">
        <w:rPr>
          <w:rFonts w:ascii="Tahoma" w:hAnsi="Tahoma" w:cs="Tahoma"/>
          <w:sz w:val="20"/>
          <w:szCs w:val="20"/>
        </w:rPr>
        <w:t xml:space="preserve"> </w:t>
      </w:r>
      <w:r w:rsidRPr="00B004EE">
        <w:rPr>
          <w:rFonts w:ascii="Tahoma" w:hAnsi="Tahoma" w:cs="Tahoma"/>
          <w:sz w:val="20"/>
          <w:szCs w:val="20"/>
        </w:rPr>
        <w:t>ci-dessus,</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tenant</w:t>
      </w:r>
      <w:r w:rsidR="00DB1635" w:rsidRPr="00B004EE">
        <w:rPr>
          <w:rFonts w:ascii="Tahoma" w:hAnsi="Tahoma" w:cs="Tahoma"/>
          <w:sz w:val="20"/>
          <w:szCs w:val="20"/>
        </w:rPr>
        <w:t xml:space="preserve"> </w:t>
      </w:r>
      <w:r w:rsidRPr="00B004EE">
        <w:rPr>
          <w:rFonts w:ascii="Tahoma" w:hAnsi="Tahoma" w:cs="Tahoma"/>
          <w:sz w:val="20"/>
          <w:szCs w:val="20"/>
        </w:rPr>
        <w:t>compte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éléments</w:t>
      </w:r>
      <w:r w:rsidR="00DB1635" w:rsidRPr="00B004EE">
        <w:rPr>
          <w:rFonts w:ascii="Tahoma" w:hAnsi="Tahoma" w:cs="Tahoma"/>
          <w:sz w:val="20"/>
          <w:szCs w:val="20"/>
        </w:rPr>
        <w:t xml:space="preserve"> </w:t>
      </w:r>
      <w:r w:rsidRPr="00B004EE">
        <w:rPr>
          <w:rFonts w:ascii="Tahoma" w:hAnsi="Tahoma" w:cs="Tahoma"/>
          <w:sz w:val="20"/>
          <w:szCs w:val="20"/>
        </w:rPr>
        <w:t>spécifiés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l’article</w:t>
      </w:r>
      <w:r w:rsidR="00DB1635" w:rsidRPr="00B004EE">
        <w:rPr>
          <w:rFonts w:ascii="Tahoma" w:hAnsi="Tahoma" w:cs="Tahoma"/>
          <w:sz w:val="20"/>
          <w:szCs w:val="20"/>
        </w:rPr>
        <w:t xml:space="preserve"> </w:t>
      </w:r>
      <w:r w:rsidRPr="00B004EE">
        <w:rPr>
          <w:rFonts w:ascii="Tahoma" w:hAnsi="Tahoma" w:cs="Tahoma"/>
          <w:sz w:val="20"/>
          <w:szCs w:val="20"/>
        </w:rPr>
        <w:t>86</w:t>
      </w:r>
      <w:r w:rsidR="00DB1635" w:rsidRPr="00B004EE">
        <w:rPr>
          <w:rFonts w:ascii="Tahoma" w:hAnsi="Tahoma" w:cs="Tahoma"/>
          <w:sz w:val="20"/>
          <w:szCs w:val="20"/>
        </w:rPr>
        <w:t xml:space="preserve"> </w:t>
      </w:r>
      <w:r w:rsidRPr="00B004EE">
        <w:rPr>
          <w:rFonts w:ascii="Tahoma" w:hAnsi="Tahoma" w:cs="Tahoma"/>
          <w:sz w:val="20"/>
          <w:szCs w:val="20"/>
        </w:rPr>
        <w:t>alinéa</w:t>
      </w:r>
      <w:r w:rsidR="00DB1635" w:rsidRPr="00B004EE">
        <w:rPr>
          <w:rFonts w:ascii="Tahoma" w:hAnsi="Tahoma" w:cs="Tahoma"/>
          <w:sz w:val="20"/>
          <w:szCs w:val="20"/>
        </w:rPr>
        <w:t xml:space="preserve"> </w:t>
      </w:r>
      <w:r w:rsidRPr="00B004EE">
        <w:rPr>
          <w:rFonts w:ascii="Tahoma" w:hAnsi="Tahoma" w:cs="Tahoma"/>
          <w:sz w:val="20"/>
          <w:szCs w:val="20"/>
        </w:rPr>
        <w:t>1</w:t>
      </w:r>
      <w:r w:rsidRPr="00B004EE">
        <w:rPr>
          <w:rFonts w:ascii="Tahoma" w:hAnsi="Tahoma" w:cs="Tahoma"/>
          <w:sz w:val="20"/>
          <w:szCs w:val="20"/>
          <w:vertAlign w:val="superscript"/>
        </w:rPr>
        <w:t>er</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loi</w:t>
      </w:r>
      <w:r w:rsidR="00DB1635" w:rsidRPr="00B004EE">
        <w:rPr>
          <w:rFonts w:ascii="Tahoma" w:hAnsi="Tahoma" w:cs="Tahoma"/>
          <w:sz w:val="20"/>
          <w:szCs w:val="20"/>
        </w:rPr>
        <w:t xml:space="preserve"> </w:t>
      </w:r>
      <w:r w:rsidRPr="00B004EE">
        <w:rPr>
          <w:rFonts w:ascii="Tahoma" w:hAnsi="Tahoma" w:cs="Tahoma"/>
          <w:sz w:val="20"/>
          <w:szCs w:val="20"/>
        </w:rPr>
        <w:t>n°017-2015</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29</w:t>
      </w:r>
      <w:r w:rsidR="00DB1635" w:rsidRPr="00B004EE">
        <w:rPr>
          <w:rFonts w:ascii="Tahoma" w:hAnsi="Tahoma" w:cs="Tahoma"/>
          <w:sz w:val="20"/>
          <w:szCs w:val="20"/>
        </w:rPr>
        <w:t xml:space="preserve"> </w:t>
      </w:r>
      <w:r w:rsidRPr="00B004EE">
        <w:rPr>
          <w:rFonts w:ascii="Tahoma" w:hAnsi="Tahoma" w:cs="Tahoma"/>
          <w:sz w:val="20"/>
          <w:szCs w:val="20"/>
        </w:rPr>
        <w:t>juillet</w:t>
      </w:r>
      <w:r w:rsidR="00DB1635" w:rsidRPr="00B004EE">
        <w:rPr>
          <w:rFonts w:ascii="Tahoma" w:hAnsi="Tahoma" w:cs="Tahoma"/>
          <w:sz w:val="20"/>
          <w:szCs w:val="20"/>
        </w:rPr>
        <w:t xml:space="preserve"> </w:t>
      </w:r>
      <w:r w:rsidRPr="00B004EE">
        <w:rPr>
          <w:rFonts w:ascii="Tahoma" w:hAnsi="Tahoma" w:cs="Tahoma"/>
          <w:sz w:val="20"/>
          <w:szCs w:val="20"/>
        </w:rPr>
        <w:t>2105</w:t>
      </w:r>
      <w:r w:rsidR="00DB1635" w:rsidRPr="00B004EE">
        <w:rPr>
          <w:rFonts w:ascii="Tahoma" w:hAnsi="Tahoma" w:cs="Tahoma"/>
          <w:sz w:val="20"/>
          <w:szCs w:val="20"/>
        </w:rPr>
        <w:t xml:space="preserve"> </w:t>
      </w:r>
      <w:r w:rsidRPr="00B004EE">
        <w:rPr>
          <w:rFonts w:ascii="Tahoma" w:hAnsi="Tahoma" w:cs="Tahoma"/>
          <w:sz w:val="20"/>
          <w:szCs w:val="20"/>
        </w:rPr>
        <w:t>portant</w:t>
      </w:r>
      <w:r w:rsidR="00DB1635" w:rsidRPr="00B004EE">
        <w:rPr>
          <w:rFonts w:ascii="Tahoma" w:hAnsi="Tahoma" w:cs="Tahoma"/>
          <w:sz w:val="20"/>
          <w:szCs w:val="20"/>
        </w:rPr>
        <w:t xml:space="preserve"> </w:t>
      </w:r>
      <w:r w:rsidRPr="00B004EE">
        <w:rPr>
          <w:rFonts w:ascii="Tahoma" w:hAnsi="Tahoma" w:cs="Tahoma"/>
          <w:sz w:val="20"/>
          <w:szCs w:val="20"/>
        </w:rPr>
        <w:t>Code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p>
    <w:p w14:paraId="3431A3B3" w14:textId="77777777" w:rsidR="008518B0" w:rsidRPr="00B004EE" w:rsidRDefault="008518B0" w:rsidP="00B004EE">
      <w:pPr>
        <w:pStyle w:val="article"/>
        <w:numPr>
          <w:ilvl w:val="0"/>
          <w:numId w:val="0"/>
        </w:numPr>
        <w:tabs>
          <w:tab w:val="left" w:pos="1200"/>
        </w:tabs>
        <w:spacing w:before="0" w:line="240" w:lineRule="auto"/>
        <w:jc w:val="center"/>
        <w:rPr>
          <w:rFonts w:ascii="Tahoma" w:hAnsi="Tahoma" w:cs="Tahoma"/>
          <w:b/>
          <w:bCs/>
          <w:sz w:val="20"/>
          <w:szCs w:val="20"/>
        </w:rPr>
      </w:pPr>
    </w:p>
    <w:p w14:paraId="6F61C6B7" w14:textId="1D44AC7C" w:rsidR="008518B0" w:rsidRPr="00B004EE" w:rsidRDefault="008518B0" w:rsidP="00B004EE">
      <w:pPr>
        <w:pStyle w:val="article"/>
        <w:numPr>
          <w:ilvl w:val="0"/>
          <w:numId w:val="0"/>
        </w:numPr>
        <w:tabs>
          <w:tab w:val="left" w:pos="1200"/>
        </w:tabs>
        <w:spacing w:before="0" w:line="240" w:lineRule="auto"/>
        <w:jc w:val="center"/>
        <w:rPr>
          <w:rFonts w:ascii="Tahoma" w:hAnsi="Tahoma" w:cs="Tahoma"/>
          <w:b/>
          <w:bCs/>
          <w:sz w:val="20"/>
          <w:szCs w:val="20"/>
        </w:rPr>
      </w:pPr>
      <w:r w:rsidRPr="00B004EE">
        <w:rPr>
          <w:rFonts w:ascii="Tahoma" w:hAnsi="Tahoma" w:cs="Tahoma"/>
          <w:b/>
          <w:bCs/>
          <w:sz w:val="20"/>
          <w:szCs w:val="20"/>
        </w:rPr>
        <w:t>Section</w:t>
      </w:r>
      <w:r w:rsidR="00DB1635" w:rsidRPr="00B004EE">
        <w:rPr>
          <w:rFonts w:ascii="Tahoma" w:hAnsi="Tahoma" w:cs="Tahoma"/>
          <w:b/>
          <w:bCs/>
          <w:sz w:val="20"/>
          <w:szCs w:val="20"/>
        </w:rPr>
        <w:t xml:space="preserve"> </w:t>
      </w:r>
      <w:r w:rsidRPr="00B004EE">
        <w:rPr>
          <w:rFonts w:ascii="Tahoma" w:hAnsi="Tahoma" w:cs="Tahoma"/>
          <w:b/>
          <w:bCs/>
          <w:sz w:val="20"/>
          <w:szCs w:val="20"/>
        </w:rPr>
        <w:t>7</w:t>
      </w:r>
      <w:r w:rsidR="00DB1635" w:rsidRPr="00B004EE">
        <w:rPr>
          <w:rFonts w:ascii="Tahoma" w:hAnsi="Tahoma" w:cs="Tahoma"/>
          <w:b/>
          <w:bCs/>
          <w:sz w:val="20"/>
          <w:szCs w:val="20"/>
        </w:rPr>
        <w:t xml:space="preserve"> </w:t>
      </w:r>
      <w:r w:rsidRPr="00B004EE">
        <w:rPr>
          <w:rFonts w:ascii="Tahoma" w:hAnsi="Tahoma" w:cs="Tahoma"/>
          <w:b/>
          <w:bCs/>
          <w:sz w:val="20"/>
          <w:szCs w:val="20"/>
        </w:rPr>
        <w:t>:</w:t>
      </w:r>
      <w:r w:rsidR="00DB1635" w:rsidRPr="00B004EE">
        <w:rPr>
          <w:rFonts w:ascii="Tahoma" w:hAnsi="Tahoma" w:cs="Tahoma"/>
          <w:b/>
          <w:bCs/>
          <w:sz w:val="20"/>
          <w:szCs w:val="20"/>
        </w:rPr>
        <w:t xml:space="preserve"> </w:t>
      </w:r>
      <w:r w:rsidRPr="00B004EE">
        <w:rPr>
          <w:rFonts w:ascii="Tahoma" w:hAnsi="Tahoma" w:cs="Tahoma"/>
          <w:b/>
          <w:bCs/>
          <w:sz w:val="20"/>
          <w:szCs w:val="20"/>
        </w:rPr>
        <w:t>Des</w:t>
      </w:r>
      <w:r w:rsidR="00DB1635" w:rsidRPr="00B004EE">
        <w:rPr>
          <w:rFonts w:ascii="Tahoma" w:hAnsi="Tahoma" w:cs="Tahoma"/>
          <w:b/>
          <w:bCs/>
          <w:sz w:val="20"/>
          <w:szCs w:val="20"/>
        </w:rPr>
        <w:t xml:space="preserve"> </w:t>
      </w:r>
      <w:r w:rsidRPr="00B004EE">
        <w:rPr>
          <w:rFonts w:ascii="Tahoma" w:hAnsi="Tahoma" w:cs="Tahoma"/>
          <w:b/>
          <w:bCs/>
          <w:sz w:val="20"/>
          <w:szCs w:val="20"/>
        </w:rPr>
        <w:t>sanctions</w:t>
      </w:r>
      <w:r w:rsidR="00DB1635" w:rsidRPr="00B004EE">
        <w:rPr>
          <w:rFonts w:ascii="Tahoma" w:hAnsi="Tahoma" w:cs="Tahoma"/>
          <w:b/>
          <w:bCs/>
          <w:sz w:val="20"/>
          <w:szCs w:val="20"/>
        </w:rPr>
        <w:t xml:space="preserve"> </w:t>
      </w:r>
      <w:r w:rsidRPr="00B004EE">
        <w:rPr>
          <w:rFonts w:ascii="Tahoma" w:hAnsi="Tahoma" w:cs="Tahoma"/>
          <w:b/>
          <w:bCs/>
          <w:sz w:val="20"/>
          <w:szCs w:val="20"/>
        </w:rPr>
        <w:t>applicables</w:t>
      </w:r>
      <w:r w:rsidR="00DB1635" w:rsidRPr="00B004EE">
        <w:rPr>
          <w:rFonts w:ascii="Tahoma" w:hAnsi="Tahoma" w:cs="Tahoma"/>
          <w:b/>
          <w:bCs/>
          <w:sz w:val="20"/>
          <w:szCs w:val="20"/>
        </w:rPr>
        <w:t xml:space="preserve"> </w:t>
      </w:r>
      <w:r w:rsidRPr="00B004EE">
        <w:rPr>
          <w:rFonts w:ascii="Tahoma" w:hAnsi="Tahoma" w:cs="Tahoma"/>
          <w:b/>
          <w:bCs/>
          <w:sz w:val="20"/>
          <w:szCs w:val="20"/>
        </w:rPr>
        <w:t>aux</w:t>
      </w:r>
      <w:r w:rsidR="00DB1635" w:rsidRPr="00B004EE">
        <w:rPr>
          <w:rFonts w:ascii="Tahoma" w:hAnsi="Tahoma" w:cs="Tahoma"/>
          <w:b/>
          <w:bCs/>
          <w:sz w:val="20"/>
          <w:szCs w:val="20"/>
        </w:rPr>
        <w:t xml:space="preserve"> </w:t>
      </w:r>
      <w:r w:rsidRPr="00B004EE">
        <w:rPr>
          <w:rFonts w:ascii="Tahoma" w:hAnsi="Tahoma" w:cs="Tahoma"/>
          <w:b/>
          <w:bCs/>
          <w:sz w:val="20"/>
          <w:szCs w:val="20"/>
        </w:rPr>
        <w:t>infractions</w:t>
      </w:r>
      <w:r w:rsidR="00DB1635" w:rsidRPr="00B004EE">
        <w:rPr>
          <w:rFonts w:ascii="Tahoma" w:hAnsi="Tahoma" w:cs="Tahoma"/>
          <w:b/>
          <w:bCs/>
          <w:sz w:val="20"/>
          <w:szCs w:val="20"/>
        </w:rPr>
        <w:t xml:space="preserve"> </w:t>
      </w:r>
      <w:r w:rsidRPr="00B004EE">
        <w:rPr>
          <w:rFonts w:ascii="Tahoma" w:hAnsi="Tahoma" w:cs="Tahoma"/>
          <w:b/>
          <w:bCs/>
          <w:sz w:val="20"/>
          <w:szCs w:val="20"/>
        </w:rPr>
        <w:t>aux</w:t>
      </w:r>
      <w:r w:rsidR="00DB1635" w:rsidRPr="00B004EE">
        <w:rPr>
          <w:rFonts w:ascii="Tahoma" w:hAnsi="Tahoma" w:cs="Tahoma"/>
          <w:b/>
          <w:bCs/>
          <w:sz w:val="20"/>
          <w:szCs w:val="20"/>
        </w:rPr>
        <w:t xml:space="preserve"> </w:t>
      </w:r>
      <w:r w:rsidRPr="00B004EE">
        <w:rPr>
          <w:rFonts w:ascii="Tahoma" w:hAnsi="Tahoma" w:cs="Tahoma"/>
          <w:b/>
          <w:bCs/>
          <w:sz w:val="20"/>
          <w:szCs w:val="20"/>
        </w:rPr>
        <w:t>dispositions</w:t>
      </w:r>
      <w:r w:rsidR="00DB1635" w:rsidRPr="00B004EE">
        <w:rPr>
          <w:rFonts w:ascii="Tahoma" w:hAnsi="Tahoma" w:cs="Tahoma"/>
          <w:b/>
          <w:bCs/>
          <w:sz w:val="20"/>
          <w:szCs w:val="20"/>
        </w:rPr>
        <w:t xml:space="preserve"> </w:t>
      </w:r>
      <w:r w:rsidRPr="00B004EE">
        <w:rPr>
          <w:rFonts w:ascii="Tahoma" w:hAnsi="Tahoma" w:cs="Tahoma"/>
          <w:b/>
          <w:bCs/>
          <w:sz w:val="20"/>
          <w:szCs w:val="20"/>
        </w:rPr>
        <w:t>du</w:t>
      </w:r>
      <w:r w:rsidR="00DB1635" w:rsidRPr="00B004EE">
        <w:rPr>
          <w:rFonts w:ascii="Tahoma" w:hAnsi="Tahoma" w:cs="Tahoma"/>
          <w:b/>
          <w:bCs/>
          <w:sz w:val="20"/>
          <w:szCs w:val="20"/>
        </w:rPr>
        <w:t xml:space="preserve"> </w:t>
      </w:r>
      <w:r w:rsidRPr="00B004EE">
        <w:rPr>
          <w:rFonts w:ascii="Tahoma" w:hAnsi="Tahoma" w:cs="Tahoma"/>
          <w:b/>
          <w:bCs/>
          <w:sz w:val="20"/>
          <w:szCs w:val="20"/>
        </w:rPr>
        <w:t>présent</w:t>
      </w:r>
      <w:r w:rsidR="00DB1635" w:rsidRPr="00B004EE">
        <w:rPr>
          <w:rFonts w:ascii="Tahoma" w:hAnsi="Tahoma" w:cs="Tahoma"/>
          <w:b/>
          <w:bCs/>
          <w:sz w:val="20"/>
          <w:szCs w:val="20"/>
        </w:rPr>
        <w:t xml:space="preserve"> </w:t>
      </w:r>
      <w:r w:rsidRPr="00B004EE">
        <w:rPr>
          <w:rFonts w:ascii="Tahoma" w:hAnsi="Tahoma" w:cs="Tahoma"/>
          <w:b/>
          <w:bCs/>
          <w:sz w:val="20"/>
          <w:szCs w:val="20"/>
        </w:rPr>
        <w:t>décret</w:t>
      </w:r>
      <w:r w:rsidR="00DB1635" w:rsidRPr="00B004EE">
        <w:rPr>
          <w:rFonts w:ascii="Tahoma" w:hAnsi="Tahoma" w:cs="Tahoma"/>
          <w:b/>
          <w:bCs/>
          <w:sz w:val="20"/>
          <w:szCs w:val="20"/>
        </w:rPr>
        <w:t xml:space="preserve"> </w:t>
      </w:r>
    </w:p>
    <w:p w14:paraId="18F9566F" w14:textId="77777777" w:rsidR="00A621C8" w:rsidRPr="00B004EE" w:rsidRDefault="00A621C8" w:rsidP="00B004EE">
      <w:pPr>
        <w:pStyle w:val="article"/>
        <w:numPr>
          <w:ilvl w:val="0"/>
          <w:numId w:val="0"/>
        </w:numPr>
        <w:tabs>
          <w:tab w:val="left" w:pos="1200"/>
        </w:tabs>
        <w:spacing w:before="0" w:line="240" w:lineRule="auto"/>
        <w:jc w:val="center"/>
        <w:rPr>
          <w:rFonts w:ascii="Tahoma" w:hAnsi="Tahoma" w:cs="Tahoma"/>
          <w:b/>
          <w:bCs/>
          <w:sz w:val="20"/>
          <w:szCs w:val="20"/>
        </w:rPr>
      </w:pPr>
    </w:p>
    <w:p w14:paraId="15115FA2" w14:textId="279AFB8C" w:rsidR="008518B0" w:rsidRPr="00B004EE" w:rsidRDefault="008518B0" w:rsidP="00B004EE">
      <w:pPr>
        <w:pStyle w:val="article"/>
        <w:numPr>
          <w:ilvl w:val="0"/>
          <w:numId w:val="0"/>
        </w:numPr>
        <w:tabs>
          <w:tab w:val="left" w:pos="1200"/>
        </w:tabs>
        <w:spacing w:before="0" w:line="240" w:lineRule="auto"/>
        <w:rPr>
          <w:rFonts w:ascii="Tahoma" w:hAnsi="Tahoma" w:cs="Tahoma"/>
          <w:sz w:val="20"/>
          <w:szCs w:val="20"/>
        </w:rPr>
      </w:pPr>
      <w:r w:rsidRPr="00B004EE">
        <w:rPr>
          <w:rFonts w:ascii="Tahoma" w:hAnsi="Tahoma" w:cs="Tahoma"/>
          <w:sz w:val="20"/>
          <w:szCs w:val="20"/>
        </w:rPr>
        <w:t>Article</w:t>
      </w:r>
      <w:r w:rsidR="00DB1635" w:rsidRPr="00B004EE">
        <w:rPr>
          <w:rFonts w:ascii="Tahoma" w:hAnsi="Tahoma" w:cs="Tahoma"/>
          <w:sz w:val="20"/>
          <w:szCs w:val="20"/>
        </w:rPr>
        <w:t xml:space="preserve"> </w:t>
      </w:r>
      <w:r w:rsidRPr="00B004EE">
        <w:rPr>
          <w:rFonts w:ascii="Tahoma" w:hAnsi="Tahoma" w:cs="Tahoma"/>
          <w:sz w:val="20"/>
          <w:szCs w:val="20"/>
        </w:rPr>
        <w:t>61</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infractions</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dispositions</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présent</w:t>
      </w:r>
      <w:r w:rsidR="00DB1635" w:rsidRPr="00B004EE">
        <w:rPr>
          <w:rFonts w:ascii="Tahoma" w:hAnsi="Tahoma" w:cs="Tahoma"/>
          <w:sz w:val="20"/>
          <w:szCs w:val="20"/>
        </w:rPr>
        <w:t xml:space="preserve"> </w:t>
      </w:r>
      <w:r w:rsidRPr="00B004EE">
        <w:rPr>
          <w:rFonts w:ascii="Tahoma" w:hAnsi="Tahoma" w:cs="Tahoma"/>
          <w:sz w:val="20"/>
          <w:szCs w:val="20"/>
        </w:rPr>
        <w:t>décret,</w:t>
      </w:r>
      <w:r w:rsidR="00DB1635" w:rsidRPr="00B004EE">
        <w:rPr>
          <w:rFonts w:ascii="Tahoma" w:hAnsi="Tahoma" w:cs="Tahoma"/>
          <w:sz w:val="20"/>
          <w:szCs w:val="20"/>
        </w:rPr>
        <w:t xml:space="preserve"> </w:t>
      </w:r>
      <w:r w:rsidRPr="00B004EE">
        <w:rPr>
          <w:rFonts w:ascii="Tahoma" w:hAnsi="Tahoma" w:cs="Tahoma"/>
          <w:sz w:val="20"/>
          <w:szCs w:val="20"/>
        </w:rPr>
        <w:t>seront</w:t>
      </w:r>
      <w:r w:rsidR="00DB1635" w:rsidRPr="00B004EE">
        <w:rPr>
          <w:rFonts w:ascii="Tahoma" w:hAnsi="Tahoma" w:cs="Tahoma"/>
          <w:sz w:val="20"/>
          <w:szCs w:val="20"/>
        </w:rPr>
        <w:t xml:space="preserve"> </w:t>
      </w:r>
      <w:r w:rsidRPr="00B004EE">
        <w:rPr>
          <w:rFonts w:ascii="Tahoma" w:hAnsi="Tahoma" w:cs="Tahoma"/>
          <w:sz w:val="20"/>
          <w:szCs w:val="20"/>
        </w:rPr>
        <w:t>punies</w:t>
      </w:r>
      <w:r w:rsidR="00DB1635" w:rsidRPr="00B004EE">
        <w:rPr>
          <w:rFonts w:ascii="Tahoma" w:hAnsi="Tahoma" w:cs="Tahoma"/>
          <w:sz w:val="20"/>
          <w:szCs w:val="20"/>
        </w:rPr>
        <w:t xml:space="preserve"> </w:t>
      </w:r>
      <w:r w:rsidRPr="00B004EE">
        <w:rPr>
          <w:rFonts w:ascii="Tahoma" w:hAnsi="Tahoma" w:cs="Tahoma"/>
          <w:sz w:val="20"/>
          <w:szCs w:val="20"/>
        </w:rPr>
        <w:t>conformément</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dispositions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l’article</w:t>
      </w:r>
      <w:r w:rsidR="00DB1635" w:rsidRPr="00B004EE">
        <w:rPr>
          <w:rFonts w:ascii="Tahoma" w:hAnsi="Tahoma" w:cs="Tahoma"/>
          <w:sz w:val="20"/>
          <w:szCs w:val="20"/>
        </w:rPr>
        <w:t xml:space="preserve"> </w:t>
      </w:r>
      <w:r w:rsidRPr="00B004EE">
        <w:rPr>
          <w:rFonts w:ascii="Tahoma" w:hAnsi="Tahoma" w:cs="Tahoma"/>
          <w:sz w:val="20"/>
          <w:szCs w:val="20"/>
        </w:rPr>
        <w:t>.91</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loi</w:t>
      </w:r>
      <w:r w:rsidR="00DB1635" w:rsidRPr="00B004EE">
        <w:rPr>
          <w:rFonts w:ascii="Tahoma" w:hAnsi="Tahoma" w:cs="Tahoma"/>
          <w:sz w:val="20"/>
          <w:szCs w:val="20"/>
        </w:rPr>
        <w:t xml:space="preserve"> </w:t>
      </w:r>
      <w:r w:rsidRPr="00B004EE">
        <w:rPr>
          <w:rFonts w:ascii="Tahoma" w:hAnsi="Tahoma" w:cs="Tahoma"/>
          <w:sz w:val="20"/>
          <w:szCs w:val="20"/>
        </w:rPr>
        <w:t>n°017-2015</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29</w:t>
      </w:r>
      <w:r w:rsidR="00DB1635" w:rsidRPr="00B004EE">
        <w:rPr>
          <w:rFonts w:ascii="Tahoma" w:hAnsi="Tahoma" w:cs="Tahoma"/>
          <w:sz w:val="20"/>
          <w:szCs w:val="20"/>
        </w:rPr>
        <w:t xml:space="preserve"> </w:t>
      </w:r>
      <w:r w:rsidRPr="00B004EE">
        <w:rPr>
          <w:rFonts w:ascii="Tahoma" w:hAnsi="Tahoma" w:cs="Tahoma"/>
          <w:sz w:val="20"/>
          <w:szCs w:val="20"/>
        </w:rPr>
        <w:t>juillet</w:t>
      </w:r>
      <w:r w:rsidR="00DB1635" w:rsidRPr="00B004EE">
        <w:rPr>
          <w:rFonts w:ascii="Tahoma" w:hAnsi="Tahoma" w:cs="Tahoma"/>
          <w:sz w:val="20"/>
          <w:szCs w:val="20"/>
        </w:rPr>
        <w:t xml:space="preserve"> </w:t>
      </w:r>
      <w:r w:rsidRPr="00B004EE">
        <w:rPr>
          <w:rFonts w:ascii="Tahoma" w:hAnsi="Tahoma" w:cs="Tahoma"/>
          <w:sz w:val="20"/>
          <w:szCs w:val="20"/>
        </w:rPr>
        <w:t>2105</w:t>
      </w:r>
      <w:r w:rsidR="00DB1635" w:rsidRPr="00B004EE">
        <w:rPr>
          <w:rFonts w:ascii="Tahoma" w:hAnsi="Tahoma" w:cs="Tahoma"/>
          <w:sz w:val="20"/>
          <w:szCs w:val="20"/>
        </w:rPr>
        <w:t xml:space="preserve"> </w:t>
      </w:r>
      <w:r w:rsidRPr="00B004EE">
        <w:rPr>
          <w:rFonts w:ascii="Tahoma" w:hAnsi="Tahoma" w:cs="Tahoma"/>
          <w:sz w:val="20"/>
          <w:szCs w:val="20"/>
        </w:rPr>
        <w:t>portant</w:t>
      </w:r>
      <w:r w:rsidR="00DB1635" w:rsidRPr="00B004EE">
        <w:rPr>
          <w:rFonts w:ascii="Tahoma" w:hAnsi="Tahoma" w:cs="Tahoma"/>
          <w:sz w:val="20"/>
          <w:szCs w:val="20"/>
        </w:rPr>
        <w:t xml:space="preserve"> </w:t>
      </w:r>
      <w:r w:rsidRPr="00B004EE">
        <w:rPr>
          <w:rFonts w:ascii="Tahoma" w:hAnsi="Tahoma" w:cs="Tahoma"/>
          <w:sz w:val="20"/>
          <w:szCs w:val="20"/>
        </w:rPr>
        <w:t>Code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sz w:val="20"/>
          <w:szCs w:val="20"/>
        </w:rPr>
        <w:t xml:space="preserve"> </w:t>
      </w:r>
    </w:p>
    <w:p w14:paraId="568E74C9" w14:textId="7F14AA90" w:rsidR="008518B0" w:rsidRPr="00B004EE" w:rsidRDefault="008518B0" w:rsidP="00B004EE">
      <w:pPr>
        <w:pStyle w:val="article"/>
        <w:numPr>
          <w:ilvl w:val="0"/>
          <w:numId w:val="0"/>
        </w:numPr>
        <w:tabs>
          <w:tab w:val="left" w:pos="1200"/>
        </w:tabs>
        <w:spacing w:before="0" w:line="240" w:lineRule="auto"/>
        <w:jc w:val="left"/>
        <w:rPr>
          <w:rFonts w:ascii="Tahoma" w:hAnsi="Tahoma" w:cs="Tahoma"/>
          <w:sz w:val="20"/>
          <w:szCs w:val="20"/>
        </w:rPr>
      </w:pPr>
    </w:p>
    <w:p w14:paraId="56E04ECC" w14:textId="10923234" w:rsidR="00DF657F" w:rsidRDefault="00DF657F" w:rsidP="00B004EE">
      <w:pPr>
        <w:pStyle w:val="article"/>
        <w:numPr>
          <w:ilvl w:val="0"/>
          <w:numId w:val="0"/>
        </w:numPr>
        <w:tabs>
          <w:tab w:val="left" w:pos="1200"/>
        </w:tabs>
        <w:spacing w:before="0" w:line="240" w:lineRule="auto"/>
        <w:jc w:val="left"/>
        <w:rPr>
          <w:rFonts w:ascii="Tahoma" w:hAnsi="Tahoma" w:cs="Tahoma"/>
          <w:b/>
          <w:bCs/>
          <w:sz w:val="20"/>
          <w:szCs w:val="20"/>
        </w:rPr>
      </w:pPr>
    </w:p>
    <w:p w14:paraId="539CA106" w14:textId="29AA6346" w:rsidR="002D26AE" w:rsidRDefault="002D26AE" w:rsidP="00B004EE">
      <w:pPr>
        <w:pStyle w:val="article"/>
        <w:numPr>
          <w:ilvl w:val="0"/>
          <w:numId w:val="0"/>
        </w:numPr>
        <w:tabs>
          <w:tab w:val="left" w:pos="1200"/>
        </w:tabs>
        <w:spacing w:before="0" w:line="240" w:lineRule="auto"/>
        <w:jc w:val="left"/>
        <w:rPr>
          <w:rFonts w:ascii="Tahoma" w:hAnsi="Tahoma" w:cs="Tahoma"/>
          <w:b/>
          <w:bCs/>
          <w:sz w:val="20"/>
          <w:szCs w:val="20"/>
        </w:rPr>
      </w:pPr>
    </w:p>
    <w:p w14:paraId="08AF44E8" w14:textId="77777777" w:rsidR="002D26AE" w:rsidRPr="00B004EE" w:rsidRDefault="002D26AE" w:rsidP="00B004EE">
      <w:pPr>
        <w:pStyle w:val="article"/>
        <w:numPr>
          <w:ilvl w:val="0"/>
          <w:numId w:val="0"/>
        </w:numPr>
        <w:tabs>
          <w:tab w:val="left" w:pos="1200"/>
        </w:tabs>
        <w:spacing w:before="0" w:line="240" w:lineRule="auto"/>
        <w:jc w:val="left"/>
        <w:rPr>
          <w:rFonts w:ascii="Tahoma" w:hAnsi="Tahoma" w:cs="Tahoma"/>
          <w:b/>
          <w:bCs/>
          <w:sz w:val="20"/>
          <w:szCs w:val="20"/>
        </w:rPr>
      </w:pPr>
    </w:p>
    <w:p w14:paraId="32231FEF" w14:textId="4DBF821C" w:rsidR="008518B0" w:rsidRPr="00B004EE" w:rsidRDefault="008518B0" w:rsidP="00B004EE">
      <w:pPr>
        <w:pStyle w:val="article"/>
        <w:numPr>
          <w:ilvl w:val="0"/>
          <w:numId w:val="0"/>
        </w:numPr>
        <w:tabs>
          <w:tab w:val="left" w:pos="1200"/>
        </w:tabs>
        <w:spacing w:before="0" w:line="240" w:lineRule="auto"/>
        <w:jc w:val="center"/>
        <w:rPr>
          <w:rFonts w:ascii="Tahoma" w:hAnsi="Tahoma" w:cs="Tahoma"/>
          <w:b/>
          <w:bCs/>
          <w:sz w:val="20"/>
          <w:szCs w:val="20"/>
        </w:rPr>
      </w:pPr>
      <w:r w:rsidRPr="00B004EE">
        <w:rPr>
          <w:rFonts w:ascii="Tahoma" w:hAnsi="Tahoma" w:cs="Tahoma"/>
          <w:b/>
          <w:bCs/>
          <w:sz w:val="20"/>
          <w:szCs w:val="20"/>
        </w:rPr>
        <w:lastRenderedPageBreak/>
        <w:t>CHAPITRE</w:t>
      </w:r>
      <w:r w:rsidR="00DB1635" w:rsidRPr="00B004EE">
        <w:rPr>
          <w:rFonts w:ascii="Tahoma" w:hAnsi="Tahoma" w:cs="Tahoma"/>
          <w:b/>
          <w:bCs/>
          <w:sz w:val="20"/>
          <w:szCs w:val="20"/>
        </w:rPr>
        <w:t xml:space="preserve"> </w:t>
      </w:r>
      <w:r w:rsidRPr="00B004EE">
        <w:rPr>
          <w:rFonts w:ascii="Tahoma" w:hAnsi="Tahoma" w:cs="Tahoma"/>
          <w:b/>
          <w:bCs/>
          <w:sz w:val="20"/>
          <w:szCs w:val="20"/>
        </w:rPr>
        <w:t>V</w:t>
      </w:r>
      <w:r w:rsidR="00DB1635" w:rsidRPr="00B004EE">
        <w:rPr>
          <w:rFonts w:ascii="Tahoma" w:hAnsi="Tahoma" w:cs="Tahoma"/>
          <w:b/>
          <w:bCs/>
          <w:sz w:val="20"/>
          <w:szCs w:val="20"/>
        </w:rPr>
        <w:t xml:space="preserve"> </w:t>
      </w:r>
      <w:r w:rsidRPr="00B004EE">
        <w:rPr>
          <w:rFonts w:ascii="Tahoma" w:hAnsi="Tahoma" w:cs="Tahoma"/>
          <w:b/>
          <w:bCs/>
          <w:sz w:val="20"/>
          <w:szCs w:val="20"/>
        </w:rPr>
        <w:t>:</w:t>
      </w:r>
      <w:r w:rsidR="00DB1635" w:rsidRPr="00B004EE">
        <w:rPr>
          <w:rFonts w:ascii="Tahoma" w:hAnsi="Tahoma" w:cs="Tahoma"/>
          <w:b/>
          <w:bCs/>
          <w:sz w:val="20"/>
          <w:szCs w:val="20"/>
        </w:rPr>
        <w:t xml:space="preserve"> </w:t>
      </w:r>
      <w:r w:rsidRPr="00B004EE">
        <w:rPr>
          <w:rFonts w:ascii="Tahoma" w:hAnsi="Tahoma" w:cs="Tahoma"/>
          <w:b/>
          <w:bCs/>
          <w:sz w:val="20"/>
          <w:szCs w:val="20"/>
        </w:rPr>
        <w:t>DISPOSITIONS</w:t>
      </w:r>
      <w:r w:rsidR="00DB1635" w:rsidRPr="00B004EE">
        <w:rPr>
          <w:rFonts w:ascii="Tahoma" w:hAnsi="Tahoma" w:cs="Tahoma"/>
          <w:b/>
          <w:bCs/>
          <w:sz w:val="20"/>
          <w:szCs w:val="20"/>
        </w:rPr>
        <w:t xml:space="preserve"> </w:t>
      </w:r>
      <w:r w:rsidR="007127C2" w:rsidRPr="00B004EE">
        <w:rPr>
          <w:rFonts w:ascii="Tahoma" w:hAnsi="Tahoma" w:cs="Tahoma"/>
          <w:b/>
          <w:bCs/>
          <w:sz w:val="20"/>
          <w:szCs w:val="20"/>
        </w:rPr>
        <w:t>Transitoires</w:t>
      </w:r>
      <w:r w:rsidR="00DB1635" w:rsidRPr="00B004EE">
        <w:rPr>
          <w:rFonts w:ascii="Tahoma" w:hAnsi="Tahoma" w:cs="Tahoma"/>
          <w:b/>
          <w:bCs/>
          <w:sz w:val="20"/>
          <w:szCs w:val="20"/>
        </w:rPr>
        <w:t xml:space="preserve"> </w:t>
      </w:r>
      <w:r w:rsidRPr="00B004EE">
        <w:rPr>
          <w:rFonts w:ascii="Tahoma" w:hAnsi="Tahoma" w:cs="Tahoma"/>
          <w:b/>
          <w:bCs/>
          <w:sz w:val="20"/>
          <w:szCs w:val="20"/>
        </w:rPr>
        <w:t>et</w:t>
      </w:r>
      <w:r w:rsidR="00DB1635" w:rsidRPr="00B004EE">
        <w:rPr>
          <w:rFonts w:ascii="Tahoma" w:hAnsi="Tahoma" w:cs="Tahoma"/>
          <w:b/>
          <w:bCs/>
          <w:sz w:val="20"/>
          <w:szCs w:val="20"/>
        </w:rPr>
        <w:t xml:space="preserve"> </w:t>
      </w:r>
      <w:r w:rsidRPr="00B004EE">
        <w:rPr>
          <w:rFonts w:ascii="Tahoma" w:hAnsi="Tahoma" w:cs="Tahoma"/>
          <w:b/>
          <w:bCs/>
          <w:sz w:val="20"/>
          <w:szCs w:val="20"/>
        </w:rPr>
        <w:t>FINALES</w:t>
      </w:r>
    </w:p>
    <w:p w14:paraId="088CD04C" w14:textId="77777777" w:rsidR="008518B0" w:rsidRPr="00B004EE" w:rsidRDefault="008518B0" w:rsidP="00B004EE">
      <w:pPr>
        <w:pStyle w:val="article"/>
        <w:numPr>
          <w:ilvl w:val="0"/>
          <w:numId w:val="0"/>
        </w:numPr>
        <w:tabs>
          <w:tab w:val="left" w:pos="1200"/>
        </w:tabs>
        <w:spacing w:before="0" w:line="240" w:lineRule="auto"/>
        <w:rPr>
          <w:rFonts w:ascii="Tahoma" w:hAnsi="Tahoma" w:cs="Tahoma"/>
          <w:b/>
          <w:bCs/>
          <w:sz w:val="20"/>
          <w:szCs w:val="20"/>
          <w:u w:val="single"/>
        </w:rPr>
      </w:pPr>
    </w:p>
    <w:p w14:paraId="1D1F9721" w14:textId="54B398C4" w:rsidR="008518B0" w:rsidRPr="00B004EE" w:rsidRDefault="008518B0" w:rsidP="00B004EE">
      <w:pPr>
        <w:pStyle w:val="article"/>
        <w:numPr>
          <w:ilvl w:val="0"/>
          <w:numId w:val="0"/>
        </w:numPr>
        <w:tabs>
          <w:tab w:val="left" w:pos="1200"/>
        </w:tabs>
        <w:spacing w:before="0" w:line="240" w:lineRule="auto"/>
        <w:rPr>
          <w:rFonts w:ascii="Tahoma" w:hAnsi="Tahoma" w:cs="Tahoma"/>
          <w:sz w:val="20"/>
          <w:szCs w:val="20"/>
        </w:rPr>
      </w:pPr>
      <w:r w:rsidRPr="00B004EE">
        <w:rPr>
          <w:rFonts w:ascii="Tahoma" w:hAnsi="Tahoma" w:cs="Tahoma"/>
          <w:sz w:val="20"/>
          <w:szCs w:val="20"/>
        </w:rPr>
        <w:t>Article</w:t>
      </w:r>
      <w:r w:rsidR="00DB1635" w:rsidRPr="00B004EE">
        <w:rPr>
          <w:rFonts w:ascii="Tahoma" w:hAnsi="Tahoma" w:cs="Tahoma"/>
          <w:sz w:val="20"/>
          <w:szCs w:val="20"/>
        </w:rPr>
        <w:t xml:space="preserve"> </w:t>
      </w:r>
      <w:r w:rsidRPr="00B004EE">
        <w:rPr>
          <w:rFonts w:ascii="Tahoma" w:hAnsi="Tahoma" w:cs="Tahoma"/>
          <w:sz w:val="20"/>
          <w:szCs w:val="20"/>
        </w:rPr>
        <w:t>62</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l’objectif</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préservation</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ressource</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licences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attribuées</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cadre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loi</w:t>
      </w:r>
      <w:r w:rsidR="00DB1635" w:rsidRPr="00B004EE">
        <w:rPr>
          <w:rFonts w:ascii="Tahoma" w:hAnsi="Tahoma" w:cs="Tahoma"/>
          <w:sz w:val="20"/>
          <w:szCs w:val="20"/>
        </w:rPr>
        <w:t xml:space="preserve"> </w:t>
      </w:r>
      <w:r w:rsidRPr="00B004EE">
        <w:rPr>
          <w:rFonts w:ascii="Tahoma" w:hAnsi="Tahoma" w:cs="Tahoma"/>
          <w:sz w:val="20"/>
          <w:szCs w:val="20"/>
        </w:rPr>
        <w:t>2000/025,</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24</w:t>
      </w:r>
      <w:r w:rsidR="00DB1635" w:rsidRPr="00B004EE">
        <w:rPr>
          <w:rFonts w:ascii="Tahoma" w:hAnsi="Tahoma" w:cs="Tahoma"/>
          <w:sz w:val="20"/>
          <w:szCs w:val="20"/>
        </w:rPr>
        <w:t xml:space="preserve"> </w:t>
      </w:r>
      <w:r w:rsidRPr="00B004EE">
        <w:rPr>
          <w:rFonts w:ascii="Tahoma" w:hAnsi="Tahoma" w:cs="Tahoma"/>
          <w:sz w:val="20"/>
          <w:szCs w:val="20"/>
        </w:rPr>
        <w:t>janvier</w:t>
      </w:r>
      <w:r w:rsidR="00DB1635" w:rsidRPr="00B004EE">
        <w:rPr>
          <w:rFonts w:ascii="Tahoma" w:hAnsi="Tahoma" w:cs="Tahoma"/>
          <w:sz w:val="20"/>
          <w:szCs w:val="20"/>
        </w:rPr>
        <w:t xml:space="preserve"> </w:t>
      </w:r>
      <w:r w:rsidRPr="00B004EE">
        <w:rPr>
          <w:rFonts w:ascii="Tahoma" w:hAnsi="Tahoma" w:cs="Tahoma"/>
          <w:sz w:val="20"/>
          <w:szCs w:val="20"/>
        </w:rPr>
        <w:t>2000,</w:t>
      </w:r>
      <w:r w:rsidR="00DB1635" w:rsidRPr="00B004EE">
        <w:rPr>
          <w:rFonts w:ascii="Tahoma" w:hAnsi="Tahoma" w:cs="Tahoma"/>
          <w:sz w:val="20"/>
          <w:szCs w:val="20"/>
        </w:rPr>
        <w:t xml:space="preserve"> </w:t>
      </w:r>
      <w:r w:rsidRPr="00B004EE">
        <w:rPr>
          <w:rFonts w:ascii="Tahoma" w:hAnsi="Tahoma" w:cs="Tahoma"/>
          <w:sz w:val="20"/>
          <w:szCs w:val="20"/>
        </w:rPr>
        <w:t>modifiée,</w:t>
      </w:r>
      <w:r w:rsidR="00DB1635" w:rsidRPr="00B004EE">
        <w:rPr>
          <w:rFonts w:ascii="Tahoma" w:hAnsi="Tahoma" w:cs="Tahoma"/>
          <w:sz w:val="20"/>
          <w:szCs w:val="20"/>
        </w:rPr>
        <w:t xml:space="preserve"> </w:t>
      </w:r>
      <w:r w:rsidRPr="00B004EE">
        <w:rPr>
          <w:rFonts w:ascii="Tahoma" w:hAnsi="Tahoma" w:cs="Tahoma"/>
          <w:sz w:val="20"/>
          <w:szCs w:val="20"/>
        </w:rPr>
        <w:t>seront</w:t>
      </w:r>
      <w:r w:rsidR="00DB1635" w:rsidRPr="00B004EE">
        <w:rPr>
          <w:rFonts w:ascii="Tahoma" w:hAnsi="Tahoma" w:cs="Tahoma"/>
          <w:sz w:val="20"/>
          <w:szCs w:val="20"/>
        </w:rPr>
        <w:t xml:space="preserve"> </w:t>
      </w:r>
      <w:r w:rsidRPr="00B004EE">
        <w:rPr>
          <w:rFonts w:ascii="Tahoma" w:hAnsi="Tahoma" w:cs="Tahoma"/>
          <w:sz w:val="20"/>
          <w:szCs w:val="20"/>
        </w:rPr>
        <w:t>transformées</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droit</w:t>
      </w:r>
      <w:r w:rsidR="00DB1635" w:rsidRPr="00B004EE">
        <w:rPr>
          <w:rFonts w:ascii="Tahoma" w:hAnsi="Tahoma" w:cs="Tahoma"/>
          <w:sz w:val="20"/>
          <w:szCs w:val="20"/>
        </w:rPr>
        <w:t xml:space="preserve"> </w:t>
      </w:r>
      <w:r w:rsidRPr="00B004EE">
        <w:rPr>
          <w:rFonts w:ascii="Tahoma" w:hAnsi="Tahoma" w:cs="Tahoma"/>
          <w:sz w:val="20"/>
          <w:szCs w:val="20"/>
        </w:rPr>
        <w:t>d’usage</w:t>
      </w:r>
      <w:r w:rsidR="00DB1635" w:rsidRPr="00B004EE">
        <w:rPr>
          <w:rFonts w:ascii="Tahoma" w:hAnsi="Tahoma" w:cs="Tahoma"/>
          <w:sz w:val="20"/>
          <w:szCs w:val="20"/>
        </w:rPr>
        <w:t xml:space="preserve"> </w:t>
      </w:r>
      <w:r w:rsidRPr="00B004EE">
        <w:rPr>
          <w:rFonts w:ascii="Tahoma" w:hAnsi="Tahoma" w:cs="Tahoma"/>
          <w:sz w:val="20"/>
          <w:szCs w:val="20"/>
        </w:rPr>
        <w:t>défini</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concession</w:t>
      </w:r>
      <w:r w:rsidR="00DB1635" w:rsidRPr="00B004EE">
        <w:rPr>
          <w:rFonts w:ascii="Tahoma" w:hAnsi="Tahoma" w:cs="Tahoma"/>
          <w:sz w:val="20"/>
          <w:szCs w:val="20"/>
        </w:rPr>
        <w:t xml:space="preserve"> </w:t>
      </w:r>
      <w:r w:rsidRPr="00B004EE">
        <w:rPr>
          <w:rFonts w:ascii="Tahoma" w:hAnsi="Tahoma" w:cs="Tahoma"/>
          <w:sz w:val="20"/>
          <w:szCs w:val="20"/>
        </w:rPr>
        <w:t>conformément</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dispositions</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compte</w:t>
      </w:r>
      <w:r w:rsidR="00DB1635" w:rsidRPr="00B004EE">
        <w:rPr>
          <w:rFonts w:ascii="Tahoma" w:hAnsi="Tahoma" w:cs="Tahoma"/>
          <w:sz w:val="20"/>
          <w:szCs w:val="20"/>
        </w:rPr>
        <w:t xml:space="preserve"> </w:t>
      </w:r>
      <w:r w:rsidRPr="00B004EE">
        <w:rPr>
          <w:rFonts w:ascii="Tahoma" w:hAnsi="Tahoma" w:cs="Tahoma"/>
          <w:sz w:val="20"/>
          <w:szCs w:val="20"/>
        </w:rPr>
        <w:t>rendu</w:t>
      </w:r>
      <w:r w:rsidR="00DB1635" w:rsidRPr="00B004EE">
        <w:rPr>
          <w:rFonts w:ascii="Tahoma" w:hAnsi="Tahoma" w:cs="Tahoma"/>
          <w:sz w:val="20"/>
          <w:szCs w:val="20"/>
        </w:rPr>
        <w:t xml:space="preserve"> </w:t>
      </w:r>
      <w:r w:rsidRPr="00B004EE">
        <w:rPr>
          <w:rFonts w:ascii="Tahoma" w:hAnsi="Tahoma" w:cs="Tahoma"/>
          <w:sz w:val="20"/>
          <w:szCs w:val="20"/>
        </w:rPr>
        <w:t>final</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activités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commission</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renouvellement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flotte</w:t>
      </w:r>
      <w:r w:rsidR="00DB1635" w:rsidRPr="00B004EE">
        <w:rPr>
          <w:rFonts w:ascii="Tahoma" w:hAnsi="Tahoma" w:cs="Tahoma"/>
          <w:sz w:val="20"/>
          <w:szCs w:val="20"/>
        </w:rPr>
        <w:t xml:space="preserve"> </w:t>
      </w:r>
      <w:r w:rsidRPr="00B004EE">
        <w:rPr>
          <w:rFonts w:ascii="Tahoma" w:hAnsi="Tahoma" w:cs="Tahoma"/>
          <w:sz w:val="20"/>
          <w:szCs w:val="20"/>
        </w:rPr>
        <w:t>do</w:t>
      </w:r>
      <w:r w:rsidR="00DB1635" w:rsidRPr="00B004EE">
        <w:rPr>
          <w:rFonts w:ascii="Tahoma" w:hAnsi="Tahoma" w:cs="Tahoma"/>
          <w:sz w:val="20"/>
          <w:szCs w:val="20"/>
        </w:rPr>
        <w:t xml:space="preserve"> </w:t>
      </w:r>
      <w:r w:rsidRPr="00B004EE">
        <w:rPr>
          <w:rFonts w:ascii="Tahoma" w:hAnsi="Tahoma" w:cs="Tahoma"/>
          <w:sz w:val="20"/>
          <w:szCs w:val="20"/>
        </w:rPr>
        <w:t>09</w:t>
      </w:r>
      <w:r w:rsidR="00DB1635" w:rsidRPr="00B004EE">
        <w:rPr>
          <w:rFonts w:ascii="Tahoma" w:hAnsi="Tahoma" w:cs="Tahoma"/>
          <w:sz w:val="20"/>
          <w:szCs w:val="20"/>
        </w:rPr>
        <w:t xml:space="preserve"> </w:t>
      </w:r>
      <w:r w:rsidRPr="00B004EE">
        <w:rPr>
          <w:rFonts w:ascii="Tahoma" w:hAnsi="Tahoma" w:cs="Tahoma"/>
          <w:sz w:val="20"/>
          <w:szCs w:val="20"/>
        </w:rPr>
        <w:t>juillet</w:t>
      </w:r>
      <w:r w:rsidR="00DB1635" w:rsidRPr="00B004EE">
        <w:rPr>
          <w:rFonts w:ascii="Tahoma" w:hAnsi="Tahoma" w:cs="Tahoma"/>
          <w:sz w:val="20"/>
          <w:szCs w:val="20"/>
        </w:rPr>
        <w:t xml:space="preserve"> </w:t>
      </w:r>
      <w:r w:rsidRPr="00B004EE">
        <w:rPr>
          <w:rFonts w:ascii="Tahoma" w:hAnsi="Tahoma" w:cs="Tahoma"/>
          <w:sz w:val="20"/>
          <w:szCs w:val="20"/>
        </w:rPr>
        <w:t>2012</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tenant</w:t>
      </w:r>
      <w:r w:rsidR="00DB1635" w:rsidRPr="00B004EE">
        <w:rPr>
          <w:rFonts w:ascii="Tahoma" w:hAnsi="Tahoma" w:cs="Tahoma"/>
          <w:sz w:val="20"/>
          <w:szCs w:val="20"/>
        </w:rPr>
        <w:t xml:space="preserve"> </w:t>
      </w:r>
      <w:r w:rsidRPr="00B004EE">
        <w:rPr>
          <w:rFonts w:ascii="Tahoma" w:hAnsi="Tahoma" w:cs="Tahoma"/>
          <w:sz w:val="20"/>
          <w:szCs w:val="20"/>
        </w:rPr>
        <w:t>compte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l’état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ressource</w:t>
      </w:r>
      <w:r w:rsidR="00DB1635" w:rsidRPr="00B004EE">
        <w:rPr>
          <w:rFonts w:ascii="Tahoma" w:hAnsi="Tahoma" w:cs="Tahoma"/>
          <w:sz w:val="20"/>
          <w:szCs w:val="20"/>
        </w:rPr>
        <w:t xml:space="preserve"> </w:t>
      </w:r>
      <w:r w:rsidRPr="00B004EE">
        <w:rPr>
          <w:rFonts w:ascii="Tahoma" w:hAnsi="Tahoma" w:cs="Tahoma"/>
          <w:sz w:val="20"/>
          <w:szCs w:val="20"/>
        </w:rPr>
        <w:t>ciblée,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l’historique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captures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niveau</w:t>
      </w:r>
      <w:r w:rsidR="00DB1635" w:rsidRPr="00B004EE">
        <w:rPr>
          <w:rFonts w:ascii="Tahoma" w:hAnsi="Tahoma" w:cs="Tahoma"/>
          <w:sz w:val="20"/>
          <w:szCs w:val="20"/>
        </w:rPr>
        <w:t xml:space="preserve"> </w:t>
      </w:r>
      <w:r w:rsidRPr="00B004EE">
        <w:rPr>
          <w:rFonts w:ascii="Tahoma" w:hAnsi="Tahoma" w:cs="Tahoma"/>
          <w:sz w:val="20"/>
          <w:szCs w:val="20"/>
        </w:rPr>
        <w:t>d’investissement</w:t>
      </w:r>
      <w:r w:rsidR="00DB1635" w:rsidRPr="00B004EE">
        <w:rPr>
          <w:rFonts w:ascii="Tahoma" w:hAnsi="Tahoma" w:cs="Tahoma"/>
          <w:sz w:val="20"/>
          <w:szCs w:val="20"/>
        </w:rPr>
        <w:t xml:space="preserve"> </w:t>
      </w:r>
      <w:r w:rsidRPr="00B004EE">
        <w:rPr>
          <w:rFonts w:ascii="Tahoma" w:hAnsi="Tahoma" w:cs="Tahoma"/>
          <w:sz w:val="20"/>
          <w:szCs w:val="20"/>
        </w:rPr>
        <w:t>consenti.</w:t>
      </w:r>
    </w:p>
    <w:p w14:paraId="5FF58435" w14:textId="77777777" w:rsidR="008518B0" w:rsidRPr="00B004EE" w:rsidRDefault="008518B0" w:rsidP="00B004EE">
      <w:pPr>
        <w:pStyle w:val="article"/>
        <w:numPr>
          <w:ilvl w:val="0"/>
          <w:numId w:val="0"/>
        </w:numPr>
        <w:tabs>
          <w:tab w:val="left" w:pos="1200"/>
        </w:tabs>
        <w:spacing w:before="0" w:line="240" w:lineRule="auto"/>
        <w:rPr>
          <w:rFonts w:ascii="Tahoma" w:hAnsi="Tahoma" w:cs="Tahoma"/>
          <w:sz w:val="20"/>
          <w:szCs w:val="20"/>
        </w:rPr>
      </w:pPr>
    </w:p>
    <w:p w14:paraId="68DDE06F" w14:textId="31C420F1" w:rsidR="008518B0" w:rsidRPr="00B004EE" w:rsidRDefault="008518B0" w:rsidP="00B004EE">
      <w:pPr>
        <w:pStyle w:val="article"/>
        <w:numPr>
          <w:ilvl w:val="0"/>
          <w:numId w:val="0"/>
        </w:numPr>
        <w:tabs>
          <w:tab w:val="left" w:pos="1200"/>
        </w:tabs>
        <w:spacing w:before="0" w:line="240" w:lineRule="auto"/>
        <w:rPr>
          <w:rFonts w:ascii="Tahoma" w:hAnsi="Tahoma" w:cs="Tahoma"/>
          <w:sz w:val="20"/>
          <w:szCs w:val="20"/>
        </w:rPr>
      </w:pPr>
      <w:r w:rsidRPr="00B004EE">
        <w:rPr>
          <w:rFonts w:ascii="Tahoma" w:hAnsi="Tahoma" w:cs="Tahoma"/>
          <w:sz w:val="20"/>
          <w:szCs w:val="20"/>
        </w:rPr>
        <w:t>Article</w:t>
      </w:r>
      <w:r w:rsidR="00DB1635" w:rsidRPr="00B004EE">
        <w:rPr>
          <w:rFonts w:ascii="Tahoma" w:hAnsi="Tahoma" w:cs="Tahoma"/>
          <w:sz w:val="20"/>
          <w:szCs w:val="20"/>
        </w:rPr>
        <w:t xml:space="preserve"> </w:t>
      </w:r>
      <w:r w:rsidRPr="00B004EE">
        <w:rPr>
          <w:rFonts w:ascii="Tahoma" w:hAnsi="Tahoma" w:cs="Tahoma"/>
          <w:sz w:val="20"/>
          <w:szCs w:val="20"/>
        </w:rPr>
        <w:t>63</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abrogées</w:t>
      </w:r>
      <w:r w:rsidR="00DB1635" w:rsidRPr="00B004EE">
        <w:rPr>
          <w:rFonts w:ascii="Tahoma" w:hAnsi="Tahoma" w:cs="Tahoma"/>
          <w:sz w:val="20"/>
          <w:szCs w:val="20"/>
        </w:rPr>
        <w:t xml:space="preserve"> </w:t>
      </w:r>
      <w:r w:rsidRPr="00B004EE">
        <w:rPr>
          <w:rFonts w:ascii="Tahoma" w:hAnsi="Tahoma" w:cs="Tahoma"/>
          <w:sz w:val="20"/>
          <w:szCs w:val="20"/>
        </w:rPr>
        <w:t>toutes</w:t>
      </w:r>
      <w:r w:rsidR="00DB1635" w:rsidRPr="00B004EE">
        <w:rPr>
          <w:rFonts w:ascii="Tahoma" w:hAnsi="Tahoma" w:cs="Tahoma"/>
          <w:sz w:val="20"/>
          <w:szCs w:val="20"/>
        </w:rPr>
        <w:t xml:space="preserve"> </w:t>
      </w:r>
      <w:r w:rsidRPr="00B004EE">
        <w:rPr>
          <w:rFonts w:ascii="Tahoma" w:hAnsi="Tahoma" w:cs="Tahoma"/>
          <w:sz w:val="20"/>
          <w:szCs w:val="20"/>
        </w:rPr>
        <w:t>dispositions</w:t>
      </w:r>
      <w:r w:rsidR="00DB1635" w:rsidRPr="00B004EE">
        <w:rPr>
          <w:rFonts w:ascii="Tahoma" w:hAnsi="Tahoma" w:cs="Tahoma"/>
          <w:sz w:val="20"/>
          <w:szCs w:val="20"/>
        </w:rPr>
        <w:t xml:space="preserve"> </w:t>
      </w:r>
      <w:r w:rsidRPr="00B004EE">
        <w:rPr>
          <w:rFonts w:ascii="Tahoma" w:hAnsi="Tahoma" w:cs="Tahoma"/>
          <w:sz w:val="20"/>
          <w:szCs w:val="20"/>
        </w:rPr>
        <w:t>antérieures</w:t>
      </w:r>
      <w:r w:rsidR="00DB1635" w:rsidRPr="00B004EE">
        <w:rPr>
          <w:rFonts w:ascii="Tahoma" w:hAnsi="Tahoma" w:cs="Tahoma"/>
          <w:sz w:val="20"/>
          <w:szCs w:val="20"/>
        </w:rPr>
        <w:t xml:space="preserve"> </w:t>
      </w:r>
      <w:r w:rsidRPr="00B004EE">
        <w:rPr>
          <w:rFonts w:ascii="Tahoma" w:hAnsi="Tahoma" w:cs="Tahoma"/>
          <w:sz w:val="20"/>
          <w:szCs w:val="20"/>
        </w:rPr>
        <w:t>contraires</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présent</w:t>
      </w:r>
      <w:r w:rsidR="00DB1635" w:rsidRPr="00B004EE">
        <w:rPr>
          <w:rFonts w:ascii="Tahoma" w:hAnsi="Tahoma" w:cs="Tahoma"/>
          <w:sz w:val="20"/>
          <w:szCs w:val="20"/>
        </w:rPr>
        <w:t xml:space="preserve"> </w:t>
      </w:r>
      <w:r w:rsidRPr="00B004EE">
        <w:rPr>
          <w:rFonts w:ascii="Tahoma" w:hAnsi="Tahoma" w:cs="Tahoma"/>
          <w:sz w:val="20"/>
          <w:szCs w:val="20"/>
        </w:rPr>
        <w:t>décret</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notamment</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décret</w:t>
      </w:r>
      <w:r w:rsidR="00DB1635" w:rsidRPr="00B004EE">
        <w:rPr>
          <w:rFonts w:ascii="Tahoma" w:hAnsi="Tahoma" w:cs="Tahoma"/>
          <w:sz w:val="20"/>
          <w:szCs w:val="20"/>
        </w:rPr>
        <w:t xml:space="preserve"> </w:t>
      </w:r>
      <w:r w:rsidRPr="00B004EE">
        <w:rPr>
          <w:rFonts w:ascii="Tahoma" w:hAnsi="Tahoma" w:cs="Tahoma"/>
          <w:sz w:val="20"/>
          <w:szCs w:val="20"/>
        </w:rPr>
        <w:t>n°2002-073</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01</w:t>
      </w:r>
      <w:r w:rsidR="00DB1635" w:rsidRPr="00B004EE">
        <w:rPr>
          <w:rFonts w:ascii="Tahoma" w:hAnsi="Tahoma" w:cs="Tahoma"/>
          <w:sz w:val="20"/>
          <w:szCs w:val="20"/>
        </w:rPr>
        <w:t xml:space="preserve"> </w:t>
      </w:r>
      <w:r w:rsidRPr="00B004EE">
        <w:rPr>
          <w:rFonts w:ascii="Tahoma" w:hAnsi="Tahoma" w:cs="Tahoma"/>
          <w:sz w:val="20"/>
          <w:szCs w:val="20"/>
        </w:rPr>
        <w:t>octobre</w:t>
      </w:r>
      <w:r w:rsidR="00DB1635" w:rsidRPr="00B004EE">
        <w:rPr>
          <w:rFonts w:ascii="Tahoma" w:hAnsi="Tahoma" w:cs="Tahoma"/>
          <w:sz w:val="20"/>
          <w:szCs w:val="20"/>
        </w:rPr>
        <w:t xml:space="preserve"> </w:t>
      </w:r>
      <w:r w:rsidRPr="00B004EE">
        <w:rPr>
          <w:rFonts w:ascii="Tahoma" w:hAnsi="Tahoma" w:cs="Tahoma"/>
          <w:sz w:val="20"/>
          <w:szCs w:val="20"/>
        </w:rPr>
        <w:t>2002</w:t>
      </w:r>
      <w:r w:rsidR="00DB1635" w:rsidRPr="00B004EE">
        <w:rPr>
          <w:rFonts w:ascii="Tahoma" w:hAnsi="Tahoma" w:cs="Tahoma"/>
          <w:sz w:val="20"/>
          <w:szCs w:val="20"/>
        </w:rPr>
        <w:t xml:space="preserve"> </w:t>
      </w:r>
      <w:r w:rsidRPr="00B004EE">
        <w:rPr>
          <w:rFonts w:ascii="Tahoma" w:hAnsi="Tahoma" w:cs="Tahoma"/>
          <w:sz w:val="20"/>
          <w:szCs w:val="20"/>
        </w:rPr>
        <w:t>portant</w:t>
      </w:r>
      <w:r w:rsidR="00DB1635" w:rsidRPr="00B004EE">
        <w:rPr>
          <w:rFonts w:ascii="Tahoma" w:hAnsi="Tahoma" w:cs="Tahoma"/>
          <w:sz w:val="20"/>
          <w:szCs w:val="20"/>
        </w:rPr>
        <w:t xml:space="preserve"> </w:t>
      </w:r>
      <w:r w:rsidRPr="00B004EE">
        <w:rPr>
          <w:rFonts w:ascii="Tahoma" w:hAnsi="Tahoma" w:cs="Tahoma"/>
          <w:sz w:val="20"/>
          <w:szCs w:val="20"/>
        </w:rPr>
        <w:t>règlement</w:t>
      </w:r>
      <w:r w:rsidR="00DB1635" w:rsidRPr="00B004EE">
        <w:rPr>
          <w:rFonts w:ascii="Tahoma" w:hAnsi="Tahoma" w:cs="Tahoma"/>
          <w:sz w:val="20"/>
          <w:szCs w:val="20"/>
        </w:rPr>
        <w:t xml:space="preserve"> </w:t>
      </w:r>
      <w:r w:rsidRPr="00B004EE">
        <w:rPr>
          <w:rFonts w:ascii="Tahoma" w:hAnsi="Tahoma" w:cs="Tahoma"/>
          <w:sz w:val="20"/>
          <w:szCs w:val="20"/>
        </w:rPr>
        <w:t>d'application</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loi</w:t>
      </w:r>
      <w:r w:rsidR="00DB1635" w:rsidRPr="00B004EE">
        <w:rPr>
          <w:rFonts w:ascii="Tahoma" w:hAnsi="Tahoma" w:cs="Tahoma"/>
          <w:sz w:val="20"/>
          <w:szCs w:val="20"/>
        </w:rPr>
        <w:t xml:space="preserve"> </w:t>
      </w:r>
      <w:r w:rsidRPr="00B004EE">
        <w:rPr>
          <w:rFonts w:ascii="Tahoma" w:hAnsi="Tahoma" w:cs="Tahoma"/>
          <w:sz w:val="20"/>
          <w:szCs w:val="20"/>
        </w:rPr>
        <w:t>n°2000/025</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24</w:t>
      </w:r>
      <w:r w:rsidR="00DB1635" w:rsidRPr="00B004EE">
        <w:rPr>
          <w:rFonts w:ascii="Tahoma" w:hAnsi="Tahoma" w:cs="Tahoma"/>
          <w:sz w:val="20"/>
          <w:szCs w:val="20"/>
        </w:rPr>
        <w:t xml:space="preserve"> </w:t>
      </w:r>
      <w:r w:rsidRPr="00B004EE">
        <w:rPr>
          <w:rFonts w:ascii="Tahoma" w:hAnsi="Tahoma" w:cs="Tahoma"/>
          <w:sz w:val="20"/>
          <w:szCs w:val="20"/>
        </w:rPr>
        <w:t>janvier</w:t>
      </w:r>
      <w:r w:rsidR="00DB1635" w:rsidRPr="00B004EE">
        <w:rPr>
          <w:rFonts w:ascii="Tahoma" w:hAnsi="Tahoma" w:cs="Tahoma"/>
          <w:sz w:val="20"/>
          <w:szCs w:val="20"/>
        </w:rPr>
        <w:t xml:space="preserve"> </w:t>
      </w:r>
      <w:r w:rsidRPr="00B004EE">
        <w:rPr>
          <w:rFonts w:ascii="Tahoma" w:hAnsi="Tahoma" w:cs="Tahoma"/>
          <w:sz w:val="20"/>
          <w:szCs w:val="20"/>
        </w:rPr>
        <w:t>2000</w:t>
      </w:r>
      <w:r w:rsidR="00DB1635" w:rsidRPr="00B004EE">
        <w:rPr>
          <w:rFonts w:ascii="Tahoma" w:hAnsi="Tahoma" w:cs="Tahoma"/>
          <w:sz w:val="20"/>
          <w:szCs w:val="20"/>
        </w:rPr>
        <w:t xml:space="preserve"> </w:t>
      </w:r>
      <w:r w:rsidRPr="00B004EE">
        <w:rPr>
          <w:rFonts w:ascii="Tahoma" w:hAnsi="Tahoma" w:cs="Tahoma"/>
          <w:sz w:val="20"/>
          <w:szCs w:val="20"/>
        </w:rPr>
        <w:t>portant</w:t>
      </w:r>
      <w:r w:rsidR="00DB1635" w:rsidRPr="00B004EE">
        <w:rPr>
          <w:rFonts w:ascii="Tahoma" w:hAnsi="Tahoma" w:cs="Tahoma"/>
          <w:sz w:val="20"/>
          <w:szCs w:val="20"/>
        </w:rPr>
        <w:t xml:space="preserve"> </w:t>
      </w:r>
      <w:r w:rsidRPr="00B004EE">
        <w:rPr>
          <w:rFonts w:ascii="Tahoma" w:hAnsi="Tahoma" w:cs="Tahoma"/>
          <w:sz w:val="20"/>
          <w:szCs w:val="20"/>
        </w:rPr>
        <w:t>Code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sz w:val="20"/>
          <w:szCs w:val="20"/>
        </w:rPr>
        <w:t xml:space="preserve"> </w:t>
      </w:r>
      <w:r w:rsidRPr="00B004EE">
        <w:rPr>
          <w:rFonts w:ascii="Tahoma" w:hAnsi="Tahoma" w:cs="Tahoma"/>
          <w:sz w:val="20"/>
          <w:szCs w:val="20"/>
        </w:rPr>
        <w:t>maritimes.</w:t>
      </w:r>
      <w:r w:rsidR="00DB1635" w:rsidRPr="00B004EE">
        <w:rPr>
          <w:rFonts w:ascii="Tahoma" w:hAnsi="Tahoma" w:cs="Tahoma"/>
          <w:sz w:val="20"/>
          <w:szCs w:val="20"/>
        </w:rPr>
        <w:t xml:space="preserve"> </w:t>
      </w:r>
    </w:p>
    <w:p w14:paraId="22F7F3D8" w14:textId="77777777" w:rsidR="008518B0" w:rsidRPr="00B004EE" w:rsidRDefault="008518B0" w:rsidP="00B004EE">
      <w:pPr>
        <w:pStyle w:val="article"/>
        <w:numPr>
          <w:ilvl w:val="0"/>
          <w:numId w:val="0"/>
        </w:numPr>
        <w:tabs>
          <w:tab w:val="left" w:pos="1200"/>
        </w:tabs>
        <w:spacing w:before="0" w:line="240" w:lineRule="auto"/>
        <w:rPr>
          <w:rFonts w:ascii="Tahoma" w:hAnsi="Tahoma" w:cs="Tahoma"/>
          <w:sz w:val="20"/>
          <w:szCs w:val="20"/>
        </w:rPr>
      </w:pPr>
    </w:p>
    <w:p w14:paraId="1D526011" w14:textId="1A3A7E29" w:rsidR="008518B0" w:rsidRPr="00B004EE" w:rsidRDefault="008518B0" w:rsidP="00B004EE">
      <w:pPr>
        <w:pStyle w:val="article"/>
        <w:numPr>
          <w:ilvl w:val="0"/>
          <w:numId w:val="0"/>
        </w:numPr>
        <w:tabs>
          <w:tab w:val="left" w:pos="1200"/>
        </w:tabs>
        <w:spacing w:before="0" w:line="240" w:lineRule="auto"/>
        <w:rPr>
          <w:rFonts w:ascii="Tahoma" w:hAnsi="Tahoma" w:cs="Tahoma"/>
          <w:sz w:val="20"/>
          <w:szCs w:val="20"/>
        </w:rPr>
      </w:pPr>
      <w:r w:rsidRPr="00B004EE">
        <w:rPr>
          <w:rFonts w:ascii="Tahoma" w:hAnsi="Tahoma" w:cs="Tahoma"/>
          <w:sz w:val="20"/>
          <w:szCs w:val="20"/>
        </w:rPr>
        <w:t>Article</w:t>
      </w:r>
      <w:r w:rsidR="00DB1635" w:rsidRPr="00B004EE">
        <w:rPr>
          <w:rFonts w:ascii="Tahoma" w:hAnsi="Tahoma" w:cs="Tahoma"/>
          <w:sz w:val="20"/>
          <w:szCs w:val="20"/>
        </w:rPr>
        <w:t xml:space="preserve"> </w:t>
      </w:r>
      <w:r w:rsidRPr="00B004EE">
        <w:rPr>
          <w:rFonts w:ascii="Tahoma" w:hAnsi="Tahoma" w:cs="Tahoma"/>
          <w:sz w:val="20"/>
          <w:szCs w:val="20"/>
        </w:rPr>
        <w:t>64</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Ministre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Défense</w:t>
      </w:r>
      <w:r w:rsidR="00DB1635" w:rsidRPr="00B004EE">
        <w:rPr>
          <w:rFonts w:ascii="Tahoma" w:hAnsi="Tahoma" w:cs="Tahoma"/>
          <w:sz w:val="20"/>
          <w:szCs w:val="20"/>
        </w:rPr>
        <w:t xml:space="preserve"> </w:t>
      </w:r>
      <w:r w:rsidRPr="00B004EE">
        <w:rPr>
          <w:rFonts w:ascii="Tahoma" w:hAnsi="Tahoma" w:cs="Tahoma"/>
          <w:sz w:val="20"/>
          <w:szCs w:val="20"/>
        </w:rPr>
        <w:t>Nationale,</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Ministre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l’Intérieur</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Décentralisation,</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Ministre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Finances,</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Ministre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Affaires</w:t>
      </w:r>
      <w:r w:rsidR="00DB1635" w:rsidRPr="00B004EE">
        <w:rPr>
          <w:rFonts w:ascii="Tahoma" w:hAnsi="Tahoma" w:cs="Tahoma"/>
          <w:sz w:val="20"/>
          <w:szCs w:val="20"/>
        </w:rPr>
        <w:t xml:space="preserve"> </w:t>
      </w:r>
      <w:r w:rsidRPr="00B004EE">
        <w:rPr>
          <w:rFonts w:ascii="Tahoma" w:hAnsi="Tahoma" w:cs="Tahoma"/>
          <w:sz w:val="20"/>
          <w:szCs w:val="20"/>
        </w:rPr>
        <w:t>Économiques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Développement,</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Ministre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l’Économie</w:t>
      </w:r>
      <w:r w:rsidR="00DB1635" w:rsidRPr="00B004EE">
        <w:rPr>
          <w:rFonts w:ascii="Tahoma" w:hAnsi="Tahoma" w:cs="Tahoma"/>
          <w:sz w:val="20"/>
          <w:szCs w:val="20"/>
        </w:rPr>
        <w:t xml:space="preserve"> </w:t>
      </w:r>
      <w:r w:rsidRPr="00B004EE">
        <w:rPr>
          <w:rFonts w:ascii="Tahoma" w:hAnsi="Tahoma" w:cs="Tahoma"/>
          <w:sz w:val="20"/>
          <w:szCs w:val="20"/>
        </w:rPr>
        <w:t>maritime,</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Secrétaire</w:t>
      </w:r>
      <w:r w:rsidR="00DB1635" w:rsidRPr="00B004EE">
        <w:rPr>
          <w:rFonts w:ascii="Tahoma" w:hAnsi="Tahoma" w:cs="Tahoma"/>
          <w:sz w:val="20"/>
          <w:szCs w:val="20"/>
        </w:rPr>
        <w:t xml:space="preserve"> </w:t>
      </w:r>
      <w:r w:rsidRPr="00B004EE">
        <w:rPr>
          <w:rFonts w:ascii="Tahoma" w:hAnsi="Tahoma" w:cs="Tahoma"/>
          <w:sz w:val="20"/>
          <w:szCs w:val="20"/>
        </w:rPr>
        <w:t>Général</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Gouvernement</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chargés,</w:t>
      </w:r>
      <w:r w:rsidR="00DB1635" w:rsidRPr="00B004EE">
        <w:rPr>
          <w:rFonts w:ascii="Tahoma" w:hAnsi="Tahoma" w:cs="Tahoma"/>
          <w:sz w:val="20"/>
          <w:szCs w:val="20"/>
        </w:rPr>
        <w:t xml:space="preserve"> </w:t>
      </w:r>
      <w:r w:rsidRPr="00B004EE">
        <w:rPr>
          <w:rFonts w:ascii="Tahoma" w:hAnsi="Tahoma" w:cs="Tahoma"/>
          <w:sz w:val="20"/>
          <w:szCs w:val="20"/>
        </w:rPr>
        <w:t>chacun</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ce</w:t>
      </w:r>
      <w:r w:rsidR="00DB1635" w:rsidRPr="00B004EE">
        <w:rPr>
          <w:rFonts w:ascii="Tahoma" w:hAnsi="Tahoma" w:cs="Tahoma"/>
          <w:sz w:val="20"/>
          <w:szCs w:val="20"/>
        </w:rPr>
        <w:t xml:space="preserve"> </w:t>
      </w:r>
      <w:r w:rsidRPr="00B004EE">
        <w:rPr>
          <w:rFonts w:ascii="Tahoma" w:hAnsi="Tahoma" w:cs="Tahoma"/>
          <w:sz w:val="20"/>
          <w:szCs w:val="20"/>
        </w:rPr>
        <w:t>qui</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concerne,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l’exécution</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présent</w:t>
      </w:r>
      <w:r w:rsidR="00DB1635" w:rsidRPr="00B004EE">
        <w:rPr>
          <w:rFonts w:ascii="Tahoma" w:hAnsi="Tahoma" w:cs="Tahoma"/>
          <w:sz w:val="20"/>
          <w:szCs w:val="20"/>
        </w:rPr>
        <w:t xml:space="preserve"> </w:t>
      </w:r>
      <w:r w:rsidRPr="00B004EE">
        <w:rPr>
          <w:rFonts w:ascii="Tahoma" w:hAnsi="Tahoma" w:cs="Tahoma"/>
          <w:sz w:val="20"/>
          <w:szCs w:val="20"/>
        </w:rPr>
        <w:t>décret</w:t>
      </w:r>
      <w:r w:rsidR="00DB1635" w:rsidRPr="00B004EE">
        <w:rPr>
          <w:rFonts w:ascii="Tahoma" w:hAnsi="Tahoma" w:cs="Tahoma"/>
          <w:sz w:val="20"/>
          <w:szCs w:val="20"/>
        </w:rPr>
        <w:t xml:space="preserve"> </w:t>
      </w:r>
      <w:r w:rsidRPr="00B004EE">
        <w:rPr>
          <w:rFonts w:ascii="Tahoma" w:hAnsi="Tahoma" w:cs="Tahoma"/>
          <w:sz w:val="20"/>
          <w:szCs w:val="20"/>
        </w:rPr>
        <w:t>qui</w:t>
      </w:r>
      <w:r w:rsidR="00DB1635" w:rsidRPr="00B004EE">
        <w:rPr>
          <w:rFonts w:ascii="Tahoma" w:hAnsi="Tahoma" w:cs="Tahoma"/>
          <w:sz w:val="20"/>
          <w:szCs w:val="20"/>
        </w:rPr>
        <w:t xml:space="preserve"> </w:t>
      </w:r>
      <w:r w:rsidRPr="00B004EE">
        <w:rPr>
          <w:rFonts w:ascii="Tahoma" w:hAnsi="Tahoma" w:cs="Tahoma"/>
          <w:sz w:val="20"/>
          <w:szCs w:val="20"/>
        </w:rPr>
        <w:t>sera</w:t>
      </w:r>
      <w:r w:rsidR="00DB1635" w:rsidRPr="00B004EE">
        <w:rPr>
          <w:rFonts w:ascii="Tahoma" w:hAnsi="Tahoma" w:cs="Tahoma"/>
          <w:sz w:val="20"/>
          <w:szCs w:val="20"/>
        </w:rPr>
        <w:t xml:space="preserve"> </w:t>
      </w:r>
      <w:r w:rsidRPr="00B004EE">
        <w:rPr>
          <w:rFonts w:ascii="Tahoma" w:hAnsi="Tahoma" w:cs="Tahoma"/>
          <w:sz w:val="20"/>
          <w:szCs w:val="20"/>
        </w:rPr>
        <w:t>publié</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Journal</w:t>
      </w:r>
      <w:r w:rsidR="00DB1635" w:rsidRPr="00B004EE">
        <w:rPr>
          <w:rFonts w:ascii="Tahoma" w:hAnsi="Tahoma" w:cs="Tahoma"/>
          <w:sz w:val="20"/>
          <w:szCs w:val="20"/>
        </w:rPr>
        <w:t xml:space="preserve"> </w:t>
      </w:r>
      <w:r w:rsidRPr="00B004EE">
        <w:rPr>
          <w:rFonts w:ascii="Tahoma" w:hAnsi="Tahoma" w:cs="Tahoma"/>
          <w:sz w:val="20"/>
          <w:szCs w:val="20"/>
        </w:rPr>
        <w:t>Officiel</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République</w:t>
      </w:r>
      <w:r w:rsidR="00DB1635" w:rsidRPr="00B004EE">
        <w:rPr>
          <w:rFonts w:ascii="Tahoma" w:hAnsi="Tahoma" w:cs="Tahoma"/>
          <w:sz w:val="20"/>
          <w:szCs w:val="20"/>
        </w:rPr>
        <w:t xml:space="preserve"> </w:t>
      </w:r>
      <w:r w:rsidRPr="00B004EE">
        <w:rPr>
          <w:rFonts w:ascii="Tahoma" w:hAnsi="Tahoma" w:cs="Tahoma"/>
          <w:sz w:val="20"/>
          <w:szCs w:val="20"/>
        </w:rPr>
        <w:t>Islamique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Mauritanie.</w:t>
      </w:r>
      <w:r w:rsidR="00DB1635" w:rsidRPr="00B004EE">
        <w:rPr>
          <w:rFonts w:ascii="Tahoma" w:hAnsi="Tahoma" w:cs="Tahoma"/>
          <w:sz w:val="20"/>
          <w:szCs w:val="20"/>
        </w:rPr>
        <w:t xml:space="preserve"> </w:t>
      </w:r>
    </w:p>
    <w:p w14:paraId="02B78074" w14:textId="77777777" w:rsidR="00526DF0" w:rsidRPr="00B004EE" w:rsidRDefault="00526DF0" w:rsidP="00B004EE">
      <w:pPr>
        <w:pStyle w:val="article"/>
        <w:numPr>
          <w:ilvl w:val="0"/>
          <w:numId w:val="0"/>
        </w:numPr>
        <w:tabs>
          <w:tab w:val="left" w:pos="1200"/>
        </w:tabs>
        <w:spacing w:before="0" w:line="240" w:lineRule="auto"/>
        <w:jc w:val="right"/>
        <w:rPr>
          <w:rFonts w:ascii="Tahoma" w:hAnsi="Tahoma" w:cs="Tahoma"/>
          <w:i/>
          <w:iCs/>
          <w:sz w:val="20"/>
          <w:szCs w:val="20"/>
        </w:rPr>
      </w:pPr>
    </w:p>
    <w:p w14:paraId="7C3C214C" w14:textId="59B7FED1" w:rsidR="007127C2" w:rsidRPr="00B004EE" w:rsidRDefault="008518B0" w:rsidP="00B004EE">
      <w:pPr>
        <w:pStyle w:val="article"/>
        <w:numPr>
          <w:ilvl w:val="0"/>
          <w:numId w:val="0"/>
        </w:numPr>
        <w:tabs>
          <w:tab w:val="left" w:pos="1200"/>
        </w:tabs>
        <w:spacing w:before="0" w:line="240" w:lineRule="auto"/>
        <w:jc w:val="right"/>
        <w:rPr>
          <w:rFonts w:ascii="Tahoma" w:hAnsi="Tahoma" w:cs="Tahoma"/>
          <w:sz w:val="20"/>
          <w:szCs w:val="20"/>
        </w:rPr>
      </w:pPr>
      <w:r w:rsidRPr="00B004EE">
        <w:rPr>
          <w:rFonts w:ascii="Tahoma" w:hAnsi="Tahoma" w:cs="Tahoma"/>
          <w:i/>
          <w:iCs/>
          <w:sz w:val="20"/>
          <w:szCs w:val="20"/>
        </w:rPr>
        <w:t>Nouakchott,</w:t>
      </w:r>
      <w:r w:rsidR="00DB1635" w:rsidRPr="00B004EE">
        <w:rPr>
          <w:rFonts w:ascii="Tahoma" w:hAnsi="Tahoma" w:cs="Tahoma"/>
          <w:i/>
          <w:iCs/>
          <w:sz w:val="20"/>
          <w:szCs w:val="20"/>
        </w:rPr>
        <w:t xml:space="preserve"> </w:t>
      </w:r>
      <w:r w:rsidRPr="00B004EE">
        <w:rPr>
          <w:rFonts w:ascii="Tahoma" w:hAnsi="Tahoma" w:cs="Tahoma"/>
          <w:i/>
          <w:iCs/>
          <w:sz w:val="20"/>
          <w:szCs w:val="20"/>
        </w:rPr>
        <w:t>le</w:t>
      </w:r>
      <w:r w:rsidR="00DB1635" w:rsidRPr="00B004EE">
        <w:rPr>
          <w:rFonts w:ascii="Tahoma" w:hAnsi="Tahoma" w:cs="Tahoma"/>
          <w:i/>
          <w:iCs/>
          <w:sz w:val="20"/>
          <w:szCs w:val="20"/>
        </w:rPr>
        <w:t xml:space="preserve"> </w:t>
      </w:r>
      <w:r w:rsidRPr="00B004EE">
        <w:rPr>
          <w:rFonts w:ascii="Tahoma" w:hAnsi="Tahoma" w:cs="Tahoma"/>
          <w:sz w:val="20"/>
          <w:szCs w:val="20"/>
        </w:rPr>
        <w:t>01</w:t>
      </w:r>
      <w:r w:rsidR="00DB1635" w:rsidRPr="00B004EE">
        <w:rPr>
          <w:rFonts w:ascii="Tahoma" w:hAnsi="Tahoma" w:cs="Tahoma"/>
          <w:sz w:val="20"/>
          <w:szCs w:val="20"/>
        </w:rPr>
        <w:t xml:space="preserve"> </w:t>
      </w:r>
      <w:r w:rsidRPr="00B004EE">
        <w:rPr>
          <w:rFonts w:ascii="Tahoma" w:hAnsi="Tahoma" w:cs="Tahoma"/>
          <w:sz w:val="20"/>
          <w:szCs w:val="20"/>
        </w:rPr>
        <w:t>octobre</w:t>
      </w:r>
      <w:r w:rsidR="00DB1635" w:rsidRPr="00B004EE">
        <w:rPr>
          <w:rFonts w:ascii="Tahoma" w:hAnsi="Tahoma" w:cs="Tahoma"/>
          <w:sz w:val="20"/>
          <w:szCs w:val="20"/>
        </w:rPr>
        <w:t xml:space="preserve"> </w:t>
      </w:r>
      <w:r w:rsidRPr="00B004EE">
        <w:rPr>
          <w:rFonts w:ascii="Tahoma" w:hAnsi="Tahoma" w:cs="Tahoma"/>
          <w:sz w:val="20"/>
          <w:szCs w:val="20"/>
        </w:rPr>
        <w:t>2015</w:t>
      </w:r>
    </w:p>
    <w:p w14:paraId="152F1F5D" w14:textId="03416081" w:rsidR="002E41D8" w:rsidRPr="00B004EE" w:rsidRDefault="002E41D8" w:rsidP="00B004EE">
      <w:pPr>
        <w:pStyle w:val="article"/>
        <w:numPr>
          <w:ilvl w:val="0"/>
          <w:numId w:val="0"/>
        </w:numPr>
        <w:tabs>
          <w:tab w:val="left" w:pos="1200"/>
        </w:tabs>
        <w:spacing w:before="0" w:line="240" w:lineRule="auto"/>
        <w:jc w:val="right"/>
        <w:rPr>
          <w:rFonts w:ascii="Tahoma" w:hAnsi="Tahoma" w:cs="Tahoma"/>
          <w:sz w:val="20"/>
          <w:szCs w:val="20"/>
        </w:rPr>
      </w:pPr>
    </w:p>
    <w:p w14:paraId="1939BD0D" w14:textId="77777777" w:rsidR="002D5ACF" w:rsidRPr="00B004EE" w:rsidRDefault="002D5ACF" w:rsidP="00B004EE">
      <w:pPr>
        <w:autoSpaceDE w:val="0"/>
        <w:autoSpaceDN w:val="0"/>
        <w:adjustRightInd w:val="0"/>
        <w:jc w:val="center"/>
        <w:rPr>
          <w:rFonts w:ascii="Tahoma" w:hAnsi="Tahoma" w:cs="Tahoma"/>
          <w:sz w:val="20"/>
          <w:szCs w:val="20"/>
        </w:rPr>
      </w:pPr>
      <w:r w:rsidRPr="00B004EE">
        <w:rPr>
          <w:rFonts w:ascii="Tahoma" w:hAnsi="Tahoma" w:cs="Tahoma"/>
          <w:sz w:val="20"/>
          <w:szCs w:val="20"/>
        </w:rPr>
        <w:t>Le Premier Ministre</w:t>
      </w:r>
    </w:p>
    <w:p w14:paraId="42AAE339" w14:textId="77777777" w:rsidR="002E41D8" w:rsidRPr="00B004EE" w:rsidRDefault="002E41D8" w:rsidP="00B004EE">
      <w:pPr>
        <w:pStyle w:val="Pieddepage"/>
        <w:tabs>
          <w:tab w:val="clear" w:pos="4536"/>
          <w:tab w:val="clear" w:pos="9072"/>
        </w:tabs>
        <w:spacing w:line="300" w:lineRule="exact"/>
        <w:ind w:right="-321"/>
        <w:jc w:val="center"/>
        <w:rPr>
          <w:rFonts w:ascii="Tahoma" w:hAnsi="Tahoma" w:cs="Tahoma"/>
          <w:bCs/>
        </w:rPr>
      </w:pPr>
      <w:r w:rsidRPr="00B004EE">
        <w:rPr>
          <w:rFonts w:ascii="Tahoma" w:hAnsi="Tahoma" w:cs="Tahoma"/>
          <w:bCs/>
        </w:rPr>
        <w:t>YAHYA OULD HADEMINE</w:t>
      </w:r>
    </w:p>
    <w:p w14:paraId="30DBE164" w14:textId="77777777" w:rsidR="002E41D8" w:rsidRPr="00B004EE" w:rsidRDefault="002E41D8" w:rsidP="00B004EE">
      <w:pPr>
        <w:spacing w:line="300" w:lineRule="exact"/>
        <w:rPr>
          <w:rFonts w:ascii="Tahoma" w:hAnsi="Tahoma" w:cs="Tahoma"/>
          <w:sz w:val="20"/>
          <w:szCs w:val="20"/>
        </w:rPr>
      </w:pPr>
    </w:p>
    <w:p w14:paraId="26728D45" w14:textId="77777777" w:rsidR="002E41D8" w:rsidRPr="00B004EE" w:rsidRDefault="002E41D8" w:rsidP="00B004EE">
      <w:pPr>
        <w:pStyle w:val="Pieddepage"/>
        <w:tabs>
          <w:tab w:val="clear" w:pos="4536"/>
          <w:tab w:val="clear" w:pos="9072"/>
        </w:tabs>
        <w:spacing w:line="300" w:lineRule="exact"/>
        <w:rPr>
          <w:rFonts w:ascii="Tahoma" w:hAnsi="Tahoma" w:cs="Tahoma"/>
          <w:caps/>
        </w:rPr>
      </w:pPr>
    </w:p>
    <w:p w14:paraId="039A0408" w14:textId="2763C715" w:rsidR="00E40449" w:rsidRPr="00B004EE" w:rsidRDefault="00E40449" w:rsidP="00B004EE">
      <w:pPr>
        <w:pStyle w:val="Pieddepage"/>
        <w:tabs>
          <w:tab w:val="clear" w:pos="4536"/>
          <w:tab w:val="clear" w:pos="9072"/>
        </w:tabs>
        <w:spacing w:line="300" w:lineRule="exact"/>
        <w:rPr>
          <w:rFonts w:ascii="Tahoma" w:hAnsi="Tahoma" w:cs="Tahoma"/>
        </w:rPr>
      </w:pPr>
      <w:r w:rsidRPr="00B004EE">
        <w:rPr>
          <w:rFonts w:ascii="Tahoma" w:hAnsi="Tahoma" w:cs="Tahoma"/>
        </w:rPr>
        <w:t>Le Ministre de la Défense Nationale</w:t>
      </w:r>
      <w:r w:rsidRPr="00B004EE">
        <w:rPr>
          <w:rFonts w:ascii="Tahoma" w:hAnsi="Tahoma" w:cs="Tahoma"/>
        </w:rPr>
        <w:tab/>
      </w:r>
      <w:r w:rsidRPr="00B004EE">
        <w:rPr>
          <w:rFonts w:ascii="Tahoma" w:hAnsi="Tahoma" w:cs="Tahoma"/>
        </w:rPr>
        <w:tab/>
      </w:r>
      <w:r w:rsidRPr="00B004EE">
        <w:rPr>
          <w:rFonts w:ascii="Tahoma" w:hAnsi="Tahoma" w:cs="Tahoma"/>
        </w:rPr>
        <w:tab/>
        <w:t>le Ministre de l’Intérieur et de la</w:t>
      </w:r>
    </w:p>
    <w:p w14:paraId="55AC5EA5" w14:textId="2F42AC10" w:rsidR="002E41D8" w:rsidRPr="00B004EE" w:rsidRDefault="00E40449" w:rsidP="002D26AE">
      <w:pPr>
        <w:pStyle w:val="Pieddepage"/>
        <w:tabs>
          <w:tab w:val="clear" w:pos="4536"/>
          <w:tab w:val="clear" w:pos="9072"/>
        </w:tabs>
        <w:spacing w:line="300" w:lineRule="exact"/>
        <w:ind w:left="5954"/>
        <w:rPr>
          <w:rFonts w:ascii="Tahoma" w:hAnsi="Tahoma" w:cs="Tahoma"/>
          <w:caps/>
        </w:rPr>
      </w:pPr>
      <w:r w:rsidRPr="00B004EE">
        <w:rPr>
          <w:rFonts w:ascii="Tahoma" w:hAnsi="Tahoma" w:cs="Tahoma"/>
        </w:rPr>
        <w:t>Décentralisation</w:t>
      </w:r>
    </w:p>
    <w:p w14:paraId="50B7D235" w14:textId="2861566D" w:rsidR="002E41D8" w:rsidRPr="00B004EE" w:rsidRDefault="002E41D8" w:rsidP="00B004EE">
      <w:pPr>
        <w:pStyle w:val="Pieddepage"/>
        <w:tabs>
          <w:tab w:val="clear" w:pos="4536"/>
          <w:tab w:val="clear" w:pos="9072"/>
        </w:tabs>
        <w:spacing w:line="300" w:lineRule="exact"/>
        <w:ind w:left="284" w:right="-321"/>
        <w:rPr>
          <w:rFonts w:ascii="Tahoma" w:hAnsi="Tahoma" w:cs="Tahoma"/>
          <w:caps/>
        </w:rPr>
      </w:pPr>
      <w:r w:rsidRPr="00B004EE">
        <w:rPr>
          <w:rFonts w:ascii="Tahoma" w:hAnsi="Tahoma" w:cs="Tahoma"/>
          <w:caps/>
        </w:rPr>
        <w:t xml:space="preserve">DIALLO </w:t>
      </w:r>
      <w:r w:rsidR="00E40449" w:rsidRPr="00B004EE">
        <w:rPr>
          <w:rFonts w:ascii="Tahoma" w:hAnsi="Tahoma" w:cs="Tahoma"/>
        </w:rPr>
        <w:t>Mamadou Bathia</w:t>
      </w:r>
      <w:r w:rsidR="00E40449" w:rsidRPr="00B004EE">
        <w:rPr>
          <w:rFonts w:ascii="Tahoma" w:hAnsi="Tahoma" w:cs="Tahoma"/>
        </w:rPr>
        <w:tab/>
      </w:r>
      <w:r w:rsidR="00E40449" w:rsidRPr="00B004EE">
        <w:rPr>
          <w:rFonts w:ascii="Tahoma" w:hAnsi="Tahoma" w:cs="Tahoma"/>
        </w:rPr>
        <w:tab/>
      </w:r>
      <w:r w:rsidR="00E40449" w:rsidRPr="00B004EE">
        <w:rPr>
          <w:rFonts w:ascii="Tahoma" w:hAnsi="Tahoma" w:cs="Tahoma"/>
        </w:rPr>
        <w:tab/>
      </w:r>
      <w:r w:rsidR="00E40449" w:rsidRPr="00B004EE">
        <w:rPr>
          <w:rFonts w:ascii="Tahoma" w:hAnsi="Tahoma" w:cs="Tahoma"/>
        </w:rPr>
        <w:tab/>
      </w:r>
      <w:r w:rsidR="00E40449" w:rsidRPr="00B004EE">
        <w:rPr>
          <w:rFonts w:ascii="Tahoma" w:hAnsi="Tahoma" w:cs="Tahoma"/>
        </w:rPr>
        <w:tab/>
        <w:t xml:space="preserve">Ahmedou Ould </w:t>
      </w:r>
      <w:r w:rsidR="00E40449" w:rsidRPr="00B004EE">
        <w:rPr>
          <w:rFonts w:ascii="Tahoma" w:hAnsi="Tahoma" w:cs="Tahoma"/>
          <w:caps/>
        </w:rPr>
        <w:t>Abdella</w:t>
      </w:r>
    </w:p>
    <w:p w14:paraId="3708152B" w14:textId="77777777" w:rsidR="002E41D8" w:rsidRPr="00B004EE" w:rsidRDefault="002E41D8" w:rsidP="00B004EE">
      <w:pPr>
        <w:pStyle w:val="Pieddepage"/>
        <w:tabs>
          <w:tab w:val="clear" w:pos="4536"/>
          <w:tab w:val="clear" w:pos="9072"/>
        </w:tabs>
        <w:spacing w:line="300" w:lineRule="exact"/>
        <w:jc w:val="center"/>
        <w:rPr>
          <w:rFonts w:ascii="Tahoma" w:hAnsi="Tahoma" w:cs="Tahoma"/>
          <w:caps/>
        </w:rPr>
      </w:pPr>
    </w:p>
    <w:p w14:paraId="4C20EB43" w14:textId="77777777" w:rsidR="002E41D8" w:rsidRPr="00B004EE" w:rsidRDefault="002E41D8" w:rsidP="00B004EE">
      <w:pPr>
        <w:pStyle w:val="Pieddepage"/>
        <w:tabs>
          <w:tab w:val="clear" w:pos="4536"/>
          <w:tab w:val="clear" w:pos="9072"/>
        </w:tabs>
        <w:spacing w:line="300" w:lineRule="exact"/>
        <w:jc w:val="center"/>
        <w:rPr>
          <w:rFonts w:ascii="Tahoma" w:hAnsi="Tahoma" w:cs="Tahoma"/>
          <w:caps/>
        </w:rPr>
      </w:pPr>
    </w:p>
    <w:p w14:paraId="25EE3E9C" w14:textId="77777777" w:rsidR="002E41D8" w:rsidRPr="00B004EE" w:rsidRDefault="002E41D8" w:rsidP="00B004EE">
      <w:pPr>
        <w:pStyle w:val="Pieddepage"/>
        <w:tabs>
          <w:tab w:val="clear" w:pos="4536"/>
          <w:tab w:val="clear" w:pos="9072"/>
        </w:tabs>
        <w:jc w:val="center"/>
        <w:rPr>
          <w:rFonts w:ascii="Tahoma" w:hAnsi="Tahoma" w:cs="Tahoma"/>
          <w:caps/>
        </w:rPr>
      </w:pPr>
    </w:p>
    <w:p w14:paraId="3FE4B546" w14:textId="55BA098E" w:rsidR="002E41D8" w:rsidRPr="00B004EE" w:rsidRDefault="00E40449" w:rsidP="00B004EE">
      <w:pPr>
        <w:pStyle w:val="Pieddepage"/>
        <w:tabs>
          <w:tab w:val="clear" w:pos="4536"/>
          <w:tab w:val="clear" w:pos="9072"/>
        </w:tabs>
        <w:rPr>
          <w:rFonts w:ascii="Tahoma" w:hAnsi="Tahoma" w:cs="Tahoma"/>
          <w:caps/>
        </w:rPr>
      </w:pPr>
      <w:r w:rsidRPr="00B004EE">
        <w:rPr>
          <w:rFonts w:ascii="Tahoma" w:hAnsi="Tahoma" w:cs="Tahoma"/>
        </w:rPr>
        <w:t>Le Ministre des Affaires Economiques</w:t>
      </w:r>
      <w:r w:rsidRPr="00B004EE">
        <w:rPr>
          <w:rFonts w:ascii="Tahoma" w:hAnsi="Tahoma" w:cs="Tahoma"/>
        </w:rPr>
        <w:tab/>
      </w:r>
      <w:r w:rsidRPr="00B004EE">
        <w:rPr>
          <w:rFonts w:ascii="Tahoma" w:hAnsi="Tahoma" w:cs="Tahoma"/>
        </w:rPr>
        <w:tab/>
      </w:r>
      <w:r w:rsidRPr="00B004EE">
        <w:rPr>
          <w:rFonts w:ascii="Tahoma" w:hAnsi="Tahoma" w:cs="Tahoma"/>
        </w:rPr>
        <w:tab/>
      </w:r>
      <w:r w:rsidRPr="00B004EE">
        <w:rPr>
          <w:rFonts w:ascii="Tahoma" w:hAnsi="Tahoma" w:cs="Tahoma"/>
        </w:rPr>
        <w:tab/>
        <w:t>Le Ministre des Finances</w:t>
      </w:r>
    </w:p>
    <w:p w14:paraId="25F6196F" w14:textId="30EFF91B" w:rsidR="00E40449" w:rsidRPr="00B004EE" w:rsidRDefault="00E40449" w:rsidP="00B004EE">
      <w:pPr>
        <w:pStyle w:val="Pieddepage"/>
        <w:tabs>
          <w:tab w:val="clear" w:pos="4536"/>
          <w:tab w:val="clear" w:pos="9072"/>
        </w:tabs>
        <w:ind w:left="567"/>
        <w:rPr>
          <w:rFonts w:ascii="Tahoma" w:hAnsi="Tahoma" w:cs="Tahoma"/>
          <w:caps/>
        </w:rPr>
      </w:pPr>
      <w:proofErr w:type="gramStart"/>
      <w:r w:rsidRPr="00B004EE">
        <w:rPr>
          <w:rFonts w:ascii="Tahoma" w:hAnsi="Tahoma" w:cs="Tahoma"/>
        </w:rPr>
        <w:t>et</w:t>
      </w:r>
      <w:proofErr w:type="gramEnd"/>
      <w:r w:rsidRPr="00B004EE">
        <w:rPr>
          <w:rFonts w:ascii="Tahoma" w:hAnsi="Tahoma" w:cs="Tahoma"/>
        </w:rPr>
        <w:t xml:space="preserve"> du Développement</w:t>
      </w:r>
    </w:p>
    <w:p w14:paraId="440B06A9" w14:textId="7A14A2EE" w:rsidR="002E41D8" w:rsidRPr="00B004EE" w:rsidRDefault="007562A8" w:rsidP="00B004EE">
      <w:pPr>
        <w:pStyle w:val="Pieddepage"/>
        <w:tabs>
          <w:tab w:val="clear" w:pos="4536"/>
          <w:tab w:val="clear" w:pos="9072"/>
        </w:tabs>
        <w:ind w:left="284"/>
        <w:rPr>
          <w:rFonts w:ascii="Tahoma" w:hAnsi="Tahoma" w:cs="Tahoma"/>
          <w:caps/>
        </w:rPr>
      </w:pPr>
      <w:r w:rsidRPr="00B004EE">
        <w:rPr>
          <w:rFonts w:ascii="Tahoma" w:hAnsi="Tahoma" w:cs="Tahoma"/>
        </w:rPr>
        <w:t xml:space="preserve">  </w:t>
      </w:r>
      <w:r w:rsidR="00E40449" w:rsidRPr="00B004EE">
        <w:rPr>
          <w:rFonts w:ascii="Tahoma" w:hAnsi="Tahoma" w:cs="Tahoma"/>
        </w:rPr>
        <w:t>Sid’Ahmed Ould RAIESS</w:t>
      </w:r>
      <w:r w:rsidR="00E40449" w:rsidRPr="00B004EE">
        <w:rPr>
          <w:rFonts w:ascii="Tahoma" w:hAnsi="Tahoma" w:cs="Tahoma"/>
        </w:rPr>
        <w:tab/>
      </w:r>
      <w:r w:rsidR="00E40449" w:rsidRPr="00B004EE">
        <w:rPr>
          <w:rFonts w:ascii="Tahoma" w:hAnsi="Tahoma" w:cs="Tahoma"/>
        </w:rPr>
        <w:tab/>
      </w:r>
      <w:r w:rsidR="00E40449" w:rsidRPr="00B004EE">
        <w:rPr>
          <w:rFonts w:ascii="Tahoma" w:hAnsi="Tahoma" w:cs="Tahoma"/>
        </w:rPr>
        <w:tab/>
      </w:r>
      <w:r w:rsidR="00E40449" w:rsidRPr="00B004EE">
        <w:rPr>
          <w:rFonts w:ascii="Tahoma" w:hAnsi="Tahoma" w:cs="Tahoma"/>
        </w:rPr>
        <w:tab/>
      </w:r>
      <w:r w:rsidR="00E40449" w:rsidRPr="00B004EE">
        <w:rPr>
          <w:rFonts w:ascii="Tahoma" w:hAnsi="Tahoma" w:cs="Tahoma"/>
        </w:rPr>
        <w:tab/>
        <w:t>El Moctar Ould DJAY</w:t>
      </w:r>
    </w:p>
    <w:p w14:paraId="760B5F20" w14:textId="77777777" w:rsidR="002E41D8" w:rsidRPr="00B004EE" w:rsidRDefault="002E41D8" w:rsidP="00B004EE">
      <w:pPr>
        <w:pStyle w:val="Pieddepage"/>
        <w:tabs>
          <w:tab w:val="clear" w:pos="4536"/>
          <w:tab w:val="clear" w:pos="9072"/>
        </w:tabs>
        <w:jc w:val="center"/>
        <w:rPr>
          <w:rFonts w:ascii="Tahoma" w:hAnsi="Tahoma" w:cs="Tahoma"/>
          <w:caps/>
        </w:rPr>
      </w:pPr>
    </w:p>
    <w:p w14:paraId="2D4D57BF" w14:textId="77777777" w:rsidR="002E41D8" w:rsidRPr="00B004EE" w:rsidRDefault="002E41D8" w:rsidP="00B004EE">
      <w:pPr>
        <w:pStyle w:val="Pieddepage"/>
        <w:tabs>
          <w:tab w:val="clear" w:pos="4536"/>
          <w:tab w:val="clear" w:pos="9072"/>
        </w:tabs>
        <w:rPr>
          <w:rFonts w:ascii="Tahoma" w:hAnsi="Tahoma" w:cs="Tahoma"/>
          <w:caps/>
        </w:rPr>
      </w:pPr>
    </w:p>
    <w:p w14:paraId="0B2BFD73" w14:textId="77777777" w:rsidR="002E41D8" w:rsidRPr="00B004EE" w:rsidRDefault="002E41D8" w:rsidP="00B004EE">
      <w:pPr>
        <w:pStyle w:val="Pieddepage"/>
        <w:tabs>
          <w:tab w:val="clear" w:pos="4536"/>
          <w:tab w:val="clear" w:pos="9072"/>
        </w:tabs>
        <w:rPr>
          <w:rFonts w:ascii="Tahoma" w:hAnsi="Tahoma" w:cs="Tahoma"/>
          <w:caps/>
        </w:rPr>
      </w:pPr>
    </w:p>
    <w:p w14:paraId="31A6EE0F" w14:textId="77777777" w:rsidR="002E41D8" w:rsidRPr="00B004EE" w:rsidRDefault="002E41D8" w:rsidP="00B004EE">
      <w:pPr>
        <w:pStyle w:val="Pieddepage"/>
        <w:tabs>
          <w:tab w:val="clear" w:pos="4536"/>
          <w:tab w:val="clear" w:pos="9072"/>
        </w:tabs>
        <w:rPr>
          <w:rFonts w:ascii="Tahoma" w:hAnsi="Tahoma" w:cs="Tahoma"/>
          <w:caps/>
        </w:rPr>
      </w:pPr>
    </w:p>
    <w:p w14:paraId="7705B317" w14:textId="73E1990B" w:rsidR="002E41D8" w:rsidRPr="00B004EE" w:rsidRDefault="00E40449" w:rsidP="00B004EE">
      <w:pPr>
        <w:pStyle w:val="Pieddepage"/>
        <w:tabs>
          <w:tab w:val="clear" w:pos="4536"/>
          <w:tab w:val="clear" w:pos="9072"/>
        </w:tabs>
        <w:jc w:val="center"/>
        <w:rPr>
          <w:rFonts w:ascii="Tahoma" w:hAnsi="Tahoma" w:cs="Tahoma"/>
          <w:caps/>
        </w:rPr>
      </w:pPr>
      <w:r w:rsidRPr="00B004EE">
        <w:rPr>
          <w:rFonts w:ascii="Tahoma" w:hAnsi="Tahoma" w:cs="Tahoma"/>
        </w:rPr>
        <w:t>Le Ministre des Pêches et de l’Economie Maritime</w:t>
      </w:r>
    </w:p>
    <w:p w14:paraId="30B467E0" w14:textId="5A28BA2A" w:rsidR="002E41D8" w:rsidRPr="00B004EE" w:rsidRDefault="00E40449" w:rsidP="00B004EE">
      <w:pPr>
        <w:pStyle w:val="Pieddepage"/>
        <w:tabs>
          <w:tab w:val="clear" w:pos="4536"/>
          <w:tab w:val="clear" w:pos="9072"/>
        </w:tabs>
        <w:jc w:val="center"/>
        <w:rPr>
          <w:rFonts w:ascii="Tahoma" w:hAnsi="Tahoma" w:cs="Tahoma"/>
          <w:caps/>
        </w:rPr>
      </w:pPr>
      <w:r w:rsidRPr="00B004EE">
        <w:rPr>
          <w:rFonts w:ascii="Tahoma" w:hAnsi="Tahoma" w:cs="Tahoma"/>
        </w:rPr>
        <w:t xml:space="preserve">Nani Ould </w:t>
      </w:r>
      <w:r w:rsidR="002E41D8" w:rsidRPr="00B004EE">
        <w:rPr>
          <w:rFonts w:ascii="Tahoma" w:hAnsi="Tahoma" w:cs="Tahoma"/>
          <w:caps/>
        </w:rPr>
        <w:t>CHROUGHA</w:t>
      </w:r>
    </w:p>
    <w:p w14:paraId="381FCE4C" w14:textId="77777777" w:rsidR="007127C2" w:rsidRPr="00B004EE" w:rsidRDefault="007127C2" w:rsidP="00B004EE">
      <w:pPr>
        <w:rPr>
          <w:rFonts w:ascii="Tahoma" w:hAnsi="Tahoma" w:cs="Tahoma"/>
          <w:sz w:val="20"/>
          <w:szCs w:val="20"/>
        </w:rPr>
      </w:pPr>
      <w:r w:rsidRPr="00B004EE">
        <w:rPr>
          <w:rFonts w:ascii="Tahoma" w:hAnsi="Tahoma" w:cs="Tahoma"/>
          <w:sz w:val="20"/>
          <w:szCs w:val="20"/>
        </w:rPr>
        <w:br w:type="page"/>
      </w:r>
    </w:p>
    <w:p w14:paraId="6F483652" w14:textId="6A080DBD" w:rsidR="008518B0" w:rsidRPr="00B004EE" w:rsidRDefault="008518B0" w:rsidP="00B004EE">
      <w:pPr>
        <w:tabs>
          <w:tab w:val="left" w:pos="375"/>
          <w:tab w:val="center" w:pos="1575"/>
        </w:tabs>
        <w:jc w:val="center"/>
        <w:rPr>
          <w:rFonts w:ascii="Tahoma" w:hAnsi="Tahoma" w:cs="Tahoma"/>
          <w:b/>
          <w:bCs/>
          <w:sz w:val="20"/>
          <w:szCs w:val="20"/>
        </w:rPr>
      </w:pPr>
      <w:r w:rsidRPr="00B004EE">
        <w:rPr>
          <w:rFonts w:ascii="Tahoma" w:hAnsi="Tahoma" w:cs="Tahoma"/>
          <w:b/>
          <w:bCs/>
          <w:sz w:val="20"/>
          <w:szCs w:val="20"/>
        </w:rPr>
        <w:lastRenderedPageBreak/>
        <w:t>Annexe</w:t>
      </w:r>
      <w:r w:rsidR="00DB1635" w:rsidRPr="00B004EE">
        <w:rPr>
          <w:rFonts w:ascii="Tahoma" w:hAnsi="Tahoma" w:cs="Tahoma"/>
          <w:b/>
          <w:bCs/>
          <w:sz w:val="20"/>
          <w:szCs w:val="20"/>
        </w:rPr>
        <w:t xml:space="preserve"> </w:t>
      </w:r>
      <w:r w:rsidRPr="00B004EE">
        <w:rPr>
          <w:rFonts w:ascii="Tahoma" w:hAnsi="Tahoma" w:cs="Tahoma"/>
          <w:b/>
          <w:bCs/>
          <w:sz w:val="20"/>
          <w:szCs w:val="20"/>
        </w:rPr>
        <w:t>I</w:t>
      </w:r>
    </w:p>
    <w:p w14:paraId="4058D928" w14:textId="77777777" w:rsidR="008518B0" w:rsidRPr="00B004EE" w:rsidRDefault="008518B0" w:rsidP="00B004EE">
      <w:pPr>
        <w:tabs>
          <w:tab w:val="left" w:pos="375"/>
          <w:tab w:val="center" w:pos="1575"/>
        </w:tabs>
        <w:jc w:val="center"/>
        <w:rPr>
          <w:rFonts w:ascii="Tahoma" w:hAnsi="Tahoma" w:cs="Tahoma"/>
          <w:b/>
          <w:bCs/>
          <w:sz w:val="20"/>
          <w:szCs w:val="20"/>
        </w:rPr>
      </w:pPr>
    </w:p>
    <w:p w14:paraId="2B8FA6A1" w14:textId="3A3DC7CD" w:rsidR="008518B0" w:rsidRPr="00B004EE" w:rsidRDefault="008518B0" w:rsidP="00B004EE">
      <w:pPr>
        <w:jc w:val="both"/>
        <w:rPr>
          <w:rFonts w:ascii="Tahoma" w:hAnsi="Tahoma" w:cs="Tahoma"/>
          <w:iCs/>
          <w:sz w:val="20"/>
          <w:szCs w:val="20"/>
        </w:rPr>
      </w:pPr>
      <w:r w:rsidRPr="00B004EE">
        <w:rPr>
          <w:rFonts w:ascii="Tahoma" w:hAnsi="Tahoma" w:cs="Tahoma"/>
          <w:iCs/>
          <w:sz w:val="20"/>
          <w:szCs w:val="20"/>
        </w:rPr>
        <w:t>Zones</w:t>
      </w:r>
      <w:r w:rsidR="00DB1635" w:rsidRPr="00B004EE">
        <w:rPr>
          <w:rFonts w:ascii="Tahoma" w:hAnsi="Tahoma" w:cs="Tahoma"/>
          <w:iCs/>
          <w:sz w:val="20"/>
          <w:szCs w:val="20"/>
        </w:rPr>
        <w:t xml:space="preserve"> </w:t>
      </w:r>
      <w:r w:rsidRPr="00B004EE">
        <w:rPr>
          <w:rFonts w:ascii="Tahoma" w:hAnsi="Tahoma" w:cs="Tahoma"/>
          <w:iCs/>
          <w:sz w:val="20"/>
          <w:szCs w:val="20"/>
        </w:rPr>
        <w:t>de</w:t>
      </w:r>
      <w:r w:rsidR="00DB1635" w:rsidRPr="00B004EE">
        <w:rPr>
          <w:rFonts w:ascii="Tahoma" w:hAnsi="Tahoma" w:cs="Tahoma"/>
          <w:iCs/>
          <w:sz w:val="20"/>
          <w:szCs w:val="20"/>
        </w:rPr>
        <w:t xml:space="preserve"> </w:t>
      </w:r>
      <w:r w:rsidRPr="00B004EE">
        <w:rPr>
          <w:rFonts w:ascii="Tahoma" w:hAnsi="Tahoma" w:cs="Tahoma"/>
          <w:iCs/>
          <w:sz w:val="20"/>
          <w:szCs w:val="20"/>
        </w:rPr>
        <w:t>pêche</w:t>
      </w:r>
      <w:r w:rsidR="00DB1635" w:rsidRPr="00B004EE">
        <w:rPr>
          <w:rFonts w:ascii="Tahoma" w:hAnsi="Tahoma" w:cs="Tahoma"/>
          <w:iCs/>
          <w:sz w:val="20"/>
          <w:szCs w:val="20"/>
        </w:rPr>
        <w:t xml:space="preserve"> </w:t>
      </w:r>
      <w:r w:rsidRPr="00B004EE">
        <w:rPr>
          <w:rFonts w:ascii="Tahoma" w:hAnsi="Tahoma" w:cs="Tahoma"/>
          <w:iCs/>
          <w:sz w:val="20"/>
          <w:szCs w:val="20"/>
        </w:rPr>
        <w:t>autorisées</w:t>
      </w:r>
      <w:r w:rsidR="00DB1635" w:rsidRPr="00B004EE">
        <w:rPr>
          <w:rFonts w:ascii="Tahoma" w:hAnsi="Tahoma" w:cs="Tahoma"/>
          <w:iCs/>
          <w:sz w:val="20"/>
          <w:szCs w:val="20"/>
        </w:rPr>
        <w:t xml:space="preserve"> </w:t>
      </w:r>
      <w:r w:rsidRPr="00B004EE">
        <w:rPr>
          <w:rFonts w:ascii="Tahoma" w:hAnsi="Tahoma" w:cs="Tahoma"/>
          <w:iCs/>
          <w:sz w:val="20"/>
          <w:szCs w:val="20"/>
        </w:rPr>
        <w:t>en</w:t>
      </w:r>
      <w:r w:rsidR="00DB1635" w:rsidRPr="00B004EE">
        <w:rPr>
          <w:rFonts w:ascii="Tahoma" w:hAnsi="Tahoma" w:cs="Tahoma"/>
          <w:iCs/>
          <w:sz w:val="20"/>
          <w:szCs w:val="20"/>
        </w:rPr>
        <w:t xml:space="preserve"> </w:t>
      </w:r>
      <w:r w:rsidRPr="00B004EE">
        <w:rPr>
          <w:rFonts w:ascii="Tahoma" w:hAnsi="Tahoma" w:cs="Tahoma"/>
          <w:iCs/>
          <w:sz w:val="20"/>
          <w:szCs w:val="20"/>
        </w:rPr>
        <w:t>fonction</w:t>
      </w:r>
      <w:r w:rsidR="00DB1635" w:rsidRPr="00B004EE">
        <w:rPr>
          <w:rFonts w:ascii="Tahoma" w:hAnsi="Tahoma" w:cs="Tahoma"/>
          <w:iCs/>
          <w:sz w:val="20"/>
          <w:szCs w:val="20"/>
        </w:rPr>
        <w:t xml:space="preserve"> </w:t>
      </w:r>
      <w:r w:rsidRPr="00B004EE">
        <w:rPr>
          <w:rFonts w:ascii="Tahoma" w:hAnsi="Tahoma" w:cs="Tahoma"/>
          <w:iCs/>
          <w:sz w:val="20"/>
          <w:szCs w:val="20"/>
        </w:rPr>
        <w:t>des</w:t>
      </w:r>
      <w:r w:rsidR="00DB1635" w:rsidRPr="00B004EE">
        <w:rPr>
          <w:rFonts w:ascii="Tahoma" w:hAnsi="Tahoma" w:cs="Tahoma"/>
          <w:iCs/>
          <w:sz w:val="20"/>
          <w:szCs w:val="20"/>
        </w:rPr>
        <w:t xml:space="preserve"> </w:t>
      </w:r>
      <w:r w:rsidRPr="00B004EE">
        <w:rPr>
          <w:rFonts w:ascii="Tahoma" w:hAnsi="Tahoma" w:cs="Tahoma"/>
          <w:iCs/>
          <w:sz w:val="20"/>
          <w:szCs w:val="20"/>
        </w:rPr>
        <w:t>types</w:t>
      </w:r>
      <w:r w:rsidR="00DB1635" w:rsidRPr="00B004EE">
        <w:rPr>
          <w:rFonts w:ascii="Tahoma" w:hAnsi="Tahoma" w:cs="Tahoma"/>
          <w:iCs/>
          <w:sz w:val="20"/>
          <w:szCs w:val="20"/>
        </w:rPr>
        <w:t xml:space="preserve"> </w:t>
      </w:r>
      <w:r w:rsidRPr="00B004EE">
        <w:rPr>
          <w:rFonts w:ascii="Tahoma" w:hAnsi="Tahoma" w:cs="Tahoma"/>
          <w:iCs/>
          <w:sz w:val="20"/>
          <w:szCs w:val="20"/>
        </w:rPr>
        <w:t>de</w:t>
      </w:r>
      <w:r w:rsidR="00DB1635" w:rsidRPr="00B004EE">
        <w:rPr>
          <w:rFonts w:ascii="Tahoma" w:hAnsi="Tahoma" w:cs="Tahoma"/>
          <w:iCs/>
          <w:sz w:val="20"/>
          <w:szCs w:val="20"/>
        </w:rPr>
        <w:t xml:space="preserve"> </w:t>
      </w:r>
      <w:r w:rsidRPr="00B004EE">
        <w:rPr>
          <w:rFonts w:ascii="Tahoma" w:hAnsi="Tahoma" w:cs="Tahoma"/>
          <w:iCs/>
          <w:sz w:val="20"/>
          <w:szCs w:val="20"/>
        </w:rPr>
        <w:t>licences,</w:t>
      </w:r>
      <w:r w:rsidR="00DB1635" w:rsidRPr="00B004EE">
        <w:rPr>
          <w:rFonts w:ascii="Tahoma" w:hAnsi="Tahoma" w:cs="Tahoma"/>
          <w:iCs/>
          <w:sz w:val="20"/>
          <w:szCs w:val="20"/>
        </w:rPr>
        <w:t xml:space="preserve"> </w:t>
      </w:r>
      <w:r w:rsidRPr="00B004EE">
        <w:rPr>
          <w:rFonts w:ascii="Tahoma" w:hAnsi="Tahoma" w:cs="Tahoma"/>
          <w:iCs/>
          <w:sz w:val="20"/>
          <w:szCs w:val="20"/>
        </w:rPr>
        <w:t>des</w:t>
      </w:r>
      <w:r w:rsidR="00DB1635" w:rsidRPr="00B004EE">
        <w:rPr>
          <w:rFonts w:ascii="Tahoma" w:hAnsi="Tahoma" w:cs="Tahoma"/>
          <w:iCs/>
          <w:sz w:val="20"/>
          <w:szCs w:val="20"/>
        </w:rPr>
        <w:t xml:space="preserve"> </w:t>
      </w:r>
      <w:r w:rsidRPr="00B004EE">
        <w:rPr>
          <w:rFonts w:ascii="Tahoma" w:hAnsi="Tahoma" w:cs="Tahoma"/>
          <w:iCs/>
          <w:sz w:val="20"/>
          <w:szCs w:val="20"/>
        </w:rPr>
        <w:t>catégories</w:t>
      </w:r>
      <w:r w:rsidR="00DB1635" w:rsidRPr="00B004EE">
        <w:rPr>
          <w:rFonts w:ascii="Tahoma" w:hAnsi="Tahoma" w:cs="Tahoma"/>
          <w:iCs/>
          <w:sz w:val="20"/>
          <w:szCs w:val="20"/>
        </w:rPr>
        <w:t xml:space="preserve"> </w:t>
      </w:r>
      <w:r w:rsidRPr="00B004EE">
        <w:rPr>
          <w:rFonts w:ascii="Tahoma" w:hAnsi="Tahoma" w:cs="Tahoma"/>
          <w:iCs/>
          <w:sz w:val="20"/>
          <w:szCs w:val="20"/>
        </w:rPr>
        <w:t>de</w:t>
      </w:r>
      <w:r w:rsidR="00DB1635" w:rsidRPr="00B004EE">
        <w:rPr>
          <w:rFonts w:ascii="Tahoma" w:hAnsi="Tahoma" w:cs="Tahoma"/>
          <w:iCs/>
          <w:sz w:val="20"/>
          <w:szCs w:val="20"/>
        </w:rPr>
        <w:t xml:space="preserve"> </w:t>
      </w:r>
      <w:r w:rsidRPr="00B004EE">
        <w:rPr>
          <w:rFonts w:ascii="Tahoma" w:hAnsi="Tahoma" w:cs="Tahoma"/>
          <w:iCs/>
          <w:sz w:val="20"/>
          <w:szCs w:val="20"/>
        </w:rPr>
        <w:t>ressources</w:t>
      </w:r>
      <w:r w:rsidR="00DB1635" w:rsidRPr="00B004EE">
        <w:rPr>
          <w:rFonts w:ascii="Tahoma" w:hAnsi="Tahoma" w:cs="Tahoma"/>
          <w:iCs/>
          <w:sz w:val="20"/>
          <w:szCs w:val="20"/>
        </w:rPr>
        <w:t xml:space="preserve"> </w:t>
      </w:r>
      <w:r w:rsidRPr="00B004EE">
        <w:rPr>
          <w:rFonts w:ascii="Tahoma" w:hAnsi="Tahoma" w:cs="Tahoma"/>
          <w:iCs/>
          <w:sz w:val="20"/>
          <w:szCs w:val="20"/>
        </w:rPr>
        <w:t>et</w:t>
      </w:r>
      <w:r w:rsidR="00DB1635" w:rsidRPr="00B004EE">
        <w:rPr>
          <w:rFonts w:ascii="Tahoma" w:hAnsi="Tahoma" w:cs="Tahoma"/>
          <w:iCs/>
          <w:sz w:val="20"/>
          <w:szCs w:val="20"/>
        </w:rPr>
        <w:t xml:space="preserve"> </w:t>
      </w:r>
      <w:r w:rsidRPr="00B004EE">
        <w:rPr>
          <w:rFonts w:ascii="Tahoma" w:hAnsi="Tahoma" w:cs="Tahoma"/>
          <w:iCs/>
          <w:sz w:val="20"/>
          <w:szCs w:val="20"/>
        </w:rPr>
        <w:t>segments</w:t>
      </w:r>
      <w:r w:rsidR="00DB1635" w:rsidRPr="00B004EE">
        <w:rPr>
          <w:rFonts w:ascii="Tahoma" w:hAnsi="Tahoma" w:cs="Tahoma"/>
          <w:iCs/>
          <w:sz w:val="20"/>
          <w:szCs w:val="20"/>
        </w:rPr>
        <w:t xml:space="preserve"> </w:t>
      </w:r>
      <w:r w:rsidRPr="00B004EE">
        <w:rPr>
          <w:rFonts w:ascii="Tahoma" w:hAnsi="Tahoma" w:cs="Tahoma"/>
          <w:iCs/>
          <w:sz w:val="20"/>
          <w:szCs w:val="20"/>
        </w:rPr>
        <w:t>de</w:t>
      </w:r>
      <w:r w:rsidR="00DB1635" w:rsidRPr="00B004EE">
        <w:rPr>
          <w:rFonts w:ascii="Tahoma" w:hAnsi="Tahoma" w:cs="Tahoma"/>
          <w:iCs/>
          <w:sz w:val="20"/>
          <w:szCs w:val="20"/>
        </w:rPr>
        <w:t xml:space="preserve"> </w:t>
      </w:r>
      <w:r w:rsidRPr="00B004EE">
        <w:rPr>
          <w:rFonts w:ascii="Tahoma" w:hAnsi="Tahoma" w:cs="Tahoma"/>
          <w:iCs/>
          <w:sz w:val="20"/>
          <w:szCs w:val="20"/>
        </w:rPr>
        <w:t>pêche</w:t>
      </w:r>
    </w:p>
    <w:p w14:paraId="40F832D3" w14:textId="77777777" w:rsidR="008518B0" w:rsidRPr="00B004EE" w:rsidRDefault="008518B0" w:rsidP="00B004EE">
      <w:pPr>
        <w:jc w:val="both"/>
        <w:rPr>
          <w:rFonts w:ascii="Tahoma" w:hAnsi="Tahoma" w:cs="Tahoma"/>
          <w:iCs/>
          <w:sz w:val="20"/>
          <w:szCs w:val="20"/>
        </w:rPr>
      </w:pPr>
    </w:p>
    <w:tbl>
      <w:tblPr>
        <w:tblW w:w="9749" w:type="dxa"/>
        <w:tblInd w:w="-147"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1560"/>
        <w:gridCol w:w="3402"/>
        <w:gridCol w:w="4787"/>
      </w:tblGrid>
      <w:tr w:rsidR="00150C90" w:rsidRPr="00B004EE" w14:paraId="364FB460" w14:textId="77777777" w:rsidTr="00767386">
        <w:tc>
          <w:tcPr>
            <w:tcW w:w="1560" w:type="dxa"/>
            <w:tcBorders>
              <w:top w:val="single" w:sz="4" w:space="0" w:color="auto"/>
              <w:bottom w:val="single" w:sz="4" w:space="0" w:color="auto"/>
              <w:right w:val="single" w:sz="4" w:space="0" w:color="auto"/>
            </w:tcBorders>
            <w:shd w:val="clear" w:color="auto" w:fill="auto"/>
          </w:tcPr>
          <w:p w14:paraId="0CC2954F" w14:textId="7A711241" w:rsidR="008518B0" w:rsidRPr="00B004EE" w:rsidRDefault="008518B0" w:rsidP="00B004EE">
            <w:pPr>
              <w:keepNext/>
              <w:rPr>
                <w:rFonts w:ascii="Tahoma" w:hAnsi="Tahoma" w:cs="Tahoma"/>
                <w:b/>
                <w:bCs/>
                <w:i/>
                <w:iCs/>
                <w:sz w:val="20"/>
                <w:szCs w:val="20"/>
              </w:rPr>
            </w:pPr>
            <w:r w:rsidRPr="00B004EE">
              <w:rPr>
                <w:rFonts w:ascii="Tahoma" w:hAnsi="Tahoma" w:cs="Tahoma"/>
                <w:b/>
                <w:bCs/>
                <w:i/>
                <w:iCs/>
                <w:sz w:val="20"/>
                <w:szCs w:val="20"/>
              </w:rPr>
              <w:t>Type</w:t>
            </w:r>
            <w:r w:rsidR="00DB1635" w:rsidRPr="00B004EE">
              <w:rPr>
                <w:rFonts w:ascii="Tahoma" w:hAnsi="Tahoma" w:cs="Tahoma"/>
                <w:b/>
                <w:bCs/>
                <w:i/>
                <w:iCs/>
                <w:sz w:val="20"/>
                <w:szCs w:val="20"/>
              </w:rPr>
              <w:t xml:space="preserve"> </w:t>
            </w:r>
            <w:r w:rsidRPr="00B004EE">
              <w:rPr>
                <w:rFonts w:ascii="Tahoma" w:hAnsi="Tahoma" w:cs="Tahoma"/>
                <w:b/>
                <w:bCs/>
                <w:i/>
                <w:iCs/>
                <w:sz w:val="20"/>
                <w:szCs w:val="20"/>
              </w:rPr>
              <w:t>de</w:t>
            </w:r>
            <w:r w:rsidR="00DB1635" w:rsidRPr="00B004EE">
              <w:rPr>
                <w:rFonts w:ascii="Tahoma" w:hAnsi="Tahoma" w:cs="Tahoma"/>
                <w:b/>
                <w:bCs/>
                <w:i/>
                <w:iCs/>
                <w:sz w:val="20"/>
                <w:szCs w:val="20"/>
              </w:rPr>
              <w:t xml:space="preserve"> </w:t>
            </w:r>
            <w:r w:rsidRPr="00B004EE">
              <w:rPr>
                <w:rFonts w:ascii="Tahoma" w:hAnsi="Tahoma" w:cs="Tahoma"/>
                <w:b/>
                <w:bCs/>
                <w:i/>
                <w:iCs/>
                <w:sz w:val="20"/>
                <w:szCs w:val="20"/>
              </w:rPr>
              <w:t>pêche</w:t>
            </w:r>
            <w:r w:rsidR="00DB1635" w:rsidRPr="00B004EE">
              <w:rPr>
                <w:rFonts w:ascii="Tahoma" w:hAnsi="Tahoma" w:cs="Tahoma"/>
                <w:b/>
                <w:bCs/>
                <w:i/>
                <w:iCs/>
                <w:sz w:val="20"/>
                <w:szCs w:val="20"/>
              </w:rPr>
              <w:t xml:space="preserve"> </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FE6A435" w14:textId="06D43AD1" w:rsidR="008518B0" w:rsidRPr="00B004EE" w:rsidRDefault="008518B0" w:rsidP="00B004EE">
            <w:pPr>
              <w:keepNext/>
              <w:jc w:val="both"/>
              <w:rPr>
                <w:rFonts w:ascii="Tahoma" w:hAnsi="Tahoma" w:cs="Tahoma"/>
                <w:b/>
                <w:bCs/>
                <w:i/>
                <w:iCs/>
                <w:sz w:val="20"/>
                <w:szCs w:val="20"/>
              </w:rPr>
            </w:pPr>
            <w:r w:rsidRPr="00B004EE">
              <w:rPr>
                <w:rFonts w:ascii="Tahoma" w:hAnsi="Tahoma" w:cs="Tahoma"/>
                <w:b/>
                <w:bCs/>
                <w:i/>
                <w:iCs/>
                <w:sz w:val="20"/>
                <w:szCs w:val="20"/>
              </w:rPr>
              <w:t>Catégories</w:t>
            </w:r>
            <w:r w:rsidR="00DB1635" w:rsidRPr="00B004EE">
              <w:rPr>
                <w:rFonts w:ascii="Tahoma" w:hAnsi="Tahoma" w:cs="Tahoma"/>
                <w:b/>
                <w:bCs/>
                <w:i/>
                <w:iCs/>
                <w:sz w:val="20"/>
                <w:szCs w:val="20"/>
              </w:rPr>
              <w:t xml:space="preserve"> </w:t>
            </w:r>
            <w:r w:rsidRPr="00B004EE">
              <w:rPr>
                <w:rFonts w:ascii="Tahoma" w:hAnsi="Tahoma" w:cs="Tahoma"/>
                <w:b/>
                <w:bCs/>
                <w:i/>
                <w:iCs/>
                <w:sz w:val="20"/>
                <w:szCs w:val="20"/>
              </w:rPr>
              <w:t>de</w:t>
            </w:r>
            <w:r w:rsidR="00DB1635" w:rsidRPr="00B004EE">
              <w:rPr>
                <w:rFonts w:ascii="Tahoma" w:hAnsi="Tahoma" w:cs="Tahoma"/>
                <w:b/>
                <w:bCs/>
                <w:i/>
                <w:iCs/>
                <w:sz w:val="20"/>
                <w:szCs w:val="20"/>
              </w:rPr>
              <w:t xml:space="preserve"> </w:t>
            </w:r>
            <w:r w:rsidRPr="00B004EE">
              <w:rPr>
                <w:rFonts w:ascii="Tahoma" w:hAnsi="Tahoma" w:cs="Tahoma"/>
                <w:b/>
                <w:bCs/>
                <w:i/>
                <w:iCs/>
                <w:sz w:val="20"/>
                <w:szCs w:val="20"/>
              </w:rPr>
              <w:t>ressources</w:t>
            </w:r>
          </w:p>
        </w:tc>
        <w:tc>
          <w:tcPr>
            <w:tcW w:w="4787" w:type="dxa"/>
            <w:tcBorders>
              <w:top w:val="single" w:sz="4" w:space="0" w:color="auto"/>
              <w:left w:val="single" w:sz="4" w:space="0" w:color="auto"/>
              <w:bottom w:val="single" w:sz="4" w:space="0" w:color="auto"/>
            </w:tcBorders>
            <w:shd w:val="clear" w:color="auto" w:fill="auto"/>
          </w:tcPr>
          <w:p w14:paraId="6E365B0B" w14:textId="0A0A1021" w:rsidR="008518B0" w:rsidRPr="00B004EE" w:rsidRDefault="008518B0" w:rsidP="00B004EE">
            <w:pPr>
              <w:ind w:right="-135"/>
              <w:rPr>
                <w:rFonts w:ascii="Tahoma" w:hAnsi="Tahoma" w:cs="Tahoma"/>
                <w:b/>
                <w:bCs/>
                <w:sz w:val="20"/>
                <w:szCs w:val="20"/>
              </w:rPr>
            </w:pPr>
            <w:r w:rsidRPr="00B004EE">
              <w:rPr>
                <w:rFonts w:ascii="Tahoma" w:hAnsi="Tahoma" w:cs="Tahoma"/>
                <w:b/>
                <w:bCs/>
                <w:sz w:val="20"/>
                <w:szCs w:val="20"/>
              </w:rPr>
              <w:t>Zonage</w:t>
            </w:r>
            <w:r w:rsidR="00DB1635" w:rsidRPr="00B004EE">
              <w:rPr>
                <w:rFonts w:ascii="Tahoma" w:hAnsi="Tahoma" w:cs="Tahoma"/>
                <w:b/>
                <w:bCs/>
                <w:sz w:val="20"/>
                <w:szCs w:val="20"/>
              </w:rPr>
              <w:t xml:space="preserve"> </w:t>
            </w:r>
            <w:r w:rsidRPr="00B004EE">
              <w:rPr>
                <w:rFonts w:ascii="Tahoma" w:hAnsi="Tahoma" w:cs="Tahoma"/>
                <w:b/>
                <w:bCs/>
                <w:sz w:val="20"/>
                <w:szCs w:val="20"/>
              </w:rPr>
              <w:t>proposé</w:t>
            </w:r>
            <w:r w:rsidR="00DB1635" w:rsidRPr="00B004EE">
              <w:rPr>
                <w:rFonts w:ascii="Tahoma" w:hAnsi="Tahoma" w:cs="Tahoma"/>
                <w:b/>
                <w:bCs/>
                <w:sz w:val="20"/>
                <w:szCs w:val="20"/>
              </w:rPr>
              <w:t xml:space="preserve"> </w:t>
            </w:r>
            <w:r w:rsidR="00767386" w:rsidRPr="00B004EE">
              <w:rPr>
                <w:rFonts w:ascii="Tahoma" w:hAnsi="Tahoma" w:cs="Tahoma"/>
                <w:b/>
                <w:bCs/>
                <w:sz w:val="20"/>
                <w:szCs w:val="20"/>
              </w:rPr>
              <w:t xml:space="preserve">                                N*</w:t>
            </w:r>
          </w:p>
        </w:tc>
      </w:tr>
      <w:tr w:rsidR="00150C90" w:rsidRPr="00B004EE" w14:paraId="29F1982D" w14:textId="77777777" w:rsidTr="00767386">
        <w:trPr>
          <w:trHeight w:val="808"/>
        </w:trPr>
        <w:tc>
          <w:tcPr>
            <w:tcW w:w="1560" w:type="dxa"/>
            <w:vMerge w:val="restart"/>
            <w:tcBorders>
              <w:top w:val="single" w:sz="4" w:space="0" w:color="auto"/>
            </w:tcBorders>
            <w:shd w:val="clear" w:color="auto" w:fill="auto"/>
          </w:tcPr>
          <w:p w14:paraId="4636EC1F" w14:textId="7D27535C" w:rsidR="008518B0" w:rsidRPr="00B004EE" w:rsidRDefault="008518B0" w:rsidP="00B004EE">
            <w:pPr>
              <w:rPr>
                <w:rFonts w:ascii="Tahoma" w:hAnsi="Tahoma" w:cs="Tahoma"/>
                <w:b/>
                <w:bCs/>
                <w:i/>
                <w:iCs/>
                <w:sz w:val="20"/>
                <w:szCs w:val="20"/>
              </w:rPr>
            </w:pPr>
            <w:r w:rsidRPr="00B004EE">
              <w:rPr>
                <w:rFonts w:ascii="Tahoma" w:hAnsi="Tahoma" w:cs="Tahoma"/>
                <w:b/>
                <w:bCs/>
                <w:i/>
                <w:iCs/>
                <w:sz w:val="20"/>
                <w:szCs w:val="20"/>
              </w:rPr>
              <w:t>Type</w:t>
            </w:r>
            <w:r w:rsidR="00DB1635" w:rsidRPr="00B004EE">
              <w:rPr>
                <w:rFonts w:ascii="Tahoma" w:hAnsi="Tahoma" w:cs="Tahoma"/>
                <w:b/>
                <w:bCs/>
                <w:i/>
                <w:iCs/>
                <w:sz w:val="20"/>
                <w:szCs w:val="20"/>
              </w:rPr>
              <w:t xml:space="preserve"> </w:t>
            </w:r>
            <w:r w:rsidRPr="00B004EE">
              <w:rPr>
                <w:rFonts w:ascii="Tahoma" w:hAnsi="Tahoma" w:cs="Tahoma"/>
                <w:b/>
                <w:bCs/>
                <w:i/>
                <w:iCs/>
                <w:sz w:val="20"/>
                <w:szCs w:val="20"/>
              </w:rPr>
              <w:t>I</w:t>
            </w:r>
            <w:r w:rsidR="00DB1635" w:rsidRPr="00B004EE">
              <w:rPr>
                <w:rFonts w:ascii="Tahoma" w:hAnsi="Tahoma" w:cs="Tahoma"/>
                <w:b/>
                <w:bCs/>
                <w:i/>
                <w:iCs/>
                <w:sz w:val="20"/>
                <w:szCs w:val="20"/>
              </w:rPr>
              <w:t xml:space="preserve"> </w:t>
            </w:r>
            <w:r w:rsidRPr="00B004EE">
              <w:rPr>
                <w:rFonts w:ascii="Tahoma" w:hAnsi="Tahoma" w:cs="Tahoma"/>
                <w:b/>
                <w:bCs/>
                <w:i/>
                <w:iCs/>
                <w:sz w:val="20"/>
                <w:szCs w:val="20"/>
              </w:rPr>
              <w:t>:</w:t>
            </w:r>
            <w:r w:rsidR="00DB1635" w:rsidRPr="00B004EE">
              <w:rPr>
                <w:rFonts w:ascii="Tahoma" w:hAnsi="Tahoma" w:cs="Tahoma"/>
                <w:b/>
                <w:bCs/>
                <w:i/>
                <w:iCs/>
                <w:sz w:val="20"/>
                <w:szCs w:val="20"/>
              </w:rPr>
              <w:t xml:space="preserve"> </w:t>
            </w:r>
            <w:r w:rsidRPr="00B004EE">
              <w:rPr>
                <w:rFonts w:ascii="Tahoma" w:hAnsi="Tahoma" w:cs="Tahoma"/>
                <w:b/>
                <w:bCs/>
                <w:i/>
                <w:iCs/>
                <w:sz w:val="20"/>
                <w:szCs w:val="20"/>
              </w:rPr>
              <w:t>Pêche</w:t>
            </w:r>
            <w:r w:rsidR="00DB1635" w:rsidRPr="00B004EE">
              <w:rPr>
                <w:rFonts w:ascii="Tahoma" w:hAnsi="Tahoma" w:cs="Tahoma"/>
                <w:b/>
                <w:bCs/>
                <w:i/>
                <w:iCs/>
                <w:sz w:val="20"/>
                <w:szCs w:val="20"/>
              </w:rPr>
              <w:t xml:space="preserve"> </w:t>
            </w:r>
            <w:r w:rsidR="00767386" w:rsidRPr="00B004EE">
              <w:rPr>
                <w:rFonts w:ascii="Tahoma" w:hAnsi="Tahoma" w:cs="Tahoma"/>
                <w:b/>
                <w:bCs/>
                <w:i/>
                <w:iCs/>
                <w:sz w:val="20"/>
                <w:szCs w:val="20"/>
              </w:rPr>
              <w:t>artisanale</w:t>
            </w:r>
          </w:p>
        </w:tc>
        <w:tc>
          <w:tcPr>
            <w:tcW w:w="3402" w:type="dxa"/>
            <w:tcBorders>
              <w:top w:val="single" w:sz="4" w:space="0" w:color="auto"/>
            </w:tcBorders>
            <w:shd w:val="clear" w:color="auto" w:fill="auto"/>
          </w:tcPr>
          <w:p w14:paraId="440D2B5E" w14:textId="3F2827C7" w:rsidR="008518B0" w:rsidRPr="00B004EE" w:rsidRDefault="008518B0" w:rsidP="00B004EE">
            <w:pPr>
              <w:jc w:val="both"/>
              <w:rPr>
                <w:rFonts w:ascii="Tahoma" w:hAnsi="Tahoma" w:cs="Tahoma"/>
                <w:b/>
                <w:bCs/>
                <w:i/>
                <w:iCs/>
                <w:sz w:val="20"/>
                <w:szCs w:val="20"/>
              </w:rPr>
            </w:pPr>
            <w:r w:rsidRPr="00B004EE">
              <w:rPr>
                <w:rFonts w:ascii="Tahoma" w:hAnsi="Tahoma" w:cs="Tahoma"/>
                <w:b/>
                <w:bCs/>
                <w:i/>
                <w:iCs/>
                <w:sz w:val="20"/>
                <w:szCs w:val="20"/>
              </w:rPr>
              <w:t>Céphalopodes</w:t>
            </w:r>
            <w:r w:rsidR="00DB1635" w:rsidRPr="00B004EE">
              <w:rPr>
                <w:rFonts w:ascii="Tahoma" w:hAnsi="Tahoma" w:cs="Tahoma"/>
                <w:b/>
                <w:bCs/>
                <w:i/>
                <w:iCs/>
                <w:sz w:val="20"/>
                <w:szCs w:val="20"/>
              </w:rPr>
              <w:t xml:space="preserve"> </w:t>
            </w:r>
          </w:p>
        </w:tc>
        <w:tc>
          <w:tcPr>
            <w:tcW w:w="4787" w:type="dxa"/>
            <w:vMerge w:val="restart"/>
            <w:tcBorders>
              <w:top w:val="single" w:sz="4" w:space="0" w:color="auto"/>
            </w:tcBorders>
            <w:shd w:val="clear" w:color="auto" w:fill="auto"/>
          </w:tcPr>
          <w:p w14:paraId="7ABF1A85" w14:textId="3D1DF4A4" w:rsidR="00767386" w:rsidRPr="00B004EE" w:rsidRDefault="00767386" w:rsidP="00B004EE">
            <w:pPr>
              <w:jc w:val="right"/>
              <w:rPr>
                <w:rFonts w:ascii="Tahoma" w:hAnsi="Tahoma" w:cs="Tahoma"/>
                <w:b/>
                <w:bCs/>
                <w:sz w:val="20"/>
                <w:szCs w:val="20"/>
              </w:rPr>
            </w:pPr>
            <w:r w:rsidRPr="00B004EE">
              <w:rPr>
                <w:rFonts w:ascii="Tahoma" w:hAnsi="Tahoma" w:cs="Tahoma"/>
                <w:b/>
                <w:bCs/>
                <w:sz w:val="20"/>
                <w:szCs w:val="20"/>
              </w:rPr>
              <w:t>Z1</w:t>
            </w:r>
          </w:p>
          <w:p w14:paraId="48458147" w14:textId="4BE3BC64" w:rsidR="008518B0" w:rsidRPr="00B004EE" w:rsidRDefault="008518B0" w:rsidP="00B004EE">
            <w:pPr>
              <w:rPr>
                <w:rFonts w:ascii="Tahoma" w:hAnsi="Tahoma" w:cs="Tahoma"/>
                <w:sz w:val="20"/>
                <w:szCs w:val="20"/>
              </w:rPr>
            </w:pPr>
            <w:r w:rsidRPr="00B004EE">
              <w:rPr>
                <w:rFonts w:ascii="Tahoma" w:hAnsi="Tahoma" w:cs="Tahoma"/>
                <w:sz w:val="20"/>
                <w:szCs w:val="20"/>
              </w:rPr>
              <w:t>Ces</w:t>
            </w:r>
            <w:r w:rsidR="00DB1635" w:rsidRPr="00B004EE">
              <w:rPr>
                <w:rFonts w:ascii="Tahoma" w:hAnsi="Tahoma" w:cs="Tahoma"/>
                <w:sz w:val="20"/>
                <w:szCs w:val="20"/>
              </w:rPr>
              <w:t xml:space="preserve"> </w:t>
            </w:r>
            <w:r w:rsidRPr="00B004EE">
              <w:rPr>
                <w:rFonts w:ascii="Tahoma" w:hAnsi="Tahoma" w:cs="Tahoma"/>
                <w:sz w:val="20"/>
                <w:szCs w:val="20"/>
              </w:rPr>
              <w:t>catégories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autorisées,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l’exception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zones</w:t>
            </w:r>
            <w:r w:rsidR="00DB1635" w:rsidRPr="00B004EE">
              <w:rPr>
                <w:rFonts w:ascii="Tahoma" w:hAnsi="Tahoma" w:cs="Tahoma"/>
                <w:sz w:val="20"/>
                <w:szCs w:val="20"/>
              </w:rPr>
              <w:t xml:space="preserve"> </w:t>
            </w:r>
            <w:r w:rsidRPr="00B004EE">
              <w:rPr>
                <w:rFonts w:ascii="Tahoma" w:hAnsi="Tahoma" w:cs="Tahoma"/>
                <w:sz w:val="20"/>
                <w:szCs w:val="20"/>
              </w:rPr>
              <w:t>où</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interdite</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limitée</w:t>
            </w:r>
            <w:r w:rsidR="00DB1635" w:rsidRPr="00B004EE">
              <w:rPr>
                <w:rFonts w:ascii="Tahoma" w:hAnsi="Tahoma" w:cs="Tahoma"/>
                <w:sz w:val="20"/>
                <w:szCs w:val="20"/>
              </w:rPr>
              <w:t xml:space="preserve"> </w:t>
            </w:r>
            <w:r w:rsidRPr="00B004EE">
              <w:rPr>
                <w:rFonts w:ascii="Tahoma" w:hAnsi="Tahoma" w:cs="Tahoma"/>
                <w:sz w:val="20"/>
                <w:szCs w:val="20"/>
              </w:rPr>
              <w:t>telles</w:t>
            </w:r>
            <w:r w:rsidR="00DB1635" w:rsidRPr="00B004EE">
              <w:rPr>
                <w:rFonts w:ascii="Tahoma" w:hAnsi="Tahoma" w:cs="Tahoma"/>
                <w:sz w:val="20"/>
                <w:szCs w:val="20"/>
              </w:rPr>
              <w:t xml:space="preserve"> </w:t>
            </w:r>
            <w:r w:rsidRPr="00B004EE">
              <w:rPr>
                <w:rFonts w:ascii="Tahoma" w:hAnsi="Tahoma" w:cs="Tahoma"/>
                <w:sz w:val="20"/>
                <w:szCs w:val="20"/>
              </w:rPr>
              <w:t>que</w:t>
            </w:r>
            <w:r w:rsidR="00DB1635" w:rsidRPr="00B004EE">
              <w:rPr>
                <w:rFonts w:ascii="Tahoma" w:hAnsi="Tahoma" w:cs="Tahoma"/>
                <w:sz w:val="20"/>
                <w:szCs w:val="20"/>
              </w:rPr>
              <w:t xml:space="preserve"> </w:t>
            </w:r>
            <w:r w:rsidRPr="00B004EE">
              <w:rPr>
                <w:rFonts w:ascii="Tahoma" w:hAnsi="Tahoma" w:cs="Tahoma"/>
                <w:sz w:val="20"/>
                <w:szCs w:val="20"/>
              </w:rPr>
              <w:t>spécifiées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l’article</w:t>
            </w:r>
            <w:r w:rsidR="00DB1635" w:rsidRPr="00B004EE">
              <w:rPr>
                <w:rFonts w:ascii="Tahoma" w:hAnsi="Tahoma" w:cs="Tahoma"/>
                <w:sz w:val="20"/>
                <w:szCs w:val="20"/>
              </w:rPr>
              <w:t xml:space="preserve"> </w:t>
            </w:r>
            <w:r w:rsidRPr="00B004EE">
              <w:rPr>
                <w:rFonts w:ascii="Tahoma" w:hAnsi="Tahoma" w:cs="Tahoma"/>
                <w:sz w:val="20"/>
                <w:szCs w:val="20"/>
              </w:rPr>
              <w:t>42</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présent</w:t>
            </w:r>
            <w:r w:rsidR="00DB1635" w:rsidRPr="00B004EE">
              <w:rPr>
                <w:rFonts w:ascii="Tahoma" w:hAnsi="Tahoma" w:cs="Tahoma"/>
                <w:sz w:val="20"/>
                <w:szCs w:val="20"/>
              </w:rPr>
              <w:t xml:space="preserve"> </w:t>
            </w:r>
            <w:r w:rsidRPr="00B004EE">
              <w:rPr>
                <w:rFonts w:ascii="Tahoma" w:hAnsi="Tahoma" w:cs="Tahoma"/>
                <w:sz w:val="20"/>
                <w:szCs w:val="20"/>
              </w:rPr>
              <w:t>décret,</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ZEE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eaux</w:t>
            </w:r>
            <w:r w:rsidR="00DB1635" w:rsidRPr="00B004EE">
              <w:rPr>
                <w:rFonts w:ascii="Tahoma" w:hAnsi="Tahoma" w:cs="Tahoma"/>
                <w:sz w:val="20"/>
                <w:szCs w:val="20"/>
              </w:rPr>
              <w:t xml:space="preserve"> </w:t>
            </w:r>
            <w:r w:rsidRPr="00B004EE">
              <w:rPr>
                <w:rFonts w:ascii="Tahoma" w:hAnsi="Tahoma" w:cs="Tahoma"/>
                <w:sz w:val="20"/>
                <w:szCs w:val="20"/>
              </w:rPr>
              <w:t>intérieures</w:t>
            </w:r>
            <w:r w:rsidR="00DB1635" w:rsidRPr="00B004EE">
              <w:rPr>
                <w:rFonts w:ascii="Tahoma" w:hAnsi="Tahoma" w:cs="Tahoma"/>
                <w:sz w:val="20"/>
                <w:szCs w:val="20"/>
              </w:rPr>
              <w:t xml:space="preserve"> </w:t>
            </w:r>
            <w:r w:rsidRPr="00B004EE">
              <w:rPr>
                <w:rFonts w:ascii="Tahoma" w:hAnsi="Tahoma" w:cs="Tahoma"/>
                <w:sz w:val="20"/>
                <w:szCs w:val="20"/>
              </w:rPr>
              <w:t>:</w:t>
            </w:r>
          </w:p>
          <w:p w14:paraId="2D7D4940" w14:textId="6EB246A7" w:rsidR="008518B0" w:rsidRPr="00B004EE" w:rsidRDefault="008518B0" w:rsidP="00420DDA">
            <w:pPr>
              <w:pStyle w:val="Paragraphedeliste"/>
              <w:numPr>
                <w:ilvl w:val="0"/>
                <w:numId w:val="71"/>
              </w:numPr>
              <w:ind w:left="311" w:hanging="283"/>
              <w:jc w:val="both"/>
              <w:rPr>
                <w:rFonts w:ascii="Tahoma" w:hAnsi="Tahoma" w:cs="Tahoma"/>
                <w:sz w:val="20"/>
                <w:szCs w:val="20"/>
              </w:rPr>
            </w:pP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nord</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19°19.12N,</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l’est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ligne</w:t>
            </w:r>
            <w:r w:rsidR="00DB1635" w:rsidRPr="00B004EE">
              <w:rPr>
                <w:rFonts w:ascii="Tahoma" w:hAnsi="Tahoma" w:cs="Tahoma"/>
                <w:sz w:val="20"/>
                <w:szCs w:val="20"/>
              </w:rPr>
              <w:t xml:space="preserve"> </w:t>
            </w:r>
            <w:r w:rsidRPr="00B004EE">
              <w:rPr>
                <w:rFonts w:ascii="Tahoma" w:hAnsi="Tahoma" w:cs="Tahoma"/>
                <w:sz w:val="20"/>
                <w:szCs w:val="20"/>
              </w:rPr>
              <w:t>définie</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points</w:t>
            </w:r>
            <w:r w:rsidR="00DB1635" w:rsidRPr="00B004EE">
              <w:rPr>
                <w:rFonts w:ascii="Tahoma" w:hAnsi="Tahoma" w:cs="Tahoma"/>
                <w:sz w:val="20"/>
                <w:szCs w:val="20"/>
              </w:rPr>
              <w:t xml:space="preserve"> </w:t>
            </w:r>
            <w:r w:rsidRPr="00B004EE">
              <w:rPr>
                <w:rFonts w:ascii="Tahoma" w:hAnsi="Tahoma" w:cs="Tahoma"/>
                <w:sz w:val="20"/>
                <w:szCs w:val="20"/>
              </w:rPr>
              <w:t>suivants</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p>
          <w:p w14:paraId="3A6FE887" w14:textId="3CA2FB02" w:rsidR="008518B0" w:rsidRPr="00B004EE" w:rsidRDefault="00DB1635" w:rsidP="00B004EE">
            <w:pPr>
              <w:rPr>
                <w:rFonts w:ascii="Tahoma" w:hAnsi="Tahoma" w:cs="Tahoma"/>
                <w:sz w:val="20"/>
                <w:szCs w:val="20"/>
              </w:rPr>
            </w:pPr>
            <w:r w:rsidRPr="00B004EE">
              <w:rPr>
                <w:rFonts w:ascii="Tahoma" w:hAnsi="Tahoma" w:cs="Tahoma"/>
                <w:sz w:val="20"/>
                <w:szCs w:val="20"/>
              </w:rPr>
              <w:t xml:space="preserve"> </w:t>
            </w:r>
          </w:p>
          <w:p w14:paraId="7238596F" w14:textId="229BC1CA" w:rsidR="008518B0" w:rsidRPr="00B004EE" w:rsidRDefault="008518B0" w:rsidP="00B004EE">
            <w:pPr>
              <w:rPr>
                <w:rFonts w:ascii="Tahoma" w:hAnsi="Tahoma" w:cs="Tahoma"/>
                <w:sz w:val="20"/>
                <w:szCs w:val="20"/>
                <w:lang w:val="en-US"/>
              </w:rPr>
            </w:pPr>
            <w:r w:rsidRPr="00B004EE">
              <w:rPr>
                <w:rFonts w:ascii="Tahoma" w:hAnsi="Tahoma" w:cs="Tahoma"/>
                <w:sz w:val="20"/>
                <w:szCs w:val="20"/>
                <w:lang w:val="en-US"/>
              </w:rPr>
              <w:t>A</w:t>
            </w:r>
            <w:r w:rsidRPr="00B004EE">
              <w:rPr>
                <w:rFonts w:ascii="Tahoma" w:hAnsi="Tahoma" w:cs="Tahoma"/>
                <w:sz w:val="20"/>
                <w:szCs w:val="20"/>
                <w:lang w:val="en-US"/>
              </w:rPr>
              <w:tab/>
            </w:r>
            <w:r w:rsidR="00DB1635" w:rsidRPr="00B004EE">
              <w:rPr>
                <w:rFonts w:ascii="Tahoma" w:hAnsi="Tahoma" w:cs="Tahoma"/>
                <w:sz w:val="20"/>
                <w:szCs w:val="20"/>
                <w:lang w:val="en-US"/>
              </w:rPr>
              <w:t xml:space="preserve"> </w:t>
            </w:r>
            <w:r w:rsidRPr="00B004EE">
              <w:rPr>
                <w:rFonts w:ascii="Tahoma" w:hAnsi="Tahoma" w:cs="Tahoma"/>
                <w:sz w:val="20"/>
                <w:szCs w:val="20"/>
                <w:lang w:val="en-US"/>
              </w:rPr>
              <w:t>20°</w:t>
            </w:r>
            <w:r w:rsidR="00DB1635" w:rsidRPr="00B004EE">
              <w:rPr>
                <w:rFonts w:ascii="Tahoma" w:hAnsi="Tahoma" w:cs="Tahoma"/>
                <w:sz w:val="20"/>
                <w:szCs w:val="20"/>
                <w:lang w:val="en-US"/>
              </w:rPr>
              <w:t xml:space="preserve"> </w:t>
            </w:r>
            <w:r w:rsidRPr="00B004EE">
              <w:rPr>
                <w:rFonts w:ascii="Tahoma" w:hAnsi="Tahoma" w:cs="Tahoma"/>
                <w:sz w:val="20"/>
                <w:szCs w:val="20"/>
                <w:lang w:val="en-US"/>
              </w:rPr>
              <w:t>46.30'N</w:t>
            </w:r>
            <w:r w:rsidRPr="00B004EE">
              <w:rPr>
                <w:rFonts w:ascii="Tahoma" w:hAnsi="Tahoma" w:cs="Tahoma"/>
                <w:sz w:val="20"/>
                <w:szCs w:val="20"/>
                <w:lang w:val="en-US"/>
              </w:rPr>
              <w:tab/>
            </w:r>
            <w:r w:rsidR="00DB1635" w:rsidRPr="00B004EE">
              <w:rPr>
                <w:rFonts w:ascii="Tahoma" w:hAnsi="Tahoma" w:cs="Tahoma"/>
                <w:sz w:val="20"/>
                <w:szCs w:val="20"/>
                <w:lang w:val="en-US"/>
              </w:rPr>
              <w:t xml:space="preserve"> </w:t>
            </w:r>
            <w:r w:rsidRPr="00B004EE">
              <w:rPr>
                <w:rFonts w:ascii="Tahoma" w:hAnsi="Tahoma" w:cs="Tahoma"/>
                <w:sz w:val="20"/>
                <w:szCs w:val="20"/>
                <w:lang w:val="en-US"/>
              </w:rPr>
              <w:t>17°</w:t>
            </w:r>
            <w:r w:rsidR="00DB1635" w:rsidRPr="00B004EE">
              <w:rPr>
                <w:rFonts w:ascii="Tahoma" w:hAnsi="Tahoma" w:cs="Tahoma"/>
                <w:sz w:val="20"/>
                <w:szCs w:val="20"/>
                <w:lang w:val="en-US"/>
              </w:rPr>
              <w:t xml:space="preserve"> </w:t>
            </w:r>
            <w:r w:rsidRPr="00B004EE">
              <w:rPr>
                <w:rFonts w:ascii="Tahoma" w:hAnsi="Tahoma" w:cs="Tahoma"/>
                <w:sz w:val="20"/>
                <w:szCs w:val="20"/>
                <w:lang w:val="en-US"/>
              </w:rPr>
              <w:t>03.00'W</w:t>
            </w:r>
          </w:p>
          <w:p w14:paraId="76CBE1B8" w14:textId="09B6978A" w:rsidR="008518B0" w:rsidRPr="00B004EE" w:rsidRDefault="008518B0" w:rsidP="00B004EE">
            <w:pPr>
              <w:rPr>
                <w:rFonts w:ascii="Tahoma" w:hAnsi="Tahoma" w:cs="Tahoma"/>
                <w:sz w:val="20"/>
                <w:szCs w:val="20"/>
                <w:lang w:val="en-US"/>
              </w:rPr>
            </w:pPr>
            <w:r w:rsidRPr="00B004EE">
              <w:rPr>
                <w:rFonts w:ascii="Tahoma" w:hAnsi="Tahoma" w:cs="Tahoma"/>
                <w:sz w:val="20"/>
                <w:szCs w:val="20"/>
                <w:lang w:val="en-US"/>
              </w:rPr>
              <w:t>B</w:t>
            </w:r>
            <w:r w:rsidRPr="00B004EE">
              <w:rPr>
                <w:rFonts w:ascii="Tahoma" w:hAnsi="Tahoma" w:cs="Tahoma"/>
                <w:sz w:val="20"/>
                <w:szCs w:val="20"/>
                <w:lang w:val="en-US"/>
              </w:rPr>
              <w:tab/>
            </w:r>
            <w:r w:rsidR="00DB1635" w:rsidRPr="00B004EE">
              <w:rPr>
                <w:rFonts w:ascii="Tahoma" w:hAnsi="Tahoma" w:cs="Tahoma"/>
                <w:sz w:val="20"/>
                <w:szCs w:val="20"/>
                <w:lang w:val="en-US"/>
              </w:rPr>
              <w:t xml:space="preserve"> </w:t>
            </w:r>
            <w:r w:rsidRPr="00B004EE">
              <w:rPr>
                <w:rFonts w:ascii="Tahoma" w:hAnsi="Tahoma" w:cs="Tahoma"/>
                <w:sz w:val="20"/>
                <w:szCs w:val="20"/>
                <w:lang w:val="en-US"/>
              </w:rPr>
              <w:t>20°</w:t>
            </w:r>
            <w:r w:rsidR="00DB1635" w:rsidRPr="00B004EE">
              <w:rPr>
                <w:rFonts w:ascii="Tahoma" w:hAnsi="Tahoma" w:cs="Tahoma"/>
                <w:sz w:val="20"/>
                <w:szCs w:val="20"/>
                <w:lang w:val="en-US"/>
              </w:rPr>
              <w:t xml:space="preserve"> </w:t>
            </w:r>
            <w:r w:rsidRPr="00B004EE">
              <w:rPr>
                <w:rFonts w:ascii="Tahoma" w:hAnsi="Tahoma" w:cs="Tahoma"/>
                <w:sz w:val="20"/>
                <w:szCs w:val="20"/>
                <w:lang w:val="en-US"/>
              </w:rPr>
              <w:t>40.00'N</w:t>
            </w:r>
            <w:r w:rsidRPr="00B004EE">
              <w:rPr>
                <w:rFonts w:ascii="Tahoma" w:hAnsi="Tahoma" w:cs="Tahoma"/>
                <w:sz w:val="20"/>
                <w:szCs w:val="20"/>
                <w:lang w:val="en-US"/>
              </w:rPr>
              <w:tab/>
            </w:r>
            <w:r w:rsidR="00DB1635" w:rsidRPr="00B004EE">
              <w:rPr>
                <w:rFonts w:ascii="Tahoma" w:hAnsi="Tahoma" w:cs="Tahoma"/>
                <w:sz w:val="20"/>
                <w:szCs w:val="20"/>
                <w:lang w:val="en-US"/>
              </w:rPr>
              <w:t xml:space="preserve"> </w:t>
            </w:r>
            <w:r w:rsidRPr="00B004EE">
              <w:rPr>
                <w:rFonts w:ascii="Tahoma" w:hAnsi="Tahoma" w:cs="Tahoma"/>
                <w:sz w:val="20"/>
                <w:szCs w:val="20"/>
                <w:lang w:val="en-US"/>
              </w:rPr>
              <w:t>17°</w:t>
            </w:r>
            <w:r w:rsidR="00DB1635" w:rsidRPr="00B004EE">
              <w:rPr>
                <w:rFonts w:ascii="Tahoma" w:hAnsi="Tahoma" w:cs="Tahoma"/>
                <w:sz w:val="20"/>
                <w:szCs w:val="20"/>
                <w:lang w:val="en-US"/>
              </w:rPr>
              <w:t xml:space="preserve"> </w:t>
            </w:r>
            <w:r w:rsidRPr="00B004EE">
              <w:rPr>
                <w:rFonts w:ascii="Tahoma" w:hAnsi="Tahoma" w:cs="Tahoma"/>
                <w:sz w:val="20"/>
                <w:szCs w:val="20"/>
                <w:lang w:val="en-US"/>
              </w:rPr>
              <w:t>08.30'W</w:t>
            </w:r>
          </w:p>
          <w:p w14:paraId="069F4D5A" w14:textId="2A433198" w:rsidR="008518B0" w:rsidRPr="00B004EE" w:rsidRDefault="008518B0" w:rsidP="00B004EE">
            <w:pPr>
              <w:rPr>
                <w:rFonts w:ascii="Tahoma" w:hAnsi="Tahoma" w:cs="Tahoma"/>
                <w:sz w:val="20"/>
                <w:szCs w:val="20"/>
                <w:lang w:val="en-US"/>
              </w:rPr>
            </w:pPr>
            <w:r w:rsidRPr="00B004EE">
              <w:rPr>
                <w:rFonts w:ascii="Tahoma" w:hAnsi="Tahoma" w:cs="Tahoma"/>
                <w:sz w:val="20"/>
                <w:szCs w:val="20"/>
                <w:lang w:val="en-US"/>
              </w:rPr>
              <w:t>F</w:t>
            </w:r>
            <w:r w:rsidRPr="00B004EE">
              <w:rPr>
                <w:rFonts w:ascii="Tahoma" w:hAnsi="Tahoma" w:cs="Tahoma"/>
                <w:sz w:val="20"/>
                <w:szCs w:val="20"/>
                <w:lang w:val="en-US"/>
              </w:rPr>
              <w:tab/>
            </w:r>
            <w:r w:rsidR="00DB1635" w:rsidRPr="00B004EE">
              <w:rPr>
                <w:rFonts w:ascii="Tahoma" w:hAnsi="Tahoma" w:cs="Tahoma"/>
                <w:sz w:val="20"/>
                <w:szCs w:val="20"/>
                <w:lang w:val="en-US"/>
              </w:rPr>
              <w:t xml:space="preserve"> </w:t>
            </w:r>
            <w:r w:rsidRPr="00B004EE">
              <w:rPr>
                <w:rFonts w:ascii="Tahoma" w:hAnsi="Tahoma" w:cs="Tahoma"/>
                <w:sz w:val="20"/>
                <w:szCs w:val="20"/>
                <w:lang w:val="en-US"/>
              </w:rPr>
              <w:t>20°</w:t>
            </w:r>
            <w:r w:rsidR="00DB1635" w:rsidRPr="00B004EE">
              <w:rPr>
                <w:rFonts w:ascii="Tahoma" w:hAnsi="Tahoma" w:cs="Tahoma"/>
                <w:sz w:val="20"/>
                <w:szCs w:val="20"/>
                <w:lang w:val="en-US"/>
              </w:rPr>
              <w:t xml:space="preserve"> </w:t>
            </w:r>
            <w:r w:rsidRPr="00B004EE">
              <w:rPr>
                <w:rFonts w:ascii="Tahoma" w:hAnsi="Tahoma" w:cs="Tahoma"/>
                <w:sz w:val="20"/>
                <w:szCs w:val="20"/>
                <w:lang w:val="en-US"/>
              </w:rPr>
              <w:t>10.12'N</w:t>
            </w:r>
            <w:r w:rsidRPr="00B004EE">
              <w:rPr>
                <w:rFonts w:ascii="Tahoma" w:hAnsi="Tahoma" w:cs="Tahoma"/>
                <w:sz w:val="20"/>
                <w:szCs w:val="20"/>
                <w:lang w:val="en-US"/>
              </w:rPr>
              <w:tab/>
            </w:r>
            <w:r w:rsidR="00DB1635" w:rsidRPr="00B004EE">
              <w:rPr>
                <w:rFonts w:ascii="Tahoma" w:hAnsi="Tahoma" w:cs="Tahoma"/>
                <w:sz w:val="20"/>
                <w:szCs w:val="20"/>
                <w:lang w:val="en-US"/>
              </w:rPr>
              <w:t xml:space="preserve"> </w:t>
            </w:r>
            <w:r w:rsidRPr="00B004EE">
              <w:rPr>
                <w:rFonts w:ascii="Tahoma" w:hAnsi="Tahoma" w:cs="Tahoma"/>
                <w:sz w:val="20"/>
                <w:szCs w:val="20"/>
                <w:lang w:val="en-US"/>
              </w:rPr>
              <w:t>17°</w:t>
            </w:r>
            <w:r w:rsidR="00DB1635" w:rsidRPr="00B004EE">
              <w:rPr>
                <w:rFonts w:ascii="Tahoma" w:hAnsi="Tahoma" w:cs="Tahoma"/>
                <w:sz w:val="20"/>
                <w:szCs w:val="20"/>
                <w:lang w:val="en-US"/>
              </w:rPr>
              <w:t xml:space="preserve"> </w:t>
            </w:r>
            <w:r w:rsidRPr="00B004EE">
              <w:rPr>
                <w:rFonts w:ascii="Tahoma" w:hAnsi="Tahoma" w:cs="Tahoma"/>
                <w:sz w:val="20"/>
                <w:szCs w:val="20"/>
                <w:lang w:val="en-US"/>
              </w:rPr>
              <w:t>16.12'W</w:t>
            </w:r>
          </w:p>
          <w:p w14:paraId="286732C3" w14:textId="3A9582E8" w:rsidR="008518B0" w:rsidRPr="00B004EE" w:rsidRDefault="008518B0" w:rsidP="00B004EE">
            <w:pPr>
              <w:rPr>
                <w:rFonts w:ascii="Tahoma" w:hAnsi="Tahoma" w:cs="Tahoma"/>
                <w:sz w:val="20"/>
                <w:szCs w:val="20"/>
                <w:lang w:val="en-US"/>
              </w:rPr>
            </w:pPr>
            <w:r w:rsidRPr="00B004EE">
              <w:rPr>
                <w:rFonts w:ascii="Tahoma" w:hAnsi="Tahoma" w:cs="Tahoma"/>
                <w:sz w:val="20"/>
                <w:szCs w:val="20"/>
                <w:lang w:val="en-US"/>
              </w:rPr>
              <w:t>J</w:t>
            </w:r>
            <w:r w:rsidRPr="00B004EE">
              <w:rPr>
                <w:rFonts w:ascii="Tahoma" w:hAnsi="Tahoma" w:cs="Tahoma"/>
                <w:sz w:val="20"/>
                <w:szCs w:val="20"/>
                <w:lang w:val="en-US"/>
              </w:rPr>
              <w:tab/>
            </w:r>
            <w:r w:rsidR="00DB1635" w:rsidRPr="00B004EE">
              <w:rPr>
                <w:rFonts w:ascii="Tahoma" w:hAnsi="Tahoma" w:cs="Tahoma"/>
                <w:sz w:val="20"/>
                <w:szCs w:val="20"/>
                <w:lang w:val="en-US"/>
              </w:rPr>
              <w:t xml:space="preserve"> </w:t>
            </w:r>
            <w:r w:rsidRPr="00B004EE">
              <w:rPr>
                <w:rFonts w:ascii="Tahoma" w:hAnsi="Tahoma" w:cs="Tahoma"/>
                <w:sz w:val="20"/>
                <w:szCs w:val="20"/>
                <w:lang w:val="en-US"/>
              </w:rPr>
              <w:t>19°</w:t>
            </w:r>
            <w:r w:rsidR="00DB1635" w:rsidRPr="00B004EE">
              <w:rPr>
                <w:rFonts w:ascii="Tahoma" w:hAnsi="Tahoma" w:cs="Tahoma"/>
                <w:sz w:val="20"/>
                <w:szCs w:val="20"/>
                <w:lang w:val="en-US"/>
              </w:rPr>
              <w:t xml:space="preserve"> </w:t>
            </w:r>
            <w:r w:rsidRPr="00B004EE">
              <w:rPr>
                <w:rFonts w:ascii="Tahoma" w:hAnsi="Tahoma" w:cs="Tahoma"/>
                <w:sz w:val="20"/>
                <w:szCs w:val="20"/>
                <w:lang w:val="en-US"/>
              </w:rPr>
              <w:t>35.24'N</w:t>
            </w:r>
            <w:r w:rsidRPr="00B004EE">
              <w:rPr>
                <w:rFonts w:ascii="Tahoma" w:hAnsi="Tahoma" w:cs="Tahoma"/>
                <w:sz w:val="20"/>
                <w:szCs w:val="20"/>
                <w:lang w:val="en-US"/>
              </w:rPr>
              <w:tab/>
            </w:r>
            <w:r w:rsidR="00DB1635" w:rsidRPr="00B004EE">
              <w:rPr>
                <w:rFonts w:ascii="Tahoma" w:hAnsi="Tahoma" w:cs="Tahoma"/>
                <w:sz w:val="20"/>
                <w:szCs w:val="20"/>
                <w:lang w:val="en-US"/>
              </w:rPr>
              <w:t xml:space="preserve"> </w:t>
            </w:r>
            <w:r w:rsidRPr="00B004EE">
              <w:rPr>
                <w:rFonts w:ascii="Tahoma" w:hAnsi="Tahoma" w:cs="Tahoma"/>
                <w:sz w:val="20"/>
                <w:szCs w:val="20"/>
                <w:lang w:val="en-US"/>
              </w:rPr>
              <w:t>16°</w:t>
            </w:r>
            <w:r w:rsidR="00DB1635" w:rsidRPr="00B004EE">
              <w:rPr>
                <w:rFonts w:ascii="Tahoma" w:hAnsi="Tahoma" w:cs="Tahoma"/>
                <w:sz w:val="20"/>
                <w:szCs w:val="20"/>
                <w:lang w:val="en-US"/>
              </w:rPr>
              <w:t xml:space="preserve"> </w:t>
            </w:r>
            <w:r w:rsidRPr="00B004EE">
              <w:rPr>
                <w:rFonts w:ascii="Tahoma" w:hAnsi="Tahoma" w:cs="Tahoma"/>
                <w:sz w:val="20"/>
                <w:szCs w:val="20"/>
                <w:lang w:val="en-US"/>
              </w:rPr>
              <w:t>51.00'W</w:t>
            </w:r>
          </w:p>
          <w:p w14:paraId="1A133E1B" w14:textId="2AFDE8EF" w:rsidR="008518B0" w:rsidRPr="00B004EE" w:rsidRDefault="008518B0" w:rsidP="00B004EE">
            <w:pPr>
              <w:rPr>
                <w:rFonts w:ascii="Tahoma" w:hAnsi="Tahoma" w:cs="Tahoma"/>
                <w:sz w:val="20"/>
                <w:szCs w:val="20"/>
                <w:lang w:val="en-US"/>
              </w:rPr>
            </w:pPr>
            <w:r w:rsidRPr="00B004EE">
              <w:rPr>
                <w:rFonts w:ascii="Tahoma" w:hAnsi="Tahoma" w:cs="Tahoma"/>
                <w:sz w:val="20"/>
                <w:szCs w:val="20"/>
                <w:lang w:val="en-US"/>
              </w:rPr>
              <w:t>M</w:t>
            </w:r>
            <w:r w:rsidRPr="00B004EE">
              <w:rPr>
                <w:rFonts w:ascii="Tahoma" w:hAnsi="Tahoma" w:cs="Tahoma"/>
                <w:sz w:val="20"/>
                <w:szCs w:val="20"/>
                <w:lang w:val="en-US"/>
              </w:rPr>
              <w:tab/>
            </w:r>
            <w:r w:rsidR="00DB1635" w:rsidRPr="00B004EE">
              <w:rPr>
                <w:rFonts w:ascii="Tahoma" w:hAnsi="Tahoma" w:cs="Tahoma"/>
                <w:sz w:val="20"/>
                <w:szCs w:val="20"/>
                <w:lang w:val="en-US"/>
              </w:rPr>
              <w:t xml:space="preserve"> </w:t>
            </w:r>
            <w:r w:rsidRPr="00B004EE">
              <w:rPr>
                <w:rFonts w:ascii="Tahoma" w:hAnsi="Tahoma" w:cs="Tahoma"/>
                <w:sz w:val="20"/>
                <w:szCs w:val="20"/>
                <w:lang w:val="en-US"/>
              </w:rPr>
              <w:t>19°</w:t>
            </w:r>
            <w:r w:rsidR="00DB1635" w:rsidRPr="00B004EE">
              <w:rPr>
                <w:rFonts w:ascii="Tahoma" w:hAnsi="Tahoma" w:cs="Tahoma"/>
                <w:sz w:val="20"/>
                <w:szCs w:val="20"/>
                <w:lang w:val="en-US"/>
              </w:rPr>
              <w:t xml:space="preserve"> </w:t>
            </w:r>
            <w:r w:rsidRPr="00B004EE">
              <w:rPr>
                <w:rFonts w:ascii="Tahoma" w:hAnsi="Tahoma" w:cs="Tahoma"/>
                <w:sz w:val="20"/>
                <w:szCs w:val="20"/>
                <w:lang w:val="en-US"/>
              </w:rPr>
              <w:t>19.12'N</w:t>
            </w:r>
            <w:r w:rsidRPr="00B004EE">
              <w:rPr>
                <w:rFonts w:ascii="Tahoma" w:hAnsi="Tahoma" w:cs="Tahoma"/>
                <w:sz w:val="20"/>
                <w:szCs w:val="20"/>
                <w:lang w:val="en-US"/>
              </w:rPr>
              <w:tab/>
            </w:r>
            <w:r w:rsidR="00DB1635" w:rsidRPr="00B004EE">
              <w:rPr>
                <w:rFonts w:ascii="Tahoma" w:hAnsi="Tahoma" w:cs="Tahoma"/>
                <w:sz w:val="20"/>
                <w:szCs w:val="20"/>
                <w:lang w:val="en-US"/>
              </w:rPr>
              <w:t xml:space="preserve"> </w:t>
            </w:r>
            <w:r w:rsidRPr="00B004EE">
              <w:rPr>
                <w:rFonts w:ascii="Tahoma" w:hAnsi="Tahoma" w:cs="Tahoma"/>
                <w:sz w:val="20"/>
                <w:szCs w:val="20"/>
                <w:lang w:val="en-US"/>
              </w:rPr>
              <w:t>16°</w:t>
            </w:r>
            <w:r w:rsidR="00DB1635" w:rsidRPr="00B004EE">
              <w:rPr>
                <w:rFonts w:ascii="Tahoma" w:hAnsi="Tahoma" w:cs="Tahoma"/>
                <w:sz w:val="20"/>
                <w:szCs w:val="20"/>
                <w:lang w:val="en-US"/>
              </w:rPr>
              <w:t xml:space="preserve"> </w:t>
            </w:r>
            <w:r w:rsidRPr="00B004EE">
              <w:rPr>
                <w:rFonts w:ascii="Tahoma" w:hAnsi="Tahoma" w:cs="Tahoma"/>
                <w:sz w:val="20"/>
                <w:szCs w:val="20"/>
                <w:lang w:val="en-US"/>
              </w:rPr>
              <w:t>45.36'W</w:t>
            </w:r>
          </w:p>
          <w:p w14:paraId="6F424E6C" w14:textId="7F8655E7" w:rsidR="008518B0" w:rsidRPr="00B004EE" w:rsidRDefault="008518B0" w:rsidP="00B004EE">
            <w:pPr>
              <w:rPr>
                <w:rFonts w:ascii="Tahoma" w:hAnsi="Tahoma" w:cs="Tahoma"/>
                <w:sz w:val="20"/>
                <w:szCs w:val="20"/>
                <w:lang w:val="en-US"/>
              </w:rPr>
            </w:pPr>
            <w:r w:rsidRPr="00B004EE">
              <w:rPr>
                <w:rFonts w:ascii="Tahoma" w:hAnsi="Tahoma" w:cs="Tahoma"/>
                <w:sz w:val="20"/>
                <w:szCs w:val="20"/>
                <w:lang w:val="en-US"/>
              </w:rPr>
              <w:t>K</w:t>
            </w:r>
            <w:r w:rsidRPr="00B004EE">
              <w:rPr>
                <w:rFonts w:ascii="Tahoma" w:hAnsi="Tahoma" w:cs="Tahoma"/>
                <w:sz w:val="20"/>
                <w:szCs w:val="20"/>
                <w:lang w:val="en-US"/>
              </w:rPr>
              <w:tab/>
            </w:r>
            <w:r w:rsidR="00DB1635" w:rsidRPr="00B004EE">
              <w:rPr>
                <w:rFonts w:ascii="Tahoma" w:hAnsi="Tahoma" w:cs="Tahoma"/>
                <w:sz w:val="20"/>
                <w:szCs w:val="20"/>
                <w:lang w:val="en-US"/>
              </w:rPr>
              <w:t xml:space="preserve"> </w:t>
            </w:r>
            <w:r w:rsidRPr="00B004EE">
              <w:rPr>
                <w:rFonts w:ascii="Tahoma" w:hAnsi="Tahoma" w:cs="Tahoma"/>
                <w:sz w:val="20"/>
                <w:szCs w:val="20"/>
                <w:lang w:val="en-US"/>
              </w:rPr>
              <w:t>19°</w:t>
            </w:r>
            <w:r w:rsidR="00DB1635" w:rsidRPr="00B004EE">
              <w:rPr>
                <w:rFonts w:ascii="Tahoma" w:hAnsi="Tahoma" w:cs="Tahoma"/>
                <w:sz w:val="20"/>
                <w:szCs w:val="20"/>
                <w:lang w:val="en-US"/>
              </w:rPr>
              <w:t xml:space="preserve"> </w:t>
            </w:r>
            <w:r w:rsidRPr="00B004EE">
              <w:rPr>
                <w:rFonts w:ascii="Tahoma" w:hAnsi="Tahoma" w:cs="Tahoma"/>
                <w:sz w:val="20"/>
                <w:szCs w:val="20"/>
                <w:lang w:val="en-US"/>
              </w:rPr>
              <w:t>19.12'N</w:t>
            </w:r>
            <w:r w:rsidRPr="00B004EE">
              <w:rPr>
                <w:rFonts w:ascii="Tahoma" w:hAnsi="Tahoma" w:cs="Tahoma"/>
                <w:sz w:val="20"/>
                <w:szCs w:val="20"/>
                <w:lang w:val="en-US"/>
              </w:rPr>
              <w:tab/>
            </w:r>
            <w:r w:rsidR="00DB1635" w:rsidRPr="00B004EE">
              <w:rPr>
                <w:rFonts w:ascii="Tahoma" w:hAnsi="Tahoma" w:cs="Tahoma"/>
                <w:sz w:val="20"/>
                <w:szCs w:val="20"/>
                <w:lang w:val="en-US"/>
              </w:rPr>
              <w:t xml:space="preserve"> </w:t>
            </w:r>
            <w:r w:rsidRPr="00B004EE">
              <w:rPr>
                <w:rFonts w:ascii="Tahoma" w:hAnsi="Tahoma" w:cs="Tahoma"/>
                <w:sz w:val="20"/>
                <w:szCs w:val="20"/>
                <w:lang w:val="en-US"/>
              </w:rPr>
              <w:t>16°</w:t>
            </w:r>
            <w:r w:rsidR="00DB1635" w:rsidRPr="00B004EE">
              <w:rPr>
                <w:rFonts w:ascii="Tahoma" w:hAnsi="Tahoma" w:cs="Tahoma"/>
                <w:sz w:val="20"/>
                <w:szCs w:val="20"/>
                <w:lang w:val="en-US"/>
              </w:rPr>
              <w:t xml:space="preserve"> </w:t>
            </w:r>
            <w:r w:rsidRPr="00B004EE">
              <w:rPr>
                <w:rFonts w:ascii="Tahoma" w:hAnsi="Tahoma" w:cs="Tahoma"/>
                <w:sz w:val="20"/>
                <w:szCs w:val="20"/>
                <w:lang w:val="en-US"/>
              </w:rPr>
              <w:t>41.24'W</w:t>
            </w:r>
          </w:p>
          <w:p w14:paraId="5DC7836A" w14:textId="60CE425D" w:rsidR="008518B0" w:rsidRPr="00B004EE" w:rsidRDefault="008518B0" w:rsidP="00420DDA">
            <w:pPr>
              <w:pStyle w:val="Paragraphedeliste"/>
              <w:numPr>
                <w:ilvl w:val="0"/>
                <w:numId w:val="71"/>
              </w:numPr>
              <w:ind w:left="311" w:hanging="283"/>
              <w:rPr>
                <w:rFonts w:ascii="Tahoma" w:hAnsi="Tahoma" w:cs="Tahoma"/>
                <w:sz w:val="20"/>
                <w:szCs w:val="20"/>
              </w:rPr>
            </w:pP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sud</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19°19.12N</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jusqu’au</w:t>
            </w:r>
            <w:r w:rsidR="00DB1635" w:rsidRPr="00B004EE">
              <w:rPr>
                <w:rFonts w:ascii="Tahoma" w:hAnsi="Tahoma" w:cs="Tahoma"/>
                <w:sz w:val="20"/>
                <w:szCs w:val="20"/>
              </w:rPr>
              <w:t xml:space="preserve"> </w:t>
            </w:r>
            <w:r w:rsidRPr="00B004EE">
              <w:rPr>
                <w:rFonts w:ascii="Tahoma" w:hAnsi="Tahoma" w:cs="Tahoma"/>
                <w:sz w:val="20"/>
                <w:szCs w:val="20"/>
              </w:rPr>
              <w:t>17°50.00N,</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zones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l’est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ligne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9</w:t>
            </w:r>
            <w:r w:rsidR="00DB1635" w:rsidRPr="00B004EE">
              <w:rPr>
                <w:rFonts w:ascii="Tahoma" w:hAnsi="Tahoma" w:cs="Tahoma"/>
                <w:sz w:val="20"/>
                <w:szCs w:val="20"/>
              </w:rPr>
              <w:t xml:space="preserve"> </w:t>
            </w:r>
            <w:r w:rsidRPr="00B004EE">
              <w:rPr>
                <w:rFonts w:ascii="Tahoma" w:hAnsi="Tahoma" w:cs="Tahoma"/>
                <w:sz w:val="20"/>
                <w:szCs w:val="20"/>
              </w:rPr>
              <w:t>miles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distance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ligne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base.</w:t>
            </w:r>
          </w:p>
          <w:p w14:paraId="4A094EDA" w14:textId="682A9DA6" w:rsidR="008518B0" w:rsidRPr="00B004EE" w:rsidRDefault="008518B0" w:rsidP="00420DDA">
            <w:pPr>
              <w:pStyle w:val="Paragraphedeliste"/>
              <w:numPr>
                <w:ilvl w:val="0"/>
                <w:numId w:val="71"/>
              </w:numPr>
              <w:ind w:left="311" w:hanging="283"/>
              <w:rPr>
                <w:rFonts w:ascii="Tahoma" w:hAnsi="Tahoma" w:cs="Tahoma"/>
                <w:sz w:val="20"/>
                <w:szCs w:val="20"/>
              </w:rPr>
            </w:pP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sud</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17°50.00N,</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zones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l’est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ligne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6</w:t>
            </w:r>
            <w:r w:rsidR="00DB1635" w:rsidRPr="00B004EE">
              <w:rPr>
                <w:rFonts w:ascii="Tahoma" w:hAnsi="Tahoma" w:cs="Tahoma"/>
                <w:sz w:val="20"/>
                <w:szCs w:val="20"/>
              </w:rPr>
              <w:t xml:space="preserve"> </w:t>
            </w:r>
            <w:r w:rsidRPr="00B004EE">
              <w:rPr>
                <w:rFonts w:ascii="Tahoma" w:hAnsi="Tahoma" w:cs="Tahoma"/>
                <w:sz w:val="20"/>
                <w:szCs w:val="20"/>
              </w:rPr>
              <w:t>miles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distance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ligne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base.</w:t>
            </w:r>
          </w:p>
          <w:p w14:paraId="6222D6C3" w14:textId="77777777" w:rsidR="008518B0" w:rsidRPr="00B004EE" w:rsidRDefault="008518B0" w:rsidP="00B004EE">
            <w:pPr>
              <w:rPr>
                <w:rFonts w:ascii="Tahoma" w:hAnsi="Tahoma" w:cs="Tahoma"/>
                <w:sz w:val="20"/>
                <w:szCs w:val="20"/>
              </w:rPr>
            </w:pPr>
          </w:p>
          <w:p w14:paraId="6D95E14F" w14:textId="43C5F608" w:rsidR="008518B0" w:rsidRPr="00B004EE" w:rsidRDefault="008518B0" w:rsidP="00B004EE">
            <w:pPr>
              <w:rPr>
                <w:rFonts w:ascii="Tahoma" w:hAnsi="Tahoma" w:cs="Tahoma"/>
                <w:sz w:val="20"/>
                <w:szCs w:val="20"/>
              </w:rPr>
            </w:pPr>
            <w:r w:rsidRPr="00B004EE">
              <w:rPr>
                <w:rFonts w:ascii="Tahoma" w:hAnsi="Tahoma" w:cs="Tahoma"/>
                <w:sz w:val="20"/>
                <w:szCs w:val="20"/>
              </w:rPr>
              <w:t>L’accès</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zones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ZEE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l’ouest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ces</w:t>
            </w:r>
            <w:r w:rsidR="00DB1635" w:rsidRPr="00B004EE">
              <w:rPr>
                <w:rFonts w:ascii="Tahoma" w:hAnsi="Tahoma" w:cs="Tahoma"/>
                <w:sz w:val="20"/>
                <w:szCs w:val="20"/>
              </w:rPr>
              <w:t xml:space="preserve"> </w:t>
            </w:r>
            <w:r w:rsidRPr="00B004EE">
              <w:rPr>
                <w:rFonts w:ascii="Tahoma" w:hAnsi="Tahoma" w:cs="Tahoma"/>
                <w:sz w:val="20"/>
                <w:szCs w:val="20"/>
              </w:rPr>
              <w:t>lignes</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soumis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autorisation</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l’administration</w:t>
            </w:r>
            <w:r w:rsidR="00DB1635" w:rsidRPr="00B004EE">
              <w:rPr>
                <w:rFonts w:ascii="Tahoma" w:hAnsi="Tahoma" w:cs="Tahoma"/>
                <w:sz w:val="20"/>
                <w:szCs w:val="20"/>
              </w:rPr>
              <w:t xml:space="preserve"> </w:t>
            </w:r>
            <w:r w:rsidRPr="00B004EE">
              <w:rPr>
                <w:rFonts w:ascii="Tahoma" w:hAnsi="Tahoma" w:cs="Tahoma"/>
                <w:sz w:val="20"/>
                <w:szCs w:val="20"/>
              </w:rPr>
              <w:t>chargée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surveillance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sur</w:t>
            </w:r>
            <w:r w:rsidR="00DB1635" w:rsidRPr="00B004EE">
              <w:rPr>
                <w:rFonts w:ascii="Tahoma" w:hAnsi="Tahoma" w:cs="Tahoma"/>
                <w:sz w:val="20"/>
                <w:szCs w:val="20"/>
              </w:rPr>
              <w:t xml:space="preserve"> </w:t>
            </w:r>
            <w:r w:rsidRPr="00B004EE">
              <w:rPr>
                <w:rFonts w:ascii="Tahoma" w:hAnsi="Tahoma" w:cs="Tahoma"/>
                <w:sz w:val="20"/>
                <w:szCs w:val="20"/>
              </w:rPr>
              <w:t>justification</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moyens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communication,</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positionnement</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repérage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engins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sz w:val="20"/>
                <w:szCs w:val="20"/>
              </w:rPr>
              <w:t xml:space="preserve"> </w:t>
            </w:r>
            <w:r w:rsidRPr="00B004EE">
              <w:rPr>
                <w:rFonts w:ascii="Tahoma" w:hAnsi="Tahoma" w:cs="Tahoma"/>
                <w:sz w:val="20"/>
                <w:szCs w:val="20"/>
              </w:rPr>
              <w:t>posés</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mer.</w:t>
            </w:r>
          </w:p>
        </w:tc>
      </w:tr>
      <w:tr w:rsidR="00150C90" w:rsidRPr="00B004EE" w14:paraId="233FF353" w14:textId="77777777" w:rsidTr="00767386">
        <w:trPr>
          <w:trHeight w:val="545"/>
        </w:trPr>
        <w:tc>
          <w:tcPr>
            <w:tcW w:w="1560" w:type="dxa"/>
            <w:vMerge/>
            <w:shd w:val="clear" w:color="auto" w:fill="auto"/>
          </w:tcPr>
          <w:p w14:paraId="3467AF38" w14:textId="77777777" w:rsidR="008518B0" w:rsidRPr="00B004EE" w:rsidRDefault="008518B0" w:rsidP="00B004EE">
            <w:pPr>
              <w:rPr>
                <w:rFonts w:ascii="Tahoma" w:hAnsi="Tahoma" w:cs="Tahoma"/>
                <w:b/>
                <w:bCs/>
                <w:i/>
                <w:iCs/>
                <w:sz w:val="20"/>
                <w:szCs w:val="20"/>
              </w:rPr>
            </w:pPr>
          </w:p>
        </w:tc>
        <w:tc>
          <w:tcPr>
            <w:tcW w:w="3402" w:type="dxa"/>
            <w:shd w:val="clear" w:color="auto" w:fill="auto"/>
          </w:tcPr>
          <w:p w14:paraId="08B9CC04" w14:textId="6A96CFDA" w:rsidR="008518B0" w:rsidRPr="00B004EE" w:rsidRDefault="008518B0" w:rsidP="00B004EE">
            <w:pPr>
              <w:jc w:val="both"/>
              <w:rPr>
                <w:rFonts w:ascii="Tahoma" w:hAnsi="Tahoma" w:cs="Tahoma"/>
                <w:b/>
                <w:bCs/>
                <w:i/>
                <w:iCs/>
                <w:sz w:val="20"/>
                <w:szCs w:val="20"/>
              </w:rPr>
            </w:pPr>
            <w:r w:rsidRPr="00B004EE">
              <w:rPr>
                <w:rFonts w:ascii="Tahoma" w:hAnsi="Tahoma" w:cs="Tahoma"/>
                <w:b/>
                <w:bCs/>
                <w:i/>
                <w:iCs/>
                <w:sz w:val="20"/>
                <w:szCs w:val="20"/>
              </w:rPr>
              <w:t>Crustacés</w:t>
            </w:r>
            <w:r w:rsidR="00DB1635" w:rsidRPr="00B004EE">
              <w:rPr>
                <w:rFonts w:ascii="Tahoma" w:hAnsi="Tahoma" w:cs="Tahoma"/>
                <w:b/>
                <w:bCs/>
                <w:i/>
                <w:iCs/>
                <w:sz w:val="20"/>
                <w:szCs w:val="20"/>
              </w:rPr>
              <w:t xml:space="preserve"> </w:t>
            </w:r>
            <w:r w:rsidRPr="00B004EE">
              <w:rPr>
                <w:rFonts w:ascii="Tahoma" w:hAnsi="Tahoma" w:cs="Tahoma"/>
                <w:b/>
                <w:bCs/>
                <w:i/>
                <w:iCs/>
                <w:sz w:val="20"/>
                <w:szCs w:val="20"/>
              </w:rPr>
              <w:t>côtiers</w:t>
            </w:r>
          </w:p>
        </w:tc>
        <w:tc>
          <w:tcPr>
            <w:tcW w:w="4787" w:type="dxa"/>
            <w:vMerge/>
            <w:shd w:val="clear" w:color="auto" w:fill="auto"/>
          </w:tcPr>
          <w:p w14:paraId="5AD472AB" w14:textId="77777777" w:rsidR="008518B0" w:rsidRPr="00B004EE" w:rsidRDefault="008518B0" w:rsidP="00B004EE">
            <w:pPr>
              <w:rPr>
                <w:rFonts w:ascii="Tahoma" w:hAnsi="Tahoma" w:cs="Tahoma"/>
                <w:sz w:val="20"/>
                <w:szCs w:val="20"/>
              </w:rPr>
            </w:pPr>
          </w:p>
        </w:tc>
      </w:tr>
      <w:tr w:rsidR="00150C90" w:rsidRPr="00B004EE" w14:paraId="74C1DB2D" w14:textId="77777777" w:rsidTr="00767386">
        <w:trPr>
          <w:trHeight w:val="806"/>
        </w:trPr>
        <w:tc>
          <w:tcPr>
            <w:tcW w:w="1560" w:type="dxa"/>
            <w:vMerge/>
            <w:shd w:val="clear" w:color="auto" w:fill="auto"/>
          </w:tcPr>
          <w:p w14:paraId="67666B86" w14:textId="77777777" w:rsidR="008518B0" w:rsidRPr="00B004EE" w:rsidRDefault="008518B0" w:rsidP="00B004EE">
            <w:pPr>
              <w:rPr>
                <w:rFonts w:ascii="Tahoma" w:hAnsi="Tahoma" w:cs="Tahoma"/>
                <w:b/>
                <w:bCs/>
                <w:i/>
                <w:iCs/>
                <w:sz w:val="20"/>
                <w:szCs w:val="20"/>
              </w:rPr>
            </w:pPr>
          </w:p>
        </w:tc>
        <w:tc>
          <w:tcPr>
            <w:tcW w:w="3402" w:type="dxa"/>
            <w:shd w:val="clear" w:color="auto" w:fill="auto"/>
          </w:tcPr>
          <w:p w14:paraId="5F37F29B" w14:textId="3590D76F" w:rsidR="008518B0" w:rsidRPr="00B004EE" w:rsidRDefault="008518B0" w:rsidP="00B004EE">
            <w:pPr>
              <w:jc w:val="both"/>
              <w:rPr>
                <w:rFonts w:ascii="Tahoma" w:hAnsi="Tahoma" w:cs="Tahoma"/>
                <w:b/>
                <w:bCs/>
                <w:i/>
                <w:iCs/>
                <w:sz w:val="20"/>
                <w:szCs w:val="20"/>
              </w:rPr>
            </w:pPr>
            <w:r w:rsidRPr="00B004EE">
              <w:rPr>
                <w:rFonts w:ascii="Tahoma" w:hAnsi="Tahoma" w:cs="Tahoma"/>
                <w:b/>
                <w:bCs/>
                <w:i/>
                <w:iCs/>
                <w:sz w:val="20"/>
                <w:szCs w:val="20"/>
              </w:rPr>
              <w:t>Poissons</w:t>
            </w:r>
            <w:r w:rsidR="00DB1635" w:rsidRPr="00B004EE">
              <w:rPr>
                <w:rFonts w:ascii="Tahoma" w:hAnsi="Tahoma" w:cs="Tahoma"/>
                <w:b/>
                <w:bCs/>
                <w:i/>
                <w:iCs/>
                <w:sz w:val="20"/>
                <w:szCs w:val="20"/>
              </w:rPr>
              <w:t xml:space="preserve"> </w:t>
            </w:r>
            <w:r w:rsidRPr="00B004EE">
              <w:rPr>
                <w:rFonts w:ascii="Tahoma" w:hAnsi="Tahoma" w:cs="Tahoma"/>
                <w:b/>
                <w:i/>
                <w:iCs/>
                <w:sz w:val="20"/>
                <w:szCs w:val="20"/>
              </w:rPr>
              <w:t>démersaux</w:t>
            </w:r>
          </w:p>
        </w:tc>
        <w:tc>
          <w:tcPr>
            <w:tcW w:w="4787" w:type="dxa"/>
            <w:vMerge/>
            <w:shd w:val="clear" w:color="auto" w:fill="auto"/>
          </w:tcPr>
          <w:p w14:paraId="006318FA" w14:textId="77777777" w:rsidR="008518B0" w:rsidRPr="00B004EE" w:rsidRDefault="008518B0" w:rsidP="00B004EE">
            <w:pPr>
              <w:rPr>
                <w:rFonts w:ascii="Tahoma" w:hAnsi="Tahoma" w:cs="Tahoma"/>
                <w:sz w:val="20"/>
                <w:szCs w:val="20"/>
              </w:rPr>
            </w:pPr>
          </w:p>
        </w:tc>
      </w:tr>
      <w:tr w:rsidR="00150C90" w:rsidRPr="00B004EE" w14:paraId="31908B97" w14:textId="77777777" w:rsidTr="00767386">
        <w:trPr>
          <w:trHeight w:val="517"/>
        </w:trPr>
        <w:tc>
          <w:tcPr>
            <w:tcW w:w="1560" w:type="dxa"/>
            <w:vMerge/>
            <w:shd w:val="clear" w:color="auto" w:fill="auto"/>
          </w:tcPr>
          <w:p w14:paraId="4C023B91" w14:textId="77777777" w:rsidR="008518B0" w:rsidRPr="00B004EE" w:rsidRDefault="008518B0" w:rsidP="00B004EE">
            <w:pPr>
              <w:rPr>
                <w:rFonts w:ascii="Tahoma" w:hAnsi="Tahoma" w:cs="Tahoma"/>
                <w:b/>
                <w:bCs/>
                <w:i/>
                <w:iCs/>
                <w:sz w:val="20"/>
                <w:szCs w:val="20"/>
              </w:rPr>
            </w:pPr>
          </w:p>
        </w:tc>
        <w:tc>
          <w:tcPr>
            <w:tcW w:w="3402" w:type="dxa"/>
            <w:shd w:val="clear" w:color="auto" w:fill="auto"/>
          </w:tcPr>
          <w:p w14:paraId="0CB41966" w14:textId="385ABDD3" w:rsidR="008518B0" w:rsidRPr="00B004EE" w:rsidRDefault="008518B0" w:rsidP="00B004EE">
            <w:pPr>
              <w:jc w:val="both"/>
              <w:rPr>
                <w:rFonts w:ascii="Tahoma" w:hAnsi="Tahoma" w:cs="Tahoma"/>
                <w:b/>
                <w:bCs/>
                <w:i/>
                <w:iCs/>
                <w:sz w:val="20"/>
                <w:szCs w:val="20"/>
              </w:rPr>
            </w:pPr>
            <w:r w:rsidRPr="00B004EE">
              <w:rPr>
                <w:rFonts w:ascii="Tahoma" w:hAnsi="Tahoma" w:cs="Tahoma"/>
                <w:b/>
                <w:bCs/>
                <w:i/>
                <w:iCs/>
                <w:sz w:val="20"/>
                <w:szCs w:val="20"/>
              </w:rPr>
              <w:t>Poissons</w:t>
            </w:r>
            <w:r w:rsidR="00DB1635" w:rsidRPr="00B004EE">
              <w:rPr>
                <w:rFonts w:ascii="Tahoma" w:hAnsi="Tahoma" w:cs="Tahoma"/>
                <w:b/>
                <w:bCs/>
                <w:i/>
                <w:iCs/>
                <w:sz w:val="20"/>
                <w:szCs w:val="20"/>
              </w:rPr>
              <w:t xml:space="preserve"> </w:t>
            </w:r>
            <w:r w:rsidRPr="00B004EE">
              <w:rPr>
                <w:rFonts w:ascii="Tahoma" w:hAnsi="Tahoma" w:cs="Tahoma"/>
                <w:b/>
                <w:i/>
                <w:iCs/>
                <w:sz w:val="20"/>
                <w:szCs w:val="20"/>
              </w:rPr>
              <w:t>pélagiques</w:t>
            </w:r>
          </w:p>
        </w:tc>
        <w:tc>
          <w:tcPr>
            <w:tcW w:w="4787" w:type="dxa"/>
            <w:vMerge/>
            <w:shd w:val="clear" w:color="auto" w:fill="auto"/>
          </w:tcPr>
          <w:p w14:paraId="743F0ADC" w14:textId="77777777" w:rsidR="008518B0" w:rsidRPr="00B004EE" w:rsidRDefault="008518B0" w:rsidP="00B004EE">
            <w:pPr>
              <w:rPr>
                <w:rFonts w:ascii="Tahoma" w:hAnsi="Tahoma" w:cs="Tahoma"/>
                <w:sz w:val="20"/>
                <w:szCs w:val="20"/>
              </w:rPr>
            </w:pPr>
          </w:p>
        </w:tc>
      </w:tr>
      <w:tr w:rsidR="00526DF0" w:rsidRPr="00B004EE" w14:paraId="3661DA44" w14:textId="77777777" w:rsidTr="00767386">
        <w:trPr>
          <w:trHeight w:val="430"/>
        </w:trPr>
        <w:tc>
          <w:tcPr>
            <w:tcW w:w="1560" w:type="dxa"/>
            <w:vMerge w:val="restart"/>
            <w:shd w:val="clear" w:color="auto" w:fill="auto"/>
          </w:tcPr>
          <w:p w14:paraId="1147E877" w14:textId="4E79ECC2" w:rsidR="00526DF0" w:rsidRPr="00B004EE" w:rsidRDefault="00526DF0" w:rsidP="00B004EE">
            <w:pPr>
              <w:jc w:val="both"/>
              <w:rPr>
                <w:rFonts w:ascii="Tahoma" w:hAnsi="Tahoma" w:cs="Tahoma"/>
                <w:b/>
                <w:bCs/>
                <w:i/>
                <w:iCs/>
                <w:sz w:val="20"/>
                <w:szCs w:val="20"/>
              </w:rPr>
            </w:pPr>
            <w:r w:rsidRPr="00B004EE">
              <w:rPr>
                <w:rFonts w:ascii="Tahoma" w:hAnsi="Tahoma" w:cs="Tahoma"/>
                <w:b/>
                <w:bCs/>
                <w:i/>
                <w:iCs/>
                <w:sz w:val="20"/>
                <w:szCs w:val="20"/>
              </w:rPr>
              <w:t>Type II : Pêche côtière</w:t>
            </w:r>
          </w:p>
        </w:tc>
        <w:tc>
          <w:tcPr>
            <w:tcW w:w="3402" w:type="dxa"/>
            <w:shd w:val="clear" w:color="auto" w:fill="auto"/>
          </w:tcPr>
          <w:p w14:paraId="0EADD116" w14:textId="77777777" w:rsidR="00526DF0" w:rsidRPr="00B004EE" w:rsidRDefault="00526DF0" w:rsidP="00B004EE">
            <w:pPr>
              <w:jc w:val="both"/>
              <w:rPr>
                <w:rFonts w:ascii="Tahoma" w:hAnsi="Tahoma" w:cs="Tahoma"/>
                <w:b/>
                <w:bCs/>
                <w:i/>
                <w:iCs/>
                <w:sz w:val="20"/>
                <w:szCs w:val="20"/>
              </w:rPr>
            </w:pPr>
            <w:r w:rsidRPr="00B004EE">
              <w:rPr>
                <w:rFonts w:ascii="Tahoma" w:hAnsi="Tahoma" w:cs="Tahoma"/>
                <w:b/>
                <w:bCs/>
                <w:i/>
                <w:iCs/>
                <w:sz w:val="20"/>
                <w:szCs w:val="20"/>
              </w:rPr>
              <w:t>Céphalopodes</w:t>
            </w:r>
          </w:p>
        </w:tc>
        <w:tc>
          <w:tcPr>
            <w:tcW w:w="4787" w:type="dxa"/>
            <w:vMerge w:val="restart"/>
            <w:shd w:val="clear" w:color="auto" w:fill="auto"/>
          </w:tcPr>
          <w:p w14:paraId="3D3AE0C8" w14:textId="4C1C0010" w:rsidR="00526DF0" w:rsidRPr="00B004EE" w:rsidRDefault="00526DF0" w:rsidP="00B004EE">
            <w:pPr>
              <w:jc w:val="right"/>
              <w:rPr>
                <w:rFonts w:ascii="Tahoma" w:hAnsi="Tahoma" w:cs="Tahoma"/>
                <w:b/>
                <w:bCs/>
                <w:sz w:val="20"/>
                <w:szCs w:val="20"/>
              </w:rPr>
            </w:pPr>
            <w:r w:rsidRPr="00B004EE">
              <w:rPr>
                <w:rFonts w:ascii="Tahoma" w:hAnsi="Tahoma" w:cs="Tahoma"/>
                <w:b/>
                <w:bCs/>
                <w:sz w:val="20"/>
                <w:szCs w:val="20"/>
              </w:rPr>
              <w:t>Z2</w:t>
            </w:r>
          </w:p>
          <w:p w14:paraId="16CE1D71" w14:textId="64BA01C6" w:rsidR="00526DF0" w:rsidRPr="00B004EE" w:rsidRDefault="00526DF0" w:rsidP="00B004EE">
            <w:pPr>
              <w:rPr>
                <w:rFonts w:ascii="Tahoma" w:hAnsi="Tahoma" w:cs="Tahoma"/>
                <w:sz w:val="20"/>
                <w:szCs w:val="20"/>
              </w:rPr>
            </w:pPr>
            <w:r w:rsidRPr="00B004EE">
              <w:rPr>
                <w:rFonts w:ascii="Tahoma" w:hAnsi="Tahoma" w:cs="Tahoma"/>
                <w:sz w:val="20"/>
                <w:szCs w:val="20"/>
              </w:rPr>
              <w:t>Cette catégorie est autorisée à pêcher dans la ZEE :</w:t>
            </w:r>
          </w:p>
          <w:p w14:paraId="7C4C4825" w14:textId="01C01707" w:rsidR="00526DF0" w:rsidRPr="00B004EE" w:rsidRDefault="00526DF0" w:rsidP="00B004EE">
            <w:pPr>
              <w:rPr>
                <w:rFonts w:ascii="Tahoma" w:hAnsi="Tahoma" w:cs="Tahoma"/>
                <w:sz w:val="20"/>
                <w:szCs w:val="20"/>
              </w:rPr>
            </w:pPr>
            <w:r w:rsidRPr="00B004EE">
              <w:rPr>
                <w:rFonts w:ascii="Tahoma" w:hAnsi="Tahoma" w:cs="Tahoma"/>
                <w:sz w:val="20"/>
                <w:szCs w:val="20"/>
              </w:rPr>
              <w:t>-Au nord du Cap Timiris, à l’ouest de la ligne joignant les points suivants :</w:t>
            </w:r>
          </w:p>
          <w:p w14:paraId="1578BA51" w14:textId="5914FEF5" w:rsidR="00526DF0" w:rsidRPr="00B004EE" w:rsidRDefault="00526DF0" w:rsidP="00B004EE">
            <w:pPr>
              <w:rPr>
                <w:rFonts w:ascii="Tahoma" w:hAnsi="Tahoma" w:cs="Tahoma"/>
                <w:sz w:val="20"/>
                <w:szCs w:val="20"/>
                <w:lang w:val="en-US"/>
              </w:rPr>
            </w:pPr>
            <w:r w:rsidRPr="00B004EE">
              <w:rPr>
                <w:rFonts w:ascii="Tahoma" w:hAnsi="Tahoma" w:cs="Tahoma"/>
                <w:sz w:val="20"/>
                <w:szCs w:val="20"/>
                <w:lang w:val="en-US"/>
              </w:rPr>
              <w:t xml:space="preserve">A      20°46’30N      17°03’00W </w:t>
            </w:r>
          </w:p>
          <w:p w14:paraId="5390671A" w14:textId="7E5F5320" w:rsidR="00526DF0" w:rsidRPr="00B004EE" w:rsidRDefault="00526DF0" w:rsidP="00B004EE">
            <w:pPr>
              <w:rPr>
                <w:rFonts w:ascii="Tahoma" w:hAnsi="Tahoma" w:cs="Tahoma"/>
                <w:sz w:val="20"/>
                <w:szCs w:val="20"/>
                <w:lang w:val="en-US"/>
              </w:rPr>
            </w:pPr>
            <w:r w:rsidRPr="00B004EE">
              <w:rPr>
                <w:rFonts w:ascii="Tahoma" w:hAnsi="Tahoma" w:cs="Tahoma"/>
                <w:sz w:val="20"/>
                <w:szCs w:val="20"/>
                <w:lang w:val="en-US"/>
              </w:rPr>
              <w:t xml:space="preserve">S      19°57’00N      16°45’00W </w:t>
            </w:r>
          </w:p>
          <w:p w14:paraId="65D03AB1" w14:textId="52A28351" w:rsidR="00526DF0" w:rsidRPr="00B004EE" w:rsidRDefault="00526DF0" w:rsidP="00B004EE">
            <w:pPr>
              <w:rPr>
                <w:rFonts w:ascii="Tahoma" w:hAnsi="Tahoma" w:cs="Tahoma"/>
                <w:sz w:val="20"/>
                <w:szCs w:val="20"/>
              </w:rPr>
            </w:pPr>
            <w:r w:rsidRPr="00B004EE">
              <w:rPr>
                <w:rFonts w:ascii="Tahoma" w:hAnsi="Tahoma" w:cs="Tahoma"/>
                <w:sz w:val="20"/>
                <w:szCs w:val="20"/>
              </w:rPr>
              <w:t>T      19° 21’00N     16°45’00W</w:t>
            </w:r>
          </w:p>
          <w:p w14:paraId="006887E0" w14:textId="4D7C76A1" w:rsidR="00526DF0" w:rsidRPr="00B004EE" w:rsidRDefault="00526DF0" w:rsidP="00B004EE">
            <w:pPr>
              <w:rPr>
                <w:rFonts w:ascii="Tahoma" w:hAnsi="Tahoma" w:cs="Tahoma"/>
                <w:sz w:val="20"/>
                <w:szCs w:val="20"/>
              </w:rPr>
            </w:pPr>
            <w:r w:rsidRPr="00B004EE">
              <w:rPr>
                <w:rFonts w:ascii="Tahoma" w:hAnsi="Tahoma" w:cs="Tahoma"/>
                <w:sz w:val="20"/>
                <w:szCs w:val="20"/>
              </w:rPr>
              <w:t xml:space="preserve">A = Cap Blanc </w:t>
            </w:r>
          </w:p>
          <w:p w14:paraId="45313B3F" w14:textId="3CAB1F41" w:rsidR="00526DF0" w:rsidRPr="00B004EE" w:rsidRDefault="00526DF0" w:rsidP="00B004EE">
            <w:pPr>
              <w:rPr>
                <w:rFonts w:ascii="Tahoma" w:hAnsi="Tahoma" w:cs="Tahoma"/>
                <w:sz w:val="20"/>
                <w:szCs w:val="20"/>
              </w:rPr>
            </w:pPr>
            <w:r w:rsidRPr="00B004EE">
              <w:rPr>
                <w:rFonts w:ascii="Tahoma" w:hAnsi="Tahoma" w:cs="Tahoma"/>
                <w:sz w:val="20"/>
                <w:szCs w:val="20"/>
              </w:rPr>
              <w:t>S= Intersection de la ligne de base de Cap Blanc Cap Timiris avec la frontière Ouest du PNBA et</w:t>
            </w:r>
          </w:p>
          <w:p w14:paraId="0CBAB370" w14:textId="1BB4F42F" w:rsidR="00526DF0" w:rsidRPr="00B004EE" w:rsidRDefault="00526DF0" w:rsidP="00B004EE">
            <w:pPr>
              <w:rPr>
                <w:rFonts w:ascii="Tahoma" w:hAnsi="Tahoma" w:cs="Tahoma"/>
                <w:sz w:val="20"/>
                <w:szCs w:val="20"/>
              </w:rPr>
            </w:pPr>
            <w:r w:rsidRPr="00B004EE">
              <w:rPr>
                <w:rFonts w:ascii="Tahoma" w:hAnsi="Tahoma" w:cs="Tahoma"/>
                <w:sz w:val="20"/>
                <w:szCs w:val="20"/>
              </w:rPr>
              <w:t>T= Pointe Sud-Ouest de la frontière du PNBA ;</w:t>
            </w:r>
          </w:p>
          <w:p w14:paraId="71827F7D" w14:textId="23ACBFB0" w:rsidR="00526DF0" w:rsidRPr="00B004EE" w:rsidRDefault="00526DF0" w:rsidP="00B004EE">
            <w:pPr>
              <w:rPr>
                <w:rFonts w:ascii="Tahoma" w:hAnsi="Tahoma" w:cs="Tahoma"/>
                <w:sz w:val="20"/>
                <w:szCs w:val="20"/>
              </w:rPr>
            </w:pPr>
            <w:r w:rsidRPr="00B004EE">
              <w:rPr>
                <w:rFonts w:ascii="Tahoma" w:hAnsi="Tahoma" w:cs="Tahoma"/>
                <w:sz w:val="20"/>
                <w:szCs w:val="20"/>
              </w:rPr>
              <w:t>Au sud du parallèle 19°21’00N (Cap Timiris) dans toute la ZEE</w:t>
            </w:r>
          </w:p>
        </w:tc>
      </w:tr>
      <w:tr w:rsidR="00526DF0" w:rsidRPr="00B004EE" w14:paraId="43C7BCC0" w14:textId="77777777" w:rsidTr="00767386">
        <w:trPr>
          <w:trHeight w:val="421"/>
        </w:trPr>
        <w:tc>
          <w:tcPr>
            <w:tcW w:w="1560" w:type="dxa"/>
            <w:vMerge/>
            <w:shd w:val="clear" w:color="auto" w:fill="auto"/>
          </w:tcPr>
          <w:p w14:paraId="62FF4648" w14:textId="77777777" w:rsidR="00526DF0" w:rsidRPr="00B004EE" w:rsidRDefault="00526DF0" w:rsidP="00B004EE">
            <w:pPr>
              <w:jc w:val="both"/>
              <w:rPr>
                <w:rFonts w:ascii="Tahoma" w:hAnsi="Tahoma" w:cs="Tahoma"/>
                <w:b/>
                <w:bCs/>
                <w:i/>
                <w:iCs/>
                <w:sz w:val="20"/>
                <w:szCs w:val="20"/>
              </w:rPr>
            </w:pPr>
          </w:p>
        </w:tc>
        <w:tc>
          <w:tcPr>
            <w:tcW w:w="3402" w:type="dxa"/>
            <w:shd w:val="clear" w:color="auto" w:fill="auto"/>
          </w:tcPr>
          <w:p w14:paraId="7638215A" w14:textId="5585A6FC" w:rsidR="00526DF0" w:rsidRPr="00B004EE" w:rsidRDefault="00526DF0" w:rsidP="00B004EE">
            <w:pPr>
              <w:jc w:val="both"/>
              <w:rPr>
                <w:rFonts w:ascii="Tahoma" w:hAnsi="Tahoma" w:cs="Tahoma"/>
                <w:i/>
                <w:iCs/>
                <w:sz w:val="20"/>
                <w:szCs w:val="20"/>
              </w:rPr>
            </w:pPr>
            <w:r w:rsidRPr="00B004EE">
              <w:rPr>
                <w:rFonts w:ascii="Tahoma" w:hAnsi="Tahoma" w:cs="Tahoma"/>
                <w:b/>
                <w:bCs/>
                <w:i/>
                <w:iCs/>
                <w:sz w:val="20"/>
                <w:szCs w:val="20"/>
              </w:rPr>
              <w:t>Crustacés côtiers</w:t>
            </w:r>
          </w:p>
        </w:tc>
        <w:tc>
          <w:tcPr>
            <w:tcW w:w="4787" w:type="dxa"/>
            <w:vMerge/>
            <w:shd w:val="clear" w:color="auto" w:fill="auto"/>
          </w:tcPr>
          <w:p w14:paraId="62647ACC" w14:textId="77777777" w:rsidR="00526DF0" w:rsidRPr="00B004EE" w:rsidRDefault="00526DF0" w:rsidP="00B004EE">
            <w:pPr>
              <w:rPr>
                <w:rFonts w:ascii="Tahoma" w:hAnsi="Tahoma" w:cs="Tahoma"/>
                <w:sz w:val="20"/>
                <w:szCs w:val="20"/>
              </w:rPr>
            </w:pPr>
          </w:p>
        </w:tc>
      </w:tr>
      <w:tr w:rsidR="00150C90" w:rsidRPr="00B004EE" w14:paraId="69A5B12E" w14:textId="77777777" w:rsidTr="00767386">
        <w:trPr>
          <w:trHeight w:val="1155"/>
        </w:trPr>
        <w:tc>
          <w:tcPr>
            <w:tcW w:w="1560" w:type="dxa"/>
            <w:shd w:val="clear" w:color="auto" w:fill="auto"/>
          </w:tcPr>
          <w:p w14:paraId="60A0E704" w14:textId="77777777" w:rsidR="008518B0" w:rsidRPr="00B004EE" w:rsidRDefault="008518B0" w:rsidP="00B004EE">
            <w:pPr>
              <w:jc w:val="both"/>
              <w:rPr>
                <w:rFonts w:ascii="Tahoma" w:hAnsi="Tahoma" w:cs="Tahoma"/>
                <w:b/>
                <w:bCs/>
                <w:i/>
                <w:iCs/>
                <w:sz w:val="20"/>
                <w:szCs w:val="20"/>
              </w:rPr>
            </w:pPr>
          </w:p>
        </w:tc>
        <w:tc>
          <w:tcPr>
            <w:tcW w:w="3402" w:type="dxa"/>
            <w:shd w:val="clear" w:color="auto" w:fill="auto"/>
          </w:tcPr>
          <w:p w14:paraId="17CB796B" w14:textId="2BEAFF65" w:rsidR="008518B0" w:rsidRPr="00B004EE" w:rsidRDefault="008518B0" w:rsidP="00B004EE">
            <w:pPr>
              <w:jc w:val="both"/>
              <w:rPr>
                <w:rFonts w:ascii="Tahoma" w:hAnsi="Tahoma" w:cs="Tahoma"/>
                <w:b/>
                <w:bCs/>
                <w:i/>
                <w:iCs/>
                <w:sz w:val="20"/>
                <w:szCs w:val="20"/>
              </w:rPr>
            </w:pPr>
            <w:r w:rsidRPr="00B004EE">
              <w:rPr>
                <w:rFonts w:ascii="Tahoma" w:hAnsi="Tahoma" w:cs="Tahoma"/>
                <w:b/>
                <w:bCs/>
                <w:i/>
                <w:iCs/>
                <w:sz w:val="20"/>
                <w:szCs w:val="20"/>
              </w:rPr>
              <w:t>Poissons</w:t>
            </w:r>
            <w:r w:rsidR="00DB1635" w:rsidRPr="00B004EE">
              <w:rPr>
                <w:rFonts w:ascii="Tahoma" w:hAnsi="Tahoma" w:cs="Tahoma"/>
                <w:b/>
                <w:bCs/>
                <w:i/>
                <w:iCs/>
                <w:sz w:val="20"/>
                <w:szCs w:val="20"/>
              </w:rPr>
              <w:t xml:space="preserve"> </w:t>
            </w:r>
            <w:r w:rsidRPr="00B004EE">
              <w:rPr>
                <w:rFonts w:ascii="Tahoma" w:hAnsi="Tahoma" w:cs="Tahoma"/>
                <w:b/>
                <w:i/>
                <w:iCs/>
                <w:sz w:val="20"/>
                <w:szCs w:val="20"/>
              </w:rPr>
              <w:t>démersaux</w:t>
            </w:r>
          </w:p>
        </w:tc>
        <w:tc>
          <w:tcPr>
            <w:tcW w:w="4787" w:type="dxa"/>
            <w:vMerge/>
            <w:shd w:val="clear" w:color="auto" w:fill="auto"/>
          </w:tcPr>
          <w:p w14:paraId="73FDC619" w14:textId="77777777" w:rsidR="008518B0" w:rsidRPr="00B004EE" w:rsidRDefault="008518B0" w:rsidP="00B004EE">
            <w:pPr>
              <w:rPr>
                <w:rFonts w:ascii="Tahoma" w:hAnsi="Tahoma" w:cs="Tahoma"/>
                <w:sz w:val="20"/>
                <w:szCs w:val="20"/>
              </w:rPr>
            </w:pPr>
          </w:p>
        </w:tc>
      </w:tr>
      <w:tr w:rsidR="00526DF0" w:rsidRPr="00B004EE" w14:paraId="2EBC5A76" w14:textId="77777777" w:rsidTr="00767386">
        <w:trPr>
          <w:trHeight w:val="286"/>
        </w:trPr>
        <w:tc>
          <w:tcPr>
            <w:tcW w:w="1560" w:type="dxa"/>
            <w:vMerge w:val="restart"/>
            <w:shd w:val="clear" w:color="auto" w:fill="auto"/>
          </w:tcPr>
          <w:p w14:paraId="148B148B" w14:textId="77777777" w:rsidR="00526DF0" w:rsidRPr="00B004EE" w:rsidRDefault="00526DF0" w:rsidP="00B004EE">
            <w:pPr>
              <w:jc w:val="both"/>
              <w:rPr>
                <w:rFonts w:ascii="Tahoma" w:hAnsi="Tahoma" w:cs="Tahoma"/>
                <w:b/>
                <w:bCs/>
                <w:i/>
                <w:iCs/>
                <w:sz w:val="20"/>
                <w:szCs w:val="20"/>
              </w:rPr>
            </w:pPr>
          </w:p>
        </w:tc>
        <w:tc>
          <w:tcPr>
            <w:tcW w:w="8189" w:type="dxa"/>
            <w:gridSpan w:val="2"/>
            <w:shd w:val="clear" w:color="auto" w:fill="auto"/>
          </w:tcPr>
          <w:p w14:paraId="369FE260" w14:textId="5650B7E3" w:rsidR="00526DF0" w:rsidRPr="00B004EE" w:rsidRDefault="00526DF0" w:rsidP="00B004EE">
            <w:pPr>
              <w:rPr>
                <w:rFonts w:ascii="Tahoma" w:hAnsi="Tahoma" w:cs="Tahoma"/>
                <w:sz w:val="20"/>
                <w:szCs w:val="20"/>
              </w:rPr>
            </w:pPr>
            <w:r w:rsidRPr="00B004EE">
              <w:rPr>
                <w:rFonts w:ascii="Tahoma" w:hAnsi="Tahoma" w:cs="Tahoma"/>
                <w:b/>
                <w:i/>
                <w:iCs/>
                <w:sz w:val="20"/>
                <w:szCs w:val="20"/>
              </w:rPr>
              <w:t>Petits pélagiques</w:t>
            </w:r>
          </w:p>
        </w:tc>
      </w:tr>
      <w:tr w:rsidR="00526DF0" w:rsidRPr="00B004EE" w14:paraId="633B6515" w14:textId="77777777" w:rsidTr="00767386">
        <w:trPr>
          <w:trHeight w:val="3079"/>
        </w:trPr>
        <w:tc>
          <w:tcPr>
            <w:tcW w:w="1560" w:type="dxa"/>
            <w:vMerge/>
            <w:shd w:val="clear" w:color="auto" w:fill="auto"/>
          </w:tcPr>
          <w:p w14:paraId="0AE735B1" w14:textId="77777777" w:rsidR="00526DF0" w:rsidRPr="00B004EE" w:rsidRDefault="00526DF0" w:rsidP="00B004EE">
            <w:pPr>
              <w:jc w:val="both"/>
              <w:rPr>
                <w:rFonts w:ascii="Tahoma" w:hAnsi="Tahoma" w:cs="Tahoma"/>
                <w:b/>
                <w:bCs/>
                <w:i/>
                <w:iCs/>
                <w:sz w:val="20"/>
                <w:szCs w:val="20"/>
              </w:rPr>
            </w:pPr>
          </w:p>
        </w:tc>
        <w:tc>
          <w:tcPr>
            <w:tcW w:w="3402" w:type="dxa"/>
            <w:shd w:val="clear" w:color="auto" w:fill="auto"/>
          </w:tcPr>
          <w:p w14:paraId="63036C17" w14:textId="566C10F7" w:rsidR="00526DF0" w:rsidRPr="00B004EE" w:rsidRDefault="00526DF0" w:rsidP="00B004EE">
            <w:pPr>
              <w:rPr>
                <w:rFonts w:ascii="Tahoma" w:hAnsi="Tahoma" w:cs="Tahoma"/>
                <w:b/>
                <w:i/>
                <w:iCs/>
                <w:sz w:val="20"/>
                <w:szCs w:val="20"/>
              </w:rPr>
            </w:pPr>
            <w:r w:rsidRPr="00B004EE">
              <w:rPr>
                <w:rFonts w:ascii="Tahoma" w:hAnsi="Tahoma" w:cs="Tahoma"/>
                <w:i/>
                <w:iCs/>
                <w:sz w:val="20"/>
                <w:szCs w:val="20"/>
                <w:lang w:val="fr-CA"/>
              </w:rPr>
              <w:t xml:space="preserve">Segment 1:Senneurs de moins de 26 m </w:t>
            </w:r>
          </w:p>
        </w:tc>
        <w:tc>
          <w:tcPr>
            <w:tcW w:w="4787" w:type="dxa"/>
            <w:shd w:val="clear" w:color="auto" w:fill="auto"/>
          </w:tcPr>
          <w:p w14:paraId="15568F51" w14:textId="60999BDC" w:rsidR="00526DF0" w:rsidRPr="00B004EE" w:rsidRDefault="00526DF0" w:rsidP="00B004EE">
            <w:pPr>
              <w:jc w:val="right"/>
              <w:rPr>
                <w:rFonts w:ascii="Tahoma" w:hAnsi="Tahoma" w:cs="Tahoma"/>
                <w:b/>
                <w:bCs/>
                <w:sz w:val="20"/>
                <w:szCs w:val="20"/>
              </w:rPr>
            </w:pPr>
            <w:r w:rsidRPr="00B004EE">
              <w:rPr>
                <w:rFonts w:ascii="Tahoma" w:hAnsi="Tahoma" w:cs="Tahoma"/>
                <w:b/>
                <w:bCs/>
                <w:sz w:val="20"/>
                <w:szCs w:val="20"/>
              </w:rPr>
              <w:t>Z2</w:t>
            </w:r>
          </w:p>
          <w:p w14:paraId="34C4CB8D" w14:textId="1C76E0D7" w:rsidR="00526DF0" w:rsidRPr="00B004EE" w:rsidRDefault="00526DF0" w:rsidP="00B004EE">
            <w:pPr>
              <w:rPr>
                <w:rFonts w:ascii="Tahoma" w:hAnsi="Tahoma" w:cs="Tahoma"/>
                <w:sz w:val="20"/>
                <w:szCs w:val="20"/>
              </w:rPr>
            </w:pPr>
            <w:r w:rsidRPr="00B004EE">
              <w:rPr>
                <w:rFonts w:ascii="Tahoma" w:hAnsi="Tahoma" w:cs="Tahoma"/>
                <w:sz w:val="20"/>
                <w:szCs w:val="20"/>
              </w:rPr>
              <w:t>Cette catégorie est autorisée à pêcher dans la ZEE :</w:t>
            </w:r>
          </w:p>
          <w:p w14:paraId="7CC1B1BE" w14:textId="750926DA" w:rsidR="00526DF0" w:rsidRPr="00B004EE" w:rsidRDefault="00526DF0" w:rsidP="00B004EE">
            <w:pPr>
              <w:rPr>
                <w:rFonts w:ascii="Tahoma" w:hAnsi="Tahoma" w:cs="Tahoma"/>
                <w:sz w:val="20"/>
                <w:szCs w:val="20"/>
              </w:rPr>
            </w:pPr>
            <w:r w:rsidRPr="00B004EE">
              <w:rPr>
                <w:rFonts w:ascii="Tahoma" w:hAnsi="Tahoma" w:cs="Tahoma"/>
                <w:sz w:val="20"/>
                <w:szCs w:val="20"/>
              </w:rPr>
              <w:t>-Au nord du Cap Timiris, à l’ouest de la ligne joignant les points suivants :</w:t>
            </w:r>
          </w:p>
          <w:p w14:paraId="2DCCB7D7" w14:textId="284EFE8D" w:rsidR="00526DF0" w:rsidRPr="00B004EE" w:rsidRDefault="00526DF0" w:rsidP="00B004EE">
            <w:pPr>
              <w:rPr>
                <w:rFonts w:ascii="Tahoma" w:hAnsi="Tahoma" w:cs="Tahoma"/>
                <w:sz w:val="20"/>
                <w:szCs w:val="20"/>
                <w:lang w:val="en-US"/>
              </w:rPr>
            </w:pPr>
            <w:r w:rsidRPr="00B004EE">
              <w:rPr>
                <w:rFonts w:ascii="Tahoma" w:hAnsi="Tahoma" w:cs="Tahoma"/>
                <w:sz w:val="20"/>
                <w:szCs w:val="20"/>
                <w:lang w:val="en-US"/>
              </w:rPr>
              <w:t>A    20°46’30N      17°03’00W</w:t>
            </w:r>
          </w:p>
          <w:p w14:paraId="21B589A6" w14:textId="5A37249A" w:rsidR="00526DF0" w:rsidRPr="00B004EE" w:rsidRDefault="00526DF0" w:rsidP="00B004EE">
            <w:pPr>
              <w:rPr>
                <w:rFonts w:ascii="Tahoma" w:hAnsi="Tahoma" w:cs="Tahoma"/>
                <w:sz w:val="20"/>
                <w:szCs w:val="20"/>
                <w:lang w:val="en-US"/>
              </w:rPr>
            </w:pPr>
            <w:r w:rsidRPr="00B004EE">
              <w:rPr>
                <w:rFonts w:ascii="Tahoma" w:hAnsi="Tahoma" w:cs="Tahoma"/>
                <w:sz w:val="20"/>
                <w:szCs w:val="20"/>
                <w:lang w:val="en-US"/>
              </w:rPr>
              <w:t xml:space="preserve">S    19°57’00N      16°45’00W </w:t>
            </w:r>
          </w:p>
          <w:p w14:paraId="4C6E7747" w14:textId="4717ECA5" w:rsidR="00526DF0" w:rsidRPr="00B004EE" w:rsidRDefault="00526DF0" w:rsidP="00B004EE">
            <w:pPr>
              <w:rPr>
                <w:rFonts w:ascii="Tahoma" w:hAnsi="Tahoma" w:cs="Tahoma"/>
                <w:sz w:val="20"/>
                <w:szCs w:val="20"/>
              </w:rPr>
            </w:pPr>
            <w:r w:rsidRPr="00B004EE">
              <w:rPr>
                <w:rFonts w:ascii="Tahoma" w:hAnsi="Tahoma" w:cs="Tahoma"/>
                <w:sz w:val="20"/>
                <w:szCs w:val="20"/>
              </w:rPr>
              <w:t xml:space="preserve">T    19°21’00N      16°45’00W </w:t>
            </w:r>
          </w:p>
          <w:p w14:paraId="44E2ADB1" w14:textId="5F60892B" w:rsidR="00526DF0" w:rsidRPr="00B004EE" w:rsidRDefault="00526DF0" w:rsidP="00B004EE">
            <w:pPr>
              <w:rPr>
                <w:rFonts w:ascii="Tahoma" w:hAnsi="Tahoma" w:cs="Tahoma"/>
                <w:sz w:val="20"/>
                <w:szCs w:val="20"/>
              </w:rPr>
            </w:pPr>
            <w:r w:rsidRPr="00B004EE">
              <w:rPr>
                <w:rFonts w:ascii="Tahoma" w:hAnsi="Tahoma" w:cs="Tahoma"/>
                <w:sz w:val="20"/>
                <w:szCs w:val="20"/>
              </w:rPr>
              <w:t xml:space="preserve">A = Cap Blanc </w:t>
            </w:r>
          </w:p>
          <w:p w14:paraId="472E4368" w14:textId="657769FA" w:rsidR="00526DF0" w:rsidRPr="00B004EE" w:rsidRDefault="00526DF0" w:rsidP="00B004EE">
            <w:pPr>
              <w:rPr>
                <w:rFonts w:ascii="Tahoma" w:hAnsi="Tahoma" w:cs="Tahoma"/>
                <w:sz w:val="20"/>
                <w:szCs w:val="20"/>
              </w:rPr>
            </w:pPr>
            <w:r w:rsidRPr="00B004EE">
              <w:rPr>
                <w:rFonts w:ascii="Tahoma" w:hAnsi="Tahoma" w:cs="Tahoma"/>
                <w:sz w:val="20"/>
                <w:szCs w:val="20"/>
              </w:rPr>
              <w:t xml:space="preserve">S = intersection de la ligne de base Cap Blanc Cap Timiris avec la frontière Ouest du PNBA) et </w:t>
            </w:r>
          </w:p>
          <w:p w14:paraId="54DCBA08" w14:textId="496F1277" w:rsidR="00526DF0" w:rsidRPr="00B004EE" w:rsidRDefault="00526DF0" w:rsidP="00B004EE">
            <w:pPr>
              <w:rPr>
                <w:rFonts w:ascii="Tahoma" w:hAnsi="Tahoma" w:cs="Tahoma"/>
                <w:sz w:val="20"/>
                <w:szCs w:val="20"/>
              </w:rPr>
            </w:pPr>
            <w:r w:rsidRPr="00B004EE">
              <w:rPr>
                <w:rFonts w:ascii="Tahoma" w:hAnsi="Tahoma" w:cs="Tahoma"/>
                <w:sz w:val="20"/>
                <w:szCs w:val="20"/>
              </w:rPr>
              <w:t>T = pointe Sud-Ouest de la frontière du PNBA) ;</w:t>
            </w:r>
          </w:p>
          <w:p w14:paraId="32D9A929" w14:textId="5CC52D51" w:rsidR="00526DF0" w:rsidRPr="00B004EE" w:rsidRDefault="00526DF0" w:rsidP="00B004EE">
            <w:pPr>
              <w:rPr>
                <w:rFonts w:ascii="Tahoma" w:hAnsi="Tahoma" w:cs="Tahoma"/>
                <w:sz w:val="20"/>
                <w:szCs w:val="20"/>
              </w:rPr>
            </w:pPr>
            <w:r w:rsidRPr="00B004EE">
              <w:rPr>
                <w:rFonts w:ascii="Tahoma" w:hAnsi="Tahoma" w:cs="Tahoma"/>
                <w:sz w:val="20"/>
                <w:szCs w:val="20"/>
              </w:rPr>
              <w:t>Au sud du parallèle 19°21’00N (Cap Timiris) à l’ouest de ligne de 3 miles</w:t>
            </w:r>
          </w:p>
        </w:tc>
      </w:tr>
      <w:tr w:rsidR="00150C90" w:rsidRPr="00B004EE" w14:paraId="6B043688" w14:textId="77777777" w:rsidTr="00767386">
        <w:trPr>
          <w:trHeight w:val="1170"/>
        </w:trPr>
        <w:tc>
          <w:tcPr>
            <w:tcW w:w="1560" w:type="dxa"/>
            <w:vMerge w:val="restart"/>
            <w:shd w:val="clear" w:color="auto" w:fill="auto"/>
          </w:tcPr>
          <w:p w14:paraId="78A1B2A3" w14:textId="77777777" w:rsidR="008518B0" w:rsidRPr="00B004EE" w:rsidRDefault="008518B0" w:rsidP="00B004EE">
            <w:pPr>
              <w:jc w:val="both"/>
              <w:rPr>
                <w:rFonts w:ascii="Tahoma" w:hAnsi="Tahoma" w:cs="Tahoma"/>
                <w:b/>
                <w:bCs/>
                <w:i/>
                <w:iCs/>
                <w:sz w:val="20"/>
                <w:szCs w:val="20"/>
              </w:rPr>
            </w:pPr>
          </w:p>
        </w:tc>
        <w:tc>
          <w:tcPr>
            <w:tcW w:w="3402" w:type="dxa"/>
            <w:shd w:val="clear" w:color="auto" w:fill="auto"/>
          </w:tcPr>
          <w:p w14:paraId="6E4F1983" w14:textId="3FBECF12" w:rsidR="008518B0" w:rsidRPr="00B004EE" w:rsidRDefault="008518B0" w:rsidP="00B004EE">
            <w:pPr>
              <w:rPr>
                <w:rFonts w:ascii="Tahoma" w:hAnsi="Tahoma" w:cs="Tahoma"/>
                <w:i/>
                <w:iCs/>
                <w:sz w:val="20"/>
                <w:szCs w:val="20"/>
                <w:lang w:val="fr-CA"/>
              </w:rPr>
            </w:pPr>
            <w:r w:rsidRPr="00B004EE">
              <w:rPr>
                <w:rFonts w:ascii="Tahoma" w:hAnsi="Tahoma" w:cs="Tahoma"/>
                <w:i/>
                <w:iCs/>
                <w:sz w:val="20"/>
                <w:szCs w:val="20"/>
                <w:lang w:val="fr-CA"/>
              </w:rPr>
              <w:t>Segment</w:t>
            </w:r>
            <w:r w:rsidR="00DB1635" w:rsidRPr="00B004EE">
              <w:rPr>
                <w:rFonts w:ascii="Tahoma" w:hAnsi="Tahoma" w:cs="Tahoma"/>
                <w:i/>
                <w:iCs/>
                <w:sz w:val="20"/>
                <w:szCs w:val="20"/>
                <w:lang w:val="fr-CA"/>
              </w:rPr>
              <w:t xml:space="preserve"> </w:t>
            </w:r>
            <w:r w:rsidRPr="00B004EE">
              <w:rPr>
                <w:rFonts w:ascii="Tahoma" w:hAnsi="Tahoma" w:cs="Tahoma"/>
                <w:i/>
                <w:iCs/>
                <w:sz w:val="20"/>
                <w:szCs w:val="20"/>
                <w:lang w:val="fr-CA"/>
              </w:rPr>
              <w:t>2</w:t>
            </w:r>
            <w:r w:rsidR="00DB1635" w:rsidRPr="00B004EE">
              <w:rPr>
                <w:rFonts w:ascii="Tahoma" w:hAnsi="Tahoma" w:cs="Tahoma"/>
                <w:i/>
                <w:iCs/>
                <w:sz w:val="20"/>
                <w:szCs w:val="20"/>
                <w:lang w:val="fr-CA"/>
              </w:rPr>
              <w:t xml:space="preserve"> </w:t>
            </w:r>
            <w:r w:rsidRPr="00B004EE">
              <w:rPr>
                <w:rFonts w:ascii="Tahoma" w:hAnsi="Tahoma" w:cs="Tahoma"/>
                <w:i/>
                <w:iCs/>
                <w:sz w:val="20"/>
                <w:szCs w:val="20"/>
                <w:lang w:val="fr-CA"/>
              </w:rPr>
              <w:t>:</w:t>
            </w:r>
            <w:r w:rsidR="00DB1635" w:rsidRPr="00B004EE">
              <w:rPr>
                <w:rFonts w:ascii="Tahoma" w:hAnsi="Tahoma" w:cs="Tahoma"/>
                <w:i/>
                <w:iCs/>
                <w:sz w:val="20"/>
                <w:szCs w:val="20"/>
                <w:lang w:val="fr-CA"/>
              </w:rPr>
              <w:t xml:space="preserve"> </w:t>
            </w:r>
            <w:r w:rsidRPr="00B004EE">
              <w:rPr>
                <w:rFonts w:ascii="Tahoma" w:hAnsi="Tahoma" w:cs="Tahoma"/>
                <w:i/>
                <w:iCs/>
                <w:sz w:val="20"/>
                <w:szCs w:val="20"/>
                <w:lang w:val="fr-CA"/>
              </w:rPr>
              <w:t>Senneurs</w:t>
            </w:r>
            <w:r w:rsidR="00DB1635" w:rsidRPr="00B004EE">
              <w:rPr>
                <w:rFonts w:ascii="Tahoma" w:hAnsi="Tahoma" w:cs="Tahoma"/>
                <w:i/>
                <w:iCs/>
                <w:sz w:val="20"/>
                <w:szCs w:val="20"/>
                <w:lang w:val="fr-CA"/>
              </w:rPr>
              <w:t xml:space="preserve"> </w:t>
            </w:r>
            <w:r w:rsidRPr="00B004EE">
              <w:rPr>
                <w:rFonts w:ascii="Tahoma" w:hAnsi="Tahoma" w:cs="Tahoma"/>
                <w:i/>
                <w:iCs/>
                <w:sz w:val="20"/>
                <w:szCs w:val="20"/>
                <w:lang w:val="fr-CA"/>
              </w:rPr>
              <w:t>de</w:t>
            </w:r>
            <w:r w:rsidR="00DB1635" w:rsidRPr="00B004EE">
              <w:rPr>
                <w:rFonts w:ascii="Tahoma" w:hAnsi="Tahoma" w:cs="Tahoma"/>
                <w:i/>
                <w:iCs/>
                <w:sz w:val="20"/>
                <w:szCs w:val="20"/>
                <w:lang w:val="fr-CA"/>
              </w:rPr>
              <w:t xml:space="preserve"> </w:t>
            </w:r>
            <w:r w:rsidRPr="00B004EE">
              <w:rPr>
                <w:rFonts w:ascii="Tahoma" w:hAnsi="Tahoma" w:cs="Tahoma"/>
                <w:i/>
                <w:iCs/>
                <w:sz w:val="20"/>
                <w:szCs w:val="20"/>
                <w:lang w:val="fr-CA"/>
              </w:rPr>
              <w:t>26</w:t>
            </w:r>
            <w:r w:rsidR="00DB1635" w:rsidRPr="00B004EE">
              <w:rPr>
                <w:rFonts w:ascii="Tahoma" w:hAnsi="Tahoma" w:cs="Tahoma"/>
                <w:i/>
                <w:iCs/>
                <w:sz w:val="20"/>
                <w:szCs w:val="20"/>
                <w:lang w:val="fr-CA"/>
              </w:rPr>
              <w:t xml:space="preserve"> </w:t>
            </w:r>
            <w:r w:rsidRPr="00B004EE">
              <w:rPr>
                <w:rFonts w:ascii="Tahoma" w:hAnsi="Tahoma" w:cs="Tahoma"/>
                <w:i/>
                <w:iCs/>
                <w:sz w:val="20"/>
                <w:szCs w:val="20"/>
                <w:lang w:val="fr-CA"/>
              </w:rPr>
              <w:t>à</w:t>
            </w:r>
            <w:r w:rsidR="00DB1635" w:rsidRPr="00B004EE">
              <w:rPr>
                <w:rFonts w:ascii="Tahoma" w:hAnsi="Tahoma" w:cs="Tahoma"/>
                <w:i/>
                <w:iCs/>
                <w:sz w:val="20"/>
                <w:szCs w:val="20"/>
                <w:lang w:val="fr-CA"/>
              </w:rPr>
              <w:t xml:space="preserve"> </w:t>
            </w:r>
            <w:r w:rsidRPr="00B004EE">
              <w:rPr>
                <w:rFonts w:ascii="Tahoma" w:hAnsi="Tahoma" w:cs="Tahoma"/>
                <w:i/>
                <w:iCs/>
                <w:sz w:val="20"/>
                <w:szCs w:val="20"/>
                <w:lang w:val="fr-CA"/>
              </w:rPr>
              <w:t>40m</w:t>
            </w:r>
          </w:p>
        </w:tc>
        <w:tc>
          <w:tcPr>
            <w:tcW w:w="4787" w:type="dxa"/>
            <w:shd w:val="clear" w:color="auto" w:fill="auto"/>
          </w:tcPr>
          <w:p w14:paraId="6B92B1FF" w14:textId="564EB04C" w:rsidR="008518B0" w:rsidRPr="00B004EE" w:rsidRDefault="008518B0" w:rsidP="00B004EE">
            <w:pPr>
              <w:jc w:val="right"/>
              <w:rPr>
                <w:rFonts w:ascii="Tahoma" w:hAnsi="Tahoma" w:cs="Tahoma"/>
                <w:b/>
                <w:bCs/>
                <w:sz w:val="20"/>
                <w:szCs w:val="20"/>
                <w:lang w:val="fr-CA"/>
              </w:rPr>
            </w:pPr>
            <w:r w:rsidRPr="00B004EE">
              <w:rPr>
                <w:rFonts w:ascii="Tahoma" w:hAnsi="Tahoma" w:cs="Tahoma"/>
                <w:b/>
                <w:bCs/>
                <w:sz w:val="20"/>
                <w:szCs w:val="20"/>
                <w:lang w:val="fr-CA"/>
              </w:rPr>
              <w:t>Z</w:t>
            </w:r>
            <w:r w:rsidR="00526DF0" w:rsidRPr="00B004EE">
              <w:rPr>
                <w:rFonts w:ascii="Tahoma" w:hAnsi="Tahoma" w:cs="Tahoma"/>
                <w:b/>
                <w:bCs/>
                <w:sz w:val="20"/>
                <w:szCs w:val="20"/>
                <w:lang w:val="fr-CA"/>
              </w:rPr>
              <w:t>3</w:t>
            </w:r>
          </w:p>
          <w:p w14:paraId="75C363C4" w14:textId="37D3689C" w:rsidR="008518B0" w:rsidRPr="00B004EE" w:rsidRDefault="008518B0" w:rsidP="00B004EE">
            <w:pPr>
              <w:rPr>
                <w:rFonts w:ascii="Tahoma" w:hAnsi="Tahoma" w:cs="Tahoma"/>
                <w:sz w:val="20"/>
                <w:szCs w:val="20"/>
                <w:lang w:val="fr-CA"/>
              </w:rPr>
            </w:pPr>
            <w:r w:rsidRPr="00B004EE">
              <w:rPr>
                <w:rFonts w:ascii="Tahoma" w:hAnsi="Tahoma" w:cs="Tahoma"/>
                <w:sz w:val="20"/>
                <w:szCs w:val="20"/>
                <w:lang w:val="fr-CA"/>
              </w:rPr>
              <w:t>Ce</w:t>
            </w:r>
            <w:r w:rsidR="00DB1635" w:rsidRPr="00B004EE">
              <w:rPr>
                <w:rFonts w:ascii="Tahoma" w:hAnsi="Tahoma" w:cs="Tahoma"/>
                <w:sz w:val="20"/>
                <w:szCs w:val="20"/>
                <w:lang w:val="fr-CA"/>
              </w:rPr>
              <w:t xml:space="preserve"> </w:t>
            </w:r>
            <w:r w:rsidRPr="00B004EE">
              <w:rPr>
                <w:rFonts w:ascii="Tahoma" w:hAnsi="Tahoma" w:cs="Tahoma"/>
                <w:sz w:val="20"/>
                <w:szCs w:val="20"/>
                <w:lang w:val="fr-CA"/>
              </w:rPr>
              <w:t>type</w:t>
            </w:r>
            <w:r w:rsidR="00DB1635" w:rsidRPr="00B004EE">
              <w:rPr>
                <w:rFonts w:ascii="Tahoma" w:hAnsi="Tahoma" w:cs="Tahoma"/>
                <w:sz w:val="20"/>
                <w:szCs w:val="20"/>
                <w:lang w:val="fr-CA"/>
              </w:rPr>
              <w:t xml:space="preserve"> </w:t>
            </w:r>
            <w:r w:rsidRPr="00B004EE">
              <w:rPr>
                <w:rFonts w:ascii="Tahoma" w:hAnsi="Tahoma" w:cs="Tahoma"/>
                <w:sz w:val="20"/>
                <w:szCs w:val="20"/>
                <w:lang w:val="fr-CA"/>
              </w:rPr>
              <w:t>de</w:t>
            </w:r>
            <w:r w:rsidR="00DB1635" w:rsidRPr="00B004EE">
              <w:rPr>
                <w:rFonts w:ascii="Tahoma" w:hAnsi="Tahoma" w:cs="Tahoma"/>
                <w:sz w:val="20"/>
                <w:szCs w:val="20"/>
                <w:lang w:val="fr-CA"/>
              </w:rPr>
              <w:t xml:space="preserve"> </w:t>
            </w:r>
            <w:r w:rsidRPr="00B004EE">
              <w:rPr>
                <w:rFonts w:ascii="Tahoma" w:hAnsi="Tahoma" w:cs="Tahoma"/>
                <w:sz w:val="20"/>
                <w:szCs w:val="20"/>
                <w:lang w:val="fr-CA"/>
              </w:rPr>
              <w:t>pêche</w:t>
            </w:r>
            <w:r w:rsidR="00DB1635" w:rsidRPr="00B004EE">
              <w:rPr>
                <w:rFonts w:ascii="Tahoma" w:hAnsi="Tahoma" w:cs="Tahoma"/>
                <w:sz w:val="20"/>
                <w:szCs w:val="20"/>
                <w:lang w:val="fr-CA"/>
              </w:rPr>
              <w:t xml:space="preserve"> </w:t>
            </w:r>
            <w:r w:rsidRPr="00B004EE">
              <w:rPr>
                <w:rFonts w:ascii="Tahoma" w:hAnsi="Tahoma" w:cs="Tahoma"/>
                <w:sz w:val="20"/>
                <w:szCs w:val="20"/>
                <w:lang w:val="fr-CA"/>
              </w:rPr>
              <w:t>à</w:t>
            </w:r>
            <w:r w:rsidR="00DB1635" w:rsidRPr="00B004EE">
              <w:rPr>
                <w:rFonts w:ascii="Tahoma" w:hAnsi="Tahoma" w:cs="Tahoma"/>
                <w:sz w:val="20"/>
                <w:szCs w:val="20"/>
                <w:lang w:val="fr-CA"/>
              </w:rPr>
              <w:t xml:space="preserve"> </w:t>
            </w:r>
            <w:r w:rsidRPr="00B004EE">
              <w:rPr>
                <w:rFonts w:ascii="Tahoma" w:hAnsi="Tahoma" w:cs="Tahoma"/>
                <w:sz w:val="20"/>
                <w:szCs w:val="20"/>
                <w:lang w:val="fr-CA"/>
              </w:rPr>
              <w:t>la</w:t>
            </w:r>
            <w:r w:rsidR="00DB1635" w:rsidRPr="00B004EE">
              <w:rPr>
                <w:rFonts w:ascii="Tahoma" w:hAnsi="Tahoma" w:cs="Tahoma"/>
                <w:sz w:val="20"/>
                <w:szCs w:val="20"/>
                <w:lang w:val="fr-CA"/>
              </w:rPr>
              <w:t xml:space="preserve"> </w:t>
            </w:r>
            <w:r w:rsidRPr="00B004EE">
              <w:rPr>
                <w:rFonts w:ascii="Tahoma" w:hAnsi="Tahoma" w:cs="Tahoma"/>
                <w:sz w:val="20"/>
                <w:szCs w:val="20"/>
                <w:lang w:val="fr-CA"/>
              </w:rPr>
              <w:t>senne</w:t>
            </w:r>
            <w:r w:rsidR="00DB1635" w:rsidRPr="00B004EE">
              <w:rPr>
                <w:rFonts w:ascii="Tahoma" w:hAnsi="Tahoma" w:cs="Tahoma"/>
                <w:sz w:val="20"/>
                <w:szCs w:val="20"/>
                <w:lang w:val="fr-CA"/>
              </w:rPr>
              <w:t xml:space="preserve"> </w:t>
            </w:r>
            <w:r w:rsidRPr="00B004EE">
              <w:rPr>
                <w:rFonts w:ascii="Tahoma" w:hAnsi="Tahoma" w:cs="Tahoma"/>
                <w:sz w:val="20"/>
                <w:szCs w:val="20"/>
                <w:lang w:val="fr-CA"/>
              </w:rPr>
              <w:t>est</w:t>
            </w:r>
            <w:r w:rsidR="00DB1635" w:rsidRPr="00B004EE">
              <w:rPr>
                <w:rFonts w:ascii="Tahoma" w:hAnsi="Tahoma" w:cs="Tahoma"/>
                <w:sz w:val="20"/>
                <w:szCs w:val="20"/>
                <w:lang w:val="fr-CA"/>
              </w:rPr>
              <w:t xml:space="preserve"> </w:t>
            </w:r>
            <w:r w:rsidRPr="00B004EE">
              <w:rPr>
                <w:rFonts w:ascii="Tahoma" w:hAnsi="Tahoma" w:cs="Tahoma"/>
                <w:sz w:val="20"/>
                <w:szCs w:val="20"/>
                <w:lang w:val="fr-CA"/>
              </w:rPr>
              <w:t>autorisé</w:t>
            </w:r>
            <w:r w:rsidR="00DB1635" w:rsidRPr="00B004EE">
              <w:rPr>
                <w:rFonts w:ascii="Tahoma" w:hAnsi="Tahoma" w:cs="Tahoma"/>
                <w:sz w:val="20"/>
                <w:szCs w:val="20"/>
                <w:lang w:val="fr-CA"/>
              </w:rPr>
              <w:t xml:space="preserve"> </w:t>
            </w:r>
            <w:r w:rsidRPr="00B004EE">
              <w:rPr>
                <w:rFonts w:ascii="Tahoma" w:hAnsi="Tahoma" w:cs="Tahoma"/>
                <w:sz w:val="20"/>
                <w:szCs w:val="20"/>
                <w:lang w:val="fr-CA"/>
              </w:rPr>
              <w:t>:</w:t>
            </w:r>
          </w:p>
          <w:p w14:paraId="63D75834" w14:textId="0742386D" w:rsidR="008518B0" w:rsidRPr="00B004EE" w:rsidRDefault="008518B0" w:rsidP="00B004EE">
            <w:pPr>
              <w:rPr>
                <w:rFonts w:ascii="Tahoma" w:hAnsi="Tahoma" w:cs="Tahoma"/>
                <w:sz w:val="20"/>
                <w:szCs w:val="20"/>
              </w:rPr>
            </w:pP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nord</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19°19.12N,</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l’ouest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ligne</w:t>
            </w:r>
            <w:r w:rsidR="00DB1635" w:rsidRPr="00B004EE">
              <w:rPr>
                <w:rFonts w:ascii="Tahoma" w:hAnsi="Tahoma" w:cs="Tahoma"/>
                <w:sz w:val="20"/>
                <w:szCs w:val="20"/>
              </w:rPr>
              <w:t xml:space="preserve"> </w:t>
            </w:r>
            <w:r w:rsidRPr="00B004EE">
              <w:rPr>
                <w:rFonts w:ascii="Tahoma" w:hAnsi="Tahoma" w:cs="Tahoma"/>
                <w:sz w:val="20"/>
                <w:szCs w:val="20"/>
              </w:rPr>
              <w:t>définie</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points</w:t>
            </w:r>
            <w:r w:rsidR="00DB1635" w:rsidRPr="00B004EE">
              <w:rPr>
                <w:rFonts w:ascii="Tahoma" w:hAnsi="Tahoma" w:cs="Tahoma"/>
                <w:sz w:val="20"/>
                <w:szCs w:val="20"/>
              </w:rPr>
              <w:t xml:space="preserve"> </w:t>
            </w:r>
            <w:r w:rsidRPr="00B004EE">
              <w:rPr>
                <w:rFonts w:ascii="Tahoma" w:hAnsi="Tahoma" w:cs="Tahoma"/>
                <w:sz w:val="20"/>
                <w:szCs w:val="20"/>
              </w:rPr>
              <w:t>suivants</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p>
          <w:p w14:paraId="575FA26C" w14:textId="48BD37E1" w:rsidR="008518B0" w:rsidRPr="00B004EE" w:rsidRDefault="008518B0" w:rsidP="00B004EE">
            <w:pPr>
              <w:rPr>
                <w:rFonts w:ascii="Tahoma" w:hAnsi="Tahoma" w:cs="Tahoma"/>
                <w:sz w:val="20"/>
                <w:szCs w:val="20"/>
                <w:lang w:val="pt-PT"/>
              </w:rPr>
            </w:pPr>
            <w:r w:rsidRPr="00B004EE">
              <w:rPr>
                <w:rFonts w:ascii="Tahoma" w:hAnsi="Tahoma" w:cs="Tahoma"/>
                <w:sz w:val="20"/>
                <w:szCs w:val="20"/>
                <w:lang w:val="pt-PT"/>
              </w:rPr>
              <w:t>A</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20°</w:t>
            </w:r>
            <w:r w:rsidR="00DB1635" w:rsidRPr="00B004EE">
              <w:rPr>
                <w:rFonts w:ascii="Tahoma" w:hAnsi="Tahoma" w:cs="Tahoma"/>
                <w:sz w:val="20"/>
                <w:szCs w:val="20"/>
                <w:lang w:val="pt-PT"/>
              </w:rPr>
              <w:t xml:space="preserve"> </w:t>
            </w:r>
            <w:r w:rsidRPr="00B004EE">
              <w:rPr>
                <w:rFonts w:ascii="Tahoma" w:hAnsi="Tahoma" w:cs="Tahoma"/>
                <w:sz w:val="20"/>
                <w:szCs w:val="20"/>
                <w:lang w:val="pt-PT"/>
              </w:rPr>
              <w:t>46.500'N</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17°</w:t>
            </w:r>
            <w:r w:rsidR="00DB1635" w:rsidRPr="00B004EE">
              <w:rPr>
                <w:rFonts w:ascii="Tahoma" w:hAnsi="Tahoma" w:cs="Tahoma"/>
                <w:sz w:val="20"/>
                <w:szCs w:val="20"/>
                <w:lang w:val="pt-PT"/>
              </w:rPr>
              <w:t xml:space="preserve"> </w:t>
            </w:r>
            <w:r w:rsidRPr="00B004EE">
              <w:rPr>
                <w:rFonts w:ascii="Tahoma" w:hAnsi="Tahoma" w:cs="Tahoma"/>
                <w:sz w:val="20"/>
                <w:szCs w:val="20"/>
                <w:lang w:val="pt-PT"/>
              </w:rPr>
              <w:t>03.000'W</w:t>
            </w:r>
          </w:p>
          <w:p w14:paraId="0AE6F9C8" w14:textId="41117C03" w:rsidR="008518B0" w:rsidRPr="00B004EE" w:rsidRDefault="008518B0" w:rsidP="00B004EE">
            <w:pPr>
              <w:rPr>
                <w:rFonts w:ascii="Tahoma" w:hAnsi="Tahoma" w:cs="Tahoma"/>
                <w:sz w:val="20"/>
                <w:szCs w:val="20"/>
                <w:lang w:val="pt-PT"/>
              </w:rPr>
            </w:pPr>
            <w:r w:rsidRPr="00B004EE">
              <w:rPr>
                <w:rFonts w:ascii="Tahoma" w:hAnsi="Tahoma" w:cs="Tahoma"/>
                <w:sz w:val="20"/>
                <w:szCs w:val="20"/>
                <w:lang w:val="pt-PT"/>
              </w:rPr>
              <w:t>B</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20°</w:t>
            </w:r>
            <w:r w:rsidR="00DB1635" w:rsidRPr="00B004EE">
              <w:rPr>
                <w:rFonts w:ascii="Tahoma" w:hAnsi="Tahoma" w:cs="Tahoma"/>
                <w:sz w:val="20"/>
                <w:szCs w:val="20"/>
                <w:lang w:val="pt-PT"/>
              </w:rPr>
              <w:t xml:space="preserve"> </w:t>
            </w:r>
            <w:r w:rsidRPr="00B004EE">
              <w:rPr>
                <w:rFonts w:ascii="Tahoma" w:hAnsi="Tahoma" w:cs="Tahoma"/>
                <w:sz w:val="20"/>
                <w:szCs w:val="20"/>
                <w:lang w:val="pt-PT"/>
              </w:rPr>
              <w:t>40.000'N</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17°</w:t>
            </w:r>
            <w:r w:rsidR="00DB1635" w:rsidRPr="00B004EE">
              <w:rPr>
                <w:rFonts w:ascii="Tahoma" w:hAnsi="Tahoma" w:cs="Tahoma"/>
                <w:sz w:val="20"/>
                <w:szCs w:val="20"/>
                <w:lang w:val="pt-PT"/>
              </w:rPr>
              <w:t xml:space="preserve"> </w:t>
            </w:r>
            <w:r w:rsidRPr="00B004EE">
              <w:rPr>
                <w:rFonts w:ascii="Tahoma" w:hAnsi="Tahoma" w:cs="Tahoma"/>
                <w:sz w:val="20"/>
                <w:szCs w:val="20"/>
                <w:lang w:val="pt-PT"/>
              </w:rPr>
              <w:t>08.500'W</w:t>
            </w:r>
          </w:p>
          <w:p w14:paraId="5A091A63" w14:textId="59AC1874" w:rsidR="008518B0" w:rsidRPr="00B004EE" w:rsidRDefault="008518B0" w:rsidP="00B004EE">
            <w:pPr>
              <w:rPr>
                <w:rFonts w:ascii="Tahoma" w:hAnsi="Tahoma" w:cs="Tahoma"/>
                <w:sz w:val="20"/>
                <w:szCs w:val="20"/>
                <w:lang w:val="pt-PT"/>
              </w:rPr>
            </w:pPr>
            <w:r w:rsidRPr="00B004EE">
              <w:rPr>
                <w:rFonts w:ascii="Tahoma" w:hAnsi="Tahoma" w:cs="Tahoma"/>
                <w:sz w:val="20"/>
                <w:szCs w:val="20"/>
                <w:lang w:val="pt-PT"/>
              </w:rPr>
              <w:t>F</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20°</w:t>
            </w:r>
            <w:r w:rsidR="00DB1635" w:rsidRPr="00B004EE">
              <w:rPr>
                <w:rFonts w:ascii="Tahoma" w:hAnsi="Tahoma" w:cs="Tahoma"/>
                <w:sz w:val="20"/>
                <w:szCs w:val="20"/>
                <w:lang w:val="pt-PT"/>
              </w:rPr>
              <w:t xml:space="preserve"> </w:t>
            </w:r>
            <w:r w:rsidRPr="00B004EE">
              <w:rPr>
                <w:rFonts w:ascii="Tahoma" w:hAnsi="Tahoma" w:cs="Tahoma"/>
                <w:sz w:val="20"/>
                <w:szCs w:val="20"/>
                <w:lang w:val="pt-PT"/>
              </w:rPr>
              <w:t>10.200'N</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17°</w:t>
            </w:r>
            <w:r w:rsidR="00DB1635" w:rsidRPr="00B004EE">
              <w:rPr>
                <w:rFonts w:ascii="Tahoma" w:hAnsi="Tahoma" w:cs="Tahoma"/>
                <w:sz w:val="20"/>
                <w:szCs w:val="20"/>
                <w:lang w:val="pt-PT"/>
              </w:rPr>
              <w:t xml:space="preserve"> </w:t>
            </w:r>
            <w:r w:rsidRPr="00B004EE">
              <w:rPr>
                <w:rFonts w:ascii="Tahoma" w:hAnsi="Tahoma" w:cs="Tahoma"/>
                <w:sz w:val="20"/>
                <w:szCs w:val="20"/>
                <w:lang w:val="pt-PT"/>
              </w:rPr>
              <w:t>16.200'W</w:t>
            </w:r>
          </w:p>
          <w:p w14:paraId="2A4632AA" w14:textId="5CCED6E6" w:rsidR="008518B0" w:rsidRPr="00B004EE" w:rsidRDefault="008518B0" w:rsidP="00B004EE">
            <w:pPr>
              <w:rPr>
                <w:rFonts w:ascii="Tahoma" w:hAnsi="Tahoma" w:cs="Tahoma"/>
                <w:sz w:val="20"/>
                <w:szCs w:val="20"/>
                <w:lang w:val="pt-PT"/>
              </w:rPr>
            </w:pPr>
            <w:r w:rsidRPr="00B004EE">
              <w:rPr>
                <w:rFonts w:ascii="Tahoma" w:hAnsi="Tahoma" w:cs="Tahoma"/>
                <w:sz w:val="20"/>
                <w:szCs w:val="20"/>
                <w:lang w:val="pt-PT"/>
              </w:rPr>
              <w:t>J</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19°</w:t>
            </w:r>
            <w:r w:rsidR="00DB1635" w:rsidRPr="00B004EE">
              <w:rPr>
                <w:rFonts w:ascii="Tahoma" w:hAnsi="Tahoma" w:cs="Tahoma"/>
                <w:sz w:val="20"/>
                <w:szCs w:val="20"/>
                <w:lang w:val="pt-PT"/>
              </w:rPr>
              <w:t xml:space="preserve"> </w:t>
            </w:r>
            <w:r w:rsidRPr="00B004EE">
              <w:rPr>
                <w:rFonts w:ascii="Tahoma" w:hAnsi="Tahoma" w:cs="Tahoma"/>
                <w:sz w:val="20"/>
                <w:szCs w:val="20"/>
                <w:lang w:val="pt-PT"/>
              </w:rPr>
              <w:t>35.400'N</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16°</w:t>
            </w:r>
            <w:r w:rsidR="00DB1635" w:rsidRPr="00B004EE">
              <w:rPr>
                <w:rFonts w:ascii="Tahoma" w:hAnsi="Tahoma" w:cs="Tahoma"/>
                <w:sz w:val="20"/>
                <w:szCs w:val="20"/>
                <w:lang w:val="pt-PT"/>
              </w:rPr>
              <w:t xml:space="preserve"> </w:t>
            </w:r>
            <w:r w:rsidRPr="00B004EE">
              <w:rPr>
                <w:rFonts w:ascii="Tahoma" w:hAnsi="Tahoma" w:cs="Tahoma"/>
                <w:sz w:val="20"/>
                <w:szCs w:val="20"/>
                <w:lang w:val="pt-PT"/>
              </w:rPr>
              <w:t>51.000'W</w:t>
            </w:r>
          </w:p>
          <w:p w14:paraId="62127068" w14:textId="7C128C9C" w:rsidR="008518B0" w:rsidRPr="00B004EE" w:rsidRDefault="008518B0" w:rsidP="00B004EE">
            <w:pPr>
              <w:rPr>
                <w:rFonts w:ascii="Tahoma" w:hAnsi="Tahoma" w:cs="Tahoma"/>
                <w:sz w:val="20"/>
                <w:szCs w:val="20"/>
                <w:lang w:val="pt-PT"/>
              </w:rPr>
            </w:pPr>
            <w:r w:rsidRPr="00B004EE">
              <w:rPr>
                <w:rFonts w:ascii="Tahoma" w:hAnsi="Tahoma" w:cs="Tahoma"/>
                <w:sz w:val="20"/>
                <w:szCs w:val="20"/>
                <w:lang w:val="pt-PT"/>
              </w:rPr>
              <w:t>M</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19°</w:t>
            </w:r>
            <w:r w:rsidR="00DB1635" w:rsidRPr="00B004EE">
              <w:rPr>
                <w:rFonts w:ascii="Tahoma" w:hAnsi="Tahoma" w:cs="Tahoma"/>
                <w:sz w:val="20"/>
                <w:szCs w:val="20"/>
                <w:lang w:val="pt-PT"/>
              </w:rPr>
              <w:t xml:space="preserve"> </w:t>
            </w:r>
            <w:r w:rsidRPr="00B004EE">
              <w:rPr>
                <w:rFonts w:ascii="Tahoma" w:hAnsi="Tahoma" w:cs="Tahoma"/>
                <w:sz w:val="20"/>
                <w:szCs w:val="20"/>
                <w:lang w:val="pt-PT"/>
              </w:rPr>
              <w:t>19.200'N</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16°</w:t>
            </w:r>
            <w:r w:rsidR="00DB1635" w:rsidRPr="00B004EE">
              <w:rPr>
                <w:rFonts w:ascii="Tahoma" w:hAnsi="Tahoma" w:cs="Tahoma"/>
                <w:sz w:val="20"/>
                <w:szCs w:val="20"/>
                <w:lang w:val="pt-PT"/>
              </w:rPr>
              <w:t xml:space="preserve"> </w:t>
            </w:r>
            <w:r w:rsidRPr="00B004EE">
              <w:rPr>
                <w:rFonts w:ascii="Tahoma" w:hAnsi="Tahoma" w:cs="Tahoma"/>
                <w:sz w:val="20"/>
                <w:szCs w:val="20"/>
                <w:lang w:val="pt-PT"/>
              </w:rPr>
              <w:t>45.600'W</w:t>
            </w:r>
          </w:p>
          <w:p w14:paraId="786F3F03" w14:textId="5A58BEEA" w:rsidR="008518B0" w:rsidRPr="00B004EE" w:rsidRDefault="008518B0" w:rsidP="00B004EE">
            <w:pPr>
              <w:rPr>
                <w:rFonts w:ascii="Tahoma" w:hAnsi="Tahoma" w:cs="Tahoma"/>
                <w:sz w:val="20"/>
                <w:szCs w:val="20"/>
                <w:lang w:val="pt-PT"/>
              </w:rPr>
            </w:pPr>
            <w:r w:rsidRPr="00B004EE">
              <w:rPr>
                <w:rFonts w:ascii="Tahoma" w:hAnsi="Tahoma" w:cs="Tahoma"/>
                <w:sz w:val="20"/>
                <w:szCs w:val="20"/>
                <w:lang w:val="pt-PT"/>
              </w:rPr>
              <w:t>K</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19°</w:t>
            </w:r>
            <w:r w:rsidR="00DB1635" w:rsidRPr="00B004EE">
              <w:rPr>
                <w:rFonts w:ascii="Tahoma" w:hAnsi="Tahoma" w:cs="Tahoma"/>
                <w:sz w:val="20"/>
                <w:szCs w:val="20"/>
                <w:lang w:val="pt-PT"/>
              </w:rPr>
              <w:t xml:space="preserve"> </w:t>
            </w:r>
            <w:r w:rsidRPr="00B004EE">
              <w:rPr>
                <w:rFonts w:ascii="Tahoma" w:hAnsi="Tahoma" w:cs="Tahoma"/>
                <w:sz w:val="20"/>
                <w:szCs w:val="20"/>
                <w:lang w:val="pt-PT"/>
              </w:rPr>
              <w:t>19.200'N</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16°</w:t>
            </w:r>
            <w:r w:rsidR="00DB1635" w:rsidRPr="00B004EE">
              <w:rPr>
                <w:rFonts w:ascii="Tahoma" w:hAnsi="Tahoma" w:cs="Tahoma"/>
                <w:sz w:val="20"/>
                <w:szCs w:val="20"/>
                <w:lang w:val="pt-PT"/>
              </w:rPr>
              <w:t xml:space="preserve"> </w:t>
            </w:r>
            <w:r w:rsidRPr="00B004EE">
              <w:rPr>
                <w:rFonts w:ascii="Tahoma" w:hAnsi="Tahoma" w:cs="Tahoma"/>
                <w:sz w:val="20"/>
                <w:szCs w:val="20"/>
                <w:lang w:val="pt-PT"/>
              </w:rPr>
              <w:t>41.000'W</w:t>
            </w:r>
          </w:p>
          <w:p w14:paraId="5ED1523F" w14:textId="7794C243" w:rsidR="008518B0" w:rsidRPr="00B004EE" w:rsidRDefault="008518B0" w:rsidP="00B004EE">
            <w:pPr>
              <w:rPr>
                <w:rFonts w:ascii="Tahoma" w:hAnsi="Tahoma" w:cs="Tahoma"/>
                <w:sz w:val="20"/>
                <w:szCs w:val="20"/>
              </w:rPr>
            </w:pP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sud</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19°19.12N</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jusqu’au</w:t>
            </w:r>
            <w:r w:rsidR="00DB1635" w:rsidRPr="00B004EE">
              <w:rPr>
                <w:rFonts w:ascii="Tahoma" w:hAnsi="Tahoma" w:cs="Tahoma"/>
                <w:sz w:val="20"/>
                <w:szCs w:val="20"/>
              </w:rPr>
              <w:t xml:space="preserve"> </w:t>
            </w:r>
            <w:r w:rsidRPr="00B004EE">
              <w:rPr>
                <w:rFonts w:ascii="Tahoma" w:hAnsi="Tahoma" w:cs="Tahoma"/>
                <w:sz w:val="20"/>
                <w:szCs w:val="20"/>
              </w:rPr>
              <w:t>17°50.00N,</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l’ouest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ligne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9</w:t>
            </w:r>
            <w:r w:rsidR="00DB1635" w:rsidRPr="00B004EE">
              <w:rPr>
                <w:rFonts w:ascii="Tahoma" w:hAnsi="Tahoma" w:cs="Tahoma"/>
                <w:sz w:val="20"/>
                <w:szCs w:val="20"/>
              </w:rPr>
              <w:t xml:space="preserve"> </w:t>
            </w:r>
            <w:r w:rsidRPr="00B004EE">
              <w:rPr>
                <w:rFonts w:ascii="Tahoma" w:hAnsi="Tahoma" w:cs="Tahoma"/>
                <w:sz w:val="20"/>
                <w:szCs w:val="20"/>
              </w:rPr>
              <w:t>miles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distance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ligne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base.</w:t>
            </w:r>
          </w:p>
          <w:p w14:paraId="1F4D13FB" w14:textId="6F067DCA" w:rsidR="008518B0" w:rsidRPr="00B004EE" w:rsidRDefault="008518B0" w:rsidP="00B004EE">
            <w:pPr>
              <w:rPr>
                <w:rFonts w:ascii="Tahoma" w:hAnsi="Tahoma" w:cs="Tahoma"/>
                <w:sz w:val="20"/>
                <w:szCs w:val="20"/>
              </w:rPr>
            </w:pP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sud</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17°50.00N,</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l’ouest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ligne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6</w:t>
            </w:r>
            <w:r w:rsidR="00DB1635" w:rsidRPr="00B004EE">
              <w:rPr>
                <w:rFonts w:ascii="Tahoma" w:hAnsi="Tahoma" w:cs="Tahoma"/>
                <w:sz w:val="20"/>
                <w:szCs w:val="20"/>
              </w:rPr>
              <w:t xml:space="preserve"> </w:t>
            </w:r>
            <w:r w:rsidRPr="00B004EE">
              <w:rPr>
                <w:rFonts w:ascii="Tahoma" w:hAnsi="Tahoma" w:cs="Tahoma"/>
                <w:sz w:val="20"/>
                <w:szCs w:val="20"/>
              </w:rPr>
              <w:t>miles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distance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ligne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base.</w:t>
            </w:r>
          </w:p>
        </w:tc>
      </w:tr>
      <w:tr w:rsidR="00150C90" w:rsidRPr="00B004EE" w14:paraId="7D66810C" w14:textId="77777777" w:rsidTr="00767386">
        <w:trPr>
          <w:trHeight w:val="1170"/>
        </w:trPr>
        <w:tc>
          <w:tcPr>
            <w:tcW w:w="1560" w:type="dxa"/>
            <w:vMerge/>
            <w:shd w:val="clear" w:color="auto" w:fill="auto"/>
          </w:tcPr>
          <w:p w14:paraId="1BAD0202" w14:textId="77777777" w:rsidR="008518B0" w:rsidRPr="00B004EE" w:rsidRDefault="008518B0" w:rsidP="00B004EE">
            <w:pPr>
              <w:jc w:val="both"/>
              <w:rPr>
                <w:rFonts w:ascii="Tahoma" w:hAnsi="Tahoma" w:cs="Tahoma"/>
                <w:b/>
                <w:bCs/>
                <w:i/>
                <w:iCs/>
                <w:sz w:val="20"/>
                <w:szCs w:val="20"/>
              </w:rPr>
            </w:pPr>
          </w:p>
        </w:tc>
        <w:tc>
          <w:tcPr>
            <w:tcW w:w="3402" w:type="dxa"/>
            <w:shd w:val="clear" w:color="auto" w:fill="auto"/>
          </w:tcPr>
          <w:p w14:paraId="5732D147" w14:textId="0A833FED" w:rsidR="008518B0" w:rsidRPr="00B004EE" w:rsidRDefault="008518B0" w:rsidP="00B004EE">
            <w:pPr>
              <w:rPr>
                <w:rFonts w:ascii="Tahoma" w:hAnsi="Tahoma" w:cs="Tahoma"/>
                <w:b/>
                <w:i/>
                <w:iCs/>
                <w:sz w:val="20"/>
                <w:szCs w:val="20"/>
              </w:rPr>
            </w:pPr>
            <w:r w:rsidRPr="00B004EE">
              <w:rPr>
                <w:rFonts w:ascii="Tahoma" w:hAnsi="Tahoma" w:cs="Tahoma"/>
                <w:i/>
                <w:iCs/>
                <w:sz w:val="20"/>
                <w:szCs w:val="20"/>
              </w:rPr>
              <w:t>Segment</w:t>
            </w:r>
            <w:r w:rsidR="00DB1635" w:rsidRPr="00B004EE">
              <w:rPr>
                <w:rFonts w:ascii="Tahoma" w:hAnsi="Tahoma" w:cs="Tahoma"/>
                <w:i/>
                <w:iCs/>
                <w:sz w:val="20"/>
                <w:szCs w:val="20"/>
              </w:rPr>
              <w:t xml:space="preserve"> </w:t>
            </w:r>
            <w:r w:rsidRPr="00B004EE">
              <w:rPr>
                <w:rFonts w:ascii="Tahoma" w:hAnsi="Tahoma" w:cs="Tahoma"/>
                <w:i/>
                <w:iCs/>
                <w:sz w:val="20"/>
                <w:szCs w:val="20"/>
              </w:rPr>
              <w:t>3</w:t>
            </w:r>
            <w:r w:rsidR="00DB1635" w:rsidRPr="00B004EE">
              <w:rPr>
                <w:rFonts w:ascii="Tahoma" w:hAnsi="Tahoma" w:cs="Tahoma"/>
                <w:i/>
                <w:iCs/>
                <w:sz w:val="20"/>
                <w:szCs w:val="20"/>
              </w:rPr>
              <w:t xml:space="preserve"> </w:t>
            </w:r>
            <w:r w:rsidRPr="00B004EE">
              <w:rPr>
                <w:rFonts w:ascii="Tahoma" w:hAnsi="Tahoma" w:cs="Tahoma"/>
                <w:i/>
                <w:iCs/>
                <w:sz w:val="20"/>
                <w:szCs w:val="20"/>
              </w:rPr>
              <w:t>:</w:t>
            </w:r>
            <w:r w:rsidR="00DB1635" w:rsidRPr="00B004EE">
              <w:rPr>
                <w:rFonts w:ascii="Tahoma" w:hAnsi="Tahoma" w:cs="Tahoma"/>
                <w:i/>
                <w:iCs/>
                <w:sz w:val="20"/>
                <w:szCs w:val="20"/>
              </w:rPr>
              <w:t xml:space="preserve"> </w:t>
            </w:r>
            <w:r w:rsidRPr="00B004EE">
              <w:rPr>
                <w:rFonts w:ascii="Tahoma" w:hAnsi="Tahoma" w:cs="Tahoma"/>
                <w:i/>
                <w:iCs/>
                <w:sz w:val="20"/>
                <w:szCs w:val="20"/>
              </w:rPr>
              <w:t>Senneurs</w:t>
            </w:r>
            <w:r w:rsidR="00DB1635" w:rsidRPr="00B004EE">
              <w:rPr>
                <w:rFonts w:ascii="Tahoma" w:hAnsi="Tahoma" w:cs="Tahoma"/>
                <w:i/>
                <w:iCs/>
                <w:sz w:val="20"/>
                <w:szCs w:val="20"/>
              </w:rPr>
              <w:t xml:space="preserve"> </w:t>
            </w:r>
            <w:r w:rsidRPr="00B004EE">
              <w:rPr>
                <w:rFonts w:ascii="Tahoma" w:hAnsi="Tahoma" w:cs="Tahoma"/>
                <w:i/>
                <w:iCs/>
                <w:sz w:val="20"/>
                <w:szCs w:val="20"/>
              </w:rPr>
              <w:t>et</w:t>
            </w:r>
            <w:r w:rsidR="00DB1635" w:rsidRPr="00B004EE">
              <w:rPr>
                <w:rFonts w:ascii="Tahoma" w:hAnsi="Tahoma" w:cs="Tahoma"/>
                <w:i/>
                <w:iCs/>
                <w:sz w:val="20"/>
                <w:szCs w:val="20"/>
              </w:rPr>
              <w:t xml:space="preserve"> </w:t>
            </w:r>
            <w:r w:rsidRPr="00B004EE">
              <w:rPr>
                <w:rFonts w:ascii="Tahoma" w:hAnsi="Tahoma" w:cs="Tahoma"/>
                <w:i/>
                <w:iCs/>
                <w:sz w:val="20"/>
                <w:szCs w:val="20"/>
              </w:rPr>
              <w:t>chalutiers</w:t>
            </w:r>
            <w:r w:rsidR="00DB1635" w:rsidRPr="00B004EE">
              <w:rPr>
                <w:rFonts w:ascii="Tahoma" w:hAnsi="Tahoma" w:cs="Tahoma"/>
                <w:i/>
                <w:iCs/>
                <w:sz w:val="20"/>
                <w:szCs w:val="20"/>
              </w:rPr>
              <w:t xml:space="preserve"> </w:t>
            </w:r>
            <w:r w:rsidRPr="00B004EE">
              <w:rPr>
                <w:rFonts w:ascii="Tahoma" w:hAnsi="Tahoma" w:cs="Tahoma"/>
                <w:i/>
                <w:iCs/>
                <w:sz w:val="20"/>
                <w:szCs w:val="20"/>
              </w:rPr>
              <w:t>pélagiques</w:t>
            </w:r>
            <w:r w:rsidR="00DB1635" w:rsidRPr="00B004EE">
              <w:rPr>
                <w:rFonts w:ascii="Tahoma" w:hAnsi="Tahoma" w:cs="Tahoma"/>
                <w:i/>
                <w:iCs/>
                <w:sz w:val="20"/>
                <w:szCs w:val="20"/>
              </w:rPr>
              <w:t xml:space="preserve"> </w:t>
            </w:r>
            <w:r w:rsidRPr="00B004EE">
              <w:rPr>
                <w:rFonts w:ascii="Tahoma" w:hAnsi="Tahoma" w:cs="Tahoma"/>
                <w:i/>
                <w:iCs/>
                <w:sz w:val="20"/>
                <w:szCs w:val="20"/>
              </w:rPr>
              <w:t>de</w:t>
            </w:r>
            <w:r w:rsidR="00DB1635" w:rsidRPr="00B004EE">
              <w:rPr>
                <w:rFonts w:ascii="Tahoma" w:hAnsi="Tahoma" w:cs="Tahoma"/>
                <w:i/>
                <w:iCs/>
                <w:sz w:val="20"/>
                <w:szCs w:val="20"/>
              </w:rPr>
              <w:t xml:space="preserve"> </w:t>
            </w:r>
            <w:r w:rsidRPr="00B004EE">
              <w:rPr>
                <w:rFonts w:ascii="Tahoma" w:hAnsi="Tahoma" w:cs="Tahoma"/>
                <w:i/>
                <w:iCs/>
                <w:sz w:val="20"/>
                <w:szCs w:val="20"/>
              </w:rPr>
              <w:t>40</w:t>
            </w:r>
            <w:r w:rsidR="00DB1635" w:rsidRPr="00B004EE">
              <w:rPr>
                <w:rFonts w:ascii="Tahoma" w:hAnsi="Tahoma" w:cs="Tahoma"/>
                <w:i/>
                <w:iCs/>
                <w:sz w:val="20"/>
                <w:szCs w:val="20"/>
              </w:rPr>
              <w:t xml:space="preserve"> </w:t>
            </w:r>
            <w:r w:rsidRPr="00B004EE">
              <w:rPr>
                <w:rFonts w:ascii="Tahoma" w:hAnsi="Tahoma" w:cs="Tahoma"/>
                <w:i/>
                <w:iCs/>
                <w:sz w:val="20"/>
                <w:szCs w:val="20"/>
              </w:rPr>
              <w:t>à</w:t>
            </w:r>
            <w:r w:rsidR="00DB1635" w:rsidRPr="00B004EE">
              <w:rPr>
                <w:rFonts w:ascii="Tahoma" w:hAnsi="Tahoma" w:cs="Tahoma"/>
                <w:i/>
                <w:iCs/>
                <w:sz w:val="20"/>
                <w:szCs w:val="20"/>
              </w:rPr>
              <w:t xml:space="preserve"> </w:t>
            </w:r>
            <w:r w:rsidRPr="00B004EE">
              <w:rPr>
                <w:rFonts w:ascii="Tahoma" w:hAnsi="Tahoma" w:cs="Tahoma"/>
                <w:i/>
                <w:iCs/>
                <w:sz w:val="20"/>
                <w:szCs w:val="20"/>
              </w:rPr>
              <w:t>60</w:t>
            </w:r>
            <w:r w:rsidR="00DB1635" w:rsidRPr="00B004EE">
              <w:rPr>
                <w:rFonts w:ascii="Tahoma" w:hAnsi="Tahoma" w:cs="Tahoma"/>
                <w:i/>
                <w:iCs/>
                <w:sz w:val="20"/>
                <w:szCs w:val="20"/>
              </w:rPr>
              <w:t xml:space="preserve"> </w:t>
            </w:r>
            <w:r w:rsidRPr="00B004EE">
              <w:rPr>
                <w:rFonts w:ascii="Tahoma" w:hAnsi="Tahoma" w:cs="Tahoma"/>
                <w:i/>
                <w:iCs/>
                <w:sz w:val="20"/>
                <w:szCs w:val="20"/>
              </w:rPr>
              <w:t>m</w:t>
            </w:r>
          </w:p>
        </w:tc>
        <w:tc>
          <w:tcPr>
            <w:tcW w:w="4787" w:type="dxa"/>
            <w:shd w:val="clear" w:color="auto" w:fill="auto"/>
          </w:tcPr>
          <w:p w14:paraId="539386BB" w14:textId="77777777" w:rsidR="008518B0" w:rsidRPr="00B004EE" w:rsidRDefault="008518B0" w:rsidP="00B004EE">
            <w:pPr>
              <w:jc w:val="right"/>
              <w:rPr>
                <w:rFonts w:ascii="Tahoma" w:hAnsi="Tahoma" w:cs="Tahoma"/>
                <w:b/>
                <w:bCs/>
                <w:sz w:val="20"/>
                <w:szCs w:val="20"/>
                <w:lang w:val="fr-CA"/>
              </w:rPr>
            </w:pPr>
            <w:r w:rsidRPr="00B004EE">
              <w:rPr>
                <w:rFonts w:ascii="Tahoma" w:hAnsi="Tahoma" w:cs="Tahoma"/>
                <w:b/>
                <w:bCs/>
                <w:sz w:val="20"/>
                <w:szCs w:val="20"/>
                <w:lang w:val="fr-CA"/>
              </w:rPr>
              <w:t>Z4</w:t>
            </w:r>
          </w:p>
          <w:p w14:paraId="5DA48A06" w14:textId="1547CC80" w:rsidR="008518B0" w:rsidRPr="00B004EE" w:rsidRDefault="008518B0" w:rsidP="00B004EE">
            <w:pPr>
              <w:rPr>
                <w:rFonts w:ascii="Tahoma" w:hAnsi="Tahoma" w:cs="Tahoma"/>
                <w:sz w:val="20"/>
                <w:szCs w:val="20"/>
                <w:lang w:val="fr-CA"/>
              </w:rPr>
            </w:pPr>
            <w:r w:rsidRPr="00B004EE">
              <w:rPr>
                <w:rFonts w:ascii="Tahoma" w:hAnsi="Tahoma" w:cs="Tahoma"/>
                <w:sz w:val="20"/>
                <w:szCs w:val="20"/>
                <w:lang w:val="fr-CA"/>
              </w:rPr>
              <w:t>La</w:t>
            </w:r>
            <w:r w:rsidR="00DB1635" w:rsidRPr="00B004EE">
              <w:rPr>
                <w:rFonts w:ascii="Tahoma" w:hAnsi="Tahoma" w:cs="Tahoma"/>
                <w:sz w:val="20"/>
                <w:szCs w:val="20"/>
                <w:lang w:val="fr-CA"/>
              </w:rPr>
              <w:t xml:space="preserve"> </w:t>
            </w:r>
            <w:r w:rsidRPr="00B004EE">
              <w:rPr>
                <w:rFonts w:ascii="Tahoma" w:hAnsi="Tahoma" w:cs="Tahoma"/>
                <w:sz w:val="20"/>
                <w:szCs w:val="20"/>
                <w:lang w:val="fr-CA"/>
              </w:rPr>
              <w:t>pêche</w:t>
            </w:r>
            <w:r w:rsidR="00DB1635" w:rsidRPr="00B004EE">
              <w:rPr>
                <w:rFonts w:ascii="Tahoma" w:hAnsi="Tahoma" w:cs="Tahoma"/>
                <w:sz w:val="20"/>
                <w:szCs w:val="20"/>
                <w:lang w:val="fr-CA"/>
              </w:rPr>
              <w:t xml:space="preserve"> </w:t>
            </w:r>
            <w:r w:rsidRPr="00B004EE">
              <w:rPr>
                <w:rFonts w:ascii="Tahoma" w:hAnsi="Tahoma" w:cs="Tahoma"/>
                <w:sz w:val="20"/>
                <w:szCs w:val="20"/>
                <w:lang w:val="fr-CA"/>
              </w:rPr>
              <w:t>industrielle</w:t>
            </w:r>
            <w:r w:rsidR="00DB1635" w:rsidRPr="00B004EE">
              <w:rPr>
                <w:rFonts w:ascii="Tahoma" w:hAnsi="Tahoma" w:cs="Tahoma"/>
                <w:sz w:val="20"/>
                <w:szCs w:val="20"/>
                <w:lang w:val="fr-CA"/>
              </w:rPr>
              <w:t xml:space="preserve"> </w:t>
            </w:r>
            <w:r w:rsidRPr="00B004EE">
              <w:rPr>
                <w:rFonts w:ascii="Tahoma" w:hAnsi="Tahoma" w:cs="Tahoma"/>
                <w:sz w:val="20"/>
                <w:szCs w:val="20"/>
                <w:lang w:val="fr-CA"/>
              </w:rPr>
              <w:t>pélagique</w:t>
            </w:r>
            <w:r w:rsidR="00DB1635" w:rsidRPr="00B004EE">
              <w:rPr>
                <w:rFonts w:ascii="Tahoma" w:hAnsi="Tahoma" w:cs="Tahoma"/>
                <w:sz w:val="20"/>
                <w:szCs w:val="20"/>
                <w:lang w:val="fr-CA"/>
              </w:rPr>
              <w:t xml:space="preserve"> </w:t>
            </w:r>
            <w:r w:rsidRPr="00B004EE">
              <w:rPr>
                <w:rFonts w:ascii="Tahoma" w:hAnsi="Tahoma" w:cs="Tahoma"/>
                <w:sz w:val="20"/>
                <w:szCs w:val="20"/>
                <w:lang w:val="fr-CA"/>
              </w:rPr>
              <w:t>au</w:t>
            </w:r>
            <w:r w:rsidR="00DB1635" w:rsidRPr="00B004EE">
              <w:rPr>
                <w:rFonts w:ascii="Tahoma" w:hAnsi="Tahoma" w:cs="Tahoma"/>
                <w:sz w:val="20"/>
                <w:szCs w:val="20"/>
                <w:lang w:val="fr-CA"/>
              </w:rPr>
              <w:t xml:space="preserve"> </w:t>
            </w:r>
            <w:r w:rsidRPr="00B004EE">
              <w:rPr>
                <w:rFonts w:ascii="Tahoma" w:hAnsi="Tahoma" w:cs="Tahoma"/>
                <w:sz w:val="20"/>
                <w:szCs w:val="20"/>
                <w:lang w:val="fr-CA"/>
              </w:rPr>
              <w:t>chalut</w:t>
            </w:r>
            <w:r w:rsidR="00DB1635" w:rsidRPr="00B004EE">
              <w:rPr>
                <w:rFonts w:ascii="Tahoma" w:hAnsi="Tahoma" w:cs="Tahoma"/>
                <w:sz w:val="20"/>
                <w:szCs w:val="20"/>
                <w:lang w:val="fr-CA"/>
              </w:rPr>
              <w:t xml:space="preserve"> </w:t>
            </w:r>
            <w:r w:rsidRPr="00B004EE">
              <w:rPr>
                <w:rFonts w:ascii="Tahoma" w:hAnsi="Tahoma" w:cs="Tahoma"/>
                <w:sz w:val="20"/>
                <w:szCs w:val="20"/>
                <w:lang w:val="fr-CA"/>
              </w:rPr>
              <w:t>est</w:t>
            </w:r>
            <w:r w:rsidR="00DB1635" w:rsidRPr="00B004EE">
              <w:rPr>
                <w:rFonts w:ascii="Tahoma" w:hAnsi="Tahoma" w:cs="Tahoma"/>
                <w:sz w:val="20"/>
                <w:szCs w:val="20"/>
                <w:lang w:val="fr-CA"/>
              </w:rPr>
              <w:t xml:space="preserve"> </w:t>
            </w:r>
            <w:r w:rsidRPr="00B004EE">
              <w:rPr>
                <w:rFonts w:ascii="Tahoma" w:hAnsi="Tahoma" w:cs="Tahoma"/>
                <w:sz w:val="20"/>
                <w:szCs w:val="20"/>
                <w:lang w:val="fr-CA"/>
              </w:rPr>
              <w:t>autorisée</w:t>
            </w:r>
            <w:r w:rsidR="00DB1635" w:rsidRPr="00B004EE">
              <w:rPr>
                <w:rFonts w:ascii="Tahoma" w:hAnsi="Tahoma" w:cs="Tahoma"/>
                <w:sz w:val="20"/>
                <w:szCs w:val="20"/>
                <w:lang w:val="fr-CA"/>
              </w:rPr>
              <w:t xml:space="preserve"> </w:t>
            </w:r>
            <w:r w:rsidRPr="00B004EE">
              <w:rPr>
                <w:rFonts w:ascii="Tahoma" w:hAnsi="Tahoma" w:cs="Tahoma"/>
                <w:sz w:val="20"/>
                <w:szCs w:val="20"/>
                <w:lang w:val="fr-CA"/>
              </w:rPr>
              <w:t>:</w:t>
            </w:r>
            <w:r w:rsidR="00DB1635" w:rsidRPr="00B004EE">
              <w:rPr>
                <w:rFonts w:ascii="Tahoma" w:hAnsi="Tahoma" w:cs="Tahoma"/>
                <w:sz w:val="20"/>
                <w:szCs w:val="20"/>
                <w:lang w:val="fr-CA"/>
              </w:rPr>
              <w:t xml:space="preserve"> </w:t>
            </w:r>
          </w:p>
          <w:p w14:paraId="0C4FFD12" w14:textId="44B0451A" w:rsidR="008518B0" w:rsidRPr="00B004EE" w:rsidRDefault="008518B0" w:rsidP="00B004EE">
            <w:pPr>
              <w:rPr>
                <w:rFonts w:ascii="Tahoma" w:hAnsi="Tahoma" w:cs="Tahoma"/>
                <w:sz w:val="20"/>
                <w:szCs w:val="20"/>
                <w:lang w:val="fr-CA"/>
              </w:rPr>
            </w:pPr>
            <w:r w:rsidRPr="00B004EE">
              <w:rPr>
                <w:rFonts w:ascii="Tahoma" w:hAnsi="Tahoma" w:cs="Tahoma"/>
                <w:sz w:val="20"/>
                <w:szCs w:val="20"/>
                <w:lang w:val="fr-CA"/>
              </w:rPr>
              <w:t>Au</w:t>
            </w:r>
            <w:r w:rsidR="00DB1635" w:rsidRPr="00B004EE">
              <w:rPr>
                <w:rFonts w:ascii="Tahoma" w:hAnsi="Tahoma" w:cs="Tahoma"/>
                <w:sz w:val="20"/>
                <w:szCs w:val="20"/>
                <w:lang w:val="fr-CA"/>
              </w:rPr>
              <w:t xml:space="preserve"> </w:t>
            </w:r>
            <w:r w:rsidRPr="00B004EE">
              <w:rPr>
                <w:rFonts w:ascii="Tahoma" w:hAnsi="Tahoma" w:cs="Tahoma"/>
                <w:sz w:val="20"/>
                <w:szCs w:val="20"/>
                <w:lang w:val="fr-CA"/>
              </w:rPr>
              <w:t>nord</w:t>
            </w:r>
            <w:r w:rsidR="00DB1635" w:rsidRPr="00B004EE">
              <w:rPr>
                <w:rFonts w:ascii="Tahoma" w:hAnsi="Tahoma" w:cs="Tahoma"/>
                <w:sz w:val="20"/>
                <w:szCs w:val="20"/>
                <w:lang w:val="fr-CA"/>
              </w:rPr>
              <w:t xml:space="preserve"> </w:t>
            </w:r>
            <w:r w:rsidRPr="00B004EE">
              <w:rPr>
                <w:rFonts w:ascii="Tahoma" w:hAnsi="Tahoma" w:cs="Tahoma"/>
                <w:sz w:val="20"/>
                <w:szCs w:val="20"/>
                <w:lang w:val="fr-CA"/>
              </w:rPr>
              <w:t>du</w:t>
            </w:r>
            <w:r w:rsidR="00DB1635" w:rsidRPr="00B004EE">
              <w:rPr>
                <w:rFonts w:ascii="Tahoma" w:hAnsi="Tahoma" w:cs="Tahoma"/>
                <w:sz w:val="20"/>
                <w:szCs w:val="20"/>
                <w:lang w:val="fr-CA"/>
              </w:rPr>
              <w:t xml:space="preserve"> </w:t>
            </w:r>
            <w:r w:rsidRPr="00B004EE">
              <w:rPr>
                <w:rFonts w:ascii="Tahoma" w:hAnsi="Tahoma" w:cs="Tahoma"/>
                <w:sz w:val="20"/>
                <w:szCs w:val="20"/>
                <w:lang w:val="fr-CA"/>
              </w:rPr>
              <w:t>parallèle</w:t>
            </w:r>
            <w:r w:rsidR="00DB1635" w:rsidRPr="00B004EE">
              <w:rPr>
                <w:rFonts w:ascii="Tahoma" w:hAnsi="Tahoma" w:cs="Tahoma"/>
                <w:sz w:val="20"/>
                <w:szCs w:val="20"/>
                <w:lang w:val="fr-CA"/>
              </w:rPr>
              <w:t xml:space="preserve"> </w:t>
            </w:r>
            <w:r w:rsidRPr="00B004EE">
              <w:rPr>
                <w:rFonts w:ascii="Tahoma" w:hAnsi="Tahoma" w:cs="Tahoma"/>
                <w:sz w:val="20"/>
                <w:szCs w:val="20"/>
              </w:rPr>
              <w:t>19°19.12</w:t>
            </w:r>
            <w:r w:rsidRPr="00B004EE">
              <w:rPr>
                <w:rFonts w:ascii="Tahoma" w:hAnsi="Tahoma" w:cs="Tahoma"/>
                <w:sz w:val="20"/>
                <w:szCs w:val="20"/>
                <w:lang w:val="fr-CA"/>
              </w:rPr>
              <w:t>N,</w:t>
            </w:r>
            <w:r w:rsidR="00DB1635" w:rsidRPr="00B004EE">
              <w:rPr>
                <w:rFonts w:ascii="Tahoma" w:hAnsi="Tahoma" w:cs="Tahoma"/>
                <w:sz w:val="20"/>
                <w:szCs w:val="20"/>
                <w:lang w:val="fr-CA"/>
              </w:rPr>
              <w:t xml:space="preserve"> </w:t>
            </w:r>
            <w:r w:rsidRPr="00B004EE">
              <w:rPr>
                <w:rFonts w:ascii="Tahoma" w:hAnsi="Tahoma" w:cs="Tahoma"/>
                <w:sz w:val="20"/>
                <w:szCs w:val="20"/>
                <w:lang w:val="fr-CA"/>
              </w:rPr>
              <w:t>à</w:t>
            </w:r>
            <w:r w:rsidR="00DB1635" w:rsidRPr="00B004EE">
              <w:rPr>
                <w:rFonts w:ascii="Tahoma" w:hAnsi="Tahoma" w:cs="Tahoma"/>
                <w:sz w:val="20"/>
                <w:szCs w:val="20"/>
                <w:lang w:val="fr-CA"/>
              </w:rPr>
              <w:t xml:space="preserve"> </w:t>
            </w:r>
            <w:r w:rsidRPr="00B004EE">
              <w:rPr>
                <w:rFonts w:ascii="Tahoma" w:hAnsi="Tahoma" w:cs="Tahoma"/>
                <w:sz w:val="20"/>
                <w:szCs w:val="20"/>
                <w:lang w:val="fr-CA"/>
              </w:rPr>
              <w:t>l’Ouest</w:t>
            </w:r>
            <w:r w:rsidR="00DB1635" w:rsidRPr="00B004EE">
              <w:rPr>
                <w:rFonts w:ascii="Tahoma" w:hAnsi="Tahoma" w:cs="Tahoma"/>
                <w:sz w:val="20"/>
                <w:szCs w:val="20"/>
                <w:lang w:val="fr-CA"/>
              </w:rPr>
              <w:t xml:space="preserve"> </w:t>
            </w:r>
            <w:r w:rsidRPr="00B004EE">
              <w:rPr>
                <w:rFonts w:ascii="Tahoma" w:hAnsi="Tahoma" w:cs="Tahoma"/>
                <w:sz w:val="20"/>
                <w:szCs w:val="20"/>
                <w:lang w:val="fr-CA"/>
              </w:rPr>
              <w:t>de</w:t>
            </w:r>
            <w:r w:rsidR="00DB1635" w:rsidRPr="00B004EE">
              <w:rPr>
                <w:rFonts w:ascii="Tahoma" w:hAnsi="Tahoma" w:cs="Tahoma"/>
                <w:sz w:val="20"/>
                <w:szCs w:val="20"/>
                <w:lang w:val="fr-CA"/>
              </w:rPr>
              <w:t xml:space="preserve"> </w:t>
            </w:r>
            <w:r w:rsidRPr="00B004EE">
              <w:rPr>
                <w:rFonts w:ascii="Tahoma" w:hAnsi="Tahoma" w:cs="Tahoma"/>
                <w:sz w:val="20"/>
                <w:szCs w:val="20"/>
                <w:lang w:val="fr-CA"/>
              </w:rPr>
              <w:t>la</w:t>
            </w:r>
            <w:r w:rsidR="00DB1635" w:rsidRPr="00B004EE">
              <w:rPr>
                <w:rFonts w:ascii="Tahoma" w:hAnsi="Tahoma" w:cs="Tahoma"/>
                <w:sz w:val="20"/>
                <w:szCs w:val="20"/>
                <w:lang w:val="fr-CA"/>
              </w:rPr>
              <w:t xml:space="preserve"> </w:t>
            </w:r>
            <w:r w:rsidRPr="00B004EE">
              <w:rPr>
                <w:rFonts w:ascii="Tahoma" w:hAnsi="Tahoma" w:cs="Tahoma"/>
                <w:sz w:val="20"/>
                <w:szCs w:val="20"/>
                <w:lang w:val="fr-CA"/>
              </w:rPr>
              <w:t>zone</w:t>
            </w:r>
            <w:r w:rsidR="00DB1635" w:rsidRPr="00B004EE">
              <w:rPr>
                <w:rFonts w:ascii="Tahoma" w:hAnsi="Tahoma" w:cs="Tahoma"/>
                <w:sz w:val="20"/>
                <w:szCs w:val="20"/>
                <w:lang w:val="fr-CA"/>
              </w:rPr>
              <w:t xml:space="preserve"> </w:t>
            </w:r>
            <w:r w:rsidRPr="00B004EE">
              <w:rPr>
                <w:rFonts w:ascii="Tahoma" w:hAnsi="Tahoma" w:cs="Tahoma"/>
                <w:sz w:val="20"/>
                <w:szCs w:val="20"/>
                <w:lang w:val="fr-CA"/>
              </w:rPr>
              <w:t>délimitée</w:t>
            </w:r>
            <w:r w:rsidR="00DB1635" w:rsidRPr="00B004EE">
              <w:rPr>
                <w:rFonts w:ascii="Tahoma" w:hAnsi="Tahoma" w:cs="Tahoma"/>
                <w:sz w:val="20"/>
                <w:szCs w:val="20"/>
                <w:lang w:val="fr-CA"/>
              </w:rPr>
              <w:t xml:space="preserve"> </w:t>
            </w:r>
            <w:r w:rsidRPr="00B004EE">
              <w:rPr>
                <w:rFonts w:ascii="Tahoma" w:hAnsi="Tahoma" w:cs="Tahoma"/>
                <w:sz w:val="20"/>
                <w:szCs w:val="20"/>
                <w:lang w:val="fr-CA"/>
              </w:rPr>
              <w:t>par</w:t>
            </w:r>
            <w:r w:rsidR="00DB1635" w:rsidRPr="00B004EE">
              <w:rPr>
                <w:rFonts w:ascii="Tahoma" w:hAnsi="Tahoma" w:cs="Tahoma"/>
                <w:sz w:val="20"/>
                <w:szCs w:val="20"/>
                <w:lang w:val="fr-CA"/>
              </w:rPr>
              <w:t xml:space="preserve"> </w:t>
            </w:r>
            <w:r w:rsidRPr="00B004EE">
              <w:rPr>
                <w:rFonts w:ascii="Tahoma" w:hAnsi="Tahoma" w:cs="Tahoma"/>
                <w:sz w:val="20"/>
                <w:szCs w:val="20"/>
                <w:lang w:val="fr-CA"/>
              </w:rPr>
              <w:t>les</w:t>
            </w:r>
            <w:r w:rsidR="00DB1635" w:rsidRPr="00B004EE">
              <w:rPr>
                <w:rFonts w:ascii="Tahoma" w:hAnsi="Tahoma" w:cs="Tahoma"/>
                <w:sz w:val="20"/>
                <w:szCs w:val="20"/>
                <w:lang w:val="fr-CA"/>
              </w:rPr>
              <w:t xml:space="preserve"> </w:t>
            </w:r>
            <w:r w:rsidRPr="00B004EE">
              <w:rPr>
                <w:rFonts w:ascii="Tahoma" w:hAnsi="Tahoma" w:cs="Tahoma"/>
                <w:sz w:val="20"/>
                <w:szCs w:val="20"/>
                <w:lang w:val="fr-CA"/>
              </w:rPr>
              <w:t>points</w:t>
            </w:r>
            <w:r w:rsidR="00DB1635" w:rsidRPr="00B004EE">
              <w:rPr>
                <w:rFonts w:ascii="Tahoma" w:hAnsi="Tahoma" w:cs="Tahoma"/>
                <w:sz w:val="20"/>
                <w:szCs w:val="20"/>
                <w:lang w:val="fr-CA"/>
              </w:rPr>
              <w:t xml:space="preserve"> </w:t>
            </w:r>
            <w:r w:rsidRPr="00B004EE">
              <w:rPr>
                <w:rFonts w:ascii="Tahoma" w:hAnsi="Tahoma" w:cs="Tahoma"/>
                <w:sz w:val="20"/>
                <w:szCs w:val="20"/>
                <w:lang w:val="fr-CA"/>
              </w:rPr>
              <w:t>suivants</w:t>
            </w:r>
            <w:r w:rsidR="00DB1635" w:rsidRPr="00B004EE">
              <w:rPr>
                <w:rFonts w:ascii="Tahoma" w:hAnsi="Tahoma" w:cs="Tahoma"/>
                <w:sz w:val="20"/>
                <w:szCs w:val="20"/>
                <w:lang w:val="fr-CA"/>
              </w:rPr>
              <w:t xml:space="preserve"> </w:t>
            </w:r>
            <w:r w:rsidRPr="00B004EE">
              <w:rPr>
                <w:rFonts w:ascii="Tahoma" w:hAnsi="Tahoma" w:cs="Tahoma"/>
                <w:sz w:val="20"/>
                <w:szCs w:val="20"/>
                <w:lang w:val="fr-CA"/>
              </w:rPr>
              <w:t>:</w:t>
            </w:r>
          </w:p>
          <w:p w14:paraId="73AC5CCC" w14:textId="005F942D" w:rsidR="008518B0" w:rsidRPr="00B004EE" w:rsidRDefault="008518B0" w:rsidP="00B004EE">
            <w:pPr>
              <w:rPr>
                <w:rFonts w:ascii="Tahoma" w:hAnsi="Tahoma" w:cs="Tahoma"/>
                <w:sz w:val="20"/>
                <w:szCs w:val="20"/>
                <w:lang w:val="pt-PT"/>
              </w:rPr>
            </w:pPr>
            <w:r w:rsidRPr="00B004EE">
              <w:rPr>
                <w:rFonts w:ascii="Tahoma" w:hAnsi="Tahoma" w:cs="Tahoma"/>
                <w:sz w:val="20"/>
                <w:szCs w:val="20"/>
                <w:lang w:val="pt-PT"/>
              </w:rPr>
              <w:t>A</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20°</w:t>
            </w:r>
            <w:r w:rsidR="00DB1635" w:rsidRPr="00B004EE">
              <w:rPr>
                <w:rFonts w:ascii="Tahoma" w:hAnsi="Tahoma" w:cs="Tahoma"/>
                <w:sz w:val="20"/>
                <w:szCs w:val="20"/>
                <w:lang w:val="pt-PT"/>
              </w:rPr>
              <w:t xml:space="preserve"> </w:t>
            </w:r>
            <w:r w:rsidRPr="00B004EE">
              <w:rPr>
                <w:rFonts w:ascii="Tahoma" w:hAnsi="Tahoma" w:cs="Tahoma"/>
                <w:sz w:val="20"/>
                <w:szCs w:val="20"/>
                <w:lang w:val="pt-PT"/>
              </w:rPr>
              <w:t>46.30'N</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17°</w:t>
            </w:r>
            <w:r w:rsidR="00DB1635" w:rsidRPr="00B004EE">
              <w:rPr>
                <w:rFonts w:ascii="Tahoma" w:hAnsi="Tahoma" w:cs="Tahoma"/>
                <w:sz w:val="20"/>
                <w:szCs w:val="20"/>
                <w:lang w:val="pt-PT"/>
              </w:rPr>
              <w:t xml:space="preserve"> </w:t>
            </w:r>
            <w:r w:rsidRPr="00B004EE">
              <w:rPr>
                <w:rFonts w:ascii="Tahoma" w:hAnsi="Tahoma" w:cs="Tahoma"/>
                <w:sz w:val="20"/>
                <w:szCs w:val="20"/>
                <w:lang w:val="pt-PT"/>
              </w:rPr>
              <w:t>03.00'W</w:t>
            </w:r>
          </w:p>
          <w:p w14:paraId="36710654" w14:textId="17779F4C" w:rsidR="008518B0" w:rsidRPr="00B004EE" w:rsidRDefault="008518B0" w:rsidP="00B004EE">
            <w:pPr>
              <w:rPr>
                <w:rFonts w:ascii="Tahoma" w:hAnsi="Tahoma" w:cs="Tahoma"/>
                <w:sz w:val="20"/>
                <w:szCs w:val="20"/>
                <w:lang w:val="pt-PT"/>
              </w:rPr>
            </w:pPr>
            <w:r w:rsidRPr="00B004EE">
              <w:rPr>
                <w:rFonts w:ascii="Tahoma" w:hAnsi="Tahoma" w:cs="Tahoma"/>
                <w:sz w:val="20"/>
                <w:szCs w:val="20"/>
                <w:lang w:val="pt-PT"/>
              </w:rPr>
              <w:t>B</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20°</w:t>
            </w:r>
            <w:r w:rsidR="00DB1635" w:rsidRPr="00B004EE">
              <w:rPr>
                <w:rFonts w:ascii="Tahoma" w:hAnsi="Tahoma" w:cs="Tahoma"/>
                <w:sz w:val="20"/>
                <w:szCs w:val="20"/>
                <w:lang w:val="pt-PT"/>
              </w:rPr>
              <w:t xml:space="preserve"> </w:t>
            </w:r>
            <w:r w:rsidRPr="00B004EE">
              <w:rPr>
                <w:rFonts w:ascii="Tahoma" w:hAnsi="Tahoma" w:cs="Tahoma"/>
                <w:sz w:val="20"/>
                <w:szCs w:val="20"/>
                <w:lang w:val="pt-PT"/>
              </w:rPr>
              <w:t>40.00'N</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17°</w:t>
            </w:r>
            <w:r w:rsidR="00DB1635" w:rsidRPr="00B004EE">
              <w:rPr>
                <w:rFonts w:ascii="Tahoma" w:hAnsi="Tahoma" w:cs="Tahoma"/>
                <w:sz w:val="20"/>
                <w:szCs w:val="20"/>
                <w:lang w:val="pt-PT"/>
              </w:rPr>
              <w:t xml:space="preserve"> </w:t>
            </w:r>
            <w:r w:rsidRPr="00B004EE">
              <w:rPr>
                <w:rFonts w:ascii="Tahoma" w:hAnsi="Tahoma" w:cs="Tahoma"/>
                <w:sz w:val="20"/>
                <w:szCs w:val="20"/>
                <w:lang w:val="pt-PT"/>
              </w:rPr>
              <w:t>08.30'W</w:t>
            </w:r>
          </w:p>
          <w:p w14:paraId="290CA70C" w14:textId="69481DAB" w:rsidR="008518B0" w:rsidRPr="00B004EE" w:rsidRDefault="008518B0" w:rsidP="00B004EE">
            <w:pPr>
              <w:rPr>
                <w:rFonts w:ascii="Tahoma" w:hAnsi="Tahoma" w:cs="Tahoma"/>
                <w:sz w:val="20"/>
                <w:szCs w:val="20"/>
                <w:lang w:val="pt-PT"/>
              </w:rPr>
            </w:pPr>
            <w:r w:rsidRPr="00B004EE">
              <w:rPr>
                <w:rFonts w:ascii="Tahoma" w:hAnsi="Tahoma" w:cs="Tahoma"/>
                <w:sz w:val="20"/>
                <w:szCs w:val="20"/>
                <w:lang w:val="pt-PT"/>
              </w:rPr>
              <w:t>C</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20°</w:t>
            </w:r>
            <w:r w:rsidR="00DB1635" w:rsidRPr="00B004EE">
              <w:rPr>
                <w:rFonts w:ascii="Tahoma" w:hAnsi="Tahoma" w:cs="Tahoma"/>
                <w:sz w:val="20"/>
                <w:szCs w:val="20"/>
                <w:lang w:val="pt-PT"/>
              </w:rPr>
              <w:t xml:space="preserve"> </w:t>
            </w:r>
            <w:r w:rsidRPr="00B004EE">
              <w:rPr>
                <w:rFonts w:ascii="Tahoma" w:hAnsi="Tahoma" w:cs="Tahoma"/>
                <w:sz w:val="20"/>
                <w:szCs w:val="20"/>
                <w:lang w:val="pt-PT"/>
              </w:rPr>
              <w:t>36.00'N</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17°</w:t>
            </w:r>
            <w:r w:rsidR="00DB1635" w:rsidRPr="00B004EE">
              <w:rPr>
                <w:rFonts w:ascii="Tahoma" w:hAnsi="Tahoma" w:cs="Tahoma"/>
                <w:sz w:val="20"/>
                <w:szCs w:val="20"/>
                <w:lang w:val="pt-PT"/>
              </w:rPr>
              <w:t xml:space="preserve"> </w:t>
            </w:r>
            <w:r w:rsidRPr="00B004EE">
              <w:rPr>
                <w:rFonts w:ascii="Tahoma" w:hAnsi="Tahoma" w:cs="Tahoma"/>
                <w:sz w:val="20"/>
                <w:szCs w:val="20"/>
                <w:lang w:val="pt-PT"/>
              </w:rPr>
              <w:t>24.00'W</w:t>
            </w:r>
          </w:p>
          <w:p w14:paraId="65714BBA" w14:textId="037E26D4" w:rsidR="008518B0" w:rsidRPr="00B004EE" w:rsidRDefault="008518B0" w:rsidP="00B004EE">
            <w:pPr>
              <w:rPr>
                <w:rFonts w:ascii="Tahoma" w:hAnsi="Tahoma" w:cs="Tahoma"/>
                <w:sz w:val="20"/>
                <w:szCs w:val="20"/>
                <w:lang w:val="pt-PT"/>
              </w:rPr>
            </w:pPr>
            <w:r w:rsidRPr="00B004EE">
              <w:rPr>
                <w:rFonts w:ascii="Tahoma" w:hAnsi="Tahoma" w:cs="Tahoma"/>
                <w:sz w:val="20"/>
                <w:szCs w:val="20"/>
                <w:lang w:val="pt-PT"/>
              </w:rPr>
              <w:t>D</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20°</w:t>
            </w:r>
            <w:r w:rsidR="00DB1635" w:rsidRPr="00B004EE">
              <w:rPr>
                <w:rFonts w:ascii="Tahoma" w:hAnsi="Tahoma" w:cs="Tahoma"/>
                <w:sz w:val="20"/>
                <w:szCs w:val="20"/>
                <w:lang w:val="pt-PT"/>
              </w:rPr>
              <w:t xml:space="preserve"> </w:t>
            </w:r>
            <w:r w:rsidRPr="00B004EE">
              <w:rPr>
                <w:rFonts w:ascii="Tahoma" w:hAnsi="Tahoma" w:cs="Tahoma"/>
                <w:sz w:val="20"/>
                <w:szCs w:val="20"/>
                <w:lang w:val="pt-PT"/>
              </w:rPr>
              <w:t>36.00'N</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17°</w:t>
            </w:r>
            <w:r w:rsidR="00DB1635" w:rsidRPr="00B004EE">
              <w:rPr>
                <w:rFonts w:ascii="Tahoma" w:hAnsi="Tahoma" w:cs="Tahoma"/>
                <w:sz w:val="20"/>
                <w:szCs w:val="20"/>
                <w:lang w:val="pt-PT"/>
              </w:rPr>
              <w:t xml:space="preserve"> </w:t>
            </w:r>
            <w:r w:rsidRPr="00B004EE">
              <w:rPr>
                <w:rFonts w:ascii="Tahoma" w:hAnsi="Tahoma" w:cs="Tahoma"/>
                <w:sz w:val="20"/>
                <w:szCs w:val="20"/>
                <w:lang w:val="pt-PT"/>
              </w:rPr>
              <w:t>11.00'W</w:t>
            </w:r>
          </w:p>
          <w:p w14:paraId="46730CA4" w14:textId="1B30328F" w:rsidR="008518B0" w:rsidRPr="00B004EE" w:rsidRDefault="008518B0" w:rsidP="00B004EE">
            <w:pPr>
              <w:rPr>
                <w:rFonts w:ascii="Tahoma" w:hAnsi="Tahoma" w:cs="Tahoma"/>
                <w:sz w:val="20"/>
                <w:szCs w:val="20"/>
                <w:lang w:val="pt-PT"/>
              </w:rPr>
            </w:pPr>
            <w:r w:rsidRPr="00B004EE">
              <w:rPr>
                <w:rFonts w:ascii="Tahoma" w:hAnsi="Tahoma" w:cs="Tahoma"/>
                <w:sz w:val="20"/>
                <w:szCs w:val="20"/>
                <w:lang w:val="pt-PT"/>
              </w:rPr>
              <w:t>H</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19°</w:t>
            </w:r>
            <w:r w:rsidR="00DB1635" w:rsidRPr="00B004EE">
              <w:rPr>
                <w:rFonts w:ascii="Tahoma" w:hAnsi="Tahoma" w:cs="Tahoma"/>
                <w:sz w:val="20"/>
                <w:szCs w:val="20"/>
                <w:lang w:val="pt-PT"/>
              </w:rPr>
              <w:t xml:space="preserve"> </w:t>
            </w:r>
            <w:r w:rsidRPr="00B004EE">
              <w:rPr>
                <w:rFonts w:ascii="Tahoma" w:hAnsi="Tahoma" w:cs="Tahoma"/>
                <w:sz w:val="20"/>
                <w:szCs w:val="20"/>
                <w:lang w:val="pt-PT"/>
              </w:rPr>
              <w:t>57.00'N</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17°</w:t>
            </w:r>
            <w:r w:rsidR="00DB1635" w:rsidRPr="00B004EE">
              <w:rPr>
                <w:rFonts w:ascii="Tahoma" w:hAnsi="Tahoma" w:cs="Tahoma"/>
                <w:sz w:val="20"/>
                <w:szCs w:val="20"/>
                <w:lang w:val="pt-PT"/>
              </w:rPr>
              <w:t xml:space="preserve"> </w:t>
            </w:r>
            <w:r w:rsidRPr="00B004EE">
              <w:rPr>
                <w:rFonts w:ascii="Tahoma" w:hAnsi="Tahoma" w:cs="Tahoma"/>
                <w:sz w:val="20"/>
                <w:szCs w:val="20"/>
                <w:lang w:val="pt-PT"/>
              </w:rPr>
              <w:t>24.00'W</w:t>
            </w:r>
          </w:p>
          <w:p w14:paraId="46B8C2E6" w14:textId="76853680" w:rsidR="008518B0" w:rsidRPr="00B004EE" w:rsidRDefault="008518B0" w:rsidP="00B004EE">
            <w:pPr>
              <w:rPr>
                <w:rFonts w:ascii="Tahoma" w:hAnsi="Tahoma" w:cs="Tahoma"/>
                <w:sz w:val="20"/>
                <w:szCs w:val="20"/>
                <w:lang w:val="pt-PT"/>
              </w:rPr>
            </w:pPr>
            <w:r w:rsidRPr="00B004EE">
              <w:rPr>
                <w:rFonts w:ascii="Tahoma" w:hAnsi="Tahoma" w:cs="Tahoma"/>
                <w:sz w:val="20"/>
                <w:szCs w:val="20"/>
                <w:lang w:val="pt-PT"/>
              </w:rPr>
              <w:t>I</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19°</w:t>
            </w:r>
            <w:r w:rsidR="00DB1635" w:rsidRPr="00B004EE">
              <w:rPr>
                <w:rFonts w:ascii="Tahoma" w:hAnsi="Tahoma" w:cs="Tahoma"/>
                <w:sz w:val="20"/>
                <w:szCs w:val="20"/>
                <w:lang w:val="pt-PT"/>
              </w:rPr>
              <w:t xml:space="preserve"> </w:t>
            </w:r>
            <w:r w:rsidRPr="00B004EE">
              <w:rPr>
                <w:rFonts w:ascii="Tahoma" w:hAnsi="Tahoma" w:cs="Tahoma"/>
                <w:sz w:val="20"/>
                <w:szCs w:val="20"/>
                <w:lang w:val="pt-PT"/>
              </w:rPr>
              <w:t>45.00'N</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17°</w:t>
            </w:r>
            <w:r w:rsidR="00DB1635" w:rsidRPr="00B004EE">
              <w:rPr>
                <w:rFonts w:ascii="Tahoma" w:hAnsi="Tahoma" w:cs="Tahoma"/>
                <w:sz w:val="20"/>
                <w:szCs w:val="20"/>
                <w:lang w:val="pt-PT"/>
              </w:rPr>
              <w:t xml:space="preserve"> </w:t>
            </w:r>
            <w:r w:rsidRPr="00B004EE">
              <w:rPr>
                <w:rFonts w:ascii="Tahoma" w:hAnsi="Tahoma" w:cs="Tahoma"/>
                <w:sz w:val="20"/>
                <w:szCs w:val="20"/>
                <w:lang w:val="pt-PT"/>
              </w:rPr>
              <w:t>00.00'W</w:t>
            </w:r>
          </w:p>
          <w:p w14:paraId="3919CACC" w14:textId="4EDB8EC6" w:rsidR="008518B0" w:rsidRPr="00B004EE" w:rsidRDefault="008518B0" w:rsidP="00B004EE">
            <w:pPr>
              <w:rPr>
                <w:rFonts w:ascii="Tahoma" w:hAnsi="Tahoma" w:cs="Tahoma"/>
                <w:sz w:val="20"/>
                <w:szCs w:val="20"/>
              </w:rPr>
            </w:pPr>
            <w:r w:rsidRPr="00B004EE">
              <w:rPr>
                <w:rFonts w:ascii="Tahoma" w:hAnsi="Tahoma" w:cs="Tahoma"/>
                <w:sz w:val="20"/>
                <w:szCs w:val="20"/>
              </w:rPr>
              <w:t>N</w:t>
            </w:r>
            <w:r w:rsidRPr="00B004EE">
              <w:rPr>
                <w:rFonts w:ascii="Tahoma" w:hAnsi="Tahoma" w:cs="Tahoma"/>
                <w:sz w:val="20"/>
                <w:szCs w:val="20"/>
              </w:rPr>
              <w:tab/>
            </w:r>
            <w:r w:rsidR="00DB1635" w:rsidRPr="00B004EE">
              <w:rPr>
                <w:rFonts w:ascii="Tahoma" w:hAnsi="Tahoma" w:cs="Tahoma"/>
                <w:sz w:val="20"/>
                <w:szCs w:val="20"/>
              </w:rPr>
              <w:t xml:space="preserve"> </w:t>
            </w:r>
            <w:r w:rsidRPr="00B004EE">
              <w:rPr>
                <w:rFonts w:ascii="Tahoma" w:hAnsi="Tahoma" w:cs="Tahoma"/>
                <w:sz w:val="20"/>
                <w:szCs w:val="20"/>
              </w:rPr>
              <w:t>19°</w:t>
            </w:r>
            <w:r w:rsidR="00DB1635" w:rsidRPr="00B004EE">
              <w:rPr>
                <w:rFonts w:ascii="Tahoma" w:hAnsi="Tahoma" w:cs="Tahoma"/>
                <w:sz w:val="20"/>
                <w:szCs w:val="20"/>
              </w:rPr>
              <w:t xml:space="preserve"> </w:t>
            </w:r>
            <w:r w:rsidRPr="00B004EE">
              <w:rPr>
                <w:rFonts w:ascii="Tahoma" w:hAnsi="Tahoma" w:cs="Tahoma"/>
                <w:sz w:val="20"/>
                <w:szCs w:val="20"/>
              </w:rPr>
              <w:t>19.12'N</w:t>
            </w:r>
            <w:r w:rsidRPr="00B004EE">
              <w:rPr>
                <w:rFonts w:ascii="Tahoma" w:hAnsi="Tahoma" w:cs="Tahoma"/>
                <w:sz w:val="20"/>
                <w:szCs w:val="20"/>
              </w:rPr>
              <w:tab/>
            </w:r>
            <w:r w:rsidR="00DB1635" w:rsidRPr="00B004EE">
              <w:rPr>
                <w:rFonts w:ascii="Tahoma" w:hAnsi="Tahoma" w:cs="Tahoma"/>
                <w:sz w:val="20"/>
                <w:szCs w:val="20"/>
              </w:rPr>
              <w:t xml:space="preserve"> </w:t>
            </w:r>
            <w:r w:rsidRPr="00B004EE">
              <w:rPr>
                <w:rFonts w:ascii="Tahoma" w:hAnsi="Tahoma" w:cs="Tahoma"/>
                <w:sz w:val="20"/>
                <w:szCs w:val="20"/>
              </w:rPr>
              <w:t>16°</w:t>
            </w:r>
            <w:r w:rsidR="00DB1635" w:rsidRPr="00B004EE">
              <w:rPr>
                <w:rFonts w:ascii="Tahoma" w:hAnsi="Tahoma" w:cs="Tahoma"/>
                <w:sz w:val="20"/>
                <w:szCs w:val="20"/>
              </w:rPr>
              <w:t xml:space="preserve"> </w:t>
            </w:r>
            <w:r w:rsidRPr="00B004EE">
              <w:rPr>
                <w:rFonts w:ascii="Tahoma" w:hAnsi="Tahoma" w:cs="Tahoma"/>
                <w:sz w:val="20"/>
                <w:szCs w:val="20"/>
              </w:rPr>
              <w:t>48.00'</w:t>
            </w:r>
            <w:r w:rsidR="00BD7C35" w:rsidRPr="00B004EE">
              <w:rPr>
                <w:rFonts w:ascii="Tahoma" w:hAnsi="Tahoma" w:cs="Tahoma"/>
                <w:sz w:val="20"/>
                <w:szCs w:val="20"/>
              </w:rPr>
              <w:t>W ;</w:t>
            </w:r>
          </w:p>
          <w:p w14:paraId="2D85B466" w14:textId="65E7F488" w:rsidR="008518B0" w:rsidRPr="00B004EE" w:rsidRDefault="008518B0" w:rsidP="00B004EE">
            <w:pPr>
              <w:rPr>
                <w:rFonts w:ascii="Tahoma" w:hAnsi="Tahoma" w:cs="Tahoma"/>
                <w:sz w:val="20"/>
                <w:szCs w:val="20"/>
                <w:lang w:val="fr-CA"/>
              </w:rPr>
            </w:pP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sud</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parallèle</w:t>
            </w:r>
            <w:r w:rsidR="00DB1635" w:rsidRPr="00B004EE">
              <w:rPr>
                <w:rFonts w:ascii="Tahoma" w:hAnsi="Tahoma" w:cs="Tahoma"/>
                <w:sz w:val="20"/>
                <w:szCs w:val="20"/>
              </w:rPr>
              <w:t xml:space="preserve"> </w:t>
            </w:r>
            <w:r w:rsidRPr="00B004EE">
              <w:rPr>
                <w:rFonts w:ascii="Tahoma" w:hAnsi="Tahoma" w:cs="Tahoma"/>
                <w:sz w:val="20"/>
                <w:szCs w:val="20"/>
              </w:rPr>
              <w:t>19°19.12N</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jusqu’au</w:t>
            </w:r>
            <w:r w:rsidR="00DB1635" w:rsidRPr="00B004EE">
              <w:rPr>
                <w:rFonts w:ascii="Tahoma" w:hAnsi="Tahoma" w:cs="Tahoma"/>
                <w:sz w:val="20"/>
                <w:szCs w:val="20"/>
              </w:rPr>
              <w:t xml:space="preserve"> </w:t>
            </w:r>
            <w:r w:rsidRPr="00B004EE">
              <w:rPr>
                <w:rFonts w:ascii="Tahoma" w:hAnsi="Tahoma" w:cs="Tahoma"/>
                <w:sz w:val="20"/>
                <w:szCs w:val="20"/>
              </w:rPr>
              <w:t>parallèle</w:t>
            </w:r>
            <w:r w:rsidR="00DB1635" w:rsidRPr="00B004EE">
              <w:rPr>
                <w:rFonts w:ascii="Tahoma" w:hAnsi="Tahoma" w:cs="Tahoma"/>
                <w:sz w:val="20"/>
                <w:szCs w:val="20"/>
              </w:rPr>
              <w:t xml:space="preserve"> </w:t>
            </w:r>
            <w:r w:rsidRPr="00B004EE">
              <w:rPr>
                <w:rFonts w:ascii="Tahoma" w:hAnsi="Tahoma" w:cs="Tahoma"/>
                <w:sz w:val="20"/>
                <w:szCs w:val="20"/>
              </w:rPr>
              <w:t>16°04.00N</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l’Ouest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ligne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12</w:t>
            </w:r>
            <w:r w:rsidR="00DB1635" w:rsidRPr="00B004EE">
              <w:rPr>
                <w:rFonts w:ascii="Tahoma" w:hAnsi="Tahoma" w:cs="Tahoma"/>
                <w:sz w:val="20"/>
                <w:szCs w:val="20"/>
              </w:rPr>
              <w:t xml:space="preserve"> </w:t>
            </w:r>
            <w:r w:rsidRPr="00B004EE">
              <w:rPr>
                <w:rFonts w:ascii="Tahoma" w:hAnsi="Tahoma" w:cs="Tahoma"/>
                <w:sz w:val="20"/>
                <w:szCs w:val="20"/>
              </w:rPr>
              <w:t>milles,</w:t>
            </w:r>
            <w:r w:rsidR="00DB1635" w:rsidRPr="00B004EE">
              <w:rPr>
                <w:rFonts w:ascii="Tahoma" w:hAnsi="Tahoma" w:cs="Tahoma"/>
                <w:sz w:val="20"/>
                <w:szCs w:val="20"/>
              </w:rPr>
              <w:t xml:space="preserve"> </w:t>
            </w:r>
            <w:r w:rsidRPr="00B004EE">
              <w:rPr>
                <w:rFonts w:ascii="Tahoma" w:hAnsi="Tahoma" w:cs="Tahoma"/>
                <w:sz w:val="20"/>
                <w:szCs w:val="20"/>
              </w:rPr>
              <w:t>mesurés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partir</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laisse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basse</w:t>
            </w:r>
            <w:r w:rsidR="00DB1635" w:rsidRPr="00B004EE">
              <w:rPr>
                <w:rFonts w:ascii="Tahoma" w:hAnsi="Tahoma" w:cs="Tahoma"/>
                <w:sz w:val="20"/>
                <w:szCs w:val="20"/>
              </w:rPr>
              <w:t xml:space="preserve"> </w:t>
            </w:r>
            <w:r w:rsidRPr="00B004EE">
              <w:rPr>
                <w:rFonts w:ascii="Tahoma" w:hAnsi="Tahoma" w:cs="Tahoma"/>
                <w:sz w:val="20"/>
                <w:szCs w:val="20"/>
              </w:rPr>
              <w:t>mer.</w:t>
            </w:r>
          </w:p>
        </w:tc>
      </w:tr>
      <w:tr w:rsidR="00150C90" w:rsidRPr="00B004EE" w14:paraId="473986B1" w14:textId="77777777" w:rsidTr="00767386">
        <w:trPr>
          <w:trHeight w:val="406"/>
        </w:trPr>
        <w:tc>
          <w:tcPr>
            <w:tcW w:w="1560" w:type="dxa"/>
            <w:shd w:val="clear" w:color="auto" w:fill="auto"/>
          </w:tcPr>
          <w:p w14:paraId="60719AF3" w14:textId="7CB0BAE2" w:rsidR="008518B0" w:rsidRPr="00B004EE" w:rsidRDefault="008518B0" w:rsidP="00B004EE">
            <w:pPr>
              <w:jc w:val="both"/>
              <w:rPr>
                <w:rFonts w:ascii="Tahoma" w:hAnsi="Tahoma" w:cs="Tahoma"/>
                <w:b/>
                <w:bCs/>
                <w:i/>
                <w:iCs/>
                <w:sz w:val="20"/>
                <w:szCs w:val="20"/>
              </w:rPr>
            </w:pPr>
            <w:r w:rsidRPr="00B004EE">
              <w:rPr>
                <w:rFonts w:ascii="Tahoma" w:hAnsi="Tahoma" w:cs="Tahoma"/>
                <w:b/>
                <w:bCs/>
                <w:i/>
                <w:iCs/>
                <w:sz w:val="20"/>
                <w:szCs w:val="20"/>
              </w:rPr>
              <w:t>Type</w:t>
            </w:r>
            <w:r w:rsidR="00DB1635" w:rsidRPr="00B004EE">
              <w:rPr>
                <w:rFonts w:ascii="Tahoma" w:hAnsi="Tahoma" w:cs="Tahoma"/>
                <w:b/>
                <w:bCs/>
                <w:i/>
                <w:iCs/>
                <w:sz w:val="20"/>
                <w:szCs w:val="20"/>
              </w:rPr>
              <w:t xml:space="preserve"> </w:t>
            </w:r>
            <w:r w:rsidRPr="00B004EE">
              <w:rPr>
                <w:rFonts w:ascii="Tahoma" w:hAnsi="Tahoma" w:cs="Tahoma"/>
                <w:b/>
                <w:bCs/>
                <w:i/>
                <w:iCs/>
                <w:sz w:val="20"/>
                <w:szCs w:val="20"/>
              </w:rPr>
              <w:t>III</w:t>
            </w:r>
            <w:r w:rsidR="00DB1635" w:rsidRPr="00B004EE">
              <w:rPr>
                <w:rFonts w:ascii="Tahoma" w:hAnsi="Tahoma" w:cs="Tahoma"/>
                <w:b/>
                <w:bCs/>
                <w:i/>
                <w:iCs/>
                <w:sz w:val="20"/>
                <w:szCs w:val="20"/>
              </w:rPr>
              <w:t xml:space="preserve"> </w:t>
            </w:r>
            <w:r w:rsidRPr="00B004EE">
              <w:rPr>
                <w:rFonts w:ascii="Tahoma" w:hAnsi="Tahoma" w:cs="Tahoma"/>
                <w:b/>
                <w:bCs/>
                <w:i/>
                <w:iCs/>
                <w:sz w:val="20"/>
                <w:szCs w:val="20"/>
              </w:rPr>
              <w:t>:</w:t>
            </w:r>
            <w:r w:rsidR="00DB1635" w:rsidRPr="00B004EE">
              <w:rPr>
                <w:rFonts w:ascii="Tahoma" w:hAnsi="Tahoma" w:cs="Tahoma"/>
                <w:b/>
                <w:bCs/>
                <w:i/>
                <w:iCs/>
                <w:sz w:val="20"/>
                <w:szCs w:val="20"/>
              </w:rPr>
              <w:t xml:space="preserve"> </w:t>
            </w:r>
            <w:r w:rsidRPr="00B004EE">
              <w:rPr>
                <w:rFonts w:ascii="Tahoma" w:hAnsi="Tahoma" w:cs="Tahoma"/>
                <w:b/>
                <w:bCs/>
                <w:i/>
                <w:iCs/>
                <w:sz w:val="20"/>
                <w:szCs w:val="20"/>
              </w:rPr>
              <w:t>Pêche</w:t>
            </w:r>
            <w:r w:rsidR="00DB1635" w:rsidRPr="00B004EE">
              <w:rPr>
                <w:rFonts w:ascii="Tahoma" w:hAnsi="Tahoma" w:cs="Tahoma"/>
                <w:b/>
                <w:bCs/>
                <w:i/>
                <w:iCs/>
                <w:sz w:val="20"/>
                <w:szCs w:val="20"/>
              </w:rPr>
              <w:t xml:space="preserve"> </w:t>
            </w:r>
            <w:r w:rsidRPr="00B004EE">
              <w:rPr>
                <w:rFonts w:ascii="Tahoma" w:hAnsi="Tahoma" w:cs="Tahoma"/>
                <w:b/>
                <w:bCs/>
                <w:i/>
                <w:iCs/>
                <w:sz w:val="20"/>
                <w:szCs w:val="20"/>
              </w:rPr>
              <w:t>hauturière</w:t>
            </w:r>
          </w:p>
          <w:p w14:paraId="01524435" w14:textId="77777777" w:rsidR="008518B0" w:rsidRPr="00B004EE" w:rsidRDefault="008518B0" w:rsidP="00B004EE">
            <w:pPr>
              <w:jc w:val="both"/>
              <w:rPr>
                <w:rFonts w:ascii="Tahoma" w:hAnsi="Tahoma" w:cs="Tahoma"/>
                <w:b/>
                <w:bCs/>
                <w:i/>
                <w:iCs/>
                <w:sz w:val="20"/>
                <w:szCs w:val="20"/>
              </w:rPr>
            </w:pPr>
          </w:p>
          <w:p w14:paraId="4C0F5642" w14:textId="77777777" w:rsidR="008518B0" w:rsidRPr="00B004EE" w:rsidRDefault="008518B0" w:rsidP="00B004EE">
            <w:pPr>
              <w:jc w:val="both"/>
              <w:rPr>
                <w:rFonts w:ascii="Tahoma" w:hAnsi="Tahoma" w:cs="Tahoma"/>
                <w:b/>
                <w:bCs/>
                <w:i/>
                <w:iCs/>
                <w:sz w:val="20"/>
                <w:szCs w:val="20"/>
              </w:rPr>
            </w:pPr>
          </w:p>
          <w:p w14:paraId="036CF3E1" w14:textId="77777777" w:rsidR="008518B0" w:rsidRPr="00B004EE" w:rsidRDefault="008518B0" w:rsidP="00B004EE">
            <w:pPr>
              <w:jc w:val="both"/>
              <w:rPr>
                <w:rFonts w:ascii="Tahoma" w:hAnsi="Tahoma" w:cs="Tahoma"/>
                <w:b/>
                <w:bCs/>
                <w:i/>
                <w:iCs/>
                <w:sz w:val="20"/>
                <w:szCs w:val="20"/>
              </w:rPr>
            </w:pPr>
          </w:p>
          <w:p w14:paraId="05D4ABC6" w14:textId="77777777" w:rsidR="008518B0" w:rsidRPr="00B004EE" w:rsidRDefault="008518B0" w:rsidP="00B004EE">
            <w:pPr>
              <w:jc w:val="both"/>
              <w:rPr>
                <w:rFonts w:ascii="Tahoma" w:hAnsi="Tahoma" w:cs="Tahoma"/>
                <w:b/>
                <w:bCs/>
                <w:i/>
                <w:iCs/>
                <w:sz w:val="20"/>
                <w:szCs w:val="20"/>
              </w:rPr>
            </w:pPr>
          </w:p>
          <w:p w14:paraId="4ACE84C6" w14:textId="77777777" w:rsidR="008518B0" w:rsidRPr="00B004EE" w:rsidRDefault="008518B0" w:rsidP="00B004EE">
            <w:pPr>
              <w:jc w:val="both"/>
              <w:rPr>
                <w:rFonts w:ascii="Tahoma" w:hAnsi="Tahoma" w:cs="Tahoma"/>
                <w:b/>
                <w:bCs/>
                <w:i/>
                <w:iCs/>
                <w:sz w:val="20"/>
                <w:szCs w:val="20"/>
              </w:rPr>
            </w:pPr>
          </w:p>
          <w:p w14:paraId="6FC88275" w14:textId="77777777" w:rsidR="008518B0" w:rsidRPr="00B004EE" w:rsidRDefault="008518B0" w:rsidP="00B004EE">
            <w:pPr>
              <w:jc w:val="both"/>
              <w:rPr>
                <w:rFonts w:ascii="Tahoma" w:hAnsi="Tahoma" w:cs="Tahoma"/>
                <w:b/>
                <w:bCs/>
                <w:i/>
                <w:iCs/>
                <w:sz w:val="20"/>
                <w:szCs w:val="20"/>
              </w:rPr>
            </w:pPr>
          </w:p>
          <w:p w14:paraId="7A41BD3C" w14:textId="77777777" w:rsidR="008518B0" w:rsidRPr="00B004EE" w:rsidRDefault="008518B0" w:rsidP="00B004EE">
            <w:pPr>
              <w:jc w:val="both"/>
              <w:rPr>
                <w:rFonts w:ascii="Tahoma" w:hAnsi="Tahoma" w:cs="Tahoma"/>
                <w:b/>
                <w:bCs/>
                <w:i/>
                <w:iCs/>
                <w:sz w:val="20"/>
                <w:szCs w:val="20"/>
              </w:rPr>
            </w:pPr>
          </w:p>
        </w:tc>
        <w:tc>
          <w:tcPr>
            <w:tcW w:w="3402" w:type="dxa"/>
            <w:shd w:val="clear" w:color="auto" w:fill="auto"/>
          </w:tcPr>
          <w:p w14:paraId="47059504" w14:textId="1660AF80" w:rsidR="008518B0" w:rsidRPr="00B004EE" w:rsidRDefault="008518B0" w:rsidP="00B004EE">
            <w:pPr>
              <w:jc w:val="both"/>
              <w:rPr>
                <w:rFonts w:ascii="Tahoma" w:hAnsi="Tahoma" w:cs="Tahoma"/>
                <w:b/>
                <w:i/>
                <w:iCs/>
                <w:sz w:val="20"/>
                <w:szCs w:val="20"/>
              </w:rPr>
            </w:pPr>
            <w:r w:rsidRPr="00B004EE">
              <w:rPr>
                <w:rFonts w:ascii="Tahoma" w:hAnsi="Tahoma" w:cs="Tahoma"/>
                <w:b/>
                <w:i/>
                <w:iCs/>
                <w:sz w:val="20"/>
                <w:szCs w:val="20"/>
              </w:rPr>
              <w:lastRenderedPageBreak/>
              <w:t>Petits</w:t>
            </w:r>
            <w:r w:rsidR="00DB1635" w:rsidRPr="00B004EE">
              <w:rPr>
                <w:rFonts w:ascii="Tahoma" w:hAnsi="Tahoma" w:cs="Tahoma"/>
                <w:b/>
                <w:i/>
                <w:iCs/>
                <w:sz w:val="20"/>
                <w:szCs w:val="20"/>
              </w:rPr>
              <w:t xml:space="preserve"> </w:t>
            </w:r>
            <w:r w:rsidRPr="00B004EE">
              <w:rPr>
                <w:rFonts w:ascii="Tahoma" w:hAnsi="Tahoma" w:cs="Tahoma"/>
                <w:b/>
                <w:i/>
                <w:iCs/>
                <w:sz w:val="20"/>
                <w:szCs w:val="20"/>
              </w:rPr>
              <w:t>pélagiques</w:t>
            </w:r>
          </w:p>
          <w:p w14:paraId="3C329BC9" w14:textId="1D35159A" w:rsidR="008518B0" w:rsidRPr="00B004EE" w:rsidRDefault="008518B0" w:rsidP="00B004EE">
            <w:pPr>
              <w:jc w:val="both"/>
              <w:rPr>
                <w:rFonts w:ascii="Tahoma" w:hAnsi="Tahoma" w:cs="Tahoma"/>
                <w:i/>
                <w:iCs/>
                <w:sz w:val="20"/>
                <w:szCs w:val="20"/>
              </w:rPr>
            </w:pPr>
            <w:r w:rsidRPr="00B004EE">
              <w:rPr>
                <w:rFonts w:ascii="Tahoma" w:hAnsi="Tahoma" w:cs="Tahoma"/>
                <w:b/>
                <w:i/>
                <w:iCs/>
                <w:sz w:val="20"/>
                <w:szCs w:val="20"/>
              </w:rPr>
              <w:t>on</w:t>
            </w:r>
            <w:r w:rsidR="00DB1635" w:rsidRPr="00B004EE">
              <w:rPr>
                <w:rFonts w:ascii="Tahoma" w:hAnsi="Tahoma" w:cs="Tahoma"/>
                <w:b/>
                <w:i/>
                <w:iCs/>
                <w:sz w:val="20"/>
                <w:szCs w:val="20"/>
              </w:rPr>
              <w:t xml:space="preserve"> </w:t>
            </w:r>
            <w:r w:rsidRPr="00B004EE">
              <w:rPr>
                <w:rFonts w:ascii="Tahoma" w:hAnsi="Tahoma" w:cs="Tahoma"/>
                <w:b/>
                <w:i/>
                <w:iCs/>
                <w:sz w:val="20"/>
                <w:szCs w:val="20"/>
              </w:rPr>
              <w:t>peut</w:t>
            </w:r>
            <w:r w:rsidR="00DB1635" w:rsidRPr="00B004EE">
              <w:rPr>
                <w:rFonts w:ascii="Tahoma" w:hAnsi="Tahoma" w:cs="Tahoma"/>
                <w:b/>
                <w:i/>
                <w:iCs/>
                <w:sz w:val="20"/>
                <w:szCs w:val="20"/>
              </w:rPr>
              <w:t xml:space="preserve"> </w:t>
            </w:r>
            <w:r w:rsidRPr="00B004EE">
              <w:rPr>
                <w:rFonts w:ascii="Tahoma" w:hAnsi="Tahoma" w:cs="Tahoma"/>
                <w:b/>
                <w:i/>
                <w:iCs/>
                <w:sz w:val="20"/>
                <w:szCs w:val="20"/>
              </w:rPr>
              <w:t>scinder</w:t>
            </w:r>
            <w:r w:rsidR="00DB1635" w:rsidRPr="00B004EE">
              <w:rPr>
                <w:rFonts w:ascii="Tahoma" w:hAnsi="Tahoma" w:cs="Tahoma"/>
                <w:b/>
                <w:i/>
                <w:iCs/>
                <w:sz w:val="20"/>
                <w:szCs w:val="20"/>
              </w:rPr>
              <w:t xml:space="preserve"> </w:t>
            </w:r>
            <w:r w:rsidRPr="00B004EE">
              <w:rPr>
                <w:rFonts w:ascii="Tahoma" w:hAnsi="Tahoma" w:cs="Tahoma"/>
                <w:b/>
                <w:i/>
                <w:iCs/>
                <w:sz w:val="20"/>
                <w:szCs w:val="20"/>
              </w:rPr>
              <w:t>cette</w:t>
            </w:r>
            <w:r w:rsidR="00DB1635" w:rsidRPr="00B004EE">
              <w:rPr>
                <w:rFonts w:ascii="Tahoma" w:hAnsi="Tahoma" w:cs="Tahoma"/>
                <w:b/>
                <w:i/>
                <w:iCs/>
                <w:sz w:val="20"/>
                <w:szCs w:val="20"/>
              </w:rPr>
              <w:t xml:space="preserve"> </w:t>
            </w:r>
            <w:r w:rsidRPr="00B004EE">
              <w:rPr>
                <w:rFonts w:ascii="Tahoma" w:hAnsi="Tahoma" w:cs="Tahoma"/>
                <w:b/>
                <w:i/>
                <w:iCs/>
                <w:sz w:val="20"/>
                <w:szCs w:val="20"/>
              </w:rPr>
              <w:t>catégorie</w:t>
            </w:r>
            <w:r w:rsidR="00DB1635" w:rsidRPr="00B004EE">
              <w:rPr>
                <w:rFonts w:ascii="Tahoma" w:hAnsi="Tahoma" w:cs="Tahoma"/>
                <w:b/>
                <w:i/>
                <w:iCs/>
                <w:sz w:val="20"/>
                <w:szCs w:val="20"/>
              </w:rPr>
              <w:t xml:space="preserve"> </w:t>
            </w:r>
            <w:r w:rsidRPr="00B004EE">
              <w:rPr>
                <w:rFonts w:ascii="Tahoma" w:hAnsi="Tahoma" w:cs="Tahoma"/>
                <w:b/>
                <w:i/>
                <w:iCs/>
                <w:sz w:val="20"/>
                <w:szCs w:val="20"/>
              </w:rPr>
              <w:t>en</w:t>
            </w:r>
            <w:r w:rsidR="00DB1635" w:rsidRPr="00B004EE">
              <w:rPr>
                <w:rFonts w:ascii="Tahoma" w:hAnsi="Tahoma" w:cs="Tahoma"/>
                <w:b/>
                <w:i/>
                <w:iCs/>
                <w:sz w:val="20"/>
                <w:szCs w:val="20"/>
              </w:rPr>
              <w:t xml:space="preserve"> </w:t>
            </w:r>
            <w:r w:rsidRPr="00B004EE">
              <w:rPr>
                <w:rFonts w:ascii="Tahoma" w:hAnsi="Tahoma" w:cs="Tahoma"/>
                <w:b/>
                <w:i/>
                <w:iCs/>
                <w:sz w:val="20"/>
                <w:szCs w:val="20"/>
              </w:rPr>
              <w:t>deux</w:t>
            </w:r>
            <w:r w:rsidR="00DB1635" w:rsidRPr="00B004EE">
              <w:rPr>
                <w:rFonts w:ascii="Tahoma" w:hAnsi="Tahoma" w:cs="Tahoma"/>
                <w:b/>
                <w:i/>
                <w:iCs/>
                <w:sz w:val="20"/>
                <w:szCs w:val="20"/>
              </w:rPr>
              <w:t xml:space="preserve"> </w:t>
            </w:r>
            <w:r w:rsidRPr="00B004EE">
              <w:rPr>
                <w:rFonts w:ascii="Tahoma" w:hAnsi="Tahoma" w:cs="Tahoma"/>
                <w:b/>
                <w:i/>
                <w:iCs/>
                <w:sz w:val="20"/>
                <w:szCs w:val="20"/>
              </w:rPr>
              <w:t>(i)</w:t>
            </w:r>
            <w:r w:rsidR="00DB1635" w:rsidRPr="00B004EE">
              <w:rPr>
                <w:rFonts w:ascii="Tahoma" w:hAnsi="Tahoma" w:cs="Tahoma"/>
                <w:b/>
                <w:i/>
                <w:iCs/>
                <w:sz w:val="20"/>
                <w:szCs w:val="20"/>
              </w:rPr>
              <w:t xml:space="preserve"> </w:t>
            </w:r>
            <w:r w:rsidRPr="00B004EE">
              <w:rPr>
                <w:rFonts w:ascii="Tahoma" w:hAnsi="Tahoma" w:cs="Tahoma"/>
                <w:b/>
                <w:i/>
                <w:iCs/>
                <w:sz w:val="20"/>
                <w:szCs w:val="20"/>
              </w:rPr>
              <w:t>carangidé</w:t>
            </w:r>
            <w:r w:rsidR="00DB1635" w:rsidRPr="00B004EE">
              <w:rPr>
                <w:rFonts w:ascii="Tahoma" w:hAnsi="Tahoma" w:cs="Tahoma"/>
                <w:b/>
                <w:i/>
                <w:iCs/>
                <w:sz w:val="20"/>
                <w:szCs w:val="20"/>
              </w:rPr>
              <w:t xml:space="preserve"> </w:t>
            </w:r>
            <w:r w:rsidRPr="00B004EE">
              <w:rPr>
                <w:rFonts w:ascii="Tahoma" w:hAnsi="Tahoma" w:cs="Tahoma"/>
                <w:b/>
                <w:i/>
                <w:iCs/>
                <w:sz w:val="20"/>
                <w:szCs w:val="20"/>
              </w:rPr>
              <w:t>et</w:t>
            </w:r>
            <w:r w:rsidR="00DB1635" w:rsidRPr="00B004EE">
              <w:rPr>
                <w:rFonts w:ascii="Tahoma" w:hAnsi="Tahoma" w:cs="Tahoma"/>
                <w:b/>
                <w:i/>
                <w:iCs/>
                <w:sz w:val="20"/>
                <w:szCs w:val="20"/>
              </w:rPr>
              <w:t xml:space="preserve"> </w:t>
            </w:r>
            <w:r w:rsidRPr="00B004EE">
              <w:rPr>
                <w:rFonts w:ascii="Tahoma" w:hAnsi="Tahoma" w:cs="Tahoma"/>
                <w:b/>
                <w:i/>
                <w:iCs/>
                <w:sz w:val="20"/>
                <w:szCs w:val="20"/>
              </w:rPr>
              <w:t>(ii)</w:t>
            </w:r>
            <w:r w:rsidR="00DB1635" w:rsidRPr="00B004EE">
              <w:rPr>
                <w:rFonts w:ascii="Tahoma" w:hAnsi="Tahoma" w:cs="Tahoma"/>
                <w:b/>
                <w:i/>
                <w:iCs/>
                <w:sz w:val="20"/>
                <w:szCs w:val="20"/>
              </w:rPr>
              <w:t xml:space="preserve"> </w:t>
            </w:r>
            <w:r w:rsidRPr="00B004EE">
              <w:rPr>
                <w:rFonts w:ascii="Tahoma" w:hAnsi="Tahoma" w:cs="Tahoma"/>
                <w:b/>
                <w:i/>
                <w:iCs/>
                <w:sz w:val="20"/>
                <w:szCs w:val="20"/>
              </w:rPr>
              <w:t>clupéidés</w:t>
            </w:r>
          </w:p>
        </w:tc>
        <w:tc>
          <w:tcPr>
            <w:tcW w:w="4787" w:type="dxa"/>
            <w:shd w:val="clear" w:color="auto" w:fill="auto"/>
          </w:tcPr>
          <w:p w14:paraId="7C8F45FB" w14:textId="4775C1F6" w:rsidR="008518B0" w:rsidRPr="00B004EE" w:rsidRDefault="008518B0" w:rsidP="00B004EE">
            <w:pPr>
              <w:rPr>
                <w:rFonts w:ascii="Tahoma" w:hAnsi="Tahoma" w:cs="Tahoma"/>
                <w:sz w:val="20"/>
                <w:szCs w:val="20"/>
                <w:lang w:val="fr-CA"/>
              </w:rPr>
            </w:pPr>
            <w:r w:rsidRPr="00B004EE">
              <w:rPr>
                <w:rFonts w:ascii="Tahoma" w:hAnsi="Tahoma" w:cs="Tahoma"/>
                <w:sz w:val="20"/>
                <w:szCs w:val="20"/>
                <w:lang w:val="fr-CA"/>
              </w:rPr>
              <w:t>La</w:t>
            </w:r>
            <w:r w:rsidR="00DB1635" w:rsidRPr="00B004EE">
              <w:rPr>
                <w:rFonts w:ascii="Tahoma" w:hAnsi="Tahoma" w:cs="Tahoma"/>
                <w:sz w:val="20"/>
                <w:szCs w:val="20"/>
                <w:lang w:val="fr-CA"/>
              </w:rPr>
              <w:t xml:space="preserve"> </w:t>
            </w:r>
            <w:r w:rsidRPr="00B004EE">
              <w:rPr>
                <w:rFonts w:ascii="Tahoma" w:hAnsi="Tahoma" w:cs="Tahoma"/>
                <w:sz w:val="20"/>
                <w:szCs w:val="20"/>
                <w:lang w:val="fr-CA"/>
              </w:rPr>
              <w:t>pêche</w:t>
            </w:r>
            <w:r w:rsidR="00DB1635" w:rsidRPr="00B004EE">
              <w:rPr>
                <w:rFonts w:ascii="Tahoma" w:hAnsi="Tahoma" w:cs="Tahoma"/>
                <w:sz w:val="20"/>
                <w:szCs w:val="20"/>
                <w:lang w:val="fr-CA"/>
              </w:rPr>
              <w:t xml:space="preserve"> </w:t>
            </w:r>
            <w:r w:rsidRPr="00B004EE">
              <w:rPr>
                <w:rFonts w:ascii="Tahoma" w:hAnsi="Tahoma" w:cs="Tahoma"/>
                <w:sz w:val="20"/>
                <w:szCs w:val="20"/>
                <w:lang w:val="fr-CA"/>
              </w:rPr>
              <w:t>industrielle</w:t>
            </w:r>
            <w:r w:rsidR="00DB1635" w:rsidRPr="00B004EE">
              <w:rPr>
                <w:rFonts w:ascii="Tahoma" w:hAnsi="Tahoma" w:cs="Tahoma"/>
                <w:sz w:val="20"/>
                <w:szCs w:val="20"/>
                <w:lang w:val="fr-CA"/>
              </w:rPr>
              <w:t xml:space="preserve"> </w:t>
            </w:r>
            <w:r w:rsidRPr="00B004EE">
              <w:rPr>
                <w:rFonts w:ascii="Tahoma" w:hAnsi="Tahoma" w:cs="Tahoma"/>
                <w:sz w:val="20"/>
                <w:szCs w:val="20"/>
                <w:lang w:val="fr-CA"/>
              </w:rPr>
              <w:t>pélagique</w:t>
            </w:r>
            <w:r w:rsidR="00DB1635" w:rsidRPr="00B004EE">
              <w:rPr>
                <w:rFonts w:ascii="Tahoma" w:hAnsi="Tahoma" w:cs="Tahoma"/>
                <w:sz w:val="20"/>
                <w:szCs w:val="20"/>
                <w:lang w:val="fr-CA"/>
              </w:rPr>
              <w:t xml:space="preserve"> </w:t>
            </w:r>
            <w:r w:rsidRPr="00B004EE">
              <w:rPr>
                <w:rFonts w:ascii="Tahoma" w:hAnsi="Tahoma" w:cs="Tahoma"/>
                <w:sz w:val="20"/>
                <w:szCs w:val="20"/>
                <w:lang w:val="fr-CA"/>
              </w:rPr>
              <w:t>au</w:t>
            </w:r>
            <w:r w:rsidR="00DB1635" w:rsidRPr="00B004EE">
              <w:rPr>
                <w:rFonts w:ascii="Tahoma" w:hAnsi="Tahoma" w:cs="Tahoma"/>
                <w:sz w:val="20"/>
                <w:szCs w:val="20"/>
                <w:lang w:val="fr-CA"/>
              </w:rPr>
              <w:t xml:space="preserve"> </w:t>
            </w:r>
            <w:r w:rsidR="00526DF0" w:rsidRPr="00B004EE">
              <w:rPr>
                <w:rFonts w:ascii="Tahoma" w:hAnsi="Tahoma" w:cs="Tahoma"/>
                <w:sz w:val="20"/>
                <w:szCs w:val="20"/>
                <w:lang w:val="fr-CA"/>
              </w:rPr>
              <w:t xml:space="preserve">       </w:t>
            </w:r>
            <w:r w:rsidR="00526DF0" w:rsidRPr="00B004EE">
              <w:rPr>
                <w:rFonts w:ascii="Tahoma" w:hAnsi="Tahoma" w:cs="Tahoma"/>
                <w:b/>
                <w:bCs/>
                <w:i/>
                <w:iCs/>
                <w:sz w:val="20"/>
                <w:szCs w:val="20"/>
                <w:lang w:val="fr-CA"/>
              </w:rPr>
              <w:t>Z5</w:t>
            </w:r>
            <w:r w:rsidR="00526DF0" w:rsidRPr="00B004EE">
              <w:rPr>
                <w:rFonts w:ascii="Tahoma" w:hAnsi="Tahoma" w:cs="Tahoma"/>
                <w:sz w:val="20"/>
                <w:szCs w:val="20"/>
                <w:lang w:val="fr-CA"/>
              </w:rPr>
              <w:t xml:space="preserve"> </w:t>
            </w:r>
            <w:r w:rsidRPr="00B004EE">
              <w:rPr>
                <w:rFonts w:ascii="Tahoma" w:hAnsi="Tahoma" w:cs="Tahoma"/>
                <w:sz w:val="20"/>
                <w:szCs w:val="20"/>
                <w:lang w:val="fr-CA"/>
              </w:rPr>
              <w:t>chalut</w:t>
            </w:r>
            <w:r w:rsidR="00DB1635" w:rsidRPr="00B004EE">
              <w:rPr>
                <w:rFonts w:ascii="Tahoma" w:hAnsi="Tahoma" w:cs="Tahoma"/>
                <w:sz w:val="20"/>
                <w:szCs w:val="20"/>
                <w:lang w:val="fr-CA"/>
              </w:rPr>
              <w:t xml:space="preserve"> </w:t>
            </w:r>
            <w:r w:rsidRPr="00B004EE">
              <w:rPr>
                <w:rFonts w:ascii="Tahoma" w:hAnsi="Tahoma" w:cs="Tahoma"/>
                <w:sz w:val="20"/>
                <w:szCs w:val="20"/>
                <w:lang w:val="fr-CA"/>
              </w:rPr>
              <w:t>est</w:t>
            </w:r>
            <w:r w:rsidR="00DB1635" w:rsidRPr="00B004EE">
              <w:rPr>
                <w:rFonts w:ascii="Tahoma" w:hAnsi="Tahoma" w:cs="Tahoma"/>
                <w:sz w:val="20"/>
                <w:szCs w:val="20"/>
                <w:lang w:val="fr-CA"/>
              </w:rPr>
              <w:t xml:space="preserve"> </w:t>
            </w:r>
            <w:r w:rsidRPr="00B004EE">
              <w:rPr>
                <w:rFonts w:ascii="Tahoma" w:hAnsi="Tahoma" w:cs="Tahoma"/>
                <w:sz w:val="20"/>
                <w:szCs w:val="20"/>
                <w:lang w:val="fr-CA"/>
              </w:rPr>
              <w:t>autorisée</w:t>
            </w:r>
            <w:r w:rsidR="00DB1635" w:rsidRPr="00B004EE">
              <w:rPr>
                <w:rFonts w:ascii="Tahoma" w:hAnsi="Tahoma" w:cs="Tahoma"/>
                <w:sz w:val="20"/>
                <w:szCs w:val="20"/>
                <w:lang w:val="fr-CA"/>
              </w:rPr>
              <w:t xml:space="preserve"> </w:t>
            </w:r>
            <w:r w:rsidR="00526DF0" w:rsidRPr="00B004EE">
              <w:rPr>
                <w:rFonts w:ascii="Tahoma" w:hAnsi="Tahoma" w:cs="Tahoma"/>
                <w:sz w:val="20"/>
                <w:szCs w:val="20"/>
                <w:lang w:val="fr-CA"/>
              </w:rPr>
              <w:t>:</w:t>
            </w:r>
          </w:p>
          <w:p w14:paraId="1F7CB7D4" w14:textId="5DF683C3" w:rsidR="008518B0" w:rsidRPr="00B004EE" w:rsidRDefault="008518B0" w:rsidP="00B004EE">
            <w:pPr>
              <w:rPr>
                <w:rFonts w:ascii="Tahoma" w:hAnsi="Tahoma" w:cs="Tahoma"/>
                <w:sz w:val="20"/>
                <w:szCs w:val="20"/>
                <w:lang w:val="fr-CA"/>
              </w:rPr>
            </w:pPr>
            <w:r w:rsidRPr="00B004EE">
              <w:rPr>
                <w:rFonts w:ascii="Tahoma" w:hAnsi="Tahoma" w:cs="Tahoma"/>
                <w:sz w:val="20"/>
                <w:szCs w:val="20"/>
                <w:lang w:val="fr-CA"/>
              </w:rPr>
              <w:t>Au</w:t>
            </w:r>
            <w:r w:rsidR="00DB1635" w:rsidRPr="00B004EE">
              <w:rPr>
                <w:rFonts w:ascii="Tahoma" w:hAnsi="Tahoma" w:cs="Tahoma"/>
                <w:sz w:val="20"/>
                <w:szCs w:val="20"/>
                <w:lang w:val="fr-CA"/>
              </w:rPr>
              <w:t xml:space="preserve"> </w:t>
            </w:r>
            <w:r w:rsidRPr="00B004EE">
              <w:rPr>
                <w:rFonts w:ascii="Tahoma" w:hAnsi="Tahoma" w:cs="Tahoma"/>
                <w:sz w:val="20"/>
                <w:szCs w:val="20"/>
                <w:lang w:val="fr-CA"/>
              </w:rPr>
              <w:t>nord</w:t>
            </w:r>
            <w:r w:rsidR="00DB1635" w:rsidRPr="00B004EE">
              <w:rPr>
                <w:rFonts w:ascii="Tahoma" w:hAnsi="Tahoma" w:cs="Tahoma"/>
                <w:sz w:val="20"/>
                <w:szCs w:val="20"/>
                <w:lang w:val="fr-CA"/>
              </w:rPr>
              <w:t xml:space="preserve"> </w:t>
            </w:r>
            <w:r w:rsidRPr="00B004EE">
              <w:rPr>
                <w:rFonts w:ascii="Tahoma" w:hAnsi="Tahoma" w:cs="Tahoma"/>
                <w:sz w:val="20"/>
                <w:szCs w:val="20"/>
                <w:lang w:val="fr-CA"/>
              </w:rPr>
              <w:t>du</w:t>
            </w:r>
            <w:r w:rsidR="00DB1635" w:rsidRPr="00B004EE">
              <w:rPr>
                <w:rFonts w:ascii="Tahoma" w:hAnsi="Tahoma" w:cs="Tahoma"/>
                <w:sz w:val="20"/>
                <w:szCs w:val="20"/>
                <w:lang w:val="fr-CA"/>
              </w:rPr>
              <w:t xml:space="preserve"> </w:t>
            </w:r>
            <w:r w:rsidRPr="00B004EE">
              <w:rPr>
                <w:rFonts w:ascii="Tahoma" w:hAnsi="Tahoma" w:cs="Tahoma"/>
                <w:sz w:val="20"/>
                <w:szCs w:val="20"/>
                <w:lang w:val="fr-CA"/>
              </w:rPr>
              <w:t>parallèle</w:t>
            </w:r>
            <w:r w:rsidR="00DB1635" w:rsidRPr="00B004EE">
              <w:rPr>
                <w:rFonts w:ascii="Tahoma" w:hAnsi="Tahoma" w:cs="Tahoma"/>
                <w:sz w:val="20"/>
                <w:szCs w:val="20"/>
                <w:lang w:val="fr-CA"/>
              </w:rPr>
              <w:t xml:space="preserve"> </w:t>
            </w:r>
            <w:r w:rsidRPr="00B004EE">
              <w:rPr>
                <w:rFonts w:ascii="Tahoma" w:hAnsi="Tahoma" w:cs="Tahoma"/>
                <w:sz w:val="20"/>
                <w:szCs w:val="20"/>
              </w:rPr>
              <w:t>19°19.12</w:t>
            </w:r>
            <w:r w:rsidRPr="00B004EE">
              <w:rPr>
                <w:rFonts w:ascii="Tahoma" w:hAnsi="Tahoma" w:cs="Tahoma"/>
                <w:sz w:val="20"/>
                <w:szCs w:val="20"/>
                <w:lang w:val="fr-CA"/>
              </w:rPr>
              <w:t>N,</w:t>
            </w:r>
            <w:r w:rsidR="00DB1635" w:rsidRPr="00B004EE">
              <w:rPr>
                <w:rFonts w:ascii="Tahoma" w:hAnsi="Tahoma" w:cs="Tahoma"/>
                <w:sz w:val="20"/>
                <w:szCs w:val="20"/>
                <w:lang w:val="fr-CA"/>
              </w:rPr>
              <w:t xml:space="preserve"> </w:t>
            </w:r>
            <w:r w:rsidRPr="00B004EE">
              <w:rPr>
                <w:rFonts w:ascii="Tahoma" w:hAnsi="Tahoma" w:cs="Tahoma"/>
                <w:sz w:val="20"/>
                <w:szCs w:val="20"/>
                <w:lang w:val="fr-CA"/>
              </w:rPr>
              <w:t>à</w:t>
            </w:r>
            <w:r w:rsidR="00DB1635" w:rsidRPr="00B004EE">
              <w:rPr>
                <w:rFonts w:ascii="Tahoma" w:hAnsi="Tahoma" w:cs="Tahoma"/>
                <w:sz w:val="20"/>
                <w:szCs w:val="20"/>
                <w:lang w:val="fr-CA"/>
              </w:rPr>
              <w:t xml:space="preserve"> </w:t>
            </w:r>
            <w:r w:rsidRPr="00B004EE">
              <w:rPr>
                <w:rFonts w:ascii="Tahoma" w:hAnsi="Tahoma" w:cs="Tahoma"/>
                <w:sz w:val="20"/>
                <w:szCs w:val="20"/>
                <w:lang w:val="fr-CA"/>
              </w:rPr>
              <w:t>l’Ouest</w:t>
            </w:r>
            <w:r w:rsidR="00DB1635" w:rsidRPr="00B004EE">
              <w:rPr>
                <w:rFonts w:ascii="Tahoma" w:hAnsi="Tahoma" w:cs="Tahoma"/>
                <w:sz w:val="20"/>
                <w:szCs w:val="20"/>
                <w:lang w:val="fr-CA"/>
              </w:rPr>
              <w:t xml:space="preserve"> </w:t>
            </w:r>
            <w:r w:rsidRPr="00B004EE">
              <w:rPr>
                <w:rFonts w:ascii="Tahoma" w:hAnsi="Tahoma" w:cs="Tahoma"/>
                <w:sz w:val="20"/>
                <w:szCs w:val="20"/>
                <w:lang w:val="fr-CA"/>
              </w:rPr>
              <w:t>de</w:t>
            </w:r>
            <w:r w:rsidR="00DB1635" w:rsidRPr="00B004EE">
              <w:rPr>
                <w:rFonts w:ascii="Tahoma" w:hAnsi="Tahoma" w:cs="Tahoma"/>
                <w:sz w:val="20"/>
                <w:szCs w:val="20"/>
                <w:lang w:val="fr-CA"/>
              </w:rPr>
              <w:t xml:space="preserve"> </w:t>
            </w:r>
            <w:r w:rsidRPr="00B004EE">
              <w:rPr>
                <w:rFonts w:ascii="Tahoma" w:hAnsi="Tahoma" w:cs="Tahoma"/>
                <w:sz w:val="20"/>
                <w:szCs w:val="20"/>
                <w:lang w:val="fr-CA"/>
              </w:rPr>
              <w:t>la</w:t>
            </w:r>
            <w:r w:rsidR="00DB1635" w:rsidRPr="00B004EE">
              <w:rPr>
                <w:rFonts w:ascii="Tahoma" w:hAnsi="Tahoma" w:cs="Tahoma"/>
                <w:sz w:val="20"/>
                <w:szCs w:val="20"/>
                <w:lang w:val="fr-CA"/>
              </w:rPr>
              <w:t xml:space="preserve"> </w:t>
            </w:r>
            <w:r w:rsidRPr="00B004EE">
              <w:rPr>
                <w:rFonts w:ascii="Tahoma" w:hAnsi="Tahoma" w:cs="Tahoma"/>
                <w:sz w:val="20"/>
                <w:szCs w:val="20"/>
                <w:lang w:val="fr-CA"/>
              </w:rPr>
              <w:t>zone</w:t>
            </w:r>
            <w:r w:rsidR="00DB1635" w:rsidRPr="00B004EE">
              <w:rPr>
                <w:rFonts w:ascii="Tahoma" w:hAnsi="Tahoma" w:cs="Tahoma"/>
                <w:sz w:val="20"/>
                <w:szCs w:val="20"/>
                <w:lang w:val="fr-CA"/>
              </w:rPr>
              <w:t xml:space="preserve"> </w:t>
            </w:r>
            <w:r w:rsidRPr="00B004EE">
              <w:rPr>
                <w:rFonts w:ascii="Tahoma" w:hAnsi="Tahoma" w:cs="Tahoma"/>
                <w:sz w:val="20"/>
                <w:szCs w:val="20"/>
                <w:lang w:val="fr-CA"/>
              </w:rPr>
              <w:t>délimitée</w:t>
            </w:r>
            <w:r w:rsidR="00DB1635" w:rsidRPr="00B004EE">
              <w:rPr>
                <w:rFonts w:ascii="Tahoma" w:hAnsi="Tahoma" w:cs="Tahoma"/>
                <w:sz w:val="20"/>
                <w:szCs w:val="20"/>
                <w:lang w:val="fr-CA"/>
              </w:rPr>
              <w:t xml:space="preserve"> </w:t>
            </w:r>
            <w:r w:rsidRPr="00B004EE">
              <w:rPr>
                <w:rFonts w:ascii="Tahoma" w:hAnsi="Tahoma" w:cs="Tahoma"/>
                <w:sz w:val="20"/>
                <w:szCs w:val="20"/>
                <w:lang w:val="fr-CA"/>
              </w:rPr>
              <w:t>par</w:t>
            </w:r>
            <w:r w:rsidR="00DB1635" w:rsidRPr="00B004EE">
              <w:rPr>
                <w:rFonts w:ascii="Tahoma" w:hAnsi="Tahoma" w:cs="Tahoma"/>
                <w:sz w:val="20"/>
                <w:szCs w:val="20"/>
                <w:lang w:val="fr-CA"/>
              </w:rPr>
              <w:t xml:space="preserve"> </w:t>
            </w:r>
            <w:r w:rsidRPr="00B004EE">
              <w:rPr>
                <w:rFonts w:ascii="Tahoma" w:hAnsi="Tahoma" w:cs="Tahoma"/>
                <w:sz w:val="20"/>
                <w:szCs w:val="20"/>
                <w:lang w:val="fr-CA"/>
              </w:rPr>
              <w:t>les</w:t>
            </w:r>
            <w:r w:rsidR="00DB1635" w:rsidRPr="00B004EE">
              <w:rPr>
                <w:rFonts w:ascii="Tahoma" w:hAnsi="Tahoma" w:cs="Tahoma"/>
                <w:sz w:val="20"/>
                <w:szCs w:val="20"/>
                <w:lang w:val="fr-CA"/>
              </w:rPr>
              <w:t xml:space="preserve"> </w:t>
            </w:r>
            <w:r w:rsidRPr="00B004EE">
              <w:rPr>
                <w:rFonts w:ascii="Tahoma" w:hAnsi="Tahoma" w:cs="Tahoma"/>
                <w:sz w:val="20"/>
                <w:szCs w:val="20"/>
                <w:lang w:val="fr-CA"/>
              </w:rPr>
              <w:t>points</w:t>
            </w:r>
            <w:r w:rsidR="00DB1635" w:rsidRPr="00B004EE">
              <w:rPr>
                <w:rFonts w:ascii="Tahoma" w:hAnsi="Tahoma" w:cs="Tahoma"/>
                <w:sz w:val="20"/>
                <w:szCs w:val="20"/>
                <w:lang w:val="fr-CA"/>
              </w:rPr>
              <w:t xml:space="preserve"> </w:t>
            </w:r>
            <w:r w:rsidRPr="00B004EE">
              <w:rPr>
                <w:rFonts w:ascii="Tahoma" w:hAnsi="Tahoma" w:cs="Tahoma"/>
                <w:sz w:val="20"/>
                <w:szCs w:val="20"/>
                <w:lang w:val="fr-CA"/>
              </w:rPr>
              <w:t>suivants</w:t>
            </w:r>
            <w:r w:rsidR="00DB1635" w:rsidRPr="00B004EE">
              <w:rPr>
                <w:rFonts w:ascii="Tahoma" w:hAnsi="Tahoma" w:cs="Tahoma"/>
                <w:sz w:val="20"/>
                <w:szCs w:val="20"/>
                <w:lang w:val="fr-CA"/>
              </w:rPr>
              <w:t xml:space="preserve"> </w:t>
            </w:r>
            <w:r w:rsidRPr="00B004EE">
              <w:rPr>
                <w:rFonts w:ascii="Tahoma" w:hAnsi="Tahoma" w:cs="Tahoma"/>
                <w:sz w:val="20"/>
                <w:szCs w:val="20"/>
                <w:lang w:val="fr-CA"/>
              </w:rPr>
              <w:t>:</w:t>
            </w:r>
          </w:p>
          <w:p w14:paraId="0EA50D6B" w14:textId="66A33838" w:rsidR="008518B0" w:rsidRPr="00B004EE" w:rsidRDefault="008518B0" w:rsidP="00B004EE">
            <w:pPr>
              <w:rPr>
                <w:rFonts w:ascii="Tahoma" w:hAnsi="Tahoma" w:cs="Tahoma"/>
                <w:sz w:val="20"/>
                <w:szCs w:val="20"/>
                <w:lang w:val="pt-PT"/>
              </w:rPr>
            </w:pPr>
            <w:r w:rsidRPr="00B004EE">
              <w:rPr>
                <w:rFonts w:ascii="Tahoma" w:hAnsi="Tahoma" w:cs="Tahoma"/>
                <w:sz w:val="20"/>
                <w:szCs w:val="20"/>
                <w:lang w:val="pt-PT"/>
              </w:rPr>
              <w:t>A</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20°</w:t>
            </w:r>
            <w:r w:rsidR="00DB1635" w:rsidRPr="00B004EE">
              <w:rPr>
                <w:rFonts w:ascii="Tahoma" w:hAnsi="Tahoma" w:cs="Tahoma"/>
                <w:sz w:val="20"/>
                <w:szCs w:val="20"/>
                <w:lang w:val="pt-PT"/>
              </w:rPr>
              <w:t xml:space="preserve"> </w:t>
            </w:r>
            <w:r w:rsidRPr="00B004EE">
              <w:rPr>
                <w:rFonts w:ascii="Tahoma" w:hAnsi="Tahoma" w:cs="Tahoma"/>
                <w:sz w:val="20"/>
                <w:szCs w:val="20"/>
                <w:lang w:val="pt-PT"/>
              </w:rPr>
              <w:t>46.30'N</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17°</w:t>
            </w:r>
            <w:r w:rsidR="00DB1635" w:rsidRPr="00B004EE">
              <w:rPr>
                <w:rFonts w:ascii="Tahoma" w:hAnsi="Tahoma" w:cs="Tahoma"/>
                <w:sz w:val="20"/>
                <w:szCs w:val="20"/>
                <w:lang w:val="pt-PT"/>
              </w:rPr>
              <w:t xml:space="preserve"> </w:t>
            </w:r>
            <w:r w:rsidRPr="00B004EE">
              <w:rPr>
                <w:rFonts w:ascii="Tahoma" w:hAnsi="Tahoma" w:cs="Tahoma"/>
                <w:sz w:val="20"/>
                <w:szCs w:val="20"/>
                <w:lang w:val="pt-PT"/>
              </w:rPr>
              <w:t>03.00'W</w:t>
            </w:r>
          </w:p>
          <w:p w14:paraId="6D008DB2" w14:textId="69FB98DF" w:rsidR="008518B0" w:rsidRPr="00B004EE" w:rsidRDefault="008518B0" w:rsidP="00B004EE">
            <w:pPr>
              <w:rPr>
                <w:rFonts w:ascii="Tahoma" w:hAnsi="Tahoma" w:cs="Tahoma"/>
                <w:sz w:val="20"/>
                <w:szCs w:val="20"/>
                <w:lang w:val="pt-PT"/>
              </w:rPr>
            </w:pPr>
            <w:r w:rsidRPr="00B004EE">
              <w:rPr>
                <w:rFonts w:ascii="Tahoma" w:hAnsi="Tahoma" w:cs="Tahoma"/>
                <w:sz w:val="20"/>
                <w:szCs w:val="20"/>
                <w:lang w:val="pt-PT"/>
              </w:rPr>
              <w:t>B</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20°</w:t>
            </w:r>
            <w:r w:rsidR="00DB1635" w:rsidRPr="00B004EE">
              <w:rPr>
                <w:rFonts w:ascii="Tahoma" w:hAnsi="Tahoma" w:cs="Tahoma"/>
                <w:sz w:val="20"/>
                <w:szCs w:val="20"/>
                <w:lang w:val="pt-PT"/>
              </w:rPr>
              <w:t xml:space="preserve"> </w:t>
            </w:r>
            <w:r w:rsidRPr="00B004EE">
              <w:rPr>
                <w:rFonts w:ascii="Tahoma" w:hAnsi="Tahoma" w:cs="Tahoma"/>
                <w:sz w:val="20"/>
                <w:szCs w:val="20"/>
                <w:lang w:val="pt-PT"/>
              </w:rPr>
              <w:t>40.00'N</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17°</w:t>
            </w:r>
            <w:r w:rsidR="00DB1635" w:rsidRPr="00B004EE">
              <w:rPr>
                <w:rFonts w:ascii="Tahoma" w:hAnsi="Tahoma" w:cs="Tahoma"/>
                <w:sz w:val="20"/>
                <w:szCs w:val="20"/>
                <w:lang w:val="pt-PT"/>
              </w:rPr>
              <w:t xml:space="preserve"> </w:t>
            </w:r>
            <w:r w:rsidRPr="00B004EE">
              <w:rPr>
                <w:rFonts w:ascii="Tahoma" w:hAnsi="Tahoma" w:cs="Tahoma"/>
                <w:sz w:val="20"/>
                <w:szCs w:val="20"/>
                <w:lang w:val="pt-PT"/>
              </w:rPr>
              <w:t>08.30'W</w:t>
            </w:r>
          </w:p>
          <w:p w14:paraId="4948DEF9" w14:textId="750E4ACC" w:rsidR="008518B0" w:rsidRPr="00B004EE" w:rsidRDefault="008518B0" w:rsidP="00B004EE">
            <w:pPr>
              <w:rPr>
                <w:rFonts w:ascii="Tahoma" w:hAnsi="Tahoma" w:cs="Tahoma"/>
                <w:sz w:val="20"/>
                <w:szCs w:val="20"/>
                <w:lang w:val="pt-PT"/>
              </w:rPr>
            </w:pPr>
            <w:r w:rsidRPr="00B004EE">
              <w:rPr>
                <w:rFonts w:ascii="Tahoma" w:hAnsi="Tahoma" w:cs="Tahoma"/>
                <w:sz w:val="20"/>
                <w:szCs w:val="20"/>
                <w:lang w:val="pt-PT"/>
              </w:rPr>
              <w:t>D</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20°</w:t>
            </w:r>
            <w:r w:rsidR="00DB1635" w:rsidRPr="00B004EE">
              <w:rPr>
                <w:rFonts w:ascii="Tahoma" w:hAnsi="Tahoma" w:cs="Tahoma"/>
                <w:sz w:val="20"/>
                <w:szCs w:val="20"/>
                <w:lang w:val="pt-PT"/>
              </w:rPr>
              <w:t xml:space="preserve"> </w:t>
            </w:r>
            <w:r w:rsidRPr="00B004EE">
              <w:rPr>
                <w:rFonts w:ascii="Tahoma" w:hAnsi="Tahoma" w:cs="Tahoma"/>
                <w:sz w:val="20"/>
                <w:szCs w:val="20"/>
                <w:lang w:val="pt-PT"/>
              </w:rPr>
              <w:t>36.00'N</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17°</w:t>
            </w:r>
            <w:r w:rsidR="00DB1635" w:rsidRPr="00B004EE">
              <w:rPr>
                <w:rFonts w:ascii="Tahoma" w:hAnsi="Tahoma" w:cs="Tahoma"/>
                <w:sz w:val="20"/>
                <w:szCs w:val="20"/>
                <w:lang w:val="pt-PT"/>
              </w:rPr>
              <w:t xml:space="preserve"> </w:t>
            </w:r>
            <w:r w:rsidRPr="00B004EE">
              <w:rPr>
                <w:rFonts w:ascii="Tahoma" w:hAnsi="Tahoma" w:cs="Tahoma"/>
                <w:sz w:val="20"/>
                <w:szCs w:val="20"/>
                <w:lang w:val="pt-PT"/>
              </w:rPr>
              <w:t>11.00'W</w:t>
            </w:r>
          </w:p>
          <w:p w14:paraId="0B9ED34C" w14:textId="683F55A6" w:rsidR="008518B0" w:rsidRPr="00B004EE" w:rsidRDefault="008518B0" w:rsidP="00B004EE">
            <w:pPr>
              <w:rPr>
                <w:rFonts w:ascii="Tahoma" w:hAnsi="Tahoma" w:cs="Tahoma"/>
                <w:sz w:val="20"/>
                <w:szCs w:val="20"/>
                <w:lang w:val="pt-PT"/>
              </w:rPr>
            </w:pPr>
            <w:r w:rsidRPr="00B004EE">
              <w:rPr>
                <w:rFonts w:ascii="Tahoma" w:hAnsi="Tahoma" w:cs="Tahoma"/>
                <w:sz w:val="20"/>
                <w:szCs w:val="20"/>
                <w:lang w:val="pt-PT"/>
              </w:rPr>
              <w:t>D’</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20°</w:t>
            </w:r>
            <w:r w:rsidR="00DB1635" w:rsidRPr="00B004EE">
              <w:rPr>
                <w:rFonts w:ascii="Tahoma" w:hAnsi="Tahoma" w:cs="Tahoma"/>
                <w:sz w:val="20"/>
                <w:szCs w:val="20"/>
                <w:lang w:val="pt-PT"/>
              </w:rPr>
              <w:t xml:space="preserve"> </w:t>
            </w:r>
            <w:r w:rsidRPr="00B004EE">
              <w:rPr>
                <w:rFonts w:ascii="Tahoma" w:hAnsi="Tahoma" w:cs="Tahoma"/>
                <w:sz w:val="20"/>
                <w:szCs w:val="20"/>
                <w:lang w:val="pt-PT"/>
              </w:rPr>
              <w:t>36.00'N</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17°</w:t>
            </w:r>
            <w:r w:rsidR="00DB1635" w:rsidRPr="00B004EE">
              <w:rPr>
                <w:rFonts w:ascii="Tahoma" w:hAnsi="Tahoma" w:cs="Tahoma"/>
                <w:sz w:val="20"/>
                <w:szCs w:val="20"/>
                <w:lang w:val="pt-PT"/>
              </w:rPr>
              <w:t xml:space="preserve"> </w:t>
            </w:r>
            <w:r w:rsidRPr="00B004EE">
              <w:rPr>
                <w:rFonts w:ascii="Tahoma" w:hAnsi="Tahoma" w:cs="Tahoma"/>
                <w:sz w:val="20"/>
                <w:szCs w:val="20"/>
                <w:lang w:val="pt-PT"/>
              </w:rPr>
              <w:t>30.00'W</w:t>
            </w:r>
          </w:p>
          <w:p w14:paraId="671CC01B" w14:textId="7C6ABB8D" w:rsidR="008518B0" w:rsidRPr="00B004EE" w:rsidRDefault="008518B0" w:rsidP="00B004EE">
            <w:pPr>
              <w:rPr>
                <w:rFonts w:ascii="Tahoma" w:hAnsi="Tahoma" w:cs="Tahoma"/>
                <w:sz w:val="20"/>
                <w:szCs w:val="20"/>
                <w:lang w:val="pt-PT"/>
              </w:rPr>
            </w:pPr>
            <w:r w:rsidRPr="00B004EE">
              <w:rPr>
                <w:rFonts w:ascii="Tahoma" w:hAnsi="Tahoma" w:cs="Tahoma"/>
                <w:sz w:val="20"/>
                <w:szCs w:val="20"/>
                <w:lang w:val="pt-PT"/>
              </w:rPr>
              <w:t>U</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20°</w:t>
            </w:r>
            <w:r w:rsidR="00DB1635" w:rsidRPr="00B004EE">
              <w:rPr>
                <w:rFonts w:ascii="Tahoma" w:hAnsi="Tahoma" w:cs="Tahoma"/>
                <w:sz w:val="20"/>
                <w:szCs w:val="20"/>
                <w:lang w:val="pt-PT"/>
              </w:rPr>
              <w:t xml:space="preserve"> </w:t>
            </w:r>
            <w:r w:rsidRPr="00B004EE">
              <w:rPr>
                <w:rFonts w:ascii="Tahoma" w:hAnsi="Tahoma" w:cs="Tahoma"/>
                <w:sz w:val="20"/>
                <w:szCs w:val="20"/>
                <w:lang w:val="pt-PT"/>
              </w:rPr>
              <w:t>21.50'N</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17°</w:t>
            </w:r>
            <w:r w:rsidR="00DB1635" w:rsidRPr="00B004EE">
              <w:rPr>
                <w:rFonts w:ascii="Tahoma" w:hAnsi="Tahoma" w:cs="Tahoma"/>
                <w:sz w:val="20"/>
                <w:szCs w:val="20"/>
                <w:lang w:val="pt-PT"/>
              </w:rPr>
              <w:t xml:space="preserve"> </w:t>
            </w:r>
            <w:r w:rsidRPr="00B004EE">
              <w:rPr>
                <w:rFonts w:ascii="Tahoma" w:hAnsi="Tahoma" w:cs="Tahoma"/>
                <w:sz w:val="20"/>
                <w:szCs w:val="20"/>
                <w:lang w:val="pt-PT"/>
              </w:rPr>
              <w:t>30.00'W</w:t>
            </w:r>
          </w:p>
          <w:p w14:paraId="5502C02C" w14:textId="4872C879" w:rsidR="008518B0" w:rsidRPr="00B004EE" w:rsidRDefault="008518B0" w:rsidP="00B004EE">
            <w:pPr>
              <w:rPr>
                <w:rFonts w:ascii="Tahoma" w:hAnsi="Tahoma" w:cs="Tahoma"/>
                <w:sz w:val="20"/>
                <w:szCs w:val="20"/>
                <w:lang w:val="pt-PT"/>
              </w:rPr>
            </w:pPr>
            <w:r w:rsidRPr="00B004EE">
              <w:rPr>
                <w:rFonts w:ascii="Tahoma" w:hAnsi="Tahoma" w:cs="Tahoma"/>
                <w:sz w:val="20"/>
                <w:szCs w:val="20"/>
                <w:lang w:val="pt-PT"/>
              </w:rPr>
              <w:lastRenderedPageBreak/>
              <w:t>F’</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20°</w:t>
            </w:r>
            <w:r w:rsidR="00DB1635" w:rsidRPr="00B004EE">
              <w:rPr>
                <w:rFonts w:ascii="Tahoma" w:hAnsi="Tahoma" w:cs="Tahoma"/>
                <w:sz w:val="20"/>
                <w:szCs w:val="20"/>
                <w:lang w:val="pt-PT"/>
              </w:rPr>
              <w:t xml:space="preserve"> </w:t>
            </w:r>
            <w:r w:rsidRPr="00B004EE">
              <w:rPr>
                <w:rFonts w:ascii="Tahoma" w:hAnsi="Tahoma" w:cs="Tahoma"/>
                <w:sz w:val="20"/>
                <w:szCs w:val="20"/>
                <w:lang w:val="pt-PT"/>
              </w:rPr>
              <w:t>10.00'N</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17°</w:t>
            </w:r>
            <w:r w:rsidR="00DB1635" w:rsidRPr="00B004EE">
              <w:rPr>
                <w:rFonts w:ascii="Tahoma" w:hAnsi="Tahoma" w:cs="Tahoma"/>
                <w:sz w:val="20"/>
                <w:szCs w:val="20"/>
                <w:lang w:val="pt-PT"/>
              </w:rPr>
              <w:t xml:space="preserve"> </w:t>
            </w:r>
            <w:r w:rsidRPr="00B004EE">
              <w:rPr>
                <w:rFonts w:ascii="Tahoma" w:hAnsi="Tahoma" w:cs="Tahoma"/>
                <w:sz w:val="20"/>
                <w:szCs w:val="20"/>
                <w:lang w:val="pt-PT"/>
              </w:rPr>
              <w:t>35.00'W</w:t>
            </w:r>
          </w:p>
          <w:p w14:paraId="65933531" w14:textId="4DB5BC36" w:rsidR="008518B0" w:rsidRPr="00B004EE" w:rsidRDefault="008518B0" w:rsidP="00B004EE">
            <w:pPr>
              <w:rPr>
                <w:rFonts w:ascii="Tahoma" w:hAnsi="Tahoma" w:cs="Tahoma"/>
                <w:sz w:val="20"/>
                <w:szCs w:val="20"/>
                <w:lang w:val="pt-PT"/>
              </w:rPr>
            </w:pPr>
            <w:r w:rsidRPr="00B004EE">
              <w:rPr>
                <w:rFonts w:ascii="Tahoma" w:hAnsi="Tahoma" w:cs="Tahoma"/>
                <w:sz w:val="20"/>
                <w:szCs w:val="20"/>
                <w:lang w:val="pt-PT"/>
              </w:rPr>
              <w:t>V</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20°</w:t>
            </w:r>
            <w:r w:rsidR="00DB1635" w:rsidRPr="00B004EE">
              <w:rPr>
                <w:rFonts w:ascii="Tahoma" w:hAnsi="Tahoma" w:cs="Tahoma"/>
                <w:sz w:val="20"/>
                <w:szCs w:val="20"/>
                <w:lang w:val="pt-PT"/>
              </w:rPr>
              <w:t xml:space="preserve"> </w:t>
            </w:r>
            <w:r w:rsidRPr="00B004EE">
              <w:rPr>
                <w:rFonts w:ascii="Tahoma" w:hAnsi="Tahoma" w:cs="Tahoma"/>
                <w:sz w:val="20"/>
                <w:szCs w:val="20"/>
                <w:lang w:val="pt-PT"/>
              </w:rPr>
              <w:t>00.00'N</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17°</w:t>
            </w:r>
            <w:r w:rsidR="00DB1635" w:rsidRPr="00B004EE">
              <w:rPr>
                <w:rFonts w:ascii="Tahoma" w:hAnsi="Tahoma" w:cs="Tahoma"/>
                <w:sz w:val="20"/>
                <w:szCs w:val="20"/>
                <w:lang w:val="pt-PT"/>
              </w:rPr>
              <w:t xml:space="preserve"> </w:t>
            </w:r>
            <w:r w:rsidRPr="00B004EE">
              <w:rPr>
                <w:rFonts w:ascii="Tahoma" w:hAnsi="Tahoma" w:cs="Tahoma"/>
                <w:sz w:val="20"/>
                <w:szCs w:val="20"/>
                <w:lang w:val="pt-PT"/>
              </w:rPr>
              <w:t>30.00'W</w:t>
            </w:r>
          </w:p>
          <w:p w14:paraId="5B6C9781" w14:textId="3997FF70" w:rsidR="008518B0" w:rsidRPr="00B004EE" w:rsidRDefault="008518B0" w:rsidP="00B004EE">
            <w:pPr>
              <w:rPr>
                <w:rFonts w:ascii="Tahoma" w:hAnsi="Tahoma" w:cs="Tahoma"/>
                <w:sz w:val="20"/>
                <w:szCs w:val="20"/>
                <w:lang w:val="pt-PT"/>
              </w:rPr>
            </w:pPr>
            <w:r w:rsidRPr="00B004EE">
              <w:rPr>
                <w:rFonts w:ascii="Tahoma" w:hAnsi="Tahoma" w:cs="Tahoma"/>
                <w:sz w:val="20"/>
                <w:szCs w:val="20"/>
                <w:lang w:val="pt-PT"/>
              </w:rPr>
              <w:t>I’</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19°</w:t>
            </w:r>
            <w:r w:rsidR="00DB1635" w:rsidRPr="00B004EE">
              <w:rPr>
                <w:rFonts w:ascii="Tahoma" w:hAnsi="Tahoma" w:cs="Tahoma"/>
                <w:sz w:val="20"/>
                <w:szCs w:val="20"/>
                <w:lang w:val="pt-PT"/>
              </w:rPr>
              <w:t xml:space="preserve"> </w:t>
            </w:r>
            <w:r w:rsidRPr="00B004EE">
              <w:rPr>
                <w:rFonts w:ascii="Tahoma" w:hAnsi="Tahoma" w:cs="Tahoma"/>
                <w:sz w:val="20"/>
                <w:szCs w:val="20"/>
                <w:lang w:val="pt-PT"/>
              </w:rPr>
              <w:t>45.00'N</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17°</w:t>
            </w:r>
            <w:r w:rsidR="00DB1635" w:rsidRPr="00B004EE">
              <w:rPr>
                <w:rFonts w:ascii="Tahoma" w:hAnsi="Tahoma" w:cs="Tahoma"/>
                <w:sz w:val="20"/>
                <w:szCs w:val="20"/>
                <w:lang w:val="pt-PT"/>
              </w:rPr>
              <w:t xml:space="preserve"> </w:t>
            </w:r>
            <w:r w:rsidRPr="00B004EE">
              <w:rPr>
                <w:rFonts w:ascii="Tahoma" w:hAnsi="Tahoma" w:cs="Tahoma"/>
                <w:sz w:val="20"/>
                <w:szCs w:val="20"/>
                <w:lang w:val="pt-PT"/>
              </w:rPr>
              <w:t>05.00'W</w:t>
            </w:r>
          </w:p>
          <w:p w14:paraId="6FFD0F9E" w14:textId="39EEAF78" w:rsidR="008518B0" w:rsidRPr="00B004EE" w:rsidRDefault="008518B0" w:rsidP="00B004EE">
            <w:pPr>
              <w:rPr>
                <w:rFonts w:ascii="Tahoma" w:hAnsi="Tahoma" w:cs="Tahoma"/>
                <w:sz w:val="20"/>
                <w:szCs w:val="20"/>
                <w:lang w:val="pt-PT"/>
              </w:rPr>
            </w:pPr>
            <w:r w:rsidRPr="00B004EE">
              <w:rPr>
                <w:rFonts w:ascii="Tahoma" w:hAnsi="Tahoma" w:cs="Tahoma"/>
                <w:sz w:val="20"/>
                <w:szCs w:val="20"/>
                <w:lang w:val="pt-PT"/>
              </w:rPr>
              <w:t>X</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19°</w:t>
            </w:r>
            <w:r w:rsidR="00DB1635" w:rsidRPr="00B004EE">
              <w:rPr>
                <w:rFonts w:ascii="Tahoma" w:hAnsi="Tahoma" w:cs="Tahoma"/>
                <w:sz w:val="20"/>
                <w:szCs w:val="20"/>
                <w:lang w:val="pt-PT"/>
              </w:rPr>
              <w:t xml:space="preserve"> </w:t>
            </w:r>
            <w:r w:rsidRPr="00B004EE">
              <w:rPr>
                <w:rFonts w:ascii="Tahoma" w:hAnsi="Tahoma" w:cs="Tahoma"/>
                <w:sz w:val="20"/>
                <w:szCs w:val="20"/>
                <w:lang w:val="pt-PT"/>
              </w:rPr>
              <w:t>00.00'N</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16°</w:t>
            </w:r>
            <w:r w:rsidR="00DB1635" w:rsidRPr="00B004EE">
              <w:rPr>
                <w:rFonts w:ascii="Tahoma" w:hAnsi="Tahoma" w:cs="Tahoma"/>
                <w:sz w:val="20"/>
                <w:szCs w:val="20"/>
                <w:lang w:val="pt-PT"/>
              </w:rPr>
              <w:t xml:space="preserve"> </w:t>
            </w:r>
            <w:r w:rsidRPr="00B004EE">
              <w:rPr>
                <w:rFonts w:ascii="Tahoma" w:hAnsi="Tahoma" w:cs="Tahoma"/>
                <w:sz w:val="20"/>
                <w:szCs w:val="20"/>
                <w:lang w:val="pt-PT"/>
              </w:rPr>
              <w:t>34.50'W</w:t>
            </w:r>
          </w:p>
          <w:p w14:paraId="5A4D25D8" w14:textId="33D5D542" w:rsidR="008518B0" w:rsidRPr="00B004EE" w:rsidRDefault="008518B0" w:rsidP="00B004EE">
            <w:pPr>
              <w:rPr>
                <w:rFonts w:ascii="Tahoma" w:hAnsi="Tahoma" w:cs="Tahoma"/>
                <w:sz w:val="20"/>
                <w:szCs w:val="20"/>
              </w:rPr>
            </w:pPr>
            <w:r w:rsidRPr="00B004EE">
              <w:rPr>
                <w:rFonts w:ascii="Tahoma" w:hAnsi="Tahoma" w:cs="Tahoma"/>
                <w:sz w:val="20"/>
                <w:szCs w:val="20"/>
              </w:rPr>
              <w:t>Y</w:t>
            </w:r>
            <w:r w:rsidRPr="00B004EE">
              <w:rPr>
                <w:rStyle w:val="Appelnotedebasdep"/>
                <w:rFonts w:ascii="Tahoma" w:hAnsi="Tahoma" w:cs="Tahoma"/>
                <w:sz w:val="20"/>
                <w:szCs w:val="20"/>
              </w:rPr>
              <w:footnoteReference w:id="1"/>
            </w:r>
            <w:r w:rsidRPr="00B004EE">
              <w:rPr>
                <w:rFonts w:ascii="Tahoma" w:hAnsi="Tahoma" w:cs="Tahoma"/>
                <w:sz w:val="20"/>
                <w:szCs w:val="20"/>
              </w:rPr>
              <w:tab/>
            </w:r>
            <w:r w:rsidR="00DB1635" w:rsidRPr="00B004EE">
              <w:rPr>
                <w:rFonts w:ascii="Tahoma" w:hAnsi="Tahoma" w:cs="Tahoma"/>
                <w:sz w:val="20"/>
                <w:szCs w:val="20"/>
              </w:rPr>
              <w:t xml:space="preserve"> </w:t>
            </w:r>
            <w:r w:rsidRPr="00B004EE">
              <w:rPr>
                <w:rFonts w:ascii="Tahoma" w:hAnsi="Tahoma" w:cs="Tahoma"/>
                <w:sz w:val="20"/>
                <w:szCs w:val="20"/>
              </w:rPr>
              <w:t>19°</w:t>
            </w:r>
            <w:r w:rsidR="00DB1635" w:rsidRPr="00B004EE">
              <w:rPr>
                <w:rFonts w:ascii="Tahoma" w:hAnsi="Tahoma" w:cs="Tahoma"/>
                <w:sz w:val="20"/>
                <w:szCs w:val="20"/>
              </w:rPr>
              <w:t xml:space="preserve"> </w:t>
            </w:r>
            <w:r w:rsidRPr="00B004EE">
              <w:rPr>
                <w:rFonts w:ascii="Tahoma" w:hAnsi="Tahoma" w:cs="Tahoma"/>
                <w:sz w:val="20"/>
                <w:szCs w:val="20"/>
              </w:rPr>
              <w:t>00.00'N</w:t>
            </w:r>
            <w:r w:rsidRPr="00B004EE">
              <w:rPr>
                <w:rFonts w:ascii="Tahoma" w:hAnsi="Tahoma" w:cs="Tahoma"/>
                <w:sz w:val="20"/>
                <w:szCs w:val="20"/>
              </w:rPr>
              <w:tab/>
            </w:r>
            <w:r w:rsidR="00DB1635" w:rsidRPr="00B004EE">
              <w:rPr>
                <w:rFonts w:ascii="Tahoma" w:hAnsi="Tahoma" w:cs="Tahoma"/>
                <w:sz w:val="20"/>
                <w:szCs w:val="20"/>
              </w:rPr>
              <w:t xml:space="preserve"> </w:t>
            </w:r>
            <w:r w:rsidRPr="00B004EE">
              <w:rPr>
                <w:rFonts w:ascii="Tahoma" w:hAnsi="Tahoma" w:cs="Tahoma"/>
                <w:sz w:val="20"/>
                <w:szCs w:val="20"/>
              </w:rPr>
              <w:t>16°</w:t>
            </w:r>
            <w:r w:rsidR="00DB1635" w:rsidRPr="00B004EE">
              <w:rPr>
                <w:rFonts w:ascii="Tahoma" w:hAnsi="Tahoma" w:cs="Tahoma"/>
                <w:sz w:val="20"/>
                <w:szCs w:val="20"/>
              </w:rPr>
              <w:t xml:space="preserve"> </w:t>
            </w:r>
            <w:r w:rsidRPr="00B004EE">
              <w:rPr>
                <w:rFonts w:ascii="Tahoma" w:hAnsi="Tahoma" w:cs="Tahoma"/>
                <w:sz w:val="20"/>
                <w:szCs w:val="20"/>
              </w:rPr>
              <w:t>39.50'W</w:t>
            </w:r>
          </w:p>
          <w:p w14:paraId="5CB1BCA3" w14:textId="5D722A0F" w:rsidR="008518B0" w:rsidRPr="00B004EE" w:rsidRDefault="008518B0" w:rsidP="00B004EE">
            <w:pPr>
              <w:rPr>
                <w:rFonts w:ascii="Tahoma" w:hAnsi="Tahoma" w:cs="Tahoma"/>
                <w:sz w:val="20"/>
                <w:szCs w:val="20"/>
                <w:lang w:val="fr-CA"/>
              </w:rPr>
            </w:pP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sud</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parallèle</w:t>
            </w:r>
            <w:r w:rsidR="00DB1635" w:rsidRPr="00B004EE">
              <w:rPr>
                <w:rFonts w:ascii="Tahoma" w:hAnsi="Tahoma" w:cs="Tahoma"/>
                <w:sz w:val="20"/>
                <w:szCs w:val="20"/>
              </w:rPr>
              <w:t xml:space="preserve"> </w:t>
            </w:r>
            <w:r w:rsidRPr="00B004EE">
              <w:rPr>
                <w:rFonts w:ascii="Tahoma" w:hAnsi="Tahoma" w:cs="Tahoma"/>
                <w:sz w:val="20"/>
                <w:szCs w:val="20"/>
              </w:rPr>
              <w:t>19°00.00N</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jusqu’au</w:t>
            </w:r>
            <w:r w:rsidR="00DB1635" w:rsidRPr="00B004EE">
              <w:rPr>
                <w:rFonts w:ascii="Tahoma" w:hAnsi="Tahoma" w:cs="Tahoma"/>
                <w:sz w:val="20"/>
                <w:szCs w:val="20"/>
              </w:rPr>
              <w:t xml:space="preserve"> </w:t>
            </w:r>
            <w:r w:rsidRPr="00B004EE">
              <w:rPr>
                <w:rFonts w:ascii="Tahoma" w:hAnsi="Tahoma" w:cs="Tahoma"/>
                <w:sz w:val="20"/>
                <w:szCs w:val="20"/>
              </w:rPr>
              <w:t>parallèle</w:t>
            </w:r>
            <w:r w:rsidR="00DB1635" w:rsidRPr="00B004EE">
              <w:rPr>
                <w:rFonts w:ascii="Tahoma" w:hAnsi="Tahoma" w:cs="Tahoma"/>
                <w:sz w:val="20"/>
                <w:szCs w:val="20"/>
              </w:rPr>
              <w:t xml:space="preserve"> </w:t>
            </w:r>
            <w:r w:rsidRPr="00B004EE">
              <w:rPr>
                <w:rFonts w:ascii="Tahoma" w:hAnsi="Tahoma" w:cs="Tahoma"/>
                <w:sz w:val="20"/>
                <w:szCs w:val="20"/>
              </w:rPr>
              <w:t>17°50.00N</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l’Ouest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ligne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20</w:t>
            </w:r>
            <w:r w:rsidR="00DB1635" w:rsidRPr="00B004EE">
              <w:rPr>
                <w:rFonts w:ascii="Tahoma" w:hAnsi="Tahoma" w:cs="Tahoma"/>
                <w:sz w:val="20"/>
                <w:szCs w:val="20"/>
              </w:rPr>
              <w:t xml:space="preserve"> </w:t>
            </w:r>
            <w:r w:rsidRPr="00B004EE">
              <w:rPr>
                <w:rFonts w:ascii="Tahoma" w:hAnsi="Tahoma" w:cs="Tahoma"/>
                <w:sz w:val="20"/>
                <w:szCs w:val="20"/>
              </w:rPr>
              <w:t>milles,</w:t>
            </w:r>
            <w:r w:rsidR="00DB1635" w:rsidRPr="00B004EE">
              <w:rPr>
                <w:rFonts w:ascii="Tahoma" w:hAnsi="Tahoma" w:cs="Tahoma"/>
                <w:sz w:val="20"/>
                <w:szCs w:val="20"/>
              </w:rPr>
              <w:t xml:space="preserve"> </w:t>
            </w:r>
            <w:r w:rsidRPr="00B004EE">
              <w:rPr>
                <w:rFonts w:ascii="Tahoma" w:hAnsi="Tahoma" w:cs="Tahoma"/>
                <w:sz w:val="20"/>
                <w:szCs w:val="20"/>
              </w:rPr>
              <w:t>mesurés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partir</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laisse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basse</w:t>
            </w:r>
            <w:r w:rsidR="00DB1635" w:rsidRPr="00B004EE">
              <w:rPr>
                <w:rFonts w:ascii="Tahoma" w:hAnsi="Tahoma" w:cs="Tahoma"/>
                <w:sz w:val="20"/>
                <w:szCs w:val="20"/>
              </w:rPr>
              <w:t xml:space="preserve"> </w:t>
            </w:r>
            <w:r w:rsidRPr="00B004EE">
              <w:rPr>
                <w:rFonts w:ascii="Tahoma" w:hAnsi="Tahoma" w:cs="Tahoma"/>
                <w:sz w:val="20"/>
                <w:szCs w:val="20"/>
              </w:rPr>
              <w:t>mer.</w:t>
            </w:r>
          </w:p>
          <w:p w14:paraId="299EAC02" w14:textId="481C00CF" w:rsidR="00BD7C35" w:rsidRPr="00B004EE" w:rsidRDefault="008518B0" w:rsidP="002D26AE">
            <w:pPr>
              <w:rPr>
                <w:rFonts w:ascii="Tahoma" w:hAnsi="Tahoma" w:cs="Tahoma"/>
                <w:sz w:val="20"/>
                <w:szCs w:val="20"/>
                <w:lang w:val="fr-CA"/>
              </w:rPr>
            </w:pP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sud</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parallèle</w:t>
            </w:r>
            <w:r w:rsidR="00DB1635" w:rsidRPr="00B004EE">
              <w:rPr>
                <w:rFonts w:ascii="Tahoma" w:hAnsi="Tahoma" w:cs="Tahoma"/>
                <w:sz w:val="20"/>
                <w:szCs w:val="20"/>
              </w:rPr>
              <w:t xml:space="preserve"> </w:t>
            </w:r>
            <w:r w:rsidRPr="00B004EE">
              <w:rPr>
                <w:rFonts w:ascii="Tahoma" w:hAnsi="Tahoma" w:cs="Tahoma"/>
                <w:sz w:val="20"/>
                <w:szCs w:val="20"/>
              </w:rPr>
              <w:t>17°50.00N</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l’Ouest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ligne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12</w:t>
            </w:r>
            <w:r w:rsidR="00DB1635" w:rsidRPr="00B004EE">
              <w:rPr>
                <w:rFonts w:ascii="Tahoma" w:hAnsi="Tahoma" w:cs="Tahoma"/>
                <w:sz w:val="20"/>
                <w:szCs w:val="20"/>
              </w:rPr>
              <w:t xml:space="preserve"> </w:t>
            </w:r>
            <w:r w:rsidRPr="00B004EE">
              <w:rPr>
                <w:rFonts w:ascii="Tahoma" w:hAnsi="Tahoma" w:cs="Tahoma"/>
                <w:sz w:val="20"/>
                <w:szCs w:val="20"/>
              </w:rPr>
              <w:t>milles,</w:t>
            </w:r>
            <w:r w:rsidR="00DB1635" w:rsidRPr="00B004EE">
              <w:rPr>
                <w:rFonts w:ascii="Tahoma" w:hAnsi="Tahoma" w:cs="Tahoma"/>
                <w:sz w:val="20"/>
                <w:szCs w:val="20"/>
              </w:rPr>
              <w:t xml:space="preserve"> </w:t>
            </w:r>
            <w:r w:rsidRPr="00B004EE">
              <w:rPr>
                <w:rFonts w:ascii="Tahoma" w:hAnsi="Tahoma" w:cs="Tahoma"/>
                <w:sz w:val="20"/>
                <w:szCs w:val="20"/>
              </w:rPr>
              <w:t>mesurés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partir</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laisse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basse</w:t>
            </w:r>
            <w:r w:rsidR="00DB1635" w:rsidRPr="00B004EE">
              <w:rPr>
                <w:rFonts w:ascii="Tahoma" w:hAnsi="Tahoma" w:cs="Tahoma"/>
                <w:sz w:val="20"/>
                <w:szCs w:val="20"/>
              </w:rPr>
              <w:t xml:space="preserve"> </w:t>
            </w:r>
            <w:r w:rsidRPr="00B004EE">
              <w:rPr>
                <w:rFonts w:ascii="Tahoma" w:hAnsi="Tahoma" w:cs="Tahoma"/>
                <w:sz w:val="20"/>
                <w:szCs w:val="20"/>
              </w:rPr>
              <w:t>mer.</w:t>
            </w:r>
          </w:p>
        </w:tc>
      </w:tr>
      <w:tr w:rsidR="00150C90" w:rsidRPr="00B004EE" w14:paraId="2F4824A1" w14:textId="77777777" w:rsidTr="00767386">
        <w:trPr>
          <w:trHeight w:val="60"/>
        </w:trPr>
        <w:tc>
          <w:tcPr>
            <w:tcW w:w="1560" w:type="dxa"/>
            <w:shd w:val="clear" w:color="auto" w:fill="auto"/>
          </w:tcPr>
          <w:p w14:paraId="04F11676" w14:textId="77777777" w:rsidR="008518B0" w:rsidRPr="00B004EE" w:rsidRDefault="008518B0" w:rsidP="00B004EE">
            <w:pPr>
              <w:jc w:val="both"/>
              <w:rPr>
                <w:rFonts w:ascii="Tahoma" w:hAnsi="Tahoma" w:cs="Tahoma"/>
                <w:b/>
                <w:bCs/>
                <w:i/>
                <w:iCs/>
                <w:sz w:val="20"/>
                <w:szCs w:val="20"/>
              </w:rPr>
            </w:pPr>
          </w:p>
        </w:tc>
        <w:tc>
          <w:tcPr>
            <w:tcW w:w="3402" w:type="dxa"/>
            <w:shd w:val="clear" w:color="auto" w:fill="auto"/>
          </w:tcPr>
          <w:p w14:paraId="2FF75E65" w14:textId="4BFF80EA" w:rsidR="008518B0" w:rsidRPr="00B004EE" w:rsidRDefault="008518B0" w:rsidP="00B004EE">
            <w:pPr>
              <w:jc w:val="both"/>
              <w:rPr>
                <w:rFonts w:ascii="Tahoma" w:hAnsi="Tahoma" w:cs="Tahoma"/>
                <w:b/>
                <w:bCs/>
                <w:i/>
                <w:iCs/>
                <w:sz w:val="20"/>
                <w:szCs w:val="20"/>
              </w:rPr>
            </w:pPr>
            <w:r w:rsidRPr="00B004EE">
              <w:rPr>
                <w:rFonts w:ascii="Tahoma" w:hAnsi="Tahoma" w:cs="Tahoma"/>
                <w:b/>
                <w:bCs/>
                <w:i/>
                <w:iCs/>
                <w:sz w:val="20"/>
                <w:szCs w:val="20"/>
              </w:rPr>
              <w:t>Thon</w:t>
            </w:r>
            <w:r w:rsidR="00DB1635" w:rsidRPr="00B004EE">
              <w:rPr>
                <w:rFonts w:ascii="Tahoma" w:hAnsi="Tahoma" w:cs="Tahoma"/>
                <w:b/>
                <w:bCs/>
                <w:i/>
                <w:iCs/>
                <w:sz w:val="20"/>
                <w:szCs w:val="20"/>
              </w:rPr>
              <w:t xml:space="preserve"> </w:t>
            </w:r>
          </w:p>
          <w:p w14:paraId="3FED2501" w14:textId="77777777" w:rsidR="008518B0" w:rsidRPr="00B004EE" w:rsidRDefault="008518B0" w:rsidP="00B004EE">
            <w:pPr>
              <w:jc w:val="both"/>
              <w:rPr>
                <w:rFonts w:ascii="Tahoma" w:hAnsi="Tahoma" w:cs="Tahoma"/>
                <w:i/>
                <w:iCs/>
                <w:sz w:val="20"/>
                <w:szCs w:val="20"/>
              </w:rPr>
            </w:pPr>
          </w:p>
        </w:tc>
        <w:tc>
          <w:tcPr>
            <w:tcW w:w="4787" w:type="dxa"/>
            <w:shd w:val="clear" w:color="auto" w:fill="auto"/>
          </w:tcPr>
          <w:p w14:paraId="3C0EB80C" w14:textId="2F18DFB1" w:rsidR="008518B0" w:rsidRPr="00B004EE" w:rsidRDefault="008518B0" w:rsidP="00B004EE">
            <w:pPr>
              <w:rPr>
                <w:rFonts w:ascii="Tahoma" w:hAnsi="Tahoma" w:cs="Tahoma"/>
                <w:sz w:val="20"/>
                <w:szCs w:val="20"/>
              </w:rPr>
            </w:pP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nord</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parallèle</w:t>
            </w:r>
            <w:r w:rsidR="00DB1635" w:rsidRPr="00B004EE">
              <w:rPr>
                <w:rFonts w:ascii="Tahoma" w:hAnsi="Tahoma" w:cs="Tahoma"/>
                <w:sz w:val="20"/>
                <w:szCs w:val="20"/>
              </w:rPr>
              <w:t xml:space="preserve"> </w:t>
            </w:r>
            <w:r w:rsidRPr="00B004EE">
              <w:rPr>
                <w:rFonts w:ascii="Tahoma" w:hAnsi="Tahoma" w:cs="Tahoma"/>
                <w:sz w:val="20"/>
                <w:szCs w:val="20"/>
              </w:rPr>
              <w:t>19°19.12</w:t>
            </w:r>
            <w:r w:rsidR="00BD7C35" w:rsidRPr="00B004EE">
              <w:rPr>
                <w:rFonts w:ascii="Tahoma" w:hAnsi="Tahoma" w:cs="Tahoma"/>
                <w:sz w:val="20"/>
                <w:szCs w:val="20"/>
              </w:rPr>
              <w:t xml:space="preserve"> : </w:t>
            </w:r>
            <w:r w:rsidRPr="00B004EE">
              <w:rPr>
                <w:rFonts w:ascii="Tahoma" w:hAnsi="Tahoma" w:cs="Tahoma"/>
                <w:sz w:val="20"/>
                <w:szCs w:val="20"/>
              </w:rPr>
              <w:t>N</w:t>
            </w:r>
            <w:r w:rsidR="00DB1635" w:rsidRPr="00B004EE">
              <w:rPr>
                <w:rFonts w:ascii="Tahoma" w:hAnsi="Tahoma" w:cs="Tahoma"/>
                <w:sz w:val="20"/>
                <w:szCs w:val="20"/>
              </w:rPr>
              <w:t xml:space="preserve"> </w:t>
            </w:r>
            <w:r w:rsidR="00BD7C35" w:rsidRPr="00B004EE">
              <w:rPr>
                <w:rFonts w:ascii="Tahoma" w:hAnsi="Tahoma" w:cs="Tahoma"/>
                <w:sz w:val="20"/>
                <w:szCs w:val="20"/>
              </w:rPr>
              <w:t>à</w:t>
            </w:r>
            <w:r w:rsidR="00DB1635" w:rsidRPr="00B004EE">
              <w:rPr>
                <w:rFonts w:ascii="Tahoma" w:hAnsi="Tahoma" w:cs="Tahoma"/>
                <w:sz w:val="20"/>
                <w:szCs w:val="20"/>
              </w:rPr>
              <w:t xml:space="preserve"> </w:t>
            </w:r>
            <w:r w:rsidR="00526DF0" w:rsidRPr="00B004EE">
              <w:rPr>
                <w:rFonts w:ascii="Tahoma" w:hAnsi="Tahoma" w:cs="Tahoma"/>
                <w:sz w:val="20"/>
                <w:szCs w:val="20"/>
              </w:rPr>
              <w:t xml:space="preserve">     </w:t>
            </w:r>
            <w:r w:rsidR="00526DF0" w:rsidRPr="00B004EE">
              <w:rPr>
                <w:rFonts w:ascii="Tahoma" w:hAnsi="Tahoma" w:cs="Tahoma"/>
                <w:b/>
                <w:bCs/>
                <w:sz w:val="20"/>
                <w:szCs w:val="20"/>
              </w:rPr>
              <w:t>Z6</w:t>
            </w:r>
            <w:r w:rsidR="00BD7C35" w:rsidRPr="00B004EE">
              <w:rPr>
                <w:rFonts w:ascii="Tahoma" w:hAnsi="Tahoma" w:cs="Tahoma"/>
                <w:b/>
                <w:bCs/>
                <w:sz w:val="20"/>
                <w:szCs w:val="20"/>
              </w:rPr>
              <w:t xml:space="preserve"> </w:t>
            </w:r>
            <w:r w:rsidRPr="00B004EE">
              <w:rPr>
                <w:rFonts w:ascii="Tahoma" w:hAnsi="Tahoma" w:cs="Tahoma"/>
                <w:sz w:val="20"/>
                <w:szCs w:val="20"/>
              </w:rPr>
              <w:t>l’ouest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ligne</w:t>
            </w:r>
            <w:r w:rsidR="00BD7C35" w:rsidRPr="00B004EE">
              <w:rPr>
                <w:rFonts w:ascii="Tahoma" w:hAnsi="Tahoma" w:cs="Tahoma"/>
                <w:sz w:val="20"/>
                <w:szCs w:val="20"/>
              </w:rPr>
              <w:t xml:space="preserve"> </w:t>
            </w:r>
            <w:r w:rsidRPr="00B004EE">
              <w:rPr>
                <w:rFonts w:ascii="Tahoma" w:hAnsi="Tahoma" w:cs="Tahoma"/>
                <w:sz w:val="20"/>
                <w:szCs w:val="20"/>
              </w:rPr>
              <w:t>joignant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points</w:t>
            </w:r>
            <w:r w:rsidR="00DB1635" w:rsidRPr="00B004EE">
              <w:rPr>
                <w:rFonts w:ascii="Tahoma" w:hAnsi="Tahoma" w:cs="Tahoma"/>
                <w:sz w:val="20"/>
                <w:szCs w:val="20"/>
              </w:rPr>
              <w:t xml:space="preserve"> </w:t>
            </w:r>
            <w:r w:rsidRPr="00B004EE">
              <w:rPr>
                <w:rFonts w:ascii="Tahoma" w:hAnsi="Tahoma" w:cs="Tahoma"/>
                <w:sz w:val="20"/>
                <w:szCs w:val="20"/>
              </w:rPr>
              <w:t>suivants</w:t>
            </w:r>
            <w:r w:rsidR="00DB1635" w:rsidRPr="00B004EE">
              <w:rPr>
                <w:rFonts w:ascii="Tahoma" w:hAnsi="Tahoma" w:cs="Tahoma"/>
                <w:sz w:val="20"/>
                <w:szCs w:val="20"/>
              </w:rPr>
              <w:t xml:space="preserve"> </w:t>
            </w:r>
            <w:r w:rsidRPr="00B004EE">
              <w:rPr>
                <w:rFonts w:ascii="Tahoma" w:hAnsi="Tahoma" w:cs="Tahoma"/>
                <w:sz w:val="20"/>
                <w:szCs w:val="20"/>
              </w:rPr>
              <w:t>:</w:t>
            </w:r>
          </w:p>
          <w:p w14:paraId="1BB77EF3" w14:textId="2B470DD3" w:rsidR="008518B0" w:rsidRPr="00B004EE" w:rsidRDefault="008518B0" w:rsidP="00B004EE">
            <w:pPr>
              <w:rPr>
                <w:rFonts w:ascii="Tahoma" w:hAnsi="Tahoma" w:cs="Tahoma"/>
                <w:sz w:val="20"/>
                <w:szCs w:val="20"/>
                <w:lang w:val="pt-PT"/>
              </w:rPr>
            </w:pPr>
            <w:r w:rsidRPr="00B004EE">
              <w:rPr>
                <w:rFonts w:ascii="Tahoma" w:hAnsi="Tahoma" w:cs="Tahoma"/>
                <w:sz w:val="20"/>
                <w:szCs w:val="20"/>
                <w:lang w:val="pt-PT"/>
              </w:rPr>
              <w:t>A</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20°</w:t>
            </w:r>
            <w:r w:rsidR="00DB1635" w:rsidRPr="00B004EE">
              <w:rPr>
                <w:rFonts w:ascii="Tahoma" w:hAnsi="Tahoma" w:cs="Tahoma"/>
                <w:sz w:val="20"/>
                <w:szCs w:val="20"/>
                <w:lang w:val="pt-PT"/>
              </w:rPr>
              <w:t xml:space="preserve"> </w:t>
            </w:r>
            <w:r w:rsidRPr="00B004EE">
              <w:rPr>
                <w:rFonts w:ascii="Tahoma" w:hAnsi="Tahoma" w:cs="Tahoma"/>
                <w:sz w:val="20"/>
                <w:szCs w:val="20"/>
                <w:lang w:val="pt-PT"/>
              </w:rPr>
              <w:t>46.30'N</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17°</w:t>
            </w:r>
            <w:r w:rsidR="00DB1635" w:rsidRPr="00B004EE">
              <w:rPr>
                <w:rFonts w:ascii="Tahoma" w:hAnsi="Tahoma" w:cs="Tahoma"/>
                <w:sz w:val="20"/>
                <w:szCs w:val="20"/>
                <w:lang w:val="pt-PT"/>
              </w:rPr>
              <w:t xml:space="preserve"> </w:t>
            </w:r>
            <w:r w:rsidRPr="00B004EE">
              <w:rPr>
                <w:rFonts w:ascii="Tahoma" w:hAnsi="Tahoma" w:cs="Tahoma"/>
                <w:sz w:val="20"/>
                <w:szCs w:val="20"/>
                <w:lang w:val="pt-PT"/>
              </w:rPr>
              <w:t>03.000'W</w:t>
            </w:r>
          </w:p>
          <w:p w14:paraId="698DFAE7" w14:textId="5C665F0F" w:rsidR="008518B0" w:rsidRPr="00B004EE" w:rsidRDefault="008518B0" w:rsidP="00B004EE">
            <w:pPr>
              <w:rPr>
                <w:rFonts w:ascii="Tahoma" w:hAnsi="Tahoma" w:cs="Tahoma"/>
                <w:sz w:val="20"/>
                <w:szCs w:val="20"/>
                <w:lang w:val="pt-PT"/>
              </w:rPr>
            </w:pPr>
            <w:r w:rsidRPr="00B004EE">
              <w:rPr>
                <w:rFonts w:ascii="Tahoma" w:hAnsi="Tahoma" w:cs="Tahoma"/>
                <w:sz w:val="20"/>
                <w:szCs w:val="20"/>
                <w:lang w:val="pt-PT"/>
              </w:rPr>
              <w:t>B</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20°</w:t>
            </w:r>
            <w:r w:rsidR="00DB1635" w:rsidRPr="00B004EE">
              <w:rPr>
                <w:rFonts w:ascii="Tahoma" w:hAnsi="Tahoma" w:cs="Tahoma"/>
                <w:sz w:val="20"/>
                <w:szCs w:val="20"/>
                <w:lang w:val="pt-PT"/>
              </w:rPr>
              <w:t xml:space="preserve"> </w:t>
            </w:r>
            <w:r w:rsidRPr="00B004EE">
              <w:rPr>
                <w:rFonts w:ascii="Tahoma" w:hAnsi="Tahoma" w:cs="Tahoma"/>
                <w:sz w:val="20"/>
                <w:szCs w:val="20"/>
                <w:lang w:val="pt-PT"/>
              </w:rPr>
              <w:t>40.000'N</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17°</w:t>
            </w:r>
            <w:r w:rsidR="00DB1635" w:rsidRPr="00B004EE">
              <w:rPr>
                <w:rFonts w:ascii="Tahoma" w:hAnsi="Tahoma" w:cs="Tahoma"/>
                <w:sz w:val="20"/>
                <w:szCs w:val="20"/>
                <w:lang w:val="pt-PT"/>
              </w:rPr>
              <w:t xml:space="preserve"> </w:t>
            </w:r>
            <w:r w:rsidRPr="00B004EE">
              <w:rPr>
                <w:rFonts w:ascii="Tahoma" w:hAnsi="Tahoma" w:cs="Tahoma"/>
                <w:sz w:val="20"/>
                <w:szCs w:val="20"/>
                <w:lang w:val="pt-PT"/>
              </w:rPr>
              <w:t>08.300'W</w:t>
            </w:r>
          </w:p>
          <w:p w14:paraId="06DF6CD4" w14:textId="191C97F2" w:rsidR="008518B0" w:rsidRPr="00B004EE" w:rsidRDefault="008518B0" w:rsidP="00B004EE">
            <w:pPr>
              <w:rPr>
                <w:rFonts w:ascii="Tahoma" w:hAnsi="Tahoma" w:cs="Tahoma"/>
                <w:sz w:val="20"/>
                <w:szCs w:val="20"/>
                <w:lang w:val="pt-PT"/>
              </w:rPr>
            </w:pPr>
            <w:r w:rsidRPr="00B004EE">
              <w:rPr>
                <w:rFonts w:ascii="Tahoma" w:hAnsi="Tahoma" w:cs="Tahoma"/>
                <w:sz w:val="20"/>
                <w:szCs w:val="20"/>
                <w:lang w:val="pt-PT"/>
              </w:rPr>
              <w:t>C</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20°</w:t>
            </w:r>
            <w:r w:rsidR="00DB1635" w:rsidRPr="00B004EE">
              <w:rPr>
                <w:rFonts w:ascii="Tahoma" w:hAnsi="Tahoma" w:cs="Tahoma"/>
                <w:sz w:val="20"/>
                <w:szCs w:val="20"/>
                <w:lang w:val="pt-PT"/>
              </w:rPr>
              <w:t xml:space="preserve"> </w:t>
            </w:r>
            <w:r w:rsidRPr="00B004EE">
              <w:rPr>
                <w:rFonts w:ascii="Tahoma" w:hAnsi="Tahoma" w:cs="Tahoma"/>
                <w:sz w:val="20"/>
                <w:szCs w:val="20"/>
                <w:lang w:val="pt-PT"/>
              </w:rPr>
              <w:t>36.000'N</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17°</w:t>
            </w:r>
            <w:r w:rsidR="00DB1635" w:rsidRPr="00B004EE">
              <w:rPr>
                <w:rFonts w:ascii="Tahoma" w:hAnsi="Tahoma" w:cs="Tahoma"/>
                <w:sz w:val="20"/>
                <w:szCs w:val="20"/>
                <w:lang w:val="pt-PT"/>
              </w:rPr>
              <w:t xml:space="preserve"> </w:t>
            </w:r>
            <w:r w:rsidRPr="00B004EE">
              <w:rPr>
                <w:rFonts w:ascii="Tahoma" w:hAnsi="Tahoma" w:cs="Tahoma"/>
                <w:sz w:val="20"/>
                <w:szCs w:val="20"/>
                <w:lang w:val="pt-PT"/>
              </w:rPr>
              <w:t>36.000'W</w:t>
            </w:r>
          </w:p>
          <w:p w14:paraId="445EACA0" w14:textId="49CF4A09" w:rsidR="008518B0" w:rsidRPr="00B004EE" w:rsidRDefault="008518B0" w:rsidP="00B004EE">
            <w:pPr>
              <w:rPr>
                <w:rFonts w:ascii="Tahoma" w:hAnsi="Tahoma" w:cs="Tahoma"/>
                <w:sz w:val="20"/>
                <w:szCs w:val="20"/>
                <w:lang w:val="pt-PT"/>
              </w:rPr>
            </w:pPr>
            <w:r w:rsidRPr="00B004EE">
              <w:rPr>
                <w:rFonts w:ascii="Tahoma" w:hAnsi="Tahoma" w:cs="Tahoma"/>
                <w:sz w:val="20"/>
                <w:szCs w:val="20"/>
                <w:lang w:val="pt-PT"/>
              </w:rPr>
              <w:t>E</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20°</w:t>
            </w:r>
            <w:r w:rsidR="00DB1635" w:rsidRPr="00B004EE">
              <w:rPr>
                <w:rFonts w:ascii="Tahoma" w:hAnsi="Tahoma" w:cs="Tahoma"/>
                <w:sz w:val="20"/>
                <w:szCs w:val="20"/>
                <w:lang w:val="pt-PT"/>
              </w:rPr>
              <w:t xml:space="preserve"> </w:t>
            </w:r>
            <w:r w:rsidRPr="00B004EE">
              <w:rPr>
                <w:rFonts w:ascii="Tahoma" w:hAnsi="Tahoma" w:cs="Tahoma"/>
                <w:sz w:val="20"/>
                <w:szCs w:val="20"/>
                <w:lang w:val="pt-PT"/>
              </w:rPr>
              <w:t>36.000'N</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17°</w:t>
            </w:r>
            <w:r w:rsidR="00DB1635" w:rsidRPr="00B004EE">
              <w:rPr>
                <w:rFonts w:ascii="Tahoma" w:hAnsi="Tahoma" w:cs="Tahoma"/>
                <w:sz w:val="20"/>
                <w:szCs w:val="20"/>
                <w:lang w:val="pt-PT"/>
              </w:rPr>
              <w:t xml:space="preserve"> </w:t>
            </w:r>
            <w:r w:rsidRPr="00B004EE">
              <w:rPr>
                <w:rFonts w:ascii="Tahoma" w:hAnsi="Tahoma" w:cs="Tahoma"/>
                <w:sz w:val="20"/>
                <w:szCs w:val="20"/>
                <w:lang w:val="pt-PT"/>
              </w:rPr>
              <w:t>11.000'W</w:t>
            </w:r>
          </w:p>
          <w:p w14:paraId="7F114505" w14:textId="37796DF0" w:rsidR="008518B0" w:rsidRPr="00B004EE" w:rsidRDefault="008518B0" w:rsidP="00B004EE">
            <w:pPr>
              <w:rPr>
                <w:rFonts w:ascii="Tahoma" w:hAnsi="Tahoma" w:cs="Tahoma"/>
                <w:sz w:val="20"/>
                <w:szCs w:val="20"/>
                <w:lang w:val="pt-PT"/>
              </w:rPr>
            </w:pPr>
            <w:r w:rsidRPr="00B004EE">
              <w:rPr>
                <w:rFonts w:ascii="Tahoma" w:hAnsi="Tahoma" w:cs="Tahoma"/>
                <w:sz w:val="20"/>
                <w:szCs w:val="20"/>
                <w:lang w:val="pt-PT"/>
              </w:rPr>
              <w:t>G</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20°</w:t>
            </w:r>
            <w:r w:rsidR="00DB1635" w:rsidRPr="00B004EE">
              <w:rPr>
                <w:rFonts w:ascii="Tahoma" w:hAnsi="Tahoma" w:cs="Tahoma"/>
                <w:sz w:val="20"/>
                <w:szCs w:val="20"/>
                <w:lang w:val="pt-PT"/>
              </w:rPr>
              <w:t xml:space="preserve"> </w:t>
            </w:r>
            <w:r w:rsidRPr="00B004EE">
              <w:rPr>
                <w:rFonts w:ascii="Tahoma" w:hAnsi="Tahoma" w:cs="Tahoma"/>
                <w:sz w:val="20"/>
                <w:szCs w:val="20"/>
                <w:lang w:val="pt-PT"/>
              </w:rPr>
              <w:t>03.000'N</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17°</w:t>
            </w:r>
            <w:r w:rsidR="00DB1635" w:rsidRPr="00B004EE">
              <w:rPr>
                <w:rFonts w:ascii="Tahoma" w:hAnsi="Tahoma" w:cs="Tahoma"/>
                <w:sz w:val="20"/>
                <w:szCs w:val="20"/>
                <w:lang w:val="pt-PT"/>
              </w:rPr>
              <w:t xml:space="preserve"> </w:t>
            </w:r>
            <w:r w:rsidRPr="00B004EE">
              <w:rPr>
                <w:rFonts w:ascii="Tahoma" w:hAnsi="Tahoma" w:cs="Tahoma"/>
                <w:sz w:val="20"/>
                <w:szCs w:val="20"/>
                <w:lang w:val="pt-PT"/>
              </w:rPr>
              <w:t>36.000'W</w:t>
            </w:r>
          </w:p>
          <w:p w14:paraId="5491DB48" w14:textId="730DEF1F" w:rsidR="008518B0" w:rsidRPr="00B004EE" w:rsidRDefault="008518B0" w:rsidP="00B004EE">
            <w:pPr>
              <w:rPr>
                <w:rFonts w:ascii="Tahoma" w:hAnsi="Tahoma" w:cs="Tahoma"/>
                <w:sz w:val="20"/>
                <w:szCs w:val="20"/>
                <w:lang w:val="pt-PT"/>
              </w:rPr>
            </w:pPr>
            <w:r w:rsidRPr="00B004EE">
              <w:rPr>
                <w:rFonts w:ascii="Tahoma" w:hAnsi="Tahoma" w:cs="Tahoma"/>
                <w:sz w:val="20"/>
                <w:szCs w:val="20"/>
                <w:lang w:val="pt-PT"/>
              </w:rPr>
              <w:t>U</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19°</w:t>
            </w:r>
            <w:r w:rsidR="00DB1635" w:rsidRPr="00B004EE">
              <w:rPr>
                <w:rFonts w:ascii="Tahoma" w:hAnsi="Tahoma" w:cs="Tahoma"/>
                <w:sz w:val="20"/>
                <w:szCs w:val="20"/>
                <w:lang w:val="pt-PT"/>
              </w:rPr>
              <w:t xml:space="preserve"> </w:t>
            </w:r>
            <w:r w:rsidRPr="00B004EE">
              <w:rPr>
                <w:rFonts w:ascii="Tahoma" w:hAnsi="Tahoma" w:cs="Tahoma"/>
                <w:sz w:val="20"/>
                <w:szCs w:val="20"/>
                <w:lang w:val="pt-PT"/>
              </w:rPr>
              <w:t>52.500'N</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17°</w:t>
            </w:r>
            <w:r w:rsidR="00DB1635" w:rsidRPr="00B004EE">
              <w:rPr>
                <w:rFonts w:ascii="Tahoma" w:hAnsi="Tahoma" w:cs="Tahoma"/>
                <w:sz w:val="20"/>
                <w:szCs w:val="20"/>
                <w:lang w:val="pt-PT"/>
              </w:rPr>
              <w:t xml:space="preserve"> </w:t>
            </w:r>
            <w:r w:rsidRPr="00B004EE">
              <w:rPr>
                <w:rFonts w:ascii="Tahoma" w:hAnsi="Tahoma" w:cs="Tahoma"/>
                <w:sz w:val="20"/>
                <w:szCs w:val="20"/>
                <w:lang w:val="pt-PT"/>
              </w:rPr>
              <w:t>15.100'W</w:t>
            </w:r>
          </w:p>
          <w:p w14:paraId="7A964CC4" w14:textId="0D220C0E" w:rsidR="008518B0" w:rsidRPr="00B004EE" w:rsidRDefault="008518B0" w:rsidP="00B004EE">
            <w:pPr>
              <w:rPr>
                <w:rFonts w:ascii="Tahoma" w:hAnsi="Tahoma" w:cs="Tahoma"/>
                <w:sz w:val="20"/>
                <w:szCs w:val="20"/>
              </w:rPr>
            </w:pPr>
            <w:r w:rsidRPr="00B004EE">
              <w:rPr>
                <w:rFonts w:ascii="Tahoma" w:hAnsi="Tahoma" w:cs="Tahoma"/>
                <w:sz w:val="20"/>
                <w:szCs w:val="20"/>
              </w:rPr>
              <w:t>V</w:t>
            </w:r>
            <w:r w:rsidRPr="00B004EE">
              <w:rPr>
                <w:rFonts w:ascii="Tahoma" w:hAnsi="Tahoma" w:cs="Tahoma"/>
                <w:sz w:val="20"/>
                <w:szCs w:val="20"/>
              </w:rPr>
              <w:tab/>
            </w:r>
            <w:r w:rsidR="00DB1635" w:rsidRPr="00B004EE">
              <w:rPr>
                <w:rFonts w:ascii="Tahoma" w:hAnsi="Tahoma" w:cs="Tahoma"/>
                <w:sz w:val="20"/>
                <w:szCs w:val="20"/>
              </w:rPr>
              <w:t xml:space="preserve"> </w:t>
            </w:r>
            <w:r w:rsidRPr="00B004EE">
              <w:rPr>
                <w:rFonts w:ascii="Tahoma" w:hAnsi="Tahoma" w:cs="Tahoma"/>
                <w:sz w:val="20"/>
                <w:szCs w:val="20"/>
              </w:rPr>
              <w:t>19°</w:t>
            </w:r>
            <w:r w:rsidR="00DB1635" w:rsidRPr="00B004EE">
              <w:rPr>
                <w:rFonts w:ascii="Tahoma" w:hAnsi="Tahoma" w:cs="Tahoma"/>
                <w:sz w:val="20"/>
                <w:szCs w:val="20"/>
              </w:rPr>
              <w:t xml:space="preserve"> </w:t>
            </w:r>
            <w:r w:rsidRPr="00B004EE">
              <w:rPr>
                <w:rFonts w:ascii="Tahoma" w:hAnsi="Tahoma" w:cs="Tahoma"/>
                <w:sz w:val="20"/>
                <w:szCs w:val="20"/>
              </w:rPr>
              <w:t>19.200'N</w:t>
            </w:r>
            <w:r w:rsidRPr="00B004EE">
              <w:rPr>
                <w:rFonts w:ascii="Tahoma" w:hAnsi="Tahoma" w:cs="Tahoma"/>
                <w:sz w:val="20"/>
                <w:szCs w:val="20"/>
              </w:rPr>
              <w:tab/>
            </w:r>
            <w:r w:rsidR="00DB1635" w:rsidRPr="00B004EE">
              <w:rPr>
                <w:rFonts w:ascii="Tahoma" w:hAnsi="Tahoma" w:cs="Tahoma"/>
                <w:sz w:val="20"/>
                <w:szCs w:val="20"/>
              </w:rPr>
              <w:t xml:space="preserve"> </w:t>
            </w:r>
            <w:r w:rsidRPr="00B004EE">
              <w:rPr>
                <w:rFonts w:ascii="Tahoma" w:hAnsi="Tahoma" w:cs="Tahoma"/>
                <w:sz w:val="20"/>
                <w:szCs w:val="20"/>
              </w:rPr>
              <w:t>17°</w:t>
            </w:r>
            <w:r w:rsidR="00DB1635" w:rsidRPr="00B004EE">
              <w:rPr>
                <w:rFonts w:ascii="Tahoma" w:hAnsi="Tahoma" w:cs="Tahoma"/>
                <w:sz w:val="20"/>
                <w:szCs w:val="20"/>
              </w:rPr>
              <w:t xml:space="preserve"> </w:t>
            </w:r>
            <w:r w:rsidRPr="00B004EE">
              <w:rPr>
                <w:rFonts w:ascii="Tahoma" w:hAnsi="Tahoma" w:cs="Tahoma"/>
                <w:sz w:val="20"/>
                <w:szCs w:val="20"/>
              </w:rPr>
              <w:t>03.20'W</w:t>
            </w:r>
          </w:p>
          <w:p w14:paraId="730C05D1" w14:textId="13041E12" w:rsidR="008518B0" w:rsidRPr="00B004EE" w:rsidRDefault="008518B0" w:rsidP="00B004EE">
            <w:pPr>
              <w:rPr>
                <w:rFonts w:ascii="Tahoma" w:hAnsi="Tahoma" w:cs="Tahoma"/>
                <w:sz w:val="20"/>
                <w:szCs w:val="20"/>
                <w:lang w:val="fr-CA"/>
              </w:rPr>
            </w:pP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sud</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parallèle</w:t>
            </w:r>
            <w:r w:rsidR="00DB1635" w:rsidRPr="00B004EE">
              <w:rPr>
                <w:rFonts w:ascii="Tahoma" w:hAnsi="Tahoma" w:cs="Tahoma"/>
                <w:sz w:val="20"/>
                <w:szCs w:val="20"/>
              </w:rPr>
              <w:t xml:space="preserve"> </w:t>
            </w:r>
            <w:r w:rsidRPr="00B004EE">
              <w:rPr>
                <w:rFonts w:ascii="Tahoma" w:hAnsi="Tahoma" w:cs="Tahoma"/>
                <w:sz w:val="20"/>
                <w:szCs w:val="20"/>
              </w:rPr>
              <w:t>19°19.12N</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lang w:val="fr-CA"/>
              </w:rPr>
              <w:t xml:space="preserve"> </w:t>
            </w:r>
            <w:r w:rsidRPr="00B004EE">
              <w:rPr>
                <w:rFonts w:ascii="Tahoma" w:hAnsi="Tahoma" w:cs="Tahoma"/>
                <w:sz w:val="20"/>
                <w:szCs w:val="20"/>
                <w:lang w:val="fr-CA"/>
              </w:rPr>
              <w:t>à</w:t>
            </w:r>
            <w:r w:rsidR="00DB1635" w:rsidRPr="00B004EE">
              <w:rPr>
                <w:rFonts w:ascii="Tahoma" w:hAnsi="Tahoma" w:cs="Tahoma"/>
                <w:sz w:val="20"/>
                <w:szCs w:val="20"/>
                <w:lang w:val="fr-CA"/>
              </w:rPr>
              <w:t xml:space="preserve"> </w:t>
            </w:r>
            <w:r w:rsidRPr="00B004EE">
              <w:rPr>
                <w:rFonts w:ascii="Tahoma" w:hAnsi="Tahoma" w:cs="Tahoma"/>
                <w:sz w:val="20"/>
                <w:szCs w:val="20"/>
                <w:lang w:val="fr-CA"/>
              </w:rPr>
              <w:t>l’ouest</w:t>
            </w:r>
            <w:r w:rsidR="00DB1635" w:rsidRPr="00B004EE">
              <w:rPr>
                <w:rFonts w:ascii="Tahoma" w:hAnsi="Tahoma" w:cs="Tahoma"/>
                <w:sz w:val="20"/>
                <w:szCs w:val="20"/>
                <w:lang w:val="fr-CA"/>
              </w:rPr>
              <w:t xml:space="preserve"> </w:t>
            </w:r>
            <w:r w:rsidRPr="00B004EE">
              <w:rPr>
                <w:rFonts w:ascii="Tahoma" w:hAnsi="Tahoma" w:cs="Tahoma"/>
                <w:sz w:val="20"/>
                <w:szCs w:val="20"/>
                <w:lang w:val="fr-CA"/>
              </w:rPr>
              <w:t>de</w:t>
            </w:r>
            <w:r w:rsidR="00DB1635" w:rsidRPr="00B004EE">
              <w:rPr>
                <w:rFonts w:ascii="Tahoma" w:hAnsi="Tahoma" w:cs="Tahoma"/>
                <w:sz w:val="20"/>
                <w:szCs w:val="20"/>
                <w:lang w:val="fr-CA"/>
              </w:rPr>
              <w:t xml:space="preserve"> </w:t>
            </w:r>
            <w:r w:rsidRPr="00B004EE">
              <w:rPr>
                <w:rFonts w:ascii="Tahoma" w:hAnsi="Tahoma" w:cs="Tahoma"/>
                <w:sz w:val="20"/>
                <w:szCs w:val="20"/>
                <w:lang w:val="fr-CA"/>
              </w:rPr>
              <w:t>la</w:t>
            </w:r>
            <w:r w:rsidR="00DB1635" w:rsidRPr="00B004EE">
              <w:rPr>
                <w:rFonts w:ascii="Tahoma" w:hAnsi="Tahoma" w:cs="Tahoma"/>
                <w:sz w:val="20"/>
                <w:szCs w:val="20"/>
                <w:lang w:val="fr-CA"/>
              </w:rPr>
              <w:t xml:space="preserve"> </w:t>
            </w:r>
            <w:r w:rsidRPr="00B004EE">
              <w:rPr>
                <w:rFonts w:ascii="Tahoma" w:hAnsi="Tahoma" w:cs="Tahoma"/>
                <w:sz w:val="20"/>
                <w:szCs w:val="20"/>
                <w:lang w:val="fr-CA"/>
              </w:rPr>
              <w:t>ligne</w:t>
            </w:r>
            <w:r w:rsidR="00DB1635" w:rsidRPr="00B004EE">
              <w:rPr>
                <w:rFonts w:ascii="Tahoma" w:hAnsi="Tahoma" w:cs="Tahoma"/>
                <w:sz w:val="20"/>
                <w:szCs w:val="20"/>
                <w:lang w:val="fr-CA"/>
              </w:rPr>
              <w:t xml:space="preserve"> </w:t>
            </w:r>
            <w:r w:rsidRPr="00B004EE">
              <w:rPr>
                <w:rFonts w:ascii="Tahoma" w:hAnsi="Tahoma" w:cs="Tahoma"/>
                <w:sz w:val="20"/>
                <w:szCs w:val="20"/>
                <w:lang w:val="fr-CA"/>
              </w:rPr>
              <w:t>des</w:t>
            </w:r>
            <w:r w:rsidR="00DB1635" w:rsidRPr="00B004EE">
              <w:rPr>
                <w:rFonts w:ascii="Tahoma" w:hAnsi="Tahoma" w:cs="Tahoma"/>
                <w:sz w:val="20"/>
                <w:szCs w:val="20"/>
                <w:lang w:val="fr-CA"/>
              </w:rPr>
              <w:t xml:space="preserve"> </w:t>
            </w:r>
            <w:r w:rsidRPr="00B004EE">
              <w:rPr>
                <w:rFonts w:ascii="Tahoma" w:hAnsi="Tahoma" w:cs="Tahoma"/>
                <w:sz w:val="20"/>
                <w:szCs w:val="20"/>
                <w:lang w:val="fr-CA"/>
              </w:rPr>
              <w:t>30</w:t>
            </w:r>
            <w:r w:rsidR="00DB1635" w:rsidRPr="00B004EE">
              <w:rPr>
                <w:rFonts w:ascii="Tahoma" w:hAnsi="Tahoma" w:cs="Tahoma"/>
                <w:sz w:val="20"/>
                <w:szCs w:val="20"/>
                <w:lang w:val="fr-CA"/>
              </w:rPr>
              <w:t xml:space="preserve"> </w:t>
            </w:r>
            <w:r w:rsidRPr="00B004EE">
              <w:rPr>
                <w:rFonts w:ascii="Tahoma" w:hAnsi="Tahoma" w:cs="Tahoma"/>
                <w:sz w:val="20"/>
                <w:szCs w:val="20"/>
                <w:lang w:val="fr-CA"/>
              </w:rPr>
              <w:t>milles,</w:t>
            </w:r>
            <w:r w:rsidR="00DB1635" w:rsidRPr="00B004EE">
              <w:rPr>
                <w:rFonts w:ascii="Tahoma" w:hAnsi="Tahoma" w:cs="Tahoma"/>
                <w:sz w:val="20"/>
                <w:szCs w:val="20"/>
                <w:lang w:val="fr-CA"/>
              </w:rPr>
              <w:t xml:space="preserve"> </w:t>
            </w:r>
            <w:r w:rsidRPr="00B004EE">
              <w:rPr>
                <w:rFonts w:ascii="Tahoma" w:hAnsi="Tahoma" w:cs="Tahoma"/>
                <w:sz w:val="20"/>
                <w:szCs w:val="20"/>
                <w:lang w:val="fr-CA"/>
              </w:rPr>
              <w:t>mesurés</w:t>
            </w:r>
            <w:r w:rsidR="00DB1635" w:rsidRPr="00B004EE">
              <w:rPr>
                <w:rFonts w:ascii="Tahoma" w:hAnsi="Tahoma" w:cs="Tahoma"/>
                <w:sz w:val="20"/>
                <w:szCs w:val="20"/>
                <w:lang w:val="fr-CA"/>
              </w:rPr>
              <w:t xml:space="preserve"> </w:t>
            </w:r>
            <w:r w:rsidRPr="00B004EE">
              <w:rPr>
                <w:rFonts w:ascii="Tahoma" w:hAnsi="Tahoma" w:cs="Tahoma"/>
                <w:sz w:val="20"/>
                <w:szCs w:val="20"/>
                <w:lang w:val="fr-CA"/>
              </w:rPr>
              <w:t>à</w:t>
            </w:r>
            <w:r w:rsidR="00DB1635" w:rsidRPr="00B004EE">
              <w:rPr>
                <w:rFonts w:ascii="Tahoma" w:hAnsi="Tahoma" w:cs="Tahoma"/>
                <w:sz w:val="20"/>
                <w:szCs w:val="20"/>
                <w:lang w:val="fr-CA"/>
              </w:rPr>
              <w:t xml:space="preserve"> </w:t>
            </w:r>
            <w:r w:rsidRPr="00B004EE">
              <w:rPr>
                <w:rFonts w:ascii="Tahoma" w:hAnsi="Tahoma" w:cs="Tahoma"/>
                <w:sz w:val="20"/>
                <w:szCs w:val="20"/>
                <w:lang w:val="fr-CA"/>
              </w:rPr>
              <w:t>partir</w:t>
            </w:r>
            <w:r w:rsidR="00DB1635" w:rsidRPr="00B004EE">
              <w:rPr>
                <w:rFonts w:ascii="Tahoma" w:hAnsi="Tahoma" w:cs="Tahoma"/>
                <w:sz w:val="20"/>
                <w:szCs w:val="20"/>
                <w:lang w:val="fr-CA"/>
              </w:rPr>
              <w:t xml:space="preserve"> </w:t>
            </w:r>
            <w:r w:rsidRPr="00B004EE">
              <w:rPr>
                <w:rFonts w:ascii="Tahoma" w:hAnsi="Tahoma" w:cs="Tahoma"/>
                <w:sz w:val="20"/>
                <w:szCs w:val="20"/>
                <w:lang w:val="fr-CA"/>
              </w:rPr>
              <w:t>de</w:t>
            </w:r>
            <w:r w:rsidR="00DB1635" w:rsidRPr="00B004EE">
              <w:rPr>
                <w:rFonts w:ascii="Tahoma" w:hAnsi="Tahoma" w:cs="Tahoma"/>
                <w:sz w:val="20"/>
                <w:szCs w:val="20"/>
                <w:lang w:val="fr-CA"/>
              </w:rPr>
              <w:t xml:space="preserve"> </w:t>
            </w:r>
            <w:r w:rsidRPr="00B004EE">
              <w:rPr>
                <w:rFonts w:ascii="Tahoma" w:hAnsi="Tahoma" w:cs="Tahoma"/>
                <w:sz w:val="20"/>
                <w:szCs w:val="20"/>
                <w:lang w:val="fr-CA"/>
              </w:rPr>
              <w:t>la</w:t>
            </w:r>
            <w:r w:rsidR="00DB1635" w:rsidRPr="00B004EE">
              <w:rPr>
                <w:rFonts w:ascii="Tahoma" w:hAnsi="Tahoma" w:cs="Tahoma"/>
                <w:sz w:val="20"/>
                <w:szCs w:val="20"/>
                <w:lang w:val="fr-CA"/>
              </w:rPr>
              <w:t xml:space="preserve"> </w:t>
            </w:r>
            <w:r w:rsidRPr="00B004EE">
              <w:rPr>
                <w:rFonts w:ascii="Tahoma" w:hAnsi="Tahoma" w:cs="Tahoma"/>
                <w:sz w:val="20"/>
                <w:szCs w:val="20"/>
                <w:lang w:val="fr-CA"/>
              </w:rPr>
              <w:t>laisse</w:t>
            </w:r>
            <w:r w:rsidR="00DB1635" w:rsidRPr="00B004EE">
              <w:rPr>
                <w:rFonts w:ascii="Tahoma" w:hAnsi="Tahoma" w:cs="Tahoma"/>
                <w:sz w:val="20"/>
                <w:szCs w:val="20"/>
                <w:lang w:val="fr-CA"/>
              </w:rPr>
              <w:t xml:space="preserve"> </w:t>
            </w:r>
            <w:r w:rsidRPr="00B004EE">
              <w:rPr>
                <w:rFonts w:ascii="Tahoma" w:hAnsi="Tahoma" w:cs="Tahoma"/>
                <w:sz w:val="20"/>
                <w:szCs w:val="20"/>
                <w:lang w:val="fr-CA"/>
              </w:rPr>
              <w:t>de</w:t>
            </w:r>
            <w:r w:rsidR="00DB1635" w:rsidRPr="00B004EE">
              <w:rPr>
                <w:rFonts w:ascii="Tahoma" w:hAnsi="Tahoma" w:cs="Tahoma"/>
                <w:sz w:val="20"/>
                <w:szCs w:val="20"/>
                <w:lang w:val="fr-CA"/>
              </w:rPr>
              <w:t xml:space="preserve"> </w:t>
            </w:r>
            <w:r w:rsidRPr="00B004EE">
              <w:rPr>
                <w:rFonts w:ascii="Tahoma" w:hAnsi="Tahoma" w:cs="Tahoma"/>
                <w:sz w:val="20"/>
                <w:szCs w:val="20"/>
                <w:lang w:val="fr-CA"/>
              </w:rPr>
              <w:t>basse</w:t>
            </w:r>
            <w:r w:rsidR="00DB1635" w:rsidRPr="00B004EE">
              <w:rPr>
                <w:rFonts w:ascii="Tahoma" w:hAnsi="Tahoma" w:cs="Tahoma"/>
                <w:sz w:val="20"/>
                <w:szCs w:val="20"/>
                <w:lang w:val="fr-CA"/>
              </w:rPr>
              <w:t xml:space="preserve"> </w:t>
            </w:r>
            <w:r w:rsidRPr="00B004EE">
              <w:rPr>
                <w:rFonts w:ascii="Tahoma" w:hAnsi="Tahoma" w:cs="Tahoma"/>
                <w:sz w:val="20"/>
                <w:szCs w:val="20"/>
                <w:lang w:val="fr-CA"/>
              </w:rPr>
              <w:t>mer.</w:t>
            </w:r>
          </w:p>
        </w:tc>
      </w:tr>
      <w:tr w:rsidR="00150C90" w:rsidRPr="00B004EE" w14:paraId="7859C516" w14:textId="77777777" w:rsidTr="00767386">
        <w:trPr>
          <w:trHeight w:val="805"/>
        </w:trPr>
        <w:tc>
          <w:tcPr>
            <w:tcW w:w="1560" w:type="dxa"/>
            <w:vMerge w:val="restart"/>
            <w:shd w:val="clear" w:color="auto" w:fill="auto"/>
          </w:tcPr>
          <w:p w14:paraId="7DB1F825" w14:textId="77777777" w:rsidR="008518B0" w:rsidRPr="00B004EE" w:rsidRDefault="008518B0" w:rsidP="00B004EE">
            <w:pPr>
              <w:jc w:val="both"/>
              <w:rPr>
                <w:rFonts w:ascii="Tahoma" w:hAnsi="Tahoma" w:cs="Tahoma"/>
                <w:b/>
                <w:bCs/>
                <w:i/>
                <w:iCs/>
                <w:sz w:val="20"/>
                <w:szCs w:val="20"/>
              </w:rPr>
            </w:pPr>
          </w:p>
        </w:tc>
        <w:tc>
          <w:tcPr>
            <w:tcW w:w="3402" w:type="dxa"/>
            <w:shd w:val="clear" w:color="auto" w:fill="auto"/>
          </w:tcPr>
          <w:p w14:paraId="2F89A478" w14:textId="119E58FA" w:rsidR="008518B0" w:rsidRPr="00B004EE" w:rsidRDefault="008518B0" w:rsidP="00B004EE">
            <w:pPr>
              <w:jc w:val="both"/>
              <w:rPr>
                <w:rFonts w:ascii="Tahoma" w:hAnsi="Tahoma" w:cs="Tahoma"/>
                <w:b/>
                <w:bCs/>
                <w:i/>
                <w:iCs/>
                <w:sz w:val="20"/>
                <w:szCs w:val="20"/>
              </w:rPr>
            </w:pPr>
            <w:r w:rsidRPr="00B004EE">
              <w:rPr>
                <w:rFonts w:ascii="Tahoma" w:hAnsi="Tahoma" w:cs="Tahoma"/>
                <w:b/>
                <w:bCs/>
                <w:i/>
                <w:iCs/>
                <w:sz w:val="20"/>
                <w:szCs w:val="20"/>
              </w:rPr>
              <w:t>Céphalopodes</w:t>
            </w:r>
            <w:r w:rsidR="00DB1635" w:rsidRPr="00B004EE">
              <w:rPr>
                <w:rFonts w:ascii="Tahoma" w:hAnsi="Tahoma" w:cs="Tahoma"/>
                <w:b/>
                <w:bCs/>
                <w:i/>
                <w:iCs/>
                <w:sz w:val="20"/>
                <w:szCs w:val="20"/>
              </w:rPr>
              <w:t xml:space="preserve"> </w:t>
            </w:r>
          </w:p>
          <w:p w14:paraId="4E776157" w14:textId="77777777" w:rsidR="008518B0" w:rsidRPr="00B004EE" w:rsidRDefault="008518B0" w:rsidP="00B004EE">
            <w:pPr>
              <w:jc w:val="both"/>
              <w:rPr>
                <w:rFonts w:ascii="Tahoma" w:hAnsi="Tahoma" w:cs="Tahoma"/>
                <w:i/>
                <w:iCs/>
                <w:sz w:val="20"/>
                <w:szCs w:val="20"/>
              </w:rPr>
            </w:pPr>
          </w:p>
        </w:tc>
        <w:tc>
          <w:tcPr>
            <w:tcW w:w="4787" w:type="dxa"/>
            <w:vMerge w:val="restart"/>
            <w:shd w:val="clear" w:color="auto" w:fill="auto"/>
          </w:tcPr>
          <w:p w14:paraId="69899BD5" w14:textId="3F17386A" w:rsidR="008518B0" w:rsidRPr="00B004EE" w:rsidRDefault="008518B0" w:rsidP="00B004EE">
            <w:pPr>
              <w:rPr>
                <w:rFonts w:ascii="Tahoma" w:hAnsi="Tahoma" w:cs="Tahoma"/>
                <w:sz w:val="20"/>
                <w:szCs w:val="20"/>
              </w:rPr>
            </w:pP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nord</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19°19.12N,</w:t>
            </w:r>
            <w:r w:rsidR="00DB1635" w:rsidRPr="00B004EE">
              <w:rPr>
                <w:rFonts w:ascii="Tahoma" w:hAnsi="Tahoma" w:cs="Tahoma"/>
                <w:sz w:val="20"/>
                <w:szCs w:val="20"/>
              </w:rPr>
              <w:t xml:space="preserve"> </w:t>
            </w:r>
            <w:r w:rsidRPr="00B004EE">
              <w:rPr>
                <w:rFonts w:ascii="Tahoma" w:hAnsi="Tahoma" w:cs="Tahoma"/>
                <w:sz w:val="20"/>
                <w:szCs w:val="20"/>
              </w:rPr>
              <w:t>zone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00BD7C35" w:rsidRPr="00B004EE">
              <w:rPr>
                <w:rFonts w:ascii="Tahoma" w:hAnsi="Tahoma" w:cs="Tahoma"/>
                <w:sz w:val="20"/>
                <w:szCs w:val="20"/>
              </w:rPr>
              <w:t xml:space="preserve">            </w:t>
            </w:r>
            <w:r w:rsidR="00BD7C35" w:rsidRPr="00B004EE">
              <w:rPr>
                <w:rFonts w:ascii="Tahoma" w:hAnsi="Tahoma" w:cs="Tahoma"/>
                <w:b/>
                <w:bCs/>
                <w:sz w:val="20"/>
                <w:szCs w:val="20"/>
              </w:rPr>
              <w:t>Z7</w:t>
            </w:r>
            <w:r w:rsidR="00BD7C35" w:rsidRPr="00B004EE">
              <w:rPr>
                <w:rFonts w:ascii="Tahoma" w:hAnsi="Tahoma" w:cs="Tahoma"/>
                <w:sz w:val="20"/>
                <w:szCs w:val="20"/>
              </w:rPr>
              <w:t xml:space="preserve"> </w:t>
            </w:r>
            <w:r w:rsidRPr="00B004EE">
              <w:rPr>
                <w:rFonts w:ascii="Tahoma" w:hAnsi="Tahoma" w:cs="Tahoma"/>
                <w:sz w:val="20"/>
                <w:szCs w:val="20"/>
              </w:rPr>
              <w:t>l’ouest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ligne</w:t>
            </w:r>
            <w:r w:rsidR="00DB1635" w:rsidRPr="00B004EE">
              <w:rPr>
                <w:rFonts w:ascii="Tahoma" w:hAnsi="Tahoma" w:cs="Tahoma"/>
                <w:sz w:val="20"/>
                <w:szCs w:val="20"/>
              </w:rPr>
              <w:t xml:space="preserve"> </w:t>
            </w:r>
            <w:r w:rsidRPr="00B004EE">
              <w:rPr>
                <w:rFonts w:ascii="Tahoma" w:hAnsi="Tahoma" w:cs="Tahoma"/>
                <w:sz w:val="20"/>
                <w:szCs w:val="20"/>
              </w:rPr>
              <w:t>délimitée</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points</w:t>
            </w:r>
            <w:r w:rsidR="00DB1635" w:rsidRPr="00B004EE">
              <w:rPr>
                <w:rFonts w:ascii="Tahoma" w:hAnsi="Tahoma" w:cs="Tahoma"/>
                <w:sz w:val="20"/>
                <w:szCs w:val="20"/>
              </w:rPr>
              <w:t xml:space="preserve"> </w:t>
            </w:r>
            <w:r w:rsidRPr="00B004EE">
              <w:rPr>
                <w:rFonts w:ascii="Tahoma" w:hAnsi="Tahoma" w:cs="Tahoma"/>
                <w:sz w:val="20"/>
                <w:szCs w:val="20"/>
              </w:rPr>
              <w:t>suivants</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p>
          <w:p w14:paraId="5F2C2CDE" w14:textId="11051AFA" w:rsidR="008518B0" w:rsidRPr="00B004EE" w:rsidRDefault="008518B0" w:rsidP="00B004EE">
            <w:pPr>
              <w:rPr>
                <w:rFonts w:ascii="Tahoma" w:hAnsi="Tahoma" w:cs="Tahoma"/>
                <w:sz w:val="20"/>
                <w:szCs w:val="20"/>
                <w:lang w:val="pt-PT"/>
              </w:rPr>
            </w:pPr>
            <w:r w:rsidRPr="00B004EE">
              <w:rPr>
                <w:rFonts w:ascii="Tahoma" w:hAnsi="Tahoma" w:cs="Tahoma"/>
                <w:sz w:val="20"/>
                <w:szCs w:val="20"/>
                <w:lang w:val="pt-PT"/>
              </w:rPr>
              <w:t>A</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20°</w:t>
            </w:r>
            <w:r w:rsidR="00DB1635" w:rsidRPr="00B004EE">
              <w:rPr>
                <w:rFonts w:ascii="Tahoma" w:hAnsi="Tahoma" w:cs="Tahoma"/>
                <w:sz w:val="20"/>
                <w:szCs w:val="20"/>
                <w:lang w:val="pt-PT"/>
              </w:rPr>
              <w:t xml:space="preserve"> </w:t>
            </w:r>
            <w:r w:rsidRPr="00B004EE">
              <w:rPr>
                <w:rFonts w:ascii="Tahoma" w:hAnsi="Tahoma" w:cs="Tahoma"/>
                <w:sz w:val="20"/>
                <w:szCs w:val="20"/>
                <w:lang w:val="pt-PT"/>
              </w:rPr>
              <w:t>46.30'N</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17°</w:t>
            </w:r>
            <w:r w:rsidR="00DB1635" w:rsidRPr="00B004EE">
              <w:rPr>
                <w:rFonts w:ascii="Tahoma" w:hAnsi="Tahoma" w:cs="Tahoma"/>
                <w:sz w:val="20"/>
                <w:szCs w:val="20"/>
                <w:lang w:val="pt-PT"/>
              </w:rPr>
              <w:t xml:space="preserve"> </w:t>
            </w:r>
            <w:r w:rsidRPr="00B004EE">
              <w:rPr>
                <w:rFonts w:ascii="Tahoma" w:hAnsi="Tahoma" w:cs="Tahoma"/>
                <w:sz w:val="20"/>
                <w:szCs w:val="20"/>
                <w:lang w:val="pt-PT"/>
              </w:rPr>
              <w:t>03.00'W</w:t>
            </w:r>
          </w:p>
          <w:p w14:paraId="3CC22F78" w14:textId="13A3076B" w:rsidR="008518B0" w:rsidRPr="00B004EE" w:rsidRDefault="008518B0" w:rsidP="00B004EE">
            <w:pPr>
              <w:rPr>
                <w:rFonts w:ascii="Tahoma" w:hAnsi="Tahoma" w:cs="Tahoma"/>
                <w:sz w:val="20"/>
                <w:szCs w:val="20"/>
                <w:lang w:val="pt-PT"/>
              </w:rPr>
            </w:pPr>
            <w:r w:rsidRPr="00B004EE">
              <w:rPr>
                <w:rFonts w:ascii="Tahoma" w:hAnsi="Tahoma" w:cs="Tahoma"/>
                <w:sz w:val="20"/>
                <w:szCs w:val="20"/>
                <w:lang w:val="pt-PT"/>
              </w:rPr>
              <w:t>B</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20°</w:t>
            </w:r>
            <w:r w:rsidR="00DB1635" w:rsidRPr="00B004EE">
              <w:rPr>
                <w:rFonts w:ascii="Tahoma" w:hAnsi="Tahoma" w:cs="Tahoma"/>
                <w:sz w:val="20"/>
                <w:szCs w:val="20"/>
                <w:lang w:val="pt-PT"/>
              </w:rPr>
              <w:t xml:space="preserve"> </w:t>
            </w:r>
            <w:r w:rsidRPr="00B004EE">
              <w:rPr>
                <w:rFonts w:ascii="Tahoma" w:hAnsi="Tahoma" w:cs="Tahoma"/>
                <w:sz w:val="20"/>
                <w:szCs w:val="20"/>
                <w:lang w:val="pt-PT"/>
              </w:rPr>
              <w:t>40.00'N</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17°</w:t>
            </w:r>
            <w:r w:rsidR="00DB1635" w:rsidRPr="00B004EE">
              <w:rPr>
                <w:rFonts w:ascii="Tahoma" w:hAnsi="Tahoma" w:cs="Tahoma"/>
                <w:sz w:val="20"/>
                <w:szCs w:val="20"/>
                <w:lang w:val="pt-PT"/>
              </w:rPr>
              <w:t xml:space="preserve"> </w:t>
            </w:r>
            <w:r w:rsidRPr="00B004EE">
              <w:rPr>
                <w:rFonts w:ascii="Tahoma" w:hAnsi="Tahoma" w:cs="Tahoma"/>
                <w:sz w:val="20"/>
                <w:szCs w:val="20"/>
                <w:lang w:val="pt-PT"/>
              </w:rPr>
              <w:t>08.30'W</w:t>
            </w:r>
          </w:p>
          <w:p w14:paraId="00A3DAE0" w14:textId="30FAC23D" w:rsidR="008518B0" w:rsidRPr="00B004EE" w:rsidRDefault="008518B0" w:rsidP="00B004EE">
            <w:pPr>
              <w:rPr>
                <w:rFonts w:ascii="Tahoma" w:hAnsi="Tahoma" w:cs="Tahoma"/>
                <w:sz w:val="20"/>
                <w:szCs w:val="20"/>
                <w:lang w:val="pt-PT"/>
              </w:rPr>
            </w:pPr>
            <w:r w:rsidRPr="00B004EE">
              <w:rPr>
                <w:rFonts w:ascii="Tahoma" w:hAnsi="Tahoma" w:cs="Tahoma"/>
                <w:sz w:val="20"/>
                <w:szCs w:val="20"/>
                <w:lang w:val="pt-PT"/>
              </w:rPr>
              <w:t>F</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20°</w:t>
            </w:r>
            <w:r w:rsidR="00DB1635" w:rsidRPr="00B004EE">
              <w:rPr>
                <w:rFonts w:ascii="Tahoma" w:hAnsi="Tahoma" w:cs="Tahoma"/>
                <w:sz w:val="20"/>
                <w:szCs w:val="20"/>
                <w:lang w:val="pt-PT"/>
              </w:rPr>
              <w:t xml:space="preserve"> </w:t>
            </w:r>
            <w:r w:rsidRPr="00B004EE">
              <w:rPr>
                <w:rFonts w:ascii="Tahoma" w:hAnsi="Tahoma" w:cs="Tahoma"/>
                <w:sz w:val="20"/>
                <w:szCs w:val="20"/>
                <w:lang w:val="pt-PT"/>
              </w:rPr>
              <w:t>10.12'N</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17°</w:t>
            </w:r>
            <w:r w:rsidR="00DB1635" w:rsidRPr="00B004EE">
              <w:rPr>
                <w:rFonts w:ascii="Tahoma" w:hAnsi="Tahoma" w:cs="Tahoma"/>
                <w:sz w:val="20"/>
                <w:szCs w:val="20"/>
                <w:lang w:val="pt-PT"/>
              </w:rPr>
              <w:t xml:space="preserve"> </w:t>
            </w:r>
            <w:r w:rsidRPr="00B004EE">
              <w:rPr>
                <w:rFonts w:ascii="Tahoma" w:hAnsi="Tahoma" w:cs="Tahoma"/>
                <w:sz w:val="20"/>
                <w:szCs w:val="20"/>
                <w:lang w:val="pt-PT"/>
              </w:rPr>
              <w:t>16.12'W</w:t>
            </w:r>
          </w:p>
          <w:p w14:paraId="29107368" w14:textId="3B6CE62D" w:rsidR="008518B0" w:rsidRPr="00B004EE" w:rsidRDefault="008518B0" w:rsidP="00B004EE">
            <w:pPr>
              <w:rPr>
                <w:rFonts w:ascii="Tahoma" w:hAnsi="Tahoma" w:cs="Tahoma"/>
                <w:sz w:val="20"/>
                <w:szCs w:val="20"/>
                <w:lang w:val="pt-PT"/>
              </w:rPr>
            </w:pPr>
            <w:r w:rsidRPr="00B004EE">
              <w:rPr>
                <w:rFonts w:ascii="Tahoma" w:hAnsi="Tahoma" w:cs="Tahoma"/>
                <w:sz w:val="20"/>
                <w:szCs w:val="20"/>
                <w:lang w:val="pt-PT"/>
              </w:rPr>
              <w:t>J</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19°</w:t>
            </w:r>
            <w:r w:rsidR="00DB1635" w:rsidRPr="00B004EE">
              <w:rPr>
                <w:rFonts w:ascii="Tahoma" w:hAnsi="Tahoma" w:cs="Tahoma"/>
                <w:sz w:val="20"/>
                <w:szCs w:val="20"/>
                <w:lang w:val="pt-PT"/>
              </w:rPr>
              <w:t xml:space="preserve"> </w:t>
            </w:r>
            <w:r w:rsidRPr="00B004EE">
              <w:rPr>
                <w:rFonts w:ascii="Tahoma" w:hAnsi="Tahoma" w:cs="Tahoma"/>
                <w:sz w:val="20"/>
                <w:szCs w:val="20"/>
                <w:lang w:val="pt-PT"/>
              </w:rPr>
              <w:t>35.24'N</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16°</w:t>
            </w:r>
            <w:r w:rsidR="00DB1635" w:rsidRPr="00B004EE">
              <w:rPr>
                <w:rFonts w:ascii="Tahoma" w:hAnsi="Tahoma" w:cs="Tahoma"/>
                <w:sz w:val="20"/>
                <w:szCs w:val="20"/>
                <w:lang w:val="pt-PT"/>
              </w:rPr>
              <w:t xml:space="preserve"> </w:t>
            </w:r>
            <w:r w:rsidRPr="00B004EE">
              <w:rPr>
                <w:rFonts w:ascii="Tahoma" w:hAnsi="Tahoma" w:cs="Tahoma"/>
                <w:sz w:val="20"/>
                <w:szCs w:val="20"/>
                <w:lang w:val="pt-PT"/>
              </w:rPr>
              <w:t>51.00'W</w:t>
            </w:r>
          </w:p>
          <w:p w14:paraId="772820D0" w14:textId="2011136A" w:rsidR="008518B0" w:rsidRPr="00B004EE" w:rsidRDefault="008518B0" w:rsidP="00B004EE">
            <w:pPr>
              <w:rPr>
                <w:rFonts w:ascii="Tahoma" w:hAnsi="Tahoma" w:cs="Tahoma"/>
                <w:sz w:val="20"/>
                <w:szCs w:val="20"/>
                <w:lang w:val="pt-PT"/>
              </w:rPr>
            </w:pPr>
            <w:r w:rsidRPr="00B004EE">
              <w:rPr>
                <w:rFonts w:ascii="Tahoma" w:hAnsi="Tahoma" w:cs="Tahoma"/>
                <w:sz w:val="20"/>
                <w:szCs w:val="20"/>
                <w:lang w:val="pt-PT"/>
              </w:rPr>
              <w:t>M</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19°</w:t>
            </w:r>
            <w:r w:rsidR="00DB1635" w:rsidRPr="00B004EE">
              <w:rPr>
                <w:rFonts w:ascii="Tahoma" w:hAnsi="Tahoma" w:cs="Tahoma"/>
                <w:sz w:val="20"/>
                <w:szCs w:val="20"/>
                <w:lang w:val="pt-PT"/>
              </w:rPr>
              <w:t xml:space="preserve"> </w:t>
            </w:r>
            <w:r w:rsidRPr="00B004EE">
              <w:rPr>
                <w:rFonts w:ascii="Tahoma" w:hAnsi="Tahoma" w:cs="Tahoma"/>
                <w:sz w:val="20"/>
                <w:szCs w:val="20"/>
                <w:lang w:val="pt-PT"/>
              </w:rPr>
              <w:t>19.12'N</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16°</w:t>
            </w:r>
            <w:r w:rsidR="00DB1635" w:rsidRPr="00B004EE">
              <w:rPr>
                <w:rFonts w:ascii="Tahoma" w:hAnsi="Tahoma" w:cs="Tahoma"/>
                <w:sz w:val="20"/>
                <w:szCs w:val="20"/>
                <w:lang w:val="pt-PT"/>
              </w:rPr>
              <w:t xml:space="preserve"> </w:t>
            </w:r>
            <w:r w:rsidRPr="00B004EE">
              <w:rPr>
                <w:rFonts w:ascii="Tahoma" w:hAnsi="Tahoma" w:cs="Tahoma"/>
                <w:sz w:val="20"/>
                <w:szCs w:val="20"/>
                <w:lang w:val="pt-PT"/>
              </w:rPr>
              <w:t>45.36'W</w:t>
            </w:r>
          </w:p>
          <w:p w14:paraId="597FD491" w14:textId="28989DFB" w:rsidR="008518B0" w:rsidRPr="00B004EE" w:rsidRDefault="008518B0" w:rsidP="00B004EE">
            <w:pPr>
              <w:rPr>
                <w:rFonts w:ascii="Tahoma" w:hAnsi="Tahoma" w:cs="Tahoma"/>
                <w:sz w:val="20"/>
                <w:szCs w:val="20"/>
                <w:lang w:val="pt-PT"/>
              </w:rPr>
            </w:pPr>
            <w:r w:rsidRPr="00B004EE">
              <w:rPr>
                <w:rFonts w:ascii="Tahoma" w:hAnsi="Tahoma" w:cs="Tahoma"/>
                <w:sz w:val="20"/>
                <w:szCs w:val="20"/>
                <w:lang w:val="pt-PT"/>
              </w:rPr>
              <w:t>K</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19°</w:t>
            </w:r>
            <w:r w:rsidR="00DB1635" w:rsidRPr="00B004EE">
              <w:rPr>
                <w:rFonts w:ascii="Tahoma" w:hAnsi="Tahoma" w:cs="Tahoma"/>
                <w:sz w:val="20"/>
                <w:szCs w:val="20"/>
                <w:lang w:val="pt-PT"/>
              </w:rPr>
              <w:t xml:space="preserve"> </w:t>
            </w:r>
            <w:r w:rsidRPr="00B004EE">
              <w:rPr>
                <w:rFonts w:ascii="Tahoma" w:hAnsi="Tahoma" w:cs="Tahoma"/>
                <w:sz w:val="20"/>
                <w:szCs w:val="20"/>
                <w:lang w:val="pt-PT"/>
              </w:rPr>
              <w:t>19.12'N</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16°</w:t>
            </w:r>
            <w:r w:rsidR="00DB1635" w:rsidRPr="00B004EE">
              <w:rPr>
                <w:rFonts w:ascii="Tahoma" w:hAnsi="Tahoma" w:cs="Tahoma"/>
                <w:sz w:val="20"/>
                <w:szCs w:val="20"/>
                <w:lang w:val="pt-PT"/>
              </w:rPr>
              <w:t xml:space="preserve"> </w:t>
            </w:r>
            <w:r w:rsidRPr="00B004EE">
              <w:rPr>
                <w:rFonts w:ascii="Tahoma" w:hAnsi="Tahoma" w:cs="Tahoma"/>
                <w:sz w:val="20"/>
                <w:szCs w:val="20"/>
                <w:lang w:val="pt-PT"/>
              </w:rPr>
              <w:t>41.24'W</w:t>
            </w:r>
          </w:p>
          <w:p w14:paraId="180AB0CB" w14:textId="46FB0407" w:rsidR="008518B0" w:rsidRPr="00B004EE" w:rsidRDefault="008518B0" w:rsidP="00B004EE">
            <w:pPr>
              <w:rPr>
                <w:rFonts w:ascii="Tahoma" w:hAnsi="Tahoma" w:cs="Tahoma"/>
                <w:sz w:val="20"/>
                <w:szCs w:val="20"/>
              </w:rPr>
            </w:pP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sud</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19°19.12N</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jusqu’au</w:t>
            </w:r>
            <w:r w:rsidR="00DB1635" w:rsidRPr="00B004EE">
              <w:rPr>
                <w:rFonts w:ascii="Tahoma" w:hAnsi="Tahoma" w:cs="Tahoma"/>
                <w:sz w:val="20"/>
                <w:szCs w:val="20"/>
              </w:rPr>
              <w:t xml:space="preserve"> </w:t>
            </w:r>
            <w:r w:rsidRPr="00B004EE">
              <w:rPr>
                <w:rFonts w:ascii="Tahoma" w:hAnsi="Tahoma" w:cs="Tahoma"/>
                <w:sz w:val="20"/>
                <w:szCs w:val="20"/>
              </w:rPr>
              <w:t>17°50.0’N,</w:t>
            </w:r>
            <w:r w:rsidR="00DB1635" w:rsidRPr="00B004EE">
              <w:rPr>
                <w:rFonts w:ascii="Tahoma" w:hAnsi="Tahoma" w:cs="Tahoma"/>
                <w:sz w:val="20"/>
                <w:szCs w:val="20"/>
              </w:rPr>
              <w:t xml:space="preserve"> </w:t>
            </w:r>
            <w:r w:rsidRPr="00B004EE">
              <w:rPr>
                <w:rFonts w:ascii="Tahoma" w:hAnsi="Tahoma" w:cs="Tahoma"/>
                <w:sz w:val="20"/>
                <w:szCs w:val="20"/>
              </w:rPr>
              <w:t>zone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l’ouest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9</w:t>
            </w:r>
            <w:r w:rsidR="00DB1635" w:rsidRPr="00B004EE">
              <w:rPr>
                <w:rFonts w:ascii="Tahoma" w:hAnsi="Tahoma" w:cs="Tahoma"/>
                <w:sz w:val="20"/>
                <w:szCs w:val="20"/>
              </w:rPr>
              <w:t xml:space="preserve"> </w:t>
            </w:r>
            <w:r w:rsidRPr="00B004EE">
              <w:rPr>
                <w:rFonts w:ascii="Tahoma" w:hAnsi="Tahoma" w:cs="Tahoma"/>
                <w:sz w:val="20"/>
                <w:szCs w:val="20"/>
              </w:rPr>
              <w:t>miles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distance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ligne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base</w:t>
            </w:r>
          </w:p>
          <w:p w14:paraId="6D2D27B9" w14:textId="133812F6" w:rsidR="008518B0" w:rsidRPr="00B004EE" w:rsidRDefault="008518B0" w:rsidP="00B004EE">
            <w:pPr>
              <w:rPr>
                <w:rFonts w:ascii="Tahoma" w:hAnsi="Tahoma" w:cs="Tahoma"/>
                <w:sz w:val="20"/>
                <w:szCs w:val="20"/>
              </w:rPr>
            </w:pP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sud</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17°50.00N,</w:t>
            </w:r>
            <w:r w:rsidR="00DB1635" w:rsidRPr="00B004EE">
              <w:rPr>
                <w:rFonts w:ascii="Tahoma" w:hAnsi="Tahoma" w:cs="Tahoma"/>
                <w:sz w:val="20"/>
                <w:szCs w:val="20"/>
              </w:rPr>
              <w:t xml:space="preserve"> </w:t>
            </w:r>
            <w:r w:rsidRPr="00B004EE">
              <w:rPr>
                <w:rFonts w:ascii="Tahoma" w:hAnsi="Tahoma" w:cs="Tahoma"/>
                <w:sz w:val="20"/>
                <w:szCs w:val="20"/>
              </w:rPr>
              <w:t>zone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l’ouest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6</w:t>
            </w:r>
            <w:r w:rsidR="00DB1635" w:rsidRPr="00B004EE">
              <w:rPr>
                <w:rFonts w:ascii="Tahoma" w:hAnsi="Tahoma" w:cs="Tahoma"/>
                <w:sz w:val="20"/>
                <w:szCs w:val="20"/>
              </w:rPr>
              <w:t xml:space="preserve"> </w:t>
            </w:r>
            <w:r w:rsidRPr="00B004EE">
              <w:rPr>
                <w:rFonts w:ascii="Tahoma" w:hAnsi="Tahoma" w:cs="Tahoma"/>
                <w:sz w:val="20"/>
                <w:szCs w:val="20"/>
              </w:rPr>
              <w:t>miles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distance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ligne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base</w:t>
            </w:r>
          </w:p>
        </w:tc>
      </w:tr>
      <w:tr w:rsidR="00150C90" w:rsidRPr="00B004EE" w14:paraId="07A36EE5" w14:textId="77777777" w:rsidTr="00767386">
        <w:trPr>
          <w:trHeight w:val="2353"/>
        </w:trPr>
        <w:tc>
          <w:tcPr>
            <w:tcW w:w="1560" w:type="dxa"/>
            <w:vMerge/>
            <w:shd w:val="clear" w:color="auto" w:fill="auto"/>
          </w:tcPr>
          <w:p w14:paraId="26EAD7F4" w14:textId="77777777" w:rsidR="008518B0" w:rsidRPr="00B004EE" w:rsidRDefault="008518B0" w:rsidP="00B004EE">
            <w:pPr>
              <w:jc w:val="both"/>
              <w:rPr>
                <w:rFonts w:ascii="Tahoma" w:hAnsi="Tahoma" w:cs="Tahoma"/>
                <w:b/>
                <w:bCs/>
                <w:i/>
                <w:iCs/>
                <w:sz w:val="20"/>
                <w:szCs w:val="20"/>
              </w:rPr>
            </w:pPr>
          </w:p>
        </w:tc>
        <w:tc>
          <w:tcPr>
            <w:tcW w:w="3402" w:type="dxa"/>
            <w:shd w:val="clear" w:color="auto" w:fill="auto"/>
          </w:tcPr>
          <w:p w14:paraId="1A6B61F7" w14:textId="1E912942" w:rsidR="008518B0" w:rsidRPr="00B004EE" w:rsidRDefault="008518B0" w:rsidP="00B004EE">
            <w:pPr>
              <w:rPr>
                <w:rFonts w:ascii="Tahoma" w:hAnsi="Tahoma" w:cs="Tahoma"/>
                <w:b/>
                <w:i/>
                <w:iCs/>
                <w:sz w:val="20"/>
                <w:szCs w:val="20"/>
              </w:rPr>
            </w:pPr>
            <w:r w:rsidRPr="00B004EE">
              <w:rPr>
                <w:rFonts w:ascii="Tahoma" w:hAnsi="Tahoma" w:cs="Tahoma"/>
                <w:b/>
                <w:i/>
                <w:iCs/>
                <w:sz w:val="20"/>
                <w:szCs w:val="20"/>
              </w:rPr>
              <w:t>Crevettes</w:t>
            </w:r>
            <w:r w:rsidR="00DB1635" w:rsidRPr="00B004EE">
              <w:rPr>
                <w:rFonts w:ascii="Tahoma" w:hAnsi="Tahoma" w:cs="Tahoma"/>
                <w:b/>
                <w:i/>
                <w:iCs/>
                <w:sz w:val="20"/>
                <w:szCs w:val="20"/>
              </w:rPr>
              <w:t xml:space="preserve"> </w:t>
            </w:r>
            <w:r w:rsidRPr="00B004EE">
              <w:rPr>
                <w:rFonts w:ascii="Tahoma" w:hAnsi="Tahoma" w:cs="Tahoma"/>
                <w:b/>
                <w:i/>
                <w:iCs/>
                <w:sz w:val="20"/>
                <w:szCs w:val="20"/>
              </w:rPr>
              <w:t>côtieres</w:t>
            </w:r>
            <w:r w:rsidR="00DB1635" w:rsidRPr="00B004EE">
              <w:rPr>
                <w:rFonts w:ascii="Tahoma" w:hAnsi="Tahoma" w:cs="Tahoma"/>
                <w:b/>
                <w:i/>
                <w:iCs/>
                <w:sz w:val="20"/>
                <w:szCs w:val="20"/>
              </w:rPr>
              <w:t xml:space="preserve"> </w:t>
            </w:r>
            <w:r w:rsidRPr="00B004EE">
              <w:rPr>
                <w:rFonts w:ascii="Tahoma" w:hAnsi="Tahoma" w:cs="Tahoma"/>
                <w:b/>
                <w:i/>
                <w:iCs/>
                <w:sz w:val="20"/>
                <w:szCs w:val="20"/>
              </w:rPr>
              <w:t>ou</w:t>
            </w:r>
            <w:r w:rsidR="00DB1635" w:rsidRPr="00B004EE">
              <w:rPr>
                <w:rFonts w:ascii="Tahoma" w:hAnsi="Tahoma" w:cs="Tahoma"/>
                <w:b/>
                <w:i/>
                <w:iCs/>
                <w:sz w:val="20"/>
                <w:szCs w:val="20"/>
              </w:rPr>
              <w:t xml:space="preserve"> </w:t>
            </w:r>
            <w:r w:rsidRPr="00B004EE">
              <w:rPr>
                <w:rFonts w:ascii="Tahoma" w:hAnsi="Tahoma" w:cs="Tahoma"/>
                <w:b/>
                <w:i/>
                <w:iCs/>
                <w:sz w:val="20"/>
                <w:szCs w:val="20"/>
              </w:rPr>
              <w:t>Langostinos</w:t>
            </w:r>
          </w:p>
          <w:p w14:paraId="249A0EA8" w14:textId="77777777" w:rsidR="008518B0" w:rsidRPr="00B004EE" w:rsidRDefault="008518B0" w:rsidP="00B004EE">
            <w:pPr>
              <w:jc w:val="both"/>
              <w:rPr>
                <w:rFonts w:ascii="Tahoma" w:hAnsi="Tahoma" w:cs="Tahoma"/>
                <w:b/>
                <w:bCs/>
                <w:i/>
                <w:iCs/>
                <w:sz w:val="20"/>
                <w:szCs w:val="20"/>
              </w:rPr>
            </w:pPr>
          </w:p>
        </w:tc>
        <w:tc>
          <w:tcPr>
            <w:tcW w:w="4787" w:type="dxa"/>
            <w:vMerge/>
            <w:shd w:val="clear" w:color="auto" w:fill="auto"/>
          </w:tcPr>
          <w:p w14:paraId="45311946" w14:textId="77777777" w:rsidR="008518B0" w:rsidRPr="00B004EE" w:rsidRDefault="008518B0" w:rsidP="00B004EE">
            <w:pPr>
              <w:rPr>
                <w:rFonts w:ascii="Tahoma" w:hAnsi="Tahoma" w:cs="Tahoma"/>
                <w:sz w:val="20"/>
                <w:szCs w:val="20"/>
              </w:rPr>
            </w:pPr>
          </w:p>
        </w:tc>
      </w:tr>
      <w:tr w:rsidR="00150C90" w:rsidRPr="00B004EE" w14:paraId="55FB6B2B" w14:textId="77777777" w:rsidTr="00767386">
        <w:trPr>
          <w:trHeight w:val="55"/>
        </w:trPr>
        <w:tc>
          <w:tcPr>
            <w:tcW w:w="1560" w:type="dxa"/>
            <w:shd w:val="clear" w:color="auto" w:fill="auto"/>
          </w:tcPr>
          <w:p w14:paraId="23E20037" w14:textId="77777777" w:rsidR="008518B0" w:rsidRPr="00B004EE" w:rsidRDefault="008518B0" w:rsidP="00B004EE">
            <w:pPr>
              <w:jc w:val="both"/>
              <w:rPr>
                <w:rFonts w:ascii="Tahoma" w:hAnsi="Tahoma" w:cs="Tahoma"/>
                <w:b/>
                <w:bCs/>
                <w:i/>
                <w:iCs/>
                <w:sz w:val="20"/>
                <w:szCs w:val="20"/>
              </w:rPr>
            </w:pPr>
          </w:p>
        </w:tc>
        <w:tc>
          <w:tcPr>
            <w:tcW w:w="3402" w:type="dxa"/>
            <w:shd w:val="clear" w:color="auto" w:fill="auto"/>
          </w:tcPr>
          <w:p w14:paraId="302EFA39" w14:textId="676A139D" w:rsidR="008518B0" w:rsidRPr="00B004EE" w:rsidRDefault="008518B0" w:rsidP="00B004EE">
            <w:pPr>
              <w:rPr>
                <w:rFonts w:ascii="Tahoma" w:hAnsi="Tahoma" w:cs="Tahoma"/>
                <w:b/>
                <w:bCs/>
                <w:i/>
                <w:iCs/>
                <w:sz w:val="20"/>
                <w:szCs w:val="20"/>
              </w:rPr>
            </w:pPr>
            <w:r w:rsidRPr="00B004EE">
              <w:rPr>
                <w:rFonts w:ascii="Tahoma" w:hAnsi="Tahoma" w:cs="Tahoma"/>
                <w:b/>
                <w:bCs/>
                <w:i/>
                <w:iCs/>
                <w:sz w:val="20"/>
                <w:szCs w:val="20"/>
              </w:rPr>
              <w:t>Crevettes</w:t>
            </w:r>
            <w:r w:rsidR="00DB1635" w:rsidRPr="00B004EE">
              <w:rPr>
                <w:rFonts w:ascii="Tahoma" w:hAnsi="Tahoma" w:cs="Tahoma"/>
                <w:b/>
                <w:bCs/>
                <w:i/>
                <w:iCs/>
                <w:sz w:val="20"/>
                <w:szCs w:val="20"/>
              </w:rPr>
              <w:t xml:space="preserve"> </w:t>
            </w:r>
            <w:r w:rsidRPr="00B004EE">
              <w:rPr>
                <w:rFonts w:ascii="Tahoma" w:hAnsi="Tahoma" w:cs="Tahoma"/>
                <w:b/>
                <w:bCs/>
                <w:i/>
                <w:iCs/>
                <w:sz w:val="20"/>
                <w:szCs w:val="20"/>
              </w:rPr>
              <w:t>profondes</w:t>
            </w:r>
            <w:r w:rsidR="00DB1635" w:rsidRPr="00B004EE">
              <w:rPr>
                <w:rFonts w:ascii="Tahoma" w:hAnsi="Tahoma" w:cs="Tahoma"/>
                <w:b/>
                <w:bCs/>
                <w:i/>
                <w:iCs/>
                <w:sz w:val="20"/>
                <w:szCs w:val="20"/>
              </w:rPr>
              <w:t xml:space="preserve"> </w:t>
            </w:r>
            <w:r w:rsidRPr="00B004EE">
              <w:rPr>
                <w:rFonts w:ascii="Tahoma" w:hAnsi="Tahoma" w:cs="Tahoma"/>
                <w:b/>
                <w:bCs/>
                <w:i/>
                <w:iCs/>
                <w:sz w:val="20"/>
                <w:szCs w:val="20"/>
              </w:rPr>
              <w:t>Gambas</w:t>
            </w:r>
          </w:p>
        </w:tc>
        <w:tc>
          <w:tcPr>
            <w:tcW w:w="4787" w:type="dxa"/>
            <w:shd w:val="clear" w:color="auto" w:fill="auto"/>
          </w:tcPr>
          <w:p w14:paraId="286CE7F2" w14:textId="0DD27590" w:rsidR="008518B0" w:rsidRPr="00B004EE" w:rsidRDefault="008518B0" w:rsidP="00B004EE">
            <w:pPr>
              <w:rPr>
                <w:rFonts w:ascii="Tahoma" w:hAnsi="Tahoma" w:cs="Tahoma"/>
                <w:sz w:val="20"/>
                <w:szCs w:val="20"/>
              </w:rPr>
            </w:pP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nord</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19°19.12N,</w:t>
            </w:r>
            <w:r w:rsidR="00DB1635" w:rsidRPr="00B004EE">
              <w:rPr>
                <w:rFonts w:ascii="Tahoma" w:hAnsi="Tahoma" w:cs="Tahoma"/>
                <w:sz w:val="20"/>
                <w:szCs w:val="20"/>
              </w:rPr>
              <w:t xml:space="preserve"> </w:t>
            </w:r>
            <w:r w:rsidRPr="00B004EE">
              <w:rPr>
                <w:rFonts w:ascii="Tahoma" w:hAnsi="Tahoma" w:cs="Tahoma"/>
                <w:sz w:val="20"/>
                <w:szCs w:val="20"/>
              </w:rPr>
              <w:t>zone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00BD7C35" w:rsidRPr="00B004EE">
              <w:rPr>
                <w:rFonts w:ascii="Tahoma" w:hAnsi="Tahoma" w:cs="Tahoma"/>
                <w:sz w:val="20"/>
                <w:szCs w:val="20"/>
              </w:rPr>
              <w:t xml:space="preserve">            </w:t>
            </w:r>
            <w:r w:rsidR="00BD7C35" w:rsidRPr="00B004EE">
              <w:rPr>
                <w:rFonts w:ascii="Tahoma" w:hAnsi="Tahoma" w:cs="Tahoma"/>
                <w:b/>
                <w:bCs/>
                <w:sz w:val="20"/>
                <w:szCs w:val="20"/>
              </w:rPr>
              <w:t>Z8</w:t>
            </w:r>
            <w:r w:rsidR="00BD7C35" w:rsidRPr="00B004EE">
              <w:rPr>
                <w:rFonts w:ascii="Tahoma" w:hAnsi="Tahoma" w:cs="Tahoma"/>
                <w:sz w:val="20"/>
                <w:szCs w:val="20"/>
              </w:rPr>
              <w:t xml:space="preserve"> </w:t>
            </w:r>
            <w:r w:rsidRPr="00B004EE">
              <w:rPr>
                <w:rFonts w:ascii="Tahoma" w:hAnsi="Tahoma" w:cs="Tahoma"/>
                <w:sz w:val="20"/>
                <w:szCs w:val="20"/>
              </w:rPr>
              <w:t>l’ouest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ligne</w:t>
            </w:r>
            <w:r w:rsidR="00BD7C35" w:rsidRPr="00B004EE">
              <w:rPr>
                <w:rFonts w:ascii="Tahoma" w:hAnsi="Tahoma" w:cs="Tahoma"/>
                <w:sz w:val="20"/>
                <w:szCs w:val="20"/>
              </w:rPr>
              <w:t xml:space="preserve"> </w:t>
            </w:r>
            <w:r w:rsidRPr="00B004EE">
              <w:rPr>
                <w:rFonts w:ascii="Tahoma" w:hAnsi="Tahoma" w:cs="Tahoma"/>
                <w:sz w:val="20"/>
                <w:szCs w:val="20"/>
              </w:rPr>
              <w:t>délimitée</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points</w:t>
            </w:r>
            <w:r w:rsidR="00DB1635" w:rsidRPr="00B004EE">
              <w:rPr>
                <w:rFonts w:ascii="Tahoma" w:hAnsi="Tahoma" w:cs="Tahoma"/>
                <w:sz w:val="20"/>
                <w:szCs w:val="20"/>
              </w:rPr>
              <w:t xml:space="preserve"> </w:t>
            </w:r>
            <w:r w:rsidRPr="00B004EE">
              <w:rPr>
                <w:rFonts w:ascii="Tahoma" w:hAnsi="Tahoma" w:cs="Tahoma"/>
                <w:sz w:val="20"/>
                <w:szCs w:val="20"/>
              </w:rPr>
              <w:t>suivants</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p>
          <w:p w14:paraId="750B029B" w14:textId="619A3F33" w:rsidR="008518B0" w:rsidRPr="00B004EE" w:rsidRDefault="008518B0" w:rsidP="00B004EE">
            <w:pPr>
              <w:rPr>
                <w:rFonts w:ascii="Tahoma" w:hAnsi="Tahoma" w:cs="Tahoma"/>
                <w:sz w:val="20"/>
                <w:szCs w:val="20"/>
                <w:lang w:val="pt-PT"/>
              </w:rPr>
            </w:pPr>
            <w:r w:rsidRPr="00B004EE">
              <w:rPr>
                <w:rFonts w:ascii="Tahoma" w:hAnsi="Tahoma" w:cs="Tahoma"/>
                <w:sz w:val="20"/>
                <w:szCs w:val="20"/>
                <w:lang w:val="pt-PT"/>
              </w:rPr>
              <w:t>A</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20°</w:t>
            </w:r>
            <w:r w:rsidR="00DB1635" w:rsidRPr="00B004EE">
              <w:rPr>
                <w:rFonts w:ascii="Tahoma" w:hAnsi="Tahoma" w:cs="Tahoma"/>
                <w:sz w:val="20"/>
                <w:szCs w:val="20"/>
                <w:lang w:val="pt-PT"/>
              </w:rPr>
              <w:t xml:space="preserve"> </w:t>
            </w:r>
            <w:r w:rsidRPr="00B004EE">
              <w:rPr>
                <w:rFonts w:ascii="Tahoma" w:hAnsi="Tahoma" w:cs="Tahoma"/>
                <w:sz w:val="20"/>
                <w:szCs w:val="20"/>
                <w:lang w:val="pt-PT"/>
              </w:rPr>
              <w:t>46.300'N</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17°</w:t>
            </w:r>
            <w:r w:rsidR="00DB1635" w:rsidRPr="00B004EE">
              <w:rPr>
                <w:rFonts w:ascii="Tahoma" w:hAnsi="Tahoma" w:cs="Tahoma"/>
                <w:sz w:val="20"/>
                <w:szCs w:val="20"/>
                <w:lang w:val="pt-PT"/>
              </w:rPr>
              <w:t xml:space="preserve"> </w:t>
            </w:r>
            <w:r w:rsidRPr="00B004EE">
              <w:rPr>
                <w:rFonts w:ascii="Tahoma" w:hAnsi="Tahoma" w:cs="Tahoma"/>
                <w:sz w:val="20"/>
                <w:szCs w:val="20"/>
                <w:lang w:val="pt-PT"/>
              </w:rPr>
              <w:t>03.000'W</w:t>
            </w:r>
          </w:p>
          <w:p w14:paraId="426FF064" w14:textId="30110D91" w:rsidR="008518B0" w:rsidRPr="00B004EE" w:rsidRDefault="008518B0" w:rsidP="00B004EE">
            <w:pPr>
              <w:rPr>
                <w:rFonts w:ascii="Tahoma" w:hAnsi="Tahoma" w:cs="Tahoma"/>
                <w:sz w:val="20"/>
                <w:szCs w:val="20"/>
                <w:lang w:val="pt-PT"/>
              </w:rPr>
            </w:pPr>
            <w:r w:rsidRPr="00B004EE">
              <w:rPr>
                <w:rFonts w:ascii="Tahoma" w:hAnsi="Tahoma" w:cs="Tahoma"/>
                <w:sz w:val="20"/>
                <w:szCs w:val="20"/>
                <w:lang w:val="pt-PT"/>
              </w:rPr>
              <w:t>B</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20°</w:t>
            </w:r>
            <w:r w:rsidR="00DB1635" w:rsidRPr="00B004EE">
              <w:rPr>
                <w:rFonts w:ascii="Tahoma" w:hAnsi="Tahoma" w:cs="Tahoma"/>
                <w:sz w:val="20"/>
                <w:szCs w:val="20"/>
                <w:lang w:val="pt-PT"/>
              </w:rPr>
              <w:t xml:space="preserve"> </w:t>
            </w:r>
            <w:r w:rsidRPr="00B004EE">
              <w:rPr>
                <w:rFonts w:ascii="Tahoma" w:hAnsi="Tahoma" w:cs="Tahoma"/>
                <w:sz w:val="20"/>
                <w:szCs w:val="20"/>
                <w:lang w:val="pt-PT"/>
              </w:rPr>
              <w:t>40.000'N</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17°</w:t>
            </w:r>
            <w:r w:rsidR="00DB1635" w:rsidRPr="00B004EE">
              <w:rPr>
                <w:rFonts w:ascii="Tahoma" w:hAnsi="Tahoma" w:cs="Tahoma"/>
                <w:sz w:val="20"/>
                <w:szCs w:val="20"/>
                <w:lang w:val="pt-PT"/>
              </w:rPr>
              <w:t xml:space="preserve"> </w:t>
            </w:r>
            <w:r w:rsidRPr="00B004EE">
              <w:rPr>
                <w:rFonts w:ascii="Tahoma" w:hAnsi="Tahoma" w:cs="Tahoma"/>
                <w:sz w:val="20"/>
                <w:szCs w:val="20"/>
                <w:lang w:val="pt-PT"/>
              </w:rPr>
              <w:t>08.300'W</w:t>
            </w:r>
          </w:p>
          <w:p w14:paraId="5B65FE60" w14:textId="1E6155DB" w:rsidR="008518B0" w:rsidRPr="00B004EE" w:rsidRDefault="008518B0" w:rsidP="00B004EE">
            <w:pPr>
              <w:rPr>
                <w:rFonts w:ascii="Tahoma" w:hAnsi="Tahoma" w:cs="Tahoma"/>
                <w:sz w:val="20"/>
                <w:szCs w:val="20"/>
                <w:lang w:val="pt-PT"/>
              </w:rPr>
            </w:pPr>
            <w:r w:rsidRPr="00B004EE">
              <w:rPr>
                <w:rFonts w:ascii="Tahoma" w:hAnsi="Tahoma" w:cs="Tahoma"/>
                <w:sz w:val="20"/>
                <w:szCs w:val="20"/>
                <w:lang w:val="pt-PT"/>
              </w:rPr>
              <w:t>C</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20°</w:t>
            </w:r>
            <w:r w:rsidR="00DB1635" w:rsidRPr="00B004EE">
              <w:rPr>
                <w:rFonts w:ascii="Tahoma" w:hAnsi="Tahoma" w:cs="Tahoma"/>
                <w:sz w:val="20"/>
                <w:szCs w:val="20"/>
                <w:lang w:val="pt-PT"/>
              </w:rPr>
              <w:t xml:space="preserve"> </w:t>
            </w:r>
            <w:r w:rsidRPr="00B004EE">
              <w:rPr>
                <w:rFonts w:ascii="Tahoma" w:hAnsi="Tahoma" w:cs="Tahoma"/>
                <w:sz w:val="20"/>
                <w:szCs w:val="20"/>
                <w:lang w:val="pt-PT"/>
              </w:rPr>
              <w:t>36.000'N</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17°</w:t>
            </w:r>
            <w:r w:rsidR="00DB1635" w:rsidRPr="00B004EE">
              <w:rPr>
                <w:rFonts w:ascii="Tahoma" w:hAnsi="Tahoma" w:cs="Tahoma"/>
                <w:sz w:val="20"/>
                <w:szCs w:val="20"/>
                <w:lang w:val="pt-PT"/>
              </w:rPr>
              <w:t xml:space="preserve"> </w:t>
            </w:r>
            <w:r w:rsidRPr="00B004EE">
              <w:rPr>
                <w:rFonts w:ascii="Tahoma" w:hAnsi="Tahoma" w:cs="Tahoma"/>
                <w:sz w:val="20"/>
                <w:szCs w:val="20"/>
                <w:lang w:val="pt-PT"/>
              </w:rPr>
              <w:t>11.000'W</w:t>
            </w:r>
          </w:p>
          <w:p w14:paraId="72DC7EBD" w14:textId="66D9F287" w:rsidR="008518B0" w:rsidRPr="00B004EE" w:rsidRDefault="008518B0" w:rsidP="00B004EE">
            <w:pPr>
              <w:rPr>
                <w:rFonts w:ascii="Tahoma" w:hAnsi="Tahoma" w:cs="Tahoma"/>
                <w:sz w:val="20"/>
                <w:szCs w:val="20"/>
                <w:lang w:val="pt-PT"/>
              </w:rPr>
            </w:pPr>
            <w:r w:rsidRPr="00B004EE">
              <w:rPr>
                <w:rFonts w:ascii="Tahoma" w:hAnsi="Tahoma" w:cs="Tahoma"/>
                <w:sz w:val="20"/>
                <w:szCs w:val="20"/>
                <w:lang w:val="pt-PT"/>
              </w:rPr>
              <w:t>E</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20°</w:t>
            </w:r>
            <w:r w:rsidR="00DB1635" w:rsidRPr="00B004EE">
              <w:rPr>
                <w:rFonts w:ascii="Tahoma" w:hAnsi="Tahoma" w:cs="Tahoma"/>
                <w:sz w:val="20"/>
                <w:szCs w:val="20"/>
                <w:lang w:val="pt-PT"/>
              </w:rPr>
              <w:t xml:space="preserve"> </w:t>
            </w:r>
            <w:r w:rsidRPr="00B004EE">
              <w:rPr>
                <w:rFonts w:ascii="Tahoma" w:hAnsi="Tahoma" w:cs="Tahoma"/>
                <w:sz w:val="20"/>
                <w:szCs w:val="20"/>
                <w:lang w:val="pt-PT"/>
              </w:rPr>
              <w:t>36.000'N</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17°</w:t>
            </w:r>
            <w:r w:rsidR="00DB1635" w:rsidRPr="00B004EE">
              <w:rPr>
                <w:rFonts w:ascii="Tahoma" w:hAnsi="Tahoma" w:cs="Tahoma"/>
                <w:sz w:val="20"/>
                <w:szCs w:val="20"/>
                <w:lang w:val="pt-PT"/>
              </w:rPr>
              <w:t xml:space="preserve"> </w:t>
            </w:r>
            <w:r w:rsidRPr="00B004EE">
              <w:rPr>
                <w:rFonts w:ascii="Tahoma" w:hAnsi="Tahoma" w:cs="Tahoma"/>
                <w:sz w:val="20"/>
                <w:szCs w:val="20"/>
                <w:lang w:val="pt-PT"/>
              </w:rPr>
              <w:t>36.000'W</w:t>
            </w:r>
          </w:p>
          <w:p w14:paraId="0FF71F03" w14:textId="1CFC09A9" w:rsidR="008518B0" w:rsidRPr="00B004EE" w:rsidRDefault="008518B0" w:rsidP="00B004EE">
            <w:pPr>
              <w:rPr>
                <w:rFonts w:ascii="Tahoma" w:hAnsi="Tahoma" w:cs="Tahoma"/>
                <w:sz w:val="20"/>
                <w:szCs w:val="20"/>
                <w:lang w:val="pt-PT"/>
              </w:rPr>
            </w:pPr>
            <w:r w:rsidRPr="00B004EE">
              <w:rPr>
                <w:rFonts w:ascii="Tahoma" w:hAnsi="Tahoma" w:cs="Tahoma"/>
                <w:sz w:val="20"/>
                <w:szCs w:val="20"/>
                <w:lang w:val="pt-PT"/>
              </w:rPr>
              <w:t>G</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20°</w:t>
            </w:r>
            <w:r w:rsidR="00DB1635" w:rsidRPr="00B004EE">
              <w:rPr>
                <w:rFonts w:ascii="Tahoma" w:hAnsi="Tahoma" w:cs="Tahoma"/>
                <w:sz w:val="20"/>
                <w:szCs w:val="20"/>
                <w:lang w:val="pt-PT"/>
              </w:rPr>
              <w:t xml:space="preserve"> </w:t>
            </w:r>
            <w:r w:rsidRPr="00B004EE">
              <w:rPr>
                <w:rFonts w:ascii="Tahoma" w:hAnsi="Tahoma" w:cs="Tahoma"/>
                <w:sz w:val="20"/>
                <w:szCs w:val="20"/>
                <w:lang w:val="pt-PT"/>
              </w:rPr>
              <w:t>03.000'N</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17°</w:t>
            </w:r>
            <w:r w:rsidR="00DB1635" w:rsidRPr="00B004EE">
              <w:rPr>
                <w:rFonts w:ascii="Tahoma" w:hAnsi="Tahoma" w:cs="Tahoma"/>
                <w:sz w:val="20"/>
                <w:szCs w:val="20"/>
                <w:lang w:val="pt-PT"/>
              </w:rPr>
              <w:t xml:space="preserve"> </w:t>
            </w:r>
            <w:r w:rsidRPr="00B004EE">
              <w:rPr>
                <w:rFonts w:ascii="Tahoma" w:hAnsi="Tahoma" w:cs="Tahoma"/>
                <w:sz w:val="20"/>
                <w:szCs w:val="20"/>
                <w:lang w:val="pt-PT"/>
              </w:rPr>
              <w:t>36.000'W</w:t>
            </w:r>
          </w:p>
          <w:p w14:paraId="166D5D6E" w14:textId="459D7B78" w:rsidR="008518B0" w:rsidRPr="00B004EE" w:rsidRDefault="008518B0" w:rsidP="00B004EE">
            <w:pPr>
              <w:rPr>
                <w:rFonts w:ascii="Tahoma" w:hAnsi="Tahoma" w:cs="Tahoma"/>
                <w:sz w:val="20"/>
                <w:szCs w:val="20"/>
                <w:lang w:val="pt-PT"/>
              </w:rPr>
            </w:pPr>
            <w:r w:rsidRPr="00B004EE">
              <w:rPr>
                <w:rFonts w:ascii="Tahoma" w:hAnsi="Tahoma" w:cs="Tahoma"/>
                <w:sz w:val="20"/>
                <w:szCs w:val="20"/>
                <w:lang w:val="pt-PT"/>
              </w:rPr>
              <w:t>I</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19°</w:t>
            </w:r>
            <w:r w:rsidR="00DB1635" w:rsidRPr="00B004EE">
              <w:rPr>
                <w:rFonts w:ascii="Tahoma" w:hAnsi="Tahoma" w:cs="Tahoma"/>
                <w:sz w:val="20"/>
                <w:szCs w:val="20"/>
                <w:lang w:val="pt-PT"/>
              </w:rPr>
              <w:t xml:space="preserve"> </w:t>
            </w:r>
            <w:r w:rsidRPr="00B004EE">
              <w:rPr>
                <w:rFonts w:ascii="Tahoma" w:hAnsi="Tahoma" w:cs="Tahoma"/>
                <w:sz w:val="20"/>
                <w:szCs w:val="20"/>
                <w:lang w:val="pt-PT"/>
              </w:rPr>
              <w:t>45.000'N</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17°</w:t>
            </w:r>
            <w:r w:rsidR="00DB1635" w:rsidRPr="00B004EE">
              <w:rPr>
                <w:rFonts w:ascii="Tahoma" w:hAnsi="Tahoma" w:cs="Tahoma"/>
                <w:sz w:val="20"/>
                <w:szCs w:val="20"/>
                <w:lang w:val="pt-PT"/>
              </w:rPr>
              <w:t xml:space="preserve"> </w:t>
            </w:r>
            <w:r w:rsidRPr="00B004EE">
              <w:rPr>
                <w:rFonts w:ascii="Tahoma" w:hAnsi="Tahoma" w:cs="Tahoma"/>
                <w:sz w:val="20"/>
                <w:szCs w:val="20"/>
                <w:lang w:val="pt-PT"/>
              </w:rPr>
              <w:t>00.000'W</w:t>
            </w:r>
          </w:p>
          <w:p w14:paraId="7CA6064C" w14:textId="522965F7" w:rsidR="008518B0" w:rsidRPr="00B004EE" w:rsidRDefault="008518B0" w:rsidP="00B004EE">
            <w:pPr>
              <w:rPr>
                <w:rFonts w:ascii="Tahoma" w:hAnsi="Tahoma" w:cs="Tahoma"/>
                <w:sz w:val="20"/>
                <w:szCs w:val="20"/>
              </w:rPr>
            </w:pPr>
            <w:r w:rsidRPr="00B004EE">
              <w:rPr>
                <w:rFonts w:ascii="Tahoma" w:hAnsi="Tahoma" w:cs="Tahoma"/>
                <w:sz w:val="20"/>
                <w:szCs w:val="20"/>
              </w:rPr>
              <w:t>P</w:t>
            </w:r>
            <w:r w:rsidRPr="00B004EE">
              <w:rPr>
                <w:rFonts w:ascii="Tahoma" w:hAnsi="Tahoma" w:cs="Tahoma"/>
                <w:sz w:val="20"/>
                <w:szCs w:val="20"/>
              </w:rPr>
              <w:tab/>
            </w:r>
            <w:r w:rsidR="00DB1635" w:rsidRPr="00B004EE">
              <w:rPr>
                <w:rFonts w:ascii="Tahoma" w:hAnsi="Tahoma" w:cs="Tahoma"/>
                <w:sz w:val="20"/>
                <w:szCs w:val="20"/>
              </w:rPr>
              <w:t xml:space="preserve"> </w:t>
            </w:r>
            <w:r w:rsidRPr="00B004EE">
              <w:rPr>
                <w:rFonts w:ascii="Tahoma" w:hAnsi="Tahoma" w:cs="Tahoma"/>
                <w:sz w:val="20"/>
                <w:szCs w:val="20"/>
              </w:rPr>
              <w:t>19°</w:t>
            </w:r>
            <w:r w:rsidR="00DB1635" w:rsidRPr="00B004EE">
              <w:rPr>
                <w:rFonts w:ascii="Tahoma" w:hAnsi="Tahoma" w:cs="Tahoma"/>
                <w:sz w:val="20"/>
                <w:szCs w:val="20"/>
              </w:rPr>
              <w:t xml:space="preserve"> </w:t>
            </w:r>
            <w:r w:rsidRPr="00B004EE">
              <w:rPr>
                <w:rFonts w:ascii="Tahoma" w:hAnsi="Tahoma" w:cs="Tahoma"/>
                <w:sz w:val="20"/>
                <w:szCs w:val="20"/>
              </w:rPr>
              <w:t>19.200'N</w:t>
            </w:r>
            <w:r w:rsidRPr="00B004EE">
              <w:rPr>
                <w:rFonts w:ascii="Tahoma" w:hAnsi="Tahoma" w:cs="Tahoma"/>
                <w:sz w:val="20"/>
                <w:szCs w:val="20"/>
              </w:rPr>
              <w:tab/>
            </w:r>
            <w:r w:rsidR="00DB1635" w:rsidRPr="00B004EE">
              <w:rPr>
                <w:rFonts w:ascii="Tahoma" w:hAnsi="Tahoma" w:cs="Tahoma"/>
                <w:sz w:val="20"/>
                <w:szCs w:val="20"/>
              </w:rPr>
              <w:t xml:space="preserve"> </w:t>
            </w:r>
            <w:r w:rsidRPr="00B004EE">
              <w:rPr>
                <w:rFonts w:ascii="Tahoma" w:hAnsi="Tahoma" w:cs="Tahoma"/>
                <w:sz w:val="20"/>
                <w:szCs w:val="20"/>
              </w:rPr>
              <w:t>16°</w:t>
            </w:r>
            <w:r w:rsidR="00DB1635" w:rsidRPr="00B004EE">
              <w:rPr>
                <w:rFonts w:ascii="Tahoma" w:hAnsi="Tahoma" w:cs="Tahoma"/>
                <w:sz w:val="20"/>
                <w:szCs w:val="20"/>
              </w:rPr>
              <w:t xml:space="preserve"> </w:t>
            </w:r>
            <w:r w:rsidRPr="00B004EE">
              <w:rPr>
                <w:rFonts w:ascii="Tahoma" w:hAnsi="Tahoma" w:cs="Tahoma"/>
                <w:sz w:val="20"/>
                <w:szCs w:val="20"/>
              </w:rPr>
              <w:t>50.500'W</w:t>
            </w:r>
          </w:p>
          <w:p w14:paraId="3C72ABFE" w14:textId="77777777" w:rsidR="00BD7C35" w:rsidRPr="00B004EE" w:rsidRDefault="00BD7C35" w:rsidP="00B004EE">
            <w:pPr>
              <w:rPr>
                <w:rFonts w:ascii="Tahoma" w:hAnsi="Tahoma" w:cs="Tahoma"/>
                <w:sz w:val="20"/>
                <w:szCs w:val="20"/>
              </w:rPr>
            </w:pPr>
          </w:p>
          <w:p w14:paraId="084C7A70" w14:textId="19F08D8A" w:rsidR="008518B0" w:rsidRPr="00B004EE" w:rsidRDefault="008518B0" w:rsidP="00B004EE">
            <w:pPr>
              <w:rPr>
                <w:rFonts w:ascii="Tahoma" w:hAnsi="Tahoma" w:cs="Tahoma"/>
                <w:sz w:val="20"/>
                <w:szCs w:val="20"/>
              </w:rPr>
            </w:pP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sud</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19°19.12N</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jusqu’au</w:t>
            </w:r>
            <w:r w:rsidR="00DB1635" w:rsidRPr="00B004EE">
              <w:rPr>
                <w:rFonts w:ascii="Tahoma" w:hAnsi="Tahoma" w:cs="Tahoma"/>
                <w:sz w:val="20"/>
                <w:szCs w:val="20"/>
              </w:rPr>
              <w:t xml:space="preserve"> </w:t>
            </w:r>
            <w:r w:rsidRPr="00B004EE">
              <w:rPr>
                <w:rFonts w:ascii="Tahoma" w:hAnsi="Tahoma" w:cs="Tahoma"/>
                <w:sz w:val="20"/>
                <w:szCs w:val="20"/>
              </w:rPr>
              <w:t>17°50.00N,</w:t>
            </w:r>
            <w:r w:rsidR="00DB1635" w:rsidRPr="00B004EE">
              <w:rPr>
                <w:rFonts w:ascii="Tahoma" w:hAnsi="Tahoma" w:cs="Tahoma"/>
                <w:sz w:val="20"/>
                <w:szCs w:val="20"/>
              </w:rPr>
              <w:t xml:space="preserve"> </w:t>
            </w:r>
            <w:r w:rsidRPr="00B004EE">
              <w:rPr>
                <w:rFonts w:ascii="Tahoma" w:hAnsi="Tahoma" w:cs="Tahoma"/>
                <w:sz w:val="20"/>
                <w:szCs w:val="20"/>
              </w:rPr>
              <w:t>zone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l’ouest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18</w:t>
            </w:r>
            <w:r w:rsidR="00DB1635" w:rsidRPr="00B004EE">
              <w:rPr>
                <w:rFonts w:ascii="Tahoma" w:hAnsi="Tahoma" w:cs="Tahoma"/>
                <w:sz w:val="20"/>
                <w:szCs w:val="20"/>
              </w:rPr>
              <w:t xml:space="preserve"> </w:t>
            </w:r>
            <w:r w:rsidRPr="00B004EE">
              <w:rPr>
                <w:rFonts w:ascii="Tahoma" w:hAnsi="Tahoma" w:cs="Tahoma"/>
                <w:sz w:val="20"/>
                <w:szCs w:val="20"/>
              </w:rPr>
              <w:t>miles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distance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ligne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base</w:t>
            </w:r>
          </w:p>
          <w:p w14:paraId="7901D2A8" w14:textId="23B9ED2D" w:rsidR="008518B0" w:rsidRPr="00B004EE" w:rsidRDefault="008518B0" w:rsidP="00B004EE">
            <w:pPr>
              <w:rPr>
                <w:rFonts w:ascii="Tahoma" w:hAnsi="Tahoma" w:cs="Tahoma"/>
                <w:sz w:val="20"/>
                <w:szCs w:val="20"/>
              </w:rPr>
            </w:pP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sud</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17°50.00N,</w:t>
            </w:r>
            <w:r w:rsidR="00DB1635" w:rsidRPr="00B004EE">
              <w:rPr>
                <w:rFonts w:ascii="Tahoma" w:hAnsi="Tahoma" w:cs="Tahoma"/>
                <w:sz w:val="20"/>
                <w:szCs w:val="20"/>
              </w:rPr>
              <w:t xml:space="preserve"> </w:t>
            </w:r>
            <w:r w:rsidRPr="00B004EE">
              <w:rPr>
                <w:rFonts w:ascii="Tahoma" w:hAnsi="Tahoma" w:cs="Tahoma"/>
                <w:sz w:val="20"/>
                <w:szCs w:val="20"/>
              </w:rPr>
              <w:t>zone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l’ouest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12</w:t>
            </w:r>
            <w:r w:rsidR="00DB1635" w:rsidRPr="00B004EE">
              <w:rPr>
                <w:rFonts w:ascii="Tahoma" w:hAnsi="Tahoma" w:cs="Tahoma"/>
                <w:sz w:val="20"/>
                <w:szCs w:val="20"/>
              </w:rPr>
              <w:t xml:space="preserve"> </w:t>
            </w:r>
            <w:r w:rsidRPr="00B004EE">
              <w:rPr>
                <w:rFonts w:ascii="Tahoma" w:hAnsi="Tahoma" w:cs="Tahoma"/>
                <w:sz w:val="20"/>
                <w:szCs w:val="20"/>
              </w:rPr>
              <w:t>miles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distance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ligne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base.</w:t>
            </w:r>
          </w:p>
        </w:tc>
      </w:tr>
      <w:tr w:rsidR="00150C90" w:rsidRPr="00B004EE" w14:paraId="7AE84EE0" w14:textId="77777777" w:rsidTr="00767386">
        <w:trPr>
          <w:trHeight w:val="55"/>
        </w:trPr>
        <w:tc>
          <w:tcPr>
            <w:tcW w:w="1560" w:type="dxa"/>
            <w:shd w:val="clear" w:color="auto" w:fill="auto"/>
          </w:tcPr>
          <w:p w14:paraId="294B3F71" w14:textId="77777777" w:rsidR="008518B0" w:rsidRPr="00B004EE" w:rsidRDefault="008518B0" w:rsidP="00B004EE">
            <w:pPr>
              <w:jc w:val="both"/>
              <w:rPr>
                <w:rFonts w:ascii="Tahoma" w:hAnsi="Tahoma" w:cs="Tahoma"/>
                <w:b/>
                <w:bCs/>
                <w:i/>
                <w:iCs/>
                <w:sz w:val="20"/>
                <w:szCs w:val="20"/>
              </w:rPr>
            </w:pPr>
          </w:p>
        </w:tc>
        <w:tc>
          <w:tcPr>
            <w:tcW w:w="3402" w:type="dxa"/>
            <w:shd w:val="clear" w:color="auto" w:fill="auto"/>
          </w:tcPr>
          <w:p w14:paraId="46CD9E54" w14:textId="71BD40DD" w:rsidR="008518B0" w:rsidRPr="00B004EE" w:rsidRDefault="008518B0" w:rsidP="00B004EE">
            <w:pPr>
              <w:rPr>
                <w:rFonts w:ascii="Tahoma" w:hAnsi="Tahoma" w:cs="Tahoma"/>
                <w:b/>
                <w:i/>
                <w:iCs/>
                <w:sz w:val="20"/>
                <w:szCs w:val="20"/>
              </w:rPr>
            </w:pPr>
            <w:r w:rsidRPr="00B004EE">
              <w:rPr>
                <w:rFonts w:ascii="Tahoma" w:hAnsi="Tahoma" w:cs="Tahoma"/>
                <w:b/>
                <w:i/>
                <w:iCs/>
                <w:sz w:val="20"/>
                <w:szCs w:val="20"/>
              </w:rPr>
              <w:t>Poissons</w:t>
            </w:r>
            <w:r w:rsidR="00DB1635" w:rsidRPr="00B004EE">
              <w:rPr>
                <w:rFonts w:ascii="Tahoma" w:hAnsi="Tahoma" w:cs="Tahoma"/>
                <w:b/>
                <w:i/>
                <w:iCs/>
                <w:sz w:val="20"/>
                <w:szCs w:val="20"/>
              </w:rPr>
              <w:t xml:space="preserve"> </w:t>
            </w:r>
            <w:r w:rsidRPr="00B004EE">
              <w:rPr>
                <w:rFonts w:ascii="Tahoma" w:hAnsi="Tahoma" w:cs="Tahoma"/>
                <w:b/>
                <w:i/>
                <w:iCs/>
                <w:sz w:val="20"/>
                <w:szCs w:val="20"/>
              </w:rPr>
              <w:t>démersaux</w:t>
            </w:r>
            <w:r w:rsidR="00DB1635" w:rsidRPr="00B004EE">
              <w:rPr>
                <w:rFonts w:ascii="Tahoma" w:hAnsi="Tahoma" w:cs="Tahoma"/>
                <w:b/>
                <w:i/>
                <w:iCs/>
                <w:sz w:val="20"/>
                <w:szCs w:val="20"/>
              </w:rPr>
              <w:t xml:space="preserve"> </w:t>
            </w:r>
            <w:r w:rsidRPr="00B004EE">
              <w:rPr>
                <w:rFonts w:ascii="Tahoma" w:hAnsi="Tahoma" w:cs="Tahoma"/>
                <w:b/>
                <w:i/>
                <w:iCs/>
                <w:sz w:val="20"/>
                <w:szCs w:val="20"/>
              </w:rPr>
              <w:t>Côtiers</w:t>
            </w:r>
            <w:r w:rsidR="00DB1635" w:rsidRPr="00B004EE">
              <w:rPr>
                <w:rFonts w:ascii="Tahoma" w:hAnsi="Tahoma" w:cs="Tahoma"/>
                <w:b/>
                <w:i/>
                <w:iCs/>
                <w:sz w:val="20"/>
                <w:szCs w:val="20"/>
              </w:rPr>
              <w:t xml:space="preserve"> </w:t>
            </w:r>
          </w:p>
        </w:tc>
        <w:tc>
          <w:tcPr>
            <w:tcW w:w="4787" w:type="dxa"/>
            <w:shd w:val="clear" w:color="auto" w:fill="auto"/>
          </w:tcPr>
          <w:p w14:paraId="593FD2E8" w14:textId="256B4150" w:rsidR="008518B0" w:rsidRPr="00B004EE" w:rsidRDefault="008518B0" w:rsidP="00B004EE">
            <w:pPr>
              <w:rPr>
                <w:rFonts w:ascii="Tahoma" w:hAnsi="Tahoma" w:cs="Tahoma"/>
                <w:sz w:val="20"/>
                <w:szCs w:val="20"/>
              </w:rPr>
            </w:pPr>
            <w:r w:rsidRPr="00B004EE">
              <w:rPr>
                <w:rFonts w:ascii="Tahoma" w:hAnsi="Tahoma" w:cs="Tahoma"/>
                <w:sz w:val="20"/>
                <w:szCs w:val="20"/>
              </w:rPr>
              <w:t>Cette</w:t>
            </w:r>
            <w:r w:rsidR="00DB1635" w:rsidRPr="00B004EE">
              <w:rPr>
                <w:rFonts w:ascii="Tahoma" w:hAnsi="Tahoma" w:cs="Tahoma"/>
                <w:sz w:val="20"/>
                <w:szCs w:val="20"/>
              </w:rPr>
              <w:t xml:space="preserve"> </w:t>
            </w:r>
            <w:r w:rsidRPr="00B004EE">
              <w:rPr>
                <w:rFonts w:ascii="Tahoma" w:hAnsi="Tahoma" w:cs="Tahoma"/>
                <w:sz w:val="20"/>
                <w:szCs w:val="20"/>
              </w:rPr>
              <w:t>catégorie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est</w:t>
            </w:r>
            <w:r w:rsidR="00BD7C35" w:rsidRPr="00B004EE">
              <w:rPr>
                <w:rFonts w:ascii="Tahoma" w:hAnsi="Tahoma" w:cs="Tahoma"/>
                <w:sz w:val="20"/>
                <w:szCs w:val="20"/>
              </w:rPr>
              <w:t xml:space="preserve">              </w:t>
            </w:r>
            <w:r w:rsidR="00DB1635" w:rsidRPr="00B004EE">
              <w:rPr>
                <w:rFonts w:ascii="Tahoma" w:hAnsi="Tahoma" w:cs="Tahoma"/>
                <w:sz w:val="20"/>
                <w:szCs w:val="20"/>
              </w:rPr>
              <w:t xml:space="preserve"> </w:t>
            </w:r>
            <w:r w:rsidR="00BD7C35" w:rsidRPr="00B004EE">
              <w:rPr>
                <w:rFonts w:ascii="Tahoma" w:hAnsi="Tahoma" w:cs="Tahoma"/>
                <w:b/>
                <w:bCs/>
                <w:sz w:val="20"/>
                <w:szCs w:val="20"/>
              </w:rPr>
              <w:t>Z7</w:t>
            </w:r>
            <w:r w:rsidR="00BD7C35" w:rsidRPr="00B004EE">
              <w:rPr>
                <w:rFonts w:ascii="Tahoma" w:hAnsi="Tahoma" w:cs="Tahoma"/>
                <w:sz w:val="20"/>
                <w:szCs w:val="20"/>
              </w:rPr>
              <w:t xml:space="preserve"> </w:t>
            </w:r>
            <w:r w:rsidRPr="00B004EE">
              <w:rPr>
                <w:rFonts w:ascii="Tahoma" w:hAnsi="Tahoma" w:cs="Tahoma"/>
                <w:sz w:val="20"/>
                <w:szCs w:val="20"/>
              </w:rPr>
              <w:t>autorisée</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p>
          <w:p w14:paraId="008AF8AF" w14:textId="691CDA51" w:rsidR="008518B0" w:rsidRPr="00B004EE" w:rsidRDefault="008518B0" w:rsidP="00B004EE">
            <w:pPr>
              <w:rPr>
                <w:rFonts w:ascii="Tahoma" w:hAnsi="Tahoma" w:cs="Tahoma"/>
                <w:sz w:val="20"/>
                <w:szCs w:val="20"/>
              </w:rPr>
            </w:pP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nord</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19°19,12N,</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zones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l’ouest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ligne</w:t>
            </w:r>
            <w:r w:rsidR="00DB1635" w:rsidRPr="00B004EE">
              <w:rPr>
                <w:rFonts w:ascii="Tahoma" w:hAnsi="Tahoma" w:cs="Tahoma"/>
                <w:sz w:val="20"/>
                <w:szCs w:val="20"/>
              </w:rPr>
              <w:t xml:space="preserve"> </w:t>
            </w:r>
            <w:r w:rsidRPr="00B004EE">
              <w:rPr>
                <w:rFonts w:ascii="Tahoma" w:hAnsi="Tahoma" w:cs="Tahoma"/>
                <w:sz w:val="20"/>
                <w:szCs w:val="20"/>
              </w:rPr>
              <w:t>définie</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points</w:t>
            </w:r>
            <w:r w:rsidR="00DB1635" w:rsidRPr="00B004EE">
              <w:rPr>
                <w:rFonts w:ascii="Tahoma" w:hAnsi="Tahoma" w:cs="Tahoma"/>
                <w:sz w:val="20"/>
                <w:szCs w:val="20"/>
              </w:rPr>
              <w:t xml:space="preserve"> </w:t>
            </w:r>
            <w:r w:rsidRPr="00B004EE">
              <w:rPr>
                <w:rFonts w:ascii="Tahoma" w:hAnsi="Tahoma" w:cs="Tahoma"/>
                <w:sz w:val="20"/>
                <w:szCs w:val="20"/>
              </w:rPr>
              <w:t>suivants</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p>
          <w:p w14:paraId="6E73025A" w14:textId="0FA3BCDB" w:rsidR="008518B0" w:rsidRPr="00B004EE" w:rsidRDefault="008518B0" w:rsidP="00B004EE">
            <w:pPr>
              <w:rPr>
                <w:rFonts w:ascii="Tahoma" w:hAnsi="Tahoma" w:cs="Tahoma"/>
                <w:sz w:val="20"/>
                <w:szCs w:val="20"/>
                <w:lang w:val="pt-PT"/>
              </w:rPr>
            </w:pPr>
            <w:r w:rsidRPr="00B004EE">
              <w:rPr>
                <w:rFonts w:ascii="Tahoma" w:hAnsi="Tahoma" w:cs="Tahoma"/>
                <w:sz w:val="20"/>
                <w:szCs w:val="20"/>
                <w:lang w:val="pt-PT"/>
              </w:rPr>
              <w:t>A</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20°</w:t>
            </w:r>
            <w:r w:rsidR="00DB1635" w:rsidRPr="00B004EE">
              <w:rPr>
                <w:rFonts w:ascii="Tahoma" w:hAnsi="Tahoma" w:cs="Tahoma"/>
                <w:sz w:val="20"/>
                <w:szCs w:val="20"/>
                <w:lang w:val="pt-PT"/>
              </w:rPr>
              <w:t xml:space="preserve"> </w:t>
            </w:r>
            <w:r w:rsidRPr="00B004EE">
              <w:rPr>
                <w:rFonts w:ascii="Tahoma" w:hAnsi="Tahoma" w:cs="Tahoma"/>
                <w:sz w:val="20"/>
                <w:szCs w:val="20"/>
                <w:lang w:val="pt-PT"/>
              </w:rPr>
              <w:t>46.300'N</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17°</w:t>
            </w:r>
            <w:r w:rsidR="00DB1635" w:rsidRPr="00B004EE">
              <w:rPr>
                <w:rFonts w:ascii="Tahoma" w:hAnsi="Tahoma" w:cs="Tahoma"/>
                <w:sz w:val="20"/>
                <w:szCs w:val="20"/>
                <w:lang w:val="pt-PT"/>
              </w:rPr>
              <w:t xml:space="preserve"> </w:t>
            </w:r>
            <w:r w:rsidRPr="00B004EE">
              <w:rPr>
                <w:rFonts w:ascii="Tahoma" w:hAnsi="Tahoma" w:cs="Tahoma"/>
                <w:sz w:val="20"/>
                <w:szCs w:val="20"/>
                <w:lang w:val="pt-PT"/>
              </w:rPr>
              <w:t>03.000'W</w:t>
            </w:r>
          </w:p>
          <w:p w14:paraId="4D2E1A0D" w14:textId="3C368B61" w:rsidR="008518B0" w:rsidRPr="00B004EE" w:rsidRDefault="008518B0" w:rsidP="00B004EE">
            <w:pPr>
              <w:rPr>
                <w:rFonts w:ascii="Tahoma" w:hAnsi="Tahoma" w:cs="Tahoma"/>
                <w:sz w:val="20"/>
                <w:szCs w:val="20"/>
                <w:lang w:val="pt-PT"/>
              </w:rPr>
            </w:pPr>
            <w:r w:rsidRPr="00B004EE">
              <w:rPr>
                <w:rFonts w:ascii="Tahoma" w:hAnsi="Tahoma" w:cs="Tahoma"/>
                <w:sz w:val="20"/>
                <w:szCs w:val="20"/>
                <w:lang w:val="pt-PT"/>
              </w:rPr>
              <w:t>B</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20°</w:t>
            </w:r>
            <w:r w:rsidR="00DB1635" w:rsidRPr="00B004EE">
              <w:rPr>
                <w:rFonts w:ascii="Tahoma" w:hAnsi="Tahoma" w:cs="Tahoma"/>
                <w:sz w:val="20"/>
                <w:szCs w:val="20"/>
                <w:lang w:val="pt-PT"/>
              </w:rPr>
              <w:t xml:space="preserve"> </w:t>
            </w:r>
            <w:r w:rsidRPr="00B004EE">
              <w:rPr>
                <w:rFonts w:ascii="Tahoma" w:hAnsi="Tahoma" w:cs="Tahoma"/>
                <w:sz w:val="20"/>
                <w:szCs w:val="20"/>
                <w:lang w:val="pt-PT"/>
              </w:rPr>
              <w:t>40.000'N</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17°</w:t>
            </w:r>
            <w:r w:rsidR="00DB1635" w:rsidRPr="00B004EE">
              <w:rPr>
                <w:rFonts w:ascii="Tahoma" w:hAnsi="Tahoma" w:cs="Tahoma"/>
                <w:sz w:val="20"/>
                <w:szCs w:val="20"/>
                <w:lang w:val="pt-PT"/>
              </w:rPr>
              <w:t xml:space="preserve"> </w:t>
            </w:r>
            <w:r w:rsidRPr="00B004EE">
              <w:rPr>
                <w:rFonts w:ascii="Tahoma" w:hAnsi="Tahoma" w:cs="Tahoma"/>
                <w:sz w:val="20"/>
                <w:szCs w:val="20"/>
                <w:lang w:val="pt-PT"/>
              </w:rPr>
              <w:t>08.300'W</w:t>
            </w:r>
          </w:p>
          <w:p w14:paraId="7CAA448D" w14:textId="3BE7002A" w:rsidR="008518B0" w:rsidRPr="00B004EE" w:rsidRDefault="008518B0" w:rsidP="00B004EE">
            <w:pPr>
              <w:rPr>
                <w:rFonts w:ascii="Tahoma" w:hAnsi="Tahoma" w:cs="Tahoma"/>
                <w:sz w:val="20"/>
                <w:szCs w:val="20"/>
                <w:lang w:val="pt-PT"/>
              </w:rPr>
            </w:pPr>
            <w:r w:rsidRPr="00B004EE">
              <w:rPr>
                <w:rFonts w:ascii="Tahoma" w:hAnsi="Tahoma" w:cs="Tahoma"/>
                <w:sz w:val="20"/>
                <w:szCs w:val="20"/>
                <w:lang w:val="pt-PT"/>
              </w:rPr>
              <w:t>F</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20°</w:t>
            </w:r>
            <w:r w:rsidR="00DB1635" w:rsidRPr="00B004EE">
              <w:rPr>
                <w:rFonts w:ascii="Tahoma" w:hAnsi="Tahoma" w:cs="Tahoma"/>
                <w:sz w:val="20"/>
                <w:szCs w:val="20"/>
                <w:lang w:val="pt-PT"/>
              </w:rPr>
              <w:t xml:space="preserve"> </w:t>
            </w:r>
            <w:r w:rsidRPr="00B004EE">
              <w:rPr>
                <w:rFonts w:ascii="Tahoma" w:hAnsi="Tahoma" w:cs="Tahoma"/>
                <w:sz w:val="20"/>
                <w:szCs w:val="20"/>
                <w:lang w:val="pt-PT"/>
              </w:rPr>
              <w:t>10.200'N</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17°</w:t>
            </w:r>
            <w:r w:rsidR="00DB1635" w:rsidRPr="00B004EE">
              <w:rPr>
                <w:rFonts w:ascii="Tahoma" w:hAnsi="Tahoma" w:cs="Tahoma"/>
                <w:sz w:val="20"/>
                <w:szCs w:val="20"/>
                <w:lang w:val="pt-PT"/>
              </w:rPr>
              <w:t xml:space="preserve"> </w:t>
            </w:r>
            <w:r w:rsidRPr="00B004EE">
              <w:rPr>
                <w:rFonts w:ascii="Tahoma" w:hAnsi="Tahoma" w:cs="Tahoma"/>
                <w:sz w:val="20"/>
                <w:szCs w:val="20"/>
                <w:lang w:val="pt-PT"/>
              </w:rPr>
              <w:t>16.200'W</w:t>
            </w:r>
          </w:p>
          <w:p w14:paraId="2B14E1A4" w14:textId="7AE80D78" w:rsidR="008518B0" w:rsidRPr="00B004EE" w:rsidRDefault="008518B0" w:rsidP="00B004EE">
            <w:pPr>
              <w:rPr>
                <w:rFonts w:ascii="Tahoma" w:hAnsi="Tahoma" w:cs="Tahoma"/>
                <w:sz w:val="20"/>
                <w:szCs w:val="20"/>
                <w:lang w:val="pt-PT"/>
              </w:rPr>
            </w:pPr>
            <w:r w:rsidRPr="00B004EE">
              <w:rPr>
                <w:rFonts w:ascii="Tahoma" w:hAnsi="Tahoma" w:cs="Tahoma"/>
                <w:sz w:val="20"/>
                <w:szCs w:val="20"/>
                <w:lang w:val="pt-PT"/>
              </w:rPr>
              <w:t>J</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19°</w:t>
            </w:r>
            <w:r w:rsidR="00DB1635" w:rsidRPr="00B004EE">
              <w:rPr>
                <w:rFonts w:ascii="Tahoma" w:hAnsi="Tahoma" w:cs="Tahoma"/>
                <w:sz w:val="20"/>
                <w:szCs w:val="20"/>
                <w:lang w:val="pt-PT"/>
              </w:rPr>
              <w:t xml:space="preserve"> </w:t>
            </w:r>
            <w:r w:rsidRPr="00B004EE">
              <w:rPr>
                <w:rFonts w:ascii="Tahoma" w:hAnsi="Tahoma" w:cs="Tahoma"/>
                <w:sz w:val="20"/>
                <w:szCs w:val="20"/>
                <w:lang w:val="pt-PT"/>
              </w:rPr>
              <w:t>35.400'N</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16°</w:t>
            </w:r>
            <w:r w:rsidR="00DB1635" w:rsidRPr="00B004EE">
              <w:rPr>
                <w:rFonts w:ascii="Tahoma" w:hAnsi="Tahoma" w:cs="Tahoma"/>
                <w:sz w:val="20"/>
                <w:szCs w:val="20"/>
                <w:lang w:val="pt-PT"/>
              </w:rPr>
              <w:t xml:space="preserve"> </w:t>
            </w:r>
            <w:r w:rsidRPr="00B004EE">
              <w:rPr>
                <w:rFonts w:ascii="Tahoma" w:hAnsi="Tahoma" w:cs="Tahoma"/>
                <w:sz w:val="20"/>
                <w:szCs w:val="20"/>
                <w:lang w:val="pt-PT"/>
              </w:rPr>
              <w:t>51.000'W</w:t>
            </w:r>
          </w:p>
          <w:p w14:paraId="5B211357" w14:textId="7C6543EC" w:rsidR="008518B0" w:rsidRPr="00B004EE" w:rsidRDefault="008518B0" w:rsidP="00B004EE">
            <w:pPr>
              <w:rPr>
                <w:rFonts w:ascii="Tahoma" w:hAnsi="Tahoma" w:cs="Tahoma"/>
                <w:sz w:val="20"/>
                <w:szCs w:val="20"/>
                <w:lang w:val="pt-PT"/>
              </w:rPr>
            </w:pPr>
            <w:r w:rsidRPr="00B004EE">
              <w:rPr>
                <w:rFonts w:ascii="Tahoma" w:hAnsi="Tahoma" w:cs="Tahoma"/>
                <w:sz w:val="20"/>
                <w:szCs w:val="20"/>
                <w:lang w:val="pt-PT"/>
              </w:rPr>
              <w:t>M</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19°</w:t>
            </w:r>
            <w:r w:rsidR="00DB1635" w:rsidRPr="00B004EE">
              <w:rPr>
                <w:rFonts w:ascii="Tahoma" w:hAnsi="Tahoma" w:cs="Tahoma"/>
                <w:sz w:val="20"/>
                <w:szCs w:val="20"/>
                <w:lang w:val="pt-PT"/>
              </w:rPr>
              <w:t xml:space="preserve"> </w:t>
            </w:r>
            <w:r w:rsidRPr="00B004EE">
              <w:rPr>
                <w:rFonts w:ascii="Tahoma" w:hAnsi="Tahoma" w:cs="Tahoma"/>
                <w:sz w:val="20"/>
                <w:szCs w:val="20"/>
                <w:lang w:val="pt-PT"/>
              </w:rPr>
              <w:t>19.200'N</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16°</w:t>
            </w:r>
            <w:r w:rsidR="00DB1635" w:rsidRPr="00B004EE">
              <w:rPr>
                <w:rFonts w:ascii="Tahoma" w:hAnsi="Tahoma" w:cs="Tahoma"/>
                <w:sz w:val="20"/>
                <w:szCs w:val="20"/>
                <w:lang w:val="pt-PT"/>
              </w:rPr>
              <w:t xml:space="preserve"> </w:t>
            </w:r>
            <w:r w:rsidRPr="00B004EE">
              <w:rPr>
                <w:rFonts w:ascii="Tahoma" w:hAnsi="Tahoma" w:cs="Tahoma"/>
                <w:sz w:val="20"/>
                <w:szCs w:val="20"/>
                <w:lang w:val="pt-PT"/>
              </w:rPr>
              <w:t>45.600'W</w:t>
            </w:r>
          </w:p>
          <w:p w14:paraId="1EEFC461" w14:textId="1C55B0CA" w:rsidR="008518B0" w:rsidRPr="00B004EE" w:rsidRDefault="008518B0" w:rsidP="00B004EE">
            <w:pPr>
              <w:rPr>
                <w:rFonts w:ascii="Tahoma" w:hAnsi="Tahoma" w:cs="Tahoma"/>
                <w:sz w:val="20"/>
                <w:szCs w:val="20"/>
                <w:lang w:val="pt-PT"/>
              </w:rPr>
            </w:pPr>
            <w:r w:rsidRPr="00B004EE">
              <w:rPr>
                <w:rFonts w:ascii="Tahoma" w:hAnsi="Tahoma" w:cs="Tahoma"/>
                <w:sz w:val="20"/>
                <w:szCs w:val="20"/>
                <w:lang w:val="pt-PT"/>
              </w:rPr>
              <w:t>K</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19°</w:t>
            </w:r>
            <w:r w:rsidR="00DB1635" w:rsidRPr="00B004EE">
              <w:rPr>
                <w:rFonts w:ascii="Tahoma" w:hAnsi="Tahoma" w:cs="Tahoma"/>
                <w:sz w:val="20"/>
                <w:szCs w:val="20"/>
                <w:lang w:val="pt-PT"/>
              </w:rPr>
              <w:t xml:space="preserve"> </w:t>
            </w:r>
            <w:r w:rsidRPr="00B004EE">
              <w:rPr>
                <w:rFonts w:ascii="Tahoma" w:hAnsi="Tahoma" w:cs="Tahoma"/>
                <w:sz w:val="20"/>
                <w:szCs w:val="20"/>
                <w:lang w:val="pt-PT"/>
              </w:rPr>
              <w:t>19.200'N</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16°</w:t>
            </w:r>
            <w:r w:rsidR="00DB1635" w:rsidRPr="00B004EE">
              <w:rPr>
                <w:rFonts w:ascii="Tahoma" w:hAnsi="Tahoma" w:cs="Tahoma"/>
                <w:sz w:val="20"/>
                <w:szCs w:val="20"/>
                <w:lang w:val="pt-PT"/>
              </w:rPr>
              <w:t xml:space="preserve"> </w:t>
            </w:r>
            <w:r w:rsidRPr="00B004EE">
              <w:rPr>
                <w:rFonts w:ascii="Tahoma" w:hAnsi="Tahoma" w:cs="Tahoma"/>
                <w:sz w:val="20"/>
                <w:szCs w:val="20"/>
                <w:lang w:val="pt-PT"/>
              </w:rPr>
              <w:t>41.000'W</w:t>
            </w:r>
          </w:p>
          <w:p w14:paraId="6F4D738F" w14:textId="77777777" w:rsidR="008518B0" w:rsidRPr="00B004EE" w:rsidRDefault="008518B0" w:rsidP="00B004EE">
            <w:pPr>
              <w:rPr>
                <w:rFonts w:ascii="Tahoma" w:hAnsi="Tahoma" w:cs="Tahoma"/>
                <w:sz w:val="20"/>
                <w:szCs w:val="20"/>
                <w:lang w:val="pt-PT"/>
              </w:rPr>
            </w:pPr>
          </w:p>
          <w:p w14:paraId="0957293E" w14:textId="4649DBF0" w:rsidR="008518B0" w:rsidRPr="00B004EE" w:rsidRDefault="008518B0" w:rsidP="00B004EE">
            <w:pPr>
              <w:rPr>
                <w:rFonts w:ascii="Tahoma" w:hAnsi="Tahoma" w:cs="Tahoma"/>
                <w:sz w:val="20"/>
                <w:szCs w:val="20"/>
              </w:rPr>
            </w:pP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sud</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19°19,12N</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jusqu’au</w:t>
            </w:r>
            <w:r w:rsidR="00DB1635" w:rsidRPr="00B004EE">
              <w:rPr>
                <w:rFonts w:ascii="Tahoma" w:hAnsi="Tahoma" w:cs="Tahoma"/>
                <w:sz w:val="20"/>
                <w:szCs w:val="20"/>
              </w:rPr>
              <w:t xml:space="preserve"> </w:t>
            </w:r>
            <w:r w:rsidRPr="00B004EE">
              <w:rPr>
                <w:rFonts w:ascii="Tahoma" w:hAnsi="Tahoma" w:cs="Tahoma"/>
                <w:sz w:val="20"/>
                <w:szCs w:val="20"/>
              </w:rPr>
              <w:t>17°50.00’N,</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zones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l’est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ligne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9</w:t>
            </w:r>
            <w:r w:rsidR="00DB1635" w:rsidRPr="00B004EE">
              <w:rPr>
                <w:rFonts w:ascii="Tahoma" w:hAnsi="Tahoma" w:cs="Tahoma"/>
                <w:sz w:val="20"/>
                <w:szCs w:val="20"/>
              </w:rPr>
              <w:t xml:space="preserve"> </w:t>
            </w:r>
            <w:r w:rsidRPr="00B004EE">
              <w:rPr>
                <w:rFonts w:ascii="Tahoma" w:hAnsi="Tahoma" w:cs="Tahoma"/>
                <w:sz w:val="20"/>
                <w:szCs w:val="20"/>
              </w:rPr>
              <w:t>miles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distance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ligne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base.</w:t>
            </w:r>
          </w:p>
          <w:p w14:paraId="6FD5DF66" w14:textId="5D5A138D" w:rsidR="008518B0" w:rsidRPr="00B004EE" w:rsidRDefault="008518B0" w:rsidP="00B004EE">
            <w:pPr>
              <w:rPr>
                <w:rFonts w:ascii="Tahoma" w:hAnsi="Tahoma" w:cs="Tahoma"/>
                <w:sz w:val="20"/>
                <w:szCs w:val="20"/>
              </w:rPr>
            </w:pP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sud</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17°50.00’N,</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zones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l’est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ligne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6</w:t>
            </w:r>
            <w:r w:rsidR="00DB1635" w:rsidRPr="00B004EE">
              <w:rPr>
                <w:rFonts w:ascii="Tahoma" w:hAnsi="Tahoma" w:cs="Tahoma"/>
                <w:sz w:val="20"/>
                <w:szCs w:val="20"/>
              </w:rPr>
              <w:t xml:space="preserve"> </w:t>
            </w:r>
            <w:r w:rsidRPr="00B004EE">
              <w:rPr>
                <w:rFonts w:ascii="Tahoma" w:hAnsi="Tahoma" w:cs="Tahoma"/>
                <w:sz w:val="20"/>
                <w:szCs w:val="20"/>
              </w:rPr>
              <w:t>miles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distance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ligne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base</w:t>
            </w:r>
          </w:p>
        </w:tc>
      </w:tr>
      <w:tr w:rsidR="00150C90" w:rsidRPr="00B004EE" w14:paraId="29513219" w14:textId="77777777" w:rsidTr="00767386">
        <w:trPr>
          <w:trHeight w:val="55"/>
        </w:trPr>
        <w:tc>
          <w:tcPr>
            <w:tcW w:w="1560" w:type="dxa"/>
            <w:shd w:val="clear" w:color="auto" w:fill="auto"/>
          </w:tcPr>
          <w:p w14:paraId="3D26ED46" w14:textId="77777777" w:rsidR="008518B0" w:rsidRPr="00B004EE" w:rsidRDefault="008518B0" w:rsidP="00B004EE">
            <w:pPr>
              <w:jc w:val="both"/>
              <w:rPr>
                <w:rFonts w:ascii="Tahoma" w:hAnsi="Tahoma" w:cs="Tahoma"/>
                <w:b/>
                <w:bCs/>
                <w:i/>
                <w:iCs/>
                <w:sz w:val="20"/>
                <w:szCs w:val="20"/>
              </w:rPr>
            </w:pPr>
          </w:p>
        </w:tc>
        <w:tc>
          <w:tcPr>
            <w:tcW w:w="3402" w:type="dxa"/>
            <w:shd w:val="clear" w:color="auto" w:fill="auto"/>
          </w:tcPr>
          <w:p w14:paraId="196960B0" w14:textId="7BC801B4" w:rsidR="008518B0" w:rsidRPr="00B004EE" w:rsidRDefault="008518B0" w:rsidP="00B004EE">
            <w:pPr>
              <w:jc w:val="both"/>
              <w:rPr>
                <w:rFonts w:ascii="Tahoma" w:hAnsi="Tahoma" w:cs="Tahoma"/>
                <w:b/>
                <w:bCs/>
                <w:i/>
                <w:iCs/>
                <w:sz w:val="20"/>
                <w:szCs w:val="20"/>
              </w:rPr>
            </w:pPr>
            <w:r w:rsidRPr="00B004EE">
              <w:rPr>
                <w:rFonts w:ascii="Tahoma" w:hAnsi="Tahoma" w:cs="Tahoma"/>
                <w:b/>
                <w:bCs/>
                <w:i/>
                <w:iCs/>
                <w:sz w:val="20"/>
                <w:szCs w:val="20"/>
              </w:rPr>
              <w:t>Merlu</w:t>
            </w:r>
            <w:r w:rsidR="00DB1635" w:rsidRPr="00B004EE">
              <w:rPr>
                <w:rFonts w:ascii="Tahoma" w:hAnsi="Tahoma" w:cs="Tahoma"/>
                <w:b/>
                <w:bCs/>
                <w:i/>
                <w:iCs/>
                <w:sz w:val="20"/>
                <w:szCs w:val="20"/>
              </w:rPr>
              <w:t xml:space="preserve"> </w:t>
            </w:r>
          </w:p>
        </w:tc>
        <w:tc>
          <w:tcPr>
            <w:tcW w:w="4787" w:type="dxa"/>
            <w:shd w:val="clear" w:color="auto" w:fill="auto"/>
          </w:tcPr>
          <w:p w14:paraId="24C59ACB" w14:textId="2F8FDC4D" w:rsidR="008518B0" w:rsidRPr="00B004EE" w:rsidRDefault="008518B0" w:rsidP="00B004EE">
            <w:pPr>
              <w:rPr>
                <w:rFonts w:ascii="Tahoma" w:hAnsi="Tahoma" w:cs="Tahoma"/>
                <w:sz w:val="20"/>
                <w:szCs w:val="20"/>
              </w:rPr>
            </w:pP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nord</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19°19.120N,</w:t>
            </w:r>
            <w:r w:rsidR="00DB1635" w:rsidRPr="00B004EE">
              <w:rPr>
                <w:rFonts w:ascii="Tahoma" w:hAnsi="Tahoma" w:cs="Tahoma"/>
                <w:sz w:val="20"/>
                <w:szCs w:val="20"/>
              </w:rPr>
              <w:t xml:space="preserve"> </w:t>
            </w:r>
            <w:r w:rsidRPr="00B004EE">
              <w:rPr>
                <w:rFonts w:ascii="Tahoma" w:hAnsi="Tahoma" w:cs="Tahoma"/>
                <w:sz w:val="20"/>
                <w:szCs w:val="20"/>
              </w:rPr>
              <w:t>zone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00BD7C35" w:rsidRPr="00B004EE">
              <w:rPr>
                <w:rFonts w:ascii="Tahoma" w:hAnsi="Tahoma" w:cs="Tahoma"/>
                <w:sz w:val="20"/>
                <w:szCs w:val="20"/>
              </w:rPr>
              <w:t xml:space="preserve">           </w:t>
            </w:r>
            <w:r w:rsidR="00BD7C35" w:rsidRPr="00B004EE">
              <w:rPr>
                <w:rFonts w:ascii="Tahoma" w:hAnsi="Tahoma" w:cs="Tahoma"/>
                <w:b/>
                <w:bCs/>
                <w:sz w:val="20"/>
                <w:szCs w:val="20"/>
              </w:rPr>
              <w:t>Z8</w:t>
            </w:r>
            <w:r w:rsidR="00BD7C35" w:rsidRPr="00B004EE">
              <w:rPr>
                <w:rFonts w:ascii="Tahoma" w:hAnsi="Tahoma" w:cs="Tahoma"/>
                <w:sz w:val="20"/>
                <w:szCs w:val="20"/>
              </w:rPr>
              <w:t xml:space="preserve"> </w:t>
            </w:r>
            <w:r w:rsidRPr="00B004EE">
              <w:rPr>
                <w:rFonts w:ascii="Tahoma" w:hAnsi="Tahoma" w:cs="Tahoma"/>
                <w:sz w:val="20"/>
                <w:szCs w:val="20"/>
              </w:rPr>
              <w:t>l’ouest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BD7C35" w:rsidRPr="00B004EE">
              <w:rPr>
                <w:rFonts w:ascii="Tahoma" w:hAnsi="Tahoma" w:cs="Tahoma"/>
                <w:sz w:val="20"/>
                <w:szCs w:val="20"/>
              </w:rPr>
              <w:t xml:space="preserve"> </w:t>
            </w:r>
            <w:r w:rsidRPr="00B004EE">
              <w:rPr>
                <w:rFonts w:ascii="Tahoma" w:hAnsi="Tahoma" w:cs="Tahoma"/>
                <w:sz w:val="20"/>
                <w:szCs w:val="20"/>
              </w:rPr>
              <w:t>ligne</w:t>
            </w:r>
            <w:r w:rsidR="00DB1635" w:rsidRPr="00B004EE">
              <w:rPr>
                <w:rFonts w:ascii="Tahoma" w:hAnsi="Tahoma" w:cs="Tahoma"/>
                <w:sz w:val="20"/>
                <w:szCs w:val="20"/>
              </w:rPr>
              <w:t xml:space="preserve"> </w:t>
            </w:r>
            <w:r w:rsidRPr="00B004EE">
              <w:rPr>
                <w:rFonts w:ascii="Tahoma" w:hAnsi="Tahoma" w:cs="Tahoma"/>
                <w:sz w:val="20"/>
                <w:szCs w:val="20"/>
              </w:rPr>
              <w:t>délimitée</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points</w:t>
            </w:r>
            <w:r w:rsidR="00DB1635" w:rsidRPr="00B004EE">
              <w:rPr>
                <w:rFonts w:ascii="Tahoma" w:hAnsi="Tahoma" w:cs="Tahoma"/>
                <w:sz w:val="20"/>
                <w:szCs w:val="20"/>
              </w:rPr>
              <w:t xml:space="preserve"> </w:t>
            </w:r>
            <w:r w:rsidRPr="00B004EE">
              <w:rPr>
                <w:rFonts w:ascii="Tahoma" w:hAnsi="Tahoma" w:cs="Tahoma"/>
                <w:sz w:val="20"/>
                <w:szCs w:val="20"/>
              </w:rPr>
              <w:t>suivants</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p>
          <w:p w14:paraId="4BD02AD9" w14:textId="570E05B0" w:rsidR="008518B0" w:rsidRPr="00B004EE" w:rsidRDefault="008518B0" w:rsidP="00B004EE">
            <w:pPr>
              <w:rPr>
                <w:rFonts w:ascii="Tahoma" w:hAnsi="Tahoma" w:cs="Tahoma"/>
                <w:sz w:val="20"/>
                <w:szCs w:val="20"/>
                <w:lang w:val="pt-PT"/>
              </w:rPr>
            </w:pPr>
            <w:r w:rsidRPr="00B004EE">
              <w:rPr>
                <w:rFonts w:ascii="Tahoma" w:hAnsi="Tahoma" w:cs="Tahoma"/>
                <w:sz w:val="20"/>
                <w:szCs w:val="20"/>
                <w:lang w:val="pt-PT"/>
              </w:rPr>
              <w:t>A</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20°</w:t>
            </w:r>
            <w:r w:rsidR="00DB1635" w:rsidRPr="00B004EE">
              <w:rPr>
                <w:rFonts w:ascii="Tahoma" w:hAnsi="Tahoma" w:cs="Tahoma"/>
                <w:sz w:val="20"/>
                <w:szCs w:val="20"/>
                <w:lang w:val="pt-PT"/>
              </w:rPr>
              <w:t xml:space="preserve"> </w:t>
            </w:r>
            <w:r w:rsidRPr="00B004EE">
              <w:rPr>
                <w:rFonts w:ascii="Tahoma" w:hAnsi="Tahoma" w:cs="Tahoma"/>
                <w:sz w:val="20"/>
                <w:szCs w:val="20"/>
                <w:lang w:val="pt-PT"/>
              </w:rPr>
              <w:t>46.300'N</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17°</w:t>
            </w:r>
            <w:r w:rsidR="00DB1635" w:rsidRPr="00B004EE">
              <w:rPr>
                <w:rFonts w:ascii="Tahoma" w:hAnsi="Tahoma" w:cs="Tahoma"/>
                <w:sz w:val="20"/>
                <w:szCs w:val="20"/>
                <w:lang w:val="pt-PT"/>
              </w:rPr>
              <w:t xml:space="preserve"> </w:t>
            </w:r>
            <w:r w:rsidRPr="00B004EE">
              <w:rPr>
                <w:rFonts w:ascii="Tahoma" w:hAnsi="Tahoma" w:cs="Tahoma"/>
                <w:sz w:val="20"/>
                <w:szCs w:val="20"/>
                <w:lang w:val="pt-PT"/>
              </w:rPr>
              <w:t>03.000'W</w:t>
            </w:r>
          </w:p>
          <w:p w14:paraId="0C089D27" w14:textId="06478EE6" w:rsidR="008518B0" w:rsidRPr="00B004EE" w:rsidRDefault="008518B0" w:rsidP="00B004EE">
            <w:pPr>
              <w:rPr>
                <w:rFonts w:ascii="Tahoma" w:hAnsi="Tahoma" w:cs="Tahoma"/>
                <w:sz w:val="20"/>
                <w:szCs w:val="20"/>
                <w:lang w:val="pt-PT"/>
              </w:rPr>
            </w:pPr>
            <w:r w:rsidRPr="00B004EE">
              <w:rPr>
                <w:rFonts w:ascii="Tahoma" w:hAnsi="Tahoma" w:cs="Tahoma"/>
                <w:sz w:val="20"/>
                <w:szCs w:val="20"/>
                <w:lang w:val="pt-PT"/>
              </w:rPr>
              <w:t>B</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20°</w:t>
            </w:r>
            <w:r w:rsidR="00DB1635" w:rsidRPr="00B004EE">
              <w:rPr>
                <w:rFonts w:ascii="Tahoma" w:hAnsi="Tahoma" w:cs="Tahoma"/>
                <w:sz w:val="20"/>
                <w:szCs w:val="20"/>
                <w:lang w:val="pt-PT"/>
              </w:rPr>
              <w:t xml:space="preserve"> </w:t>
            </w:r>
            <w:r w:rsidRPr="00B004EE">
              <w:rPr>
                <w:rFonts w:ascii="Tahoma" w:hAnsi="Tahoma" w:cs="Tahoma"/>
                <w:sz w:val="20"/>
                <w:szCs w:val="20"/>
                <w:lang w:val="pt-PT"/>
              </w:rPr>
              <w:t>40.000'N</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17°</w:t>
            </w:r>
            <w:r w:rsidR="00DB1635" w:rsidRPr="00B004EE">
              <w:rPr>
                <w:rFonts w:ascii="Tahoma" w:hAnsi="Tahoma" w:cs="Tahoma"/>
                <w:sz w:val="20"/>
                <w:szCs w:val="20"/>
                <w:lang w:val="pt-PT"/>
              </w:rPr>
              <w:t xml:space="preserve"> </w:t>
            </w:r>
            <w:r w:rsidRPr="00B004EE">
              <w:rPr>
                <w:rFonts w:ascii="Tahoma" w:hAnsi="Tahoma" w:cs="Tahoma"/>
                <w:sz w:val="20"/>
                <w:szCs w:val="20"/>
                <w:lang w:val="pt-PT"/>
              </w:rPr>
              <w:t>08.300'W</w:t>
            </w:r>
          </w:p>
          <w:p w14:paraId="41819E3C" w14:textId="56EBB14A" w:rsidR="008518B0" w:rsidRPr="00B004EE" w:rsidRDefault="008518B0" w:rsidP="00B004EE">
            <w:pPr>
              <w:rPr>
                <w:rFonts w:ascii="Tahoma" w:hAnsi="Tahoma" w:cs="Tahoma"/>
                <w:sz w:val="20"/>
                <w:szCs w:val="20"/>
                <w:lang w:val="pt-PT"/>
              </w:rPr>
            </w:pPr>
            <w:r w:rsidRPr="00B004EE">
              <w:rPr>
                <w:rFonts w:ascii="Tahoma" w:hAnsi="Tahoma" w:cs="Tahoma"/>
                <w:sz w:val="20"/>
                <w:szCs w:val="20"/>
                <w:lang w:val="pt-PT"/>
              </w:rPr>
              <w:t>C</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20°</w:t>
            </w:r>
            <w:r w:rsidR="00DB1635" w:rsidRPr="00B004EE">
              <w:rPr>
                <w:rFonts w:ascii="Tahoma" w:hAnsi="Tahoma" w:cs="Tahoma"/>
                <w:sz w:val="20"/>
                <w:szCs w:val="20"/>
                <w:lang w:val="pt-PT"/>
              </w:rPr>
              <w:t xml:space="preserve"> </w:t>
            </w:r>
            <w:r w:rsidRPr="00B004EE">
              <w:rPr>
                <w:rFonts w:ascii="Tahoma" w:hAnsi="Tahoma" w:cs="Tahoma"/>
                <w:sz w:val="20"/>
                <w:szCs w:val="20"/>
                <w:lang w:val="pt-PT"/>
              </w:rPr>
              <w:t>36.000'N</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17°</w:t>
            </w:r>
            <w:r w:rsidR="00DB1635" w:rsidRPr="00B004EE">
              <w:rPr>
                <w:rFonts w:ascii="Tahoma" w:hAnsi="Tahoma" w:cs="Tahoma"/>
                <w:sz w:val="20"/>
                <w:szCs w:val="20"/>
                <w:lang w:val="pt-PT"/>
              </w:rPr>
              <w:t xml:space="preserve"> </w:t>
            </w:r>
            <w:r w:rsidRPr="00B004EE">
              <w:rPr>
                <w:rFonts w:ascii="Tahoma" w:hAnsi="Tahoma" w:cs="Tahoma"/>
                <w:sz w:val="20"/>
                <w:szCs w:val="20"/>
                <w:lang w:val="pt-PT"/>
              </w:rPr>
              <w:t>11.000'W</w:t>
            </w:r>
          </w:p>
          <w:p w14:paraId="24A03F10" w14:textId="6D5C63F7" w:rsidR="008518B0" w:rsidRPr="00B004EE" w:rsidRDefault="008518B0" w:rsidP="00B004EE">
            <w:pPr>
              <w:rPr>
                <w:rFonts w:ascii="Tahoma" w:hAnsi="Tahoma" w:cs="Tahoma"/>
                <w:sz w:val="20"/>
                <w:szCs w:val="20"/>
                <w:lang w:val="pt-PT"/>
              </w:rPr>
            </w:pPr>
            <w:r w:rsidRPr="00B004EE">
              <w:rPr>
                <w:rFonts w:ascii="Tahoma" w:hAnsi="Tahoma" w:cs="Tahoma"/>
                <w:sz w:val="20"/>
                <w:szCs w:val="20"/>
                <w:lang w:val="pt-PT"/>
              </w:rPr>
              <w:t>E</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20°</w:t>
            </w:r>
            <w:r w:rsidR="00DB1635" w:rsidRPr="00B004EE">
              <w:rPr>
                <w:rFonts w:ascii="Tahoma" w:hAnsi="Tahoma" w:cs="Tahoma"/>
                <w:sz w:val="20"/>
                <w:szCs w:val="20"/>
                <w:lang w:val="pt-PT"/>
              </w:rPr>
              <w:t xml:space="preserve"> </w:t>
            </w:r>
            <w:r w:rsidRPr="00B004EE">
              <w:rPr>
                <w:rFonts w:ascii="Tahoma" w:hAnsi="Tahoma" w:cs="Tahoma"/>
                <w:sz w:val="20"/>
                <w:szCs w:val="20"/>
                <w:lang w:val="pt-PT"/>
              </w:rPr>
              <w:t>36.000'N</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17°</w:t>
            </w:r>
            <w:r w:rsidR="00DB1635" w:rsidRPr="00B004EE">
              <w:rPr>
                <w:rFonts w:ascii="Tahoma" w:hAnsi="Tahoma" w:cs="Tahoma"/>
                <w:sz w:val="20"/>
                <w:szCs w:val="20"/>
                <w:lang w:val="pt-PT"/>
              </w:rPr>
              <w:t xml:space="preserve"> </w:t>
            </w:r>
            <w:r w:rsidRPr="00B004EE">
              <w:rPr>
                <w:rFonts w:ascii="Tahoma" w:hAnsi="Tahoma" w:cs="Tahoma"/>
                <w:sz w:val="20"/>
                <w:szCs w:val="20"/>
                <w:lang w:val="pt-PT"/>
              </w:rPr>
              <w:t>36.000'W</w:t>
            </w:r>
          </w:p>
          <w:p w14:paraId="32A0056E" w14:textId="3081FAC5" w:rsidR="008518B0" w:rsidRPr="00B004EE" w:rsidRDefault="008518B0" w:rsidP="00B004EE">
            <w:pPr>
              <w:rPr>
                <w:rFonts w:ascii="Tahoma" w:hAnsi="Tahoma" w:cs="Tahoma"/>
                <w:sz w:val="20"/>
                <w:szCs w:val="20"/>
                <w:lang w:val="pt-PT"/>
              </w:rPr>
            </w:pPr>
            <w:r w:rsidRPr="00B004EE">
              <w:rPr>
                <w:rFonts w:ascii="Tahoma" w:hAnsi="Tahoma" w:cs="Tahoma"/>
                <w:sz w:val="20"/>
                <w:szCs w:val="20"/>
                <w:lang w:val="pt-PT"/>
              </w:rPr>
              <w:t>G</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20°</w:t>
            </w:r>
            <w:r w:rsidR="00DB1635" w:rsidRPr="00B004EE">
              <w:rPr>
                <w:rFonts w:ascii="Tahoma" w:hAnsi="Tahoma" w:cs="Tahoma"/>
                <w:sz w:val="20"/>
                <w:szCs w:val="20"/>
                <w:lang w:val="pt-PT"/>
              </w:rPr>
              <w:t xml:space="preserve"> </w:t>
            </w:r>
            <w:r w:rsidRPr="00B004EE">
              <w:rPr>
                <w:rFonts w:ascii="Tahoma" w:hAnsi="Tahoma" w:cs="Tahoma"/>
                <w:sz w:val="20"/>
                <w:szCs w:val="20"/>
                <w:lang w:val="pt-PT"/>
              </w:rPr>
              <w:t>03.000'N</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17°</w:t>
            </w:r>
            <w:r w:rsidR="00DB1635" w:rsidRPr="00B004EE">
              <w:rPr>
                <w:rFonts w:ascii="Tahoma" w:hAnsi="Tahoma" w:cs="Tahoma"/>
                <w:sz w:val="20"/>
                <w:szCs w:val="20"/>
                <w:lang w:val="pt-PT"/>
              </w:rPr>
              <w:t xml:space="preserve"> </w:t>
            </w:r>
            <w:r w:rsidRPr="00B004EE">
              <w:rPr>
                <w:rFonts w:ascii="Tahoma" w:hAnsi="Tahoma" w:cs="Tahoma"/>
                <w:sz w:val="20"/>
                <w:szCs w:val="20"/>
                <w:lang w:val="pt-PT"/>
              </w:rPr>
              <w:t>36.000'W</w:t>
            </w:r>
          </w:p>
          <w:p w14:paraId="3FFD24C7" w14:textId="70B5D5E1" w:rsidR="008518B0" w:rsidRPr="00B004EE" w:rsidRDefault="008518B0" w:rsidP="00B004EE">
            <w:pPr>
              <w:rPr>
                <w:rFonts w:ascii="Tahoma" w:hAnsi="Tahoma" w:cs="Tahoma"/>
                <w:sz w:val="20"/>
                <w:szCs w:val="20"/>
                <w:lang w:val="pt-PT"/>
              </w:rPr>
            </w:pPr>
            <w:r w:rsidRPr="00B004EE">
              <w:rPr>
                <w:rFonts w:ascii="Tahoma" w:hAnsi="Tahoma" w:cs="Tahoma"/>
                <w:sz w:val="20"/>
                <w:szCs w:val="20"/>
                <w:lang w:val="pt-PT"/>
              </w:rPr>
              <w:t>I</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19°</w:t>
            </w:r>
            <w:r w:rsidR="00DB1635" w:rsidRPr="00B004EE">
              <w:rPr>
                <w:rFonts w:ascii="Tahoma" w:hAnsi="Tahoma" w:cs="Tahoma"/>
                <w:sz w:val="20"/>
                <w:szCs w:val="20"/>
                <w:lang w:val="pt-PT"/>
              </w:rPr>
              <w:t xml:space="preserve"> </w:t>
            </w:r>
            <w:r w:rsidRPr="00B004EE">
              <w:rPr>
                <w:rFonts w:ascii="Tahoma" w:hAnsi="Tahoma" w:cs="Tahoma"/>
                <w:sz w:val="20"/>
                <w:szCs w:val="20"/>
                <w:lang w:val="pt-PT"/>
              </w:rPr>
              <w:t>45.000'N</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17°</w:t>
            </w:r>
            <w:r w:rsidR="00DB1635" w:rsidRPr="00B004EE">
              <w:rPr>
                <w:rFonts w:ascii="Tahoma" w:hAnsi="Tahoma" w:cs="Tahoma"/>
                <w:sz w:val="20"/>
                <w:szCs w:val="20"/>
                <w:lang w:val="pt-PT"/>
              </w:rPr>
              <w:t xml:space="preserve"> </w:t>
            </w:r>
            <w:r w:rsidRPr="00B004EE">
              <w:rPr>
                <w:rFonts w:ascii="Tahoma" w:hAnsi="Tahoma" w:cs="Tahoma"/>
                <w:sz w:val="20"/>
                <w:szCs w:val="20"/>
                <w:lang w:val="pt-PT"/>
              </w:rPr>
              <w:t>00.000'W</w:t>
            </w:r>
          </w:p>
          <w:p w14:paraId="6D78BBA2" w14:textId="59CB1125" w:rsidR="008518B0" w:rsidRPr="00B004EE" w:rsidRDefault="008518B0" w:rsidP="00B004EE">
            <w:pPr>
              <w:rPr>
                <w:rFonts w:ascii="Tahoma" w:hAnsi="Tahoma" w:cs="Tahoma"/>
                <w:sz w:val="20"/>
                <w:szCs w:val="20"/>
              </w:rPr>
            </w:pPr>
            <w:r w:rsidRPr="00B004EE">
              <w:rPr>
                <w:rFonts w:ascii="Tahoma" w:hAnsi="Tahoma" w:cs="Tahoma"/>
                <w:sz w:val="20"/>
                <w:szCs w:val="20"/>
              </w:rPr>
              <w:t>P</w:t>
            </w:r>
            <w:r w:rsidRPr="00B004EE">
              <w:rPr>
                <w:rFonts w:ascii="Tahoma" w:hAnsi="Tahoma" w:cs="Tahoma"/>
                <w:sz w:val="20"/>
                <w:szCs w:val="20"/>
              </w:rPr>
              <w:tab/>
            </w:r>
            <w:r w:rsidR="00DB1635" w:rsidRPr="00B004EE">
              <w:rPr>
                <w:rFonts w:ascii="Tahoma" w:hAnsi="Tahoma" w:cs="Tahoma"/>
                <w:sz w:val="20"/>
                <w:szCs w:val="20"/>
              </w:rPr>
              <w:t xml:space="preserve"> </w:t>
            </w:r>
            <w:r w:rsidRPr="00B004EE">
              <w:rPr>
                <w:rFonts w:ascii="Tahoma" w:hAnsi="Tahoma" w:cs="Tahoma"/>
                <w:sz w:val="20"/>
                <w:szCs w:val="20"/>
              </w:rPr>
              <w:t>19°</w:t>
            </w:r>
            <w:r w:rsidR="00DB1635" w:rsidRPr="00B004EE">
              <w:rPr>
                <w:rFonts w:ascii="Tahoma" w:hAnsi="Tahoma" w:cs="Tahoma"/>
                <w:sz w:val="20"/>
                <w:szCs w:val="20"/>
              </w:rPr>
              <w:t xml:space="preserve"> </w:t>
            </w:r>
            <w:r w:rsidRPr="00B004EE">
              <w:rPr>
                <w:rFonts w:ascii="Tahoma" w:hAnsi="Tahoma" w:cs="Tahoma"/>
                <w:sz w:val="20"/>
                <w:szCs w:val="20"/>
              </w:rPr>
              <w:t>19.200'N</w:t>
            </w:r>
            <w:r w:rsidRPr="00B004EE">
              <w:rPr>
                <w:rFonts w:ascii="Tahoma" w:hAnsi="Tahoma" w:cs="Tahoma"/>
                <w:sz w:val="20"/>
                <w:szCs w:val="20"/>
              </w:rPr>
              <w:tab/>
            </w:r>
            <w:r w:rsidR="00DB1635" w:rsidRPr="00B004EE">
              <w:rPr>
                <w:rFonts w:ascii="Tahoma" w:hAnsi="Tahoma" w:cs="Tahoma"/>
                <w:sz w:val="20"/>
                <w:szCs w:val="20"/>
              </w:rPr>
              <w:t xml:space="preserve"> </w:t>
            </w:r>
            <w:r w:rsidRPr="00B004EE">
              <w:rPr>
                <w:rFonts w:ascii="Tahoma" w:hAnsi="Tahoma" w:cs="Tahoma"/>
                <w:sz w:val="20"/>
                <w:szCs w:val="20"/>
              </w:rPr>
              <w:t>16°</w:t>
            </w:r>
            <w:r w:rsidR="00DB1635" w:rsidRPr="00B004EE">
              <w:rPr>
                <w:rFonts w:ascii="Tahoma" w:hAnsi="Tahoma" w:cs="Tahoma"/>
                <w:sz w:val="20"/>
                <w:szCs w:val="20"/>
              </w:rPr>
              <w:t xml:space="preserve"> </w:t>
            </w:r>
            <w:r w:rsidRPr="00B004EE">
              <w:rPr>
                <w:rFonts w:ascii="Tahoma" w:hAnsi="Tahoma" w:cs="Tahoma"/>
                <w:sz w:val="20"/>
                <w:szCs w:val="20"/>
              </w:rPr>
              <w:t>50.500'W</w:t>
            </w:r>
          </w:p>
          <w:p w14:paraId="4BC331C8" w14:textId="77777777" w:rsidR="008518B0" w:rsidRPr="00B004EE" w:rsidRDefault="008518B0" w:rsidP="00B004EE">
            <w:pPr>
              <w:rPr>
                <w:rFonts w:ascii="Tahoma" w:hAnsi="Tahoma" w:cs="Tahoma"/>
                <w:sz w:val="20"/>
                <w:szCs w:val="20"/>
              </w:rPr>
            </w:pPr>
          </w:p>
          <w:p w14:paraId="1A59B048" w14:textId="5B34CE1A" w:rsidR="008518B0" w:rsidRPr="00B004EE" w:rsidRDefault="008518B0" w:rsidP="00B004EE">
            <w:pPr>
              <w:rPr>
                <w:rFonts w:ascii="Tahoma" w:hAnsi="Tahoma" w:cs="Tahoma"/>
                <w:sz w:val="20"/>
                <w:szCs w:val="20"/>
              </w:rPr>
            </w:pP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sud</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19°19.12N</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jusqu’au</w:t>
            </w:r>
            <w:r w:rsidR="00DB1635" w:rsidRPr="00B004EE">
              <w:rPr>
                <w:rFonts w:ascii="Tahoma" w:hAnsi="Tahoma" w:cs="Tahoma"/>
                <w:sz w:val="20"/>
                <w:szCs w:val="20"/>
              </w:rPr>
              <w:t xml:space="preserve"> </w:t>
            </w:r>
            <w:r w:rsidRPr="00B004EE">
              <w:rPr>
                <w:rFonts w:ascii="Tahoma" w:hAnsi="Tahoma" w:cs="Tahoma"/>
                <w:sz w:val="20"/>
                <w:szCs w:val="20"/>
              </w:rPr>
              <w:t>17°50.00’N,</w:t>
            </w:r>
            <w:r w:rsidR="00DB1635" w:rsidRPr="00B004EE">
              <w:rPr>
                <w:rFonts w:ascii="Tahoma" w:hAnsi="Tahoma" w:cs="Tahoma"/>
                <w:sz w:val="20"/>
                <w:szCs w:val="20"/>
              </w:rPr>
              <w:t xml:space="preserve"> </w:t>
            </w:r>
            <w:r w:rsidRPr="00B004EE">
              <w:rPr>
                <w:rFonts w:ascii="Tahoma" w:hAnsi="Tahoma" w:cs="Tahoma"/>
                <w:sz w:val="20"/>
                <w:szCs w:val="20"/>
              </w:rPr>
              <w:t>zone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l’ouest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18</w:t>
            </w:r>
            <w:r w:rsidR="00DB1635" w:rsidRPr="00B004EE">
              <w:rPr>
                <w:rFonts w:ascii="Tahoma" w:hAnsi="Tahoma" w:cs="Tahoma"/>
                <w:sz w:val="20"/>
                <w:szCs w:val="20"/>
              </w:rPr>
              <w:t xml:space="preserve"> </w:t>
            </w:r>
            <w:r w:rsidRPr="00B004EE">
              <w:rPr>
                <w:rFonts w:ascii="Tahoma" w:hAnsi="Tahoma" w:cs="Tahoma"/>
                <w:sz w:val="20"/>
                <w:szCs w:val="20"/>
              </w:rPr>
              <w:t>miles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distance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ligne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base</w:t>
            </w:r>
          </w:p>
          <w:p w14:paraId="7DCC7FD6" w14:textId="4458D3A3" w:rsidR="008518B0" w:rsidRPr="00B004EE" w:rsidRDefault="008518B0" w:rsidP="00B004EE">
            <w:pPr>
              <w:rPr>
                <w:rFonts w:ascii="Tahoma" w:hAnsi="Tahoma" w:cs="Tahoma"/>
                <w:sz w:val="20"/>
                <w:szCs w:val="20"/>
              </w:rPr>
            </w:pP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sud</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17°50.00’N,</w:t>
            </w:r>
            <w:r w:rsidR="00DB1635" w:rsidRPr="00B004EE">
              <w:rPr>
                <w:rFonts w:ascii="Tahoma" w:hAnsi="Tahoma" w:cs="Tahoma"/>
                <w:sz w:val="20"/>
                <w:szCs w:val="20"/>
              </w:rPr>
              <w:t xml:space="preserve"> </w:t>
            </w:r>
            <w:r w:rsidRPr="00B004EE">
              <w:rPr>
                <w:rFonts w:ascii="Tahoma" w:hAnsi="Tahoma" w:cs="Tahoma"/>
                <w:sz w:val="20"/>
                <w:szCs w:val="20"/>
              </w:rPr>
              <w:t>zone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l’ouest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12</w:t>
            </w:r>
            <w:r w:rsidR="00DB1635" w:rsidRPr="00B004EE">
              <w:rPr>
                <w:rFonts w:ascii="Tahoma" w:hAnsi="Tahoma" w:cs="Tahoma"/>
                <w:sz w:val="20"/>
                <w:szCs w:val="20"/>
              </w:rPr>
              <w:t xml:space="preserve"> </w:t>
            </w:r>
            <w:r w:rsidRPr="00B004EE">
              <w:rPr>
                <w:rFonts w:ascii="Tahoma" w:hAnsi="Tahoma" w:cs="Tahoma"/>
                <w:sz w:val="20"/>
                <w:szCs w:val="20"/>
              </w:rPr>
              <w:t>miles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distance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ligne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base.</w:t>
            </w:r>
          </w:p>
        </w:tc>
      </w:tr>
      <w:tr w:rsidR="00150C90" w:rsidRPr="00B004EE" w14:paraId="7BDD8E40" w14:textId="77777777" w:rsidTr="00767386">
        <w:trPr>
          <w:trHeight w:val="55"/>
        </w:trPr>
        <w:tc>
          <w:tcPr>
            <w:tcW w:w="1560" w:type="dxa"/>
            <w:shd w:val="clear" w:color="auto" w:fill="auto"/>
          </w:tcPr>
          <w:p w14:paraId="2AFBBE94" w14:textId="77777777" w:rsidR="008518B0" w:rsidRPr="00B004EE" w:rsidRDefault="008518B0" w:rsidP="00B004EE">
            <w:pPr>
              <w:jc w:val="both"/>
              <w:rPr>
                <w:rFonts w:ascii="Tahoma" w:hAnsi="Tahoma" w:cs="Tahoma"/>
                <w:b/>
                <w:bCs/>
                <w:i/>
                <w:iCs/>
                <w:sz w:val="20"/>
                <w:szCs w:val="20"/>
              </w:rPr>
            </w:pPr>
          </w:p>
        </w:tc>
        <w:tc>
          <w:tcPr>
            <w:tcW w:w="3402" w:type="dxa"/>
            <w:shd w:val="clear" w:color="auto" w:fill="auto"/>
          </w:tcPr>
          <w:p w14:paraId="16CAF0E9" w14:textId="395A2BB1" w:rsidR="008518B0" w:rsidRPr="00B004EE" w:rsidRDefault="008518B0" w:rsidP="00B004EE">
            <w:pPr>
              <w:rPr>
                <w:rFonts w:ascii="Tahoma" w:hAnsi="Tahoma" w:cs="Tahoma"/>
                <w:b/>
                <w:i/>
                <w:iCs/>
                <w:sz w:val="20"/>
                <w:szCs w:val="20"/>
              </w:rPr>
            </w:pPr>
            <w:r w:rsidRPr="00B004EE">
              <w:rPr>
                <w:rFonts w:ascii="Tahoma" w:hAnsi="Tahoma" w:cs="Tahoma"/>
                <w:b/>
                <w:i/>
                <w:iCs/>
                <w:sz w:val="20"/>
                <w:szCs w:val="20"/>
              </w:rPr>
              <w:t>Poissons</w:t>
            </w:r>
            <w:r w:rsidR="00DB1635" w:rsidRPr="00B004EE">
              <w:rPr>
                <w:rFonts w:ascii="Tahoma" w:hAnsi="Tahoma" w:cs="Tahoma"/>
                <w:b/>
                <w:i/>
                <w:iCs/>
                <w:sz w:val="20"/>
                <w:szCs w:val="20"/>
              </w:rPr>
              <w:t xml:space="preserve"> </w:t>
            </w:r>
            <w:r w:rsidRPr="00B004EE">
              <w:rPr>
                <w:rFonts w:ascii="Tahoma" w:hAnsi="Tahoma" w:cs="Tahoma"/>
                <w:b/>
                <w:i/>
                <w:iCs/>
                <w:sz w:val="20"/>
                <w:szCs w:val="20"/>
              </w:rPr>
              <w:t>démersaux</w:t>
            </w:r>
            <w:r w:rsidR="00DB1635" w:rsidRPr="00B004EE">
              <w:rPr>
                <w:rFonts w:ascii="Tahoma" w:hAnsi="Tahoma" w:cs="Tahoma"/>
                <w:b/>
                <w:i/>
                <w:iCs/>
                <w:sz w:val="20"/>
                <w:szCs w:val="20"/>
              </w:rPr>
              <w:t xml:space="preserve"> </w:t>
            </w:r>
            <w:r w:rsidRPr="00B004EE">
              <w:rPr>
                <w:rFonts w:ascii="Tahoma" w:hAnsi="Tahoma" w:cs="Tahoma"/>
                <w:b/>
                <w:i/>
                <w:iCs/>
                <w:sz w:val="20"/>
                <w:szCs w:val="20"/>
              </w:rPr>
              <w:t>de</w:t>
            </w:r>
            <w:r w:rsidR="00DB1635" w:rsidRPr="00B004EE">
              <w:rPr>
                <w:rFonts w:ascii="Tahoma" w:hAnsi="Tahoma" w:cs="Tahoma"/>
                <w:b/>
                <w:i/>
                <w:iCs/>
                <w:sz w:val="20"/>
                <w:szCs w:val="20"/>
              </w:rPr>
              <w:t xml:space="preserve"> </w:t>
            </w:r>
            <w:r w:rsidRPr="00B004EE">
              <w:rPr>
                <w:rFonts w:ascii="Tahoma" w:hAnsi="Tahoma" w:cs="Tahoma"/>
                <w:b/>
                <w:i/>
                <w:iCs/>
                <w:sz w:val="20"/>
                <w:szCs w:val="20"/>
              </w:rPr>
              <w:t>fond</w:t>
            </w:r>
          </w:p>
        </w:tc>
        <w:tc>
          <w:tcPr>
            <w:tcW w:w="4787" w:type="dxa"/>
            <w:shd w:val="clear" w:color="auto" w:fill="auto"/>
          </w:tcPr>
          <w:p w14:paraId="569A3E73" w14:textId="4FF26EC2" w:rsidR="008518B0" w:rsidRPr="00B004EE" w:rsidRDefault="008518B0" w:rsidP="00B004EE">
            <w:pPr>
              <w:rPr>
                <w:rFonts w:ascii="Tahoma" w:hAnsi="Tahoma" w:cs="Tahoma"/>
                <w:sz w:val="20"/>
                <w:szCs w:val="20"/>
              </w:rPr>
            </w:pP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nord</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19°19.12N,</w:t>
            </w:r>
            <w:r w:rsidR="00DB1635" w:rsidRPr="00B004EE">
              <w:rPr>
                <w:rFonts w:ascii="Tahoma" w:hAnsi="Tahoma" w:cs="Tahoma"/>
                <w:sz w:val="20"/>
                <w:szCs w:val="20"/>
              </w:rPr>
              <w:t xml:space="preserve"> </w:t>
            </w:r>
            <w:r w:rsidRPr="00B004EE">
              <w:rPr>
                <w:rFonts w:ascii="Tahoma" w:hAnsi="Tahoma" w:cs="Tahoma"/>
                <w:sz w:val="20"/>
                <w:szCs w:val="20"/>
              </w:rPr>
              <w:t>zone</w:t>
            </w:r>
            <w:r w:rsidR="00DB1635" w:rsidRPr="00B004EE">
              <w:rPr>
                <w:rFonts w:ascii="Tahoma" w:hAnsi="Tahoma" w:cs="Tahoma"/>
                <w:sz w:val="20"/>
                <w:szCs w:val="20"/>
              </w:rPr>
              <w:t xml:space="preserve"> </w:t>
            </w:r>
            <w:r w:rsidRPr="00B004EE">
              <w:rPr>
                <w:rFonts w:ascii="Tahoma" w:hAnsi="Tahoma" w:cs="Tahoma"/>
                <w:sz w:val="20"/>
                <w:szCs w:val="20"/>
              </w:rPr>
              <w:t>à</w:t>
            </w:r>
            <w:r w:rsidR="00BD7C35" w:rsidRPr="00B004EE">
              <w:rPr>
                <w:rFonts w:ascii="Tahoma" w:hAnsi="Tahoma" w:cs="Tahoma"/>
                <w:sz w:val="20"/>
                <w:szCs w:val="20"/>
              </w:rPr>
              <w:t xml:space="preserve">             </w:t>
            </w:r>
            <w:r w:rsidR="00BD7C35" w:rsidRPr="00B004EE">
              <w:rPr>
                <w:rFonts w:ascii="Tahoma" w:hAnsi="Tahoma" w:cs="Tahoma"/>
                <w:b/>
                <w:bCs/>
                <w:sz w:val="20"/>
                <w:szCs w:val="20"/>
              </w:rPr>
              <w:t>Z8</w:t>
            </w:r>
            <w:r w:rsidR="00BD7C35" w:rsidRPr="00B004EE">
              <w:rPr>
                <w:rFonts w:ascii="Tahoma" w:hAnsi="Tahoma" w:cs="Tahoma"/>
                <w:sz w:val="20"/>
                <w:szCs w:val="20"/>
              </w:rPr>
              <w:t xml:space="preserve"> </w:t>
            </w:r>
            <w:r w:rsidRPr="00B004EE">
              <w:rPr>
                <w:rFonts w:ascii="Tahoma" w:hAnsi="Tahoma" w:cs="Tahoma"/>
                <w:sz w:val="20"/>
                <w:szCs w:val="20"/>
              </w:rPr>
              <w:t>l’ouest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ligne</w:t>
            </w:r>
            <w:r w:rsidR="00BD7C35" w:rsidRPr="00B004EE">
              <w:rPr>
                <w:rFonts w:ascii="Tahoma" w:hAnsi="Tahoma" w:cs="Tahoma"/>
                <w:sz w:val="20"/>
                <w:szCs w:val="20"/>
              </w:rPr>
              <w:t xml:space="preserve"> </w:t>
            </w:r>
            <w:r w:rsidRPr="00B004EE">
              <w:rPr>
                <w:rFonts w:ascii="Tahoma" w:hAnsi="Tahoma" w:cs="Tahoma"/>
                <w:sz w:val="20"/>
                <w:szCs w:val="20"/>
              </w:rPr>
              <w:t>délimitée</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points</w:t>
            </w:r>
            <w:r w:rsidR="00DB1635" w:rsidRPr="00B004EE">
              <w:rPr>
                <w:rFonts w:ascii="Tahoma" w:hAnsi="Tahoma" w:cs="Tahoma"/>
                <w:sz w:val="20"/>
                <w:szCs w:val="20"/>
              </w:rPr>
              <w:t xml:space="preserve"> </w:t>
            </w:r>
            <w:r w:rsidRPr="00B004EE">
              <w:rPr>
                <w:rFonts w:ascii="Tahoma" w:hAnsi="Tahoma" w:cs="Tahoma"/>
                <w:sz w:val="20"/>
                <w:szCs w:val="20"/>
              </w:rPr>
              <w:t>suivants</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p>
          <w:p w14:paraId="765A99F8" w14:textId="08F415E3" w:rsidR="008518B0" w:rsidRPr="00B004EE" w:rsidRDefault="008518B0" w:rsidP="00B004EE">
            <w:pPr>
              <w:rPr>
                <w:rFonts w:ascii="Tahoma" w:hAnsi="Tahoma" w:cs="Tahoma"/>
                <w:sz w:val="20"/>
                <w:szCs w:val="20"/>
                <w:lang w:val="pt-PT"/>
              </w:rPr>
            </w:pPr>
            <w:r w:rsidRPr="00B004EE">
              <w:rPr>
                <w:rFonts w:ascii="Tahoma" w:hAnsi="Tahoma" w:cs="Tahoma"/>
                <w:sz w:val="20"/>
                <w:szCs w:val="20"/>
                <w:lang w:val="pt-PT"/>
              </w:rPr>
              <w:t>A</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20°</w:t>
            </w:r>
            <w:r w:rsidR="00DB1635" w:rsidRPr="00B004EE">
              <w:rPr>
                <w:rFonts w:ascii="Tahoma" w:hAnsi="Tahoma" w:cs="Tahoma"/>
                <w:sz w:val="20"/>
                <w:szCs w:val="20"/>
                <w:lang w:val="pt-PT"/>
              </w:rPr>
              <w:t xml:space="preserve"> </w:t>
            </w:r>
            <w:r w:rsidRPr="00B004EE">
              <w:rPr>
                <w:rFonts w:ascii="Tahoma" w:hAnsi="Tahoma" w:cs="Tahoma"/>
                <w:sz w:val="20"/>
                <w:szCs w:val="20"/>
                <w:lang w:val="pt-PT"/>
              </w:rPr>
              <w:t>46.30'N</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17°</w:t>
            </w:r>
            <w:r w:rsidR="00DB1635" w:rsidRPr="00B004EE">
              <w:rPr>
                <w:rFonts w:ascii="Tahoma" w:hAnsi="Tahoma" w:cs="Tahoma"/>
                <w:sz w:val="20"/>
                <w:szCs w:val="20"/>
                <w:lang w:val="pt-PT"/>
              </w:rPr>
              <w:t xml:space="preserve"> </w:t>
            </w:r>
            <w:r w:rsidRPr="00B004EE">
              <w:rPr>
                <w:rFonts w:ascii="Tahoma" w:hAnsi="Tahoma" w:cs="Tahoma"/>
                <w:sz w:val="20"/>
                <w:szCs w:val="20"/>
                <w:lang w:val="pt-PT"/>
              </w:rPr>
              <w:t>03.00'W</w:t>
            </w:r>
          </w:p>
          <w:p w14:paraId="0CD1A7EC" w14:textId="7461F312" w:rsidR="008518B0" w:rsidRPr="00B004EE" w:rsidRDefault="008518B0" w:rsidP="00B004EE">
            <w:pPr>
              <w:rPr>
                <w:rFonts w:ascii="Tahoma" w:hAnsi="Tahoma" w:cs="Tahoma"/>
                <w:sz w:val="20"/>
                <w:szCs w:val="20"/>
                <w:lang w:val="pt-PT"/>
              </w:rPr>
            </w:pPr>
            <w:r w:rsidRPr="00B004EE">
              <w:rPr>
                <w:rFonts w:ascii="Tahoma" w:hAnsi="Tahoma" w:cs="Tahoma"/>
                <w:sz w:val="20"/>
                <w:szCs w:val="20"/>
                <w:lang w:val="pt-PT"/>
              </w:rPr>
              <w:t>B</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20°</w:t>
            </w:r>
            <w:r w:rsidR="00DB1635" w:rsidRPr="00B004EE">
              <w:rPr>
                <w:rFonts w:ascii="Tahoma" w:hAnsi="Tahoma" w:cs="Tahoma"/>
                <w:sz w:val="20"/>
                <w:szCs w:val="20"/>
                <w:lang w:val="pt-PT"/>
              </w:rPr>
              <w:t xml:space="preserve"> </w:t>
            </w:r>
            <w:r w:rsidRPr="00B004EE">
              <w:rPr>
                <w:rFonts w:ascii="Tahoma" w:hAnsi="Tahoma" w:cs="Tahoma"/>
                <w:sz w:val="20"/>
                <w:szCs w:val="20"/>
                <w:lang w:val="pt-PT"/>
              </w:rPr>
              <w:t>40.000'N</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17°</w:t>
            </w:r>
            <w:r w:rsidR="00DB1635" w:rsidRPr="00B004EE">
              <w:rPr>
                <w:rFonts w:ascii="Tahoma" w:hAnsi="Tahoma" w:cs="Tahoma"/>
                <w:sz w:val="20"/>
                <w:szCs w:val="20"/>
                <w:lang w:val="pt-PT"/>
              </w:rPr>
              <w:t xml:space="preserve"> </w:t>
            </w:r>
            <w:r w:rsidRPr="00B004EE">
              <w:rPr>
                <w:rFonts w:ascii="Tahoma" w:hAnsi="Tahoma" w:cs="Tahoma"/>
                <w:sz w:val="20"/>
                <w:szCs w:val="20"/>
                <w:lang w:val="pt-PT"/>
              </w:rPr>
              <w:t>08.30'W</w:t>
            </w:r>
          </w:p>
          <w:p w14:paraId="6223C0B4" w14:textId="524B58E9" w:rsidR="008518B0" w:rsidRPr="00B004EE" w:rsidRDefault="008518B0" w:rsidP="00B004EE">
            <w:pPr>
              <w:rPr>
                <w:rFonts w:ascii="Tahoma" w:hAnsi="Tahoma" w:cs="Tahoma"/>
                <w:sz w:val="20"/>
                <w:szCs w:val="20"/>
                <w:lang w:val="pt-PT"/>
              </w:rPr>
            </w:pPr>
            <w:r w:rsidRPr="00B004EE">
              <w:rPr>
                <w:rFonts w:ascii="Tahoma" w:hAnsi="Tahoma" w:cs="Tahoma"/>
                <w:sz w:val="20"/>
                <w:szCs w:val="20"/>
                <w:lang w:val="pt-PT"/>
              </w:rPr>
              <w:t>D</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20°</w:t>
            </w:r>
            <w:r w:rsidR="00DB1635" w:rsidRPr="00B004EE">
              <w:rPr>
                <w:rFonts w:ascii="Tahoma" w:hAnsi="Tahoma" w:cs="Tahoma"/>
                <w:sz w:val="20"/>
                <w:szCs w:val="20"/>
                <w:lang w:val="pt-PT"/>
              </w:rPr>
              <w:t xml:space="preserve"> </w:t>
            </w:r>
            <w:r w:rsidRPr="00B004EE">
              <w:rPr>
                <w:rFonts w:ascii="Tahoma" w:hAnsi="Tahoma" w:cs="Tahoma"/>
                <w:sz w:val="20"/>
                <w:szCs w:val="20"/>
                <w:lang w:val="pt-PT"/>
              </w:rPr>
              <w:t>36.00'N</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17°</w:t>
            </w:r>
            <w:r w:rsidR="00DB1635" w:rsidRPr="00B004EE">
              <w:rPr>
                <w:rFonts w:ascii="Tahoma" w:hAnsi="Tahoma" w:cs="Tahoma"/>
                <w:sz w:val="20"/>
                <w:szCs w:val="20"/>
                <w:lang w:val="pt-PT"/>
              </w:rPr>
              <w:t xml:space="preserve"> </w:t>
            </w:r>
            <w:r w:rsidRPr="00B004EE">
              <w:rPr>
                <w:rFonts w:ascii="Tahoma" w:hAnsi="Tahoma" w:cs="Tahoma"/>
                <w:sz w:val="20"/>
                <w:szCs w:val="20"/>
                <w:lang w:val="pt-PT"/>
              </w:rPr>
              <w:t>11.00'W</w:t>
            </w:r>
          </w:p>
          <w:p w14:paraId="10A4AD88" w14:textId="05D44F8C" w:rsidR="008518B0" w:rsidRPr="00B004EE" w:rsidRDefault="008518B0" w:rsidP="00B004EE">
            <w:pPr>
              <w:rPr>
                <w:rFonts w:ascii="Tahoma" w:hAnsi="Tahoma" w:cs="Tahoma"/>
                <w:sz w:val="20"/>
                <w:szCs w:val="20"/>
                <w:lang w:val="pt-PT"/>
              </w:rPr>
            </w:pPr>
            <w:r w:rsidRPr="00B004EE">
              <w:rPr>
                <w:rFonts w:ascii="Tahoma" w:hAnsi="Tahoma" w:cs="Tahoma"/>
                <w:sz w:val="20"/>
                <w:szCs w:val="20"/>
                <w:lang w:val="pt-PT"/>
              </w:rPr>
              <w:t>E</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20°</w:t>
            </w:r>
            <w:r w:rsidR="00DB1635" w:rsidRPr="00B004EE">
              <w:rPr>
                <w:rFonts w:ascii="Tahoma" w:hAnsi="Tahoma" w:cs="Tahoma"/>
                <w:sz w:val="20"/>
                <w:szCs w:val="20"/>
                <w:lang w:val="pt-PT"/>
              </w:rPr>
              <w:t xml:space="preserve"> </w:t>
            </w:r>
            <w:r w:rsidRPr="00B004EE">
              <w:rPr>
                <w:rFonts w:ascii="Tahoma" w:hAnsi="Tahoma" w:cs="Tahoma"/>
                <w:sz w:val="20"/>
                <w:szCs w:val="20"/>
                <w:lang w:val="pt-PT"/>
              </w:rPr>
              <w:t>36.00'N</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17°</w:t>
            </w:r>
            <w:r w:rsidR="00DB1635" w:rsidRPr="00B004EE">
              <w:rPr>
                <w:rFonts w:ascii="Tahoma" w:hAnsi="Tahoma" w:cs="Tahoma"/>
                <w:sz w:val="20"/>
                <w:szCs w:val="20"/>
                <w:lang w:val="pt-PT"/>
              </w:rPr>
              <w:t xml:space="preserve"> </w:t>
            </w:r>
            <w:r w:rsidRPr="00B004EE">
              <w:rPr>
                <w:rFonts w:ascii="Tahoma" w:hAnsi="Tahoma" w:cs="Tahoma"/>
                <w:sz w:val="20"/>
                <w:szCs w:val="20"/>
                <w:lang w:val="pt-PT"/>
              </w:rPr>
              <w:t>36.000'W</w:t>
            </w:r>
          </w:p>
          <w:p w14:paraId="18A202B7" w14:textId="300177C6" w:rsidR="008518B0" w:rsidRPr="00B004EE" w:rsidRDefault="008518B0" w:rsidP="00B004EE">
            <w:pPr>
              <w:rPr>
                <w:rFonts w:ascii="Tahoma" w:hAnsi="Tahoma" w:cs="Tahoma"/>
                <w:sz w:val="20"/>
                <w:szCs w:val="20"/>
                <w:lang w:val="pt-PT"/>
              </w:rPr>
            </w:pPr>
            <w:r w:rsidRPr="00B004EE">
              <w:rPr>
                <w:rFonts w:ascii="Tahoma" w:hAnsi="Tahoma" w:cs="Tahoma"/>
                <w:sz w:val="20"/>
                <w:szCs w:val="20"/>
                <w:lang w:val="pt-PT"/>
              </w:rPr>
              <w:t>G</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20°</w:t>
            </w:r>
            <w:r w:rsidR="00DB1635" w:rsidRPr="00B004EE">
              <w:rPr>
                <w:rFonts w:ascii="Tahoma" w:hAnsi="Tahoma" w:cs="Tahoma"/>
                <w:sz w:val="20"/>
                <w:szCs w:val="20"/>
                <w:lang w:val="pt-PT"/>
              </w:rPr>
              <w:t xml:space="preserve"> </w:t>
            </w:r>
            <w:r w:rsidRPr="00B004EE">
              <w:rPr>
                <w:rFonts w:ascii="Tahoma" w:hAnsi="Tahoma" w:cs="Tahoma"/>
                <w:sz w:val="20"/>
                <w:szCs w:val="20"/>
                <w:lang w:val="pt-PT"/>
              </w:rPr>
              <w:t>03.00'N</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17°</w:t>
            </w:r>
            <w:r w:rsidR="00DB1635" w:rsidRPr="00B004EE">
              <w:rPr>
                <w:rFonts w:ascii="Tahoma" w:hAnsi="Tahoma" w:cs="Tahoma"/>
                <w:sz w:val="20"/>
                <w:szCs w:val="20"/>
                <w:lang w:val="pt-PT"/>
              </w:rPr>
              <w:t xml:space="preserve"> </w:t>
            </w:r>
            <w:r w:rsidRPr="00B004EE">
              <w:rPr>
                <w:rFonts w:ascii="Tahoma" w:hAnsi="Tahoma" w:cs="Tahoma"/>
                <w:sz w:val="20"/>
                <w:szCs w:val="20"/>
                <w:lang w:val="pt-PT"/>
              </w:rPr>
              <w:t>36.000'W</w:t>
            </w:r>
          </w:p>
          <w:p w14:paraId="1A4EE4D3" w14:textId="0CF8990C" w:rsidR="008518B0" w:rsidRPr="00B004EE" w:rsidRDefault="008518B0" w:rsidP="00B004EE">
            <w:pPr>
              <w:rPr>
                <w:rFonts w:ascii="Tahoma" w:hAnsi="Tahoma" w:cs="Tahoma"/>
                <w:sz w:val="20"/>
                <w:szCs w:val="20"/>
                <w:lang w:val="pt-PT"/>
              </w:rPr>
            </w:pPr>
            <w:r w:rsidRPr="00B004EE">
              <w:rPr>
                <w:rFonts w:ascii="Tahoma" w:hAnsi="Tahoma" w:cs="Tahoma"/>
                <w:sz w:val="20"/>
                <w:szCs w:val="20"/>
                <w:lang w:val="pt-PT"/>
              </w:rPr>
              <w:t>I</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19°</w:t>
            </w:r>
            <w:r w:rsidR="00DB1635" w:rsidRPr="00B004EE">
              <w:rPr>
                <w:rFonts w:ascii="Tahoma" w:hAnsi="Tahoma" w:cs="Tahoma"/>
                <w:sz w:val="20"/>
                <w:szCs w:val="20"/>
                <w:lang w:val="pt-PT"/>
              </w:rPr>
              <w:t xml:space="preserve"> </w:t>
            </w:r>
            <w:r w:rsidRPr="00B004EE">
              <w:rPr>
                <w:rFonts w:ascii="Tahoma" w:hAnsi="Tahoma" w:cs="Tahoma"/>
                <w:sz w:val="20"/>
                <w:szCs w:val="20"/>
                <w:lang w:val="pt-PT"/>
              </w:rPr>
              <w:t>45.00'N</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17°</w:t>
            </w:r>
            <w:r w:rsidR="00DB1635" w:rsidRPr="00B004EE">
              <w:rPr>
                <w:rFonts w:ascii="Tahoma" w:hAnsi="Tahoma" w:cs="Tahoma"/>
                <w:sz w:val="20"/>
                <w:szCs w:val="20"/>
                <w:lang w:val="pt-PT"/>
              </w:rPr>
              <w:t xml:space="preserve"> </w:t>
            </w:r>
            <w:r w:rsidRPr="00B004EE">
              <w:rPr>
                <w:rFonts w:ascii="Tahoma" w:hAnsi="Tahoma" w:cs="Tahoma"/>
                <w:sz w:val="20"/>
                <w:szCs w:val="20"/>
                <w:lang w:val="pt-PT"/>
              </w:rPr>
              <w:t>00.000'W</w:t>
            </w:r>
          </w:p>
          <w:p w14:paraId="5FAD2AEC" w14:textId="07986174" w:rsidR="008518B0" w:rsidRPr="00B004EE" w:rsidRDefault="008518B0" w:rsidP="00B004EE">
            <w:pPr>
              <w:rPr>
                <w:rFonts w:ascii="Tahoma" w:hAnsi="Tahoma" w:cs="Tahoma"/>
                <w:sz w:val="20"/>
                <w:szCs w:val="20"/>
              </w:rPr>
            </w:pPr>
            <w:r w:rsidRPr="00B004EE">
              <w:rPr>
                <w:rFonts w:ascii="Tahoma" w:hAnsi="Tahoma" w:cs="Tahoma"/>
                <w:sz w:val="20"/>
                <w:szCs w:val="20"/>
              </w:rPr>
              <w:t>P</w:t>
            </w:r>
            <w:r w:rsidRPr="00B004EE">
              <w:rPr>
                <w:rFonts w:ascii="Tahoma" w:hAnsi="Tahoma" w:cs="Tahoma"/>
                <w:sz w:val="20"/>
                <w:szCs w:val="20"/>
              </w:rPr>
              <w:tab/>
            </w:r>
            <w:r w:rsidR="00DB1635" w:rsidRPr="00B004EE">
              <w:rPr>
                <w:rFonts w:ascii="Tahoma" w:hAnsi="Tahoma" w:cs="Tahoma"/>
                <w:sz w:val="20"/>
                <w:szCs w:val="20"/>
              </w:rPr>
              <w:t xml:space="preserve"> </w:t>
            </w:r>
            <w:r w:rsidRPr="00B004EE">
              <w:rPr>
                <w:rFonts w:ascii="Tahoma" w:hAnsi="Tahoma" w:cs="Tahoma"/>
                <w:sz w:val="20"/>
                <w:szCs w:val="20"/>
              </w:rPr>
              <w:t>19°</w:t>
            </w:r>
            <w:r w:rsidR="00DB1635" w:rsidRPr="00B004EE">
              <w:rPr>
                <w:rFonts w:ascii="Tahoma" w:hAnsi="Tahoma" w:cs="Tahoma"/>
                <w:sz w:val="20"/>
                <w:szCs w:val="20"/>
              </w:rPr>
              <w:t xml:space="preserve"> </w:t>
            </w:r>
            <w:r w:rsidRPr="00B004EE">
              <w:rPr>
                <w:rFonts w:ascii="Tahoma" w:hAnsi="Tahoma" w:cs="Tahoma"/>
                <w:sz w:val="20"/>
                <w:szCs w:val="20"/>
              </w:rPr>
              <w:t>19.12'N</w:t>
            </w:r>
            <w:r w:rsidRPr="00B004EE">
              <w:rPr>
                <w:rFonts w:ascii="Tahoma" w:hAnsi="Tahoma" w:cs="Tahoma"/>
                <w:sz w:val="20"/>
                <w:szCs w:val="20"/>
              </w:rPr>
              <w:tab/>
            </w:r>
            <w:r w:rsidR="00DB1635" w:rsidRPr="00B004EE">
              <w:rPr>
                <w:rFonts w:ascii="Tahoma" w:hAnsi="Tahoma" w:cs="Tahoma"/>
                <w:sz w:val="20"/>
                <w:szCs w:val="20"/>
              </w:rPr>
              <w:t xml:space="preserve"> </w:t>
            </w:r>
            <w:r w:rsidRPr="00B004EE">
              <w:rPr>
                <w:rFonts w:ascii="Tahoma" w:hAnsi="Tahoma" w:cs="Tahoma"/>
                <w:sz w:val="20"/>
                <w:szCs w:val="20"/>
              </w:rPr>
              <w:t>16°</w:t>
            </w:r>
            <w:r w:rsidR="00DB1635" w:rsidRPr="00B004EE">
              <w:rPr>
                <w:rFonts w:ascii="Tahoma" w:hAnsi="Tahoma" w:cs="Tahoma"/>
                <w:sz w:val="20"/>
                <w:szCs w:val="20"/>
              </w:rPr>
              <w:t xml:space="preserve"> </w:t>
            </w:r>
            <w:r w:rsidRPr="00B004EE">
              <w:rPr>
                <w:rFonts w:ascii="Tahoma" w:hAnsi="Tahoma" w:cs="Tahoma"/>
                <w:sz w:val="20"/>
                <w:szCs w:val="20"/>
              </w:rPr>
              <w:t>50.50'W</w:t>
            </w:r>
          </w:p>
          <w:p w14:paraId="11548963" w14:textId="77777777" w:rsidR="008518B0" w:rsidRPr="00B004EE" w:rsidRDefault="008518B0" w:rsidP="00B004EE">
            <w:pPr>
              <w:rPr>
                <w:rFonts w:ascii="Tahoma" w:hAnsi="Tahoma" w:cs="Tahoma"/>
                <w:sz w:val="20"/>
                <w:szCs w:val="20"/>
              </w:rPr>
            </w:pPr>
          </w:p>
          <w:p w14:paraId="732752C9" w14:textId="2D23436C" w:rsidR="008518B0" w:rsidRPr="00B004EE" w:rsidRDefault="008518B0" w:rsidP="00B004EE">
            <w:pPr>
              <w:rPr>
                <w:rFonts w:ascii="Tahoma" w:hAnsi="Tahoma" w:cs="Tahoma"/>
                <w:sz w:val="20"/>
                <w:szCs w:val="20"/>
              </w:rPr>
            </w:pP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sud</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19°19.12N</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jusqu’au</w:t>
            </w:r>
            <w:r w:rsidR="00DB1635" w:rsidRPr="00B004EE">
              <w:rPr>
                <w:rFonts w:ascii="Tahoma" w:hAnsi="Tahoma" w:cs="Tahoma"/>
                <w:sz w:val="20"/>
                <w:szCs w:val="20"/>
              </w:rPr>
              <w:t xml:space="preserve"> </w:t>
            </w:r>
            <w:r w:rsidRPr="00B004EE">
              <w:rPr>
                <w:rFonts w:ascii="Tahoma" w:hAnsi="Tahoma" w:cs="Tahoma"/>
                <w:sz w:val="20"/>
                <w:szCs w:val="20"/>
              </w:rPr>
              <w:t>17°50.00’N,</w:t>
            </w:r>
            <w:r w:rsidR="00DB1635" w:rsidRPr="00B004EE">
              <w:rPr>
                <w:rFonts w:ascii="Tahoma" w:hAnsi="Tahoma" w:cs="Tahoma"/>
                <w:sz w:val="20"/>
                <w:szCs w:val="20"/>
              </w:rPr>
              <w:t xml:space="preserve"> </w:t>
            </w:r>
            <w:r w:rsidRPr="00B004EE">
              <w:rPr>
                <w:rFonts w:ascii="Tahoma" w:hAnsi="Tahoma" w:cs="Tahoma"/>
                <w:sz w:val="20"/>
                <w:szCs w:val="20"/>
              </w:rPr>
              <w:t>zone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l’ouest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18</w:t>
            </w:r>
            <w:r w:rsidR="00DB1635" w:rsidRPr="00B004EE">
              <w:rPr>
                <w:rFonts w:ascii="Tahoma" w:hAnsi="Tahoma" w:cs="Tahoma"/>
                <w:sz w:val="20"/>
                <w:szCs w:val="20"/>
              </w:rPr>
              <w:t xml:space="preserve"> </w:t>
            </w:r>
            <w:r w:rsidRPr="00B004EE">
              <w:rPr>
                <w:rFonts w:ascii="Tahoma" w:hAnsi="Tahoma" w:cs="Tahoma"/>
                <w:sz w:val="20"/>
                <w:szCs w:val="20"/>
              </w:rPr>
              <w:t>miles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distance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ligne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base</w:t>
            </w:r>
          </w:p>
          <w:p w14:paraId="469FCF39" w14:textId="15501F6D" w:rsidR="008518B0" w:rsidRPr="00B004EE" w:rsidRDefault="008518B0" w:rsidP="00B004EE">
            <w:pPr>
              <w:rPr>
                <w:rFonts w:ascii="Tahoma" w:hAnsi="Tahoma" w:cs="Tahoma"/>
                <w:sz w:val="20"/>
                <w:szCs w:val="20"/>
              </w:rPr>
            </w:pP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sud</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17°50.00’N,</w:t>
            </w:r>
            <w:r w:rsidR="00DB1635" w:rsidRPr="00B004EE">
              <w:rPr>
                <w:rFonts w:ascii="Tahoma" w:hAnsi="Tahoma" w:cs="Tahoma"/>
                <w:sz w:val="20"/>
                <w:szCs w:val="20"/>
              </w:rPr>
              <w:t xml:space="preserve"> </w:t>
            </w:r>
            <w:r w:rsidRPr="00B004EE">
              <w:rPr>
                <w:rFonts w:ascii="Tahoma" w:hAnsi="Tahoma" w:cs="Tahoma"/>
                <w:sz w:val="20"/>
                <w:szCs w:val="20"/>
              </w:rPr>
              <w:t>zone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l’ouest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12</w:t>
            </w:r>
            <w:r w:rsidR="00DB1635" w:rsidRPr="00B004EE">
              <w:rPr>
                <w:rFonts w:ascii="Tahoma" w:hAnsi="Tahoma" w:cs="Tahoma"/>
                <w:sz w:val="20"/>
                <w:szCs w:val="20"/>
              </w:rPr>
              <w:t xml:space="preserve"> </w:t>
            </w:r>
            <w:r w:rsidRPr="00B004EE">
              <w:rPr>
                <w:rFonts w:ascii="Tahoma" w:hAnsi="Tahoma" w:cs="Tahoma"/>
                <w:sz w:val="20"/>
                <w:szCs w:val="20"/>
              </w:rPr>
              <w:t>miles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distance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ligne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base.</w:t>
            </w:r>
          </w:p>
        </w:tc>
      </w:tr>
      <w:tr w:rsidR="00150C90" w:rsidRPr="00B004EE" w14:paraId="674AF573" w14:textId="77777777" w:rsidTr="00767386">
        <w:trPr>
          <w:trHeight w:val="55"/>
        </w:trPr>
        <w:tc>
          <w:tcPr>
            <w:tcW w:w="1560" w:type="dxa"/>
            <w:shd w:val="clear" w:color="auto" w:fill="auto"/>
          </w:tcPr>
          <w:p w14:paraId="7DA73790" w14:textId="77777777" w:rsidR="008518B0" w:rsidRPr="00B004EE" w:rsidRDefault="008518B0" w:rsidP="00B004EE">
            <w:pPr>
              <w:jc w:val="both"/>
              <w:rPr>
                <w:rFonts w:ascii="Tahoma" w:hAnsi="Tahoma" w:cs="Tahoma"/>
                <w:b/>
                <w:bCs/>
                <w:i/>
                <w:iCs/>
                <w:sz w:val="20"/>
                <w:szCs w:val="20"/>
              </w:rPr>
            </w:pPr>
          </w:p>
        </w:tc>
        <w:tc>
          <w:tcPr>
            <w:tcW w:w="3402" w:type="dxa"/>
            <w:shd w:val="clear" w:color="auto" w:fill="auto"/>
          </w:tcPr>
          <w:p w14:paraId="130B9B82" w14:textId="704137B1" w:rsidR="008518B0" w:rsidRPr="00B004EE" w:rsidRDefault="00DB1635" w:rsidP="00B004EE">
            <w:pPr>
              <w:jc w:val="both"/>
              <w:rPr>
                <w:rFonts w:ascii="Tahoma" w:hAnsi="Tahoma" w:cs="Tahoma"/>
                <w:b/>
                <w:i/>
                <w:iCs/>
                <w:sz w:val="20"/>
                <w:szCs w:val="20"/>
              </w:rPr>
            </w:pPr>
            <w:r w:rsidRPr="00B004EE">
              <w:rPr>
                <w:rFonts w:ascii="Tahoma" w:hAnsi="Tahoma" w:cs="Tahoma"/>
                <w:b/>
                <w:i/>
                <w:iCs/>
                <w:sz w:val="20"/>
                <w:szCs w:val="20"/>
              </w:rPr>
              <w:t xml:space="preserve"> </w:t>
            </w:r>
            <w:r w:rsidR="008518B0" w:rsidRPr="00B004EE">
              <w:rPr>
                <w:rFonts w:ascii="Tahoma" w:hAnsi="Tahoma" w:cs="Tahoma"/>
                <w:b/>
                <w:i/>
                <w:iCs/>
                <w:sz w:val="20"/>
                <w:szCs w:val="20"/>
              </w:rPr>
              <w:t>Langouste</w:t>
            </w:r>
            <w:r w:rsidRPr="00B004EE">
              <w:rPr>
                <w:rFonts w:ascii="Tahoma" w:hAnsi="Tahoma" w:cs="Tahoma"/>
                <w:b/>
                <w:i/>
                <w:iCs/>
                <w:sz w:val="20"/>
                <w:szCs w:val="20"/>
              </w:rPr>
              <w:t xml:space="preserve"> </w:t>
            </w:r>
            <w:r w:rsidR="008518B0" w:rsidRPr="00B004EE">
              <w:rPr>
                <w:rFonts w:ascii="Tahoma" w:hAnsi="Tahoma" w:cs="Tahoma"/>
                <w:b/>
                <w:i/>
                <w:iCs/>
                <w:sz w:val="20"/>
                <w:szCs w:val="20"/>
              </w:rPr>
              <w:t>rose</w:t>
            </w:r>
          </w:p>
        </w:tc>
        <w:tc>
          <w:tcPr>
            <w:tcW w:w="4787" w:type="dxa"/>
            <w:shd w:val="clear" w:color="auto" w:fill="auto"/>
          </w:tcPr>
          <w:p w14:paraId="665DBDE4" w14:textId="2994EFB1" w:rsidR="008518B0" w:rsidRPr="00B004EE" w:rsidRDefault="008518B0" w:rsidP="00B004EE">
            <w:pPr>
              <w:rPr>
                <w:rFonts w:ascii="Tahoma" w:hAnsi="Tahoma" w:cs="Tahoma"/>
                <w:sz w:val="20"/>
                <w:szCs w:val="20"/>
              </w:rPr>
            </w:pP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nord</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19°19’12N,</w:t>
            </w:r>
            <w:r w:rsidR="00DB1635" w:rsidRPr="00B004EE">
              <w:rPr>
                <w:rFonts w:ascii="Tahoma" w:hAnsi="Tahoma" w:cs="Tahoma"/>
                <w:sz w:val="20"/>
                <w:szCs w:val="20"/>
              </w:rPr>
              <w:t xml:space="preserve"> </w:t>
            </w:r>
            <w:r w:rsidRPr="00B004EE">
              <w:rPr>
                <w:rFonts w:ascii="Tahoma" w:hAnsi="Tahoma" w:cs="Tahoma"/>
                <w:sz w:val="20"/>
                <w:szCs w:val="20"/>
              </w:rPr>
              <w:t>zone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00BD7C35" w:rsidRPr="00B004EE">
              <w:rPr>
                <w:rFonts w:ascii="Tahoma" w:hAnsi="Tahoma" w:cs="Tahoma"/>
                <w:b/>
                <w:bCs/>
                <w:sz w:val="20"/>
                <w:szCs w:val="20"/>
              </w:rPr>
              <w:t>Z8</w:t>
            </w:r>
            <w:r w:rsidR="00BD7C35" w:rsidRPr="00B004EE">
              <w:rPr>
                <w:rFonts w:ascii="Tahoma" w:hAnsi="Tahoma" w:cs="Tahoma"/>
                <w:sz w:val="20"/>
                <w:szCs w:val="20"/>
              </w:rPr>
              <w:t xml:space="preserve"> </w:t>
            </w:r>
            <w:r w:rsidRPr="00B004EE">
              <w:rPr>
                <w:rFonts w:ascii="Tahoma" w:hAnsi="Tahoma" w:cs="Tahoma"/>
                <w:sz w:val="20"/>
                <w:szCs w:val="20"/>
              </w:rPr>
              <w:t>l’ouest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proofErr w:type="gramStart"/>
            <w:r w:rsidRPr="00B004EE">
              <w:rPr>
                <w:rFonts w:ascii="Tahoma" w:hAnsi="Tahoma" w:cs="Tahoma"/>
                <w:sz w:val="20"/>
                <w:szCs w:val="20"/>
              </w:rPr>
              <w:t>ligne</w:t>
            </w:r>
            <w:r w:rsidR="00DB1635" w:rsidRPr="00B004EE">
              <w:rPr>
                <w:rFonts w:ascii="Tahoma" w:hAnsi="Tahoma" w:cs="Tahoma"/>
                <w:sz w:val="20"/>
                <w:szCs w:val="20"/>
              </w:rPr>
              <w:t xml:space="preserve"> </w:t>
            </w:r>
            <w:r w:rsidR="00BD7C35" w:rsidRPr="00B004EE">
              <w:rPr>
                <w:rFonts w:ascii="Tahoma" w:hAnsi="Tahoma" w:cs="Tahoma"/>
                <w:sz w:val="20"/>
                <w:szCs w:val="20"/>
              </w:rPr>
              <w:t xml:space="preserve"> </w:t>
            </w:r>
            <w:r w:rsidRPr="00B004EE">
              <w:rPr>
                <w:rFonts w:ascii="Tahoma" w:hAnsi="Tahoma" w:cs="Tahoma"/>
                <w:sz w:val="20"/>
                <w:szCs w:val="20"/>
              </w:rPr>
              <w:t>délimitée</w:t>
            </w:r>
            <w:proofErr w:type="gramEnd"/>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points</w:t>
            </w:r>
            <w:r w:rsidR="00DB1635" w:rsidRPr="00B004EE">
              <w:rPr>
                <w:rFonts w:ascii="Tahoma" w:hAnsi="Tahoma" w:cs="Tahoma"/>
                <w:sz w:val="20"/>
                <w:szCs w:val="20"/>
              </w:rPr>
              <w:t xml:space="preserve"> </w:t>
            </w:r>
            <w:r w:rsidRPr="00B004EE">
              <w:rPr>
                <w:rFonts w:ascii="Tahoma" w:hAnsi="Tahoma" w:cs="Tahoma"/>
                <w:sz w:val="20"/>
                <w:szCs w:val="20"/>
              </w:rPr>
              <w:t>suivants</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p>
          <w:p w14:paraId="354AB383" w14:textId="31A17F25" w:rsidR="008518B0" w:rsidRPr="00B004EE" w:rsidRDefault="008518B0" w:rsidP="00B004EE">
            <w:pPr>
              <w:rPr>
                <w:rFonts w:ascii="Tahoma" w:hAnsi="Tahoma" w:cs="Tahoma"/>
                <w:sz w:val="20"/>
                <w:szCs w:val="20"/>
                <w:lang w:val="pt-PT"/>
              </w:rPr>
            </w:pPr>
            <w:r w:rsidRPr="00B004EE">
              <w:rPr>
                <w:rFonts w:ascii="Tahoma" w:hAnsi="Tahoma" w:cs="Tahoma"/>
                <w:sz w:val="20"/>
                <w:szCs w:val="20"/>
                <w:lang w:val="pt-PT"/>
              </w:rPr>
              <w:t>A</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20°</w:t>
            </w:r>
            <w:r w:rsidR="00DB1635" w:rsidRPr="00B004EE">
              <w:rPr>
                <w:rFonts w:ascii="Tahoma" w:hAnsi="Tahoma" w:cs="Tahoma"/>
                <w:sz w:val="20"/>
                <w:szCs w:val="20"/>
                <w:lang w:val="pt-PT"/>
              </w:rPr>
              <w:t xml:space="preserve"> </w:t>
            </w:r>
            <w:r w:rsidRPr="00B004EE">
              <w:rPr>
                <w:rFonts w:ascii="Tahoma" w:hAnsi="Tahoma" w:cs="Tahoma"/>
                <w:sz w:val="20"/>
                <w:szCs w:val="20"/>
                <w:lang w:val="pt-PT"/>
              </w:rPr>
              <w:t>46.30'N</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17°</w:t>
            </w:r>
            <w:r w:rsidR="00DB1635" w:rsidRPr="00B004EE">
              <w:rPr>
                <w:rFonts w:ascii="Tahoma" w:hAnsi="Tahoma" w:cs="Tahoma"/>
                <w:sz w:val="20"/>
                <w:szCs w:val="20"/>
                <w:lang w:val="pt-PT"/>
              </w:rPr>
              <w:t xml:space="preserve"> </w:t>
            </w:r>
            <w:r w:rsidRPr="00B004EE">
              <w:rPr>
                <w:rFonts w:ascii="Tahoma" w:hAnsi="Tahoma" w:cs="Tahoma"/>
                <w:sz w:val="20"/>
                <w:szCs w:val="20"/>
                <w:lang w:val="pt-PT"/>
              </w:rPr>
              <w:t>03.00'W</w:t>
            </w:r>
          </w:p>
          <w:p w14:paraId="0DD580B5" w14:textId="5AAB2DC5" w:rsidR="008518B0" w:rsidRPr="00B004EE" w:rsidRDefault="008518B0" w:rsidP="00B004EE">
            <w:pPr>
              <w:rPr>
                <w:rFonts w:ascii="Tahoma" w:hAnsi="Tahoma" w:cs="Tahoma"/>
                <w:sz w:val="20"/>
                <w:szCs w:val="20"/>
                <w:lang w:val="pt-PT"/>
              </w:rPr>
            </w:pPr>
            <w:r w:rsidRPr="00B004EE">
              <w:rPr>
                <w:rFonts w:ascii="Tahoma" w:hAnsi="Tahoma" w:cs="Tahoma"/>
                <w:sz w:val="20"/>
                <w:szCs w:val="20"/>
                <w:lang w:val="pt-PT"/>
              </w:rPr>
              <w:t>B</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20°</w:t>
            </w:r>
            <w:r w:rsidR="00DB1635" w:rsidRPr="00B004EE">
              <w:rPr>
                <w:rFonts w:ascii="Tahoma" w:hAnsi="Tahoma" w:cs="Tahoma"/>
                <w:sz w:val="20"/>
                <w:szCs w:val="20"/>
                <w:lang w:val="pt-PT"/>
              </w:rPr>
              <w:t xml:space="preserve"> </w:t>
            </w:r>
            <w:r w:rsidRPr="00B004EE">
              <w:rPr>
                <w:rFonts w:ascii="Tahoma" w:hAnsi="Tahoma" w:cs="Tahoma"/>
                <w:sz w:val="20"/>
                <w:szCs w:val="20"/>
                <w:lang w:val="pt-PT"/>
              </w:rPr>
              <w:t>40.00'N</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17°</w:t>
            </w:r>
            <w:r w:rsidR="00DB1635" w:rsidRPr="00B004EE">
              <w:rPr>
                <w:rFonts w:ascii="Tahoma" w:hAnsi="Tahoma" w:cs="Tahoma"/>
                <w:sz w:val="20"/>
                <w:szCs w:val="20"/>
                <w:lang w:val="pt-PT"/>
              </w:rPr>
              <w:t xml:space="preserve"> </w:t>
            </w:r>
            <w:r w:rsidRPr="00B004EE">
              <w:rPr>
                <w:rFonts w:ascii="Tahoma" w:hAnsi="Tahoma" w:cs="Tahoma"/>
                <w:sz w:val="20"/>
                <w:szCs w:val="20"/>
                <w:lang w:val="pt-PT"/>
              </w:rPr>
              <w:t>08.30'W</w:t>
            </w:r>
          </w:p>
          <w:p w14:paraId="52B76A9B" w14:textId="4A277E81" w:rsidR="008518B0" w:rsidRPr="00B004EE" w:rsidRDefault="008518B0" w:rsidP="00B004EE">
            <w:pPr>
              <w:rPr>
                <w:rFonts w:ascii="Tahoma" w:hAnsi="Tahoma" w:cs="Tahoma"/>
                <w:sz w:val="20"/>
                <w:szCs w:val="20"/>
                <w:lang w:val="pt-PT"/>
              </w:rPr>
            </w:pPr>
            <w:r w:rsidRPr="00B004EE">
              <w:rPr>
                <w:rFonts w:ascii="Tahoma" w:hAnsi="Tahoma" w:cs="Tahoma"/>
                <w:sz w:val="20"/>
                <w:szCs w:val="20"/>
                <w:lang w:val="pt-PT"/>
              </w:rPr>
              <w:t>D</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20°</w:t>
            </w:r>
            <w:r w:rsidR="00DB1635" w:rsidRPr="00B004EE">
              <w:rPr>
                <w:rFonts w:ascii="Tahoma" w:hAnsi="Tahoma" w:cs="Tahoma"/>
                <w:sz w:val="20"/>
                <w:szCs w:val="20"/>
                <w:lang w:val="pt-PT"/>
              </w:rPr>
              <w:t xml:space="preserve"> </w:t>
            </w:r>
            <w:r w:rsidRPr="00B004EE">
              <w:rPr>
                <w:rFonts w:ascii="Tahoma" w:hAnsi="Tahoma" w:cs="Tahoma"/>
                <w:sz w:val="20"/>
                <w:szCs w:val="20"/>
                <w:lang w:val="pt-PT"/>
              </w:rPr>
              <w:t>36.00'N</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17°</w:t>
            </w:r>
            <w:r w:rsidR="00DB1635" w:rsidRPr="00B004EE">
              <w:rPr>
                <w:rFonts w:ascii="Tahoma" w:hAnsi="Tahoma" w:cs="Tahoma"/>
                <w:sz w:val="20"/>
                <w:szCs w:val="20"/>
                <w:lang w:val="pt-PT"/>
              </w:rPr>
              <w:t xml:space="preserve"> </w:t>
            </w:r>
            <w:r w:rsidRPr="00B004EE">
              <w:rPr>
                <w:rFonts w:ascii="Tahoma" w:hAnsi="Tahoma" w:cs="Tahoma"/>
                <w:sz w:val="20"/>
                <w:szCs w:val="20"/>
                <w:lang w:val="pt-PT"/>
              </w:rPr>
              <w:t>11.00'W</w:t>
            </w:r>
          </w:p>
          <w:p w14:paraId="6181A7C1" w14:textId="1DEFA486" w:rsidR="008518B0" w:rsidRPr="00B004EE" w:rsidRDefault="008518B0" w:rsidP="00B004EE">
            <w:pPr>
              <w:rPr>
                <w:rFonts w:ascii="Tahoma" w:hAnsi="Tahoma" w:cs="Tahoma"/>
                <w:sz w:val="20"/>
                <w:szCs w:val="20"/>
                <w:lang w:val="pt-PT"/>
              </w:rPr>
            </w:pPr>
            <w:r w:rsidRPr="00B004EE">
              <w:rPr>
                <w:rFonts w:ascii="Tahoma" w:hAnsi="Tahoma" w:cs="Tahoma"/>
                <w:sz w:val="20"/>
                <w:szCs w:val="20"/>
                <w:lang w:val="pt-PT"/>
              </w:rPr>
              <w:t>E</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20°</w:t>
            </w:r>
            <w:r w:rsidR="00DB1635" w:rsidRPr="00B004EE">
              <w:rPr>
                <w:rFonts w:ascii="Tahoma" w:hAnsi="Tahoma" w:cs="Tahoma"/>
                <w:sz w:val="20"/>
                <w:szCs w:val="20"/>
                <w:lang w:val="pt-PT"/>
              </w:rPr>
              <w:t xml:space="preserve"> </w:t>
            </w:r>
            <w:r w:rsidRPr="00B004EE">
              <w:rPr>
                <w:rFonts w:ascii="Tahoma" w:hAnsi="Tahoma" w:cs="Tahoma"/>
                <w:sz w:val="20"/>
                <w:szCs w:val="20"/>
                <w:lang w:val="pt-PT"/>
              </w:rPr>
              <w:t>36.00'N</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17°</w:t>
            </w:r>
            <w:r w:rsidR="00DB1635" w:rsidRPr="00B004EE">
              <w:rPr>
                <w:rFonts w:ascii="Tahoma" w:hAnsi="Tahoma" w:cs="Tahoma"/>
                <w:sz w:val="20"/>
                <w:szCs w:val="20"/>
                <w:lang w:val="pt-PT"/>
              </w:rPr>
              <w:t xml:space="preserve"> </w:t>
            </w:r>
            <w:r w:rsidRPr="00B004EE">
              <w:rPr>
                <w:rFonts w:ascii="Tahoma" w:hAnsi="Tahoma" w:cs="Tahoma"/>
                <w:sz w:val="20"/>
                <w:szCs w:val="20"/>
                <w:lang w:val="pt-PT"/>
              </w:rPr>
              <w:t>36.00'W</w:t>
            </w:r>
          </w:p>
          <w:p w14:paraId="460D8316" w14:textId="651DD101" w:rsidR="008518B0" w:rsidRPr="00B004EE" w:rsidRDefault="008518B0" w:rsidP="00B004EE">
            <w:pPr>
              <w:rPr>
                <w:rFonts w:ascii="Tahoma" w:hAnsi="Tahoma" w:cs="Tahoma"/>
                <w:sz w:val="20"/>
                <w:szCs w:val="20"/>
                <w:lang w:val="pt-PT"/>
              </w:rPr>
            </w:pPr>
            <w:r w:rsidRPr="00B004EE">
              <w:rPr>
                <w:rFonts w:ascii="Tahoma" w:hAnsi="Tahoma" w:cs="Tahoma"/>
                <w:sz w:val="20"/>
                <w:szCs w:val="20"/>
                <w:lang w:val="pt-PT"/>
              </w:rPr>
              <w:t>G</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20°</w:t>
            </w:r>
            <w:r w:rsidR="00DB1635" w:rsidRPr="00B004EE">
              <w:rPr>
                <w:rFonts w:ascii="Tahoma" w:hAnsi="Tahoma" w:cs="Tahoma"/>
                <w:sz w:val="20"/>
                <w:szCs w:val="20"/>
                <w:lang w:val="pt-PT"/>
              </w:rPr>
              <w:t xml:space="preserve"> </w:t>
            </w:r>
            <w:r w:rsidRPr="00B004EE">
              <w:rPr>
                <w:rFonts w:ascii="Tahoma" w:hAnsi="Tahoma" w:cs="Tahoma"/>
                <w:sz w:val="20"/>
                <w:szCs w:val="20"/>
                <w:lang w:val="pt-PT"/>
              </w:rPr>
              <w:t>03.00'N</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17°</w:t>
            </w:r>
            <w:r w:rsidR="00DB1635" w:rsidRPr="00B004EE">
              <w:rPr>
                <w:rFonts w:ascii="Tahoma" w:hAnsi="Tahoma" w:cs="Tahoma"/>
                <w:sz w:val="20"/>
                <w:szCs w:val="20"/>
                <w:lang w:val="pt-PT"/>
              </w:rPr>
              <w:t xml:space="preserve"> </w:t>
            </w:r>
            <w:r w:rsidRPr="00B004EE">
              <w:rPr>
                <w:rFonts w:ascii="Tahoma" w:hAnsi="Tahoma" w:cs="Tahoma"/>
                <w:sz w:val="20"/>
                <w:szCs w:val="20"/>
                <w:lang w:val="pt-PT"/>
              </w:rPr>
              <w:t>36.00'W</w:t>
            </w:r>
          </w:p>
          <w:p w14:paraId="0F6AB305" w14:textId="629CE60F" w:rsidR="008518B0" w:rsidRPr="00B004EE" w:rsidRDefault="008518B0" w:rsidP="00B004EE">
            <w:pPr>
              <w:rPr>
                <w:rFonts w:ascii="Tahoma" w:hAnsi="Tahoma" w:cs="Tahoma"/>
                <w:sz w:val="20"/>
                <w:szCs w:val="20"/>
                <w:lang w:val="pt-PT"/>
              </w:rPr>
            </w:pPr>
            <w:r w:rsidRPr="00B004EE">
              <w:rPr>
                <w:rFonts w:ascii="Tahoma" w:hAnsi="Tahoma" w:cs="Tahoma"/>
                <w:sz w:val="20"/>
                <w:szCs w:val="20"/>
                <w:lang w:val="pt-PT"/>
              </w:rPr>
              <w:lastRenderedPageBreak/>
              <w:t>I</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19°</w:t>
            </w:r>
            <w:r w:rsidR="00DB1635" w:rsidRPr="00B004EE">
              <w:rPr>
                <w:rFonts w:ascii="Tahoma" w:hAnsi="Tahoma" w:cs="Tahoma"/>
                <w:sz w:val="20"/>
                <w:szCs w:val="20"/>
                <w:lang w:val="pt-PT"/>
              </w:rPr>
              <w:t xml:space="preserve"> </w:t>
            </w:r>
            <w:r w:rsidRPr="00B004EE">
              <w:rPr>
                <w:rFonts w:ascii="Tahoma" w:hAnsi="Tahoma" w:cs="Tahoma"/>
                <w:sz w:val="20"/>
                <w:szCs w:val="20"/>
                <w:lang w:val="pt-PT"/>
              </w:rPr>
              <w:t>45.00'N</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17°</w:t>
            </w:r>
            <w:r w:rsidR="00DB1635" w:rsidRPr="00B004EE">
              <w:rPr>
                <w:rFonts w:ascii="Tahoma" w:hAnsi="Tahoma" w:cs="Tahoma"/>
                <w:sz w:val="20"/>
                <w:szCs w:val="20"/>
                <w:lang w:val="pt-PT"/>
              </w:rPr>
              <w:t xml:space="preserve"> </w:t>
            </w:r>
            <w:r w:rsidRPr="00B004EE">
              <w:rPr>
                <w:rFonts w:ascii="Tahoma" w:hAnsi="Tahoma" w:cs="Tahoma"/>
                <w:sz w:val="20"/>
                <w:szCs w:val="20"/>
                <w:lang w:val="pt-PT"/>
              </w:rPr>
              <w:t>00.00'W</w:t>
            </w:r>
          </w:p>
          <w:p w14:paraId="0B6279FF" w14:textId="6974BAA4" w:rsidR="008518B0" w:rsidRPr="00B004EE" w:rsidRDefault="008518B0" w:rsidP="00B004EE">
            <w:pPr>
              <w:rPr>
                <w:rFonts w:ascii="Tahoma" w:hAnsi="Tahoma" w:cs="Tahoma"/>
                <w:sz w:val="20"/>
                <w:szCs w:val="20"/>
              </w:rPr>
            </w:pPr>
            <w:r w:rsidRPr="00B004EE">
              <w:rPr>
                <w:rFonts w:ascii="Tahoma" w:hAnsi="Tahoma" w:cs="Tahoma"/>
                <w:sz w:val="20"/>
                <w:szCs w:val="20"/>
              </w:rPr>
              <w:t>P</w:t>
            </w:r>
            <w:r w:rsidRPr="00B004EE">
              <w:rPr>
                <w:rFonts w:ascii="Tahoma" w:hAnsi="Tahoma" w:cs="Tahoma"/>
                <w:sz w:val="20"/>
                <w:szCs w:val="20"/>
              </w:rPr>
              <w:tab/>
            </w:r>
            <w:r w:rsidR="00DB1635" w:rsidRPr="00B004EE">
              <w:rPr>
                <w:rFonts w:ascii="Tahoma" w:hAnsi="Tahoma" w:cs="Tahoma"/>
                <w:sz w:val="20"/>
                <w:szCs w:val="20"/>
              </w:rPr>
              <w:t xml:space="preserve"> </w:t>
            </w:r>
            <w:r w:rsidRPr="00B004EE">
              <w:rPr>
                <w:rFonts w:ascii="Tahoma" w:hAnsi="Tahoma" w:cs="Tahoma"/>
                <w:sz w:val="20"/>
                <w:szCs w:val="20"/>
              </w:rPr>
              <w:t>19°</w:t>
            </w:r>
            <w:r w:rsidR="00DB1635" w:rsidRPr="00B004EE">
              <w:rPr>
                <w:rFonts w:ascii="Tahoma" w:hAnsi="Tahoma" w:cs="Tahoma"/>
                <w:sz w:val="20"/>
                <w:szCs w:val="20"/>
              </w:rPr>
              <w:t xml:space="preserve"> </w:t>
            </w:r>
            <w:r w:rsidRPr="00B004EE">
              <w:rPr>
                <w:rFonts w:ascii="Tahoma" w:hAnsi="Tahoma" w:cs="Tahoma"/>
                <w:sz w:val="20"/>
                <w:szCs w:val="20"/>
              </w:rPr>
              <w:t>19.120'N</w:t>
            </w:r>
            <w:r w:rsidRPr="00B004EE">
              <w:rPr>
                <w:rFonts w:ascii="Tahoma" w:hAnsi="Tahoma" w:cs="Tahoma"/>
                <w:sz w:val="20"/>
                <w:szCs w:val="20"/>
              </w:rPr>
              <w:tab/>
            </w:r>
            <w:r w:rsidR="00DB1635" w:rsidRPr="00B004EE">
              <w:rPr>
                <w:rFonts w:ascii="Tahoma" w:hAnsi="Tahoma" w:cs="Tahoma"/>
                <w:sz w:val="20"/>
                <w:szCs w:val="20"/>
              </w:rPr>
              <w:t xml:space="preserve"> </w:t>
            </w:r>
            <w:r w:rsidRPr="00B004EE">
              <w:rPr>
                <w:rFonts w:ascii="Tahoma" w:hAnsi="Tahoma" w:cs="Tahoma"/>
                <w:sz w:val="20"/>
                <w:szCs w:val="20"/>
              </w:rPr>
              <w:t>16°</w:t>
            </w:r>
            <w:r w:rsidR="00DB1635" w:rsidRPr="00B004EE">
              <w:rPr>
                <w:rFonts w:ascii="Tahoma" w:hAnsi="Tahoma" w:cs="Tahoma"/>
                <w:sz w:val="20"/>
                <w:szCs w:val="20"/>
              </w:rPr>
              <w:t xml:space="preserve"> </w:t>
            </w:r>
            <w:r w:rsidRPr="00B004EE">
              <w:rPr>
                <w:rFonts w:ascii="Tahoma" w:hAnsi="Tahoma" w:cs="Tahoma"/>
                <w:sz w:val="20"/>
                <w:szCs w:val="20"/>
              </w:rPr>
              <w:t>50.50'W</w:t>
            </w:r>
          </w:p>
          <w:p w14:paraId="5BEEE16F" w14:textId="77777777" w:rsidR="008518B0" w:rsidRPr="00B004EE" w:rsidRDefault="008518B0" w:rsidP="00B004EE">
            <w:pPr>
              <w:rPr>
                <w:rFonts w:ascii="Tahoma" w:hAnsi="Tahoma" w:cs="Tahoma"/>
                <w:sz w:val="20"/>
                <w:szCs w:val="20"/>
              </w:rPr>
            </w:pPr>
          </w:p>
          <w:p w14:paraId="764B4932" w14:textId="761B863A" w:rsidR="008518B0" w:rsidRPr="00B004EE" w:rsidRDefault="008518B0" w:rsidP="00B004EE">
            <w:pPr>
              <w:rPr>
                <w:rFonts w:ascii="Tahoma" w:hAnsi="Tahoma" w:cs="Tahoma"/>
                <w:sz w:val="20"/>
                <w:szCs w:val="20"/>
              </w:rPr>
            </w:pP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sud</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19°19’12N</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jusqu’au</w:t>
            </w:r>
            <w:r w:rsidR="00DB1635" w:rsidRPr="00B004EE">
              <w:rPr>
                <w:rFonts w:ascii="Tahoma" w:hAnsi="Tahoma" w:cs="Tahoma"/>
                <w:sz w:val="20"/>
                <w:szCs w:val="20"/>
              </w:rPr>
              <w:t xml:space="preserve"> </w:t>
            </w:r>
            <w:r w:rsidRPr="00B004EE">
              <w:rPr>
                <w:rFonts w:ascii="Tahoma" w:hAnsi="Tahoma" w:cs="Tahoma"/>
                <w:sz w:val="20"/>
                <w:szCs w:val="20"/>
              </w:rPr>
              <w:t>17°50.000’N,</w:t>
            </w:r>
            <w:r w:rsidR="00DB1635" w:rsidRPr="00B004EE">
              <w:rPr>
                <w:rFonts w:ascii="Tahoma" w:hAnsi="Tahoma" w:cs="Tahoma"/>
                <w:sz w:val="20"/>
                <w:szCs w:val="20"/>
              </w:rPr>
              <w:t xml:space="preserve"> </w:t>
            </w:r>
            <w:r w:rsidRPr="00B004EE">
              <w:rPr>
                <w:rFonts w:ascii="Tahoma" w:hAnsi="Tahoma" w:cs="Tahoma"/>
                <w:sz w:val="20"/>
                <w:szCs w:val="20"/>
              </w:rPr>
              <w:t>zone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l’ouest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18</w:t>
            </w:r>
            <w:r w:rsidR="00DB1635" w:rsidRPr="00B004EE">
              <w:rPr>
                <w:rFonts w:ascii="Tahoma" w:hAnsi="Tahoma" w:cs="Tahoma"/>
                <w:sz w:val="20"/>
                <w:szCs w:val="20"/>
              </w:rPr>
              <w:t xml:space="preserve"> </w:t>
            </w:r>
            <w:r w:rsidRPr="00B004EE">
              <w:rPr>
                <w:rFonts w:ascii="Tahoma" w:hAnsi="Tahoma" w:cs="Tahoma"/>
                <w:sz w:val="20"/>
                <w:szCs w:val="20"/>
              </w:rPr>
              <w:t>miles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distance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ligne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base</w:t>
            </w:r>
          </w:p>
          <w:p w14:paraId="4143F641" w14:textId="62FC1A96" w:rsidR="008518B0" w:rsidRPr="00B004EE" w:rsidRDefault="008518B0" w:rsidP="00B004EE">
            <w:pPr>
              <w:rPr>
                <w:rFonts w:ascii="Tahoma" w:hAnsi="Tahoma" w:cs="Tahoma"/>
                <w:sz w:val="20"/>
                <w:szCs w:val="20"/>
              </w:rPr>
            </w:pP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sud</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17°50.00’N,</w:t>
            </w:r>
            <w:r w:rsidR="00DB1635" w:rsidRPr="00B004EE">
              <w:rPr>
                <w:rFonts w:ascii="Tahoma" w:hAnsi="Tahoma" w:cs="Tahoma"/>
                <w:sz w:val="20"/>
                <w:szCs w:val="20"/>
              </w:rPr>
              <w:t xml:space="preserve"> </w:t>
            </w:r>
            <w:r w:rsidRPr="00B004EE">
              <w:rPr>
                <w:rFonts w:ascii="Tahoma" w:hAnsi="Tahoma" w:cs="Tahoma"/>
                <w:sz w:val="20"/>
                <w:szCs w:val="20"/>
              </w:rPr>
              <w:t>zone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l’ouest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12</w:t>
            </w:r>
            <w:r w:rsidR="00DB1635" w:rsidRPr="00B004EE">
              <w:rPr>
                <w:rFonts w:ascii="Tahoma" w:hAnsi="Tahoma" w:cs="Tahoma"/>
                <w:sz w:val="20"/>
                <w:szCs w:val="20"/>
              </w:rPr>
              <w:t xml:space="preserve"> </w:t>
            </w:r>
            <w:r w:rsidRPr="00B004EE">
              <w:rPr>
                <w:rFonts w:ascii="Tahoma" w:hAnsi="Tahoma" w:cs="Tahoma"/>
                <w:sz w:val="20"/>
                <w:szCs w:val="20"/>
              </w:rPr>
              <w:t>miles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distance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ligne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base.</w:t>
            </w:r>
          </w:p>
        </w:tc>
      </w:tr>
      <w:tr w:rsidR="008518B0" w:rsidRPr="00B004EE" w14:paraId="18EB57C7" w14:textId="77777777" w:rsidTr="00767386">
        <w:trPr>
          <w:trHeight w:val="55"/>
        </w:trPr>
        <w:tc>
          <w:tcPr>
            <w:tcW w:w="1560" w:type="dxa"/>
            <w:shd w:val="clear" w:color="auto" w:fill="auto"/>
          </w:tcPr>
          <w:p w14:paraId="41B734D0" w14:textId="77777777" w:rsidR="008518B0" w:rsidRPr="00B004EE" w:rsidRDefault="008518B0" w:rsidP="00B004EE">
            <w:pPr>
              <w:jc w:val="both"/>
              <w:rPr>
                <w:rFonts w:ascii="Tahoma" w:hAnsi="Tahoma" w:cs="Tahoma"/>
                <w:b/>
                <w:bCs/>
                <w:i/>
                <w:iCs/>
                <w:sz w:val="20"/>
                <w:szCs w:val="20"/>
              </w:rPr>
            </w:pPr>
          </w:p>
        </w:tc>
        <w:tc>
          <w:tcPr>
            <w:tcW w:w="3402" w:type="dxa"/>
            <w:shd w:val="clear" w:color="auto" w:fill="auto"/>
          </w:tcPr>
          <w:p w14:paraId="2C71E8F4" w14:textId="032B4BBF" w:rsidR="008518B0" w:rsidRPr="00B004EE" w:rsidRDefault="008518B0" w:rsidP="00B004EE">
            <w:pPr>
              <w:jc w:val="both"/>
              <w:rPr>
                <w:rFonts w:ascii="Tahoma" w:hAnsi="Tahoma" w:cs="Tahoma"/>
                <w:b/>
                <w:i/>
                <w:iCs/>
                <w:sz w:val="20"/>
                <w:szCs w:val="20"/>
              </w:rPr>
            </w:pPr>
            <w:r w:rsidRPr="00B004EE">
              <w:rPr>
                <w:rFonts w:ascii="Tahoma" w:hAnsi="Tahoma" w:cs="Tahoma"/>
                <w:b/>
                <w:i/>
                <w:iCs/>
                <w:sz w:val="20"/>
                <w:szCs w:val="20"/>
              </w:rPr>
              <w:t>Catég</w:t>
            </w:r>
            <w:r w:rsidR="00DB1635" w:rsidRPr="00B004EE">
              <w:rPr>
                <w:rFonts w:ascii="Tahoma" w:hAnsi="Tahoma" w:cs="Tahoma"/>
                <w:b/>
                <w:i/>
                <w:iCs/>
                <w:sz w:val="20"/>
                <w:szCs w:val="20"/>
              </w:rPr>
              <w:t xml:space="preserve"> </w:t>
            </w:r>
            <w:r w:rsidRPr="00B004EE">
              <w:rPr>
                <w:rFonts w:ascii="Tahoma" w:hAnsi="Tahoma" w:cs="Tahoma"/>
                <w:b/>
                <w:i/>
                <w:iCs/>
                <w:sz w:val="20"/>
                <w:szCs w:val="20"/>
              </w:rPr>
              <w:t>crabe</w:t>
            </w:r>
            <w:r w:rsidR="00DB1635" w:rsidRPr="00B004EE">
              <w:rPr>
                <w:rFonts w:ascii="Tahoma" w:hAnsi="Tahoma" w:cs="Tahoma"/>
                <w:b/>
                <w:i/>
                <w:iCs/>
                <w:sz w:val="20"/>
                <w:szCs w:val="20"/>
              </w:rPr>
              <w:t xml:space="preserve"> </w:t>
            </w:r>
            <w:r w:rsidRPr="00B004EE">
              <w:rPr>
                <w:rFonts w:ascii="Tahoma" w:hAnsi="Tahoma" w:cs="Tahoma"/>
                <w:b/>
                <w:i/>
                <w:iCs/>
                <w:sz w:val="20"/>
                <w:szCs w:val="20"/>
              </w:rPr>
              <w:t>profond</w:t>
            </w:r>
          </w:p>
        </w:tc>
        <w:tc>
          <w:tcPr>
            <w:tcW w:w="4787" w:type="dxa"/>
            <w:shd w:val="clear" w:color="auto" w:fill="auto"/>
          </w:tcPr>
          <w:p w14:paraId="65C85E66" w14:textId="5D5307F6" w:rsidR="008518B0" w:rsidRPr="00B004EE" w:rsidRDefault="008518B0" w:rsidP="00B004EE">
            <w:pPr>
              <w:rPr>
                <w:rFonts w:ascii="Tahoma" w:hAnsi="Tahoma" w:cs="Tahoma"/>
                <w:sz w:val="20"/>
                <w:szCs w:val="20"/>
              </w:rPr>
            </w:pP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nord</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19°19’12N,</w:t>
            </w:r>
            <w:r w:rsidR="00DB1635" w:rsidRPr="00B004EE">
              <w:rPr>
                <w:rFonts w:ascii="Tahoma" w:hAnsi="Tahoma" w:cs="Tahoma"/>
                <w:sz w:val="20"/>
                <w:szCs w:val="20"/>
              </w:rPr>
              <w:t xml:space="preserve"> </w:t>
            </w:r>
            <w:r w:rsidRPr="00B004EE">
              <w:rPr>
                <w:rFonts w:ascii="Tahoma" w:hAnsi="Tahoma" w:cs="Tahoma"/>
                <w:sz w:val="20"/>
                <w:szCs w:val="20"/>
              </w:rPr>
              <w:t>zone</w:t>
            </w:r>
            <w:r w:rsidR="00DB1635" w:rsidRPr="00B004EE">
              <w:rPr>
                <w:rFonts w:ascii="Tahoma" w:hAnsi="Tahoma" w:cs="Tahoma"/>
                <w:sz w:val="20"/>
                <w:szCs w:val="20"/>
              </w:rPr>
              <w:t xml:space="preserve"> </w:t>
            </w:r>
            <w:r w:rsidRPr="00B004EE">
              <w:rPr>
                <w:rFonts w:ascii="Tahoma" w:hAnsi="Tahoma" w:cs="Tahoma"/>
                <w:sz w:val="20"/>
                <w:szCs w:val="20"/>
              </w:rPr>
              <w:t>à</w:t>
            </w:r>
            <w:r w:rsidR="00BD7C35" w:rsidRPr="00B004EE">
              <w:rPr>
                <w:rFonts w:ascii="Tahoma" w:hAnsi="Tahoma" w:cs="Tahoma"/>
                <w:sz w:val="20"/>
                <w:szCs w:val="20"/>
              </w:rPr>
              <w:t xml:space="preserve">           </w:t>
            </w:r>
            <w:r w:rsidR="00DB1635" w:rsidRPr="00B004EE">
              <w:rPr>
                <w:rFonts w:ascii="Tahoma" w:hAnsi="Tahoma" w:cs="Tahoma"/>
                <w:sz w:val="20"/>
                <w:szCs w:val="20"/>
              </w:rPr>
              <w:t xml:space="preserve"> </w:t>
            </w:r>
            <w:r w:rsidR="00BD7C35" w:rsidRPr="00B004EE">
              <w:rPr>
                <w:rFonts w:ascii="Tahoma" w:hAnsi="Tahoma" w:cs="Tahoma"/>
                <w:b/>
                <w:bCs/>
                <w:sz w:val="20"/>
                <w:szCs w:val="20"/>
              </w:rPr>
              <w:t>Z8</w:t>
            </w:r>
            <w:r w:rsidR="00BD7C35" w:rsidRPr="00B004EE">
              <w:rPr>
                <w:rFonts w:ascii="Tahoma" w:hAnsi="Tahoma" w:cs="Tahoma"/>
                <w:sz w:val="20"/>
                <w:szCs w:val="20"/>
              </w:rPr>
              <w:t xml:space="preserve"> </w:t>
            </w:r>
            <w:r w:rsidRPr="00B004EE">
              <w:rPr>
                <w:rFonts w:ascii="Tahoma" w:hAnsi="Tahoma" w:cs="Tahoma"/>
                <w:sz w:val="20"/>
                <w:szCs w:val="20"/>
              </w:rPr>
              <w:t>l’ouest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00767386" w:rsidRPr="00B004EE">
              <w:rPr>
                <w:rFonts w:ascii="Tahoma" w:hAnsi="Tahoma" w:cs="Tahoma"/>
                <w:sz w:val="20"/>
                <w:szCs w:val="20"/>
              </w:rPr>
              <w:t>ligne</w:t>
            </w:r>
            <w:r w:rsidR="00BD7C35" w:rsidRPr="00B004EE">
              <w:rPr>
                <w:rFonts w:ascii="Tahoma" w:hAnsi="Tahoma" w:cs="Tahoma"/>
                <w:sz w:val="20"/>
                <w:szCs w:val="20"/>
              </w:rPr>
              <w:t xml:space="preserve"> </w:t>
            </w:r>
            <w:r w:rsidRPr="00B004EE">
              <w:rPr>
                <w:rFonts w:ascii="Tahoma" w:hAnsi="Tahoma" w:cs="Tahoma"/>
                <w:sz w:val="20"/>
                <w:szCs w:val="20"/>
              </w:rPr>
              <w:t>délimitée</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points</w:t>
            </w:r>
            <w:r w:rsidR="00DB1635" w:rsidRPr="00B004EE">
              <w:rPr>
                <w:rFonts w:ascii="Tahoma" w:hAnsi="Tahoma" w:cs="Tahoma"/>
                <w:sz w:val="20"/>
                <w:szCs w:val="20"/>
              </w:rPr>
              <w:t xml:space="preserve"> </w:t>
            </w:r>
            <w:r w:rsidRPr="00B004EE">
              <w:rPr>
                <w:rFonts w:ascii="Tahoma" w:hAnsi="Tahoma" w:cs="Tahoma"/>
                <w:sz w:val="20"/>
                <w:szCs w:val="20"/>
              </w:rPr>
              <w:t>suivants</w:t>
            </w:r>
            <w:r w:rsidR="00DB1635" w:rsidRPr="00B004EE">
              <w:rPr>
                <w:rFonts w:ascii="Tahoma" w:hAnsi="Tahoma" w:cs="Tahoma"/>
                <w:sz w:val="20"/>
                <w:szCs w:val="20"/>
              </w:rPr>
              <w:t xml:space="preserve"> </w:t>
            </w:r>
            <w:r w:rsidRPr="00B004EE">
              <w:rPr>
                <w:rFonts w:ascii="Tahoma" w:hAnsi="Tahoma" w:cs="Tahoma"/>
                <w:sz w:val="20"/>
                <w:szCs w:val="20"/>
              </w:rPr>
              <w:t>:</w:t>
            </w:r>
          </w:p>
          <w:p w14:paraId="52DA6165" w14:textId="6E34D84F" w:rsidR="008518B0" w:rsidRPr="00B004EE" w:rsidRDefault="008518B0" w:rsidP="00B004EE">
            <w:pPr>
              <w:rPr>
                <w:rFonts w:ascii="Tahoma" w:hAnsi="Tahoma" w:cs="Tahoma"/>
                <w:sz w:val="20"/>
                <w:szCs w:val="20"/>
                <w:lang w:val="pt-PT"/>
              </w:rPr>
            </w:pPr>
            <w:r w:rsidRPr="00B004EE">
              <w:rPr>
                <w:rFonts w:ascii="Tahoma" w:hAnsi="Tahoma" w:cs="Tahoma"/>
                <w:sz w:val="20"/>
                <w:szCs w:val="20"/>
                <w:lang w:val="pt-PT"/>
              </w:rPr>
              <w:t>A</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20°</w:t>
            </w:r>
            <w:r w:rsidR="00DB1635" w:rsidRPr="00B004EE">
              <w:rPr>
                <w:rFonts w:ascii="Tahoma" w:hAnsi="Tahoma" w:cs="Tahoma"/>
                <w:sz w:val="20"/>
                <w:szCs w:val="20"/>
                <w:lang w:val="pt-PT"/>
              </w:rPr>
              <w:t xml:space="preserve"> </w:t>
            </w:r>
            <w:r w:rsidRPr="00B004EE">
              <w:rPr>
                <w:rFonts w:ascii="Tahoma" w:hAnsi="Tahoma" w:cs="Tahoma"/>
                <w:sz w:val="20"/>
                <w:szCs w:val="20"/>
                <w:lang w:val="pt-PT"/>
              </w:rPr>
              <w:t>46.30'N</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17°</w:t>
            </w:r>
            <w:r w:rsidR="00DB1635" w:rsidRPr="00B004EE">
              <w:rPr>
                <w:rFonts w:ascii="Tahoma" w:hAnsi="Tahoma" w:cs="Tahoma"/>
                <w:sz w:val="20"/>
                <w:szCs w:val="20"/>
                <w:lang w:val="pt-PT"/>
              </w:rPr>
              <w:t xml:space="preserve"> </w:t>
            </w:r>
            <w:r w:rsidRPr="00B004EE">
              <w:rPr>
                <w:rFonts w:ascii="Tahoma" w:hAnsi="Tahoma" w:cs="Tahoma"/>
                <w:sz w:val="20"/>
                <w:szCs w:val="20"/>
                <w:lang w:val="pt-PT"/>
              </w:rPr>
              <w:t>03.00'W</w:t>
            </w:r>
          </w:p>
          <w:p w14:paraId="1ED74093" w14:textId="2514D3A4" w:rsidR="008518B0" w:rsidRPr="00B004EE" w:rsidRDefault="008518B0" w:rsidP="00B004EE">
            <w:pPr>
              <w:rPr>
                <w:rFonts w:ascii="Tahoma" w:hAnsi="Tahoma" w:cs="Tahoma"/>
                <w:sz w:val="20"/>
                <w:szCs w:val="20"/>
                <w:lang w:val="pt-PT"/>
              </w:rPr>
            </w:pPr>
            <w:r w:rsidRPr="00B004EE">
              <w:rPr>
                <w:rFonts w:ascii="Tahoma" w:hAnsi="Tahoma" w:cs="Tahoma"/>
                <w:sz w:val="20"/>
                <w:szCs w:val="20"/>
                <w:lang w:val="pt-PT"/>
              </w:rPr>
              <w:t>B</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20°</w:t>
            </w:r>
            <w:r w:rsidR="00DB1635" w:rsidRPr="00B004EE">
              <w:rPr>
                <w:rFonts w:ascii="Tahoma" w:hAnsi="Tahoma" w:cs="Tahoma"/>
                <w:sz w:val="20"/>
                <w:szCs w:val="20"/>
                <w:lang w:val="pt-PT"/>
              </w:rPr>
              <w:t xml:space="preserve"> </w:t>
            </w:r>
            <w:r w:rsidRPr="00B004EE">
              <w:rPr>
                <w:rFonts w:ascii="Tahoma" w:hAnsi="Tahoma" w:cs="Tahoma"/>
                <w:sz w:val="20"/>
                <w:szCs w:val="20"/>
                <w:lang w:val="pt-PT"/>
              </w:rPr>
              <w:t>40.00'N</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17°</w:t>
            </w:r>
            <w:r w:rsidR="00DB1635" w:rsidRPr="00B004EE">
              <w:rPr>
                <w:rFonts w:ascii="Tahoma" w:hAnsi="Tahoma" w:cs="Tahoma"/>
                <w:sz w:val="20"/>
                <w:szCs w:val="20"/>
                <w:lang w:val="pt-PT"/>
              </w:rPr>
              <w:t xml:space="preserve"> </w:t>
            </w:r>
            <w:r w:rsidRPr="00B004EE">
              <w:rPr>
                <w:rFonts w:ascii="Tahoma" w:hAnsi="Tahoma" w:cs="Tahoma"/>
                <w:sz w:val="20"/>
                <w:szCs w:val="20"/>
                <w:lang w:val="pt-PT"/>
              </w:rPr>
              <w:t>08.300'W</w:t>
            </w:r>
          </w:p>
          <w:p w14:paraId="42D51BEC" w14:textId="40D29B77" w:rsidR="008518B0" w:rsidRPr="00B004EE" w:rsidRDefault="008518B0" w:rsidP="00B004EE">
            <w:pPr>
              <w:rPr>
                <w:rFonts w:ascii="Tahoma" w:hAnsi="Tahoma" w:cs="Tahoma"/>
                <w:sz w:val="20"/>
                <w:szCs w:val="20"/>
                <w:lang w:val="pt-PT"/>
              </w:rPr>
            </w:pPr>
            <w:r w:rsidRPr="00B004EE">
              <w:rPr>
                <w:rFonts w:ascii="Tahoma" w:hAnsi="Tahoma" w:cs="Tahoma"/>
                <w:sz w:val="20"/>
                <w:szCs w:val="20"/>
                <w:lang w:val="pt-PT"/>
              </w:rPr>
              <w:t>D</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20°</w:t>
            </w:r>
            <w:r w:rsidR="00DB1635" w:rsidRPr="00B004EE">
              <w:rPr>
                <w:rFonts w:ascii="Tahoma" w:hAnsi="Tahoma" w:cs="Tahoma"/>
                <w:sz w:val="20"/>
                <w:szCs w:val="20"/>
                <w:lang w:val="pt-PT"/>
              </w:rPr>
              <w:t xml:space="preserve"> </w:t>
            </w:r>
            <w:r w:rsidRPr="00B004EE">
              <w:rPr>
                <w:rFonts w:ascii="Tahoma" w:hAnsi="Tahoma" w:cs="Tahoma"/>
                <w:sz w:val="20"/>
                <w:szCs w:val="20"/>
                <w:lang w:val="pt-PT"/>
              </w:rPr>
              <w:t>36.00'N</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17°</w:t>
            </w:r>
            <w:r w:rsidR="00DB1635" w:rsidRPr="00B004EE">
              <w:rPr>
                <w:rFonts w:ascii="Tahoma" w:hAnsi="Tahoma" w:cs="Tahoma"/>
                <w:sz w:val="20"/>
                <w:szCs w:val="20"/>
                <w:lang w:val="pt-PT"/>
              </w:rPr>
              <w:t xml:space="preserve"> </w:t>
            </w:r>
            <w:r w:rsidRPr="00B004EE">
              <w:rPr>
                <w:rFonts w:ascii="Tahoma" w:hAnsi="Tahoma" w:cs="Tahoma"/>
                <w:sz w:val="20"/>
                <w:szCs w:val="20"/>
                <w:lang w:val="pt-PT"/>
              </w:rPr>
              <w:t>11.00'W</w:t>
            </w:r>
          </w:p>
          <w:p w14:paraId="049D0262" w14:textId="6C6D3108" w:rsidR="008518B0" w:rsidRPr="00B004EE" w:rsidRDefault="008518B0" w:rsidP="00B004EE">
            <w:pPr>
              <w:rPr>
                <w:rFonts w:ascii="Tahoma" w:hAnsi="Tahoma" w:cs="Tahoma"/>
                <w:sz w:val="20"/>
                <w:szCs w:val="20"/>
                <w:lang w:val="pt-PT"/>
              </w:rPr>
            </w:pPr>
            <w:r w:rsidRPr="00B004EE">
              <w:rPr>
                <w:rFonts w:ascii="Tahoma" w:hAnsi="Tahoma" w:cs="Tahoma"/>
                <w:sz w:val="20"/>
                <w:szCs w:val="20"/>
                <w:lang w:val="pt-PT"/>
              </w:rPr>
              <w:t>E</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20°</w:t>
            </w:r>
            <w:r w:rsidR="00DB1635" w:rsidRPr="00B004EE">
              <w:rPr>
                <w:rFonts w:ascii="Tahoma" w:hAnsi="Tahoma" w:cs="Tahoma"/>
                <w:sz w:val="20"/>
                <w:szCs w:val="20"/>
                <w:lang w:val="pt-PT"/>
              </w:rPr>
              <w:t xml:space="preserve"> </w:t>
            </w:r>
            <w:r w:rsidRPr="00B004EE">
              <w:rPr>
                <w:rFonts w:ascii="Tahoma" w:hAnsi="Tahoma" w:cs="Tahoma"/>
                <w:sz w:val="20"/>
                <w:szCs w:val="20"/>
                <w:lang w:val="pt-PT"/>
              </w:rPr>
              <w:t>36.00'N</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17°</w:t>
            </w:r>
            <w:r w:rsidR="00DB1635" w:rsidRPr="00B004EE">
              <w:rPr>
                <w:rFonts w:ascii="Tahoma" w:hAnsi="Tahoma" w:cs="Tahoma"/>
                <w:sz w:val="20"/>
                <w:szCs w:val="20"/>
                <w:lang w:val="pt-PT"/>
              </w:rPr>
              <w:t xml:space="preserve"> </w:t>
            </w:r>
            <w:r w:rsidRPr="00B004EE">
              <w:rPr>
                <w:rFonts w:ascii="Tahoma" w:hAnsi="Tahoma" w:cs="Tahoma"/>
                <w:sz w:val="20"/>
                <w:szCs w:val="20"/>
                <w:lang w:val="pt-PT"/>
              </w:rPr>
              <w:t>36.00'W</w:t>
            </w:r>
          </w:p>
          <w:p w14:paraId="16710E52" w14:textId="634BC58A" w:rsidR="008518B0" w:rsidRPr="00B004EE" w:rsidRDefault="008518B0" w:rsidP="00B004EE">
            <w:pPr>
              <w:rPr>
                <w:rFonts w:ascii="Tahoma" w:hAnsi="Tahoma" w:cs="Tahoma"/>
                <w:sz w:val="20"/>
                <w:szCs w:val="20"/>
                <w:lang w:val="pt-PT"/>
              </w:rPr>
            </w:pPr>
            <w:r w:rsidRPr="00B004EE">
              <w:rPr>
                <w:rFonts w:ascii="Tahoma" w:hAnsi="Tahoma" w:cs="Tahoma"/>
                <w:sz w:val="20"/>
                <w:szCs w:val="20"/>
                <w:lang w:val="pt-PT"/>
              </w:rPr>
              <w:t>G</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20°</w:t>
            </w:r>
            <w:r w:rsidR="00DB1635" w:rsidRPr="00B004EE">
              <w:rPr>
                <w:rFonts w:ascii="Tahoma" w:hAnsi="Tahoma" w:cs="Tahoma"/>
                <w:sz w:val="20"/>
                <w:szCs w:val="20"/>
                <w:lang w:val="pt-PT"/>
              </w:rPr>
              <w:t xml:space="preserve"> </w:t>
            </w:r>
            <w:r w:rsidRPr="00B004EE">
              <w:rPr>
                <w:rFonts w:ascii="Tahoma" w:hAnsi="Tahoma" w:cs="Tahoma"/>
                <w:sz w:val="20"/>
                <w:szCs w:val="20"/>
                <w:lang w:val="pt-PT"/>
              </w:rPr>
              <w:t>03.00'N</w:t>
            </w:r>
            <w:r w:rsidRPr="00B004EE">
              <w:rPr>
                <w:rFonts w:ascii="Tahoma" w:hAnsi="Tahoma" w:cs="Tahoma"/>
                <w:sz w:val="20"/>
                <w:szCs w:val="20"/>
                <w:lang w:val="pt-PT"/>
              </w:rPr>
              <w:tab/>
            </w:r>
            <w:r w:rsidR="00DB1635" w:rsidRPr="00B004EE">
              <w:rPr>
                <w:rFonts w:ascii="Tahoma" w:hAnsi="Tahoma" w:cs="Tahoma"/>
                <w:sz w:val="20"/>
                <w:szCs w:val="20"/>
                <w:lang w:val="pt-PT"/>
              </w:rPr>
              <w:t xml:space="preserve"> </w:t>
            </w:r>
            <w:r w:rsidRPr="00B004EE">
              <w:rPr>
                <w:rFonts w:ascii="Tahoma" w:hAnsi="Tahoma" w:cs="Tahoma"/>
                <w:sz w:val="20"/>
                <w:szCs w:val="20"/>
                <w:lang w:val="pt-PT"/>
              </w:rPr>
              <w:t>17°</w:t>
            </w:r>
            <w:r w:rsidR="00DB1635" w:rsidRPr="00B004EE">
              <w:rPr>
                <w:rFonts w:ascii="Tahoma" w:hAnsi="Tahoma" w:cs="Tahoma"/>
                <w:sz w:val="20"/>
                <w:szCs w:val="20"/>
                <w:lang w:val="pt-PT"/>
              </w:rPr>
              <w:t xml:space="preserve"> </w:t>
            </w:r>
            <w:r w:rsidRPr="00B004EE">
              <w:rPr>
                <w:rFonts w:ascii="Tahoma" w:hAnsi="Tahoma" w:cs="Tahoma"/>
                <w:sz w:val="20"/>
                <w:szCs w:val="20"/>
                <w:lang w:val="pt-PT"/>
              </w:rPr>
              <w:t>36.00'W</w:t>
            </w:r>
          </w:p>
          <w:p w14:paraId="0A3F136B" w14:textId="06D4A80C" w:rsidR="008518B0" w:rsidRPr="00B004EE" w:rsidRDefault="008518B0" w:rsidP="00B004EE">
            <w:pPr>
              <w:rPr>
                <w:rFonts w:ascii="Tahoma" w:hAnsi="Tahoma" w:cs="Tahoma"/>
                <w:sz w:val="20"/>
                <w:szCs w:val="20"/>
                <w:lang w:val="en-GB"/>
              </w:rPr>
            </w:pPr>
            <w:r w:rsidRPr="00B004EE">
              <w:rPr>
                <w:rFonts w:ascii="Tahoma" w:hAnsi="Tahoma" w:cs="Tahoma"/>
                <w:sz w:val="20"/>
                <w:szCs w:val="20"/>
                <w:lang w:val="en-GB"/>
              </w:rPr>
              <w:t>I</w:t>
            </w:r>
            <w:r w:rsidRPr="00B004EE">
              <w:rPr>
                <w:rFonts w:ascii="Tahoma" w:hAnsi="Tahoma" w:cs="Tahoma"/>
                <w:sz w:val="20"/>
                <w:szCs w:val="20"/>
                <w:lang w:val="en-GB"/>
              </w:rPr>
              <w:tab/>
            </w:r>
            <w:r w:rsidR="00DB1635" w:rsidRPr="00B004EE">
              <w:rPr>
                <w:rFonts w:ascii="Tahoma" w:hAnsi="Tahoma" w:cs="Tahoma"/>
                <w:sz w:val="20"/>
                <w:szCs w:val="20"/>
                <w:lang w:val="en-GB"/>
              </w:rPr>
              <w:t xml:space="preserve"> </w:t>
            </w:r>
            <w:r w:rsidRPr="00B004EE">
              <w:rPr>
                <w:rFonts w:ascii="Tahoma" w:hAnsi="Tahoma" w:cs="Tahoma"/>
                <w:sz w:val="20"/>
                <w:szCs w:val="20"/>
                <w:lang w:val="en-GB"/>
              </w:rPr>
              <w:t>19°</w:t>
            </w:r>
            <w:r w:rsidR="00DB1635" w:rsidRPr="00B004EE">
              <w:rPr>
                <w:rFonts w:ascii="Tahoma" w:hAnsi="Tahoma" w:cs="Tahoma"/>
                <w:sz w:val="20"/>
                <w:szCs w:val="20"/>
                <w:lang w:val="en-GB"/>
              </w:rPr>
              <w:t xml:space="preserve"> </w:t>
            </w:r>
            <w:r w:rsidRPr="00B004EE">
              <w:rPr>
                <w:rFonts w:ascii="Tahoma" w:hAnsi="Tahoma" w:cs="Tahoma"/>
                <w:sz w:val="20"/>
                <w:szCs w:val="20"/>
                <w:lang w:val="en-GB"/>
              </w:rPr>
              <w:t>45.00'N</w:t>
            </w:r>
            <w:r w:rsidRPr="00B004EE">
              <w:rPr>
                <w:rFonts w:ascii="Tahoma" w:hAnsi="Tahoma" w:cs="Tahoma"/>
                <w:sz w:val="20"/>
                <w:szCs w:val="20"/>
                <w:lang w:val="en-GB"/>
              </w:rPr>
              <w:tab/>
            </w:r>
            <w:r w:rsidR="00DB1635" w:rsidRPr="00B004EE">
              <w:rPr>
                <w:rFonts w:ascii="Tahoma" w:hAnsi="Tahoma" w:cs="Tahoma"/>
                <w:sz w:val="20"/>
                <w:szCs w:val="20"/>
                <w:lang w:val="en-GB"/>
              </w:rPr>
              <w:t xml:space="preserve"> </w:t>
            </w:r>
            <w:r w:rsidRPr="00B004EE">
              <w:rPr>
                <w:rFonts w:ascii="Tahoma" w:hAnsi="Tahoma" w:cs="Tahoma"/>
                <w:sz w:val="20"/>
                <w:szCs w:val="20"/>
                <w:lang w:val="en-GB"/>
              </w:rPr>
              <w:t>17°</w:t>
            </w:r>
            <w:r w:rsidR="00DB1635" w:rsidRPr="00B004EE">
              <w:rPr>
                <w:rFonts w:ascii="Tahoma" w:hAnsi="Tahoma" w:cs="Tahoma"/>
                <w:sz w:val="20"/>
                <w:szCs w:val="20"/>
                <w:lang w:val="en-GB"/>
              </w:rPr>
              <w:t xml:space="preserve"> </w:t>
            </w:r>
            <w:r w:rsidRPr="00B004EE">
              <w:rPr>
                <w:rFonts w:ascii="Tahoma" w:hAnsi="Tahoma" w:cs="Tahoma"/>
                <w:sz w:val="20"/>
                <w:szCs w:val="20"/>
                <w:lang w:val="en-GB"/>
              </w:rPr>
              <w:t>00.00'W</w:t>
            </w:r>
          </w:p>
          <w:p w14:paraId="30D8A91E" w14:textId="23836511" w:rsidR="008518B0" w:rsidRPr="00B004EE" w:rsidRDefault="008518B0" w:rsidP="00B004EE">
            <w:pPr>
              <w:rPr>
                <w:rFonts w:ascii="Tahoma" w:hAnsi="Tahoma" w:cs="Tahoma"/>
                <w:sz w:val="20"/>
                <w:szCs w:val="20"/>
              </w:rPr>
            </w:pPr>
            <w:r w:rsidRPr="00B004EE">
              <w:rPr>
                <w:rFonts w:ascii="Tahoma" w:hAnsi="Tahoma" w:cs="Tahoma"/>
                <w:sz w:val="20"/>
                <w:szCs w:val="20"/>
              </w:rPr>
              <w:t>P</w:t>
            </w:r>
            <w:r w:rsidRPr="00B004EE">
              <w:rPr>
                <w:rFonts w:ascii="Tahoma" w:hAnsi="Tahoma" w:cs="Tahoma"/>
                <w:sz w:val="20"/>
                <w:szCs w:val="20"/>
              </w:rPr>
              <w:tab/>
            </w:r>
            <w:r w:rsidR="00DB1635" w:rsidRPr="00B004EE">
              <w:rPr>
                <w:rFonts w:ascii="Tahoma" w:hAnsi="Tahoma" w:cs="Tahoma"/>
                <w:sz w:val="20"/>
                <w:szCs w:val="20"/>
              </w:rPr>
              <w:t xml:space="preserve"> </w:t>
            </w:r>
            <w:r w:rsidRPr="00B004EE">
              <w:rPr>
                <w:rFonts w:ascii="Tahoma" w:hAnsi="Tahoma" w:cs="Tahoma"/>
                <w:sz w:val="20"/>
                <w:szCs w:val="20"/>
              </w:rPr>
              <w:t>19°</w:t>
            </w:r>
            <w:r w:rsidR="00DB1635" w:rsidRPr="00B004EE">
              <w:rPr>
                <w:rFonts w:ascii="Tahoma" w:hAnsi="Tahoma" w:cs="Tahoma"/>
                <w:sz w:val="20"/>
                <w:szCs w:val="20"/>
              </w:rPr>
              <w:t xml:space="preserve"> </w:t>
            </w:r>
            <w:r w:rsidRPr="00B004EE">
              <w:rPr>
                <w:rFonts w:ascii="Tahoma" w:hAnsi="Tahoma" w:cs="Tahoma"/>
                <w:sz w:val="20"/>
                <w:szCs w:val="20"/>
              </w:rPr>
              <w:t>19.12'N</w:t>
            </w:r>
            <w:r w:rsidRPr="00B004EE">
              <w:rPr>
                <w:rFonts w:ascii="Tahoma" w:hAnsi="Tahoma" w:cs="Tahoma"/>
                <w:sz w:val="20"/>
                <w:szCs w:val="20"/>
              </w:rPr>
              <w:tab/>
            </w:r>
            <w:r w:rsidR="00DB1635" w:rsidRPr="00B004EE">
              <w:rPr>
                <w:rFonts w:ascii="Tahoma" w:hAnsi="Tahoma" w:cs="Tahoma"/>
                <w:sz w:val="20"/>
                <w:szCs w:val="20"/>
              </w:rPr>
              <w:t xml:space="preserve"> </w:t>
            </w:r>
            <w:r w:rsidRPr="00B004EE">
              <w:rPr>
                <w:rFonts w:ascii="Tahoma" w:hAnsi="Tahoma" w:cs="Tahoma"/>
                <w:sz w:val="20"/>
                <w:szCs w:val="20"/>
              </w:rPr>
              <w:t>16°</w:t>
            </w:r>
            <w:r w:rsidR="00DB1635" w:rsidRPr="00B004EE">
              <w:rPr>
                <w:rFonts w:ascii="Tahoma" w:hAnsi="Tahoma" w:cs="Tahoma"/>
                <w:sz w:val="20"/>
                <w:szCs w:val="20"/>
              </w:rPr>
              <w:t xml:space="preserve"> </w:t>
            </w:r>
            <w:r w:rsidRPr="00B004EE">
              <w:rPr>
                <w:rFonts w:ascii="Tahoma" w:hAnsi="Tahoma" w:cs="Tahoma"/>
                <w:sz w:val="20"/>
                <w:szCs w:val="20"/>
              </w:rPr>
              <w:t>50.50'W</w:t>
            </w:r>
          </w:p>
          <w:p w14:paraId="02DCB50D" w14:textId="77777777" w:rsidR="008518B0" w:rsidRPr="00B004EE" w:rsidRDefault="008518B0" w:rsidP="00B004EE">
            <w:pPr>
              <w:rPr>
                <w:rFonts w:ascii="Tahoma" w:hAnsi="Tahoma" w:cs="Tahoma"/>
                <w:sz w:val="20"/>
                <w:szCs w:val="20"/>
              </w:rPr>
            </w:pPr>
          </w:p>
          <w:p w14:paraId="681A5C55" w14:textId="63F984F5" w:rsidR="008518B0" w:rsidRPr="00B004EE" w:rsidRDefault="008518B0" w:rsidP="00B004EE">
            <w:pPr>
              <w:rPr>
                <w:rFonts w:ascii="Tahoma" w:hAnsi="Tahoma" w:cs="Tahoma"/>
                <w:sz w:val="20"/>
                <w:szCs w:val="20"/>
              </w:rPr>
            </w:pP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sud</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19°19’12N</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jusqu’au</w:t>
            </w:r>
            <w:r w:rsidR="00DB1635" w:rsidRPr="00B004EE">
              <w:rPr>
                <w:rFonts w:ascii="Tahoma" w:hAnsi="Tahoma" w:cs="Tahoma"/>
                <w:sz w:val="20"/>
                <w:szCs w:val="20"/>
              </w:rPr>
              <w:t xml:space="preserve"> </w:t>
            </w:r>
            <w:r w:rsidRPr="00B004EE">
              <w:rPr>
                <w:rFonts w:ascii="Tahoma" w:hAnsi="Tahoma" w:cs="Tahoma"/>
                <w:sz w:val="20"/>
                <w:szCs w:val="20"/>
              </w:rPr>
              <w:t>17°50.00’N,</w:t>
            </w:r>
            <w:r w:rsidR="00DB1635" w:rsidRPr="00B004EE">
              <w:rPr>
                <w:rFonts w:ascii="Tahoma" w:hAnsi="Tahoma" w:cs="Tahoma"/>
                <w:sz w:val="20"/>
                <w:szCs w:val="20"/>
              </w:rPr>
              <w:t xml:space="preserve"> </w:t>
            </w:r>
            <w:r w:rsidRPr="00B004EE">
              <w:rPr>
                <w:rFonts w:ascii="Tahoma" w:hAnsi="Tahoma" w:cs="Tahoma"/>
                <w:sz w:val="20"/>
                <w:szCs w:val="20"/>
              </w:rPr>
              <w:t>zone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l’ouest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18</w:t>
            </w:r>
            <w:r w:rsidR="00DB1635" w:rsidRPr="00B004EE">
              <w:rPr>
                <w:rFonts w:ascii="Tahoma" w:hAnsi="Tahoma" w:cs="Tahoma"/>
                <w:sz w:val="20"/>
                <w:szCs w:val="20"/>
              </w:rPr>
              <w:t xml:space="preserve"> </w:t>
            </w:r>
            <w:r w:rsidRPr="00B004EE">
              <w:rPr>
                <w:rFonts w:ascii="Tahoma" w:hAnsi="Tahoma" w:cs="Tahoma"/>
                <w:sz w:val="20"/>
                <w:szCs w:val="20"/>
              </w:rPr>
              <w:t>miles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distance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ligne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base</w:t>
            </w:r>
          </w:p>
          <w:p w14:paraId="565513F4" w14:textId="294E2FF8" w:rsidR="008518B0" w:rsidRPr="00B004EE" w:rsidRDefault="008518B0" w:rsidP="00B004EE">
            <w:pPr>
              <w:rPr>
                <w:rFonts w:ascii="Tahoma" w:hAnsi="Tahoma" w:cs="Tahoma"/>
                <w:sz w:val="20"/>
                <w:szCs w:val="20"/>
              </w:rPr>
            </w:pP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sud</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17°50.00’N,</w:t>
            </w:r>
            <w:r w:rsidR="00DB1635" w:rsidRPr="00B004EE">
              <w:rPr>
                <w:rFonts w:ascii="Tahoma" w:hAnsi="Tahoma" w:cs="Tahoma"/>
                <w:sz w:val="20"/>
                <w:szCs w:val="20"/>
              </w:rPr>
              <w:t xml:space="preserve"> </w:t>
            </w:r>
            <w:r w:rsidRPr="00B004EE">
              <w:rPr>
                <w:rFonts w:ascii="Tahoma" w:hAnsi="Tahoma" w:cs="Tahoma"/>
                <w:sz w:val="20"/>
                <w:szCs w:val="20"/>
              </w:rPr>
              <w:t>zone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l’ouest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12</w:t>
            </w:r>
            <w:r w:rsidR="00DB1635" w:rsidRPr="00B004EE">
              <w:rPr>
                <w:rFonts w:ascii="Tahoma" w:hAnsi="Tahoma" w:cs="Tahoma"/>
                <w:sz w:val="20"/>
                <w:szCs w:val="20"/>
              </w:rPr>
              <w:t xml:space="preserve"> </w:t>
            </w:r>
            <w:r w:rsidRPr="00B004EE">
              <w:rPr>
                <w:rFonts w:ascii="Tahoma" w:hAnsi="Tahoma" w:cs="Tahoma"/>
                <w:sz w:val="20"/>
                <w:szCs w:val="20"/>
              </w:rPr>
              <w:t>miles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distance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ligne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base.</w:t>
            </w:r>
          </w:p>
        </w:tc>
      </w:tr>
    </w:tbl>
    <w:p w14:paraId="1793227F" w14:textId="77777777" w:rsidR="008518B0" w:rsidRPr="00B004EE" w:rsidRDefault="008518B0" w:rsidP="00B004EE">
      <w:pPr>
        <w:tabs>
          <w:tab w:val="left" w:pos="375"/>
          <w:tab w:val="center" w:pos="1575"/>
        </w:tabs>
        <w:rPr>
          <w:rFonts w:ascii="Tahoma" w:hAnsi="Tahoma" w:cs="Tahoma"/>
          <w:sz w:val="20"/>
          <w:szCs w:val="20"/>
        </w:rPr>
      </w:pPr>
    </w:p>
    <w:p w14:paraId="2C4890E2" w14:textId="77777777" w:rsidR="00D91507" w:rsidRPr="00B004EE" w:rsidRDefault="00D91507" w:rsidP="00B004EE">
      <w:pPr>
        <w:ind w:left="3402"/>
        <w:jc w:val="both"/>
        <w:rPr>
          <w:rFonts w:ascii="Tahoma" w:hAnsi="Tahoma" w:cs="Tahoma"/>
          <w:b/>
          <w:sz w:val="20"/>
          <w:szCs w:val="20"/>
        </w:rPr>
        <w:sectPr w:rsidR="00D91507" w:rsidRPr="00B004EE" w:rsidSect="00983185">
          <w:pgSz w:w="12240" w:h="15840"/>
          <w:pgMar w:top="1417" w:right="1417" w:bottom="1417" w:left="1417" w:header="720" w:footer="720" w:gutter="0"/>
          <w:cols w:space="720"/>
          <w:noEndnote/>
          <w:docGrid w:linePitch="326"/>
        </w:sectPr>
      </w:pPr>
      <w:bookmarkStart w:id="168" w:name="_Toc16288668"/>
      <w:bookmarkStart w:id="169" w:name="_Toc17022010"/>
    </w:p>
    <w:p w14:paraId="48281714" w14:textId="77777777" w:rsidR="007E69F0" w:rsidRPr="00B004EE" w:rsidRDefault="007E69F0" w:rsidP="00B004EE">
      <w:pPr>
        <w:rPr>
          <w:sz w:val="20"/>
          <w:szCs w:val="20"/>
        </w:rPr>
      </w:pPr>
    </w:p>
    <w:p w14:paraId="124454C5" w14:textId="77777777" w:rsidR="007E69F0" w:rsidRPr="00B004EE" w:rsidRDefault="007E69F0" w:rsidP="00B004EE">
      <w:pPr>
        <w:rPr>
          <w:sz w:val="20"/>
          <w:szCs w:val="20"/>
        </w:rPr>
      </w:pPr>
    </w:p>
    <w:p w14:paraId="6274C210" w14:textId="77777777" w:rsidR="007E69F0" w:rsidRPr="00B004EE" w:rsidRDefault="007E69F0" w:rsidP="00B004EE">
      <w:pPr>
        <w:rPr>
          <w:sz w:val="20"/>
          <w:szCs w:val="20"/>
        </w:rPr>
      </w:pPr>
    </w:p>
    <w:p w14:paraId="3445B801" w14:textId="77777777" w:rsidR="007E69F0" w:rsidRPr="00B004EE" w:rsidRDefault="007E69F0" w:rsidP="00B004EE">
      <w:pPr>
        <w:rPr>
          <w:sz w:val="20"/>
          <w:szCs w:val="20"/>
        </w:rPr>
      </w:pPr>
    </w:p>
    <w:p w14:paraId="71B0D02F" w14:textId="6E9B6E5C" w:rsidR="007E69F0" w:rsidRPr="00B004EE" w:rsidRDefault="007E69F0" w:rsidP="00B004EE">
      <w:pPr>
        <w:rPr>
          <w:sz w:val="20"/>
          <w:szCs w:val="20"/>
        </w:rPr>
      </w:pPr>
    </w:p>
    <w:p w14:paraId="5BE5A3F9" w14:textId="5D338A88" w:rsidR="003A0723" w:rsidRPr="00B004EE" w:rsidRDefault="003A0723" w:rsidP="00B004EE">
      <w:pPr>
        <w:rPr>
          <w:sz w:val="20"/>
          <w:szCs w:val="20"/>
        </w:rPr>
      </w:pPr>
    </w:p>
    <w:p w14:paraId="1D565FA5" w14:textId="5FFE9259" w:rsidR="003A0723" w:rsidRPr="00B004EE" w:rsidRDefault="003A0723" w:rsidP="00B004EE">
      <w:pPr>
        <w:rPr>
          <w:sz w:val="20"/>
          <w:szCs w:val="20"/>
        </w:rPr>
      </w:pPr>
    </w:p>
    <w:p w14:paraId="444147BC" w14:textId="7EAB3D24" w:rsidR="003A0723" w:rsidRPr="00B004EE" w:rsidRDefault="003A0723" w:rsidP="00B004EE">
      <w:pPr>
        <w:rPr>
          <w:sz w:val="20"/>
          <w:szCs w:val="20"/>
        </w:rPr>
      </w:pPr>
    </w:p>
    <w:p w14:paraId="0A557F73" w14:textId="4F6C27B7" w:rsidR="003A0723" w:rsidRPr="00B004EE" w:rsidRDefault="003A0723" w:rsidP="00B004EE">
      <w:pPr>
        <w:rPr>
          <w:sz w:val="20"/>
          <w:szCs w:val="20"/>
        </w:rPr>
      </w:pPr>
    </w:p>
    <w:p w14:paraId="033C6C87" w14:textId="0CA952CD" w:rsidR="003A0723" w:rsidRPr="00B004EE" w:rsidRDefault="003A0723" w:rsidP="00B004EE">
      <w:pPr>
        <w:rPr>
          <w:sz w:val="20"/>
          <w:szCs w:val="20"/>
        </w:rPr>
      </w:pPr>
    </w:p>
    <w:p w14:paraId="56DA3366" w14:textId="4E1DEFB1" w:rsidR="003A0723" w:rsidRPr="00B004EE" w:rsidRDefault="003A0723" w:rsidP="00B004EE">
      <w:pPr>
        <w:rPr>
          <w:sz w:val="20"/>
          <w:szCs w:val="20"/>
        </w:rPr>
      </w:pPr>
    </w:p>
    <w:p w14:paraId="6D8128A6" w14:textId="6F498264" w:rsidR="003A0723" w:rsidRPr="00B004EE" w:rsidRDefault="003A0723" w:rsidP="00B004EE">
      <w:pPr>
        <w:rPr>
          <w:sz w:val="20"/>
          <w:szCs w:val="20"/>
        </w:rPr>
      </w:pPr>
    </w:p>
    <w:p w14:paraId="721C26A5" w14:textId="77777777" w:rsidR="003A0723" w:rsidRPr="00B004EE" w:rsidRDefault="003A0723" w:rsidP="00B004EE">
      <w:pPr>
        <w:rPr>
          <w:sz w:val="20"/>
          <w:szCs w:val="20"/>
        </w:rPr>
      </w:pPr>
    </w:p>
    <w:p w14:paraId="0DEC81BC" w14:textId="372350CB" w:rsidR="003A0723" w:rsidRPr="00B004EE" w:rsidRDefault="003A0723" w:rsidP="00B004EE">
      <w:pPr>
        <w:rPr>
          <w:sz w:val="20"/>
          <w:szCs w:val="20"/>
        </w:rPr>
      </w:pPr>
    </w:p>
    <w:p w14:paraId="60DF3CDB" w14:textId="7083DB56" w:rsidR="003A0723" w:rsidRPr="00B004EE" w:rsidRDefault="003A0723" w:rsidP="00B004EE">
      <w:pPr>
        <w:rPr>
          <w:sz w:val="20"/>
          <w:szCs w:val="20"/>
        </w:rPr>
      </w:pPr>
    </w:p>
    <w:p w14:paraId="0D8254B4" w14:textId="77777777" w:rsidR="003A0723" w:rsidRPr="00B004EE" w:rsidRDefault="003A0723" w:rsidP="00B004EE">
      <w:pPr>
        <w:rPr>
          <w:sz w:val="20"/>
          <w:szCs w:val="20"/>
        </w:rPr>
      </w:pPr>
    </w:p>
    <w:p w14:paraId="272F8267" w14:textId="77777777" w:rsidR="007E69F0" w:rsidRPr="00B004EE" w:rsidRDefault="007E69F0" w:rsidP="00B004EE">
      <w:pPr>
        <w:rPr>
          <w:sz w:val="20"/>
          <w:szCs w:val="20"/>
        </w:rPr>
      </w:pPr>
    </w:p>
    <w:p w14:paraId="64AA6F79" w14:textId="38AEFFF1" w:rsidR="007E69F0" w:rsidRPr="00C323AB" w:rsidRDefault="009D3E1E" w:rsidP="00B004EE">
      <w:pPr>
        <w:jc w:val="center"/>
        <w:rPr>
          <w:b/>
          <w:bCs/>
          <w:color w:val="538135" w:themeColor="accent6" w:themeShade="BF"/>
          <w:sz w:val="92"/>
          <w:szCs w:val="92"/>
        </w:rPr>
      </w:pPr>
      <w:r w:rsidRPr="00C323AB">
        <w:rPr>
          <w:b/>
          <w:bCs/>
          <w:color w:val="538135" w:themeColor="accent6" w:themeShade="BF"/>
          <w:sz w:val="92"/>
          <w:szCs w:val="92"/>
        </w:rPr>
        <w:t>TROISIEME PARTIE</w:t>
      </w:r>
    </w:p>
    <w:p w14:paraId="56661E28" w14:textId="6891F7D8" w:rsidR="007E69F0" w:rsidRPr="00C323AB" w:rsidRDefault="007E69F0" w:rsidP="00C323AB">
      <w:pPr>
        <w:pStyle w:val="Lgende"/>
        <w:shd w:val="clear" w:color="auto" w:fill="A8D08D" w:themeFill="accent6" w:themeFillTint="99"/>
        <w:jc w:val="center"/>
        <w:outlineLvl w:val="0"/>
        <w:rPr>
          <w:rFonts w:ascii="Lucida Calligraphy" w:hAnsi="Lucida Calligraphy" w:cs="Tahoma"/>
          <w:i/>
          <w:iCs/>
          <w:color w:val="FFFFFF" w:themeColor="background1"/>
          <w:sz w:val="160"/>
          <w:szCs w:val="160"/>
        </w:rPr>
      </w:pPr>
      <w:bookmarkStart w:id="170" w:name="_Toc202214682"/>
      <w:r w:rsidRPr="00C323AB">
        <w:rPr>
          <w:rFonts w:ascii="Lucida Calligraphy" w:hAnsi="Lucida Calligraphy" w:cs="Tahoma"/>
          <w:i/>
          <w:iCs/>
          <w:color w:val="FFFFFF" w:themeColor="background1"/>
          <w:sz w:val="160"/>
          <w:szCs w:val="160"/>
        </w:rPr>
        <w:t>Les arrêt</w:t>
      </w:r>
      <w:r w:rsidR="00150C90" w:rsidRPr="00C323AB">
        <w:rPr>
          <w:rFonts w:ascii="Lucida Calligraphy" w:hAnsi="Lucida Calligraphy" w:cs="Tahoma"/>
          <w:i/>
          <w:iCs/>
          <w:color w:val="FFFFFF" w:themeColor="background1"/>
          <w:sz w:val="160"/>
          <w:szCs w:val="160"/>
        </w:rPr>
        <w:t>é</w:t>
      </w:r>
      <w:r w:rsidRPr="00C323AB">
        <w:rPr>
          <w:rFonts w:ascii="Lucida Calligraphy" w:hAnsi="Lucida Calligraphy" w:cs="Tahoma"/>
          <w:i/>
          <w:iCs/>
          <w:color w:val="FFFFFF" w:themeColor="background1"/>
          <w:sz w:val="160"/>
          <w:szCs w:val="160"/>
        </w:rPr>
        <w:t>s</w:t>
      </w:r>
      <w:bookmarkEnd w:id="170"/>
    </w:p>
    <w:p w14:paraId="269FBA8D" w14:textId="77777777" w:rsidR="007E69F0" w:rsidRPr="00C323AB" w:rsidRDefault="007E69F0" w:rsidP="00B004EE">
      <w:pPr>
        <w:rPr>
          <w:color w:val="000000" w:themeColor="text1"/>
          <w:sz w:val="20"/>
          <w:szCs w:val="20"/>
        </w:rPr>
      </w:pPr>
    </w:p>
    <w:p w14:paraId="58C47AC7" w14:textId="063FA2BB" w:rsidR="007E69F0" w:rsidRPr="00B004EE" w:rsidRDefault="007E69F0" w:rsidP="00B004EE">
      <w:pPr>
        <w:rPr>
          <w:sz w:val="20"/>
          <w:szCs w:val="20"/>
        </w:rPr>
      </w:pPr>
      <w:r w:rsidRPr="00B004EE">
        <w:rPr>
          <w:sz w:val="20"/>
          <w:szCs w:val="20"/>
        </w:rPr>
        <w:br w:type="page"/>
      </w:r>
    </w:p>
    <w:p w14:paraId="42EABE5E" w14:textId="1C7529A0" w:rsidR="002F24E1" w:rsidRPr="002D26AE" w:rsidRDefault="002F24E1" w:rsidP="002D26AE">
      <w:pPr>
        <w:pStyle w:val="Titre1"/>
        <w:pBdr>
          <w:top w:val="thinThickMediumGap" w:sz="24" w:space="1" w:color="70AD47" w:themeColor="accent6"/>
          <w:left w:val="thinThickMediumGap" w:sz="24" w:space="4" w:color="70AD47" w:themeColor="accent6"/>
          <w:bottom w:val="thickThinMediumGap" w:sz="24" w:space="1" w:color="70AD47" w:themeColor="accent6"/>
          <w:right w:val="thickThinMediumGap" w:sz="24" w:space="4" w:color="70AD47" w:themeColor="accent6"/>
        </w:pBdr>
        <w:spacing w:line="276" w:lineRule="auto"/>
        <w:rPr>
          <w:rFonts w:ascii="Tahoma" w:hAnsi="Tahoma" w:cs="Tahoma"/>
          <w:szCs w:val="22"/>
        </w:rPr>
      </w:pPr>
      <w:bookmarkStart w:id="171" w:name="_Toc202214683"/>
      <w:r w:rsidRPr="002D26AE">
        <w:rPr>
          <w:rFonts w:ascii="Tahoma" w:hAnsi="Tahoma" w:cs="Tahoma"/>
          <w:szCs w:val="22"/>
        </w:rPr>
        <w:lastRenderedPageBreak/>
        <w:t>Arrêt</w:t>
      </w:r>
      <w:r w:rsidR="00150C90" w:rsidRPr="002D26AE">
        <w:rPr>
          <w:rFonts w:ascii="Tahoma" w:hAnsi="Tahoma" w:cs="Tahoma"/>
          <w:szCs w:val="22"/>
        </w:rPr>
        <w:t>é</w:t>
      </w:r>
      <w:r w:rsidR="00DB1635" w:rsidRPr="002D26AE">
        <w:rPr>
          <w:rFonts w:ascii="Tahoma" w:hAnsi="Tahoma" w:cs="Tahoma"/>
          <w:szCs w:val="22"/>
        </w:rPr>
        <w:t xml:space="preserve"> </w:t>
      </w:r>
      <w:r w:rsidRPr="002D26AE">
        <w:rPr>
          <w:rFonts w:ascii="Tahoma" w:hAnsi="Tahoma" w:cs="Tahoma"/>
          <w:szCs w:val="22"/>
        </w:rPr>
        <w:t>n°</w:t>
      </w:r>
      <w:r w:rsidR="00DB1635" w:rsidRPr="002D26AE">
        <w:rPr>
          <w:rFonts w:ascii="Tahoma" w:hAnsi="Tahoma" w:cs="Tahoma"/>
          <w:szCs w:val="22"/>
        </w:rPr>
        <w:t xml:space="preserve"> </w:t>
      </w:r>
      <w:r w:rsidR="00765078" w:rsidRPr="002D26AE">
        <w:rPr>
          <w:rFonts w:ascii="Tahoma" w:hAnsi="Tahoma" w:cs="Tahoma"/>
          <w:szCs w:val="22"/>
        </w:rPr>
        <w:t>R</w:t>
      </w:r>
      <w:r w:rsidR="00DB1635" w:rsidRPr="002D26AE">
        <w:rPr>
          <w:rFonts w:ascii="Tahoma" w:hAnsi="Tahoma" w:cs="Tahoma"/>
          <w:szCs w:val="22"/>
        </w:rPr>
        <w:t xml:space="preserve"> </w:t>
      </w:r>
      <w:r w:rsidRPr="002D26AE">
        <w:rPr>
          <w:rFonts w:ascii="Tahoma" w:hAnsi="Tahoma" w:cs="Tahoma"/>
          <w:szCs w:val="22"/>
        </w:rPr>
        <w:t>0212</w:t>
      </w:r>
      <w:r w:rsidR="00DB1635" w:rsidRPr="002D26AE">
        <w:rPr>
          <w:rFonts w:ascii="Tahoma" w:hAnsi="Tahoma" w:cs="Tahoma"/>
          <w:szCs w:val="22"/>
        </w:rPr>
        <w:t xml:space="preserve"> </w:t>
      </w:r>
      <w:r w:rsidR="00656988" w:rsidRPr="002D26AE">
        <w:rPr>
          <w:rFonts w:ascii="Tahoma" w:hAnsi="Tahoma" w:cs="Tahoma"/>
          <w:szCs w:val="22"/>
        </w:rPr>
        <w:t>du</w:t>
      </w:r>
      <w:r w:rsidR="00DB1635" w:rsidRPr="002D26AE">
        <w:rPr>
          <w:rFonts w:ascii="Tahoma" w:hAnsi="Tahoma" w:cs="Tahoma"/>
          <w:szCs w:val="22"/>
        </w:rPr>
        <w:t xml:space="preserve"> </w:t>
      </w:r>
      <w:r w:rsidR="00656988" w:rsidRPr="002D26AE">
        <w:rPr>
          <w:rFonts w:ascii="Tahoma" w:hAnsi="Tahoma" w:cs="Tahoma"/>
          <w:szCs w:val="22"/>
        </w:rPr>
        <w:t>09</w:t>
      </w:r>
      <w:r w:rsidR="00DB1635" w:rsidRPr="002D26AE">
        <w:rPr>
          <w:rFonts w:ascii="Tahoma" w:hAnsi="Tahoma" w:cs="Tahoma"/>
          <w:szCs w:val="22"/>
        </w:rPr>
        <w:t xml:space="preserve"> </w:t>
      </w:r>
      <w:r w:rsidR="00656988" w:rsidRPr="002D26AE">
        <w:rPr>
          <w:rFonts w:ascii="Tahoma" w:hAnsi="Tahoma" w:cs="Tahoma"/>
          <w:szCs w:val="22"/>
        </w:rPr>
        <w:t>juin</w:t>
      </w:r>
      <w:r w:rsidR="00DB1635" w:rsidRPr="002D26AE">
        <w:rPr>
          <w:rFonts w:ascii="Tahoma" w:hAnsi="Tahoma" w:cs="Tahoma"/>
          <w:szCs w:val="22"/>
        </w:rPr>
        <w:t xml:space="preserve"> </w:t>
      </w:r>
      <w:r w:rsidR="00656988" w:rsidRPr="002D26AE">
        <w:rPr>
          <w:rFonts w:ascii="Tahoma" w:hAnsi="Tahoma" w:cs="Tahoma"/>
          <w:szCs w:val="22"/>
        </w:rPr>
        <w:t>1996</w:t>
      </w:r>
      <w:r w:rsidR="00DB1635" w:rsidRPr="002D26AE">
        <w:rPr>
          <w:rFonts w:ascii="Tahoma" w:hAnsi="Tahoma" w:cs="Tahoma"/>
          <w:szCs w:val="22"/>
        </w:rPr>
        <w:t xml:space="preserve"> </w:t>
      </w:r>
      <w:r w:rsidRPr="002D26AE">
        <w:rPr>
          <w:rFonts w:ascii="Tahoma" w:hAnsi="Tahoma" w:cs="Tahoma"/>
          <w:szCs w:val="22"/>
        </w:rPr>
        <w:t>relatif</w:t>
      </w:r>
      <w:r w:rsidR="00DB1635" w:rsidRPr="002D26AE">
        <w:rPr>
          <w:rFonts w:ascii="Tahoma" w:hAnsi="Tahoma" w:cs="Tahoma"/>
          <w:szCs w:val="22"/>
        </w:rPr>
        <w:t xml:space="preserve"> </w:t>
      </w:r>
      <w:r w:rsidRPr="002D26AE">
        <w:rPr>
          <w:rFonts w:ascii="Tahoma" w:hAnsi="Tahoma" w:cs="Tahoma"/>
          <w:szCs w:val="22"/>
        </w:rPr>
        <w:t>aux</w:t>
      </w:r>
      <w:r w:rsidR="00DB1635" w:rsidRPr="002D26AE">
        <w:rPr>
          <w:rFonts w:ascii="Tahoma" w:hAnsi="Tahoma" w:cs="Tahoma"/>
          <w:szCs w:val="22"/>
        </w:rPr>
        <w:t xml:space="preserve"> </w:t>
      </w:r>
      <w:r w:rsidRPr="002D26AE">
        <w:rPr>
          <w:rFonts w:ascii="Tahoma" w:hAnsi="Tahoma" w:cs="Tahoma"/>
          <w:szCs w:val="22"/>
        </w:rPr>
        <w:t>conditions</w:t>
      </w:r>
      <w:r w:rsidR="00DB1635" w:rsidRPr="002D26AE">
        <w:rPr>
          <w:rFonts w:ascii="Tahoma" w:hAnsi="Tahoma" w:cs="Tahoma"/>
          <w:szCs w:val="22"/>
        </w:rPr>
        <w:t xml:space="preserve"> </w:t>
      </w:r>
      <w:r w:rsidRPr="002D26AE">
        <w:rPr>
          <w:rFonts w:ascii="Tahoma" w:hAnsi="Tahoma" w:cs="Tahoma"/>
          <w:szCs w:val="22"/>
        </w:rPr>
        <w:t>d'hygiène</w:t>
      </w:r>
      <w:r w:rsidR="00DB1635" w:rsidRPr="002D26AE">
        <w:rPr>
          <w:rFonts w:ascii="Tahoma" w:hAnsi="Tahoma" w:cs="Tahoma"/>
          <w:szCs w:val="22"/>
        </w:rPr>
        <w:t xml:space="preserve"> </w:t>
      </w:r>
      <w:r w:rsidRPr="002D26AE">
        <w:rPr>
          <w:rFonts w:ascii="Tahoma" w:hAnsi="Tahoma" w:cs="Tahoma"/>
          <w:szCs w:val="22"/>
        </w:rPr>
        <w:t>et</w:t>
      </w:r>
      <w:r w:rsidR="00DB1635" w:rsidRPr="002D26AE">
        <w:rPr>
          <w:rFonts w:ascii="Tahoma" w:hAnsi="Tahoma" w:cs="Tahoma"/>
          <w:szCs w:val="22"/>
        </w:rPr>
        <w:t xml:space="preserve"> </w:t>
      </w:r>
      <w:r w:rsidRPr="002D26AE">
        <w:rPr>
          <w:rFonts w:ascii="Tahoma" w:hAnsi="Tahoma" w:cs="Tahoma"/>
          <w:szCs w:val="22"/>
        </w:rPr>
        <w:t>de</w:t>
      </w:r>
      <w:r w:rsidR="00DB1635" w:rsidRPr="002D26AE">
        <w:rPr>
          <w:rFonts w:ascii="Tahoma" w:hAnsi="Tahoma" w:cs="Tahoma"/>
          <w:szCs w:val="22"/>
        </w:rPr>
        <w:t xml:space="preserve"> </w:t>
      </w:r>
      <w:r w:rsidRPr="002D26AE">
        <w:rPr>
          <w:rFonts w:ascii="Tahoma" w:hAnsi="Tahoma" w:cs="Tahoma"/>
          <w:szCs w:val="22"/>
        </w:rPr>
        <w:t>salubrité</w:t>
      </w:r>
      <w:r w:rsidR="00DB1635" w:rsidRPr="002D26AE">
        <w:rPr>
          <w:rFonts w:ascii="Tahoma" w:hAnsi="Tahoma" w:cs="Tahoma"/>
          <w:szCs w:val="22"/>
        </w:rPr>
        <w:t xml:space="preserve"> </w:t>
      </w:r>
      <w:r w:rsidRPr="002D26AE">
        <w:rPr>
          <w:rFonts w:ascii="Tahoma" w:hAnsi="Tahoma" w:cs="Tahoma"/>
          <w:szCs w:val="22"/>
        </w:rPr>
        <w:t>applicables</w:t>
      </w:r>
      <w:r w:rsidR="00DB1635" w:rsidRPr="002D26AE">
        <w:rPr>
          <w:rFonts w:ascii="Tahoma" w:hAnsi="Tahoma" w:cs="Tahoma"/>
          <w:szCs w:val="22"/>
        </w:rPr>
        <w:t xml:space="preserve"> </w:t>
      </w:r>
      <w:r w:rsidRPr="002D26AE">
        <w:rPr>
          <w:rFonts w:ascii="Tahoma" w:hAnsi="Tahoma" w:cs="Tahoma"/>
          <w:szCs w:val="22"/>
        </w:rPr>
        <w:t>à</w:t>
      </w:r>
      <w:r w:rsidR="00DB1635" w:rsidRPr="002D26AE">
        <w:rPr>
          <w:rFonts w:ascii="Tahoma" w:hAnsi="Tahoma" w:cs="Tahoma"/>
          <w:szCs w:val="22"/>
        </w:rPr>
        <w:t xml:space="preserve"> </w:t>
      </w:r>
      <w:r w:rsidRPr="002D26AE">
        <w:rPr>
          <w:rFonts w:ascii="Tahoma" w:hAnsi="Tahoma" w:cs="Tahoma"/>
          <w:szCs w:val="22"/>
        </w:rPr>
        <w:t>bord</w:t>
      </w:r>
      <w:r w:rsidR="00DB1635" w:rsidRPr="002D26AE">
        <w:rPr>
          <w:rFonts w:ascii="Tahoma" w:hAnsi="Tahoma" w:cs="Tahoma"/>
          <w:szCs w:val="22"/>
        </w:rPr>
        <w:t xml:space="preserve"> </w:t>
      </w:r>
      <w:r w:rsidRPr="002D26AE">
        <w:rPr>
          <w:rFonts w:ascii="Tahoma" w:hAnsi="Tahoma" w:cs="Tahoma"/>
          <w:szCs w:val="22"/>
        </w:rPr>
        <w:t>des</w:t>
      </w:r>
      <w:r w:rsidR="00DB1635" w:rsidRPr="002D26AE">
        <w:rPr>
          <w:rFonts w:ascii="Tahoma" w:hAnsi="Tahoma" w:cs="Tahoma"/>
          <w:szCs w:val="22"/>
        </w:rPr>
        <w:t xml:space="preserve"> </w:t>
      </w:r>
      <w:r w:rsidRPr="002D26AE">
        <w:rPr>
          <w:rFonts w:ascii="Tahoma" w:hAnsi="Tahoma" w:cs="Tahoma"/>
          <w:szCs w:val="22"/>
        </w:rPr>
        <w:t>navires</w:t>
      </w:r>
      <w:r w:rsidR="00DB1635" w:rsidRPr="002D26AE">
        <w:rPr>
          <w:rFonts w:ascii="Tahoma" w:hAnsi="Tahoma" w:cs="Tahoma"/>
          <w:szCs w:val="22"/>
        </w:rPr>
        <w:t xml:space="preserve"> </w:t>
      </w:r>
      <w:r w:rsidRPr="002D26AE">
        <w:rPr>
          <w:rFonts w:ascii="Tahoma" w:hAnsi="Tahoma" w:cs="Tahoma"/>
          <w:szCs w:val="22"/>
        </w:rPr>
        <w:t>de</w:t>
      </w:r>
      <w:r w:rsidR="00DB1635" w:rsidRPr="002D26AE">
        <w:rPr>
          <w:rFonts w:ascii="Tahoma" w:hAnsi="Tahoma" w:cs="Tahoma"/>
          <w:szCs w:val="22"/>
        </w:rPr>
        <w:t xml:space="preserve"> </w:t>
      </w:r>
      <w:r w:rsidRPr="002D26AE">
        <w:rPr>
          <w:rFonts w:ascii="Tahoma" w:hAnsi="Tahoma" w:cs="Tahoma"/>
          <w:szCs w:val="22"/>
        </w:rPr>
        <w:t>navires-usines</w:t>
      </w:r>
      <w:bookmarkEnd w:id="168"/>
      <w:bookmarkEnd w:id="169"/>
      <w:bookmarkEnd w:id="171"/>
    </w:p>
    <w:p w14:paraId="4296056C" w14:textId="77777777" w:rsidR="002F24E1" w:rsidRPr="00B004EE" w:rsidRDefault="002F24E1" w:rsidP="00B004EE">
      <w:pPr>
        <w:jc w:val="both"/>
        <w:rPr>
          <w:rFonts w:ascii="Tahoma" w:hAnsi="Tahoma" w:cs="Tahoma"/>
          <w:sz w:val="20"/>
          <w:szCs w:val="20"/>
        </w:rPr>
      </w:pPr>
    </w:p>
    <w:p w14:paraId="105AE1F2" w14:textId="183F8F81" w:rsidR="002F24E1" w:rsidRPr="00B004EE" w:rsidRDefault="00AD7D88" w:rsidP="00B004EE">
      <w:pPr>
        <w:jc w:val="both"/>
        <w:rPr>
          <w:rFonts w:ascii="Tahoma" w:hAnsi="Tahoma" w:cs="Tahoma"/>
          <w:sz w:val="20"/>
          <w:szCs w:val="20"/>
        </w:rPr>
      </w:pPr>
      <w:r w:rsidRPr="00B004EE">
        <w:rPr>
          <w:rFonts w:ascii="Tahoma" w:hAnsi="Tahoma" w:cs="Tahoma"/>
          <w:bCs/>
          <w:sz w:val="20"/>
          <w:szCs w:val="20"/>
        </w:rPr>
        <w:t xml:space="preserve">Article </w:t>
      </w:r>
      <w:r w:rsidR="002F24E1" w:rsidRPr="00B004EE">
        <w:rPr>
          <w:rFonts w:ascii="Tahoma" w:hAnsi="Tahoma" w:cs="Tahoma"/>
          <w:bCs/>
          <w:sz w:val="20"/>
          <w:szCs w:val="20"/>
        </w:rPr>
        <w:t>1</w:t>
      </w:r>
      <w:r w:rsidR="002F24E1" w:rsidRPr="00B004EE">
        <w:rPr>
          <w:rFonts w:ascii="Tahoma" w:hAnsi="Tahoma" w:cs="Tahoma"/>
          <w:bCs/>
          <w:sz w:val="20"/>
          <w:szCs w:val="20"/>
          <w:vertAlign w:val="superscript"/>
        </w:rPr>
        <w:t>er</w:t>
      </w:r>
      <w:r w:rsidR="007562A8" w:rsidRPr="00B004EE">
        <w:rPr>
          <w:rFonts w:ascii="Tahoma" w:hAnsi="Tahoma" w:cs="Tahoma"/>
          <w:bCs/>
          <w:sz w:val="20"/>
          <w:szCs w:val="20"/>
        </w:rPr>
        <w:t xml:space="preserve"> </w:t>
      </w:r>
      <w:r w:rsidR="002F24E1" w:rsidRPr="00B004EE">
        <w:rPr>
          <w:rFonts w:ascii="Tahoma" w:hAnsi="Tahoma" w:cs="Tahoma"/>
          <w:bCs/>
          <w:sz w:val="20"/>
          <w:szCs w:val="20"/>
        </w:rPr>
        <w:t>:</w:t>
      </w:r>
      <w:r w:rsidR="00DB1635" w:rsidRPr="00B004EE">
        <w:rPr>
          <w:rFonts w:ascii="Tahoma" w:hAnsi="Tahoma" w:cs="Tahoma"/>
          <w:b/>
          <w:sz w:val="20"/>
          <w:szCs w:val="20"/>
        </w:rPr>
        <w:t xml:space="preserve"> </w:t>
      </w:r>
      <w:r w:rsidR="002F24E1" w:rsidRPr="00B004EE">
        <w:rPr>
          <w:rFonts w:ascii="Tahoma" w:hAnsi="Tahoma" w:cs="Tahoma"/>
          <w:sz w:val="20"/>
          <w:szCs w:val="20"/>
        </w:rPr>
        <w:t>En</w:t>
      </w:r>
      <w:r w:rsidR="00DB1635" w:rsidRPr="00B004EE">
        <w:rPr>
          <w:rFonts w:ascii="Tahoma" w:hAnsi="Tahoma" w:cs="Tahoma"/>
          <w:sz w:val="20"/>
          <w:szCs w:val="20"/>
        </w:rPr>
        <w:t xml:space="preserve"> </w:t>
      </w:r>
      <w:r w:rsidR="002F24E1" w:rsidRPr="00B004EE">
        <w:rPr>
          <w:rFonts w:ascii="Tahoma" w:hAnsi="Tahoma" w:cs="Tahoma"/>
          <w:sz w:val="20"/>
          <w:szCs w:val="20"/>
        </w:rPr>
        <w:t>application</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l'alinéa</w:t>
      </w:r>
      <w:r w:rsidR="00DB1635" w:rsidRPr="00B004EE">
        <w:rPr>
          <w:rFonts w:ascii="Tahoma" w:hAnsi="Tahoma" w:cs="Tahoma"/>
          <w:sz w:val="20"/>
          <w:szCs w:val="20"/>
        </w:rPr>
        <w:t xml:space="preserve"> </w:t>
      </w:r>
      <w:r w:rsidR="002F24E1" w:rsidRPr="00B004EE">
        <w:rPr>
          <w:rFonts w:ascii="Tahoma" w:hAnsi="Tahoma" w:cs="Tahoma"/>
          <w:sz w:val="20"/>
          <w:szCs w:val="20"/>
        </w:rPr>
        <w:t>2</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l'article</w:t>
      </w:r>
      <w:r w:rsidR="00DB1635" w:rsidRPr="00B004EE">
        <w:rPr>
          <w:rFonts w:ascii="Tahoma" w:hAnsi="Tahoma" w:cs="Tahoma"/>
          <w:sz w:val="20"/>
          <w:szCs w:val="20"/>
        </w:rPr>
        <w:t xml:space="preserve"> </w:t>
      </w:r>
      <w:r w:rsidR="002F24E1" w:rsidRPr="00B004EE">
        <w:rPr>
          <w:rFonts w:ascii="Tahoma" w:hAnsi="Tahoma" w:cs="Tahoma"/>
          <w:sz w:val="20"/>
          <w:szCs w:val="20"/>
        </w:rPr>
        <w:t>4</w:t>
      </w:r>
      <w:r w:rsidR="00DB1635" w:rsidRPr="00B004EE">
        <w:rPr>
          <w:rFonts w:ascii="Tahoma" w:hAnsi="Tahoma" w:cs="Tahoma"/>
          <w:sz w:val="20"/>
          <w:szCs w:val="20"/>
        </w:rPr>
        <w:t xml:space="preserve"> </w:t>
      </w:r>
      <w:r w:rsidR="002F24E1" w:rsidRPr="00B004EE">
        <w:rPr>
          <w:rFonts w:ascii="Tahoma" w:hAnsi="Tahoma" w:cs="Tahoma"/>
          <w:sz w:val="20"/>
          <w:szCs w:val="20"/>
        </w:rPr>
        <w:t>du</w:t>
      </w:r>
      <w:r w:rsidR="00DB1635" w:rsidRPr="00B004EE">
        <w:rPr>
          <w:rFonts w:ascii="Tahoma" w:hAnsi="Tahoma" w:cs="Tahoma"/>
          <w:sz w:val="20"/>
          <w:szCs w:val="20"/>
        </w:rPr>
        <w:t xml:space="preserve"> </w:t>
      </w:r>
      <w:r w:rsidR="002F24E1" w:rsidRPr="00B004EE">
        <w:rPr>
          <w:rFonts w:ascii="Tahoma" w:hAnsi="Tahoma" w:cs="Tahoma"/>
          <w:sz w:val="20"/>
          <w:szCs w:val="20"/>
        </w:rPr>
        <w:t>décret</w:t>
      </w:r>
      <w:r w:rsidR="00DB1635" w:rsidRPr="00B004EE">
        <w:rPr>
          <w:rFonts w:ascii="Tahoma" w:hAnsi="Tahoma" w:cs="Tahoma"/>
          <w:sz w:val="20"/>
          <w:szCs w:val="20"/>
        </w:rPr>
        <w:t xml:space="preserve"> </w:t>
      </w:r>
      <w:r w:rsidR="002F24E1" w:rsidRPr="00B004EE">
        <w:rPr>
          <w:rFonts w:ascii="Tahoma" w:hAnsi="Tahoma" w:cs="Tahoma"/>
          <w:sz w:val="20"/>
          <w:szCs w:val="20"/>
        </w:rPr>
        <w:t>N°</w:t>
      </w:r>
      <w:r w:rsidR="00DB1635" w:rsidRPr="00B004EE">
        <w:rPr>
          <w:rFonts w:ascii="Tahoma" w:hAnsi="Tahoma" w:cs="Tahoma"/>
          <w:sz w:val="20"/>
          <w:szCs w:val="20"/>
        </w:rPr>
        <w:t xml:space="preserve"> </w:t>
      </w:r>
      <w:r w:rsidR="002F24E1" w:rsidRPr="00B004EE">
        <w:rPr>
          <w:rFonts w:ascii="Tahoma" w:hAnsi="Tahoma" w:cs="Tahoma"/>
          <w:sz w:val="20"/>
          <w:szCs w:val="20"/>
        </w:rPr>
        <w:t>94-030</w:t>
      </w:r>
      <w:r w:rsidR="00DB1635" w:rsidRPr="00B004EE">
        <w:rPr>
          <w:rFonts w:ascii="Tahoma" w:hAnsi="Tahoma" w:cs="Tahoma"/>
          <w:sz w:val="20"/>
          <w:szCs w:val="20"/>
        </w:rPr>
        <w:t xml:space="preserve"> </w:t>
      </w:r>
      <w:r w:rsidR="002F24E1" w:rsidRPr="00B004EE">
        <w:rPr>
          <w:rFonts w:ascii="Tahoma" w:hAnsi="Tahoma" w:cs="Tahoma"/>
          <w:sz w:val="20"/>
          <w:szCs w:val="20"/>
        </w:rPr>
        <w:t>du</w:t>
      </w:r>
      <w:r w:rsidR="00DB1635" w:rsidRPr="00B004EE">
        <w:rPr>
          <w:rFonts w:ascii="Tahoma" w:hAnsi="Tahoma" w:cs="Tahoma"/>
          <w:sz w:val="20"/>
          <w:szCs w:val="20"/>
        </w:rPr>
        <w:t xml:space="preserve"> </w:t>
      </w:r>
      <w:r w:rsidR="002F24E1" w:rsidRPr="00B004EE">
        <w:rPr>
          <w:rFonts w:ascii="Tahoma" w:hAnsi="Tahoma" w:cs="Tahoma"/>
          <w:sz w:val="20"/>
          <w:szCs w:val="20"/>
        </w:rPr>
        <w:t>8</w:t>
      </w:r>
      <w:r w:rsidR="00DB1635" w:rsidRPr="00B004EE">
        <w:rPr>
          <w:rFonts w:ascii="Tahoma" w:hAnsi="Tahoma" w:cs="Tahoma"/>
          <w:sz w:val="20"/>
          <w:szCs w:val="20"/>
        </w:rPr>
        <w:t xml:space="preserve"> </w:t>
      </w:r>
      <w:r w:rsidR="002F24E1" w:rsidRPr="00B004EE">
        <w:rPr>
          <w:rFonts w:ascii="Tahoma" w:hAnsi="Tahoma" w:cs="Tahoma"/>
          <w:sz w:val="20"/>
          <w:szCs w:val="20"/>
        </w:rPr>
        <w:t>Mars</w:t>
      </w:r>
      <w:r w:rsidR="00DB1635" w:rsidRPr="00B004EE">
        <w:rPr>
          <w:rFonts w:ascii="Tahoma" w:hAnsi="Tahoma" w:cs="Tahoma"/>
          <w:sz w:val="20"/>
          <w:szCs w:val="20"/>
        </w:rPr>
        <w:t xml:space="preserve"> </w:t>
      </w:r>
      <w:r w:rsidR="002F24E1" w:rsidRPr="00B004EE">
        <w:rPr>
          <w:rFonts w:ascii="Tahoma" w:hAnsi="Tahoma" w:cs="Tahoma"/>
          <w:sz w:val="20"/>
          <w:szCs w:val="20"/>
        </w:rPr>
        <w:t>1994,</w:t>
      </w:r>
      <w:r w:rsidR="00DB1635" w:rsidRPr="00B004EE">
        <w:rPr>
          <w:rFonts w:ascii="Tahoma" w:hAnsi="Tahoma" w:cs="Tahoma"/>
          <w:sz w:val="20"/>
          <w:szCs w:val="20"/>
        </w:rPr>
        <w:t xml:space="preserve"> </w:t>
      </w:r>
      <w:r w:rsidR="002F24E1" w:rsidRPr="00B004EE">
        <w:rPr>
          <w:rFonts w:ascii="Tahoma" w:hAnsi="Tahoma" w:cs="Tahoma"/>
          <w:sz w:val="20"/>
          <w:szCs w:val="20"/>
        </w:rPr>
        <w:t>le</w:t>
      </w:r>
      <w:r w:rsidR="00DB1635" w:rsidRPr="00B004EE">
        <w:rPr>
          <w:rFonts w:ascii="Tahoma" w:hAnsi="Tahoma" w:cs="Tahoma"/>
          <w:sz w:val="20"/>
          <w:szCs w:val="20"/>
        </w:rPr>
        <w:t xml:space="preserve"> </w:t>
      </w:r>
      <w:r w:rsidR="002F24E1" w:rsidRPr="00B004EE">
        <w:rPr>
          <w:rFonts w:ascii="Tahoma" w:hAnsi="Tahoma" w:cs="Tahoma"/>
          <w:sz w:val="20"/>
          <w:szCs w:val="20"/>
        </w:rPr>
        <w:t>présent</w:t>
      </w:r>
      <w:r w:rsidR="00DB1635" w:rsidRPr="00B004EE">
        <w:rPr>
          <w:rFonts w:ascii="Tahoma" w:hAnsi="Tahoma" w:cs="Tahoma"/>
          <w:sz w:val="20"/>
          <w:szCs w:val="20"/>
        </w:rPr>
        <w:t xml:space="preserve"> </w:t>
      </w:r>
      <w:r w:rsidR="002F24E1" w:rsidRPr="00B004EE">
        <w:rPr>
          <w:rFonts w:ascii="Tahoma" w:hAnsi="Tahoma" w:cs="Tahoma"/>
          <w:sz w:val="20"/>
          <w:szCs w:val="20"/>
        </w:rPr>
        <w:t>arrêté</w:t>
      </w:r>
      <w:r w:rsidR="00DB1635" w:rsidRPr="00B004EE">
        <w:rPr>
          <w:rFonts w:ascii="Tahoma" w:hAnsi="Tahoma" w:cs="Tahoma"/>
          <w:sz w:val="20"/>
          <w:szCs w:val="20"/>
        </w:rPr>
        <w:t xml:space="preserve"> </w:t>
      </w:r>
      <w:r w:rsidR="002F24E1" w:rsidRPr="00B004EE">
        <w:rPr>
          <w:rFonts w:ascii="Tahoma" w:hAnsi="Tahoma" w:cs="Tahoma"/>
          <w:sz w:val="20"/>
          <w:szCs w:val="20"/>
        </w:rPr>
        <w:t>a</w:t>
      </w:r>
      <w:r w:rsidR="00DB1635" w:rsidRPr="00B004EE">
        <w:rPr>
          <w:rFonts w:ascii="Tahoma" w:hAnsi="Tahoma" w:cs="Tahoma"/>
          <w:sz w:val="20"/>
          <w:szCs w:val="20"/>
        </w:rPr>
        <w:t xml:space="preserve"> </w:t>
      </w:r>
      <w:r w:rsidR="002F24E1" w:rsidRPr="00B004EE">
        <w:rPr>
          <w:rFonts w:ascii="Tahoma" w:hAnsi="Tahoma" w:cs="Tahoma"/>
          <w:sz w:val="20"/>
          <w:szCs w:val="20"/>
        </w:rPr>
        <w:t>pour</w:t>
      </w:r>
      <w:r w:rsidR="00DB1635" w:rsidRPr="00B004EE">
        <w:rPr>
          <w:rFonts w:ascii="Tahoma" w:hAnsi="Tahoma" w:cs="Tahoma"/>
          <w:sz w:val="20"/>
          <w:szCs w:val="20"/>
        </w:rPr>
        <w:t xml:space="preserve"> </w:t>
      </w:r>
      <w:r w:rsidR="002F24E1" w:rsidRPr="00B004EE">
        <w:rPr>
          <w:rFonts w:ascii="Tahoma" w:hAnsi="Tahoma" w:cs="Tahoma"/>
          <w:sz w:val="20"/>
          <w:szCs w:val="20"/>
        </w:rPr>
        <w:t>objet</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définir</w:t>
      </w:r>
      <w:r w:rsidR="00DB1635" w:rsidRPr="00B004EE">
        <w:rPr>
          <w:rFonts w:ascii="Tahoma" w:hAnsi="Tahoma" w:cs="Tahoma"/>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2F24E1" w:rsidRPr="00B004EE">
        <w:rPr>
          <w:rFonts w:ascii="Tahoma" w:hAnsi="Tahoma" w:cs="Tahoma"/>
          <w:sz w:val="20"/>
          <w:szCs w:val="20"/>
        </w:rPr>
        <w:t>conditions</w:t>
      </w:r>
      <w:r w:rsidR="00DB1635" w:rsidRPr="00B004EE">
        <w:rPr>
          <w:rFonts w:ascii="Tahoma" w:hAnsi="Tahoma" w:cs="Tahoma"/>
          <w:sz w:val="20"/>
          <w:szCs w:val="20"/>
        </w:rPr>
        <w:t xml:space="preserve"> </w:t>
      </w:r>
      <w:r w:rsidR="002F24E1" w:rsidRPr="00B004EE">
        <w:rPr>
          <w:rFonts w:ascii="Tahoma" w:hAnsi="Tahoma" w:cs="Tahoma"/>
          <w:sz w:val="20"/>
          <w:szCs w:val="20"/>
        </w:rPr>
        <w:t>spécifiques</w:t>
      </w:r>
      <w:r w:rsidR="00DB1635" w:rsidRPr="00B004EE">
        <w:rPr>
          <w:rFonts w:ascii="Tahoma" w:hAnsi="Tahoma" w:cs="Tahoma"/>
          <w:sz w:val="20"/>
          <w:szCs w:val="20"/>
        </w:rPr>
        <w:t xml:space="preserve"> </w:t>
      </w:r>
      <w:r w:rsidR="002F24E1" w:rsidRPr="00B004EE">
        <w:rPr>
          <w:rFonts w:ascii="Tahoma" w:hAnsi="Tahoma" w:cs="Tahoma"/>
          <w:sz w:val="20"/>
          <w:szCs w:val="20"/>
        </w:rPr>
        <w:t>d'hygiène</w:t>
      </w:r>
      <w:r w:rsidR="00DB1635" w:rsidRPr="00B004EE">
        <w:rPr>
          <w:rFonts w:ascii="Tahoma" w:hAnsi="Tahoma" w:cs="Tahoma"/>
          <w:sz w:val="20"/>
          <w:szCs w:val="20"/>
        </w:rPr>
        <w:t xml:space="preserve"> </w:t>
      </w:r>
      <w:r w:rsidR="002F24E1" w:rsidRPr="00B004EE">
        <w:rPr>
          <w:rFonts w:ascii="Tahoma" w:hAnsi="Tahoma" w:cs="Tahoma"/>
          <w:sz w:val="20"/>
          <w:szCs w:val="20"/>
        </w:rPr>
        <w:t>applicables</w:t>
      </w:r>
      <w:r w:rsidR="00DB1635" w:rsidRPr="00B004EE">
        <w:rPr>
          <w:rFonts w:ascii="Tahoma" w:hAnsi="Tahoma" w:cs="Tahoma"/>
          <w:sz w:val="20"/>
          <w:szCs w:val="20"/>
        </w:rPr>
        <w:t xml:space="preserve"> </w:t>
      </w:r>
      <w:r w:rsidR="002F24E1" w:rsidRPr="00B004EE">
        <w:rPr>
          <w:rFonts w:ascii="Tahoma" w:hAnsi="Tahoma" w:cs="Tahoma"/>
          <w:sz w:val="20"/>
          <w:szCs w:val="20"/>
        </w:rPr>
        <w:t>à</w:t>
      </w:r>
      <w:r w:rsidR="00DB1635" w:rsidRPr="00B004EE">
        <w:rPr>
          <w:rFonts w:ascii="Tahoma" w:hAnsi="Tahoma" w:cs="Tahoma"/>
          <w:sz w:val="20"/>
          <w:szCs w:val="20"/>
        </w:rPr>
        <w:t xml:space="preserve"> </w:t>
      </w:r>
      <w:r w:rsidR="002F24E1" w:rsidRPr="00B004EE">
        <w:rPr>
          <w:rFonts w:ascii="Tahoma" w:hAnsi="Tahoma" w:cs="Tahoma"/>
          <w:sz w:val="20"/>
          <w:szCs w:val="20"/>
        </w:rPr>
        <w:t>bord</w:t>
      </w:r>
      <w:r w:rsidR="00DB1635" w:rsidRPr="00B004EE">
        <w:rPr>
          <w:rFonts w:ascii="Tahoma" w:hAnsi="Tahoma" w:cs="Tahoma"/>
          <w:sz w:val="20"/>
          <w:szCs w:val="20"/>
        </w:rPr>
        <w:t xml:space="preserve"> </w:t>
      </w:r>
      <w:r w:rsidR="002F24E1" w:rsidRPr="00B004EE">
        <w:rPr>
          <w:rFonts w:ascii="Tahoma" w:hAnsi="Tahoma" w:cs="Tahoma"/>
          <w:sz w:val="20"/>
          <w:szCs w:val="20"/>
        </w:rPr>
        <w:t>des</w:t>
      </w:r>
      <w:r w:rsidR="00DB1635" w:rsidRPr="00B004EE">
        <w:rPr>
          <w:rFonts w:ascii="Tahoma" w:hAnsi="Tahoma" w:cs="Tahoma"/>
          <w:sz w:val="20"/>
          <w:szCs w:val="20"/>
        </w:rPr>
        <w:t xml:space="preserve"> </w:t>
      </w:r>
      <w:r w:rsidR="002F24E1" w:rsidRPr="00B004EE">
        <w:rPr>
          <w:rFonts w:ascii="Tahoma" w:hAnsi="Tahoma" w:cs="Tahoma"/>
          <w:sz w:val="20"/>
          <w:szCs w:val="20"/>
        </w:rPr>
        <w:t>navires</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pêche</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des</w:t>
      </w:r>
      <w:r w:rsidR="00DB1635" w:rsidRPr="00B004EE">
        <w:rPr>
          <w:rFonts w:ascii="Tahoma" w:hAnsi="Tahoma" w:cs="Tahoma"/>
          <w:sz w:val="20"/>
          <w:szCs w:val="20"/>
        </w:rPr>
        <w:t xml:space="preserve"> </w:t>
      </w:r>
      <w:r w:rsidR="002F24E1" w:rsidRPr="00B004EE">
        <w:rPr>
          <w:rFonts w:ascii="Tahoma" w:hAnsi="Tahoma" w:cs="Tahoma"/>
          <w:sz w:val="20"/>
          <w:szCs w:val="20"/>
        </w:rPr>
        <w:t>navires-usine</w:t>
      </w:r>
      <w:r w:rsidR="00461EC9" w:rsidRPr="00B004EE">
        <w:rPr>
          <w:rFonts w:ascii="Tahoma" w:hAnsi="Tahoma" w:cs="Tahoma"/>
          <w:sz w:val="20"/>
          <w:szCs w:val="20"/>
        </w:rPr>
        <w:t>s</w:t>
      </w:r>
      <w:r w:rsidR="002F24E1" w:rsidRPr="00B004EE">
        <w:rPr>
          <w:rFonts w:ascii="Tahoma" w:hAnsi="Tahoma" w:cs="Tahoma"/>
          <w:sz w:val="20"/>
          <w:szCs w:val="20"/>
        </w:rPr>
        <w:t>,</w:t>
      </w:r>
      <w:r w:rsidR="00DB1635" w:rsidRPr="00B004EE">
        <w:rPr>
          <w:rFonts w:ascii="Tahoma" w:hAnsi="Tahoma" w:cs="Tahoma"/>
          <w:sz w:val="20"/>
          <w:szCs w:val="20"/>
        </w:rPr>
        <w:t xml:space="preserve"> </w:t>
      </w:r>
      <w:r w:rsidR="002F24E1" w:rsidRPr="00B004EE">
        <w:rPr>
          <w:rFonts w:ascii="Tahoma" w:hAnsi="Tahoma" w:cs="Tahoma"/>
          <w:sz w:val="20"/>
          <w:szCs w:val="20"/>
        </w:rPr>
        <w:t>ainsi</w:t>
      </w:r>
      <w:r w:rsidR="00DB1635" w:rsidRPr="00B004EE">
        <w:rPr>
          <w:rFonts w:ascii="Tahoma" w:hAnsi="Tahoma" w:cs="Tahoma"/>
          <w:sz w:val="20"/>
          <w:szCs w:val="20"/>
        </w:rPr>
        <w:t xml:space="preserve"> </w:t>
      </w:r>
      <w:r w:rsidR="002F24E1" w:rsidRPr="00B004EE">
        <w:rPr>
          <w:rFonts w:ascii="Tahoma" w:hAnsi="Tahoma" w:cs="Tahoma"/>
          <w:sz w:val="20"/>
          <w:szCs w:val="20"/>
        </w:rPr>
        <w:t>que</w:t>
      </w:r>
      <w:r w:rsidR="00DB1635" w:rsidRPr="00B004EE">
        <w:rPr>
          <w:rFonts w:ascii="Tahoma" w:hAnsi="Tahoma" w:cs="Tahoma"/>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2F24E1" w:rsidRPr="00B004EE">
        <w:rPr>
          <w:rFonts w:ascii="Tahoma" w:hAnsi="Tahoma" w:cs="Tahoma"/>
          <w:sz w:val="20"/>
          <w:szCs w:val="20"/>
        </w:rPr>
        <w:t>procédures</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conditions</w:t>
      </w:r>
      <w:r w:rsidR="00DB1635" w:rsidRPr="00B004EE">
        <w:rPr>
          <w:rFonts w:ascii="Tahoma" w:hAnsi="Tahoma" w:cs="Tahoma"/>
          <w:sz w:val="20"/>
          <w:szCs w:val="20"/>
        </w:rPr>
        <w:t xml:space="preserve"> </w:t>
      </w:r>
      <w:r w:rsidR="002F24E1" w:rsidRPr="00B004EE">
        <w:rPr>
          <w:rFonts w:ascii="Tahoma" w:hAnsi="Tahoma" w:cs="Tahoma"/>
          <w:sz w:val="20"/>
          <w:szCs w:val="20"/>
        </w:rPr>
        <w:t>d'agrément</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ces</w:t>
      </w:r>
      <w:r w:rsidR="00DB1635" w:rsidRPr="00B004EE">
        <w:rPr>
          <w:rFonts w:ascii="Tahoma" w:hAnsi="Tahoma" w:cs="Tahoma"/>
          <w:sz w:val="20"/>
          <w:szCs w:val="20"/>
        </w:rPr>
        <w:t xml:space="preserve"> </w:t>
      </w:r>
      <w:r w:rsidR="002F24E1" w:rsidRPr="00B004EE">
        <w:rPr>
          <w:rFonts w:ascii="Tahoma" w:hAnsi="Tahoma" w:cs="Tahoma"/>
          <w:sz w:val="20"/>
          <w:szCs w:val="20"/>
        </w:rPr>
        <w:t>navires</w:t>
      </w:r>
      <w:r w:rsidR="00DB1635" w:rsidRPr="00B004EE">
        <w:rPr>
          <w:rFonts w:ascii="Tahoma" w:hAnsi="Tahoma" w:cs="Tahoma"/>
          <w:sz w:val="20"/>
          <w:szCs w:val="20"/>
        </w:rPr>
        <w:t xml:space="preserve"> </w:t>
      </w:r>
      <w:r w:rsidR="002F24E1" w:rsidRPr="00B004EE">
        <w:rPr>
          <w:rFonts w:ascii="Tahoma" w:hAnsi="Tahoma" w:cs="Tahoma"/>
          <w:sz w:val="20"/>
          <w:szCs w:val="20"/>
        </w:rPr>
        <w:t>aux</w:t>
      </w:r>
      <w:r w:rsidR="00DB1635" w:rsidRPr="00B004EE">
        <w:rPr>
          <w:rFonts w:ascii="Tahoma" w:hAnsi="Tahoma" w:cs="Tahoma"/>
          <w:sz w:val="20"/>
          <w:szCs w:val="20"/>
        </w:rPr>
        <w:t xml:space="preserve"> </w:t>
      </w:r>
      <w:r w:rsidR="002F24E1" w:rsidRPr="00B004EE">
        <w:rPr>
          <w:rFonts w:ascii="Tahoma" w:hAnsi="Tahoma" w:cs="Tahoma"/>
          <w:sz w:val="20"/>
          <w:szCs w:val="20"/>
        </w:rPr>
        <w:t>fins</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la</w:t>
      </w:r>
      <w:r w:rsidR="00DB1635" w:rsidRPr="00B004EE">
        <w:rPr>
          <w:rFonts w:ascii="Tahoma" w:hAnsi="Tahoma" w:cs="Tahoma"/>
          <w:sz w:val="20"/>
          <w:szCs w:val="20"/>
        </w:rPr>
        <w:t xml:space="preserve"> </w:t>
      </w:r>
      <w:r w:rsidR="002F24E1" w:rsidRPr="00B004EE">
        <w:rPr>
          <w:rFonts w:ascii="Tahoma" w:hAnsi="Tahoma" w:cs="Tahoma"/>
          <w:sz w:val="20"/>
          <w:szCs w:val="20"/>
        </w:rPr>
        <w:t>production</w:t>
      </w:r>
      <w:r w:rsidR="00DB1635" w:rsidRPr="00B004EE">
        <w:rPr>
          <w:rFonts w:ascii="Tahoma" w:hAnsi="Tahoma" w:cs="Tahoma"/>
          <w:sz w:val="20"/>
          <w:szCs w:val="20"/>
        </w:rPr>
        <w:t xml:space="preserve"> </w:t>
      </w:r>
      <w:r w:rsidR="002F24E1" w:rsidRPr="00B004EE">
        <w:rPr>
          <w:rFonts w:ascii="Tahoma" w:hAnsi="Tahoma" w:cs="Tahoma"/>
          <w:sz w:val="20"/>
          <w:szCs w:val="20"/>
        </w:rPr>
        <w:t>ou</w:t>
      </w:r>
      <w:r w:rsidR="00DB1635" w:rsidRPr="00B004EE">
        <w:rPr>
          <w:rFonts w:ascii="Tahoma" w:hAnsi="Tahoma" w:cs="Tahoma"/>
          <w:sz w:val="20"/>
          <w:szCs w:val="20"/>
        </w:rPr>
        <w:t xml:space="preserve"> </w:t>
      </w:r>
      <w:r w:rsidR="002F24E1" w:rsidRPr="00B004EE">
        <w:rPr>
          <w:rFonts w:ascii="Tahoma" w:hAnsi="Tahoma" w:cs="Tahoma"/>
          <w:sz w:val="20"/>
          <w:szCs w:val="20"/>
        </w:rPr>
        <w:t>du</w:t>
      </w:r>
      <w:r w:rsidR="00DB1635" w:rsidRPr="00B004EE">
        <w:rPr>
          <w:rFonts w:ascii="Tahoma" w:hAnsi="Tahoma" w:cs="Tahoma"/>
          <w:sz w:val="20"/>
          <w:szCs w:val="20"/>
        </w:rPr>
        <w:t xml:space="preserve"> </w:t>
      </w:r>
      <w:r w:rsidR="002F24E1" w:rsidRPr="00B004EE">
        <w:rPr>
          <w:rFonts w:ascii="Tahoma" w:hAnsi="Tahoma" w:cs="Tahoma"/>
          <w:sz w:val="20"/>
          <w:szCs w:val="20"/>
        </w:rPr>
        <w:t>traitement</w:t>
      </w:r>
      <w:r w:rsidR="00DB1635" w:rsidRPr="00B004EE">
        <w:rPr>
          <w:rFonts w:ascii="Tahoma" w:hAnsi="Tahoma" w:cs="Tahoma"/>
          <w:sz w:val="20"/>
          <w:szCs w:val="20"/>
        </w:rPr>
        <w:t xml:space="preserve"> </w:t>
      </w:r>
      <w:r w:rsidR="002F24E1" w:rsidRPr="00B004EE">
        <w:rPr>
          <w:rFonts w:ascii="Tahoma" w:hAnsi="Tahoma" w:cs="Tahoma"/>
          <w:sz w:val="20"/>
          <w:szCs w:val="20"/>
        </w:rPr>
        <w:t>des</w:t>
      </w:r>
      <w:r w:rsidR="00DB1635" w:rsidRPr="00B004EE">
        <w:rPr>
          <w:rFonts w:ascii="Tahoma" w:hAnsi="Tahoma" w:cs="Tahoma"/>
          <w:sz w:val="20"/>
          <w:szCs w:val="20"/>
        </w:rPr>
        <w:t xml:space="preserve"> </w:t>
      </w:r>
      <w:r w:rsidR="002F24E1" w:rsidRPr="00B004EE">
        <w:rPr>
          <w:rFonts w:ascii="Tahoma" w:hAnsi="Tahoma" w:cs="Tahoma"/>
          <w:sz w:val="20"/>
          <w:szCs w:val="20"/>
        </w:rPr>
        <w:t>produits</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la</w:t>
      </w:r>
      <w:r w:rsidR="00DB1635" w:rsidRPr="00B004EE">
        <w:rPr>
          <w:rFonts w:ascii="Tahoma" w:hAnsi="Tahoma" w:cs="Tahoma"/>
          <w:sz w:val="20"/>
          <w:szCs w:val="20"/>
        </w:rPr>
        <w:t xml:space="preserve"> </w:t>
      </w:r>
      <w:r w:rsidR="002F24E1" w:rsidRPr="00B004EE">
        <w:rPr>
          <w:rFonts w:ascii="Tahoma" w:hAnsi="Tahoma" w:cs="Tahoma"/>
          <w:sz w:val="20"/>
          <w:szCs w:val="20"/>
        </w:rPr>
        <w:t>pêche</w:t>
      </w:r>
      <w:r w:rsidR="00DB1635" w:rsidRPr="00B004EE">
        <w:rPr>
          <w:rFonts w:ascii="Tahoma" w:hAnsi="Tahoma" w:cs="Tahoma"/>
          <w:sz w:val="20"/>
          <w:szCs w:val="20"/>
        </w:rPr>
        <w:t xml:space="preserve"> </w:t>
      </w:r>
      <w:r w:rsidR="002F24E1" w:rsidRPr="00B004EE">
        <w:rPr>
          <w:rFonts w:ascii="Tahoma" w:hAnsi="Tahoma" w:cs="Tahoma"/>
          <w:sz w:val="20"/>
          <w:szCs w:val="20"/>
        </w:rPr>
        <w:t>sauf</w:t>
      </w:r>
      <w:r w:rsidR="00DB1635" w:rsidRPr="00B004EE">
        <w:rPr>
          <w:rFonts w:ascii="Tahoma" w:hAnsi="Tahoma" w:cs="Tahoma"/>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2F24E1" w:rsidRPr="00B004EE">
        <w:rPr>
          <w:rFonts w:ascii="Tahoma" w:hAnsi="Tahoma" w:cs="Tahoma"/>
          <w:sz w:val="20"/>
          <w:szCs w:val="20"/>
        </w:rPr>
        <w:t>pirogues</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pêche</w:t>
      </w:r>
      <w:r w:rsidR="00DB1635" w:rsidRPr="00B004EE">
        <w:rPr>
          <w:rFonts w:ascii="Tahoma" w:hAnsi="Tahoma" w:cs="Tahoma"/>
          <w:sz w:val="20"/>
          <w:szCs w:val="20"/>
        </w:rPr>
        <w:t xml:space="preserve"> </w:t>
      </w:r>
      <w:r w:rsidR="002F24E1" w:rsidRPr="00B004EE">
        <w:rPr>
          <w:rFonts w:ascii="Tahoma" w:hAnsi="Tahoma" w:cs="Tahoma"/>
          <w:sz w:val="20"/>
          <w:szCs w:val="20"/>
        </w:rPr>
        <w:t>artisanale</w:t>
      </w:r>
      <w:r w:rsidR="00DB1635" w:rsidRPr="00B004EE">
        <w:rPr>
          <w:rFonts w:ascii="Tahoma" w:hAnsi="Tahoma" w:cs="Tahoma"/>
          <w:sz w:val="20"/>
          <w:szCs w:val="20"/>
        </w:rPr>
        <w:t xml:space="preserve"> </w:t>
      </w:r>
      <w:r w:rsidR="002F24E1" w:rsidRPr="00B004EE">
        <w:rPr>
          <w:rFonts w:ascii="Tahoma" w:hAnsi="Tahoma" w:cs="Tahoma"/>
          <w:sz w:val="20"/>
          <w:szCs w:val="20"/>
        </w:rPr>
        <w:t>qui</w:t>
      </w:r>
      <w:r w:rsidR="00DB1635" w:rsidRPr="00B004EE">
        <w:rPr>
          <w:rFonts w:ascii="Tahoma" w:hAnsi="Tahoma" w:cs="Tahoma"/>
          <w:sz w:val="20"/>
          <w:szCs w:val="20"/>
        </w:rPr>
        <w:t xml:space="preserve"> </w:t>
      </w:r>
      <w:r w:rsidR="002F24E1" w:rsidRPr="00B004EE">
        <w:rPr>
          <w:rFonts w:ascii="Tahoma" w:hAnsi="Tahoma" w:cs="Tahoma"/>
          <w:sz w:val="20"/>
          <w:szCs w:val="20"/>
        </w:rPr>
        <w:t>seront</w:t>
      </w:r>
      <w:r w:rsidR="00DB1635" w:rsidRPr="00B004EE">
        <w:rPr>
          <w:rFonts w:ascii="Tahoma" w:hAnsi="Tahoma" w:cs="Tahoma"/>
          <w:sz w:val="20"/>
          <w:szCs w:val="20"/>
        </w:rPr>
        <w:t xml:space="preserve"> </w:t>
      </w:r>
      <w:r w:rsidR="002F24E1" w:rsidRPr="00B004EE">
        <w:rPr>
          <w:rFonts w:ascii="Tahoma" w:hAnsi="Tahoma" w:cs="Tahoma"/>
          <w:sz w:val="20"/>
          <w:szCs w:val="20"/>
        </w:rPr>
        <w:t>régies</w:t>
      </w:r>
      <w:r w:rsidR="00DB1635" w:rsidRPr="00B004EE">
        <w:rPr>
          <w:rFonts w:ascii="Tahoma" w:hAnsi="Tahoma" w:cs="Tahoma"/>
          <w:sz w:val="20"/>
          <w:szCs w:val="20"/>
        </w:rPr>
        <w:t xml:space="preserve"> </w:t>
      </w:r>
      <w:r w:rsidR="002F24E1" w:rsidRPr="00B004EE">
        <w:rPr>
          <w:rFonts w:ascii="Tahoma" w:hAnsi="Tahoma" w:cs="Tahoma"/>
          <w:sz w:val="20"/>
          <w:szCs w:val="20"/>
        </w:rPr>
        <w:t>par</w:t>
      </w:r>
      <w:r w:rsidR="00DB1635" w:rsidRPr="00B004EE">
        <w:rPr>
          <w:rFonts w:ascii="Tahoma" w:hAnsi="Tahoma" w:cs="Tahoma"/>
          <w:sz w:val="20"/>
          <w:szCs w:val="20"/>
        </w:rPr>
        <w:t xml:space="preserve"> </w:t>
      </w:r>
      <w:r w:rsidR="002F24E1" w:rsidRPr="00B004EE">
        <w:rPr>
          <w:rFonts w:ascii="Tahoma" w:hAnsi="Tahoma" w:cs="Tahoma"/>
          <w:sz w:val="20"/>
          <w:szCs w:val="20"/>
        </w:rPr>
        <w:t>un</w:t>
      </w:r>
      <w:r w:rsidR="00DB1635" w:rsidRPr="00B004EE">
        <w:rPr>
          <w:rFonts w:ascii="Tahoma" w:hAnsi="Tahoma" w:cs="Tahoma"/>
          <w:sz w:val="20"/>
          <w:szCs w:val="20"/>
        </w:rPr>
        <w:t xml:space="preserve"> </w:t>
      </w:r>
      <w:r w:rsidR="002F24E1" w:rsidRPr="00B004EE">
        <w:rPr>
          <w:rFonts w:ascii="Tahoma" w:hAnsi="Tahoma" w:cs="Tahoma"/>
          <w:sz w:val="20"/>
          <w:szCs w:val="20"/>
        </w:rPr>
        <w:t>arrêté</w:t>
      </w:r>
      <w:r w:rsidR="00DB1635" w:rsidRPr="00B004EE">
        <w:rPr>
          <w:rFonts w:ascii="Tahoma" w:hAnsi="Tahoma" w:cs="Tahoma"/>
          <w:sz w:val="20"/>
          <w:szCs w:val="20"/>
        </w:rPr>
        <w:t xml:space="preserve"> </w:t>
      </w:r>
      <w:r w:rsidR="002F24E1" w:rsidRPr="00B004EE">
        <w:rPr>
          <w:rFonts w:ascii="Tahoma" w:hAnsi="Tahoma" w:cs="Tahoma"/>
          <w:sz w:val="20"/>
          <w:szCs w:val="20"/>
        </w:rPr>
        <w:t>spécifique.</w:t>
      </w:r>
    </w:p>
    <w:p w14:paraId="099AAF00" w14:textId="77777777" w:rsidR="002F24E1" w:rsidRPr="00B004EE" w:rsidRDefault="002F24E1" w:rsidP="00B004EE">
      <w:pPr>
        <w:jc w:val="both"/>
        <w:rPr>
          <w:rFonts w:ascii="Tahoma" w:hAnsi="Tahoma" w:cs="Tahoma"/>
          <w:sz w:val="20"/>
          <w:szCs w:val="20"/>
        </w:rPr>
      </w:pPr>
    </w:p>
    <w:p w14:paraId="0E383B51" w14:textId="343946A9" w:rsidR="002F24E1" w:rsidRPr="00B004EE" w:rsidRDefault="00AD7D88" w:rsidP="00B004EE">
      <w:pPr>
        <w:jc w:val="both"/>
        <w:rPr>
          <w:rFonts w:ascii="Tahoma" w:hAnsi="Tahoma" w:cs="Tahoma"/>
          <w:sz w:val="20"/>
          <w:szCs w:val="20"/>
        </w:rPr>
      </w:pPr>
      <w:r w:rsidRPr="00B004EE">
        <w:rPr>
          <w:rFonts w:ascii="Tahoma" w:hAnsi="Tahoma" w:cs="Tahoma"/>
          <w:bCs/>
          <w:sz w:val="20"/>
          <w:szCs w:val="20"/>
        </w:rPr>
        <w:t xml:space="preserve">Article </w:t>
      </w:r>
      <w:r w:rsidR="002F24E1" w:rsidRPr="00B004EE">
        <w:rPr>
          <w:rFonts w:ascii="Tahoma" w:hAnsi="Tahoma" w:cs="Tahoma"/>
          <w:bCs/>
          <w:sz w:val="20"/>
          <w:szCs w:val="20"/>
        </w:rPr>
        <w:t>2</w:t>
      </w:r>
      <w:r w:rsidR="00DB1635" w:rsidRPr="00B004EE">
        <w:rPr>
          <w:rFonts w:ascii="Tahoma" w:hAnsi="Tahoma" w:cs="Tahoma"/>
          <w:bCs/>
          <w:sz w:val="20"/>
          <w:szCs w:val="20"/>
        </w:rPr>
        <w:t xml:space="preserve"> </w:t>
      </w:r>
      <w:r w:rsidR="002F24E1" w:rsidRPr="00B004EE">
        <w:rPr>
          <w:rFonts w:ascii="Tahoma" w:hAnsi="Tahoma" w:cs="Tahoma"/>
          <w:bCs/>
          <w:sz w:val="20"/>
          <w:szCs w:val="20"/>
        </w:rPr>
        <w:t>:</w:t>
      </w:r>
      <w:r w:rsidR="00DB1635" w:rsidRPr="00B004EE">
        <w:rPr>
          <w:rFonts w:ascii="Tahoma" w:hAnsi="Tahoma" w:cs="Tahoma"/>
          <w:b/>
          <w:sz w:val="20"/>
          <w:szCs w:val="20"/>
        </w:rPr>
        <w:t xml:space="preserve"> </w:t>
      </w:r>
      <w:r w:rsidR="002F24E1" w:rsidRPr="00B004EE">
        <w:rPr>
          <w:rFonts w:ascii="Tahoma" w:hAnsi="Tahoma" w:cs="Tahoma"/>
          <w:sz w:val="20"/>
          <w:szCs w:val="20"/>
        </w:rPr>
        <w:t>Aux</w:t>
      </w:r>
      <w:r w:rsidR="00DB1635" w:rsidRPr="00B004EE">
        <w:rPr>
          <w:rFonts w:ascii="Tahoma" w:hAnsi="Tahoma" w:cs="Tahoma"/>
          <w:sz w:val="20"/>
          <w:szCs w:val="20"/>
        </w:rPr>
        <w:t xml:space="preserve"> </w:t>
      </w:r>
      <w:r w:rsidR="002F24E1" w:rsidRPr="00B004EE">
        <w:rPr>
          <w:rFonts w:ascii="Tahoma" w:hAnsi="Tahoma" w:cs="Tahoma"/>
          <w:sz w:val="20"/>
          <w:szCs w:val="20"/>
        </w:rPr>
        <w:t>fins</w:t>
      </w:r>
      <w:r w:rsidR="00DB1635" w:rsidRPr="00B004EE">
        <w:rPr>
          <w:rFonts w:ascii="Tahoma" w:hAnsi="Tahoma" w:cs="Tahoma"/>
          <w:sz w:val="20"/>
          <w:szCs w:val="20"/>
        </w:rPr>
        <w:t xml:space="preserve"> </w:t>
      </w:r>
      <w:r w:rsidR="002F24E1" w:rsidRPr="00B004EE">
        <w:rPr>
          <w:rFonts w:ascii="Tahoma" w:hAnsi="Tahoma" w:cs="Tahoma"/>
          <w:sz w:val="20"/>
          <w:szCs w:val="20"/>
        </w:rPr>
        <w:t>du</w:t>
      </w:r>
      <w:r w:rsidR="00DB1635" w:rsidRPr="00B004EE">
        <w:rPr>
          <w:rFonts w:ascii="Tahoma" w:hAnsi="Tahoma" w:cs="Tahoma"/>
          <w:sz w:val="20"/>
          <w:szCs w:val="20"/>
        </w:rPr>
        <w:t xml:space="preserve"> </w:t>
      </w:r>
      <w:r w:rsidR="002F24E1" w:rsidRPr="00B004EE">
        <w:rPr>
          <w:rFonts w:ascii="Tahoma" w:hAnsi="Tahoma" w:cs="Tahoma"/>
          <w:sz w:val="20"/>
          <w:szCs w:val="20"/>
        </w:rPr>
        <w:t>présent</w:t>
      </w:r>
      <w:r w:rsidR="00DB1635" w:rsidRPr="00B004EE">
        <w:rPr>
          <w:rFonts w:ascii="Tahoma" w:hAnsi="Tahoma" w:cs="Tahoma"/>
          <w:sz w:val="20"/>
          <w:szCs w:val="20"/>
        </w:rPr>
        <w:t xml:space="preserve"> </w:t>
      </w:r>
      <w:r w:rsidR="002F24E1" w:rsidRPr="00B004EE">
        <w:rPr>
          <w:rFonts w:ascii="Tahoma" w:hAnsi="Tahoma" w:cs="Tahoma"/>
          <w:sz w:val="20"/>
          <w:szCs w:val="20"/>
        </w:rPr>
        <w:t>arrêté,</w:t>
      </w:r>
      <w:r w:rsidR="00DB1635" w:rsidRPr="00B004EE">
        <w:rPr>
          <w:rFonts w:ascii="Tahoma" w:hAnsi="Tahoma" w:cs="Tahoma"/>
          <w:sz w:val="20"/>
          <w:szCs w:val="20"/>
        </w:rPr>
        <w:t xml:space="preserve"> </w:t>
      </w:r>
      <w:r w:rsidR="002F24E1" w:rsidRPr="00B004EE">
        <w:rPr>
          <w:rFonts w:ascii="Tahoma" w:hAnsi="Tahoma" w:cs="Tahoma"/>
          <w:sz w:val="20"/>
          <w:szCs w:val="20"/>
        </w:rPr>
        <w:t>on</w:t>
      </w:r>
      <w:r w:rsidR="00DB1635" w:rsidRPr="00B004EE">
        <w:rPr>
          <w:rFonts w:ascii="Tahoma" w:hAnsi="Tahoma" w:cs="Tahoma"/>
          <w:sz w:val="20"/>
          <w:szCs w:val="20"/>
        </w:rPr>
        <w:t xml:space="preserve"> </w:t>
      </w:r>
      <w:r w:rsidR="002F24E1" w:rsidRPr="00B004EE">
        <w:rPr>
          <w:rFonts w:ascii="Tahoma" w:hAnsi="Tahoma" w:cs="Tahoma"/>
          <w:sz w:val="20"/>
          <w:szCs w:val="20"/>
        </w:rPr>
        <w:t>entend</w:t>
      </w:r>
      <w:r w:rsidR="00DB1635" w:rsidRPr="00B004EE">
        <w:rPr>
          <w:rFonts w:ascii="Tahoma" w:hAnsi="Tahoma" w:cs="Tahoma"/>
          <w:sz w:val="20"/>
          <w:szCs w:val="20"/>
        </w:rPr>
        <w:t xml:space="preserve"> </w:t>
      </w:r>
      <w:r w:rsidR="005E42EF" w:rsidRPr="00B004EE">
        <w:rPr>
          <w:rFonts w:ascii="Tahoma" w:hAnsi="Tahoma" w:cs="Tahoma"/>
          <w:sz w:val="20"/>
          <w:szCs w:val="20"/>
        </w:rPr>
        <w:t>par :</w:t>
      </w:r>
    </w:p>
    <w:p w14:paraId="1E483B44" w14:textId="77B597D2" w:rsidR="002F24E1" w:rsidRPr="00B004EE" w:rsidRDefault="002F24E1" w:rsidP="00B004EE">
      <w:pPr>
        <w:numPr>
          <w:ilvl w:val="0"/>
          <w:numId w:val="3"/>
        </w:numPr>
        <w:ind w:left="284" w:hanging="284"/>
        <w:jc w:val="both"/>
        <w:rPr>
          <w:rFonts w:ascii="Tahoma" w:hAnsi="Tahoma" w:cs="Tahoma"/>
          <w:sz w:val="20"/>
          <w:szCs w:val="20"/>
        </w:rPr>
      </w:pPr>
      <w:r w:rsidRPr="00B004EE">
        <w:rPr>
          <w:rFonts w:ascii="Tahoma" w:hAnsi="Tahoma" w:cs="Tahoma"/>
          <w:sz w:val="20"/>
          <w:szCs w:val="20"/>
        </w:rPr>
        <w:t>Navire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00E32DBF" w:rsidRPr="00B004EE">
        <w:rPr>
          <w:rFonts w:ascii="Tahoma" w:hAnsi="Tahoma" w:cs="Tahoma"/>
          <w:sz w:val="20"/>
          <w:szCs w:val="20"/>
        </w:rPr>
        <w:t>pêche</w:t>
      </w:r>
      <w:r w:rsidR="00DB1635" w:rsidRPr="00B004EE">
        <w:rPr>
          <w:rFonts w:ascii="Tahoma" w:hAnsi="Tahoma" w:cs="Tahoma"/>
          <w:sz w:val="20"/>
          <w:szCs w:val="20"/>
        </w:rPr>
        <w:t xml:space="preserve"> </w:t>
      </w:r>
      <w:r w:rsidR="00E32DBF"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navire</w:t>
      </w:r>
      <w:r w:rsidR="00DB1635" w:rsidRPr="00B004EE">
        <w:rPr>
          <w:rFonts w:ascii="Tahoma" w:hAnsi="Tahoma" w:cs="Tahoma"/>
          <w:sz w:val="20"/>
          <w:szCs w:val="20"/>
        </w:rPr>
        <w:t xml:space="preserve"> </w:t>
      </w:r>
      <w:r w:rsidRPr="00B004EE">
        <w:rPr>
          <w:rFonts w:ascii="Tahoma" w:hAnsi="Tahoma" w:cs="Tahoma"/>
          <w:sz w:val="20"/>
          <w:szCs w:val="20"/>
        </w:rPr>
        <w:t>armé</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capture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conservation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bord</w:t>
      </w:r>
      <w:r w:rsidR="00DB1635" w:rsidRPr="00B004EE">
        <w:rPr>
          <w:rFonts w:ascii="Tahoma" w:hAnsi="Tahoma" w:cs="Tahoma"/>
          <w:sz w:val="20"/>
          <w:szCs w:val="20"/>
        </w:rPr>
        <w:t xml:space="preserve"> </w:t>
      </w:r>
      <w:r w:rsidRPr="00B004EE">
        <w:rPr>
          <w:rFonts w:ascii="Tahoma" w:hAnsi="Tahoma" w:cs="Tahoma"/>
          <w:sz w:val="20"/>
          <w:szCs w:val="20"/>
        </w:rPr>
        <w:t>duquel</w:t>
      </w:r>
      <w:r w:rsidR="00DB1635" w:rsidRPr="00B004EE">
        <w:rPr>
          <w:rFonts w:ascii="Tahoma" w:hAnsi="Tahoma" w:cs="Tahoma"/>
          <w:sz w:val="20"/>
          <w:szCs w:val="20"/>
        </w:rPr>
        <w:t xml:space="preserve"> </w:t>
      </w:r>
      <w:r w:rsidRPr="00B004EE">
        <w:rPr>
          <w:rFonts w:ascii="Tahoma" w:hAnsi="Tahoma" w:cs="Tahoma"/>
          <w:sz w:val="20"/>
          <w:szCs w:val="20"/>
        </w:rPr>
        <w:t>ceux-ci</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éventuellement,</w:t>
      </w:r>
      <w:r w:rsidR="00DB1635" w:rsidRPr="00B004EE">
        <w:rPr>
          <w:rFonts w:ascii="Tahoma" w:hAnsi="Tahoma" w:cs="Tahoma"/>
          <w:sz w:val="20"/>
          <w:szCs w:val="20"/>
        </w:rPr>
        <w:t xml:space="preserve"> </w:t>
      </w:r>
      <w:r w:rsidRPr="00B004EE">
        <w:rPr>
          <w:rFonts w:ascii="Tahoma" w:hAnsi="Tahoma" w:cs="Tahoma"/>
          <w:sz w:val="20"/>
          <w:szCs w:val="20"/>
        </w:rPr>
        <w:t>manipulés</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saignée,</w:t>
      </w:r>
      <w:r w:rsidR="00DB1635" w:rsidRPr="00B004EE">
        <w:rPr>
          <w:rFonts w:ascii="Tahoma" w:hAnsi="Tahoma" w:cs="Tahoma"/>
          <w:sz w:val="20"/>
          <w:szCs w:val="20"/>
        </w:rPr>
        <w:t xml:space="preserve"> </w:t>
      </w:r>
      <w:r w:rsidRPr="00B004EE">
        <w:rPr>
          <w:rFonts w:ascii="Tahoma" w:hAnsi="Tahoma" w:cs="Tahoma"/>
          <w:sz w:val="20"/>
          <w:szCs w:val="20"/>
        </w:rPr>
        <w:t>l'étêtage,</w:t>
      </w:r>
      <w:r w:rsidR="00DB1635" w:rsidRPr="00B004EE">
        <w:rPr>
          <w:rFonts w:ascii="Tahoma" w:hAnsi="Tahoma" w:cs="Tahoma"/>
          <w:sz w:val="20"/>
          <w:szCs w:val="20"/>
        </w:rPr>
        <w:t xml:space="preserve"> </w:t>
      </w:r>
      <w:r w:rsidRPr="00B004EE">
        <w:rPr>
          <w:rFonts w:ascii="Tahoma" w:hAnsi="Tahoma" w:cs="Tahoma"/>
          <w:sz w:val="20"/>
          <w:szCs w:val="20"/>
        </w:rPr>
        <w:t>l'éviscération,</w:t>
      </w:r>
      <w:r w:rsidR="00DB1635" w:rsidRPr="00B004EE">
        <w:rPr>
          <w:rFonts w:ascii="Tahoma" w:hAnsi="Tahoma" w:cs="Tahoma"/>
          <w:sz w:val="20"/>
          <w:szCs w:val="20"/>
        </w:rPr>
        <w:t xml:space="preserve"> </w:t>
      </w:r>
      <w:r w:rsidRPr="00B004EE">
        <w:rPr>
          <w:rFonts w:ascii="Tahoma" w:hAnsi="Tahoma" w:cs="Tahoma"/>
          <w:sz w:val="20"/>
          <w:szCs w:val="20"/>
        </w:rPr>
        <w:t>l'enlèvement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nageoires,</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réfrigération</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congélation</w:t>
      </w:r>
      <w:r w:rsidR="00DB1635" w:rsidRPr="00B004EE">
        <w:rPr>
          <w:rFonts w:ascii="Tahoma" w:hAnsi="Tahoma" w:cs="Tahoma"/>
          <w:sz w:val="20"/>
          <w:szCs w:val="20"/>
        </w:rPr>
        <w:t xml:space="preserve"> </w:t>
      </w:r>
      <w:r w:rsidRPr="00B004EE">
        <w:rPr>
          <w:rFonts w:ascii="Tahoma" w:hAnsi="Tahoma" w:cs="Tahoma"/>
          <w:sz w:val="20"/>
          <w:szCs w:val="20"/>
        </w:rPr>
        <w:t>suivie</w:t>
      </w:r>
      <w:r w:rsidR="00DB1635" w:rsidRPr="00B004EE">
        <w:rPr>
          <w:rFonts w:ascii="Tahoma" w:hAnsi="Tahoma" w:cs="Tahoma"/>
          <w:sz w:val="20"/>
          <w:szCs w:val="20"/>
        </w:rPr>
        <w:t xml:space="preserve"> </w:t>
      </w:r>
      <w:r w:rsidRPr="00B004EE">
        <w:rPr>
          <w:rFonts w:ascii="Tahoma" w:hAnsi="Tahoma" w:cs="Tahoma"/>
          <w:sz w:val="20"/>
          <w:szCs w:val="20"/>
        </w:rPr>
        <w:t>éventuellement</w:t>
      </w:r>
      <w:r w:rsidR="00DB1635" w:rsidRPr="00B004EE">
        <w:rPr>
          <w:rFonts w:ascii="Tahoma" w:hAnsi="Tahoma" w:cs="Tahoma"/>
          <w:sz w:val="20"/>
          <w:szCs w:val="20"/>
        </w:rPr>
        <w:t xml:space="preserve"> </w:t>
      </w:r>
      <w:r w:rsidRPr="00B004EE">
        <w:rPr>
          <w:rFonts w:ascii="Tahoma" w:hAnsi="Tahoma" w:cs="Tahoma"/>
          <w:sz w:val="20"/>
          <w:szCs w:val="20"/>
        </w:rPr>
        <w:t>d'un</w:t>
      </w:r>
      <w:r w:rsidR="00DB1635" w:rsidRPr="00B004EE">
        <w:rPr>
          <w:rFonts w:ascii="Tahoma" w:hAnsi="Tahoma" w:cs="Tahoma"/>
          <w:sz w:val="20"/>
          <w:szCs w:val="20"/>
        </w:rPr>
        <w:t xml:space="preserve"> </w:t>
      </w:r>
      <w:r w:rsidR="005E42EF" w:rsidRPr="00B004EE">
        <w:rPr>
          <w:rFonts w:ascii="Tahoma" w:hAnsi="Tahoma" w:cs="Tahoma"/>
          <w:sz w:val="20"/>
          <w:szCs w:val="20"/>
        </w:rPr>
        <w:t>emballage ;</w:t>
      </w:r>
    </w:p>
    <w:p w14:paraId="541652F4" w14:textId="7372CED1" w:rsidR="002F24E1" w:rsidRPr="00B004EE" w:rsidRDefault="005E42EF" w:rsidP="00B004EE">
      <w:pPr>
        <w:numPr>
          <w:ilvl w:val="0"/>
          <w:numId w:val="3"/>
        </w:numPr>
        <w:ind w:left="284" w:hanging="284"/>
        <w:jc w:val="both"/>
        <w:rPr>
          <w:rFonts w:ascii="Tahoma" w:hAnsi="Tahoma" w:cs="Tahoma"/>
          <w:sz w:val="20"/>
          <w:szCs w:val="20"/>
        </w:rPr>
      </w:pPr>
      <w:r w:rsidRPr="00B004EE">
        <w:rPr>
          <w:rFonts w:ascii="Tahoma" w:hAnsi="Tahoma" w:cs="Tahoma"/>
          <w:sz w:val="20"/>
          <w:szCs w:val="20"/>
        </w:rPr>
        <w:t>Navire</w:t>
      </w:r>
      <w:r w:rsidR="002F24E1" w:rsidRPr="00B004EE">
        <w:rPr>
          <w:rFonts w:ascii="Tahoma" w:hAnsi="Tahoma" w:cs="Tahoma"/>
          <w:sz w:val="20"/>
          <w:szCs w:val="20"/>
        </w:rPr>
        <w:t>-</w:t>
      </w:r>
      <w:r w:rsidRPr="00B004EE">
        <w:rPr>
          <w:rFonts w:ascii="Tahoma" w:hAnsi="Tahoma" w:cs="Tahoma"/>
          <w:sz w:val="20"/>
          <w:szCs w:val="20"/>
        </w:rPr>
        <w:t>usine :</w:t>
      </w:r>
      <w:r w:rsidR="00DB1635" w:rsidRPr="00B004EE">
        <w:rPr>
          <w:rFonts w:ascii="Tahoma" w:hAnsi="Tahoma" w:cs="Tahoma"/>
          <w:sz w:val="20"/>
          <w:szCs w:val="20"/>
        </w:rPr>
        <w:t xml:space="preserve"> </w:t>
      </w:r>
      <w:r w:rsidR="002F24E1" w:rsidRPr="00B004EE">
        <w:rPr>
          <w:rFonts w:ascii="Tahoma" w:hAnsi="Tahoma" w:cs="Tahoma"/>
          <w:sz w:val="20"/>
          <w:szCs w:val="20"/>
        </w:rPr>
        <w:t>un</w:t>
      </w:r>
      <w:r w:rsidR="00DB1635" w:rsidRPr="00B004EE">
        <w:rPr>
          <w:rFonts w:ascii="Tahoma" w:hAnsi="Tahoma" w:cs="Tahoma"/>
          <w:sz w:val="20"/>
          <w:szCs w:val="20"/>
        </w:rPr>
        <w:t xml:space="preserve"> </w:t>
      </w:r>
      <w:r w:rsidR="002F24E1" w:rsidRPr="00B004EE">
        <w:rPr>
          <w:rFonts w:ascii="Tahoma" w:hAnsi="Tahoma" w:cs="Tahoma"/>
          <w:sz w:val="20"/>
          <w:szCs w:val="20"/>
        </w:rPr>
        <w:t>navire</w:t>
      </w:r>
      <w:r w:rsidR="00DB1635" w:rsidRPr="00B004EE">
        <w:rPr>
          <w:rFonts w:ascii="Tahoma" w:hAnsi="Tahoma" w:cs="Tahoma"/>
          <w:sz w:val="20"/>
          <w:szCs w:val="20"/>
        </w:rPr>
        <w:t xml:space="preserve"> </w:t>
      </w:r>
      <w:r w:rsidR="002F24E1" w:rsidRPr="00B004EE">
        <w:rPr>
          <w:rFonts w:ascii="Tahoma" w:hAnsi="Tahoma" w:cs="Tahoma"/>
          <w:sz w:val="20"/>
          <w:szCs w:val="20"/>
        </w:rPr>
        <w:t>à</w:t>
      </w:r>
      <w:r w:rsidR="00DB1635" w:rsidRPr="00B004EE">
        <w:rPr>
          <w:rFonts w:ascii="Tahoma" w:hAnsi="Tahoma" w:cs="Tahoma"/>
          <w:sz w:val="20"/>
          <w:szCs w:val="20"/>
        </w:rPr>
        <w:t xml:space="preserve"> </w:t>
      </w:r>
      <w:r w:rsidR="002F24E1" w:rsidRPr="00B004EE">
        <w:rPr>
          <w:rFonts w:ascii="Tahoma" w:hAnsi="Tahoma" w:cs="Tahoma"/>
          <w:sz w:val="20"/>
          <w:szCs w:val="20"/>
        </w:rPr>
        <w:t>bord</w:t>
      </w:r>
      <w:r w:rsidR="00DB1635" w:rsidRPr="00B004EE">
        <w:rPr>
          <w:rFonts w:ascii="Tahoma" w:hAnsi="Tahoma" w:cs="Tahoma"/>
          <w:sz w:val="20"/>
          <w:szCs w:val="20"/>
        </w:rPr>
        <w:t xml:space="preserve"> </w:t>
      </w:r>
      <w:r w:rsidR="002F24E1" w:rsidRPr="00B004EE">
        <w:rPr>
          <w:rFonts w:ascii="Tahoma" w:hAnsi="Tahoma" w:cs="Tahoma"/>
          <w:sz w:val="20"/>
          <w:szCs w:val="20"/>
        </w:rPr>
        <w:t>duquel</w:t>
      </w:r>
      <w:r w:rsidR="00DB1635" w:rsidRPr="00B004EE">
        <w:rPr>
          <w:rFonts w:ascii="Tahoma" w:hAnsi="Tahoma" w:cs="Tahoma"/>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2F24E1" w:rsidRPr="00B004EE">
        <w:rPr>
          <w:rFonts w:ascii="Tahoma" w:hAnsi="Tahoma" w:cs="Tahoma"/>
          <w:sz w:val="20"/>
          <w:szCs w:val="20"/>
        </w:rPr>
        <w:t>produits</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la</w:t>
      </w:r>
      <w:r w:rsidR="00DB1635" w:rsidRPr="00B004EE">
        <w:rPr>
          <w:rFonts w:ascii="Tahoma" w:hAnsi="Tahoma" w:cs="Tahoma"/>
          <w:sz w:val="20"/>
          <w:szCs w:val="20"/>
        </w:rPr>
        <w:t xml:space="preserve"> </w:t>
      </w:r>
      <w:r w:rsidR="002F24E1" w:rsidRPr="00B004EE">
        <w:rPr>
          <w:rFonts w:ascii="Tahoma" w:hAnsi="Tahoma" w:cs="Tahoma"/>
          <w:sz w:val="20"/>
          <w:szCs w:val="20"/>
        </w:rPr>
        <w:t>pêche</w:t>
      </w:r>
      <w:r w:rsidR="00DB1635" w:rsidRPr="00B004EE">
        <w:rPr>
          <w:rFonts w:ascii="Tahoma" w:hAnsi="Tahoma" w:cs="Tahoma"/>
          <w:sz w:val="20"/>
          <w:szCs w:val="20"/>
        </w:rPr>
        <w:t xml:space="preserve"> </w:t>
      </w:r>
      <w:r w:rsidR="002F24E1" w:rsidRPr="00B004EE">
        <w:rPr>
          <w:rFonts w:ascii="Tahoma" w:hAnsi="Tahoma" w:cs="Tahoma"/>
          <w:sz w:val="20"/>
          <w:szCs w:val="20"/>
        </w:rPr>
        <w:t>subissent</w:t>
      </w:r>
      <w:r w:rsidR="00DB1635" w:rsidRPr="00B004EE">
        <w:rPr>
          <w:rFonts w:ascii="Tahoma" w:hAnsi="Tahoma" w:cs="Tahoma"/>
          <w:sz w:val="20"/>
          <w:szCs w:val="20"/>
        </w:rPr>
        <w:t xml:space="preserve"> </w:t>
      </w:r>
      <w:r w:rsidR="002F24E1" w:rsidRPr="00B004EE">
        <w:rPr>
          <w:rFonts w:ascii="Tahoma" w:hAnsi="Tahoma" w:cs="Tahoma"/>
          <w:sz w:val="20"/>
          <w:szCs w:val="20"/>
        </w:rPr>
        <w:t>avant</w:t>
      </w:r>
      <w:r w:rsidR="00DB1635" w:rsidRPr="00B004EE">
        <w:rPr>
          <w:rFonts w:ascii="Tahoma" w:hAnsi="Tahoma" w:cs="Tahoma"/>
          <w:sz w:val="20"/>
          <w:szCs w:val="20"/>
        </w:rPr>
        <w:t xml:space="preserve"> </w:t>
      </w:r>
      <w:r w:rsidR="002F24E1" w:rsidRPr="00B004EE">
        <w:rPr>
          <w:rFonts w:ascii="Tahoma" w:hAnsi="Tahoma" w:cs="Tahoma"/>
          <w:sz w:val="20"/>
          <w:szCs w:val="20"/>
        </w:rPr>
        <w:t>conditionnement</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p>
    <w:p w14:paraId="01439453" w14:textId="09DCD95D" w:rsidR="002F24E1" w:rsidRPr="00B004EE" w:rsidRDefault="00E32DBF" w:rsidP="00B004EE">
      <w:pPr>
        <w:numPr>
          <w:ilvl w:val="0"/>
          <w:numId w:val="3"/>
        </w:numPr>
        <w:ind w:left="284" w:hanging="284"/>
        <w:jc w:val="both"/>
        <w:rPr>
          <w:rFonts w:ascii="Tahoma" w:hAnsi="Tahoma" w:cs="Tahoma"/>
          <w:sz w:val="20"/>
          <w:szCs w:val="20"/>
        </w:rPr>
      </w:pPr>
      <w:r w:rsidRPr="00B004EE">
        <w:rPr>
          <w:rFonts w:ascii="Tahoma" w:hAnsi="Tahoma" w:cs="Tahoma"/>
          <w:sz w:val="20"/>
          <w:szCs w:val="20"/>
        </w:rPr>
        <w:t>Emballage</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002F24E1" w:rsidRPr="00B004EE">
        <w:rPr>
          <w:rFonts w:ascii="Tahoma" w:hAnsi="Tahoma" w:cs="Tahoma"/>
          <w:sz w:val="20"/>
          <w:szCs w:val="20"/>
        </w:rPr>
        <w:t>au</w:t>
      </w:r>
      <w:r w:rsidR="00DB1635" w:rsidRPr="00B004EE">
        <w:rPr>
          <w:rFonts w:ascii="Tahoma" w:hAnsi="Tahoma" w:cs="Tahoma"/>
          <w:sz w:val="20"/>
          <w:szCs w:val="20"/>
        </w:rPr>
        <w:t xml:space="preserve"> </w:t>
      </w:r>
      <w:r w:rsidR="002F24E1" w:rsidRPr="00B004EE">
        <w:rPr>
          <w:rFonts w:ascii="Tahoma" w:hAnsi="Tahoma" w:cs="Tahoma"/>
          <w:sz w:val="20"/>
          <w:szCs w:val="20"/>
        </w:rPr>
        <w:t>moins</w:t>
      </w:r>
      <w:r w:rsidR="00DB1635" w:rsidRPr="00B004EE">
        <w:rPr>
          <w:rFonts w:ascii="Tahoma" w:hAnsi="Tahoma" w:cs="Tahoma"/>
          <w:sz w:val="20"/>
          <w:szCs w:val="20"/>
        </w:rPr>
        <w:t xml:space="preserve"> </w:t>
      </w:r>
      <w:r w:rsidR="002F24E1" w:rsidRPr="00B004EE">
        <w:rPr>
          <w:rFonts w:ascii="Tahoma" w:hAnsi="Tahoma" w:cs="Tahoma"/>
          <w:sz w:val="20"/>
          <w:szCs w:val="20"/>
        </w:rPr>
        <w:t>deux</w:t>
      </w:r>
      <w:r w:rsidR="00DB1635" w:rsidRPr="00B004EE">
        <w:rPr>
          <w:rFonts w:ascii="Tahoma" w:hAnsi="Tahoma" w:cs="Tahoma"/>
          <w:sz w:val="20"/>
          <w:szCs w:val="20"/>
        </w:rPr>
        <w:t xml:space="preserve"> </w:t>
      </w:r>
      <w:r w:rsidR="002F24E1" w:rsidRPr="00B004EE">
        <w:rPr>
          <w:rFonts w:ascii="Tahoma" w:hAnsi="Tahoma" w:cs="Tahoma"/>
          <w:sz w:val="20"/>
          <w:szCs w:val="20"/>
        </w:rPr>
        <w:t>des</w:t>
      </w:r>
      <w:r w:rsidR="00DB1635" w:rsidRPr="00B004EE">
        <w:rPr>
          <w:rFonts w:ascii="Tahoma" w:hAnsi="Tahoma" w:cs="Tahoma"/>
          <w:sz w:val="20"/>
          <w:szCs w:val="20"/>
        </w:rPr>
        <w:t xml:space="preserve"> </w:t>
      </w:r>
      <w:r w:rsidR="002F24E1" w:rsidRPr="00B004EE">
        <w:rPr>
          <w:rFonts w:ascii="Tahoma" w:hAnsi="Tahoma" w:cs="Tahoma"/>
          <w:sz w:val="20"/>
          <w:szCs w:val="20"/>
        </w:rPr>
        <w:t>opérations</w:t>
      </w:r>
      <w:r w:rsidR="00DB1635" w:rsidRPr="00B004EE">
        <w:rPr>
          <w:rFonts w:ascii="Tahoma" w:hAnsi="Tahoma" w:cs="Tahoma"/>
          <w:sz w:val="20"/>
          <w:szCs w:val="20"/>
        </w:rPr>
        <w:t xml:space="preserve"> </w:t>
      </w:r>
      <w:r w:rsidRPr="00B004EE">
        <w:rPr>
          <w:rFonts w:ascii="Tahoma" w:hAnsi="Tahoma" w:cs="Tahoma"/>
          <w:sz w:val="20"/>
          <w:szCs w:val="20"/>
        </w:rPr>
        <w:t>suivantes</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002F24E1" w:rsidRPr="00B004EE">
        <w:rPr>
          <w:rFonts w:ascii="Tahoma" w:hAnsi="Tahoma" w:cs="Tahoma"/>
          <w:sz w:val="20"/>
          <w:szCs w:val="20"/>
        </w:rPr>
        <w:t>préparation</w:t>
      </w:r>
      <w:r w:rsidR="00DB1635" w:rsidRPr="00B004EE">
        <w:rPr>
          <w:rFonts w:ascii="Tahoma" w:hAnsi="Tahoma" w:cs="Tahoma"/>
          <w:sz w:val="20"/>
          <w:szCs w:val="20"/>
        </w:rPr>
        <w:t xml:space="preserve"> </w:t>
      </w:r>
      <w:r w:rsidR="002F24E1" w:rsidRPr="00B004EE">
        <w:rPr>
          <w:rFonts w:ascii="Tahoma" w:hAnsi="Tahoma" w:cs="Tahoma"/>
          <w:sz w:val="20"/>
          <w:szCs w:val="20"/>
        </w:rPr>
        <w:t>(filetage,</w:t>
      </w:r>
      <w:r w:rsidR="00DB1635" w:rsidRPr="00B004EE">
        <w:rPr>
          <w:rFonts w:ascii="Tahoma" w:hAnsi="Tahoma" w:cs="Tahoma"/>
          <w:sz w:val="20"/>
          <w:szCs w:val="20"/>
        </w:rPr>
        <w:t xml:space="preserve"> </w:t>
      </w:r>
      <w:r w:rsidR="002F24E1" w:rsidRPr="00B004EE">
        <w:rPr>
          <w:rFonts w:ascii="Tahoma" w:hAnsi="Tahoma" w:cs="Tahoma"/>
          <w:sz w:val="20"/>
          <w:szCs w:val="20"/>
        </w:rPr>
        <w:t>tranchage,</w:t>
      </w:r>
      <w:r w:rsidR="00DB1635" w:rsidRPr="00B004EE">
        <w:rPr>
          <w:rFonts w:ascii="Tahoma" w:hAnsi="Tahoma" w:cs="Tahoma"/>
          <w:sz w:val="20"/>
          <w:szCs w:val="20"/>
        </w:rPr>
        <w:t xml:space="preserve"> </w:t>
      </w:r>
      <w:r w:rsidR="002F24E1" w:rsidRPr="00B004EE">
        <w:rPr>
          <w:rFonts w:ascii="Tahoma" w:hAnsi="Tahoma" w:cs="Tahoma"/>
          <w:sz w:val="20"/>
          <w:szCs w:val="20"/>
        </w:rPr>
        <w:t>hachage),</w:t>
      </w:r>
      <w:r w:rsidR="00DB1635" w:rsidRPr="00B004EE">
        <w:rPr>
          <w:rFonts w:ascii="Tahoma" w:hAnsi="Tahoma" w:cs="Tahoma"/>
          <w:sz w:val="20"/>
          <w:szCs w:val="20"/>
        </w:rPr>
        <w:t xml:space="preserve"> </w:t>
      </w:r>
      <w:r w:rsidR="002F24E1" w:rsidRPr="00B004EE">
        <w:rPr>
          <w:rFonts w:ascii="Tahoma" w:hAnsi="Tahoma" w:cs="Tahoma"/>
          <w:sz w:val="20"/>
          <w:szCs w:val="20"/>
        </w:rPr>
        <w:t>congélation</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transformation.</w:t>
      </w:r>
      <w:r w:rsidR="00DB1635" w:rsidRPr="00B004EE">
        <w:rPr>
          <w:rFonts w:ascii="Tahoma" w:hAnsi="Tahoma" w:cs="Tahoma"/>
          <w:sz w:val="20"/>
          <w:szCs w:val="20"/>
        </w:rPr>
        <w:t xml:space="preserve"> </w:t>
      </w:r>
      <w:r w:rsidR="002F24E1" w:rsidRPr="00B004EE">
        <w:rPr>
          <w:rFonts w:ascii="Tahoma" w:hAnsi="Tahoma" w:cs="Tahoma"/>
          <w:sz w:val="20"/>
          <w:szCs w:val="20"/>
        </w:rPr>
        <w:t>Ne</w:t>
      </w:r>
      <w:r w:rsidR="00DB1635" w:rsidRPr="00B004EE">
        <w:rPr>
          <w:rFonts w:ascii="Tahoma" w:hAnsi="Tahoma" w:cs="Tahoma"/>
          <w:sz w:val="20"/>
          <w:szCs w:val="20"/>
        </w:rPr>
        <w:t xml:space="preserve"> </w:t>
      </w:r>
      <w:r w:rsidR="002F24E1" w:rsidRPr="00B004EE">
        <w:rPr>
          <w:rFonts w:ascii="Tahoma" w:hAnsi="Tahoma" w:cs="Tahoma"/>
          <w:sz w:val="20"/>
          <w:szCs w:val="20"/>
        </w:rPr>
        <w:t>sont</w:t>
      </w:r>
      <w:r w:rsidR="00DB1635" w:rsidRPr="00B004EE">
        <w:rPr>
          <w:rFonts w:ascii="Tahoma" w:hAnsi="Tahoma" w:cs="Tahoma"/>
          <w:sz w:val="20"/>
          <w:szCs w:val="20"/>
        </w:rPr>
        <w:t xml:space="preserve"> </w:t>
      </w:r>
      <w:r w:rsidR="002F24E1" w:rsidRPr="00B004EE">
        <w:rPr>
          <w:rFonts w:ascii="Tahoma" w:hAnsi="Tahoma" w:cs="Tahoma"/>
          <w:sz w:val="20"/>
          <w:szCs w:val="20"/>
        </w:rPr>
        <w:t>pas</w:t>
      </w:r>
      <w:r w:rsidR="00DB1635" w:rsidRPr="00B004EE">
        <w:rPr>
          <w:rFonts w:ascii="Tahoma" w:hAnsi="Tahoma" w:cs="Tahoma"/>
          <w:sz w:val="20"/>
          <w:szCs w:val="20"/>
        </w:rPr>
        <w:t xml:space="preserve"> </w:t>
      </w:r>
      <w:r w:rsidR="002F24E1" w:rsidRPr="00B004EE">
        <w:rPr>
          <w:rFonts w:ascii="Tahoma" w:hAnsi="Tahoma" w:cs="Tahoma"/>
          <w:sz w:val="20"/>
          <w:szCs w:val="20"/>
        </w:rPr>
        <w:t>considérés</w:t>
      </w:r>
      <w:r w:rsidR="00DB1635" w:rsidRPr="00B004EE">
        <w:rPr>
          <w:rFonts w:ascii="Tahoma" w:hAnsi="Tahoma" w:cs="Tahoma"/>
          <w:sz w:val="20"/>
          <w:szCs w:val="20"/>
        </w:rPr>
        <w:t xml:space="preserve"> </w:t>
      </w:r>
      <w:r w:rsidR="002F24E1" w:rsidRPr="00B004EE">
        <w:rPr>
          <w:rFonts w:ascii="Tahoma" w:hAnsi="Tahoma" w:cs="Tahoma"/>
          <w:sz w:val="20"/>
          <w:szCs w:val="20"/>
        </w:rPr>
        <w:t>comme</w:t>
      </w:r>
      <w:r w:rsidR="00DB1635" w:rsidRPr="00B004EE">
        <w:rPr>
          <w:rFonts w:ascii="Tahoma" w:hAnsi="Tahoma" w:cs="Tahoma"/>
          <w:sz w:val="20"/>
          <w:szCs w:val="20"/>
        </w:rPr>
        <w:t xml:space="preserve"> </w:t>
      </w:r>
      <w:r w:rsidR="002F24E1" w:rsidRPr="00B004EE">
        <w:rPr>
          <w:rFonts w:ascii="Tahoma" w:hAnsi="Tahoma" w:cs="Tahoma"/>
          <w:sz w:val="20"/>
          <w:szCs w:val="20"/>
        </w:rPr>
        <w:t>navires-usines</w:t>
      </w:r>
      <w:r w:rsidR="00DB1635" w:rsidRPr="00B004EE">
        <w:rPr>
          <w:rFonts w:ascii="Tahoma" w:hAnsi="Tahoma" w:cs="Tahoma"/>
          <w:sz w:val="20"/>
          <w:szCs w:val="20"/>
        </w:rPr>
        <w:t xml:space="preserve"> </w:t>
      </w:r>
      <w:r w:rsidR="002F24E1" w:rsidRPr="00B004EE">
        <w:rPr>
          <w:rFonts w:ascii="Tahoma" w:hAnsi="Tahoma" w:cs="Tahoma"/>
          <w:sz w:val="20"/>
          <w:szCs w:val="20"/>
        </w:rPr>
        <w:t>notamment</w:t>
      </w:r>
      <w:r w:rsidR="00DB1635" w:rsidRPr="00B004EE">
        <w:rPr>
          <w:rFonts w:ascii="Tahoma" w:hAnsi="Tahoma" w:cs="Tahoma"/>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2F24E1" w:rsidRPr="00B004EE">
        <w:rPr>
          <w:rFonts w:ascii="Tahoma" w:hAnsi="Tahoma" w:cs="Tahoma"/>
          <w:sz w:val="20"/>
          <w:szCs w:val="20"/>
        </w:rPr>
        <w:t>navires</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pêche</w:t>
      </w:r>
      <w:r w:rsidR="00DB1635" w:rsidRPr="00B004EE">
        <w:rPr>
          <w:rFonts w:ascii="Tahoma" w:hAnsi="Tahoma" w:cs="Tahoma"/>
          <w:sz w:val="20"/>
          <w:szCs w:val="20"/>
        </w:rPr>
        <w:t xml:space="preserve"> </w:t>
      </w:r>
      <w:r w:rsidR="002F24E1" w:rsidRPr="00B004EE">
        <w:rPr>
          <w:rFonts w:ascii="Tahoma" w:hAnsi="Tahoma" w:cs="Tahoma"/>
          <w:sz w:val="20"/>
          <w:szCs w:val="20"/>
        </w:rPr>
        <w:t>qui</w:t>
      </w:r>
      <w:r w:rsidR="00DB1635" w:rsidRPr="00B004EE">
        <w:rPr>
          <w:rFonts w:ascii="Tahoma" w:hAnsi="Tahoma" w:cs="Tahoma"/>
          <w:sz w:val="20"/>
          <w:szCs w:val="20"/>
        </w:rPr>
        <w:t xml:space="preserve"> </w:t>
      </w:r>
      <w:r w:rsidR="00AD7D88" w:rsidRPr="00B004EE">
        <w:rPr>
          <w:rFonts w:ascii="Tahoma" w:hAnsi="Tahoma" w:cs="Tahoma"/>
          <w:sz w:val="20"/>
          <w:szCs w:val="20"/>
        </w:rPr>
        <w:t>procèdent</w:t>
      </w:r>
      <w:r w:rsidR="00DB1635" w:rsidRPr="00B004EE">
        <w:rPr>
          <w:rFonts w:ascii="Tahoma" w:hAnsi="Tahoma" w:cs="Tahoma"/>
          <w:sz w:val="20"/>
          <w:szCs w:val="20"/>
        </w:rPr>
        <w:t xml:space="preserve"> </w:t>
      </w:r>
      <w:r w:rsidR="002F24E1" w:rsidRPr="00B004EE">
        <w:rPr>
          <w:rFonts w:ascii="Tahoma" w:hAnsi="Tahoma" w:cs="Tahoma"/>
          <w:sz w:val="20"/>
          <w:szCs w:val="20"/>
        </w:rPr>
        <w:t>seulement</w:t>
      </w:r>
      <w:r w:rsidR="00DB1635" w:rsidRPr="00B004EE">
        <w:rPr>
          <w:rFonts w:ascii="Tahoma" w:hAnsi="Tahoma" w:cs="Tahoma"/>
          <w:sz w:val="20"/>
          <w:szCs w:val="20"/>
        </w:rPr>
        <w:t xml:space="preserve"> </w:t>
      </w:r>
      <w:r w:rsidR="002F24E1" w:rsidRPr="00B004EE">
        <w:rPr>
          <w:rFonts w:ascii="Tahoma" w:hAnsi="Tahoma" w:cs="Tahoma"/>
          <w:sz w:val="20"/>
          <w:szCs w:val="20"/>
        </w:rPr>
        <w:t>à</w:t>
      </w:r>
      <w:r w:rsidR="00DB1635" w:rsidRPr="00B004EE">
        <w:rPr>
          <w:rFonts w:ascii="Tahoma" w:hAnsi="Tahoma" w:cs="Tahoma"/>
          <w:sz w:val="20"/>
          <w:szCs w:val="20"/>
        </w:rPr>
        <w:t xml:space="preserve"> </w:t>
      </w:r>
      <w:r w:rsidR="002F24E1" w:rsidRPr="00B004EE">
        <w:rPr>
          <w:rFonts w:ascii="Tahoma" w:hAnsi="Tahoma" w:cs="Tahoma"/>
          <w:sz w:val="20"/>
          <w:szCs w:val="20"/>
        </w:rPr>
        <w:t>la</w:t>
      </w:r>
      <w:r w:rsidR="00DB1635" w:rsidRPr="00B004EE">
        <w:rPr>
          <w:rFonts w:ascii="Tahoma" w:hAnsi="Tahoma" w:cs="Tahoma"/>
          <w:sz w:val="20"/>
          <w:szCs w:val="20"/>
        </w:rPr>
        <w:t xml:space="preserve"> </w:t>
      </w:r>
      <w:r w:rsidR="002F24E1" w:rsidRPr="00B004EE">
        <w:rPr>
          <w:rFonts w:ascii="Tahoma" w:hAnsi="Tahoma" w:cs="Tahoma"/>
          <w:sz w:val="20"/>
          <w:szCs w:val="20"/>
        </w:rPr>
        <w:t>congélation</w:t>
      </w:r>
      <w:r w:rsidR="00DB1635" w:rsidRPr="00B004EE">
        <w:rPr>
          <w:rFonts w:ascii="Tahoma" w:hAnsi="Tahoma" w:cs="Tahoma"/>
          <w:sz w:val="20"/>
          <w:szCs w:val="20"/>
        </w:rPr>
        <w:t xml:space="preserve"> </w:t>
      </w:r>
      <w:r w:rsidR="002F24E1" w:rsidRPr="00B004EE">
        <w:rPr>
          <w:rFonts w:ascii="Tahoma" w:hAnsi="Tahoma" w:cs="Tahoma"/>
          <w:sz w:val="20"/>
          <w:szCs w:val="20"/>
        </w:rPr>
        <w:t>(navires</w:t>
      </w:r>
      <w:r w:rsidR="00DB1635" w:rsidRPr="00B004EE">
        <w:rPr>
          <w:rFonts w:ascii="Tahoma" w:hAnsi="Tahoma" w:cs="Tahoma"/>
          <w:sz w:val="20"/>
          <w:szCs w:val="20"/>
        </w:rPr>
        <w:t xml:space="preserve"> </w:t>
      </w:r>
      <w:r w:rsidR="002F24E1" w:rsidRPr="00B004EE">
        <w:rPr>
          <w:rFonts w:ascii="Tahoma" w:hAnsi="Tahoma" w:cs="Tahoma"/>
          <w:sz w:val="20"/>
          <w:szCs w:val="20"/>
        </w:rPr>
        <w:t>congélateurs),</w:t>
      </w:r>
      <w:r w:rsidR="00DB1635" w:rsidRPr="00B004EE">
        <w:rPr>
          <w:rFonts w:ascii="Tahoma" w:hAnsi="Tahoma" w:cs="Tahoma"/>
          <w:sz w:val="20"/>
          <w:szCs w:val="20"/>
        </w:rPr>
        <w:t xml:space="preserve"> </w:t>
      </w:r>
      <w:r w:rsidR="002F24E1" w:rsidRPr="00B004EE">
        <w:rPr>
          <w:rFonts w:ascii="Tahoma" w:hAnsi="Tahoma" w:cs="Tahoma"/>
          <w:sz w:val="20"/>
          <w:szCs w:val="20"/>
        </w:rPr>
        <w:t>ou</w:t>
      </w:r>
      <w:r w:rsidR="00DB1635" w:rsidRPr="00B004EE">
        <w:rPr>
          <w:rFonts w:ascii="Tahoma" w:hAnsi="Tahoma" w:cs="Tahoma"/>
          <w:sz w:val="20"/>
          <w:szCs w:val="20"/>
        </w:rPr>
        <w:t xml:space="preserve"> </w:t>
      </w:r>
      <w:r w:rsidR="002F24E1" w:rsidRPr="00B004EE">
        <w:rPr>
          <w:rFonts w:ascii="Tahoma" w:hAnsi="Tahoma" w:cs="Tahoma"/>
          <w:sz w:val="20"/>
          <w:szCs w:val="20"/>
        </w:rPr>
        <w:t>à</w:t>
      </w:r>
      <w:r w:rsidR="00DB1635" w:rsidRPr="00B004EE">
        <w:rPr>
          <w:rFonts w:ascii="Tahoma" w:hAnsi="Tahoma" w:cs="Tahoma"/>
          <w:sz w:val="20"/>
          <w:szCs w:val="20"/>
        </w:rPr>
        <w:t xml:space="preserve"> </w:t>
      </w:r>
      <w:r w:rsidR="002F24E1" w:rsidRPr="00B004EE">
        <w:rPr>
          <w:rFonts w:ascii="Tahoma" w:hAnsi="Tahoma" w:cs="Tahoma"/>
          <w:sz w:val="20"/>
          <w:szCs w:val="20"/>
        </w:rPr>
        <w:t>la</w:t>
      </w:r>
      <w:r w:rsidR="00DB1635" w:rsidRPr="00B004EE">
        <w:rPr>
          <w:rFonts w:ascii="Tahoma" w:hAnsi="Tahoma" w:cs="Tahoma"/>
          <w:sz w:val="20"/>
          <w:szCs w:val="20"/>
        </w:rPr>
        <w:t xml:space="preserve"> </w:t>
      </w:r>
      <w:r w:rsidR="002F24E1" w:rsidRPr="00B004EE">
        <w:rPr>
          <w:rFonts w:ascii="Tahoma" w:hAnsi="Tahoma" w:cs="Tahoma"/>
          <w:sz w:val="20"/>
          <w:szCs w:val="20"/>
        </w:rPr>
        <w:t>cuisson</w:t>
      </w:r>
      <w:r w:rsidR="00DB1635" w:rsidRPr="00B004EE">
        <w:rPr>
          <w:rFonts w:ascii="Tahoma" w:hAnsi="Tahoma" w:cs="Tahoma"/>
          <w:sz w:val="20"/>
          <w:szCs w:val="20"/>
        </w:rPr>
        <w:t xml:space="preserve"> </w:t>
      </w:r>
      <w:r w:rsidR="002F24E1" w:rsidRPr="00B004EE">
        <w:rPr>
          <w:rFonts w:ascii="Tahoma" w:hAnsi="Tahoma" w:cs="Tahoma"/>
          <w:sz w:val="20"/>
          <w:szCs w:val="20"/>
        </w:rPr>
        <w:t>(navire</w:t>
      </w:r>
      <w:r w:rsidR="00DB1635" w:rsidRPr="00B004EE">
        <w:rPr>
          <w:rFonts w:ascii="Tahoma" w:hAnsi="Tahoma" w:cs="Tahoma"/>
          <w:sz w:val="20"/>
          <w:szCs w:val="20"/>
        </w:rPr>
        <w:t xml:space="preserve"> </w:t>
      </w:r>
      <w:r w:rsidR="002F24E1" w:rsidRPr="00B004EE">
        <w:rPr>
          <w:rFonts w:ascii="Tahoma" w:hAnsi="Tahoma" w:cs="Tahoma"/>
          <w:sz w:val="20"/>
          <w:szCs w:val="20"/>
        </w:rPr>
        <w:t>cuiseurs</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crevettes</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mollusques)</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ce</w:t>
      </w:r>
      <w:r w:rsidR="00DB1635" w:rsidRPr="00B004EE">
        <w:rPr>
          <w:rFonts w:ascii="Tahoma" w:hAnsi="Tahoma" w:cs="Tahoma"/>
          <w:sz w:val="20"/>
          <w:szCs w:val="20"/>
        </w:rPr>
        <w:t xml:space="preserve"> </w:t>
      </w:r>
      <w:r w:rsidR="002F24E1" w:rsidRPr="00B004EE">
        <w:rPr>
          <w:rFonts w:ascii="Tahoma" w:hAnsi="Tahoma" w:cs="Tahoma"/>
          <w:sz w:val="20"/>
          <w:szCs w:val="20"/>
        </w:rPr>
        <w:t>même</w:t>
      </w:r>
      <w:r w:rsidR="00DB1635" w:rsidRPr="00B004EE">
        <w:rPr>
          <w:rFonts w:ascii="Tahoma" w:hAnsi="Tahoma" w:cs="Tahoma"/>
          <w:sz w:val="20"/>
          <w:szCs w:val="20"/>
        </w:rPr>
        <w:t xml:space="preserve"> </w:t>
      </w:r>
      <w:r w:rsidR="002F24E1" w:rsidRPr="00B004EE">
        <w:rPr>
          <w:rFonts w:ascii="Tahoma" w:hAnsi="Tahoma" w:cs="Tahoma"/>
          <w:sz w:val="20"/>
          <w:szCs w:val="20"/>
        </w:rPr>
        <w:t>s'il</w:t>
      </w:r>
      <w:r w:rsidR="00DB1635" w:rsidRPr="00B004EE">
        <w:rPr>
          <w:rFonts w:ascii="Tahoma" w:hAnsi="Tahoma" w:cs="Tahoma"/>
          <w:sz w:val="20"/>
          <w:szCs w:val="20"/>
        </w:rPr>
        <w:t xml:space="preserve"> </w:t>
      </w:r>
      <w:r w:rsidR="002F24E1" w:rsidRPr="00B004EE">
        <w:rPr>
          <w:rFonts w:ascii="Tahoma" w:hAnsi="Tahoma" w:cs="Tahoma"/>
          <w:sz w:val="20"/>
          <w:szCs w:val="20"/>
        </w:rPr>
        <w:t>y</w:t>
      </w:r>
      <w:r w:rsidR="00DB1635" w:rsidRPr="00B004EE">
        <w:rPr>
          <w:rFonts w:ascii="Tahoma" w:hAnsi="Tahoma" w:cs="Tahoma"/>
          <w:sz w:val="20"/>
          <w:szCs w:val="20"/>
        </w:rPr>
        <w:t xml:space="preserve"> </w:t>
      </w:r>
      <w:r w:rsidR="002F24E1" w:rsidRPr="00B004EE">
        <w:rPr>
          <w:rFonts w:ascii="Tahoma" w:hAnsi="Tahoma" w:cs="Tahoma"/>
          <w:sz w:val="20"/>
          <w:szCs w:val="20"/>
        </w:rPr>
        <w:t>a</w:t>
      </w:r>
      <w:r w:rsidR="00DB1635" w:rsidRPr="00B004EE">
        <w:rPr>
          <w:rFonts w:ascii="Tahoma" w:hAnsi="Tahoma" w:cs="Tahoma"/>
          <w:sz w:val="20"/>
          <w:szCs w:val="20"/>
        </w:rPr>
        <w:t xml:space="preserve"> </w:t>
      </w:r>
      <w:r w:rsidR="002F24E1" w:rsidRPr="00B004EE">
        <w:rPr>
          <w:rFonts w:ascii="Tahoma" w:hAnsi="Tahoma" w:cs="Tahoma"/>
          <w:sz w:val="20"/>
          <w:szCs w:val="20"/>
        </w:rPr>
        <w:t>conditionnement</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emballage</w:t>
      </w:r>
      <w:r w:rsidR="00DB1635" w:rsidRPr="00B004EE">
        <w:rPr>
          <w:rFonts w:ascii="Tahoma" w:hAnsi="Tahoma" w:cs="Tahoma"/>
          <w:sz w:val="20"/>
          <w:szCs w:val="20"/>
        </w:rPr>
        <w:t xml:space="preserve"> </w:t>
      </w:r>
      <w:r w:rsidR="002F24E1" w:rsidRPr="00B004EE">
        <w:rPr>
          <w:rFonts w:ascii="Tahoma" w:hAnsi="Tahoma" w:cs="Tahoma"/>
          <w:sz w:val="20"/>
          <w:szCs w:val="20"/>
        </w:rPr>
        <w:t>à</w:t>
      </w:r>
      <w:r w:rsidR="00DB1635" w:rsidRPr="00B004EE">
        <w:rPr>
          <w:rFonts w:ascii="Tahoma" w:hAnsi="Tahoma" w:cs="Tahoma"/>
          <w:sz w:val="20"/>
          <w:szCs w:val="20"/>
        </w:rPr>
        <w:t xml:space="preserve"> </w:t>
      </w:r>
      <w:r w:rsidR="00AD7D88" w:rsidRPr="00B004EE">
        <w:rPr>
          <w:rFonts w:ascii="Tahoma" w:hAnsi="Tahoma" w:cs="Tahoma"/>
          <w:sz w:val="20"/>
          <w:szCs w:val="20"/>
        </w:rPr>
        <w:t>bord ;</w:t>
      </w:r>
    </w:p>
    <w:p w14:paraId="189DDB0B" w14:textId="571884E3" w:rsidR="002F24E1" w:rsidRPr="00B004EE" w:rsidRDefault="002F24E1" w:rsidP="00B004EE">
      <w:pPr>
        <w:numPr>
          <w:ilvl w:val="0"/>
          <w:numId w:val="3"/>
        </w:numPr>
        <w:ind w:left="284" w:hanging="284"/>
        <w:jc w:val="both"/>
        <w:rPr>
          <w:rFonts w:ascii="Tahoma" w:hAnsi="Tahoma" w:cs="Tahoma"/>
          <w:sz w:val="20"/>
          <w:szCs w:val="20"/>
        </w:rPr>
      </w:pPr>
      <w:proofErr w:type="gramStart"/>
      <w:r w:rsidRPr="00B004EE">
        <w:rPr>
          <w:rFonts w:ascii="Tahoma" w:hAnsi="Tahoma" w:cs="Tahoma"/>
          <w:sz w:val="20"/>
          <w:szCs w:val="20"/>
        </w:rPr>
        <w:t>vente</w:t>
      </w:r>
      <w:proofErr w:type="gramEnd"/>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gros:</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détention</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l'exposition,</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mise</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vente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vente</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professionnels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présentée</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leurs</w:t>
      </w:r>
      <w:r w:rsidR="00DB1635" w:rsidRPr="00B004EE">
        <w:rPr>
          <w:rFonts w:ascii="Tahoma" w:hAnsi="Tahoma" w:cs="Tahoma"/>
          <w:sz w:val="20"/>
          <w:szCs w:val="20"/>
        </w:rPr>
        <w:t xml:space="preserve"> </w:t>
      </w:r>
      <w:r w:rsidRPr="00B004EE">
        <w:rPr>
          <w:rFonts w:ascii="Tahoma" w:hAnsi="Tahoma" w:cs="Tahoma"/>
          <w:sz w:val="20"/>
          <w:szCs w:val="20"/>
        </w:rPr>
        <w:t>emballages</w:t>
      </w:r>
      <w:r w:rsidR="00DB1635" w:rsidRPr="00B004EE">
        <w:rPr>
          <w:rFonts w:ascii="Tahoma" w:hAnsi="Tahoma" w:cs="Tahoma"/>
          <w:sz w:val="20"/>
          <w:szCs w:val="20"/>
        </w:rPr>
        <w:t xml:space="preserve"> </w:t>
      </w:r>
      <w:r w:rsidRPr="00B004EE">
        <w:rPr>
          <w:rFonts w:ascii="Tahoma" w:hAnsi="Tahoma" w:cs="Tahoma"/>
          <w:sz w:val="20"/>
          <w:szCs w:val="20"/>
        </w:rPr>
        <w:t>et/ou</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leur</w:t>
      </w:r>
      <w:r w:rsidR="00DB1635" w:rsidRPr="00B004EE">
        <w:rPr>
          <w:rFonts w:ascii="Tahoma" w:hAnsi="Tahoma" w:cs="Tahoma"/>
          <w:sz w:val="20"/>
          <w:szCs w:val="20"/>
        </w:rPr>
        <w:t xml:space="preserve"> </w:t>
      </w:r>
      <w:r w:rsidRPr="00B004EE">
        <w:rPr>
          <w:rFonts w:ascii="Tahoma" w:hAnsi="Tahoma" w:cs="Tahoma"/>
          <w:sz w:val="20"/>
          <w:szCs w:val="20"/>
        </w:rPr>
        <w:t>conditionnement</w:t>
      </w:r>
      <w:r w:rsidR="00DB1635" w:rsidRPr="00B004EE">
        <w:rPr>
          <w:rFonts w:ascii="Tahoma" w:hAnsi="Tahoma" w:cs="Tahoma"/>
          <w:sz w:val="20"/>
          <w:szCs w:val="20"/>
        </w:rPr>
        <w:t xml:space="preserve"> </w:t>
      </w:r>
      <w:r w:rsidRPr="00B004EE">
        <w:rPr>
          <w:rFonts w:ascii="Tahoma" w:hAnsi="Tahoma" w:cs="Tahoma"/>
          <w:sz w:val="20"/>
          <w:szCs w:val="20"/>
        </w:rPr>
        <w:t>d'origine,</w:t>
      </w:r>
      <w:r w:rsidR="00DB1635" w:rsidRPr="00B004EE">
        <w:rPr>
          <w:rFonts w:ascii="Tahoma" w:hAnsi="Tahoma" w:cs="Tahoma"/>
          <w:sz w:val="20"/>
          <w:szCs w:val="20"/>
        </w:rPr>
        <w:t xml:space="preserve"> </w:t>
      </w:r>
      <w:r w:rsidRPr="00B004EE">
        <w:rPr>
          <w:rFonts w:ascii="Tahoma" w:hAnsi="Tahoma" w:cs="Tahoma"/>
          <w:sz w:val="20"/>
          <w:szCs w:val="20"/>
        </w:rPr>
        <w:t>sans</w:t>
      </w:r>
      <w:r w:rsidR="00DB1635" w:rsidRPr="00B004EE">
        <w:rPr>
          <w:rFonts w:ascii="Tahoma" w:hAnsi="Tahoma" w:cs="Tahoma"/>
          <w:sz w:val="20"/>
          <w:szCs w:val="20"/>
        </w:rPr>
        <w:t xml:space="preserve"> </w:t>
      </w:r>
      <w:r w:rsidRPr="00B004EE">
        <w:rPr>
          <w:rFonts w:ascii="Tahoma" w:hAnsi="Tahoma" w:cs="Tahoma"/>
          <w:sz w:val="20"/>
          <w:szCs w:val="20"/>
        </w:rPr>
        <w:t>qu'il</w:t>
      </w:r>
      <w:r w:rsidR="00DB1635" w:rsidRPr="00B004EE">
        <w:rPr>
          <w:rFonts w:ascii="Tahoma" w:hAnsi="Tahoma" w:cs="Tahoma"/>
          <w:sz w:val="20"/>
          <w:szCs w:val="20"/>
        </w:rPr>
        <w:t xml:space="preserve"> </w:t>
      </w:r>
      <w:r w:rsidRPr="00B004EE">
        <w:rPr>
          <w:rFonts w:ascii="Tahoma" w:hAnsi="Tahoma" w:cs="Tahoma"/>
          <w:sz w:val="20"/>
          <w:szCs w:val="20"/>
        </w:rPr>
        <w:t>y</w:t>
      </w:r>
      <w:r w:rsidR="00DB1635" w:rsidRPr="00B004EE">
        <w:rPr>
          <w:rFonts w:ascii="Tahoma" w:hAnsi="Tahoma" w:cs="Tahoma"/>
          <w:sz w:val="20"/>
          <w:szCs w:val="20"/>
        </w:rPr>
        <w:t xml:space="preserve"> </w:t>
      </w:r>
      <w:r w:rsidRPr="00B004EE">
        <w:rPr>
          <w:rFonts w:ascii="Tahoma" w:hAnsi="Tahoma" w:cs="Tahoma"/>
          <w:sz w:val="20"/>
          <w:szCs w:val="20"/>
        </w:rPr>
        <w:t>ait</w:t>
      </w:r>
      <w:r w:rsidR="00DB1635" w:rsidRPr="00B004EE">
        <w:rPr>
          <w:rFonts w:ascii="Tahoma" w:hAnsi="Tahoma" w:cs="Tahoma"/>
          <w:sz w:val="20"/>
          <w:szCs w:val="20"/>
        </w:rPr>
        <w:t xml:space="preserve"> </w:t>
      </w:r>
      <w:r w:rsidRPr="00B004EE">
        <w:rPr>
          <w:rFonts w:ascii="Tahoma" w:hAnsi="Tahoma" w:cs="Tahoma"/>
          <w:sz w:val="20"/>
          <w:szCs w:val="20"/>
        </w:rPr>
        <w:t>modification</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contenu.</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cas</w:t>
      </w:r>
      <w:r w:rsidR="00DB1635" w:rsidRPr="00B004EE">
        <w:rPr>
          <w:rFonts w:ascii="Tahoma" w:hAnsi="Tahoma" w:cs="Tahoma"/>
          <w:sz w:val="20"/>
          <w:szCs w:val="20"/>
        </w:rPr>
        <w:t xml:space="preserve"> </w:t>
      </w:r>
      <w:r w:rsidRPr="00B004EE">
        <w:rPr>
          <w:rFonts w:ascii="Tahoma" w:hAnsi="Tahoma" w:cs="Tahoma"/>
          <w:sz w:val="20"/>
          <w:szCs w:val="20"/>
        </w:rPr>
        <w:t>contraire,</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réputés</w:t>
      </w:r>
      <w:r w:rsidR="00DB1635" w:rsidRPr="00B004EE">
        <w:rPr>
          <w:rFonts w:ascii="Tahoma" w:hAnsi="Tahoma" w:cs="Tahoma"/>
          <w:sz w:val="20"/>
          <w:szCs w:val="20"/>
        </w:rPr>
        <w:t xml:space="preserve"> </w:t>
      </w:r>
      <w:r w:rsidRPr="00B004EE">
        <w:rPr>
          <w:rFonts w:ascii="Tahoma" w:hAnsi="Tahoma" w:cs="Tahoma"/>
          <w:sz w:val="20"/>
          <w:szCs w:val="20"/>
        </w:rPr>
        <w:t>provenir</w:t>
      </w:r>
      <w:r w:rsidR="00DB1635" w:rsidRPr="00B004EE">
        <w:rPr>
          <w:rFonts w:ascii="Tahoma" w:hAnsi="Tahoma" w:cs="Tahoma"/>
          <w:sz w:val="20"/>
          <w:szCs w:val="20"/>
        </w:rPr>
        <w:t xml:space="preserve"> </w:t>
      </w:r>
      <w:r w:rsidRPr="00B004EE">
        <w:rPr>
          <w:rFonts w:ascii="Tahoma" w:hAnsi="Tahoma" w:cs="Tahoma"/>
          <w:sz w:val="20"/>
          <w:szCs w:val="20"/>
        </w:rPr>
        <w:t>d'un</w:t>
      </w:r>
      <w:r w:rsidR="00DB1635" w:rsidRPr="00B004EE">
        <w:rPr>
          <w:rFonts w:ascii="Tahoma" w:hAnsi="Tahoma" w:cs="Tahoma"/>
          <w:sz w:val="20"/>
          <w:szCs w:val="20"/>
        </w:rPr>
        <w:t xml:space="preserve"> </w:t>
      </w:r>
      <w:r w:rsidR="00AD7D88" w:rsidRPr="00B004EE">
        <w:rPr>
          <w:rFonts w:ascii="Tahoma" w:hAnsi="Tahoma" w:cs="Tahoma"/>
          <w:sz w:val="20"/>
          <w:szCs w:val="20"/>
        </w:rPr>
        <w:t>établissement ;</w:t>
      </w:r>
    </w:p>
    <w:p w14:paraId="7AE8F2E3" w14:textId="79FAB9AE" w:rsidR="002F24E1" w:rsidRPr="00B004EE" w:rsidRDefault="002F24E1" w:rsidP="00B004EE">
      <w:pPr>
        <w:numPr>
          <w:ilvl w:val="0"/>
          <w:numId w:val="3"/>
        </w:numPr>
        <w:ind w:left="284" w:hanging="284"/>
        <w:jc w:val="both"/>
        <w:rPr>
          <w:rFonts w:ascii="Tahoma" w:hAnsi="Tahoma" w:cs="Tahoma"/>
          <w:sz w:val="20"/>
          <w:szCs w:val="20"/>
        </w:rPr>
      </w:pPr>
      <w:proofErr w:type="gramStart"/>
      <w:r w:rsidRPr="00B004EE">
        <w:rPr>
          <w:rFonts w:ascii="Tahoma" w:hAnsi="Tahoma" w:cs="Tahoma"/>
          <w:sz w:val="20"/>
          <w:szCs w:val="20"/>
        </w:rPr>
        <w:t>mise</w:t>
      </w:r>
      <w:proofErr w:type="gramEnd"/>
      <w:r w:rsidR="00DB1635" w:rsidRPr="00B004EE">
        <w:rPr>
          <w:rFonts w:ascii="Tahoma" w:hAnsi="Tahoma" w:cs="Tahoma"/>
          <w:sz w:val="20"/>
          <w:szCs w:val="20"/>
        </w:rPr>
        <w:t xml:space="preserve"> </w:t>
      </w:r>
      <w:r w:rsidRPr="00B004EE">
        <w:rPr>
          <w:rFonts w:ascii="Tahoma" w:hAnsi="Tahoma" w:cs="Tahoma"/>
          <w:sz w:val="20"/>
          <w:szCs w:val="20"/>
        </w:rPr>
        <w:t>sur</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marché:</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détention</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l'exposition</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vue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vente,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mise</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vente,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vente,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livraison</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toute</w:t>
      </w:r>
      <w:r w:rsidR="00DB1635" w:rsidRPr="00B004EE">
        <w:rPr>
          <w:rFonts w:ascii="Tahoma" w:hAnsi="Tahoma" w:cs="Tahoma"/>
          <w:sz w:val="20"/>
          <w:szCs w:val="20"/>
        </w:rPr>
        <w:t xml:space="preserve"> </w:t>
      </w:r>
      <w:r w:rsidRPr="00B004EE">
        <w:rPr>
          <w:rFonts w:ascii="Tahoma" w:hAnsi="Tahoma" w:cs="Tahoma"/>
          <w:sz w:val="20"/>
          <w:szCs w:val="20"/>
        </w:rPr>
        <w:t>autre</w:t>
      </w:r>
      <w:r w:rsidR="00DB1635" w:rsidRPr="00B004EE">
        <w:rPr>
          <w:rFonts w:ascii="Tahoma" w:hAnsi="Tahoma" w:cs="Tahoma"/>
          <w:sz w:val="20"/>
          <w:szCs w:val="20"/>
        </w:rPr>
        <w:t xml:space="preserve"> </w:t>
      </w:r>
      <w:r w:rsidRPr="00B004EE">
        <w:rPr>
          <w:rFonts w:ascii="Tahoma" w:hAnsi="Tahoma" w:cs="Tahoma"/>
          <w:sz w:val="20"/>
          <w:szCs w:val="20"/>
        </w:rPr>
        <w:t>manière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mise</w:t>
      </w:r>
      <w:r w:rsidR="00DB1635" w:rsidRPr="00B004EE">
        <w:rPr>
          <w:rFonts w:ascii="Tahoma" w:hAnsi="Tahoma" w:cs="Tahoma"/>
          <w:sz w:val="20"/>
          <w:szCs w:val="20"/>
        </w:rPr>
        <w:t xml:space="preserve"> </w:t>
      </w:r>
      <w:r w:rsidRPr="00B004EE">
        <w:rPr>
          <w:rFonts w:ascii="Tahoma" w:hAnsi="Tahoma" w:cs="Tahoma"/>
          <w:sz w:val="20"/>
          <w:szCs w:val="20"/>
        </w:rPr>
        <w:t>sur</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marché.</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exclues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cette</w:t>
      </w:r>
      <w:r w:rsidR="00DB1635" w:rsidRPr="00B004EE">
        <w:rPr>
          <w:rFonts w:ascii="Tahoma" w:hAnsi="Tahoma" w:cs="Tahoma"/>
          <w:sz w:val="20"/>
          <w:szCs w:val="20"/>
        </w:rPr>
        <w:t xml:space="preserve"> </w:t>
      </w:r>
      <w:r w:rsidRPr="00B004EE">
        <w:rPr>
          <w:rFonts w:ascii="Tahoma" w:hAnsi="Tahoma" w:cs="Tahoma"/>
          <w:sz w:val="20"/>
          <w:szCs w:val="20"/>
        </w:rPr>
        <w:t>définition</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cession</w:t>
      </w:r>
      <w:r w:rsidR="00DB1635" w:rsidRPr="00B004EE">
        <w:rPr>
          <w:rFonts w:ascii="Tahoma" w:hAnsi="Tahoma" w:cs="Tahoma"/>
          <w:sz w:val="20"/>
          <w:szCs w:val="20"/>
        </w:rPr>
        <w:t xml:space="preserve"> </w:t>
      </w:r>
      <w:r w:rsidRPr="00B004EE">
        <w:rPr>
          <w:rFonts w:ascii="Tahoma" w:hAnsi="Tahoma" w:cs="Tahoma"/>
          <w:sz w:val="20"/>
          <w:szCs w:val="20"/>
        </w:rPr>
        <w:t>directe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petites</w:t>
      </w:r>
      <w:r w:rsidR="00DB1635" w:rsidRPr="00B004EE">
        <w:rPr>
          <w:rFonts w:ascii="Tahoma" w:hAnsi="Tahoma" w:cs="Tahoma"/>
          <w:sz w:val="20"/>
          <w:szCs w:val="20"/>
        </w:rPr>
        <w:t xml:space="preserve"> </w:t>
      </w:r>
      <w:r w:rsidRPr="00B004EE">
        <w:rPr>
          <w:rFonts w:ascii="Tahoma" w:hAnsi="Tahoma" w:cs="Tahoma"/>
          <w:sz w:val="20"/>
          <w:szCs w:val="20"/>
        </w:rPr>
        <w:t>quantités</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pêcheur</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consommateur</w:t>
      </w:r>
      <w:r w:rsidR="00DB1635" w:rsidRPr="00B004EE">
        <w:rPr>
          <w:rFonts w:ascii="Tahoma" w:hAnsi="Tahoma" w:cs="Tahoma"/>
          <w:sz w:val="20"/>
          <w:szCs w:val="20"/>
        </w:rPr>
        <w:t xml:space="preserve"> </w:t>
      </w:r>
      <w:r w:rsidRPr="00B004EE">
        <w:rPr>
          <w:rFonts w:ascii="Tahoma" w:hAnsi="Tahoma" w:cs="Tahoma"/>
          <w:sz w:val="20"/>
          <w:szCs w:val="20"/>
        </w:rPr>
        <w:t>sur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lieux</w:t>
      </w:r>
      <w:r w:rsidR="00DB1635" w:rsidRPr="00B004EE">
        <w:rPr>
          <w:rFonts w:ascii="Tahoma" w:hAnsi="Tahoma" w:cs="Tahoma"/>
          <w:sz w:val="20"/>
          <w:szCs w:val="20"/>
        </w:rPr>
        <w:t xml:space="preserve"> </w:t>
      </w:r>
      <w:r w:rsidRPr="00B004EE">
        <w:rPr>
          <w:rFonts w:ascii="Tahoma" w:hAnsi="Tahoma" w:cs="Tahoma"/>
          <w:sz w:val="20"/>
          <w:szCs w:val="20"/>
        </w:rPr>
        <w:t>mêmes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débarquement</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sur</w:t>
      </w:r>
      <w:r w:rsidR="00DB1635" w:rsidRPr="00B004EE">
        <w:rPr>
          <w:rFonts w:ascii="Tahoma" w:hAnsi="Tahoma" w:cs="Tahoma"/>
          <w:sz w:val="20"/>
          <w:szCs w:val="20"/>
        </w:rPr>
        <w:t xml:space="preserve"> </w:t>
      </w: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marché</w:t>
      </w:r>
      <w:r w:rsidR="00DB1635" w:rsidRPr="00B004EE">
        <w:rPr>
          <w:rFonts w:ascii="Tahoma" w:hAnsi="Tahoma" w:cs="Tahoma"/>
          <w:sz w:val="20"/>
          <w:szCs w:val="20"/>
        </w:rPr>
        <w:t xml:space="preserve"> </w:t>
      </w:r>
      <w:r w:rsidR="00AD7D88" w:rsidRPr="00B004EE">
        <w:rPr>
          <w:rFonts w:ascii="Tahoma" w:hAnsi="Tahoma" w:cs="Tahoma"/>
          <w:sz w:val="20"/>
          <w:szCs w:val="20"/>
        </w:rPr>
        <w:t>proche ;</w:t>
      </w:r>
    </w:p>
    <w:p w14:paraId="55BAD527" w14:textId="672173FE" w:rsidR="002F24E1" w:rsidRPr="00B004EE" w:rsidRDefault="002F24E1" w:rsidP="00B004EE">
      <w:pPr>
        <w:numPr>
          <w:ilvl w:val="0"/>
          <w:numId w:val="3"/>
        </w:numPr>
        <w:ind w:left="284" w:hanging="284"/>
        <w:jc w:val="both"/>
        <w:rPr>
          <w:rFonts w:ascii="Tahoma" w:hAnsi="Tahoma" w:cs="Tahoma"/>
          <w:sz w:val="20"/>
          <w:szCs w:val="20"/>
        </w:rPr>
      </w:pPr>
      <w:proofErr w:type="gramStart"/>
      <w:r w:rsidRPr="00B004EE">
        <w:rPr>
          <w:rFonts w:ascii="Tahoma" w:hAnsi="Tahoma" w:cs="Tahoma"/>
          <w:sz w:val="20"/>
          <w:szCs w:val="20"/>
        </w:rPr>
        <w:t>eau</w:t>
      </w:r>
      <w:proofErr w:type="gramEnd"/>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mer</w:t>
      </w:r>
      <w:r w:rsidR="00DB1635" w:rsidRPr="00B004EE">
        <w:rPr>
          <w:rFonts w:ascii="Tahoma" w:hAnsi="Tahoma" w:cs="Tahoma"/>
          <w:sz w:val="20"/>
          <w:szCs w:val="20"/>
        </w:rPr>
        <w:t xml:space="preserve"> </w:t>
      </w:r>
      <w:r w:rsidRPr="00B004EE">
        <w:rPr>
          <w:rFonts w:ascii="Tahoma" w:hAnsi="Tahoma" w:cs="Tahoma"/>
          <w:sz w:val="20"/>
          <w:szCs w:val="20"/>
        </w:rPr>
        <w:t>propre:</w:t>
      </w:r>
      <w:r w:rsidR="00DB1635" w:rsidRPr="00B004EE">
        <w:rPr>
          <w:rFonts w:ascii="Tahoma" w:hAnsi="Tahoma" w:cs="Tahoma"/>
          <w:sz w:val="20"/>
          <w:szCs w:val="20"/>
        </w:rPr>
        <w:t xml:space="preserve"> </w:t>
      </w:r>
      <w:r w:rsidRPr="00B004EE">
        <w:rPr>
          <w:rFonts w:ascii="Tahoma" w:hAnsi="Tahoma" w:cs="Tahoma"/>
          <w:sz w:val="20"/>
          <w:szCs w:val="20"/>
        </w:rPr>
        <w:t>eau</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mer</w:t>
      </w:r>
      <w:r w:rsidR="00DB1635" w:rsidRPr="00B004EE">
        <w:rPr>
          <w:rFonts w:ascii="Tahoma" w:hAnsi="Tahoma" w:cs="Tahoma"/>
          <w:sz w:val="20"/>
          <w:szCs w:val="20"/>
        </w:rPr>
        <w:t xml:space="preserve"> </w:t>
      </w:r>
      <w:r w:rsidRPr="00B004EE">
        <w:rPr>
          <w:rFonts w:ascii="Tahoma" w:hAnsi="Tahoma" w:cs="Tahoma"/>
          <w:sz w:val="20"/>
          <w:szCs w:val="20"/>
        </w:rPr>
        <w:t>ne</w:t>
      </w:r>
      <w:r w:rsidR="00DB1635" w:rsidRPr="00B004EE">
        <w:rPr>
          <w:rFonts w:ascii="Tahoma" w:hAnsi="Tahoma" w:cs="Tahoma"/>
          <w:sz w:val="20"/>
          <w:szCs w:val="20"/>
        </w:rPr>
        <w:t xml:space="preserve"> </w:t>
      </w:r>
      <w:r w:rsidRPr="00B004EE">
        <w:rPr>
          <w:rFonts w:ascii="Tahoma" w:hAnsi="Tahoma" w:cs="Tahoma"/>
          <w:sz w:val="20"/>
          <w:szCs w:val="20"/>
        </w:rPr>
        <w:t>présentant</w:t>
      </w:r>
      <w:r w:rsidR="00DB1635" w:rsidRPr="00B004EE">
        <w:rPr>
          <w:rFonts w:ascii="Tahoma" w:hAnsi="Tahoma" w:cs="Tahoma"/>
          <w:sz w:val="20"/>
          <w:szCs w:val="20"/>
        </w:rPr>
        <w:t xml:space="preserve"> </w:t>
      </w:r>
      <w:r w:rsidRPr="00B004EE">
        <w:rPr>
          <w:rFonts w:ascii="Tahoma" w:hAnsi="Tahoma" w:cs="Tahoma"/>
          <w:sz w:val="20"/>
          <w:szCs w:val="20"/>
        </w:rPr>
        <w:t>pas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contamination</w:t>
      </w:r>
      <w:r w:rsidR="00DB1635" w:rsidRPr="00B004EE">
        <w:rPr>
          <w:rFonts w:ascii="Tahoma" w:hAnsi="Tahoma" w:cs="Tahoma"/>
          <w:sz w:val="20"/>
          <w:szCs w:val="20"/>
        </w:rPr>
        <w:t xml:space="preserve"> </w:t>
      </w:r>
      <w:r w:rsidRPr="00B004EE">
        <w:rPr>
          <w:rFonts w:ascii="Tahoma" w:hAnsi="Tahoma" w:cs="Tahoma"/>
          <w:sz w:val="20"/>
          <w:szCs w:val="20"/>
        </w:rPr>
        <w:t>microbiologique,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substances</w:t>
      </w:r>
      <w:r w:rsidR="00DB1635" w:rsidRPr="00B004EE">
        <w:rPr>
          <w:rFonts w:ascii="Tahoma" w:hAnsi="Tahoma" w:cs="Tahoma"/>
          <w:sz w:val="20"/>
          <w:szCs w:val="20"/>
        </w:rPr>
        <w:t xml:space="preserve"> </w:t>
      </w:r>
      <w:r w:rsidRPr="00B004EE">
        <w:rPr>
          <w:rFonts w:ascii="Tahoma" w:hAnsi="Tahoma" w:cs="Tahoma"/>
          <w:sz w:val="20"/>
          <w:szCs w:val="20"/>
        </w:rPr>
        <w:t>nocives</w:t>
      </w:r>
      <w:r w:rsidR="00DB1635" w:rsidRPr="00B004EE">
        <w:rPr>
          <w:rFonts w:ascii="Tahoma" w:hAnsi="Tahoma" w:cs="Tahoma"/>
          <w:sz w:val="20"/>
          <w:szCs w:val="20"/>
        </w:rPr>
        <w:t xml:space="preserve"> </w:t>
      </w:r>
      <w:r w:rsidRPr="00B004EE">
        <w:rPr>
          <w:rFonts w:ascii="Tahoma" w:hAnsi="Tahoma" w:cs="Tahoma"/>
          <w:sz w:val="20"/>
          <w:szCs w:val="20"/>
        </w:rPr>
        <w:t>et/ou</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plancton</w:t>
      </w:r>
      <w:r w:rsidR="00DB1635" w:rsidRPr="00B004EE">
        <w:rPr>
          <w:rFonts w:ascii="Tahoma" w:hAnsi="Tahoma" w:cs="Tahoma"/>
          <w:sz w:val="20"/>
          <w:szCs w:val="20"/>
        </w:rPr>
        <w:t xml:space="preserve"> </w:t>
      </w:r>
      <w:r w:rsidRPr="00B004EE">
        <w:rPr>
          <w:rFonts w:ascii="Tahoma" w:hAnsi="Tahoma" w:cs="Tahoma"/>
          <w:sz w:val="20"/>
          <w:szCs w:val="20"/>
        </w:rPr>
        <w:t>marin</w:t>
      </w:r>
      <w:r w:rsidR="00DB1635" w:rsidRPr="00B004EE">
        <w:rPr>
          <w:rFonts w:ascii="Tahoma" w:hAnsi="Tahoma" w:cs="Tahoma"/>
          <w:sz w:val="20"/>
          <w:szCs w:val="20"/>
        </w:rPr>
        <w:t xml:space="preserve"> </w:t>
      </w:r>
      <w:r w:rsidRPr="00B004EE">
        <w:rPr>
          <w:rFonts w:ascii="Tahoma" w:hAnsi="Tahoma" w:cs="Tahoma"/>
          <w:sz w:val="20"/>
          <w:szCs w:val="20"/>
        </w:rPr>
        <w:t>toxique</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quantité</w:t>
      </w:r>
      <w:r w:rsidR="00DB1635" w:rsidRPr="00B004EE">
        <w:rPr>
          <w:rFonts w:ascii="Tahoma" w:hAnsi="Tahoma" w:cs="Tahoma"/>
          <w:sz w:val="20"/>
          <w:szCs w:val="20"/>
        </w:rPr>
        <w:t xml:space="preserve"> </w:t>
      </w:r>
      <w:r w:rsidRPr="00B004EE">
        <w:rPr>
          <w:rFonts w:ascii="Tahoma" w:hAnsi="Tahoma" w:cs="Tahoma"/>
          <w:sz w:val="20"/>
          <w:szCs w:val="20"/>
        </w:rPr>
        <w:t>susceptible</w:t>
      </w:r>
      <w:r w:rsidR="00DB1635" w:rsidRPr="00B004EE">
        <w:rPr>
          <w:rFonts w:ascii="Tahoma" w:hAnsi="Tahoma" w:cs="Tahoma"/>
          <w:sz w:val="20"/>
          <w:szCs w:val="20"/>
        </w:rPr>
        <w:t xml:space="preserve"> </w:t>
      </w:r>
      <w:r w:rsidRPr="00B004EE">
        <w:rPr>
          <w:rFonts w:ascii="Tahoma" w:hAnsi="Tahoma" w:cs="Tahoma"/>
          <w:sz w:val="20"/>
          <w:szCs w:val="20"/>
        </w:rPr>
        <w:t>d'avoir</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incidence</w:t>
      </w:r>
      <w:r w:rsidR="00DB1635" w:rsidRPr="00B004EE">
        <w:rPr>
          <w:rFonts w:ascii="Tahoma" w:hAnsi="Tahoma" w:cs="Tahoma"/>
          <w:sz w:val="20"/>
          <w:szCs w:val="20"/>
        </w:rPr>
        <w:t xml:space="preserve"> </w:t>
      </w:r>
      <w:r w:rsidRPr="00B004EE">
        <w:rPr>
          <w:rFonts w:ascii="Tahoma" w:hAnsi="Tahoma" w:cs="Tahoma"/>
          <w:sz w:val="20"/>
          <w:szCs w:val="20"/>
        </w:rPr>
        <w:t>sur</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qualité</w:t>
      </w:r>
      <w:r w:rsidR="00DB1635" w:rsidRPr="00B004EE">
        <w:rPr>
          <w:rFonts w:ascii="Tahoma" w:hAnsi="Tahoma" w:cs="Tahoma"/>
          <w:sz w:val="20"/>
          <w:szCs w:val="20"/>
        </w:rPr>
        <w:t xml:space="preserve"> </w:t>
      </w:r>
      <w:r w:rsidRPr="00B004EE">
        <w:rPr>
          <w:rFonts w:ascii="Tahoma" w:hAnsi="Tahoma" w:cs="Tahoma"/>
          <w:sz w:val="20"/>
          <w:szCs w:val="20"/>
        </w:rPr>
        <w:t>sanitaire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p>
    <w:p w14:paraId="7B9023F0" w14:textId="58693BE5" w:rsidR="002F24E1" w:rsidRPr="00B004EE" w:rsidRDefault="002F24E1" w:rsidP="00B004EE">
      <w:pPr>
        <w:numPr>
          <w:ilvl w:val="0"/>
          <w:numId w:val="3"/>
        </w:numPr>
        <w:ind w:left="284" w:hanging="284"/>
        <w:jc w:val="both"/>
        <w:rPr>
          <w:rFonts w:ascii="Tahoma" w:hAnsi="Tahoma" w:cs="Tahoma"/>
          <w:sz w:val="20"/>
          <w:szCs w:val="20"/>
        </w:rPr>
      </w:pPr>
      <w:proofErr w:type="gramStart"/>
      <w:r w:rsidRPr="00B004EE">
        <w:rPr>
          <w:rFonts w:ascii="Tahoma" w:hAnsi="Tahoma" w:cs="Tahoma"/>
          <w:sz w:val="20"/>
          <w:szCs w:val="20"/>
        </w:rPr>
        <w:t>produit</w:t>
      </w:r>
      <w:proofErr w:type="gramEnd"/>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tous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animaux</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parties</w:t>
      </w:r>
      <w:r w:rsidR="00DB1635" w:rsidRPr="00B004EE">
        <w:rPr>
          <w:rFonts w:ascii="Tahoma" w:hAnsi="Tahoma" w:cs="Tahoma"/>
          <w:sz w:val="20"/>
          <w:szCs w:val="20"/>
        </w:rPr>
        <w:t xml:space="preserve"> </w:t>
      </w:r>
      <w:r w:rsidRPr="00B004EE">
        <w:rPr>
          <w:rFonts w:ascii="Tahoma" w:hAnsi="Tahoma" w:cs="Tahoma"/>
          <w:sz w:val="20"/>
          <w:szCs w:val="20"/>
        </w:rPr>
        <w:t>d'animaux</w:t>
      </w:r>
      <w:r w:rsidR="00DB1635" w:rsidRPr="00B004EE">
        <w:rPr>
          <w:rFonts w:ascii="Tahoma" w:hAnsi="Tahoma" w:cs="Tahoma"/>
          <w:sz w:val="20"/>
          <w:szCs w:val="20"/>
        </w:rPr>
        <w:t xml:space="preserve"> </w:t>
      </w:r>
      <w:r w:rsidRPr="00B004EE">
        <w:rPr>
          <w:rFonts w:ascii="Tahoma" w:hAnsi="Tahoma" w:cs="Tahoma"/>
          <w:sz w:val="20"/>
          <w:szCs w:val="20"/>
        </w:rPr>
        <w:t>marins</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d'eaux</w:t>
      </w:r>
      <w:r w:rsidR="00DB1635" w:rsidRPr="00B004EE">
        <w:rPr>
          <w:rFonts w:ascii="Tahoma" w:hAnsi="Tahoma" w:cs="Tahoma"/>
          <w:sz w:val="20"/>
          <w:szCs w:val="20"/>
        </w:rPr>
        <w:t xml:space="preserve"> </w:t>
      </w:r>
      <w:r w:rsidRPr="00B004EE">
        <w:rPr>
          <w:rFonts w:ascii="Tahoma" w:hAnsi="Tahoma" w:cs="Tahoma"/>
          <w:sz w:val="20"/>
          <w:szCs w:val="20"/>
        </w:rPr>
        <w:t>douces,</w:t>
      </w:r>
      <w:r w:rsidR="00DB1635" w:rsidRPr="00B004EE">
        <w:rPr>
          <w:rFonts w:ascii="Tahoma" w:hAnsi="Tahoma" w:cs="Tahoma"/>
          <w:sz w:val="20"/>
          <w:szCs w:val="20"/>
        </w:rPr>
        <w:t xml:space="preserve"> </w:t>
      </w:r>
      <w:r w:rsidRPr="00B004EE">
        <w:rPr>
          <w:rFonts w:ascii="Tahoma" w:hAnsi="Tahoma" w:cs="Tahoma"/>
          <w:sz w:val="20"/>
          <w:szCs w:val="20"/>
        </w:rPr>
        <w:t>y</w:t>
      </w:r>
      <w:r w:rsidR="00DB1635" w:rsidRPr="00B004EE">
        <w:rPr>
          <w:rFonts w:ascii="Tahoma" w:hAnsi="Tahoma" w:cs="Tahoma"/>
          <w:sz w:val="20"/>
          <w:szCs w:val="20"/>
        </w:rPr>
        <w:t xml:space="preserve"> </w:t>
      </w:r>
      <w:r w:rsidRPr="00B004EE">
        <w:rPr>
          <w:rFonts w:ascii="Tahoma" w:hAnsi="Tahoma" w:cs="Tahoma"/>
          <w:sz w:val="20"/>
          <w:szCs w:val="20"/>
        </w:rPr>
        <w:t>compris</w:t>
      </w:r>
      <w:r w:rsidR="00DB1635" w:rsidRPr="00B004EE">
        <w:rPr>
          <w:rFonts w:ascii="Tahoma" w:hAnsi="Tahoma" w:cs="Tahoma"/>
          <w:sz w:val="20"/>
          <w:szCs w:val="20"/>
        </w:rPr>
        <w:t xml:space="preserve"> </w:t>
      </w:r>
      <w:r w:rsidRPr="00B004EE">
        <w:rPr>
          <w:rFonts w:ascii="Tahoma" w:hAnsi="Tahoma" w:cs="Tahoma"/>
          <w:sz w:val="20"/>
          <w:szCs w:val="20"/>
        </w:rPr>
        <w:t>leurs</w:t>
      </w:r>
      <w:r w:rsidR="00DB1635" w:rsidRPr="00B004EE">
        <w:rPr>
          <w:rFonts w:ascii="Tahoma" w:hAnsi="Tahoma" w:cs="Tahoma"/>
          <w:sz w:val="20"/>
          <w:szCs w:val="20"/>
        </w:rPr>
        <w:t xml:space="preserve"> </w:t>
      </w:r>
      <w:r w:rsidRPr="00B004EE">
        <w:rPr>
          <w:rFonts w:ascii="Tahoma" w:hAnsi="Tahoma" w:cs="Tahoma"/>
          <w:sz w:val="20"/>
          <w:szCs w:val="20"/>
        </w:rPr>
        <w:t>oeufs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laitance,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l'exclusion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mammifères</w:t>
      </w:r>
      <w:r w:rsidR="00DB1635" w:rsidRPr="00B004EE">
        <w:rPr>
          <w:rFonts w:ascii="Tahoma" w:hAnsi="Tahoma" w:cs="Tahoma"/>
          <w:sz w:val="20"/>
          <w:szCs w:val="20"/>
        </w:rPr>
        <w:t xml:space="preserve"> </w:t>
      </w:r>
      <w:r w:rsidRPr="00B004EE">
        <w:rPr>
          <w:rFonts w:ascii="Tahoma" w:hAnsi="Tahoma" w:cs="Tahoma"/>
          <w:sz w:val="20"/>
          <w:szCs w:val="20"/>
        </w:rPr>
        <w:t>aquatiques,</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grenouilles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animaux</w:t>
      </w:r>
      <w:r w:rsidR="00DB1635" w:rsidRPr="00B004EE">
        <w:rPr>
          <w:rFonts w:ascii="Tahoma" w:hAnsi="Tahoma" w:cs="Tahoma"/>
          <w:sz w:val="20"/>
          <w:szCs w:val="20"/>
        </w:rPr>
        <w:t xml:space="preserve"> </w:t>
      </w:r>
      <w:r w:rsidRPr="00B004EE">
        <w:rPr>
          <w:rFonts w:ascii="Tahoma" w:hAnsi="Tahoma" w:cs="Tahoma"/>
          <w:sz w:val="20"/>
          <w:szCs w:val="20"/>
        </w:rPr>
        <w:t>aquatiques</w:t>
      </w:r>
      <w:r w:rsidR="00DB1635" w:rsidRPr="00B004EE">
        <w:rPr>
          <w:rFonts w:ascii="Tahoma" w:hAnsi="Tahoma" w:cs="Tahoma"/>
          <w:sz w:val="20"/>
          <w:szCs w:val="20"/>
        </w:rPr>
        <w:t xml:space="preserve"> </w:t>
      </w:r>
      <w:r w:rsidRPr="00B004EE">
        <w:rPr>
          <w:rFonts w:ascii="Tahoma" w:hAnsi="Tahoma" w:cs="Tahoma"/>
          <w:sz w:val="20"/>
          <w:szCs w:val="20"/>
        </w:rPr>
        <w:t>faisant</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ailleurs</w:t>
      </w:r>
      <w:r w:rsidR="00DB1635" w:rsidRPr="00B004EE">
        <w:rPr>
          <w:rFonts w:ascii="Tahoma" w:hAnsi="Tahoma" w:cs="Tahoma"/>
          <w:sz w:val="20"/>
          <w:szCs w:val="20"/>
        </w:rPr>
        <w:t xml:space="preserve"> </w:t>
      </w:r>
      <w:r w:rsidRPr="00B004EE">
        <w:rPr>
          <w:rFonts w:ascii="Tahoma" w:hAnsi="Tahoma" w:cs="Tahoma"/>
          <w:sz w:val="20"/>
          <w:szCs w:val="20"/>
        </w:rPr>
        <w:t>l'objet</w:t>
      </w:r>
      <w:r w:rsidR="00DB1635" w:rsidRPr="00B004EE">
        <w:rPr>
          <w:rFonts w:ascii="Tahoma" w:hAnsi="Tahoma" w:cs="Tahoma"/>
          <w:sz w:val="20"/>
          <w:szCs w:val="20"/>
        </w:rPr>
        <w:t xml:space="preserve"> </w:t>
      </w:r>
      <w:r w:rsidRPr="00B004EE">
        <w:rPr>
          <w:rFonts w:ascii="Tahoma" w:hAnsi="Tahoma" w:cs="Tahoma"/>
          <w:sz w:val="20"/>
          <w:szCs w:val="20"/>
        </w:rPr>
        <w:t>d'une</w:t>
      </w:r>
      <w:r w:rsidR="00DB1635" w:rsidRPr="00B004EE">
        <w:rPr>
          <w:rFonts w:ascii="Tahoma" w:hAnsi="Tahoma" w:cs="Tahoma"/>
          <w:sz w:val="20"/>
          <w:szCs w:val="20"/>
        </w:rPr>
        <w:t xml:space="preserve"> </w:t>
      </w:r>
      <w:r w:rsidRPr="00B004EE">
        <w:rPr>
          <w:rFonts w:ascii="Tahoma" w:hAnsi="Tahoma" w:cs="Tahoma"/>
          <w:sz w:val="20"/>
          <w:szCs w:val="20"/>
        </w:rPr>
        <w:t>réglementation</w:t>
      </w:r>
      <w:r w:rsidR="00DB1635" w:rsidRPr="00B004EE">
        <w:rPr>
          <w:rFonts w:ascii="Tahoma" w:hAnsi="Tahoma" w:cs="Tahoma"/>
          <w:sz w:val="20"/>
          <w:szCs w:val="20"/>
        </w:rPr>
        <w:t xml:space="preserve"> </w:t>
      </w:r>
      <w:r w:rsidRPr="00B004EE">
        <w:rPr>
          <w:rFonts w:ascii="Tahoma" w:hAnsi="Tahoma" w:cs="Tahoma"/>
          <w:sz w:val="20"/>
          <w:szCs w:val="20"/>
        </w:rPr>
        <w:t>particulière;</w:t>
      </w:r>
    </w:p>
    <w:p w14:paraId="63BFA82B" w14:textId="37FC3C32" w:rsidR="002F24E1" w:rsidRPr="00B004EE" w:rsidRDefault="002F24E1" w:rsidP="00B004EE">
      <w:pPr>
        <w:numPr>
          <w:ilvl w:val="0"/>
          <w:numId w:val="3"/>
        </w:numPr>
        <w:ind w:left="284" w:hanging="284"/>
        <w:jc w:val="both"/>
        <w:rPr>
          <w:rFonts w:ascii="Tahoma" w:hAnsi="Tahoma" w:cs="Tahoma"/>
          <w:sz w:val="20"/>
          <w:szCs w:val="20"/>
        </w:rPr>
      </w:pPr>
      <w:proofErr w:type="gramStart"/>
      <w:r w:rsidRPr="00B004EE">
        <w:rPr>
          <w:rFonts w:ascii="Tahoma" w:hAnsi="Tahoma" w:cs="Tahoma"/>
          <w:sz w:val="20"/>
          <w:szCs w:val="20"/>
        </w:rPr>
        <w:t>produits</w:t>
      </w:r>
      <w:proofErr w:type="gramEnd"/>
      <w:r w:rsidR="00DB1635" w:rsidRPr="00B004EE">
        <w:rPr>
          <w:rFonts w:ascii="Tahoma" w:hAnsi="Tahoma" w:cs="Tahoma"/>
          <w:sz w:val="20"/>
          <w:szCs w:val="20"/>
        </w:rPr>
        <w:t xml:space="preserve"> </w:t>
      </w:r>
      <w:r w:rsidRPr="00B004EE">
        <w:rPr>
          <w:rFonts w:ascii="Tahoma" w:hAnsi="Tahoma" w:cs="Tahoma"/>
          <w:sz w:val="20"/>
          <w:szCs w:val="20"/>
        </w:rPr>
        <w:t>frais:</w:t>
      </w:r>
      <w:r w:rsidR="00DB1635" w:rsidRPr="00B004EE">
        <w:rPr>
          <w:rFonts w:ascii="Tahoma" w:hAnsi="Tahoma" w:cs="Tahoma"/>
          <w:sz w:val="20"/>
          <w:szCs w:val="20"/>
        </w:rPr>
        <w:t xml:space="preserve"> </w:t>
      </w:r>
      <w:r w:rsidRPr="00B004EE">
        <w:rPr>
          <w:rFonts w:ascii="Tahoma" w:hAnsi="Tahoma" w:cs="Tahoma"/>
          <w:sz w:val="20"/>
          <w:szCs w:val="20"/>
        </w:rPr>
        <w:t>tout</w:t>
      </w:r>
      <w:r w:rsidR="00DB1635" w:rsidRPr="00B004EE">
        <w:rPr>
          <w:rFonts w:ascii="Tahoma" w:hAnsi="Tahoma" w:cs="Tahoma"/>
          <w:sz w:val="20"/>
          <w:szCs w:val="20"/>
        </w:rPr>
        <w:t xml:space="preserve"> </w:t>
      </w:r>
      <w:r w:rsidRPr="00B004EE">
        <w:rPr>
          <w:rFonts w:ascii="Tahoma" w:hAnsi="Tahoma" w:cs="Tahoma"/>
          <w:sz w:val="20"/>
          <w:szCs w:val="20"/>
        </w:rPr>
        <w:t>produit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entier</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préparé,</w:t>
      </w:r>
      <w:r w:rsidR="00DB1635" w:rsidRPr="00B004EE">
        <w:rPr>
          <w:rFonts w:ascii="Tahoma" w:hAnsi="Tahoma" w:cs="Tahoma"/>
          <w:sz w:val="20"/>
          <w:szCs w:val="20"/>
        </w:rPr>
        <w:t xml:space="preserve"> </w:t>
      </w:r>
      <w:r w:rsidRPr="00B004EE">
        <w:rPr>
          <w:rFonts w:ascii="Tahoma" w:hAnsi="Tahoma" w:cs="Tahoma"/>
          <w:sz w:val="20"/>
          <w:szCs w:val="20"/>
        </w:rPr>
        <w:t>y</w:t>
      </w:r>
      <w:r w:rsidR="00DB1635" w:rsidRPr="00B004EE">
        <w:rPr>
          <w:rFonts w:ascii="Tahoma" w:hAnsi="Tahoma" w:cs="Tahoma"/>
          <w:sz w:val="20"/>
          <w:szCs w:val="20"/>
        </w:rPr>
        <w:t xml:space="preserve"> </w:t>
      </w:r>
      <w:r w:rsidRPr="00B004EE">
        <w:rPr>
          <w:rFonts w:ascii="Tahoma" w:hAnsi="Tahoma" w:cs="Tahoma"/>
          <w:sz w:val="20"/>
          <w:szCs w:val="20"/>
        </w:rPr>
        <w:t>compris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conditionnés</w:t>
      </w:r>
      <w:r w:rsidR="00DB1635" w:rsidRPr="00B004EE">
        <w:rPr>
          <w:rFonts w:ascii="Tahoma" w:hAnsi="Tahoma" w:cs="Tahoma"/>
          <w:sz w:val="20"/>
          <w:szCs w:val="20"/>
        </w:rPr>
        <w:t xml:space="preserve"> </w:t>
      </w:r>
      <w:r w:rsidRPr="00B004EE">
        <w:rPr>
          <w:rFonts w:ascii="Tahoma" w:hAnsi="Tahoma" w:cs="Tahoma"/>
          <w:sz w:val="20"/>
          <w:szCs w:val="20"/>
        </w:rPr>
        <w:t>sous</w:t>
      </w:r>
      <w:r w:rsidR="00DB1635" w:rsidRPr="00B004EE">
        <w:rPr>
          <w:rFonts w:ascii="Tahoma" w:hAnsi="Tahoma" w:cs="Tahoma"/>
          <w:sz w:val="20"/>
          <w:szCs w:val="20"/>
        </w:rPr>
        <w:t xml:space="preserve"> </w:t>
      </w:r>
      <w:r w:rsidRPr="00B004EE">
        <w:rPr>
          <w:rFonts w:ascii="Tahoma" w:hAnsi="Tahoma" w:cs="Tahoma"/>
          <w:sz w:val="20"/>
          <w:szCs w:val="20"/>
        </w:rPr>
        <w:t>vide</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atmosphère</w:t>
      </w:r>
      <w:r w:rsidR="00DB1635" w:rsidRPr="00B004EE">
        <w:rPr>
          <w:rFonts w:ascii="Tahoma" w:hAnsi="Tahoma" w:cs="Tahoma"/>
          <w:sz w:val="20"/>
          <w:szCs w:val="20"/>
        </w:rPr>
        <w:t xml:space="preserve"> </w:t>
      </w:r>
      <w:r w:rsidRPr="00B004EE">
        <w:rPr>
          <w:rFonts w:ascii="Tahoma" w:hAnsi="Tahoma" w:cs="Tahoma"/>
          <w:sz w:val="20"/>
          <w:szCs w:val="20"/>
        </w:rPr>
        <w:t>modifiée,</w:t>
      </w:r>
      <w:r w:rsidR="00DB1635" w:rsidRPr="00B004EE">
        <w:rPr>
          <w:rFonts w:ascii="Tahoma" w:hAnsi="Tahoma" w:cs="Tahoma"/>
          <w:sz w:val="20"/>
          <w:szCs w:val="20"/>
        </w:rPr>
        <w:t xml:space="preserve"> </w:t>
      </w:r>
      <w:r w:rsidRPr="00B004EE">
        <w:rPr>
          <w:rFonts w:ascii="Tahoma" w:hAnsi="Tahoma" w:cs="Tahoma"/>
          <w:sz w:val="20"/>
          <w:szCs w:val="20"/>
        </w:rPr>
        <w:t>n'ayant</w:t>
      </w:r>
      <w:r w:rsidR="00DB1635" w:rsidRPr="00B004EE">
        <w:rPr>
          <w:rFonts w:ascii="Tahoma" w:hAnsi="Tahoma" w:cs="Tahoma"/>
          <w:sz w:val="20"/>
          <w:szCs w:val="20"/>
        </w:rPr>
        <w:t xml:space="preserve"> </w:t>
      </w:r>
      <w:r w:rsidRPr="00B004EE">
        <w:rPr>
          <w:rFonts w:ascii="Tahoma" w:hAnsi="Tahoma" w:cs="Tahoma"/>
          <w:sz w:val="20"/>
          <w:szCs w:val="20"/>
        </w:rPr>
        <w:t>subi</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vue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sa</w:t>
      </w:r>
      <w:r w:rsidR="00DB1635" w:rsidRPr="00B004EE">
        <w:rPr>
          <w:rFonts w:ascii="Tahoma" w:hAnsi="Tahoma" w:cs="Tahoma"/>
          <w:sz w:val="20"/>
          <w:szCs w:val="20"/>
        </w:rPr>
        <w:t xml:space="preserve"> </w:t>
      </w:r>
      <w:r w:rsidRPr="00B004EE">
        <w:rPr>
          <w:rFonts w:ascii="Tahoma" w:hAnsi="Tahoma" w:cs="Tahoma"/>
          <w:sz w:val="20"/>
          <w:szCs w:val="20"/>
        </w:rPr>
        <w:t>conservation</w:t>
      </w:r>
      <w:r w:rsidR="00DB1635" w:rsidRPr="00B004EE">
        <w:rPr>
          <w:rFonts w:ascii="Tahoma" w:hAnsi="Tahoma" w:cs="Tahoma"/>
          <w:sz w:val="20"/>
          <w:szCs w:val="20"/>
        </w:rPr>
        <w:t xml:space="preserve"> </w:t>
      </w:r>
      <w:r w:rsidRPr="00B004EE">
        <w:rPr>
          <w:rFonts w:ascii="Tahoma" w:hAnsi="Tahoma" w:cs="Tahoma"/>
          <w:sz w:val="20"/>
          <w:szCs w:val="20"/>
        </w:rPr>
        <w:t>aucun</w:t>
      </w:r>
      <w:r w:rsidR="00DB1635" w:rsidRPr="00B004EE">
        <w:rPr>
          <w:rFonts w:ascii="Tahoma" w:hAnsi="Tahoma" w:cs="Tahoma"/>
          <w:sz w:val="20"/>
          <w:szCs w:val="20"/>
        </w:rPr>
        <w:t xml:space="preserve"> </w:t>
      </w:r>
      <w:r w:rsidRPr="00B004EE">
        <w:rPr>
          <w:rFonts w:ascii="Tahoma" w:hAnsi="Tahoma" w:cs="Tahoma"/>
          <w:sz w:val="20"/>
          <w:szCs w:val="20"/>
        </w:rPr>
        <w:t>traitement</w:t>
      </w:r>
      <w:r w:rsidR="00DB1635" w:rsidRPr="00B004EE">
        <w:rPr>
          <w:rFonts w:ascii="Tahoma" w:hAnsi="Tahoma" w:cs="Tahoma"/>
          <w:sz w:val="20"/>
          <w:szCs w:val="20"/>
        </w:rPr>
        <w:t xml:space="preserve"> </w:t>
      </w:r>
      <w:r w:rsidRPr="00B004EE">
        <w:rPr>
          <w:rFonts w:ascii="Tahoma" w:hAnsi="Tahoma" w:cs="Tahoma"/>
          <w:sz w:val="20"/>
          <w:szCs w:val="20"/>
        </w:rPr>
        <w:t>autre</w:t>
      </w:r>
      <w:r w:rsidR="00DB1635" w:rsidRPr="00B004EE">
        <w:rPr>
          <w:rFonts w:ascii="Tahoma" w:hAnsi="Tahoma" w:cs="Tahoma"/>
          <w:sz w:val="20"/>
          <w:szCs w:val="20"/>
        </w:rPr>
        <w:t xml:space="preserve"> </w:t>
      </w:r>
      <w:r w:rsidRPr="00B004EE">
        <w:rPr>
          <w:rFonts w:ascii="Tahoma" w:hAnsi="Tahoma" w:cs="Tahoma"/>
          <w:sz w:val="20"/>
          <w:szCs w:val="20"/>
        </w:rPr>
        <w:t>que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réfrigération;</w:t>
      </w:r>
    </w:p>
    <w:p w14:paraId="4AA36EBC" w14:textId="4610BFDA" w:rsidR="002F24E1" w:rsidRPr="00B004EE" w:rsidRDefault="002F24E1" w:rsidP="00B004EE">
      <w:pPr>
        <w:numPr>
          <w:ilvl w:val="0"/>
          <w:numId w:val="3"/>
        </w:numPr>
        <w:ind w:left="284" w:hanging="284"/>
        <w:jc w:val="both"/>
        <w:rPr>
          <w:rFonts w:ascii="Tahoma" w:hAnsi="Tahoma" w:cs="Tahoma"/>
          <w:sz w:val="20"/>
          <w:szCs w:val="20"/>
        </w:rPr>
      </w:pPr>
      <w:proofErr w:type="gramStart"/>
      <w:r w:rsidRPr="00B004EE">
        <w:rPr>
          <w:rFonts w:ascii="Tahoma" w:hAnsi="Tahoma" w:cs="Tahoma"/>
          <w:sz w:val="20"/>
          <w:szCs w:val="20"/>
        </w:rPr>
        <w:t>produit</w:t>
      </w:r>
      <w:proofErr w:type="gramEnd"/>
      <w:r w:rsidR="00DB1635" w:rsidRPr="00B004EE">
        <w:rPr>
          <w:rFonts w:ascii="Tahoma" w:hAnsi="Tahoma" w:cs="Tahoma"/>
          <w:sz w:val="20"/>
          <w:szCs w:val="20"/>
        </w:rPr>
        <w:t xml:space="preserve"> </w:t>
      </w:r>
      <w:r w:rsidRPr="00B004EE">
        <w:rPr>
          <w:rFonts w:ascii="Tahoma" w:hAnsi="Tahoma" w:cs="Tahoma"/>
          <w:sz w:val="20"/>
          <w:szCs w:val="20"/>
        </w:rPr>
        <w:t>réfrigéré:</w:t>
      </w:r>
      <w:r w:rsidR="00DB1635" w:rsidRPr="00B004EE">
        <w:rPr>
          <w:rFonts w:ascii="Tahoma" w:hAnsi="Tahoma" w:cs="Tahoma"/>
          <w:sz w:val="20"/>
          <w:szCs w:val="20"/>
        </w:rPr>
        <w:t xml:space="preserve"> </w:t>
      </w:r>
      <w:r w:rsidRPr="00B004EE">
        <w:rPr>
          <w:rFonts w:ascii="Tahoma" w:hAnsi="Tahoma" w:cs="Tahoma"/>
          <w:sz w:val="20"/>
          <w:szCs w:val="20"/>
        </w:rPr>
        <w:t>tout</w:t>
      </w:r>
      <w:r w:rsidR="00DB1635" w:rsidRPr="00B004EE">
        <w:rPr>
          <w:rFonts w:ascii="Tahoma" w:hAnsi="Tahoma" w:cs="Tahoma"/>
          <w:sz w:val="20"/>
          <w:szCs w:val="20"/>
        </w:rPr>
        <w:t xml:space="preserve"> </w:t>
      </w:r>
      <w:r w:rsidRPr="00B004EE">
        <w:rPr>
          <w:rFonts w:ascii="Tahoma" w:hAnsi="Tahoma" w:cs="Tahoma"/>
          <w:sz w:val="20"/>
          <w:szCs w:val="20"/>
        </w:rPr>
        <w:t>produit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dont</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température</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abaissée</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réfrigération</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maintenu</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voisinage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température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glace</w:t>
      </w:r>
      <w:r w:rsidR="00DB1635" w:rsidRPr="00B004EE">
        <w:rPr>
          <w:rFonts w:ascii="Tahoma" w:hAnsi="Tahoma" w:cs="Tahoma"/>
          <w:sz w:val="20"/>
          <w:szCs w:val="20"/>
        </w:rPr>
        <w:t xml:space="preserve"> </w:t>
      </w:r>
      <w:r w:rsidRPr="00B004EE">
        <w:rPr>
          <w:rFonts w:ascii="Tahoma" w:hAnsi="Tahoma" w:cs="Tahoma"/>
          <w:sz w:val="20"/>
          <w:szCs w:val="20"/>
        </w:rPr>
        <w:t>fondante;</w:t>
      </w:r>
    </w:p>
    <w:p w14:paraId="7ADBF876" w14:textId="1A5EAC08" w:rsidR="002F24E1" w:rsidRPr="00B004EE" w:rsidRDefault="002F24E1" w:rsidP="00B004EE">
      <w:pPr>
        <w:numPr>
          <w:ilvl w:val="0"/>
          <w:numId w:val="3"/>
        </w:numPr>
        <w:ind w:left="284" w:hanging="284"/>
        <w:jc w:val="both"/>
        <w:rPr>
          <w:rFonts w:ascii="Tahoma" w:hAnsi="Tahoma" w:cs="Tahoma"/>
          <w:sz w:val="20"/>
          <w:szCs w:val="20"/>
        </w:rPr>
      </w:pPr>
      <w:proofErr w:type="gramStart"/>
      <w:r w:rsidRPr="00B004EE">
        <w:rPr>
          <w:rFonts w:ascii="Tahoma" w:hAnsi="Tahoma" w:cs="Tahoma"/>
          <w:sz w:val="20"/>
          <w:szCs w:val="20"/>
        </w:rPr>
        <w:t>produit</w:t>
      </w:r>
      <w:proofErr w:type="gramEnd"/>
      <w:r w:rsidR="00DB1635" w:rsidRPr="00B004EE">
        <w:rPr>
          <w:rFonts w:ascii="Tahoma" w:hAnsi="Tahoma" w:cs="Tahoma"/>
          <w:sz w:val="20"/>
          <w:szCs w:val="20"/>
        </w:rPr>
        <w:t xml:space="preserve"> </w:t>
      </w:r>
      <w:r w:rsidRPr="00B004EE">
        <w:rPr>
          <w:rFonts w:ascii="Tahoma" w:hAnsi="Tahoma" w:cs="Tahoma"/>
          <w:sz w:val="20"/>
          <w:szCs w:val="20"/>
        </w:rPr>
        <w:t>congelé:</w:t>
      </w:r>
      <w:r w:rsidR="00DB1635" w:rsidRPr="00B004EE">
        <w:rPr>
          <w:rFonts w:ascii="Tahoma" w:hAnsi="Tahoma" w:cs="Tahoma"/>
          <w:sz w:val="20"/>
          <w:szCs w:val="20"/>
        </w:rPr>
        <w:t xml:space="preserve"> </w:t>
      </w:r>
      <w:r w:rsidRPr="00B004EE">
        <w:rPr>
          <w:rFonts w:ascii="Tahoma" w:hAnsi="Tahoma" w:cs="Tahoma"/>
          <w:sz w:val="20"/>
          <w:szCs w:val="20"/>
        </w:rPr>
        <w:t>tout</w:t>
      </w:r>
      <w:r w:rsidR="00DB1635" w:rsidRPr="00B004EE">
        <w:rPr>
          <w:rFonts w:ascii="Tahoma" w:hAnsi="Tahoma" w:cs="Tahoma"/>
          <w:sz w:val="20"/>
          <w:szCs w:val="20"/>
        </w:rPr>
        <w:t xml:space="preserve"> </w:t>
      </w:r>
      <w:r w:rsidRPr="00B004EE">
        <w:rPr>
          <w:rFonts w:ascii="Tahoma" w:hAnsi="Tahoma" w:cs="Tahoma"/>
          <w:sz w:val="20"/>
          <w:szCs w:val="20"/>
        </w:rPr>
        <w:t>produit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ayant</w:t>
      </w:r>
      <w:r w:rsidR="00DB1635" w:rsidRPr="00B004EE">
        <w:rPr>
          <w:rFonts w:ascii="Tahoma" w:hAnsi="Tahoma" w:cs="Tahoma"/>
          <w:sz w:val="20"/>
          <w:szCs w:val="20"/>
        </w:rPr>
        <w:t xml:space="preserve"> </w:t>
      </w:r>
      <w:r w:rsidRPr="00B004EE">
        <w:rPr>
          <w:rFonts w:ascii="Tahoma" w:hAnsi="Tahoma" w:cs="Tahoma"/>
          <w:sz w:val="20"/>
          <w:szCs w:val="20"/>
        </w:rPr>
        <w:t>subi</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congélation</w:t>
      </w:r>
      <w:r w:rsidR="00DB1635" w:rsidRPr="00B004EE">
        <w:rPr>
          <w:rFonts w:ascii="Tahoma" w:hAnsi="Tahoma" w:cs="Tahoma"/>
          <w:sz w:val="20"/>
          <w:szCs w:val="20"/>
        </w:rPr>
        <w:t xml:space="preserve"> </w:t>
      </w:r>
      <w:r w:rsidRPr="00B004EE">
        <w:rPr>
          <w:rFonts w:ascii="Tahoma" w:hAnsi="Tahoma" w:cs="Tahoma"/>
          <w:sz w:val="20"/>
          <w:szCs w:val="20"/>
        </w:rPr>
        <w:t>permettant</w:t>
      </w:r>
      <w:r w:rsidR="00DB1635" w:rsidRPr="00B004EE">
        <w:rPr>
          <w:rFonts w:ascii="Tahoma" w:hAnsi="Tahoma" w:cs="Tahoma"/>
          <w:sz w:val="20"/>
          <w:szCs w:val="20"/>
        </w:rPr>
        <w:t xml:space="preserve"> </w:t>
      </w:r>
      <w:r w:rsidRPr="00B004EE">
        <w:rPr>
          <w:rFonts w:ascii="Tahoma" w:hAnsi="Tahoma" w:cs="Tahoma"/>
          <w:sz w:val="20"/>
          <w:szCs w:val="20"/>
        </w:rPr>
        <w:t>d'obtenir</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00BC1DA4" w:rsidRPr="00B004EE">
        <w:rPr>
          <w:rFonts w:ascii="Tahoma" w:hAnsi="Tahoma" w:cs="Tahoma"/>
          <w:sz w:val="20"/>
          <w:szCs w:val="20"/>
        </w:rPr>
        <w:t xml:space="preserve">cœur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température</w:t>
      </w:r>
      <w:r w:rsidR="00DB1635" w:rsidRPr="00B004EE">
        <w:rPr>
          <w:rFonts w:ascii="Tahoma" w:hAnsi="Tahoma" w:cs="Tahoma"/>
          <w:sz w:val="20"/>
          <w:szCs w:val="20"/>
        </w:rPr>
        <w:t xml:space="preserve"> </w:t>
      </w:r>
      <w:r w:rsidRPr="00B004EE">
        <w:rPr>
          <w:rFonts w:ascii="Tahoma" w:hAnsi="Tahoma" w:cs="Tahoma"/>
          <w:sz w:val="20"/>
          <w:szCs w:val="20"/>
        </w:rPr>
        <w:t>inférieure</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égale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-18°C</w:t>
      </w:r>
      <w:r w:rsidR="00DB1635" w:rsidRPr="00B004EE">
        <w:rPr>
          <w:rFonts w:ascii="Tahoma" w:hAnsi="Tahoma" w:cs="Tahoma"/>
          <w:sz w:val="20"/>
          <w:szCs w:val="20"/>
        </w:rPr>
        <w:t xml:space="preserve"> </w:t>
      </w:r>
      <w:r w:rsidRPr="00B004EE">
        <w:rPr>
          <w:rFonts w:ascii="Tahoma" w:hAnsi="Tahoma" w:cs="Tahoma"/>
          <w:sz w:val="20"/>
          <w:szCs w:val="20"/>
        </w:rPr>
        <w:t>après</w:t>
      </w:r>
      <w:r w:rsidR="00DB1635" w:rsidRPr="00B004EE">
        <w:rPr>
          <w:rFonts w:ascii="Tahoma" w:hAnsi="Tahoma" w:cs="Tahoma"/>
          <w:sz w:val="20"/>
          <w:szCs w:val="20"/>
        </w:rPr>
        <w:t xml:space="preserve"> </w:t>
      </w:r>
      <w:r w:rsidRPr="00B004EE">
        <w:rPr>
          <w:rFonts w:ascii="Tahoma" w:hAnsi="Tahoma" w:cs="Tahoma"/>
          <w:sz w:val="20"/>
          <w:szCs w:val="20"/>
        </w:rPr>
        <w:t>stabilisation</w:t>
      </w:r>
      <w:r w:rsidR="00DB1635" w:rsidRPr="00B004EE">
        <w:rPr>
          <w:rFonts w:ascii="Tahoma" w:hAnsi="Tahoma" w:cs="Tahoma"/>
          <w:sz w:val="20"/>
          <w:szCs w:val="20"/>
        </w:rPr>
        <w:t xml:space="preserve"> </w:t>
      </w:r>
      <w:r w:rsidRPr="00B004EE">
        <w:rPr>
          <w:rFonts w:ascii="Tahoma" w:hAnsi="Tahoma" w:cs="Tahoma"/>
          <w:sz w:val="20"/>
          <w:szCs w:val="20"/>
        </w:rPr>
        <w:t>thermique;</w:t>
      </w:r>
    </w:p>
    <w:p w14:paraId="63D7C2B9" w14:textId="55A75F7F" w:rsidR="002F24E1" w:rsidRPr="00B004EE" w:rsidRDefault="002F24E1" w:rsidP="00B004EE">
      <w:pPr>
        <w:numPr>
          <w:ilvl w:val="0"/>
          <w:numId w:val="3"/>
        </w:numPr>
        <w:ind w:left="284" w:hanging="284"/>
        <w:jc w:val="both"/>
        <w:rPr>
          <w:rFonts w:ascii="Tahoma" w:hAnsi="Tahoma" w:cs="Tahoma"/>
          <w:sz w:val="20"/>
          <w:szCs w:val="20"/>
        </w:rPr>
      </w:pPr>
      <w:proofErr w:type="gramStart"/>
      <w:r w:rsidRPr="00B004EE">
        <w:rPr>
          <w:rFonts w:ascii="Tahoma" w:hAnsi="Tahoma" w:cs="Tahoma"/>
          <w:sz w:val="20"/>
          <w:szCs w:val="20"/>
        </w:rPr>
        <w:t>produit</w:t>
      </w:r>
      <w:proofErr w:type="gramEnd"/>
      <w:r w:rsidR="00DB1635" w:rsidRPr="00B004EE">
        <w:rPr>
          <w:rFonts w:ascii="Tahoma" w:hAnsi="Tahoma" w:cs="Tahoma"/>
          <w:sz w:val="20"/>
          <w:szCs w:val="20"/>
        </w:rPr>
        <w:t xml:space="preserve"> </w:t>
      </w:r>
      <w:r w:rsidRPr="00B004EE">
        <w:rPr>
          <w:rFonts w:ascii="Tahoma" w:hAnsi="Tahoma" w:cs="Tahoma"/>
          <w:sz w:val="20"/>
          <w:szCs w:val="20"/>
        </w:rPr>
        <w:t>préparé:</w:t>
      </w:r>
      <w:r w:rsidR="00DB1635" w:rsidRPr="00B004EE">
        <w:rPr>
          <w:rFonts w:ascii="Tahoma" w:hAnsi="Tahoma" w:cs="Tahoma"/>
          <w:sz w:val="20"/>
          <w:szCs w:val="20"/>
        </w:rPr>
        <w:t xml:space="preserve"> </w:t>
      </w:r>
      <w:r w:rsidRPr="00B004EE">
        <w:rPr>
          <w:rFonts w:ascii="Tahoma" w:hAnsi="Tahoma" w:cs="Tahoma"/>
          <w:sz w:val="20"/>
          <w:szCs w:val="20"/>
        </w:rPr>
        <w:t>tout</w:t>
      </w:r>
      <w:r w:rsidR="00DB1635" w:rsidRPr="00B004EE">
        <w:rPr>
          <w:rFonts w:ascii="Tahoma" w:hAnsi="Tahoma" w:cs="Tahoma"/>
          <w:sz w:val="20"/>
          <w:szCs w:val="20"/>
        </w:rPr>
        <w:t xml:space="preserve"> </w:t>
      </w:r>
      <w:r w:rsidRPr="00B004EE">
        <w:rPr>
          <w:rFonts w:ascii="Tahoma" w:hAnsi="Tahoma" w:cs="Tahoma"/>
          <w:sz w:val="20"/>
          <w:szCs w:val="20"/>
        </w:rPr>
        <w:t>produit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ayant</w:t>
      </w:r>
      <w:r w:rsidR="00DB1635" w:rsidRPr="00B004EE">
        <w:rPr>
          <w:rFonts w:ascii="Tahoma" w:hAnsi="Tahoma" w:cs="Tahoma"/>
          <w:sz w:val="20"/>
          <w:szCs w:val="20"/>
        </w:rPr>
        <w:t xml:space="preserve"> </w:t>
      </w:r>
      <w:r w:rsidRPr="00B004EE">
        <w:rPr>
          <w:rFonts w:ascii="Tahoma" w:hAnsi="Tahoma" w:cs="Tahoma"/>
          <w:sz w:val="20"/>
          <w:szCs w:val="20"/>
        </w:rPr>
        <w:t>subi</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opération</w:t>
      </w:r>
      <w:r w:rsidR="00DB1635" w:rsidRPr="00B004EE">
        <w:rPr>
          <w:rFonts w:ascii="Tahoma" w:hAnsi="Tahoma" w:cs="Tahoma"/>
          <w:sz w:val="20"/>
          <w:szCs w:val="20"/>
        </w:rPr>
        <w:t xml:space="preserve"> </w:t>
      </w:r>
      <w:r w:rsidRPr="00B004EE">
        <w:rPr>
          <w:rFonts w:ascii="Tahoma" w:hAnsi="Tahoma" w:cs="Tahoma"/>
          <w:sz w:val="20"/>
          <w:szCs w:val="20"/>
        </w:rPr>
        <w:t>modifiant</w:t>
      </w:r>
      <w:r w:rsidR="00DB1635" w:rsidRPr="00B004EE">
        <w:rPr>
          <w:rFonts w:ascii="Tahoma" w:hAnsi="Tahoma" w:cs="Tahoma"/>
          <w:sz w:val="20"/>
          <w:szCs w:val="20"/>
        </w:rPr>
        <w:t xml:space="preserve"> </w:t>
      </w:r>
      <w:r w:rsidRPr="00B004EE">
        <w:rPr>
          <w:rFonts w:ascii="Tahoma" w:hAnsi="Tahoma" w:cs="Tahoma"/>
          <w:sz w:val="20"/>
          <w:szCs w:val="20"/>
        </w:rPr>
        <w:t>son</w:t>
      </w:r>
      <w:r w:rsidR="00DB1635" w:rsidRPr="00B004EE">
        <w:rPr>
          <w:rFonts w:ascii="Tahoma" w:hAnsi="Tahoma" w:cs="Tahoma"/>
          <w:sz w:val="20"/>
          <w:szCs w:val="20"/>
        </w:rPr>
        <w:t xml:space="preserve"> </w:t>
      </w:r>
      <w:r w:rsidRPr="00B004EE">
        <w:rPr>
          <w:rFonts w:ascii="Tahoma" w:hAnsi="Tahoma" w:cs="Tahoma"/>
          <w:sz w:val="20"/>
          <w:szCs w:val="20"/>
        </w:rPr>
        <w:t>intégrité</w:t>
      </w:r>
      <w:r w:rsidR="00DB1635" w:rsidRPr="00B004EE">
        <w:rPr>
          <w:rFonts w:ascii="Tahoma" w:hAnsi="Tahoma" w:cs="Tahoma"/>
          <w:sz w:val="20"/>
          <w:szCs w:val="20"/>
        </w:rPr>
        <w:t xml:space="preserve"> </w:t>
      </w:r>
      <w:r w:rsidRPr="00B004EE">
        <w:rPr>
          <w:rFonts w:ascii="Tahoma" w:hAnsi="Tahoma" w:cs="Tahoma"/>
          <w:sz w:val="20"/>
          <w:szCs w:val="20"/>
        </w:rPr>
        <w:t>anatomique,</w:t>
      </w:r>
      <w:r w:rsidR="00DB1635" w:rsidRPr="00B004EE">
        <w:rPr>
          <w:rFonts w:ascii="Tahoma" w:hAnsi="Tahoma" w:cs="Tahoma"/>
          <w:sz w:val="20"/>
          <w:szCs w:val="20"/>
        </w:rPr>
        <w:t xml:space="preserve"> </w:t>
      </w:r>
      <w:r w:rsidRPr="00B004EE">
        <w:rPr>
          <w:rFonts w:ascii="Tahoma" w:hAnsi="Tahoma" w:cs="Tahoma"/>
          <w:sz w:val="20"/>
          <w:szCs w:val="20"/>
        </w:rPr>
        <w:t>telle</w:t>
      </w:r>
      <w:r w:rsidR="00DB1635" w:rsidRPr="00B004EE">
        <w:rPr>
          <w:rFonts w:ascii="Tahoma" w:hAnsi="Tahoma" w:cs="Tahoma"/>
          <w:sz w:val="20"/>
          <w:szCs w:val="20"/>
        </w:rPr>
        <w:t xml:space="preserve"> </w:t>
      </w:r>
      <w:r w:rsidRPr="00B004EE">
        <w:rPr>
          <w:rFonts w:ascii="Tahoma" w:hAnsi="Tahoma" w:cs="Tahoma"/>
          <w:sz w:val="20"/>
          <w:szCs w:val="20"/>
        </w:rPr>
        <w:t>que</w:t>
      </w:r>
      <w:r w:rsidR="00DB1635" w:rsidRPr="00B004EE">
        <w:rPr>
          <w:rFonts w:ascii="Tahoma" w:hAnsi="Tahoma" w:cs="Tahoma"/>
          <w:sz w:val="20"/>
          <w:szCs w:val="20"/>
        </w:rPr>
        <w:t xml:space="preserve"> </w:t>
      </w:r>
      <w:r w:rsidRPr="00B004EE">
        <w:rPr>
          <w:rFonts w:ascii="Tahoma" w:hAnsi="Tahoma" w:cs="Tahoma"/>
          <w:sz w:val="20"/>
          <w:szCs w:val="20"/>
        </w:rPr>
        <w:t>l'éviscération,</w:t>
      </w:r>
      <w:r w:rsidR="00DB1635" w:rsidRPr="00B004EE">
        <w:rPr>
          <w:rFonts w:ascii="Tahoma" w:hAnsi="Tahoma" w:cs="Tahoma"/>
          <w:sz w:val="20"/>
          <w:szCs w:val="20"/>
        </w:rPr>
        <w:t xml:space="preserve"> </w:t>
      </w:r>
      <w:r w:rsidRPr="00B004EE">
        <w:rPr>
          <w:rFonts w:ascii="Tahoma" w:hAnsi="Tahoma" w:cs="Tahoma"/>
          <w:sz w:val="20"/>
          <w:szCs w:val="20"/>
        </w:rPr>
        <w:t>l'étêtage,</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tranchage,</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filetage,</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hachage,</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encore</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triage,</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lavage</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l'emballage;</w:t>
      </w:r>
    </w:p>
    <w:p w14:paraId="675616C9" w14:textId="36B5F483" w:rsidR="002F24E1" w:rsidRPr="00B004EE" w:rsidRDefault="002F24E1" w:rsidP="00B004EE">
      <w:pPr>
        <w:numPr>
          <w:ilvl w:val="0"/>
          <w:numId w:val="3"/>
        </w:numPr>
        <w:ind w:left="284" w:hanging="284"/>
        <w:jc w:val="both"/>
        <w:rPr>
          <w:rFonts w:ascii="Tahoma" w:hAnsi="Tahoma" w:cs="Tahoma"/>
          <w:sz w:val="20"/>
          <w:szCs w:val="20"/>
        </w:rPr>
      </w:pPr>
      <w:proofErr w:type="gramStart"/>
      <w:r w:rsidRPr="00B004EE">
        <w:rPr>
          <w:rFonts w:ascii="Tahoma" w:hAnsi="Tahoma" w:cs="Tahoma"/>
          <w:sz w:val="20"/>
          <w:szCs w:val="20"/>
        </w:rPr>
        <w:t>produit</w:t>
      </w:r>
      <w:proofErr w:type="gramEnd"/>
      <w:r w:rsidR="00DB1635" w:rsidRPr="00B004EE">
        <w:rPr>
          <w:rFonts w:ascii="Tahoma" w:hAnsi="Tahoma" w:cs="Tahoma"/>
          <w:sz w:val="20"/>
          <w:szCs w:val="20"/>
        </w:rPr>
        <w:t xml:space="preserve"> </w:t>
      </w:r>
      <w:r w:rsidRPr="00B004EE">
        <w:rPr>
          <w:rFonts w:ascii="Tahoma" w:hAnsi="Tahoma" w:cs="Tahoma"/>
          <w:sz w:val="20"/>
          <w:szCs w:val="20"/>
        </w:rPr>
        <w:t>transformé:</w:t>
      </w:r>
      <w:r w:rsidR="00DB1635" w:rsidRPr="00B004EE">
        <w:rPr>
          <w:rFonts w:ascii="Tahoma" w:hAnsi="Tahoma" w:cs="Tahoma"/>
          <w:sz w:val="20"/>
          <w:szCs w:val="20"/>
        </w:rPr>
        <w:t xml:space="preserve"> </w:t>
      </w:r>
      <w:r w:rsidRPr="00B004EE">
        <w:rPr>
          <w:rFonts w:ascii="Tahoma" w:hAnsi="Tahoma" w:cs="Tahoma"/>
          <w:sz w:val="20"/>
          <w:szCs w:val="20"/>
        </w:rPr>
        <w:t>tout</w:t>
      </w:r>
      <w:r w:rsidR="00DB1635" w:rsidRPr="00B004EE">
        <w:rPr>
          <w:rFonts w:ascii="Tahoma" w:hAnsi="Tahoma" w:cs="Tahoma"/>
          <w:sz w:val="20"/>
          <w:szCs w:val="20"/>
        </w:rPr>
        <w:t xml:space="preserve"> </w:t>
      </w:r>
      <w:r w:rsidRPr="00B004EE">
        <w:rPr>
          <w:rFonts w:ascii="Tahoma" w:hAnsi="Tahoma" w:cs="Tahoma"/>
          <w:sz w:val="20"/>
          <w:szCs w:val="20"/>
        </w:rPr>
        <w:t>produit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ayant</w:t>
      </w:r>
      <w:r w:rsidR="00DB1635" w:rsidRPr="00B004EE">
        <w:rPr>
          <w:rFonts w:ascii="Tahoma" w:hAnsi="Tahoma" w:cs="Tahoma"/>
          <w:sz w:val="20"/>
          <w:szCs w:val="20"/>
        </w:rPr>
        <w:t xml:space="preserve"> </w:t>
      </w:r>
      <w:r w:rsidRPr="00B004EE">
        <w:rPr>
          <w:rFonts w:ascii="Tahoma" w:hAnsi="Tahoma" w:cs="Tahoma"/>
          <w:sz w:val="20"/>
          <w:szCs w:val="20"/>
        </w:rPr>
        <w:t>subi</w:t>
      </w:r>
      <w:r w:rsidR="00DB1635" w:rsidRPr="00B004EE">
        <w:rPr>
          <w:rFonts w:ascii="Tahoma" w:hAnsi="Tahoma" w:cs="Tahoma"/>
          <w:sz w:val="20"/>
          <w:szCs w:val="20"/>
        </w:rPr>
        <w:t xml:space="preserve"> </w:t>
      </w: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procédé</w:t>
      </w:r>
      <w:r w:rsidR="00DB1635" w:rsidRPr="00B004EE">
        <w:rPr>
          <w:rFonts w:ascii="Tahoma" w:hAnsi="Tahoma" w:cs="Tahoma"/>
          <w:sz w:val="20"/>
          <w:szCs w:val="20"/>
        </w:rPr>
        <w:t xml:space="preserve"> </w:t>
      </w:r>
      <w:r w:rsidRPr="00B004EE">
        <w:rPr>
          <w:rFonts w:ascii="Tahoma" w:hAnsi="Tahoma" w:cs="Tahoma"/>
          <w:sz w:val="20"/>
          <w:szCs w:val="20"/>
        </w:rPr>
        <w:t>physique</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chimique,</w:t>
      </w:r>
      <w:r w:rsidR="00DB1635" w:rsidRPr="00B004EE">
        <w:rPr>
          <w:rFonts w:ascii="Tahoma" w:hAnsi="Tahoma" w:cs="Tahoma"/>
          <w:sz w:val="20"/>
          <w:szCs w:val="20"/>
        </w:rPr>
        <w:t xml:space="preserve"> </w:t>
      </w:r>
      <w:r w:rsidRPr="00B004EE">
        <w:rPr>
          <w:rFonts w:ascii="Tahoma" w:hAnsi="Tahoma" w:cs="Tahoma"/>
          <w:sz w:val="20"/>
          <w:szCs w:val="20"/>
        </w:rPr>
        <w:t>tel</w:t>
      </w:r>
      <w:r w:rsidR="00DB1635" w:rsidRPr="00B004EE">
        <w:rPr>
          <w:rFonts w:ascii="Tahoma" w:hAnsi="Tahoma" w:cs="Tahoma"/>
          <w:sz w:val="20"/>
          <w:szCs w:val="20"/>
        </w:rPr>
        <w:t xml:space="preserve"> </w:t>
      </w:r>
      <w:r w:rsidRPr="00B004EE">
        <w:rPr>
          <w:rFonts w:ascii="Tahoma" w:hAnsi="Tahoma" w:cs="Tahoma"/>
          <w:sz w:val="20"/>
          <w:szCs w:val="20"/>
        </w:rPr>
        <w:t>que</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chauffage,</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fumage,</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salage,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00BC1DA4" w:rsidRPr="00B004EE">
        <w:rPr>
          <w:rFonts w:ascii="Tahoma" w:hAnsi="Tahoma" w:cs="Tahoma"/>
          <w:sz w:val="20"/>
          <w:szCs w:val="20"/>
        </w:rPr>
        <w:t>dessiccation</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marinage,</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combinaison</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ces</w:t>
      </w:r>
      <w:r w:rsidR="00DB1635" w:rsidRPr="00B004EE">
        <w:rPr>
          <w:rFonts w:ascii="Tahoma" w:hAnsi="Tahoma" w:cs="Tahoma"/>
          <w:sz w:val="20"/>
          <w:szCs w:val="20"/>
        </w:rPr>
        <w:t xml:space="preserve"> </w:t>
      </w:r>
      <w:r w:rsidRPr="00B004EE">
        <w:rPr>
          <w:rFonts w:ascii="Tahoma" w:hAnsi="Tahoma" w:cs="Tahoma"/>
          <w:sz w:val="20"/>
          <w:szCs w:val="20"/>
        </w:rPr>
        <w:t>différents</w:t>
      </w:r>
      <w:r w:rsidR="00DB1635" w:rsidRPr="00B004EE">
        <w:rPr>
          <w:rFonts w:ascii="Tahoma" w:hAnsi="Tahoma" w:cs="Tahoma"/>
          <w:sz w:val="20"/>
          <w:szCs w:val="20"/>
        </w:rPr>
        <w:t xml:space="preserve"> </w:t>
      </w:r>
      <w:r w:rsidRPr="00B004EE">
        <w:rPr>
          <w:rFonts w:ascii="Tahoma" w:hAnsi="Tahoma" w:cs="Tahoma"/>
          <w:sz w:val="20"/>
          <w:szCs w:val="20"/>
        </w:rPr>
        <w:t>procédés</w:t>
      </w:r>
      <w:r w:rsidR="00DB1635" w:rsidRPr="00B004EE">
        <w:rPr>
          <w:rFonts w:ascii="Tahoma" w:hAnsi="Tahoma" w:cs="Tahoma"/>
          <w:sz w:val="20"/>
          <w:szCs w:val="20"/>
        </w:rPr>
        <w:t xml:space="preserve"> </w:t>
      </w:r>
      <w:r w:rsidRPr="00B004EE">
        <w:rPr>
          <w:rFonts w:ascii="Tahoma" w:hAnsi="Tahoma" w:cs="Tahoma"/>
          <w:sz w:val="20"/>
          <w:szCs w:val="20"/>
        </w:rPr>
        <w:t>ceux-ci</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appliqués</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réfrigérés</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congelés,</w:t>
      </w:r>
      <w:r w:rsidR="00DB1635" w:rsidRPr="00B004EE">
        <w:rPr>
          <w:rFonts w:ascii="Tahoma" w:hAnsi="Tahoma" w:cs="Tahoma"/>
          <w:sz w:val="20"/>
          <w:szCs w:val="20"/>
        </w:rPr>
        <w:t xml:space="preserve"> </w:t>
      </w:r>
      <w:r w:rsidRPr="00B004EE">
        <w:rPr>
          <w:rFonts w:ascii="Tahoma" w:hAnsi="Tahoma" w:cs="Tahoma"/>
          <w:sz w:val="20"/>
          <w:szCs w:val="20"/>
        </w:rPr>
        <w:t>associés</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non</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d'autres</w:t>
      </w:r>
      <w:r w:rsidR="00DB1635" w:rsidRPr="00B004EE">
        <w:rPr>
          <w:rFonts w:ascii="Tahoma" w:hAnsi="Tahoma" w:cs="Tahoma"/>
          <w:sz w:val="20"/>
          <w:szCs w:val="20"/>
        </w:rPr>
        <w:t xml:space="preserve"> </w:t>
      </w:r>
      <w:r w:rsidRPr="00B004EE">
        <w:rPr>
          <w:rFonts w:ascii="Tahoma" w:hAnsi="Tahoma" w:cs="Tahoma"/>
          <w:sz w:val="20"/>
          <w:szCs w:val="20"/>
        </w:rPr>
        <w:t>denrées</w:t>
      </w:r>
      <w:r w:rsidR="00DB1635" w:rsidRPr="00B004EE">
        <w:rPr>
          <w:rFonts w:ascii="Tahoma" w:hAnsi="Tahoma" w:cs="Tahoma"/>
          <w:sz w:val="20"/>
          <w:szCs w:val="20"/>
        </w:rPr>
        <w:t xml:space="preserve"> </w:t>
      </w:r>
      <w:r w:rsidRPr="00B004EE">
        <w:rPr>
          <w:rFonts w:ascii="Tahoma" w:hAnsi="Tahoma" w:cs="Tahoma"/>
          <w:sz w:val="20"/>
          <w:szCs w:val="20"/>
        </w:rPr>
        <w:t>alimentaires;</w:t>
      </w:r>
    </w:p>
    <w:p w14:paraId="6CB50637" w14:textId="2EA5D5B7" w:rsidR="002F24E1" w:rsidRPr="00B004EE" w:rsidRDefault="002F24E1" w:rsidP="00B004EE">
      <w:pPr>
        <w:numPr>
          <w:ilvl w:val="0"/>
          <w:numId w:val="3"/>
        </w:numPr>
        <w:ind w:left="284" w:hanging="284"/>
        <w:jc w:val="both"/>
        <w:rPr>
          <w:rFonts w:ascii="Tahoma" w:hAnsi="Tahoma" w:cs="Tahoma"/>
          <w:sz w:val="20"/>
          <w:szCs w:val="20"/>
        </w:rPr>
      </w:pPr>
      <w:proofErr w:type="gramStart"/>
      <w:r w:rsidRPr="00B004EE">
        <w:rPr>
          <w:rFonts w:ascii="Tahoma" w:hAnsi="Tahoma" w:cs="Tahoma"/>
          <w:sz w:val="20"/>
          <w:szCs w:val="20"/>
        </w:rPr>
        <w:t>conditionnement:</w:t>
      </w:r>
      <w:proofErr w:type="gramEnd"/>
      <w:r w:rsidR="00DB1635" w:rsidRPr="00B004EE">
        <w:rPr>
          <w:rFonts w:ascii="Tahoma" w:hAnsi="Tahoma" w:cs="Tahoma"/>
          <w:sz w:val="20"/>
          <w:szCs w:val="20"/>
        </w:rPr>
        <w:t xml:space="preserve"> </w:t>
      </w:r>
      <w:r w:rsidRPr="00B004EE">
        <w:rPr>
          <w:rFonts w:ascii="Tahoma" w:hAnsi="Tahoma" w:cs="Tahoma"/>
          <w:sz w:val="20"/>
          <w:szCs w:val="20"/>
        </w:rPr>
        <w:t>l'opération</w:t>
      </w:r>
      <w:r w:rsidR="00DB1635" w:rsidRPr="00B004EE">
        <w:rPr>
          <w:rFonts w:ascii="Tahoma" w:hAnsi="Tahoma" w:cs="Tahoma"/>
          <w:sz w:val="20"/>
          <w:szCs w:val="20"/>
        </w:rPr>
        <w:t xml:space="preserve"> </w:t>
      </w:r>
      <w:r w:rsidRPr="00B004EE">
        <w:rPr>
          <w:rFonts w:ascii="Tahoma" w:hAnsi="Tahoma" w:cs="Tahoma"/>
          <w:sz w:val="20"/>
          <w:szCs w:val="20"/>
        </w:rPr>
        <w:t>qui</w:t>
      </w:r>
      <w:r w:rsidR="00DB1635" w:rsidRPr="00B004EE">
        <w:rPr>
          <w:rFonts w:ascii="Tahoma" w:hAnsi="Tahoma" w:cs="Tahoma"/>
          <w:sz w:val="20"/>
          <w:szCs w:val="20"/>
        </w:rPr>
        <w:t xml:space="preserve"> </w:t>
      </w:r>
      <w:r w:rsidRPr="00B004EE">
        <w:rPr>
          <w:rFonts w:ascii="Tahoma" w:hAnsi="Tahoma" w:cs="Tahoma"/>
          <w:sz w:val="20"/>
          <w:szCs w:val="20"/>
        </w:rPr>
        <w:t>réalise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protection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l'emploi</w:t>
      </w:r>
      <w:r w:rsidR="00DB1635" w:rsidRPr="00B004EE">
        <w:rPr>
          <w:rFonts w:ascii="Tahoma" w:hAnsi="Tahoma" w:cs="Tahoma"/>
          <w:sz w:val="20"/>
          <w:szCs w:val="20"/>
        </w:rPr>
        <w:t xml:space="preserve"> </w:t>
      </w:r>
      <w:r w:rsidRPr="00B004EE">
        <w:rPr>
          <w:rFonts w:ascii="Tahoma" w:hAnsi="Tahoma" w:cs="Tahoma"/>
          <w:sz w:val="20"/>
          <w:szCs w:val="20"/>
        </w:rPr>
        <w:t>d'une</w:t>
      </w:r>
      <w:r w:rsidR="00DB1635" w:rsidRPr="00B004EE">
        <w:rPr>
          <w:rFonts w:ascii="Tahoma" w:hAnsi="Tahoma" w:cs="Tahoma"/>
          <w:sz w:val="20"/>
          <w:szCs w:val="20"/>
        </w:rPr>
        <w:t xml:space="preserve"> </w:t>
      </w:r>
      <w:r w:rsidRPr="00B004EE">
        <w:rPr>
          <w:rFonts w:ascii="Tahoma" w:hAnsi="Tahoma" w:cs="Tahoma"/>
          <w:sz w:val="20"/>
          <w:szCs w:val="20"/>
        </w:rPr>
        <w:t>enveloppe</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d'un</w:t>
      </w:r>
      <w:r w:rsidR="00DB1635" w:rsidRPr="00B004EE">
        <w:rPr>
          <w:rFonts w:ascii="Tahoma" w:hAnsi="Tahoma" w:cs="Tahoma"/>
          <w:sz w:val="20"/>
          <w:szCs w:val="20"/>
        </w:rPr>
        <w:t xml:space="preserve"> </w:t>
      </w:r>
      <w:r w:rsidRPr="00B004EE">
        <w:rPr>
          <w:rFonts w:ascii="Tahoma" w:hAnsi="Tahoma" w:cs="Tahoma"/>
          <w:sz w:val="20"/>
          <w:szCs w:val="20"/>
        </w:rPr>
        <w:t>contenant</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contact</w:t>
      </w:r>
      <w:r w:rsidR="00DB1635" w:rsidRPr="00B004EE">
        <w:rPr>
          <w:rFonts w:ascii="Tahoma" w:hAnsi="Tahoma" w:cs="Tahoma"/>
          <w:sz w:val="20"/>
          <w:szCs w:val="20"/>
        </w:rPr>
        <w:t xml:space="preserve"> </w:t>
      </w:r>
      <w:r w:rsidRPr="00B004EE">
        <w:rPr>
          <w:rFonts w:ascii="Tahoma" w:hAnsi="Tahoma" w:cs="Tahoma"/>
          <w:sz w:val="20"/>
          <w:szCs w:val="20"/>
        </w:rPr>
        <w:t>direct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extension,</w:t>
      </w:r>
      <w:r w:rsidR="00DB1635" w:rsidRPr="00B004EE">
        <w:rPr>
          <w:rFonts w:ascii="Tahoma" w:hAnsi="Tahoma" w:cs="Tahoma"/>
          <w:sz w:val="20"/>
          <w:szCs w:val="20"/>
        </w:rPr>
        <w:t xml:space="preserve"> </w:t>
      </w:r>
      <w:r w:rsidRPr="00B004EE">
        <w:rPr>
          <w:rFonts w:ascii="Tahoma" w:hAnsi="Tahoma" w:cs="Tahoma"/>
          <w:sz w:val="20"/>
          <w:szCs w:val="20"/>
        </w:rPr>
        <w:t>ce</w:t>
      </w:r>
      <w:r w:rsidR="00DB1635" w:rsidRPr="00B004EE">
        <w:rPr>
          <w:rFonts w:ascii="Tahoma" w:hAnsi="Tahoma" w:cs="Tahoma"/>
          <w:sz w:val="20"/>
          <w:szCs w:val="20"/>
        </w:rPr>
        <w:t xml:space="preserve"> </w:t>
      </w:r>
      <w:r w:rsidRPr="00B004EE">
        <w:rPr>
          <w:rFonts w:ascii="Tahoma" w:hAnsi="Tahoma" w:cs="Tahoma"/>
          <w:sz w:val="20"/>
          <w:szCs w:val="20"/>
        </w:rPr>
        <w:t>contenant;</w:t>
      </w:r>
    </w:p>
    <w:p w14:paraId="77BC6D14" w14:textId="1A67EDA1" w:rsidR="002F24E1" w:rsidRPr="00B004EE" w:rsidRDefault="002F24E1" w:rsidP="00B004EE">
      <w:pPr>
        <w:numPr>
          <w:ilvl w:val="0"/>
          <w:numId w:val="3"/>
        </w:numPr>
        <w:ind w:left="284" w:hanging="284"/>
        <w:jc w:val="both"/>
        <w:rPr>
          <w:rFonts w:ascii="Tahoma" w:hAnsi="Tahoma" w:cs="Tahoma"/>
          <w:sz w:val="20"/>
          <w:szCs w:val="20"/>
        </w:rPr>
      </w:pPr>
      <w:proofErr w:type="gramStart"/>
      <w:r w:rsidRPr="00B004EE">
        <w:rPr>
          <w:rFonts w:ascii="Tahoma" w:hAnsi="Tahoma" w:cs="Tahoma"/>
          <w:sz w:val="20"/>
          <w:szCs w:val="20"/>
        </w:rPr>
        <w:t>emballage:</w:t>
      </w:r>
      <w:proofErr w:type="gramEnd"/>
      <w:r w:rsidR="00DB1635" w:rsidRPr="00B004EE">
        <w:rPr>
          <w:rFonts w:ascii="Tahoma" w:hAnsi="Tahoma" w:cs="Tahoma"/>
          <w:sz w:val="20"/>
          <w:szCs w:val="20"/>
        </w:rPr>
        <w:t xml:space="preserve"> </w:t>
      </w:r>
      <w:r w:rsidRPr="00B004EE">
        <w:rPr>
          <w:rFonts w:ascii="Tahoma" w:hAnsi="Tahoma" w:cs="Tahoma"/>
          <w:sz w:val="20"/>
          <w:szCs w:val="20"/>
        </w:rPr>
        <w:t>l'opération</w:t>
      </w:r>
      <w:r w:rsidR="00DB1635" w:rsidRPr="00B004EE">
        <w:rPr>
          <w:rFonts w:ascii="Tahoma" w:hAnsi="Tahoma" w:cs="Tahoma"/>
          <w:sz w:val="20"/>
          <w:szCs w:val="20"/>
        </w:rPr>
        <w:t xml:space="preserve"> </w:t>
      </w:r>
      <w:r w:rsidRPr="00B004EE">
        <w:rPr>
          <w:rFonts w:ascii="Tahoma" w:hAnsi="Tahoma" w:cs="Tahoma"/>
          <w:sz w:val="20"/>
          <w:szCs w:val="20"/>
        </w:rPr>
        <w:t>qui</w:t>
      </w:r>
      <w:r w:rsidR="00DB1635" w:rsidRPr="00B004EE">
        <w:rPr>
          <w:rFonts w:ascii="Tahoma" w:hAnsi="Tahoma" w:cs="Tahoma"/>
          <w:sz w:val="20"/>
          <w:szCs w:val="20"/>
        </w:rPr>
        <w:t xml:space="preserve"> </w:t>
      </w:r>
      <w:r w:rsidRPr="00B004EE">
        <w:rPr>
          <w:rFonts w:ascii="Tahoma" w:hAnsi="Tahoma" w:cs="Tahoma"/>
          <w:sz w:val="20"/>
          <w:szCs w:val="20"/>
        </w:rPr>
        <w:t>consiste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placer</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contenant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conditionnés</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non,</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extension,</w:t>
      </w:r>
      <w:r w:rsidR="00DB1635" w:rsidRPr="00B004EE">
        <w:rPr>
          <w:rFonts w:ascii="Tahoma" w:hAnsi="Tahoma" w:cs="Tahoma"/>
          <w:sz w:val="20"/>
          <w:szCs w:val="20"/>
        </w:rPr>
        <w:t xml:space="preserve"> </w:t>
      </w:r>
      <w:r w:rsidRPr="00B004EE">
        <w:rPr>
          <w:rFonts w:ascii="Tahoma" w:hAnsi="Tahoma" w:cs="Tahoma"/>
          <w:sz w:val="20"/>
          <w:szCs w:val="20"/>
        </w:rPr>
        <w:t>ce</w:t>
      </w:r>
      <w:r w:rsidR="00DB1635" w:rsidRPr="00B004EE">
        <w:rPr>
          <w:rFonts w:ascii="Tahoma" w:hAnsi="Tahoma" w:cs="Tahoma"/>
          <w:sz w:val="20"/>
          <w:szCs w:val="20"/>
        </w:rPr>
        <w:t xml:space="preserve"> </w:t>
      </w:r>
      <w:r w:rsidRPr="00B004EE">
        <w:rPr>
          <w:rFonts w:ascii="Tahoma" w:hAnsi="Tahoma" w:cs="Tahoma"/>
          <w:sz w:val="20"/>
          <w:szCs w:val="20"/>
        </w:rPr>
        <w:t>contenant.</w:t>
      </w:r>
    </w:p>
    <w:p w14:paraId="12B19746" w14:textId="77777777" w:rsidR="002F24E1" w:rsidRPr="00B004EE" w:rsidRDefault="002F24E1" w:rsidP="00B004EE">
      <w:pPr>
        <w:jc w:val="both"/>
        <w:rPr>
          <w:rFonts w:ascii="Tahoma" w:hAnsi="Tahoma" w:cs="Tahoma"/>
          <w:sz w:val="20"/>
          <w:szCs w:val="20"/>
        </w:rPr>
      </w:pPr>
    </w:p>
    <w:p w14:paraId="55FA1CB6" w14:textId="6ED8F564" w:rsidR="002F24E1" w:rsidRPr="00B004EE" w:rsidRDefault="002F24E1" w:rsidP="00B004EE">
      <w:pPr>
        <w:tabs>
          <w:tab w:val="left" w:pos="2268"/>
        </w:tabs>
        <w:jc w:val="center"/>
        <w:rPr>
          <w:rFonts w:ascii="Tahoma" w:hAnsi="Tahoma" w:cs="Tahoma"/>
          <w:b/>
          <w:sz w:val="20"/>
          <w:szCs w:val="20"/>
        </w:rPr>
      </w:pPr>
      <w:r w:rsidRPr="00B004EE">
        <w:rPr>
          <w:rFonts w:ascii="Tahoma" w:hAnsi="Tahoma" w:cs="Tahoma"/>
          <w:b/>
          <w:sz w:val="20"/>
          <w:szCs w:val="20"/>
        </w:rPr>
        <w:t>TITRE</w:t>
      </w:r>
      <w:r w:rsidR="00DB1635" w:rsidRPr="00B004EE">
        <w:rPr>
          <w:rFonts w:ascii="Tahoma" w:hAnsi="Tahoma" w:cs="Tahoma"/>
          <w:b/>
          <w:sz w:val="20"/>
          <w:szCs w:val="20"/>
        </w:rPr>
        <w:t xml:space="preserve"> </w:t>
      </w:r>
      <w:r w:rsidRPr="00B004EE">
        <w:rPr>
          <w:rFonts w:ascii="Tahoma" w:hAnsi="Tahoma" w:cs="Tahoma"/>
          <w:b/>
          <w:sz w:val="20"/>
          <w:szCs w:val="20"/>
        </w:rPr>
        <w:t>I</w:t>
      </w:r>
      <w:r w:rsidR="00DB1635" w:rsidRPr="00B004EE">
        <w:rPr>
          <w:rFonts w:ascii="Tahoma" w:hAnsi="Tahoma" w:cs="Tahoma"/>
          <w:b/>
          <w:sz w:val="20"/>
          <w:szCs w:val="20"/>
        </w:rPr>
        <w:t xml:space="preserve"> </w:t>
      </w:r>
      <w:r w:rsidRPr="00B004EE">
        <w:rPr>
          <w:rFonts w:ascii="Tahoma" w:hAnsi="Tahoma" w:cs="Tahoma"/>
          <w:b/>
          <w:sz w:val="20"/>
          <w:szCs w:val="20"/>
        </w:rPr>
        <w:t>:</w:t>
      </w:r>
      <w:r w:rsidR="00DB1635" w:rsidRPr="00B004EE">
        <w:rPr>
          <w:rFonts w:ascii="Tahoma" w:hAnsi="Tahoma" w:cs="Tahoma"/>
          <w:b/>
          <w:sz w:val="20"/>
          <w:szCs w:val="20"/>
        </w:rPr>
        <w:t xml:space="preserve"> </w:t>
      </w:r>
      <w:r w:rsidRPr="00B004EE">
        <w:rPr>
          <w:rFonts w:ascii="Tahoma" w:hAnsi="Tahoma" w:cs="Tahoma"/>
          <w:b/>
          <w:sz w:val="20"/>
          <w:szCs w:val="20"/>
        </w:rPr>
        <w:t>CONDITIONS</w:t>
      </w:r>
      <w:r w:rsidR="00DB1635" w:rsidRPr="00B004EE">
        <w:rPr>
          <w:rFonts w:ascii="Tahoma" w:hAnsi="Tahoma" w:cs="Tahoma"/>
          <w:b/>
          <w:sz w:val="20"/>
          <w:szCs w:val="20"/>
        </w:rPr>
        <w:t xml:space="preserve"> </w:t>
      </w:r>
      <w:r w:rsidRPr="00B004EE">
        <w:rPr>
          <w:rFonts w:ascii="Tahoma" w:hAnsi="Tahoma" w:cs="Tahoma"/>
          <w:b/>
          <w:sz w:val="20"/>
          <w:szCs w:val="20"/>
        </w:rPr>
        <w:t>D'HYGIENE</w:t>
      </w:r>
      <w:r w:rsidR="00DB1635" w:rsidRPr="00B004EE">
        <w:rPr>
          <w:rFonts w:ascii="Tahoma" w:hAnsi="Tahoma" w:cs="Tahoma"/>
          <w:b/>
          <w:sz w:val="20"/>
          <w:szCs w:val="20"/>
        </w:rPr>
        <w:t xml:space="preserve"> </w:t>
      </w:r>
      <w:r w:rsidRPr="00B004EE">
        <w:rPr>
          <w:rFonts w:ascii="Tahoma" w:hAnsi="Tahoma" w:cs="Tahoma"/>
          <w:b/>
          <w:sz w:val="20"/>
          <w:szCs w:val="20"/>
        </w:rPr>
        <w:t>APPLICABLES</w:t>
      </w:r>
      <w:r w:rsidR="00DB1635" w:rsidRPr="00B004EE">
        <w:rPr>
          <w:rFonts w:ascii="Tahoma" w:hAnsi="Tahoma" w:cs="Tahoma"/>
          <w:b/>
          <w:sz w:val="20"/>
          <w:szCs w:val="20"/>
        </w:rPr>
        <w:t xml:space="preserve"> </w:t>
      </w:r>
      <w:r w:rsidRPr="00B004EE">
        <w:rPr>
          <w:rFonts w:ascii="Tahoma" w:hAnsi="Tahoma" w:cs="Tahoma"/>
          <w:b/>
          <w:sz w:val="20"/>
          <w:szCs w:val="20"/>
        </w:rPr>
        <w:t>A</w:t>
      </w:r>
      <w:r w:rsidR="00DB1635" w:rsidRPr="00B004EE">
        <w:rPr>
          <w:rFonts w:ascii="Tahoma" w:hAnsi="Tahoma" w:cs="Tahoma"/>
          <w:b/>
          <w:sz w:val="20"/>
          <w:szCs w:val="20"/>
        </w:rPr>
        <w:t xml:space="preserve"> </w:t>
      </w:r>
      <w:r w:rsidRPr="00B004EE">
        <w:rPr>
          <w:rFonts w:ascii="Tahoma" w:hAnsi="Tahoma" w:cs="Tahoma"/>
          <w:b/>
          <w:sz w:val="20"/>
          <w:szCs w:val="20"/>
        </w:rPr>
        <w:t>BORD</w:t>
      </w:r>
      <w:r w:rsidR="00DB1635" w:rsidRPr="00B004EE">
        <w:rPr>
          <w:rFonts w:ascii="Tahoma" w:hAnsi="Tahoma" w:cs="Tahoma"/>
          <w:b/>
          <w:sz w:val="20"/>
          <w:szCs w:val="20"/>
        </w:rPr>
        <w:t xml:space="preserve"> </w:t>
      </w:r>
      <w:r w:rsidRPr="00B004EE">
        <w:rPr>
          <w:rFonts w:ascii="Tahoma" w:hAnsi="Tahoma" w:cs="Tahoma"/>
          <w:b/>
          <w:sz w:val="20"/>
          <w:szCs w:val="20"/>
        </w:rPr>
        <w:t>DES</w:t>
      </w:r>
      <w:r w:rsidR="00DB1635" w:rsidRPr="00B004EE">
        <w:rPr>
          <w:rFonts w:ascii="Tahoma" w:hAnsi="Tahoma" w:cs="Tahoma"/>
          <w:b/>
          <w:sz w:val="20"/>
          <w:szCs w:val="20"/>
        </w:rPr>
        <w:t xml:space="preserve"> </w:t>
      </w:r>
      <w:r w:rsidRPr="00B004EE">
        <w:rPr>
          <w:rFonts w:ascii="Tahoma" w:hAnsi="Tahoma" w:cs="Tahoma"/>
          <w:b/>
          <w:sz w:val="20"/>
          <w:szCs w:val="20"/>
        </w:rPr>
        <w:t>NAVIRES</w:t>
      </w:r>
      <w:r w:rsidR="00DB1635" w:rsidRPr="00B004EE">
        <w:rPr>
          <w:rFonts w:ascii="Tahoma" w:hAnsi="Tahoma" w:cs="Tahoma"/>
          <w:b/>
          <w:sz w:val="20"/>
          <w:szCs w:val="20"/>
        </w:rPr>
        <w:t xml:space="preserve"> </w:t>
      </w:r>
      <w:r w:rsidRPr="00B004EE">
        <w:rPr>
          <w:rFonts w:ascii="Tahoma" w:hAnsi="Tahoma" w:cs="Tahoma"/>
          <w:b/>
          <w:sz w:val="20"/>
          <w:szCs w:val="20"/>
        </w:rPr>
        <w:t>DE</w:t>
      </w:r>
      <w:r w:rsidR="00DB1635" w:rsidRPr="00B004EE">
        <w:rPr>
          <w:rFonts w:ascii="Tahoma" w:hAnsi="Tahoma" w:cs="Tahoma"/>
          <w:b/>
          <w:sz w:val="20"/>
          <w:szCs w:val="20"/>
        </w:rPr>
        <w:t xml:space="preserve"> </w:t>
      </w:r>
      <w:r w:rsidRPr="00B004EE">
        <w:rPr>
          <w:rFonts w:ascii="Tahoma" w:hAnsi="Tahoma" w:cs="Tahoma"/>
          <w:b/>
          <w:sz w:val="20"/>
          <w:szCs w:val="20"/>
        </w:rPr>
        <w:t>PECHE</w:t>
      </w:r>
    </w:p>
    <w:p w14:paraId="772C5C96" w14:textId="4A3A7E3E" w:rsidR="002F24E1" w:rsidRPr="00B004EE" w:rsidRDefault="002F24E1" w:rsidP="00B004EE">
      <w:pPr>
        <w:tabs>
          <w:tab w:val="left" w:pos="461"/>
          <w:tab w:val="left" w:pos="567"/>
          <w:tab w:val="left" w:pos="851"/>
          <w:tab w:val="left" w:pos="2268"/>
        </w:tabs>
        <w:jc w:val="center"/>
        <w:rPr>
          <w:rFonts w:ascii="Tahoma" w:hAnsi="Tahoma" w:cs="Tahoma"/>
          <w:b/>
          <w:sz w:val="20"/>
          <w:szCs w:val="20"/>
        </w:rPr>
      </w:pPr>
      <w:r w:rsidRPr="00B004EE">
        <w:rPr>
          <w:rFonts w:ascii="Tahoma" w:hAnsi="Tahoma" w:cs="Tahoma"/>
          <w:b/>
          <w:sz w:val="20"/>
          <w:szCs w:val="20"/>
        </w:rPr>
        <w:t>CHAPITRE</w:t>
      </w:r>
      <w:r w:rsidR="00DB1635" w:rsidRPr="00B004EE">
        <w:rPr>
          <w:rFonts w:ascii="Tahoma" w:hAnsi="Tahoma" w:cs="Tahoma"/>
          <w:b/>
          <w:sz w:val="20"/>
          <w:szCs w:val="20"/>
        </w:rPr>
        <w:t xml:space="preserve"> </w:t>
      </w:r>
      <w:r w:rsidRPr="00B004EE">
        <w:rPr>
          <w:rFonts w:ascii="Tahoma" w:hAnsi="Tahoma" w:cs="Tahoma"/>
          <w:b/>
          <w:sz w:val="20"/>
          <w:szCs w:val="20"/>
        </w:rPr>
        <w:t>I</w:t>
      </w:r>
      <w:r w:rsidR="00DB1635" w:rsidRPr="00B004EE">
        <w:rPr>
          <w:rFonts w:ascii="Tahoma" w:hAnsi="Tahoma" w:cs="Tahoma"/>
          <w:b/>
          <w:sz w:val="20"/>
          <w:szCs w:val="20"/>
        </w:rPr>
        <w:t xml:space="preserve"> </w:t>
      </w:r>
      <w:r w:rsidRPr="00B004EE">
        <w:rPr>
          <w:rFonts w:ascii="Tahoma" w:hAnsi="Tahoma" w:cs="Tahoma"/>
          <w:b/>
          <w:sz w:val="20"/>
          <w:szCs w:val="20"/>
        </w:rPr>
        <w:t>:</w:t>
      </w:r>
      <w:r w:rsidR="00DB1635" w:rsidRPr="00B004EE">
        <w:rPr>
          <w:rFonts w:ascii="Tahoma" w:hAnsi="Tahoma" w:cs="Tahoma"/>
          <w:b/>
          <w:sz w:val="20"/>
          <w:szCs w:val="20"/>
        </w:rPr>
        <w:t xml:space="preserve"> </w:t>
      </w:r>
      <w:r w:rsidRPr="00B004EE">
        <w:rPr>
          <w:rFonts w:ascii="Tahoma" w:hAnsi="Tahoma" w:cs="Tahoma"/>
          <w:b/>
          <w:sz w:val="20"/>
          <w:szCs w:val="20"/>
        </w:rPr>
        <w:t>CONDITIONS</w:t>
      </w:r>
      <w:r w:rsidR="00DB1635" w:rsidRPr="00B004EE">
        <w:rPr>
          <w:rFonts w:ascii="Tahoma" w:hAnsi="Tahoma" w:cs="Tahoma"/>
          <w:b/>
          <w:sz w:val="20"/>
          <w:szCs w:val="20"/>
        </w:rPr>
        <w:t xml:space="preserve"> </w:t>
      </w:r>
      <w:r w:rsidRPr="00B004EE">
        <w:rPr>
          <w:rFonts w:ascii="Tahoma" w:hAnsi="Tahoma" w:cs="Tahoma"/>
          <w:b/>
          <w:sz w:val="20"/>
          <w:szCs w:val="20"/>
        </w:rPr>
        <w:t>GENERALES</w:t>
      </w:r>
      <w:r w:rsidR="00DB1635" w:rsidRPr="00B004EE">
        <w:rPr>
          <w:rFonts w:ascii="Tahoma" w:hAnsi="Tahoma" w:cs="Tahoma"/>
          <w:b/>
          <w:sz w:val="20"/>
          <w:szCs w:val="20"/>
        </w:rPr>
        <w:t xml:space="preserve"> </w:t>
      </w:r>
      <w:r w:rsidRPr="00B004EE">
        <w:rPr>
          <w:rFonts w:ascii="Tahoma" w:hAnsi="Tahoma" w:cs="Tahoma"/>
          <w:b/>
          <w:sz w:val="20"/>
          <w:szCs w:val="20"/>
        </w:rPr>
        <w:t>D'HYGIENE</w:t>
      </w:r>
    </w:p>
    <w:p w14:paraId="7BE8EAF6" w14:textId="77777777" w:rsidR="002F24E1" w:rsidRPr="00B004EE" w:rsidRDefault="002F24E1" w:rsidP="00B004EE">
      <w:pPr>
        <w:jc w:val="center"/>
        <w:rPr>
          <w:rFonts w:ascii="Tahoma" w:hAnsi="Tahoma" w:cs="Tahoma"/>
          <w:sz w:val="20"/>
          <w:szCs w:val="20"/>
        </w:rPr>
      </w:pPr>
    </w:p>
    <w:p w14:paraId="318AE4F7" w14:textId="3B8EF778" w:rsidR="002F24E1" w:rsidRPr="00B004EE" w:rsidRDefault="002F24E1" w:rsidP="00B004EE">
      <w:pPr>
        <w:tabs>
          <w:tab w:val="left" w:pos="567"/>
          <w:tab w:val="left" w:pos="2268"/>
        </w:tabs>
        <w:jc w:val="center"/>
        <w:rPr>
          <w:rFonts w:ascii="Tahoma" w:hAnsi="Tahoma" w:cs="Tahoma"/>
          <w:b/>
          <w:sz w:val="20"/>
          <w:szCs w:val="20"/>
        </w:rPr>
      </w:pPr>
      <w:r w:rsidRPr="00B004EE">
        <w:rPr>
          <w:rFonts w:ascii="Tahoma" w:hAnsi="Tahoma" w:cs="Tahoma"/>
          <w:b/>
          <w:sz w:val="20"/>
          <w:szCs w:val="20"/>
        </w:rPr>
        <w:t>SECTION</w:t>
      </w:r>
      <w:r w:rsidR="00DB1635" w:rsidRPr="00B004EE">
        <w:rPr>
          <w:rFonts w:ascii="Tahoma" w:hAnsi="Tahoma" w:cs="Tahoma"/>
          <w:b/>
          <w:sz w:val="20"/>
          <w:szCs w:val="20"/>
        </w:rPr>
        <w:t xml:space="preserve"> </w:t>
      </w:r>
      <w:r w:rsidRPr="00B004EE">
        <w:rPr>
          <w:rFonts w:ascii="Tahoma" w:hAnsi="Tahoma" w:cs="Tahoma"/>
          <w:b/>
          <w:sz w:val="20"/>
          <w:szCs w:val="20"/>
        </w:rPr>
        <w:t>I</w:t>
      </w:r>
      <w:r w:rsidR="00DB1635" w:rsidRPr="00B004EE">
        <w:rPr>
          <w:rFonts w:ascii="Tahoma" w:hAnsi="Tahoma" w:cs="Tahoma"/>
          <w:b/>
          <w:sz w:val="20"/>
          <w:szCs w:val="20"/>
        </w:rPr>
        <w:t xml:space="preserve"> </w:t>
      </w:r>
      <w:r w:rsidRPr="00B004EE">
        <w:rPr>
          <w:rFonts w:ascii="Tahoma" w:hAnsi="Tahoma" w:cs="Tahoma"/>
          <w:b/>
          <w:sz w:val="20"/>
          <w:szCs w:val="20"/>
        </w:rPr>
        <w:t>:</w:t>
      </w:r>
      <w:r w:rsidR="00DB1635" w:rsidRPr="00B004EE">
        <w:rPr>
          <w:rFonts w:ascii="Tahoma" w:hAnsi="Tahoma" w:cs="Tahoma"/>
          <w:b/>
          <w:sz w:val="20"/>
          <w:szCs w:val="20"/>
        </w:rPr>
        <w:t xml:space="preserve"> </w:t>
      </w:r>
      <w:r w:rsidRPr="00B004EE">
        <w:rPr>
          <w:rFonts w:ascii="Tahoma" w:hAnsi="Tahoma" w:cs="Tahoma"/>
          <w:b/>
          <w:sz w:val="20"/>
          <w:szCs w:val="20"/>
        </w:rPr>
        <w:t>INSTALLATIONS</w:t>
      </w:r>
      <w:r w:rsidR="00DB1635" w:rsidRPr="00B004EE">
        <w:rPr>
          <w:rFonts w:ascii="Tahoma" w:hAnsi="Tahoma" w:cs="Tahoma"/>
          <w:b/>
          <w:sz w:val="20"/>
          <w:szCs w:val="20"/>
        </w:rPr>
        <w:t xml:space="preserve"> </w:t>
      </w:r>
      <w:r w:rsidRPr="00B004EE">
        <w:rPr>
          <w:rFonts w:ascii="Tahoma" w:hAnsi="Tahoma" w:cs="Tahoma"/>
          <w:b/>
          <w:sz w:val="20"/>
          <w:szCs w:val="20"/>
        </w:rPr>
        <w:t>ET</w:t>
      </w:r>
      <w:r w:rsidR="00DB1635" w:rsidRPr="00B004EE">
        <w:rPr>
          <w:rFonts w:ascii="Tahoma" w:hAnsi="Tahoma" w:cs="Tahoma"/>
          <w:b/>
          <w:sz w:val="20"/>
          <w:szCs w:val="20"/>
        </w:rPr>
        <w:t xml:space="preserve"> </w:t>
      </w:r>
      <w:r w:rsidRPr="00B004EE">
        <w:rPr>
          <w:rFonts w:ascii="Tahoma" w:hAnsi="Tahoma" w:cs="Tahoma"/>
          <w:b/>
          <w:sz w:val="20"/>
          <w:szCs w:val="20"/>
        </w:rPr>
        <w:t>MATERIEL</w:t>
      </w:r>
    </w:p>
    <w:p w14:paraId="387EAC7A" w14:textId="77777777" w:rsidR="002F24E1" w:rsidRPr="00B004EE" w:rsidRDefault="002F24E1" w:rsidP="00B004EE">
      <w:pPr>
        <w:jc w:val="both"/>
        <w:rPr>
          <w:rFonts w:ascii="Tahoma" w:hAnsi="Tahoma" w:cs="Tahoma"/>
          <w:sz w:val="20"/>
          <w:szCs w:val="20"/>
        </w:rPr>
      </w:pPr>
    </w:p>
    <w:p w14:paraId="6EAB8881" w14:textId="06453E4F" w:rsidR="002F24E1" w:rsidRPr="00B004EE" w:rsidRDefault="00AD7D88" w:rsidP="00B004EE">
      <w:pPr>
        <w:jc w:val="both"/>
        <w:rPr>
          <w:rFonts w:ascii="Tahoma" w:hAnsi="Tahoma" w:cs="Tahoma"/>
          <w:sz w:val="20"/>
          <w:szCs w:val="20"/>
        </w:rPr>
      </w:pPr>
      <w:r w:rsidRPr="00B004EE">
        <w:rPr>
          <w:rFonts w:ascii="Tahoma" w:hAnsi="Tahoma" w:cs="Tahoma"/>
          <w:bCs/>
          <w:sz w:val="20"/>
          <w:szCs w:val="20"/>
        </w:rPr>
        <w:t xml:space="preserve">Article </w:t>
      </w:r>
      <w:r w:rsidR="002F24E1" w:rsidRPr="00B004EE">
        <w:rPr>
          <w:rFonts w:ascii="Tahoma" w:hAnsi="Tahoma" w:cs="Tahoma"/>
          <w:bCs/>
          <w:sz w:val="20"/>
          <w:szCs w:val="20"/>
        </w:rPr>
        <w:t>3</w:t>
      </w:r>
      <w:r w:rsidR="00DB1635" w:rsidRPr="00B004EE">
        <w:rPr>
          <w:rFonts w:ascii="Tahoma" w:hAnsi="Tahoma" w:cs="Tahoma"/>
          <w:bCs/>
          <w:sz w:val="20"/>
          <w:szCs w:val="20"/>
        </w:rPr>
        <w:t xml:space="preserve"> </w:t>
      </w:r>
      <w:r w:rsidR="002F24E1" w:rsidRPr="00B004EE">
        <w:rPr>
          <w:rFonts w:ascii="Tahoma" w:hAnsi="Tahoma" w:cs="Tahoma"/>
          <w:bCs/>
          <w:sz w:val="20"/>
          <w:szCs w:val="20"/>
        </w:rPr>
        <w:t>:</w:t>
      </w:r>
      <w:r w:rsidR="00DB1635" w:rsidRPr="00B004EE">
        <w:rPr>
          <w:rFonts w:ascii="Tahoma" w:hAnsi="Tahoma" w:cs="Tahoma"/>
          <w:b/>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2F24E1" w:rsidRPr="00B004EE">
        <w:rPr>
          <w:rFonts w:ascii="Tahoma" w:hAnsi="Tahoma" w:cs="Tahoma"/>
          <w:sz w:val="20"/>
          <w:szCs w:val="20"/>
        </w:rPr>
        <w:t>parties</w:t>
      </w:r>
      <w:r w:rsidR="00DB1635" w:rsidRPr="00B004EE">
        <w:rPr>
          <w:rFonts w:ascii="Tahoma" w:hAnsi="Tahoma" w:cs="Tahoma"/>
          <w:sz w:val="20"/>
          <w:szCs w:val="20"/>
        </w:rPr>
        <w:t xml:space="preserve"> </w:t>
      </w:r>
      <w:r w:rsidR="002F24E1" w:rsidRPr="00B004EE">
        <w:rPr>
          <w:rFonts w:ascii="Tahoma" w:hAnsi="Tahoma" w:cs="Tahoma"/>
          <w:sz w:val="20"/>
          <w:szCs w:val="20"/>
        </w:rPr>
        <w:t>des</w:t>
      </w:r>
      <w:r w:rsidR="00DB1635" w:rsidRPr="00B004EE">
        <w:rPr>
          <w:rFonts w:ascii="Tahoma" w:hAnsi="Tahoma" w:cs="Tahoma"/>
          <w:sz w:val="20"/>
          <w:szCs w:val="20"/>
        </w:rPr>
        <w:t xml:space="preserve"> </w:t>
      </w:r>
      <w:r w:rsidR="002F24E1" w:rsidRPr="00B004EE">
        <w:rPr>
          <w:rFonts w:ascii="Tahoma" w:hAnsi="Tahoma" w:cs="Tahoma"/>
          <w:sz w:val="20"/>
          <w:szCs w:val="20"/>
        </w:rPr>
        <w:t>navires</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pêche,</w:t>
      </w:r>
      <w:r w:rsidR="00DB1635" w:rsidRPr="00B004EE">
        <w:rPr>
          <w:rFonts w:ascii="Tahoma" w:hAnsi="Tahoma" w:cs="Tahoma"/>
          <w:sz w:val="20"/>
          <w:szCs w:val="20"/>
        </w:rPr>
        <w:t xml:space="preserve"> </w:t>
      </w:r>
      <w:r w:rsidR="002F24E1" w:rsidRPr="00B004EE">
        <w:rPr>
          <w:rFonts w:ascii="Tahoma" w:hAnsi="Tahoma" w:cs="Tahoma"/>
          <w:sz w:val="20"/>
          <w:szCs w:val="20"/>
        </w:rPr>
        <w:t>des</w:t>
      </w:r>
      <w:r w:rsidR="00DB1635" w:rsidRPr="00B004EE">
        <w:rPr>
          <w:rFonts w:ascii="Tahoma" w:hAnsi="Tahoma" w:cs="Tahoma"/>
          <w:sz w:val="20"/>
          <w:szCs w:val="20"/>
        </w:rPr>
        <w:t xml:space="preserve"> </w:t>
      </w:r>
      <w:r w:rsidR="002F24E1" w:rsidRPr="00B004EE">
        <w:rPr>
          <w:rFonts w:ascii="Tahoma" w:hAnsi="Tahoma" w:cs="Tahoma"/>
          <w:sz w:val="20"/>
          <w:szCs w:val="20"/>
        </w:rPr>
        <w:t>navires-usines</w:t>
      </w:r>
      <w:r w:rsidR="00DB1635" w:rsidRPr="00B004EE">
        <w:rPr>
          <w:rFonts w:ascii="Tahoma" w:hAnsi="Tahoma" w:cs="Tahoma"/>
          <w:sz w:val="20"/>
          <w:szCs w:val="20"/>
        </w:rPr>
        <w:t xml:space="preserve"> </w:t>
      </w:r>
      <w:r w:rsidR="002F24E1" w:rsidRPr="00B004EE">
        <w:rPr>
          <w:rFonts w:ascii="Tahoma" w:hAnsi="Tahoma" w:cs="Tahoma"/>
          <w:sz w:val="20"/>
          <w:szCs w:val="20"/>
        </w:rPr>
        <w:t>ou</w:t>
      </w:r>
      <w:r w:rsidR="00DB1635" w:rsidRPr="00B004EE">
        <w:rPr>
          <w:rFonts w:ascii="Tahoma" w:hAnsi="Tahoma" w:cs="Tahoma"/>
          <w:sz w:val="20"/>
          <w:szCs w:val="20"/>
        </w:rPr>
        <w:t xml:space="preserve"> </w:t>
      </w:r>
      <w:r w:rsidR="002F24E1" w:rsidRPr="00B004EE">
        <w:rPr>
          <w:rFonts w:ascii="Tahoma" w:hAnsi="Tahoma" w:cs="Tahoma"/>
          <w:sz w:val="20"/>
          <w:szCs w:val="20"/>
        </w:rPr>
        <w:t>des</w:t>
      </w:r>
      <w:r w:rsidR="00DB1635" w:rsidRPr="00B004EE">
        <w:rPr>
          <w:rFonts w:ascii="Tahoma" w:hAnsi="Tahoma" w:cs="Tahoma"/>
          <w:sz w:val="20"/>
          <w:szCs w:val="20"/>
        </w:rPr>
        <w:t xml:space="preserve"> </w:t>
      </w:r>
      <w:r w:rsidR="002F24E1" w:rsidRPr="00B004EE">
        <w:rPr>
          <w:rFonts w:ascii="Tahoma" w:hAnsi="Tahoma" w:cs="Tahoma"/>
          <w:sz w:val="20"/>
          <w:szCs w:val="20"/>
        </w:rPr>
        <w:t>récipients</w:t>
      </w:r>
      <w:r w:rsidR="00DB1635" w:rsidRPr="00B004EE">
        <w:rPr>
          <w:rFonts w:ascii="Tahoma" w:hAnsi="Tahoma" w:cs="Tahoma"/>
          <w:sz w:val="20"/>
          <w:szCs w:val="20"/>
        </w:rPr>
        <w:t xml:space="preserve"> </w:t>
      </w:r>
      <w:r w:rsidR="002F24E1" w:rsidRPr="00B004EE">
        <w:rPr>
          <w:rFonts w:ascii="Tahoma" w:hAnsi="Tahoma" w:cs="Tahoma"/>
          <w:sz w:val="20"/>
          <w:szCs w:val="20"/>
        </w:rPr>
        <w:t>utilisés</w:t>
      </w:r>
      <w:r w:rsidR="00DB1635" w:rsidRPr="00B004EE">
        <w:rPr>
          <w:rFonts w:ascii="Tahoma" w:hAnsi="Tahoma" w:cs="Tahoma"/>
          <w:sz w:val="20"/>
          <w:szCs w:val="20"/>
        </w:rPr>
        <w:t xml:space="preserve"> </w:t>
      </w:r>
      <w:r w:rsidR="002F24E1" w:rsidRPr="00B004EE">
        <w:rPr>
          <w:rFonts w:ascii="Tahoma" w:hAnsi="Tahoma" w:cs="Tahoma"/>
          <w:sz w:val="20"/>
          <w:szCs w:val="20"/>
        </w:rPr>
        <w:t>pour</w:t>
      </w:r>
      <w:r w:rsidR="00DB1635" w:rsidRPr="00B004EE">
        <w:rPr>
          <w:rFonts w:ascii="Tahoma" w:hAnsi="Tahoma" w:cs="Tahoma"/>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2F24E1" w:rsidRPr="00B004EE">
        <w:rPr>
          <w:rFonts w:ascii="Tahoma" w:hAnsi="Tahoma" w:cs="Tahoma"/>
          <w:sz w:val="20"/>
          <w:szCs w:val="20"/>
        </w:rPr>
        <w:t>produits</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la</w:t>
      </w:r>
      <w:r w:rsidR="00DB1635" w:rsidRPr="00B004EE">
        <w:rPr>
          <w:rFonts w:ascii="Tahoma" w:hAnsi="Tahoma" w:cs="Tahoma"/>
          <w:sz w:val="20"/>
          <w:szCs w:val="20"/>
        </w:rPr>
        <w:t xml:space="preserve"> </w:t>
      </w:r>
      <w:r w:rsidR="00767386" w:rsidRPr="00B004EE">
        <w:rPr>
          <w:rFonts w:ascii="Tahoma" w:hAnsi="Tahoma" w:cs="Tahoma"/>
          <w:sz w:val="20"/>
          <w:szCs w:val="20"/>
        </w:rPr>
        <w:t>pêche :</w:t>
      </w:r>
    </w:p>
    <w:p w14:paraId="45A0A1F1" w14:textId="45BC748A" w:rsidR="002F24E1" w:rsidRPr="00B004EE" w:rsidRDefault="002F24E1" w:rsidP="00B004EE">
      <w:pPr>
        <w:numPr>
          <w:ilvl w:val="0"/>
          <w:numId w:val="3"/>
        </w:numPr>
        <w:ind w:left="284" w:hanging="284"/>
        <w:jc w:val="both"/>
        <w:rPr>
          <w:rFonts w:ascii="Tahoma" w:hAnsi="Tahoma" w:cs="Tahoma"/>
          <w:sz w:val="20"/>
          <w:szCs w:val="20"/>
        </w:rPr>
      </w:pPr>
      <w:proofErr w:type="gramStart"/>
      <w:r w:rsidRPr="00B004EE">
        <w:rPr>
          <w:rFonts w:ascii="Tahoma" w:hAnsi="Tahoma" w:cs="Tahoma"/>
          <w:sz w:val="20"/>
          <w:szCs w:val="20"/>
        </w:rPr>
        <w:t>sont</w:t>
      </w:r>
      <w:proofErr w:type="gramEnd"/>
      <w:r w:rsidR="00DB1635" w:rsidRPr="00B004EE">
        <w:rPr>
          <w:rFonts w:ascii="Tahoma" w:hAnsi="Tahoma" w:cs="Tahoma"/>
          <w:sz w:val="20"/>
          <w:szCs w:val="20"/>
        </w:rPr>
        <w:t xml:space="preserve"> </w:t>
      </w:r>
      <w:r w:rsidRPr="00B004EE">
        <w:rPr>
          <w:rFonts w:ascii="Tahoma" w:hAnsi="Tahoma" w:cs="Tahoma"/>
          <w:sz w:val="20"/>
          <w:szCs w:val="20"/>
        </w:rPr>
        <w:t>constitués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façon</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facilement</w:t>
      </w:r>
      <w:r w:rsidR="00DB1635" w:rsidRPr="00B004EE">
        <w:rPr>
          <w:rFonts w:ascii="Tahoma" w:hAnsi="Tahoma" w:cs="Tahoma"/>
          <w:sz w:val="20"/>
          <w:szCs w:val="20"/>
        </w:rPr>
        <w:t xml:space="preserve"> </w:t>
      </w:r>
      <w:r w:rsidRPr="00B004EE">
        <w:rPr>
          <w:rFonts w:ascii="Tahoma" w:hAnsi="Tahoma" w:cs="Tahoma"/>
          <w:sz w:val="20"/>
          <w:szCs w:val="20"/>
        </w:rPr>
        <w:t>nettoyés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désinfectés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éviter</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stagnation</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l'eau</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fusion</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glace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leur</w:t>
      </w:r>
      <w:r w:rsidR="00DB1635" w:rsidRPr="00B004EE">
        <w:rPr>
          <w:rFonts w:ascii="Tahoma" w:hAnsi="Tahoma" w:cs="Tahoma"/>
          <w:sz w:val="20"/>
          <w:szCs w:val="20"/>
        </w:rPr>
        <w:t xml:space="preserve"> </w:t>
      </w:r>
      <w:r w:rsidRPr="00B004EE">
        <w:rPr>
          <w:rFonts w:ascii="Tahoma" w:hAnsi="Tahoma" w:cs="Tahoma"/>
          <w:sz w:val="20"/>
          <w:szCs w:val="20"/>
        </w:rPr>
        <w:t>contact;</w:t>
      </w:r>
    </w:p>
    <w:p w14:paraId="3E7175BD" w14:textId="232277FA" w:rsidR="002F24E1" w:rsidRPr="00B004EE" w:rsidRDefault="002F24E1" w:rsidP="00B004EE">
      <w:pPr>
        <w:numPr>
          <w:ilvl w:val="0"/>
          <w:numId w:val="3"/>
        </w:numPr>
        <w:ind w:left="284" w:hanging="284"/>
        <w:jc w:val="both"/>
        <w:rPr>
          <w:rFonts w:ascii="Tahoma" w:hAnsi="Tahoma" w:cs="Tahoma"/>
          <w:sz w:val="20"/>
          <w:szCs w:val="20"/>
        </w:rPr>
      </w:pPr>
      <w:proofErr w:type="gramStart"/>
      <w:r w:rsidRPr="00B004EE">
        <w:rPr>
          <w:rFonts w:ascii="Tahoma" w:hAnsi="Tahoma" w:cs="Tahoma"/>
          <w:sz w:val="20"/>
          <w:szCs w:val="20"/>
        </w:rPr>
        <w:t>ne</w:t>
      </w:r>
      <w:proofErr w:type="gramEnd"/>
      <w:r w:rsidR="00DB1635" w:rsidRPr="00B004EE">
        <w:rPr>
          <w:rFonts w:ascii="Tahoma" w:hAnsi="Tahoma" w:cs="Tahoma"/>
          <w:sz w:val="20"/>
          <w:szCs w:val="20"/>
        </w:rPr>
        <w:t xml:space="preserve"> </w:t>
      </w:r>
      <w:r w:rsidRPr="00B004EE">
        <w:rPr>
          <w:rFonts w:ascii="Tahoma" w:hAnsi="Tahoma" w:cs="Tahoma"/>
          <w:sz w:val="20"/>
          <w:szCs w:val="20"/>
        </w:rPr>
        <w:t>contiennent</w:t>
      </w:r>
      <w:r w:rsidR="00DB1635" w:rsidRPr="00B004EE">
        <w:rPr>
          <w:rFonts w:ascii="Tahoma" w:hAnsi="Tahoma" w:cs="Tahoma"/>
          <w:sz w:val="20"/>
          <w:szCs w:val="20"/>
        </w:rPr>
        <w:t xml:space="preserve"> </w:t>
      </w:r>
      <w:r w:rsidRPr="00B004EE">
        <w:rPr>
          <w:rFonts w:ascii="Tahoma" w:hAnsi="Tahoma" w:cs="Tahoma"/>
          <w:sz w:val="20"/>
          <w:szCs w:val="20"/>
        </w:rPr>
        <w:t>pas</w:t>
      </w:r>
      <w:r w:rsidR="00DB1635" w:rsidRPr="00B004EE">
        <w:rPr>
          <w:rFonts w:ascii="Tahoma" w:hAnsi="Tahoma" w:cs="Tahoma"/>
          <w:sz w:val="20"/>
          <w:szCs w:val="20"/>
        </w:rPr>
        <w:t xml:space="preserve"> </w:t>
      </w:r>
      <w:r w:rsidRPr="00B004EE">
        <w:rPr>
          <w:rFonts w:ascii="Tahoma" w:hAnsi="Tahoma" w:cs="Tahoma"/>
          <w:sz w:val="20"/>
          <w:szCs w:val="20"/>
        </w:rPr>
        <w:t>d'objets</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susceptibles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leur</w:t>
      </w:r>
      <w:r w:rsidR="00DB1635" w:rsidRPr="00B004EE">
        <w:rPr>
          <w:rFonts w:ascii="Tahoma" w:hAnsi="Tahoma" w:cs="Tahoma"/>
          <w:sz w:val="20"/>
          <w:szCs w:val="20"/>
        </w:rPr>
        <w:t xml:space="preserve"> </w:t>
      </w:r>
      <w:r w:rsidRPr="00B004EE">
        <w:rPr>
          <w:rFonts w:ascii="Tahoma" w:hAnsi="Tahoma" w:cs="Tahoma"/>
          <w:sz w:val="20"/>
          <w:szCs w:val="20"/>
        </w:rPr>
        <w:t>transmettre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propriétés</w:t>
      </w:r>
      <w:r w:rsidR="00DB1635" w:rsidRPr="00B004EE">
        <w:rPr>
          <w:rFonts w:ascii="Tahoma" w:hAnsi="Tahoma" w:cs="Tahoma"/>
          <w:sz w:val="20"/>
          <w:szCs w:val="20"/>
        </w:rPr>
        <w:t xml:space="preserve"> </w:t>
      </w:r>
      <w:r w:rsidRPr="00B004EE">
        <w:rPr>
          <w:rFonts w:ascii="Tahoma" w:hAnsi="Tahoma" w:cs="Tahoma"/>
          <w:sz w:val="20"/>
          <w:szCs w:val="20"/>
        </w:rPr>
        <w:t>nocives</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caractères</w:t>
      </w:r>
      <w:r w:rsidR="00DB1635" w:rsidRPr="00B004EE">
        <w:rPr>
          <w:rFonts w:ascii="Tahoma" w:hAnsi="Tahoma" w:cs="Tahoma"/>
          <w:sz w:val="20"/>
          <w:szCs w:val="20"/>
        </w:rPr>
        <w:t xml:space="preserve"> </w:t>
      </w:r>
      <w:r w:rsidRPr="00B004EE">
        <w:rPr>
          <w:rFonts w:ascii="Tahoma" w:hAnsi="Tahoma" w:cs="Tahoma"/>
          <w:sz w:val="20"/>
          <w:szCs w:val="20"/>
        </w:rPr>
        <w:t>anormaux;</w:t>
      </w:r>
    </w:p>
    <w:p w14:paraId="21BEAFAD" w14:textId="53F32C1F" w:rsidR="002F24E1" w:rsidRPr="00B004EE" w:rsidRDefault="002F24E1" w:rsidP="00B004EE">
      <w:pPr>
        <w:numPr>
          <w:ilvl w:val="0"/>
          <w:numId w:val="3"/>
        </w:numPr>
        <w:ind w:left="284" w:hanging="284"/>
        <w:jc w:val="both"/>
        <w:rPr>
          <w:rFonts w:ascii="Tahoma" w:hAnsi="Tahoma" w:cs="Tahoma"/>
          <w:sz w:val="20"/>
          <w:szCs w:val="20"/>
        </w:rPr>
      </w:pPr>
      <w:proofErr w:type="gramStart"/>
      <w:r w:rsidRPr="00B004EE">
        <w:rPr>
          <w:rFonts w:ascii="Tahoma" w:hAnsi="Tahoma" w:cs="Tahoma"/>
          <w:sz w:val="20"/>
          <w:szCs w:val="20"/>
        </w:rPr>
        <w:t>assurent</w:t>
      </w:r>
      <w:proofErr w:type="gramEnd"/>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préservation</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conservation</w:t>
      </w:r>
      <w:r w:rsidR="00DB1635" w:rsidRPr="00B004EE">
        <w:rPr>
          <w:rFonts w:ascii="Tahoma" w:hAnsi="Tahoma" w:cs="Tahoma"/>
          <w:sz w:val="20"/>
          <w:szCs w:val="20"/>
        </w:rPr>
        <w:t xml:space="preserve"> </w:t>
      </w:r>
      <w:r w:rsidRPr="00B004EE">
        <w:rPr>
          <w:rFonts w:ascii="Tahoma" w:hAnsi="Tahoma" w:cs="Tahoma"/>
          <w:sz w:val="20"/>
          <w:szCs w:val="20"/>
        </w:rPr>
        <w:t>satisfaisantes.</w:t>
      </w:r>
    </w:p>
    <w:p w14:paraId="2B66356C" w14:textId="77777777" w:rsidR="002F24E1" w:rsidRPr="00B004EE" w:rsidRDefault="002F24E1" w:rsidP="00B004EE">
      <w:pPr>
        <w:jc w:val="both"/>
        <w:rPr>
          <w:rFonts w:ascii="Tahoma" w:hAnsi="Tahoma" w:cs="Tahoma"/>
          <w:sz w:val="20"/>
          <w:szCs w:val="20"/>
        </w:rPr>
      </w:pPr>
    </w:p>
    <w:p w14:paraId="0B1C4535" w14:textId="6D51AAAE" w:rsidR="002F24E1" w:rsidRPr="00B004EE" w:rsidRDefault="00AD7D88" w:rsidP="00B004EE">
      <w:pPr>
        <w:jc w:val="both"/>
        <w:rPr>
          <w:rFonts w:ascii="Tahoma" w:hAnsi="Tahoma" w:cs="Tahoma"/>
          <w:sz w:val="20"/>
          <w:szCs w:val="20"/>
        </w:rPr>
      </w:pPr>
      <w:r w:rsidRPr="00B004EE">
        <w:rPr>
          <w:rFonts w:ascii="Tahoma" w:hAnsi="Tahoma" w:cs="Tahoma"/>
          <w:bCs/>
          <w:sz w:val="20"/>
          <w:szCs w:val="20"/>
        </w:rPr>
        <w:t xml:space="preserve">Article </w:t>
      </w:r>
      <w:r w:rsidR="002F24E1" w:rsidRPr="00B004EE">
        <w:rPr>
          <w:rFonts w:ascii="Tahoma" w:hAnsi="Tahoma" w:cs="Tahoma"/>
          <w:bCs/>
          <w:sz w:val="20"/>
          <w:szCs w:val="20"/>
        </w:rPr>
        <w:t>4</w:t>
      </w:r>
      <w:r w:rsidR="00DB1635" w:rsidRPr="00B004EE">
        <w:rPr>
          <w:rFonts w:ascii="Tahoma" w:hAnsi="Tahoma" w:cs="Tahoma"/>
          <w:bCs/>
          <w:sz w:val="20"/>
          <w:szCs w:val="20"/>
        </w:rPr>
        <w:t xml:space="preserve"> </w:t>
      </w:r>
      <w:r w:rsidR="002F24E1" w:rsidRPr="00B004EE">
        <w:rPr>
          <w:rFonts w:ascii="Tahoma" w:hAnsi="Tahoma" w:cs="Tahoma"/>
          <w:bCs/>
          <w:sz w:val="20"/>
          <w:szCs w:val="20"/>
        </w:rPr>
        <w:t>:</w:t>
      </w:r>
      <w:r w:rsidR="00DB1635" w:rsidRPr="00B004EE">
        <w:rPr>
          <w:rFonts w:ascii="Tahoma" w:hAnsi="Tahoma" w:cs="Tahoma"/>
          <w:b/>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2F24E1" w:rsidRPr="00B004EE">
        <w:rPr>
          <w:rFonts w:ascii="Tahoma" w:hAnsi="Tahoma" w:cs="Tahoma"/>
          <w:sz w:val="20"/>
          <w:szCs w:val="20"/>
        </w:rPr>
        <w:t>équipements</w:t>
      </w:r>
      <w:r w:rsidR="00DB1635" w:rsidRPr="00B004EE">
        <w:rPr>
          <w:rFonts w:ascii="Tahoma" w:hAnsi="Tahoma" w:cs="Tahoma"/>
          <w:sz w:val="20"/>
          <w:szCs w:val="20"/>
        </w:rPr>
        <w:t xml:space="preserve"> </w:t>
      </w:r>
      <w:r w:rsidR="002F24E1" w:rsidRPr="00B004EE">
        <w:rPr>
          <w:rFonts w:ascii="Tahoma" w:hAnsi="Tahoma" w:cs="Tahoma"/>
          <w:sz w:val="20"/>
          <w:szCs w:val="20"/>
        </w:rPr>
        <w:t>éventuels</w:t>
      </w:r>
      <w:r w:rsidR="00DB1635" w:rsidRPr="00B004EE">
        <w:rPr>
          <w:rFonts w:ascii="Tahoma" w:hAnsi="Tahoma" w:cs="Tahoma"/>
          <w:sz w:val="20"/>
          <w:szCs w:val="20"/>
        </w:rPr>
        <w:t xml:space="preserve"> </w:t>
      </w:r>
      <w:r w:rsidR="002F24E1" w:rsidRPr="00B004EE">
        <w:rPr>
          <w:rFonts w:ascii="Tahoma" w:hAnsi="Tahoma" w:cs="Tahoma"/>
          <w:sz w:val="20"/>
          <w:szCs w:val="20"/>
        </w:rPr>
        <w:t>pour</w:t>
      </w:r>
      <w:r w:rsidR="00DB1635" w:rsidRPr="00B004EE">
        <w:rPr>
          <w:rFonts w:ascii="Tahoma" w:hAnsi="Tahoma" w:cs="Tahoma"/>
          <w:sz w:val="20"/>
          <w:szCs w:val="20"/>
        </w:rPr>
        <w:t xml:space="preserve"> </w:t>
      </w:r>
      <w:r w:rsidR="002F24E1" w:rsidRPr="00B004EE">
        <w:rPr>
          <w:rFonts w:ascii="Tahoma" w:hAnsi="Tahoma" w:cs="Tahoma"/>
          <w:sz w:val="20"/>
          <w:szCs w:val="20"/>
        </w:rPr>
        <w:t>l'éviscération,</w:t>
      </w:r>
      <w:r w:rsidR="00DB1635" w:rsidRPr="00B004EE">
        <w:rPr>
          <w:rFonts w:ascii="Tahoma" w:hAnsi="Tahoma" w:cs="Tahoma"/>
          <w:sz w:val="20"/>
          <w:szCs w:val="20"/>
        </w:rPr>
        <w:t xml:space="preserve"> </w:t>
      </w:r>
      <w:r w:rsidR="002F24E1" w:rsidRPr="00B004EE">
        <w:rPr>
          <w:rFonts w:ascii="Tahoma" w:hAnsi="Tahoma" w:cs="Tahoma"/>
          <w:sz w:val="20"/>
          <w:szCs w:val="20"/>
        </w:rPr>
        <w:t>l'étêtage</w:t>
      </w:r>
      <w:r w:rsidR="00DB1635" w:rsidRPr="00B004EE">
        <w:rPr>
          <w:rFonts w:ascii="Tahoma" w:hAnsi="Tahoma" w:cs="Tahoma"/>
          <w:sz w:val="20"/>
          <w:szCs w:val="20"/>
        </w:rPr>
        <w:t xml:space="preserve"> </w:t>
      </w:r>
      <w:r w:rsidR="002F24E1" w:rsidRPr="00B004EE">
        <w:rPr>
          <w:rFonts w:ascii="Tahoma" w:hAnsi="Tahoma" w:cs="Tahoma"/>
          <w:sz w:val="20"/>
          <w:szCs w:val="20"/>
        </w:rPr>
        <w:t>ou</w:t>
      </w:r>
      <w:r w:rsidR="00DB1635" w:rsidRPr="00B004EE">
        <w:rPr>
          <w:rFonts w:ascii="Tahoma" w:hAnsi="Tahoma" w:cs="Tahoma"/>
          <w:sz w:val="20"/>
          <w:szCs w:val="20"/>
        </w:rPr>
        <w:t xml:space="preserve"> </w:t>
      </w:r>
      <w:r w:rsidR="002F24E1" w:rsidRPr="00B004EE">
        <w:rPr>
          <w:rFonts w:ascii="Tahoma" w:hAnsi="Tahoma" w:cs="Tahoma"/>
          <w:sz w:val="20"/>
          <w:szCs w:val="20"/>
        </w:rPr>
        <w:t>l'enlèvement</w:t>
      </w:r>
      <w:r w:rsidR="00DB1635" w:rsidRPr="00B004EE">
        <w:rPr>
          <w:rFonts w:ascii="Tahoma" w:hAnsi="Tahoma" w:cs="Tahoma"/>
          <w:sz w:val="20"/>
          <w:szCs w:val="20"/>
        </w:rPr>
        <w:t xml:space="preserve"> </w:t>
      </w:r>
      <w:r w:rsidR="002F24E1" w:rsidRPr="00B004EE">
        <w:rPr>
          <w:rFonts w:ascii="Tahoma" w:hAnsi="Tahoma" w:cs="Tahoma"/>
          <w:sz w:val="20"/>
          <w:szCs w:val="20"/>
        </w:rPr>
        <w:t>des</w:t>
      </w:r>
      <w:r w:rsidR="00DB1635" w:rsidRPr="00B004EE">
        <w:rPr>
          <w:rFonts w:ascii="Tahoma" w:hAnsi="Tahoma" w:cs="Tahoma"/>
          <w:sz w:val="20"/>
          <w:szCs w:val="20"/>
        </w:rPr>
        <w:t xml:space="preserve"> </w:t>
      </w:r>
      <w:r w:rsidR="002F24E1" w:rsidRPr="00B004EE">
        <w:rPr>
          <w:rFonts w:ascii="Tahoma" w:hAnsi="Tahoma" w:cs="Tahoma"/>
          <w:sz w:val="20"/>
          <w:szCs w:val="20"/>
        </w:rPr>
        <w:t>nageoires,</w:t>
      </w:r>
      <w:r w:rsidR="00DB1635" w:rsidRPr="00B004EE">
        <w:rPr>
          <w:rFonts w:ascii="Tahoma" w:hAnsi="Tahoma" w:cs="Tahoma"/>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2F24E1" w:rsidRPr="00B004EE">
        <w:rPr>
          <w:rFonts w:ascii="Tahoma" w:hAnsi="Tahoma" w:cs="Tahoma"/>
          <w:sz w:val="20"/>
          <w:szCs w:val="20"/>
        </w:rPr>
        <w:t>récipients,</w:t>
      </w:r>
      <w:r w:rsidR="00DB1635" w:rsidRPr="00B004EE">
        <w:rPr>
          <w:rFonts w:ascii="Tahoma" w:hAnsi="Tahoma" w:cs="Tahoma"/>
          <w:sz w:val="20"/>
          <w:szCs w:val="20"/>
        </w:rPr>
        <w:t xml:space="preserve"> </w:t>
      </w:r>
      <w:r w:rsidR="002F24E1" w:rsidRPr="00B004EE">
        <w:rPr>
          <w:rFonts w:ascii="Tahoma" w:hAnsi="Tahoma" w:cs="Tahoma"/>
          <w:sz w:val="20"/>
          <w:szCs w:val="20"/>
        </w:rPr>
        <w:t>ustensiles</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appareillages</w:t>
      </w:r>
      <w:r w:rsidR="00DB1635" w:rsidRPr="00B004EE">
        <w:rPr>
          <w:rFonts w:ascii="Tahoma" w:hAnsi="Tahoma" w:cs="Tahoma"/>
          <w:sz w:val="20"/>
          <w:szCs w:val="20"/>
        </w:rPr>
        <w:t xml:space="preserve"> </w:t>
      </w:r>
      <w:r w:rsidR="002F24E1" w:rsidRPr="00B004EE">
        <w:rPr>
          <w:rFonts w:ascii="Tahoma" w:hAnsi="Tahoma" w:cs="Tahoma"/>
          <w:sz w:val="20"/>
          <w:szCs w:val="20"/>
        </w:rPr>
        <w:t>divers</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toute</w:t>
      </w:r>
      <w:r w:rsidR="00DB1635" w:rsidRPr="00B004EE">
        <w:rPr>
          <w:rFonts w:ascii="Tahoma" w:hAnsi="Tahoma" w:cs="Tahoma"/>
          <w:sz w:val="20"/>
          <w:szCs w:val="20"/>
        </w:rPr>
        <w:t xml:space="preserve"> </w:t>
      </w:r>
      <w:r w:rsidR="002F24E1" w:rsidRPr="00B004EE">
        <w:rPr>
          <w:rFonts w:ascii="Tahoma" w:hAnsi="Tahoma" w:cs="Tahoma"/>
          <w:sz w:val="20"/>
          <w:szCs w:val="20"/>
        </w:rPr>
        <w:t>surface</w:t>
      </w:r>
      <w:r w:rsidR="00DB1635" w:rsidRPr="00B004EE">
        <w:rPr>
          <w:rFonts w:ascii="Tahoma" w:hAnsi="Tahoma" w:cs="Tahoma"/>
          <w:sz w:val="20"/>
          <w:szCs w:val="20"/>
        </w:rPr>
        <w:t xml:space="preserve"> </w:t>
      </w:r>
      <w:r w:rsidR="002F24E1" w:rsidRPr="00B004EE">
        <w:rPr>
          <w:rFonts w:ascii="Tahoma" w:hAnsi="Tahoma" w:cs="Tahoma"/>
          <w:sz w:val="20"/>
          <w:szCs w:val="20"/>
        </w:rPr>
        <w:t>en</w:t>
      </w:r>
      <w:r w:rsidR="00DB1635" w:rsidRPr="00B004EE">
        <w:rPr>
          <w:rFonts w:ascii="Tahoma" w:hAnsi="Tahoma" w:cs="Tahoma"/>
          <w:sz w:val="20"/>
          <w:szCs w:val="20"/>
        </w:rPr>
        <w:t xml:space="preserve"> </w:t>
      </w:r>
      <w:r w:rsidR="002F24E1" w:rsidRPr="00B004EE">
        <w:rPr>
          <w:rFonts w:ascii="Tahoma" w:hAnsi="Tahoma" w:cs="Tahoma"/>
          <w:sz w:val="20"/>
          <w:szCs w:val="20"/>
        </w:rPr>
        <w:t>contact</w:t>
      </w:r>
      <w:r w:rsidR="00DB1635" w:rsidRPr="00B004EE">
        <w:rPr>
          <w:rFonts w:ascii="Tahoma" w:hAnsi="Tahoma" w:cs="Tahoma"/>
          <w:sz w:val="20"/>
          <w:szCs w:val="20"/>
        </w:rPr>
        <w:t xml:space="preserve"> </w:t>
      </w:r>
      <w:r w:rsidR="002F24E1" w:rsidRPr="00B004EE">
        <w:rPr>
          <w:rFonts w:ascii="Tahoma" w:hAnsi="Tahoma" w:cs="Tahoma"/>
          <w:sz w:val="20"/>
          <w:szCs w:val="20"/>
        </w:rPr>
        <w:t>avec</w:t>
      </w:r>
      <w:r w:rsidR="00DB1635" w:rsidRPr="00B004EE">
        <w:rPr>
          <w:rFonts w:ascii="Tahoma" w:hAnsi="Tahoma" w:cs="Tahoma"/>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2F24E1" w:rsidRPr="00B004EE">
        <w:rPr>
          <w:rFonts w:ascii="Tahoma" w:hAnsi="Tahoma" w:cs="Tahoma"/>
          <w:sz w:val="20"/>
          <w:szCs w:val="20"/>
        </w:rPr>
        <w:t>produits</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la</w:t>
      </w:r>
      <w:r w:rsidR="00DB1635" w:rsidRPr="00B004EE">
        <w:rPr>
          <w:rFonts w:ascii="Tahoma" w:hAnsi="Tahoma" w:cs="Tahoma"/>
          <w:sz w:val="20"/>
          <w:szCs w:val="20"/>
        </w:rPr>
        <w:t xml:space="preserve"> </w:t>
      </w:r>
      <w:r w:rsidR="002F24E1" w:rsidRPr="00B004EE">
        <w:rPr>
          <w:rFonts w:ascii="Tahoma" w:hAnsi="Tahoma" w:cs="Tahoma"/>
          <w:sz w:val="20"/>
          <w:szCs w:val="20"/>
        </w:rPr>
        <w:t>pêche</w:t>
      </w:r>
      <w:r w:rsidR="00DB1635" w:rsidRPr="00B004EE">
        <w:rPr>
          <w:rFonts w:ascii="Tahoma" w:hAnsi="Tahoma" w:cs="Tahoma"/>
          <w:sz w:val="20"/>
          <w:szCs w:val="20"/>
        </w:rPr>
        <w:t xml:space="preserve"> </w:t>
      </w:r>
      <w:r w:rsidR="002F24E1" w:rsidRPr="00B004EE">
        <w:rPr>
          <w:rFonts w:ascii="Tahoma" w:hAnsi="Tahoma" w:cs="Tahoma"/>
          <w:sz w:val="20"/>
          <w:szCs w:val="20"/>
        </w:rPr>
        <w:t>doivent</w:t>
      </w:r>
      <w:r w:rsidR="00DB1635" w:rsidRPr="00B004EE">
        <w:rPr>
          <w:rFonts w:ascii="Tahoma" w:hAnsi="Tahoma" w:cs="Tahoma"/>
          <w:sz w:val="20"/>
          <w:szCs w:val="20"/>
        </w:rPr>
        <w:t xml:space="preserve"> </w:t>
      </w:r>
      <w:r w:rsidR="002F24E1" w:rsidRPr="00B004EE">
        <w:rPr>
          <w:rFonts w:ascii="Tahoma" w:hAnsi="Tahoma" w:cs="Tahoma"/>
          <w:sz w:val="20"/>
          <w:szCs w:val="20"/>
        </w:rPr>
        <w:t>être</w:t>
      </w:r>
      <w:r w:rsidR="00DB1635" w:rsidRPr="00B004EE">
        <w:rPr>
          <w:rFonts w:ascii="Tahoma" w:hAnsi="Tahoma" w:cs="Tahoma"/>
          <w:sz w:val="20"/>
          <w:szCs w:val="20"/>
        </w:rPr>
        <w:t xml:space="preserve"> </w:t>
      </w:r>
      <w:r w:rsidR="002F24E1" w:rsidRPr="00B004EE">
        <w:rPr>
          <w:rFonts w:ascii="Tahoma" w:hAnsi="Tahoma" w:cs="Tahoma"/>
          <w:sz w:val="20"/>
          <w:szCs w:val="20"/>
        </w:rPr>
        <w:t>constitués</w:t>
      </w:r>
      <w:r w:rsidR="00DB1635" w:rsidRPr="00B004EE">
        <w:rPr>
          <w:rFonts w:ascii="Tahoma" w:hAnsi="Tahoma" w:cs="Tahoma"/>
          <w:sz w:val="20"/>
          <w:szCs w:val="20"/>
        </w:rPr>
        <w:t xml:space="preserve"> </w:t>
      </w:r>
      <w:r w:rsidR="002F24E1" w:rsidRPr="00B004EE">
        <w:rPr>
          <w:rFonts w:ascii="Tahoma" w:hAnsi="Tahoma" w:cs="Tahoma"/>
          <w:sz w:val="20"/>
          <w:szCs w:val="20"/>
        </w:rPr>
        <w:t>ou</w:t>
      </w:r>
      <w:r w:rsidR="00DB1635" w:rsidRPr="00B004EE">
        <w:rPr>
          <w:rFonts w:ascii="Tahoma" w:hAnsi="Tahoma" w:cs="Tahoma"/>
          <w:sz w:val="20"/>
          <w:szCs w:val="20"/>
        </w:rPr>
        <w:t xml:space="preserve"> </w:t>
      </w:r>
      <w:r w:rsidR="002F24E1" w:rsidRPr="00B004EE">
        <w:rPr>
          <w:rFonts w:ascii="Tahoma" w:hAnsi="Tahoma" w:cs="Tahoma"/>
          <w:sz w:val="20"/>
          <w:szCs w:val="20"/>
        </w:rPr>
        <w:t>revêtus</w:t>
      </w:r>
      <w:r w:rsidR="00DB1635" w:rsidRPr="00B004EE">
        <w:rPr>
          <w:rFonts w:ascii="Tahoma" w:hAnsi="Tahoma" w:cs="Tahoma"/>
          <w:sz w:val="20"/>
          <w:szCs w:val="20"/>
        </w:rPr>
        <w:t xml:space="preserve"> </w:t>
      </w:r>
      <w:r w:rsidR="002F24E1" w:rsidRPr="00B004EE">
        <w:rPr>
          <w:rFonts w:ascii="Tahoma" w:hAnsi="Tahoma" w:cs="Tahoma"/>
          <w:sz w:val="20"/>
          <w:szCs w:val="20"/>
        </w:rPr>
        <w:t>d'un</w:t>
      </w:r>
      <w:r w:rsidR="00DB1635" w:rsidRPr="00B004EE">
        <w:rPr>
          <w:rFonts w:ascii="Tahoma" w:hAnsi="Tahoma" w:cs="Tahoma"/>
          <w:sz w:val="20"/>
          <w:szCs w:val="20"/>
        </w:rPr>
        <w:t xml:space="preserve"> </w:t>
      </w:r>
      <w:r w:rsidR="002F24E1" w:rsidRPr="00B004EE">
        <w:rPr>
          <w:rFonts w:ascii="Tahoma" w:hAnsi="Tahoma" w:cs="Tahoma"/>
          <w:sz w:val="20"/>
          <w:szCs w:val="20"/>
        </w:rPr>
        <w:t>matériau</w:t>
      </w:r>
      <w:r w:rsidR="00DB1635" w:rsidRPr="00B004EE">
        <w:rPr>
          <w:rFonts w:ascii="Tahoma" w:hAnsi="Tahoma" w:cs="Tahoma"/>
          <w:sz w:val="20"/>
          <w:szCs w:val="20"/>
        </w:rPr>
        <w:t xml:space="preserve"> </w:t>
      </w:r>
      <w:r w:rsidR="002F24E1" w:rsidRPr="00B004EE">
        <w:rPr>
          <w:rFonts w:ascii="Tahoma" w:hAnsi="Tahoma" w:cs="Tahoma"/>
          <w:sz w:val="20"/>
          <w:szCs w:val="20"/>
        </w:rPr>
        <w:t>imperméable,</w:t>
      </w:r>
      <w:r w:rsidR="00DB1635" w:rsidRPr="00B004EE">
        <w:rPr>
          <w:rFonts w:ascii="Tahoma" w:hAnsi="Tahoma" w:cs="Tahoma"/>
          <w:sz w:val="20"/>
          <w:szCs w:val="20"/>
        </w:rPr>
        <w:t xml:space="preserve"> </w:t>
      </w:r>
      <w:r w:rsidR="002F24E1" w:rsidRPr="00B004EE">
        <w:rPr>
          <w:rFonts w:ascii="Tahoma" w:hAnsi="Tahoma" w:cs="Tahoma"/>
          <w:sz w:val="20"/>
          <w:szCs w:val="20"/>
        </w:rPr>
        <w:t>imputrescible,</w:t>
      </w:r>
      <w:r w:rsidR="00DB1635" w:rsidRPr="00B004EE">
        <w:rPr>
          <w:rFonts w:ascii="Tahoma" w:hAnsi="Tahoma" w:cs="Tahoma"/>
          <w:sz w:val="20"/>
          <w:szCs w:val="20"/>
        </w:rPr>
        <w:t xml:space="preserve"> </w:t>
      </w:r>
      <w:r w:rsidR="002F24E1" w:rsidRPr="00B004EE">
        <w:rPr>
          <w:rFonts w:ascii="Tahoma" w:hAnsi="Tahoma" w:cs="Tahoma"/>
          <w:sz w:val="20"/>
          <w:szCs w:val="20"/>
        </w:rPr>
        <w:t>inoxydable,</w:t>
      </w:r>
      <w:r w:rsidR="00DB1635" w:rsidRPr="00B004EE">
        <w:rPr>
          <w:rFonts w:ascii="Tahoma" w:hAnsi="Tahoma" w:cs="Tahoma"/>
          <w:sz w:val="20"/>
          <w:szCs w:val="20"/>
        </w:rPr>
        <w:t xml:space="preserve"> </w:t>
      </w:r>
      <w:r w:rsidR="002F24E1" w:rsidRPr="00B004EE">
        <w:rPr>
          <w:rFonts w:ascii="Tahoma" w:hAnsi="Tahoma" w:cs="Tahoma"/>
          <w:sz w:val="20"/>
          <w:szCs w:val="20"/>
        </w:rPr>
        <w:t>lisse,</w:t>
      </w:r>
      <w:r w:rsidR="00DB1635" w:rsidRPr="00B004EE">
        <w:rPr>
          <w:rFonts w:ascii="Tahoma" w:hAnsi="Tahoma" w:cs="Tahoma"/>
          <w:sz w:val="20"/>
          <w:szCs w:val="20"/>
        </w:rPr>
        <w:t xml:space="preserve"> </w:t>
      </w:r>
      <w:r w:rsidR="002F24E1" w:rsidRPr="00B004EE">
        <w:rPr>
          <w:rFonts w:ascii="Tahoma" w:hAnsi="Tahoma" w:cs="Tahoma"/>
          <w:sz w:val="20"/>
          <w:szCs w:val="20"/>
        </w:rPr>
        <w:t>facile</w:t>
      </w:r>
      <w:r w:rsidR="00DB1635" w:rsidRPr="00B004EE">
        <w:rPr>
          <w:rFonts w:ascii="Tahoma" w:hAnsi="Tahoma" w:cs="Tahoma"/>
          <w:sz w:val="20"/>
          <w:szCs w:val="20"/>
        </w:rPr>
        <w:t xml:space="preserve"> </w:t>
      </w:r>
      <w:r w:rsidR="002F24E1" w:rsidRPr="00B004EE">
        <w:rPr>
          <w:rFonts w:ascii="Tahoma" w:hAnsi="Tahoma" w:cs="Tahoma"/>
          <w:sz w:val="20"/>
          <w:szCs w:val="20"/>
        </w:rPr>
        <w:t>à</w:t>
      </w:r>
      <w:r w:rsidR="00DB1635" w:rsidRPr="00B004EE">
        <w:rPr>
          <w:rFonts w:ascii="Tahoma" w:hAnsi="Tahoma" w:cs="Tahoma"/>
          <w:sz w:val="20"/>
          <w:szCs w:val="20"/>
        </w:rPr>
        <w:t xml:space="preserve"> </w:t>
      </w:r>
      <w:r w:rsidR="002F24E1" w:rsidRPr="00B004EE">
        <w:rPr>
          <w:rFonts w:ascii="Tahoma" w:hAnsi="Tahoma" w:cs="Tahoma"/>
          <w:sz w:val="20"/>
          <w:szCs w:val="20"/>
        </w:rPr>
        <w:t>nettoyer</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à</w:t>
      </w:r>
      <w:r w:rsidR="00DB1635" w:rsidRPr="00B004EE">
        <w:rPr>
          <w:rFonts w:ascii="Tahoma" w:hAnsi="Tahoma" w:cs="Tahoma"/>
          <w:sz w:val="20"/>
          <w:szCs w:val="20"/>
        </w:rPr>
        <w:t xml:space="preserve"> </w:t>
      </w:r>
      <w:r w:rsidR="002F24E1" w:rsidRPr="00B004EE">
        <w:rPr>
          <w:rFonts w:ascii="Tahoma" w:hAnsi="Tahoma" w:cs="Tahoma"/>
          <w:sz w:val="20"/>
          <w:szCs w:val="20"/>
        </w:rPr>
        <w:t>désinfecter.</w:t>
      </w:r>
    </w:p>
    <w:p w14:paraId="5697B4FB" w14:textId="77777777" w:rsidR="002F24E1" w:rsidRPr="00B004EE" w:rsidRDefault="002F24E1" w:rsidP="00B004EE">
      <w:pPr>
        <w:jc w:val="both"/>
        <w:rPr>
          <w:rFonts w:ascii="Tahoma" w:hAnsi="Tahoma" w:cs="Tahoma"/>
          <w:sz w:val="20"/>
          <w:szCs w:val="20"/>
        </w:rPr>
      </w:pPr>
    </w:p>
    <w:p w14:paraId="1506D9E7" w14:textId="300000C8" w:rsidR="002F24E1" w:rsidRPr="00B004EE" w:rsidRDefault="00AD7D88" w:rsidP="00B004EE">
      <w:pPr>
        <w:jc w:val="both"/>
        <w:rPr>
          <w:rFonts w:ascii="Tahoma" w:hAnsi="Tahoma" w:cs="Tahoma"/>
          <w:sz w:val="20"/>
          <w:szCs w:val="20"/>
        </w:rPr>
      </w:pPr>
      <w:r w:rsidRPr="00B004EE">
        <w:rPr>
          <w:rFonts w:ascii="Tahoma" w:hAnsi="Tahoma" w:cs="Tahoma"/>
          <w:bCs/>
          <w:sz w:val="20"/>
          <w:szCs w:val="20"/>
        </w:rPr>
        <w:t xml:space="preserve">Article </w:t>
      </w:r>
      <w:r w:rsidR="002F24E1" w:rsidRPr="00B004EE">
        <w:rPr>
          <w:rFonts w:ascii="Tahoma" w:hAnsi="Tahoma" w:cs="Tahoma"/>
          <w:bCs/>
          <w:sz w:val="20"/>
          <w:szCs w:val="20"/>
        </w:rPr>
        <w:t>5</w:t>
      </w:r>
      <w:r w:rsidR="00DB1635" w:rsidRPr="00B004EE">
        <w:rPr>
          <w:rFonts w:ascii="Tahoma" w:hAnsi="Tahoma" w:cs="Tahoma"/>
          <w:bCs/>
          <w:sz w:val="20"/>
          <w:szCs w:val="20"/>
        </w:rPr>
        <w:t xml:space="preserve"> </w:t>
      </w:r>
      <w:r w:rsidR="002F24E1" w:rsidRPr="00B004EE">
        <w:rPr>
          <w:rFonts w:ascii="Tahoma" w:hAnsi="Tahoma" w:cs="Tahoma"/>
          <w:bCs/>
          <w:sz w:val="20"/>
          <w:szCs w:val="20"/>
        </w:rPr>
        <w:t>:</w:t>
      </w:r>
      <w:r w:rsidR="00DB1635" w:rsidRPr="00B004EE">
        <w:rPr>
          <w:rFonts w:ascii="Tahoma" w:hAnsi="Tahoma" w:cs="Tahoma"/>
          <w:b/>
          <w:sz w:val="20"/>
          <w:szCs w:val="20"/>
        </w:rPr>
        <w:t xml:space="preserve"> </w:t>
      </w:r>
      <w:r w:rsidR="002F24E1" w:rsidRPr="00B004EE">
        <w:rPr>
          <w:rFonts w:ascii="Tahoma" w:hAnsi="Tahoma" w:cs="Tahoma"/>
          <w:sz w:val="20"/>
          <w:szCs w:val="20"/>
        </w:rPr>
        <w:t>Au</w:t>
      </w:r>
      <w:r w:rsidR="00DB1635" w:rsidRPr="00B004EE">
        <w:rPr>
          <w:rFonts w:ascii="Tahoma" w:hAnsi="Tahoma" w:cs="Tahoma"/>
          <w:sz w:val="20"/>
          <w:szCs w:val="20"/>
        </w:rPr>
        <w:t xml:space="preserve"> </w:t>
      </w:r>
      <w:r w:rsidR="002F24E1" w:rsidRPr="00B004EE">
        <w:rPr>
          <w:rFonts w:ascii="Tahoma" w:hAnsi="Tahoma" w:cs="Tahoma"/>
          <w:sz w:val="20"/>
          <w:szCs w:val="20"/>
        </w:rPr>
        <w:t>moment</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leur</w:t>
      </w:r>
      <w:r w:rsidR="00DB1635" w:rsidRPr="00B004EE">
        <w:rPr>
          <w:rFonts w:ascii="Tahoma" w:hAnsi="Tahoma" w:cs="Tahoma"/>
          <w:sz w:val="20"/>
          <w:szCs w:val="20"/>
        </w:rPr>
        <w:t xml:space="preserve"> </w:t>
      </w:r>
      <w:r w:rsidR="002F24E1" w:rsidRPr="00B004EE">
        <w:rPr>
          <w:rFonts w:ascii="Tahoma" w:hAnsi="Tahoma" w:cs="Tahoma"/>
          <w:sz w:val="20"/>
          <w:szCs w:val="20"/>
        </w:rPr>
        <w:t>utilisation,</w:t>
      </w:r>
      <w:r w:rsidR="00DB1635" w:rsidRPr="00B004EE">
        <w:rPr>
          <w:rFonts w:ascii="Tahoma" w:hAnsi="Tahoma" w:cs="Tahoma"/>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2F24E1" w:rsidRPr="00B004EE">
        <w:rPr>
          <w:rFonts w:ascii="Tahoma" w:hAnsi="Tahoma" w:cs="Tahoma"/>
          <w:sz w:val="20"/>
          <w:szCs w:val="20"/>
        </w:rPr>
        <w:t>parties,</w:t>
      </w:r>
      <w:r w:rsidR="00DB1635" w:rsidRPr="00B004EE">
        <w:rPr>
          <w:rFonts w:ascii="Tahoma" w:hAnsi="Tahoma" w:cs="Tahoma"/>
          <w:sz w:val="20"/>
          <w:szCs w:val="20"/>
        </w:rPr>
        <w:t xml:space="preserve"> </w:t>
      </w:r>
      <w:r w:rsidR="002F24E1" w:rsidRPr="00B004EE">
        <w:rPr>
          <w:rFonts w:ascii="Tahoma" w:hAnsi="Tahoma" w:cs="Tahoma"/>
          <w:sz w:val="20"/>
          <w:szCs w:val="20"/>
        </w:rPr>
        <w:t>récipients</w:t>
      </w:r>
      <w:r w:rsidR="00DB1635" w:rsidRPr="00B004EE">
        <w:rPr>
          <w:rFonts w:ascii="Tahoma" w:hAnsi="Tahoma" w:cs="Tahoma"/>
          <w:sz w:val="20"/>
          <w:szCs w:val="20"/>
        </w:rPr>
        <w:t xml:space="preserve"> </w:t>
      </w:r>
      <w:r w:rsidR="002F24E1" w:rsidRPr="00B004EE">
        <w:rPr>
          <w:rFonts w:ascii="Tahoma" w:hAnsi="Tahoma" w:cs="Tahoma"/>
          <w:sz w:val="20"/>
          <w:szCs w:val="20"/>
        </w:rPr>
        <w:t>ou</w:t>
      </w:r>
      <w:r w:rsidR="00DB1635" w:rsidRPr="00B004EE">
        <w:rPr>
          <w:rFonts w:ascii="Tahoma" w:hAnsi="Tahoma" w:cs="Tahoma"/>
          <w:sz w:val="20"/>
          <w:szCs w:val="20"/>
        </w:rPr>
        <w:t xml:space="preserve"> </w:t>
      </w:r>
      <w:r w:rsidR="002F24E1" w:rsidRPr="00B004EE">
        <w:rPr>
          <w:rFonts w:ascii="Tahoma" w:hAnsi="Tahoma" w:cs="Tahoma"/>
          <w:sz w:val="20"/>
          <w:szCs w:val="20"/>
        </w:rPr>
        <w:t>équipements</w:t>
      </w:r>
      <w:r w:rsidR="00DB1635" w:rsidRPr="00B004EE">
        <w:rPr>
          <w:rFonts w:ascii="Tahoma" w:hAnsi="Tahoma" w:cs="Tahoma"/>
          <w:sz w:val="20"/>
          <w:szCs w:val="20"/>
        </w:rPr>
        <w:t xml:space="preserve"> </w:t>
      </w:r>
      <w:r w:rsidR="002F24E1" w:rsidRPr="00B004EE">
        <w:rPr>
          <w:rFonts w:ascii="Tahoma" w:hAnsi="Tahoma" w:cs="Tahoma"/>
          <w:sz w:val="20"/>
          <w:szCs w:val="20"/>
        </w:rPr>
        <w:t>visés</w:t>
      </w:r>
      <w:r w:rsidR="00DB1635" w:rsidRPr="00B004EE">
        <w:rPr>
          <w:rFonts w:ascii="Tahoma" w:hAnsi="Tahoma" w:cs="Tahoma"/>
          <w:sz w:val="20"/>
          <w:szCs w:val="20"/>
        </w:rPr>
        <w:t xml:space="preserve"> </w:t>
      </w:r>
      <w:r w:rsidR="002F24E1" w:rsidRPr="00B004EE">
        <w:rPr>
          <w:rFonts w:ascii="Tahoma" w:hAnsi="Tahoma" w:cs="Tahoma"/>
          <w:sz w:val="20"/>
          <w:szCs w:val="20"/>
        </w:rPr>
        <w:t>aux</w:t>
      </w:r>
      <w:r w:rsidR="00DB1635" w:rsidRPr="00B004EE">
        <w:rPr>
          <w:rFonts w:ascii="Tahoma" w:hAnsi="Tahoma" w:cs="Tahoma"/>
          <w:sz w:val="20"/>
          <w:szCs w:val="20"/>
        </w:rPr>
        <w:t xml:space="preserve"> </w:t>
      </w:r>
      <w:r w:rsidR="002F24E1" w:rsidRPr="00B004EE">
        <w:rPr>
          <w:rFonts w:ascii="Tahoma" w:hAnsi="Tahoma" w:cs="Tahoma"/>
          <w:sz w:val="20"/>
          <w:szCs w:val="20"/>
        </w:rPr>
        <w:t>articles</w:t>
      </w:r>
      <w:r w:rsidR="00DB1635" w:rsidRPr="00B004EE">
        <w:rPr>
          <w:rFonts w:ascii="Tahoma" w:hAnsi="Tahoma" w:cs="Tahoma"/>
          <w:sz w:val="20"/>
          <w:szCs w:val="20"/>
        </w:rPr>
        <w:t xml:space="preserve"> </w:t>
      </w:r>
      <w:r w:rsidR="002F24E1" w:rsidRPr="00B004EE">
        <w:rPr>
          <w:rFonts w:ascii="Tahoma" w:hAnsi="Tahoma" w:cs="Tahoma"/>
          <w:sz w:val="20"/>
          <w:szCs w:val="20"/>
        </w:rPr>
        <w:t>3</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4</w:t>
      </w:r>
      <w:r w:rsidR="00DB1635" w:rsidRPr="00B004EE">
        <w:rPr>
          <w:rFonts w:ascii="Tahoma" w:hAnsi="Tahoma" w:cs="Tahoma"/>
          <w:sz w:val="20"/>
          <w:szCs w:val="20"/>
        </w:rPr>
        <w:t xml:space="preserve"> </w:t>
      </w:r>
      <w:r w:rsidR="002F24E1" w:rsidRPr="00B004EE">
        <w:rPr>
          <w:rFonts w:ascii="Tahoma" w:hAnsi="Tahoma" w:cs="Tahoma"/>
          <w:sz w:val="20"/>
          <w:szCs w:val="20"/>
        </w:rPr>
        <w:t>doivent</w:t>
      </w:r>
      <w:r w:rsidR="00DB1635" w:rsidRPr="00B004EE">
        <w:rPr>
          <w:rFonts w:ascii="Tahoma" w:hAnsi="Tahoma" w:cs="Tahoma"/>
          <w:sz w:val="20"/>
          <w:szCs w:val="20"/>
        </w:rPr>
        <w:t xml:space="preserve"> </w:t>
      </w:r>
      <w:r w:rsidR="002F24E1" w:rsidRPr="00B004EE">
        <w:rPr>
          <w:rFonts w:ascii="Tahoma" w:hAnsi="Tahoma" w:cs="Tahoma"/>
          <w:sz w:val="20"/>
          <w:szCs w:val="20"/>
        </w:rPr>
        <w:t>être</w:t>
      </w:r>
      <w:r w:rsidR="00DB1635" w:rsidRPr="00B004EE">
        <w:rPr>
          <w:rFonts w:ascii="Tahoma" w:hAnsi="Tahoma" w:cs="Tahoma"/>
          <w:sz w:val="20"/>
          <w:szCs w:val="20"/>
        </w:rPr>
        <w:t xml:space="preserve"> </w:t>
      </w:r>
      <w:r w:rsidR="002F24E1" w:rsidRPr="00B004EE">
        <w:rPr>
          <w:rFonts w:ascii="Tahoma" w:hAnsi="Tahoma" w:cs="Tahoma"/>
          <w:sz w:val="20"/>
          <w:szCs w:val="20"/>
        </w:rPr>
        <w:t>en</w:t>
      </w:r>
      <w:r w:rsidR="00DB1635" w:rsidRPr="00B004EE">
        <w:rPr>
          <w:rFonts w:ascii="Tahoma" w:hAnsi="Tahoma" w:cs="Tahoma"/>
          <w:sz w:val="20"/>
          <w:szCs w:val="20"/>
        </w:rPr>
        <w:t xml:space="preserve"> </w:t>
      </w:r>
      <w:r w:rsidR="002F24E1" w:rsidRPr="00B004EE">
        <w:rPr>
          <w:rFonts w:ascii="Tahoma" w:hAnsi="Tahoma" w:cs="Tahoma"/>
          <w:sz w:val="20"/>
          <w:szCs w:val="20"/>
        </w:rPr>
        <w:t>bon</w:t>
      </w:r>
      <w:r w:rsidR="00DB1635" w:rsidRPr="00B004EE">
        <w:rPr>
          <w:rFonts w:ascii="Tahoma" w:hAnsi="Tahoma" w:cs="Tahoma"/>
          <w:sz w:val="20"/>
          <w:szCs w:val="20"/>
        </w:rPr>
        <w:t xml:space="preserve"> </w:t>
      </w:r>
      <w:r w:rsidR="002F24E1" w:rsidRPr="00B004EE">
        <w:rPr>
          <w:rFonts w:ascii="Tahoma" w:hAnsi="Tahoma" w:cs="Tahoma"/>
          <w:sz w:val="20"/>
          <w:szCs w:val="20"/>
        </w:rPr>
        <w:t>état</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propreté</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en</w:t>
      </w:r>
      <w:r w:rsidR="00DB1635" w:rsidRPr="00B004EE">
        <w:rPr>
          <w:rFonts w:ascii="Tahoma" w:hAnsi="Tahoma" w:cs="Tahoma"/>
          <w:sz w:val="20"/>
          <w:szCs w:val="20"/>
        </w:rPr>
        <w:t xml:space="preserve"> </w:t>
      </w:r>
      <w:r w:rsidR="002F24E1" w:rsidRPr="00B004EE">
        <w:rPr>
          <w:rFonts w:ascii="Tahoma" w:hAnsi="Tahoma" w:cs="Tahoma"/>
          <w:sz w:val="20"/>
          <w:szCs w:val="20"/>
        </w:rPr>
        <w:t>particulier,</w:t>
      </w:r>
      <w:r w:rsidR="00DB1635" w:rsidRPr="00B004EE">
        <w:rPr>
          <w:rFonts w:ascii="Tahoma" w:hAnsi="Tahoma" w:cs="Tahoma"/>
          <w:sz w:val="20"/>
          <w:szCs w:val="20"/>
        </w:rPr>
        <w:t xml:space="preserve"> </w:t>
      </w:r>
      <w:r w:rsidR="002F24E1" w:rsidRPr="00B004EE">
        <w:rPr>
          <w:rFonts w:ascii="Tahoma" w:hAnsi="Tahoma" w:cs="Tahoma"/>
          <w:sz w:val="20"/>
          <w:szCs w:val="20"/>
        </w:rPr>
        <w:t>ne</w:t>
      </w:r>
      <w:r w:rsidR="00DB1635" w:rsidRPr="00B004EE">
        <w:rPr>
          <w:rFonts w:ascii="Tahoma" w:hAnsi="Tahoma" w:cs="Tahoma"/>
          <w:sz w:val="20"/>
          <w:szCs w:val="20"/>
        </w:rPr>
        <w:t xml:space="preserve"> </w:t>
      </w:r>
      <w:r w:rsidR="002F24E1" w:rsidRPr="00B004EE">
        <w:rPr>
          <w:rFonts w:ascii="Tahoma" w:hAnsi="Tahoma" w:cs="Tahoma"/>
          <w:sz w:val="20"/>
          <w:szCs w:val="20"/>
        </w:rPr>
        <w:t>doivent</w:t>
      </w:r>
      <w:r w:rsidR="00DB1635" w:rsidRPr="00B004EE">
        <w:rPr>
          <w:rFonts w:ascii="Tahoma" w:hAnsi="Tahoma" w:cs="Tahoma"/>
          <w:sz w:val="20"/>
          <w:szCs w:val="20"/>
        </w:rPr>
        <w:t xml:space="preserve"> </w:t>
      </w:r>
      <w:r w:rsidR="002F24E1" w:rsidRPr="00B004EE">
        <w:rPr>
          <w:rFonts w:ascii="Tahoma" w:hAnsi="Tahoma" w:cs="Tahoma"/>
          <w:sz w:val="20"/>
          <w:szCs w:val="20"/>
        </w:rPr>
        <w:t>pas</w:t>
      </w:r>
      <w:r w:rsidR="00DB1635" w:rsidRPr="00B004EE">
        <w:rPr>
          <w:rFonts w:ascii="Tahoma" w:hAnsi="Tahoma" w:cs="Tahoma"/>
          <w:sz w:val="20"/>
          <w:szCs w:val="20"/>
        </w:rPr>
        <w:t xml:space="preserve"> </w:t>
      </w:r>
      <w:r w:rsidR="002F24E1" w:rsidRPr="00B004EE">
        <w:rPr>
          <w:rFonts w:ascii="Tahoma" w:hAnsi="Tahoma" w:cs="Tahoma"/>
          <w:sz w:val="20"/>
          <w:szCs w:val="20"/>
        </w:rPr>
        <w:t>être</w:t>
      </w:r>
      <w:r w:rsidR="00DB1635" w:rsidRPr="00B004EE">
        <w:rPr>
          <w:rFonts w:ascii="Tahoma" w:hAnsi="Tahoma" w:cs="Tahoma"/>
          <w:sz w:val="20"/>
          <w:szCs w:val="20"/>
        </w:rPr>
        <w:t xml:space="preserve"> </w:t>
      </w:r>
      <w:r w:rsidR="002F24E1" w:rsidRPr="00B004EE">
        <w:rPr>
          <w:rFonts w:ascii="Tahoma" w:hAnsi="Tahoma" w:cs="Tahoma"/>
          <w:sz w:val="20"/>
          <w:szCs w:val="20"/>
        </w:rPr>
        <w:t>souillés</w:t>
      </w:r>
      <w:r w:rsidR="00DB1635" w:rsidRPr="00B004EE">
        <w:rPr>
          <w:rFonts w:ascii="Tahoma" w:hAnsi="Tahoma" w:cs="Tahoma"/>
          <w:sz w:val="20"/>
          <w:szCs w:val="20"/>
        </w:rPr>
        <w:t xml:space="preserve"> </w:t>
      </w:r>
      <w:r w:rsidR="002F24E1" w:rsidRPr="00B004EE">
        <w:rPr>
          <w:rFonts w:ascii="Tahoma" w:hAnsi="Tahoma" w:cs="Tahoma"/>
          <w:sz w:val="20"/>
          <w:szCs w:val="20"/>
        </w:rPr>
        <w:t>par</w:t>
      </w:r>
      <w:r w:rsidR="00DB1635" w:rsidRPr="00B004EE">
        <w:rPr>
          <w:rFonts w:ascii="Tahoma" w:hAnsi="Tahoma" w:cs="Tahoma"/>
          <w:sz w:val="20"/>
          <w:szCs w:val="20"/>
        </w:rPr>
        <w:t xml:space="preserve"> </w:t>
      </w:r>
      <w:r w:rsidR="002F24E1" w:rsidRPr="00B004EE">
        <w:rPr>
          <w:rFonts w:ascii="Tahoma" w:hAnsi="Tahoma" w:cs="Tahoma"/>
          <w:sz w:val="20"/>
          <w:szCs w:val="20"/>
        </w:rPr>
        <w:t>le</w:t>
      </w:r>
      <w:r w:rsidR="00DB1635" w:rsidRPr="00B004EE">
        <w:rPr>
          <w:rFonts w:ascii="Tahoma" w:hAnsi="Tahoma" w:cs="Tahoma"/>
          <w:sz w:val="20"/>
          <w:szCs w:val="20"/>
        </w:rPr>
        <w:t xml:space="preserve"> </w:t>
      </w:r>
      <w:r w:rsidR="002F24E1" w:rsidRPr="00B004EE">
        <w:rPr>
          <w:rFonts w:ascii="Tahoma" w:hAnsi="Tahoma" w:cs="Tahoma"/>
          <w:sz w:val="20"/>
          <w:szCs w:val="20"/>
        </w:rPr>
        <w:t>carburant</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propulsion</w:t>
      </w:r>
      <w:r w:rsidR="00DB1635" w:rsidRPr="00B004EE">
        <w:rPr>
          <w:rFonts w:ascii="Tahoma" w:hAnsi="Tahoma" w:cs="Tahoma"/>
          <w:sz w:val="20"/>
          <w:szCs w:val="20"/>
        </w:rPr>
        <w:t xml:space="preserve"> </w:t>
      </w:r>
      <w:r w:rsidR="002F24E1" w:rsidRPr="00B004EE">
        <w:rPr>
          <w:rFonts w:ascii="Tahoma" w:hAnsi="Tahoma" w:cs="Tahoma"/>
          <w:sz w:val="20"/>
          <w:szCs w:val="20"/>
        </w:rPr>
        <w:t>ou</w:t>
      </w:r>
      <w:r w:rsidR="00DB1635" w:rsidRPr="00B004EE">
        <w:rPr>
          <w:rFonts w:ascii="Tahoma" w:hAnsi="Tahoma" w:cs="Tahoma"/>
          <w:sz w:val="20"/>
          <w:szCs w:val="20"/>
        </w:rPr>
        <w:t xml:space="preserve"> </w:t>
      </w:r>
      <w:r w:rsidR="002F24E1" w:rsidRPr="00B004EE">
        <w:rPr>
          <w:rFonts w:ascii="Tahoma" w:hAnsi="Tahoma" w:cs="Tahoma"/>
          <w:sz w:val="20"/>
          <w:szCs w:val="20"/>
        </w:rPr>
        <w:t>par</w:t>
      </w:r>
      <w:r w:rsidR="00DB1635" w:rsidRPr="00B004EE">
        <w:rPr>
          <w:rFonts w:ascii="Tahoma" w:hAnsi="Tahoma" w:cs="Tahoma"/>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2F24E1" w:rsidRPr="00B004EE">
        <w:rPr>
          <w:rFonts w:ascii="Tahoma" w:hAnsi="Tahoma" w:cs="Tahoma"/>
          <w:sz w:val="20"/>
          <w:szCs w:val="20"/>
        </w:rPr>
        <w:t>eaux</w:t>
      </w:r>
      <w:r w:rsidR="00DB1635" w:rsidRPr="00B004EE">
        <w:rPr>
          <w:rFonts w:ascii="Tahoma" w:hAnsi="Tahoma" w:cs="Tahoma"/>
          <w:sz w:val="20"/>
          <w:szCs w:val="20"/>
        </w:rPr>
        <w:t xml:space="preserve"> </w:t>
      </w:r>
      <w:r w:rsidR="002F24E1" w:rsidRPr="00B004EE">
        <w:rPr>
          <w:rFonts w:ascii="Tahoma" w:hAnsi="Tahoma" w:cs="Tahoma"/>
          <w:sz w:val="20"/>
          <w:szCs w:val="20"/>
        </w:rPr>
        <w:t>sales</w:t>
      </w:r>
      <w:r w:rsidR="00DB1635" w:rsidRPr="00B004EE">
        <w:rPr>
          <w:rFonts w:ascii="Tahoma" w:hAnsi="Tahoma" w:cs="Tahoma"/>
          <w:sz w:val="20"/>
          <w:szCs w:val="20"/>
        </w:rPr>
        <w:t xml:space="preserve"> </w:t>
      </w:r>
      <w:r w:rsidR="002F24E1" w:rsidRPr="00B004EE">
        <w:rPr>
          <w:rFonts w:ascii="Tahoma" w:hAnsi="Tahoma" w:cs="Tahoma"/>
          <w:sz w:val="20"/>
          <w:szCs w:val="20"/>
        </w:rPr>
        <w:t>des</w:t>
      </w:r>
      <w:r w:rsidR="00DB1635" w:rsidRPr="00B004EE">
        <w:rPr>
          <w:rFonts w:ascii="Tahoma" w:hAnsi="Tahoma" w:cs="Tahoma"/>
          <w:sz w:val="20"/>
          <w:szCs w:val="20"/>
        </w:rPr>
        <w:t xml:space="preserve"> </w:t>
      </w:r>
      <w:r w:rsidR="002F24E1" w:rsidRPr="00B004EE">
        <w:rPr>
          <w:rFonts w:ascii="Tahoma" w:hAnsi="Tahoma" w:cs="Tahoma"/>
          <w:sz w:val="20"/>
          <w:szCs w:val="20"/>
        </w:rPr>
        <w:t>fonds</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navires.</w:t>
      </w:r>
    </w:p>
    <w:p w14:paraId="42E228CB" w14:textId="77777777" w:rsidR="002F24E1" w:rsidRPr="00B004EE" w:rsidRDefault="002F24E1" w:rsidP="00B004EE">
      <w:pPr>
        <w:jc w:val="both"/>
        <w:rPr>
          <w:rFonts w:ascii="Tahoma" w:hAnsi="Tahoma" w:cs="Tahoma"/>
          <w:sz w:val="20"/>
          <w:szCs w:val="20"/>
        </w:rPr>
      </w:pPr>
    </w:p>
    <w:p w14:paraId="7943BE39" w14:textId="071BBA51" w:rsidR="002F24E1" w:rsidRPr="00B004EE" w:rsidRDefault="00AD7D88" w:rsidP="00B004EE">
      <w:pPr>
        <w:jc w:val="both"/>
        <w:rPr>
          <w:rFonts w:ascii="Tahoma" w:hAnsi="Tahoma" w:cs="Tahoma"/>
          <w:sz w:val="20"/>
          <w:szCs w:val="20"/>
        </w:rPr>
      </w:pPr>
      <w:r w:rsidRPr="00B004EE">
        <w:rPr>
          <w:rFonts w:ascii="Tahoma" w:hAnsi="Tahoma" w:cs="Tahoma"/>
          <w:bCs/>
          <w:sz w:val="20"/>
          <w:szCs w:val="20"/>
        </w:rPr>
        <w:t xml:space="preserve">Article </w:t>
      </w:r>
      <w:r w:rsidR="002F24E1" w:rsidRPr="00B004EE">
        <w:rPr>
          <w:rFonts w:ascii="Tahoma" w:hAnsi="Tahoma" w:cs="Tahoma"/>
          <w:bCs/>
          <w:sz w:val="20"/>
          <w:szCs w:val="20"/>
        </w:rPr>
        <w:t>6</w:t>
      </w:r>
      <w:r w:rsidR="00DB1635" w:rsidRPr="00B004EE">
        <w:rPr>
          <w:rFonts w:ascii="Tahoma" w:hAnsi="Tahoma" w:cs="Tahoma"/>
          <w:bCs/>
          <w:sz w:val="20"/>
          <w:szCs w:val="20"/>
        </w:rPr>
        <w:t xml:space="preserve"> </w:t>
      </w:r>
      <w:r w:rsidR="002F24E1" w:rsidRPr="00B004EE">
        <w:rPr>
          <w:rFonts w:ascii="Tahoma" w:hAnsi="Tahoma" w:cs="Tahoma"/>
          <w:bCs/>
          <w:sz w:val="20"/>
          <w:szCs w:val="20"/>
        </w:rPr>
        <w:t>:</w:t>
      </w:r>
      <w:r w:rsidR="00DB1635" w:rsidRPr="00B004EE">
        <w:rPr>
          <w:rFonts w:ascii="Tahoma" w:hAnsi="Tahoma" w:cs="Tahoma"/>
          <w:b/>
          <w:sz w:val="20"/>
          <w:szCs w:val="20"/>
        </w:rPr>
        <w:t xml:space="preserve"> </w:t>
      </w:r>
      <w:r w:rsidR="002F24E1" w:rsidRPr="00B004EE">
        <w:rPr>
          <w:rFonts w:ascii="Tahoma" w:hAnsi="Tahoma" w:cs="Tahoma"/>
          <w:sz w:val="20"/>
          <w:szCs w:val="20"/>
        </w:rPr>
        <w:t>Le</w:t>
      </w:r>
      <w:r w:rsidR="00DB1635" w:rsidRPr="00B004EE">
        <w:rPr>
          <w:rFonts w:ascii="Tahoma" w:hAnsi="Tahoma" w:cs="Tahoma"/>
          <w:sz w:val="20"/>
          <w:szCs w:val="20"/>
        </w:rPr>
        <w:t xml:space="preserve"> </w:t>
      </w:r>
      <w:r w:rsidR="002F24E1" w:rsidRPr="00B004EE">
        <w:rPr>
          <w:rFonts w:ascii="Tahoma" w:hAnsi="Tahoma" w:cs="Tahoma"/>
          <w:sz w:val="20"/>
          <w:szCs w:val="20"/>
        </w:rPr>
        <w:t>nettoyage</w:t>
      </w:r>
      <w:r w:rsidR="00DB1635" w:rsidRPr="00B004EE">
        <w:rPr>
          <w:rFonts w:ascii="Tahoma" w:hAnsi="Tahoma" w:cs="Tahoma"/>
          <w:sz w:val="20"/>
          <w:szCs w:val="20"/>
        </w:rPr>
        <w:t xml:space="preserve"> </w:t>
      </w:r>
      <w:r w:rsidR="002F24E1" w:rsidRPr="00B004EE">
        <w:rPr>
          <w:rFonts w:ascii="Tahoma" w:hAnsi="Tahoma" w:cs="Tahoma"/>
          <w:sz w:val="20"/>
          <w:szCs w:val="20"/>
        </w:rPr>
        <w:t>des</w:t>
      </w:r>
      <w:r w:rsidR="00DB1635" w:rsidRPr="00B004EE">
        <w:rPr>
          <w:rFonts w:ascii="Tahoma" w:hAnsi="Tahoma" w:cs="Tahoma"/>
          <w:sz w:val="20"/>
          <w:szCs w:val="20"/>
        </w:rPr>
        <w:t xml:space="preserve"> </w:t>
      </w:r>
      <w:r w:rsidR="002F24E1" w:rsidRPr="00B004EE">
        <w:rPr>
          <w:rFonts w:ascii="Tahoma" w:hAnsi="Tahoma" w:cs="Tahoma"/>
          <w:sz w:val="20"/>
          <w:szCs w:val="20"/>
        </w:rPr>
        <w:t>récipients,</w:t>
      </w:r>
      <w:r w:rsidR="00DB1635" w:rsidRPr="00B004EE">
        <w:rPr>
          <w:rFonts w:ascii="Tahoma" w:hAnsi="Tahoma" w:cs="Tahoma"/>
          <w:sz w:val="20"/>
          <w:szCs w:val="20"/>
        </w:rPr>
        <w:t xml:space="preserve"> </w:t>
      </w:r>
      <w:r w:rsidR="002F24E1" w:rsidRPr="00B004EE">
        <w:rPr>
          <w:rFonts w:ascii="Tahoma" w:hAnsi="Tahoma" w:cs="Tahoma"/>
          <w:sz w:val="20"/>
          <w:szCs w:val="20"/>
        </w:rPr>
        <w:t>des</w:t>
      </w:r>
      <w:r w:rsidR="00DB1635" w:rsidRPr="00B004EE">
        <w:rPr>
          <w:rFonts w:ascii="Tahoma" w:hAnsi="Tahoma" w:cs="Tahoma"/>
          <w:sz w:val="20"/>
          <w:szCs w:val="20"/>
        </w:rPr>
        <w:t xml:space="preserve"> </w:t>
      </w:r>
      <w:r w:rsidR="002F24E1" w:rsidRPr="00B004EE">
        <w:rPr>
          <w:rFonts w:ascii="Tahoma" w:hAnsi="Tahoma" w:cs="Tahoma"/>
          <w:sz w:val="20"/>
          <w:szCs w:val="20"/>
        </w:rPr>
        <w:t>instruments,</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des</w:t>
      </w:r>
      <w:r w:rsidR="00DB1635" w:rsidRPr="00B004EE">
        <w:rPr>
          <w:rFonts w:ascii="Tahoma" w:hAnsi="Tahoma" w:cs="Tahoma"/>
          <w:sz w:val="20"/>
          <w:szCs w:val="20"/>
        </w:rPr>
        <w:t xml:space="preserve"> </w:t>
      </w:r>
      <w:r w:rsidR="002F24E1" w:rsidRPr="00B004EE">
        <w:rPr>
          <w:rFonts w:ascii="Tahoma" w:hAnsi="Tahoma" w:cs="Tahoma"/>
          <w:sz w:val="20"/>
          <w:szCs w:val="20"/>
        </w:rPr>
        <w:t>parties</w:t>
      </w:r>
      <w:r w:rsidR="00DB1635" w:rsidRPr="00B004EE">
        <w:rPr>
          <w:rFonts w:ascii="Tahoma" w:hAnsi="Tahoma" w:cs="Tahoma"/>
          <w:sz w:val="20"/>
          <w:szCs w:val="20"/>
        </w:rPr>
        <w:t xml:space="preserve"> </w:t>
      </w:r>
      <w:r w:rsidR="002F24E1" w:rsidRPr="00B004EE">
        <w:rPr>
          <w:rFonts w:ascii="Tahoma" w:hAnsi="Tahoma" w:cs="Tahoma"/>
          <w:sz w:val="20"/>
          <w:szCs w:val="20"/>
        </w:rPr>
        <w:t>du</w:t>
      </w:r>
      <w:r w:rsidR="00DB1635" w:rsidRPr="00B004EE">
        <w:rPr>
          <w:rFonts w:ascii="Tahoma" w:hAnsi="Tahoma" w:cs="Tahoma"/>
          <w:sz w:val="20"/>
          <w:szCs w:val="20"/>
        </w:rPr>
        <w:t xml:space="preserve"> </w:t>
      </w:r>
      <w:r w:rsidR="002F24E1" w:rsidRPr="00B004EE">
        <w:rPr>
          <w:rFonts w:ascii="Tahoma" w:hAnsi="Tahoma" w:cs="Tahoma"/>
          <w:sz w:val="20"/>
          <w:szCs w:val="20"/>
        </w:rPr>
        <w:t>navire</w:t>
      </w:r>
      <w:r w:rsidR="00DB1635" w:rsidRPr="00B004EE">
        <w:rPr>
          <w:rFonts w:ascii="Tahoma" w:hAnsi="Tahoma" w:cs="Tahoma"/>
          <w:sz w:val="20"/>
          <w:szCs w:val="20"/>
        </w:rPr>
        <w:t xml:space="preserve"> </w:t>
      </w:r>
      <w:r w:rsidR="002F24E1" w:rsidRPr="00B004EE">
        <w:rPr>
          <w:rFonts w:ascii="Tahoma" w:hAnsi="Tahoma" w:cs="Tahoma"/>
          <w:sz w:val="20"/>
          <w:szCs w:val="20"/>
        </w:rPr>
        <w:t>entrant</w:t>
      </w:r>
      <w:r w:rsidR="00DB1635" w:rsidRPr="00B004EE">
        <w:rPr>
          <w:rFonts w:ascii="Tahoma" w:hAnsi="Tahoma" w:cs="Tahoma"/>
          <w:sz w:val="20"/>
          <w:szCs w:val="20"/>
        </w:rPr>
        <w:t xml:space="preserve"> </w:t>
      </w:r>
      <w:r w:rsidR="002F24E1" w:rsidRPr="00B004EE">
        <w:rPr>
          <w:rFonts w:ascii="Tahoma" w:hAnsi="Tahoma" w:cs="Tahoma"/>
          <w:sz w:val="20"/>
          <w:szCs w:val="20"/>
        </w:rPr>
        <w:t>en</w:t>
      </w:r>
      <w:r w:rsidR="00DB1635" w:rsidRPr="00B004EE">
        <w:rPr>
          <w:rFonts w:ascii="Tahoma" w:hAnsi="Tahoma" w:cs="Tahoma"/>
          <w:sz w:val="20"/>
          <w:szCs w:val="20"/>
        </w:rPr>
        <w:t xml:space="preserve"> </w:t>
      </w:r>
      <w:r w:rsidR="002F24E1" w:rsidRPr="00B004EE">
        <w:rPr>
          <w:rFonts w:ascii="Tahoma" w:hAnsi="Tahoma" w:cs="Tahoma"/>
          <w:sz w:val="20"/>
          <w:szCs w:val="20"/>
        </w:rPr>
        <w:t>contact</w:t>
      </w:r>
      <w:r w:rsidR="00DB1635" w:rsidRPr="00B004EE">
        <w:rPr>
          <w:rFonts w:ascii="Tahoma" w:hAnsi="Tahoma" w:cs="Tahoma"/>
          <w:sz w:val="20"/>
          <w:szCs w:val="20"/>
        </w:rPr>
        <w:t xml:space="preserve"> </w:t>
      </w:r>
      <w:r w:rsidR="002F24E1" w:rsidRPr="00B004EE">
        <w:rPr>
          <w:rFonts w:ascii="Tahoma" w:hAnsi="Tahoma" w:cs="Tahoma"/>
          <w:sz w:val="20"/>
          <w:szCs w:val="20"/>
        </w:rPr>
        <w:t>direct</w:t>
      </w:r>
      <w:r w:rsidR="00DB1635" w:rsidRPr="00B004EE">
        <w:rPr>
          <w:rFonts w:ascii="Tahoma" w:hAnsi="Tahoma" w:cs="Tahoma"/>
          <w:sz w:val="20"/>
          <w:szCs w:val="20"/>
        </w:rPr>
        <w:t xml:space="preserve"> </w:t>
      </w:r>
      <w:r w:rsidR="002F24E1" w:rsidRPr="00B004EE">
        <w:rPr>
          <w:rFonts w:ascii="Tahoma" w:hAnsi="Tahoma" w:cs="Tahoma"/>
          <w:sz w:val="20"/>
          <w:szCs w:val="20"/>
        </w:rPr>
        <w:t>avec</w:t>
      </w:r>
      <w:r w:rsidR="00DB1635" w:rsidRPr="00B004EE">
        <w:rPr>
          <w:rFonts w:ascii="Tahoma" w:hAnsi="Tahoma" w:cs="Tahoma"/>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2F24E1" w:rsidRPr="00B004EE">
        <w:rPr>
          <w:rFonts w:ascii="Tahoma" w:hAnsi="Tahoma" w:cs="Tahoma"/>
          <w:sz w:val="20"/>
          <w:szCs w:val="20"/>
        </w:rPr>
        <w:t>produits</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la</w:t>
      </w:r>
      <w:r w:rsidR="00DB1635" w:rsidRPr="00B004EE">
        <w:rPr>
          <w:rFonts w:ascii="Tahoma" w:hAnsi="Tahoma" w:cs="Tahoma"/>
          <w:sz w:val="20"/>
          <w:szCs w:val="20"/>
        </w:rPr>
        <w:t xml:space="preserve"> </w:t>
      </w:r>
      <w:r w:rsidR="002F24E1" w:rsidRPr="00B004EE">
        <w:rPr>
          <w:rFonts w:ascii="Tahoma" w:hAnsi="Tahoma" w:cs="Tahoma"/>
          <w:sz w:val="20"/>
          <w:szCs w:val="20"/>
        </w:rPr>
        <w:t>pêche</w:t>
      </w:r>
      <w:r w:rsidR="00DB1635" w:rsidRPr="00B004EE">
        <w:rPr>
          <w:rFonts w:ascii="Tahoma" w:hAnsi="Tahoma" w:cs="Tahoma"/>
          <w:sz w:val="20"/>
          <w:szCs w:val="20"/>
        </w:rPr>
        <w:t xml:space="preserve"> </w:t>
      </w:r>
      <w:r w:rsidR="002F24E1" w:rsidRPr="00B004EE">
        <w:rPr>
          <w:rFonts w:ascii="Tahoma" w:hAnsi="Tahoma" w:cs="Tahoma"/>
          <w:sz w:val="20"/>
          <w:szCs w:val="20"/>
        </w:rPr>
        <w:t>doivent</w:t>
      </w:r>
      <w:r w:rsidR="00DB1635" w:rsidRPr="00B004EE">
        <w:rPr>
          <w:rFonts w:ascii="Tahoma" w:hAnsi="Tahoma" w:cs="Tahoma"/>
          <w:sz w:val="20"/>
          <w:szCs w:val="20"/>
        </w:rPr>
        <w:t xml:space="preserve"> </w:t>
      </w:r>
      <w:r w:rsidR="002F24E1" w:rsidRPr="00B004EE">
        <w:rPr>
          <w:rFonts w:ascii="Tahoma" w:hAnsi="Tahoma" w:cs="Tahoma"/>
          <w:sz w:val="20"/>
          <w:szCs w:val="20"/>
        </w:rPr>
        <w:t>être</w:t>
      </w:r>
      <w:r w:rsidR="00DB1635" w:rsidRPr="00B004EE">
        <w:rPr>
          <w:rFonts w:ascii="Tahoma" w:hAnsi="Tahoma" w:cs="Tahoma"/>
          <w:sz w:val="20"/>
          <w:szCs w:val="20"/>
        </w:rPr>
        <w:t xml:space="preserve"> </w:t>
      </w:r>
      <w:r w:rsidR="002F24E1" w:rsidRPr="00B004EE">
        <w:rPr>
          <w:rFonts w:ascii="Tahoma" w:hAnsi="Tahoma" w:cs="Tahoma"/>
          <w:sz w:val="20"/>
          <w:szCs w:val="20"/>
        </w:rPr>
        <w:t>faits</w:t>
      </w:r>
      <w:r w:rsidR="00DB1635" w:rsidRPr="00B004EE">
        <w:rPr>
          <w:rFonts w:ascii="Tahoma" w:hAnsi="Tahoma" w:cs="Tahoma"/>
          <w:sz w:val="20"/>
          <w:szCs w:val="20"/>
        </w:rPr>
        <w:t xml:space="preserve"> </w:t>
      </w:r>
      <w:r w:rsidR="002F24E1" w:rsidRPr="00B004EE">
        <w:rPr>
          <w:rFonts w:ascii="Tahoma" w:hAnsi="Tahoma" w:cs="Tahoma"/>
          <w:sz w:val="20"/>
          <w:szCs w:val="20"/>
        </w:rPr>
        <w:t>aussi</w:t>
      </w:r>
      <w:r w:rsidR="00DB1635" w:rsidRPr="00B004EE">
        <w:rPr>
          <w:rFonts w:ascii="Tahoma" w:hAnsi="Tahoma" w:cs="Tahoma"/>
          <w:sz w:val="20"/>
          <w:szCs w:val="20"/>
        </w:rPr>
        <w:t xml:space="preserve"> </w:t>
      </w:r>
      <w:r w:rsidR="002F24E1" w:rsidRPr="00B004EE">
        <w:rPr>
          <w:rFonts w:ascii="Tahoma" w:hAnsi="Tahoma" w:cs="Tahoma"/>
          <w:sz w:val="20"/>
          <w:szCs w:val="20"/>
        </w:rPr>
        <w:t>souvent</w:t>
      </w:r>
      <w:r w:rsidR="00DB1635" w:rsidRPr="00B004EE">
        <w:rPr>
          <w:rFonts w:ascii="Tahoma" w:hAnsi="Tahoma" w:cs="Tahoma"/>
          <w:sz w:val="20"/>
          <w:szCs w:val="20"/>
        </w:rPr>
        <w:t xml:space="preserve"> </w:t>
      </w:r>
      <w:r w:rsidR="002F24E1" w:rsidRPr="00B004EE">
        <w:rPr>
          <w:rFonts w:ascii="Tahoma" w:hAnsi="Tahoma" w:cs="Tahoma"/>
          <w:sz w:val="20"/>
          <w:szCs w:val="20"/>
        </w:rPr>
        <w:t>que</w:t>
      </w:r>
      <w:r w:rsidR="00DB1635" w:rsidRPr="00B004EE">
        <w:rPr>
          <w:rFonts w:ascii="Tahoma" w:hAnsi="Tahoma" w:cs="Tahoma"/>
          <w:sz w:val="20"/>
          <w:szCs w:val="20"/>
        </w:rPr>
        <w:t xml:space="preserve"> </w:t>
      </w:r>
      <w:r w:rsidR="002F24E1" w:rsidRPr="00B004EE">
        <w:rPr>
          <w:rFonts w:ascii="Tahoma" w:hAnsi="Tahoma" w:cs="Tahoma"/>
          <w:sz w:val="20"/>
          <w:szCs w:val="20"/>
        </w:rPr>
        <w:t>nécessaire,</w:t>
      </w:r>
      <w:r w:rsidR="00DB1635" w:rsidRPr="00B004EE">
        <w:rPr>
          <w:rFonts w:ascii="Tahoma" w:hAnsi="Tahoma" w:cs="Tahoma"/>
          <w:sz w:val="20"/>
          <w:szCs w:val="20"/>
        </w:rPr>
        <w:t xml:space="preserve"> </w:t>
      </w:r>
      <w:r w:rsidR="002F24E1" w:rsidRPr="00B004EE">
        <w:rPr>
          <w:rFonts w:ascii="Tahoma" w:hAnsi="Tahoma" w:cs="Tahoma"/>
          <w:sz w:val="20"/>
          <w:szCs w:val="20"/>
        </w:rPr>
        <w:t>avec</w:t>
      </w:r>
      <w:r w:rsidR="00DB1635" w:rsidRPr="00B004EE">
        <w:rPr>
          <w:rFonts w:ascii="Tahoma" w:hAnsi="Tahoma" w:cs="Tahoma"/>
          <w:sz w:val="20"/>
          <w:szCs w:val="20"/>
        </w:rPr>
        <w:t xml:space="preserve"> </w:t>
      </w:r>
      <w:r w:rsidR="002F24E1" w:rsidRPr="00B004EE">
        <w:rPr>
          <w:rFonts w:ascii="Tahoma" w:hAnsi="Tahoma" w:cs="Tahoma"/>
          <w:sz w:val="20"/>
          <w:szCs w:val="20"/>
        </w:rPr>
        <w:t>une</w:t>
      </w:r>
      <w:r w:rsidR="00DB1635" w:rsidRPr="00B004EE">
        <w:rPr>
          <w:rFonts w:ascii="Tahoma" w:hAnsi="Tahoma" w:cs="Tahoma"/>
          <w:sz w:val="20"/>
          <w:szCs w:val="20"/>
        </w:rPr>
        <w:t xml:space="preserve"> </w:t>
      </w:r>
      <w:r w:rsidR="002F24E1" w:rsidRPr="00B004EE">
        <w:rPr>
          <w:rFonts w:ascii="Tahoma" w:hAnsi="Tahoma" w:cs="Tahoma"/>
          <w:sz w:val="20"/>
          <w:szCs w:val="20"/>
        </w:rPr>
        <w:t>eau</w:t>
      </w:r>
      <w:r w:rsidR="00DB1635" w:rsidRPr="00B004EE">
        <w:rPr>
          <w:rFonts w:ascii="Tahoma" w:hAnsi="Tahoma" w:cs="Tahoma"/>
          <w:sz w:val="20"/>
          <w:szCs w:val="20"/>
        </w:rPr>
        <w:t xml:space="preserve"> </w:t>
      </w:r>
      <w:r w:rsidR="002F24E1" w:rsidRPr="00B004EE">
        <w:rPr>
          <w:rFonts w:ascii="Tahoma" w:hAnsi="Tahoma" w:cs="Tahoma"/>
          <w:sz w:val="20"/>
          <w:szCs w:val="20"/>
        </w:rPr>
        <w:t>potable</w:t>
      </w:r>
      <w:r w:rsidR="00DB1635" w:rsidRPr="00B004EE">
        <w:rPr>
          <w:rFonts w:ascii="Tahoma" w:hAnsi="Tahoma" w:cs="Tahoma"/>
          <w:sz w:val="20"/>
          <w:szCs w:val="20"/>
        </w:rPr>
        <w:t xml:space="preserve"> </w:t>
      </w:r>
      <w:r w:rsidR="002F24E1" w:rsidRPr="00B004EE">
        <w:rPr>
          <w:rFonts w:ascii="Tahoma" w:hAnsi="Tahoma" w:cs="Tahoma"/>
          <w:sz w:val="20"/>
          <w:szCs w:val="20"/>
        </w:rPr>
        <w:t>ou</w:t>
      </w:r>
      <w:r w:rsidR="00DB1635" w:rsidRPr="00B004EE">
        <w:rPr>
          <w:rFonts w:ascii="Tahoma" w:hAnsi="Tahoma" w:cs="Tahoma"/>
          <w:sz w:val="20"/>
          <w:szCs w:val="20"/>
        </w:rPr>
        <w:t xml:space="preserve"> </w:t>
      </w:r>
      <w:r w:rsidR="002F24E1" w:rsidRPr="00B004EE">
        <w:rPr>
          <w:rFonts w:ascii="Tahoma" w:hAnsi="Tahoma" w:cs="Tahoma"/>
          <w:sz w:val="20"/>
          <w:szCs w:val="20"/>
        </w:rPr>
        <w:t>une</w:t>
      </w:r>
      <w:r w:rsidR="00DB1635" w:rsidRPr="00B004EE">
        <w:rPr>
          <w:rFonts w:ascii="Tahoma" w:hAnsi="Tahoma" w:cs="Tahoma"/>
          <w:sz w:val="20"/>
          <w:szCs w:val="20"/>
        </w:rPr>
        <w:t xml:space="preserve"> </w:t>
      </w:r>
      <w:r w:rsidR="002F24E1" w:rsidRPr="00B004EE">
        <w:rPr>
          <w:rFonts w:ascii="Tahoma" w:hAnsi="Tahoma" w:cs="Tahoma"/>
          <w:sz w:val="20"/>
          <w:szCs w:val="20"/>
        </w:rPr>
        <w:t>eau</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mer</w:t>
      </w:r>
      <w:r w:rsidR="00DB1635" w:rsidRPr="00B004EE">
        <w:rPr>
          <w:rFonts w:ascii="Tahoma" w:hAnsi="Tahoma" w:cs="Tahoma"/>
          <w:sz w:val="20"/>
          <w:szCs w:val="20"/>
        </w:rPr>
        <w:t xml:space="preserve"> </w:t>
      </w:r>
      <w:r w:rsidR="002F24E1" w:rsidRPr="00B004EE">
        <w:rPr>
          <w:rFonts w:ascii="Tahoma" w:hAnsi="Tahoma" w:cs="Tahoma"/>
          <w:sz w:val="20"/>
          <w:szCs w:val="20"/>
        </w:rPr>
        <w:t>propre.</w:t>
      </w:r>
      <w:r w:rsidR="00DB1635" w:rsidRPr="00B004EE">
        <w:rPr>
          <w:rFonts w:ascii="Tahoma" w:hAnsi="Tahoma" w:cs="Tahoma"/>
          <w:sz w:val="20"/>
          <w:szCs w:val="20"/>
        </w:rPr>
        <w:t xml:space="preserve"> </w:t>
      </w:r>
      <w:r w:rsidR="002F24E1" w:rsidRPr="00B004EE">
        <w:rPr>
          <w:rFonts w:ascii="Tahoma" w:hAnsi="Tahoma" w:cs="Tahoma"/>
          <w:sz w:val="20"/>
          <w:szCs w:val="20"/>
        </w:rPr>
        <w:t>La</w:t>
      </w:r>
      <w:r w:rsidR="00DB1635" w:rsidRPr="00B004EE">
        <w:rPr>
          <w:rFonts w:ascii="Tahoma" w:hAnsi="Tahoma" w:cs="Tahoma"/>
          <w:sz w:val="20"/>
          <w:szCs w:val="20"/>
        </w:rPr>
        <w:t xml:space="preserve"> </w:t>
      </w:r>
      <w:r w:rsidR="002F24E1" w:rsidRPr="00B004EE">
        <w:rPr>
          <w:rFonts w:ascii="Tahoma" w:hAnsi="Tahoma" w:cs="Tahoma"/>
          <w:sz w:val="20"/>
          <w:szCs w:val="20"/>
        </w:rPr>
        <w:t>désinfection</w:t>
      </w:r>
      <w:r w:rsidR="00DB1635" w:rsidRPr="00B004EE">
        <w:rPr>
          <w:rFonts w:ascii="Tahoma" w:hAnsi="Tahoma" w:cs="Tahoma"/>
          <w:sz w:val="20"/>
          <w:szCs w:val="20"/>
        </w:rPr>
        <w:t xml:space="preserve"> </w:t>
      </w:r>
      <w:r w:rsidR="002F24E1" w:rsidRPr="00B004EE">
        <w:rPr>
          <w:rFonts w:ascii="Tahoma" w:hAnsi="Tahoma" w:cs="Tahoma"/>
          <w:sz w:val="20"/>
          <w:szCs w:val="20"/>
        </w:rPr>
        <w:t>doit</w:t>
      </w:r>
      <w:r w:rsidR="00DB1635" w:rsidRPr="00B004EE">
        <w:rPr>
          <w:rFonts w:ascii="Tahoma" w:hAnsi="Tahoma" w:cs="Tahoma"/>
          <w:sz w:val="20"/>
          <w:szCs w:val="20"/>
        </w:rPr>
        <w:t xml:space="preserve"> </w:t>
      </w:r>
      <w:r w:rsidR="002F24E1" w:rsidRPr="00B004EE">
        <w:rPr>
          <w:rFonts w:ascii="Tahoma" w:hAnsi="Tahoma" w:cs="Tahoma"/>
          <w:sz w:val="20"/>
          <w:szCs w:val="20"/>
        </w:rPr>
        <w:t>être</w:t>
      </w:r>
      <w:r w:rsidR="00DB1635" w:rsidRPr="00B004EE">
        <w:rPr>
          <w:rFonts w:ascii="Tahoma" w:hAnsi="Tahoma" w:cs="Tahoma"/>
          <w:sz w:val="20"/>
          <w:szCs w:val="20"/>
        </w:rPr>
        <w:t xml:space="preserve"> </w:t>
      </w:r>
      <w:r w:rsidR="002F24E1" w:rsidRPr="00B004EE">
        <w:rPr>
          <w:rFonts w:ascii="Tahoma" w:hAnsi="Tahoma" w:cs="Tahoma"/>
          <w:sz w:val="20"/>
          <w:szCs w:val="20"/>
        </w:rPr>
        <w:t>réalisée</w:t>
      </w:r>
      <w:r w:rsidR="00DB1635" w:rsidRPr="00B004EE">
        <w:rPr>
          <w:rFonts w:ascii="Tahoma" w:hAnsi="Tahoma" w:cs="Tahoma"/>
          <w:sz w:val="20"/>
          <w:szCs w:val="20"/>
        </w:rPr>
        <w:t xml:space="preserve"> </w:t>
      </w:r>
      <w:r w:rsidR="002F24E1" w:rsidRPr="00B004EE">
        <w:rPr>
          <w:rFonts w:ascii="Tahoma" w:hAnsi="Tahoma" w:cs="Tahoma"/>
          <w:sz w:val="20"/>
          <w:szCs w:val="20"/>
        </w:rPr>
        <w:t>conformément</w:t>
      </w:r>
      <w:r w:rsidR="00DB1635" w:rsidRPr="00B004EE">
        <w:rPr>
          <w:rFonts w:ascii="Tahoma" w:hAnsi="Tahoma" w:cs="Tahoma"/>
          <w:sz w:val="20"/>
          <w:szCs w:val="20"/>
        </w:rPr>
        <w:t xml:space="preserve"> </w:t>
      </w:r>
      <w:r w:rsidR="002F24E1" w:rsidRPr="00B004EE">
        <w:rPr>
          <w:rFonts w:ascii="Tahoma" w:hAnsi="Tahoma" w:cs="Tahoma"/>
          <w:sz w:val="20"/>
          <w:szCs w:val="20"/>
        </w:rPr>
        <w:t>aux</w:t>
      </w:r>
      <w:r w:rsidR="00DB1635" w:rsidRPr="00B004EE">
        <w:rPr>
          <w:rFonts w:ascii="Tahoma" w:hAnsi="Tahoma" w:cs="Tahoma"/>
          <w:sz w:val="20"/>
          <w:szCs w:val="20"/>
        </w:rPr>
        <w:t xml:space="preserve"> </w:t>
      </w:r>
      <w:r w:rsidR="002F24E1" w:rsidRPr="00B004EE">
        <w:rPr>
          <w:rFonts w:ascii="Tahoma" w:hAnsi="Tahoma" w:cs="Tahoma"/>
          <w:sz w:val="20"/>
          <w:szCs w:val="20"/>
        </w:rPr>
        <w:t>bonnes</w:t>
      </w:r>
      <w:r w:rsidR="00DB1635" w:rsidRPr="00B004EE">
        <w:rPr>
          <w:rFonts w:ascii="Tahoma" w:hAnsi="Tahoma" w:cs="Tahoma"/>
          <w:sz w:val="20"/>
          <w:szCs w:val="20"/>
        </w:rPr>
        <w:t xml:space="preserve"> </w:t>
      </w:r>
      <w:r w:rsidR="002F24E1" w:rsidRPr="00B004EE">
        <w:rPr>
          <w:rFonts w:ascii="Tahoma" w:hAnsi="Tahoma" w:cs="Tahoma"/>
          <w:sz w:val="20"/>
          <w:szCs w:val="20"/>
        </w:rPr>
        <w:t>pratiques</w:t>
      </w:r>
      <w:r w:rsidR="00DB1635" w:rsidRPr="00B004EE">
        <w:rPr>
          <w:rFonts w:ascii="Tahoma" w:hAnsi="Tahoma" w:cs="Tahoma"/>
          <w:sz w:val="20"/>
          <w:szCs w:val="20"/>
        </w:rPr>
        <w:t xml:space="preserve"> </w:t>
      </w:r>
      <w:r w:rsidR="002F24E1" w:rsidRPr="00B004EE">
        <w:rPr>
          <w:rFonts w:ascii="Tahoma" w:hAnsi="Tahoma" w:cs="Tahoma"/>
          <w:sz w:val="20"/>
          <w:szCs w:val="20"/>
        </w:rPr>
        <w:t>d'hygiène</w:t>
      </w:r>
      <w:r w:rsidR="00DB1635" w:rsidRPr="00B004EE">
        <w:rPr>
          <w:rFonts w:ascii="Tahoma" w:hAnsi="Tahoma" w:cs="Tahoma"/>
          <w:sz w:val="20"/>
          <w:szCs w:val="20"/>
        </w:rPr>
        <w:t xml:space="preserve"> </w:t>
      </w:r>
      <w:r w:rsidR="002F24E1" w:rsidRPr="00B004EE">
        <w:rPr>
          <w:rFonts w:ascii="Tahoma" w:hAnsi="Tahoma" w:cs="Tahoma"/>
          <w:sz w:val="20"/>
          <w:szCs w:val="20"/>
        </w:rPr>
        <w:t>en</w:t>
      </w:r>
      <w:r w:rsidR="00DB1635" w:rsidRPr="00B004EE">
        <w:rPr>
          <w:rFonts w:ascii="Tahoma" w:hAnsi="Tahoma" w:cs="Tahoma"/>
          <w:sz w:val="20"/>
          <w:szCs w:val="20"/>
        </w:rPr>
        <w:t xml:space="preserve"> </w:t>
      </w:r>
      <w:r w:rsidR="002F24E1" w:rsidRPr="00B004EE">
        <w:rPr>
          <w:rFonts w:ascii="Tahoma" w:hAnsi="Tahoma" w:cs="Tahoma"/>
          <w:sz w:val="20"/>
          <w:szCs w:val="20"/>
        </w:rPr>
        <w:t>vigueur.</w:t>
      </w:r>
    </w:p>
    <w:p w14:paraId="36E57FAD" w14:textId="77777777" w:rsidR="002F24E1" w:rsidRPr="00B004EE" w:rsidRDefault="002F24E1" w:rsidP="00B004EE">
      <w:pPr>
        <w:jc w:val="both"/>
        <w:rPr>
          <w:rFonts w:ascii="Tahoma" w:hAnsi="Tahoma" w:cs="Tahoma"/>
          <w:sz w:val="20"/>
          <w:szCs w:val="20"/>
        </w:rPr>
      </w:pPr>
    </w:p>
    <w:p w14:paraId="1D5FEA24" w14:textId="12498DE1" w:rsidR="002F24E1" w:rsidRPr="00B004EE" w:rsidRDefault="00ED050B" w:rsidP="00B004EE">
      <w:pPr>
        <w:jc w:val="center"/>
        <w:rPr>
          <w:rFonts w:ascii="Tahoma" w:hAnsi="Tahoma" w:cs="Tahoma"/>
          <w:sz w:val="20"/>
          <w:szCs w:val="20"/>
        </w:rPr>
      </w:pPr>
      <w:r w:rsidRPr="00B004EE">
        <w:rPr>
          <w:rFonts w:ascii="Tahoma" w:hAnsi="Tahoma" w:cs="Tahoma"/>
          <w:b/>
          <w:sz w:val="20"/>
          <w:szCs w:val="20"/>
        </w:rPr>
        <w:t>SECTION</w:t>
      </w:r>
      <w:r w:rsidR="00DB1635" w:rsidRPr="00B004EE">
        <w:rPr>
          <w:rFonts w:ascii="Tahoma" w:hAnsi="Tahoma" w:cs="Tahoma"/>
          <w:b/>
          <w:sz w:val="20"/>
          <w:szCs w:val="20"/>
        </w:rPr>
        <w:t xml:space="preserve"> </w:t>
      </w:r>
      <w:r w:rsidRPr="00B004EE">
        <w:rPr>
          <w:rFonts w:ascii="Tahoma" w:hAnsi="Tahoma" w:cs="Tahoma"/>
          <w:b/>
          <w:sz w:val="20"/>
          <w:szCs w:val="20"/>
        </w:rPr>
        <w:t>II</w:t>
      </w:r>
      <w:r w:rsidR="00DB1635" w:rsidRPr="00B004EE">
        <w:rPr>
          <w:rFonts w:ascii="Tahoma" w:hAnsi="Tahoma" w:cs="Tahoma"/>
          <w:b/>
          <w:sz w:val="20"/>
          <w:szCs w:val="20"/>
        </w:rPr>
        <w:t xml:space="preserve"> </w:t>
      </w:r>
      <w:r w:rsidRPr="00B004EE">
        <w:rPr>
          <w:rFonts w:ascii="Tahoma" w:hAnsi="Tahoma" w:cs="Tahoma"/>
          <w:b/>
          <w:sz w:val="20"/>
          <w:szCs w:val="20"/>
        </w:rPr>
        <w:t>:</w:t>
      </w:r>
      <w:r w:rsidR="00DB1635" w:rsidRPr="00B004EE">
        <w:rPr>
          <w:rFonts w:ascii="Tahoma" w:hAnsi="Tahoma" w:cs="Tahoma"/>
          <w:b/>
          <w:sz w:val="20"/>
          <w:szCs w:val="20"/>
        </w:rPr>
        <w:t xml:space="preserve"> </w:t>
      </w:r>
      <w:r w:rsidR="002F24E1" w:rsidRPr="00B004EE">
        <w:rPr>
          <w:rFonts w:ascii="Tahoma" w:hAnsi="Tahoma" w:cs="Tahoma"/>
          <w:b/>
          <w:sz w:val="20"/>
          <w:szCs w:val="20"/>
        </w:rPr>
        <w:t>PERSONNEL</w:t>
      </w:r>
      <w:r w:rsidR="00DB1635" w:rsidRPr="00B004EE">
        <w:rPr>
          <w:rFonts w:ascii="Tahoma" w:hAnsi="Tahoma" w:cs="Tahoma"/>
          <w:b/>
          <w:sz w:val="20"/>
          <w:szCs w:val="20"/>
        </w:rPr>
        <w:t xml:space="preserve"> </w:t>
      </w:r>
      <w:r w:rsidR="002F24E1" w:rsidRPr="00B004EE">
        <w:rPr>
          <w:rFonts w:ascii="Tahoma" w:hAnsi="Tahoma" w:cs="Tahoma"/>
          <w:b/>
          <w:sz w:val="20"/>
          <w:szCs w:val="20"/>
        </w:rPr>
        <w:t>ET</w:t>
      </w:r>
      <w:r w:rsidR="00DB1635" w:rsidRPr="00B004EE">
        <w:rPr>
          <w:rFonts w:ascii="Tahoma" w:hAnsi="Tahoma" w:cs="Tahoma"/>
          <w:b/>
          <w:sz w:val="20"/>
          <w:szCs w:val="20"/>
        </w:rPr>
        <w:t xml:space="preserve"> </w:t>
      </w:r>
      <w:r w:rsidR="002F24E1" w:rsidRPr="00B004EE">
        <w:rPr>
          <w:rFonts w:ascii="Tahoma" w:hAnsi="Tahoma" w:cs="Tahoma"/>
          <w:b/>
          <w:sz w:val="20"/>
          <w:szCs w:val="20"/>
        </w:rPr>
        <w:t>MANIPULATION</w:t>
      </w:r>
    </w:p>
    <w:p w14:paraId="03A615D6" w14:textId="77777777" w:rsidR="002F24E1" w:rsidRPr="00B004EE" w:rsidRDefault="002F24E1" w:rsidP="00B004EE">
      <w:pPr>
        <w:jc w:val="both"/>
        <w:rPr>
          <w:rFonts w:ascii="Tahoma" w:hAnsi="Tahoma" w:cs="Tahoma"/>
          <w:b/>
          <w:sz w:val="20"/>
          <w:szCs w:val="20"/>
        </w:rPr>
      </w:pPr>
    </w:p>
    <w:p w14:paraId="15A07369" w14:textId="5DB9037E" w:rsidR="002F24E1" w:rsidRPr="00B004EE" w:rsidRDefault="00AD7D88" w:rsidP="00B004EE">
      <w:pPr>
        <w:jc w:val="both"/>
        <w:rPr>
          <w:rFonts w:ascii="Tahoma" w:hAnsi="Tahoma" w:cs="Tahoma"/>
          <w:sz w:val="20"/>
          <w:szCs w:val="20"/>
        </w:rPr>
      </w:pPr>
      <w:r w:rsidRPr="00B004EE">
        <w:rPr>
          <w:rFonts w:ascii="Tahoma" w:hAnsi="Tahoma" w:cs="Tahoma"/>
          <w:bCs/>
          <w:sz w:val="20"/>
          <w:szCs w:val="20"/>
        </w:rPr>
        <w:t xml:space="preserve">Article </w:t>
      </w:r>
      <w:r w:rsidR="002F24E1" w:rsidRPr="00B004EE">
        <w:rPr>
          <w:rFonts w:ascii="Tahoma" w:hAnsi="Tahoma" w:cs="Tahoma"/>
          <w:bCs/>
          <w:sz w:val="20"/>
          <w:szCs w:val="20"/>
        </w:rPr>
        <w:t>7</w:t>
      </w:r>
      <w:r w:rsidR="00DB1635" w:rsidRPr="00B004EE">
        <w:rPr>
          <w:rFonts w:ascii="Tahoma" w:hAnsi="Tahoma" w:cs="Tahoma"/>
          <w:bCs/>
          <w:sz w:val="20"/>
          <w:szCs w:val="20"/>
        </w:rPr>
        <w:t xml:space="preserve"> </w:t>
      </w:r>
      <w:r w:rsidR="002F24E1" w:rsidRPr="00B004EE">
        <w:rPr>
          <w:rFonts w:ascii="Tahoma" w:hAnsi="Tahoma" w:cs="Tahoma"/>
          <w:bCs/>
          <w:sz w:val="20"/>
          <w:szCs w:val="20"/>
        </w:rPr>
        <w:t>:</w:t>
      </w:r>
      <w:r w:rsidR="00DB1635" w:rsidRPr="00B004EE">
        <w:rPr>
          <w:rFonts w:ascii="Tahoma" w:hAnsi="Tahoma" w:cs="Tahoma"/>
          <w:b/>
          <w:sz w:val="20"/>
          <w:szCs w:val="20"/>
        </w:rPr>
        <w:t xml:space="preserve"> </w:t>
      </w:r>
      <w:r w:rsidR="002F24E1" w:rsidRPr="00B004EE">
        <w:rPr>
          <w:rFonts w:ascii="Tahoma" w:hAnsi="Tahoma" w:cs="Tahoma"/>
          <w:sz w:val="20"/>
          <w:szCs w:val="20"/>
        </w:rPr>
        <w:t>Le</w:t>
      </w:r>
      <w:r w:rsidR="00DB1635" w:rsidRPr="00B004EE">
        <w:rPr>
          <w:rFonts w:ascii="Tahoma" w:hAnsi="Tahoma" w:cs="Tahoma"/>
          <w:sz w:val="20"/>
          <w:szCs w:val="20"/>
        </w:rPr>
        <w:t xml:space="preserve"> </w:t>
      </w:r>
      <w:r w:rsidR="002F24E1" w:rsidRPr="00B004EE">
        <w:rPr>
          <w:rFonts w:ascii="Tahoma" w:hAnsi="Tahoma" w:cs="Tahoma"/>
          <w:sz w:val="20"/>
          <w:szCs w:val="20"/>
        </w:rPr>
        <w:t>plus</w:t>
      </w:r>
      <w:r w:rsidR="00DB1635" w:rsidRPr="00B004EE">
        <w:rPr>
          <w:rFonts w:ascii="Tahoma" w:hAnsi="Tahoma" w:cs="Tahoma"/>
          <w:sz w:val="20"/>
          <w:szCs w:val="20"/>
        </w:rPr>
        <w:t xml:space="preserve"> </w:t>
      </w:r>
      <w:r w:rsidR="002F24E1" w:rsidRPr="00B004EE">
        <w:rPr>
          <w:rFonts w:ascii="Tahoma" w:hAnsi="Tahoma" w:cs="Tahoma"/>
          <w:sz w:val="20"/>
          <w:szCs w:val="20"/>
        </w:rPr>
        <w:t>rapidement</w:t>
      </w:r>
      <w:r w:rsidR="00DB1635" w:rsidRPr="00B004EE">
        <w:rPr>
          <w:rFonts w:ascii="Tahoma" w:hAnsi="Tahoma" w:cs="Tahoma"/>
          <w:sz w:val="20"/>
          <w:szCs w:val="20"/>
        </w:rPr>
        <w:t xml:space="preserve"> </w:t>
      </w:r>
      <w:r w:rsidR="002F24E1" w:rsidRPr="00B004EE">
        <w:rPr>
          <w:rFonts w:ascii="Tahoma" w:hAnsi="Tahoma" w:cs="Tahoma"/>
          <w:sz w:val="20"/>
          <w:szCs w:val="20"/>
        </w:rPr>
        <w:t>possible</w:t>
      </w:r>
      <w:r w:rsidR="00DB1635" w:rsidRPr="00B004EE">
        <w:rPr>
          <w:rFonts w:ascii="Tahoma" w:hAnsi="Tahoma" w:cs="Tahoma"/>
          <w:sz w:val="20"/>
          <w:szCs w:val="20"/>
        </w:rPr>
        <w:t xml:space="preserve"> </w:t>
      </w:r>
      <w:r w:rsidR="002F24E1" w:rsidRPr="00B004EE">
        <w:rPr>
          <w:rFonts w:ascii="Tahoma" w:hAnsi="Tahoma" w:cs="Tahoma"/>
          <w:sz w:val="20"/>
          <w:szCs w:val="20"/>
        </w:rPr>
        <w:t>après</w:t>
      </w:r>
      <w:r w:rsidR="00DB1635" w:rsidRPr="00B004EE">
        <w:rPr>
          <w:rFonts w:ascii="Tahoma" w:hAnsi="Tahoma" w:cs="Tahoma"/>
          <w:sz w:val="20"/>
          <w:szCs w:val="20"/>
        </w:rPr>
        <w:t xml:space="preserve"> </w:t>
      </w:r>
      <w:r w:rsidR="002F24E1" w:rsidRPr="00B004EE">
        <w:rPr>
          <w:rFonts w:ascii="Tahoma" w:hAnsi="Tahoma" w:cs="Tahoma"/>
          <w:sz w:val="20"/>
          <w:szCs w:val="20"/>
        </w:rPr>
        <w:t>leur</w:t>
      </w:r>
      <w:r w:rsidR="00DB1635" w:rsidRPr="00B004EE">
        <w:rPr>
          <w:rFonts w:ascii="Tahoma" w:hAnsi="Tahoma" w:cs="Tahoma"/>
          <w:sz w:val="20"/>
          <w:szCs w:val="20"/>
        </w:rPr>
        <w:t xml:space="preserve"> </w:t>
      </w:r>
      <w:r w:rsidR="002F24E1" w:rsidRPr="00B004EE">
        <w:rPr>
          <w:rFonts w:ascii="Tahoma" w:hAnsi="Tahoma" w:cs="Tahoma"/>
          <w:sz w:val="20"/>
          <w:szCs w:val="20"/>
        </w:rPr>
        <w:t>mise</w:t>
      </w:r>
      <w:r w:rsidR="00DB1635" w:rsidRPr="00B004EE">
        <w:rPr>
          <w:rFonts w:ascii="Tahoma" w:hAnsi="Tahoma" w:cs="Tahoma"/>
          <w:sz w:val="20"/>
          <w:szCs w:val="20"/>
        </w:rPr>
        <w:t xml:space="preserve"> </w:t>
      </w:r>
      <w:r w:rsidR="002F24E1" w:rsidRPr="00B004EE">
        <w:rPr>
          <w:rFonts w:ascii="Tahoma" w:hAnsi="Tahoma" w:cs="Tahoma"/>
          <w:sz w:val="20"/>
          <w:szCs w:val="20"/>
        </w:rPr>
        <w:t>à</w:t>
      </w:r>
      <w:r w:rsidR="00DB1635" w:rsidRPr="00B004EE">
        <w:rPr>
          <w:rFonts w:ascii="Tahoma" w:hAnsi="Tahoma" w:cs="Tahoma"/>
          <w:sz w:val="20"/>
          <w:szCs w:val="20"/>
        </w:rPr>
        <w:t xml:space="preserve"> </w:t>
      </w:r>
      <w:r w:rsidR="002F24E1" w:rsidRPr="00B004EE">
        <w:rPr>
          <w:rFonts w:ascii="Tahoma" w:hAnsi="Tahoma" w:cs="Tahoma"/>
          <w:sz w:val="20"/>
          <w:szCs w:val="20"/>
        </w:rPr>
        <w:t>bord,</w:t>
      </w:r>
      <w:r w:rsidR="00DB1635" w:rsidRPr="00B004EE">
        <w:rPr>
          <w:rFonts w:ascii="Tahoma" w:hAnsi="Tahoma" w:cs="Tahoma"/>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2F24E1" w:rsidRPr="00B004EE">
        <w:rPr>
          <w:rFonts w:ascii="Tahoma" w:hAnsi="Tahoma" w:cs="Tahoma"/>
          <w:sz w:val="20"/>
          <w:szCs w:val="20"/>
        </w:rPr>
        <w:t>produits</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la</w:t>
      </w:r>
      <w:r w:rsidR="00DB1635" w:rsidRPr="00B004EE">
        <w:rPr>
          <w:rFonts w:ascii="Tahoma" w:hAnsi="Tahoma" w:cs="Tahoma"/>
          <w:sz w:val="20"/>
          <w:szCs w:val="20"/>
        </w:rPr>
        <w:t xml:space="preserve"> </w:t>
      </w:r>
      <w:r w:rsidR="002F24E1" w:rsidRPr="00B004EE">
        <w:rPr>
          <w:rFonts w:ascii="Tahoma" w:hAnsi="Tahoma" w:cs="Tahoma"/>
          <w:sz w:val="20"/>
          <w:szCs w:val="20"/>
        </w:rPr>
        <w:t>pêche</w:t>
      </w:r>
      <w:r w:rsidR="00DB1635" w:rsidRPr="00B004EE">
        <w:rPr>
          <w:rFonts w:ascii="Tahoma" w:hAnsi="Tahoma" w:cs="Tahoma"/>
          <w:sz w:val="20"/>
          <w:szCs w:val="20"/>
        </w:rPr>
        <w:t xml:space="preserve"> </w:t>
      </w:r>
      <w:r w:rsidR="002F24E1" w:rsidRPr="00B004EE">
        <w:rPr>
          <w:rFonts w:ascii="Tahoma" w:hAnsi="Tahoma" w:cs="Tahoma"/>
          <w:sz w:val="20"/>
          <w:szCs w:val="20"/>
        </w:rPr>
        <w:t>doivent</w:t>
      </w:r>
      <w:r w:rsidR="00DB1635" w:rsidRPr="00B004EE">
        <w:rPr>
          <w:rFonts w:ascii="Tahoma" w:hAnsi="Tahoma" w:cs="Tahoma"/>
          <w:sz w:val="20"/>
          <w:szCs w:val="20"/>
        </w:rPr>
        <w:t xml:space="preserve"> </w:t>
      </w:r>
      <w:r w:rsidR="002F24E1" w:rsidRPr="00B004EE">
        <w:rPr>
          <w:rFonts w:ascii="Tahoma" w:hAnsi="Tahoma" w:cs="Tahoma"/>
          <w:sz w:val="20"/>
          <w:szCs w:val="20"/>
        </w:rPr>
        <w:t>être</w:t>
      </w:r>
      <w:r w:rsidR="00DB1635" w:rsidRPr="00B004EE">
        <w:rPr>
          <w:rFonts w:ascii="Tahoma" w:hAnsi="Tahoma" w:cs="Tahoma"/>
          <w:sz w:val="20"/>
          <w:szCs w:val="20"/>
        </w:rPr>
        <w:t xml:space="preserve"> </w:t>
      </w:r>
      <w:r w:rsidR="002F24E1" w:rsidRPr="00B004EE">
        <w:rPr>
          <w:rFonts w:ascii="Tahoma" w:hAnsi="Tahoma" w:cs="Tahoma"/>
          <w:sz w:val="20"/>
          <w:szCs w:val="20"/>
        </w:rPr>
        <w:t>soustraits</w:t>
      </w:r>
      <w:r w:rsidR="00DB1635" w:rsidRPr="00B004EE">
        <w:rPr>
          <w:rFonts w:ascii="Tahoma" w:hAnsi="Tahoma" w:cs="Tahoma"/>
          <w:sz w:val="20"/>
          <w:szCs w:val="20"/>
        </w:rPr>
        <w:t xml:space="preserve"> </w:t>
      </w:r>
      <w:r w:rsidR="002F24E1" w:rsidRPr="00B004EE">
        <w:rPr>
          <w:rFonts w:ascii="Tahoma" w:hAnsi="Tahoma" w:cs="Tahoma"/>
          <w:sz w:val="20"/>
          <w:szCs w:val="20"/>
        </w:rPr>
        <w:t>à</w:t>
      </w:r>
      <w:r w:rsidR="00DB1635" w:rsidRPr="00B004EE">
        <w:rPr>
          <w:rFonts w:ascii="Tahoma" w:hAnsi="Tahoma" w:cs="Tahoma"/>
          <w:sz w:val="20"/>
          <w:szCs w:val="20"/>
        </w:rPr>
        <w:t xml:space="preserve"> </w:t>
      </w:r>
      <w:r w:rsidR="002F24E1" w:rsidRPr="00B004EE">
        <w:rPr>
          <w:rFonts w:ascii="Tahoma" w:hAnsi="Tahoma" w:cs="Tahoma"/>
          <w:sz w:val="20"/>
          <w:szCs w:val="20"/>
        </w:rPr>
        <w:t>l'action</w:t>
      </w:r>
      <w:r w:rsidR="00DB1635" w:rsidRPr="00B004EE">
        <w:rPr>
          <w:rFonts w:ascii="Tahoma" w:hAnsi="Tahoma" w:cs="Tahoma"/>
          <w:sz w:val="20"/>
          <w:szCs w:val="20"/>
        </w:rPr>
        <w:t xml:space="preserve"> </w:t>
      </w:r>
      <w:r w:rsidR="002F24E1" w:rsidRPr="00B004EE">
        <w:rPr>
          <w:rFonts w:ascii="Tahoma" w:hAnsi="Tahoma" w:cs="Tahoma"/>
          <w:sz w:val="20"/>
          <w:szCs w:val="20"/>
        </w:rPr>
        <w:t>du</w:t>
      </w:r>
      <w:r w:rsidR="00DB1635" w:rsidRPr="00B004EE">
        <w:rPr>
          <w:rFonts w:ascii="Tahoma" w:hAnsi="Tahoma" w:cs="Tahoma"/>
          <w:sz w:val="20"/>
          <w:szCs w:val="20"/>
        </w:rPr>
        <w:t xml:space="preserve"> </w:t>
      </w:r>
      <w:r w:rsidR="002F24E1" w:rsidRPr="00B004EE">
        <w:rPr>
          <w:rFonts w:ascii="Tahoma" w:hAnsi="Tahoma" w:cs="Tahoma"/>
          <w:sz w:val="20"/>
          <w:szCs w:val="20"/>
        </w:rPr>
        <w:t>soleil</w:t>
      </w:r>
      <w:r w:rsidR="00DB1635" w:rsidRPr="00B004EE">
        <w:rPr>
          <w:rFonts w:ascii="Tahoma" w:hAnsi="Tahoma" w:cs="Tahoma"/>
          <w:sz w:val="20"/>
          <w:szCs w:val="20"/>
        </w:rPr>
        <w:t xml:space="preserve"> </w:t>
      </w:r>
      <w:r w:rsidR="002F24E1" w:rsidRPr="00B004EE">
        <w:rPr>
          <w:rFonts w:ascii="Tahoma" w:hAnsi="Tahoma" w:cs="Tahoma"/>
          <w:sz w:val="20"/>
          <w:szCs w:val="20"/>
        </w:rPr>
        <w:t>ou</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toute</w:t>
      </w:r>
      <w:r w:rsidR="00DB1635" w:rsidRPr="00B004EE">
        <w:rPr>
          <w:rFonts w:ascii="Tahoma" w:hAnsi="Tahoma" w:cs="Tahoma"/>
          <w:sz w:val="20"/>
          <w:szCs w:val="20"/>
        </w:rPr>
        <w:t xml:space="preserve"> </w:t>
      </w:r>
      <w:r w:rsidR="002F24E1" w:rsidRPr="00B004EE">
        <w:rPr>
          <w:rFonts w:ascii="Tahoma" w:hAnsi="Tahoma" w:cs="Tahoma"/>
          <w:sz w:val="20"/>
          <w:szCs w:val="20"/>
        </w:rPr>
        <w:t>autre</w:t>
      </w:r>
      <w:r w:rsidR="00DB1635" w:rsidRPr="00B004EE">
        <w:rPr>
          <w:rFonts w:ascii="Tahoma" w:hAnsi="Tahoma" w:cs="Tahoma"/>
          <w:sz w:val="20"/>
          <w:szCs w:val="20"/>
        </w:rPr>
        <w:t xml:space="preserve"> </w:t>
      </w:r>
      <w:r w:rsidR="002F24E1" w:rsidRPr="00B004EE">
        <w:rPr>
          <w:rFonts w:ascii="Tahoma" w:hAnsi="Tahoma" w:cs="Tahoma"/>
          <w:sz w:val="20"/>
          <w:szCs w:val="20"/>
        </w:rPr>
        <w:t>source</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chaleur</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souillure,</w:t>
      </w:r>
      <w:r w:rsidR="00DB1635" w:rsidRPr="00B004EE">
        <w:rPr>
          <w:rFonts w:ascii="Tahoma" w:hAnsi="Tahoma" w:cs="Tahoma"/>
          <w:sz w:val="20"/>
          <w:szCs w:val="20"/>
        </w:rPr>
        <w:t xml:space="preserve"> </w:t>
      </w:r>
      <w:r w:rsidR="002F24E1" w:rsidRPr="00B004EE">
        <w:rPr>
          <w:rFonts w:ascii="Tahoma" w:hAnsi="Tahoma" w:cs="Tahoma"/>
          <w:sz w:val="20"/>
          <w:szCs w:val="20"/>
        </w:rPr>
        <w:t>manipulés</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conservés</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façon</w:t>
      </w:r>
      <w:r w:rsidR="00DB1635" w:rsidRPr="00B004EE">
        <w:rPr>
          <w:rFonts w:ascii="Tahoma" w:hAnsi="Tahoma" w:cs="Tahoma"/>
          <w:sz w:val="20"/>
          <w:szCs w:val="20"/>
        </w:rPr>
        <w:t xml:space="preserve"> </w:t>
      </w:r>
      <w:r w:rsidR="002F24E1" w:rsidRPr="00B004EE">
        <w:rPr>
          <w:rFonts w:ascii="Tahoma" w:hAnsi="Tahoma" w:cs="Tahoma"/>
          <w:sz w:val="20"/>
          <w:szCs w:val="20"/>
        </w:rPr>
        <w:t>à</w:t>
      </w:r>
      <w:r w:rsidR="00DB1635" w:rsidRPr="00B004EE">
        <w:rPr>
          <w:rFonts w:ascii="Tahoma" w:hAnsi="Tahoma" w:cs="Tahoma"/>
          <w:sz w:val="20"/>
          <w:szCs w:val="20"/>
        </w:rPr>
        <w:t xml:space="preserve"> </w:t>
      </w:r>
      <w:r w:rsidR="002F24E1" w:rsidRPr="00B004EE">
        <w:rPr>
          <w:rFonts w:ascii="Tahoma" w:hAnsi="Tahoma" w:cs="Tahoma"/>
          <w:sz w:val="20"/>
          <w:szCs w:val="20"/>
        </w:rPr>
        <w:t>éviter</w:t>
      </w:r>
      <w:r w:rsidR="00DB1635" w:rsidRPr="00B004EE">
        <w:rPr>
          <w:rFonts w:ascii="Tahoma" w:hAnsi="Tahoma" w:cs="Tahoma"/>
          <w:sz w:val="20"/>
          <w:szCs w:val="20"/>
        </w:rPr>
        <w:t xml:space="preserve"> </w:t>
      </w:r>
      <w:r w:rsidR="002F24E1" w:rsidRPr="00B004EE">
        <w:rPr>
          <w:rFonts w:ascii="Tahoma" w:hAnsi="Tahoma" w:cs="Tahoma"/>
          <w:sz w:val="20"/>
          <w:szCs w:val="20"/>
        </w:rPr>
        <w:t>qu'ils</w:t>
      </w:r>
      <w:r w:rsidR="00DB1635" w:rsidRPr="00B004EE">
        <w:rPr>
          <w:rFonts w:ascii="Tahoma" w:hAnsi="Tahoma" w:cs="Tahoma"/>
          <w:sz w:val="20"/>
          <w:szCs w:val="20"/>
        </w:rPr>
        <w:t xml:space="preserve"> </w:t>
      </w:r>
      <w:r w:rsidR="002F24E1" w:rsidRPr="00B004EE">
        <w:rPr>
          <w:rFonts w:ascii="Tahoma" w:hAnsi="Tahoma" w:cs="Tahoma"/>
          <w:sz w:val="20"/>
          <w:szCs w:val="20"/>
        </w:rPr>
        <w:t>soient</w:t>
      </w:r>
      <w:r w:rsidR="00DB1635" w:rsidRPr="00B004EE">
        <w:rPr>
          <w:rFonts w:ascii="Tahoma" w:hAnsi="Tahoma" w:cs="Tahoma"/>
          <w:sz w:val="20"/>
          <w:szCs w:val="20"/>
        </w:rPr>
        <w:t xml:space="preserve"> </w:t>
      </w:r>
      <w:r w:rsidR="002F24E1" w:rsidRPr="00B004EE">
        <w:rPr>
          <w:rFonts w:ascii="Tahoma" w:hAnsi="Tahoma" w:cs="Tahoma"/>
          <w:sz w:val="20"/>
          <w:szCs w:val="20"/>
        </w:rPr>
        <w:t>meurtris</w:t>
      </w:r>
      <w:r w:rsidR="00DB1635" w:rsidRPr="00B004EE">
        <w:rPr>
          <w:rFonts w:ascii="Tahoma" w:hAnsi="Tahoma" w:cs="Tahoma"/>
          <w:sz w:val="20"/>
          <w:szCs w:val="20"/>
        </w:rPr>
        <w:t xml:space="preserve"> </w:t>
      </w:r>
      <w:r w:rsidR="002F24E1" w:rsidRPr="00B004EE">
        <w:rPr>
          <w:rFonts w:ascii="Tahoma" w:hAnsi="Tahoma" w:cs="Tahoma"/>
          <w:sz w:val="20"/>
          <w:szCs w:val="20"/>
        </w:rPr>
        <w:t>ou</w:t>
      </w:r>
      <w:r w:rsidR="00DB1635" w:rsidRPr="00B004EE">
        <w:rPr>
          <w:rFonts w:ascii="Tahoma" w:hAnsi="Tahoma" w:cs="Tahoma"/>
          <w:sz w:val="20"/>
          <w:szCs w:val="20"/>
        </w:rPr>
        <w:t xml:space="preserve"> </w:t>
      </w:r>
      <w:r w:rsidR="002F24E1" w:rsidRPr="00B004EE">
        <w:rPr>
          <w:rFonts w:ascii="Tahoma" w:hAnsi="Tahoma" w:cs="Tahoma"/>
          <w:sz w:val="20"/>
          <w:szCs w:val="20"/>
        </w:rPr>
        <w:t>contaminés.</w:t>
      </w:r>
      <w:r w:rsidR="00DB1635" w:rsidRPr="00B004EE">
        <w:rPr>
          <w:rFonts w:ascii="Tahoma" w:hAnsi="Tahoma" w:cs="Tahoma"/>
          <w:sz w:val="20"/>
          <w:szCs w:val="20"/>
        </w:rPr>
        <w:t xml:space="preserve"> </w:t>
      </w:r>
      <w:r w:rsidR="002F24E1" w:rsidRPr="00B004EE">
        <w:rPr>
          <w:rFonts w:ascii="Tahoma" w:hAnsi="Tahoma" w:cs="Tahoma"/>
          <w:sz w:val="20"/>
          <w:szCs w:val="20"/>
        </w:rPr>
        <w:t>Peut</w:t>
      </w:r>
      <w:r w:rsidR="00DB1635" w:rsidRPr="00B004EE">
        <w:rPr>
          <w:rFonts w:ascii="Tahoma" w:hAnsi="Tahoma" w:cs="Tahoma"/>
          <w:sz w:val="20"/>
          <w:szCs w:val="20"/>
        </w:rPr>
        <w:t xml:space="preserve"> </w:t>
      </w:r>
      <w:r w:rsidR="002F24E1" w:rsidRPr="00B004EE">
        <w:rPr>
          <w:rFonts w:ascii="Tahoma" w:hAnsi="Tahoma" w:cs="Tahoma"/>
          <w:sz w:val="20"/>
          <w:szCs w:val="20"/>
        </w:rPr>
        <w:t>être</w:t>
      </w:r>
      <w:r w:rsidR="00DB1635" w:rsidRPr="00B004EE">
        <w:rPr>
          <w:rFonts w:ascii="Tahoma" w:hAnsi="Tahoma" w:cs="Tahoma"/>
          <w:sz w:val="20"/>
          <w:szCs w:val="20"/>
        </w:rPr>
        <w:t xml:space="preserve"> </w:t>
      </w:r>
      <w:r w:rsidR="002F24E1" w:rsidRPr="00B004EE">
        <w:rPr>
          <w:rFonts w:ascii="Tahoma" w:hAnsi="Tahoma" w:cs="Tahoma"/>
          <w:sz w:val="20"/>
          <w:szCs w:val="20"/>
        </w:rPr>
        <w:t>tolérée</w:t>
      </w:r>
      <w:r w:rsidR="00DB1635" w:rsidRPr="00B004EE">
        <w:rPr>
          <w:rFonts w:ascii="Tahoma" w:hAnsi="Tahoma" w:cs="Tahoma"/>
          <w:sz w:val="20"/>
          <w:szCs w:val="20"/>
        </w:rPr>
        <w:t xml:space="preserve"> </w:t>
      </w:r>
      <w:r w:rsidR="002F24E1" w:rsidRPr="00B004EE">
        <w:rPr>
          <w:rFonts w:ascii="Tahoma" w:hAnsi="Tahoma" w:cs="Tahoma"/>
          <w:sz w:val="20"/>
          <w:szCs w:val="20"/>
        </w:rPr>
        <w:t>par</w:t>
      </w:r>
      <w:r w:rsidR="00DB1635" w:rsidRPr="00B004EE">
        <w:rPr>
          <w:rFonts w:ascii="Tahoma" w:hAnsi="Tahoma" w:cs="Tahoma"/>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2F24E1" w:rsidRPr="00B004EE">
        <w:rPr>
          <w:rFonts w:ascii="Tahoma" w:hAnsi="Tahoma" w:cs="Tahoma"/>
          <w:sz w:val="20"/>
          <w:szCs w:val="20"/>
        </w:rPr>
        <w:t>services</w:t>
      </w:r>
      <w:r w:rsidR="00DB1635" w:rsidRPr="00B004EE">
        <w:rPr>
          <w:rFonts w:ascii="Tahoma" w:hAnsi="Tahoma" w:cs="Tahoma"/>
          <w:sz w:val="20"/>
          <w:szCs w:val="20"/>
        </w:rPr>
        <w:t xml:space="preserve"> </w:t>
      </w:r>
      <w:r w:rsidR="002F24E1" w:rsidRPr="00B004EE">
        <w:rPr>
          <w:rFonts w:ascii="Tahoma" w:hAnsi="Tahoma" w:cs="Tahoma"/>
          <w:sz w:val="20"/>
          <w:szCs w:val="20"/>
        </w:rPr>
        <w:t>d'inspection,</w:t>
      </w:r>
      <w:r w:rsidR="00DB1635" w:rsidRPr="00B004EE">
        <w:rPr>
          <w:rFonts w:ascii="Tahoma" w:hAnsi="Tahoma" w:cs="Tahoma"/>
          <w:sz w:val="20"/>
          <w:szCs w:val="20"/>
        </w:rPr>
        <w:t xml:space="preserve"> </w:t>
      </w:r>
      <w:r w:rsidR="002F24E1" w:rsidRPr="00B004EE">
        <w:rPr>
          <w:rFonts w:ascii="Tahoma" w:hAnsi="Tahoma" w:cs="Tahoma"/>
          <w:sz w:val="20"/>
          <w:szCs w:val="20"/>
        </w:rPr>
        <w:t>l'utilisation</w:t>
      </w:r>
      <w:r w:rsidR="00DB1635" w:rsidRPr="00B004EE">
        <w:rPr>
          <w:rFonts w:ascii="Tahoma" w:hAnsi="Tahoma" w:cs="Tahoma"/>
          <w:sz w:val="20"/>
          <w:szCs w:val="20"/>
        </w:rPr>
        <w:t xml:space="preserve"> </w:t>
      </w:r>
      <w:r w:rsidR="002F24E1" w:rsidRPr="00B004EE">
        <w:rPr>
          <w:rFonts w:ascii="Tahoma" w:hAnsi="Tahoma" w:cs="Tahoma"/>
          <w:sz w:val="20"/>
          <w:szCs w:val="20"/>
        </w:rPr>
        <w:t>d'instruments</w:t>
      </w:r>
      <w:r w:rsidR="00DB1635" w:rsidRPr="00B004EE">
        <w:rPr>
          <w:rFonts w:ascii="Tahoma" w:hAnsi="Tahoma" w:cs="Tahoma"/>
          <w:sz w:val="20"/>
          <w:szCs w:val="20"/>
        </w:rPr>
        <w:t xml:space="preserve"> </w:t>
      </w:r>
      <w:r w:rsidR="002F24E1" w:rsidRPr="00B004EE">
        <w:rPr>
          <w:rFonts w:ascii="Tahoma" w:hAnsi="Tahoma" w:cs="Tahoma"/>
          <w:sz w:val="20"/>
          <w:szCs w:val="20"/>
        </w:rPr>
        <w:t>piquants</w:t>
      </w:r>
      <w:r w:rsidR="00DB1635" w:rsidRPr="00B004EE">
        <w:rPr>
          <w:rFonts w:ascii="Tahoma" w:hAnsi="Tahoma" w:cs="Tahoma"/>
          <w:sz w:val="20"/>
          <w:szCs w:val="20"/>
        </w:rPr>
        <w:t xml:space="preserve"> </w:t>
      </w:r>
      <w:r w:rsidR="002F24E1" w:rsidRPr="00B004EE">
        <w:rPr>
          <w:rFonts w:ascii="Tahoma" w:hAnsi="Tahoma" w:cs="Tahoma"/>
          <w:sz w:val="20"/>
          <w:szCs w:val="20"/>
        </w:rPr>
        <w:t>pour</w:t>
      </w:r>
      <w:r w:rsidR="00DB1635" w:rsidRPr="00B004EE">
        <w:rPr>
          <w:rFonts w:ascii="Tahoma" w:hAnsi="Tahoma" w:cs="Tahoma"/>
          <w:sz w:val="20"/>
          <w:szCs w:val="20"/>
        </w:rPr>
        <w:t xml:space="preserve"> </w:t>
      </w:r>
      <w:r w:rsidR="002F24E1" w:rsidRPr="00B004EE">
        <w:rPr>
          <w:rFonts w:ascii="Tahoma" w:hAnsi="Tahoma" w:cs="Tahoma"/>
          <w:sz w:val="20"/>
          <w:szCs w:val="20"/>
        </w:rPr>
        <w:t>le</w:t>
      </w:r>
      <w:r w:rsidR="00DB1635" w:rsidRPr="00B004EE">
        <w:rPr>
          <w:rFonts w:ascii="Tahoma" w:hAnsi="Tahoma" w:cs="Tahoma"/>
          <w:sz w:val="20"/>
          <w:szCs w:val="20"/>
        </w:rPr>
        <w:t xml:space="preserve"> </w:t>
      </w:r>
      <w:r w:rsidR="002F24E1" w:rsidRPr="00B004EE">
        <w:rPr>
          <w:rFonts w:ascii="Tahoma" w:hAnsi="Tahoma" w:cs="Tahoma"/>
          <w:sz w:val="20"/>
          <w:szCs w:val="20"/>
        </w:rPr>
        <w:t>déplacement</w:t>
      </w:r>
      <w:r w:rsidR="00DB1635" w:rsidRPr="00B004EE">
        <w:rPr>
          <w:rFonts w:ascii="Tahoma" w:hAnsi="Tahoma" w:cs="Tahoma"/>
          <w:sz w:val="20"/>
          <w:szCs w:val="20"/>
        </w:rPr>
        <w:t xml:space="preserve"> </w:t>
      </w:r>
      <w:r w:rsidR="002F24E1" w:rsidRPr="00B004EE">
        <w:rPr>
          <w:rFonts w:ascii="Tahoma" w:hAnsi="Tahoma" w:cs="Tahoma"/>
          <w:sz w:val="20"/>
          <w:szCs w:val="20"/>
        </w:rPr>
        <w:t>des</w:t>
      </w:r>
      <w:r w:rsidR="00DB1635" w:rsidRPr="00B004EE">
        <w:rPr>
          <w:rFonts w:ascii="Tahoma" w:hAnsi="Tahoma" w:cs="Tahoma"/>
          <w:sz w:val="20"/>
          <w:szCs w:val="20"/>
        </w:rPr>
        <w:t xml:space="preserve"> </w:t>
      </w:r>
      <w:r w:rsidR="002F24E1" w:rsidRPr="00B004EE">
        <w:rPr>
          <w:rFonts w:ascii="Tahoma" w:hAnsi="Tahoma" w:cs="Tahoma"/>
          <w:sz w:val="20"/>
          <w:szCs w:val="20"/>
        </w:rPr>
        <w:t>poissons</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grande</w:t>
      </w:r>
      <w:r w:rsidR="00DB1635" w:rsidRPr="00B004EE">
        <w:rPr>
          <w:rFonts w:ascii="Tahoma" w:hAnsi="Tahoma" w:cs="Tahoma"/>
          <w:sz w:val="20"/>
          <w:szCs w:val="20"/>
        </w:rPr>
        <w:t xml:space="preserve"> </w:t>
      </w:r>
      <w:r w:rsidR="002F24E1" w:rsidRPr="00B004EE">
        <w:rPr>
          <w:rFonts w:ascii="Tahoma" w:hAnsi="Tahoma" w:cs="Tahoma"/>
          <w:sz w:val="20"/>
          <w:szCs w:val="20"/>
        </w:rPr>
        <w:t>taille</w:t>
      </w:r>
      <w:r w:rsidR="00DB1635" w:rsidRPr="00B004EE">
        <w:rPr>
          <w:rFonts w:ascii="Tahoma" w:hAnsi="Tahoma" w:cs="Tahoma"/>
          <w:sz w:val="20"/>
          <w:szCs w:val="20"/>
        </w:rPr>
        <w:t xml:space="preserve"> </w:t>
      </w:r>
      <w:r w:rsidR="002F24E1" w:rsidRPr="00B004EE">
        <w:rPr>
          <w:rFonts w:ascii="Tahoma" w:hAnsi="Tahoma" w:cs="Tahoma"/>
          <w:sz w:val="20"/>
          <w:szCs w:val="20"/>
        </w:rPr>
        <w:t>ou</w:t>
      </w:r>
      <w:r w:rsidR="00DB1635" w:rsidRPr="00B004EE">
        <w:rPr>
          <w:rFonts w:ascii="Tahoma" w:hAnsi="Tahoma" w:cs="Tahoma"/>
          <w:sz w:val="20"/>
          <w:szCs w:val="20"/>
        </w:rPr>
        <w:t xml:space="preserve"> </w:t>
      </w:r>
      <w:r w:rsidR="002F24E1" w:rsidRPr="00B004EE">
        <w:rPr>
          <w:rFonts w:ascii="Tahoma" w:hAnsi="Tahoma" w:cs="Tahoma"/>
          <w:sz w:val="20"/>
          <w:szCs w:val="20"/>
        </w:rPr>
        <w:t>ceux</w:t>
      </w:r>
      <w:r w:rsidR="00DB1635" w:rsidRPr="00B004EE">
        <w:rPr>
          <w:rFonts w:ascii="Tahoma" w:hAnsi="Tahoma" w:cs="Tahoma"/>
          <w:sz w:val="20"/>
          <w:szCs w:val="20"/>
        </w:rPr>
        <w:t xml:space="preserve"> </w:t>
      </w:r>
      <w:r w:rsidR="002F24E1" w:rsidRPr="00B004EE">
        <w:rPr>
          <w:rFonts w:ascii="Tahoma" w:hAnsi="Tahoma" w:cs="Tahoma"/>
          <w:sz w:val="20"/>
          <w:szCs w:val="20"/>
        </w:rPr>
        <w:t>risquant</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blesser</w:t>
      </w:r>
      <w:r w:rsidR="00DB1635" w:rsidRPr="00B004EE">
        <w:rPr>
          <w:rFonts w:ascii="Tahoma" w:hAnsi="Tahoma" w:cs="Tahoma"/>
          <w:sz w:val="20"/>
          <w:szCs w:val="20"/>
        </w:rPr>
        <w:t xml:space="preserve"> </w:t>
      </w:r>
      <w:r w:rsidR="002F24E1" w:rsidRPr="00B004EE">
        <w:rPr>
          <w:rFonts w:ascii="Tahoma" w:hAnsi="Tahoma" w:cs="Tahoma"/>
          <w:sz w:val="20"/>
          <w:szCs w:val="20"/>
        </w:rPr>
        <w:t>le</w:t>
      </w:r>
      <w:r w:rsidR="00DB1635" w:rsidRPr="00B004EE">
        <w:rPr>
          <w:rFonts w:ascii="Tahoma" w:hAnsi="Tahoma" w:cs="Tahoma"/>
          <w:sz w:val="20"/>
          <w:szCs w:val="20"/>
        </w:rPr>
        <w:t xml:space="preserve"> </w:t>
      </w:r>
      <w:r w:rsidR="002F24E1" w:rsidRPr="00B004EE">
        <w:rPr>
          <w:rFonts w:ascii="Tahoma" w:hAnsi="Tahoma" w:cs="Tahoma"/>
          <w:sz w:val="20"/>
          <w:szCs w:val="20"/>
        </w:rPr>
        <w:t>manipulateur</w:t>
      </w:r>
      <w:r w:rsidR="00DB1635" w:rsidRPr="00B004EE">
        <w:rPr>
          <w:rFonts w:ascii="Tahoma" w:hAnsi="Tahoma" w:cs="Tahoma"/>
          <w:sz w:val="20"/>
          <w:szCs w:val="20"/>
        </w:rPr>
        <w:t xml:space="preserve"> </w:t>
      </w:r>
      <w:r w:rsidR="002F24E1" w:rsidRPr="00B004EE">
        <w:rPr>
          <w:rFonts w:ascii="Tahoma" w:hAnsi="Tahoma" w:cs="Tahoma"/>
          <w:sz w:val="20"/>
          <w:szCs w:val="20"/>
        </w:rPr>
        <w:t>condition</w:t>
      </w:r>
      <w:r w:rsidR="00DB1635" w:rsidRPr="00B004EE">
        <w:rPr>
          <w:rFonts w:ascii="Tahoma" w:hAnsi="Tahoma" w:cs="Tahoma"/>
          <w:sz w:val="20"/>
          <w:szCs w:val="20"/>
        </w:rPr>
        <w:t xml:space="preserve"> </w:t>
      </w:r>
      <w:r w:rsidR="002F24E1" w:rsidRPr="00B004EE">
        <w:rPr>
          <w:rFonts w:ascii="Tahoma" w:hAnsi="Tahoma" w:cs="Tahoma"/>
          <w:sz w:val="20"/>
          <w:szCs w:val="20"/>
        </w:rPr>
        <w:t>que</w:t>
      </w:r>
      <w:r w:rsidR="00DB1635" w:rsidRPr="00B004EE">
        <w:rPr>
          <w:rFonts w:ascii="Tahoma" w:hAnsi="Tahoma" w:cs="Tahoma"/>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2F24E1" w:rsidRPr="00B004EE">
        <w:rPr>
          <w:rFonts w:ascii="Tahoma" w:hAnsi="Tahoma" w:cs="Tahoma"/>
          <w:sz w:val="20"/>
          <w:szCs w:val="20"/>
        </w:rPr>
        <w:t>chairs</w:t>
      </w:r>
      <w:r w:rsidR="00DB1635" w:rsidRPr="00B004EE">
        <w:rPr>
          <w:rFonts w:ascii="Tahoma" w:hAnsi="Tahoma" w:cs="Tahoma"/>
          <w:sz w:val="20"/>
          <w:szCs w:val="20"/>
        </w:rPr>
        <w:t xml:space="preserve"> </w:t>
      </w:r>
      <w:r w:rsidR="002F24E1" w:rsidRPr="00B004EE">
        <w:rPr>
          <w:rFonts w:ascii="Tahoma" w:hAnsi="Tahoma" w:cs="Tahoma"/>
          <w:sz w:val="20"/>
          <w:szCs w:val="20"/>
        </w:rPr>
        <w:t>n'en</w:t>
      </w:r>
      <w:r w:rsidR="00DB1635" w:rsidRPr="00B004EE">
        <w:rPr>
          <w:rFonts w:ascii="Tahoma" w:hAnsi="Tahoma" w:cs="Tahoma"/>
          <w:sz w:val="20"/>
          <w:szCs w:val="20"/>
        </w:rPr>
        <w:t xml:space="preserve"> </w:t>
      </w:r>
      <w:r w:rsidR="002F24E1" w:rsidRPr="00B004EE">
        <w:rPr>
          <w:rFonts w:ascii="Tahoma" w:hAnsi="Tahoma" w:cs="Tahoma"/>
          <w:sz w:val="20"/>
          <w:szCs w:val="20"/>
        </w:rPr>
        <w:t>soient</w:t>
      </w:r>
      <w:r w:rsidR="00DB1635" w:rsidRPr="00B004EE">
        <w:rPr>
          <w:rFonts w:ascii="Tahoma" w:hAnsi="Tahoma" w:cs="Tahoma"/>
          <w:sz w:val="20"/>
          <w:szCs w:val="20"/>
        </w:rPr>
        <w:t xml:space="preserve"> </w:t>
      </w:r>
      <w:r w:rsidR="002F24E1" w:rsidRPr="00B004EE">
        <w:rPr>
          <w:rFonts w:ascii="Tahoma" w:hAnsi="Tahoma" w:cs="Tahoma"/>
          <w:sz w:val="20"/>
          <w:szCs w:val="20"/>
        </w:rPr>
        <w:t>pas</w:t>
      </w:r>
      <w:r w:rsidR="00DB1635" w:rsidRPr="00B004EE">
        <w:rPr>
          <w:rFonts w:ascii="Tahoma" w:hAnsi="Tahoma" w:cs="Tahoma"/>
          <w:sz w:val="20"/>
          <w:szCs w:val="20"/>
        </w:rPr>
        <w:t xml:space="preserve"> </w:t>
      </w:r>
      <w:r w:rsidR="002F24E1" w:rsidRPr="00B004EE">
        <w:rPr>
          <w:rFonts w:ascii="Tahoma" w:hAnsi="Tahoma" w:cs="Tahoma"/>
          <w:sz w:val="20"/>
          <w:szCs w:val="20"/>
        </w:rPr>
        <w:t>détériorées.</w:t>
      </w:r>
    </w:p>
    <w:p w14:paraId="47782D41" w14:textId="77777777" w:rsidR="002F24E1" w:rsidRPr="00B004EE" w:rsidRDefault="002F24E1" w:rsidP="00B004EE">
      <w:pPr>
        <w:jc w:val="both"/>
        <w:rPr>
          <w:rFonts w:ascii="Tahoma" w:hAnsi="Tahoma" w:cs="Tahoma"/>
          <w:sz w:val="20"/>
          <w:szCs w:val="20"/>
        </w:rPr>
      </w:pPr>
    </w:p>
    <w:p w14:paraId="686CF399" w14:textId="257F5680" w:rsidR="002F24E1" w:rsidRPr="00B004EE" w:rsidRDefault="002F24E1" w:rsidP="00B004EE">
      <w:pPr>
        <w:jc w:val="both"/>
        <w:rPr>
          <w:rFonts w:ascii="Tahoma" w:hAnsi="Tahoma" w:cs="Tahoma"/>
          <w:sz w:val="20"/>
          <w:szCs w:val="20"/>
        </w:rPr>
      </w:pPr>
      <w:r w:rsidRPr="00B004EE">
        <w:rPr>
          <w:rFonts w:ascii="Tahoma" w:hAnsi="Tahoma" w:cs="Tahoma"/>
          <w:sz w:val="20"/>
          <w:szCs w:val="20"/>
        </w:rPr>
        <w:tab/>
        <w:t>Lors</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lavage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l'eau</w:t>
      </w:r>
      <w:r w:rsidR="00DB1635" w:rsidRPr="00B004EE">
        <w:rPr>
          <w:rFonts w:ascii="Tahoma" w:hAnsi="Tahoma" w:cs="Tahoma"/>
          <w:sz w:val="20"/>
          <w:szCs w:val="20"/>
        </w:rPr>
        <w:t xml:space="preserve"> </w:t>
      </w:r>
      <w:r w:rsidRPr="00B004EE">
        <w:rPr>
          <w:rFonts w:ascii="Tahoma" w:hAnsi="Tahoma" w:cs="Tahoma"/>
          <w:sz w:val="20"/>
          <w:szCs w:val="20"/>
        </w:rPr>
        <w:t>douce</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l'eau</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mer</w:t>
      </w:r>
      <w:r w:rsidR="00DB1635" w:rsidRPr="00B004EE">
        <w:rPr>
          <w:rFonts w:ascii="Tahoma" w:hAnsi="Tahoma" w:cs="Tahoma"/>
          <w:sz w:val="20"/>
          <w:szCs w:val="20"/>
        </w:rPr>
        <w:t xml:space="preserve"> </w:t>
      </w:r>
      <w:r w:rsidRPr="00B004EE">
        <w:rPr>
          <w:rFonts w:ascii="Tahoma" w:hAnsi="Tahoma" w:cs="Tahoma"/>
          <w:sz w:val="20"/>
          <w:szCs w:val="20"/>
        </w:rPr>
        <w:t>utilisée</w:t>
      </w:r>
      <w:r w:rsidR="00DB1635" w:rsidRPr="00B004EE">
        <w:rPr>
          <w:rFonts w:ascii="Tahoma" w:hAnsi="Tahoma" w:cs="Tahoma"/>
          <w:sz w:val="20"/>
          <w:szCs w:val="20"/>
        </w:rPr>
        <w:t xml:space="preserve"> </w:t>
      </w:r>
      <w:r w:rsidRPr="00B004EE">
        <w:rPr>
          <w:rFonts w:ascii="Tahoma" w:hAnsi="Tahoma" w:cs="Tahoma"/>
          <w:sz w:val="20"/>
          <w:szCs w:val="20"/>
        </w:rPr>
        <w:t>doit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qualité</w:t>
      </w:r>
      <w:r w:rsidR="00DB1635" w:rsidRPr="00B004EE">
        <w:rPr>
          <w:rFonts w:ascii="Tahoma" w:hAnsi="Tahoma" w:cs="Tahoma"/>
          <w:sz w:val="20"/>
          <w:szCs w:val="20"/>
        </w:rPr>
        <w:t xml:space="preserve"> </w:t>
      </w:r>
      <w:r w:rsidRPr="00B004EE">
        <w:rPr>
          <w:rFonts w:ascii="Tahoma" w:hAnsi="Tahoma" w:cs="Tahoma"/>
          <w:sz w:val="20"/>
          <w:szCs w:val="20"/>
        </w:rPr>
        <w:t>potable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ne</w:t>
      </w:r>
      <w:r w:rsidR="00DB1635" w:rsidRPr="00B004EE">
        <w:rPr>
          <w:rFonts w:ascii="Tahoma" w:hAnsi="Tahoma" w:cs="Tahoma"/>
          <w:sz w:val="20"/>
          <w:szCs w:val="20"/>
        </w:rPr>
        <w:t xml:space="preserve"> </w:t>
      </w:r>
      <w:r w:rsidRPr="00B004EE">
        <w:rPr>
          <w:rFonts w:ascii="Tahoma" w:hAnsi="Tahoma" w:cs="Tahoma"/>
          <w:sz w:val="20"/>
          <w:szCs w:val="20"/>
        </w:rPr>
        <w:t>doit</w:t>
      </w:r>
      <w:r w:rsidR="00DB1635" w:rsidRPr="00B004EE">
        <w:rPr>
          <w:rFonts w:ascii="Tahoma" w:hAnsi="Tahoma" w:cs="Tahoma"/>
          <w:sz w:val="20"/>
          <w:szCs w:val="20"/>
        </w:rPr>
        <w:t xml:space="preserve"> </w:t>
      </w:r>
      <w:r w:rsidRPr="00B004EE">
        <w:rPr>
          <w:rFonts w:ascii="Tahoma" w:hAnsi="Tahoma" w:cs="Tahoma"/>
          <w:sz w:val="20"/>
          <w:szCs w:val="20"/>
        </w:rPr>
        <w:t>pouvoir</w:t>
      </w:r>
      <w:r w:rsidR="00DB1635" w:rsidRPr="00B004EE">
        <w:rPr>
          <w:rFonts w:ascii="Tahoma" w:hAnsi="Tahoma" w:cs="Tahoma"/>
          <w:sz w:val="20"/>
          <w:szCs w:val="20"/>
        </w:rPr>
        <w:t xml:space="preserve"> </w:t>
      </w:r>
      <w:r w:rsidRPr="00B004EE">
        <w:rPr>
          <w:rFonts w:ascii="Tahoma" w:hAnsi="Tahoma" w:cs="Tahoma"/>
          <w:sz w:val="20"/>
          <w:szCs w:val="20"/>
        </w:rPr>
        <w:t>nuire</w:t>
      </w:r>
      <w:r w:rsidR="00DB1635" w:rsidRPr="00B004EE">
        <w:rPr>
          <w:rFonts w:ascii="Tahoma" w:hAnsi="Tahoma" w:cs="Tahoma"/>
          <w:sz w:val="20"/>
          <w:szCs w:val="20"/>
        </w:rPr>
        <w:t xml:space="preserve"> </w:t>
      </w:r>
      <w:r w:rsidRPr="00B004EE">
        <w:rPr>
          <w:rFonts w:ascii="Tahoma" w:hAnsi="Tahoma" w:cs="Tahoma"/>
          <w:sz w:val="20"/>
          <w:szCs w:val="20"/>
        </w:rPr>
        <w:t>ni</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leur</w:t>
      </w:r>
      <w:r w:rsidR="00DB1635" w:rsidRPr="00B004EE">
        <w:rPr>
          <w:rFonts w:ascii="Tahoma" w:hAnsi="Tahoma" w:cs="Tahoma"/>
          <w:sz w:val="20"/>
          <w:szCs w:val="20"/>
        </w:rPr>
        <w:t xml:space="preserve"> </w:t>
      </w:r>
      <w:r w:rsidRPr="00B004EE">
        <w:rPr>
          <w:rFonts w:ascii="Tahoma" w:hAnsi="Tahoma" w:cs="Tahoma"/>
          <w:sz w:val="20"/>
          <w:szCs w:val="20"/>
        </w:rPr>
        <w:t>qualité</w:t>
      </w:r>
      <w:r w:rsidR="00DB1635" w:rsidRPr="00B004EE">
        <w:rPr>
          <w:rFonts w:ascii="Tahoma" w:hAnsi="Tahoma" w:cs="Tahoma"/>
          <w:sz w:val="20"/>
          <w:szCs w:val="20"/>
        </w:rPr>
        <w:t xml:space="preserve"> </w:t>
      </w:r>
      <w:r w:rsidRPr="00B004EE">
        <w:rPr>
          <w:rFonts w:ascii="Tahoma" w:hAnsi="Tahoma" w:cs="Tahoma"/>
          <w:sz w:val="20"/>
          <w:szCs w:val="20"/>
        </w:rPr>
        <w:t>ni</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leur</w:t>
      </w:r>
      <w:r w:rsidR="00DB1635" w:rsidRPr="00B004EE">
        <w:rPr>
          <w:rFonts w:ascii="Tahoma" w:hAnsi="Tahoma" w:cs="Tahoma"/>
          <w:sz w:val="20"/>
          <w:szCs w:val="20"/>
        </w:rPr>
        <w:t xml:space="preserve"> </w:t>
      </w:r>
      <w:r w:rsidRPr="00B004EE">
        <w:rPr>
          <w:rFonts w:ascii="Tahoma" w:hAnsi="Tahoma" w:cs="Tahoma"/>
          <w:sz w:val="20"/>
          <w:szCs w:val="20"/>
        </w:rPr>
        <w:t>salubrité.</w:t>
      </w:r>
    </w:p>
    <w:p w14:paraId="55F80B95" w14:textId="77777777" w:rsidR="00AD7D88" w:rsidRPr="00B004EE" w:rsidRDefault="00AD7D88" w:rsidP="00B004EE">
      <w:pPr>
        <w:jc w:val="both"/>
        <w:rPr>
          <w:rFonts w:ascii="Tahoma" w:hAnsi="Tahoma" w:cs="Tahoma"/>
          <w:bCs/>
          <w:sz w:val="20"/>
          <w:szCs w:val="20"/>
        </w:rPr>
      </w:pPr>
    </w:p>
    <w:p w14:paraId="36CA1E62" w14:textId="56E2CDA5" w:rsidR="002F24E1" w:rsidRPr="00B004EE" w:rsidRDefault="00AD7D88" w:rsidP="00B004EE">
      <w:pPr>
        <w:jc w:val="both"/>
        <w:rPr>
          <w:rFonts w:ascii="Tahoma" w:hAnsi="Tahoma" w:cs="Tahoma"/>
          <w:sz w:val="20"/>
          <w:szCs w:val="20"/>
        </w:rPr>
      </w:pPr>
      <w:r w:rsidRPr="00B004EE">
        <w:rPr>
          <w:rFonts w:ascii="Tahoma" w:hAnsi="Tahoma" w:cs="Tahoma"/>
          <w:bCs/>
          <w:sz w:val="20"/>
          <w:szCs w:val="20"/>
        </w:rPr>
        <w:t xml:space="preserve">Article </w:t>
      </w:r>
      <w:r w:rsidR="002F24E1" w:rsidRPr="00B004EE">
        <w:rPr>
          <w:rFonts w:ascii="Tahoma" w:hAnsi="Tahoma" w:cs="Tahoma"/>
          <w:bCs/>
          <w:sz w:val="20"/>
          <w:szCs w:val="20"/>
        </w:rPr>
        <w:t>8</w:t>
      </w:r>
      <w:r w:rsidR="00DB1635" w:rsidRPr="00B004EE">
        <w:rPr>
          <w:rFonts w:ascii="Tahoma" w:hAnsi="Tahoma" w:cs="Tahoma"/>
          <w:bCs/>
          <w:sz w:val="20"/>
          <w:szCs w:val="20"/>
        </w:rPr>
        <w:t xml:space="preserve"> </w:t>
      </w:r>
      <w:r w:rsidR="002F24E1" w:rsidRPr="00B004EE">
        <w:rPr>
          <w:rFonts w:ascii="Tahoma" w:hAnsi="Tahoma" w:cs="Tahoma"/>
          <w:bCs/>
          <w:sz w:val="20"/>
          <w:szCs w:val="20"/>
        </w:rPr>
        <w:t>:</w:t>
      </w:r>
      <w:r w:rsidR="00DB1635" w:rsidRPr="00B004EE">
        <w:rPr>
          <w:rFonts w:ascii="Tahoma" w:hAnsi="Tahoma" w:cs="Tahoma"/>
          <w:b/>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2F24E1" w:rsidRPr="00B004EE">
        <w:rPr>
          <w:rFonts w:ascii="Tahoma" w:hAnsi="Tahoma" w:cs="Tahoma"/>
          <w:sz w:val="20"/>
          <w:szCs w:val="20"/>
        </w:rPr>
        <w:t>opérations</w:t>
      </w:r>
      <w:r w:rsidR="00DB1635" w:rsidRPr="00B004EE">
        <w:rPr>
          <w:rFonts w:ascii="Tahoma" w:hAnsi="Tahoma" w:cs="Tahoma"/>
          <w:sz w:val="20"/>
          <w:szCs w:val="20"/>
        </w:rPr>
        <w:t xml:space="preserve"> </w:t>
      </w:r>
      <w:r w:rsidR="002F24E1" w:rsidRPr="00B004EE">
        <w:rPr>
          <w:rFonts w:ascii="Tahoma" w:hAnsi="Tahoma" w:cs="Tahoma"/>
          <w:sz w:val="20"/>
          <w:szCs w:val="20"/>
        </w:rPr>
        <w:t>d'éviscération</w:t>
      </w:r>
      <w:r w:rsidR="00DB1635" w:rsidRPr="00B004EE">
        <w:rPr>
          <w:rFonts w:ascii="Tahoma" w:hAnsi="Tahoma" w:cs="Tahoma"/>
          <w:sz w:val="20"/>
          <w:szCs w:val="20"/>
        </w:rPr>
        <w:t xml:space="preserve"> </w:t>
      </w:r>
      <w:r w:rsidR="002F24E1" w:rsidRPr="00B004EE">
        <w:rPr>
          <w:rFonts w:ascii="Tahoma" w:hAnsi="Tahoma" w:cs="Tahoma"/>
          <w:sz w:val="20"/>
          <w:szCs w:val="20"/>
        </w:rPr>
        <w:t>ou</w:t>
      </w:r>
      <w:r w:rsidR="00DB1635" w:rsidRPr="00B004EE">
        <w:rPr>
          <w:rFonts w:ascii="Tahoma" w:hAnsi="Tahoma" w:cs="Tahoma"/>
          <w:sz w:val="20"/>
          <w:szCs w:val="20"/>
        </w:rPr>
        <w:t xml:space="preserve"> </w:t>
      </w:r>
      <w:r w:rsidR="002F24E1" w:rsidRPr="00B004EE">
        <w:rPr>
          <w:rFonts w:ascii="Tahoma" w:hAnsi="Tahoma" w:cs="Tahoma"/>
          <w:sz w:val="20"/>
          <w:szCs w:val="20"/>
        </w:rPr>
        <w:t>d'étêtage</w:t>
      </w:r>
      <w:r w:rsidR="00DB1635" w:rsidRPr="00B004EE">
        <w:rPr>
          <w:rFonts w:ascii="Tahoma" w:hAnsi="Tahoma" w:cs="Tahoma"/>
          <w:sz w:val="20"/>
          <w:szCs w:val="20"/>
        </w:rPr>
        <w:t xml:space="preserve"> </w:t>
      </w:r>
      <w:r w:rsidR="002F24E1" w:rsidRPr="00B004EE">
        <w:rPr>
          <w:rFonts w:ascii="Tahoma" w:hAnsi="Tahoma" w:cs="Tahoma"/>
          <w:sz w:val="20"/>
          <w:szCs w:val="20"/>
        </w:rPr>
        <w:t>doivent</w:t>
      </w:r>
      <w:r w:rsidR="00DB1635" w:rsidRPr="00B004EE">
        <w:rPr>
          <w:rFonts w:ascii="Tahoma" w:hAnsi="Tahoma" w:cs="Tahoma"/>
          <w:sz w:val="20"/>
          <w:szCs w:val="20"/>
        </w:rPr>
        <w:t xml:space="preserve"> </w:t>
      </w:r>
      <w:r w:rsidR="002F24E1" w:rsidRPr="00B004EE">
        <w:rPr>
          <w:rFonts w:ascii="Tahoma" w:hAnsi="Tahoma" w:cs="Tahoma"/>
          <w:sz w:val="20"/>
          <w:szCs w:val="20"/>
        </w:rPr>
        <w:t>s'effectuer</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manière</w:t>
      </w:r>
      <w:r w:rsidR="00DB1635" w:rsidRPr="00B004EE">
        <w:rPr>
          <w:rFonts w:ascii="Tahoma" w:hAnsi="Tahoma" w:cs="Tahoma"/>
          <w:sz w:val="20"/>
          <w:szCs w:val="20"/>
        </w:rPr>
        <w:t xml:space="preserve"> </w:t>
      </w:r>
      <w:r w:rsidR="002F24E1" w:rsidRPr="00B004EE">
        <w:rPr>
          <w:rFonts w:ascii="Tahoma" w:hAnsi="Tahoma" w:cs="Tahoma"/>
          <w:sz w:val="20"/>
          <w:szCs w:val="20"/>
        </w:rPr>
        <w:t>hygiénique</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être</w:t>
      </w:r>
      <w:r w:rsidR="00DB1635" w:rsidRPr="00B004EE">
        <w:rPr>
          <w:rFonts w:ascii="Tahoma" w:hAnsi="Tahoma" w:cs="Tahoma"/>
          <w:sz w:val="20"/>
          <w:szCs w:val="20"/>
        </w:rPr>
        <w:t xml:space="preserve"> </w:t>
      </w:r>
      <w:r w:rsidR="002F24E1" w:rsidRPr="00B004EE">
        <w:rPr>
          <w:rFonts w:ascii="Tahoma" w:hAnsi="Tahoma" w:cs="Tahoma"/>
          <w:sz w:val="20"/>
          <w:szCs w:val="20"/>
        </w:rPr>
        <w:t>immédiatement</w:t>
      </w:r>
      <w:r w:rsidR="00DB1635" w:rsidRPr="00B004EE">
        <w:rPr>
          <w:rFonts w:ascii="Tahoma" w:hAnsi="Tahoma" w:cs="Tahoma"/>
          <w:sz w:val="20"/>
          <w:szCs w:val="20"/>
        </w:rPr>
        <w:t xml:space="preserve"> </w:t>
      </w:r>
      <w:r w:rsidR="002F24E1" w:rsidRPr="00B004EE">
        <w:rPr>
          <w:rFonts w:ascii="Tahoma" w:hAnsi="Tahoma" w:cs="Tahoma"/>
          <w:sz w:val="20"/>
          <w:szCs w:val="20"/>
        </w:rPr>
        <w:t>suivies</w:t>
      </w:r>
      <w:r w:rsidR="00DB1635" w:rsidRPr="00B004EE">
        <w:rPr>
          <w:rFonts w:ascii="Tahoma" w:hAnsi="Tahoma" w:cs="Tahoma"/>
          <w:sz w:val="20"/>
          <w:szCs w:val="20"/>
        </w:rPr>
        <w:t xml:space="preserve"> </w:t>
      </w:r>
      <w:r w:rsidR="002F24E1" w:rsidRPr="00B004EE">
        <w:rPr>
          <w:rFonts w:ascii="Tahoma" w:hAnsi="Tahoma" w:cs="Tahoma"/>
          <w:sz w:val="20"/>
          <w:szCs w:val="20"/>
        </w:rPr>
        <w:t>d'un</w:t>
      </w:r>
      <w:r w:rsidR="00DB1635" w:rsidRPr="00B004EE">
        <w:rPr>
          <w:rFonts w:ascii="Tahoma" w:hAnsi="Tahoma" w:cs="Tahoma"/>
          <w:sz w:val="20"/>
          <w:szCs w:val="20"/>
        </w:rPr>
        <w:t xml:space="preserve"> </w:t>
      </w:r>
      <w:r w:rsidR="002F24E1" w:rsidRPr="00B004EE">
        <w:rPr>
          <w:rFonts w:ascii="Tahoma" w:hAnsi="Tahoma" w:cs="Tahoma"/>
          <w:sz w:val="20"/>
          <w:szCs w:val="20"/>
        </w:rPr>
        <w:t>lavage</w:t>
      </w:r>
      <w:r w:rsidR="00DB1635" w:rsidRPr="00B004EE">
        <w:rPr>
          <w:rFonts w:ascii="Tahoma" w:hAnsi="Tahoma" w:cs="Tahoma"/>
          <w:sz w:val="20"/>
          <w:szCs w:val="20"/>
        </w:rPr>
        <w:t xml:space="preserve"> </w:t>
      </w:r>
      <w:r w:rsidR="002F24E1" w:rsidRPr="00B004EE">
        <w:rPr>
          <w:rFonts w:ascii="Tahoma" w:hAnsi="Tahoma" w:cs="Tahoma"/>
          <w:sz w:val="20"/>
          <w:szCs w:val="20"/>
        </w:rPr>
        <w:t>abondant.</w:t>
      </w:r>
      <w:r w:rsidR="00DB1635" w:rsidRPr="00B004EE">
        <w:rPr>
          <w:rFonts w:ascii="Tahoma" w:hAnsi="Tahoma" w:cs="Tahoma"/>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2F24E1" w:rsidRPr="00B004EE">
        <w:rPr>
          <w:rFonts w:ascii="Tahoma" w:hAnsi="Tahoma" w:cs="Tahoma"/>
          <w:sz w:val="20"/>
          <w:szCs w:val="20"/>
        </w:rPr>
        <w:t>viscères</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parties</w:t>
      </w:r>
      <w:r w:rsidR="00DB1635" w:rsidRPr="00B004EE">
        <w:rPr>
          <w:rFonts w:ascii="Tahoma" w:hAnsi="Tahoma" w:cs="Tahoma"/>
          <w:sz w:val="20"/>
          <w:szCs w:val="20"/>
        </w:rPr>
        <w:t xml:space="preserve"> </w:t>
      </w:r>
      <w:r w:rsidR="002F24E1" w:rsidRPr="00B004EE">
        <w:rPr>
          <w:rFonts w:ascii="Tahoma" w:hAnsi="Tahoma" w:cs="Tahoma"/>
          <w:sz w:val="20"/>
          <w:szCs w:val="20"/>
        </w:rPr>
        <w:t>pouvant</w:t>
      </w:r>
      <w:r w:rsidR="00DB1635" w:rsidRPr="00B004EE">
        <w:rPr>
          <w:rFonts w:ascii="Tahoma" w:hAnsi="Tahoma" w:cs="Tahoma"/>
          <w:sz w:val="20"/>
          <w:szCs w:val="20"/>
        </w:rPr>
        <w:t xml:space="preserve"> </w:t>
      </w:r>
      <w:r w:rsidR="002F24E1" w:rsidRPr="00B004EE">
        <w:rPr>
          <w:rFonts w:ascii="Tahoma" w:hAnsi="Tahoma" w:cs="Tahoma"/>
          <w:sz w:val="20"/>
          <w:szCs w:val="20"/>
        </w:rPr>
        <w:t>constituer</w:t>
      </w:r>
      <w:r w:rsidR="00DB1635" w:rsidRPr="00B004EE">
        <w:rPr>
          <w:rFonts w:ascii="Tahoma" w:hAnsi="Tahoma" w:cs="Tahoma"/>
          <w:sz w:val="20"/>
          <w:szCs w:val="20"/>
        </w:rPr>
        <w:t xml:space="preserve"> </w:t>
      </w:r>
      <w:r w:rsidR="002F24E1" w:rsidRPr="00B004EE">
        <w:rPr>
          <w:rFonts w:ascii="Tahoma" w:hAnsi="Tahoma" w:cs="Tahoma"/>
          <w:sz w:val="20"/>
          <w:szCs w:val="20"/>
        </w:rPr>
        <w:t>un</w:t>
      </w:r>
      <w:r w:rsidR="00DB1635" w:rsidRPr="00B004EE">
        <w:rPr>
          <w:rFonts w:ascii="Tahoma" w:hAnsi="Tahoma" w:cs="Tahoma"/>
          <w:sz w:val="20"/>
          <w:szCs w:val="20"/>
        </w:rPr>
        <w:t xml:space="preserve"> </w:t>
      </w:r>
      <w:r w:rsidR="002F24E1" w:rsidRPr="00B004EE">
        <w:rPr>
          <w:rFonts w:ascii="Tahoma" w:hAnsi="Tahoma" w:cs="Tahoma"/>
          <w:sz w:val="20"/>
          <w:szCs w:val="20"/>
        </w:rPr>
        <w:t>danger</w:t>
      </w:r>
      <w:r w:rsidR="00DB1635" w:rsidRPr="00B004EE">
        <w:rPr>
          <w:rFonts w:ascii="Tahoma" w:hAnsi="Tahoma" w:cs="Tahoma"/>
          <w:sz w:val="20"/>
          <w:szCs w:val="20"/>
        </w:rPr>
        <w:t xml:space="preserve"> </w:t>
      </w:r>
      <w:r w:rsidR="002F24E1" w:rsidRPr="00B004EE">
        <w:rPr>
          <w:rFonts w:ascii="Tahoma" w:hAnsi="Tahoma" w:cs="Tahoma"/>
          <w:sz w:val="20"/>
          <w:szCs w:val="20"/>
        </w:rPr>
        <w:t>pour</w:t>
      </w:r>
      <w:r w:rsidR="00DB1635" w:rsidRPr="00B004EE">
        <w:rPr>
          <w:rFonts w:ascii="Tahoma" w:hAnsi="Tahoma" w:cs="Tahoma"/>
          <w:sz w:val="20"/>
          <w:szCs w:val="20"/>
        </w:rPr>
        <w:t xml:space="preserve"> </w:t>
      </w:r>
      <w:r w:rsidR="002F24E1" w:rsidRPr="00B004EE">
        <w:rPr>
          <w:rFonts w:ascii="Tahoma" w:hAnsi="Tahoma" w:cs="Tahoma"/>
          <w:sz w:val="20"/>
          <w:szCs w:val="20"/>
        </w:rPr>
        <w:t>la</w:t>
      </w:r>
      <w:r w:rsidR="00DB1635" w:rsidRPr="00B004EE">
        <w:rPr>
          <w:rFonts w:ascii="Tahoma" w:hAnsi="Tahoma" w:cs="Tahoma"/>
          <w:sz w:val="20"/>
          <w:szCs w:val="20"/>
        </w:rPr>
        <w:t xml:space="preserve"> </w:t>
      </w:r>
      <w:r w:rsidR="002F24E1" w:rsidRPr="00B004EE">
        <w:rPr>
          <w:rFonts w:ascii="Tahoma" w:hAnsi="Tahoma" w:cs="Tahoma"/>
          <w:sz w:val="20"/>
          <w:szCs w:val="20"/>
        </w:rPr>
        <w:t>santé</w:t>
      </w:r>
      <w:r w:rsidR="00DB1635" w:rsidRPr="00B004EE">
        <w:rPr>
          <w:rFonts w:ascii="Tahoma" w:hAnsi="Tahoma" w:cs="Tahoma"/>
          <w:sz w:val="20"/>
          <w:szCs w:val="20"/>
        </w:rPr>
        <w:t xml:space="preserve"> </w:t>
      </w:r>
      <w:r w:rsidR="002F24E1" w:rsidRPr="00B004EE">
        <w:rPr>
          <w:rFonts w:ascii="Tahoma" w:hAnsi="Tahoma" w:cs="Tahoma"/>
          <w:sz w:val="20"/>
          <w:szCs w:val="20"/>
        </w:rPr>
        <w:t>publique</w:t>
      </w:r>
      <w:r w:rsidR="00DB1635" w:rsidRPr="00B004EE">
        <w:rPr>
          <w:rFonts w:ascii="Tahoma" w:hAnsi="Tahoma" w:cs="Tahoma"/>
          <w:sz w:val="20"/>
          <w:szCs w:val="20"/>
        </w:rPr>
        <w:t xml:space="preserve"> </w:t>
      </w:r>
      <w:r w:rsidR="002F24E1" w:rsidRPr="00B004EE">
        <w:rPr>
          <w:rFonts w:ascii="Tahoma" w:hAnsi="Tahoma" w:cs="Tahoma"/>
          <w:sz w:val="20"/>
          <w:szCs w:val="20"/>
        </w:rPr>
        <w:t>sont</w:t>
      </w:r>
      <w:r w:rsidR="00DB1635" w:rsidRPr="00B004EE">
        <w:rPr>
          <w:rFonts w:ascii="Tahoma" w:hAnsi="Tahoma" w:cs="Tahoma"/>
          <w:sz w:val="20"/>
          <w:szCs w:val="20"/>
        </w:rPr>
        <w:t xml:space="preserve"> </w:t>
      </w:r>
      <w:r w:rsidR="002F24E1" w:rsidRPr="00B004EE">
        <w:rPr>
          <w:rFonts w:ascii="Tahoma" w:hAnsi="Tahoma" w:cs="Tahoma"/>
          <w:sz w:val="20"/>
          <w:szCs w:val="20"/>
        </w:rPr>
        <w:t>séparés</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écartés</w:t>
      </w:r>
      <w:r w:rsidR="00DB1635" w:rsidRPr="00B004EE">
        <w:rPr>
          <w:rFonts w:ascii="Tahoma" w:hAnsi="Tahoma" w:cs="Tahoma"/>
          <w:sz w:val="20"/>
          <w:szCs w:val="20"/>
        </w:rPr>
        <w:t xml:space="preserve"> </w:t>
      </w:r>
      <w:r w:rsidR="002F24E1" w:rsidRPr="00B004EE">
        <w:rPr>
          <w:rFonts w:ascii="Tahoma" w:hAnsi="Tahoma" w:cs="Tahoma"/>
          <w:sz w:val="20"/>
          <w:szCs w:val="20"/>
        </w:rPr>
        <w:t>des</w:t>
      </w:r>
      <w:r w:rsidR="00DB1635" w:rsidRPr="00B004EE">
        <w:rPr>
          <w:rFonts w:ascii="Tahoma" w:hAnsi="Tahoma" w:cs="Tahoma"/>
          <w:sz w:val="20"/>
          <w:szCs w:val="20"/>
        </w:rPr>
        <w:t xml:space="preserve"> </w:t>
      </w:r>
      <w:r w:rsidR="002F24E1" w:rsidRPr="00B004EE">
        <w:rPr>
          <w:rFonts w:ascii="Tahoma" w:hAnsi="Tahoma" w:cs="Tahoma"/>
          <w:sz w:val="20"/>
          <w:szCs w:val="20"/>
        </w:rPr>
        <w:t>denrées</w:t>
      </w:r>
      <w:r w:rsidR="00DB1635" w:rsidRPr="00B004EE">
        <w:rPr>
          <w:rFonts w:ascii="Tahoma" w:hAnsi="Tahoma" w:cs="Tahoma"/>
          <w:sz w:val="20"/>
          <w:szCs w:val="20"/>
        </w:rPr>
        <w:t xml:space="preserve"> </w:t>
      </w:r>
      <w:r w:rsidR="002F24E1" w:rsidRPr="00B004EE">
        <w:rPr>
          <w:rFonts w:ascii="Tahoma" w:hAnsi="Tahoma" w:cs="Tahoma"/>
          <w:sz w:val="20"/>
          <w:szCs w:val="20"/>
        </w:rPr>
        <w:t>à</w:t>
      </w:r>
      <w:r w:rsidR="00DB1635" w:rsidRPr="00B004EE">
        <w:rPr>
          <w:rFonts w:ascii="Tahoma" w:hAnsi="Tahoma" w:cs="Tahoma"/>
          <w:sz w:val="20"/>
          <w:szCs w:val="20"/>
        </w:rPr>
        <w:t xml:space="preserve"> </w:t>
      </w:r>
      <w:r w:rsidR="002F24E1" w:rsidRPr="00B004EE">
        <w:rPr>
          <w:rFonts w:ascii="Tahoma" w:hAnsi="Tahoma" w:cs="Tahoma"/>
          <w:sz w:val="20"/>
          <w:szCs w:val="20"/>
        </w:rPr>
        <w:t>la</w:t>
      </w:r>
      <w:r w:rsidR="00DB1635" w:rsidRPr="00B004EE">
        <w:rPr>
          <w:rFonts w:ascii="Tahoma" w:hAnsi="Tahoma" w:cs="Tahoma"/>
          <w:sz w:val="20"/>
          <w:szCs w:val="20"/>
        </w:rPr>
        <w:t xml:space="preserve"> </w:t>
      </w:r>
      <w:r w:rsidR="002F24E1" w:rsidRPr="00B004EE">
        <w:rPr>
          <w:rFonts w:ascii="Tahoma" w:hAnsi="Tahoma" w:cs="Tahoma"/>
          <w:sz w:val="20"/>
          <w:szCs w:val="20"/>
        </w:rPr>
        <w:t>consommation</w:t>
      </w:r>
      <w:r w:rsidR="00DB1635" w:rsidRPr="00B004EE">
        <w:rPr>
          <w:rFonts w:ascii="Tahoma" w:hAnsi="Tahoma" w:cs="Tahoma"/>
          <w:sz w:val="20"/>
          <w:szCs w:val="20"/>
        </w:rPr>
        <w:t xml:space="preserve"> </w:t>
      </w:r>
      <w:r w:rsidR="002F24E1" w:rsidRPr="00B004EE">
        <w:rPr>
          <w:rFonts w:ascii="Tahoma" w:hAnsi="Tahoma" w:cs="Tahoma"/>
          <w:sz w:val="20"/>
          <w:szCs w:val="20"/>
        </w:rPr>
        <w:t>humaine.</w:t>
      </w:r>
      <w:r w:rsidR="00DB1635" w:rsidRPr="00B004EE">
        <w:rPr>
          <w:rFonts w:ascii="Tahoma" w:hAnsi="Tahoma" w:cs="Tahoma"/>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2F24E1" w:rsidRPr="00B004EE">
        <w:rPr>
          <w:rFonts w:ascii="Tahoma" w:hAnsi="Tahoma" w:cs="Tahoma"/>
          <w:sz w:val="20"/>
          <w:szCs w:val="20"/>
        </w:rPr>
        <w:t>foies,</w:t>
      </w:r>
      <w:r w:rsidR="00DB1635" w:rsidRPr="00B004EE">
        <w:rPr>
          <w:rFonts w:ascii="Tahoma" w:hAnsi="Tahoma" w:cs="Tahoma"/>
          <w:sz w:val="20"/>
          <w:szCs w:val="20"/>
        </w:rPr>
        <w:t xml:space="preserve"> </w:t>
      </w:r>
      <w:r w:rsidR="00BC1DA4" w:rsidRPr="00B004EE">
        <w:rPr>
          <w:rFonts w:ascii="Tahoma" w:hAnsi="Tahoma" w:cs="Tahoma"/>
          <w:sz w:val="20"/>
          <w:szCs w:val="20"/>
        </w:rPr>
        <w:t>œufs</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laitances</w:t>
      </w:r>
      <w:r w:rsidR="00DB1635" w:rsidRPr="00B004EE">
        <w:rPr>
          <w:rFonts w:ascii="Tahoma" w:hAnsi="Tahoma" w:cs="Tahoma"/>
          <w:sz w:val="20"/>
          <w:szCs w:val="20"/>
        </w:rPr>
        <w:t xml:space="preserve"> </w:t>
      </w:r>
      <w:r w:rsidR="002F24E1" w:rsidRPr="00B004EE">
        <w:rPr>
          <w:rFonts w:ascii="Tahoma" w:hAnsi="Tahoma" w:cs="Tahoma"/>
          <w:sz w:val="20"/>
          <w:szCs w:val="20"/>
        </w:rPr>
        <w:t>destinés</w:t>
      </w:r>
      <w:r w:rsidR="00DB1635" w:rsidRPr="00B004EE">
        <w:rPr>
          <w:rFonts w:ascii="Tahoma" w:hAnsi="Tahoma" w:cs="Tahoma"/>
          <w:sz w:val="20"/>
          <w:szCs w:val="20"/>
        </w:rPr>
        <w:t xml:space="preserve"> </w:t>
      </w:r>
      <w:r w:rsidR="002F24E1" w:rsidRPr="00B004EE">
        <w:rPr>
          <w:rFonts w:ascii="Tahoma" w:hAnsi="Tahoma" w:cs="Tahoma"/>
          <w:sz w:val="20"/>
          <w:szCs w:val="20"/>
        </w:rPr>
        <w:t>à</w:t>
      </w:r>
      <w:r w:rsidR="00DB1635" w:rsidRPr="00B004EE">
        <w:rPr>
          <w:rFonts w:ascii="Tahoma" w:hAnsi="Tahoma" w:cs="Tahoma"/>
          <w:sz w:val="20"/>
          <w:szCs w:val="20"/>
        </w:rPr>
        <w:t xml:space="preserve"> </w:t>
      </w:r>
      <w:r w:rsidR="002F24E1" w:rsidRPr="00B004EE">
        <w:rPr>
          <w:rFonts w:ascii="Tahoma" w:hAnsi="Tahoma" w:cs="Tahoma"/>
          <w:sz w:val="20"/>
          <w:szCs w:val="20"/>
        </w:rPr>
        <w:t>cette</w:t>
      </w:r>
      <w:r w:rsidR="00DB1635" w:rsidRPr="00B004EE">
        <w:rPr>
          <w:rFonts w:ascii="Tahoma" w:hAnsi="Tahoma" w:cs="Tahoma"/>
          <w:sz w:val="20"/>
          <w:szCs w:val="20"/>
        </w:rPr>
        <w:t xml:space="preserve"> </w:t>
      </w:r>
      <w:r w:rsidR="002F24E1" w:rsidRPr="00B004EE">
        <w:rPr>
          <w:rFonts w:ascii="Tahoma" w:hAnsi="Tahoma" w:cs="Tahoma"/>
          <w:sz w:val="20"/>
          <w:szCs w:val="20"/>
        </w:rPr>
        <w:t>consommation</w:t>
      </w:r>
      <w:r w:rsidR="00DB1635" w:rsidRPr="00B004EE">
        <w:rPr>
          <w:rFonts w:ascii="Tahoma" w:hAnsi="Tahoma" w:cs="Tahoma"/>
          <w:sz w:val="20"/>
          <w:szCs w:val="20"/>
        </w:rPr>
        <w:t xml:space="preserve"> </w:t>
      </w:r>
      <w:r w:rsidR="002F24E1" w:rsidRPr="00B004EE">
        <w:rPr>
          <w:rFonts w:ascii="Tahoma" w:hAnsi="Tahoma" w:cs="Tahoma"/>
          <w:sz w:val="20"/>
          <w:szCs w:val="20"/>
        </w:rPr>
        <w:t>sont</w:t>
      </w:r>
      <w:r w:rsidR="00DB1635" w:rsidRPr="00B004EE">
        <w:rPr>
          <w:rFonts w:ascii="Tahoma" w:hAnsi="Tahoma" w:cs="Tahoma"/>
          <w:sz w:val="20"/>
          <w:szCs w:val="20"/>
        </w:rPr>
        <w:t xml:space="preserve"> </w:t>
      </w:r>
      <w:r w:rsidR="002F24E1" w:rsidRPr="00B004EE">
        <w:rPr>
          <w:rFonts w:ascii="Tahoma" w:hAnsi="Tahoma" w:cs="Tahoma"/>
          <w:sz w:val="20"/>
          <w:szCs w:val="20"/>
        </w:rPr>
        <w:t>conservés</w:t>
      </w:r>
      <w:r w:rsidR="00DB1635" w:rsidRPr="00B004EE">
        <w:rPr>
          <w:rFonts w:ascii="Tahoma" w:hAnsi="Tahoma" w:cs="Tahoma"/>
          <w:sz w:val="20"/>
          <w:szCs w:val="20"/>
        </w:rPr>
        <w:t xml:space="preserve"> </w:t>
      </w:r>
      <w:r w:rsidR="002F24E1" w:rsidRPr="00B004EE">
        <w:rPr>
          <w:rFonts w:ascii="Tahoma" w:hAnsi="Tahoma" w:cs="Tahoma"/>
          <w:sz w:val="20"/>
          <w:szCs w:val="20"/>
        </w:rPr>
        <w:t>sous</w:t>
      </w:r>
      <w:r w:rsidR="00DB1635" w:rsidRPr="00B004EE">
        <w:rPr>
          <w:rFonts w:ascii="Tahoma" w:hAnsi="Tahoma" w:cs="Tahoma"/>
          <w:sz w:val="20"/>
          <w:szCs w:val="20"/>
        </w:rPr>
        <w:t xml:space="preserve"> </w:t>
      </w:r>
      <w:r w:rsidR="002F24E1" w:rsidRPr="00B004EE">
        <w:rPr>
          <w:rFonts w:ascii="Tahoma" w:hAnsi="Tahoma" w:cs="Tahoma"/>
          <w:sz w:val="20"/>
          <w:szCs w:val="20"/>
        </w:rPr>
        <w:t>glace</w:t>
      </w:r>
      <w:r w:rsidR="00DB1635" w:rsidRPr="00B004EE">
        <w:rPr>
          <w:rFonts w:ascii="Tahoma" w:hAnsi="Tahoma" w:cs="Tahoma"/>
          <w:sz w:val="20"/>
          <w:szCs w:val="20"/>
        </w:rPr>
        <w:t xml:space="preserve"> </w:t>
      </w:r>
      <w:r w:rsidR="002F24E1" w:rsidRPr="00B004EE">
        <w:rPr>
          <w:rFonts w:ascii="Tahoma" w:hAnsi="Tahoma" w:cs="Tahoma"/>
          <w:sz w:val="20"/>
          <w:szCs w:val="20"/>
        </w:rPr>
        <w:t>ou</w:t>
      </w:r>
      <w:r w:rsidR="00DB1635" w:rsidRPr="00B004EE">
        <w:rPr>
          <w:rFonts w:ascii="Tahoma" w:hAnsi="Tahoma" w:cs="Tahoma"/>
          <w:sz w:val="20"/>
          <w:szCs w:val="20"/>
        </w:rPr>
        <w:t xml:space="preserve"> </w:t>
      </w:r>
      <w:r w:rsidR="002F24E1" w:rsidRPr="00B004EE">
        <w:rPr>
          <w:rFonts w:ascii="Tahoma" w:hAnsi="Tahoma" w:cs="Tahoma"/>
          <w:sz w:val="20"/>
          <w:szCs w:val="20"/>
        </w:rPr>
        <w:t>congelés.</w:t>
      </w:r>
    </w:p>
    <w:p w14:paraId="02FC5B5D" w14:textId="77777777" w:rsidR="002F24E1" w:rsidRPr="00B004EE" w:rsidRDefault="002F24E1" w:rsidP="00B004EE">
      <w:pPr>
        <w:jc w:val="both"/>
        <w:rPr>
          <w:rFonts w:ascii="Tahoma" w:hAnsi="Tahoma" w:cs="Tahoma"/>
          <w:sz w:val="20"/>
          <w:szCs w:val="20"/>
        </w:rPr>
      </w:pPr>
    </w:p>
    <w:p w14:paraId="2649B662" w14:textId="37420A3B" w:rsidR="002F24E1" w:rsidRPr="00B004EE" w:rsidRDefault="00AD7D88" w:rsidP="00B004EE">
      <w:pPr>
        <w:jc w:val="both"/>
        <w:rPr>
          <w:rFonts w:ascii="Tahoma" w:hAnsi="Tahoma" w:cs="Tahoma"/>
          <w:sz w:val="20"/>
          <w:szCs w:val="20"/>
        </w:rPr>
      </w:pPr>
      <w:r w:rsidRPr="00B004EE">
        <w:rPr>
          <w:rFonts w:ascii="Tahoma" w:hAnsi="Tahoma" w:cs="Tahoma"/>
          <w:bCs/>
          <w:sz w:val="20"/>
          <w:szCs w:val="20"/>
        </w:rPr>
        <w:t xml:space="preserve">Article </w:t>
      </w:r>
      <w:r w:rsidR="002F24E1" w:rsidRPr="00B004EE">
        <w:rPr>
          <w:rFonts w:ascii="Tahoma" w:hAnsi="Tahoma" w:cs="Tahoma"/>
          <w:bCs/>
          <w:sz w:val="20"/>
          <w:szCs w:val="20"/>
        </w:rPr>
        <w:t>9</w:t>
      </w:r>
      <w:r w:rsidR="00DB1635" w:rsidRPr="00B004EE">
        <w:rPr>
          <w:rFonts w:ascii="Tahoma" w:hAnsi="Tahoma" w:cs="Tahoma"/>
          <w:bCs/>
          <w:sz w:val="20"/>
          <w:szCs w:val="20"/>
        </w:rPr>
        <w:t xml:space="preserve"> </w:t>
      </w:r>
      <w:r w:rsidR="002F24E1" w:rsidRPr="00B004EE">
        <w:rPr>
          <w:rFonts w:ascii="Tahoma" w:hAnsi="Tahoma" w:cs="Tahoma"/>
          <w:bCs/>
          <w:sz w:val="20"/>
          <w:szCs w:val="20"/>
        </w:rPr>
        <w:t>:</w:t>
      </w:r>
      <w:r w:rsidR="00DB1635" w:rsidRPr="00B004EE">
        <w:rPr>
          <w:rFonts w:ascii="Tahoma" w:hAnsi="Tahoma" w:cs="Tahoma"/>
          <w:b/>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2F24E1" w:rsidRPr="00B004EE">
        <w:rPr>
          <w:rFonts w:ascii="Tahoma" w:hAnsi="Tahoma" w:cs="Tahoma"/>
          <w:sz w:val="20"/>
          <w:szCs w:val="20"/>
        </w:rPr>
        <w:t>produits</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la</w:t>
      </w:r>
      <w:r w:rsidR="00DB1635" w:rsidRPr="00B004EE">
        <w:rPr>
          <w:rFonts w:ascii="Tahoma" w:hAnsi="Tahoma" w:cs="Tahoma"/>
          <w:sz w:val="20"/>
          <w:szCs w:val="20"/>
        </w:rPr>
        <w:t xml:space="preserve"> </w:t>
      </w:r>
      <w:r w:rsidR="002F24E1" w:rsidRPr="00B004EE">
        <w:rPr>
          <w:rFonts w:ascii="Tahoma" w:hAnsi="Tahoma" w:cs="Tahoma"/>
          <w:sz w:val="20"/>
          <w:szCs w:val="20"/>
        </w:rPr>
        <w:t>pêche</w:t>
      </w:r>
      <w:r w:rsidR="00DB1635" w:rsidRPr="00B004EE">
        <w:rPr>
          <w:rFonts w:ascii="Tahoma" w:hAnsi="Tahoma" w:cs="Tahoma"/>
          <w:sz w:val="20"/>
          <w:szCs w:val="20"/>
        </w:rPr>
        <w:t xml:space="preserve"> </w:t>
      </w:r>
      <w:r w:rsidR="002F24E1" w:rsidRPr="00B004EE">
        <w:rPr>
          <w:rFonts w:ascii="Tahoma" w:hAnsi="Tahoma" w:cs="Tahoma"/>
          <w:sz w:val="20"/>
          <w:szCs w:val="20"/>
        </w:rPr>
        <w:t>doivent</w:t>
      </w:r>
      <w:r w:rsidR="00DB1635" w:rsidRPr="00B004EE">
        <w:rPr>
          <w:rFonts w:ascii="Tahoma" w:hAnsi="Tahoma" w:cs="Tahoma"/>
          <w:sz w:val="20"/>
          <w:szCs w:val="20"/>
        </w:rPr>
        <w:t xml:space="preserve"> </w:t>
      </w:r>
      <w:r w:rsidR="002F24E1" w:rsidRPr="00B004EE">
        <w:rPr>
          <w:rFonts w:ascii="Tahoma" w:hAnsi="Tahoma" w:cs="Tahoma"/>
          <w:sz w:val="20"/>
          <w:szCs w:val="20"/>
        </w:rPr>
        <w:t>être</w:t>
      </w:r>
      <w:r w:rsidR="00DB1635" w:rsidRPr="00B004EE">
        <w:rPr>
          <w:rFonts w:ascii="Tahoma" w:hAnsi="Tahoma" w:cs="Tahoma"/>
          <w:sz w:val="20"/>
          <w:szCs w:val="20"/>
        </w:rPr>
        <w:t xml:space="preserve"> </w:t>
      </w:r>
      <w:r w:rsidR="002F24E1" w:rsidRPr="00B004EE">
        <w:rPr>
          <w:rFonts w:ascii="Tahoma" w:hAnsi="Tahoma" w:cs="Tahoma"/>
          <w:sz w:val="20"/>
          <w:szCs w:val="20"/>
        </w:rPr>
        <w:t>soumis</w:t>
      </w:r>
      <w:r w:rsidR="00DB1635" w:rsidRPr="00B004EE">
        <w:rPr>
          <w:rFonts w:ascii="Tahoma" w:hAnsi="Tahoma" w:cs="Tahoma"/>
          <w:sz w:val="20"/>
          <w:szCs w:val="20"/>
        </w:rPr>
        <w:t xml:space="preserve"> </w:t>
      </w:r>
      <w:r w:rsidR="002F24E1" w:rsidRPr="00B004EE">
        <w:rPr>
          <w:rFonts w:ascii="Tahoma" w:hAnsi="Tahoma" w:cs="Tahoma"/>
          <w:sz w:val="20"/>
          <w:szCs w:val="20"/>
        </w:rPr>
        <w:t>à</w:t>
      </w:r>
      <w:r w:rsidR="00DB1635" w:rsidRPr="00B004EE">
        <w:rPr>
          <w:rFonts w:ascii="Tahoma" w:hAnsi="Tahoma" w:cs="Tahoma"/>
          <w:sz w:val="20"/>
          <w:szCs w:val="20"/>
        </w:rPr>
        <w:t xml:space="preserve"> </w:t>
      </w:r>
      <w:r w:rsidR="002F24E1" w:rsidRPr="00B004EE">
        <w:rPr>
          <w:rFonts w:ascii="Tahoma" w:hAnsi="Tahoma" w:cs="Tahoma"/>
          <w:sz w:val="20"/>
          <w:szCs w:val="20"/>
        </w:rPr>
        <w:t>l'action</w:t>
      </w:r>
      <w:r w:rsidR="00DB1635" w:rsidRPr="00B004EE">
        <w:rPr>
          <w:rFonts w:ascii="Tahoma" w:hAnsi="Tahoma" w:cs="Tahoma"/>
          <w:sz w:val="20"/>
          <w:szCs w:val="20"/>
        </w:rPr>
        <w:t xml:space="preserve"> </w:t>
      </w:r>
      <w:r w:rsidR="002F24E1" w:rsidRPr="00B004EE">
        <w:rPr>
          <w:rFonts w:ascii="Tahoma" w:hAnsi="Tahoma" w:cs="Tahoma"/>
          <w:sz w:val="20"/>
          <w:szCs w:val="20"/>
        </w:rPr>
        <w:t>du</w:t>
      </w:r>
      <w:r w:rsidR="00DB1635" w:rsidRPr="00B004EE">
        <w:rPr>
          <w:rFonts w:ascii="Tahoma" w:hAnsi="Tahoma" w:cs="Tahoma"/>
          <w:sz w:val="20"/>
          <w:szCs w:val="20"/>
        </w:rPr>
        <w:t xml:space="preserve"> </w:t>
      </w:r>
      <w:r w:rsidR="002F24E1" w:rsidRPr="00B004EE">
        <w:rPr>
          <w:rFonts w:ascii="Tahoma" w:hAnsi="Tahoma" w:cs="Tahoma"/>
          <w:sz w:val="20"/>
          <w:szCs w:val="20"/>
        </w:rPr>
        <w:t>froid</w:t>
      </w:r>
      <w:r w:rsidR="00DB1635" w:rsidRPr="00B004EE">
        <w:rPr>
          <w:rFonts w:ascii="Tahoma" w:hAnsi="Tahoma" w:cs="Tahoma"/>
          <w:sz w:val="20"/>
          <w:szCs w:val="20"/>
        </w:rPr>
        <w:t xml:space="preserve"> </w:t>
      </w:r>
      <w:r w:rsidR="002F24E1" w:rsidRPr="00B004EE">
        <w:rPr>
          <w:rFonts w:ascii="Tahoma" w:hAnsi="Tahoma" w:cs="Tahoma"/>
          <w:sz w:val="20"/>
          <w:szCs w:val="20"/>
        </w:rPr>
        <w:t>le</w:t>
      </w:r>
      <w:r w:rsidR="00DB1635" w:rsidRPr="00B004EE">
        <w:rPr>
          <w:rFonts w:ascii="Tahoma" w:hAnsi="Tahoma" w:cs="Tahoma"/>
          <w:sz w:val="20"/>
          <w:szCs w:val="20"/>
        </w:rPr>
        <w:t xml:space="preserve"> </w:t>
      </w:r>
      <w:r w:rsidR="002F24E1" w:rsidRPr="00B004EE">
        <w:rPr>
          <w:rFonts w:ascii="Tahoma" w:hAnsi="Tahoma" w:cs="Tahoma"/>
          <w:sz w:val="20"/>
          <w:szCs w:val="20"/>
        </w:rPr>
        <w:t>plus</w:t>
      </w:r>
      <w:r w:rsidR="00DB1635" w:rsidRPr="00B004EE">
        <w:rPr>
          <w:rFonts w:ascii="Tahoma" w:hAnsi="Tahoma" w:cs="Tahoma"/>
          <w:sz w:val="20"/>
          <w:szCs w:val="20"/>
        </w:rPr>
        <w:t xml:space="preserve"> </w:t>
      </w:r>
      <w:r w:rsidR="002F24E1" w:rsidRPr="00B004EE">
        <w:rPr>
          <w:rFonts w:ascii="Tahoma" w:hAnsi="Tahoma" w:cs="Tahoma"/>
          <w:sz w:val="20"/>
          <w:szCs w:val="20"/>
        </w:rPr>
        <w:t>rapidement</w:t>
      </w:r>
      <w:r w:rsidR="00DB1635" w:rsidRPr="00B004EE">
        <w:rPr>
          <w:rFonts w:ascii="Tahoma" w:hAnsi="Tahoma" w:cs="Tahoma"/>
          <w:sz w:val="20"/>
          <w:szCs w:val="20"/>
        </w:rPr>
        <w:t xml:space="preserve"> </w:t>
      </w:r>
      <w:r w:rsidR="002F24E1" w:rsidRPr="00B004EE">
        <w:rPr>
          <w:rFonts w:ascii="Tahoma" w:hAnsi="Tahoma" w:cs="Tahoma"/>
          <w:sz w:val="20"/>
          <w:szCs w:val="20"/>
        </w:rPr>
        <w:t>possible</w:t>
      </w:r>
      <w:r w:rsidR="00DB1635" w:rsidRPr="00B004EE">
        <w:rPr>
          <w:rFonts w:ascii="Tahoma" w:hAnsi="Tahoma" w:cs="Tahoma"/>
          <w:sz w:val="20"/>
          <w:szCs w:val="20"/>
        </w:rPr>
        <w:t xml:space="preserve"> </w:t>
      </w:r>
      <w:r w:rsidR="002F24E1" w:rsidRPr="00B004EE">
        <w:rPr>
          <w:rFonts w:ascii="Tahoma" w:hAnsi="Tahoma" w:cs="Tahoma"/>
          <w:sz w:val="20"/>
          <w:szCs w:val="20"/>
        </w:rPr>
        <w:t>après</w:t>
      </w:r>
      <w:r w:rsidR="00DB1635" w:rsidRPr="00B004EE">
        <w:rPr>
          <w:rFonts w:ascii="Tahoma" w:hAnsi="Tahoma" w:cs="Tahoma"/>
          <w:sz w:val="20"/>
          <w:szCs w:val="20"/>
        </w:rPr>
        <w:t xml:space="preserve"> </w:t>
      </w:r>
      <w:r w:rsidR="002F24E1" w:rsidRPr="00B004EE">
        <w:rPr>
          <w:rFonts w:ascii="Tahoma" w:hAnsi="Tahoma" w:cs="Tahoma"/>
          <w:sz w:val="20"/>
          <w:szCs w:val="20"/>
        </w:rPr>
        <w:t>leur</w:t>
      </w:r>
      <w:r w:rsidR="00DB1635" w:rsidRPr="00B004EE">
        <w:rPr>
          <w:rFonts w:ascii="Tahoma" w:hAnsi="Tahoma" w:cs="Tahoma"/>
          <w:sz w:val="20"/>
          <w:szCs w:val="20"/>
        </w:rPr>
        <w:t xml:space="preserve"> </w:t>
      </w:r>
      <w:r w:rsidR="002F24E1" w:rsidRPr="00B004EE">
        <w:rPr>
          <w:rFonts w:ascii="Tahoma" w:hAnsi="Tahoma" w:cs="Tahoma"/>
          <w:sz w:val="20"/>
          <w:szCs w:val="20"/>
        </w:rPr>
        <w:t>mise</w:t>
      </w:r>
      <w:r w:rsidR="00DB1635" w:rsidRPr="00B004EE">
        <w:rPr>
          <w:rFonts w:ascii="Tahoma" w:hAnsi="Tahoma" w:cs="Tahoma"/>
          <w:sz w:val="20"/>
          <w:szCs w:val="20"/>
        </w:rPr>
        <w:t xml:space="preserve"> </w:t>
      </w:r>
      <w:r w:rsidR="002F24E1" w:rsidRPr="00B004EE">
        <w:rPr>
          <w:rFonts w:ascii="Tahoma" w:hAnsi="Tahoma" w:cs="Tahoma"/>
          <w:sz w:val="20"/>
          <w:szCs w:val="20"/>
        </w:rPr>
        <w:t>à</w:t>
      </w:r>
      <w:r w:rsidR="00DB1635" w:rsidRPr="00B004EE">
        <w:rPr>
          <w:rFonts w:ascii="Tahoma" w:hAnsi="Tahoma" w:cs="Tahoma"/>
          <w:sz w:val="20"/>
          <w:szCs w:val="20"/>
        </w:rPr>
        <w:t xml:space="preserve"> </w:t>
      </w:r>
      <w:r w:rsidR="002F24E1" w:rsidRPr="00B004EE">
        <w:rPr>
          <w:rFonts w:ascii="Tahoma" w:hAnsi="Tahoma" w:cs="Tahoma"/>
          <w:sz w:val="20"/>
          <w:szCs w:val="20"/>
        </w:rPr>
        <w:t>bord.</w:t>
      </w:r>
      <w:r w:rsidR="00DB1635" w:rsidRPr="00B004EE">
        <w:rPr>
          <w:rFonts w:ascii="Tahoma" w:hAnsi="Tahoma" w:cs="Tahoma"/>
          <w:sz w:val="20"/>
          <w:szCs w:val="20"/>
        </w:rPr>
        <w:t xml:space="preserve"> </w:t>
      </w:r>
      <w:r w:rsidR="002F24E1" w:rsidRPr="00B004EE">
        <w:rPr>
          <w:rFonts w:ascii="Tahoma" w:hAnsi="Tahoma" w:cs="Tahoma"/>
          <w:sz w:val="20"/>
          <w:szCs w:val="20"/>
        </w:rPr>
        <w:t>Toutefois,</w:t>
      </w:r>
      <w:r w:rsidR="00DB1635" w:rsidRPr="00B004EE">
        <w:rPr>
          <w:rFonts w:ascii="Tahoma" w:hAnsi="Tahoma" w:cs="Tahoma"/>
          <w:sz w:val="20"/>
          <w:szCs w:val="20"/>
        </w:rPr>
        <w:t xml:space="preserve"> </w:t>
      </w:r>
      <w:r w:rsidR="002F24E1" w:rsidRPr="00B004EE">
        <w:rPr>
          <w:rFonts w:ascii="Tahoma" w:hAnsi="Tahoma" w:cs="Tahoma"/>
          <w:sz w:val="20"/>
          <w:szCs w:val="20"/>
        </w:rPr>
        <w:t>cette</w:t>
      </w:r>
      <w:r w:rsidR="00DB1635" w:rsidRPr="00B004EE">
        <w:rPr>
          <w:rFonts w:ascii="Tahoma" w:hAnsi="Tahoma" w:cs="Tahoma"/>
          <w:sz w:val="20"/>
          <w:szCs w:val="20"/>
        </w:rPr>
        <w:t xml:space="preserve"> </w:t>
      </w:r>
      <w:r w:rsidR="002F24E1" w:rsidRPr="00B004EE">
        <w:rPr>
          <w:rFonts w:ascii="Tahoma" w:hAnsi="Tahoma" w:cs="Tahoma"/>
          <w:sz w:val="20"/>
          <w:szCs w:val="20"/>
        </w:rPr>
        <w:t>disposition</w:t>
      </w:r>
      <w:r w:rsidR="00DB1635" w:rsidRPr="00B004EE">
        <w:rPr>
          <w:rFonts w:ascii="Tahoma" w:hAnsi="Tahoma" w:cs="Tahoma"/>
          <w:sz w:val="20"/>
          <w:szCs w:val="20"/>
        </w:rPr>
        <w:t xml:space="preserve"> </w:t>
      </w:r>
      <w:r w:rsidR="002F24E1" w:rsidRPr="00B004EE">
        <w:rPr>
          <w:rFonts w:ascii="Tahoma" w:hAnsi="Tahoma" w:cs="Tahoma"/>
          <w:sz w:val="20"/>
          <w:szCs w:val="20"/>
        </w:rPr>
        <w:t>ne</w:t>
      </w:r>
      <w:r w:rsidR="00DB1635" w:rsidRPr="00B004EE">
        <w:rPr>
          <w:rFonts w:ascii="Tahoma" w:hAnsi="Tahoma" w:cs="Tahoma"/>
          <w:sz w:val="20"/>
          <w:szCs w:val="20"/>
        </w:rPr>
        <w:t xml:space="preserve"> </w:t>
      </w:r>
      <w:r w:rsidR="002F24E1" w:rsidRPr="00B004EE">
        <w:rPr>
          <w:rFonts w:ascii="Tahoma" w:hAnsi="Tahoma" w:cs="Tahoma"/>
          <w:sz w:val="20"/>
          <w:szCs w:val="20"/>
        </w:rPr>
        <w:t>s'applique</w:t>
      </w:r>
      <w:r w:rsidR="00DB1635" w:rsidRPr="00B004EE">
        <w:rPr>
          <w:rFonts w:ascii="Tahoma" w:hAnsi="Tahoma" w:cs="Tahoma"/>
          <w:sz w:val="20"/>
          <w:szCs w:val="20"/>
        </w:rPr>
        <w:t xml:space="preserve"> </w:t>
      </w:r>
      <w:r w:rsidR="002F24E1" w:rsidRPr="00B004EE">
        <w:rPr>
          <w:rFonts w:ascii="Tahoma" w:hAnsi="Tahoma" w:cs="Tahoma"/>
          <w:sz w:val="20"/>
          <w:szCs w:val="20"/>
        </w:rPr>
        <w:t>pas</w:t>
      </w:r>
      <w:r w:rsidR="00DB1635" w:rsidRPr="00B004EE">
        <w:rPr>
          <w:rFonts w:ascii="Tahoma" w:hAnsi="Tahoma" w:cs="Tahoma"/>
          <w:sz w:val="20"/>
          <w:szCs w:val="20"/>
        </w:rPr>
        <w:t xml:space="preserve"> </w:t>
      </w:r>
      <w:r w:rsidR="002F24E1" w:rsidRPr="00B004EE">
        <w:rPr>
          <w:rFonts w:ascii="Tahoma" w:hAnsi="Tahoma" w:cs="Tahoma"/>
          <w:sz w:val="20"/>
          <w:szCs w:val="20"/>
        </w:rPr>
        <w:t>aux</w:t>
      </w:r>
      <w:r w:rsidR="00DB1635" w:rsidRPr="00B004EE">
        <w:rPr>
          <w:rFonts w:ascii="Tahoma" w:hAnsi="Tahoma" w:cs="Tahoma"/>
          <w:sz w:val="20"/>
          <w:szCs w:val="20"/>
        </w:rPr>
        <w:t xml:space="preserve"> </w:t>
      </w:r>
      <w:r w:rsidR="002F24E1" w:rsidRPr="00B004EE">
        <w:rPr>
          <w:rFonts w:ascii="Tahoma" w:hAnsi="Tahoma" w:cs="Tahoma"/>
          <w:sz w:val="20"/>
          <w:szCs w:val="20"/>
        </w:rPr>
        <w:t>navires</w:t>
      </w:r>
      <w:r w:rsidR="00DB1635" w:rsidRPr="00B004EE">
        <w:rPr>
          <w:rFonts w:ascii="Tahoma" w:hAnsi="Tahoma" w:cs="Tahoma"/>
          <w:sz w:val="20"/>
          <w:szCs w:val="20"/>
        </w:rPr>
        <w:t xml:space="preserve"> </w:t>
      </w:r>
      <w:r w:rsidR="002F24E1" w:rsidRPr="00B004EE">
        <w:rPr>
          <w:rFonts w:ascii="Tahoma" w:hAnsi="Tahoma" w:cs="Tahoma"/>
          <w:sz w:val="20"/>
          <w:szCs w:val="20"/>
        </w:rPr>
        <w:t>à</w:t>
      </w:r>
      <w:r w:rsidR="00DB1635" w:rsidRPr="00B004EE">
        <w:rPr>
          <w:rFonts w:ascii="Tahoma" w:hAnsi="Tahoma" w:cs="Tahoma"/>
          <w:sz w:val="20"/>
          <w:szCs w:val="20"/>
        </w:rPr>
        <w:t xml:space="preserve"> </w:t>
      </w:r>
      <w:r w:rsidR="002F24E1" w:rsidRPr="00B004EE">
        <w:rPr>
          <w:rFonts w:ascii="Tahoma" w:hAnsi="Tahoma" w:cs="Tahoma"/>
          <w:sz w:val="20"/>
          <w:szCs w:val="20"/>
        </w:rPr>
        <w:t>bord</w:t>
      </w:r>
      <w:r w:rsidR="00DB1635" w:rsidRPr="00B004EE">
        <w:rPr>
          <w:rFonts w:ascii="Tahoma" w:hAnsi="Tahoma" w:cs="Tahoma"/>
          <w:sz w:val="20"/>
          <w:szCs w:val="20"/>
        </w:rPr>
        <w:t xml:space="preserve"> </w:t>
      </w:r>
      <w:r w:rsidR="002F24E1" w:rsidRPr="00B004EE">
        <w:rPr>
          <w:rFonts w:ascii="Tahoma" w:hAnsi="Tahoma" w:cs="Tahoma"/>
          <w:sz w:val="20"/>
          <w:szCs w:val="20"/>
        </w:rPr>
        <w:t>desquels</w:t>
      </w:r>
      <w:r w:rsidR="00DB1635" w:rsidRPr="00B004EE">
        <w:rPr>
          <w:rFonts w:ascii="Tahoma" w:hAnsi="Tahoma" w:cs="Tahoma"/>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2F24E1" w:rsidRPr="00B004EE">
        <w:rPr>
          <w:rFonts w:ascii="Tahoma" w:hAnsi="Tahoma" w:cs="Tahoma"/>
          <w:sz w:val="20"/>
          <w:szCs w:val="20"/>
        </w:rPr>
        <w:t>produits</w:t>
      </w:r>
      <w:r w:rsidR="00DB1635" w:rsidRPr="00B004EE">
        <w:rPr>
          <w:rFonts w:ascii="Tahoma" w:hAnsi="Tahoma" w:cs="Tahoma"/>
          <w:sz w:val="20"/>
          <w:szCs w:val="20"/>
        </w:rPr>
        <w:t xml:space="preserve"> </w:t>
      </w:r>
      <w:r w:rsidR="002F24E1" w:rsidRPr="00B004EE">
        <w:rPr>
          <w:rFonts w:ascii="Tahoma" w:hAnsi="Tahoma" w:cs="Tahoma"/>
          <w:sz w:val="20"/>
          <w:szCs w:val="20"/>
        </w:rPr>
        <w:t>sont</w:t>
      </w:r>
      <w:r w:rsidR="00DB1635" w:rsidRPr="00B004EE">
        <w:rPr>
          <w:rFonts w:ascii="Tahoma" w:hAnsi="Tahoma" w:cs="Tahoma"/>
          <w:sz w:val="20"/>
          <w:szCs w:val="20"/>
        </w:rPr>
        <w:t xml:space="preserve"> </w:t>
      </w:r>
      <w:r w:rsidR="002F24E1" w:rsidRPr="00B004EE">
        <w:rPr>
          <w:rFonts w:ascii="Tahoma" w:hAnsi="Tahoma" w:cs="Tahoma"/>
          <w:sz w:val="20"/>
          <w:szCs w:val="20"/>
        </w:rPr>
        <w:t>maintenus</w:t>
      </w:r>
      <w:r w:rsidR="00DB1635" w:rsidRPr="00B004EE">
        <w:rPr>
          <w:rFonts w:ascii="Tahoma" w:hAnsi="Tahoma" w:cs="Tahoma"/>
          <w:sz w:val="20"/>
          <w:szCs w:val="20"/>
        </w:rPr>
        <w:t xml:space="preserve"> </w:t>
      </w:r>
      <w:r w:rsidR="002F24E1" w:rsidRPr="00B004EE">
        <w:rPr>
          <w:rFonts w:ascii="Tahoma" w:hAnsi="Tahoma" w:cs="Tahoma"/>
          <w:sz w:val="20"/>
          <w:szCs w:val="20"/>
        </w:rPr>
        <w:t>à</w:t>
      </w:r>
      <w:r w:rsidR="00DB1635" w:rsidRPr="00B004EE">
        <w:rPr>
          <w:rFonts w:ascii="Tahoma" w:hAnsi="Tahoma" w:cs="Tahoma"/>
          <w:sz w:val="20"/>
          <w:szCs w:val="20"/>
        </w:rPr>
        <w:t xml:space="preserve"> </w:t>
      </w:r>
      <w:r w:rsidR="002F24E1" w:rsidRPr="00B004EE">
        <w:rPr>
          <w:rFonts w:ascii="Tahoma" w:hAnsi="Tahoma" w:cs="Tahoma"/>
          <w:sz w:val="20"/>
          <w:szCs w:val="20"/>
        </w:rPr>
        <w:t>l'état</w:t>
      </w:r>
      <w:r w:rsidR="00DB1635" w:rsidRPr="00B004EE">
        <w:rPr>
          <w:rFonts w:ascii="Tahoma" w:hAnsi="Tahoma" w:cs="Tahoma"/>
          <w:sz w:val="20"/>
          <w:szCs w:val="20"/>
        </w:rPr>
        <w:t xml:space="preserve"> </w:t>
      </w:r>
      <w:r w:rsidR="002F24E1" w:rsidRPr="00B004EE">
        <w:rPr>
          <w:rFonts w:ascii="Tahoma" w:hAnsi="Tahoma" w:cs="Tahoma"/>
          <w:sz w:val="20"/>
          <w:szCs w:val="20"/>
        </w:rPr>
        <w:t>vivant.</w:t>
      </w:r>
    </w:p>
    <w:p w14:paraId="74E69EE6" w14:textId="77777777" w:rsidR="002F24E1" w:rsidRPr="00B004EE" w:rsidRDefault="002F24E1" w:rsidP="00B004EE">
      <w:pPr>
        <w:jc w:val="both"/>
        <w:rPr>
          <w:rFonts w:ascii="Tahoma" w:hAnsi="Tahoma" w:cs="Tahoma"/>
          <w:sz w:val="20"/>
          <w:szCs w:val="20"/>
        </w:rPr>
      </w:pPr>
    </w:p>
    <w:p w14:paraId="4E6AD178" w14:textId="1D029134" w:rsidR="002F24E1" w:rsidRPr="00B004EE" w:rsidRDefault="002F24E1" w:rsidP="00B004EE">
      <w:pPr>
        <w:jc w:val="both"/>
        <w:rPr>
          <w:rFonts w:ascii="Tahoma" w:hAnsi="Tahoma" w:cs="Tahoma"/>
          <w:sz w:val="20"/>
          <w:szCs w:val="20"/>
        </w:rPr>
      </w:pPr>
      <w:r w:rsidRPr="00B004EE">
        <w:rPr>
          <w:rFonts w:ascii="Tahoma" w:hAnsi="Tahoma" w:cs="Tahoma"/>
          <w:sz w:val="20"/>
          <w:szCs w:val="20"/>
        </w:rPr>
        <w:tab/>
        <w:t>La</w:t>
      </w:r>
      <w:r w:rsidR="00DB1635" w:rsidRPr="00B004EE">
        <w:rPr>
          <w:rFonts w:ascii="Tahoma" w:hAnsi="Tahoma" w:cs="Tahoma"/>
          <w:sz w:val="20"/>
          <w:szCs w:val="20"/>
        </w:rPr>
        <w:t xml:space="preserve"> </w:t>
      </w:r>
      <w:r w:rsidRPr="00B004EE">
        <w:rPr>
          <w:rFonts w:ascii="Tahoma" w:hAnsi="Tahoma" w:cs="Tahoma"/>
          <w:sz w:val="20"/>
          <w:szCs w:val="20"/>
        </w:rPr>
        <w:t>glace</w:t>
      </w:r>
      <w:r w:rsidR="00DB1635" w:rsidRPr="00B004EE">
        <w:rPr>
          <w:rFonts w:ascii="Tahoma" w:hAnsi="Tahoma" w:cs="Tahoma"/>
          <w:sz w:val="20"/>
          <w:szCs w:val="20"/>
        </w:rPr>
        <w:t xml:space="preserve"> </w:t>
      </w:r>
      <w:r w:rsidRPr="00B004EE">
        <w:rPr>
          <w:rFonts w:ascii="Tahoma" w:hAnsi="Tahoma" w:cs="Tahoma"/>
          <w:sz w:val="20"/>
          <w:szCs w:val="20"/>
        </w:rPr>
        <w:t>utilisée</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réfrigération</w:t>
      </w:r>
      <w:r w:rsidR="00DB1635" w:rsidRPr="00B004EE">
        <w:rPr>
          <w:rFonts w:ascii="Tahoma" w:hAnsi="Tahoma" w:cs="Tahoma"/>
          <w:sz w:val="20"/>
          <w:szCs w:val="20"/>
        </w:rPr>
        <w:t xml:space="preserve"> </w:t>
      </w:r>
      <w:r w:rsidRPr="00B004EE">
        <w:rPr>
          <w:rFonts w:ascii="Tahoma" w:hAnsi="Tahoma" w:cs="Tahoma"/>
          <w:sz w:val="20"/>
          <w:szCs w:val="20"/>
        </w:rPr>
        <w:t>doit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fabriquée</w:t>
      </w:r>
      <w:r w:rsidR="00DB1635" w:rsidRPr="00B004EE">
        <w:rPr>
          <w:rFonts w:ascii="Tahoma" w:hAnsi="Tahoma" w:cs="Tahoma"/>
          <w:sz w:val="20"/>
          <w:szCs w:val="20"/>
        </w:rPr>
        <w:t xml:space="preserve"> </w:t>
      </w:r>
      <w:r w:rsidRPr="00B004EE">
        <w:rPr>
          <w:rFonts w:ascii="Tahoma" w:hAnsi="Tahoma" w:cs="Tahoma"/>
          <w:sz w:val="20"/>
          <w:szCs w:val="20"/>
        </w:rPr>
        <w:t>avec</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l'eau</w:t>
      </w:r>
      <w:r w:rsidR="00DB1635" w:rsidRPr="00B004EE">
        <w:rPr>
          <w:rFonts w:ascii="Tahoma" w:hAnsi="Tahoma" w:cs="Tahoma"/>
          <w:sz w:val="20"/>
          <w:szCs w:val="20"/>
        </w:rPr>
        <w:t xml:space="preserve"> </w:t>
      </w:r>
      <w:r w:rsidRPr="00B004EE">
        <w:rPr>
          <w:rFonts w:ascii="Tahoma" w:hAnsi="Tahoma" w:cs="Tahoma"/>
          <w:sz w:val="20"/>
          <w:szCs w:val="20"/>
        </w:rPr>
        <w:t>potable</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l'eau</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mer</w:t>
      </w:r>
      <w:r w:rsidR="00DB1635" w:rsidRPr="00B004EE">
        <w:rPr>
          <w:rFonts w:ascii="Tahoma" w:hAnsi="Tahoma" w:cs="Tahoma"/>
          <w:sz w:val="20"/>
          <w:szCs w:val="20"/>
        </w:rPr>
        <w:t xml:space="preserve"> </w:t>
      </w:r>
      <w:r w:rsidRPr="00B004EE">
        <w:rPr>
          <w:rFonts w:ascii="Tahoma" w:hAnsi="Tahoma" w:cs="Tahoma"/>
          <w:sz w:val="20"/>
          <w:szCs w:val="20"/>
        </w:rPr>
        <w:t>propre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entreposée</w:t>
      </w:r>
      <w:r w:rsidR="00DB1635" w:rsidRPr="00B004EE">
        <w:rPr>
          <w:rFonts w:ascii="Tahoma" w:hAnsi="Tahoma" w:cs="Tahoma"/>
          <w:sz w:val="20"/>
          <w:szCs w:val="20"/>
        </w:rPr>
        <w:t xml:space="preserve"> </w:t>
      </w:r>
      <w:r w:rsidRPr="00B004EE">
        <w:rPr>
          <w:rFonts w:ascii="Tahoma" w:hAnsi="Tahoma" w:cs="Tahoma"/>
          <w:sz w:val="20"/>
          <w:szCs w:val="20"/>
        </w:rPr>
        <w:t>avant</w:t>
      </w:r>
      <w:r w:rsidR="00DB1635" w:rsidRPr="00B004EE">
        <w:rPr>
          <w:rFonts w:ascii="Tahoma" w:hAnsi="Tahoma" w:cs="Tahoma"/>
          <w:sz w:val="20"/>
          <w:szCs w:val="20"/>
        </w:rPr>
        <w:t xml:space="preserve"> </w:t>
      </w:r>
      <w:r w:rsidRPr="00B004EE">
        <w:rPr>
          <w:rFonts w:ascii="Tahoma" w:hAnsi="Tahoma" w:cs="Tahoma"/>
          <w:sz w:val="20"/>
          <w:szCs w:val="20"/>
        </w:rPr>
        <w:t>utilisation</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conditions</w:t>
      </w:r>
      <w:r w:rsidR="00DB1635" w:rsidRPr="00B004EE">
        <w:rPr>
          <w:rFonts w:ascii="Tahoma" w:hAnsi="Tahoma" w:cs="Tahoma"/>
          <w:sz w:val="20"/>
          <w:szCs w:val="20"/>
        </w:rPr>
        <w:t xml:space="preserve"> </w:t>
      </w:r>
      <w:r w:rsidRPr="00B004EE">
        <w:rPr>
          <w:rFonts w:ascii="Tahoma" w:hAnsi="Tahoma" w:cs="Tahoma"/>
          <w:sz w:val="20"/>
          <w:szCs w:val="20"/>
        </w:rPr>
        <w:t>empêchant</w:t>
      </w:r>
      <w:r w:rsidR="00DB1635" w:rsidRPr="00B004EE">
        <w:rPr>
          <w:rFonts w:ascii="Tahoma" w:hAnsi="Tahoma" w:cs="Tahoma"/>
          <w:sz w:val="20"/>
          <w:szCs w:val="20"/>
        </w:rPr>
        <w:t xml:space="preserve"> </w:t>
      </w:r>
      <w:r w:rsidRPr="00B004EE">
        <w:rPr>
          <w:rFonts w:ascii="Tahoma" w:hAnsi="Tahoma" w:cs="Tahoma"/>
          <w:sz w:val="20"/>
          <w:szCs w:val="20"/>
        </w:rPr>
        <w:t>sa</w:t>
      </w:r>
      <w:r w:rsidR="00DB1635" w:rsidRPr="00B004EE">
        <w:rPr>
          <w:rFonts w:ascii="Tahoma" w:hAnsi="Tahoma" w:cs="Tahoma"/>
          <w:sz w:val="20"/>
          <w:szCs w:val="20"/>
        </w:rPr>
        <w:t xml:space="preserve"> </w:t>
      </w:r>
      <w:r w:rsidRPr="00B004EE">
        <w:rPr>
          <w:rFonts w:ascii="Tahoma" w:hAnsi="Tahoma" w:cs="Tahoma"/>
          <w:sz w:val="20"/>
          <w:szCs w:val="20"/>
        </w:rPr>
        <w:t>contamination.</w:t>
      </w:r>
    </w:p>
    <w:p w14:paraId="72F2C26E" w14:textId="77777777" w:rsidR="002F24E1" w:rsidRPr="00B004EE" w:rsidRDefault="002F24E1" w:rsidP="00B004EE">
      <w:pPr>
        <w:jc w:val="both"/>
        <w:rPr>
          <w:rFonts w:ascii="Tahoma" w:hAnsi="Tahoma" w:cs="Tahoma"/>
          <w:sz w:val="20"/>
          <w:szCs w:val="20"/>
        </w:rPr>
      </w:pPr>
    </w:p>
    <w:p w14:paraId="6619EDFE" w14:textId="5DCAF9EA" w:rsidR="002F24E1" w:rsidRPr="00B004EE" w:rsidRDefault="00AD7D88" w:rsidP="00B004EE">
      <w:pPr>
        <w:jc w:val="both"/>
        <w:rPr>
          <w:rFonts w:ascii="Tahoma" w:hAnsi="Tahoma" w:cs="Tahoma"/>
          <w:sz w:val="20"/>
          <w:szCs w:val="20"/>
        </w:rPr>
      </w:pPr>
      <w:r w:rsidRPr="00B004EE">
        <w:rPr>
          <w:rFonts w:ascii="Tahoma" w:hAnsi="Tahoma" w:cs="Tahoma"/>
          <w:bCs/>
          <w:sz w:val="20"/>
          <w:szCs w:val="20"/>
        </w:rPr>
        <w:t xml:space="preserve">Article </w:t>
      </w:r>
      <w:r w:rsidR="002F24E1" w:rsidRPr="00B004EE">
        <w:rPr>
          <w:rFonts w:ascii="Tahoma" w:hAnsi="Tahoma" w:cs="Tahoma"/>
          <w:bCs/>
          <w:sz w:val="20"/>
          <w:szCs w:val="20"/>
        </w:rPr>
        <w:t>10</w:t>
      </w:r>
      <w:r w:rsidR="00DB1635" w:rsidRPr="00B004EE">
        <w:rPr>
          <w:rFonts w:ascii="Tahoma" w:hAnsi="Tahoma" w:cs="Tahoma"/>
          <w:b/>
          <w:sz w:val="20"/>
          <w:szCs w:val="20"/>
        </w:rPr>
        <w:t xml:space="preserve"> </w:t>
      </w:r>
      <w:r w:rsidR="002F24E1" w:rsidRPr="00B004EE">
        <w:rPr>
          <w:rFonts w:ascii="Tahoma" w:hAnsi="Tahoma" w:cs="Tahoma"/>
          <w:b/>
          <w:sz w:val="20"/>
          <w:szCs w:val="20"/>
        </w:rPr>
        <w:t>:</w:t>
      </w:r>
      <w:r w:rsidR="00DB1635" w:rsidRPr="00B004EE">
        <w:rPr>
          <w:rFonts w:ascii="Tahoma" w:hAnsi="Tahoma" w:cs="Tahoma"/>
          <w:b/>
          <w:sz w:val="20"/>
          <w:szCs w:val="20"/>
        </w:rPr>
        <w:t xml:space="preserve"> </w:t>
      </w:r>
      <w:r w:rsidR="002F24E1" w:rsidRPr="00B004EE">
        <w:rPr>
          <w:rFonts w:ascii="Tahoma" w:hAnsi="Tahoma" w:cs="Tahoma"/>
          <w:sz w:val="20"/>
          <w:szCs w:val="20"/>
        </w:rPr>
        <w:t>Le</w:t>
      </w:r>
      <w:r w:rsidR="00DB1635" w:rsidRPr="00B004EE">
        <w:rPr>
          <w:rFonts w:ascii="Tahoma" w:hAnsi="Tahoma" w:cs="Tahoma"/>
          <w:sz w:val="20"/>
          <w:szCs w:val="20"/>
        </w:rPr>
        <w:t xml:space="preserve"> </w:t>
      </w:r>
      <w:r w:rsidR="002F24E1" w:rsidRPr="00B004EE">
        <w:rPr>
          <w:rFonts w:ascii="Tahoma" w:hAnsi="Tahoma" w:cs="Tahoma"/>
          <w:sz w:val="20"/>
          <w:szCs w:val="20"/>
        </w:rPr>
        <w:t>personnel</w:t>
      </w:r>
      <w:r w:rsidR="00DB1635" w:rsidRPr="00B004EE">
        <w:rPr>
          <w:rFonts w:ascii="Tahoma" w:hAnsi="Tahoma" w:cs="Tahoma"/>
          <w:sz w:val="20"/>
          <w:szCs w:val="20"/>
        </w:rPr>
        <w:t xml:space="preserve"> </w:t>
      </w:r>
      <w:r w:rsidR="002F24E1" w:rsidRPr="00B004EE">
        <w:rPr>
          <w:rFonts w:ascii="Tahoma" w:hAnsi="Tahoma" w:cs="Tahoma"/>
          <w:sz w:val="20"/>
          <w:szCs w:val="20"/>
        </w:rPr>
        <w:t>marin</w:t>
      </w:r>
      <w:r w:rsidR="00DB1635" w:rsidRPr="00B004EE">
        <w:rPr>
          <w:rFonts w:ascii="Tahoma" w:hAnsi="Tahoma" w:cs="Tahoma"/>
          <w:sz w:val="20"/>
          <w:szCs w:val="20"/>
        </w:rPr>
        <w:t xml:space="preserve"> </w:t>
      </w:r>
      <w:r w:rsidR="002F24E1" w:rsidRPr="00B004EE">
        <w:rPr>
          <w:rFonts w:ascii="Tahoma" w:hAnsi="Tahoma" w:cs="Tahoma"/>
          <w:sz w:val="20"/>
          <w:szCs w:val="20"/>
        </w:rPr>
        <w:t>affecté</w:t>
      </w:r>
      <w:r w:rsidR="00DB1635" w:rsidRPr="00B004EE">
        <w:rPr>
          <w:rFonts w:ascii="Tahoma" w:hAnsi="Tahoma" w:cs="Tahoma"/>
          <w:sz w:val="20"/>
          <w:szCs w:val="20"/>
        </w:rPr>
        <w:t xml:space="preserve"> </w:t>
      </w:r>
      <w:r w:rsidR="002F24E1" w:rsidRPr="00B004EE">
        <w:rPr>
          <w:rFonts w:ascii="Tahoma" w:hAnsi="Tahoma" w:cs="Tahoma"/>
          <w:sz w:val="20"/>
          <w:szCs w:val="20"/>
        </w:rPr>
        <w:t>aux</w:t>
      </w:r>
      <w:r w:rsidR="00DB1635" w:rsidRPr="00B004EE">
        <w:rPr>
          <w:rFonts w:ascii="Tahoma" w:hAnsi="Tahoma" w:cs="Tahoma"/>
          <w:sz w:val="20"/>
          <w:szCs w:val="20"/>
        </w:rPr>
        <w:t xml:space="preserve"> </w:t>
      </w:r>
      <w:r w:rsidR="002F24E1" w:rsidRPr="00B004EE">
        <w:rPr>
          <w:rFonts w:ascii="Tahoma" w:hAnsi="Tahoma" w:cs="Tahoma"/>
          <w:sz w:val="20"/>
          <w:szCs w:val="20"/>
        </w:rPr>
        <w:t>opérations</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manipulation</w:t>
      </w:r>
      <w:r w:rsidR="00DB1635" w:rsidRPr="00B004EE">
        <w:rPr>
          <w:rFonts w:ascii="Tahoma" w:hAnsi="Tahoma" w:cs="Tahoma"/>
          <w:sz w:val="20"/>
          <w:szCs w:val="20"/>
        </w:rPr>
        <w:t xml:space="preserve"> </w:t>
      </w:r>
      <w:r w:rsidR="002F24E1" w:rsidRPr="00B004EE">
        <w:rPr>
          <w:rFonts w:ascii="Tahoma" w:hAnsi="Tahoma" w:cs="Tahoma"/>
          <w:sz w:val="20"/>
          <w:szCs w:val="20"/>
        </w:rPr>
        <w:t>des</w:t>
      </w:r>
      <w:r w:rsidR="00DB1635" w:rsidRPr="00B004EE">
        <w:rPr>
          <w:rFonts w:ascii="Tahoma" w:hAnsi="Tahoma" w:cs="Tahoma"/>
          <w:sz w:val="20"/>
          <w:szCs w:val="20"/>
        </w:rPr>
        <w:t xml:space="preserve"> </w:t>
      </w:r>
      <w:r w:rsidR="002F24E1" w:rsidRPr="00B004EE">
        <w:rPr>
          <w:rFonts w:ascii="Tahoma" w:hAnsi="Tahoma" w:cs="Tahoma"/>
          <w:sz w:val="20"/>
          <w:szCs w:val="20"/>
        </w:rPr>
        <w:t>produits</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la</w:t>
      </w:r>
      <w:r w:rsidR="00DB1635" w:rsidRPr="00B004EE">
        <w:rPr>
          <w:rFonts w:ascii="Tahoma" w:hAnsi="Tahoma" w:cs="Tahoma"/>
          <w:sz w:val="20"/>
          <w:szCs w:val="20"/>
        </w:rPr>
        <w:t xml:space="preserve"> </w:t>
      </w:r>
      <w:r w:rsidR="002F24E1" w:rsidRPr="00B004EE">
        <w:rPr>
          <w:rFonts w:ascii="Tahoma" w:hAnsi="Tahoma" w:cs="Tahoma"/>
          <w:sz w:val="20"/>
          <w:szCs w:val="20"/>
        </w:rPr>
        <w:t>pêche</w:t>
      </w:r>
      <w:r w:rsidR="00DB1635" w:rsidRPr="00B004EE">
        <w:rPr>
          <w:rFonts w:ascii="Tahoma" w:hAnsi="Tahoma" w:cs="Tahoma"/>
          <w:sz w:val="20"/>
          <w:szCs w:val="20"/>
        </w:rPr>
        <w:t xml:space="preserve"> </w:t>
      </w:r>
      <w:r w:rsidR="002F24E1" w:rsidRPr="00B004EE">
        <w:rPr>
          <w:rFonts w:ascii="Tahoma" w:hAnsi="Tahoma" w:cs="Tahoma"/>
          <w:sz w:val="20"/>
          <w:szCs w:val="20"/>
        </w:rPr>
        <w:t>doit</w:t>
      </w:r>
      <w:r w:rsidR="00DB1635" w:rsidRPr="00B004EE">
        <w:rPr>
          <w:rFonts w:ascii="Tahoma" w:hAnsi="Tahoma" w:cs="Tahoma"/>
          <w:sz w:val="20"/>
          <w:szCs w:val="20"/>
        </w:rPr>
        <w:t xml:space="preserve"> </w:t>
      </w:r>
      <w:r w:rsidR="002F24E1" w:rsidRPr="00B004EE">
        <w:rPr>
          <w:rFonts w:ascii="Tahoma" w:hAnsi="Tahoma" w:cs="Tahoma"/>
          <w:sz w:val="20"/>
          <w:szCs w:val="20"/>
        </w:rPr>
        <w:t>être</w:t>
      </w:r>
      <w:r w:rsidR="00DB1635" w:rsidRPr="00B004EE">
        <w:rPr>
          <w:rFonts w:ascii="Tahoma" w:hAnsi="Tahoma" w:cs="Tahoma"/>
          <w:sz w:val="20"/>
          <w:szCs w:val="20"/>
        </w:rPr>
        <w:t xml:space="preserve"> </w:t>
      </w:r>
      <w:r w:rsidR="002F24E1" w:rsidRPr="00B004EE">
        <w:rPr>
          <w:rFonts w:ascii="Tahoma" w:hAnsi="Tahoma" w:cs="Tahoma"/>
          <w:sz w:val="20"/>
          <w:szCs w:val="20"/>
        </w:rPr>
        <w:t>en</w:t>
      </w:r>
      <w:r w:rsidR="00DB1635" w:rsidRPr="00B004EE">
        <w:rPr>
          <w:rFonts w:ascii="Tahoma" w:hAnsi="Tahoma" w:cs="Tahoma"/>
          <w:sz w:val="20"/>
          <w:szCs w:val="20"/>
        </w:rPr>
        <w:t xml:space="preserve"> </w:t>
      </w:r>
      <w:r w:rsidR="002F24E1" w:rsidRPr="00B004EE">
        <w:rPr>
          <w:rFonts w:ascii="Tahoma" w:hAnsi="Tahoma" w:cs="Tahoma"/>
          <w:sz w:val="20"/>
          <w:szCs w:val="20"/>
        </w:rPr>
        <w:t>bon</w:t>
      </w:r>
      <w:r w:rsidR="00DB1635" w:rsidRPr="00B004EE">
        <w:rPr>
          <w:rFonts w:ascii="Tahoma" w:hAnsi="Tahoma" w:cs="Tahoma"/>
          <w:sz w:val="20"/>
          <w:szCs w:val="20"/>
        </w:rPr>
        <w:t xml:space="preserve"> </w:t>
      </w:r>
      <w:r w:rsidR="002F24E1" w:rsidRPr="00B004EE">
        <w:rPr>
          <w:rFonts w:ascii="Tahoma" w:hAnsi="Tahoma" w:cs="Tahoma"/>
          <w:sz w:val="20"/>
          <w:szCs w:val="20"/>
        </w:rPr>
        <w:t>état</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santé</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est</w:t>
      </w:r>
      <w:r w:rsidR="00DB1635" w:rsidRPr="00B004EE">
        <w:rPr>
          <w:rFonts w:ascii="Tahoma" w:hAnsi="Tahoma" w:cs="Tahoma"/>
          <w:sz w:val="20"/>
          <w:szCs w:val="20"/>
        </w:rPr>
        <w:t xml:space="preserve"> </w:t>
      </w:r>
      <w:r w:rsidR="002F24E1" w:rsidRPr="00B004EE">
        <w:rPr>
          <w:rFonts w:ascii="Tahoma" w:hAnsi="Tahoma" w:cs="Tahoma"/>
          <w:sz w:val="20"/>
          <w:szCs w:val="20"/>
        </w:rPr>
        <w:t>tenu</w:t>
      </w:r>
      <w:r w:rsidR="00DB1635" w:rsidRPr="00B004EE">
        <w:rPr>
          <w:rFonts w:ascii="Tahoma" w:hAnsi="Tahoma" w:cs="Tahoma"/>
          <w:sz w:val="20"/>
          <w:szCs w:val="20"/>
        </w:rPr>
        <w:t xml:space="preserve"> </w:t>
      </w:r>
      <w:r w:rsidR="002F24E1" w:rsidRPr="00B004EE">
        <w:rPr>
          <w:rFonts w:ascii="Tahoma" w:hAnsi="Tahoma" w:cs="Tahoma"/>
          <w:sz w:val="20"/>
          <w:szCs w:val="20"/>
        </w:rPr>
        <w:t>d'observer</w:t>
      </w:r>
      <w:r w:rsidR="00DB1635" w:rsidRPr="00B004EE">
        <w:rPr>
          <w:rFonts w:ascii="Tahoma" w:hAnsi="Tahoma" w:cs="Tahoma"/>
          <w:sz w:val="20"/>
          <w:szCs w:val="20"/>
        </w:rPr>
        <w:t xml:space="preserve"> </w:t>
      </w:r>
      <w:r w:rsidR="002F24E1" w:rsidRPr="00B004EE">
        <w:rPr>
          <w:rFonts w:ascii="Tahoma" w:hAnsi="Tahoma" w:cs="Tahoma"/>
          <w:sz w:val="20"/>
          <w:szCs w:val="20"/>
        </w:rPr>
        <w:t>une</w:t>
      </w:r>
      <w:r w:rsidR="00DB1635" w:rsidRPr="00B004EE">
        <w:rPr>
          <w:rFonts w:ascii="Tahoma" w:hAnsi="Tahoma" w:cs="Tahoma"/>
          <w:sz w:val="20"/>
          <w:szCs w:val="20"/>
        </w:rPr>
        <w:t xml:space="preserve"> </w:t>
      </w:r>
      <w:r w:rsidR="002F24E1" w:rsidRPr="00B004EE">
        <w:rPr>
          <w:rFonts w:ascii="Tahoma" w:hAnsi="Tahoma" w:cs="Tahoma"/>
          <w:sz w:val="20"/>
          <w:szCs w:val="20"/>
        </w:rPr>
        <w:t>bonne</w:t>
      </w:r>
      <w:r w:rsidR="00DB1635" w:rsidRPr="00B004EE">
        <w:rPr>
          <w:rFonts w:ascii="Tahoma" w:hAnsi="Tahoma" w:cs="Tahoma"/>
          <w:sz w:val="20"/>
          <w:szCs w:val="20"/>
        </w:rPr>
        <w:t xml:space="preserve"> </w:t>
      </w:r>
      <w:r w:rsidR="002F24E1" w:rsidRPr="00B004EE">
        <w:rPr>
          <w:rFonts w:ascii="Tahoma" w:hAnsi="Tahoma" w:cs="Tahoma"/>
          <w:sz w:val="20"/>
          <w:szCs w:val="20"/>
        </w:rPr>
        <w:t>propreté</w:t>
      </w:r>
      <w:r w:rsidR="00DB1635" w:rsidRPr="00B004EE">
        <w:rPr>
          <w:rFonts w:ascii="Tahoma" w:hAnsi="Tahoma" w:cs="Tahoma"/>
          <w:sz w:val="20"/>
          <w:szCs w:val="20"/>
        </w:rPr>
        <w:t xml:space="preserve"> </w:t>
      </w:r>
      <w:r w:rsidR="002F24E1" w:rsidRPr="00B004EE">
        <w:rPr>
          <w:rFonts w:ascii="Tahoma" w:hAnsi="Tahoma" w:cs="Tahoma"/>
          <w:sz w:val="20"/>
          <w:szCs w:val="20"/>
        </w:rPr>
        <w:t>vestimentaire</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corporelle.</w:t>
      </w:r>
    </w:p>
    <w:p w14:paraId="0BCC292E" w14:textId="77777777" w:rsidR="002F24E1" w:rsidRPr="00B004EE" w:rsidRDefault="002F24E1" w:rsidP="00B004EE">
      <w:pPr>
        <w:jc w:val="both"/>
        <w:rPr>
          <w:rFonts w:ascii="Tahoma" w:hAnsi="Tahoma" w:cs="Tahoma"/>
          <w:sz w:val="20"/>
          <w:szCs w:val="20"/>
        </w:rPr>
      </w:pPr>
    </w:p>
    <w:p w14:paraId="32547F83" w14:textId="65ED509F" w:rsidR="002F24E1" w:rsidRPr="00B004EE" w:rsidRDefault="002F24E1" w:rsidP="00B004EE">
      <w:pPr>
        <w:tabs>
          <w:tab w:val="left" w:pos="567"/>
          <w:tab w:val="left" w:pos="2268"/>
        </w:tabs>
        <w:jc w:val="center"/>
        <w:rPr>
          <w:rFonts w:ascii="Tahoma" w:hAnsi="Tahoma" w:cs="Tahoma"/>
          <w:b/>
          <w:sz w:val="20"/>
          <w:szCs w:val="20"/>
        </w:rPr>
      </w:pPr>
      <w:r w:rsidRPr="00B004EE">
        <w:rPr>
          <w:rFonts w:ascii="Tahoma" w:hAnsi="Tahoma" w:cs="Tahoma"/>
          <w:b/>
          <w:sz w:val="20"/>
          <w:szCs w:val="20"/>
        </w:rPr>
        <w:t>CHAPITRE</w:t>
      </w:r>
      <w:r w:rsidR="00DB1635" w:rsidRPr="00B004EE">
        <w:rPr>
          <w:rFonts w:ascii="Tahoma" w:hAnsi="Tahoma" w:cs="Tahoma"/>
          <w:b/>
          <w:sz w:val="20"/>
          <w:szCs w:val="20"/>
        </w:rPr>
        <w:t xml:space="preserve"> </w:t>
      </w:r>
      <w:r w:rsidRPr="00B004EE">
        <w:rPr>
          <w:rFonts w:ascii="Tahoma" w:hAnsi="Tahoma" w:cs="Tahoma"/>
          <w:b/>
          <w:sz w:val="20"/>
          <w:szCs w:val="20"/>
        </w:rPr>
        <w:t>II</w:t>
      </w:r>
      <w:r w:rsidR="00DB1635" w:rsidRPr="00B004EE">
        <w:rPr>
          <w:rFonts w:ascii="Tahoma" w:hAnsi="Tahoma" w:cs="Tahoma"/>
          <w:b/>
          <w:sz w:val="20"/>
          <w:szCs w:val="20"/>
        </w:rPr>
        <w:t xml:space="preserve"> </w:t>
      </w:r>
      <w:r w:rsidRPr="00B004EE">
        <w:rPr>
          <w:rFonts w:ascii="Tahoma" w:hAnsi="Tahoma" w:cs="Tahoma"/>
          <w:b/>
          <w:sz w:val="20"/>
          <w:szCs w:val="20"/>
        </w:rPr>
        <w:t>:</w:t>
      </w:r>
      <w:r w:rsidR="00DB1635" w:rsidRPr="00B004EE">
        <w:rPr>
          <w:rFonts w:ascii="Tahoma" w:hAnsi="Tahoma" w:cs="Tahoma"/>
          <w:b/>
          <w:sz w:val="20"/>
          <w:szCs w:val="20"/>
        </w:rPr>
        <w:t xml:space="preserve"> </w:t>
      </w:r>
      <w:r w:rsidRPr="00B004EE">
        <w:rPr>
          <w:rFonts w:ascii="Tahoma" w:hAnsi="Tahoma" w:cs="Tahoma"/>
          <w:b/>
          <w:sz w:val="20"/>
          <w:szCs w:val="20"/>
        </w:rPr>
        <w:t>CONDITIONS</w:t>
      </w:r>
      <w:r w:rsidR="00DB1635" w:rsidRPr="00B004EE">
        <w:rPr>
          <w:rFonts w:ascii="Tahoma" w:hAnsi="Tahoma" w:cs="Tahoma"/>
          <w:b/>
          <w:sz w:val="20"/>
          <w:szCs w:val="20"/>
        </w:rPr>
        <w:t xml:space="preserve"> </w:t>
      </w:r>
      <w:r w:rsidRPr="00B004EE">
        <w:rPr>
          <w:rFonts w:ascii="Tahoma" w:hAnsi="Tahoma" w:cs="Tahoma"/>
          <w:b/>
          <w:sz w:val="20"/>
          <w:szCs w:val="20"/>
        </w:rPr>
        <w:t>PARTICULIERES</w:t>
      </w:r>
      <w:r w:rsidR="00DB1635" w:rsidRPr="00B004EE">
        <w:rPr>
          <w:rFonts w:ascii="Tahoma" w:hAnsi="Tahoma" w:cs="Tahoma"/>
          <w:b/>
          <w:sz w:val="20"/>
          <w:szCs w:val="20"/>
        </w:rPr>
        <w:t xml:space="preserve"> </w:t>
      </w:r>
      <w:r w:rsidRPr="00B004EE">
        <w:rPr>
          <w:rFonts w:ascii="Tahoma" w:hAnsi="Tahoma" w:cs="Tahoma"/>
          <w:b/>
          <w:sz w:val="20"/>
          <w:szCs w:val="20"/>
        </w:rPr>
        <w:t>D'HYGIENE</w:t>
      </w:r>
    </w:p>
    <w:p w14:paraId="6EAC8819" w14:textId="77777777" w:rsidR="002F24E1" w:rsidRPr="00B004EE" w:rsidRDefault="002F24E1" w:rsidP="00B004EE">
      <w:pPr>
        <w:tabs>
          <w:tab w:val="left" w:pos="567"/>
          <w:tab w:val="left" w:pos="2268"/>
        </w:tabs>
        <w:jc w:val="center"/>
        <w:rPr>
          <w:rFonts w:ascii="Tahoma" w:hAnsi="Tahoma" w:cs="Tahoma"/>
          <w:sz w:val="20"/>
          <w:szCs w:val="20"/>
        </w:rPr>
      </w:pPr>
    </w:p>
    <w:p w14:paraId="6BEE1A2B" w14:textId="60BF12CD" w:rsidR="002F24E1" w:rsidRPr="00B004EE" w:rsidRDefault="002F24E1" w:rsidP="00B004EE">
      <w:pPr>
        <w:tabs>
          <w:tab w:val="left" w:pos="567"/>
          <w:tab w:val="left" w:pos="2268"/>
        </w:tabs>
        <w:jc w:val="center"/>
        <w:rPr>
          <w:rFonts w:ascii="Tahoma" w:hAnsi="Tahoma" w:cs="Tahoma"/>
          <w:b/>
          <w:sz w:val="20"/>
          <w:szCs w:val="20"/>
        </w:rPr>
      </w:pPr>
      <w:r w:rsidRPr="00B004EE">
        <w:rPr>
          <w:rFonts w:ascii="Tahoma" w:hAnsi="Tahoma" w:cs="Tahoma"/>
          <w:b/>
          <w:sz w:val="20"/>
          <w:szCs w:val="20"/>
        </w:rPr>
        <w:t>SECTION</w:t>
      </w:r>
      <w:r w:rsidR="00DB1635" w:rsidRPr="00B004EE">
        <w:rPr>
          <w:rFonts w:ascii="Tahoma" w:hAnsi="Tahoma" w:cs="Tahoma"/>
          <w:b/>
          <w:sz w:val="20"/>
          <w:szCs w:val="20"/>
        </w:rPr>
        <w:t xml:space="preserve"> </w:t>
      </w:r>
      <w:r w:rsidRPr="00B004EE">
        <w:rPr>
          <w:rFonts w:ascii="Tahoma" w:hAnsi="Tahoma" w:cs="Tahoma"/>
          <w:b/>
          <w:sz w:val="20"/>
          <w:szCs w:val="20"/>
        </w:rPr>
        <w:t>I</w:t>
      </w:r>
      <w:r w:rsidR="00DB1635" w:rsidRPr="00B004EE">
        <w:rPr>
          <w:rFonts w:ascii="Tahoma" w:hAnsi="Tahoma" w:cs="Tahoma"/>
          <w:b/>
          <w:sz w:val="20"/>
          <w:szCs w:val="20"/>
        </w:rPr>
        <w:t xml:space="preserve"> </w:t>
      </w:r>
      <w:r w:rsidRPr="00B004EE">
        <w:rPr>
          <w:rFonts w:ascii="Tahoma" w:hAnsi="Tahoma" w:cs="Tahoma"/>
          <w:b/>
          <w:sz w:val="20"/>
          <w:szCs w:val="20"/>
        </w:rPr>
        <w:t>:</w:t>
      </w:r>
      <w:r w:rsidR="00DB1635" w:rsidRPr="00B004EE">
        <w:rPr>
          <w:rFonts w:ascii="Tahoma" w:hAnsi="Tahoma" w:cs="Tahoma"/>
          <w:b/>
          <w:sz w:val="20"/>
          <w:szCs w:val="20"/>
        </w:rPr>
        <w:t xml:space="preserve"> </w:t>
      </w:r>
      <w:r w:rsidRPr="00B004EE">
        <w:rPr>
          <w:rFonts w:ascii="Tahoma" w:hAnsi="Tahoma" w:cs="Tahoma"/>
          <w:b/>
          <w:sz w:val="20"/>
          <w:szCs w:val="20"/>
        </w:rPr>
        <w:t>conditions</w:t>
      </w:r>
      <w:r w:rsidR="00DB1635" w:rsidRPr="00B004EE">
        <w:rPr>
          <w:rFonts w:ascii="Tahoma" w:hAnsi="Tahoma" w:cs="Tahoma"/>
          <w:b/>
          <w:sz w:val="20"/>
          <w:szCs w:val="20"/>
        </w:rPr>
        <w:t xml:space="preserve"> </w:t>
      </w:r>
      <w:r w:rsidRPr="00B004EE">
        <w:rPr>
          <w:rFonts w:ascii="Tahoma" w:hAnsi="Tahoma" w:cs="Tahoma"/>
          <w:b/>
          <w:sz w:val="20"/>
          <w:szCs w:val="20"/>
        </w:rPr>
        <w:t>particulières</w:t>
      </w:r>
      <w:r w:rsidR="00DB1635" w:rsidRPr="00B004EE">
        <w:rPr>
          <w:rFonts w:ascii="Tahoma" w:hAnsi="Tahoma" w:cs="Tahoma"/>
          <w:b/>
          <w:sz w:val="20"/>
          <w:szCs w:val="20"/>
        </w:rPr>
        <w:t xml:space="preserve"> </w:t>
      </w:r>
      <w:r w:rsidRPr="00B004EE">
        <w:rPr>
          <w:rFonts w:ascii="Tahoma" w:hAnsi="Tahoma" w:cs="Tahoma"/>
          <w:b/>
          <w:sz w:val="20"/>
          <w:szCs w:val="20"/>
        </w:rPr>
        <w:t>d'hygiène</w:t>
      </w:r>
      <w:r w:rsidR="00DB1635" w:rsidRPr="00B004EE">
        <w:rPr>
          <w:rFonts w:ascii="Tahoma" w:hAnsi="Tahoma" w:cs="Tahoma"/>
          <w:b/>
          <w:sz w:val="20"/>
          <w:szCs w:val="20"/>
        </w:rPr>
        <w:t xml:space="preserve"> </w:t>
      </w:r>
      <w:r w:rsidRPr="00B004EE">
        <w:rPr>
          <w:rFonts w:ascii="Tahoma" w:hAnsi="Tahoma" w:cs="Tahoma"/>
          <w:b/>
          <w:sz w:val="20"/>
          <w:szCs w:val="20"/>
        </w:rPr>
        <w:t>a</w:t>
      </w:r>
      <w:r w:rsidR="00DB1635" w:rsidRPr="00B004EE">
        <w:rPr>
          <w:rFonts w:ascii="Tahoma" w:hAnsi="Tahoma" w:cs="Tahoma"/>
          <w:b/>
          <w:sz w:val="20"/>
          <w:szCs w:val="20"/>
        </w:rPr>
        <w:t xml:space="preserve"> </w:t>
      </w:r>
      <w:r w:rsidRPr="00B004EE">
        <w:rPr>
          <w:rFonts w:ascii="Tahoma" w:hAnsi="Tahoma" w:cs="Tahoma"/>
          <w:b/>
          <w:sz w:val="20"/>
          <w:szCs w:val="20"/>
        </w:rPr>
        <w:t>bord</w:t>
      </w:r>
      <w:r w:rsidR="00DB1635" w:rsidRPr="00B004EE">
        <w:rPr>
          <w:rFonts w:ascii="Tahoma" w:hAnsi="Tahoma" w:cs="Tahoma"/>
          <w:b/>
          <w:sz w:val="20"/>
          <w:szCs w:val="20"/>
        </w:rPr>
        <w:t xml:space="preserve"> </w:t>
      </w:r>
      <w:r w:rsidRPr="00B004EE">
        <w:rPr>
          <w:rFonts w:ascii="Tahoma" w:hAnsi="Tahoma" w:cs="Tahoma"/>
          <w:b/>
          <w:sz w:val="20"/>
          <w:szCs w:val="20"/>
        </w:rPr>
        <w:t>des</w:t>
      </w:r>
      <w:r w:rsidR="00DB1635" w:rsidRPr="00B004EE">
        <w:rPr>
          <w:rFonts w:ascii="Tahoma" w:hAnsi="Tahoma" w:cs="Tahoma"/>
          <w:b/>
          <w:sz w:val="20"/>
          <w:szCs w:val="20"/>
        </w:rPr>
        <w:t xml:space="preserve"> </w:t>
      </w:r>
      <w:r w:rsidRPr="00B004EE">
        <w:rPr>
          <w:rFonts w:ascii="Tahoma" w:hAnsi="Tahoma" w:cs="Tahoma"/>
          <w:b/>
          <w:sz w:val="20"/>
          <w:szCs w:val="20"/>
        </w:rPr>
        <w:t>navires</w:t>
      </w:r>
      <w:r w:rsidR="00DB1635" w:rsidRPr="00B004EE">
        <w:rPr>
          <w:rFonts w:ascii="Tahoma" w:hAnsi="Tahoma" w:cs="Tahoma"/>
          <w:b/>
          <w:sz w:val="20"/>
          <w:szCs w:val="20"/>
        </w:rPr>
        <w:t xml:space="preserve"> </w:t>
      </w:r>
      <w:r w:rsidRPr="00B004EE">
        <w:rPr>
          <w:rFonts w:ascii="Tahoma" w:hAnsi="Tahoma" w:cs="Tahoma"/>
          <w:b/>
          <w:sz w:val="20"/>
          <w:szCs w:val="20"/>
        </w:rPr>
        <w:t>conçus</w:t>
      </w:r>
      <w:r w:rsidR="00DB1635" w:rsidRPr="00B004EE">
        <w:rPr>
          <w:rFonts w:ascii="Tahoma" w:hAnsi="Tahoma" w:cs="Tahoma"/>
          <w:b/>
          <w:sz w:val="20"/>
          <w:szCs w:val="20"/>
        </w:rPr>
        <w:t xml:space="preserve"> </w:t>
      </w:r>
      <w:r w:rsidRPr="00B004EE">
        <w:rPr>
          <w:rFonts w:ascii="Tahoma" w:hAnsi="Tahoma" w:cs="Tahoma"/>
          <w:b/>
          <w:sz w:val="20"/>
          <w:szCs w:val="20"/>
        </w:rPr>
        <w:t>et</w:t>
      </w:r>
      <w:r w:rsidR="00DB1635" w:rsidRPr="00B004EE">
        <w:rPr>
          <w:rFonts w:ascii="Tahoma" w:hAnsi="Tahoma" w:cs="Tahoma"/>
          <w:b/>
          <w:sz w:val="20"/>
          <w:szCs w:val="20"/>
        </w:rPr>
        <w:t xml:space="preserve"> </w:t>
      </w:r>
      <w:r w:rsidRPr="00B004EE">
        <w:rPr>
          <w:rFonts w:ascii="Tahoma" w:hAnsi="Tahoma" w:cs="Tahoma"/>
          <w:b/>
          <w:sz w:val="20"/>
          <w:szCs w:val="20"/>
        </w:rPr>
        <w:t>équipes</w:t>
      </w:r>
      <w:r w:rsidR="00DB1635" w:rsidRPr="00B004EE">
        <w:rPr>
          <w:rFonts w:ascii="Tahoma" w:hAnsi="Tahoma" w:cs="Tahoma"/>
          <w:b/>
          <w:sz w:val="20"/>
          <w:szCs w:val="20"/>
        </w:rPr>
        <w:t xml:space="preserve"> </w:t>
      </w:r>
      <w:r w:rsidRPr="00B004EE">
        <w:rPr>
          <w:rFonts w:ascii="Tahoma" w:hAnsi="Tahoma" w:cs="Tahoma"/>
          <w:b/>
          <w:sz w:val="20"/>
          <w:szCs w:val="20"/>
        </w:rPr>
        <w:t>pour</w:t>
      </w:r>
      <w:r w:rsidR="00DB1635" w:rsidRPr="00B004EE">
        <w:rPr>
          <w:rFonts w:ascii="Tahoma" w:hAnsi="Tahoma" w:cs="Tahoma"/>
          <w:b/>
          <w:sz w:val="20"/>
          <w:szCs w:val="20"/>
        </w:rPr>
        <w:t xml:space="preserve"> </w:t>
      </w:r>
      <w:r w:rsidRPr="00B004EE">
        <w:rPr>
          <w:rFonts w:ascii="Tahoma" w:hAnsi="Tahoma" w:cs="Tahoma"/>
          <w:b/>
          <w:sz w:val="20"/>
          <w:szCs w:val="20"/>
        </w:rPr>
        <w:t>assurer</w:t>
      </w:r>
      <w:r w:rsidR="00DB1635" w:rsidRPr="00B004EE">
        <w:rPr>
          <w:rFonts w:ascii="Tahoma" w:hAnsi="Tahoma" w:cs="Tahoma"/>
          <w:b/>
          <w:sz w:val="20"/>
          <w:szCs w:val="20"/>
        </w:rPr>
        <w:t xml:space="preserve"> </w:t>
      </w:r>
      <w:r w:rsidRPr="00B004EE">
        <w:rPr>
          <w:rFonts w:ascii="Tahoma" w:hAnsi="Tahoma" w:cs="Tahoma"/>
          <w:b/>
          <w:sz w:val="20"/>
          <w:szCs w:val="20"/>
        </w:rPr>
        <w:t>une</w:t>
      </w:r>
      <w:r w:rsidR="00DB1635" w:rsidRPr="00B004EE">
        <w:rPr>
          <w:rFonts w:ascii="Tahoma" w:hAnsi="Tahoma" w:cs="Tahoma"/>
          <w:b/>
          <w:sz w:val="20"/>
          <w:szCs w:val="20"/>
        </w:rPr>
        <w:t xml:space="preserve"> </w:t>
      </w:r>
      <w:r w:rsidRPr="00B004EE">
        <w:rPr>
          <w:rFonts w:ascii="Tahoma" w:hAnsi="Tahoma" w:cs="Tahoma"/>
          <w:b/>
          <w:sz w:val="20"/>
          <w:szCs w:val="20"/>
        </w:rPr>
        <w:t>conservation</w:t>
      </w:r>
      <w:r w:rsidR="00DB1635" w:rsidRPr="00B004EE">
        <w:rPr>
          <w:rFonts w:ascii="Tahoma" w:hAnsi="Tahoma" w:cs="Tahoma"/>
          <w:b/>
          <w:sz w:val="20"/>
          <w:szCs w:val="20"/>
        </w:rPr>
        <w:t xml:space="preserve"> </w:t>
      </w:r>
      <w:r w:rsidRPr="00B004EE">
        <w:rPr>
          <w:rFonts w:ascii="Tahoma" w:hAnsi="Tahoma" w:cs="Tahoma"/>
          <w:b/>
          <w:sz w:val="20"/>
          <w:szCs w:val="20"/>
        </w:rPr>
        <w:t>satisfaisante</w:t>
      </w:r>
      <w:r w:rsidR="00DB1635" w:rsidRPr="00B004EE">
        <w:rPr>
          <w:rFonts w:ascii="Tahoma" w:hAnsi="Tahoma" w:cs="Tahoma"/>
          <w:b/>
          <w:sz w:val="20"/>
          <w:szCs w:val="20"/>
        </w:rPr>
        <w:t xml:space="preserve"> </w:t>
      </w:r>
      <w:r w:rsidRPr="00B004EE">
        <w:rPr>
          <w:rFonts w:ascii="Tahoma" w:hAnsi="Tahoma" w:cs="Tahoma"/>
          <w:b/>
          <w:sz w:val="20"/>
          <w:szCs w:val="20"/>
        </w:rPr>
        <w:t>des</w:t>
      </w:r>
      <w:r w:rsidR="00DB1635" w:rsidRPr="00B004EE">
        <w:rPr>
          <w:rFonts w:ascii="Tahoma" w:hAnsi="Tahoma" w:cs="Tahoma"/>
          <w:b/>
          <w:sz w:val="20"/>
          <w:szCs w:val="20"/>
        </w:rPr>
        <w:t xml:space="preserve"> </w:t>
      </w:r>
      <w:r w:rsidRPr="00B004EE">
        <w:rPr>
          <w:rFonts w:ascii="Tahoma" w:hAnsi="Tahoma" w:cs="Tahoma"/>
          <w:b/>
          <w:sz w:val="20"/>
          <w:szCs w:val="20"/>
        </w:rPr>
        <w:t>produits</w:t>
      </w:r>
      <w:r w:rsidR="00DB1635" w:rsidRPr="00B004EE">
        <w:rPr>
          <w:rFonts w:ascii="Tahoma" w:hAnsi="Tahoma" w:cs="Tahoma"/>
          <w:b/>
          <w:sz w:val="20"/>
          <w:szCs w:val="20"/>
        </w:rPr>
        <w:t xml:space="preserve"> </w:t>
      </w:r>
      <w:r w:rsidRPr="00B004EE">
        <w:rPr>
          <w:rFonts w:ascii="Tahoma" w:hAnsi="Tahoma" w:cs="Tahoma"/>
          <w:b/>
          <w:sz w:val="20"/>
          <w:szCs w:val="20"/>
        </w:rPr>
        <w:t>de</w:t>
      </w:r>
      <w:r w:rsidR="00DB1635" w:rsidRPr="00B004EE">
        <w:rPr>
          <w:rFonts w:ascii="Tahoma" w:hAnsi="Tahoma" w:cs="Tahoma"/>
          <w:b/>
          <w:sz w:val="20"/>
          <w:szCs w:val="20"/>
        </w:rPr>
        <w:t xml:space="preserve"> </w:t>
      </w:r>
      <w:r w:rsidRPr="00B004EE">
        <w:rPr>
          <w:rFonts w:ascii="Tahoma" w:hAnsi="Tahoma" w:cs="Tahoma"/>
          <w:b/>
          <w:sz w:val="20"/>
          <w:szCs w:val="20"/>
        </w:rPr>
        <w:t>la</w:t>
      </w:r>
      <w:r w:rsidR="00DB1635" w:rsidRPr="00B004EE">
        <w:rPr>
          <w:rFonts w:ascii="Tahoma" w:hAnsi="Tahoma" w:cs="Tahoma"/>
          <w:b/>
          <w:sz w:val="20"/>
          <w:szCs w:val="20"/>
        </w:rPr>
        <w:t xml:space="preserve"> </w:t>
      </w:r>
      <w:r w:rsidRPr="00B004EE">
        <w:rPr>
          <w:rFonts w:ascii="Tahoma" w:hAnsi="Tahoma" w:cs="Tahoma"/>
          <w:b/>
          <w:sz w:val="20"/>
          <w:szCs w:val="20"/>
        </w:rPr>
        <w:t>pêche</w:t>
      </w:r>
      <w:r w:rsidR="00DB1635" w:rsidRPr="00B004EE">
        <w:rPr>
          <w:rFonts w:ascii="Tahoma" w:hAnsi="Tahoma" w:cs="Tahoma"/>
          <w:b/>
          <w:sz w:val="20"/>
          <w:szCs w:val="20"/>
        </w:rPr>
        <w:t xml:space="preserve"> </w:t>
      </w:r>
      <w:r w:rsidRPr="00B004EE">
        <w:rPr>
          <w:rFonts w:ascii="Tahoma" w:hAnsi="Tahoma" w:cs="Tahoma"/>
          <w:b/>
          <w:sz w:val="20"/>
          <w:szCs w:val="20"/>
        </w:rPr>
        <w:t>pendant</w:t>
      </w:r>
      <w:r w:rsidR="00DB1635" w:rsidRPr="00B004EE">
        <w:rPr>
          <w:rFonts w:ascii="Tahoma" w:hAnsi="Tahoma" w:cs="Tahoma"/>
          <w:b/>
          <w:sz w:val="20"/>
          <w:szCs w:val="20"/>
        </w:rPr>
        <w:t xml:space="preserve"> </w:t>
      </w:r>
      <w:r w:rsidRPr="00B004EE">
        <w:rPr>
          <w:rFonts w:ascii="Tahoma" w:hAnsi="Tahoma" w:cs="Tahoma"/>
          <w:b/>
          <w:sz w:val="20"/>
          <w:szCs w:val="20"/>
        </w:rPr>
        <w:t>plus</w:t>
      </w:r>
      <w:r w:rsidR="00DB1635" w:rsidRPr="00B004EE">
        <w:rPr>
          <w:rFonts w:ascii="Tahoma" w:hAnsi="Tahoma" w:cs="Tahoma"/>
          <w:b/>
          <w:sz w:val="20"/>
          <w:szCs w:val="20"/>
        </w:rPr>
        <w:t xml:space="preserve"> </w:t>
      </w:r>
      <w:r w:rsidRPr="00B004EE">
        <w:rPr>
          <w:rFonts w:ascii="Tahoma" w:hAnsi="Tahoma" w:cs="Tahoma"/>
          <w:b/>
          <w:sz w:val="20"/>
          <w:szCs w:val="20"/>
        </w:rPr>
        <w:t>de</w:t>
      </w:r>
      <w:r w:rsidR="00DB1635" w:rsidRPr="00B004EE">
        <w:rPr>
          <w:rFonts w:ascii="Tahoma" w:hAnsi="Tahoma" w:cs="Tahoma"/>
          <w:b/>
          <w:sz w:val="20"/>
          <w:szCs w:val="20"/>
        </w:rPr>
        <w:t xml:space="preserve"> </w:t>
      </w:r>
      <w:r w:rsidRPr="00B004EE">
        <w:rPr>
          <w:rFonts w:ascii="Tahoma" w:hAnsi="Tahoma" w:cs="Tahoma"/>
          <w:b/>
          <w:sz w:val="20"/>
          <w:szCs w:val="20"/>
        </w:rPr>
        <w:t>24</w:t>
      </w:r>
      <w:r w:rsidR="00DB1635" w:rsidRPr="00B004EE">
        <w:rPr>
          <w:rFonts w:ascii="Tahoma" w:hAnsi="Tahoma" w:cs="Tahoma"/>
          <w:b/>
          <w:sz w:val="20"/>
          <w:szCs w:val="20"/>
        </w:rPr>
        <w:t xml:space="preserve"> </w:t>
      </w:r>
      <w:r w:rsidRPr="00B004EE">
        <w:rPr>
          <w:rFonts w:ascii="Tahoma" w:hAnsi="Tahoma" w:cs="Tahoma"/>
          <w:b/>
          <w:sz w:val="20"/>
          <w:szCs w:val="20"/>
        </w:rPr>
        <w:t>heures</w:t>
      </w:r>
    </w:p>
    <w:p w14:paraId="286EE3D3" w14:textId="77777777" w:rsidR="002F24E1" w:rsidRPr="00B004EE" w:rsidRDefault="002F24E1" w:rsidP="00B004EE">
      <w:pPr>
        <w:jc w:val="both"/>
        <w:rPr>
          <w:rFonts w:ascii="Tahoma" w:hAnsi="Tahoma" w:cs="Tahoma"/>
          <w:sz w:val="20"/>
          <w:szCs w:val="20"/>
        </w:rPr>
      </w:pPr>
    </w:p>
    <w:p w14:paraId="4126E766" w14:textId="14463CF3" w:rsidR="002F24E1" w:rsidRPr="00B004EE" w:rsidRDefault="00AD7D88" w:rsidP="00B004EE">
      <w:pPr>
        <w:jc w:val="both"/>
        <w:rPr>
          <w:rFonts w:ascii="Tahoma" w:hAnsi="Tahoma" w:cs="Tahoma"/>
          <w:sz w:val="20"/>
          <w:szCs w:val="20"/>
        </w:rPr>
      </w:pPr>
      <w:r w:rsidRPr="00B004EE">
        <w:rPr>
          <w:rFonts w:ascii="Tahoma" w:hAnsi="Tahoma" w:cs="Tahoma"/>
          <w:bCs/>
          <w:sz w:val="20"/>
          <w:szCs w:val="20"/>
        </w:rPr>
        <w:t xml:space="preserve">Article </w:t>
      </w:r>
      <w:r w:rsidR="002F24E1" w:rsidRPr="00B004EE">
        <w:rPr>
          <w:rFonts w:ascii="Tahoma" w:hAnsi="Tahoma" w:cs="Tahoma"/>
          <w:bCs/>
          <w:sz w:val="20"/>
          <w:szCs w:val="20"/>
        </w:rPr>
        <w:t>11</w:t>
      </w:r>
      <w:r w:rsidR="00DB1635" w:rsidRPr="00B004EE">
        <w:rPr>
          <w:rFonts w:ascii="Tahoma" w:hAnsi="Tahoma" w:cs="Tahoma"/>
          <w:bCs/>
          <w:sz w:val="20"/>
          <w:szCs w:val="20"/>
        </w:rPr>
        <w:t xml:space="preserve"> </w:t>
      </w:r>
      <w:r w:rsidR="002F24E1" w:rsidRPr="00B004EE">
        <w:rPr>
          <w:rFonts w:ascii="Tahoma" w:hAnsi="Tahoma" w:cs="Tahoma"/>
          <w:bCs/>
          <w:sz w:val="20"/>
          <w:szCs w:val="20"/>
        </w:rPr>
        <w:t>:</w:t>
      </w:r>
      <w:r w:rsidR="00DB1635" w:rsidRPr="00B004EE">
        <w:rPr>
          <w:rFonts w:ascii="Tahoma" w:hAnsi="Tahoma" w:cs="Tahoma"/>
          <w:bCs/>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2F24E1" w:rsidRPr="00B004EE">
        <w:rPr>
          <w:rFonts w:ascii="Tahoma" w:hAnsi="Tahoma" w:cs="Tahoma"/>
          <w:sz w:val="20"/>
          <w:szCs w:val="20"/>
        </w:rPr>
        <w:t>conditions</w:t>
      </w:r>
      <w:r w:rsidR="00DB1635" w:rsidRPr="00B004EE">
        <w:rPr>
          <w:rFonts w:ascii="Tahoma" w:hAnsi="Tahoma" w:cs="Tahoma"/>
          <w:sz w:val="20"/>
          <w:szCs w:val="20"/>
        </w:rPr>
        <w:t xml:space="preserve"> </w:t>
      </w:r>
      <w:r w:rsidR="002F24E1" w:rsidRPr="00B004EE">
        <w:rPr>
          <w:rFonts w:ascii="Tahoma" w:hAnsi="Tahoma" w:cs="Tahoma"/>
          <w:sz w:val="20"/>
          <w:szCs w:val="20"/>
        </w:rPr>
        <w:t>générales</w:t>
      </w:r>
      <w:r w:rsidR="00DB1635" w:rsidRPr="00B004EE">
        <w:rPr>
          <w:rFonts w:ascii="Tahoma" w:hAnsi="Tahoma" w:cs="Tahoma"/>
          <w:sz w:val="20"/>
          <w:szCs w:val="20"/>
        </w:rPr>
        <w:t xml:space="preserve"> </w:t>
      </w:r>
      <w:r w:rsidR="002F24E1" w:rsidRPr="00B004EE">
        <w:rPr>
          <w:rFonts w:ascii="Tahoma" w:hAnsi="Tahoma" w:cs="Tahoma"/>
          <w:sz w:val="20"/>
          <w:szCs w:val="20"/>
        </w:rPr>
        <w:t>d'hygiène</w:t>
      </w:r>
      <w:r w:rsidR="00DB1635" w:rsidRPr="00B004EE">
        <w:rPr>
          <w:rFonts w:ascii="Tahoma" w:hAnsi="Tahoma" w:cs="Tahoma"/>
          <w:sz w:val="20"/>
          <w:szCs w:val="20"/>
        </w:rPr>
        <w:t xml:space="preserve"> </w:t>
      </w:r>
      <w:r w:rsidR="002F24E1" w:rsidRPr="00B004EE">
        <w:rPr>
          <w:rFonts w:ascii="Tahoma" w:hAnsi="Tahoma" w:cs="Tahoma"/>
          <w:sz w:val="20"/>
          <w:szCs w:val="20"/>
        </w:rPr>
        <w:t>prévues</w:t>
      </w:r>
      <w:r w:rsidR="00DB1635" w:rsidRPr="00B004EE">
        <w:rPr>
          <w:rFonts w:ascii="Tahoma" w:hAnsi="Tahoma" w:cs="Tahoma"/>
          <w:sz w:val="20"/>
          <w:szCs w:val="20"/>
        </w:rPr>
        <w:t xml:space="preserve"> </w:t>
      </w:r>
      <w:r w:rsidR="002F24E1" w:rsidRPr="00B004EE">
        <w:rPr>
          <w:rFonts w:ascii="Tahoma" w:hAnsi="Tahoma" w:cs="Tahoma"/>
          <w:sz w:val="20"/>
          <w:szCs w:val="20"/>
        </w:rPr>
        <w:t>au</w:t>
      </w:r>
      <w:r w:rsidR="00DB1635" w:rsidRPr="00B004EE">
        <w:rPr>
          <w:rFonts w:ascii="Tahoma" w:hAnsi="Tahoma" w:cs="Tahoma"/>
          <w:sz w:val="20"/>
          <w:szCs w:val="20"/>
        </w:rPr>
        <w:t xml:space="preserve"> </w:t>
      </w:r>
      <w:r w:rsidR="002F24E1" w:rsidRPr="00B004EE">
        <w:rPr>
          <w:rFonts w:ascii="Tahoma" w:hAnsi="Tahoma" w:cs="Tahoma"/>
          <w:sz w:val="20"/>
          <w:szCs w:val="20"/>
        </w:rPr>
        <w:t>chapitre</w:t>
      </w:r>
      <w:r w:rsidR="00DB1635" w:rsidRPr="00B004EE">
        <w:rPr>
          <w:rFonts w:ascii="Tahoma" w:hAnsi="Tahoma" w:cs="Tahoma"/>
          <w:sz w:val="20"/>
          <w:szCs w:val="20"/>
        </w:rPr>
        <w:t xml:space="preserve"> </w:t>
      </w:r>
      <w:r w:rsidR="002F24E1" w:rsidRPr="00B004EE">
        <w:rPr>
          <w:rFonts w:ascii="Tahoma" w:hAnsi="Tahoma" w:cs="Tahoma"/>
          <w:sz w:val="20"/>
          <w:szCs w:val="20"/>
        </w:rPr>
        <w:t>précédent</w:t>
      </w:r>
      <w:r w:rsidR="00DB1635" w:rsidRPr="00B004EE">
        <w:rPr>
          <w:rFonts w:ascii="Tahoma" w:hAnsi="Tahoma" w:cs="Tahoma"/>
          <w:sz w:val="20"/>
          <w:szCs w:val="20"/>
        </w:rPr>
        <w:t xml:space="preserve"> </w:t>
      </w:r>
      <w:r w:rsidR="002F24E1" w:rsidRPr="00B004EE">
        <w:rPr>
          <w:rFonts w:ascii="Tahoma" w:hAnsi="Tahoma" w:cs="Tahoma"/>
          <w:sz w:val="20"/>
          <w:szCs w:val="20"/>
        </w:rPr>
        <w:t>sont</w:t>
      </w:r>
      <w:r w:rsidR="00DB1635" w:rsidRPr="00B004EE">
        <w:rPr>
          <w:rFonts w:ascii="Tahoma" w:hAnsi="Tahoma" w:cs="Tahoma"/>
          <w:sz w:val="20"/>
          <w:szCs w:val="20"/>
        </w:rPr>
        <w:t xml:space="preserve"> </w:t>
      </w:r>
      <w:r w:rsidR="002F24E1" w:rsidRPr="00B004EE">
        <w:rPr>
          <w:rFonts w:ascii="Tahoma" w:hAnsi="Tahoma" w:cs="Tahoma"/>
          <w:sz w:val="20"/>
          <w:szCs w:val="20"/>
        </w:rPr>
        <w:t>applicables</w:t>
      </w:r>
      <w:r w:rsidR="00DB1635" w:rsidRPr="00B004EE">
        <w:rPr>
          <w:rFonts w:ascii="Tahoma" w:hAnsi="Tahoma" w:cs="Tahoma"/>
          <w:sz w:val="20"/>
          <w:szCs w:val="20"/>
        </w:rPr>
        <w:t xml:space="preserve"> </w:t>
      </w:r>
      <w:r w:rsidR="002F24E1" w:rsidRPr="00B004EE">
        <w:rPr>
          <w:rFonts w:ascii="Tahoma" w:hAnsi="Tahoma" w:cs="Tahoma"/>
          <w:sz w:val="20"/>
          <w:szCs w:val="20"/>
        </w:rPr>
        <w:t>à</w:t>
      </w:r>
      <w:r w:rsidR="00DB1635" w:rsidRPr="00B004EE">
        <w:rPr>
          <w:rFonts w:ascii="Tahoma" w:hAnsi="Tahoma" w:cs="Tahoma"/>
          <w:sz w:val="20"/>
          <w:szCs w:val="20"/>
        </w:rPr>
        <w:t xml:space="preserve"> </w:t>
      </w:r>
      <w:r w:rsidR="002F24E1" w:rsidRPr="00B004EE">
        <w:rPr>
          <w:rFonts w:ascii="Tahoma" w:hAnsi="Tahoma" w:cs="Tahoma"/>
          <w:sz w:val="20"/>
          <w:szCs w:val="20"/>
        </w:rPr>
        <w:t>bord</w:t>
      </w:r>
      <w:r w:rsidR="00DB1635" w:rsidRPr="00B004EE">
        <w:rPr>
          <w:rFonts w:ascii="Tahoma" w:hAnsi="Tahoma" w:cs="Tahoma"/>
          <w:sz w:val="20"/>
          <w:szCs w:val="20"/>
        </w:rPr>
        <w:t xml:space="preserve"> </w:t>
      </w:r>
      <w:r w:rsidR="002F24E1" w:rsidRPr="00B004EE">
        <w:rPr>
          <w:rFonts w:ascii="Tahoma" w:hAnsi="Tahoma" w:cs="Tahoma"/>
          <w:sz w:val="20"/>
          <w:szCs w:val="20"/>
        </w:rPr>
        <w:t>des</w:t>
      </w:r>
      <w:r w:rsidR="00DB1635" w:rsidRPr="00B004EE">
        <w:rPr>
          <w:rFonts w:ascii="Tahoma" w:hAnsi="Tahoma" w:cs="Tahoma"/>
          <w:sz w:val="20"/>
          <w:szCs w:val="20"/>
        </w:rPr>
        <w:t xml:space="preserve"> </w:t>
      </w:r>
      <w:r w:rsidR="002F24E1" w:rsidRPr="00B004EE">
        <w:rPr>
          <w:rFonts w:ascii="Tahoma" w:hAnsi="Tahoma" w:cs="Tahoma"/>
          <w:sz w:val="20"/>
          <w:szCs w:val="20"/>
        </w:rPr>
        <w:t>navires</w:t>
      </w:r>
      <w:r w:rsidR="00DB1635" w:rsidRPr="00B004EE">
        <w:rPr>
          <w:rFonts w:ascii="Tahoma" w:hAnsi="Tahoma" w:cs="Tahoma"/>
          <w:sz w:val="20"/>
          <w:szCs w:val="20"/>
        </w:rPr>
        <w:t xml:space="preserve"> </w:t>
      </w:r>
      <w:r w:rsidR="002F24E1" w:rsidRPr="00B004EE">
        <w:rPr>
          <w:rFonts w:ascii="Tahoma" w:hAnsi="Tahoma" w:cs="Tahoma"/>
          <w:sz w:val="20"/>
          <w:szCs w:val="20"/>
        </w:rPr>
        <w:t>conçus</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équipés</w:t>
      </w:r>
      <w:r w:rsidR="00DB1635" w:rsidRPr="00B004EE">
        <w:rPr>
          <w:rFonts w:ascii="Tahoma" w:hAnsi="Tahoma" w:cs="Tahoma"/>
          <w:sz w:val="20"/>
          <w:szCs w:val="20"/>
        </w:rPr>
        <w:t xml:space="preserve"> </w:t>
      </w:r>
      <w:r w:rsidR="002F24E1" w:rsidRPr="00B004EE">
        <w:rPr>
          <w:rFonts w:ascii="Tahoma" w:hAnsi="Tahoma" w:cs="Tahoma"/>
          <w:sz w:val="20"/>
          <w:szCs w:val="20"/>
        </w:rPr>
        <w:t>pour</w:t>
      </w:r>
      <w:r w:rsidR="00DB1635" w:rsidRPr="00B004EE">
        <w:rPr>
          <w:rFonts w:ascii="Tahoma" w:hAnsi="Tahoma" w:cs="Tahoma"/>
          <w:sz w:val="20"/>
          <w:szCs w:val="20"/>
        </w:rPr>
        <w:t xml:space="preserve"> </w:t>
      </w:r>
      <w:r w:rsidR="002F24E1" w:rsidRPr="00B004EE">
        <w:rPr>
          <w:rFonts w:ascii="Tahoma" w:hAnsi="Tahoma" w:cs="Tahoma"/>
          <w:sz w:val="20"/>
          <w:szCs w:val="20"/>
        </w:rPr>
        <w:t>assurer</w:t>
      </w:r>
      <w:r w:rsidR="00DB1635" w:rsidRPr="00B004EE">
        <w:rPr>
          <w:rFonts w:ascii="Tahoma" w:hAnsi="Tahoma" w:cs="Tahoma"/>
          <w:sz w:val="20"/>
          <w:szCs w:val="20"/>
        </w:rPr>
        <w:t xml:space="preserve"> </w:t>
      </w:r>
      <w:r w:rsidR="002F24E1" w:rsidRPr="00B004EE">
        <w:rPr>
          <w:rFonts w:ascii="Tahoma" w:hAnsi="Tahoma" w:cs="Tahoma"/>
          <w:sz w:val="20"/>
          <w:szCs w:val="20"/>
        </w:rPr>
        <w:t>une</w:t>
      </w:r>
      <w:r w:rsidR="00DB1635" w:rsidRPr="00B004EE">
        <w:rPr>
          <w:rFonts w:ascii="Tahoma" w:hAnsi="Tahoma" w:cs="Tahoma"/>
          <w:sz w:val="20"/>
          <w:szCs w:val="20"/>
        </w:rPr>
        <w:t xml:space="preserve"> </w:t>
      </w:r>
      <w:r w:rsidR="002F24E1" w:rsidRPr="00B004EE">
        <w:rPr>
          <w:rFonts w:ascii="Tahoma" w:hAnsi="Tahoma" w:cs="Tahoma"/>
          <w:sz w:val="20"/>
          <w:szCs w:val="20"/>
        </w:rPr>
        <w:t>conservation</w:t>
      </w:r>
      <w:r w:rsidR="00DB1635" w:rsidRPr="00B004EE">
        <w:rPr>
          <w:rFonts w:ascii="Tahoma" w:hAnsi="Tahoma" w:cs="Tahoma"/>
          <w:sz w:val="20"/>
          <w:szCs w:val="20"/>
        </w:rPr>
        <w:t xml:space="preserve"> </w:t>
      </w:r>
      <w:r w:rsidR="002F24E1" w:rsidRPr="00B004EE">
        <w:rPr>
          <w:rFonts w:ascii="Tahoma" w:hAnsi="Tahoma" w:cs="Tahoma"/>
          <w:sz w:val="20"/>
          <w:szCs w:val="20"/>
        </w:rPr>
        <w:t>satisfaisante</w:t>
      </w:r>
      <w:r w:rsidR="00DB1635" w:rsidRPr="00B004EE">
        <w:rPr>
          <w:rFonts w:ascii="Tahoma" w:hAnsi="Tahoma" w:cs="Tahoma"/>
          <w:sz w:val="20"/>
          <w:szCs w:val="20"/>
        </w:rPr>
        <w:t xml:space="preserve"> </w:t>
      </w:r>
      <w:r w:rsidR="002F24E1" w:rsidRPr="00B004EE">
        <w:rPr>
          <w:rFonts w:ascii="Tahoma" w:hAnsi="Tahoma" w:cs="Tahoma"/>
          <w:sz w:val="20"/>
          <w:szCs w:val="20"/>
        </w:rPr>
        <w:t>des</w:t>
      </w:r>
      <w:r w:rsidR="00DB1635" w:rsidRPr="00B004EE">
        <w:rPr>
          <w:rFonts w:ascii="Tahoma" w:hAnsi="Tahoma" w:cs="Tahoma"/>
          <w:sz w:val="20"/>
          <w:szCs w:val="20"/>
        </w:rPr>
        <w:t xml:space="preserve"> </w:t>
      </w:r>
      <w:r w:rsidR="002F24E1" w:rsidRPr="00B004EE">
        <w:rPr>
          <w:rFonts w:ascii="Tahoma" w:hAnsi="Tahoma" w:cs="Tahoma"/>
          <w:sz w:val="20"/>
          <w:szCs w:val="20"/>
        </w:rPr>
        <w:t>produits</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la</w:t>
      </w:r>
      <w:r w:rsidR="00DB1635" w:rsidRPr="00B004EE">
        <w:rPr>
          <w:rFonts w:ascii="Tahoma" w:hAnsi="Tahoma" w:cs="Tahoma"/>
          <w:sz w:val="20"/>
          <w:szCs w:val="20"/>
        </w:rPr>
        <w:t xml:space="preserve"> </w:t>
      </w:r>
      <w:r w:rsidR="002F24E1" w:rsidRPr="00B004EE">
        <w:rPr>
          <w:rFonts w:ascii="Tahoma" w:hAnsi="Tahoma" w:cs="Tahoma"/>
          <w:sz w:val="20"/>
          <w:szCs w:val="20"/>
        </w:rPr>
        <w:t>pêche</w:t>
      </w:r>
      <w:r w:rsidR="00DB1635" w:rsidRPr="00B004EE">
        <w:rPr>
          <w:rFonts w:ascii="Tahoma" w:hAnsi="Tahoma" w:cs="Tahoma"/>
          <w:sz w:val="20"/>
          <w:szCs w:val="20"/>
        </w:rPr>
        <w:t xml:space="preserve"> </w:t>
      </w:r>
      <w:r w:rsidR="002F24E1" w:rsidRPr="00B004EE">
        <w:rPr>
          <w:rFonts w:ascii="Tahoma" w:hAnsi="Tahoma" w:cs="Tahoma"/>
          <w:sz w:val="20"/>
          <w:szCs w:val="20"/>
        </w:rPr>
        <w:t>pendant</w:t>
      </w:r>
      <w:r w:rsidR="00DB1635" w:rsidRPr="00B004EE">
        <w:rPr>
          <w:rFonts w:ascii="Tahoma" w:hAnsi="Tahoma" w:cs="Tahoma"/>
          <w:sz w:val="20"/>
          <w:szCs w:val="20"/>
        </w:rPr>
        <w:t xml:space="preserve"> </w:t>
      </w:r>
      <w:r w:rsidR="002F24E1" w:rsidRPr="00B004EE">
        <w:rPr>
          <w:rFonts w:ascii="Tahoma" w:hAnsi="Tahoma" w:cs="Tahoma"/>
          <w:sz w:val="20"/>
          <w:szCs w:val="20"/>
        </w:rPr>
        <w:t>plus</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24</w:t>
      </w:r>
      <w:r w:rsidR="00DB1635" w:rsidRPr="00B004EE">
        <w:rPr>
          <w:rFonts w:ascii="Tahoma" w:hAnsi="Tahoma" w:cs="Tahoma"/>
          <w:sz w:val="20"/>
          <w:szCs w:val="20"/>
        </w:rPr>
        <w:t xml:space="preserve"> </w:t>
      </w:r>
      <w:r w:rsidR="002F24E1" w:rsidRPr="00B004EE">
        <w:rPr>
          <w:rFonts w:ascii="Tahoma" w:hAnsi="Tahoma" w:cs="Tahoma"/>
          <w:sz w:val="20"/>
          <w:szCs w:val="20"/>
        </w:rPr>
        <w:t>heures,</w:t>
      </w:r>
      <w:r w:rsidR="00DB1635" w:rsidRPr="00B004EE">
        <w:rPr>
          <w:rFonts w:ascii="Tahoma" w:hAnsi="Tahoma" w:cs="Tahoma"/>
          <w:sz w:val="20"/>
          <w:szCs w:val="20"/>
        </w:rPr>
        <w:t xml:space="preserve"> </w:t>
      </w:r>
      <w:r w:rsidR="002F24E1" w:rsidRPr="00B004EE">
        <w:rPr>
          <w:rFonts w:ascii="Tahoma" w:hAnsi="Tahoma" w:cs="Tahoma"/>
          <w:sz w:val="20"/>
          <w:szCs w:val="20"/>
        </w:rPr>
        <w:t>ci-après</w:t>
      </w:r>
      <w:r w:rsidR="00DB1635" w:rsidRPr="00B004EE">
        <w:rPr>
          <w:rFonts w:ascii="Tahoma" w:hAnsi="Tahoma" w:cs="Tahoma"/>
          <w:sz w:val="20"/>
          <w:szCs w:val="20"/>
        </w:rPr>
        <w:t xml:space="preserve"> </w:t>
      </w:r>
      <w:r w:rsidR="002F24E1" w:rsidRPr="00B004EE">
        <w:rPr>
          <w:rFonts w:ascii="Tahoma" w:hAnsi="Tahoma" w:cs="Tahoma"/>
          <w:sz w:val="20"/>
          <w:szCs w:val="20"/>
        </w:rPr>
        <w:t>dénommés</w:t>
      </w:r>
      <w:r w:rsidR="00DB1635" w:rsidRPr="00B004EE">
        <w:rPr>
          <w:rFonts w:ascii="Tahoma" w:hAnsi="Tahoma" w:cs="Tahoma"/>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2F24E1" w:rsidRPr="00B004EE">
        <w:rPr>
          <w:rFonts w:ascii="Tahoma" w:hAnsi="Tahoma" w:cs="Tahoma"/>
          <w:sz w:val="20"/>
          <w:szCs w:val="20"/>
        </w:rPr>
        <w:t>navires".</w:t>
      </w:r>
    </w:p>
    <w:p w14:paraId="0C88146A" w14:textId="77777777" w:rsidR="002F24E1" w:rsidRPr="00B004EE" w:rsidRDefault="002F24E1" w:rsidP="00B004EE">
      <w:pPr>
        <w:jc w:val="both"/>
        <w:rPr>
          <w:rFonts w:ascii="Tahoma" w:hAnsi="Tahoma" w:cs="Tahoma"/>
          <w:b/>
          <w:sz w:val="20"/>
          <w:szCs w:val="20"/>
        </w:rPr>
      </w:pPr>
    </w:p>
    <w:p w14:paraId="5B83F09C" w14:textId="53BA9453" w:rsidR="002F24E1" w:rsidRPr="00B004EE" w:rsidRDefault="00AD7D88" w:rsidP="00B004EE">
      <w:pPr>
        <w:jc w:val="both"/>
        <w:rPr>
          <w:rFonts w:ascii="Tahoma" w:hAnsi="Tahoma" w:cs="Tahoma"/>
          <w:sz w:val="20"/>
          <w:szCs w:val="20"/>
        </w:rPr>
      </w:pPr>
      <w:r w:rsidRPr="00B004EE">
        <w:rPr>
          <w:rFonts w:ascii="Tahoma" w:hAnsi="Tahoma" w:cs="Tahoma"/>
          <w:bCs/>
          <w:sz w:val="20"/>
          <w:szCs w:val="20"/>
        </w:rPr>
        <w:t xml:space="preserve">Article </w:t>
      </w:r>
      <w:r w:rsidR="002F24E1" w:rsidRPr="00B004EE">
        <w:rPr>
          <w:rFonts w:ascii="Tahoma" w:hAnsi="Tahoma" w:cs="Tahoma"/>
          <w:bCs/>
          <w:sz w:val="20"/>
          <w:szCs w:val="20"/>
        </w:rPr>
        <w:t>12</w:t>
      </w:r>
      <w:r w:rsidR="00DB1635" w:rsidRPr="00B004EE">
        <w:rPr>
          <w:rFonts w:ascii="Tahoma" w:hAnsi="Tahoma" w:cs="Tahoma"/>
          <w:bCs/>
          <w:sz w:val="20"/>
          <w:szCs w:val="20"/>
        </w:rPr>
        <w:t xml:space="preserve"> </w:t>
      </w:r>
      <w:r w:rsidR="002F24E1" w:rsidRPr="00B004EE">
        <w:rPr>
          <w:rFonts w:ascii="Tahoma" w:hAnsi="Tahoma" w:cs="Tahoma"/>
          <w:bCs/>
          <w:sz w:val="20"/>
          <w:szCs w:val="20"/>
        </w:rPr>
        <w:t>:</w:t>
      </w:r>
      <w:r w:rsidR="00DB1635" w:rsidRPr="00B004EE">
        <w:rPr>
          <w:rFonts w:ascii="Tahoma" w:hAnsi="Tahoma" w:cs="Tahoma"/>
          <w:b/>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2F24E1" w:rsidRPr="00B004EE">
        <w:rPr>
          <w:rFonts w:ascii="Tahoma" w:hAnsi="Tahoma" w:cs="Tahoma"/>
          <w:sz w:val="20"/>
          <w:szCs w:val="20"/>
        </w:rPr>
        <w:t>navires</w:t>
      </w:r>
      <w:r w:rsidR="00DB1635" w:rsidRPr="00B004EE">
        <w:rPr>
          <w:rFonts w:ascii="Tahoma" w:hAnsi="Tahoma" w:cs="Tahoma"/>
          <w:sz w:val="20"/>
          <w:szCs w:val="20"/>
        </w:rPr>
        <w:t xml:space="preserve"> </w:t>
      </w:r>
      <w:r w:rsidR="002F24E1" w:rsidRPr="00B004EE">
        <w:rPr>
          <w:rFonts w:ascii="Tahoma" w:hAnsi="Tahoma" w:cs="Tahoma"/>
          <w:sz w:val="20"/>
          <w:szCs w:val="20"/>
        </w:rPr>
        <w:t>doivent</w:t>
      </w:r>
      <w:r w:rsidR="00DB1635" w:rsidRPr="00B004EE">
        <w:rPr>
          <w:rFonts w:ascii="Tahoma" w:hAnsi="Tahoma" w:cs="Tahoma"/>
          <w:sz w:val="20"/>
          <w:szCs w:val="20"/>
        </w:rPr>
        <w:t xml:space="preserve"> </w:t>
      </w:r>
      <w:r w:rsidR="002F24E1" w:rsidRPr="00B004EE">
        <w:rPr>
          <w:rFonts w:ascii="Tahoma" w:hAnsi="Tahoma" w:cs="Tahoma"/>
          <w:sz w:val="20"/>
          <w:szCs w:val="20"/>
        </w:rPr>
        <w:t>être</w:t>
      </w:r>
      <w:r w:rsidR="00DB1635" w:rsidRPr="00B004EE">
        <w:rPr>
          <w:rFonts w:ascii="Tahoma" w:hAnsi="Tahoma" w:cs="Tahoma"/>
          <w:sz w:val="20"/>
          <w:szCs w:val="20"/>
        </w:rPr>
        <w:t xml:space="preserve"> </w:t>
      </w:r>
      <w:r w:rsidR="002F24E1" w:rsidRPr="00B004EE">
        <w:rPr>
          <w:rFonts w:ascii="Tahoma" w:hAnsi="Tahoma" w:cs="Tahoma"/>
          <w:sz w:val="20"/>
          <w:szCs w:val="20"/>
        </w:rPr>
        <w:t>équipés</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cales</w:t>
      </w:r>
      <w:r w:rsidR="00DB1635" w:rsidRPr="00B004EE">
        <w:rPr>
          <w:rFonts w:ascii="Tahoma" w:hAnsi="Tahoma" w:cs="Tahoma"/>
          <w:sz w:val="20"/>
          <w:szCs w:val="20"/>
        </w:rPr>
        <w:t xml:space="preserve"> </w:t>
      </w:r>
      <w:r w:rsidR="002F24E1" w:rsidRPr="00B004EE">
        <w:rPr>
          <w:rFonts w:ascii="Tahoma" w:hAnsi="Tahoma" w:cs="Tahoma"/>
          <w:sz w:val="20"/>
          <w:szCs w:val="20"/>
        </w:rPr>
        <w:t>ou</w:t>
      </w:r>
      <w:r w:rsidR="00DB1635" w:rsidRPr="00B004EE">
        <w:rPr>
          <w:rFonts w:ascii="Tahoma" w:hAnsi="Tahoma" w:cs="Tahoma"/>
          <w:sz w:val="20"/>
          <w:szCs w:val="20"/>
        </w:rPr>
        <w:t xml:space="preserve"> </w:t>
      </w:r>
      <w:r w:rsidR="002F24E1" w:rsidRPr="00B004EE">
        <w:rPr>
          <w:rFonts w:ascii="Tahoma" w:hAnsi="Tahoma" w:cs="Tahoma"/>
          <w:sz w:val="20"/>
          <w:szCs w:val="20"/>
        </w:rPr>
        <w:t>conteneurs</w:t>
      </w:r>
      <w:r w:rsidR="00DB1635" w:rsidRPr="00B004EE">
        <w:rPr>
          <w:rFonts w:ascii="Tahoma" w:hAnsi="Tahoma" w:cs="Tahoma"/>
          <w:sz w:val="20"/>
          <w:szCs w:val="20"/>
        </w:rPr>
        <w:t xml:space="preserve"> </w:t>
      </w:r>
      <w:r w:rsidR="002F24E1" w:rsidRPr="00B004EE">
        <w:rPr>
          <w:rFonts w:ascii="Tahoma" w:hAnsi="Tahoma" w:cs="Tahoma"/>
          <w:sz w:val="20"/>
          <w:szCs w:val="20"/>
        </w:rPr>
        <w:t>pour</w:t>
      </w:r>
      <w:r w:rsidR="00DB1635" w:rsidRPr="00B004EE">
        <w:rPr>
          <w:rFonts w:ascii="Tahoma" w:hAnsi="Tahoma" w:cs="Tahoma"/>
          <w:sz w:val="20"/>
          <w:szCs w:val="20"/>
        </w:rPr>
        <w:t xml:space="preserve"> </w:t>
      </w:r>
      <w:r w:rsidR="002F24E1" w:rsidRPr="00B004EE">
        <w:rPr>
          <w:rFonts w:ascii="Tahoma" w:hAnsi="Tahoma" w:cs="Tahoma"/>
          <w:sz w:val="20"/>
          <w:szCs w:val="20"/>
        </w:rPr>
        <w:t>l'entreposage</w:t>
      </w:r>
      <w:r w:rsidR="00DB1635" w:rsidRPr="00B004EE">
        <w:rPr>
          <w:rFonts w:ascii="Tahoma" w:hAnsi="Tahoma" w:cs="Tahoma"/>
          <w:sz w:val="20"/>
          <w:szCs w:val="20"/>
        </w:rPr>
        <w:t xml:space="preserve"> </w:t>
      </w:r>
      <w:r w:rsidR="002F24E1" w:rsidRPr="00B004EE">
        <w:rPr>
          <w:rFonts w:ascii="Tahoma" w:hAnsi="Tahoma" w:cs="Tahoma"/>
          <w:sz w:val="20"/>
          <w:szCs w:val="20"/>
        </w:rPr>
        <w:t>des</w:t>
      </w:r>
      <w:r w:rsidR="00DB1635" w:rsidRPr="00B004EE">
        <w:rPr>
          <w:rFonts w:ascii="Tahoma" w:hAnsi="Tahoma" w:cs="Tahoma"/>
          <w:sz w:val="20"/>
          <w:szCs w:val="20"/>
        </w:rPr>
        <w:t xml:space="preserve"> </w:t>
      </w:r>
      <w:r w:rsidR="002F24E1" w:rsidRPr="00B004EE">
        <w:rPr>
          <w:rFonts w:ascii="Tahoma" w:hAnsi="Tahoma" w:cs="Tahoma"/>
          <w:sz w:val="20"/>
          <w:szCs w:val="20"/>
        </w:rPr>
        <w:t>produits</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la</w:t>
      </w:r>
      <w:r w:rsidR="00DB1635" w:rsidRPr="00B004EE">
        <w:rPr>
          <w:rFonts w:ascii="Tahoma" w:hAnsi="Tahoma" w:cs="Tahoma"/>
          <w:sz w:val="20"/>
          <w:szCs w:val="20"/>
        </w:rPr>
        <w:t xml:space="preserve"> </w:t>
      </w:r>
      <w:r w:rsidR="002F24E1" w:rsidRPr="00B004EE">
        <w:rPr>
          <w:rFonts w:ascii="Tahoma" w:hAnsi="Tahoma" w:cs="Tahoma"/>
          <w:sz w:val="20"/>
          <w:szCs w:val="20"/>
        </w:rPr>
        <w:t>pêche</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l'état</w:t>
      </w:r>
      <w:r w:rsidR="00DB1635" w:rsidRPr="00B004EE">
        <w:rPr>
          <w:rFonts w:ascii="Tahoma" w:hAnsi="Tahoma" w:cs="Tahoma"/>
          <w:sz w:val="20"/>
          <w:szCs w:val="20"/>
        </w:rPr>
        <w:t xml:space="preserve"> </w:t>
      </w:r>
      <w:r w:rsidR="002F24E1" w:rsidRPr="00B004EE">
        <w:rPr>
          <w:rFonts w:ascii="Tahoma" w:hAnsi="Tahoma" w:cs="Tahoma"/>
          <w:sz w:val="20"/>
          <w:szCs w:val="20"/>
        </w:rPr>
        <w:t>réfrigéré</w:t>
      </w:r>
      <w:r w:rsidR="00DB1635" w:rsidRPr="00B004EE">
        <w:rPr>
          <w:rFonts w:ascii="Tahoma" w:hAnsi="Tahoma" w:cs="Tahoma"/>
          <w:sz w:val="20"/>
          <w:szCs w:val="20"/>
        </w:rPr>
        <w:t xml:space="preserve"> </w:t>
      </w:r>
      <w:r w:rsidR="002F24E1" w:rsidRPr="00B004EE">
        <w:rPr>
          <w:rFonts w:ascii="Tahoma" w:hAnsi="Tahoma" w:cs="Tahoma"/>
          <w:sz w:val="20"/>
          <w:szCs w:val="20"/>
        </w:rPr>
        <w:t>ou</w:t>
      </w:r>
      <w:r w:rsidR="00DB1635" w:rsidRPr="00B004EE">
        <w:rPr>
          <w:rFonts w:ascii="Tahoma" w:hAnsi="Tahoma" w:cs="Tahoma"/>
          <w:sz w:val="20"/>
          <w:szCs w:val="20"/>
        </w:rPr>
        <w:t xml:space="preserve"> </w:t>
      </w:r>
      <w:r w:rsidR="002F24E1" w:rsidRPr="00B004EE">
        <w:rPr>
          <w:rFonts w:ascii="Tahoma" w:hAnsi="Tahoma" w:cs="Tahoma"/>
          <w:sz w:val="20"/>
          <w:szCs w:val="20"/>
        </w:rPr>
        <w:t>congelé</w:t>
      </w:r>
      <w:r w:rsidR="00DB1635" w:rsidRPr="00B004EE">
        <w:rPr>
          <w:rFonts w:ascii="Tahoma" w:hAnsi="Tahoma" w:cs="Tahoma"/>
          <w:sz w:val="20"/>
          <w:szCs w:val="20"/>
        </w:rPr>
        <w:t xml:space="preserve"> </w:t>
      </w:r>
      <w:r w:rsidR="002F24E1" w:rsidRPr="00B004EE">
        <w:rPr>
          <w:rFonts w:ascii="Tahoma" w:hAnsi="Tahoma" w:cs="Tahoma"/>
          <w:sz w:val="20"/>
          <w:szCs w:val="20"/>
        </w:rPr>
        <w:t>aux</w:t>
      </w:r>
      <w:r w:rsidR="00DB1635" w:rsidRPr="00B004EE">
        <w:rPr>
          <w:rFonts w:ascii="Tahoma" w:hAnsi="Tahoma" w:cs="Tahoma"/>
          <w:sz w:val="20"/>
          <w:szCs w:val="20"/>
        </w:rPr>
        <w:t xml:space="preserve"> </w:t>
      </w:r>
      <w:r w:rsidR="002F24E1" w:rsidRPr="00B004EE">
        <w:rPr>
          <w:rFonts w:ascii="Tahoma" w:hAnsi="Tahoma" w:cs="Tahoma"/>
          <w:sz w:val="20"/>
          <w:szCs w:val="20"/>
        </w:rPr>
        <w:t>températures</w:t>
      </w:r>
      <w:r w:rsidR="00DB1635" w:rsidRPr="00B004EE">
        <w:rPr>
          <w:rFonts w:ascii="Tahoma" w:hAnsi="Tahoma" w:cs="Tahoma"/>
          <w:sz w:val="20"/>
          <w:szCs w:val="20"/>
        </w:rPr>
        <w:t xml:space="preserve"> </w:t>
      </w:r>
      <w:r w:rsidR="002F24E1" w:rsidRPr="00B004EE">
        <w:rPr>
          <w:rFonts w:ascii="Tahoma" w:hAnsi="Tahoma" w:cs="Tahoma"/>
          <w:sz w:val="20"/>
          <w:szCs w:val="20"/>
        </w:rPr>
        <w:t>prescrites.</w:t>
      </w:r>
      <w:r w:rsidR="00DB1635" w:rsidRPr="00B004EE">
        <w:rPr>
          <w:rFonts w:ascii="Tahoma" w:hAnsi="Tahoma" w:cs="Tahoma"/>
          <w:sz w:val="20"/>
          <w:szCs w:val="20"/>
        </w:rPr>
        <w:t xml:space="preserve"> </w:t>
      </w:r>
      <w:r w:rsidR="002F24E1" w:rsidRPr="00B004EE">
        <w:rPr>
          <w:rFonts w:ascii="Tahoma" w:hAnsi="Tahoma" w:cs="Tahoma"/>
          <w:sz w:val="20"/>
          <w:szCs w:val="20"/>
        </w:rPr>
        <w:t>Ces</w:t>
      </w:r>
      <w:r w:rsidR="00DB1635" w:rsidRPr="00B004EE">
        <w:rPr>
          <w:rFonts w:ascii="Tahoma" w:hAnsi="Tahoma" w:cs="Tahoma"/>
          <w:sz w:val="20"/>
          <w:szCs w:val="20"/>
        </w:rPr>
        <w:t xml:space="preserve"> </w:t>
      </w:r>
      <w:r w:rsidR="002F24E1" w:rsidRPr="00B004EE">
        <w:rPr>
          <w:rFonts w:ascii="Tahoma" w:hAnsi="Tahoma" w:cs="Tahoma"/>
          <w:sz w:val="20"/>
          <w:szCs w:val="20"/>
        </w:rPr>
        <w:t>équipements</w:t>
      </w:r>
      <w:r w:rsidR="00DB1635" w:rsidRPr="00B004EE">
        <w:rPr>
          <w:rFonts w:ascii="Tahoma" w:hAnsi="Tahoma" w:cs="Tahoma"/>
          <w:sz w:val="20"/>
          <w:szCs w:val="20"/>
        </w:rPr>
        <w:t xml:space="preserve"> </w:t>
      </w:r>
      <w:r w:rsidR="002F24E1" w:rsidRPr="00B004EE">
        <w:rPr>
          <w:rFonts w:ascii="Tahoma" w:hAnsi="Tahoma" w:cs="Tahoma"/>
          <w:sz w:val="20"/>
          <w:szCs w:val="20"/>
        </w:rPr>
        <w:t>doivent</w:t>
      </w:r>
      <w:r w:rsidR="00DB1635" w:rsidRPr="00B004EE">
        <w:rPr>
          <w:rFonts w:ascii="Tahoma" w:hAnsi="Tahoma" w:cs="Tahoma"/>
          <w:sz w:val="20"/>
          <w:szCs w:val="20"/>
        </w:rPr>
        <w:t xml:space="preserve"> </w:t>
      </w:r>
      <w:r w:rsidR="002F24E1" w:rsidRPr="00B004EE">
        <w:rPr>
          <w:rFonts w:ascii="Tahoma" w:hAnsi="Tahoma" w:cs="Tahoma"/>
          <w:sz w:val="20"/>
          <w:szCs w:val="20"/>
        </w:rPr>
        <w:t>être</w:t>
      </w:r>
      <w:r w:rsidR="00DB1635" w:rsidRPr="00B004EE">
        <w:rPr>
          <w:rFonts w:ascii="Tahoma" w:hAnsi="Tahoma" w:cs="Tahoma"/>
          <w:sz w:val="20"/>
          <w:szCs w:val="20"/>
        </w:rPr>
        <w:t xml:space="preserve"> </w:t>
      </w:r>
      <w:r w:rsidR="002F24E1" w:rsidRPr="00B004EE">
        <w:rPr>
          <w:rFonts w:ascii="Tahoma" w:hAnsi="Tahoma" w:cs="Tahoma"/>
          <w:sz w:val="20"/>
          <w:szCs w:val="20"/>
        </w:rPr>
        <w:t>séparés</w:t>
      </w:r>
      <w:r w:rsidR="00DB1635" w:rsidRPr="00B004EE">
        <w:rPr>
          <w:rFonts w:ascii="Tahoma" w:hAnsi="Tahoma" w:cs="Tahoma"/>
          <w:sz w:val="20"/>
          <w:szCs w:val="20"/>
        </w:rPr>
        <w:t xml:space="preserve"> </w:t>
      </w:r>
      <w:r w:rsidR="002F24E1" w:rsidRPr="00B004EE">
        <w:rPr>
          <w:rFonts w:ascii="Tahoma" w:hAnsi="Tahoma" w:cs="Tahoma"/>
          <w:sz w:val="20"/>
          <w:szCs w:val="20"/>
        </w:rPr>
        <w:t>du</w:t>
      </w:r>
      <w:r w:rsidR="00DB1635" w:rsidRPr="00B004EE">
        <w:rPr>
          <w:rFonts w:ascii="Tahoma" w:hAnsi="Tahoma" w:cs="Tahoma"/>
          <w:sz w:val="20"/>
          <w:szCs w:val="20"/>
        </w:rPr>
        <w:t xml:space="preserve"> </w:t>
      </w:r>
      <w:r w:rsidR="002F24E1" w:rsidRPr="00B004EE">
        <w:rPr>
          <w:rFonts w:ascii="Tahoma" w:hAnsi="Tahoma" w:cs="Tahoma"/>
          <w:sz w:val="20"/>
          <w:szCs w:val="20"/>
        </w:rPr>
        <w:t>compartiment</w:t>
      </w:r>
      <w:r w:rsidR="00DB1635" w:rsidRPr="00B004EE">
        <w:rPr>
          <w:rFonts w:ascii="Tahoma" w:hAnsi="Tahoma" w:cs="Tahoma"/>
          <w:sz w:val="20"/>
          <w:szCs w:val="20"/>
        </w:rPr>
        <w:t xml:space="preserve"> </w:t>
      </w:r>
      <w:r w:rsidR="002F24E1" w:rsidRPr="00B004EE">
        <w:rPr>
          <w:rFonts w:ascii="Tahoma" w:hAnsi="Tahoma" w:cs="Tahoma"/>
          <w:sz w:val="20"/>
          <w:szCs w:val="20"/>
        </w:rPr>
        <w:t>machine</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des</w:t>
      </w:r>
      <w:r w:rsidR="00DB1635" w:rsidRPr="00B004EE">
        <w:rPr>
          <w:rFonts w:ascii="Tahoma" w:hAnsi="Tahoma" w:cs="Tahoma"/>
          <w:sz w:val="20"/>
          <w:szCs w:val="20"/>
        </w:rPr>
        <w:t xml:space="preserve"> </w:t>
      </w:r>
      <w:r w:rsidR="002F24E1" w:rsidRPr="00B004EE">
        <w:rPr>
          <w:rFonts w:ascii="Tahoma" w:hAnsi="Tahoma" w:cs="Tahoma"/>
          <w:sz w:val="20"/>
          <w:szCs w:val="20"/>
        </w:rPr>
        <w:t>locaux</w:t>
      </w:r>
      <w:r w:rsidR="00DB1635" w:rsidRPr="00B004EE">
        <w:rPr>
          <w:rFonts w:ascii="Tahoma" w:hAnsi="Tahoma" w:cs="Tahoma"/>
          <w:sz w:val="20"/>
          <w:szCs w:val="20"/>
        </w:rPr>
        <w:t xml:space="preserve"> </w:t>
      </w:r>
      <w:r w:rsidR="002F24E1" w:rsidRPr="00B004EE">
        <w:rPr>
          <w:rFonts w:ascii="Tahoma" w:hAnsi="Tahoma" w:cs="Tahoma"/>
          <w:sz w:val="20"/>
          <w:szCs w:val="20"/>
        </w:rPr>
        <w:t>réservés</w:t>
      </w:r>
      <w:r w:rsidR="00DB1635" w:rsidRPr="00B004EE">
        <w:rPr>
          <w:rFonts w:ascii="Tahoma" w:hAnsi="Tahoma" w:cs="Tahoma"/>
          <w:sz w:val="20"/>
          <w:szCs w:val="20"/>
        </w:rPr>
        <w:t xml:space="preserve"> </w:t>
      </w:r>
      <w:r w:rsidR="002F24E1" w:rsidRPr="00B004EE">
        <w:rPr>
          <w:rFonts w:ascii="Tahoma" w:hAnsi="Tahoma" w:cs="Tahoma"/>
          <w:sz w:val="20"/>
          <w:szCs w:val="20"/>
        </w:rPr>
        <w:t>à</w:t>
      </w:r>
      <w:r w:rsidR="00DB1635" w:rsidRPr="00B004EE">
        <w:rPr>
          <w:rFonts w:ascii="Tahoma" w:hAnsi="Tahoma" w:cs="Tahoma"/>
          <w:sz w:val="20"/>
          <w:szCs w:val="20"/>
        </w:rPr>
        <w:t xml:space="preserve"> </w:t>
      </w:r>
      <w:r w:rsidR="002F24E1" w:rsidRPr="00B004EE">
        <w:rPr>
          <w:rFonts w:ascii="Tahoma" w:hAnsi="Tahoma" w:cs="Tahoma"/>
          <w:sz w:val="20"/>
          <w:szCs w:val="20"/>
        </w:rPr>
        <w:t>l'équipage</w:t>
      </w:r>
      <w:r w:rsidR="00DB1635" w:rsidRPr="00B004EE">
        <w:rPr>
          <w:rFonts w:ascii="Tahoma" w:hAnsi="Tahoma" w:cs="Tahoma"/>
          <w:sz w:val="20"/>
          <w:szCs w:val="20"/>
        </w:rPr>
        <w:t xml:space="preserve"> </w:t>
      </w:r>
      <w:r w:rsidR="002F24E1" w:rsidRPr="00B004EE">
        <w:rPr>
          <w:rFonts w:ascii="Tahoma" w:hAnsi="Tahoma" w:cs="Tahoma"/>
          <w:sz w:val="20"/>
          <w:szCs w:val="20"/>
        </w:rPr>
        <w:t>par</w:t>
      </w:r>
      <w:r w:rsidR="00DB1635" w:rsidRPr="00B004EE">
        <w:rPr>
          <w:rFonts w:ascii="Tahoma" w:hAnsi="Tahoma" w:cs="Tahoma"/>
          <w:sz w:val="20"/>
          <w:szCs w:val="20"/>
        </w:rPr>
        <w:t xml:space="preserve"> </w:t>
      </w:r>
      <w:r w:rsidR="002F24E1" w:rsidRPr="00B004EE">
        <w:rPr>
          <w:rFonts w:ascii="Tahoma" w:hAnsi="Tahoma" w:cs="Tahoma"/>
          <w:sz w:val="20"/>
          <w:szCs w:val="20"/>
        </w:rPr>
        <w:t>des</w:t>
      </w:r>
      <w:r w:rsidR="00DB1635" w:rsidRPr="00B004EE">
        <w:rPr>
          <w:rFonts w:ascii="Tahoma" w:hAnsi="Tahoma" w:cs="Tahoma"/>
          <w:sz w:val="20"/>
          <w:szCs w:val="20"/>
        </w:rPr>
        <w:t xml:space="preserve"> </w:t>
      </w:r>
      <w:r w:rsidR="002F24E1" w:rsidRPr="00B004EE">
        <w:rPr>
          <w:rFonts w:ascii="Tahoma" w:hAnsi="Tahoma" w:cs="Tahoma"/>
          <w:sz w:val="20"/>
          <w:szCs w:val="20"/>
        </w:rPr>
        <w:t>cloisons</w:t>
      </w:r>
      <w:r w:rsidR="00DB1635" w:rsidRPr="00B004EE">
        <w:rPr>
          <w:rFonts w:ascii="Tahoma" w:hAnsi="Tahoma" w:cs="Tahoma"/>
          <w:sz w:val="20"/>
          <w:szCs w:val="20"/>
        </w:rPr>
        <w:t xml:space="preserve"> </w:t>
      </w:r>
      <w:r w:rsidR="002F24E1" w:rsidRPr="00B004EE">
        <w:rPr>
          <w:rFonts w:ascii="Tahoma" w:hAnsi="Tahoma" w:cs="Tahoma"/>
          <w:sz w:val="20"/>
          <w:szCs w:val="20"/>
        </w:rPr>
        <w:t>suffisamment</w:t>
      </w:r>
      <w:r w:rsidR="00DB1635" w:rsidRPr="00B004EE">
        <w:rPr>
          <w:rFonts w:ascii="Tahoma" w:hAnsi="Tahoma" w:cs="Tahoma"/>
          <w:sz w:val="20"/>
          <w:szCs w:val="20"/>
        </w:rPr>
        <w:t xml:space="preserve"> </w:t>
      </w:r>
      <w:r w:rsidR="002F24E1" w:rsidRPr="00B004EE">
        <w:rPr>
          <w:rFonts w:ascii="Tahoma" w:hAnsi="Tahoma" w:cs="Tahoma"/>
          <w:sz w:val="20"/>
          <w:szCs w:val="20"/>
        </w:rPr>
        <w:t>étanches</w:t>
      </w:r>
      <w:r w:rsidR="00DB1635" w:rsidRPr="00B004EE">
        <w:rPr>
          <w:rFonts w:ascii="Tahoma" w:hAnsi="Tahoma" w:cs="Tahoma"/>
          <w:sz w:val="20"/>
          <w:szCs w:val="20"/>
        </w:rPr>
        <w:t xml:space="preserve"> </w:t>
      </w:r>
      <w:r w:rsidR="002F24E1" w:rsidRPr="00B004EE">
        <w:rPr>
          <w:rFonts w:ascii="Tahoma" w:hAnsi="Tahoma" w:cs="Tahoma"/>
          <w:sz w:val="20"/>
          <w:szCs w:val="20"/>
        </w:rPr>
        <w:t>pour</w:t>
      </w:r>
      <w:r w:rsidR="00DB1635" w:rsidRPr="00B004EE">
        <w:rPr>
          <w:rFonts w:ascii="Tahoma" w:hAnsi="Tahoma" w:cs="Tahoma"/>
          <w:sz w:val="20"/>
          <w:szCs w:val="20"/>
        </w:rPr>
        <w:t xml:space="preserve"> </w:t>
      </w:r>
      <w:r w:rsidR="002F24E1" w:rsidRPr="00B004EE">
        <w:rPr>
          <w:rFonts w:ascii="Tahoma" w:hAnsi="Tahoma" w:cs="Tahoma"/>
          <w:sz w:val="20"/>
          <w:szCs w:val="20"/>
        </w:rPr>
        <w:t>éviter</w:t>
      </w:r>
      <w:r w:rsidR="00DB1635" w:rsidRPr="00B004EE">
        <w:rPr>
          <w:rFonts w:ascii="Tahoma" w:hAnsi="Tahoma" w:cs="Tahoma"/>
          <w:sz w:val="20"/>
          <w:szCs w:val="20"/>
        </w:rPr>
        <w:t xml:space="preserve"> </w:t>
      </w:r>
      <w:r w:rsidR="002F24E1" w:rsidRPr="00B004EE">
        <w:rPr>
          <w:rFonts w:ascii="Tahoma" w:hAnsi="Tahoma" w:cs="Tahoma"/>
          <w:sz w:val="20"/>
          <w:szCs w:val="20"/>
        </w:rPr>
        <w:t>toute</w:t>
      </w:r>
      <w:r w:rsidR="00DB1635" w:rsidRPr="00B004EE">
        <w:rPr>
          <w:rFonts w:ascii="Tahoma" w:hAnsi="Tahoma" w:cs="Tahoma"/>
          <w:sz w:val="20"/>
          <w:szCs w:val="20"/>
        </w:rPr>
        <w:t xml:space="preserve"> </w:t>
      </w:r>
      <w:r w:rsidR="002F24E1" w:rsidRPr="00B004EE">
        <w:rPr>
          <w:rFonts w:ascii="Tahoma" w:hAnsi="Tahoma" w:cs="Tahoma"/>
          <w:sz w:val="20"/>
          <w:szCs w:val="20"/>
        </w:rPr>
        <w:t>contamination</w:t>
      </w:r>
      <w:r w:rsidR="00DB1635" w:rsidRPr="00B004EE">
        <w:rPr>
          <w:rFonts w:ascii="Tahoma" w:hAnsi="Tahoma" w:cs="Tahoma"/>
          <w:sz w:val="20"/>
          <w:szCs w:val="20"/>
        </w:rPr>
        <w:t xml:space="preserve"> </w:t>
      </w:r>
      <w:r w:rsidR="002F24E1" w:rsidRPr="00B004EE">
        <w:rPr>
          <w:rFonts w:ascii="Tahoma" w:hAnsi="Tahoma" w:cs="Tahoma"/>
          <w:sz w:val="20"/>
          <w:szCs w:val="20"/>
        </w:rPr>
        <w:t>ou</w:t>
      </w:r>
      <w:r w:rsidR="00DB1635" w:rsidRPr="00B004EE">
        <w:rPr>
          <w:rFonts w:ascii="Tahoma" w:hAnsi="Tahoma" w:cs="Tahoma"/>
          <w:sz w:val="20"/>
          <w:szCs w:val="20"/>
        </w:rPr>
        <w:t xml:space="preserve"> </w:t>
      </w:r>
      <w:r w:rsidR="002F24E1" w:rsidRPr="00B004EE">
        <w:rPr>
          <w:rFonts w:ascii="Tahoma" w:hAnsi="Tahoma" w:cs="Tahoma"/>
          <w:sz w:val="20"/>
          <w:szCs w:val="20"/>
        </w:rPr>
        <w:t>réchau</w:t>
      </w:r>
      <w:r w:rsidR="00E32DBF" w:rsidRPr="00B004EE">
        <w:rPr>
          <w:rFonts w:ascii="Tahoma" w:hAnsi="Tahoma" w:cs="Tahoma"/>
          <w:sz w:val="20"/>
          <w:szCs w:val="20"/>
        </w:rPr>
        <w:t>ffement</w:t>
      </w:r>
      <w:r w:rsidR="00DB1635" w:rsidRPr="00B004EE">
        <w:rPr>
          <w:rFonts w:ascii="Tahoma" w:hAnsi="Tahoma" w:cs="Tahoma"/>
          <w:sz w:val="20"/>
          <w:szCs w:val="20"/>
        </w:rPr>
        <w:t xml:space="preserve"> </w:t>
      </w:r>
      <w:r w:rsidR="00E32DBF" w:rsidRPr="00B004EE">
        <w:rPr>
          <w:rFonts w:ascii="Tahoma" w:hAnsi="Tahoma" w:cs="Tahoma"/>
          <w:sz w:val="20"/>
          <w:szCs w:val="20"/>
        </w:rPr>
        <w:t>des</w:t>
      </w:r>
      <w:r w:rsidR="00DB1635" w:rsidRPr="00B004EE">
        <w:rPr>
          <w:rFonts w:ascii="Tahoma" w:hAnsi="Tahoma" w:cs="Tahoma"/>
          <w:sz w:val="20"/>
          <w:szCs w:val="20"/>
        </w:rPr>
        <w:t xml:space="preserve"> </w:t>
      </w:r>
      <w:r w:rsidR="00E32DBF" w:rsidRPr="00B004EE">
        <w:rPr>
          <w:rFonts w:ascii="Tahoma" w:hAnsi="Tahoma" w:cs="Tahoma"/>
          <w:sz w:val="20"/>
          <w:szCs w:val="20"/>
        </w:rPr>
        <w:t>produits</w:t>
      </w:r>
      <w:r w:rsidR="00DB1635" w:rsidRPr="00B004EE">
        <w:rPr>
          <w:rFonts w:ascii="Tahoma" w:hAnsi="Tahoma" w:cs="Tahoma"/>
          <w:sz w:val="20"/>
          <w:szCs w:val="20"/>
        </w:rPr>
        <w:t xml:space="preserve"> </w:t>
      </w:r>
      <w:r w:rsidR="00E32DBF" w:rsidRPr="00B004EE">
        <w:rPr>
          <w:rFonts w:ascii="Tahoma" w:hAnsi="Tahoma" w:cs="Tahoma"/>
          <w:sz w:val="20"/>
          <w:szCs w:val="20"/>
        </w:rPr>
        <w:t>entreposés</w:t>
      </w:r>
    </w:p>
    <w:p w14:paraId="1FFACE36" w14:textId="77777777" w:rsidR="00E32DBF" w:rsidRPr="00B004EE" w:rsidRDefault="00E32DBF" w:rsidP="00B004EE">
      <w:pPr>
        <w:jc w:val="both"/>
        <w:rPr>
          <w:rFonts w:ascii="Tahoma" w:hAnsi="Tahoma" w:cs="Tahoma"/>
          <w:sz w:val="20"/>
          <w:szCs w:val="20"/>
        </w:rPr>
      </w:pPr>
    </w:p>
    <w:p w14:paraId="00C7FAD6" w14:textId="69541400" w:rsidR="002F24E1" w:rsidRPr="00B004EE" w:rsidRDefault="00AD7D88" w:rsidP="00B004EE">
      <w:pPr>
        <w:jc w:val="both"/>
        <w:rPr>
          <w:rFonts w:ascii="Tahoma" w:hAnsi="Tahoma" w:cs="Tahoma"/>
          <w:sz w:val="20"/>
          <w:szCs w:val="20"/>
        </w:rPr>
      </w:pPr>
      <w:r w:rsidRPr="00B004EE">
        <w:rPr>
          <w:rFonts w:ascii="Tahoma" w:hAnsi="Tahoma" w:cs="Tahoma"/>
          <w:bCs/>
          <w:sz w:val="20"/>
          <w:szCs w:val="20"/>
        </w:rPr>
        <w:t xml:space="preserve">Article </w:t>
      </w:r>
      <w:r w:rsidR="002F24E1" w:rsidRPr="00B004EE">
        <w:rPr>
          <w:rFonts w:ascii="Tahoma" w:hAnsi="Tahoma" w:cs="Tahoma"/>
          <w:bCs/>
          <w:sz w:val="20"/>
          <w:szCs w:val="20"/>
        </w:rPr>
        <w:t>13</w:t>
      </w:r>
      <w:r w:rsidR="00DB1635" w:rsidRPr="00B004EE">
        <w:rPr>
          <w:rFonts w:ascii="Tahoma" w:hAnsi="Tahoma" w:cs="Tahoma"/>
          <w:bCs/>
          <w:sz w:val="20"/>
          <w:szCs w:val="20"/>
        </w:rPr>
        <w:t xml:space="preserve"> </w:t>
      </w:r>
      <w:r w:rsidR="002F24E1" w:rsidRPr="00B004EE">
        <w:rPr>
          <w:rFonts w:ascii="Tahoma" w:hAnsi="Tahoma" w:cs="Tahoma"/>
          <w:bCs/>
          <w:sz w:val="20"/>
          <w:szCs w:val="20"/>
        </w:rPr>
        <w:t>:</w:t>
      </w:r>
      <w:r w:rsidR="00DB1635" w:rsidRPr="00B004EE">
        <w:rPr>
          <w:rFonts w:ascii="Tahoma" w:hAnsi="Tahoma" w:cs="Tahoma"/>
          <w:b/>
          <w:sz w:val="20"/>
          <w:szCs w:val="20"/>
        </w:rPr>
        <w:t xml:space="preserve"> </w:t>
      </w:r>
      <w:r w:rsidR="002F24E1" w:rsidRPr="00B004EE">
        <w:rPr>
          <w:rFonts w:ascii="Tahoma" w:hAnsi="Tahoma" w:cs="Tahoma"/>
          <w:sz w:val="20"/>
          <w:szCs w:val="20"/>
        </w:rPr>
        <w:t>Le</w:t>
      </w:r>
      <w:r w:rsidR="00DB1635" w:rsidRPr="00B004EE">
        <w:rPr>
          <w:rFonts w:ascii="Tahoma" w:hAnsi="Tahoma" w:cs="Tahoma"/>
          <w:sz w:val="20"/>
          <w:szCs w:val="20"/>
        </w:rPr>
        <w:t xml:space="preserve"> </w:t>
      </w:r>
      <w:r w:rsidR="002F24E1" w:rsidRPr="00B004EE">
        <w:rPr>
          <w:rFonts w:ascii="Tahoma" w:hAnsi="Tahoma" w:cs="Tahoma"/>
          <w:sz w:val="20"/>
          <w:szCs w:val="20"/>
        </w:rPr>
        <w:t>revêtement</w:t>
      </w:r>
      <w:r w:rsidR="00DB1635" w:rsidRPr="00B004EE">
        <w:rPr>
          <w:rFonts w:ascii="Tahoma" w:hAnsi="Tahoma" w:cs="Tahoma"/>
          <w:sz w:val="20"/>
          <w:szCs w:val="20"/>
        </w:rPr>
        <w:t xml:space="preserve"> </w:t>
      </w:r>
      <w:r w:rsidR="002F24E1" w:rsidRPr="00B004EE">
        <w:rPr>
          <w:rFonts w:ascii="Tahoma" w:hAnsi="Tahoma" w:cs="Tahoma"/>
          <w:sz w:val="20"/>
          <w:szCs w:val="20"/>
        </w:rPr>
        <w:t>intérieur</w:t>
      </w:r>
      <w:r w:rsidR="00DB1635" w:rsidRPr="00B004EE">
        <w:rPr>
          <w:rFonts w:ascii="Tahoma" w:hAnsi="Tahoma" w:cs="Tahoma"/>
          <w:sz w:val="20"/>
          <w:szCs w:val="20"/>
        </w:rPr>
        <w:t xml:space="preserve"> </w:t>
      </w:r>
      <w:r w:rsidR="002F24E1" w:rsidRPr="00B004EE">
        <w:rPr>
          <w:rFonts w:ascii="Tahoma" w:hAnsi="Tahoma" w:cs="Tahoma"/>
          <w:sz w:val="20"/>
          <w:szCs w:val="20"/>
        </w:rPr>
        <w:t>des</w:t>
      </w:r>
      <w:r w:rsidR="00DB1635" w:rsidRPr="00B004EE">
        <w:rPr>
          <w:rFonts w:ascii="Tahoma" w:hAnsi="Tahoma" w:cs="Tahoma"/>
          <w:sz w:val="20"/>
          <w:szCs w:val="20"/>
        </w:rPr>
        <w:t xml:space="preserve"> </w:t>
      </w:r>
      <w:r w:rsidR="002F24E1" w:rsidRPr="00B004EE">
        <w:rPr>
          <w:rFonts w:ascii="Tahoma" w:hAnsi="Tahoma" w:cs="Tahoma"/>
          <w:sz w:val="20"/>
          <w:szCs w:val="20"/>
        </w:rPr>
        <w:t>cales</w:t>
      </w:r>
      <w:r w:rsidR="00DB1635" w:rsidRPr="00B004EE">
        <w:rPr>
          <w:rFonts w:ascii="Tahoma" w:hAnsi="Tahoma" w:cs="Tahoma"/>
          <w:sz w:val="20"/>
          <w:szCs w:val="20"/>
        </w:rPr>
        <w:t xml:space="preserve"> </w:t>
      </w:r>
      <w:r w:rsidR="002F24E1" w:rsidRPr="00B004EE">
        <w:rPr>
          <w:rFonts w:ascii="Tahoma" w:hAnsi="Tahoma" w:cs="Tahoma"/>
          <w:sz w:val="20"/>
          <w:szCs w:val="20"/>
        </w:rPr>
        <w:t>ou</w:t>
      </w:r>
      <w:r w:rsidR="00DB1635" w:rsidRPr="00B004EE">
        <w:rPr>
          <w:rFonts w:ascii="Tahoma" w:hAnsi="Tahoma" w:cs="Tahoma"/>
          <w:sz w:val="20"/>
          <w:szCs w:val="20"/>
        </w:rPr>
        <w:t xml:space="preserve"> </w:t>
      </w:r>
      <w:r w:rsidR="002F24E1" w:rsidRPr="00B004EE">
        <w:rPr>
          <w:rFonts w:ascii="Tahoma" w:hAnsi="Tahoma" w:cs="Tahoma"/>
          <w:sz w:val="20"/>
          <w:szCs w:val="20"/>
        </w:rPr>
        <w:t>conteneurs</w:t>
      </w:r>
      <w:r w:rsidR="00DB1635" w:rsidRPr="00B004EE">
        <w:rPr>
          <w:rFonts w:ascii="Tahoma" w:hAnsi="Tahoma" w:cs="Tahoma"/>
          <w:sz w:val="20"/>
          <w:szCs w:val="20"/>
        </w:rPr>
        <w:t xml:space="preserve"> </w:t>
      </w:r>
      <w:r w:rsidR="002F24E1" w:rsidRPr="00B004EE">
        <w:rPr>
          <w:rFonts w:ascii="Tahoma" w:hAnsi="Tahoma" w:cs="Tahoma"/>
          <w:sz w:val="20"/>
          <w:szCs w:val="20"/>
        </w:rPr>
        <w:t>doit</w:t>
      </w:r>
      <w:r w:rsidR="00DB1635" w:rsidRPr="00B004EE">
        <w:rPr>
          <w:rFonts w:ascii="Tahoma" w:hAnsi="Tahoma" w:cs="Tahoma"/>
          <w:sz w:val="20"/>
          <w:szCs w:val="20"/>
        </w:rPr>
        <w:t xml:space="preserve"> </w:t>
      </w:r>
      <w:r w:rsidR="002F24E1" w:rsidRPr="00B004EE">
        <w:rPr>
          <w:rFonts w:ascii="Tahoma" w:hAnsi="Tahoma" w:cs="Tahoma"/>
          <w:sz w:val="20"/>
          <w:szCs w:val="20"/>
        </w:rPr>
        <w:t>être</w:t>
      </w:r>
      <w:r w:rsidR="00DB1635" w:rsidRPr="00B004EE">
        <w:rPr>
          <w:rFonts w:ascii="Tahoma" w:hAnsi="Tahoma" w:cs="Tahoma"/>
          <w:sz w:val="20"/>
          <w:szCs w:val="20"/>
        </w:rPr>
        <w:t xml:space="preserve"> </w:t>
      </w:r>
      <w:r w:rsidR="002F24E1" w:rsidRPr="00B004EE">
        <w:rPr>
          <w:rFonts w:ascii="Tahoma" w:hAnsi="Tahoma" w:cs="Tahoma"/>
          <w:sz w:val="20"/>
          <w:szCs w:val="20"/>
        </w:rPr>
        <w:t>constitué</w:t>
      </w:r>
      <w:r w:rsidR="00DB1635" w:rsidRPr="00B004EE">
        <w:rPr>
          <w:rFonts w:ascii="Tahoma" w:hAnsi="Tahoma" w:cs="Tahoma"/>
          <w:sz w:val="20"/>
          <w:szCs w:val="20"/>
        </w:rPr>
        <w:t xml:space="preserve"> </w:t>
      </w:r>
      <w:r w:rsidR="002F24E1" w:rsidRPr="00B004EE">
        <w:rPr>
          <w:rFonts w:ascii="Tahoma" w:hAnsi="Tahoma" w:cs="Tahoma"/>
          <w:sz w:val="20"/>
          <w:szCs w:val="20"/>
        </w:rPr>
        <w:t>d'un</w:t>
      </w:r>
      <w:r w:rsidR="00DB1635" w:rsidRPr="00B004EE">
        <w:rPr>
          <w:rFonts w:ascii="Tahoma" w:hAnsi="Tahoma" w:cs="Tahoma"/>
          <w:sz w:val="20"/>
          <w:szCs w:val="20"/>
        </w:rPr>
        <w:t xml:space="preserve"> </w:t>
      </w:r>
      <w:r w:rsidR="002F24E1" w:rsidRPr="00B004EE">
        <w:rPr>
          <w:rFonts w:ascii="Tahoma" w:hAnsi="Tahoma" w:cs="Tahoma"/>
          <w:sz w:val="20"/>
          <w:szCs w:val="20"/>
        </w:rPr>
        <w:t>matériau</w:t>
      </w:r>
      <w:r w:rsidR="00DB1635" w:rsidRPr="00B004EE">
        <w:rPr>
          <w:rFonts w:ascii="Tahoma" w:hAnsi="Tahoma" w:cs="Tahoma"/>
          <w:sz w:val="20"/>
          <w:szCs w:val="20"/>
        </w:rPr>
        <w:t xml:space="preserve"> </w:t>
      </w:r>
      <w:r w:rsidR="002F24E1" w:rsidRPr="00B004EE">
        <w:rPr>
          <w:rFonts w:ascii="Tahoma" w:hAnsi="Tahoma" w:cs="Tahoma"/>
          <w:sz w:val="20"/>
          <w:szCs w:val="20"/>
        </w:rPr>
        <w:t>étanche,</w:t>
      </w:r>
      <w:r w:rsidR="00DB1635" w:rsidRPr="00B004EE">
        <w:rPr>
          <w:rFonts w:ascii="Tahoma" w:hAnsi="Tahoma" w:cs="Tahoma"/>
          <w:sz w:val="20"/>
          <w:szCs w:val="20"/>
        </w:rPr>
        <w:t xml:space="preserve"> </w:t>
      </w:r>
      <w:r w:rsidR="002F24E1" w:rsidRPr="00B004EE">
        <w:rPr>
          <w:rFonts w:ascii="Tahoma" w:hAnsi="Tahoma" w:cs="Tahoma"/>
          <w:sz w:val="20"/>
          <w:szCs w:val="20"/>
        </w:rPr>
        <w:t>lisse,</w:t>
      </w:r>
      <w:r w:rsidR="00DB1635" w:rsidRPr="00B004EE">
        <w:rPr>
          <w:rFonts w:ascii="Tahoma" w:hAnsi="Tahoma" w:cs="Tahoma"/>
          <w:sz w:val="20"/>
          <w:szCs w:val="20"/>
        </w:rPr>
        <w:t xml:space="preserve"> </w:t>
      </w:r>
      <w:r w:rsidR="002F24E1" w:rsidRPr="00B004EE">
        <w:rPr>
          <w:rFonts w:ascii="Tahoma" w:hAnsi="Tahoma" w:cs="Tahoma"/>
          <w:sz w:val="20"/>
          <w:szCs w:val="20"/>
        </w:rPr>
        <w:t>imperméable,</w:t>
      </w:r>
      <w:r w:rsidR="00DB1635" w:rsidRPr="00B004EE">
        <w:rPr>
          <w:rFonts w:ascii="Tahoma" w:hAnsi="Tahoma" w:cs="Tahoma"/>
          <w:sz w:val="20"/>
          <w:szCs w:val="20"/>
        </w:rPr>
        <w:t xml:space="preserve"> </w:t>
      </w:r>
      <w:r w:rsidR="002F24E1" w:rsidRPr="00B004EE">
        <w:rPr>
          <w:rFonts w:ascii="Tahoma" w:hAnsi="Tahoma" w:cs="Tahoma"/>
          <w:sz w:val="20"/>
          <w:szCs w:val="20"/>
        </w:rPr>
        <w:t>facile</w:t>
      </w:r>
      <w:r w:rsidR="00DB1635" w:rsidRPr="00B004EE">
        <w:rPr>
          <w:rFonts w:ascii="Tahoma" w:hAnsi="Tahoma" w:cs="Tahoma"/>
          <w:sz w:val="20"/>
          <w:szCs w:val="20"/>
        </w:rPr>
        <w:t xml:space="preserve"> </w:t>
      </w:r>
      <w:r w:rsidR="002F24E1" w:rsidRPr="00B004EE">
        <w:rPr>
          <w:rFonts w:ascii="Tahoma" w:hAnsi="Tahoma" w:cs="Tahoma"/>
          <w:sz w:val="20"/>
          <w:szCs w:val="20"/>
        </w:rPr>
        <w:t>à</w:t>
      </w:r>
      <w:r w:rsidR="00DB1635" w:rsidRPr="00B004EE">
        <w:rPr>
          <w:rFonts w:ascii="Tahoma" w:hAnsi="Tahoma" w:cs="Tahoma"/>
          <w:sz w:val="20"/>
          <w:szCs w:val="20"/>
        </w:rPr>
        <w:t xml:space="preserve"> </w:t>
      </w:r>
      <w:r w:rsidR="002F24E1" w:rsidRPr="00B004EE">
        <w:rPr>
          <w:rFonts w:ascii="Tahoma" w:hAnsi="Tahoma" w:cs="Tahoma"/>
          <w:sz w:val="20"/>
          <w:szCs w:val="20"/>
        </w:rPr>
        <w:t>laver</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à</w:t>
      </w:r>
      <w:r w:rsidR="00DB1635" w:rsidRPr="00B004EE">
        <w:rPr>
          <w:rFonts w:ascii="Tahoma" w:hAnsi="Tahoma" w:cs="Tahoma"/>
          <w:sz w:val="20"/>
          <w:szCs w:val="20"/>
        </w:rPr>
        <w:t xml:space="preserve"> </w:t>
      </w:r>
      <w:r w:rsidR="002F24E1" w:rsidRPr="00B004EE">
        <w:rPr>
          <w:rFonts w:ascii="Tahoma" w:hAnsi="Tahoma" w:cs="Tahoma"/>
          <w:sz w:val="20"/>
          <w:szCs w:val="20"/>
        </w:rPr>
        <w:t>désinfecter.</w:t>
      </w:r>
      <w:r w:rsidR="00DB1635" w:rsidRPr="00B004EE">
        <w:rPr>
          <w:rFonts w:ascii="Tahoma" w:hAnsi="Tahoma" w:cs="Tahoma"/>
          <w:sz w:val="20"/>
          <w:szCs w:val="20"/>
        </w:rPr>
        <w:t xml:space="preserve"> </w:t>
      </w:r>
      <w:r w:rsidR="002F24E1" w:rsidRPr="00B004EE">
        <w:rPr>
          <w:rFonts w:ascii="Tahoma" w:hAnsi="Tahoma" w:cs="Tahoma"/>
          <w:sz w:val="20"/>
          <w:szCs w:val="20"/>
        </w:rPr>
        <w:t>A</w:t>
      </w:r>
      <w:r w:rsidR="00DB1635" w:rsidRPr="00B004EE">
        <w:rPr>
          <w:rFonts w:ascii="Tahoma" w:hAnsi="Tahoma" w:cs="Tahoma"/>
          <w:sz w:val="20"/>
          <w:szCs w:val="20"/>
        </w:rPr>
        <w:t xml:space="preserve"> </w:t>
      </w:r>
      <w:r w:rsidR="002F24E1" w:rsidRPr="00B004EE">
        <w:rPr>
          <w:rFonts w:ascii="Tahoma" w:hAnsi="Tahoma" w:cs="Tahoma"/>
          <w:sz w:val="20"/>
          <w:szCs w:val="20"/>
        </w:rPr>
        <w:t>défaut,</w:t>
      </w:r>
      <w:r w:rsidR="00DB1635" w:rsidRPr="00B004EE">
        <w:rPr>
          <w:rFonts w:ascii="Tahoma" w:hAnsi="Tahoma" w:cs="Tahoma"/>
          <w:sz w:val="20"/>
          <w:szCs w:val="20"/>
        </w:rPr>
        <w:t xml:space="preserve"> </w:t>
      </w:r>
      <w:r w:rsidR="002F24E1" w:rsidRPr="00B004EE">
        <w:rPr>
          <w:rFonts w:ascii="Tahoma" w:hAnsi="Tahoma" w:cs="Tahoma"/>
          <w:sz w:val="20"/>
          <w:szCs w:val="20"/>
        </w:rPr>
        <w:t>il</w:t>
      </w:r>
      <w:r w:rsidR="00DB1635" w:rsidRPr="00B004EE">
        <w:rPr>
          <w:rFonts w:ascii="Tahoma" w:hAnsi="Tahoma" w:cs="Tahoma"/>
          <w:sz w:val="20"/>
          <w:szCs w:val="20"/>
        </w:rPr>
        <w:t xml:space="preserve"> </w:t>
      </w:r>
      <w:r w:rsidR="002F24E1" w:rsidRPr="00B004EE">
        <w:rPr>
          <w:rFonts w:ascii="Tahoma" w:hAnsi="Tahoma" w:cs="Tahoma"/>
          <w:sz w:val="20"/>
          <w:szCs w:val="20"/>
        </w:rPr>
        <w:t>est</w:t>
      </w:r>
      <w:r w:rsidR="00DB1635" w:rsidRPr="00B004EE">
        <w:rPr>
          <w:rFonts w:ascii="Tahoma" w:hAnsi="Tahoma" w:cs="Tahoma"/>
          <w:sz w:val="20"/>
          <w:szCs w:val="20"/>
        </w:rPr>
        <w:t xml:space="preserve"> </w:t>
      </w:r>
      <w:r w:rsidR="002F24E1" w:rsidRPr="00B004EE">
        <w:rPr>
          <w:rFonts w:ascii="Tahoma" w:hAnsi="Tahoma" w:cs="Tahoma"/>
          <w:sz w:val="20"/>
          <w:szCs w:val="20"/>
        </w:rPr>
        <w:t>constitué</w:t>
      </w:r>
      <w:r w:rsidR="00DB1635" w:rsidRPr="00B004EE">
        <w:rPr>
          <w:rFonts w:ascii="Tahoma" w:hAnsi="Tahoma" w:cs="Tahoma"/>
          <w:sz w:val="20"/>
          <w:szCs w:val="20"/>
        </w:rPr>
        <w:t xml:space="preserve"> </w:t>
      </w:r>
      <w:r w:rsidR="002F24E1" w:rsidRPr="00B004EE">
        <w:rPr>
          <w:rFonts w:ascii="Tahoma" w:hAnsi="Tahoma" w:cs="Tahoma"/>
          <w:sz w:val="20"/>
          <w:szCs w:val="20"/>
        </w:rPr>
        <w:t>d'une</w:t>
      </w:r>
      <w:r w:rsidR="00DB1635" w:rsidRPr="00B004EE">
        <w:rPr>
          <w:rFonts w:ascii="Tahoma" w:hAnsi="Tahoma" w:cs="Tahoma"/>
          <w:sz w:val="20"/>
          <w:szCs w:val="20"/>
        </w:rPr>
        <w:t xml:space="preserve"> </w:t>
      </w:r>
      <w:r w:rsidR="002F24E1" w:rsidRPr="00B004EE">
        <w:rPr>
          <w:rFonts w:ascii="Tahoma" w:hAnsi="Tahoma" w:cs="Tahoma"/>
          <w:sz w:val="20"/>
          <w:szCs w:val="20"/>
        </w:rPr>
        <w:t>peinture</w:t>
      </w:r>
      <w:r w:rsidR="00DB1635" w:rsidRPr="00B004EE">
        <w:rPr>
          <w:rFonts w:ascii="Tahoma" w:hAnsi="Tahoma" w:cs="Tahoma"/>
          <w:sz w:val="20"/>
          <w:szCs w:val="20"/>
        </w:rPr>
        <w:t xml:space="preserve"> </w:t>
      </w:r>
      <w:r w:rsidR="002F24E1" w:rsidRPr="00B004EE">
        <w:rPr>
          <w:rFonts w:ascii="Tahoma" w:hAnsi="Tahoma" w:cs="Tahoma"/>
          <w:sz w:val="20"/>
          <w:szCs w:val="20"/>
        </w:rPr>
        <w:t>lisse</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qualité</w:t>
      </w:r>
      <w:r w:rsidR="00DB1635" w:rsidRPr="00B004EE">
        <w:rPr>
          <w:rFonts w:ascii="Tahoma" w:hAnsi="Tahoma" w:cs="Tahoma"/>
          <w:sz w:val="20"/>
          <w:szCs w:val="20"/>
        </w:rPr>
        <w:t xml:space="preserve"> </w:t>
      </w:r>
      <w:r w:rsidR="002F24E1" w:rsidRPr="00B004EE">
        <w:rPr>
          <w:rFonts w:ascii="Tahoma" w:hAnsi="Tahoma" w:cs="Tahoma"/>
          <w:sz w:val="20"/>
          <w:szCs w:val="20"/>
        </w:rPr>
        <w:t>alimentaire.</w:t>
      </w:r>
    </w:p>
    <w:p w14:paraId="12EE9ABE" w14:textId="77777777" w:rsidR="002F24E1" w:rsidRPr="00B004EE" w:rsidRDefault="002F24E1" w:rsidP="00B004EE">
      <w:pPr>
        <w:jc w:val="both"/>
        <w:rPr>
          <w:rFonts w:ascii="Tahoma" w:hAnsi="Tahoma" w:cs="Tahoma"/>
          <w:sz w:val="20"/>
          <w:szCs w:val="20"/>
        </w:rPr>
      </w:pPr>
    </w:p>
    <w:p w14:paraId="66B32AF0" w14:textId="210818AC" w:rsidR="002F24E1" w:rsidRPr="00B004EE" w:rsidRDefault="002F24E1" w:rsidP="00B004EE">
      <w:pPr>
        <w:jc w:val="both"/>
        <w:rPr>
          <w:rFonts w:ascii="Tahoma" w:hAnsi="Tahoma" w:cs="Tahoma"/>
          <w:sz w:val="20"/>
          <w:szCs w:val="20"/>
        </w:rPr>
      </w:pPr>
      <w:r w:rsidRPr="00B004EE">
        <w:rPr>
          <w:rFonts w:ascii="Tahoma" w:hAnsi="Tahoma" w:cs="Tahoma"/>
          <w:sz w:val="20"/>
          <w:szCs w:val="20"/>
        </w:rPr>
        <w:tab/>
        <w:t>La</w:t>
      </w:r>
      <w:r w:rsidR="00DB1635" w:rsidRPr="00B004EE">
        <w:rPr>
          <w:rFonts w:ascii="Tahoma" w:hAnsi="Tahoma" w:cs="Tahoma"/>
          <w:sz w:val="20"/>
          <w:szCs w:val="20"/>
        </w:rPr>
        <w:t xml:space="preserve"> </w:t>
      </w:r>
      <w:r w:rsidRPr="00B004EE">
        <w:rPr>
          <w:rFonts w:ascii="Tahoma" w:hAnsi="Tahoma" w:cs="Tahoma"/>
          <w:sz w:val="20"/>
          <w:szCs w:val="20"/>
        </w:rPr>
        <w:t>glace</w:t>
      </w:r>
      <w:r w:rsidR="00DB1635" w:rsidRPr="00B004EE">
        <w:rPr>
          <w:rFonts w:ascii="Tahoma" w:hAnsi="Tahoma" w:cs="Tahoma"/>
          <w:sz w:val="20"/>
          <w:szCs w:val="20"/>
        </w:rPr>
        <w:t xml:space="preserve"> </w:t>
      </w:r>
      <w:r w:rsidRPr="00B004EE">
        <w:rPr>
          <w:rFonts w:ascii="Tahoma" w:hAnsi="Tahoma" w:cs="Tahoma"/>
          <w:sz w:val="20"/>
          <w:szCs w:val="20"/>
        </w:rPr>
        <w:t>utilisée</w:t>
      </w:r>
      <w:r w:rsidR="00DB1635" w:rsidRPr="00B004EE">
        <w:rPr>
          <w:rFonts w:ascii="Tahoma" w:hAnsi="Tahoma" w:cs="Tahoma"/>
          <w:sz w:val="20"/>
          <w:szCs w:val="20"/>
        </w:rPr>
        <w:t xml:space="preserve"> </w:t>
      </w:r>
      <w:r w:rsidRPr="00B004EE">
        <w:rPr>
          <w:rFonts w:ascii="Tahoma" w:hAnsi="Tahoma" w:cs="Tahoma"/>
          <w:sz w:val="20"/>
          <w:szCs w:val="20"/>
        </w:rPr>
        <w:t>doit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quantité</w:t>
      </w:r>
      <w:r w:rsidR="00DB1635" w:rsidRPr="00B004EE">
        <w:rPr>
          <w:rFonts w:ascii="Tahoma" w:hAnsi="Tahoma" w:cs="Tahoma"/>
          <w:sz w:val="20"/>
          <w:szCs w:val="20"/>
        </w:rPr>
        <w:t xml:space="preserve"> </w:t>
      </w:r>
      <w:r w:rsidRPr="00B004EE">
        <w:rPr>
          <w:rFonts w:ascii="Tahoma" w:hAnsi="Tahoma" w:cs="Tahoma"/>
          <w:sz w:val="20"/>
          <w:szCs w:val="20"/>
        </w:rPr>
        <w:t>suffisante</w:t>
      </w:r>
      <w:r w:rsidR="00DB1635" w:rsidRPr="00B004EE">
        <w:rPr>
          <w:rFonts w:ascii="Tahoma" w:hAnsi="Tahoma" w:cs="Tahoma"/>
          <w:sz w:val="20"/>
          <w:szCs w:val="20"/>
        </w:rPr>
        <w:t xml:space="preserve"> </w:t>
      </w:r>
      <w:r w:rsidRPr="00B004EE">
        <w:rPr>
          <w:rFonts w:ascii="Tahoma" w:hAnsi="Tahoma" w:cs="Tahoma"/>
          <w:sz w:val="20"/>
          <w:szCs w:val="20"/>
        </w:rPr>
        <w:t>telle</w:t>
      </w:r>
      <w:r w:rsidR="00DB1635" w:rsidRPr="00B004EE">
        <w:rPr>
          <w:rFonts w:ascii="Tahoma" w:hAnsi="Tahoma" w:cs="Tahoma"/>
          <w:sz w:val="20"/>
          <w:szCs w:val="20"/>
        </w:rPr>
        <w:t xml:space="preserve"> </w:t>
      </w:r>
      <w:r w:rsidRPr="00B004EE">
        <w:rPr>
          <w:rFonts w:ascii="Tahoma" w:hAnsi="Tahoma" w:cs="Tahoma"/>
          <w:sz w:val="20"/>
          <w:szCs w:val="20"/>
        </w:rPr>
        <w:t>qu'au</w:t>
      </w:r>
      <w:r w:rsidR="00DB1635" w:rsidRPr="00B004EE">
        <w:rPr>
          <w:rFonts w:ascii="Tahoma" w:hAnsi="Tahoma" w:cs="Tahoma"/>
          <w:sz w:val="20"/>
          <w:szCs w:val="20"/>
        </w:rPr>
        <w:t xml:space="preserve"> </w:t>
      </w:r>
      <w:r w:rsidRPr="00B004EE">
        <w:rPr>
          <w:rFonts w:ascii="Tahoma" w:hAnsi="Tahoma" w:cs="Tahoma"/>
          <w:sz w:val="20"/>
          <w:szCs w:val="20"/>
        </w:rPr>
        <w:t>débarquement</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température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000942DD" w:rsidRPr="00B004EE">
        <w:rPr>
          <w:rFonts w:ascii="Tahoma" w:hAnsi="Tahoma" w:cs="Tahoma"/>
          <w:sz w:val="20"/>
          <w:szCs w:val="20"/>
        </w:rPr>
        <w:t>cœur</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soit</w:t>
      </w:r>
      <w:r w:rsidR="00DB1635" w:rsidRPr="00B004EE">
        <w:rPr>
          <w:rFonts w:ascii="Tahoma" w:hAnsi="Tahoma" w:cs="Tahoma"/>
          <w:sz w:val="20"/>
          <w:szCs w:val="20"/>
        </w:rPr>
        <w:t xml:space="preserve"> </w:t>
      </w:r>
      <w:r w:rsidRPr="00B004EE">
        <w:rPr>
          <w:rFonts w:ascii="Tahoma" w:hAnsi="Tahoma" w:cs="Tahoma"/>
          <w:sz w:val="20"/>
          <w:szCs w:val="20"/>
        </w:rPr>
        <w:t>celle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glace</w:t>
      </w:r>
      <w:r w:rsidR="00DB1635" w:rsidRPr="00B004EE">
        <w:rPr>
          <w:rFonts w:ascii="Tahoma" w:hAnsi="Tahoma" w:cs="Tahoma"/>
          <w:sz w:val="20"/>
          <w:szCs w:val="20"/>
        </w:rPr>
        <w:t xml:space="preserve"> </w:t>
      </w:r>
      <w:r w:rsidRPr="00B004EE">
        <w:rPr>
          <w:rFonts w:ascii="Tahoma" w:hAnsi="Tahoma" w:cs="Tahoma"/>
          <w:sz w:val="20"/>
          <w:szCs w:val="20"/>
        </w:rPr>
        <w:t>fondante.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glace</w:t>
      </w:r>
      <w:r w:rsidR="00DB1635" w:rsidRPr="00B004EE">
        <w:rPr>
          <w:rFonts w:ascii="Tahoma" w:hAnsi="Tahoma" w:cs="Tahoma"/>
          <w:sz w:val="20"/>
          <w:szCs w:val="20"/>
        </w:rPr>
        <w:t xml:space="preserve"> </w:t>
      </w:r>
      <w:r w:rsidRPr="00B004EE">
        <w:rPr>
          <w:rFonts w:ascii="Tahoma" w:hAnsi="Tahoma" w:cs="Tahoma"/>
          <w:sz w:val="20"/>
          <w:szCs w:val="20"/>
        </w:rPr>
        <w:t>doit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répartie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façon</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assurer</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réfrigération</w:t>
      </w:r>
      <w:r w:rsidR="00DB1635" w:rsidRPr="00B004EE">
        <w:rPr>
          <w:rFonts w:ascii="Tahoma" w:hAnsi="Tahoma" w:cs="Tahoma"/>
          <w:sz w:val="20"/>
          <w:szCs w:val="20"/>
        </w:rPr>
        <w:t xml:space="preserve"> </w:t>
      </w:r>
      <w:r w:rsidRPr="00B004EE">
        <w:rPr>
          <w:rFonts w:ascii="Tahoma" w:hAnsi="Tahoma" w:cs="Tahoma"/>
          <w:sz w:val="20"/>
          <w:szCs w:val="20"/>
        </w:rPr>
        <w:t>efficace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homogène,</w:t>
      </w:r>
      <w:r w:rsidR="00DB1635" w:rsidRPr="00B004EE">
        <w:rPr>
          <w:rFonts w:ascii="Tahoma" w:hAnsi="Tahoma" w:cs="Tahoma"/>
          <w:sz w:val="20"/>
          <w:szCs w:val="20"/>
        </w:rPr>
        <w:t xml:space="preserve"> </w:t>
      </w:r>
      <w:r w:rsidRPr="00B004EE">
        <w:rPr>
          <w:rFonts w:ascii="Tahoma" w:hAnsi="Tahoma" w:cs="Tahoma"/>
          <w:sz w:val="20"/>
          <w:szCs w:val="20"/>
        </w:rPr>
        <w:t>sans</w:t>
      </w:r>
      <w:r w:rsidR="00DB1635" w:rsidRPr="00B004EE">
        <w:rPr>
          <w:rFonts w:ascii="Tahoma" w:hAnsi="Tahoma" w:cs="Tahoma"/>
          <w:sz w:val="20"/>
          <w:szCs w:val="20"/>
        </w:rPr>
        <w:t xml:space="preserve"> </w:t>
      </w:r>
      <w:r w:rsidRPr="00B004EE">
        <w:rPr>
          <w:rFonts w:ascii="Tahoma" w:hAnsi="Tahoma" w:cs="Tahoma"/>
          <w:sz w:val="20"/>
          <w:szCs w:val="20"/>
        </w:rPr>
        <w:t>que</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morceaux</w:t>
      </w:r>
      <w:r w:rsidR="00DB1635" w:rsidRPr="00B004EE">
        <w:rPr>
          <w:rFonts w:ascii="Tahoma" w:hAnsi="Tahoma" w:cs="Tahoma"/>
          <w:sz w:val="20"/>
          <w:szCs w:val="20"/>
        </w:rPr>
        <w:t xml:space="preserve"> </w:t>
      </w:r>
      <w:r w:rsidRPr="00B004EE">
        <w:rPr>
          <w:rFonts w:ascii="Tahoma" w:hAnsi="Tahoma" w:cs="Tahoma"/>
          <w:sz w:val="20"/>
          <w:szCs w:val="20"/>
        </w:rPr>
        <w:t>ni</w:t>
      </w:r>
      <w:r w:rsidR="00DB1635" w:rsidRPr="00B004EE">
        <w:rPr>
          <w:rFonts w:ascii="Tahoma" w:hAnsi="Tahoma" w:cs="Tahoma"/>
          <w:sz w:val="20"/>
          <w:szCs w:val="20"/>
        </w:rPr>
        <w:t xml:space="preserve"> </w:t>
      </w:r>
      <w:r w:rsidRPr="00B004EE">
        <w:rPr>
          <w:rFonts w:ascii="Tahoma" w:hAnsi="Tahoma" w:cs="Tahoma"/>
          <w:sz w:val="20"/>
          <w:szCs w:val="20"/>
        </w:rPr>
        <w:t>l'eau</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fusion</w:t>
      </w:r>
      <w:r w:rsidR="00DB1635" w:rsidRPr="00B004EE">
        <w:rPr>
          <w:rFonts w:ascii="Tahoma" w:hAnsi="Tahoma" w:cs="Tahoma"/>
          <w:sz w:val="20"/>
          <w:szCs w:val="20"/>
        </w:rPr>
        <w:t xml:space="preserve"> </w:t>
      </w:r>
      <w:r w:rsidRPr="00B004EE">
        <w:rPr>
          <w:rFonts w:ascii="Tahoma" w:hAnsi="Tahoma" w:cs="Tahoma"/>
          <w:sz w:val="20"/>
          <w:szCs w:val="20"/>
        </w:rPr>
        <w:t>ne</w:t>
      </w:r>
      <w:r w:rsidR="00DB1635" w:rsidRPr="00B004EE">
        <w:rPr>
          <w:rFonts w:ascii="Tahoma" w:hAnsi="Tahoma" w:cs="Tahoma"/>
          <w:sz w:val="20"/>
          <w:szCs w:val="20"/>
        </w:rPr>
        <w:t xml:space="preserve"> </w:t>
      </w:r>
      <w:r w:rsidRPr="00B004EE">
        <w:rPr>
          <w:rFonts w:ascii="Tahoma" w:hAnsi="Tahoma" w:cs="Tahoma"/>
          <w:sz w:val="20"/>
          <w:szCs w:val="20"/>
        </w:rPr>
        <w:t>risquent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détériorer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produits.</w:t>
      </w:r>
    </w:p>
    <w:p w14:paraId="02831C36" w14:textId="77777777" w:rsidR="002F24E1" w:rsidRPr="00B004EE" w:rsidRDefault="002F24E1" w:rsidP="00B004EE">
      <w:pPr>
        <w:jc w:val="both"/>
        <w:rPr>
          <w:rFonts w:ascii="Tahoma" w:hAnsi="Tahoma" w:cs="Tahoma"/>
          <w:sz w:val="20"/>
          <w:szCs w:val="20"/>
        </w:rPr>
      </w:pPr>
    </w:p>
    <w:p w14:paraId="7ADDE555" w14:textId="449D6DE0" w:rsidR="002F24E1" w:rsidRPr="00B004EE" w:rsidRDefault="00AD7D88" w:rsidP="00B004EE">
      <w:pPr>
        <w:jc w:val="both"/>
        <w:rPr>
          <w:rFonts w:ascii="Tahoma" w:hAnsi="Tahoma" w:cs="Tahoma"/>
          <w:sz w:val="20"/>
          <w:szCs w:val="20"/>
        </w:rPr>
      </w:pPr>
      <w:r w:rsidRPr="00B004EE">
        <w:rPr>
          <w:rFonts w:ascii="Tahoma" w:hAnsi="Tahoma" w:cs="Tahoma"/>
          <w:bCs/>
          <w:sz w:val="20"/>
          <w:szCs w:val="20"/>
        </w:rPr>
        <w:t xml:space="preserve">Article </w:t>
      </w:r>
      <w:r w:rsidR="002F24E1" w:rsidRPr="00B004EE">
        <w:rPr>
          <w:rFonts w:ascii="Tahoma" w:hAnsi="Tahoma" w:cs="Tahoma"/>
          <w:bCs/>
          <w:sz w:val="20"/>
          <w:szCs w:val="20"/>
        </w:rPr>
        <w:t>14</w:t>
      </w:r>
      <w:r w:rsidR="00DB1635" w:rsidRPr="00B004EE">
        <w:rPr>
          <w:rFonts w:ascii="Tahoma" w:hAnsi="Tahoma" w:cs="Tahoma"/>
          <w:bCs/>
          <w:sz w:val="20"/>
          <w:szCs w:val="20"/>
        </w:rPr>
        <w:t xml:space="preserve"> </w:t>
      </w:r>
      <w:r w:rsidR="002F24E1" w:rsidRPr="00B004EE">
        <w:rPr>
          <w:rFonts w:ascii="Tahoma" w:hAnsi="Tahoma" w:cs="Tahoma"/>
          <w:bCs/>
          <w:sz w:val="20"/>
          <w:szCs w:val="20"/>
        </w:rPr>
        <w:t>:</w:t>
      </w:r>
      <w:r w:rsidR="00DB1635" w:rsidRPr="00B004EE">
        <w:rPr>
          <w:rFonts w:ascii="Tahoma" w:hAnsi="Tahoma" w:cs="Tahoma"/>
          <w:b/>
          <w:sz w:val="20"/>
          <w:szCs w:val="20"/>
        </w:rPr>
        <w:t xml:space="preserve"> </w:t>
      </w:r>
      <w:r w:rsidR="002F24E1" w:rsidRPr="00B004EE">
        <w:rPr>
          <w:rFonts w:ascii="Tahoma" w:hAnsi="Tahoma" w:cs="Tahoma"/>
          <w:sz w:val="20"/>
          <w:szCs w:val="20"/>
        </w:rPr>
        <w:t>Au</w:t>
      </w:r>
      <w:r w:rsidR="00DB1635" w:rsidRPr="00B004EE">
        <w:rPr>
          <w:rFonts w:ascii="Tahoma" w:hAnsi="Tahoma" w:cs="Tahoma"/>
          <w:sz w:val="20"/>
          <w:szCs w:val="20"/>
        </w:rPr>
        <w:t xml:space="preserve"> </w:t>
      </w:r>
      <w:r w:rsidR="002F24E1" w:rsidRPr="00B004EE">
        <w:rPr>
          <w:rFonts w:ascii="Tahoma" w:hAnsi="Tahoma" w:cs="Tahoma"/>
          <w:sz w:val="20"/>
          <w:szCs w:val="20"/>
        </w:rPr>
        <w:t>moment</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leur</w:t>
      </w:r>
      <w:r w:rsidR="00DB1635" w:rsidRPr="00B004EE">
        <w:rPr>
          <w:rFonts w:ascii="Tahoma" w:hAnsi="Tahoma" w:cs="Tahoma"/>
          <w:sz w:val="20"/>
          <w:szCs w:val="20"/>
        </w:rPr>
        <w:t xml:space="preserve"> </w:t>
      </w:r>
      <w:r w:rsidR="002F24E1" w:rsidRPr="00B004EE">
        <w:rPr>
          <w:rFonts w:ascii="Tahoma" w:hAnsi="Tahoma" w:cs="Tahoma"/>
          <w:sz w:val="20"/>
          <w:szCs w:val="20"/>
        </w:rPr>
        <w:t>utilisation,</w:t>
      </w:r>
      <w:r w:rsidR="00DB1635" w:rsidRPr="00B004EE">
        <w:rPr>
          <w:rFonts w:ascii="Tahoma" w:hAnsi="Tahoma" w:cs="Tahoma"/>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2F24E1" w:rsidRPr="00B004EE">
        <w:rPr>
          <w:rFonts w:ascii="Tahoma" w:hAnsi="Tahoma" w:cs="Tahoma"/>
          <w:sz w:val="20"/>
          <w:szCs w:val="20"/>
        </w:rPr>
        <w:t>ponts</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travail,</w:t>
      </w:r>
      <w:r w:rsidR="00DB1635" w:rsidRPr="00B004EE">
        <w:rPr>
          <w:rFonts w:ascii="Tahoma" w:hAnsi="Tahoma" w:cs="Tahoma"/>
          <w:sz w:val="20"/>
          <w:szCs w:val="20"/>
        </w:rPr>
        <w:t xml:space="preserve"> </w:t>
      </w:r>
      <w:r w:rsidR="002F24E1" w:rsidRPr="00B004EE">
        <w:rPr>
          <w:rFonts w:ascii="Tahoma" w:hAnsi="Tahoma" w:cs="Tahoma"/>
          <w:sz w:val="20"/>
          <w:szCs w:val="20"/>
        </w:rPr>
        <w:t>l'équipement,</w:t>
      </w:r>
      <w:r w:rsidR="00DB1635" w:rsidRPr="00B004EE">
        <w:rPr>
          <w:rFonts w:ascii="Tahoma" w:hAnsi="Tahoma" w:cs="Tahoma"/>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2F24E1" w:rsidRPr="00B004EE">
        <w:rPr>
          <w:rFonts w:ascii="Tahoma" w:hAnsi="Tahoma" w:cs="Tahoma"/>
          <w:sz w:val="20"/>
          <w:szCs w:val="20"/>
        </w:rPr>
        <w:t>récipients</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2F24E1" w:rsidRPr="00B004EE">
        <w:rPr>
          <w:rFonts w:ascii="Tahoma" w:hAnsi="Tahoma" w:cs="Tahoma"/>
          <w:sz w:val="20"/>
          <w:szCs w:val="20"/>
        </w:rPr>
        <w:t>cales</w:t>
      </w:r>
      <w:r w:rsidR="00DB1635" w:rsidRPr="00B004EE">
        <w:rPr>
          <w:rFonts w:ascii="Tahoma" w:hAnsi="Tahoma" w:cs="Tahoma"/>
          <w:sz w:val="20"/>
          <w:szCs w:val="20"/>
        </w:rPr>
        <w:t xml:space="preserve"> </w:t>
      </w:r>
      <w:r w:rsidR="002F24E1" w:rsidRPr="00B004EE">
        <w:rPr>
          <w:rFonts w:ascii="Tahoma" w:hAnsi="Tahoma" w:cs="Tahoma"/>
          <w:sz w:val="20"/>
          <w:szCs w:val="20"/>
        </w:rPr>
        <w:t>doivent</w:t>
      </w:r>
      <w:r w:rsidR="00DB1635" w:rsidRPr="00B004EE">
        <w:rPr>
          <w:rFonts w:ascii="Tahoma" w:hAnsi="Tahoma" w:cs="Tahoma"/>
          <w:sz w:val="20"/>
          <w:szCs w:val="20"/>
        </w:rPr>
        <w:t xml:space="preserve"> </w:t>
      </w:r>
      <w:r w:rsidR="002F24E1" w:rsidRPr="00B004EE">
        <w:rPr>
          <w:rFonts w:ascii="Tahoma" w:hAnsi="Tahoma" w:cs="Tahoma"/>
          <w:sz w:val="20"/>
          <w:szCs w:val="20"/>
        </w:rPr>
        <w:t>être</w:t>
      </w:r>
      <w:r w:rsidR="00DB1635" w:rsidRPr="00B004EE">
        <w:rPr>
          <w:rFonts w:ascii="Tahoma" w:hAnsi="Tahoma" w:cs="Tahoma"/>
          <w:sz w:val="20"/>
          <w:szCs w:val="20"/>
        </w:rPr>
        <w:t xml:space="preserve"> </w:t>
      </w:r>
      <w:r w:rsidR="002F24E1" w:rsidRPr="00B004EE">
        <w:rPr>
          <w:rFonts w:ascii="Tahoma" w:hAnsi="Tahoma" w:cs="Tahoma"/>
          <w:sz w:val="20"/>
          <w:szCs w:val="20"/>
        </w:rPr>
        <w:t>en</w:t>
      </w:r>
      <w:r w:rsidR="00DB1635" w:rsidRPr="00B004EE">
        <w:rPr>
          <w:rFonts w:ascii="Tahoma" w:hAnsi="Tahoma" w:cs="Tahoma"/>
          <w:sz w:val="20"/>
          <w:szCs w:val="20"/>
        </w:rPr>
        <w:t xml:space="preserve"> </w:t>
      </w:r>
      <w:r w:rsidR="002F24E1" w:rsidRPr="00B004EE">
        <w:rPr>
          <w:rFonts w:ascii="Tahoma" w:hAnsi="Tahoma" w:cs="Tahoma"/>
          <w:sz w:val="20"/>
          <w:szCs w:val="20"/>
        </w:rPr>
        <w:t>bon</w:t>
      </w:r>
      <w:r w:rsidR="00DB1635" w:rsidRPr="00B004EE">
        <w:rPr>
          <w:rFonts w:ascii="Tahoma" w:hAnsi="Tahoma" w:cs="Tahoma"/>
          <w:sz w:val="20"/>
          <w:szCs w:val="20"/>
        </w:rPr>
        <w:t xml:space="preserve"> </w:t>
      </w:r>
      <w:r w:rsidR="002F24E1" w:rsidRPr="00B004EE">
        <w:rPr>
          <w:rFonts w:ascii="Tahoma" w:hAnsi="Tahoma" w:cs="Tahoma"/>
          <w:sz w:val="20"/>
          <w:szCs w:val="20"/>
        </w:rPr>
        <w:t>état</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propreté.</w:t>
      </w:r>
      <w:r w:rsidR="00DB1635" w:rsidRPr="00B004EE">
        <w:rPr>
          <w:rFonts w:ascii="Tahoma" w:hAnsi="Tahoma" w:cs="Tahoma"/>
          <w:sz w:val="20"/>
          <w:szCs w:val="20"/>
        </w:rPr>
        <w:t xml:space="preserve"> </w:t>
      </w:r>
      <w:r w:rsidR="002F24E1" w:rsidRPr="00B004EE">
        <w:rPr>
          <w:rFonts w:ascii="Tahoma" w:hAnsi="Tahoma" w:cs="Tahoma"/>
          <w:sz w:val="20"/>
          <w:szCs w:val="20"/>
        </w:rPr>
        <w:t>Ils</w:t>
      </w:r>
      <w:r w:rsidR="00DB1635" w:rsidRPr="00B004EE">
        <w:rPr>
          <w:rFonts w:ascii="Tahoma" w:hAnsi="Tahoma" w:cs="Tahoma"/>
          <w:sz w:val="20"/>
          <w:szCs w:val="20"/>
        </w:rPr>
        <w:t xml:space="preserve"> </w:t>
      </w:r>
      <w:r w:rsidR="002F24E1" w:rsidRPr="00B004EE">
        <w:rPr>
          <w:rFonts w:ascii="Tahoma" w:hAnsi="Tahoma" w:cs="Tahoma"/>
          <w:sz w:val="20"/>
          <w:szCs w:val="20"/>
        </w:rPr>
        <w:t>doivent</w:t>
      </w:r>
      <w:r w:rsidR="00DB1635" w:rsidRPr="00B004EE">
        <w:rPr>
          <w:rFonts w:ascii="Tahoma" w:hAnsi="Tahoma" w:cs="Tahoma"/>
          <w:sz w:val="20"/>
          <w:szCs w:val="20"/>
        </w:rPr>
        <w:t xml:space="preserve"> </w:t>
      </w:r>
      <w:r w:rsidR="002F24E1" w:rsidRPr="00B004EE">
        <w:rPr>
          <w:rFonts w:ascii="Tahoma" w:hAnsi="Tahoma" w:cs="Tahoma"/>
          <w:sz w:val="20"/>
          <w:szCs w:val="20"/>
        </w:rPr>
        <w:t>être</w:t>
      </w:r>
      <w:r w:rsidR="00DB1635" w:rsidRPr="00B004EE">
        <w:rPr>
          <w:rFonts w:ascii="Tahoma" w:hAnsi="Tahoma" w:cs="Tahoma"/>
          <w:sz w:val="20"/>
          <w:szCs w:val="20"/>
        </w:rPr>
        <w:t xml:space="preserve"> </w:t>
      </w:r>
      <w:r w:rsidR="002F24E1" w:rsidRPr="00B004EE">
        <w:rPr>
          <w:rFonts w:ascii="Tahoma" w:hAnsi="Tahoma" w:cs="Tahoma"/>
          <w:sz w:val="20"/>
          <w:szCs w:val="20"/>
        </w:rPr>
        <w:t>soigneusement</w:t>
      </w:r>
      <w:r w:rsidR="00DB1635" w:rsidRPr="00B004EE">
        <w:rPr>
          <w:rFonts w:ascii="Tahoma" w:hAnsi="Tahoma" w:cs="Tahoma"/>
          <w:sz w:val="20"/>
          <w:szCs w:val="20"/>
        </w:rPr>
        <w:t xml:space="preserve"> </w:t>
      </w:r>
      <w:r w:rsidR="002F24E1" w:rsidRPr="00B004EE">
        <w:rPr>
          <w:rFonts w:ascii="Tahoma" w:hAnsi="Tahoma" w:cs="Tahoma"/>
          <w:sz w:val="20"/>
          <w:szCs w:val="20"/>
        </w:rPr>
        <w:t>nettoyés</w:t>
      </w:r>
      <w:r w:rsidR="00DB1635" w:rsidRPr="00B004EE">
        <w:rPr>
          <w:rFonts w:ascii="Tahoma" w:hAnsi="Tahoma" w:cs="Tahoma"/>
          <w:sz w:val="20"/>
          <w:szCs w:val="20"/>
        </w:rPr>
        <w:t xml:space="preserve"> </w:t>
      </w:r>
      <w:r w:rsidR="002F24E1" w:rsidRPr="00B004EE">
        <w:rPr>
          <w:rFonts w:ascii="Tahoma" w:hAnsi="Tahoma" w:cs="Tahoma"/>
          <w:sz w:val="20"/>
          <w:szCs w:val="20"/>
        </w:rPr>
        <w:t>après</w:t>
      </w:r>
      <w:r w:rsidR="00DB1635" w:rsidRPr="00B004EE">
        <w:rPr>
          <w:rFonts w:ascii="Tahoma" w:hAnsi="Tahoma" w:cs="Tahoma"/>
          <w:sz w:val="20"/>
          <w:szCs w:val="20"/>
        </w:rPr>
        <w:t xml:space="preserve"> </w:t>
      </w:r>
      <w:r w:rsidR="002F24E1" w:rsidRPr="00B004EE">
        <w:rPr>
          <w:rFonts w:ascii="Tahoma" w:hAnsi="Tahoma" w:cs="Tahoma"/>
          <w:sz w:val="20"/>
          <w:szCs w:val="20"/>
        </w:rPr>
        <w:t>chaque</w:t>
      </w:r>
      <w:r w:rsidR="00DB1635" w:rsidRPr="00B004EE">
        <w:rPr>
          <w:rFonts w:ascii="Tahoma" w:hAnsi="Tahoma" w:cs="Tahoma"/>
          <w:sz w:val="20"/>
          <w:szCs w:val="20"/>
        </w:rPr>
        <w:t xml:space="preserve"> </w:t>
      </w:r>
      <w:r w:rsidR="002F24E1" w:rsidRPr="00B004EE">
        <w:rPr>
          <w:rFonts w:ascii="Tahoma" w:hAnsi="Tahoma" w:cs="Tahoma"/>
          <w:sz w:val="20"/>
          <w:szCs w:val="20"/>
        </w:rPr>
        <w:t>usage</w:t>
      </w:r>
      <w:r w:rsidR="00DB1635" w:rsidRPr="00B004EE">
        <w:rPr>
          <w:rFonts w:ascii="Tahoma" w:hAnsi="Tahoma" w:cs="Tahoma"/>
          <w:sz w:val="20"/>
          <w:szCs w:val="20"/>
        </w:rPr>
        <w:t xml:space="preserve"> </w:t>
      </w:r>
      <w:r w:rsidR="002F24E1" w:rsidRPr="00B004EE">
        <w:rPr>
          <w:rFonts w:ascii="Tahoma" w:hAnsi="Tahoma" w:cs="Tahoma"/>
          <w:sz w:val="20"/>
          <w:szCs w:val="20"/>
        </w:rPr>
        <w:t>avec</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l'eau</w:t>
      </w:r>
      <w:r w:rsidR="00DB1635" w:rsidRPr="00B004EE">
        <w:rPr>
          <w:rFonts w:ascii="Tahoma" w:hAnsi="Tahoma" w:cs="Tahoma"/>
          <w:sz w:val="20"/>
          <w:szCs w:val="20"/>
        </w:rPr>
        <w:t xml:space="preserve"> </w:t>
      </w:r>
      <w:r w:rsidR="002F24E1" w:rsidRPr="00B004EE">
        <w:rPr>
          <w:rFonts w:ascii="Tahoma" w:hAnsi="Tahoma" w:cs="Tahoma"/>
          <w:sz w:val="20"/>
          <w:szCs w:val="20"/>
        </w:rPr>
        <w:t>potable</w:t>
      </w:r>
      <w:r w:rsidR="00DB1635" w:rsidRPr="00B004EE">
        <w:rPr>
          <w:rFonts w:ascii="Tahoma" w:hAnsi="Tahoma" w:cs="Tahoma"/>
          <w:sz w:val="20"/>
          <w:szCs w:val="20"/>
        </w:rPr>
        <w:t xml:space="preserve"> </w:t>
      </w:r>
      <w:r w:rsidR="002F24E1" w:rsidRPr="00B004EE">
        <w:rPr>
          <w:rFonts w:ascii="Tahoma" w:hAnsi="Tahoma" w:cs="Tahoma"/>
          <w:sz w:val="20"/>
          <w:szCs w:val="20"/>
        </w:rPr>
        <w:t>ou</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l'eau</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la</w:t>
      </w:r>
      <w:r w:rsidR="00DB1635" w:rsidRPr="00B004EE">
        <w:rPr>
          <w:rFonts w:ascii="Tahoma" w:hAnsi="Tahoma" w:cs="Tahoma"/>
          <w:sz w:val="20"/>
          <w:szCs w:val="20"/>
        </w:rPr>
        <w:t xml:space="preserve"> </w:t>
      </w:r>
      <w:r w:rsidR="002F24E1" w:rsidRPr="00B004EE">
        <w:rPr>
          <w:rFonts w:ascii="Tahoma" w:hAnsi="Tahoma" w:cs="Tahoma"/>
          <w:sz w:val="20"/>
          <w:szCs w:val="20"/>
        </w:rPr>
        <w:t>mer</w:t>
      </w:r>
      <w:r w:rsidR="00DB1635" w:rsidRPr="00B004EE">
        <w:rPr>
          <w:rFonts w:ascii="Tahoma" w:hAnsi="Tahoma" w:cs="Tahoma"/>
          <w:sz w:val="20"/>
          <w:szCs w:val="20"/>
        </w:rPr>
        <w:t xml:space="preserve"> </w:t>
      </w:r>
      <w:r w:rsidR="002F24E1" w:rsidRPr="00B004EE">
        <w:rPr>
          <w:rFonts w:ascii="Tahoma" w:hAnsi="Tahoma" w:cs="Tahoma"/>
          <w:sz w:val="20"/>
          <w:szCs w:val="20"/>
        </w:rPr>
        <w:t>propre.</w:t>
      </w:r>
    </w:p>
    <w:p w14:paraId="2DB3E40B" w14:textId="77777777" w:rsidR="002F24E1" w:rsidRPr="00B004EE" w:rsidRDefault="002F24E1" w:rsidP="00B004EE">
      <w:pPr>
        <w:jc w:val="both"/>
        <w:rPr>
          <w:rFonts w:ascii="Tahoma" w:hAnsi="Tahoma" w:cs="Tahoma"/>
          <w:sz w:val="20"/>
          <w:szCs w:val="20"/>
        </w:rPr>
      </w:pPr>
    </w:p>
    <w:p w14:paraId="694055A2" w14:textId="4FE2A732" w:rsidR="002F24E1" w:rsidRPr="00B004EE" w:rsidRDefault="002F24E1" w:rsidP="00B004EE">
      <w:pPr>
        <w:jc w:val="both"/>
        <w:rPr>
          <w:rFonts w:ascii="Tahoma" w:hAnsi="Tahoma" w:cs="Tahoma"/>
          <w:sz w:val="20"/>
          <w:szCs w:val="20"/>
        </w:rPr>
      </w:pPr>
      <w:r w:rsidRPr="00B004EE">
        <w:rPr>
          <w:rFonts w:ascii="Tahoma" w:hAnsi="Tahoma" w:cs="Tahoma"/>
          <w:sz w:val="20"/>
          <w:szCs w:val="20"/>
        </w:rPr>
        <w:tab/>
        <w:t>Une</w:t>
      </w:r>
      <w:r w:rsidR="00DB1635" w:rsidRPr="00B004EE">
        <w:rPr>
          <w:rFonts w:ascii="Tahoma" w:hAnsi="Tahoma" w:cs="Tahoma"/>
          <w:sz w:val="20"/>
          <w:szCs w:val="20"/>
        </w:rPr>
        <w:t xml:space="preserve"> </w:t>
      </w:r>
      <w:r w:rsidRPr="00B004EE">
        <w:rPr>
          <w:rFonts w:ascii="Tahoma" w:hAnsi="Tahoma" w:cs="Tahoma"/>
          <w:sz w:val="20"/>
          <w:szCs w:val="20"/>
        </w:rPr>
        <w:t>désinfection,</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désinsectisation</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dératisation,</w:t>
      </w:r>
      <w:r w:rsidR="00DB1635" w:rsidRPr="00B004EE">
        <w:rPr>
          <w:rFonts w:ascii="Tahoma" w:hAnsi="Tahoma" w:cs="Tahoma"/>
          <w:sz w:val="20"/>
          <w:szCs w:val="20"/>
        </w:rPr>
        <w:t xml:space="preserve"> </w:t>
      </w:r>
      <w:r w:rsidRPr="00B004EE">
        <w:rPr>
          <w:rFonts w:ascii="Tahoma" w:hAnsi="Tahoma" w:cs="Tahoma"/>
          <w:sz w:val="20"/>
          <w:szCs w:val="20"/>
        </w:rPr>
        <w:t>doivent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réalisées</w:t>
      </w:r>
      <w:r w:rsidR="00DB1635" w:rsidRPr="00B004EE">
        <w:rPr>
          <w:rFonts w:ascii="Tahoma" w:hAnsi="Tahoma" w:cs="Tahoma"/>
          <w:sz w:val="20"/>
          <w:szCs w:val="20"/>
        </w:rPr>
        <w:t xml:space="preserve"> </w:t>
      </w:r>
      <w:r w:rsidRPr="00B004EE">
        <w:rPr>
          <w:rFonts w:ascii="Tahoma" w:hAnsi="Tahoma" w:cs="Tahoma"/>
          <w:sz w:val="20"/>
          <w:szCs w:val="20"/>
        </w:rPr>
        <w:t>chaque</w:t>
      </w:r>
      <w:r w:rsidR="00DB1635" w:rsidRPr="00B004EE">
        <w:rPr>
          <w:rFonts w:ascii="Tahoma" w:hAnsi="Tahoma" w:cs="Tahoma"/>
          <w:sz w:val="20"/>
          <w:szCs w:val="20"/>
        </w:rPr>
        <w:t xml:space="preserve"> </w:t>
      </w:r>
      <w:r w:rsidRPr="00B004EE">
        <w:rPr>
          <w:rFonts w:ascii="Tahoma" w:hAnsi="Tahoma" w:cs="Tahoma"/>
          <w:sz w:val="20"/>
          <w:szCs w:val="20"/>
        </w:rPr>
        <w:t>fois</w:t>
      </w:r>
      <w:r w:rsidR="00DB1635" w:rsidRPr="00B004EE">
        <w:rPr>
          <w:rFonts w:ascii="Tahoma" w:hAnsi="Tahoma" w:cs="Tahoma"/>
          <w:sz w:val="20"/>
          <w:szCs w:val="20"/>
        </w:rPr>
        <w:t xml:space="preserve"> </w:t>
      </w:r>
      <w:r w:rsidRPr="00B004EE">
        <w:rPr>
          <w:rFonts w:ascii="Tahoma" w:hAnsi="Tahoma" w:cs="Tahoma"/>
          <w:sz w:val="20"/>
          <w:szCs w:val="20"/>
        </w:rPr>
        <w:t>que</w:t>
      </w:r>
      <w:r w:rsidR="00DB1635" w:rsidRPr="00B004EE">
        <w:rPr>
          <w:rFonts w:ascii="Tahoma" w:hAnsi="Tahoma" w:cs="Tahoma"/>
          <w:sz w:val="20"/>
          <w:szCs w:val="20"/>
        </w:rPr>
        <w:t xml:space="preserve"> </w:t>
      </w:r>
      <w:r w:rsidRPr="00B004EE">
        <w:rPr>
          <w:rFonts w:ascii="Tahoma" w:hAnsi="Tahoma" w:cs="Tahoma"/>
          <w:sz w:val="20"/>
          <w:szCs w:val="20"/>
        </w:rPr>
        <w:t>cela</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nécessaire,</w:t>
      </w:r>
      <w:r w:rsidR="00DB1635" w:rsidRPr="00B004EE">
        <w:rPr>
          <w:rFonts w:ascii="Tahoma" w:hAnsi="Tahoma" w:cs="Tahoma"/>
          <w:sz w:val="20"/>
          <w:szCs w:val="20"/>
        </w:rPr>
        <w:t xml:space="preserve"> </w:t>
      </w:r>
      <w:r w:rsidRPr="00B004EE">
        <w:rPr>
          <w:rFonts w:ascii="Tahoma" w:hAnsi="Tahoma" w:cs="Tahoma"/>
          <w:sz w:val="20"/>
          <w:szCs w:val="20"/>
        </w:rPr>
        <w:t>selon</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prescriptions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réglementation</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vigueur.</w:t>
      </w:r>
      <w:r w:rsidR="00DB1635" w:rsidRPr="00B004EE">
        <w:rPr>
          <w:rFonts w:ascii="Tahoma" w:hAnsi="Tahoma" w:cs="Tahoma"/>
          <w:sz w:val="20"/>
          <w:szCs w:val="20"/>
        </w:rPr>
        <w:t xml:space="preserve"> </w:t>
      </w:r>
      <w:r w:rsidRPr="00B004EE">
        <w:rPr>
          <w:rFonts w:ascii="Tahoma" w:hAnsi="Tahoma" w:cs="Tahoma"/>
          <w:sz w:val="20"/>
          <w:szCs w:val="20"/>
        </w:rPr>
        <w:t>Toutes</w:t>
      </w:r>
      <w:r w:rsidR="00DB1635" w:rsidRPr="00B004EE">
        <w:rPr>
          <w:rFonts w:ascii="Tahoma" w:hAnsi="Tahoma" w:cs="Tahoma"/>
          <w:sz w:val="20"/>
          <w:szCs w:val="20"/>
        </w:rPr>
        <w:t xml:space="preserve"> </w:t>
      </w:r>
      <w:r w:rsidRPr="00B004EE">
        <w:rPr>
          <w:rFonts w:ascii="Tahoma" w:hAnsi="Tahoma" w:cs="Tahoma"/>
          <w:sz w:val="20"/>
          <w:szCs w:val="20"/>
        </w:rPr>
        <w:t>ces</w:t>
      </w:r>
      <w:r w:rsidR="00DB1635" w:rsidRPr="00B004EE">
        <w:rPr>
          <w:rFonts w:ascii="Tahoma" w:hAnsi="Tahoma" w:cs="Tahoma"/>
          <w:sz w:val="20"/>
          <w:szCs w:val="20"/>
        </w:rPr>
        <w:t xml:space="preserve"> </w:t>
      </w:r>
      <w:r w:rsidRPr="00B004EE">
        <w:rPr>
          <w:rFonts w:ascii="Tahoma" w:hAnsi="Tahoma" w:cs="Tahoma"/>
          <w:sz w:val="20"/>
          <w:szCs w:val="20"/>
        </w:rPr>
        <w:t>opérations</w:t>
      </w:r>
      <w:r w:rsidR="00DB1635" w:rsidRPr="00B004EE">
        <w:rPr>
          <w:rFonts w:ascii="Tahoma" w:hAnsi="Tahoma" w:cs="Tahoma"/>
          <w:sz w:val="20"/>
          <w:szCs w:val="20"/>
        </w:rPr>
        <w:t xml:space="preserve"> </w:t>
      </w:r>
      <w:r w:rsidRPr="00B004EE">
        <w:rPr>
          <w:rFonts w:ascii="Tahoma" w:hAnsi="Tahoma" w:cs="Tahoma"/>
          <w:sz w:val="20"/>
          <w:szCs w:val="20"/>
        </w:rPr>
        <w:t>d'assainissements</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navires</w:t>
      </w:r>
      <w:r w:rsidR="00DB1635" w:rsidRPr="00B004EE">
        <w:rPr>
          <w:rFonts w:ascii="Tahoma" w:hAnsi="Tahoma" w:cs="Tahoma"/>
          <w:sz w:val="20"/>
          <w:szCs w:val="20"/>
        </w:rPr>
        <w:t xml:space="preserve"> </w:t>
      </w:r>
      <w:r w:rsidRPr="00B004EE">
        <w:rPr>
          <w:rFonts w:ascii="Tahoma" w:hAnsi="Tahoma" w:cs="Tahoma"/>
          <w:sz w:val="20"/>
          <w:szCs w:val="20"/>
        </w:rPr>
        <w:t>doivent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enregistrées.</w:t>
      </w:r>
    </w:p>
    <w:p w14:paraId="6422074F" w14:textId="77777777" w:rsidR="002F24E1" w:rsidRPr="00B004EE" w:rsidRDefault="002F24E1" w:rsidP="00B004EE">
      <w:pPr>
        <w:jc w:val="both"/>
        <w:rPr>
          <w:rFonts w:ascii="Tahoma" w:hAnsi="Tahoma" w:cs="Tahoma"/>
          <w:sz w:val="20"/>
          <w:szCs w:val="20"/>
        </w:rPr>
      </w:pPr>
    </w:p>
    <w:p w14:paraId="087F4B47" w14:textId="1A013279" w:rsidR="002F24E1" w:rsidRPr="00B004EE" w:rsidRDefault="002F24E1" w:rsidP="00B004EE">
      <w:pPr>
        <w:jc w:val="both"/>
        <w:rPr>
          <w:rFonts w:ascii="Tahoma" w:hAnsi="Tahoma" w:cs="Tahoma"/>
          <w:sz w:val="20"/>
          <w:szCs w:val="20"/>
        </w:rPr>
      </w:pPr>
      <w:r w:rsidRPr="00B004EE">
        <w:rPr>
          <w:rFonts w:ascii="Tahoma" w:hAnsi="Tahoma" w:cs="Tahoma"/>
          <w:sz w:val="20"/>
          <w:szCs w:val="20"/>
        </w:rPr>
        <w:tab/>
        <w:t>Les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nettoyage,</w:t>
      </w:r>
      <w:r w:rsidR="00DB1635" w:rsidRPr="00B004EE">
        <w:rPr>
          <w:rFonts w:ascii="Tahoma" w:hAnsi="Tahoma" w:cs="Tahoma"/>
          <w:sz w:val="20"/>
          <w:szCs w:val="20"/>
        </w:rPr>
        <w:t xml:space="preserve"> </w:t>
      </w:r>
      <w:r w:rsidRPr="00B004EE">
        <w:rPr>
          <w:rFonts w:ascii="Tahoma" w:hAnsi="Tahoma" w:cs="Tahoma"/>
          <w:sz w:val="20"/>
          <w:szCs w:val="20"/>
        </w:rPr>
        <w:t>désinfectants,</w:t>
      </w:r>
      <w:r w:rsidR="00DB1635" w:rsidRPr="00B004EE">
        <w:rPr>
          <w:rFonts w:ascii="Tahoma" w:hAnsi="Tahoma" w:cs="Tahoma"/>
          <w:sz w:val="20"/>
          <w:szCs w:val="20"/>
        </w:rPr>
        <w:t xml:space="preserve"> </w:t>
      </w:r>
      <w:r w:rsidRPr="00B004EE">
        <w:rPr>
          <w:rFonts w:ascii="Tahoma" w:hAnsi="Tahoma" w:cs="Tahoma"/>
          <w:sz w:val="20"/>
          <w:szCs w:val="20"/>
        </w:rPr>
        <w:t>insecticides,</w:t>
      </w:r>
      <w:r w:rsidR="00DB1635" w:rsidRPr="00B004EE">
        <w:rPr>
          <w:rFonts w:ascii="Tahoma" w:hAnsi="Tahoma" w:cs="Tahoma"/>
          <w:sz w:val="20"/>
          <w:szCs w:val="20"/>
        </w:rPr>
        <w:t xml:space="preserve"> </w:t>
      </w:r>
      <w:r w:rsidRPr="00B004EE">
        <w:rPr>
          <w:rFonts w:ascii="Tahoma" w:hAnsi="Tahoma" w:cs="Tahoma"/>
          <w:sz w:val="20"/>
          <w:szCs w:val="20"/>
        </w:rPr>
        <w:t>raticides,</w:t>
      </w:r>
      <w:r w:rsidR="00DB1635" w:rsidRPr="00B004EE">
        <w:rPr>
          <w:rFonts w:ascii="Tahoma" w:hAnsi="Tahoma" w:cs="Tahoma"/>
          <w:sz w:val="20"/>
          <w:szCs w:val="20"/>
        </w:rPr>
        <w:t xml:space="preserve"> </w:t>
      </w:r>
      <w:r w:rsidRPr="00B004EE">
        <w:rPr>
          <w:rFonts w:ascii="Tahoma" w:hAnsi="Tahoma" w:cs="Tahoma"/>
          <w:sz w:val="20"/>
          <w:szCs w:val="20"/>
        </w:rPr>
        <w:t>peintures</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toutes</w:t>
      </w:r>
      <w:r w:rsidR="00DB1635" w:rsidRPr="00B004EE">
        <w:rPr>
          <w:rFonts w:ascii="Tahoma" w:hAnsi="Tahoma" w:cs="Tahoma"/>
          <w:sz w:val="20"/>
          <w:szCs w:val="20"/>
        </w:rPr>
        <w:t xml:space="preserve"> </w:t>
      </w:r>
      <w:r w:rsidRPr="00B004EE">
        <w:rPr>
          <w:rFonts w:ascii="Tahoma" w:hAnsi="Tahoma" w:cs="Tahoma"/>
          <w:sz w:val="20"/>
          <w:szCs w:val="20"/>
        </w:rPr>
        <w:t>substances</w:t>
      </w:r>
      <w:r w:rsidR="00DB1635" w:rsidRPr="00B004EE">
        <w:rPr>
          <w:rFonts w:ascii="Tahoma" w:hAnsi="Tahoma" w:cs="Tahoma"/>
          <w:sz w:val="20"/>
          <w:szCs w:val="20"/>
        </w:rPr>
        <w:t xml:space="preserve"> </w:t>
      </w:r>
      <w:r w:rsidRPr="00B004EE">
        <w:rPr>
          <w:rFonts w:ascii="Tahoma" w:hAnsi="Tahoma" w:cs="Tahoma"/>
          <w:sz w:val="20"/>
          <w:szCs w:val="20"/>
        </w:rPr>
        <w:t>pouvant</w:t>
      </w:r>
      <w:r w:rsidR="00DB1635" w:rsidRPr="00B004EE">
        <w:rPr>
          <w:rFonts w:ascii="Tahoma" w:hAnsi="Tahoma" w:cs="Tahoma"/>
          <w:sz w:val="20"/>
          <w:szCs w:val="20"/>
        </w:rPr>
        <w:t xml:space="preserve"> </w:t>
      </w:r>
      <w:r w:rsidRPr="00B004EE">
        <w:rPr>
          <w:rFonts w:ascii="Tahoma" w:hAnsi="Tahoma" w:cs="Tahoma"/>
          <w:sz w:val="20"/>
          <w:szCs w:val="20"/>
        </w:rPr>
        <w:t>présenter</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certaine</w:t>
      </w:r>
      <w:r w:rsidR="00DB1635" w:rsidRPr="00B004EE">
        <w:rPr>
          <w:rFonts w:ascii="Tahoma" w:hAnsi="Tahoma" w:cs="Tahoma"/>
          <w:sz w:val="20"/>
          <w:szCs w:val="20"/>
        </w:rPr>
        <w:t xml:space="preserve"> </w:t>
      </w:r>
      <w:r w:rsidRPr="00B004EE">
        <w:rPr>
          <w:rFonts w:ascii="Tahoma" w:hAnsi="Tahoma" w:cs="Tahoma"/>
          <w:sz w:val="20"/>
          <w:szCs w:val="20"/>
        </w:rPr>
        <w:t>toxicité</w:t>
      </w:r>
      <w:r w:rsidR="00DB1635" w:rsidRPr="00B004EE">
        <w:rPr>
          <w:rFonts w:ascii="Tahoma" w:hAnsi="Tahoma" w:cs="Tahoma"/>
          <w:sz w:val="20"/>
          <w:szCs w:val="20"/>
        </w:rPr>
        <w:t xml:space="preserve"> </w:t>
      </w:r>
      <w:r w:rsidRPr="00B004EE">
        <w:rPr>
          <w:rFonts w:ascii="Tahoma" w:hAnsi="Tahoma" w:cs="Tahoma"/>
          <w:sz w:val="20"/>
          <w:szCs w:val="20"/>
        </w:rPr>
        <w:t>doivent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autorisés,</w:t>
      </w:r>
      <w:r w:rsidR="00DB1635" w:rsidRPr="00B004EE">
        <w:rPr>
          <w:rFonts w:ascii="Tahoma" w:hAnsi="Tahoma" w:cs="Tahoma"/>
          <w:sz w:val="20"/>
          <w:szCs w:val="20"/>
        </w:rPr>
        <w:t xml:space="preserve"> </w:t>
      </w:r>
      <w:r w:rsidRPr="00B004EE">
        <w:rPr>
          <w:rFonts w:ascii="Tahoma" w:hAnsi="Tahoma" w:cs="Tahoma"/>
          <w:sz w:val="20"/>
          <w:szCs w:val="20"/>
        </w:rPr>
        <w:t>entreposés</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local</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armoire</w:t>
      </w:r>
      <w:r w:rsidR="00DB1635" w:rsidRPr="00B004EE">
        <w:rPr>
          <w:rFonts w:ascii="Tahoma" w:hAnsi="Tahoma" w:cs="Tahoma"/>
          <w:sz w:val="20"/>
          <w:szCs w:val="20"/>
        </w:rPr>
        <w:t xml:space="preserve"> </w:t>
      </w:r>
      <w:r w:rsidRPr="00B004EE">
        <w:rPr>
          <w:rFonts w:ascii="Tahoma" w:hAnsi="Tahoma" w:cs="Tahoma"/>
          <w:sz w:val="20"/>
          <w:szCs w:val="20"/>
        </w:rPr>
        <w:t>fermant</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clé</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utilisés</w:t>
      </w:r>
      <w:r w:rsidR="00DB1635" w:rsidRPr="00B004EE">
        <w:rPr>
          <w:rFonts w:ascii="Tahoma" w:hAnsi="Tahoma" w:cs="Tahoma"/>
          <w:sz w:val="20"/>
          <w:szCs w:val="20"/>
        </w:rPr>
        <w:t xml:space="preserve"> </w:t>
      </w:r>
      <w:r w:rsidRPr="00B004EE">
        <w:rPr>
          <w:rFonts w:ascii="Tahoma" w:hAnsi="Tahoma" w:cs="Tahoma"/>
          <w:sz w:val="20"/>
          <w:szCs w:val="20"/>
        </w:rPr>
        <w:t>sans</w:t>
      </w:r>
      <w:r w:rsidR="00DB1635" w:rsidRPr="00B004EE">
        <w:rPr>
          <w:rFonts w:ascii="Tahoma" w:hAnsi="Tahoma" w:cs="Tahoma"/>
          <w:sz w:val="20"/>
          <w:szCs w:val="20"/>
        </w:rPr>
        <w:t xml:space="preserve"> </w:t>
      </w:r>
      <w:r w:rsidRPr="00B004EE">
        <w:rPr>
          <w:rFonts w:ascii="Tahoma" w:hAnsi="Tahoma" w:cs="Tahoma"/>
          <w:sz w:val="20"/>
          <w:szCs w:val="20"/>
        </w:rPr>
        <w:t>risque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contamination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p>
    <w:p w14:paraId="167793A6" w14:textId="77777777" w:rsidR="002F24E1" w:rsidRPr="00B004EE" w:rsidRDefault="002F24E1" w:rsidP="00B004EE">
      <w:pPr>
        <w:jc w:val="both"/>
        <w:rPr>
          <w:rFonts w:ascii="Tahoma" w:hAnsi="Tahoma" w:cs="Tahoma"/>
          <w:b/>
          <w:sz w:val="20"/>
          <w:szCs w:val="20"/>
        </w:rPr>
      </w:pPr>
    </w:p>
    <w:p w14:paraId="04680B45" w14:textId="77DC4F7F" w:rsidR="002F24E1" w:rsidRPr="00B004EE" w:rsidRDefault="00AD7D88" w:rsidP="00B004EE">
      <w:pPr>
        <w:jc w:val="both"/>
        <w:rPr>
          <w:rFonts w:ascii="Tahoma" w:hAnsi="Tahoma" w:cs="Tahoma"/>
          <w:sz w:val="20"/>
          <w:szCs w:val="20"/>
        </w:rPr>
      </w:pPr>
      <w:r w:rsidRPr="00B004EE">
        <w:rPr>
          <w:rFonts w:ascii="Tahoma" w:hAnsi="Tahoma" w:cs="Tahoma"/>
          <w:bCs/>
          <w:sz w:val="20"/>
          <w:szCs w:val="20"/>
        </w:rPr>
        <w:t xml:space="preserve">Article </w:t>
      </w:r>
      <w:r w:rsidR="002F24E1" w:rsidRPr="00B004EE">
        <w:rPr>
          <w:rFonts w:ascii="Tahoma" w:hAnsi="Tahoma" w:cs="Tahoma"/>
          <w:bCs/>
          <w:sz w:val="20"/>
          <w:szCs w:val="20"/>
        </w:rPr>
        <w:t>15</w:t>
      </w:r>
      <w:r w:rsidR="00DB1635" w:rsidRPr="00B004EE">
        <w:rPr>
          <w:rFonts w:ascii="Tahoma" w:hAnsi="Tahoma" w:cs="Tahoma"/>
          <w:bCs/>
          <w:sz w:val="20"/>
          <w:szCs w:val="20"/>
        </w:rPr>
        <w:t xml:space="preserve"> </w:t>
      </w:r>
      <w:r w:rsidR="002F24E1" w:rsidRPr="00B004EE">
        <w:rPr>
          <w:rFonts w:ascii="Tahoma" w:hAnsi="Tahoma" w:cs="Tahoma"/>
          <w:bCs/>
          <w:sz w:val="20"/>
          <w:szCs w:val="20"/>
        </w:rPr>
        <w:t>:</w:t>
      </w:r>
      <w:r w:rsidR="00DB1635" w:rsidRPr="00B004EE">
        <w:rPr>
          <w:rFonts w:ascii="Tahoma" w:hAnsi="Tahoma" w:cs="Tahoma"/>
          <w:b/>
          <w:sz w:val="20"/>
          <w:szCs w:val="20"/>
        </w:rPr>
        <w:t xml:space="preserve"> </w:t>
      </w:r>
      <w:r w:rsidR="002F24E1" w:rsidRPr="00B004EE">
        <w:rPr>
          <w:rFonts w:ascii="Tahoma" w:hAnsi="Tahoma" w:cs="Tahoma"/>
          <w:sz w:val="20"/>
          <w:szCs w:val="20"/>
        </w:rPr>
        <w:t>L'armateur</w:t>
      </w:r>
      <w:r w:rsidR="00DB1635" w:rsidRPr="00B004EE">
        <w:rPr>
          <w:rFonts w:ascii="Tahoma" w:hAnsi="Tahoma" w:cs="Tahoma"/>
          <w:sz w:val="20"/>
          <w:szCs w:val="20"/>
        </w:rPr>
        <w:t xml:space="preserve"> </w:t>
      </w:r>
      <w:r w:rsidR="002F24E1" w:rsidRPr="00B004EE">
        <w:rPr>
          <w:rFonts w:ascii="Tahoma" w:hAnsi="Tahoma" w:cs="Tahoma"/>
          <w:sz w:val="20"/>
          <w:szCs w:val="20"/>
        </w:rPr>
        <w:t>ou</w:t>
      </w:r>
      <w:r w:rsidR="00DB1635" w:rsidRPr="00B004EE">
        <w:rPr>
          <w:rFonts w:ascii="Tahoma" w:hAnsi="Tahoma" w:cs="Tahoma"/>
          <w:sz w:val="20"/>
          <w:szCs w:val="20"/>
        </w:rPr>
        <w:t xml:space="preserve"> </w:t>
      </w:r>
      <w:r w:rsidR="002F24E1" w:rsidRPr="00B004EE">
        <w:rPr>
          <w:rFonts w:ascii="Tahoma" w:hAnsi="Tahoma" w:cs="Tahoma"/>
          <w:sz w:val="20"/>
          <w:szCs w:val="20"/>
        </w:rPr>
        <w:t>son</w:t>
      </w:r>
      <w:r w:rsidR="00DB1635" w:rsidRPr="00B004EE">
        <w:rPr>
          <w:rFonts w:ascii="Tahoma" w:hAnsi="Tahoma" w:cs="Tahoma"/>
          <w:sz w:val="20"/>
          <w:szCs w:val="20"/>
        </w:rPr>
        <w:t xml:space="preserve"> </w:t>
      </w:r>
      <w:r w:rsidR="002F24E1" w:rsidRPr="00B004EE">
        <w:rPr>
          <w:rFonts w:ascii="Tahoma" w:hAnsi="Tahoma" w:cs="Tahoma"/>
          <w:sz w:val="20"/>
          <w:szCs w:val="20"/>
        </w:rPr>
        <w:t>représentant</w:t>
      </w:r>
      <w:r w:rsidR="00DB1635" w:rsidRPr="00B004EE">
        <w:rPr>
          <w:rFonts w:ascii="Tahoma" w:hAnsi="Tahoma" w:cs="Tahoma"/>
          <w:sz w:val="20"/>
          <w:szCs w:val="20"/>
        </w:rPr>
        <w:t xml:space="preserve"> </w:t>
      </w:r>
      <w:r w:rsidR="002F24E1" w:rsidRPr="00B004EE">
        <w:rPr>
          <w:rFonts w:ascii="Tahoma" w:hAnsi="Tahoma" w:cs="Tahoma"/>
          <w:sz w:val="20"/>
          <w:szCs w:val="20"/>
        </w:rPr>
        <w:t>doivent</w:t>
      </w:r>
      <w:r w:rsidR="00DB1635" w:rsidRPr="00B004EE">
        <w:rPr>
          <w:rFonts w:ascii="Tahoma" w:hAnsi="Tahoma" w:cs="Tahoma"/>
          <w:sz w:val="20"/>
          <w:szCs w:val="20"/>
        </w:rPr>
        <w:t xml:space="preserve"> </w:t>
      </w:r>
      <w:r w:rsidR="002F24E1" w:rsidRPr="00B004EE">
        <w:rPr>
          <w:rFonts w:ascii="Tahoma" w:hAnsi="Tahoma" w:cs="Tahoma"/>
          <w:sz w:val="20"/>
          <w:szCs w:val="20"/>
        </w:rPr>
        <w:t>prendre</w:t>
      </w:r>
      <w:r w:rsidR="00DB1635" w:rsidRPr="00B004EE">
        <w:rPr>
          <w:rFonts w:ascii="Tahoma" w:hAnsi="Tahoma" w:cs="Tahoma"/>
          <w:sz w:val="20"/>
          <w:szCs w:val="20"/>
        </w:rPr>
        <w:t xml:space="preserve"> </w:t>
      </w:r>
      <w:r w:rsidR="002F24E1" w:rsidRPr="00B004EE">
        <w:rPr>
          <w:rFonts w:ascii="Tahoma" w:hAnsi="Tahoma" w:cs="Tahoma"/>
          <w:sz w:val="20"/>
          <w:szCs w:val="20"/>
        </w:rPr>
        <w:t>toute</w:t>
      </w:r>
      <w:r w:rsidR="00DB1635" w:rsidRPr="00B004EE">
        <w:rPr>
          <w:rFonts w:ascii="Tahoma" w:hAnsi="Tahoma" w:cs="Tahoma"/>
          <w:sz w:val="20"/>
          <w:szCs w:val="20"/>
        </w:rPr>
        <w:t xml:space="preserve"> </w:t>
      </w:r>
      <w:r w:rsidR="002F24E1" w:rsidRPr="00B004EE">
        <w:rPr>
          <w:rFonts w:ascii="Tahoma" w:hAnsi="Tahoma" w:cs="Tahoma"/>
          <w:sz w:val="20"/>
          <w:szCs w:val="20"/>
        </w:rPr>
        <w:t>mesure</w:t>
      </w:r>
      <w:r w:rsidR="00DB1635" w:rsidRPr="00B004EE">
        <w:rPr>
          <w:rFonts w:ascii="Tahoma" w:hAnsi="Tahoma" w:cs="Tahoma"/>
          <w:sz w:val="20"/>
          <w:szCs w:val="20"/>
        </w:rPr>
        <w:t xml:space="preserve"> </w:t>
      </w:r>
      <w:r w:rsidR="002F24E1" w:rsidRPr="00B004EE">
        <w:rPr>
          <w:rFonts w:ascii="Tahoma" w:hAnsi="Tahoma" w:cs="Tahoma"/>
          <w:sz w:val="20"/>
          <w:szCs w:val="20"/>
        </w:rPr>
        <w:t>nécessaire</w:t>
      </w:r>
      <w:r w:rsidR="00DB1635" w:rsidRPr="00B004EE">
        <w:rPr>
          <w:rFonts w:ascii="Tahoma" w:hAnsi="Tahoma" w:cs="Tahoma"/>
          <w:sz w:val="20"/>
          <w:szCs w:val="20"/>
        </w:rPr>
        <w:t xml:space="preserve"> </w:t>
      </w:r>
      <w:r w:rsidR="002F24E1" w:rsidRPr="00B004EE">
        <w:rPr>
          <w:rFonts w:ascii="Tahoma" w:hAnsi="Tahoma" w:cs="Tahoma"/>
          <w:sz w:val="20"/>
          <w:szCs w:val="20"/>
        </w:rPr>
        <w:t>pour</w:t>
      </w:r>
      <w:r w:rsidR="00DB1635" w:rsidRPr="00B004EE">
        <w:rPr>
          <w:rFonts w:ascii="Tahoma" w:hAnsi="Tahoma" w:cs="Tahoma"/>
          <w:sz w:val="20"/>
          <w:szCs w:val="20"/>
        </w:rPr>
        <w:t xml:space="preserve"> </w:t>
      </w:r>
      <w:r w:rsidR="002F24E1" w:rsidRPr="00B004EE">
        <w:rPr>
          <w:rFonts w:ascii="Tahoma" w:hAnsi="Tahoma" w:cs="Tahoma"/>
          <w:sz w:val="20"/>
          <w:szCs w:val="20"/>
        </w:rPr>
        <w:t>faire</w:t>
      </w:r>
      <w:r w:rsidR="00DB1635" w:rsidRPr="00B004EE">
        <w:rPr>
          <w:rFonts w:ascii="Tahoma" w:hAnsi="Tahoma" w:cs="Tahoma"/>
          <w:sz w:val="20"/>
          <w:szCs w:val="20"/>
        </w:rPr>
        <w:t xml:space="preserve"> </w:t>
      </w:r>
      <w:r w:rsidR="002F24E1" w:rsidRPr="00B004EE">
        <w:rPr>
          <w:rFonts w:ascii="Tahoma" w:hAnsi="Tahoma" w:cs="Tahoma"/>
          <w:sz w:val="20"/>
          <w:szCs w:val="20"/>
        </w:rPr>
        <w:t>assurer</w:t>
      </w:r>
      <w:r w:rsidR="00DB1635" w:rsidRPr="00B004EE">
        <w:rPr>
          <w:rFonts w:ascii="Tahoma" w:hAnsi="Tahoma" w:cs="Tahoma"/>
          <w:sz w:val="20"/>
          <w:szCs w:val="20"/>
        </w:rPr>
        <w:t xml:space="preserve"> </w:t>
      </w:r>
      <w:r w:rsidR="002F24E1" w:rsidRPr="00B004EE">
        <w:rPr>
          <w:rFonts w:ascii="Tahoma" w:hAnsi="Tahoma" w:cs="Tahoma"/>
          <w:sz w:val="20"/>
          <w:szCs w:val="20"/>
        </w:rPr>
        <w:t>le</w:t>
      </w:r>
      <w:r w:rsidR="00DB1635" w:rsidRPr="00B004EE">
        <w:rPr>
          <w:rFonts w:ascii="Tahoma" w:hAnsi="Tahoma" w:cs="Tahoma"/>
          <w:sz w:val="20"/>
          <w:szCs w:val="20"/>
        </w:rPr>
        <w:t xml:space="preserve"> </w:t>
      </w:r>
      <w:r w:rsidR="002F24E1" w:rsidRPr="00B004EE">
        <w:rPr>
          <w:rFonts w:ascii="Tahoma" w:hAnsi="Tahoma" w:cs="Tahoma"/>
          <w:sz w:val="20"/>
          <w:szCs w:val="20"/>
        </w:rPr>
        <w:t>suivi</w:t>
      </w:r>
      <w:r w:rsidR="00DB1635" w:rsidRPr="00B004EE">
        <w:rPr>
          <w:rFonts w:ascii="Tahoma" w:hAnsi="Tahoma" w:cs="Tahoma"/>
          <w:sz w:val="20"/>
          <w:szCs w:val="20"/>
        </w:rPr>
        <w:t xml:space="preserve"> </w:t>
      </w:r>
      <w:r w:rsidR="002F24E1" w:rsidRPr="00B004EE">
        <w:rPr>
          <w:rFonts w:ascii="Tahoma" w:hAnsi="Tahoma" w:cs="Tahoma"/>
          <w:sz w:val="20"/>
          <w:szCs w:val="20"/>
        </w:rPr>
        <w:t>médical</w:t>
      </w:r>
      <w:r w:rsidR="00DB1635" w:rsidRPr="00B004EE">
        <w:rPr>
          <w:rFonts w:ascii="Tahoma" w:hAnsi="Tahoma" w:cs="Tahoma"/>
          <w:sz w:val="20"/>
          <w:szCs w:val="20"/>
        </w:rPr>
        <w:t xml:space="preserve"> </w:t>
      </w:r>
      <w:r w:rsidR="002F24E1" w:rsidRPr="00B004EE">
        <w:rPr>
          <w:rFonts w:ascii="Tahoma" w:hAnsi="Tahoma" w:cs="Tahoma"/>
          <w:sz w:val="20"/>
          <w:szCs w:val="20"/>
        </w:rPr>
        <w:t>du</w:t>
      </w:r>
      <w:r w:rsidR="00DB1635" w:rsidRPr="00B004EE">
        <w:rPr>
          <w:rFonts w:ascii="Tahoma" w:hAnsi="Tahoma" w:cs="Tahoma"/>
          <w:sz w:val="20"/>
          <w:szCs w:val="20"/>
        </w:rPr>
        <w:t xml:space="preserve"> </w:t>
      </w:r>
      <w:r w:rsidR="002F24E1" w:rsidRPr="00B004EE">
        <w:rPr>
          <w:rFonts w:ascii="Tahoma" w:hAnsi="Tahoma" w:cs="Tahoma"/>
          <w:sz w:val="20"/>
          <w:szCs w:val="20"/>
        </w:rPr>
        <w:t>personnel</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pour</w:t>
      </w:r>
      <w:r w:rsidR="00DB1635" w:rsidRPr="00B004EE">
        <w:rPr>
          <w:rFonts w:ascii="Tahoma" w:hAnsi="Tahoma" w:cs="Tahoma"/>
          <w:sz w:val="20"/>
          <w:szCs w:val="20"/>
        </w:rPr>
        <w:t xml:space="preserve"> </w:t>
      </w:r>
      <w:r w:rsidR="002F24E1" w:rsidRPr="00B004EE">
        <w:rPr>
          <w:rFonts w:ascii="Tahoma" w:hAnsi="Tahoma" w:cs="Tahoma"/>
          <w:sz w:val="20"/>
          <w:szCs w:val="20"/>
        </w:rPr>
        <w:t>écarter</w:t>
      </w:r>
      <w:r w:rsidR="00DB1635" w:rsidRPr="00B004EE">
        <w:rPr>
          <w:rFonts w:ascii="Tahoma" w:hAnsi="Tahoma" w:cs="Tahoma"/>
          <w:sz w:val="20"/>
          <w:szCs w:val="20"/>
        </w:rPr>
        <w:t xml:space="preserve"> </w:t>
      </w:r>
      <w:r w:rsidR="002F24E1" w:rsidRPr="00B004EE">
        <w:rPr>
          <w:rFonts w:ascii="Tahoma" w:hAnsi="Tahoma" w:cs="Tahoma"/>
          <w:sz w:val="20"/>
          <w:szCs w:val="20"/>
        </w:rPr>
        <w:t>du</w:t>
      </w:r>
      <w:r w:rsidR="00DB1635" w:rsidRPr="00B004EE">
        <w:rPr>
          <w:rFonts w:ascii="Tahoma" w:hAnsi="Tahoma" w:cs="Tahoma"/>
          <w:sz w:val="20"/>
          <w:szCs w:val="20"/>
        </w:rPr>
        <w:t xml:space="preserve"> </w:t>
      </w:r>
      <w:r w:rsidR="002F24E1" w:rsidRPr="00B004EE">
        <w:rPr>
          <w:rFonts w:ascii="Tahoma" w:hAnsi="Tahoma" w:cs="Tahoma"/>
          <w:sz w:val="20"/>
          <w:szCs w:val="20"/>
        </w:rPr>
        <w:t>travail</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la</w:t>
      </w:r>
      <w:r w:rsidR="00DB1635" w:rsidRPr="00B004EE">
        <w:rPr>
          <w:rFonts w:ascii="Tahoma" w:hAnsi="Tahoma" w:cs="Tahoma"/>
          <w:sz w:val="20"/>
          <w:szCs w:val="20"/>
        </w:rPr>
        <w:t xml:space="preserve"> </w:t>
      </w:r>
      <w:r w:rsidR="002F24E1" w:rsidRPr="00B004EE">
        <w:rPr>
          <w:rFonts w:ascii="Tahoma" w:hAnsi="Tahoma" w:cs="Tahoma"/>
          <w:sz w:val="20"/>
          <w:szCs w:val="20"/>
        </w:rPr>
        <w:t>manipulation</w:t>
      </w:r>
      <w:r w:rsidR="00DB1635" w:rsidRPr="00B004EE">
        <w:rPr>
          <w:rFonts w:ascii="Tahoma" w:hAnsi="Tahoma" w:cs="Tahoma"/>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2F24E1" w:rsidRPr="00B004EE">
        <w:rPr>
          <w:rFonts w:ascii="Tahoma" w:hAnsi="Tahoma" w:cs="Tahoma"/>
          <w:sz w:val="20"/>
          <w:szCs w:val="20"/>
        </w:rPr>
        <w:t>personnes</w:t>
      </w:r>
      <w:r w:rsidR="00DB1635" w:rsidRPr="00B004EE">
        <w:rPr>
          <w:rFonts w:ascii="Tahoma" w:hAnsi="Tahoma" w:cs="Tahoma"/>
          <w:sz w:val="20"/>
          <w:szCs w:val="20"/>
        </w:rPr>
        <w:t xml:space="preserve"> </w:t>
      </w:r>
      <w:r w:rsidR="002F24E1" w:rsidRPr="00B004EE">
        <w:rPr>
          <w:rFonts w:ascii="Tahoma" w:hAnsi="Tahoma" w:cs="Tahoma"/>
          <w:sz w:val="20"/>
          <w:szCs w:val="20"/>
        </w:rPr>
        <w:t>susceptibles</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contaminer</w:t>
      </w:r>
      <w:r w:rsidR="00DB1635" w:rsidRPr="00B004EE">
        <w:rPr>
          <w:rFonts w:ascii="Tahoma" w:hAnsi="Tahoma" w:cs="Tahoma"/>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2F24E1" w:rsidRPr="00B004EE">
        <w:rPr>
          <w:rFonts w:ascii="Tahoma" w:hAnsi="Tahoma" w:cs="Tahoma"/>
          <w:sz w:val="20"/>
          <w:szCs w:val="20"/>
        </w:rPr>
        <w:t>produits</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la</w:t>
      </w:r>
      <w:r w:rsidR="00DB1635" w:rsidRPr="00B004EE">
        <w:rPr>
          <w:rFonts w:ascii="Tahoma" w:hAnsi="Tahoma" w:cs="Tahoma"/>
          <w:sz w:val="20"/>
          <w:szCs w:val="20"/>
        </w:rPr>
        <w:t xml:space="preserve"> </w:t>
      </w:r>
      <w:r w:rsidR="002F24E1" w:rsidRPr="00B004EE">
        <w:rPr>
          <w:rFonts w:ascii="Tahoma" w:hAnsi="Tahoma" w:cs="Tahoma"/>
          <w:sz w:val="20"/>
          <w:szCs w:val="20"/>
        </w:rPr>
        <w:t>pêche,</w:t>
      </w:r>
      <w:r w:rsidR="00DB1635" w:rsidRPr="00B004EE">
        <w:rPr>
          <w:rFonts w:ascii="Tahoma" w:hAnsi="Tahoma" w:cs="Tahoma"/>
          <w:sz w:val="20"/>
          <w:szCs w:val="20"/>
        </w:rPr>
        <w:t xml:space="preserve"> </w:t>
      </w:r>
      <w:r w:rsidR="002F24E1" w:rsidRPr="00B004EE">
        <w:rPr>
          <w:rFonts w:ascii="Tahoma" w:hAnsi="Tahoma" w:cs="Tahoma"/>
          <w:sz w:val="20"/>
          <w:szCs w:val="20"/>
        </w:rPr>
        <w:t>jusqu'à</w:t>
      </w:r>
      <w:r w:rsidR="00DB1635" w:rsidRPr="00B004EE">
        <w:rPr>
          <w:rFonts w:ascii="Tahoma" w:hAnsi="Tahoma" w:cs="Tahoma"/>
          <w:sz w:val="20"/>
          <w:szCs w:val="20"/>
        </w:rPr>
        <w:t xml:space="preserve"> </w:t>
      </w:r>
      <w:r w:rsidR="002F24E1" w:rsidRPr="00B004EE">
        <w:rPr>
          <w:rFonts w:ascii="Tahoma" w:hAnsi="Tahoma" w:cs="Tahoma"/>
          <w:sz w:val="20"/>
          <w:szCs w:val="20"/>
        </w:rPr>
        <w:t>ce</w:t>
      </w:r>
      <w:r w:rsidR="00DB1635" w:rsidRPr="00B004EE">
        <w:rPr>
          <w:rFonts w:ascii="Tahoma" w:hAnsi="Tahoma" w:cs="Tahoma"/>
          <w:sz w:val="20"/>
          <w:szCs w:val="20"/>
        </w:rPr>
        <w:t xml:space="preserve"> </w:t>
      </w:r>
      <w:r w:rsidR="002F24E1" w:rsidRPr="00B004EE">
        <w:rPr>
          <w:rFonts w:ascii="Tahoma" w:hAnsi="Tahoma" w:cs="Tahoma"/>
          <w:sz w:val="20"/>
          <w:szCs w:val="20"/>
        </w:rPr>
        <w:t>que</w:t>
      </w:r>
      <w:r w:rsidR="00DB1635" w:rsidRPr="00B004EE">
        <w:rPr>
          <w:rFonts w:ascii="Tahoma" w:hAnsi="Tahoma" w:cs="Tahoma"/>
          <w:sz w:val="20"/>
          <w:szCs w:val="20"/>
        </w:rPr>
        <w:t xml:space="preserve"> </w:t>
      </w:r>
      <w:r w:rsidR="002F24E1" w:rsidRPr="00B004EE">
        <w:rPr>
          <w:rFonts w:ascii="Tahoma" w:hAnsi="Tahoma" w:cs="Tahoma"/>
          <w:sz w:val="20"/>
          <w:szCs w:val="20"/>
        </w:rPr>
        <w:t>leur</w:t>
      </w:r>
      <w:r w:rsidR="00DB1635" w:rsidRPr="00B004EE">
        <w:rPr>
          <w:rFonts w:ascii="Tahoma" w:hAnsi="Tahoma" w:cs="Tahoma"/>
          <w:sz w:val="20"/>
          <w:szCs w:val="20"/>
        </w:rPr>
        <w:t xml:space="preserve"> </w:t>
      </w:r>
      <w:r w:rsidR="002F24E1" w:rsidRPr="00B004EE">
        <w:rPr>
          <w:rFonts w:ascii="Tahoma" w:hAnsi="Tahoma" w:cs="Tahoma"/>
          <w:sz w:val="20"/>
          <w:szCs w:val="20"/>
        </w:rPr>
        <w:t>aptitude</w:t>
      </w:r>
      <w:r w:rsidR="00DB1635" w:rsidRPr="00B004EE">
        <w:rPr>
          <w:rFonts w:ascii="Tahoma" w:hAnsi="Tahoma" w:cs="Tahoma"/>
          <w:sz w:val="20"/>
          <w:szCs w:val="20"/>
        </w:rPr>
        <w:t xml:space="preserve"> </w:t>
      </w:r>
      <w:r w:rsidR="002F24E1" w:rsidRPr="00B004EE">
        <w:rPr>
          <w:rFonts w:ascii="Tahoma" w:hAnsi="Tahoma" w:cs="Tahoma"/>
          <w:sz w:val="20"/>
          <w:szCs w:val="20"/>
        </w:rPr>
        <w:t>à</w:t>
      </w:r>
      <w:r w:rsidR="00DB1635" w:rsidRPr="00B004EE">
        <w:rPr>
          <w:rFonts w:ascii="Tahoma" w:hAnsi="Tahoma" w:cs="Tahoma"/>
          <w:sz w:val="20"/>
          <w:szCs w:val="20"/>
        </w:rPr>
        <w:t xml:space="preserve"> </w:t>
      </w:r>
      <w:r w:rsidR="002F24E1" w:rsidRPr="00B004EE">
        <w:rPr>
          <w:rFonts w:ascii="Tahoma" w:hAnsi="Tahoma" w:cs="Tahoma"/>
          <w:sz w:val="20"/>
          <w:szCs w:val="20"/>
        </w:rPr>
        <w:t>le</w:t>
      </w:r>
      <w:r w:rsidR="00DB1635" w:rsidRPr="00B004EE">
        <w:rPr>
          <w:rFonts w:ascii="Tahoma" w:hAnsi="Tahoma" w:cs="Tahoma"/>
          <w:sz w:val="20"/>
          <w:szCs w:val="20"/>
        </w:rPr>
        <w:t xml:space="preserve"> </w:t>
      </w:r>
      <w:r w:rsidR="002F24E1" w:rsidRPr="00B004EE">
        <w:rPr>
          <w:rFonts w:ascii="Tahoma" w:hAnsi="Tahoma" w:cs="Tahoma"/>
          <w:sz w:val="20"/>
          <w:szCs w:val="20"/>
        </w:rPr>
        <w:t>faire</w:t>
      </w:r>
      <w:r w:rsidR="00DB1635" w:rsidRPr="00B004EE">
        <w:rPr>
          <w:rFonts w:ascii="Tahoma" w:hAnsi="Tahoma" w:cs="Tahoma"/>
          <w:sz w:val="20"/>
          <w:szCs w:val="20"/>
        </w:rPr>
        <w:t xml:space="preserve"> </w:t>
      </w:r>
      <w:r w:rsidR="002F24E1" w:rsidRPr="00B004EE">
        <w:rPr>
          <w:rFonts w:ascii="Tahoma" w:hAnsi="Tahoma" w:cs="Tahoma"/>
          <w:sz w:val="20"/>
          <w:szCs w:val="20"/>
        </w:rPr>
        <w:t>sans</w:t>
      </w:r>
      <w:r w:rsidR="00DB1635" w:rsidRPr="00B004EE">
        <w:rPr>
          <w:rFonts w:ascii="Tahoma" w:hAnsi="Tahoma" w:cs="Tahoma"/>
          <w:sz w:val="20"/>
          <w:szCs w:val="20"/>
        </w:rPr>
        <w:t xml:space="preserve"> </w:t>
      </w:r>
      <w:r w:rsidR="002F24E1" w:rsidRPr="00B004EE">
        <w:rPr>
          <w:rFonts w:ascii="Tahoma" w:hAnsi="Tahoma" w:cs="Tahoma"/>
          <w:sz w:val="20"/>
          <w:szCs w:val="20"/>
        </w:rPr>
        <w:t>danger</w:t>
      </w:r>
      <w:r w:rsidR="00DB1635" w:rsidRPr="00B004EE">
        <w:rPr>
          <w:rFonts w:ascii="Tahoma" w:hAnsi="Tahoma" w:cs="Tahoma"/>
          <w:sz w:val="20"/>
          <w:szCs w:val="20"/>
        </w:rPr>
        <w:t xml:space="preserve"> </w:t>
      </w:r>
      <w:r w:rsidR="002F24E1" w:rsidRPr="00B004EE">
        <w:rPr>
          <w:rFonts w:ascii="Tahoma" w:hAnsi="Tahoma" w:cs="Tahoma"/>
          <w:sz w:val="20"/>
          <w:szCs w:val="20"/>
        </w:rPr>
        <w:t>soit</w:t>
      </w:r>
      <w:r w:rsidR="00DB1635" w:rsidRPr="00B004EE">
        <w:rPr>
          <w:rFonts w:ascii="Tahoma" w:hAnsi="Tahoma" w:cs="Tahoma"/>
          <w:sz w:val="20"/>
          <w:szCs w:val="20"/>
        </w:rPr>
        <w:t xml:space="preserve"> </w:t>
      </w:r>
      <w:r w:rsidR="002F24E1" w:rsidRPr="00B004EE">
        <w:rPr>
          <w:rFonts w:ascii="Tahoma" w:hAnsi="Tahoma" w:cs="Tahoma"/>
          <w:sz w:val="20"/>
          <w:szCs w:val="20"/>
        </w:rPr>
        <w:t>prouvée.</w:t>
      </w:r>
    </w:p>
    <w:p w14:paraId="2684FFE1" w14:textId="77777777" w:rsidR="002F24E1" w:rsidRPr="00B004EE" w:rsidRDefault="002F24E1" w:rsidP="00B004EE">
      <w:pPr>
        <w:jc w:val="both"/>
        <w:rPr>
          <w:rFonts w:ascii="Tahoma" w:hAnsi="Tahoma" w:cs="Tahoma"/>
          <w:sz w:val="20"/>
          <w:szCs w:val="20"/>
        </w:rPr>
      </w:pPr>
    </w:p>
    <w:p w14:paraId="57591BDA" w14:textId="4497DD65" w:rsidR="002F24E1" w:rsidRPr="00B004EE" w:rsidRDefault="00E32DBF" w:rsidP="00B004EE">
      <w:pPr>
        <w:tabs>
          <w:tab w:val="left" w:pos="567"/>
          <w:tab w:val="left" w:pos="2268"/>
        </w:tabs>
        <w:jc w:val="center"/>
        <w:rPr>
          <w:rFonts w:ascii="Tahoma" w:hAnsi="Tahoma" w:cs="Tahoma"/>
          <w:b/>
          <w:sz w:val="20"/>
          <w:szCs w:val="20"/>
        </w:rPr>
      </w:pPr>
      <w:r w:rsidRPr="00B004EE">
        <w:rPr>
          <w:rFonts w:ascii="Tahoma" w:hAnsi="Tahoma" w:cs="Tahoma"/>
          <w:b/>
          <w:sz w:val="20"/>
          <w:szCs w:val="20"/>
        </w:rPr>
        <w:t>SECTION</w:t>
      </w:r>
      <w:r w:rsidR="00DB1635" w:rsidRPr="00B004EE">
        <w:rPr>
          <w:rFonts w:ascii="Tahoma" w:hAnsi="Tahoma" w:cs="Tahoma"/>
          <w:b/>
          <w:sz w:val="20"/>
          <w:szCs w:val="20"/>
        </w:rPr>
        <w:t xml:space="preserve"> </w:t>
      </w:r>
      <w:r w:rsidRPr="00B004EE">
        <w:rPr>
          <w:rFonts w:ascii="Tahoma" w:hAnsi="Tahoma" w:cs="Tahoma"/>
          <w:b/>
          <w:sz w:val="20"/>
          <w:szCs w:val="20"/>
        </w:rPr>
        <w:t>II</w:t>
      </w:r>
      <w:r w:rsidR="00DB1635" w:rsidRPr="00B004EE">
        <w:rPr>
          <w:rFonts w:ascii="Tahoma" w:hAnsi="Tahoma" w:cs="Tahoma"/>
          <w:b/>
          <w:sz w:val="20"/>
          <w:szCs w:val="20"/>
        </w:rPr>
        <w:t xml:space="preserve"> </w:t>
      </w:r>
      <w:r w:rsidRPr="00B004EE">
        <w:rPr>
          <w:rFonts w:ascii="Tahoma" w:hAnsi="Tahoma" w:cs="Tahoma"/>
          <w:b/>
          <w:sz w:val="20"/>
          <w:szCs w:val="20"/>
        </w:rPr>
        <w:t>:</w:t>
      </w:r>
      <w:r w:rsidR="00DB1635" w:rsidRPr="00B004EE">
        <w:rPr>
          <w:rFonts w:ascii="Tahoma" w:hAnsi="Tahoma" w:cs="Tahoma"/>
          <w:b/>
          <w:sz w:val="20"/>
          <w:szCs w:val="20"/>
        </w:rPr>
        <w:t xml:space="preserve"> </w:t>
      </w:r>
      <w:r w:rsidRPr="00B004EE">
        <w:rPr>
          <w:rFonts w:ascii="Tahoma" w:hAnsi="Tahoma" w:cs="Tahoma"/>
          <w:b/>
          <w:sz w:val="20"/>
          <w:szCs w:val="20"/>
        </w:rPr>
        <w:t>CONDITIONS</w:t>
      </w:r>
      <w:r w:rsidR="00DB1635" w:rsidRPr="00B004EE">
        <w:rPr>
          <w:rFonts w:ascii="Tahoma" w:hAnsi="Tahoma" w:cs="Tahoma"/>
          <w:b/>
          <w:sz w:val="20"/>
          <w:szCs w:val="20"/>
        </w:rPr>
        <w:t xml:space="preserve"> </w:t>
      </w:r>
      <w:r w:rsidRPr="00B004EE">
        <w:rPr>
          <w:rFonts w:ascii="Tahoma" w:hAnsi="Tahoma" w:cs="Tahoma"/>
          <w:b/>
          <w:sz w:val="20"/>
          <w:szCs w:val="20"/>
        </w:rPr>
        <w:t>PARTICULIERES</w:t>
      </w:r>
      <w:r w:rsidR="00DB1635" w:rsidRPr="00B004EE">
        <w:rPr>
          <w:rFonts w:ascii="Tahoma" w:hAnsi="Tahoma" w:cs="Tahoma"/>
          <w:b/>
          <w:sz w:val="20"/>
          <w:szCs w:val="20"/>
        </w:rPr>
        <w:t xml:space="preserve"> </w:t>
      </w:r>
      <w:r w:rsidRPr="00B004EE">
        <w:rPr>
          <w:rFonts w:ascii="Tahoma" w:hAnsi="Tahoma" w:cs="Tahoma"/>
          <w:b/>
          <w:sz w:val="20"/>
          <w:szCs w:val="20"/>
        </w:rPr>
        <w:t>D'HYGIENE</w:t>
      </w:r>
      <w:r w:rsidR="00DB1635" w:rsidRPr="00B004EE">
        <w:rPr>
          <w:rFonts w:ascii="Tahoma" w:hAnsi="Tahoma" w:cs="Tahoma"/>
          <w:b/>
          <w:sz w:val="20"/>
          <w:szCs w:val="20"/>
        </w:rPr>
        <w:t xml:space="preserve"> </w:t>
      </w:r>
      <w:r w:rsidRPr="00B004EE">
        <w:rPr>
          <w:rFonts w:ascii="Tahoma" w:hAnsi="Tahoma" w:cs="Tahoma"/>
          <w:b/>
          <w:sz w:val="20"/>
          <w:szCs w:val="20"/>
        </w:rPr>
        <w:t>APPLICABLES</w:t>
      </w:r>
      <w:r w:rsidR="00DB1635" w:rsidRPr="00B004EE">
        <w:rPr>
          <w:rFonts w:ascii="Tahoma" w:hAnsi="Tahoma" w:cs="Tahoma"/>
          <w:b/>
          <w:sz w:val="20"/>
          <w:szCs w:val="20"/>
        </w:rPr>
        <w:t xml:space="preserve"> </w:t>
      </w:r>
      <w:r w:rsidRPr="00B004EE">
        <w:rPr>
          <w:rFonts w:ascii="Tahoma" w:hAnsi="Tahoma" w:cs="Tahoma"/>
          <w:b/>
          <w:sz w:val="20"/>
          <w:szCs w:val="20"/>
        </w:rPr>
        <w:t>A</w:t>
      </w:r>
      <w:r w:rsidR="00DB1635" w:rsidRPr="00B004EE">
        <w:rPr>
          <w:rFonts w:ascii="Tahoma" w:hAnsi="Tahoma" w:cs="Tahoma"/>
          <w:b/>
          <w:sz w:val="20"/>
          <w:szCs w:val="20"/>
        </w:rPr>
        <w:t xml:space="preserve"> </w:t>
      </w:r>
      <w:r w:rsidRPr="00B004EE">
        <w:rPr>
          <w:rFonts w:ascii="Tahoma" w:hAnsi="Tahoma" w:cs="Tahoma"/>
          <w:b/>
          <w:sz w:val="20"/>
          <w:szCs w:val="20"/>
        </w:rPr>
        <w:t>BORD</w:t>
      </w:r>
      <w:r w:rsidR="00DB1635" w:rsidRPr="00B004EE">
        <w:rPr>
          <w:rFonts w:ascii="Tahoma" w:hAnsi="Tahoma" w:cs="Tahoma"/>
          <w:b/>
          <w:sz w:val="20"/>
          <w:szCs w:val="20"/>
        </w:rPr>
        <w:t xml:space="preserve"> </w:t>
      </w:r>
      <w:r w:rsidRPr="00B004EE">
        <w:rPr>
          <w:rFonts w:ascii="Tahoma" w:hAnsi="Tahoma" w:cs="Tahoma"/>
          <w:b/>
          <w:sz w:val="20"/>
          <w:szCs w:val="20"/>
        </w:rPr>
        <w:t>DES</w:t>
      </w:r>
      <w:r w:rsidR="00DB1635" w:rsidRPr="00B004EE">
        <w:rPr>
          <w:rFonts w:ascii="Tahoma" w:hAnsi="Tahoma" w:cs="Tahoma"/>
          <w:b/>
          <w:sz w:val="20"/>
          <w:szCs w:val="20"/>
        </w:rPr>
        <w:t xml:space="preserve"> </w:t>
      </w:r>
      <w:r w:rsidRPr="00B004EE">
        <w:rPr>
          <w:rFonts w:ascii="Tahoma" w:hAnsi="Tahoma" w:cs="Tahoma"/>
          <w:b/>
          <w:sz w:val="20"/>
          <w:szCs w:val="20"/>
        </w:rPr>
        <w:t>NAVIRES</w:t>
      </w:r>
      <w:r w:rsidR="00DB1635" w:rsidRPr="00B004EE">
        <w:rPr>
          <w:rFonts w:ascii="Tahoma" w:hAnsi="Tahoma" w:cs="Tahoma"/>
          <w:b/>
          <w:sz w:val="20"/>
          <w:szCs w:val="20"/>
        </w:rPr>
        <w:t xml:space="preserve"> </w:t>
      </w:r>
      <w:r w:rsidRPr="00B004EE">
        <w:rPr>
          <w:rFonts w:ascii="Tahoma" w:hAnsi="Tahoma" w:cs="Tahoma"/>
          <w:b/>
          <w:sz w:val="20"/>
          <w:szCs w:val="20"/>
        </w:rPr>
        <w:t>CONGELATEURS</w:t>
      </w:r>
    </w:p>
    <w:p w14:paraId="108E4E1E" w14:textId="77777777" w:rsidR="002F24E1" w:rsidRPr="00B004EE" w:rsidRDefault="002F24E1" w:rsidP="00B004EE">
      <w:pPr>
        <w:jc w:val="both"/>
        <w:rPr>
          <w:rFonts w:ascii="Tahoma" w:hAnsi="Tahoma" w:cs="Tahoma"/>
          <w:b/>
          <w:sz w:val="20"/>
          <w:szCs w:val="20"/>
        </w:rPr>
      </w:pPr>
    </w:p>
    <w:p w14:paraId="3E579929" w14:textId="736B2763" w:rsidR="002F24E1" w:rsidRPr="00B004EE" w:rsidRDefault="00AD7D88" w:rsidP="00B004EE">
      <w:pPr>
        <w:jc w:val="both"/>
        <w:rPr>
          <w:rFonts w:ascii="Tahoma" w:hAnsi="Tahoma" w:cs="Tahoma"/>
          <w:sz w:val="20"/>
          <w:szCs w:val="20"/>
        </w:rPr>
      </w:pPr>
      <w:r w:rsidRPr="00B004EE">
        <w:rPr>
          <w:rFonts w:ascii="Tahoma" w:hAnsi="Tahoma" w:cs="Tahoma"/>
          <w:bCs/>
          <w:sz w:val="20"/>
          <w:szCs w:val="20"/>
        </w:rPr>
        <w:t xml:space="preserve">Article </w:t>
      </w:r>
      <w:r w:rsidR="002F24E1" w:rsidRPr="00B004EE">
        <w:rPr>
          <w:rFonts w:ascii="Tahoma" w:hAnsi="Tahoma" w:cs="Tahoma"/>
          <w:bCs/>
          <w:sz w:val="20"/>
          <w:szCs w:val="20"/>
        </w:rPr>
        <w:t>16</w:t>
      </w:r>
      <w:r w:rsidR="00DB1635" w:rsidRPr="00B004EE">
        <w:rPr>
          <w:rFonts w:ascii="Tahoma" w:hAnsi="Tahoma" w:cs="Tahoma"/>
          <w:b/>
          <w:sz w:val="20"/>
          <w:szCs w:val="20"/>
        </w:rPr>
        <w:t xml:space="preserve"> </w:t>
      </w:r>
      <w:r w:rsidR="002F24E1" w:rsidRPr="00B004EE">
        <w:rPr>
          <w:rFonts w:ascii="Tahoma" w:hAnsi="Tahoma" w:cs="Tahoma"/>
          <w:b/>
          <w:sz w:val="20"/>
          <w:szCs w:val="20"/>
        </w:rPr>
        <w:t>:</w:t>
      </w:r>
      <w:r w:rsidR="00DB1635" w:rsidRPr="00B004EE">
        <w:rPr>
          <w:rFonts w:ascii="Tahoma" w:hAnsi="Tahoma" w:cs="Tahoma"/>
          <w:b/>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2F24E1" w:rsidRPr="00B004EE">
        <w:rPr>
          <w:rFonts w:ascii="Tahoma" w:hAnsi="Tahoma" w:cs="Tahoma"/>
          <w:sz w:val="20"/>
          <w:szCs w:val="20"/>
        </w:rPr>
        <w:t>conditions</w:t>
      </w:r>
      <w:r w:rsidR="00DB1635" w:rsidRPr="00B004EE">
        <w:rPr>
          <w:rFonts w:ascii="Tahoma" w:hAnsi="Tahoma" w:cs="Tahoma"/>
          <w:sz w:val="20"/>
          <w:szCs w:val="20"/>
        </w:rPr>
        <w:t xml:space="preserve"> </w:t>
      </w:r>
      <w:r w:rsidR="002F24E1" w:rsidRPr="00B004EE">
        <w:rPr>
          <w:rFonts w:ascii="Tahoma" w:hAnsi="Tahoma" w:cs="Tahoma"/>
          <w:sz w:val="20"/>
          <w:szCs w:val="20"/>
        </w:rPr>
        <w:t>générales</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particulières</w:t>
      </w:r>
      <w:r w:rsidR="00DB1635" w:rsidRPr="00B004EE">
        <w:rPr>
          <w:rFonts w:ascii="Tahoma" w:hAnsi="Tahoma" w:cs="Tahoma"/>
          <w:sz w:val="20"/>
          <w:szCs w:val="20"/>
        </w:rPr>
        <w:t xml:space="preserve"> </w:t>
      </w:r>
      <w:r w:rsidR="002F24E1" w:rsidRPr="00B004EE">
        <w:rPr>
          <w:rFonts w:ascii="Tahoma" w:hAnsi="Tahoma" w:cs="Tahoma"/>
          <w:sz w:val="20"/>
          <w:szCs w:val="20"/>
        </w:rPr>
        <w:t>d'hygiène</w:t>
      </w:r>
      <w:r w:rsidR="00DB1635" w:rsidRPr="00B004EE">
        <w:rPr>
          <w:rFonts w:ascii="Tahoma" w:hAnsi="Tahoma" w:cs="Tahoma"/>
          <w:sz w:val="20"/>
          <w:szCs w:val="20"/>
        </w:rPr>
        <w:t xml:space="preserve"> </w:t>
      </w:r>
      <w:r w:rsidR="002F24E1" w:rsidRPr="00B004EE">
        <w:rPr>
          <w:rFonts w:ascii="Tahoma" w:hAnsi="Tahoma" w:cs="Tahoma"/>
          <w:sz w:val="20"/>
          <w:szCs w:val="20"/>
        </w:rPr>
        <w:t>définies</w:t>
      </w:r>
      <w:r w:rsidR="00DB1635" w:rsidRPr="00B004EE">
        <w:rPr>
          <w:rFonts w:ascii="Tahoma" w:hAnsi="Tahoma" w:cs="Tahoma"/>
          <w:sz w:val="20"/>
          <w:szCs w:val="20"/>
        </w:rPr>
        <w:t xml:space="preserve"> </w:t>
      </w:r>
      <w:r w:rsidR="002F24E1" w:rsidRPr="00B004EE">
        <w:rPr>
          <w:rFonts w:ascii="Tahoma" w:hAnsi="Tahoma" w:cs="Tahoma"/>
          <w:sz w:val="20"/>
          <w:szCs w:val="20"/>
        </w:rPr>
        <w:t>précédemment</w:t>
      </w:r>
      <w:r w:rsidR="00DB1635" w:rsidRPr="00B004EE">
        <w:rPr>
          <w:rFonts w:ascii="Tahoma" w:hAnsi="Tahoma" w:cs="Tahoma"/>
          <w:sz w:val="20"/>
          <w:szCs w:val="20"/>
        </w:rPr>
        <w:t xml:space="preserve"> </w:t>
      </w:r>
      <w:r w:rsidR="002F24E1" w:rsidRPr="00B004EE">
        <w:rPr>
          <w:rFonts w:ascii="Tahoma" w:hAnsi="Tahoma" w:cs="Tahoma"/>
          <w:sz w:val="20"/>
          <w:szCs w:val="20"/>
        </w:rPr>
        <w:t>sont</w:t>
      </w:r>
      <w:r w:rsidR="00DB1635" w:rsidRPr="00B004EE">
        <w:rPr>
          <w:rFonts w:ascii="Tahoma" w:hAnsi="Tahoma" w:cs="Tahoma"/>
          <w:sz w:val="20"/>
          <w:szCs w:val="20"/>
        </w:rPr>
        <w:t xml:space="preserve"> </w:t>
      </w:r>
      <w:r w:rsidR="002F24E1" w:rsidRPr="00B004EE">
        <w:rPr>
          <w:rFonts w:ascii="Tahoma" w:hAnsi="Tahoma" w:cs="Tahoma"/>
          <w:sz w:val="20"/>
          <w:szCs w:val="20"/>
        </w:rPr>
        <w:t>applicables</w:t>
      </w:r>
      <w:r w:rsidR="00DB1635" w:rsidRPr="00B004EE">
        <w:rPr>
          <w:rFonts w:ascii="Tahoma" w:hAnsi="Tahoma" w:cs="Tahoma"/>
          <w:sz w:val="20"/>
          <w:szCs w:val="20"/>
        </w:rPr>
        <w:t xml:space="preserve"> </w:t>
      </w:r>
      <w:r w:rsidR="002F24E1" w:rsidRPr="00B004EE">
        <w:rPr>
          <w:rFonts w:ascii="Tahoma" w:hAnsi="Tahoma" w:cs="Tahoma"/>
          <w:sz w:val="20"/>
          <w:szCs w:val="20"/>
        </w:rPr>
        <w:t>à</w:t>
      </w:r>
      <w:r w:rsidR="00DB1635" w:rsidRPr="00B004EE">
        <w:rPr>
          <w:rFonts w:ascii="Tahoma" w:hAnsi="Tahoma" w:cs="Tahoma"/>
          <w:sz w:val="20"/>
          <w:szCs w:val="20"/>
        </w:rPr>
        <w:t xml:space="preserve"> </w:t>
      </w:r>
      <w:r w:rsidR="002F24E1" w:rsidRPr="00B004EE">
        <w:rPr>
          <w:rFonts w:ascii="Tahoma" w:hAnsi="Tahoma" w:cs="Tahoma"/>
          <w:sz w:val="20"/>
          <w:szCs w:val="20"/>
        </w:rPr>
        <w:t>bord</w:t>
      </w:r>
      <w:r w:rsidR="00DB1635" w:rsidRPr="00B004EE">
        <w:rPr>
          <w:rFonts w:ascii="Tahoma" w:hAnsi="Tahoma" w:cs="Tahoma"/>
          <w:sz w:val="20"/>
          <w:szCs w:val="20"/>
        </w:rPr>
        <w:t xml:space="preserve"> </w:t>
      </w:r>
      <w:r w:rsidR="002F24E1" w:rsidRPr="00B004EE">
        <w:rPr>
          <w:rFonts w:ascii="Tahoma" w:hAnsi="Tahoma" w:cs="Tahoma"/>
          <w:sz w:val="20"/>
          <w:szCs w:val="20"/>
        </w:rPr>
        <w:t>des</w:t>
      </w:r>
      <w:r w:rsidR="00DB1635" w:rsidRPr="00B004EE">
        <w:rPr>
          <w:rFonts w:ascii="Tahoma" w:hAnsi="Tahoma" w:cs="Tahoma"/>
          <w:sz w:val="20"/>
          <w:szCs w:val="20"/>
        </w:rPr>
        <w:t xml:space="preserve"> </w:t>
      </w:r>
      <w:r w:rsidR="002F24E1" w:rsidRPr="00B004EE">
        <w:rPr>
          <w:rFonts w:ascii="Tahoma" w:hAnsi="Tahoma" w:cs="Tahoma"/>
          <w:sz w:val="20"/>
          <w:szCs w:val="20"/>
        </w:rPr>
        <w:t>navires</w:t>
      </w:r>
      <w:r w:rsidR="00DB1635" w:rsidRPr="00B004EE">
        <w:rPr>
          <w:rFonts w:ascii="Tahoma" w:hAnsi="Tahoma" w:cs="Tahoma"/>
          <w:sz w:val="20"/>
          <w:szCs w:val="20"/>
        </w:rPr>
        <w:t xml:space="preserve"> </w:t>
      </w:r>
      <w:r w:rsidR="002F24E1" w:rsidRPr="00B004EE">
        <w:rPr>
          <w:rFonts w:ascii="Tahoma" w:hAnsi="Tahoma" w:cs="Tahoma"/>
          <w:sz w:val="20"/>
          <w:szCs w:val="20"/>
        </w:rPr>
        <w:t>congélateurs.</w:t>
      </w:r>
    </w:p>
    <w:p w14:paraId="419B7F94" w14:textId="77777777" w:rsidR="002F24E1" w:rsidRPr="00B004EE" w:rsidRDefault="002F24E1" w:rsidP="00B004EE">
      <w:pPr>
        <w:jc w:val="both"/>
        <w:rPr>
          <w:rFonts w:ascii="Tahoma" w:hAnsi="Tahoma" w:cs="Tahoma"/>
          <w:sz w:val="20"/>
          <w:szCs w:val="20"/>
        </w:rPr>
      </w:pPr>
    </w:p>
    <w:p w14:paraId="057A27C3" w14:textId="1D6724F0" w:rsidR="002F24E1" w:rsidRPr="00B004EE" w:rsidRDefault="00AD7D88" w:rsidP="00B004EE">
      <w:pPr>
        <w:jc w:val="both"/>
        <w:rPr>
          <w:rFonts w:ascii="Tahoma" w:hAnsi="Tahoma" w:cs="Tahoma"/>
          <w:sz w:val="20"/>
          <w:szCs w:val="20"/>
        </w:rPr>
      </w:pPr>
      <w:r w:rsidRPr="00B004EE">
        <w:rPr>
          <w:rFonts w:ascii="Tahoma" w:hAnsi="Tahoma" w:cs="Tahoma"/>
          <w:bCs/>
          <w:sz w:val="20"/>
          <w:szCs w:val="20"/>
        </w:rPr>
        <w:t xml:space="preserve">Article </w:t>
      </w:r>
      <w:r w:rsidR="002F24E1" w:rsidRPr="00B004EE">
        <w:rPr>
          <w:rFonts w:ascii="Tahoma" w:hAnsi="Tahoma" w:cs="Tahoma"/>
          <w:bCs/>
          <w:sz w:val="20"/>
          <w:szCs w:val="20"/>
        </w:rPr>
        <w:t>17</w:t>
      </w:r>
      <w:r w:rsidR="00DB1635" w:rsidRPr="00B004EE">
        <w:rPr>
          <w:rFonts w:ascii="Tahoma" w:hAnsi="Tahoma" w:cs="Tahoma"/>
          <w:b/>
          <w:sz w:val="20"/>
          <w:szCs w:val="20"/>
        </w:rPr>
        <w:t xml:space="preserve"> </w:t>
      </w:r>
      <w:r w:rsidR="002F24E1" w:rsidRPr="00B004EE">
        <w:rPr>
          <w:rFonts w:ascii="Tahoma" w:hAnsi="Tahoma" w:cs="Tahoma"/>
          <w:b/>
          <w:sz w:val="20"/>
          <w:szCs w:val="20"/>
        </w:rPr>
        <w:t>:</w:t>
      </w:r>
      <w:r w:rsidR="00DB1635" w:rsidRPr="00B004EE">
        <w:rPr>
          <w:rFonts w:ascii="Tahoma" w:hAnsi="Tahoma" w:cs="Tahoma"/>
          <w:b/>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2F24E1" w:rsidRPr="00B004EE">
        <w:rPr>
          <w:rFonts w:ascii="Tahoma" w:hAnsi="Tahoma" w:cs="Tahoma"/>
          <w:sz w:val="20"/>
          <w:szCs w:val="20"/>
        </w:rPr>
        <w:t>navires</w:t>
      </w:r>
      <w:r w:rsidR="00DB1635" w:rsidRPr="00B004EE">
        <w:rPr>
          <w:rFonts w:ascii="Tahoma" w:hAnsi="Tahoma" w:cs="Tahoma"/>
          <w:sz w:val="20"/>
          <w:szCs w:val="20"/>
        </w:rPr>
        <w:t xml:space="preserve"> </w:t>
      </w:r>
      <w:r w:rsidR="002F24E1" w:rsidRPr="00B004EE">
        <w:rPr>
          <w:rFonts w:ascii="Tahoma" w:hAnsi="Tahoma" w:cs="Tahoma"/>
          <w:sz w:val="20"/>
          <w:szCs w:val="20"/>
        </w:rPr>
        <w:t>doivent</w:t>
      </w:r>
      <w:r w:rsidR="00DB1635" w:rsidRPr="00B004EE">
        <w:rPr>
          <w:rFonts w:ascii="Tahoma" w:hAnsi="Tahoma" w:cs="Tahoma"/>
          <w:sz w:val="20"/>
          <w:szCs w:val="20"/>
        </w:rPr>
        <w:t xml:space="preserve"> </w:t>
      </w:r>
      <w:r w:rsidR="002F24E1" w:rsidRPr="00B004EE">
        <w:rPr>
          <w:rFonts w:ascii="Tahoma" w:hAnsi="Tahoma" w:cs="Tahoma"/>
          <w:sz w:val="20"/>
          <w:szCs w:val="20"/>
        </w:rPr>
        <w:t>disposer</w:t>
      </w:r>
      <w:r w:rsidR="00DB1635" w:rsidRPr="00B004EE">
        <w:rPr>
          <w:rFonts w:ascii="Tahoma" w:hAnsi="Tahoma" w:cs="Tahoma"/>
          <w:sz w:val="20"/>
          <w:szCs w:val="20"/>
        </w:rPr>
        <w:t xml:space="preserve"> </w:t>
      </w:r>
      <w:r w:rsidR="002F24E1" w:rsidRPr="00B004EE">
        <w:rPr>
          <w:rFonts w:ascii="Tahoma" w:hAnsi="Tahoma" w:cs="Tahoma"/>
          <w:sz w:val="20"/>
          <w:szCs w:val="20"/>
        </w:rPr>
        <w:t>d'installations</w:t>
      </w:r>
      <w:r w:rsidR="00DB1635" w:rsidRPr="00B004EE">
        <w:rPr>
          <w:rFonts w:ascii="Tahoma" w:hAnsi="Tahoma" w:cs="Tahoma"/>
          <w:sz w:val="20"/>
          <w:szCs w:val="20"/>
        </w:rPr>
        <w:t xml:space="preserve"> </w:t>
      </w:r>
      <w:r w:rsidR="002F24E1" w:rsidRPr="00B004EE">
        <w:rPr>
          <w:rFonts w:ascii="Tahoma" w:hAnsi="Tahoma" w:cs="Tahoma"/>
          <w:sz w:val="20"/>
          <w:szCs w:val="20"/>
        </w:rPr>
        <w:t>d'une</w:t>
      </w:r>
      <w:r w:rsidR="00DB1635" w:rsidRPr="00B004EE">
        <w:rPr>
          <w:rFonts w:ascii="Tahoma" w:hAnsi="Tahoma" w:cs="Tahoma"/>
          <w:sz w:val="20"/>
          <w:szCs w:val="20"/>
        </w:rPr>
        <w:t xml:space="preserve"> </w:t>
      </w:r>
      <w:r w:rsidR="002F24E1" w:rsidRPr="00B004EE">
        <w:rPr>
          <w:rFonts w:ascii="Tahoma" w:hAnsi="Tahoma" w:cs="Tahoma"/>
          <w:sz w:val="20"/>
          <w:szCs w:val="20"/>
        </w:rPr>
        <w:t>puissance</w:t>
      </w:r>
      <w:r w:rsidR="00DB1635" w:rsidRPr="00B004EE">
        <w:rPr>
          <w:rFonts w:ascii="Tahoma" w:hAnsi="Tahoma" w:cs="Tahoma"/>
          <w:sz w:val="20"/>
          <w:szCs w:val="20"/>
        </w:rPr>
        <w:t xml:space="preserve"> </w:t>
      </w:r>
      <w:r w:rsidR="002F24E1" w:rsidRPr="00B004EE">
        <w:rPr>
          <w:rFonts w:ascii="Tahoma" w:hAnsi="Tahoma" w:cs="Tahoma"/>
          <w:sz w:val="20"/>
          <w:szCs w:val="20"/>
        </w:rPr>
        <w:t>frigorifique</w:t>
      </w:r>
      <w:r w:rsidR="00DB1635" w:rsidRPr="00B004EE">
        <w:rPr>
          <w:rFonts w:ascii="Tahoma" w:hAnsi="Tahoma" w:cs="Tahoma"/>
          <w:sz w:val="20"/>
          <w:szCs w:val="20"/>
        </w:rPr>
        <w:t xml:space="preserve"> </w:t>
      </w:r>
      <w:r w:rsidR="002F24E1" w:rsidRPr="00B004EE">
        <w:rPr>
          <w:rFonts w:ascii="Tahoma" w:hAnsi="Tahoma" w:cs="Tahoma"/>
          <w:sz w:val="20"/>
          <w:szCs w:val="20"/>
        </w:rPr>
        <w:t>suffisante</w:t>
      </w:r>
      <w:r w:rsidR="00DB1635" w:rsidRPr="00B004EE">
        <w:rPr>
          <w:rFonts w:ascii="Tahoma" w:hAnsi="Tahoma" w:cs="Tahoma"/>
          <w:sz w:val="20"/>
          <w:szCs w:val="20"/>
        </w:rPr>
        <w:t xml:space="preserve"> </w:t>
      </w:r>
      <w:r w:rsidR="002F24E1" w:rsidRPr="00B004EE">
        <w:rPr>
          <w:rFonts w:ascii="Tahoma" w:hAnsi="Tahoma" w:cs="Tahoma"/>
          <w:sz w:val="20"/>
          <w:szCs w:val="20"/>
        </w:rPr>
        <w:t>pour</w:t>
      </w:r>
      <w:r w:rsidR="00DB1635" w:rsidRPr="00B004EE">
        <w:rPr>
          <w:rFonts w:ascii="Tahoma" w:hAnsi="Tahoma" w:cs="Tahoma"/>
          <w:sz w:val="20"/>
          <w:szCs w:val="20"/>
        </w:rPr>
        <w:t xml:space="preserve"> </w:t>
      </w:r>
      <w:r w:rsidR="002F24E1" w:rsidRPr="00B004EE">
        <w:rPr>
          <w:rFonts w:ascii="Tahoma" w:hAnsi="Tahoma" w:cs="Tahoma"/>
          <w:sz w:val="20"/>
          <w:szCs w:val="20"/>
        </w:rPr>
        <w:t>soumettre</w:t>
      </w:r>
      <w:r w:rsidR="00DB1635" w:rsidRPr="00B004EE">
        <w:rPr>
          <w:rFonts w:ascii="Tahoma" w:hAnsi="Tahoma" w:cs="Tahoma"/>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2F24E1" w:rsidRPr="00B004EE">
        <w:rPr>
          <w:rFonts w:ascii="Tahoma" w:hAnsi="Tahoma" w:cs="Tahoma"/>
          <w:sz w:val="20"/>
          <w:szCs w:val="20"/>
        </w:rPr>
        <w:t>produits</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la</w:t>
      </w:r>
      <w:r w:rsidR="00DB1635" w:rsidRPr="00B004EE">
        <w:rPr>
          <w:rFonts w:ascii="Tahoma" w:hAnsi="Tahoma" w:cs="Tahoma"/>
          <w:sz w:val="20"/>
          <w:szCs w:val="20"/>
        </w:rPr>
        <w:t xml:space="preserve"> </w:t>
      </w:r>
      <w:r w:rsidR="002F24E1" w:rsidRPr="00B004EE">
        <w:rPr>
          <w:rFonts w:ascii="Tahoma" w:hAnsi="Tahoma" w:cs="Tahoma"/>
          <w:sz w:val="20"/>
          <w:szCs w:val="20"/>
        </w:rPr>
        <w:t>pêche</w:t>
      </w:r>
      <w:r w:rsidR="00DB1635" w:rsidRPr="00B004EE">
        <w:rPr>
          <w:rFonts w:ascii="Tahoma" w:hAnsi="Tahoma" w:cs="Tahoma"/>
          <w:sz w:val="20"/>
          <w:szCs w:val="20"/>
        </w:rPr>
        <w:t xml:space="preserve"> </w:t>
      </w:r>
      <w:r w:rsidR="002F24E1" w:rsidRPr="00B004EE">
        <w:rPr>
          <w:rFonts w:ascii="Tahoma" w:hAnsi="Tahoma" w:cs="Tahoma"/>
          <w:sz w:val="20"/>
          <w:szCs w:val="20"/>
        </w:rPr>
        <w:t>à</w:t>
      </w:r>
      <w:r w:rsidR="00DB1635" w:rsidRPr="00B004EE">
        <w:rPr>
          <w:rFonts w:ascii="Tahoma" w:hAnsi="Tahoma" w:cs="Tahoma"/>
          <w:sz w:val="20"/>
          <w:szCs w:val="20"/>
        </w:rPr>
        <w:t xml:space="preserve"> </w:t>
      </w:r>
      <w:r w:rsidR="002F24E1" w:rsidRPr="00B004EE">
        <w:rPr>
          <w:rFonts w:ascii="Tahoma" w:hAnsi="Tahoma" w:cs="Tahoma"/>
          <w:sz w:val="20"/>
          <w:szCs w:val="20"/>
        </w:rPr>
        <w:t>un</w:t>
      </w:r>
      <w:r w:rsidR="00DB1635" w:rsidRPr="00B004EE">
        <w:rPr>
          <w:rFonts w:ascii="Tahoma" w:hAnsi="Tahoma" w:cs="Tahoma"/>
          <w:sz w:val="20"/>
          <w:szCs w:val="20"/>
        </w:rPr>
        <w:t xml:space="preserve"> </w:t>
      </w:r>
      <w:r w:rsidR="002F24E1" w:rsidRPr="00B004EE">
        <w:rPr>
          <w:rFonts w:ascii="Tahoma" w:hAnsi="Tahoma" w:cs="Tahoma"/>
          <w:sz w:val="20"/>
          <w:szCs w:val="20"/>
        </w:rPr>
        <w:t>abaissement</w:t>
      </w:r>
      <w:r w:rsidR="00DB1635" w:rsidRPr="00B004EE">
        <w:rPr>
          <w:rFonts w:ascii="Tahoma" w:hAnsi="Tahoma" w:cs="Tahoma"/>
          <w:sz w:val="20"/>
          <w:szCs w:val="20"/>
        </w:rPr>
        <w:t xml:space="preserve"> </w:t>
      </w:r>
      <w:r w:rsidR="002F24E1" w:rsidRPr="00B004EE">
        <w:rPr>
          <w:rFonts w:ascii="Tahoma" w:hAnsi="Tahoma" w:cs="Tahoma"/>
          <w:sz w:val="20"/>
          <w:szCs w:val="20"/>
        </w:rPr>
        <w:t>rapide</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température</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2F24E1" w:rsidRPr="00B004EE">
        <w:rPr>
          <w:rFonts w:ascii="Tahoma" w:hAnsi="Tahoma" w:cs="Tahoma"/>
          <w:sz w:val="20"/>
          <w:szCs w:val="20"/>
        </w:rPr>
        <w:t>maintenir</w:t>
      </w:r>
      <w:r w:rsidR="00DB1635" w:rsidRPr="00B004EE">
        <w:rPr>
          <w:rFonts w:ascii="Tahoma" w:hAnsi="Tahoma" w:cs="Tahoma"/>
          <w:sz w:val="20"/>
          <w:szCs w:val="20"/>
        </w:rPr>
        <w:t xml:space="preserve"> </w:t>
      </w:r>
      <w:r w:rsidR="002F24E1" w:rsidRPr="00B004EE">
        <w:rPr>
          <w:rFonts w:ascii="Tahoma" w:hAnsi="Tahoma" w:cs="Tahoma"/>
          <w:sz w:val="20"/>
          <w:szCs w:val="20"/>
        </w:rPr>
        <w:t>dans</w:t>
      </w:r>
      <w:r w:rsidR="00DB1635" w:rsidRPr="00B004EE">
        <w:rPr>
          <w:rFonts w:ascii="Tahoma" w:hAnsi="Tahoma" w:cs="Tahoma"/>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2F24E1" w:rsidRPr="00B004EE">
        <w:rPr>
          <w:rFonts w:ascii="Tahoma" w:hAnsi="Tahoma" w:cs="Tahoma"/>
          <w:sz w:val="20"/>
          <w:szCs w:val="20"/>
        </w:rPr>
        <w:t>enceintes</w:t>
      </w:r>
      <w:r w:rsidR="00DB1635" w:rsidRPr="00B004EE">
        <w:rPr>
          <w:rFonts w:ascii="Tahoma" w:hAnsi="Tahoma" w:cs="Tahoma"/>
          <w:sz w:val="20"/>
          <w:szCs w:val="20"/>
        </w:rPr>
        <w:t xml:space="preserve"> </w:t>
      </w:r>
      <w:r w:rsidR="002F24E1" w:rsidRPr="00B004EE">
        <w:rPr>
          <w:rFonts w:ascii="Tahoma" w:hAnsi="Tahoma" w:cs="Tahoma"/>
          <w:sz w:val="20"/>
          <w:szCs w:val="20"/>
        </w:rPr>
        <w:t>d'entreposage</w:t>
      </w:r>
      <w:r w:rsidR="00DB1635" w:rsidRPr="00B004EE">
        <w:rPr>
          <w:rFonts w:ascii="Tahoma" w:hAnsi="Tahoma" w:cs="Tahoma"/>
          <w:sz w:val="20"/>
          <w:szCs w:val="20"/>
        </w:rPr>
        <w:t xml:space="preserve"> </w:t>
      </w:r>
      <w:r w:rsidR="002F24E1" w:rsidRPr="00B004EE">
        <w:rPr>
          <w:rFonts w:ascii="Tahoma" w:hAnsi="Tahoma" w:cs="Tahoma"/>
          <w:sz w:val="20"/>
          <w:szCs w:val="20"/>
        </w:rPr>
        <w:t>à</w:t>
      </w:r>
      <w:r w:rsidR="00DB1635" w:rsidRPr="00B004EE">
        <w:rPr>
          <w:rFonts w:ascii="Tahoma" w:hAnsi="Tahoma" w:cs="Tahoma"/>
          <w:sz w:val="20"/>
          <w:szCs w:val="20"/>
        </w:rPr>
        <w:t xml:space="preserve"> </w:t>
      </w:r>
      <w:r w:rsidR="002F24E1" w:rsidRPr="00B004EE">
        <w:rPr>
          <w:rFonts w:ascii="Tahoma" w:hAnsi="Tahoma" w:cs="Tahoma"/>
          <w:sz w:val="20"/>
          <w:szCs w:val="20"/>
        </w:rPr>
        <w:t>-</w:t>
      </w:r>
      <w:r w:rsidR="00DB1635" w:rsidRPr="00B004EE">
        <w:rPr>
          <w:rFonts w:ascii="Tahoma" w:hAnsi="Tahoma" w:cs="Tahoma"/>
          <w:sz w:val="20"/>
          <w:szCs w:val="20"/>
        </w:rPr>
        <w:t xml:space="preserve"> </w:t>
      </w:r>
      <w:r w:rsidR="002F24E1" w:rsidRPr="00B004EE">
        <w:rPr>
          <w:rFonts w:ascii="Tahoma" w:hAnsi="Tahoma" w:cs="Tahoma"/>
          <w:sz w:val="20"/>
          <w:szCs w:val="20"/>
        </w:rPr>
        <w:t>18°C</w:t>
      </w:r>
      <w:r w:rsidR="00DB1635" w:rsidRPr="00B004EE">
        <w:rPr>
          <w:rFonts w:ascii="Tahoma" w:hAnsi="Tahoma" w:cs="Tahoma"/>
          <w:sz w:val="20"/>
          <w:szCs w:val="20"/>
        </w:rPr>
        <w:t xml:space="preserve"> </w:t>
      </w:r>
      <w:r w:rsidR="002F24E1" w:rsidRPr="00B004EE">
        <w:rPr>
          <w:rFonts w:ascii="Tahoma" w:hAnsi="Tahoma" w:cs="Tahoma"/>
          <w:sz w:val="20"/>
          <w:szCs w:val="20"/>
        </w:rPr>
        <w:t>au</w:t>
      </w:r>
      <w:r w:rsidR="00DB1635" w:rsidRPr="00B004EE">
        <w:rPr>
          <w:rFonts w:ascii="Tahoma" w:hAnsi="Tahoma" w:cs="Tahoma"/>
          <w:sz w:val="20"/>
          <w:szCs w:val="20"/>
        </w:rPr>
        <w:t xml:space="preserve"> </w:t>
      </w:r>
      <w:r w:rsidR="002F24E1" w:rsidRPr="00B004EE">
        <w:rPr>
          <w:rFonts w:ascii="Tahoma" w:hAnsi="Tahoma" w:cs="Tahoma"/>
          <w:sz w:val="20"/>
          <w:szCs w:val="20"/>
        </w:rPr>
        <w:t>plus,</w:t>
      </w:r>
      <w:r w:rsidR="00DB1635" w:rsidRPr="00B004EE">
        <w:rPr>
          <w:rFonts w:ascii="Tahoma" w:hAnsi="Tahoma" w:cs="Tahoma"/>
          <w:sz w:val="20"/>
          <w:szCs w:val="20"/>
        </w:rPr>
        <w:t xml:space="preserve"> </w:t>
      </w:r>
      <w:r w:rsidR="000942DD" w:rsidRPr="00B004EE">
        <w:rPr>
          <w:rFonts w:ascii="Tahoma" w:hAnsi="Tahoma" w:cs="Tahoma"/>
          <w:sz w:val="20"/>
          <w:szCs w:val="20"/>
        </w:rPr>
        <w:t>quel que</w:t>
      </w:r>
      <w:r w:rsidR="00DB1635" w:rsidRPr="00B004EE">
        <w:rPr>
          <w:rFonts w:ascii="Tahoma" w:hAnsi="Tahoma" w:cs="Tahoma"/>
          <w:sz w:val="20"/>
          <w:szCs w:val="20"/>
        </w:rPr>
        <w:t xml:space="preserve"> </w:t>
      </w:r>
      <w:r w:rsidR="002F24E1" w:rsidRPr="00B004EE">
        <w:rPr>
          <w:rFonts w:ascii="Tahoma" w:hAnsi="Tahoma" w:cs="Tahoma"/>
          <w:sz w:val="20"/>
          <w:szCs w:val="20"/>
        </w:rPr>
        <w:t>soit</w:t>
      </w:r>
      <w:r w:rsidR="00DB1635" w:rsidRPr="00B004EE">
        <w:rPr>
          <w:rFonts w:ascii="Tahoma" w:hAnsi="Tahoma" w:cs="Tahoma"/>
          <w:sz w:val="20"/>
          <w:szCs w:val="20"/>
        </w:rPr>
        <w:t xml:space="preserve"> </w:t>
      </w:r>
      <w:r w:rsidR="002F24E1" w:rsidRPr="00B004EE">
        <w:rPr>
          <w:rFonts w:ascii="Tahoma" w:hAnsi="Tahoma" w:cs="Tahoma"/>
          <w:sz w:val="20"/>
          <w:szCs w:val="20"/>
        </w:rPr>
        <w:t>la</w:t>
      </w:r>
      <w:r w:rsidR="00DB1635" w:rsidRPr="00B004EE">
        <w:rPr>
          <w:rFonts w:ascii="Tahoma" w:hAnsi="Tahoma" w:cs="Tahoma"/>
          <w:sz w:val="20"/>
          <w:szCs w:val="20"/>
        </w:rPr>
        <w:t xml:space="preserve"> </w:t>
      </w:r>
      <w:r w:rsidR="002F24E1" w:rsidRPr="00B004EE">
        <w:rPr>
          <w:rFonts w:ascii="Tahoma" w:hAnsi="Tahoma" w:cs="Tahoma"/>
          <w:sz w:val="20"/>
          <w:szCs w:val="20"/>
        </w:rPr>
        <w:t>température</w:t>
      </w:r>
      <w:r w:rsidR="00DB1635" w:rsidRPr="00B004EE">
        <w:rPr>
          <w:rFonts w:ascii="Tahoma" w:hAnsi="Tahoma" w:cs="Tahoma"/>
          <w:sz w:val="20"/>
          <w:szCs w:val="20"/>
        </w:rPr>
        <w:t xml:space="preserve"> </w:t>
      </w:r>
      <w:r w:rsidR="002F24E1" w:rsidRPr="00B004EE">
        <w:rPr>
          <w:rFonts w:ascii="Tahoma" w:hAnsi="Tahoma" w:cs="Tahoma"/>
          <w:sz w:val="20"/>
          <w:szCs w:val="20"/>
        </w:rPr>
        <w:t>extérieure.</w:t>
      </w:r>
    </w:p>
    <w:p w14:paraId="3A5412E5" w14:textId="77777777" w:rsidR="002F24E1" w:rsidRPr="00B004EE" w:rsidRDefault="002F24E1" w:rsidP="00B004EE">
      <w:pPr>
        <w:jc w:val="both"/>
        <w:rPr>
          <w:rFonts w:ascii="Tahoma" w:hAnsi="Tahoma" w:cs="Tahoma"/>
          <w:sz w:val="20"/>
          <w:szCs w:val="20"/>
        </w:rPr>
      </w:pPr>
    </w:p>
    <w:p w14:paraId="4665B7BA" w14:textId="77777777" w:rsidR="002F24E1" w:rsidRPr="00B004EE" w:rsidRDefault="002F24E1" w:rsidP="00B004EE">
      <w:pPr>
        <w:jc w:val="both"/>
        <w:rPr>
          <w:rFonts w:ascii="Tahoma" w:hAnsi="Tahoma" w:cs="Tahoma"/>
          <w:sz w:val="20"/>
          <w:szCs w:val="20"/>
        </w:rPr>
      </w:pPr>
    </w:p>
    <w:p w14:paraId="474640EC" w14:textId="1D7F9861" w:rsidR="002F24E1" w:rsidRPr="00B004EE" w:rsidRDefault="00AD7D88" w:rsidP="00B004EE">
      <w:pPr>
        <w:jc w:val="both"/>
        <w:rPr>
          <w:rFonts w:ascii="Tahoma" w:hAnsi="Tahoma" w:cs="Tahoma"/>
          <w:sz w:val="20"/>
          <w:szCs w:val="20"/>
        </w:rPr>
      </w:pPr>
      <w:r w:rsidRPr="00B004EE">
        <w:rPr>
          <w:rFonts w:ascii="Tahoma" w:hAnsi="Tahoma" w:cs="Tahoma"/>
          <w:bCs/>
          <w:sz w:val="20"/>
          <w:szCs w:val="20"/>
        </w:rPr>
        <w:t xml:space="preserve">Article </w:t>
      </w:r>
      <w:r w:rsidR="002F24E1" w:rsidRPr="00B004EE">
        <w:rPr>
          <w:rFonts w:ascii="Tahoma" w:hAnsi="Tahoma" w:cs="Tahoma"/>
          <w:bCs/>
          <w:sz w:val="20"/>
          <w:szCs w:val="20"/>
        </w:rPr>
        <w:t>19</w:t>
      </w:r>
      <w:r w:rsidR="00DB1635" w:rsidRPr="00B004EE">
        <w:rPr>
          <w:rFonts w:ascii="Tahoma" w:hAnsi="Tahoma" w:cs="Tahoma"/>
          <w:b/>
          <w:sz w:val="20"/>
          <w:szCs w:val="20"/>
        </w:rPr>
        <w:t xml:space="preserve"> </w:t>
      </w:r>
      <w:r w:rsidR="002F24E1" w:rsidRPr="00B004EE">
        <w:rPr>
          <w:rFonts w:ascii="Tahoma" w:hAnsi="Tahoma" w:cs="Tahoma"/>
          <w:b/>
          <w:sz w:val="20"/>
          <w:szCs w:val="20"/>
        </w:rPr>
        <w:t>:</w:t>
      </w:r>
      <w:r w:rsidR="00DB1635" w:rsidRPr="00B004EE">
        <w:rPr>
          <w:rFonts w:ascii="Tahoma" w:hAnsi="Tahoma" w:cs="Tahoma"/>
          <w:b/>
          <w:sz w:val="20"/>
          <w:szCs w:val="20"/>
        </w:rPr>
        <w:t xml:space="preserve"> </w:t>
      </w:r>
      <w:r w:rsidR="002F24E1" w:rsidRPr="00B004EE">
        <w:rPr>
          <w:rFonts w:ascii="Tahoma" w:hAnsi="Tahoma" w:cs="Tahoma"/>
          <w:sz w:val="20"/>
          <w:szCs w:val="20"/>
        </w:rPr>
        <w:t>Le</w:t>
      </w:r>
      <w:r w:rsidR="00DB1635" w:rsidRPr="00B004EE">
        <w:rPr>
          <w:rFonts w:ascii="Tahoma" w:hAnsi="Tahoma" w:cs="Tahoma"/>
          <w:sz w:val="20"/>
          <w:szCs w:val="20"/>
        </w:rPr>
        <w:t xml:space="preserve"> </w:t>
      </w:r>
      <w:r w:rsidR="002F24E1" w:rsidRPr="00B004EE">
        <w:rPr>
          <w:rFonts w:ascii="Tahoma" w:hAnsi="Tahoma" w:cs="Tahoma"/>
          <w:sz w:val="20"/>
          <w:szCs w:val="20"/>
        </w:rPr>
        <w:t>matériel</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conditionnement</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d'emballage</w:t>
      </w:r>
      <w:r w:rsidR="00DB1635" w:rsidRPr="00B004EE">
        <w:rPr>
          <w:rFonts w:ascii="Tahoma" w:hAnsi="Tahoma" w:cs="Tahoma"/>
          <w:sz w:val="20"/>
          <w:szCs w:val="20"/>
        </w:rPr>
        <w:t xml:space="preserve"> </w:t>
      </w:r>
      <w:r w:rsidR="002F24E1" w:rsidRPr="00B004EE">
        <w:rPr>
          <w:rFonts w:ascii="Tahoma" w:hAnsi="Tahoma" w:cs="Tahoma"/>
          <w:sz w:val="20"/>
          <w:szCs w:val="20"/>
        </w:rPr>
        <w:t>des</w:t>
      </w:r>
      <w:r w:rsidR="00DB1635" w:rsidRPr="00B004EE">
        <w:rPr>
          <w:rFonts w:ascii="Tahoma" w:hAnsi="Tahoma" w:cs="Tahoma"/>
          <w:sz w:val="20"/>
          <w:szCs w:val="20"/>
        </w:rPr>
        <w:t xml:space="preserve"> </w:t>
      </w:r>
      <w:r w:rsidR="002F24E1" w:rsidRPr="00B004EE">
        <w:rPr>
          <w:rFonts w:ascii="Tahoma" w:hAnsi="Tahoma" w:cs="Tahoma"/>
          <w:sz w:val="20"/>
          <w:szCs w:val="20"/>
        </w:rPr>
        <w:t>produits</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la</w:t>
      </w:r>
      <w:r w:rsidR="00DB1635" w:rsidRPr="00B004EE">
        <w:rPr>
          <w:rFonts w:ascii="Tahoma" w:hAnsi="Tahoma" w:cs="Tahoma"/>
          <w:sz w:val="20"/>
          <w:szCs w:val="20"/>
        </w:rPr>
        <w:t xml:space="preserve"> </w:t>
      </w:r>
      <w:r w:rsidR="002F24E1" w:rsidRPr="00B004EE">
        <w:rPr>
          <w:rFonts w:ascii="Tahoma" w:hAnsi="Tahoma" w:cs="Tahoma"/>
          <w:sz w:val="20"/>
          <w:szCs w:val="20"/>
        </w:rPr>
        <w:t>pêche</w:t>
      </w:r>
      <w:r w:rsidR="00DB1635" w:rsidRPr="00B004EE">
        <w:rPr>
          <w:rFonts w:ascii="Tahoma" w:hAnsi="Tahoma" w:cs="Tahoma"/>
          <w:sz w:val="20"/>
          <w:szCs w:val="20"/>
        </w:rPr>
        <w:t xml:space="preserve"> </w:t>
      </w:r>
      <w:r w:rsidR="002F24E1" w:rsidRPr="00B004EE">
        <w:rPr>
          <w:rFonts w:ascii="Tahoma" w:hAnsi="Tahoma" w:cs="Tahoma"/>
          <w:sz w:val="20"/>
          <w:szCs w:val="20"/>
        </w:rPr>
        <w:t>doit</w:t>
      </w:r>
      <w:r w:rsidR="00DB1635" w:rsidRPr="00B004EE">
        <w:rPr>
          <w:rFonts w:ascii="Tahoma" w:hAnsi="Tahoma" w:cs="Tahoma"/>
          <w:sz w:val="20"/>
          <w:szCs w:val="20"/>
        </w:rPr>
        <w:t xml:space="preserve"> </w:t>
      </w:r>
      <w:r w:rsidR="002F24E1" w:rsidRPr="00B004EE">
        <w:rPr>
          <w:rFonts w:ascii="Tahoma" w:hAnsi="Tahoma" w:cs="Tahoma"/>
          <w:sz w:val="20"/>
          <w:szCs w:val="20"/>
        </w:rPr>
        <w:t>être</w:t>
      </w:r>
      <w:r w:rsidR="00DB1635" w:rsidRPr="00B004EE">
        <w:rPr>
          <w:rFonts w:ascii="Tahoma" w:hAnsi="Tahoma" w:cs="Tahoma"/>
          <w:sz w:val="20"/>
          <w:szCs w:val="20"/>
        </w:rPr>
        <w:t xml:space="preserve"> </w:t>
      </w:r>
      <w:r w:rsidR="002F24E1" w:rsidRPr="00B004EE">
        <w:rPr>
          <w:rFonts w:ascii="Tahoma" w:hAnsi="Tahoma" w:cs="Tahoma"/>
          <w:sz w:val="20"/>
          <w:szCs w:val="20"/>
        </w:rPr>
        <w:t>entreposés</w:t>
      </w:r>
      <w:r w:rsidR="00DB1635" w:rsidRPr="00B004EE">
        <w:rPr>
          <w:rFonts w:ascii="Tahoma" w:hAnsi="Tahoma" w:cs="Tahoma"/>
          <w:sz w:val="20"/>
          <w:szCs w:val="20"/>
        </w:rPr>
        <w:t xml:space="preserve"> </w:t>
      </w:r>
      <w:r w:rsidR="002F24E1" w:rsidRPr="00B004EE">
        <w:rPr>
          <w:rFonts w:ascii="Tahoma" w:hAnsi="Tahoma" w:cs="Tahoma"/>
          <w:sz w:val="20"/>
          <w:szCs w:val="20"/>
        </w:rPr>
        <w:t>dans</w:t>
      </w:r>
      <w:r w:rsidR="00DB1635" w:rsidRPr="00B004EE">
        <w:rPr>
          <w:rFonts w:ascii="Tahoma" w:hAnsi="Tahoma" w:cs="Tahoma"/>
          <w:sz w:val="20"/>
          <w:szCs w:val="20"/>
        </w:rPr>
        <w:t xml:space="preserve"> </w:t>
      </w:r>
      <w:r w:rsidR="002F24E1" w:rsidRPr="00B004EE">
        <w:rPr>
          <w:rFonts w:ascii="Tahoma" w:hAnsi="Tahoma" w:cs="Tahoma"/>
          <w:sz w:val="20"/>
          <w:szCs w:val="20"/>
        </w:rPr>
        <w:t>un</w:t>
      </w:r>
      <w:r w:rsidR="00DB1635" w:rsidRPr="00B004EE">
        <w:rPr>
          <w:rFonts w:ascii="Tahoma" w:hAnsi="Tahoma" w:cs="Tahoma"/>
          <w:sz w:val="20"/>
          <w:szCs w:val="20"/>
        </w:rPr>
        <w:t xml:space="preserve"> </w:t>
      </w:r>
      <w:r w:rsidR="002F24E1" w:rsidRPr="00B004EE">
        <w:rPr>
          <w:rFonts w:ascii="Tahoma" w:hAnsi="Tahoma" w:cs="Tahoma"/>
          <w:sz w:val="20"/>
          <w:szCs w:val="20"/>
        </w:rPr>
        <w:t>local</w:t>
      </w:r>
      <w:r w:rsidR="00DB1635" w:rsidRPr="00B004EE">
        <w:rPr>
          <w:rFonts w:ascii="Tahoma" w:hAnsi="Tahoma" w:cs="Tahoma"/>
          <w:sz w:val="20"/>
          <w:szCs w:val="20"/>
        </w:rPr>
        <w:t xml:space="preserve"> </w:t>
      </w:r>
      <w:r w:rsidR="002F24E1" w:rsidRPr="00B004EE">
        <w:rPr>
          <w:rFonts w:ascii="Tahoma" w:hAnsi="Tahoma" w:cs="Tahoma"/>
          <w:sz w:val="20"/>
          <w:szCs w:val="20"/>
        </w:rPr>
        <w:t>séparé,</w:t>
      </w:r>
      <w:r w:rsidR="00DB1635" w:rsidRPr="00B004EE">
        <w:rPr>
          <w:rFonts w:ascii="Tahoma" w:hAnsi="Tahoma" w:cs="Tahoma"/>
          <w:sz w:val="20"/>
          <w:szCs w:val="20"/>
        </w:rPr>
        <w:t xml:space="preserve"> </w:t>
      </w:r>
      <w:r w:rsidR="002F24E1" w:rsidRPr="00B004EE">
        <w:rPr>
          <w:rFonts w:ascii="Tahoma" w:hAnsi="Tahoma" w:cs="Tahoma"/>
          <w:sz w:val="20"/>
          <w:szCs w:val="20"/>
        </w:rPr>
        <w:t>sec,</w:t>
      </w:r>
      <w:r w:rsidR="00DB1635" w:rsidRPr="00B004EE">
        <w:rPr>
          <w:rFonts w:ascii="Tahoma" w:hAnsi="Tahoma" w:cs="Tahoma"/>
          <w:sz w:val="20"/>
          <w:szCs w:val="20"/>
        </w:rPr>
        <w:t xml:space="preserve"> </w:t>
      </w:r>
      <w:r w:rsidR="002F24E1" w:rsidRPr="00B004EE">
        <w:rPr>
          <w:rFonts w:ascii="Tahoma" w:hAnsi="Tahoma" w:cs="Tahoma"/>
          <w:sz w:val="20"/>
          <w:szCs w:val="20"/>
        </w:rPr>
        <w:t>à</w:t>
      </w:r>
      <w:r w:rsidR="00DB1635" w:rsidRPr="00B004EE">
        <w:rPr>
          <w:rFonts w:ascii="Tahoma" w:hAnsi="Tahoma" w:cs="Tahoma"/>
          <w:sz w:val="20"/>
          <w:szCs w:val="20"/>
        </w:rPr>
        <w:t xml:space="preserve"> </w:t>
      </w:r>
      <w:r w:rsidR="002F24E1" w:rsidRPr="00B004EE">
        <w:rPr>
          <w:rFonts w:ascii="Tahoma" w:hAnsi="Tahoma" w:cs="Tahoma"/>
          <w:sz w:val="20"/>
          <w:szCs w:val="20"/>
        </w:rPr>
        <w:t>l'abri</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la</w:t>
      </w:r>
      <w:r w:rsidR="00DB1635" w:rsidRPr="00B004EE">
        <w:rPr>
          <w:rFonts w:ascii="Tahoma" w:hAnsi="Tahoma" w:cs="Tahoma"/>
          <w:sz w:val="20"/>
          <w:szCs w:val="20"/>
        </w:rPr>
        <w:t xml:space="preserve"> </w:t>
      </w:r>
      <w:r w:rsidR="002F24E1" w:rsidRPr="00B004EE">
        <w:rPr>
          <w:rFonts w:ascii="Tahoma" w:hAnsi="Tahoma" w:cs="Tahoma"/>
          <w:sz w:val="20"/>
          <w:szCs w:val="20"/>
        </w:rPr>
        <w:t>poussière</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des</w:t>
      </w:r>
      <w:r w:rsidR="00DB1635" w:rsidRPr="00B004EE">
        <w:rPr>
          <w:rFonts w:ascii="Tahoma" w:hAnsi="Tahoma" w:cs="Tahoma"/>
          <w:sz w:val="20"/>
          <w:szCs w:val="20"/>
        </w:rPr>
        <w:t xml:space="preserve"> </w:t>
      </w:r>
      <w:r w:rsidR="002F24E1" w:rsidRPr="00B004EE">
        <w:rPr>
          <w:rFonts w:ascii="Tahoma" w:hAnsi="Tahoma" w:cs="Tahoma"/>
          <w:sz w:val="20"/>
          <w:szCs w:val="20"/>
        </w:rPr>
        <w:t>contaminations.</w:t>
      </w:r>
    </w:p>
    <w:p w14:paraId="6D357C37" w14:textId="77777777" w:rsidR="002F24E1" w:rsidRPr="00B004EE" w:rsidRDefault="002F24E1" w:rsidP="00B004EE">
      <w:pPr>
        <w:tabs>
          <w:tab w:val="left" w:pos="2268"/>
        </w:tabs>
        <w:jc w:val="both"/>
        <w:rPr>
          <w:rFonts w:ascii="Tahoma" w:hAnsi="Tahoma" w:cs="Tahoma"/>
          <w:b/>
          <w:sz w:val="20"/>
          <w:szCs w:val="20"/>
        </w:rPr>
      </w:pPr>
    </w:p>
    <w:p w14:paraId="3D2D68A4" w14:textId="77777777" w:rsidR="002D26AE" w:rsidRDefault="002D26AE" w:rsidP="00B004EE">
      <w:pPr>
        <w:tabs>
          <w:tab w:val="left" w:pos="2268"/>
        </w:tabs>
        <w:jc w:val="center"/>
        <w:rPr>
          <w:rFonts w:ascii="Tahoma" w:hAnsi="Tahoma" w:cs="Tahoma"/>
          <w:b/>
          <w:sz w:val="20"/>
          <w:szCs w:val="20"/>
        </w:rPr>
      </w:pPr>
    </w:p>
    <w:p w14:paraId="58D19B83" w14:textId="0C5893DE" w:rsidR="002F24E1" w:rsidRPr="00B004EE" w:rsidRDefault="002F24E1" w:rsidP="00B004EE">
      <w:pPr>
        <w:tabs>
          <w:tab w:val="left" w:pos="2268"/>
        </w:tabs>
        <w:jc w:val="center"/>
        <w:rPr>
          <w:rFonts w:ascii="Tahoma" w:hAnsi="Tahoma" w:cs="Tahoma"/>
          <w:b/>
          <w:sz w:val="20"/>
          <w:szCs w:val="20"/>
        </w:rPr>
      </w:pPr>
      <w:r w:rsidRPr="00B004EE">
        <w:rPr>
          <w:rFonts w:ascii="Tahoma" w:hAnsi="Tahoma" w:cs="Tahoma"/>
          <w:b/>
          <w:sz w:val="20"/>
          <w:szCs w:val="20"/>
        </w:rPr>
        <w:t>TITRE</w:t>
      </w:r>
      <w:r w:rsidR="00DB1635" w:rsidRPr="00B004EE">
        <w:rPr>
          <w:rFonts w:ascii="Tahoma" w:hAnsi="Tahoma" w:cs="Tahoma"/>
          <w:b/>
          <w:sz w:val="20"/>
          <w:szCs w:val="20"/>
        </w:rPr>
        <w:t xml:space="preserve"> </w:t>
      </w:r>
      <w:r w:rsidRPr="00B004EE">
        <w:rPr>
          <w:rFonts w:ascii="Tahoma" w:hAnsi="Tahoma" w:cs="Tahoma"/>
          <w:b/>
          <w:sz w:val="20"/>
          <w:szCs w:val="20"/>
        </w:rPr>
        <w:t>II</w:t>
      </w:r>
      <w:r w:rsidR="00DB1635" w:rsidRPr="00B004EE">
        <w:rPr>
          <w:rFonts w:ascii="Tahoma" w:hAnsi="Tahoma" w:cs="Tahoma"/>
          <w:b/>
          <w:sz w:val="20"/>
          <w:szCs w:val="20"/>
        </w:rPr>
        <w:t xml:space="preserve"> </w:t>
      </w:r>
      <w:r w:rsidRPr="00B004EE">
        <w:rPr>
          <w:rFonts w:ascii="Tahoma" w:hAnsi="Tahoma" w:cs="Tahoma"/>
          <w:b/>
          <w:sz w:val="20"/>
          <w:szCs w:val="20"/>
        </w:rPr>
        <w:t>:</w:t>
      </w:r>
      <w:r w:rsidR="00DB1635" w:rsidRPr="00B004EE">
        <w:rPr>
          <w:rFonts w:ascii="Tahoma" w:hAnsi="Tahoma" w:cs="Tahoma"/>
          <w:b/>
          <w:sz w:val="20"/>
          <w:szCs w:val="20"/>
        </w:rPr>
        <w:t xml:space="preserve"> </w:t>
      </w:r>
      <w:r w:rsidRPr="00B004EE">
        <w:rPr>
          <w:rFonts w:ascii="Tahoma" w:hAnsi="Tahoma" w:cs="Tahoma"/>
          <w:b/>
          <w:sz w:val="20"/>
          <w:szCs w:val="20"/>
        </w:rPr>
        <w:t>CONDITIONS</w:t>
      </w:r>
      <w:r w:rsidR="00DB1635" w:rsidRPr="00B004EE">
        <w:rPr>
          <w:rFonts w:ascii="Tahoma" w:hAnsi="Tahoma" w:cs="Tahoma"/>
          <w:b/>
          <w:sz w:val="20"/>
          <w:szCs w:val="20"/>
        </w:rPr>
        <w:t xml:space="preserve"> </w:t>
      </w:r>
      <w:r w:rsidRPr="00B004EE">
        <w:rPr>
          <w:rFonts w:ascii="Tahoma" w:hAnsi="Tahoma" w:cs="Tahoma"/>
          <w:b/>
          <w:sz w:val="20"/>
          <w:szCs w:val="20"/>
        </w:rPr>
        <w:t>D'HYGIENE</w:t>
      </w:r>
      <w:r w:rsidR="00DB1635" w:rsidRPr="00B004EE">
        <w:rPr>
          <w:rFonts w:ascii="Tahoma" w:hAnsi="Tahoma" w:cs="Tahoma"/>
          <w:b/>
          <w:sz w:val="20"/>
          <w:szCs w:val="20"/>
        </w:rPr>
        <w:t xml:space="preserve"> </w:t>
      </w:r>
      <w:r w:rsidRPr="00B004EE">
        <w:rPr>
          <w:rFonts w:ascii="Tahoma" w:hAnsi="Tahoma" w:cs="Tahoma"/>
          <w:b/>
          <w:sz w:val="20"/>
          <w:szCs w:val="20"/>
        </w:rPr>
        <w:t>APPLICABLE</w:t>
      </w:r>
      <w:r w:rsidR="00DB1635" w:rsidRPr="00B004EE">
        <w:rPr>
          <w:rFonts w:ascii="Tahoma" w:hAnsi="Tahoma" w:cs="Tahoma"/>
          <w:b/>
          <w:sz w:val="20"/>
          <w:szCs w:val="20"/>
        </w:rPr>
        <w:t xml:space="preserve"> </w:t>
      </w:r>
      <w:r w:rsidRPr="00B004EE">
        <w:rPr>
          <w:rFonts w:ascii="Tahoma" w:hAnsi="Tahoma" w:cs="Tahoma"/>
          <w:b/>
          <w:sz w:val="20"/>
          <w:szCs w:val="20"/>
        </w:rPr>
        <w:t>A</w:t>
      </w:r>
      <w:r w:rsidR="00DB1635" w:rsidRPr="00B004EE">
        <w:rPr>
          <w:rFonts w:ascii="Tahoma" w:hAnsi="Tahoma" w:cs="Tahoma"/>
          <w:b/>
          <w:sz w:val="20"/>
          <w:szCs w:val="20"/>
        </w:rPr>
        <w:t xml:space="preserve"> </w:t>
      </w:r>
      <w:r w:rsidRPr="00B004EE">
        <w:rPr>
          <w:rFonts w:ascii="Tahoma" w:hAnsi="Tahoma" w:cs="Tahoma"/>
          <w:b/>
          <w:sz w:val="20"/>
          <w:szCs w:val="20"/>
        </w:rPr>
        <w:t>BORD</w:t>
      </w:r>
      <w:r w:rsidR="00DB1635" w:rsidRPr="00B004EE">
        <w:rPr>
          <w:rFonts w:ascii="Tahoma" w:hAnsi="Tahoma" w:cs="Tahoma"/>
          <w:b/>
          <w:sz w:val="20"/>
          <w:szCs w:val="20"/>
        </w:rPr>
        <w:t xml:space="preserve"> </w:t>
      </w:r>
      <w:r w:rsidRPr="00B004EE">
        <w:rPr>
          <w:rFonts w:ascii="Tahoma" w:hAnsi="Tahoma" w:cs="Tahoma"/>
          <w:b/>
          <w:sz w:val="20"/>
          <w:szCs w:val="20"/>
        </w:rPr>
        <w:t>DES</w:t>
      </w:r>
      <w:r w:rsidR="00DB1635" w:rsidRPr="00B004EE">
        <w:rPr>
          <w:rFonts w:ascii="Tahoma" w:hAnsi="Tahoma" w:cs="Tahoma"/>
          <w:b/>
          <w:sz w:val="20"/>
          <w:szCs w:val="20"/>
        </w:rPr>
        <w:t xml:space="preserve"> </w:t>
      </w:r>
      <w:r w:rsidRPr="00B004EE">
        <w:rPr>
          <w:rFonts w:ascii="Tahoma" w:hAnsi="Tahoma" w:cs="Tahoma"/>
          <w:b/>
          <w:sz w:val="20"/>
          <w:szCs w:val="20"/>
        </w:rPr>
        <w:t>NAVIRES</w:t>
      </w:r>
      <w:r w:rsidR="00DB1635" w:rsidRPr="00B004EE">
        <w:rPr>
          <w:rFonts w:ascii="Tahoma" w:hAnsi="Tahoma" w:cs="Tahoma"/>
          <w:b/>
          <w:sz w:val="20"/>
          <w:szCs w:val="20"/>
        </w:rPr>
        <w:t xml:space="preserve"> </w:t>
      </w:r>
      <w:r w:rsidRPr="00B004EE">
        <w:rPr>
          <w:rFonts w:ascii="Tahoma" w:hAnsi="Tahoma" w:cs="Tahoma"/>
          <w:b/>
          <w:sz w:val="20"/>
          <w:szCs w:val="20"/>
        </w:rPr>
        <w:t>USINES</w:t>
      </w:r>
    </w:p>
    <w:p w14:paraId="7C47D60A" w14:textId="415B759B" w:rsidR="002F24E1" w:rsidRPr="00B004EE" w:rsidRDefault="002F24E1" w:rsidP="00B004EE">
      <w:pPr>
        <w:tabs>
          <w:tab w:val="left" w:pos="567"/>
          <w:tab w:val="left" w:pos="2268"/>
        </w:tabs>
        <w:jc w:val="center"/>
        <w:rPr>
          <w:rFonts w:ascii="Tahoma" w:hAnsi="Tahoma" w:cs="Tahoma"/>
          <w:b/>
          <w:sz w:val="20"/>
          <w:szCs w:val="20"/>
        </w:rPr>
      </w:pPr>
      <w:r w:rsidRPr="00B004EE">
        <w:rPr>
          <w:rFonts w:ascii="Tahoma" w:hAnsi="Tahoma" w:cs="Tahoma"/>
          <w:b/>
          <w:sz w:val="20"/>
          <w:szCs w:val="20"/>
        </w:rPr>
        <w:t>CHAPITRE</w:t>
      </w:r>
      <w:r w:rsidR="00DB1635" w:rsidRPr="00B004EE">
        <w:rPr>
          <w:rFonts w:ascii="Tahoma" w:hAnsi="Tahoma" w:cs="Tahoma"/>
          <w:b/>
          <w:sz w:val="20"/>
          <w:szCs w:val="20"/>
        </w:rPr>
        <w:t xml:space="preserve"> </w:t>
      </w:r>
      <w:r w:rsidRPr="00B004EE">
        <w:rPr>
          <w:rFonts w:ascii="Tahoma" w:hAnsi="Tahoma" w:cs="Tahoma"/>
          <w:b/>
          <w:sz w:val="20"/>
          <w:szCs w:val="20"/>
        </w:rPr>
        <w:t>I</w:t>
      </w:r>
      <w:r w:rsidR="00DB1635" w:rsidRPr="00B004EE">
        <w:rPr>
          <w:rFonts w:ascii="Tahoma" w:hAnsi="Tahoma" w:cs="Tahoma"/>
          <w:b/>
          <w:sz w:val="20"/>
          <w:szCs w:val="20"/>
        </w:rPr>
        <w:t xml:space="preserve"> </w:t>
      </w:r>
      <w:r w:rsidRPr="00B004EE">
        <w:rPr>
          <w:rFonts w:ascii="Tahoma" w:hAnsi="Tahoma" w:cs="Tahoma"/>
          <w:b/>
          <w:sz w:val="20"/>
          <w:szCs w:val="20"/>
        </w:rPr>
        <w:t>:</w:t>
      </w:r>
      <w:r w:rsidR="00DB1635" w:rsidRPr="00B004EE">
        <w:rPr>
          <w:rFonts w:ascii="Tahoma" w:hAnsi="Tahoma" w:cs="Tahoma"/>
          <w:b/>
          <w:sz w:val="20"/>
          <w:szCs w:val="20"/>
        </w:rPr>
        <w:t xml:space="preserve"> </w:t>
      </w:r>
      <w:r w:rsidRPr="00B004EE">
        <w:rPr>
          <w:rFonts w:ascii="Tahoma" w:hAnsi="Tahoma" w:cs="Tahoma"/>
          <w:b/>
          <w:sz w:val="20"/>
          <w:szCs w:val="20"/>
        </w:rPr>
        <w:t>INSTALLATIONS</w:t>
      </w:r>
      <w:r w:rsidR="00DB1635" w:rsidRPr="00B004EE">
        <w:rPr>
          <w:rFonts w:ascii="Tahoma" w:hAnsi="Tahoma" w:cs="Tahoma"/>
          <w:b/>
          <w:sz w:val="20"/>
          <w:szCs w:val="20"/>
        </w:rPr>
        <w:t xml:space="preserve"> </w:t>
      </w:r>
      <w:r w:rsidRPr="00B004EE">
        <w:rPr>
          <w:rFonts w:ascii="Tahoma" w:hAnsi="Tahoma" w:cs="Tahoma"/>
          <w:b/>
          <w:sz w:val="20"/>
          <w:szCs w:val="20"/>
        </w:rPr>
        <w:t>ET</w:t>
      </w:r>
      <w:r w:rsidR="00DB1635" w:rsidRPr="00B004EE">
        <w:rPr>
          <w:rFonts w:ascii="Tahoma" w:hAnsi="Tahoma" w:cs="Tahoma"/>
          <w:b/>
          <w:sz w:val="20"/>
          <w:szCs w:val="20"/>
        </w:rPr>
        <w:t xml:space="preserve"> </w:t>
      </w:r>
      <w:r w:rsidRPr="00B004EE">
        <w:rPr>
          <w:rFonts w:ascii="Tahoma" w:hAnsi="Tahoma" w:cs="Tahoma"/>
          <w:b/>
          <w:sz w:val="20"/>
          <w:szCs w:val="20"/>
        </w:rPr>
        <w:t>MATERIEL</w:t>
      </w:r>
    </w:p>
    <w:p w14:paraId="6AEB3B96" w14:textId="77777777" w:rsidR="002F24E1" w:rsidRPr="00B004EE" w:rsidRDefault="002F24E1" w:rsidP="00B004EE">
      <w:pPr>
        <w:jc w:val="center"/>
        <w:rPr>
          <w:rFonts w:ascii="Tahoma" w:hAnsi="Tahoma" w:cs="Tahoma"/>
          <w:b/>
          <w:sz w:val="20"/>
          <w:szCs w:val="20"/>
        </w:rPr>
      </w:pPr>
    </w:p>
    <w:p w14:paraId="5D59D05E" w14:textId="2835EEE8" w:rsidR="002F24E1" w:rsidRPr="00B004EE" w:rsidRDefault="00AD7D88" w:rsidP="00B004EE">
      <w:pPr>
        <w:jc w:val="both"/>
        <w:rPr>
          <w:rFonts w:ascii="Tahoma" w:hAnsi="Tahoma" w:cs="Tahoma"/>
          <w:sz w:val="20"/>
          <w:szCs w:val="20"/>
        </w:rPr>
      </w:pPr>
      <w:r w:rsidRPr="00B004EE">
        <w:rPr>
          <w:rFonts w:ascii="Tahoma" w:hAnsi="Tahoma" w:cs="Tahoma"/>
          <w:bCs/>
          <w:sz w:val="20"/>
          <w:szCs w:val="20"/>
        </w:rPr>
        <w:t xml:space="preserve">Article </w:t>
      </w:r>
      <w:r w:rsidR="002F24E1" w:rsidRPr="00B004EE">
        <w:rPr>
          <w:rFonts w:ascii="Tahoma" w:hAnsi="Tahoma" w:cs="Tahoma"/>
          <w:bCs/>
          <w:sz w:val="20"/>
          <w:szCs w:val="20"/>
        </w:rPr>
        <w:t>20</w:t>
      </w:r>
      <w:r w:rsidR="00DB1635" w:rsidRPr="00B004EE">
        <w:rPr>
          <w:rFonts w:ascii="Tahoma" w:hAnsi="Tahoma" w:cs="Tahoma"/>
          <w:b/>
          <w:sz w:val="20"/>
          <w:szCs w:val="20"/>
        </w:rPr>
        <w:t xml:space="preserve"> </w:t>
      </w:r>
      <w:r w:rsidR="002F24E1" w:rsidRPr="00B004EE">
        <w:rPr>
          <w:rFonts w:ascii="Tahoma" w:hAnsi="Tahoma" w:cs="Tahoma"/>
          <w:b/>
          <w:sz w:val="20"/>
          <w:szCs w:val="20"/>
        </w:rPr>
        <w:t>:</w:t>
      </w:r>
      <w:r w:rsidR="00DB1635" w:rsidRPr="00B004EE">
        <w:rPr>
          <w:rFonts w:ascii="Tahoma" w:hAnsi="Tahoma" w:cs="Tahoma"/>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2F24E1" w:rsidRPr="00B004EE">
        <w:rPr>
          <w:rFonts w:ascii="Tahoma" w:hAnsi="Tahoma" w:cs="Tahoma"/>
          <w:sz w:val="20"/>
          <w:szCs w:val="20"/>
        </w:rPr>
        <w:t>navires-usines</w:t>
      </w:r>
      <w:r w:rsidR="00DB1635" w:rsidRPr="00B004EE">
        <w:rPr>
          <w:rFonts w:ascii="Tahoma" w:hAnsi="Tahoma" w:cs="Tahoma"/>
          <w:sz w:val="20"/>
          <w:szCs w:val="20"/>
        </w:rPr>
        <w:t xml:space="preserve"> </w:t>
      </w:r>
      <w:r w:rsidR="002F24E1" w:rsidRPr="00B004EE">
        <w:rPr>
          <w:rFonts w:ascii="Tahoma" w:hAnsi="Tahoma" w:cs="Tahoma"/>
          <w:sz w:val="20"/>
          <w:szCs w:val="20"/>
        </w:rPr>
        <w:t>doivent</w:t>
      </w:r>
      <w:r w:rsidR="00DB1635" w:rsidRPr="00B004EE">
        <w:rPr>
          <w:rFonts w:ascii="Tahoma" w:hAnsi="Tahoma" w:cs="Tahoma"/>
          <w:sz w:val="20"/>
          <w:szCs w:val="20"/>
        </w:rPr>
        <w:t xml:space="preserve"> </w:t>
      </w:r>
      <w:r w:rsidR="002F24E1" w:rsidRPr="00B004EE">
        <w:rPr>
          <w:rFonts w:ascii="Tahoma" w:hAnsi="Tahoma" w:cs="Tahoma"/>
          <w:sz w:val="20"/>
          <w:szCs w:val="20"/>
        </w:rPr>
        <w:t>disposer</w:t>
      </w:r>
      <w:r w:rsidR="00DB1635" w:rsidRPr="00B004EE">
        <w:rPr>
          <w:rFonts w:ascii="Tahoma" w:hAnsi="Tahoma" w:cs="Tahoma"/>
          <w:sz w:val="20"/>
          <w:szCs w:val="20"/>
        </w:rPr>
        <w:t xml:space="preserve"> </w:t>
      </w:r>
      <w:r w:rsidR="002F24E1" w:rsidRPr="00B004EE">
        <w:rPr>
          <w:rFonts w:ascii="Tahoma" w:hAnsi="Tahoma" w:cs="Tahoma"/>
          <w:sz w:val="20"/>
          <w:szCs w:val="20"/>
        </w:rPr>
        <w:t>au</w:t>
      </w:r>
      <w:r w:rsidR="00DB1635" w:rsidRPr="00B004EE">
        <w:rPr>
          <w:rFonts w:ascii="Tahoma" w:hAnsi="Tahoma" w:cs="Tahoma"/>
          <w:sz w:val="20"/>
          <w:szCs w:val="20"/>
        </w:rPr>
        <w:t xml:space="preserve"> </w:t>
      </w:r>
      <w:r w:rsidR="000942DD" w:rsidRPr="00B004EE">
        <w:rPr>
          <w:rFonts w:ascii="Tahoma" w:hAnsi="Tahoma" w:cs="Tahoma"/>
          <w:sz w:val="20"/>
          <w:szCs w:val="20"/>
        </w:rPr>
        <w:t>moins :</w:t>
      </w:r>
    </w:p>
    <w:p w14:paraId="599B8F1F" w14:textId="60A588DB" w:rsidR="002F24E1" w:rsidRPr="00B004EE" w:rsidRDefault="002F24E1" w:rsidP="00420DDA">
      <w:pPr>
        <w:pStyle w:val="Paragraphedeliste"/>
        <w:numPr>
          <w:ilvl w:val="1"/>
          <w:numId w:val="83"/>
        </w:numPr>
        <w:ind w:left="426"/>
        <w:jc w:val="both"/>
        <w:rPr>
          <w:rFonts w:ascii="Tahoma" w:hAnsi="Tahoma" w:cs="Tahoma"/>
          <w:sz w:val="20"/>
          <w:szCs w:val="20"/>
        </w:rPr>
      </w:pPr>
      <w:proofErr w:type="gramStart"/>
      <w:r w:rsidRPr="00B004EE">
        <w:rPr>
          <w:rFonts w:ascii="Tahoma" w:hAnsi="Tahoma" w:cs="Tahoma"/>
          <w:sz w:val="20"/>
          <w:szCs w:val="20"/>
        </w:rPr>
        <w:t>d'une</w:t>
      </w:r>
      <w:proofErr w:type="gramEnd"/>
      <w:r w:rsidR="00DB1635" w:rsidRPr="00B004EE">
        <w:rPr>
          <w:rFonts w:ascii="Tahoma" w:hAnsi="Tahoma" w:cs="Tahoma"/>
          <w:sz w:val="20"/>
          <w:szCs w:val="20"/>
        </w:rPr>
        <w:t xml:space="preserve"> </w:t>
      </w:r>
      <w:r w:rsidRPr="00B004EE">
        <w:rPr>
          <w:rFonts w:ascii="Tahoma" w:hAnsi="Tahoma" w:cs="Tahoma"/>
          <w:sz w:val="20"/>
          <w:szCs w:val="20"/>
        </w:rPr>
        <w:t>aire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réception</w:t>
      </w:r>
      <w:r w:rsidR="00DB1635" w:rsidRPr="00B004EE">
        <w:rPr>
          <w:rFonts w:ascii="Tahoma" w:hAnsi="Tahoma" w:cs="Tahoma"/>
          <w:sz w:val="20"/>
          <w:szCs w:val="20"/>
        </w:rPr>
        <w:t xml:space="preserve"> </w:t>
      </w:r>
      <w:r w:rsidRPr="00B004EE">
        <w:rPr>
          <w:rFonts w:ascii="Tahoma" w:hAnsi="Tahoma" w:cs="Tahoma"/>
          <w:sz w:val="20"/>
          <w:szCs w:val="20"/>
        </w:rPr>
        <w:t>réservée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mise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bord</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dimension</w:t>
      </w:r>
      <w:r w:rsidR="00DB1635" w:rsidRPr="00B004EE">
        <w:rPr>
          <w:rFonts w:ascii="Tahoma" w:hAnsi="Tahoma" w:cs="Tahoma"/>
          <w:sz w:val="20"/>
          <w:szCs w:val="20"/>
        </w:rPr>
        <w:t xml:space="preserve"> </w:t>
      </w:r>
      <w:r w:rsidRPr="00B004EE">
        <w:rPr>
          <w:rFonts w:ascii="Tahoma" w:hAnsi="Tahoma" w:cs="Tahoma"/>
          <w:sz w:val="20"/>
          <w:szCs w:val="20"/>
        </w:rPr>
        <w:t>suffisante,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conçue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façon</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permettre</w:t>
      </w:r>
      <w:r w:rsidR="00DB1635" w:rsidRPr="00B004EE">
        <w:rPr>
          <w:rFonts w:ascii="Tahoma" w:hAnsi="Tahoma" w:cs="Tahoma"/>
          <w:sz w:val="20"/>
          <w:szCs w:val="20"/>
        </w:rPr>
        <w:t xml:space="preserve"> </w:t>
      </w:r>
      <w:r w:rsidRPr="00B004EE">
        <w:rPr>
          <w:rFonts w:ascii="Tahoma" w:hAnsi="Tahoma" w:cs="Tahoma"/>
          <w:sz w:val="20"/>
          <w:szCs w:val="20"/>
        </w:rPr>
        <w:t>éventuellement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séparer</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apports</w:t>
      </w:r>
      <w:r w:rsidR="00DB1635" w:rsidRPr="00B004EE">
        <w:rPr>
          <w:rFonts w:ascii="Tahoma" w:hAnsi="Tahoma" w:cs="Tahoma"/>
          <w:sz w:val="20"/>
          <w:szCs w:val="20"/>
        </w:rPr>
        <w:t xml:space="preserve"> </w:t>
      </w:r>
      <w:r w:rsidRPr="00B004EE">
        <w:rPr>
          <w:rFonts w:ascii="Tahoma" w:hAnsi="Tahoma" w:cs="Tahoma"/>
          <w:sz w:val="20"/>
          <w:szCs w:val="20"/>
        </w:rPr>
        <w:t>successifs;</w:t>
      </w:r>
      <w:r w:rsidR="00DB1635" w:rsidRPr="00B004EE">
        <w:rPr>
          <w:rFonts w:ascii="Tahoma" w:hAnsi="Tahoma" w:cs="Tahoma"/>
          <w:sz w:val="20"/>
          <w:szCs w:val="20"/>
        </w:rPr>
        <w:t xml:space="preserve"> </w:t>
      </w:r>
      <w:r w:rsidRPr="00B004EE">
        <w:rPr>
          <w:rFonts w:ascii="Tahoma" w:hAnsi="Tahoma" w:cs="Tahoma"/>
          <w:sz w:val="20"/>
          <w:szCs w:val="20"/>
        </w:rPr>
        <w:t>l'aire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réception</w:t>
      </w:r>
      <w:r w:rsidR="00DB1635" w:rsidRPr="00B004EE">
        <w:rPr>
          <w:rFonts w:ascii="Tahoma" w:hAnsi="Tahoma" w:cs="Tahoma"/>
          <w:sz w:val="20"/>
          <w:szCs w:val="20"/>
        </w:rPr>
        <w:t xml:space="preserve"> </w:t>
      </w:r>
      <w:r w:rsidRPr="00B004EE">
        <w:rPr>
          <w:rFonts w:ascii="Tahoma" w:hAnsi="Tahoma" w:cs="Tahoma"/>
          <w:sz w:val="20"/>
          <w:szCs w:val="20"/>
        </w:rPr>
        <w:t>doit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toute</w:t>
      </w:r>
      <w:r w:rsidR="00DB1635" w:rsidRPr="00B004EE">
        <w:rPr>
          <w:rFonts w:ascii="Tahoma" w:hAnsi="Tahoma" w:cs="Tahoma"/>
          <w:sz w:val="20"/>
          <w:szCs w:val="20"/>
        </w:rPr>
        <w:t xml:space="preserve"> </w:t>
      </w:r>
      <w:r w:rsidRPr="00B004EE">
        <w:rPr>
          <w:rFonts w:ascii="Tahoma" w:hAnsi="Tahoma" w:cs="Tahoma"/>
          <w:sz w:val="20"/>
          <w:szCs w:val="20"/>
        </w:rPr>
        <w:t>source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souillure</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contamination;</w:t>
      </w:r>
    </w:p>
    <w:p w14:paraId="3FCE8475" w14:textId="3162D46D" w:rsidR="002F24E1" w:rsidRPr="00B004EE" w:rsidRDefault="002F24E1" w:rsidP="00420DDA">
      <w:pPr>
        <w:pStyle w:val="Paragraphedeliste"/>
        <w:numPr>
          <w:ilvl w:val="1"/>
          <w:numId w:val="83"/>
        </w:numPr>
        <w:ind w:left="426"/>
        <w:jc w:val="both"/>
        <w:rPr>
          <w:rFonts w:ascii="Tahoma" w:hAnsi="Tahoma" w:cs="Tahoma"/>
          <w:sz w:val="20"/>
          <w:szCs w:val="20"/>
        </w:rPr>
      </w:pPr>
      <w:proofErr w:type="gramStart"/>
      <w:r w:rsidRPr="00B004EE">
        <w:rPr>
          <w:rFonts w:ascii="Tahoma" w:hAnsi="Tahoma" w:cs="Tahoma"/>
          <w:sz w:val="20"/>
          <w:szCs w:val="20"/>
        </w:rPr>
        <w:t>le</w:t>
      </w:r>
      <w:proofErr w:type="gramEnd"/>
      <w:r w:rsidR="00DB1635" w:rsidRPr="00B004EE">
        <w:rPr>
          <w:rFonts w:ascii="Tahoma" w:hAnsi="Tahoma" w:cs="Tahoma"/>
          <w:sz w:val="20"/>
          <w:szCs w:val="20"/>
        </w:rPr>
        <w:t xml:space="preserve"> </w:t>
      </w:r>
      <w:r w:rsidRPr="00B004EE">
        <w:rPr>
          <w:rFonts w:ascii="Tahoma" w:hAnsi="Tahoma" w:cs="Tahoma"/>
          <w:sz w:val="20"/>
          <w:szCs w:val="20"/>
        </w:rPr>
        <w:t>cas</w:t>
      </w:r>
      <w:r w:rsidR="00DB1635" w:rsidRPr="00B004EE">
        <w:rPr>
          <w:rFonts w:ascii="Tahoma" w:hAnsi="Tahoma" w:cs="Tahoma"/>
          <w:sz w:val="20"/>
          <w:szCs w:val="20"/>
        </w:rPr>
        <w:t xml:space="preserve"> </w:t>
      </w:r>
      <w:r w:rsidRPr="00B004EE">
        <w:rPr>
          <w:rFonts w:ascii="Tahoma" w:hAnsi="Tahoma" w:cs="Tahoma"/>
          <w:sz w:val="20"/>
          <w:szCs w:val="20"/>
        </w:rPr>
        <w:t>échéant,</w:t>
      </w:r>
      <w:r w:rsidR="00DB1635" w:rsidRPr="00B004EE">
        <w:rPr>
          <w:rFonts w:ascii="Tahoma" w:hAnsi="Tahoma" w:cs="Tahoma"/>
          <w:sz w:val="20"/>
          <w:szCs w:val="20"/>
        </w:rPr>
        <w:t xml:space="preserve"> </w:t>
      </w:r>
      <w:r w:rsidRPr="00B004EE">
        <w:rPr>
          <w:rFonts w:ascii="Tahoma" w:hAnsi="Tahoma" w:cs="Tahoma"/>
          <w:sz w:val="20"/>
          <w:szCs w:val="20"/>
        </w:rPr>
        <w:t>d'un</w:t>
      </w:r>
      <w:r w:rsidR="00DB1635" w:rsidRPr="00B004EE">
        <w:rPr>
          <w:rFonts w:ascii="Tahoma" w:hAnsi="Tahoma" w:cs="Tahoma"/>
          <w:sz w:val="20"/>
          <w:szCs w:val="20"/>
        </w:rPr>
        <w:t xml:space="preserve"> </w:t>
      </w:r>
      <w:r w:rsidRPr="00B004EE">
        <w:rPr>
          <w:rFonts w:ascii="Tahoma" w:hAnsi="Tahoma" w:cs="Tahoma"/>
          <w:sz w:val="20"/>
          <w:szCs w:val="20"/>
        </w:rPr>
        <w:t>système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transfert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l'aire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réception</w:t>
      </w:r>
      <w:r w:rsidR="00DB1635" w:rsidRPr="00B004EE">
        <w:rPr>
          <w:rFonts w:ascii="Tahoma" w:hAnsi="Tahoma" w:cs="Tahoma"/>
          <w:sz w:val="20"/>
          <w:szCs w:val="20"/>
        </w:rPr>
        <w:t xml:space="preserve"> </w:t>
      </w:r>
      <w:r w:rsidRPr="00B004EE">
        <w:rPr>
          <w:rFonts w:ascii="Tahoma" w:hAnsi="Tahoma" w:cs="Tahoma"/>
          <w:sz w:val="20"/>
          <w:szCs w:val="20"/>
        </w:rPr>
        <w:t>vers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lieux</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travail,</w:t>
      </w:r>
      <w:r w:rsidR="00DB1635" w:rsidRPr="00B004EE">
        <w:rPr>
          <w:rFonts w:ascii="Tahoma" w:hAnsi="Tahoma" w:cs="Tahoma"/>
          <w:sz w:val="20"/>
          <w:szCs w:val="20"/>
        </w:rPr>
        <w:t xml:space="preserve"> </w:t>
      </w:r>
      <w:r w:rsidRPr="00B004EE">
        <w:rPr>
          <w:rFonts w:ascii="Tahoma" w:hAnsi="Tahoma" w:cs="Tahoma"/>
          <w:sz w:val="20"/>
          <w:szCs w:val="20"/>
        </w:rPr>
        <w:t>conforme</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règles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l'hygiène;</w:t>
      </w:r>
    </w:p>
    <w:p w14:paraId="70BC616E" w14:textId="21227253" w:rsidR="002F24E1" w:rsidRPr="00B004EE" w:rsidRDefault="002F24E1" w:rsidP="00420DDA">
      <w:pPr>
        <w:pStyle w:val="Paragraphedeliste"/>
        <w:numPr>
          <w:ilvl w:val="1"/>
          <w:numId w:val="83"/>
        </w:numPr>
        <w:ind w:left="426"/>
        <w:jc w:val="both"/>
        <w:rPr>
          <w:rFonts w:ascii="Tahoma" w:hAnsi="Tahoma" w:cs="Tahoma"/>
          <w:sz w:val="20"/>
          <w:szCs w:val="20"/>
        </w:rPr>
      </w:pPr>
      <w:proofErr w:type="gramStart"/>
      <w:r w:rsidRPr="00B004EE">
        <w:rPr>
          <w:rFonts w:ascii="Tahoma" w:hAnsi="Tahoma" w:cs="Tahoma"/>
          <w:sz w:val="20"/>
          <w:szCs w:val="20"/>
        </w:rPr>
        <w:t>de</w:t>
      </w:r>
      <w:proofErr w:type="gramEnd"/>
      <w:r w:rsidR="00DB1635" w:rsidRPr="00B004EE">
        <w:rPr>
          <w:rFonts w:ascii="Tahoma" w:hAnsi="Tahoma" w:cs="Tahoma"/>
          <w:sz w:val="20"/>
          <w:szCs w:val="20"/>
        </w:rPr>
        <w:t xml:space="preserve"> </w:t>
      </w:r>
      <w:r w:rsidRPr="00B004EE">
        <w:rPr>
          <w:rFonts w:ascii="Tahoma" w:hAnsi="Tahoma" w:cs="Tahoma"/>
          <w:sz w:val="20"/>
          <w:szCs w:val="20"/>
        </w:rPr>
        <w:t>lieux</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travail</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dimensions</w:t>
      </w:r>
      <w:r w:rsidR="00DB1635" w:rsidRPr="00B004EE">
        <w:rPr>
          <w:rFonts w:ascii="Tahoma" w:hAnsi="Tahoma" w:cs="Tahoma"/>
          <w:sz w:val="20"/>
          <w:szCs w:val="20"/>
        </w:rPr>
        <w:t xml:space="preserve"> </w:t>
      </w:r>
      <w:r w:rsidRPr="00B004EE">
        <w:rPr>
          <w:rFonts w:ascii="Tahoma" w:hAnsi="Tahoma" w:cs="Tahoma"/>
          <w:sz w:val="20"/>
          <w:szCs w:val="20"/>
        </w:rPr>
        <w:t>suffisantes</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permettre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préparation</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transformation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conditions</w:t>
      </w:r>
      <w:r w:rsidR="00DB1635" w:rsidRPr="00B004EE">
        <w:rPr>
          <w:rFonts w:ascii="Tahoma" w:hAnsi="Tahoma" w:cs="Tahoma"/>
          <w:sz w:val="20"/>
          <w:szCs w:val="20"/>
        </w:rPr>
        <w:t xml:space="preserve"> </w:t>
      </w:r>
      <w:r w:rsidRPr="00B004EE">
        <w:rPr>
          <w:rFonts w:ascii="Tahoma" w:hAnsi="Tahoma" w:cs="Tahoma"/>
          <w:sz w:val="20"/>
          <w:szCs w:val="20"/>
        </w:rPr>
        <w:t>d'hygiène</w:t>
      </w:r>
      <w:r w:rsidR="00DB1635" w:rsidRPr="00B004EE">
        <w:rPr>
          <w:rFonts w:ascii="Tahoma" w:hAnsi="Tahoma" w:cs="Tahoma"/>
          <w:sz w:val="20"/>
          <w:szCs w:val="20"/>
        </w:rPr>
        <w:t xml:space="preserve"> </w:t>
      </w:r>
      <w:r w:rsidRPr="00B004EE">
        <w:rPr>
          <w:rFonts w:ascii="Tahoma" w:hAnsi="Tahoma" w:cs="Tahoma"/>
          <w:sz w:val="20"/>
          <w:szCs w:val="20"/>
        </w:rPr>
        <w:t>convenables.</w:t>
      </w:r>
      <w:r w:rsidR="00DB1635" w:rsidRPr="00B004EE">
        <w:rPr>
          <w:rFonts w:ascii="Tahoma" w:hAnsi="Tahoma" w:cs="Tahoma"/>
          <w:sz w:val="20"/>
          <w:szCs w:val="20"/>
        </w:rPr>
        <w:t xml:space="preserve"> </w:t>
      </w:r>
      <w:r w:rsidRPr="00B004EE">
        <w:rPr>
          <w:rFonts w:ascii="Tahoma" w:hAnsi="Tahoma" w:cs="Tahoma"/>
          <w:sz w:val="20"/>
          <w:szCs w:val="20"/>
        </w:rPr>
        <w:t>Ils</w:t>
      </w:r>
      <w:r w:rsidR="00DB1635" w:rsidRPr="00B004EE">
        <w:rPr>
          <w:rFonts w:ascii="Tahoma" w:hAnsi="Tahoma" w:cs="Tahoma"/>
          <w:sz w:val="20"/>
          <w:szCs w:val="20"/>
        </w:rPr>
        <w:t xml:space="preserve"> </w:t>
      </w:r>
      <w:r w:rsidRPr="00B004EE">
        <w:rPr>
          <w:rFonts w:ascii="Tahoma" w:hAnsi="Tahoma" w:cs="Tahoma"/>
          <w:sz w:val="20"/>
          <w:szCs w:val="20"/>
        </w:rPr>
        <w:t>doivent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conçus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disposés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façon</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éviter</w:t>
      </w:r>
      <w:r w:rsidR="00DB1635" w:rsidRPr="00B004EE">
        <w:rPr>
          <w:rFonts w:ascii="Tahoma" w:hAnsi="Tahoma" w:cs="Tahoma"/>
          <w:sz w:val="20"/>
          <w:szCs w:val="20"/>
        </w:rPr>
        <w:t xml:space="preserve"> </w:t>
      </w:r>
      <w:r w:rsidRPr="00B004EE">
        <w:rPr>
          <w:rFonts w:ascii="Tahoma" w:hAnsi="Tahoma" w:cs="Tahoma"/>
          <w:sz w:val="20"/>
          <w:szCs w:val="20"/>
        </w:rPr>
        <w:t>toute</w:t>
      </w:r>
      <w:r w:rsidR="00DB1635" w:rsidRPr="00B004EE">
        <w:rPr>
          <w:rFonts w:ascii="Tahoma" w:hAnsi="Tahoma" w:cs="Tahoma"/>
          <w:sz w:val="20"/>
          <w:szCs w:val="20"/>
        </w:rPr>
        <w:t xml:space="preserve"> </w:t>
      </w:r>
      <w:r w:rsidRPr="00B004EE">
        <w:rPr>
          <w:rFonts w:ascii="Tahoma" w:hAnsi="Tahoma" w:cs="Tahoma"/>
          <w:sz w:val="20"/>
          <w:szCs w:val="20"/>
        </w:rPr>
        <w:t>contamination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lieux</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travail</w:t>
      </w:r>
      <w:r w:rsidR="00DB1635" w:rsidRPr="00B004EE">
        <w:rPr>
          <w:rFonts w:ascii="Tahoma" w:hAnsi="Tahoma" w:cs="Tahoma"/>
          <w:sz w:val="20"/>
          <w:szCs w:val="20"/>
        </w:rPr>
        <w:t xml:space="preserve"> </w:t>
      </w:r>
      <w:r w:rsidRPr="00B004EE">
        <w:rPr>
          <w:rFonts w:ascii="Tahoma" w:hAnsi="Tahoma" w:cs="Tahoma"/>
          <w:sz w:val="20"/>
          <w:szCs w:val="20"/>
        </w:rPr>
        <w:t>doivent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séparés</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locaux</w:t>
      </w:r>
      <w:r w:rsidR="00DB1635" w:rsidRPr="00B004EE">
        <w:rPr>
          <w:rFonts w:ascii="Tahoma" w:hAnsi="Tahoma" w:cs="Tahoma"/>
          <w:sz w:val="20"/>
          <w:szCs w:val="20"/>
        </w:rPr>
        <w:t xml:space="preserve"> </w:t>
      </w:r>
      <w:r w:rsidRPr="00B004EE">
        <w:rPr>
          <w:rFonts w:ascii="Tahoma" w:hAnsi="Tahoma" w:cs="Tahoma"/>
          <w:sz w:val="20"/>
          <w:szCs w:val="20"/>
        </w:rPr>
        <w:t>réservés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l'entreposage</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matériel</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conditionnement</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d'emballage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ceux</w:t>
      </w:r>
      <w:r w:rsidR="00DB1635" w:rsidRPr="00B004EE">
        <w:rPr>
          <w:rFonts w:ascii="Tahoma" w:hAnsi="Tahoma" w:cs="Tahoma"/>
          <w:sz w:val="20"/>
          <w:szCs w:val="20"/>
        </w:rPr>
        <w:t xml:space="preserve"> </w:t>
      </w:r>
      <w:r w:rsidRPr="00B004EE">
        <w:rPr>
          <w:rFonts w:ascii="Tahoma" w:hAnsi="Tahoma" w:cs="Tahoma"/>
          <w:sz w:val="20"/>
          <w:szCs w:val="20"/>
        </w:rPr>
        <w:t>réservés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l'entreposage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finis.</w:t>
      </w:r>
      <w:r w:rsidR="00DB1635" w:rsidRPr="00B004EE">
        <w:rPr>
          <w:rFonts w:ascii="Tahoma" w:hAnsi="Tahoma" w:cs="Tahoma"/>
          <w:sz w:val="20"/>
          <w:szCs w:val="20"/>
        </w:rPr>
        <w:t xml:space="preserve"> </w:t>
      </w:r>
      <w:r w:rsidRPr="00B004EE">
        <w:rPr>
          <w:rFonts w:ascii="Tahoma" w:hAnsi="Tahoma" w:cs="Tahoma"/>
          <w:sz w:val="20"/>
          <w:szCs w:val="20"/>
        </w:rPr>
        <w:t>Ces</w:t>
      </w:r>
      <w:r w:rsidR="00DB1635" w:rsidRPr="00B004EE">
        <w:rPr>
          <w:rFonts w:ascii="Tahoma" w:hAnsi="Tahoma" w:cs="Tahoma"/>
          <w:sz w:val="20"/>
          <w:szCs w:val="20"/>
        </w:rPr>
        <w:t xml:space="preserve"> </w:t>
      </w:r>
      <w:r w:rsidRPr="00B004EE">
        <w:rPr>
          <w:rFonts w:ascii="Tahoma" w:hAnsi="Tahoma" w:cs="Tahoma"/>
          <w:sz w:val="20"/>
          <w:szCs w:val="20"/>
        </w:rPr>
        <w:t>derniers</w:t>
      </w:r>
      <w:r w:rsidR="00DB1635" w:rsidRPr="00B004EE">
        <w:rPr>
          <w:rFonts w:ascii="Tahoma" w:hAnsi="Tahoma" w:cs="Tahoma"/>
          <w:sz w:val="20"/>
          <w:szCs w:val="20"/>
        </w:rPr>
        <w:t xml:space="preserve"> </w:t>
      </w:r>
      <w:r w:rsidRPr="00B004EE">
        <w:rPr>
          <w:rFonts w:ascii="Tahoma" w:hAnsi="Tahoma" w:cs="Tahoma"/>
          <w:sz w:val="20"/>
          <w:szCs w:val="20"/>
        </w:rPr>
        <w:t>lieux</w:t>
      </w:r>
      <w:r w:rsidR="00DB1635" w:rsidRPr="00B004EE">
        <w:rPr>
          <w:rFonts w:ascii="Tahoma" w:hAnsi="Tahoma" w:cs="Tahoma"/>
          <w:sz w:val="20"/>
          <w:szCs w:val="20"/>
        </w:rPr>
        <w:t xml:space="preserve"> </w:t>
      </w:r>
      <w:r w:rsidRPr="00B004EE">
        <w:rPr>
          <w:rFonts w:ascii="Tahoma" w:hAnsi="Tahoma" w:cs="Tahoma"/>
          <w:sz w:val="20"/>
          <w:szCs w:val="20"/>
        </w:rPr>
        <w:t>doivent</w:t>
      </w:r>
      <w:r w:rsidR="00DB1635" w:rsidRPr="00B004EE">
        <w:rPr>
          <w:rFonts w:ascii="Tahoma" w:hAnsi="Tahoma" w:cs="Tahoma"/>
          <w:sz w:val="20"/>
          <w:szCs w:val="20"/>
        </w:rPr>
        <w:t xml:space="preserve"> </w:t>
      </w:r>
      <w:r w:rsidRPr="00B004EE">
        <w:rPr>
          <w:rFonts w:ascii="Tahoma" w:hAnsi="Tahoma" w:cs="Tahoma"/>
          <w:sz w:val="20"/>
          <w:szCs w:val="20"/>
        </w:rPr>
        <w:t>avoir</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dimensions</w:t>
      </w:r>
      <w:r w:rsidR="00DB1635" w:rsidRPr="00B004EE">
        <w:rPr>
          <w:rFonts w:ascii="Tahoma" w:hAnsi="Tahoma" w:cs="Tahoma"/>
          <w:sz w:val="20"/>
          <w:szCs w:val="20"/>
        </w:rPr>
        <w:t xml:space="preserve"> </w:t>
      </w:r>
      <w:r w:rsidRPr="00B004EE">
        <w:rPr>
          <w:rFonts w:ascii="Tahoma" w:hAnsi="Tahoma" w:cs="Tahoma"/>
          <w:sz w:val="20"/>
          <w:szCs w:val="20"/>
        </w:rPr>
        <w:t>suffisantes,</w:t>
      </w:r>
      <w:r w:rsidR="00DB1635" w:rsidRPr="00B004EE">
        <w:rPr>
          <w:rFonts w:ascii="Tahoma" w:hAnsi="Tahoma" w:cs="Tahoma"/>
          <w:sz w:val="20"/>
          <w:szCs w:val="20"/>
        </w:rPr>
        <w:t xml:space="preserve"> </w:t>
      </w:r>
      <w:r w:rsidRPr="00B004EE">
        <w:rPr>
          <w:rFonts w:ascii="Tahoma" w:hAnsi="Tahoma" w:cs="Tahoma"/>
          <w:sz w:val="20"/>
          <w:szCs w:val="20"/>
        </w:rPr>
        <w:t>doivent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facilement</w:t>
      </w:r>
      <w:r w:rsidR="00DB1635" w:rsidRPr="00B004EE">
        <w:rPr>
          <w:rFonts w:ascii="Tahoma" w:hAnsi="Tahoma" w:cs="Tahoma"/>
          <w:sz w:val="20"/>
          <w:szCs w:val="20"/>
        </w:rPr>
        <w:t xml:space="preserve"> </w:t>
      </w:r>
      <w:r w:rsidRPr="00B004EE">
        <w:rPr>
          <w:rFonts w:ascii="Tahoma" w:hAnsi="Tahoma" w:cs="Tahoma"/>
          <w:sz w:val="20"/>
          <w:szCs w:val="20"/>
        </w:rPr>
        <w:t>nettoyables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doivent</w:t>
      </w:r>
      <w:r w:rsidR="00DB1635" w:rsidRPr="00B004EE">
        <w:rPr>
          <w:rFonts w:ascii="Tahoma" w:hAnsi="Tahoma" w:cs="Tahoma"/>
          <w:sz w:val="20"/>
          <w:szCs w:val="20"/>
        </w:rPr>
        <w:t xml:space="preserve"> </w:t>
      </w:r>
      <w:r w:rsidRPr="00B004EE">
        <w:rPr>
          <w:rFonts w:ascii="Tahoma" w:hAnsi="Tahoma" w:cs="Tahoma"/>
          <w:sz w:val="20"/>
          <w:szCs w:val="20"/>
        </w:rPr>
        <w:t>comporter</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cale</w:t>
      </w:r>
      <w:r w:rsidR="00DB1635" w:rsidRPr="00B004EE">
        <w:rPr>
          <w:rFonts w:ascii="Tahoma" w:hAnsi="Tahoma" w:cs="Tahoma"/>
          <w:sz w:val="20"/>
          <w:szCs w:val="20"/>
        </w:rPr>
        <w:t xml:space="preserve"> </w:t>
      </w:r>
      <w:r w:rsidRPr="00B004EE">
        <w:rPr>
          <w:rFonts w:ascii="Tahoma" w:hAnsi="Tahoma" w:cs="Tahoma"/>
          <w:sz w:val="20"/>
          <w:szCs w:val="20"/>
        </w:rPr>
        <w:t>spéciale</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l'entreposage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sous-produits</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cas</w:t>
      </w:r>
      <w:r w:rsidR="00DB1635" w:rsidRPr="00B004EE">
        <w:rPr>
          <w:rFonts w:ascii="Tahoma" w:hAnsi="Tahoma" w:cs="Tahoma"/>
          <w:sz w:val="20"/>
          <w:szCs w:val="20"/>
        </w:rPr>
        <w:t xml:space="preserve"> </w:t>
      </w:r>
      <w:r w:rsidRPr="00B004EE">
        <w:rPr>
          <w:rFonts w:ascii="Tahoma" w:hAnsi="Tahoma" w:cs="Tahoma"/>
          <w:sz w:val="20"/>
          <w:szCs w:val="20"/>
        </w:rPr>
        <w:t>où</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unité</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traitement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déchets</w:t>
      </w:r>
      <w:r w:rsidR="00DB1635" w:rsidRPr="00B004EE">
        <w:rPr>
          <w:rFonts w:ascii="Tahoma" w:hAnsi="Tahoma" w:cs="Tahoma"/>
          <w:sz w:val="20"/>
          <w:szCs w:val="20"/>
        </w:rPr>
        <w:t xml:space="preserve"> </w:t>
      </w:r>
      <w:r w:rsidRPr="00B004EE">
        <w:rPr>
          <w:rFonts w:ascii="Tahoma" w:hAnsi="Tahoma" w:cs="Tahoma"/>
          <w:sz w:val="20"/>
          <w:szCs w:val="20"/>
        </w:rPr>
        <w:t>fonctionne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000942DD" w:rsidRPr="00B004EE">
        <w:rPr>
          <w:rFonts w:ascii="Tahoma" w:hAnsi="Tahoma" w:cs="Tahoma"/>
          <w:sz w:val="20"/>
          <w:szCs w:val="20"/>
        </w:rPr>
        <w:t>bord ;</w:t>
      </w:r>
    </w:p>
    <w:p w14:paraId="05F2AC81" w14:textId="38590381" w:rsidR="002F24E1" w:rsidRPr="00B004EE" w:rsidRDefault="002F24E1" w:rsidP="00420DDA">
      <w:pPr>
        <w:pStyle w:val="Paragraphedeliste"/>
        <w:numPr>
          <w:ilvl w:val="1"/>
          <w:numId w:val="83"/>
        </w:numPr>
        <w:ind w:left="426"/>
        <w:jc w:val="both"/>
        <w:rPr>
          <w:rFonts w:ascii="Tahoma" w:hAnsi="Tahoma" w:cs="Tahoma"/>
          <w:sz w:val="20"/>
          <w:szCs w:val="20"/>
        </w:rPr>
      </w:pPr>
      <w:proofErr w:type="gramStart"/>
      <w:r w:rsidRPr="00B004EE">
        <w:rPr>
          <w:rFonts w:ascii="Tahoma" w:hAnsi="Tahoma" w:cs="Tahoma"/>
          <w:sz w:val="20"/>
          <w:szCs w:val="20"/>
        </w:rPr>
        <w:t>des</w:t>
      </w:r>
      <w:proofErr w:type="gramEnd"/>
      <w:r w:rsidR="00DB1635" w:rsidRPr="00B004EE">
        <w:rPr>
          <w:rFonts w:ascii="Tahoma" w:hAnsi="Tahoma" w:cs="Tahoma"/>
          <w:sz w:val="20"/>
          <w:szCs w:val="20"/>
        </w:rPr>
        <w:t xml:space="preserve"> </w:t>
      </w:r>
      <w:r w:rsidRPr="00B004EE">
        <w:rPr>
          <w:rFonts w:ascii="Tahoma" w:hAnsi="Tahoma" w:cs="Tahoma"/>
          <w:sz w:val="20"/>
          <w:szCs w:val="20"/>
        </w:rPr>
        <w:t>équipements</w:t>
      </w:r>
      <w:r w:rsidR="00DB1635" w:rsidRPr="00B004EE">
        <w:rPr>
          <w:rFonts w:ascii="Tahoma" w:hAnsi="Tahoma" w:cs="Tahoma"/>
          <w:sz w:val="20"/>
          <w:szCs w:val="20"/>
        </w:rPr>
        <w:t xml:space="preserve"> </w:t>
      </w:r>
      <w:r w:rsidRPr="00B004EE">
        <w:rPr>
          <w:rFonts w:ascii="Tahoma" w:hAnsi="Tahoma" w:cs="Tahoma"/>
          <w:sz w:val="20"/>
          <w:szCs w:val="20"/>
        </w:rPr>
        <w:t>spéciaux</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évacuer</w:t>
      </w:r>
      <w:r w:rsidR="00DB1635" w:rsidRPr="00B004EE">
        <w:rPr>
          <w:rFonts w:ascii="Tahoma" w:hAnsi="Tahoma" w:cs="Tahoma"/>
          <w:sz w:val="20"/>
          <w:szCs w:val="20"/>
        </w:rPr>
        <w:t xml:space="preserve"> </w:t>
      </w:r>
      <w:r w:rsidRPr="00B004EE">
        <w:rPr>
          <w:rFonts w:ascii="Tahoma" w:hAnsi="Tahoma" w:cs="Tahoma"/>
          <w:sz w:val="20"/>
          <w:szCs w:val="20"/>
        </w:rPr>
        <w:t>soit</w:t>
      </w:r>
      <w:r w:rsidR="00DB1635" w:rsidRPr="00B004EE">
        <w:rPr>
          <w:rFonts w:ascii="Tahoma" w:hAnsi="Tahoma" w:cs="Tahoma"/>
          <w:sz w:val="20"/>
          <w:szCs w:val="20"/>
        </w:rPr>
        <w:t xml:space="preserve"> </w:t>
      </w:r>
      <w:r w:rsidRPr="00B004EE">
        <w:rPr>
          <w:rFonts w:ascii="Tahoma" w:hAnsi="Tahoma" w:cs="Tahoma"/>
          <w:sz w:val="20"/>
          <w:szCs w:val="20"/>
        </w:rPr>
        <w:t>directement,</w:t>
      </w:r>
      <w:r w:rsidR="00DB1635" w:rsidRPr="00B004EE">
        <w:rPr>
          <w:rFonts w:ascii="Tahoma" w:hAnsi="Tahoma" w:cs="Tahoma"/>
          <w:sz w:val="20"/>
          <w:szCs w:val="20"/>
        </w:rPr>
        <w:t xml:space="preserve"> </w:t>
      </w:r>
      <w:r w:rsidRPr="00B004EE">
        <w:rPr>
          <w:rFonts w:ascii="Tahoma" w:hAnsi="Tahoma" w:cs="Tahoma"/>
          <w:sz w:val="20"/>
          <w:szCs w:val="20"/>
        </w:rPr>
        <w:t>soit,</w:t>
      </w:r>
      <w:r w:rsidR="00DB1635" w:rsidRPr="00B004EE">
        <w:rPr>
          <w:rFonts w:ascii="Tahoma" w:hAnsi="Tahoma" w:cs="Tahoma"/>
          <w:sz w:val="20"/>
          <w:szCs w:val="20"/>
        </w:rPr>
        <w:t xml:space="preserve"> </w:t>
      </w:r>
      <w:r w:rsidRPr="00B004EE">
        <w:rPr>
          <w:rFonts w:ascii="Tahoma" w:hAnsi="Tahoma" w:cs="Tahoma"/>
          <w:sz w:val="20"/>
          <w:szCs w:val="20"/>
        </w:rPr>
        <w:t>si</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conditions</w:t>
      </w:r>
      <w:r w:rsidR="00DB1635" w:rsidRPr="00B004EE">
        <w:rPr>
          <w:rFonts w:ascii="Tahoma" w:hAnsi="Tahoma" w:cs="Tahoma"/>
          <w:sz w:val="20"/>
          <w:szCs w:val="20"/>
        </w:rPr>
        <w:t xml:space="preserve"> </w:t>
      </w:r>
      <w:r w:rsidRPr="00B004EE">
        <w:rPr>
          <w:rFonts w:ascii="Tahoma" w:hAnsi="Tahoma" w:cs="Tahoma"/>
          <w:sz w:val="20"/>
          <w:szCs w:val="20"/>
        </w:rPr>
        <w:t>l'exigent,</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cuve</w:t>
      </w:r>
      <w:r w:rsidR="00DB1635" w:rsidRPr="00B004EE">
        <w:rPr>
          <w:rFonts w:ascii="Tahoma" w:hAnsi="Tahoma" w:cs="Tahoma"/>
          <w:sz w:val="20"/>
          <w:szCs w:val="20"/>
        </w:rPr>
        <w:t xml:space="preserve"> </w:t>
      </w:r>
      <w:r w:rsidRPr="00B004EE">
        <w:rPr>
          <w:rFonts w:ascii="Tahoma" w:hAnsi="Tahoma" w:cs="Tahoma"/>
          <w:sz w:val="20"/>
          <w:szCs w:val="20"/>
        </w:rPr>
        <w:t>étanche</w:t>
      </w:r>
      <w:r w:rsidR="00DB1635" w:rsidRPr="00B004EE">
        <w:rPr>
          <w:rFonts w:ascii="Tahoma" w:hAnsi="Tahoma" w:cs="Tahoma"/>
          <w:sz w:val="20"/>
          <w:szCs w:val="20"/>
        </w:rPr>
        <w:t xml:space="preserve"> </w:t>
      </w:r>
      <w:r w:rsidRPr="00B004EE">
        <w:rPr>
          <w:rFonts w:ascii="Tahoma" w:hAnsi="Tahoma" w:cs="Tahoma"/>
          <w:sz w:val="20"/>
          <w:szCs w:val="20"/>
        </w:rPr>
        <w:t>spéciale,</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déchets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impropres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consommation</w:t>
      </w:r>
      <w:r w:rsidR="00DB1635" w:rsidRPr="00B004EE">
        <w:rPr>
          <w:rFonts w:ascii="Tahoma" w:hAnsi="Tahoma" w:cs="Tahoma"/>
          <w:sz w:val="20"/>
          <w:szCs w:val="20"/>
        </w:rPr>
        <w:t xml:space="preserve"> </w:t>
      </w:r>
      <w:r w:rsidRPr="00B004EE">
        <w:rPr>
          <w:rFonts w:ascii="Tahoma" w:hAnsi="Tahoma" w:cs="Tahoma"/>
          <w:sz w:val="20"/>
          <w:szCs w:val="20"/>
        </w:rPr>
        <w:t>humaine.</w:t>
      </w:r>
      <w:r w:rsidR="00DB1635" w:rsidRPr="00B004EE">
        <w:rPr>
          <w:rFonts w:ascii="Tahoma" w:hAnsi="Tahoma" w:cs="Tahoma"/>
          <w:sz w:val="20"/>
          <w:szCs w:val="20"/>
        </w:rPr>
        <w:t xml:space="preserve"> </w:t>
      </w:r>
      <w:r w:rsidRPr="00B004EE">
        <w:rPr>
          <w:rFonts w:ascii="Tahoma" w:hAnsi="Tahoma" w:cs="Tahoma"/>
          <w:sz w:val="20"/>
          <w:szCs w:val="20"/>
        </w:rPr>
        <w:t>Si</w:t>
      </w:r>
      <w:r w:rsidR="00DB1635" w:rsidRPr="00B004EE">
        <w:rPr>
          <w:rFonts w:ascii="Tahoma" w:hAnsi="Tahoma" w:cs="Tahoma"/>
          <w:sz w:val="20"/>
          <w:szCs w:val="20"/>
        </w:rPr>
        <w:t xml:space="preserve"> </w:t>
      </w:r>
      <w:r w:rsidRPr="00B004EE">
        <w:rPr>
          <w:rFonts w:ascii="Tahoma" w:hAnsi="Tahoma" w:cs="Tahoma"/>
          <w:sz w:val="20"/>
          <w:szCs w:val="20"/>
        </w:rPr>
        <w:t>ces</w:t>
      </w:r>
      <w:r w:rsidR="00DB1635" w:rsidRPr="00B004EE">
        <w:rPr>
          <w:rFonts w:ascii="Tahoma" w:hAnsi="Tahoma" w:cs="Tahoma"/>
          <w:sz w:val="20"/>
          <w:szCs w:val="20"/>
        </w:rPr>
        <w:t xml:space="preserve"> </w:t>
      </w:r>
      <w:r w:rsidRPr="00B004EE">
        <w:rPr>
          <w:rFonts w:ascii="Tahoma" w:hAnsi="Tahoma" w:cs="Tahoma"/>
          <w:sz w:val="20"/>
          <w:szCs w:val="20"/>
        </w:rPr>
        <w:t>déchets</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stockés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traités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bord</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vue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leur</w:t>
      </w:r>
      <w:r w:rsidR="00DB1635" w:rsidRPr="00B004EE">
        <w:rPr>
          <w:rFonts w:ascii="Tahoma" w:hAnsi="Tahoma" w:cs="Tahoma"/>
          <w:sz w:val="20"/>
          <w:szCs w:val="20"/>
        </w:rPr>
        <w:t xml:space="preserve"> </w:t>
      </w:r>
      <w:r w:rsidRPr="00B004EE">
        <w:rPr>
          <w:rFonts w:ascii="Tahoma" w:hAnsi="Tahoma" w:cs="Tahoma"/>
          <w:sz w:val="20"/>
          <w:szCs w:val="20"/>
        </w:rPr>
        <w:t>assainissement,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locaux</w:t>
      </w:r>
      <w:r w:rsidR="00DB1635" w:rsidRPr="00B004EE">
        <w:rPr>
          <w:rFonts w:ascii="Tahoma" w:hAnsi="Tahoma" w:cs="Tahoma"/>
          <w:sz w:val="20"/>
          <w:szCs w:val="20"/>
        </w:rPr>
        <w:t xml:space="preserve"> </w:t>
      </w:r>
      <w:r w:rsidRPr="00B004EE">
        <w:rPr>
          <w:rFonts w:ascii="Tahoma" w:hAnsi="Tahoma" w:cs="Tahoma"/>
          <w:sz w:val="20"/>
          <w:szCs w:val="20"/>
        </w:rPr>
        <w:t>séparés</w:t>
      </w:r>
      <w:r w:rsidR="00DB1635" w:rsidRPr="00B004EE">
        <w:rPr>
          <w:rFonts w:ascii="Tahoma" w:hAnsi="Tahoma" w:cs="Tahoma"/>
          <w:sz w:val="20"/>
          <w:szCs w:val="20"/>
        </w:rPr>
        <w:t xml:space="preserve"> </w:t>
      </w:r>
      <w:r w:rsidRPr="00B004EE">
        <w:rPr>
          <w:rFonts w:ascii="Tahoma" w:hAnsi="Tahoma" w:cs="Tahoma"/>
          <w:sz w:val="20"/>
          <w:szCs w:val="20"/>
        </w:rPr>
        <w:t>doivent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prévus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cet</w:t>
      </w:r>
      <w:r w:rsidR="00DB1635" w:rsidRPr="00B004EE">
        <w:rPr>
          <w:rFonts w:ascii="Tahoma" w:hAnsi="Tahoma" w:cs="Tahoma"/>
          <w:sz w:val="20"/>
          <w:szCs w:val="20"/>
        </w:rPr>
        <w:t xml:space="preserve"> </w:t>
      </w:r>
      <w:r w:rsidR="000942DD" w:rsidRPr="00B004EE">
        <w:rPr>
          <w:rFonts w:ascii="Tahoma" w:hAnsi="Tahoma" w:cs="Tahoma"/>
          <w:sz w:val="20"/>
          <w:szCs w:val="20"/>
        </w:rPr>
        <w:t>usage ;</w:t>
      </w:r>
    </w:p>
    <w:p w14:paraId="49D087EF" w14:textId="3E339D09" w:rsidR="002F24E1" w:rsidRPr="00B004EE" w:rsidRDefault="002F24E1" w:rsidP="00420DDA">
      <w:pPr>
        <w:pStyle w:val="Paragraphedeliste"/>
        <w:numPr>
          <w:ilvl w:val="1"/>
          <w:numId w:val="83"/>
        </w:numPr>
        <w:ind w:left="426"/>
        <w:jc w:val="both"/>
        <w:rPr>
          <w:rFonts w:ascii="Tahoma" w:hAnsi="Tahoma" w:cs="Tahoma"/>
          <w:sz w:val="20"/>
          <w:szCs w:val="20"/>
        </w:rPr>
      </w:pPr>
      <w:proofErr w:type="gramStart"/>
      <w:r w:rsidRPr="00B004EE">
        <w:rPr>
          <w:rFonts w:ascii="Tahoma" w:hAnsi="Tahoma" w:cs="Tahoma"/>
          <w:sz w:val="20"/>
          <w:szCs w:val="20"/>
        </w:rPr>
        <w:t>d'une</w:t>
      </w:r>
      <w:proofErr w:type="gramEnd"/>
      <w:r w:rsidR="00DB1635" w:rsidRPr="00B004EE">
        <w:rPr>
          <w:rFonts w:ascii="Tahoma" w:hAnsi="Tahoma" w:cs="Tahoma"/>
          <w:sz w:val="20"/>
          <w:szCs w:val="20"/>
        </w:rPr>
        <w:t xml:space="preserve"> </w:t>
      </w:r>
      <w:r w:rsidRPr="00B004EE">
        <w:rPr>
          <w:rFonts w:ascii="Tahoma" w:hAnsi="Tahoma" w:cs="Tahoma"/>
          <w:sz w:val="20"/>
          <w:szCs w:val="20"/>
        </w:rPr>
        <w:t>installation</w:t>
      </w:r>
      <w:r w:rsidR="00DB1635" w:rsidRPr="00B004EE">
        <w:rPr>
          <w:rFonts w:ascii="Tahoma" w:hAnsi="Tahoma" w:cs="Tahoma"/>
          <w:sz w:val="20"/>
          <w:szCs w:val="20"/>
        </w:rPr>
        <w:t xml:space="preserve"> </w:t>
      </w:r>
      <w:r w:rsidRPr="00B004EE">
        <w:rPr>
          <w:rFonts w:ascii="Tahoma" w:hAnsi="Tahoma" w:cs="Tahoma"/>
          <w:sz w:val="20"/>
          <w:szCs w:val="20"/>
        </w:rPr>
        <w:t>permettant</w:t>
      </w:r>
      <w:r w:rsidR="00DB1635" w:rsidRPr="00B004EE">
        <w:rPr>
          <w:rFonts w:ascii="Tahoma" w:hAnsi="Tahoma" w:cs="Tahoma"/>
          <w:sz w:val="20"/>
          <w:szCs w:val="20"/>
        </w:rPr>
        <w:t xml:space="preserve"> </w:t>
      </w:r>
      <w:r w:rsidRPr="00B004EE">
        <w:rPr>
          <w:rFonts w:ascii="Tahoma" w:hAnsi="Tahoma" w:cs="Tahoma"/>
          <w:sz w:val="20"/>
          <w:szCs w:val="20"/>
        </w:rPr>
        <w:t>l'approvisionnement</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eau</w:t>
      </w:r>
      <w:r w:rsidR="00DB1635" w:rsidRPr="00B004EE">
        <w:rPr>
          <w:rFonts w:ascii="Tahoma" w:hAnsi="Tahoma" w:cs="Tahoma"/>
          <w:sz w:val="20"/>
          <w:szCs w:val="20"/>
        </w:rPr>
        <w:t xml:space="preserve"> </w:t>
      </w:r>
      <w:r w:rsidRPr="00B004EE">
        <w:rPr>
          <w:rFonts w:ascii="Tahoma" w:hAnsi="Tahoma" w:cs="Tahoma"/>
          <w:sz w:val="20"/>
          <w:szCs w:val="20"/>
        </w:rPr>
        <w:t>potable,</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eau</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mer</w:t>
      </w:r>
      <w:r w:rsidR="00DB1635" w:rsidRPr="00B004EE">
        <w:rPr>
          <w:rFonts w:ascii="Tahoma" w:hAnsi="Tahoma" w:cs="Tahoma"/>
          <w:sz w:val="20"/>
          <w:szCs w:val="20"/>
        </w:rPr>
        <w:t xml:space="preserve"> </w:t>
      </w:r>
      <w:r w:rsidRPr="00B004EE">
        <w:rPr>
          <w:rFonts w:ascii="Tahoma" w:hAnsi="Tahoma" w:cs="Tahoma"/>
          <w:sz w:val="20"/>
          <w:szCs w:val="20"/>
        </w:rPr>
        <w:t>propre</w:t>
      </w:r>
      <w:r w:rsidR="00DB1635" w:rsidRPr="00B004EE">
        <w:rPr>
          <w:rFonts w:ascii="Tahoma" w:hAnsi="Tahoma" w:cs="Tahoma"/>
          <w:sz w:val="20"/>
          <w:szCs w:val="20"/>
        </w:rPr>
        <w:t xml:space="preserve"> </w:t>
      </w:r>
      <w:r w:rsidRPr="00B004EE">
        <w:rPr>
          <w:rFonts w:ascii="Tahoma" w:hAnsi="Tahoma" w:cs="Tahoma"/>
          <w:sz w:val="20"/>
          <w:szCs w:val="20"/>
        </w:rPr>
        <w:t>sous</w:t>
      </w:r>
      <w:r w:rsidR="00DB1635" w:rsidRPr="00B004EE">
        <w:rPr>
          <w:rFonts w:ascii="Tahoma" w:hAnsi="Tahoma" w:cs="Tahoma"/>
          <w:sz w:val="20"/>
          <w:szCs w:val="20"/>
        </w:rPr>
        <w:t xml:space="preserve"> </w:t>
      </w:r>
      <w:r w:rsidRPr="00B004EE">
        <w:rPr>
          <w:rFonts w:ascii="Tahoma" w:hAnsi="Tahoma" w:cs="Tahoma"/>
          <w:sz w:val="20"/>
          <w:szCs w:val="20"/>
        </w:rPr>
        <w:t>pression.</w:t>
      </w:r>
      <w:r w:rsidR="00DB1635" w:rsidRPr="00B004EE">
        <w:rPr>
          <w:rFonts w:ascii="Tahoma" w:hAnsi="Tahoma" w:cs="Tahoma"/>
          <w:sz w:val="20"/>
          <w:szCs w:val="20"/>
        </w:rPr>
        <w:t xml:space="preserve"> </w:t>
      </w:r>
      <w:r w:rsidRPr="00B004EE">
        <w:rPr>
          <w:rFonts w:ascii="Tahoma" w:hAnsi="Tahoma" w:cs="Tahoma"/>
          <w:sz w:val="20"/>
          <w:szCs w:val="20"/>
        </w:rPr>
        <w:t>L'orifice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pompage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l'eau</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mer</w:t>
      </w:r>
      <w:r w:rsidR="00DB1635" w:rsidRPr="00B004EE">
        <w:rPr>
          <w:rFonts w:ascii="Tahoma" w:hAnsi="Tahoma" w:cs="Tahoma"/>
          <w:sz w:val="20"/>
          <w:szCs w:val="20"/>
        </w:rPr>
        <w:t xml:space="preserve"> </w:t>
      </w:r>
      <w:r w:rsidRPr="00B004EE">
        <w:rPr>
          <w:rFonts w:ascii="Tahoma" w:hAnsi="Tahoma" w:cs="Tahoma"/>
          <w:sz w:val="20"/>
          <w:szCs w:val="20"/>
        </w:rPr>
        <w:t>doit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situé</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emplacement</w:t>
      </w:r>
      <w:r w:rsidR="00DB1635" w:rsidRPr="00B004EE">
        <w:rPr>
          <w:rFonts w:ascii="Tahoma" w:hAnsi="Tahoma" w:cs="Tahoma"/>
          <w:sz w:val="20"/>
          <w:szCs w:val="20"/>
        </w:rPr>
        <w:t xml:space="preserve"> </w:t>
      </w:r>
      <w:r w:rsidRPr="00B004EE">
        <w:rPr>
          <w:rFonts w:ascii="Tahoma" w:hAnsi="Tahoma" w:cs="Tahoma"/>
          <w:sz w:val="20"/>
          <w:szCs w:val="20"/>
        </w:rPr>
        <w:t>tel</w:t>
      </w:r>
      <w:r w:rsidR="00DB1635" w:rsidRPr="00B004EE">
        <w:rPr>
          <w:rFonts w:ascii="Tahoma" w:hAnsi="Tahoma" w:cs="Tahoma"/>
          <w:sz w:val="20"/>
          <w:szCs w:val="20"/>
        </w:rPr>
        <w:t xml:space="preserve"> </w:t>
      </w:r>
      <w:r w:rsidRPr="00B004EE">
        <w:rPr>
          <w:rFonts w:ascii="Tahoma" w:hAnsi="Tahoma" w:cs="Tahoma"/>
          <w:sz w:val="20"/>
          <w:szCs w:val="20"/>
        </w:rPr>
        <w:t>que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qualité</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l'eau</w:t>
      </w:r>
      <w:r w:rsidR="00DB1635" w:rsidRPr="00B004EE">
        <w:rPr>
          <w:rFonts w:ascii="Tahoma" w:hAnsi="Tahoma" w:cs="Tahoma"/>
          <w:sz w:val="20"/>
          <w:szCs w:val="20"/>
        </w:rPr>
        <w:t xml:space="preserve"> </w:t>
      </w:r>
      <w:r w:rsidRPr="00B004EE">
        <w:rPr>
          <w:rFonts w:ascii="Tahoma" w:hAnsi="Tahoma" w:cs="Tahoma"/>
          <w:sz w:val="20"/>
          <w:szCs w:val="20"/>
        </w:rPr>
        <w:t>pompée</w:t>
      </w:r>
      <w:r w:rsidR="00DB1635" w:rsidRPr="00B004EE">
        <w:rPr>
          <w:rFonts w:ascii="Tahoma" w:hAnsi="Tahoma" w:cs="Tahoma"/>
          <w:sz w:val="20"/>
          <w:szCs w:val="20"/>
        </w:rPr>
        <w:t xml:space="preserve"> </w:t>
      </w:r>
      <w:r w:rsidRPr="00B004EE">
        <w:rPr>
          <w:rFonts w:ascii="Tahoma" w:hAnsi="Tahoma" w:cs="Tahoma"/>
          <w:sz w:val="20"/>
          <w:szCs w:val="20"/>
        </w:rPr>
        <w:t>ne</w:t>
      </w:r>
      <w:r w:rsidR="00DB1635" w:rsidRPr="00B004EE">
        <w:rPr>
          <w:rFonts w:ascii="Tahoma" w:hAnsi="Tahoma" w:cs="Tahoma"/>
          <w:sz w:val="20"/>
          <w:szCs w:val="20"/>
        </w:rPr>
        <w:t xml:space="preserve"> </w:t>
      </w:r>
      <w:r w:rsidRPr="00B004EE">
        <w:rPr>
          <w:rFonts w:ascii="Tahoma" w:hAnsi="Tahoma" w:cs="Tahoma"/>
          <w:sz w:val="20"/>
          <w:szCs w:val="20"/>
        </w:rPr>
        <w:t>puisse</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affectée</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rejet</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mer</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eaux</w:t>
      </w:r>
      <w:r w:rsidR="00DB1635" w:rsidRPr="00B004EE">
        <w:rPr>
          <w:rFonts w:ascii="Tahoma" w:hAnsi="Tahoma" w:cs="Tahoma"/>
          <w:sz w:val="20"/>
          <w:szCs w:val="20"/>
        </w:rPr>
        <w:t xml:space="preserve"> </w:t>
      </w:r>
      <w:r w:rsidRPr="00B004EE">
        <w:rPr>
          <w:rFonts w:ascii="Tahoma" w:hAnsi="Tahoma" w:cs="Tahoma"/>
          <w:sz w:val="20"/>
          <w:szCs w:val="20"/>
        </w:rPr>
        <w:t>usées,</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déchets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l'eau</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refroidissement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000942DD" w:rsidRPr="00B004EE">
        <w:rPr>
          <w:rFonts w:ascii="Tahoma" w:hAnsi="Tahoma" w:cs="Tahoma"/>
          <w:sz w:val="20"/>
          <w:szCs w:val="20"/>
        </w:rPr>
        <w:t>moteurs ;</w:t>
      </w:r>
    </w:p>
    <w:p w14:paraId="5FFBC911" w14:textId="6FA5DC32" w:rsidR="002F24E1" w:rsidRPr="00B004EE" w:rsidRDefault="002F24E1" w:rsidP="00420DDA">
      <w:pPr>
        <w:pStyle w:val="Paragraphedeliste"/>
        <w:numPr>
          <w:ilvl w:val="1"/>
          <w:numId w:val="83"/>
        </w:numPr>
        <w:ind w:left="426"/>
        <w:jc w:val="both"/>
        <w:rPr>
          <w:rFonts w:ascii="Tahoma" w:hAnsi="Tahoma" w:cs="Tahoma"/>
          <w:sz w:val="20"/>
          <w:szCs w:val="20"/>
        </w:rPr>
      </w:pPr>
      <w:proofErr w:type="gramStart"/>
      <w:r w:rsidRPr="00B004EE">
        <w:rPr>
          <w:rFonts w:ascii="Tahoma" w:hAnsi="Tahoma" w:cs="Tahoma"/>
          <w:sz w:val="20"/>
          <w:szCs w:val="20"/>
        </w:rPr>
        <w:t>d'un</w:t>
      </w:r>
      <w:proofErr w:type="gramEnd"/>
      <w:r w:rsidR="00DB1635" w:rsidRPr="00B004EE">
        <w:rPr>
          <w:rFonts w:ascii="Tahoma" w:hAnsi="Tahoma" w:cs="Tahoma"/>
          <w:sz w:val="20"/>
          <w:szCs w:val="20"/>
        </w:rPr>
        <w:t xml:space="preserve"> </w:t>
      </w:r>
      <w:r w:rsidRPr="00B004EE">
        <w:rPr>
          <w:rFonts w:ascii="Tahoma" w:hAnsi="Tahoma" w:cs="Tahoma"/>
          <w:sz w:val="20"/>
          <w:szCs w:val="20"/>
        </w:rPr>
        <w:t>nombre</w:t>
      </w:r>
      <w:r w:rsidR="00DB1635" w:rsidRPr="00B004EE">
        <w:rPr>
          <w:rFonts w:ascii="Tahoma" w:hAnsi="Tahoma" w:cs="Tahoma"/>
          <w:sz w:val="20"/>
          <w:szCs w:val="20"/>
        </w:rPr>
        <w:t xml:space="preserve"> </w:t>
      </w:r>
      <w:r w:rsidRPr="00B004EE">
        <w:rPr>
          <w:rFonts w:ascii="Tahoma" w:hAnsi="Tahoma" w:cs="Tahoma"/>
          <w:sz w:val="20"/>
          <w:szCs w:val="20"/>
        </w:rPr>
        <w:t>approprié</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vestiaires,</w:t>
      </w:r>
      <w:r w:rsidR="00DB1635" w:rsidRPr="00B004EE">
        <w:rPr>
          <w:rFonts w:ascii="Tahoma" w:hAnsi="Tahoma" w:cs="Tahoma"/>
          <w:sz w:val="20"/>
          <w:szCs w:val="20"/>
        </w:rPr>
        <w:t xml:space="preserve"> </w:t>
      </w:r>
      <w:r w:rsidRPr="00B004EE">
        <w:rPr>
          <w:rFonts w:ascii="Tahoma" w:hAnsi="Tahoma" w:cs="Tahoma"/>
          <w:sz w:val="20"/>
          <w:szCs w:val="20"/>
        </w:rPr>
        <w:t>lavabos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cabinets</w:t>
      </w:r>
      <w:r w:rsidR="00DB1635" w:rsidRPr="00B004EE">
        <w:rPr>
          <w:rFonts w:ascii="Tahoma" w:hAnsi="Tahoma" w:cs="Tahoma"/>
          <w:sz w:val="20"/>
          <w:szCs w:val="20"/>
        </w:rPr>
        <w:t xml:space="preserve"> </w:t>
      </w:r>
      <w:r w:rsidRPr="00B004EE">
        <w:rPr>
          <w:rFonts w:ascii="Tahoma" w:hAnsi="Tahoma" w:cs="Tahoma"/>
          <w:sz w:val="20"/>
          <w:szCs w:val="20"/>
        </w:rPr>
        <w:t>d'aisance,</w:t>
      </w:r>
      <w:r w:rsidR="00DB1635" w:rsidRPr="00B004EE">
        <w:rPr>
          <w:rFonts w:ascii="Tahoma" w:hAnsi="Tahoma" w:cs="Tahoma"/>
          <w:sz w:val="20"/>
          <w:szCs w:val="20"/>
        </w:rPr>
        <w:t xml:space="preserve"> </w:t>
      </w:r>
      <w:r w:rsidRPr="00B004EE">
        <w:rPr>
          <w:rFonts w:ascii="Tahoma" w:hAnsi="Tahoma" w:cs="Tahoma"/>
          <w:sz w:val="20"/>
          <w:szCs w:val="20"/>
        </w:rPr>
        <w:t>ces</w:t>
      </w:r>
      <w:r w:rsidR="00DB1635" w:rsidRPr="00B004EE">
        <w:rPr>
          <w:rFonts w:ascii="Tahoma" w:hAnsi="Tahoma" w:cs="Tahoma"/>
          <w:sz w:val="20"/>
          <w:szCs w:val="20"/>
        </w:rPr>
        <w:t xml:space="preserve"> </w:t>
      </w:r>
      <w:r w:rsidRPr="00B004EE">
        <w:rPr>
          <w:rFonts w:ascii="Tahoma" w:hAnsi="Tahoma" w:cs="Tahoma"/>
          <w:sz w:val="20"/>
          <w:szCs w:val="20"/>
        </w:rPr>
        <w:t>derniers</w:t>
      </w:r>
      <w:r w:rsidR="00DB1635" w:rsidRPr="00B004EE">
        <w:rPr>
          <w:rFonts w:ascii="Tahoma" w:hAnsi="Tahoma" w:cs="Tahoma"/>
          <w:sz w:val="20"/>
          <w:szCs w:val="20"/>
        </w:rPr>
        <w:t xml:space="preserve"> </w:t>
      </w:r>
      <w:r w:rsidRPr="00B004EE">
        <w:rPr>
          <w:rFonts w:ascii="Tahoma" w:hAnsi="Tahoma" w:cs="Tahoma"/>
          <w:sz w:val="20"/>
          <w:szCs w:val="20"/>
        </w:rPr>
        <w:t>ne</w:t>
      </w:r>
      <w:r w:rsidR="00DB1635" w:rsidRPr="00B004EE">
        <w:rPr>
          <w:rFonts w:ascii="Tahoma" w:hAnsi="Tahoma" w:cs="Tahoma"/>
          <w:sz w:val="20"/>
          <w:szCs w:val="20"/>
        </w:rPr>
        <w:t xml:space="preserve"> </w:t>
      </w:r>
      <w:r w:rsidRPr="00B004EE">
        <w:rPr>
          <w:rFonts w:ascii="Tahoma" w:hAnsi="Tahoma" w:cs="Tahoma"/>
          <w:sz w:val="20"/>
          <w:szCs w:val="20"/>
        </w:rPr>
        <w:t>pouvant</w:t>
      </w:r>
      <w:r w:rsidR="00DB1635" w:rsidRPr="00B004EE">
        <w:rPr>
          <w:rFonts w:ascii="Tahoma" w:hAnsi="Tahoma" w:cs="Tahoma"/>
          <w:sz w:val="20"/>
          <w:szCs w:val="20"/>
        </w:rPr>
        <w:t xml:space="preserve"> </w:t>
      </w:r>
      <w:r w:rsidRPr="00B004EE">
        <w:rPr>
          <w:rFonts w:ascii="Tahoma" w:hAnsi="Tahoma" w:cs="Tahoma"/>
          <w:sz w:val="20"/>
          <w:szCs w:val="20"/>
        </w:rPr>
        <w:t>ouvrir</w:t>
      </w:r>
      <w:r w:rsidR="00DB1635" w:rsidRPr="00B004EE">
        <w:rPr>
          <w:rFonts w:ascii="Tahoma" w:hAnsi="Tahoma" w:cs="Tahoma"/>
          <w:sz w:val="20"/>
          <w:szCs w:val="20"/>
        </w:rPr>
        <w:t xml:space="preserve"> </w:t>
      </w:r>
      <w:r w:rsidRPr="00B004EE">
        <w:rPr>
          <w:rFonts w:ascii="Tahoma" w:hAnsi="Tahoma" w:cs="Tahoma"/>
          <w:sz w:val="20"/>
          <w:szCs w:val="20"/>
        </w:rPr>
        <w:t>directement</w:t>
      </w:r>
      <w:r w:rsidR="00DB1635" w:rsidRPr="00B004EE">
        <w:rPr>
          <w:rFonts w:ascii="Tahoma" w:hAnsi="Tahoma" w:cs="Tahoma"/>
          <w:sz w:val="20"/>
          <w:szCs w:val="20"/>
        </w:rPr>
        <w:t xml:space="preserve"> </w:t>
      </w:r>
      <w:r w:rsidRPr="00B004EE">
        <w:rPr>
          <w:rFonts w:ascii="Tahoma" w:hAnsi="Tahoma" w:cs="Tahoma"/>
          <w:sz w:val="20"/>
          <w:szCs w:val="20"/>
        </w:rPr>
        <w:t>sur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locaux</w:t>
      </w:r>
      <w:r w:rsidR="00DB1635" w:rsidRPr="00B004EE">
        <w:rPr>
          <w:rFonts w:ascii="Tahoma" w:hAnsi="Tahoma" w:cs="Tahoma"/>
          <w:sz w:val="20"/>
          <w:szCs w:val="20"/>
        </w:rPr>
        <w:t xml:space="preserve"> </w:t>
      </w:r>
      <w:r w:rsidRPr="00B004EE">
        <w:rPr>
          <w:rFonts w:ascii="Tahoma" w:hAnsi="Tahoma" w:cs="Tahoma"/>
          <w:sz w:val="20"/>
          <w:szCs w:val="20"/>
        </w:rPr>
        <w:t>où</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préparés,</w:t>
      </w:r>
      <w:r w:rsidR="00DB1635" w:rsidRPr="00B004EE">
        <w:rPr>
          <w:rFonts w:ascii="Tahoma" w:hAnsi="Tahoma" w:cs="Tahoma"/>
          <w:sz w:val="20"/>
          <w:szCs w:val="20"/>
        </w:rPr>
        <w:t xml:space="preserve"> </w:t>
      </w:r>
      <w:r w:rsidRPr="00B004EE">
        <w:rPr>
          <w:rFonts w:ascii="Tahoma" w:hAnsi="Tahoma" w:cs="Tahoma"/>
          <w:sz w:val="20"/>
          <w:szCs w:val="20"/>
        </w:rPr>
        <w:t>transformés</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entreposés.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lavabos</w:t>
      </w:r>
      <w:r w:rsidR="00DB1635" w:rsidRPr="00B004EE">
        <w:rPr>
          <w:rFonts w:ascii="Tahoma" w:hAnsi="Tahoma" w:cs="Tahoma"/>
          <w:sz w:val="20"/>
          <w:szCs w:val="20"/>
        </w:rPr>
        <w:t xml:space="preserve"> </w:t>
      </w:r>
      <w:r w:rsidRPr="00B004EE">
        <w:rPr>
          <w:rFonts w:ascii="Tahoma" w:hAnsi="Tahoma" w:cs="Tahoma"/>
          <w:sz w:val="20"/>
          <w:szCs w:val="20"/>
        </w:rPr>
        <w:t>doivent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pourvus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moyens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nettoyage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séchage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mains</w:t>
      </w:r>
      <w:r w:rsidR="00DB1635" w:rsidRPr="00B004EE">
        <w:rPr>
          <w:rFonts w:ascii="Tahoma" w:hAnsi="Tahoma" w:cs="Tahoma"/>
          <w:sz w:val="20"/>
          <w:szCs w:val="20"/>
        </w:rPr>
        <w:t xml:space="preserve"> </w:t>
      </w:r>
      <w:r w:rsidRPr="00B004EE">
        <w:rPr>
          <w:rFonts w:ascii="Tahoma" w:hAnsi="Tahoma" w:cs="Tahoma"/>
          <w:sz w:val="20"/>
          <w:szCs w:val="20"/>
        </w:rPr>
        <w:t>répondant</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exigences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000942DD" w:rsidRPr="00B004EE">
        <w:rPr>
          <w:rFonts w:ascii="Tahoma" w:hAnsi="Tahoma" w:cs="Tahoma"/>
          <w:sz w:val="20"/>
          <w:szCs w:val="20"/>
        </w:rPr>
        <w:t>l’hygiène ;</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robinets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lavabos</w:t>
      </w:r>
      <w:r w:rsidR="00DB1635" w:rsidRPr="00B004EE">
        <w:rPr>
          <w:rFonts w:ascii="Tahoma" w:hAnsi="Tahoma" w:cs="Tahoma"/>
          <w:sz w:val="20"/>
          <w:szCs w:val="20"/>
        </w:rPr>
        <w:t xml:space="preserve"> </w:t>
      </w:r>
      <w:r w:rsidRPr="00B004EE">
        <w:rPr>
          <w:rFonts w:ascii="Tahoma" w:hAnsi="Tahoma" w:cs="Tahoma"/>
          <w:sz w:val="20"/>
          <w:szCs w:val="20"/>
        </w:rPr>
        <w:t>ne</w:t>
      </w:r>
      <w:r w:rsidR="00DB1635" w:rsidRPr="00B004EE">
        <w:rPr>
          <w:rFonts w:ascii="Tahoma" w:hAnsi="Tahoma" w:cs="Tahoma"/>
          <w:sz w:val="20"/>
          <w:szCs w:val="20"/>
        </w:rPr>
        <w:t xml:space="preserve"> </w:t>
      </w:r>
      <w:r w:rsidRPr="00B004EE">
        <w:rPr>
          <w:rFonts w:ascii="Tahoma" w:hAnsi="Tahoma" w:cs="Tahoma"/>
          <w:sz w:val="20"/>
          <w:szCs w:val="20"/>
        </w:rPr>
        <w:t>doivent</w:t>
      </w:r>
      <w:r w:rsidR="00DB1635" w:rsidRPr="00B004EE">
        <w:rPr>
          <w:rFonts w:ascii="Tahoma" w:hAnsi="Tahoma" w:cs="Tahoma"/>
          <w:sz w:val="20"/>
          <w:szCs w:val="20"/>
        </w:rPr>
        <w:t xml:space="preserve"> </w:t>
      </w:r>
      <w:r w:rsidRPr="00B004EE">
        <w:rPr>
          <w:rFonts w:ascii="Tahoma" w:hAnsi="Tahoma" w:cs="Tahoma"/>
          <w:sz w:val="20"/>
          <w:szCs w:val="20"/>
        </w:rPr>
        <w:t>pas</w:t>
      </w:r>
      <w:r w:rsidR="00DB1635" w:rsidRPr="00B004EE">
        <w:rPr>
          <w:rFonts w:ascii="Tahoma" w:hAnsi="Tahoma" w:cs="Tahoma"/>
          <w:sz w:val="20"/>
          <w:szCs w:val="20"/>
        </w:rPr>
        <w:t xml:space="preserve"> </w:t>
      </w:r>
      <w:r w:rsidRPr="00B004EE">
        <w:rPr>
          <w:rFonts w:ascii="Tahoma" w:hAnsi="Tahoma" w:cs="Tahoma"/>
          <w:sz w:val="20"/>
          <w:szCs w:val="20"/>
        </w:rPr>
        <w:t>pouvoir</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actionnés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main.</w:t>
      </w:r>
    </w:p>
    <w:p w14:paraId="595D8AEF" w14:textId="77777777" w:rsidR="002F24E1" w:rsidRPr="00B004EE" w:rsidRDefault="002F24E1" w:rsidP="00B004EE">
      <w:pPr>
        <w:ind w:left="567" w:hanging="283"/>
        <w:jc w:val="both"/>
        <w:rPr>
          <w:rFonts w:ascii="Tahoma" w:hAnsi="Tahoma" w:cs="Tahoma"/>
          <w:sz w:val="20"/>
          <w:szCs w:val="20"/>
        </w:rPr>
      </w:pPr>
    </w:p>
    <w:p w14:paraId="74A7D307" w14:textId="58F6DD26" w:rsidR="002F24E1" w:rsidRPr="00B004EE" w:rsidRDefault="00AD7D88" w:rsidP="00B004EE">
      <w:pPr>
        <w:jc w:val="both"/>
        <w:rPr>
          <w:rFonts w:ascii="Tahoma" w:hAnsi="Tahoma" w:cs="Tahoma"/>
          <w:sz w:val="20"/>
          <w:szCs w:val="20"/>
        </w:rPr>
      </w:pPr>
      <w:r w:rsidRPr="00B004EE">
        <w:rPr>
          <w:rFonts w:ascii="Tahoma" w:hAnsi="Tahoma" w:cs="Tahoma"/>
          <w:bCs/>
          <w:sz w:val="20"/>
          <w:szCs w:val="20"/>
        </w:rPr>
        <w:t xml:space="preserve">Article </w:t>
      </w:r>
      <w:r w:rsidR="002F24E1" w:rsidRPr="00B004EE">
        <w:rPr>
          <w:rFonts w:ascii="Tahoma" w:hAnsi="Tahoma" w:cs="Tahoma"/>
          <w:bCs/>
          <w:sz w:val="20"/>
          <w:szCs w:val="20"/>
        </w:rPr>
        <w:t>21</w:t>
      </w:r>
      <w:r w:rsidR="00DB1635" w:rsidRPr="00B004EE">
        <w:rPr>
          <w:rFonts w:ascii="Tahoma" w:hAnsi="Tahoma" w:cs="Tahoma"/>
          <w:b/>
          <w:sz w:val="20"/>
          <w:szCs w:val="20"/>
        </w:rPr>
        <w:t xml:space="preserve"> </w:t>
      </w:r>
      <w:r w:rsidR="002F24E1" w:rsidRPr="00B004EE">
        <w:rPr>
          <w:rFonts w:ascii="Tahoma" w:hAnsi="Tahoma" w:cs="Tahoma"/>
          <w:b/>
          <w:sz w:val="20"/>
          <w:szCs w:val="20"/>
        </w:rPr>
        <w:t>:</w:t>
      </w:r>
      <w:r w:rsidR="00DB1635" w:rsidRPr="00B004EE">
        <w:rPr>
          <w:rFonts w:ascii="Tahoma" w:hAnsi="Tahoma" w:cs="Tahoma"/>
          <w:b/>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2F24E1" w:rsidRPr="00B004EE">
        <w:rPr>
          <w:rFonts w:ascii="Tahoma" w:hAnsi="Tahoma" w:cs="Tahoma"/>
          <w:sz w:val="20"/>
          <w:szCs w:val="20"/>
        </w:rPr>
        <w:t>lieux</w:t>
      </w:r>
      <w:r w:rsidR="00DB1635" w:rsidRPr="00B004EE">
        <w:rPr>
          <w:rFonts w:ascii="Tahoma" w:hAnsi="Tahoma" w:cs="Tahoma"/>
          <w:sz w:val="20"/>
          <w:szCs w:val="20"/>
        </w:rPr>
        <w:t xml:space="preserve"> </w:t>
      </w:r>
      <w:r w:rsidR="002F24E1" w:rsidRPr="00B004EE">
        <w:rPr>
          <w:rFonts w:ascii="Tahoma" w:hAnsi="Tahoma" w:cs="Tahoma"/>
          <w:sz w:val="20"/>
          <w:szCs w:val="20"/>
        </w:rPr>
        <w:t>où</w:t>
      </w:r>
      <w:r w:rsidR="00DB1635" w:rsidRPr="00B004EE">
        <w:rPr>
          <w:rFonts w:ascii="Tahoma" w:hAnsi="Tahoma" w:cs="Tahoma"/>
          <w:sz w:val="20"/>
          <w:szCs w:val="20"/>
        </w:rPr>
        <w:t xml:space="preserve"> </w:t>
      </w:r>
      <w:r w:rsidR="002F24E1" w:rsidRPr="00B004EE">
        <w:rPr>
          <w:rFonts w:ascii="Tahoma" w:hAnsi="Tahoma" w:cs="Tahoma"/>
          <w:sz w:val="20"/>
          <w:szCs w:val="20"/>
        </w:rPr>
        <w:t>l'on</w:t>
      </w:r>
      <w:r w:rsidR="00DB1635" w:rsidRPr="00B004EE">
        <w:rPr>
          <w:rFonts w:ascii="Tahoma" w:hAnsi="Tahoma" w:cs="Tahoma"/>
          <w:sz w:val="20"/>
          <w:szCs w:val="20"/>
        </w:rPr>
        <w:t xml:space="preserve"> </w:t>
      </w:r>
      <w:r w:rsidR="002F24E1" w:rsidRPr="00B004EE">
        <w:rPr>
          <w:rFonts w:ascii="Tahoma" w:hAnsi="Tahoma" w:cs="Tahoma"/>
          <w:sz w:val="20"/>
          <w:szCs w:val="20"/>
        </w:rPr>
        <w:t>procède</w:t>
      </w:r>
      <w:r w:rsidR="00DB1635" w:rsidRPr="00B004EE">
        <w:rPr>
          <w:rFonts w:ascii="Tahoma" w:hAnsi="Tahoma" w:cs="Tahoma"/>
          <w:sz w:val="20"/>
          <w:szCs w:val="20"/>
        </w:rPr>
        <w:t xml:space="preserve"> </w:t>
      </w:r>
      <w:r w:rsidR="002F24E1" w:rsidRPr="00B004EE">
        <w:rPr>
          <w:rFonts w:ascii="Tahoma" w:hAnsi="Tahoma" w:cs="Tahoma"/>
          <w:sz w:val="20"/>
          <w:szCs w:val="20"/>
        </w:rPr>
        <w:t>à</w:t>
      </w:r>
      <w:r w:rsidR="00DB1635" w:rsidRPr="00B004EE">
        <w:rPr>
          <w:rFonts w:ascii="Tahoma" w:hAnsi="Tahoma" w:cs="Tahoma"/>
          <w:sz w:val="20"/>
          <w:szCs w:val="20"/>
        </w:rPr>
        <w:t xml:space="preserve"> </w:t>
      </w:r>
      <w:r w:rsidR="002F24E1" w:rsidRPr="00B004EE">
        <w:rPr>
          <w:rFonts w:ascii="Tahoma" w:hAnsi="Tahoma" w:cs="Tahoma"/>
          <w:sz w:val="20"/>
          <w:szCs w:val="20"/>
        </w:rPr>
        <w:t>la</w:t>
      </w:r>
      <w:r w:rsidR="00DB1635" w:rsidRPr="00B004EE">
        <w:rPr>
          <w:rFonts w:ascii="Tahoma" w:hAnsi="Tahoma" w:cs="Tahoma"/>
          <w:sz w:val="20"/>
          <w:szCs w:val="20"/>
        </w:rPr>
        <w:t xml:space="preserve"> </w:t>
      </w:r>
      <w:r w:rsidR="002F24E1" w:rsidRPr="00B004EE">
        <w:rPr>
          <w:rFonts w:ascii="Tahoma" w:hAnsi="Tahoma" w:cs="Tahoma"/>
          <w:sz w:val="20"/>
          <w:szCs w:val="20"/>
        </w:rPr>
        <w:t>manipulation,</w:t>
      </w:r>
      <w:r w:rsidR="00DB1635" w:rsidRPr="00B004EE">
        <w:rPr>
          <w:rFonts w:ascii="Tahoma" w:hAnsi="Tahoma" w:cs="Tahoma"/>
          <w:sz w:val="20"/>
          <w:szCs w:val="20"/>
        </w:rPr>
        <w:t xml:space="preserve"> </w:t>
      </w:r>
      <w:r w:rsidR="002F24E1" w:rsidRPr="00B004EE">
        <w:rPr>
          <w:rFonts w:ascii="Tahoma" w:hAnsi="Tahoma" w:cs="Tahoma"/>
          <w:sz w:val="20"/>
          <w:szCs w:val="20"/>
        </w:rPr>
        <w:t>la</w:t>
      </w:r>
      <w:r w:rsidR="00DB1635" w:rsidRPr="00B004EE">
        <w:rPr>
          <w:rFonts w:ascii="Tahoma" w:hAnsi="Tahoma" w:cs="Tahoma"/>
          <w:sz w:val="20"/>
          <w:szCs w:val="20"/>
        </w:rPr>
        <w:t xml:space="preserve"> </w:t>
      </w:r>
      <w:r w:rsidR="002F24E1" w:rsidRPr="00B004EE">
        <w:rPr>
          <w:rFonts w:ascii="Tahoma" w:hAnsi="Tahoma" w:cs="Tahoma"/>
          <w:sz w:val="20"/>
          <w:szCs w:val="20"/>
        </w:rPr>
        <w:t>préparation</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la</w:t>
      </w:r>
      <w:r w:rsidR="00DB1635" w:rsidRPr="00B004EE">
        <w:rPr>
          <w:rFonts w:ascii="Tahoma" w:hAnsi="Tahoma" w:cs="Tahoma"/>
          <w:sz w:val="20"/>
          <w:szCs w:val="20"/>
        </w:rPr>
        <w:t xml:space="preserve"> </w:t>
      </w:r>
      <w:r w:rsidR="002F24E1" w:rsidRPr="00B004EE">
        <w:rPr>
          <w:rFonts w:ascii="Tahoma" w:hAnsi="Tahoma" w:cs="Tahoma"/>
          <w:sz w:val="20"/>
          <w:szCs w:val="20"/>
        </w:rPr>
        <w:t>transformation</w:t>
      </w:r>
      <w:r w:rsidR="00DB1635" w:rsidRPr="00B004EE">
        <w:rPr>
          <w:rFonts w:ascii="Tahoma" w:hAnsi="Tahoma" w:cs="Tahoma"/>
          <w:sz w:val="20"/>
          <w:szCs w:val="20"/>
        </w:rPr>
        <w:t xml:space="preserve"> </w:t>
      </w:r>
      <w:r w:rsidR="002F24E1" w:rsidRPr="00B004EE">
        <w:rPr>
          <w:rFonts w:ascii="Tahoma" w:hAnsi="Tahoma" w:cs="Tahoma"/>
          <w:sz w:val="20"/>
          <w:szCs w:val="20"/>
        </w:rPr>
        <w:t>des</w:t>
      </w:r>
      <w:r w:rsidR="00DB1635" w:rsidRPr="00B004EE">
        <w:rPr>
          <w:rFonts w:ascii="Tahoma" w:hAnsi="Tahoma" w:cs="Tahoma"/>
          <w:sz w:val="20"/>
          <w:szCs w:val="20"/>
        </w:rPr>
        <w:t xml:space="preserve"> </w:t>
      </w:r>
      <w:r w:rsidR="002F24E1" w:rsidRPr="00B004EE">
        <w:rPr>
          <w:rFonts w:ascii="Tahoma" w:hAnsi="Tahoma" w:cs="Tahoma"/>
          <w:sz w:val="20"/>
          <w:szCs w:val="20"/>
        </w:rPr>
        <w:t>produits</w:t>
      </w:r>
      <w:r w:rsidR="00DB1635" w:rsidRPr="00B004EE">
        <w:rPr>
          <w:rFonts w:ascii="Tahoma" w:hAnsi="Tahoma" w:cs="Tahoma"/>
          <w:sz w:val="20"/>
          <w:szCs w:val="20"/>
        </w:rPr>
        <w:t xml:space="preserve"> </w:t>
      </w:r>
      <w:r w:rsidR="002F24E1" w:rsidRPr="00B004EE">
        <w:rPr>
          <w:rFonts w:ascii="Tahoma" w:hAnsi="Tahoma" w:cs="Tahoma"/>
          <w:sz w:val="20"/>
          <w:szCs w:val="20"/>
        </w:rPr>
        <w:t>doivent</w:t>
      </w:r>
      <w:r w:rsidR="00DB1635" w:rsidRPr="00B004EE">
        <w:rPr>
          <w:rFonts w:ascii="Tahoma" w:hAnsi="Tahoma" w:cs="Tahoma"/>
          <w:sz w:val="20"/>
          <w:szCs w:val="20"/>
        </w:rPr>
        <w:t xml:space="preserve"> </w:t>
      </w:r>
      <w:r w:rsidR="002F24E1" w:rsidRPr="00B004EE">
        <w:rPr>
          <w:rFonts w:ascii="Tahoma" w:hAnsi="Tahoma" w:cs="Tahoma"/>
          <w:sz w:val="20"/>
          <w:szCs w:val="20"/>
        </w:rPr>
        <w:t>comporter</w:t>
      </w:r>
      <w:r w:rsidR="00DB1635" w:rsidRPr="00B004EE">
        <w:rPr>
          <w:rFonts w:ascii="Tahoma" w:hAnsi="Tahoma" w:cs="Tahoma"/>
          <w:sz w:val="20"/>
          <w:szCs w:val="20"/>
        </w:rPr>
        <w:t xml:space="preserve"> </w:t>
      </w:r>
      <w:r w:rsidR="002F24E1" w:rsidRPr="00B004EE">
        <w:rPr>
          <w:rFonts w:ascii="Tahoma" w:hAnsi="Tahoma" w:cs="Tahoma"/>
          <w:sz w:val="20"/>
          <w:szCs w:val="20"/>
        </w:rPr>
        <w:t>au</w:t>
      </w:r>
      <w:r w:rsidR="00DB1635" w:rsidRPr="00B004EE">
        <w:rPr>
          <w:rFonts w:ascii="Tahoma" w:hAnsi="Tahoma" w:cs="Tahoma"/>
          <w:sz w:val="20"/>
          <w:szCs w:val="20"/>
        </w:rPr>
        <w:t xml:space="preserve"> </w:t>
      </w:r>
      <w:r w:rsidR="000942DD" w:rsidRPr="00B004EE">
        <w:rPr>
          <w:rFonts w:ascii="Tahoma" w:hAnsi="Tahoma" w:cs="Tahoma"/>
          <w:sz w:val="20"/>
          <w:szCs w:val="20"/>
        </w:rPr>
        <w:t>moins :</w:t>
      </w:r>
    </w:p>
    <w:p w14:paraId="6557BC6F" w14:textId="459FF74A" w:rsidR="002F24E1" w:rsidRPr="00B004EE" w:rsidRDefault="002F24E1" w:rsidP="00420DDA">
      <w:pPr>
        <w:pStyle w:val="Paragraphedeliste"/>
        <w:numPr>
          <w:ilvl w:val="1"/>
          <w:numId w:val="84"/>
        </w:numPr>
        <w:ind w:left="567"/>
        <w:jc w:val="both"/>
        <w:rPr>
          <w:rFonts w:ascii="Tahoma" w:hAnsi="Tahoma" w:cs="Tahoma"/>
          <w:sz w:val="20"/>
          <w:szCs w:val="20"/>
        </w:rPr>
      </w:pPr>
      <w:proofErr w:type="gramStart"/>
      <w:r w:rsidRPr="00B004EE">
        <w:rPr>
          <w:rFonts w:ascii="Tahoma" w:hAnsi="Tahoma" w:cs="Tahoma"/>
          <w:sz w:val="20"/>
          <w:szCs w:val="20"/>
        </w:rPr>
        <w:t>un</w:t>
      </w:r>
      <w:proofErr w:type="gramEnd"/>
      <w:r w:rsidR="00DB1635" w:rsidRPr="00B004EE">
        <w:rPr>
          <w:rFonts w:ascii="Tahoma" w:hAnsi="Tahoma" w:cs="Tahoma"/>
          <w:sz w:val="20"/>
          <w:szCs w:val="20"/>
        </w:rPr>
        <w:t xml:space="preserve"> </w:t>
      </w:r>
      <w:r w:rsidRPr="00B004EE">
        <w:rPr>
          <w:rFonts w:ascii="Tahoma" w:hAnsi="Tahoma" w:cs="Tahoma"/>
          <w:sz w:val="20"/>
          <w:szCs w:val="20"/>
        </w:rPr>
        <w:t>sol</w:t>
      </w:r>
      <w:r w:rsidR="00DB1635" w:rsidRPr="00B004EE">
        <w:rPr>
          <w:rFonts w:ascii="Tahoma" w:hAnsi="Tahoma" w:cs="Tahoma"/>
          <w:sz w:val="20"/>
          <w:szCs w:val="20"/>
        </w:rPr>
        <w:t xml:space="preserve"> </w:t>
      </w:r>
      <w:r w:rsidRPr="00B004EE">
        <w:rPr>
          <w:rFonts w:ascii="Tahoma" w:hAnsi="Tahoma" w:cs="Tahoma"/>
          <w:sz w:val="20"/>
          <w:szCs w:val="20"/>
        </w:rPr>
        <w:t>qui</w:t>
      </w:r>
      <w:r w:rsidR="00DB1635" w:rsidRPr="00B004EE">
        <w:rPr>
          <w:rFonts w:ascii="Tahoma" w:hAnsi="Tahoma" w:cs="Tahoma"/>
          <w:sz w:val="20"/>
          <w:szCs w:val="20"/>
        </w:rPr>
        <w:t xml:space="preserve"> </w:t>
      </w:r>
      <w:r w:rsidRPr="00B004EE">
        <w:rPr>
          <w:rFonts w:ascii="Tahoma" w:hAnsi="Tahoma" w:cs="Tahoma"/>
          <w:sz w:val="20"/>
          <w:szCs w:val="20"/>
        </w:rPr>
        <w:t>allie</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qualités</w:t>
      </w:r>
      <w:r w:rsidR="00DB1635" w:rsidRPr="00B004EE">
        <w:rPr>
          <w:rFonts w:ascii="Tahoma" w:hAnsi="Tahoma" w:cs="Tahoma"/>
          <w:sz w:val="20"/>
          <w:szCs w:val="20"/>
        </w:rPr>
        <w:t xml:space="preserve"> </w:t>
      </w:r>
      <w:r w:rsidRPr="00B004EE">
        <w:rPr>
          <w:rFonts w:ascii="Tahoma" w:hAnsi="Tahoma" w:cs="Tahoma"/>
          <w:sz w:val="20"/>
          <w:szCs w:val="20"/>
        </w:rPr>
        <w:t>antidérapantes</w:t>
      </w:r>
      <w:r w:rsidR="00DB1635" w:rsidRPr="00B004EE">
        <w:rPr>
          <w:rFonts w:ascii="Tahoma" w:hAnsi="Tahoma" w:cs="Tahoma"/>
          <w:sz w:val="20"/>
          <w:szCs w:val="20"/>
        </w:rPr>
        <w:t xml:space="preserve"> </w:t>
      </w:r>
      <w:r w:rsidRPr="00B004EE">
        <w:rPr>
          <w:rFonts w:ascii="Tahoma" w:hAnsi="Tahoma" w:cs="Tahoma"/>
          <w:sz w:val="20"/>
          <w:szCs w:val="20"/>
        </w:rPr>
        <w:t>avec</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facilité</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nettoyage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désinfection</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qui</w:t>
      </w:r>
      <w:r w:rsidR="00DB1635" w:rsidRPr="00B004EE">
        <w:rPr>
          <w:rFonts w:ascii="Tahoma" w:hAnsi="Tahoma" w:cs="Tahoma"/>
          <w:sz w:val="20"/>
          <w:szCs w:val="20"/>
        </w:rPr>
        <w:t xml:space="preserve"> </w:t>
      </w:r>
      <w:r w:rsidRPr="00B004EE">
        <w:rPr>
          <w:rFonts w:ascii="Tahoma" w:hAnsi="Tahoma" w:cs="Tahoma"/>
          <w:sz w:val="20"/>
          <w:szCs w:val="20"/>
        </w:rPr>
        <w:t>doit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pourvu</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dispositifs</w:t>
      </w:r>
      <w:r w:rsidR="00DB1635" w:rsidRPr="00B004EE">
        <w:rPr>
          <w:rFonts w:ascii="Tahoma" w:hAnsi="Tahoma" w:cs="Tahoma"/>
          <w:sz w:val="20"/>
          <w:szCs w:val="20"/>
        </w:rPr>
        <w:t xml:space="preserve"> </w:t>
      </w:r>
      <w:r w:rsidRPr="00B004EE">
        <w:rPr>
          <w:rFonts w:ascii="Tahoma" w:hAnsi="Tahoma" w:cs="Tahoma"/>
          <w:sz w:val="20"/>
          <w:szCs w:val="20"/>
        </w:rPr>
        <w:t>permettant</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évacuation</w:t>
      </w:r>
      <w:r w:rsidR="00DB1635" w:rsidRPr="00B004EE">
        <w:rPr>
          <w:rFonts w:ascii="Tahoma" w:hAnsi="Tahoma" w:cs="Tahoma"/>
          <w:sz w:val="20"/>
          <w:szCs w:val="20"/>
        </w:rPr>
        <w:t xml:space="preserve"> </w:t>
      </w:r>
      <w:r w:rsidRPr="00B004EE">
        <w:rPr>
          <w:rFonts w:ascii="Tahoma" w:hAnsi="Tahoma" w:cs="Tahoma"/>
          <w:sz w:val="20"/>
          <w:szCs w:val="20"/>
        </w:rPr>
        <w:t>facile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l'eau</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déchets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poisson;</w:t>
      </w:r>
    </w:p>
    <w:p w14:paraId="71E4E921" w14:textId="7D93122D" w:rsidR="002F24E1" w:rsidRPr="00B004EE" w:rsidRDefault="002F24E1" w:rsidP="00420DDA">
      <w:pPr>
        <w:pStyle w:val="Paragraphedeliste"/>
        <w:numPr>
          <w:ilvl w:val="1"/>
          <w:numId w:val="84"/>
        </w:numPr>
        <w:ind w:left="567"/>
        <w:jc w:val="both"/>
        <w:rPr>
          <w:rFonts w:ascii="Tahoma" w:hAnsi="Tahoma" w:cs="Tahoma"/>
          <w:sz w:val="20"/>
          <w:szCs w:val="20"/>
        </w:rPr>
      </w:pPr>
      <w:proofErr w:type="gramStart"/>
      <w:r w:rsidRPr="00B004EE">
        <w:rPr>
          <w:rFonts w:ascii="Tahoma" w:hAnsi="Tahoma" w:cs="Tahoma"/>
          <w:sz w:val="20"/>
          <w:szCs w:val="20"/>
        </w:rPr>
        <w:t>de</w:t>
      </w:r>
      <w:proofErr w:type="gramEnd"/>
      <w:r w:rsidR="00DB1635" w:rsidRPr="00B004EE">
        <w:rPr>
          <w:rFonts w:ascii="Tahoma" w:hAnsi="Tahoma" w:cs="Tahoma"/>
          <w:sz w:val="20"/>
          <w:szCs w:val="20"/>
        </w:rPr>
        <w:t xml:space="preserve"> </w:t>
      </w:r>
      <w:r w:rsidRPr="00B004EE">
        <w:rPr>
          <w:rFonts w:ascii="Tahoma" w:hAnsi="Tahoma" w:cs="Tahoma"/>
          <w:sz w:val="20"/>
          <w:szCs w:val="20"/>
        </w:rPr>
        <w:t>parois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plafonds</w:t>
      </w:r>
      <w:r w:rsidR="00DB1635" w:rsidRPr="00B004EE">
        <w:rPr>
          <w:rFonts w:ascii="Tahoma" w:hAnsi="Tahoma" w:cs="Tahoma"/>
          <w:sz w:val="20"/>
          <w:szCs w:val="20"/>
        </w:rPr>
        <w:t xml:space="preserve"> </w:t>
      </w:r>
      <w:r w:rsidRPr="00B004EE">
        <w:rPr>
          <w:rFonts w:ascii="Tahoma" w:hAnsi="Tahoma" w:cs="Tahoma"/>
          <w:sz w:val="20"/>
          <w:szCs w:val="20"/>
        </w:rPr>
        <w:t>faciles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nettoyer,</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particulier</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niveau</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tuyaux,</w:t>
      </w:r>
      <w:r w:rsidR="00DB1635" w:rsidRPr="00B004EE">
        <w:rPr>
          <w:rFonts w:ascii="Tahoma" w:hAnsi="Tahoma" w:cs="Tahoma"/>
          <w:sz w:val="20"/>
          <w:szCs w:val="20"/>
        </w:rPr>
        <w:t xml:space="preserve"> </w:t>
      </w:r>
      <w:r w:rsidRPr="00B004EE">
        <w:rPr>
          <w:rFonts w:ascii="Tahoma" w:hAnsi="Tahoma" w:cs="Tahoma"/>
          <w:sz w:val="20"/>
          <w:szCs w:val="20"/>
        </w:rPr>
        <w:t>chaîne</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conduits</w:t>
      </w:r>
      <w:r w:rsidR="00DB1635" w:rsidRPr="00B004EE">
        <w:rPr>
          <w:rFonts w:ascii="Tahoma" w:hAnsi="Tahoma" w:cs="Tahoma"/>
          <w:sz w:val="20"/>
          <w:szCs w:val="20"/>
        </w:rPr>
        <w:t xml:space="preserve"> </w:t>
      </w:r>
      <w:r w:rsidRPr="00B004EE">
        <w:rPr>
          <w:rFonts w:ascii="Tahoma" w:hAnsi="Tahoma" w:cs="Tahoma"/>
          <w:sz w:val="20"/>
          <w:szCs w:val="20"/>
        </w:rPr>
        <w:t>électriques;</w:t>
      </w:r>
    </w:p>
    <w:p w14:paraId="75D08C06" w14:textId="0730BB02" w:rsidR="002F24E1" w:rsidRPr="00B004EE" w:rsidRDefault="002F24E1" w:rsidP="00420DDA">
      <w:pPr>
        <w:pStyle w:val="Paragraphedeliste"/>
        <w:numPr>
          <w:ilvl w:val="1"/>
          <w:numId w:val="84"/>
        </w:numPr>
        <w:ind w:left="567"/>
        <w:jc w:val="both"/>
        <w:rPr>
          <w:rFonts w:ascii="Tahoma" w:hAnsi="Tahoma" w:cs="Tahoma"/>
          <w:sz w:val="20"/>
          <w:szCs w:val="20"/>
        </w:rPr>
      </w:pPr>
      <w:proofErr w:type="gramStart"/>
      <w:r w:rsidRPr="00B004EE">
        <w:rPr>
          <w:rFonts w:ascii="Tahoma" w:hAnsi="Tahoma" w:cs="Tahoma"/>
          <w:sz w:val="20"/>
          <w:szCs w:val="20"/>
        </w:rPr>
        <w:t>de</w:t>
      </w:r>
      <w:proofErr w:type="gramEnd"/>
      <w:r w:rsidR="00DB1635" w:rsidRPr="00B004EE">
        <w:rPr>
          <w:rFonts w:ascii="Tahoma" w:hAnsi="Tahoma" w:cs="Tahoma"/>
          <w:sz w:val="20"/>
          <w:szCs w:val="20"/>
        </w:rPr>
        <w:t xml:space="preserve"> </w:t>
      </w:r>
      <w:r w:rsidRPr="00B004EE">
        <w:rPr>
          <w:rFonts w:ascii="Tahoma" w:hAnsi="Tahoma" w:cs="Tahoma"/>
          <w:sz w:val="20"/>
          <w:szCs w:val="20"/>
        </w:rPr>
        <w:t>circuits</w:t>
      </w:r>
      <w:r w:rsidR="00DB1635" w:rsidRPr="00B004EE">
        <w:rPr>
          <w:rFonts w:ascii="Tahoma" w:hAnsi="Tahoma" w:cs="Tahoma"/>
          <w:sz w:val="20"/>
          <w:szCs w:val="20"/>
        </w:rPr>
        <w:t xml:space="preserve"> </w:t>
      </w:r>
      <w:r w:rsidRPr="00B004EE">
        <w:rPr>
          <w:rFonts w:ascii="Tahoma" w:hAnsi="Tahoma" w:cs="Tahoma"/>
          <w:sz w:val="20"/>
          <w:szCs w:val="20"/>
        </w:rPr>
        <w:t>hydrauliques</w:t>
      </w:r>
      <w:r w:rsidR="00DB1635" w:rsidRPr="00B004EE">
        <w:rPr>
          <w:rFonts w:ascii="Tahoma" w:hAnsi="Tahoma" w:cs="Tahoma"/>
          <w:sz w:val="20"/>
          <w:szCs w:val="20"/>
        </w:rPr>
        <w:t xml:space="preserve"> </w:t>
      </w:r>
      <w:r w:rsidRPr="00B004EE">
        <w:rPr>
          <w:rFonts w:ascii="Tahoma" w:hAnsi="Tahoma" w:cs="Tahoma"/>
          <w:sz w:val="20"/>
          <w:szCs w:val="20"/>
        </w:rPr>
        <w:t>qui</w:t>
      </w:r>
      <w:r w:rsidR="00DB1635" w:rsidRPr="00B004EE">
        <w:rPr>
          <w:rFonts w:ascii="Tahoma" w:hAnsi="Tahoma" w:cs="Tahoma"/>
          <w:sz w:val="20"/>
          <w:szCs w:val="20"/>
        </w:rPr>
        <w:t xml:space="preserve"> </w:t>
      </w:r>
      <w:r w:rsidRPr="00B004EE">
        <w:rPr>
          <w:rFonts w:ascii="Tahoma" w:hAnsi="Tahoma" w:cs="Tahoma"/>
          <w:sz w:val="20"/>
          <w:szCs w:val="20"/>
        </w:rPr>
        <w:t>doivent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disposés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façon</w:t>
      </w:r>
      <w:r w:rsidR="00DB1635" w:rsidRPr="00B004EE">
        <w:rPr>
          <w:rFonts w:ascii="Tahoma" w:hAnsi="Tahoma" w:cs="Tahoma"/>
          <w:sz w:val="20"/>
          <w:szCs w:val="20"/>
        </w:rPr>
        <w:t xml:space="preserve"> </w:t>
      </w:r>
      <w:r w:rsidRPr="00B004EE">
        <w:rPr>
          <w:rFonts w:ascii="Tahoma" w:hAnsi="Tahoma" w:cs="Tahoma"/>
          <w:sz w:val="20"/>
          <w:szCs w:val="20"/>
        </w:rPr>
        <w:t>qu'une</w:t>
      </w:r>
      <w:r w:rsidR="00DB1635" w:rsidRPr="00B004EE">
        <w:rPr>
          <w:rFonts w:ascii="Tahoma" w:hAnsi="Tahoma" w:cs="Tahoma"/>
          <w:sz w:val="20"/>
          <w:szCs w:val="20"/>
        </w:rPr>
        <w:t xml:space="preserve"> </w:t>
      </w:r>
      <w:r w:rsidRPr="00B004EE">
        <w:rPr>
          <w:rFonts w:ascii="Tahoma" w:hAnsi="Tahoma" w:cs="Tahoma"/>
          <w:sz w:val="20"/>
          <w:szCs w:val="20"/>
        </w:rPr>
        <w:t>fuite</w:t>
      </w:r>
      <w:r w:rsidR="00DB1635" w:rsidRPr="00B004EE">
        <w:rPr>
          <w:rFonts w:ascii="Tahoma" w:hAnsi="Tahoma" w:cs="Tahoma"/>
          <w:sz w:val="20"/>
          <w:szCs w:val="20"/>
        </w:rPr>
        <w:t xml:space="preserve"> </w:t>
      </w:r>
      <w:r w:rsidRPr="00B004EE">
        <w:rPr>
          <w:rFonts w:ascii="Tahoma" w:hAnsi="Tahoma" w:cs="Tahoma"/>
          <w:sz w:val="20"/>
          <w:szCs w:val="20"/>
        </w:rPr>
        <w:t>éventuelle</w:t>
      </w:r>
      <w:r w:rsidR="00DB1635" w:rsidRPr="00B004EE">
        <w:rPr>
          <w:rFonts w:ascii="Tahoma" w:hAnsi="Tahoma" w:cs="Tahoma"/>
          <w:sz w:val="20"/>
          <w:szCs w:val="20"/>
        </w:rPr>
        <w:t xml:space="preserve"> </w:t>
      </w:r>
      <w:r w:rsidRPr="00B004EE">
        <w:rPr>
          <w:rFonts w:ascii="Tahoma" w:hAnsi="Tahoma" w:cs="Tahoma"/>
          <w:sz w:val="20"/>
          <w:szCs w:val="20"/>
        </w:rPr>
        <w:t>d'huile</w:t>
      </w:r>
      <w:r w:rsidR="00DB1635" w:rsidRPr="00B004EE">
        <w:rPr>
          <w:rFonts w:ascii="Tahoma" w:hAnsi="Tahoma" w:cs="Tahoma"/>
          <w:sz w:val="20"/>
          <w:szCs w:val="20"/>
        </w:rPr>
        <w:t xml:space="preserve"> </w:t>
      </w:r>
      <w:r w:rsidRPr="00B004EE">
        <w:rPr>
          <w:rFonts w:ascii="Tahoma" w:hAnsi="Tahoma" w:cs="Tahoma"/>
          <w:sz w:val="20"/>
          <w:szCs w:val="20"/>
        </w:rPr>
        <w:t>ne</w:t>
      </w:r>
      <w:r w:rsidR="00DB1635" w:rsidRPr="00B004EE">
        <w:rPr>
          <w:rFonts w:ascii="Tahoma" w:hAnsi="Tahoma" w:cs="Tahoma"/>
          <w:sz w:val="20"/>
          <w:szCs w:val="20"/>
        </w:rPr>
        <w:t xml:space="preserve"> </w:t>
      </w:r>
      <w:r w:rsidRPr="00B004EE">
        <w:rPr>
          <w:rFonts w:ascii="Tahoma" w:hAnsi="Tahoma" w:cs="Tahoma"/>
          <w:sz w:val="20"/>
          <w:szCs w:val="20"/>
        </w:rPr>
        <w:t>puisse</w:t>
      </w:r>
      <w:r w:rsidR="00DB1635" w:rsidRPr="00B004EE">
        <w:rPr>
          <w:rFonts w:ascii="Tahoma" w:hAnsi="Tahoma" w:cs="Tahoma"/>
          <w:sz w:val="20"/>
          <w:szCs w:val="20"/>
        </w:rPr>
        <w:t xml:space="preserve"> </w:t>
      </w:r>
      <w:r w:rsidRPr="00B004EE">
        <w:rPr>
          <w:rFonts w:ascii="Tahoma" w:hAnsi="Tahoma" w:cs="Tahoma"/>
          <w:sz w:val="20"/>
          <w:szCs w:val="20"/>
        </w:rPr>
        <w:t>contaminer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p>
    <w:p w14:paraId="5C98B7E4" w14:textId="6656FBC5" w:rsidR="002F24E1" w:rsidRPr="00B004EE" w:rsidRDefault="002F24E1" w:rsidP="00420DDA">
      <w:pPr>
        <w:pStyle w:val="Paragraphedeliste"/>
        <w:numPr>
          <w:ilvl w:val="1"/>
          <w:numId w:val="84"/>
        </w:numPr>
        <w:ind w:left="567"/>
        <w:jc w:val="both"/>
        <w:rPr>
          <w:rFonts w:ascii="Tahoma" w:hAnsi="Tahoma" w:cs="Tahoma"/>
          <w:sz w:val="20"/>
          <w:szCs w:val="20"/>
        </w:rPr>
      </w:pPr>
      <w:proofErr w:type="gramStart"/>
      <w:r w:rsidRPr="00B004EE">
        <w:rPr>
          <w:rFonts w:ascii="Tahoma" w:hAnsi="Tahoma" w:cs="Tahoma"/>
          <w:sz w:val="20"/>
          <w:szCs w:val="20"/>
        </w:rPr>
        <w:t>d'une</w:t>
      </w:r>
      <w:proofErr w:type="gramEnd"/>
      <w:r w:rsidR="00DB1635" w:rsidRPr="00B004EE">
        <w:rPr>
          <w:rFonts w:ascii="Tahoma" w:hAnsi="Tahoma" w:cs="Tahoma"/>
          <w:sz w:val="20"/>
          <w:szCs w:val="20"/>
        </w:rPr>
        <w:t xml:space="preserve"> </w:t>
      </w:r>
      <w:r w:rsidRPr="00B004EE">
        <w:rPr>
          <w:rFonts w:ascii="Tahoma" w:hAnsi="Tahoma" w:cs="Tahoma"/>
          <w:sz w:val="20"/>
          <w:szCs w:val="20"/>
        </w:rPr>
        <w:t>ventilation</w:t>
      </w:r>
      <w:r w:rsidR="00DB1635" w:rsidRPr="00B004EE">
        <w:rPr>
          <w:rFonts w:ascii="Tahoma" w:hAnsi="Tahoma" w:cs="Tahoma"/>
          <w:sz w:val="20"/>
          <w:szCs w:val="20"/>
        </w:rPr>
        <w:t xml:space="preserve"> </w:t>
      </w:r>
      <w:r w:rsidRPr="00B004EE">
        <w:rPr>
          <w:rFonts w:ascii="Tahoma" w:hAnsi="Tahoma" w:cs="Tahoma"/>
          <w:sz w:val="20"/>
          <w:szCs w:val="20"/>
        </w:rPr>
        <w:t>suffisante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cas</w:t>
      </w:r>
      <w:r w:rsidR="00DB1635" w:rsidRPr="00B004EE">
        <w:rPr>
          <w:rFonts w:ascii="Tahoma" w:hAnsi="Tahoma" w:cs="Tahoma"/>
          <w:sz w:val="20"/>
          <w:szCs w:val="20"/>
        </w:rPr>
        <w:t xml:space="preserve"> </w:t>
      </w:r>
      <w:r w:rsidRPr="00B004EE">
        <w:rPr>
          <w:rFonts w:ascii="Tahoma" w:hAnsi="Tahoma" w:cs="Tahoma"/>
          <w:sz w:val="20"/>
          <w:szCs w:val="20"/>
        </w:rPr>
        <w:t>échéant,</w:t>
      </w:r>
      <w:r w:rsidR="00DB1635" w:rsidRPr="00B004EE">
        <w:rPr>
          <w:rFonts w:ascii="Tahoma" w:hAnsi="Tahoma" w:cs="Tahoma"/>
          <w:sz w:val="20"/>
          <w:szCs w:val="20"/>
        </w:rPr>
        <w:t xml:space="preserve"> </w:t>
      </w:r>
      <w:r w:rsidRPr="00B004EE">
        <w:rPr>
          <w:rFonts w:ascii="Tahoma" w:hAnsi="Tahoma" w:cs="Tahoma"/>
          <w:sz w:val="20"/>
          <w:szCs w:val="20"/>
        </w:rPr>
        <w:t>d'une</w:t>
      </w:r>
      <w:r w:rsidR="00DB1635" w:rsidRPr="00B004EE">
        <w:rPr>
          <w:rFonts w:ascii="Tahoma" w:hAnsi="Tahoma" w:cs="Tahoma"/>
          <w:sz w:val="20"/>
          <w:szCs w:val="20"/>
        </w:rPr>
        <w:t xml:space="preserve"> </w:t>
      </w:r>
      <w:r w:rsidRPr="00B004EE">
        <w:rPr>
          <w:rFonts w:ascii="Tahoma" w:hAnsi="Tahoma" w:cs="Tahoma"/>
          <w:sz w:val="20"/>
          <w:szCs w:val="20"/>
        </w:rPr>
        <w:t>bonne</w:t>
      </w:r>
      <w:r w:rsidR="00DB1635" w:rsidRPr="00B004EE">
        <w:rPr>
          <w:rFonts w:ascii="Tahoma" w:hAnsi="Tahoma" w:cs="Tahoma"/>
          <w:sz w:val="20"/>
          <w:szCs w:val="20"/>
        </w:rPr>
        <w:t xml:space="preserve"> </w:t>
      </w:r>
      <w:r w:rsidRPr="00B004EE">
        <w:rPr>
          <w:rFonts w:ascii="Tahoma" w:hAnsi="Tahoma" w:cs="Tahoma"/>
          <w:sz w:val="20"/>
          <w:szCs w:val="20"/>
        </w:rPr>
        <w:t>évacuation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buées;</w:t>
      </w:r>
      <w:r w:rsidR="00DB1635" w:rsidRPr="00B004EE">
        <w:rPr>
          <w:rFonts w:ascii="Tahoma" w:hAnsi="Tahoma" w:cs="Tahoma"/>
          <w:sz w:val="20"/>
          <w:szCs w:val="20"/>
        </w:rPr>
        <w:t xml:space="preserve"> </w:t>
      </w:r>
    </w:p>
    <w:p w14:paraId="69D38D74" w14:textId="1071CD95" w:rsidR="002F24E1" w:rsidRPr="00B004EE" w:rsidRDefault="002F24E1" w:rsidP="00420DDA">
      <w:pPr>
        <w:pStyle w:val="Paragraphedeliste"/>
        <w:numPr>
          <w:ilvl w:val="1"/>
          <w:numId w:val="84"/>
        </w:numPr>
        <w:ind w:left="567"/>
        <w:jc w:val="both"/>
        <w:rPr>
          <w:rFonts w:ascii="Tahoma" w:hAnsi="Tahoma" w:cs="Tahoma"/>
          <w:sz w:val="20"/>
          <w:szCs w:val="20"/>
        </w:rPr>
      </w:pPr>
      <w:proofErr w:type="gramStart"/>
      <w:r w:rsidRPr="00B004EE">
        <w:rPr>
          <w:rFonts w:ascii="Tahoma" w:hAnsi="Tahoma" w:cs="Tahoma"/>
          <w:sz w:val="20"/>
          <w:szCs w:val="20"/>
        </w:rPr>
        <w:t>d'un</w:t>
      </w:r>
      <w:proofErr w:type="gramEnd"/>
      <w:r w:rsidR="00DB1635" w:rsidRPr="00B004EE">
        <w:rPr>
          <w:rFonts w:ascii="Tahoma" w:hAnsi="Tahoma" w:cs="Tahoma"/>
          <w:sz w:val="20"/>
          <w:szCs w:val="20"/>
        </w:rPr>
        <w:t xml:space="preserve"> </w:t>
      </w:r>
      <w:r w:rsidRPr="00B004EE">
        <w:rPr>
          <w:rFonts w:ascii="Tahoma" w:hAnsi="Tahoma" w:cs="Tahoma"/>
          <w:sz w:val="20"/>
          <w:szCs w:val="20"/>
        </w:rPr>
        <w:t>éclairage</w:t>
      </w:r>
      <w:r w:rsidR="00DB1635" w:rsidRPr="00B004EE">
        <w:rPr>
          <w:rFonts w:ascii="Tahoma" w:hAnsi="Tahoma" w:cs="Tahoma"/>
          <w:sz w:val="20"/>
          <w:szCs w:val="20"/>
        </w:rPr>
        <w:t xml:space="preserve"> </w:t>
      </w:r>
      <w:r w:rsidRPr="00B004EE">
        <w:rPr>
          <w:rFonts w:ascii="Tahoma" w:hAnsi="Tahoma" w:cs="Tahoma"/>
          <w:sz w:val="20"/>
          <w:szCs w:val="20"/>
        </w:rPr>
        <w:t>suffisant;</w:t>
      </w:r>
      <w:r w:rsidR="00DB1635" w:rsidRPr="00B004EE">
        <w:rPr>
          <w:rFonts w:ascii="Tahoma" w:hAnsi="Tahoma" w:cs="Tahoma"/>
          <w:sz w:val="20"/>
          <w:szCs w:val="20"/>
        </w:rPr>
        <w:t xml:space="preserve"> </w:t>
      </w:r>
    </w:p>
    <w:p w14:paraId="73E67CFE" w14:textId="1A892EF5" w:rsidR="002F24E1" w:rsidRPr="00B004EE" w:rsidRDefault="002F24E1" w:rsidP="00420DDA">
      <w:pPr>
        <w:pStyle w:val="Paragraphedeliste"/>
        <w:numPr>
          <w:ilvl w:val="1"/>
          <w:numId w:val="84"/>
        </w:numPr>
        <w:ind w:left="567"/>
        <w:jc w:val="both"/>
        <w:rPr>
          <w:rFonts w:ascii="Tahoma" w:hAnsi="Tahoma" w:cs="Tahoma"/>
          <w:sz w:val="20"/>
          <w:szCs w:val="20"/>
        </w:rPr>
      </w:pPr>
      <w:proofErr w:type="gramStart"/>
      <w:r w:rsidRPr="00B004EE">
        <w:rPr>
          <w:rFonts w:ascii="Tahoma" w:hAnsi="Tahoma" w:cs="Tahoma"/>
          <w:sz w:val="20"/>
          <w:szCs w:val="20"/>
        </w:rPr>
        <w:t>de</w:t>
      </w:r>
      <w:proofErr w:type="gramEnd"/>
      <w:r w:rsidR="00DB1635" w:rsidRPr="00B004EE">
        <w:rPr>
          <w:rFonts w:ascii="Tahoma" w:hAnsi="Tahoma" w:cs="Tahoma"/>
          <w:sz w:val="20"/>
          <w:szCs w:val="20"/>
        </w:rPr>
        <w:t xml:space="preserve"> </w:t>
      </w:r>
      <w:r w:rsidRPr="00B004EE">
        <w:rPr>
          <w:rFonts w:ascii="Tahoma" w:hAnsi="Tahoma" w:cs="Tahoma"/>
          <w:sz w:val="20"/>
          <w:szCs w:val="20"/>
        </w:rPr>
        <w:t>dispositifs</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nettoyage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désinfection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outils,</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matériel</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installations;</w:t>
      </w:r>
    </w:p>
    <w:p w14:paraId="6C562504" w14:textId="5EA38573" w:rsidR="002F24E1" w:rsidRPr="00B004EE" w:rsidRDefault="002F24E1" w:rsidP="00420DDA">
      <w:pPr>
        <w:pStyle w:val="Paragraphedeliste"/>
        <w:numPr>
          <w:ilvl w:val="1"/>
          <w:numId w:val="84"/>
        </w:numPr>
        <w:ind w:left="567"/>
        <w:jc w:val="both"/>
        <w:rPr>
          <w:rFonts w:ascii="Tahoma" w:hAnsi="Tahoma" w:cs="Tahoma"/>
          <w:sz w:val="20"/>
          <w:szCs w:val="20"/>
        </w:rPr>
      </w:pPr>
      <w:proofErr w:type="gramStart"/>
      <w:r w:rsidRPr="00B004EE">
        <w:rPr>
          <w:rFonts w:ascii="Tahoma" w:hAnsi="Tahoma" w:cs="Tahoma"/>
          <w:sz w:val="20"/>
          <w:szCs w:val="20"/>
        </w:rPr>
        <w:t>de</w:t>
      </w:r>
      <w:proofErr w:type="gramEnd"/>
      <w:r w:rsidR="00DB1635" w:rsidRPr="00B004EE">
        <w:rPr>
          <w:rFonts w:ascii="Tahoma" w:hAnsi="Tahoma" w:cs="Tahoma"/>
          <w:sz w:val="20"/>
          <w:szCs w:val="20"/>
        </w:rPr>
        <w:t xml:space="preserve"> </w:t>
      </w:r>
      <w:r w:rsidRPr="00B004EE">
        <w:rPr>
          <w:rFonts w:ascii="Tahoma" w:hAnsi="Tahoma" w:cs="Tahoma"/>
          <w:sz w:val="20"/>
          <w:szCs w:val="20"/>
        </w:rPr>
        <w:t>dispositifs</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nettoyage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désinfection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mains.</w:t>
      </w:r>
    </w:p>
    <w:p w14:paraId="3FD6F753" w14:textId="77777777" w:rsidR="002F24E1" w:rsidRPr="00B004EE" w:rsidRDefault="002F24E1" w:rsidP="00B004EE">
      <w:pPr>
        <w:jc w:val="both"/>
        <w:rPr>
          <w:rFonts w:ascii="Tahoma" w:hAnsi="Tahoma" w:cs="Tahoma"/>
          <w:sz w:val="20"/>
          <w:szCs w:val="20"/>
        </w:rPr>
      </w:pPr>
    </w:p>
    <w:p w14:paraId="34DB0225" w14:textId="1F5F0992" w:rsidR="002F24E1" w:rsidRPr="00B004EE" w:rsidRDefault="00AD7D88" w:rsidP="00B004EE">
      <w:pPr>
        <w:jc w:val="both"/>
        <w:rPr>
          <w:rFonts w:ascii="Tahoma" w:hAnsi="Tahoma" w:cs="Tahoma"/>
          <w:sz w:val="20"/>
          <w:szCs w:val="20"/>
        </w:rPr>
      </w:pPr>
      <w:r w:rsidRPr="00B004EE">
        <w:rPr>
          <w:rFonts w:ascii="Tahoma" w:hAnsi="Tahoma" w:cs="Tahoma"/>
          <w:bCs/>
          <w:sz w:val="20"/>
          <w:szCs w:val="20"/>
        </w:rPr>
        <w:t xml:space="preserve">Article </w:t>
      </w:r>
      <w:r w:rsidR="002F24E1" w:rsidRPr="00B004EE">
        <w:rPr>
          <w:rFonts w:ascii="Tahoma" w:hAnsi="Tahoma" w:cs="Tahoma"/>
          <w:bCs/>
          <w:sz w:val="20"/>
          <w:szCs w:val="20"/>
        </w:rPr>
        <w:t>22</w:t>
      </w:r>
      <w:r w:rsidR="00DB1635" w:rsidRPr="00B004EE">
        <w:rPr>
          <w:rFonts w:ascii="Tahoma" w:hAnsi="Tahoma" w:cs="Tahoma"/>
          <w:b/>
          <w:sz w:val="20"/>
          <w:szCs w:val="20"/>
        </w:rPr>
        <w:t xml:space="preserve"> </w:t>
      </w:r>
      <w:r w:rsidR="002F24E1" w:rsidRPr="00B004EE">
        <w:rPr>
          <w:rFonts w:ascii="Tahoma" w:hAnsi="Tahoma" w:cs="Tahoma"/>
          <w:b/>
          <w:sz w:val="20"/>
          <w:szCs w:val="20"/>
        </w:rPr>
        <w:t>:</w:t>
      </w:r>
      <w:r w:rsidR="00DB1635" w:rsidRPr="00B004EE">
        <w:rPr>
          <w:rFonts w:ascii="Tahoma" w:hAnsi="Tahoma" w:cs="Tahoma"/>
          <w:b/>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2F24E1" w:rsidRPr="00B004EE">
        <w:rPr>
          <w:rFonts w:ascii="Tahoma" w:hAnsi="Tahoma" w:cs="Tahoma"/>
          <w:sz w:val="20"/>
          <w:szCs w:val="20"/>
        </w:rPr>
        <w:t>dispositifs</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2F24E1" w:rsidRPr="00B004EE">
        <w:rPr>
          <w:rFonts w:ascii="Tahoma" w:hAnsi="Tahoma" w:cs="Tahoma"/>
          <w:sz w:val="20"/>
          <w:szCs w:val="20"/>
        </w:rPr>
        <w:t>outils</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travail,</w:t>
      </w:r>
      <w:r w:rsidR="00DB1635" w:rsidRPr="00B004EE">
        <w:rPr>
          <w:rFonts w:ascii="Tahoma" w:hAnsi="Tahoma" w:cs="Tahoma"/>
          <w:sz w:val="20"/>
          <w:szCs w:val="20"/>
        </w:rPr>
        <w:t xml:space="preserve"> </w:t>
      </w:r>
      <w:r w:rsidR="002F24E1" w:rsidRPr="00B004EE">
        <w:rPr>
          <w:rFonts w:ascii="Tahoma" w:hAnsi="Tahoma" w:cs="Tahoma"/>
          <w:sz w:val="20"/>
          <w:szCs w:val="20"/>
        </w:rPr>
        <w:t>notamment</w:t>
      </w:r>
      <w:r w:rsidR="00DB1635" w:rsidRPr="00B004EE">
        <w:rPr>
          <w:rFonts w:ascii="Tahoma" w:hAnsi="Tahoma" w:cs="Tahoma"/>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2F24E1" w:rsidRPr="00B004EE">
        <w:rPr>
          <w:rFonts w:ascii="Tahoma" w:hAnsi="Tahoma" w:cs="Tahoma"/>
          <w:sz w:val="20"/>
          <w:szCs w:val="20"/>
        </w:rPr>
        <w:t>tables</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découpe,</w:t>
      </w:r>
      <w:r w:rsidR="00DB1635" w:rsidRPr="00B004EE">
        <w:rPr>
          <w:rFonts w:ascii="Tahoma" w:hAnsi="Tahoma" w:cs="Tahoma"/>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2F24E1" w:rsidRPr="00B004EE">
        <w:rPr>
          <w:rFonts w:ascii="Tahoma" w:hAnsi="Tahoma" w:cs="Tahoma"/>
          <w:sz w:val="20"/>
          <w:szCs w:val="20"/>
        </w:rPr>
        <w:t>récipients,</w:t>
      </w:r>
      <w:r w:rsidR="00DB1635" w:rsidRPr="00B004EE">
        <w:rPr>
          <w:rFonts w:ascii="Tahoma" w:hAnsi="Tahoma" w:cs="Tahoma"/>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2F24E1" w:rsidRPr="00B004EE">
        <w:rPr>
          <w:rFonts w:ascii="Tahoma" w:hAnsi="Tahoma" w:cs="Tahoma"/>
          <w:sz w:val="20"/>
          <w:szCs w:val="20"/>
        </w:rPr>
        <w:t>bandes</w:t>
      </w:r>
      <w:r w:rsidR="00DB1635" w:rsidRPr="00B004EE">
        <w:rPr>
          <w:rFonts w:ascii="Tahoma" w:hAnsi="Tahoma" w:cs="Tahoma"/>
          <w:sz w:val="20"/>
          <w:szCs w:val="20"/>
        </w:rPr>
        <w:t xml:space="preserve"> </w:t>
      </w:r>
      <w:r w:rsidR="002F24E1" w:rsidRPr="00B004EE">
        <w:rPr>
          <w:rFonts w:ascii="Tahoma" w:hAnsi="Tahoma" w:cs="Tahoma"/>
          <w:sz w:val="20"/>
          <w:szCs w:val="20"/>
        </w:rPr>
        <w:t>transporteuses,</w:t>
      </w:r>
      <w:r w:rsidR="00DB1635" w:rsidRPr="00B004EE">
        <w:rPr>
          <w:rFonts w:ascii="Tahoma" w:hAnsi="Tahoma" w:cs="Tahoma"/>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2F24E1" w:rsidRPr="00B004EE">
        <w:rPr>
          <w:rFonts w:ascii="Tahoma" w:hAnsi="Tahoma" w:cs="Tahoma"/>
          <w:sz w:val="20"/>
          <w:szCs w:val="20"/>
        </w:rPr>
        <w:t>machines</w:t>
      </w:r>
      <w:r w:rsidR="00DB1635" w:rsidRPr="00B004EE">
        <w:rPr>
          <w:rFonts w:ascii="Tahoma" w:hAnsi="Tahoma" w:cs="Tahoma"/>
          <w:sz w:val="20"/>
          <w:szCs w:val="20"/>
        </w:rPr>
        <w:t xml:space="preserve"> </w:t>
      </w:r>
      <w:r w:rsidR="002F24E1" w:rsidRPr="00B004EE">
        <w:rPr>
          <w:rFonts w:ascii="Tahoma" w:hAnsi="Tahoma" w:cs="Tahoma"/>
          <w:sz w:val="20"/>
          <w:szCs w:val="20"/>
        </w:rPr>
        <w:t>à</w:t>
      </w:r>
      <w:r w:rsidR="00DB1635" w:rsidRPr="00B004EE">
        <w:rPr>
          <w:rFonts w:ascii="Tahoma" w:hAnsi="Tahoma" w:cs="Tahoma"/>
          <w:sz w:val="20"/>
          <w:szCs w:val="20"/>
        </w:rPr>
        <w:t xml:space="preserve"> </w:t>
      </w:r>
      <w:r w:rsidR="002F24E1" w:rsidRPr="00B004EE">
        <w:rPr>
          <w:rFonts w:ascii="Tahoma" w:hAnsi="Tahoma" w:cs="Tahoma"/>
          <w:sz w:val="20"/>
          <w:szCs w:val="20"/>
        </w:rPr>
        <w:t>éviscérer</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à</w:t>
      </w:r>
      <w:r w:rsidR="00DB1635" w:rsidRPr="00B004EE">
        <w:rPr>
          <w:rFonts w:ascii="Tahoma" w:hAnsi="Tahoma" w:cs="Tahoma"/>
          <w:sz w:val="20"/>
          <w:szCs w:val="20"/>
        </w:rPr>
        <w:t xml:space="preserve"> </w:t>
      </w:r>
      <w:r w:rsidR="002F24E1" w:rsidRPr="00B004EE">
        <w:rPr>
          <w:rFonts w:ascii="Tahoma" w:hAnsi="Tahoma" w:cs="Tahoma"/>
          <w:sz w:val="20"/>
          <w:szCs w:val="20"/>
        </w:rPr>
        <w:t>fileter,</w:t>
      </w:r>
      <w:r w:rsidR="00DB1635" w:rsidRPr="00B004EE">
        <w:rPr>
          <w:rFonts w:ascii="Tahoma" w:hAnsi="Tahoma" w:cs="Tahoma"/>
          <w:sz w:val="20"/>
          <w:szCs w:val="20"/>
        </w:rPr>
        <w:t xml:space="preserve"> </w:t>
      </w:r>
      <w:r w:rsidR="002F24E1" w:rsidRPr="00B004EE">
        <w:rPr>
          <w:rFonts w:ascii="Tahoma" w:hAnsi="Tahoma" w:cs="Tahoma"/>
          <w:sz w:val="20"/>
          <w:szCs w:val="20"/>
        </w:rPr>
        <w:t>doivent</w:t>
      </w:r>
      <w:r w:rsidR="00DB1635" w:rsidRPr="00B004EE">
        <w:rPr>
          <w:rFonts w:ascii="Tahoma" w:hAnsi="Tahoma" w:cs="Tahoma"/>
          <w:sz w:val="20"/>
          <w:szCs w:val="20"/>
        </w:rPr>
        <w:t xml:space="preserve"> </w:t>
      </w:r>
      <w:r w:rsidR="002F24E1" w:rsidRPr="00B004EE">
        <w:rPr>
          <w:rFonts w:ascii="Tahoma" w:hAnsi="Tahoma" w:cs="Tahoma"/>
          <w:sz w:val="20"/>
          <w:szCs w:val="20"/>
        </w:rPr>
        <w:t>être</w:t>
      </w:r>
      <w:r w:rsidR="00DB1635" w:rsidRPr="00B004EE">
        <w:rPr>
          <w:rFonts w:ascii="Tahoma" w:hAnsi="Tahoma" w:cs="Tahoma"/>
          <w:sz w:val="20"/>
          <w:szCs w:val="20"/>
        </w:rPr>
        <w:t xml:space="preserve"> </w:t>
      </w:r>
      <w:r w:rsidR="002F24E1" w:rsidRPr="00B004EE">
        <w:rPr>
          <w:rFonts w:ascii="Tahoma" w:hAnsi="Tahoma" w:cs="Tahoma"/>
          <w:sz w:val="20"/>
          <w:szCs w:val="20"/>
        </w:rPr>
        <w:t>en</w:t>
      </w:r>
      <w:r w:rsidR="00DB1635" w:rsidRPr="00B004EE">
        <w:rPr>
          <w:rFonts w:ascii="Tahoma" w:hAnsi="Tahoma" w:cs="Tahoma"/>
          <w:sz w:val="20"/>
          <w:szCs w:val="20"/>
        </w:rPr>
        <w:t xml:space="preserve"> </w:t>
      </w:r>
      <w:r w:rsidR="002F24E1" w:rsidRPr="00B004EE">
        <w:rPr>
          <w:rFonts w:ascii="Tahoma" w:hAnsi="Tahoma" w:cs="Tahoma"/>
          <w:sz w:val="20"/>
          <w:szCs w:val="20"/>
        </w:rPr>
        <w:t>matériaux</w:t>
      </w:r>
      <w:r w:rsidR="00DB1635" w:rsidRPr="00B004EE">
        <w:rPr>
          <w:rFonts w:ascii="Tahoma" w:hAnsi="Tahoma" w:cs="Tahoma"/>
          <w:sz w:val="20"/>
          <w:szCs w:val="20"/>
        </w:rPr>
        <w:t xml:space="preserve"> </w:t>
      </w:r>
      <w:r w:rsidR="000942DD" w:rsidRPr="00B004EE">
        <w:rPr>
          <w:rFonts w:ascii="Tahoma" w:hAnsi="Tahoma" w:cs="Tahoma"/>
          <w:sz w:val="20"/>
          <w:szCs w:val="20"/>
        </w:rPr>
        <w:t>lisses ;</w:t>
      </w:r>
      <w:r w:rsidR="00DB1635" w:rsidRPr="00B004EE">
        <w:rPr>
          <w:rFonts w:ascii="Tahoma" w:hAnsi="Tahoma" w:cs="Tahoma"/>
          <w:sz w:val="20"/>
          <w:szCs w:val="20"/>
        </w:rPr>
        <w:t xml:space="preserve"> </w:t>
      </w:r>
      <w:r w:rsidR="002F24E1" w:rsidRPr="00B004EE">
        <w:rPr>
          <w:rFonts w:ascii="Tahoma" w:hAnsi="Tahoma" w:cs="Tahoma"/>
          <w:sz w:val="20"/>
          <w:szCs w:val="20"/>
        </w:rPr>
        <w:t>résistant</w:t>
      </w:r>
      <w:r w:rsidR="00DB1635" w:rsidRPr="00B004EE">
        <w:rPr>
          <w:rFonts w:ascii="Tahoma" w:hAnsi="Tahoma" w:cs="Tahoma"/>
          <w:sz w:val="20"/>
          <w:szCs w:val="20"/>
        </w:rPr>
        <w:t xml:space="preserve"> </w:t>
      </w:r>
      <w:r w:rsidR="002F24E1" w:rsidRPr="00B004EE">
        <w:rPr>
          <w:rFonts w:ascii="Tahoma" w:hAnsi="Tahoma" w:cs="Tahoma"/>
          <w:sz w:val="20"/>
          <w:szCs w:val="20"/>
        </w:rPr>
        <w:t>à</w:t>
      </w:r>
      <w:r w:rsidR="00DB1635" w:rsidRPr="00B004EE">
        <w:rPr>
          <w:rFonts w:ascii="Tahoma" w:hAnsi="Tahoma" w:cs="Tahoma"/>
          <w:sz w:val="20"/>
          <w:szCs w:val="20"/>
        </w:rPr>
        <w:t xml:space="preserve"> </w:t>
      </w:r>
      <w:r w:rsidR="002F24E1" w:rsidRPr="00B004EE">
        <w:rPr>
          <w:rFonts w:ascii="Tahoma" w:hAnsi="Tahoma" w:cs="Tahoma"/>
          <w:sz w:val="20"/>
          <w:szCs w:val="20"/>
        </w:rPr>
        <w:t>la</w:t>
      </w:r>
      <w:r w:rsidR="00DB1635" w:rsidRPr="00B004EE">
        <w:rPr>
          <w:rFonts w:ascii="Tahoma" w:hAnsi="Tahoma" w:cs="Tahoma"/>
          <w:sz w:val="20"/>
          <w:szCs w:val="20"/>
        </w:rPr>
        <w:t xml:space="preserve"> </w:t>
      </w:r>
      <w:r w:rsidR="002F24E1" w:rsidRPr="00B004EE">
        <w:rPr>
          <w:rFonts w:ascii="Tahoma" w:hAnsi="Tahoma" w:cs="Tahoma"/>
          <w:sz w:val="20"/>
          <w:szCs w:val="20"/>
        </w:rPr>
        <w:t>corrosion</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l'eau</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mer,</w:t>
      </w:r>
      <w:r w:rsidR="00DB1635" w:rsidRPr="00B004EE">
        <w:rPr>
          <w:rFonts w:ascii="Tahoma" w:hAnsi="Tahoma" w:cs="Tahoma"/>
          <w:sz w:val="20"/>
          <w:szCs w:val="20"/>
        </w:rPr>
        <w:t xml:space="preserve"> </w:t>
      </w:r>
      <w:r w:rsidR="002F24E1" w:rsidRPr="00B004EE">
        <w:rPr>
          <w:rFonts w:ascii="Tahoma" w:hAnsi="Tahoma" w:cs="Tahoma"/>
          <w:sz w:val="20"/>
          <w:szCs w:val="20"/>
        </w:rPr>
        <w:t>faciles</w:t>
      </w:r>
      <w:r w:rsidR="00DB1635" w:rsidRPr="00B004EE">
        <w:rPr>
          <w:rFonts w:ascii="Tahoma" w:hAnsi="Tahoma" w:cs="Tahoma"/>
          <w:sz w:val="20"/>
          <w:szCs w:val="20"/>
        </w:rPr>
        <w:t xml:space="preserve"> </w:t>
      </w:r>
      <w:r w:rsidR="002F24E1" w:rsidRPr="00B004EE">
        <w:rPr>
          <w:rFonts w:ascii="Tahoma" w:hAnsi="Tahoma" w:cs="Tahoma"/>
          <w:sz w:val="20"/>
          <w:szCs w:val="20"/>
        </w:rPr>
        <w:t>à</w:t>
      </w:r>
      <w:r w:rsidR="00DB1635" w:rsidRPr="00B004EE">
        <w:rPr>
          <w:rFonts w:ascii="Tahoma" w:hAnsi="Tahoma" w:cs="Tahoma"/>
          <w:sz w:val="20"/>
          <w:szCs w:val="20"/>
        </w:rPr>
        <w:t xml:space="preserve"> </w:t>
      </w:r>
      <w:r w:rsidR="002F24E1" w:rsidRPr="00B004EE">
        <w:rPr>
          <w:rFonts w:ascii="Tahoma" w:hAnsi="Tahoma" w:cs="Tahoma"/>
          <w:sz w:val="20"/>
          <w:szCs w:val="20"/>
        </w:rPr>
        <w:t>nettoyer</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à</w:t>
      </w:r>
      <w:r w:rsidR="00DB1635" w:rsidRPr="00B004EE">
        <w:rPr>
          <w:rFonts w:ascii="Tahoma" w:hAnsi="Tahoma" w:cs="Tahoma"/>
          <w:sz w:val="20"/>
          <w:szCs w:val="20"/>
        </w:rPr>
        <w:t xml:space="preserve"> </w:t>
      </w:r>
      <w:r w:rsidR="002F24E1" w:rsidRPr="00B004EE">
        <w:rPr>
          <w:rFonts w:ascii="Tahoma" w:hAnsi="Tahoma" w:cs="Tahoma"/>
          <w:sz w:val="20"/>
          <w:szCs w:val="20"/>
        </w:rPr>
        <w:t>désinfecter</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maintenus</w:t>
      </w:r>
      <w:r w:rsidR="00DB1635" w:rsidRPr="00B004EE">
        <w:rPr>
          <w:rFonts w:ascii="Tahoma" w:hAnsi="Tahoma" w:cs="Tahoma"/>
          <w:sz w:val="20"/>
          <w:szCs w:val="20"/>
        </w:rPr>
        <w:t xml:space="preserve"> </w:t>
      </w:r>
      <w:r w:rsidR="002F24E1" w:rsidRPr="00B004EE">
        <w:rPr>
          <w:rFonts w:ascii="Tahoma" w:hAnsi="Tahoma" w:cs="Tahoma"/>
          <w:sz w:val="20"/>
          <w:szCs w:val="20"/>
        </w:rPr>
        <w:t>en</w:t>
      </w:r>
      <w:r w:rsidR="00DB1635" w:rsidRPr="00B004EE">
        <w:rPr>
          <w:rFonts w:ascii="Tahoma" w:hAnsi="Tahoma" w:cs="Tahoma"/>
          <w:sz w:val="20"/>
          <w:szCs w:val="20"/>
        </w:rPr>
        <w:t xml:space="preserve"> </w:t>
      </w:r>
      <w:r w:rsidR="002F24E1" w:rsidRPr="00B004EE">
        <w:rPr>
          <w:rFonts w:ascii="Tahoma" w:hAnsi="Tahoma" w:cs="Tahoma"/>
          <w:sz w:val="20"/>
          <w:szCs w:val="20"/>
        </w:rPr>
        <w:t>bon</w:t>
      </w:r>
      <w:r w:rsidR="00DB1635" w:rsidRPr="00B004EE">
        <w:rPr>
          <w:rFonts w:ascii="Tahoma" w:hAnsi="Tahoma" w:cs="Tahoma"/>
          <w:sz w:val="20"/>
          <w:szCs w:val="20"/>
        </w:rPr>
        <w:t xml:space="preserve"> </w:t>
      </w:r>
      <w:r w:rsidR="002F24E1" w:rsidRPr="00B004EE">
        <w:rPr>
          <w:rFonts w:ascii="Tahoma" w:hAnsi="Tahoma" w:cs="Tahoma"/>
          <w:sz w:val="20"/>
          <w:szCs w:val="20"/>
        </w:rPr>
        <w:t>état</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propreté</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d'entretien.</w:t>
      </w:r>
    </w:p>
    <w:p w14:paraId="50EE1ADC" w14:textId="77777777" w:rsidR="002F24E1" w:rsidRPr="00B004EE" w:rsidRDefault="002F24E1" w:rsidP="00B004EE">
      <w:pPr>
        <w:jc w:val="both"/>
        <w:rPr>
          <w:rFonts w:ascii="Tahoma" w:hAnsi="Tahoma" w:cs="Tahoma"/>
          <w:b/>
          <w:sz w:val="20"/>
          <w:szCs w:val="20"/>
        </w:rPr>
      </w:pPr>
    </w:p>
    <w:p w14:paraId="59894675" w14:textId="2EC8D685" w:rsidR="002F24E1" w:rsidRPr="00B004EE" w:rsidRDefault="00AD7D88" w:rsidP="00B004EE">
      <w:pPr>
        <w:jc w:val="both"/>
        <w:rPr>
          <w:rFonts w:ascii="Tahoma" w:hAnsi="Tahoma" w:cs="Tahoma"/>
          <w:sz w:val="20"/>
          <w:szCs w:val="20"/>
        </w:rPr>
      </w:pPr>
      <w:r w:rsidRPr="00B004EE">
        <w:rPr>
          <w:rFonts w:ascii="Tahoma" w:hAnsi="Tahoma" w:cs="Tahoma"/>
          <w:bCs/>
          <w:sz w:val="20"/>
          <w:szCs w:val="20"/>
        </w:rPr>
        <w:t xml:space="preserve">Article </w:t>
      </w:r>
      <w:r w:rsidR="002F24E1" w:rsidRPr="00B004EE">
        <w:rPr>
          <w:rFonts w:ascii="Tahoma" w:hAnsi="Tahoma" w:cs="Tahoma"/>
          <w:bCs/>
          <w:sz w:val="20"/>
          <w:szCs w:val="20"/>
        </w:rPr>
        <w:t>23</w:t>
      </w:r>
      <w:r w:rsidR="00DB1635" w:rsidRPr="00B004EE">
        <w:rPr>
          <w:rFonts w:ascii="Tahoma" w:hAnsi="Tahoma" w:cs="Tahoma"/>
          <w:b/>
          <w:sz w:val="20"/>
          <w:szCs w:val="20"/>
        </w:rPr>
        <w:t xml:space="preserve"> </w:t>
      </w:r>
      <w:r w:rsidR="002F24E1" w:rsidRPr="00B004EE">
        <w:rPr>
          <w:rFonts w:ascii="Tahoma" w:hAnsi="Tahoma" w:cs="Tahoma"/>
          <w:b/>
          <w:sz w:val="20"/>
          <w:szCs w:val="20"/>
        </w:rPr>
        <w:t>:</w:t>
      </w:r>
      <w:r w:rsidR="00DB1635" w:rsidRPr="00B004EE">
        <w:rPr>
          <w:rFonts w:ascii="Tahoma" w:hAnsi="Tahoma" w:cs="Tahoma"/>
          <w:b/>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2F24E1" w:rsidRPr="00B004EE">
        <w:rPr>
          <w:rFonts w:ascii="Tahoma" w:hAnsi="Tahoma" w:cs="Tahoma"/>
          <w:sz w:val="20"/>
          <w:szCs w:val="20"/>
        </w:rPr>
        <w:t>navires-usines</w:t>
      </w:r>
      <w:r w:rsidR="00DB1635" w:rsidRPr="00B004EE">
        <w:rPr>
          <w:rFonts w:ascii="Tahoma" w:hAnsi="Tahoma" w:cs="Tahoma"/>
          <w:sz w:val="20"/>
          <w:szCs w:val="20"/>
        </w:rPr>
        <w:t xml:space="preserve"> </w:t>
      </w:r>
      <w:r w:rsidR="002F24E1" w:rsidRPr="00B004EE">
        <w:rPr>
          <w:rFonts w:ascii="Tahoma" w:hAnsi="Tahoma" w:cs="Tahoma"/>
          <w:sz w:val="20"/>
          <w:szCs w:val="20"/>
        </w:rPr>
        <w:t>qui</w:t>
      </w:r>
      <w:r w:rsidR="00DB1635" w:rsidRPr="00B004EE">
        <w:rPr>
          <w:rFonts w:ascii="Tahoma" w:hAnsi="Tahoma" w:cs="Tahoma"/>
          <w:sz w:val="20"/>
          <w:szCs w:val="20"/>
        </w:rPr>
        <w:t xml:space="preserve"> </w:t>
      </w:r>
      <w:r w:rsidR="002F24E1" w:rsidRPr="00B004EE">
        <w:rPr>
          <w:rFonts w:ascii="Tahoma" w:hAnsi="Tahoma" w:cs="Tahoma"/>
          <w:sz w:val="20"/>
          <w:szCs w:val="20"/>
        </w:rPr>
        <w:t>congèlent</w:t>
      </w:r>
      <w:r w:rsidR="00DB1635" w:rsidRPr="00B004EE">
        <w:rPr>
          <w:rFonts w:ascii="Tahoma" w:hAnsi="Tahoma" w:cs="Tahoma"/>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2F24E1" w:rsidRPr="00B004EE">
        <w:rPr>
          <w:rFonts w:ascii="Tahoma" w:hAnsi="Tahoma" w:cs="Tahoma"/>
          <w:sz w:val="20"/>
          <w:szCs w:val="20"/>
        </w:rPr>
        <w:t>produits</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la</w:t>
      </w:r>
      <w:r w:rsidR="00DB1635" w:rsidRPr="00B004EE">
        <w:rPr>
          <w:rFonts w:ascii="Tahoma" w:hAnsi="Tahoma" w:cs="Tahoma"/>
          <w:sz w:val="20"/>
          <w:szCs w:val="20"/>
        </w:rPr>
        <w:t xml:space="preserve"> </w:t>
      </w:r>
      <w:r w:rsidR="002F24E1" w:rsidRPr="00B004EE">
        <w:rPr>
          <w:rFonts w:ascii="Tahoma" w:hAnsi="Tahoma" w:cs="Tahoma"/>
          <w:sz w:val="20"/>
          <w:szCs w:val="20"/>
        </w:rPr>
        <w:t>pêche</w:t>
      </w:r>
      <w:r w:rsidR="00DB1635" w:rsidRPr="00B004EE">
        <w:rPr>
          <w:rFonts w:ascii="Tahoma" w:hAnsi="Tahoma" w:cs="Tahoma"/>
          <w:sz w:val="20"/>
          <w:szCs w:val="20"/>
        </w:rPr>
        <w:t xml:space="preserve"> </w:t>
      </w:r>
      <w:r w:rsidR="002F24E1" w:rsidRPr="00B004EE">
        <w:rPr>
          <w:rFonts w:ascii="Tahoma" w:hAnsi="Tahoma" w:cs="Tahoma"/>
          <w:sz w:val="20"/>
          <w:szCs w:val="20"/>
        </w:rPr>
        <w:t>doivent</w:t>
      </w:r>
      <w:r w:rsidR="00DB1635" w:rsidRPr="00B004EE">
        <w:rPr>
          <w:rFonts w:ascii="Tahoma" w:hAnsi="Tahoma" w:cs="Tahoma"/>
          <w:sz w:val="20"/>
          <w:szCs w:val="20"/>
        </w:rPr>
        <w:t xml:space="preserve"> </w:t>
      </w:r>
      <w:r w:rsidR="002F24E1" w:rsidRPr="00B004EE">
        <w:rPr>
          <w:rFonts w:ascii="Tahoma" w:hAnsi="Tahoma" w:cs="Tahoma"/>
          <w:sz w:val="20"/>
          <w:szCs w:val="20"/>
        </w:rPr>
        <w:t>disposer</w:t>
      </w:r>
      <w:r w:rsidR="00DB1635" w:rsidRPr="00B004EE">
        <w:rPr>
          <w:rFonts w:ascii="Tahoma" w:hAnsi="Tahoma" w:cs="Tahoma"/>
          <w:sz w:val="20"/>
          <w:szCs w:val="20"/>
        </w:rPr>
        <w:t xml:space="preserve"> </w:t>
      </w:r>
      <w:r w:rsidR="002F24E1" w:rsidRPr="00B004EE">
        <w:rPr>
          <w:rFonts w:ascii="Tahoma" w:hAnsi="Tahoma" w:cs="Tahoma"/>
          <w:sz w:val="20"/>
          <w:szCs w:val="20"/>
        </w:rPr>
        <w:t>d'une</w:t>
      </w:r>
      <w:r w:rsidR="00DB1635" w:rsidRPr="00B004EE">
        <w:rPr>
          <w:rFonts w:ascii="Tahoma" w:hAnsi="Tahoma" w:cs="Tahoma"/>
          <w:sz w:val="20"/>
          <w:szCs w:val="20"/>
        </w:rPr>
        <w:t xml:space="preserve"> </w:t>
      </w:r>
      <w:r w:rsidR="002F24E1" w:rsidRPr="00B004EE">
        <w:rPr>
          <w:rFonts w:ascii="Tahoma" w:hAnsi="Tahoma" w:cs="Tahoma"/>
          <w:sz w:val="20"/>
          <w:szCs w:val="20"/>
        </w:rPr>
        <w:t>installation</w:t>
      </w:r>
      <w:r w:rsidR="00DB1635" w:rsidRPr="00B004EE">
        <w:rPr>
          <w:rFonts w:ascii="Tahoma" w:hAnsi="Tahoma" w:cs="Tahoma"/>
          <w:sz w:val="20"/>
          <w:szCs w:val="20"/>
        </w:rPr>
        <w:t xml:space="preserve"> </w:t>
      </w:r>
      <w:r w:rsidR="002F24E1" w:rsidRPr="00B004EE">
        <w:rPr>
          <w:rFonts w:ascii="Tahoma" w:hAnsi="Tahoma" w:cs="Tahoma"/>
          <w:sz w:val="20"/>
          <w:szCs w:val="20"/>
        </w:rPr>
        <w:t>d'une</w:t>
      </w:r>
      <w:r w:rsidR="00DB1635" w:rsidRPr="00B004EE">
        <w:rPr>
          <w:rFonts w:ascii="Tahoma" w:hAnsi="Tahoma" w:cs="Tahoma"/>
          <w:sz w:val="20"/>
          <w:szCs w:val="20"/>
        </w:rPr>
        <w:t xml:space="preserve"> </w:t>
      </w:r>
      <w:r w:rsidR="002F24E1" w:rsidRPr="00B004EE">
        <w:rPr>
          <w:rFonts w:ascii="Tahoma" w:hAnsi="Tahoma" w:cs="Tahoma"/>
          <w:sz w:val="20"/>
          <w:szCs w:val="20"/>
        </w:rPr>
        <w:t>puissance</w:t>
      </w:r>
      <w:r w:rsidR="00DB1635" w:rsidRPr="00B004EE">
        <w:rPr>
          <w:rFonts w:ascii="Tahoma" w:hAnsi="Tahoma" w:cs="Tahoma"/>
          <w:sz w:val="20"/>
          <w:szCs w:val="20"/>
        </w:rPr>
        <w:t xml:space="preserve"> </w:t>
      </w:r>
      <w:r w:rsidR="002F24E1" w:rsidRPr="00B004EE">
        <w:rPr>
          <w:rFonts w:ascii="Tahoma" w:hAnsi="Tahoma" w:cs="Tahoma"/>
          <w:sz w:val="20"/>
          <w:szCs w:val="20"/>
        </w:rPr>
        <w:t>frigorifique</w:t>
      </w:r>
      <w:r w:rsidR="00DB1635" w:rsidRPr="00B004EE">
        <w:rPr>
          <w:rFonts w:ascii="Tahoma" w:hAnsi="Tahoma" w:cs="Tahoma"/>
          <w:sz w:val="20"/>
          <w:szCs w:val="20"/>
        </w:rPr>
        <w:t xml:space="preserve"> </w:t>
      </w:r>
      <w:r w:rsidR="002F24E1" w:rsidRPr="00B004EE">
        <w:rPr>
          <w:rFonts w:ascii="Tahoma" w:hAnsi="Tahoma" w:cs="Tahoma"/>
          <w:sz w:val="20"/>
          <w:szCs w:val="20"/>
        </w:rPr>
        <w:t>suffisante</w:t>
      </w:r>
      <w:r w:rsidR="00DB1635" w:rsidRPr="00B004EE">
        <w:rPr>
          <w:rFonts w:ascii="Tahoma" w:hAnsi="Tahoma" w:cs="Tahoma"/>
          <w:sz w:val="20"/>
          <w:szCs w:val="20"/>
        </w:rPr>
        <w:t xml:space="preserve"> </w:t>
      </w:r>
      <w:r w:rsidR="000942DD" w:rsidRPr="00B004EE">
        <w:rPr>
          <w:rFonts w:ascii="Tahoma" w:hAnsi="Tahoma" w:cs="Tahoma"/>
          <w:sz w:val="20"/>
          <w:szCs w:val="20"/>
        </w:rPr>
        <w:t>pour :</w:t>
      </w:r>
    </w:p>
    <w:p w14:paraId="0260DCDC" w14:textId="488340B9" w:rsidR="002F24E1" w:rsidRPr="00B004EE" w:rsidRDefault="002F24E1" w:rsidP="00420DDA">
      <w:pPr>
        <w:pStyle w:val="Paragraphedeliste"/>
        <w:numPr>
          <w:ilvl w:val="0"/>
          <w:numId w:val="85"/>
        </w:numPr>
        <w:ind w:left="567"/>
        <w:jc w:val="both"/>
        <w:rPr>
          <w:rFonts w:ascii="Tahoma" w:hAnsi="Tahoma" w:cs="Tahoma"/>
          <w:sz w:val="20"/>
          <w:szCs w:val="20"/>
        </w:rPr>
      </w:pPr>
      <w:proofErr w:type="gramStart"/>
      <w:r w:rsidRPr="00B004EE">
        <w:rPr>
          <w:rFonts w:ascii="Tahoma" w:hAnsi="Tahoma" w:cs="Tahoma"/>
          <w:sz w:val="20"/>
          <w:szCs w:val="20"/>
        </w:rPr>
        <w:t>soumettre</w:t>
      </w:r>
      <w:proofErr w:type="gramEnd"/>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abaissement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température</w:t>
      </w:r>
      <w:r w:rsidR="00DB1635" w:rsidRPr="00B004EE">
        <w:rPr>
          <w:rFonts w:ascii="Tahoma" w:hAnsi="Tahoma" w:cs="Tahoma"/>
          <w:sz w:val="20"/>
          <w:szCs w:val="20"/>
        </w:rPr>
        <w:t xml:space="preserve"> </w:t>
      </w:r>
      <w:r w:rsidRPr="00B004EE">
        <w:rPr>
          <w:rFonts w:ascii="Tahoma" w:hAnsi="Tahoma" w:cs="Tahoma"/>
          <w:sz w:val="20"/>
          <w:szCs w:val="20"/>
        </w:rPr>
        <w:t>rapide</w:t>
      </w:r>
      <w:r w:rsidR="00DB1635" w:rsidRPr="00B004EE">
        <w:rPr>
          <w:rFonts w:ascii="Tahoma" w:hAnsi="Tahoma" w:cs="Tahoma"/>
          <w:sz w:val="20"/>
          <w:szCs w:val="20"/>
        </w:rPr>
        <w:t xml:space="preserve"> </w:t>
      </w:r>
      <w:r w:rsidRPr="00B004EE">
        <w:rPr>
          <w:rFonts w:ascii="Tahoma" w:hAnsi="Tahoma" w:cs="Tahoma"/>
          <w:sz w:val="20"/>
          <w:szCs w:val="20"/>
        </w:rPr>
        <w:t>permettant</w:t>
      </w:r>
      <w:r w:rsidR="00DB1635" w:rsidRPr="00B004EE">
        <w:rPr>
          <w:rFonts w:ascii="Tahoma" w:hAnsi="Tahoma" w:cs="Tahoma"/>
          <w:sz w:val="20"/>
          <w:szCs w:val="20"/>
        </w:rPr>
        <w:t xml:space="preserve"> </w:t>
      </w:r>
      <w:r w:rsidRPr="00B004EE">
        <w:rPr>
          <w:rFonts w:ascii="Tahoma" w:hAnsi="Tahoma" w:cs="Tahoma"/>
          <w:sz w:val="20"/>
          <w:szCs w:val="20"/>
        </w:rPr>
        <w:t>d'obtenir</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température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cœur</w:t>
      </w:r>
      <w:r w:rsidR="00DB1635" w:rsidRPr="00B004EE">
        <w:rPr>
          <w:rFonts w:ascii="Tahoma" w:hAnsi="Tahoma" w:cs="Tahoma"/>
          <w:sz w:val="20"/>
          <w:szCs w:val="20"/>
        </w:rPr>
        <w:t xml:space="preserve"> </w:t>
      </w:r>
      <w:r w:rsidRPr="00B004EE">
        <w:rPr>
          <w:rFonts w:ascii="Tahoma" w:hAnsi="Tahoma" w:cs="Tahoma"/>
          <w:sz w:val="20"/>
          <w:szCs w:val="20"/>
        </w:rPr>
        <w:t>d'au</w:t>
      </w:r>
      <w:r w:rsidR="00DB1635" w:rsidRPr="00B004EE">
        <w:rPr>
          <w:rFonts w:ascii="Tahoma" w:hAnsi="Tahoma" w:cs="Tahoma"/>
          <w:sz w:val="20"/>
          <w:szCs w:val="20"/>
        </w:rPr>
        <w:t xml:space="preserve"> </w:t>
      </w:r>
      <w:r w:rsidRPr="00B004EE">
        <w:rPr>
          <w:rFonts w:ascii="Tahoma" w:hAnsi="Tahoma" w:cs="Tahoma"/>
          <w:sz w:val="20"/>
          <w:szCs w:val="20"/>
        </w:rPr>
        <w:t>plus</w:t>
      </w:r>
      <w:r w:rsidR="00DB1635" w:rsidRPr="00B004EE">
        <w:rPr>
          <w:rFonts w:ascii="Tahoma" w:hAnsi="Tahoma" w:cs="Tahoma"/>
          <w:sz w:val="20"/>
          <w:szCs w:val="20"/>
        </w:rPr>
        <w:t xml:space="preserve"> </w:t>
      </w:r>
      <w:r w:rsidRPr="00B004EE">
        <w:rPr>
          <w:rFonts w:ascii="Tahoma" w:hAnsi="Tahoma" w:cs="Tahoma"/>
          <w:sz w:val="20"/>
          <w:szCs w:val="20"/>
        </w:rPr>
        <w:t>-18°C;</w:t>
      </w:r>
    </w:p>
    <w:p w14:paraId="59059C0B" w14:textId="6D5FABF5" w:rsidR="002F24E1" w:rsidRPr="00B004EE" w:rsidRDefault="002F24E1" w:rsidP="00420DDA">
      <w:pPr>
        <w:pStyle w:val="Paragraphedeliste"/>
        <w:numPr>
          <w:ilvl w:val="0"/>
          <w:numId w:val="85"/>
        </w:numPr>
        <w:ind w:left="567"/>
        <w:jc w:val="both"/>
        <w:rPr>
          <w:rFonts w:ascii="Tahoma" w:hAnsi="Tahoma" w:cs="Tahoma"/>
          <w:sz w:val="20"/>
          <w:szCs w:val="20"/>
        </w:rPr>
      </w:pPr>
      <w:proofErr w:type="gramStart"/>
      <w:r w:rsidRPr="00B004EE">
        <w:rPr>
          <w:rFonts w:ascii="Tahoma" w:hAnsi="Tahoma" w:cs="Tahoma"/>
          <w:sz w:val="20"/>
          <w:szCs w:val="20"/>
        </w:rPr>
        <w:t>maintenir</w:t>
      </w:r>
      <w:proofErr w:type="gramEnd"/>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cales</w:t>
      </w:r>
      <w:r w:rsidR="00DB1635" w:rsidRPr="00B004EE">
        <w:rPr>
          <w:rFonts w:ascii="Tahoma" w:hAnsi="Tahoma" w:cs="Tahoma"/>
          <w:sz w:val="20"/>
          <w:szCs w:val="20"/>
        </w:rPr>
        <w:t xml:space="preserve"> </w:t>
      </w:r>
      <w:r w:rsidRPr="00B004EE">
        <w:rPr>
          <w:rFonts w:ascii="Tahoma" w:hAnsi="Tahoma" w:cs="Tahoma"/>
          <w:sz w:val="20"/>
          <w:szCs w:val="20"/>
        </w:rPr>
        <w:t>d'entreposage</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température</w:t>
      </w:r>
      <w:r w:rsidR="00DB1635" w:rsidRPr="00B004EE">
        <w:rPr>
          <w:rFonts w:ascii="Tahoma" w:hAnsi="Tahoma" w:cs="Tahoma"/>
          <w:sz w:val="20"/>
          <w:szCs w:val="20"/>
        </w:rPr>
        <w:t xml:space="preserve"> </w:t>
      </w:r>
      <w:r w:rsidRPr="00B004EE">
        <w:rPr>
          <w:rFonts w:ascii="Tahoma" w:hAnsi="Tahoma" w:cs="Tahoma"/>
          <w:sz w:val="20"/>
          <w:szCs w:val="20"/>
        </w:rPr>
        <w:t>conforme.</w:t>
      </w:r>
    </w:p>
    <w:p w14:paraId="47402DB6" w14:textId="4CFAF093" w:rsidR="002F24E1" w:rsidRPr="00B004EE" w:rsidRDefault="002F24E1" w:rsidP="00420DDA">
      <w:pPr>
        <w:pStyle w:val="Paragraphedeliste"/>
        <w:numPr>
          <w:ilvl w:val="0"/>
          <w:numId w:val="85"/>
        </w:numPr>
        <w:ind w:left="567"/>
        <w:jc w:val="both"/>
        <w:rPr>
          <w:rFonts w:ascii="Tahoma" w:hAnsi="Tahoma" w:cs="Tahoma"/>
          <w:sz w:val="20"/>
          <w:szCs w:val="20"/>
        </w:rPr>
      </w:pPr>
      <w:r w:rsidRPr="00B004EE">
        <w:rPr>
          <w:rFonts w:ascii="Tahoma" w:hAnsi="Tahoma" w:cs="Tahoma"/>
          <w:sz w:val="20"/>
          <w:szCs w:val="20"/>
        </w:rPr>
        <w:lastRenderedPageBreak/>
        <w:t>Les</w:t>
      </w:r>
      <w:r w:rsidR="00DB1635" w:rsidRPr="00B004EE">
        <w:rPr>
          <w:rFonts w:ascii="Tahoma" w:hAnsi="Tahoma" w:cs="Tahoma"/>
          <w:sz w:val="20"/>
          <w:szCs w:val="20"/>
        </w:rPr>
        <w:t xml:space="preserve"> </w:t>
      </w:r>
      <w:r w:rsidRPr="00B004EE">
        <w:rPr>
          <w:rFonts w:ascii="Tahoma" w:hAnsi="Tahoma" w:cs="Tahoma"/>
          <w:sz w:val="20"/>
          <w:szCs w:val="20"/>
        </w:rPr>
        <w:t>cales</w:t>
      </w:r>
      <w:r w:rsidR="00DB1635" w:rsidRPr="00B004EE">
        <w:rPr>
          <w:rFonts w:ascii="Tahoma" w:hAnsi="Tahoma" w:cs="Tahoma"/>
          <w:sz w:val="20"/>
          <w:szCs w:val="20"/>
        </w:rPr>
        <w:t xml:space="preserve"> </w:t>
      </w:r>
      <w:r w:rsidRPr="00B004EE">
        <w:rPr>
          <w:rFonts w:ascii="Tahoma" w:hAnsi="Tahoma" w:cs="Tahoma"/>
          <w:sz w:val="20"/>
          <w:szCs w:val="20"/>
        </w:rPr>
        <w:t>d'entreposage</w:t>
      </w:r>
      <w:r w:rsidR="00DB1635" w:rsidRPr="00B004EE">
        <w:rPr>
          <w:rFonts w:ascii="Tahoma" w:hAnsi="Tahoma" w:cs="Tahoma"/>
          <w:sz w:val="20"/>
          <w:szCs w:val="20"/>
        </w:rPr>
        <w:t xml:space="preserve"> </w:t>
      </w:r>
      <w:r w:rsidRPr="00B004EE">
        <w:rPr>
          <w:rFonts w:ascii="Tahoma" w:hAnsi="Tahoma" w:cs="Tahoma"/>
          <w:sz w:val="20"/>
          <w:szCs w:val="20"/>
        </w:rPr>
        <w:t>doivent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munies</w:t>
      </w:r>
      <w:r w:rsidR="00DB1635" w:rsidRPr="00B004EE">
        <w:rPr>
          <w:rFonts w:ascii="Tahoma" w:hAnsi="Tahoma" w:cs="Tahoma"/>
          <w:sz w:val="20"/>
          <w:szCs w:val="20"/>
        </w:rPr>
        <w:t xml:space="preserve"> </w:t>
      </w:r>
      <w:r w:rsidRPr="00B004EE">
        <w:rPr>
          <w:rFonts w:ascii="Tahoma" w:hAnsi="Tahoma" w:cs="Tahoma"/>
          <w:sz w:val="20"/>
          <w:szCs w:val="20"/>
        </w:rPr>
        <w:t>d'un</w:t>
      </w:r>
      <w:r w:rsidR="00DB1635" w:rsidRPr="00B004EE">
        <w:rPr>
          <w:rFonts w:ascii="Tahoma" w:hAnsi="Tahoma" w:cs="Tahoma"/>
          <w:sz w:val="20"/>
          <w:szCs w:val="20"/>
        </w:rPr>
        <w:t xml:space="preserve"> </w:t>
      </w:r>
      <w:r w:rsidRPr="00B004EE">
        <w:rPr>
          <w:rFonts w:ascii="Tahoma" w:hAnsi="Tahoma" w:cs="Tahoma"/>
          <w:sz w:val="20"/>
          <w:szCs w:val="20"/>
        </w:rPr>
        <w:t>système</w:t>
      </w:r>
      <w:r w:rsidR="00DB1635" w:rsidRPr="00B004EE">
        <w:rPr>
          <w:rFonts w:ascii="Tahoma" w:hAnsi="Tahoma" w:cs="Tahoma"/>
          <w:sz w:val="20"/>
          <w:szCs w:val="20"/>
        </w:rPr>
        <w:t xml:space="preserve"> </w:t>
      </w:r>
      <w:r w:rsidRPr="00B004EE">
        <w:rPr>
          <w:rFonts w:ascii="Tahoma" w:hAnsi="Tahoma" w:cs="Tahoma"/>
          <w:sz w:val="20"/>
          <w:szCs w:val="20"/>
        </w:rPr>
        <w:t>d'enregistrement</w:t>
      </w:r>
      <w:r w:rsidR="00DB1635" w:rsidRPr="00B004EE">
        <w:rPr>
          <w:rFonts w:ascii="Tahoma" w:hAnsi="Tahoma" w:cs="Tahoma"/>
          <w:sz w:val="20"/>
          <w:szCs w:val="20"/>
        </w:rPr>
        <w:t xml:space="preserve"> </w:t>
      </w:r>
      <w:r w:rsidRPr="00B004EE">
        <w:rPr>
          <w:rFonts w:ascii="Tahoma" w:hAnsi="Tahoma" w:cs="Tahoma"/>
          <w:sz w:val="20"/>
          <w:szCs w:val="20"/>
        </w:rPr>
        <w:t>thermographique.</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graphiques</w:t>
      </w:r>
      <w:r w:rsidR="00DB1635" w:rsidRPr="00B004EE">
        <w:rPr>
          <w:rFonts w:ascii="Tahoma" w:hAnsi="Tahoma" w:cs="Tahoma"/>
          <w:sz w:val="20"/>
          <w:szCs w:val="20"/>
        </w:rPr>
        <w:t xml:space="preserve"> </w:t>
      </w:r>
      <w:r w:rsidRPr="00B004EE">
        <w:rPr>
          <w:rFonts w:ascii="Tahoma" w:hAnsi="Tahoma" w:cs="Tahoma"/>
          <w:sz w:val="20"/>
          <w:szCs w:val="20"/>
        </w:rPr>
        <w:t>d'enregistrement</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conservés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disposition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agents</w:t>
      </w:r>
      <w:r w:rsidR="00DB1635" w:rsidRPr="00B004EE">
        <w:rPr>
          <w:rFonts w:ascii="Tahoma" w:hAnsi="Tahoma" w:cs="Tahoma"/>
          <w:sz w:val="20"/>
          <w:szCs w:val="20"/>
        </w:rPr>
        <w:t xml:space="preserve"> </w:t>
      </w:r>
      <w:r w:rsidRPr="00B004EE">
        <w:rPr>
          <w:rFonts w:ascii="Tahoma" w:hAnsi="Tahoma" w:cs="Tahoma"/>
          <w:sz w:val="20"/>
          <w:szCs w:val="20"/>
        </w:rPr>
        <w:t>d'inspection</w:t>
      </w:r>
      <w:r w:rsidR="00DB1635" w:rsidRPr="00B004EE">
        <w:rPr>
          <w:rFonts w:ascii="Tahoma" w:hAnsi="Tahoma" w:cs="Tahoma"/>
          <w:sz w:val="20"/>
          <w:szCs w:val="20"/>
        </w:rPr>
        <w:t xml:space="preserve"> </w:t>
      </w:r>
      <w:r w:rsidRPr="00B004EE">
        <w:rPr>
          <w:rFonts w:ascii="Tahoma" w:hAnsi="Tahoma" w:cs="Tahoma"/>
          <w:sz w:val="20"/>
          <w:szCs w:val="20"/>
        </w:rPr>
        <w:t>pendant</w:t>
      </w:r>
      <w:r w:rsidR="00DB1635" w:rsidRPr="00B004EE">
        <w:rPr>
          <w:rFonts w:ascii="Tahoma" w:hAnsi="Tahoma" w:cs="Tahoma"/>
          <w:sz w:val="20"/>
          <w:szCs w:val="20"/>
        </w:rPr>
        <w:t xml:space="preserve"> </w:t>
      </w: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délai</w:t>
      </w:r>
      <w:r w:rsidR="00DB1635" w:rsidRPr="00B004EE">
        <w:rPr>
          <w:rFonts w:ascii="Tahoma" w:hAnsi="Tahoma" w:cs="Tahoma"/>
          <w:sz w:val="20"/>
          <w:szCs w:val="20"/>
        </w:rPr>
        <w:t xml:space="preserve"> </w:t>
      </w:r>
      <w:r w:rsidRPr="00B004EE">
        <w:rPr>
          <w:rFonts w:ascii="Tahoma" w:hAnsi="Tahoma" w:cs="Tahoma"/>
          <w:sz w:val="20"/>
          <w:szCs w:val="20"/>
        </w:rPr>
        <w:t>d'</w:t>
      </w:r>
      <w:r w:rsidR="000942DD"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moins</w:t>
      </w:r>
      <w:r w:rsidR="00DB1635" w:rsidRPr="00B004EE">
        <w:rPr>
          <w:rFonts w:ascii="Tahoma" w:hAnsi="Tahoma" w:cs="Tahoma"/>
          <w:sz w:val="20"/>
          <w:szCs w:val="20"/>
        </w:rPr>
        <w:t xml:space="preserve"> </w:t>
      </w:r>
      <w:r w:rsidRPr="00B004EE">
        <w:rPr>
          <w:rFonts w:ascii="Tahoma" w:hAnsi="Tahoma" w:cs="Tahoma"/>
          <w:sz w:val="20"/>
          <w:szCs w:val="20"/>
        </w:rPr>
        <w:t>trois</w:t>
      </w:r>
      <w:r w:rsidR="00DB1635" w:rsidRPr="00B004EE">
        <w:rPr>
          <w:rFonts w:ascii="Tahoma" w:hAnsi="Tahoma" w:cs="Tahoma"/>
          <w:sz w:val="20"/>
          <w:szCs w:val="20"/>
        </w:rPr>
        <w:t xml:space="preserve"> </w:t>
      </w:r>
      <w:r w:rsidRPr="00B004EE">
        <w:rPr>
          <w:rFonts w:ascii="Tahoma" w:hAnsi="Tahoma" w:cs="Tahoma"/>
          <w:sz w:val="20"/>
          <w:szCs w:val="20"/>
        </w:rPr>
        <w:t>mois.</w:t>
      </w:r>
    </w:p>
    <w:p w14:paraId="1F39B215" w14:textId="77777777" w:rsidR="00E32DBF" w:rsidRPr="00B004EE" w:rsidRDefault="00E32DBF" w:rsidP="00B004EE">
      <w:pPr>
        <w:jc w:val="both"/>
        <w:rPr>
          <w:rFonts w:ascii="Tahoma" w:hAnsi="Tahoma" w:cs="Tahoma"/>
          <w:sz w:val="20"/>
          <w:szCs w:val="20"/>
        </w:rPr>
      </w:pPr>
    </w:p>
    <w:p w14:paraId="5290C576" w14:textId="6C8E4FEE" w:rsidR="002F24E1" w:rsidRPr="00B004EE" w:rsidRDefault="002F24E1" w:rsidP="00B004EE">
      <w:pPr>
        <w:tabs>
          <w:tab w:val="left" w:pos="567"/>
          <w:tab w:val="left" w:pos="2268"/>
        </w:tabs>
        <w:jc w:val="center"/>
        <w:rPr>
          <w:rFonts w:ascii="Tahoma" w:hAnsi="Tahoma" w:cs="Tahoma"/>
          <w:b/>
          <w:sz w:val="20"/>
          <w:szCs w:val="20"/>
        </w:rPr>
      </w:pPr>
      <w:r w:rsidRPr="00B004EE">
        <w:rPr>
          <w:rFonts w:ascii="Tahoma" w:hAnsi="Tahoma" w:cs="Tahoma"/>
          <w:b/>
          <w:sz w:val="20"/>
          <w:szCs w:val="20"/>
        </w:rPr>
        <w:t>CHAPITRE</w:t>
      </w:r>
      <w:r w:rsidR="00DB1635" w:rsidRPr="00B004EE">
        <w:rPr>
          <w:rFonts w:ascii="Tahoma" w:hAnsi="Tahoma" w:cs="Tahoma"/>
          <w:b/>
          <w:sz w:val="20"/>
          <w:szCs w:val="20"/>
        </w:rPr>
        <w:t xml:space="preserve"> </w:t>
      </w:r>
      <w:r w:rsidRPr="00B004EE">
        <w:rPr>
          <w:rFonts w:ascii="Tahoma" w:hAnsi="Tahoma" w:cs="Tahoma"/>
          <w:b/>
          <w:sz w:val="20"/>
          <w:szCs w:val="20"/>
        </w:rPr>
        <w:t>II</w:t>
      </w:r>
      <w:r w:rsidR="00DB1635" w:rsidRPr="00B004EE">
        <w:rPr>
          <w:rFonts w:ascii="Tahoma" w:hAnsi="Tahoma" w:cs="Tahoma"/>
          <w:b/>
          <w:sz w:val="20"/>
          <w:szCs w:val="20"/>
        </w:rPr>
        <w:t xml:space="preserve"> </w:t>
      </w:r>
      <w:r w:rsidRPr="00B004EE">
        <w:rPr>
          <w:rFonts w:ascii="Tahoma" w:hAnsi="Tahoma" w:cs="Tahoma"/>
          <w:b/>
          <w:sz w:val="20"/>
          <w:szCs w:val="20"/>
        </w:rPr>
        <w:t>:</w:t>
      </w:r>
      <w:r w:rsidR="00DB1635" w:rsidRPr="00B004EE">
        <w:rPr>
          <w:rFonts w:ascii="Tahoma" w:hAnsi="Tahoma" w:cs="Tahoma"/>
          <w:b/>
          <w:sz w:val="20"/>
          <w:szCs w:val="20"/>
        </w:rPr>
        <w:t xml:space="preserve"> </w:t>
      </w:r>
      <w:r w:rsidRPr="00B004EE">
        <w:rPr>
          <w:rFonts w:ascii="Tahoma" w:hAnsi="Tahoma" w:cs="Tahoma"/>
          <w:b/>
          <w:sz w:val="20"/>
          <w:szCs w:val="20"/>
        </w:rPr>
        <w:t>ASSURANCE</w:t>
      </w:r>
      <w:r w:rsidR="00DB1635" w:rsidRPr="00B004EE">
        <w:rPr>
          <w:rFonts w:ascii="Tahoma" w:hAnsi="Tahoma" w:cs="Tahoma"/>
          <w:b/>
          <w:sz w:val="20"/>
          <w:szCs w:val="20"/>
        </w:rPr>
        <w:t xml:space="preserve"> </w:t>
      </w:r>
      <w:r w:rsidRPr="00B004EE">
        <w:rPr>
          <w:rFonts w:ascii="Tahoma" w:hAnsi="Tahoma" w:cs="Tahoma"/>
          <w:b/>
          <w:sz w:val="20"/>
          <w:szCs w:val="20"/>
        </w:rPr>
        <w:t>DE</w:t>
      </w:r>
      <w:r w:rsidR="00DB1635" w:rsidRPr="00B004EE">
        <w:rPr>
          <w:rFonts w:ascii="Tahoma" w:hAnsi="Tahoma" w:cs="Tahoma"/>
          <w:b/>
          <w:sz w:val="20"/>
          <w:szCs w:val="20"/>
        </w:rPr>
        <w:t xml:space="preserve"> </w:t>
      </w:r>
      <w:r w:rsidRPr="00B004EE">
        <w:rPr>
          <w:rFonts w:ascii="Tahoma" w:hAnsi="Tahoma" w:cs="Tahoma"/>
          <w:b/>
          <w:sz w:val="20"/>
          <w:szCs w:val="20"/>
        </w:rPr>
        <w:t>L'HYGIENE</w:t>
      </w:r>
      <w:r w:rsidR="00DB1635" w:rsidRPr="00B004EE">
        <w:rPr>
          <w:rFonts w:ascii="Tahoma" w:hAnsi="Tahoma" w:cs="Tahoma"/>
          <w:b/>
          <w:sz w:val="20"/>
          <w:szCs w:val="20"/>
        </w:rPr>
        <w:t xml:space="preserve"> </w:t>
      </w:r>
      <w:r w:rsidRPr="00B004EE">
        <w:rPr>
          <w:rFonts w:ascii="Tahoma" w:hAnsi="Tahoma" w:cs="Tahoma"/>
          <w:b/>
          <w:sz w:val="20"/>
          <w:szCs w:val="20"/>
        </w:rPr>
        <w:t>A</w:t>
      </w:r>
      <w:r w:rsidR="00DB1635" w:rsidRPr="00B004EE">
        <w:rPr>
          <w:rFonts w:ascii="Tahoma" w:hAnsi="Tahoma" w:cs="Tahoma"/>
          <w:b/>
          <w:sz w:val="20"/>
          <w:szCs w:val="20"/>
        </w:rPr>
        <w:t xml:space="preserve"> </w:t>
      </w:r>
      <w:r w:rsidRPr="00B004EE">
        <w:rPr>
          <w:rFonts w:ascii="Tahoma" w:hAnsi="Tahoma" w:cs="Tahoma"/>
          <w:b/>
          <w:sz w:val="20"/>
          <w:szCs w:val="20"/>
        </w:rPr>
        <w:t>BORD</w:t>
      </w:r>
      <w:r w:rsidR="00DB1635" w:rsidRPr="00B004EE">
        <w:rPr>
          <w:rFonts w:ascii="Tahoma" w:hAnsi="Tahoma" w:cs="Tahoma"/>
          <w:b/>
          <w:sz w:val="20"/>
          <w:szCs w:val="20"/>
        </w:rPr>
        <w:t xml:space="preserve"> </w:t>
      </w:r>
      <w:r w:rsidRPr="00B004EE">
        <w:rPr>
          <w:rFonts w:ascii="Tahoma" w:hAnsi="Tahoma" w:cs="Tahoma"/>
          <w:b/>
          <w:sz w:val="20"/>
          <w:szCs w:val="20"/>
        </w:rPr>
        <w:t>DES</w:t>
      </w:r>
      <w:r w:rsidR="00DB1635" w:rsidRPr="00B004EE">
        <w:rPr>
          <w:rFonts w:ascii="Tahoma" w:hAnsi="Tahoma" w:cs="Tahoma"/>
          <w:b/>
          <w:sz w:val="20"/>
          <w:szCs w:val="20"/>
        </w:rPr>
        <w:t xml:space="preserve"> </w:t>
      </w:r>
      <w:r w:rsidRPr="00B004EE">
        <w:rPr>
          <w:rFonts w:ascii="Tahoma" w:hAnsi="Tahoma" w:cs="Tahoma"/>
          <w:b/>
          <w:sz w:val="20"/>
          <w:szCs w:val="20"/>
        </w:rPr>
        <w:t>NAVIRES</w:t>
      </w:r>
      <w:r w:rsidR="00DB1635" w:rsidRPr="00B004EE">
        <w:rPr>
          <w:rFonts w:ascii="Tahoma" w:hAnsi="Tahoma" w:cs="Tahoma"/>
          <w:b/>
          <w:sz w:val="20"/>
          <w:szCs w:val="20"/>
        </w:rPr>
        <w:t xml:space="preserve"> </w:t>
      </w:r>
      <w:r w:rsidRPr="00B004EE">
        <w:rPr>
          <w:rFonts w:ascii="Tahoma" w:hAnsi="Tahoma" w:cs="Tahoma"/>
          <w:b/>
          <w:sz w:val="20"/>
          <w:szCs w:val="20"/>
        </w:rPr>
        <w:t>USINES</w:t>
      </w:r>
    </w:p>
    <w:p w14:paraId="16F41849" w14:textId="77777777" w:rsidR="002F24E1" w:rsidRPr="00B004EE" w:rsidRDefault="002F24E1" w:rsidP="00B004EE">
      <w:pPr>
        <w:jc w:val="both"/>
        <w:rPr>
          <w:rFonts w:ascii="Tahoma" w:hAnsi="Tahoma" w:cs="Tahoma"/>
          <w:b/>
          <w:sz w:val="20"/>
          <w:szCs w:val="20"/>
        </w:rPr>
      </w:pPr>
    </w:p>
    <w:p w14:paraId="2D5468E2" w14:textId="3E07A61D" w:rsidR="002F24E1" w:rsidRPr="00B004EE" w:rsidRDefault="00AD7D88" w:rsidP="00B004EE">
      <w:pPr>
        <w:jc w:val="both"/>
        <w:rPr>
          <w:rFonts w:ascii="Tahoma" w:hAnsi="Tahoma" w:cs="Tahoma"/>
          <w:sz w:val="20"/>
          <w:szCs w:val="20"/>
        </w:rPr>
      </w:pPr>
      <w:r w:rsidRPr="00B004EE">
        <w:rPr>
          <w:rFonts w:ascii="Tahoma" w:hAnsi="Tahoma" w:cs="Tahoma"/>
          <w:bCs/>
          <w:sz w:val="20"/>
          <w:szCs w:val="20"/>
        </w:rPr>
        <w:t xml:space="preserve">Article </w:t>
      </w:r>
      <w:r w:rsidR="002F24E1" w:rsidRPr="00B004EE">
        <w:rPr>
          <w:rFonts w:ascii="Tahoma" w:hAnsi="Tahoma" w:cs="Tahoma"/>
          <w:bCs/>
          <w:sz w:val="20"/>
          <w:szCs w:val="20"/>
        </w:rPr>
        <w:t>24</w:t>
      </w:r>
      <w:r w:rsidR="00DB1635" w:rsidRPr="00B004EE">
        <w:rPr>
          <w:rFonts w:ascii="Tahoma" w:hAnsi="Tahoma" w:cs="Tahoma"/>
          <w:b/>
          <w:sz w:val="20"/>
          <w:szCs w:val="20"/>
        </w:rPr>
        <w:t xml:space="preserve"> </w:t>
      </w:r>
      <w:r w:rsidR="002F24E1" w:rsidRPr="00B004EE">
        <w:rPr>
          <w:rFonts w:ascii="Tahoma" w:hAnsi="Tahoma" w:cs="Tahoma"/>
          <w:b/>
          <w:sz w:val="20"/>
          <w:szCs w:val="20"/>
        </w:rPr>
        <w:t>:</w:t>
      </w:r>
      <w:r w:rsidR="00DB1635" w:rsidRPr="00B004EE">
        <w:rPr>
          <w:rFonts w:ascii="Tahoma" w:hAnsi="Tahoma" w:cs="Tahoma"/>
          <w:b/>
          <w:sz w:val="20"/>
          <w:szCs w:val="20"/>
        </w:rPr>
        <w:t xml:space="preserve"> </w:t>
      </w:r>
      <w:r w:rsidR="002F24E1" w:rsidRPr="00B004EE">
        <w:rPr>
          <w:rFonts w:ascii="Tahoma" w:hAnsi="Tahoma" w:cs="Tahoma"/>
          <w:sz w:val="20"/>
          <w:szCs w:val="20"/>
        </w:rPr>
        <w:t>Un</w:t>
      </w:r>
      <w:r w:rsidR="00DB1635" w:rsidRPr="00B004EE">
        <w:rPr>
          <w:rFonts w:ascii="Tahoma" w:hAnsi="Tahoma" w:cs="Tahoma"/>
          <w:sz w:val="20"/>
          <w:szCs w:val="20"/>
        </w:rPr>
        <w:t xml:space="preserve"> </w:t>
      </w:r>
      <w:r w:rsidR="002F24E1" w:rsidRPr="00B004EE">
        <w:rPr>
          <w:rFonts w:ascii="Tahoma" w:hAnsi="Tahoma" w:cs="Tahoma"/>
          <w:sz w:val="20"/>
          <w:szCs w:val="20"/>
        </w:rPr>
        <w:t>membre</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l'équipage</w:t>
      </w:r>
      <w:r w:rsidR="00DB1635" w:rsidRPr="00B004EE">
        <w:rPr>
          <w:rFonts w:ascii="Tahoma" w:hAnsi="Tahoma" w:cs="Tahoma"/>
          <w:sz w:val="20"/>
          <w:szCs w:val="20"/>
        </w:rPr>
        <w:t xml:space="preserve"> </w:t>
      </w:r>
      <w:r w:rsidR="002F24E1" w:rsidRPr="00B004EE">
        <w:rPr>
          <w:rFonts w:ascii="Tahoma" w:hAnsi="Tahoma" w:cs="Tahoma"/>
          <w:sz w:val="20"/>
          <w:szCs w:val="20"/>
        </w:rPr>
        <w:t>doit</w:t>
      </w:r>
      <w:r w:rsidR="00DB1635" w:rsidRPr="00B004EE">
        <w:rPr>
          <w:rFonts w:ascii="Tahoma" w:hAnsi="Tahoma" w:cs="Tahoma"/>
          <w:sz w:val="20"/>
          <w:szCs w:val="20"/>
        </w:rPr>
        <w:t xml:space="preserve"> </w:t>
      </w:r>
      <w:r w:rsidR="002F24E1" w:rsidRPr="00B004EE">
        <w:rPr>
          <w:rFonts w:ascii="Tahoma" w:hAnsi="Tahoma" w:cs="Tahoma"/>
          <w:sz w:val="20"/>
          <w:szCs w:val="20"/>
        </w:rPr>
        <w:t>être</w:t>
      </w:r>
      <w:r w:rsidR="00DB1635" w:rsidRPr="00B004EE">
        <w:rPr>
          <w:rFonts w:ascii="Tahoma" w:hAnsi="Tahoma" w:cs="Tahoma"/>
          <w:sz w:val="20"/>
          <w:szCs w:val="20"/>
        </w:rPr>
        <w:t xml:space="preserve"> </w:t>
      </w:r>
      <w:r w:rsidR="002F24E1" w:rsidRPr="00B004EE">
        <w:rPr>
          <w:rFonts w:ascii="Tahoma" w:hAnsi="Tahoma" w:cs="Tahoma"/>
          <w:sz w:val="20"/>
          <w:szCs w:val="20"/>
        </w:rPr>
        <w:t>rendu</w:t>
      </w:r>
      <w:r w:rsidR="00DB1635" w:rsidRPr="00B004EE">
        <w:rPr>
          <w:rFonts w:ascii="Tahoma" w:hAnsi="Tahoma" w:cs="Tahoma"/>
          <w:sz w:val="20"/>
          <w:szCs w:val="20"/>
        </w:rPr>
        <w:t xml:space="preserve"> </w:t>
      </w:r>
      <w:r w:rsidR="002F24E1" w:rsidRPr="00B004EE">
        <w:rPr>
          <w:rFonts w:ascii="Tahoma" w:hAnsi="Tahoma" w:cs="Tahoma"/>
          <w:sz w:val="20"/>
          <w:szCs w:val="20"/>
        </w:rPr>
        <w:t>responsable</w:t>
      </w:r>
      <w:r w:rsidR="00DB1635" w:rsidRPr="00B004EE">
        <w:rPr>
          <w:rFonts w:ascii="Tahoma" w:hAnsi="Tahoma" w:cs="Tahoma"/>
          <w:sz w:val="20"/>
          <w:szCs w:val="20"/>
        </w:rPr>
        <w:t xml:space="preserve"> </w:t>
      </w:r>
      <w:r w:rsidR="002F24E1" w:rsidRPr="00B004EE">
        <w:rPr>
          <w:rFonts w:ascii="Tahoma" w:hAnsi="Tahoma" w:cs="Tahoma"/>
          <w:sz w:val="20"/>
          <w:szCs w:val="20"/>
        </w:rPr>
        <w:t>par</w:t>
      </w:r>
      <w:r w:rsidR="00DB1635" w:rsidRPr="00B004EE">
        <w:rPr>
          <w:rFonts w:ascii="Tahoma" w:hAnsi="Tahoma" w:cs="Tahoma"/>
          <w:sz w:val="20"/>
          <w:szCs w:val="20"/>
        </w:rPr>
        <w:t xml:space="preserve"> </w:t>
      </w:r>
      <w:r w:rsidR="002F24E1" w:rsidRPr="00B004EE">
        <w:rPr>
          <w:rFonts w:ascii="Tahoma" w:hAnsi="Tahoma" w:cs="Tahoma"/>
          <w:sz w:val="20"/>
          <w:szCs w:val="20"/>
        </w:rPr>
        <w:t>l'armateur</w:t>
      </w:r>
      <w:r w:rsidR="00DB1635" w:rsidRPr="00B004EE">
        <w:rPr>
          <w:rFonts w:ascii="Tahoma" w:hAnsi="Tahoma" w:cs="Tahoma"/>
          <w:sz w:val="20"/>
          <w:szCs w:val="20"/>
        </w:rPr>
        <w:t xml:space="preserve"> </w:t>
      </w:r>
      <w:r w:rsidR="002F24E1" w:rsidRPr="00B004EE">
        <w:rPr>
          <w:rFonts w:ascii="Tahoma" w:hAnsi="Tahoma" w:cs="Tahoma"/>
          <w:sz w:val="20"/>
          <w:szCs w:val="20"/>
        </w:rPr>
        <w:t>ou</w:t>
      </w:r>
      <w:r w:rsidR="00DB1635" w:rsidRPr="00B004EE">
        <w:rPr>
          <w:rFonts w:ascii="Tahoma" w:hAnsi="Tahoma" w:cs="Tahoma"/>
          <w:sz w:val="20"/>
          <w:szCs w:val="20"/>
        </w:rPr>
        <w:t xml:space="preserve"> </w:t>
      </w:r>
      <w:r w:rsidR="002F24E1" w:rsidRPr="00B004EE">
        <w:rPr>
          <w:rFonts w:ascii="Tahoma" w:hAnsi="Tahoma" w:cs="Tahoma"/>
          <w:sz w:val="20"/>
          <w:szCs w:val="20"/>
        </w:rPr>
        <w:t>son</w:t>
      </w:r>
      <w:r w:rsidR="00DB1635" w:rsidRPr="00B004EE">
        <w:rPr>
          <w:rFonts w:ascii="Tahoma" w:hAnsi="Tahoma" w:cs="Tahoma"/>
          <w:sz w:val="20"/>
          <w:szCs w:val="20"/>
        </w:rPr>
        <w:t xml:space="preserve"> </w:t>
      </w:r>
      <w:r w:rsidR="002F24E1" w:rsidRPr="00B004EE">
        <w:rPr>
          <w:rFonts w:ascii="Tahoma" w:hAnsi="Tahoma" w:cs="Tahoma"/>
          <w:sz w:val="20"/>
          <w:szCs w:val="20"/>
        </w:rPr>
        <w:t>représentant,</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la</w:t>
      </w:r>
      <w:r w:rsidR="00DB1635" w:rsidRPr="00B004EE">
        <w:rPr>
          <w:rFonts w:ascii="Tahoma" w:hAnsi="Tahoma" w:cs="Tahoma"/>
          <w:sz w:val="20"/>
          <w:szCs w:val="20"/>
        </w:rPr>
        <w:t xml:space="preserve"> </w:t>
      </w:r>
      <w:r w:rsidR="002F24E1" w:rsidRPr="00B004EE">
        <w:rPr>
          <w:rFonts w:ascii="Tahoma" w:hAnsi="Tahoma" w:cs="Tahoma"/>
          <w:sz w:val="20"/>
          <w:szCs w:val="20"/>
        </w:rPr>
        <w:t>qualité</w:t>
      </w:r>
      <w:r w:rsidR="00DB1635" w:rsidRPr="00B004EE">
        <w:rPr>
          <w:rFonts w:ascii="Tahoma" w:hAnsi="Tahoma" w:cs="Tahoma"/>
          <w:sz w:val="20"/>
          <w:szCs w:val="20"/>
        </w:rPr>
        <w:t xml:space="preserve"> </w:t>
      </w:r>
      <w:r w:rsidR="002F24E1" w:rsidRPr="00B004EE">
        <w:rPr>
          <w:rFonts w:ascii="Tahoma" w:hAnsi="Tahoma" w:cs="Tahoma"/>
          <w:sz w:val="20"/>
          <w:szCs w:val="20"/>
        </w:rPr>
        <w:t>sanitaire</w:t>
      </w:r>
      <w:r w:rsidR="00DB1635" w:rsidRPr="00B004EE">
        <w:rPr>
          <w:rFonts w:ascii="Tahoma" w:hAnsi="Tahoma" w:cs="Tahoma"/>
          <w:sz w:val="20"/>
          <w:szCs w:val="20"/>
        </w:rPr>
        <w:t xml:space="preserve"> </w:t>
      </w:r>
      <w:r w:rsidR="002F24E1" w:rsidRPr="00B004EE">
        <w:rPr>
          <w:rFonts w:ascii="Tahoma" w:hAnsi="Tahoma" w:cs="Tahoma"/>
          <w:sz w:val="20"/>
          <w:szCs w:val="20"/>
        </w:rPr>
        <w:t>des</w:t>
      </w:r>
      <w:r w:rsidR="00DB1635" w:rsidRPr="00B004EE">
        <w:rPr>
          <w:rFonts w:ascii="Tahoma" w:hAnsi="Tahoma" w:cs="Tahoma"/>
          <w:sz w:val="20"/>
          <w:szCs w:val="20"/>
        </w:rPr>
        <w:t xml:space="preserve"> </w:t>
      </w:r>
      <w:r w:rsidR="002F24E1" w:rsidRPr="00B004EE">
        <w:rPr>
          <w:rFonts w:ascii="Tahoma" w:hAnsi="Tahoma" w:cs="Tahoma"/>
          <w:sz w:val="20"/>
          <w:szCs w:val="20"/>
        </w:rPr>
        <w:t>produits</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la</w:t>
      </w:r>
      <w:r w:rsidR="00DB1635" w:rsidRPr="00B004EE">
        <w:rPr>
          <w:rFonts w:ascii="Tahoma" w:hAnsi="Tahoma" w:cs="Tahoma"/>
          <w:sz w:val="20"/>
          <w:szCs w:val="20"/>
        </w:rPr>
        <w:t xml:space="preserve"> </w:t>
      </w:r>
      <w:r w:rsidR="002F24E1" w:rsidRPr="00B004EE">
        <w:rPr>
          <w:rFonts w:ascii="Tahoma" w:hAnsi="Tahoma" w:cs="Tahoma"/>
          <w:sz w:val="20"/>
          <w:szCs w:val="20"/>
        </w:rPr>
        <w:t>pêche.</w:t>
      </w:r>
      <w:r w:rsidR="00DB1635" w:rsidRPr="00B004EE">
        <w:rPr>
          <w:rFonts w:ascii="Tahoma" w:hAnsi="Tahoma" w:cs="Tahoma"/>
          <w:sz w:val="20"/>
          <w:szCs w:val="20"/>
        </w:rPr>
        <w:t xml:space="preserve"> </w:t>
      </w:r>
      <w:r w:rsidR="002F24E1" w:rsidRPr="00B004EE">
        <w:rPr>
          <w:rFonts w:ascii="Tahoma" w:hAnsi="Tahoma" w:cs="Tahoma"/>
          <w:sz w:val="20"/>
          <w:szCs w:val="20"/>
        </w:rPr>
        <w:t>Il</w:t>
      </w:r>
      <w:r w:rsidR="00DB1635" w:rsidRPr="00B004EE">
        <w:rPr>
          <w:rFonts w:ascii="Tahoma" w:hAnsi="Tahoma" w:cs="Tahoma"/>
          <w:sz w:val="20"/>
          <w:szCs w:val="20"/>
        </w:rPr>
        <w:t xml:space="preserve"> </w:t>
      </w:r>
      <w:r w:rsidR="002F24E1" w:rsidRPr="00B004EE">
        <w:rPr>
          <w:rFonts w:ascii="Tahoma" w:hAnsi="Tahoma" w:cs="Tahoma"/>
          <w:sz w:val="20"/>
          <w:szCs w:val="20"/>
        </w:rPr>
        <w:t>doit</w:t>
      </w:r>
      <w:r w:rsidR="00DB1635" w:rsidRPr="00B004EE">
        <w:rPr>
          <w:rFonts w:ascii="Tahoma" w:hAnsi="Tahoma" w:cs="Tahoma"/>
          <w:sz w:val="20"/>
          <w:szCs w:val="20"/>
        </w:rPr>
        <w:t xml:space="preserve"> </w:t>
      </w:r>
      <w:r w:rsidR="002F24E1" w:rsidRPr="00B004EE">
        <w:rPr>
          <w:rFonts w:ascii="Tahoma" w:hAnsi="Tahoma" w:cs="Tahoma"/>
          <w:sz w:val="20"/>
          <w:szCs w:val="20"/>
        </w:rPr>
        <w:t>être</w:t>
      </w:r>
      <w:r w:rsidR="00DB1635" w:rsidRPr="00B004EE">
        <w:rPr>
          <w:rFonts w:ascii="Tahoma" w:hAnsi="Tahoma" w:cs="Tahoma"/>
          <w:sz w:val="20"/>
          <w:szCs w:val="20"/>
        </w:rPr>
        <w:t xml:space="preserve"> </w:t>
      </w:r>
      <w:r w:rsidR="002F24E1" w:rsidRPr="00B004EE">
        <w:rPr>
          <w:rFonts w:ascii="Tahoma" w:hAnsi="Tahoma" w:cs="Tahoma"/>
          <w:sz w:val="20"/>
          <w:szCs w:val="20"/>
        </w:rPr>
        <w:t>investi</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l'autorité</w:t>
      </w:r>
      <w:r w:rsidR="00DB1635" w:rsidRPr="00B004EE">
        <w:rPr>
          <w:rFonts w:ascii="Tahoma" w:hAnsi="Tahoma" w:cs="Tahoma"/>
          <w:sz w:val="20"/>
          <w:szCs w:val="20"/>
        </w:rPr>
        <w:t xml:space="preserve"> </w:t>
      </w:r>
      <w:r w:rsidR="002F24E1" w:rsidRPr="00B004EE">
        <w:rPr>
          <w:rFonts w:ascii="Tahoma" w:hAnsi="Tahoma" w:cs="Tahoma"/>
          <w:sz w:val="20"/>
          <w:szCs w:val="20"/>
        </w:rPr>
        <w:t>nécessaire</w:t>
      </w:r>
      <w:r w:rsidR="00DB1635" w:rsidRPr="00B004EE">
        <w:rPr>
          <w:rFonts w:ascii="Tahoma" w:hAnsi="Tahoma" w:cs="Tahoma"/>
          <w:sz w:val="20"/>
          <w:szCs w:val="20"/>
        </w:rPr>
        <w:t xml:space="preserve"> </w:t>
      </w:r>
      <w:r w:rsidR="002F24E1" w:rsidRPr="00B004EE">
        <w:rPr>
          <w:rFonts w:ascii="Tahoma" w:hAnsi="Tahoma" w:cs="Tahoma"/>
          <w:sz w:val="20"/>
          <w:szCs w:val="20"/>
        </w:rPr>
        <w:t>pour</w:t>
      </w:r>
      <w:r w:rsidR="00DB1635" w:rsidRPr="00B004EE">
        <w:rPr>
          <w:rFonts w:ascii="Tahoma" w:hAnsi="Tahoma" w:cs="Tahoma"/>
          <w:sz w:val="20"/>
          <w:szCs w:val="20"/>
        </w:rPr>
        <w:t xml:space="preserve"> </w:t>
      </w:r>
      <w:r w:rsidR="002F24E1" w:rsidRPr="00B004EE">
        <w:rPr>
          <w:rFonts w:ascii="Tahoma" w:hAnsi="Tahoma" w:cs="Tahoma"/>
          <w:sz w:val="20"/>
          <w:szCs w:val="20"/>
        </w:rPr>
        <w:t>faire</w:t>
      </w:r>
      <w:r w:rsidR="00DB1635" w:rsidRPr="00B004EE">
        <w:rPr>
          <w:rFonts w:ascii="Tahoma" w:hAnsi="Tahoma" w:cs="Tahoma"/>
          <w:sz w:val="20"/>
          <w:szCs w:val="20"/>
        </w:rPr>
        <w:t xml:space="preserve"> </w:t>
      </w:r>
      <w:r w:rsidR="002F24E1" w:rsidRPr="00B004EE">
        <w:rPr>
          <w:rFonts w:ascii="Tahoma" w:hAnsi="Tahoma" w:cs="Tahoma"/>
          <w:sz w:val="20"/>
          <w:szCs w:val="20"/>
        </w:rPr>
        <w:t>appliquer</w:t>
      </w:r>
      <w:r w:rsidR="00DB1635" w:rsidRPr="00B004EE">
        <w:rPr>
          <w:rFonts w:ascii="Tahoma" w:hAnsi="Tahoma" w:cs="Tahoma"/>
          <w:sz w:val="20"/>
          <w:szCs w:val="20"/>
        </w:rPr>
        <w:t xml:space="preserve"> </w:t>
      </w:r>
      <w:r w:rsidR="002F24E1" w:rsidRPr="00B004EE">
        <w:rPr>
          <w:rFonts w:ascii="Tahoma" w:hAnsi="Tahoma" w:cs="Tahoma"/>
          <w:sz w:val="20"/>
          <w:szCs w:val="20"/>
        </w:rPr>
        <w:t>à</w:t>
      </w:r>
      <w:r w:rsidR="00DB1635" w:rsidRPr="00B004EE">
        <w:rPr>
          <w:rFonts w:ascii="Tahoma" w:hAnsi="Tahoma" w:cs="Tahoma"/>
          <w:sz w:val="20"/>
          <w:szCs w:val="20"/>
        </w:rPr>
        <w:t xml:space="preserve"> </w:t>
      </w:r>
      <w:r w:rsidR="002F24E1" w:rsidRPr="00B004EE">
        <w:rPr>
          <w:rFonts w:ascii="Tahoma" w:hAnsi="Tahoma" w:cs="Tahoma"/>
          <w:sz w:val="20"/>
          <w:szCs w:val="20"/>
        </w:rPr>
        <w:t>bord</w:t>
      </w:r>
      <w:r w:rsidR="00DB1635" w:rsidRPr="00B004EE">
        <w:rPr>
          <w:rFonts w:ascii="Tahoma" w:hAnsi="Tahoma" w:cs="Tahoma"/>
          <w:sz w:val="20"/>
          <w:szCs w:val="20"/>
        </w:rPr>
        <w:t xml:space="preserve"> </w:t>
      </w:r>
      <w:r w:rsidR="002F24E1" w:rsidRPr="00B004EE">
        <w:rPr>
          <w:rFonts w:ascii="Tahoma" w:hAnsi="Tahoma" w:cs="Tahoma"/>
          <w:sz w:val="20"/>
          <w:szCs w:val="20"/>
        </w:rPr>
        <w:t>du</w:t>
      </w:r>
      <w:r w:rsidR="00DB1635" w:rsidRPr="00B004EE">
        <w:rPr>
          <w:rFonts w:ascii="Tahoma" w:hAnsi="Tahoma" w:cs="Tahoma"/>
          <w:sz w:val="20"/>
          <w:szCs w:val="20"/>
        </w:rPr>
        <w:t xml:space="preserve"> </w:t>
      </w:r>
      <w:r w:rsidR="002F24E1" w:rsidRPr="00B004EE">
        <w:rPr>
          <w:rFonts w:ascii="Tahoma" w:hAnsi="Tahoma" w:cs="Tahoma"/>
          <w:sz w:val="20"/>
          <w:szCs w:val="20"/>
        </w:rPr>
        <w:t>navire-usine</w:t>
      </w:r>
      <w:r w:rsidR="00DB1635" w:rsidRPr="00B004EE">
        <w:rPr>
          <w:rFonts w:ascii="Tahoma" w:hAnsi="Tahoma" w:cs="Tahoma"/>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2F24E1" w:rsidRPr="00B004EE">
        <w:rPr>
          <w:rFonts w:ascii="Tahoma" w:hAnsi="Tahoma" w:cs="Tahoma"/>
          <w:sz w:val="20"/>
          <w:szCs w:val="20"/>
        </w:rPr>
        <w:t>bonnes</w:t>
      </w:r>
      <w:r w:rsidR="00DB1635" w:rsidRPr="00B004EE">
        <w:rPr>
          <w:rFonts w:ascii="Tahoma" w:hAnsi="Tahoma" w:cs="Tahoma"/>
          <w:sz w:val="20"/>
          <w:szCs w:val="20"/>
        </w:rPr>
        <w:t xml:space="preserve"> </w:t>
      </w:r>
      <w:r w:rsidR="002F24E1" w:rsidRPr="00B004EE">
        <w:rPr>
          <w:rFonts w:ascii="Tahoma" w:hAnsi="Tahoma" w:cs="Tahoma"/>
          <w:sz w:val="20"/>
          <w:szCs w:val="20"/>
        </w:rPr>
        <w:t>pratiques</w:t>
      </w:r>
      <w:r w:rsidR="00DB1635" w:rsidRPr="00B004EE">
        <w:rPr>
          <w:rFonts w:ascii="Tahoma" w:hAnsi="Tahoma" w:cs="Tahoma"/>
          <w:sz w:val="20"/>
          <w:szCs w:val="20"/>
        </w:rPr>
        <w:t xml:space="preserve"> </w:t>
      </w:r>
      <w:r w:rsidR="002F24E1" w:rsidRPr="00B004EE">
        <w:rPr>
          <w:rFonts w:ascii="Tahoma" w:hAnsi="Tahoma" w:cs="Tahoma"/>
          <w:sz w:val="20"/>
          <w:szCs w:val="20"/>
        </w:rPr>
        <w:t>d'hygiène</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respecter</w:t>
      </w:r>
      <w:r w:rsidR="00DB1635" w:rsidRPr="00B004EE">
        <w:rPr>
          <w:rFonts w:ascii="Tahoma" w:hAnsi="Tahoma" w:cs="Tahoma"/>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2F24E1" w:rsidRPr="00B004EE">
        <w:rPr>
          <w:rFonts w:ascii="Tahoma" w:hAnsi="Tahoma" w:cs="Tahoma"/>
          <w:sz w:val="20"/>
          <w:szCs w:val="20"/>
        </w:rPr>
        <w:t>prescriptions</w:t>
      </w:r>
      <w:r w:rsidR="00DB1635" w:rsidRPr="00B004EE">
        <w:rPr>
          <w:rFonts w:ascii="Tahoma" w:hAnsi="Tahoma" w:cs="Tahoma"/>
          <w:sz w:val="20"/>
          <w:szCs w:val="20"/>
        </w:rPr>
        <w:t xml:space="preserve"> </w:t>
      </w:r>
      <w:r w:rsidR="002F24E1" w:rsidRPr="00B004EE">
        <w:rPr>
          <w:rFonts w:ascii="Tahoma" w:hAnsi="Tahoma" w:cs="Tahoma"/>
          <w:sz w:val="20"/>
          <w:szCs w:val="20"/>
        </w:rPr>
        <w:t>du</w:t>
      </w:r>
      <w:r w:rsidR="00DB1635" w:rsidRPr="00B004EE">
        <w:rPr>
          <w:rFonts w:ascii="Tahoma" w:hAnsi="Tahoma" w:cs="Tahoma"/>
          <w:sz w:val="20"/>
          <w:szCs w:val="20"/>
        </w:rPr>
        <w:t xml:space="preserve"> </w:t>
      </w:r>
      <w:r w:rsidR="002F24E1" w:rsidRPr="00B004EE">
        <w:rPr>
          <w:rFonts w:ascii="Tahoma" w:hAnsi="Tahoma" w:cs="Tahoma"/>
          <w:sz w:val="20"/>
          <w:szCs w:val="20"/>
        </w:rPr>
        <w:t>présent</w:t>
      </w:r>
      <w:r w:rsidR="00DB1635" w:rsidRPr="00B004EE">
        <w:rPr>
          <w:rFonts w:ascii="Tahoma" w:hAnsi="Tahoma" w:cs="Tahoma"/>
          <w:sz w:val="20"/>
          <w:szCs w:val="20"/>
        </w:rPr>
        <w:t xml:space="preserve"> </w:t>
      </w:r>
      <w:r w:rsidR="002F24E1" w:rsidRPr="00B004EE">
        <w:rPr>
          <w:rFonts w:ascii="Tahoma" w:hAnsi="Tahoma" w:cs="Tahoma"/>
          <w:sz w:val="20"/>
          <w:szCs w:val="20"/>
        </w:rPr>
        <w:t>chapitre.</w:t>
      </w:r>
      <w:r w:rsidR="00DB1635" w:rsidRPr="00B004EE">
        <w:rPr>
          <w:rFonts w:ascii="Tahoma" w:hAnsi="Tahoma" w:cs="Tahoma"/>
          <w:sz w:val="20"/>
          <w:szCs w:val="20"/>
        </w:rPr>
        <w:t xml:space="preserve"> </w:t>
      </w:r>
      <w:r w:rsidR="002F24E1" w:rsidRPr="00B004EE">
        <w:rPr>
          <w:rFonts w:ascii="Tahoma" w:hAnsi="Tahoma" w:cs="Tahoma"/>
          <w:sz w:val="20"/>
          <w:szCs w:val="20"/>
        </w:rPr>
        <w:t>Il</w:t>
      </w:r>
      <w:r w:rsidR="00DB1635" w:rsidRPr="00B004EE">
        <w:rPr>
          <w:rFonts w:ascii="Tahoma" w:hAnsi="Tahoma" w:cs="Tahoma"/>
          <w:sz w:val="20"/>
          <w:szCs w:val="20"/>
        </w:rPr>
        <w:t xml:space="preserve"> </w:t>
      </w:r>
      <w:r w:rsidR="002F24E1" w:rsidRPr="00B004EE">
        <w:rPr>
          <w:rFonts w:ascii="Tahoma" w:hAnsi="Tahoma" w:cs="Tahoma"/>
          <w:sz w:val="20"/>
          <w:szCs w:val="20"/>
        </w:rPr>
        <w:t>doit</w:t>
      </w:r>
      <w:r w:rsidR="00DB1635" w:rsidRPr="00B004EE">
        <w:rPr>
          <w:rFonts w:ascii="Tahoma" w:hAnsi="Tahoma" w:cs="Tahoma"/>
          <w:sz w:val="20"/>
          <w:szCs w:val="20"/>
        </w:rPr>
        <w:t xml:space="preserve"> </w:t>
      </w:r>
      <w:r w:rsidR="002F24E1" w:rsidRPr="00B004EE">
        <w:rPr>
          <w:rFonts w:ascii="Tahoma" w:hAnsi="Tahoma" w:cs="Tahoma"/>
          <w:sz w:val="20"/>
          <w:szCs w:val="20"/>
        </w:rPr>
        <w:t>tenir</w:t>
      </w:r>
      <w:r w:rsidR="00DB1635" w:rsidRPr="00B004EE">
        <w:rPr>
          <w:rFonts w:ascii="Tahoma" w:hAnsi="Tahoma" w:cs="Tahoma"/>
          <w:sz w:val="20"/>
          <w:szCs w:val="20"/>
        </w:rPr>
        <w:t xml:space="preserve"> </w:t>
      </w:r>
      <w:r w:rsidR="002F24E1" w:rsidRPr="00B004EE">
        <w:rPr>
          <w:rFonts w:ascii="Tahoma" w:hAnsi="Tahoma" w:cs="Tahoma"/>
          <w:sz w:val="20"/>
          <w:szCs w:val="20"/>
        </w:rPr>
        <w:t>à</w:t>
      </w:r>
      <w:r w:rsidR="00DB1635" w:rsidRPr="00B004EE">
        <w:rPr>
          <w:rFonts w:ascii="Tahoma" w:hAnsi="Tahoma" w:cs="Tahoma"/>
          <w:sz w:val="20"/>
          <w:szCs w:val="20"/>
        </w:rPr>
        <w:t xml:space="preserve"> </w:t>
      </w:r>
      <w:r w:rsidR="002F24E1" w:rsidRPr="00B004EE">
        <w:rPr>
          <w:rFonts w:ascii="Tahoma" w:hAnsi="Tahoma" w:cs="Tahoma"/>
          <w:sz w:val="20"/>
          <w:szCs w:val="20"/>
        </w:rPr>
        <w:t>la</w:t>
      </w:r>
      <w:r w:rsidR="00DB1635" w:rsidRPr="00B004EE">
        <w:rPr>
          <w:rFonts w:ascii="Tahoma" w:hAnsi="Tahoma" w:cs="Tahoma"/>
          <w:sz w:val="20"/>
          <w:szCs w:val="20"/>
        </w:rPr>
        <w:t xml:space="preserve"> </w:t>
      </w:r>
      <w:r w:rsidR="002F24E1" w:rsidRPr="00B004EE">
        <w:rPr>
          <w:rFonts w:ascii="Tahoma" w:hAnsi="Tahoma" w:cs="Tahoma"/>
          <w:sz w:val="20"/>
          <w:szCs w:val="20"/>
        </w:rPr>
        <w:t>disposition</w:t>
      </w:r>
      <w:r w:rsidR="00DB1635" w:rsidRPr="00B004EE">
        <w:rPr>
          <w:rFonts w:ascii="Tahoma" w:hAnsi="Tahoma" w:cs="Tahoma"/>
          <w:sz w:val="20"/>
          <w:szCs w:val="20"/>
        </w:rPr>
        <w:t xml:space="preserve"> </w:t>
      </w:r>
      <w:r w:rsidR="002F24E1" w:rsidRPr="00B004EE">
        <w:rPr>
          <w:rFonts w:ascii="Tahoma" w:hAnsi="Tahoma" w:cs="Tahoma"/>
          <w:sz w:val="20"/>
          <w:szCs w:val="20"/>
        </w:rPr>
        <w:t>des</w:t>
      </w:r>
      <w:r w:rsidR="00DB1635" w:rsidRPr="00B004EE">
        <w:rPr>
          <w:rFonts w:ascii="Tahoma" w:hAnsi="Tahoma" w:cs="Tahoma"/>
          <w:sz w:val="20"/>
          <w:szCs w:val="20"/>
        </w:rPr>
        <w:t xml:space="preserve"> </w:t>
      </w:r>
      <w:r w:rsidR="002F24E1" w:rsidRPr="00B004EE">
        <w:rPr>
          <w:rFonts w:ascii="Tahoma" w:hAnsi="Tahoma" w:cs="Tahoma"/>
          <w:sz w:val="20"/>
          <w:szCs w:val="20"/>
        </w:rPr>
        <w:t>agents</w:t>
      </w:r>
      <w:r w:rsidR="00DB1635" w:rsidRPr="00B004EE">
        <w:rPr>
          <w:rFonts w:ascii="Tahoma" w:hAnsi="Tahoma" w:cs="Tahoma"/>
          <w:sz w:val="20"/>
          <w:szCs w:val="20"/>
        </w:rPr>
        <w:t xml:space="preserve"> </w:t>
      </w:r>
      <w:r w:rsidR="002F24E1" w:rsidRPr="00B004EE">
        <w:rPr>
          <w:rFonts w:ascii="Tahoma" w:hAnsi="Tahoma" w:cs="Tahoma"/>
          <w:sz w:val="20"/>
          <w:szCs w:val="20"/>
        </w:rPr>
        <w:t>d'inspection</w:t>
      </w:r>
      <w:r w:rsidR="00DB1635" w:rsidRPr="00B004EE">
        <w:rPr>
          <w:rFonts w:ascii="Tahoma" w:hAnsi="Tahoma" w:cs="Tahoma"/>
          <w:sz w:val="20"/>
          <w:szCs w:val="20"/>
        </w:rPr>
        <w:t xml:space="preserve"> </w:t>
      </w:r>
      <w:r w:rsidR="002F24E1" w:rsidRPr="00B004EE">
        <w:rPr>
          <w:rFonts w:ascii="Tahoma" w:hAnsi="Tahoma" w:cs="Tahoma"/>
          <w:sz w:val="20"/>
          <w:szCs w:val="20"/>
        </w:rPr>
        <w:t>le</w:t>
      </w:r>
      <w:r w:rsidR="00DB1635" w:rsidRPr="00B004EE">
        <w:rPr>
          <w:rFonts w:ascii="Tahoma" w:hAnsi="Tahoma" w:cs="Tahoma"/>
          <w:sz w:val="20"/>
          <w:szCs w:val="20"/>
        </w:rPr>
        <w:t xml:space="preserve"> </w:t>
      </w:r>
      <w:r w:rsidR="002F24E1" w:rsidRPr="00B004EE">
        <w:rPr>
          <w:rFonts w:ascii="Tahoma" w:hAnsi="Tahoma" w:cs="Tahoma"/>
          <w:sz w:val="20"/>
          <w:szCs w:val="20"/>
        </w:rPr>
        <w:t>programme</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contrôle</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l'hygiène</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l'auto-contrôle,</w:t>
      </w:r>
      <w:r w:rsidR="00DB1635" w:rsidRPr="00B004EE">
        <w:rPr>
          <w:rFonts w:ascii="Tahoma" w:hAnsi="Tahoma" w:cs="Tahoma"/>
          <w:sz w:val="20"/>
          <w:szCs w:val="20"/>
        </w:rPr>
        <w:t xml:space="preserve"> </w:t>
      </w:r>
      <w:r w:rsidR="002F24E1" w:rsidRPr="00B004EE">
        <w:rPr>
          <w:rFonts w:ascii="Tahoma" w:hAnsi="Tahoma" w:cs="Tahoma"/>
          <w:sz w:val="20"/>
          <w:szCs w:val="20"/>
        </w:rPr>
        <w:t>un</w:t>
      </w:r>
      <w:r w:rsidR="00DB1635" w:rsidRPr="00B004EE">
        <w:rPr>
          <w:rFonts w:ascii="Tahoma" w:hAnsi="Tahoma" w:cs="Tahoma"/>
          <w:sz w:val="20"/>
          <w:szCs w:val="20"/>
        </w:rPr>
        <w:t xml:space="preserve"> </w:t>
      </w:r>
      <w:r w:rsidR="002F24E1" w:rsidRPr="00B004EE">
        <w:rPr>
          <w:rFonts w:ascii="Tahoma" w:hAnsi="Tahoma" w:cs="Tahoma"/>
          <w:sz w:val="20"/>
          <w:szCs w:val="20"/>
        </w:rPr>
        <w:t>registre</w:t>
      </w:r>
      <w:r w:rsidR="00DB1635" w:rsidRPr="00B004EE">
        <w:rPr>
          <w:rFonts w:ascii="Tahoma" w:hAnsi="Tahoma" w:cs="Tahoma"/>
          <w:sz w:val="20"/>
          <w:szCs w:val="20"/>
        </w:rPr>
        <w:t xml:space="preserve"> </w:t>
      </w:r>
      <w:r w:rsidR="002F24E1" w:rsidRPr="00B004EE">
        <w:rPr>
          <w:rFonts w:ascii="Tahoma" w:hAnsi="Tahoma" w:cs="Tahoma"/>
          <w:sz w:val="20"/>
          <w:szCs w:val="20"/>
        </w:rPr>
        <w:t>sur</w:t>
      </w:r>
      <w:r w:rsidR="00DB1635" w:rsidRPr="00B004EE">
        <w:rPr>
          <w:rFonts w:ascii="Tahoma" w:hAnsi="Tahoma" w:cs="Tahoma"/>
          <w:sz w:val="20"/>
          <w:szCs w:val="20"/>
        </w:rPr>
        <w:t xml:space="preserve"> </w:t>
      </w:r>
      <w:r w:rsidR="002F24E1" w:rsidRPr="00B004EE">
        <w:rPr>
          <w:rFonts w:ascii="Tahoma" w:hAnsi="Tahoma" w:cs="Tahoma"/>
          <w:sz w:val="20"/>
          <w:szCs w:val="20"/>
        </w:rPr>
        <w:t>lequel</w:t>
      </w:r>
      <w:r w:rsidR="00DB1635" w:rsidRPr="00B004EE">
        <w:rPr>
          <w:rFonts w:ascii="Tahoma" w:hAnsi="Tahoma" w:cs="Tahoma"/>
          <w:sz w:val="20"/>
          <w:szCs w:val="20"/>
        </w:rPr>
        <w:t xml:space="preserve"> </w:t>
      </w:r>
      <w:r w:rsidR="002F24E1" w:rsidRPr="00B004EE">
        <w:rPr>
          <w:rFonts w:ascii="Tahoma" w:hAnsi="Tahoma" w:cs="Tahoma"/>
          <w:sz w:val="20"/>
          <w:szCs w:val="20"/>
        </w:rPr>
        <w:t>sont</w:t>
      </w:r>
      <w:r w:rsidR="00DB1635" w:rsidRPr="00B004EE">
        <w:rPr>
          <w:rFonts w:ascii="Tahoma" w:hAnsi="Tahoma" w:cs="Tahoma"/>
          <w:sz w:val="20"/>
          <w:szCs w:val="20"/>
        </w:rPr>
        <w:t xml:space="preserve"> </w:t>
      </w:r>
      <w:r w:rsidR="002F24E1" w:rsidRPr="00B004EE">
        <w:rPr>
          <w:rFonts w:ascii="Tahoma" w:hAnsi="Tahoma" w:cs="Tahoma"/>
          <w:sz w:val="20"/>
          <w:szCs w:val="20"/>
        </w:rPr>
        <w:t>consignées</w:t>
      </w:r>
      <w:r w:rsidR="00DB1635" w:rsidRPr="00B004EE">
        <w:rPr>
          <w:rFonts w:ascii="Tahoma" w:hAnsi="Tahoma" w:cs="Tahoma"/>
          <w:sz w:val="20"/>
          <w:szCs w:val="20"/>
        </w:rPr>
        <w:t xml:space="preserve"> </w:t>
      </w:r>
      <w:r w:rsidR="002F24E1" w:rsidRPr="00B004EE">
        <w:rPr>
          <w:rFonts w:ascii="Tahoma" w:hAnsi="Tahoma" w:cs="Tahoma"/>
          <w:sz w:val="20"/>
          <w:szCs w:val="20"/>
        </w:rPr>
        <w:t>ses</w:t>
      </w:r>
      <w:r w:rsidR="00DB1635" w:rsidRPr="00B004EE">
        <w:rPr>
          <w:rFonts w:ascii="Tahoma" w:hAnsi="Tahoma" w:cs="Tahoma"/>
          <w:sz w:val="20"/>
          <w:szCs w:val="20"/>
        </w:rPr>
        <w:t xml:space="preserve"> </w:t>
      </w:r>
      <w:r w:rsidR="002F24E1" w:rsidRPr="00B004EE">
        <w:rPr>
          <w:rFonts w:ascii="Tahoma" w:hAnsi="Tahoma" w:cs="Tahoma"/>
          <w:sz w:val="20"/>
          <w:szCs w:val="20"/>
        </w:rPr>
        <w:t>observations</w:t>
      </w:r>
      <w:r w:rsidR="00DB1635" w:rsidRPr="00B004EE">
        <w:rPr>
          <w:rFonts w:ascii="Tahoma" w:hAnsi="Tahoma" w:cs="Tahoma"/>
          <w:sz w:val="20"/>
          <w:szCs w:val="20"/>
        </w:rPr>
        <w:t xml:space="preserve"> </w:t>
      </w:r>
      <w:r w:rsidR="002F24E1" w:rsidRPr="00B004EE">
        <w:rPr>
          <w:rFonts w:ascii="Tahoma" w:hAnsi="Tahoma" w:cs="Tahoma"/>
          <w:sz w:val="20"/>
          <w:szCs w:val="20"/>
        </w:rPr>
        <w:t>ainsi</w:t>
      </w:r>
      <w:r w:rsidR="00DB1635" w:rsidRPr="00B004EE">
        <w:rPr>
          <w:rFonts w:ascii="Tahoma" w:hAnsi="Tahoma" w:cs="Tahoma"/>
          <w:sz w:val="20"/>
          <w:szCs w:val="20"/>
        </w:rPr>
        <w:t xml:space="preserve"> </w:t>
      </w:r>
      <w:r w:rsidR="002F24E1" w:rsidRPr="00B004EE">
        <w:rPr>
          <w:rFonts w:ascii="Tahoma" w:hAnsi="Tahoma" w:cs="Tahoma"/>
          <w:sz w:val="20"/>
          <w:szCs w:val="20"/>
        </w:rPr>
        <w:t>que</w:t>
      </w:r>
      <w:r w:rsidR="00DB1635" w:rsidRPr="00B004EE">
        <w:rPr>
          <w:rFonts w:ascii="Tahoma" w:hAnsi="Tahoma" w:cs="Tahoma"/>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2F24E1" w:rsidRPr="00B004EE">
        <w:rPr>
          <w:rFonts w:ascii="Tahoma" w:hAnsi="Tahoma" w:cs="Tahoma"/>
          <w:sz w:val="20"/>
          <w:szCs w:val="20"/>
        </w:rPr>
        <w:t>enregistrements</w:t>
      </w:r>
      <w:r w:rsidR="00DB1635" w:rsidRPr="00B004EE">
        <w:rPr>
          <w:rFonts w:ascii="Tahoma" w:hAnsi="Tahoma" w:cs="Tahoma"/>
          <w:sz w:val="20"/>
          <w:szCs w:val="20"/>
        </w:rPr>
        <w:t xml:space="preserve"> </w:t>
      </w:r>
      <w:r w:rsidR="002F24E1" w:rsidRPr="00B004EE">
        <w:rPr>
          <w:rFonts w:ascii="Tahoma" w:hAnsi="Tahoma" w:cs="Tahoma"/>
          <w:sz w:val="20"/>
          <w:szCs w:val="20"/>
        </w:rPr>
        <w:t>thermiques.</w:t>
      </w:r>
      <w:r w:rsidR="00DB1635" w:rsidRPr="00B004EE">
        <w:rPr>
          <w:rFonts w:ascii="Tahoma" w:hAnsi="Tahoma" w:cs="Tahoma"/>
          <w:sz w:val="20"/>
          <w:szCs w:val="20"/>
        </w:rPr>
        <w:t xml:space="preserve"> </w:t>
      </w:r>
      <w:r w:rsidR="002F24E1" w:rsidRPr="00B004EE">
        <w:rPr>
          <w:rFonts w:ascii="Tahoma" w:hAnsi="Tahoma" w:cs="Tahoma"/>
          <w:sz w:val="20"/>
          <w:szCs w:val="20"/>
        </w:rPr>
        <w:t>Il</w:t>
      </w:r>
      <w:r w:rsidR="00DB1635" w:rsidRPr="00B004EE">
        <w:rPr>
          <w:rFonts w:ascii="Tahoma" w:hAnsi="Tahoma" w:cs="Tahoma"/>
          <w:sz w:val="20"/>
          <w:szCs w:val="20"/>
        </w:rPr>
        <w:t xml:space="preserve"> </w:t>
      </w:r>
      <w:r w:rsidR="002F24E1" w:rsidRPr="00B004EE">
        <w:rPr>
          <w:rFonts w:ascii="Tahoma" w:hAnsi="Tahoma" w:cs="Tahoma"/>
          <w:sz w:val="20"/>
          <w:szCs w:val="20"/>
        </w:rPr>
        <w:t>doit</w:t>
      </w:r>
      <w:r w:rsidR="00DB1635" w:rsidRPr="00B004EE">
        <w:rPr>
          <w:rFonts w:ascii="Tahoma" w:hAnsi="Tahoma" w:cs="Tahoma"/>
          <w:sz w:val="20"/>
          <w:szCs w:val="20"/>
        </w:rPr>
        <w:t xml:space="preserve"> </w:t>
      </w:r>
      <w:r w:rsidR="002F24E1" w:rsidRPr="00B004EE">
        <w:rPr>
          <w:rFonts w:ascii="Tahoma" w:hAnsi="Tahoma" w:cs="Tahoma"/>
          <w:sz w:val="20"/>
          <w:szCs w:val="20"/>
        </w:rPr>
        <w:t>faire</w:t>
      </w:r>
      <w:r w:rsidR="00DB1635" w:rsidRPr="00B004EE">
        <w:rPr>
          <w:rFonts w:ascii="Tahoma" w:hAnsi="Tahoma" w:cs="Tahoma"/>
          <w:sz w:val="20"/>
          <w:szCs w:val="20"/>
        </w:rPr>
        <w:t xml:space="preserve"> </w:t>
      </w:r>
      <w:r w:rsidR="002F24E1" w:rsidRPr="00B004EE">
        <w:rPr>
          <w:rFonts w:ascii="Tahoma" w:hAnsi="Tahoma" w:cs="Tahoma"/>
          <w:sz w:val="20"/>
          <w:szCs w:val="20"/>
        </w:rPr>
        <w:t>respecter</w:t>
      </w:r>
      <w:r w:rsidR="00DB1635" w:rsidRPr="00B004EE">
        <w:rPr>
          <w:rFonts w:ascii="Tahoma" w:hAnsi="Tahoma" w:cs="Tahoma"/>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2F24E1" w:rsidRPr="00B004EE">
        <w:rPr>
          <w:rFonts w:ascii="Tahoma" w:hAnsi="Tahoma" w:cs="Tahoma"/>
          <w:sz w:val="20"/>
          <w:szCs w:val="20"/>
        </w:rPr>
        <w:t>prescriptions</w:t>
      </w:r>
      <w:r w:rsidR="00DB1635" w:rsidRPr="00B004EE">
        <w:rPr>
          <w:rFonts w:ascii="Tahoma" w:hAnsi="Tahoma" w:cs="Tahoma"/>
          <w:sz w:val="20"/>
          <w:szCs w:val="20"/>
        </w:rPr>
        <w:t xml:space="preserve"> </w:t>
      </w:r>
      <w:r w:rsidR="002F24E1" w:rsidRPr="00B004EE">
        <w:rPr>
          <w:rFonts w:ascii="Tahoma" w:hAnsi="Tahoma" w:cs="Tahoma"/>
          <w:sz w:val="20"/>
          <w:szCs w:val="20"/>
        </w:rPr>
        <w:t>en</w:t>
      </w:r>
      <w:r w:rsidR="00DB1635" w:rsidRPr="00B004EE">
        <w:rPr>
          <w:rFonts w:ascii="Tahoma" w:hAnsi="Tahoma" w:cs="Tahoma"/>
          <w:sz w:val="20"/>
          <w:szCs w:val="20"/>
        </w:rPr>
        <w:t xml:space="preserve"> </w:t>
      </w:r>
      <w:r w:rsidR="002F24E1" w:rsidRPr="00B004EE">
        <w:rPr>
          <w:rFonts w:ascii="Tahoma" w:hAnsi="Tahoma" w:cs="Tahoma"/>
          <w:sz w:val="20"/>
          <w:szCs w:val="20"/>
        </w:rPr>
        <w:t>vigueur.</w:t>
      </w:r>
    </w:p>
    <w:p w14:paraId="1A488111" w14:textId="77777777" w:rsidR="002F24E1" w:rsidRPr="00B004EE" w:rsidRDefault="002F24E1" w:rsidP="00B004EE">
      <w:pPr>
        <w:tabs>
          <w:tab w:val="left" w:pos="567"/>
          <w:tab w:val="left" w:pos="2268"/>
        </w:tabs>
        <w:jc w:val="both"/>
        <w:rPr>
          <w:rFonts w:ascii="Tahoma" w:hAnsi="Tahoma" w:cs="Tahoma"/>
          <w:sz w:val="20"/>
          <w:szCs w:val="20"/>
        </w:rPr>
      </w:pPr>
    </w:p>
    <w:p w14:paraId="6A8C3048" w14:textId="651F1025" w:rsidR="002F24E1" w:rsidRPr="00B004EE" w:rsidRDefault="00E32DBF" w:rsidP="00B004EE">
      <w:pPr>
        <w:tabs>
          <w:tab w:val="left" w:pos="567"/>
          <w:tab w:val="left" w:pos="2268"/>
        </w:tabs>
        <w:jc w:val="center"/>
        <w:rPr>
          <w:rFonts w:ascii="Tahoma" w:hAnsi="Tahoma" w:cs="Tahoma"/>
          <w:b/>
          <w:sz w:val="20"/>
          <w:szCs w:val="20"/>
        </w:rPr>
      </w:pPr>
      <w:r w:rsidRPr="00B004EE">
        <w:rPr>
          <w:rFonts w:ascii="Tahoma" w:hAnsi="Tahoma" w:cs="Tahoma"/>
          <w:b/>
          <w:sz w:val="20"/>
          <w:szCs w:val="20"/>
        </w:rPr>
        <w:t>SECTION</w:t>
      </w:r>
      <w:r w:rsidR="00DB1635" w:rsidRPr="00B004EE">
        <w:rPr>
          <w:rFonts w:ascii="Tahoma" w:hAnsi="Tahoma" w:cs="Tahoma"/>
          <w:b/>
          <w:sz w:val="20"/>
          <w:szCs w:val="20"/>
        </w:rPr>
        <w:t xml:space="preserve"> </w:t>
      </w:r>
      <w:r w:rsidRPr="00B004EE">
        <w:rPr>
          <w:rFonts w:ascii="Tahoma" w:hAnsi="Tahoma" w:cs="Tahoma"/>
          <w:b/>
          <w:sz w:val="20"/>
          <w:szCs w:val="20"/>
        </w:rPr>
        <w:t>I</w:t>
      </w:r>
      <w:r w:rsidR="00DB1635" w:rsidRPr="00B004EE">
        <w:rPr>
          <w:rFonts w:ascii="Tahoma" w:hAnsi="Tahoma" w:cs="Tahoma"/>
          <w:b/>
          <w:sz w:val="20"/>
          <w:szCs w:val="20"/>
        </w:rPr>
        <w:t xml:space="preserve"> </w:t>
      </w:r>
      <w:r w:rsidRPr="00B004EE">
        <w:rPr>
          <w:rFonts w:ascii="Tahoma" w:hAnsi="Tahoma" w:cs="Tahoma"/>
          <w:b/>
          <w:sz w:val="20"/>
          <w:szCs w:val="20"/>
        </w:rPr>
        <w:t>:</w:t>
      </w:r>
      <w:r w:rsidR="00DB1635" w:rsidRPr="00B004EE">
        <w:rPr>
          <w:rFonts w:ascii="Tahoma" w:hAnsi="Tahoma" w:cs="Tahoma"/>
          <w:b/>
          <w:sz w:val="20"/>
          <w:szCs w:val="20"/>
        </w:rPr>
        <w:t xml:space="preserve"> </w:t>
      </w:r>
      <w:r w:rsidRPr="00B004EE">
        <w:rPr>
          <w:rFonts w:ascii="Tahoma" w:hAnsi="Tahoma" w:cs="Tahoma"/>
          <w:b/>
          <w:sz w:val="20"/>
          <w:szCs w:val="20"/>
        </w:rPr>
        <w:t>UTILISATION</w:t>
      </w:r>
      <w:r w:rsidR="00DB1635" w:rsidRPr="00B004EE">
        <w:rPr>
          <w:rFonts w:ascii="Tahoma" w:hAnsi="Tahoma" w:cs="Tahoma"/>
          <w:b/>
          <w:sz w:val="20"/>
          <w:szCs w:val="20"/>
        </w:rPr>
        <w:t xml:space="preserve"> </w:t>
      </w:r>
      <w:r w:rsidRPr="00B004EE">
        <w:rPr>
          <w:rFonts w:ascii="Tahoma" w:hAnsi="Tahoma" w:cs="Tahoma"/>
          <w:b/>
          <w:sz w:val="20"/>
          <w:szCs w:val="20"/>
        </w:rPr>
        <w:t>ET</w:t>
      </w:r>
      <w:r w:rsidR="00DB1635" w:rsidRPr="00B004EE">
        <w:rPr>
          <w:rFonts w:ascii="Tahoma" w:hAnsi="Tahoma" w:cs="Tahoma"/>
          <w:b/>
          <w:sz w:val="20"/>
          <w:szCs w:val="20"/>
        </w:rPr>
        <w:t xml:space="preserve"> </w:t>
      </w:r>
      <w:r w:rsidRPr="00B004EE">
        <w:rPr>
          <w:rFonts w:ascii="Tahoma" w:hAnsi="Tahoma" w:cs="Tahoma"/>
          <w:b/>
          <w:sz w:val="20"/>
          <w:szCs w:val="20"/>
        </w:rPr>
        <w:t>ENTRETIEN</w:t>
      </w:r>
      <w:r w:rsidR="00DB1635" w:rsidRPr="00B004EE">
        <w:rPr>
          <w:rFonts w:ascii="Tahoma" w:hAnsi="Tahoma" w:cs="Tahoma"/>
          <w:b/>
          <w:sz w:val="20"/>
          <w:szCs w:val="20"/>
        </w:rPr>
        <w:t xml:space="preserve"> </w:t>
      </w:r>
      <w:r w:rsidRPr="00B004EE">
        <w:rPr>
          <w:rFonts w:ascii="Tahoma" w:hAnsi="Tahoma" w:cs="Tahoma"/>
          <w:b/>
          <w:sz w:val="20"/>
          <w:szCs w:val="20"/>
        </w:rPr>
        <w:t>DES</w:t>
      </w:r>
      <w:r w:rsidR="00DB1635" w:rsidRPr="00B004EE">
        <w:rPr>
          <w:rFonts w:ascii="Tahoma" w:hAnsi="Tahoma" w:cs="Tahoma"/>
          <w:b/>
          <w:sz w:val="20"/>
          <w:szCs w:val="20"/>
        </w:rPr>
        <w:t xml:space="preserve"> </w:t>
      </w:r>
      <w:r w:rsidRPr="00B004EE">
        <w:rPr>
          <w:rFonts w:ascii="Tahoma" w:hAnsi="Tahoma" w:cs="Tahoma"/>
          <w:b/>
          <w:sz w:val="20"/>
          <w:szCs w:val="20"/>
        </w:rPr>
        <w:t>LOCAUX</w:t>
      </w:r>
      <w:r w:rsidR="00DB1635" w:rsidRPr="00B004EE">
        <w:rPr>
          <w:rFonts w:ascii="Tahoma" w:hAnsi="Tahoma" w:cs="Tahoma"/>
          <w:b/>
          <w:sz w:val="20"/>
          <w:szCs w:val="20"/>
        </w:rPr>
        <w:t xml:space="preserve"> </w:t>
      </w:r>
      <w:r w:rsidRPr="00B004EE">
        <w:rPr>
          <w:rFonts w:ascii="Tahoma" w:hAnsi="Tahoma" w:cs="Tahoma"/>
          <w:b/>
          <w:sz w:val="20"/>
          <w:szCs w:val="20"/>
        </w:rPr>
        <w:t>ET</w:t>
      </w:r>
      <w:r w:rsidR="00DB1635" w:rsidRPr="00B004EE">
        <w:rPr>
          <w:rFonts w:ascii="Tahoma" w:hAnsi="Tahoma" w:cs="Tahoma"/>
          <w:b/>
          <w:sz w:val="20"/>
          <w:szCs w:val="20"/>
        </w:rPr>
        <w:t xml:space="preserve"> </w:t>
      </w:r>
      <w:r w:rsidRPr="00B004EE">
        <w:rPr>
          <w:rFonts w:ascii="Tahoma" w:hAnsi="Tahoma" w:cs="Tahoma"/>
          <w:b/>
          <w:sz w:val="20"/>
          <w:szCs w:val="20"/>
        </w:rPr>
        <w:t>DU</w:t>
      </w:r>
      <w:r w:rsidR="00DB1635" w:rsidRPr="00B004EE">
        <w:rPr>
          <w:rFonts w:ascii="Tahoma" w:hAnsi="Tahoma" w:cs="Tahoma"/>
          <w:b/>
          <w:sz w:val="20"/>
          <w:szCs w:val="20"/>
        </w:rPr>
        <w:t xml:space="preserve"> </w:t>
      </w:r>
      <w:r w:rsidRPr="00B004EE">
        <w:rPr>
          <w:rFonts w:ascii="Tahoma" w:hAnsi="Tahoma" w:cs="Tahoma"/>
          <w:b/>
          <w:sz w:val="20"/>
          <w:szCs w:val="20"/>
        </w:rPr>
        <w:t>MATERIEL</w:t>
      </w:r>
    </w:p>
    <w:p w14:paraId="1F252275" w14:textId="77777777" w:rsidR="002F24E1" w:rsidRPr="00B004EE" w:rsidRDefault="002F24E1" w:rsidP="00B004EE">
      <w:pPr>
        <w:jc w:val="both"/>
        <w:rPr>
          <w:rFonts w:ascii="Tahoma" w:hAnsi="Tahoma" w:cs="Tahoma"/>
          <w:b/>
          <w:sz w:val="20"/>
          <w:szCs w:val="20"/>
        </w:rPr>
      </w:pPr>
    </w:p>
    <w:p w14:paraId="6EA7B659" w14:textId="606FA379" w:rsidR="002F24E1" w:rsidRPr="00B004EE" w:rsidRDefault="00AD7D88" w:rsidP="00B004EE">
      <w:pPr>
        <w:jc w:val="both"/>
        <w:rPr>
          <w:rFonts w:ascii="Tahoma" w:hAnsi="Tahoma" w:cs="Tahoma"/>
          <w:sz w:val="20"/>
          <w:szCs w:val="20"/>
        </w:rPr>
      </w:pPr>
      <w:r w:rsidRPr="00B004EE">
        <w:rPr>
          <w:rFonts w:ascii="Tahoma" w:hAnsi="Tahoma" w:cs="Tahoma"/>
          <w:bCs/>
          <w:sz w:val="20"/>
          <w:szCs w:val="20"/>
        </w:rPr>
        <w:t xml:space="preserve">Article </w:t>
      </w:r>
      <w:r w:rsidR="002F24E1" w:rsidRPr="00B004EE">
        <w:rPr>
          <w:rFonts w:ascii="Tahoma" w:hAnsi="Tahoma" w:cs="Tahoma"/>
          <w:bCs/>
          <w:sz w:val="20"/>
          <w:szCs w:val="20"/>
        </w:rPr>
        <w:t>25</w:t>
      </w:r>
      <w:r w:rsidR="00DB1635" w:rsidRPr="00B004EE">
        <w:rPr>
          <w:rFonts w:ascii="Tahoma" w:hAnsi="Tahoma" w:cs="Tahoma"/>
          <w:b/>
          <w:sz w:val="20"/>
          <w:szCs w:val="20"/>
        </w:rPr>
        <w:t xml:space="preserve"> </w:t>
      </w:r>
      <w:r w:rsidR="002F24E1" w:rsidRPr="00B004EE">
        <w:rPr>
          <w:rFonts w:ascii="Tahoma" w:hAnsi="Tahoma" w:cs="Tahoma"/>
          <w:b/>
          <w:sz w:val="20"/>
          <w:szCs w:val="20"/>
        </w:rPr>
        <w:t>:</w:t>
      </w:r>
      <w:r w:rsidR="00DB1635" w:rsidRPr="00B004EE">
        <w:rPr>
          <w:rFonts w:ascii="Tahoma" w:hAnsi="Tahoma" w:cs="Tahoma"/>
          <w:b/>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2F24E1" w:rsidRPr="00B004EE">
        <w:rPr>
          <w:rFonts w:ascii="Tahoma" w:hAnsi="Tahoma" w:cs="Tahoma"/>
          <w:sz w:val="20"/>
          <w:szCs w:val="20"/>
        </w:rPr>
        <w:t>conditions</w:t>
      </w:r>
      <w:r w:rsidR="00DB1635" w:rsidRPr="00B004EE">
        <w:rPr>
          <w:rFonts w:ascii="Tahoma" w:hAnsi="Tahoma" w:cs="Tahoma"/>
          <w:sz w:val="20"/>
          <w:szCs w:val="20"/>
        </w:rPr>
        <w:t xml:space="preserve"> </w:t>
      </w:r>
      <w:r w:rsidR="002F24E1" w:rsidRPr="00B004EE">
        <w:rPr>
          <w:rFonts w:ascii="Tahoma" w:hAnsi="Tahoma" w:cs="Tahoma"/>
          <w:sz w:val="20"/>
          <w:szCs w:val="20"/>
        </w:rPr>
        <w:t>générales</w:t>
      </w:r>
      <w:r w:rsidR="00DB1635" w:rsidRPr="00B004EE">
        <w:rPr>
          <w:rFonts w:ascii="Tahoma" w:hAnsi="Tahoma" w:cs="Tahoma"/>
          <w:sz w:val="20"/>
          <w:szCs w:val="20"/>
        </w:rPr>
        <w:t xml:space="preserve"> </w:t>
      </w:r>
      <w:r w:rsidR="002F24E1" w:rsidRPr="00B004EE">
        <w:rPr>
          <w:rFonts w:ascii="Tahoma" w:hAnsi="Tahoma" w:cs="Tahoma"/>
          <w:sz w:val="20"/>
          <w:szCs w:val="20"/>
        </w:rPr>
        <w:t>d'hygiène</w:t>
      </w:r>
      <w:r w:rsidR="00DB1635" w:rsidRPr="00B004EE">
        <w:rPr>
          <w:rFonts w:ascii="Tahoma" w:hAnsi="Tahoma" w:cs="Tahoma"/>
          <w:sz w:val="20"/>
          <w:szCs w:val="20"/>
        </w:rPr>
        <w:t xml:space="preserve"> </w:t>
      </w:r>
      <w:r w:rsidR="002F24E1" w:rsidRPr="00B004EE">
        <w:rPr>
          <w:rFonts w:ascii="Tahoma" w:hAnsi="Tahoma" w:cs="Tahoma"/>
          <w:sz w:val="20"/>
          <w:szCs w:val="20"/>
        </w:rPr>
        <w:t>applicables</w:t>
      </w:r>
      <w:r w:rsidR="00DB1635" w:rsidRPr="00B004EE">
        <w:rPr>
          <w:rFonts w:ascii="Tahoma" w:hAnsi="Tahoma" w:cs="Tahoma"/>
          <w:sz w:val="20"/>
          <w:szCs w:val="20"/>
        </w:rPr>
        <w:t xml:space="preserve"> </w:t>
      </w:r>
      <w:r w:rsidR="002F24E1" w:rsidRPr="00B004EE">
        <w:rPr>
          <w:rFonts w:ascii="Tahoma" w:hAnsi="Tahoma" w:cs="Tahoma"/>
          <w:sz w:val="20"/>
          <w:szCs w:val="20"/>
        </w:rPr>
        <w:t>aux</w:t>
      </w:r>
      <w:r w:rsidR="00DB1635" w:rsidRPr="00B004EE">
        <w:rPr>
          <w:rFonts w:ascii="Tahoma" w:hAnsi="Tahoma" w:cs="Tahoma"/>
          <w:sz w:val="20"/>
          <w:szCs w:val="20"/>
        </w:rPr>
        <w:t xml:space="preserve"> </w:t>
      </w:r>
      <w:r w:rsidR="002F24E1" w:rsidRPr="00B004EE">
        <w:rPr>
          <w:rFonts w:ascii="Tahoma" w:hAnsi="Tahoma" w:cs="Tahoma"/>
          <w:sz w:val="20"/>
          <w:szCs w:val="20"/>
        </w:rPr>
        <w:t>locaux</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aux</w:t>
      </w:r>
      <w:r w:rsidR="00DB1635" w:rsidRPr="00B004EE">
        <w:rPr>
          <w:rFonts w:ascii="Tahoma" w:hAnsi="Tahoma" w:cs="Tahoma"/>
          <w:sz w:val="20"/>
          <w:szCs w:val="20"/>
        </w:rPr>
        <w:t xml:space="preserve"> </w:t>
      </w:r>
      <w:r w:rsidR="002F24E1" w:rsidRPr="00B004EE">
        <w:rPr>
          <w:rFonts w:ascii="Tahoma" w:hAnsi="Tahoma" w:cs="Tahoma"/>
          <w:sz w:val="20"/>
          <w:szCs w:val="20"/>
        </w:rPr>
        <w:t>matériels</w:t>
      </w:r>
      <w:r w:rsidR="00DB1635" w:rsidRPr="00B004EE">
        <w:rPr>
          <w:rFonts w:ascii="Tahoma" w:hAnsi="Tahoma" w:cs="Tahoma"/>
          <w:sz w:val="20"/>
          <w:szCs w:val="20"/>
        </w:rPr>
        <w:t xml:space="preserve"> </w:t>
      </w:r>
      <w:r w:rsidR="002F24E1" w:rsidRPr="00B004EE">
        <w:rPr>
          <w:rFonts w:ascii="Tahoma" w:hAnsi="Tahoma" w:cs="Tahoma"/>
          <w:sz w:val="20"/>
          <w:szCs w:val="20"/>
        </w:rPr>
        <w:t>sont</w:t>
      </w:r>
      <w:r w:rsidR="00DB1635" w:rsidRPr="00B004EE">
        <w:rPr>
          <w:rFonts w:ascii="Tahoma" w:hAnsi="Tahoma" w:cs="Tahoma"/>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0942DD" w:rsidRPr="00B004EE">
        <w:rPr>
          <w:rFonts w:ascii="Tahoma" w:hAnsi="Tahoma" w:cs="Tahoma"/>
          <w:sz w:val="20"/>
          <w:szCs w:val="20"/>
        </w:rPr>
        <w:t>suivantes :</w:t>
      </w:r>
    </w:p>
    <w:p w14:paraId="330B57FD" w14:textId="695E794F" w:rsidR="002F24E1" w:rsidRPr="00B004EE" w:rsidRDefault="002F24E1" w:rsidP="00B004EE">
      <w:pPr>
        <w:numPr>
          <w:ilvl w:val="0"/>
          <w:numId w:val="3"/>
        </w:numPr>
        <w:ind w:left="284" w:hanging="284"/>
        <w:jc w:val="both"/>
        <w:rPr>
          <w:rFonts w:ascii="Tahoma" w:hAnsi="Tahoma" w:cs="Tahoma"/>
          <w:sz w:val="20"/>
          <w:szCs w:val="20"/>
        </w:rPr>
      </w:pPr>
      <w:proofErr w:type="gramStart"/>
      <w:r w:rsidRPr="00B004EE">
        <w:rPr>
          <w:rFonts w:ascii="Tahoma" w:hAnsi="Tahoma" w:cs="Tahoma"/>
          <w:sz w:val="20"/>
          <w:szCs w:val="20"/>
        </w:rPr>
        <w:t>le</w:t>
      </w:r>
      <w:proofErr w:type="gramEnd"/>
      <w:r w:rsidR="00DB1635" w:rsidRPr="00B004EE">
        <w:rPr>
          <w:rFonts w:ascii="Tahoma" w:hAnsi="Tahoma" w:cs="Tahoma"/>
          <w:sz w:val="20"/>
          <w:szCs w:val="20"/>
        </w:rPr>
        <w:t xml:space="preserve"> </w:t>
      </w:r>
      <w:r w:rsidRPr="00B004EE">
        <w:rPr>
          <w:rFonts w:ascii="Tahoma" w:hAnsi="Tahoma" w:cs="Tahoma"/>
          <w:sz w:val="20"/>
          <w:szCs w:val="20"/>
        </w:rPr>
        <w:t>sol,</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cloisons,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murs,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plafonds,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équipements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matériel</w:t>
      </w:r>
      <w:r w:rsidR="00DB1635" w:rsidRPr="00B004EE">
        <w:rPr>
          <w:rFonts w:ascii="Tahoma" w:hAnsi="Tahoma" w:cs="Tahoma"/>
          <w:sz w:val="20"/>
          <w:szCs w:val="20"/>
        </w:rPr>
        <w:t xml:space="preserve"> </w:t>
      </w:r>
      <w:r w:rsidRPr="00B004EE">
        <w:rPr>
          <w:rFonts w:ascii="Tahoma" w:hAnsi="Tahoma" w:cs="Tahoma"/>
          <w:sz w:val="20"/>
          <w:szCs w:val="20"/>
        </w:rPr>
        <w:t>utilisés</w:t>
      </w:r>
      <w:r w:rsidR="00DB1635" w:rsidRPr="00B004EE">
        <w:rPr>
          <w:rFonts w:ascii="Tahoma" w:hAnsi="Tahoma" w:cs="Tahoma"/>
          <w:sz w:val="20"/>
          <w:szCs w:val="20"/>
        </w:rPr>
        <w:t xml:space="preserve"> </w:t>
      </w:r>
      <w:r w:rsidRPr="00B004EE">
        <w:rPr>
          <w:rFonts w:ascii="Tahoma" w:hAnsi="Tahoma" w:cs="Tahoma"/>
          <w:sz w:val="20"/>
          <w:szCs w:val="20"/>
        </w:rPr>
        <w:t>doivent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maintenus</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bon</w:t>
      </w:r>
      <w:r w:rsidR="00DB1635" w:rsidRPr="00B004EE">
        <w:rPr>
          <w:rFonts w:ascii="Tahoma" w:hAnsi="Tahoma" w:cs="Tahoma"/>
          <w:sz w:val="20"/>
          <w:szCs w:val="20"/>
        </w:rPr>
        <w:t xml:space="preserve"> </w:t>
      </w:r>
      <w:r w:rsidRPr="00B004EE">
        <w:rPr>
          <w:rFonts w:ascii="Tahoma" w:hAnsi="Tahoma" w:cs="Tahoma"/>
          <w:sz w:val="20"/>
          <w:szCs w:val="20"/>
        </w:rPr>
        <w:t>état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propreté</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d'entretien</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ne</w:t>
      </w:r>
      <w:r w:rsidR="00DB1635" w:rsidRPr="00B004EE">
        <w:rPr>
          <w:rFonts w:ascii="Tahoma" w:hAnsi="Tahoma" w:cs="Tahoma"/>
          <w:sz w:val="20"/>
          <w:szCs w:val="20"/>
        </w:rPr>
        <w:t xml:space="preserve"> </w:t>
      </w:r>
      <w:r w:rsidRPr="00B004EE">
        <w:rPr>
          <w:rFonts w:ascii="Tahoma" w:hAnsi="Tahoma" w:cs="Tahoma"/>
          <w:sz w:val="20"/>
          <w:szCs w:val="20"/>
        </w:rPr>
        <w:t>doivent</w:t>
      </w:r>
      <w:r w:rsidR="00DB1635" w:rsidRPr="00B004EE">
        <w:rPr>
          <w:rFonts w:ascii="Tahoma" w:hAnsi="Tahoma" w:cs="Tahoma"/>
          <w:sz w:val="20"/>
          <w:szCs w:val="20"/>
        </w:rPr>
        <w:t xml:space="preserve"> </w:t>
      </w:r>
      <w:r w:rsidRPr="00B004EE">
        <w:rPr>
          <w:rFonts w:ascii="Tahoma" w:hAnsi="Tahoma" w:cs="Tahoma"/>
          <w:sz w:val="20"/>
          <w:szCs w:val="20"/>
        </w:rPr>
        <w:t>pas</w:t>
      </w:r>
      <w:r w:rsidR="00DB1635" w:rsidRPr="00B004EE">
        <w:rPr>
          <w:rFonts w:ascii="Tahoma" w:hAnsi="Tahoma" w:cs="Tahoma"/>
          <w:sz w:val="20"/>
          <w:szCs w:val="20"/>
        </w:rPr>
        <w:t xml:space="preserve"> </w:t>
      </w:r>
      <w:r w:rsidRPr="00B004EE">
        <w:rPr>
          <w:rFonts w:ascii="Tahoma" w:hAnsi="Tahoma" w:cs="Tahoma"/>
          <w:sz w:val="20"/>
          <w:szCs w:val="20"/>
        </w:rPr>
        <w:t>constituer</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source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contamination</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travaillés;</w:t>
      </w:r>
    </w:p>
    <w:p w14:paraId="553B4EDD" w14:textId="1923F6CF" w:rsidR="002F24E1" w:rsidRPr="00B004EE" w:rsidRDefault="002F24E1" w:rsidP="00B004EE">
      <w:pPr>
        <w:numPr>
          <w:ilvl w:val="0"/>
          <w:numId w:val="3"/>
        </w:numPr>
        <w:ind w:left="284" w:hanging="284"/>
        <w:jc w:val="both"/>
        <w:rPr>
          <w:rFonts w:ascii="Tahoma" w:hAnsi="Tahoma" w:cs="Tahoma"/>
          <w:sz w:val="20"/>
          <w:szCs w:val="20"/>
        </w:rPr>
      </w:pPr>
      <w:proofErr w:type="gramStart"/>
      <w:r w:rsidRPr="00B004EE">
        <w:rPr>
          <w:rFonts w:ascii="Tahoma" w:hAnsi="Tahoma" w:cs="Tahoma"/>
          <w:sz w:val="20"/>
          <w:szCs w:val="20"/>
        </w:rPr>
        <w:t>la</w:t>
      </w:r>
      <w:proofErr w:type="gramEnd"/>
      <w:r w:rsidR="00DB1635" w:rsidRPr="00B004EE">
        <w:rPr>
          <w:rFonts w:ascii="Tahoma" w:hAnsi="Tahoma" w:cs="Tahoma"/>
          <w:sz w:val="20"/>
          <w:szCs w:val="20"/>
        </w:rPr>
        <w:t xml:space="preserve"> </w:t>
      </w:r>
      <w:r w:rsidRPr="00B004EE">
        <w:rPr>
          <w:rFonts w:ascii="Tahoma" w:hAnsi="Tahoma" w:cs="Tahoma"/>
          <w:sz w:val="20"/>
          <w:szCs w:val="20"/>
        </w:rPr>
        <w:t>destruction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rongeurs,</w:t>
      </w:r>
      <w:r w:rsidR="00DB1635" w:rsidRPr="00B004EE">
        <w:rPr>
          <w:rFonts w:ascii="Tahoma" w:hAnsi="Tahoma" w:cs="Tahoma"/>
          <w:sz w:val="20"/>
          <w:szCs w:val="20"/>
        </w:rPr>
        <w:t xml:space="preserve"> </w:t>
      </w:r>
      <w:r w:rsidRPr="00B004EE">
        <w:rPr>
          <w:rFonts w:ascii="Tahoma" w:hAnsi="Tahoma" w:cs="Tahoma"/>
          <w:sz w:val="20"/>
          <w:szCs w:val="20"/>
        </w:rPr>
        <w:t>insectes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toute</w:t>
      </w:r>
      <w:r w:rsidR="00DB1635" w:rsidRPr="00B004EE">
        <w:rPr>
          <w:rFonts w:ascii="Tahoma" w:hAnsi="Tahoma" w:cs="Tahoma"/>
          <w:sz w:val="20"/>
          <w:szCs w:val="20"/>
        </w:rPr>
        <w:t xml:space="preserve"> </w:t>
      </w:r>
      <w:r w:rsidRPr="00B004EE">
        <w:rPr>
          <w:rFonts w:ascii="Tahoma" w:hAnsi="Tahoma" w:cs="Tahoma"/>
          <w:sz w:val="20"/>
          <w:szCs w:val="20"/>
        </w:rPr>
        <w:t>autre</w:t>
      </w:r>
      <w:r w:rsidR="00DB1635" w:rsidRPr="00B004EE">
        <w:rPr>
          <w:rFonts w:ascii="Tahoma" w:hAnsi="Tahoma" w:cs="Tahoma"/>
          <w:sz w:val="20"/>
          <w:szCs w:val="20"/>
        </w:rPr>
        <w:t xml:space="preserve"> </w:t>
      </w:r>
      <w:r w:rsidRPr="00B004EE">
        <w:rPr>
          <w:rFonts w:ascii="Tahoma" w:hAnsi="Tahoma" w:cs="Tahoma"/>
          <w:sz w:val="20"/>
          <w:szCs w:val="20"/>
        </w:rPr>
        <w:t>vermine</w:t>
      </w:r>
      <w:r w:rsidR="00DB1635" w:rsidRPr="00B004EE">
        <w:rPr>
          <w:rFonts w:ascii="Tahoma" w:hAnsi="Tahoma" w:cs="Tahoma"/>
          <w:sz w:val="20"/>
          <w:szCs w:val="20"/>
        </w:rPr>
        <w:t xml:space="preserve"> </w:t>
      </w:r>
      <w:r w:rsidRPr="00B004EE">
        <w:rPr>
          <w:rFonts w:ascii="Tahoma" w:hAnsi="Tahoma" w:cs="Tahoma"/>
          <w:sz w:val="20"/>
          <w:szCs w:val="20"/>
        </w:rPr>
        <w:t>doit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systématiquement</w:t>
      </w:r>
      <w:r w:rsidR="00DB1635" w:rsidRPr="00B004EE">
        <w:rPr>
          <w:rFonts w:ascii="Tahoma" w:hAnsi="Tahoma" w:cs="Tahoma"/>
          <w:sz w:val="20"/>
          <w:szCs w:val="20"/>
        </w:rPr>
        <w:t xml:space="preserve"> </w:t>
      </w:r>
      <w:r w:rsidRPr="00B004EE">
        <w:rPr>
          <w:rFonts w:ascii="Tahoma" w:hAnsi="Tahoma" w:cs="Tahoma"/>
          <w:sz w:val="20"/>
          <w:szCs w:val="20"/>
        </w:rPr>
        <w:t>effectuée.</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raticides,</w:t>
      </w:r>
      <w:r w:rsidR="00DB1635" w:rsidRPr="00B004EE">
        <w:rPr>
          <w:rFonts w:ascii="Tahoma" w:hAnsi="Tahoma" w:cs="Tahoma"/>
          <w:sz w:val="20"/>
          <w:szCs w:val="20"/>
        </w:rPr>
        <w:t xml:space="preserve"> </w:t>
      </w:r>
      <w:r w:rsidRPr="00B004EE">
        <w:rPr>
          <w:rFonts w:ascii="Tahoma" w:hAnsi="Tahoma" w:cs="Tahoma"/>
          <w:sz w:val="20"/>
          <w:szCs w:val="20"/>
        </w:rPr>
        <w:t>insecticides</w:t>
      </w:r>
      <w:r w:rsidR="00DB1635" w:rsidRPr="00B004EE">
        <w:rPr>
          <w:rFonts w:ascii="Tahoma" w:hAnsi="Tahoma" w:cs="Tahoma"/>
          <w:sz w:val="20"/>
          <w:szCs w:val="20"/>
        </w:rPr>
        <w:t xml:space="preserve"> </w:t>
      </w:r>
      <w:r w:rsidRPr="00B004EE">
        <w:rPr>
          <w:rFonts w:ascii="Tahoma" w:hAnsi="Tahoma" w:cs="Tahoma"/>
          <w:sz w:val="20"/>
          <w:szCs w:val="20"/>
        </w:rPr>
        <w:t>ainsi</w:t>
      </w:r>
      <w:r w:rsidR="00DB1635" w:rsidRPr="00B004EE">
        <w:rPr>
          <w:rFonts w:ascii="Tahoma" w:hAnsi="Tahoma" w:cs="Tahoma"/>
          <w:sz w:val="20"/>
          <w:szCs w:val="20"/>
        </w:rPr>
        <w:t xml:space="preserve"> </w:t>
      </w:r>
      <w:r w:rsidRPr="00B004EE">
        <w:rPr>
          <w:rFonts w:ascii="Tahoma" w:hAnsi="Tahoma" w:cs="Tahoma"/>
          <w:sz w:val="20"/>
          <w:szCs w:val="20"/>
        </w:rPr>
        <w:t>que</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détersifs,</w:t>
      </w:r>
      <w:r w:rsidR="00DB1635" w:rsidRPr="00B004EE">
        <w:rPr>
          <w:rFonts w:ascii="Tahoma" w:hAnsi="Tahoma" w:cs="Tahoma"/>
          <w:sz w:val="20"/>
          <w:szCs w:val="20"/>
        </w:rPr>
        <w:t xml:space="preserve"> </w:t>
      </w:r>
      <w:r w:rsidRPr="00B004EE">
        <w:rPr>
          <w:rFonts w:ascii="Tahoma" w:hAnsi="Tahoma" w:cs="Tahoma"/>
          <w:sz w:val="20"/>
          <w:szCs w:val="20"/>
        </w:rPr>
        <w:t>désinfectants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autres</w:t>
      </w:r>
      <w:r w:rsidR="00DB1635" w:rsidRPr="00B004EE">
        <w:rPr>
          <w:rFonts w:ascii="Tahoma" w:hAnsi="Tahoma" w:cs="Tahoma"/>
          <w:sz w:val="20"/>
          <w:szCs w:val="20"/>
        </w:rPr>
        <w:t xml:space="preserve"> </w:t>
      </w:r>
      <w:r w:rsidRPr="00B004EE">
        <w:rPr>
          <w:rFonts w:ascii="Tahoma" w:hAnsi="Tahoma" w:cs="Tahoma"/>
          <w:sz w:val="20"/>
          <w:szCs w:val="20"/>
        </w:rPr>
        <w:t>substances</w:t>
      </w:r>
      <w:r w:rsidR="00DB1635" w:rsidRPr="00B004EE">
        <w:rPr>
          <w:rFonts w:ascii="Tahoma" w:hAnsi="Tahoma" w:cs="Tahoma"/>
          <w:sz w:val="20"/>
          <w:szCs w:val="20"/>
        </w:rPr>
        <w:t xml:space="preserve"> </w:t>
      </w:r>
      <w:r w:rsidRPr="00B004EE">
        <w:rPr>
          <w:rFonts w:ascii="Tahoma" w:hAnsi="Tahoma" w:cs="Tahoma"/>
          <w:sz w:val="20"/>
          <w:szCs w:val="20"/>
        </w:rPr>
        <w:t>autorisés</w:t>
      </w:r>
      <w:r w:rsidR="00DB1635" w:rsidRPr="00B004EE">
        <w:rPr>
          <w:rFonts w:ascii="Tahoma" w:hAnsi="Tahoma" w:cs="Tahoma"/>
          <w:sz w:val="20"/>
          <w:szCs w:val="20"/>
        </w:rPr>
        <w:t xml:space="preserve"> </w:t>
      </w:r>
      <w:r w:rsidRPr="00B004EE">
        <w:rPr>
          <w:rFonts w:ascii="Tahoma" w:hAnsi="Tahoma" w:cs="Tahoma"/>
          <w:sz w:val="20"/>
          <w:szCs w:val="20"/>
        </w:rPr>
        <w:t>pouvant</w:t>
      </w:r>
      <w:r w:rsidR="00DB1635" w:rsidRPr="00B004EE">
        <w:rPr>
          <w:rFonts w:ascii="Tahoma" w:hAnsi="Tahoma" w:cs="Tahoma"/>
          <w:sz w:val="20"/>
          <w:szCs w:val="20"/>
        </w:rPr>
        <w:t xml:space="preserve"> </w:t>
      </w:r>
      <w:r w:rsidRPr="00B004EE">
        <w:rPr>
          <w:rFonts w:ascii="Tahoma" w:hAnsi="Tahoma" w:cs="Tahoma"/>
          <w:sz w:val="20"/>
          <w:szCs w:val="20"/>
        </w:rPr>
        <w:t>présenter</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certaine</w:t>
      </w:r>
      <w:r w:rsidR="00DB1635" w:rsidRPr="00B004EE">
        <w:rPr>
          <w:rFonts w:ascii="Tahoma" w:hAnsi="Tahoma" w:cs="Tahoma"/>
          <w:sz w:val="20"/>
          <w:szCs w:val="20"/>
        </w:rPr>
        <w:t xml:space="preserve"> </w:t>
      </w:r>
      <w:r w:rsidRPr="00B004EE">
        <w:rPr>
          <w:rFonts w:ascii="Tahoma" w:hAnsi="Tahoma" w:cs="Tahoma"/>
          <w:sz w:val="20"/>
          <w:szCs w:val="20"/>
        </w:rPr>
        <w:t>toxicité</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utilisés</w:t>
      </w:r>
      <w:r w:rsidR="00DB1635" w:rsidRPr="00B004EE">
        <w:rPr>
          <w:rFonts w:ascii="Tahoma" w:hAnsi="Tahoma" w:cs="Tahoma"/>
          <w:sz w:val="20"/>
          <w:szCs w:val="20"/>
        </w:rPr>
        <w:t xml:space="preserve"> </w:t>
      </w:r>
      <w:r w:rsidRPr="00B004EE">
        <w:rPr>
          <w:rFonts w:ascii="Tahoma" w:hAnsi="Tahoma" w:cs="Tahoma"/>
          <w:sz w:val="20"/>
          <w:szCs w:val="20"/>
        </w:rPr>
        <w:t>sans</w:t>
      </w:r>
      <w:r w:rsidR="00DB1635" w:rsidRPr="00B004EE">
        <w:rPr>
          <w:rFonts w:ascii="Tahoma" w:hAnsi="Tahoma" w:cs="Tahoma"/>
          <w:sz w:val="20"/>
          <w:szCs w:val="20"/>
        </w:rPr>
        <w:t xml:space="preserve"> </w:t>
      </w:r>
      <w:r w:rsidRPr="00B004EE">
        <w:rPr>
          <w:rFonts w:ascii="Tahoma" w:hAnsi="Tahoma" w:cs="Tahoma"/>
          <w:sz w:val="20"/>
          <w:szCs w:val="20"/>
        </w:rPr>
        <w:t>risquer</w:t>
      </w:r>
      <w:r w:rsidR="00DB1635" w:rsidRPr="00B004EE">
        <w:rPr>
          <w:rFonts w:ascii="Tahoma" w:hAnsi="Tahoma" w:cs="Tahoma"/>
          <w:sz w:val="20"/>
          <w:szCs w:val="20"/>
        </w:rPr>
        <w:t xml:space="preserve"> </w:t>
      </w:r>
      <w:r w:rsidRPr="00B004EE">
        <w:rPr>
          <w:rFonts w:ascii="Tahoma" w:hAnsi="Tahoma" w:cs="Tahoma"/>
          <w:sz w:val="20"/>
          <w:szCs w:val="20"/>
        </w:rPr>
        <w:t>d'affecter</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matériel</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entreposés</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locaux</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armoires</w:t>
      </w:r>
      <w:r w:rsidR="00DB1635" w:rsidRPr="00B004EE">
        <w:rPr>
          <w:rFonts w:ascii="Tahoma" w:hAnsi="Tahoma" w:cs="Tahoma"/>
          <w:sz w:val="20"/>
          <w:szCs w:val="20"/>
        </w:rPr>
        <w:t xml:space="preserve"> </w:t>
      </w:r>
      <w:r w:rsidRPr="00B004EE">
        <w:rPr>
          <w:rFonts w:ascii="Tahoma" w:hAnsi="Tahoma" w:cs="Tahoma"/>
          <w:sz w:val="20"/>
          <w:szCs w:val="20"/>
        </w:rPr>
        <w:t>fermant</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proofErr w:type="gramStart"/>
      <w:r w:rsidRPr="00B004EE">
        <w:rPr>
          <w:rFonts w:ascii="Tahoma" w:hAnsi="Tahoma" w:cs="Tahoma"/>
          <w:sz w:val="20"/>
          <w:szCs w:val="20"/>
        </w:rPr>
        <w:t>clé;</w:t>
      </w:r>
      <w:proofErr w:type="gramEnd"/>
    </w:p>
    <w:p w14:paraId="5F4D58D6" w14:textId="4B01C7AC" w:rsidR="002F24E1" w:rsidRPr="00B004EE" w:rsidRDefault="002F24E1" w:rsidP="00B004EE">
      <w:pPr>
        <w:numPr>
          <w:ilvl w:val="0"/>
          <w:numId w:val="3"/>
        </w:numPr>
        <w:ind w:left="284" w:hanging="284"/>
        <w:jc w:val="both"/>
        <w:rPr>
          <w:rFonts w:ascii="Tahoma" w:hAnsi="Tahoma" w:cs="Tahoma"/>
          <w:sz w:val="20"/>
          <w:szCs w:val="20"/>
        </w:rPr>
      </w:pPr>
      <w:proofErr w:type="gramStart"/>
      <w:r w:rsidRPr="00B004EE">
        <w:rPr>
          <w:rFonts w:ascii="Tahoma" w:hAnsi="Tahoma" w:cs="Tahoma"/>
          <w:sz w:val="20"/>
          <w:szCs w:val="20"/>
        </w:rPr>
        <w:t>les</w:t>
      </w:r>
      <w:proofErr w:type="gramEnd"/>
      <w:r w:rsidR="00DB1635" w:rsidRPr="00B004EE">
        <w:rPr>
          <w:rFonts w:ascii="Tahoma" w:hAnsi="Tahoma" w:cs="Tahoma"/>
          <w:sz w:val="20"/>
          <w:szCs w:val="20"/>
        </w:rPr>
        <w:t xml:space="preserve"> </w:t>
      </w:r>
      <w:r w:rsidRPr="00B004EE">
        <w:rPr>
          <w:rFonts w:ascii="Tahoma" w:hAnsi="Tahoma" w:cs="Tahoma"/>
          <w:sz w:val="20"/>
          <w:szCs w:val="20"/>
        </w:rPr>
        <w:t>lieux</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travail,</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outils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matériel</w:t>
      </w:r>
      <w:r w:rsidR="00DB1635" w:rsidRPr="00B004EE">
        <w:rPr>
          <w:rFonts w:ascii="Tahoma" w:hAnsi="Tahoma" w:cs="Tahoma"/>
          <w:sz w:val="20"/>
          <w:szCs w:val="20"/>
        </w:rPr>
        <w:t xml:space="preserve"> </w:t>
      </w:r>
      <w:r w:rsidRPr="00B004EE">
        <w:rPr>
          <w:rFonts w:ascii="Tahoma" w:hAnsi="Tahoma" w:cs="Tahoma"/>
          <w:sz w:val="20"/>
          <w:szCs w:val="20"/>
        </w:rPr>
        <w:t>ne</w:t>
      </w:r>
      <w:r w:rsidR="00DB1635" w:rsidRPr="00B004EE">
        <w:rPr>
          <w:rFonts w:ascii="Tahoma" w:hAnsi="Tahoma" w:cs="Tahoma"/>
          <w:sz w:val="20"/>
          <w:szCs w:val="20"/>
        </w:rPr>
        <w:t xml:space="preserve"> </w:t>
      </w:r>
      <w:r w:rsidRPr="00B004EE">
        <w:rPr>
          <w:rFonts w:ascii="Tahoma" w:hAnsi="Tahoma" w:cs="Tahoma"/>
          <w:sz w:val="20"/>
          <w:szCs w:val="20"/>
        </w:rPr>
        <w:t>peuvent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utilisés</w:t>
      </w:r>
      <w:r w:rsidR="00DB1635" w:rsidRPr="00B004EE">
        <w:rPr>
          <w:rFonts w:ascii="Tahoma" w:hAnsi="Tahoma" w:cs="Tahoma"/>
          <w:sz w:val="20"/>
          <w:szCs w:val="20"/>
        </w:rPr>
        <w:t xml:space="preserve"> </w:t>
      </w:r>
      <w:r w:rsidRPr="00B004EE">
        <w:rPr>
          <w:rFonts w:ascii="Tahoma" w:hAnsi="Tahoma" w:cs="Tahoma"/>
          <w:sz w:val="20"/>
          <w:szCs w:val="20"/>
        </w:rPr>
        <w:t>que</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l'élaboration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sauf</w:t>
      </w:r>
      <w:r w:rsidR="00DB1635" w:rsidRPr="00B004EE">
        <w:rPr>
          <w:rFonts w:ascii="Tahoma" w:hAnsi="Tahoma" w:cs="Tahoma"/>
          <w:sz w:val="20"/>
          <w:szCs w:val="20"/>
        </w:rPr>
        <w:t xml:space="preserve"> </w:t>
      </w:r>
      <w:r w:rsidRPr="00B004EE">
        <w:rPr>
          <w:rFonts w:ascii="Tahoma" w:hAnsi="Tahoma" w:cs="Tahoma"/>
          <w:sz w:val="20"/>
          <w:szCs w:val="20"/>
        </w:rPr>
        <w:t>dérogation</w:t>
      </w:r>
      <w:r w:rsidR="00DB1635" w:rsidRPr="00B004EE">
        <w:rPr>
          <w:rFonts w:ascii="Tahoma" w:hAnsi="Tahoma" w:cs="Tahoma"/>
          <w:sz w:val="20"/>
          <w:szCs w:val="20"/>
        </w:rPr>
        <w:t xml:space="preserve"> </w:t>
      </w:r>
      <w:r w:rsidRPr="00B004EE">
        <w:rPr>
          <w:rFonts w:ascii="Tahoma" w:hAnsi="Tahoma" w:cs="Tahoma"/>
          <w:sz w:val="20"/>
          <w:szCs w:val="20"/>
        </w:rPr>
        <w:t>accordée</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agents</w:t>
      </w:r>
      <w:r w:rsidR="00DB1635" w:rsidRPr="00B004EE">
        <w:rPr>
          <w:rFonts w:ascii="Tahoma" w:hAnsi="Tahoma" w:cs="Tahoma"/>
          <w:sz w:val="20"/>
          <w:szCs w:val="20"/>
        </w:rPr>
        <w:t xml:space="preserve"> </w:t>
      </w:r>
      <w:r w:rsidRPr="00B004EE">
        <w:rPr>
          <w:rFonts w:ascii="Tahoma" w:hAnsi="Tahoma" w:cs="Tahoma"/>
          <w:sz w:val="20"/>
          <w:szCs w:val="20"/>
        </w:rPr>
        <w:t>d'inspection;</w:t>
      </w:r>
    </w:p>
    <w:p w14:paraId="355600CE" w14:textId="2E14B541" w:rsidR="002F24E1" w:rsidRPr="00B004EE" w:rsidRDefault="002F24E1" w:rsidP="00B004EE">
      <w:pPr>
        <w:numPr>
          <w:ilvl w:val="0"/>
          <w:numId w:val="3"/>
        </w:numPr>
        <w:ind w:left="284" w:hanging="284"/>
        <w:jc w:val="both"/>
        <w:rPr>
          <w:rFonts w:ascii="Tahoma" w:hAnsi="Tahoma" w:cs="Tahoma"/>
          <w:sz w:val="20"/>
          <w:szCs w:val="20"/>
        </w:rPr>
      </w:pPr>
      <w:proofErr w:type="gramStart"/>
      <w:r w:rsidRPr="00B004EE">
        <w:rPr>
          <w:rFonts w:ascii="Tahoma" w:hAnsi="Tahoma" w:cs="Tahoma"/>
          <w:sz w:val="20"/>
          <w:szCs w:val="20"/>
        </w:rPr>
        <w:t>l'utilisation</w:t>
      </w:r>
      <w:proofErr w:type="gramEnd"/>
      <w:r w:rsidR="00DB1635" w:rsidRPr="00B004EE">
        <w:rPr>
          <w:rFonts w:ascii="Tahoma" w:hAnsi="Tahoma" w:cs="Tahoma"/>
          <w:sz w:val="20"/>
          <w:szCs w:val="20"/>
        </w:rPr>
        <w:t xml:space="preserve"> </w:t>
      </w:r>
      <w:r w:rsidRPr="00B004EE">
        <w:rPr>
          <w:rFonts w:ascii="Tahoma" w:hAnsi="Tahoma" w:cs="Tahoma"/>
          <w:sz w:val="20"/>
          <w:szCs w:val="20"/>
        </w:rPr>
        <w:t>d'eau</w:t>
      </w:r>
      <w:r w:rsidR="00DB1635" w:rsidRPr="00B004EE">
        <w:rPr>
          <w:rFonts w:ascii="Tahoma" w:hAnsi="Tahoma" w:cs="Tahoma"/>
          <w:sz w:val="20"/>
          <w:szCs w:val="20"/>
        </w:rPr>
        <w:t xml:space="preserve"> </w:t>
      </w:r>
      <w:r w:rsidRPr="00B004EE">
        <w:rPr>
          <w:rFonts w:ascii="Tahoma" w:hAnsi="Tahoma" w:cs="Tahoma"/>
          <w:sz w:val="20"/>
          <w:szCs w:val="20"/>
        </w:rPr>
        <w:t>potable</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d'eau</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mer</w:t>
      </w:r>
      <w:r w:rsidR="00DB1635" w:rsidRPr="00B004EE">
        <w:rPr>
          <w:rFonts w:ascii="Tahoma" w:hAnsi="Tahoma" w:cs="Tahoma"/>
          <w:sz w:val="20"/>
          <w:szCs w:val="20"/>
        </w:rPr>
        <w:t xml:space="preserve"> </w:t>
      </w:r>
      <w:r w:rsidRPr="00B004EE">
        <w:rPr>
          <w:rFonts w:ascii="Tahoma" w:hAnsi="Tahoma" w:cs="Tahoma"/>
          <w:sz w:val="20"/>
          <w:szCs w:val="20"/>
        </w:rPr>
        <w:t>propre</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imposée</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tous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usages.</w:t>
      </w:r>
    </w:p>
    <w:p w14:paraId="3F69AA5D" w14:textId="77777777" w:rsidR="002F24E1" w:rsidRPr="00B004EE" w:rsidRDefault="002F24E1" w:rsidP="00B004EE">
      <w:pPr>
        <w:ind w:left="284"/>
        <w:jc w:val="both"/>
        <w:rPr>
          <w:rFonts w:ascii="Tahoma" w:hAnsi="Tahoma" w:cs="Tahoma"/>
          <w:sz w:val="20"/>
          <w:szCs w:val="20"/>
        </w:rPr>
      </w:pPr>
    </w:p>
    <w:p w14:paraId="53B98F38" w14:textId="759CA792" w:rsidR="002F24E1" w:rsidRPr="00B004EE" w:rsidRDefault="00E32DBF" w:rsidP="00B004EE">
      <w:pPr>
        <w:tabs>
          <w:tab w:val="left" w:pos="567"/>
          <w:tab w:val="left" w:pos="2268"/>
        </w:tabs>
        <w:jc w:val="center"/>
        <w:rPr>
          <w:rFonts w:ascii="Tahoma" w:hAnsi="Tahoma" w:cs="Tahoma"/>
          <w:b/>
          <w:sz w:val="20"/>
          <w:szCs w:val="20"/>
        </w:rPr>
      </w:pPr>
      <w:r w:rsidRPr="00B004EE">
        <w:rPr>
          <w:rFonts w:ascii="Tahoma" w:hAnsi="Tahoma" w:cs="Tahoma"/>
          <w:b/>
          <w:sz w:val="20"/>
          <w:szCs w:val="20"/>
        </w:rPr>
        <w:t>SECTION</w:t>
      </w:r>
      <w:r w:rsidR="00DB1635" w:rsidRPr="00B004EE">
        <w:rPr>
          <w:rFonts w:ascii="Tahoma" w:hAnsi="Tahoma" w:cs="Tahoma"/>
          <w:b/>
          <w:sz w:val="20"/>
          <w:szCs w:val="20"/>
        </w:rPr>
        <w:t xml:space="preserve"> </w:t>
      </w:r>
      <w:r w:rsidRPr="00B004EE">
        <w:rPr>
          <w:rFonts w:ascii="Tahoma" w:hAnsi="Tahoma" w:cs="Tahoma"/>
          <w:b/>
          <w:sz w:val="20"/>
          <w:szCs w:val="20"/>
        </w:rPr>
        <w:t>II</w:t>
      </w:r>
      <w:r w:rsidR="00DB1635" w:rsidRPr="00B004EE">
        <w:rPr>
          <w:rFonts w:ascii="Tahoma" w:hAnsi="Tahoma" w:cs="Tahoma"/>
          <w:b/>
          <w:sz w:val="20"/>
          <w:szCs w:val="20"/>
        </w:rPr>
        <w:t xml:space="preserve"> </w:t>
      </w:r>
      <w:r w:rsidRPr="00B004EE">
        <w:rPr>
          <w:rFonts w:ascii="Tahoma" w:hAnsi="Tahoma" w:cs="Tahoma"/>
          <w:b/>
          <w:sz w:val="20"/>
          <w:szCs w:val="20"/>
        </w:rPr>
        <w:t>:</w:t>
      </w:r>
      <w:r w:rsidR="00DB1635" w:rsidRPr="00B004EE">
        <w:rPr>
          <w:rFonts w:ascii="Tahoma" w:hAnsi="Tahoma" w:cs="Tahoma"/>
          <w:b/>
          <w:sz w:val="20"/>
          <w:szCs w:val="20"/>
        </w:rPr>
        <w:t xml:space="preserve"> </w:t>
      </w:r>
      <w:r w:rsidRPr="00B004EE">
        <w:rPr>
          <w:rFonts w:ascii="Tahoma" w:hAnsi="Tahoma" w:cs="Tahoma"/>
          <w:b/>
          <w:sz w:val="20"/>
          <w:szCs w:val="20"/>
        </w:rPr>
        <w:t>MANIPULATION</w:t>
      </w:r>
      <w:r w:rsidR="00DB1635" w:rsidRPr="00B004EE">
        <w:rPr>
          <w:rFonts w:ascii="Tahoma" w:hAnsi="Tahoma" w:cs="Tahoma"/>
          <w:b/>
          <w:sz w:val="20"/>
          <w:szCs w:val="20"/>
        </w:rPr>
        <w:t xml:space="preserve"> </w:t>
      </w:r>
      <w:r w:rsidRPr="00B004EE">
        <w:rPr>
          <w:rFonts w:ascii="Tahoma" w:hAnsi="Tahoma" w:cs="Tahoma"/>
          <w:b/>
          <w:sz w:val="20"/>
          <w:szCs w:val="20"/>
        </w:rPr>
        <w:t>ET</w:t>
      </w:r>
      <w:r w:rsidR="00DB1635" w:rsidRPr="00B004EE">
        <w:rPr>
          <w:rFonts w:ascii="Tahoma" w:hAnsi="Tahoma" w:cs="Tahoma"/>
          <w:b/>
          <w:sz w:val="20"/>
          <w:szCs w:val="20"/>
        </w:rPr>
        <w:t xml:space="preserve"> </w:t>
      </w:r>
      <w:r w:rsidRPr="00B004EE">
        <w:rPr>
          <w:rFonts w:ascii="Tahoma" w:hAnsi="Tahoma" w:cs="Tahoma"/>
          <w:b/>
          <w:sz w:val="20"/>
          <w:szCs w:val="20"/>
        </w:rPr>
        <w:t>ENTREPOSAGE</w:t>
      </w:r>
      <w:r w:rsidR="00DB1635" w:rsidRPr="00B004EE">
        <w:rPr>
          <w:rFonts w:ascii="Tahoma" w:hAnsi="Tahoma" w:cs="Tahoma"/>
          <w:b/>
          <w:sz w:val="20"/>
          <w:szCs w:val="20"/>
        </w:rPr>
        <w:t xml:space="preserve"> </w:t>
      </w:r>
      <w:r w:rsidRPr="00B004EE">
        <w:rPr>
          <w:rFonts w:ascii="Tahoma" w:hAnsi="Tahoma" w:cs="Tahoma"/>
          <w:b/>
          <w:sz w:val="20"/>
          <w:szCs w:val="20"/>
        </w:rPr>
        <w:t>DES</w:t>
      </w:r>
      <w:r w:rsidR="00DB1635" w:rsidRPr="00B004EE">
        <w:rPr>
          <w:rFonts w:ascii="Tahoma" w:hAnsi="Tahoma" w:cs="Tahoma"/>
          <w:b/>
          <w:sz w:val="20"/>
          <w:szCs w:val="20"/>
        </w:rPr>
        <w:t xml:space="preserve"> </w:t>
      </w:r>
      <w:r w:rsidRPr="00B004EE">
        <w:rPr>
          <w:rFonts w:ascii="Tahoma" w:hAnsi="Tahoma" w:cs="Tahoma"/>
          <w:b/>
          <w:sz w:val="20"/>
          <w:szCs w:val="20"/>
        </w:rPr>
        <w:t>PRODUITS</w:t>
      </w:r>
      <w:r w:rsidR="00DB1635" w:rsidRPr="00B004EE">
        <w:rPr>
          <w:rFonts w:ascii="Tahoma" w:hAnsi="Tahoma" w:cs="Tahoma"/>
          <w:b/>
          <w:sz w:val="20"/>
          <w:szCs w:val="20"/>
        </w:rPr>
        <w:t xml:space="preserve"> </w:t>
      </w:r>
      <w:r w:rsidRPr="00B004EE">
        <w:rPr>
          <w:rFonts w:ascii="Tahoma" w:hAnsi="Tahoma" w:cs="Tahoma"/>
          <w:b/>
          <w:sz w:val="20"/>
          <w:szCs w:val="20"/>
        </w:rPr>
        <w:t>DE</w:t>
      </w:r>
      <w:r w:rsidR="00DB1635" w:rsidRPr="00B004EE">
        <w:rPr>
          <w:rFonts w:ascii="Tahoma" w:hAnsi="Tahoma" w:cs="Tahoma"/>
          <w:b/>
          <w:sz w:val="20"/>
          <w:szCs w:val="20"/>
        </w:rPr>
        <w:t xml:space="preserve"> </w:t>
      </w:r>
      <w:r w:rsidRPr="00B004EE">
        <w:rPr>
          <w:rFonts w:ascii="Tahoma" w:hAnsi="Tahoma" w:cs="Tahoma"/>
          <w:b/>
          <w:sz w:val="20"/>
          <w:szCs w:val="20"/>
        </w:rPr>
        <w:t>LA</w:t>
      </w:r>
      <w:r w:rsidR="00DB1635" w:rsidRPr="00B004EE">
        <w:rPr>
          <w:rFonts w:ascii="Tahoma" w:hAnsi="Tahoma" w:cs="Tahoma"/>
          <w:b/>
          <w:sz w:val="20"/>
          <w:szCs w:val="20"/>
        </w:rPr>
        <w:t xml:space="preserve"> </w:t>
      </w:r>
      <w:r w:rsidRPr="00B004EE">
        <w:rPr>
          <w:rFonts w:ascii="Tahoma" w:hAnsi="Tahoma" w:cs="Tahoma"/>
          <w:b/>
          <w:sz w:val="20"/>
          <w:szCs w:val="20"/>
        </w:rPr>
        <w:t>PECHE</w:t>
      </w:r>
    </w:p>
    <w:p w14:paraId="10B84498" w14:textId="77777777" w:rsidR="002F24E1" w:rsidRPr="00B004EE" w:rsidRDefault="002F24E1" w:rsidP="00B004EE">
      <w:pPr>
        <w:jc w:val="both"/>
        <w:rPr>
          <w:rFonts w:ascii="Tahoma" w:hAnsi="Tahoma" w:cs="Tahoma"/>
          <w:sz w:val="20"/>
          <w:szCs w:val="20"/>
        </w:rPr>
      </w:pPr>
    </w:p>
    <w:p w14:paraId="082C2841" w14:textId="6CA0BDBC" w:rsidR="002F24E1" w:rsidRPr="00B004EE" w:rsidRDefault="00AD7D88" w:rsidP="00B004EE">
      <w:pPr>
        <w:jc w:val="both"/>
        <w:rPr>
          <w:rFonts w:ascii="Tahoma" w:hAnsi="Tahoma" w:cs="Tahoma"/>
          <w:sz w:val="20"/>
          <w:szCs w:val="20"/>
        </w:rPr>
      </w:pPr>
      <w:r w:rsidRPr="00B004EE">
        <w:rPr>
          <w:rFonts w:ascii="Tahoma" w:hAnsi="Tahoma" w:cs="Tahoma"/>
          <w:bCs/>
          <w:sz w:val="20"/>
          <w:szCs w:val="20"/>
        </w:rPr>
        <w:t xml:space="preserve">Article </w:t>
      </w:r>
      <w:r w:rsidR="002F24E1" w:rsidRPr="00B004EE">
        <w:rPr>
          <w:rFonts w:ascii="Tahoma" w:hAnsi="Tahoma" w:cs="Tahoma"/>
          <w:bCs/>
          <w:sz w:val="20"/>
          <w:szCs w:val="20"/>
        </w:rPr>
        <w:t>26</w:t>
      </w:r>
      <w:r w:rsidR="00DB1635" w:rsidRPr="00B004EE">
        <w:rPr>
          <w:rFonts w:ascii="Tahoma" w:hAnsi="Tahoma" w:cs="Tahoma"/>
          <w:b/>
          <w:sz w:val="20"/>
          <w:szCs w:val="20"/>
        </w:rPr>
        <w:t xml:space="preserve"> </w:t>
      </w:r>
      <w:r w:rsidR="002F24E1" w:rsidRPr="00B004EE">
        <w:rPr>
          <w:rFonts w:ascii="Tahoma" w:hAnsi="Tahoma" w:cs="Tahoma"/>
          <w:b/>
          <w:sz w:val="20"/>
          <w:szCs w:val="20"/>
        </w:rPr>
        <w:t>:</w:t>
      </w:r>
      <w:r w:rsidR="00DB1635" w:rsidRPr="00B004EE">
        <w:rPr>
          <w:rFonts w:ascii="Tahoma" w:hAnsi="Tahoma" w:cs="Tahoma"/>
          <w:b/>
          <w:sz w:val="20"/>
          <w:szCs w:val="20"/>
        </w:rPr>
        <w:t xml:space="preserve"> </w:t>
      </w:r>
      <w:r w:rsidR="002F24E1" w:rsidRPr="00B004EE">
        <w:rPr>
          <w:rFonts w:ascii="Tahoma" w:hAnsi="Tahoma" w:cs="Tahoma"/>
          <w:sz w:val="20"/>
          <w:szCs w:val="20"/>
        </w:rPr>
        <w:t>La</w:t>
      </w:r>
      <w:r w:rsidR="00DB1635" w:rsidRPr="00B004EE">
        <w:rPr>
          <w:rFonts w:ascii="Tahoma" w:hAnsi="Tahoma" w:cs="Tahoma"/>
          <w:sz w:val="20"/>
          <w:szCs w:val="20"/>
        </w:rPr>
        <w:t xml:space="preserve"> </w:t>
      </w:r>
      <w:r w:rsidR="002F24E1" w:rsidRPr="00B004EE">
        <w:rPr>
          <w:rFonts w:ascii="Tahoma" w:hAnsi="Tahoma" w:cs="Tahoma"/>
          <w:sz w:val="20"/>
          <w:szCs w:val="20"/>
        </w:rPr>
        <w:t>manipulation</w:t>
      </w:r>
      <w:r w:rsidR="00DB1635" w:rsidRPr="00B004EE">
        <w:rPr>
          <w:rFonts w:ascii="Tahoma" w:hAnsi="Tahoma" w:cs="Tahoma"/>
          <w:sz w:val="20"/>
          <w:szCs w:val="20"/>
        </w:rPr>
        <w:t xml:space="preserve"> </w:t>
      </w:r>
      <w:r w:rsidR="002F24E1" w:rsidRPr="00B004EE">
        <w:rPr>
          <w:rFonts w:ascii="Tahoma" w:hAnsi="Tahoma" w:cs="Tahoma"/>
          <w:sz w:val="20"/>
          <w:szCs w:val="20"/>
        </w:rPr>
        <w:t>des</w:t>
      </w:r>
      <w:r w:rsidR="00DB1635" w:rsidRPr="00B004EE">
        <w:rPr>
          <w:rFonts w:ascii="Tahoma" w:hAnsi="Tahoma" w:cs="Tahoma"/>
          <w:sz w:val="20"/>
          <w:szCs w:val="20"/>
        </w:rPr>
        <w:t xml:space="preserve"> </w:t>
      </w:r>
      <w:r w:rsidR="002F24E1" w:rsidRPr="00B004EE">
        <w:rPr>
          <w:rFonts w:ascii="Tahoma" w:hAnsi="Tahoma" w:cs="Tahoma"/>
          <w:sz w:val="20"/>
          <w:szCs w:val="20"/>
        </w:rPr>
        <w:t>produits</w:t>
      </w:r>
      <w:r w:rsidR="00DB1635" w:rsidRPr="00B004EE">
        <w:rPr>
          <w:rFonts w:ascii="Tahoma" w:hAnsi="Tahoma" w:cs="Tahoma"/>
          <w:sz w:val="20"/>
          <w:szCs w:val="20"/>
        </w:rPr>
        <w:t xml:space="preserve"> </w:t>
      </w:r>
      <w:r w:rsidR="002F24E1" w:rsidRPr="00B004EE">
        <w:rPr>
          <w:rFonts w:ascii="Tahoma" w:hAnsi="Tahoma" w:cs="Tahoma"/>
          <w:sz w:val="20"/>
          <w:szCs w:val="20"/>
        </w:rPr>
        <w:t>frais</w:t>
      </w:r>
      <w:r w:rsidR="00DB1635" w:rsidRPr="00B004EE">
        <w:rPr>
          <w:rFonts w:ascii="Tahoma" w:hAnsi="Tahoma" w:cs="Tahoma"/>
          <w:sz w:val="20"/>
          <w:szCs w:val="20"/>
        </w:rPr>
        <w:t xml:space="preserve"> </w:t>
      </w:r>
      <w:r w:rsidR="002F24E1" w:rsidRPr="00B004EE">
        <w:rPr>
          <w:rFonts w:ascii="Tahoma" w:hAnsi="Tahoma" w:cs="Tahoma"/>
          <w:sz w:val="20"/>
          <w:szCs w:val="20"/>
        </w:rPr>
        <w:t>s'effectue</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manière</w:t>
      </w:r>
      <w:r w:rsidR="00DB1635" w:rsidRPr="00B004EE">
        <w:rPr>
          <w:rFonts w:ascii="Tahoma" w:hAnsi="Tahoma" w:cs="Tahoma"/>
          <w:sz w:val="20"/>
          <w:szCs w:val="20"/>
        </w:rPr>
        <w:t xml:space="preserve"> </w:t>
      </w:r>
      <w:r w:rsidR="002F24E1" w:rsidRPr="00B004EE">
        <w:rPr>
          <w:rFonts w:ascii="Tahoma" w:hAnsi="Tahoma" w:cs="Tahoma"/>
          <w:sz w:val="20"/>
          <w:szCs w:val="20"/>
        </w:rPr>
        <w:t>hygiénique.</w:t>
      </w:r>
      <w:r w:rsidR="00DB1635" w:rsidRPr="00B004EE">
        <w:rPr>
          <w:rFonts w:ascii="Tahoma" w:hAnsi="Tahoma" w:cs="Tahoma"/>
          <w:sz w:val="20"/>
          <w:szCs w:val="20"/>
        </w:rPr>
        <w:t xml:space="preserve"> </w:t>
      </w:r>
      <w:r w:rsidR="002F24E1" w:rsidRPr="00B004EE">
        <w:rPr>
          <w:rFonts w:ascii="Tahoma" w:hAnsi="Tahoma" w:cs="Tahoma"/>
          <w:sz w:val="20"/>
          <w:szCs w:val="20"/>
        </w:rPr>
        <w:t>Immédiatement</w:t>
      </w:r>
      <w:r w:rsidR="00DB1635" w:rsidRPr="00B004EE">
        <w:rPr>
          <w:rFonts w:ascii="Tahoma" w:hAnsi="Tahoma" w:cs="Tahoma"/>
          <w:sz w:val="20"/>
          <w:szCs w:val="20"/>
        </w:rPr>
        <w:t xml:space="preserve"> </w:t>
      </w:r>
      <w:r w:rsidR="002F24E1" w:rsidRPr="00B004EE">
        <w:rPr>
          <w:rFonts w:ascii="Tahoma" w:hAnsi="Tahoma" w:cs="Tahoma"/>
          <w:sz w:val="20"/>
          <w:szCs w:val="20"/>
        </w:rPr>
        <w:t>après</w:t>
      </w:r>
      <w:r w:rsidR="00DB1635" w:rsidRPr="00B004EE">
        <w:rPr>
          <w:rFonts w:ascii="Tahoma" w:hAnsi="Tahoma" w:cs="Tahoma"/>
          <w:sz w:val="20"/>
          <w:szCs w:val="20"/>
        </w:rPr>
        <w:t xml:space="preserve"> </w:t>
      </w:r>
      <w:r w:rsidR="002F24E1" w:rsidRPr="00B004EE">
        <w:rPr>
          <w:rFonts w:ascii="Tahoma" w:hAnsi="Tahoma" w:cs="Tahoma"/>
          <w:sz w:val="20"/>
          <w:szCs w:val="20"/>
        </w:rPr>
        <w:t>l'étêtage</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l'éviscération,</w:t>
      </w:r>
      <w:r w:rsidR="00DB1635" w:rsidRPr="00B004EE">
        <w:rPr>
          <w:rFonts w:ascii="Tahoma" w:hAnsi="Tahoma" w:cs="Tahoma"/>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2F24E1" w:rsidRPr="00B004EE">
        <w:rPr>
          <w:rFonts w:ascii="Tahoma" w:hAnsi="Tahoma" w:cs="Tahoma"/>
          <w:sz w:val="20"/>
          <w:szCs w:val="20"/>
        </w:rPr>
        <w:t>produits</w:t>
      </w:r>
      <w:r w:rsidR="00DB1635" w:rsidRPr="00B004EE">
        <w:rPr>
          <w:rFonts w:ascii="Tahoma" w:hAnsi="Tahoma" w:cs="Tahoma"/>
          <w:sz w:val="20"/>
          <w:szCs w:val="20"/>
        </w:rPr>
        <w:t xml:space="preserve"> </w:t>
      </w:r>
      <w:r w:rsidR="002F24E1" w:rsidRPr="00B004EE">
        <w:rPr>
          <w:rFonts w:ascii="Tahoma" w:hAnsi="Tahoma" w:cs="Tahoma"/>
          <w:sz w:val="20"/>
          <w:szCs w:val="20"/>
        </w:rPr>
        <w:t>doivent</w:t>
      </w:r>
      <w:r w:rsidR="00DB1635" w:rsidRPr="00B004EE">
        <w:rPr>
          <w:rFonts w:ascii="Tahoma" w:hAnsi="Tahoma" w:cs="Tahoma"/>
          <w:sz w:val="20"/>
          <w:szCs w:val="20"/>
        </w:rPr>
        <w:t xml:space="preserve"> </w:t>
      </w:r>
      <w:r w:rsidR="002F24E1" w:rsidRPr="00B004EE">
        <w:rPr>
          <w:rFonts w:ascii="Tahoma" w:hAnsi="Tahoma" w:cs="Tahoma"/>
          <w:sz w:val="20"/>
          <w:szCs w:val="20"/>
        </w:rPr>
        <w:t>être</w:t>
      </w:r>
      <w:r w:rsidR="00DB1635" w:rsidRPr="00B004EE">
        <w:rPr>
          <w:rFonts w:ascii="Tahoma" w:hAnsi="Tahoma" w:cs="Tahoma"/>
          <w:sz w:val="20"/>
          <w:szCs w:val="20"/>
        </w:rPr>
        <w:t xml:space="preserve"> </w:t>
      </w:r>
      <w:r w:rsidR="002F24E1" w:rsidRPr="00B004EE">
        <w:rPr>
          <w:rFonts w:ascii="Tahoma" w:hAnsi="Tahoma" w:cs="Tahoma"/>
          <w:sz w:val="20"/>
          <w:szCs w:val="20"/>
        </w:rPr>
        <w:t>lavés</w:t>
      </w:r>
      <w:r w:rsidR="00DB1635" w:rsidRPr="00B004EE">
        <w:rPr>
          <w:rFonts w:ascii="Tahoma" w:hAnsi="Tahoma" w:cs="Tahoma"/>
          <w:sz w:val="20"/>
          <w:szCs w:val="20"/>
        </w:rPr>
        <w:t xml:space="preserve"> </w:t>
      </w:r>
      <w:r w:rsidR="002F24E1" w:rsidRPr="00B004EE">
        <w:rPr>
          <w:rFonts w:ascii="Tahoma" w:hAnsi="Tahoma" w:cs="Tahoma"/>
          <w:sz w:val="20"/>
          <w:szCs w:val="20"/>
        </w:rPr>
        <w:t>abondamment.</w:t>
      </w:r>
    </w:p>
    <w:p w14:paraId="2110FF76" w14:textId="77777777" w:rsidR="002F24E1" w:rsidRPr="00B004EE" w:rsidRDefault="002F24E1" w:rsidP="00B004EE">
      <w:pPr>
        <w:jc w:val="both"/>
        <w:rPr>
          <w:rFonts w:ascii="Tahoma" w:hAnsi="Tahoma" w:cs="Tahoma"/>
          <w:sz w:val="20"/>
          <w:szCs w:val="20"/>
        </w:rPr>
      </w:pPr>
    </w:p>
    <w:p w14:paraId="24250E09" w14:textId="38ED1CF9" w:rsidR="002F24E1" w:rsidRPr="00B004EE" w:rsidRDefault="002F24E1" w:rsidP="00B004EE">
      <w:pPr>
        <w:jc w:val="both"/>
        <w:rPr>
          <w:rFonts w:ascii="Tahoma" w:hAnsi="Tahoma" w:cs="Tahoma"/>
          <w:sz w:val="20"/>
          <w:szCs w:val="20"/>
        </w:rPr>
      </w:pPr>
      <w:r w:rsidRPr="00B004EE">
        <w:rPr>
          <w:rFonts w:ascii="Tahoma" w:hAnsi="Tahoma" w:cs="Tahoma"/>
          <w:sz w:val="20"/>
          <w:szCs w:val="20"/>
        </w:rPr>
        <w:tab/>
        <w:t>Les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doivent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préparés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transformés</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évitant</w:t>
      </w:r>
      <w:r w:rsidR="00DB1635" w:rsidRPr="00B004EE">
        <w:rPr>
          <w:rFonts w:ascii="Tahoma" w:hAnsi="Tahoma" w:cs="Tahoma"/>
          <w:sz w:val="20"/>
          <w:szCs w:val="20"/>
        </w:rPr>
        <w:t xml:space="preserve"> </w:t>
      </w:r>
      <w:r w:rsidRPr="00B004EE">
        <w:rPr>
          <w:rFonts w:ascii="Tahoma" w:hAnsi="Tahoma" w:cs="Tahoma"/>
          <w:sz w:val="20"/>
          <w:szCs w:val="20"/>
        </w:rPr>
        <w:t>toute</w:t>
      </w:r>
      <w:r w:rsidR="00DB1635" w:rsidRPr="00B004EE">
        <w:rPr>
          <w:rFonts w:ascii="Tahoma" w:hAnsi="Tahoma" w:cs="Tahoma"/>
          <w:sz w:val="20"/>
          <w:szCs w:val="20"/>
        </w:rPr>
        <w:t xml:space="preserve"> </w:t>
      </w:r>
      <w:r w:rsidRPr="00B004EE">
        <w:rPr>
          <w:rFonts w:ascii="Tahoma" w:hAnsi="Tahoma" w:cs="Tahoma"/>
          <w:sz w:val="20"/>
          <w:szCs w:val="20"/>
        </w:rPr>
        <w:t>contamination,</w:t>
      </w:r>
      <w:r w:rsidR="00DB1635" w:rsidRPr="00B004EE">
        <w:rPr>
          <w:rFonts w:ascii="Tahoma" w:hAnsi="Tahoma" w:cs="Tahoma"/>
          <w:sz w:val="20"/>
          <w:szCs w:val="20"/>
        </w:rPr>
        <w:t xml:space="preserve"> </w:t>
      </w:r>
      <w:r w:rsidRPr="00B004EE">
        <w:rPr>
          <w:rFonts w:ascii="Tahoma" w:hAnsi="Tahoma" w:cs="Tahoma"/>
          <w:sz w:val="20"/>
          <w:szCs w:val="20"/>
        </w:rPr>
        <w:t>souillure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tout</w:t>
      </w:r>
      <w:r w:rsidR="00DB1635" w:rsidRPr="00B004EE">
        <w:rPr>
          <w:rFonts w:ascii="Tahoma" w:hAnsi="Tahoma" w:cs="Tahoma"/>
          <w:sz w:val="20"/>
          <w:szCs w:val="20"/>
        </w:rPr>
        <w:t xml:space="preserve"> </w:t>
      </w:r>
      <w:r w:rsidRPr="00B004EE">
        <w:rPr>
          <w:rFonts w:ascii="Tahoma" w:hAnsi="Tahoma" w:cs="Tahoma"/>
          <w:sz w:val="20"/>
          <w:szCs w:val="20"/>
        </w:rPr>
        <w:t>débris</w:t>
      </w:r>
      <w:r w:rsidR="00DB1635" w:rsidRPr="00B004EE">
        <w:rPr>
          <w:rFonts w:ascii="Tahoma" w:hAnsi="Tahoma" w:cs="Tahoma"/>
          <w:sz w:val="20"/>
          <w:szCs w:val="20"/>
        </w:rPr>
        <w:t xml:space="preserve"> </w:t>
      </w:r>
      <w:r w:rsidRPr="00B004EE">
        <w:rPr>
          <w:rFonts w:ascii="Tahoma" w:hAnsi="Tahoma" w:cs="Tahoma"/>
          <w:sz w:val="20"/>
          <w:szCs w:val="20"/>
        </w:rPr>
        <w:t>organique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ne</w:t>
      </w:r>
      <w:r w:rsidR="00DB1635" w:rsidRPr="00B004EE">
        <w:rPr>
          <w:rFonts w:ascii="Tahoma" w:hAnsi="Tahoma" w:cs="Tahoma"/>
          <w:sz w:val="20"/>
          <w:szCs w:val="20"/>
        </w:rPr>
        <w:t xml:space="preserve"> </w:t>
      </w:r>
      <w:r w:rsidRPr="00B004EE">
        <w:rPr>
          <w:rFonts w:ascii="Tahoma" w:hAnsi="Tahoma" w:cs="Tahoma"/>
          <w:sz w:val="20"/>
          <w:szCs w:val="20"/>
        </w:rPr>
        <w:t>séjournent</w:t>
      </w:r>
      <w:r w:rsidR="00DB1635" w:rsidRPr="00B004EE">
        <w:rPr>
          <w:rFonts w:ascii="Tahoma" w:hAnsi="Tahoma" w:cs="Tahoma"/>
          <w:sz w:val="20"/>
          <w:szCs w:val="20"/>
        </w:rPr>
        <w:t xml:space="preserve"> </w:t>
      </w:r>
      <w:r w:rsidRPr="00B004EE">
        <w:rPr>
          <w:rFonts w:ascii="Tahoma" w:hAnsi="Tahoma" w:cs="Tahoma"/>
          <w:sz w:val="20"/>
          <w:szCs w:val="20"/>
        </w:rPr>
        <w:t>que</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temps</w:t>
      </w:r>
      <w:r w:rsidR="00DB1635" w:rsidRPr="00B004EE">
        <w:rPr>
          <w:rFonts w:ascii="Tahoma" w:hAnsi="Tahoma" w:cs="Tahoma"/>
          <w:sz w:val="20"/>
          <w:szCs w:val="20"/>
        </w:rPr>
        <w:t xml:space="preserve"> </w:t>
      </w:r>
      <w:r w:rsidRPr="00B004EE">
        <w:rPr>
          <w:rFonts w:ascii="Tahoma" w:hAnsi="Tahoma" w:cs="Tahoma"/>
          <w:sz w:val="20"/>
          <w:szCs w:val="20"/>
        </w:rPr>
        <w:t>nécessaire</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chaque</w:t>
      </w:r>
      <w:r w:rsidR="00DB1635" w:rsidRPr="00B004EE">
        <w:rPr>
          <w:rFonts w:ascii="Tahoma" w:hAnsi="Tahoma" w:cs="Tahoma"/>
          <w:sz w:val="20"/>
          <w:szCs w:val="20"/>
        </w:rPr>
        <w:t xml:space="preserve"> </w:t>
      </w:r>
      <w:r w:rsidRPr="00B004EE">
        <w:rPr>
          <w:rFonts w:ascii="Tahoma" w:hAnsi="Tahoma" w:cs="Tahoma"/>
          <w:sz w:val="20"/>
          <w:szCs w:val="20"/>
        </w:rPr>
        <w:t>étape.</w:t>
      </w:r>
    </w:p>
    <w:p w14:paraId="3C9843A4" w14:textId="77777777" w:rsidR="002F24E1" w:rsidRPr="00B004EE" w:rsidRDefault="002F24E1" w:rsidP="00B004EE">
      <w:pPr>
        <w:jc w:val="both"/>
        <w:rPr>
          <w:rFonts w:ascii="Tahoma" w:hAnsi="Tahoma" w:cs="Tahoma"/>
          <w:sz w:val="20"/>
          <w:szCs w:val="20"/>
        </w:rPr>
      </w:pPr>
    </w:p>
    <w:p w14:paraId="3867B249" w14:textId="3E796440" w:rsidR="002F24E1" w:rsidRPr="00B004EE" w:rsidRDefault="00AD7D88" w:rsidP="00B004EE">
      <w:pPr>
        <w:jc w:val="both"/>
        <w:rPr>
          <w:rFonts w:ascii="Tahoma" w:hAnsi="Tahoma" w:cs="Tahoma"/>
          <w:sz w:val="20"/>
          <w:szCs w:val="20"/>
        </w:rPr>
      </w:pPr>
      <w:r w:rsidRPr="00B004EE">
        <w:rPr>
          <w:rFonts w:ascii="Tahoma" w:hAnsi="Tahoma" w:cs="Tahoma"/>
          <w:bCs/>
          <w:sz w:val="20"/>
          <w:szCs w:val="20"/>
        </w:rPr>
        <w:t xml:space="preserve">Article </w:t>
      </w:r>
      <w:r w:rsidR="002F24E1" w:rsidRPr="00B004EE">
        <w:rPr>
          <w:rFonts w:ascii="Tahoma" w:hAnsi="Tahoma" w:cs="Tahoma"/>
          <w:bCs/>
          <w:sz w:val="20"/>
          <w:szCs w:val="20"/>
        </w:rPr>
        <w:t>27</w:t>
      </w:r>
      <w:r w:rsidR="00DB1635" w:rsidRPr="00B004EE">
        <w:rPr>
          <w:rFonts w:ascii="Tahoma" w:hAnsi="Tahoma" w:cs="Tahoma"/>
          <w:b/>
          <w:sz w:val="20"/>
          <w:szCs w:val="20"/>
        </w:rPr>
        <w:t xml:space="preserve"> </w:t>
      </w:r>
      <w:r w:rsidR="002F24E1" w:rsidRPr="00B004EE">
        <w:rPr>
          <w:rFonts w:ascii="Tahoma" w:hAnsi="Tahoma" w:cs="Tahoma"/>
          <w:b/>
          <w:sz w:val="20"/>
          <w:szCs w:val="20"/>
        </w:rPr>
        <w:t>:</w:t>
      </w:r>
      <w:r w:rsidR="00DB1635" w:rsidRPr="00B004EE">
        <w:rPr>
          <w:rFonts w:ascii="Tahoma" w:hAnsi="Tahoma" w:cs="Tahoma"/>
          <w:b/>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2F24E1" w:rsidRPr="00B004EE">
        <w:rPr>
          <w:rFonts w:ascii="Tahoma" w:hAnsi="Tahoma" w:cs="Tahoma"/>
          <w:sz w:val="20"/>
          <w:szCs w:val="20"/>
        </w:rPr>
        <w:t>produits</w:t>
      </w:r>
      <w:r w:rsidR="00DB1635" w:rsidRPr="00B004EE">
        <w:rPr>
          <w:rFonts w:ascii="Tahoma" w:hAnsi="Tahoma" w:cs="Tahoma"/>
          <w:sz w:val="20"/>
          <w:szCs w:val="20"/>
        </w:rPr>
        <w:t xml:space="preserve"> </w:t>
      </w:r>
      <w:r w:rsidR="002F24E1" w:rsidRPr="00B004EE">
        <w:rPr>
          <w:rFonts w:ascii="Tahoma" w:hAnsi="Tahoma" w:cs="Tahoma"/>
          <w:sz w:val="20"/>
          <w:szCs w:val="20"/>
        </w:rPr>
        <w:t>congelés</w:t>
      </w:r>
      <w:r w:rsidR="00DB1635" w:rsidRPr="00B004EE">
        <w:rPr>
          <w:rFonts w:ascii="Tahoma" w:hAnsi="Tahoma" w:cs="Tahoma"/>
          <w:sz w:val="20"/>
          <w:szCs w:val="20"/>
        </w:rPr>
        <w:t xml:space="preserve"> </w:t>
      </w:r>
      <w:r w:rsidR="002F24E1" w:rsidRPr="00B004EE">
        <w:rPr>
          <w:rFonts w:ascii="Tahoma" w:hAnsi="Tahoma" w:cs="Tahoma"/>
          <w:sz w:val="20"/>
          <w:szCs w:val="20"/>
        </w:rPr>
        <w:t>doivent</w:t>
      </w:r>
      <w:r w:rsidR="00DB1635" w:rsidRPr="00B004EE">
        <w:rPr>
          <w:rFonts w:ascii="Tahoma" w:hAnsi="Tahoma" w:cs="Tahoma"/>
          <w:sz w:val="20"/>
          <w:szCs w:val="20"/>
        </w:rPr>
        <w:t xml:space="preserve"> </w:t>
      </w:r>
      <w:r w:rsidR="002F24E1" w:rsidRPr="00B004EE">
        <w:rPr>
          <w:rFonts w:ascii="Tahoma" w:hAnsi="Tahoma" w:cs="Tahoma"/>
          <w:sz w:val="20"/>
          <w:szCs w:val="20"/>
        </w:rPr>
        <w:t>être</w:t>
      </w:r>
      <w:r w:rsidR="00DB1635" w:rsidRPr="00B004EE">
        <w:rPr>
          <w:rFonts w:ascii="Tahoma" w:hAnsi="Tahoma" w:cs="Tahoma"/>
          <w:sz w:val="20"/>
          <w:szCs w:val="20"/>
        </w:rPr>
        <w:t xml:space="preserve"> </w:t>
      </w:r>
      <w:r w:rsidR="002F24E1" w:rsidRPr="00B004EE">
        <w:rPr>
          <w:rFonts w:ascii="Tahoma" w:hAnsi="Tahoma" w:cs="Tahoma"/>
          <w:sz w:val="20"/>
          <w:szCs w:val="20"/>
        </w:rPr>
        <w:t>protégés,</w:t>
      </w:r>
      <w:r w:rsidR="00DB1635" w:rsidRPr="00B004EE">
        <w:rPr>
          <w:rFonts w:ascii="Tahoma" w:hAnsi="Tahoma" w:cs="Tahoma"/>
          <w:sz w:val="20"/>
          <w:szCs w:val="20"/>
        </w:rPr>
        <w:t xml:space="preserve"> </w:t>
      </w:r>
      <w:r w:rsidR="002F24E1" w:rsidRPr="00B004EE">
        <w:rPr>
          <w:rFonts w:ascii="Tahoma" w:hAnsi="Tahoma" w:cs="Tahoma"/>
          <w:sz w:val="20"/>
          <w:szCs w:val="20"/>
        </w:rPr>
        <w:t>individuellement</w:t>
      </w:r>
      <w:r w:rsidR="00DB1635" w:rsidRPr="00B004EE">
        <w:rPr>
          <w:rFonts w:ascii="Tahoma" w:hAnsi="Tahoma" w:cs="Tahoma"/>
          <w:sz w:val="20"/>
          <w:szCs w:val="20"/>
        </w:rPr>
        <w:t xml:space="preserve"> </w:t>
      </w:r>
      <w:r w:rsidR="002F24E1" w:rsidRPr="00B004EE">
        <w:rPr>
          <w:rFonts w:ascii="Tahoma" w:hAnsi="Tahoma" w:cs="Tahoma"/>
          <w:sz w:val="20"/>
          <w:szCs w:val="20"/>
        </w:rPr>
        <w:t>ou</w:t>
      </w:r>
      <w:r w:rsidR="00DB1635" w:rsidRPr="00B004EE">
        <w:rPr>
          <w:rFonts w:ascii="Tahoma" w:hAnsi="Tahoma" w:cs="Tahoma"/>
          <w:sz w:val="20"/>
          <w:szCs w:val="20"/>
        </w:rPr>
        <w:t xml:space="preserve"> </w:t>
      </w:r>
      <w:r w:rsidR="002F24E1" w:rsidRPr="00B004EE">
        <w:rPr>
          <w:rFonts w:ascii="Tahoma" w:hAnsi="Tahoma" w:cs="Tahoma"/>
          <w:sz w:val="20"/>
          <w:szCs w:val="20"/>
        </w:rPr>
        <w:t>en</w:t>
      </w:r>
      <w:r w:rsidR="00DB1635" w:rsidRPr="00B004EE">
        <w:rPr>
          <w:rFonts w:ascii="Tahoma" w:hAnsi="Tahoma" w:cs="Tahoma"/>
          <w:sz w:val="20"/>
          <w:szCs w:val="20"/>
        </w:rPr>
        <w:t xml:space="preserve"> </w:t>
      </w:r>
      <w:r w:rsidR="002F24E1" w:rsidRPr="00B004EE">
        <w:rPr>
          <w:rFonts w:ascii="Tahoma" w:hAnsi="Tahoma" w:cs="Tahoma"/>
          <w:sz w:val="20"/>
          <w:szCs w:val="20"/>
        </w:rPr>
        <w:t>bloc,</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l'oxydation</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la</w:t>
      </w:r>
      <w:r w:rsidR="00DB1635" w:rsidRPr="00B004EE">
        <w:rPr>
          <w:rFonts w:ascii="Tahoma" w:hAnsi="Tahoma" w:cs="Tahoma"/>
          <w:sz w:val="20"/>
          <w:szCs w:val="20"/>
        </w:rPr>
        <w:t xml:space="preserve"> </w:t>
      </w:r>
      <w:r w:rsidR="002F24E1" w:rsidRPr="00B004EE">
        <w:rPr>
          <w:rFonts w:ascii="Tahoma" w:hAnsi="Tahoma" w:cs="Tahoma"/>
          <w:sz w:val="20"/>
          <w:szCs w:val="20"/>
        </w:rPr>
        <w:t>déshydratation,</w:t>
      </w:r>
      <w:r w:rsidR="00DB1635" w:rsidRPr="00B004EE">
        <w:rPr>
          <w:rFonts w:ascii="Tahoma" w:hAnsi="Tahoma" w:cs="Tahoma"/>
          <w:sz w:val="20"/>
          <w:szCs w:val="20"/>
        </w:rPr>
        <w:t xml:space="preserve"> </w:t>
      </w:r>
      <w:r w:rsidR="002F24E1" w:rsidRPr="00B004EE">
        <w:rPr>
          <w:rFonts w:ascii="Tahoma" w:hAnsi="Tahoma" w:cs="Tahoma"/>
          <w:sz w:val="20"/>
          <w:szCs w:val="20"/>
        </w:rPr>
        <w:t>soit</w:t>
      </w:r>
      <w:r w:rsidR="00DB1635" w:rsidRPr="00B004EE">
        <w:rPr>
          <w:rFonts w:ascii="Tahoma" w:hAnsi="Tahoma" w:cs="Tahoma"/>
          <w:sz w:val="20"/>
          <w:szCs w:val="20"/>
        </w:rPr>
        <w:t xml:space="preserve"> </w:t>
      </w:r>
      <w:r w:rsidR="002F24E1" w:rsidRPr="00B004EE">
        <w:rPr>
          <w:rFonts w:ascii="Tahoma" w:hAnsi="Tahoma" w:cs="Tahoma"/>
          <w:sz w:val="20"/>
          <w:szCs w:val="20"/>
        </w:rPr>
        <w:t>par</w:t>
      </w:r>
      <w:r w:rsidR="00DB1635" w:rsidRPr="00B004EE">
        <w:rPr>
          <w:rFonts w:ascii="Tahoma" w:hAnsi="Tahoma" w:cs="Tahoma"/>
          <w:sz w:val="20"/>
          <w:szCs w:val="20"/>
        </w:rPr>
        <w:t xml:space="preserve"> </w:t>
      </w:r>
      <w:r w:rsidR="002F24E1" w:rsidRPr="00B004EE">
        <w:rPr>
          <w:rFonts w:ascii="Tahoma" w:hAnsi="Tahoma" w:cs="Tahoma"/>
          <w:sz w:val="20"/>
          <w:szCs w:val="20"/>
        </w:rPr>
        <w:t>givrage</w:t>
      </w:r>
      <w:r w:rsidR="00DB1635" w:rsidRPr="00B004EE">
        <w:rPr>
          <w:rFonts w:ascii="Tahoma" w:hAnsi="Tahoma" w:cs="Tahoma"/>
          <w:sz w:val="20"/>
          <w:szCs w:val="20"/>
        </w:rPr>
        <w:t xml:space="preserve"> </w:t>
      </w:r>
      <w:r w:rsidR="002F24E1" w:rsidRPr="00B004EE">
        <w:rPr>
          <w:rFonts w:ascii="Tahoma" w:hAnsi="Tahoma" w:cs="Tahoma"/>
          <w:sz w:val="20"/>
          <w:szCs w:val="20"/>
        </w:rPr>
        <w:t>soit</w:t>
      </w:r>
      <w:r w:rsidR="00DB1635" w:rsidRPr="00B004EE">
        <w:rPr>
          <w:rFonts w:ascii="Tahoma" w:hAnsi="Tahoma" w:cs="Tahoma"/>
          <w:sz w:val="20"/>
          <w:szCs w:val="20"/>
        </w:rPr>
        <w:t xml:space="preserve"> </w:t>
      </w:r>
      <w:r w:rsidR="002F24E1" w:rsidRPr="00B004EE">
        <w:rPr>
          <w:rFonts w:ascii="Tahoma" w:hAnsi="Tahoma" w:cs="Tahoma"/>
          <w:sz w:val="20"/>
          <w:szCs w:val="20"/>
        </w:rPr>
        <w:t>par</w:t>
      </w:r>
      <w:r w:rsidR="00DB1635" w:rsidRPr="00B004EE">
        <w:rPr>
          <w:rFonts w:ascii="Tahoma" w:hAnsi="Tahoma" w:cs="Tahoma"/>
          <w:sz w:val="20"/>
          <w:szCs w:val="20"/>
        </w:rPr>
        <w:t xml:space="preserve"> </w:t>
      </w:r>
      <w:r w:rsidR="002F24E1" w:rsidRPr="00B004EE">
        <w:rPr>
          <w:rFonts w:ascii="Tahoma" w:hAnsi="Tahoma" w:cs="Tahoma"/>
          <w:sz w:val="20"/>
          <w:szCs w:val="20"/>
        </w:rPr>
        <w:t>une</w:t>
      </w:r>
      <w:r w:rsidR="00DB1635" w:rsidRPr="00B004EE">
        <w:rPr>
          <w:rFonts w:ascii="Tahoma" w:hAnsi="Tahoma" w:cs="Tahoma"/>
          <w:sz w:val="20"/>
          <w:szCs w:val="20"/>
        </w:rPr>
        <w:t xml:space="preserve"> </w:t>
      </w:r>
      <w:r w:rsidR="002F24E1" w:rsidRPr="00B004EE">
        <w:rPr>
          <w:rFonts w:ascii="Tahoma" w:hAnsi="Tahoma" w:cs="Tahoma"/>
          <w:sz w:val="20"/>
          <w:szCs w:val="20"/>
        </w:rPr>
        <w:t>pellicule</w:t>
      </w:r>
      <w:r w:rsidR="00DB1635" w:rsidRPr="00B004EE">
        <w:rPr>
          <w:rFonts w:ascii="Tahoma" w:hAnsi="Tahoma" w:cs="Tahoma"/>
          <w:sz w:val="20"/>
          <w:szCs w:val="20"/>
        </w:rPr>
        <w:t xml:space="preserve"> </w:t>
      </w:r>
      <w:r w:rsidR="002F24E1" w:rsidRPr="00B004EE">
        <w:rPr>
          <w:rFonts w:ascii="Tahoma" w:hAnsi="Tahoma" w:cs="Tahoma"/>
          <w:sz w:val="20"/>
          <w:szCs w:val="20"/>
        </w:rPr>
        <w:t>appropriée.</w:t>
      </w:r>
      <w:r w:rsidR="00DB1635" w:rsidRPr="00B004EE">
        <w:rPr>
          <w:rFonts w:ascii="Tahoma" w:hAnsi="Tahoma" w:cs="Tahoma"/>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2F24E1" w:rsidRPr="00B004EE">
        <w:rPr>
          <w:rFonts w:ascii="Tahoma" w:hAnsi="Tahoma" w:cs="Tahoma"/>
          <w:sz w:val="20"/>
          <w:szCs w:val="20"/>
        </w:rPr>
        <w:t>viscères</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2F24E1" w:rsidRPr="00B004EE">
        <w:rPr>
          <w:rFonts w:ascii="Tahoma" w:hAnsi="Tahoma" w:cs="Tahoma"/>
          <w:sz w:val="20"/>
          <w:szCs w:val="20"/>
        </w:rPr>
        <w:t>parties</w:t>
      </w:r>
      <w:r w:rsidR="00DB1635" w:rsidRPr="00B004EE">
        <w:rPr>
          <w:rFonts w:ascii="Tahoma" w:hAnsi="Tahoma" w:cs="Tahoma"/>
          <w:sz w:val="20"/>
          <w:szCs w:val="20"/>
        </w:rPr>
        <w:t xml:space="preserve"> </w:t>
      </w:r>
      <w:r w:rsidR="002F24E1" w:rsidRPr="00B004EE">
        <w:rPr>
          <w:rFonts w:ascii="Tahoma" w:hAnsi="Tahoma" w:cs="Tahoma"/>
          <w:sz w:val="20"/>
          <w:szCs w:val="20"/>
        </w:rPr>
        <w:t>pouvant</w:t>
      </w:r>
      <w:r w:rsidR="00DB1635" w:rsidRPr="00B004EE">
        <w:rPr>
          <w:rFonts w:ascii="Tahoma" w:hAnsi="Tahoma" w:cs="Tahoma"/>
          <w:sz w:val="20"/>
          <w:szCs w:val="20"/>
        </w:rPr>
        <w:t xml:space="preserve"> </w:t>
      </w:r>
      <w:r w:rsidR="002F24E1" w:rsidRPr="00B004EE">
        <w:rPr>
          <w:rFonts w:ascii="Tahoma" w:hAnsi="Tahoma" w:cs="Tahoma"/>
          <w:sz w:val="20"/>
          <w:szCs w:val="20"/>
        </w:rPr>
        <w:t>constituées</w:t>
      </w:r>
      <w:r w:rsidR="00DB1635" w:rsidRPr="00B004EE">
        <w:rPr>
          <w:rFonts w:ascii="Tahoma" w:hAnsi="Tahoma" w:cs="Tahoma"/>
          <w:sz w:val="20"/>
          <w:szCs w:val="20"/>
        </w:rPr>
        <w:t xml:space="preserve"> </w:t>
      </w:r>
      <w:r w:rsidR="002F24E1" w:rsidRPr="00B004EE">
        <w:rPr>
          <w:rFonts w:ascii="Tahoma" w:hAnsi="Tahoma" w:cs="Tahoma"/>
          <w:sz w:val="20"/>
          <w:szCs w:val="20"/>
        </w:rPr>
        <w:t>un</w:t>
      </w:r>
      <w:r w:rsidR="00DB1635" w:rsidRPr="00B004EE">
        <w:rPr>
          <w:rFonts w:ascii="Tahoma" w:hAnsi="Tahoma" w:cs="Tahoma"/>
          <w:sz w:val="20"/>
          <w:szCs w:val="20"/>
        </w:rPr>
        <w:t xml:space="preserve"> </w:t>
      </w:r>
      <w:r w:rsidR="002F24E1" w:rsidRPr="00B004EE">
        <w:rPr>
          <w:rFonts w:ascii="Tahoma" w:hAnsi="Tahoma" w:cs="Tahoma"/>
          <w:sz w:val="20"/>
          <w:szCs w:val="20"/>
        </w:rPr>
        <w:t>danger</w:t>
      </w:r>
      <w:r w:rsidR="00DB1635" w:rsidRPr="00B004EE">
        <w:rPr>
          <w:rFonts w:ascii="Tahoma" w:hAnsi="Tahoma" w:cs="Tahoma"/>
          <w:sz w:val="20"/>
          <w:szCs w:val="20"/>
        </w:rPr>
        <w:t xml:space="preserve"> </w:t>
      </w:r>
      <w:r w:rsidR="002F24E1" w:rsidRPr="00B004EE">
        <w:rPr>
          <w:rFonts w:ascii="Tahoma" w:hAnsi="Tahoma" w:cs="Tahoma"/>
          <w:sz w:val="20"/>
          <w:szCs w:val="20"/>
        </w:rPr>
        <w:t>pour</w:t>
      </w:r>
      <w:r w:rsidR="00DB1635" w:rsidRPr="00B004EE">
        <w:rPr>
          <w:rFonts w:ascii="Tahoma" w:hAnsi="Tahoma" w:cs="Tahoma"/>
          <w:sz w:val="20"/>
          <w:szCs w:val="20"/>
        </w:rPr>
        <w:t xml:space="preserve"> </w:t>
      </w:r>
      <w:r w:rsidR="002F24E1" w:rsidRPr="00B004EE">
        <w:rPr>
          <w:rFonts w:ascii="Tahoma" w:hAnsi="Tahoma" w:cs="Tahoma"/>
          <w:sz w:val="20"/>
          <w:szCs w:val="20"/>
        </w:rPr>
        <w:t>la</w:t>
      </w:r>
      <w:r w:rsidR="00DB1635" w:rsidRPr="00B004EE">
        <w:rPr>
          <w:rFonts w:ascii="Tahoma" w:hAnsi="Tahoma" w:cs="Tahoma"/>
          <w:sz w:val="20"/>
          <w:szCs w:val="20"/>
        </w:rPr>
        <w:t xml:space="preserve"> </w:t>
      </w:r>
      <w:r w:rsidR="002F24E1" w:rsidRPr="00B004EE">
        <w:rPr>
          <w:rFonts w:ascii="Tahoma" w:hAnsi="Tahoma" w:cs="Tahoma"/>
          <w:sz w:val="20"/>
          <w:szCs w:val="20"/>
        </w:rPr>
        <w:t>santé</w:t>
      </w:r>
      <w:r w:rsidR="00DB1635" w:rsidRPr="00B004EE">
        <w:rPr>
          <w:rFonts w:ascii="Tahoma" w:hAnsi="Tahoma" w:cs="Tahoma"/>
          <w:sz w:val="20"/>
          <w:szCs w:val="20"/>
        </w:rPr>
        <w:t xml:space="preserve"> </w:t>
      </w:r>
      <w:r w:rsidR="002F24E1" w:rsidRPr="00B004EE">
        <w:rPr>
          <w:rFonts w:ascii="Tahoma" w:hAnsi="Tahoma" w:cs="Tahoma"/>
          <w:sz w:val="20"/>
          <w:szCs w:val="20"/>
        </w:rPr>
        <w:t>publique</w:t>
      </w:r>
      <w:r w:rsidR="00DB1635" w:rsidRPr="00B004EE">
        <w:rPr>
          <w:rFonts w:ascii="Tahoma" w:hAnsi="Tahoma" w:cs="Tahoma"/>
          <w:sz w:val="20"/>
          <w:szCs w:val="20"/>
        </w:rPr>
        <w:t xml:space="preserve"> </w:t>
      </w:r>
      <w:r w:rsidR="002F24E1" w:rsidRPr="00B004EE">
        <w:rPr>
          <w:rFonts w:ascii="Tahoma" w:hAnsi="Tahoma" w:cs="Tahoma"/>
          <w:sz w:val="20"/>
          <w:szCs w:val="20"/>
        </w:rPr>
        <w:t>doivent</w:t>
      </w:r>
      <w:r w:rsidR="00DB1635" w:rsidRPr="00B004EE">
        <w:rPr>
          <w:rFonts w:ascii="Tahoma" w:hAnsi="Tahoma" w:cs="Tahoma"/>
          <w:sz w:val="20"/>
          <w:szCs w:val="20"/>
        </w:rPr>
        <w:t xml:space="preserve"> </w:t>
      </w:r>
      <w:r w:rsidR="002F24E1" w:rsidRPr="00B004EE">
        <w:rPr>
          <w:rFonts w:ascii="Tahoma" w:hAnsi="Tahoma" w:cs="Tahoma"/>
          <w:sz w:val="20"/>
          <w:szCs w:val="20"/>
        </w:rPr>
        <w:t>être</w:t>
      </w:r>
      <w:r w:rsidR="00DB1635" w:rsidRPr="00B004EE">
        <w:rPr>
          <w:rFonts w:ascii="Tahoma" w:hAnsi="Tahoma" w:cs="Tahoma"/>
          <w:sz w:val="20"/>
          <w:szCs w:val="20"/>
        </w:rPr>
        <w:t xml:space="preserve"> </w:t>
      </w:r>
      <w:r w:rsidR="002F24E1" w:rsidRPr="00B004EE">
        <w:rPr>
          <w:rFonts w:ascii="Tahoma" w:hAnsi="Tahoma" w:cs="Tahoma"/>
          <w:sz w:val="20"/>
          <w:szCs w:val="20"/>
        </w:rPr>
        <w:t>séparés</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écartés</w:t>
      </w:r>
      <w:r w:rsidR="00DB1635" w:rsidRPr="00B004EE">
        <w:rPr>
          <w:rFonts w:ascii="Tahoma" w:hAnsi="Tahoma" w:cs="Tahoma"/>
          <w:sz w:val="20"/>
          <w:szCs w:val="20"/>
        </w:rPr>
        <w:t xml:space="preserve"> </w:t>
      </w:r>
      <w:r w:rsidR="002F24E1" w:rsidRPr="00B004EE">
        <w:rPr>
          <w:rFonts w:ascii="Tahoma" w:hAnsi="Tahoma" w:cs="Tahoma"/>
          <w:sz w:val="20"/>
          <w:szCs w:val="20"/>
        </w:rPr>
        <w:t>des</w:t>
      </w:r>
      <w:r w:rsidR="00DB1635" w:rsidRPr="00B004EE">
        <w:rPr>
          <w:rFonts w:ascii="Tahoma" w:hAnsi="Tahoma" w:cs="Tahoma"/>
          <w:sz w:val="20"/>
          <w:szCs w:val="20"/>
        </w:rPr>
        <w:t xml:space="preserve"> </w:t>
      </w:r>
      <w:r w:rsidR="002F24E1" w:rsidRPr="00B004EE">
        <w:rPr>
          <w:rFonts w:ascii="Tahoma" w:hAnsi="Tahoma" w:cs="Tahoma"/>
          <w:sz w:val="20"/>
          <w:szCs w:val="20"/>
        </w:rPr>
        <w:t>produits</w:t>
      </w:r>
      <w:r w:rsidR="00DB1635" w:rsidRPr="00B004EE">
        <w:rPr>
          <w:rFonts w:ascii="Tahoma" w:hAnsi="Tahoma" w:cs="Tahoma"/>
          <w:sz w:val="20"/>
          <w:szCs w:val="20"/>
        </w:rPr>
        <w:t xml:space="preserve"> </w:t>
      </w:r>
      <w:r w:rsidR="002F24E1" w:rsidRPr="00B004EE">
        <w:rPr>
          <w:rFonts w:ascii="Tahoma" w:hAnsi="Tahoma" w:cs="Tahoma"/>
          <w:sz w:val="20"/>
          <w:szCs w:val="20"/>
        </w:rPr>
        <w:t>destinés</w:t>
      </w:r>
      <w:r w:rsidR="00DB1635" w:rsidRPr="00B004EE">
        <w:rPr>
          <w:rFonts w:ascii="Tahoma" w:hAnsi="Tahoma" w:cs="Tahoma"/>
          <w:sz w:val="20"/>
          <w:szCs w:val="20"/>
        </w:rPr>
        <w:t xml:space="preserve"> </w:t>
      </w:r>
      <w:r w:rsidR="002F24E1" w:rsidRPr="00B004EE">
        <w:rPr>
          <w:rFonts w:ascii="Tahoma" w:hAnsi="Tahoma" w:cs="Tahoma"/>
          <w:sz w:val="20"/>
          <w:szCs w:val="20"/>
        </w:rPr>
        <w:t>à</w:t>
      </w:r>
      <w:r w:rsidR="00DB1635" w:rsidRPr="00B004EE">
        <w:rPr>
          <w:rFonts w:ascii="Tahoma" w:hAnsi="Tahoma" w:cs="Tahoma"/>
          <w:sz w:val="20"/>
          <w:szCs w:val="20"/>
        </w:rPr>
        <w:t xml:space="preserve"> </w:t>
      </w:r>
      <w:r w:rsidR="002F24E1" w:rsidRPr="00B004EE">
        <w:rPr>
          <w:rFonts w:ascii="Tahoma" w:hAnsi="Tahoma" w:cs="Tahoma"/>
          <w:sz w:val="20"/>
          <w:szCs w:val="20"/>
        </w:rPr>
        <w:t>la</w:t>
      </w:r>
      <w:r w:rsidR="00DB1635" w:rsidRPr="00B004EE">
        <w:rPr>
          <w:rFonts w:ascii="Tahoma" w:hAnsi="Tahoma" w:cs="Tahoma"/>
          <w:sz w:val="20"/>
          <w:szCs w:val="20"/>
        </w:rPr>
        <w:t xml:space="preserve"> </w:t>
      </w:r>
      <w:r w:rsidR="002F24E1" w:rsidRPr="00B004EE">
        <w:rPr>
          <w:rFonts w:ascii="Tahoma" w:hAnsi="Tahoma" w:cs="Tahoma"/>
          <w:sz w:val="20"/>
          <w:szCs w:val="20"/>
        </w:rPr>
        <w:t>consommation</w:t>
      </w:r>
      <w:r w:rsidR="00DB1635" w:rsidRPr="00B004EE">
        <w:rPr>
          <w:rFonts w:ascii="Tahoma" w:hAnsi="Tahoma" w:cs="Tahoma"/>
          <w:sz w:val="20"/>
          <w:szCs w:val="20"/>
        </w:rPr>
        <w:t xml:space="preserve"> </w:t>
      </w:r>
      <w:r w:rsidR="002F24E1" w:rsidRPr="00B004EE">
        <w:rPr>
          <w:rFonts w:ascii="Tahoma" w:hAnsi="Tahoma" w:cs="Tahoma"/>
          <w:sz w:val="20"/>
          <w:szCs w:val="20"/>
        </w:rPr>
        <w:t>humaine.</w:t>
      </w:r>
    </w:p>
    <w:p w14:paraId="7D2F6DD6" w14:textId="77777777" w:rsidR="002F24E1" w:rsidRPr="00B004EE" w:rsidRDefault="002F24E1" w:rsidP="00B004EE">
      <w:pPr>
        <w:jc w:val="both"/>
        <w:rPr>
          <w:rFonts w:ascii="Tahoma" w:hAnsi="Tahoma" w:cs="Tahoma"/>
          <w:sz w:val="20"/>
          <w:szCs w:val="20"/>
        </w:rPr>
      </w:pPr>
    </w:p>
    <w:p w14:paraId="1F95AA59" w14:textId="1A13E0EA" w:rsidR="002F24E1" w:rsidRPr="00B004EE" w:rsidRDefault="00AD7D88" w:rsidP="00B004EE">
      <w:pPr>
        <w:jc w:val="both"/>
        <w:rPr>
          <w:rFonts w:ascii="Tahoma" w:hAnsi="Tahoma" w:cs="Tahoma"/>
          <w:sz w:val="20"/>
          <w:szCs w:val="20"/>
        </w:rPr>
      </w:pPr>
      <w:r w:rsidRPr="00B004EE">
        <w:rPr>
          <w:rFonts w:ascii="Tahoma" w:hAnsi="Tahoma" w:cs="Tahoma"/>
          <w:bCs/>
          <w:sz w:val="20"/>
          <w:szCs w:val="20"/>
        </w:rPr>
        <w:t xml:space="preserve">Article </w:t>
      </w:r>
      <w:r w:rsidR="002F24E1" w:rsidRPr="00B004EE">
        <w:rPr>
          <w:rFonts w:ascii="Tahoma" w:hAnsi="Tahoma" w:cs="Tahoma"/>
          <w:bCs/>
          <w:sz w:val="20"/>
          <w:szCs w:val="20"/>
        </w:rPr>
        <w:t>28</w:t>
      </w:r>
      <w:r w:rsidR="00DB1635" w:rsidRPr="00B004EE">
        <w:rPr>
          <w:rFonts w:ascii="Tahoma" w:hAnsi="Tahoma" w:cs="Tahoma"/>
          <w:b/>
          <w:sz w:val="20"/>
          <w:szCs w:val="20"/>
        </w:rPr>
        <w:t xml:space="preserve"> </w:t>
      </w:r>
      <w:r w:rsidR="002F24E1" w:rsidRPr="00B004EE">
        <w:rPr>
          <w:rFonts w:ascii="Tahoma" w:hAnsi="Tahoma" w:cs="Tahoma"/>
          <w:b/>
          <w:sz w:val="20"/>
          <w:szCs w:val="20"/>
        </w:rPr>
        <w:t>:</w:t>
      </w:r>
      <w:r w:rsidR="00DB1635" w:rsidRPr="00B004EE">
        <w:rPr>
          <w:rFonts w:ascii="Tahoma" w:hAnsi="Tahoma" w:cs="Tahoma"/>
          <w:b/>
          <w:sz w:val="20"/>
          <w:szCs w:val="20"/>
        </w:rPr>
        <w:t xml:space="preserve"> </w:t>
      </w:r>
      <w:r w:rsidR="002F24E1" w:rsidRPr="00B004EE">
        <w:rPr>
          <w:rFonts w:ascii="Tahoma" w:hAnsi="Tahoma" w:cs="Tahoma"/>
          <w:sz w:val="20"/>
          <w:szCs w:val="20"/>
        </w:rPr>
        <w:t>La</w:t>
      </w:r>
      <w:r w:rsidR="00DB1635" w:rsidRPr="00B004EE">
        <w:rPr>
          <w:rFonts w:ascii="Tahoma" w:hAnsi="Tahoma" w:cs="Tahoma"/>
          <w:sz w:val="20"/>
          <w:szCs w:val="20"/>
        </w:rPr>
        <w:t xml:space="preserve"> </w:t>
      </w:r>
      <w:r w:rsidR="002F24E1" w:rsidRPr="00B004EE">
        <w:rPr>
          <w:rFonts w:ascii="Tahoma" w:hAnsi="Tahoma" w:cs="Tahoma"/>
          <w:sz w:val="20"/>
          <w:szCs w:val="20"/>
        </w:rPr>
        <w:t>décongélation</w:t>
      </w:r>
      <w:r w:rsidR="00DB1635" w:rsidRPr="00B004EE">
        <w:rPr>
          <w:rFonts w:ascii="Tahoma" w:hAnsi="Tahoma" w:cs="Tahoma"/>
          <w:sz w:val="20"/>
          <w:szCs w:val="20"/>
        </w:rPr>
        <w:t xml:space="preserve"> </w:t>
      </w:r>
      <w:r w:rsidR="002F24E1" w:rsidRPr="00B004EE">
        <w:rPr>
          <w:rFonts w:ascii="Tahoma" w:hAnsi="Tahoma" w:cs="Tahoma"/>
          <w:sz w:val="20"/>
          <w:szCs w:val="20"/>
        </w:rPr>
        <w:t>éventuelle</w:t>
      </w:r>
      <w:r w:rsidR="00DB1635" w:rsidRPr="00B004EE">
        <w:rPr>
          <w:rFonts w:ascii="Tahoma" w:hAnsi="Tahoma" w:cs="Tahoma"/>
          <w:sz w:val="20"/>
          <w:szCs w:val="20"/>
        </w:rPr>
        <w:t xml:space="preserve"> </w:t>
      </w:r>
      <w:r w:rsidR="002F24E1" w:rsidRPr="00B004EE">
        <w:rPr>
          <w:rFonts w:ascii="Tahoma" w:hAnsi="Tahoma" w:cs="Tahoma"/>
          <w:sz w:val="20"/>
          <w:szCs w:val="20"/>
        </w:rPr>
        <w:t>puis</w:t>
      </w:r>
      <w:r w:rsidR="00DB1635" w:rsidRPr="00B004EE">
        <w:rPr>
          <w:rFonts w:ascii="Tahoma" w:hAnsi="Tahoma" w:cs="Tahoma"/>
          <w:sz w:val="20"/>
          <w:szCs w:val="20"/>
        </w:rPr>
        <w:t xml:space="preserve"> </w:t>
      </w:r>
      <w:r w:rsidR="002F24E1" w:rsidRPr="00B004EE">
        <w:rPr>
          <w:rFonts w:ascii="Tahoma" w:hAnsi="Tahoma" w:cs="Tahoma"/>
          <w:sz w:val="20"/>
          <w:szCs w:val="20"/>
        </w:rPr>
        <w:t>la</w:t>
      </w:r>
      <w:r w:rsidR="00DB1635" w:rsidRPr="00B004EE">
        <w:rPr>
          <w:rFonts w:ascii="Tahoma" w:hAnsi="Tahoma" w:cs="Tahoma"/>
          <w:sz w:val="20"/>
          <w:szCs w:val="20"/>
        </w:rPr>
        <w:t xml:space="preserve"> </w:t>
      </w:r>
      <w:r w:rsidR="002F24E1" w:rsidRPr="00B004EE">
        <w:rPr>
          <w:rFonts w:ascii="Tahoma" w:hAnsi="Tahoma" w:cs="Tahoma"/>
          <w:sz w:val="20"/>
          <w:szCs w:val="20"/>
        </w:rPr>
        <w:t>manipulation</w:t>
      </w:r>
      <w:r w:rsidR="00DB1635" w:rsidRPr="00B004EE">
        <w:rPr>
          <w:rFonts w:ascii="Tahoma" w:hAnsi="Tahoma" w:cs="Tahoma"/>
          <w:sz w:val="20"/>
          <w:szCs w:val="20"/>
        </w:rPr>
        <w:t xml:space="preserve"> </w:t>
      </w:r>
      <w:r w:rsidR="002F24E1" w:rsidRPr="00B004EE">
        <w:rPr>
          <w:rFonts w:ascii="Tahoma" w:hAnsi="Tahoma" w:cs="Tahoma"/>
          <w:sz w:val="20"/>
          <w:szCs w:val="20"/>
        </w:rPr>
        <w:t>des</w:t>
      </w:r>
      <w:r w:rsidR="00DB1635" w:rsidRPr="00B004EE">
        <w:rPr>
          <w:rFonts w:ascii="Tahoma" w:hAnsi="Tahoma" w:cs="Tahoma"/>
          <w:sz w:val="20"/>
          <w:szCs w:val="20"/>
        </w:rPr>
        <w:t xml:space="preserve"> </w:t>
      </w:r>
      <w:r w:rsidR="002F24E1" w:rsidRPr="00B004EE">
        <w:rPr>
          <w:rFonts w:ascii="Tahoma" w:hAnsi="Tahoma" w:cs="Tahoma"/>
          <w:sz w:val="20"/>
          <w:szCs w:val="20"/>
        </w:rPr>
        <w:t>produits</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la</w:t>
      </w:r>
      <w:r w:rsidR="00DB1635" w:rsidRPr="00B004EE">
        <w:rPr>
          <w:rFonts w:ascii="Tahoma" w:hAnsi="Tahoma" w:cs="Tahoma"/>
          <w:sz w:val="20"/>
          <w:szCs w:val="20"/>
        </w:rPr>
        <w:t xml:space="preserve"> </w:t>
      </w:r>
      <w:r w:rsidR="002F24E1" w:rsidRPr="00B004EE">
        <w:rPr>
          <w:rFonts w:ascii="Tahoma" w:hAnsi="Tahoma" w:cs="Tahoma"/>
          <w:sz w:val="20"/>
          <w:szCs w:val="20"/>
        </w:rPr>
        <w:t>pêche</w:t>
      </w:r>
      <w:r w:rsidR="00DB1635" w:rsidRPr="00B004EE">
        <w:rPr>
          <w:rFonts w:ascii="Tahoma" w:hAnsi="Tahoma" w:cs="Tahoma"/>
          <w:sz w:val="20"/>
          <w:szCs w:val="20"/>
        </w:rPr>
        <w:t xml:space="preserve"> </w:t>
      </w:r>
      <w:r w:rsidR="002F24E1" w:rsidRPr="00B004EE">
        <w:rPr>
          <w:rFonts w:ascii="Tahoma" w:hAnsi="Tahoma" w:cs="Tahoma"/>
          <w:sz w:val="20"/>
          <w:szCs w:val="20"/>
        </w:rPr>
        <w:t>à</w:t>
      </w:r>
      <w:r w:rsidR="00DB1635" w:rsidRPr="00B004EE">
        <w:rPr>
          <w:rFonts w:ascii="Tahoma" w:hAnsi="Tahoma" w:cs="Tahoma"/>
          <w:sz w:val="20"/>
          <w:szCs w:val="20"/>
        </w:rPr>
        <w:t xml:space="preserve"> </w:t>
      </w:r>
      <w:r w:rsidR="002F24E1" w:rsidRPr="00B004EE">
        <w:rPr>
          <w:rFonts w:ascii="Tahoma" w:hAnsi="Tahoma" w:cs="Tahoma"/>
          <w:sz w:val="20"/>
          <w:szCs w:val="20"/>
        </w:rPr>
        <w:t>transformer</w:t>
      </w:r>
      <w:r w:rsidR="00DB1635" w:rsidRPr="00B004EE">
        <w:rPr>
          <w:rFonts w:ascii="Tahoma" w:hAnsi="Tahoma" w:cs="Tahoma"/>
          <w:sz w:val="20"/>
          <w:szCs w:val="20"/>
        </w:rPr>
        <w:t xml:space="preserve"> </w:t>
      </w:r>
      <w:r w:rsidR="002F24E1" w:rsidRPr="00B004EE">
        <w:rPr>
          <w:rFonts w:ascii="Tahoma" w:hAnsi="Tahoma" w:cs="Tahoma"/>
          <w:sz w:val="20"/>
          <w:szCs w:val="20"/>
        </w:rPr>
        <w:t>s'effectuent</w:t>
      </w:r>
      <w:r w:rsidR="00DB1635" w:rsidRPr="00B004EE">
        <w:rPr>
          <w:rFonts w:ascii="Tahoma" w:hAnsi="Tahoma" w:cs="Tahoma"/>
          <w:sz w:val="20"/>
          <w:szCs w:val="20"/>
        </w:rPr>
        <w:t xml:space="preserve"> </w:t>
      </w:r>
      <w:r w:rsidR="002F24E1" w:rsidRPr="00B004EE">
        <w:rPr>
          <w:rFonts w:ascii="Tahoma" w:hAnsi="Tahoma" w:cs="Tahoma"/>
          <w:sz w:val="20"/>
          <w:szCs w:val="20"/>
        </w:rPr>
        <w:t>dans</w:t>
      </w:r>
      <w:r w:rsidR="00DB1635" w:rsidRPr="00B004EE">
        <w:rPr>
          <w:rFonts w:ascii="Tahoma" w:hAnsi="Tahoma" w:cs="Tahoma"/>
          <w:sz w:val="20"/>
          <w:szCs w:val="20"/>
        </w:rPr>
        <w:t xml:space="preserve"> </w:t>
      </w:r>
      <w:r w:rsidR="002F24E1" w:rsidRPr="00B004EE">
        <w:rPr>
          <w:rFonts w:ascii="Tahoma" w:hAnsi="Tahoma" w:cs="Tahoma"/>
          <w:sz w:val="20"/>
          <w:szCs w:val="20"/>
        </w:rPr>
        <w:t>des</w:t>
      </w:r>
      <w:r w:rsidR="00DB1635" w:rsidRPr="00B004EE">
        <w:rPr>
          <w:rFonts w:ascii="Tahoma" w:hAnsi="Tahoma" w:cs="Tahoma"/>
          <w:sz w:val="20"/>
          <w:szCs w:val="20"/>
        </w:rPr>
        <w:t xml:space="preserve"> </w:t>
      </w:r>
      <w:r w:rsidR="002F24E1" w:rsidRPr="00B004EE">
        <w:rPr>
          <w:rFonts w:ascii="Tahoma" w:hAnsi="Tahoma" w:cs="Tahoma"/>
          <w:sz w:val="20"/>
          <w:szCs w:val="20"/>
        </w:rPr>
        <w:t>conditions</w:t>
      </w:r>
      <w:r w:rsidR="00DB1635" w:rsidRPr="00B004EE">
        <w:rPr>
          <w:rFonts w:ascii="Tahoma" w:hAnsi="Tahoma" w:cs="Tahoma"/>
          <w:sz w:val="20"/>
          <w:szCs w:val="20"/>
        </w:rPr>
        <w:t xml:space="preserve"> </w:t>
      </w:r>
      <w:r w:rsidR="002F24E1" w:rsidRPr="00B004EE">
        <w:rPr>
          <w:rFonts w:ascii="Tahoma" w:hAnsi="Tahoma" w:cs="Tahoma"/>
          <w:sz w:val="20"/>
          <w:szCs w:val="20"/>
        </w:rPr>
        <w:t>d'hygiène</w:t>
      </w:r>
      <w:r w:rsidR="00DB1635" w:rsidRPr="00B004EE">
        <w:rPr>
          <w:rFonts w:ascii="Tahoma" w:hAnsi="Tahoma" w:cs="Tahoma"/>
          <w:sz w:val="20"/>
          <w:szCs w:val="20"/>
        </w:rPr>
        <w:t xml:space="preserve"> </w:t>
      </w:r>
      <w:r w:rsidR="002F24E1" w:rsidRPr="00B004EE">
        <w:rPr>
          <w:rFonts w:ascii="Tahoma" w:hAnsi="Tahoma" w:cs="Tahoma"/>
          <w:sz w:val="20"/>
          <w:szCs w:val="20"/>
        </w:rPr>
        <w:t>appropriées.</w:t>
      </w:r>
    </w:p>
    <w:p w14:paraId="4BB4D8B2" w14:textId="77777777" w:rsidR="002F24E1" w:rsidRPr="00B004EE" w:rsidRDefault="002F24E1" w:rsidP="00B004EE">
      <w:pPr>
        <w:jc w:val="both"/>
        <w:rPr>
          <w:rFonts w:ascii="Tahoma" w:hAnsi="Tahoma" w:cs="Tahoma"/>
          <w:sz w:val="20"/>
          <w:szCs w:val="20"/>
        </w:rPr>
      </w:pPr>
    </w:p>
    <w:p w14:paraId="73E9FFA0" w14:textId="5856080F" w:rsidR="002F24E1" w:rsidRPr="00B004EE" w:rsidRDefault="00AD7D88" w:rsidP="00B004EE">
      <w:pPr>
        <w:jc w:val="both"/>
        <w:rPr>
          <w:rFonts w:ascii="Tahoma" w:hAnsi="Tahoma" w:cs="Tahoma"/>
          <w:sz w:val="20"/>
          <w:szCs w:val="20"/>
        </w:rPr>
      </w:pPr>
      <w:r w:rsidRPr="00B004EE">
        <w:rPr>
          <w:rFonts w:ascii="Tahoma" w:hAnsi="Tahoma" w:cs="Tahoma"/>
          <w:bCs/>
          <w:sz w:val="20"/>
          <w:szCs w:val="20"/>
        </w:rPr>
        <w:t xml:space="preserve">Article </w:t>
      </w:r>
      <w:r w:rsidR="002F24E1" w:rsidRPr="00B004EE">
        <w:rPr>
          <w:rFonts w:ascii="Tahoma" w:hAnsi="Tahoma" w:cs="Tahoma"/>
          <w:bCs/>
          <w:sz w:val="20"/>
          <w:szCs w:val="20"/>
        </w:rPr>
        <w:t>29</w:t>
      </w:r>
      <w:r w:rsidR="00DB1635" w:rsidRPr="00B004EE">
        <w:rPr>
          <w:rFonts w:ascii="Tahoma" w:hAnsi="Tahoma" w:cs="Tahoma"/>
          <w:b/>
          <w:sz w:val="20"/>
          <w:szCs w:val="20"/>
        </w:rPr>
        <w:t xml:space="preserve"> </w:t>
      </w:r>
      <w:r w:rsidR="002F24E1" w:rsidRPr="00B004EE">
        <w:rPr>
          <w:rFonts w:ascii="Tahoma" w:hAnsi="Tahoma" w:cs="Tahoma"/>
          <w:b/>
          <w:sz w:val="20"/>
          <w:szCs w:val="20"/>
        </w:rPr>
        <w:t>:</w:t>
      </w:r>
      <w:r w:rsidR="00DB1635" w:rsidRPr="00B004EE">
        <w:rPr>
          <w:rFonts w:ascii="Tahoma" w:hAnsi="Tahoma" w:cs="Tahoma"/>
          <w:b/>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2F24E1" w:rsidRPr="00B004EE">
        <w:rPr>
          <w:rFonts w:ascii="Tahoma" w:hAnsi="Tahoma" w:cs="Tahoma"/>
          <w:sz w:val="20"/>
          <w:szCs w:val="20"/>
        </w:rPr>
        <w:t>conserves</w:t>
      </w:r>
      <w:r w:rsidR="00DB1635" w:rsidRPr="00B004EE">
        <w:rPr>
          <w:rFonts w:ascii="Tahoma" w:hAnsi="Tahoma" w:cs="Tahoma"/>
          <w:sz w:val="20"/>
          <w:szCs w:val="20"/>
        </w:rPr>
        <w:t xml:space="preserve"> </w:t>
      </w:r>
      <w:r w:rsidR="002F24E1" w:rsidRPr="00B004EE">
        <w:rPr>
          <w:rFonts w:ascii="Tahoma" w:hAnsi="Tahoma" w:cs="Tahoma"/>
          <w:sz w:val="20"/>
          <w:szCs w:val="20"/>
        </w:rPr>
        <w:t>doivent</w:t>
      </w:r>
      <w:r w:rsidR="00DB1635" w:rsidRPr="00B004EE">
        <w:rPr>
          <w:rFonts w:ascii="Tahoma" w:hAnsi="Tahoma" w:cs="Tahoma"/>
          <w:sz w:val="20"/>
          <w:szCs w:val="20"/>
        </w:rPr>
        <w:t xml:space="preserve"> </w:t>
      </w:r>
      <w:r w:rsidR="002F24E1" w:rsidRPr="00B004EE">
        <w:rPr>
          <w:rFonts w:ascii="Tahoma" w:hAnsi="Tahoma" w:cs="Tahoma"/>
          <w:sz w:val="20"/>
          <w:szCs w:val="20"/>
        </w:rPr>
        <w:t>être</w:t>
      </w:r>
      <w:r w:rsidR="00DB1635" w:rsidRPr="00B004EE">
        <w:rPr>
          <w:rFonts w:ascii="Tahoma" w:hAnsi="Tahoma" w:cs="Tahoma"/>
          <w:sz w:val="20"/>
          <w:szCs w:val="20"/>
        </w:rPr>
        <w:t xml:space="preserve"> </w:t>
      </w:r>
      <w:r w:rsidR="002F24E1" w:rsidRPr="00B004EE">
        <w:rPr>
          <w:rFonts w:ascii="Tahoma" w:hAnsi="Tahoma" w:cs="Tahoma"/>
          <w:sz w:val="20"/>
          <w:szCs w:val="20"/>
        </w:rPr>
        <w:t>préparées</w:t>
      </w:r>
      <w:r w:rsidR="00DB1635" w:rsidRPr="00B004EE">
        <w:rPr>
          <w:rFonts w:ascii="Tahoma" w:hAnsi="Tahoma" w:cs="Tahoma"/>
          <w:sz w:val="20"/>
          <w:szCs w:val="20"/>
        </w:rPr>
        <w:t xml:space="preserve"> </w:t>
      </w:r>
      <w:r w:rsidR="002F24E1" w:rsidRPr="00B004EE">
        <w:rPr>
          <w:rFonts w:ascii="Tahoma" w:hAnsi="Tahoma" w:cs="Tahoma"/>
          <w:sz w:val="20"/>
          <w:szCs w:val="20"/>
        </w:rPr>
        <w:t>à</w:t>
      </w:r>
      <w:r w:rsidR="00DB1635" w:rsidRPr="00B004EE">
        <w:rPr>
          <w:rFonts w:ascii="Tahoma" w:hAnsi="Tahoma" w:cs="Tahoma"/>
          <w:sz w:val="20"/>
          <w:szCs w:val="20"/>
        </w:rPr>
        <w:t xml:space="preserve"> </w:t>
      </w:r>
      <w:r w:rsidR="002F24E1" w:rsidRPr="00B004EE">
        <w:rPr>
          <w:rFonts w:ascii="Tahoma" w:hAnsi="Tahoma" w:cs="Tahoma"/>
          <w:sz w:val="20"/>
          <w:szCs w:val="20"/>
        </w:rPr>
        <w:t>l'aide</w:t>
      </w:r>
      <w:r w:rsidR="00DB1635" w:rsidRPr="00B004EE">
        <w:rPr>
          <w:rFonts w:ascii="Tahoma" w:hAnsi="Tahoma" w:cs="Tahoma"/>
          <w:sz w:val="20"/>
          <w:szCs w:val="20"/>
        </w:rPr>
        <w:t xml:space="preserve"> </w:t>
      </w:r>
      <w:r w:rsidR="002F24E1" w:rsidRPr="00B004EE">
        <w:rPr>
          <w:rFonts w:ascii="Tahoma" w:hAnsi="Tahoma" w:cs="Tahoma"/>
          <w:sz w:val="20"/>
          <w:szCs w:val="20"/>
        </w:rPr>
        <w:t>d'eau</w:t>
      </w:r>
      <w:r w:rsidR="00DB1635" w:rsidRPr="00B004EE">
        <w:rPr>
          <w:rFonts w:ascii="Tahoma" w:hAnsi="Tahoma" w:cs="Tahoma"/>
          <w:sz w:val="20"/>
          <w:szCs w:val="20"/>
        </w:rPr>
        <w:t xml:space="preserve"> </w:t>
      </w:r>
      <w:r w:rsidR="002F24E1" w:rsidRPr="00B004EE">
        <w:rPr>
          <w:rFonts w:ascii="Tahoma" w:hAnsi="Tahoma" w:cs="Tahoma"/>
          <w:sz w:val="20"/>
          <w:szCs w:val="20"/>
        </w:rPr>
        <w:t>potable.</w:t>
      </w:r>
      <w:r w:rsidR="00DB1635" w:rsidRPr="00B004EE">
        <w:rPr>
          <w:rFonts w:ascii="Tahoma" w:hAnsi="Tahoma" w:cs="Tahoma"/>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2F24E1" w:rsidRPr="00B004EE">
        <w:rPr>
          <w:rFonts w:ascii="Tahoma" w:hAnsi="Tahoma" w:cs="Tahoma"/>
          <w:sz w:val="20"/>
          <w:szCs w:val="20"/>
        </w:rPr>
        <w:t>lots</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fabrication</w:t>
      </w:r>
      <w:r w:rsidR="00DB1635" w:rsidRPr="00B004EE">
        <w:rPr>
          <w:rFonts w:ascii="Tahoma" w:hAnsi="Tahoma" w:cs="Tahoma"/>
          <w:sz w:val="20"/>
          <w:szCs w:val="20"/>
        </w:rPr>
        <w:t xml:space="preserve"> </w:t>
      </w:r>
      <w:r w:rsidR="002F24E1" w:rsidRPr="00B004EE">
        <w:rPr>
          <w:rFonts w:ascii="Tahoma" w:hAnsi="Tahoma" w:cs="Tahoma"/>
          <w:sz w:val="20"/>
          <w:szCs w:val="20"/>
        </w:rPr>
        <w:t>doivent</w:t>
      </w:r>
      <w:r w:rsidR="00DB1635" w:rsidRPr="00B004EE">
        <w:rPr>
          <w:rFonts w:ascii="Tahoma" w:hAnsi="Tahoma" w:cs="Tahoma"/>
          <w:sz w:val="20"/>
          <w:szCs w:val="20"/>
        </w:rPr>
        <w:t xml:space="preserve"> </w:t>
      </w:r>
      <w:r w:rsidR="002F24E1" w:rsidRPr="00B004EE">
        <w:rPr>
          <w:rFonts w:ascii="Tahoma" w:hAnsi="Tahoma" w:cs="Tahoma"/>
          <w:sz w:val="20"/>
          <w:szCs w:val="20"/>
        </w:rPr>
        <w:t>être</w:t>
      </w:r>
      <w:r w:rsidR="00DB1635" w:rsidRPr="00B004EE">
        <w:rPr>
          <w:rFonts w:ascii="Tahoma" w:hAnsi="Tahoma" w:cs="Tahoma"/>
          <w:sz w:val="20"/>
          <w:szCs w:val="20"/>
        </w:rPr>
        <w:t xml:space="preserve"> </w:t>
      </w:r>
      <w:r w:rsidR="002F24E1" w:rsidRPr="00B004EE">
        <w:rPr>
          <w:rFonts w:ascii="Tahoma" w:hAnsi="Tahoma" w:cs="Tahoma"/>
          <w:sz w:val="20"/>
          <w:szCs w:val="20"/>
        </w:rPr>
        <w:t>identifiés</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échantillonnés</w:t>
      </w:r>
      <w:r w:rsidR="00DB1635" w:rsidRPr="00B004EE">
        <w:rPr>
          <w:rFonts w:ascii="Tahoma" w:hAnsi="Tahoma" w:cs="Tahoma"/>
          <w:sz w:val="20"/>
          <w:szCs w:val="20"/>
        </w:rPr>
        <w:t xml:space="preserve"> </w:t>
      </w:r>
      <w:r w:rsidR="002F24E1" w:rsidRPr="00B004EE">
        <w:rPr>
          <w:rFonts w:ascii="Tahoma" w:hAnsi="Tahoma" w:cs="Tahoma"/>
          <w:sz w:val="20"/>
          <w:szCs w:val="20"/>
        </w:rPr>
        <w:t>pour</w:t>
      </w:r>
      <w:r w:rsidR="00DB1635" w:rsidRPr="00B004EE">
        <w:rPr>
          <w:rFonts w:ascii="Tahoma" w:hAnsi="Tahoma" w:cs="Tahoma"/>
          <w:sz w:val="20"/>
          <w:szCs w:val="20"/>
        </w:rPr>
        <w:t xml:space="preserve"> </w:t>
      </w:r>
      <w:r w:rsidR="002F24E1" w:rsidRPr="00B004EE">
        <w:rPr>
          <w:rFonts w:ascii="Tahoma" w:hAnsi="Tahoma" w:cs="Tahoma"/>
          <w:sz w:val="20"/>
          <w:szCs w:val="20"/>
        </w:rPr>
        <w:t>contrôles</w:t>
      </w:r>
      <w:r w:rsidR="00DB1635" w:rsidRPr="00B004EE">
        <w:rPr>
          <w:rFonts w:ascii="Tahoma" w:hAnsi="Tahoma" w:cs="Tahoma"/>
          <w:sz w:val="20"/>
          <w:szCs w:val="20"/>
        </w:rPr>
        <w:t xml:space="preserve"> </w:t>
      </w:r>
      <w:r w:rsidR="002F24E1" w:rsidRPr="00B004EE">
        <w:rPr>
          <w:rFonts w:ascii="Tahoma" w:hAnsi="Tahoma" w:cs="Tahoma"/>
          <w:sz w:val="20"/>
          <w:szCs w:val="20"/>
        </w:rPr>
        <w:t>d'efficacité</w:t>
      </w:r>
      <w:r w:rsidR="00DB1635" w:rsidRPr="00B004EE">
        <w:rPr>
          <w:rFonts w:ascii="Tahoma" w:hAnsi="Tahoma" w:cs="Tahoma"/>
          <w:sz w:val="20"/>
          <w:szCs w:val="20"/>
        </w:rPr>
        <w:t xml:space="preserve"> </w:t>
      </w:r>
      <w:r w:rsidR="002F24E1" w:rsidRPr="00B004EE">
        <w:rPr>
          <w:rFonts w:ascii="Tahoma" w:hAnsi="Tahoma" w:cs="Tahoma"/>
          <w:sz w:val="20"/>
          <w:szCs w:val="20"/>
        </w:rPr>
        <w:t>du</w:t>
      </w:r>
      <w:r w:rsidR="00DB1635" w:rsidRPr="00B004EE">
        <w:rPr>
          <w:rFonts w:ascii="Tahoma" w:hAnsi="Tahoma" w:cs="Tahoma"/>
          <w:sz w:val="20"/>
          <w:szCs w:val="20"/>
        </w:rPr>
        <w:t xml:space="preserve"> </w:t>
      </w:r>
      <w:r w:rsidR="002F24E1" w:rsidRPr="00B004EE">
        <w:rPr>
          <w:rFonts w:ascii="Tahoma" w:hAnsi="Tahoma" w:cs="Tahoma"/>
          <w:sz w:val="20"/>
          <w:szCs w:val="20"/>
        </w:rPr>
        <w:t>traitement,</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conformité</w:t>
      </w:r>
      <w:r w:rsidR="00DB1635" w:rsidRPr="00B004EE">
        <w:rPr>
          <w:rFonts w:ascii="Tahoma" w:hAnsi="Tahoma" w:cs="Tahoma"/>
          <w:sz w:val="20"/>
          <w:szCs w:val="20"/>
        </w:rPr>
        <w:t xml:space="preserve"> </w:t>
      </w:r>
      <w:r w:rsidR="002F24E1" w:rsidRPr="00B004EE">
        <w:rPr>
          <w:rFonts w:ascii="Tahoma" w:hAnsi="Tahoma" w:cs="Tahoma"/>
          <w:sz w:val="20"/>
          <w:szCs w:val="20"/>
        </w:rPr>
        <w:t>microbiologique</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d'intégrité</w:t>
      </w:r>
      <w:r w:rsidR="00DB1635" w:rsidRPr="00B004EE">
        <w:rPr>
          <w:rFonts w:ascii="Tahoma" w:hAnsi="Tahoma" w:cs="Tahoma"/>
          <w:sz w:val="20"/>
          <w:szCs w:val="20"/>
        </w:rPr>
        <w:t xml:space="preserve"> </w:t>
      </w:r>
      <w:r w:rsidR="002F24E1" w:rsidRPr="00B004EE">
        <w:rPr>
          <w:rFonts w:ascii="Tahoma" w:hAnsi="Tahoma" w:cs="Tahoma"/>
          <w:sz w:val="20"/>
          <w:szCs w:val="20"/>
        </w:rPr>
        <w:t>des</w:t>
      </w:r>
      <w:r w:rsidR="00DB1635" w:rsidRPr="00B004EE">
        <w:rPr>
          <w:rFonts w:ascii="Tahoma" w:hAnsi="Tahoma" w:cs="Tahoma"/>
          <w:sz w:val="20"/>
          <w:szCs w:val="20"/>
        </w:rPr>
        <w:t xml:space="preserve"> </w:t>
      </w:r>
      <w:r w:rsidR="002F24E1" w:rsidRPr="00B004EE">
        <w:rPr>
          <w:rFonts w:ascii="Tahoma" w:hAnsi="Tahoma" w:cs="Tahoma"/>
          <w:sz w:val="20"/>
          <w:szCs w:val="20"/>
        </w:rPr>
        <w:t>récipients.</w:t>
      </w:r>
    </w:p>
    <w:p w14:paraId="73008A98" w14:textId="77777777" w:rsidR="002F24E1" w:rsidRPr="00B004EE" w:rsidRDefault="002F24E1" w:rsidP="00B004EE">
      <w:pPr>
        <w:jc w:val="both"/>
        <w:rPr>
          <w:rFonts w:ascii="Tahoma" w:hAnsi="Tahoma" w:cs="Tahoma"/>
          <w:sz w:val="20"/>
          <w:szCs w:val="20"/>
        </w:rPr>
      </w:pPr>
    </w:p>
    <w:p w14:paraId="76D1D197" w14:textId="5335684F" w:rsidR="002F24E1" w:rsidRPr="00B004EE" w:rsidRDefault="00AD7D88" w:rsidP="00B004EE">
      <w:pPr>
        <w:jc w:val="both"/>
        <w:rPr>
          <w:rFonts w:ascii="Tahoma" w:hAnsi="Tahoma" w:cs="Tahoma"/>
          <w:sz w:val="20"/>
          <w:szCs w:val="20"/>
        </w:rPr>
      </w:pPr>
      <w:r w:rsidRPr="00B004EE">
        <w:rPr>
          <w:rFonts w:ascii="Tahoma" w:hAnsi="Tahoma" w:cs="Tahoma"/>
          <w:bCs/>
          <w:sz w:val="20"/>
          <w:szCs w:val="20"/>
        </w:rPr>
        <w:t xml:space="preserve">Article </w:t>
      </w:r>
      <w:r w:rsidR="002F24E1" w:rsidRPr="00B004EE">
        <w:rPr>
          <w:rFonts w:ascii="Tahoma" w:hAnsi="Tahoma" w:cs="Tahoma"/>
          <w:bCs/>
          <w:sz w:val="20"/>
          <w:szCs w:val="20"/>
        </w:rPr>
        <w:t>30</w:t>
      </w:r>
      <w:r w:rsidR="00DB1635" w:rsidRPr="00B004EE">
        <w:rPr>
          <w:rFonts w:ascii="Tahoma" w:hAnsi="Tahoma" w:cs="Tahoma"/>
          <w:b/>
          <w:sz w:val="20"/>
          <w:szCs w:val="20"/>
        </w:rPr>
        <w:t xml:space="preserve"> </w:t>
      </w:r>
      <w:r w:rsidR="002F24E1" w:rsidRPr="00B004EE">
        <w:rPr>
          <w:rFonts w:ascii="Tahoma" w:hAnsi="Tahoma" w:cs="Tahoma"/>
          <w:b/>
          <w:sz w:val="20"/>
          <w:szCs w:val="20"/>
        </w:rPr>
        <w:t>:</w:t>
      </w:r>
      <w:r w:rsidR="00DB1635" w:rsidRPr="00B004EE">
        <w:rPr>
          <w:rFonts w:ascii="Tahoma" w:hAnsi="Tahoma" w:cs="Tahoma"/>
          <w:b/>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2F24E1" w:rsidRPr="00B004EE">
        <w:rPr>
          <w:rFonts w:ascii="Tahoma" w:hAnsi="Tahoma" w:cs="Tahoma"/>
          <w:sz w:val="20"/>
          <w:szCs w:val="20"/>
        </w:rPr>
        <w:t>opérations</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salage</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fumage</w:t>
      </w:r>
      <w:r w:rsidR="00DB1635" w:rsidRPr="00B004EE">
        <w:rPr>
          <w:rFonts w:ascii="Tahoma" w:hAnsi="Tahoma" w:cs="Tahoma"/>
          <w:sz w:val="20"/>
          <w:szCs w:val="20"/>
        </w:rPr>
        <w:t xml:space="preserve"> </w:t>
      </w:r>
      <w:r w:rsidR="002F24E1" w:rsidRPr="00B004EE">
        <w:rPr>
          <w:rFonts w:ascii="Tahoma" w:hAnsi="Tahoma" w:cs="Tahoma"/>
          <w:sz w:val="20"/>
          <w:szCs w:val="20"/>
        </w:rPr>
        <w:t>doivent</w:t>
      </w:r>
      <w:r w:rsidR="00DB1635" w:rsidRPr="00B004EE">
        <w:rPr>
          <w:rFonts w:ascii="Tahoma" w:hAnsi="Tahoma" w:cs="Tahoma"/>
          <w:sz w:val="20"/>
          <w:szCs w:val="20"/>
        </w:rPr>
        <w:t xml:space="preserve"> </w:t>
      </w:r>
      <w:r w:rsidR="002F24E1" w:rsidRPr="00B004EE">
        <w:rPr>
          <w:rFonts w:ascii="Tahoma" w:hAnsi="Tahoma" w:cs="Tahoma"/>
          <w:sz w:val="20"/>
          <w:szCs w:val="20"/>
        </w:rPr>
        <w:t>s'effectuer</w:t>
      </w:r>
      <w:r w:rsidR="00DB1635" w:rsidRPr="00B004EE">
        <w:rPr>
          <w:rFonts w:ascii="Tahoma" w:hAnsi="Tahoma" w:cs="Tahoma"/>
          <w:sz w:val="20"/>
          <w:szCs w:val="20"/>
        </w:rPr>
        <w:t xml:space="preserve"> </w:t>
      </w:r>
      <w:r w:rsidR="002F24E1" w:rsidRPr="00B004EE">
        <w:rPr>
          <w:rFonts w:ascii="Tahoma" w:hAnsi="Tahoma" w:cs="Tahoma"/>
          <w:sz w:val="20"/>
          <w:szCs w:val="20"/>
        </w:rPr>
        <w:t>dans</w:t>
      </w:r>
      <w:r w:rsidR="00DB1635" w:rsidRPr="00B004EE">
        <w:rPr>
          <w:rFonts w:ascii="Tahoma" w:hAnsi="Tahoma" w:cs="Tahoma"/>
          <w:sz w:val="20"/>
          <w:szCs w:val="20"/>
        </w:rPr>
        <w:t xml:space="preserve"> </w:t>
      </w:r>
      <w:r w:rsidR="002F24E1" w:rsidRPr="00B004EE">
        <w:rPr>
          <w:rFonts w:ascii="Tahoma" w:hAnsi="Tahoma" w:cs="Tahoma"/>
          <w:sz w:val="20"/>
          <w:szCs w:val="20"/>
        </w:rPr>
        <w:t>des</w:t>
      </w:r>
      <w:r w:rsidR="00DB1635" w:rsidRPr="00B004EE">
        <w:rPr>
          <w:rFonts w:ascii="Tahoma" w:hAnsi="Tahoma" w:cs="Tahoma"/>
          <w:sz w:val="20"/>
          <w:szCs w:val="20"/>
        </w:rPr>
        <w:t xml:space="preserve"> </w:t>
      </w:r>
      <w:r w:rsidR="002F24E1" w:rsidRPr="00B004EE">
        <w:rPr>
          <w:rFonts w:ascii="Tahoma" w:hAnsi="Tahoma" w:cs="Tahoma"/>
          <w:sz w:val="20"/>
          <w:szCs w:val="20"/>
        </w:rPr>
        <w:t>locaux</w:t>
      </w:r>
      <w:r w:rsidR="00DB1635" w:rsidRPr="00B004EE">
        <w:rPr>
          <w:rFonts w:ascii="Tahoma" w:hAnsi="Tahoma" w:cs="Tahoma"/>
          <w:sz w:val="20"/>
          <w:szCs w:val="20"/>
        </w:rPr>
        <w:t xml:space="preserve"> </w:t>
      </w:r>
      <w:r w:rsidR="002F24E1" w:rsidRPr="00B004EE">
        <w:rPr>
          <w:rFonts w:ascii="Tahoma" w:hAnsi="Tahoma" w:cs="Tahoma"/>
          <w:sz w:val="20"/>
          <w:szCs w:val="20"/>
        </w:rPr>
        <w:t>séparés</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si</w:t>
      </w:r>
      <w:r w:rsidR="00DB1635" w:rsidRPr="00B004EE">
        <w:rPr>
          <w:rFonts w:ascii="Tahoma" w:hAnsi="Tahoma" w:cs="Tahoma"/>
          <w:sz w:val="20"/>
          <w:szCs w:val="20"/>
        </w:rPr>
        <w:t xml:space="preserve"> </w:t>
      </w:r>
      <w:r w:rsidR="002F24E1" w:rsidRPr="00B004EE">
        <w:rPr>
          <w:rFonts w:ascii="Tahoma" w:hAnsi="Tahoma" w:cs="Tahoma"/>
          <w:sz w:val="20"/>
          <w:szCs w:val="20"/>
        </w:rPr>
        <w:t>besoin,</w:t>
      </w:r>
      <w:r w:rsidR="00DB1635" w:rsidRPr="00B004EE">
        <w:rPr>
          <w:rFonts w:ascii="Tahoma" w:hAnsi="Tahoma" w:cs="Tahoma"/>
          <w:sz w:val="20"/>
          <w:szCs w:val="20"/>
        </w:rPr>
        <w:t xml:space="preserve"> </w:t>
      </w:r>
      <w:r w:rsidR="002F24E1" w:rsidRPr="00B004EE">
        <w:rPr>
          <w:rFonts w:ascii="Tahoma" w:hAnsi="Tahoma" w:cs="Tahoma"/>
          <w:sz w:val="20"/>
          <w:szCs w:val="20"/>
        </w:rPr>
        <w:t>ventilés</w:t>
      </w:r>
      <w:r w:rsidR="00DB1635" w:rsidRPr="00B004EE">
        <w:rPr>
          <w:rFonts w:ascii="Tahoma" w:hAnsi="Tahoma" w:cs="Tahoma"/>
          <w:sz w:val="20"/>
          <w:szCs w:val="20"/>
        </w:rPr>
        <w:t xml:space="preserve"> </w:t>
      </w:r>
      <w:r w:rsidR="002F24E1" w:rsidRPr="00B004EE">
        <w:rPr>
          <w:rFonts w:ascii="Tahoma" w:hAnsi="Tahoma" w:cs="Tahoma"/>
          <w:sz w:val="20"/>
          <w:szCs w:val="20"/>
        </w:rPr>
        <w:t>pour</w:t>
      </w:r>
      <w:r w:rsidR="00DB1635" w:rsidRPr="00B004EE">
        <w:rPr>
          <w:rFonts w:ascii="Tahoma" w:hAnsi="Tahoma" w:cs="Tahoma"/>
          <w:sz w:val="20"/>
          <w:szCs w:val="20"/>
        </w:rPr>
        <w:t xml:space="preserve"> </w:t>
      </w:r>
      <w:r w:rsidR="002F24E1" w:rsidRPr="00B004EE">
        <w:rPr>
          <w:rFonts w:ascii="Tahoma" w:hAnsi="Tahoma" w:cs="Tahoma"/>
          <w:sz w:val="20"/>
          <w:szCs w:val="20"/>
        </w:rPr>
        <w:t>ne</w:t>
      </w:r>
      <w:r w:rsidR="00DB1635" w:rsidRPr="00B004EE">
        <w:rPr>
          <w:rFonts w:ascii="Tahoma" w:hAnsi="Tahoma" w:cs="Tahoma"/>
          <w:sz w:val="20"/>
          <w:szCs w:val="20"/>
        </w:rPr>
        <w:t xml:space="preserve"> </w:t>
      </w:r>
      <w:r w:rsidR="002F24E1" w:rsidRPr="00B004EE">
        <w:rPr>
          <w:rFonts w:ascii="Tahoma" w:hAnsi="Tahoma" w:cs="Tahoma"/>
          <w:sz w:val="20"/>
          <w:szCs w:val="20"/>
        </w:rPr>
        <w:t>pas</w:t>
      </w:r>
      <w:r w:rsidR="00DB1635" w:rsidRPr="00B004EE">
        <w:rPr>
          <w:rFonts w:ascii="Tahoma" w:hAnsi="Tahoma" w:cs="Tahoma"/>
          <w:sz w:val="20"/>
          <w:szCs w:val="20"/>
        </w:rPr>
        <w:t xml:space="preserve"> </w:t>
      </w:r>
      <w:r w:rsidR="002F24E1" w:rsidRPr="00B004EE">
        <w:rPr>
          <w:rFonts w:ascii="Tahoma" w:hAnsi="Tahoma" w:cs="Tahoma"/>
          <w:sz w:val="20"/>
          <w:szCs w:val="20"/>
        </w:rPr>
        <w:t>affecter</w:t>
      </w:r>
      <w:r w:rsidR="00DB1635" w:rsidRPr="00B004EE">
        <w:rPr>
          <w:rFonts w:ascii="Tahoma" w:hAnsi="Tahoma" w:cs="Tahoma"/>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2F24E1" w:rsidRPr="00B004EE">
        <w:rPr>
          <w:rFonts w:ascii="Tahoma" w:hAnsi="Tahoma" w:cs="Tahoma"/>
          <w:sz w:val="20"/>
          <w:szCs w:val="20"/>
        </w:rPr>
        <w:t>autres</w:t>
      </w:r>
      <w:r w:rsidR="00DB1635" w:rsidRPr="00B004EE">
        <w:rPr>
          <w:rFonts w:ascii="Tahoma" w:hAnsi="Tahoma" w:cs="Tahoma"/>
          <w:sz w:val="20"/>
          <w:szCs w:val="20"/>
        </w:rPr>
        <w:t xml:space="preserve"> </w:t>
      </w:r>
      <w:r w:rsidR="002F24E1" w:rsidRPr="00B004EE">
        <w:rPr>
          <w:rFonts w:ascii="Tahoma" w:hAnsi="Tahoma" w:cs="Tahoma"/>
          <w:sz w:val="20"/>
          <w:szCs w:val="20"/>
        </w:rPr>
        <w:t>locaux</w:t>
      </w:r>
      <w:r w:rsidR="00DB1635" w:rsidRPr="00B004EE">
        <w:rPr>
          <w:rFonts w:ascii="Tahoma" w:hAnsi="Tahoma" w:cs="Tahoma"/>
          <w:sz w:val="20"/>
          <w:szCs w:val="20"/>
        </w:rPr>
        <w:t xml:space="preserve"> </w:t>
      </w:r>
      <w:r w:rsidR="002F24E1" w:rsidRPr="00B004EE">
        <w:rPr>
          <w:rFonts w:ascii="Tahoma" w:hAnsi="Tahoma" w:cs="Tahoma"/>
          <w:sz w:val="20"/>
          <w:szCs w:val="20"/>
        </w:rPr>
        <w:t>ou</w:t>
      </w:r>
      <w:r w:rsidR="00DB1635" w:rsidRPr="00B004EE">
        <w:rPr>
          <w:rFonts w:ascii="Tahoma" w:hAnsi="Tahoma" w:cs="Tahoma"/>
          <w:sz w:val="20"/>
          <w:szCs w:val="20"/>
        </w:rPr>
        <w:t xml:space="preserve"> </w:t>
      </w:r>
      <w:r w:rsidR="002F24E1" w:rsidRPr="00B004EE">
        <w:rPr>
          <w:rFonts w:ascii="Tahoma" w:hAnsi="Tahoma" w:cs="Tahoma"/>
          <w:sz w:val="20"/>
          <w:szCs w:val="20"/>
        </w:rPr>
        <w:t>emplacement</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travail</w:t>
      </w:r>
      <w:r w:rsidR="00DB1635" w:rsidRPr="00B004EE">
        <w:rPr>
          <w:rFonts w:ascii="Tahoma" w:hAnsi="Tahoma" w:cs="Tahoma"/>
          <w:sz w:val="20"/>
          <w:szCs w:val="20"/>
        </w:rPr>
        <w:t xml:space="preserve"> </w:t>
      </w:r>
      <w:r w:rsidR="002F24E1" w:rsidRPr="00B004EE">
        <w:rPr>
          <w:rFonts w:ascii="Tahoma" w:hAnsi="Tahoma" w:cs="Tahoma"/>
          <w:sz w:val="20"/>
          <w:szCs w:val="20"/>
        </w:rPr>
        <w:t>ou</w:t>
      </w:r>
      <w:r w:rsidR="00DB1635" w:rsidRPr="00B004EE">
        <w:rPr>
          <w:rFonts w:ascii="Tahoma" w:hAnsi="Tahoma" w:cs="Tahoma"/>
          <w:sz w:val="20"/>
          <w:szCs w:val="20"/>
        </w:rPr>
        <w:t xml:space="preserve"> </w:t>
      </w:r>
      <w:r w:rsidR="002F24E1" w:rsidRPr="00B004EE">
        <w:rPr>
          <w:rFonts w:ascii="Tahoma" w:hAnsi="Tahoma" w:cs="Tahoma"/>
          <w:sz w:val="20"/>
          <w:szCs w:val="20"/>
        </w:rPr>
        <w:t>d'entreposage.</w:t>
      </w:r>
    </w:p>
    <w:p w14:paraId="6A628F1B" w14:textId="77777777" w:rsidR="002F24E1" w:rsidRPr="00B004EE" w:rsidRDefault="002F24E1" w:rsidP="00B004EE">
      <w:pPr>
        <w:jc w:val="both"/>
        <w:rPr>
          <w:rFonts w:ascii="Tahoma" w:hAnsi="Tahoma" w:cs="Tahoma"/>
          <w:sz w:val="20"/>
          <w:szCs w:val="20"/>
        </w:rPr>
      </w:pPr>
    </w:p>
    <w:p w14:paraId="6218E562" w14:textId="5C4B1744" w:rsidR="002F24E1" w:rsidRPr="00B004EE" w:rsidRDefault="002F24E1" w:rsidP="00B004EE">
      <w:pPr>
        <w:jc w:val="both"/>
        <w:rPr>
          <w:rFonts w:ascii="Tahoma" w:hAnsi="Tahoma" w:cs="Tahoma"/>
          <w:sz w:val="20"/>
          <w:szCs w:val="20"/>
        </w:rPr>
      </w:pPr>
      <w:r w:rsidRPr="00B004EE">
        <w:rPr>
          <w:rFonts w:ascii="Tahoma" w:hAnsi="Tahoma" w:cs="Tahoma"/>
          <w:sz w:val="20"/>
          <w:szCs w:val="20"/>
        </w:rPr>
        <w:tab/>
        <w:t>Le</w:t>
      </w:r>
      <w:r w:rsidR="00DB1635" w:rsidRPr="00B004EE">
        <w:rPr>
          <w:rFonts w:ascii="Tahoma" w:hAnsi="Tahoma" w:cs="Tahoma"/>
          <w:sz w:val="20"/>
          <w:szCs w:val="20"/>
        </w:rPr>
        <w:t xml:space="preserve"> </w:t>
      </w:r>
      <w:r w:rsidRPr="00B004EE">
        <w:rPr>
          <w:rFonts w:ascii="Tahoma" w:hAnsi="Tahoma" w:cs="Tahoma"/>
          <w:sz w:val="20"/>
          <w:szCs w:val="20"/>
        </w:rPr>
        <w:t>sel</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matériaux</w:t>
      </w:r>
      <w:r w:rsidR="00DB1635" w:rsidRPr="00B004EE">
        <w:rPr>
          <w:rFonts w:ascii="Tahoma" w:hAnsi="Tahoma" w:cs="Tahoma"/>
          <w:sz w:val="20"/>
          <w:szCs w:val="20"/>
        </w:rPr>
        <w:t xml:space="preserve"> </w:t>
      </w:r>
      <w:r w:rsidRPr="00B004EE">
        <w:rPr>
          <w:rFonts w:ascii="Tahoma" w:hAnsi="Tahoma" w:cs="Tahoma"/>
          <w:sz w:val="20"/>
          <w:szCs w:val="20"/>
        </w:rPr>
        <w:t>utilisés</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ces</w:t>
      </w:r>
      <w:r w:rsidR="00DB1635" w:rsidRPr="00B004EE">
        <w:rPr>
          <w:rFonts w:ascii="Tahoma" w:hAnsi="Tahoma" w:cs="Tahoma"/>
          <w:sz w:val="20"/>
          <w:szCs w:val="20"/>
        </w:rPr>
        <w:t xml:space="preserve"> </w:t>
      </w:r>
      <w:r w:rsidRPr="00B004EE">
        <w:rPr>
          <w:rFonts w:ascii="Tahoma" w:hAnsi="Tahoma" w:cs="Tahoma"/>
          <w:sz w:val="20"/>
          <w:szCs w:val="20"/>
        </w:rPr>
        <w:t>opérations</w:t>
      </w:r>
      <w:r w:rsidR="00DB1635" w:rsidRPr="00B004EE">
        <w:rPr>
          <w:rFonts w:ascii="Tahoma" w:hAnsi="Tahoma" w:cs="Tahoma"/>
          <w:sz w:val="20"/>
          <w:szCs w:val="20"/>
        </w:rPr>
        <w:t xml:space="preserve"> </w:t>
      </w:r>
      <w:r w:rsidRPr="00B004EE">
        <w:rPr>
          <w:rFonts w:ascii="Tahoma" w:hAnsi="Tahoma" w:cs="Tahoma"/>
          <w:sz w:val="20"/>
          <w:szCs w:val="20"/>
        </w:rPr>
        <w:t>doivent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propres,</w:t>
      </w:r>
      <w:r w:rsidR="00DB1635" w:rsidRPr="00B004EE">
        <w:rPr>
          <w:rFonts w:ascii="Tahoma" w:hAnsi="Tahoma" w:cs="Tahoma"/>
          <w:sz w:val="20"/>
          <w:szCs w:val="20"/>
        </w:rPr>
        <w:t xml:space="preserve"> </w:t>
      </w:r>
      <w:r w:rsidRPr="00B004EE">
        <w:rPr>
          <w:rFonts w:ascii="Tahoma" w:hAnsi="Tahoma" w:cs="Tahoma"/>
          <w:sz w:val="20"/>
          <w:szCs w:val="20"/>
        </w:rPr>
        <w:t>dépourvus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nocivité,</w:t>
      </w:r>
      <w:r w:rsidR="00DB1635" w:rsidRPr="00B004EE">
        <w:rPr>
          <w:rFonts w:ascii="Tahoma" w:hAnsi="Tahoma" w:cs="Tahoma"/>
          <w:sz w:val="20"/>
          <w:szCs w:val="20"/>
        </w:rPr>
        <w:t xml:space="preserve"> </w:t>
      </w:r>
      <w:r w:rsidRPr="00B004EE">
        <w:rPr>
          <w:rFonts w:ascii="Tahoma" w:hAnsi="Tahoma" w:cs="Tahoma"/>
          <w:sz w:val="20"/>
          <w:szCs w:val="20"/>
        </w:rPr>
        <w:t>utilisés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manière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ne</w:t>
      </w:r>
      <w:r w:rsidR="00DB1635" w:rsidRPr="00B004EE">
        <w:rPr>
          <w:rFonts w:ascii="Tahoma" w:hAnsi="Tahoma" w:cs="Tahoma"/>
          <w:sz w:val="20"/>
          <w:szCs w:val="20"/>
        </w:rPr>
        <w:t xml:space="preserve"> </w:t>
      </w:r>
      <w:r w:rsidRPr="00B004EE">
        <w:rPr>
          <w:rFonts w:ascii="Tahoma" w:hAnsi="Tahoma" w:cs="Tahoma"/>
          <w:sz w:val="20"/>
          <w:szCs w:val="20"/>
        </w:rPr>
        <w:t>pas</w:t>
      </w:r>
      <w:r w:rsidR="00DB1635" w:rsidRPr="00B004EE">
        <w:rPr>
          <w:rFonts w:ascii="Tahoma" w:hAnsi="Tahoma" w:cs="Tahoma"/>
          <w:sz w:val="20"/>
          <w:szCs w:val="20"/>
        </w:rPr>
        <w:t xml:space="preserve"> </w:t>
      </w:r>
      <w:r w:rsidRPr="00B004EE">
        <w:rPr>
          <w:rFonts w:ascii="Tahoma" w:hAnsi="Tahoma" w:cs="Tahoma"/>
          <w:sz w:val="20"/>
          <w:szCs w:val="20"/>
        </w:rPr>
        <w:t>contaminer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entreposés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l'écart.</w:t>
      </w:r>
    </w:p>
    <w:p w14:paraId="7024D3FD" w14:textId="77777777" w:rsidR="002F24E1" w:rsidRPr="00B004EE" w:rsidRDefault="002F24E1" w:rsidP="00B004EE">
      <w:pPr>
        <w:jc w:val="both"/>
        <w:rPr>
          <w:rFonts w:ascii="Tahoma" w:hAnsi="Tahoma" w:cs="Tahoma"/>
          <w:sz w:val="20"/>
          <w:szCs w:val="20"/>
        </w:rPr>
      </w:pPr>
    </w:p>
    <w:p w14:paraId="4FE5869F" w14:textId="3E964837" w:rsidR="002F24E1" w:rsidRPr="00B004EE" w:rsidRDefault="00AD7D88" w:rsidP="00B004EE">
      <w:pPr>
        <w:jc w:val="both"/>
        <w:rPr>
          <w:rFonts w:ascii="Tahoma" w:hAnsi="Tahoma" w:cs="Tahoma"/>
          <w:sz w:val="20"/>
          <w:szCs w:val="20"/>
        </w:rPr>
      </w:pPr>
      <w:r w:rsidRPr="00B004EE">
        <w:rPr>
          <w:rFonts w:ascii="Tahoma" w:hAnsi="Tahoma" w:cs="Tahoma"/>
          <w:bCs/>
          <w:sz w:val="20"/>
          <w:szCs w:val="20"/>
        </w:rPr>
        <w:lastRenderedPageBreak/>
        <w:t xml:space="preserve">Article </w:t>
      </w:r>
      <w:r w:rsidR="002F24E1" w:rsidRPr="00B004EE">
        <w:rPr>
          <w:rFonts w:ascii="Tahoma" w:hAnsi="Tahoma" w:cs="Tahoma"/>
          <w:bCs/>
          <w:sz w:val="20"/>
          <w:szCs w:val="20"/>
        </w:rPr>
        <w:t>31</w:t>
      </w:r>
      <w:r w:rsidR="00DB1635" w:rsidRPr="00B004EE">
        <w:rPr>
          <w:rFonts w:ascii="Tahoma" w:hAnsi="Tahoma" w:cs="Tahoma"/>
          <w:b/>
          <w:sz w:val="20"/>
          <w:szCs w:val="20"/>
        </w:rPr>
        <w:t xml:space="preserve"> </w:t>
      </w:r>
      <w:r w:rsidR="002F24E1" w:rsidRPr="00B004EE">
        <w:rPr>
          <w:rFonts w:ascii="Tahoma" w:hAnsi="Tahoma" w:cs="Tahoma"/>
          <w:b/>
          <w:sz w:val="20"/>
          <w:szCs w:val="20"/>
        </w:rPr>
        <w:t>:</w:t>
      </w:r>
      <w:r w:rsidR="00DB1635" w:rsidRPr="00B004EE">
        <w:rPr>
          <w:rFonts w:ascii="Tahoma" w:hAnsi="Tahoma" w:cs="Tahoma"/>
          <w:b/>
          <w:sz w:val="20"/>
          <w:szCs w:val="20"/>
        </w:rPr>
        <w:t xml:space="preserve"> </w:t>
      </w:r>
      <w:r w:rsidR="002F24E1" w:rsidRPr="00B004EE">
        <w:rPr>
          <w:rFonts w:ascii="Tahoma" w:hAnsi="Tahoma" w:cs="Tahoma"/>
          <w:sz w:val="20"/>
          <w:szCs w:val="20"/>
        </w:rPr>
        <w:t>La</w:t>
      </w:r>
      <w:r w:rsidR="00DB1635" w:rsidRPr="00B004EE">
        <w:rPr>
          <w:rFonts w:ascii="Tahoma" w:hAnsi="Tahoma" w:cs="Tahoma"/>
          <w:sz w:val="20"/>
          <w:szCs w:val="20"/>
        </w:rPr>
        <w:t xml:space="preserve"> </w:t>
      </w:r>
      <w:r w:rsidR="002F24E1" w:rsidRPr="00B004EE">
        <w:rPr>
          <w:rFonts w:ascii="Tahoma" w:hAnsi="Tahoma" w:cs="Tahoma"/>
          <w:sz w:val="20"/>
          <w:szCs w:val="20"/>
        </w:rPr>
        <w:t>cuisson</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crustacés</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mollusques</w:t>
      </w:r>
      <w:r w:rsidR="00DB1635" w:rsidRPr="00B004EE">
        <w:rPr>
          <w:rFonts w:ascii="Tahoma" w:hAnsi="Tahoma" w:cs="Tahoma"/>
          <w:sz w:val="20"/>
          <w:szCs w:val="20"/>
        </w:rPr>
        <w:t xml:space="preserve"> </w:t>
      </w:r>
      <w:r w:rsidR="002F24E1" w:rsidRPr="00B004EE">
        <w:rPr>
          <w:rFonts w:ascii="Tahoma" w:hAnsi="Tahoma" w:cs="Tahoma"/>
          <w:sz w:val="20"/>
          <w:szCs w:val="20"/>
        </w:rPr>
        <w:t>doit</w:t>
      </w:r>
      <w:r w:rsidR="00DB1635" w:rsidRPr="00B004EE">
        <w:rPr>
          <w:rFonts w:ascii="Tahoma" w:hAnsi="Tahoma" w:cs="Tahoma"/>
          <w:sz w:val="20"/>
          <w:szCs w:val="20"/>
        </w:rPr>
        <w:t xml:space="preserve"> </w:t>
      </w:r>
      <w:r w:rsidR="002F24E1" w:rsidRPr="00B004EE">
        <w:rPr>
          <w:rFonts w:ascii="Tahoma" w:hAnsi="Tahoma" w:cs="Tahoma"/>
          <w:sz w:val="20"/>
          <w:szCs w:val="20"/>
        </w:rPr>
        <w:t>être</w:t>
      </w:r>
      <w:r w:rsidR="00DB1635" w:rsidRPr="00B004EE">
        <w:rPr>
          <w:rFonts w:ascii="Tahoma" w:hAnsi="Tahoma" w:cs="Tahoma"/>
          <w:sz w:val="20"/>
          <w:szCs w:val="20"/>
        </w:rPr>
        <w:t xml:space="preserve"> </w:t>
      </w:r>
      <w:r w:rsidR="002F24E1" w:rsidRPr="00B004EE">
        <w:rPr>
          <w:rFonts w:ascii="Tahoma" w:hAnsi="Tahoma" w:cs="Tahoma"/>
          <w:sz w:val="20"/>
          <w:szCs w:val="20"/>
        </w:rPr>
        <w:t>suivie</w:t>
      </w:r>
      <w:r w:rsidR="00DB1635" w:rsidRPr="00B004EE">
        <w:rPr>
          <w:rFonts w:ascii="Tahoma" w:hAnsi="Tahoma" w:cs="Tahoma"/>
          <w:sz w:val="20"/>
          <w:szCs w:val="20"/>
        </w:rPr>
        <w:t xml:space="preserve"> </w:t>
      </w:r>
      <w:r w:rsidR="002F24E1" w:rsidRPr="00B004EE">
        <w:rPr>
          <w:rFonts w:ascii="Tahoma" w:hAnsi="Tahoma" w:cs="Tahoma"/>
          <w:sz w:val="20"/>
          <w:szCs w:val="20"/>
        </w:rPr>
        <w:t>d'un</w:t>
      </w:r>
      <w:r w:rsidR="00DB1635" w:rsidRPr="00B004EE">
        <w:rPr>
          <w:rFonts w:ascii="Tahoma" w:hAnsi="Tahoma" w:cs="Tahoma"/>
          <w:sz w:val="20"/>
          <w:szCs w:val="20"/>
        </w:rPr>
        <w:t xml:space="preserve"> </w:t>
      </w:r>
      <w:r w:rsidR="002F24E1" w:rsidRPr="00B004EE">
        <w:rPr>
          <w:rFonts w:ascii="Tahoma" w:hAnsi="Tahoma" w:cs="Tahoma"/>
          <w:sz w:val="20"/>
          <w:szCs w:val="20"/>
        </w:rPr>
        <w:t>refroidissement</w:t>
      </w:r>
      <w:r w:rsidR="00DB1635" w:rsidRPr="00B004EE">
        <w:rPr>
          <w:rFonts w:ascii="Tahoma" w:hAnsi="Tahoma" w:cs="Tahoma"/>
          <w:sz w:val="20"/>
          <w:szCs w:val="20"/>
        </w:rPr>
        <w:t xml:space="preserve"> </w:t>
      </w:r>
      <w:r w:rsidR="002F24E1" w:rsidRPr="00B004EE">
        <w:rPr>
          <w:rFonts w:ascii="Tahoma" w:hAnsi="Tahoma" w:cs="Tahoma"/>
          <w:sz w:val="20"/>
          <w:szCs w:val="20"/>
        </w:rPr>
        <w:t>rapide</w:t>
      </w:r>
      <w:r w:rsidR="00DB1635" w:rsidRPr="00B004EE">
        <w:rPr>
          <w:rFonts w:ascii="Tahoma" w:hAnsi="Tahoma" w:cs="Tahoma"/>
          <w:sz w:val="20"/>
          <w:szCs w:val="20"/>
        </w:rPr>
        <w:t xml:space="preserve"> </w:t>
      </w:r>
      <w:r w:rsidR="002F24E1" w:rsidRPr="00B004EE">
        <w:rPr>
          <w:rFonts w:ascii="Tahoma" w:hAnsi="Tahoma" w:cs="Tahoma"/>
          <w:sz w:val="20"/>
          <w:szCs w:val="20"/>
        </w:rPr>
        <w:t>jusqu'à</w:t>
      </w:r>
      <w:r w:rsidR="00DB1635" w:rsidRPr="00B004EE">
        <w:rPr>
          <w:rFonts w:ascii="Tahoma" w:hAnsi="Tahoma" w:cs="Tahoma"/>
          <w:sz w:val="20"/>
          <w:szCs w:val="20"/>
        </w:rPr>
        <w:t xml:space="preserve"> </w:t>
      </w:r>
      <w:r w:rsidR="002F24E1" w:rsidRPr="00B004EE">
        <w:rPr>
          <w:rFonts w:ascii="Tahoma" w:hAnsi="Tahoma" w:cs="Tahoma"/>
          <w:sz w:val="20"/>
          <w:szCs w:val="20"/>
        </w:rPr>
        <w:t>la</w:t>
      </w:r>
      <w:r w:rsidR="00DB1635" w:rsidRPr="00B004EE">
        <w:rPr>
          <w:rFonts w:ascii="Tahoma" w:hAnsi="Tahoma" w:cs="Tahoma"/>
          <w:sz w:val="20"/>
          <w:szCs w:val="20"/>
        </w:rPr>
        <w:t xml:space="preserve"> </w:t>
      </w:r>
      <w:r w:rsidR="002F24E1" w:rsidRPr="00B004EE">
        <w:rPr>
          <w:rFonts w:ascii="Tahoma" w:hAnsi="Tahoma" w:cs="Tahoma"/>
          <w:sz w:val="20"/>
          <w:szCs w:val="20"/>
        </w:rPr>
        <w:t>température</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la</w:t>
      </w:r>
      <w:r w:rsidR="00DB1635" w:rsidRPr="00B004EE">
        <w:rPr>
          <w:rFonts w:ascii="Tahoma" w:hAnsi="Tahoma" w:cs="Tahoma"/>
          <w:sz w:val="20"/>
          <w:szCs w:val="20"/>
        </w:rPr>
        <w:t xml:space="preserve"> </w:t>
      </w:r>
      <w:r w:rsidR="002F24E1" w:rsidRPr="00B004EE">
        <w:rPr>
          <w:rFonts w:ascii="Tahoma" w:hAnsi="Tahoma" w:cs="Tahoma"/>
          <w:sz w:val="20"/>
          <w:szCs w:val="20"/>
        </w:rPr>
        <w:t>glace</w:t>
      </w:r>
      <w:r w:rsidR="00DB1635" w:rsidRPr="00B004EE">
        <w:rPr>
          <w:rFonts w:ascii="Tahoma" w:hAnsi="Tahoma" w:cs="Tahoma"/>
          <w:sz w:val="20"/>
          <w:szCs w:val="20"/>
        </w:rPr>
        <w:t xml:space="preserve"> </w:t>
      </w:r>
      <w:r w:rsidR="002F24E1" w:rsidRPr="00B004EE">
        <w:rPr>
          <w:rFonts w:ascii="Tahoma" w:hAnsi="Tahoma" w:cs="Tahoma"/>
          <w:sz w:val="20"/>
          <w:szCs w:val="20"/>
        </w:rPr>
        <w:t>fondante.</w:t>
      </w:r>
      <w:r w:rsidR="00DB1635" w:rsidRPr="00B004EE">
        <w:rPr>
          <w:rFonts w:ascii="Tahoma" w:hAnsi="Tahoma" w:cs="Tahoma"/>
          <w:sz w:val="20"/>
          <w:szCs w:val="20"/>
        </w:rPr>
        <w:t xml:space="preserve"> </w:t>
      </w:r>
      <w:r w:rsidR="002F24E1" w:rsidRPr="00B004EE">
        <w:rPr>
          <w:rFonts w:ascii="Tahoma" w:hAnsi="Tahoma" w:cs="Tahoma"/>
          <w:sz w:val="20"/>
          <w:szCs w:val="20"/>
        </w:rPr>
        <w:t>Le</w:t>
      </w:r>
      <w:r w:rsidR="00DB1635" w:rsidRPr="00B004EE">
        <w:rPr>
          <w:rFonts w:ascii="Tahoma" w:hAnsi="Tahoma" w:cs="Tahoma"/>
          <w:sz w:val="20"/>
          <w:szCs w:val="20"/>
        </w:rPr>
        <w:t xml:space="preserve"> </w:t>
      </w:r>
      <w:r w:rsidR="002F24E1" w:rsidRPr="00B004EE">
        <w:rPr>
          <w:rFonts w:ascii="Tahoma" w:hAnsi="Tahoma" w:cs="Tahoma"/>
          <w:sz w:val="20"/>
          <w:szCs w:val="20"/>
        </w:rPr>
        <w:t>décorticage</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le</w:t>
      </w:r>
      <w:r w:rsidR="00DB1635" w:rsidRPr="00B004EE">
        <w:rPr>
          <w:rFonts w:ascii="Tahoma" w:hAnsi="Tahoma" w:cs="Tahoma"/>
          <w:sz w:val="20"/>
          <w:szCs w:val="20"/>
        </w:rPr>
        <w:t xml:space="preserve"> </w:t>
      </w:r>
      <w:r w:rsidR="002F24E1" w:rsidRPr="00B004EE">
        <w:rPr>
          <w:rFonts w:ascii="Tahoma" w:hAnsi="Tahoma" w:cs="Tahoma"/>
          <w:sz w:val="20"/>
          <w:szCs w:val="20"/>
        </w:rPr>
        <w:t>décoquillage</w:t>
      </w:r>
      <w:r w:rsidR="00DB1635" w:rsidRPr="00B004EE">
        <w:rPr>
          <w:rFonts w:ascii="Tahoma" w:hAnsi="Tahoma" w:cs="Tahoma"/>
          <w:sz w:val="20"/>
          <w:szCs w:val="20"/>
        </w:rPr>
        <w:t xml:space="preserve"> </w:t>
      </w:r>
      <w:r w:rsidR="002F24E1" w:rsidRPr="00B004EE">
        <w:rPr>
          <w:rFonts w:ascii="Tahoma" w:hAnsi="Tahoma" w:cs="Tahoma"/>
          <w:sz w:val="20"/>
          <w:szCs w:val="20"/>
        </w:rPr>
        <w:t>sont</w:t>
      </w:r>
      <w:r w:rsidR="00DB1635" w:rsidRPr="00B004EE">
        <w:rPr>
          <w:rFonts w:ascii="Tahoma" w:hAnsi="Tahoma" w:cs="Tahoma"/>
          <w:sz w:val="20"/>
          <w:szCs w:val="20"/>
        </w:rPr>
        <w:t xml:space="preserve"> </w:t>
      </w:r>
      <w:r w:rsidR="002F24E1" w:rsidRPr="00B004EE">
        <w:rPr>
          <w:rFonts w:ascii="Tahoma" w:hAnsi="Tahoma" w:cs="Tahoma"/>
          <w:sz w:val="20"/>
          <w:szCs w:val="20"/>
        </w:rPr>
        <w:t>pratiqués</w:t>
      </w:r>
      <w:r w:rsidR="00DB1635" w:rsidRPr="00B004EE">
        <w:rPr>
          <w:rFonts w:ascii="Tahoma" w:hAnsi="Tahoma" w:cs="Tahoma"/>
          <w:sz w:val="20"/>
          <w:szCs w:val="20"/>
        </w:rPr>
        <w:t xml:space="preserve"> </w:t>
      </w:r>
      <w:r w:rsidR="002F24E1" w:rsidRPr="00B004EE">
        <w:rPr>
          <w:rFonts w:ascii="Tahoma" w:hAnsi="Tahoma" w:cs="Tahoma"/>
          <w:sz w:val="20"/>
          <w:szCs w:val="20"/>
        </w:rPr>
        <w:t>en</w:t>
      </w:r>
      <w:r w:rsidR="00DB1635" w:rsidRPr="00B004EE">
        <w:rPr>
          <w:rFonts w:ascii="Tahoma" w:hAnsi="Tahoma" w:cs="Tahoma"/>
          <w:sz w:val="20"/>
          <w:szCs w:val="20"/>
        </w:rPr>
        <w:t xml:space="preserve"> </w:t>
      </w:r>
      <w:r w:rsidR="002F24E1" w:rsidRPr="00B004EE">
        <w:rPr>
          <w:rFonts w:ascii="Tahoma" w:hAnsi="Tahoma" w:cs="Tahoma"/>
          <w:sz w:val="20"/>
          <w:szCs w:val="20"/>
        </w:rPr>
        <w:t>évitant</w:t>
      </w:r>
      <w:r w:rsidR="00DB1635" w:rsidRPr="00B004EE">
        <w:rPr>
          <w:rFonts w:ascii="Tahoma" w:hAnsi="Tahoma" w:cs="Tahoma"/>
          <w:sz w:val="20"/>
          <w:szCs w:val="20"/>
        </w:rPr>
        <w:t xml:space="preserve"> </w:t>
      </w:r>
      <w:r w:rsidR="002F24E1" w:rsidRPr="00B004EE">
        <w:rPr>
          <w:rFonts w:ascii="Tahoma" w:hAnsi="Tahoma" w:cs="Tahoma"/>
          <w:sz w:val="20"/>
          <w:szCs w:val="20"/>
        </w:rPr>
        <w:t>la</w:t>
      </w:r>
      <w:r w:rsidR="00DB1635" w:rsidRPr="00B004EE">
        <w:rPr>
          <w:rFonts w:ascii="Tahoma" w:hAnsi="Tahoma" w:cs="Tahoma"/>
          <w:sz w:val="20"/>
          <w:szCs w:val="20"/>
        </w:rPr>
        <w:t xml:space="preserve"> </w:t>
      </w:r>
      <w:r w:rsidR="002F24E1" w:rsidRPr="00B004EE">
        <w:rPr>
          <w:rFonts w:ascii="Tahoma" w:hAnsi="Tahoma" w:cs="Tahoma"/>
          <w:sz w:val="20"/>
          <w:szCs w:val="20"/>
        </w:rPr>
        <w:t>contamination.</w:t>
      </w:r>
      <w:r w:rsidR="00DB1635" w:rsidRPr="00B004EE">
        <w:rPr>
          <w:rFonts w:ascii="Tahoma" w:hAnsi="Tahoma" w:cs="Tahoma"/>
          <w:sz w:val="20"/>
          <w:szCs w:val="20"/>
        </w:rPr>
        <w:t xml:space="preserve"> </w:t>
      </w:r>
      <w:r w:rsidR="002F24E1" w:rsidRPr="00B004EE">
        <w:rPr>
          <w:rFonts w:ascii="Tahoma" w:hAnsi="Tahoma" w:cs="Tahoma"/>
          <w:sz w:val="20"/>
          <w:szCs w:val="20"/>
        </w:rPr>
        <w:t>Immédiatement</w:t>
      </w:r>
      <w:r w:rsidR="00DB1635" w:rsidRPr="00B004EE">
        <w:rPr>
          <w:rFonts w:ascii="Tahoma" w:hAnsi="Tahoma" w:cs="Tahoma"/>
          <w:sz w:val="20"/>
          <w:szCs w:val="20"/>
        </w:rPr>
        <w:t xml:space="preserve"> </w:t>
      </w:r>
      <w:r w:rsidR="002F24E1" w:rsidRPr="00B004EE">
        <w:rPr>
          <w:rFonts w:ascii="Tahoma" w:hAnsi="Tahoma" w:cs="Tahoma"/>
          <w:sz w:val="20"/>
          <w:szCs w:val="20"/>
        </w:rPr>
        <w:t>après</w:t>
      </w:r>
      <w:r w:rsidR="00DB1635" w:rsidRPr="00B004EE">
        <w:rPr>
          <w:rFonts w:ascii="Tahoma" w:hAnsi="Tahoma" w:cs="Tahoma"/>
          <w:sz w:val="20"/>
          <w:szCs w:val="20"/>
        </w:rPr>
        <w:t xml:space="preserve"> </w:t>
      </w:r>
      <w:r w:rsidR="002F24E1" w:rsidRPr="00B004EE">
        <w:rPr>
          <w:rFonts w:ascii="Tahoma" w:hAnsi="Tahoma" w:cs="Tahoma"/>
          <w:sz w:val="20"/>
          <w:szCs w:val="20"/>
        </w:rPr>
        <w:t>ces</w:t>
      </w:r>
      <w:r w:rsidR="00DB1635" w:rsidRPr="00B004EE">
        <w:rPr>
          <w:rFonts w:ascii="Tahoma" w:hAnsi="Tahoma" w:cs="Tahoma"/>
          <w:sz w:val="20"/>
          <w:szCs w:val="20"/>
        </w:rPr>
        <w:t xml:space="preserve"> </w:t>
      </w:r>
      <w:r w:rsidR="002F24E1" w:rsidRPr="00B004EE">
        <w:rPr>
          <w:rFonts w:ascii="Tahoma" w:hAnsi="Tahoma" w:cs="Tahoma"/>
          <w:sz w:val="20"/>
          <w:szCs w:val="20"/>
        </w:rPr>
        <w:t>opérations,</w:t>
      </w:r>
      <w:r w:rsidR="00DB1635" w:rsidRPr="00B004EE">
        <w:rPr>
          <w:rFonts w:ascii="Tahoma" w:hAnsi="Tahoma" w:cs="Tahoma"/>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2F24E1" w:rsidRPr="00B004EE">
        <w:rPr>
          <w:rFonts w:ascii="Tahoma" w:hAnsi="Tahoma" w:cs="Tahoma"/>
          <w:sz w:val="20"/>
          <w:szCs w:val="20"/>
        </w:rPr>
        <w:t>produits</w:t>
      </w:r>
      <w:r w:rsidR="00DB1635" w:rsidRPr="00B004EE">
        <w:rPr>
          <w:rFonts w:ascii="Tahoma" w:hAnsi="Tahoma" w:cs="Tahoma"/>
          <w:sz w:val="20"/>
          <w:szCs w:val="20"/>
        </w:rPr>
        <w:t xml:space="preserve"> </w:t>
      </w:r>
      <w:r w:rsidR="002F24E1" w:rsidRPr="00B004EE">
        <w:rPr>
          <w:rFonts w:ascii="Tahoma" w:hAnsi="Tahoma" w:cs="Tahoma"/>
          <w:sz w:val="20"/>
          <w:szCs w:val="20"/>
        </w:rPr>
        <w:t>cuits</w:t>
      </w:r>
      <w:r w:rsidR="00DB1635" w:rsidRPr="00B004EE">
        <w:rPr>
          <w:rFonts w:ascii="Tahoma" w:hAnsi="Tahoma" w:cs="Tahoma"/>
          <w:sz w:val="20"/>
          <w:szCs w:val="20"/>
        </w:rPr>
        <w:t xml:space="preserve"> </w:t>
      </w:r>
      <w:r w:rsidR="002F24E1" w:rsidRPr="00B004EE">
        <w:rPr>
          <w:rFonts w:ascii="Tahoma" w:hAnsi="Tahoma" w:cs="Tahoma"/>
          <w:sz w:val="20"/>
          <w:szCs w:val="20"/>
        </w:rPr>
        <w:t>doivent</w:t>
      </w:r>
      <w:r w:rsidR="00DB1635" w:rsidRPr="00B004EE">
        <w:rPr>
          <w:rFonts w:ascii="Tahoma" w:hAnsi="Tahoma" w:cs="Tahoma"/>
          <w:sz w:val="20"/>
          <w:szCs w:val="20"/>
        </w:rPr>
        <w:t xml:space="preserve"> </w:t>
      </w:r>
      <w:r w:rsidR="002F24E1" w:rsidRPr="00B004EE">
        <w:rPr>
          <w:rFonts w:ascii="Tahoma" w:hAnsi="Tahoma" w:cs="Tahoma"/>
          <w:sz w:val="20"/>
          <w:szCs w:val="20"/>
        </w:rPr>
        <w:t>être</w:t>
      </w:r>
      <w:r w:rsidR="00DB1635" w:rsidRPr="00B004EE">
        <w:rPr>
          <w:rFonts w:ascii="Tahoma" w:hAnsi="Tahoma" w:cs="Tahoma"/>
          <w:sz w:val="20"/>
          <w:szCs w:val="20"/>
        </w:rPr>
        <w:t xml:space="preserve"> </w:t>
      </w:r>
      <w:r w:rsidR="002F24E1" w:rsidRPr="00B004EE">
        <w:rPr>
          <w:rFonts w:ascii="Tahoma" w:hAnsi="Tahoma" w:cs="Tahoma"/>
          <w:sz w:val="20"/>
          <w:szCs w:val="20"/>
        </w:rPr>
        <w:t>réfrigérés</w:t>
      </w:r>
      <w:r w:rsidR="00DB1635" w:rsidRPr="00B004EE">
        <w:rPr>
          <w:rFonts w:ascii="Tahoma" w:hAnsi="Tahoma" w:cs="Tahoma"/>
          <w:sz w:val="20"/>
          <w:szCs w:val="20"/>
        </w:rPr>
        <w:t xml:space="preserve"> </w:t>
      </w:r>
      <w:r w:rsidR="002F24E1" w:rsidRPr="00B004EE">
        <w:rPr>
          <w:rFonts w:ascii="Tahoma" w:hAnsi="Tahoma" w:cs="Tahoma"/>
          <w:sz w:val="20"/>
          <w:szCs w:val="20"/>
        </w:rPr>
        <w:t>ou</w:t>
      </w:r>
      <w:r w:rsidR="00DB1635" w:rsidRPr="00B004EE">
        <w:rPr>
          <w:rFonts w:ascii="Tahoma" w:hAnsi="Tahoma" w:cs="Tahoma"/>
          <w:sz w:val="20"/>
          <w:szCs w:val="20"/>
        </w:rPr>
        <w:t xml:space="preserve"> </w:t>
      </w:r>
      <w:r w:rsidR="002F24E1" w:rsidRPr="00B004EE">
        <w:rPr>
          <w:rFonts w:ascii="Tahoma" w:hAnsi="Tahoma" w:cs="Tahoma"/>
          <w:sz w:val="20"/>
          <w:szCs w:val="20"/>
        </w:rPr>
        <w:t>congelés</w:t>
      </w:r>
      <w:r w:rsidR="00DB1635" w:rsidRPr="00B004EE">
        <w:rPr>
          <w:rFonts w:ascii="Tahoma" w:hAnsi="Tahoma" w:cs="Tahoma"/>
          <w:sz w:val="20"/>
          <w:szCs w:val="20"/>
        </w:rPr>
        <w:t xml:space="preserve"> </w:t>
      </w:r>
      <w:r w:rsidR="002F24E1" w:rsidRPr="00B004EE">
        <w:rPr>
          <w:rFonts w:ascii="Tahoma" w:hAnsi="Tahoma" w:cs="Tahoma"/>
          <w:sz w:val="20"/>
          <w:szCs w:val="20"/>
        </w:rPr>
        <w:t>puis</w:t>
      </w:r>
      <w:r w:rsidR="00DB1635" w:rsidRPr="00B004EE">
        <w:rPr>
          <w:rFonts w:ascii="Tahoma" w:hAnsi="Tahoma" w:cs="Tahoma"/>
          <w:sz w:val="20"/>
          <w:szCs w:val="20"/>
        </w:rPr>
        <w:t xml:space="preserve"> </w:t>
      </w:r>
      <w:r w:rsidR="002F24E1" w:rsidRPr="00B004EE">
        <w:rPr>
          <w:rFonts w:ascii="Tahoma" w:hAnsi="Tahoma" w:cs="Tahoma"/>
          <w:sz w:val="20"/>
          <w:szCs w:val="20"/>
        </w:rPr>
        <w:t>entreposés</w:t>
      </w:r>
      <w:r w:rsidR="00DB1635" w:rsidRPr="00B004EE">
        <w:rPr>
          <w:rFonts w:ascii="Tahoma" w:hAnsi="Tahoma" w:cs="Tahoma"/>
          <w:sz w:val="20"/>
          <w:szCs w:val="20"/>
        </w:rPr>
        <w:t xml:space="preserve"> </w:t>
      </w:r>
      <w:r w:rsidR="002F24E1" w:rsidRPr="00B004EE">
        <w:rPr>
          <w:rFonts w:ascii="Tahoma" w:hAnsi="Tahoma" w:cs="Tahoma"/>
          <w:sz w:val="20"/>
          <w:szCs w:val="20"/>
        </w:rPr>
        <w:t>dans</w:t>
      </w:r>
      <w:r w:rsidR="00DB1635" w:rsidRPr="00B004EE">
        <w:rPr>
          <w:rFonts w:ascii="Tahoma" w:hAnsi="Tahoma" w:cs="Tahoma"/>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2F24E1" w:rsidRPr="00B004EE">
        <w:rPr>
          <w:rFonts w:ascii="Tahoma" w:hAnsi="Tahoma" w:cs="Tahoma"/>
          <w:sz w:val="20"/>
          <w:szCs w:val="20"/>
        </w:rPr>
        <w:t>cales</w:t>
      </w:r>
      <w:r w:rsidR="00DB1635" w:rsidRPr="00B004EE">
        <w:rPr>
          <w:rFonts w:ascii="Tahoma" w:hAnsi="Tahoma" w:cs="Tahoma"/>
          <w:sz w:val="20"/>
          <w:szCs w:val="20"/>
        </w:rPr>
        <w:t xml:space="preserve"> </w:t>
      </w:r>
      <w:r w:rsidR="002F24E1" w:rsidRPr="00B004EE">
        <w:rPr>
          <w:rFonts w:ascii="Tahoma" w:hAnsi="Tahoma" w:cs="Tahoma"/>
          <w:sz w:val="20"/>
          <w:szCs w:val="20"/>
        </w:rPr>
        <w:t>ou</w:t>
      </w:r>
      <w:r w:rsidR="00DB1635" w:rsidRPr="00B004EE">
        <w:rPr>
          <w:rFonts w:ascii="Tahoma" w:hAnsi="Tahoma" w:cs="Tahoma"/>
          <w:sz w:val="20"/>
          <w:szCs w:val="20"/>
        </w:rPr>
        <w:t xml:space="preserve"> </w:t>
      </w:r>
      <w:r w:rsidR="002F24E1" w:rsidRPr="00B004EE">
        <w:rPr>
          <w:rFonts w:ascii="Tahoma" w:hAnsi="Tahoma" w:cs="Tahoma"/>
          <w:sz w:val="20"/>
          <w:szCs w:val="20"/>
        </w:rPr>
        <w:t>conteneurs</w:t>
      </w:r>
      <w:r w:rsidR="00DB1635" w:rsidRPr="00B004EE">
        <w:rPr>
          <w:rFonts w:ascii="Tahoma" w:hAnsi="Tahoma" w:cs="Tahoma"/>
          <w:sz w:val="20"/>
          <w:szCs w:val="20"/>
        </w:rPr>
        <w:t xml:space="preserve"> </w:t>
      </w:r>
      <w:r w:rsidR="002F24E1" w:rsidRPr="00B004EE">
        <w:rPr>
          <w:rFonts w:ascii="Tahoma" w:hAnsi="Tahoma" w:cs="Tahoma"/>
          <w:sz w:val="20"/>
          <w:szCs w:val="20"/>
        </w:rPr>
        <w:t>adéquats.</w:t>
      </w:r>
    </w:p>
    <w:p w14:paraId="336A6963" w14:textId="77777777" w:rsidR="002F24E1" w:rsidRPr="00B004EE" w:rsidRDefault="002F24E1" w:rsidP="00B004EE">
      <w:pPr>
        <w:jc w:val="both"/>
        <w:rPr>
          <w:rFonts w:ascii="Tahoma" w:hAnsi="Tahoma" w:cs="Tahoma"/>
          <w:b/>
          <w:sz w:val="20"/>
          <w:szCs w:val="20"/>
        </w:rPr>
      </w:pPr>
    </w:p>
    <w:p w14:paraId="1459DCD3" w14:textId="623B0B6B" w:rsidR="002F24E1" w:rsidRPr="00B004EE" w:rsidRDefault="00AD7D88" w:rsidP="00B004EE">
      <w:pPr>
        <w:jc w:val="both"/>
        <w:rPr>
          <w:rFonts w:ascii="Tahoma" w:hAnsi="Tahoma" w:cs="Tahoma"/>
          <w:sz w:val="20"/>
          <w:szCs w:val="20"/>
        </w:rPr>
      </w:pPr>
      <w:r w:rsidRPr="00B004EE">
        <w:rPr>
          <w:rFonts w:ascii="Tahoma" w:hAnsi="Tahoma" w:cs="Tahoma"/>
          <w:bCs/>
          <w:sz w:val="20"/>
          <w:szCs w:val="20"/>
        </w:rPr>
        <w:t xml:space="preserve">Article </w:t>
      </w:r>
      <w:r w:rsidR="002F24E1" w:rsidRPr="00B004EE">
        <w:rPr>
          <w:rFonts w:ascii="Tahoma" w:hAnsi="Tahoma" w:cs="Tahoma"/>
          <w:bCs/>
          <w:sz w:val="20"/>
          <w:szCs w:val="20"/>
        </w:rPr>
        <w:t>32</w:t>
      </w:r>
      <w:r w:rsidR="00DB1635" w:rsidRPr="00B004EE">
        <w:rPr>
          <w:rFonts w:ascii="Tahoma" w:hAnsi="Tahoma" w:cs="Tahoma"/>
          <w:b/>
          <w:sz w:val="20"/>
          <w:szCs w:val="20"/>
        </w:rPr>
        <w:t xml:space="preserve"> </w:t>
      </w:r>
      <w:r w:rsidR="002F24E1" w:rsidRPr="00B004EE">
        <w:rPr>
          <w:rFonts w:ascii="Tahoma" w:hAnsi="Tahoma" w:cs="Tahoma"/>
          <w:b/>
          <w:sz w:val="20"/>
          <w:szCs w:val="20"/>
        </w:rPr>
        <w:t>:</w:t>
      </w:r>
      <w:r w:rsidR="00DB1635" w:rsidRPr="00B004EE">
        <w:rPr>
          <w:rFonts w:ascii="Tahoma" w:hAnsi="Tahoma" w:cs="Tahoma"/>
          <w:b/>
          <w:sz w:val="20"/>
          <w:szCs w:val="20"/>
        </w:rPr>
        <w:t xml:space="preserve"> </w:t>
      </w:r>
      <w:r w:rsidR="002F24E1" w:rsidRPr="00B004EE">
        <w:rPr>
          <w:rFonts w:ascii="Tahoma" w:hAnsi="Tahoma" w:cs="Tahoma"/>
          <w:sz w:val="20"/>
          <w:szCs w:val="20"/>
        </w:rPr>
        <w:t>La</w:t>
      </w:r>
      <w:r w:rsidR="00DB1635" w:rsidRPr="00B004EE">
        <w:rPr>
          <w:rFonts w:ascii="Tahoma" w:hAnsi="Tahoma" w:cs="Tahoma"/>
          <w:sz w:val="20"/>
          <w:szCs w:val="20"/>
        </w:rPr>
        <w:t xml:space="preserve"> </w:t>
      </w:r>
      <w:r w:rsidR="002F24E1" w:rsidRPr="00B004EE">
        <w:rPr>
          <w:rFonts w:ascii="Tahoma" w:hAnsi="Tahoma" w:cs="Tahoma"/>
          <w:sz w:val="20"/>
          <w:szCs w:val="20"/>
        </w:rPr>
        <w:t>pulpe</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poisson</w:t>
      </w:r>
      <w:r w:rsidR="00DB1635" w:rsidRPr="00B004EE">
        <w:rPr>
          <w:rFonts w:ascii="Tahoma" w:hAnsi="Tahoma" w:cs="Tahoma"/>
          <w:sz w:val="20"/>
          <w:szCs w:val="20"/>
        </w:rPr>
        <w:t xml:space="preserve"> </w:t>
      </w:r>
      <w:r w:rsidR="002F24E1" w:rsidRPr="00B004EE">
        <w:rPr>
          <w:rFonts w:ascii="Tahoma" w:hAnsi="Tahoma" w:cs="Tahoma"/>
          <w:sz w:val="20"/>
          <w:szCs w:val="20"/>
        </w:rPr>
        <w:t>doit</w:t>
      </w:r>
      <w:r w:rsidR="00DB1635" w:rsidRPr="00B004EE">
        <w:rPr>
          <w:rFonts w:ascii="Tahoma" w:hAnsi="Tahoma" w:cs="Tahoma"/>
          <w:sz w:val="20"/>
          <w:szCs w:val="20"/>
        </w:rPr>
        <w:t xml:space="preserve"> </w:t>
      </w:r>
      <w:r w:rsidR="002F24E1" w:rsidRPr="00B004EE">
        <w:rPr>
          <w:rFonts w:ascii="Tahoma" w:hAnsi="Tahoma" w:cs="Tahoma"/>
          <w:sz w:val="20"/>
          <w:szCs w:val="20"/>
        </w:rPr>
        <w:t>être</w:t>
      </w:r>
      <w:r w:rsidR="00DB1635" w:rsidRPr="00B004EE">
        <w:rPr>
          <w:rFonts w:ascii="Tahoma" w:hAnsi="Tahoma" w:cs="Tahoma"/>
          <w:sz w:val="20"/>
          <w:szCs w:val="20"/>
        </w:rPr>
        <w:t xml:space="preserve"> </w:t>
      </w:r>
      <w:r w:rsidR="002F24E1" w:rsidRPr="00B004EE">
        <w:rPr>
          <w:rFonts w:ascii="Tahoma" w:hAnsi="Tahoma" w:cs="Tahoma"/>
          <w:sz w:val="20"/>
          <w:szCs w:val="20"/>
        </w:rPr>
        <w:t>préparée</w:t>
      </w:r>
      <w:r w:rsidR="00DB1635" w:rsidRPr="00B004EE">
        <w:rPr>
          <w:rFonts w:ascii="Tahoma" w:hAnsi="Tahoma" w:cs="Tahoma"/>
          <w:sz w:val="20"/>
          <w:szCs w:val="20"/>
        </w:rPr>
        <w:t xml:space="preserve"> </w:t>
      </w:r>
      <w:r w:rsidR="002F24E1" w:rsidRPr="00B004EE">
        <w:rPr>
          <w:rFonts w:ascii="Tahoma" w:hAnsi="Tahoma" w:cs="Tahoma"/>
          <w:sz w:val="20"/>
          <w:szCs w:val="20"/>
        </w:rPr>
        <w:t>sans</w:t>
      </w:r>
      <w:r w:rsidR="00DB1635" w:rsidRPr="00B004EE">
        <w:rPr>
          <w:rFonts w:ascii="Tahoma" w:hAnsi="Tahoma" w:cs="Tahoma"/>
          <w:sz w:val="20"/>
          <w:szCs w:val="20"/>
        </w:rPr>
        <w:t xml:space="preserve"> </w:t>
      </w:r>
      <w:r w:rsidR="002F24E1" w:rsidRPr="00B004EE">
        <w:rPr>
          <w:rFonts w:ascii="Tahoma" w:hAnsi="Tahoma" w:cs="Tahoma"/>
          <w:sz w:val="20"/>
          <w:szCs w:val="20"/>
        </w:rPr>
        <w:t>délai</w:t>
      </w:r>
      <w:r w:rsidR="00DB1635" w:rsidRPr="00B004EE">
        <w:rPr>
          <w:rFonts w:ascii="Tahoma" w:hAnsi="Tahoma" w:cs="Tahoma"/>
          <w:sz w:val="20"/>
          <w:szCs w:val="20"/>
        </w:rPr>
        <w:t xml:space="preserve"> </w:t>
      </w:r>
      <w:r w:rsidR="002F24E1" w:rsidRPr="00B004EE">
        <w:rPr>
          <w:rFonts w:ascii="Tahoma" w:hAnsi="Tahoma" w:cs="Tahoma"/>
          <w:sz w:val="20"/>
          <w:szCs w:val="20"/>
        </w:rPr>
        <w:t>à</w:t>
      </w:r>
      <w:r w:rsidR="00DB1635" w:rsidRPr="00B004EE">
        <w:rPr>
          <w:rFonts w:ascii="Tahoma" w:hAnsi="Tahoma" w:cs="Tahoma"/>
          <w:sz w:val="20"/>
          <w:szCs w:val="20"/>
        </w:rPr>
        <w:t xml:space="preserve"> </w:t>
      </w:r>
      <w:r w:rsidR="002F24E1" w:rsidRPr="00B004EE">
        <w:rPr>
          <w:rFonts w:ascii="Tahoma" w:hAnsi="Tahoma" w:cs="Tahoma"/>
          <w:sz w:val="20"/>
          <w:szCs w:val="20"/>
        </w:rPr>
        <w:t>partir</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matières</w:t>
      </w:r>
      <w:r w:rsidR="00DB1635" w:rsidRPr="00B004EE">
        <w:rPr>
          <w:rFonts w:ascii="Tahoma" w:hAnsi="Tahoma" w:cs="Tahoma"/>
          <w:sz w:val="20"/>
          <w:szCs w:val="20"/>
        </w:rPr>
        <w:t xml:space="preserve"> </w:t>
      </w:r>
      <w:r w:rsidR="002F24E1" w:rsidRPr="00B004EE">
        <w:rPr>
          <w:rFonts w:ascii="Tahoma" w:hAnsi="Tahoma" w:cs="Tahoma"/>
          <w:sz w:val="20"/>
          <w:szCs w:val="20"/>
        </w:rPr>
        <w:t>premières</w:t>
      </w:r>
      <w:r w:rsidR="00DB1635" w:rsidRPr="00B004EE">
        <w:rPr>
          <w:rFonts w:ascii="Tahoma" w:hAnsi="Tahoma" w:cs="Tahoma"/>
          <w:sz w:val="20"/>
          <w:szCs w:val="20"/>
        </w:rPr>
        <w:t xml:space="preserve"> </w:t>
      </w:r>
      <w:r w:rsidR="002F24E1" w:rsidRPr="00B004EE">
        <w:rPr>
          <w:rFonts w:ascii="Tahoma" w:hAnsi="Tahoma" w:cs="Tahoma"/>
          <w:sz w:val="20"/>
          <w:szCs w:val="20"/>
        </w:rPr>
        <w:t>exemptes</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viscères</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lavées</w:t>
      </w:r>
      <w:r w:rsidR="00DB1635" w:rsidRPr="00B004EE">
        <w:rPr>
          <w:rFonts w:ascii="Tahoma" w:hAnsi="Tahoma" w:cs="Tahoma"/>
          <w:sz w:val="20"/>
          <w:szCs w:val="20"/>
        </w:rPr>
        <w:t xml:space="preserve"> </w:t>
      </w:r>
      <w:r w:rsidR="002F24E1" w:rsidRPr="00B004EE">
        <w:rPr>
          <w:rFonts w:ascii="Tahoma" w:hAnsi="Tahoma" w:cs="Tahoma"/>
          <w:sz w:val="20"/>
          <w:szCs w:val="20"/>
        </w:rPr>
        <w:t>au</w:t>
      </w:r>
      <w:r w:rsidR="00DB1635" w:rsidRPr="00B004EE">
        <w:rPr>
          <w:rFonts w:ascii="Tahoma" w:hAnsi="Tahoma" w:cs="Tahoma"/>
          <w:sz w:val="20"/>
          <w:szCs w:val="20"/>
        </w:rPr>
        <w:t xml:space="preserve"> </w:t>
      </w:r>
      <w:r w:rsidR="002F24E1" w:rsidRPr="00B004EE">
        <w:rPr>
          <w:rFonts w:ascii="Tahoma" w:hAnsi="Tahoma" w:cs="Tahoma"/>
          <w:sz w:val="20"/>
          <w:szCs w:val="20"/>
        </w:rPr>
        <w:t>préalable,</w:t>
      </w:r>
      <w:r w:rsidR="00DB1635" w:rsidRPr="00B004EE">
        <w:rPr>
          <w:rFonts w:ascii="Tahoma" w:hAnsi="Tahoma" w:cs="Tahoma"/>
          <w:sz w:val="20"/>
          <w:szCs w:val="20"/>
        </w:rPr>
        <w:t xml:space="preserve"> </w:t>
      </w:r>
      <w:r w:rsidR="002F24E1" w:rsidRPr="00B004EE">
        <w:rPr>
          <w:rFonts w:ascii="Tahoma" w:hAnsi="Tahoma" w:cs="Tahoma"/>
          <w:sz w:val="20"/>
          <w:szCs w:val="20"/>
        </w:rPr>
        <w:t>à</w:t>
      </w:r>
      <w:r w:rsidR="00DB1635" w:rsidRPr="00B004EE">
        <w:rPr>
          <w:rFonts w:ascii="Tahoma" w:hAnsi="Tahoma" w:cs="Tahoma"/>
          <w:sz w:val="20"/>
          <w:szCs w:val="20"/>
        </w:rPr>
        <w:t xml:space="preserve"> </w:t>
      </w:r>
      <w:r w:rsidR="002F24E1" w:rsidRPr="00B004EE">
        <w:rPr>
          <w:rFonts w:ascii="Tahoma" w:hAnsi="Tahoma" w:cs="Tahoma"/>
          <w:sz w:val="20"/>
          <w:szCs w:val="20"/>
        </w:rPr>
        <w:t>l'aide</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machines</w:t>
      </w:r>
      <w:r w:rsidR="00DB1635" w:rsidRPr="00B004EE">
        <w:rPr>
          <w:rFonts w:ascii="Tahoma" w:hAnsi="Tahoma" w:cs="Tahoma"/>
          <w:sz w:val="20"/>
          <w:szCs w:val="20"/>
        </w:rPr>
        <w:t xml:space="preserve"> </w:t>
      </w:r>
      <w:r w:rsidR="002F24E1" w:rsidRPr="00B004EE">
        <w:rPr>
          <w:rFonts w:ascii="Tahoma" w:hAnsi="Tahoma" w:cs="Tahoma"/>
          <w:sz w:val="20"/>
          <w:szCs w:val="20"/>
        </w:rPr>
        <w:t>qui</w:t>
      </w:r>
      <w:r w:rsidR="00DB1635" w:rsidRPr="00B004EE">
        <w:rPr>
          <w:rFonts w:ascii="Tahoma" w:hAnsi="Tahoma" w:cs="Tahoma"/>
          <w:sz w:val="20"/>
          <w:szCs w:val="20"/>
        </w:rPr>
        <w:t xml:space="preserve"> </w:t>
      </w:r>
      <w:r w:rsidR="002F24E1" w:rsidRPr="00B004EE">
        <w:rPr>
          <w:rFonts w:ascii="Tahoma" w:hAnsi="Tahoma" w:cs="Tahoma"/>
          <w:sz w:val="20"/>
          <w:szCs w:val="20"/>
        </w:rPr>
        <w:t>doivent</w:t>
      </w:r>
      <w:r w:rsidR="00DB1635" w:rsidRPr="00B004EE">
        <w:rPr>
          <w:rFonts w:ascii="Tahoma" w:hAnsi="Tahoma" w:cs="Tahoma"/>
          <w:sz w:val="20"/>
          <w:szCs w:val="20"/>
        </w:rPr>
        <w:t xml:space="preserve"> </w:t>
      </w:r>
      <w:r w:rsidR="002F24E1" w:rsidRPr="00B004EE">
        <w:rPr>
          <w:rFonts w:ascii="Tahoma" w:hAnsi="Tahoma" w:cs="Tahoma"/>
          <w:sz w:val="20"/>
          <w:szCs w:val="20"/>
        </w:rPr>
        <w:t>être</w:t>
      </w:r>
      <w:r w:rsidR="00DB1635" w:rsidRPr="00B004EE">
        <w:rPr>
          <w:rFonts w:ascii="Tahoma" w:hAnsi="Tahoma" w:cs="Tahoma"/>
          <w:sz w:val="20"/>
          <w:szCs w:val="20"/>
        </w:rPr>
        <w:t xml:space="preserve"> </w:t>
      </w:r>
      <w:r w:rsidR="002F24E1" w:rsidRPr="00B004EE">
        <w:rPr>
          <w:rFonts w:ascii="Tahoma" w:hAnsi="Tahoma" w:cs="Tahoma"/>
          <w:sz w:val="20"/>
          <w:szCs w:val="20"/>
        </w:rPr>
        <w:t>nettoyées</w:t>
      </w:r>
      <w:r w:rsidR="00DB1635" w:rsidRPr="00B004EE">
        <w:rPr>
          <w:rFonts w:ascii="Tahoma" w:hAnsi="Tahoma" w:cs="Tahoma"/>
          <w:sz w:val="20"/>
          <w:szCs w:val="20"/>
        </w:rPr>
        <w:t xml:space="preserve"> </w:t>
      </w:r>
      <w:r w:rsidR="002F24E1" w:rsidRPr="00B004EE">
        <w:rPr>
          <w:rFonts w:ascii="Tahoma" w:hAnsi="Tahoma" w:cs="Tahoma"/>
          <w:sz w:val="20"/>
          <w:szCs w:val="20"/>
        </w:rPr>
        <w:t>au</w:t>
      </w:r>
      <w:r w:rsidR="00DB1635" w:rsidRPr="00B004EE">
        <w:rPr>
          <w:rFonts w:ascii="Tahoma" w:hAnsi="Tahoma" w:cs="Tahoma"/>
          <w:sz w:val="20"/>
          <w:szCs w:val="20"/>
        </w:rPr>
        <w:t xml:space="preserve"> </w:t>
      </w:r>
      <w:r w:rsidR="002F24E1" w:rsidRPr="00B004EE">
        <w:rPr>
          <w:rFonts w:ascii="Tahoma" w:hAnsi="Tahoma" w:cs="Tahoma"/>
          <w:sz w:val="20"/>
          <w:szCs w:val="20"/>
        </w:rPr>
        <w:t>moins</w:t>
      </w:r>
      <w:r w:rsidR="00DB1635" w:rsidRPr="00B004EE">
        <w:rPr>
          <w:rFonts w:ascii="Tahoma" w:hAnsi="Tahoma" w:cs="Tahoma"/>
          <w:sz w:val="20"/>
          <w:szCs w:val="20"/>
        </w:rPr>
        <w:t xml:space="preserve"> </w:t>
      </w:r>
      <w:r w:rsidR="002F24E1" w:rsidRPr="00B004EE">
        <w:rPr>
          <w:rFonts w:ascii="Tahoma" w:hAnsi="Tahoma" w:cs="Tahoma"/>
          <w:sz w:val="20"/>
          <w:szCs w:val="20"/>
        </w:rPr>
        <w:t>toutes</w:t>
      </w:r>
      <w:r w:rsidR="00DB1635" w:rsidRPr="00B004EE">
        <w:rPr>
          <w:rFonts w:ascii="Tahoma" w:hAnsi="Tahoma" w:cs="Tahoma"/>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2F24E1" w:rsidRPr="00B004EE">
        <w:rPr>
          <w:rFonts w:ascii="Tahoma" w:hAnsi="Tahoma" w:cs="Tahoma"/>
          <w:sz w:val="20"/>
          <w:szCs w:val="20"/>
        </w:rPr>
        <w:t>deux</w:t>
      </w:r>
      <w:r w:rsidR="00DB1635" w:rsidRPr="00B004EE">
        <w:rPr>
          <w:rFonts w:ascii="Tahoma" w:hAnsi="Tahoma" w:cs="Tahoma"/>
          <w:sz w:val="20"/>
          <w:szCs w:val="20"/>
        </w:rPr>
        <w:t xml:space="preserve"> </w:t>
      </w:r>
      <w:r w:rsidR="002F24E1" w:rsidRPr="00B004EE">
        <w:rPr>
          <w:rFonts w:ascii="Tahoma" w:hAnsi="Tahoma" w:cs="Tahoma"/>
          <w:sz w:val="20"/>
          <w:szCs w:val="20"/>
        </w:rPr>
        <w:t>heures.</w:t>
      </w:r>
      <w:r w:rsidR="00DB1635" w:rsidRPr="00B004EE">
        <w:rPr>
          <w:rFonts w:ascii="Tahoma" w:hAnsi="Tahoma" w:cs="Tahoma"/>
          <w:sz w:val="20"/>
          <w:szCs w:val="20"/>
        </w:rPr>
        <w:t xml:space="preserve"> </w:t>
      </w:r>
      <w:r w:rsidR="002F24E1" w:rsidRPr="00B004EE">
        <w:rPr>
          <w:rFonts w:ascii="Tahoma" w:hAnsi="Tahoma" w:cs="Tahoma"/>
          <w:sz w:val="20"/>
          <w:szCs w:val="20"/>
        </w:rPr>
        <w:t>Après</w:t>
      </w:r>
      <w:r w:rsidR="00DB1635" w:rsidRPr="00B004EE">
        <w:rPr>
          <w:rFonts w:ascii="Tahoma" w:hAnsi="Tahoma" w:cs="Tahoma"/>
          <w:sz w:val="20"/>
          <w:szCs w:val="20"/>
        </w:rPr>
        <w:t xml:space="preserve"> </w:t>
      </w:r>
      <w:r w:rsidR="002F24E1" w:rsidRPr="00B004EE">
        <w:rPr>
          <w:rFonts w:ascii="Tahoma" w:hAnsi="Tahoma" w:cs="Tahoma"/>
          <w:sz w:val="20"/>
          <w:szCs w:val="20"/>
        </w:rPr>
        <w:t>sa</w:t>
      </w:r>
      <w:r w:rsidR="00DB1635" w:rsidRPr="00B004EE">
        <w:rPr>
          <w:rFonts w:ascii="Tahoma" w:hAnsi="Tahoma" w:cs="Tahoma"/>
          <w:sz w:val="20"/>
          <w:szCs w:val="20"/>
        </w:rPr>
        <w:t xml:space="preserve"> </w:t>
      </w:r>
      <w:r w:rsidR="002F24E1" w:rsidRPr="00B004EE">
        <w:rPr>
          <w:rFonts w:ascii="Tahoma" w:hAnsi="Tahoma" w:cs="Tahoma"/>
          <w:sz w:val="20"/>
          <w:szCs w:val="20"/>
        </w:rPr>
        <w:t>fabrication,</w:t>
      </w:r>
      <w:r w:rsidR="00DB1635" w:rsidRPr="00B004EE">
        <w:rPr>
          <w:rFonts w:ascii="Tahoma" w:hAnsi="Tahoma" w:cs="Tahoma"/>
          <w:sz w:val="20"/>
          <w:szCs w:val="20"/>
        </w:rPr>
        <w:t xml:space="preserve"> </w:t>
      </w:r>
      <w:r w:rsidR="002F24E1" w:rsidRPr="00B004EE">
        <w:rPr>
          <w:rFonts w:ascii="Tahoma" w:hAnsi="Tahoma" w:cs="Tahoma"/>
          <w:sz w:val="20"/>
          <w:szCs w:val="20"/>
        </w:rPr>
        <w:t>elle</w:t>
      </w:r>
      <w:r w:rsidR="00DB1635" w:rsidRPr="00B004EE">
        <w:rPr>
          <w:rFonts w:ascii="Tahoma" w:hAnsi="Tahoma" w:cs="Tahoma"/>
          <w:sz w:val="20"/>
          <w:szCs w:val="20"/>
        </w:rPr>
        <w:t xml:space="preserve"> </w:t>
      </w:r>
      <w:r w:rsidR="002F24E1" w:rsidRPr="00B004EE">
        <w:rPr>
          <w:rFonts w:ascii="Tahoma" w:hAnsi="Tahoma" w:cs="Tahoma"/>
          <w:sz w:val="20"/>
          <w:szCs w:val="20"/>
        </w:rPr>
        <w:t>est</w:t>
      </w:r>
      <w:r w:rsidR="00DB1635" w:rsidRPr="00B004EE">
        <w:rPr>
          <w:rFonts w:ascii="Tahoma" w:hAnsi="Tahoma" w:cs="Tahoma"/>
          <w:sz w:val="20"/>
          <w:szCs w:val="20"/>
        </w:rPr>
        <w:t xml:space="preserve"> </w:t>
      </w:r>
      <w:r w:rsidR="002F24E1" w:rsidRPr="00B004EE">
        <w:rPr>
          <w:rFonts w:ascii="Tahoma" w:hAnsi="Tahoma" w:cs="Tahoma"/>
          <w:sz w:val="20"/>
          <w:szCs w:val="20"/>
        </w:rPr>
        <w:t>immédiatement</w:t>
      </w:r>
      <w:r w:rsidR="00DB1635" w:rsidRPr="00B004EE">
        <w:rPr>
          <w:rFonts w:ascii="Tahoma" w:hAnsi="Tahoma" w:cs="Tahoma"/>
          <w:sz w:val="20"/>
          <w:szCs w:val="20"/>
        </w:rPr>
        <w:t xml:space="preserve"> </w:t>
      </w:r>
      <w:r w:rsidR="002F24E1" w:rsidRPr="00B004EE">
        <w:rPr>
          <w:rFonts w:ascii="Tahoma" w:hAnsi="Tahoma" w:cs="Tahoma"/>
          <w:sz w:val="20"/>
          <w:szCs w:val="20"/>
        </w:rPr>
        <w:t>congelée,</w:t>
      </w:r>
      <w:r w:rsidR="00DB1635" w:rsidRPr="00B004EE">
        <w:rPr>
          <w:rFonts w:ascii="Tahoma" w:hAnsi="Tahoma" w:cs="Tahoma"/>
          <w:sz w:val="20"/>
          <w:szCs w:val="20"/>
        </w:rPr>
        <w:t xml:space="preserve"> </w:t>
      </w:r>
      <w:r w:rsidR="002F24E1" w:rsidRPr="00B004EE">
        <w:rPr>
          <w:rFonts w:ascii="Tahoma" w:hAnsi="Tahoma" w:cs="Tahoma"/>
          <w:sz w:val="20"/>
          <w:szCs w:val="20"/>
        </w:rPr>
        <w:t>ou</w:t>
      </w:r>
      <w:r w:rsidR="00DB1635" w:rsidRPr="00B004EE">
        <w:rPr>
          <w:rFonts w:ascii="Tahoma" w:hAnsi="Tahoma" w:cs="Tahoma"/>
          <w:sz w:val="20"/>
          <w:szCs w:val="20"/>
        </w:rPr>
        <w:t xml:space="preserve"> </w:t>
      </w:r>
      <w:r w:rsidR="002F24E1" w:rsidRPr="00B004EE">
        <w:rPr>
          <w:rFonts w:ascii="Tahoma" w:hAnsi="Tahoma" w:cs="Tahoma"/>
          <w:sz w:val="20"/>
          <w:szCs w:val="20"/>
        </w:rPr>
        <w:t>raffinée</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congelée,</w:t>
      </w:r>
      <w:r w:rsidR="00DB1635" w:rsidRPr="00B004EE">
        <w:rPr>
          <w:rFonts w:ascii="Tahoma" w:hAnsi="Tahoma" w:cs="Tahoma"/>
          <w:sz w:val="20"/>
          <w:szCs w:val="20"/>
        </w:rPr>
        <w:t xml:space="preserve"> </w:t>
      </w:r>
      <w:r w:rsidR="002F24E1" w:rsidRPr="00B004EE">
        <w:rPr>
          <w:rFonts w:ascii="Tahoma" w:hAnsi="Tahoma" w:cs="Tahoma"/>
          <w:sz w:val="20"/>
          <w:szCs w:val="20"/>
        </w:rPr>
        <w:t>ou</w:t>
      </w:r>
      <w:r w:rsidR="00DB1635" w:rsidRPr="00B004EE">
        <w:rPr>
          <w:rFonts w:ascii="Tahoma" w:hAnsi="Tahoma" w:cs="Tahoma"/>
          <w:sz w:val="20"/>
          <w:szCs w:val="20"/>
        </w:rPr>
        <w:t xml:space="preserve"> </w:t>
      </w:r>
      <w:r w:rsidR="002F24E1" w:rsidRPr="00B004EE">
        <w:rPr>
          <w:rFonts w:ascii="Tahoma" w:hAnsi="Tahoma" w:cs="Tahoma"/>
          <w:sz w:val="20"/>
          <w:szCs w:val="20"/>
        </w:rPr>
        <w:t>incorporée</w:t>
      </w:r>
      <w:r w:rsidR="00DB1635" w:rsidRPr="00B004EE">
        <w:rPr>
          <w:rFonts w:ascii="Tahoma" w:hAnsi="Tahoma" w:cs="Tahoma"/>
          <w:sz w:val="20"/>
          <w:szCs w:val="20"/>
        </w:rPr>
        <w:t xml:space="preserve"> </w:t>
      </w:r>
      <w:r w:rsidR="002F24E1" w:rsidRPr="00B004EE">
        <w:rPr>
          <w:rFonts w:ascii="Tahoma" w:hAnsi="Tahoma" w:cs="Tahoma"/>
          <w:sz w:val="20"/>
          <w:szCs w:val="20"/>
        </w:rPr>
        <w:t>dans</w:t>
      </w:r>
      <w:r w:rsidR="00DB1635" w:rsidRPr="00B004EE">
        <w:rPr>
          <w:rFonts w:ascii="Tahoma" w:hAnsi="Tahoma" w:cs="Tahoma"/>
          <w:sz w:val="20"/>
          <w:szCs w:val="20"/>
        </w:rPr>
        <w:t xml:space="preserve"> </w:t>
      </w:r>
      <w:r w:rsidR="002F24E1" w:rsidRPr="00B004EE">
        <w:rPr>
          <w:rFonts w:ascii="Tahoma" w:hAnsi="Tahoma" w:cs="Tahoma"/>
          <w:sz w:val="20"/>
          <w:szCs w:val="20"/>
        </w:rPr>
        <w:t>un</w:t>
      </w:r>
      <w:r w:rsidR="00DB1635" w:rsidRPr="00B004EE">
        <w:rPr>
          <w:rFonts w:ascii="Tahoma" w:hAnsi="Tahoma" w:cs="Tahoma"/>
          <w:sz w:val="20"/>
          <w:szCs w:val="20"/>
        </w:rPr>
        <w:t xml:space="preserve"> </w:t>
      </w:r>
      <w:r w:rsidR="002F24E1" w:rsidRPr="00B004EE">
        <w:rPr>
          <w:rFonts w:ascii="Tahoma" w:hAnsi="Tahoma" w:cs="Tahoma"/>
          <w:sz w:val="20"/>
          <w:szCs w:val="20"/>
        </w:rPr>
        <w:t>produit</w:t>
      </w:r>
      <w:r w:rsidR="00DB1635" w:rsidRPr="00B004EE">
        <w:rPr>
          <w:rFonts w:ascii="Tahoma" w:hAnsi="Tahoma" w:cs="Tahoma"/>
          <w:sz w:val="20"/>
          <w:szCs w:val="20"/>
        </w:rPr>
        <w:t xml:space="preserve"> </w:t>
      </w:r>
      <w:r w:rsidR="002F24E1" w:rsidRPr="00B004EE">
        <w:rPr>
          <w:rFonts w:ascii="Tahoma" w:hAnsi="Tahoma" w:cs="Tahoma"/>
          <w:sz w:val="20"/>
          <w:szCs w:val="20"/>
        </w:rPr>
        <w:t>destiné</w:t>
      </w:r>
      <w:r w:rsidR="00DB1635" w:rsidRPr="00B004EE">
        <w:rPr>
          <w:rFonts w:ascii="Tahoma" w:hAnsi="Tahoma" w:cs="Tahoma"/>
          <w:sz w:val="20"/>
          <w:szCs w:val="20"/>
        </w:rPr>
        <w:t xml:space="preserve"> </w:t>
      </w:r>
      <w:r w:rsidR="002F24E1" w:rsidRPr="00B004EE">
        <w:rPr>
          <w:rFonts w:ascii="Tahoma" w:hAnsi="Tahoma" w:cs="Tahoma"/>
          <w:sz w:val="20"/>
          <w:szCs w:val="20"/>
        </w:rPr>
        <w:t>à</w:t>
      </w:r>
      <w:r w:rsidR="00DB1635" w:rsidRPr="00B004EE">
        <w:rPr>
          <w:rFonts w:ascii="Tahoma" w:hAnsi="Tahoma" w:cs="Tahoma"/>
          <w:sz w:val="20"/>
          <w:szCs w:val="20"/>
        </w:rPr>
        <w:t xml:space="preserve"> </w:t>
      </w:r>
      <w:r w:rsidR="002F24E1" w:rsidRPr="00B004EE">
        <w:rPr>
          <w:rFonts w:ascii="Tahoma" w:hAnsi="Tahoma" w:cs="Tahoma"/>
          <w:sz w:val="20"/>
          <w:szCs w:val="20"/>
        </w:rPr>
        <w:t>la</w:t>
      </w:r>
      <w:r w:rsidR="00DB1635" w:rsidRPr="00B004EE">
        <w:rPr>
          <w:rFonts w:ascii="Tahoma" w:hAnsi="Tahoma" w:cs="Tahoma"/>
          <w:sz w:val="20"/>
          <w:szCs w:val="20"/>
        </w:rPr>
        <w:t xml:space="preserve"> </w:t>
      </w:r>
      <w:r w:rsidR="002F24E1" w:rsidRPr="00B004EE">
        <w:rPr>
          <w:rFonts w:ascii="Tahoma" w:hAnsi="Tahoma" w:cs="Tahoma"/>
          <w:sz w:val="20"/>
          <w:szCs w:val="20"/>
        </w:rPr>
        <w:t>congélation</w:t>
      </w:r>
      <w:r w:rsidR="00DB1635" w:rsidRPr="00B004EE">
        <w:rPr>
          <w:rFonts w:ascii="Tahoma" w:hAnsi="Tahoma" w:cs="Tahoma"/>
          <w:sz w:val="20"/>
          <w:szCs w:val="20"/>
        </w:rPr>
        <w:t xml:space="preserve"> </w:t>
      </w:r>
      <w:r w:rsidR="002F24E1" w:rsidRPr="00B004EE">
        <w:rPr>
          <w:rFonts w:ascii="Tahoma" w:hAnsi="Tahoma" w:cs="Tahoma"/>
          <w:sz w:val="20"/>
          <w:szCs w:val="20"/>
        </w:rPr>
        <w:t>ou</w:t>
      </w:r>
      <w:r w:rsidR="00DB1635" w:rsidRPr="00B004EE">
        <w:rPr>
          <w:rFonts w:ascii="Tahoma" w:hAnsi="Tahoma" w:cs="Tahoma"/>
          <w:sz w:val="20"/>
          <w:szCs w:val="20"/>
        </w:rPr>
        <w:t xml:space="preserve"> </w:t>
      </w:r>
      <w:r w:rsidR="002F24E1" w:rsidRPr="00B004EE">
        <w:rPr>
          <w:rFonts w:ascii="Tahoma" w:hAnsi="Tahoma" w:cs="Tahoma"/>
          <w:sz w:val="20"/>
          <w:szCs w:val="20"/>
        </w:rPr>
        <w:t>à</w:t>
      </w:r>
      <w:r w:rsidR="00DB1635" w:rsidRPr="00B004EE">
        <w:rPr>
          <w:rFonts w:ascii="Tahoma" w:hAnsi="Tahoma" w:cs="Tahoma"/>
          <w:sz w:val="20"/>
          <w:szCs w:val="20"/>
        </w:rPr>
        <w:t xml:space="preserve"> </w:t>
      </w:r>
      <w:r w:rsidR="002F24E1" w:rsidRPr="00B004EE">
        <w:rPr>
          <w:rFonts w:ascii="Tahoma" w:hAnsi="Tahoma" w:cs="Tahoma"/>
          <w:sz w:val="20"/>
          <w:szCs w:val="20"/>
        </w:rPr>
        <w:t>un</w:t>
      </w:r>
      <w:r w:rsidR="00DB1635" w:rsidRPr="00B004EE">
        <w:rPr>
          <w:rFonts w:ascii="Tahoma" w:hAnsi="Tahoma" w:cs="Tahoma"/>
          <w:sz w:val="20"/>
          <w:szCs w:val="20"/>
        </w:rPr>
        <w:t xml:space="preserve"> </w:t>
      </w:r>
      <w:r w:rsidR="002F24E1" w:rsidRPr="00B004EE">
        <w:rPr>
          <w:rFonts w:ascii="Tahoma" w:hAnsi="Tahoma" w:cs="Tahoma"/>
          <w:sz w:val="20"/>
          <w:szCs w:val="20"/>
        </w:rPr>
        <w:t>traitement</w:t>
      </w:r>
      <w:r w:rsidR="00DB1635" w:rsidRPr="00B004EE">
        <w:rPr>
          <w:rFonts w:ascii="Tahoma" w:hAnsi="Tahoma" w:cs="Tahoma"/>
          <w:sz w:val="20"/>
          <w:szCs w:val="20"/>
        </w:rPr>
        <w:t xml:space="preserve"> </w:t>
      </w:r>
      <w:r w:rsidR="002F24E1" w:rsidRPr="00B004EE">
        <w:rPr>
          <w:rFonts w:ascii="Tahoma" w:hAnsi="Tahoma" w:cs="Tahoma"/>
          <w:sz w:val="20"/>
          <w:szCs w:val="20"/>
        </w:rPr>
        <w:t>stabilisateur.</w:t>
      </w:r>
    </w:p>
    <w:p w14:paraId="567946AB" w14:textId="77777777" w:rsidR="002F24E1" w:rsidRPr="00B004EE" w:rsidRDefault="002F24E1" w:rsidP="00B004EE">
      <w:pPr>
        <w:jc w:val="both"/>
        <w:rPr>
          <w:rFonts w:ascii="Tahoma" w:hAnsi="Tahoma" w:cs="Tahoma"/>
          <w:sz w:val="20"/>
          <w:szCs w:val="20"/>
        </w:rPr>
      </w:pPr>
    </w:p>
    <w:p w14:paraId="0598FAEC" w14:textId="6E6D1C6B" w:rsidR="002F24E1" w:rsidRPr="00B004EE" w:rsidRDefault="00AD7D88" w:rsidP="00B004EE">
      <w:pPr>
        <w:jc w:val="both"/>
        <w:rPr>
          <w:rFonts w:ascii="Tahoma" w:hAnsi="Tahoma" w:cs="Tahoma"/>
          <w:sz w:val="20"/>
          <w:szCs w:val="20"/>
        </w:rPr>
      </w:pPr>
      <w:r w:rsidRPr="00B004EE">
        <w:rPr>
          <w:rFonts w:ascii="Tahoma" w:hAnsi="Tahoma" w:cs="Tahoma"/>
          <w:bCs/>
          <w:sz w:val="20"/>
          <w:szCs w:val="20"/>
        </w:rPr>
        <w:t xml:space="preserve">Article </w:t>
      </w:r>
      <w:r w:rsidR="002F24E1" w:rsidRPr="00B004EE">
        <w:rPr>
          <w:rFonts w:ascii="Tahoma" w:hAnsi="Tahoma" w:cs="Tahoma"/>
          <w:bCs/>
          <w:sz w:val="20"/>
          <w:szCs w:val="20"/>
        </w:rPr>
        <w:t>33</w:t>
      </w:r>
      <w:r w:rsidR="00DB1635" w:rsidRPr="00B004EE">
        <w:rPr>
          <w:rFonts w:ascii="Tahoma" w:hAnsi="Tahoma" w:cs="Tahoma"/>
          <w:b/>
          <w:sz w:val="20"/>
          <w:szCs w:val="20"/>
        </w:rPr>
        <w:t xml:space="preserve"> </w:t>
      </w:r>
      <w:r w:rsidR="002F24E1" w:rsidRPr="00B004EE">
        <w:rPr>
          <w:rFonts w:ascii="Tahoma" w:hAnsi="Tahoma" w:cs="Tahoma"/>
          <w:b/>
          <w:sz w:val="20"/>
          <w:szCs w:val="20"/>
        </w:rPr>
        <w:t>:</w:t>
      </w:r>
      <w:r w:rsidR="00DB1635" w:rsidRPr="00B004EE">
        <w:rPr>
          <w:rFonts w:ascii="Tahoma" w:hAnsi="Tahoma" w:cs="Tahoma"/>
          <w:b/>
          <w:sz w:val="20"/>
          <w:szCs w:val="20"/>
        </w:rPr>
        <w:t xml:space="preserve"> </w:t>
      </w:r>
      <w:r w:rsidR="002F24E1" w:rsidRPr="00B004EE">
        <w:rPr>
          <w:rFonts w:ascii="Tahoma" w:hAnsi="Tahoma" w:cs="Tahoma"/>
          <w:sz w:val="20"/>
          <w:szCs w:val="20"/>
        </w:rPr>
        <w:t>Le</w:t>
      </w:r>
      <w:r w:rsidR="00DB1635" w:rsidRPr="00B004EE">
        <w:rPr>
          <w:rFonts w:ascii="Tahoma" w:hAnsi="Tahoma" w:cs="Tahoma"/>
          <w:sz w:val="20"/>
          <w:szCs w:val="20"/>
        </w:rPr>
        <w:t xml:space="preserve"> </w:t>
      </w:r>
      <w:r w:rsidR="002F24E1" w:rsidRPr="00B004EE">
        <w:rPr>
          <w:rFonts w:ascii="Tahoma" w:hAnsi="Tahoma" w:cs="Tahoma"/>
          <w:sz w:val="20"/>
          <w:szCs w:val="20"/>
        </w:rPr>
        <w:t>conditionnement</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l'emballage</w:t>
      </w:r>
      <w:r w:rsidR="00DB1635" w:rsidRPr="00B004EE">
        <w:rPr>
          <w:rFonts w:ascii="Tahoma" w:hAnsi="Tahoma" w:cs="Tahoma"/>
          <w:sz w:val="20"/>
          <w:szCs w:val="20"/>
        </w:rPr>
        <w:t xml:space="preserve"> </w:t>
      </w:r>
      <w:r w:rsidR="002F24E1" w:rsidRPr="00B004EE">
        <w:rPr>
          <w:rFonts w:ascii="Tahoma" w:hAnsi="Tahoma" w:cs="Tahoma"/>
          <w:sz w:val="20"/>
          <w:szCs w:val="20"/>
        </w:rPr>
        <w:t>des</w:t>
      </w:r>
      <w:r w:rsidR="00DB1635" w:rsidRPr="00B004EE">
        <w:rPr>
          <w:rFonts w:ascii="Tahoma" w:hAnsi="Tahoma" w:cs="Tahoma"/>
          <w:sz w:val="20"/>
          <w:szCs w:val="20"/>
        </w:rPr>
        <w:t xml:space="preserve"> </w:t>
      </w:r>
      <w:r w:rsidR="002F24E1" w:rsidRPr="00B004EE">
        <w:rPr>
          <w:rFonts w:ascii="Tahoma" w:hAnsi="Tahoma" w:cs="Tahoma"/>
          <w:sz w:val="20"/>
          <w:szCs w:val="20"/>
        </w:rPr>
        <w:t>produits</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la</w:t>
      </w:r>
      <w:r w:rsidR="00DB1635" w:rsidRPr="00B004EE">
        <w:rPr>
          <w:rFonts w:ascii="Tahoma" w:hAnsi="Tahoma" w:cs="Tahoma"/>
          <w:sz w:val="20"/>
          <w:szCs w:val="20"/>
        </w:rPr>
        <w:t xml:space="preserve"> </w:t>
      </w:r>
      <w:r w:rsidR="002F24E1" w:rsidRPr="00B004EE">
        <w:rPr>
          <w:rFonts w:ascii="Tahoma" w:hAnsi="Tahoma" w:cs="Tahoma"/>
          <w:sz w:val="20"/>
          <w:szCs w:val="20"/>
        </w:rPr>
        <w:t>pêche</w:t>
      </w:r>
      <w:r w:rsidR="00DB1635" w:rsidRPr="00B004EE">
        <w:rPr>
          <w:rFonts w:ascii="Tahoma" w:hAnsi="Tahoma" w:cs="Tahoma"/>
          <w:sz w:val="20"/>
          <w:szCs w:val="20"/>
        </w:rPr>
        <w:t xml:space="preserve"> </w:t>
      </w:r>
      <w:r w:rsidR="002F24E1" w:rsidRPr="00B004EE">
        <w:rPr>
          <w:rFonts w:ascii="Tahoma" w:hAnsi="Tahoma" w:cs="Tahoma"/>
          <w:sz w:val="20"/>
          <w:szCs w:val="20"/>
        </w:rPr>
        <w:t>doivent</w:t>
      </w:r>
      <w:r w:rsidR="00DB1635" w:rsidRPr="00B004EE">
        <w:rPr>
          <w:rFonts w:ascii="Tahoma" w:hAnsi="Tahoma" w:cs="Tahoma"/>
          <w:sz w:val="20"/>
          <w:szCs w:val="20"/>
        </w:rPr>
        <w:t xml:space="preserve"> </w:t>
      </w:r>
      <w:r w:rsidR="002F24E1" w:rsidRPr="00B004EE">
        <w:rPr>
          <w:rFonts w:ascii="Tahoma" w:hAnsi="Tahoma" w:cs="Tahoma"/>
          <w:sz w:val="20"/>
          <w:szCs w:val="20"/>
        </w:rPr>
        <w:t>s'effectuer</w:t>
      </w:r>
      <w:r w:rsidR="00DB1635" w:rsidRPr="00B004EE">
        <w:rPr>
          <w:rFonts w:ascii="Tahoma" w:hAnsi="Tahoma" w:cs="Tahoma"/>
          <w:sz w:val="20"/>
          <w:szCs w:val="20"/>
        </w:rPr>
        <w:t xml:space="preserve"> </w:t>
      </w:r>
      <w:r w:rsidR="002F24E1" w:rsidRPr="00B004EE">
        <w:rPr>
          <w:rFonts w:ascii="Tahoma" w:hAnsi="Tahoma" w:cs="Tahoma"/>
          <w:sz w:val="20"/>
          <w:szCs w:val="20"/>
        </w:rPr>
        <w:t>dans</w:t>
      </w:r>
      <w:r w:rsidR="00DB1635" w:rsidRPr="00B004EE">
        <w:rPr>
          <w:rFonts w:ascii="Tahoma" w:hAnsi="Tahoma" w:cs="Tahoma"/>
          <w:sz w:val="20"/>
          <w:szCs w:val="20"/>
        </w:rPr>
        <w:t xml:space="preserve"> </w:t>
      </w:r>
      <w:r w:rsidR="002F24E1" w:rsidRPr="00B004EE">
        <w:rPr>
          <w:rFonts w:ascii="Tahoma" w:hAnsi="Tahoma" w:cs="Tahoma"/>
          <w:sz w:val="20"/>
          <w:szCs w:val="20"/>
        </w:rPr>
        <w:t>le</w:t>
      </w:r>
      <w:r w:rsidR="00DB1635" w:rsidRPr="00B004EE">
        <w:rPr>
          <w:rFonts w:ascii="Tahoma" w:hAnsi="Tahoma" w:cs="Tahoma"/>
          <w:sz w:val="20"/>
          <w:szCs w:val="20"/>
        </w:rPr>
        <w:t xml:space="preserve"> </w:t>
      </w:r>
      <w:r w:rsidR="002F24E1" w:rsidRPr="00B004EE">
        <w:rPr>
          <w:rFonts w:ascii="Tahoma" w:hAnsi="Tahoma" w:cs="Tahoma"/>
          <w:sz w:val="20"/>
          <w:szCs w:val="20"/>
        </w:rPr>
        <w:t>respect</w:t>
      </w:r>
      <w:r w:rsidR="00DB1635" w:rsidRPr="00B004EE">
        <w:rPr>
          <w:rFonts w:ascii="Tahoma" w:hAnsi="Tahoma" w:cs="Tahoma"/>
          <w:sz w:val="20"/>
          <w:szCs w:val="20"/>
        </w:rPr>
        <w:t xml:space="preserve"> </w:t>
      </w:r>
      <w:r w:rsidR="002F24E1" w:rsidRPr="00B004EE">
        <w:rPr>
          <w:rFonts w:ascii="Tahoma" w:hAnsi="Tahoma" w:cs="Tahoma"/>
          <w:sz w:val="20"/>
          <w:szCs w:val="20"/>
        </w:rPr>
        <w:t>des</w:t>
      </w:r>
      <w:r w:rsidR="00DB1635" w:rsidRPr="00B004EE">
        <w:rPr>
          <w:rFonts w:ascii="Tahoma" w:hAnsi="Tahoma" w:cs="Tahoma"/>
          <w:sz w:val="20"/>
          <w:szCs w:val="20"/>
        </w:rPr>
        <w:t xml:space="preserve"> </w:t>
      </w:r>
      <w:r w:rsidR="002F24E1" w:rsidRPr="00B004EE">
        <w:rPr>
          <w:rFonts w:ascii="Tahoma" w:hAnsi="Tahoma" w:cs="Tahoma"/>
          <w:sz w:val="20"/>
          <w:szCs w:val="20"/>
        </w:rPr>
        <w:t>règles</w:t>
      </w:r>
      <w:r w:rsidR="00DB1635" w:rsidRPr="00B004EE">
        <w:rPr>
          <w:rFonts w:ascii="Tahoma" w:hAnsi="Tahoma" w:cs="Tahoma"/>
          <w:sz w:val="20"/>
          <w:szCs w:val="20"/>
        </w:rPr>
        <w:t xml:space="preserve"> </w:t>
      </w:r>
      <w:r w:rsidR="002F24E1" w:rsidRPr="00B004EE">
        <w:rPr>
          <w:rFonts w:ascii="Tahoma" w:hAnsi="Tahoma" w:cs="Tahoma"/>
          <w:sz w:val="20"/>
          <w:szCs w:val="20"/>
        </w:rPr>
        <w:t>d'hygiènes,</w:t>
      </w:r>
      <w:r w:rsidR="00DB1635" w:rsidRPr="00B004EE">
        <w:rPr>
          <w:rFonts w:ascii="Tahoma" w:hAnsi="Tahoma" w:cs="Tahoma"/>
          <w:sz w:val="20"/>
          <w:szCs w:val="20"/>
        </w:rPr>
        <w:t xml:space="preserve"> </w:t>
      </w:r>
      <w:r w:rsidR="002F24E1" w:rsidRPr="00B004EE">
        <w:rPr>
          <w:rFonts w:ascii="Tahoma" w:hAnsi="Tahoma" w:cs="Tahoma"/>
          <w:sz w:val="20"/>
          <w:szCs w:val="20"/>
        </w:rPr>
        <w:t>notamment</w:t>
      </w:r>
      <w:r w:rsidR="00DB1635" w:rsidRPr="00B004EE">
        <w:rPr>
          <w:rFonts w:ascii="Tahoma" w:hAnsi="Tahoma" w:cs="Tahoma"/>
          <w:sz w:val="20"/>
          <w:szCs w:val="20"/>
        </w:rPr>
        <w:t xml:space="preserve"> </w:t>
      </w:r>
      <w:r w:rsidR="002F24E1" w:rsidRPr="00B004EE">
        <w:rPr>
          <w:rFonts w:ascii="Tahoma" w:hAnsi="Tahoma" w:cs="Tahoma"/>
          <w:sz w:val="20"/>
          <w:szCs w:val="20"/>
        </w:rPr>
        <w:t>celles</w:t>
      </w:r>
      <w:r w:rsidR="00DB1635" w:rsidRPr="00B004EE">
        <w:rPr>
          <w:rFonts w:ascii="Tahoma" w:hAnsi="Tahoma" w:cs="Tahoma"/>
          <w:sz w:val="20"/>
          <w:szCs w:val="20"/>
        </w:rPr>
        <w:t xml:space="preserve"> </w:t>
      </w:r>
      <w:r w:rsidR="002F24E1" w:rsidRPr="00B004EE">
        <w:rPr>
          <w:rFonts w:ascii="Tahoma" w:hAnsi="Tahoma" w:cs="Tahoma"/>
          <w:sz w:val="20"/>
          <w:szCs w:val="20"/>
        </w:rPr>
        <w:t>prévues</w:t>
      </w:r>
      <w:r w:rsidR="00DB1635" w:rsidRPr="00B004EE">
        <w:rPr>
          <w:rFonts w:ascii="Tahoma" w:hAnsi="Tahoma" w:cs="Tahoma"/>
          <w:sz w:val="20"/>
          <w:szCs w:val="20"/>
        </w:rPr>
        <w:t xml:space="preserve"> </w:t>
      </w:r>
      <w:r w:rsidR="002F24E1" w:rsidRPr="00B004EE">
        <w:rPr>
          <w:rFonts w:ascii="Tahoma" w:hAnsi="Tahoma" w:cs="Tahoma"/>
          <w:sz w:val="20"/>
          <w:szCs w:val="20"/>
        </w:rPr>
        <w:t>par</w:t>
      </w:r>
      <w:r w:rsidR="00DB1635" w:rsidRPr="00B004EE">
        <w:rPr>
          <w:rFonts w:ascii="Tahoma" w:hAnsi="Tahoma" w:cs="Tahoma"/>
          <w:sz w:val="20"/>
          <w:szCs w:val="20"/>
        </w:rPr>
        <w:t xml:space="preserve"> </w:t>
      </w:r>
      <w:r w:rsidR="002F24E1" w:rsidRPr="00B004EE">
        <w:rPr>
          <w:rFonts w:ascii="Tahoma" w:hAnsi="Tahoma" w:cs="Tahoma"/>
          <w:sz w:val="20"/>
          <w:szCs w:val="20"/>
        </w:rPr>
        <w:t>l'article</w:t>
      </w:r>
      <w:r w:rsidR="00DB1635" w:rsidRPr="00B004EE">
        <w:rPr>
          <w:rFonts w:ascii="Tahoma" w:hAnsi="Tahoma" w:cs="Tahoma"/>
          <w:sz w:val="20"/>
          <w:szCs w:val="20"/>
        </w:rPr>
        <w:t xml:space="preserve"> </w:t>
      </w:r>
      <w:r w:rsidR="002F24E1" w:rsidRPr="00B004EE">
        <w:rPr>
          <w:rFonts w:ascii="Tahoma" w:hAnsi="Tahoma" w:cs="Tahoma"/>
          <w:sz w:val="20"/>
          <w:szCs w:val="20"/>
        </w:rPr>
        <w:t>12</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l'arrêté</w:t>
      </w:r>
      <w:r w:rsidR="00DB1635" w:rsidRPr="00B004EE">
        <w:rPr>
          <w:rFonts w:ascii="Tahoma" w:hAnsi="Tahoma" w:cs="Tahoma"/>
          <w:sz w:val="20"/>
          <w:szCs w:val="20"/>
        </w:rPr>
        <w:t xml:space="preserve"> </w:t>
      </w:r>
      <w:r w:rsidR="002F24E1" w:rsidRPr="00B004EE">
        <w:rPr>
          <w:rFonts w:ascii="Tahoma" w:hAnsi="Tahoma" w:cs="Tahoma"/>
          <w:sz w:val="20"/>
          <w:szCs w:val="20"/>
        </w:rPr>
        <w:t>N°</w:t>
      </w:r>
      <w:r w:rsidR="00DB1635" w:rsidRPr="00B004EE">
        <w:rPr>
          <w:rFonts w:ascii="Tahoma" w:hAnsi="Tahoma" w:cs="Tahoma"/>
          <w:sz w:val="20"/>
          <w:szCs w:val="20"/>
        </w:rPr>
        <w:t xml:space="preserve"> </w:t>
      </w:r>
      <w:r w:rsidR="002F24E1" w:rsidRPr="00B004EE">
        <w:rPr>
          <w:rFonts w:ascii="Tahoma" w:hAnsi="Tahoma" w:cs="Tahoma"/>
          <w:sz w:val="20"/>
          <w:szCs w:val="20"/>
        </w:rPr>
        <w:t>R</w:t>
      </w:r>
      <w:r w:rsidR="00DB1635" w:rsidRPr="00B004EE">
        <w:rPr>
          <w:rFonts w:ascii="Tahoma" w:hAnsi="Tahoma" w:cs="Tahoma"/>
          <w:sz w:val="20"/>
          <w:szCs w:val="20"/>
        </w:rPr>
        <w:t xml:space="preserve"> </w:t>
      </w:r>
      <w:r w:rsidR="002F24E1" w:rsidRPr="00B004EE">
        <w:rPr>
          <w:rFonts w:ascii="Tahoma" w:hAnsi="Tahoma" w:cs="Tahoma"/>
          <w:sz w:val="20"/>
          <w:szCs w:val="20"/>
        </w:rPr>
        <w:t>123</w:t>
      </w:r>
      <w:r w:rsidR="00DB1635" w:rsidRPr="00B004EE">
        <w:rPr>
          <w:rFonts w:ascii="Tahoma" w:hAnsi="Tahoma" w:cs="Tahoma"/>
          <w:sz w:val="20"/>
          <w:szCs w:val="20"/>
        </w:rPr>
        <w:t xml:space="preserve"> </w:t>
      </w:r>
      <w:r w:rsidR="002F24E1" w:rsidRPr="00B004EE">
        <w:rPr>
          <w:rFonts w:ascii="Tahoma" w:hAnsi="Tahoma" w:cs="Tahoma"/>
          <w:sz w:val="20"/>
          <w:szCs w:val="20"/>
        </w:rPr>
        <w:t>du</w:t>
      </w:r>
      <w:r w:rsidR="00DB1635" w:rsidRPr="00B004EE">
        <w:rPr>
          <w:rFonts w:ascii="Tahoma" w:hAnsi="Tahoma" w:cs="Tahoma"/>
          <w:sz w:val="20"/>
          <w:szCs w:val="20"/>
        </w:rPr>
        <w:t xml:space="preserve"> </w:t>
      </w:r>
      <w:r w:rsidR="002F24E1" w:rsidRPr="00B004EE">
        <w:rPr>
          <w:rFonts w:ascii="Tahoma" w:hAnsi="Tahoma" w:cs="Tahoma"/>
          <w:sz w:val="20"/>
          <w:szCs w:val="20"/>
        </w:rPr>
        <w:t>13</w:t>
      </w:r>
      <w:r w:rsidR="00DB1635" w:rsidRPr="00B004EE">
        <w:rPr>
          <w:rFonts w:ascii="Tahoma" w:hAnsi="Tahoma" w:cs="Tahoma"/>
          <w:sz w:val="20"/>
          <w:szCs w:val="20"/>
        </w:rPr>
        <w:t xml:space="preserve"> </w:t>
      </w:r>
      <w:r w:rsidR="002F24E1" w:rsidRPr="00B004EE">
        <w:rPr>
          <w:rFonts w:ascii="Tahoma" w:hAnsi="Tahoma" w:cs="Tahoma"/>
          <w:sz w:val="20"/>
          <w:szCs w:val="20"/>
        </w:rPr>
        <w:t>Avril</w:t>
      </w:r>
      <w:r w:rsidR="00DB1635" w:rsidRPr="00B004EE">
        <w:rPr>
          <w:rFonts w:ascii="Tahoma" w:hAnsi="Tahoma" w:cs="Tahoma"/>
          <w:sz w:val="20"/>
          <w:szCs w:val="20"/>
        </w:rPr>
        <w:t xml:space="preserve"> </w:t>
      </w:r>
      <w:r w:rsidR="002F24E1" w:rsidRPr="00B004EE">
        <w:rPr>
          <w:rFonts w:ascii="Tahoma" w:hAnsi="Tahoma" w:cs="Tahoma"/>
          <w:sz w:val="20"/>
          <w:szCs w:val="20"/>
        </w:rPr>
        <w:t>1996.</w:t>
      </w:r>
    </w:p>
    <w:p w14:paraId="58DED952" w14:textId="77777777" w:rsidR="002F24E1" w:rsidRPr="00B004EE" w:rsidRDefault="002F24E1" w:rsidP="00B004EE">
      <w:pPr>
        <w:jc w:val="both"/>
        <w:rPr>
          <w:rFonts w:ascii="Tahoma" w:hAnsi="Tahoma" w:cs="Tahoma"/>
          <w:sz w:val="20"/>
          <w:szCs w:val="20"/>
        </w:rPr>
      </w:pPr>
    </w:p>
    <w:p w14:paraId="7843F15B" w14:textId="0816F708" w:rsidR="002F24E1" w:rsidRPr="00B004EE" w:rsidRDefault="00AD7D88" w:rsidP="00B004EE">
      <w:pPr>
        <w:jc w:val="both"/>
        <w:rPr>
          <w:rFonts w:ascii="Tahoma" w:hAnsi="Tahoma" w:cs="Tahoma"/>
          <w:sz w:val="20"/>
          <w:szCs w:val="20"/>
        </w:rPr>
      </w:pPr>
      <w:r w:rsidRPr="00B004EE">
        <w:rPr>
          <w:rFonts w:ascii="Tahoma" w:hAnsi="Tahoma" w:cs="Tahoma"/>
          <w:bCs/>
          <w:sz w:val="20"/>
          <w:szCs w:val="20"/>
        </w:rPr>
        <w:t xml:space="preserve">Article </w:t>
      </w:r>
      <w:r w:rsidR="002F24E1" w:rsidRPr="00B004EE">
        <w:rPr>
          <w:rFonts w:ascii="Tahoma" w:hAnsi="Tahoma" w:cs="Tahoma"/>
          <w:bCs/>
          <w:sz w:val="20"/>
          <w:szCs w:val="20"/>
        </w:rPr>
        <w:t>34</w:t>
      </w:r>
      <w:r w:rsidR="00DB1635" w:rsidRPr="00B004EE">
        <w:rPr>
          <w:rFonts w:ascii="Tahoma" w:hAnsi="Tahoma" w:cs="Tahoma"/>
          <w:b/>
          <w:sz w:val="20"/>
          <w:szCs w:val="20"/>
        </w:rPr>
        <w:t xml:space="preserve"> </w:t>
      </w:r>
      <w:r w:rsidR="002F24E1" w:rsidRPr="00B004EE">
        <w:rPr>
          <w:rFonts w:ascii="Tahoma" w:hAnsi="Tahoma" w:cs="Tahoma"/>
          <w:b/>
          <w:sz w:val="20"/>
          <w:szCs w:val="20"/>
        </w:rPr>
        <w:t>:</w:t>
      </w:r>
      <w:r w:rsidR="00DB1635" w:rsidRPr="00B004EE">
        <w:rPr>
          <w:rFonts w:ascii="Tahoma" w:hAnsi="Tahoma" w:cs="Tahoma"/>
          <w:b/>
          <w:sz w:val="20"/>
          <w:szCs w:val="20"/>
        </w:rPr>
        <w:t xml:space="preserve"> </w:t>
      </w:r>
      <w:r w:rsidR="002F24E1" w:rsidRPr="00B004EE">
        <w:rPr>
          <w:rFonts w:ascii="Tahoma" w:hAnsi="Tahoma" w:cs="Tahoma"/>
          <w:sz w:val="20"/>
          <w:szCs w:val="20"/>
        </w:rPr>
        <w:t>L'entreposage</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le</w:t>
      </w:r>
      <w:r w:rsidR="00DB1635" w:rsidRPr="00B004EE">
        <w:rPr>
          <w:rFonts w:ascii="Tahoma" w:hAnsi="Tahoma" w:cs="Tahoma"/>
          <w:sz w:val="20"/>
          <w:szCs w:val="20"/>
        </w:rPr>
        <w:t xml:space="preserve"> </w:t>
      </w:r>
      <w:r w:rsidR="002F24E1" w:rsidRPr="00B004EE">
        <w:rPr>
          <w:rFonts w:ascii="Tahoma" w:hAnsi="Tahoma" w:cs="Tahoma"/>
          <w:sz w:val="20"/>
          <w:szCs w:val="20"/>
        </w:rPr>
        <w:t>transport</w:t>
      </w:r>
      <w:r w:rsidR="00DB1635" w:rsidRPr="00B004EE">
        <w:rPr>
          <w:rFonts w:ascii="Tahoma" w:hAnsi="Tahoma" w:cs="Tahoma"/>
          <w:sz w:val="20"/>
          <w:szCs w:val="20"/>
        </w:rPr>
        <w:t xml:space="preserve"> </w:t>
      </w:r>
      <w:r w:rsidR="002F24E1" w:rsidRPr="00B004EE">
        <w:rPr>
          <w:rFonts w:ascii="Tahoma" w:hAnsi="Tahoma" w:cs="Tahoma"/>
          <w:sz w:val="20"/>
          <w:szCs w:val="20"/>
        </w:rPr>
        <w:t>des</w:t>
      </w:r>
      <w:r w:rsidR="00DB1635" w:rsidRPr="00B004EE">
        <w:rPr>
          <w:rFonts w:ascii="Tahoma" w:hAnsi="Tahoma" w:cs="Tahoma"/>
          <w:sz w:val="20"/>
          <w:szCs w:val="20"/>
        </w:rPr>
        <w:t xml:space="preserve"> </w:t>
      </w:r>
      <w:r w:rsidR="002F24E1" w:rsidRPr="00B004EE">
        <w:rPr>
          <w:rFonts w:ascii="Tahoma" w:hAnsi="Tahoma" w:cs="Tahoma"/>
          <w:sz w:val="20"/>
          <w:szCs w:val="20"/>
        </w:rPr>
        <w:t>produits</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la</w:t>
      </w:r>
      <w:r w:rsidR="00DB1635" w:rsidRPr="00B004EE">
        <w:rPr>
          <w:rFonts w:ascii="Tahoma" w:hAnsi="Tahoma" w:cs="Tahoma"/>
          <w:sz w:val="20"/>
          <w:szCs w:val="20"/>
        </w:rPr>
        <w:t xml:space="preserve"> </w:t>
      </w:r>
      <w:r w:rsidR="002F24E1" w:rsidRPr="00B004EE">
        <w:rPr>
          <w:rFonts w:ascii="Tahoma" w:hAnsi="Tahoma" w:cs="Tahoma"/>
          <w:sz w:val="20"/>
          <w:szCs w:val="20"/>
        </w:rPr>
        <w:t>pêche</w:t>
      </w:r>
      <w:r w:rsidR="00DB1635" w:rsidRPr="00B004EE">
        <w:rPr>
          <w:rFonts w:ascii="Tahoma" w:hAnsi="Tahoma" w:cs="Tahoma"/>
          <w:sz w:val="20"/>
          <w:szCs w:val="20"/>
        </w:rPr>
        <w:t xml:space="preserve"> </w:t>
      </w:r>
      <w:r w:rsidR="002F24E1" w:rsidRPr="00B004EE">
        <w:rPr>
          <w:rFonts w:ascii="Tahoma" w:hAnsi="Tahoma" w:cs="Tahoma"/>
          <w:sz w:val="20"/>
          <w:szCs w:val="20"/>
        </w:rPr>
        <w:t>doivent</w:t>
      </w:r>
      <w:r w:rsidR="00DB1635" w:rsidRPr="00B004EE">
        <w:rPr>
          <w:rFonts w:ascii="Tahoma" w:hAnsi="Tahoma" w:cs="Tahoma"/>
          <w:sz w:val="20"/>
          <w:szCs w:val="20"/>
        </w:rPr>
        <w:t xml:space="preserve"> </w:t>
      </w:r>
      <w:r w:rsidR="002F24E1" w:rsidRPr="00B004EE">
        <w:rPr>
          <w:rFonts w:ascii="Tahoma" w:hAnsi="Tahoma" w:cs="Tahoma"/>
          <w:sz w:val="20"/>
          <w:szCs w:val="20"/>
        </w:rPr>
        <w:t>être</w:t>
      </w:r>
      <w:r w:rsidR="00DB1635" w:rsidRPr="00B004EE">
        <w:rPr>
          <w:rFonts w:ascii="Tahoma" w:hAnsi="Tahoma" w:cs="Tahoma"/>
          <w:sz w:val="20"/>
          <w:szCs w:val="20"/>
        </w:rPr>
        <w:t xml:space="preserve"> </w:t>
      </w:r>
      <w:r w:rsidR="002F24E1" w:rsidRPr="00B004EE">
        <w:rPr>
          <w:rFonts w:ascii="Tahoma" w:hAnsi="Tahoma" w:cs="Tahoma"/>
          <w:sz w:val="20"/>
          <w:szCs w:val="20"/>
        </w:rPr>
        <w:t>réalisés</w:t>
      </w:r>
      <w:r w:rsidR="00DB1635" w:rsidRPr="00B004EE">
        <w:rPr>
          <w:rFonts w:ascii="Tahoma" w:hAnsi="Tahoma" w:cs="Tahoma"/>
          <w:sz w:val="20"/>
          <w:szCs w:val="20"/>
        </w:rPr>
        <w:t xml:space="preserve"> </w:t>
      </w:r>
      <w:r w:rsidR="002F24E1" w:rsidRPr="00B004EE">
        <w:rPr>
          <w:rFonts w:ascii="Tahoma" w:hAnsi="Tahoma" w:cs="Tahoma"/>
          <w:sz w:val="20"/>
          <w:szCs w:val="20"/>
        </w:rPr>
        <w:t>selon</w:t>
      </w:r>
      <w:r w:rsidR="00DB1635" w:rsidRPr="00B004EE">
        <w:rPr>
          <w:rFonts w:ascii="Tahoma" w:hAnsi="Tahoma" w:cs="Tahoma"/>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2F24E1" w:rsidRPr="00B004EE">
        <w:rPr>
          <w:rFonts w:ascii="Tahoma" w:hAnsi="Tahoma" w:cs="Tahoma"/>
          <w:sz w:val="20"/>
          <w:szCs w:val="20"/>
        </w:rPr>
        <w:t>prescriptions</w:t>
      </w:r>
      <w:r w:rsidR="00DB1635" w:rsidRPr="00B004EE">
        <w:rPr>
          <w:rFonts w:ascii="Tahoma" w:hAnsi="Tahoma" w:cs="Tahoma"/>
          <w:sz w:val="20"/>
          <w:szCs w:val="20"/>
        </w:rPr>
        <w:t xml:space="preserve"> </w:t>
      </w:r>
      <w:r w:rsidR="002F24E1" w:rsidRPr="00B004EE">
        <w:rPr>
          <w:rFonts w:ascii="Tahoma" w:hAnsi="Tahoma" w:cs="Tahoma"/>
          <w:sz w:val="20"/>
          <w:szCs w:val="20"/>
        </w:rPr>
        <w:t>prévues</w:t>
      </w:r>
      <w:r w:rsidR="00DB1635" w:rsidRPr="00B004EE">
        <w:rPr>
          <w:rFonts w:ascii="Tahoma" w:hAnsi="Tahoma" w:cs="Tahoma"/>
          <w:sz w:val="20"/>
          <w:szCs w:val="20"/>
        </w:rPr>
        <w:t xml:space="preserve"> </w:t>
      </w:r>
      <w:r w:rsidR="002F24E1" w:rsidRPr="00B004EE">
        <w:rPr>
          <w:rFonts w:ascii="Tahoma" w:hAnsi="Tahoma" w:cs="Tahoma"/>
          <w:sz w:val="20"/>
          <w:szCs w:val="20"/>
        </w:rPr>
        <w:t>à</w:t>
      </w:r>
      <w:r w:rsidR="00DB1635" w:rsidRPr="00B004EE">
        <w:rPr>
          <w:rFonts w:ascii="Tahoma" w:hAnsi="Tahoma" w:cs="Tahoma"/>
          <w:sz w:val="20"/>
          <w:szCs w:val="20"/>
        </w:rPr>
        <w:t xml:space="preserve"> </w:t>
      </w:r>
      <w:r w:rsidR="002F24E1" w:rsidRPr="00B004EE">
        <w:rPr>
          <w:rFonts w:ascii="Tahoma" w:hAnsi="Tahoma" w:cs="Tahoma"/>
          <w:sz w:val="20"/>
          <w:szCs w:val="20"/>
        </w:rPr>
        <w:t>la</w:t>
      </w:r>
      <w:r w:rsidR="00DB1635" w:rsidRPr="00B004EE">
        <w:rPr>
          <w:rFonts w:ascii="Tahoma" w:hAnsi="Tahoma" w:cs="Tahoma"/>
          <w:sz w:val="20"/>
          <w:szCs w:val="20"/>
        </w:rPr>
        <w:t xml:space="preserve"> </w:t>
      </w:r>
      <w:r w:rsidR="002F24E1" w:rsidRPr="00B004EE">
        <w:rPr>
          <w:rFonts w:ascii="Tahoma" w:hAnsi="Tahoma" w:cs="Tahoma"/>
          <w:sz w:val="20"/>
          <w:szCs w:val="20"/>
        </w:rPr>
        <w:t>section</w:t>
      </w:r>
      <w:r w:rsidR="00DB1635" w:rsidRPr="00B004EE">
        <w:rPr>
          <w:rFonts w:ascii="Tahoma" w:hAnsi="Tahoma" w:cs="Tahoma"/>
          <w:sz w:val="20"/>
          <w:szCs w:val="20"/>
        </w:rPr>
        <w:t xml:space="preserve"> </w:t>
      </w:r>
      <w:r w:rsidR="002F24E1" w:rsidRPr="00B004EE">
        <w:rPr>
          <w:rFonts w:ascii="Tahoma" w:hAnsi="Tahoma" w:cs="Tahoma"/>
          <w:sz w:val="20"/>
          <w:szCs w:val="20"/>
        </w:rPr>
        <w:t>6</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l'arrêté</w:t>
      </w:r>
      <w:r w:rsidR="00DB1635" w:rsidRPr="00B004EE">
        <w:rPr>
          <w:rFonts w:ascii="Tahoma" w:hAnsi="Tahoma" w:cs="Tahoma"/>
          <w:sz w:val="20"/>
          <w:szCs w:val="20"/>
        </w:rPr>
        <w:t xml:space="preserve"> </w:t>
      </w:r>
      <w:r w:rsidR="002F24E1" w:rsidRPr="00B004EE">
        <w:rPr>
          <w:rFonts w:ascii="Tahoma" w:hAnsi="Tahoma" w:cs="Tahoma"/>
          <w:sz w:val="20"/>
          <w:szCs w:val="20"/>
        </w:rPr>
        <w:t>N°</w:t>
      </w:r>
      <w:r w:rsidR="00DB1635" w:rsidRPr="00B004EE">
        <w:rPr>
          <w:rFonts w:ascii="Tahoma" w:hAnsi="Tahoma" w:cs="Tahoma"/>
          <w:sz w:val="20"/>
          <w:szCs w:val="20"/>
        </w:rPr>
        <w:t xml:space="preserve"> </w:t>
      </w:r>
      <w:r w:rsidR="002F24E1" w:rsidRPr="00B004EE">
        <w:rPr>
          <w:rFonts w:ascii="Tahoma" w:hAnsi="Tahoma" w:cs="Tahoma"/>
          <w:sz w:val="20"/>
          <w:szCs w:val="20"/>
        </w:rPr>
        <w:t>R</w:t>
      </w:r>
      <w:r w:rsidR="00DB1635" w:rsidRPr="00B004EE">
        <w:rPr>
          <w:rFonts w:ascii="Tahoma" w:hAnsi="Tahoma" w:cs="Tahoma"/>
          <w:sz w:val="20"/>
          <w:szCs w:val="20"/>
        </w:rPr>
        <w:t xml:space="preserve"> </w:t>
      </w:r>
      <w:r w:rsidR="002F24E1" w:rsidRPr="00B004EE">
        <w:rPr>
          <w:rFonts w:ascii="Tahoma" w:hAnsi="Tahoma" w:cs="Tahoma"/>
          <w:sz w:val="20"/>
          <w:szCs w:val="20"/>
        </w:rPr>
        <w:t>123</w:t>
      </w:r>
      <w:r w:rsidR="00DB1635" w:rsidRPr="00B004EE">
        <w:rPr>
          <w:rFonts w:ascii="Tahoma" w:hAnsi="Tahoma" w:cs="Tahoma"/>
          <w:sz w:val="20"/>
          <w:szCs w:val="20"/>
        </w:rPr>
        <w:t xml:space="preserve"> </w:t>
      </w:r>
      <w:r w:rsidR="002F24E1" w:rsidRPr="00B004EE">
        <w:rPr>
          <w:rFonts w:ascii="Tahoma" w:hAnsi="Tahoma" w:cs="Tahoma"/>
          <w:sz w:val="20"/>
          <w:szCs w:val="20"/>
        </w:rPr>
        <w:t>du</w:t>
      </w:r>
      <w:r w:rsidR="00DB1635" w:rsidRPr="00B004EE">
        <w:rPr>
          <w:rFonts w:ascii="Tahoma" w:hAnsi="Tahoma" w:cs="Tahoma"/>
          <w:sz w:val="20"/>
          <w:szCs w:val="20"/>
        </w:rPr>
        <w:t xml:space="preserve"> </w:t>
      </w:r>
      <w:r w:rsidR="002F24E1" w:rsidRPr="00B004EE">
        <w:rPr>
          <w:rFonts w:ascii="Tahoma" w:hAnsi="Tahoma" w:cs="Tahoma"/>
          <w:sz w:val="20"/>
          <w:szCs w:val="20"/>
        </w:rPr>
        <w:t>13</w:t>
      </w:r>
      <w:r w:rsidR="00DB1635" w:rsidRPr="00B004EE">
        <w:rPr>
          <w:rFonts w:ascii="Tahoma" w:hAnsi="Tahoma" w:cs="Tahoma"/>
          <w:sz w:val="20"/>
          <w:szCs w:val="20"/>
        </w:rPr>
        <w:t xml:space="preserve"> </w:t>
      </w:r>
      <w:r w:rsidR="002F24E1" w:rsidRPr="00B004EE">
        <w:rPr>
          <w:rFonts w:ascii="Tahoma" w:hAnsi="Tahoma" w:cs="Tahoma"/>
          <w:sz w:val="20"/>
          <w:szCs w:val="20"/>
        </w:rPr>
        <w:t>Avril</w:t>
      </w:r>
      <w:r w:rsidR="00DB1635" w:rsidRPr="00B004EE">
        <w:rPr>
          <w:rFonts w:ascii="Tahoma" w:hAnsi="Tahoma" w:cs="Tahoma"/>
          <w:sz w:val="20"/>
          <w:szCs w:val="20"/>
        </w:rPr>
        <w:t xml:space="preserve"> </w:t>
      </w:r>
      <w:r w:rsidR="002F24E1" w:rsidRPr="00B004EE">
        <w:rPr>
          <w:rFonts w:ascii="Tahoma" w:hAnsi="Tahoma" w:cs="Tahoma"/>
          <w:sz w:val="20"/>
          <w:szCs w:val="20"/>
        </w:rPr>
        <w:t>1996.</w:t>
      </w:r>
    </w:p>
    <w:p w14:paraId="618F36B4" w14:textId="77777777" w:rsidR="002F24E1" w:rsidRPr="00B004EE" w:rsidRDefault="002F24E1" w:rsidP="00B004EE">
      <w:pPr>
        <w:jc w:val="both"/>
        <w:rPr>
          <w:rFonts w:ascii="Tahoma" w:hAnsi="Tahoma" w:cs="Tahoma"/>
          <w:sz w:val="20"/>
          <w:szCs w:val="20"/>
        </w:rPr>
      </w:pPr>
    </w:p>
    <w:p w14:paraId="4E3280F7" w14:textId="20355FBC" w:rsidR="002F24E1" w:rsidRPr="00B004EE" w:rsidRDefault="00AD7D88" w:rsidP="00B004EE">
      <w:pPr>
        <w:jc w:val="both"/>
        <w:rPr>
          <w:rFonts w:ascii="Tahoma" w:hAnsi="Tahoma" w:cs="Tahoma"/>
          <w:sz w:val="20"/>
          <w:szCs w:val="20"/>
        </w:rPr>
      </w:pPr>
      <w:r w:rsidRPr="00B004EE">
        <w:rPr>
          <w:rFonts w:ascii="Tahoma" w:hAnsi="Tahoma" w:cs="Tahoma"/>
          <w:bCs/>
          <w:sz w:val="20"/>
          <w:szCs w:val="20"/>
        </w:rPr>
        <w:t xml:space="preserve">Article </w:t>
      </w:r>
      <w:r w:rsidR="002F24E1" w:rsidRPr="00B004EE">
        <w:rPr>
          <w:rFonts w:ascii="Tahoma" w:hAnsi="Tahoma" w:cs="Tahoma"/>
          <w:bCs/>
          <w:sz w:val="20"/>
          <w:szCs w:val="20"/>
        </w:rPr>
        <w:t>35</w:t>
      </w:r>
      <w:r w:rsidR="00DB1635" w:rsidRPr="00B004EE">
        <w:rPr>
          <w:rFonts w:ascii="Tahoma" w:hAnsi="Tahoma" w:cs="Tahoma"/>
          <w:b/>
          <w:sz w:val="20"/>
          <w:szCs w:val="20"/>
        </w:rPr>
        <w:t xml:space="preserve"> </w:t>
      </w:r>
      <w:r w:rsidR="002F24E1" w:rsidRPr="00B004EE">
        <w:rPr>
          <w:rFonts w:ascii="Tahoma" w:hAnsi="Tahoma" w:cs="Tahoma"/>
          <w:b/>
          <w:sz w:val="20"/>
          <w:szCs w:val="20"/>
        </w:rPr>
        <w:t>:</w:t>
      </w:r>
      <w:r w:rsidR="00DB1635" w:rsidRPr="00B004EE">
        <w:rPr>
          <w:rFonts w:ascii="Tahoma" w:hAnsi="Tahoma" w:cs="Tahoma"/>
          <w:b/>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2F24E1" w:rsidRPr="00B004EE">
        <w:rPr>
          <w:rFonts w:ascii="Tahoma" w:hAnsi="Tahoma" w:cs="Tahoma"/>
          <w:sz w:val="20"/>
          <w:szCs w:val="20"/>
        </w:rPr>
        <w:t>obligations</w:t>
      </w:r>
      <w:r w:rsidR="00DB1635" w:rsidRPr="00B004EE">
        <w:rPr>
          <w:rFonts w:ascii="Tahoma" w:hAnsi="Tahoma" w:cs="Tahoma"/>
          <w:sz w:val="20"/>
          <w:szCs w:val="20"/>
        </w:rPr>
        <w:t xml:space="preserve"> </w:t>
      </w:r>
      <w:r w:rsidR="002F24E1" w:rsidRPr="00B004EE">
        <w:rPr>
          <w:rFonts w:ascii="Tahoma" w:hAnsi="Tahoma" w:cs="Tahoma"/>
          <w:sz w:val="20"/>
          <w:szCs w:val="20"/>
        </w:rPr>
        <w:t>en</w:t>
      </w:r>
      <w:r w:rsidR="00DB1635" w:rsidRPr="00B004EE">
        <w:rPr>
          <w:rFonts w:ascii="Tahoma" w:hAnsi="Tahoma" w:cs="Tahoma"/>
          <w:sz w:val="20"/>
          <w:szCs w:val="20"/>
        </w:rPr>
        <w:t xml:space="preserve"> </w:t>
      </w:r>
      <w:r w:rsidR="002F24E1" w:rsidRPr="00B004EE">
        <w:rPr>
          <w:rFonts w:ascii="Tahoma" w:hAnsi="Tahoma" w:cs="Tahoma"/>
          <w:sz w:val="20"/>
          <w:szCs w:val="20"/>
        </w:rPr>
        <w:t>matière</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contrôle</w:t>
      </w:r>
      <w:r w:rsidR="00DB1635" w:rsidRPr="00B004EE">
        <w:rPr>
          <w:rFonts w:ascii="Tahoma" w:hAnsi="Tahoma" w:cs="Tahoma"/>
          <w:sz w:val="20"/>
          <w:szCs w:val="20"/>
        </w:rPr>
        <w:t xml:space="preserve"> </w:t>
      </w:r>
      <w:r w:rsidR="002F24E1" w:rsidRPr="00B004EE">
        <w:rPr>
          <w:rFonts w:ascii="Tahoma" w:hAnsi="Tahoma" w:cs="Tahoma"/>
          <w:sz w:val="20"/>
          <w:szCs w:val="20"/>
        </w:rPr>
        <w:t>visuel</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d'assainissement</w:t>
      </w:r>
      <w:r w:rsidR="00DB1635" w:rsidRPr="00B004EE">
        <w:rPr>
          <w:rFonts w:ascii="Tahoma" w:hAnsi="Tahoma" w:cs="Tahoma"/>
          <w:sz w:val="20"/>
          <w:szCs w:val="20"/>
        </w:rPr>
        <w:t xml:space="preserve"> </w:t>
      </w:r>
      <w:r w:rsidR="002F24E1" w:rsidRPr="00B004EE">
        <w:rPr>
          <w:rFonts w:ascii="Tahoma" w:hAnsi="Tahoma" w:cs="Tahoma"/>
          <w:sz w:val="20"/>
          <w:szCs w:val="20"/>
        </w:rPr>
        <w:t>parasites</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poissons</w:t>
      </w:r>
      <w:r w:rsidR="00DB1635" w:rsidRPr="00B004EE">
        <w:rPr>
          <w:rFonts w:ascii="Tahoma" w:hAnsi="Tahoma" w:cs="Tahoma"/>
          <w:sz w:val="20"/>
          <w:szCs w:val="20"/>
        </w:rPr>
        <w:t xml:space="preserve"> </w:t>
      </w:r>
      <w:r w:rsidR="002F24E1" w:rsidRPr="00B004EE">
        <w:rPr>
          <w:rFonts w:ascii="Tahoma" w:hAnsi="Tahoma" w:cs="Tahoma"/>
          <w:sz w:val="20"/>
          <w:szCs w:val="20"/>
        </w:rPr>
        <w:t>applicables</w:t>
      </w:r>
      <w:r w:rsidR="00DB1635" w:rsidRPr="00B004EE">
        <w:rPr>
          <w:rFonts w:ascii="Tahoma" w:hAnsi="Tahoma" w:cs="Tahoma"/>
          <w:sz w:val="20"/>
          <w:szCs w:val="20"/>
        </w:rPr>
        <w:t xml:space="preserve"> </w:t>
      </w:r>
      <w:r w:rsidR="002F24E1" w:rsidRPr="00B004EE">
        <w:rPr>
          <w:rFonts w:ascii="Tahoma" w:hAnsi="Tahoma" w:cs="Tahoma"/>
          <w:sz w:val="20"/>
          <w:szCs w:val="20"/>
        </w:rPr>
        <w:t>à</w:t>
      </w:r>
      <w:r w:rsidR="00DB1635" w:rsidRPr="00B004EE">
        <w:rPr>
          <w:rFonts w:ascii="Tahoma" w:hAnsi="Tahoma" w:cs="Tahoma"/>
          <w:sz w:val="20"/>
          <w:szCs w:val="20"/>
        </w:rPr>
        <w:t xml:space="preserve"> </w:t>
      </w:r>
      <w:r w:rsidR="002F24E1" w:rsidRPr="00B004EE">
        <w:rPr>
          <w:rFonts w:ascii="Tahoma" w:hAnsi="Tahoma" w:cs="Tahoma"/>
          <w:sz w:val="20"/>
          <w:szCs w:val="20"/>
        </w:rPr>
        <w:t>terre</w:t>
      </w:r>
      <w:r w:rsidR="00DB1635" w:rsidRPr="00B004EE">
        <w:rPr>
          <w:rFonts w:ascii="Tahoma" w:hAnsi="Tahoma" w:cs="Tahoma"/>
          <w:sz w:val="20"/>
          <w:szCs w:val="20"/>
        </w:rPr>
        <w:t xml:space="preserve"> </w:t>
      </w:r>
      <w:r w:rsidR="002F24E1" w:rsidRPr="00B004EE">
        <w:rPr>
          <w:rFonts w:ascii="Tahoma" w:hAnsi="Tahoma" w:cs="Tahoma"/>
          <w:sz w:val="20"/>
          <w:szCs w:val="20"/>
        </w:rPr>
        <w:t>dans</w:t>
      </w:r>
      <w:r w:rsidR="00DB1635" w:rsidRPr="00B004EE">
        <w:rPr>
          <w:rFonts w:ascii="Tahoma" w:hAnsi="Tahoma" w:cs="Tahoma"/>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2F24E1" w:rsidRPr="00B004EE">
        <w:rPr>
          <w:rFonts w:ascii="Tahoma" w:hAnsi="Tahoma" w:cs="Tahoma"/>
          <w:sz w:val="20"/>
          <w:szCs w:val="20"/>
        </w:rPr>
        <w:t>établissements</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manipulation</w:t>
      </w:r>
      <w:r w:rsidR="00DB1635" w:rsidRPr="00B004EE">
        <w:rPr>
          <w:rFonts w:ascii="Tahoma" w:hAnsi="Tahoma" w:cs="Tahoma"/>
          <w:sz w:val="20"/>
          <w:szCs w:val="20"/>
        </w:rPr>
        <w:t xml:space="preserve"> </w:t>
      </w:r>
      <w:r w:rsidR="002F24E1" w:rsidRPr="00B004EE">
        <w:rPr>
          <w:rFonts w:ascii="Tahoma" w:hAnsi="Tahoma" w:cs="Tahoma"/>
          <w:sz w:val="20"/>
          <w:szCs w:val="20"/>
        </w:rPr>
        <w:t>des</w:t>
      </w:r>
      <w:r w:rsidR="00DB1635" w:rsidRPr="00B004EE">
        <w:rPr>
          <w:rFonts w:ascii="Tahoma" w:hAnsi="Tahoma" w:cs="Tahoma"/>
          <w:sz w:val="20"/>
          <w:szCs w:val="20"/>
        </w:rPr>
        <w:t xml:space="preserve"> </w:t>
      </w:r>
      <w:r w:rsidR="002F24E1" w:rsidRPr="00B004EE">
        <w:rPr>
          <w:rFonts w:ascii="Tahoma" w:hAnsi="Tahoma" w:cs="Tahoma"/>
          <w:sz w:val="20"/>
          <w:szCs w:val="20"/>
        </w:rPr>
        <w:t>produits</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la</w:t>
      </w:r>
      <w:r w:rsidR="00DB1635" w:rsidRPr="00B004EE">
        <w:rPr>
          <w:rFonts w:ascii="Tahoma" w:hAnsi="Tahoma" w:cs="Tahoma"/>
          <w:sz w:val="20"/>
          <w:szCs w:val="20"/>
        </w:rPr>
        <w:t xml:space="preserve"> </w:t>
      </w:r>
      <w:r w:rsidR="002F24E1" w:rsidRPr="00B004EE">
        <w:rPr>
          <w:rFonts w:ascii="Tahoma" w:hAnsi="Tahoma" w:cs="Tahoma"/>
          <w:sz w:val="20"/>
          <w:szCs w:val="20"/>
        </w:rPr>
        <w:t>pêche</w:t>
      </w:r>
      <w:r w:rsidR="00DB1635" w:rsidRPr="00B004EE">
        <w:rPr>
          <w:rFonts w:ascii="Tahoma" w:hAnsi="Tahoma" w:cs="Tahoma"/>
          <w:sz w:val="20"/>
          <w:szCs w:val="20"/>
        </w:rPr>
        <w:t xml:space="preserve"> </w:t>
      </w:r>
      <w:r w:rsidR="002F24E1" w:rsidRPr="00B004EE">
        <w:rPr>
          <w:rFonts w:ascii="Tahoma" w:hAnsi="Tahoma" w:cs="Tahoma"/>
          <w:sz w:val="20"/>
          <w:szCs w:val="20"/>
        </w:rPr>
        <w:t>s'appliquent</w:t>
      </w:r>
      <w:r w:rsidR="00DB1635" w:rsidRPr="00B004EE">
        <w:rPr>
          <w:rFonts w:ascii="Tahoma" w:hAnsi="Tahoma" w:cs="Tahoma"/>
          <w:sz w:val="20"/>
          <w:szCs w:val="20"/>
        </w:rPr>
        <w:t xml:space="preserve"> </w:t>
      </w:r>
      <w:r w:rsidR="002F24E1" w:rsidRPr="00B004EE">
        <w:rPr>
          <w:rFonts w:ascii="Tahoma" w:hAnsi="Tahoma" w:cs="Tahoma"/>
          <w:sz w:val="20"/>
          <w:szCs w:val="20"/>
        </w:rPr>
        <w:t>à</w:t>
      </w:r>
      <w:r w:rsidR="00DB1635" w:rsidRPr="00B004EE">
        <w:rPr>
          <w:rFonts w:ascii="Tahoma" w:hAnsi="Tahoma" w:cs="Tahoma"/>
          <w:sz w:val="20"/>
          <w:szCs w:val="20"/>
        </w:rPr>
        <w:t xml:space="preserve"> </w:t>
      </w:r>
      <w:r w:rsidR="002F24E1" w:rsidRPr="00B004EE">
        <w:rPr>
          <w:rFonts w:ascii="Tahoma" w:hAnsi="Tahoma" w:cs="Tahoma"/>
          <w:sz w:val="20"/>
          <w:szCs w:val="20"/>
        </w:rPr>
        <w:t>bord</w:t>
      </w:r>
      <w:r w:rsidR="00DB1635" w:rsidRPr="00B004EE">
        <w:rPr>
          <w:rFonts w:ascii="Tahoma" w:hAnsi="Tahoma" w:cs="Tahoma"/>
          <w:sz w:val="20"/>
          <w:szCs w:val="20"/>
        </w:rPr>
        <w:t xml:space="preserve"> </w:t>
      </w:r>
      <w:r w:rsidR="002F24E1" w:rsidRPr="00B004EE">
        <w:rPr>
          <w:rFonts w:ascii="Tahoma" w:hAnsi="Tahoma" w:cs="Tahoma"/>
          <w:sz w:val="20"/>
          <w:szCs w:val="20"/>
        </w:rPr>
        <w:t>des</w:t>
      </w:r>
      <w:r w:rsidR="00DB1635" w:rsidRPr="00B004EE">
        <w:rPr>
          <w:rFonts w:ascii="Tahoma" w:hAnsi="Tahoma" w:cs="Tahoma"/>
          <w:sz w:val="20"/>
          <w:szCs w:val="20"/>
        </w:rPr>
        <w:t xml:space="preserve"> </w:t>
      </w:r>
      <w:r w:rsidR="002F24E1" w:rsidRPr="00B004EE">
        <w:rPr>
          <w:rFonts w:ascii="Tahoma" w:hAnsi="Tahoma" w:cs="Tahoma"/>
          <w:sz w:val="20"/>
          <w:szCs w:val="20"/>
        </w:rPr>
        <w:t>navires-</w:t>
      </w:r>
      <w:proofErr w:type="gramStart"/>
      <w:r w:rsidR="002F24E1" w:rsidRPr="00B004EE">
        <w:rPr>
          <w:rFonts w:ascii="Tahoma" w:hAnsi="Tahoma" w:cs="Tahoma"/>
          <w:sz w:val="20"/>
          <w:szCs w:val="20"/>
        </w:rPr>
        <w:t>usines:</w:t>
      </w:r>
      <w:proofErr w:type="gramEnd"/>
    </w:p>
    <w:p w14:paraId="028A5AF3" w14:textId="7DC71558" w:rsidR="002F24E1" w:rsidRPr="00B004EE" w:rsidRDefault="002F24E1" w:rsidP="00B004EE">
      <w:pPr>
        <w:numPr>
          <w:ilvl w:val="0"/>
          <w:numId w:val="3"/>
        </w:numPr>
        <w:tabs>
          <w:tab w:val="left" w:pos="284"/>
        </w:tabs>
        <w:ind w:left="284"/>
        <w:jc w:val="both"/>
        <w:rPr>
          <w:rFonts w:ascii="Tahoma" w:hAnsi="Tahoma" w:cs="Tahoma"/>
          <w:sz w:val="20"/>
          <w:szCs w:val="20"/>
        </w:rPr>
      </w:pPr>
      <w:proofErr w:type="gramStart"/>
      <w:r w:rsidRPr="00B004EE">
        <w:rPr>
          <w:rFonts w:ascii="Tahoma" w:hAnsi="Tahoma" w:cs="Tahoma"/>
          <w:sz w:val="20"/>
          <w:szCs w:val="20"/>
        </w:rPr>
        <w:t>contrôle</w:t>
      </w:r>
      <w:proofErr w:type="gramEnd"/>
      <w:r w:rsidR="00DB1635" w:rsidRPr="00B004EE">
        <w:rPr>
          <w:rFonts w:ascii="Tahoma" w:hAnsi="Tahoma" w:cs="Tahoma"/>
          <w:sz w:val="20"/>
          <w:szCs w:val="20"/>
        </w:rPr>
        <w:t xml:space="preserve"> </w:t>
      </w:r>
      <w:r w:rsidRPr="00B004EE">
        <w:rPr>
          <w:rFonts w:ascii="Tahoma" w:hAnsi="Tahoma" w:cs="Tahoma"/>
          <w:sz w:val="20"/>
          <w:szCs w:val="20"/>
        </w:rPr>
        <w:t>visuel</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vue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l'élimination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parasites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poissons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parties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poissons</w:t>
      </w:r>
      <w:r w:rsidR="00DB1635" w:rsidRPr="00B004EE">
        <w:rPr>
          <w:rFonts w:ascii="Tahoma" w:hAnsi="Tahoma" w:cs="Tahoma"/>
          <w:sz w:val="20"/>
          <w:szCs w:val="20"/>
        </w:rPr>
        <w:t xml:space="preserve"> </w:t>
      </w:r>
      <w:r w:rsidRPr="00B004EE">
        <w:rPr>
          <w:rFonts w:ascii="Tahoma" w:hAnsi="Tahoma" w:cs="Tahoma"/>
          <w:sz w:val="20"/>
          <w:szCs w:val="20"/>
        </w:rPr>
        <w:t>manifestement</w:t>
      </w:r>
      <w:r w:rsidR="00DB1635" w:rsidRPr="00B004EE">
        <w:rPr>
          <w:rFonts w:ascii="Tahoma" w:hAnsi="Tahoma" w:cs="Tahoma"/>
          <w:sz w:val="20"/>
          <w:szCs w:val="20"/>
        </w:rPr>
        <w:t xml:space="preserve"> </w:t>
      </w:r>
      <w:r w:rsidRPr="00B004EE">
        <w:rPr>
          <w:rFonts w:ascii="Tahoma" w:hAnsi="Tahoma" w:cs="Tahoma"/>
          <w:sz w:val="20"/>
          <w:szCs w:val="20"/>
        </w:rPr>
        <w:t>parasitées;</w:t>
      </w:r>
    </w:p>
    <w:p w14:paraId="10CFE03E" w14:textId="2A35BF00" w:rsidR="002F24E1" w:rsidRPr="00B004EE" w:rsidRDefault="002F24E1" w:rsidP="00B004EE">
      <w:pPr>
        <w:numPr>
          <w:ilvl w:val="0"/>
          <w:numId w:val="3"/>
        </w:numPr>
        <w:tabs>
          <w:tab w:val="left" w:pos="284"/>
        </w:tabs>
        <w:ind w:left="284"/>
        <w:jc w:val="both"/>
        <w:rPr>
          <w:rFonts w:ascii="Tahoma" w:hAnsi="Tahoma" w:cs="Tahoma"/>
          <w:sz w:val="20"/>
          <w:szCs w:val="20"/>
        </w:rPr>
      </w:pPr>
      <w:proofErr w:type="gramStart"/>
      <w:r w:rsidRPr="00B004EE">
        <w:rPr>
          <w:rFonts w:ascii="Tahoma" w:hAnsi="Tahoma" w:cs="Tahoma"/>
          <w:sz w:val="20"/>
          <w:szCs w:val="20"/>
        </w:rPr>
        <w:t>assainissement</w:t>
      </w:r>
      <w:proofErr w:type="gramEnd"/>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congélation;</w:t>
      </w:r>
    </w:p>
    <w:p w14:paraId="11DA5457" w14:textId="7328938F" w:rsidR="002F24E1" w:rsidRPr="00B004EE" w:rsidRDefault="002F24E1" w:rsidP="00B004EE">
      <w:pPr>
        <w:numPr>
          <w:ilvl w:val="0"/>
          <w:numId w:val="3"/>
        </w:numPr>
        <w:tabs>
          <w:tab w:val="left" w:pos="284"/>
        </w:tabs>
        <w:ind w:left="284"/>
        <w:jc w:val="both"/>
        <w:rPr>
          <w:rFonts w:ascii="Tahoma" w:hAnsi="Tahoma" w:cs="Tahoma"/>
          <w:sz w:val="20"/>
          <w:szCs w:val="20"/>
        </w:rPr>
      </w:pPr>
      <w:proofErr w:type="gramStart"/>
      <w:r w:rsidRPr="00B004EE">
        <w:rPr>
          <w:rFonts w:ascii="Tahoma" w:hAnsi="Tahoma" w:cs="Tahoma"/>
          <w:sz w:val="20"/>
          <w:szCs w:val="20"/>
        </w:rPr>
        <w:t>attestation</w:t>
      </w:r>
      <w:proofErr w:type="gramEnd"/>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mise</w:t>
      </w:r>
      <w:r w:rsidR="00DB1635" w:rsidRPr="00B004EE">
        <w:rPr>
          <w:rFonts w:ascii="Tahoma" w:hAnsi="Tahoma" w:cs="Tahoma"/>
          <w:sz w:val="20"/>
          <w:szCs w:val="20"/>
        </w:rPr>
        <w:t xml:space="preserve"> </w:t>
      </w:r>
      <w:r w:rsidRPr="00B004EE">
        <w:rPr>
          <w:rFonts w:ascii="Tahoma" w:hAnsi="Tahoma" w:cs="Tahoma"/>
          <w:sz w:val="20"/>
          <w:szCs w:val="20"/>
        </w:rPr>
        <w:t>sur</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marché.</w:t>
      </w:r>
    </w:p>
    <w:p w14:paraId="7FE23F5B" w14:textId="77777777" w:rsidR="002F24E1" w:rsidRPr="00B004EE" w:rsidRDefault="002F24E1" w:rsidP="00B004EE">
      <w:pPr>
        <w:jc w:val="both"/>
        <w:rPr>
          <w:rFonts w:ascii="Tahoma" w:hAnsi="Tahoma" w:cs="Tahoma"/>
          <w:sz w:val="20"/>
          <w:szCs w:val="20"/>
        </w:rPr>
      </w:pPr>
    </w:p>
    <w:p w14:paraId="25A57747" w14:textId="26A875BF" w:rsidR="002F24E1" w:rsidRPr="00B004EE" w:rsidRDefault="002F24E1" w:rsidP="00B004EE">
      <w:pPr>
        <w:tabs>
          <w:tab w:val="left" w:pos="567"/>
          <w:tab w:val="left" w:pos="2268"/>
        </w:tabs>
        <w:jc w:val="both"/>
        <w:rPr>
          <w:rFonts w:ascii="Tahoma" w:hAnsi="Tahoma" w:cs="Tahoma"/>
          <w:b/>
          <w:sz w:val="20"/>
          <w:szCs w:val="20"/>
        </w:rPr>
      </w:pPr>
      <w:r w:rsidRPr="00B004EE">
        <w:rPr>
          <w:rFonts w:ascii="Tahoma" w:hAnsi="Tahoma" w:cs="Tahoma"/>
          <w:b/>
          <w:sz w:val="20"/>
          <w:szCs w:val="20"/>
        </w:rPr>
        <w:t>SECTION</w:t>
      </w:r>
      <w:r w:rsidR="00DB1635" w:rsidRPr="00B004EE">
        <w:rPr>
          <w:rFonts w:ascii="Tahoma" w:hAnsi="Tahoma" w:cs="Tahoma"/>
          <w:b/>
          <w:sz w:val="20"/>
          <w:szCs w:val="20"/>
        </w:rPr>
        <w:t xml:space="preserve"> </w:t>
      </w:r>
      <w:r w:rsidRPr="00B004EE">
        <w:rPr>
          <w:rFonts w:ascii="Tahoma" w:hAnsi="Tahoma" w:cs="Tahoma"/>
          <w:b/>
          <w:sz w:val="20"/>
          <w:szCs w:val="20"/>
        </w:rPr>
        <w:t>III</w:t>
      </w:r>
      <w:r w:rsidR="00DB1635" w:rsidRPr="00B004EE">
        <w:rPr>
          <w:rFonts w:ascii="Tahoma" w:hAnsi="Tahoma" w:cs="Tahoma"/>
          <w:b/>
          <w:sz w:val="20"/>
          <w:szCs w:val="20"/>
        </w:rPr>
        <w:t xml:space="preserve"> </w:t>
      </w:r>
      <w:r w:rsidRPr="00B004EE">
        <w:rPr>
          <w:rFonts w:ascii="Tahoma" w:hAnsi="Tahoma" w:cs="Tahoma"/>
          <w:b/>
          <w:sz w:val="20"/>
          <w:szCs w:val="20"/>
        </w:rPr>
        <w:t>:</w:t>
      </w:r>
      <w:r w:rsidR="00DB1635" w:rsidRPr="00B004EE">
        <w:rPr>
          <w:rFonts w:ascii="Tahoma" w:hAnsi="Tahoma" w:cs="Tahoma"/>
          <w:b/>
          <w:sz w:val="20"/>
          <w:szCs w:val="20"/>
        </w:rPr>
        <w:t xml:space="preserve"> </w:t>
      </w:r>
      <w:r w:rsidRPr="00B004EE">
        <w:rPr>
          <w:rFonts w:ascii="Tahoma" w:hAnsi="Tahoma" w:cs="Tahoma"/>
          <w:b/>
          <w:sz w:val="20"/>
          <w:szCs w:val="20"/>
        </w:rPr>
        <w:t>PERSONNEL</w:t>
      </w:r>
    </w:p>
    <w:p w14:paraId="57DDA3F3" w14:textId="77777777" w:rsidR="002F24E1" w:rsidRPr="00B004EE" w:rsidRDefault="002F24E1" w:rsidP="00B004EE">
      <w:pPr>
        <w:jc w:val="both"/>
        <w:rPr>
          <w:rFonts w:ascii="Tahoma" w:hAnsi="Tahoma" w:cs="Tahoma"/>
          <w:sz w:val="20"/>
          <w:szCs w:val="20"/>
        </w:rPr>
      </w:pPr>
    </w:p>
    <w:p w14:paraId="6CE79437" w14:textId="2076E561" w:rsidR="002F24E1" w:rsidRPr="00B004EE" w:rsidRDefault="00AD7D88" w:rsidP="00B004EE">
      <w:pPr>
        <w:jc w:val="both"/>
        <w:rPr>
          <w:rFonts w:ascii="Tahoma" w:hAnsi="Tahoma" w:cs="Tahoma"/>
          <w:sz w:val="20"/>
          <w:szCs w:val="20"/>
        </w:rPr>
      </w:pPr>
      <w:r w:rsidRPr="00B004EE">
        <w:rPr>
          <w:rFonts w:ascii="Tahoma" w:hAnsi="Tahoma" w:cs="Tahoma"/>
          <w:bCs/>
          <w:sz w:val="20"/>
          <w:szCs w:val="20"/>
        </w:rPr>
        <w:t xml:space="preserve">Article </w:t>
      </w:r>
      <w:r w:rsidR="002F24E1" w:rsidRPr="00B004EE">
        <w:rPr>
          <w:rFonts w:ascii="Tahoma" w:hAnsi="Tahoma" w:cs="Tahoma"/>
          <w:bCs/>
          <w:sz w:val="20"/>
          <w:szCs w:val="20"/>
        </w:rPr>
        <w:t>36</w:t>
      </w:r>
      <w:r w:rsidR="00DB1635" w:rsidRPr="00B004EE">
        <w:rPr>
          <w:rFonts w:ascii="Tahoma" w:hAnsi="Tahoma" w:cs="Tahoma"/>
          <w:b/>
          <w:sz w:val="20"/>
          <w:szCs w:val="20"/>
        </w:rPr>
        <w:t xml:space="preserve"> </w:t>
      </w:r>
      <w:r w:rsidR="002F24E1" w:rsidRPr="00B004EE">
        <w:rPr>
          <w:rFonts w:ascii="Tahoma" w:hAnsi="Tahoma" w:cs="Tahoma"/>
          <w:b/>
          <w:sz w:val="20"/>
          <w:szCs w:val="20"/>
        </w:rPr>
        <w:t>:</w:t>
      </w:r>
      <w:r w:rsidR="00DB1635" w:rsidRPr="00B004EE">
        <w:rPr>
          <w:rFonts w:ascii="Tahoma" w:hAnsi="Tahoma" w:cs="Tahoma"/>
          <w:b/>
          <w:sz w:val="20"/>
          <w:szCs w:val="20"/>
        </w:rPr>
        <w:t xml:space="preserve"> </w:t>
      </w:r>
      <w:r w:rsidR="002F24E1" w:rsidRPr="00B004EE">
        <w:rPr>
          <w:rFonts w:ascii="Tahoma" w:hAnsi="Tahoma" w:cs="Tahoma"/>
          <w:sz w:val="20"/>
          <w:szCs w:val="20"/>
        </w:rPr>
        <w:t>Sous</w:t>
      </w:r>
      <w:r w:rsidR="00DB1635" w:rsidRPr="00B004EE">
        <w:rPr>
          <w:rFonts w:ascii="Tahoma" w:hAnsi="Tahoma" w:cs="Tahoma"/>
          <w:sz w:val="20"/>
          <w:szCs w:val="20"/>
        </w:rPr>
        <w:t xml:space="preserve"> </w:t>
      </w:r>
      <w:r w:rsidR="002F24E1" w:rsidRPr="00B004EE">
        <w:rPr>
          <w:rFonts w:ascii="Tahoma" w:hAnsi="Tahoma" w:cs="Tahoma"/>
          <w:sz w:val="20"/>
          <w:szCs w:val="20"/>
        </w:rPr>
        <w:t>le</w:t>
      </w:r>
      <w:r w:rsidR="00DB1635" w:rsidRPr="00B004EE">
        <w:rPr>
          <w:rFonts w:ascii="Tahoma" w:hAnsi="Tahoma" w:cs="Tahoma"/>
          <w:sz w:val="20"/>
          <w:szCs w:val="20"/>
        </w:rPr>
        <w:t xml:space="preserve"> </w:t>
      </w:r>
      <w:r w:rsidR="002F24E1" w:rsidRPr="00B004EE">
        <w:rPr>
          <w:rFonts w:ascii="Tahoma" w:hAnsi="Tahoma" w:cs="Tahoma"/>
          <w:sz w:val="20"/>
          <w:szCs w:val="20"/>
        </w:rPr>
        <w:t>contrôle</w:t>
      </w:r>
      <w:r w:rsidR="00DB1635" w:rsidRPr="00B004EE">
        <w:rPr>
          <w:rFonts w:ascii="Tahoma" w:hAnsi="Tahoma" w:cs="Tahoma"/>
          <w:sz w:val="20"/>
          <w:szCs w:val="20"/>
        </w:rPr>
        <w:t xml:space="preserve"> </w:t>
      </w:r>
      <w:r w:rsidR="002F24E1" w:rsidRPr="00B004EE">
        <w:rPr>
          <w:rFonts w:ascii="Tahoma" w:hAnsi="Tahoma" w:cs="Tahoma"/>
          <w:sz w:val="20"/>
          <w:szCs w:val="20"/>
        </w:rPr>
        <w:t>du</w:t>
      </w:r>
      <w:r w:rsidR="00DB1635" w:rsidRPr="00B004EE">
        <w:rPr>
          <w:rFonts w:ascii="Tahoma" w:hAnsi="Tahoma" w:cs="Tahoma"/>
          <w:sz w:val="20"/>
          <w:szCs w:val="20"/>
        </w:rPr>
        <w:t xml:space="preserve"> </w:t>
      </w:r>
      <w:r w:rsidR="002F24E1" w:rsidRPr="00B004EE">
        <w:rPr>
          <w:rFonts w:ascii="Tahoma" w:hAnsi="Tahoma" w:cs="Tahoma"/>
          <w:sz w:val="20"/>
          <w:szCs w:val="20"/>
        </w:rPr>
        <w:t>responsable</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qualité</w:t>
      </w:r>
      <w:r w:rsidR="00DB1635" w:rsidRPr="00B004EE">
        <w:rPr>
          <w:rFonts w:ascii="Tahoma" w:hAnsi="Tahoma" w:cs="Tahoma"/>
          <w:sz w:val="20"/>
          <w:szCs w:val="20"/>
        </w:rPr>
        <w:t xml:space="preserve"> </w:t>
      </w:r>
      <w:r w:rsidR="002F24E1" w:rsidRPr="00B004EE">
        <w:rPr>
          <w:rFonts w:ascii="Tahoma" w:hAnsi="Tahoma" w:cs="Tahoma"/>
          <w:sz w:val="20"/>
          <w:szCs w:val="20"/>
        </w:rPr>
        <w:t>défini</w:t>
      </w:r>
      <w:r w:rsidR="00DB1635" w:rsidRPr="00B004EE">
        <w:rPr>
          <w:rFonts w:ascii="Tahoma" w:hAnsi="Tahoma" w:cs="Tahoma"/>
          <w:sz w:val="20"/>
          <w:szCs w:val="20"/>
        </w:rPr>
        <w:t xml:space="preserve"> </w:t>
      </w:r>
      <w:r w:rsidR="002F24E1" w:rsidRPr="00B004EE">
        <w:rPr>
          <w:rFonts w:ascii="Tahoma" w:hAnsi="Tahoma" w:cs="Tahoma"/>
          <w:sz w:val="20"/>
          <w:szCs w:val="20"/>
        </w:rPr>
        <w:t>à</w:t>
      </w:r>
      <w:r w:rsidR="00DB1635" w:rsidRPr="00B004EE">
        <w:rPr>
          <w:rFonts w:ascii="Tahoma" w:hAnsi="Tahoma" w:cs="Tahoma"/>
          <w:sz w:val="20"/>
          <w:szCs w:val="20"/>
        </w:rPr>
        <w:t xml:space="preserve"> </w:t>
      </w:r>
      <w:r w:rsidR="002F24E1" w:rsidRPr="00B004EE">
        <w:rPr>
          <w:rFonts w:ascii="Tahoma" w:hAnsi="Tahoma" w:cs="Tahoma"/>
          <w:sz w:val="20"/>
          <w:szCs w:val="20"/>
        </w:rPr>
        <w:t>l'article</w:t>
      </w:r>
      <w:r w:rsidR="00DB1635" w:rsidRPr="00B004EE">
        <w:rPr>
          <w:rFonts w:ascii="Tahoma" w:hAnsi="Tahoma" w:cs="Tahoma"/>
          <w:sz w:val="20"/>
          <w:szCs w:val="20"/>
        </w:rPr>
        <w:t xml:space="preserve"> </w:t>
      </w:r>
      <w:r w:rsidR="002F24E1" w:rsidRPr="00B004EE">
        <w:rPr>
          <w:rFonts w:ascii="Tahoma" w:hAnsi="Tahoma" w:cs="Tahoma"/>
          <w:sz w:val="20"/>
          <w:szCs w:val="20"/>
        </w:rPr>
        <w:t>24</w:t>
      </w:r>
      <w:r w:rsidR="00DB1635" w:rsidRPr="00B004EE">
        <w:rPr>
          <w:rFonts w:ascii="Tahoma" w:hAnsi="Tahoma" w:cs="Tahoma"/>
          <w:sz w:val="20"/>
          <w:szCs w:val="20"/>
        </w:rPr>
        <w:t xml:space="preserve"> </w:t>
      </w:r>
      <w:r w:rsidR="002F24E1" w:rsidRPr="00B004EE">
        <w:rPr>
          <w:rFonts w:ascii="Tahoma" w:hAnsi="Tahoma" w:cs="Tahoma"/>
          <w:sz w:val="20"/>
          <w:szCs w:val="20"/>
        </w:rPr>
        <w:t>du</w:t>
      </w:r>
      <w:r w:rsidR="00DB1635" w:rsidRPr="00B004EE">
        <w:rPr>
          <w:rFonts w:ascii="Tahoma" w:hAnsi="Tahoma" w:cs="Tahoma"/>
          <w:sz w:val="20"/>
          <w:szCs w:val="20"/>
        </w:rPr>
        <w:t xml:space="preserve"> </w:t>
      </w:r>
      <w:r w:rsidR="002F24E1" w:rsidRPr="00B004EE">
        <w:rPr>
          <w:rFonts w:ascii="Tahoma" w:hAnsi="Tahoma" w:cs="Tahoma"/>
          <w:sz w:val="20"/>
          <w:szCs w:val="20"/>
        </w:rPr>
        <w:t>présent</w:t>
      </w:r>
      <w:r w:rsidR="00DB1635" w:rsidRPr="00B004EE">
        <w:rPr>
          <w:rFonts w:ascii="Tahoma" w:hAnsi="Tahoma" w:cs="Tahoma"/>
          <w:sz w:val="20"/>
          <w:szCs w:val="20"/>
        </w:rPr>
        <w:t xml:space="preserve"> </w:t>
      </w:r>
      <w:r w:rsidR="002F24E1" w:rsidRPr="00B004EE">
        <w:rPr>
          <w:rFonts w:ascii="Tahoma" w:hAnsi="Tahoma" w:cs="Tahoma"/>
          <w:sz w:val="20"/>
          <w:szCs w:val="20"/>
        </w:rPr>
        <w:t>arrêté,</w:t>
      </w:r>
      <w:r w:rsidR="00DB1635" w:rsidRPr="00B004EE">
        <w:rPr>
          <w:rFonts w:ascii="Tahoma" w:hAnsi="Tahoma" w:cs="Tahoma"/>
          <w:sz w:val="20"/>
          <w:szCs w:val="20"/>
        </w:rPr>
        <w:t xml:space="preserve"> </w:t>
      </w:r>
      <w:r w:rsidR="002F24E1" w:rsidRPr="00B004EE">
        <w:rPr>
          <w:rFonts w:ascii="Tahoma" w:hAnsi="Tahoma" w:cs="Tahoma"/>
          <w:sz w:val="20"/>
          <w:szCs w:val="20"/>
        </w:rPr>
        <w:t>le</w:t>
      </w:r>
      <w:r w:rsidR="00DB1635" w:rsidRPr="00B004EE">
        <w:rPr>
          <w:rFonts w:ascii="Tahoma" w:hAnsi="Tahoma" w:cs="Tahoma"/>
          <w:sz w:val="20"/>
          <w:szCs w:val="20"/>
        </w:rPr>
        <w:t xml:space="preserve"> </w:t>
      </w:r>
      <w:r w:rsidR="002F24E1" w:rsidRPr="00B004EE">
        <w:rPr>
          <w:rFonts w:ascii="Tahoma" w:hAnsi="Tahoma" w:cs="Tahoma"/>
          <w:sz w:val="20"/>
          <w:szCs w:val="20"/>
        </w:rPr>
        <w:t>personnel</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manipulation</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préparation</w:t>
      </w:r>
      <w:r w:rsidR="00DB1635" w:rsidRPr="00B004EE">
        <w:rPr>
          <w:rFonts w:ascii="Tahoma" w:hAnsi="Tahoma" w:cs="Tahoma"/>
          <w:sz w:val="20"/>
          <w:szCs w:val="20"/>
        </w:rPr>
        <w:t xml:space="preserve"> </w:t>
      </w:r>
      <w:r w:rsidR="002F24E1" w:rsidRPr="00B004EE">
        <w:rPr>
          <w:rFonts w:ascii="Tahoma" w:hAnsi="Tahoma" w:cs="Tahoma"/>
          <w:sz w:val="20"/>
          <w:szCs w:val="20"/>
        </w:rPr>
        <w:t>des</w:t>
      </w:r>
      <w:r w:rsidR="00DB1635" w:rsidRPr="00B004EE">
        <w:rPr>
          <w:rFonts w:ascii="Tahoma" w:hAnsi="Tahoma" w:cs="Tahoma"/>
          <w:sz w:val="20"/>
          <w:szCs w:val="20"/>
        </w:rPr>
        <w:t xml:space="preserve"> </w:t>
      </w:r>
      <w:r w:rsidR="002F24E1" w:rsidRPr="00B004EE">
        <w:rPr>
          <w:rFonts w:ascii="Tahoma" w:hAnsi="Tahoma" w:cs="Tahoma"/>
          <w:sz w:val="20"/>
          <w:szCs w:val="20"/>
        </w:rPr>
        <w:t>produits</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la</w:t>
      </w:r>
      <w:r w:rsidR="00DB1635" w:rsidRPr="00B004EE">
        <w:rPr>
          <w:rFonts w:ascii="Tahoma" w:hAnsi="Tahoma" w:cs="Tahoma"/>
          <w:sz w:val="20"/>
          <w:szCs w:val="20"/>
        </w:rPr>
        <w:t xml:space="preserve"> </w:t>
      </w:r>
      <w:r w:rsidR="002F24E1" w:rsidRPr="00B004EE">
        <w:rPr>
          <w:rFonts w:ascii="Tahoma" w:hAnsi="Tahoma" w:cs="Tahoma"/>
          <w:sz w:val="20"/>
          <w:szCs w:val="20"/>
        </w:rPr>
        <w:t>pêche</w:t>
      </w:r>
      <w:r w:rsidR="00DB1635" w:rsidRPr="00B004EE">
        <w:rPr>
          <w:rFonts w:ascii="Tahoma" w:hAnsi="Tahoma" w:cs="Tahoma"/>
          <w:sz w:val="20"/>
          <w:szCs w:val="20"/>
        </w:rPr>
        <w:t xml:space="preserve"> </w:t>
      </w:r>
      <w:r w:rsidR="002F24E1" w:rsidRPr="00B004EE">
        <w:rPr>
          <w:rFonts w:ascii="Tahoma" w:hAnsi="Tahoma" w:cs="Tahoma"/>
          <w:sz w:val="20"/>
          <w:szCs w:val="20"/>
        </w:rPr>
        <w:t>doit</w:t>
      </w:r>
      <w:r w:rsidR="00DB1635" w:rsidRPr="00B004EE">
        <w:rPr>
          <w:rFonts w:ascii="Tahoma" w:hAnsi="Tahoma" w:cs="Tahoma"/>
          <w:sz w:val="20"/>
          <w:szCs w:val="20"/>
        </w:rPr>
        <w:t xml:space="preserve"> </w:t>
      </w:r>
      <w:r w:rsidR="002F24E1" w:rsidRPr="00B004EE">
        <w:rPr>
          <w:rFonts w:ascii="Tahoma" w:hAnsi="Tahoma" w:cs="Tahoma"/>
          <w:sz w:val="20"/>
          <w:szCs w:val="20"/>
        </w:rPr>
        <w:t>être</w:t>
      </w:r>
      <w:r w:rsidR="00DB1635" w:rsidRPr="00B004EE">
        <w:rPr>
          <w:rFonts w:ascii="Tahoma" w:hAnsi="Tahoma" w:cs="Tahoma"/>
          <w:sz w:val="20"/>
          <w:szCs w:val="20"/>
        </w:rPr>
        <w:t xml:space="preserve"> </w:t>
      </w:r>
      <w:r w:rsidR="002F24E1" w:rsidRPr="00B004EE">
        <w:rPr>
          <w:rFonts w:ascii="Tahoma" w:hAnsi="Tahoma" w:cs="Tahoma"/>
          <w:sz w:val="20"/>
          <w:szCs w:val="20"/>
        </w:rPr>
        <w:t>tenu</w:t>
      </w:r>
      <w:r w:rsidR="00DB1635" w:rsidRPr="00B004EE">
        <w:rPr>
          <w:rFonts w:ascii="Tahoma" w:hAnsi="Tahoma" w:cs="Tahoma"/>
          <w:sz w:val="20"/>
          <w:szCs w:val="20"/>
        </w:rPr>
        <w:t xml:space="preserve"> </w:t>
      </w:r>
      <w:r w:rsidR="002F24E1" w:rsidRPr="00B004EE">
        <w:rPr>
          <w:rFonts w:ascii="Tahoma" w:hAnsi="Tahoma" w:cs="Tahoma"/>
          <w:sz w:val="20"/>
          <w:szCs w:val="20"/>
        </w:rPr>
        <w:t>à</w:t>
      </w:r>
      <w:r w:rsidR="00DB1635" w:rsidRPr="00B004EE">
        <w:rPr>
          <w:rFonts w:ascii="Tahoma" w:hAnsi="Tahoma" w:cs="Tahoma"/>
          <w:sz w:val="20"/>
          <w:szCs w:val="20"/>
        </w:rPr>
        <w:t xml:space="preserve"> </w:t>
      </w:r>
      <w:r w:rsidR="002F24E1" w:rsidRPr="00B004EE">
        <w:rPr>
          <w:rFonts w:ascii="Tahoma" w:hAnsi="Tahoma" w:cs="Tahoma"/>
          <w:sz w:val="20"/>
          <w:szCs w:val="20"/>
        </w:rPr>
        <w:t>la</w:t>
      </w:r>
      <w:r w:rsidR="00DB1635" w:rsidRPr="00B004EE">
        <w:rPr>
          <w:rFonts w:ascii="Tahoma" w:hAnsi="Tahoma" w:cs="Tahoma"/>
          <w:sz w:val="20"/>
          <w:szCs w:val="20"/>
        </w:rPr>
        <w:t xml:space="preserve"> </w:t>
      </w:r>
      <w:r w:rsidR="002F24E1" w:rsidRPr="00B004EE">
        <w:rPr>
          <w:rFonts w:ascii="Tahoma" w:hAnsi="Tahoma" w:cs="Tahoma"/>
          <w:sz w:val="20"/>
          <w:szCs w:val="20"/>
        </w:rPr>
        <w:t>plus</w:t>
      </w:r>
      <w:r w:rsidR="00DB1635" w:rsidRPr="00B004EE">
        <w:rPr>
          <w:rFonts w:ascii="Tahoma" w:hAnsi="Tahoma" w:cs="Tahoma"/>
          <w:sz w:val="20"/>
          <w:szCs w:val="20"/>
        </w:rPr>
        <w:t xml:space="preserve"> </w:t>
      </w:r>
      <w:r w:rsidR="002F24E1" w:rsidRPr="00B004EE">
        <w:rPr>
          <w:rFonts w:ascii="Tahoma" w:hAnsi="Tahoma" w:cs="Tahoma"/>
          <w:sz w:val="20"/>
          <w:szCs w:val="20"/>
        </w:rPr>
        <w:t>grande</w:t>
      </w:r>
      <w:r w:rsidR="00DB1635" w:rsidRPr="00B004EE">
        <w:rPr>
          <w:rFonts w:ascii="Tahoma" w:hAnsi="Tahoma" w:cs="Tahoma"/>
          <w:sz w:val="20"/>
          <w:szCs w:val="20"/>
        </w:rPr>
        <w:t xml:space="preserve"> </w:t>
      </w:r>
      <w:r w:rsidR="002F24E1" w:rsidRPr="00B004EE">
        <w:rPr>
          <w:rFonts w:ascii="Tahoma" w:hAnsi="Tahoma" w:cs="Tahoma"/>
          <w:sz w:val="20"/>
          <w:szCs w:val="20"/>
        </w:rPr>
        <w:t>propreté.</w:t>
      </w:r>
    </w:p>
    <w:p w14:paraId="0B2DF440" w14:textId="77777777" w:rsidR="002F24E1" w:rsidRPr="00B004EE" w:rsidRDefault="002F24E1" w:rsidP="00B004EE">
      <w:pPr>
        <w:jc w:val="both"/>
        <w:rPr>
          <w:rFonts w:ascii="Tahoma" w:hAnsi="Tahoma" w:cs="Tahoma"/>
          <w:sz w:val="20"/>
          <w:szCs w:val="20"/>
        </w:rPr>
      </w:pPr>
    </w:p>
    <w:p w14:paraId="7CFFEEDF" w14:textId="45778036" w:rsidR="002F24E1" w:rsidRPr="00B004EE" w:rsidRDefault="002F24E1" w:rsidP="00B004EE">
      <w:pPr>
        <w:jc w:val="both"/>
        <w:rPr>
          <w:rFonts w:ascii="Tahoma" w:hAnsi="Tahoma" w:cs="Tahoma"/>
          <w:sz w:val="20"/>
          <w:szCs w:val="20"/>
        </w:rPr>
      </w:pPr>
      <w:r w:rsidRPr="00B004EE">
        <w:rPr>
          <w:rFonts w:ascii="Tahoma" w:hAnsi="Tahoma" w:cs="Tahoma"/>
          <w:sz w:val="20"/>
          <w:szCs w:val="20"/>
        </w:rPr>
        <w:tab/>
        <w:t>Toute</w:t>
      </w:r>
      <w:r w:rsidR="00DB1635" w:rsidRPr="00B004EE">
        <w:rPr>
          <w:rFonts w:ascii="Tahoma" w:hAnsi="Tahoma" w:cs="Tahoma"/>
          <w:sz w:val="20"/>
          <w:szCs w:val="20"/>
        </w:rPr>
        <w:t xml:space="preserve"> </w:t>
      </w:r>
      <w:r w:rsidRPr="00B004EE">
        <w:rPr>
          <w:rFonts w:ascii="Tahoma" w:hAnsi="Tahoma" w:cs="Tahoma"/>
          <w:sz w:val="20"/>
          <w:szCs w:val="20"/>
        </w:rPr>
        <w:t>personnel</w:t>
      </w:r>
      <w:r w:rsidR="00DB1635" w:rsidRPr="00B004EE">
        <w:rPr>
          <w:rFonts w:ascii="Tahoma" w:hAnsi="Tahoma" w:cs="Tahoma"/>
          <w:sz w:val="20"/>
          <w:szCs w:val="20"/>
        </w:rPr>
        <w:t xml:space="preserve"> </w:t>
      </w:r>
      <w:r w:rsidRPr="00B004EE">
        <w:rPr>
          <w:rFonts w:ascii="Tahoma" w:hAnsi="Tahoma" w:cs="Tahoma"/>
          <w:sz w:val="20"/>
          <w:szCs w:val="20"/>
        </w:rPr>
        <w:t>pénétrant</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locaux</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travail</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d'entreposage</w:t>
      </w:r>
      <w:r w:rsidR="00DB1635" w:rsidRPr="00B004EE">
        <w:rPr>
          <w:rFonts w:ascii="Tahoma" w:hAnsi="Tahoma" w:cs="Tahoma"/>
          <w:sz w:val="20"/>
          <w:szCs w:val="20"/>
        </w:rPr>
        <w:t xml:space="preserve"> </w:t>
      </w:r>
      <w:r w:rsidRPr="00B004EE">
        <w:rPr>
          <w:rFonts w:ascii="Tahoma" w:hAnsi="Tahoma" w:cs="Tahoma"/>
          <w:sz w:val="20"/>
          <w:szCs w:val="20"/>
        </w:rPr>
        <w:t>doit</w:t>
      </w:r>
      <w:r w:rsidR="00DB1635" w:rsidRPr="00B004EE">
        <w:rPr>
          <w:rFonts w:ascii="Tahoma" w:hAnsi="Tahoma" w:cs="Tahoma"/>
          <w:sz w:val="20"/>
          <w:szCs w:val="20"/>
        </w:rPr>
        <w:t xml:space="preserve"> </w:t>
      </w:r>
      <w:r w:rsidRPr="00B004EE">
        <w:rPr>
          <w:rFonts w:ascii="Tahoma" w:hAnsi="Tahoma" w:cs="Tahoma"/>
          <w:sz w:val="20"/>
          <w:szCs w:val="20"/>
        </w:rPr>
        <w:t>revêtir</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vêtements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chaussures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travail</w:t>
      </w:r>
      <w:r w:rsidR="00DB1635" w:rsidRPr="00B004EE">
        <w:rPr>
          <w:rFonts w:ascii="Tahoma" w:hAnsi="Tahoma" w:cs="Tahoma"/>
          <w:sz w:val="20"/>
          <w:szCs w:val="20"/>
        </w:rPr>
        <w:t xml:space="preserve"> </w:t>
      </w:r>
      <w:r w:rsidRPr="00B004EE">
        <w:rPr>
          <w:rFonts w:ascii="Tahoma" w:hAnsi="Tahoma" w:cs="Tahoma"/>
          <w:sz w:val="20"/>
          <w:szCs w:val="20"/>
        </w:rPr>
        <w:t>claire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propres,</w:t>
      </w:r>
      <w:r w:rsidR="00DB1635" w:rsidRPr="00B004EE">
        <w:rPr>
          <w:rFonts w:ascii="Tahoma" w:hAnsi="Tahoma" w:cs="Tahoma"/>
          <w:sz w:val="20"/>
          <w:szCs w:val="20"/>
        </w:rPr>
        <w:t xml:space="preserve"> </w:t>
      </w:r>
      <w:r w:rsidRPr="00B004EE">
        <w:rPr>
          <w:rFonts w:ascii="Tahoma" w:hAnsi="Tahoma" w:cs="Tahoma"/>
          <w:sz w:val="20"/>
          <w:szCs w:val="20"/>
        </w:rPr>
        <w:t>ainsi</w:t>
      </w:r>
      <w:r w:rsidR="00DB1635" w:rsidRPr="00B004EE">
        <w:rPr>
          <w:rFonts w:ascii="Tahoma" w:hAnsi="Tahoma" w:cs="Tahoma"/>
          <w:sz w:val="20"/>
          <w:szCs w:val="20"/>
        </w:rPr>
        <w:t xml:space="preserve"> </w:t>
      </w:r>
      <w:r w:rsidRPr="00B004EE">
        <w:rPr>
          <w:rFonts w:ascii="Tahoma" w:hAnsi="Tahoma" w:cs="Tahoma"/>
          <w:sz w:val="20"/>
          <w:szCs w:val="20"/>
        </w:rPr>
        <w:t>qu'une</w:t>
      </w:r>
      <w:r w:rsidR="00DB1635" w:rsidRPr="00B004EE">
        <w:rPr>
          <w:rFonts w:ascii="Tahoma" w:hAnsi="Tahoma" w:cs="Tahoma"/>
          <w:sz w:val="20"/>
          <w:szCs w:val="20"/>
        </w:rPr>
        <w:t xml:space="preserve"> </w:t>
      </w:r>
      <w:r w:rsidRPr="00B004EE">
        <w:rPr>
          <w:rFonts w:ascii="Tahoma" w:hAnsi="Tahoma" w:cs="Tahoma"/>
          <w:sz w:val="20"/>
          <w:szCs w:val="20"/>
        </w:rPr>
        <w:t>coiffure</w:t>
      </w:r>
      <w:r w:rsidR="00DB1635" w:rsidRPr="00B004EE">
        <w:rPr>
          <w:rFonts w:ascii="Tahoma" w:hAnsi="Tahoma" w:cs="Tahoma"/>
          <w:sz w:val="20"/>
          <w:szCs w:val="20"/>
        </w:rPr>
        <w:t xml:space="preserve"> </w:t>
      </w:r>
      <w:r w:rsidRPr="00B004EE">
        <w:rPr>
          <w:rFonts w:ascii="Tahoma" w:hAnsi="Tahoma" w:cs="Tahoma"/>
          <w:sz w:val="20"/>
          <w:szCs w:val="20"/>
        </w:rPr>
        <w:t>propre</w:t>
      </w:r>
      <w:r w:rsidR="00DB1635" w:rsidRPr="00B004EE">
        <w:rPr>
          <w:rFonts w:ascii="Tahoma" w:hAnsi="Tahoma" w:cs="Tahoma"/>
          <w:sz w:val="20"/>
          <w:szCs w:val="20"/>
        </w:rPr>
        <w:t xml:space="preserve"> </w:t>
      </w:r>
      <w:r w:rsidRPr="00B004EE">
        <w:rPr>
          <w:rFonts w:ascii="Tahoma" w:hAnsi="Tahoma" w:cs="Tahoma"/>
          <w:sz w:val="20"/>
          <w:szCs w:val="20"/>
        </w:rPr>
        <w:t>enveloppant</w:t>
      </w:r>
      <w:r w:rsidR="00DB1635" w:rsidRPr="00B004EE">
        <w:rPr>
          <w:rFonts w:ascii="Tahoma" w:hAnsi="Tahoma" w:cs="Tahoma"/>
          <w:sz w:val="20"/>
          <w:szCs w:val="20"/>
        </w:rPr>
        <w:t xml:space="preserve"> </w:t>
      </w:r>
      <w:r w:rsidRPr="00B004EE">
        <w:rPr>
          <w:rFonts w:ascii="Tahoma" w:hAnsi="Tahoma" w:cs="Tahoma"/>
          <w:sz w:val="20"/>
          <w:szCs w:val="20"/>
        </w:rPr>
        <w:t>toute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chevelure.</w:t>
      </w:r>
    </w:p>
    <w:p w14:paraId="017BE6FD" w14:textId="77777777" w:rsidR="002F24E1" w:rsidRPr="00B004EE" w:rsidRDefault="002F24E1" w:rsidP="00B004EE">
      <w:pPr>
        <w:jc w:val="both"/>
        <w:rPr>
          <w:rFonts w:ascii="Tahoma" w:hAnsi="Tahoma" w:cs="Tahoma"/>
          <w:sz w:val="20"/>
          <w:szCs w:val="20"/>
        </w:rPr>
      </w:pPr>
    </w:p>
    <w:p w14:paraId="095922B3" w14:textId="57587223" w:rsidR="002F24E1" w:rsidRPr="00B004EE" w:rsidRDefault="00AD7D88" w:rsidP="00B004EE">
      <w:pPr>
        <w:jc w:val="both"/>
        <w:rPr>
          <w:rFonts w:ascii="Tahoma" w:hAnsi="Tahoma" w:cs="Tahoma"/>
          <w:sz w:val="20"/>
          <w:szCs w:val="20"/>
        </w:rPr>
      </w:pPr>
      <w:r w:rsidRPr="00B004EE">
        <w:rPr>
          <w:rFonts w:ascii="Tahoma" w:hAnsi="Tahoma" w:cs="Tahoma"/>
          <w:bCs/>
          <w:sz w:val="20"/>
          <w:szCs w:val="20"/>
        </w:rPr>
        <w:t xml:space="preserve">Article </w:t>
      </w:r>
      <w:r w:rsidR="002F24E1" w:rsidRPr="00B004EE">
        <w:rPr>
          <w:rFonts w:ascii="Tahoma" w:hAnsi="Tahoma" w:cs="Tahoma"/>
          <w:bCs/>
          <w:sz w:val="20"/>
          <w:szCs w:val="20"/>
        </w:rPr>
        <w:t>37</w:t>
      </w:r>
      <w:r w:rsidR="00DB1635" w:rsidRPr="00B004EE">
        <w:rPr>
          <w:rFonts w:ascii="Tahoma" w:hAnsi="Tahoma" w:cs="Tahoma"/>
          <w:b/>
          <w:sz w:val="20"/>
          <w:szCs w:val="20"/>
        </w:rPr>
        <w:t xml:space="preserve"> </w:t>
      </w:r>
      <w:r w:rsidR="002F24E1" w:rsidRPr="00B004EE">
        <w:rPr>
          <w:rFonts w:ascii="Tahoma" w:hAnsi="Tahoma" w:cs="Tahoma"/>
          <w:b/>
          <w:sz w:val="20"/>
          <w:szCs w:val="20"/>
        </w:rPr>
        <w:t>:</w:t>
      </w:r>
      <w:r w:rsidR="00DB1635" w:rsidRPr="00B004EE">
        <w:rPr>
          <w:rFonts w:ascii="Tahoma" w:hAnsi="Tahoma" w:cs="Tahoma"/>
          <w:b/>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2F24E1" w:rsidRPr="00B004EE">
        <w:rPr>
          <w:rFonts w:ascii="Tahoma" w:hAnsi="Tahoma" w:cs="Tahoma"/>
          <w:sz w:val="20"/>
          <w:szCs w:val="20"/>
        </w:rPr>
        <w:t>amateurs</w:t>
      </w:r>
      <w:r w:rsidR="00DB1635" w:rsidRPr="00B004EE">
        <w:rPr>
          <w:rFonts w:ascii="Tahoma" w:hAnsi="Tahoma" w:cs="Tahoma"/>
          <w:sz w:val="20"/>
          <w:szCs w:val="20"/>
        </w:rPr>
        <w:t xml:space="preserve"> </w:t>
      </w:r>
      <w:r w:rsidR="002F24E1" w:rsidRPr="00B004EE">
        <w:rPr>
          <w:rFonts w:ascii="Tahoma" w:hAnsi="Tahoma" w:cs="Tahoma"/>
          <w:sz w:val="20"/>
          <w:szCs w:val="20"/>
        </w:rPr>
        <w:t>doivent</w:t>
      </w:r>
      <w:r w:rsidR="00DB1635" w:rsidRPr="00B004EE">
        <w:rPr>
          <w:rFonts w:ascii="Tahoma" w:hAnsi="Tahoma" w:cs="Tahoma"/>
          <w:sz w:val="20"/>
          <w:szCs w:val="20"/>
        </w:rPr>
        <w:t xml:space="preserve"> </w:t>
      </w:r>
      <w:r w:rsidR="002F24E1" w:rsidRPr="00B004EE">
        <w:rPr>
          <w:rFonts w:ascii="Tahoma" w:hAnsi="Tahoma" w:cs="Tahoma"/>
          <w:sz w:val="20"/>
          <w:szCs w:val="20"/>
        </w:rPr>
        <w:t>prendre</w:t>
      </w:r>
      <w:r w:rsidR="00DB1635" w:rsidRPr="00B004EE">
        <w:rPr>
          <w:rFonts w:ascii="Tahoma" w:hAnsi="Tahoma" w:cs="Tahoma"/>
          <w:sz w:val="20"/>
          <w:szCs w:val="20"/>
        </w:rPr>
        <w:t xml:space="preserve"> </w:t>
      </w:r>
      <w:r w:rsidR="002F24E1" w:rsidRPr="00B004EE">
        <w:rPr>
          <w:rFonts w:ascii="Tahoma" w:hAnsi="Tahoma" w:cs="Tahoma"/>
          <w:sz w:val="20"/>
          <w:szCs w:val="20"/>
        </w:rPr>
        <w:t>toutes</w:t>
      </w:r>
      <w:r w:rsidR="00DB1635" w:rsidRPr="00B004EE">
        <w:rPr>
          <w:rFonts w:ascii="Tahoma" w:hAnsi="Tahoma" w:cs="Tahoma"/>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2F24E1" w:rsidRPr="00B004EE">
        <w:rPr>
          <w:rFonts w:ascii="Tahoma" w:hAnsi="Tahoma" w:cs="Tahoma"/>
          <w:sz w:val="20"/>
          <w:szCs w:val="20"/>
        </w:rPr>
        <w:t>mesures</w:t>
      </w:r>
      <w:r w:rsidR="00DB1635" w:rsidRPr="00B004EE">
        <w:rPr>
          <w:rFonts w:ascii="Tahoma" w:hAnsi="Tahoma" w:cs="Tahoma"/>
          <w:sz w:val="20"/>
          <w:szCs w:val="20"/>
        </w:rPr>
        <w:t xml:space="preserve"> </w:t>
      </w:r>
      <w:r w:rsidR="002F24E1" w:rsidRPr="00B004EE">
        <w:rPr>
          <w:rFonts w:ascii="Tahoma" w:hAnsi="Tahoma" w:cs="Tahoma"/>
          <w:sz w:val="20"/>
          <w:szCs w:val="20"/>
        </w:rPr>
        <w:t>nécessaires</w:t>
      </w:r>
      <w:r w:rsidR="00DB1635" w:rsidRPr="00B004EE">
        <w:rPr>
          <w:rFonts w:ascii="Tahoma" w:hAnsi="Tahoma" w:cs="Tahoma"/>
          <w:sz w:val="20"/>
          <w:szCs w:val="20"/>
        </w:rPr>
        <w:t xml:space="preserve"> </w:t>
      </w:r>
      <w:r w:rsidR="002F24E1" w:rsidRPr="00B004EE">
        <w:rPr>
          <w:rFonts w:ascii="Tahoma" w:hAnsi="Tahoma" w:cs="Tahoma"/>
          <w:sz w:val="20"/>
          <w:szCs w:val="20"/>
        </w:rPr>
        <w:t>pour</w:t>
      </w:r>
      <w:r w:rsidR="00DB1635" w:rsidRPr="00B004EE">
        <w:rPr>
          <w:rFonts w:ascii="Tahoma" w:hAnsi="Tahoma" w:cs="Tahoma"/>
          <w:sz w:val="20"/>
          <w:szCs w:val="20"/>
        </w:rPr>
        <w:t xml:space="preserve"> </w:t>
      </w:r>
      <w:r w:rsidR="002F24E1" w:rsidRPr="00B004EE">
        <w:rPr>
          <w:rFonts w:ascii="Tahoma" w:hAnsi="Tahoma" w:cs="Tahoma"/>
          <w:sz w:val="20"/>
          <w:szCs w:val="20"/>
        </w:rPr>
        <w:t>faire</w:t>
      </w:r>
      <w:r w:rsidR="00DB1635" w:rsidRPr="00B004EE">
        <w:rPr>
          <w:rFonts w:ascii="Tahoma" w:hAnsi="Tahoma" w:cs="Tahoma"/>
          <w:sz w:val="20"/>
          <w:szCs w:val="20"/>
        </w:rPr>
        <w:t xml:space="preserve"> </w:t>
      </w:r>
      <w:r w:rsidR="002F24E1" w:rsidRPr="00B004EE">
        <w:rPr>
          <w:rFonts w:ascii="Tahoma" w:hAnsi="Tahoma" w:cs="Tahoma"/>
          <w:sz w:val="20"/>
          <w:szCs w:val="20"/>
        </w:rPr>
        <w:t>assurer</w:t>
      </w:r>
      <w:r w:rsidR="00DB1635" w:rsidRPr="00B004EE">
        <w:rPr>
          <w:rFonts w:ascii="Tahoma" w:hAnsi="Tahoma" w:cs="Tahoma"/>
          <w:sz w:val="20"/>
          <w:szCs w:val="20"/>
        </w:rPr>
        <w:t xml:space="preserve"> </w:t>
      </w:r>
      <w:r w:rsidR="002F24E1" w:rsidRPr="00B004EE">
        <w:rPr>
          <w:rFonts w:ascii="Tahoma" w:hAnsi="Tahoma" w:cs="Tahoma"/>
          <w:sz w:val="20"/>
          <w:szCs w:val="20"/>
        </w:rPr>
        <w:t>le</w:t>
      </w:r>
      <w:r w:rsidR="00DB1635" w:rsidRPr="00B004EE">
        <w:rPr>
          <w:rFonts w:ascii="Tahoma" w:hAnsi="Tahoma" w:cs="Tahoma"/>
          <w:sz w:val="20"/>
          <w:szCs w:val="20"/>
        </w:rPr>
        <w:t xml:space="preserve"> </w:t>
      </w:r>
      <w:r w:rsidR="002F24E1" w:rsidRPr="00B004EE">
        <w:rPr>
          <w:rFonts w:ascii="Tahoma" w:hAnsi="Tahoma" w:cs="Tahoma"/>
          <w:sz w:val="20"/>
          <w:szCs w:val="20"/>
        </w:rPr>
        <w:t>suivi</w:t>
      </w:r>
      <w:r w:rsidR="00DB1635" w:rsidRPr="00B004EE">
        <w:rPr>
          <w:rFonts w:ascii="Tahoma" w:hAnsi="Tahoma" w:cs="Tahoma"/>
          <w:sz w:val="20"/>
          <w:szCs w:val="20"/>
        </w:rPr>
        <w:t xml:space="preserve"> </w:t>
      </w:r>
      <w:r w:rsidR="002F24E1" w:rsidRPr="00B004EE">
        <w:rPr>
          <w:rFonts w:ascii="Tahoma" w:hAnsi="Tahoma" w:cs="Tahoma"/>
          <w:sz w:val="20"/>
          <w:szCs w:val="20"/>
        </w:rPr>
        <w:t>médical</w:t>
      </w:r>
      <w:r w:rsidR="00DB1635" w:rsidRPr="00B004EE">
        <w:rPr>
          <w:rFonts w:ascii="Tahoma" w:hAnsi="Tahoma" w:cs="Tahoma"/>
          <w:sz w:val="20"/>
          <w:szCs w:val="20"/>
        </w:rPr>
        <w:t xml:space="preserve"> </w:t>
      </w:r>
      <w:r w:rsidR="002F24E1" w:rsidRPr="00B004EE">
        <w:rPr>
          <w:rFonts w:ascii="Tahoma" w:hAnsi="Tahoma" w:cs="Tahoma"/>
          <w:sz w:val="20"/>
          <w:szCs w:val="20"/>
        </w:rPr>
        <w:t>du</w:t>
      </w:r>
      <w:r w:rsidR="00DB1635" w:rsidRPr="00B004EE">
        <w:rPr>
          <w:rFonts w:ascii="Tahoma" w:hAnsi="Tahoma" w:cs="Tahoma"/>
          <w:sz w:val="20"/>
          <w:szCs w:val="20"/>
        </w:rPr>
        <w:t xml:space="preserve"> </w:t>
      </w:r>
      <w:proofErr w:type="gramStart"/>
      <w:r w:rsidR="002F24E1" w:rsidRPr="00B004EE">
        <w:rPr>
          <w:rFonts w:ascii="Tahoma" w:hAnsi="Tahoma" w:cs="Tahoma"/>
          <w:sz w:val="20"/>
          <w:szCs w:val="20"/>
        </w:rPr>
        <w:t>personnel;</w:t>
      </w:r>
      <w:proofErr w:type="gramEnd"/>
      <w:r w:rsidR="00DB1635" w:rsidRPr="00B004EE">
        <w:rPr>
          <w:rFonts w:ascii="Tahoma" w:hAnsi="Tahoma" w:cs="Tahoma"/>
          <w:sz w:val="20"/>
          <w:szCs w:val="20"/>
        </w:rPr>
        <w:t xml:space="preserve"> </w:t>
      </w:r>
      <w:r w:rsidR="002F24E1" w:rsidRPr="00B004EE">
        <w:rPr>
          <w:rFonts w:ascii="Tahoma" w:hAnsi="Tahoma" w:cs="Tahoma"/>
          <w:sz w:val="20"/>
          <w:szCs w:val="20"/>
        </w:rPr>
        <w:t>conformément</w:t>
      </w:r>
      <w:r w:rsidR="00DB1635" w:rsidRPr="00B004EE">
        <w:rPr>
          <w:rFonts w:ascii="Tahoma" w:hAnsi="Tahoma" w:cs="Tahoma"/>
          <w:sz w:val="20"/>
          <w:szCs w:val="20"/>
        </w:rPr>
        <w:t xml:space="preserve"> </w:t>
      </w:r>
      <w:r w:rsidR="002F24E1" w:rsidRPr="00B004EE">
        <w:rPr>
          <w:rFonts w:ascii="Tahoma" w:hAnsi="Tahoma" w:cs="Tahoma"/>
          <w:sz w:val="20"/>
          <w:szCs w:val="20"/>
        </w:rPr>
        <w:t>aux</w:t>
      </w:r>
      <w:r w:rsidR="00DB1635" w:rsidRPr="00B004EE">
        <w:rPr>
          <w:rFonts w:ascii="Tahoma" w:hAnsi="Tahoma" w:cs="Tahoma"/>
          <w:sz w:val="20"/>
          <w:szCs w:val="20"/>
        </w:rPr>
        <w:t xml:space="preserve"> </w:t>
      </w:r>
      <w:r w:rsidR="002F24E1" w:rsidRPr="00B004EE">
        <w:rPr>
          <w:rFonts w:ascii="Tahoma" w:hAnsi="Tahoma" w:cs="Tahoma"/>
          <w:sz w:val="20"/>
          <w:szCs w:val="20"/>
        </w:rPr>
        <w:t>dispositions</w:t>
      </w:r>
      <w:r w:rsidR="00DB1635" w:rsidRPr="00B004EE">
        <w:rPr>
          <w:rFonts w:ascii="Tahoma" w:hAnsi="Tahoma" w:cs="Tahoma"/>
          <w:sz w:val="20"/>
          <w:szCs w:val="20"/>
        </w:rPr>
        <w:t xml:space="preserve"> </w:t>
      </w:r>
      <w:r w:rsidR="002F24E1" w:rsidRPr="00B004EE">
        <w:rPr>
          <w:rFonts w:ascii="Tahoma" w:hAnsi="Tahoma" w:cs="Tahoma"/>
          <w:sz w:val="20"/>
          <w:szCs w:val="20"/>
        </w:rPr>
        <w:t>réglementaires</w:t>
      </w:r>
      <w:r w:rsidR="00DB1635" w:rsidRPr="00B004EE">
        <w:rPr>
          <w:rFonts w:ascii="Tahoma" w:hAnsi="Tahoma" w:cs="Tahoma"/>
          <w:sz w:val="20"/>
          <w:szCs w:val="20"/>
        </w:rPr>
        <w:t xml:space="preserve"> </w:t>
      </w:r>
      <w:r w:rsidR="002F24E1" w:rsidRPr="00B004EE">
        <w:rPr>
          <w:rFonts w:ascii="Tahoma" w:hAnsi="Tahoma" w:cs="Tahoma"/>
          <w:sz w:val="20"/>
          <w:szCs w:val="20"/>
        </w:rPr>
        <w:t>relatives</w:t>
      </w:r>
      <w:r w:rsidR="00DB1635" w:rsidRPr="00B004EE">
        <w:rPr>
          <w:rFonts w:ascii="Tahoma" w:hAnsi="Tahoma" w:cs="Tahoma"/>
          <w:sz w:val="20"/>
          <w:szCs w:val="20"/>
        </w:rPr>
        <w:t xml:space="preserve"> </w:t>
      </w:r>
      <w:r w:rsidR="002F24E1" w:rsidRPr="00B004EE">
        <w:rPr>
          <w:rFonts w:ascii="Tahoma" w:hAnsi="Tahoma" w:cs="Tahoma"/>
          <w:sz w:val="20"/>
          <w:szCs w:val="20"/>
        </w:rPr>
        <w:t>à</w:t>
      </w:r>
      <w:r w:rsidR="00DB1635" w:rsidRPr="00B004EE">
        <w:rPr>
          <w:rFonts w:ascii="Tahoma" w:hAnsi="Tahoma" w:cs="Tahoma"/>
          <w:sz w:val="20"/>
          <w:szCs w:val="20"/>
        </w:rPr>
        <w:t xml:space="preserve"> </w:t>
      </w:r>
      <w:r w:rsidR="002F24E1" w:rsidRPr="00B004EE">
        <w:rPr>
          <w:rFonts w:ascii="Tahoma" w:hAnsi="Tahoma" w:cs="Tahoma"/>
          <w:sz w:val="20"/>
          <w:szCs w:val="20"/>
        </w:rPr>
        <w:t>l'aptitude</w:t>
      </w:r>
      <w:r w:rsidR="00DB1635" w:rsidRPr="00B004EE">
        <w:rPr>
          <w:rFonts w:ascii="Tahoma" w:hAnsi="Tahoma" w:cs="Tahoma"/>
          <w:sz w:val="20"/>
          <w:szCs w:val="20"/>
        </w:rPr>
        <w:t xml:space="preserve"> </w:t>
      </w:r>
      <w:r w:rsidR="002F24E1" w:rsidRPr="00B004EE">
        <w:rPr>
          <w:rFonts w:ascii="Tahoma" w:hAnsi="Tahoma" w:cs="Tahoma"/>
          <w:sz w:val="20"/>
          <w:szCs w:val="20"/>
        </w:rPr>
        <w:t>physique</w:t>
      </w:r>
      <w:r w:rsidR="00DB1635" w:rsidRPr="00B004EE">
        <w:rPr>
          <w:rFonts w:ascii="Tahoma" w:hAnsi="Tahoma" w:cs="Tahoma"/>
          <w:sz w:val="20"/>
          <w:szCs w:val="20"/>
        </w:rPr>
        <w:t xml:space="preserve"> </w:t>
      </w:r>
      <w:r w:rsidR="002F24E1" w:rsidRPr="00B004EE">
        <w:rPr>
          <w:rFonts w:ascii="Tahoma" w:hAnsi="Tahoma" w:cs="Tahoma"/>
          <w:sz w:val="20"/>
          <w:szCs w:val="20"/>
        </w:rPr>
        <w:t>des</w:t>
      </w:r>
      <w:r w:rsidR="00DB1635" w:rsidRPr="00B004EE">
        <w:rPr>
          <w:rFonts w:ascii="Tahoma" w:hAnsi="Tahoma" w:cs="Tahoma"/>
          <w:sz w:val="20"/>
          <w:szCs w:val="20"/>
        </w:rPr>
        <w:t xml:space="preserve"> </w:t>
      </w:r>
      <w:r w:rsidR="002F24E1" w:rsidRPr="00B004EE">
        <w:rPr>
          <w:rFonts w:ascii="Tahoma" w:hAnsi="Tahoma" w:cs="Tahoma"/>
          <w:sz w:val="20"/>
          <w:szCs w:val="20"/>
        </w:rPr>
        <w:t>gens</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mer.</w:t>
      </w:r>
    </w:p>
    <w:p w14:paraId="3B94D5A4" w14:textId="77777777" w:rsidR="002F24E1" w:rsidRPr="00B004EE" w:rsidRDefault="002F24E1" w:rsidP="00B004EE">
      <w:pPr>
        <w:jc w:val="both"/>
        <w:rPr>
          <w:rFonts w:ascii="Tahoma" w:hAnsi="Tahoma" w:cs="Tahoma"/>
          <w:sz w:val="20"/>
          <w:szCs w:val="20"/>
        </w:rPr>
      </w:pPr>
    </w:p>
    <w:p w14:paraId="57D4C4CA" w14:textId="6B150BA5" w:rsidR="002F24E1" w:rsidRPr="00B004EE" w:rsidRDefault="00AD7D88" w:rsidP="00B004EE">
      <w:pPr>
        <w:jc w:val="both"/>
        <w:rPr>
          <w:rFonts w:ascii="Tahoma" w:hAnsi="Tahoma" w:cs="Tahoma"/>
          <w:sz w:val="20"/>
          <w:szCs w:val="20"/>
        </w:rPr>
      </w:pPr>
      <w:r w:rsidRPr="00B004EE">
        <w:rPr>
          <w:rFonts w:ascii="Tahoma" w:hAnsi="Tahoma" w:cs="Tahoma"/>
          <w:bCs/>
          <w:sz w:val="20"/>
          <w:szCs w:val="20"/>
        </w:rPr>
        <w:t xml:space="preserve">Article </w:t>
      </w:r>
      <w:r w:rsidR="002F24E1" w:rsidRPr="00B004EE">
        <w:rPr>
          <w:rFonts w:ascii="Tahoma" w:hAnsi="Tahoma" w:cs="Tahoma"/>
          <w:bCs/>
          <w:sz w:val="20"/>
          <w:szCs w:val="20"/>
        </w:rPr>
        <w:t>38</w:t>
      </w:r>
      <w:r w:rsidR="00DB1635" w:rsidRPr="00B004EE">
        <w:rPr>
          <w:rFonts w:ascii="Tahoma" w:hAnsi="Tahoma" w:cs="Tahoma"/>
          <w:b/>
          <w:sz w:val="20"/>
          <w:szCs w:val="20"/>
        </w:rPr>
        <w:t xml:space="preserve"> </w:t>
      </w:r>
      <w:r w:rsidR="002F24E1" w:rsidRPr="00B004EE">
        <w:rPr>
          <w:rFonts w:ascii="Tahoma" w:hAnsi="Tahoma" w:cs="Tahoma"/>
          <w:b/>
          <w:sz w:val="20"/>
          <w:szCs w:val="20"/>
        </w:rPr>
        <w:t>:</w:t>
      </w:r>
      <w:r w:rsidR="00DB1635" w:rsidRPr="00B004EE">
        <w:rPr>
          <w:rFonts w:ascii="Tahoma" w:hAnsi="Tahoma" w:cs="Tahoma"/>
          <w:b/>
          <w:sz w:val="20"/>
          <w:szCs w:val="20"/>
        </w:rPr>
        <w:t xml:space="preserve"> </w:t>
      </w:r>
      <w:r w:rsidR="002F24E1" w:rsidRPr="00B004EE">
        <w:rPr>
          <w:rFonts w:ascii="Tahoma" w:hAnsi="Tahoma" w:cs="Tahoma"/>
          <w:sz w:val="20"/>
          <w:szCs w:val="20"/>
        </w:rPr>
        <w:t>Le</w:t>
      </w:r>
      <w:r w:rsidR="00DB1635" w:rsidRPr="00B004EE">
        <w:rPr>
          <w:rFonts w:ascii="Tahoma" w:hAnsi="Tahoma" w:cs="Tahoma"/>
          <w:sz w:val="20"/>
          <w:szCs w:val="20"/>
        </w:rPr>
        <w:t xml:space="preserve"> </w:t>
      </w:r>
      <w:r w:rsidR="002F24E1" w:rsidRPr="00B004EE">
        <w:rPr>
          <w:rFonts w:ascii="Tahoma" w:hAnsi="Tahoma" w:cs="Tahoma"/>
          <w:sz w:val="20"/>
          <w:szCs w:val="20"/>
        </w:rPr>
        <w:t>personnel</w:t>
      </w:r>
      <w:r w:rsidR="00DB1635" w:rsidRPr="00B004EE">
        <w:rPr>
          <w:rFonts w:ascii="Tahoma" w:hAnsi="Tahoma" w:cs="Tahoma"/>
          <w:sz w:val="20"/>
          <w:szCs w:val="20"/>
        </w:rPr>
        <w:t xml:space="preserve"> </w:t>
      </w:r>
      <w:r w:rsidR="002F24E1" w:rsidRPr="00B004EE">
        <w:rPr>
          <w:rFonts w:ascii="Tahoma" w:hAnsi="Tahoma" w:cs="Tahoma"/>
          <w:sz w:val="20"/>
          <w:szCs w:val="20"/>
        </w:rPr>
        <w:t>affecté</w:t>
      </w:r>
      <w:r w:rsidR="00DB1635" w:rsidRPr="00B004EE">
        <w:rPr>
          <w:rFonts w:ascii="Tahoma" w:hAnsi="Tahoma" w:cs="Tahoma"/>
          <w:sz w:val="20"/>
          <w:szCs w:val="20"/>
        </w:rPr>
        <w:t xml:space="preserve"> </w:t>
      </w:r>
      <w:r w:rsidR="002F24E1" w:rsidRPr="00B004EE">
        <w:rPr>
          <w:rFonts w:ascii="Tahoma" w:hAnsi="Tahoma" w:cs="Tahoma"/>
          <w:sz w:val="20"/>
          <w:szCs w:val="20"/>
        </w:rPr>
        <w:t>à</w:t>
      </w:r>
      <w:r w:rsidR="00DB1635" w:rsidRPr="00B004EE">
        <w:rPr>
          <w:rFonts w:ascii="Tahoma" w:hAnsi="Tahoma" w:cs="Tahoma"/>
          <w:sz w:val="20"/>
          <w:szCs w:val="20"/>
        </w:rPr>
        <w:t xml:space="preserve"> </w:t>
      </w:r>
      <w:r w:rsidR="002F24E1" w:rsidRPr="00B004EE">
        <w:rPr>
          <w:rFonts w:ascii="Tahoma" w:hAnsi="Tahoma" w:cs="Tahoma"/>
          <w:sz w:val="20"/>
          <w:szCs w:val="20"/>
        </w:rPr>
        <w:t>la</w:t>
      </w:r>
      <w:r w:rsidR="00DB1635" w:rsidRPr="00B004EE">
        <w:rPr>
          <w:rFonts w:ascii="Tahoma" w:hAnsi="Tahoma" w:cs="Tahoma"/>
          <w:sz w:val="20"/>
          <w:szCs w:val="20"/>
        </w:rPr>
        <w:t xml:space="preserve"> </w:t>
      </w:r>
      <w:r w:rsidR="002F24E1" w:rsidRPr="00B004EE">
        <w:rPr>
          <w:rFonts w:ascii="Tahoma" w:hAnsi="Tahoma" w:cs="Tahoma"/>
          <w:sz w:val="20"/>
          <w:szCs w:val="20"/>
        </w:rPr>
        <w:t>manipulation</w:t>
      </w:r>
      <w:r w:rsidR="00DB1635" w:rsidRPr="00B004EE">
        <w:rPr>
          <w:rFonts w:ascii="Tahoma" w:hAnsi="Tahoma" w:cs="Tahoma"/>
          <w:sz w:val="20"/>
          <w:szCs w:val="20"/>
        </w:rPr>
        <w:t xml:space="preserve"> </w:t>
      </w:r>
      <w:r w:rsidR="002F24E1" w:rsidRPr="00B004EE">
        <w:rPr>
          <w:rFonts w:ascii="Tahoma" w:hAnsi="Tahoma" w:cs="Tahoma"/>
          <w:sz w:val="20"/>
          <w:szCs w:val="20"/>
        </w:rPr>
        <w:t>des</w:t>
      </w:r>
      <w:r w:rsidR="00DB1635" w:rsidRPr="00B004EE">
        <w:rPr>
          <w:rFonts w:ascii="Tahoma" w:hAnsi="Tahoma" w:cs="Tahoma"/>
          <w:sz w:val="20"/>
          <w:szCs w:val="20"/>
        </w:rPr>
        <w:t xml:space="preserve"> </w:t>
      </w:r>
      <w:r w:rsidR="002F24E1" w:rsidRPr="00B004EE">
        <w:rPr>
          <w:rFonts w:ascii="Tahoma" w:hAnsi="Tahoma" w:cs="Tahoma"/>
          <w:sz w:val="20"/>
          <w:szCs w:val="20"/>
        </w:rPr>
        <w:t>produits</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des</w:t>
      </w:r>
      <w:r w:rsidR="00DB1635" w:rsidRPr="00B004EE">
        <w:rPr>
          <w:rFonts w:ascii="Tahoma" w:hAnsi="Tahoma" w:cs="Tahoma"/>
          <w:sz w:val="20"/>
          <w:szCs w:val="20"/>
        </w:rPr>
        <w:t xml:space="preserve"> </w:t>
      </w:r>
      <w:r w:rsidR="002F24E1" w:rsidRPr="00B004EE">
        <w:rPr>
          <w:rFonts w:ascii="Tahoma" w:hAnsi="Tahoma" w:cs="Tahoma"/>
          <w:sz w:val="20"/>
          <w:szCs w:val="20"/>
        </w:rPr>
        <w:t>conditionnements</w:t>
      </w:r>
      <w:r w:rsidR="00DB1635" w:rsidRPr="00B004EE">
        <w:rPr>
          <w:rFonts w:ascii="Tahoma" w:hAnsi="Tahoma" w:cs="Tahoma"/>
          <w:sz w:val="20"/>
          <w:szCs w:val="20"/>
        </w:rPr>
        <w:t xml:space="preserve"> </w:t>
      </w:r>
      <w:r w:rsidR="002F24E1" w:rsidRPr="00B004EE">
        <w:rPr>
          <w:rFonts w:ascii="Tahoma" w:hAnsi="Tahoma" w:cs="Tahoma"/>
          <w:sz w:val="20"/>
          <w:szCs w:val="20"/>
        </w:rPr>
        <w:t>est</w:t>
      </w:r>
      <w:r w:rsidR="00DB1635" w:rsidRPr="00B004EE">
        <w:rPr>
          <w:rFonts w:ascii="Tahoma" w:hAnsi="Tahoma" w:cs="Tahoma"/>
          <w:sz w:val="20"/>
          <w:szCs w:val="20"/>
        </w:rPr>
        <w:t xml:space="preserve"> </w:t>
      </w:r>
      <w:r w:rsidR="002F24E1" w:rsidRPr="00B004EE">
        <w:rPr>
          <w:rFonts w:ascii="Tahoma" w:hAnsi="Tahoma" w:cs="Tahoma"/>
          <w:sz w:val="20"/>
          <w:szCs w:val="20"/>
        </w:rPr>
        <w:t>tenu</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se</w:t>
      </w:r>
      <w:r w:rsidR="00DB1635" w:rsidRPr="00B004EE">
        <w:rPr>
          <w:rFonts w:ascii="Tahoma" w:hAnsi="Tahoma" w:cs="Tahoma"/>
          <w:sz w:val="20"/>
          <w:szCs w:val="20"/>
        </w:rPr>
        <w:t xml:space="preserve"> </w:t>
      </w:r>
      <w:r w:rsidR="002F24E1" w:rsidRPr="00B004EE">
        <w:rPr>
          <w:rFonts w:ascii="Tahoma" w:hAnsi="Tahoma" w:cs="Tahoma"/>
          <w:sz w:val="20"/>
          <w:szCs w:val="20"/>
        </w:rPr>
        <w:t>laver</w:t>
      </w:r>
      <w:r w:rsidR="00DB1635" w:rsidRPr="00B004EE">
        <w:rPr>
          <w:rFonts w:ascii="Tahoma" w:hAnsi="Tahoma" w:cs="Tahoma"/>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2F24E1" w:rsidRPr="00B004EE">
        <w:rPr>
          <w:rFonts w:ascii="Tahoma" w:hAnsi="Tahoma" w:cs="Tahoma"/>
          <w:sz w:val="20"/>
          <w:szCs w:val="20"/>
        </w:rPr>
        <w:t>mains</w:t>
      </w:r>
      <w:r w:rsidR="00DB1635" w:rsidRPr="00B004EE">
        <w:rPr>
          <w:rFonts w:ascii="Tahoma" w:hAnsi="Tahoma" w:cs="Tahoma"/>
          <w:sz w:val="20"/>
          <w:szCs w:val="20"/>
        </w:rPr>
        <w:t xml:space="preserve"> </w:t>
      </w:r>
      <w:r w:rsidR="002F24E1" w:rsidRPr="00B004EE">
        <w:rPr>
          <w:rFonts w:ascii="Tahoma" w:hAnsi="Tahoma" w:cs="Tahoma"/>
          <w:sz w:val="20"/>
          <w:szCs w:val="20"/>
        </w:rPr>
        <w:t>lorsque</w:t>
      </w:r>
      <w:r w:rsidR="00DB1635" w:rsidRPr="00B004EE">
        <w:rPr>
          <w:rFonts w:ascii="Tahoma" w:hAnsi="Tahoma" w:cs="Tahoma"/>
          <w:sz w:val="20"/>
          <w:szCs w:val="20"/>
        </w:rPr>
        <w:t xml:space="preserve"> </w:t>
      </w:r>
      <w:r w:rsidR="002F24E1" w:rsidRPr="00B004EE">
        <w:rPr>
          <w:rFonts w:ascii="Tahoma" w:hAnsi="Tahoma" w:cs="Tahoma"/>
          <w:sz w:val="20"/>
          <w:szCs w:val="20"/>
        </w:rPr>
        <w:t>celles-ci</w:t>
      </w:r>
      <w:r w:rsidR="00DB1635" w:rsidRPr="00B004EE">
        <w:rPr>
          <w:rFonts w:ascii="Tahoma" w:hAnsi="Tahoma" w:cs="Tahoma"/>
          <w:sz w:val="20"/>
          <w:szCs w:val="20"/>
        </w:rPr>
        <w:t xml:space="preserve"> </w:t>
      </w:r>
      <w:r w:rsidR="002F24E1" w:rsidRPr="00B004EE">
        <w:rPr>
          <w:rFonts w:ascii="Tahoma" w:hAnsi="Tahoma" w:cs="Tahoma"/>
          <w:sz w:val="20"/>
          <w:szCs w:val="20"/>
        </w:rPr>
        <w:t>sont</w:t>
      </w:r>
      <w:r w:rsidR="00DB1635" w:rsidRPr="00B004EE">
        <w:rPr>
          <w:rFonts w:ascii="Tahoma" w:hAnsi="Tahoma" w:cs="Tahoma"/>
          <w:sz w:val="20"/>
          <w:szCs w:val="20"/>
        </w:rPr>
        <w:t xml:space="preserve"> </w:t>
      </w:r>
      <w:r w:rsidR="002F24E1" w:rsidRPr="00B004EE">
        <w:rPr>
          <w:rFonts w:ascii="Tahoma" w:hAnsi="Tahoma" w:cs="Tahoma"/>
          <w:sz w:val="20"/>
          <w:szCs w:val="20"/>
        </w:rPr>
        <w:t>souillées</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au</w:t>
      </w:r>
      <w:r w:rsidR="00DB1635" w:rsidRPr="00B004EE">
        <w:rPr>
          <w:rFonts w:ascii="Tahoma" w:hAnsi="Tahoma" w:cs="Tahoma"/>
          <w:sz w:val="20"/>
          <w:szCs w:val="20"/>
        </w:rPr>
        <w:t xml:space="preserve"> </w:t>
      </w:r>
      <w:r w:rsidR="002F24E1" w:rsidRPr="00B004EE">
        <w:rPr>
          <w:rFonts w:ascii="Tahoma" w:hAnsi="Tahoma" w:cs="Tahoma"/>
          <w:sz w:val="20"/>
          <w:szCs w:val="20"/>
        </w:rPr>
        <w:t>moins,</w:t>
      </w:r>
      <w:r w:rsidR="00DB1635" w:rsidRPr="00B004EE">
        <w:rPr>
          <w:rFonts w:ascii="Tahoma" w:hAnsi="Tahoma" w:cs="Tahoma"/>
          <w:sz w:val="20"/>
          <w:szCs w:val="20"/>
        </w:rPr>
        <w:t xml:space="preserve"> </w:t>
      </w:r>
      <w:r w:rsidR="002F24E1" w:rsidRPr="00B004EE">
        <w:rPr>
          <w:rFonts w:ascii="Tahoma" w:hAnsi="Tahoma" w:cs="Tahoma"/>
          <w:sz w:val="20"/>
          <w:szCs w:val="20"/>
        </w:rPr>
        <w:t>à</w:t>
      </w:r>
      <w:r w:rsidR="00DB1635" w:rsidRPr="00B004EE">
        <w:rPr>
          <w:rFonts w:ascii="Tahoma" w:hAnsi="Tahoma" w:cs="Tahoma"/>
          <w:sz w:val="20"/>
          <w:szCs w:val="20"/>
        </w:rPr>
        <w:t xml:space="preserve"> </w:t>
      </w:r>
      <w:r w:rsidR="002F24E1" w:rsidRPr="00B004EE">
        <w:rPr>
          <w:rFonts w:ascii="Tahoma" w:hAnsi="Tahoma" w:cs="Tahoma"/>
          <w:sz w:val="20"/>
          <w:szCs w:val="20"/>
        </w:rPr>
        <w:t>chaque</w:t>
      </w:r>
      <w:r w:rsidR="00DB1635" w:rsidRPr="00B004EE">
        <w:rPr>
          <w:rFonts w:ascii="Tahoma" w:hAnsi="Tahoma" w:cs="Tahoma"/>
          <w:sz w:val="20"/>
          <w:szCs w:val="20"/>
        </w:rPr>
        <w:t xml:space="preserve"> </w:t>
      </w:r>
      <w:r w:rsidR="002F24E1" w:rsidRPr="00B004EE">
        <w:rPr>
          <w:rFonts w:ascii="Tahoma" w:hAnsi="Tahoma" w:cs="Tahoma"/>
          <w:sz w:val="20"/>
          <w:szCs w:val="20"/>
        </w:rPr>
        <w:t>reprise</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travail</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après</w:t>
      </w:r>
      <w:r w:rsidR="00DB1635" w:rsidRPr="00B004EE">
        <w:rPr>
          <w:rFonts w:ascii="Tahoma" w:hAnsi="Tahoma" w:cs="Tahoma"/>
          <w:sz w:val="20"/>
          <w:szCs w:val="20"/>
        </w:rPr>
        <w:t xml:space="preserve"> </w:t>
      </w:r>
      <w:r w:rsidR="002F24E1" w:rsidRPr="00B004EE">
        <w:rPr>
          <w:rFonts w:ascii="Tahoma" w:hAnsi="Tahoma" w:cs="Tahoma"/>
          <w:sz w:val="20"/>
          <w:szCs w:val="20"/>
        </w:rPr>
        <w:t>usage</w:t>
      </w:r>
      <w:r w:rsidR="00DB1635" w:rsidRPr="00B004EE">
        <w:rPr>
          <w:rFonts w:ascii="Tahoma" w:hAnsi="Tahoma" w:cs="Tahoma"/>
          <w:sz w:val="20"/>
          <w:szCs w:val="20"/>
        </w:rPr>
        <w:t xml:space="preserve"> </w:t>
      </w:r>
      <w:r w:rsidR="002F24E1" w:rsidRPr="00B004EE">
        <w:rPr>
          <w:rFonts w:ascii="Tahoma" w:hAnsi="Tahoma" w:cs="Tahoma"/>
          <w:sz w:val="20"/>
          <w:szCs w:val="20"/>
        </w:rPr>
        <w:t>des</w:t>
      </w:r>
      <w:r w:rsidR="00DB1635" w:rsidRPr="00B004EE">
        <w:rPr>
          <w:rFonts w:ascii="Tahoma" w:hAnsi="Tahoma" w:cs="Tahoma"/>
          <w:sz w:val="20"/>
          <w:szCs w:val="20"/>
        </w:rPr>
        <w:t xml:space="preserve"> </w:t>
      </w:r>
      <w:r w:rsidR="002F24E1" w:rsidRPr="00B004EE">
        <w:rPr>
          <w:rFonts w:ascii="Tahoma" w:hAnsi="Tahoma" w:cs="Tahoma"/>
          <w:sz w:val="20"/>
          <w:szCs w:val="20"/>
        </w:rPr>
        <w:t>cabinets</w:t>
      </w:r>
      <w:r w:rsidR="00DB1635" w:rsidRPr="00B004EE">
        <w:rPr>
          <w:rFonts w:ascii="Tahoma" w:hAnsi="Tahoma" w:cs="Tahoma"/>
          <w:sz w:val="20"/>
          <w:szCs w:val="20"/>
        </w:rPr>
        <w:t xml:space="preserve"> </w:t>
      </w:r>
      <w:r w:rsidR="002F24E1" w:rsidRPr="00B004EE">
        <w:rPr>
          <w:rFonts w:ascii="Tahoma" w:hAnsi="Tahoma" w:cs="Tahoma"/>
          <w:sz w:val="20"/>
          <w:szCs w:val="20"/>
        </w:rPr>
        <w:t>d'aisance.</w:t>
      </w:r>
    </w:p>
    <w:p w14:paraId="188E5134" w14:textId="77777777" w:rsidR="002F24E1" w:rsidRPr="00B004EE" w:rsidRDefault="002F24E1" w:rsidP="00B004EE">
      <w:pPr>
        <w:jc w:val="both"/>
        <w:rPr>
          <w:rFonts w:ascii="Tahoma" w:hAnsi="Tahoma" w:cs="Tahoma"/>
          <w:sz w:val="20"/>
          <w:szCs w:val="20"/>
        </w:rPr>
      </w:pPr>
    </w:p>
    <w:p w14:paraId="26CDE6DF" w14:textId="5AC0AB3A" w:rsidR="002F24E1" w:rsidRPr="00B004EE" w:rsidRDefault="002F24E1" w:rsidP="00B004EE">
      <w:pPr>
        <w:jc w:val="both"/>
        <w:rPr>
          <w:rFonts w:ascii="Tahoma" w:hAnsi="Tahoma" w:cs="Tahoma"/>
          <w:sz w:val="20"/>
          <w:szCs w:val="20"/>
        </w:rPr>
      </w:pPr>
      <w:r w:rsidRPr="00B004EE">
        <w:rPr>
          <w:rFonts w:ascii="Tahoma" w:hAnsi="Tahoma" w:cs="Tahoma"/>
          <w:sz w:val="20"/>
          <w:szCs w:val="20"/>
        </w:rPr>
        <w:tab/>
        <w:t>Les</w:t>
      </w:r>
      <w:r w:rsidR="00DB1635" w:rsidRPr="00B004EE">
        <w:rPr>
          <w:rFonts w:ascii="Tahoma" w:hAnsi="Tahoma" w:cs="Tahoma"/>
          <w:sz w:val="20"/>
          <w:szCs w:val="20"/>
        </w:rPr>
        <w:t xml:space="preserve"> </w:t>
      </w:r>
      <w:r w:rsidRPr="00B004EE">
        <w:rPr>
          <w:rFonts w:ascii="Tahoma" w:hAnsi="Tahoma" w:cs="Tahoma"/>
          <w:sz w:val="20"/>
          <w:szCs w:val="20"/>
        </w:rPr>
        <w:t>blessures</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mains</w:t>
      </w:r>
      <w:r w:rsidR="00DB1635" w:rsidRPr="00B004EE">
        <w:rPr>
          <w:rFonts w:ascii="Tahoma" w:hAnsi="Tahoma" w:cs="Tahoma"/>
          <w:sz w:val="20"/>
          <w:szCs w:val="20"/>
        </w:rPr>
        <w:t xml:space="preserve"> </w:t>
      </w:r>
      <w:r w:rsidRPr="00B004EE">
        <w:rPr>
          <w:rFonts w:ascii="Tahoma" w:hAnsi="Tahoma" w:cs="Tahoma"/>
          <w:sz w:val="20"/>
          <w:szCs w:val="20"/>
        </w:rPr>
        <w:t>doivent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recouvertes</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pansement</w:t>
      </w:r>
      <w:r w:rsidR="00DB1635" w:rsidRPr="00B004EE">
        <w:rPr>
          <w:rFonts w:ascii="Tahoma" w:hAnsi="Tahoma" w:cs="Tahoma"/>
          <w:sz w:val="20"/>
          <w:szCs w:val="20"/>
        </w:rPr>
        <w:t xml:space="preserve"> </w:t>
      </w:r>
      <w:r w:rsidRPr="00B004EE">
        <w:rPr>
          <w:rFonts w:ascii="Tahoma" w:hAnsi="Tahoma" w:cs="Tahoma"/>
          <w:sz w:val="20"/>
          <w:szCs w:val="20"/>
        </w:rPr>
        <w:t>étanche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clair.</w:t>
      </w:r>
      <w:r w:rsidR="00DB1635" w:rsidRPr="00B004EE">
        <w:rPr>
          <w:rFonts w:ascii="Tahoma" w:hAnsi="Tahoma" w:cs="Tahoma"/>
          <w:sz w:val="20"/>
          <w:szCs w:val="20"/>
        </w:rPr>
        <w:t xml:space="preserve"> </w:t>
      </w:r>
      <w:r w:rsidRPr="00B004EE">
        <w:rPr>
          <w:rFonts w:ascii="Tahoma" w:hAnsi="Tahoma" w:cs="Tahoma"/>
          <w:sz w:val="20"/>
          <w:szCs w:val="20"/>
        </w:rPr>
        <w:t>S'il</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fait</w:t>
      </w:r>
      <w:r w:rsidR="00DB1635" w:rsidRPr="00B004EE">
        <w:rPr>
          <w:rFonts w:ascii="Tahoma" w:hAnsi="Tahoma" w:cs="Tahoma"/>
          <w:sz w:val="20"/>
          <w:szCs w:val="20"/>
        </w:rPr>
        <w:t xml:space="preserve"> </w:t>
      </w:r>
      <w:r w:rsidRPr="00B004EE">
        <w:rPr>
          <w:rFonts w:ascii="Tahoma" w:hAnsi="Tahoma" w:cs="Tahoma"/>
          <w:sz w:val="20"/>
          <w:szCs w:val="20"/>
        </w:rPr>
        <w:t>usage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gants,</w:t>
      </w:r>
      <w:r w:rsidR="00DB1635" w:rsidRPr="00B004EE">
        <w:rPr>
          <w:rFonts w:ascii="Tahoma" w:hAnsi="Tahoma" w:cs="Tahoma"/>
          <w:sz w:val="20"/>
          <w:szCs w:val="20"/>
        </w:rPr>
        <w:t xml:space="preserve"> </w:t>
      </w:r>
      <w:r w:rsidRPr="00B004EE">
        <w:rPr>
          <w:rFonts w:ascii="Tahoma" w:hAnsi="Tahoma" w:cs="Tahoma"/>
          <w:sz w:val="20"/>
          <w:szCs w:val="20"/>
        </w:rPr>
        <w:t>ceux-ci</w:t>
      </w:r>
      <w:r w:rsidR="00DB1635" w:rsidRPr="00B004EE">
        <w:rPr>
          <w:rFonts w:ascii="Tahoma" w:hAnsi="Tahoma" w:cs="Tahoma"/>
          <w:sz w:val="20"/>
          <w:szCs w:val="20"/>
        </w:rPr>
        <w:t xml:space="preserve"> </w:t>
      </w:r>
      <w:r w:rsidRPr="00B004EE">
        <w:rPr>
          <w:rFonts w:ascii="Tahoma" w:hAnsi="Tahoma" w:cs="Tahoma"/>
          <w:sz w:val="20"/>
          <w:szCs w:val="20"/>
        </w:rPr>
        <w:t>doivent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lavés</w:t>
      </w:r>
      <w:r w:rsidR="00DB1635" w:rsidRPr="00B004EE">
        <w:rPr>
          <w:rFonts w:ascii="Tahoma" w:hAnsi="Tahoma" w:cs="Tahoma"/>
          <w:sz w:val="20"/>
          <w:szCs w:val="20"/>
        </w:rPr>
        <w:t xml:space="preserve"> </w:t>
      </w:r>
      <w:r w:rsidRPr="00B004EE">
        <w:rPr>
          <w:rFonts w:ascii="Tahoma" w:hAnsi="Tahoma" w:cs="Tahoma"/>
          <w:sz w:val="20"/>
          <w:szCs w:val="20"/>
        </w:rPr>
        <w:t>plusieurs</w:t>
      </w:r>
      <w:r w:rsidR="00DB1635" w:rsidRPr="00B004EE">
        <w:rPr>
          <w:rFonts w:ascii="Tahoma" w:hAnsi="Tahoma" w:cs="Tahoma"/>
          <w:sz w:val="20"/>
          <w:szCs w:val="20"/>
        </w:rPr>
        <w:t xml:space="preserve"> </w:t>
      </w:r>
      <w:r w:rsidRPr="00B004EE">
        <w:rPr>
          <w:rFonts w:ascii="Tahoma" w:hAnsi="Tahoma" w:cs="Tahoma"/>
          <w:sz w:val="20"/>
          <w:szCs w:val="20"/>
        </w:rPr>
        <w:t>fois</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cours</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travail.</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gants</w:t>
      </w:r>
      <w:r w:rsidR="00DB1635" w:rsidRPr="00B004EE">
        <w:rPr>
          <w:rFonts w:ascii="Tahoma" w:hAnsi="Tahoma" w:cs="Tahoma"/>
          <w:sz w:val="20"/>
          <w:szCs w:val="20"/>
        </w:rPr>
        <w:t xml:space="preserve"> </w:t>
      </w:r>
      <w:r w:rsidRPr="00B004EE">
        <w:rPr>
          <w:rFonts w:ascii="Tahoma" w:hAnsi="Tahoma" w:cs="Tahoma"/>
          <w:sz w:val="20"/>
          <w:szCs w:val="20"/>
        </w:rPr>
        <w:t>jetables</w:t>
      </w:r>
      <w:r w:rsidR="00DB1635" w:rsidRPr="00B004EE">
        <w:rPr>
          <w:rFonts w:ascii="Tahoma" w:hAnsi="Tahoma" w:cs="Tahoma"/>
          <w:sz w:val="20"/>
          <w:szCs w:val="20"/>
        </w:rPr>
        <w:t xml:space="preserve"> </w:t>
      </w:r>
      <w:r w:rsidRPr="00B004EE">
        <w:rPr>
          <w:rFonts w:ascii="Tahoma" w:hAnsi="Tahoma" w:cs="Tahoma"/>
          <w:sz w:val="20"/>
          <w:szCs w:val="20"/>
        </w:rPr>
        <w:t>doivent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changés</w:t>
      </w:r>
      <w:r w:rsidR="00DB1635" w:rsidRPr="00B004EE">
        <w:rPr>
          <w:rFonts w:ascii="Tahoma" w:hAnsi="Tahoma" w:cs="Tahoma"/>
          <w:sz w:val="20"/>
          <w:szCs w:val="20"/>
        </w:rPr>
        <w:t xml:space="preserve"> </w:t>
      </w:r>
      <w:r w:rsidRPr="00B004EE">
        <w:rPr>
          <w:rFonts w:ascii="Tahoma" w:hAnsi="Tahoma" w:cs="Tahoma"/>
          <w:sz w:val="20"/>
          <w:szCs w:val="20"/>
        </w:rPr>
        <w:t>obligatoirement</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chaque</w:t>
      </w:r>
      <w:r w:rsidR="00DB1635" w:rsidRPr="00B004EE">
        <w:rPr>
          <w:rFonts w:ascii="Tahoma" w:hAnsi="Tahoma" w:cs="Tahoma"/>
          <w:sz w:val="20"/>
          <w:szCs w:val="20"/>
        </w:rPr>
        <w:t xml:space="preserve"> </w:t>
      </w:r>
      <w:r w:rsidRPr="00B004EE">
        <w:rPr>
          <w:rFonts w:ascii="Tahoma" w:hAnsi="Tahoma" w:cs="Tahoma"/>
          <w:sz w:val="20"/>
          <w:szCs w:val="20"/>
        </w:rPr>
        <w:t>reprise</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travail.</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gants</w:t>
      </w:r>
      <w:r w:rsidR="00DB1635" w:rsidRPr="00B004EE">
        <w:rPr>
          <w:rFonts w:ascii="Tahoma" w:hAnsi="Tahoma" w:cs="Tahoma"/>
          <w:sz w:val="20"/>
          <w:szCs w:val="20"/>
        </w:rPr>
        <w:t xml:space="preserve"> </w:t>
      </w:r>
      <w:r w:rsidRPr="00B004EE">
        <w:rPr>
          <w:rFonts w:ascii="Tahoma" w:hAnsi="Tahoma" w:cs="Tahoma"/>
          <w:sz w:val="20"/>
          <w:szCs w:val="20"/>
        </w:rPr>
        <w:t>réutilisables</w:t>
      </w:r>
      <w:r w:rsidR="00DB1635" w:rsidRPr="00B004EE">
        <w:rPr>
          <w:rFonts w:ascii="Tahoma" w:hAnsi="Tahoma" w:cs="Tahoma"/>
          <w:sz w:val="20"/>
          <w:szCs w:val="20"/>
        </w:rPr>
        <w:t xml:space="preserve"> </w:t>
      </w:r>
      <w:r w:rsidRPr="00B004EE">
        <w:rPr>
          <w:rFonts w:ascii="Tahoma" w:hAnsi="Tahoma" w:cs="Tahoma"/>
          <w:sz w:val="20"/>
          <w:szCs w:val="20"/>
        </w:rPr>
        <w:t>doivent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nettoyés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désinfectés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fin</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chaque</w:t>
      </w:r>
      <w:r w:rsidR="00DB1635" w:rsidRPr="00B004EE">
        <w:rPr>
          <w:rFonts w:ascii="Tahoma" w:hAnsi="Tahoma" w:cs="Tahoma"/>
          <w:sz w:val="20"/>
          <w:szCs w:val="20"/>
        </w:rPr>
        <w:t xml:space="preserve"> </w:t>
      </w:r>
      <w:r w:rsidRPr="00B004EE">
        <w:rPr>
          <w:rFonts w:ascii="Tahoma" w:hAnsi="Tahoma" w:cs="Tahoma"/>
          <w:sz w:val="20"/>
          <w:szCs w:val="20"/>
        </w:rPr>
        <w:t>demi-journée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travail.</w:t>
      </w:r>
    </w:p>
    <w:p w14:paraId="441ECE94" w14:textId="77777777" w:rsidR="002F24E1" w:rsidRPr="00B004EE" w:rsidRDefault="002F24E1" w:rsidP="00B004EE">
      <w:pPr>
        <w:jc w:val="both"/>
        <w:rPr>
          <w:rFonts w:ascii="Tahoma" w:hAnsi="Tahoma" w:cs="Tahoma"/>
          <w:sz w:val="20"/>
          <w:szCs w:val="20"/>
        </w:rPr>
      </w:pPr>
    </w:p>
    <w:p w14:paraId="6CE7EE3C" w14:textId="725FD8B4" w:rsidR="002F24E1" w:rsidRPr="00B004EE" w:rsidRDefault="002F24E1" w:rsidP="00B004EE">
      <w:pPr>
        <w:tabs>
          <w:tab w:val="left" w:pos="2268"/>
        </w:tabs>
        <w:jc w:val="center"/>
        <w:rPr>
          <w:rFonts w:ascii="Tahoma" w:hAnsi="Tahoma" w:cs="Tahoma"/>
          <w:b/>
          <w:sz w:val="20"/>
          <w:szCs w:val="20"/>
        </w:rPr>
      </w:pPr>
      <w:r w:rsidRPr="00B004EE">
        <w:rPr>
          <w:rFonts w:ascii="Tahoma" w:hAnsi="Tahoma" w:cs="Tahoma"/>
          <w:b/>
          <w:sz w:val="20"/>
          <w:szCs w:val="20"/>
        </w:rPr>
        <w:t>TITRE</w:t>
      </w:r>
      <w:r w:rsidR="00DB1635" w:rsidRPr="00B004EE">
        <w:rPr>
          <w:rFonts w:ascii="Tahoma" w:hAnsi="Tahoma" w:cs="Tahoma"/>
          <w:b/>
          <w:sz w:val="20"/>
          <w:szCs w:val="20"/>
        </w:rPr>
        <w:t xml:space="preserve"> </w:t>
      </w:r>
      <w:r w:rsidRPr="00B004EE">
        <w:rPr>
          <w:rFonts w:ascii="Tahoma" w:hAnsi="Tahoma" w:cs="Tahoma"/>
          <w:b/>
          <w:sz w:val="20"/>
          <w:szCs w:val="20"/>
        </w:rPr>
        <w:t>III</w:t>
      </w:r>
      <w:r w:rsidR="00DB1635" w:rsidRPr="00B004EE">
        <w:rPr>
          <w:rFonts w:ascii="Tahoma" w:hAnsi="Tahoma" w:cs="Tahoma"/>
          <w:b/>
          <w:sz w:val="20"/>
          <w:szCs w:val="20"/>
        </w:rPr>
        <w:t xml:space="preserve"> </w:t>
      </w:r>
      <w:r w:rsidRPr="00B004EE">
        <w:rPr>
          <w:rFonts w:ascii="Tahoma" w:hAnsi="Tahoma" w:cs="Tahoma"/>
          <w:b/>
          <w:sz w:val="20"/>
          <w:szCs w:val="20"/>
        </w:rPr>
        <w:t>:</w:t>
      </w:r>
      <w:r w:rsidR="00DB1635" w:rsidRPr="00B004EE">
        <w:rPr>
          <w:rFonts w:ascii="Tahoma" w:hAnsi="Tahoma" w:cs="Tahoma"/>
          <w:b/>
          <w:sz w:val="20"/>
          <w:szCs w:val="20"/>
        </w:rPr>
        <w:t xml:space="preserve"> </w:t>
      </w:r>
      <w:r w:rsidRPr="00B004EE">
        <w:rPr>
          <w:rFonts w:ascii="Tahoma" w:hAnsi="Tahoma" w:cs="Tahoma"/>
          <w:b/>
          <w:sz w:val="20"/>
          <w:szCs w:val="20"/>
        </w:rPr>
        <w:t>DISPOSITIONS</w:t>
      </w:r>
      <w:r w:rsidR="00DB1635" w:rsidRPr="00B004EE">
        <w:rPr>
          <w:rFonts w:ascii="Tahoma" w:hAnsi="Tahoma" w:cs="Tahoma"/>
          <w:b/>
          <w:sz w:val="20"/>
          <w:szCs w:val="20"/>
        </w:rPr>
        <w:t xml:space="preserve"> </w:t>
      </w:r>
      <w:r w:rsidRPr="00B004EE">
        <w:rPr>
          <w:rFonts w:ascii="Tahoma" w:hAnsi="Tahoma" w:cs="Tahoma"/>
          <w:b/>
          <w:sz w:val="20"/>
          <w:szCs w:val="20"/>
        </w:rPr>
        <w:t>GENERALES</w:t>
      </w:r>
    </w:p>
    <w:p w14:paraId="0531CE4E" w14:textId="42F3F162" w:rsidR="002F24E1" w:rsidRPr="00B004EE" w:rsidRDefault="002F24E1" w:rsidP="00B004EE">
      <w:pPr>
        <w:tabs>
          <w:tab w:val="left" w:pos="567"/>
          <w:tab w:val="left" w:pos="2268"/>
        </w:tabs>
        <w:jc w:val="center"/>
        <w:rPr>
          <w:rFonts w:ascii="Tahoma" w:hAnsi="Tahoma" w:cs="Tahoma"/>
          <w:b/>
          <w:sz w:val="20"/>
          <w:szCs w:val="20"/>
        </w:rPr>
      </w:pPr>
      <w:r w:rsidRPr="00B004EE">
        <w:rPr>
          <w:rFonts w:ascii="Tahoma" w:hAnsi="Tahoma" w:cs="Tahoma"/>
          <w:b/>
          <w:sz w:val="20"/>
          <w:szCs w:val="20"/>
        </w:rPr>
        <w:t>CHAPITRE</w:t>
      </w:r>
      <w:r w:rsidR="00DB1635" w:rsidRPr="00B004EE">
        <w:rPr>
          <w:rFonts w:ascii="Tahoma" w:hAnsi="Tahoma" w:cs="Tahoma"/>
          <w:b/>
          <w:sz w:val="20"/>
          <w:szCs w:val="20"/>
        </w:rPr>
        <w:t xml:space="preserve"> </w:t>
      </w:r>
      <w:r w:rsidRPr="00B004EE">
        <w:rPr>
          <w:rFonts w:ascii="Tahoma" w:hAnsi="Tahoma" w:cs="Tahoma"/>
          <w:b/>
          <w:sz w:val="20"/>
          <w:szCs w:val="20"/>
        </w:rPr>
        <w:t>I</w:t>
      </w:r>
      <w:r w:rsidR="00DB1635" w:rsidRPr="00B004EE">
        <w:rPr>
          <w:rFonts w:ascii="Tahoma" w:hAnsi="Tahoma" w:cs="Tahoma"/>
          <w:b/>
          <w:sz w:val="20"/>
          <w:szCs w:val="20"/>
        </w:rPr>
        <w:t xml:space="preserve"> </w:t>
      </w:r>
      <w:r w:rsidRPr="00B004EE">
        <w:rPr>
          <w:rFonts w:ascii="Tahoma" w:hAnsi="Tahoma" w:cs="Tahoma"/>
          <w:b/>
          <w:sz w:val="20"/>
          <w:szCs w:val="20"/>
        </w:rPr>
        <w:t>:</w:t>
      </w:r>
      <w:r w:rsidR="00DB1635" w:rsidRPr="00B004EE">
        <w:rPr>
          <w:rFonts w:ascii="Tahoma" w:hAnsi="Tahoma" w:cs="Tahoma"/>
          <w:b/>
          <w:sz w:val="20"/>
          <w:szCs w:val="20"/>
        </w:rPr>
        <w:t xml:space="preserve"> </w:t>
      </w:r>
      <w:r w:rsidRPr="00B004EE">
        <w:rPr>
          <w:rFonts w:ascii="Tahoma" w:hAnsi="Tahoma" w:cs="Tahoma"/>
          <w:b/>
          <w:sz w:val="20"/>
          <w:szCs w:val="20"/>
        </w:rPr>
        <w:t>AGREMENT</w:t>
      </w:r>
      <w:r w:rsidR="00DB1635" w:rsidRPr="00B004EE">
        <w:rPr>
          <w:rFonts w:ascii="Tahoma" w:hAnsi="Tahoma" w:cs="Tahoma"/>
          <w:b/>
          <w:sz w:val="20"/>
          <w:szCs w:val="20"/>
        </w:rPr>
        <w:t xml:space="preserve"> </w:t>
      </w:r>
      <w:r w:rsidRPr="00B004EE">
        <w:rPr>
          <w:rFonts w:ascii="Tahoma" w:hAnsi="Tahoma" w:cs="Tahoma"/>
          <w:b/>
          <w:sz w:val="20"/>
          <w:szCs w:val="20"/>
        </w:rPr>
        <w:t>SANITAIRE</w:t>
      </w:r>
      <w:r w:rsidR="00DB1635" w:rsidRPr="00B004EE">
        <w:rPr>
          <w:rFonts w:ascii="Tahoma" w:hAnsi="Tahoma" w:cs="Tahoma"/>
          <w:b/>
          <w:sz w:val="20"/>
          <w:szCs w:val="20"/>
        </w:rPr>
        <w:t xml:space="preserve"> </w:t>
      </w:r>
      <w:r w:rsidRPr="00B004EE">
        <w:rPr>
          <w:rFonts w:ascii="Tahoma" w:hAnsi="Tahoma" w:cs="Tahoma"/>
          <w:b/>
          <w:sz w:val="20"/>
          <w:szCs w:val="20"/>
        </w:rPr>
        <w:t>DES</w:t>
      </w:r>
      <w:r w:rsidR="00DB1635" w:rsidRPr="00B004EE">
        <w:rPr>
          <w:rFonts w:ascii="Tahoma" w:hAnsi="Tahoma" w:cs="Tahoma"/>
          <w:b/>
          <w:sz w:val="20"/>
          <w:szCs w:val="20"/>
        </w:rPr>
        <w:t xml:space="preserve"> </w:t>
      </w:r>
      <w:r w:rsidRPr="00B004EE">
        <w:rPr>
          <w:rFonts w:ascii="Tahoma" w:hAnsi="Tahoma" w:cs="Tahoma"/>
          <w:b/>
          <w:sz w:val="20"/>
          <w:szCs w:val="20"/>
        </w:rPr>
        <w:t>NAVIRES-USINES</w:t>
      </w:r>
    </w:p>
    <w:p w14:paraId="1C245B29" w14:textId="7A7D4288" w:rsidR="002F24E1" w:rsidRPr="00B004EE" w:rsidRDefault="00AD7D88" w:rsidP="00B004EE">
      <w:pPr>
        <w:jc w:val="both"/>
        <w:rPr>
          <w:rFonts w:ascii="Tahoma" w:hAnsi="Tahoma" w:cs="Tahoma"/>
          <w:sz w:val="20"/>
          <w:szCs w:val="20"/>
        </w:rPr>
      </w:pPr>
      <w:r w:rsidRPr="00B004EE">
        <w:rPr>
          <w:rFonts w:ascii="Tahoma" w:hAnsi="Tahoma" w:cs="Tahoma"/>
          <w:bCs/>
          <w:sz w:val="20"/>
          <w:szCs w:val="20"/>
        </w:rPr>
        <w:t xml:space="preserve">Article </w:t>
      </w:r>
      <w:r w:rsidR="002F24E1" w:rsidRPr="00B004EE">
        <w:rPr>
          <w:rFonts w:ascii="Tahoma" w:hAnsi="Tahoma" w:cs="Tahoma"/>
          <w:bCs/>
          <w:sz w:val="20"/>
          <w:szCs w:val="20"/>
        </w:rPr>
        <w:t>39</w:t>
      </w:r>
      <w:r w:rsidR="00DB1635" w:rsidRPr="00B004EE">
        <w:rPr>
          <w:rFonts w:ascii="Tahoma" w:hAnsi="Tahoma" w:cs="Tahoma"/>
          <w:b/>
          <w:sz w:val="20"/>
          <w:szCs w:val="20"/>
        </w:rPr>
        <w:t xml:space="preserve"> </w:t>
      </w:r>
      <w:r w:rsidR="002F24E1" w:rsidRPr="00B004EE">
        <w:rPr>
          <w:rFonts w:ascii="Tahoma" w:hAnsi="Tahoma" w:cs="Tahoma"/>
          <w:b/>
          <w:sz w:val="20"/>
          <w:szCs w:val="20"/>
        </w:rPr>
        <w:t>:</w:t>
      </w:r>
      <w:r w:rsidR="00DB1635" w:rsidRPr="00B004EE">
        <w:rPr>
          <w:rFonts w:ascii="Tahoma" w:hAnsi="Tahoma" w:cs="Tahoma"/>
          <w:b/>
          <w:sz w:val="20"/>
          <w:szCs w:val="20"/>
        </w:rPr>
        <w:t xml:space="preserve"> </w:t>
      </w:r>
      <w:r w:rsidR="002F24E1" w:rsidRPr="00B004EE">
        <w:rPr>
          <w:rFonts w:ascii="Tahoma" w:hAnsi="Tahoma" w:cs="Tahoma"/>
          <w:sz w:val="20"/>
          <w:szCs w:val="20"/>
        </w:rPr>
        <w:t>Avant</w:t>
      </w:r>
      <w:r w:rsidR="00DB1635" w:rsidRPr="00B004EE">
        <w:rPr>
          <w:rFonts w:ascii="Tahoma" w:hAnsi="Tahoma" w:cs="Tahoma"/>
          <w:sz w:val="20"/>
          <w:szCs w:val="20"/>
        </w:rPr>
        <w:t xml:space="preserve"> </w:t>
      </w:r>
      <w:r w:rsidR="002F24E1" w:rsidRPr="00B004EE">
        <w:rPr>
          <w:rFonts w:ascii="Tahoma" w:hAnsi="Tahoma" w:cs="Tahoma"/>
          <w:sz w:val="20"/>
          <w:szCs w:val="20"/>
        </w:rPr>
        <w:t>la</w:t>
      </w:r>
      <w:r w:rsidR="00DB1635" w:rsidRPr="00B004EE">
        <w:rPr>
          <w:rFonts w:ascii="Tahoma" w:hAnsi="Tahoma" w:cs="Tahoma"/>
          <w:sz w:val="20"/>
          <w:szCs w:val="20"/>
        </w:rPr>
        <w:t xml:space="preserve"> </w:t>
      </w:r>
      <w:r w:rsidR="002F24E1" w:rsidRPr="00B004EE">
        <w:rPr>
          <w:rFonts w:ascii="Tahoma" w:hAnsi="Tahoma" w:cs="Tahoma"/>
          <w:sz w:val="20"/>
          <w:szCs w:val="20"/>
        </w:rPr>
        <w:t>mise</w:t>
      </w:r>
      <w:r w:rsidR="00DB1635" w:rsidRPr="00B004EE">
        <w:rPr>
          <w:rFonts w:ascii="Tahoma" w:hAnsi="Tahoma" w:cs="Tahoma"/>
          <w:sz w:val="20"/>
          <w:szCs w:val="20"/>
        </w:rPr>
        <w:t xml:space="preserve"> </w:t>
      </w:r>
      <w:r w:rsidR="002F24E1" w:rsidRPr="00B004EE">
        <w:rPr>
          <w:rFonts w:ascii="Tahoma" w:hAnsi="Tahoma" w:cs="Tahoma"/>
          <w:sz w:val="20"/>
          <w:szCs w:val="20"/>
        </w:rPr>
        <w:t>en</w:t>
      </w:r>
      <w:r w:rsidR="00DB1635" w:rsidRPr="00B004EE">
        <w:rPr>
          <w:rFonts w:ascii="Tahoma" w:hAnsi="Tahoma" w:cs="Tahoma"/>
          <w:sz w:val="20"/>
          <w:szCs w:val="20"/>
        </w:rPr>
        <w:t xml:space="preserve"> </w:t>
      </w:r>
      <w:r w:rsidR="002F24E1" w:rsidRPr="00B004EE">
        <w:rPr>
          <w:rFonts w:ascii="Tahoma" w:hAnsi="Tahoma" w:cs="Tahoma"/>
          <w:sz w:val="20"/>
          <w:szCs w:val="20"/>
        </w:rPr>
        <w:t>activité</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son</w:t>
      </w:r>
      <w:r w:rsidR="00DB1635" w:rsidRPr="00B004EE">
        <w:rPr>
          <w:rFonts w:ascii="Tahoma" w:hAnsi="Tahoma" w:cs="Tahoma"/>
          <w:sz w:val="20"/>
          <w:szCs w:val="20"/>
        </w:rPr>
        <w:t xml:space="preserve"> </w:t>
      </w:r>
      <w:r w:rsidR="002F24E1" w:rsidRPr="00B004EE">
        <w:rPr>
          <w:rFonts w:ascii="Tahoma" w:hAnsi="Tahoma" w:cs="Tahoma"/>
          <w:sz w:val="20"/>
          <w:szCs w:val="20"/>
        </w:rPr>
        <w:t>navire-usine,</w:t>
      </w:r>
      <w:r w:rsidR="00DB1635" w:rsidRPr="00B004EE">
        <w:rPr>
          <w:rFonts w:ascii="Tahoma" w:hAnsi="Tahoma" w:cs="Tahoma"/>
          <w:sz w:val="20"/>
          <w:szCs w:val="20"/>
        </w:rPr>
        <w:t xml:space="preserve"> </w:t>
      </w:r>
      <w:r w:rsidR="002F24E1" w:rsidRPr="00B004EE">
        <w:rPr>
          <w:rFonts w:ascii="Tahoma" w:hAnsi="Tahoma" w:cs="Tahoma"/>
          <w:sz w:val="20"/>
          <w:szCs w:val="20"/>
        </w:rPr>
        <w:t>tout</w:t>
      </w:r>
      <w:r w:rsidR="00DB1635" w:rsidRPr="00B004EE">
        <w:rPr>
          <w:rFonts w:ascii="Tahoma" w:hAnsi="Tahoma" w:cs="Tahoma"/>
          <w:sz w:val="20"/>
          <w:szCs w:val="20"/>
        </w:rPr>
        <w:t xml:space="preserve"> </w:t>
      </w:r>
      <w:r w:rsidR="002F24E1" w:rsidRPr="00B004EE">
        <w:rPr>
          <w:rFonts w:ascii="Tahoma" w:hAnsi="Tahoma" w:cs="Tahoma"/>
          <w:sz w:val="20"/>
          <w:szCs w:val="20"/>
        </w:rPr>
        <w:t>armateur</w:t>
      </w:r>
      <w:r w:rsidR="00DB1635" w:rsidRPr="00B004EE">
        <w:rPr>
          <w:rFonts w:ascii="Tahoma" w:hAnsi="Tahoma" w:cs="Tahoma"/>
          <w:sz w:val="20"/>
          <w:szCs w:val="20"/>
        </w:rPr>
        <w:t xml:space="preserve"> </w:t>
      </w:r>
      <w:r w:rsidR="002F24E1" w:rsidRPr="00B004EE">
        <w:rPr>
          <w:rFonts w:ascii="Tahoma" w:hAnsi="Tahoma" w:cs="Tahoma"/>
          <w:sz w:val="20"/>
          <w:szCs w:val="20"/>
        </w:rPr>
        <w:t>ou</w:t>
      </w:r>
      <w:r w:rsidR="00DB1635" w:rsidRPr="00B004EE">
        <w:rPr>
          <w:rFonts w:ascii="Tahoma" w:hAnsi="Tahoma" w:cs="Tahoma"/>
          <w:sz w:val="20"/>
          <w:szCs w:val="20"/>
        </w:rPr>
        <w:t xml:space="preserve"> </w:t>
      </w:r>
      <w:r w:rsidR="002F24E1" w:rsidRPr="00B004EE">
        <w:rPr>
          <w:rFonts w:ascii="Tahoma" w:hAnsi="Tahoma" w:cs="Tahoma"/>
          <w:sz w:val="20"/>
          <w:szCs w:val="20"/>
        </w:rPr>
        <w:t>son</w:t>
      </w:r>
      <w:r w:rsidR="00DB1635" w:rsidRPr="00B004EE">
        <w:rPr>
          <w:rFonts w:ascii="Tahoma" w:hAnsi="Tahoma" w:cs="Tahoma"/>
          <w:sz w:val="20"/>
          <w:szCs w:val="20"/>
        </w:rPr>
        <w:t xml:space="preserve"> </w:t>
      </w:r>
      <w:r w:rsidR="002F24E1" w:rsidRPr="00B004EE">
        <w:rPr>
          <w:rFonts w:ascii="Tahoma" w:hAnsi="Tahoma" w:cs="Tahoma"/>
          <w:sz w:val="20"/>
          <w:szCs w:val="20"/>
        </w:rPr>
        <w:t>représentant</w:t>
      </w:r>
      <w:r w:rsidR="00DB1635" w:rsidRPr="00B004EE">
        <w:rPr>
          <w:rFonts w:ascii="Tahoma" w:hAnsi="Tahoma" w:cs="Tahoma"/>
          <w:sz w:val="20"/>
          <w:szCs w:val="20"/>
        </w:rPr>
        <w:t xml:space="preserve"> </w:t>
      </w:r>
      <w:r w:rsidR="002F24E1" w:rsidRPr="00B004EE">
        <w:rPr>
          <w:rFonts w:ascii="Tahoma" w:hAnsi="Tahoma" w:cs="Tahoma"/>
          <w:sz w:val="20"/>
          <w:szCs w:val="20"/>
        </w:rPr>
        <w:t>doit</w:t>
      </w:r>
      <w:r w:rsidR="00DB1635" w:rsidRPr="00B004EE">
        <w:rPr>
          <w:rFonts w:ascii="Tahoma" w:hAnsi="Tahoma" w:cs="Tahoma"/>
          <w:sz w:val="20"/>
          <w:szCs w:val="20"/>
        </w:rPr>
        <w:t xml:space="preserve"> </w:t>
      </w:r>
      <w:r w:rsidR="002F24E1" w:rsidRPr="00B004EE">
        <w:rPr>
          <w:rFonts w:ascii="Tahoma" w:hAnsi="Tahoma" w:cs="Tahoma"/>
          <w:sz w:val="20"/>
          <w:szCs w:val="20"/>
        </w:rPr>
        <w:t>adresser</w:t>
      </w:r>
      <w:r w:rsidR="00DB1635" w:rsidRPr="00B004EE">
        <w:rPr>
          <w:rFonts w:ascii="Tahoma" w:hAnsi="Tahoma" w:cs="Tahoma"/>
          <w:sz w:val="20"/>
          <w:szCs w:val="20"/>
        </w:rPr>
        <w:t xml:space="preserve"> </w:t>
      </w:r>
      <w:r w:rsidR="002F24E1" w:rsidRPr="00B004EE">
        <w:rPr>
          <w:rFonts w:ascii="Tahoma" w:hAnsi="Tahoma" w:cs="Tahoma"/>
          <w:sz w:val="20"/>
          <w:szCs w:val="20"/>
        </w:rPr>
        <w:t>au</w:t>
      </w:r>
      <w:r w:rsidR="00DB1635" w:rsidRPr="00B004EE">
        <w:rPr>
          <w:rFonts w:ascii="Tahoma" w:hAnsi="Tahoma" w:cs="Tahoma"/>
          <w:sz w:val="20"/>
          <w:szCs w:val="20"/>
        </w:rPr>
        <w:t xml:space="preserve"> </w:t>
      </w:r>
      <w:r w:rsidR="002F24E1" w:rsidRPr="00B004EE">
        <w:rPr>
          <w:rFonts w:ascii="Tahoma" w:hAnsi="Tahoma" w:cs="Tahoma"/>
          <w:sz w:val="20"/>
          <w:szCs w:val="20"/>
        </w:rPr>
        <w:t>Ministère</w:t>
      </w:r>
      <w:r w:rsidR="00DB1635" w:rsidRPr="00B004EE">
        <w:rPr>
          <w:rFonts w:ascii="Tahoma" w:hAnsi="Tahoma" w:cs="Tahoma"/>
          <w:sz w:val="20"/>
          <w:szCs w:val="20"/>
        </w:rPr>
        <w:t xml:space="preserve"> </w:t>
      </w:r>
      <w:r w:rsidR="002F24E1" w:rsidRPr="00B004EE">
        <w:rPr>
          <w:rFonts w:ascii="Tahoma" w:hAnsi="Tahoma" w:cs="Tahoma"/>
          <w:sz w:val="20"/>
          <w:szCs w:val="20"/>
        </w:rPr>
        <w:t>chargé</w:t>
      </w:r>
      <w:r w:rsidR="00DB1635" w:rsidRPr="00B004EE">
        <w:rPr>
          <w:rFonts w:ascii="Tahoma" w:hAnsi="Tahoma" w:cs="Tahoma"/>
          <w:sz w:val="20"/>
          <w:szCs w:val="20"/>
        </w:rPr>
        <w:t xml:space="preserve"> </w:t>
      </w:r>
      <w:r w:rsidR="002F24E1" w:rsidRPr="00B004EE">
        <w:rPr>
          <w:rFonts w:ascii="Tahoma" w:hAnsi="Tahoma" w:cs="Tahoma"/>
          <w:sz w:val="20"/>
          <w:szCs w:val="20"/>
        </w:rPr>
        <w:t>des</w:t>
      </w:r>
      <w:r w:rsidR="00DB1635" w:rsidRPr="00B004EE">
        <w:rPr>
          <w:rFonts w:ascii="Tahoma" w:hAnsi="Tahoma" w:cs="Tahoma"/>
          <w:sz w:val="20"/>
          <w:szCs w:val="20"/>
        </w:rPr>
        <w:t xml:space="preserve"> </w:t>
      </w:r>
      <w:r w:rsidR="002F24E1" w:rsidRPr="00B004EE">
        <w:rPr>
          <w:rFonts w:ascii="Tahoma" w:hAnsi="Tahoma" w:cs="Tahoma"/>
          <w:sz w:val="20"/>
          <w:szCs w:val="20"/>
        </w:rPr>
        <w:t>pêches</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l'Economie</w:t>
      </w:r>
      <w:r w:rsidR="00DB1635" w:rsidRPr="00B004EE">
        <w:rPr>
          <w:rFonts w:ascii="Tahoma" w:hAnsi="Tahoma" w:cs="Tahoma"/>
          <w:sz w:val="20"/>
          <w:szCs w:val="20"/>
        </w:rPr>
        <w:t xml:space="preserve"> </w:t>
      </w:r>
      <w:r w:rsidR="002F24E1" w:rsidRPr="00B004EE">
        <w:rPr>
          <w:rFonts w:ascii="Tahoma" w:hAnsi="Tahoma" w:cs="Tahoma"/>
          <w:sz w:val="20"/>
          <w:szCs w:val="20"/>
        </w:rPr>
        <w:t>maritime</w:t>
      </w:r>
      <w:r w:rsidR="00DB1635" w:rsidRPr="00B004EE">
        <w:rPr>
          <w:rFonts w:ascii="Tahoma" w:hAnsi="Tahoma" w:cs="Tahoma"/>
          <w:sz w:val="20"/>
          <w:szCs w:val="20"/>
        </w:rPr>
        <w:t xml:space="preserve"> </w:t>
      </w:r>
      <w:r w:rsidR="002F24E1" w:rsidRPr="00B004EE">
        <w:rPr>
          <w:rFonts w:ascii="Tahoma" w:hAnsi="Tahoma" w:cs="Tahoma"/>
          <w:sz w:val="20"/>
          <w:szCs w:val="20"/>
        </w:rPr>
        <w:t>une</w:t>
      </w:r>
      <w:r w:rsidR="00DB1635" w:rsidRPr="00B004EE">
        <w:rPr>
          <w:rFonts w:ascii="Tahoma" w:hAnsi="Tahoma" w:cs="Tahoma"/>
          <w:sz w:val="20"/>
          <w:szCs w:val="20"/>
        </w:rPr>
        <w:t xml:space="preserve"> </w:t>
      </w:r>
      <w:r w:rsidR="002F24E1" w:rsidRPr="00B004EE">
        <w:rPr>
          <w:rFonts w:ascii="Tahoma" w:hAnsi="Tahoma" w:cs="Tahoma"/>
          <w:sz w:val="20"/>
          <w:szCs w:val="20"/>
        </w:rPr>
        <w:t>demande</w:t>
      </w:r>
      <w:r w:rsidR="00DB1635" w:rsidRPr="00B004EE">
        <w:rPr>
          <w:rFonts w:ascii="Tahoma" w:hAnsi="Tahoma" w:cs="Tahoma"/>
          <w:sz w:val="20"/>
          <w:szCs w:val="20"/>
        </w:rPr>
        <w:t xml:space="preserve"> </w:t>
      </w:r>
      <w:r w:rsidR="002F24E1" w:rsidRPr="00B004EE">
        <w:rPr>
          <w:rFonts w:ascii="Tahoma" w:hAnsi="Tahoma" w:cs="Tahoma"/>
          <w:sz w:val="20"/>
          <w:szCs w:val="20"/>
        </w:rPr>
        <w:t>d'agrément</w:t>
      </w:r>
      <w:r w:rsidR="00DB1635" w:rsidRPr="00B004EE">
        <w:rPr>
          <w:rFonts w:ascii="Tahoma" w:hAnsi="Tahoma" w:cs="Tahoma"/>
          <w:sz w:val="20"/>
          <w:szCs w:val="20"/>
        </w:rPr>
        <w:t xml:space="preserve"> </w:t>
      </w:r>
      <w:r w:rsidR="002F24E1" w:rsidRPr="00B004EE">
        <w:rPr>
          <w:rFonts w:ascii="Tahoma" w:hAnsi="Tahoma" w:cs="Tahoma"/>
          <w:sz w:val="20"/>
          <w:szCs w:val="20"/>
        </w:rPr>
        <w:t>valant</w:t>
      </w:r>
      <w:r w:rsidR="00DB1635" w:rsidRPr="00B004EE">
        <w:rPr>
          <w:rFonts w:ascii="Tahoma" w:hAnsi="Tahoma" w:cs="Tahoma"/>
          <w:sz w:val="20"/>
          <w:szCs w:val="20"/>
        </w:rPr>
        <w:t xml:space="preserve"> </w:t>
      </w:r>
      <w:r w:rsidR="002F24E1" w:rsidRPr="00B004EE">
        <w:rPr>
          <w:rFonts w:ascii="Tahoma" w:hAnsi="Tahoma" w:cs="Tahoma"/>
          <w:sz w:val="20"/>
          <w:szCs w:val="20"/>
        </w:rPr>
        <w:t>déclarations.</w:t>
      </w:r>
      <w:r w:rsidR="00DB1635" w:rsidRPr="00B004EE">
        <w:rPr>
          <w:rFonts w:ascii="Tahoma" w:hAnsi="Tahoma" w:cs="Tahoma"/>
          <w:sz w:val="20"/>
          <w:szCs w:val="20"/>
        </w:rPr>
        <w:t xml:space="preserve"> </w:t>
      </w:r>
      <w:r w:rsidR="002F24E1" w:rsidRPr="00B004EE">
        <w:rPr>
          <w:rFonts w:ascii="Tahoma" w:hAnsi="Tahoma" w:cs="Tahoma"/>
          <w:sz w:val="20"/>
          <w:szCs w:val="20"/>
        </w:rPr>
        <w:t>Le</w:t>
      </w:r>
      <w:r w:rsidR="00DB1635" w:rsidRPr="00B004EE">
        <w:rPr>
          <w:rFonts w:ascii="Tahoma" w:hAnsi="Tahoma" w:cs="Tahoma"/>
          <w:sz w:val="20"/>
          <w:szCs w:val="20"/>
        </w:rPr>
        <w:t xml:space="preserve"> </w:t>
      </w:r>
      <w:r w:rsidR="002F24E1" w:rsidRPr="00B004EE">
        <w:rPr>
          <w:rFonts w:ascii="Tahoma" w:hAnsi="Tahoma" w:cs="Tahoma"/>
          <w:sz w:val="20"/>
          <w:szCs w:val="20"/>
        </w:rPr>
        <w:t>Ministère</w:t>
      </w:r>
      <w:r w:rsidR="00DB1635" w:rsidRPr="00B004EE">
        <w:rPr>
          <w:rFonts w:ascii="Tahoma" w:hAnsi="Tahoma" w:cs="Tahoma"/>
          <w:sz w:val="20"/>
          <w:szCs w:val="20"/>
        </w:rPr>
        <w:t xml:space="preserve"> </w:t>
      </w:r>
      <w:r w:rsidR="002F24E1" w:rsidRPr="00B004EE">
        <w:rPr>
          <w:rFonts w:ascii="Tahoma" w:hAnsi="Tahoma" w:cs="Tahoma"/>
          <w:sz w:val="20"/>
          <w:szCs w:val="20"/>
        </w:rPr>
        <w:t>adresse</w:t>
      </w:r>
      <w:r w:rsidR="00DB1635" w:rsidRPr="00B004EE">
        <w:rPr>
          <w:rFonts w:ascii="Tahoma" w:hAnsi="Tahoma" w:cs="Tahoma"/>
          <w:sz w:val="20"/>
          <w:szCs w:val="20"/>
        </w:rPr>
        <w:t xml:space="preserve"> </w:t>
      </w:r>
      <w:r w:rsidR="002F24E1" w:rsidRPr="00B004EE">
        <w:rPr>
          <w:rFonts w:ascii="Tahoma" w:hAnsi="Tahoma" w:cs="Tahoma"/>
          <w:sz w:val="20"/>
          <w:szCs w:val="20"/>
        </w:rPr>
        <w:t>une</w:t>
      </w:r>
      <w:r w:rsidR="00DB1635" w:rsidRPr="00B004EE">
        <w:rPr>
          <w:rFonts w:ascii="Tahoma" w:hAnsi="Tahoma" w:cs="Tahoma"/>
          <w:sz w:val="20"/>
          <w:szCs w:val="20"/>
        </w:rPr>
        <w:t xml:space="preserve"> </w:t>
      </w:r>
      <w:r w:rsidR="002F24E1" w:rsidRPr="00B004EE">
        <w:rPr>
          <w:rFonts w:ascii="Tahoma" w:hAnsi="Tahoma" w:cs="Tahoma"/>
          <w:sz w:val="20"/>
          <w:szCs w:val="20"/>
        </w:rPr>
        <w:t>copie</w:t>
      </w:r>
      <w:r w:rsidR="00DB1635" w:rsidRPr="00B004EE">
        <w:rPr>
          <w:rFonts w:ascii="Tahoma" w:hAnsi="Tahoma" w:cs="Tahoma"/>
          <w:sz w:val="20"/>
          <w:szCs w:val="20"/>
        </w:rPr>
        <w:t xml:space="preserve"> </w:t>
      </w:r>
      <w:r w:rsidR="002F24E1" w:rsidRPr="00B004EE">
        <w:rPr>
          <w:rFonts w:ascii="Tahoma" w:hAnsi="Tahoma" w:cs="Tahoma"/>
          <w:sz w:val="20"/>
          <w:szCs w:val="20"/>
        </w:rPr>
        <w:t>au</w:t>
      </w:r>
      <w:r w:rsidR="00DB1635" w:rsidRPr="00B004EE">
        <w:rPr>
          <w:rFonts w:ascii="Tahoma" w:hAnsi="Tahoma" w:cs="Tahoma"/>
          <w:sz w:val="20"/>
          <w:szCs w:val="20"/>
        </w:rPr>
        <w:t xml:space="preserve"> </w:t>
      </w:r>
      <w:r w:rsidR="002F24E1" w:rsidRPr="00B004EE">
        <w:rPr>
          <w:rFonts w:ascii="Tahoma" w:hAnsi="Tahoma" w:cs="Tahoma"/>
          <w:sz w:val="20"/>
          <w:szCs w:val="20"/>
        </w:rPr>
        <w:t>CNROP</w:t>
      </w:r>
      <w:r w:rsidR="00DB1635" w:rsidRPr="00B004EE">
        <w:rPr>
          <w:rFonts w:ascii="Tahoma" w:hAnsi="Tahoma" w:cs="Tahoma"/>
          <w:sz w:val="20"/>
          <w:szCs w:val="20"/>
        </w:rPr>
        <w:t xml:space="preserve"> </w:t>
      </w:r>
      <w:r w:rsidR="002F24E1" w:rsidRPr="00B004EE">
        <w:rPr>
          <w:rFonts w:ascii="Tahoma" w:hAnsi="Tahoma" w:cs="Tahoma"/>
          <w:sz w:val="20"/>
          <w:szCs w:val="20"/>
        </w:rPr>
        <w:t>pour</w:t>
      </w:r>
      <w:r w:rsidR="00DB1635" w:rsidRPr="00B004EE">
        <w:rPr>
          <w:rFonts w:ascii="Tahoma" w:hAnsi="Tahoma" w:cs="Tahoma"/>
          <w:sz w:val="20"/>
          <w:szCs w:val="20"/>
        </w:rPr>
        <w:t xml:space="preserve"> </w:t>
      </w:r>
      <w:r w:rsidR="002F24E1" w:rsidRPr="00B004EE">
        <w:rPr>
          <w:rFonts w:ascii="Tahoma" w:hAnsi="Tahoma" w:cs="Tahoma"/>
          <w:sz w:val="20"/>
          <w:szCs w:val="20"/>
        </w:rPr>
        <w:t>avis</w:t>
      </w:r>
      <w:r w:rsidR="00DB1635" w:rsidRPr="00B004EE">
        <w:rPr>
          <w:rFonts w:ascii="Tahoma" w:hAnsi="Tahoma" w:cs="Tahoma"/>
          <w:sz w:val="20"/>
          <w:szCs w:val="20"/>
        </w:rPr>
        <w:t xml:space="preserve"> </w:t>
      </w:r>
      <w:r w:rsidR="002F24E1" w:rsidRPr="00B004EE">
        <w:rPr>
          <w:rFonts w:ascii="Tahoma" w:hAnsi="Tahoma" w:cs="Tahoma"/>
          <w:sz w:val="20"/>
          <w:szCs w:val="20"/>
        </w:rPr>
        <w:t>technique.</w:t>
      </w:r>
      <w:r w:rsidR="00DB1635" w:rsidRPr="00B004EE">
        <w:rPr>
          <w:rFonts w:ascii="Tahoma" w:hAnsi="Tahoma" w:cs="Tahoma"/>
          <w:sz w:val="20"/>
          <w:szCs w:val="20"/>
        </w:rPr>
        <w:t xml:space="preserve"> </w:t>
      </w:r>
      <w:r w:rsidR="002F24E1" w:rsidRPr="00B004EE">
        <w:rPr>
          <w:rFonts w:ascii="Tahoma" w:hAnsi="Tahoma" w:cs="Tahoma"/>
          <w:sz w:val="20"/>
          <w:szCs w:val="20"/>
        </w:rPr>
        <w:t>Cette</w:t>
      </w:r>
      <w:r w:rsidR="00DB1635" w:rsidRPr="00B004EE">
        <w:rPr>
          <w:rFonts w:ascii="Tahoma" w:hAnsi="Tahoma" w:cs="Tahoma"/>
          <w:sz w:val="20"/>
          <w:szCs w:val="20"/>
        </w:rPr>
        <w:t xml:space="preserve"> </w:t>
      </w:r>
      <w:r w:rsidR="002F24E1" w:rsidRPr="00B004EE">
        <w:rPr>
          <w:rFonts w:ascii="Tahoma" w:hAnsi="Tahoma" w:cs="Tahoma"/>
          <w:sz w:val="20"/>
          <w:szCs w:val="20"/>
        </w:rPr>
        <w:t>demande</w:t>
      </w:r>
      <w:r w:rsidR="00DB1635" w:rsidRPr="00B004EE">
        <w:rPr>
          <w:rFonts w:ascii="Tahoma" w:hAnsi="Tahoma" w:cs="Tahoma"/>
          <w:sz w:val="20"/>
          <w:szCs w:val="20"/>
        </w:rPr>
        <w:t xml:space="preserve"> </w:t>
      </w:r>
      <w:r w:rsidR="002F24E1" w:rsidRPr="00B004EE">
        <w:rPr>
          <w:rFonts w:ascii="Tahoma" w:hAnsi="Tahoma" w:cs="Tahoma"/>
          <w:sz w:val="20"/>
          <w:szCs w:val="20"/>
        </w:rPr>
        <w:t>comporte</w:t>
      </w:r>
      <w:r w:rsidR="00DB1635" w:rsidRPr="00B004EE">
        <w:rPr>
          <w:rFonts w:ascii="Tahoma" w:hAnsi="Tahoma" w:cs="Tahoma"/>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2F24E1" w:rsidRPr="00B004EE">
        <w:rPr>
          <w:rFonts w:ascii="Tahoma" w:hAnsi="Tahoma" w:cs="Tahoma"/>
          <w:sz w:val="20"/>
          <w:szCs w:val="20"/>
        </w:rPr>
        <w:t>indications</w:t>
      </w:r>
      <w:r w:rsidR="00DB1635" w:rsidRPr="00B004EE">
        <w:rPr>
          <w:rFonts w:ascii="Tahoma" w:hAnsi="Tahoma" w:cs="Tahoma"/>
          <w:sz w:val="20"/>
          <w:szCs w:val="20"/>
        </w:rPr>
        <w:t xml:space="preserve"> </w:t>
      </w:r>
      <w:r w:rsidR="007562A8" w:rsidRPr="00B004EE">
        <w:rPr>
          <w:rFonts w:ascii="Tahoma" w:hAnsi="Tahoma" w:cs="Tahoma"/>
          <w:sz w:val="20"/>
          <w:szCs w:val="20"/>
        </w:rPr>
        <w:t>suivantes :</w:t>
      </w:r>
    </w:p>
    <w:p w14:paraId="39C9F6BB" w14:textId="1F5D471E" w:rsidR="002F24E1" w:rsidRPr="00B004EE" w:rsidRDefault="002F24E1" w:rsidP="00B004EE">
      <w:pPr>
        <w:jc w:val="both"/>
        <w:rPr>
          <w:rFonts w:ascii="Tahoma" w:hAnsi="Tahoma" w:cs="Tahoma"/>
          <w:sz w:val="20"/>
          <w:szCs w:val="20"/>
        </w:rPr>
      </w:pPr>
      <w:r w:rsidRPr="00B004EE">
        <w:rPr>
          <w:rFonts w:ascii="Tahoma" w:hAnsi="Tahoma" w:cs="Tahoma"/>
          <w:sz w:val="20"/>
          <w:szCs w:val="20"/>
        </w:rPr>
        <w:tab/>
        <w:t>a)</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007562A8" w:rsidRPr="00B004EE">
        <w:rPr>
          <w:rFonts w:ascii="Tahoma" w:hAnsi="Tahoma" w:cs="Tahoma"/>
          <w:sz w:val="20"/>
          <w:szCs w:val="20"/>
        </w:rPr>
        <w:t>particuliers :</w:t>
      </w:r>
      <w:r w:rsidR="00DB1635" w:rsidRPr="00B004EE">
        <w:rPr>
          <w:rFonts w:ascii="Tahoma" w:hAnsi="Tahoma" w:cs="Tahoma"/>
          <w:sz w:val="20"/>
          <w:szCs w:val="20"/>
        </w:rPr>
        <w:t xml:space="preserve"> </w:t>
      </w:r>
      <w:r w:rsidRPr="00B004EE">
        <w:rPr>
          <w:rFonts w:ascii="Tahoma" w:hAnsi="Tahoma" w:cs="Tahoma"/>
          <w:sz w:val="20"/>
          <w:szCs w:val="20"/>
        </w:rPr>
        <w:t>L'identité</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domicile</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demandeur,</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siège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l'établissement,</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désignation</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composition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007562A8" w:rsidRPr="00B004EE">
        <w:rPr>
          <w:rFonts w:ascii="Tahoma" w:hAnsi="Tahoma" w:cs="Tahoma"/>
          <w:sz w:val="20"/>
          <w:szCs w:val="20"/>
        </w:rPr>
        <w:t>finis ;</w:t>
      </w:r>
    </w:p>
    <w:p w14:paraId="140B3EAD" w14:textId="7F83C415" w:rsidR="002F24E1" w:rsidRPr="00B004EE" w:rsidRDefault="002F24E1" w:rsidP="00B004EE">
      <w:pPr>
        <w:jc w:val="both"/>
        <w:rPr>
          <w:rFonts w:ascii="Tahoma" w:hAnsi="Tahoma" w:cs="Tahoma"/>
          <w:sz w:val="20"/>
          <w:szCs w:val="20"/>
        </w:rPr>
      </w:pPr>
      <w:r w:rsidRPr="00B004EE">
        <w:rPr>
          <w:rFonts w:ascii="Tahoma" w:hAnsi="Tahoma" w:cs="Tahoma"/>
          <w:sz w:val="20"/>
          <w:szCs w:val="20"/>
        </w:rPr>
        <w:lastRenderedPageBreak/>
        <w:tab/>
        <w:t>b)</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sociétés</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groupements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007562A8" w:rsidRPr="00B004EE">
        <w:rPr>
          <w:rFonts w:ascii="Tahoma" w:hAnsi="Tahoma" w:cs="Tahoma"/>
          <w:sz w:val="20"/>
          <w:szCs w:val="20"/>
        </w:rPr>
        <w:t>particuliers :</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raison</w:t>
      </w:r>
      <w:r w:rsidR="00DB1635" w:rsidRPr="00B004EE">
        <w:rPr>
          <w:rFonts w:ascii="Tahoma" w:hAnsi="Tahoma" w:cs="Tahoma"/>
          <w:sz w:val="20"/>
          <w:szCs w:val="20"/>
        </w:rPr>
        <w:t xml:space="preserve"> </w:t>
      </w:r>
      <w:r w:rsidRPr="00B004EE">
        <w:rPr>
          <w:rFonts w:ascii="Tahoma" w:hAnsi="Tahoma" w:cs="Tahoma"/>
          <w:sz w:val="20"/>
          <w:szCs w:val="20"/>
        </w:rPr>
        <w:t>sociale,</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siège</w:t>
      </w:r>
      <w:r w:rsidR="00DB1635" w:rsidRPr="00B004EE">
        <w:rPr>
          <w:rFonts w:ascii="Tahoma" w:hAnsi="Tahoma" w:cs="Tahoma"/>
          <w:sz w:val="20"/>
          <w:szCs w:val="20"/>
        </w:rPr>
        <w:t xml:space="preserve"> </w:t>
      </w:r>
      <w:r w:rsidRPr="00B004EE">
        <w:rPr>
          <w:rFonts w:ascii="Tahoma" w:hAnsi="Tahoma" w:cs="Tahoma"/>
          <w:sz w:val="20"/>
          <w:szCs w:val="20"/>
        </w:rPr>
        <w:t>social,</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qualité</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signataire,</w:t>
      </w:r>
      <w:r w:rsidR="00DB1635" w:rsidRPr="00B004EE">
        <w:rPr>
          <w:rFonts w:ascii="Tahoma" w:hAnsi="Tahoma" w:cs="Tahoma"/>
          <w:sz w:val="20"/>
          <w:szCs w:val="20"/>
        </w:rPr>
        <w:t xml:space="preserve"> </w:t>
      </w:r>
      <w:r w:rsidRPr="00B004EE">
        <w:rPr>
          <w:rFonts w:ascii="Tahoma" w:hAnsi="Tahoma" w:cs="Tahoma"/>
          <w:sz w:val="20"/>
          <w:szCs w:val="20"/>
        </w:rPr>
        <w:t>l'identité</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responsable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société</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groupement,</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désignation</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composition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finis.</w:t>
      </w:r>
    </w:p>
    <w:p w14:paraId="0E70250E" w14:textId="77777777" w:rsidR="002F24E1" w:rsidRPr="00B004EE" w:rsidRDefault="002F24E1" w:rsidP="00B004EE">
      <w:pPr>
        <w:jc w:val="both"/>
        <w:rPr>
          <w:rFonts w:ascii="Tahoma" w:hAnsi="Tahoma" w:cs="Tahoma"/>
          <w:sz w:val="20"/>
          <w:szCs w:val="20"/>
        </w:rPr>
      </w:pPr>
    </w:p>
    <w:p w14:paraId="7F4A3205" w14:textId="6ECC7AD1" w:rsidR="002F24E1" w:rsidRPr="00B004EE" w:rsidRDefault="002F24E1" w:rsidP="00B004EE">
      <w:pPr>
        <w:jc w:val="both"/>
        <w:rPr>
          <w:rFonts w:ascii="Tahoma" w:hAnsi="Tahoma" w:cs="Tahoma"/>
          <w:sz w:val="20"/>
          <w:szCs w:val="20"/>
        </w:rPr>
      </w:pPr>
      <w:r w:rsidRPr="00B004EE">
        <w:rPr>
          <w:rFonts w:ascii="Tahoma" w:hAnsi="Tahoma" w:cs="Tahoma"/>
          <w:sz w:val="20"/>
          <w:szCs w:val="20"/>
        </w:rPr>
        <w:tab/>
        <w:t>La</w:t>
      </w:r>
      <w:r w:rsidR="00DB1635" w:rsidRPr="00B004EE">
        <w:rPr>
          <w:rFonts w:ascii="Tahoma" w:hAnsi="Tahoma" w:cs="Tahoma"/>
          <w:sz w:val="20"/>
          <w:szCs w:val="20"/>
        </w:rPr>
        <w:t xml:space="preserve"> </w:t>
      </w:r>
      <w:r w:rsidRPr="00B004EE">
        <w:rPr>
          <w:rFonts w:ascii="Tahoma" w:hAnsi="Tahoma" w:cs="Tahoma"/>
          <w:sz w:val="20"/>
          <w:szCs w:val="20"/>
        </w:rPr>
        <w:t>demande</w:t>
      </w:r>
      <w:r w:rsidR="00DB1635" w:rsidRPr="00B004EE">
        <w:rPr>
          <w:rFonts w:ascii="Tahoma" w:hAnsi="Tahoma" w:cs="Tahoma"/>
          <w:sz w:val="20"/>
          <w:szCs w:val="20"/>
        </w:rPr>
        <w:t xml:space="preserve"> </w:t>
      </w:r>
      <w:r w:rsidRPr="00B004EE">
        <w:rPr>
          <w:rFonts w:ascii="Tahoma" w:hAnsi="Tahoma" w:cs="Tahoma"/>
          <w:sz w:val="20"/>
          <w:szCs w:val="20"/>
        </w:rPr>
        <w:t>doit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accompagnée,</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outre,</w:t>
      </w:r>
      <w:r w:rsidR="00DB1635" w:rsidRPr="00B004EE">
        <w:rPr>
          <w:rFonts w:ascii="Tahoma" w:hAnsi="Tahoma" w:cs="Tahoma"/>
          <w:sz w:val="20"/>
          <w:szCs w:val="20"/>
        </w:rPr>
        <w:t xml:space="preserve"> </w:t>
      </w:r>
      <w:r w:rsidRPr="00B004EE">
        <w:rPr>
          <w:rFonts w:ascii="Tahoma" w:hAnsi="Tahoma" w:cs="Tahoma"/>
          <w:sz w:val="20"/>
          <w:szCs w:val="20"/>
        </w:rPr>
        <w:t>d'un</w:t>
      </w:r>
      <w:r w:rsidR="00DB1635" w:rsidRPr="00B004EE">
        <w:rPr>
          <w:rFonts w:ascii="Tahoma" w:hAnsi="Tahoma" w:cs="Tahoma"/>
          <w:sz w:val="20"/>
          <w:szCs w:val="20"/>
        </w:rPr>
        <w:t xml:space="preserve"> </w:t>
      </w:r>
      <w:r w:rsidRPr="00B004EE">
        <w:rPr>
          <w:rFonts w:ascii="Tahoma" w:hAnsi="Tahoma" w:cs="Tahoma"/>
          <w:sz w:val="20"/>
          <w:szCs w:val="20"/>
        </w:rPr>
        <w:t>plan</w:t>
      </w:r>
      <w:r w:rsidR="00DB1635" w:rsidRPr="00B004EE">
        <w:rPr>
          <w:rFonts w:ascii="Tahoma" w:hAnsi="Tahoma" w:cs="Tahoma"/>
          <w:sz w:val="20"/>
          <w:szCs w:val="20"/>
        </w:rPr>
        <w:t xml:space="preserve"> </w:t>
      </w:r>
      <w:r w:rsidRPr="00B004EE">
        <w:rPr>
          <w:rFonts w:ascii="Tahoma" w:hAnsi="Tahoma" w:cs="Tahoma"/>
          <w:sz w:val="20"/>
          <w:szCs w:val="20"/>
        </w:rPr>
        <w:t>d'ensemble</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navire-usine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l'échelle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1/200</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minimum</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d'une</w:t>
      </w:r>
      <w:r w:rsidR="00DB1635" w:rsidRPr="00B004EE">
        <w:rPr>
          <w:rFonts w:ascii="Tahoma" w:hAnsi="Tahoma" w:cs="Tahoma"/>
          <w:sz w:val="20"/>
          <w:szCs w:val="20"/>
        </w:rPr>
        <w:t xml:space="preserve"> </w:t>
      </w:r>
      <w:r w:rsidRPr="00B004EE">
        <w:rPr>
          <w:rFonts w:ascii="Tahoma" w:hAnsi="Tahoma" w:cs="Tahoma"/>
          <w:sz w:val="20"/>
          <w:szCs w:val="20"/>
        </w:rPr>
        <w:t>notice</w:t>
      </w:r>
      <w:r w:rsidR="00DB1635" w:rsidRPr="00B004EE">
        <w:rPr>
          <w:rFonts w:ascii="Tahoma" w:hAnsi="Tahoma" w:cs="Tahoma"/>
          <w:sz w:val="20"/>
          <w:szCs w:val="20"/>
        </w:rPr>
        <w:t xml:space="preserve"> </w:t>
      </w:r>
      <w:r w:rsidR="007562A8" w:rsidRPr="00B004EE">
        <w:rPr>
          <w:rFonts w:ascii="Tahoma" w:hAnsi="Tahoma" w:cs="Tahoma"/>
          <w:sz w:val="20"/>
          <w:szCs w:val="20"/>
        </w:rPr>
        <w:t>indiquant :</w:t>
      </w:r>
    </w:p>
    <w:p w14:paraId="5C6DE2E6" w14:textId="1FF14EC7" w:rsidR="002F24E1" w:rsidRPr="00B004EE" w:rsidRDefault="002F24E1" w:rsidP="00B004EE">
      <w:pPr>
        <w:numPr>
          <w:ilvl w:val="0"/>
          <w:numId w:val="3"/>
        </w:numPr>
        <w:tabs>
          <w:tab w:val="left" w:pos="284"/>
        </w:tabs>
        <w:ind w:left="284"/>
        <w:jc w:val="both"/>
        <w:rPr>
          <w:rFonts w:ascii="Tahoma" w:hAnsi="Tahoma" w:cs="Tahoma"/>
          <w:sz w:val="20"/>
          <w:szCs w:val="20"/>
        </w:rPr>
      </w:pPr>
      <w:proofErr w:type="gramStart"/>
      <w:r w:rsidRPr="00B004EE">
        <w:rPr>
          <w:rFonts w:ascii="Tahoma" w:hAnsi="Tahoma" w:cs="Tahoma"/>
          <w:sz w:val="20"/>
          <w:szCs w:val="20"/>
        </w:rPr>
        <w:t>la</w:t>
      </w:r>
      <w:proofErr w:type="gramEnd"/>
      <w:r w:rsidR="00DB1635" w:rsidRPr="00B004EE">
        <w:rPr>
          <w:rFonts w:ascii="Tahoma" w:hAnsi="Tahoma" w:cs="Tahoma"/>
          <w:sz w:val="20"/>
          <w:szCs w:val="20"/>
        </w:rPr>
        <w:t xml:space="preserve"> </w:t>
      </w:r>
      <w:r w:rsidRPr="00B004EE">
        <w:rPr>
          <w:rFonts w:ascii="Tahoma" w:hAnsi="Tahoma" w:cs="Tahoma"/>
          <w:sz w:val="20"/>
          <w:szCs w:val="20"/>
        </w:rPr>
        <w:t>description</w:t>
      </w:r>
      <w:r w:rsidR="00DB1635" w:rsidRPr="00B004EE">
        <w:rPr>
          <w:rFonts w:ascii="Tahoma" w:hAnsi="Tahoma" w:cs="Tahoma"/>
          <w:sz w:val="20"/>
          <w:szCs w:val="20"/>
        </w:rPr>
        <w:t xml:space="preserve"> </w:t>
      </w:r>
      <w:r w:rsidRPr="00B004EE">
        <w:rPr>
          <w:rFonts w:ascii="Tahoma" w:hAnsi="Tahoma" w:cs="Tahoma"/>
          <w:sz w:val="20"/>
          <w:szCs w:val="20"/>
        </w:rPr>
        <w:t>détaillée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locaux</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leurs</w:t>
      </w:r>
      <w:r w:rsidR="00DB1635" w:rsidRPr="00B004EE">
        <w:rPr>
          <w:rFonts w:ascii="Tahoma" w:hAnsi="Tahoma" w:cs="Tahoma"/>
          <w:sz w:val="20"/>
          <w:szCs w:val="20"/>
        </w:rPr>
        <w:t xml:space="preserve"> </w:t>
      </w:r>
      <w:r w:rsidRPr="00B004EE">
        <w:rPr>
          <w:rFonts w:ascii="Tahoma" w:hAnsi="Tahoma" w:cs="Tahoma"/>
          <w:sz w:val="20"/>
          <w:szCs w:val="20"/>
        </w:rPr>
        <w:t>affectations,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circuits</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comestibles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non</w:t>
      </w:r>
      <w:r w:rsidR="00DB1635" w:rsidRPr="00B004EE">
        <w:rPr>
          <w:rFonts w:ascii="Tahoma" w:hAnsi="Tahoma" w:cs="Tahoma"/>
          <w:sz w:val="20"/>
          <w:szCs w:val="20"/>
        </w:rPr>
        <w:t xml:space="preserve"> </w:t>
      </w:r>
      <w:r w:rsidRPr="00B004EE">
        <w:rPr>
          <w:rFonts w:ascii="Tahoma" w:hAnsi="Tahoma" w:cs="Tahoma"/>
          <w:sz w:val="20"/>
          <w:szCs w:val="20"/>
        </w:rPr>
        <w:t>comestibles;</w:t>
      </w:r>
    </w:p>
    <w:p w14:paraId="7EA67FC5" w14:textId="107A26F5" w:rsidR="002F24E1" w:rsidRPr="00B004EE" w:rsidRDefault="002F24E1" w:rsidP="00B004EE">
      <w:pPr>
        <w:numPr>
          <w:ilvl w:val="0"/>
          <w:numId w:val="3"/>
        </w:numPr>
        <w:tabs>
          <w:tab w:val="left" w:pos="284"/>
        </w:tabs>
        <w:ind w:left="284"/>
        <w:jc w:val="both"/>
        <w:rPr>
          <w:rFonts w:ascii="Tahoma" w:hAnsi="Tahoma" w:cs="Tahoma"/>
          <w:sz w:val="20"/>
          <w:szCs w:val="20"/>
        </w:rPr>
      </w:pPr>
      <w:proofErr w:type="gramStart"/>
      <w:r w:rsidRPr="00B004EE">
        <w:rPr>
          <w:rFonts w:ascii="Tahoma" w:hAnsi="Tahoma" w:cs="Tahoma"/>
          <w:sz w:val="20"/>
          <w:szCs w:val="20"/>
        </w:rPr>
        <w:t>la</w:t>
      </w:r>
      <w:proofErr w:type="gramEnd"/>
      <w:r w:rsidR="00DB1635" w:rsidRPr="00B004EE">
        <w:rPr>
          <w:rFonts w:ascii="Tahoma" w:hAnsi="Tahoma" w:cs="Tahoma"/>
          <w:sz w:val="20"/>
          <w:szCs w:val="20"/>
        </w:rPr>
        <w:t xml:space="preserve"> </w:t>
      </w:r>
      <w:r w:rsidRPr="00B004EE">
        <w:rPr>
          <w:rFonts w:ascii="Tahoma" w:hAnsi="Tahoma" w:cs="Tahoma"/>
          <w:sz w:val="20"/>
          <w:szCs w:val="20"/>
        </w:rPr>
        <w:t>description</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matériel</w:t>
      </w:r>
      <w:r w:rsidR="00DB1635" w:rsidRPr="00B004EE">
        <w:rPr>
          <w:rFonts w:ascii="Tahoma" w:hAnsi="Tahoma" w:cs="Tahoma"/>
          <w:sz w:val="20"/>
          <w:szCs w:val="20"/>
        </w:rPr>
        <w:t xml:space="preserve"> </w:t>
      </w:r>
      <w:r w:rsidRPr="00B004EE">
        <w:rPr>
          <w:rFonts w:ascii="Tahoma" w:hAnsi="Tahoma" w:cs="Tahoma"/>
          <w:sz w:val="20"/>
          <w:szCs w:val="20"/>
        </w:rPr>
        <w:t>utilisé;</w:t>
      </w:r>
    </w:p>
    <w:p w14:paraId="5480B030" w14:textId="791AA2DF" w:rsidR="002F24E1" w:rsidRPr="00B004EE" w:rsidRDefault="002F24E1" w:rsidP="00B004EE">
      <w:pPr>
        <w:numPr>
          <w:ilvl w:val="0"/>
          <w:numId w:val="3"/>
        </w:numPr>
        <w:tabs>
          <w:tab w:val="left" w:pos="284"/>
        </w:tabs>
        <w:ind w:left="284"/>
        <w:jc w:val="both"/>
        <w:rPr>
          <w:rFonts w:ascii="Tahoma" w:hAnsi="Tahoma" w:cs="Tahoma"/>
          <w:sz w:val="20"/>
          <w:szCs w:val="20"/>
        </w:rPr>
      </w:pPr>
      <w:proofErr w:type="gramStart"/>
      <w:r w:rsidRPr="00B004EE">
        <w:rPr>
          <w:rFonts w:ascii="Tahoma" w:hAnsi="Tahoma" w:cs="Tahoma"/>
          <w:sz w:val="20"/>
          <w:szCs w:val="20"/>
        </w:rPr>
        <w:t>la</w:t>
      </w:r>
      <w:proofErr w:type="gramEnd"/>
      <w:r w:rsidR="00DB1635" w:rsidRPr="00B004EE">
        <w:rPr>
          <w:rFonts w:ascii="Tahoma" w:hAnsi="Tahoma" w:cs="Tahoma"/>
          <w:sz w:val="20"/>
          <w:szCs w:val="20"/>
        </w:rPr>
        <w:t xml:space="preserve"> </w:t>
      </w:r>
      <w:r w:rsidRPr="00B004EE">
        <w:rPr>
          <w:rFonts w:ascii="Tahoma" w:hAnsi="Tahoma" w:cs="Tahoma"/>
          <w:sz w:val="20"/>
          <w:szCs w:val="20"/>
        </w:rPr>
        <w:t>capacité</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stockage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matières</w:t>
      </w:r>
      <w:r w:rsidR="00DB1635" w:rsidRPr="00B004EE">
        <w:rPr>
          <w:rFonts w:ascii="Tahoma" w:hAnsi="Tahoma" w:cs="Tahoma"/>
          <w:sz w:val="20"/>
          <w:szCs w:val="20"/>
        </w:rPr>
        <w:t xml:space="preserve"> </w:t>
      </w:r>
      <w:r w:rsidRPr="00B004EE">
        <w:rPr>
          <w:rFonts w:ascii="Tahoma" w:hAnsi="Tahoma" w:cs="Tahoma"/>
          <w:sz w:val="20"/>
          <w:szCs w:val="20"/>
        </w:rPr>
        <w:t>premières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finis,</w:t>
      </w:r>
      <w:r w:rsidR="00DB1635" w:rsidRPr="00B004EE">
        <w:rPr>
          <w:rFonts w:ascii="Tahoma" w:hAnsi="Tahoma" w:cs="Tahoma"/>
          <w:sz w:val="20"/>
          <w:szCs w:val="20"/>
        </w:rPr>
        <w:t xml:space="preserve"> </w:t>
      </w:r>
      <w:r w:rsidRPr="00B004EE">
        <w:rPr>
          <w:rFonts w:ascii="Tahoma" w:hAnsi="Tahoma" w:cs="Tahoma"/>
          <w:sz w:val="20"/>
          <w:szCs w:val="20"/>
        </w:rPr>
        <w:t>ainsi</w:t>
      </w:r>
      <w:r w:rsidR="00DB1635" w:rsidRPr="00B004EE">
        <w:rPr>
          <w:rFonts w:ascii="Tahoma" w:hAnsi="Tahoma" w:cs="Tahoma"/>
          <w:sz w:val="20"/>
          <w:szCs w:val="20"/>
        </w:rPr>
        <w:t xml:space="preserve"> </w:t>
      </w:r>
      <w:r w:rsidRPr="00B004EE">
        <w:rPr>
          <w:rFonts w:ascii="Tahoma" w:hAnsi="Tahoma" w:cs="Tahoma"/>
          <w:sz w:val="20"/>
          <w:szCs w:val="20"/>
        </w:rPr>
        <w:t>que</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tonnage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production</w:t>
      </w:r>
      <w:r w:rsidR="00DB1635" w:rsidRPr="00B004EE">
        <w:rPr>
          <w:rFonts w:ascii="Tahoma" w:hAnsi="Tahoma" w:cs="Tahoma"/>
          <w:sz w:val="20"/>
          <w:szCs w:val="20"/>
        </w:rPr>
        <w:t xml:space="preserve"> </w:t>
      </w:r>
      <w:r w:rsidRPr="00B004EE">
        <w:rPr>
          <w:rFonts w:ascii="Tahoma" w:hAnsi="Tahoma" w:cs="Tahoma"/>
          <w:sz w:val="20"/>
          <w:szCs w:val="20"/>
        </w:rPr>
        <w:t>journalière</w:t>
      </w:r>
      <w:r w:rsidR="00DB1635" w:rsidRPr="00B004EE">
        <w:rPr>
          <w:rFonts w:ascii="Tahoma" w:hAnsi="Tahoma" w:cs="Tahoma"/>
          <w:sz w:val="20"/>
          <w:szCs w:val="20"/>
        </w:rPr>
        <w:t xml:space="preserve"> </w:t>
      </w:r>
      <w:r w:rsidRPr="00B004EE">
        <w:rPr>
          <w:rFonts w:ascii="Tahoma" w:hAnsi="Tahoma" w:cs="Tahoma"/>
          <w:sz w:val="20"/>
          <w:szCs w:val="20"/>
        </w:rPr>
        <w:t>prévue.</w:t>
      </w:r>
    </w:p>
    <w:p w14:paraId="67F3F295" w14:textId="77777777" w:rsidR="002F24E1" w:rsidRPr="00B004EE" w:rsidRDefault="002F24E1" w:rsidP="00B004EE">
      <w:pPr>
        <w:jc w:val="both"/>
        <w:rPr>
          <w:rFonts w:ascii="Tahoma" w:hAnsi="Tahoma" w:cs="Tahoma"/>
          <w:sz w:val="20"/>
          <w:szCs w:val="20"/>
        </w:rPr>
      </w:pPr>
    </w:p>
    <w:p w14:paraId="14AE3378" w14:textId="0B754A62" w:rsidR="002F24E1" w:rsidRPr="00B004EE" w:rsidRDefault="002F24E1" w:rsidP="00B004EE">
      <w:pPr>
        <w:jc w:val="both"/>
        <w:rPr>
          <w:rFonts w:ascii="Tahoma" w:hAnsi="Tahoma" w:cs="Tahoma"/>
          <w:sz w:val="20"/>
          <w:szCs w:val="20"/>
        </w:rPr>
      </w:pPr>
      <w:r w:rsidRPr="00B004EE">
        <w:rPr>
          <w:rFonts w:ascii="Tahoma" w:hAnsi="Tahoma" w:cs="Tahoma"/>
          <w:sz w:val="20"/>
          <w:szCs w:val="20"/>
        </w:rPr>
        <w:tab/>
        <w:t>La</w:t>
      </w:r>
      <w:r w:rsidR="00DB1635" w:rsidRPr="00B004EE">
        <w:rPr>
          <w:rFonts w:ascii="Tahoma" w:hAnsi="Tahoma" w:cs="Tahoma"/>
          <w:sz w:val="20"/>
          <w:szCs w:val="20"/>
        </w:rPr>
        <w:t xml:space="preserve"> </w:t>
      </w:r>
      <w:r w:rsidRPr="00B004EE">
        <w:rPr>
          <w:rFonts w:ascii="Tahoma" w:hAnsi="Tahoma" w:cs="Tahoma"/>
          <w:sz w:val="20"/>
          <w:szCs w:val="20"/>
        </w:rPr>
        <w:t>demande</w:t>
      </w:r>
      <w:r w:rsidR="00DB1635" w:rsidRPr="00B004EE">
        <w:rPr>
          <w:rFonts w:ascii="Tahoma" w:hAnsi="Tahoma" w:cs="Tahoma"/>
          <w:sz w:val="20"/>
          <w:szCs w:val="20"/>
        </w:rPr>
        <w:t xml:space="preserve"> </w:t>
      </w:r>
      <w:r w:rsidRPr="00B004EE">
        <w:rPr>
          <w:rFonts w:ascii="Tahoma" w:hAnsi="Tahoma" w:cs="Tahoma"/>
          <w:sz w:val="20"/>
          <w:szCs w:val="20"/>
        </w:rPr>
        <w:t>doit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renouvelée</w:t>
      </w:r>
      <w:r w:rsidR="00DB1635" w:rsidRPr="00B004EE">
        <w:rPr>
          <w:rFonts w:ascii="Tahoma" w:hAnsi="Tahoma" w:cs="Tahoma"/>
          <w:sz w:val="20"/>
          <w:szCs w:val="20"/>
        </w:rPr>
        <w:t xml:space="preserve"> </w:t>
      </w:r>
      <w:r w:rsidRPr="00B004EE">
        <w:rPr>
          <w:rFonts w:ascii="Tahoma" w:hAnsi="Tahoma" w:cs="Tahoma"/>
          <w:sz w:val="20"/>
          <w:szCs w:val="20"/>
        </w:rPr>
        <w:t>lors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toute</w:t>
      </w:r>
      <w:r w:rsidR="00DB1635" w:rsidRPr="00B004EE">
        <w:rPr>
          <w:rFonts w:ascii="Tahoma" w:hAnsi="Tahoma" w:cs="Tahoma"/>
          <w:sz w:val="20"/>
          <w:szCs w:val="20"/>
        </w:rPr>
        <w:t xml:space="preserve"> </w:t>
      </w:r>
      <w:r w:rsidRPr="00B004EE">
        <w:rPr>
          <w:rFonts w:ascii="Tahoma" w:hAnsi="Tahoma" w:cs="Tahoma"/>
          <w:sz w:val="20"/>
          <w:szCs w:val="20"/>
        </w:rPr>
        <w:t>modification</w:t>
      </w:r>
      <w:r w:rsidR="00DB1635" w:rsidRPr="00B004EE">
        <w:rPr>
          <w:rFonts w:ascii="Tahoma" w:hAnsi="Tahoma" w:cs="Tahoma"/>
          <w:sz w:val="20"/>
          <w:szCs w:val="20"/>
        </w:rPr>
        <w:t xml:space="preserve"> </w:t>
      </w:r>
      <w:r w:rsidRPr="00B004EE">
        <w:rPr>
          <w:rFonts w:ascii="Tahoma" w:hAnsi="Tahoma" w:cs="Tahoma"/>
          <w:sz w:val="20"/>
          <w:szCs w:val="20"/>
        </w:rPr>
        <w:t>importante</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l'installation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locaux,</w:t>
      </w:r>
      <w:r w:rsidR="00DB1635" w:rsidRPr="00B004EE">
        <w:rPr>
          <w:rFonts w:ascii="Tahoma" w:hAnsi="Tahoma" w:cs="Tahoma"/>
          <w:sz w:val="20"/>
          <w:szCs w:val="20"/>
        </w:rPr>
        <w:t xml:space="preserve"> </w:t>
      </w:r>
      <w:proofErr w:type="gramStart"/>
      <w:r w:rsidRPr="00B004EE">
        <w:rPr>
          <w:rFonts w:ascii="Tahoma" w:hAnsi="Tahoma" w:cs="Tahoma"/>
          <w:sz w:val="20"/>
          <w:szCs w:val="20"/>
        </w:rPr>
        <w:t>leurs</w:t>
      </w:r>
      <w:r w:rsidR="00DB1635" w:rsidRPr="00B004EE">
        <w:rPr>
          <w:rFonts w:ascii="Tahoma" w:hAnsi="Tahoma" w:cs="Tahoma"/>
          <w:sz w:val="20"/>
          <w:szCs w:val="20"/>
        </w:rPr>
        <w:t xml:space="preserve"> </w:t>
      </w:r>
      <w:r w:rsidRPr="00B004EE">
        <w:rPr>
          <w:rFonts w:ascii="Tahoma" w:hAnsi="Tahoma" w:cs="Tahoma"/>
          <w:sz w:val="20"/>
          <w:szCs w:val="20"/>
        </w:rPr>
        <w:t>aménagement</w:t>
      </w:r>
      <w:proofErr w:type="gramEnd"/>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leurs</w:t>
      </w:r>
      <w:r w:rsidR="00DB1635" w:rsidRPr="00B004EE">
        <w:rPr>
          <w:rFonts w:ascii="Tahoma" w:hAnsi="Tahoma" w:cs="Tahoma"/>
          <w:sz w:val="20"/>
          <w:szCs w:val="20"/>
        </w:rPr>
        <w:t xml:space="preserve"> </w:t>
      </w:r>
      <w:r w:rsidRPr="00B004EE">
        <w:rPr>
          <w:rFonts w:ascii="Tahoma" w:hAnsi="Tahoma" w:cs="Tahoma"/>
          <w:sz w:val="20"/>
          <w:szCs w:val="20"/>
        </w:rPr>
        <w:t>gros</w:t>
      </w:r>
      <w:r w:rsidR="00DB1635" w:rsidRPr="00B004EE">
        <w:rPr>
          <w:rFonts w:ascii="Tahoma" w:hAnsi="Tahoma" w:cs="Tahoma"/>
          <w:sz w:val="20"/>
          <w:szCs w:val="20"/>
        </w:rPr>
        <w:t xml:space="preserve"> </w:t>
      </w:r>
      <w:r w:rsidRPr="00B004EE">
        <w:rPr>
          <w:rFonts w:ascii="Tahoma" w:hAnsi="Tahoma" w:cs="Tahoma"/>
          <w:sz w:val="20"/>
          <w:szCs w:val="20"/>
        </w:rPr>
        <w:t>équipements</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leur</w:t>
      </w:r>
      <w:r w:rsidR="00DB1635" w:rsidRPr="00B004EE">
        <w:rPr>
          <w:rFonts w:ascii="Tahoma" w:hAnsi="Tahoma" w:cs="Tahoma"/>
          <w:sz w:val="20"/>
          <w:szCs w:val="20"/>
        </w:rPr>
        <w:t xml:space="preserve"> </w:t>
      </w:r>
      <w:r w:rsidRPr="00B004EE">
        <w:rPr>
          <w:rFonts w:ascii="Tahoma" w:hAnsi="Tahoma" w:cs="Tahoma"/>
          <w:sz w:val="20"/>
          <w:szCs w:val="20"/>
        </w:rPr>
        <w:t>affectation.</w:t>
      </w:r>
      <w:r w:rsidR="00DB1635" w:rsidRPr="00B004EE">
        <w:rPr>
          <w:rFonts w:ascii="Tahoma" w:hAnsi="Tahoma" w:cs="Tahoma"/>
          <w:sz w:val="20"/>
          <w:szCs w:val="20"/>
        </w:rPr>
        <w:t xml:space="preserve"> </w:t>
      </w:r>
      <w:r w:rsidRPr="00B004EE">
        <w:rPr>
          <w:rFonts w:ascii="Tahoma" w:hAnsi="Tahoma" w:cs="Tahoma"/>
          <w:sz w:val="20"/>
          <w:szCs w:val="20"/>
        </w:rPr>
        <w:t>Lors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simple</w:t>
      </w:r>
      <w:r w:rsidR="00DB1635" w:rsidRPr="00B004EE">
        <w:rPr>
          <w:rFonts w:ascii="Tahoma" w:hAnsi="Tahoma" w:cs="Tahoma"/>
          <w:sz w:val="20"/>
          <w:szCs w:val="20"/>
        </w:rPr>
        <w:t xml:space="preserve"> </w:t>
      </w:r>
      <w:r w:rsidRPr="00B004EE">
        <w:rPr>
          <w:rFonts w:ascii="Tahoma" w:hAnsi="Tahoma" w:cs="Tahoma"/>
          <w:sz w:val="20"/>
          <w:szCs w:val="20"/>
        </w:rPr>
        <w:t>changement</w:t>
      </w:r>
      <w:r w:rsidR="00DB1635" w:rsidRPr="00B004EE">
        <w:rPr>
          <w:rFonts w:ascii="Tahoma" w:hAnsi="Tahoma" w:cs="Tahoma"/>
          <w:sz w:val="20"/>
          <w:szCs w:val="20"/>
        </w:rPr>
        <w:t xml:space="preserve"> </w:t>
      </w:r>
      <w:r w:rsidRPr="00B004EE">
        <w:rPr>
          <w:rFonts w:ascii="Tahoma" w:hAnsi="Tahoma" w:cs="Tahoma"/>
          <w:sz w:val="20"/>
          <w:szCs w:val="20"/>
        </w:rPr>
        <w:t>d'exploitant,</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demande</w:t>
      </w:r>
      <w:r w:rsidR="00DB1635" w:rsidRPr="00B004EE">
        <w:rPr>
          <w:rFonts w:ascii="Tahoma" w:hAnsi="Tahoma" w:cs="Tahoma"/>
          <w:sz w:val="20"/>
          <w:szCs w:val="20"/>
        </w:rPr>
        <w:t xml:space="preserve"> </w:t>
      </w:r>
      <w:r w:rsidRPr="00B004EE">
        <w:rPr>
          <w:rFonts w:ascii="Tahoma" w:hAnsi="Tahoma" w:cs="Tahoma"/>
          <w:sz w:val="20"/>
          <w:szCs w:val="20"/>
        </w:rPr>
        <w:t>ne</w:t>
      </w:r>
      <w:r w:rsidR="00DB1635" w:rsidRPr="00B004EE">
        <w:rPr>
          <w:rFonts w:ascii="Tahoma" w:hAnsi="Tahoma" w:cs="Tahoma"/>
          <w:sz w:val="20"/>
          <w:szCs w:val="20"/>
        </w:rPr>
        <w:t xml:space="preserve"> </w:t>
      </w:r>
      <w:r w:rsidRPr="00B004EE">
        <w:rPr>
          <w:rFonts w:ascii="Tahoma" w:hAnsi="Tahoma" w:cs="Tahoma"/>
          <w:sz w:val="20"/>
          <w:szCs w:val="20"/>
        </w:rPr>
        <w:t>doit</w:t>
      </w:r>
      <w:r w:rsidR="00DB1635" w:rsidRPr="00B004EE">
        <w:rPr>
          <w:rFonts w:ascii="Tahoma" w:hAnsi="Tahoma" w:cs="Tahoma"/>
          <w:sz w:val="20"/>
          <w:szCs w:val="20"/>
        </w:rPr>
        <w:t xml:space="preserve"> </w:t>
      </w:r>
      <w:r w:rsidRPr="00B004EE">
        <w:rPr>
          <w:rFonts w:ascii="Tahoma" w:hAnsi="Tahoma" w:cs="Tahoma"/>
          <w:sz w:val="20"/>
          <w:szCs w:val="20"/>
        </w:rPr>
        <w:t>comporter</w:t>
      </w:r>
      <w:r w:rsidR="00DB1635" w:rsidRPr="00B004EE">
        <w:rPr>
          <w:rFonts w:ascii="Tahoma" w:hAnsi="Tahoma" w:cs="Tahoma"/>
          <w:sz w:val="20"/>
          <w:szCs w:val="20"/>
        </w:rPr>
        <w:t xml:space="preserve"> </w:t>
      </w:r>
      <w:r w:rsidRPr="00B004EE">
        <w:rPr>
          <w:rFonts w:ascii="Tahoma" w:hAnsi="Tahoma" w:cs="Tahoma"/>
          <w:sz w:val="20"/>
          <w:szCs w:val="20"/>
        </w:rPr>
        <w:t>que</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indications</w:t>
      </w:r>
      <w:r w:rsidR="00DB1635" w:rsidRPr="00B004EE">
        <w:rPr>
          <w:rFonts w:ascii="Tahoma" w:hAnsi="Tahoma" w:cs="Tahoma"/>
          <w:sz w:val="20"/>
          <w:szCs w:val="20"/>
        </w:rPr>
        <w:t xml:space="preserve"> </w:t>
      </w:r>
      <w:r w:rsidRPr="00B004EE">
        <w:rPr>
          <w:rFonts w:ascii="Tahoma" w:hAnsi="Tahoma" w:cs="Tahoma"/>
          <w:sz w:val="20"/>
          <w:szCs w:val="20"/>
        </w:rPr>
        <w:t>mentionnées</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points</w:t>
      </w:r>
      <w:r w:rsidR="00DB1635" w:rsidRPr="00B004EE">
        <w:rPr>
          <w:rFonts w:ascii="Tahoma" w:hAnsi="Tahoma" w:cs="Tahoma"/>
          <w:sz w:val="20"/>
          <w:szCs w:val="20"/>
        </w:rPr>
        <w:t xml:space="preserve"> </w:t>
      </w:r>
      <w:proofErr w:type="gramStart"/>
      <w:r w:rsidRPr="00B004EE">
        <w:rPr>
          <w:rFonts w:ascii="Tahoma" w:hAnsi="Tahoma" w:cs="Tahoma"/>
          <w:sz w:val="20"/>
          <w:szCs w:val="20"/>
        </w:rPr>
        <w:t>a</w:t>
      </w:r>
      <w:proofErr w:type="gramEnd"/>
      <w:r w:rsidR="007127C2"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b</w:t>
      </w:r>
      <w:r w:rsidR="007127C2"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précités.</w:t>
      </w:r>
    </w:p>
    <w:p w14:paraId="79F9474D" w14:textId="77777777" w:rsidR="002F24E1" w:rsidRPr="00B004EE" w:rsidRDefault="002F24E1" w:rsidP="00B004EE">
      <w:pPr>
        <w:jc w:val="both"/>
        <w:rPr>
          <w:rFonts w:ascii="Tahoma" w:hAnsi="Tahoma" w:cs="Tahoma"/>
          <w:b/>
          <w:sz w:val="20"/>
          <w:szCs w:val="20"/>
        </w:rPr>
      </w:pPr>
    </w:p>
    <w:p w14:paraId="6B314477" w14:textId="293FBE7B" w:rsidR="002F24E1" w:rsidRPr="00B004EE" w:rsidRDefault="00AD7D88" w:rsidP="00B004EE">
      <w:pPr>
        <w:jc w:val="both"/>
        <w:rPr>
          <w:rFonts w:ascii="Tahoma" w:hAnsi="Tahoma" w:cs="Tahoma"/>
          <w:sz w:val="20"/>
          <w:szCs w:val="20"/>
        </w:rPr>
      </w:pPr>
      <w:r w:rsidRPr="00B004EE">
        <w:rPr>
          <w:rFonts w:ascii="Tahoma" w:hAnsi="Tahoma" w:cs="Tahoma"/>
          <w:bCs/>
          <w:sz w:val="20"/>
          <w:szCs w:val="20"/>
        </w:rPr>
        <w:t xml:space="preserve">Article </w:t>
      </w:r>
      <w:r w:rsidR="002F24E1" w:rsidRPr="00B004EE">
        <w:rPr>
          <w:rFonts w:ascii="Tahoma" w:hAnsi="Tahoma" w:cs="Tahoma"/>
          <w:bCs/>
          <w:sz w:val="20"/>
          <w:szCs w:val="20"/>
        </w:rPr>
        <w:t>40</w:t>
      </w:r>
      <w:r w:rsidR="00DB1635" w:rsidRPr="00B004EE">
        <w:rPr>
          <w:rFonts w:ascii="Tahoma" w:hAnsi="Tahoma" w:cs="Tahoma"/>
          <w:b/>
          <w:sz w:val="20"/>
          <w:szCs w:val="20"/>
        </w:rPr>
        <w:t xml:space="preserve"> </w:t>
      </w:r>
      <w:r w:rsidR="002F24E1" w:rsidRPr="00B004EE">
        <w:rPr>
          <w:rFonts w:ascii="Tahoma" w:hAnsi="Tahoma" w:cs="Tahoma"/>
          <w:b/>
          <w:sz w:val="20"/>
          <w:szCs w:val="20"/>
        </w:rPr>
        <w:t>:</w:t>
      </w:r>
      <w:r w:rsidR="00DB1635" w:rsidRPr="00B004EE">
        <w:rPr>
          <w:rFonts w:ascii="Tahoma" w:hAnsi="Tahoma" w:cs="Tahoma"/>
          <w:b/>
          <w:sz w:val="20"/>
          <w:szCs w:val="20"/>
        </w:rPr>
        <w:t xml:space="preserve"> </w:t>
      </w:r>
      <w:r w:rsidR="002F24E1" w:rsidRPr="00B004EE">
        <w:rPr>
          <w:rFonts w:ascii="Tahoma" w:hAnsi="Tahoma" w:cs="Tahoma"/>
          <w:sz w:val="20"/>
          <w:szCs w:val="20"/>
        </w:rPr>
        <w:t>S'ils</w:t>
      </w:r>
      <w:r w:rsidR="00DB1635" w:rsidRPr="00B004EE">
        <w:rPr>
          <w:rFonts w:ascii="Tahoma" w:hAnsi="Tahoma" w:cs="Tahoma"/>
          <w:sz w:val="20"/>
          <w:szCs w:val="20"/>
        </w:rPr>
        <w:t xml:space="preserve"> </w:t>
      </w:r>
      <w:r w:rsidR="002F24E1" w:rsidRPr="00B004EE">
        <w:rPr>
          <w:rFonts w:ascii="Tahoma" w:hAnsi="Tahoma" w:cs="Tahoma"/>
          <w:sz w:val="20"/>
          <w:szCs w:val="20"/>
        </w:rPr>
        <w:t>sont</w:t>
      </w:r>
      <w:r w:rsidR="00DB1635" w:rsidRPr="00B004EE">
        <w:rPr>
          <w:rFonts w:ascii="Tahoma" w:hAnsi="Tahoma" w:cs="Tahoma"/>
          <w:sz w:val="20"/>
          <w:szCs w:val="20"/>
        </w:rPr>
        <w:t xml:space="preserve"> </w:t>
      </w:r>
      <w:r w:rsidR="002F24E1" w:rsidRPr="00B004EE">
        <w:rPr>
          <w:rFonts w:ascii="Tahoma" w:hAnsi="Tahoma" w:cs="Tahoma"/>
          <w:sz w:val="20"/>
          <w:szCs w:val="20"/>
        </w:rPr>
        <w:t>reconnus</w:t>
      </w:r>
      <w:r w:rsidR="00DB1635" w:rsidRPr="00B004EE">
        <w:rPr>
          <w:rFonts w:ascii="Tahoma" w:hAnsi="Tahoma" w:cs="Tahoma"/>
          <w:sz w:val="20"/>
          <w:szCs w:val="20"/>
        </w:rPr>
        <w:t xml:space="preserve"> </w:t>
      </w:r>
      <w:r w:rsidR="002F24E1" w:rsidRPr="00B004EE">
        <w:rPr>
          <w:rFonts w:ascii="Tahoma" w:hAnsi="Tahoma" w:cs="Tahoma"/>
          <w:sz w:val="20"/>
          <w:szCs w:val="20"/>
        </w:rPr>
        <w:t>conformes</w:t>
      </w:r>
      <w:r w:rsidR="00DB1635" w:rsidRPr="00B004EE">
        <w:rPr>
          <w:rFonts w:ascii="Tahoma" w:hAnsi="Tahoma" w:cs="Tahoma"/>
          <w:sz w:val="20"/>
          <w:szCs w:val="20"/>
        </w:rPr>
        <w:t xml:space="preserve"> </w:t>
      </w:r>
      <w:r w:rsidR="002F24E1" w:rsidRPr="00B004EE">
        <w:rPr>
          <w:rFonts w:ascii="Tahoma" w:hAnsi="Tahoma" w:cs="Tahoma"/>
          <w:sz w:val="20"/>
          <w:szCs w:val="20"/>
        </w:rPr>
        <w:t>par</w:t>
      </w:r>
      <w:r w:rsidR="00DB1635" w:rsidRPr="00B004EE">
        <w:rPr>
          <w:rFonts w:ascii="Tahoma" w:hAnsi="Tahoma" w:cs="Tahoma"/>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2F24E1" w:rsidRPr="00B004EE">
        <w:rPr>
          <w:rFonts w:ascii="Tahoma" w:hAnsi="Tahoma" w:cs="Tahoma"/>
          <w:sz w:val="20"/>
          <w:szCs w:val="20"/>
        </w:rPr>
        <w:t>services</w:t>
      </w:r>
      <w:r w:rsidR="00DB1635" w:rsidRPr="00B004EE">
        <w:rPr>
          <w:rFonts w:ascii="Tahoma" w:hAnsi="Tahoma" w:cs="Tahoma"/>
          <w:sz w:val="20"/>
          <w:szCs w:val="20"/>
        </w:rPr>
        <w:t xml:space="preserve"> </w:t>
      </w:r>
      <w:r w:rsidR="002F24E1" w:rsidRPr="00B004EE">
        <w:rPr>
          <w:rFonts w:ascii="Tahoma" w:hAnsi="Tahoma" w:cs="Tahoma"/>
          <w:sz w:val="20"/>
          <w:szCs w:val="20"/>
        </w:rPr>
        <w:t>d'inspection</w:t>
      </w:r>
      <w:r w:rsidR="00DB1635" w:rsidRPr="00B004EE">
        <w:rPr>
          <w:rFonts w:ascii="Tahoma" w:hAnsi="Tahoma" w:cs="Tahoma"/>
          <w:sz w:val="20"/>
          <w:szCs w:val="20"/>
        </w:rPr>
        <w:t xml:space="preserve"> </w:t>
      </w:r>
      <w:r w:rsidR="002F24E1" w:rsidRPr="00B004EE">
        <w:rPr>
          <w:rFonts w:ascii="Tahoma" w:hAnsi="Tahoma" w:cs="Tahoma"/>
          <w:sz w:val="20"/>
          <w:szCs w:val="20"/>
        </w:rPr>
        <w:t>du</w:t>
      </w:r>
      <w:r w:rsidR="00DB1635" w:rsidRPr="00B004EE">
        <w:rPr>
          <w:rFonts w:ascii="Tahoma" w:hAnsi="Tahoma" w:cs="Tahoma"/>
          <w:sz w:val="20"/>
          <w:szCs w:val="20"/>
        </w:rPr>
        <w:t xml:space="preserve"> </w:t>
      </w:r>
      <w:r w:rsidR="002F24E1" w:rsidRPr="00B004EE">
        <w:rPr>
          <w:rFonts w:ascii="Tahoma" w:hAnsi="Tahoma" w:cs="Tahoma"/>
          <w:sz w:val="20"/>
          <w:szCs w:val="20"/>
        </w:rPr>
        <w:t>CNROP,</w:t>
      </w:r>
      <w:r w:rsidR="00DB1635" w:rsidRPr="00B004EE">
        <w:rPr>
          <w:rFonts w:ascii="Tahoma" w:hAnsi="Tahoma" w:cs="Tahoma"/>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2F24E1" w:rsidRPr="00B004EE">
        <w:rPr>
          <w:rFonts w:ascii="Tahoma" w:hAnsi="Tahoma" w:cs="Tahoma"/>
          <w:sz w:val="20"/>
          <w:szCs w:val="20"/>
        </w:rPr>
        <w:t>navires-usines</w:t>
      </w:r>
      <w:r w:rsidR="00DB1635" w:rsidRPr="00B004EE">
        <w:rPr>
          <w:rFonts w:ascii="Tahoma" w:hAnsi="Tahoma" w:cs="Tahoma"/>
          <w:sz w:val="20"/>
          <w:szCs w:val="20"/>
        </w:rPr>
        <w:t xml:space="preserve"> </w:t>
      </w:r>
      <w:r w:rsidR="002F24E1" w:rsidRPr="00B004EE">
        <w:rPr>
          <w:rFonts w:ascii="Tahoma" w:hAnsi="Tahoma" w:cs="Tahoma"/>
          <w:sz w:val="20"/>
          <w:szCs w:val="20"/>
        </w:rPr>
        <w:t>doivent</w:t>
      </w:r>
      <w:r w:rsidR="00DB1635" w:rsidRPr="00B004EE">
        <w:rPr>
          <w:rFonts w:ascii="Tahoma" w:hAnsi="Tahoma" w:cs="Tahoma"/>
          <w:sz w:val="20"/>
          <w:szCs w:val="20"/>
        </w:rPr>
        <w:t xml:space="preserve"> </w:t>
      </w:r>
      <w:r w:rsidR="002F24E1" w:rsidRPr="00B004EE">
        <w:rPr>
          <w:rFonts w:ascii="Tahoma" w:hAnsi="Tahoma" w:cs="Tahoma"/>
          <w:sz w:val="20"/>
          <w:szCs w:val="20"/>
        </w:rPr>
        <w:t>être</w:t>
      </w:r>
      <w:r w:rsidR="00DB1635" w:rsidRPr="00B004EE">
        <w:rPr>
          <w:rFonts w:ascii="Tahoma" w:hAnsi="Tahoma" w:cs="Tahoma"/>
          <w:sz w:val="20"/>
          <w:szCs w:val="20"/>
        </w:rPr>
        <w:t xml:space="preserve"> </w:t>
      </w:r>
      <w:r w:rsidR="002F24E1" w:rsidRPr="00B004EE">
        <w:rPr>
          <w:rFonts w:ascii="Tahoma" w:hAnsi="Tahoma" w:cs="Tahoma"/>
          <w:sz w:val="20"/>
          <w:szCs w:val="20"/>
        </w:rPr>
        <w:t>agrées</w:t>
      </w:r>
      <w:r w:rsidR="00DB1635" w:rsidRPr="00B004EE">
        <w:rPr>
          <w:rFonts w:ascii="Tahoma" w:hAnsi="Tahoma" w:cs="Tahoma"/>
          <w:sz w:val="20"/>
          <w:szCs w:val="20"/>
        </w:rPr>
        <w:t xml:space="preserve"> </w:t>
      </w:r>
      <w:r w:rsidR="002F24E1" w:rsidRPr="00B004EE">
        <w:rPr>
          <w:rFonts w:ascii="Tahoma" w:hAnsi="Tahoma" w:cs="Tahoma"/>
          <w:sz w:val="20"/>
          <w:szCs w:val="20"/>
        </w:rPr>
        <w:t>par</w:t>
      </w:r>
      <w:r w:rsidR="00DB1635" w:rsidRPr="00B004EE">
        <w:rPr>
          <w:rFonts w:ascii="Tahoma" w:hAnsi="Tahoma" w:cs="Tahoma"/>
          <w:sz w:val="20"/>
          <w:szCs w:val="20"/>
        </w:rPr>
        <w:t xml:space="preserve"> </w:t>
      </w:r>
      <w:r w:rsidR="002F24E1" w:rsidRPr="00B004EE">
        <w:rPr>
          <w:rFonts w:ascii="Tahoma" w:hAnsi="Tahoma" w:cs="Tahoma"/>
          <w:sz w:val="20"/>
          <w:szCs w:val="20"/>
        </w:rPr>
        <w:t>le</w:t>
      </w:r>
      <w:r w:rsidR="00DB1635" w:rsidRPr="00B004EE">
        <w:rPr>
          <w:rFonts w:ascii="Tahoma" w:hAnsi="Tahoma" w:cs="Tahoma"/>
          <w:sz w:val="20"/>
          <w:szCs w:val="20"/>
        </w:rPr>
        <w:t xml:space="preserve"> </w:t>
      </w:r>
      <w:r w:rsidR="002F24E1" w:rsidRPr="00B004EE">
        <w:rPr>
          <w:rFonts w:ascii="Tahoma" w:hAnsi="Tahoma" w:cs="Tahoma"/>
          <w:sz w:val="20"/>
          <w:szCs w:val="20"/>
        </w:rPr>
        <w:t>Ministre</w:t>
      </w:r>
      <w:r w:rsidR="00DB1635" w:rsidRPr="00B004EE">
        <w:rPr>
          <w:rFonts w:ascii="Tahoma" w:hAnsi="Tahoma" w:cs="Tahoma"/>
          <w:sz w:val="20"/>
          <w:szCs w:val="20"/>
        </w:rPr>
        <w:t xml:space="preserve"> </w:t>
      </w:r>
      <w:r w:rsidR="002F24E1" w:rsidRPr="00B004EE">
        <w:rPr>
          <w:rFonts w:ascii="Tahoma" w:hAnsi="Tahoma" w:cs="Tahoma"/>
          <w:sz w:val="20"/>
          <w:szCs w:val="20"/>
        </w:rPr>
        <w:t>chargé</w:t>
      </w:r>
      <w:r w:rsidR="00DB1635" w:rsidRPr="00B004EE">
        <w:rPr>
          <w:rFonts w:ascii="Tahoma" w:hAnsi="Tahoma" w:cs="Tahoma"/>
          <w:sz w:val="20"/>
          <w:szCs w:val="20"/>
        </w:rPr>
        <w:t xml:space="preserve"> </w:t>
      </w:r>
      <w:r w:rsidR="002F24E1" w:rsidRPr="00B004EE">
        <w:rPr>
          <w:rFonts w:ascii="Tahoma" w:hAnsi="Tahoma" w:cs="Tahoma"/>
          <w:sz w:val="20"/>
          <w:szCs w:val="20"/>
        </w:rPr>
        <w:t>des</w:t>
      </w:r>
      <w:r w:rsidR="00DB1635" w:rsidRPr="00B004EE">
        <w:rPr>
          <w:rFonts w:ascii="Tahoma" w:hAnsi="Tahoma" w:cs="Tahoma"/>
          <w:sz w:val="20"/>
          <w:szCs w:val="20"/>
        </w:rPr>
        <w:t xml:space="preserve"> </w:t>
      </w:r>
      <w:r w:rsidR="002F24E1" w:rsidRPr="00B004EE">
        <w:rPr>
          <w:rFonts w:ascii="Tahoma" w:hAnsi="Tahoma" w:cs="Tahoma"/>
          <w:sz w:val="20"/>
          <w:szCs w:val="20"/>
        </w:rPr>
        <w:t>pêches</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l'Economie</w:t>
      </w:r>
      <w:r w:rsidR="00DB1635" w:rsidRPr="00B004EE">
        <w:rPr>
          <w:rFonts w:ascii="Tahoma" w:hAnsi="Tahoma" w:cs="Tahoma"/>
          <w:sz w:val="20"/>
          <w:szCs w:val="20"/>
        </w:rPr>
        <w:t xml:space="preserve"> </w:t>
      </w:r>
      <w:r w:rsidR="002F24E1" w:rsidRPr="00B004EE">
        <w:rPr>
          <w:rFonts w:ascii="Tahoma" w:hAnsi="Tahoma" w:cs="Tahoma"/>
          <w:sz w:val="20"/>
          <w:szCs w:val="20"/>
        </w:rPr>
        <w:t>Maritime.</w:t>
      </w:r>
      <w:r w:rsidR="00DB1635" w:rsidRPr="00B004EE">
        <w:rPr>
          <w:rFonts w:ascii="Tahoma" w:hAnsi="Tahoma" w:cs="Tahoma"/>
          <w:sz w:val="20"/>
          <w:szCs w:val="20"/>
        </w:rPr>
        <w:t xml:space="preserve"> </w:t>
      </w:r>
      <w:r w:rsidR="002F24E1" w:rsidRPr="00B004EE">
        <w:rPr>
          <w:rFonts w:ascii="Tahoma" w:hAnsi="Tahoma" w:cs="Tahoma"/>
          <w:sz w:val="20"/>
          <w:szCs w:val="20"/>
        </w:rPr>
        <w:t>Ils</w:t>
      </w:r>
      <w:r w:rsidR="00DB1635" w:rsidRPr="00B004EE">
        <w:rPr>
          <w:rFonts w:ascii="Tahoma" w:hAnsi="Tahoma" w:cs="Tahoma"/>
          <w:sz w:val="20"/>
          <w:szCs w:val="20"/>
        </w:rPr>
        <w:t xml:space="preserve"> </w:t>
      </w:r>
      <w:r w:rsidR="002F24E1" w:rsidRPr="00B004EE">
        <w:rPr>
          <w:rFonts w:ascii="Tahoma" w:hAnsi="Tahoma" w:cs="Tahoma"/>
          <w:sz w:val="20"/>
          <w:szCs w:val="20"/>
        </w:rPr>
        <w:t>doivent</w:t>
      </w:r>
      <w:r w:rsidR="00DB1635" w:rsidRPr="00B004EE">
        <w:rPr>
          <w:rFonts w:ascii="Tahoma" w:hAnsi="Tahoma" w:cs="Tahoma"/>
          <w:sz w:val="20"/>
          <w:szCs w:val="20"/>
        </w:rPr>
        <w:t xml:space="preserve"> </w:t>
      </w:r>
      <w:r w:rsidR="002F24E1" w:rsidRPr="00B004EE">
        <w:rPr>
          <w:rFonts w:ascii="Tahoma" w:hAnsi="Tahoma" w:cs="Tahoma"/>
          <w:sz w:val="20"/>
          <w:szCs w:val="20"/>
        </w:rPr>
        <w:t>recevoir</w:t>
      </w:r>
      <w:r w:rsidR="00DB1635" w:rsidRPr="00B004EE">
        <w:rPr>
          <w:rFonts w:ascii="Tahoma" w:hAnsi="Tahoma" w:cs="Tahoma"/>
          <w:sz w:val="20"/>
          <w:szCs w:val="20"/>
        </w:rPr>
        <w:t xml:space="preserve"> </w:t>
      </w:r>
      <w:r w:rsidR="002F24E1" w:rsidRPr="00B004EE">
        <w:rPr>
          <w:rFonts w:ascii="Tahoma" w:hAnsi="Tahoma" w:cs="Tahoma"/>
          <w:sz w:val="20"/>
          <w:szCs w:val="20"/>
        </w:rPr>
        <w:t>un</w:t>
      </w:r>
      <w:r w:rsidR="00DB1635" w:rsidRPr="00B004EE">
        <w:rPr>
          <w:rFonts w:ascii="Tahoma" w:hAnsi="Tahoma" w:cs="Tahoma"/>
          <w:sz w:val="20"/>
          <w:szCs w:val="20"/>
        </w:rPr>
        <w:t xml:space="preserve"> </w:t>
      </w:r>
      <w:r w:rsidR="002F24E1" w:rsidRPr="00B004EE">
        <w:rPr>
          <w:rFonts w:ascii="Tahoma" w:hAnsi="Tahoma" w:cs="Tahoma"/>
          <w:sz w:val="20"/>
          <w:szCs w:val="20"/>
        </w:rPr>
        <w:t>numéro</w:t>
      </w:r>
      <w:r w:rsidR="00DB1635" w:rsidRPr="00B004EE">
        <w:rPr>
          <w:rFonts w:ascii="Tahoma" w:hAnsi="Tahoma" w:cs="Tahoma"/>
          <w:sz w:val="20"/>
          <w:szCs w:val="20"/>
        </w:rPr>
        <w:t xml:space="preserve"> </w:t>
      </w:r>
      <w:r w:rsidR="002F24E1" w:rsidRPr="00B004EE">
        <w:rPr>
          <w:rFonts w:ascii="Tahoma" w:hAnsi="Tahoma" w:cs="Tahoma"/>
          <w:sz w:val="20"/>
          <w:szCs w:val="20"/>
        </w:rPr>
        <w:t>d'agrément</w:t>
      </w:r>
      <w:r w:rsidR="00DB1635" w:rsidRPr="00B004EE">
        <w:rPr>
          <w:rFonts w:ascii="Tahoma" w:hAnsi="Tahoma" w:cs="Tahoma"/>
          <w:sz w:val="20"/>
          <w:szCs w:val="20"/>
        </w:rPr>
        <w:t xml:space="preserve"> </w:t>
      </w:r>
      <w:r w:rsidR="002F24E1" w:rsidRPr="00B004EE">
        <w:rPr>
          <w:rFonts w:ascii="Tahoma" w:hAnsi="Tahoma" w:cs="Tahoma"/>
          <w:sz w:val="20"/>
          <w:szCs w:val="20"/>
        </w:rPr>
        <w:t>qui</w:t>
      </w:r>
      <w:r w:rsidR="00DB1635" w:rsidRPr="00B004EE">
        <w:rPr>
          <w:rFonts w:ascii="Tahoma" w:hAnsi="Tahoma" w:cs="Tahoma"/>
          <w:sz w:val="20"/>
          <w:szCs w:val="20"/>
        </w:rPr>
        <w:t xml:space="preserve"> </w:t>
      </w:r>
      <w:r w:rsidR="002F24E1" w:rsidRPr="00B004EE">
        <w:rPr>
          <w:rFonts w:ascii="Tahoma" w:hAnsi="Tahoma" w:cs="Tahoma"/>
          <w:sz w:val="20"/>
          <w:szCs w:val="20"/>
        </w:rPr>
        <w:t>est</w:t>
      </w:r>
      <w:r w:rsidR="00DB1635" w:rsidRPr="00B004EE">
        <w:rPr>
          <w:rFonts w:ascii="Tahoma" w:hAnsi="Tahoma" w:cs="Tahoma"/>
          <w:sz w:val="20"/>
          <w:szCs w:val="20"/>
        </w:rPr>
        <w:t xml:space="preserve"> </w:t>
      </w:r>
      <w:r w:rsidR="002F24E1" w:rsidRPr="00B004EE">
        <w:rPr>
          <w:rFonts w:ascii="Tahoma" w:hAnsi="Tahoma" w:cs="Tahoma"/>
          <w:sz w:val="20"/>
          <w:szCs w:val="20"/>
        </w:rPr>
        <w:t>communiqué</w:t>
      </w:r>
      <w:r w:rsidR="00DB1635" w:rsidRPr="00B004EE">
        <w:rPr>
          <w:rFonts w:ascii="Tahoma" w:hAnsi="Tahoma" w:cs="Tahoma"/>
          <w:sz w:val="20"/>
          <w:szCs w:val="20"/>
        </w:rPr>
        <w:t xml:space="preserve"> </w:t>
      </w:r>
      <w:r w:rsidR="002F24E1" w:rsidRPr="00B004EE">
        <w:rPr>
          <w:rFonts w:ascii="Tahoma" w:hAnsi="Tahoma" w:cs="Tahoma"/>
          <w:sz w:val="20"/>
          <w:szCs w:val="20"/>
        </w:rPr>
        <w:t>aux</w:t>
      </w:r>
      <w:r w:rsidR="00DB1635" w:rsidRPr="00B004EE">
        <w:rPr>
          <w:rFonts w:ascii="Tahoma" w:hAnsi="Tahoma" w:cs="Tahoma"/>
          <w:sz w:val="20"/>
          <w:szCs w:val="20"/>
        </w:rPr>
        <w:t xml:space="preserve"> </w:t>
      </w:r>
      <w:r w:rsidR="002F24E1" w:rsidRPr="00B004EE">
        <w:rPr>
          <w:rFonts w:ascii="Tahoma" w:hAnsi="Tahoma" w:cs="Tahoma"/>
          <w:sz w:val="20"/>
          <w:szCs w:val="20"/>
        </w:rPr>
        <w:t>responsables</w:t>
      </w:r>
      <w:r w:rsidR="00DB1635" w:rsidRPr="00B004EE">
        <w:rPr>
          <w:rFonts w:ascii="Tahoma" w:hAnsi="Tahoma" w:cs="Tahoma"/>
          <w:sz w:val="20"/>
          <w:szCs w:val="20"/>
        </w:rPr>
        <w:t xml:space="preserve"> </w:t>
      </w:r>
      <w:r w:rsidR="002F24E1" w:rsidRPr="00B004EE">
        <w:rPr>
          <w:rFonts w:ascii="Tahoma" w:hAnsi="Tahoma" w:cs="Tahoma"/>
          <w:sz w:val="20"/>
          <w:szCs w:val="20"/>
        </w:rPr>
        <w:t>concernés.</w:t>
      </w:r>
    </w:p>
    <w:p w14:paraId="5C1C6DDC" w14:textId="77777777" w:rsidR="002F24E1" w:rsidRPr="00B004EE" w:rsidRDefault="002F24E1" w:rsidP="00B004EE">
      <w:pPr>
        <w:jc w:val="both"/>
        <w:rPr>
          <w:rFonts w:ascii="Tahoma" w:hAnsi="Tahoma" w:cs="Tahoma"/>
          <w:sz w:val="20"/>
          <w:szCs w:val="20"/>
        </w:rPr>
      </w:pPr>
    </w:p>
    <w:p w14:paraId="49AF68AA" w14:textId="5BD514E4" w:rsidR="002F24E1" w:rsidRPr="00B004EE" w:rsidRDefault="002F24E1" w:rsidP="00B004EE">
      <w:pPr>
        <w:jc w:val="both"/>
        <w:rPr>
          <w:rFonts w:ascii="Tahoma" w:hAnsi="Tahoma" w:cs="Tahoma"/>
          <w:sz w:val="20"/>
          <w:szCs w:val="20"/>
        </w:rPr>
      </w:pPr>
      <w:r w:rsidRPr="00B004EE">
        <w:rPr>
          <w:rFonts w:ascii="Tahoma" w:hAnsi="Tahoma" w:cs="Tahoma"/>
          <w:sz w:val="20"/>
          <w:szCs w:val="20"/>
        </w:rPr>
        <w:tab/>
        <w:t>Les</w:t>
      </w:r>
      <w:r w:rsidR="00DB1635" w:rsidRPr="00B004EE">
        <w:rPr>
          <w:rFonts w:ascii="Tahoma" w:hAnsi="Tahoma" w:cs="Tahoma"/>
          <w:sz w:val="20"/>
          <w:szCs w:val="20"/>
        </w:rPr>
        <w:t xml:space="preserve"> </w:t>
      </w:r>
      <w:r w:rsidRPr="00B004EE">
        <w:rPr>
          <w:rFonts w:ascii="Tahoma" w:hAnsi="Tahoma" w:cs="Tahoma"/>
          <w:sz w:val="20"/>
          <w:szCs w:val="20"/>
        </w:rPr>
        <w:t>navires-usines</w:t>
      </w:r>
      <w:r w:rsidR="00DB1635" w:rsidRPr="00B004EE">
        <w:rPr>
          <w:rFonts w:ascii="Tahoma" w:hAnsi="Tahoma" w:cs="Tahoma"/>
          <w:sz w:val="20"/>
          <w:szCs w:val="20"/>
        </w:rPr>
        <w:t xml:space="preserve"> </w:t>
      </w:r>
      <w:r w:rsidRPr="00B004EE">
        <w:rPr>
          <w:rFonts w:ascii="Tahoma" w:hAnsi="Tahoma" w:cs="Tahoma"/>
          <w:sz w:val="20"/>
          <w:szCs w:val="20"/>
        </w:rPr>
        <w:t>étrangers</w:t>
      </w:r>
      <w:r w:rsidR="00DB1635" w:rsidRPr="00B004EE">
        <w:rPr>
          <w:rFonts w:ascii="Tahoma" w:hAnsi="Tahoma" w:cs="Tahoma"/>
          <w:sz w:val="20"/>
          <w:szCs w:val="20"/>
        </w:rPr>
        <w:t xml:space="preserve"> </w:t>
      </w:r>
      <w:r w:rsidRPr="00B004EE">
        <w:rPr>
          <w:rFonts w:ascii="Tahoma" w:hAnsi="Tahoma" w:cs="Tahoma"/>
          <w:sz w:val="20"/>
          <w:szCs w:val="20"/>
        </w:rPr>
        <w:t>affrétés</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sous</w:t>
      </w:r>
      <w:r w:rsidR="00DB1635" w:rsidRPr="00B004EE">
        <w:rPr>
          <w:rFonts w:ascii="Tahoma" w:hAnsi="Tahoma" w:cs="Tahoma"/>
          <w:sz w:val="20"/>
          <w:szCs w:val="20"/>
        </w:rPr>
        <w:t xml:space="preserve"> </w:t>
      </w:r>
      <w:r w:rsidRPr="00B004EE">
        <w:rPr>
          <w:rFonts w:ascii="Tahoma" w:hAnsi="Tahoma" w:cs="Tahoma"/>
          <w:sz w:val="20"/>
          <w:szCs w:val="20"/>
        </w:rPr>
        <w:t>licence,</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durée</w:t>
      </w:r>
      <w:r w:rsidR="00DB1635" w:rsidRPr="00B004EE">
        <w:rPr>
          <w:rFonts w:ascii="Tahoma" w:hAnsi="Tahoma" w:cs="Tahoma"/>
          <w:sz w:val="20"/>
          <w:szCs w:val="20"/>
        </w:rPr>
        <w:t xml:space="preserve"> </w:t>
      </w:r>
      <w:r w:rsidRPr="00B004EE">
        <w:rPr>
          <w:rFonts w:ascii="Tahoma" w:hAnsi="Tahoma" w:cs="Tahoma"/>
          <w:sz w:val="20"/>
          <w:szCs w:val="20"/>
        </w:rPr>
        <w:t>ne</w:t>
      </w:r>
      <w:r w:rsidR="00DB1635" w:rsidRPr="00B004EE">
        <w:rPr>
          <w:rFonts w:ascii="Tahoma" w:hAnsi="Tahoma" w:cs="Tahoma"/>
          <w:sz w:val="20"/>
          <w:szCs w:val="20"/>
        </w:rPr>
        <w:t xml:space="preserve"> </w:t>
      </w:r>
      <w:r w:rsidRPr="00B004EE">
        <w:rPr>
          <w:rFonts w:ascii="Tahoma" w:hAnsi="Tahoma" w:cs="Tahoma"/>
          <w:sz w:val="20"/>
          <w:szCs w:val="20"/>
        </w:rPr>
        <w:t>dépassant</w:t>
      </w:r>
      <w:r w:rsidR="00DB1635" w:rsidRPr="00B004EE">
        <w:rPr>
          <w:rFonts w:ascii="Tahoma" w:hAnsi="Tahoma" w:cs="Tahoma"/>
          <w:sz w:val="20"/>
          <w:szCs w:val="20"/>
        </w:rPr>
        <w:t xml:space="preserve"> </w:t>
      </w:r>
      <w:r w:rsidRPr="00B004EE">
        <w:rPr>
          <w:rFonts w:ascii="Tahoma" w:hAnsi="Tahoma" w:cs="Tahoma"/>
          <w:sz w:val="20"/>
          <w:szCs w:val="20"/>
        </w:rPr>
        <w:t>pas</w:t>
      </w:r>
      <w:r w:rsidR="00DB1635" w:rsidRPr="00B004EE">
        <w:rPr>
          <w:rFonts w:ascii="Tahoma" w:hAnsi="Tahoma" w:cs="Tahoma"/>
          <w:sz w:val="20"/>
          <w:szCs w:val="20"/>
        </w:rPr>
        <w:t xml:space="preserve"> </w:t>
      </w:r>
      <w:r w:rsidRPr="00B004EE">
        <w:rPr>
          <w:rFonts w:ascii="Tahoma" w:hAnsi="Tahoma" w:cs="Tahoma"/>
          <w:sz w:val="20"/>
          <w:szCs w:val="20"/>
        </w:rPr>
        <w:t>douze</w:t>
      </w:r>
      <w:r w:rsidR="00DB1635" w:rsidRPr="00B004EE">
        <w:rPr>
          <w:rFonts w:ascii="Tahoma" w:hAnsi="Tahoma" w:cs="Tahoma"/>
          <w:sz w:val="20"/>
          <w:szCs w:val="20"/>
        </w:rPr>
        <w:t xml:space="preserve"> </w:t>
      </w:r>
      <w:r w:rsidRPr="00B004EE">
        <w:rPr>
          <w:rFonts w:ascii="Tahoma" w:hAnsi="Tahoma" w:cs="Tahoma"/>
          <w:sz w:val="20"/>
          <w:szCs w:val="20"/>
        </w:rPr>
        <w:t>mois,</w:t>
      </w:r>
      <w:r w:rsidR="00DB1635" w:rsidRPr="00B004EE">
        <w:rPr>
          <w:rFonts w:ascii="Tahoma" w:hAnsi="Tahoma" w:cs="Tahoma"/>
          <w:sz w:val="20"/>
          <w:szCs w:val="20"/>
        </w:rPr>
        <w:t xml:space="preserve"> </w:t>
      </w:r>
      <w:r w:rsidRPr="00B004EE">
        <w:rPr>
          <w:rFonts w:ascii="Tahoma" w:hAnsi="Tahoma" w:cs="Tahoma"/>
          <w:sz w:val="20"/>
          <w:szCs w:val="20"/>
        </w:rPr>
        <w:t>doivent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visités</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services</w:t>
      </w:r>
      <w:r w:rsidR="00DB1635" w:rsidRPr="00B004EE">
        <w:rPr>
          <w:rFonts w:ascii="Tahoma" w:hAnsi="Tahoma" w:cs="Tahoma"/>
          <w:sz w:val="20"/>
          <w:szCs w:val="20"/>
        </w:rPr>
        <w:t xml:space="preserve"> </w:t>
      </w:r>
      <w:r w:rsidRPr="00B004EE">
        <w:rPr>
          <w:rFonts w:ascii="Tahoma" w:hAnsi="Tahoma" w:cs="Tahoma"/>
          <w:sz w:val="20"/>
          <w:szCs w:val="20"/>
        </w:rPr>
        <w:t>d'inspection</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CNROP</w:t>
      </w:r>
      <w:r w:rsidR="00DB1635" w:rsidRPr="00B004EE">
        <w:rPr>
          <w:rFonts w:ascii="Tahoma" w:hAnsi="Tahoma" w:cs="Tahoma"/>
          <w:sz w:val="20"/>
          <w:szCs w:val="20"/>
        </w:rPr>
        <w:t xml:space="preserve"> </w:t>
      </w:r>
      <w:r w:rsidRPr="00B004EE">
        <w:rPr>
          <w:rFonts w:ascii="Tahoma" w:hAnsi="Tahoma" w:cs="Tahoma"/>
          <w:sz w:val="20"/>
          <w:szCs w:val="20"/>
        </w:rPr>
        <w:t>qui,</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cas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satisfaction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conditions</w:t>
      </w:r>
      <w:r w:rsidR="00DB1635" w:rsidRPr="00B004EE">
        <w:rPr>
          <w:rFonts w:ascii="Tahoma" w:hAnsi="Tahoma" w:cs="Tahoma"/>
          <w:sz w:val="20"/>
          <w:szCs w:val="20"/>
        </w:rPr>
        <w:t xml:space="preserve"> </w:t>
      </w:r>
      <w:r w:rsidRPr="00B004EE">
        <w:rPr>
          <w:rFonts w:ascii="Tahoma" w:hAnsi="Tahoma" w:cs="Tahoma"/>
          <w:sz w:val="20"/>
          <w:szCs w:val="20"/>
        </w:rPr>
        <w:t>sanitaires,</w:t>
      </w:r>
      <w:r w:rsidR="00DB1635" w:rsidRPr="00B004EE">
        <w:rPr>
          <w:rFonts w:ascii="Tahoma" w:hAnsi="Tahoma" w:cs="Tahoma"/>
          <w:sz w:val="20"/>
          <w:szCs w:val="20"/>
        </w:rPr>
        <w:t xml:space="preserve"> </w:t>
      </w:r>
      <w:r w:rsidRPr="00B004EE">
        <w:rPr>
          <w:rFonts w:ascii="Tahoma" w:hAnsi="Tahoma" w:cs="Tahoma"/>
          <w:sz w:val="20"/>
          <w:szCs w:val="20"/>
        </w:rPr>
        <w:t>leur</w:t>
      </w:r>
      <w:r w:rsidR="00DB1635" w:rsidRPr="00B004EE">
        <w:rPr>
          <w:rFonts w:ascii="Tahoma" w:hAnsi="Tahoma" w:cs="Tahoma"/>
          <w:sz w:val="20"/>
          <w:szCs w:val="20"/>
        </w:rPr>
        <w:t xml:space="preserve"> </w:t>
      </w:r>
      <w:r w:rsidRPr="00B004EE">
        <w:rPr>
          <w:rFonts w:ascii="Tahoma" w:hAnsi="Tahoma" w:cs="Tahoma"/>
          <w:sz w:val="20"/>
          <w:szCs w:val="20"/>
        </w:rPr>
        <w:t>délivrent</w:t>
      </w:r>
      <w:r w:rsidR="00DB1635" w:rsidRPr="00B004EE">
        <w:rPr>
          <w:rFonts w:ascii="Tahoma" w:hAnsi="Tahoma" w:cs="Tahoma"/>
          <w:sz w:val="20"/>
          <w:szCs w:val="20"/>
        </w:rPr>
        <w:t xml:space="preserve"> </w:t>
      </w: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agrément</w:t>
      </w:r>
      <w:r w:rsidR="00DB1635" w:rsidRPr="00B004EE">
        <w:rPr>
          <w:rFonts w:ascii="Tahoma" w:hAnsi="Tahoma" w:cs="Tahoma"/>
          <w:sz w:val="20"/>
          <w:szCs w:val="20"/>
        </w:rPr>
        <w:t xml:space="preserve"> </w:t>
      </w:r>
      <w:r w:rsidRPr="00B004EE">
        <w:rPr>
          <w:rFonts w:ascii="Tahoma" w:hAnsi="Tahoma" w:cs="Tahoma"/>
          <w:sz w:val="20"/>
          <w:szCs w:val="20"/>
        </w:rPr>
        <w:t>temporaire.</w:t>
      </w:r>
    </w:p>
    <w:p w14:paraId="694F1021" w14:textId="77777777" w:rsidR="002F24E1" w:rsidRPr="00B004EE" w:rsidRDefault="002F24E1" w:rsidP="00B004EE">
      <w:pPr>
        <w:jc w:val="both"/>
        <w:rPr>
          <w:rFonts w:ascii="Tahoma" w:hAnsi="Tahoma" w:cs="Tahoma"/>
          <w:b/>
          <w:sz w:val="20"/>
          <w:szCs w:val="20"/>
        </w:rPr>
      </w:pPr>
    </w:p>
    <w:p w14:paraId="192AC20B" w14:textId="784CC47F" w:rsidR="002F24E1" w:rsidRPr="00B004EE" w:rsidRDefault="00AD7D88" w:rsidP="00B004EE">
      <w:pPr>
        <w:jc w:val="both"/>
        <w:rPr>
          <w:rFonts w:ascii="Tahoma" w:hAnsi="Tahoma" w:cs="Tahoma"/>
          <w:sz w:val="20"/>
          <w:szCs w:val="20"/>
        </w:rPr>
      </w:pPr>
      <w:r w:rsidRPr="00B004EE">
        <w:rPr>
          <w:rFonts w:ascii="Tahoma" w:hAnsi="Tahoma" w:cs="Tahoma"/>
          <w:bCs/>
          <w:sz w:val="20"/>
          <w:szCs w:val="20"/>
        </w:rPr>
        <w:t xml:space="preserve">Article </w:t>
      </w:r>
      <w:r w:rsidR="002F24E1" w:rsidRPr="00B004EE">
        <w:rPr>
          <w:rFonts w:ascii="Tahoma" w:hAnsi="Tahoma" w:cs="Tahoma"/>
          <w:bCs/>
          <w:sz w:val="20"/>
          <w:szCs w:val="20"/>
        </w:rPr>
        <w:t>41</w:t>
      </w:r>
      <w:r w:rsidR="00DB1635" w:rsidRPr="00B004EE">
        <w:rPr>
          <w:rFonts w:ascii="Tahoma" w:hAnsi="Tahoma" w:cs="Tahoma"/>
          <w:b/>
          <w:sz w:val="20"/>
          <w:szCs w:val="20"/>
        </w:rPr>
        <w:t xml:space="preserve"> </w:t>
      </w:r>
      <w:r w:rsidR="002F24E1" w:rsidRPr="00B004EE">
        <w:rPr>
          <w:rFonts w:ascii="Tahoma" w:hAnsi="Tahoma" w:cs="Tahoma"/>
          <w:b/>
          <w:sz w:val="20"/>
          <w:szCs w:val="20"/>
        </w:rPr>
        <w:t>:</w:t>
      </w:r>
      <w:r w:rsidR="00DB1635" w:rsidRPr="00B004EE">
        <w:rPr>
          <w:rFonts w:ascii="Tahoma" w:hAnsi="Tahoma" w:cs="Tahoma"/>
          <w:b/>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2F24E1" w:rsidRPr="00B004EE">
        <w:rPr>
          <w:rFonts w:ascii="Tahoma" w:hAnsi="Tahoma" w:cs="Tahoma"/>
          <w:sz w:val="20"/>
          <w:szCs w:val="20"/>
        </w:rPr>
        <w:t>navires-usines</w:t>
      </w:r>
      <w:r w:rsidR="00DB1635" w:rsidRPr="00B004EE">
        <w:rPr>
          <w:rFonts w:ascii="Tahoma" w:hAnsi="Tahoma" w:cs="Tahoma"/>
          <w:sz w:val="20"/>
          <w:szCs w:val="20"/>
        </w:rPr>
        <w:t xml:space="preserve"> </w:t>
      </w:r>
      <w:r w:rsidR="002F24E1" w:rsidRPr="00B004EE">
        <w:rPr>
          <w:rFonts w:ascii="Tahoma" w:hAnsi="Tahoma" w:cs="Tahoma"/>
          <w:sz w:val="20"/>
          <w:szCs w:val="20"/>
        </w:rPr>
        <w:t>reconnus</w:t>
      </w:r>
      <w:r w:rsidR="00DB1635" w:rsidRPr="00B004EE">
        <w:rPr>
          <w:rFonts w:ascii="Tahoma" w:hAnsi="Tahoma" w:cs="Tahoma"/>
          <w:sz w:val="20"/>
          <w:szCs w:val="20"/>
        </w:rPr>
        <w:t xml:space="preserve"> </w:t>
      </w:r>
      <w:r w:rsidR="002F24E1" w:rsidRPr="00B004EE">
        <w:rPr>
          <w:rFonts w:ascii="Tahoma" w:hAnsi="Tahoma" w:cs="Tahoma"/>
          <w:sz w:val="20"/>
          <w:szCs w:val="20"/>
        </w:rPr>
        <w:t>conformes</w:t>
      </w:r>
      <w:r w:rsidR="00DB1635" w:rsidRPr="00B004EE">
        <w:rPr>
          <w:rFonts w:ascii="Tahoma" w:hAnsi="Tahoma" w:cs="Tahoma"/>
          <w:sz w:val="20"/>
          <w:szCs w:val="20"/>
        </w:rPr>
        <w:t xml:space="preserve"> </w:t>
      </w:r>
      <w:r w:rsidR="002F24E1" w:rsidRPr="00B004EE">
        <w:rPr>
          <w:rFonts w:ascii="Tahoma" w:hAnsi="Tahoma" w:cs="Tahoma"/>
          <w:sz w:val="20"/>
          <w:szCs w:val="20"/>
        </w:rPr>
        <w:t>doivent</w:t>
      </w:r>
      <w:r w:rsidR="00DB1635" w:rsidRPr="00B004EE">
        <w:rPr>
          <w:rFonts w:ascii="Tahoma" w:hAnsi="Tahoma" w:cs="Tahoma"/>
          <w:sz w:val="20"/>
          <w:szCs w:val="20"/>
        </w:rPr>
        <w:t xml:space="preserve"> </w:t>
      </w:r>
      <w:r w:rsidR="002F24E1" w:rsidRPr="00B004EE">
        <w:rPr>
          <w:rFonts w:ascii="Tahoma" w:hAnsi="Tahoma" w:cs="Tahoma"/>
          <w:sz w:val="20"/>
          <w:szCs w:val="20"/>
        </w:rPr>
        <w:t>être</w:t>
      </w:r>
      <w:r w:rsidR="00DB1635" w:rsidRPr="00B004EE">
        <w:rPr>
          <w:rFonts w:ascii="Tahoma" w:hAnsi="Tahoma" w:cs="Tahoma"/>
          <w:sz w:val="20"/>
          <w:szCs w:val="20"/>
        </w:rPr>
        <w:t xml:space="preserve"> </w:t>
      </w:r>
      <w:r w:rsidR="002F24E1" w:rsidRPr="00B004EE">
        <w:rPr>
          <w:rFonts w:ascii="Tahoma" w:hAnsi="Tahoma" w:cs="Tahoma"/>
          <w:sz w:val="20"/>
          <w:szCs w:val="20"/>
        </w:rPr>
        <w:t>inscrits</w:t>
      </w:r>
      <w:r w:rsidR="00DB1635" w:rsidRPr="00B004EE">
        <w:rPr>
          <w:rFonts w:ascii="Tahoma" w:hAnsi="Tahoma" w:cs="Tahoma"/>
          <w:sz w:val="20"/>
          <w:szCs w:val="20"/>
        </w:rPr>
        <w:t xml:space="preserve"> </w:t>
      </w:r>
      <w:r w:rsidR="002F24E1" w:rsidRPr="00B004EE">
        <w:rPr>
          <w:rFonts w:ascii="Tahoma" w:hAnsi="Tahoma" w:cs="Tahoma"/>
          <w:sz w:val="20"/>
          <w:szCs w:val="20"/>
        </w:rPr>
        <w:t>sur</w:t>
      </w:r>
      <w:r w:rsidR="00DB1635" w:rsidRPr="00B004EE">
        <w:rPr>
          <w:rFonts w:ascii="Tahoma" w:hAnsi="Tahoma" w:cs="Tahoma"/>
          <w:sz w:val="20"/>
          <w:szCs w:val="20"/>
        </w:rPr>
        <w:t xml:space="preserve"> </w:t>
      </w:r>
      <w:r w:rsidR="002F24E1" w:rsidRPr="00B004EE">
        <w:rPr>
          <w:rFonts w:ascii="Tahoma" w:hAnsi="Tahoma" w:cs="Tahoma"/>
          <w:sz w:val="20"/>
          <w:szCs w:val="20"/>
        </w:rPr>
        <w:t>la</w:t>
      </w:r>
      <w:r w:rsidR="00DB1635" w:rsidRPr="00B004EE">
        <w:rPr>
          <w:rFonts w:ascii="Tahoma" w:hAnsi="Tahoma" w:cs="Tahoma"/>
          <w:sz w:val="20"/>
          <w:szCs w:val="20"/>
        </w:rPr>
        <w:t xml:space="preserve"> </w:t>
      </w:r>
      <w:r w:rsidR="002F24E1" w:rsidRPr="00B004EE">
        <w:rPr>
          <w:rFonts w:ascii="Tahoma" w:hAnsi="Tahoma" w:cs="Tahoma"/>
          <w:sz w:val="20"/>
          <w:szCs w:val="20"/>
        </w:rPr>
        <w:t>liste</w:t>
      </w:r>
      <w:r w:rsidR="00DB1635" w:rsidRPr="00B004EE">
        <w:rPr>
          <w:rFonts w:ascii="Tahoma" w:hAnsi="Tahoma" w:cs="Tahoma"/>
          <w:sz w:val="20"/>
          <w:szCs w:val="20"/>
        </w:rPr>
        <w:t xml:space="preserve"> </w:t>
      </w:r>
      <w:r w:rsidR="002F24E1" w:rsidRPr="00B004EE">
        <w:rPr>
          <w:rFonts w:ascii="Tahoma" w:hAnsi="Tahoma" w:cs="Tahoma"/>
          <w:sz w:val="20"/>
          <w:szCs w:val="20"/>
        </w:rPr>
        <w:t>officielle</w:t>
      </w:r>
      <w:r w:rsidR="00DB1635" w:rsidRPr="00B004EE">
        <w:rPr>
          <w:rFonts w:ascii="Tahoma" w:hAnsi="Tahoma" w:cs="Tahoma"/>
          <w:sz w:val="20"/>
          <w:szCs w:val="20"/>
        </w:rPr>
        <w:t xml:space="preserve"> </w:t>
      </w:r>
      <w:r w:rsidR="002F24E1" w:rsidRPr="00B004EE">
        <w:rPr>
          <w:rFonts w:ascii="Tahoma" w:hAnsi="Tahoma" w:cs="Tahoma"/>
          <w:sz w:val="20"/>
          <w:szCs w:val="20"/>
        </w:rPr>
        <w:t>des</w:t>
      </w:r>
      <w:r w:rsidR="00DB1635" w:rsidRPr="00B004EE">
        <w:rPr>
          <w:rFonts w:ascii="Tahoma" w:hAnsi="Tahoma" w:cs="Tahoma"/>
          <w:sz w:val="20"/>
          <w:szCs w:val="20"/>
        </w:rPr>
        <w:t xml:space="preserve"> </w:t>
      </w:r>
      <w:r w:rsidR="002F24E1" w:rsidRPr="00B004EE">
        <w:rPr>
          <w:rFonts w:ascii="Tahoma" w:hAnsi="Tahoma" w:cs="Tahoma"/>
          <w:sz w:val="20"/>
          <w:szCs w:val="20"/>
        </w:rPr>
        <w:t>navires-usines</w:t>
      </w:r>
      <w:r w:rsidR="00DB1635" w:rsidRPr="00B004EE">
        <w:rPr>
          <w:rFonts w:ascii="Tahoma" w:hAnsi="Tahoma" w:cs="Tahoma"/>
          <w:sz w:val="20"/>
          <w:szCs w:val="20"/>
        </w:rPr>
        <w:t xml:space="preserve"> </w:t>
      </w:r>
      <w:r w:rsidR="002F24E1" w:rsidRPr="00B004EE">
        <w:rPr>
          <w:rFonts w:ascii="Tahoma" w:hAnsi="Tahoma" w:cs="Tahoma"/>
          <w:sz w:val="20"/>
          <w:szCs w:val="20"/>
        </w:rPr>
        <w:t>agrées.</w:t>
      </w:r>
      <w:r w:rsidR="00DB1635" w:rsidRPr="00B004EE">
        <w:rPr>
          <w:rFonts w:ascii="Tahoma" w:hAnsi="Tahoma" w:cs="Tahoma"/>
          <w:sz w:val="20"/>
          <w:szCs w:val="20"/>
        </w:rPr>
        <w:t xml:space="preserve"> </w:t>
      </w:r>
      <w:r w:rsidR="002F24E1" w:rsidRPr="00B004EE">
        <w:rPr>
          <w:rFonts w:ascii="Tahoma" w:hAnsi="Tahoma" w:cs="Tahoma"/>
          <w:sz w:val="20"/>
          <w:szCs w:val="20"/>
        </w:rPr>
        <w:t>L'inscription</w:t>
      </w:r>
      <w:r w:rsidR="00DB1635" w:rsidRPr="00B004EE">
        <w:rPr>
          <w:rFonts w:ascii="Tahoma" w:hAnsi="Tahoma" w:cs="Tahoma"/>
          <w:sz w:val="20"/>
          <w:szCs w:val="20"/>
        </w:rPr>
        <w:t xml:space="preserve"> </w:t>
      </w:r>
      <w:r w:rsidR="002F24E1" w:rsidRPr="00B004EE">
        <w:rPr>
          <w:rFonts w:ascii="Tahoma" w:hAnsi="Tahoma" w:cs="Tahoma"/>
          <w:sz w:val="20"/>
          <w:szCs w:val="20"/>
        </w:rPr>
        <w:t>a</w:t>
      </w:r>
      <w:r w:rsidR="00DB1635" w:rsidRPr="00B004EE">
        <w:rPr>
          <w:rFonts w:ascii="Tahoma" w:hAnsi="Tahoma" w:cs="Tahoma"/>
          <w:sz w:val="20"/>
          <w:szCs w:val="20"/>
        </w:rPr>
        <w:t xml:space="preserve"> </w:t>
      </w:r>
      <w:r w:rsidR="002F24E1" w:rsidRPr="00B004EE">
        <w:rPr>
          <w:rFonts w:ascii="Tahoma" w:hAnsi="Tahoma" w:cs="Tahoma"/>
          <w:sz w:val="20"/>
          <w:szCs w:val="20"/>
        </w:rPr>
        <w:t>une</w:t>
      </w:r>
      <w:r w:rsidR="00DB1635" w:rsidRPr="00B004EE">
        <w:rPr>
          <w:rFonts w:ascii="Tahoma" w:hAnsi="Tahoma" w:cs="Tahoma"/>
          <w:sz w:val="20"/>
          <w:szCs w:val="20"/>
        </w:rPr>
        <w:t xml:space="preserve"> </w:t>
      </w:r>
      <w:r w:rsidR="002F24E1" w:rsidRPr="00B004EE">
        <w:rPr>
          <w:rFonts w:ascii="Tahoma" w:hAnsi="Tahoma" w:cs="Tahoma"/>
          <w:sz w:val="20"/>
          <w:szCs w:val="20"/>
        </w:rPr>
        <w:t>durée</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quatre</w:t>
      </w:r>
      <w:r w:rsidR="00DB1635" w:rsidRPr="00B004EE">
        <w:rPr>
          <w:rFonts w:ascii="Tahoma" w:hAnsi="Tahoma" w:cs="Tahoma"/>
          <w:sz w:val="20"/>
          <w:szCs w:val="20"/>
        </w:rPr>
        <w:t xml:space="preserve"> </w:t>
      </w:r>
      <w:r w:rsidR="002F24E1" w:rsidRPr="00B004EE">
        <w:rPr>
          <w:rFonts w:ascii="Tahoma" w:hAnsi="Tahoma" w:cs="Tahoma"/>
          <w:sz w:val="20"/>
          <w:szCs w:val="20"/>
        </w:rPr>
        <w:t>ans,</w:t>
      </w:r>
      <w:r w:rsidR="00DB1635" w:rsidRPr="00B004EE">
        <w:rPr>
          <w:rFonts w:ascii="Tahoma" w:hAnsi="Tahoma" w:cs="Tahoma"/>
          <w:sz w:val="20"/>
          <w:szCs w:val="20"/>
        </w:rPr>
        <w:t xml:space="preserve"> </w:t>
      </w:r>
      <w:r w:rsidR="002F24E1" w:rsidRPr="00B004EE">
        <w:rPr>
          <w:rFonts w:ascii="Tahoma" w:hAnsi="Tahoma" w:cs="Tahoma"/>
          <w:sz w:val="20"/>
          <w:szCs w:val="20"/>
        </w:rPr>
        <w:t>renouvelable</w:t>
      </w:r>
      <w:r w:rsidR="00DB1635" w:rsidRPr="00B004EE">
        <w:rPr>
          <w:rFonts w:ascii="Tahoma" w:hAnsi="Tahoma" w:cs="Tahoma"/>
          <w:sz w:val="20"/>
          <w:szCs w:val="20"/>
        </w:rPr>
        <w:t xml:space="preserve"> </w:t>
      </w:r>
      <w:r w:rsidR="002F24E1" w:rsidRPr="00B004EE">
        <w:rPr>
          <w:rFonts w:ascii="Tahoma" w:hAnsi="Tahoma" w:cs="Tahoma"/>
          <w:sz w:val="20"/>
          <w:szCs w:val="20"/>
        </w:rPr>
        <w:t>sur</w:t>
      </w:r>
      <w:r w:rsidR="00DB1635" w:rsidRPr="00B004EE">
        <w:rPr>
          <w:rFonts w:ascii="Tahoma" w:hAnsi="Tahoma" w:cs="Tahoma"/>
          <w:sz w:val="20"/>
          <w:szCs w:val="20"/>
        </w:rPr>
        <w:t xml:space="preserve"> </w:t>
      </w:r>
      <w:r w:rsidR="002F24E1" w:rsidRPr="00B004EE">
        <w:rPr>
          <w:rFonts w:ascii="Tahoma" w:hAnsi="Tahoma" w:cs="Tahoma"/>
          <w:sz w:val="20"/>
          <w:szCs w:val="20"/>
        </w:rPr>
        <w:t>demande,</w:t>
      </w:r>
      <w:r w:rsidR="00DB1635" w:rsidRPr="00B004EE">
        <w:rPr>
          <w:rFonts w:ascii="Tahoma" w:hAnsi="Tahoma" w:cs="Tahoma"/>
          <w:sz w:val="20"/>
          <w:szCs w:val="20"/>
        </w:rPr>
        <w:t xml:space="preserve"> </w:t>
      </w:r>
      <w:r w:rsidR="002F24E1" w:rsidRPr="00B004EE">
        <w:rPr>
          <w:rFonts w:ascii="Tahoma" w:hAnsi="Tahoma" w:cs="Tahoma"/>
          <w:sz w:val="20"/>
          <w:szCs w:val="20"/>
        </w:rPr>
        <w:t>sauf</w:t>
      </w:r>
      <w:r w:rsidR="00DB1635" w:rsidRPr="00B004EE">
        <w:rPr>
          <w:rFonts w:ascii="Tahoma" w:hAnsi="Tahoma" w:cs="Tahoma"/>
          <w:sz w:val="20"/>
          <w:szCs w:val="20"/>
        </w:rPr>
        <w:t xml:space="preserve"> </w:t>
      </w:r>
      <w:r w:rsidR="002F24E1" w:rsidRPr="00B004EE">
        <w:rPr>
          <w:rFonts w:ascii="Tahoma" w:hAnsi="Tahoma" w:cs="Tahoma"/>
          <w:sz w:val="20"/>
          <w:szCs w:val="20"/>
        </w:rPr>
        <w:t>en</w:t>
      </w:r>
      <w:r w:rsidR="00DB1635" w:rsidRPr="00B004EE">
        <w:rPr>
          <w:rFonts w:ascii="Tahoma" w:hAnsi="Tahoma" w:cs="Tahoma"/>
          <w:sz w:val="20"/>
          <w:szCs w:val="20"/>
        </w:rPr>
        <w:t xml:space="preserve"> </w:t>
      </w:r>
      <w:r w:rsidR="002F24E1" w:rsidRPr="00B004EE">
        <w:rPr>
          <w:rFonts w:ascii="Tahoma" w:hAnsi="Tahoma" w:cs="Tahoma"/>
          <w:sz w:val="20"/>
          <w:szCs w:val="20"/>
        </w:rPr>
        <w:t>cas</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suspension</w:t>
      </w:r>
      <w:r w:rsidR="00DB1635" w:rsidRPr="00B004EE">
        <w:rPr>
          <w:rFonts w:ascii="Tahoma" w:hAnsi="Tahoma" w:cs="Tahoma"/>
          <w:sz w:val="20"/>
          <w:szCs w:val="20"/>
        </w:rPr>
        <w:t xml:space="preserve"> </w:t>
      </w:r>
      <w:r w:rsidR="002F24E1" w:rsidRPr="00B004EE">
        <w:rPr>
          <w:rFonts w:ascii="Tahoma" w:hAnsi="Tahoma" w:cs="Tahoma"/>
          <w:sz w:val="20"/>
          <w:szCs w:val="20"/>
        </w:rPr>
        <w:t>ou</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retrait</w:t>
      </w:r>
      <w:r w:rsidR="00DB1635" w:rsidRPr="00B004EE">
        <w:rPr>
          <w:rFonts w:ascii="Tahoma" w:hAnsi="Tahoma" w:cs="Tahoma"/>
          <w:sz w:val="20"/>
          <w:szCs w:val="20"/>
        </w:rPr>
        <w:t xml:space="preserve"> </w:t>
      </w:r>
      <w:r w:rsidR="002F24E1" w:rsidRPr="00B004EE">
        <w:rPr>
          <w:rFonts w:ascii="Tahoma" w:hAnsi="Tahoma" w:cs="Tahoma"/>
          <w:sz w:val="20"/>
          <w:szCs w:val="20"/>
        </w:rPr>
        <w:t>d'agrément.</w:t>
      </w:r>
      <w:r w:rsidR="00DB1635" w:rsidRPr="00B004EE">
        <w:rPr>
          <w:rFonts w:ascii="Tahoma" w:hAnsi="Tahoma" w:cs="Tahoma"/>
          <w:sz w:val="20"/>
          <w:szCs w:val="20"/>
        </w:rPr>
        <w:t xml:space="preserve"> </w:t>
      </w:r>
      <w:r w:rsidR="002F24E1" w:rsidRPr="00B004EE">
        <w:rPr>
          <w:rFonts w:ascii="Tahoma" w:hAnsi="Tahoma" w:cs="Tahoma"/>
          <w:sz w:val="20"/>
          <w:szCs w:val="20"/>
        </w:rPr>
        <w:t>La</w:t>
      </w:r>
      <w:r w:rsidR="00DB1635" w:rsidRPr="00B004EE">
        <w:rPr>
          <w:rFonts w:ascii="Tahoma" w:hAnsi="Tahoma" w:cs="Tahoma"/>
          <w:sz w:val="20"/>
          <w:szCs w:val="20"/>
        </w:rPr>
        <w:t xml:space="preserve"> </w:t>
      </w:r>
      <w:r w:rsidR="002F24E1" w:rsidRPr="00B004EE">
        <w:rPr>
          <w:rFonts w:ascii="Tahoma" w:hAnsi="Tahoma" w:cs="Tahoma"/>
          <w:sz w:val="20"/>
          <w:szCs w:val="20"/>
        </w:rPr>
        <w:t>demande</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renouvellement</w:t>
      </w:r>
      <w:r w:rsidR="00DB1635" w:rsidRPr="00B004EE">
        <w:rPr>
          <w:rFonts w:ascii="Tahoma" w:hAnsi="Tahoma" w:cs="Tahoma"/>
          <w:sz w:val="20"/>
          <w:szCs w:val="20"/>
        </w:rPr>
        <w:t xml:space="preserve"> </w:t>
      </w:r>
      <w:r w:rsidR="002F24E1" w:rsidRPr="00B004EE">
        <w:rPr>
          <w:rFonts w:ascii="Tahoma" w:hAnsi="Tahoma" w:cs="Tahoma"/>
          <w:sz w:val="20"/>
          <w:szCs w:val="20"/>
        </w:rPr>
        <w:t>doit</w:t>
      </w:r>
      <w:r w:rsidR="00DB1635" w:rsidRPr="00B004EE">
        <w:rPr>
          <w:rFonts w:ascii="Tahoma" w:hAnsi="Tahoma" w:cs="Tahoma"/>
          <w:sz w:val="20"/>
          <w:szCs w:val="20"/>
        </w:rPr>
        <w:t xml:space="preserve"> </w:t>
      </w:r>
      <w:r w:rsidR="002F24E1" w:rsidRPr="00B004EE">
        <w:rPr>
          <w:rFonts w:ascii="Tahoma" w:hAnsi="Tahoma" w:cs="Tahoma"/>
          <w:sz w:val="20"/>
          <w:szCs w:val="20"/>
        </w:rPr>
        <w:t>parvenir</w:t>
      </w:r>
      <w:r w:rsidR="00DB1635" w:rsidRPr="00B004EE">
        <w:rPr>
          <w:rFonts w:ascii="Tahoma" w:hAnsi="Tahoma" w:cs="Tahoma"/>
          <w:sz w:val="20"/>
          <w:szCs w:val="20"/>
        </w:rPr>
        <w:t xml:space="preserve"> </w:t>
      </w:r>
      <w:r w:rsidR="002F24E1" w:rsidRPr="00B004EE">
        <w:rPr>
          <w:rFonts w:ascii="Tahoma" w:hAnsi="Tahoma" w:cs="Tahoma"/>
          <w:sz w:val="20"/>
          <w:szCs w:val="20"/>
        </w:rPr>
        <w:t>au</w:t>
      </w:r>
      <w:r w:rsidR="00DB1635" w:rsidRPr="00B004EE">
        <w:rPr>
          <w:rFonts w:ascii="Tahoma" w:hAnsi="Tahoma" w:cs="Tahoma"/>
          <w:sz w:val="20"/>
          <w:szCs w:val="20"/>
        </w:rPr>
        <w:t xml:space="preserve"> </w:t>
      </w:r>
      <w:r w:rsidR="002F24E1" w:rsidRPr="00B004EE">
        <w:rPr>
          <w:rFonts w:ascii="Tahoma" w:hAnsi="Tahoma" w:cs="Tahoma"/>
          <w:sz w:val="20"/>
          <w:szCs w:val="20"/>
        </w:rPr>
        <w:t>Ministre</w:t>
      </w:r>
      <w:r w:rsidR="00DB1635" w:rsidRPr="00B004EE">
        <w:rPr>
          <w:rFonts w:ascii="Tahoma" w:hAnsi="Tahoma" w:cs="Tahoma"/>
          <w:sz w:val="20"/>
          <w:szCs w:val="20"/>
        </w:rPr>
        <w:t xml:space="preserve"> </w:t>
      </w:r>
      <w:r w:rsidR="002F24E1" w:rsidRPr="00B004EE">
        <w:rPr>
          <w:rFonts w:ascii="Tahoma" w:hAnsi="Tahoma" w:cs="Tahoma"/>
          <w:sz w:val="20"/>
          <w:szCs w:val="20"/>
        </w:rPr>
        <w:t>chargé</w:t>
      </w:r>
      <w:r w:rsidR="00DB1635" w:rsidRPr="00B004EE">
        <w:rPr>
          <w:rFonts w:ascii="Tahoma" w:hAnsi="Tahoma" w:cs="Tahoma"/>
          <w:sz w:val="20"/>
          <w:szCs w:val="20"/>
        </w:rPr>
        <w:t xml:space="preserve"> </w:t>
      </w:r>
      <w:r w:rsidR="002F24E1" w:rsidRPr="00B004EE">
        <w:rPr>
          <w:rFonts w:ascii="Tahoma" w:hAnsi="Tahoma" w:cs="Tahoma"/>
          <w:sz w:val="20"/>
          <w:szCs w:val="20"/>
        </w:rPr>
        <w:t>des</w:t>
      </w:r>
      <w:r w:rsidR="00DB1635" w:rsidRPr="00B004EE">
        <w:rPr>
          <w:rFonts w:ascii="Tahoma" w:hAnsi="Tahoma" w:cs="Tahoma"/>
          <w:sz w:val="20"/>
          <w:szCs w:val="20"/>
        </w:rPr>
        <w:t xml:space="preserve"> </w:t>
      </w:r>
      <w:r w:rsidR="002F24E1" w:rsidRPr="00B004EE">
        <w:rPr>
          <w:rFonts w:ascii="Tahoma" w:hAnsi="Tahoma" w:cs="Tahoma"/>
          <w:sz w:val="20"/>
          <w:szCs w:val="20"/>
        </w:rPr>
        <w:t>Pêches</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l'Economie</w:t>
      </w:r>
      <w:r w:rsidR="00DB1635" w:rsidRPr="00B004EE">
        <w:rPr>
          <w:rFonts w:ascii="Tahoma" w:hAnsi="Tahoma" w:cs="Tahoma"/>
          <w:sz w:val="20"/>
          <w:szCs w:val="20"/>
        </w:rPr>
        <w:t xml:space="preserve"> </w:t>
      </w:r>
      <w:r w:rsidR="002F24E1" w:rsidRPr="00B004EE">
        <w:rPr>
          <w:rFonts w:ascii="Tahoma" w:hAnsi="Tahoma" w:cs="Tahoma"/>
          <w:sz w:val="20"/>
          <w:szCs w:val="20"/>
        </w:rPr>
        <w:t>Maritime</w:t>
      </w:r>
      <w:r w:rsidR="00DB1635" w:rsidRPr="00B004EE">
        <w:rPr>
          <w:rFonts w:ascii="Tahoma" w:hAnsi="Tahoma" w:cs="Tahoma"/>
          <w:sz w:val="20"/>
          <w:szCs w:val="20"/>
        </w:rPr>
        <w:t xml:space="preserve"> </w:t>
      </w:r>
      <w:r w:rsidR="002F24E1" w:rsidRPr="00B004EE">
        <w:rPr>
          <w:rFonts w:ascii="Tahoma" w:hAnsi="Tahoma" w:cs="Tahoma"/>
          <w:sz w:val="20"/>
          <w:szCs w:val="20"/>
        </w:rPr>
        <w:t>au</w:t>
      </w:r>
      <w:r w:rsidR="00DB1635" w:rsidRPr="00B004EE">
        <w:rPr>
          <w:rFonts w:ascii="Tahoma" w:hAnsi="Tahoma" w:cs="Tahoma"/>
          <w:sz w:val="20"/>
          <w:szCs w:val="20"/>
        </w:rPr>
        <w:t xml:space="preserve"> </w:t>
      </w:r>
      <w:r w:rsidR="002F24E1" w:rsidRPr="00B004EE">
        <w:rPr>
          <w:rFonts w:ascii="Tahoma" w:hAnsi="Tahoma" w:cs="Tahoma"/>
          <w:sz w:val="20"/>
          <w:szCs w:val="20"/>
        </w:rPr>
        <w:t>moins</w:t>
      </w:r>
      <w:r w:rsidR="00DB1635" w:rsidRPr="00B004EE">
        <w:rPr>
          <w:rFonts w:ascii="Tahoma" w:hAnsi="Tahoma" w:cs="Tahoma"/>
          <w:sz w:val="20"/>
          <w:szCs w:val="20"/>
        </w:rPr>
        <w:t xml:space="preserve"> </w:t>
      </w:r>
      <w:r w:rsidR="002F24E1" w:rsidRPr="00B004EE">
        <w:rPr>
          <w:rFonts w:ascii="Tahoma" w:hAnsi="Tahoma" w:cs="Tahoma"/>
          <w:sz w:val="20"/>
          <w:szCs w:val="20"/>
        </w:rPr>
        <w:t>6</w:t>
      </w:r>
      <w:r w:rsidR="00DB1635" w:rsidRPr="00B004EE">
        <w:rPr>
          <w:rFonts w:ascii="Tahoma" w:hAnsi="Tahoma" w:cs="Tahoma"/>
          <w:sz w:val="20"/>
          <w:szCs w:val="20"/>
        </w:rPr>
        <w:t xml:space="preserve"> </w:t>
      </w:r>
      <w:r w:rsidR="002F24E1" w:rsidRPr="00B004EE">
        <w:rPr>
          <w:rFonts w:ascii="Tahoma" w:hAnsi="Tahoma" w:cs="Tahoma"/>
          <w:sz w:val="20"/>
          <w:szCs w:val="20"/>
        </w:rPr>
        <w:t>mois</w:t>
      </w:r>
      <w:r w:rsidR="00DB1635" w:rsidRPr="00B004EE">
        <w:rPr>
          <w:rFonts w:ascii="Tahoma" w:hAnsi="Tahoma" w:cs="Tahoma"/>
          <w:sz w:val="20"/>
          <w:szCs w:val="20"/>
        </w:rPr>
        <w:t xml:space="preserve"> </w:t>
      </w:r>
      <w:r w:rsidR="002F24E1" w:rsidRPr="00B004EE">
        <w:rPr>
          <w:rFonts w:ascii="Tahoma" w:hAnsi="Tahoma" w:cs="Tahoma"/>
          <w:sz w:val="20"/>
          <w:szCs w:val="20"/>
        </w:rPr>
        <w:t>avant</w:t>
      </w:r>
      <w:r w:rsidR="00DB1635" w:rsidRPr="00B004EE">
        <w:rPr>
          <w:rFonts w:ascii="Tahoma" w:hAnsi="Tahoma" w:cs="Tahoma"/>
          <w:sz w:val="20"/>
          <w:szCs w:val="20"/>
        </w:rPr>
        <w:t xml:space="preserve"> </w:t>
      </w:r>
      <w:r w:rsidR="002F24E1" w:rsidRPr="00B004EE">
        <w:rPr>
          <w:rFonts w:ascii="Tahoma" w:hAnsi="Tahoma" w:cs="Tahoma"/>
          <w:sz w:val="20"/>
          <w:szCs w:val="20"/>
        </w:rPr>
        <w:t>l'expiration</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l'agrément.</w:t>
      </w:r>
    </w:p>
    <w:p w14:paraId="1862E3BC" w14:textId="77777777" w:rsidR="002F24E1" w:rsidRPr="00B004EE" w:rsidRDefault="002F24E1" w:rsidP="00B004EE">
      <w:pPr>
        <w:jc w:val="both"/>
        <w:rPr>
          <w:rFonts w:ascii="Tahoma" w:hAnsi="Tahoma" w:cs="Tahoma"/>
          <w:sz w:val="20"/>
          <w:szCs w:val="20"/>
        </w:rPr>
      </w:pPr>
    </w:p>
    <w:p w14:paraId="24C75E91" w14:textId="2C89F574" w:rsidR="002F24E1" w:rsidRPr="00B004EE" w:rsidRDefault="002F24E1" w:rsidP="00B004EE">
      <w:pPr>
        <w:jc w:val="both"/>
        <w:rPr>
          <w:rFonts w:ascii="Tahoma" w:hAnsi="Tahoma" w:cs="Tahoma"/>
          <w:sz w:val="20"/>
          <w:szCs w:val="20"/>
        </w:rPr>
      </w:pPr>
      <w:r w:rsidRPr="00B004EE">
        <w:rPr>
          <w:rFonts w:ascii="Tahoma" w:hAnsi="Tahoma" w:cs="Tahoma"/>
          <w:sz w:val="20"/>
          <w:szCs w:val="20"/>
        </w:rPr>
        <w:tab/>
        <w:t>Lorsqu'une</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plusieurs</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obligations</w:t>
      </w:r>
      <w:r w:rsidR="00DB1635" w:rsidRPr="00B004EE">
        <w:rPr>
          <w:rFonts w:ascii="Tahoma" w:hAnsi="Tahoma" w:cs="Tahoma"/>
          <w:sz w:val="20"/>
          <w:szCs w:val="20"/>
        </w:rPr>
        <w:t xml:space="preserve"> </w:t>
      </w:r>
      <w:r w:rsidRPr="00B004EE">
        <w:rPr>
          <w:rFonts w:ascii="Tahoma" w:hAnsi="Tahoma" w:cs="Tahoma"/>
          <w:sz w:val="20"/>
          <w:szCs w:val="20"/>
        </w:rPr>
        <w:t>auxquelles</w:t>
      </w:r>
      <w:r w:rsidR="00DB1635" w:rsidRPr="00B004EE">
        <w:rPr>
          <w:rFonts w:ascii="Tahoma" w:hAnsi="Tahoma" w:cs="Tahoma"/>
          <w:sz w:val="20"/>
          <w:szCs w:val="20"/>
        </w:rPr>
        <w:t xml:space="preserve"> </w:t>
      </w:r>
      <w:r w:rsidRPr="00B004EE">
        <w:rPr>
          <w:rFonts w:ascii="Tahoma" w:hAnsi="Tahoma" w:cs="Tahoma"/>
          <w:sz w:val="20"/>
          <w:szCs w:val="20"/>
        </w:rPr>
        <w:t>l'agrément</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lié</w:t>
      </w:r>
      <w:r w:rsidR="00DB1635" w:rsidRPr="00B004EE">
        <w:rPr>
          <w:rFonts w:ascii="Tahoma" w:hAnsi="Tahoma" w:cs="Tahoma"/>
          <w:sz w:val="20"/>
          <w:szCs w:val="20"/>
        </w:rPr>
        <w:t xml:space="preserve"> </w:t>
      </w:r>
      <w:r w:rsidRPr="00B004EE">
        <w:rPr>
          <w:rFonts w:ascii="Tahoma" w:hAnsi="Tahoma" w:cs="Tahoma"/>
          <w:sz w:val="20"/>
          <w:szCs w:val="20"/>
        </w:rPr>
        <w:t>ne</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plus</w:t>
      </w:r>
      <w:r w:rsidR="00DB1635" w:rsidRPr="00B004EE">
        <w:rPr>
          <w:rFonts w:ascii="Tahoma" w:hAnsi="Tahoma" w:cs="Tahoma"/>
          <w:sz w:val="20"/>
          <w:szCs w:val="20"/>
        </w:rPr>
        <w:t xml:space="preserve"> </w:t>
      </w:r>
      <w:r w:rsidRPr="00B004EE">
        <w:rPr>
          <w:rFonts w:ascii="Tahoma" w:hAnsi="Tahoma" w:cs="Tahoma"/>
          <w:sz w:val="20"/>
          <w:szCs w:val="20"/>
        </w:rPr>
        <w:t>respectées,</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suspension</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retrait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l'agrément</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prononcés</w:t>
      </w:r>
      <w:r w:rsidR="00DB1635" w:rsidRPr="00B004EE">
        <w:rPr>
          <w:rFonts w:ascii="Tahoma" w:hAnsi="Tahoma" w:cs="Tahoma"/>
          <w:sz w:val="20"/>
          <w:szCs w:val="20"/>
        </w:rPr>
        <w:t xml:space="preserve"> </w:t>
      </w:r>
      <w:r w:rsidRPr="00B004EE">
        <w:rPr>
          <w:rFonts w:ascii="Tahoma" w:hAnsi="Tahoma" w:cs="Tahoma"/>
          <w:sz w:val="20"/>
          <w:szCs w:val="20"/>
        </w:rPr>
        <w:t>sur</w:t>
      </w:r>
      <w:r w:rsidR="00DB1635" w:rsidRPr="00B004EE">
        <w:rPr>
          <w:rFonts w:ascii="Tahoma" w:hAnsi="Tahoma" w:cs="Tahoma"/>
          <w:sz w:val="20"/>
          <w:szCs w:val="20"/>
        </w:rPr>
        <w:t xml:space="preserve"> </w:t>
      </w:r>
      <w:r w:rsidRPr="00B004EE">
        <w:rPr>
          <w:rFonts w:ascii="Tahoma" w:hAnsi="Tahoma" w:cs="Tahoma"/>
          <w:sz w:val="20"/>
          <w:szCs w:val="20"/>
        </w:rPr>
        <w:t>proposition</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après</w:t>
      </w:r>
      <w:r w:rsidR="00DB1635" w:rsidRPr="00B004EE">
        <w:rPr>
          <w:rFonts w:ascii="Tahoma" w:hAnsi="Tahoma" w:cs="Tahoma"/>
          <w:sz w:val="20"/>
          <w:szCs w:val="20"/>
        </w:rPr>
        <w:t xml:space="preserve"> </w:t>
      </w:r>
      <w:r w:rsidRPr="00B004EE">
        <w:rPr>
          <w:rFonts w:ascii="Tahoma" w:hAnsi="Tahoma" w:cs="Tahoma"/>
          <w:sz w:val="20"/>
          <w:szCs w:val="20"/>
        </w:rPr>
        <w:t>avis</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services</w:t>
      </w:r>
      <w:r w:rsidR="00DB1635" w:rsidRPr="00B004EE">
        <w:rPr>
          <w:rFonts w:ascii="Tahoma" w:hAnsi="Tahoma" w:cs="Tahoma"/>
          <w:sz w:val="20"/>
          <w:szCs w:val="20"/>
        </w:rPr>
        <w:t xml:space="preserve"> </w:t>
      </w:r>
      <w:r w:rsidRPr="00B004EE">
        <w:rPr>
          <w:rFonts w:ascii="Tahoma" w:hAnsi="Tahoma" w:cs="Tahoma"/>
          <w:sz w:val="20"/>
          <w:szCs w:val="20"/>
        </w:rPr>
        <w:t>d'inspection</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CNROP.</w:t>
      </w:r>
    </w:p>
    <w:p w14:paraId="0F83AE28" w14:textId="77777777" w:rsidR="002F24E1" w:rsidRPr="00B004EE" w:rsidRDefault="002F24E1" w:rsidP="00B004EE">
      <w:pPr>
        <w:jc w:val="both"/>
        <w:rPr>
          <w:rFonts w:ascii="Tahoma" w:hAnsi="Tahoma" w:cs="Tahoma"/>
          <w:sz w:val="20"/>
          <w:szCs w:val="20"/>
        </w:rPr>
      </w:pPr>
    </w:p>
    <w:p w14:paraId="49BCE0F7" w14:textId="0518692D" w:rsidR="002F24E1" w:rsidRPr="00B004EE" w:rsidRDefault="002F24E1" w:rsidP="00B004EE">
      <w:pPr>
        <w:tabs>
          <w:tab w:val="left" w:pos="567"/>
          <w:tab w:val="left" w:pos="2268"/>
        </w:tabs>
        <w:jc w:val="center"/>
        <w:rPr>
          <w:rFonts w:ascii="Tahoma" w:hAnsi="Tahoma" w:cs="Tahoma"/>
          <w:b/>
          <w:sz w:val="20"/>
          <w:szCs w:val="20"/>
        </w:rPr>
      </w:pPr>
      <w:r w:rsidRPr="00B004EE">
        <w:rPr>
          <w:rFonts w:ascii="Tahoma" w:hAnsi="Tahoma" w:cs="Tahoma"/>
          <w:b/>
          <w:sz w:val="20"/>
          <w:szCs w:val="20"/>
        </w:rPr>
        <w:t>CHAPITRE</w:t>
      </w:r>
      <w:r w:rsidR="00DB1635" w:rsidRPr="00B004EE">
        <w:rPr>
          <w:rFonts w:ascii="Tahoma" w:hAnsi="Tahoma" w:cs="Tahoma"/>
          <w:b/>
          <w:sz w:val="20"/>
          <w:szCs w:val="20"/>
        </w:rPr>
        <w:t xml:space="preserve"> </w:t>
      </w:r>
      <w:r w:rsidRPr="00B004EE">
        <w:rPr>
          <w:rFonts w:ascii="Tahoma" w:hAnsi="Tahoma" w:cs="Tahoma"/>
          <w:b/>
          <w:sz w:val="20"/>
          <w:szCs w:val="20"/>
        </w:rPr>
        <w:t>II</w:t>
      </w:r>
      <w:r w:rsidR="00DB1635" w:rsidRPr="00B004EE">
        <w:rPr>
          <w:rFonts w:ascii="Tahoma" w:hAnsi="Tahoma" w:cs="Tahoma"/>
          <w:b/>
          <w:sz w:val="20"/>
          <w:szCs w:val="20"/>
        </w:rPr>
        <w:t xml:space="preserve"> </w:t>
      </w:r>
      <w:r w:rsidRPr="00B004EE">
        <w:rPr>
          <w:rFonts w:ascii="Tahoma" w:hAnsi="Tahoma" w:cs="Tahoma"/>
          <w:b/>
          <w:sz w:val="20"/>
          <w:szCs w:val="20"/>
        </w:rPr>
        <w:t>:</w:t>
      </w:r>
      <w:r w:rsidR="00DB1635" w:rsidRPr="00B004EE">
        <w:rPr>
          <w:rFonts w:ascii="Tahoma" w:hAnsi="Tahoma" w:cs="Tahoma"/>
          <w:b/>
          <w:sz w:val="20"/>
          <w:szCs w:val="20"/>
        </w:rPr>
        <w:t xml:space="preserve"> </w:t>
      </w:r>
      <w:r w:rsidRPr="00B004EE">
        <w:rPr>
          <w:rFonts w:ascii="Tahoma" w:hAnsi="Tahoma" w:cs="Tahoma"/>
          <w:b/>
          <w:sz w:val="20"/>
          <w:szCs w:val="20"/>
        </w:rPr>
        <w:t>CONTROLE</w:t>
      </w:r>
      <w:r w:rsidR="00DB1635" w:rsidRPr="00B004EE">
        <w:rPr>
          <w:rFonts w:ascii="Tahoma" w:hAnsi="Tahoma" w:cs="Tahoma"/>
          <w:b/>
          <w:sz w:val="20"/>
          <w:szCs w:val="20"/>
        </w:rPr>
        <w:t xml:space="preserve"> </w:t>
      </w:r>
      <w:r w:rsidRPr="00B004EE">
        <w:rPr>
          <w:rFonts w:ascii="Tahoma" w:hAnsi="Tahoma" w:cs="Tahoma"/>
          <w:b/>
          <w:sz w:val="20"/>
          <w:szCs w:val="20"/>
        </w:rPr>
        <w:t>SANITAIRE</w:t>
      </w:r>
      <w:r w:rsidR="00DB1635" w:rsidRPr="00B004EE">
        <w:rPr>
          <w:rFonts w:ascii="Tahoma" w:hAnsi="Tahoma" w:cs="Tahoma"/>
          <w:b/>
          <w:sz w:val="20"/>
          <w:szCs w:val="20"/>
        </w:rPr>
        <w:t xml:space="preserve"> </w:t>
      </w:r>
      <w:r w:rsidRPr="00B004EE">
        <w:rPr>
          <w:rFonts w:ascii="Tahoma" w:hAnsi="Tahoma" w:cs="Tahoma"/>
          <w:b/>
          <w:sz w:val="20"/>
          <w:szCs w:val="20"/>
        </w:rPr>
        <w:t>ET</w:t>
      </w:r>
      <w:r w:rsidR="00DB1635" w:rsidRPr="00B004EE">
        <w:rPr>
          <w:rFonts w:ascii="Tahoma" w:hAnsi="Tahoma" w:cs="Tahoma"/>
          <w:b/>
          <w:sz w:val="20"/>
          <w:szCs w:val="20"/>
        </w:rPr>
        <w:t xml:space="preserve"> </w:t>
      </w:r>
      <w:r w:rsidRPr="00B004EE">
        <w:rPr>
          <w:rFonts w:ascii="Tahoma" w:hAnsi="Tahoma" w:cs="Tahoma"/>
          <w:b/>
          <w:sz w:val="20"/>
          <w:szCs w:val="20"/>
        </w:rPr>
        <w:t>SURVEILLANCE</w:t>
      </w:r>
      <w:r w:rsidR="00DB1635" w:rsidRPr="00B004EE">
        <w:rPr>
          <w:rFonts w:ascii="Tahoma" w:hAnsi="Tahoma" w:cs="Tahoma"/>
          <w:b/>
          <w:sz w:val="20"/>
          <w:szCs w:val="20"/>
        </w:rPr>
        <w:t xml:space="preserve"> </w:t>
      </w:r>
      <w:r w:rsidRPr="00B004EE">
        <w:rPr>
          <w:rFonts w:ascii="Tahoma" w:hAnsi="Tahoma" w:cs="Tahoma"/>
          <w:b/>
          <w:sz w:val="20"/>
          <w:szCs w:val="20"/>
        </w:rPr>
        <w:t>DES</w:t>
      </w:r>
      <w:r w:rsidR="00DB1635" w:rsidRPr="00B004EE">
        <w:rPr>
          <w:rFonts w:ascii="Tahoma" w:hAnsi="Tahoma" w:cs="Tahoma"/>
          <w:b/>
          <w:sz w:val="20"/>
          <w:szCs w:val="20"/>
        </w:rPr>
        <w:t xml:space="preserve"> </w:t>
      </w:r>
      <w:r w:rsidRPr="00B004EE">
        <w:rPr>
          <w:rFonts w:ascii="Tahoma" w:hAnsi="Tahoma" w:cs="Tahoma"/>
          <w:b/>
          <w:sz w:val="20"/>
          <w:szCs w:val="20"/>
        </w:rPr>
        <w:t>CONDITIONS</w:t>
      </w:r>
      <w:r w:rsidR="00DB1635" w:rsidRPr="00B004EE">
        <w:rPr>
          <w:rFonts w:ascii="Tahoma" w:hAnsi="Tahoma" w:cs="Tahoma"/>
          <w:b/>
          <w:sz w:val="20"/>
          <w:szCs w:val="20"/>
        </w:rPr>
        <w:t xml:space="preserve"> </w:t>
      </w:r>
      <w:r w:rsidRPr="00B004EE">
        <w:rPr>
          <w:rFonts w:ascii="Tahoma" w:hAnsi="Tahoma" w:cs="Tahoma"/>
          <w:b/>
          <w:sz w:val="20"/>
          <w:szCs w:val="20"/>
        </w:rPr>
        <w:t>DE</w:t>
      </w:r>
      <w:r w:rsidR="00DB1635" w:rsidRPr="00B004EE">
        <w:rPr>
          <w:rFonts w:ascii="Tahoma" w:hAnsi="Tahoma" w:cs="Tahoma"/>
          <w:b/>
          <w:sz w:val="20"/>
          <w:szCs w:val="20"/>
        </w:rPr>
        <w:t xml:space="preserve"> </w:t>
      </w:r>
      <w:r w:rsidRPr="00B004EE">
        <w:rPr>
          <w:rFonts w:ascii="Tahoma" w:hAnsi="Tahoma" w:cs="Tahoma"/>
          <w:b/>
          <w:sz w:val="20"/>
          <w:szCs w:val="20"/>
        </w:rPr>
        <w:t>PRODUCTION</w:t>
      </w:r>
      <w:r w:rsidR="00DB1635" w:rsidRPr="00B004EE">
        <w:rPr>
          <w:rFonts w:ascii="Tahoma" w:hAnsi="Tahoma" w:cs="Tahoma"/>
          <w:b/>
          <w:sz w:val="20"/>
          <w:szCs w:val="20"/>
        </w:rPr>
        <w:t xml:space="preserve"> </w:t>
      </w:r>
      <w:r w:rsidRPr="00B004EE">
        <w:rPr>
          <w:rFonts w:ascii="Tahoma" w:hAnsi="Tahoma" w:cs="Tahoma"/>
          <w:b/>
          <w:sz w:val="20"/>
          <w:szCs w:val="20"/>
        </w:rPr>
        <w:t>DES</w:t>
      </w:r>
      <w:r w:rsidR="00DB1635" w:rsidRPr="00B004EE">
        <w:rPr>
          <w:rFonts w:ascii="Tahoma" w:hAnsi="Tahoma" w:cs="Tahoma"/>
          <w:b/>
          <w:sz w:val="20"/>
          <w:szCs w:val="20"/>
        </w:rPr>
        <w:t xml:space="preserve"> </w:t>
      </w:r>
      <w:r w:rsidRPr="00B004EE">
        <w:rPr>
          <w:rFonts w:ascii="Tahoma" w:hAnsi="Tahoma" w:cs="Tahoma"/>
          <w:b/>
          <w:sz w:val="20"/>
          <w:szCs w:val="20"/>
        </w:rPr>
        <w:t>NAVIRES</w:t>
      </w:r>
      <w:r w:rsidR="00DB1635" w:rsidRPr="00B004EE">
        <w:rPr>
          <w:rFonts w:ascii="Tahoma" w:hAnsi="Tahoma" w:cs="Tahoma"/>
          <w:b/>
          <w:sz w:val="20"/>
          <w:szCs w:val="20"/>
        </w:rPr>
        <w:t xml:space="preserve"> </w:t>
      </w:r>
      <w:r w:rsidRPr="00B004EE">
        <w:rPr>
          <w:rFonts w:ascii="Tahoma" w:hAnsi="Tahoma" w:cs="Tahoma"/>
          <w:b/>
          <w:sz w:val="20"/>
          <w:szCs w:val="20"/>
        </w:rPr>
        <w:t>DE</w:t>
      </w:r>
      <w:r w:rsidR="00DB1635" w:rsidRPr="00B004EE">
        <w:rPr>
          <w:rFonts w:ascii="Tahoma" w:hAnsi="Tahoma" w:cs="Tahoma"/>
          <w:b/>
          <w:sz w:val="20"/>
          <w:szCs w:val="20"/>
        </w:rPr>
        <w:t xml:space="preserve"> </w:t>
      </w:r>
      <w:r w:rsidRPr="00B004EE">
        <w:rPr>
          <w:rFonts w:ascii="Tahoma" w:hAnsi="Tahoma" w:cs="Tahoma"/>
          <w:b/>
          <w:sz w:val="20"/>
          <w:szCs w:val="20"/>
        </w:rPr>
        <w:t>PECHE,</w:t>
      </w:r>
      <w:r w:rsidR="00DB1635" w:rsidRPr="00B004EE">
        <w:rPr>
          <w:rFonts w:ascii="Tahoma" w:hAnsi="Tahoma" w:cs="Tahoma"/>
          <w:b/>
          <w:sz w:val="20"/>
          <w:szCs w:val="20"/>
        </w:rPr>
        <w:t xml:space="preserve"> </w:t>
      </w:r>
      <w:r w:rsidRPr="00B004EE">
        <w:rPr>
          <w:rFonts w:ascii="Tahoma" w:hAnsi="Tahoma" w:cs="Tahoma"/>
          <w:b/>
          <w:sz w:val="20"/>
          <w:szCs w:val="20"/>
        </w:rPr>
        <w:t>DES</w:t>
      </w:r>
      <w:r w:rsidR="00DB1635" w:rsidRPr="00B004EE">
        <w:rPr>
          <w:rFonts w:ascii="Tahoma" w:hAnsi="Tahoma" w:cs="Tahoma"/>
          <w:b/>
          <w:sz w:val="20"/>
          <w:szCs w:val="20"/>
        </w:rPr>
        <w:t xml:space="preserve"> </w:t>
      </w:r>
      <w:r w:rsidRPr="00B004EE">
        <w:rPr>
          <w:rFonts w:ascii="Tahoma" w:hAnsi="Tahoma" w:cs="Tahoma"/>
          <w:b/>
          <w:sz w:val="20"/>
          <w:szCs w:val="20"/>
        </w:rPr>
        <w:t>NAVIRES-USINES</w:t>
      </w:r>
      <w:r w:rsidR="00DB1635" w:rsidRPr="00B004EE">
        <w:rPr>
          <w:rFonts w:ascii="Tahoma" w:hAnsi="Tahoma" w:cs="Tahoma"/>
          <w:b/>
          <w:sz w:val="20"/>
          <w:szCs w:val="20"/>
        </w:rPr>
        <w:t xml:space="preserve"> </w:t>
      </w:r>
      <w:r w:rsidRPr="00B004EE">
        <w:rPr>
          <w:rFonts w:ascii="Tahoma" w:hAnsi="Tahoma" w:cs="Tahoma"/>
          <w:b/>
          <w:sz w:val="20"/>
          <w:szCs w:val="20"/>
        </w:rPr>
        <w:t>LEURS</w:t>
      </w:r>
      <w:r w:rsidR="00DB1635" w:rsidRPr="00B004EE">
        <w:rPr>
          <w:rFonts w:ascii="Tahoma" w:hAnsi="Tahoma" w:cs="Tahoma"/>
          <w:b/>
          <w:sz w:val="20"/>
          <w:szCs w:val="20"/>
        </w:rPr>
        <w:t xml:space="preserve"> </w:t>
      </w:r>
      <w:r w:rsidRPr="00B004EE">
        <w:rPr>
          <w:rFonts w:ascii="Tahoma" w:hAnsi="Tahoma" w:cs="Tahoma"/>
          <w:b/>
          <w:sz w:val="20"/>
          <w:szCs w:val="20"/>
        </w:rPr>
        <w:t>PRODUITS</w:t>
      </w:r>
    </w:p>
    <w:p w14:paraId="58134EB8" w14:textId="1C497F45" w:rsidR="002F24E1" w:rsidRPr="00B004EE" w:rsidRDefault="00AD7D88" w:rsidP="00B004EE">
      <w:pPr>
        <w:jc w:val="both"/>
        <w:rPr>
          <w:rFonts w:ascii="Tahoma" w:hAnsi="Tahoma" w:cs="Tahoma"/>
          <w:sz w:val="20"/>
          <w:szCs w:val="20"/>
        </w:rPr>
      </w:pPr>
      <w:r w:rsidRPr="00B004EE">
        <w:rPr>
          <w:rFonts w:ascii="Tahoma" w:hAnsi="Tahoma" w:cs="Tahoma"/>
          <w:bCs/>
          <w:sz w:val="20"/>
          <w:szCs w:val="20"/>
        </w:rPr>
        <w:t xml:space="preserve">Article </w:t>
      </w:r>
      <w:r w:rsidR="002F24E1" w:rsidRPr="00B004EE">
        <w:rPr>
          <w:rFonts w:ascii="Tahoma" w:hAnsi="Tahoma" w:cs="Tahoma"/>
          <w:bCs/>
          <w:sz w:val="20"/>
          <w:szCs w:val="20"/>
        </w:rPr>
        <w:t>42</w:t>
      </w:r>
      <w:r w:rsidR="00DB1635" w:rsidRPr="00B004EE">
        <w:rPr>
          <w:rFonts w:ascii="Tahoma" w:hAnsi="Tahoma" w:cs="Tahoma"/>
          <w:b/>
          <w:sz w:val="20"/>
          <w:szCs w:val="20"/>
        </w:rPr>
        <w:t xml:space="preserve"> </w:t>
      </w:r>
      <w:r w:rsidR="002F24E1" w:rsidRPr="00B004EE">
        <w:rPr>
          <w:rFonts w:ascii="Tahoma" w:hAnsi="Tahoma" w:cs="Tahoma"/>
          <w:b/>
          <w:sz w:val="20"/>
          <w:szCs w:val="20"/>
        </w:rPr>
        <w:t>:</w:t>
      </w:r>
      <w:r w:rsidR="00DB1635" w:rsidRPr="00B004EE">
        <w:rPr>
          <w:rFonts w:ascii="Tahoma" w:hAnsi="Tahoma" w:cs="Tahoma"/>
          <w:b/>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2F24E1" w:rsidRPr="00B004EE">
        <w:rPr>
          <w:rFonts w:ascii="Tahoma" w:hAnsi="Tahoma" w:cs="Tahoma"/>
          <w:sz w:val="20"/>
          <w:szCs w:val="20"/>
        </w:rPr>
        <w:t>produits</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la</w:t>
      </w:r>
      <w:r w:rsidR="00DB1635" w:rsidRPr="00B004EE">
        <w:rPr>
          <w:rFonts w:ascii="Tahoma" w:hAnsi="Tahoma" w:cs="Tahoma"/>
          <w:sz w:val="20"/>
          <w:szCs w:val="20"/>
        </w:rPr>
        <w:t xml:space="preserve"> </w:t>
      </w:r>
      <w:r w:rsidR="002F24E1" w:rsidRPr="00B004EE">
        <w:rPr>
          <w:rFonts w:ascii="Tahoma" w:hAnsi="Tahoma" w:cs="Tahoma"/>
          <w:sz w:val="20"/>
          <w:szCs w:val="20"/>
        </w:rPr>
        <w:t>pêche</w:t>
      </w:r>
      <w:r w:rsidR="00DB1635" w:rsidRPr="00B004EE">
        <w:rPr>
          <w:rFonts w:ascii="Tahoma" w:hAnsi="Tahoma" w:cs="Tahoma"/>
          <w:sz w:val="20"/>
          <w:szCs w:val="20"/>
        </w:rPr>
        <w:t xml:space="preserve"> </w:t>
      </w:r>
      <w:r w:rsidR="002F24E1" w:rsidRPr="00B004EE">
        <w:rPr>
          <w:rFonts w:ascii="Tahoma" w:hAnsi="Tahoma" w:cs="Tahoma"/>
          <w:sz w:val="20"/>
          <w:szCs w:val="20"/>
        </w:rPr>
        <w:t>destinés</w:t>
      </w:r>
      <w:r w:rsidR="00DB1635" w:rsidRPr="00B004EE">
        <w:rPr>
          <w:rFonts w:ascii="Tahoma" w:hAnsi="Tahoma" w:cs="Tahoma"/>
          <w:sz w:val="20"/>
          <w:szCs w:val="20"/>
        </w:rPr>
        <w:t xml:space="preserve"> </w:t>
      </w:r>
      <w:r w:rsidR="002F24E1" w:rsidRPr="00B004EE">
        <w:rPr>
          <w:rFonts w:ascii="Tahoma" w:hAnsi="Tahoma" w:cs="Tahoma"/>
          <w:sz w:val="20"/>
          <w:szCs w:val="20"/>
        </w:rPr>
        <w:t>à</w:t>
      </w:r>
      <w:r w:rsidR="00DB1635" w:rsidRPr="00B004EE">
        <w:rPr>
          <w:rFonts w:ascii="Tahoma" w:hAnsi="Tahoma" w:cs="Tahoma"/>
          <w:sz w:val="20"/>
          <w:szCs w:val="20"/>
        </w:rPr>
        <w:t xml:space="preserve"> </w:t>
      </w:r>
      <w:r w:rsidR="002F24E1" w:rsidRPr="00B004EE">
        <w:rPr>
          <w:rFonts w:ascii="Tahoma" w:hAnsi="Tahoma" w:cs="Tahoma"/>
          <w:sz w:val="20"/>
          <w:szCs w:val="20"/>
        </w:rPr>
        <w:t>la</w:t>
      </w:r>
      <w:r w:rsidR="00DB1635" w:rsidRPr="00B004EE">
        <w:rPr>
          <w:rFonts w:ascii="Tahoma" w:hAnsi="Tahoma" w:cs="Tahoma"/>
          <w:sz w:val="20"/>
          <w:szCs w:val="20"/>
        </w:rPr>
        <w:t xml:space="preserve"> </w:t>
      </w:r>
      <w:r w:rsidR="002F24E1" w:rsidRPr="00B004EE">
        <w:rPr>
          <w:rFonts w:ascii="Tahoma" w:hAnsi="Tahoma" w:cs="Tahoma"/>
          <w:sz w:val="20"/>
          <w:szCs w:val="20"/>
        </w:rPr>
        <w:t>consommation</w:t>
      </w:r>
      <w:r w:rsidR="00DB1635" w:rsidRPr="00B004EE">
        <w:rPr>
          <w:rFonts w:ascii="Tahoma" w:hAnsi="Tahoma" w:cs="Tahoma"/>
          <w:sz w:val="20"/>
          <w:szCs w:val="20"/>
        </w:rPr>
        <w:t xml:space="preserve"> </w:t>
      </w:r>
      <w:r w:rsidR="002F24E1" w:rsidRPr="00B004EE">
        <w:rPr>
          <w:rFonts w:ascii="Tahoma" w:hAnsi="Tahoma" w:cs="Tahoma"/>
          <w:sz w:val="20"/>
          <w:szCs w:val="20"/>
        </w:rPr>
        <w:t>humaine</w:t>
      </w:r>
      <w:r w:rsidR="00DB1635" w:rsidRPr="00B004EE">
        <w:rPr>
          <w:rFonts w:ascii="Tahoma" w:hAnsi="Tahoma" w:cs="Tahoma"/>
          <w:sz w:val="20"/>
          <w:szCs w:val="20"/>
        </w:rPr>
        <w:t xml:space="preserve"> </w:t>
      </w:r>
      <w:r w:rsidR="002F24E1" w:rsidRPr="00B004EE">
        <w:rPr>
          <w:rFonts w:ascii="Tahoma" w:hAnsi="Tahoma" w:cs="Tahoma"/>
          <w:sz w:val="20"/>
          <w:szCs w:val="20"/>
        </w:rPr>
        <w:t>ainsi</w:t>
      </w:r>
      <w:r w:rsidR="00DB1635" w:rsidRPr="00B004EE">
        <w:rPr>
          <w:rFonts w:ascii="Tahoma" w:hAnsi="Tahoma" w:cs="Tahoma"/>
          <w:sz w:val="20"/>
          <w:szCs w:val="20"/>
        </w:rPr>
        <w:t xml:space="preserve"> </w:t>
      </w:r>
      <w:r w:rsidR="002F24E1" w:rsidRPr="00B004EE">
        <w:rPr>
          <w:rFonts w:ascii="Tahoma" w:hAnsi="Tahoma" w:cs="Tahoma"/>
          <w:sz w:val="20"/>
          <w:szCs w:val="20"/>
        </w:rPr>
        <w:t>que</w:t>
      </w:r>
      <w:r w:rsidR="00DB1635" w:rsidRPr="00B004EE">
        <w:rPr>
          <w:rFonts w:ascii="Tahoma" w:hAnsi="Tahoma" w:cs="Tahoma"/>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2F24E1" w:rsidRPr="00B004EE">
        <w:rPr>
          <w:rFonts w:ascii="Tahoma" w:hAnsi="Tahoma" w:cs="Tahoma"/>
          <w:sz w:val="20"/>
          <w:szCs w:val="20"/>
        </w:rPr>
        <w:t>navires</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pêche</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2F24E1" w:rsidRPr="00B004EE">
        <w:rPr>
          <w:rFonts w:ascii="Tahoma" w:hAnsi="Tahoma" w:cs="Tahoma"/>
          <w:sz w:val="20"/>
          <w:szCs w:val="20"/>
        </w:rPr>
        <w:t>navires-usines</w:t>
      </w:r>
      <w:r w:rsidR="00DB1635" w:rsidRPr="00B004EE">
        <w:rPr>
          <w:rFonts w:ascii="Tahoma" w:hAnsi="Tahoma" w:cs="Tahoma"/>
          <w:sz w:val="20"/>
          <w:szCs w:val="20"/>
        </w:rPr>
        <w:t xml:space="preserve"> </w:t>
      </w:r>
      <w:r w:rsidR="002F24E1" w:rsidRPr="00B004EE">
        <w:rPr>
          <w:rFonts w:ascii="Tahoma" w:hAnsi="Tahoma" w:cs="Tahoma"/>
          <w:sz w:val="20"/>
          <w:szCs w:val="20"/>
        </w:rPr>
        <w:t>sont</w:t>
      </w:r>
      <w:r w:rsidR="00DB1635" w:rsidRPr="00B004EE">
        <w:rPr>
          <w:rFonts w:ascii="Tahoma" w:hAnsi="Tahoma" w:cs="Tahoma"/>
          <w:sz w:val="20"/>
          <w:szCs w:val="20"/>
        </w:rPr>
        <w:t xml:space="preserve"> </w:t>
      </w:r>
      <w:r w:rsidR="002F24E1" w:rsidRPr="00B004EE">
        <w:rPr>
          <w:rFonts w:ascii="Tahoma" w:hAnsi="Tahoma" w:cs="Tahoma"/>
          <w:sz w:val="20"/>
          <w:szCs w:val="20"/>
        </w:rPr>
        <w:t>soumis</w:t>
      </w:r>
      <w:r w:rsidR="00DB1635" w:rsidRPr="00B004EE">
        <w:rPr>
          <w:rFonts w:ascii="Tahoma" w:hAnsi="Tahoma" w:cs="Tahoma"/>
          <w:sz w:val="20"/>
          <w:szCs w:val="20"/>
        </w:rPr>
        <w:t xml:space="preserve"> </w:t>
      </w:r>
      <w:r w:rsidR="002F24E1" w:rsidRPr="00B004EE">
        <w:rPr>
          <w:rFonts w:ascii="Tahoma" w:hAnsi="Tahoma" w:cs="Tahoma"/>
          <w:sz w:val="20"/>
          <w:szCs w:val="20"/>
        </w:rPr>
        <w:t>au</w:t>
      </w:r>
      <w:r w:rsidR="00DB1635" w:rsidRPr="00B004EE">
        <w:rPr>
          <w:rFonts w:ascii="Tahoma" w:hAnsi="Tahoma" w:cs="Tahoma"/>
          <w:sz w:val="20"/>
          <w:szCs w:val="20"/>
        </w:rPr>
        <w:t xml:space="preserve"> </w:t>
      </w:r>
      <w:r w:rsidR="002F24E1" w:rsidRPr="00B004EE">
        <w:rPr>
          <w:rFonts w:ascii="Tahoma" w:hAnsi="Tahoma" w:cs="Tahoma"/>
          <w:sz w:val="20"/>
          <w:szCs w:val="20"/>
        </w:rPr>
        <w:t>contrôle</w:t>
      </w:r>
      <w:r w:rsidR="00DB1635" w:rsidRPr="00B004EE">
        <w:rPr>
          <w:rFonts w:ascii="Tahoma" w:hAnsi="Tahoma" w:cs="Tahoma"/>
          <w:sz w:val="20"/>
          <w:szCs w:val="20"/>
        </w:rPr>
        <w:t xml:space="preserve"> </w:t>
      </w:r>
      <w:r w:rsidR="002F24E1" w:rsidRPr="00B004EE">
        <w:rPr>
          <w:rFonts w:ascii="Tahoma" w:hAnsi="Tahoma" w:cs="Tahoma"/>
          <w:sz w:val="20"/>
          <w:szCs w:val="20"/>
        </w:rPr>
        <w:t>sanitaire</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à</w:t>
      </w:r>
      <w:r w:rsidR="00DB1635" w:rsidRPr="00B004EE">
        <w:rPr>
          <w:rFonts w:ascii="Tahoma" w:hAnsi="Tahoma" w:cs="Tahoma"/>
          <w:sz w:val="20"/>
          <w:szCs w:val="20"/>
        </w:rPr>
        <w:t xml:space="preserve"> </w:t>
      </w:r>
      <w:r w:rsidR="002F24E1" w:rsidRPr="00B004EE">
        <w:rPr>
          <w:rFonts w:ascii="Tahoma" w:hAnsi="Tahoma" w:cs="Tahoma"/>
          <w:sz w:val="20"/>
          <w:szCs w:val="20"/>
        </w:rPr>
        <w:t>la</w:t>
      </w:r>
      <w:r w:rsidR="00DB1635" w:rsidRPr="00B004EE">
        <w:rPr>
          <w:rFonts w:ascii="Tahoma" w:hAnsi="Tahoma" w:cs="Tahoma"/>
          <w:sz w:val="20"/>
          <w:szCs w:val="20"/>
        </w:rPr>
        <w:t xml:space="preserve"> </w:t>
      </w:r>
      <w:r w:rsidR="002F24E1" w:rsidRPr="00B004EE">
        <w:rPr>
          <w:rFonts w:ascii="Tahoma" w:hAnsi="Tahoma" w:cs="Tahoma"/>
          <w:sz w:val="20"/>
          <w:szCs w:val="20"/>
        </w:rPr>
        <w:t>surveillance</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la</w:t>
      </w:r>
      <w:r w:rsidR="00DB1635" w:rsidRPr="00B004EE">
        <w:rPr>
          <w:rFonts w:ascii="Tahoma" w:hAnsi="Tahoma" w:cs="Tahoma"/>
          <w:sz w:val="20"/>
          <w:szCs w:val="20"/>
        </w:rPr>
        <w:t xml:space="preserve"> </w:t>
      </w:r>
      <w:r w:rsidR="002F24E1" w:rsidRPr="00B004EE">
        <w:rPr>
          <w:rFonts w:ascii="Tahoma" w:hAnsi="Tahoma" w:cs="Tahoma"/>
          <w:sz w:val="20"/>
          <w:szCs w:val="20"/>
        </w:rPr>
        <w:t>part</w:t>
      </w:r>
      <w:r w:rsidR="00DB1635" w:rsidRPr="00B004EE">
        <w:rPr>
          <w:rFonts w:ascii="Tahoma" w:hAnsi="Tahoma" w:cs="Tahoma"/>
          <w:sz w:val="20"/>
          <w:szCs w:val="20"/>
        </w:rPr>
        <w:t xml:space="preserve"> </w:t>
      </w:r>
      <w:r w:rsidR="002F24E1" w:rsidRPr="00B004EE">
        <w:rPr>
          <w:rFonts w:ascii="Tahoma" w:hAnsi="Tahoma" w:cs="Tahoma"/>
          <w:sz w:val="20"/>
          <w:szCs w:val="20"/>
        </w:rPr>
        <w:t>des</w:t>
      </w:r>
      <w:r w:rsidR="00DB1635" w:rsidRPr="00B004EE">
        <w:rPr>
          <w:rFonts w:ascii="Tahoma" w:hAnsi="Tahoma" w:cs="Tahoma"/>
          <w:sz w:val="20"/>
          <w:szCs w:val="20"/>
        </w:rPr>
        <w:t xml:space="preserve"> </w:t>
      </w:r>
      <w:r w:rsidR="002F24E1" w:rsidRPr="00B004EE">
        <w:rPr>
          <w:rFonts w:ascii="Tahoma" w:hAnsi="Tahoma" w:cs="Tahoma"/>
          <w:sz w:val="20"/>
          <w:szCs w:val="20"/>
        </w:rPr>
        <w:t>professionnels</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des</w:t>
      </w:r>
      <w:r w:rsidR="00DB1635" w:rsidRPr="00B004EE">
        <w:rPr>
          <w:rFonts w:ascii="Tahoma" w:hAnsi="Tahoma" w:cs="Tahoma"/>
          <w:sz w:val="20"/>
          <w:szCs w:val="20"/>
        </w:rPr>
        <w:t xml:space="preserve"> </w:t>
      </w:r>
      <w:r w:rsidR="002F24E1" w:rsidRPr="00B004EE">
        <w:rPr>
          <w:rFonts w:ascii="Tahoma" w:hAnsi="Tahoma" w:cs="Tahoma"/>
          <w:sz w:val="20"/>
          <w:szCs w:val="20"/>
        </w:rPr>
        <w:t>services</w:t>
      </w:r>
      <w:r w:rsidR="00DB1635" w:rsidRPr="00B004EE">
        <w:rPr>
          <w:rFonts w:ascii="Tahoma" w:hAnsi="Tahoma" w:cs="Tahoma"/>
          <w:sz w:val="20"/>
          <w:szCs w:val="20"/>
        </w:rPr>
        <w:t xml:space="preserve"> </w:t>
      </w:r>
      <w:r w:rsidR="002F24E1" w:rsidRPr="00B004EE">
        <w:rPr>
          <w:rFonts w:ascii="Tahoma" w:hAnsi="Tahoma" w:cs="Tahoma"/>
          <w:sz w:val="20"/>
          <w:szCs w:val="20"/>
        </w:rPr>
        <w:t>d'inspection</w:t>
      </w:r>
      <w:r w:rsidR="00DB1635" w:rsidRPr="00B004EE">
        <w:rPr>
          <w:rFonts w:ascii="Tahoma" w:hAnsi="Tahoma" w:cs="Tahoma"/>
          <w:sz w:val="20"/>
          <w:szCs w:val="20"/>
        </w:rPr>
        <w:t xml:space="preserve"> </w:t>
      </w:r>
      <w:r w:rsidR="002F24E1" w:rsidRPr="00B004EE">
        <w:rPr>
          <w:rFonts w:ascii="Tahoma" w:hAnsi="Tahoma" w:cs="Tahoma"/>
          <w:sz w:val="20"/>
          <w:szCs w:val="20"/>
        </w:rPr>
        <w:t>du</w:t>
      </w:r>
      <w:r w:rsidR="00DB1635" w:rsidRPr="00B004EE">
        <w:rPr>
          <w:rFonts w:ascii="Tahoma" w:hAnsi="Tahoma" w:cs="Tahoma"/>
          <w:sz w:val="20"/>
          <w:szCs w:val="20"/>
        </w:rPr>
        <w:t xml:space="preserve"> </w:t>
      </w:r>
      <w:r w:rsidR="002F24E1" w:rsidRPr="00B004EE">
        <w:rPr>
          <w:rFonts w:ascii="Tahoma" w:hAnsi="Tahoma" w:cs="Tahoma"/>
          <w:sz w:val="20"/>
          <w:szCs w:val="20"/>
        </w:rPr>
        <w:t>CNROP.</w:t>
      </w:r>
      <w:r w:rsidR="00DB1635" w:rsidRPr="00B004EE">
        <w:rPr>
          <w:rFonts w:ascii="Tahoma" w:hAnsi="Tahoma" w:cs="Tahoma"/>
          <w:sz w:val="20"/>
          <w:szCs w:val="20"/>
        </w:rPr>
        <w:t xml:space="preserve"> </w:t>
      </w:r>
      <w:r w:rsidR="002F24E1" w:rsidRPr="00B004EE">
        <w:rPr>
          <w:rFonts w:ascii="Tahoma" w:hAnsi="Tahoma" w:cs="Tahoma"/>
          <w:sz w:val="20"/>
          <w:szCs w:val="20"/>
        </w:rPr>
        <w:t>En</w:t>
      </w:r>
      <w:r w:rsidR="00DB1635" w:rsidRPr="00B004EE">
        <w:rPr>
          <w:rFonts w:ascii="Tahoma" w:hAnsi="Tahoma" w:cs="Tahoma"/>
          <w:sz w:val="20"/>
          <w:szCs w:val="20"/>
        </w:rPr>
        <w:t xml:space="preserve"> </w:t>
      </w:r>
      <w:r w:rsidR="002F24E1" w:rsidRPr="00B004EE">
        <w:rPr>
          <w:rFonts w:ascii="Tahoma" w:hAnsi="Tahoma" w:cs="Tahoma"/>
          <w:sz w:val="20"/>
          <w:szCs w:val="20"/>
        </w:rPr>
        <w:t>cas</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besoin,</w:t>
      </w:r>
      <w:r w:rsidR="00DB1635" w:rsidRPr="00B004EE">
        <w:rPr>
          <w:rFonts w:ascii="Tahoma" w:hAnsi="Tahoma" w:cs="Tahoma"/>
          <w:sz w:val="20"/>
          <w:szCs w:val="20"/>
        </w:rPr>
        <w:t xml:space="preserve"> </w:t>
      </w:r>
      <w:r w:rsidR="002F24E1" w:rsidRPr="00B004EE">
        <w:rPr>
          <w:rFonts w:ascii="Tahoma" w:hAnsi="Tahoma" w:cs="Tahoma"/>
          <w:sz w:val="20"/>
          <w:szCs w:val="20"/>
        </w:rPr>
        <w:t>le</w:t>
      </w:r>
      <w:r w:rsidR="00DB1635" w:rsidRPr="00B004EE">
        <w:rPr>
          <w:rFonts w:ascii="Tahoma" w:hAnsi="Tahoma" w:cs="Tahoma"/>
          <w:sz w:val="20"/>
          <w:szCs w:val="20"/>
        </w:rPr>
        <w:t xml:space="preserve"> </w:t>
      </w:r>
      <w:r w:rsidR="002F24E1" w:rsidRPr="00B004EE">
        <w:rPr>
          <w:rFonts w:ascii="Tahoma" w:hAnsi="Tahoma" w:cs="Tahoma"/>
          <w:sz w:val="20"/>
          <w:szCs w:val="20"/>
        </w:rPr>
        <w:t>CNROP</w:t>
      </w:r>
      <w:r w:rsidR="00DB1635" w:rsidRPr="00B004EE">
        <w:rPr>
          <w:rFonts w:ascii="Tahoma" w:hAnsi="Tahoma" w:cs="Tahoma"/>
          <w:sz w:val="20"/>
          <w:szCs w:val="20"/>
        </w:rPr>
        <w:t xml:space="preserve"> </w:t>
      </w:r>
      <w:r w:rsidR="002F24E1" w:rsidRPr="00B004EE">
        <w:rPr>
          <w:rFonts w:ascii="Tahoma" w:hAnsi="Tahoma" w:cs="Tahoma"/>
          <w:sz w:val="20"/>
          <w:szCs w:val="20"/>
        </w:rPr>
        <w:t>peut</w:t>
      </w:r>
      <w:r w:rsidR="00DB1635" w:rsidRPr="00B004EE">
        <w:rPr>
          <w:rFonts w:ascii="Tahoma" w:hAnsi="Tahoma" w:cs="Tahoma"/>
          <w:sz w:val="20"/>
          <w:szCs w:val="20"/>
        </w:rPr>
        <w:t xml:space="preserve"> </w:t>
      </w:r>
      <w:r w:rsidR="002F24E1" w:rsidRPr="00B004EE">
        <w:rPr>
          <w:rFonts w:ascii="Tahoma" w:hAnsi="Tahoma" w:cs="Tahoma"/>
          <w:sz w:val="20"/>
          <w:szCs w:val="20"/>
        </w:rPr>
        <w:t>mandater</w:t>
      </w:r>
      <w:r w:rsidR="00DB1635" w:rsidRPr="00B004EE">
        <w:rPr>
          <w:rFonts w:ascii="Tahoma" w:hAnsi="Tahoma" w:cs="Tahoma"/>
          <w:sz w:val="20"/>
          <w:szCs w:val="20"/>
        </w:rPr>
        <w:t xml:space="preserve"> </w:t>
      </w:r>
      <w:r w:rsidR="002F24E1" w:rsidRPr="00B004EE">
        <w:rPr>
          <w:rFonts w:ascii="Tahoma" w:hAnsi="Tahoma" w:cs="Tahoma"/>
          <w:sz w:val="20"/>
          <w:szCs w:val="20"/>
        </w:rPr>
        <w:t>des</w:t>
      </w:r>
      <w:r w:rsidR="00DB1635" w:rsidRPr="00B004EE">
        <w:rPr>
          <w:rFonts w:ascii="Tahoma" w:hAnsi="Tahoma" w:cs="Tahoma"/>
          <w:sz w:val="20"/>
          <w:szCs w:val="20"/>
        </w:rPr>
        <w:t xml:space="preserve"> </w:t>
      </w:r>
      <w:r w:rsidR="002F24E1" w:rsidRPr="00B004EE">
        <w:rPr>
          <w:rFonts w:ascii="Tahoma" w:hAnsi="Tahoma" w:cs="Tahoma"/>
          <w:sz w:val="20"/>
          <w:szCs w:val="20"/>
        </w:rPr>
        <w:t>agents</w:t>
      </w:r>
      <w:r w:rsidR="00DB1635" w:rsidRPr="00B004EE">
        <w:rPr>
          <w:rFonts w:ascii="Tahoma" w:hAnsi="Tahoma" w:cs="Tahoma"/>
          <w:sz w:val="20"/>
          <w:szCs w:val="20"/>
        </w:rPr>
        <w:t xml:space="preserve"> </w:t>
      </w:r>
      <w:r w:rsidR="002F24E1" w:rsidRPr="00B004EE">
        <w:rPr>
          <w:rFonts w:ascii="Tahoma" w:hAnsi="Tahoma" w:cs="Tahoma"/>
          <w:sz w:val="20"/>
          <w:szCs w:val="20"/>
        </w:rPr>
        <w:t>pour</w:t>
      </w:r>
      <w:r w:rsidR="00DB1635" w:rsidRPr="00B004EE">
        <w:rPr>
          <w:rFonts w:ascii="Tahoma" w:hAnsi="Tahoma" w:cs="Tahoma"/>
          <w:sz w:val="20"/>
          <w:szCs w:val="20"/>
        </w:rPr>
        <w:t xml:space="preserve"> </w:t>
      </w:r>
      <w:r w:rsidR="002F24E1" w:rsidRPr="00B004EE">
        <w:rPr>
          <w:rFonts w:ascii="Tahoma" w:hAnsi="Tahoma" w:cs="Tahoma"/>
          <w:sz w:val="20"/>
          <w:szCs w:val="20"/>
        </w:rPr>
        <w:t>exercer</w:t>
      </w:r>
      <w:r w:rsidR="00DB1635" w:rsidRPr="00B004EE">
        <w:rPr>
          <w:rFonts w:ascii="Tahoma" w:hAnsi="Tahoma" w:cs="Tahoma"/>
          <w:sz w:val="20"/>
          <w:szCs w:val="20"/>
        </w:rPr>
        <w:t xml:space="preserve"> </w:t>
      </w:r>
      <w:r w:rsidR="002F24E1" w:rsidRPr="00B004EE">
        <w:rPr>
          <w:rFonts w:ascii="Tahoma" w:hAnsi="Tahoma" w:cs="Tahoma"/>
          <w:sz w:val="20"/>
          <w:szCs w:val="20"/>
        </w:rPr>
        <w:t>le</w:t>
      </w:r>
      <w:r w:rsidR="00DB1635" w:rsidRPr="00B004EE">
        <w:rPr>
          <w:rFonts w:ascii="Tahoma" w:hAnsi="Tahoma" w:cs="Tahoma"/>
          <w:sz w:val="20"/>
          <w:szCs w:val="20"/>
        </w:rPr>
        <w:t xml:space="preserve"> </w:t>
      </w:r>
      <w:r w:rsidR="002F24E1" w:rsidRPr="00B004EE">
        <w:rPr>
          <w:rFonts w:ascii="Tahoma" w:hAnsi="Tahoma" w:cs="Tahoma"/>
          <w:sz w:val="20"/>
          <w:szCs w:val="20"/>
        </w:rPr>
        <w:t>contrôle</w:t>
      </w:r>
      <w:r w:rsidR="00DB1635" w:rsidRPr="00B004EE">
        <w:rPr>
          <w:rFonts w:ascii="Tahoma" w:hAnsi="Tahoma" w:cs="Tahoma"/>
          <w:sz w:val="20"/>
          <w:szCs w:val="20"/>
        </w:rPr>
        <w:t xml:space="preserve"> </w:t>
      </w:r>
      <w:r w:rsidR="002F24E1" w:rsidRPr="00B004EE">
        <w:rPr>
          <w:rFonts w:ascii="Tahoma" w:hAnsi="Tahoma" w:cs="Tahoma"/>
          <w:sz w:val="20"/>
          <w:szCs w:val="20"/>
        </w:rPr>
        <w:t>sanitaire</w:t>
      </w:r>
      <w:r w:rsidR="00DB1635" w:rsidRPr="00B004EE">
        <w:rPr>
          <w:rFonts w:ascii="Tahoma" w:hAnsi="Tahoma" w:cs="Tahoma"/>
          <w:sz w:val="20"/>
          <w:szCs w:val="20"/>
        </w:rPr>
        <w:t xml:space="preserve"> </w:t>
      </w:r>
      <w:r w:rsidR="002F24E1" w:rsidRPr="00B004EE">
        <w:rPr>
          <w:rFonts w:ascii="Tahoma" w:hAnsi="Tahoma" w:cs="Tahoma"/>
          <w:sz w:val="20"/>
          <w:szCs w:val="20"/>
        </w:rPr>
        <w:t>dans</w:t>
      </w:r>
      <w:r w:rsidR="00DB1635" w:rsidRPr="00B004EE">
        <w:rPr>
          <w:rFonts w:ascii="Tahoma" w:hAnsi="Tahoma" w:cs="Tahoma"/>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2F24E1" w:rsidRPr="00B004EE">
        <w:rPr>
          <w:rFonts w:ascii="Tahoma" w:hAnsi="Tahoma" w:cs="Tahoma"/>
          <w:sz w:val="20"/>
          <w:szCs w:val="20"/>
        </w:rPr>
        <w:t>ports</w:t>
      </w:r>
      <w:r w:rsidR="00DB1635" w:rsidRPr="00B004EE">
        <w:rPr>
          <w:rFonts w:ascii="Tahoma" w:hAnsi="Tahoma" w:cs="Tahoma"/>
          <w:sz w:val="20"/>
          <w:szCs w:val="20"/>
        </w:rPr>
        <w:t xml:space="preserve"> </w:t>
      </w:r>
      <w:r w:rsidR="002F24E1" w:rsidRPr="00B004EE">
        <w:rPr>
          <w:rFonts w:ascii="Tahoma" w:hAnsi="Tahoma" w:cs="Tahoma"/>
          <w:sz w:val="20"/>
          <w:szCs w:val="20"/>
        </w:rPr>
        <w:t>situés</w:t>
      </w:r>
      <w:r w:rsidR="00DB1635" w:rsidRPr="00B004EE">
        <w:rPr>
          <w:rFonts w:ascii="Tahoma" w:hAnsi="Tahoma" w:cs="Tahoma"/>
          <w:sz w:val="20"/>
          <w:szCs w:val="20"/>
        </w:rPr>
        <w:t xml:space="preserve"> </w:t>
      </w:r>
      <w:r w:rsidR="002F24E1" w:rsidRPr="00B004EE">
        <w:rPr>
          <w:rFonts w:ascii="Tahoma" w:hAnsi="Tahoma" w:cs="Tahoma"/>
          <w:sz w:val="20"/>
          <w:szCs w:val="20"/>
        </w:rPr>
        <w:t>à</w:t>
      </w:r>
      <w:r w:rsidR="00DB1635" w:rsidRPr="00B004EE">
        <w:rPr>
          <w:rFonts w:ascii="Tahoma" w:hAnsi="Tahoma" w:cs="Tahoma"/>
          <w:sz w:val="20"/>
          <w:szCs w:val="20"/>
        </w:rPr>
        <w:t xml:space="preserve"> </w:t>
      </w:r>
      <w:r w:rsidR="002F24E1" w:rsidRPr="00B004EE">
        <w:rPr>
          <w:rFonts w:ascii="Tahoma" w:hAnsi="Tahoma" w:cs="Tahoma"/>
          <w:sz w:val="20"/>
          <w:szCs w:val="20"/>
        </w:rPr>
        <w:t>l'étranger.</w:t>
      </w:r>
    </w:p>
    <w:p w14:paraId="77BFE0A7" w14:textId="77777777" w:rsidR="002F24E1" w:rsidRPr="00B004EE" w:rsidRDefault="002F24E1" w:rsidP="00B004EE">
      <w:pPr>
        <w:jc w:val="both"/>
        <w:rPr>
          <w:rFonts w:ascii="Tahoma" w:hAnsi="Tahoma" w:cs="Tahoma"/>
          <w:sz w:val="20"/>
          <w:szCs w:val="20"/>
        </w:rPr>
      </w:pPr>
    </w:p>
    <w:p w14:paraId="171A5185" w14:textId="4EBC49C0" w:rsidR="002F24E1" w:rsidRPr="00B004EE" w:rsidRDefault="00AD7D88" w:rsidP="00B004EE">
      <w:pPr>
        <w:jc w:val="both"/>
        <w:rPr>
          <w:rFonts w:ascii="Tahoma" w:hAnsi="Tahoma" w:cs="Tahoma"/>
          <w:sz w:val="20"/>
          <w:szCs w:val="20"/>
        </w:rPr>
      </w:pPr>
      <w:r w:rsidRPr="00B004EE">
        <w:rPr>
          <w:rFonts w:ascii="Tahoma" w:hAnsi="Tahoma" w:cs="Tahoma"/>
          <w:bCs/>
          <w:sz w:val="20"/>
          <w:szCs w:val="20"/>
        </w:rPr>
        <w:t xml:space="preserve">Article </w:t>
      </w:r>
      <w:r w:rsidR="002F24E1" w:rsidRPr="00B004EE">
        <w:rPr>
          <w:rFonts w:ascii="Tahoma" w:hAnsi="Tahoma" w:cs="Tahoma"/>
          <w:bCs/>
          <w:sz w:val="20"/>
          <w:szCs w:val="20"/>
        </w:rPr>
        <w:t>43</w:t>
      </w:r>
      <w:r w:rsidR="00DB1635" w:rsidRPr="00B004EE">
        <w:rPr>
          <w:rFonts w:ascii="Tahoma" w:hAnsi="Tahoma" w:cs="Tahoma"/>
          <w:b/>
          <w:sz w:val="20"/>
          <w:szCs w:val="20"/>
        </w:rPr>
        <w:t xml:space="preserve"> </w:t>
      </w:r>
      <w:r w:rsidR="002F24E1" w:rsidRPr="00B004EE">
        <w:rPr>
          <w:rFonts w:ascii="Tahoma" w:hAnsi="Tahoma" w:cs="Tahoma"/>
          <w:b/>
          <w:sz w:val="20"/>
          <w:szCs w:val="20"/>
        </w:rPr>
        <w:t>:</w:t>
      </w:r>
      <w:r w:rsidR="00DB1635" w:rsidRPr="00B004EE">
        <w:rPr>
          <w:rFonts w:ascii="Tahoma" w:hAnsi="Tahoma" w:cs="Tahoma"/>
          <w:b/>
          <w:sz w:val="20"/>
          <w:szCs w:val="20"/>
        </w:rPr>
        <w:t xml:space="preserve"> </w:t>
      </w:r>
      <w:r w:rsidR="002F24E1" w:rsidRPr="00B004EE">
        <w:rPr>
          <w:rFonts w:ascii="Tahoma" w:hAnsi="Tahoma" w:cs="Tahoma"/>
          <w:sz w:val="20"/>
          <w:szCs w:val="20"/>
        </w:rPr>
        <w:t>A</w:t>
      </w:r>
      <w:r w:rsidR="00DB1635" w:rsidRPr="00B004EE">
        <w:rPr>
          <w:rFonts w:ascii="Tahoma" w:hAnsi="Tahoma" w:cs="Tahoma"/>
          <w:sz w:val="20"/>
          <w:szCs w:val="20"/>
        </w:rPr>
        <w:t xml:space="preserve"> </w:t>
      </w:r>
      <w:r w:rsidR="002F24E1" w:rsidRPr="00B004EE">
        <w:rPr>
          <w:rFonts w:ascii="Tahoma" w:hAnsi="Tahoma" w:cs="Tahoma"/>
          <w:sz w:val="20"/>
          <w:szCs w:val="20"/>
        </w:rPr>
        <w:t>bord</w:t>
      </w:r>
      <w:r w:rsidR="00DB1635" w:rsidRPr="00B004EE">
        <w:rPr>
          <w:rFonts w:ascii="Tahoma" w:hAnsi="Tahoma" w:cs="Tahoma"/>
          <w:sz w:val="20"/>
          <w:szCs w:val="20"/>
        </w:rPr>
        <w:t xml:space="preserve"> </w:t>
      </w:r>
      <w:r w:rsidR="002F24E1" w:rsidRPr="00B004EE">
        <w:rPr>
          <w:rFonts w:ascii="Tahoma" w:hAnsi="Tahoma" w:cs="Tahoma"/>
          <w:sz w:val="20"/>
          <w:szCs w:val="20"/>
        </w:rPr>
        <w:t>des</w:t>
      </w:r>
      <w:r w:rsidR="00DB1635" w:rsidRPr="00B004EE">
        <w:rPr>
          <w:rFonts w:ascii="Tahoma" w:hAnsi="Tahoma" w:cs="Tahoma"/>
          <w:sz w:val="20"/>
          <w:szCs w:val="20"/>
        </w:rPr>
        <w:t xml:space="preserve"> </w:t>
      </w:r>
      <w:r w:rsidR="002F24E1" w:rsidRPr="00B004EE">
        <w:rPr>
          <w:rFonts w:ascii="Tahoma" w:hAnsi="Tahoma" w:cs="Tahoma"/>
          <w:sz w:val="20"/>
          <w:szCs w:val="20"/>
        </w:rPr>
        <w:t>navires-usines</w:t>
      </w:r>
      <w:r w:rsidR="00DB1635" w:rsidRPr="00B004EE">
        <w:rPr>
          <w:rFonts w:ascii="Tahoma" w:hAnsi="Tahoma" w:cs="Tahoma"/>
          <w:sz w:val="20"/>
          <w:szCs w:val="20"/>
        </w:rPr>
        <w:t xml:space="preserve"> </w:t>
      </w:r>
      <w:r w:rsidR="002F24E1" w:rsidRPr="00B004EE">
        <w:rPr>
          <w:rFonts w:ascii="Tahoma" w:hAnsi="Tahoma" w:cs="Tahoma"/>
          <w:sz w:val="20"/>
          <w:szCs w:val="20"/>
        </w:rPr>
        <w:t>le</w:t>
      </w:r>
      <w:r w:rsidR="00DB1635" w:rsidRPr="00B004EE">
        <w:rPr>
          <w:rFonts w:ascii="Tahoma" w:hAnsi="Tahoma" w:cs="Tahoma"/>
          <w:sz w:val="20"/>
          <w:szCs w:val="20"/>
        </w:rPr>
        <w:t xml:space="preserve"> </w:t>
      </w:r>
      <w:r w:rsidR="002F24E1" w:rsidRPr="00B004EE">
        <w:rPr>
          <w:rFonts w:ascii="Tahoma" w:hAnsi="Tahoma" w:cs="Tahoma"/>
          <w:sz w:val="20"/>
          <w:szCs w:val="20"/>
        </w:rPr>
        <w:t>responsable</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qualité</w:t>
      </w:r>
      <w:r w:rsidR="00DB1635" w:rsidRPr="00B004EE">
        <w:rPr>
          <w:rFonts w:ascii="Tahoma" w:hAnsi="Tahoma" w:cs="Tahoma"/>
          <w:sz w:val="20"/>
          <w:szCs w:val="20"/>
        </w:rPr>
        <w:t xml:space="preserve"> </w:t>
      </w:r>
      <w:r w:rsidR="002F24E1" w:rsidRPr="00B004EE">
        <w:rPr>
          <w:rFonts w:ascii="Tahoma" w:hAnsi="Tahoma" w:cs="Tahoma"/>
          <w:sz w:val="20"/>
          <w:szCs w:val="20"/>
        </w:rPr>
        <w:t>défini</w:t>
      </w:r>
      <w:r w:rsidR="00DB1635" w:rsidRPr="00B004EE">
        <w:rPr>
          <w:rFonts w:ascii="Tahoma" w:hAnsi="Tahoma" w:cs="Tahoma"/>
          <w:sz w:val="20"/>
          <w:szCs w:val="20"/>
        </w:rPr>
        <w:t xml:space="preserve"> </w:t>
      </w:r>
      <w:r w:rsidR="002F24E1" w:rsidRPr="00B004EE">
        <w:rPr>
          <w:rFonts w:ascii="Tahoma" w:hAnsi="Tahoma" w:cs="Tahoma"/>
          <w:sz w:val="20"/>
          <w:szCs w:val="20"/>
        </w:rPr>
        <w:t>à</w:t>
      </w:r>
      <w:r w:rsidR="00DB1635" w:rsidRPr="00B004EE">
        <w:rPr>
          <w:rFonts w:ascii="Tahoma" w:hAnsi="Tahoma" w:cs="Tahoma"/>
          <w:sz w:val="20"/>
          <w:szCs w:val="20"/>
        </w:rPr>
        <w:t xml:space="preserve"> </w:t>
      </w:r>
      <w:r w:rsidR="002F24E1" w:rsidRPr="00B004EE">
        <w:rPr>
          <w:rFonts w:ascii="Tahoma" w:hAnsi="Tahoma" w:cs="Tahoma"/>
          <w:sz w:val="20"/>
          <w:szCs w:val="20"/>
        </w:rPr>
        <w:t>l'article</w:t>
      </w:r>
      <w:r w:rsidR="00DB1635" w:rsidRPr="00B004EE">
        <w:rPr>
          <w:rFonts w:ascii="Tahoma" w:hAnsi="Tahoma" w:cs="Tahoma"/>
          <w:sz w:val="20"/>
          <w:szCs w:val="20"/>
        </w:rPr>
        <w:t xml:space="preserve"> </w:t>
      </w:r>
      <w:r w:rsidR="002F24E1" w:rsidRPr="00B004EE">
        <w:rPr>
          <w:rFonts w:ascii="Tahoma" w:hAnsi="Tahoma" w:cs="Tahoma"/>
          <w:sz w:val="20"/>
          <w:szCs w:val="20"/>
        </w:rPr>
        <w:t>24</w:t>
      </w:r>
      <w:r w:rsidR="00DB1635" w:rsidRPr="00B004EE">
        <w:rPr>
          <w:rFonts w:ascii="Tahoma" w:hAnsi="Tahoma" w:cs="Tahoma"/>
          <w:sz w:val="20"/>
          <w:szCs w:val="20"/>
        </w:rPr>
        <w:t xml:space="preserve"> </w:t>
      </w:r>
      <w:r w:rsidR="002F24E1" w:rsidRPr="00B004EE">
        <w:rPr>
          <w:rFonts w:ascii="Tahoma" w:hAnsi="Tahoma" w:cs="Tahoma"/>
          <w:sz w:val="20"/>
          <w:szCs w:val="20"/>
        </w:rPr>
        <w:t>du</w:t>
      </w:r>
      <w:r w:rsidR="00DB1635" w:rsidRPr="00B004EE">
        <w:rPr>
          <w:rFonts w:ascii="Tahoma" w:hAnsi="Tahoma" w:cs="Tahoma"/>
          <w:sz w:val="20"/>
          <w:szCs w:val="20"/>
        </w:rPr>
        <w:t xml:space="preserve"> </w:t>
      </w:r>
      <w:r w:rsidR="002F24E1" w:rsidRPr="00B004EE">
        <w:rPr>
          <w:rFonts w:ascii="Tahoma" w:hAnsi="Tahoma" w:cs="Tahoma"/>
          <w:sz w:val="20"/>
          <w:szCs w:val="20"/>
        </w:rPr>
        <w:t>présent</w:t>
      </w:r>
      <w:r w:rsidR="00DB1635" w:rsidRPr="00B004EE">
        <w:rPr>
          <w:rFonts w:ascii="Tahoma" w:hAnsi="Tahoma" w:cs="Tahoma"/>
          <w:sz w:val="20"/>
          <w:szCs w:val="20"/>
        </w:rPr>
        <w:t xml:space="preserve"> </w:t>
      </w:r>
      <w:r w:rsidR="002F24E1" w:rsidRPr="00B004EE">
        <w:rPr>
          <w:rFonts w:ascii="Tahoma" w:hAnsi="Tahoma" w:cs="Tahoma"/>
          <w:sz w:val="20"/>
          <w:szCs w:val="20"/>
        </w:rPr>
        <w:t>arrêté</w:t>
      </w:r>
      <w:r w:rsidR="00DB1635" w:rsidRPr="00B004EE">
        <w:rPr>
          <w:rFonts w:ascii="Tahoma" w:hAnsi="Tahoma" w:cs="Tahoma"/>
          <w:sz w:val="20"/>
          <w:szCs w:val="20"/>
        </w:rPr>
        <w:t xml:space="preserve"> </w:t>
      </w:r>
      <w:r w:rsidR="002F24E1" w:rsidRPr="00B004EE">
        <w:rPr>
          <w:rFonts w:ascii="Tahoma" w:hAnsi="Tahoma" w:cs="Tahoma"/>
          <w:sz w:val="20"/>
          <w:szCs w:val="20"/>
        </w:rPr>
        <w:t>doit</w:t>
      </w:r>
      <w:r w:rsidR="00DB1635" w:rsidRPr="00B004EE">
        <w:rPr>
          <w:rFonts w:ascii="Tahoma" w:hAnsi="Tahoma" w:cs="Tahoma"/>
          <w:sz w:val="20"/>
          <w:szCs w:val="20"/>
        </w:rPr>
        <w:t xml:space="preserve"> </w:t>
      </w:r>
      <w:r w:rsidR="002F24E1" w:rsidRPr="00B004EE">
        <w:rPr>
          <w:rFonts w:ascii="Tahoma" w:hAnsi="Tahoma" w:cs="Tahoma"/>
          <w:sz w:val="20"/>
          <w:szCs w:val="20"/>
        </w:rPr>
        <w:t>mettre</w:t>
      </w:r>
      <w:r w:rsidR="00DB1635" w:rsidRPr="00B004EE">
        <w:rPr>
          <w:rFonts w:ascii="Tahoma" w:hAnsi="Tahoma" w:cs="Tahoma"/>
          <w:sz w:val="20"/>
          <w:szCs w:val="20"/>
        </w:rPr>
        <w:t xml:space="preserve"> </w:t>
      </w:r>
      <w:r w:rsidR="002F24E1" w:rsidRPr="00B004EE">
        <w:rPr>
          <w:rFonts w:ascii="Tahoma" w:hAnsi="Tahoma" w:cs="Tahoma"/>
          <w:sz w:val="20"/>
          <w:szCs w:val="20"/>
        </w:rPr>
        <w:t>en</w:t>
      </w:r>
      <w:r w:rsidR="00DB1635" w:rsidRPr="00B004EE">
        <w:rPr>
          <w:rFonts w:ascii="Tahoma" w:hAnsi="Tahoma" w:cs="Tahoma"/>
          <w:sz w:val="20"/>
          <w:szCs w:val="20"/>
        </w:rPr>
        <w:t xml:space="preserve"> </w:t>
      </w:r>
      <w:r w:rsidR="002F24E1" w:rsidRPr="00B004EE">
        <w:rPr>
          <w:rFonts w:ascii="Tahoma" w:hAnsi="Tahoma" w:cs="Tahoma"/>
          <w:sz w:val="20"/>
          <w:szCs w:val="20"/>
        </w:rPr>
        <w:t>place</w:t>
      </w:r>
      <w:r w:rsidR="00DB1635" w:rsidRPr="00B004EE">
        <w:rPr>
          <w:rFonts w:ascii="Tahoma" w:hAnsi="Tahoma" w:cs="Tahoma"/>
          <w:sz w:val="20"/>
          <w:szCs w:val="20"/>
        </w:rPr>
        <w:t xml:space="preserve"> </w:t>
      </w:r>
      <w:r w:rsidR="002F24E1" w:rsidRPr="00B004EE">
        <w:rPr>
          <w:rFonts w:ascii="Tahoma" w:hAnsi="Tahoma" w:cs="Tahoma"/>
          <w:sz w:val="20"/>
          <w:szCs w:val="20"/>
        </w:rPr>
        <w:t>un</w:t>
      </w:r>
      <w:r w:rsidR="00DB1635" w:rsidRPr="00B004EE">
        <w:rPr>
          <w:rFonts w:ascii="Tahoma" w:hAnsi="Tahoma" w:cs="Tahoma"/>
          <w:sz w:val="20"/>
          <w:szCs w:val="20"/>
        </w:rPr>
        <w:t xml:space="preserve"> </w:t>
      </w:r>
      <w:r w:rsidR="002F24E1" w:rsidRPr="00B004EE">
        <w:rPr>
          <w:rFonts w:ascii="Tahoma" w:hAnsi="Tahoma" w:cs="Tahoma"/>
          <w:sz w:val="20"/>
          <w:szCs w:val="20"/>
        </w:rPr>
        <w:t>système</w:t>
      </w:r>
      <w:r w:rsidR="00DB1635" w:rsidRPr="00B004EE">
        <w:rPr>
          <w:rFonts w:ascii="Tahoma" w:hAnsi="Tahoma" w:cs="Tahoma"/>
          <w:sz w:val="20"/>
          <w:szCs w:val="20"/>
        </w:rPr>
        <w:t xml:space="preserve"> </w:t>
      </w:r>
      <w:r w:rsidR="002F24E1" w:rsidRPr="00B004EE">
        <w:rPr>
          <w:rFonts w:ascii="Tahoma" w:hAnsi="Tahoma" w:cs="Tahoma"/>
          <w:sz w:val="20"/>
          <w:szCs w:val="20"/>
        </w:rPr>
        <w:t>d'</w:t>
      </w:r>
      <w:r w:rsidR="007127C2" w:rsidRPr="00B004EE">
        <w:rPr>
          <w:rFonts w:ascii="Tahoma" w:hAnsi="Tahoma" w:cs="Tahoma"/>
          <w:sz w:val="20"/>
          <w:szCs w:val="20"/>
        </w:rPr>
        <w:t>autocontrôle</w:t>
      </w:r>
      <w:r w:rsidR="00DB1635" w:rsidRPr="00B004EE">
        <w:rPr>
          <w:rFonts w:ascii="Tahoma" w:hAnsi="Tahoma" w:cs="Tahoma"/>
          <w:sz w:val="20"/>
          <w:szCs w:val="20"/>
        </w:rPr>
        <w:t xml:space="preserve"> </w:t>
      </w:r>
      <w:r w:rsidR="002F24E1" w:rsidRPr="00B004EE">
        <w:rPr>
          <w:rFonts w:ascii="Tahoma" w:hAnsi="Tahoma" w:cs="Tahoma"/>
          <w:sz w:val="20"/>
          <w:szCs w:val="20"/>
        </w:rPr>
        <w:t>selon</w:t>
      </w:r>
      <w:r w:rsidR="00DB1635" w:rsidRPr="00B004EE">
        <w:rPr>
          <w:rFonts w:ascii="Tahoma" w:hAnsi="Tahoma" w:cs="Tahoma"/>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2F24E1" w:rsidRPr="00B004EE">
        <w:rPr>
          <w:rFonts w:ascii="Tahoma" w:hAnsi="Tahoma" w:cs="Tahoma"/>
          <w:sz w:val="20"/>
          <w:szCs w:val="20"/>
        </w:rPr>
        <w:t>principes</w:t>
      </w:r>
      <w:r w:rsidR="00DB1635" w:rsidRPr="00B004EE">
        <w:rPr>
          <w:rFonts w:ascii="Tahoma" w:hAnsi="Tahoma" w:cs="Tahoma"/>
          <w:sz w:val="20"/>
          <w:szCs w:val="20"/>
        </w:rPr>
        <w:t xml:space="preserve"> </w:t>
      </w:r>
      <w:r w:rsidR="002F24E1" w:rsidRPr="00B004EE">
        <w:rPr>
          <w:rFonts w:ascii="Tahoma" w:hAnsi="Tahoma" w:cs="Tahoma"/>
          <w:sz w:val="20"/>
          <w:szCs w:val="20"/>
        </w:rPr>
        <w:t>retenus</w:t>
      </w:r>
      <w:r w:rsidR="00DB1635" w:rsidRPr="00B004EE">
        <w:rPr>
          <w:rFonts w:ascii="Tahoma" w:hAnsi="Tahoma" w:cs="Tahoma"/>
          <w:sz w:val="20"/>
          <w:szCs w:val="20"/>
        </w:rPr>
        <w:t xml:space="preserve"> </w:t>
      </w:r>
      <w:r w:rsidR="002F24E1" w:rsidRPr="00B004EE">
        <w:rPr>
          <w:rFonts w:ascii="Tahoma" w:hAnsi="Tahoma" w:cs="Tahoma"/>
          <w:sz w:val="20"/>
          <w:szCs w:val="20"/>
        </w:rPr>
        <w:t>pour</w:t>
      </w:r>
      <w:r w:rsidR="00DB1635" w:rsidRPr="00B004EE">
        <w:rPr>
          <w:rFonts w:ascii="Tahoma" w:hAnsi="Tahoma" w:cs="Tahoma"/>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2F24E1" w:rsidRPr="00B004EE">
        <w:rPr>
          <w:rFonts w:ascii="Tahoma" w:hAnsi="Tahoma" w:cs="Tahoma"/>
          <w:sz w:val="20"/>
          <w:szCs w:val="20"/>
        </w:rPr>
        <w:t>établissements</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manipulation</w:t>
      </w:r>
      <w:r w:rsidR="00DB1635" w:rsidRPr="00B004EE">
        <w:rPr>
          <w:rFonts w:ascii="Tahoma" w:hAnsi="Tahoma" w:cs="Tahoma"/>
          <w:sz w:val="20"/>
          <w:szCs w:val="20"/>
        </w:rPr>
        <w:t xml:space="preserve"> </w:t>
      </w:r>
      <w:r w:rsidR="002F24E1" w:rsidRPr="00B004EE">
        <w:rPr>
          <w:rFonts w:ascii="Tahoma" w:hAnsi="Tahoma" w:cs="Tahoma"/>
          <w:sz w:val="20"/>
          <w:szCs w:val="20"/>
        </w:rPr>
        <w:t>des</w:t>
      </w:r>
      <w:r w:rsidR="00DB1635" w:rsidRPr="00B004EE">
        <w:rPr>
          <w:rFonts w:ascii="Tahoma" w:hAnsi="Tahoma" w:cs="Tahoma"/>
          <w:sz w:val="20"/>
          <w:szCs w:val="20"/>
        </w:rPr>
        <w:t xml:space="preserve"> </w:t>
      </w:r>
      <w:r w:rsidR="002F24E1" w:rsidRPr="00B004EE">
        <w:rPr>
          <w:rFonts w:ascii="Tahoma" w:hAnsi="Tahoma" w:cs="Tahoma"/>
          <w:sz w:val="20"/>
          <w:szCs w:val="20"/>
        </w:rPr>
        <w:t>produits</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la</w:t>
      </w:r>
      <w:r w:rsidR="00DB1635" w:rsidRPr="00B004EE">
        <w:rPr>
          <w:rFonts w:ascii="Tahoma" w:hAnsi="Tahoma" w:cs="Tahoma"/>
          <w:sz w:val="20"/>
          <w:szCs w:val="20"/>
        </w:rPr>
        <w:t xml:space="preserve"> </w:t>
      </w:r>
      <w:r w:rsidR="002F24E1" w:rsidRPr="00B004EE">
        <w:rPr>
          <w:rFonts w:ascii="Tahoma" w:hAnsi="Tahoma" w:cs="Tahoma"/>
          <w:sz w:val="20"/>
          <w:szCs w:val="20"/>
        </w:rPr>
        <w:t>pêche</w:t>
      </w:r>
      <w:r w:rsidR="00DB1635" w:rsidRPr="00B004EE">
        <w:rPr>
          <w:rFonts w:ascii="Tahoma" w:hAnsi="Tahoma" w:cs="Tahoma"/>
          <w:sz w:val="20"/>
          <w:szCs w:val="20"/>
        </w:rPr>
        <w:t xml:space="preserve"> </w:t>
      </w:r>
      <w:r w:rsidR="002F24E1" w:rsidRPr="00B004EE">
        <w:rPr>
          <w:rFonts w:ascii="Tahoma" w:hAnsi="Tahoma" w:cs="Tahoma"/>
          <w:sz w:val="20"/>
          <w:szCs w:val="20"/>
        </w:rPr>
        <w:t>à</w:t>
      </w:r>
      <w:r w:rsidR="00DB1635" w:rsidRPr="00B004EE">
        <w:rPr>
          <w:rFonts w:ascii="Tahoma" w:hAnsi="Tahoma" w:cs="Tahoma"/>
          <w:sz w:val="20"/>
          <w:szCs w:val="20"/>
        </w:rPr>
        <w:t xml:space="preserve"> </w:t>
      </w:r>
      <w:r w:rsidR="002F24E1" w:rsidRPr="00B004EE">
        <w:rPr>
          <w:rFonts w:ascii="Tahoma" w:hAnsi="Tahoma" w:cs="Tahoma"/>
          <w:sz w:val="20"/>
          <w:szCs w:val="20"/>
        </w:rPr>
        <w:t>terre.</w:t>
      </w:r>
    </w:p>
    <w:p w14:paraId="67B60FB0" w14:textId="77777777" w:rsidR="002F24E1" w:rsidRPr="00B004EE" w:rsidRDefault="002F24E1" w:rsidP="00B004EE">
      <w:pPr>
        <w:jc w:val="both"/>
        <w:rPr>
          <w:rFonts w:ascii="Tahoma" w:hAnsi="Tahoma" w:cs="Tahoma"/>
          <w:sz w:val="20"/>
          <w:szCs w:val="20"/>
        </w:rPr>
      </w:pPr>
    </w:p>
    <w:p w14:paraId="4E84D1DE" w14:textId="44A4E21E" w:rsidR="002F24E1" w:rsidRPr="00B004EE" w:rsidRDefault="00AD7D88" w:rsidP="00B004EE">
      <w:pPr>
        <w:jc w:val="both"/>
        <w:rPr>
          <w:rFonts w:ascii="Tahoma" w:hAnsi="Tahoma" w:cs="Tahoma"/>
          <w:sz w:val="20"/>
          <w:szCs w:val="20"/>
        </w:rPr>
      </w:pPr>
      <w:r w:rsidRPr="00B004EE">
        <w:rPr>
          <w:rFonts w:ascii="Tahoma" w:hAnsi="Tahoma" w:cs="Tahoma"/>
          <w:bCs/>
          <w:sz w:val="20"/>
          <w:szCs w:val="20"/>
        </w:rPr>
        <w:t xml:space="preserve">Article </w:t>
      </w:r>
      <w:r w:rsidR="002F24E1" w:rsidRPr="00B004EE">
        <w:rPr>
          <w:rFonts w:ascii="Tahoma" w:hAnsi="Tahoma" w:cs="Tahoma"/>
          <w:bCs/>
          <w:sz w:val="20"/>
          <w:szCs w:val="20"/>
        </w:rPr>
        <w:t>44</w:t>
      </w:r>
      <w:r w:rsidR="00DB1635" w:rsidRPr="00B004EE">
        <w:rPr>
          <w:rFonts w:ascii="Tahoma" w:hAnsi="Tahoma" w:cs="Tahoma"/>
          <w:b/>
          <w:sz w:val="20"/>
          <w:szCs w:val="20"/>
        </w:rPr>
        <w:t xml:space="preserve"> </w:t>
      </w:r>
      <w:r w:rsidR="002F24E1" w:rsidRPr="00B004EE">
        <w:rPr>
          <w:rFonts w:ascii="Tahoma" w:hAnsi="Tahoma" w:cs="Tahoma"/>
          <w:b/>
          <w:sz w:val="20"/>
          <w:szCs w:val="20"/>
        </w:rPr>
        <w:t>:</w:t>
      </w:r>
      <w:r w:rsidR="00DB1635" w:rsidRPr="00B004EE">
        <w:rPr>
          <w:rFonts w:ascii="Tahoma" w:hAnsi="Tahoma" w:cs="Tahoma"/>
          <w:b/>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2F24E1" w:rsidRPr="00B004EE">
        <w:rPr>
          <w:rFonts w:ascii="Tahoma" w:hAnsi="Tahoma" w:cs="Tahoma"/>
          <w:sz w:val="20"/>
          <w:szCs w:val="20"/>
        </w:rPr>
        <w:t>services</w:t>
      </w:r>
      <w:r w:rsidR="00DB1635" w:rsidRPr="00B004EE">
        <w:rPr>
          <w:rFonts w:ascii="Tahoma" w:hAnsi="Tahoma" w:cs="Tahoma"/>
          <w:sz w:val="20"/>
          <w:szCs w:val="20"/>
        </w:rPr>
        <w:t xml:space="preserve"> </w:t>
      </w:r>
      <w:r w:rsidR="002F24E1" w:rsidRPr="00B004EE">
        <w:rPr>
          <w:rFonts w:ascii="Tahoma" w:hAnsi="Tahoma" w:cs="Tahoma"/>
          <w:sz w:val="20"/>
          <w:szCs w:val="20"/>
        </w:rPr>
        <w:t>d'inspection</w:t>
      </w:r>
      <w:r w:rsidR="00DB1635" w:rsidRPr="00B004EE">
        <w:rPr>
          <w:rFonts w:ascii="Tahoma" w:hAnsi="Tahoma" w:cs="Tahoma"/>
          <w:sz w:val="20"/>
          <w:szCs w:val="20"/>
        </w:rPr>
        <w:t xml:space="preserve"> </w:t>
      </w:r>
      <w:r w:rsidR="002F24E1" w:rsidRPr="00B004EE">
        <w:rPr>
          <w:rFonts w:ascii="Tahoma" w:hAnsi="Tahoma" w:cs="Tahoma"/>
          <w:sz w:val="20"/>
          <w:szCs w:val="20"/>
        </w:rPr>
        <w:t>du</w:t>
      </w:r>
      <w:r w:rsidR="00DB1635" w:rsidRPr="00B004EE">
        <w:rPr>
          <w:rFonts w:ascii="Tahoma" w:hAnsi="Tahoma" w:cs="Tahoma"/>
          <w:sz w:val="20"/>
          <w:szCs w:val="20"/>
        </w:rPr>
        <w:t xml:space="preserve"> </w:t>
      </w:r>
      <w:r w:rsidR="002F24E1" w:rsidRPr="00B004EE">
        <w:rPr>
          <w:rFonts w:ascii="Tahoma" w:hAnsi="Tahoma" w:cs="Tahoma"/>
          <w:sz w:val="20"/>
          <w:szCs w:val="20"/>
        </w:rPr>
        <w:t>CNROP</w:t>
      </w:r>
      <w:r w:rsidR="00DB1635" w:rsidRPr="00B004EE">
        <w:rPr>
          <w:rFonts w:ascii="Tahoma" w:hAnsi="Tahoma" w:cs="Tahoma"/>
          <w:sz w:val="20"/>
          <w:szCs w:val="20"/>
        </w:rPr>
        <w:t xml:space="preserve"> </w:t>
      </w:r>
      <w:r w:rsidR="002F24E1" w:rsidRPr="00B004EE">
        <w:rPr>
          <w:rFonts w:ascii="Tahoma" w:hAnsi="Tahoma" w:cs="Tahoma"/>
          <w:sz w:val="20"/>
          <w:szCs w:val="20"/>
        </w:rPr>
        <w:t>sont</w:t>
      </w:r>
      <w:r w:rsidR="00DB1635" w:rsidRPr="00B004EE">
        <w:rPr>
          <w:rFonts w:ascii="Tahoma" w:hAnsi="Tahoma" w:cs="Tahoma"/>
          <w:sz w:val="20"/>
          <w:szCs w:val="20"/>
        </w:rPr>
        <w:t xml:space="preserve"> </w:t>
      </w:r>
      <w:r w:rsidR="002F24E1" w:rsidRPr="00B004EE">
        <w:rPr>
          <w:rFonts w:ascii="Tahoma" w:hAnsi="Tahoma" w:cs="Tahoma"/>
          <w:sz w:val="20"/>
          <w:szCs w:val="20"/>
        </w:rPr>
        <w:t>associés</w:t>
      </w:r>
      <w:r w:rsidR="00DB1635" w:rsidRPr="00B004EE">
        <w:rPr>
          <w:rFonts w:ascii="Tahoma" w:hAnsi="Tahoma" w:cs="Tahoma"/>
          <w:sz w:val="20"/>
          <w:szCs w:val="20"/>
        </w:rPr>
        <w:t xml:space="preserve"> </w:t>
      </w:r>
      <w:r w:rsidR="002F24E1" w:rsidRPr="00B004EE">
        <w:rPr>
          <w:rFonts w:ascii="Tahoma" w:hAnsi="Tahoma" w:cs="Tahoma"/>
          <w:sz w:val="20"/>
          <w:szCs w:val="20"/>
        </w:rPr>
        <w:t>dans</w:t>
      </w:r>
      <w:r w:rsidR="00DB1635" w:rsidRPr="00B004EE">
        <w:rPr>
          <w:rFonts w:ascii="Tahoma" w:hAnsi="Tahoma" w:cs="Tahoma"/>
          <w:sz w:val="20"/>
          <w:szCs w:val="20"/>
        </w:rPr>
        <w:t xml:space="preserve"> </w:t>
      </w:r>
      <w:r w:rsidR="002F24E1" w:rsidRPr="00B004EE">
        <w:rPr>
          <w:rFonts w:ascii="Tahoma" w:hAnsi="Tahoma" w:cs="Tahoma"/>
          <w:sz w:val="20"/>
          <w:szCs w:val="20"/>
        </w:rPr>
        <w:t>le</w:t>
      </w:r>
      <w:r w:rsidR="00DB1635" w:rsidRPr="00B004EE">
        <w:rPr>
          <w:rFonts w:ascii="Tahoma" w:hAnsi="Tahoma" w:cs="Tahoma"/>
          <w:sz w:val="20"/>
          <w:szCs w:val="20"/>
        </w:rPr>
        <w:t xml:space="preserve"> </w:t>
      </w:r>
      <w:r w:rsidR="002F24E1" w:rsidRPr="00B004EE">
        <w:rPr>
          <w:rFonts w:ascii="Tahoma" w:hAnsi="Tahoma" w:cs="Tahoma"/>
          <w:sz w:val="20"/>
          <w:szCs w:val="20"/>
        </w:rPr>
        <w:t>domaine</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leurs</w:t>
      </w:r>
      <w:r w:rsidR="00DB1635" w:rsidRPr="00B004EE">
        <w:rPr>
          <w:rFonts w:ascii="Tahoma" w:hAnsi="Tahoma" w:cs="Tahoma"/>
          <w:sz w:val="20"/>
          <w:szCs w:val="20"/>
        </w:rPr>
        <w:t xml:space="preserve"> </w:t>
      </w:r>
      <w:r w:rsidR="002F24E1" w:rsidRPr="00B004EE">
        <w:rPr>
          <w:rFonts w:ascii="Tahoma" w:hAnsi="Tahoma" w:cs="Tahoma"/>
          <w:sz w:val="20"/>
          <w:szCs w:val="20"/>
        </w:rPr>
        <w:t>attributions</w:t>
      </w:r>
      <w:r w:rsidR="00DB1635" w:rsidRPr="00B004EE">
        <w:rPr>
          <w:rFonts w:ascii="Tahoma" w:hAnsi="Tahoma" w:cs="Tahoma"/>
          <w:sz w:val="20"/>
          <w:szCs w:val="20"/>
        </w:rPr>
        <w:t xml:space="preserve"> </w:t>
      </w:r>
      <w:r w:rsidR="002F24E1" w:rsidRPr="00B004EE">
        <w:rPr>
          <w:rFonts w:ascii="Tahoma" w:hAnsi="Tahoma" w:cs="Tahoma"/>
          <w:sz w:val="20"/>
          <w:szCs w:val="20"/>
        </w:rPr>
        <w:t>aux</w:t>
      </w:r>
      <w:r w:rsidR="00DB1635" w:rsidRPr="00B004EE">
        <w:rPr>
          <w:rFonts w:ascii="Tahoma" w:hAnsi="Tahoma" w:cs="Tahoma"/>
          <w:sz w:val="20"/>
          <w:szCs w:val="20"/>
        </w:rPr>
        <w:t xml:space="preserve"> </w:t>
      </w:r>
      <w:r w:rsidR="002F24E1" w:rsidRPr="00B004EE">
        <w:rPr>
          <w:rFonts w:ascii="Tahoma" w:hAnsi="Tahoma" w:cs="Tahoma"/>
          <w:sz w:val="20"/>
          <w:szCs w:val="20"/>
        </w:rPr>
        <w:t>travaux</w:t>
      </w:r>
      <w:r w:rsidR="00DB1635" w:rsidRPr="00B004EE">
        <w:rPr>
          <w:rFonts w:ascii="Tahoma" w:hAnsi="Tahoma" w:cs="Tahoma"/>
          <w:sz w:val="20"/>
          <w:szCs w:val="20"/>
        </w:rPr>
        <w:t xml:space="preserve"> </w:t>
      </w:r>
      <w:r w:rsidR="002F24E1" w:rsidRPr="00B004EE">
        <w:rPr>
          <w:rFonts w:ascii="Tahoma" w:hAnsi="Tahoma" w:cs="Tahoma"/>
          <w:sz w:val="20"/>
          <w:szCs w:val="20"/>
        </w:rPr>
        <w:t>des</w:t>
      </w:r>
      <w:r w:rsidR="00DB1635" w:rsidRPr="00B004EE">
        <w:rPr>
          <w:rFonts w:ascii="Tahoma" w:hAnsi="Tahoma" w:cs="Tahoma"/>
          <w:sz w:val="20"/>
          <w:szCs w:val="20"/>
        </w:rPr>
        <w:t xml:space="preserve"> </w:t>
      </w:r>
      <w:r w:rsidR="002F24E1" w:rsidRPr="00B004EE">
        <w:rPr>
          <w:rFonts w:ascii="Tahoma" w:hAnsi="Tahoma" w:cs="Tahoma"/>
          <w:sz w:val="20"/>
          <w:szCs w:val="20"/>
        </w:rPr>
        <w:t>commissions</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visites</w:t>
      </w:r>
      <w:r w:rsidR="00DB1635" w:rsidRPr="00B004EE">
        <w:rPr>
          <w:rFonts w:ascii="Tahoma" w:hAnsi="Tahoma" w:cs="Tahoma"/>
          <w:sz w:val="20"/>
          <w:szCs w:val="20"/>
        </w:rPr>
        <w:t xml:space="preserve"> </w:t>
      </w:r>
      <w:r w:rsidR="002F24E1" w:rsidRPr="00B004EE">
        <w:rPr>
          <w:rFonts w:ascii="Tahoma" w:hAnsi="Tahoma" w:cs="Tahoma"/>
          <w:sz w:val="20"/>
          <w:szCs w:val="20"/>
        </w:rPr>
        <w:t>annuelles</w:t>
      </w:r>
      <w:r w:rsidR="00DB1635" w:rsidRPr="00B004EE">
        <w:rPr>
          <w:rFonts w:ascii="Tahoma" w:hAnsi="Tahoma" w:cs="Tahoma"/>
          <w:sz w:val="20"/>
          <w:szCs w:val="20"/>
        </w:rPr>
        <w:t xml:space="preserve"> </w:t>
      </w:r>
      <w:r w:rsidR="002F24E1" w:rsidRPr="00B004EE">
        <w:rPr>
          <w:rFonts w:ascii="Tahoma" w:hAnsi="Tahoma" w:cs="Tahoma"/>
          <w:sz w:val="20"/>
          <w:szCs w:val="20"/>
        </w:rPr>
        <w:t>auxquelles</w:t>
      </w:r>
      <w:r w:rsidR="00DB1635" w:rsidRPr="00B004EE">
        <w:rPr>
          <w:rFonts w:ascii="Tahoma" w:hAnsi="Tahoma" w:cs="Tahoma"/>
          <w:sz w:val="20"/>
          <w:szCs w:val="20"/>
        </w:rPr>
        <w:t xml:space="preserve"> </w:t>
      </w:r>
      <w:r w:rsidR="002F24E1" w:rsidRPr="00B004EE">
        <w:rPr>
          <w:rFonts w:ascii="Tahoma" w:hAnsi="Tahoma" w:cs="Tahoma"/>
          <w:sz w:val="20"/>
          <w:szCs w:val="20"/>
        </w:rPr>
        <w:t>sont</w:t>
      </w:r>
      <w:r w:rsidR="00DB1635" w:rsidRPr="00B004EE">
        <w:rPr>
          <w:rFonts w:ascii="Tahoma" w:hAnsi="Tahoma" w:cs="Tahoma"/>
          <w:sz w:val="20"/>
          <w:szCs w:val="20"/>
        </w:rPr>
        <w:t xml:space="preserve"> </w:t>
      </w:r>
      <w:r w:rsidR="002F24E1" w:rsidRPr="00B004EE">
        <w:rPr>
          <w:rFonts w:ascii="Tahoma" w:hAnsi="Tahoma" w:cs="Tahoma"/>
          <w:sz w:val="20"/>
          <w:szCs w:val="20"/>
        </w:rPr>
        <w:t>soumis</w:t>
      </w:r>
      <w:r w:rsidR="00DB1635" w:rsidRPr="00B004EE">
        <w:rPr>
          <w:rFonts w:ascii="Tahoma" w:hAnsi="Tahoma" w:cs="Tahoma"/>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2F24E1" w:rsidRPr="00B004EE">
        <w:rPr>
          <w:rFonts w:ascii="Tahoma" w:hAnsi="Tahoma" w:cs="Tahoma"/>
          <w:sz w:val="20"/>
          <w:szCs w:val="20"/>
        </w:rPr>
        <w:t>navires</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pêche</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2F24E1" w:rsidRPr="00B004EE">
        <w:rPr>
          <w:rFonts w:ascii="Tahoma" w:hAnsi="Tahoma" w:cs="Tahoma"/>
          <w:sz w:val="20"/>
          <w:szCs w:val="20"/>
        </w:rPr>
        <w:t>navires-usines</w:t>
      </w:r>
      <w:r w:rsidR="00DB1635" w:rsidRPr="00B004EE">
        <w:rPr>
          <w:rFonts w:ascii="Tahoma" w:hAnsi="Tahoma" w:cs="Tahoma"/>
          <w:sz w:val="20"/>
          <w:szCs w:val="20"/>
        </w:rPr>
        <w:t xml:space="preserve"> </w:t>
      </w:r>
      <w:r w:rsidR="002F24E1" w:rsidRPr="00B004EE">
        <w:rPr>
          <w:rFonts w:ascii="Tahoma" w:hAnsi="Tahoma" w:cs="Tahoma"/>
          <w:sz w:val="20"/>
          <w:szCs w:val="20"/>
        </w:rPr>
        <w:t>en</w:t>
      </w:r>
      <w:r w:rsidR="00DB1635" w:rsidRPr="00B004EE">
        <w:rPr>
          <w:rFonts w:ascii="Tahoma" w:hAnsi="Tahoma" w:cs="Tahoma"/>
          <w:sz w:val="20"/>
          <w:szCs w:val="20"/>
        </w:rPr>
        <w:t xml:space="preserve"> </w:t>
      </w:r>
      <w:r w:rsidR="002F24E1" w:rsidRPr="00B004EE">
        <w:rPr>
          <w:rFonts w:ascii="Tahoma" w:hAnsi="Tahoma" w:cs="Tahoma"/>
          <w:sz w:val="20"/>
          <w:szCs w:val="20"/>
        </w:rPr>
        <w:t>application</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la</w:t>
      </w:r>
      <w:r w:rsidR="00DB1635" w:rsidRPr="00B004EE">
        <w:rPr>
          <w:rFonts w:ascii="Tahoma" w:hAnsi="Tahoma" w:cs="Tahoma"/>
          <w:sz w:val="20"/>
          <w:szCs w:val="20"/>
        </w:rPr>
        <w:t xml:space="preserve"> </w:t>
      </w:r>
      <w:r w:rsidR="002F24E1" w:rsidRPr="00B004EE">
        <w:rPr>
          <w:rFonts w:ascii="Tahoma" w:hAnsi="Tahoma" w:cs="Tahoma"/>
          <w:sz w:val="20"/>
          <w:szCs w:val="20"/>
        </w:rPr>
        <w:t>réglementation</w:t>
      </w:r>
      <w:r w:rsidR="00DB1635" w:rsidRPr="00B004EE">
        <w:rPr>
          <w:rFonts w:ascii="Tahoma" w:hAnsi="Tahoma" w:cs="Tahoma"/>
          <w:sz w:val="20"/>
          <w:szCs w:val="20"/>
        </w:rPr>
        <w:t xml:space="preserve"> </w:t>
      </w:r>
      <w:r w:rsidR="002F24E1" w:rsidRPr="00B004EE">
        <w:rPr>
          <w:rFonts w:ascii="Tahoma" w:hAnsi="Tahoma" w:cs="Tahoma"/>
          <w:sz w:val="20"/>
          <w:szCs w:val="20"/>
        </w:rPr>
        <w:t>sur</w:t>
      </w:r>
      <w:r w:rsidR="00DB1635" w:rsidRPr="00B004EE">
        <w:rPr>
          <w:rFonts w:ascii="Tahoma" w:hAnsi="Tahoma" w:cs="Tahoma"/>
          <w:sz w:val="20"/>
          <w:szCs w:val="20"/>
        </w:rPr>
        <w:t xml:space="preserve"> </w:t>
      </w:r>
      <w:r w:rsidR="002F24E1" w:rsidRPr="00B004EE">
        <w:rPr>
          <w:rFonts w:ascii="Tahoma" w:hAnsi="Tahoma" w:cs="Tahoma"/>
          <w:sz w:val="20"/>
          <w:szCs w:val="20"/>
        </w:rPr>
        <w:t>la</w:t>
      </w:r>
      <w:r w:rsidR="00DB1635" w:rsidRPr="00B004EE">
        <w:rPr>
          <w:rFonts w:ascii="Tahoma" w:hAnsi="Tahoma" w:cs="Tahoma"/>
          <w:sz w:val="20"/>
          <w:szCs w:val="20"/>
        </w:rPr>
        <w:t xml:space="preserve"> </w:t>
      </w:r>
      <w:r w:rsidR="002F24E1" w:rsidRPr="00B004EE">
        <w:rPr>
          <w:rFonts w:ascii="Tahoma" w:hAnsi="Tahoma" w:cs="Tahoma"/>
          <w:sz w:val="20"/>
          <w:szCs w:val="20"/>
        </w:rPr>
        <w:t>sécurité</w:t>
      </w:r>
      <w:r w:rsidR="00DB1635" w:rsidRPr="00B004EE">
        <w:rPr>
          <w:rFonts w:ascii="Tahoma" w:hAnsi="Tahoma" w:cs="Tahoma"/>
          <w:sz w:val="20"/>
          <w:szCs w:val="20"/>
        </w:rPr>
        <w:t xml:space="preserve"> </w:t>
      </w:r>
      <w:r w:rsidR="002F24E1" w:rsidRPr="00B004EE">
        <w:rPr>
          <w:rFonts w:ascii="Tahoma" w:hAnsi="Tahoma" w:cs="Tahoma"/>
          <w:sz w:val="20"/>
          <w:szCs w:val="20"/>
        </w:rPr>
        <w:t>marine.</w:t>
      </w:r>
    </w:p>
    <w:p w14:paraId="5873FFF3" w14:textId="77777777" w:rsidR="002F24E1" w:rsidRPr="00B004EE" w:rsidRDefault="002F24E1" w:rsidP="00B004EE">
      <w:pPr>
        <w:jc w:val="both"/>
        <w:rPr>
          <w:rFonts w:ascii="Tahoma" w:hAnsi="Tahoma" w:cs="Tahoma"/>
          <w:sz w:val="20"/>
          <w:szCs w:val="20"/>
        </w:rPr>
      </w:pPr>
    </w:p>
    <w:p w14:paraId="752EDFFF" w14:textId="117230EA" w:rsidR="002F24E1" w:rsidRPr="00B004EE" w:rsidRDefault="002F24E1" w:rsidP="00B004EE">
      <w:pPr>
        <w:jc w:val="both"/>
        <w:rPr>
          <w:rFonts w:ascii="Tahoma" w:hAnsi="Tahoma" w:cs="Tahoma"/>
          <w:sz w:val="20"/>
          <w:szCs w:val="20"/>
        </w:rPr>
      </w:pPr>
      <w:r w:rsidRPr="00B004EE">
        <w:rPr>
          <w:rFonts w:ascii="Tahoma" w:hAnsi="Tahoma" w:cs="Tahoma"/>
          <w:sz w:val="20"/>
          <w:szCs w:val="20"/>
        </w:rPr>
        <w:tab/>
        <w:t>Les</w:t>
      </w:r>
      <w:r w:rsidR="00DB1635" w:rsidRPr="00B004EE">
        <w:rPr>
          <w:rFonts w:ascii="Tahoma" w:hAnsi="Tahoma" w:cs="Tahoma"/>
          <w:sz w:val="20"/>
          <w:szCs w:val="20"/>
        </w:rPr>
        <w:t xml:space="preserve"> </w:t>
      </w:r>
      <w:r w:rsidRPr="00B004EE">
        <w:rPr>
          <w:rFonts w:ascii="Tahoma" w:hAnsi="Tahoma" w:cs="Tahoma"/>
          <w:sz w:val="20"/>
          <w:szCs w:val="20"/>
        </w:rPr>
        <w:t>contrôles</w:t>
      </w:r>
      <w:r w:rsidR="00DB1635" w:rsidRPr="00B004EE">
        <w:rPr>
          <w:rFonts w:ascii="Tahoma" w:hAnsi="Tahoma" w:cs="Tahoma"/>
          <w:sz w:val="20"/>
          <w:szCs w:val="20"/>
        </w:rPr>
        <w:t xml:space="preserve"> </w:t>
      </w:r>
      <w:r w:rsidRPr="00B004EE">
        <w:rPr>
          <w:rFonts w:ascii="Tahoma" w:hAnsi="Tahoma" w:cs="Tahoma"/>
          <w:sz w:val="20"/>
          <w:szCs w:val="20"/>
        </w:rPr>
        <w:t>d'hygiène,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conformité</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salubrité</w:t>
      </w:r>
      <w:r w:rsidR="00DB1635" w:rsidRPr="00B004EE">
        <w:rPr>
          <w:rFonts w:ascii="Tahoma" w:hAnsi="Tahoma" w:cs="Tahoma"/>
          <w:sz w:val="20"/>
          <w:szCs w:val="20"/>
        </w:rPr>
        <w:t xml:space="preserve"> </w:t>
      </w:r>
      <w:r w:rsidRPr="00B004EE">
        <w:rPr>
          <w:rFonts w:ascii="Tahoma" w:hAnsi="Tahoma" w:cs="Tahoma"/>
          <w:sz w:val="20"/>
          <w:szCs w:val="20"/>
        </w:rPr>
        <w:t>doivent</w:t>
      </w:r>
      <w:r w:rsidR="00DB1635" w:rsidRPr="00B004EE">
        <w:rPr>
          <w:rFonts w:ascii="Tahoma" w:hAnsi="Tahoma" w:cs="Tahoma"/>
          <w:sz w:val="20"/>
          <w:szCs w:val="20"/>
        </w:rPr>
        <w:t xml:space="preserve"> </w:t>
      </w:r>
      <w:r w:rsidRPr="00B004EE">
        <w:rPr>
          <w:rFonts w:ascii="Tahoma" w:hAnsi="Tahoma" w:cs="Tahoma"/>
          <w:sz w:val="20"/>
          <w:szCs w:val="20"/>
        </w:rPr>
        <w:t>avoir</w:t>
      </w:r>
      <w:r w:rsidR="00DB1635" w:rsidRPr="00B004EE">
        <w:rPr>
          <w:rFonts w:ascii="Tahoma" w:hAnsi="Tahoma" w:cs="Tahoma"/>
          <w:sz w:val="20"/>
          <w:szCs w:val="20"/>
        </w:rPr>
        <w:t xml:space="preserve"> </w:t>
      </w:r>
      <w:r w:rsidRPr="00B004EE">
        <w:rPr>
          <w:rFonts w:ascii="Tahoma" w:hAnsi="Tahoma" w:cs="Tahoma"/>
          <w:sz w:val="20"/>
          <w:szCs w:val="20"/>
        </w:rPr>
        <w:t>lieu</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bord</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tant</w:t>
      </w:r>
      <w:r w:rsidR="00DB1635" w:rsidRPr="00B004EE">
        <w:rPr>
          <w:rFonts w:ascii="Tahoma" w:hAnsi="Tahoma" w:cs="Tahoma"/>
          <w:sz w:val="20"/>
          <w:szCs w:val="20"/>
        </w:rPr>
        <w:t xml:space="preserve"> </w:t>
      </w:r>
      <w:r w:rsidRPr="00B004EE">
        <w:rPr>
          <w:rFonts w:ascii="Tahoma" w:hAnsi="Tahoma" w:cs="Tahoma"/>
          <w:sz w:val="20"/>
          <w:szCs w:val="20"/>
        </w:rPr>
        <w:t>que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besoin</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moins</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fois</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an,</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l'occasion</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ces</w:t>
      </w:r>
      <w:r w:rsidR="00DB1635" w:rsidRPr="00B004EE">
        <w:rPr>
          <w:rFonts w:ascii="Tahoma" w:hAnsi="Tahoma" w:cs="Tahoma"/>
          <w:sz w:val="20"/>
          <w:szCs w:val="20"/>
        </w:rPr>
        <w:t xml:space="preserve"> </w:t>
      </w:r>
      <w:r w:rsidRPr="00B004EE">
        <w:rPr>
          <w:rFonts w:ascii="Tahoma" w:hAnsi="Tahoma" w:cs="Tahoma"/>
          <w:sz w:val="20"/>
          <w:szCs w:val="20"/>
        </w:rPr>
        <w:t>visites</w:t>
      </w:r>
      <w:r w:rsidR="00DB1635" w:rsidRPr="00B004EE">
        <w:rPr>
          <w:rFonts w:ascii="Tahoma" w:hAnsi="Tahoma" w:cs="Tahoma"/>
          <w:sz w:val="20"/>
          <w:szCs w:val="20"/>
        </w:rPr>
        <w:t xml:space="preserve"> </w:t>
      </w:r>
      <w:r w:rsidRPr="00B004EE">
        <w:rPr>
          <w:rFonts w:ascii="Tahoma" w:hAnsi="Tahoma" w:cs="Tahoma"/>
          <w:sz w:val="20"/>
          <w:szCs w:val="20"/>
        </w:rPr>
        <w:t>annuelles.</w:t>
      </w:r>
    </w:p>
    <w:p w14:paraId="225427DC" w14:textId="77777777" w:rsidR="002F24E1" w:rsidRPr="00B004EE" w:rsidRDefault="002F24E1" w:rsidP="00B004EE">
      <w:pPr>
        <w:jc w:val="both"/>
        <w:rPr>
          <w:rFonts w:ascii="Tahoma" w:hAnsi="Tahoma" w:cs="Tahoma"/>
          <w:b/>
          <w:sz w:val="20"/>
          <w:szCs w:val="20"/>
        </w:rPr>
      </w:pPr>
    </w:p>
    <w:p w14:paraId="1189DDE5" w14:textId="777FA78E" w:rsidR="002F24E1" w:rsidRPr="00B004EE" w:rsidRDefault="00AD7D88" w:rsidP="00B004EE">
      <w:pPr>
        <w:jc w:val="both"/>
        <w:rPr>
          <w:rFonts w:ascii="Tahoma" w:hAnsi="Tahoma" w:cs="Tahoma"/>
          <w:sz w:val="20"/>
          <w:szCs w:val="20"/>
        </w:rPr>
      </w:pPr>
      <w:r w:rsidRPr="00B004EE">
        <w:rPr>
          <w:rFonts w:ascii="Tahoma" w:hAnsi="Tahoma" w:cs="Tahoma"/>
          <w:bCs/>
          <w:sz w:val="20"/>
          <w:szCs w:val="20"/>
        </w:rPr>
        <w:lastRenderedPageBreak/>
        <w:t xml:space="preserve">Article </w:t>
      </w:r>
      <w:r w:rsidR="002F24E1" w:rsidRPr="00B004EE">
        <w:rPr>
          <w:rFonts w:ascii="Tahoma" w:hAnsi="Tahoma" w:cs="Tahoma"/>
          <w:bCs/>
          <w:sz w:val="20"/>
          <w:szCs w:val="20"/>
        </w:rPr>
        <w:t>45</w:t>
      </w:r>
      <w:r w:rsidR="00DB1635" w:rsidRPr="00B004EE">
        <w:rPr>
          <w:rFonts w:ascii="Tahoma" w:hAnsi="Tahoma" w:cs="Tahoma"/>
          <w:b/>
          <w:sz w:val="20"/>
          <w:szCs w:val="20"/>
        </w:rPr>
        <w:t xml:space="preserve"> </w:t>
      </w:r>
      <w:r w:rsidR="002F24E1" w:rsidRPr="00B004EE">
        <w:rPr>
          <w:rFonts w:ascii="Tahoma" w:hAnsi="Tahoma" w:cs="Tahoma"/>
          <w:b/>
          <w:sz w:val="20"/>
          <w:szCs w:val="20"/>
        </w:rPr>
        <w:t>:</w:t>
      </w:r>
      <w:r w:rsidR="00DB1635" w:rsidRPr="00B004EE">
        <w:rPr>
          <w:rFonts w:ascii="Tahoma" w:hAnsi="Tahoma" w:cs="Tahoma"/>
          <w:b/>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2F24E1" w:rsidRPr="00B004EE">
        <w:rPr>
          <w:rFonts w:ascii="Tahoma" w:hAnsi="Tahoma" w:cs="Tahoma"/>
          <w:sz w:val="20"/>
          <w:szCs w:val="20"/>
        </w:rPr>
        <w:t>services</w:t>
      </w:r>
      <w:r w:rsidR="00DB1635" w:rsidRPr="00B004EE">
        <w:rPr>
          <w:rFonts w:ascii="Tahoma" w:hAnsi="Tahoma" w:cs="Tahoma"/>
          <w:sz w:val="20"/>
          <w:szCs w:val="20"/>
        </w:rPr>
        <w:t xml:space="preserve"> </w:t>
      </w:r>
      <w:r w:rsidR="002F24E1" w:rsidRPr="00B004EE">
        <w:rPr>
          <w:rFonts w:ascii="Tahoma" w:hAnsi="Tahoma" w:cs="Tahoma"/>
          <w:sz w:val="20"/>
          <w:szCs w:val="20"/>
        </w:rPr>
        <w:t>d'inspection</w:t>
      </w:r>
      <w:r w:rsidR="00DB1635" w:rsidRPr="00B004EE">
        <w:rPr>
          <w:rFonts w:ascii="Tahoma" w:hAnsi="Tahoma" w:cs="Tahoma"/>
          <w:sz w:val="20"/>
          <w:szCs w:val="20"/>
        </w:rPr>
        <w:t xml:space="preserve"> </w:t>
      </w:r>
      <w:r w:rsidR="002F24E1" w:rsidRPr="00B004EE">
        <w:rPr>
          <w:rFonts w:ascii="Tahoma" w:hAnsi="Tahoma" w:cs="Tahoma"/>
          <w:sz w:val="20"/>
          <w:szCs w:val="20"/>
        </w:rPr>
        <w:t>du</w:t>
      </w:r>
      <w:r w:rsidR="00DB1635" w:rsidRPr="00B004EE">
        <w:rPr>
          <w:rFonts w:ascii="Tahoma" w:hAnsi="Tahoma" w:cs="Tahoma"/>
          <w:sz w:val="20"/>
          <w:szCs w:val="20"/>
        </w:rPr>
        <w:t xml:space="preserve"> </w:t>
      </w:r>
      <w:r w:rsidR="002F24E1" w:rsidRPr="00B004EE">
        <w:rPr>
          <w:rFonts w:ascii="Tahoma" w:hAnsi="Tahoma" w:cs="Tahoma"/>
          <w:sz w:val="20"/>
          <w:szCs w:val="20"/>
        </w:rPr>
        <w:t>CNROP</w:t>
      </w:r>
      <w:r w:rsidR="00DB1635" w:rsidRPr="00B004EE">
        <w:rPr>
          <w:rFonts w:ascii="Tahoma" w:hAnsi="Tahoma" w:cs="Tahoma"/>
          <w:sz w:val="20"/>
          <w:szCs w:val="20"/>
        </w:rPr>
        <w:t xml:space="preserve"> </w:t>
      </w:r>
      <w:r w:rsidR="002F24E1" w:rsidRPr="00B004EE">
        <w:rPr>
          <w:rFonts w:ascii="Tahoma" w:hAnsi="Tahoma" w:cs="Tahoma"/>
          <w:sz w:val="20"/>
          <w:szCs w:val="20"/>
        </w:rPr>
        <w:t>doivent</w:t>
      </w:r>
      <w:r w:rsidR="00DB1635" w:rsidRPr="00B004EE">
        <w:rPr>
          <w:rFonts w:ascii="Tahoma" w:hAnsi="Tahoma" w:cs="Tahoma"/>
          <w:sz w:val="20"/>
          <w:szCs w:val="20"/>
        </w:rPr>
        <w:t xml:space="preserve"> </w:t>
      </w:r>
      <w:r w:rsidR="002F24E1" w:rsidRPr="00B004EE">
        <w:rPr>
          <w:rFonts w:ascii="Tahoma" w:hAnsi="Tahoma" w:cs="Tahoma"/>
          <w:sz w:val="20"/>
          <w:szCs w:val="20"/>
        </w:rPr>
        <w:t>mettre</w:t>
      </w:r>
      <w:r w:rsidR="00DB1635" w:rsidRPr="00B004EE">
        <w:rPr>
          <w:rFonts w:ascii="Tahoma" w:hAnsi="Tahoma" w:cs="Tahoma"/>
          <w:sz w:val="20"/>
          <w:szCs w:val="20"/>
        </w:rPr>
        <w:t xml:space="preserve"> </w:t>
      </w:r>
      <w:r w:rsidR="002F24E1" w:rsidRPr="00B004EE">
        <w:rPr>
          <w:rFonts w:ascii="Tahoma" w:hAnsi="Tahoma" w:cs="Tahoma"/>
          <w:sz w:val="20"/>
          <w:szCs w:val="20"/>
        </w:rPr>
        <w:t>en</w:t>
      </w:r>
      <w:r w:rsidR="00DB1635" w:rsidRPr="00B004EE">
        <w:rPr>
          <w:rFonts w:ascii="Tahoma" w:hAnsi="Tahoma" w:cs="Tahoma"/>
          <w:sz w:val="20"/>
          <w:szCs w:val="20"/>
        </w:rPr>
        <w:t xml:space="preserve"> </w:t>
      </w:r>
      <w:r w:rsidR="002F24E1" w:rsidRPr="00B004EE">
        <w:rPr>
          <w:rFonts w:ascii="Tahoma" w:hAnsi="Tahoma" w:cs="Tahoma"/>
          <w:sz w:val="20"/>
          <w:szCs w:val="20"/>
        </w:rPr>
        <w:t>place</w:t>
      </w:r>
      <w:r w:rsidR="00DB1635" w:rsidRPr="00B004EE">
        <w:rPr>
          <w:rFonts w:ascii="Tahoma" w:hAnsi="Tahoma" w:cs="Tahoma"/>
          <w:sz w:val="20"/>
          <w:szCs w:val="20"/>
        </w:rPr>
        <w:t xml:space="preserve"> </w:t>
      </w:r>
      <w:r w:rsidR="002F24E1" w:rsidRPr="00B004EE">
        <w:rPr>
          <w:rFonts w:ascii="Tahoma" w:hAnsi="Tahoma" w:cs="Tahoma"/>
          <w:sz w:val="20"/>
          <w:szCs w:val="20"/>
        </w:rPr>
        <w:t>pour</w:t>
      </w:r>
      <w:r w:rsidR="00DB1635" w:rsidRPr="00B004EE">
        <w:rPr>
          <w:rFonts w:ascii="Tahoma" w:hAnsi="Tahoma" w:cs="Tahoma"/>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2F24E1" w:rsidRPr="00B004EE">
        <w:rPr>
          <w:rFonts w:ascii="Tahoma" w:hAnsi="Tahoma" w:cs="Tahoma"/>
          <w:sz w:val="20"/>
          <w:szCs w:val="20"/>
        </w:rPr>
        <w:t>navires-usines</w:t>
      </w:r>
      <w:r w:rsidR="00DB1635" w:rsidRPr="00B004EE">
        <w:rPr>
          <w:rFonts w:ascii="Tahoma" w:hAnsi="Tahoma" w:cs="Tahoma"/>
          <w:sz w:val="20"/>
          <w:szCs w:val="20"/>
        </w:rPr>
        <w:t xml:space="preserve"> </w:t>
      </w:r>
      <w:r w:rsidR="002F24E1" w:rsidRPr="00B004EE">
        <w:rPr>
          <w:rFonts w:ascii="Tahoma" w:hAnsi="Tahoma" w:cs="Tahoma"/>
          <w:sz w:val="20"/>
          <w:szCs w:val="20"/>
        </w:rPr>
        <w:t>un</w:t>
      </w:r>
      <w:r w:rsidR="00DB1635" w:rsidRPr="00B004EE">
        <w:rPr>
          <w:rFonts w:ascii="Tahoma" w:hAnsi="Tahoma" w:cs="Tahoma"/>
          <w:sz w:val="20"/>
          <w:szCs w:val="20"/>
        </w:rPr>
        <w:t xml:space="preserve"> </w:t>
      </w:r>
      <w:r w:rsidR="002F24E1" w:rsidRPr="00B004EE">
        <w:rPr>
          <w:rFonts w:ascii="Tahoma" w:hAnsi="Tahoma" w:cs="Tahoma"/>
          <w:sz w:val="20"/>
          <w:szCs w:val="20"/>
        </w:rPr>
        <w:t>système</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contrôle</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surveillance</w:t>
      </w:r>
      <w:r w:rsidR="00DB1635" w:rsidRPr="00B004EE">
        <w:rPr>
          <w:rFonts w:ascii="Tahoma" w:hAnsi="Tahoma" w:cs="Tahoma"/>
          <w:sz w:val="20"/>
          <w:szCs w:val="20"/>
        </w:rPr>
        <w:t xml:space="preserve"> </w:t>
      </w:r>
      <w:r w:rsidR="002F24E1" w:rsidRPr="00B004EE">
        <w:rPr>
          <w:rFonts w:ascii="Tahoma" w:hAnsi="Tahoma" w:cs="Tahoma"/>
          <w:sz w:val="20"/>
          <w:szCs w:val="20"/>
        </w:rPr>
        <w:t>analogue</w:t>
      </w:r>
      <w:r w:rsidR="00DB1635" w:rsidRPr="00B004EE">
        <w:rPr>
          <w:rFonts w:ascii="Tahoma" w:hAnsi="Tahoma" w:cs="Tahoma"/>
          <w:sz w:val="20"/>
          <w:szCs w:val="20"/>
        </w:rPr>
        <w:t xml:space="preserve"> </w:t>
      </w:r>
      <w:r w:rsidR="002F24E1" w:rsidRPr="00B004EE">
        <w:rPr>
          <w:rFonts w:ascii="Tahoma" w:hAnsi="Tahoma" w:cs="Tahoma"/>
          <w:sz w:val="20"/>
          <w:szCs w:val="20"/>
        </w:rPr>
        <w:t>à</w:t>
      </w:r>
      <w:r w:rsidR="00DB1635" w:rsidRPr="00B004EE">
        <w:rPr>
          <w:rFonts w:ascii="Tahoma" w:hAnsi="Tahoma" w:cs="Tahoma"/>
          <w:sz w:val="20"/>
          <w:szCs w:val="20"/>
        </w:rPr>
        <w:t xml:space="preserve"> </w:t>
      </w:r>
      <w:r w:rsidR="002F24E1" w:rsidRPr="00B004EE">
        <w:rPr>
          <w:rFonts w:ascii="Tahoma" w:hAnsi="Tahoma" w:cs="Tahoma"/>
          <w:sz w:val="20"/>
          <w:szCs w:val="20"/>
        </w:rPr>
        <w:t>celui</w:t>
      </w:r>
      <w:r w:rsidR="00DB1635" w:rsidRPr="00B004EE">
        <w:rPr>
          <w:rFonts w:ascii="Tahoma" w:hAnsi="Tahoma" w:cs="Tahoma"/>
          <w:sz w:val="20"/>
          <w:szCs w:val="20"/>
        </w:rPr>
        <w:t xml:space="preserve"> </w:t>
      </w:r>
      <w:r w:rsidR="002F24E1" w:rsidRPr="00B004EE">
        <w:rPr>
          <w:rFonts w:ascii="Tahoma" w:hAnsi="Tahoma" w:cs="Tahoma"/>
          <w:sz w:val="20"/>
          <w:szCs w:val="20"/>
        </w:rPr>
        <w:t>établi</w:t>
      </w:r>
      <w:r w:rsidR="00DB1635" w:rsidRPr="00B004EE">
        <w:rPr>
          <w:rFonts w:ascii="Tahoma" w:hAnsi="Tahoma" w:cs="Tahoma"/>
          <w:sz w:val="20"/>
          <w:szCs w:val="20"/>
        </w:rPr>
        <w:t xml:space="preserve"> </w:t>
      </w:r>
      <w:r w:rsidR="002F24E1" w:rsidRPr="00B004EE">
        <w:rPr>
          <w:rFonts w:ascii="Tahoma" w:hAnsi="Tahoma" w:cs="Tahoma"/>
          <w:sz w:val="20"/>
          <w:szCs w:val="20"/>
        </w:rPr>
        <w:t>à</w:t>
      </w:r>
      <w:r w:rsidR="00DB1635" w:rsidRPr="00B004EE">
        <w:rPr>
          <w:rFonts w:ascii="Tahoma" w:hAnsi="Tahoma" w:cs="Tahoma"/>
          <w:sz w:val="20"/>
          <w:szCs w:val="20"/>
        </w:rPr>
        <w:t xml:space="preserve"> </w:t>
      </w:r>
      <w:r w:rsidR="002F24E1" w:rsidRPr="00B004EE">
        <w:rPr>
          <w:rFonts w:ascii="Tahoma" w:hAnsi="Tahoma" w:cs="Tahoma"/>
          <w:sz w:val="20"/>
          <w:szCs w:val="20"/>
        </w:rPr>
        <w:t>terre</w:t>
      </w:r>
      <w:r w:rsidR="00DB1635" w:rsidRPr="00B004EE">
        <w:rPr>
          <w:rFonts w:ascii="Tahoma" w:hAnsi="Tahoma" w:cs="Tahoma"/>
          <w:sz w:val="20"/>
          <w:szCs w:val="20"/>
        </w:rPr>
        <w:t xml:space="preserve"> </w:t>
      </w:r>
      <w:r w:rsidR="002F24E1" w:rsidRPr="00B004EE">
        <w:rPr>
          <w:rFonts w:ascii="Tahoma" w:hAnsi="Tahoma" w:cs="Tahoma"/>
          <w:sz w:val="20"/>
          <w:szCs w:val="20"/>
        </w:rPr>
        <w:t>pour</w:t>
      </w:r>
      <w:r w:rsidR="00DB1635" w:rsidRPr="00B004EE">
        <w:rPr>
          <w:rFonts w:ascii="Tahoma" w:hAnsi="Tahoma" w:cs="Tahoma"/>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2F24E1" w:rsidRPr="00B004EE">
        <w:rPr>
          <w:rFonts w:ascii="Tahoma" w:hAnsi="Tahoma" w:cs="Tahoma"/>
          <w:sz w:val="20"/>
          <w:szCs w:val="20"/>
        </w:rPr>
        <w:t>établissements</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manipulation</w:t>
      </w:r>
      <w:r w:rsidR="00DB1635" w:rsidRPr="00B004EE">
        <w:rPr>
          <w:rFonts w:ascii="Tahoma" w:hAnsi="Tahoma" w:cs="Tahoma"/>
          <w:sz w:val="20"/>
          <w:szCs w:val="20"/>
        </w:rPr>
        <w:t xml:space="preserve"> </w:t>
      </w:r>
      <w:r w:rsidR="002F24E1" w:rsidRPr="00B004EE">
        <w:rPr>
          <w:rFonts w:ascii="Tahoma" w:hAnsi="Tahoma" w:cs="Tahoma"/>
          <w:sz w:val="20"/>
          <w:szCs w:val="20"/>
        </w:rPr>
        <w:t>des</w:t>
      </w:r>
      <w:r w:rsidR="00DB1635" w:rsidRPr="00B004EE">
        <w:rPr>
          <w:rFonts w:ascii="Tahoma" w:hAnsi="Tahoma" w:cs="Tahoma"/>
          <w:sz w:val="20"/>
          <w:szCs w:val="20"/>
        </w:rPr>
        <w:t xml:space="preserve"> </w:t>
      </w:r>
      <w:r w:rsidR="002F24E1" w:rsidRPr="00B004EE">
        <w:rPr>
          <w:rFonts w:ascii="Tahoma" w:hAnsi="Tahoma" w:cs="Tahoma"/>
          <w:sz w:val="20"/>
          <w:szCs w:val="20"/>
        </w:rPr>
        <w:t>produits</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la</w:t>
      </w:r>
      <w:r w:rsidR="00DB1635" w:rsidRPr="00B004EE">
        <w:rPr>
          <w:rFonts w:ascii="Tahoma" w:hAnsi="Tahoma" w:cs="Tahoma"/>
          <w:sz w:val="20"/>
          <w:szCs w:val="20"/>
        </w:rPr>
        <w:t xml:space="preserve"> </w:t>
      </w:r>
      <w:r w:rsidR="002F24E1" w:rsidRPr="00B004EE">
        <w:rPr>
          <w:rFonts w:ascii="Tahoma" w:hAnsi="Tahoma" w:cs="Tahoma"/>
          <w:sz w:val="20"/>
          <w:szCs w:val="20"/>
        </w:rPr>
        <w:t>pêche.</w:t>
      </w:r>
    </w:p>
    <w:p w14:paraId="71124BCB" w14:textId="77777777" w:rsidR="002F24E1" w:rsidRPr="00B004EE" w:rsidRDefault="002F24E1" w:rsidP="00B004EE">
      <w:pPr>
        <w:jc w:val="both"/>
        <w:rPr>
          <w:rFonts w:ascii="Tahoma" w:hAnsi="Tahoma" w:cs="Tahoma"/>
          <w:sz w:val="20"/>
          <w:szCs w:val="20"/>
        </w:rPr>
      </w:pPr>
    </w:p>
    <w:p w14:paraId="65F28E06" w14:textId="3AECA8C2" w:rsidR="002F24E1" w:rsidRPr="00B004EE" w:rsidRDefault="002F24E1" w:rsidP="00B004EE">
      <w:pPr>
        <w:jc w:val="both"/>
        <w:rPr>
          <w:rFonts w:ascii="Tahoma" w:hAnsi="Tahoma" w:cs="Tahoma"/>
          <w:sz w:val="20"/>
          <w:szCs w:val="20"/>
        </w:rPr>
      </w:pPr>
      <w:r w:rsidRPr="00B004EE">
        <w:rPr>
          <w:rFonts w:ascii="Tahoma" w:hAnsi="Tahoma" w:cs="Tahoma"/>
          <w:sz w:val="20"/>
          <w:szCs w:val="20"/>
        </w:rPr>
        <w:tab/>
        <w:t>Il</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notamment</w:t>
      </w:r>
      <w:r w:rsidR="00DB1635" w:rsidRPr="00B004EE">
        <w:rPr>
          <w:rFonts w:ascii="Tahoma" w:hAnsi="Tahoma" w:cs="Tahoma"/>
          <w:sz w:val="20"/>
          <w:szCs w:val="20"/>
        </w:rPr>
        <w:t xml:space="preserve"> </w:t>
      </w:r>
      <w:r w:rsidRPr="00B004EE">
        <w:rPr>
          <w:rFonts w:ascii="Tahoma" w:hAnsi="Tahoma" w:cs="Tahoma"/>
          <w:sz w:val="20"/>
          <w:szCs w:val="20"/>
        </w:rPr>
        <w:t>vérifié</w:t>
      </w:r>
      <w:r w:rsidR="00DB1635" w:rsidRPr="00B004EE">
        <w:rPr>
          <w:rFonts w:ascii="Tahoma" w:hAnsi="Tahoma" w:cs="Tahoma"/>
          <w:sz w:val="20"/>
          <w:szCs w:val="20"/>
        </w:rPr>
        <w:t xml:space="preserve"> </w:t>
      </w:r>
      <w:r w:rsidRPr="00B004EE">
        <w:rPr>
          <w:rFonts w:ascii="Tahoma" w:hAnsi="Tahoma" w:cs="Tahoma"/>
          <w:sz w:val="20"/>
          <w:szCs w:val="20"/>
        </w:rPr>
        <w:t>que</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conditions</w:t>
      </w:r>
      <w:r w:rsidR="00DB1635" w:rsidRPr="00B004EE">
        <w:rPr>
          <w:rFonts w:ascii="Tahoma" w:hAnsi="Tahoma" w:cs="Tahoma"/>
          <w:sz w:val="20"/>
          <w:szCs w:val="20"/>
        </w:rPr>
        <w:t xml:space="preserve"> </w:t>
      </w:r>
      <w:r w:rsidRPr="00B004EE">
        <w:rPr>
          <w:rFonts w:ascii="Tahoma" w:hAnsi="Tahoma" w:cs="Tahoma"/>
          <w:sz w:val="20"/>
          <w:szCs w:val="20"/>
        </w:rPr>
        <w:t>d'agrément</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toujours</w:t>
      </w:r>
      <w:r w:rsidR="00DB1635" w:rsidRPr="00B004EE">
        <w:rPr>
          <w:rFonts w:ascii="Tahoma" w:hAnsi="Tahoma" w:cs="Tahoma"/>
          <w:sz w:val="20"/>
          <w:szCs w:val="20"/>
        </w:rPr>
        <w:t xml:space="preserve"> </w:t>
      </w:r>
      <w:r w:rsidR="007127C2" w:rsidRPr="00B004EE">
        <w:rPr>
          <w:rFonts w:ascii="Tahoma" w:hAnsi="Tahoma" w:cs="Tahoma"/>
          <w:sz w:val="20"/>
          <w:szCs w:val="20"/>
        </w:rPr>
        <w:t>remplies :</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manipulés</w:t>
      </w:r>
      <w:r w:rsidR="00DB1635" w:rsidRPr="00B004EE">
        <w:rPr>
          <w:rFonts w:ascii="Tahoma" w:hAnsi="Tahoma" w:cs="Tahoma"/>
          <w:sz w:val="20"/>
          <w:szCs w:val="20"/>
        </w:rPr>
        <w:t xml:space="preserve"> </w:t>
      </w:r>
      <w:r w:rsidRPr="00B004EE">
        <w:rPr>
          <w:rFonts w:ascii="Tahoma" w:hAnsi="Tahoma" w:cs="Tahoma"/>
          <w:sz w:val="20"/>
          <w:szCs w:val="20"/>
        </w:rPr>
        <w:t>correctement,</w:t>
      </w:r>
      <w:r w:rsidR="00DB1635" w:rsidRPr="00B004EE">
        <w:rPr>
          <w:rFonts w:ascii="Tahoma" w:hAnsi="Tahoma" w:cs="Tahoma"/>
          <w:sz w:val="20"/>
          <w:szCs w:val="20"/>
        </w:rPr>
        <w:t xml:space="preserve"> </w:t>
      </w:r>
      <w:r w:rsidRPr="00B004EE">
        <w:rPr>
          <w:rFonts w:ascii="Tahoma" w:hAnsi="Tahoma" w:cs="Tahoma"/>
          <w:sz w:val="20"/>
          <w:szCs w:val="20"/>
        </w:rPr>
        <w:t>locaux,</w:t>
      </w:r>
      <w:r w:rsidR="00DB1635" w:rsidRPr="00B004EE">
        <w:rPr>
          <w:rFonts w:ascii="Tahoma" w:hAnsi="Tahoma" w:cs="Tahoma"/>
          <w:sz w:val="20"/>
          <w:szCs w:val="20"/>
        </w:rPr>
        <w:t xml:space="preserve"> </w:t>
      </w:r>
      <w:r w:rsidRPr="00B004EE">
        <w:rPr>
          <w:rFonts w:ascii="Tahoma" w:hAnsi="Tahoma" w:cs="Tahoma"/>
          <w:sz w:val="20"/>
          <w:szCs w:val="20"/>
        </w:rPr>
        <w:t>installations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instruments</w:t>
      </w:r>
      <w:r w:rsidR="00DB1635" w:rsidRPr="00B004EE">
        <w:rPr>
          <w:rFonts w:ascii="Tahoma" w:hAnsi="Tahoma" w:cs="Tahoma"/>
          <w:sz w:val="20"/>
          <w:szCs w:val="20"/>
        </w:rPr>
        <w:t xml:space="preserve"> </w:t>
      </w:r>
      <w:r w:rsidRPr="00B004EE">
        <w:rPr>
          <w:rFonts w:ascii="Tahoma" w:hAnsi="Tahoma" w:cs="Tahoma"/>
          <w:sz w:val="20"/>
          <w:szCs w:val="20"/>
        </w:rPr>
        <w:t>tenus</w:t>
      </w:r>
      <w:r w:rsidR="00DB1635" w:rsidRPr="00B004EE">
        <w:rPr>
          <w:rFonts w:ascii="Tahoma" w:hAnsi="Tahoma" w:cs="Tahoma"/>
          <w:sz w:val="20"/>
          <w:szCs w:val="20"/>
        </w:rPr>
        <w:t xml:space="preserve"> </w:t>
      </w:r>
      <w:r w:rsidRPr="00B004EE">
        <w:rPr>
          <w:rFonts w:ascii="Tahoma" w:hAnsi="Tahoma" w:cs="Tahoma"/>
          <w:sz w:val="20"/>
          <w:szCs w:val="20"/>
        </w:rPr>
        <w:t>propres,</w:t>
      </w:r>
      <w:r w:rsidR="00DB1635" w:rsidRPr="00B004EE">
        <w:rPr>
          <w:rFonts w:ascii="Tahoma" w:hAnsi="Tahoma" w:cs="Tahoma"/>
          <w:sz w:val="20"/>
          <w:szCs w:val="20"/>
        </w:rPr>
        <w:t xml:space="preserve"> </w:t>
      </w:r>
      <w:r w:rsidRPr="00B004EE">
        <w:rPr>
          <w:rFonts w:ascii="Tahoma" w:hAnsi="Tahoma" w:cs="Tahoma"/>
          <w:sz w:val="20"/>
          <w:szCs w:val="20"/>
        </w:rPr>
        <w:t>personnels</w:t>
      </w:r>
      <w:r w:rsidR="00DB1635" w:rsidRPr="00B004EE">
        <w:rPr>
          <w:rFonts w:ascii="Tahoma" w:hAnsi="Tahoma" w:cs="Tahoma"/>
          <w:sz w:val="20"/>
          <w:szCs w:val="20"/>
        </w:rPr>
        <w:t xml:space="preserve"> </w:t>
      </w:r>
      <w:r w:rsidRPr="00B004EE">
        <w:rPr>
          <w:rFonts w:ascii="Tahoma" w:hAnsi="Tahoma" w:cs="Tahoma"/>
          <w:sz w:val="20"/>
          <w:szCs w:val="20"/>
        </w:rPr>
        <w:t>respectueux</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l'hygiène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documents</w:t>
      </w:r>
      <w:r w:rsidR="00DB1635" w:rsidRPr="00B004EE">
        <w:rPr>
          <w:rFonts w:ascii="Tahoma" w:hAnsi="Tahoma" w:cs="Tahoma"/>
          <w:sz w:val="20"/>
          <w:szCs w:val="20"/>
        </w:rPr>
        <w:t xml:space="preserve"> </w:t>
      </w:r>
      <w:r w:rsidRPr="00B004EE">
        <w:rPr>
          <w:rFonts w:ascii="Tahoma" w:hAnsi="Tahoma" w:cs="Tahoma"/>
          <w:sz w:val="20"/>
          <w:szCs w:val="20"/>
        </w:rPr>
        <w:t>sanitaires</w:t>
      </w:r>
      <w:r w:rsidR="00DB1635" w:rsidRPr="00B004EE">
        <w:rPr>
          <w:rFonts w:ascii="Tahoma" w:hAnsi="Tahoma" w:cs="Tahoma"/>
          <w:sz w:val="20"/>
          <w:szCs w:val="20"/>
        </w:rPr>
        <w:t xml:space="preserve"> </w:t>
      </w:r>
      <w:r w:rsidRPr="00B004EE">
        <w:rPr>
          <w:rFonts w:ascii="Tahoma" w:hAnsi="Tahoma" w:cs="Tahoma"/>
          <w:sz w:val="20"/>
          <w:szCs w:val="20"/>
        </w:rPr>
        <w:t>tenus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jour.</w:t>
      </w:r>
    </w:p>
    <w:p w14:paraId="253F6FF2" w14:textId="77777777" w:rsidR="002F24E1" w:rsidRPr="00B004EE" w:rsidRDefault="002F24E1" w:rsidP="00B004EE">
      <w:pPr>
        <w:jc w:val="both"/>
        <w:rPr>
          <w:rFonts w:ascii="Tahoma" w:hAnsi="Tahoma" w:cs="Tahoma"/>
          <w:sz w:val="20"/>
          <w:szCs w:val="20"/>
        </w:rPr>
      </w:pPr>
    </w:p>
    <w:p w14:paraId="28F6E5F9" w14:textId="513F6CBD" w:rsidR="002F24E1" w:rsidRPr="00B004EE" w:rsidRDefault="002F24E1" w:rsidP="00B004EE">
      <w:pPr>
        <w:tabs>
          <w:tab w:val="left" w:pos="567"/>
          <w:tab w:val="left" w:pos="2268"/>
        </w:tabs>
        <w:jc w:val="center"/>
        <w:rPr>
          <w:rFonts w:ascii="Tahoma" w:hAnsi="Tahoma" w:cs="Tahoma"/>
          <w:b/>
          <w:sz w:val="20"/>
          <w:szCs w:val="20"/>
        </w:rPr>
      </w:pPr>
      <w:r w:rsidRPr="00B004EE">
        <w:rPr>
          <w:rFonts w:ascii="Tahoma" w:hAnsi="Tahoma" w:cs="Tahoma"/>
          <w:b/>
          <w:sz w:val="20"/>
          <w:szCs w:val="20"/>
        </w:rPr>
        <w:t>CHAPITRE</w:t>
      </w:r>
      <w:r w:rsidR="00DB1635" w:rsidRPr="00B004EE">
        <w:rPr>
          <w:rFonts w:ascii="Tahoma" w:hAnsi="Tahoma" w:cs="Tahoma"/>
          <w:b/>
          <w:sz w:val="20"/>
          <w:szCs w:val="20"/>
        </w:rPr>
        <w:t xml:space="preserve"> </w:t>
      </w:r>
      <w:r w:rsidRPr="00B004EE">
        <w:rPr>
          <w:rFonts w:ascii="Tahoma" w:hAnsi="Tahoma" w:cs="Tahoma"/>
          <w:b/>
          <w:sz w:val="20"/>
          <w:szCs w:val="20"/>
        </w:rPr>
        <w:t>III</w:t>
      </w:r>
      <w:r w:rsidR="00DB1635" w:rsidRPr="00B004EE">
        <w:rPr>
          <w:rFonts w:ascii="Tahoma" w:hAnsi="Tahoma" w:cs="Tahoma"/>
          <w:b/>
          <w:sz w:val="20"/>
          <w:szCs w:val="20"/>
        </w:rPr>
        <w:t xml:space="preserve"> </w:t>
      </w:r>
      <w:r w:rsidRPr="00B004EE">
        <w:rPr>
          <w:rFonts w:ascii="Tahoma" w:hAnsi="Tahoma" w:cs="Tahoma"/>
          <w:b/>
          <w:sz w:val="20"/>
          <w:szCs w:val="20"/>
        </w:rPr>
        <w:t>:</w:t>
      </w:r>
      <w:r w:rsidR="00DB1635" w:rsidRPr="00B004EE">
        <w:rPr>
          <w:rFonts w:ascii="Tahoma" w:hAnsi="Tahoma" w:cs="Tahoma"/>
          <w:b/>
          <w:sz w:val="20"/>
          <w:szCs w:val="20"/>
        </w:rPr>
        <w:t xml:space="preserve"> </w:t>
      </w:r>
      <w:r w:rsidRPr="00B004EE">
        <w:rPr>
          <w:rFonts w:ascii="Tahoma" w:hAnsi="Tahoma" w:cs="Tahoma"/>
          <w:b/>
          <w:sz w:val="20"/>
          <w:szCs w:val="20"/>
        </w:rPr>
        <w:t>MARQUES</w:t>
      </w:r>
      <w:r w:rsidR="00DB1635" w:rsidRPr="00B004EE">
        <w:rPr>
          <w:rFonts w:ascii="Tahoma" w:hAnsi="Tahoma" w:cs="Tahoma"/>
          <w:b/>
          <w:sz w:val="20"/>
          <w:szCs w:val="20"/>
        </w:rPr>
        <w:t xml:space="preserve"> </w:t>
      </w:r>
      <w:r w:rsidRPr="00B004EE">
        <w:rPr>
          <w:rFonts w:ascii="Tahoma" w:hAnsi="Tahoma" w:cs="Tahoma"/>
          <w:b/>
          <w:sz w:val="20"/>
          <w:szCs w:val="20"/>
        </w:rPr>
        <w:t>SANITAIRES</w:t>
      </w:r>
    </w:p>
    <w:p w14:paraId="3528A174" w14:textId="4640F3CC" w:rsidR="002F24E1" w:rsidRPr="00B004EE" w:rsidRDefault="00AD7D88" w:rsidP="00B004EE">
      <w:pPr>
        <w:jc w:val="both"/>
        <w:rPr>
          <w:rFonts w:ascii="Tahoma" w:hAnsi="Tahoma" w:cs="Tahoma"/>
          <w:sz w:val="20"/>
          <w:szCs w:val="20"/>
        </w:rPr>
      </w:pPr>
      <w:r w:rsidRPr="00B004EE">
        <w:rPr>
          <w:rFonts w:ascii="Tahoma" w:hAnsi="Tahoma" w:cs="Tahoma"/>
          <w:bCs/>
          <w:sz w:val="20"/>
          <w:szCs w:val="20"/>
        </w:rPr>
        <w:t xml:space="preserve">Article </w:t>
      </w:r>
      <w:r w:rsidR="002F24E1" w:rsidRPr="00B004EE">
        <w:rPr>
          <w:rFonts w:ascii="Tahoma" w:hAnsi="Tahoma" w:cs="Tahoma"/>
          <w:bCs/>
          <w:sz w:val="20"/>
          <w:szCs w:val="20"/>
        </w:rPr>
        <w:t>46</w:t>
      </w:r>
      <w:r w:rsidR="00DB1635" w:rsidRPr="00B004EE">
        <w:rPr>
          <w:rFonts w:ascii="Tahoma" w:hAnsi="Tahoma" w:cs="Tahoma"/>
          <w:b/>
          <w:sz w:val="20"/>
          <w:szCs w:val="20"/>
        </w:rPr>
        <w:t xml:space="preserve"> </w:t>
      </w:r>
      <w:r w:rsidR="002F24E1" w:rsidRPr="00B004EE">
        <w:rPr>
          <w:rFonts w:ascii="Tahoma" w:hAnsi="Tahoma" w:cs="Tahoma"/>
          <w:b/>
          <w:sz w:val="20"/>
          <w:szCs w:val="20"/>
        </w:rPr>
        <w:t>:</w:t>
      </w:r>
      <w:r w:rsidR="00DB1635" w:rsidRPr="00B004EE">
        <w:rPr>
          <w:rFonts w:ascii="Tahoma" w:hAnsi="Tahoma" w:cs="Tahoma"/>
          <w:b/>
          <w:sz w:val="20"/>
          <w:szCs w:val="20"/>
        </w:rPr>
        <w:t xml:space="preserve"> </w:t>
      </w:r>
      <w:r w:rsidR="002F24E1" w:rsidRPr="00B004EE">
        <w:rPr>
          <w:rFonts w:ascii="Tahoma" w:hAnsi="Tahoma" w:cs="Tahoma"/>
          <w:sz w:val="20"/>
          <w:szCs w:val="20"/>
        </w:rPr>
        <w:t>Une</w:t>
      </w:r>
      <w:r w:rsidR="00DB1635" w:rsidRPr="00B004EE">
        <w:rPr>
          <w:rFonts w:ascii="Tahoma" w:hAnsi="Tahoma" w:cs="Tahoma"/>
          <w:sz w:val="20"/>
          <w:szCs w:val="20"/>
        </w:rPr>
        <w:t xml:space="preserve"> </w:t>
      </w:r>
      <w:r w:rsidR="002F24E1" w:rsidRPr="00B004EE">
        <w:rPr>
          <w:rFonts w:ascii="Tahoma" w:hAnsi="Tahoma" w:cs="Tahoma"/>
          <w:sz w:val="20"/>
          <w:szCs w:val="20"/>
        </w:rPr>
        <w:t>marque</w:t>
      </w:r>
      <w:r w:rsidR="00DB1635" w:rsidRPr="00B004EE">
        <w:rPr>
          <w:rFonts w:ascii="Tahoma" w:hAnsi="Tahoma" w:cs="Tahoma"/>
          <w:sz w:val="20"/>
          <w:szCs w:val="20"/>
        </w:rPr>
        <w:t xml:space="preserve"> </w:t>
      </w:r>
      <w:r w:rsidR="002F24E1" w:rsidRPr="00B004EE">
        <w:rPr>
          <w:rFonts w:ascii="Tahoma" w:hAnsi="Tahoma" w:cs="Tahoma"/>
          <w:sz w:val="20"/>
          <w:szCs w:val="20"/>
        </w:rPr>
        <w:t>sanitaire</w:t>
      </w:r>
      <w:r w:rsidR="00DB1635" w:rsidRPr="00B004EE">
        <w:rPr>
          <w:rFonts w:ascii="Tahoma" w:hAnsi="Tahoma" w:cs="Tahoma"/>
          <w:sz w:val="20"/>
          <w:szCs w:val="20"/>
        </w:rPr>
        <w:t xml:space="preserve"> </w:t>
      </w:r>
      <w:r w:rsidR="002F24E1" w:rsidRPr="00B004EE">
        <w:rPr>
          <w:rFonts w:ascii="Tahoma" w:hAnsi="Tahoma" w:cs="Tahoma"/>
          <w:sz w:val="20"/>
          <w:szCs w:val="20"/>
        </w:rPr>
        <w:t>comportant</w:t>
      </w:r>
      <w:r w:rsidR="00DB1635" w:rsidRPr="00B004EE">
        <w:rPr>
          <w:rFonts w:ascii="Tahoma" w:hAnsi="Tahoma" w:cs="Tahoma"/>
          <w:sz w:val="20"/>
          <w:szCs w:val="20"/>
        </w:rPr>
        <w:t xml:space="preserve"> </w:t>
      </w:r>
      <w:r w:rsidR="002F24E1" w:rsidRPr="00B004EE">
        <w:rPr>
          <w:rFonts w:ascii="Tahoma" w:hAnsi="Tahoma" w:cs="Tahoma"/>
          <w:sz w:val="20"/>
          <w:szCs w:val="20"/>
        </w:rPr>
        <w:t>l'identification</w:t>
      </w:r>
      <w:r w:rsidR="00DB1635" w:rsidRPr="00B004EE">
        <w:rPr>
          <w:rFonts w:ascii="Tahoma" w:hAnsi="Tahoma" w:cs="Tahoma"/>
          <w:sz w:val="20"/>
          <w:szCs w:val="20"/>
        </w:rPr>
        <w:t xml:space="preserve"> </w:t>
      </w:r>
      <w:r w:rsidR="002F24E1" w:rsidRPr="00B004EE">
        <w:rPr>
          <w:rFonts w:ascii="Tahoma" w:hAnsi="Tahoma" w:cs="Tahoma"/>
          <w:sz w:val="20"/>
          <w:szCs w:val="20"/>
        </w:rPr>
        <w:t>du</w:t>
      </w:r>
      <w:r w:rsidR="00DB1635" w:rsidRPr="00B004EE">
        <w:rPr>
          <w:rFonts w:ascii="Tahoma" w:hAnsi="Tahoma" w:cs="Tahoma"/>
          <w:sz w:val="20"/>
          <w:szCs w:val="20"/>
        </w:rPr>
        <w:t xml:space="preserve"> </w:t>
      </w:r>
      <w:r w:rsidR="002F24E1" w:rsidRPr="00B004EE">
        <w:rPr>
          <w:rFonts w:ascii="Tahoma" w:hAnsi="Tahoma" w:cs="Tahoma"/>
          <w:sz w:val="20"/>
          <w:szCs w:val="20"/>
        </w:rPr>
        <w:t>navire</w:t>
      </w:r>
      <w:r w:rsidR="00DB1635" w:rsidRPr="00B004EE">
        <w:rPr>
          <w:rFonts w:ascii="Tahoma" w:hAnsi="Tahoma" w:cs="Tahoma"/>
          <w:sz w:val="20"/>
          <w:szCs w:val="20"/>
        </w:rPr>
        <w:t xml:space="preserve"> </w:t>
      </w:r>
      <w:r w:rsidR="002F24E1" w:rsidRPr="00B004EE">
        <w:rPr>
          <w:rFonts w:ascii="Tahoma" w:hAnsi="Tahoma" w:cs="Tahoma"/>
          <w:sz w:val="20"/>
          <w:szCs w:val="20"/>
        </w:rPr>
        <w:t>congélateur</w:t>
      </w:r>
      <w:r w:rsidR="00DB1635" w:rsidRPr="00B004EE">
        <w:rPr>
          <w:rFonts w:ascii="Tahoma" w:hAnsi="Tahoma" w:cs="Tahoma"/>
          <w:sz w:val="20"/>
          <w:szCs w:val="20"/>
        </w:rPr>
        <w:t xml:space="preserve"> </w:t>
      </w:r>
      <w:r w:rsidR="002F24E1" w:rsidRPr="00B004EE">
        <w:rPr>
          <w:rFonts w:ascii="Tahoma" w:hAnsi="Tahoma" w:cs="Tahoma"/>
          <w:sz w:val="20"/>
          <w:szCs w:val="20"/>
        </w:rPr>
        <w:t>ou</w:t>
      </w:r>
      <w:r w:rsidR="00DB1635" w:rsidRPr="00B004EE">
        <w:rPr>
          <w:rFonts w:ascii="Tahoma" w:hAnsi="Tahoma" w:cs="Tahoma"/>
          <w:sz w:val="20"/>
          <w:szCs w:val="20"/>
        </w:rPr>
        <w:t xml:space="preserve"> </w:t>
      </w:r>
      <w:r w:rsidR="002F24E1" w:rsidRPr="00B004EE">
        <w:rPr>
          <w:rFonts w:ascii="Tahoma" w:hAnsi="Tahoma" w:cs="Tahoma"/>
          <w:sz w:val="20"/>
          <w:szCs w:val="20"/>
        </w:rPr>
        <w:t>du</w:t>
      </w:r>
      <w:r w:rsidR="00DB1635" w:rsidRPr="00B004EE">
        <w:rPr>
          <w:rFonts w:ascii="Tahoma" w:hAnsi="Tahoma" w:cs="Tahoma"/>
          <w:sz w:val="20"/>
          <w:szCs w:val="20"/>
        </w:rPr>
        <w:t xml:space="preserve"> </w:t>
      </w:r>
      <w:r w:rsidR="002F24E1" w:rsidRPr="00B004EE">
        <w:rPr>
          <w:rFonts w:ascii="Tahoma" w:hAnsi="Tahoma" w:cs="Tahoma"/>
          <w:sz w:val="20"/>
          <w:szCs w:val="20"/>
        </w:rPr>
        <w:t>navire-usine</w:t>
      </w:r>
      <w:r w:rsidR="00DB1635" w:rsidRPr="00B004EE">
        <w:rPr>
          <w:rFonts w:ascii="Tahoma" w:hAnsi="Tahoma" w:cs="Tahoma"/>
          <w:sz w:val="20"/>
          <w:szCs w:val="20"/>
        </w:rPr>
        <w:t xml:space="preserve"> </w:t>
      </w:r>
      <w:r w:rsidR="002F24E1" w:rsidRPr="00B004EE">
        <w:rPr>
          <w:rFonts w:ascii="Tahoma" w:hAnsi="Tahoma" w:cs="Tahoma"/>
          <w:sz w:val="20"/>
          <w:szCs w:val="20"/>
        </w:rPr>
        <w:t>expéditeur</w:t>
      </w:r>
      <w:r w:rsidR="00DB1635" w:rsidRPr="00B004EE">
        <w:rPr>
          <w:rFonts w:ascii="Tahoma" w:hAnsi="Tahoma" w:cs="Tahoma"/>
          <w:sz w:val="20"/>
          <w:szCs w:val="20"/>
        </w:rPr>
        <w:t xml:space="preserve"> </w:t>
      </w:r>
      <w:r w:rsidR="002F24E1" w:rsidRPr="00B004EE">
        <w:rPr>
          <w:rFonts w:ascii="Tahoma" w:hAnsi="Tahoma" w:cs="Tahoma"/>
          <w:sz w:val="20"/>
          <w:szCs w:val="20"/>
        </w:rPr>
        <w:t>des</w:t>
      </w:r>
      <w:r w:rsidR="00DB1635" w:rsidRPr="00B004EE">
        <w:rPr>
          <w:rFonts w:ascii="Tahoma" w:hAnsi="Tahoma" w:cs="Tahoma"/>
          <w:sz w:val="20"/>
          <w:szCs w:val="20"/>
        </w:rPr>
        <w:t xml:space="preserve"> </w:t>
      </w:r>
      <w:r w:rsidR="002F24E1" w:rsidRPr="00B004EE">
        <w:rPr>
          <w:rFonts w:ascii="Tahoma" w:hAnsi="Tahoma" w:cs="Tahoma"/>
          <w:sz w:val="20"/>
          <w:szCs w:val="20"/>
        </w:rPr>
        <w:t>produits</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la</w:t>
      </w:r>
      <w:r w:rsidR="00DB1635" w:rsidRPr="00B004EE">
        <w:rPr>
          <w:rFonts w:ascii="Tahoma" w:hAnsi="Tahoma" w:cs="Tahoma"/>
          <w:sz w:val="20"/>
          <w:szCs w:val="20"/>
        </w:rPr>
        <w:t xml:space="preserve"> </w:t>
      </w:r>
      <w:r w:rsidR="002F24E1" w:rsidRPr="00B004EE">
        <w:rPr>
          <w:rFonts w:ascii="Tahoma" w:hAnsi="Tahoma" w:cs="Tahoma"/>
          <w:sz w:val="20"/>
          <w:szCs w:val="20"/>
        </w:rPr>
        <w:t>pêche</w:t>
      </w:r>
      <w:r w:rsidR="00DB1635" w:rsidRPr="00B004EE">
        <w:rPr>
          <w:rFonts w:ascii="Tahoma" w:hAnsi="Tahoma" w:cs="Tahoma"/>
          <w:sz w:val="20"/>
          <w:szCs w:val="20"/>
        </w:rPr>
        <w:t xml:space="preserve"> </w:t>
      </w:r>
      <w:r w:rsidR="002F24E1" w:rsidRPr="00B004EE">
        <w:rPr>
          <w:rFonts w:ascii="Tahoma" w:hAnsi="Tahoma" w:cs="Tahoma"/>
          <w:sz w:val="20"/>
          <w:szCs w:val="20"/>
        </w:rPr>
        <w:t>doit</w:t>
      </w:r>
      <w:r w:rsidR="00DB1635" w:rsidRPr="00B004EE">
        <w:rPr>
          <w:rFonts w:ascii="Tahoma" w:hAnsi="Tahoma" w:cs="Tahoma"/>
          <w:sz w:val="20"/>
          <w:szCs w:val="20"/>
        </w:rPr>
        <w:t xml:space="preserve"> </w:t>
      </w:r>
      <w:r w:rsidR="002F24E1" w:rsidRPr="00B004EE">
        <w:rPr>
          <w:rFonts w:ascii="Tahoma" w:hAnsi="Tahoma" w:cs="Tahoma"/>
          <w:sz w:val="20"/>
          <w:szCs w:val="20"/>
        </w:rPr>
        <w:t>être</w:t>
      </w:r>
      <w:r w:rsidR="00DB1635" w:rsidRPr="00B004EE">
        <w:rPr>
          <w:rFonts w:ascii="Tahoma" w:hAnsi="Tahoma" w:cs="Tahoma"/>
          <w:sz w:val="20"/>
          <w:szCs w:val="20"/>
        </w:rPr>
        <w:t xml:space="preserve"> </w:t>
      </w:r>
      <w:r w:rsidR="007127C2" w:rsidRPr="00B004EE">
        <w:rPr>
          <w:rFonts w:ascii="Tahoma" w:hAnsi="Tahoma" w:cs="Tahoma"/>
          <w:sz w:val="20"/>
          <w:szCs w:val="20"/>
        </w:rPr>
        <w:t>apposée :</w:t>
      </w:r>
    </w:p>
    <w:p w14:paraId="72C6B142" w14:textId="0112792F" w:rsidR="002F24E1" w:rsidRPr="00B004EE" w:rsidRDefault="002F24E1" w:rsidP="00B004EE">
      <w:pPr>
        <w:numPr>
          <w:ilvl w:val="0"/>
          <w:numId w:val="3"/>
        </w:numPr>
        <w:jc w:val="both"/>
        <w:rPr>
          <w:rFonts w:ascii="Tahoma" w:hAnsi="Tahoma" w:cs="Tahoma"/>
          <w:sz w:val="20"/>
          <w:szCs w:val="20"/>
        </w:rPr>
      </w:pPr>
      <w:proofErr w:type="gramStart"/>
      <w:r w:rsidRPr="00B004EE">
        <w:rPr>
          <w:rFonts w:ascii="Tahoma" w:hAnsi="Tahoma" w:cs="Tahoma"/>
          <w:sz w:val="20"/>
          <w:szCs w:val="20"/>
        </w:rPr>
        <w:t>sur</w:t>
      </w:r>
      <w:proofErr w:type="gramEnd"/>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emballages</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issus</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navire</w:t>
      </w:r>
      <w:r w:rsidR="00DB1635" w:rsidRPr="00B004EE">
        <w:rPr>
          <w:rFonts w:ascii="Tahoma" w:hAnsi="Tahoma" w:cs="Tahoma"/>
          <w:sz w:val="20"/>
          <w:szCs w:val="20"/>
        </w:rPr>
        <w:t xml:space="preserve"> </w:t>
      </w:r>
      <w:r w:rsidRPr="00B004EE">
        <w:rPr>
          <w:rFonts w:ascii="Tahoma" w:hAnsi="Tahoma" w:cs="Tahoma"/>
          <w:sz w:val="20"/>
          <w:szCs w:val="20"/>
        </w:rPr>
        <w:t>congélateur</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navire-usine</w:t>
      </w:r>
      <w:r w:rsidR="00DB1635" w:rsidRPr="00B004EE">
        <w:rPr>
          <w:rFonts w:ascii="Tahoma" w:hAnsi="Tahoma" w:cs="Tahoma"/>
          <w:sz w:val="20"/>
          <w:szCs w:val="20"/>
        </w:rPr>
        <w:t xml:space="preserve"> </w:t>
      </w:r>
      <w:r w:rsidRPr="00B004EE">
        <w:rPr>
          <w:rFonts w:ascii="Tahoma" w:hAnsi="Tahoma" w:cs="Tahoma"/>
          <w:sz w:val="20"/>
          <w:szCs w:val="20"/>
        </w:rPr>
        <w:t>concerné</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sur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conditionnements</w:t>
      </w:r>
      <w:r w:rsidR="00DB1635" w:rsidRPr="00B004EE">
        <w:rPr>
          <w:rFonts w:ascii="Tahoma" w:hAnsi="Tahoma" w:cs="Tahoma"/>
          <w:sz w:val="20"/>
          <w:szCs w:val="20"/>
        </w:rPr>
        <w:t xml:space="preserve"> </w:t>
      </w:r>
      <w:r w:rsidRPr="00B004EE">
        <w:rPr>
          <w:rFonts w:ascii="Tahoma" w:hAnsi="Tahoma" w:cs="Tahoma"/>
          <w:sz w:val="20"/>
          <w:szCs w:val="20"/>
        </w:rPr>
        <w:t>destinés</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consommateur</w:t>
      </w:r>
      <w:r w:rsidR="00DB1635" w:rsidRPr="00B004EE">
        <w:rPr>
          <w:rFonts w:ascii="Tahoma" w:hAnsi="Tahoma" w:cs="Tahoma"/>
          <w:sz w:val="20"/>
          <w:szCs w:val="20"/>
        </w:rPr>
        <w:t xml:space="preserve"> </w:t>
      </w:r>
      <w:r w:rsidRPr="00B004EE">
        <w:rPr>
          <w:rFonts w:ascii="Tahoma" w:hAnsi="Tahoma" w:cs="Tahoma"/>
          <w:sz w:val="20"/>
          <w:szCs w:val="20"/>
        </w:rPr>
        <w:t>final;</w:t>
      </w:r>
    </w:p>
    <w:p w14:paraId="4B8B342D" w14:textId="72BDC4C4" w:rsidR="002F24E1" w:rsidRPr="00B004EE" w:rsidRDefault="002F24E1" w:rsidP="00B004EE">
      <w:pPr>
        <w:numPr>
          <w:ilvl w:val="0"/>
          <w:numId w:val="3"/>
        </w:numPr>
        <w:jc w:val="both"/>
        <w:rPr>
          <w:rFonts w:ascii="Tahoma" w:hAnsi="Tahoma" w:cs="Tahoma"/>
          <w:sz w:val="20"/>
          <w:szCs w:val="20"/>
        </w:rPr>
      </w:pPr>
      <w:proofErr w:type="gramStart"/>
      <w:r w:rsidRPr="00B004EE">
        <w:rPr>
          <w:rFonts w:ascii="Tahoma" w:hAnsi="Tahoma" w:cs="Tahoma"/>
          <w:sz w:val="20"/>
          <w:szCs w:val="20"/>
        </w:rPr>
        <w:t>ou</w:t>
      </w:r>
      <w:proofErr w:type="gramEnd"/>
      <w:r w:rsidR="00DB1635" w:rsidRPr="00B004EE">
        <w:rPr>
          <w:rFonts w:ascii="Tahoma" w:hAnsi="Tahoma" w:cs="Tahoma"/>
          <w:sz w:val="20"/>
          <w:szCs w:val="20"/>
        </w:rPr>
        <w:t xml:space="preserve"> </w:t>
      </w:r>
      <w:r w:rsidRPr="00B004EE">
        <w:rPr>
          <w:rFonts w:ascii="Tahoma" w:hAnsi="Tahoma" w:cs="Tahoma"/>
          <w:sz w:val="20"/>
          <w:szCs w:val="20"/>
        </w:rPr>
        <w:t>sur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documents</w:t>
      </w:r>
      <w:r w:rsidR="00DB1635" w:rsidRPr="00B004EE">
        <w:rPr>
          <w:rFonts w:ascii="Tahoma" w:hAnsi="Tahoma" w:cs="Tahoma"/>
          <w:sz w:val="20"/>
          <w:szCs w:val="20"/>
        </w:rPr>
        <w:t xml:space="preserve"> </w:t>
      </w:r>
      <w:r w:rsidRPr="00B004EE">
        <w:rPr>
          <w:rFonts w:ascii="Tahoma" w:hAnsi="Tahoma" w:cs="Tahoma"/>
          <w:sz w:val="20"/>
          <w:szCs w:val="20"/>
        </w:rPr>
        <w:t>accompagnant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produits.</w:t>
      </w:r>
    </w:p>
    <w:p w14:paraId="365D7E49" w14:textId="77777777" w:rsidR="002F24E1" w:rsidRPr="00B004EE" w:rsidRDefault="002F24E1" w:rsidP="00B004EE">
      <w:pPr>
        <w:jc w:val="both"/>
        <w:rPr>
          <w:rFonts w:ascii="Tahoma" w:hAnsi="Tahoma" w:cs="Tahoma"/>
          <w:sz w:val="20"/>
          <w:szCs w:val="20"/>
        </w:rPr>
      </w:pPr>
    </w:p>
    <w:p w14:paraId="3BC28B7D" w14:textId="01DA3E0B" w:rsidR="002F24E1" w:rsidRPr="00B004EE" w:rsidRDefault="00AD7D88" w:rsidP="00B004EE">
      <w:pPr>
        <w:jc w:val="both"/>
        <w:rPr>
          <w:rFonts w:ascii="Tahoma" w:hAnsi="Tahoma" w:cs="Tahoma"/>
          <w:sz w:val="20"/>
          <w:szCs w:val="20"/>
        </w:rPr>
      </w:pPr>
      <w:r w:rsidRPr="00B004EE">
        <w:rPr>
          <w:rFonts w:ascii="Tahoma" w:hAnsi="Tahoma" w:cs="Tahoma"/>
          <w:bCs/>
          <w:sz w:val="20"/>
          <w:szCs w:val="20"/>
        </w:rPr>
        <w:t xml:space="preserve">Article </w:t>
      </w:r>
      <w:r w:rsidR="002F24E1" w:rsidRPr="00B004EE">
        <w:rPr>
          <w:rFonts w:ascii="Tahoma" w:hAnsi="Tahoma" w:cs="Tahoma"/>
          <w:bCs/>
          <w:sz w:val="20"/>
          <w:szCs w:val="20"/>
        </w:rPr>
        <w:t>47</w:t>
      </w:r>
      <w:r w:rsidR="00DB1635" w:rsidRPr="00B004EE">
        <w:rPr>
          <w:rFonts w:ascii="Tahoma" w:hAnsi="Tahoma" w:cs="Tahoma"/>
          <w:b/>
          <w:sz w:val="20"/>
          <w:szCs w:val="20"/>
        </w:rPr>
        <w:t xml:space="preserve"> </w:t>
      </w:r>
      <w:r w:rsidR="002F24E1" w:rsidRPr="00B004EE">
        <w:rPr>
          <w:rFonts w:ascii="Tahoma" w:hAnsi="Tahoma" w:cs="Tahoma"/>
          <w:b/>
          <w:sz w:val="20"/>
          <w:szCs w:val="20"/>
        </w:rPr>
        <w:t>:</w:t>
      </w:r>
      <w:r w:rsidR="00DB1635" w:rsidRPr="00B004EE">
        <w:rPr>
          <w:rFonts w:ascii="Tahoma" w:hAnsi="Tahoma" w:cs="Tahoma"/>
          <w:b/>
          <w:sz w:val="20"/>
          <w:szCs w:val="20"/>
        </w:rPr>
        <w:t xml:space="preserve"> </w:t>
      </w:r>
      <w:r w:rsidR="002F24E1" w:rsidRPr="00B004EE">
        <w:rPr>
          <w:rFonts w:ascii="Tahoma" w:hAnsi="Tahoma" w:cs="Tahoma"/>
          <w:sz w:val="20"/>
          <w:szCs w:val="20"/>
        </w:rPr>
        <w:t>Il</w:t>
      </w:r>
      <w:r w:rsidR="00DB1635" w:rsidRPr="00B004EE">
        <w:rPr>
          <w:rFonts w:ascii="Tahoma" w:hAnsi="Tahoma" w:cs="Tahoma"/>
          <w:sz w:val="20"/>
          <w:szCs w:val="20"/>
        </w:rPr>
        <w:t xml:space="preserve"> </w:t>
      </w:r>
      <w:r w:rsidR="002F24E1" w:rsidRPr="00B004EE">
        <w:rPr>
          <w:rFonts w:ascii="Tahoma" w:hAnsi="Tahoma" w:cs="Tahoma"/>
          <w:sz w:val="20"/>
          <w:szCs w:val="20"/>
        </w:rPr>
        <w:t>doit</w:t>
      </w:r>
      <w:r w:rsidR="00DB1635" w:rsidRPr="00B004EE">
        <w:rPr>
          <w:rFonts w:ascii="Tahoma" w:hAnsi="Tahoma" w:cs="Tahoma"/>
          <w:sz w:val="20"/>
          <w:szCs w:val="20"/>
        </w:rPr>
        <w:t xml:space="preserve"> </w:t>
      </w:r>
      <w:r w:rsidR="002F24E1" w:rsidRPr="00B004EE">
        <w:rPr>
          <w:rFonts w:ascii="Tahoma" w:hAnsi="Tahoma" w:cs="Tahoma"/>
          <w:sz w:val="20"/>
          <w:szCs w:val="20"/>
        </w:rPr>
        <w:t>être</w:t>
      </w:r>
      <w:r w:rsidR="00DB1635" w:rsidRPr="00B004EE">
        <w:rPr>
          <w:rFonts w:ascii="Tahoma" w:hAnsi="Tahoma" w:cs="Tahoma"/>
          <w:sz w:val="20"/>
          <w:szCs w:val="20"/>
        </w:rPr>
        <w:t xml:space="preserve"> </w:t>
      </w:r>
      <w:r w:rsidR="002F24E1" w:rsidRPr="00B004EE">
        <w:rPr>
          <w:rFonts w:ascii="Tahoma" w:hAnsi="Tahoma" w:cs="Tahoma"/>
          <w:sz w:val="20"/>
          <w:szCs w:val="20"/>
        </w:rPr>
        <w:t>possible</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retrouver,</w:t>
      </w:r>
      <w:r w:rsidR="00DB1635" w:rsidRPr="00B004EE">
        <w:rPr>
          <w:rFonts w:ascii="Tahoma" w:hAnsi="Tahoma" w:cs="Tahoma"/>
          <w:sz w:val="20"/>
          <w:szCs w:val="20"/>
        </w:rPr>
        <w:t xml:space="preserve"> </w:t>
      </w:r>
      <w:r w:rsidR="002F24E1" w:rsidRPr="00B004EE">
        <w:rPr>
          <w:rFonts w:ascii="Tahoma" w:hAnsi="Tahoma" w:cs="Tahoma"/>
          <w:sz w:val="20"/>
          <w:szCs w:val="20"/>
        </w:rPr>
        <w:t>à</w:t>
      </w:r>
      <w:r w:rsidR="00DB1635" w:rsidRPr="00B004EE">
        <w:rPr>
          <w:rFonts w:ascii="Tahoma" w:hAnsi="Tahoma" w:cs="Tahoma"/>
          <w:sz w:val="20"/>
          <w:szCs w:val="20"/>
        </w:rPr>
        <w:t xml:space="preserve"> </w:t>
      </w:r>
      <w:r w:rsidR="002F24E1" w:rsidRPr="00B004EE">
        <w:rPr>
          <w:rFonts w:ascii="Tahoma" w:hAnsi="Tahoma" w:cs="Tahoma"/>
          <w:sz w:val="20"/>
          <w:szCs w:val="20"/>
        </w:rPr>
        <w:t>des</w:t>
      </w:r>
      <w:r w:rsidR="00DB1635" w:rsidRPr="00B004EE">
        <w:rPr>
          <w:rFonts w:ascii="Tahoma" w:hAnsi="Tahoma" w:cs="Tahoma"/>
          <w:sz w:val="20"/>
          <w:szCs w:val="20"/>
        </w:rPr>
        <w:t xml:space="preserve"> </w:t>
      </w:r>
      <w:r w:rsidR="002F24E1" w:rsidRPr="00B004EE">
        <w:rPr>
          <w:rFonts w:ascii="Tahoma" w:hAnsi="Tahoma" w:cs="Tahoma"/>
          <w:sz w:val="20"/>
          <w:szCs w:val="20"/>
        </w:rPr>
        <w:t>fins</w:t>
      </w:r>
      <w:r w:rsidR="00DB1635" w:rsidRPr="00B004EE">
        <w:rPr>
          <w:rFonts w:ascii="Tahoma" w:hAnsi="Tahoma" w:cs="Tahoma"/>
          <w:sz w:val="20"/>
          <w:szCs w:val="20"/>
        </w:rPr>
        <w:t xml:space="preserve"> </w:t>
      </w:r>
      <w:r w:rsidR="002F24E1" w:rsidRPr="00B004EE">
        <w:rPr>
          <w:rFonts w:ascii="Tahoma" w:hAnsi="Tahoma" w:cs="Tahoma"/>
          <w:sz w:val="20"/>
          <w:szCs w:val="20"/>
        </w:rPr>
        <w:t>d'inspection,</w:t>
      </w:r>
      <w:r w:rsidR="00DB1635" w:rsidRPr="00B004EE">
        <w:rPr>
          <w:rFonts w:ascii="Tahoma" w:hAnsi="Tahoma" w:cs="Tahoma"/>
          <w:sz w:val="20"/>
          <w:szCs w:val="20"/>
        </w:rPr>
        <w:t xml:space="preserve"> </w:t>
      </w:r>
      <w:r w:rsidR="002F24E1" w:rsidRPr="00B004EE">
        <w:rPr>
          <w:rFonts w:ascii="Tahoma" w:hAnsi="Tahoma" w:cs="Tahoma"/>
          <w:sz w:val="20"/>
          <w:szCs w:val="20"/>
        </w:rPr>
        <w:t>le</w:t>
      </w:r>
      <w:r w:rsidR="00DB1635" w:rsidRPr="00B004EE">
        <w:rPr>
          <w:rFonts w:ascii="Tahoma" w:hAnsi="Tahoma" w:cs="Tahoma"/>
          <w:sz w:val="20"/>
          <w:szCs w:val="20"/>
        </w:rPr>
        <w:t xml:space="preserve"> </w:t>
      </w:r>
      <w:r w:rsidR="002F24E1" w:rsidRPr="00B004EE">
        <w:rPr>
          <w:rFonts w:ascii="Tahoma" w:hAnsi="Tahoma" w:cs="Tahoma"/>
          <w:sz w:val="20"/>
          <w:szCs w:val="20"/>
        </w:rPr>
        <w:t>navire</w:t>
      </w:r>
      <w:r w:rsidR="00DB1635" w:rsidRPr="00B004EE">
        <w:rPr>
          <w:rFonts w:ascii="Tahoma" w:hAnsi="Tahoma" w:cs="Tahoma"/>
          <w:sz w:val="20"/>
          <w:szCs w:val="20"/>
        </w:rPr>
        <w:t xml:space="preserve"> </w:t>
      </w:r>
      <w:r w:rsidR="002F24E1" w:rsidRPr="00B004EE">
        <w:rPr>
          <w:rFonts w:ascii="Tahoma" w:hAnsi="Tahoma" w:cs="Tahoma"/>
          <w:sz w:val="20"/>
          <w:szCs w:val="20"/>
        </w:rPr>
        <w:t>expéditeur</w:t>
      </w:r>
      <w:r w:rsidR="00DB1635" w:rsidRPr="00B004EE">
        <w:rPr>
          <w:rFonts w:ascii="Tahoma" w:hAnsi="Tahoma" w:cs="Tahoma"/>
          <w:sz w:val="20"/>
          <w:szCs w:val="20"/>
        </w:rPr>
        <w:t xml:space="preserve"> </w:t>
      </w:r>
      <w:r w:rsidR="002F24E1" w:rsidRPr="00B004EE">
        <w:rPr>
          <w:rFonts w:ascii="Tahoma" w:hAnsi="Tahoma" w:cs="Tahoma"/>
          <w:sz w:val="20"/>
          <w:szCs w:val="20"/>
        </w:rPr>
        <w:t>des</w:t>
      </w:r>
      <w:r w:rsidR="00DB1635" w:rsidRPr="00B004EE">
        <w:rPr>
          <w:rFonts w:ascii="Tahoma" w:hAnsi="Tahoma" w:cs="Tahoma"/>
          <w:sz w:val="20"/>
          <w:szCs w:val="20"/>
        </w:rPr>
        <w:t xml:space="preserve"> </w:t>
      </w:r>
      <w:r w:rsidR="002F24E1" w:rsidRPr="00B004EE">
        <w:rPr>
          <w:rFonts w:ascii="Tahoma" w:hAnsi="Tahoma" w:cs="Tahoma"/>
          <w:sz w:val="20"/>
          <w:szCs w:val="20"/>
        </w:rPr>
        <w:t>produits</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la</w:t>
      </w:r>
      <w:r w:rsidR="00DB1635" w:rsidRPr="00B004EE">
        <w:rPr>
          <w:rFonts w:ascii="Tahoma" w:hAnsi="Tahoma" w:cs="Tahoma"/>
          <w:sz w:val="20"/>
          <w:szCs w:val="20"/>
        </w:rPr>
        <w:t xml:space="preserve"> </w:t>
      </w:r>
      <w:r w:rsidR="002F24E1" w:rsidRPr="00B004EE">
        <w:rPr>
          <w:rFonts w:ascii="Tahoma" w:hAnsi="Tahoma" w:cs="Tahoma"/>
          <w:sz w:val="20"/>
          <w:szCs w:val="20"/>
        </w:rPr>
        <w:t>pêche</w:t>
      </w:r>
      <w:r w:rsidR="00DB1635" w:rsidRPr="00B004EE">
        <w:rPr>
          <w:rFonts w:ascii="Tahoma" w:hAnsi="Tahoma" w:cs="Tahoma"/>
          <w:sz w:val="20"/>
          <w:szCs w:val="20"/>
        </w:rPr>
        <w:t xml:space="preserve"> </w:t>
      </w:r>
      <w:r w:rsidR="002F24E1" w:rsidRPr="00B004EE">
        <w:rPr>
          <w:rFonts w:ascii="Tahoma" w:hAnsi="Tahoma" w:cs="Tahoma"/>
          <w:sz w:val="20"/>
          <w:szCs w:val="20"/>
        </w:rPr>
        <w:t>par</w:t>
      </w:r>
      <w:r w:rsidR="00DB1635" w:rsidRPr="00B004EE">
        <w:rPr>
          <w:rFonts w:ascii="Tahoma" w:hAnsi="Tahoma" w:cs="Tahoma"/>
          <w:sz w:val="20"/>
          <w:szCs w:val="20"/>
        </w:rPr>
        <w:t xml:space="preserve"> </w:t>
      </w:r>
      <w:r w:rsidR="002F24E1" w:rsidRPr="00B004EE">
        <w:rPr>
          <w:rFonts w:ascii="Tahoma" w:hAnsi="Tahoma" w:cs="Tahoma"/>
          <w:sz w:val="20"/>
          <w:szCs w:val="20"/>
        </w:rPr>
        <w:t>le</w:t>
      </w:r>
      <w:r w:rsidR="00DB1635" w:rsidRPr="00B004EE">
        <w:rPr>
          <w:rFonts w:ascii="Tahoma" w:hAnsi="Tahoma" w:cs="Tahoma"/>
          <w:sz w:val="20"/>
          <w:szCs w:val="20"/>
        </w:rPr>
        <w:t xml:space="preserve"> </w:t>
      </w:r>
      <w:r w:rsidR="002F24E1" w:rsidRPr="00B004EE">
        <w:rPr>
          <w:rFonts w:ascii="Tahoma" w:hAnsi="Tahoma" w:cs="Tahoma"/>
          <w:sz w:val="20"/>
          <w:szCs w:val="20"/>
        </w:rPr>
        <w:t>marquage</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/ou</w:t>
      </w:r>
      <w:r w:rsidR="00DB1635" w:rsidRPr="00B004EE">
        <w:rPr>
          <w:rFonts w:ascii="Tahoma" w:hAnsi="Tahoma" w:cs="Tahoma"/>
          <w:sz w:val="20"/>
          <w:szCs w:val="20"/>
        </w:rPr>
        <w:t xml:space="preserve"> </w:t>
      </w:r>
      <w:r w:rsidR="002F24E1" w:rsidRPr="00B004EE">
        <w:rPr>
          <w:rFonts w:ascii="Tahoma" w:hAnsi="Tahoma" w:cs="Tahoma"/>
          <w:sz w:val="20"/>
          <w:szCs w:val="20"/>
        </w:rPr>
        <w:t>par</w:t>
      </w:r>
      <w:r w:rsidR="00DB1635" w:rsidRPr="00B004EE">
        <w:rPr>
          <w:rFonts w:ascii="Tahoma" w:hAnsi="Tahoma" w:cs="Tahoma"/>
          <w:sz w:val="20"/>
          <w:szCs w:val="20"/>
        </w:rPr>
        <w:t xml:space="preserve"> </w:t>
      </w:r>
      <w:r w:rsidR="002F24E1" w:rsidRPr="00B004EE">
        <w:rPr>
          <w:rFonts w:ascii="Tahoma" w:hAnsi="Tahoma" w:cs="Tahoma"/>
          <w:sz w:val="20"/>
          <w:szCs w:val="20"/>
        </w:rPr>
        <w:t>des</w:t>
      </w:r>
      <w:r w:rsidR="00DB1635" w:rsidRPr="00B004EE">
        <w:rPr>
          <w:rFonts w:ascii="Tahoma" w:hAnsi="Tahoma" w:cs="Tahoma"/>
          <w:sz w:val="20"/>
          <w:szCs w:val="20"/>
        </w:rPr>
        <w:t xml:space="preserve"> </w:t>
      </w:r>
      <w:r w:rsidR="002F24E1" w:rsidRPr="00B004EE">
        <w:rPr>
          <w:rFonts w:ascii="Tahoma" w:hAnsi="Tahoma" w:cs="Tahoma"/>
          <w:sz w:val="20"/>
          <w:szCs w:val="20"/>
        </w:rPr>
        <w:t>documents</w:t>
      </w:r>
      <w:r w:rsidR="00DB1635" w:rsidRPr="00B004EE">
        <w:rPr>
          <w:rFonts w:ascii="Tahoma" w:hAnsi="Tahoma" w:cs="Tahoma"/>
          <w:sz w:val="20"/>
          <w:szCs w:val="20"/>
        </w:rPr>
        <w:t xml:space="preserve"> </w:t>
      </w:r>
      <w:r w:rsidR="002F24E1" w:rsidRPr="00B004EE">
        <w:rPr>
          <w:rFonts w:ascii="Tahoma" w:hAnsi="Tahoma" w:cs="Tahoma"/>
          <w:sz w:val="20"/>
          <w:szCs w:val="20"/>
        </w:rPr>
        <w:t>d'accompagnement,</w:t>
      </w:r>
      <w:r w:rsidR="00DB1635" w:rsidRPr="00B004EE">
        <w:rPr>
          <w:rFonts w:ascii="Tahoma" w:hAnsi="Tahoma" w:cs="Tahoma"/>
          <w:sz w:val="20"/>
          <w:szCs w:val="20"/>
        </w:rPr>
        <w:t xml:space="preserve"> </w:t>
      </w:r>
      <w:r w:rsidR="002F24E1" w:rsidRPr="00B004EE">
        <w:rPr>
          <w:rFonts w:ascii="Tahoma" w:hAnsi="Tahoma" w:cs="Tahoma"/>
          <w:sz w:val="20"/>
          <w:szCs w:val="20"/>
        </w:rPr>
        <w:t>sur</w:t>
      </w:r>
      <w:r w:rsidR="00DB1635" w:rsidRPr="00B004EE">
        <w:rPr>
          <w:rFonts w:ascii="Tahoma" w:hAnsi="Tahoma" w:cs="Tahoma"/>
          <w:sz w:val="20"/>
          <w:szCs w:val="20"/>
        </w:rPr>
        <w:t xml:space="preserve"> </w:t>
      </w:r>
      <w:r w:rsidR="002F24E1" w:rsidRPr="00B004EE">
        <w:rPr>
          <w:rFonts w:ascii="Tahoma" w:hAnsi="Tahoma" w:cs="Tahoma"/>
          <w:sz w:val="20"/>
          <w:szCs w:val="20"/>
        </w:rPr>
        <w:t>lesquels</w:t>
      </w:r>
      <w:r w:rsidR="00DB1635" w:rsidRPr="00B004EE">
        <w:rPr>
          <w:rFonts w:ascii="Tahoma" w:hAnsi="Tahoma" w:cs="Tahoma"/>
          <w:sz w:val="20"/>
          <w:szCs w:val="20"/>
        </w:rPr>
        <w:t xml:space="preserve"> </w:t>
      </w:r>
      <w:r w:rsidR="002F24E1" w:rsidRPr="00B004EE">
        <w:rPr>
          <w:rFonts w:ascii="Tahoma" w:hAnsi="Tahoma" w:cs="Tahoma"/>
          <w:sz w:val="20"/>
          <w:szCs w:val="20"/>
        </w:rPr>
        <w:t>doivent</w:t>
      </w:r>
      <w:r w:rsidR="00DB1635" w:rsidRPr="00B004EE">
        <w:rPr>
          <w:rFonts w:ascii="Tahoma" w:hAnsi="Tahoma" w:cs="Tahoma"/>
          <w:sz w:val="20"/>
          <w:szCs w:val="20"/>
        </w:rPr>
        <w:t xml:space="preserve"> </w:t>
      </w:r>
      <w:r w:rsidR="002F24E1" w:rsidRPr="00B004EE">
        <w:rPr>
          <w:rFonts w:ascii="Tahoma" w:hAnsi="Tahoma" w:cs="Tahoma"/>
          <w:sz w:val="20"/>
          <w:szCs w:val="20"/>
        </w:rPr>
        <w:t>figurer</w:t>
      </w:r>
      <w:r w:rsidR="00DB1635" w:rsidRPr="00B004EE">
        <w:rPr>
          <w:rFonts w:ascii="Tahoma" w:hAnsi="Tahoma" w:cs="Tahoma"/>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2F24E1" w:rsidRPr="00B004EE">
        <w:rPr>
          <w:rFonts w:ascii="Tahoma" w:hAnsi="Tahoma" w:cs="Tahoma"/>
          <w:sz w:val="20"/>
          <w:szCs w:val="20"/>
        </w:rPr>
        <w:t>informations</w:t>
      </w:r>
      <w:r w:rsidR="00DB1635" w:rsidRPr="00B004EE">
        <w:rPr>
          <w:rFonts w:ascii="Tahoma" w:hAnsi="Tahoma" w:cs="Tahoma"/>
          <w:sz w:val="20"/>
          <w:szCs w:val="20"/>
        </w:rPr>
        <w:t xml:space="preserve"> </w:t>
      </w:r>
      <w:r w:rsidR="007127C2" w:rsidRPr="00B004EE">
        <w:rPr>
          <w:rFonts w:ascii="Tahoma" w:hAnsi="Tahoma" w:cs="Tahoma"/>
          <w:sz w:val="20"/>
          <w:szCs w:val="20"/>
        </w:rPr>
        <w:t>suivantes :</w:t>
      </w:r>
    </w:p>
    <w:p w14:paraId="316E1380" w14:textId="3E194839" w:rsidR="002F24E1" w:rsidRPr="00B004EE" w:rsidRDefault="002F24E1" w:rsidP="00B004EE">
      <w:pPr>
        <w:numPr>
          <w:ilvl w:val="0"/>
          <w:numId w:val="3"/>
        </w:numPr>
        <w:jc w:val="both"/>
        <w:rPr>
          <w:rFonts w:ascii="Tahoma" w:hAnsi="Tahoma" w:cs="Tahoma"/>
          <w:sz w:val="20"/>
          <w:szCs w:val="20"/>
        </w:rPr>
      </w:pPr>
      <w:proofErr w:type="gramStart"/>
      <w:r w:rsidRPr="00B004EE">
        <w:rPr>
          <w:rFonts w:ascii="Tahoma" w:hAnsi="Tahoma" w:cs="Tahoma"/>
          <w:sz w:val="20"/>
          <w:szCs w:val="20"/>
        </w:rPr>
        <w:t>la</w:t>
      </w:r>
      <w:proofErr w:type="gramEnd"/>
      <w:r w:rsidR="00DB1635" w:rsidRPr="00B004EE">
        <w:rPr>
          <w:rFonts w:ascii="Tahoma" w:hAnsi="Tahoma" w:cs="Tahoma"/>
          <w:sz w:val="20"/>
          <w:szCs w:val="20"/>
        </w:rPr>
        <w:t xml:space="preserve"> </w:t>
      </w:r>
      <w:r w:rsidRPr="00B004EE">
        <w:rPr>
          <w:rFonts w:ascii="Tahoma" w:hAnsi="Tahoma" w:cs="Tahoma"/>
          <w:sz w:val="20"/>
          <w:szCs w:val="20"/>
        </w:rPr>
        <w:t>nature</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produit;</w:t>
      </w:r>
    </w:p>
    <w:p w14:paraId="66EEEE37" w14:textId="63E590B9" w:rsidR="002F24E1" w:rsidRPr="00B004EE" w:rsidRDefault="002F24E1" w:rsidP="00B004EE">
      <w:pPr>
        <w:numPr>
          <w:ilvl w:val="0"/>
          <w:numId w:val="3"/>
        </w:numPr>
        <w:jc w:val="both"/>
        <w:rPr>
          <w:rFonts w:ascii="Tahoma" w:hAnsi="Tahoma" w:cs="Tahoma"/>
          <w:sz w:val="20"/>
          <w:szCs w:val="20"/>
        </w:rPr>
      </w:pPr>
      <w:proofErr w:type="gramStart"/>
      <w:r w:rsidRPr="00B004EE">
        <w:rPr>
          <w:rFonts w:ascii="Tahoma" w:hAnsi="Tahoma" w:cs="Tahoma"/>
          <w:sz w:val="20"/>
          <w:szCs w:val="20"/>
        </w:rPr>
        <w:t>pour</w:t>
      </w:r>
      <w:proofErr w:type="gramEnd"/>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navires</w:t>
      </w:r>
      <w:r w:rsidR="00DB1635" w:rsidRPr="00B004EE">
        <w:rPr>
          <w:rFonts w:ascii="Tahoma" w:hAnsi="Tahoma" w:cs="Tahoma"/>
          <w:sz w:val="20"/>
          <w:szCs w:val="20"/>
        </w:rPr>
        <w:t xml:space="preserve"> </w:t>
      </w:r>
      <w:r w:rsidRPr="00B004EE">
        <w:rPr>
          <w:rFonts w:ascii="Tahoma" w:hAnsi="Tahoma" w:cs="Tahoma"/>
          <w:sz w:val="20"/>
          <w:szCs w:val="20"/>
        </w:rPr>
        <w:t>congélateurs</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nom</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navire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son</w:t>
      </w:r>
      <w:r w:rsidR="00DB1635" w:rsidRPr="00B004EE">
        <w:rPr>
          <w:rFonts w:ascii="Tahoma" w:hAnsi="Tahoma" w:cs="Tahoma"/>
          <w:sz w:val="20"/>
          <w:szCs w:val="20"/>
        </w:rPr>
        <w:t xml:space="preserve"> </w:t>
      </w:r>
      <w:r w:rsidRPr="00B004EE">
        <w:rPr>
          <w:rFonts w:ascii="Tahoma" w:hAnsi="Tahoma" w:cs="Tahoma"/>
          <w:sz w:val="20"/>
          <w:szCs w:val="20"/>
        </w:rPr>
        <w:t>numéro</w:t>
      </w:r>
      <w:r w:rsidR="00DB1635" w:rsidRPr="00B004EE">
        <w:rPr>
          <w:rFonts w:ascii="Tahoma" w:hAnsi="Tahoma" w:cs="Tahoma"/>
          <w:sz w:val="20"/>
          <w:szCs w:val="20"/>
        </w:rPr>
        <w:t xml:space="preserve"> </w:t>
      </w:r>
      <w:r w:rsidRPr="00B004EE">
        <w:rPr>
          <w:rFonts w:ascii="Tahoma" w:hAnsi="Tahoma" w:cs="Tahoma"/>
          <w:sz w:val="20"/>
          <w:szCs w:val="20"/>
        </w:rPr>
        <w:t>d'immatriculation</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son</w:t>
      </w:r>
      <w:r w:rsidR="00DB1635" w:rsidRPr="00B004EE">
        <w:rPr>
          <w:rFonts w:ascii="Tahoma" w:hAnsi="Tahoma" w:cs="Tahoma"/>
          <w:sz w:val="20"/>
          <w:szCs w:val="20"/>
        </w:rPr>
        <w:t xml:space="preserve"> </w:t>
      </w:r>
      <w:r w:rsidRPr="00B004EE">
        <w:rPr>
          <w:rFonts w:ascii="Tahoma" w:hAnsi="Tahoma" w:cs="Tahoma"/>
          <w:sz w:val="20"/>
          <w:szCs w:val="20"/>
        </w:rPr>
        <w:t>port</w:t>
      </w:r>
      <w:r w:rsidR="00DB1635" w:rsidRPr="00B004EE">
        <w:rPr>
          <w:rFonts w:ascii="Tahoma" w:hAnsi="Tahoma" w:cs="Tahoma"/>
          <w:sz w:val="20"/>
          <w:szCs w:val="20"/>
        </w:rPr>
        <w:t xml:space="preserve"> </w:t>
      </w:r>
      <w:r w:rsidRPr="00B004EE">
        <w:rPr>
          <w:rFonts w:ascii="Tahoma" w:hAnsi="Tahoma" w:cs="Tahoma"/>
          <w:sz w:val="20"/>
          <w:szCs w:val="20"/>
        </w:rPr>
        <w:t>d'attache;</w:t>
      </w:r>
    </w:p>
    <w:p w14:paraId="77359037" w14:textId="7ED38A84" w:rsidR="002F24E1" w:rsidRPr="00B004EE" w:rsidRDefault="002F24E1" w:rsidP="00B004EE">
      <w:pPr>
        <w:numPr>
          <w:ilvl w:val="0"/>
          <w:numId w:val="3"/>
        </w:numPr>
        <w:jc w:val="both"/>
        <w:rPr>
          <w:rFonts w:ascii="Tahoma" w:hAnsi="Tahoma" w:cs="Tahoma"/>
          <w:sz w:val="20"/>
          <w:szCs w:val="20"/>
        </w:rPr>
      </w:pPr>
      <w:proofErr w:type="gramStart"/>
      <w:r w:rsidRPr="00B004EE">
        <w:rPr>
          <w:rFonts w:ascii="Tahoma" w:hAnsi="Tahoma" w:cs="Tahoma"/>
          <w:sz w:val="20"/>
          <w:szCs w:val="20"/>
        </w:rPr>
        <w:t>pour</w:t>
      </w:r>
      <w:proofErr w:type="gramEnd"/>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navires-usines</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nom</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navire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son</w:t>
      </w:r>
      <w:r w:rsidR="00DB1635" w:rsidRPr="00B004EE">
        <w:rPr>
          <w:rFonts w:ascii="Tahoma" w:hAnsi="Tahoma" w:cs="Tahoma"/>
          <w:sz w:val="20"/>
          <w:szCs w:val="20"/>
        </w:rPr>
        <w:t xml:space="preserve"> </w:t>
      </w:r>
      <w:r w:rsidRPr="00B004EE">
        <w:rPr>
          <w:rFonts w:ascii="Tahoma" w:hAnsi="Tahoma" w:cs="Tahoma"/>
          <w:sz w:val="20"/>
          <w:szCs w:val="20"/>
        </w:rPr>
        <w:t>numéro</w:t>
      </w:r>
      <w:r w:rsidR="00DB1635" w:rsidRPr="00B004EE">
        <w:rPr>
          <w:rFonts w:ascii="Tahoma" w:hAnsi="Tahoma" w:cs="Tahoma"/>
          <w:sz w:val="20"/>
          <w:szCs w:val="20"/>
        </w:rPr>
        <w:t xml:space="preserve"> </w:t>
      </w:r>
      <w:r w:rsidRPr="00B004EE">
        <w:rPr>
          <w:rFonts w:ascii="Tahoma" w:hAnsi="Tahoma" w:cs="Tahoma"/>
          <w:sz w:val="20"/>
          <w:szCs w:val="20"/>
        </w:rPr>
        <w:t>d'agrément</w:t>
      </w:r>
      <w:r w:rsidR="00DB1635" w:rsidRPr="00B004EE">
        <w:rPr>
          <w:rFonts w:ascii="Tahoma" w:hAnsi="Tahoma" w:cs="Tahoma"/>
          <w:sz w:val="20"/>
          <w:szCs w:val="20"/>
        </w:rPr>
        <w:t xml:space="preserve"> </w:t>
      </w:r>
      <w:r w:rsidRPr="00B004EE">
        <w:rPr>
          <w:rFonts w:ascii="Tahoma" w:hAnsi="Tahoma" w:cs="Tahoma"/>
          <w:sz w:val="20"/>
          <w:szCs w:val="20"/>
        </w:rPr>
        <w:t>suivi</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deux</w:t>
      </w:r>
      <w:r w:rsidR="00DB1635" w:rsidRPr="00B004EE">
        <w:rPr>
          <w:rFonts w:ascii="Tahoma" w:hAnsi="Tahoma" w:cs="Tahoma"/>
          <w:sz w:val="20"/>
          <w:szCs w:val="20"/>
        </w:rPr>
        <w:t xml:space="preserve"> </w:t>
      </w:r>
      <w:r w:rsidRPr="00B004EE">
        <w:rPr>
          <w:rFonts w:ascii="Tahoma" w:hAnsi="Tahoma" w:cs="Tahoma"/>
          <w:sz w:val="20"/>
          <w:szCs w:val="20"/>
        </w:rPr>
        <w:t>lettres</w:t>
      </w:r>
      <w:r w:rsidR="00DB1635" w:rsidRPr="00B004EE">
        <w:rPr>
          <w:rFonts w:ascii="Tahoma" w:hAnsi="Tahoma" w:cs="Tahoma"/>
          <w:sz w:val="20"/>
          <w:szCs w:val="20"/>
        </w:rPr>
        <w:t xml:space="preserve"> </w:t>
      </w:r>
      <w:r w:rsidRPr="00B004EE">
        <w:rPr>
          <w:rFonts w:ascii="Tahoma" w:hAnsi="Tahoma" w:cs="Tahoma"/>
          <w:sz w:val="20"/>
          <w:szCs w:val="20"/>
        </w:rPr>
        <w:t>PP</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majuscule</w:t>
      </w:r>
      <w:r w:rsidR="00DB1635" w:rsidRPr="00B004EE">
        <w:rPr>
          <w:rFonts w:ascii="Tahoma" w:hAnsi="Tahoma" w:cs="Tahoma"/>
          <w:sz w:val="20"/>
          <w:szCs w:val="20"/>
        </w:rPr>
        <w:t xml:space="preserve"> </w:t>
      </w:r>
      <w:r w:rsidRPr="00B004EE">
        <w:rPr>
          <w:rFonts w:ascii="Tahoma" w:hAnsi="Tahoma" w:cs="Tahoma"/>
          <w:sz w:val="20"/>
          <w:szCs w:val="20"/>
        </w:rPr>
        <w:t>d'imprimerie;</w:t>
      </w:r>
    </w:p>
    <w:p w14:paraId="5CEA7ED2" w14:textId="7951538C" w:rsidR="002F24E1" w:rsidRPr="00B004EE" w:rsidRDefault="002F24E1" w:rsidP="00B004EE">
      <w:pPr>
        <w:numPr>
          <w:ilvl w:val="0"/>
          <w:numId w:val="3"/>
        </w:numPr>
        <w:jc w:val="both"/>
        <w:rPr>
          <w:rFonts w:ascii="Tahoma" w:hAnsi="Tahoma" w:cs="Tahoma"/>
          <w:sz w:val="20"/>
          <w:szCs w:val="20"/>
        </w:rPr>
      </w:pPr>
      <w:proofErr w:type="gramStart"/>
      <w:r w:rsidRPr="00B004EE">
        <w:rPr>
          <w:rFonts w:ascii="Tahoma" w:hAnsi="Tahoma" w:cs="Tahoma"/>
          <w:sz w:val="20"/>
          <w:szCs w:val="20"/>
        </w:rPr>
        <w:t>la</w:t>
      </w:r>
      <w:proofErr w:type="gramEnd"/>
      <w:r w:rsidR="00DB1635" w:rsidRPr="00B004EE">
        <w:rPr>
          <w:rFonts w:ascii="Tahoma" w:hAnsi="Tahoma" w:cs="Tahoma"/>
          <w:sz w:val="20"/>
          <w:szCs w:val="20"/>
        </w:rPr>
        <w:t xml:space="preserve"> </w:t>
      </w:r>
      <w:r w:rsidRPr="00B004EE">
        <w:rPr>
          <w:rFonts w:ascii="Tahoma" w:hAnsi="Tahoma" w:cs="Tahoma"/>
          <w:sz w:val="20"/>
          <w:szCs w:val="20"/>
        </w:rPr>
        <w:t>date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fabrication;</w:t>
      </w:r>
    </w:p>
    <w:p w14:paraId="2B102D69" w14:textId="5B2B227A" w:rsidR="002F24E1" w:rsidRPr="00B004EE" w:rsidRDefault="002F24E1" w:rsidP="00B004EE">
      <w:pPr>
        <w:numPr>
          <w:ilvl w:val="0"/>
          <w:numId w:val="3"/>
        </w:numPr>
        <w:jc w:val="both"/>
        <w:rPr>
          <w:rFonts w:ascii="Tahoma" w:hAnsi="Tahoma" w:cs="Tahoma"/>
          <w:sz w:val="20"/>
          <w:szCs w:val="20"/>
        </w:rPr>
      </w:pPr>
      <w:proofErr w:type="gramStart"/>
      <w:r w:rsidRPr="00B004EE">
        <w:rPr>
          <w:rFonts w:ascii="Tahoma" w:hAnsi="Tahoma" w:cs="Tahoma"/>
          <w:sz w:val="20"/>
          <w:szCs w:val="20"/>
        </w:rPr>
        <w:t>dans</w:t>
      </w:r>
      <w:proofErr w:type="gramEnd"/>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partie</w:t>
      </w:r>
      <w:r w:rsidR="00DB1635" w:rsidRPr="00B004EE">
        <w:rPr>
          <w:rFonts w:ascii="Tahoma" w:hAnsi="Tahoma" w:cs="Tahoma"/>
          <w:sz w:val="20"/>
          <w:szCs w:val="20"/>
        </w:rPr>
        <w:t xml:space="preserve"> </w:t>
      </w:r>
      <w:r w:rsidRPr="00B004EE">
        <w:rPr>
          <w:rFonts w:ascii="Tahoma" w:hAnsi="Tahoma" w:cs="Tahoma"/>
          <w:sz w:val="20"/>
          <w:szCs w:val="20"/>
        </w:rPr>
        <w:t>supérieure</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mot</w:t>
      </w:r>
      <w:r w:rsidR="00DB1635" w:rsidRPr="00B004EE">
        <w:rPr>
          <w:rFonts w:ascii="Tahoma" w:hAnsi="Tahoma" w:cs="Tahoma"/>
          <w:sz w:val="20"/>
          <w:szCs w:val="20"/>
        </w:rPr>
        <w:t xml:space="preserve"> </w:t>
      </w:r>
      <w:r w:rsidRPr="00B004EE">
        <w:rPr>
          <w:rFonts w:ascii="Tahoma" w:hAnsi="Tahoma" w:cs="Tahoma"/>
          <w:sz w:val="20"/>
          <w:szCs w:val="20"/>
        </w:rPr>
        <w:t>Mauritanie.</w:t>
      </w:r>
    </w:p>
    <w:p w14:paraId="26AAD6EF" w14:textId="77777777" w:rsidR="002F24E1" w:rsidRPr="00B004EE" w:rsidRDefault="002F24E1" w:rsidP="00B004EE">
      <w:pPr>
        <w:jc w:val="both"/>
        <w:rPr>
          <w:rFonts w:ascii="Tahoma" w:hAnsi="Tahoma" w:cs="Tahoma"/>
          <w:bCs/>
          <w:sz w:val="20"/>
          <w:szCs w:val="20"/>
        </w:rPr>
      </w:pPr>
    </w:p>
    <w:p w14:paraId="030454BD" w14:textId="4EE4333B" w:rsidR="002F24E1" w:rsidRPr="00B004EE" w:rsidRDefault="00AD7D88" w:rsidP="00B004EE">
      <w:pPr>
        <w:jc w:val="both"/>
        <w:rPr>
          <w:rFonts w:ascii="Tahoma" w:hAnsi="Tahoma" w:cs="Tahoma"/>
          <w:b/>
          <w:sz w:val="20"/>
          <w:szCs w:val="20"/>
        </w:rPr>
      </w:pPr>
      <w:r w:rsidRPr="00B004EE">
        <w:rPr>
          <w:rFonts w:ascii="Tahoma" w:hAnsi="Tahoma" w:cs="Tahoma"/>
          <w:bCs/>
          <w:sz w:val="20"/>
          <w:szCs w:val="20"/>
        </w:rPr>
        <w:t xml:space="preserve">Article </w:t>
      </w:r>
      <w:r w:rsidR="002F24E1" w:rsidRPr="00B004EE">
        <w:rPr>
          <w:rFonts w:ascii="Tahoma" w:hAnsi="Tahoma" w:cs="Tahoma"/>
          <w:bCs/>
          <w:sz w:val="20"/>
          <w:szCs w:val="20"/>
        </w:rPr>
        <w:t>48</w:t>
      </w:r>
      <w:r w:rsidR="00DB1635" w:rsidRPr="00B004EE">
        <w:rPr>
          <w:rFonts w:ascii="Tahoma" w:hAnsi="Tahoma" w:cs="Tahoma"/>
          <w:bCs/>
          <w:sz w:val="20"/>
          <w:szCs w:val="20"/>
        </w:rPr>
        <w:t xml:space="preserve"> </w:t>
      </w:r>
      <w:r w:rsidR="002F24E1" w:rsidRPr="00B004EE">
        <w:rPr>
          <w:rFonts w:ascii="Tahoma" w:hAnsi="Tahoma" w:cs="Tahoma"/>
          <w:bCs/>
          <w:sz w:val="20"/>
          <w:szCs w:val="20"/>
        </w:rPr>
        <w:t>:</w:t>
      </w:r>
      <w:r w:rsidR="00DB1635" w:rsidRPr="00B004EE">
        <w:rPr>
          <w:rFonts w:ascii="Tahoma" w:hAnsi="Tahoma" w:cs="Tahoma"/>
          <w:b/>
          <w:sz w:val="20"/>
          <w:szCs w:val="20"/>
        </w:rPr>
        <w:t xml:space="preserve"> </w:t>
      </w:r>
      <w:r w:rsidR="002F24E1" w:rsidRPr="00B004EE">
        <w:rPr>
          <w:rFonts w:ascii="Tahoma" w:hAnsi="Tahoma" w:cs="Tahoma"/>
          <w:b/>
          <w:sz w:val="20"/>
          <w:szCs w:val="20"/>
        </w:rPr>
        <w:t>Sanctions</w:t>
      </w:r>
    </w:p>
    <w:p w14:paraId="583375D4" w14:textId="6E862C48" w:rsidR="002F24E1" w:rsidRPr="00B004EE" w:rsidRDefault="002F24E1" w:rsidP="00B004EE">
      <w:pPr>
        <w:jc w:val="both"/>
        <w:rPr>
          <w:rFonts w:ascii="Tahoma" w:hAnsi="Tahoma" w:cs="Tahoma"/>
          <w:sz w:val="20"/>
          <w:szCs w:val="20"/>
        </w:rPr>
      </w:pPr>
      <w:r w:rsidRPr="00B004EE">
        <w:rPr>
          <w:rFonts w:ascii="Tahoma" w:hAnsi="Tahoma" w:cs="Tahoma"/>
          <w:sz w:val="20"/>
          <w:szCs w:val="20"/>
        </w:rPr>
        <w:tab/>
        <w:t>Les</w:t>
      </w:r>
      <w:r w:rsidR="00DB1635" w:rsidRPr="00B004EE">
        <w:rPr>
          <w:rFonts w:ascii="Tahoma" w:hAnsi="Tahoma" w:cs="Tahoma"/>
          <w:sz w:val="20"/>
          <w:szCs w:val="20"/>
        </w:rPr>
        <w:t xml:space="preserve"> </w:t>
      </w:r>
      <w:r w:rsidRPr="00B004EE">
        <w:rPr>
          <w:rFonts w:ascii="Tahoma" w:hAnsi="Tahoma" w:cs="Tahoma"/>
          <w:sz w:val="20"/>
          <w:szCs w:val="20"/>
        </w:rPr>
        <w:t>navires</w:t>
      </w:r>
      <w:r w:rsidR="00DB1635" w:rsidRPr="00B004EE">
        <w:rPr>
          <w:rFonts w:ascii="Tahoma" w:hAnsi="Tahoma" w:cs="Tahoma"/>
          <w:sz w:val="20"/>
          <w:szCs w:val="20"/>
        </w:rPr>
        <w:t xml:space="preserve"> </w:t>
      </w:r>
      <w:r w:rsidRPr="00B004EE">
        <w:rPr>
          <w:rFonts w:ascii="Tahoma" w:hAnsi="Tahoma" w:cs="Tahoma"/>
          <w:sz w:val="20"/>
          <w:szCs w:val="20"/>
        </w:rPr>
        <w:t>que</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services</w:t>
      </w:r>
      <w:r w:rsidR="00DB1635" w:rsidRPr="00B004EE">
        <w:rPr>
          <w:rFonts w:ascii="Tahoma" w:hAnsi="Tahoma" w:cs="Tahoma"/>
          <w:sz w:val="20"/>
          <w:szCs w:val="20"/>
        </w:rPr>
        <w:t xml:space="preserve"> </w:t>
      </w:r>
      <w:r w:rsidRPr="00B004EE">
        <w:rPr>
          <w:rFonts w:ascii="Tahoma" w:hAnsi="Tahoma" w:cs="Tahoma"/>
          <w:sz w:val="20"/>
          <w:szCs w:val="20"/>
        </w:rPr>
        <w:t>d'inspection</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CNROP</w:t>
      </w:r>
      <w:r w:rsidR="00DB1635" w:rsidRPr="00B004EE">
        <w:rPr>
          <w:rFonts w:ascii="Tahoma" w:hAnsi="Tahoma" w:cs="Tahoma"/>
          <w:sz w:val="20"/>
          <w:szCs w:val="20"/>
        </w:rPr>
        <w:t xml:space="preserve"> </w:t>
      </w:r>
      <w:r w:rsidRPr="00B004EE">
        <w:rPr>
          <w:rFonts w:ascii="Tahoma" w:hAnsi="Tahoma" w:cs="Tahoma"/>
          <w:sz w:val="20"/>
          <w:szCs w:val="20"/>
        </w:rPr>
        <w:t>auraient</w:t>
      </w:r>
      <w:r w:rsidR="00DB1635" w:rsidRPr="00B004EE">
        <w:rPr>
          <w:rFonts w:ascii="Tahoma" w:hAnsi="Tahoma" w:cs="Tahoma"/>
          <w:sz w:val="20"/>
          <w:szCs w:val="20"/>
        </w:rPr>
        <w:t xml:space="preserve"> </w:t>
      </w:r>
      <w:r w:rsidRPr="00B004EE">
        <w:rPr>
          <w:rFonts w:ascii="Tahoma" w:hAnsi="Tahoma" w:cs="Tahoma"/>
          <w:sz w:val="20"/>
          <w:szCs w:val="20"/>
        </w:rPr>
        <w:t>visités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qui</w:t>
      </w:r>
      <w:r w:rsidR="00DB1635" w:rsidRPr="00B004EE">
        <w:rPr>
          <w:rFonts w:ascii="Tahoma" w:hAnsi="Tahoma" w:cs="Tahoma"/>
          <w:sz w:val="20"/>
          <w:szCs w:val="20"/>
        </w:rPr>
        <w:t xml:space="preserve"> </w:t>
      </w:r>
      <w:r w:rsidRPr="00B004EE">
        <w:rPr>
          <w:rFonts w:ascii="Tahoma" w:hAnsi="Tahoma" w:cs="Tahoma"/>
          <w:sz w:val="20"/>
          <w:szCs w:val="20"/>
        </w:rPr>
        <w:t>ne</w:t>
      </w:r>
      <w:r w:rsidR="00DB1635" w:rsidRPr="00B004EE">
        <w:rPr>
          <w:rFonts w:ascii="Tahoma" w:hAnsi="Tahoma" w:cs="Tahoma"/>
          <w:sz w:val="20"/>
          <w:szCs w:val="20"/>
        </w:rPr>
        <w:t xml:space="preserve"> </w:t>
      </w:r>
      <w:r w:rsidRPr="00B004EE">
        <w:rPr>
          <w:rFonts w:ascii="Tahoma" w:hAnsi="Tahoma" w:cs="Tahoma"/>
          <w:sz w:val="20"/>
          <w:szCs w:val="20"/>
        </w:rPr>
        <w:t>seraient</w:t>
      </w:r>
      <w:r w:rsidR="00DB1635" w:rsidRPr="00B004EE">
        <w:rPr>
          <w:rFonts w:ascii="Tahoma" w:hAnsi="Tahoma" w:cs="Tahoma"/>
          <w:sz w:val="20"/>
          <w:szCs w:val="20"/>
        </w:rPr>
        <w:t xml:space="preserve"> </w:t>
      </w:r>
      <w:r w:rsidRPr="00B004EE">
        <w:rPr>
          <w:rFonts w:ascii="Tahoma" w:hAnsi="Tahoma" w:cs="Tahoma"/>
          <w:sz w:val="20"/>
          <w:szCs w:val="20"/>
        </w:rPr>
        <w:t>pas</w:t>
      </w:r>
      <w:r w:rsidR="00DB1635" w:rsidRPr="00B004EE">
        <w:rPr>
          <w:rFonts w:ascii="Tahoma" w:hAnsi="Tahoma" w:cs="Tahoma"/>
          <w:sz w:val="20"/>
          <w:szCs w:val="20"/>
        </w:rPr>
        <w:t xml:space="preserve"> </w:t>
      </w:r>
      <w:r w:rsidRPr="00B004EE">
        <w:rPr>
          <w:rFonts w:ascii="Tahoma" w:hAnsi="Tahoma" w:cs="Tahoma"/>
          <w:sz w:val="20"/>
          <w:szCs w:val="20"/>
        </w:rPr>
        <w:t>conformes</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dispositions</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présent</w:t>
      </w:r>
      <w:r w:rsidR="00DB1635" w:rsidRPr="00B004EE">
        <w:rPr>
          <w:rFonts w:ascii="Tahoma" w:hAnsi="Tahoma" w:cs="Tahoma"/>
          <w:sz w:val="20"/>
          <w:szCs w:val="20"/>
        </w:rPr>
        <w:t xml:space="preserve"> </w:t>
      </w:r>
      <w:r w:rsidRPr="00B004EE">
        <w:rPr>
          <w:rFonts w:ascii="Tahoma" w:hAnsi="Tahoma" w:cs="Tahoma"/>
          <w:sz w:val="20"/>
          <w:szCs w:val="20"/>
        </w:rPr>
        <w:t>arrêté</w:t>
      </w:r>
      <w:r w:rsidR="00DB1635" w:rsidRPr="00B004EE">
        <w:rPr>
          <w:rFonts w:ascii="Tahoma" w:hAnsi="Tahoma" w:cs="Tahoma"/>
          <w:sz w:val="20"/>
          <w:szCs w:val="20"/>
        </w:rPr>
        <w:t xml:space="preserve"> </w:t>
      </w:r>
      <w:r w:rsidRPr="00B004EE">
        <w:rPr>
          <w:rFonts w:ascii="Tahoma" w:hAnsi="Tahoma" w:cs="Tahoma"/>
          <w:sz w:val="20"/>
          <w:szCs w:val="20"/>
        </w:rPr>
        <w:t>verront</w:t>
      </w:r>
      <w:r w:rsidR="00DB1635" w:rsidRPr="00B004EE">
        <w:rPr>
          <w:rFonts w:ascii="Tahoma" w:hAnsi="Tahoma" w:cs="Tahoma"/>
          <w:sz w:val="20"/>
          <w:szCs w:val="20"/>
        </w:rPr>
        <w:t xml:space="preserve"> </w:t>
      </w:r>
      <w:r w:rsidRPr="00B004EE">
        <w:rPr>
          <w:rFonts w:ascii="Tahoma" w:hAnsi="Tahoma" w:cs="Tahoma"/>
          <w:sz w:val="20"/>
          <w:szCs w:val="20"/>
        </w:rPr>
        <w:t>leur</w:t>
      </w:r>
      <w:r w:rsidR="00DB1635" w:rsidRPr="00B004EE">
        <w:rPr>
          <w:rFonts w:ascii="Tahoma" w:hAnsi="Tahoma" w:cs="Tahoma"/>
          <w:sz w:val="20"/>
          <w:szCs w:val="20"/>
        </w:rPr>
        <w:t xml:space="preserve"> </w:t>
      </w:r>
      <w:r w:rsidRPr="00B004EE">
        <w:rPr>
          <w:rFonts w:ascii="Tahoma" w:hAnsi="Tahoma" w:cs="Tahoma"/>
          <w:sz w:val="20"/>
          <w:szCs w:val="20"/>
        </w:rPr>
        <w:t>licence</w:t>
      </w:r>
      <w:r w:rsidR="00DB1635" w:rsidRPr="00B004EE">
        <w:rPr>
          <w:rFonts w:ascii="Tahoma" w:hAnsi="Tahoma" w:cs="Tahoma"/>
          <w:sz w:val="20"/>
          <w:szCs w:val="20"/>
        </w:rPr>
        <w:t xml:space="preserve"> </w:t>
      </w:r>
      <w:r w:rsidRPr="00B004EE">
        <w:rPr>
          <w:rFonts w:ascii="Tahoma" w:hAnsi="Tahoma" w:cs="Tahoma"/>
          <w:sz w:val="20"/>
          <w:szCs w:val="20"/>
        </w:rPr>
        <w:t>retirée</w:t>
      </w:r>
      <w:r w:rsidR="00DB1635" w:rsidRPr="00B004EE">
        <w:rPr>
          <w:rFonts w:ascii="Tahoma" w:hAnsi="Tahoma" w:cs="Tahoma"/>
          <w:sz w:val="20"/>
          <w:szCs w:val="20"/>
        </w:rPr>
        <w:t xml:space="preserve"> </w:t>
      </w:r>
      <w:r w:rsidRPr="00B004EE">
        <w:rPr>
          <w:rFonts w:ascii="Tahoma" w:hAnsi="Tahoma" w:cs="Tahoma"/>
          <w:sz w:val="20"/>
          <w:szCs w:val="20"/>
        </w:rPr>
        <w:t>après</w:t>
      </w:r>
      <w:r w:rsidR="00DB1635" w:rsidRPr="00B004EE">
        <w:rPr>
          <w:rFonts w:ascii="Tahoma" w:hAnsi="Tahoma" w:cs="Tahoma"/>
          <w:sz w:val="20"/>
          <w:szCs w:val="20"/>
        </w:rPr>
        <w:t xml:space="preserve"> </w:t>
      </w:r>
      <w:r w:rsidRPr="00B004EE">
        <w:rPr>
          <w:rFonts w:ascii="Tahoma" w:hAnsi="Tahoma" w:cs="Tahoma"/>
          <w:sz w:val="20"/>
          <w:szCs w:val="20"/>
        </w:rPr>
        <w:t>mise</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demeure.</w:t>
      </w:r>
    </w:p>
    <w:p w14:paraId="493C3570" w14:textId="08567AB4" w:rsidR="002F24E1" w:rsidRPr="00B004EE" w:rsidRDefault="002F24E1" w:rsidP="00B004EE">
      <w:pPr>
        <w:jc w:val="both"/>
        <w:rPr>
          <w:rFonts w:ascii="Tahoma" w:hAnsi="Tahoma" w:cs="Tahoma"/>
          <w:sz w:val="20"/>
          <w:szCs w:val="20"/>
        </w:rPr>
      </w:pPr>
      <w:r w:rsidRPr="00B004EE">
        <w:rPr>
          <w:rFonts w:ascii="Tahoma" w:hAnsi="Tahoma" w:cs="Tahoma"/>
          <w:sz w:val="20"/>
          <w:szCs w:val="20"/>
        </w:rPr>
        <w:tab/>
        <w:t>Les</w:t>
      </w:r>
      <w:r w:rsidR="00DB1635" w:rsidRPr="00B004EE">
        <w:rPr>
          <w:rFonts w:ascii="Tahoma" w:hAnsi="Tahoma" w:cs="Tahoma"/>
          <w:sz w:val="20"/>
          <w:szCs w:val="20"/>
        </w:rPr>
        <w:t xml:space="preserve"> </w:t>
      </w:r>
      <w:r w:rsidRPr="00B004EE">
        <w:rPr>
          <w:rFonts w:ascii="Tahoma" w:hAnsi="Tahoma" w:cs="Tahoma"/>
          <w:sz w:val="20"/>
          <w:szCs w:val="20"/>
        </w:rPr>
        <w:t>navires</w:t>
      </w:r>
      <w:r w:rsidR="00DB1635" w:rsidRPr="00B004EE">
        <w:rPr>
          <w:rFonts w:ascii="Tahoma" w:hAnsi="Tahoma" w:cs="Tahoma"/>
          <w:sz w:val="20"/>
          <w:szCs w:val="20"/>
        </w:rPr>
        <w:t xml:space="preserve"> </w:t>
      </w:r>
      <w:r w:rsidRPr="00B004EE">
        <w:rPr>
          <w:rFonts w:ascii="Tahoma" w:hAnsi="Tahoma" w:cs="Tahoma"/>
          <w:sz w:val="20"/>
          <w:szCs w:val="20"/>
        </w:rPr>
        <w:t>usines</w:t>
      </w:r>
      <w:r w:rsidR="00DB1635" w:rsidRPr="00B004EE">
        <w:rPr>
          <w:rFonts w:ascii="Tahoma" w:hAnsi="Tahoma" w:cs="Tahoma"/>
          <w:sz w:val="20"/>
          <w:szCs w:val="20"/>
        </w:rPr>
        <w:t xml:space="preserve"> </w:t>
      </w:r>
      <w:r w:rsidRPr="00B004EE">
        <w:rPr>
          <w:rFonts w:ascii="Tahoma" w:hAnsi="Tahoma" w:cs="Tahoma"/>
          <w:sz w:val="20"/>
          <w:szCs w:val="20"/>
        </w:rPr>
        <w:t>seront</w:t>
      </w:r>
      <w:r w:rsidR="00DB1635" w:rsidRPr="00B004EE">
        <w:rPr>
          <w:rFonts w:ascii="Tahoma" w:hAnsi="Tahoma" w:cs="Tahoma"/>
          <w:sz w:val="20"/>
          <w:szCs w:val="20"/>
        </w:rPr>
        <w:t xml:space="preserve"> </w:t>
      </w:r>
      <w:r w:rsidRPr="00B004EE">
        <w:rPr>
          <w:rFonts w:ascii="Tahoma" w:hAnsi="Tahoma" w:cs="Tahoma"/>
          <w:sz w:val="20"/>
          <w:szCs w:val="20"/>
        </w:rPr>
        <w:t>soumis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suspension</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licence</w:t>
      </w:r>
      <w:r w:rsidR="00DB1635" w:rsidRPr="00B004EE">
        <w:rPr>
          <w:rFonts w:ascii="Tahoma" w:hAnsi="Tahoma" w:cs="Tahoma"/>
          <w:sz w:val="20"/>
          <w:szCs w:val="20"/>
        </w:rPr>
        <w:t xml:space="preserve"> </w:t>
      </w:r>
      <w:r w:rsidRPr="00B004EE">
        <w:rPr>
          <w:rFonts w:ascii="Tahoma" w:hAnsi="Tahoma" w:cs="Tahoma"/>
          <w:sz w:val="20"/>
          <w:szCs w:val="20"/>
        </w:rPr>
        <w:t>après</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retrait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l'agrément</w:t>
      </w:r>
      <w:r w:rsidR="00DB1635" w:rsidRPr="00B004EE">
        <w:rPr>
          <w:rFonts w:ascii="Tahoma" w:hAnsi="Tahoma" w:cs="Tahoma"/>
          <w:sz w:val="20"/>
          <w:szCs w:val="20"/>
        </w:rPr>
        <w:t xml:space="preserve"> </w:t>
      </w:r>
      <w:r w:rsidRPr="00B004EE">
        <w:rPr>
          <w:rFonts w:ascii="Tahoma" w:hAnsi="Tahoma" w:cs="Tahoma"/>
          <w:sz w:val="20"/>
          <w:szCs w:val="20"/>
        </w:rPr>
        <w:t>sans</w:t>
      </w:r>
      <w:r w:rsidR="00DB1635" w:rsidRPr="00B004EE">
        <w:rPr>
          <w:rFonts w:ascii="Tahoma" w:hAnsi="Tahoma" w:cs="Tahoma"/>
          <w:sz w:val="20"/>
          <w:szCs w:val="20"/>
        </w:rPr>
        <w:t xml:space="preserve"> </w:t>
      </w:r>
      <w:r w:rsidRPr="00B004EE">
        <w:rPr>
          <w:rFonts w:ascii="Tahoma" w:hAnsi="Tahoma" w:cs="Tahoma"/>
          <w:sz w:val="20"/>
          <w:szCs w:val="20"/>
        </w:rPr>
        <w:t>préjudice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amendes</w:t>
      </w:r>
      <w:r w:rsidR="00DB1635" w:rsidRPr="00B004EE">
        <w:rPr>
          <w:rFonts w:ascii="Tahoma" w:hAnsi="Tahoma" w:cs="Tahoma"/>
          <w:sz w:val="20"/>
          <w:szCs w:val="20"/>
        </w:rPr>
        <w:t xml:space="preserve"> </w:t>
      </w:r>
      <w:r w:rsidRPr="00B004EE">
        <w:rPr>
          <w:rFonts w:ascii="Tahoma" w:hAnsi="Tahoma" w:cs="Tahoma"/>
          <w:sz w:val="20"/>
          <w:szCs w:val="20"/>
        </w:rPr>
        <w:t>prises</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dispositions</w:t>
      </w:r>
      <w:r w:rsidR="00DB1635" w:rsidRPr="00B004EE">
        <w:rPr>
          <w:rFonts w:ascii="Tahoma" w:hAnsi="Tahoma" w:cs="Tahoma"/>
          <w:sz w:val="20"/>
          <w:szCs w:val="20"/>
        </w:rPr>
        <w:t xml:space="preserve"> </w:t>
      </w:r>
      <w:r w:rsidRPr="00B004EE">
        <w:rPr>
          <w:rFonts w:ascii="Tahoma" w:hAnsi="Tahoma" w:cs="Tahoma"/>
          <w:sz w:val="20"/>
          <w:szCs w:val="20"/>
        </w:rPr>
        <w:t>réglementaires</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vigueur.</w:t>
      </w:r>
    </w:p>
    <w:p w14:paraId="25DAD7FD" w14:textId="77777777" w:rsidR="002F24E1" w:rsidRPr="00B004EE" w:rsidRDefault="002F24E1" w:rsidP="00B004EE">
      <w:pPr>
        <w:jc w:val="both"/>
        <w:rPr>
          <w:rFonts w:ascii="Tahoma" w:hAnsi="Tahoma" w:cs="Tahoma"/>
          <w:sz w:val="20"/>
          <w:szCs w:val="20"/>
        </w:rPr>
      </w:pPr>
    </w:p>
    <w:p w14:paraId="579CD7A1" w14:textId="5F6084B7" w:rsidR="002F24E1" w:rsidRPr="00B004EE" w:rsidRDefault="002F24E1" w:rsidP="00B004EE">
      <w:pPr>
        <w:tabs>
          <w:tab w:val="left" w:pos="2268"/>
        </w:tabs>
        <w:jc w:val="center"/>
        <w:rPr>
          <w:rFonts w:ascii="Tahoma" w:hAnsi="Tahoma" w:cs="Tahoma"/>
          <w:b/>
          <w:sz w:val="20"/>
          <w:szCs w:val="20"/>
        </w:rPr>
      </w:pPr>
      <w:r w:rsidRPr="00B004EE">
        <w:rPr>
          <w:rFonts w:ascii="Tahoma" w:hAnsi="Tahoma" w:cs="Tahoma"/>
          <w:b/>
          <w:sz w:val="20"/>
          <w:szCs w:val="20"/>
        </w:rPr>
        <w:t>TITRE</w:t>
      </w:r>
      <w:r w:rsidR="00DB1635" w:rsidRPr="00B004EE">
        <w:rPr>
          <w:rFonts w:ascii="Tahoma" w:hAnsi="Tahoma" w:cs="Tahoma"/>
          <w:b/>
          <w:sz w:val="20"/>
          <w:szCs w:val="20"/>
        </w:rPr>
        <w:t xml:space="preserve"> </w:t>
      </w:r>
      <w:r w:rsidRPr="00B004EE">
        <w:rPr>
          <w:rFonts w:ascii="Tahoma" w:hAnsi="Tahoma" w:cs="Tahoma"/>
          <w:b/>
          <w:sz w:val="20"/>
          <w:szCs w:val="20"/>
        </w:rPr>
        <w:t>IV</w:t>
      </w:r>
      <w:r w:rsidR="007127C2" w:rsidRPr="00B004EE">
        <w:rPr>
          <w:rFonts w:ascii="Tahoma" w:hAnsi="Tahoma" w:cs="Tahoma"/>
          <w:b/>
          <w:sz w:val="20"/>
          <w:szCs w:val="20"/>
        </w:rPr>
        <w:t xml:space="preserve"> : DISPOSITION</w:t>
      </w:r>
      <w:r w:rsidR="00DB1635" w:rsidRPr="00B004EE">
        <w:rPr>
          <w:rFonts w:ascii="Tahoma" w:hAnsi="Tahoma" w:cs="Tahoma"/>
          <w:b/>
          <w:sz w:val="20"/>
          <w:szCs w:val="20"/>
        </w:rPr>
        <w:t xml:space="preserve"> </w:t>
      </w:r>
      <w:r w:rsidRPr="00B004EE">
        <w:rPr>
          <w:rFonts w:ascii="Tahoma" w:hAnsi="Tahoma" w:cs="Tahoma"/>
          <w:b/>
          <w:sz w:val="20"/>
          <w:szCs w:val="20"/>
        </w:rPr>
        <w:t>FINALE</w:t>
      </w:r>
    </w:p>
    <w:p w14:paraId="4CB03C9F" w14:textId="6CA07A4F" w:rsidR="00765078" w:rsidRPr="00B004EE" w:rsidRDefault="00AD7D88" w:rsidP="00B004EE">
      <w:pPr>
        <w:jc w:val="both"/>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002F24E1" w:rsidRPr="00B004EE">
        <w:rPr>
          <w:rFonts w:ascii="Tahoma" w:hAnsi="Tahoma" w:cs="Tahoma"/>
          <w:bCs/>
          <w:sz w:val="20"/>
          <w:szCs w:val="20"/>
        </w:rPr>
        <w:t>49</w:t>
      </w:r>
      <w:r w:rsidR="00DB1635" w:rsidRPr="00B004EE">
        <w:rPr>
          <w:rFonts w:ascii="Tahoma" w:hAnsi="Tahoma" w:cs="Tahoma"/>
          <w:bCs/>
          <w:sz w:val="20"/>
          <w:szCs w:val="20"/>
        </w:rPr>
        <w:t xml:space="preserve"> </w:t>
      </w:r>
      <w:r w:rsidR="002F24E1" w:rsidRPr="00B004EE">
        <w:rPr>
          <w:rFonts w:ascii="Tahoma" w:hAnsi="Tahoma" w:cs="Tahoma"/>
          <w:bCs/>
          <w:sz w:val="20"/>
          <w:szCs w:val="20"/>
        </w:rPr>
        <w:t>:</w:t>
      </w:r>
      <w:r w:rsidR="00DB1635" w:rsidRPr="00B004EE">
        <w:rPr>
          <w:rFonts w:ascii="Tahoma" w:hAnsi="Tahoma" w:cs="Tahoma"/>
          <w:bCs/>
          <w:sz w:val="20"/>
          <w:szCs w:val="20"/>
        </w:rPr>
        <w:t xml:space="preserve"> </w:t>
      </w:r>
      <w:r w:rsidR="002F24E1" w:rsidRPr="00B004EE">
        <w:rPr>
          <w:rFonts w:ascii="Tahoma" w:hAnsi="Tahoma" w:cs="Tahoma"/>
          <w:bCs/>
          <w:sz w:val="20"/>
          <w:szCs w:val="20"/>
        </w:rPr>
        <w:t>Le</w:t>
      </w:r>
      <w:r w:rsidR="00DB1635" w:rsidRPr="00B004EE">
        <w:rPr>
          <w:rFonts w:ascii="Tahoma" w:hAnsi="Tahoma" w:cs="Tahoma"/>
          <w:bCs/>
          <w:sz w:val="20"/>
          <w:szCs w:val="20"/>
        </w:rPr>
        <w:t xml:space="preserve"> </w:t>
      </w:r>
      <w:r w:rsidR="002F24E1" w:rsidRPr="00B004EE">
        <w:rPr>
          <w:rFonts w:ascii="Tahoma" w:hAnsi="Tahoma" w:cs="Tahoma"/>
          <w:bCs/>
          <w:sz w:val="20"/>
          <w:szCs w:val="20"/>
        </w:rPr>
        <w:t>Secrétaire</w:t>
      </w:r>
      <w:r w:rsidR="00DB1635" w:rsidRPr="00B004EE">
        <w:rPr>
          <w:rFonts w:ascii="Tahoma" w:hAnsi="Tahoma" w:cs="Tahoma"/>
          <w:bCs/>
          <w:sz w:val="20"/>
          <w:szCs w:val="20"/>
        </w:rPr>
        <w:t xml:space="preserve"> </w:t>
      </w:r>
      <w:r w:rsidR="002F24E1" w:rsidRPr="00B004EE">
        <w:rPr>
          <w:rFonts w:ascii="Tahoma" w:hAnsi="Tahoma" w:cs="Tahoma"/>
          <w:bCs/>
          <w:sz w:val="20"/>
          <w:szCs w:val="20"/>
        </w:rPr>
        <w:t>Général</w:t>
      </w:r>
      <w:r w:rsidR="00DB1635" w:rsidRPr="00B004EE">
        <w:rPr>
          <w:rFonts w:ascii="Tahoma" w:hAnsi="Tahoma" w:cs="Tahoma"/>
          <w:bCs/>
          <w:sz w:val="20"/>
          <w:szCs w:val="20"/>
        </w:rPr>
        <w:t xml:space="preserve"> </w:t>
      </w:r>
      <w:r w:rsidR="002F24E1" w:rsidRPr="00B004EE">
        <w:rPr>
          <w:rFonts w:ascii="Tahoma" w:hAnsi="Tahoma" w:cs="Tahoma"/>
          <w:bCs/>
          <w:sz w:val="20"/>
          <w:szCs w:val="20"/>
        </w:rPr>
        <w:t>du</w:t>
      </w:r>
      <w:r w:rsidR="00DB1635" w:rsidRPr="00B004EE">
        <w:rPr>
          <w:rFonts w:ascii="Tahoma" w:hAnsi="Tahoma" w:cs="Tahoma"/>
          <w:bCs/>
          <w:sz w:val="20"/>
          <w:szCs w:val="20"/>
        </w:rPr>
        <w:t xml:space="preserve"> </w:t>
      </w:r>
      <w:r w:rsidR="002F24E1" w:rsidRPr="00B004EE">
        <w:rPr>
          <w:rFonts w:ascii="Tahoma" w:hAnsi="Tahoma" w:cs="Tahoma"/>
          <w:bCs/>
          <w:sz w:val="20"/>
          <w:szCs w:val="20"/>
        </w:rPr>
        <w:t>Ministère</w:t>
      </w:r>
      <w:r w:rsidR="00DB1635" w:rsidRPr="00B004EE">
        <w:rPr>
          <w:rFonts w:ascii="Tahoma" w:hAnsi="Tahoma" w:cs="Tahoma"/>
          <w:bCs/>
          <w:sz w:val="20"/>
          <w:szCs w:val="20"/>
        </w:rPr>
        <w:t xml:space="preserve"> </w:t>
      </w:r>
      <w:r w:rsidR="002F24E1" w:rsidRPr="00B004EE">
        <w:rPr>
          <w:rFonts w:ascii="Tahoma" w:hAnsi="Tahoma" w:cs="Tahoma"/>
          <w:bCs/>
          <w:sz w:val="20"/>
          <w:szCs w:val="20"/>
        </w:rPr>
        <w:t>des</w:t>
      </w:r>
      <w:r w:rsidR="00DB1635" w:rsidRPr="00B004EE">
        <w:rPr>
          <w:rFonts w:ascii="Tahoma" w:hAnsi="Tahoma" w:cs="Tahoma"/>
          <w:bCs/>
          <w:sz w:val="20"/>
          <w:szCs w:val="20"/>
        </w:rPr>
        <w:t xml:space="preserve"> </w:t>
      </w:r>
      <w:r w:rsidR="002F24E1" w:rsidRPr="00B004EE">
        <w:rPr>
          <w:rFonts w:ascii="Tahoma" w:hAnsi="Tahoma" w:cs="Tahoma"/>
          <w:bCs/>
          <w:sz w:val="20"/>
          <w:szCs w:val="20"/>
        </w:rPr>
        <w:t>Pêches</w:t>
      </w:r>
      <w:r w:rsidR="00DB1635" w:rsidRPr="00B004EE">
        <w:rPr>
          <w:rFonts w:ascii="Tahoma" w:hAnsi="Tahoma" w:cs="Tahoma"/>
          <w:bCs/>
          <w:sz w:val="20"/>
          <w:szCs w:val="20"/>
        </w:rPr>
        <w:t xml:space="preserve"> </w:t>
      </w:r>
      <w:r w:rsidR="002F24E1" w:rsidRPr="00B004EE">
        <w:rPr>
          <w:rFonts w:ascii="Tahoma" w:hAnsi="Tahoma" w:cs="Tahoma"/>
          <w:bCs/>
          <w:sz w:val="20"/>
          <w:szCs w:val="20"/>
        </w:rPr>
        <w:t>et</w:t>
      </w:r>
      <w:r w:rsidR="00DB1635" w:rsidRPr="00B004EE">
        <w:rPr>
          <w:rFonts w:ascii="Tahoma" w:hAnsi="Tahoma" w:cs="Tahoma"/>
          <w:bCs/>
          <w:sz w:val="20"/>
          <w:szCs w:val="20"/>
        </w:rPr>
        <w:t xml:space="preserve"> </w:t>
      </w:r>
      <w:r w:rsidR="002F24E1" w:rsidRPr="00B004EE">
        <w:rPr>
          <w:rFonts w:ascii="Tahoma" w:hAnsi="Tahoma" w:cs="Tahoma"/>
          <w:bCs/>
          <w:sz w:val="20"/>
          <w:szCs w:val="20"/>
        </w:rPr>
        <w:t>de</w:t>
      </w:r>
      <w:r w:rsidR="00DB1635" w:rsidRPr="00B004EE">
        <w:rPr>
          <w:rFonts w:ascii="Tahoma" w:hAnsi="Tahoma" w:cs="Tahoma"/>
          <w:bCs/>
          <w:sz w:val="20"/>
          <w:szCs w:val="20"/>
        </w:rPr>
        <w:t xml:space="preserve"> </w:t>
      </w:r>
      <w:r w:rsidR="002F24E1" w:rsidRPr="00B004EE">
        <w:rPr>
          <w:rFonts w:ascii="Tahoma" w:hAnsi="Tahoma" w:cs="Tahoma"/>
          <w:bCs/>
          <w:sz w:val="20"/>
          <w:szCs w:val="20"/>
        </w:rPr>
        <w:t>l'Economie</w:t>
      </w:r>
      <w:r w:rsidR="00DB1635" w:rsidRPr="00B004EE">
        <w:rPr>
          <w:rFonts w:ascii="Tahoma" w:hAnsi="Tahoma" w:cs="Tahoma"/>
          <w:bCs/>
          <w:sz w:val="20"/>
          <w:szCs w:val="20"/>
        </w:rPr>
        <w:t xml:space="preserve"> </w:t>
      </w:r>
      <w:r w:rsidR="002F24E1" w:rsidRPr="00B004EE">
        <w:rPr>
          <w:rFonts w:ascii="Tahoma" w:hAnsi="Tahoma" w:cs="Tahoma"/>
          <w:bCs/>
          <w:sz w:val="20"/>
          <w:szCs w:val="20"/>
        </w:rPr>
        <w:t>Maritime,</w:t>
      </w:r>
      <w:r w:rsidR="00DB1635" w:rsidRPr="00B004EE">
        <w:rPr>
          <w:rFonts w:ascii="Tahoma" w:hAnsi="Tahoma" w:cs="Tahoma"/>
          <w:sz w:val="20"/>
          <w:szCs w:val="20"/>
        </w:rPr>
        <w:t xml:space="preserve"> </w:t>
      </w:r>
      <w:r w:rsidR="002F24E1" w:rsidRPr="00B004EE">
        <w:rPr>
          <w:rFonts w:ascii="Tahoma" w:hAnsi="Tahoma" w:cs="Tahoma"/>
          <w:sz w:val="20"/>
          <w:szCs w:val="20"/>
        </w:rPr>
        <w:t>le</w:t>
      </w:r>
      <w:r w:rsidR="00DB1635" w:rsidRPr="00B004EE">
        <w:rPr>
          <w:rFonts w:ascii="Tahoma" w:hAnsi="Tahoma" w:cs="Tahoma"/>
          <w:sz w:val="20"/>
          <w:szCs w:val="20"/>
        </w:rPr>
        <w:t xml:space="preserve"> </w:t>
      </w:r>
      <w:r w:rsidR="002F24E1" w:rsidRPr="00B004EE">
        <w:rPr>
          <w:rFonts w:ascii="Tahoma" w:hAnsi="Tahoma" w:cs="Tahoma"/>
          <w:sz w:val="20"/>
          <w:szCs w:val="20"/>
        </w:rPr>
        <w:t>Secrétaire</w:t>
      </w:r>
      <w:r w:rsidR="00DB1635" w:rsidRPr="00B004EE">
        <w:rPr>
          <w:rFonts w:ascii="Tahoma" w:hAnsi="Tahoma" w:cs="Tahoma"/>
          <w:sz w:val="20"/>
          <w:szCs w:val="20"/>
        </w:rPr>
        <w:t xml:space="preserve"> </w:t>
      </w:r>
      <w:r w:rsidR="002F24E1" w:rsidRPr="00B004EE">
        <w:rPr>
          <w:rFonts w:ascii="Tahoma" w:hAnsi="Tahoma" w:cs="Tahoma"/>
          <w:sz w:val="20"/>
          <w:szCs w:val="20"/>
        </w:rPr>
        <w:t>Général</w:t>
      </w:r>
      <w:r w:rsidR="00DB1635" w:rsidRPr="00B004EE">
        <w:rPr>
          <w:rFonts w:ascii="Tahoma" w:hAnsi="Tahoma" w:cs="Tahoma"/>
          <w:sz w:val="20"/>
          <w:szCs w:val="20"/>
        </w:rPr>
        <w:t xml:space="preserve"> </w:t>
      </w:r>
      <w:r w:rsidR="002F24E1" w:rsidRPr="00B004EE">
        <w:rPr>
          <w:rFonts w:ascii="Tahoma" w:hAnsi="Tahoma" w:cs="Tahoma"/>
          <w:sz w:val="20"/>
          <w:szCs w:val="20"/>
        </w:rPr>
        <w:t>du</w:t>
      </w:r>
      <w:r w:rsidR="00DB1635" w:rsidRPr="00B004EE">
        <w:rPr>
          <w:rFonts w:ascii="Tahoma" w:hAnsi="Tahoma" w:cs="Tahoma"/>
          <w:sz w:val="20"/>
          <w:szCs w:val="20"/>
        </w:rPr>
        <w:t xml:space="preserve"> </w:t>
      </w:r>
      <w:r w:rsidR="002F24E1" w:rsidRPr="00B004EE">
        <w:rPr>
          <w:rFonts w:ascii="Tahoma" w:hAnsi="Tahoma" w:cs="Tahoma"/>
          <w:sz w:val="20"/>
          <w:szCs w:val="20"/>
        </w:rPr>
        <w:t>Ministère</w:t>
      </w:r>
      <w:r w:rsidR="00DB1635" w:rsidRPr="00B004EE">
        <w:rPr>
          <w:rFonts w:ascii="Tahoma" w:hAnsi="Tahoma" w:cs="Tahoma"/>
          <w:sz w:val="20"/>
          <w:szCs w:val="20"/>
        </w:rPr>
        <w:t xml:space="preserve"> </w:t>
      </w:r>
      <w:r w:rsidR="002F24E1" w:rsidRPr="00B004EE">
        <w:rPr>
          <w:rFonts w:ascii="Tahoma" w:hAnsi="Tahoma" w:cs="Tahoma"/>
          <w:sz w:val="20"/>
          <w:szCs w:val="20"/>
        </w:rPr>
        <w:t>du</w:t>
      </w:r>
      <w:r w:rsidR="00DB1635" w:rsidRPr="00B004EE">
        <w:rPr>
          <w:rFonts w:ascii="Tahoma" w:hAnsi="Tahoma" w:cs="Tahoma"/>
          <w:sz w:val="20"/>
          <w:szCs w:val="20"/>
        </w:rPr>
        <w:t xml:space="preserve"> </w:t>
      </w:r>
      <w:r w:rsidR="002F24E1" w:rsidRPr="00B004EE">
        <w:rPr>
          <w:rFonts w:ascii="Tahoma" w:hAnsi="Tahoma" w:cs="Tahoma"/>
          <w:sz w:val="20"/>
          <w:szCs w:val="20"/>
        </w:rPr>
        <w:t>Commerce,</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l'artisanat</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du</w:t>
      </w:r>
      <w:r w:rsidR="00DB1635" w:rsidRPr="00B004EE">
        <w:rPr>
          <w:rFonts w:ascii="Tahoma" w:hAnsi="Tahoma" w:cs="Tahoma"/>
          <w:sz w:val="20"/>
          <w:szCs w:val="20"/>
        </w:rPr>
        <w:t xml:space="preserve"> </w:t>
      </w:r>
      <w:r w:rsidR="002F24E1" w:rsidRPr="00B004EE">
        <w:rPr>
          <w:rFonts w:ascii="Tahoma" w:hAnsi="Tahoma" w:cs="Tahoma"/>
          <w:sz w:val="20"/>
          <w:szCs w:val="20"/>
        </w:rPr>
        <w:t>Tourisme,</w:t>
      </w:r>
      <w:r w:rsidR="00DB1635" w:rsidRPr="00B004EE">
        <w:rPr>
          <w:rFonts w:ascii="Tahoma" w:hAnsi="Tahoma" w:cs="Tahoma"/>
          <w:sz w:val="20"/>
          <w:szCs w:val="20"/>
        </w:rPr>
        <w:t xml:space="preserve"> </w:t>
      </w:r>
      <w:r w:rsidR="002F24E1" w:rsidRPr="00B004EE">
        <w:rPr>
          <w:rFonts w:ascii="Tahoma" w:hAnsi="Tahoma" w:cs="Tahoma"/>
          <w:sz w:val="20"/>
          <w:szCs w:val="20"/>
        </w:rPr>
        <w:t>le</w:t>
      </w:r>
      <w:r w:rsidR="00DB1635" w:rsidRPr="00B004EE">
        <w:rPr>
          <w:rFonts w:ascii="Tahoma" w:hAnsi="Tahoma" w:cs="Tahoma"/>
          <w:sz w:val="20"/>
          <w:szCs w:val="20"/>
        </w:rPr>
        <w:t xml:space="preserve"> </w:t>
      </w:r>
      <w:r w:rsidR="002F24E1" w:rsidRPr="00B004EE">
        <w:rPr>
          <w:rFonts w:ascii="Tahoma" w:hAnsi="Tahoma" w:cs="Tahoma"/>
          <w:sz w:val="20"/>
          <w:szCs w:val="20"/>
        </w:rPr>
        <w:t>Secrétaire</w:t>
      </w:r>
      <w:r w:rsidR="00DB1635" w:rsidRPr="00B004EE">
        <w:rPr>
          <w:rFonts w:ascii="Tahoma" w:hAnsi="Tahoma" w:cs="Tahoma"/>
          <w:sz w:val="20"/>
          <w:szCs w:val="20"/>
        </w:rPr>
        <w:t xml:space="preserve"> </w:t>
      </w:r>
      <w:r w:rsidR="002F24E1" w:rsidRPr="00B004EE">
        <w:rPr>
          <w:rFonts w:ascii="Tahoma" w:hAnsi="Tahoma" w:cs="Tahoma"/>
          <w:sz w:val="20"/>
          <w:szCs w:val="20"/>
        </w:rPr>
        <w:t>Général</w:t>
      </w:r>
      <w:r w:rsidR="00DB1635" w:rsidRPr="00B004EE">
        <w:rPr>
          <w:rFonts w:ascii="Tahoma" w:hAnsi="Tahoma" w:cs="Tahoma"/>
          <w:sz w:val="20"/>
          <w:szCs w:val="20"/>
        </w:rPr>
        <w:t xml:space="preserve"> </w:t>
      </w:r>
      <w:r w:rsidR="002F24E1" w:rsidRPr="00B004EE">
        <w:rPr>
          <w:rFonts w:ascii="Tahoma" w:hAnsi="Tahoma" w:cs="Tahoma"/>
          <w:sz w:val="20"/>
          <w:szCs w:val="20"/>
        </w:rPr>
        <w:t>du</w:t>
      </w:r>
      <w:r w:rsidR="00DB1635" w:rsidRPr="00B004EE">
        <w:rPr>
          <w:rFonts w:ascii="Tahoma" w:hAnsi="Tahoma" w:cs="Tahoma"/>
          <w:sz w:val="20"/>
          <w:szCs w:val="20"/>
        </w:rPr>
        <w:t xml:space="preserve"> </w:t>
      </w:r>
      <w:r w:rsidR="002F24E1" w:rsidRPr="00B004EE">
        <w:rPr>
          <w:rFonts w:ascii="Tahoma" w:hAnsi="Tahoma" w:cs="Tahoma"/>
          <w:sz w:val="20"/>
          <w:szCs w:val="20"/>
        </w:rPr>
        <w:t>Ministère</w:t>
      </w:r>
      <w:r w:rsidR="00DB1635" w:rsidRPr="00B004EE">
        <w:rPr>
          <w:rFonts w:ascii="Tahoma" w:hAnsi="Tahoma" w:cs="Tahoma"/>
          <w:sz w:val="20"/>
          <w:szCs w:val="20"/>
        </w:rPr>
        <w:t xml:space="preserve"> </w:t>
      </w:r>
      <w:r w:rsidR="002F24E1" w:rsidRPr="00B004EE">
        <w:rPr>
          <w:rFonts w:ascii="Tahoma" w:hAnsi="Tahoma" w:cs="Tahoma"/>
          <w:sz w:val="20"/>
          <w:szCs w:val="20"/>
        </w:rPr>
        <w:t>du</w:t>
      </w:r>
      <w:r w:rsidR="00DB1635" w:rsidRPr="00B004EE">
        <w:rPr>
          <w:rFonts w:ascii="Tahoma" w:hAnsi="Tahoma" w:cs="Tahoma"/>
          <w:sz w:val="20"/>
          <w:szCs w:val="20"/>
        </w:rPr>
        <w:t xml:space="preserve"> </w:t>
      </w:r>
      <w:r w:rsidR="002F24E1" w:rsidRPr="00B004EE">
        <w:rPr>
          <w:rFonts w:ascii="Tahoma" w:hAnsi="Tahoma" w:cs="Tahoma"/>
          <w:sz w:val="20"/>
          <w:szCs w:val="20"/>
        </w:rPr>
        <w:t>Développement</w:t>
      </w:r>
      <w:r w:rsidR="00DB1635" w:rsidRPr="00B004EE">
        <w:rPr>
          <w:rFonts w:ascii="Tahoma" w:hAnsi="Tahoma" w:cs="Tahoma"/>
          <w:sz w:val="20"/>
          <w:szCs w:val="20"/>
        </w:rPr>
        <w:t xml:space="preserve"> </w:t>
      </w:r>
      <w:r w:rsidR="002F24E1" w:rsidRPr="00B004EE">
        <w:rPr>
          <w:rFonts w:ascii="Tahoma" w:hAnsi="Tahoma" w:cs="Tahoma"/>
          <w:sz w:val="20"/>
          <w:szCs w:val="20"/>
        </w:rPr>
        <w:t>Rural</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l'Environnement</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le</w:t>
      </w:r>
      <w:r w:rsidR="00DB1635" w:rsidRPr="00B004EE">
        <w:rPr>
          <w:rFonts w:ascii="Tahoma" w:hAnsi="Tahoma" w:cs="Tahoma"/>
          <w:sz w:val="20"/>
          <w:szCs w:val="20"/>
        </w:rPr>
        <w:t xml:space="preserve"> </w:t>
      </w:r>
      <w:r w:rsidR="002F24E1" w:rsidRPr="00B004EE">
        <w:rPr>
          <w:rFonts w:ascii="Tahoma" w:hAnsi="Tahoma" w:cs="Tahoma"/>
          <w:sz w:val="20"/>
          <w:szCs w:val="20"/>
        </w:rPr>
        <w:t>Secrétaire</w:t>
      </w:r>
      <w:r w:rsidR="00DB1635" w:rsidRPr="00B004EE">
        <w:rPr>
          <w:rFonts w:ascii="Tahoma" w:hAnsi="Tahoma" w:cs="Tahoma"/>
          <w:sz w:val="20"/>
          <w:szCs w:val="20"/>
        </w:rPr>
        <w:t xml:space="preserve"> </w:t>
      </w:r>
      <w:r w:rsidR="002F24E1" w:rsidRPr="00B004EE">
        <w:rPr>
          <w:rFonts w:ascii="Tahoma" w:hAnsi="Tahoma" w:cs="Tahoma"/>
          <w:sz w:val="20"/>
          <w:szCs w:val="20"/>
        </w:rPr>
        <w:t>Général</w:t>
      </w:r>
      <w:r w:rsidR="00DB1635" w:rsidRPr="00B004EE">
        <w:rPr>
          <w:rFonts w:ascii="Tahoma" w:hAnsi="Tahoma" w:cs="Tahoma"/>
          <w:sz w:val="20"/>
          <w:szCs w:val="20"/>
        </w:rPr>
        <w:t xml:space="preserve"> </w:t>
      </w:r>
      <w:r w:rsidR="002F24E1" w:rsidRPr="00B004EE">
        <w:rPr>
          <w:rFonts w:ascii="Tahoma" w:hAnsi="Tahoma" w:cs="Tahoma"/>
          <w:sz w:val="20"/>
          <w:szCs w:val="20"/>
        </w:rPr>
        <w:t>du</w:t>
      </w:r>
      <w:r w:rsidR="00DB1635" w:rsidRPr="00B004EE">
        <w:rPr>
          <w:rFonts w:ascii="Tahoma" w:hAnsi="Tahoma" w:cs="Tahoma"/>
          <w:sz w:val="20"/>
          <w:szCs w:val="20"/>
        </w:rPr>
        <w:t xml:space="preserve"> </w:t>
      </w:r>
      <w:r w:rsidR="002F24E1" w:rsidRPr="00B004EE">
        <w:rPr>
          <w:rFonts w:ascii="Tahoma" w:hAnsi="Tahoma" w:cs="Tahoma"/>
          <w:sz w:val="20"/>
          <w:szCs w:val="20"/>
        </w:rPr>
        <w:t>Ministère</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la</w:t>
      </w:r>
      <w:r w:rsidR="00DB1635" w:rsidRPr="00B004EE">
        <w:rPr>
          <w:rFonts w:ascii="Tahoma" w:hAnsi="Tahoma" w:cs="Tahoma"/>
          <w:sz w:val="20"/>
          <w:szCs w:val="20"/>
        </w:rPr>
        <w:t xml:space="preserve"> </w:t>
      </w:r>
      <w:r w:rsidR="002F24E1" w:rsidRPr="00B004EE">
        <w:rPr>
          <w:rFonts w:ascii="Tahoma" w:hAnsi="Tahoma" w:cs="Tahoma"/>
          <w:sz w:val="20"/>
          <w:szCs w:val="20"/>
        </w:rPr>
        <w:t>Santé</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des</w:t>
      </w:r>
      <w:r w:rsidR="00DB1635" w:rsidRPr="00B004EE">
        <w:rPr>
          <w:rFonts w:ascii="Tahoma" w:hAnsi="Tahoma" w:cs="Tahoma"/>
          <w:sz w:val="20"/>
          <w:szCs w:val="20"/>
        </w:rPr>
        <w:t xml:space="preserve"> </w:t>
      </w:r>
      <w:r w:rsidR="002F24E1" w:rsidRPr="00B004EE">
        <w:rPr>
          <w:rFonts w:ascii="Tahoma" w:hAnsi="Tahoma" w:cs="Tahoma"/>
          <w:sz w:val="20"/>
          <w:szCs w:val="20"/>
        </w:rPr>
        <w:t>Affaires</w:t>
      </w:r>
      <w:r w:rsidR="00DB1635" w:rsidRPr="00B004EE">
        <w:rPr>
          <w:rFonts w:ascii="Tahoma" w:hAnsi="Tahoma" w:cs="Tahoma"/>
          <w:sz w:val="20"/>
          <w:szCs w:val="20"/>
        </w:rPr>
        <w:t xml:space="preserve"> </w:t>
      </w:r>
      <w:r w:rsidR="002F24E1" w:rsidRPr="00B004EE">
        <w:rPr>
          <w:rFonts w:ascii="Tahoma" w:hAnsi="Tahoma" w:cs="Tahoma"/>
          <w:sz w:val="20"/>
          <w:szCs w:val="20"/>
        </w:rPr>
        <w:t>Sociales</w:t>
      </w:r>
      <w:r w:rsidR="00DB1635" w:rsidRPr="00B004EE">
        <w:rPr>
          <w:rFonts w:ascii="Tahoma" w:hAnsi="Tahoma" w:cs="Tahoma"/>
          <w:sz w:val="20"/>
          <w:szCs w:val="20"/>
        </w:rPr>
        <w:t xml:space="preserve"> </w:t>
      </w:r>
      <w:r w:rsidR="002F24E1" w:rsidRPr="00B004EE">
        <w:rPr>
          <w:rFonts w:ascii="Tahoma" w:hAnsi="Tahoma" w:cs="Tahoma"/>
          <w:sz w:val="20"/>
          <w:szCs w:val="20"/>
        </w:rPr>
        <w:t>sont</w:t>
      </w:r>
      <w:r w:rsidR="00DB1635" w:rsidRPr="00B004EE">
        <w:rPr>
          <w:rFonts w:ascii="Tahoma" w:hAnsi="Tahoma" w:cs="Tahoma"/>
          <w:sz w:val="20"/>
          <w:szCs w:val="20"/>
        </w:rPr>
        <w:t xml:space="preserve"> </w:t>
      </w:r>
      <w:r w:rsidR="002F24E1" w:rsidRPr="00B004EE">
        <w:rPr>
          <w:rFonts w:ascii="Tahoma" w:hAnsi="Tahoma" w:cs="Tahoma"/>
          <w:sz w:val="20"/>
          <w:szCs w:val="20"/>
        </w:rPr>
        <w:t>chargés,</w:t>
      </w:r>
      <w:r w:rsidR="00DB1635" w:rsidRPr="00B004EE">
        <w:rPr>
          <w:rFonts w:ascii="Tahoma" w:hAnsi="Tahoma" w:cs="Tahoma"/>
          <w:sz w:val="20"/>
          <w:szCs w:val="20"/>
        </w:rPr>
        <w:t xml:space="preserve"> </w:t>
      </w:r>
      <w:r w:rsidR="002F24E1" w:rsidRPr="00B004EE">
        <w:rPr>
          <w:rFonts w:ascii="Tahoma" w:hAnsi="Tahoma" w:cs="Tahoma"/>
          <w:sz w:val="20"/>
          <w:szCs w:val="20"/>
        </w:rPr>
        <w:t>chacun</w:t>
      </w:r>
      <w:r w:rsidR="00DB1635" w:rsidRPr="00B004EE">
        <w:rPr>
          <w:rFonts w:ascii="Tahoma" w:hAnsi="Tahoma" w:cs="Tahoma"/>
          <w:sz w:val="20"/>
          <w:szCs w:val="20"/>
        </w:rPr>
        <w:t xml:space="preserve"> </w:t>
      </w:r>
      <w:r w:rsidR="002F24E1" w:rsidRPr="00B004EE">
        <w:rPr>
          <w:rFonts w:ascii="Tahoma" w:hAnsi="Tahoma" w:cs="Tahoma"/>
          <w:sz w:val="20"/>
          <w:szCs w:val="20"/>
        </w:rPr>
        <w:t>en</w:t>
      </w:r>
      <w:r w:rsidR="00DB1635" w:rsidRPr="00B004EE">
        <w:rPr>
          <w:rFonts w:ascii="Tahoma" w:hAnsi="Tahoma" w:cs="Tahoma"/>
          <w:sz w:val="20"/>
          <w:szCs w:val="20"/>
        </w:rPr>
        <w:t xml:space="preserve"> </w:t>
      </w:r>
      <w:r w:rsidR="002F24E1" w:rsidRPr="00B004EE">
        <w:rPr>
          <w:rFonts w:ascii="Tahoma" w:hAnsi="Tahoma" w:cs="Tahoma"/>
          <w:sz w:val="20"/>
          <w:szCs w:val="20"/>
        </w:rPr>
        <w:t>ce</w:t>
      </w:r>
      <w:r w:rsidR="00DB1635" w:rsidRPr="00B004EE">
        <w:rPr>
          <w:rFonts w:ascii="Tahoma" w:hAnsi="Tahoma" w:cs="Tahoma"/>
          <w:sz w:val="20"/>
          <w:szCs w:val="20"/>
        </w:rPr>
        <w:t xml:space="preserve"> </w:t>
      </w:r>
      <w:r w:rsidR="002F24E1" w:rsidRPr="00B004EE">
        <w:rPr>
          <w:rFonts w:ascii="Tahoma" w:hAnsi="Tahoma" w:cs="Tahoma"/>
          <w:sz w:val="20"/>
          <w:szCs w:val="20"/>
        </w:rPr>
        <w:t>qui</w:t>
      </w:r>
      <w:r w:rsidR="00DB1635" w:rsidRPr="00B004EE">
        <w:rPr>
          <w:rFonts w:ascii="Tahoma" w:hAnsi="Tahoma" w:cs="Tahoma"/>
          <w:sz w:val="20"/>
          <w:szCs w:val="20"/>
        </w:rPr>
        <w:t xml:space="preserve"> </w:t>
      </w:r>
      <w:r w:rsidR="002F24E1" w:rsidRPr="00B004EE">
        <w:rPr>
          <w:rFonts w:ascii="Tahoma" w:hAnsi="Tahoma" w:cs="Tahoma"/>
          <w:sz w:val="20"/>
          <w:szCs w:val="20"/>
        </w:rPr>
        <w:t>concerne</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l'exécution</w:t>
      </w:r>
      <w:r w:rsidR="00DB1635" w:rsidRPr="00B004EE">
        <w:rPr>
          <w:rFonts w:ascii="Tahoma" w:hAnsi="Tahoma" w:cs="Tahoma"/>
          <w:sz w:val="20"/>
          <w:szCs w:val="20"/>
        </w:rPr>
        <w:t xml:space="preserve"> </w:t>
      </w:r>
      <w:r w:rsidR="002F24E1" w:rsidRPr="00B004EE">
        <w:rPr>
          <w:rFonts w:ascii="Tahoma" w:hAnsi="Tahoma" w:cs="Tahoma"/>
          <w:sz w:val="20"/>
          <w:szCs w:val="20"/>
        </w:rPr>
        <w:t>du</w:t>
      </w:r>
      <w:r w:rsidR="00DB1635" w:rsidRPr="00B004EE">
        <w:rPr>
          <w:rFonts w:ascii="Tahoma" w:hAnsi="Tahoma" w:cs="Tahoma"/>
          <w:sz w:val="20"/>
          <w:szCs w:val="20"/>
        </w:rPr>
        <w:t xml:space="preserve"> </w:t>
      </w:r>
      <w:r w:rsidR="002F24E1" w:rsidRPr="00B004EE">
        <w:rPr>
          <w:rFonts w:ascii="Tahoma" w:hAnsi="Tahoma" w:cs="Tahoma"/>
          <w:sz w:val="20"/>
          <w:szCs w:val="20"/>
        </w:rPr>
        <w:t>présent</w:t>
      </w:r>
      <w:r w:rsidR="00DB1635" w:rsidRPr="00B004EE">
        <w:rPr>
          <w:rFonts w:ascii="Tahoma" w:hAnsi="Tahoma" w:cs="Tahoma"/>
          <w:sz w:val="20"/>
          <w:szCs w:val="20"/>
        </w:rPr>
        <w:t xml:space="preserve"> </w:t>
      </w:r>
      <w:r w:rsidR="002F24E1" w:rsidRPr="00B004EE">
        <w:rPr>
          <w:rFonts w:ascii="Tahoma" w:hAnsi="Tahoma" w:cs="Tahoma"/>
          <w:sz w:val="20"/>
          <w:szCs w:val="20"/>
        </w:rPr>
        <w:t>arrêté</w:t>
      </w:r>
      <w:r w:rsidR="00DB1635" w:rsidRPr="00B004EE">
        <w:rPr>
          <w:rFonts w:ascii="Tahoma" w:hAnsi="Tahoma" w:cs="Tahoma"/>
          <w:sz w:val="20"/>
          <w:szCs w:val="20"/>
        </w:rPr>
        <w:t xml:space="preserve"> </w:t>
      </w:r>
      <w:r w:rsidR="002F24E1" w:rsidRPr="00B004EE">
        <w:rPr>
          <w:rFonts w:ascii="Tahoma" w:hAnsi="Tahoma" w:cs="Tahoma"/>
          <w:sz w:val="20"/>
          <w:szCs w:val="20"/>
        </w:rPr>
        <w:t>qui</w:t>
      </w:r>
      <w:r w:rsidR="00DB1635" w:rsidRPr="00B004EE">
        <w:rPr>
          <w:rFonts w:ascii="Tahoma" w:hAnsi="Tahoma" w:cs="Tahoma"/>
          <w:sz w:val="20"/>
          <w:szCs w:val="20"/>
        </w:rPr>
        <w:t xml:space="preserve"> </w:t>
      </w:r>
      <w:r w:rsidR="002F24E1" w:rsidRPr="00B004EE">
        <w:rPr>
          <w:rFonts w:ascii="Tahoma" w:hAnsi="Tahoma" w:cs="Tahoma"/>
          <w:sz w:val="20"/>
          <w:szCs w:val="20"/>
        </w:rPr>
        <w:t>sera</w:t>
      </w:r>
      <w:r w:rsidR="00DB1635" w:rsidRPr="00B004EE">
        <w:rPr>
          <w:rFonts w:ascii="Tahoma" w:hAnsi="Tahoma" w:cs="Tahoma"/>
          <w:sz w:val="20"/>
          <w:szCs w:val="20"/>
        </w:rPr>
        <w:t xml:space="preserve"> </w:t>
      </w:r>
      <w:r w:rsidR="00765078" w:rsidRPr="00B004EE">
        <w:rPr>
          <w:rFonts w:ascii="Tahoma" w:hAnsi="Tahoma" w:cs="Tahoma"/>
          <w:sz w:val="20"/>
          <w:szCs w:val="20"/>
        </w:rPr>
        <w:t>publié</w:t>
      </w:r>
      <w:r w:rsidR="00DB1635" w:rsidRPr="00B004EE">
        <w:rPr>
          <w:rFonts w:ascii="Tahoma" w:hAnsi="Tahoma" w:cs="Tahoma"/>
          <w:sz w:val="20"/>
          <w:szCs w:val="20"/>
        </w:rPr>
        <w:t xml:space="preserve"> </w:t>
      </w:r>
      <w:r w:rsidR="002F24E1" w:rsidRPr="00B004EE">
        <w:rPr>
          <w:rFonts w:ascii="Tahoma" w:hAnsi="Tahoma" w:cs="Tahoma"/>
          <w:sz w:val="20"/>
          <w:szCs w:val="20"/>
        </w:rPr>
        <w:t>au</w:t>
      </w:r>
      <w:r w:rsidR="00DB1635" w:rsidRPr="00B004EE">
        <w:rPr>
          <w:rFonts w:ascii="Tahoma" w:hAnsi="Tahoma" w:cs="Tahoma"/>
          <w:sz w:val="20"/>
          <w:szCs w:val="20"/>
        </w:rPr>
        <w:t xml:space="preserve"> </w:t>
      </w:r>
      <w:r w:rsidR="002F24E1" w:rsidRPr="00B004EE">
        <w:rPr>
          <w:rFonts w:ascii="Tahoma" w:hAnsi="Tahoma" w:cs="Tahoma"/>
          <w:sz w:val="20"/>
          <w:szCs w:val="20"/>
        </w:rPr>
        <w:t>Journal</w:t>
      </w:r>
      <w:r w:rsidR="00DB1635" w:rsidRPr="00B004EE">
        <w:rPr>
          <w:rFonts w:ascii="Tahoma" w:hAnsi="Tahoma" w:cs="Tahoma"/>
          <w:sz w:val="20"/>
          <w:szCs w:val="20"/>
        </w:rPr>
        <w:t xml:space="preserve"> </w:t>
      </w:r>
      <w:r w:rsidR="002F24E1" w:rsidRPr="00B004EE">
        <w:rPr>
          <w:rFonts w:ascii="Tahoma" w:hAnsi="Tahoma" w:cs="Tahoma"/>
          <w:sz w:val="20"/>
          <w:szCs w:val="20"/>
        </w:rPr>
        <w:t>Officiel.</w:t>
      </w:r>
    </w:p>
    <w:p w14:paraId="5261065C" w14:textId="77777777" w:rsidR="000C2482" w:rsidRPr="00B004EE" w:rsidRDefault="000C2482" w:rsidP="00B004EE">
      <w:pPr>
        <w:jc w:val="both"/>
        <w:rPr>
          <w:rFonts w:ascii="Tahoma" w:hAnsi="Tahoma" w:cs="Tahoma"/>
          <w:sz w:val="20"/>
          <w:szCs w:val="20"/>
        </w:rPr>
      </w:pPr>
    </w:p>
    <w:p w14:paraId="34B3C4EE" w14:textId="26446E18" w:rsidR="000C2482" w:rsidRPr="00B004EE" w:rsidRDefault="00ED050B" w:rsidP="00B004EE">
      <w:pPr>
        <w:jc w:val="right"/>
        <w:rPr>
          <w:rFonts w:ascii="Tahoma" w:hAnsi="Tahoma" w:cs="Tahoma"/>
          <w:sz w:val="20"/>
          <w:szCs w:val="20"/>
        </w:rPr>
      </w:pPr>
      <w:r w:rsidRPr="00B004EE">
        <w:rPr>
          <w:rFonts w:ascii="Tahoma" w:hAnsi="Tahoma" w:cs="Tahoma"/>
          <w:i/>
          <w:iCs/>
          <w:sz w:val="20"/>
          <w:szCs w:val="20"/>
        </w:rPr>
        <w:t>Fait</w:t>
      </w:r>
      <w:r w:rsidR="00DB1635" w:rsidRPr="00B004EE">
        <w:rPr>
          <w:rFonts w:ascii="Tahoma" w:hAnsi="Tahoma" w:cs="Tahoma"/>
          <w:i/>
          <w:iCs/>
          <w:sz w:val="20"/>
          <w:szCs w:val="20"/>
        </w:rPr>
        <w:t xml:space="preserve"> </w:t>
      </w:r>
      <w:r w:rsidRPr="00B004EE">
        <w:rPr>
          <w:rFonts w:ascii="Tahoma" w:hAnsi="Tahoma" w:cs="Tahoma"/>
          <w:i/>
          <w:iCs/>
          <w:sz w:val="20"/>
          <w:szCs w:val="20"/>
        </w:rPr>
        <w:t>à</w:t>
      </w:r>
      <w:r w:rsidR="00DB1635" w:rsidRPr="00B004EE">
        <w:rPr>
          <w:rFonts w:ascii="Tahoma" w:hAnsi="Tahoma" w:cs="Tahoma"/>
          <w:i/>
          <w:iCs/>
          <w:sz w:val="20"/>
          <w:szCs w:val="20"/>
        </w:rPr>
        <w:t xml:space="preserve"> </w:t>
      </w:r>
      <w:r w:rsidRPr="00B004EE">
        <w:rPr>
          <w:rFonts w:ascii="Tahoma" w:hAnsi="Tahoma" w:cs="Tahoma"/>
          <w:i/>
          <w:iCs/>
          <w:sz w:val="20"/>
          <w:szCs w:val="20"/>
        </w:rPr>
        <w:t>Nouakchott,</w:t>
      </w:r>
      <w:r w:rsidR="00DB1635" w:rsidRPr="00B004EE">
        <w:rPr>
          <w:rFonts w:ascii="Tahoma" w:hAnsi="Tahoma" w:cs="Tahoma"/>
          <w:i/>
          <w:iCs/>
          <w:sz w:val="20"/>
          <w:szCs w:val="20"/>
        </w:rPr>
        <w:t xml:space="preserve"> </w:t>
      </w:r>
      <w:r w:rsidRPr="00B004EE">
        <w:rPr>
          <w:rFonts w:ascii="Tahoma" w:hAnsi="Tahoma" w:cs="Tahoma"/>
          <w:i/>
          <w:iCs/>
          <w:sz w:val="20"/>
          <w:szCs w:val="20"/>
        </w:rPr>
        <w:t>le</w:t>
      </w:r>
      <w:r w:rsidR="00DB1635" w:rsidRPr="00B004EE">
        <w:rPr>
          <w:rFonts w:ascii="Tahoma" w:hAnsi="Tahoma" w:cs="Tahoma"/>
          <w:i/>
          <w:iCs/>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09</w:t>
      </w:r>
      <w:r w:rsidR="00DB1635" w:rsidRPr="00B004EE">
        <w:rPr>
          <w:rFonts w:ascii="Tahoma" w:hAnsi="Tahoma" w:cs="Tahoma"/>
          <w:sz w:val="20"/>
          <w:szCs w:val="20"/>
        </w:rPr>
        <w:t xml:space="preserve"> </w:t>
      </w:r>
      <w:r w:rsidRPr="00B004EE">
        <w:rPr>
          <w:rFonts w:ascii="Tahoma" w:hAnsi="Tahoma" w:cs="Tahoma"/>
          <w:sz w:val="20"/>
          <w:szCs w:val="20"/>
        </w:rPr>
        <w:t>juin</w:t>
      </w:r>
      <w:r w:rsidR="00DB1635" w:rsidRPr="00B004EE">
        <w:rPr>
          <w:rFonts w:ascii="Tahoma" w:hAnsi="Tahoma" w:cs="Tahoma"/>
          <w:sz w:val="20"/>
          <w:szCs w:val="20"/>
        </w:rPr>
        <w:t xml:space="preserve"> </w:t>
      </w:r>
      <w:r w:rsidRPr="00B004EE">
        <w:rPr>
          <w:rFonts w:ascii="Tahoma" w:hAnsi="Tahoma" w:cs="Tahoma"/>
          <w:sz w:val="20"/>
          <w:szCs w:val="20"/>
        </w:rPr>
        <w:t>1996</w:t>
      </w:r>
    </w:p>
    <w:p w14:paraId="57164994" w14:textId="77777777" w:rsidR="002D5ACF" w:rsidRPr="00B004EE" w:rsidRDefault="002D5ACF" w:rsidP="00B004EE">
      <w:pPr>
        <w:jc w:val="right"/>
        <w:rPr>
          <w:rFonts w:ascii="Tahoma" w:hAnsi="Tahoma" w:cs="Tahoma"/>
          <w:sz w:val="20"/>
          <w:szCs w:val="20"/>
        </w:rPr>
      </w:pPr>
    </w:p>
    <w:p w14:paraId="4E68F402" w14:textId="77777777" w:rsidR="003A0723" w:rsidRPr="00B004EE" w:rsidRDefault="002D5ACF" w:rsidP="00B004EE">
      <w:pPr>
        <w:tabs>
          <w:tab w:val="left" w:pos="3834"/>
        </w:tabs>
        <w:autoSpaceDE w:val="0"/>
        <w:autoSpaceDN w:val="0"/>
        <w:adjustRightInd w:val="0"/>
        <w:ind w:left="857"/>
        <w:jc w:val="center"/>
        <w:rPr>
          <w:rFonts w:ascii="Tahoma" w:hAnsi="Tahoma" w:cs="Tahoma"/>
          <w:sz w:val="20"/>
          <w:szCs w:val="20"/>
        </w:rPr>
      </w:pPr>
      <w:r w:rsidRPr="00B004EE">
        <w:rPr>
          <w:rFonts w:ascii="Tahoma" w:hAnsi="Tahoma" w:cs="Tahoma"/>
          <w:sz w:val="20"/>
          <w:szCs w:val="20"/>
        </w:rPr>
        <w:t xml:space="preserve">Le Ministre des Pêches </w:t>
      </w:r>
    </w:p>
    <w:p w14:paraId="760B5288" w14:textId="37E7B073" w:rsidR="002D5ACF" w:rsidRPr="00B004EE" w:rsidRDefault="002D5ACF" w:rsidP="00B004EE">
      <w:pPr>
        <w:tabs>
          <w:tab w:val="left" w:pos="3834"/>
        </w:tabs>
        <w:autoSpaceDE w:val="0"/>
        <w:autoSpaceDN w:val="0"/>
        <w:adjustRightInd w:val="0"/>
        <w:ind w:left="857"/>
        <w:jc w:val="center"/>
        <w:rPr>
          <w:rFonts w:ascii="Tahoma" w:hAnsi="Tahoma" w:cs="Tahoma"/>
          <w:sz w:val="20"/>
          <w:szCs w:val="20"/>
        </w:rPr>
      </w:pPr>
      <w:proofErr w:type="gramStart"/>
      <w:r w:rsidRPr="00B004EE">
        <w:rPr>
          <w:rFonts w:ascii="Tahoma" w:hAnsi="Tahoma" w:cs="Tahoma"/>
          <w:sz w:val="20"/>
          <w:szCs w:val="20"/>
        </w:rPr>
        <w:t>et</w:t>
      </w:r>
      <w:proofErr w:type="gramEnd"/>
      <w:r w:rsidRPr="00B004EE">
        <w:rPr>
          <w:rFonts w:ascii="Tahoma" w:hAnsi="Tahoma" w:cs="Tahoma"/>
          <w:sz w:val="20"/>
          <w:szCs w:val="20"/>
        </w:rPr>
        <w:t xml:space="preserve"> de l’Economie Maritime </w:t>
      </w:r>
    </w:p>
    <w:p w14:paraId="7D87A579" w14:textId="3455C8EA" w:rsidR="002D5ACF" w:rsidRPr="00B004EE" w:rsidRDefault="003A0723" w:rsidP="00B004EE">
      <w:pPr>
        <w:tabs>
          <w:tab w:val="left" w:pos="3834"/>
        </w:tabs>
        <w:autoSpaceDE w:val="0"/>
        <w:autoSpaceDN w:val="0"/>
        <w:adjustRightInd w:val="0"/>
        <w:ind w:left="857"/>
        <w:jc w:val="center"/>
        <w:rPr>
          <w:rFonts w:ascii="Tahoma" w:hAnsi="Tahoma" w:cs="Tahoma"/>
          <w:sz w:val="20"/>
          <w:szCs w:val="20"/>
        </w:rPr>
      </w:pPr>
      <w:r w:rsidRPr="00B004EE">
        <w:rPr>
          <w:rFonts w:ascii="Tahoma" w:hAnsi="Tahoma" w:cs="Tahoma"/>
          <w:sz w:val="20"/>
          <w:szCs w:val="20"/>
        </w:rPr>
        <w:t>ABDELLAHI OULD NEM</w:t>
      </w:r>
    </w:p>
    <w:p w14:paraId="270D427C" w14:textId="665B5043" w:rsidR="003A0723" w:rsidRPr="00B004EE" w:rsidRDefault="003A0723" w:rsidP="00B004EE">
      <w:pPr>
        <w:autoSpaceDE w:val="0"/>
        <w:autoSpaceDN w:val="0"/>
        <w:adjustRightInd w:val="0"/>
        <w:jc w:val="center"/>
        <w:rPr>
          <w:rFonts w:ascii="Tahoma" w:hAnsi="Tahoma" w:cs="Tahoma"/>
          <w:b/>
          <w:bCs/>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4698"/>
      </w:tblGrid>
      <w:tr w:rsidR="00834860" w:rsidRPr="00B004EE" w14:paraId="1126C47A" w14:textId="77777777" w:rsidTr="00B004EE">
        <w:tc>
          <w:tcPr>
            <w:tcW w:w="4698" w:type="dxa"/>
          </w:tcPr>
          <w:p w14:paraId="7AEDC8AF" w14:textId="42169131" w:rsidR="003A0723" w:rsidRPr="00B004EE" w:rsidRDefault="003A0723" w:rsidP="00B004EE">
            <w:pPr>
              <w:tabs>
                <w:tab w:val="left" w:pos="3143"/>
              </w:tabs>
              <w:autoSpaceDE w:val="0"/>
              <w:autoSpaceDN w:val="0"/>
              <w:adjustRightInd w:val="0"/>
              <w:ind w:left="35" w:right="1045"/>
              <w:jc w:val="center"/>
              <w:rPr>
                <w:rFonts w:ascii="Tahoma" w:hAnsi="Tahoma" w:cs="Tahoma"/>
              </w:rPr>
            </w:pPr>
            <w:r w:rsidRPr="00B004EE">
              <w:rPr>
                <w:rFonts w:ascii="Tahoma" w:hAnsi="Tahoma" w:cs="Tahoma"/>
              </w:rPr>
              <w:t>Le Ministre du Commerce, de l’Artisanat et du Tourisme</w:t>
            </w:r>
          </w:p>
        </w:tc>
        <w:tc>
          <w:tcPr>
            <w:tcW w:w="4698" w:type="dxa"/>
          </w:tcPr>
          <w:p w14:paraId="0F38CD40" w14:textId="36033D82" w:rsidR="003A0723" w:rsidRPr="00B004EE" w:rsidRDefault="003A0723" w:rsidP="00B004EE">
            <w:pPr>
              <w:tabs>
                <w:tab w:val="left" w:pos="3834"/>
              </w:tabs>
              <w:autoSpaceDE w:val="0"/>
              <w:autoSpaceDN w:val="0"/>
              <w:adjustRightInd w:val="0"/>
              <w:ind w:left="857"/>
              <w:jc w:val="center"/>
              <w:rPr>
                <w:rFonts w:ascii="Tahoma" w:hAnsi="Tahoma" w:cs="Tahoma"/>
              </w:rPr>
            </w:pPr>
            <w:r w:rsidRPr="00B004EE">
              <w:rPr>
                <w:rFonts w:ascii="Tahoma" w:hAnsi="Tahoma" w:cs="Tahoma"/>
              </w:rPr>
              <w:t>Le Ministre du Développement Rural et de l’Environnement</w:t>
            </w:r>
          </w:p>
        </w:tc>
      </w:tr>
      <w:tr w:rsidR="003A0723" w:rsidRPr="00B004EE" w14:paraId="20218043" w14:textId="77777777" w:rsidTr="00B004EE">
        <w:tc>
          <w:tcPr>
            <w:tcW w:w="4698" w:type="dxa"/>
          </w:tcPr>
          <w:p w14:paraId="174C46F4" w14:textId="2826E44E" w:rsidR="003A0723" w:rsidRPr="00B004EE" w:rsidRDefault="003A0723" w:rsidP="00B004EE">
            <w:pPr>
              <w:tabs>
                <w:tab w:val="left" w:pos="3834"/>
              </w:tabs>
              <w:autoSpaceDE w:val="0"/>
              <w:autoSpaceDN w:val="0"/>
              <w:adjustRightInd w:val="0"/>
              <w:ind w:left="166" w:right="913"/>
              <w:rPr>
                <w:rFonts w:ascii="Tahoma" w:hAnsi="Tahoma" w:cs="Tahoma"/>
              </w:rPr>
            </w:pPr>
            <w:r w:rsidRPr="00B004EE">
              <w:rPr>
                <w:rFonts w:ascii="Tahoma" w:hAnsi="Tahoma" w:cs="Tahoma"/>
                <w:lang w:val="en-US"/>
              </w:rPr>
              <w:t>BOIDIEL OULD HOUMEID</w:t>
            </w:r>
          </w:p>
        </w:tc>
        <w:tc>
          <w:tcPr>
            <w:tcW w:w="4698" w:type="dxa"/>
          </w:tcPr>
          <w:p w14:paraId="644AAED1" w14:textId="0D310F72" w:rsidR="003A0723" w:rsidRPr="00B004EE" w:rsidRDefault="00834860" w:rsidP="00B004EE">
            <w:pPr>
              <w:tabs>
                <w:tab w:val="left" w:pos="3834"/>
              </w:tabs>
              <w:autoSpaceDE w:val="0"/>
              <w:autoSpaceDN w:val="0"/>
              <w:adjustRightInd w:val="0"/>
              <w:ind w:left="716"/>
              <w:jc w:val="center"/>
              <w:rPr>
                <w:rFonts w:ascii="Tahoma" w:hAnsi="Tahoma" w:cs="Tahoma"/>
              </w:rPr>
            </w:pPr>
            <w:r w:rsidRPr="00B004EE">
              <w:rPr>
                <w:rFonts w:ascii="Tahoma" w:hAnsi="Tahoma" w:cs="Tahoma"/>
                <w:lang w:val="en-US"/>
              </w:rPr>
              <w:t>CH’BBIH OULD CHEIKH MELAININE</w:t>
            </w:r>
          </w:p>
        </w:tc>
      </w:tr>
      <w:tr w:rsidR="003A0723" w:rsidRPr="00B004EE" w14:paraId="0E14C6F5" w14:textId="77777777" w:rsidTr="00B004EE">
        <w:tc>
          <w:tcPr>
            <w:tcW w:w="4698" w:type="dxa"/>
          </w:tcPr>
          <w:p w14:paraId="4042593D" w14:textId="77777777" w:rsidR="003A0723" w:rsidRPr="00B004EE" w:rsidRDefault="003A0723" w:rsidP="00B004EE">
            <w:pPr>
              <w:tabs>
                <w:tab w:val="left" w:pos="3834"/>
              </w:tabs>
              <w:autoSpaceDE w:val="0"/>
              <w:autoSpaceDN w:val="0"/>
              <w:adjustRightInd w:val="0"/>
              <w:ind w:left="-118" w:right="913"/>
              <w:jc w:val="center"/>
              <w:rPr>
                <w:rFonts w:ascii="Tahoma" w:hAnsi="Tahoma" w:cs="Tahoma"/>
              </w:rPr>
            </w:pPr>
          </w:p>
        </w:tc>
        <w:tc>
          <w:tcPr>
            <w:tcW w:w="4698" w:type="dxa"/>
          </w:tcPr>
          <w:p w14:paraId="4C665D44" w14:textId="465B7F86" w:rsidR="00834860" w:rsidRPr="00B004EE" w:rsidRDefault="00834860" w:rsidP="00B004EE">
            <w:pPr>
              <w:tabs>
                <w:tab w:val="left" w:pos="3834"/>
              </w:tabs>
              <w:autoSpaceDE w:val="0"/>
              <w:autoSpaceDN w:val="0"/>
              <w:adjustRightInd w:val="0"/>
              <w:jc w:val="center"/>
              <w:rPr>
                <w:rFonts w:ascii="Tahoma" w:hAnsi="Tahoma" w:cs="Tahoma"/>
              </w:rPr>
            </w:pPr>
          </w:p>
        </w:tc>
      </w:tr>
      <w:tr w:rsidR="00834860" w:rsidRPr="00B004EE" w14:paraId="17565341" w14:textId="77777777" w:rsidTr="00B004EE">
        <w:tc>
          <w:tcPr>
            <w:tcW w:w="9396" w:type="dxa"/>
            <w:gridSpan w:val="2"/>
          </w:tcPr>
          <w:p w14:paraId="40DFBBAE" w14:textId="77777777" w:rsidR="00834860" w:rsidRPr="00B004EE" w:rsidRDefault="00834860" w:rsidP="00B004EE">
            <w:pPr>
              <w:tabs>
                <w:tab w:val="left" w:pos="3834"/>
              </w:tabs>
              <w:autoSpaceDE w:val="0"/>
              <w:autoSpaceDN w:val="0"/>
              <w:adjustRightInd w:val="0"/>
              <w:jc w:val="center"/>
              <w:rPr>
                <w:rFonts w:ascii="Tahoma" w:hAnsi="Tahoma" w:cs="Tahoma"/>
              </w:rPr>
            </w:pPr>
            <w:r w:rsidRPr="00B004EE">
              <w:rPr>
                <w:rFonts w:ascii="Tahoma" w:hAnsi="Tahoma" w:cs="Tahoma"/>
              </w:rPr>
              <w:t xml:space="preserve">Le Ministre De La Sante </w:t>
            </w:r>
          </w:p>
          <w:p w14:paraId="71DBC660" w14:textId="375B33D1" w:rsidR="00834860" w:rsidRPr="00B004EE" w:rsidRDefault="00834860" w:rsidP="00B004EE">
            <w:pPr>
              <w:tabs>
                <w:tab w:val="left" w:pos="3834"/>
              </w:tabs>
              <w:autoSpaceDE w:val="0"/>
              <w:autoSpaceDN w:val="0"/>
              <w:adjustRightInd w:val="0"/>
              <w:jc w:val="center"/>
              <w:rPr>
                <w:rFonts w:ascii="Tahoma" w:hAnsi="Tahoma" w:cs="Tahoma"/>
              </w:rPr>
            </w:pPr>
            <w:r w:rsidRPr="00B004EE">
              <w:rPr>
                <w:rFonts w:ascii="Tahoma" w:hAnsi="Tahoma" w:cs="Tahoma"/>
              </w:rPr>
              <w:t>et des Affaires Sociales</w:t>
            </w:r>
          </w:p>
        </w:tc>
      </w:tr>
      <w:tr w:rsidR="00834860" w:rsidRPr="00B004EE" w14:paraId="5D5586DF" w14:textId="77777777" w:rsidTr="00B004EE">
        <w:tc>
          <w:tcPr>
            <w:tcW w:w="9396" w:type="dxa"/>
            <w:gridSpan w:val="2"/>
          </w:tcPr>
          <w:p w14:paraId="425BF868" w14:textId="069D6EA1" w:rsidR="00834860" w:rsidRPr="00B004EE" w:rsidRDefault="00834860" w:rsidP="00B004EE">
            <w:pPr>
              <w:tabs>
                <w:tab w:val="left" w:pos="3834"/>
              </w:tabs>
              <w:autoSpaceDE w:val="0"/>
              <w:autoSpaceDN w:val="0"/>
              <w:adjustRightInd w:val="0"/>
              <w:ind w:left="432" w:right="365"/>
              <w:jc w:val="center"/>
              <w:rPr>
                <w:rFonts w:ascii="Tahoma" w:hAnsi="Tahoma" w:cs="Tahoma"/>
                <w:lang w:val="en-US"/>
              </w:rPr>
            </w:pPr>
            <w:r w:rsidRPr="00B004EE">
              <w:rPr>
                <w:rFonts w:ascii="Tahoma" w:hAnsi="Tahoma" w:cs="Tahoma"/>
                <w:lang w:val="en-US"/>
              </w:rPr>
              <w:t>SOW ABOU DEMBA</w:t>
            </w:r>
          </w:p>
        </w:tc>
      </w:tr>
    </w:tbl>
    <w:p w14:paraId="2A404F3C" w14:textId="77777777" w:rsidR="007127C2" w:rsidRPr="00B004EE" w:rsidRDefault="007127C2" w:rsidP="00B004EE">
      <w:pPr>
        <w:rPr>
          <w:rFonts w:ascii="Tahoma" w:hAnsi="Tahoma" w:cs="Tahoma"/>
          <w:sz w:val="20"/>
          <w:szCs w:val="20"/>
          <w:lang w:val="en-US"/>
        </w:rPr>
      </w:pPr>
    </w:p>
    <w:p w14:paraId="7C4973B6" w14:textId="77777777" w:rsidR="000E62A6" w:rsidRPr="00B004EE" w:rsidRDefault="000E62A6" w:rsidP="00B004EE">
      <w:pPr>
        <w:autoSpaceDE w:val="0"/>
        <w:autoSpaceDN w:val="0"/>
        <w:adjustRightInd w:val="0"/>
        <w:ind w:left="3969"/>
        <w:jc w:val="both"/>
        <w:rPr>
          <w:rFonts w:ascii="Tahoma" w:hAnsi="Tahoma" w:cs="Tahoma"/>
          <w:sz w:val="20"/>
          <w:szCs w:val="20"/>
          <w:lang w:val="en-US"/>
        </w:rPr>
        <w:sectPr w:rsidR="000E62A6" w:rsidRPr="00B004EE" w:rsidSect="00983185">
          <w:pgSz w:w="12240" w:h="15840"/>
          <w:pgMar w:top="1417" w:right="1417" w:bottom="1417" w:left="1417" w:header="720" w:footer="720" w:gutter="0"/>
          <w:cols w:space="720"/>
          <w:noEndnote/>
          <w:docGrid w:linePitch="326"/>
        </w:sectPr>
      </w:pPr>
      <w:bookmarkStart w:id="172" w:name="_Toc317340031"/>
      <w:bookmarkStart w:id="173" w:name="_Toc16288669"/>
      <w:bookmarkStart w:id="174" w:name="_Toc17022011"/>
    </w:p>
    <w:p w14:paraId="1392B705" w14:textId="5DFC0D9E" w:rsidR="002F24E1" w:rsidRPr="002D26AE" w:rsidRDefault="002F24E1" w:rsidP="002D26AE">
      <w:pPr>
        <w:pStyle w:val="Titre1"/>
        <w:pBdr>
          <w:top w:val="thinThickMediumGap" w:sz="24" w:space="1" w:color="70AD47" w:themeColor="accent6"/>
          <w:left w:val="thinThickMediumGap" w:sz="24" w:space="4" w:color="70AD47" w:themeColor="accent6"/>
          <w:bottom w:val="thickThinMediumGap" w:sz="24" w:space="1" w:color="70AD47" w:themeColor="accent6"/>
          <w:right w:val="thickThinMediumGap" w:sz="24" w:space="4" w:color="70AD47" w:themeColor="accent6"/>
        </w:pBdr>
        <w:spacing w:line="276" w:lineRule="auto"/>
        <w:rPr>
          <w:rFonts w:ascii="Tahoma" w:hAnsi="Tahoma" w:cs="Tahoma"/>
          <w:szCs w:val="22"/>
        </w:rPr>
      </w:pPr>
      <w:bookmarkStart w:id="175" w:name="_Toc202214684"/>
      <w:r w:rsidRPr="002D26AE">
        <w:rPr>
          <w:rFonts w:ascii="Tahoma" w:hAnsi="Tahoma" w:cs="Tahoma"/>
          <w:szCs w:val="22"/>
        </w:rPr>
        <w:lastRenderedPageBreak/>
        <w:t>Arrêt</w:t>
      </w:r>
      <w:r w:rsidR="00842848" w:rsidRPr="002D26AE">
        <w:rPr>
          <w:rFonts w:ascii="Tahoma" w:hAnsi="Tahoma" w:cs="Tahoma"/>
          <w:szCs w:val="22"/>
        </w:rPr>
        <w:t>é</w:t>
      </w:r>
      <w:r w:rsidR="00DB1635" w:rsidRPr="002D26AE">
        <w:rPr>
          <w:rFonts w:ascii="Tahoma" w:hAnsi="Tahoma" w:cs="Tahoma"/>
          <w:szCs w:val="22"/>
        </w:rPr>
        <w:t xml:space="preserve"> </w:t>
      </w:r>
      <w:r w:rsidRPr="002D26AE">
        <w:rPr>
          <w:rFonts w:ascii="Tahoma" w:hAnsi="Tahoma" w:cs="Tahoma"/>
          <w:szCs w:val="22"/>
        </w:rPr>
        <w:t>conjoint</w:t>
      </w:r>
      <w:r w:rsidR="00DB1635" w:rsidRPr="002D26AE">
        <w:rPr>
          <w:rFonts w:ascii="Tahoma" w:hAnsi="Tahoma" w:cs="Tahoma"/>
          <w:szCs w:val="22"/>
        </w:rPr>
        <w:t xml:space="preserve"> </w:t>
      </w:r>
      <w:r w:rsidRPr="002D26AE">
        <w:rPr>
          <w:rFonts w:ascii="Tahoma" w:hAnsi="Tahoma" w:cs="Tahoma"/>
          <w:szCs w:val="22"/>
        </w:rPr>
        <w:t>n°</w:t>
      </w:r>
      <w:r w:rsidR="00DB1635" w:rsidRPr="002D26AE">
        <w:rPr>
          <w:rFonts w:ascii="Tahoma" w:hAnsi="Tahoma" w:cs="Tahoma"/>
          <w:szCs w:val="22"/>
        </w:rPr>
        <w:t xml:space="preserve"> </w:t>
      </w:r>
      <w:r w:rsidRPr="002D26AE">
        <w:rPr>
          <w:rFonts w:ascii="Tahoma" w:hAnsi="Tahoma" w:cs="Tahoma"/>
          <w:szCs w:val="22"/>
        </w:rPr>
        <w:t>2859</w:t>
      </w:r>
      <w:r w:rsidR="00DB1635" w:rsidRPr="002D26AE">
        <w:rPr>
          <w:rFonts w:ascii="Tahoma" w:hAnsi="Tahoma" w:cs="Tahoma"/>
          <w:szCs w:val="22"/>
        </w:rPr>
        <w:t xml:space="preserve"> </w:t>
      </w:r>
      <w:r w:rsidR="00656988" w:rsidRPr="002D26AE">
        <w:rPr>
          <w:rFonts w:ascii="Tahoma" w:hAnsi="Tahoma" w:cs="Tahoma"/>
          <w:szCs w:val="22"/>
        </w:rPr>
        <w:t>du</w:t>
      </w:r>
      <w:r w:rsidR="00DB1635" w:rsidRPr="002D26AE">
        <w:rPr>
          <w:rFonts w:ascii="Tahoma" w:hAnsi="Tahoma" w:cs="Tahoma"/>
          <w:szCs w:val="22"/>
        </w:rPr>
        <w:t xml:space="preserve"> </w:t>
      </w:r>
      <w:r w:rsidR="00656988" w:rsidRPr="002D26AE">
        <w:rPr>
          <w:rFonts w:ascii="Tahoma" w:hAnsi="Tahoma" w:cs="Tahoma"/>
          <w:szCs w:val="22"/>
        </w:rPr>
        <w:t>16</w:t>
      </w:r>
      <w:r w:rsidR="00DB1635" w:rsidRPr="002D26AE">
        <w:rPr>
          <w:rFonts w:ascii="Tahoma" w:hAnsi="Tahoma" w:cs="Tahoma"/>
          <w:szCs w:val="22"/>
        </w:rPr>
        <w:t xml:space="preserve"> </w:t>
      </w:r>
      <w:r w:rsidR="00656988" w:rsidRPr="002D26AE">
        <w:rPr>
          <w:rFonts w:ascii="Tahoma" w:hAnsi="Tahoma" w:cs="Tahoma"/>
          <w:szCs w:val="22"/>
        </w:rPr>
        <w:t>novembre</w:t>
      </w:r>
      <w:r w:rsidR="00DB1635" w:rsidRPr="002D26AE">
        <w:rPr>
          <w:rFonts w:ascii="Tahoma" w:hAnsi="Tahoma" w:cs="Tahoma"/>
          <w:szCs w:val="22"/>
        </w:rPr>
        <w:t xml:space="preserve"> </w:t>
      </w:r>
      <w:r w:rsidR="00656988" w:rsidRPr="002D26AE">
        <w:rPr>
          <w:rFonts w:ascii="Tahoma" w:hAnsi="Tahoma" w:cs="Tahoma"/>
          <w:szCs w:val="22"/>
        </w:rPr>
        <w:t>2006,</w:t>
      </w:r>
      <w:r w:rsidR="00DB1635" w:rsidRPr="002D26AE">
        <w:rPr>
          <w:rFonts w:ascii="Tahoma" w:hAnsi="Tahoma" w:cs="Tahoma"/>
          <w:szCs w:val="22"/>
        </w:rPr>
        <w:t xml:space="preserve"> </w:t>
      </w:r>
      <w:r w:rsidRPr="002D26AE">
        <w:rPr>
          <w:rFonts w:ascii="Tahoma" w:hAnsi="Tahoma" w:cs="Tahoma"/>
          <w:szCs w:val="22"/>
        </w:rPr>
        <w:t>portant</w:t>
      </w:r>
      <w:r w:rsidR="00DB1635" w:rsidRPr="002D26AE">
        <w:rPr>
          <w:rFonts w:ascii="Tahoma" w:hAnsi="Tahoma" w:cs="Tahoma"/>
          <w:szCs w:val="22"/>
        </w:rPr>
        <w:t xml:space="preserve"> </w:t>
      </w:r>
      <w:r w:rsidRPr="002D26AE">
        <w:rPr>
          <w:rFonts w:ascii="Tahoma" w:hAnsi="Tahoma" w:cs="Tahoma"/>
          <w:szCs w:val="22"/>
        </w:rPr>
        <w:t>désignation</w:t>
      </w:r>
      <w:r w:rsidR="00DB1635" w:rsidRPr="002D26AE">
        <w:rPr>
          <w:rFonts w:ascii="Tahoma" w:hAnsi="Tahoma" w:cs="Tahoma"/>
          <w:szCs w:val="22"/>
        </w:rPr>
        <w:t xml:space="preserve"> </w:t>
      </w:r>
      <w:r w:rsidRPr="002D26AE">
        <w:rPr>
          <w:rFonts w:ascii="Tahoma" w:hAnsi="Tahoma" w:cs="Tahoma"/>
          <w:szCs w:val="22"/>
        </w:rPr>
        <w:t>du</w:t>
      </w:r>
      <w:r w:rsidR="00DB1635" w:rsidRPr="002D26AE">
        <w:rPr>
          <w:rFonts w:ascii="Tahoma" w:hAnsi="Tahoma" w:cs="Tahoma"/>
          <w:szCs w:val="22"/>
        </w:rPr>
        <w:t xml:space="preserve"> </w:t>
      </w:r>
      <w:r w:rsidRPr="002D26AE">
        <w:rPr>
          <w:rFonts w:ascii="Tahoma" w:hAnsi="Tahoma" w:cs="Tahoma"/>
          <w:szCs w:val="22"/>
        </w:rPr>
        <w:t>laboratoire</w:t>
      </w:r>
      <w:r w:rsidR="00DB1635" w:rsidRPr="002D26AE">
        <w:rPr>
          <w:rFonts w:ascii="Tahoma" w:hAnsi="Tahoma" w:cs="Tahoma"/>
          <w:szCs w:val="22"/>
        </w:rPr>
        <w:t xml:space="preserve"> </w:t>
      </w:r>
      <w:r w:rsidRPr="002D26AE">
        <w:rPr>
          <w:rFonts w:ascii="Tahoma" w:hAnsi="Tahoma" w:cs="Tahoma"/>
          <w:szCs w:val="22"/>
        </w:rPr>
        <w:t>de</w:t>
      </w:r>
      <w:r w:rsidR="00DB1635" w:rsidRPr="002D26AE">
        <w:rPr>
          <w:rFonts w:ascii="Tahoma" w:hAnsi="Tahoma" w:cs="Tahoma"/>
          <w:szCs w:val="22"/>
        </w:rPr>
        <w:t xml:space="preserve"> </w:t>
      </w:r>
      <w:r w:rsidRPr="002D26AE">
        <w:rPr>
          <w:rFonts w:ascii="Tahoma" w:hAnsi="Tahoma" w:cs="Tahoma"/>
          <w:szCs w:val="22"/>
        </w:rPr>
        <w:t>l’IMROP</w:t>
      </w:r>
      <w:r w:rsidR="00DB1635" w:rsidRPr="002D26AE">
        <w:rPr>
          <w:rFonts w:ascii="Tahoma" w:hAnsi="Tahoma" w:cs="Tahoma"/>
          <w:szCs w:val="22"/>
        </w:rPr>
        <w:t xml:space="preserve"> </w:t>
      </w:r>
      <w:r w:rsidRPr="002D26AE">
        <w:rPr>
          <w:rFonts w:ascii="Tahoma" w:hAnsi="Tahoma" w:cs="Tahoma"/>
          <w:szCs w:val="22"/>
        </w:rPr>
        <w:t>comme</w:t>
      </w:r>
      <w:r w:rsidR="00DB1635" w:rsidRPr="002D26AE">
        <w:rPr>
          <w:rFonts w:ascii="Tahoma" w:hAnsi="Tahoma" w:cs="Tahoma"/>
          <w:szCs w:val="22"/>
        </w:rPr>
        <w:t xml:space="preserve"> </w:t>
      </w:r>
      <w:r w:rsidRPr="002D26AE">
        <w:rPr>
          <w:rFonts w:ascii="Tahoma" w:hAnsi="Tahoma" w:cs="Tahoma"/>
          <w:szCs w:val="22"/>
        </w:rPr>
        <w:t>laboratoire</w:t>
      </w:r>
      <w:r w:rsidR="00DB1635" w:rsidRPr="002D26AE">
        <w:rPr>
          <w:rFonts w:ascii="Tahoma" w:hAnsi="Tahoma" w:cs="Tahoma"/>
          <w:szCs w:val="22"/>
        </w:rPr>
        <w:t xml:space="preserve"> </w:t>
      </w:r>
      <w:r w:rsidRPr="002D26AE">
        <w:rPr>
          <w:rFonts w:ascii="Tahoma" w:hAnsi="Tahoma" w:cs="Tahoma"/>
          <w:szCs w:val="22"/>
        </w:rPr>
        <w:t>national</w:t>
      </w:r>
      <w:r w:rsidR="00DB1635" w:rsidRPr="002D26AE">
        <w:rPr>
          <w:rFonts w:ascii="Tahoma" w:hAnsi="Tahoma" w:cs="Tahoma"/>
          <w:szCs w:val="22"/>
        </w:rPr>
        <w:t xml:space="preserve"> </w:t>
      </w:r>
      <w:r w:rsidRPr="002D26AE">
        <w:rPr>
          <w:rFonts w:ascii="Tahoma" w:hAnsi="Tahoma" w:cs="Tahoma"/>
          <w:szCs w:val="22"/>
        </w:rPr>
        <w:t>de</w:t>
      </w:r>
      <w:r w:rsidR="00DB1635" w:rsidRPr="002D26AE">
        <w:rPr>
          <w:rFonts w:ascii="Tahoma" w:hAnsi="Tahoma" w:cs="Tahoma"/>
          <w:szCs w:val="22"/>
        </w:rPr>
        <w:t xml:space="preserve"> </w:t>
      </w:r>
      <w:r w:rsidRPr="002D26AE">
        <w:rPr>
          <w:rFonts w:ascii="Tahoma" w:hAnsi="Tahoma" w:cs="Tahoma"/>
          <w:szCs w:val="22"/>
        </w:rPr>
        <w:t>référence</w:t>
      </w:r>
      <w:r w:rsidR="00DB1635" w:rsidRPr="002D26AE">
        <w:rPr>
          <w:rFonts w:ascii="Tahoma" w:hAnsi="Tahoma" w:cs="Tahoma"/>
          <w:szCs w:val="22"/>
        </w:rPr>
        <w:t xml:space="preserve"> </w:t>
      </w:r>
      <w:r w:rsidRPr="002D26AE">
        <w:rPr>
          <w:rFonts w:ascii="Tahoma" w:hAnsi="Tahoma" w:cs="Tahoma"/>
          <w:szCs w:val="22"/>
        </w:rPr>
        <w:t>de</w:t>
      </w:r>
      <w:r w:rsidR="00DB1635" w:rsidRPr="002D26AE">
        <w:rPr>
          <w:rFonts w:ascii="Tahoma" w:hAnsi="Tahoma" w:cs="Tahoma"/>
          <w:szCs w:val="22"/>
        </w:rPr>
        <w:t xml:space="preserve"> </w:t>
      </w:r>
      <w:r w:rsidRPr="002D26AE">
        <w:rPr>
          <w:rFonts w:ascii="Tahoma" w:hAnsi="Tahoma" w:cs="Tahoma"/>
          <w:szCs w:val="22"/>
        </w:rPr>
        <w:t>chimie</w:t>
      </w:r>
      <w:r w:rsidR="00DB1635" w:rsidRPr="002D26AE">
        <w:rPr>
          <w:rFonts w:ascii="Tahoma" w:hAnsi="Tahoma" w:cs="Tahoma"/>
          <w:szCs w:val="22"/>
        </w:rPr>
        <w:t xml:space="preserve"> </w:t>
      </w:r>
      <w:r w:rsidRPr="002D26AE">
        <w:rPr>
          <w:rFonts w:ascii="Tahoma" w:hAnsi="Tahoma" w:cs="Tahoma"/>
          <w:szCs w:val="22"/>
        </w:rPr>
        <w:t>et</w:t>
      </w:r>
      <w:r w:rsidR="00DB1635" w:rsidRPr="002D26AE">
        <w:rPr>
          <w:rFonts w:ascii="Tahoma" w:hAnsi="Tahoma" w:cs="Tahoma"/>
          <w:szCs w:val="22"/>
        </w:rPr>
        <w:t xml:space="preserve"> </w:t>
      </w:r>
      <w:r w:rsidRPr="002D26AE">
        <w:rPr>
          <w:rFonts w:ascii="Tahoma" w:hAnsi="Tahoma" w:cs="Tahoma"/>
          <w:szCs w:val="22"/>
        </w:rPr>
        <w:t>microbiologie</w:t>
      </w:r>
      <w:bookmarkEnd w:id="172"/>
      <w:bookmarkEnd w:id="173"/>
      <w:bookmarkEnd w:id="174"/>
      <w:bookmarkEnd w:id="175"/>
    </w:p>
    <w:p w14:paraId="7E83EF1D" w14:textId="77777777" w:rsidR="002F24E1" w:rsidRPr="00B004EE" w:rsidRDefault="002F24E1" w:rsidP="00B004EE">
      <w:pPr>
        <w:autoSpaceDE w:val="0"/>
        <w:autoSpaceDN w:val="0"/>
        <w:adjustRightInd w:val="0"/>
        <w:ind w:left="4536"/>
        <w:jc w:val="both"/>
        <w:rPr>
          <w:rFonts w:ascii="Tahoma" w:hAnsi="Tahoma" w:cs="Tahoma"/>
          <w:iCs/>
          <w:sz w:val="20"/>
          <w:szCs w:val="20"/>
        </w:rPr>
      </w:pPr>
    </w:p>
    <w:p w14:paraId="2679237F" w14:textId="53FF689D" w:rsidR="002F24E1" w:rsidRPr="00B004EE" w:rsidRDefault="002F24E1" w:rsidP="00B004EE">
      <w:pPr>
        <w:autoSpaceDE w:val="0"/>
        <w:autoSpaceDN w:val="0"/>
        <w:adjustRightInd w:val="0"/>
        <w:jc w:val="both"/>
        <w:rPr>
          <w:rFonts w:ascii="Tahoma" w:hAnsi="Tahoma" w:cs="Tahoma"/>
          <w:b/>
          <w:bCs/>
          <w:sz w:val="20"/>
          <w:szCs w:val="20"/>
        </w:rPr>
      </w:pPr>
      <w:r w:rsidRPr="00B004EE">
        <w:rPr>
          <w:rFonts w:ascii="Tahoma" w:hAnsi="Tahoma" w:cs="Tahoma"/>
          <w:b/>
          <w:bCs/>
          <w:sz w:val="20"/>
          <w:szCs w:val="20"/>
        </w:rPr>
        <w:t>CHAPITRE</w:t>
      </w:r>
      <w:r w:rsidR="00DB1635" w:rsidRPr="00B004EE">
        <w:rPr>
          <w:rFonts w:ascii="Tahoma" w:hAnsi="Tahoma" w:cs="Tahoma"/>
          <w:b/>
          <w:bCs/>
          <w:sz w:val="20"/>
          <w:szCs w:val="20"/>
        </w:rPr>
        <w:t xml:space="preserve"> </w:t>
      </w:r>
      <w:r w:rsidRPr="00B004EE">
        <w:rPr>
          <w:rFonts w:ascii="Tahoma" w:hAnsi="Tahoma" w:cs="Tahoma"/>
          <w:b/>
          <w:bCs/>
          <w:sz w:val="20"/>
          <w:szCs w:val="20"/>
        </w:rPr>
        <w:t>1</w:t>
      </w:r>
      <w:r w:rsidR="00DB1635" w:rsidRPr="00B004EE">
        <w:rPr>
          <w:rFonts w:ascii="Tahoma" w:hAnsi="Tahoma" w:cs="Tahoma"/>
          <w:b/>
          <w:bCs/>
          <w:sz w:val="20"/>
          <w:szCs w:val="20"/>
        </w:rPr>
        <w:t xml:space="preserve"> </w:t>
      </w:r>
      <w:r w:rsidRPr="00B004EE">
        <w:rPr>
          <w:rFonts w:ascii="Tahoma" w:hAnsi="Tahoma" w:cs="Tahoma"/>
          <w:b/>
          <w:bCs/>
          <w:sz w:val="20"/>
          <w:szCs w:val="20"/>
        </w:rPr>
        <w:t>–</w:t>
      </w:r>
      <w:r w:rsidR="00DB1635" w:rsidRPr="00B004EE">
        <w:rPr>
          <w:rFonts w:ascii="Tahoma" w:hAnsi="Tahoma" w:cs="Tahoma"/>
          <w:b/>
          <w:bCs/>
          <w:sz w:val="20"/>
          <w:szCs w:val="20"/>
        </w:rPr>
        <w:t xml:space="preserve"> </w:t>
      </w:r>
      <w:r w:rsidRPr="00B004EE">
        <w:rPr>
          <w:rFonts w:ascii="Tahoma" w:hAnsi="Tahoma" w:cs="Tahoma"/>
          <w:b/>
          <w:bCs/>
          <w:sz w:val="20"/>
          <w:szCs w:val="20"/>
        </w:rPr>
        <w:t>DISPOSITIONS</w:t>
      </w:r>
      <w:r w:rsidR="00DB1635" w:rsidRPr="00B004EE">
        <w:rPr>
          <w:rFonts w:ascii="Tahoma" w:hAnsi="Tahoma" w:cs="Tahoma"/>
          <w:b/>
          <w:bCs/>
          <w:sz w:val="20"/>
          <w:szCs w:val="20"/>
        </w:rPr>
        <w:t xml:space="preserve"> </w:t>
      </w:r>
      <w:r w:rsidRPr="00B004EE">
        <w:rPr>
          <w:rFonts w:ascii="Tahoma" w:hAnsi="Tahoma" w:cs="Tahoma"/>
          <w:b/>
          <w:bCs/>
          <w:sz w:val="20"/>
          <w:szCs w:val="20"/>
        </w:rPr>
        <w:t>GENERALES</w:t>
      </w:r>
    </w:p>
    <w:p w14:paraId="105391A3" w14:textId="77777777" w:rsidR="002F24E1" w:rsidRPr="00B004EE" w:rsidRDefault="002F24E1" w:rsidP="00B004EE">
      <w:pPr>
        <w:autoSpaceDE w:val="0"/>
        <w:autoSpaceDN w:val="0"/>
        <w:adjustRightInd w:val="0"/>
        <w:jc w:val="both"/>
        <w:rPr>
          <w:rFonts w:ascii="Tahoma" w:hAnsi="Tahoma" w:cs="Tahoma"/>
          <w:b/>
          <w:sz w:val="20"/>
          <w:szCs w:val="20"/>
          <w:u w:val="single"/>
        </w:rPr>
      </w:pPr>
    </w:p>
    <w:p w14:paraId="7106CD2A" w14:textId="0C266B1A" w:rsidR="002F24E1" w:rsidRPr="00B004EE" w:rsidRDefault="002F24E1" w:rsidP="00B004EE">
      <w:pPr>
        <w:autoSpaceDE w:val="0"/>
        <w:autoSpaceDN w:val="0"/>
        <w:adjustRightInd w:val="0"/>
        <w:jc w:val="both"/>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Premier</w:t>
      </w:r>
      <w:r w:rsidR="00DB1635" w:rsidRPr="00B004EE">
        <w:rPr>
          <w:rFonts w:ascii="Tahoma" w:hAnsi="Tahoma" w:cs="Tahoma"/>
          <w:sz w:val="20"/>
          <w:szCs w:val="20"/>
          <w:u w:val="single"/>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Objet</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champ</w:t>
      </w:r>
      <w:r w:rsidR="00DB1635" w:rsidRPr="00B004EE">
        <w:rPr>
          <w:rFonts w:ascii="Tahoma" w:hAnsi="Tahoma" w:cs="Tahoma"/>
          <w:sz w:val="20"/>
          <w:szCs w:val="20"/>
        </w:rPr>
        <w:t xml:space="preserve"> </w:t>
      </w:r>
      <w:r w:rsidRPr="00B004EE">
        <w:rPr>
          <w:rFonts w:ascii="Tahoma" w:hAnsi="Tahoma" w:cs="Tahoma"/>
          <w:sz w:val="20"/>
          <w:szCs w:val="20"/>
        </w:rPr>
        <w:t>d’application</w:t>
      </w:r>
    </w:p>
    <w:p w14:paraId="2CF9B1E1" w14:textId="77777777" w:rsidR="002F24E1" w:rsidRPr="00B004EE" w:rsidRDefault="002F24E1" w:rsidP="00B004EE">
      <w:pPr>
        <w:autoSpaceDE w:val="0"/>
        <w:autoSpaceDN w:val="0"/>
        <w:adjustRightInd w:val="0"/>
        <w:jc w:val="both"/>
        <w:rPr>
          <w:rFonts w:ascii="Tahoma" w:hAnsi="Tahoma" w:cs="Tahoma"/>
          <w:sz w:val="20"/>
          <w:szCs w:val="20"/>
        </w:rPr>
      </w:pPr>
    </w:p>
    <w:p w14:paraId="0229D4B1" w14:textId="7B7F37E9" w:rsidR="002F24E1" w:rsidRPr="00B004EE" w:rsidRDefault="00DB1635" w:rsidP="00B004EE">
      <w:pPr>
        <w:jc w:val="both"/>
        <w:rPr>
          <w:rFonts w:ascii="Tahoma" w:hAnsi="Tahoma" w:cs="Tahoma"/>
          <w:bCs/>
          <w:sz w:val="20"/>
          <w:szCs w:val="20"/>
        </w:rPr>
      </w:pPr>
      <w:r w:rsidRPr="00B004EE">
        <w:rPr>
          <w:rFonts w:ascii="Tahoma" w:hAnsi="Tahoma" w:cs="Tahoma"/>
          <w:sz w:val="20"/>
          <w:szCs w:val="20"/>
        </w:rPr>
        <w:t xml:space="preserve"> </w:t>
      </w:r>
      <w:r w:rsidR="002F24E1" w:rsidRPr="00B004EE">
        <w:rPr>
          <w:rFonts w:ascii="Tahoma" w:hAnsi="Tahoma" w:cs="Tahoma"/>
          <w:sz w:val="20"/>
          <w:szCs w:val="20"/>
        </w:rPr>
        <w:t>Sur</w:t>
      </w:r>
      <w:r w:rsidRPr="00B004EE">
        <w:rPr>
          <w:rFonts w:ascii="Tahoma" w:hAnsi="Tahoma" w:cs="Tahoma"/>
          <w:sz w:val="20"/>
          <w:szCs w:val="20"/>
        </w:rPr>
        <w:t xml:space="preserve"> </w:t>
      </w:r>
      <w:r w:rsidR="002F24E1" w:rsidRPr="00B004EE">
        <w:rPr>
          <w:rFonts w:ascii="Tahoma" w:hAnsi="Tahoma" w:cs="Tahoma"/>
          <w:sz w:val="20"/>
          <w:szCs w:val="20"/>
        </w:rPr>
        <w:t>le</w:t>
      </w:r>
      <w:r w:rsidRPr="00B004EE">
        <w:rPr>
          <w:rFonts w:ascii="Tahoma" w:hAnsi="Tahoma" w:cs="Tahoma"/>
          <w:sz w:val="20"/>
          <w:szCs w:val="20"/>
        </w:rPr>
        <w:t xml:space="preserve"> </w:t>
      </w:r>
      <w:r w:rsidR="002F24E1" w:rsidRPr="00B004EE">
        <w:rPr>
          <w:rFonts w:ascii="Tahoma" w:hAnsi="Tahoma" w:cs="Tahoma"/>
          <w:sz w:val="20"/>
          <w:szCs w:val="20"/>
        </w:rPr>
        <w:t>fondement</w:t>
      </w:r>
      <w:r w:rsidRPr="00B004EE">
        <w:rPr>
          <w:rFonts w:ascii="Tahoma" w:hAnsi="Tahoma" w:cs="Tahoma"/>
          <w:sz w:val="20"/>
          <w:szCs w:val="20"/>
        </w:rPr>
        <w:t xml:space="preserve"> </w:t>
      </w:r>
      <w:r w:rsidR="002F24E1" w:rsidRPr="00B004EE">
        <w:rPr>
          <w:rFonts w:ascii="Tahoma" w:hAnsi="Tahoma" w:cs="Tahoma"/>
          <w:sz w:val="20"/>
          <w:szCs w:val="20"/>
        </w:rPr>
        <w:t>des</w:t>
      </w:r>
      <w:r w:rsidRPr="00B004EE">
        <w:rPr>
          <w:rFonts w:ascii="Tahoma" w:hAnsi="Tahoma" w:cs="Tahoma"/>
          <w:sz w:val="20"/>
          <w:szCs w:val="20"/>
        </w:rPr>
        <w:t xml:space="preserve"> </w:t>
      </w:r>
      <w:r w:rsidR="002F24E1" w:rsidRPr="00B004EE">
        <w:rPr>
          <w:rFonts w:ascii="Tahoma" w:hAnsi="Tahoma" w:cs="Tahoma"/>
          <w:sz w:val="20"/>
          <w:szCs w:val="20"/>
        </w:rPr>
        <w:t>dispositions</w:t>
      </w:r>
      <w:r w:rsidRPr="00B004EE">
        <w:rPr>
          <w:rFonts w:ascii="Tahoma" w:hAnsi="Tahoma" w:cs="Tahoma"/>
          <w:sz w:val="20"/>
          <w:szCs w:val="20"/>
        </w:rPr>
        <w:t xml:space="preserve"> </w:t>
      </w:r>
      <w:r w:rsidR="002F24E1" w:rsidRPr="00B004EE">
        <w:rPr>
          <w:rFonts w:ascii="Tahoma" w:hAnsi="Tahoma" w:cs="Tahoma"/>
          <w:sz w:val="20"/>
          <w:szCs w:val="20"/>
        </w:rPr>
        <w:t>de</w:t>
      </w:r>
      <w:r w:rsidRPr="00B004EE">
        <w:rPr>
          <w:rFonts w:ascii="Tahoma" w:hAnsi="Tahoma" w:cs="Tahoma"/>
          <w:sz w:val="20"/>
          <w:szCs w:val="20"/>
        </w:rPr>
        <w:t xml:space="preserve"> </w:t>
      </w:r>
      <w:r w:rsidR="002F24E1" w:rsidRPr="00B004EE">
        <w:rPr>
          <w:rFonts w:ascii="Tahoma" w:hAnsi="Tahoma" w:cs="Tahoma"/>
          <w:sz w:val="20"/>
          <w:szCs w:val="20"/>
        </w:rPr>
        <w:t>l’arrêté</w:t>
      </w:r>
      <w:r w:rsidRPr="00B004EE">
        <w:rPr>
          <w:rFonts w:ascii="Tahoma" w:hAnsi="Tahoma" w:cs="Tahoma"/>
          <w:sz w:val="20"/>
          <w:szCs w:val="20"/>
        </w:rPr>
        <w:t xml:space="preserve"> </w:t>
      </w:r>
      <w:r w:rsidR="002F24E1" w:rsidRPr="00B004EE">
        <w:rPr>
          <w:rFonts w:ascii="Tahoma" w:hAnsi="Tahoma" w:cs="Tahoma"/>
          <w:sz w:val="20"/>
          <w:szCs w:val="20"/>
        </w:rPr>
        <w:t>conjoint</w:t>
      </w:r>
      <w:r w:rsidRPr="00B004EE">
        <w:rPr>
          <w:rFonts w:ascii="Tahoma" w:hAnsi="Tahoma" w:cs="Tahoma"/>
          <w:sz w:val="20"/>
          <w:szCs w:val="20"/>
        </w:rPr>
        <w:t xml:space="preserve"> </w:t>
      </w:r>
      <w:r w:rsidR="002F24E1" w:rsidRPr="00B004EE">
        <w:rPr>
          <w:rFonts w:ascii="Tahoma" w:hAnsi="Tahoma" w:cs="Tahoma"/>
          <w:bCs/>
          <w:sz w:val="20"/>
          <w:szCs w:val="20"/>
        </w:rPr>
        <w:t>n°</w:t>
      </w:r>
      <w:r w:rsidRPr="00B004EE">
        <w:rPr>
          <w:rFonts w:ascii="Tahoma" w:hAnsi="Tahoma" w:cs="Tahoma"/>
          <w:bCs/>
          <w:sz w:val="20"/>
          <w:szCs w:val="20"/>
        </w:rPr>
        <w:t xml:space="preserve"> </w:t>
      </w:r>
      <w:r w:rsidR="002F24E1" w:rsidRPr="00B004EE">
        <w:rPr>
          <w:rFonts w:ascii="Tahoma" w:hAnsi="Tahoma" w:cs="Tahoma"/>
          <w:bCs/>
          <w:sz w:val="20"/>
          <w:szCs w:val="20"/>
        </w:rPr>
        <w:t>2860</w:t>
      </w:r>
      <w:r w:rsidRPr="00B004EE">
        <w:rPr>
          <w:rFonts w:ascii="Tahoma" w:hAnsi="Tahoma" w:cs="Tahoma"/>
          <w:bCs/>
          <w:sz w:val="20"/>
          <w:szCs w:val="20"/>
        </w:rPr>
        <w:t xml:space="preserve"> </w:t>
      </w:r>
      <w:r w:rsidR="002F24E1" w:rsidRPr="00B004EE">
        <w:rPr>
          <w:rFonts w:ascii="Tahoma" w:hAnsi="Tahoma" w:cs="Tahoma"/>
          <w:bCs/>
          <w:sz w:val="20"/>
          <w:szCs w:val="20"/>
        </w:rPr>
        <w:t>du</w:t>
      </w:r>
      <w:r w:rsidRPr="00B004EE">
        <w:rPr>
          <w:rFonts w:ascii="Tahoma" w:hAnsi="Tahoma" w:cs="Tahoma"/>
          <w:bCs/>
          <w:sz w:val="20"/>
          <w:szCs w:val="20"/>
        </w:rPr>
        <w:t xml:space="preserve"> </w:t>
      </w:r>
      <w:r w:rsidR="002F24E1" w:rsidRPr="00B004EE">
        <w:rPr>
          <w:rFonts w:ascii="Tahoma" w:hAnsi="Tahoma" w:cs="Tahoma"/>
          <w:bCs/>
          <w:sz w:val="20"/>
          <w:szCs w:val="20"/>
        </w:rPr>
        <w:t>16</w:t>
      </w:r>
      <w:r w:rsidRPr="00B004EE">
        <w:rPr>
          <w:rFonts w:ascii="Tahoma" w:hAnsi="Tahoma" w:cs="Tahoma"/>
          <w:bCs/>
          <w:sz w:val="20"/>
          <w:szCs w:val="20"/>
        </w:rPr>
        <w:t xml:space="preserve"> </w:t>
      </w:r>
      <w:r w:rsidR="002F24E1" w:rsidRPr="00B004EE">
        <w:rPr>
          <w:rFonts w:ascii="Tahoma" w:hAnsi="Tahoma" w:cs="Tahoma"/>
          <w:bCs/>
          <w:sz w:val="20"/>
          <w:szCs w:val="20"/>
        </w:rPr>
        <w:t>novembre</w:t>
      </w:r>
      <w:r w:rsidRPr="00B004EE">
        <w:rPr>
          <w:rFonts w:ascii="Tahoma" w:hAnsi="Tahoma" w:cs="Tahoma"/>
          <w:bCs/>
          <w:sz w:val="20"/>
          <w:szCs w:val="20"/>
        </w:rPr>
        <w:t xml:space="preserve"> </w:t>
      </w:r>
      <w:r w:rsidR="002F24E1" w:rsidRPr="00B004EE">
        <w:rPr>
          <w:rFonts w:ascii="Tahoma" w:hAnsi="Tahoma" w:cs="Tahoma"/>
          <w:bCs/>
          <w:sz w:val="20"/>
          <w:szCs w:val="20"/>
        </w:rPr>
        <w:t>2006</w:t>
      </w:r>
      <w:r w:rsidRPr="00B004EE">
        <w:rPr>
          <w:rFonts w:ascii="Tahoma" w:hAnsi="Tahoma" w:cs="Tahoma"/>
          <w:sz w:val="20"/>
          <w:szCs w:val="20"/>
        </w:rPr>
        <w:t xml:space="preserve"> </w:t>
      </w:r>
      <w:r w:rsidR="002F24E1" w:rsidRPr="00B004EE">
        <w:rPr>
          <w:rFonts w:ascii="Tahoma" w:hAnsi="Tahoma" w:cs="Tahoma"/>
          <w:sz w:val="20"/>
          <w:szCs w:val="20"/>
        </w:rPr>
        <w:t>relatif</w:t>
      </w:r>
      <w:r w:rsidRPr="00B004EE">
        <w:rPr>
          <w:rFonts w:ascii="Tahoma" w:hAnsi="Tahoma" w:cs="Tahoma"/>
          <w:sz w:val="20"/>
          <w:szCs w:val="20"/>
        </w:rPr>
        <w:t xml:space="preserve"> </w:t>
      </w:r>
      <w:r w:rsidR="002F24E1" w:rsidRPr="00B004EE">
        <w:rPr>
          <w:rFonts w:ascii="Tahoma" w:hAnsi="Tahoma" w:cs="Tahoma"/>
          <w:bCs/>
          <w:sz w:val="20"/>
          <w:szCs w:val="20"/>
        </w:rPr>
        <w:t>aux</w:t>
      </w:r>
      <w:r w:rsidRPr="00B004EE">
        <w:rPr>
          <w:rFonts w:ascii="Tahoma" w:hAnsi="Tahoma" w:cs="Tahoma"/>
          <w:bCs/>
          <w:sz w:val="20"/>
          <w:szCs w:val="20"/>
        </w:rPr>
        <w:t xml:space="preserve"> </w:t>
      </w:r>
      <w:r w:rsidR="002F24E1" w:rsidRPr="00B004EE">
        <w:rPr>
          <w:rFonts w:ascii="Tahoma" w:hAnsi="Tahoma" w:cs="Tahoma"/>
          <w:bCs/>
          <w:sz w:val="20"/>
          <w:szCs w:val="20"/>
        </w:rPr>
        <w:t>contrôles</w:t>
      </w:r>
      <w:r w:rsidRPr="00B004EE">
        <w:rPr>
          <w:rFonts w:ascii="Tahoma" w:hAnsi="Tahoma" w:cs="Tahoma"/>
          <w:bCs/>
          <w:sz w:val="20"/>
          <w:szCs w:val="20"/>
        </w:rPr>
        <w:t xml:space="preserve"> </w:t>
      </w:r>
      <w:r w:rsidR="002F24E1" w:rsidRPr="00B004EE">
        <w:rPr>
          <w:rFonts w:ascii="Tahoma" w:hAnsi="Tahoma" w:cs="Tahoma"/>
          <w:bCs/>
          <w:sz w:val="20"/>
          <w:szCs w:val="20"/>
        </w:rPr>
        <w:t>officiels</w:t>
      </w:r>
      <w:r w:rsidRPr="00B004EE">
        <w:rPr>
          <w:rFonts w:ascii="Tahoma" w:hAnsi="Tahoma" w:cs="Tahoma"/>
          <w:bCs/>
          <w:sz w:val="20"/>
          <w:szCs w:val="20"/>
        </w:rPr>
        <w:t xml:space="preserve"> </w:t>
      </w:r>
      <w:r w:rsidR="002F24E1" w:rsidRPr="00B004EE">
        <w:rPr>
          <w:rFonts w:ascii="Tahoma" w:hAnsi="Tahoma" w:cs="Tahoma"/>
          <w:bCs/>
          <w:sz w:val="20"/>
          <w:szCs w:val="20"/>
        </w:rPr>
        <w:t>applicables</w:t>
      </w:r>
      <w:r w:rsidRPr="00B004EE">
        <w:rPr>
          <w:rFonts w:ascii="Tahoma" w:hAnsi="Tahoma" w:cs="Tahoma"/>
          <w:bCs/>
          <w:sz w:val="20"/>
          <w:szCs w:val="20"/>
        </w:rPr>
        <w:t xml:space="preserve"> </w:t>
      </w:r>
      <w:r w:rsidR="002F24E1" w:rsidRPr="00B004EE">
        <w:rPr>
          <w:rFonts w:ascii="Tahoma" w:hAnsi="Tahoma" w:cs="Tahoma"/>
          <w:bCs/>
          <w:sz w:val="20"/>
          <w:szCs w:val="20"/>
        </w:rPr>
        <w:t>aux</w:t>
      </w:r>
      <w:r w:rsidRPr="00B004EE">
        <w:rPr>
          <w:rFonts w:ascii="Tahoma" w:hAnsi="Tahoma" w:cs="Tahoma"/>
          <w:bCs/>
          <w:sz w:val="20"/>
          <w:szCs w:val="20"/>
        </w:rPr>
        <w:t xml:space="preserve"> </w:t>
      </w:r>
      <w:r w:rsidR="002F24E1" w:rsidRPr="00B004EE">
        <w:rPr>
          <w:rFonts w:ascii="Tahoma" w:hAnsi="Tahoma" w:cs="Tahoma"/>
          <w:bCs/>
          <w:sz w:val="20"/>
          <w:szCs w:val="20"/>
        </w:rPr>
        <w:t>produits</w:t>
      </w:r>
      <w:r w:rsidRPr="00B004EE">
        <w:rPr>
          <w:rFonts w:ascii="Tahoma" w:hAnsi="Tahoma" w:cs="Tahoma"/>
          <w:bCs/>
          <w:sz w:val="20"/>
          <w:szCs w:val="20"/>
        </w:rPr>
        <w:t xml:space="preserve"> </w:t>
      </w:r>
      <w:r w:rsidR="002F24E1" w:rsidRPr="00B004EE">
        <w:rPr>
          <w:rFonts w:ascii="Tahoma" w:hAnsi="Tahoma" w:cs="Tahoma"/>
          <w:bCs/>
          <w:sz w:val="20"/>
          <w:szCs w:val="20"/>
        </w:rPr>
        <w:t>de</w:t>
      </w:r>
      <w:r w:rsidRPr="00B004EE">
        <w:rPr>
          <w:rFonts w:ascii="Tahoma" w:hAnsi="Tahoma" w:cs="Tahoma"/>
          <w:bCs/>
          <w:sz w:val="20"/>
          <w:szCs w:val="20"/>
        </w:rPr>
        <w:t xml:space="preserve"> </w:t>
      </w:r>
      <w:r w:rsidR="002F24E1" w:rsidRPr="00B004EE">
        <w:rPr>
          <w:rFonts w:ascii="Tahoma" w:hAnsi="Tahoma" w:cs="Tahoma"/>
          <w:bCs/>
          <w:sz w:val="20"/>
          <w:szCs w:val="20"/>
        </w:rPr>
        <w:t>la</w:t>
      </w:r>
      <w:r w:rsidRPr="00B004EE">
        <w:rPr>
          <w:rFonts w:ascii="Tahoma" w:hAnsi="Tahoma" w:cs="Tahoma"/>
          <w:bCs/>
          <w:sz w:val="20"/>
          <w:szCs w:val="20"/>
        </w:rPr>
        <w:t xml:space="preserve"> </w:t>
      </w:r>
      <w:r w:rsidR="002F24E1" w:rsidRPr="00B004EE">
        <w:rPr>
          <w:rFonts w:ascii="Tahoma" w:hAnsi="Tahoma" w:cs="Tahoma"/>
          <w:bCs/>
          <w:sz w:val="20"/>
          <w:szCs w:val="20"/>
        </w:rPr>
        <w:t>pêche</w:t>
      </w:r>
      <w:r w:rsidRPr="00B004EE">
        <w:rPr>
          <w:rFonts w:ascii="Tahoma" w:hAnsi="Tahoma" w:cs="Tahoma"/>
          <w:bCs/>
          <w:sz w:val="20"/>
          <w:szCs w:val="20"/>
        </w:rPr>
        <w:t xml:space="preserve"> </w:t>
      </w:r>
      <w:r w:rsidR="002F24E1" w:rsidRPr="00B004EE">
        <w:rPr>
          <w:rFonts w:ascii="Tahoma" w:hAnsi="Tahoma" w:cs="Tahoma"/>
          <w:bCs/>
          <w:sz w:val="20"/>
          <w:szCs w:val="20"/>
        </w:rPr>
        <w:t>destinés</w:t>
      </w:r>
      <w:r w:rsidRPr="00B004EE">
        <w:rPr>
          <w:rFonts w:ascii="Tahoma" w:hAnsi="Tahoma" w:cs="Tahoma"/>
          <w:bCs/>
          <w:sz w:val="20"/>
          <w:szCs w:val="20"/>
        </w:rPr>
        <w:t xml:space="preserve"> </w:t>
      </w:r>
      <w:r w:rsidR="002F24E1" w:rsidRPr="00B004EE">
        <w:rPr>
          <w:rFonts w:ascii="Tahoma" w:hAnsi="Tahoma" w:cs="Tahoma"/>
          <w:bCs/>
          <w:sz w:val="20"/>
          <w:szCs w:val="20"/>
        </w:rPr>
        <w:t>à</w:t>
      </w:r>
      <w:r w:rsidRPr="00B004EE">
        <w:rPr>
          <w:rFonts w:ascii="Tahoma" w:hAnsi="Tahoma" w:cs="Tahoma"/>
          <w:bCs/>
          <w:sz w:val="20"/>
          <w:szCs w:val="20"/>
        </w:rPr>
        <w:t xml:space="preserve"> </w:t>
      </w:r>
      <w:r w:rsidR="002F24E1" w:rsidRPr="00B004EE">
        <w:rPr>
          <w:rFonts w:ascii="Tahoma" w:hAnsi="Tahoma" w:cs="Tahoma"/>
          <w:bCs/>
          <w:sz w:val="20"/>
          <w:szCs w:val="20"/>
        </w:rPr>
        <w:t>l’exportation</w:t>
      </w:r>
      <w:r w:rsidRPr="00B004EE">
        <w:rPr>
          <w:rFonts w:ascii="Tahoma" w:hAnsi="Tahoma" w:cs="Tahoma"/>
          <w:bCs/>
          <w:sz w:val="20"/>
          <w:szCs w:val="20"/>
        </w:rPr>
        <w:t xml:space="preserve"> </w:t>
      </w:r>
      <w:r w:rsidR="002F24E1" w:rsidRPr="00B004EE">
        <w:rPr>
          <w:rFonts w:ascii="Tahoma" w:hAnsi="Tahoma" w:cs="Tahoma"/>
          <w:bCs/>
          <w:sz w:val="20"/>
          <w:szCs w:val="20"/>
        </w:rPr>
        <w:t>vers</w:t>
      </w:r>
      <w:r w:rsidRPr="00B004EE">
        <w:rPr>
          <w:rFonts w:ascii="Tahoma" w:hAnsi="Tahoma" w:cs="Tahoma"/>
          <w:bCs/>
          <w:sz w:val="20"/>
          <w:szCs w:val="20"/>
        </w:rPr>
        <w:t xml:space="preserve"> </w:t>
      </w:r>
      <w:r w:rsidR="002F24E1" w:rsidRPr="00B004EE">
        <w:rPr>
          <w:rFonts w:ascii="Tahoma" w:hAnsi="Tahoma" w:cs="Tahoma"/>
          <w:bCs/>
          <w:sz w:val="20"/>
          <w:szCs w:val="20"/>
        </w:rPr>
        <w:t>les</w:t>
      </w:r>
      <w:r w:rsidRPr="00B004EE">
        <w:rPr>
          <w:rFonts w:ascii="Tahoma" w:hAnsi="Tahoma" w:cs="Tahoma"/>
          <w:bCs/>
          <w:sz w:val="20"/>
          <w:szCs w:val="20"/>
        </w:rPr>
        <w:t xml:space="preserve"> </w:t>
      </w:r>
      <w:r w:rsidR="002F24E1" w:rsidRPr="00B004EE">
        <w:rPr>
          <w:rFonts w:ascii="Tahoma" w:hAnsi="Tahoma" w:cs="Tahoma"/>
          <w:bCs/>
          <w:sz w:val="20"/>
          <w:szCs w:val="20"/>
        </w:rPr>
        <w:t>marchés</w:t>
      </w:r>
      <w:r w:rsidRPr="00B004EE">
        <w:rPr>
          <w:rFonts w:ascii="Tahoma" w:hAnsi="Tahoma" w:cs="Tahoma"/>
          <w:bCs/>
          <w:sz w:val="20"/>
          <w:szCs w:val="20"/>
        </w:rPr>
        <w:t xml:space="preserve"> </w:t>
      </w:r>
      <w:r w:rsidR="002F24E1" w:rsidRPr="00B004EE">
        <w:rPr>
          <w:rFonts w:ascii="Tahoma" w:hAnsi="Tahoma" w:cs="Tahoma"/>
          <w:bCs/>
          <w:sz w:val="20"/>
          <w:szCs w:val="20"/>
        </w:rPr>
        <w:t>de</w:t>
      </w:r>
      <w:r w:rsidRPr="00B004EE">
        <w:rPr>
          <w:rFonts w:ascii="Tahoma" w:hAnsi="Tahoma" w:cs="Tahoma"/>
          <w:bCs/>
          <w:sz w:val="20"/>
          <w:szCs w:val="20"/>
        </w:rPr>
        <w:t xml:space="preserve"> </w:t>
      </w:r>
      <w:r w:rsidR="002F24E1" w:rsidRPr="00B004EE">
        <w:rPr>
          <w:rFonts w:ascii="Tahoma" w:hAnsi="Tahoma" w:cs="Tahoma"/>
          <w:bCs/>
          <w:sz w:val="20"/>
          <w:szCs w:val="20"/>
        </w:rPr>
        <w:t>l’Union</w:t>
      </w:r>
      <w:r w:rsidRPr="00B004EE">
        <w:rPr>
          <w:rFonts w:ascii="Tahoma" w:hAnsi="Tahoma" w:cs="Tahoma"/>
          <w:bCs/>
          <w:sz w:val="20"/>
          <w:szCs w:val="20"/>
        </w:rPr>
        <w:t xml:space="preserve"> </w:t>
      </w:r>
      <w:r w:rsidR="002F24E1" w:rsidRPr="00B004EE">
        <w:rPr>
          <w:rFonts w:ascii="Tahoma" w:hAnsi="Tahoma" w:cs="Tahoma"/>
          <w:bCs/>
          <w:sz w:val="20"/>
          <w:szCs w:val="20"/>
        </w:rPr>
        <w:t>Européenne</w:t>
      </w:r>
      <w:r w:rsidR="002F24E1" w:rsidRPr="00B004EE">
        <w:rPr>
          <w:rFonts w:ascii="Tahoma" w:hAnsi="Tahoma" w:cs="Tahoma"/>
          <w:sz w:val="20"/>
          <w:szCs w:val="20"/>
        </w:rPr>
        <w:t>,</w:t>
      </w:r>
      <w:r w:rsidRPr="00B004EE">
        <w:rPr>
          <w:rFonts w:ascii="Tahoma" w:hAnsi="Tahoma" w:cs="Tahoma"/>
          <w:sz w:val="20"/>
          <w:szCs w:val="20"/>
        </w:rPr>
        <w:t xml:space="preserve"> </w:t>
      </w:r>
      <w:r w:rsidR="002F24E1" w:rsidRPr="00B004EE">
        <w:rPr>
          <w:rFonts w:ascii="Tahoma" w:hAnsi="Tahoma" w:cs="Tahoma"/>
          <w:sz w:val="20"/>
          <w:szCs w:val="20"/>
        </w:rPr>
        <w:t>le</w:t>
      </w:r>
      <w:r w:rsidRPr="00B004EE">
        <w:rPr>
          <w:rFonts w:ascii="Tahoma" w:hAnsi="Tahoma" w:cs="Tahoma"/>
          <w:sz w:val="20"/>
          <w:szCs w:val="20"/>
        </w:rPr>
        <w:t xml:space="preserve"> </w:t>
      </w:r>
      <w:r w:rsidR="002F24E1" w:rsidRPr="00B004EE">
        <w:rPr>
          <w:rFonts w:ascii="Tahoma" w:hAnsi="Tahoma" w:cs="Tahoma"/>
          <w:sz w:val="20"/>
          <w:szCs w:val="20"/>
        </w:rPr>
        <w:t>présent</w:t>
      </w:r>
      <w:r w:rsidRPr="00B004EE">
        <w:rPr>
          <w:rFonts w:ascii="Tahoma" w:hAnsi="Tahoma" w:cs="Tahoma"/>
          <w:sz w:val="20"/>
          <w:szCs w:val="20"/>
        </w:rPr>
        <w:t xml:space="preserve"> </w:t>
      </w:r>
      <w:r w:rsidR="002F24E1" w:rsidRPr="00B004EE">
        <w:rPr>
          <w:rFonts w:ascii="Tahoma" w:hAnsi="Tahoma" w:cs="Tahoma"/>
          <w:sz w:val="20"/>
          <w:szCs w:val="20"/>
        </w:rPr>
        <w:t>arrêté</w:t>
      </w:r>
      <w:r w:rsidRPr="00B004EE">
        <w:rPr>
          <w:rFonts w:ascii="Tahoma" w:hAnsi="Tahoma" w:cs="Tahoma"/>
          <w:sz w:val="20"/>
          <w:szCs w:val="20"/>
        </w:rPr>
        <w:t xml:space="preserve"> </w:t>
      </w:r>
      <w:r w:rsidR="002F24E1" w:rsidRPr="00B004EE">
        <w:rPr>
          <w:rFonts w:ascii="Tahoma" w:hAnsi="Tahoma" w:cs="Tahoma"/>
          <w:sz w:val="20"/>
          <w:szCs w:val="20"/>
        </w:rPr>
        <w:t>a</w:t>
      </w:r>
      <w:r w:rsidRPr="00B004EE">
        <w:rPr>
          <w:rFonts w:ascii="Tahoma" w:hAnsi="Tahoma" w:cs="Tahoma"/>
          <w:sz w:val="20"/>
          <w:szCs w:val="20"/>
        </w:rPr>
        <w:t xml:space="preserve"> </w:t>
      </w:r>
      <w:r w:rsidR="002F24E1" w:rsidRPr="00B004EE">
        <w:rPr>
          <w:rFonts w:ascii="Tahoma" w:hAnsi="Tahoma" w:cs="Tahoma"/>
          <w:sz w:val="20"/>
          <w:szCs w:val="20"/>
        </w:rPr>
        <w:t>pour</w:t>
      </w:r>
      <w:r w:rsidRPr="00B004EE">
        <w:rPr>
          <w:rFonts w:ascii="Tahoma" w:hAnsi="Tahoma" w:cs="Tahoma"/>
          <w:sz w:val="20"/>
          <w:szCs w:val="20"/>
        </w:rPr>
        <w:t xml:space="preserve"> </w:t>
      </w:r>
      <w:r w:rsidR="002F24E1" w:rsidRPr="00B004EE">
        <w:rPr>
          <w:rFonts w:ascii="Tahoma" w:hAnsi="Tahoma" w:cs="Tahoma"/>
          <w:sz w:val="20"/>
          <w:szCs w:val="20"/>
        </w:rPr>
        <w:t>objet</w:t>
      </w:r>
      <w:r w:rsidRPr="00B004EE">
        <w:rPr>
          <w:rFonts w:ascii="Tahoma" w:hAnsi="Tahoma" w:cs="Tahoma"/>
          <w:sz w:val="20"/>
          <w:szCs w:val="20"/>
        </w:rPr>
        <w:t xml:space="preserve"> </w:t>
      </w:r>
      <w:r w:rsidR="002F24E1" w:rsidRPr="00B004EE">
        <w:rPr>
          <w:rFonts w:ascii="Tahoma" w:hAnsi="Tahoma" w:cs="Tahoma"/>
          <w:sz w:val="20"/>
          <w:szCs w:val="20"/>
        </w:rPr>
        <w:t>de</w:t>
      </w:r>
      <w:r w:rsidRPr="00B004EE">
        <w:rPr>
          <w:rFonts w:ascii="Tahoma" w:hAnsi="Tahoma" w:cs="Tahoma"/>
          <w:sz w:val="20"/>
          <w:szCs w:val="20"/>
        </w:rPr>
        <w:t xml:space="preserve"> </w:t>
      </w:r>
      <w:r w:rsidR="002F24E1" w:rsidRPr="00B004EE">
        <w:rPr>
          <w:rFonts w:ascii="Tahoma" w:hAnsi="Tahoma" w:cs="Tahoma"/>
          <w:sz w:val="20"/>
          <w:szCs w:val="20"/>
        </w:rPr>
        <w:t>désigner</w:t>
      </w:r>
      <w:r w:rsidRPr="00B004EE">
        <w:rPr>
          <w:rFonts w:ascii="Tahoma" w:hAnsi="Tahoma" w:cs="Tahoma"/>
          <w:sz w:val="20"/>
          <w:szCs w:val="20"/>
        </w:rPr>
        <w:t xml:space="preserve"> </w:t>
      </w:r>
      <w:r w:rsidR="002F24E1" w:rsidRPr="00B004EE">
        <w:rPr>
          <w:rFonts w:ascii="Tahoma" w:hAnsi="Tahoma" w:cs="Tahoma"/>
          <w:sz w:val="20"/>
          <w:szCs w:val="20"/>
        </w:rPr>
        <w:t>le</w:t>
      </w:r>
      <w:r w:rsidRPr="00B004EE">
        <w:rPr>
          <w:rFonts w:ascii="Tahoma" w:hAnsi="Tahoma" w:cs="Tahoma"/>
          <w:sz w:val="20"/>
          <w:szCs w:val="20"/>
        </w:rPr>
        <w:t xml:space="preserve"> </w:t>
      </w:r>
      <w:r w:rsidR="002F24E1" w:rsidRPr="00B004EE">
        <w:rPr>
          <w:rFonts w:ascii="Tahoma" w:hAnsi="Tahoma" w:cs="Tahoma"/>
          <w:sz w:val="20"/>
          <w:szCs w:val="20"/>
        </w:rPr>
        <w:t>laboratoire</w:t>
      </w:r>
      <w:r w:rsidRPr="00B004EE">
        <w:rPr>
          <w:rFonts w:ascii="Tahoma" w:hAnsi="Tahoma" w:cs="Tahoma"/>
          <w:sz w:val="20"/>
          <w:szCs w:val="20"/>
        </w:rPr>
        <w:t xml:space="preserve"> </w:t>
      </w:r>
      <w:r w:rsidR="00842848" w:rsidRPr="00B004EE">
        <w:rPr>
          <w:rFonts w:ascii="Tahoma" w:hAnsi="Tahoma" w:cs="Tahoma"/>
          <w:sz w:val="20"/>
          <w:szCs w:val="20"/>
        </w:rPr>
        <w:t>national</w:t>
      </w:r>
      <w:r w:rsidRPr="00B004EE">
        <w:rPr>
          <w:rFonts w:ascii="Tahoma" w:hAnsi="Tahoma" w:cs="Tahoma"/>
          <w:sz w:val="20"/>
          <w:szCs w:val="20"/>
        </w:rPr>
        <w:t xml:space="preserve"> </w:t>
      </w:r>
      <w:r w:rsidR="00842848" w:rsidRPr="00B004EE">
        <w:rPr>
          <w:rFonts w:ascii="Tahoma" w:hAnsi="Tahoma" w:cs="Tahoma"/>
          <w:sz w:val="20"/>
          <w:szCs w:val="20"/>
        </w:rPr>
        <w:t>de</w:t>
      </w:r>
      <w:r w:rsidRPr="00B004EE">
        <w:rPr>
          <w:rFonts w:ascii="Tahoma" w:hAnsi="Tahoma" w:cs="Tahoma"/>
          <w:sz w:val="20"/>
          <w:szCs w:val="20"/>
        </w:rPr>
        <w:t xml:space="preserve"> </w:t>
      </w:r>
      <w:r w:rsidR="00842848" w:rsidRPr="00B004EE">
        <w:rPr>
          <w:rFonts w:ascii="Tahoma" w:hAnsi="Tahoma" w:cs="Tahoma"/>
          <w:sz w:val="20"/>
          <w:szCs w:val="20"/>
        </w:rPr>
        <w:t>référence</w:t>
      </w:r>
      <w:r w:rsidRPr="00B004EE">
        <w:rPr>
          <w:rFonts w:ascii="Tahoma" w:hAnsi="Tahoma" w:cs="Tahoma"/>
          <w:sz w:val="20"/>
          <w:szCs w:val="20"/>
        </w:rPr>
        <w:t xml:space="preserve"> </w:t>
      </w:r>
      <w:r w:rsidR="00842848" w:rsidRPr="00B004EE">
        <w:rPr>
          <w:rFonts w:ascii="Tahoma" w:hAnsi="Tahoma" w:cs="Tahoma"/>
          <w:sz w:val="20"/>
          <w:szCs w:val="20"/>
        </w:rPr>
        <w:t>pour</w:t>
      </w:r>
      <w:r w:rsidRPr="00B004EE">
        <w:rPr>
          <w:rFonts w:ascii="Tahoma" w:hAnsi="Tahoma" w:cs="Tahoma"/>
          <w:sz w:val="20"/>
          <w:szCs w:val="20"/>
        </w:rPr>
        <w:t xml:space="preserve"> </w:t>
      </w:r>
      <w:r w:rsidR="00842848" w:rsidRPr="00B004EE">
        <w:rPr>
          <w:rFonts w:ascii="Tahoma" w:hAnsi="Tahoma" w:cs="Tahoma"/>
          <w:sz w:val="20"/>
          <w:szCs w:val="20"/>
        </w:rPr>
        <w:t>les</w:t>
      </w:r>
      <w:r w:rsidRPr="00B004EE">
        <w:rPr>
          <w:rFonts w:ascii="Tahoma" w:hAnsi="Tahoma" w:cs="Tahoma"/>
          <w:sz w:val="20"/>
          <w:szCs w:val="20"/>
        </w:rPr>
        <w:t xml:space="preserve"> </w:t>
      </w:r>
      <w:r w:rsidR="002F24E1" w:rsidRPr="00B004EE">
        <w:rPr>
          <w:rFonts w:ascii="Tahoma" w:hAnsi="Tahoma" w:cs="Tahoma"/>
          <w:sz w:val="20"/>
          <w:szCs w:val="20"/>
        </w:rPr>
        <w:t>contrôles</w:t>
      </w:r>
      <w:r w:rsidRPr="00B004EE">
        <w:rPr>
          <w:rFonts w:ascii="Tahoma" w:hAnsi="Tahoma" w:cs="Tahoma"/>
          <w:sz w:val="20"/>
          <w:szCs w:val="20"/>
        </w:rPr>
        <w:t xml:space="preserve"> </w:t>
      </w:r>
      <w:r w:rsidR="002F24E1" w:rsidRPr="00B004EE">
        <w:rPr>
          <w:rFonts w:ascii="Tahoma" w:hAnsi="Tahoma" w:cs="Tahoma"/>
          <w:sz w:val="20"/>
          <w:szCs w:val="20"/>
        </w:rPr>
        <w:t>officiels</w:t>
      </w:r>
      <w:r w:rsidRPr="00B004EE">
        <w:rPr>
          <w:rFonts w:ascii="Tahoma" w:hAnsi="Tahoma" w:cs="Tahoma"/>
          <w:sz w:val="20"/>
          <w:szCs w:val="20"/>
        </w:rPr>
        <w:t xml:space="preserve"> </w:t>
      </w:r>
      <w:r w:rsidR="002F24E1" w:rsidRPr="00B004EE">
        <w:rPr>
          <w:rFonts w:ascii="Tahoma" w:hAnsi="Tahoma" w:cs="Tahoma"/>
          <w:sz w:val="20"/>
          <w:szCs w:val="20"/>
        </w:rPr>
        <w:t>applicables</w:t>
      </w:r>
      <w:r w:rsidRPr="00B004EE">
        <w:rPr>
          <w:rFonts w:ascii="Tahoma" w:hAnsi="Tahoma" w:cs="Tahoma"/>
          <w:sz w:val="20"/>
          <w:szCs w:val="20"/>
        </w:rPr>
        <w:t xml:space="preserve"> </w:t>
      </w:r>
      <w:r w:rsidR="002F24E1" w:rsidRPr="00B004EE">
        <w:rPr>
          <w:rFonts w:ascii="Tahoma" w:hAnsi="Tahoma" w:cs="Tahoma"/>
          <w:bCs/>
          <w:sz w:val="20"/>
          <w:szCs w:val="20"/>
        </w:rPr>
        <w:t>aux</w:t>
      </w:r>
      <w:r w:rsidRPr="00B004EE">
        <w:rPr>
          <w:rFonts w:ascii="Tahoma" w:hAnsi="Tahoma" w:cs="Tahoma"/>
          <w:bCs/>
          <w:sz w:val="20"/>
          <w:szCs w:val="20"/>
        </w:rPr>
        <w:t xml:space="preserve"> </w:t>
      </w:r>
      <w:r w:rsidR="002F24E1" w:rsidRPr="00B004EE">
        <w:rPr>
          <w:rFonts w:ascii="Tahoma" w:hAnsi="Tahoma" w:cs="Tahoma"/>
          <w:bCs/>
          <w:sz w:val="20"/>
          <w:szCs w:val="20"/>
        </w:rPr>
        <w:t>produits</w:t>
      </w:r>
      <w:r w:rsidRPr="00B004EE">
        <w:rPr>
          <w:rFonts w:ascii="Tahoma" w:hAnsi="Tahoma" w:cs="Tahoma"/>
          <w:bCs/>
          <w:sz w:val="20"/>
          <w:szCs w:val="20"/>
        </w:rPr>
        <w:t xml:space="preserve"> </w:t>
      </w:r>
      <w:r w:rsidR="002F24E1" w:rsidRPr="00B004EE">
        <w:rPr>
          <w:rFonts w:ascii="Tahoma" w:hAnsi="Tahoma" w:cs="Tahoma"/>
          <w:bCs/>
          <w:sz w:val="20"/>
          <w:szCs w:val="20"/>
        </w:rPr>
        <w:t>de</w:t>
      </w:r>
      <w:r w:rsidRPr="00B004EE">
        <w:rPr>
          <w:rFonts w:ascii="Tahoma" w:hAnsi="Tahoma" w:cs="Tahoma"/>
          <w:bCs/>
          <w:sz w:val="20"/>
          <w:szCs w:val="20"/>
        </w:rPr>
        <w:t xml:space="preserve"> </w:t>
      </w:r>
      <w:r w:rsidR="002F24E1" w:rsidRPr="00B004EE">
        <w:rPr>
          <w:rFonts w:ascii="Tahoma" w:hAnsi="Tahoma" w:cs="Tahoma"/>
          <w:bCs/>
          <w:sz w:val="20"/>
          <w:szCs w:val="20"/>
        </w:rPr>
        <w:t>la</w:t>
      </w:r>
      <w:r w:rsidRPr="00B004EE">
        <w:rPr>
          <w:rFonts w:ascii="Tahoma" w:hAnsi="Tahoma" w:cs="Tahoma"/>
          <w:bCs/>
          <w:sz w:val="20"/>
          <w:szCs w:val="20"/>
        </w:rPr>
        <w:t xml:space="preserve"> </w:t>
      </w:r>
      <w:r w:rsidR="002F24E1" w:rsidRPr="00B004EE">
        <w:rPr>
          <w:rFonts w:ascii="Tahoma" w:hAnsi="Tahoma" w:cs="Tahoma"/>
          <w:bCs/>
          <w:sz w:val="20"/>
          <w:szCs w:val="20"/>
        </w:rPr>
        <w:t>pêche,</w:t>
      </w:r>
      <w:r w:rsidRPr="00B004EE">
        <w:rPr>
          <w:rFonts w:ascii="Tahoma" w:hAnsi="Tahoma" w:cs="Tahoma"/>
          <w:bCs/>
          <w:sz w:val="20"/>
          <w:szCs w:val="20"/>
        </w:rPr>
        <w:t xml:space="preserve"> </w:t>
      </w:r>
      <w:r w:rsidR="002F24E1" w:rsidRPr="00B004EE">
        <w:rPr>
          <w:rFonts w:ascii="Tahoma" w:hAnsi="Tahoma" w:cs="Tahoma"/>
          <w:bCs/>
          <w:sz w:val="20"/>
          <w:szCs w:val="20"/>
        </w:rPr>
        <w:t>y</w:t>
      </w:r>
      <w:r w:rsidRPr="00B004EE">
        <w:rPr>
          <w:rFonts w:ascii="Tahoma" w:hAnsi="Tahoma" w:cs="Tahoma"/>
          <w:bCs/>
          <w:sz w:val="20"/>
          <w:szCs w:val="20"/>
        </w:rPr>
        <w:t xml:space="preserve"> </w:t>
      </w:r>
      <w:r w:rsidR="002F24E1" w:rsidRPr="00B004EE">
        <w:rPr>
          <w:rFonts w:ascii="Tahoma" w:hAnsi="Tahoma" w:cs="Tahoma"/>
          <w:bCs/>
          <w:sz w:val="20"/>
          <w:szCs w:val="20"/>
        </w:rPr>
        <w:t>compris</w:t>
      </w:r>
      <w:r w:rsidRPr="00B004EE">
        <w:rPr>
          <w:rFonts w:ascii="Tahoma" w:hAnsi="Tahoma" w:cs="Tahoma"/>
          <w:bCs/>
          <w:sz w:val="20"/>
          <w:szCs w:val="20"/>
        </w:rPr>
        <w:t xml:space="preserve"> </w:t>
      </w:r>
      <w:r w:rsidR="002F24E1" w:rsidRPr="00B004EE">
        <w:rPr>
          <w:rFonts w:ascii="Tahoma" w:hAnsi="Tahoma" w:cs="Tahoma"/>
          <w:bCs/>
          <w:sz w:val="20"/>
          <w:szCs w:val="20"/>
        </w:rPr>
        <w:t>les</w:t>
      </w:r>
      <w:r w:rsidRPr="00B004EE">
        <w:rPr>
          <w:rFonts w:ascii="Tahoma" w:hAnsi="Tahoma" w:cs="Tahoma"/>
          <w:bCs/>
          <w:sz w:val="20"/>
          <w:szCs w:val="20"/>
        </w:rPr>
        <w:t xml:space="preserve"> </w:t>
      </w:r>
      <w:r w:rsidR="002F24E1" w:rsidRPr="00B004EE">
        <w:rPr>
          <w:rFonts w:ascii="Tahoma" w:hAnsi="Tahoma" w:cs="Tahoma"/>
          <w:bCs/>
          <w:sz w:val="20"/>
          <w:szCs w:val="20"/>
        </w:rPr>
        <w:t>mollusques</w:t>
      </w:r>
      <w:r w:rsidRPr="00B004EE">
        <w:rPr>
          <w:rFonts w:ascii="Tahoma" w:hAnsi="Tahoma" w:cs="Tahoma"/>
          <w:bCs/>
          <w:sz w:val="20"/>
          <w:szCs w:val="20"/>
        </w:rPr>
        <w:t xml:space="preserve"> </w:t>
      </w:r>
      <w:r w:rsidR="002F24E1" w:rsidRPr="00B004EE">
        <w:rPr>
          <w:rFonts w:ascii="Tahoma" w:hAnsi="Tahoma" w:cs="Tahoma"/>
          <w:bCs/>
          <w:sz w:val="20"/>
          <w:szCs w:val="20"/>
        </w:rPr>
        <w:t>bivalves</w:t>
      </w:r>
      <w:r w:rsidRPr="00B004EE">
        <w:rPr>
          <w:rFonts w:ascii="Tahoma" w:hAnsi="Tahoma" w:cs="Tahoma"/>
          <w:bCs/>
          <w:sz w:val="20"/>
          <w:szCs w:val="20"/>
        </w:rPr>
        <w:t xml:space="preserve"> </w:t>
      </w:r>
      <w:r w:rsidR="002F24E1" w:rsidRPr="00B004EE">
        <w:rPr>
          <w:rFonts w:ascii="Tahoma" w:hAnsi="Tahoma" w:cs="Tahoma"/>
          <w:bCs/>
          <w:sz w:val="20"/>
          <w:szCs w:val="20"/>
        </w:rPr>
        <w:t>vivants</w:t>
      </w:r>
      <w:r w:rsidRPr="00B004EE">
        <w:rPr>
          <w:rFonts w:ascii="Tahoma" w:hAnsi="Tahoma" w:cs="Tahoma"/>
          <w:bCs/>
          <w:sz w:val="20"/>
          <w:szCs w:val="20"/>
        </w:rPr>
        <w:t xml:space="preserve"> </w:t>
      </w:r>
      <w:r w:rsidR="002F24E1" w:rsidRPr="00B004EE">
        <w:rPr>
          <w:rFonts w:ascii="Tahoma" w:hAnsi="Tahoma" w:cs="Tahoma"/>
          <w:bCs/>
          <w:sz w:val="20"/>
          <w:szCs w:val="20"/>
        </w:rPr>
        <w:t>destinés</w:t>
      </w:r>
      <w:r w:rsidRPr="00B004EE">
        <w:rPr>
          <w:rFonts w:ascii="Tahoma" w:hAnsi="Tahoma" w:cs="Tahoma"/>
          <w:bCs/>
          <w:sz w:val="20"/>
          <w:szCs w:val="20"/>
        </w:rPr>
        <w:t xml:space="preserve"> </w:t>
      </w:r>
      <w:r w:rsidR="002F24E1" w:rsidRPr="00B004EE">
        <w:rPr>
          <w:rFonts w:ascii="Tahoma" w:hAnsi="Tahoma" w:cs="Tahoma"/>
          <w:bCs/>
          <w:sz w:val="20"/>
          <w:szCs w:val="20"/>
        </w:rPr>
        <w:t>à</w:t>
      </w:r>
      <w:r w:rsidRPr="00B004EE">
        <w:rPr>
          <w:rFonts w:ascii="Tahoma" w:hAnsi="Tahoma" w:cs="Tahoma"/>
          <w:bCs/>
          <w:sz w:val="20"/>
          <w:szCs w:val="20"/>
        </w:rPr>
        <w:t xml:space="preserve"> </w:t>
      </w:r>
      <w:r w:rsidR="002F24E1" w:rsidRPr="00B004EE">
        <w:rPr>
          <w:rFonts w:ascii="Tahoma" w:hAnsi="Tahoma" w:cs="Tahoma"/>
          <w:bCs/>
          <w:sz w:val="20"/>
          <w:szCs w:val="20"/>
        </w:rPr>
        <w:t>l’exportation</w:t>
      </w:r>
      <w:r w:rsidRPr="00B004EE">
        <w:rPr>
          <w:rFonts w:ascii="Tahoma" w:hAnsi="Tahoma" w:cs="Tahoma"/>
          <w:bCs/>
          <w:sz w:val="20"/>
          <w:szCs w:val="20"/>
        </w:rPr>
        <w:t xml:space="preserve"> </w:t>
      </w:r>
      <w:r w:rsidR="002F24E1" w:rsidRPr="00B004EE">
        <w:rPr>
          <w:rFonts w:ascii="Tahoma" w:hAnsi="Tahoma" w:cs="Tahoma"/>
          <w:bCs/>
          <w:sz w:val="20"/>
          <w:szCs w:val="20"/>
        </w:rPr>
        <w:t>vers</w:t>
      </w:r>
      <w:r w:rsidRPr="00B004EE">
        <w:rPr>
          <w:rFonts w:ascii="Tahoma" w:hAnsi="Tahoma" w:cs="Tahoma"/>
          <w:bCs/>
          <w:sz w:val="20"/>
          <w:szCs w:val="20"/>
        </w:rPr>
        <w:t xml:space="preserve"> </w:t>
      </w:r>
      <w:r w:rsidR="002F24E1" w:rsidRPr="00B004EE">
        <w:rPr>
          <w:rFonts w:ascii="Tahoma" w:hAnsi="Tahoma" w:cs="Tahoma"/>
          <w:bCs/>
          <w:sz w:val="20"/>
          <w:szCs w:val="20"/>
        </w:rPr>
        <w:t>les</w:t>
      </w:r>
      <w:r w:rsidRPr="00B004EE">
        <w:rPr>
          <w:rFonts w:ascii="Tahoma" w:hAnsi="Tahoma" w:cs="Tahoma"/>
          <w:bCs/>
          <w:sz w:val="20"/>
          <w:szCs w:val="20"/>
        </w:rPr>
        <w:t xml:space="preserve"> </w:t>
      </w:r>
      <w:r w:rsidR="002F24E1" w:rsidRPr="00B004EE">
        <w:rPr>
          <w:rFonts w:ascii="Tahoma" w:hAnsi="Tahoma" w:cs="Tahoma"/>
          <w:bCs/>
          <w:sz w:val="20"/>
          <w:szCs w:val="20"/>
        </w:rPr>
        <w:t>marchés</w:t>
      </w:r>
      <w:r w:rsidRPr="00B004EE">
        <w:rPr>
          <w:rFonts w:ascii="Tahoma" w:hAnsi="Tahoma" w:cs="Tahoma"/>
          <w:bCs/>
          <w:sz w:val="20"/>
          <w:szCs w:val="20"/>
        </w:rPr>
        <w:t xml:space="preserve"> </w:t>
      </w:r>
      <w:r w:rsidR="002F24E1" w:rsidRPr="00B004EE">
        <w:rPr>
          <w:rFonts w:ascii="Tahoma" w:hAnsi="Tahoma" w:cs="Tahoma"/>
          <w:bCs/>
          <w:sz w:val="20"/>
          <w:szCs w:val="20"/>
        </w:rPr>
        <w:t>de</w:t>
      </w:r>
      <w:r w:rsidRPr="00B004EE">
        <w:rPr>
          <w:rFonts w:ascii="Tahoma" w:hAnsi="Tahoma" w:cs="Tahoma"/>
          <w:bCs/>
          <w:sz w:val="20"/>
          <w:szCs w:val="20"/>
        </w:rPr>
        <w:t xml:space="preserve"> </w:t>
      </w:r>
      <w:r w:rsidR="002F24E1" w:rsidRPr="00B004EE">
        <w:rPr>
          <w:rFonts w:ascii="Tahoma" w:hAnsi="Tahoma" w:cs="Tahoma"/>
          <w:bCs/>
          <w:sz w:val="20"/>
          <w:szCs w:val="20"/>
        </w:rPr>
        <w:t>l’Union</w:t>
      </w:r>
      <w:r w:rsidRPr="00B004EE">
        <w:rPr>
          <w:rFonts w:ascii="Tahoma" w:hAnsi="Tahoma" w:cs="Tahoma"/>
          <w:bCs/>
          <w:sz w:val="20"/>
          <w:szCs w:val="20"/>
        </w:rPr>
        <w:t xml:space="preserve"> </w:t>
      </w:r>
      <w:r w:rsidR="002F24E1" w:rsidRPr="00B004EE">
        <w:rPr>
          <w:rFonts w:ascii="Tahoma" w:hAnsi="Tahoma" w:cs="Tahoma"/>
          <w:bCs/>
          <w:sz w:val="20"/>
          <w:szCs w:val="20"/>
        </w:rPr>
        <w:t>Européenne.</w:t>
      </w:r>
    </w:p>
    <w:p w14:paraId="19D13683" w14:textId="77777777" w:rsidR="002F24E1" w:rsidRPr="00B004EE" w:rsidRDefault="002F24E1" w:rsidP="00B004EE">
      <w:pPr>
        <w:jc w:val="both"/>
        <w:rPr>
          <w:rFonts w:ascii="Tahoma" w:hAnsi="Tahoma" w:cs="Tahoma"/>
          <w:bCs/>
          <w:sz w:val="20"/>
          <w:szCs w:val="20"/>
        </w:rPr>
      </w:pPr>
    </w:p>
    <w:p w14:paraId="0A24F984" w14:textId="2826B649" w:rsidR="002F24E1" w:rsidRPr="00B004EE" w:rsidRDefault="002F24E1" w:rsidP="00B004EE">
      <w:pPr>
        <w:jc w:val="both"/>
        <w:rPr>
          <w:rFonts w:ascii="Tahoma" w:hAnsi="Tahoma" w:cs="Tahoma"/>
          <w:sz w:val="20"/>
          <w:szCs w:val="20"/>
        </w:rPr>
      </w:pPr>
      <w:r w:rsidRPr="00B004EE">
        <w:rPr>
          <w:rFonts w:ascii="Tahoma" w:hAnsi="Tahoma" w:cs="Tahoma"/>
          <w:bCs/>
          <w:sz w:val="20"/>
          <w:szCs w:val="20"/>
        </w:rPr>
        <w:t>Il</w:t>
      </w:r>
      <w:r w:rsidR="00DB1635" w:rsidRPr="00B004EE">
        <w:rPr>
          <w:rFonts w:ascii="Tahoma" w:hAnsi="Tahoma" w:cs="Tahoma"/>
          <w:bCs/>
          <w:sz w:val="20"/>
          <w:szCs w:val="20"/>
        </w:rPr>
        <w:t xml:space="preserve"> </w:t>
      </w:r>
      <w:r w:rsidRPr="00B004EE">
        <w:rPr>
          <w:rFonts w:ascii="Tahoma" w:hAnsi="Tahoma" w:cs="Tahoma"/>
          <w:bCs/>
          <w:sz w:val="20"/>
          <w:szCs w:val="20"/>
        </w:rPr>
        <w:t>définit</w:t>
      </w:r>
      <w:r w:rsidR="00DB1635" w:rsidRPr="00B004EE">
        <w:rPr>
          <w:rFonts w:ascii="Tahoma" w:hAnsi="Tahoma" w:cs="Tahoma"/>
          <w:bCs/>
          <w:sz w:val="20"/>
          <w:szCs w:val="20"/>
        </w:rPr>
        <w:t xml:space="preserve"> </w:t>
      </w:r>
      <w:r w:rsidRPr="00B004EE">
        <w:rPr>
          <w:rFonts w:ascii="Tahoma" w:hAnsi="Tahoma" w:cs="Tahoma"/>
          <w:bCs/>
          <w:sz w:val="20"/>
          <w:szCs w:val="20"/>
        </w:rPr>
        <w:t>également</w:t>
      </w:r>
      <w:r w:rsidR="00DB1635" w:rsidRPr="00B004EE">
        <w:rPr>
          <w:rFonts w:ascii="Tahoma" w:hAnsi="Tahoma" w:cs="Tahoma"/>
          <w:bCs/>
          <w:sz w:val="20"/>
          <w:szCs w:val="20"/>
        </w:rPr>
        <w:t xml:space="preserve"> </w:t>
      </w:r>
      <w:r w:rsidRPr="00B004EE">
        <w:rPr>
          <w:rFonts w:ascii="Tahoma" w:hAnsi="Tahoma" w:cs="Tahoma"/>
          <w:bCs/>
          <w:sz w:val="20"/>
          <w:szCs w:val="20"/>
        </w:rPr>
        <w:t>les</w:t>
      </w:r>
      <w:r w:rsidR="00DB1635" w:rsidRPr="00B004EE">
        <w:rPr>
          <w:rFonts w:ascii="Tahoma" w:hAnsi="Tahoma" w:cs="Tahoma"/>
          <w:bCs/>
          <w:sz w:val="20"/>
          <w:szCs w:val="20"/>
        </w:rPr>
        <w:t xml:space="preserve"> </w:t>
      </w:r>
      <w:r w:rsidRPr="00B004EE">
        <w:rPr>
          <w:rFonts w:ascii="Tahoma" w:hAnsi="Tahoma" w:cs="Tahoma"/>
          <w:bCs/>
          <w:sz w:val="20"/>
          <w:szCs w:val="20"/>
        </w:rPr>
        <w:t>conditions</w:t>
      </w:r>
      <w:r w:rsidR="00DB1635" w:rsidRPr="00B004EE">
        <w:rPr>
          <w:rFonts w:ascii="Tahoma" w:hAnsi="Tahoma" w:cs="Tahoma"/>
          <w:bCs/>
          <w:sz w:val="20"/>
          <w:szCs w:val="20"/>
        </w:rPr>
        <w:t xml:space="preserve"> </w:t>
      </w:r>
      <w:r w:rsidRPr="00B004EE">
        <w:rPr>
          <w:rFonts w:ascii="Tahoma" w:hAnsi="Tahoma" w:cs="Tahoma"/>
          <w:bCs/>
          <w:sz w:val="20"/>
          <w:szCs w:val="20"/>
        </w:rPr>
        <w:t>dans</w:t>
      </w:r>
      <w:r w:rsidR="00DB1635" w:rsidRPr="00B004EE">
        <w:rPr>
          <w:rFonts w:ascii="Tahoma" w:hAnsi="Tahoma" w:cs="Tahoma"/>
          <w:bCs/>
          <w:sz w:val="20"/>
          <w:szCs w:val="20"/>
        </w:rPr>
        <w:t xml:space="preserve"> </w:t>
      </w:r>
      <w:r w:rsidRPr="00B004EE">
        <w:rPr>
          <w:rFonts w:ascii="Tahoma" w:hAnsi="Tahoma" w:cs="Tahoma"/>
          <w:bCs/>
          <w:sz w:val="20"/>
          <w:szCs w:val="20"/>
        </w:rPr>
        <w:t>les</w:t>
      </w:r>
      <w:r w:rsidR="00DB1635" w:rsidRPr="00B004EE">
        <w:rPr>
          <w:rFonts w:ascii="Tahoma" w:hAnsi="Tahoma" w:cs="Tahoma"/>
          <w:bCs/>
          <w:sz w:val="20"/>
          <w:szCs w:val="20"/>
        </w:rPr>
        <w:t xml:space="preserve"> </w:t>
      </w:r>
      <w:r w:rsidRPr="00B004EE">
        <w:rPr>
          <w:rFonts w:ascii="Tahoma" w:hAnsi="Tahoma" w:cs="Tahoma"/>
          <w:bCs/>
          <w:sz w:val="20"/>
          <w:szCs w:val="20"/>
        </w:rPr>
        <w:t>lesquelles</w:t>
      </w:r>
      <w:r w:rsidR="00DB1635" w:rsidRPr="00B004EE">
        <w:rPr>
          <w:rFonts w:ascii="Tahoma" w:hAnsi="Tahoma" w:cs="Tahoma"/>
          <w:bCs/>
          <w:sz w:val="20"/>
          <w:szCs w:val="20"/>
        </w:rPr>
        <w:t xml:space="preserve"> </w:t>
      </w:r>
      <w:r w:rsidRPr="00B004EE">
        <w:rPr>
          <w:rFonts w:ascii="Tahoma" w:hAnsi="Tahoma" w:cs="Tahoma"/>
          <w:bCs/>
          <w:sz w:val="20"/>
          <w:szCs w:val="20"/>
        </w:rPr>
        <w:t>les</w:t>
      </w:r>
      <w:r w:rsidR="00DB1635" w:rsidRPr="00B004EE">
        <w:rPr>
          <w:rFonts w:ascii="Tahoma" w:hAnsi="Tahoma" w:cs="Tahoma"/>
          <w:bCs/>
          <w:sz w:val="20"/>
          <w:szCs w:val="20"/>
        </w:rPr>
        <w:t xml:space="preserve"> </w:t>
      </w:r>
      <w:r w:rsidRPr="00B004EE">
        <w:rPr>
          <w:rFonts w:ascii="Tahoma" w:hAnsi="Tahoma" w:cs="Tahoma"/>
          <w:bCs/>
          <w:sz w:val="20"/>
          <w:szCs w:val="20"/>
        </w:rPr>
        <w:t>laboratoires</w:t>
      </w:r>
      <w:r w:rsidR="00DB1635" w:rsidRPr="00B004EE">
        <w:rPr>
          <w:rFonts w:ascii="Tahoma" w:hAnsi="Tahoma" w:cs="Tahoma"/>
          <w:bCs/>
          <w:sz w:val="20"/>
          <w:szCs w:val="20"/>
        </w:rPr>
        <w:t xml:space="preserve"> </w:t>
      </w:r>
      <w:r w:rsidRPr="00B004EE">
        <w:rPr>
          <w:rFonts w:ascii="Tahoma" w:hAnsi="Tahoma" w:cs="Tahoma"/>
          <w:bCs/>
          <w:sz w:val="20"/>
          <w:szCs w:val="20"/>
        </w:rPr>
        <w:t>peuvent</w:t>
      </w:r>
      <w:r w:rsidR="00DB1635" w:rsidRPr="00B004EE">
        <w:rPr>
          <w:rFonts w:ascii="Tahoma" w:hAnsi="Tahoma" w:cs="Tahoma"/>
          <w:bCs/>
          <w:sz w:val="20"/>
          <w:szCs w:val="20"/>
        </w:rPr>
        <w:t xml:space="preserve"> </w:t>
      </w:r>
      <w:r w:rsidRPr="00B004EE">
        <w:rPr>
          <w:rFonts w:ascii="Tahoma" w:hAnsi="Tahoma" w:cs="Tahoma"/>
          <w:bCs/>
          <w:sz w:val="20"/>
          <w:szCs w:val="20"/>
        </w:rPr>
        <w:t>être</w:t>
      </w:r>
      <w:r w:rsidR="00DB1635" w:rsidRPr="00B004EE">
        <w:rPr>
          <w:rFonts w:ascii="Tahoma" w:hAnsi="Tahoma" w:cs="Tahoma"/>
          <w:bCs/>
          <w:sz w:val="20"/>
          <w:szCs w:val="20"/>
        </w:rPr>
        <w:t xml:space="preserve"> </w:t>
      </w:r>
      <w:r w:rsidRPr="00B004EE">
        <w:rPr>
          <w:rFonts w:ascii="Tahoma" w:hAnsi="Tahoma" w:cs="Tahoma"/>
          <w:bCs/>
          <w:sz w:val="20"/>
          <w:szCs w:val="20"/>
        </w:rPr>
        <w:t>agréés</w:t>
      </w:r>
      <w:r w:rsidR="00DB1635" w:rsidRPr="00B004EE">
        <w:rPr>
          <w:rFonts w:ascii="Tahoma" w:hAnsi="Tahoma" w:cs="Tahoma"/>
          <w:bCs/>
          <w:sz w:val="20"/>
          <w:szCs w:val="20"/>
        </w:rPr>
        <w:t xml:space="preserve"> </w:t>
      </w:r>
      <w:r w:rsidRPr="00B004EE">
        <w:rPr>
          <w:rFonts w:ascii="Tahoma" w:hAnsi="Tahoma" w:cs="Tahoma"/>
          <w:bCs/>
          <w:sz w:val="20"/>
          <w:szCs w:val="20"/>
        </w:rPr>
        <w:t>ou</w:t>
      </w:r>
      <w:r w:rsidR="00DB1635" w:rsidRPr="00B004EE">
        <w:rPr>
          <w:rFonts w:ascii="Tahoma" w:hAnsi="Tahoma" w:cs="Tahoma"/>
          <w:bCs/>
          <w:sz w:val="20"/>
          <w:szCs w:val="20"/>
        </w:rPr>
        <w:t xml:space="preserve"> </w:t>
      </w:r>
      <w:r w:rsidRPr="00B004EE">
        <w:rPr>
          <w:rFonts w:ascii="Tahoma" w:hAnsi="Tahoma" w:cs="Tahoma"/>
          <w:sz w:val="20"/>
          <w:szCs w:val="20"/>
        </w:rPr>
        <w:t>reconnus</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fins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réaliser</w:t>
      </w:r>
      <w:r w:rsidR="00DB1635" w:rsidRPr="00B004EE">
        <w:rPr>
          <w:rFonts w:ascii="Tahoma" w:hAnsi="Tahoma" w:cs="Tahoma"/>
          <w:sz w:val="20"/>
          <w:szCs w:val="20"/>
        </w:rPr>
        <w:t xml:space="preserve"> </w:t>
      </w:r>
      <w:r w:rsidRPr="00B004EE">
        <w:rPr>
          <w:rFonts w:ascii="Tahoma" w:hAnsi="Tahoma" w:cs="Tahoma"/>
          <w:sz w:val="20"/>
          <w:szCs w:val="20"/>
        </w:rPr>
        <w:t>certaines</w:t>
      </w:r>
      <w:r w:rsidR="00DB1635" w:rsidRPr="00B004EE">
        <w:rPr>
          <w:rFonts w:ascii="Tahoma" w:hAnsi="Tahoma" w:cs="Tahoma"/>
          <w:sz w:val="20"/>
          <w:szCs w:val="20"/>
        </w:rPr>
        <w:t xml:space="preserve"> </w:t>
      </w:r>
      <w:r w:rsidRPr="00B004EE">
        <w:rPr>
          <w:rFonts w:ascii="Tahoma" w:hAnsi="Tahoma" w:cs="Tahoma"/>
          <w:sz w:val="20"/>
          <w:szCs w:val="20"/>
        </w:rPr>
        <w:t>analyses</w:t>
      </w:r>
      <w:r w:rsidR="00DB1635" w:rsidRPr="00B004EE">
        <w:rPr>
          <w:rFonts w:ascii="Tahoma" w:hAnsi="Tahoma" w:cs="Tahoma"/>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chimie</w:t>
      </w:r>
      <w:r w:rsidR="00DB1635" w:rsidRPr="00B004EE">
        <w:rPr>
          <w:rFonts w:ascii="Tahoma" w:hAnsi="Tahoma" w:cs="Tahoma"/>
          <w:bCs/>
          <w:sz w:val="20"/>
          <w:szCs w:val="20"/>
        </w:rPr>
        <w:t xml:space="preserve"> </w:t>
      </w:r>
      <w:r w:rsidRPr="00B004EE">
        <w:rPr>
          <w:rFonts w:ascii="Tahoma" w:hAnsi="Tahoma" w:cs="Tahoma"/>
          <w:bCs/>
          <w:sz w:val="20"/>
          <w:szCs w:val="20"/>
        </w:rPr>
        <w:t>et</w:t>
      </w:r>
      <w:r w:rsidR="00DB1635" w:rsidRPr="00B004EE">
        <w:rPr>
          <w:rFonts w:ascii="Tahoma" w:hAnsi="Tahoma" w:cs="Tahoma"/>
          <w:bCs/>
          <w:sz w:val="20"/>
          <w:szCs w:val="20"/>
        </w:rPr>
        <w:t xml:space="preserve"> </w:t>
      </w:r>
      <w:r w:rsidRPr="00B004EE">
        <w:rPr>
          <w:rFonts w:ascii="Tahoma" w:hAnsi="Tahoma" w:cs="Tahoma"/>
          <w:bCs/>
          <w:sz w:val="20"/>
          <w:szCs w:val="20"/>
        </w:rPr>
        <w:t>microbiologie.</w:t>
      </w:r>
    </w:p>
    <w:p w14:paraId="4784F0BA" w14:textId="77777777" w:rsidR="002F24E1" w:rsidRPr="00B004EE" w:rsidRDefault="002F24E1" w:rsidP="00B004EE">
      <w:pPr>
        <w:autoSpaceDE w:val="0"/>
        <w:autoSpaceDN w:val="0"/>
        <w:adjustRightInd w:val="0"/>
        <w:jc w:val="both"/>
        <w:rPr>
          <w:rFonts w:ascii="Tahoma" w:hAnsi="Tahoma" w:cs="Tahoma"/>
          <w:sz w:val="20"/>
          <w:szCs w:val="20"/>
        </w:rPr>
      </w:pPr>
    </w:p>
    <w:p w14:paraId="5213FD1D" w14:textId="5D078E56" w:rsidR="002F24E1" w:rsidRPr="00B004EE" w:rsidRDefault="002F24E1" w:rsidP="00B004EE">
      <w:pPr>
        <w:autoSpaceDE w:val="0"/>
        <w:autoSpaceDN w:val="0"/>
        <w:adjustRightInd w:val="0"/>
        <w:jc w:val="both"/>
        <w:rPr>
          <w:rFonts w:ascii="Tahoma" w:hAnsi="Tahoma" w:cs="Tahoma"/>
          <w:sz w:val="20"/>
          <w:szCs w:val="20"/>
        </w:rPr>
      </w:pP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sens</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présent</w:t>
      </w:r>
      <w:r w:rsidR="00DB1635" w:rsidRPr="00B004EE">
        <w:rPr>
          <w:rFonts w:ascii="Tahoma" w:hAnsi="Tahoma" w:cs="Tahoma"/>
          <w:sz w:val="20"/>
          <w:szCs w:val="20"/>
        </w:rPr>
        <w:t xml:space="preserve"> </w:t>
      </w:r>
      <w:r w:rsidRPr="00B004EE">
        <w:rPr>
          <w:rFonts w:ascii="Tahoma" w:hAnsi="Tahoma" w:cs="Tahoma"/>
          <w:sz w:val="20"/>
          <w:szCs w:val="20"/>
        </w:rPr>
        <w:t>arrêté,</w:t>
      </w:r>
      <w:r w:rsidR="00DB1635" w:rsidRPr="00B004EE">
        <w:rPr>
          <w:rFonts w:ascii="Tahoma" w:hAnsi="Tahoma" w:cs="Tahoma"/>
          <w:sz w:val="20"/>
          <w:szCs w:val="20"/>
        </w:rPr>
        <w:t xml:space="preserve"> </w:t>
      </w:r>
      <w:r w:rsidRPr="00B004EE">
        <w:rPr>
          <w:rFonts w:ascii="Tahoma" w:hAnsi="Tahoma" w:cs="Tahoma"/>
          <w:sz w:val="20"/>
          <w:szCs w:val="20"/>
        </w:rPr>
        <w:t>on</w:t>
      </w:r>
      <w:r w:rsidR="00DB1635" w:rsidRPr="00B004EE">
        <w:rPr>
          <w:rFonts w:ascii="Tahoma" w:hAnsi="Tahoma" w:cs="Tahoma"/>
          <w:sz w:val="20"/>
          <w:szCs w:val="20"/>
        </w:rPr>
        <w:t xml:space="preserve"> </w:t>
      </w:r>
      <w:r w:rsidRPr="00B004EE">
        <w:rPr>
          <w:rFonts w:ascii="Tahoma" w:hAnsi="Tahoma" w:cs="Tahoma"/>
          <w:sz w:val="20"/>
          <w:szCs w:val="20"/>
        </w:rPr>
        <w:t>entend</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w:t>
      </w:r>
    </w:p>
    <w:p w14:paraId="77771E8E" w14:textId="06C44C38" w:rsidR="002F24E1" w:rsidRPr="00B004EE" w:rsidRDefault="002F24E1" w:rsidP="00420DDA">
      <w:pPr>
        <w:pStyle w:val="Paragraphedeliste"/>
        <w:numPr>
          <w:ilvl w:val="3"/>
          <w:numId w:val="157"/>
        </w:numPr>
        <w:autoSpaceDE w:val="0"/>
        <w:autoSpaceDN w:val="0"/>
        <w:adjustRightInd w:val="0"/>
        <w:ind w:left="426"/>
        <w:jc w:val="both"/>
        <w:rPr>
          <w:rFonts w:ascii="Tahoma" w:hAnsi="Tahoma" w:cs="Tahoma"/>
          <w:sz w:val="20"/>
          <w:szCs w:val="20"/>
        </w:rPr>
      </w:pPr>
      <w:r w:rsidRPr="00B004EE">
        <w:rPr>
          <w:rFonts w:ascii="Tahoma" w:hAnsi="Tahoma" w:cs="Tahoma"/>
          <w:sz w:val="20"/>
          <w:szCs w:val="20"/>
        </w:rPr>
        <w:t>Contrôle</w:t>
      </w:r>
      <w:r w:rsidR="00DB1635" w:rsidRPr="00B004EE">
        <w:rPr>
          <w:rFonts w:ascii="Tahoma" w:hAnsi="Tahoma" w:cs="Tahoma"/>
          <w:sz w:val="20"/>
          <w:szCs w:val="20"/>
        </w:rPr>
        <w:t xml:space="preserve"> </w:t>
      </w:r>
      <w:r w:rsidRPr="00B004EE">
        <w:rPr>
          <w:rFonts w:ascii="Tahoma" w:hAnsi="Tahoma" w:cs="Tahoma"/>
          <w:sz w:val="20"/>
          <w:szCs w:val="20"/>
        </w:rPr>
        <w:t>officiel</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tout</w:t>
      </w:r>
      <w:r w:rsidR="00DB1635" w:rsidRPr="00B004EE">
        <w:rPr>
          <w:rFonts w:ascii="Tahoma" w:hAnsi="Tahoma" w:cs="Tahoma"/>
          <w:sz w:val="20"/>
          <w:szCs w:val="20"/>
        </w:rPr>
        <w:t xml:space="preserve"> </w:t>
      </w:r>
      <w:r w:rsidRPr="00B004EE">
        <w:rPr>
          <w:rFonts w:ascii="Tahoma" w:hAnsi="Tahoma" w:cs="Tahoma"/>
          <w:sz w:val="20"/>
          <w:szCs w:val="20"/>
        </w:rPr>
        <w:t>audit,</w:t>
      </w:r>
      <w:r w:rsidR="00DB1635" w:rsidRPr="00B004EE">
        <w:rPr>
          <w:rFonts w:ascii="Tahoma" w:hAnsi="Tahoma" w:cs="Tahoma"/>
          <w:sz w:val="20"/>
          <w:szCs w:val="20"/>
        </w:rPr>
        <w:t xml:space="preserve"> </w:t>
      </w:r>
      <w:r w:rsidRPr="00B004EE">
        <w:rPr>
          <w:rFonts w:ascii="Tahoma" w:hAnsi="Tahoma" w:cs="Tahoma"/>
          <w:sz w:val="20"/>
          <w:szCs w:val="20"/>
        </w:rPr>
        <w:t>inspection,</w:t>
      </w:r>
      <w:r w:rsidR="00DB1635" w:rsidRPr="00B004EE">
        <w:rPr>
          <w:rFonts w:ascii="Tahoma" w:hAnsi="Tahoma" w:cs="Tahoma"/>
          <w:sz w:val="20"/>
          <w:szCs w:val="20"/>
        </w:rPr>
        <w:t xml:space="preserve"> </w:t>
      </w:r>
      <w:r w:rsidRPr="00B004EE">
        <w:rPr>
          <w:rFonts w:ascii="Tahoma" w:hAnsi="Tahoma" w:cs="Tahoma"/>
          <w:sz w:val="20"/>
          <w:szCs w:val="20"/>
        </w:rPr>
        <w:t>vérification,</w:t>
      </w:r>
      <w:r w:rsidR="00DB1635" w:rsidRPr="00B004EE">
        <w:rPr>
          <w:rFonts w:ascii="Tahoma" w:hAnsi="Tahoma" w:cs="Tahoma"/>
          <w:sz w:val="20"/>
          <w:szCs w:val="20"/>
        </w:rPr>
        <w:t xml:space="preserve"> </w:t>
      </w:r>
      <w:r w:rsidRPr="00B004EE">
        <w:rPr>
          <w:rFonts w:ascii="Tahoma" w:hAnsi="Tahoma" w:cs="Tahoma"/>
          <w:sz w:val="20"/>
          <w:szCs w:val="20"/>
        </w:rPr>
        <w:t>prélèvement,</w:t>
      </w:r>
      <w:r w:rsidR="00DB1635" w:rsidRPr="00B004EE">
        <w:rPr>
          <w:rFonts w:ascii="Tahoma" w:hAnsi="Tahoma" w:cs="Tahoma"/>
          <w:sz w:val="20"/>
          <w:szCs w:val="20"/>
        </w:rPr>
        <w:t xml:space="preserve"> </w:t>
      </w:r>
      <w:r w:rsidRPr="00B004EE">
        <w:rPr>
          <w:rFonts w:ascii="Tahoma" w:hAnsi="Tahoma" w:cs="Tahoma"/>
          <w:sz w:val="20"/>
          <w:szCs w:val="20"/>
        </w:rPr>
        <w:t>examen,</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toute</w:t>
      </w:r>
      <w:r w:rsidR="00DB1635" w:rsidRPr="00B004EE">
        <w:rPr>
          <w:rFonts w:ascii="Tahoma" w:hAnsi="Tahoma" w:cs="Tahoma"/>
          <w:sz w:val="20"/>
          <w:szCs w:val="20"/>
        </w:rPr>
        <w:t xml:space="preserve"> </w:t>
      </w:r>
      <w:r w:rsidRPr="00B004EE">
        <w:rPr>
          <w:rFonts w:ascii="Tahoma" w:hAnsi="Tahoma" w:cs="Tahoma"/>
          <w:sz w:val="20"/>
          <w:szCs w:val="20"/>
        </w:rPr>
        <w:t>autre</w:t>
      </w:r>
      <w:r w:rsidR="00DB1635" w:rsidRPr="00B004EE">
        <w:rPr>
          <w:rFonts w:ascii="Tahoma" w:hAnsi="Tahoma" w:cs="Tahoma"/>
          <w:sz w:val="20"/>
          <w:szCs w:val="20"/>
        </w:rPr>
        <w:t xml:space="preserve"> </w:t>
      </w:r>
      <w:r w:rsidRPr="00B004EE">
        <w:rPr>
          <w:rFonts w:ascii="Tahoma" w:hAnsi="Tahoma" w:cs="Tahoma"/>
          <w:sz w:val="20"/>
          <w:szCs w:val="20"/>
        </w:rPr>
        <w:t>forme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contrôle</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services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l’Etat</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ses</w:t>
      </w:r>
      <w:r w:rsidR="00DB1635" w:rsidRPr="00B004EE">
        <w:rPr>
          <w:rFonts w:ascii="Tahoma" w:hAnsi="Tahoma" w:cs="Tahoma"/>
          <w:sz w:val="20"/>
          <w:szCs w:val="20"/>
        </w:rPr>
        <w:t xml:space="preserve"> </w:t>
      </w:r>
      <w:r w:rsidRPr="00B004EE">
        <w:rPr>
          <w:rFonts w:ascii="Tahoma" w:hAnsi="Tahoma" w:cs="Tahoma"/>
          <w:sz w:val="20"/>
          <w:szCs w:val="20"/>
        </w:rPr>
        <w:t>délégataires,</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vue</w:t>
      </w:r>
      <w:r w:rsidR="00DB1635" w:rsidRPr="00B004EE">
        <w:rPr>
          <w:rFonts w:ascii="Tahoma" w:hAnsi="Tahoma" w:cs="Tahoma"/>
          <w:sz w:val="20"/>
          <w:szCs w:val="20"/>
        </w:rPr>
        <w:t xml:space="preserve"> </w:t>
      </w:r>
      <w:r w:rsidRPr="00B004EE">
        <w:rPr>
          <w:rFonts w:ascii="Tahoma" w:hAnsi="Tahoma" w:cs="Tahoma"/>
          <w:sz w:val="20"/>
          <w:szCs w:val="20"/>
        </w:rPr>
        <w:t>d’assurer</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respect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dispositions</w:t>
      </w:r>
      <w:r w:rsidR="00DB1635" w:rsidRPr="00B004EE">
        <w:rPr>
          <w:rFonts w:ascii="Tahoma" w:hAnsi="Tahoma" w:cs="Tahoma"/>
          <w:sz w:val="20"/>
          <w:szCs w:val="20"/>
        </w:rPr>
        <w:t xml:space="preserve"> </w:t>
      </w:r>
      <w:r w:rsidRPr="00B004EE">
        <w:rPr>
          <w:rFonts w:ascii="Tahoma" w:hAnsi="Tahoma" w:cs="Tahoma"/>
          <w:sz w:val="20"/>
          <w:szCs w:val="20"/>
        </w:rPr>
        <w:t>réglementaires</w:t>
      </w:r>
      <w:r w:rsidR="00DB1635" w:rsidRPr="00B004EE">
        <w:rPr>
          <w:rFonts w:ascii="Tahoma" w:hAnsi="Tahoma" w:cs="Tahoma"/>
          <w:sz w:val="20"/>
          <w:szCs w:val="20"/>
        </w:rPr>
        <w:t xml:space="preserve"> </w:t>
      </w:r>
      <w:r w:rsidRPr="00B004EE">
        <w:rPr>
          <w:rFonts w:ascii="Tahoma" w:hAnsi="Tahoma" w:cs="Tahoma"/>
          <w:sz w:val="20"/>
          <w:szCs w:val="20"/>
        </w:rPr>
        <w:t>;</w:t>
      </w:r>
    </w:p>
    <w:p w14:paraId="2E5C5E8B" w14:textId="51DD4019" w:rsidR="002F24E1" w:rsidRPr="00B004EE" w:rsidRDefault="002F24E1" w:rsidP="00420DDA">
      <w:pPr>
        <w:pStyle w:val="Paragraphedeliste"/>
        <w:numPr>
          <w:ilvl w:val="3"/>
          <w:numId w:val="157"/>
        </w:numPr>
        <w:autoSpaceDE w:val="0"/>
        <w:autoSpaceDN w:val="0"/>
        <w:adjustRightInd w:val="0"/>
        <w:ind w:left="426"/>
        <w:jc w:val="both"/>
        <w:rPr>
          <w:rFonts w:ascii="Tahoma" w:hAnsi="Tahoma" w:cs="Tahoma"/>
          <w:sz w:val="20"/>
          <w:szCs w:val="20"/>
        </w:rPr>
      </w:pPr>
      <w:r w:rsidRPr="00B004EE">
        <w:rPr>
          <w:rFonts w:ascii="Tahoma" w:hAnsi="Tahoma" w:cs="Tahoma"/>
          <w:sz w:val="20"/>
          <w:szCs w:val="20"/>
        </w:rPr>
        <w:t>Analyse</w:t>
      </w:r>
      <w:r w:rsidR="00DB1635" w:rsidRPr="00B004EE">
        <w:rPr>
          <w:rFonts w:ascii="Tahoma" w:hAnsi="Tahoma" w:cs="Tahoma"/>
          <w:sz w:val="20"/>
          <w:szCs w:val="20"/>
        </w:rPr>
        <w:t xml:space="preserve"> </w:t>
      </w:r>
      <w:r w:rsidRPr="00B004EE">
        <w:rPr>
          <w:rFonts w:ascii="Tahoma" w:hAnsi="Tahoma" w:cs="Tahoma"/>
          <w:sz w:val="20"/>
          <w:szCs w:val="20"/>
        </w:rPr>
        <w:t>officielle</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toute</w:t>
      </w:r>
      <w:r w:rsidR="00DB1635" w:rsidRPr="00B004EE">
        <w:rPr>
          <w:rFonts w:ascii="Tahoma" w:hAnsi="Tahoma" w:cs="Tahoma"/>
          <w:sz w:val="20"/>
          <w:szCs w:val="20"/>
        </w:rPr>
        <w:t xml:space="preserve"> </w:t>
      </w:r>
      <w:r w:rsidRPr="00B004EE">
        <w:rPr>
          <w:rFonts w:ascii="Tahoma" w:hAnsi="Tahoma" w:cs="Tahoma"/>
          <w:sz w:val="20"/>
          <w:szCs w:val="20"/>
        </w:rPr>
        <w:t>analyse</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laboratoire</w:t>
      </w:r>
      <w:r w:rsidR="00DB1635" w:rsidRPr="00B004EE">
        <w:rPr>
          <w:rFonts w:ascii="Tahoma" w:hAnsi="Tahoma" w:cs="Tahoma"/>
          <w:sz w:val="20"/>
          <w:szCs w:val="20"/>
        </w:rPr>
        <w:t xml:space="preserve"> </w:t>
      </w:r>
      <w:r w:rsidRPr="00B004EE">
        <w:rPr>
          <w:rFonts w:ascii="Tahoma" w:hAnsi="Tahoma" w:cs="Tahoma"/>
          <w:sz w:val="20"/>
          <w:szCs w:val="20"/>
        </w:rPr>
        <w:t>d’un</w:t>
      </w:r>
      <w:r w:rsidR="00DB1635" w:rsidRPr="00B004EE">
        <w:rPr>
          <w:rFonts w:ascii="Tahoma" w:hAnsi="Tahoma" w:cs="Tahoma"/>
          <w:sz w:val="20"/>
          <w:szCs w:val="20"/>
        </w:rPr>
        <w:t xml:space="preserve"> </w:t>
      </w:r>
      <w:r w:rsidRPr="00B004EE">
        <w:rPr>
          <w:rFonts w:ascii="Tahoma" w:hAnsi="Tahoma" w:cs="Tahoma"/>
          <w:sz w:val="20"/>
          <w:szCs w:val="20"/>
        </w:rPr>
        <w:t>échantillon</w:t>
      </w:r>
      <w:r w:rsidR="00DB1635" w:rsidRPr="00B004EE">
        <w:rPr>
          <w:rFonts w:ascii="Tahoma" w:hAnsi="Tahoma" w:cs="Tahoma"/>
          <w:sz w:val="20"/>
          <w:szCs w:val="20"/>
        </w:rPr>
        <w:t xml:space="preserve"> </w:t>
      </w:r>
      <w:r w:rsidRPr="00B004EE">
        <w:rPr>
          <w:rFonts w:ascii="Tahoma" w:hAnsi="Tahoma" w:cs="Tahoma"/>
          <w:sz w:val="20"/>
          <w:szCs w:val="20"/>
        </w:rPr>
        <w:t>prélevé</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cadre</w:t>
      </w:r>
      <w:r w:rsidR="00DB1635" w:rsidRPr="00B004EE">
        <w:rPr>
          <w:rFonts w:ascii="Tahoma" w:hAnsi="Tahoma" w:cs="Tahoma"/>
          <w:sz w:val="20"/>
          <w:szCs w:val="20"/>
        </w:rPr>
        <w:t xml:space="preserve"> </w:t>
      </w:r>
      <w:r w:rsidRPr="00B004EE">
        <w:rPr>
          <w:rFonts w:ascii="Tahoma" w:hAnsi="Tahoma" w:cs="Tahoma"/>
          <w:sz w:val="20"/>
          <w:szCs w:val="20"/>
        </w:rPr>
        <w:t>d’un</w:t>
      </w:r>
      <w:r w:rsidR="00DB1635" w:rsidRPr="00B004EE">
        <w:rPr>
          <w:rFonts w:ascii="Tahoma" w:hAnsi="Tahoma" w:cs="Tahoma"/>
          <w:sz w:val="20"/>
          <w:szCs w:val="20"/>
        </w:rPr>
        <w:t xml:space="preserve"> </w:t>
      </w:r>
      <w:r w:rsidRPr="00B004EE">
        <w:rPr>
          <w:rFonts w:ascii="Tahoma" w:hAnsi="Tahoma" w:cs="Tahoma"/>
          <w:sz w:val="20"/>
          <w:szCs w:val="20"/>
        </w:rPr>
        <w:t>contrôle</w:t>
      </w:r>
      <w:r w:rsidR="00DB1635" w:rsidRPr="00B004EE">
        <w:rPr>
          <w:rFonts w:ascii="Tahoma" w:hAnsi="Tahoma" w:cs="Tahoma"/>
          <w:sz w:val="20"/>
          <w:szCs w:val="20"/>
        </w:rPr>
        <w:t xml:space="preserve"> </w:t>
      </w:r>
      <w:r w:rsidRPr="00B004EE">
        <w:rPr>
          <w:rFonts w:ascii="Tahoma" w:hAnsi="Tahoma" w:cs="Tahoma"/>
          <w:sz w:val="20"/>
          <w:szCs w:val="20"/>
        </w:rPr>
        <w:t>officiel</w:t>
      </w:r>
      <w:r w:rsidR="00DB1635" w:rsidRPr="00B004EE">
        <w:rPr>
          <w:rFonts w:ascii="Tahoma" w:hAnsi="Tahoma" w:cs="Tahoma"/>
          <w:sz w:val="20"/>
          <w:szCs w:val="20"/>
        </w:rPr>
        <w:t xml:space="preserve"> </w:t>
      </w:r>
      <w:r w:rsidRPr="00B004EE">
        <w:rPr>
          <w:rFonts w:ascii="Tahoma" w:hAnsi="Tahoma" w:cs="Tahoma"/>
          <w:sz w:val="20"/>
          <w:szCs w:val="20"/>
        </w:rPr>
        <w:t>;</w:t>
      </w:r>
    </w:p>
    <w:p w14:paraId="2D8EF604" w14:textId="7266534B" w:rsidR="002F24E1" w:rsidRPr="00B004EE" w:rsidRDefault="002F24E1" w:rsidP="00420DDA">
      <w:pPr>
        <w:pStyle w:val="Paragraphedeliste"/>
        <w:numPr>
          <w:ilvl w:val="3"/>
          <w:numId w:val="157"/>
        </w:numPr>
        <w:autoSpaceDE w:val="0"/>
        <w:autoSpaceDN w:val="0"/>
        <w:adjustRightInd w:val="0"/>
        <w:ind w:left="426"/>
        <w:jc w:val="both"/>
        <w:rPr>
          <w:rFonts w:ascii="Tahoma" w:hAnsi="Tahoma" w:cs="Tahoma"/>
          <w:sz w:val="20"/>
          <w:szCs w:val="20"/>
        </w:rPr>
      </w:pPr>
      <w:r w:rsidRPr="00B004EE">
        <w:rPr>
          <w:rFonts w:ascii="Tahoma" w:hAnsi="Tahoma" w:cs="Tahoma"/>
          <w:sz w:val="20"/>
          <w:szCs w:val="20"/>
        </w:rPr>
        <w:t>3</w:t>
      </w:r>
      <w:r w:rsidR="00DB1635" w:rsidRPr="00B004EE">
        <w:rPr>
          <w:rFonts w:ascii="Tahoma" w:hAnsi="Tahoma" w:cs="Tahoma"/>
          <w:sz w:val="20"/>
          <w:szCs w:val="20"/>
        </w:rPr>
        <w:t xml:space="preserve"> </w:t>
      </w:r>
      <w:r w:rsidRPr="00B004EE">
        <w:rPr>
          <w:rFonts w:ascii="Tahoma" w:hAnsi="Tahoma" w:cs="Tahoma"/>
          <w:sz w:val="20"/>
          <w:szCs w:val="20"/>
        </w:rPr>
        <w:t>Autocontrôle</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tout</w:t>
      </w:r>
      <w:r w:rsidR="00DB1635" w:rsidRPr="00B004EE">
        <w:rPr>
          <w:rFonts w:ascii="Tahoma" w:hAnsi="Tahoma" w:cs="Tahoma"/>
          <w:sz w:val="20"/>
          <w:szCs w:val="20"/>
        </w:rPr>
        <w:t xml:space="preserve"> </w:t>
      </w:r>
      <w:r w:rsidRPr="00B004EE">
        <w:rPr>
          <w:rFonts w:ascii="Tahoma" w:hAnsi="Tahoma" w:cs="Tahoma"/>
          <w:sz w:val="20"/>
          <w:szCs w:val="20"/>
        </w:rPr>
        <w:t>examen,</w:t>
      </w:r>
      <w:r w:rsidR="00DB1635" w:rsidRPr="00B004EE">
        <w:rPr>
          <w:rFonts w:ascii="Tahoma" w:hAnsi="Tahoma" w:cs="Tahoma"/>
          <w:sz w:val="20"/>
          <w:szCs w:val="20"/>
        </w:rPr>
        <w:t xml:space="preserve"> </w:t>
      </w:r>
      <w:r w:rsidRPr="00B004EE">
        <w:rPr>
          <w:rFonts w:ascii="Tahoma" w:hAnsi="Tahoma" w:cs="Tahoma"/>
          <w:sz w:val="20"/>
          <w:szCs w:val="20"/>
        </w:rPr>
        <w:t>vérification,</w:t>
      </w:r>
      <w:r w:rsidR="00DB1635" w:rsidRPr="00B004EE">
        <w:rPr>
          <w:rFonts w:ascii="Tahoma" w:hAnsi="Tahoma" w:cs="Tahoma"/>
          <w:sz w:val="20"/>
          <w:szCs w:val="20"/>
        </w:rPr>
        <w:t xml:space="preserve"> </w:t>
      </w:r>
      <w:r w:rsidRPr="00B004EE">
        <w:rPr>
          <w:rFonts w:ascii="Tahoma" w:hAnsi="Tahoma" w:cs="Tahoma"/>
          <w:sz w:val="20"/>
          <w:szCs w:val="20"/>
        </w:rPr>
        <w:t>prélèvement,</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toute</w:t>
      </w:r>
      <w:r w:rsidR="00DB1635" w:rsidRPr="00B004EE">
        <w:rPr>
          <w:rFonts w:ascii="Tahoma" w:hAnsi="Tahoma" w:cs="Tahoma"/>
          <w:sz w:val="20"/>
          <w:szCs w:val="20"/>
        </w:rPr>
        <w:t xml:space="preserve"> </w:t>
      </w:r>
      <w:r w:rsidRPr="00B004EE">
        <w:rPr>
          <w:rFonts w:ascii="Tahoma" w:hAnsi="Tahoma" w:cs="Tahoma"/>
          <w:sz w:val="20"/>
          <w:szCs w:val="20"/>
        </w:rPr>
        <w:t>autre</w:t>
      </w:r>
      <w:r w:rsidR="00DB1635" w:rsidRPr="00B004EE">
        <w:rPr>
          <w:rFonts w:ascii="Tahoma" w:hAnsi="Tahoma" w:cs="Tahoma"/>
          <w:sz w:val="20"/>
          <w:szCs w:val="20"/>
        </w:rPr>
        <w:t xml:space="preserve"> </w:t>
      </w:r>
      <w:r w:rsidRPr="00B004EE">
        <w:rPr>
          <w:rFonts w:ascii="Tahoma" w:hAnsi="Tahoma" w:cs="Tahoma"/>
          <w:sz w:val="20"/>
          <w:szCs w:val="20"/>
        </w:rPr>
        <w:t>forme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contrôle</w:t>
      </w:r>
      <w:r w:rsidR="00DB1635" w:rsidRPr="00B004EE">
        <w:rPr>
          <w:rFonts w:ascii="Tahoma" w:hAnsi="Tahoma" w:cs="Tahoma"/>
          <w:sz w:val="20"/>
          <w:szCs w:val="20"/>
        </w:rPr>
        <w:t xml:space="preserve"> </w:t>
      </w:r>
      <w:r w:rsidRPr="00B004EE">
        <w:rPr>
          <w:rFonts w:ascii="Tahoma" w:hAnsi="Tahoma" w:cs="Tahoma"/>
          <w:sz w:val="20"/>
          <w:szCs w:val="20"/>
        </w:rPr>
        <w:t>sous</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responsabilité</w:t>
      </w:r>
      <w:r w:rsidR="00DB1635" w:rsidRPr="00B004EE">
        <w:rPr>
          <w:rFonts w:ascii="Tahoma" w:hAnsi="Tahoma" w:cs="Tahoma"/>
          <w:sz w:val="20"/>
          <w:szCs w:val="20"/>
        </w:rPr>
        <w:t xml:space="preserve"> </w:t>
      </w:r>
      <w:r w:rsidRPr="00B004EE">
        <w:rPr>
          <w:rFonts w:ascii="Tahoma" w:hAnsi="Tahoma" w:cs="Tahoma"/>
          <w:sz w:val="20"/>
          <w:szCs w:val="20"/>
        </w:rPr>
        <w:t>d’une</w:t>
      </w:r>
      <w:r w:rsidR="00DB1635" w:rsidRPr="00B004EE">
        <w:rPr>
          <w:rFonts w:ascii="Tahoma" w:hAnsi="Tahoma" w:cs="Tahoma"/>
          <w:sz w:val="20"/>
          <w:szCs w:val="20"/>
        </w:rPr>
        <w:t xml:space="preserve"> </w:t>
      </w:r>
      <w:r w:rsidRPr="00B004EE">
        <w:rPr>
          <w:rFonts w:ascii="Tahoma" w:hAnsi="Tahoma" w:cs="Tahoma"/>
          <w:sz w:val="20"/>
          <w:szCs w:val="20"/>
        </w:rPr>
        <w:t>entreprise</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secteur</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mollusques</w:t>
      </w:r>
      <w:r w:rsidR="00DB1635" w:rsidRPr="00B004EE">
        <w:rPr>
          <w:rFonts w:ascii="Tahoma" w:hAnsi="Tahoma" w:cs="Tahoma"/>
          <w:sz w:val="20"/>
          <w:szCs w:val="20"/>
        </w:rPr>
        <w:t xml:space="preserve"> </w:t>
      </w:r>
      <w:r w:rsidRPr="00B004EE">
        <w:rPr>
          <w:rFonts w:ascii="Tahoma" w:hAnsi="Tahoma" w:cs="Tahoma"/>
          <w:sz w:val="20"/>
          <w:szCs w:val="20"/>
        </w:rPr>
        <w:t>bivalves</w:t>
      </w:r>
      <w:r w:rsidR="00DB1635" w:rsidRPr="00B004EE">
        <w:rPr>
          <w:rFonts w:ascii="Tahoma" w:hAnsi="Tahoma" w:cs="Tahoma"/>
          <w:sz w:val="20"/>
          <w:szCs w:val="20"/>
        </w:rPr>
        <w:t xml:space="preserve"> </w:t>
      </w:r>
      <w:r w:rsidRPr="00B004EE">
        <w:rPr>
          <w:rFonts w:ascii="Tahoma" w:hAnsi="Tahoma" w:cs="Tahoma"/>
          <w:sz w:val="20"/>
          <w:szCs w:val="20"/>
        </w:rPr>
        <w:t>vivants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leurs</w:t>
      </w:r>
      <w:r w:rsidR="00DB1635" w:rsidRPr="00B004EE">
        <w:rPr>
          <w:rFonts w:ascii="Tahoma" w:hAnsi="Tahoma" w:cs="Tahoma"/>
          <w:sz w:val="20"/>
          <w:szCs w:val="20"/>
        </w:rPr>
        <w:t xml:space="preserve"> </w:t>
      </w:r>
      <w:r w:rsidRPr="00B004EE">
        <w:rPr>
          <w:rFonts w:ascii="Tahoma" w:hAnsi="Tahoma" w:cs="Tahoma"/>
          <w:sz w:val="20"/>
          <w:szCs w:val="20"/>
        </w:rPr>
        <w:t>délégataires</w:t>
      </w:r>
      <w:r w:rsidR="00DB1635" w:rsidRPr="00B004EE">
        <w:rPr>
          <w:rFonts w:ascii="Tahoma" w:hAnsi="Tahoma" w:cs="Tahoma"/>
          <w:sz w:val="20"/>
          <w:szCs w:val="20"/>
        </w:rPr>
        <w:t xml:space="preserve"> </w:t>
      </w:r>
      <w:r w:rsidRPr="00B004EE">
        <w:rPr>
          <w:rFonts w:ascii="Tahoma" w:hAnsi="Tahoma" w:cs="Tahoma"/>
          <w:sz w:val="20"/>
          <w:szCs w:val="20"/>
        </w:rPr>
        <w:t>afin</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s’assurer</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eux-mêmes</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respect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dispositions</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présent</w:t>
      </w:r>
      <w:r w:rsidR="00DB1635" w:rsidRPr="00B004EE">
        <w:rPr>
          <w:rFonts w:ascii="Tahoma" w:hAnsi="Tahoma" w:cs="Tahoma"/>
          <w:sz w:val="20"/>
          <w:szCs w:val="20"/>
        </w:rPr>
        <w:t xml:space="preserve"> </w:t>
      </w:r>
      <w:r w:rsidRPr="00B004EE">
        <w:rPr>
          <w:rFonts w:ascii="Tahoma" w:hAnsi="Tahoma" w:cs="Tahoma"/>
          <w:sz w:val="20"/>
          <w:szCs w:val="20"/>
        </w:rPr>
        <w:t>arrêté</w:t>
      </w:r>
      <w:r w:rsidR="00DB1635" w:rsidRPr="00B004EE">
        <w:rPr>
          <w:rFonts w:ascii="Tahoma" w:hAnsi="Tahoma" w:cs="Tahoma"/>
          <w:sz w:val="20"/>
          <w:szCs w:val="20"/>
        </w:rPr>
        <w:t xml:space="preserve"> </w:t>
      </w:r>
      <w:r w:rsidRPr="00B004EE">
        <w:rPr>
          <w:rFonts w:ascii="Tahoma" w:hAnsi="Tahoma" w:cs="Tahoma"/>
          <w:sz w:val="20"/>
          <w:szCs w:val="20"/>
        </w:rPr>
        <w:t>;</w:t>
      </w:r>
    </w:p>
    <w:p w14:paraId="441313A8" w14:textId="0ABEA02E" w:rsidR="002F24E1" w:rsidRPr="00B004EE" w:rsidRDefault="002F24E1" w:rsidP="00420DDA">
      <w:pPr>
        <w:pStyle w:val="Paragraphedeliste"/>
        <w:numPr>
          <w:ilvl w:val="3"/>
          <w:numId w:val="157"/>
        </w:numPr>
        <w:autoSpaceDE w:val="0"/>
        <w:autoSpaceDN w:val="0"/>
        <w:adjustRightInd w:val="0"/>
        <w:ind w:left="426"/>
        <w:jc w:val="both"/>
        <w:rPr>
          <w:rFonts w:ascii="Tahoma" w:hAnsi="Tahoma" w:cs="Tahoma"/>
          <w:sz w:val="20"/>
          <w:szCs w:val="20"/>
        </w:rPr>
      </w:pPr>
      <w:r w:rsidRPr="00B004EE">
        <w:rPr>
          <w:rFonts w:ascii="Tahoma" w:hAnsi="Tahoma" w:cs="Tahoma"/>
          <w:sz w:val="20"/>
          <w:szCs w:val="20"/>
        </w:rPr>
        <w:t>Analyse</w:t>
      </w:r>
      <w:r w:rsidR="00DB1635" w:rsidRPr="00B004EE">
        <w:rPr>
          <w:rFonts w:ascii="Tahoma" w:hAnsi="Tahoma" w:cs="Tahoma"/>
          <w:sz w:val="20"/>
          <w:szCs w:val="20"/>
        </w:rPr>
        <w:t xml:space="preserve"> </w:t>
      </w:r>
      <w:r w:rsidRPr="00B004EE">
        <w:rPr>
          <w:rFonts w:ascii="Tahoma" w:hAnsi="Tahoma" w:cs="Tahoma"/>
          <w:sz w:val="20"/>
          <w:szCs w:val="20"/>
        </w:rPr>
        <w:t>d’autocontrôle</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toute</w:t>
      </w:r>
      <w:r w:rsidR="00DB1635" w:rsidRPr="00B004EE">
        <w:rPr>
          <w:rFonts w:ascii="Tahoma" w:hAnsi="Tahoma" w:cs="Tahoma"/>
          <w:sz w:val="20"/>
          <w:szCs w:val="20"/>
        </w:rPr>
        <w:t xml:space="preserve"> </w:t>
      </w:r>
      <w:r w:rsidRPr="00B004EE">
        <w:rPr>
          <w:rFonts w:ascii="Tahoma" w:hAnsi="Tahoma" w:cs="Tahoma"/>
          <w:sz w:val="20"/>
          <w:szCs w:val="20"/>
        </w:rPr>
        <w:t>analyse</w:t>
      </w:r>
      <w:r w:rsidR="00DB1635" w:rsidRPr="00B004EE">
        <w:rPr>
          <w:rFonts w:ascii="Tahoma" w:hAnsi="Tahoma" w:cs="Tahoma"/>
          <w:sz w:val="20"/>
          <w:szCs w:val="20"/>
        </w:rPr>
        <w:t xml:space="preserve"> </w:t>
      </w:r>
      <w:r w:rsidRPr="00B004EE">
        <w:rPr>
          <w:rFonts w:ascii="Tahoma" w:hAnsi="Tahoma" w:cs="Tahoma"/>
          <w:sz w:val="20"/>
          <w:szCs w:val="20"/>
        </w:rPr>
        <w:t>faite</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laboratoire</w:t>
      </w:r>
      <w:r w:rsidR="00DB1635" w:rsidRPr="00B004EE">
        <w:rPr>
          <w:rFonts w:ascii="Tahoma" w:hAnsi="Tahoma" w:cs="Tahoma"/>
          <w:sz w:val="20"/>
          <w:szCs w:val="20"/>
        </w:rPr>
        <w:t xml:space="preserve"> </w:t>
      </w:r>
      <w:r w:rsidRPr="00B004EE">
        <w:rPr>
          <w:rFonts w:ascii="Tahoma" w:hAnsi="Tahoma" w:cs="Tahoma"/>
          <w:sz w:val="20"/>
          <w:szCs w:val="20"/>
        </w:rPr>
        <w:t>d’un</w:t>
      </w:r>
      <w:r w:rsidR="00DB1635" w:rsidRPr="00B004EE">
        <w:rPr>
          <w:rFonts w:ascii="Tahoma" w:hAnsi="Tahoma" w:cs="Tahoma"/>
          <w:sz w:val="20"/>
          <w:szCs w:val="20"/>
        </w:rPr>
        <w:t xml:space="preserve"> </w:t>
      </w:r>
      <w:r w:rsidRPr="00B004EE">
        <w:rPr>
          <w:rFonts w:ascii="Tahoma" w:hAnsi="Tahoma" w:cs="Tahoma"/>
          <w:sz w:val="20"/>
          <w:szCs w:val="20"/>
        </w:rPr>
        <w:t>échantillon</w:t>
      </w:r>
      <w:r w:rsidR="00DB1635" w:rsidRPr="00B004EE">
        <w:rPr>
          <w:rFonts w:ascii="Tahoma" w:hAnsi="Tahoma" w:cs="Tahoma"/>
          <w:sz w:val="20"/>
          <w:szCs w:val="20"/>
        </w:rPr>
        <w:t xml:space="preserve"> </w:t>
      </w:r>
      <w:r w:rsidRPr="00B004EE">
        <w:rPr>
          <w:rFonts w:ascii="Tahoma" w:hAnsi="Tahoma" w:cs="Tahoma"/>
          <w:sz w:val="20"/>
          <w:szCs w:val="20"/>
        </w:rPr>
        <w:t>prélevé</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cadre</w:t>
      </w:r>
      <w:r w:rsidR="00DB1635" w:rsidRPr="00B004EE">
        <w:rPr>
          <w:rFonts w:ascii="Tahoma" w:hAnsi="Tahoma" w:cs="Tahoma"/>
          <w:sz w:val="20"/>
          <w:szCs w:val="20"/>
        </w:rPr>
        <w:t xml:space="preserve"> </w:t>
      </w:r>
      <w:r w:rsidRPr="00B004EE">
        <w:rPr>
          <w:rFonts w:ascii="Tahoma" w:hAnsi="Tahoma" w:cs="Tahoma"/>
          <w:sz w:val="20"/>
          <w:szCs w:val="20"/>
        </w:rPr>
        <w:t>d’un</w:t>
      </w:r>
      <w:r w:rsidR="00DB1635" w:rsidRPr="00B004EE">
        <w:rPr>
          <w:rFonts w:ascii="Tahoma" w:hAnsi="Tahoma" w:cs="Tahoma"/>
          <w:sz w:val="20"/>
          <w:szCs w:val="20"/>
        </w:rPr>
        <w:t xml:space="preserve"> </w:t>
      </w:r>
      <w:r w:rsidRPr="00B004EE">
        <w:rPr>
          <w:rFonts w:ascii="Tahoma" w:hAnsi="Tahoma" w:cs="Tahoma"/>
          <w:sz w:val="20"/>
          <w:szCs w:val="20"/>
        </w:rPr>
        <w:t>autocontrôle</w:t>
      </w:r>
      <w:r w:rsidR="00DB1635" w:rsidRPr="00B004EE">
        <w:rPr>
          <w:rFonts w:ascii="Tahoma" w:hAnsi="Tahoma" w:cs="Tahoma"/>
          <w:sz w:val="20"/>
          <w:szCs w:val="20"/>
        </w:rPr>
        <w:t xml:space="preserve"> </w:t>
      </w:r>
      <w:r w:rsidRPr="00B004EE">
        <w:rPr>
          <w:rFonts w:ascii="Tahoma" w:hAnsi="Tahoma" w:cs="Tahoma"/>
          <w:sz w:val="20"/>
          <w:szCs w:val="20"/>
        </w:rPr>
        <w:t>;</w:t>
      </w:r>
    </w:p>
    <w:p w14:paraId="5389E2AC" w14:textId="64A7B948" w:rsidR="002F24E1" w:rsidRPr="00B004EE" w:rsidRDefault="002F24E1" w:rsidP="00420DDA">
      <w:pPr>
        <w:pStyle w:val="Paragraphedeliste"/>
        <w:numPr>
          <w:ilvl w:val="3"/>
          <w:numId w:val="157"/>
        </w:numPr>
        <w:autoSpaceDE w:val="0"/>
        <w:autoSpaceDN w:val="0"/>
        <w:adjustRightInd w:val="0"/>
        <w:ind w:left="426"/>
        <w:jc w:val="both"/>
        <w:rPr>
          <w:rFonts w:ascii="Tahoma" w:hAnsi="Tahoma" w:cs="Tahoma"/>
          <w:sz w:val="20"/>
          <w:szCs w:val="20"/>
        </w:rPr>
      </w:pPr>
      <w:r w:rsidRPr="00B004EE">
        <w:rPr>
          <w:rFonts w:ascii="Tahoma" w:hAnsi="Tahoma" w:cs="Tahoma"/>
          <w:sz w:val="20"/>
          <w:szCs w:val="20"/>
        </w:rPr>
        <w:t>Méthode</w:t>
      </w:r>
      <w:r w:rsidR="00DB1635" w:rsidRPr="00B004EE">
        <w:rPr>
          <w:rFonts w:ascii="Tahoma" w:hAnsi="Tahoma" w:cs="Tahoma"/>
          <w:sz w:val="20"/>
          <w:szCs w:val="20"/>
        </w:rPr>
        <w:t xml:space="preserve"> </w:t>
      </w:r>
      <w:r w:rsidRPr="00B004EE">
        <w:rPr>
          <w:rFonts w:ascii="Tahoma" w:hAnsi="Tahoma" w:cs="Tahoma"/>
          <w:sz w:val="20"/>
          <w:szCs w:val="20"/>
        </w:rPr>
        <w:t>officielle</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toute</w:t>
      </w:r>
      <w:r w:rsidR="00DB1635" w:rsidRPr="00B004EE">
        <w:rPr>
          <w:rFonts w:ascii="Tahoma" w:hAnsi="Tahoma" w:cs="Tahoma"/>
          <w:sz w:val="20"/>
          <w:szCs w:val="20"/>
        </w:rPr>
        <w:t xml:space="preserve"> </w:t>
      </w:r>
      <w:r w:rsidRPr="00B004EE">
        <w:rPr>
          <w:rFonts w:ascii="Tahoma" w:hAnsi="Tahoma" w:cs="Tahoma"/>
          <w:sz w:val="20"/>
          <w:szCs w:val="20"/>
        </w:rPr>
        <w:t>méthode</w:t>
      </w:r>
      <w:r w:rsidR="00DB1635" w:rsidRPr="00B004EE">
        <w:rPr>
          <w:rFonts w:ascii="Tahoma" w:hAnsi="Tahoma" w:cs="Tahoma"/>
          <w:sz w:val="20"/>
          <w:szCs w:val="20"/>
        </w:rPr>
        <w:t xml:space="preserve"> </w:t>
      </w:r>
      <w:r w:rsidRPr="00B004EE">
        <w:rPr>
          <w:rFonts w:ascii="Tahoma" w:hAnsi="Tahoma" w:cs="Tahoma"/>
          <w:sz w:val="20"/>
          <w:szCs w:val="20"/>
        </w:rPr>
        <w:t>retenue</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ministre</w:t>
      </w:r>
      <w:r w:rsidR="00DB1635" w:rsidRPr="00B004EE">
        <w:rPr>
          <w:rFonts w:ascii="Tahoma" w:hAnsi="Tahoma" w:cs="Tahoma"/>
          <w:sz w:val="20"/>
          <w:szCs w:val="20"/>
        </w:rPr>
        <w:t xml:space="preserve"> </w:t>
      </w:r>
      <w:r w:rsidRPr="00B004EE">
        <w:rPr>
          <w:rFonts w:ascii="Tahoma" w:hAnsi="Tahoma" w:cs="Tahoma"/>
          <w:sz w:val="20"/>
          <w:szCs w:val="20"/>
        </w:rPr>
        <w:t>chargé</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réalisation</w:t>
      </w:r>
      <w:r w:rsidR="00DB1635" w:rsidRPr="00B004EE">
        <w:rPr>
          <w:rFonts w:ascii="Tahoma" w:hAnsi="Tahoma" w:cs="Tahoma"/>
          <w:sz w:val="20"/>
          <w:szCs w:val="20"/>
        </w:rPr>
        <w:t xml:space="preserve"> </w:t>
      </w:r>
      <w:r w:rsidRPr="00B004EE">
        <w:rPr>
          <w:rFonts w:ascii="Tahoma" w:hAnsi="Tahoma" w:cs="Tahoma"/>
          <w:sz w:val="20"/>
          <w:szCs w:val="20"/>
        </w:rPr>
        <w:t>d’une</w:t>
      </w:r>
      <w:r w:rsidR="00DB1635" w:rsidRPr="00B004EE">
        <w:rPr>
          <w:rFonts w:ascii="Tahoma" w:hAnsi="Tahoma" w:cs="Tahoma"/>
          <w:sz w:val="20"/>
          <w:szCs w:val="20"/>
        </w:rPr>
        <w:t xml:space="preserve"> </w:t>
      </w:r>
      <w:r w:rsidRPr="00B004EE">
        <w:rPr>
          <w:rFonts w:ascii="Tahoma" w:hAnsi="Tahoma" w:cs="Tahoma"/>
          <w:sz w:val="20"/>
          <w:szCs w:val="20"/>
        </w:rPr>
        <w:t>analyse</w:t>
      </w:r>
      <w:r w:rsidR="00DB1635" w:rsidRPr="00B004EE">
        <w:rPr>
          <w:rFonts w:ascii="Tahoma" w:hAnsi="Tahoma" w:cs="Tahoma"/>
          <w:sz w:val="20"/>
          <w:szCs w:val="20"/>
        </w:rPr>
        <w:t xml:space="preserve"> </w:t>
      </w:r>
      <w:r w:rsidRPr="00B004EE">
        <w:rPr>
          <w:rFonts w:ascii="Tahoma" w:hAnsi="Tahoma" w:cs="Tahoma"/>
          <w:sz w:val="20"/>
          <w:szCs w:val="20"/>
        </w:rPr>
        <w:t>officielle</w:t>
      </w:r>
      <w:r w:rsidR="00DB1635" w:rsidRPr="00B004EE">
        <w:rPr>
          <w:rFonts w:ascii="Tahoma" w:hAnsi="Tahoma" w:cs="Tahoma"/>
          <w:sz w:val="20"/>
          <w:szCs w:val="20"/>
        </w:rPr>
        <w:t xml:space="preserve"> </w:t>
      </w:r>
      <w:r w:rsidRPr="00B004EE">
        <w:rPr>
          <w:rFonts w:ascii="Tahoma" w:hAnsi="Tahoma" w:cs="Tahoma"/>
          <w:sz w:val="20"/>
          <w:szCs w:val="20"/>
        </w:rPr>
        <w:t>;</w:t>
      </w:r>
    </w:p>
    <w:p w14:paraId="362026C3" w14:textId="580A0C5F" w:rsidR="002F24E1" w:rsidRPr="00B004EE" w:rsidRDefault="002F24E1" w:rsidP="00420DDA">
      <w:pPr>
        <w:pStyle w:val="Paragraphedeliste"/>
        <w:numPr>
          <w:ilvl w:val="3"/>
          <w:numId w:val="157"/>
        </w:numPr>
        <w:autoSpaceDE w:val="0"/>
        <w:autoSpaceDN w:val="0"/>
        <w:adjustRightInd w:val="0"/>
        <w:ind w:left="426"/>
        <w:jc w:val="both"/>
        <w:rPr>
          <w:rFonts w:ascii="Tahoma" w:hAnsi="Tahoma" w:cs="Tahoma"/>
          <w:sz w:val="20"/>
          <w:szCs w:val="20"/>
        </w:rPr>
      </w:pPr>
      <w:r w:rsidRPr="00B004EE">
        <w:rPr>
          <w:rFonts w:ascii="Tahoma" w:hAnsi="Tahoma" w:cs="Tahoma"/>
          <w:sz w:val="20"/>
          <w:szCs w:val="20"/>
        </w:rPr>
        <w:t>Méthode</w:t>
      </w:r>
      <w:r w:rsidR="00DB1635" w:rsidRPr="00B004EE">
        <w:rPr>
          <w:rFonts w:ascii="Tahoma" w:hAnsi="Tahoma" w:cs="Tahoma"/>
          <w:sz w:val="20"/>
          <w:szCs w:val="20"/>
        </w:rPr>
        <w:t xml:space="preserve"> </w:t>
      </w:r>
      <w:r w:rsidRPr="00B004EE">
        <w:rPr>
          <w:rFonts w:ascii="Tahoma" w:hAnsi="Tahoma" w:cs="Tahoma"/>
          <w:sz w:val="20"/>
          <w:szCs w:val="20"/>
        </w:rPr>
        <w:t>reconnue</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toute</w:t>
      </w:r>
      <w:r w:rsidR="00DB1635" w:rsidRPr="00B004EE">
        <w:rPr>
          <w:rFonts w:ascii="Tahoma" w:hAnsi="Tahoma" w:cs="Tahoma"/>
          <w:sz w:val="20"/>
          <w:szCs w:val="20"/>
        </w:rPr>
        <w:t xml:space="preserve"> </w:t>
      </w:r>
      <w:r w:rsidRPr="00B004EE">
        <w:rPr>
          <w:rFonts w:ascii="Tahoma" w:hAnsi="Tahoma" w:cs="Tahoma"/>
          <w:sz w:val="20"/>
          <w:szCs w:val="20"/>
        </w:rPr>
        <w:t>méthode</w:t>
      </w:r>
      <w:r w:rsidR="00DB1635" w:rsidRPr="00B004EE">
        <w:rPr>
          <w:rFonts w:ascii="Tahoma" w:hAnsi="Tahoma" w:cs="Tahoma"/>
          <w:sz w:val="20"/>
          <w:szCs w:val="20"/>
        </w:rPr>
        <w:t xml:space="preserve"> </w:t>
      </w:r>
      <w:r w:rsidRPr="00B004EE">
        <w:rPr>
          <w:rFonts w:ascii="Tahoma" w:hAnsi="Tahoma" w:cs="Tahoma"/>
          <w:sz w:val="20"/>
          <w:szCs w:val="20"/>
        </w:rPr>
        <w:t>retenue</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ministre</w:t>
      </w:r>
      <w:r w:rsidR="00DB1635" w:rsidRPr="00B004EE">
        <w:rPr>
          <w:rFonts w:ascii="Tahoma" w:hAnsi="Tahoma" w:cs="Tahoma"/>
          <w:sz w:val="20"/>
          <w:szCs w:val="20"/>
        </w:rPr>
        <w:t xml:space="preserve"> </w:t>
      </w:r>
      <w:r w:rsidRPr="00B004EE">
        <w:rPr>
          <w:rFonts w:ascii="Tahoma" w:hAnsi="Tahoma" w:cs="Tahoma"/>
          <w:sz w:val="20"/>
          <w:szCs w:val="20"/>
        </w:rPr>
        <w:t>chargé</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réalisation</w:t>
      </w:r>
      <w:r w:rsidR="00DB1635" w:rsidRPr="00B004EE">
        <w:rPr>
          <w:rFonts w:ascii="Tahoma" w:hAnsi="Tahoma" w:cs="Tahoma"/>
          <w:sz w:val="20"/>
          <w:szCs w:val="20"/>
        </w:rPr>
        <w:t xml:space="preserve"> </w:t>
      </w:r>
      <w:r w:rsidRPr="00B004EE">
        <w:rPr>
          <w:rFonts w:ascii="Tahoma" w:hAnsi="Tahoma" w:cs="Tahoma"/>
          <w:sz w:val="20"/>
          <w:szCs w:val="20"/>
        </w:rPr>
        <w:t>d’une</w:t>
      </w:r>
      <w:r w:rsidR="00DB1635" w:rsidRPr="00B004EE">
        <w:rPr>
          <w:rFonts w:ascii="Tahoma" w:hAnsi="Tahoma" w:cs="Tahoma"/>
          <w:sz w:val="20"/>
          <w:szCs w:val="20"/>
        </w:rPr>
        <w:t xml:space="preserve"> </w:t>
      </w:r>
      <w:r w:rsidRPr="00B004EE">
        <w:rPr>
          <w:rFonts w:ascii="Tahoma" w:hAnsi="Tahoma" w:cs="Tahoma"/>
          <w:sz w:val="20"/>
          <w:szCs w:val="20"/>
        </w:rPr>
        <w:t>analyse</w:t>
      </w:r>
      <w:r w:rsidR="00DB1635" w:rsidRPr="00B004EE">
        <w:rPr>
          <w:rFonts w:ascii="Tahoma" w:hAnsi="Tahoma" w:cs="Tahoma"/>
          <w:sz w:val="20"/>
          <w:szCs w:val="20"/>
        </w:rPr>
        <w:t xml:space="preserve"> </w:t>
      </w:r>
      <w:r w:rsidRPr="00B004EE">
        <w:rPr>
          <w:rFonts w:ascii="Tahoma" w:hAnsi="Tahoma" w:cs="Tahoma"/>
          <w:sz w:val="20"/>
          <w:szCs w:val="20"/>
        </w:rPr>
        <w:t>d’autocontrôle.</w:t>
      </w:r>
    </w:p>
    <w:p w14:paraId="3E21488E" w14:textId="77777777" w:rsidR="00E32DBF" w:rsidRPr="00B004EE" w:rsidRDefault="00E32DBF" w:rsidP="00B004EE">
      <w:pPr>
        <w:autoSpaceDE w:val="0"/>
        <w:autoSpaceDN w:val="0"/>
        <w:adjustRightInd w:val="0"/>
        <w:jc w:val="both"/>
        <w:rPr>
          <w:rFonts w:ascii="Tahoma" w:hAnsi="Tahoma" w:cs="Tahoma"/>
          <w:sz w:val="20"/>
          <w:szCs w:val="20"/>
        </w:rPr>
      </w:pPr>
    </w:p>
    <w:p w14:paraId="0A7BE614" w14:textId="4A396BB1" w:rsidR="002F24E1" w:rsidRPr="00B004EE" w:rsidRDefault="002F24E1" w:rsidP="00B004EE">
      <w:pPr>
        <w:autoSpaceDE w:val="0"/>
        <w:autoSpaceDN w:val="0"/>
        <w:adjustRightInd w:val="0"/>
        <w:jc w:val="both"/>
        <w:rPr>
          <w:rFonts w:ascii="Tahoma" w:hAnsi="Tahoma" w:cs="Tahoma"/>
          <w:b/>
          <w:bCs/>
          <w:sz w:val="20"/>
          <w:szCs w:val="20"/>
        </w:rPr>
      </w:pPr>
      <w:r w:rsidRPr="00B004EE">
        <w:rPr>
          <w:rFonts w:ascii="Tahoma" w:hAnsi="Tahoma" w:cs="Tahoma"/>
          <w:b/>
          <w:bCs/>
          <w:sz w:val="20"/>
          <w:szCs w:val="20"/>
        </w:rPr>
        <w:t>CHAPITRE</w:t>
      </w:r>
      <w:r w:rsidR="00DB1635" w:rsidRPr="00B004EE">
        <w:rPr>
          <w:rFonts w:ascii="Tahoma" w:hAnsi="Tahoma" w:cs="Tahoma"/>
          <w:b/>
          <w:bCs/>
          <w:sz w:val="20"/>
          <w:szCs w:val="20"/>
        </w:rPr>
        <w:t xml:space="preserve"> </w:t>
      </w:r>
      <w:r w:rsidRPr="00B004EE">
        <w:rPr>
          <w:rFonts w:ascii="Tahoma" w:hAnsi="Tahoma" w:cs="Tahoma"/>
          <w:b/>
          <w:bCs/>
          <w:sz w:val="20"/>
          <w:szCs w:val="20"/>
        </w:rPr>
        <w:t>2</w:t>
      </w:r>
      <w:r w:rsidR="00DB1635" w:rsidRPr="00B004EE">
        <w:rPr>
          <w:rFonts w:ascii="Tahoma" w:hAnsi="Tahoma" w:cs="Tahoma"/>
          <w:b/>
          <w:bCs/>
          <w:sz w:val="20"/>
          <w:szCs w:val="20"/>
        </w:rPr>
        <w:t xml:space="preserve"> </w:t>
      </w:r>
      <w:r w:rsidRPr="00B004EE">
        <w:rPr>
          <w:rFonts w:ascii="Tahoma" w:hAnsi="Tahoma" w:cs="Tahoma"/>
          <w:b/>
          <w:bCs/>
          <w:sz w:val="20"/>
          <w:szCs w:val="20"/>
        </w:rPr>
        <w:t>–</w:t>
      </w:r>
      <w:r w:rsidR="00DB1635" w:rsidRPr="00B004EE">
        <w:rPr>
          <w:rFonts w:ascii="Tahoma" w:hAnsi="Tahoma" w:cs="Tahoma"/>
          <w:b/>
          <w:bCs/>
          <w:sz w:val="20"/>
          <w:szCs w:val="20"/>
        </w:rPr>
        <w:t xml:space="preserve"> </w:t>
      </w:r>
      <w:r w:rsidRPr="00B004EE">
        <w:rPr>
          <w:rFonts w:ascii="Tahoma" w:hAnsi="Tahoma" w:cs="Tahoma"/>
          <w:b/>
          <w:bCs/>
          <w:sz w:val="20"/>
          <w:szCs w:val="20"/>
        </w:rPr>
        <w:t>DESIGNATION</w:t>
      </w:r>
      <w:r w:rsidR="00DB1635" w:rsidRPr="00B004EE">
        <w:rPr>
          <w:rFonts w:ascii="Tahoma" w:hAnsi="Tahoma" w:cs="Tahoma"/>
          <w:b/>
          <w:bCs/>
          <w:sz w:val="20"/>
          <w:szCs w:val="20"/>
        </w:rPr>
        <w:t xml:space="preserve"> </w:t>
      </w:r>
      <w:r w:rsidRPr="00B004EE">
        <w:rPr>
          <w:rFonts w:ascii="Tahoma" w:hAnsi="Tahoma" w:cs="Tahoma"/>
          <w:b/>
          <w:bCs/>
          <w:sz w:val="20"/>
          <w:szCs w:val="20"/>
        </w:rPr>
        <w:t>ET</w:t>
      </w:r>
      <w:r w:rsidR="00DB1635" w:rsidRPr="00B004EE">
        <w:rPr>
          <w:rFonts w:ascii="Tahoma" w:hAnsi="Tahoma" w:cs="Tahoma"/>
          <w:b/>
          <w:bCs/>
          <w:sz w:val="20"/>
          <w:szCs w:val="20"/>
        </w:rPr>
        <w:t xml:space="preserve"> </w:t>
      </w:r>
      <w:r w:rsidRPr="00B004EE">
        <w:rPr>
          <w:rFonts w:ascii="Tahoma" w:hAnsi="Tahoma" w:cs="Tahoma"/>
          <w:b/>
          <w:bCs/>
          <w:sz w:val="20"/>
          <w:szCs w:val="20"/>
        </w:rPr>
        <w:t>MISSIONS</w:t>
      </w:r>
      <w:r w:rsidR="00DB1635" w:rsidRPr="00B004EE">
        <w:rPr>
          <w:rFonts w:ascii="Tahoma" w:hAnsi="Tahoma" w:cs="Tahoma"/>
          <w:b/>
          <w:bCs/>
          <w:sz w:val="20"/>
          <w:szCs w:val="20"/>
        </w:rPr>
        <w:t xml:space="preserve"> </w:t>
      </w:r>
      <w:r w:rsidRPr="00B004EE">
        <w:rPr>
          <w:rFonts w:ascii="Tahoma" w:hAnsi="Tahoma" w:cs="Tahoma"/>
          <w:b/>
          <w:bCs/>
          <w:sz w:val="20"/>
          <w:szCs w:val="20"/>
        </w:rPr>
        <w:t>DU</w:t>
      </w:r>
      <w:r w:rsidR="00DB1635" w:rsidRPr="00B004EE">
        <w:rPr>
          <w:rFonts w:ascii="Tahoma" w:hAnsi="Tahoma" w:cs="Tahoma"/>
          <w:b/>
          <w:bCs/>
          <w:sz w:val="20"/>
          <w:szCs w:val="20"/>
        </w:rPr>
        <w:t xml:space="preserve"> </w:t>
      </w:r>
      <w:r w:rsidRPr="00B004EE">
        <w:rPr>
          <w:rFonts w:ascii="Tahoma" w:hAnsi="Tahoma" w:cs="Tahoma"/>
          <w:b/>
          <w:bCs/>
          <w:sz w:val="20"/>
          <w:szCs w:val="20"/>
        </w:rPr>
        <w:t>LABORATOIRE</w:t>
      </w:r>
      <w:r w:rsidR="00DB1635" w:rsidRPr="00B004EE">
        <w:rPr>
          <w:rFonts w:ascii="Tahoma" w:hAnsi="Tahoma" w:cs="Tahoma"/>
          <w:b/>
          <w:bCs/>
          <w:sz w:val="20"/>
          <w:szCs w:val="20"/>
        </w:rPr>
        <w:t xml:space="preserve"> </w:t>
      </w:r>
      <w:r w:rsidRPr="00B004EE">
        <w:rPr>
          <w:rFonts w:ascii="Tahoma" w:hAnsi="Tahoma" w:cs="Tahoma"/>
          <w:b/>
          <w:bCs/>
          <w:sz w:val="20"/>
          <w:szCs w:val="20"/>
        </w:rPr>
        <w:t>NATIONAL</w:t>
      </w:r>
      <w:r w:rsidR="00DB1635" w:rsidRPr="00B004EE">
        <w:rPr>
          <w:rFonts w:ascii="Tahoma" w:hAnsi="Tahoma" w:cs="Tahoma"/>
          <w:b/>
          <w:bCs/>
          <w:sz w:val="20"/>
          <w:szCs w:val="20"/>
        </w:rPr>
        <w:t xml:space="preserve"> </w:t>
      </w:r>
      <w:r w:rsidRPr="00B004EE">
        <w:rPr>
          <w:rFonts w:ascii="Tahoma" w:hAnsi="Tahoma" w:cs="Tahoma"/>
          <w:b/>
          <w:bCs/>
          <w:sz w:val="20"/>
          <w:szCs w:val="20"/>
        </w:rPr>
        <w:t>DE</w:t>
      </w:r>
      <w:r w:rsidR="00DB1635" w:rsidRPr="00B004EE">
        <w:rPr>
          <w:rFonts w:ascii="Tahoma" w:hAnsi="Tahoma" w:cs="Tahoma"/>
          <w:b/>
          <w:bCs/>
          <w:sz w:val="20"/>
          <w:szCs w:val="20"/>
        </w:rPr>
        <w:t xml:space="preserve"> </w:t>
      </w:r>
      <w:r w:rsidRPr="00B004EE">
        <w:rPr>
          <w:rFonts w:ascii="Tahoma" w:hAnsi="Tahoma" w:cs="Tahoma"/>
          <w:b/>
          <w:bCs/>
          <w:sz w:val="20"/>
          <w:szCs w:val="20"/>
        </w:rPr>
        <w:t>REFERENCE</w:t>
      </w:r>
      <w:r w:rsidR="00DB1635" w:rsidRPr="00B004EE">
        <w:rPr>
          <w:rFonts w:ascii="Tahoma" w:hAnsi="Tahoma" w:cs="Tahoma"/>
          <w:b/>
          <w:bCs/>
          <w:sz w:val="20"/>
          <w:szCs w:val="20"/>
        </w:rPr>
        <w:t xml:space="preserve"> </w:t>
      </w:r>
    </w:p>
    <w:p w14:paraId="4E363B92" w14:textId="77777777" w:rsidR="002F24E1" w:rsidRPr="00B004EE" w:rsidRDefault="002F24E1" w:rsidP="00B004EE">
      <w:pPr>
        <w:autoSpaceDE w:val="0"/>
        <w:autoSpaceDN w:val="0"/>
        <w:adjustRightInd w:val="0"/>
        <w:jc w:val="both"/>
        <w:rPr>
          <w:rFonts w:ascii="Tahoma" w:hAnsi="Tahoma" w:cs="Tahoma"/>
          <w:sz w:val="20"/>
          <w:szCs w:val="20"/>
        </w:rPr>
      </w:pPr>
    </w:p>
    <w:p w14:paraId="1198339F" w14:textId="740144AD" w:rsidR="002F24E1" w:rsidRPr="00B004EE" w:rsidRDefault="002F24E1" w:rsidP="00B004EE">
      <w:pPr>
        <w:autoSpaceDE w:val="0"/>
        <w:autoSpaceDN w:val="0"/>
        <w:adjustRightInd w:val="0"/>
        <w:jc w:val="both"/>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2.</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laboratoire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chimie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microbiologie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l’Institut</w:t>
      </w:r>
      <w:r w:rsidR="00DB1635" w:rsidRPr="00B004EE">
        <w:rPr>
          <w:rFonts w:ascii="Tahoma" w:hAnsi="Tahoma" w:cs="Tahoma"/>
          <w:sz w:val="20"/>
          <w:szCs w:val="20"/>
        </w:rPr>
        <w:t xml:space="preserve"> </w:t>
      </w:r>
      <w:r w:rsidRPr="00B004EE">
        <w:rPr>
          <w:rFonts w:ascii="Tahoma" w:hAnsi="Tahoma" w:cs="Tahoma"/>
          <w:sz w:val="20"/>
          <w:szCs w:val="20"/>
        </w:rPr>
        <w:t>Mauritanien</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Recherches</w:t>
      </w:r>
      <w:r w:rsidR="00DB1635" w:rsidRPr="00B004EE">
        <w:rPr>
          <w:rFonts w:ascii="Tahoma" w:hAnsi="Tahoma" w:cs="Tahoma"/>
          <w:sz w:val="20"/>
          <w:szCs w:val="20"/>
        </w:rPr>
        <w:t xml:space="preserve"> </w:t>
      </w:r>
      <w:r w:rsidRPr="00B004EE">
        <w:rPr>
          <w:rFonts w:ascii="Tahoma" w:hAnsi="Tahoma" w:cs="Tahoma"/>
          <w:sz w:val="20"/>
          <w:szCs w:val="20"/>
        </w:rPr>
        <w:t>Océanographiques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sz w:val="20"/>
          <w:szCs w:val="20"/>
        </w:rPr>
        <w:t xml:space="preserve"> </w:t>
      </w:r>
      <w:r w:rsidRPr="00B004EE">
        <w:rPr>
          <w:rFonts w:ascii="Tahoma" w:hAnsi="Tahoma" w:cs="Tahoma"/>
          <w:sz w:val="20"/>
          <w:szCs w:val="20"/>
        </w:rPr>
        <w:t>(IMROP)</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Nouadhibou</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désigné</w:t>
      </w:r>
      <w:r w:rsidR="00DB1635" w:rsidRPr="00B004EE">
        <w:rPr>
          <w:rFonts w:ascii="Tahoma" w:hAnsi="Tahoma" w:cs="Tahoma"/>
          <w:sz w:val="20"/>
          <w:szCs w:val="20"/>
        </w:rPr>
        <w:t xml:space="preserve"> </w:t>
      </w:r>
      <w:r w:rsidRPr="00B004EE">
        <w:rPr>
          <w:rFonts w:ascii="Tahoma" w:hAnsi="Tahoma" w:cs="Tahoma"/>
          <w:sz w:val="20"/>
          <w:szCs w:val="20"/>
        </w:rPr>
        <w:t>comme</w:t>
      </w:r>
      <w:r w:rsidR="00DB1635" w:rsidRPr="00B004EE">
        <w:rPr>
          <w:rFonts w:ascii="Tahoma" w:hAnsi="Tahoma" w:cs="Tahoma"/>
          <w:sz w:val="20"/>
          <w:szCs w:val="20"/>
        </w:rPr>
        <w:t xml:space="preserve"> </w:t>
      </w:r>
      <w:r w:rsidRPr="00B004EE">
        <w:rPr>
          <w:rFonts w:ascii="Tahoma" w:hAnsi="Tahoma" w:cs="Tahoma"/>
          <w:sz w:val="20"/>
          <w:szCs w:val="20"/>
        </w:rPr>
        <w:t>laboratoire</w:t>
      </w:r>
      <w:r w:rsidR="00DB1635" w:rsidRPr="00B004EE">
        <w:rPr>
          <w:rFonts w:ascii="Tahoma" w:hAnsi="Tahoma" w:cs="Tahoma"/>
          <w:sz w:val="20"/>
          <w:szCs w:val="20"/>
        </w:rPr>
        <w:t xml:space="preserve"> </w:t>
      </w:r>
      <w:r w:rsidRPr="00B004EE">
        <w:rPr>
          <w:rFonts w:ascii="Tahoma" w:hAnsi="Tahoma" w:cs="Tahoma"/>
          <w:sz w:val="20"/>
          <w:szCs w:val="20"/>
        </w:rPr>
        <w:t>national</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référence</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contrôle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contamination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mollusques</w:t>
      </w:r>
      <w:r w:rsidR="00DB1635" w:rsidRPr="00B004EE">
        <w:rPr>
          <w:rFonts w:ascii="Tahoma" w:hAnsi="Tahoma" w:cs="Tahoma"/>
          <w:sz w:val="20"/>
          <w:szCs w:val="20"/>
        </w:rPr>
        <w:t xml:space="preserve"> </w:t>
      </w:r>
      <w:r w:rsidRPr="00B004EE">
        <w:rPr>
          <w:rFonts w:ascii="Tahoma" w:hAnsi="Tahoma" w:cs="Tahoma"/>
          <w:sz w:val="20"/>
          <w:szCs w:val="20"/>
        </w:rPr>
        <w:t>bivalves</w:t>
      </w:r>
      <w:r w:rsidR="00DB1635" w:rsidRPr="00B004EE">
        <w:rPr>
          <w:rFonts w:ascii="Tahoma" w:hAnsi="Tahoma" w:cs="Tahoma"/>
          <w:sz w:val="20"/>
          <w:szCs w:val="20"/>
        </w:rPr>
        <w:t xml:space="preserve"> </w:t>
      </w:r>
      <w:r w:rsidRPr="00B004EE">
        <w:rPr>
          <w:rFonts w:ascii="Tahoma" w:hAnsi="Tahoma" w:cs="Tahoma"/>
          <w:sz w:val="20"/>
          <w:szCs w:val="20"/>
        </w:rPr>
        <w:t>vivants,</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milieux</w:t>
      </w:r>
      <w:r w:rsidR="00DB1635" w:rsidRPr="00B004EE">
        <w:rPr>
          <w:rFonts w:ascii="Tahoma" w:hAnsi="Tahoma" w:cs="Tahoma"/>
          <w:sz w:val="20"/>
          <w:szCs w:val="20"/>
        </w:rPr>
        <w:t xml:space="preserve"> </w:t>
      </w:r>
      <w:r w:rsidRPr="00B004EE">
        <w:rPr>
          <w:rFonts w:ascii="Tahoma" w:hAnsi="Tahoma" w:cs="Tahoma"/>
          <w:sz w:val="20"/>
          <w:szCs w:val="20"/>
        </w:rPr>
        <w:t>marin</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fluvial.</w:t>
      </w:r>
    </w:p>
    <w:p w14:paraId="17011D9A" w14:textId="77777777" w:rsidR="002F24E1" w:rsidRPr="00B004EE" w:rsidRDefault="002F24E1" w:rsidP="00B004EE">
      <w:pPr>
        <w:autoSpaceDE w:val="0"/>
        <w:autoSpaceDN w:val="0"/>
        <w:adjustRightInd w:val="0"/>
        <w:jc w:val="both"/>
        <w:rPr>
          <w:rFonts w:ascii="Tahoma" w:hAnsi="Tahoma" w:cs="Tahoma"/>
          <w:sz w:val="20"/>
          <w:szCs w:val="20"/>
        </w:rPr>
      </w:pPr>
    </w:p>
    <w:p w14:paraId="20D95153" w14:textId="43B07DE9" w:rsidR="002F24E1" w:rsidRPr="00B004EE" w:rsidRDefault="002F24E1" w:rsidP="00B004EE">
      <w:pPr>
        <w:autoSpaceDE w:val="0"/>
        <w:autoSpaceDN w:val="0"/>
        <w:adjustRightInd w:val="0"/>
        <w:jc w:val="both"/>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3.</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laboratoire</w:t>
      </w:r>
      <w:r w:rsidR="00DB1635" w:rsidRPr="00B004EE">
        <w:rPr>
          <w:rFonts w:ascii="Tahoma" w:hAnsi="Tahoma" w:cs="Tahoma"/>
          <w:sz w:val="20"/>
          <w:szCs w:val="20"/>
        </w:rPr>
        <w:t xml:space="preserve"> </w:t>
      </w:r>
      <w:r w:rsidRPr="00B004EE">
        <w:rPr>
          <w:rFonts w:ascii="Tahoma" w:hAnsi="Tahoma" w:cs="Tahoma"/>
          <w:sz w:val="20"/>
          <w:szCs w:val="20"/>
        </w:rPr>
        <w:t>nat</w:t>
      </w:r>
      <w:r w:rsidR="00842848" w:rsidRPr="00B004EE">
        <w:rPr>
          <w:rFonts w:ascii="Tahoma" w:hAnsi="Tahoma" w:cs="Tahoma"/>
          <w:sz w:val="20"/>
          <w:szCs w:val="20"/>
        </w:rPr>
        <w:t>ional</w:t>
      </w:r>
      <w:r w:rsidR="00DB1635" w:rsidRPr="00B004EE">
        <w:rPr>
          <w:rFonts w:ascii="Tahoma" w:hAnsi="Tahoma" w:cs="Tahoma"/>
          <w:sz w:val="20"/>
          <w:szCs w:val="20"/>
        </w:rPr>
        <w:t xml:space="preserve"> </w:t>
      </w:r>
      <w:r w:rsidR="00842848" w:rsidRPr="00B004EE">
        <w:rPr>
          <w:rFonts w:ascii="Tahoma" w:hAnsi="Tahoma" w:cs="Tahoma"/>
          <w:sz w:val="20"/>
          <w:szCs w:val="20"/>
        </w:rPr>
        <w:t>de</w:t>
      </w:r>
      <w:r w:rsidR="00DB1635" w:rsidRPr="00B004EE">
        <w:rPr>
          <w:rFonts w:ascii="Tahoma" w:hAnsi="Tahoma" w:cs="Tahoma"/>
          <w:sz w:val="20"/>
          <w:szCs w:val="20"/>
        </w:rPr>
        <w:t xml:space="preserve"> </w:t>
      </w:r>
      <w:r w:rsidR="00842848" w:rsidRPr="00B004EE">
        <w:rPr>
          <w:rFonts w:ascii="Tahoma" w:hAnsi="Tahoma" w:cs="Tahoma"/>
          <w:sz w:val="20"/>
          <w:szCs w:val="20"/>
        </w:rPr>
        <w:t>référence</w:t>
      </w:r>
      <w:r w:rsidR="00DB1635" w:rsidRPr="00B004EE">
        <w:rPr>
          <w:rFonts w:ascii="Tahoma" w:hAnsi="Tahoma" w:cs="Tahoma"/>
          <w:sz w:val="20"/>
          <w:szCs w:val="20"/>
        </w:rPr>
        <w:t xml:space="preserve"> </w:t>
      </w:r>
      <w:r w:rsidR="00842848" w:rsidRPr="00B004EE">
        <w:rPr>
          <w:rFonts w:ascii="Tahoma" w:hAnsi="Tahoma" w:cs="Tahoma"/>
          <w:sz w:val="20"/>
          <w:szCs w:val="20"/>
        </w:rPr>
        <w:t>de</w:t>
      </w:r>
      <w:r w:rsidR="00DB1635" w:rsidRPr="00B004EE">
        <w:rPr>
          <w:rFonts w:ascii="Tahoma" w:hAnsi="Tahoma" w:cs="Tahoma"/>
          <w:sz w:val="20"/>
          <w:szCs w:val="20"/>
        </w:rPr>
        <w:t xml:space="preserve"> </w:t>
      </w:r>
      <w:r w:rsidR="00842848" w:rsidRPr="00B004EE">
        <w:rPr>
          <w:rFonts w:ascii="Tahoma" w:hAnsi="Tahoma" w:cs="Tahoma"/>
          <w:sz w:val="20"/>
          <w:szCs w:val="20"/>
        </w:rPr>
        <w:t>l’IMROP</w:t>
      </w:r>
      <w:r w:rsidR="00DB1635" w:rsidRPr="00B004EE">
        <w:rPr>
          <w:rFonts w:ascii="Tahoma" w:hAnsi="Tahoma" w:cs="Tahoma"/>
          <w:sz w:val="20"/>
          <w:szCs w:val="20"/>
        </w:rPr>
        <w:t xml:space="preserve"> </w:t>
      </w:r>
      <w:r w:rsidR="00842848"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Nouadhibou,</w:t>
      </w:r>
      <w:r w:rsidR="00DB1635" w:rsidRPr="00B004EE">
        <w:rPr>
          <w:rFonts w:ascii="Tahoma" w:hAnsi="Tahoma" w:cs="Tahoma"/>
          <w:sz w:val="20"/>
          <w:szCs w:val="20"/>
        </w:rPr>
        <w:t xml:space="preserve"> </w:t>
      </w:r>
      <w:r w:rsidRPr="00B004EE">
        <w:rPr>
          <w:rFonts w:ascii="Tahoma" w:hAnsi="Tahoma" w:cs="Tahoma"/>
          <w:sz w:val="20"/>
          <w:szCs w:val="20"/>
        </w:rPr>
        <w:t>ci-après</w:t>
      </w:r>
      <w:r w:rsidR="00DB1635" w:rsidRPr="00B004EE">
        <w:rPr>
          <w:rFonts w:ascii="Tahoma" w:hAnsi="Tahoma" w:cs="Tahoma"/>
          <w:sz w:val="20"/>
          <w:szCs w:val="20"/>
        </w:rPr>
        <w:t xml:space="preserve"> </w:t>
      </w:r>
      <w:r w:rsidRPr="00B004EE">
        <w:rPr>
          <w:rFonts w:ascii="Tahoma" w:hAnsi="Tahoma" w:cs="Tahoma"/>
          <w:sz w:val="20"/>
          <w:szCs w:val="20"/>
        </w:rPr>
        <w:t>désigné</w:t>
      </w:r>
      <w:r w:rsidR="00DB1635" w:rsidRPr="00B004EE">
        <w:rPr>
          <w:rFonts w:ascii="Tahoma" w:hAnsi="Tahoma" w:cs="Tahoma"/>
          <w:sz w:val="20"/>
          <w:szCs w:val="20"/>
        </w:rPr>
        <w:t xml:space="preserve"> </w:t>
      </w:r>
      <w:r w:rsidRPr="00B004EE">
        <w:rPr>
          <w:rFonts w:ascii="Tahoma" w:hAnsi="Tahoma" w:cs="Tahoma"/>
          <w:sz w:val="20"/>
          <w:szCs w:val="20"/>
        </w:rPr>
        <w:t>sous</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terme</w:t>
      </w:r>
      <w:r w:rsidR="00DB1635" w:rsidRPr="00B004EE">
        <w:rPr>
          <w:rFonts w:ascii="Tahoma" w:hAnsi="Tahoma" w:cs="Tahoma"/>
          <w:sz w:val="20"/>
          <w:szCs w:val="20"/>
        </w:rPr>
        <w:t xml:space="preserve"> </w:t>
      </w:r>
      <w:r w:rsidRPr="00B004EE">
        <w:rPr>
          <w:rFonts w:ascii="Tahoma" w:hAnsi="Tahoma" w:cs="Tahoma"/>
          <w:sz w:val="20"/>
          <w:szCs w:val="20"/>
        </w:rPr>
        <w:t>laboratoire</w:t>
      </w:r>
      <w:r w:rsidR="00DB1635" w:rsidRPr="00B004EE">
        <w:rPr>
          <w:rFonts w:ascii="Tahoma" w:hAnsi="Tahoma" w:cs="Tahoma"/>
          <w:sz w:val="20"/>
          <w:szCs w:val="20"/>
        </w:rPr>
        <w:t xml:space="preserve"> </w:t>
      </w:r>
      <w:r w:rsidRPr="00B004EE">
        <w:rPr>
          <w:rFonts w:ascii="Tahoma" w:hAnsi="Tahoma" w:cs="Tahoma"/>
          <w:sz w:val="20"/>
          <w:szCs w:val="20"/>
        </w:rPr>
        <w:t>national</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référence</w:t>
      </w:r>
      <w:r w:rsidR="00DB1635" w:rsidRPr="00B004EE">
        <w:rPr>
          <w:rFonts w:ascii="Tahoma" w:hAnsi="Tahoma" w:cs="Tahoma"/>
          <w:sz w:val="20"/>
          <w:szCs w:val="20"/>
        </w:rPr>
        <w:t xml:space="preserve"> </w:t>
      </w:r>
      <w:r w:rsidRPr="00B004EE">
        <w:rPr>
          <w:rFonts w:ascii="Tahoma" w:hAnsi="Tahoma" w:cs="Tahoma"/>
          <w:sz w:val="20"/>
          <w:szCs w:val="20"/>
        </w:rPr>
        <w:t>(LNR)</w:t>
      </w:r>
      <w:r w:rsidR="00DB1635" w:rsidRPr="00B004EE">
        <w:rPr>
          <w:rFonts w:ascii="Tahoma" w:hAnsi="Tahoma" w:cs="Tahoma"/>
          <w:sz w:val="20"/>
          <w:szCs w:val="20"/>
        </w:rPr>
        <w:t xml:space="preserve"> </w:t>
      </w:r>
      <w:r w:rsidRPr="00B004EE">
        <w:rPr>
          <w:rFonts w:ascii="Tahoma" w:hAnsi="Tahoma" w:cs="Tahoma"/>
          <w:sz w:val="20"/>
          <w:szCs w:val="20"/>
        </w:rPr>
        <w:t>doit</w:t>
      </w:r>
      <w:r w:rsidR="00DB1635" w:rsidRPr="00B004EE">
        <w:rPr>
          <w:rFonts w:ascii="Tahoma" w:hAnsi="Tahoma" w:cs="Tahoma"/>
          <w:sz w:val="20"/>
          <w:szCs w:val="20"/>
        </w:rPr>
        <w:t xml:space="preserve"> </w:t>
      </w:r>
      <w:r w:rsidRPr="00B004EE">
        <w:rPr>
          <w:rFonts w:ascii="Tahoma" w:hAnsi="Tahoma" w:cs="Tahoma"/>
          <w:sz w:val="20"/>
          <w:szCs w:val="20"/>
        </w:rPr>
        <w:t>:</w:t>
      </w:r>
    </w:p>
    <w:p w14:paraId="58B5645C" w14:textId="4381242D" w:rsidR="002F24E1" w:rsidRPr="00B004EE" w:rsidRDefault="002F24E1" w:rsidP="00B004EE">
      <w:pPr>
        <w:autoSpaceDE w:val="0"/>
        <w:autoSpaceDN w:val="0"/>
        <w:adjustRightInd w:val="0"/>
        <w:ind w:left="284" w:hanging="284"/>
        <w:jc w:val="both"/>
        <w:rPr>
          <w:rFonts w:ascii="Tahoma" w:hAnsi="Tahoma" w:cs="Tahoma"/>
          <w:sz w:val="20"/>
          <w:szCs w:val="20"/>
        </w:rPr>
      </w:pPr>
      <w:r w:rsidRPr="00B004EE">
        <w:rPr>
          <w:rFonts w:ascii="Tahoma" w:hAnsi="Tahoma" w:cs="Tahoma"/>
          <w:sz w:val="20"/>
          <w:szCs w:val="20"/>
        </w:rPr>
        <w:t>1.</w:t>
      </w:r>
      <w:r w:rsidR="00DB1635" w:rsidRPr="00B004EE">
        <w:rPr>
          <w:rFonts w:ascii="Tahoma" w:hAnsi="Tahoma" w:cs="Tahoma"/>
          <w:sz w:val="20"/>
          <w:szCs w:val="20"/>
        </w:rPr>
        <w:t xml:space="preserve"> </w:t>
      </w:r>
      <w:r w:rsidRPr="00B004EE">
        <w:rPr>
          <w:rFonts w:ascii="Tahoma" w:hAnsi="Tahoma" w:cs="Tahoma"/>
          <w:sz w:val="20"/>
          <w:szCs w:val="20"/>
        </w:rPr>
        <w:t>Disposer</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personnels,</w:t>
      </w:r>
      <w:r w:rsidR="00DB1635" w:rsidRPr="00B004EE">
        <w:rPr>
          <w:rFonts w:ascii="Tahoma" w:hAnsi="Tahoma" w:cs="Tahoma"/>
          <w:sz w:val="20"/>
          <w:szCs w:val="20"/>
        </w:rPr>
        <w:t xml:space="preserve"> </w:t>
      </w:r>
      <w:r w:rsidRPr="00B004EE">
        <w:rPr>
          <w:rFonts w:ascii="Tahoma" w:hAnsi="Tahoma" w:cs="Tahoma"/>
          <w:sz w:val="20"/>
          <w:szCs w:val="20"/>
        </w:rPr>
        <w:t>locaux,</w:t>
      </w:r>
      <w:r w:rsidR="00DB1635" w:rsidRPr="00B004EE">
        <w:rPr>
          <w:rFonts w:ascii="Tahoma" w:hAnsi="Tahoma" w:cs="Tahoma"/>
          <w:sz w:val="20"/>
          <w:szCs w:val="20"/>
        </w:rPr>
        <w:t xml:space="preserve"> </w:t>
      </w:r>
      <w:r w:rsidRPr="00B004EE">
        <w:rPr>
          <w:rFonts w:ascii="Tahoma" w:hAnsi="Tahoma" w:cs="Tahoma"/>
          <w:sz w:val="20"/>
          <w:szCs w:val="20"/>
        </w:rPr>
        <w:t>équipements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moyens</w:t>
      </w:r>
      <w:r w:rsidR="00DB1635" w:rsidRPr="00B004EE">
        <w:rPr>
          <w:rFonts w:ascii="Tahoma" w:hAnsi="Tahoma" w:cs="Tahoma"/>
          <w:sz w:val="20"/>
          <w:szCs w:val="20"/>
        </w:rPr>
        <w:t xml:space="preserve"> </w:t>
      </w:r>
      <w:r w:rsidRPr="00B004EE">
        <w:rPr>
          <w:rFonts w:ascii="Tahoma" w:hAnsi="Tahoma" w:cs="Tahoma"/>
          <w:sz w:val="20"/>
          <w:szCs w:val="20"/>
        </w:rPr>
        <w:t>lui</w:t>
      </w:r>
      <w:r w:rsidR="00DB1635" w:rsidRPr="00B004EE">
        <w:rPr>
          <w:rFonts w:ascii="Tahoma" w:hAnsi="Tahoma" w:cs="Tahoma"/>
          <w:sz w:val="20"/>
          <w:szCs w:val="20"/>
        </w:rPr>
        <w:t xml:space="preserve"> </w:t>
      </w:r>
      <w:r w:rsidRPr="00B004EE">
        <w:rPr>
          <w:rFonts w:ascii="Tahoma" w:hAnsi="Tahoma" w:cs="Tahoma"/>
          <w:sz w:val="20"/>
          <w:szCs w:val="20"/>
        </w:rPr>
        <w:t>permettant</w:t>
      </w:r>
      <w:r w:rsidR="00DB1635" w:rsidRPr="00B004EE">
        <w:rPr>
          <w:rFonts w:ascii="Tahoma" w:hAnsi="Tahoma" w:cs="Tahoma"/>
          <w:sz w:val="20"/>
          <w:szCs w:val="20"/>
        </w:rPr>
        <w:t xml:space="preserve"> </w:t>
      </w:r>
      <w:r w:rsidRPr="00B004EE">
        <w:rPr>
          <w:rFonts w:ascii="Tahoma" w:hAnsi="Tahoma" w:cs="Tahoma"/>
          <w:sz w:val="20"/>
          <w:szCs w:val="20"/>
        </w:rPr>
        <w:t>d’accomplir</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tout</w:t>
      </w:r>
      <w:r w:rsidR="00DB1635" w:rsidRPr="00B004EE">
        <w:rPr>
          <w:rFonts w:ascii="Tahoma" w:hAnsi="Tahoma" w:cs="Tahoma"/>
          <w:sz w:val="20"/>
          <w:szCs w:val="20"/>
        </w:rPr>
        <w:t xml:space="preserve"> </w:t>
      </w:r>
      <w:r w:rsidRPr="00B004EE">
        <w:rPr>
          <w:rFonts w:ascii="Tahoma" w:hAnsi="Tahoma" w:cs="Tahoma"/>
          <w:sz w:val="20"/>
          <w:szCs w:val="20"/>
        </w:rPr>
        <w:t>moment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missions</w:t>
      </w:r>
      <w:r w:rsidR="00DB1635" w:rsidRPr="00B004EE">
        <w:rPr>
          <w:rFonts w:ascii="Tahoma" w:hAnsi="Tahoma" w:cs="Tahoma"/>
          <w:sz w:val="20"/>
          <w:szCs w:val="20"/>
        </w:rPr>
        <w:t xml:space="preserve"> </w:t>
      </w:r>
      <w:r w:rsidRPr="00B004EE">
        <w:rPr>
          <w:rFonts w:ascii="Tahoma" w:hAnsi="Tahoma" w:cs="Tahoma"/>
          <w:sz w:val="20"/>
          <w:szCs w:val="20"/>
        </w:rPr>
        <w:t>qui</w:t>
      </w:r>
      <w:r w:rsidR="00DB1635" w:rsidRPr="00B004EE">
        <w:rPr>
          <w:rFonts w:ascii="Tahoma" w:hAnsi="Tahoma" w:cs="Tahoma"/>
          <w:sz w:val="20"/>
          <w:szCs w:val="20"/>
        </w:rPr>
        <w:t xml:space="preserve"> </w:t>
      </w:r>
      <w:r w:rsidRPr="00B004EE">
        <w:rPr>
          <w:rFonts w:ascii="Tahoma" w:hAnsi="Tahoma" w:cs="Tahoma"/>
          <w:sz w:val="20"/>
          <w:szCs w:val="20"/>
        </w:rPr>
        <w:t>lui</w:t>
      </w:r>
      <w:r w:rsidR="00DB1635" w:rsidRPr="00B004EE">
        <w:rPr>
          <w:rFonts w:ascii="Tahoma" w:hAnsi="Tahoma" w:cs="Tahoma"/>
          <w:sz w:val="20"/>
          <w:szCs w:val="20"/>
        </w:rPr>
        <w:t xml:space="preserve"> </w:t>
      </w:r>
      <w:r w:rsidRPr="00B004EE">
        <w:rPr>
          <w:rFonts w:ascii="Tahoma" w:hAnsi="Tahoma" w:cs="Tahoma"/>
          <w:sz w:val="20"/>
          <w:szCs w:val="20"/>
        </w:rPr>
        <w:t>incombent</w:t>
      </w:r>
      <w:r w:rsidR="00DB1635" w:rsidRPr="00B004EE">
        <w:rPr>
          <w:rFonts w:ascii="Tahoma" w:hAnsi="Tahoma" w:cs="Tahoma"/>
          <w:sz w:val="20"/>
          <w:szCs w:val="20"/>
        </w:rPr>
        <w:t xml:space="preserve"> </w:t>
      </w:r>
      <w:r w:rsidRPr="00B004EE">
        <w:rPr>
          <w:rFonts w:ascii="Tahoma" w:hAnsi="Tahoma" w:cs="Tahoma"/>
          <w:sz w:val="20"/>
          <w:szCs w:val="20"/>
        </w:rPr>
        <w:t>;</w:t>
      </w:r>
    </w:p>
    <w:p w14:paraId="1424834D" w14:textId="13BD177D" w:rsidR="002F24E1" w:rsidRPr="00B004EE" w:rsidRDefault="002F24E1" w:rsidP="00B004EE">
      <w:pPr>
        <w:autoSpaceDE w:val="0"/>
        <w:autoSpaceDN w:val="0"/>
        <w:adjustRightInd w:val="0"/>
        <w:ind w:left="284" w:hanging="284"/>
        <w:jc w:val="both"/>
        <w:rPr>
          <w:rFonts w:ascii="Tahoma" w:hAnsi="Tahoma" w:cs="Tahoma"/>
          <w:sz w:val="20"/>
          <w:szCs w:val="20"/>
        </w:rPr>
      </w:pPr>
      <w:r w:rsidRPr="00B004EE">
        <w:rPr>
          <w:rFonts w:ascii="Tahoma" w:hAnsi="Tahoma" w:cs="Tahoma"/>
          <w:sz w:val="20"/>
          <w:szCs w:val="20"/>
        </w:rPr>
        <w:t>2.</w:t>
      </w:r>
      <w:r w:rsidR="00DB1635" w:rsidRPr="00B004EE">
        <w:rPr>
          <w:rFonts w:ascii="Tahoma" w:hAnsi="Tahoma" w:cs="Tahoma"/>
          <w:sz w:val="20"/>
          <w:szCs w:val="20"/>
        </w:rPr>
        <w:t xml:space="preserve"> </w:t>
      </w:r>
      <w:r w:rsidRPr="00B004EE">
        <w:rPr>
          <w:rFonts w:ascii="Tahoma" w:hAnsi="Tahoma" w:cs="Tahoma"/>
          <w:sz w:val="20"/>
          <w:szCs w:val="20"/>
        </w:rPr>
        <w:t>Présenter</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garanties</w:t>
      </w:r>
      <w:r w:rsidR="00DB1635" w:rsidRPr="00B004EE">
        <w:rPr>
          <w:rFonts w:ascii="Tahoma" w:hAnsi="Tahoma" w:cs="Tahoma"/>
          <w:sz w:val="20"/>
          <w:szCs w:val="20"/>
        </w:rPr>
        <w:t xml:space="preserve"> </w:t>
      </w:r>
      <w:r w:rsidRPr="00B004EE">
        <w:rPr>
          <w:rFonts w:ascii="Tahoma" w:hAnsi="Tahoma" w:cs="Tahoma"/>
          <w:sz w:val="20"/>
          <w:szCs w:val="20"/>
        </w:rPr>
        <w:t>appropriées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confidentialité,</w:t>
      </w:r>
      <w:r w:rsidR="00DB1635" w:rsidRPr="00B004EE">
        <w:rPr>
          <w:rFonts w:ascii="Tahoma" w:hAnsi="Tahoma" w:cs="Tahoma"/>
          <w:sz w:val="20"/>
          <w:szCs w:val="20"/>
        </w:rPr>
        <w:t xml:space="preserve"> </w:t>
      </w:r>
      <w:r w:rsidRPr="00B004EE">
        <w:rPr>
          <w:rFonts w:ascii="Tahoma" w:hAnsi="Tahoma" w:cs="Tahoma"/>
          <w:sz w:val="20"/>
          <w:szCs w:val="20"/>
        </w:rPr>
        <w:t>d’impartialité</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d’indépendance</w:t>
      </w:r>
      <w:r w:rsidR="00DB1635" w:rsidRPr="00B004EE">
        <w:rPr>
          <w:rFonts w:ascii="Tahoma" w:hAnsi="Tahoma" w:cs="Tahoma"/>
          <w:sz w:val="20"/>
          <w:szCs w:val="20"/>
        </w:rPr>
        <w:t xml:space="preserve"> </w:t>
      </w:r>
      <w:r w:rsidRPr="00B004EE">
        <w:rPr>
          <w:rFonts w:ascii="Tahoma" w:hAnsi="Tahoma" w:cs="Tahoma"/>
          <w:sz w:val="20"/>
          <w:szCs w:val="20"/>
        </w:rPr>
        <w:t>vis-à-vis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toute</w:t>
      </w:r>
      <w:r w:rsidR="00DB1635" w:rsidRPr="00B004EE">
        <w:rPr>
          <w:rFonts w:ascii="Tahoma" w:hAnsi="Tahoma" w:cs="Tahoma"/>
          <w:sz w:val="20"/>
          <w:szCs w:val="20"/>
        </w:rPr>
        <w:t xml:space="preserve"> </w:t>
      </w:r>
      <w:r w:rsidRPr="00B004EE">
        <w:rPr>
          <w:rFonts w:ascii="Tahoma" w:hAnsi="Tahoma" w:cs="Tahoma"/>
          <w:sz w:val="20"/>
          <w:szCs w:val="20"/>
        </w:rPr>
        <w:t>personne</w:t>
      </w:r>
      <w:r w:rsidR="00DB1635" w:rsidRPr="00B004EE">
        <w:rPr>
          <w:rFonts w:ascii="Tahoma" w:hAnsi="Tahoma" w:cs="Tahoma"/>
          <w:sz w:val="20"/>
          <w:szCs w:val="20"/>
        </w:rPr>
        <w:t xml:space="preserve"> </w:t>
      </w:r>
      <w:r w:rsidRPr="00B004EE">
        <w:rPr>
          <w:rFonts w:ascii="Tahoma" w:hAnsi="Tahoma" w:cs="Tahoma"/>
          <w:sz w:val="20"/>
          <w:szCs w:val="20"/>
        </w:rPr>
        <w:t>physique</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morale</w:t>
      </w:r>
      <w:r w:rsidR="00DB1635" w:rsidRPr="00B004EE">
        <w:rPr>
          <w:rFonts w:ascii="Tahoma" w:hAnsi="Tahoma" w:cs="Tahoma"/>
          <w:sz w:val="20"/>
          <w:szCs w:val="20"/>
        </w:rPr>
        <w:t xml:space="preserve"> </w:t>
      </w:r>
      <w:r w:rsidRPr="00B004EE">
        <w:rPr>
          <w:rFonts w:ascii="Tahoma" w:hAnsi="Tahoma" w:cs="Tahoma"/>
          <w:sz w:val="20"/>
          <w:szCs w:val="20"/>
        </w:rPr>
        <w:t>exerçant</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activité</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production,</w:t>
      </w:r>
      <w:r w:rsidR="00DB1635" w:rsidRPr="00B004EE">
        <w:rPr>
          <w:rFonts w:ascii="Tahoma" w:hAnsi="Tahoma" w:cs="Tahoma"/>
          <w:sz w:val="20"/>
          <w:szCs w:val="20"/>
        </w:rPr>
        <w:t xml:space="preserve"> </w:t>
      </w:r>
      <w:r w:rsidRPr="00B004EE">
        <w:rPr>
          <w:rFonts w:ascii="Tahoma" w:hAnsi="Tahoma" w:cs="Tahoma"/>
          <w:sz w:val="20"/>
          <w:szCs w:val="20"/>
        </w:rPr>
        <w:t>d’importation</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commercialisation</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biens</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rapport</w:t>
      </w:r>
      <w:r w:rsidR="00DB1635" w:rsidRPr="00B004EE">
        <w:rPr>
          <w:rFonts w:ascii="Tahoma" w:hAnsi="Tahoma" w:cs="Tahoma"/>
          <w:sz w:val="20"/>
          <w:szCs w:val="20"/>
        </w:rPr>
        <w:t xml:space="preserve"> </w:t>
      </w:r>
      <w:r w:rsidRPr="00B004EE">
        <w:rPr>
          <w:rFonts w:ascii="Tahoma" w:hAnsi="Tahoma" w:cs="Tahoma"/>
          <w:sz w:val="20"/>
          <w:szCs w:val="20"/>
        </w:rPr>
        <w:t>avec</w:t>
      </w:r>
      <w:r w:rsidR="00DB1635" w:rsidRPr="00B004EE">
        <w:rPr>
          <w:rFonts w:ascii="Tahoma" w:hAnsi="Tahoma" w:cs="Tahoma"/>
          <w:sz w:val="20"/>
          <w:szCs w:val="20"/>
        </w:rPr>
        <w:t xml:space="preserve"> </w:t>
      </w:r>
      <w:r w:rsidRPr="00B004EE">
        <w:rPr>
          <w:rFonts w:ascii="Tahoma" w:hAnsi="Tahoma" w:cs="Tahoma"/>
          <w:sz w:val="20"/>
          <w:szCs w:val="20"/>
        </w:rPr>
        <w:t>son</w:t>
      </w:r>
      <w:r w:rsidR="00DB1635" w:rsidRPr="00B004EE">
        <w:rPr>
          <w:rFonts w:ascii="Tahoma" w:hAnsi="Tahoma" w:cs="Tahoma"/>
          <w:sz w:val="20"/>
          <w:szCs w:val="20"/>
        </w:rPr>
        <w:t xml:space="preserve"> </w:t>
      </w:r>
      <w:r w:rsidRPr="00B004EE">
        <w:rPr>
          <w:rFonts w:ascii="Tahoma" w:hAnsi="Tahoma" w:cs="Tahoma"/>
          <w:sz w:val="20"/>
          <w:szCs w:val="20"/>
        </w:rPr>
        <w:t>domaine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compétence</w:t>
      </w:r>
      <w:r w:rsidR="00DB1635" w:rsidRPr="00B004EE">
        <w:rPr>
          <w:rFonts w:ascii="Tahoma" w:hAnsi="Tahoma" w:cs="Tahoma"/>
          <w:sz w:val="20"/>
          <w:szCs w:val="20"/>
        </w:rPr>
        <w:t xml:space="preserve"> </w:t>
      </w:r>
      <w:r w:rsidRPr="00B004EE">
        <w:rPr>
          <w:rFonts w:ascii="Tahoma" w:hAnsi="Tahoma" w:cs="Tahoma"/>
          <w:sz w:val="20"/>
          <w:szCs w:val="20"/>
        </w:rPr>
        <w:t>;</w:t>
      </w:r>
    </w:p>
    <w:p w14:paraId="0F78A4A6" w14:textId="26CE2681" w:rsidR="002F24E1" w:rsidRPr="00B004EE" w:rsidRDefault="002F24E1" w:rsidP="00B004EE">
      <w:pPr>
        <w:autoSpaceDE w:val="0"/>
        <w:autoSpaceDN w:val="0"/>
        <w:adjustRightInd w:val="0"/>
        <w:ind w:left="284" w:hanging="284"/>
        <w:jc w:val="both"/>
        <w:rPr>
          <w:rFonts w:ascii="Tahoma" w:hAnsi="Tahoma" w:cs="Tahoma"/>
          <w:sz w:val="20"/>
          <w:szCs w:val="20"/>
        </w:rPr>
      </w:pPr>
      <w:r w:rsidRPr="00B004EE">
        <w:rPr>
          <w:rFonts w:ascii="Tahoma" w:hAnsi="Tahoma" w:cs="Tahoma"/>
          <w:sz w:val="20"/>
          <w:szCs w:val="20"/>
        </w:rPr>
        <w:t>3.</w:t>
      </w:r>
      <w:r w:rsidR="00DB1635" w:rsidRPr="00B004EE">
        <w:rPr>
          <w:rFonts w:ascii="Tahoma" w:hAnsi="Tahoma" w:cs="Tahoma"/>
          <w:sz w:val="20"/>
          <w:szCs w:val="20"/>
        </w:rPr>
        <w:t xml:space="preserve"> </w:t>
      </w:r>
      <w:r w:rsidRPr="00B004EE">
        <w:rPr>
          <w:rFonts w:ascii="Tahoma" w:hAnsi="Tahoma" w:cs="Tahoma"/>
          <w:sz w:val="20"/>
          <w:szCs w:val="20"/>
        </w:rPr>
        <w:t>Satisfaire</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critères</w:t>
      </w:r>
      <w:r w:rsidR="00DB1635" w:rsidRPr="00B004EE">
        <w:rPr>
          <w:rFonts w:ascii="Tahoma" w:hAnsi="Tahoma" w:cs="Tahoma"/>
          <w:sz w:val="20"/>
          <w:szCs w:val="20"/>
        </w:rPr>
        <w:t xml:space="preserve"> </w:t>
      </w:r>
      <w:r w:rsidRPr="00B004EE">
        <w:rPr>
          <w:rFonts w:ascii="Tahoma" w:hAnsi="Tahoma" w:cs="Tahoma"/>
          <w:sz w:val="20"/>
          <w:szCs w:val="20"/>
        </w:rPr>
        <w:t>généraux</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fonctionnement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laboratoires</w:t>
      </w:r>
      <w:r w:rsidR="00DB1635" w:rsidRPr="00B004EE">
        <w:rPr>
          <w:rFonts w:ascii="Tahoma" w:hAnsi="Tahoma" w:cs="Tahoma"/>
          <w:sz w:val="20"/>
          <w:szCs w:val="20"/>
        </w:rPr>
        <w:t xml:space="preserve"> </w:t>
      </w:r>
      <w:r w:rsidRPr="00B004EE">
        <w:rPr>
          <w:rFonts w:ascii="Tahoma" w:hAnsi="Tahoma" w:cs="Tahoma"/>
          <w:sz w:val="20"/>
          <w:szCs w:val="20"/>
        </w:rPr>
        <w:t>d’essais</w:t>
      </w:r>
      <w:r w:rsidR="00DB1635" w:rsidRPr="00B004EE">
        <w:rPr>
          <w:rFonts w:ascii="Tahoma" w:hAnsi="Tahoma" w:cs="Tahoma"/>
          <w:sz w:val="20"/>
          <w:szCs w:val="20"/>
        </w:rPr>
        <w:t xml:space="preserve"> </w:t>
      </w:r>
      <w:r w:rsidRPr="00B004EE">
        <w:rPr>
          <w:rFonts w:ascii="Tahoma" w:hAnsi="Tahoma" w:cs="Tahoma"/>
          <w:sz w:val="20"/>
          <w:szCs w:val="20"/>
        </w:rPr>
        <w:t>énoncés</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normes</w:t>
      </w:r>
      <w:r w:rsidR="00DB1635" w:rsidRPr="00B004EE">
        <w:rPr>
          <w:rFonts w:ascii="Tahoma" w:hAnsi="Tahoma" w:cs="Tahoma"/>
          <w:sz w:val="20"/>
          <w:szCs w:val="20"/>
        </w:rPr>
        <w:t xml:space="preserve"> </w:t>
      </w:r>
      <w:r w:rsidRPr="00B004EE">
        <w:rPr>
          <w:rFonts w:ascii="Tahoma" w:hAnsi="Tahoma" w:cs="Tahoma"/>
          <w:sz w:val="20"/>
          <w:szCs w:val="20"/>
        </w:rPr>
        <w:t>internationales</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vigueur</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se</w:t>
      </w:r>
      <w:r w:rsidR="00DB1635" w:rsidRPr="00B004EE">
        <w:rPr>
          <w:rFonts w:ascii="Tahoma" w:hAnsi="Tahoma" w:cs="Tahoma"/>
          <w:sz w:val="20"/>
          <w:szCs w:val="20"/>
        </w:rPr>
        <w:t xml:space="preserve"> </w:t>
      </w:r>
      <w:r w:rsidRPr="00B004EE">
        <w:rPr>
          <w:rFonts w:ascii="Tahoma" w:hAnsi="Tahoma" w:cs="Tahoma"/>
          <w:sz w:val="20"/>
          <w:szCs w:val="20"/>
        </w:rPr>
        <w:t>faire</w:t>
      </w:r>
      <w:r w:rsidR="00DB1635" w:rsidRPr="00B004EE">
        <w:rPr>
          <w:rFonts w:ascii="Tahoma" w:hAnsi="Tahoma" w:cs="Tahoma"/>
          <w:sz w:val="20"/>
          <w:szCs w:val="20"/>
        </w:rPr>
        <w:t xml:space="preserve"> </w:t>
      </w:r>
      <w:r w:rsidRPr="00B004EE">
        <w:rPr>
          <w:rFonts w:ascii="Tahoma" w:hAnsi="Tahoma" w:cs="Tahoma"/>
          <w:sz w:val="20"/>
          <w:szCs w:val="20"/>
        </w:rPr>
        <w:t>accréditer</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domaine</w:t>
      </w:r>
      <w:r w:rsidR="00DB1635" w:rsidRPr="00B004EE">
        <w:rPr>
          <w:rFonts w:ascii="Tahoma" w:hAnsi="Tahoma" w:cs="Tahoma"/>
          <w:sz w:val="20"/>
          <w:szCs w:val="20"/>
        </w:rPr>
        <w:t xml:space="preserve"> </w:t>
      </w:r>
      <w:r w:rsidRPr="00B004EE">
        <w:rPr>
          <w:rFonts w:ascii="Tahoma" w:hAnsi="Tahoma" w:cs="Tahoma"/>
          <w:sz w:val="20"/>
          <w:szCs w:val="20"/>
        </w:rPr>
        <w:t>correspondant</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ses</w:t>
      </w:r>
      <w:r w:rsidR="00DB1635" w:rsidRPr="00B004EE">
        <w:rPr>
          <w:rFonts w:ascii="Tahoma" w:hAnsi="Tahoma" w:cs="Tahoma"/>
          <w:sz w:val="20"/>
          <w:szCs w:val="20"/>
        </w:rPr>
        <w:t xml:space="preserve"> </w:t>
      </w:r>
      <w:r w:rsidRPr="00B004EE">
        <w:rPr>
          <w:rFonts w:ascii="Tahoma" w:hAnsi="Tahoma" w:cs="Tahoma"/>
          <w:sz w:val="20"/>
          <w:szCs w:val="20"/>
        </w:rPr>
        <w:t>missions</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organisme</w:t>
      </w:r>
      <w:r w:rsidR="00DB1635" w:rsidRPr="00B004EE">
        <w:rPr>
          <w:rFonts w:ascii="Tahoma" w:hAnsi="Tahoma" w:cs="Tahoma"/>
          <w:sz w:val="20"/>
          <w:szCs w:val="20"/>
        </w:rPr>
        <w:t xml:space="preserve"> </w:t>
      </w:r>
      <w:r w:rsidRPr="00B004EE">
        <w:rPr>
          <w:rFonts w:ascii="Tahoma" w:hAnsi="Tahoma" w:cs="Tahoma"/>
          <w:sz w:val="20"/>
          <w:szCs w:val="20"/>
        </w:rPr>
        <w:t>d’accréditation</w:t>
      </w:r>
      <w:r w:rsidR="00DB1635" w:rsidRPr="00B004EE">
        <w:rPr>
          <w:rFonts w:ascii="Tahoma" w:hAnsi="Tahoma" w:cs="Tahoma"/>
          <w:sz w:val="20"/>
          <w:szCs w:val="20"/>
        </w:rPr>
        <w:t xml:space="preserve"> </w:t>
      </w:r>
      <w:r w:rsidRPr="00B004EE">
        <w:rPr>
          <w:rFonts w:ascii="Tahoma" w:hAnsi="Tahoma" w:cs="Tahoma"/>
          <w:sz w:val="20"/>
          <w:szCs w:val="20"/>
        </w:rPr>
        <w:t>reconnu</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niveau</w:t>
      </w:r>
      <w:r w:rsidR="00DB1635" w:rsidRPr="00B004EE">
        <w:rPr>
          <w:rFonts w:ascii="Tahoma" w:hAnsi="Tahoma" w:cs="Tahoma"/>
          <w:sz w:val="20"/>
          <w:szCs w:val="20"/>
        </w:rPr>
        <w:t xml:space="preserve"> </w:t>
      </w:r>
      <w:r w:rsidRPr="00B004EE">
        <w:rPr>
          <w:rFonts w:ascii="Tahoma" w:hAnsi="Tahoma" w:cs="Tahoma"/>
          <w:sz w:val="20"/>
          <w:szCs w:val="20"/>
        </w:rPr>
        <w:t>international.</w:t>
      </w:r>
    </w:p>
    <w:p w14:paraId="22513558" w14:textId="77777777" w:rsidR="002F24E1" w:rsidRPr="00B004EE" w:rsidRDefault="002F24E1" w:rsidP="00B004EE">
      <w:pPr>
        <w:autoSpaceDE w:val="0"/>
        <w:autoSpaceDN w:val="0"/>
        <w:adjustRightInd w:val="0"/>
        <w:jc w:val="both"/>
        <w:rPr>
          <w:rFonts w:ascii="Tahoma" w:hAnsi="Tahoma" w:cs="Tahoma"/>
          <w:sz w:val="20"/>
          <w:szCs w:val="20"/>
        </w:rPr>
      </w:pPr>
    </w:p>
    <w:p w14:paraId="20783DEC" w14:textId="433A9376" w:rsidR="002F24E1" w:rsidRPr="00B004EE" w:rsidRDefault="002F24E1" w:rsidP="00B004EE">
      <w:pPr>
        <w:autoSpaceDE w:val="0"/>
        <w:autoSpaceDN w:val="0"/>
        <w:adjustRightInd w:val="0"/>
        <w:jc w:val="both"/>
        <w:rPr>
          <w:rFonts w:ascii="Tahoma" w:hAnsi="Tahoma" w:cs="Tahoma"/>
          <w:sz w:val="20"/>
          <w:szCs w:val="20"/>
        </w:rPr>
      </w:pPr>
      <w:r w:rsidRPr="00B004EE">
        <w:rPr>
          <w:rFonts w:ascii="Tahoma" w:hAnsi="Tahoma" w:cs="Tahoma"/>
          <w:bCs/>
          <w:sz w:val="20"/>
          <w:szCs w:val="20"/>
        </w:rPr>
        <w:lastRenderedPageBreak/>
        <w:t>Article</w:t>
      </w:r>
      <w:r w:rsidR="00DB1635" w:rsidRPr="00B004EE">
        <w:rPr>
          <w:rFonts w:ascii="Tahoma" w:hAnsi="Tahoma" w:cs="Tahoma"/>
          <w:bCs/>
          <w:sz w:val="20"/>
          <w:szCs w:val="20"/>
        </w:rPr>
        <w:t xml:space="preserve"> </w:t>
      </w:r>
      <w:r w:rsidRPr="00B004EE">
        <w:rPr>
          <w:rFonts w:ascii="Tahoma" w:hAnsi="Tahoma" w:cs="Tahoma"/>
          <w:bCs/>
          <w:sz w:val="20"/>
          <w:szCs w:val="20"/>
        </w:rPr>
        <w:t>4.</w:t>
      </w:r>
      <w:r w:rsidR="00DB1635" w:rsidRPr="00B004EE">
        <w:rPr>
          <w:rFonts w:ascii="Tahoma" w:hAnsi="Tahoma" w:cs="Tahoma"/>
          <w:i/>
          <w:iCs/>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laboratoire</w:t>
      </w:r>
      <w:r w:rsidR="00DB1635" w:rsidRPr="00B004EE">
        <w:rPr>
          <w:rFonts w:ascii="Tahoma" w:hAnsi="Tahoma" w:cs="Tahoma"/>
          <w:sz w:val="20"/>
          <w:szCs w:val="20"/>
        </w:rPr>
        <w:t xml:space="preserve"> </w:t>
      </w:r>
      <w:r w:rsidRPr="00B004EE">
        <w:rPr>
          <w:rFonts w:ascii="Tahoma" w:hAnsi="Tahoma" w:cs="Tahoma"/>
          <w:sz w:val="20"/>
          <w:szCs w:val="20"/>
        </w:rPr>
        <w:t>national</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référence</w:t>
      </w:r>
      <w:r w:rsidR="00DB1635" w:rsidRPr="00B004EE">
        <w:rPr>
          <w:rFonts w:ascii="Tahoma" w:hAnsi="Tahoma" w:cs="Tahoma"/>
          <w:sz w:val="20"/>
          <w:szCs w:val="20"/>
        </w:rPr>
        <w:t xml:space="preserve"> </w:t>
      </w:r>
      <w:r w:rsidRPr="00B004EE">
        <w:rPr>
          <w:rFonts w:ascii="Tahoma" w:hAnsi="Tahoma" w:cs="Tahoma"/>
          <w:sz w:val="20"/>
          <w:szCs w:val="20"/>
        </w:rPr>
        <w:t>dispose</w:t>
      </w:r>
      <w:r w:rsidR="00DB1635" w:rsidRPr="00B004EE">
        <w:rPr>
          <w:rFonts w:ascii="Tahoma" w:hAnsi="Tahoma" w:cs="Tahoma"/>
          <w:sz w:val="20"/>
          <w:szCs w:val="20"/>
        </w:rPr>
        <w:t xml:space="preserve"> </w:t>
      </w:r>
      <w:r w:rsidRPr="00B004EE">
        <w:rPr>
          <w:rFonts w:ascii="Tahoma" w:hAnsi="Tahoma" w:cs="Tahoma"/>
          <w:sz w:val="20"/>
          <w:szCs w:val="20"/>
        </w:rPr>
        <w:t>d’un</w:t>
      </w:r>
      <w:r w:rsidR="00DB1635" w:rsidRPr="00B004EE">
        <w:rPr>
          <w:rFonts w:ascii="Tahoma" w:hAnsi="Tahoma" w:cs="Tahoma"/>
          <w:sz w:val="20"/>
          <w:szCs w:val="20"/>
        </w:rPr>
        <w:t xml:space="preserve"> </w:t>
      </w:r>
      <w:r w:rsidRPr="00B004EE">
        <w:rPr>
          <w:rFonts w:ascii="Tahoma" w:hAnsi="Tahoma" w:cs="Tahoma"/>
          <w:sz w:val="20"/>
          <w:szCs w:val="20"/>
        </w:rPr>
        <w:t>délai</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vingt-quatre</w:t>
      </w:r>
      <w:r w:rsidR="00DB1635" w:rsidRPr="00B004EE">
        <w:rPr>
          <w:rFonts w:ascii="Tahoma" w:hAnsi="Tahoma" w:cs="Tahoma"/>
          <w:sz w:val="20"/>
          <w:szCs w:val="20"/>
        </w:rPr>
        <w:t xml:space="preserve"> </w:t>
      </w:r>
      <w:r w:rsidRPr="00B004EE">
        <w:rPr>
          <w:rFonts w:ascii="Tahoma" w:hAnsi="Tahoma" w:cs="Tahoma"/>
          <w:sz w:val="20"/>
          <w:szCs w:val="20"/>
        </w:rPr>
        <w:t>mois,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partir</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date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publication</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présent</w:t>
      </w:r>
      <w:r w:rsidR="00DB1635" w:rsidRPr="00B004EE">
        <w:rPr>
          <w:rFonts w:ascii="Tahoma" w:hAnsi="Tahoma" w:cs="Tahoma"/>
          <w:sz w:val="20"/>
          <w:szCs w:val="20"/>
        </w:rPr>
        <w:t xml:space="preserve"> </w:t>
      </w:r>
      <w:r w:rsidRPr="00B004EE">
        <w:rPr>
          <w:rFonts w:ascii="Tahoma" w:hAnsi="Tahoma" w:cs="Tahoma"/>
          <w:sz w:val="20"/>
          <w:szCs w:val="20"/>
        </w:rPr>
        <w:t>arrêté,</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obtenir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accréditations</w:t>
      </w:r>
      <w:r w:rsidR="00DB1635" w:rsidRPr="00B004EE">
        <w:rPr>
          <w:rFonts w:ascii="Tahoma" w:hAnsi="Tahoma" w:cs="Tahoma"/>
          <w:sz w:val="20"/>
          <w:szCs w:val="20"/>
        </w:rPr>
        <w:t xml:space="preserve"> </w:t>
      </w:r>
      <w:r w:rsidRPr="00B004EE">
        <w:rPr>
          <w:rFonts w:ascii="Tahoma" w:hAnsi="Tahoma" w:cs="Tahoma"/>
          <w:sz w:val="20"/>
          <w:szCs w:val="20"/>
        </w:rPr>
        <w:t>nécessaires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l’exercice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ses</w:t>
      </w:r>
      <w:r w:rsidR="00DB1635" w:rsidRPr="00B004EE">
        <w:rPr>
          <w:rFonts w:ascii="Tahoma" w:hAnsi="Tahoma" w:cs="Tahoma"/>
          <w:sz w:val="20"/>
          <w:szCs w:val="20"/>
        </w:rPr>
        <w:t xml:space="preserve"> </w:t>
      </w:r>
      <w:r w:rsidRPr="00B004EE">
        <w:rPr>
          <w:rFonts w:ascii="Tahoma" w:hAnsi="Tahoma" w:cs="Tahoma"/>
          <w:sz w:val="20"/>
          <w:szCs w:val="20"/>
        </w:rPr>
        <w:t>missions.</w:t>
      </w:r>
    </w:p>
    <w:p w14:paraId="3FEC4F1E" w14:textId="77777777" w:rsidR="002F24E1" w:rsidRPr="00B004EE" w:rsidRDefault="002F24E1" w:rsidP="00B004EE">
      <w:pPr>
        <w:autoSpaceDE w:val="0"/>
        <w:autoSpaceDN w:val="0"/>
        <w:adjustRightInd w:val="0"/>
        <w:jc w:val="both"/>
        <w:rPr>
          <w:rFonts w:ascii="Tahoma" w:hAnsi="Tahoma" w:cs="Tahoma"/>
          <w:sz w:val="20"/>
          <w:szCs w:val="20"/>
        </w:rPr>
      </w:pPr>
    </w:p>
    <w:p w14:paraId="67A3F734" w14:textId="6C9F7AF9" w:rsidR="002F24E1" w:rsidRPr="00B004EE" w:rsidRDefault="002F24E1" w:rsidP="00B004EE">
      <w:pPr>
        <w:autoSpaceDE w:val="0"/>
        <w:autoSpaceDN w:val="0"/>
        <w:adjustRightInd w:val="0"/>
        <w:jc w:val="both"/>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5.</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laboratoire</w:t>
      </w:r>
      <w:r w:rsidR="00DB1635" w:rsidRPr="00B004EE">
        <w:rPr>
          <w:rFonts w:ascii="Tahoma" w:hAnsi="Tahoma" w:cs="Tahoma"/>
          <w:sz w:val="20"/>
          <w:szCs w:val="20"/>
        </w:rPr>
        <w:t xml:space="preserve"> </w:t>
      </w:r>
      <w:r w:rsidRPr="00B004EE">
        <w:rPr>
          <w:rFonts w:ascii="Tahoma" w:hAnsi="Tahoma" w:cs="Tahoma"/>
          <w:sz w:val="20"/>
          <w:szCs w:val="20"/>
        </w:rPr>
        <w:t>national</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référence</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chargé,</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son</w:t>
      </w:r>
      <w:r w:rsidR="00DB1635" w:rsidRPr="00B004EE">
        <w:rPr>
          <w:rFonts w:ascii="Tahoma" w:hAnsi="Tahoma" w:cs="Tahoma"/>
          <w:sz w:val="20"/>
          <w:szCs w:val="20"/>
        </w:rPr>
        <w:t xml:space="preserve"> </w:t>
      </w:r>
      <w:r w:rsidRPr="00B004EE">
        <w:rPr>
          <w:rFonts w:ascii="Tahoma" w:hAnsi="Tahoma" w:cs="Tahoma"/>
          <w:sz w:val="20"/>
          <w:szCs w:val="20"/>
        </w:rPr>
        <w:t>domaine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compétence</w:t>
      </w:r>
      <w:r w:rsidR="00DB1635" w:rsidRPr="00B004EE">
        <w:rPr>
          <w:rFonts w:ascii="Tahoma" w:hAnsi="Tahoma" w:cs="Tahoma"/>
          <w:sz w:val="20"/>
          <w:szCs w:val="20"/>
        </w:rPr>
        <w:t xml:space="preserve"> </w:t>
      </w:r>
      <w:r w:rsidRPr="00B004EE">
        <w:rPr>
          <w:rFonts w:ascii="Tahoma" w:hAnsi="Tahoma" w:cs="Tahoma"/>
          <w:sz w:val="20"/>
          <w:szCs w:val="20"/>
        </w:rPr>
        <w:t>:</w:t>
      </w:r>
    </w:p>
    <w:p w14:paraId="184F86C5" w14:textId="77777777" w:rsidR="002F24E1" w:rsidRPr="00B004EE" w:rsidRDefault="002F24E1" w:rsidP="00B004EE">
      <w:pPr>
        <w:autoSpaceDE w:val="0"/>
        <w:autoSpaceDN w:val="0"/>
        <w:adjustRightInd w:val="0"/>
        <w:jc w:val="both"/>
        <w:rPr>
          <w:rFonts w:ascii="Tahoma" w:hAnsi="Tahoma" w:cs="Tahoma"/>
          <w:sz w:val="20"/>
          <w:szCs w:val="20"/>
        </w:rPr>
      </w:pPr>
    </w:p>
    <w:p w14:paraId="3DF1F73A" w14:textId="6F692BF1" w:rsidR="002F24E1" w:rsidRPr="00B004EE" w:rsidRDefault="002F24E1" w:rsidP="00B004EE">
      <w:pPr>
        <w:autoSpaceDE w:val="0"/>
        <w:autoSpaceDN w:val="0"/>
        <w:adjustRightInd w:val="0"/>
        <w:ind w:left="284" w:hanging="284"/>
        <w:jc w:val="both"/>
        <w:rPr>
          <w:rFonts w:ascii="Tahoma" w:hAnsi="Tahoma" w:cs="Tahoma"/>
          <w:sz w:val="20"/>
          <w:szCs w:val="20"/>
        </w:rPr>
      </w:pPr>
      <w:r w:rsidRPr="00B004EE">
        <w:rPr>
          <w:rFonts w:ascii="Tahoma" w:hAnsi="Tahoma" w:cs="Tahoma"/>
          <w:sz w:val="20"/>
          <w:szCs w:val="20"/>
        </w:rPr>
        <w:t>1.</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répondre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toute</w:t>
      </w:r>
      <w:r w:rsidR="00DB1635" w:rsidRPr="00B004EE">
        <w:rPr>
          <w:rFonts w:ascii="Tahoma" w:hAnsi="Tahoma" w:cs="Tahoma"/>
          <w:sz w:val="20"/>
          <w:szCs w:val="20"/>
        </w:rPr>
        <w:t xml:space="preserve"> </w:t>
      </w:r>
      <w:r w:rsidRPr="00B004EE">
        <w:rPr>
          <w:rFonts w:ascii="Tahoma" w:hAnsi="Tahoma" w:cs="Tahoma"/>
          <w:sz w:val="20"/>
          <w:szCs w:val="20"/>
        </w:rPr>
        <w:t>demande</w:t>
      </w:r>
      <w:r w:rsidR="00DB1635" w:rsidRPr="00B004EE">
        <w:rPr>
          <w:rFonts w:ascii="Tahoma" w:hAnsi="Tahoma" w:cs="Tahoma"/>
          <w:sz w:val="20"/>
          <w:szCs w:val="20"/>
        </w:rPr>
        <w:t xml:space="preserve"> </w:t>
      </w:r>
      <w:r w:rsidRPr="00B004EE">
        <w:rPr>
          <w:rFonts w:ascii="Tahoma" w:hAnsi="Tahoma" w:cs="Tahoma"/>
          <w:sz w:val="20"/>
          <w:szCs w:val="20"/>
        </w:rPr>
        <w:t>d’expertise</w:t>
      </w:r>
      <w:r w:rsidR="00DB1635" w:rsidRPr="00B004EE">
        <w:rPr>
          <w:rFonts w:ascii="Tahoma" w:hAnsi="Tahoma" w:cs="Tahoma"/>
          <w:sz w:val="20"/>
          <w:szCs w:val="20"/>
        </w:rPr>
        <w:t xml:space="preserve"> </w:t>
      </w:r>
      <w:r w:rsidRPr="00B004EE">
        <w:rPr>
          <w:rFonts w:ascii="Tahoma" w:hAnsi="Tahoma" w:cs="Tahoma"/>
          <w:sz w:val="20"/>
          <w:szCs w:val="20"/>
        </w:rPr>
        <w:t>scientifique</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technique</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ministère</w:t>
      </w:r>
      <w:r w:rsidR="00DB1635" w:rsidRPr="00B004EE">
        <w:rPr>
          <w:rFonts w:ascii="Tahoma" w:hAnsi="Tahoma" w:cs="Tahoma"/>
          <w:sz w:val="20"/>
          <w:szCs w:val="20"/>
        </w:rPr>
        <w:t xml:space="preserve"> </w:t>
      </w:r>
      <w:r w:rsidRPr="00B004EE">
        <w:rPr>
          <w:rFonts w:ascii="Tahoma" w:hAnsi="Tahoma" w:cs="Tahoma"/>
          <w:sz w:val="20"/>
          <w:szCs w:val="20"/>
        </w:rPr>
        <w:t>chargé</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autres</w:t>
      </w:r>
      <w:r w:rsidR="00DB1635" w:rsidRPr="00B004EE">
        <w:rPr>
          <w:rFonts w:ascii="Tahoma" w:hAnsi="Tahoma" w:cs="Tahoma"/>
          <w:sz w:val="20"/>
          <w:szCs w:val="20"/>
        </w:rPr>
        <w:t xml:space="preserve"> </w:t>
      </w:r>
      <w:r w:rsidRPr="00B004EE">
        <w:rPr>
          <w:rFonts w:ascii="Tahoma" w:hAnsi="Tahoma" w:cs="Tahoma"/>
          <w:sz w:val="20"/>
          <w:szCs w:val="20"/>
        </w:rPr>
        <w:t>ministères</w:t>
      </w:r>
      <w:r w:rsidR="00DB1635" w:rsidRPr="00B004EE">
        <w:rPr>
          <w:rFonts w:ascii="Tahoma" w:hAnsi="Tahoma" w:cs="Tahoma"/>
          <w:sz w:val="20"/>
          <w:szCs w:val="20"/>
        </w:rPr>
        <w:t xml:space="preserve"> </w:t>
      </w:r>
      <w:r w:rsidRPr="00B004EE">
        <w:rPr>
          <w:rFonts w:ascii="Tahoma" w:hAnsi="Tahoma" w:cs="Tahoma"/>
          <w:sz w:val="20"/>
          <w:szCs w:val="20"/>
        </w:rPr>
        <w:t>intéressés,</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ses</w:t>
      </w:r>
      <w:r w:rsidR="00DB1635" w:rsidRPr="00B004EE">
        <w:rPr>
          <w:rFonts w:ascii="Tahoma" w:hAnsi="Tahoma" w:cs="Tahoma"/>
          <w:sz w:val="20"/>
          <w:szCs w:val="20"/>
        </w:rPr>
        <w:t xml:space="preserve"> </w:t>
      </w:r>
      <w:r w:rsidRPr="00B004EE">
        <w:rPr>
          <w:rFonts w:ascii="Tahoma" w:hAnsi="Tahoma" w:cs="Tahoma"/>
          <w:sz w:val="20"/>
          <w:szCs w:val="20"/>
        </w:rPr>
        <w:t>délégataires</w:t>
      </w:r>
      <w:r w:rsidR="00DB1635" w:rsidRPr="00B004EE">
        <w:rPr>
          <w:rFonts w:ascii="Tahoma" w:hAnsi="Tahoma" w:cs="Tahoma"/>
          <w:sz w:val="20"/>
          <w:szCs w:val="20"/>
        </w:rPr>
        <w:t xml:space="preserve"> </w:t>
      </w:r>
      <w:r w:rsidRPr="00B004EE">
        <w:rPr>
          <w:rFonts w:ascii="Tahoma" w:hAnsi="Tahoma" w:cs="Tahoma"/>
          <w:sz w:val="20"/>
          <w:szCs w:val="20"/>
        </w:rPr>
        <w:t>;</w:t>
      </w:r>
    </w:p>
    <w:p w14:paraId="06A646BD" w14:textId="1D6E467F" w:rsidR="002F24E1" w:rsidRPr="00B004EE" w:rsidRDefault="002F24E1" w:rsidP="00B004EE">
      <w:pPr>
        <w:autoSpaceDE w:val="0"/>
        <w:autoSpaceDN w:val="0"/>
        <w:adjustRightInd w:val="0"/>
        <w:ind w:left="284" w:hanging="284"/>
        <w:jc w:val="both"/>
        <w:rPr>
          <w:rFonts w:ascii="Tahoma" w:hAnsi="Tahoma" w:cs="Tahoma"/>
          <w:sz w:val="20"/>
          <w:szCs w:val="20"/>
        </w:rPr>
      </w:pPr>
      <w:r w:rsidRPr="00B004EE">
        <w:rPr>
          <w:rFonts w:ascii="Tahoma" w:hAnsi="Tahoma" w:cs="Tahoma"/>
          <w:sz w:val="20"/>
          <w:szCs w:val="20"/>
        </w:rPr>
        <w:t>2.</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réalisation</w:t>
      </w:r>
      <w:r w:rsidR="00DB1635" w:rsidRPr="00B004EE">
        <w:rPr>
          <w:rFonts w:ascii="Tahoma" w:hAnsi="Tahoma" w:cs="Tahoma"/>
          <w:sz w:val="20"/>
          <w:szCs w:val="20"/>
        </w:rPr>
        <w:t xml:space="preserve"> </w:t>
      </w:r>
      <w:r w:rsidRPr="00B004EE">
        <w:rPr>
          <w:rFonts w:ascii="Tahoma" w:hAnsi="Tahoma" w:cs="Tahoma"/>
          <w:sz w:val="20"/>
          <w:szCs w:val="20"/>
        </w:rPr>
        <w:t>d’analyses</w:t>
      </w:r>
      <w:r w:rsidR="00DB1635" w:rsidRPr="00B004EE">
        <w:rPr>
          <w:rFonts w:ascii="Tahoma" w:hAnsi="Tahoma" w:cs="Tahoma"/>
          <w:sz w:val="20"/>
          <w:szCs w:val="20"/>
        </w:rPr>
        <w:t xml:space="preserve"> </w:t>
      </w:r>
      <w:r w:rsidRPr="00B004EE">
        <w:rPr>
          <w:rFonts w:ascii="Tahoma" w:hAnsi="Tahoma" w:cs="Tahoma"/>
          <w:sz w:val="20"/>
          <w:szCs w:val="20"/>
        </w:rPr>
        <w:t>officielles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notamment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confirmation</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résultats</w:t>
      </w:r>
      <w:r w:rsidR="00DB1635" w:rsidRPr="00B004EE">
        <w:rPr>
          <w:rFonts w:ascii="Tahoma" w:hAnsi="Tahoma" w:cs="Tahoma"/>
          <w:sz w:val="20"/>
          <w:szCs w:val="20"/>
        </w:rPr>
        <w:t xml:space="preserve"> </w:t>
      </w:r>
      <w:r w:rsidRPr="00B004EE">
        <w:rPr>
          <w:rFonts w:ascii="Tahoma" w:hAnsi="Tahoma" w:cs="Tahoma"/>
          <w:sz w:val="20"/>
          <w:szCs w:val="20"/>
        </w:rPr>
        <w:t>d’analyses</w:t>
      </w:r>
      <w:r w:rsidR="00DB1635" w:rsidRPr="00B004EE">
        <w:rPr>
          <w:rFonts w:ascii="Tahoma" w:hAnsi="Tahoma" w:cs="Tahoma"/>
          <w:sz w:val="20"/>
          <w:szCs w:val="20"/>
        </w:rPr>
        <w:t xml:space="preserve"> </w:t>
      </w:r>
      <w:r w:rsidRPr="00B004EE">
        <w:rPr>
          <w:rFonts w:ascii="Tahoma" w:hAnsi="Tahoma" w:cs="Tahoma"/>
          <w:sz w:val="20"/>
          <w:szCs w:val="20"/>
        </w:rPr>
        <w:t>réalisées</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laboratoires</w:t>
      </w:r>
      <w:r w:rsidR="00DB1635" w:rsidRPr="00B004EE">
        <w:rPr>
          <w:rFonts w:ascii="Tahoma" w:hAnsi="Tahoma" w:cs="Tahoma"/>
          <w:sz w:val="20"/>
          <w:szCs w:val="20"/>
        </w:rPr>
        <w:t xml:space="preserve"> </w:t>
      </w:r>
      <w:r w:rsidRPr="00B004EE">
        <w:rPr>
          <w:rFonts w:ascii="Tahoma" w:hAnsi="Tahoma" w:cs="Tahoma"/>
          <w:sz w:val="20"/>
          <w:szCs w:val="20"/>
        </w:rPr>
        <w:t>agréés</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reconnus</w:t>
      </w:r>
      <w:r w:rsidR="00DB1635" w:rsidRPr="00B004EE">
        <w:rPr>
          <w:rFonts w:ascii="Tahoma" w:hAnsi="Tahoma" w:cs="Tahoma"/>
          <w:sz w:val="20"/>
          <w:szCs w:val="20"/>
        </w:rPr>
        <w:t xml:space="preserve"> </w:t>
      </w:r>
      <w:r w:rsidRPr="00B004EE">
        <w:rPr>
          <w:rFonts w:ascii="Tahoma" w:hAnsi="Tahoma" w:cs="Tahoma"/>
          <w:sz w:val="20"/>
          <w:szCs w:val="20"/>
        </w:rPr>
        <w:t>;</w:t>
      </w:r>
    </w:p>
    <w:p w14:paraId="42DC029D" w14:textId="7A672B73" w:rsidR="002F24E1" w:rsidRPr="00B004EE" w:rsidRDefault="002F24E1" w:rsidP="00B004EE">
      <w:pPr>
        <w:autoSpaceDE w:val="0"/>
        <w:autoSpaceDN w:val="0"/>
        <w:adjustRightInd w:val="0"/>
        <w:ind w:left="284" w:hanging="284"/>
        <w:jc w:val="both"/>
        <w:rPr>
          <w:rFonts w:ascii="Tahoma" w:hAnsi="Tahoma" w:cs="Tahoma"/>
          <w:sz w:val="20"/>
          <w:szCs w:val="20"/>
        </w:rPr>
      </w:pPr>
      <w:r w:rsidRPr="00B004EE">
        <w:rPr>
          <w:rFonts w:ascii="Tahoma" w:hAnsi="Tahoma" w:cs="Tahoma"/>
          <w:sz w:val="20"/>
          <w:szCs w:val="20"/>
        </w:rPr>
        <w:t>3.</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cas</w:t>
      </w:r>
      <w:r w:rsidR="00DB1635" w:rsidRPr="00B004EE">
        <w:rPr>
          <w:rFonts w:ascii="Tahoma" w:hAnsi="Tahoma" w:cs="Tahoma"/>
          <w:sz w:val="20"/>
          <w:szCs w:val="20"/>
        </w:rPr>
        <w:t xml:space="preserve"> </w:t>
      </w:r>
      <w:r w:rsidRPr="00B004EE">
        <w:rPr>
          <w:rFonts w:ascii="Tahoma" w:hAnsi="Tahoma" w:cs="Tahoma"/>
          <w:sz w:val="20"/>
          <w:szCs w:val="20"/>
        </w:rPr>
        <w:t>échéant,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l’animation</w:t>
      </w:r>
      <w:r w:rsidR="00DB1635" w:rsidRPr="00B004EE">
        <w:rPr>
          <w:rFonts w:ascii="Tahoma" w:hAnsi="Tahoma" w:cs="Tahoma"/>
          <w:sz w:val="20"/>
          <w:szCs w:val="20"/>
        </w:rPr>
        <w:t xml:space="preserve"> </w:t>
      </w:r>
      <w:r w:rsidRPr="00B004EE">
        <w:rPr>
          <w:rFonts w:ascii="Tahoma" w:hAnsi="Tahoma" w:cs="Tahoma"/>
          <w:sz w:val="20"/>
          <w:szCs w:val="20"/>
        </w:rPr>
        <w:t>technique</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réseau</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laboratoires</w:t>
      </w:r>
      <w:r w:rsidR="00DB1635" w:rsidRPr="00B004EE">
        <w:rPr>
          <w:rFonts w:ascii="Tahoma" w:hAnsi="Tahoma" w:cs="Tahoma"/>
          <w:sz w:val="20"/>
          <w:szCs w:val="20"/>
        </w:rPr>
        <w:t xml:space="preserve"> </w:t>
      </w:r>
      <w:r w:rsidRPr="00B004EE">
        <w:rPr>
          <w:rFonts w:ascii="Tahoma" w:hAnsi="Tahoma" w:cs="Tahoma"/>
          <w:sz w:val="20"/>
          <w:szCs w:val="20"/>
        </w:rPr>
        <w:t>agréés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reconnus</w:t>
      </w:r>
      <w:r w:rsidR="00DB1635" w:rsidRPr="00B004EE">
        <w:rPr>
          <w:rFonts w:ascii="Tahoma" w:hAnsi="Tahoma" w:cs="Tahoma"/>
          <w:sz w:val="20"/>
          <w:szCs w:val="20"/>
        </w:rPr>
        <w:t xml:space="preserve"> </w:t>
      </w:r>
      <w:r w:rsidRPr="00B004EE">
        <w:rPr>
          <w:rFonts w:ascii="Tahoma" w:hAnsi="Tahoma" w:cs="Tahoma"/>
          <w:sz w:val="20"/>
          <w:szCs w:val="20"/>
        </w:rPr>
        <w:t>concernant</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mise</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00FF77A5" w:rsidRPr="00B004EE">
        <w:rPr>
          <w:rFonts w:ascii="Tahoma" w:hAnsi="Tahoma" w:cs="Tahoma"/>
          <w:sz w:val="20"/>
          <w:szCs w:val="20"/>
        </w:rPr>
        <w:t xml:space="preserve">œuvre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méthodes</w:t>
      </w:r>
      <w:r w:rsidR="00DB1635" w:rsidRPr="00B004EE">
        <w:rPr>
          <w:rFonts w:ascii="Tahoma" w:hAnsi="Tahoma" w:cs="Tahoma"/>
          <w:sz w:val="20"/>
          <w:szCs w:val="20"/>
        </w:rPr>
        <w:t xml:space="preserve"> </w:t>
      </w:r>
      <w:r w:rsidRPr="00B004EE">
        <w:rPr>
          <w:rFonts w:ascii="Tahoma" w:hAnsi="Tahoma" w:cs="Tahoma"/>
          <w:sz w:val="20"/>
          <w:szCs w:val="20"/>
        </w:rPr>
        <w:t>d’analyse</w:t>
      </w:r>
      <w:r w:rsidR="00DB1635" w:rsidRPr="00B004EE">
        <w:rPr>
          <w:rFonts w:ascii="Tahoma" w:hAnsi="Tahoma" w:cs="Tahoma"/>
          <w:sz w:val="20"/>
          <w:szCs w:val="20"/>
        </w:rPr>
        <w:t xml:space="preserve"> </w:t>
      </w:r>
      <w:r w:rsidRPr="00B004EE">
        <w:rPr>
          <w:rFonts w:ascii="Tahoma" w:hAnsi="Tahoma" w:cs="Tahoma"/>
          <w:sz w:val="20"/>
          <w:szCs w:val="20"/>
        </w:rPr>
        <w:t>;</w:t>
      </w:r>
    </w:p>
    <w:p w14:paraId="46BD61FB" w14:textId="1AC84526" w:rsidR="002F24E1" w:rsidRPr="00B004EE" w:rsidRDefault="002F24E1" w:rsidP="00B004EE">
      <w:pPr>
        <w:autoSpaceDE w:val="0"/>
        <w:autoSpaceDN w:val="0"/>
        <w:adjustRightInd w:val="0"/>
        <w:ind w:left="284" w:hanging="284"/>
        <w:jc w:val="both"/>
        <w:rPr>
          <w:rFonts w:ascii="Tahoma" w:hAnsi="Tahoma" w:cs="Tahoma"/>
          <w:sz w:val="20"/>
          <w:szCs w:val="20"/>
        </w:rPr>
      </w:pPr>
      <w:r w:rsidRPr="00B004EE">
        <w:rPr>
          <w:rFonts w:ascii="Tahoma" w:hAnsi="Tahoma" w:cs="Tahoma"/>
          <w:sz w:val="20"/>
          <w:szCs w:val="20"/>
        </w:rPr>
        <w:t>4.</w:t>
      </w:r>
      <w:r w:rsidR="00DB1635" w:rsidRPr="00B004EE">
        <w:rPr>
          <w:rFonts w:ascii="Tahoma" w:hAnsi="Tahoma" w:cs="Tahoma"/>
          <w:sz w:val="20"/>
          <w:szCs w:val="20"/>
        </w:rPr>
        <w:t xml:space="preserve"> </w:t>
      </w:r>
      <w:r w:rsidRPr="00B004EE">
        <w:rPr>
          <w:rFonts w:ascii="Tahoma" w:hAnsi="Tahoma" w:cs="Tahoma"/>
          <w:sz w:val="20"/>
          <w:szCs w:val="20"/>
        </w:rPr>
        <w:t>D’assurer</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veille</w:t>
      </w:r>
      <w:r w:rsidR="00DB1635" w:rsidRPr="00B004EE">
        <w:rPr>
          <w:rFonts w:ascii="Tahoma" w:hAnsi="Tahoma" w:cs="Tahoma"/>
          <w:sz w:val="20"/>
          <w:szCs w:val="20"/>
        </w:rPr>
        <w:t xml:space="preserve"> </w:t>
      </w:r>
      <w:r w:rsidRPr="00B004EE">
        <w:rPr>
          <w:rFonts w:ascii="Tahoma" w:hAnsi="Tahoma" w:cs="Tahoma"/>
          <w:sz w:val="20"/>
          <w:szCs w:val="20"/>
        </w:rPr>
        <w:t>scientifique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technique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diffusion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informations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l’autorité</w:t>
      </w:r>
      <w:r w:rsidR="00DB1635" w:rsidRPr="00B004EE">
        <w:rPr>
          <w:rFonts w:ascii="Tahoma" w:hAnsi="Tahoma" w:cs="Tahoma"/>
          <w:sz w:val="20"/>
          <w:szCs w:val="20"/>
        </w:rPr>
        <w:t xml:space="preserve"> </w:t>
      </w:r>
      <w:r w:rsidRPr="00B004EE">
        <w:rPr>
          <w:rFonts w:ascii="Tahoma" w:hAnsi="Tahoma" w:cs="Tahoma"/>
          <w:sz w:val="20"/>
          <w:szCs w:val="20"/>
        </w:rPr>
        <w:t>compétente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réseau</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laboratoires</w:t>
      </w:r>
      <w:r w:rsidR="00DB1635" w:rsidRPr="00B004EE">
        <w:rPr>
          <w:rFonts w:ascii="Tahoma" w:hAnsi="Tahoma" w:cs="Tahoma"/>
          <w:sz w:val="20"/>
          <w:szCs w:val="20"/>
        </w:rPr>
        <w:t xml:space="preserve"> </w:t>
      </w:r>
      <w:r w:rsidRPr="00B004EE">
        <w:rPr>
          <w:rFonts w:ascii="Tahoma" w:hAnsi="Tahoma" w:cs="Tahoma"/>
          <w:sz w:val="20"/>
          <w:szCs w:val="20"/>
        </w:rPr>
        <w:t>agréés</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reconnus.</w:t>
      </w:r>
    </w:p>
    <w:p w14:paraId="6A64A9AE" w14:textId="77777777" w:rsidR="002F24E1" w:rsidRPr="00B004EE" w:rsidRDefault="002F24E1" w:rsidP="00B004EE">
      <w:pPr>
        <w:autoSpaceDE w:val="0"/>
        <w:autoSpaceDN w:val="0"/>
        <w:adjustRightInd w:val="0"/>
        <w:jc w:val="both"/>
        <w:rPr>
          <w:rFonts w:ascii="Tahoma" w:hAnsi="Tahoma" w:cs="Tahoma"/>
          <w:sz w:val="20"/>
          <w:szCs w:val="20"/>
        </w:rPr>
      </w:pPr>
    </w:p>
    <w:p w14:paraId="32CE6DB3" w14:textId="1A884A7D" w:rsidR="002F24E1" w:rsidRPr="00B004EE" w:rsidRDefault="002F24E1" w:rsidP="00B004EE">
      <w:pPr>
        <w:autoSpaceDE w:val="0"/>
        <w:autoSpaceDN w:val="0"/>
        <w:adjustRightInd w:val="0"/>
        <w:jc w:val="both"/>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6.</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laboratoire</w:t>
      </w:r>
      <w:r w:rsidR="00DB1635" w:rsidRPr="00B004EE">
        <w:rPr>
          <w:rFonts w:ascii="Tahoma" w:hAnsi="Tahoma" w:cs="Tahoma"/>
          <w:sz w:val="20"/>
          <w:szCs w:val="20"/>
        </w:rPr>
        <w:t xml:space="preserve"> </w:t>
      </w:r>
      <w:r w:rsidRPr="00B004EE">
        <w:rPr>
          <w:rFonts w:ascii="Tahoma" w:hAnsi="Tahoma" w:cs="Tahoma"/>
          <w:sz w:val="20"/>
          <w:szCs w:val="20"/>
        </w:rPr>
        <w:t>national</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référence</w:t>
      </w:r>
      <w:r w:rsidR="00DB1635" w:rsidRPr="00B004EE">
        <w:rPr>
          <w:rFonts w:ascii="Tahoma" w:hAnsi="Tahoma" w:cs="Tahoma"/>
          <w:sz w:val="20"/>
          <w:szCs w:val="20"/>
        </w:rPr>
        <w:t xml:space="preserve"> </w:t>
      </w:r>
      <w:r w:rsidRPr="00B004EE">
        <w:rPr>
          <w:rFonts w:ascii="Tahoma" w:hAnsi="Tahoma" w:cs="Tahoma"/>
          <w:sz w:val="20"/>
          <w:szCs w:val="20"/>
        </w:rPr>
        <w:t>transmet</w:t>
      </w:r>
      <w:r w:rsidR="00DB1635" w:rsidRPr="00B004EE">
        <w:rPr>
          <w:rFonts w:ascii="Tahoma" w:hAnsi="Tahoma" w:cs="Tahoma"/>
          <w:sz w:val="20"/>
          <w:szCs w:val="20"/>
        </w:rPr>
        <w:t xml:space="preserve"> </w:t>
      </w:r>
      <w:r w:rsidRPr="00B004EE">
        <w:rPr>
          <w:rFonts w:ascii="Tahoma" w:hAnsi="Tahoma" w:cs="Tahoma"/>
          <w:sz w:val="20"/>
          <w:szCs w:val="20"/>
        </w:rPr>
        <w:t>chaque</w:t>
      </w:r>
      <w:r w:rsidR="00DB1635" w:rsidRPr="00B004EE">
        <w:rPr>
          <w:rFonts w:ascii="Tahoma" w:hAnsi="Tahoma" w:cs="Tahoma"/>
          <w:sz w:val="20"/>
          <w:szCs w:val="20"/>
        </w:rPr>
        <w:t xml:space="preserve"> </w:t>
      </w:r>
      <w:r w:rsidRPr="00B004EE">
        <w:rPr>
          <w:rFonts w:ascii="Tahoma" w:hAnsi="Tahoma" w:cs="Tahoma"/>
          <w:sz w:val="20"/>
          <w:szCs w:val="20"/>
        </w:rPr>
        <w:t>année,</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ministre</w:t>
      </w:r>
      <w:r w:rsidR="00DB1635" w:rsidRPr="00B004EE">
        <w:rPr>
          <w:rFonts w:ascii="Tahoma" w:hAnsi="Tahoma" w:cs="Tahoma"/>
          <w:sz w:val="20"/>
          <w:szCs w:val="20"/>
        </w:rPr>
        <w:t xml:space="preserve"> </w:t>
      </w:r>
      <w:r w:rsidRPr="00B004EE">
        <w:rPr>
          <w:rFonts w:ascii="Tahoma" w:hAnsi="Tahoma" w:cs="Tahoma"/>
          <w:sz w:val="20"/>
          <w:szCs w:val="20"/>
        </w:rPr>
        <w:t>chargé</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sz w:val="20"/>
          <w:szCs w:val="20"/>
        </w:rPr>
        <w:t xml:space="preserve"> </w:t>
      </w: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rapport</w:t>
      </w:r>
      <w:r w:rsidR="00DB1635" w:rsidRPr="00B004EE">
        <w:rPr>
          <w:rFonts w:ascii="Tahoma" w:hAnsi="Tahoma" w:cs="Tahoma"/>
          <w:sz w:val="20"/>
          <w:szCs w:val="20"/>
        </w:rPr>
        <w:t xml:space="preserve"> </w:t>
      </w:r>
      <w:r w:rsidRPr="00B004EE">
        <w:rPr>
          <w:rFonts w:ascii="Tahoma" w:hAnsi="Tahoma" w:cs="Tahoma"/>
          <w:sz w:val="20"/>
          <w:szCs w:val="20"/>
        </w:rPr>
        <w:t>d’activité.</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cas</w:t>
      </w:r>
      <w:r w:rsidR="00DB1635" w:rsidRPr="00B004EE">
        <w:rPr>
          <w:rFonts w:ascii="Tahoma" w:hAnsi="Tahoma" w:cs="Tahoma"/>
          <w:sz w:val="20"/>
          <w:szCs w:val="20"/>
        </w:rPr>
        <w:t xml:space="preserve"> </w:t>
      </w:r>
      <w:r w:rsidRPr="00B004EE">
        <w:rPr>
          <w:rFonts w:ascii="Tahoma" w:hAnsi="Tahoma" w:cs="Tahoma"/>
          <w:sz w:val="20"/>
          <w:szCs w:val="20"/>
        </w:rPr>
        <w:t>échéant,</w:t>
      </w:r>
      <w:r w:rsidR="00DB1635" w:rsidRPr="00B004EE">
        <w:rPr>
          <w:rFonts w:ascii="Tahoma" w:hAnsi="Tahoma" w:cs="Tahoma"/>
          <w:sz w:val="20"/>
          <w:szCs w:val="20"/>
        </w:rPr>
        <w:t xml:space="preserve"> </w:t>
      </w:r>
      <w:r w:rsidRPr="00B004EE">
        <w:rPr>
          <w:rFonts w:ascii="Tahoma" w:hAnsi="Tahoma" w:cs="Tahoma"/>
          <w:sz w:val="20"/>
          <w:szCs w:val="20"/>
        </w:rPr>
        <w:t>l’activité</w:t>
      </w:r>
      <w:r w:rsidR="00DB1635" w:rsidRPr="00B004EE">
        <w:rPr>
          <w:rFonts w:ascii="Tahoma" w:hAnsi="Tahoma" w:cs="Tahoma"/>
          <w:sz w:val="20"/>
          <w:szCs w:val="20"/>
        </w:rPr>
        <w:t xml:space="preserve"> </w:t>
      </w:r>
      <w:r w:rsidRPr="00B004EE">
        <w:rPr>
          <w:rFonts w:ascii="Tahoma" w:hAnsi="Tahoma" w:cs="Tahoma"/>
          <w:sz w:val="20"/>
          <w:szCs w:val="20"/>
        </w:rPr>
        <w:t>scientifique</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laboratoire</w:t>
      </w:r>
      <w:r w:rsidR="00DB1635" w:rsidRPr="00B004EE">
        <w:rPr>
          <w:rFonts w:ascii="Tahoma" w:hAnsi="Tahoma" w:cs="Tahoma"/>
          <w:sz w:val="20"/>
          <w:szCs w:val="20"/>
        </w:rPr>
        <w:t xml:space="preserve"> </w:t>
      </w:r>
      <w:r w:rsidRPr="00B004EE">
        <w:rPr>
          <w:rFonts w:ascii="Tahoma" w:hAnsi="Tahoma" w:cs="Tahoma"/>
          <w:sz w:val="20"/>
          <w:szCs w:val="20"/>
        </w:rPr>
        <w:t>national</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référence</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soumise,</w:t>
      </w:r>
      <w:r w:rsidR="00DB1635" w:rsidRPr="00B004EE">
        <w:rPr>
          <w:rFonts w:ascii="Tahoma" w:hAnsi="Tahoma" w:cs="Tahoma"/>
          <w:sz w:val="20"/>
          <w:szCs w:val="20"/>
        </w:rPr>
        <w:t xml:space="preserve"> </w:t>
      </w:r>
      <w:r w:rsidRPr="00B004EE">
        <w:rPr>
          <w:rFonts w:ascii="Tahoma" w:hAnsi="Tahoma" w:cs="Tahoma"/>
          <w:sz w:val="20"/>
          <w:szCs w:val="20"/>
        </w:rPr>
        <w:t>tous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cinq</w:t>
      </w:r>
      <w:r w:rsidR="00DB1635" w:rsidRPr="00B004EE">
        <w:rPr>
          <w:rFonts w:ascii="Tahoma" w:hAnsi="Tahoma" w:cs="Tahoma"/>
          <w:sz w:val="20"/>
          <w:szCs w:val="20"/>
        </w:rPr>
        <w:t xml:space="preserve"> </w:t>
      </w:r>
      <w:r w:rsidRPr="00B004EE">
        <w:rPr>
          <w:rFonts w:ascii="Tahoma" w:hAnsi="Tahoma" w:cs="Tahoma"/>
          <w:sz w:val="20"/>
          <w:szCs w:val="20"/>
        </w:rPr>
        <w:t>ans,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évaluation</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experts</w:t>
      </w:r>
      <w:r w:rsidR="00DB1635" w:rsidRPr="00B004EE">
        <w:rPr>
          <w:rFonts w:ascii="Tahoma" w:hAnsi="Tahoma" w:cs="Tahoma"/>
          <w:sz w:val="20"/>
          <w:szCs w:val="20"/>
        </w:rPr>
        <w:t xml:space="preserve"> </w:t>
      </w:r>
      <w:r w:rsidRPr="00B004EE">
        <w:rPr>
          <w:rFonts w:ascii="Tahoma" w:hAnsi="Tahoma" w:cs="Tahoma"/>
          <w:sz w:val="20"/>
          <w:szCs w:val="20"/>
        </w:rPr>
        <w:t>désignés</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ministre</w:t>
      </w:r>
      <w:r w:rsidR="00DB1635" w:rsidRPr="00B004EE">
        <w:rPr>
          <w:rFonts w:ascii="Tahoma" w:hAnsi="Tahoma" w:cs="Tahoma"/>
          <w:sz w:val="20"/>
          <w:szCs w:val="20"/>
        </w:rPr>
        <w:t xml:space="preserve"> </w:t>
      </w:r>
      <w:r w:rsidRPr="00B004EE">
        <w:rPr>
          <w:rFonts w:ascii="Tahoma" w:hAnsi="Tahoma" w:cs="Tahoma"/>
          <w:sz w:val="20"/>
          <w:szCs w:val="20"/>
        </w:rPr>
        <w:t>chargé</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p>
    <w:p w14:paraId="34533EAD" w14:textId="77777777" w:rsidR="002F24E1" w:rsidRPr="00B004EE" w:rsidRDefault="002F24E1" w:rsidP="00B004EE">
      <w:pPr>
        <w:autoSpaceDE w:val="0"/>
        <w:autoSpaceDN w:val="0"/>
        <w:adjustRightInd w:val="0"/>
        <w:jc w:val="both"/>
        <w:rPr>
          <w:rFonts w:ascii="Tahoma" w:hAnsi="Tahoma" w:cs="Tahoma"/>
          <w:sz w:val="20"/>
          <w:szCs w:val="20"/>
        </w:rPr>
      </w:pPr>
    </w:p>
    <w:p w14:paraId="789833BC" w14:textId="7FA0C1D8" w:rsidR="002F24E1" w:rsidRPr="00B004EE" w:rsidRDefault="002F24E1" w:rsidP="00B004EE">
      <w:pPr>
        <w:autoSpaceDE w:val="0"/>
        <w:autoSpaceDN w:val="0"/>
        <w:adjustRightInd w:val="0"/>
        <w:jc w:val="both"/>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7.</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ministre</w:t>
      </w:r>
      <w:r w:rsidR="00DB1635" w:rsidRPr="00B004EE">
        <w:rPr>
          <w:rFonts w:ascii="Tahoma" w:hAnsi="Tahoma" w:cs="Tahoma"/>
          <w:sz w:val="20"/>
          <w:szCs w:val="20"/>
        </w:rPr>
        <w:t xml:space="preserve"> </w:t>
      </w:r>
      <w:r w:rsidRPr="00B004EE">
        <w:rPr>
          <w:rFonts w:ascii="Tahoma" w:hAnsi="Tahoma" w:cs="Tahoma"/>
          <w:sz w:val="20"/>
          <w:szCs w:val="20"/>
        </w:rPr>
        <w:t>chargé</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sz w:val="20"/>
          <w:szCs w:val="20"/>
        </w:rPr>
        <w:t xml:space="preserve"> </w:t>
      </w:r>
      <w:r w:rsidRPr="00B004EE">
        <w:rPr>
          <w:rFonts w:ascii="Tahoma" w:hAnsi="Tahoma" w:cs="Tahoma"/>
          <w:sz w:val="20"/>
          <w:szCs w:val="20"/>
        </w:rPr>
        <w:t>peut</w:t>
      </w:r>
      <w:r w:rsidR="00DB1635" w:rsidRPr="00B004EE">
        <w:rPr>
          <w:rFonts w:ascii="Tahoma" w:hAnsi="Tahoma" w:cs="Tahoma"/>
          <w:sz w:val="20"/>
          <w:szCs w:val="20"/>
        </w:rPr>
        <w:t xml:space="preserve"> </w:t>
      </w:r>
      <w:r w:rsidRPr="00B004EE">
        <w:rPr>
          <w:rFonts w:ascii="Tahoma" w:hAnsi="Tahoma" w:cs="Tahoma"/>
          <w:sz w:val="20"/>
          <w:szCs w:val="20"/>
        </w:rPr>
        <w:t>retirer</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qualité</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laboratoire</w:t>
      </w:r>
      <w:r w:rsidR="00DB1635" w:rsidRPr="00B004EE">
        <w:rPr>
          <w:rFonts w:ascii="Tahoma" w:hAnsi="Tahoma" w:cs="Tahoma"/>
          <w:sz w:val="20"/>
          <w:szCs w:val="20"/>
        </w:rPr>
        <w:t xml:space="preserve"> </w:t>
      </w:r>
      <w:r w:rsidRPr="00B004EE">
        <w:rPr>
          <w:rFonts w:ascii="Tahoma" w:hAnsi="Tahoma" w:cs="Tahoma"/>
          <w:sz w:val="20"/>
          <w:szCs w:val="20"/>
        </w:rPr>
        <w:t>national</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référence</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laboratoire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l’IMROP</w:t>
      </w:r>
      <w:r w:rsidR="00DB1635" w:rsidRPr="00B004EE">
        <w:rPr>
          <w:rFonts w:ascii="Tahoma" w:hAnsi="Tahoma" w:cs="Tahoma"/>
          <w:sz w:val="20"/>
          <w:szCs w:val="20"/>
        </w:rPr>
        <w:t xml:space="preserve"> </w:t>
      </w:r>
      <w:r w:rsidRPr="00B004EE">
        <w:rPr>
          <w:rFonts w:ascii="Tahoma" w:hAnsi="Tahoma" w:cs="Tahoma"/>
          <w:sz w:val="20"/>
          <w:szCs w:val="20"/>
        </w:rPr>
        <w:t>s’il</w:t>
      </w:r>
      <w:r w:rsidR="00DB1635" w:rsidRPr="00B004EE">
        <w:rPr>
          <w:rFonts w:ascii="Tahoma" w:hAnsi="Tahoma" w:cs="Tahoma"/>
          <w:sz w:val="20"/>
          <w:szCs w:val="20"/>
        </w:rPr>
        <w:t xml:space="preserve"> </w:t>
      </w:r>
      <w:r w:rsidRPr="00B004EE">
        <w:rPr>
          <w:rFonts w:ascii="Tahoma" w:hAnsi="Tahoma" w:cs="Tahoma"/>
          <w:sz w:val="20"/>
          <w:szCs w:val="20"/>
        </w:rPr>
        <w:t>ne</w:t>
      </w:r>
      <w:r w:rsidR="00DB1635" w:rsidRPr="00B004EE">
        <w:rPr>
          <w:rFonts w:ascii="Tahoma" w:hAnsi="Tahoma" w:cs="Tahoma"/>
          <w:sz w:val="20"/>
          <w:szCs w:val="20"/>
        </w:rPr>
        <w:t xml:space="preserve"> </w:t>
      </w:r>
      <w:r w:rsidRPr="00B004EE">
        <w:rPr>
          <w:rFonts w:ascii="Tahoma" w:hAnsi="Tahoma" w:cs="Tahoma"/>
          <w:sz w:val="20"/>
          <w:szCs w:val="20"/>
        </w:rPr>
        <w:t>respecte</w:t>
      </w:r>
      <w:r w:rsidR="00DB1635" w:rsidRPr="00B004EE">
        <w:rPr>
          <w:rFonts w:ascii="Tahoma" w:hAnsi="Tahoma" w:cs="Tahoma"/>
          <w:sz w:val="20"/>
          <w:szCs w:val="20"/>
        </w:rPr>
        <w:t xml:space="preserve"> </w:t>
      </w:r>
      <w:r w:rsidRPr="00B004EE">
        <w:rPr>
          <w:rFonts w:ascii="Tahoma" w:hAnsi="Tahoma" w:cs="Tahoma"/>
          <w:sz w:val="20"/>
          <w:szCs w:val="20"/>
        </w:rPr>
        <w:t>pas</w:t>
      </w:r>
      <w:r w:rsidR="00DB1635" w:rsidRPr="00B004EE">
        <w:rPr>
          <w:rFonts w:ascii="Tahoma" w:hAnsi="Tahoma" w:cs="Tahoma"/>
          <w:sz w:val="20"/>
          <w:szCs w:val="20"/>
        </w:rPr>
        <w:t xml:space="preserve"> </w:t>
      </w:r>
      <w:r w:rsidRPr="00B004EE">
        <w:rPr>
          <w:rFonts w:ascii="Tahoma" w:hAnsi="Tahoma" w:cs="Tahoma"/>
          <w:sz w:val="20"/>
          <w:szCs w:val="20"/>
        </w:rPr>
        <w:t>ses</w:t>
      </w:r>
      <w:r w:rsidR="00DB1635" w:rsidRPr="00B004EE">
        <w:rPr>
          <w:rFonts w:ascii="Tahoma" w:hAnsi="Tahoma" w:cs="Tahoma"/>
          <w:sz w:val="20"/>
          <w:szCs w:val="20"/>
        </w:rPr>
        <w:t xml:space="preserve"> </w:t>
      </w:r>
      <w:r w:rsidRPr="00B004EE">
        <w:rPr>
          <w:rFonts w:ascii="Tahoma" w:hAnsi="Tahoma" w:cs="Tahoma"/>
          <w:sz w:val="20"/>
          <w:szCs w:val="20"/>
        </w:rPr>
        <w:t>missions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obligations,</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ne</w:t>
      </w:r>
      <w:r w:rsidR="00DB1635" w:rsidRPr="00B004EE">
        <w:rPr>
          <w:rFonts w:ascii="Tahoma" w:hAnsi="Tahoma" w:cs="Tahoma"/>
          <w:sz w:val="20"/>
          <w:szCs w:val="20"/>
        </w:rPr>
        <w:t xml:space="preserve"> </w:t>
      </w:r>
      <w:r w:rsidRPr="00B004EE">
        <w:rPr>
          <w:rFonts w:ascii="Tahoma" w:hAnsi="Tahoma" w:cs="Tahoma"/>
          <w:sz w:val="20"/>
          <w:szCs w:val="20"/>
        </w:rPr>
        <w:t>satisfait</w:t>
      </w:r>
      <w:r w:rsidR="00DB1635" w:rsidRPr="00B004EE">
        <w:rPr>
          <w:rFonts w:ascii="Tahoma" w:hAnsi="Tahoma" w:cs="Tahoma"/>
          <w:sz w:val="20"/>
          <w:szCs w:val="20"/>
        </w:rPr>
        <w:t xml:space="preserve"> </w:t>
      </w:r>
      <w:r w:rsidRPr="00B004EE">
        <w:rPr>
          <w:rFonts w:ascii="Tahoma" w:hAnsi="Tahoma" w:cs="Tahoma"/>
          <w:sz w:val="20"/>
          <w:szCs w:val="20"/>
        </w:rPr>
        <w:t>plus</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exigences</w:t>
      </w:r>
      <w:r w:rsidR="00DB1635" w:rsidRPr="00B004EE">
        <w:rPr>
          <w:rFonts w:ascii="Tahoma" w:hAnsi="Tahoma" w:cs="Tahoma"/>
          <w:sz w:val="20"/>
          <w:szCs w:val="20"/>
        </w:rPr>
        <w:t xml:space="preserve"> </w:t>
      </w:r>
      <w:r w:rsidRPr="00B004EE">
        <w:rPr>
          <w:rFonts w:ascii="Tahoma" w:hAnsi="Tahoma" w:cs="Tahoma"/>
          <w:sz w:val="20"/>
          <w:szCs w:val="20"/>
        </w:rPr>
        <w:t>mentionnées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l’article</w:t>
      </w:r>
      <w:r w:rsidR="00DB1635" w:rsidRPr="00B004EE">
        <w:rPr>
          <w:rFonts w:ascii="Tahoma" w:hAnsi="Tahoma" w:cs="Tahoma"/>
          <w:sz w:val="20"/>
          <w:szCs w:val="20"/>
        </w:rPr>
        <w:t xml:space="preserve"> </w:t>
      </w:r>
      <w:r w:rsidRPr="00B004EE">
        <w:rPr>
          <w:rFonts w:ascii="Tahoma" w:hAnsi="Tahoma" w:cs="Tahoma"/>
          <w:sz w:val="20"/>
          <w:szCs w:val="20"/>
        </w:rPr>
        <w:t>3.</w:t>
      </w:r>
      <w:r w:rsidR="00DB1635" w:rsidRPr="00B004EE">
        <w:rPr>
          <w:rFonts w:ascii="Tahoma" w:hAnsi="Tahoma" w:cs="Tahoma"/>
          <w:sz w:val="20"/>
          <w:szCs w:val="20"/>
        </w:rPr>
        <w:t xml:space="preserve"> </w:t>
      </w:r>
      <w:r w:rsidRPr="00B004EE">
        <w:rPr>
          <w:rFonts w:ascii="Tahoma" w:hAnsi="Tahoma" w:cs="Tahoma"/>
          <w:sz w:val="20"/>
          <w:szCs w:val="20"/>
        </w:rPr>
        <w:t>Si</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laboratoire</w:t>
      </w:r>
      <w:r w:rsidR="00DB1635" w:rsidRPr="00B004EE">
        <w:rPr>
          <w:rFonts w:ascii="Tahoma" w:hAnsi="Tahoma" w:cs="Tahoma"/>
          <w:sz w:val="20"/>
          <w:szCs w:val="20"/>
        </w:rPr>
        <w:t xml:space="preserve"> </w:t>
      </w:r>
      <w:r w:rsidRPr="00B004EE">
        <w:rPr>
          <w:rFonts w:ascii="Tahoma" w:hAnsi="Tahoma" w:cs="Tahoma"/>
          <w:sz w:val="20"/>
          <w:szCs w:val="20"/>
        </w:rPr>
        <w:t>national</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référence</w:t>
      </w:r>
      <w:r w:rsidR="00DB1635" w:rsidRPr="00B004EE">
        <w:rPr>
          <w:rFonts w:ascii="Tahoma" w:hAnsi="Tahoma" w:cs="Tahoma"/>
          <w:sz w:val="20"/>
          <w:szCs w:val="20"/>
        </w:rPr>
        <w:t xml:space="preserve"> </w:t>
      </w:r>
      <w:r w:rsidRPr="00B004EE">
        <w:rPr>
          <w:rFonts w:ascii="Tahoma" w:hAnsi="Tahoma" w:cs="Tahoma"/>
          <w:sz w:val="20"/>
          <w:szCs w:val="20"/>
        </w:rPr>
        <w:t>souhaite</w:t>
      </w:r>
      <w:r w:rsidR="00DB1635" w:rsidRPr="00B004EE">
        <w:rPr>
          <w:rFonts w:ascii="Tahoma" w:hAnsi="Tahoma" w:cs="Tahoma"/>
          <w:sz w:val="20"/>
          <w:szCs w:val="20"/>
        </w:rPr>
        <w:t xml:space="preserve"> </w:t>
      </w:r>
      <w:r w:rsidRPr="00B004EE">
        <w:rPr>
          <w:rFonts w:ascii="Tahoma" w:hAnsi="Tahoma" w:cs="Tahoma"/>
          <w:sz w:val="20"/>
          <w:szCs w:val="20"/>
        </w:rPr>
        <w:t>mettre</w:t>
      </w:r>
      <w:r w:rsidR="00DB1635" w:rsidRPr="00B004EE">
        <w:rPr>
          <w:rFonts w:ascii="Tahoma" w:hAnsi="Tahoma" w:cs="Tahoma"/>
          <w:sz w:val="20"/>
          <w:szCs w:val="20"/>
        </w:rPr>
        <w:t xml:space="preserve"> </w:t>
      </w:r>
      <w:r w:rsidRPr="00B004EE">
        <w:rPr>
          <w:rFonts w:ascii="Tahoma" w:hAnsi="Tahoma" w:cs="Tahoma"/>
          <w:sz w:val="20"/>
          <w:szCs w:val="20"/>
        </w:rPr>
        <w:t>fin</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l’exercice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ses</w:t>
      </w:r>
      <w:r w:rsidR="00DB1635" w:rsidRPr="00B004EE">
        <w:rPr>
          <w:rFonts w:ascii="Tahoma" w:hAnsi="Tahoma" w:cs="Tahoma"/>
          <w:sz w:val="20"/>
          <w:szCs w:val="20"/>
        </w:rPr>
        <w:t xml:space="preserve"> </w:t>
      </w:r>
      <w:r w:rsidRPr="00B004EE">
        <w:rPr>
          <w:rFonts w:ascii="Tahoma" w:hAnsi="Tahoma" w:cs="Tahoma"/>
          <w:sz w:val="20"/>
          <w:szCs w:val="20"/>
        </w:rPr>
        <w:t>missions,</w:t>
      </w:r>
      <w:r w:rsidR="00DB1635" w:rsidRPr="00B004EE">
        <w:rPr>
          <w:rFonts w:ascii="Tahoma" w:hAnsi="Tahoma" w:cs="Tahoma"/>
          <w:sz w:val="20"/>
          <w:szCs w:val="20"/>
        </w:rPr>
        <w:t xml:space="preserve"> </w:t>
      </w:r>
      <w:r w:rsidRPr="00B004EE">
        <w:rPr>
          <w:rFonts w:ascii="Tahoma" w:hAnsi="Tahoma" w:cs="Tahoma"/>
          <w:sz w:val="20"/>
          <w:szCs w:val="20"/>
        </w:rPr>
        <w:t>il</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informe</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ministre</w:t>
      </w:r>
      <w:r w:rsidR="00DB1635" w:rsidRPr="00B004EE">
        <w:rPr>
          <w:rFonts w:ascii="Tahoma" w:hAnsi="Tahoma" w:cs="Tahoma"/>
          <w:sz w:val="20"/>
          <w:szCs w:val="20"/>
        </w:rPr>
        <w:t xml:space="preserve"> </w:t>
      </w:r>
      <w:r w:rsidRPr="00B004EE">
        <w:rPr>
          <w:rFonts w:ascii="Tahoma" w:hAnsi="Tahoma" w:cs="Tahoma"/>
          <w:sz w:val="20"/>
          <w:szCs w:val="20"/>
        </w:rPr>
        <w:t>chargé</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moins</w:t>
      </w:r>
      <w:r w:rsidR="00DB1635" w:rsidRPr="00B004EE">
        <w:rPr>
          <w:rFonts w:ascii="Tahoma" w:hAnsi="Tahoma" w:cs="Tahoma"/>
          <w:sz w:val="20"/>
          <w:szCs w:val="20"/>
        </w:rPr>
        <w:t xml:space="preserve"> </w:t>
      </w: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an</w:t>
      </w:r>
      <w:r w:rsidR="00DB1635" w:rsidRPr="00B004EE">
        <w:rPr>
          <w:rFonts w:ascii="Tahoma" w:hAnsi="Tahoma" w:cs="Tahoma"/>
          <w:sz w:val="20"/>
          <w:szCs w:val="20"/>
        </w:rPr>
        <w:t xml:space="preserve"> </w:t>
      </w:r>
      <w:r w:rsidRPr="00B004EE">
        <w:rPr>
          <w:rFonts w:ascii="Tahoma" w:hAnsi="Tahoma" w:cs="Tahoma"/>
          <w:sz w:val="20"/>
          <w:szCs w:val="20"/>
        </w:rPr>
        <w:t>avant</w:t>
      </w:r>
      <w:r w:rsidR="00DB1635" w:rsidRPr="00B004EE">
        <w:rPr>
          <w:rFonts w:ascii="Tahoma" w:hAnsi="Tahoma" w:cs="Tahoma"/>
          <w:sz w:val="20"/>
          <w:szCs w:val="20"/>
        </w:rPr>
        <w:t xml:space="preserve"> </w:t>
      </w:r>
      <w:r w:rsidRPr="00B004EE">
        <w:rPr>
          <w:rFonts w:ascii="Tahoma" w:hAnsi="Tahoma" w:cs="Tahoma"/>
          <w:sz w:val="20"/>
          <w:szCs w:val="20"/>
        </w:rPr>
        <w:t>l’échéance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convention.</w:t>
      </w:r>
    </w:p>
    <w:p w14:paraId="3AA2DC04" w14:textId="77777777" w:rsidR="000942DD" w:rsidRPr="00B004EE" w:rsidRDefault="000942DD" w:rsidP="00B004EE">
      <w:pPr>
        <w:autoSpaceDE w:val="0"/>
        <w:autoSpaceDN w:val="0"/>
        <w:adjustRightInd w:val="0"/>
        <w:jc w:val="center"/>
        <w:rPr>
          <w:rFonts w:ascii="Tahoma" w:hAnsi="Tahoma" w:cs="Tahoma"/>
          <w:b/>
          <w:bCs/>
          <w:sz w:val="20"/>
          <w:szCs w:val="20"/>
        </w:rPr>
      </w:pPr>
    </w:p>
    <w:p w14:paraId="2BBEF58C" w14:textId="2BA02B1E" w:rsidR="002F24E1" w:rsidRPr="00B004EE" w:rsidRDefault="002F24E1" w:rsidP="00B004EE">
      <w:pPr>
        <w:autoSpaceDE w:val="0"/>
        <w:autoSpaceDN w:val="0"/>
        <w:adjustRightInd w:val="0"/>
        <w:jc w:val="center"/>
        <w:rPr>
          <w:rFonts w:ascii="Tahoma" w:hAnsi="Tahoma" w:cs="Tahoma"/>
          <w:b/>
          <w:bCs/>
          <w:sz w:val="20"/>
          <w:szCs w:val="20"/>
        </w:rPr>
      </w:pPr>
      <w:r w:rsidRPr="00B004EE">
        <w:rPr>
          <w:rFonts w:ascii="Tahoma" w:hAnsi="Tahoma" w:cs="Tahoma"/>
          <w:b/>
          <w:bCs/>
          <w:sz w:val="20"/>
          <w:szCs w:val="20"/>
        </w:rPr>
        <w:t>CHAPITRE</w:t>
      </w:r>
      <w:r w:rsidR="00DB1635" w:rsidRPr="00B004EE">
        <w:rPr>
          <w:rFonts w:ascii="Tahoma" w:hAnsi="Tahoma" w:cs="Tahoma"/>
          <w:b/>
          <w:bCs/>
          <w:sz w:val="20"/>
          <w:szCs w:val="20"/>
        </w:rPr>
        <w:t xml:space="preserve"> </w:t>
      </w:r>
      <w:r w:rsidRPr="00B004EE">
        <w:rPr>
          <w:rFonts w:ascii="Tahoma" w:hAnsi="Tahoma" w:cs="Tahoma"/>
          <w:b/>
          <w:bCs/>
          <w:sz w:val="20"/>
          <w:szCs w:val="20"/>
        </w:rPr>
        <w:t>3</w:t>
      </w:r>
      <w:r w:rsidR="00DB1635" w:rsidRPr="00B004EE">
        <w:rPr>
          <w:rFonts w:ascii="Tahoma" w:hAnsi="Tahoma" w:cs="Tahoma"/>
          <w:b/>
          <w:bCs/>
          <w:sz w:val="20"/>
          <w:szCs w:val="20"/>
        </w:rPr>
        <w:t xml:space="preserve"> </w:t>
      </w:r>
      <w:r w:rsidRPr="00B004EE">
        <w:rPr>
          <w:rFonts w:ascii="Tahoma" w:hAnsi="Tahoma" w:cs="Tahoma"/>
          <w:b/>
          <w:bCs/>
          <w:sz w:val="20"/>
          <w:szCs w:val="20"/>
        </w:rPr>
        <w:t>–</w:t>
      </w:r>
      <w:r w:rsidR="00DB1635" w:rsidRPr="00B004EE">
        <w:rPr>
          <w:rFonts w:ascii="Tahoma" w:hAnsi="Tahoma" w:cs="Tahoma"/>
          <w:b/>
          <w:bCs/>
          <w:sz w:val="20"/>
          <w:szCs w:val="20"/>
        </w:rPr>
        <w:t xml:space="preserve"> </w:t>
      </w:r>
      <w:r w:rsidRPr="00B004EE">
        <w:rPr>
          <w:rFonts w:ascii="Tahoma" w:hAnsi="Tahoma" w:cs="Tahoma"/>
          <w:b/>
          <w:bCs/>
          <w:sz w:val="20"/>
          <w:szCs w:val="20"/>
        </w:rPr>
        <w:t>LABORATOIRES</w:t>
      </w:r>
      <w:r w:rsidR="00DB1635" w:rsidRPr="00B004EE">
        <w:rPr>
          <w:rFonts w:ascii="Tahoma" w:hAnsi="Tahoma" w:cs="Tahoma"/>
          <w:b/>
          <w:bCs/>
          <w:sz w:val="20"/>
          <w:szCs w:val="20"/>
        </w:rPr>
        <w:t xml:space="preserve"> </w:t>
      </w:r>
      <w:r w:rsidRPr="00B004EE">
        <w:rPr>
          <w:rFonts w:ascii="Tahoma" w:hAnsi="Tahoma" w:cs="Tahoma"/>
          <w:b/>
          <w:bCs/>
          <w:sz w:val="20"/>
          <w:szCs w:val="20"/>
        </w:rPr>
        <w:t>AGREES</w:t>
      </w:r>
    </w:p>
    <w:p w14:paraId="57DEC763" w14:textId="77777777" w:rsidR="002F24E1" w:rsidRPr="00B004EE" w:rsidRDefault="002F24E1" w:rsidP="00B004EE">
      <w:pPr>
        <w:autoSpaceDE w:val="0"/>
        <w:autoSpaceDN w:val="0"/>
        <w:adjustRightInd w:val="0"/>
        <w:jc w:val="center"/>
        <w:rPr>
          <w:rFonts w:ascii="Tahoma" w:hAnsi="Tahoma" w:cs="Tahoma"/>
          <w:sz w:val="20"/>
          <w:szCs w:val="20"/>
        </w:rPr>
      </w:pPr>
    </w:p>
    <w:p w14:paraId="18941568" w14:textId="170E79CB" w:rsidR="002F24E1" w:rsidRPr="00B004EE" w:rsidRDefault="002F24E1" w:rsidP="00B004EE">
      <w:pPr>
        <w:autoSpaceDE w:val="0"/>
        <w:autoSpaceDN w:val="0"/>
        <w:adjustRightInd w:val="0"/>
        <w:jc w:val="center"/>
        <w:rPr>
          <w:rFonts w:ascii="Tahoma" w:hAnsi="Tahoma" w:cs="Tahoma"/>
          <w:b/>
          <w:iCs/>
          <w:sz w:val="20"/>
          <w:szCs w:val="20"/>
        </w:rPr>
      </w:pPr>
      <w:r w:rsidRPr="00B004EE">
        <w:rPr>
          <w:rFonts w:ascii="Tahoma" w:hAnsi="Tahoma" w:cs="Tahoma"/>
          <w:b/>
          <w:iCs/>
          <w:sz w:val="20"/>
          <w:szCs w:val="20"/>
        </w:rPr>
        <w:t>Section</w:t>
      </w:r>
      <w:r w:rsidR="00DB1635" w:rsidRPr="00B004EE">
        <w:rPr>
          <w:rFonts w:ascii="Tahoma" w:hAnsi="Tahoma" w:cs="Tahoma"/>
          <w:b/>
          <w:iCs/>
          <w:sz w:val="20"/>
          <w:szCs w:val="20"/>
        </w:rPr>
        <w:t xml:space="preserve"> </w:t>
      </w:r>
      <w:r w:rsidRPr="00B004EE">
        <w:rPr>
          <w:rFonts w:ascii="Tahoma" w:hAnsi="Tahoma" w:cs="Tahoma"/>
          <w:b/>
          <w:iCs/>
          <w:sz w:val="20"/>
          <w:szCs w:val="20"/>
        </w:rPr>
        <w:t>1</w:t>
      </w:r>
      <w:r w:rsidR="00DB1635" w:rsidRPr="00B004EE">
        <w:rPr>
          <w:rFonts w:ascii="Tahoma" w:hAnsi="Tahoma" w:cs="Tahoma"/>
          <w:b/>
          <w:iCs/>
          <w:sz w:val="20"/>
          <w:szCs w:val="20"/>
        </w:rPr>
        <w:t xml:space="preserve"> </w:t>
      </w:r>
      <w:r w:rsidRPr="00B004EE">
        <w:rPr>
          <w:rFonts w:ascii="Tahoma" w:hAnsi="Tahoma" w:cs="Tahoma"/>
          <w:b/>
          <w:iCs/>
          <w:sz w:val="20"/>
          <w:szCs w:val="20"/>
        </w:rPr>
        <w:t>–</w:t>
      </w:r>
      <w:r w:rsidR="00DB1635" w:rsidRPr="00B004EE">
        <w:rPr>
          <w:rFonts w:ascii="Tahoma" w:hAnsi="Tahoma" w:cs="Tahoma"/>
          <w:b/>
          <w:iCs/>
          <w:sz w:val="20"/>
          <w:szCs w:val="20"/>
        </w:rPr>
        <w:t xml:space="preserve"> </w:t>
      </w:r>
      <w:r w:rsidRPr="00B004EE">
        <w:rPr>
          <w:rFonts w:ascii="Tahoma" w:hAnsi="Tahoma" w:cs="Tahoma"/>
          <w:b/>
          <w:iCs/>
          <w:sz w:val="20"/>
          <w:szCs w:val="20"/>
        </w:rPr>
        <w:t>Réalisation</w:t>
      </w:r>
      <w:r w:rsidR="00DB1635" w:rsidRPr="00B004EE">
        <w:rPr>
          <w:rFonts w:ascii="Tahoma" w:hAnsi="Tahoma" w:cs="Tahoma"/>
          <w:b/>
          <w:iCs/>
          <w:sz w:val="20"/>
          <w:szCs w:val="20"/>
        </w:rPr>
        <w:t xml:space="preserve"> </w:t>
      </w:r>
      <w:r w:rsidRPr="00B004EE">
        <w:rPr>
          <w:rFonts w:ascii="Tahoma" w:hAnsi="Tahoma" w:cs="Tahoma"/>
          <w:b/>
          <w:iCs/>
          <w:sz w:val="20"/>
          <w:szCs w:val="20"/>
        </w:rPr>
        <w:t>des</w:t>
      </w:r>
      <w:r w:rsidR="00DB1635" w:rsidRPr="00B004EE">
        <w:rPr>
          <w:rFonts w:ascii="Tahoma" w:hAnsi="Tahoma" w:cs="Tahoma"/>
          <w:b/>
          <w:iCs/>
          <w:sz w:val="20"/>
          <w:szCs w:val="20"/>
        </w:rPr>
        <w:t xml:space="preserve"> </w:t>
      </w:r>
      <w:r w:rsidRPr="00B004EE">
        <w:rPr>
          <w:rFonts w:ascii="Tahoma" w:hAnsi="Tahoma" w:cs="Tahoma"/>
          <w:b/>
          <w:iCs/>
          <w:sz w:val="20"/>
          <w:szCs w:val="20"/>
        </w:rPr>
        <w:t>analyses</w:t>
      </w:r>
      <w:r w:rsidR="00DB1635" w:rsidRPr="00B004EE">
        <w:rPr>
          <w:rFonts w:ascii="Tahoma" w:hAnsi="Tahoma" w:cs="Tahoma"/>
          <w:b/>
          <w:iCs/>
          <w:sz w:val="20"/>
          <w:szCs w:val="20"/>
        </w:rPr>
        <w:t xml:space="preserve"> </w:t>
      </w:r>
      <w:r w:rsidRPr="00B004EE">
        <w:rPr>
          <w:rFonts w:ascii="Tahoma" w:hAnsi="Tahoma" w:cs="Tahoma"/>
          <w:b/>
          <w:iCs/>
          <w:sz w:val="20"/>
          <w:szCs w:val="20"/>
        </w:rPr>
        <w:t>officielles</w:t>
      </w:r>
    </w:p>
    <w:p w14:paraId="21632A67" w14:textId="77777777" w:rsidR="000942DD" w:rsidRPr="00B004EE" w:rsidRDefault="000942DD" w:rsidP="00B004EE">
      <w:pPr>
        <w:autoSpaceDE w:val="0"/>
        <w:autoSpaceDN w:val="0"/>
        <w:adjustRightInd w:val="0"/>
        <w:jc w:val="center"/>
        <w:rPr>
          <w:rFonts w:ascii="Tahoma" w:hAnsi="Tahoma" w:cs="Tahoma"/>
          <w:b/>
          <w:sz w:val="20"/>
          <w:szCs w:val="20"/>
        </w:rPr>
      </w:pPr>
    </w:p>
    <w:p w14:paraId="738565CC" w14:textId="14E8572D" w:rsidR="002F24E1" w:rsidRPr="00B004EE" w:rsidRDefault="002F24E1" w:rsidP="00B004EE">
      <w:pPr>
        <w:autoSpaceDE w:val="0"/>
        <w:autoSpaceDN w:val="0"/>
        <w:adjustRightInd w:val="0"/>
        <w:jc w:val="both"/>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8.</w:t>
      </w:r>
      <w:r w:rsidR="00DB1635" w:rsidRPr="00B004EE">
        <w:rPr>
          <w:rFonts w:ascii="Tahoma" w:hAnsi="Tahoma" w:cs="Tahoma"/>
          <w:sz w:val="20"/>
          <w:szCs w:val="20"/>
        </w:rPr>
        <w:t xml:space="preserve"> </w:t>
      </w:r>
      <w:r w:rsidRPr="00B004EE">
        <w:rPr>
          <w:rFonts w:ascii="Tahoma" w:hAnsi="Tahoma" w:cs="Tahoma"/>
          <w:sz w:val="20"/>
          <w:szCs w:val="20"/>
        </w:rPr>
        <w:t>L’agrément</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délivré</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ministre</w:t>
      </w:r>
      <w:r w:rsidR="00DB1635" w:rsidRPr="00B004EE">
        <w:rPr>
          <w:rFonts w:ascii="Tahoma" w:hAnsi="Tahoma" w:cs="Tahoma"/>
          <w:sz w:val="20"/>
          <w:szCs w:val="20"/>
        </w:rPr>
        <w:t xml:space="preserve"> </w:t>
      </w:r>
      <w:r w:rsidRPr="00B004EE">
        <w:rPr>
          <w:rFonts w:ascii="Tahoma" w:hAnsi="Tahoma" w:cs="Tahoma"/>
          <w:sz w:val="20"/>
          <w:szCs w:val="20"/>
        </w:rPr>
        <w:t>chargé</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laboratoires,</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plusieurs</w:t>
      </w:r>
      <w:r w:rsidR="00DB1635" w:rsidRPr="00B004EE">
        <w:rPr>
          <w:rFonts w:ascii="Tahoma" w:hAnsi="Tahoma" w:cs="Tahoma"/>
          <w:sz w:val="20"/>
          <w:szCs w:val="20"/>
        </w:rPr>
        <w:t xml:space="preserve"> </w:t>
      </w:r>
      <w:r w:rsidRPr="00B004EE">
        <w:rPr>
          <w:rFonts w:ascii="Tahoma" w:hAnsi="Tahoma" w:cs="Tahoma"/>
          <w:sz w:val="20"/>
          <w:szCs w:val="20"/>
        </w:rPr>
        <w:t>types</w:t>
      </w:r>
      <w:r w:rsidR="00DB1635" w:rsidRPr="00B004EE">
        <w:rPr>
          <w:rFonts w:ascii="Tahoma" w:hAnsi="Tahoma" w:cs="Tahoma"/>
          <w:sz w:val="20"/>
          <w:szCs w:val="20"/>
        </w:rPr>
        <w:t xml:space="preserve"> </w:t>
      </w:r>
      <w:r w:rsidRPr="00B004EE">
        <w:rPr>
          <w:rFonts w:ascii="Tahoma" w:hAnsi="Tahoma" w:cs="Tahoma"/>
          <w:sz w:val="20"/>
          <w:szCs w:val="20"/>
        </w:rPr>
        <w:t>d’analyses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durée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cinq</w:t>
      </w:r>
      <w:r w:rsidR="00DB1635" w:rsidRPr="00B004EE">
        <w:rPr>
          <w:rFonts w:ascii="Tahoma" w:hAnsi="Tahoma" w:cs="Tahoma"/>
          <w:sz w:val="20"/>
          <w:szCs w:val="20"/>
        </w:rPr>
        <w:t xml:space="preserve"> </w:t>
      </w:r>
      <w:r w:rsidRPr="00B004EE">
        <w:rPr>
          <w:rFonts w:ascii="Tahoma" w:hAnsi="Tahoma" w:cs="Tahoma"/>
          <w:sz w:val="20"/>
          <w:szCs w:val="20"/>
        </w:rPr>
        <w:t>ans</w:t>
      </w:r>
      <w:r w:rsidR="00DB1635" w:rsidRPr="00B004EE">
        <w:rPr>
          <w:rFonts w:ascii="Tahoma" w:hAnsi="Tahoma" w:cs="Tahoma"/>
          <w:sz w:val="20"/>
          <w:szCs w:val="20"/>
        </w:rPr>
        <w:t xml:space="preserve"> </w:t>
      </w:r>
      <w:r w:rsidRPr="00B004EE">
        <w:rPr>
          <w:rFonts w:ascii="Tahoma" w:hAnsi="Tahoma" w:cs="Tahoma"/>
          <w:sz w:val="20"/>
          <w:szCs w:val="20"/>
        </w:rPr>
        <w:t>renouvelable,</w:t>
      </w:r>
      <w:r w:rsidR="00DB1635" w:rsidRPr="00B004EE">
        <w:rPr>
          <w:rFonts w:ascii="Tahoma" w:hAnsi="Tahoma" w:cs="Tahoma"/>
          <w:sz w:val="20"/>
          <w:szCs w:val="20"/>
        </w:rPr>
        <w:t xml:space="preserve"> </w:t>
      </w:r>
      <w:r w:rsidRPr="00B004EE">
        <w:rPr>
          <w:rFonts w:ascii="Tahoma" w:hAnsi="Tahoma" w:cs="Tahoma"/>
          <w:sz w:val="20"/>
          <w:szCs w:val="20"/>
        </w:rPr>
        <w:t>après</w:t>
      </w:r>
      <w:r w:rsidR="00DB1635" w:rsidRPr="00B004EE">
        <w:rPr>
          <w:rFonts w:ascii="Tahoma" w:hAnsi="Tahoma" w:cs="Tahoma"/>
          <w:sz w:val="20"/>
          <w:szCs w:val="20"/>
        </w:rPr>
        <w:t xml:space="preserve"> </w:t>
      </w:r>
      <w:r w:rsidRPr="00B004EE">
        <w:rPr>
          <w:rFonts w:ascii="Tahoma" w:hAnsi="Tahoma" w:cs="Tahoma"/>
          <w:sz w:val="20"/>
          <w:szCs w:val="20"/>
        </w:rPr>
        <w:t>avis</w:t>
      </w:r>
      <w:r w:rsidR="00DB1635" w:rsidRPr="00B004EE">
        <w:rPr>
          <w:rFonts w:ascii="Tahoma" w:hAnsi="Tahoma" w:cs="Tahoma"/>
          <w:sz w:val="20"/>
          <w:szCs w:val="20"/>
        </w:rPr>
        <w:t xml:space="preserve"> </w:t>
      </w:r>
      <w:r w:rsidRPr="00B004EE">
        <w:rPr>
          <w:rFonts w:ascii="Tahoma" w:hAnsi="Tahoma" w:cs="Tahoma"/>
          <w:sz w:val="20"/>
          <w:szCs w:val="20"/>
        </w:rPr>
        <w:t>technique</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LNR.</w:t>
      </w:r>
    </w:p>
    <w:p w14:paraId="5F9F499B" w14:textId="77777777" w:rsidR="002F24E1" w:rsidRPr="00B004EE" w:rsidRDefault="002F24E1" w:rsidP="00B004EE">
      <w:pPr>
        <w:autoSpaceDE w:val="0"/>
        <w:autoSpaceDN w:val="0"/>
        <w:adjustRightInd w:val="0"/>
        <w:jc w:val="both"/>
        <w:rPr>
          <w:rFonts w:ascii="Tahoma" w:hAnsi="Tahoma" w:cs="Tahoma"/>
          <w:sz w:val="20"/>
          <w:szCs w:val="20"/>
        </w:rPr>
      </w:pPr>
    </w:p>
    <w:p w14:paraId="7CD79AF1" w14:textId="2DF52F13" w:rsidR="002F24E1" w:rsidRPr="00B004EE" w:rsidRDefault="002F24E1" w:rsidP="00B004EE">
      <w:pPr>
        <w:autoSpaceDE w:val="0"/>
        <w:autoSpaceDN w:val="0"/>
        <w:adjustRightInd w:val="0"/>
        <w:jc w:val="both"/>
        <w:rPr>
          <w:rFonts w:ascii="Tahoma" w:hAnsi="Tahoma" w:cs="Tahoma"/>
          <w:i/>
          <w:iCs/>
          <w:sz w:val="20"/>
          <w:szCs w:val="20"/>
        </w:rPr>
      </w:pPr>
      <w:r w:rsidRPr="00B004EE">
        <w:rPr>
          <w:rFonts w:ascii="Tahoma" w:hAnsi="Tahoma" w:cs="Tahoma"/>
          <w:sz w:val="20"/>
          <w:szCs w:val="20"/>
        </w:rPr>
        <w:t>Seul</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laboratoire</w:t>
      </w:r>
      <w:r w:rsidR="00DB1635" w:rsidRPr="00B004EE">
        <w:rPr>
          <w:rFonts w:ascii="Tahoma" w:hAnsi="Tahoma" w:cs="Tahoma"/>
          <w:sz w:val="20"/>
          <w:szCs w:val="20"/>
        </w:rPr>
        <w:t xml:space="preserve"> </w:t>
      </w:r>
      <w:r w:rsidRPr="00B004EE">
        <w:rPr>
          <w:rFonts w:ascii="Tahoma" w:hAnsi="Tahoma" w:cs="Tahoma"/>
          <w:sz w:val="20"/>
          <w:szCs w:val="20"/>
        </w:rPr>
        <w:t>national</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référence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laboratoires</w:t>
      </w:r>
      <w:r w:rsidR="00DB1635" w:rsidRPr="00B004EE">
        <w:rPr>
          <w:rFonts w:ascii="Tahoma" w:hAnsi="Tahoma" w:cs="Tahoma"/>
          <w:sz w:val="20"/>
          <w:szCs w:val="20"/>
        </w:rPr>
        <w:t xml:space="preserve"> </w:t>
      </w:r>
      <w:r w:rsidRPr="00B004EE">
        <w:rPr>
          <w:rFonts w:ascii="Tahoma" w:hAnsi="Tahoma" w:cs="Tahoma"/>
          <w:sz w:val="20"/>
          <w:szCs w:val="20"/>
        </w:rPr>
        <w:t>agréés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cette</w:t>
      </w:r>
      <w:r w:rsidR="00DB1635" w:rsidRPr="00B004EE">
        <w:rPr>
          <w:rFonts w:ascii="Tahoma" w:hAnsi="Tahoma" w:cs="Tahoma"/>
          <w:sz w:val="20"/>
          <w:szCs w:val="20"/>
        </w:rPr>
        <w:t xml:space="preserve"> </w:t>
      </w:r>
      <w:r w:rsidRPr="00B004EE">
        <w:rPr>
          <w:rFonts w:ascii="Tahoma" w:hAnsi="Tahoma" w:cs="Tahoma"/>
          <w:sz w:val="20"/>
          <w:szCs w:val="20"/>
        </w:rPr>
        <w:t>fin</w:t>
      </w:r>
      <w:r w:rsidR="00DB1635" w:rsidRPr="00B004EE">
        <w:rPr>
          <w:rFonts w:ascii="Tahoma" w:hAnsi="Tahoma" w:cs="Tahoma"/>
          <w:sz w:val="20"/>
          <w:szCs w:val="20"/>
        </w:rPr>
        <w:t xml:space="preserve"> </w:t>
      </w:r>
      <w:r w:rsidRPr="00B004EE">
        <w:rPr>
          <w:rFonts w:ascii="Tahoma" w:hAnsi="Tahoma" w:cs="Tahoma"/>
          <w:sz w:val="20"/>
          <w:szCs w:val="20"/>
        </w:rPr>
        <w:t>peuvent</w:t>
      </w:r>
      <w:r w:rsidR="00DB1635" w:rsidRPr="00B004EE">
        <w:rPr>
          <w:rFonts w:ascii="Tahoma" w:hAnsi="Tahoma" w:cs="Tahoma"/>
          <w:sz w:val="20"/>
          <w:szCs w:val="20"/>
        </w:rPr>
        <w:t xml:space="preserve"> </w:t>
      </w:r>
      <w:r w:rsidRPr="00B004EE">
        <w:rPr>
          <w:rFonts w:ascii="Tahoma" w:hAnsi="Tahoma" w:cs="Tahoma"/>
          <w:sz w:val="20"/>
          <w:szCs w:val="20"/>
        </w:rPr>
        <w:t>réaliser</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analyses</w:t>
      </w:r>
      <w:r w:rsidR="00DB1635" w:rsidRPr="00B004EE">
        <w:rPr>
          <w:rFonts w:ascii="Tahoma" w:hAnsi="Tahoma" w:cs="Tahoma"/>
          <w:sz w:val="20"/>
          <w:szCs w:val="20"/>
        </w:rPr>
        <w:t xml:space="preserve"> </w:t>
      </w:r>
      <w:r w:rsidRPr="00B004EE">
        <w:rPr>
          <w:rFonts w:ascii="Tahoma" w:hAnsi="Tahoma" w:cs="Tahoma"/>
          <w:sz w:val="20"/>
          <w:szCs w:val="20"/>
        </w:rPr>
        <w:t>officielles.</w:t>
      </w:r>
    </w:p>
    <w:p w14:paraId="7660155F" w14:textId="77777777" w:rsidR="002F24E1" w:rsidRPr="00B004EE" w:rsidRDefault="002F24E1" w:rsidP="00B004EE">
      <w:pPr>
        <w:autoSpaceDE w:val="0"/>
        <w:autoSpaceDN w:val="0"/>
        <w:adjustRightInd w:val="0"/>
        <w:jc w:val="both"/>
        <w:rPr>
          <w:rFonts w:ascii="Tahoma" w:hAnsi="Tahoma" w:cs="Tahoma"/>
          <w:i/>
          <w:iCs/>
          <w:sz w:val="20"/>
          <w:szCs w:val="20"/>
        </w:rPr>
      </w:pPr>
    </w:p>
    <w:p w14:paraId="5F20C73C" w14:textId="205C3C9B" w:rsidR="002F24E1" w:rsidRPr="00B004EE" w:rsidRDefault="002F24E1" w:rsidP="00B004EE">
      <w:pPr>
        <w:autoSpaceDE w:val="0"/>
        <w:autoSpaceDN w:val="0"/>
        <w:adjustRightInd w:val="0"/>
        <w:jc w:val="center"/>
        <w:rPr>
          <w:rFonts w:ascii="Tahoma" w:hAnsi="Tahoma" w:cs="Tahoma"/>
          <w:b/>
          <w:iCs/>
          <w:sz w:val="20"/>
          <w:szCs w:val="20"/>
        </w:rPr>
      </w:pPr>
      <w:r w:rsidRPr="00B004EE">
        <w:rPr>
          <w:rFonts w:ascii="Tahoma" w:hAnsi="Tahoma" w:cs="Tahoma"/>
          <w:b/>
          <w:iCs/>
          <w:sz w:val="20"/>
          <w:szCs w:val="20"/>
        </w:rPr>
        <w:t>Section</w:t>
      </w:r>
      <w:r w:rsidR="00DB1635" w:rsidRPr="00B004EE">
        <w:rPr>
          <w:rFonts w:ascii="Tahoma" w:hAnsi="Tahoma" w:cs="Tahoma"/>
          <w:b/>
          <w:iCs/>
          <w:sz w:val="20"/>
          <w:szCs w:val="20"/>
        </w:rPr>
        <w:t xml:space="preserve"> </w:t>
      </w:r>
      <w:r w:rsidRPr="00B004EE">
        <w:rPr>
          <w:rFonts w:ascii="Tahoma" w:hAnsi="Tahoma" w:cs="Tahoma"/>
          <w:b/>
          <w:iCs/>
          <w:sz w:val="20"/>
          <w:szCs w:val="20"/>
        </w:rPr>
        <w:t>2</w:t>
      </w:r>
      <w:r w:rsidR="00DB1635" w:rsidRPr="00B004EE">
        <w:rPr>
          <w:rFonts w:ascii="Tahoma" w:hAnsi="Tahoma" w:cs="Tahoma"/>
          <w:b/>
          <w:iCs/>
          <w:sz w:val="20"/>
          <w:szCs w:val="20"/>
        </w:rPr>
        <w:t xml:space="preserve"> </w:t>
      </w:r>
      <w:r w:rsidRPr="00B004EE">
        <w:rPr>
          <w:rFonts w:ascii="Tahoma" w:hAnsi="Tahoma" w:cs="Tahoma"/>
          <w:b/>
          <w:iCs/>
          <w:sz w:val="20"/>
          <w:szCs w:val="20"/>
        </w:rPr>
        <w:t>–</w:t>
      </w:r>
      <w:r w:rsidR="00DB1635" w:rsidRPr="00B004EE">
        <w:rPr>
          <w:rFonts w:ascii="Tahoma" w:hAnsi="Tahoma" w:cs="Tahoma"/>
          <w:b/>
          <w:iCs/>
          <w:sz w:val="20"/>
          <w:szCs w:val="20"/>
        </w:rPr>
        <w:t xml:space="preserve"> </w:t>
      </w:r>
      <w:r w:rsidRPr="00B004EE">
        <w:rPr>
          <w:rFonts w:ascii="Tahoma" w:hAnsi="Tahoma" w:cs="Tahoma"/>
          <w:b/>
          <w:iCs/>
          <w:sz w:val="20"/>
          <w:szCs w:val="20"/>
        </w:rPr>
        <w:t>Demande</w:t>
      </w:r>
      <w:r w:rsidR="00DB1635" w:rsidRPr="00B004EE">
        <w:rPr>
          <w:rFonts w:ascii="Tahoma" w:hAnsi="Tahoma" w:cs="Tahoma"/>
          <w:b/>
          <w:iCs/>
          <w:sz w:val="20"/>
          <w:szCs w:val="20"/>
        </w:rPr>
        <w:t xml:space="preserve"> </w:t>
      </w:r>
      <w:r w:rsidRPr="00B004EE">
        <w:rPr>
          <w:rFonts w:ascii="Tahoma" w:hAnsi="Tahoma" w:cs="Tahoma"/>
          <w:b/>
          <w:iCs/>
          <w:sz w:val="20"/>
          <w:szCs w:val="20"/>
        </w:rPr>
        <w:t>d’agrément,</w:t>
      </w:r>
      <w:r w:rsidR="00DB1635" w:rsidRPr="00B004EE">
        <w:rPr>
          <w:rFonts w:ascii="Tahoma" w:hAnsi="Tahoma" w:cs="Tahoma"/>
          <w:b/>
          <w:iCs/>
          <w:sz w:val="20"/>
          <w:szCs w:val="20"/>
        </w:rPr>
        <w:t xml:space="preserve"> </w:t>
      </w:r>
      <w:r w:rsidRPr="00B004EE">
        <w:rPr>
          <w:rFonts w:ascii="Tahoma" w:hAnsi="Tahoma" w:cs="Tahoma"/>
          <w:b/>
          <w:iCs/>
          <w:sz w:val="20"/>
          <w:szCs w:val="20"/>
        </w:rPr>
        <w:t>renouvellement,</w:t>
      </w:r>
      <w:r w:rsidR="00DB1635" w:rsidRPr="00B004EE">
        <w:rPr>
          <w:rFonts w:ascii="Tahoma" w:hAnsi="Tahoma" w:cs="Tahoma"/>
          <w:b/>
          <w:iCs/>
          <w:sz w:val="20"/>
          <w:szCs w:val="20"/>
        </w:rPr>
        <w:t xml:space="preserve"> </w:t>
      </w:r>
      <w:r w:rsidRPr="00B004EE">
        <w:rPr>
          <w:rFonts w:ascii="Tahoma" w:hAnsi="Tahoma" w:cs="Tahoma"/>
          <w:b/>
          <w:iCs/>
          <w:sz w:val="20"/>
          <w:szCs w:val="20"/>
        </w:rPr>
        <w:t>suspension</w:t>
      </w:r>
      <w:r w:rsidR="00DB1635" w:rsidRPr="00B004EE">
        <w:rPr>
          <w:rFonts w:ascii="Tahoma" w:hAnsi="Tahoma" w:cs="Tahoma"/>
          <w:b/>
          <w:iCs/>
          <w:sz w:val="20"/>
          <w:szCs w:val="20"/>
        </w:rPr>
        <w:t xml:space="preserve"> </w:t>
      </w:r>
      <w:r w:rsidRPr="00B004EE">
        <w:rPr>
          <w:rFonts w:ascii="Tahoma" w:hAnsi="Tahoma" w:cs="Tahoma"/>
          <w:b/>
          <w:iCs/>
          <w:sz w:val="20"/>
          <w:szCs w:val="20"/>
        </w:rPr>
        <w:t>et</w:t>
      </w:r>
      <w:r w:rsidR="00DB1635" w:rsidRPr="00B004EE">
        <w:rPr>
          <w:rFonts w:ascii="Tahoma" w:hAnsi="Tahoma" w:cs="Tahoma"/>
          <w:b/>
          <w:iCs/>
          <w:sz w:val="20"/>
          <w:szCs w:val="20"/>
        </w:rPr>
        <w:t xml:space="preserve"> </w:t>
      </w:r>
      <w:r w:rsidRPr="00B004EE">
        <w:rPr>
          <w:rFonts w:ascii="Tahoma" w:hAnsi="Tahoma" w:cs="Tahoma"/>
          <w:b/>
          <w:iCs/>
          <w:sz w:val="20"/>
          <w:szCs w:val="20"/>
        </w:rPr>
        <w:t>retrait</w:t>
      </w:r>
    </w:p>
    <w:p w14:paraId="0D8DC7F3" w14:textId="77777777" w:rsidR="000942DD" w:rsidRPr="00B004EE" w:rsidRDefault="000942DD" w:rsidP="00B004EE">
      <w:pPr>
        <w:autoSpaceDE w:val="0"/>
        <w:autoSpaceDN w:val="0"/>
        <w:adjustRightInd w:val="0"/>
        <w:jc w:val="center"/>
        <w:rPr>
          <w:rFonts w:ascii="Tahoma" w:hAnsi="Tahoma" w:cs="Tahoma"/>
          <w:b/>
          <w:sz w:val="20"/>
          <w:szCs w:val="20"/>
        </w:rPr>
      </w:pPr>
    </w:p>
    <w:p w14:paraId="0E5A853C" w14:textId="537AAF3A" w:rsidR="002F24E1" w:rsidRPr="00B004EE" w:rsidRDefault="002F24E1" w:rsidP="00B004EE">
      <w:pPr>
        <w:autoSpaceDE w:val="0"/>
        <w:autoSpaceDN w:val="0"/>
        <w:adjustRightInd w:val="0"/>
        <w:jc w:val="both"/>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9.</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agréés,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laboratoires</w:t>
      </w:r>
      <w:r w:rsidR="00DB1635" w:rsidRPr="00B004EE">
        <w:rPr>
          <w:rFonts w:ascii="Tahoma" w:hAnsi="Tahoma" w:cs="Tahoma"/>
          <w:sz w:val="20"/>
          <w:szCs w:val="20"/>
        </w:rPr>
        <w:t xml:space="preserve"> </w:t>
      </w:r>
      <w:r w:rsidRPr="00B004EE">
        <w:rPr>
          <w:rFonts w:ascii="Tahoma" w:hAnsi="Tahoma" w:cs="Tahoma"/>
          <w:sz w:val="20"/>
          <w:szCs w:val="20"/>
        </w:rPr>
        <w:t>doivent</w:t>
      </w:r>
      <w:r w:rsidR="00DB1635" w:rsidRPr="00B004EE">
        <w:rPr>
          <w:rFonts w:ascii="Tahoma" w:hAnsi="Tahoma" w:cs="Tahoma"/>
          <w:sz w:val="20"/>
          <w:szCs w:val="20"/>
        </w:rPr>
        <w:t xml:space="preserve"> </w:t>
      </w:r>
      <w:r w:rsidRPr="00B004EE">
        <w:rPr>
          <w:rFonts w:ascii="Tahoma" w:hAnsi="Tahoma" w:cs="Tahoma"/>
          <w:sz w:val="20"/>
          <w:szCs w:val="20"/>
        </w:rPr>
        <w:t>:</w:t>
      </w:r>
    </w:p>
    <w:p w14:paraId="41B5F53C" w14:textId="77777777" w:rsidR="002F24E1" w:rsidRPr="00B004EE" w:rsidRDefault="002F24E1" w:rsidP="00B004EE">
      <w:pPr>
        <w:autoSpaceDE w:val="0"/>
        <w:autoSpaceDN w:val="0"/>
        <w:adjustRightInd w:val="0"/>
        <w:jc w:val="both"/>
        <w:rPr>
          <w:rFonts w:ascii="Tahoma" w:hAnsi="Tahoma" w:cs="Tahoma"/>
          <w:sz w:val="20"/>
          <w:szCs w:val="20"/>
        </w:rPr>
      </w:pPr>
    </w:p>
    <w:p w14:paraId="7C8DDF9A" w14:textId="4D2759E2" w:rsidR="002F24E1" w:rsidRPr="00B004EE" w:rsidRDefault="002F24E1" w:rsidP="00B004EE">
      <w:pPr>
        <w:autoSpaceDE w:val="0"/>
        <w:autoSpaceDN w:val="0"/>
        <w:adjustRightInd w:val="0"/>
        <w:ind w:left="284" w:hanging="284"/>
        <w:jc w:val="both"/>
        <w:rPr>
          <w:rFonts w:ascii="Tahoma" w:hAnsi="Tahoma" w:cs="Tahoma"/>
          <w:sz w:val="20"/>
          <w:szCs w:val="20"/>
        </w:rPr>
      </w:pPr>
      <w:r w:rsidRPr="00B004EE">
        <w:rPr>
          <w:rFonts w:ascii="Tahoma" w:hAnsi="Tahoma" w:cs="Tahoma"/>
          <w:sz w:val="20"/>
          <w:szCs w:val="20"/>
        </w:rPr>
        <w:t>1.</w:t>
      </w:r>
      <w:r w:rsidR="00DB1635" w:rsidRPr="00B004EE">
        <w:rPr>
          <w:rFonts w:ascii="Tahoma" w:hAnsi="Tahoma" w:cs="Tahoma"/>
          <w:sz w:val="20"/>
          <w:szCs w:val="20"/>
        </w:rPr>
        <w:t xml:space="preserve"> </w:t>
      </w:r>
      <w:r w:rsidRPr="00B004EE">
        <w:rPr>
          <w:rFonts w:ascii="Tahoma" w:hAnsi="Tahoma" w:cs="Tahoma"/>
          <w:sz w:val="20"/>
          <w:szCs w:val="20"/>
        </w:rPr>
        <w:t>Disposer</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personnels,</w:t>
      </w:r>
      <w:r w:rsidR="00DB1635" w:rsidRPr="00B004EE">
        <w:rPr>
          <w:rFonts w:ascii="Tahoma" w:hAnsi="Tahoma" w:cs="Tahoma"/>
          <w:sz w:val="20"/>
          <w:szCs w:val="20"/>
        </w:rPr>
        <w:t xml:space="preserve"> </w:t>
      </w:r>
      <w:r w:rsidRPr="00B004EE">
        <w:rPr>
          <w:rFonts w:ascii="Tahoma" w:hAnsi="Tahoma" w:cs="Tahoma"/>
          <w:sz w:val="20"/>
          <w:szCs w:val="20"/>
        </w:rPr>
        <w:t>locaux,</w:t>
      </w:r>
      <w:r w:rsidR="00DB1635" w:rsidRPr="00B004EE">
        <w:rPr>
          <w:rFonts w:ascii="Tahoma" w:hAnsi="Tahoma" w:cs="Tahoma"/>
          <w:sz w:val="20"/>
          <w:szCs w:val="20"/>
        </w:rPr>
        <w:t xml:space="preserve"> </w:t>
      </w:r>
      <w:r w:rsidRPr="00B004EE">
        <w:rPr>
          <w:rFonts w:ascii="Tahoma" w:hAnsi="Tahoma" w:cs="Tahoma"/>
          <w:sz w:val="20"/>
          <w:szCs w:val="20"/>
        </w:rPr>
        <w:t>équipements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moyens</w:t>
      </w:r>
      <w:r w:rsidR="00DB1635" w:rsidRPr="00B004EE">
        <w:rPr>
          <w:rFonts w:ascii="Tahoma" w:hAnsi="Tahoma" w:cs="Tahoma"/>
          <w:sz w:val="20"/>
          <w:szCs w:val="20"/>
        </w:rPr>
        <w:t xml:space="preserve"> </w:t>
      </w:r>
      <w:r w:rsidRPr="00B004EE">
        <w:rPr>
          <w:rFonts w:ascii="Tahoma" w:hAnsi="Tahoma" w:cs="Tahoma"/>
          <w:sz w:val="20"/>
          <w:szCs w:val="20"/>
        </w:rPr>
        <w:t>nécessaires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réalisation</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leurs</w:t>
      </w:r>
      <w:r w:rsidR="00DB1635" w:rsidRPr="00B004EE">
        <w:rPr>
          <w:rFonts w:ascii="Tahoma" w:hAnsi="Tahoma" w:cs="Tahoma"/>
          <w:sz w:val="20"/>
          <w:szCs w:val="20"/>
        </w:rPr>
        <w:t xml:space="preserve"> </w:t>
      </w:r>
      <w:r w:rsidRPr="00B004EE">
        <w:rPr>
          <w:rFonts w:ascii="Tahoma" w:hAnsi="Tahoma" w:cs="Tahoma"/>
          <w:sz w:val="20"/>
          <w:szCs w:val="20"/>
        </w:rPr>
        <w:t>missions</w:t>
      </w:r>
      <w:r w:rsidR="00DB1635" w:rsidRPr="00B004EE">
        <w:rPr>
          <w:rFonts w:ascii="Tahoma" w:hAnsi="Tahoma" w:cs="Tahoma"/>
          <w:sz w:val="20"/>
          <w:szCs w:val="20"/>
        </w:rPr>
        <w:t xml:space="preserve"> </w:t>
      </w:r>
      <w:r w:rsidRPr="00B004EE">
        <w:rPr>
          <w:rFonts w:ascii="Tahoma" w:hAnsi="Tahoma" w:cs="Tahoma"/>
          <w:sz w:val="20"/>
          <w:szCs w:val="20"/>
        </w:rPr>
        <w:t>;</w:t>
      </w:r>
    </w:p>
    <w:p w14:paraId="69C80ADB" w14:textId="77777777" w:rsidR="002F24E1" w:rsidRPr="00B004EE" w:rsidRDefault="002F24E1" w:rsidP="00B004EE">
      <w:pPr>
        <w:autoSpaceDE w:val="0"/>
        <w:autoSpaceDN w:val="0"/>
        <w:adjustRightInd w:val="0"/>
        <w:ind w:left="284" w:hanging="284"/>
        <w:jc w:val="both"/>
        <w:rPr>
          <w:rFonts w:ascii="Tahoma" w:hAnsi="Tahoma" w:cs="Tahoma"/>
          <w:sz w:val="20"/>
          <w:szCs w:val="20"/>
        </w:rPr>
      </w:pPr>
    </w:p>
    <w:p w14:paraId="3A5573C3" w14:textId="6BCB0CBB" w:rsidR="002F24E1" w:rsidRPr="00B004EE" w:rsidRDefault="002F24E1" w:rsidP="00B004EE">
      <w:pPr>
        <w:autoSpaceDE w:val="0"/>
        <w:autoSpaceDN w:val="0"/>
        <w:adjustRightInd w:val="0"/>
        <w:ind w:left="284" w:hanging="284"/>
        <w:jc w:val="both"/>
        <w:rPr>
          <w:rFonts w:ascii="Tahoma" w:hAnsi="Tahoma" w:cs="Tahoma"/>
          <w:sz w:val="20"/>
          <w:szCs w:val="20"/>
        </w:rPr>
      </w:pPr>
      <w:r w:rsidRPr="00B004EE">
        <w:rPr>
          <w:rFonts w:ascii="Tahoma" w:hAnsi="Tahoma" w:cs="Tahoma"/>
          <w:sz w:val="20"/>
          <w:szCs w:val="20"/>
        </w:rPr>
        <w:t>2.</w:t>
      </w:r>
      <w:r w:rsidR="00DB1635" w:rsidRPr="00B004EE">
        <w:rPr>
          <w:rFonts w:ascii="Tahoma" w:hAnsi="Tahoma" w:cs="Tahoma"/>
          <w:sz w:val="20"/>
          <w:szCs w:val="20"/>
        </w:rPr>
        <w:t xml:space="preserve"> </w:t>
      </w:r>
      <w:r w:rsidRPr="00B004EE">
        <w:rPr>
          <w:rFonts w:ascii="Tahoma" w:hAnsi="Tahoma" w:cs="Tahoma"/>
          <w:sz w:val="20"/>
          <w:szCs w:val="20"/>
        </w:rPr>
        <w:t>Présenter</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garanties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confidentialité,</w:t>
      </w:r>
      <w:r w:rsidR="00DB1635" w:rsidRPr="00B004EE">
        <w:rPr>
          <w:rFonts w:ascii="Tahoma" w:hAnsi="Tahoma" w:cs="Tahoma"/>
          <w:sz w:val="20"/>
          <w:szCs w:val="20"/>
        </w:rPr>
        <w:t xml:space="preserve"> </w:t>
      </w:r>
      <w:r w:rsidRPr="00B004EE">
        <w:rPr>
          <w:rFonts w:ascii="Tahoma" w:hAnsi="Tahoma" w:cs="Tahoma"/>
          <w:sz w:val="20"/>
          <w:szCs w:val="20"/>
        </w:rPr>
        <w:t>d’impartialité</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d’indépendance</w:t>
      </w:r>
      <w:r w:rsidR="00DB1635" w:rsidRPr="00B004EE">
        <w:rPr>
          <w:rFonts w:ascii="Tahoma" w:hAnsi="Tahoma" w:cs="Tahoma"/>
          <w:sz w:val="20"/>
          <w:szCs w:val="20"/>
        </w:rPr>
        <w:t xml:space="preserve"> </w:t>
      </w:r>
      <w:r w:rsidRPr="00B004EE">
        <w:rPr>
          <w:rFonts w:ascii="Tahoma" w:hAnsi="Tahoma" w:cs="Tahoma"/>
          <w:sz w:val="20"/>
          <w:szCs w:val="20"/>
        </w:rPr>
        <w:t>vis-à-vis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toute</w:t>
      </w:r>
      <w:r w:rsidR="00DB1635" w:rsidRPr="00B004EE">
        <w:rPr>
          <w:rFonts w:ascii="Tahoma" w:hAnsi="Tahoma" w:cs="Tahoma"/>
          <w:sz w:val="20"/>
          <w:szCs w:val="20"/>
        </w:rPr>
        <w:t xml:space="preserve"> </w:t>
      </w:r>
      <w:r w:rsidRPr="00B004EE">
        <w:rPr>
          <w:rFonts w:ascii="Tahoma" w:hAnsi="Tahoma" w:cs="Tahoma"/>
          <w:sz w:val="20"/>
          <w:szCs w:val="20"/>
        </w:rPr>
        <w:t>personne</w:t>
      </w:r>
      <w:r w:rsidR="00DB1635" w:rsidRPr="00B004EE">
        <w:rPr>
          <w:rFonts w:ascii="Tahoma" w:hAnsi="Tahoma" w:cs="Tahoma"/>
          <w:sz w:val="20"/>
          <w:szCs w:val="20"/>
        </w:rPr>
        <w:t xml:space="preserve"> </w:t>
      </w:r>
      <w:r w:rsidRPr="00B004EE">
        <w:rPr>
          <w:rFonts w:ascii="Tahoma" w:hAnsi="Tahoma" w:cs="Tahoma"/>
          <w:sz w:val="20"/>
          <w:szCs w:val="20"/>
        </w:rPr>
        <w:t>physique</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morale</w:t>
      </w:r>
      <w:r w:rsidR="00DB1635" w:rsidRPr="00B004EE">
        <w:rPr>
          <w:rFonts w:ascii="Tahoma" w:hAnsi="Tahoma" w:cs="Tahoma"/>
          <w:sz w:val="20"/>
          <w:szCs w:val="20"/>
        </w:rPr>
        <w:t xml:space="preserve"> </w:t>
      </w:r>
      <w:r w:rsidRPr="00B004EE">
        <w:rPr>
          <w:rFonts w:ascii="Tahoma" w:hAnsi="Tahoma" w:cs="Tahoma"/>
          <w:sz w:val="20"/>
          <w:szCs w:val="20"/>
        </w:rPr>
        <w:t>exerçant</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activité</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production,</w:t>
      </w:r>
      <w:r w:rsidR="00DB1635" w:rsidRPr="00B004EE">
        <w:rPr>
          <w:rFonts w:ascii="Tahoma" w:hAnsi="Tahoma" w:cs="Tahoma"/>
          <w:sz w:val="20"/>
          <w:szCs w:val="20"/>
        </w:rPr>
        <w:t xml:space="preserve"> </w:t>
      </w:r>
      <w:r w:rsidRPr="00B004EE">
        <w:rPr>
          <w:rFonts w:ascii="Tahoma" w:hAnsi="Tahoma" w:cs="Tahoma"/>
          <w:sz w:val="20"/>
          <w:szCs w:val="20"/>
        </w:rPr>
        <w:t>d’importation</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commercialisation</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biens</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rapport</w:t>
      </w:r>
      <w:r w:rsidR="00DB1635" w:rsidRPr="00B004EE">
        <w:rPr>
          <w:rFonts w:ascii="Tahoma" w:hAnsi="Tahoma" w:cs="Tahoma"/>
          <w:sz w:val="20"/>
          <w:szCs w:val="20"/>
        </w:rPr>
        <w:t xml:space="preserve"> </w:t>
      </w:r>
      <w:r w:rsidRPr="00B004EE">
        <w:rPr>
          <w:rFonts w:ascii="Tahoma" w:hAnsi="Tahoma" w:cs="Tahoma"/>
          <w:sz w:val="20"/>
          <w:szCs w:val="20"/>
        </w:rPr>
        <w:t>avec</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domaine</w:t>
      </w:r>
      <w:r w:rsidR="00DB1635" w:rsidRPr="00B004EE">
        <w:rPr>
          <w:rFonts w:ascii="Tahoma" w:hAnsi="Tahoma" w:cs="Tahoma"/>
          <w:sz w:val="20"/>
          <w:szCs w:val="20"/>
        </w:rPr>
        <w:t xml:space="preserve"> </w:t>
      </w:r>
      <w:r w:rsidRPr="00B004EE">
        <w:rPr>
          <w:rFonts w:ascii="Tahoma" w:hAnsi="Tahoma" w:cs="Tahoma"/>
          <w:sz w:val="20"/>
          <w:szCs w:val="20"/>
        </w:rPr>
        <w:t>analytique</w:t>
      </w:r>
      <w:r w:rsidR="00DB1635" w:rsidRPr="00B004EE">
        <w:rPr>
          <w:rFonts w:ascii="Tahoma" w:hAnsi="Tahoma" w:cs="Tahoma"/>
          <w:sz w:val="20"/>
          <w:szCs w:val="20"/>
        </w:rPr>
        <w:t xml:space="preserve"> </w:t>
      </w:r>
      <w:r w:rsidRPr="00B004EE">
        <w:rPr>
          <w:rFonts w:ascii="Tahoma" w:hAnsi="Tahoma" w:cs="Tahoma"/>
          <w:sz w:val="20"/>
          <w:szCs w:val="20"/>
        </w:rPr>
        <w:t>concerné</w:t>
      </w:r>
      <w:r w:rsidR="00DB1635" w:rsidRPr="00B004EE">
        <w:rPr>
          <w:rFonts w:ascii="Tahoma" w:hAnsi="Tahoma" w:cs="Tahoma"/>
          <w:sz w:val="20"/>
          <w:szCs w:val="20"/>
        </w:rPr>
        <w:t xml:space="preserve"> </w:t>
      </w:r>
      <w:r w:rsidRPr="00B004EE">
        <w:rPr>
          <w:rFonts w:ascii="Tahoma" w:hAnsi="Tahoma" w:cs="Tahoma"/>
          <w:sz w:val="20"/>
          <w:szCs w:val="20"/>
        </w:rPr>
        <w:t>;</w:t>
      </w:r>
    </w:p>
    <w:p w14:paraId="7B46D182" w14:textId="77777777" w:rsidR="002F24E1" w:rsidRPr="00B004EE" w:rsidRDefault="002F24E1" w:rsidP="00B004EE">
      <w:pPr>
        <w:autoSpaceDE w:val="0"/>
        <w:autoSpaceDN w:val="0"/>
        <w:adjustRightInd w:val="0"/>
        <w:ind w:left="540" w:hanging="180"/>
        <w:jc w:val="both"/>
        <w:rPr>
          <w:rFonts w:ascii="Tahoma" w:hAnsi="Tahoma" w:cs="Tahoma"/>
          <w:sz w:val="20"/>
          <w:szCs w:val="20"/>
        </w:rPr>
      </w:pPr>
    </w:p>
    <w:p w14:paraId="66E067FA" w14:textId="09550DC5" w:rsidR="002F24E1" w:rsidRPr="00B004EE" w:rsidRDefault="002F24E1" w:rsidP="00B004EE">
      <w:pPr>
        <w:autoSpaceDE w:val="0"/>
        <w:autoSpaceDN w:val="0"/>
        <w:adjustRightInd w:val="0"/>
        <w:ind w:left="284" w:hanging="284"/>
        <w:jc w:val="both"/>
        <w:rPr>
          <w:rFonts w:ascii="Tahoma" w:hAnsi="Tahoma" w:cs="Tahoma"/>
          <w:sz w:val="20"/>
          <w:szCs w:val="20"/>
        </w:rPr>
      </w:pPr>
      <w:r w:rsidRPr="00B004EE">
        <w:rPr>
          <w:rFonts w:ascii="Tahoma" w:hAnsi="Tahoma" w:cs="Tahoma"/>
          <w:sz w:val="20"/>
          <w:szCs w:val="20"/>
        </w:rPr>
        <w:t>3.</w:t>
      </w:r>
      <w:r w:rsidR="00DB1635" w:rsidRPr="00B004EE">
        <w:rPr>
          <w:rFonts w:ascii="Tahoma" w:hAnsi="Tahoma" w:cs="Tahoma"/>
          <w:sz w:val="20"/>
          <w:szCs w:val="20"/>
        </w:rPr>
        <w:t xml:space="preserve"> </w:t>
      </w:r>
      <w:r w:rsidRPr="00B004EE">
        <w:rPr>
          <w:rFonts w:ascii="Tahoma" w:hAnsi="Tahoma" w:cs="Tahoma"/>
          <w:sz w:val="20"/>
          <w:szCs w:val="20"/>
        </w:rPr>
        <w:t>Satisfaire</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critères</w:t>
      </w:r>
      <w:r w:rsidR="00DB1635" w:rsidRPr="00B004EE">
        <w:rPr>
          <w:rFonts w:ascii="Tahoma" w:hAnsi="Tahoma" w:cs="Tahoma"/>
          <w:sz w:val="20"/>
          <w:szCs w:val="20"/>
        </w:rPr>
        <w:t xml:space="preserve"> </w:t>
      </w:r>
      <w:r w:rsidRPr="00B004EE">
        <w:rPr>
          <w:rFonts w:ascii="Tahoma" w:hAnsi="Tahoma" w:cs="Tahoma"/>
          <w:sz w:val="20"/>
          <w:szCs w:val="20"/>
        </w:rPr>
        <w:t>généraux</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fonctionnement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laboratoires</w:t>
      </w:r>
      <w:r w:rsidR="00DB1635" w:rsidRPr="00B004EE">
        <w:rPr>
          <w:rFonts w:ascii="Tahoma" w:hAnsi="Tahoma" w:cs="Tahoma"/>
          <w:sz w:val="20"/>
          <w:szCs w:val="20"/>
        </w:rPr>
        <w:t xml:space="preserve"> </w:t>
      </w:r>
      <w:r w:rsidRPr="00B004EE">
        <w:rPr>
          <w:rFonts w:ascii="Tahoma" w:hAnsi="Tahoma" w:cs="Tahoma"/>
          <w:sz w:val="20"/>
          <w:szCs w:val="20"/>
        </w:rPr>
        <w:t>d’essais</w:t>
      </w:r>
      <w:r w:rsidR="00DB1635" w:rsidRPr="00B004EE">
        <w:rPr>
          <w:rFonts w:ascii="Tahoma" w:hAnsi="Tahoma" w:cs="Tahoma"/>
          <w:sz w:val="20"/>
          <w:szCs w:val="20"/>
        </w:rPr>
        <w:t xml:space="preserve"> </w:t>
      </w:r>
      <w:r w:rsidRPr="00B004EE">
        <w:rPr>
          <w:rFonts w:ascii="Tahoma" w:hAnsi="Tahoma" w:cs="Tahoma"/>
          <w:sz w:val="20"/>
          <w:szCs w:val="20"/>
        </w:rPr>
        <w:t>énoncés</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normes</w:t>
      </w:r>
      <w:r w:rsidR="00DB1635" w:rsidRPr="00B004EE">
        <w:rPr>
          <w:rFonts w:ascii="Tahoma" w:hAnsi="Tahoma" w:cs="Tahoma"/>
          <w:sz w:val="20"/>
          <w:szCs w:val="20"/>
        </w:rPr>
        <w:t xml:space="preserve"> </w:t>
      </w:r>
      <w:r w:rsidRPr="00B004EE">
        <w:rPr>
          <w:rFonts w:ascii="Tahoma" w:hAnsi="Tahoma" w:cs="Tahoma"/>
          <w:sz w:val="20"/>
          <w:szCs w:val="20"/>
        </w:rPr>
        <w:t>internationales</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vigueur</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se</w:t>
      </w:r>
      <w:r w:rsidR="00DB1635" w:rsidRPr="00B004EE">
        <w:rPr>
          <w:rFonts w:ascii="Tahoma" w:hAnsi="Tahoma" w:cs="Tahoma"/>
          <w:sz w:val="20"/>
          <w:szCs w:val="20"/>
        </w:rPr>
        <w:t xml:space="preserve"> </w:t>
      </w:r>
      <w:r w:rsidRPr="00B004EE">
        <w:rPr>
          <w:rFonts w:ascii="Tahoma" w:hAnsi="Tahoma" w:cs="Tahoma"/>
          <w:sz w:val="20"/>
          <w:szCs w:val="20"/>
        </w:rPr>
        <w:t>faire</w:t>
      </w:r>
      <w:r w:rsidR="00DB1635" w:rsidRPr="00B004EE">
        <w:rPr>
          <w:rFonts w:ascii="Tahoma" w:hAnsi="Tahoma" w:cs="Tahoma"/>
          <w:sz w:val="20"/>
          <w:szCs w:val="20"/>
        </w:rPr>
        <w:t xml:space="preserve"> </w:t>
      </w:r>
      <w:r w:rsidRPr="00B004EE">
        <w:rPr>
          <w:rFonts w:ascii="Tahoma" w:hAnsi="Tahoma" w:cs="Tahoma"/>
          <w:sz w:val="20"/>
          <w:szCs w:val="20"/>
        </w:rPr>
        <w:t>accréditer</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réalisation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analyses</w:t>
      </w:r>
      <w:r w:rsidR="00DB1635" w:rsidRPr="00B004EE">
        <w:rPr>
          <w:rFonts w:ascii="Tahoma" w:hAnsi="Tahoma" w:cs="Tahoma"/>
          <w:sz w:val="20"/>
          <w:szCs w:val="20"/>
        </w:rPr>
        <w:t xml:space="preserve"> </w:t>
      </w:r>
      <w:r w:rsidRPr="00B004EE">
        <w:rPr>
          <w:rFonts w:ascii="Tahoma" w:hAnsi="Tahoma" w:cs="Tahoma"/>
          <w:sz w:val="20"/>
          <w:szCs w:val="20"/>
        </w:rPr>
        <w:t>faisant</w:t>
      </w:r>
      <w:r w:rsidR="00DB1635" w:rsidRPr="00B004EE">
        <w:rPr>
          <w:rFonts w:ascii="Tahoma" w:hAnsi="Tahoma" w:cs="Tahoma"/>
          <w:sz w:val="20"/>
          <w:szCs w:val="20"/>
        </w:rPr>
        <w:t xml:space="preserve"> </w:t>
      </w:r>
      <w:r w:rsidRPr="00B004EE">
        <w:rPr>
          <w:rFonts w:ascii="Tahoma" w:hAnsi="Tahoma" w:cs="Tahoma"/>
          <w:sz w:val="20"/>
          <w:szCs w:val="20"/>
        </w:rPr>
        <w:t>l’objet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l’agrément</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organisme</w:t>
      </w:r>
      <w:r w:rsidR="00DB1635" w:rsidRPr="00B004EE">
        <w:rPr>
          <w:rFonts w:ascii="Tahoma" w:hAnsi="Tahoma" w:cs="Tahoma"/>
          <w:sz w:val="20"/>
          <w:szCs w:val="20"/>
        </w:rPr>
        <w:t xml:space="preserve"> </w:t>
      </w:r>
      <w:r w:rsidRPr="00B004EE">
        <w:rPr>
          <w:rFonts w:ascii="Tahoma" w:hAnsi="Tahoma" w:cs="Tahoma"/>
          <w:sz w:val="20"/>
          <w:szCs w:val="20"/>
        </w:rPr>
        <w:t>d’accréditation</w:t>
      </w:r>
      <w:r w:rsidR="00DB1635" w:rsidRPr="00B004EE">
        <w:rPr>
          <w:rFonts w:ascii="Tahoma" w:hAnsi="Tahoma" w:cs="Tahoma"/>
          <w:sz w:val="20"/>
          <w:szCs w:val="20"/>
        </w:rPr>
        <w:t xml:space="preserve"> </w:t>
      </w:r>
      <w:r w:rsidRPr="00B004EE">
        <w:rPr>
          <w:rFonts w:ascii="Tahoma" w:hAnsi="Tahoma" w:cs="Tahoma"/>
          <w:sz w:val="20"/>
          <w:szCs w:val="20"/>
        </w:rPr>
        <w:t>reconnu</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niveau</w:t>
      </w:r>
      <w:r w:rsidR="00DB1635" w:rsidRPr="00B004EE">
        <w:rPr>
          <w:rFonts w:ascii="Tahoma" w:hAnsi="Tahoma" w:cs="Tahoma"/>
          <w:sz w:val="20"/>
          <w:szCs w:val="20"/>
        </w:rPr>
        <w:t xml:space="preserve"> </w:t>
      </w:r>
      <w:r w:rsidRPr="00B004EE">
        <w:rPr>
          <w:rFonts w:ascii="Tahoma" w:hAnsi="Tahoma" w:cs="Tahoma"/>
          <w:sz w:val="20"/>
          <w:szCs w:val="20"/>
        </w:rPr>
        <w:t>international.</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analyses</w:t>
      </w:r>
      <w:r w:rsidR="00DB1635" w:rsidRPr="00B004EE">
        <w:rPr>
          <w:rFonts w:ascii="Tahoma" w:hAnsi="Tahoma" w:cs="Tahoma"/>
          <w:sz w:val="20"/>
          <w:szCs w:val="20"/>
        </w:rPr>
        <w:t xml:space="preserve"> </w:t>
      </w:r>
      <w:r w:rsidRPr="00B004EE">
        <w:rPr>
          <w:rFonts w:ascii="Tahoma" w:hAnsi="Tahoma" w:cs="Tahoma"/>
          <w:sz w:val="20"/>
          <w:szCs w:val="20"/>
        </w:rPr>
        <w:t>doivent</w:t>
      </w:r>
      <w:r w:rsidR="00DB1635" w:rsidRPr="00B004EE">
        <w:rPr>
          <w:rFonts w:ascii="Tahoma" w:hAnsi="Tahoma" w:cs="Tahoma"/>
          <w:sz w:val="20"/>
          <w:szCs w:val="20"/>
        </w:rPr>
        <w:t xml:space="preserve"> </w:t>
      </w:r>
      <w:r w:rsidRPr="00B004EE">
        <w:rPr>
          <w:rFonts w:ascii="Tahoma" w:hAnsi="Tahoma" w:cs="Tahoma"/>
          <w:sz w:val="20"/>
          <w:szCs w:val="20"/>
        </w:rPr>
        <w:t>ensuite</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réalisées</w:t>
      </w:r>
      <w:r w:rsidR="00DB1635" w:rsidRPr="00B004EE">
        <w:rPr>
          <w:rFonts w:ascii="Tahoma" w:hAnsi="Tahoma" w:cs="Tahoma"/>
          <w:sz w:val="20"/>
          <w:szCs w:val="20"/>
        </w:rPr>
        <w:t xml:space="preserve"> </w:t>
      </w:r>
      <w:r w:rsidRPr="00B004EE">
        <w:rPr>
          <w:rFonts w:ascii="Tahoma" w:hAnsi="Tahoma" w:cs="Tahoma"/>
          <w:sz w:val="20"/>
          <w:szCs w:val="20"/>
        </w:rPr>
        <w:t>sous</w:t>
      </w:r>
      <w:r w:rsidR="00DB1635" w:rsidRPr="00B004EE">
        <w:rPr>
          <w:rFonts w:ascii="Tahoma" w:hAnsi="Tahoma" w:cs="Tahoma"/>
          <w:sz w:val="20"/>
          <w:szCs w:val="20"/>
        </w:rPr>
        <w:t xml:space="preserve"> </w:t>
      </w:r>
      <w:r w:rsidRPr="00B004EE">
        <w:rPr>
          <w:rFonts w:ascii="Tahoma" w:hAnsi="Tahoma" w:cs="Tahoma"/>
          <w:sz w:val="20"/>
          <w:szCs w:val="20"/>
        </w:rPr>
        <w:t>accréditation.</w:t>
      </w:r>
    </w:p>
    <w:p w14:paraId="4A01D67C" w14:textId="74B75D76" w:rsidR="002F24E1" w:rsidRPr="00B004EE" w:rsidRDefault="002F24E1" w:rsidP="00B004EE">
      <w:pPr>
        <w:autoSpaceDE w:val="0"/>
        <w:autoSpaceDN w:val="0"/>
        <w:adjustRightInd w:val="0"/>
        <w:ind w:left="284" w:hanging="284"/>
        <w:jc w:val="both"/>
        <w:rPr>
          <w:rFonts w:ascii="Tahoma" w:hAnsi="Tahoma" w:cs="Tahoma"/>
          <w:sz w:val="20"/>
          <w:szCs w:val="20"/>
        </w:rPr>
      </w:pPr>
      <w:r w:rsidRPr="00B004EE">
        <w:rPr>
          <w:rFonts w:ascii="Tahoma" w:hAnsi="Tahoma" w:cs="Tahoma"/>
          <w:sz w:val="20"/>
          <w:szCs w:val="20"/>
        </w:rPr>
        <w:t>4.</w:t>
      </w:r>
      <w:r w:rsidR="00DB1635" w:rsidRPr="00B004EE">
        <w:rPr>
          <w:rFonts w:ascii="Tahoma" w:hAnsi="Tahoma" w:cs="Tahoma"/>
          <w:sz w:val="20"/>
          <w:szCs w:val="20"/>
        </w:rPr>
        <w:t xml:space="preserve"> </w:t>
      </w:r>
      <w:r w:rsidRPr="00B004EE">
        <w:rPr>
          <w:rFonts w:ascii="Tahoma" w:hAnsi="Tahoma" w:cs="Tahoma"/>
          <w:sz w:val="20"/>
          <w:szCs w:val="20"/>
        </w:rPr>
        <w:t>S’engager</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entretenir</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permanence</w:t>
      </w:r>
      <w:r w:rsidR="00DB1635" w:rsidRPr="00B004EE">
        <w:rPr>
          <w:rFonts w:ascii="Tahoma" w:hAnsi="Tahoma" w:cs="Tahoma"/>
          <w:sz w:val="20"/>
          <w:szCs w:val="20"/>
        </w:rPr>
        <w:t xml:space="preserve"> </w:t>
      </w:r>
      <w:r w:rsidRPr="00B004EE">
        <w:rPr>
          <w:rFonts w:ascii="Tahoma" w:hAnsi="Tahoma" w:cs="Tahoma"/>
          <w:sz w:val="20"/>
          <w:szCs w:val="20"/>
        </w:rPr>
        <w:t>leur</w:t>
      </w:r>
      <w:r w:rsidR="00DB1635" w:rsidRPr="00B004EE">
        <w:rPr>
          <w:rFonts w:ascii="Tahoma" w:hAnsi="Tahoma" w:cs="Tahoma"/>
          <w:sz w:val="20"/>
          <w:szCs w:val="20"/>
        </w:rPr>
        <w:t xml:space="preserve"> </w:t>
      </w:r>
      <w:r w:rsidRPr="00B004EE">
        <w:rPr>
          <w:rFonts w:ascii="Tahoma" w:hAnsi="Tahoma" w:cs="Tahoma"/>
          <w:sz w:val="20"/>
          <w:szCs w:val="20"/>
        </w:rPr>
        <w:t>compétence</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type</w:t>
      </w:r>
      <w:r w:rsidR="00DB1635" w:rsidRPr="00B004EE">
        <w:rPr>
          <w:rFonts w:ascii="Tahoma" w:hAnsi="Tahoma" w:cs="Tahoma"/>
          <w:sz w:val="20"/>
          <w:szCs w:val="20"/>
        </w:rPr>
        <w:t xml:space="preserve"> </w:t>
      </w:r>
      <w:r w:rsidRPr="00B004EE">
        <w:rPr>
          <w:rFonts w:ascii="Tahoma" w:hAnsi="Tahoma" w:cs="Tahoma"/>
          <w:sz w:val="20"/>
          <w:szCs w:val="20"/>
        </w:rPr>
        <w:t>d’analyses</w:t>
      </w:r>
      <w:r w:rsidR="00DB1635" w:rsidRPr="00B004EE">
        <w:rPr>
          <w:rFonts w:ascii="Tahoma" w:hAnsi="Tahoma" w:cs="Tahoma"/>
          <w:sz w:val="20"/>
          <w:szCs w:val="20"/>
        </w:rPr>
        <w:t xml:space="preserve"> </w:t>
      </w:r>
      <w:r w:rsidRPr="00B004EE">
        <w:rPr>
          <w:rFonts w:ascii="Tahoma" w:hAnsi="Tahoma" w:cs="Tahoma"/>
          <w:sz w:val="20"/>
          <w:szCs w:val="20"/>
        </w:rPr>
        <w:t>faisant</w:t>
      </w:r>
      <w:r w:rsidR="00DB1635" w:rsidRPr="00B004EE">
        <w:rPr>
          <w:rFonts w:ascii="Tahoma" w:hAnsi="Tahoma" w:cs="Tahoma"/>
          <w:sz w:val="20"/>
          <w:szCs w:val="20"/>
        </w:rPr>
        <w:t xml:space="preserve"> </w:t>
      </w:r>
      <w:r w:rsidRPr="00B004EE">
        <w:rPr>
          <w:rFonts w:ascii="Tahoma" w:hAnsi="Tahoma" w:cs="Tahoma"/>
          <w:sz w:val="20"/>
          <w:szCs w:val="20"/>
        </w:rPr>
        <w:t>l’objet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l’agrément.</w:t>
      </w:r>
    </w:p>
    <w:p w14:paraId="438E25C5" w14:textId="77777777" w:rsidR="002F24E1" w:rsidRPr="00B004EE" w:rsidRDefault="002F24E1" w:rsidP="00B004EE">
      <w:pPr>
        <w:autoSpaceDE w:val="0"/>
        <w:autoSpaceDN w:val="0"/>
        <w:adjustRightInd w:val="0"/>
        <w:ind w:left="284" w:hanging="284"/>
        <w:jc w:val="both"/>
        <w:rPr>
          <w:rFonts w:ascii="Tahoma" w:hAnsi="Tahoma" w:cs="Tahoma"/>
          <w:sz w:val="20"/>
          <w:szCs w:val="20"/>
        </w:rPr>
      </w:pPr>
    </w:p>
    <w:p w14:paraId="3F4BBE6C" w14:textId="78DE2C67" w:rsidR="002F24E1" w:rsidRPr="00B004EE" w:rsidRDefault="002F24E1" w:rsidP="00B004EE">
      <w:pPr>
        <w:autoSpaceDE w:val="0"/>
        <w:autoSpaceDN w:val="0"/>
        <w:adjustRightInd w:val="0"/>
        <w:jc w:val="both"/>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10.</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dérogation</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point</w:t>
      </w:r>
      <w:r w:rsidR="00DB1635" w:rsidRPr="00B004EE">
        <w:rPr>
          <w:rFonts w:ascii="Tahoma" w:hAnsi="Tahoma" w:cs="Tahoma"/>
          <w:sz w:val="20"/>
          <w:szCs w:val="20"/>
        </w:rPr>
        <w:t xml:space="preserve"> </w:t>
      </w:r>
      <w:r w:rsidRPr="00B004EE">
        <w:rPr>
          <w:rFonts w:ascii="Tahoma" w:hAnsi="Tahoma" w:cs="Tahoma"/>
          <w:sz w:val="20"/>
          <w:szCs w:val="20"/>
        </w:rPr>
        <w:t>3</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l’article</w:t>
      </w:r>
      <w:r w:rsidR="00DB1635" w:rsidRPr="00B004EE">
        <w:rPr>
          <w:rFonts w:ascii="Tahoma" w:hAnsi="Tahoma" w:cs="Tahoma"/>
          <w:sz w:val="20"/>
          <w:szCs w:val="20"/>
        </w:rPr>
        <w:t xml:space="preserve"> </w:t>
      </w:r>
      <w:r w:rsidRPr="00B004EE">
        <w:rPr>
          <w:rFonts w:ascii="Tahoma" w:hAnsi="Tahoma" w:cs="Tahoma"/>
          <w:sz w:val="20"/>
          <w:szCs w:val="20"/>
        </w:rPr>
        <w:t>9,</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ministre</w:t>
      </w:r>
      <w:r w:rsidR="00DB1635" w:rsidRPr="00B004EE">
        <w:rPr>
          <w:rFonts w:ascii="Tahoma" w:hAnsi="Tahoma" w:cs="Tahoma"/>
          <w:sz w:val="20"/>
          <w:szCs w:val="20"/>
        </w:rPr>
        <w:t xml:space="preserve"> </w:t>
      </w:r>
      <w:r w:rsidRPr="00B004EE">
        <w:rPr>
          <w:rFonts w:ascii="Tahoma" w:hAnsi="Tahoma" w:cs="Tahoma"/>
          <w:sz w:val="20"/>
          <w:szCs w:val="20"/>
        </w:rPr>
        <w:t>chargé</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sz w:val="20"/>
          <w:szCs w:val="20"/>
        </w:rPr>
        <w:t xml:space="preserve"> </w:t>
      </w:r>
      <w:r w:rsidRPr="00B004EE">
        <w:rPr>
          <w:rFonts w:ascii="Tahoma" w:hAnsi="Tahoma" w:cs="Tahoma"/>
          <w:sz w:val="20"/>
          <w:szCs w:val="20"/>
        </w:rPr>
        <w:t>peut</w:t>
      </w:r>
      <w:r w:rsidR="00DB1635" w:rsidRPr="00B004EE">
        <w:rPr>
          <w:rFonts w:ascii="Tahoma" w:hAnsi="Tahoma" w:cs="Tahoma"/>
          <w:sz w:val="20"/>
          <w:szCs w:val="20"/>
        </w:rPr>
        <w:t xml:space="preserve"> </w:t>
      </w:r>
      <w:r w:rsidRPr="00B004EE">
        <w:rPr>
          <w:rFonts w:ascii="Tahoma" w:hAnsi="Tahoma" w:cs="Tahoma"/>
          <w:sz w:val="20"/>
          <w:szCs w:val="20"/>
        </w:rPr>
        <w:t>accorder</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laboratoire</w:t>
      </w:r>
      <w:r w:rsidR="00DB1635" w:rsidRPr="00B004EE">
        <w:rPr>
          <w:rFonts w:ascii="Tahoma" w:hAnsi="Tahoma" w:cs="Tahoma"/>
          <w:sz w:val="20"/>
          <w:szCs w:val="20"/>
        </w:rPr>
        <w:t xml:space="preserve"> </w:t>
      </w:r>
      <w:r w:rsidRPr="00B004EE">
        <w:rPr>
          <w:rFonts w:ascii="Tahoma" w:hAnsi="Tahoma" w:cs="Tahoma"/>
          <w:sz w:val="20"/>
          <w:szCs w:val="20"/>
        </w:rPr>
        <w:t>non</w:t>
      </w:r>
      <w:r w:rsidR="00DB1635" w:rsidRPr="00B004EE">
        <w:rPr>
          <w:rFonts w:ascii="Tahoma" w:hAnsi="Tahoma" w:cs="Tahoma"/>
          <w:sz w:val="20"/>
          <w:szCs w:val="20"/>
        </w:rPr>
        <w:t xml:space="preserve"> </w:t>
      </w:r>
      <w:r w:rsidRPr="00B004EE">
        <w:rPr>
          <w:rFonts w:ascii="Tahoma" w:hAnsi="Tahoma" w:cs="Tahoma"/>
          <w:sz w:val="20"/>
          <w:szCs w:val="20"/>
        </w:rPr>
        <w:t>accrédité</w:t>
      </w:r>
      <w:r w:rsidR="00DB1635" w:rsidRPr="00B004EE">
        <w:rPr>
          <w:rFonts w:ascii="Tahoma" w:hAnsi="Tahoma" w:cs="Tahoma"/>
          <w:sz w:val="20"/>
          <w:szCs w:val="20"/>
        </w:rPr>
        <w:t xml:space="preserve"> </w:t>
      </w: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agrément</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titre</w:t>
      </w:r>
      <w:r w:rsidR="00DB1635" w:rsidRPr="00B004EE">
        <w:rPr>
          <w:rFonts w:ascii="Tahoma" w:hAnsi="Tahoma" w:cs="Tahoma"/>
          <w:sz w:val="20"/>
          <w:szCs w:val="20"/>
        </w:rPr>
        <w:t xml:space="preserve"> </w:t>
      </w:r>
      <w:r w:rsidRPr="00B004EE">
        <w:rPr>
          <w:rFonts w:ascii="Tahoma" w:hAnsi="Tahoma" w:cs="Tahoma"/>
          <w:sz w:val="20"/>
          <w:szCs w:val="20"/>
        </w:rPr>
        <w:t>provisoire</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période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dix-huit</w:t>
      </w:r>
      <w:r w:rsidR="00DB1635" w:rsidRPr="00B004EE">
        <w:rPr>
          <w:rFonts w:ascii="Tahoma" w:hAnsi="Tahoma" w:cs="Tahoma"/>
          <w:sz w:val="20"/>
          <w:szCs w:val="20"/>
        </w:rPr>
        <w:t xml:space="preserve"> </w:t>
      </w:r>
      <w:r w:rsidRPr="00B004EE">
        <w:rPr>
          <w:rFonts w:ascii="Tahoma" w:hAnsi="Tahoma" w:cs="Tahoma"/>
          <w:sz w:val="20"/>
          <w:szCs w:val="20"/>
        </w:rPr>
        <w:t>mois</w:t>
      </w:r>
      <w:r w:rsidR="00DB1635" w:rsidRPr="00B004EE">
        <w:rPr>
          <w:rFonts w:ascii="Tahoma" w:hAnsi="Tahoma" w:cs="Tahoma"/>
          <w:sz w:val="20"/>
          <w:szCs w:val="20"/>
        </w:rPr>
        <w:t xml:space="preserve"> </w:t>
      </w:r>
      <w:r w:rsidRPr="00B004EE">
        <w:rPr>
          <w:rFonts w:ascii="Tahoma" w:hAnsi="Tahoma" w:cs="Tahoma"/>
          <w:sz w:val="20"/>
          <w:szCs w:val="20"/>
        </w:rPr>
        <w:t>après</w:t>
      </w:r>
      <w:r w:rsidR="00DB1635" w:rsidRPr="00B004EE">
        <w:rPr>
          <w:rFonts w:ascii="Tahoma" w:hAnsi="Tahoma" w:cs="Tahoma"/>
          <w:sz w:val="20"/>
          <w:szCs w:val="20"/>
        </w:rPr>
        <w:t xml:space="preserve"> </w:t>
      </w:r>
      <w:r w:rsidRPr="00B004EE">
        <w:rPr>
          <w:rFonts w:ascii="Tahoma" w:hAnsi="Tahoma" w:cs="Tahoma"/>
          <w:sz w:val="20"/>
          <w:szCs w:val="20"/>
        </w:rPr>
        <w:t>avis</w:t>
      </w:r>
      <w:r w:rsidR="00DB1635" w:rsidRPr="00B004EE">
        <w:rPr>
          <w:rFonts w:ascii="Tahoma" w:hAnsi="Tahoma" w:cs="Tahoma"/>
          <w:sz w:val="20"/>
          <w:szCs w:val="20"/>
        </w:rPr>
        <w:t xml:space="preserve"> </w:t>
      </w:r>
      <w:r w:rsidRPr="00B004EE">
        <w:rPr>
          <w:rFonts w:ascii="Tahoma" w:hAnsi="Tahoma" w:cs="Tahoma"/>
          <w:sz w:val="20"/>
          <w:szCs w:val="20"/>
        </w:rPr>
        <w:t>technique</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LNR.</w:t>
      </w:r>
      <w:r w:rsidR="00DB1635" w:rsidRPr="00B004EE">
        <w:rPr>
          <w:rFonts w:ascii="Tahoma" w:hAnsi="Tahoma" w:cs="Tahoma"/>
          <w:sz w:val="20"/>
          <w:szCs w:val="20"/>
        </w:rPr>
        <w:t xml:space="preserve"> </w:t>
      </w:r>
    </w:p>
    <w:p w14:paraId="57D5167D" w14:textId="77777777" w:rsidR="002F24E1" w:rsidRPr="00B004EE" w:rsidRDefault="002F24E1" w:rsidP="00B004EE">
      <w:pPr>
        <w:autoSpaceDE w:val="0"/>
        <w:autoSpaceDN w:val="0"/>
        <w:adjustRightInd w:val="0"/>
        <w:jc w:val="both"/>
        <w:rPr>
          <w:rFonts w:ascii="Tahoma" w:hAnsi="Tahoma" w:cs="Tahoma"/>
          <w:sz w:val="20"/>
          <w:szCs w:val="20"/>
        </w:rPr>
      </w:pPr>
    </w:p>
    <w:p w14:paraId="24CCB0C6" w14:textId="22FF0780" w:rsidR="002F24E1" w:rsidRPr="00B004EE" w:rsidRDefault="002F24E1" w:rsidP="00B004EE">
      <w:pPr>
        <w:autoSpaceDE w:val="0"/>
        <w:autoSpaceDN w:val="0"/>
        <w:adjustRightInd w:val="0"/>
        <w:jc w:val="both"/>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11.</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demandes</w:t>
      </w:r>
      <w:r w:rsidR="00DB1635" w:rsidRPr="00B004EE">
        <w:rPr>
          <w:rFonts w:ascii="Tahoma" w:hAnsi="Tahoma" w:cs="Tahoma"/>
          <w:sz w:val="20"/>
          <w:szCs w:val="20"/>
        </w:rPr>
        <w:t xml:space="preserve"> </w:t>
      </w:r>
      <w:r w:rsidRPr="00B004EE">
        <w:rPr>
          <w:rFonts w:ascii="Tahoma" w:hAnsi="Tahoma" w:cs="Tahoma"/>
          <w:sz w:val="20"/>
          <w:szCs w:val="20"/>
        </w:rPr>
        <w:t>d’agrément</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adressées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l’autorité</w:t>
      </w:r>
      <w:r w:rsidR="00DB1635" w:rsidRPr="00B004EE">
        <w:rPr>
          <w:rFonts w:ascii="Tahoma" w:hAnsi="Tahoma" w:cs="Tahoma"/>
          <w:sz w:val="20"/>
          <w:szCs w:val="20"/>
        </w:rPr>
        <w:t xml:space="preserve"> </w:t>
      </w:r>
      <w:r w:rsidRPr="00B004EE">
        <w:rPr>
          <w:rFonts w:ascii="Tahoma" w:hAnsi="Tahoma" w:cs="Tahoma"/>
          <w:sz w:val="20"/>
          <w:szCs w:val="20"/>
        </w:rPr>
        <w:t>compétente.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liste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pièces</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dossier</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demande</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fixée</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arrêté</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ministre</w:t>
      </w:r>
      <w:r w:rsidR="00DB1635" w:rsidRPr="00B004EE">
        <w:rPr>
          <w:rFonts w:ascii="Tahoma" w:hAnsi="Tahoma" w:cs="Tahoma"/>
          <w:sz w:val="20"/>
          <w:szCs w:val="20"/>
        </w:rPr>
        <w:t xml:space="preserve"> </w:t>
      </w:r>
      <w:r w:rsidRPr="00B004EE">
        <w:rPr>
          <w:rFonts w:ascii="Tahoma" w:hAnsi="Tahoma" w:cs="Tahoma"/>
          <w:sz w:val="20"/>
          <w:szCs w:val="20"/>
        </w:rPr>
        <w:t>chargé</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sz w:val="20"/>
          <w:szCs w:val="20"/>
        </w:rPr>
        <w:t xml:space="preserve"> </w:t>
      </w:r>
      <w:r w:rsidRPr="00B004EE">
        <w:rPr>
          <w:rFonts w:ascii="Tahoma" w:hAnsi="Tahoma" w:cs="Tahoma"/>
          <w:sz w:val="20"/>
          <w:szCs w:val="20"/>
        </w:rPr>
        <w:t>Lorsqu’un</w:t>
      </w:r>
      <w:r w:rsidR="00DB1635" w:rsidRPr="00B004EE">
        <w:rPr>
          <w:rFonts w:ascii="Tahoma" w:hAnsi="Tahoma" w:cs="Tahoma"/>
          <w:sz w:val="20"/>
          <w:szCs w:val="20"/>
        </w:rPr>
        <w:t xml:space="preserve"> </w:t>
      </w:r>
      <w:r w:rsidRPr="00B004EE">
        <w:rPr>
          <w:rFonts w:ascii="Tahoma" w:hAnsi="Tahoma" w:cs="Tahoma"/>
          <w:sz w:val="20"/>
          <w:szCs w:val="20"/>
        </w:rPr>
        <w:t>laboratoire</w:t>
      </w:r>
      <w:r w:rsidR="00DB1635" w:rsidRPr="00B004EE">
        <w:rPr>
          <w:rFonts w:ascii="Tahoma" w:hAnsi="Tahoma" w:cs="Tahoma"/>
          <w:sz w:val="20"/>
          <w:szCs w:val="20"/>
        </w:rPr>
        <w:t xml:space="preserve"> </w:t>
      </w:r>
      <w:r w:rsidRPr="00B004EE">
        <w:rPr>
          <w:rFonts w:ascii="Tahoma" w:hAnsi="Tahoma" w:cs="Tahoma"/>
          <w:sz w:val="20"/>
          <w:szCs w:val="20"/>
        </w:rPr>
        <w:t>comporte</w:t>
      </w:r>
      <w:r w:rsidR="00DB1635" w:rsidRPr="00B004EE">
        <w:rPr>
          <w:rFonts w:ascii="Tahoma" w:hAnsi="Tahoma" w:cs="Tahoma"/>
          <w:sz w:val="20"/>
          <w:szCs w:val="20"/>
        </w:rPr>
        <w:t xml:space="preserve"> </w:t>
      </w:r>
      <w:r w:rsidRPr="00B004EE">
        <w:rPr>
          <w:rFonts w:ascii="Tahoma" w:hAnsi="Tahoma" w:cs="Tahoma"/>
          <w:sz w:val="20"/>
          <w:szCs w:val="20"/>
        </w:rPr>
        <w:t>plusieurs</w:t>
      </w:r>
      <w:r w:rsidR="00DB1635" w:rsidRPr="00B004EE">
        <w:rPr>
          <w:rFonts w:ascii="Tahoma" w:hAnsi="Tahoma" w:cs="Tahoma"/>
          <w:sz w:val="20"/>
          <w:szCs w:val="20"/>
        </w:rPr>
        <w:t xml:space="preserve"> </w:t>
      </w:r>
      <w:r w:rsidRPr="00B004EE">
        <w:rPr>
          <w:rFonts w:ascii="Tahoma" w:hAnsi="Tahoma" w:cs="Tahoma"/>
          <w:sz w:val="20"/>
          <w:szCs w:val="20"/>
        </w:rPr>
        <w:t>établissements,</w:t>
      </w:r>
      <w:r w:rsidR="00DB1635" w:rsidRPr="00B004EE">
        <w:rPr>
          <w:rFonts w:ascii="Tahoma" w:hAnsi="Tahoma" w:cs="Tahoma"/>
          <w:sz w:val="20"/>
          <w:szCs w:val="20"/>
        </w:rPr>
        <w:t xml:space="preserve"> </w:t>
      </w:r>
      <w:r w:rsidRPr="00B004EE">
        <w:rPr>
          <w:rFonts w:ascii="Tahoma" w:hAnsi="Tahoma" w:cs="Tahoma"/>
          <w:sz w:val="20"/>
          <w:szCs w:val="20"/>
        </w:rPr>
        <w:t>chaque</w:t>
      </w:r>
      <w:r w:rsidR="00DB1635" w:rsidRPr="00B004EE">
        <w:rPr>
          <w:rFonts w:ascii="Tahoma" w:hAnsi="Tahoma" w:cs="Tahoma"/>
          <w:sz w:val="20"/>
          <w:szCs w:val="20"/>
        </w:rPr>
        <w:t xml:space="preserve"> </w:t>
      </w:r>
      <w:r w:rsidRPr="00B004EE">
        <w:rPr>
          <w:rFonts w:ascii="Tahoma" w:hAnsi="Tahoma" w:cs="Tahoma"/>
          <w:sz w:val="20"/>
          <w:szCs w:val="20"/>
        </w:rPr>
        <w:t>établissement</w:t>
      </w:r>
      <w:r w:rsidR="00DB1635" w:rsidRPr="00B004EE">
        <w:rPr>
          <w:rFonts w:ascii="Tahoma" w:hAnsi="Tahoma" w:cs="Tahoma"/>
          <w:sz w:val="20"/>
          <w:szCs w:val="20"/>
        </w:rPr>
        <w:t xml:space="preserve"> </w:t>
      </w:r>
      <w:r w:rsidRPr="00B004EE">
        <w:rPr>
          <w:rFonts w:ascii="Tahoma" w:hAnsi="Tahoma" w:cs="Tahoma"/>
          <w:sz w:val="20"/>
          <w:szCs w:val="20"/>
        </w:rPr>
        <w:t>doit</w:t>
      </w:r>
      <w:r w:rsidR="00DB1635" w:rsidRPr="00B004EE">
        <w:rPr>
          <w:rFonts w:ascii="Tahoma" w:hAnsi="Tahoma" w:cs="Tahoma"/>
          <w:sz w:val="20"/>
          <w:szCs w:val="20"/>
        </w:rPr>
        <w:t xml:space="preserve"> </w:t>
      </w:r>
      <w:r w:rsidRPr="00B004EE">
        <w:rPr>
          <w:rFonts w:ascii="Tahoma" w:hAnsi="Tahoma" w:cs="Tahoma"/>
          <w:sz w:val="20"/>
          <w:szCs w:val="20"/>
        </w:rPr>
        <w:t>présenter</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demande</w:t>
      </w:r>
      <w:r w:rsidR="00DB1635" w:rsidRPr="00B004EE">
        <w:rPr>
          <w:rFonts w:ascii="Tahoma" w:hAnsi="Tahoma" w:cs="Tahoma"/>
          <w:sz w:val="20"/>
          <w:szCs w:val="20"/>
        </w:rPr>
        <w:t xml:space="preserve"> </w:t>
      </w:r>
      <w:r w:rsidRPr="00B004EE">
        <w:rPr>
          <w:rFonts w:ascii="Tahoma" w:hAnsi="Tahoma" w:cs="Tahoma"/>
          <w:sz w:val="20"/>
          <w:szCs w:val="20"/>
        </w:rPr>
        <w:t>d’agrément.</w:t>
      </w:r>
    </w:p>
    <w:p w14:paraId="5BA65CF7" w14:textId="77777777" w:rsidR="002F24E1" w:rsidRPr="00B004EE" w:rsidRDefault="002F24E1" w:rsidP="00B004EE">
      <w:pPr>
        <w:autoSpaceDE w:val="0"/>
        <w:autoSpaceDN w:val="0"/>
        <w:adjustRightInd w:val="0"/>
        <w:jc w:val="both"/>
        <w:rPr>
          <w:rFonts w:ascii="Tahoma" w:hAnsi="Tahoma" w:cs="Tahoma"/>
          <w:sz w:val="20"/>
          <w:szCs w:val="20"/>
        </w:rPr>
      </w:pPr>
    </w:p>
    <w:p w14:paraId="1849630C" w14:textId="2E2C7792" w:rsidR="002F24E1" w:rsidRPr="00B004EE" w:rsidRDefault="002F24E1" w:rsidP="00B004EE">
      <w:pPr>
        <w:autoSpaceDE w:val="0"/>
        <w:autoSpaceDN w:val="0"/>
        <w:adjustRightInd w:val="0"/>
        <w:jc w:val="both"/>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12.</w:t>
      </w:r>
      <w:r w:rsidR="00DB1635" w:rsidRPr="00B004EE">
        <w:rPr>
          <w:rFonts w:ascii="Tahoma" w:hAnsi="Tahoma" w:cs="Tahoma"/>
          <w:sz w:val="20"/>
          <w:szCs w:val="20"/>
        </w:rPr>
        <w:t xml:space="preserve"> </w:t>
      </w:r>
      <w:r w:rsidRPr="00B004EE">
        <w:rPr>
          <w:rFonts w:ascii="Tahoma" w:hAnsi="Tahoma" w:cs="Tahoma"/>
          <w:sz w:val="20"/>
          <w:szCs w:val="20"/>
        </w:rPr>
        <w:t>Toute</w:t>
      </w:r>
      <w:r w:rsidR="00DB1635" w:rsidRPr="00B004EE">
        <w:rPr>
          <w:rFonts w:ascii="Tahoma" w:hAnsi="Tahoma" w:cs="Tahoma"/>
          <w:sz w:val="20"/>
          <w:szCs w:val="20"/>
        </w:rPr>
        <w:t xml:space="preserve"> </w:t>
      </w:r>
      <w:r w:rsidRPr="00B004EE">
        <w:rPr>
          <w:rFonts w:ascii="Tahoma" w:hAnsi="Tahoma" w:cs="Tahoma"/>
          <w:sz w:val="20"/>
          <w:szCs w:val="20"/>
        </w:rPr>
        <w:t>modification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conditions</w:t>
      </w:r>
      <w:r w:rsidR="00DB1635" w:rsidRPr="00B004EE">
        <w:rPr>
          <w:rFonts w:ascii="Tahoma" w:hAnsi="Tahoma" w:cs="Tahoma"/>
          <w:sz w:val="20"/>
          <w:szCs w:val="20"/>
        </w:rPr>
        <w:t xml:space="preserve"> </w:t>
      </w:r>
      <w:r w:rsidRPr="00B004EE">
        <w:rPr>
          <w:rFonts w:ascii="Tahoma" w:hAnsi="Tahoma" w:cs="Tahoma"/>
          <w:sz w:val="20"/>
          <w:szCs w:val="20"/>
        </w:rPr>
        <w:t>d’exercice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activités</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laboratoire</w:t>
      </w:r>
      <w:r w:rsidR="00DB1635" w:rsidRPr="00B004EE">
        <w:rPr>
          <w:rFonts w:ascii="Tahoma" w:hAnsi="Tahoma" w:cs="Tahoma"/>
          <w:sz w:val="20"/>
          <w:szCs w:val="20"/>
        </w:rPr>
        <w:t xml:space="preserve"> </w:t>
      </w:r>
      <w:r w:rsidRPr="00B004EE">
        <w:rPr>
          <w:rFonts w:ascii="Tahoma" w:hAnsi="Tahoma" w:cs="Tahoma"/>
          <w:sz w:val="20"/>
          <w:szCs w:val="20"/>
        </w:rPr>
        <w:t>telles</w:t>
      </w:r>
      <w:r w:rsidR="00DB1635" w:rsidRPr="00B004EE">
        <w:rPr>
          <w:rFonts w:ascii="Tahoma" w:hAnsi="Tahoma" w:cs="Tahoma"/>
          <w:sz w:val="20"/>
          <w:szCs w:val="20"/>
        </w:rPr>
        <w:t xml:space="preserve"> </w:t>
      </w:r>
      <w:r w:rsidRPr="00B004EE">
        <w:rPr>
          <w:rFonts w:ascii="Tahoma" w:hAnsi="Tahoma" w:cs="Tahoma"/>
          <w:sz w:val="20"/>
          <w:szCs w:val="20"/>
        </w:rPr>
        <w:t>qu’énoncées</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dossier</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demande</w:t>
      </w:r>
      <w:r w:rsidR="00DB1635" w:rsidRPr="00B004EE">
        <w:rPr>
          <w:rFonts w:ascii="Tahoma" w:hAnsi="Tahoma" w:cs="Tahoma"/>
          <w:sz w:val="20"/>
          <w:szCs w:val="20"/>
        </w:rPr>
        <w:t xml:space="preserve"> </w:t>
      </w:r>
      <w:r w:rsidRPr="00B004EE">
        <w:rPr>
          <w:rFonts w:ascii="Tahoma" w:hAnsi="Tahoma" w:cs="Tahoma"/>
          <w:sz w:val="20"/>
          <w:szCs w:val="20"/>
        </w:rPr>
        <w:t>d’agrément</w:t>
      </w:r>
      <w:r w:rsidR="00DB1635" w:rsidRPr="00B004EE">
        <w:rPr>
          <w:rFonts w:ascii="Tahoma" w:hAnsi="Tahoma" w:cs="Tahoma"/>
          <w:sz w:val="20"/>
          <w:szCs w:val="20"/>
        </w:rPr>
        <w:t xml:space="preserve"> </w:t>
      </w:r>
      <w:r w:rsidRPr="00B004EE">
        <w:rPr>
          <w:rFonts w:ascii="Tahoma" w:hAnsi="Tahoma" w:cs="Tahoma"/>
          <w:sz w:val="20"/>
          <w:szCs w:val="20"/>
        </w:rPr>
        <w:t>doit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portée</w:t>
      </w:r>
      <w:r w:rsidR="00DB1635" w:rsidRPr="00B004EE">
        <w:rPr>
          <w:rFonts w:ascii="Tahoma" w:hAnsi="Tahoma" w:cs="Tahoma"/>
          <w:sz w:val="20"/>
          <w:szCs w:val="20"/>
        </w:rPr>
        <w:t xml:space="preserve"> </w:t>
      </w:r>
      <w:r w:rsidRPr="00B004EE">
        <w:rPr>
          <w:rFonts w:ascii="Tahoma" w:hAnsi="Tahoma" w:cs="Tahoma"/>
          <w:sz w:val="20"/>
          <w:szCs w:val="20"/>
        </w:rPr>
        <w:t>sans</w:t>
      </w:r>
      <w:r w:rsidR="00DB1635" w:rsidRPr="00B004EE">
        <w:rPr>
          <w:rFonts w:ascii="Tahoma" w:hAnsi="Tahoma" w:cs="Tahoma"/>
          <w:sz w:val="20"/>
          <w:szCs w:val="20"/>
        </w:rPr>
        <w:t xml:space="preserve"> </w:t>
      </w:r>
      <w:r w:rsidRPr="00B004EE">
        <w:rPr>
          <w:rFonts w:ascii="Tahoma" w:hAnsi="Tahoma" w:cs="Tahoma"/>
          <w:sz w:val="20"/>
          <w:szCs w:val="20"/>
        </w:rPr>
        <w:t>délai</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connaissance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l’autorité</w:t>
      </w:r>
      <w:r w:rsidR="00DB1635" w:rsidRPr="00B004EE">
        <w:rPr>
          <w:rFonts w:ascii="Tahoma" w:hAnsi="Tahoma" w:cs="Tahoma"/>
          <w:sz w:val="20"/>
          <w:szCs w:val="20"/>
        </w:rPr>
        <w:t xml:space="preserve"> </w:t>
      </w:r>
      <w:r w:rsidRPr="00B004EE">
        <w:rPr>
          <w:rFonts w:ascii="Tahoma" w:hAnsi="Tahoma" w:cs="Tahoma"/>
          <w:sz w:val="20"/>
          <w:szCs w:val="20"/>
        </w:rPr>
        <w:t>compétente.</w:t>
      </w:r>
      <w:r w:rsidR="00DB1635" w:rsidRPr="00B004EE">
        <w:rPr>
          <w:rFonts w:ascii="Tahoma" w:hAnsi="Tahoma" w:cs="Tahoma"/>
          <w:sz w:val="20"/>
          <w:szCs w:val="20"/>
        </w:rPr>
        <w:t xml:space="preserve"> </w:t>
      </w:r>
      <w:r w:rsidRPr="00B004EE">
        <w:rPr>
          <w:rFonts w:ascii="Tahoma" w:hAnsi="Tahoma" w:cs="Tahoma"/>
          <w:sz w:val="20"/>
          <w:szCs w:val="20"/>
        </w:rPr>
        <w:t>Si</w:t>
      </w:r>
      <w:r w:rsidR="00DB1635" w:rsidRPr="00B004EE">
        <w:rPr>
          <w:rFonts w:ascii="Tahoma" w:hAnsi="Tahoma" w:cs="Tahoma"/>
          <w:sz w:val="20"/>
          <w:szCs w:val="20"/>
        </w:rPr>
        <w:t xml:space="preserve"> </w:t>
      </w:r>
      <w:r w:rsidRPr="00B004EE">
        <w:rPr>
          <w:rFonts w:ascii="Tahoma" w:hAnsi="Tahoma" w:cs="Tahoma"/>
          <w:sz w:val="20"/>
          <w:szCs w:val="20"/>
        </w:rPr>
        <w:t>l’importance</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nature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modifications</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justifie,</w:t>
      </w:r>
      <w:r w:rsidR="00DB1635" w:rsidRPr="00B004EE">
        <w:rPr>
          <w:rFonts w:ascii="Tahoma" w:hAnsi="Tahoma" w:cs="Tahoma"/>
          <w:sz w:val="20"/>
          <w:szCs w:val="20"/>
        </w:rPr>
        <w:t xml:space="preserve"> </w:t>
      </w:r>
      <w:r w:rsidRPr="00B004EE">
        <w:rPr>
          <w:rFonts w:ascii="Tahoma" w:hAnsi="Tahoma" w:cs="Tahoma"/>
          <w:sz w:val="20"/>
          <w:szCs w:val="20"/>
        </w:rPr>
        <w:t>l’autorité</w:t>
      </w:r>
      <w:r w:rsidR="00DB1635" w:rsidRPr="00B004EE">
        <w:rPr>
          <w:rFonts w:ascii="Tahoma" w:hAnsi="Tahoma" w:cs="Tahoma"/>
          <w:sz w:val="20"/>
          <w:szCs w:val="20"/>
        </w:rPr>
        <w:t xml:space="preserve"> </w:t>
      </w:r>
      <w:r w:rsidRPr="00B004EE">
        <w:rPr>
          <w:rFonts w:ascii="Tahoma" w:hAnsi="Tahoma" w:cs="Tahoma"/>
          <w:sz w:val="20"/>
          <w:szCs w:val="20"/>
        </w:rPr>
        <w:t>compétente</w:t>
      </w:r>
      <w:r w:rsidR="00DB1635" w:rsidRPr="00B004EE">
        <w:rPr>
          <w:rFonts w:ascii="Tahoma" w:hAnsi="Tahoma" w:cs="Tahoma"/>
          <w:sz w:val="20"/>
          <w:szCs w:val="20"/>
        </w:rPr>
        <w:t xml:space="preserve"> </w:t>
      </w:r>
      <w:r w:rsidRPr="00B004EE">
        <w:rPr>
          <w:rFonts w:ascii="Tahoma" w:hAnsi="Tahoma" w:cs="Tahoma"/>
          <w:sz w:val="20"/>
          <w:szCs w:val="20"/>
        </w:rPr>
        <w:t>peut</w:t>
      </w:r>
      <w:r w:rsidR="00DB1635" w:rsidRPr="00B004EE">
        <w:rPr>
          <w:rFonts w:ascii="Tahoma" w:hAnsi="Tahoma" w:cs="Tahoma"/>
          <w:sz w:val="20"/>
          <w:szCs w:val="20"/>
        </w:rPr>
        <w:t xml:space="preserve"> </w:t>
      </w:r>
      <w:r w:rsidRPr="00B004EE">
        <w:rPr>
          <w:rFonts w:ascii="Tahoma" w:hAnsi="Tahoma" w:cs="Tahoma"/>
          <w:sz w:val="20"/>
          <w:szCs w:val="20"/>
        </w:rPr>
        <w:t>demander</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responsable</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laboratoire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déposer</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délai</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six</w:t>
      </w:r>
      <w:r w:rsidR="00DB1635" w:rsidRPr="00B004EE">
        <w:rPr>
          <w:rFonts w:ascii="Tahoma" w:hAnsi="Tahoma" w:cs="Tahoma"/>
          <w:sz w:val="20"/>
          <w:szCs w:val="20"/>
        </w:rPr>
        <w:t xml:space="preserve"> </w:t>
      </w:r>
      <w:r w:rsidRPr="00B004EE">
        <w:rPr>
          <w:rFonts w:ascii="Tahoma" w:hAnsi="Tahoma" w:cs="Tahoma"/>
          <w:sz w:val="20"/>
          <w:szCs w:val="20"/>
        </w:rPr>
        <w:t>mois</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nouvelle</w:t>
      </w:r>
      <w:r w:rsidR="00DB1635" w:rsidRPr="00B004EE">
        <w:rPr>
          <w:rFonts w:ascii="Tahoma" w:hAnsi="Tahoma" w:cs="Tahoma"/>
          <w:sz w:val="20"/>
          <w:szCs w:val="20"/>
        </w:rPr>
        <w:t xml:space="preserve"> </w:t>
      </w:r>
      <w:r w:rsidRPr="00B004EE">
        <w:rPr>
          <w:rFonts w:ascii="Tahoma" w:hAnsi="Tahoma" w:cs="Tahoma"/>
          <w:sz w:val="20"/>
          <w:szCs w:val="20"/>
        </w:rPr>
        <w:t>demande</w:t>
      </w:r>
      <w:r w:rsidR="00DB1635" w:rsidRPr="00B004EE">
        <w:rPr>
          <w:rFonts w:ascii="Tahoma" w:hAnsi="Tahoma" w:cs="Tahoma"/>
          <w:sz w:val="20"/>
          <w:szCs w:val="20"/>
        </w:rPr>
        <w:t xml:space="preserve"> </w:t>
      </w:r>
      <w:r w:rsidRPr="00B004EE">
        <w:rPr>
          <w:rFonts w:ascii="Tahoma" w:hAnsi="Tahoma" w:cs="Tahoma"/>
          <w:sz w:val="20"/>
          <w:szCs w:val="20"/>
        </w:rPr>
        <w:t>d’agrément.</w:t>
      </w:r>
    </w:p>
    <w:p w14:paraId="52698BBD" w14:textId="77777777" w:rsidR="002F24E1" w:rsidRPr="00B004EE" w:rsidRDefault="002F24E1" w:rsidP="00B004EE">
      <w:pPr>
        <w:autoSpaceDE w:val="0"/>
        <w:autoSpaceDN w:val="0"/>
        <w:adjustRightInd w:val="0"/>
        <w:jc w:val="both"/>
        <w:rPr>
          <w:rFonts w:ascii="Tahoma" w:hAnsi="Tahoma" w:cs="Tahoma"/>
          <w:sz w:val="20"/>
          <w:szCs w:val="20"/>
        </w:rPr>
      </w:pPr>
    </w:p>
    <w:p w14:paraId="3622BD55" w14:textId="57B65AC9" w:rsidR="002F24E1" w:rsidRPr="00B004EE" w:rsidRDefault="002F24E1" w:rsidP="00B004EE">
      <w:pPr>
        <w:autoSpaceDE w:val="0"/>
        <w:autoSpaceDN w:val="0"/>
        <w:adjustRightInd w:val="0"/>
        <w:jc w:val="both"/>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13.</w:t>
      </w:r>
      <w:r w:rsidR="00DB1635" w:rsidRPr="00B004EE">
        <w:rPr>
          <w:rFonts w:ascii="Tahoma" w:hAnsi="Tahoma" w:cs="Tahoma"/>
          <w:sz w:val="20"/>
          <w:szCs w:val="20"/>
        </w:rPr>
        <w:t xml:space="preserve"> </w:t>
      </w:r>
      <w:r w:rsidRPr="00B004EE">
        <w:rPr>
          <w:rFonts w:ascii="Tahoma" w:hAnsi="Tahoma" w:cs="Tahoma"/>
          <w:sz w:val="20"/>
          <w:szCs w:val="20"/>
        </w:rPr>
        <w:t>A</w:t>
      </w:r>
      <w:r w:rsidR="00DB1635" w:rsidRPr="00B004EE">
        <w:rPr>
          <w:rFonts w:ascii="Tahoma" w:hAnsi="Tahoma" w:cs="Tahoma"/>
          <w:sz w:val="20"/>
          <w:szCs w:val="20"/>
        </w:rPr>
        <w:t xml:space="preserve"> </w:t>
      </w:r>
      <w:r w:rsidRPr="00B004EE">
        <w:rPr>
          <w:rFonts w:ascii="Tahoma" w:hAnsi="Tahoma" w:cs="Tahoma"/>
          <w:sz w:val="20"/>
          <w:szCs w:val="20"/>
        </w:rPr>
        <w:t>tout</w:t>
      </w:r>
      <w:r w:rsidR="00DB1635" w:rsidRPr="00B004EE">
        <w:rPr>
          <w:rFonts w:ascii="Tahoma" w:hAnsi="Tahoma" w:cs="Tahoma"/>
          <w:sz w:val="20"/>
          <w:szCs w:val="20"/>
        </w:rPr>
        <w:t xml:space="preserve"> </w:t>
      </w:r>
      <w:r w:rsidRPr="00B004EE">
        <w:rPr>
          <w:rFonts w:ascii="Tahoma" w:hAnsi="Tahoma" w:cs="Tahoma"/>
          <w:sz w:val="20"/>
          <w:szCs w:val="20"/>
        </w:rPr>
        <w:t>moment,</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cas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manquement</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obligations</w:t>
      </w:r>
      <w:r w:rsidR="00DB1635" w:rsidRPr="00B004EE">
        <w:rPr>
          <w:rFonts w:ascii="Tahoma" w:hAnsi="Tahoma" w:cs="Tahoma"/>
          <w:sz w:val="20"/>
          <w:szCs w:val="20"/>
        </w:rPr>
        <w:t xml:space="preserve"> </w:t>
      </w:r>
      <w:r w:rsidRPr="00B004EE">
        <w:rPr>
          <w:rFonts w:ascii="Tahoma" w:hAnsi="Tahoma" w:cs="Tahoma"/>
          <w:sz w:val="20"/>
          <w:szCs w:val="20"/>
        </w:rPr>
        <w:t>résultant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présente</w:t>
      </w:r>
      <w:r w:rsidR="00DB1635" w:rsidRPr="00B004EE">
        <w:rPr>
          <w:rFonts w:ascii="Tahoma" w:hAnsi="Tahoma" w:cs="Tahoma"/>
          <w:sz w:val="20"/>
          <w:szCs w:val="20"/>
        </w:rPr>
        <w:t xml:space="preserve"> </w:t>
      </w:r>
      <w:r w:rsidRPr="00B004EE">
        <w:rPr>
          <w:rFonts w:ascii="Tahoma" w:hAnsi="Tahoma" w:cs="Tahoma"/>
          <w:sz w:val="20"/>
          <w:szCs w:val="20"/>
        </w:rPr>
        <w:t>section</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actes</w:t>
      </w:r>
      <w:r w:rsidR="00DB1635" w:rsidRPr="00B004EE">
        <w:rPr>
          <w:rFonts w:ascii="Tahoma" w:hAnsi="Tahoma" w:cs="Tahoma"/>
          <w:sz w:val="20"/>
          <w:szCs w:val="20"/>
        </w:rPr>
        <w:t xml:space="preserve"> </w:t>
      </w:r>
      <w:r w:rsidRPr="00B004EE">
        <w:rPr>
          <w:rFonts w:ascii="Tahoma" w:hAnsi="Tahoma" w:cs="Tahoma"/>
          <w:sz w:val="20"/>
          <w:szCs w:val="20"/>
        </w:rPr>
        <w:t>pris</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son</w:t>
      </w:r>
      <w:r w:rsidR="00DB1635" w:rsidRPr="00B004EE">
        <w:rPr>
          <w:rFonts w:ascii="Tahoma" w:hAnsi="Tahoma" w:cs="Tahoma"/>
          <w:sz w:val="20"/>
          <w:szCs w:val="20"/>
        </w:rPr>
        <w:t xml:space="preserve"> </w:t>
      </w:r>
      <w:r w:rsidRPr="00B004EE">
        <w:rPr>
          <w:rFonts w:ascii="Tahoma" w:hAnsi="Tahoma" w:cs="Tahoma"/>
          <w:sz w:val="20"/>
          <w:szCs w:val="20"/>
        </w:rPr>
        <w:t>application,</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ministre</w:t>
      </w:r>
      <w:r w:rsidR="00DB1635" w:rsidRPr="00B004EE">
        <w:rPr>
          <w:rFonts w:ascii="Tahoma" w:hAnsi="Tahoma" w:cs="Tahoma"/>
          <w:sz w:val="20"/>
          <w:szCs w:val="20"/>
        </w:rPr>
        <w:t xml:space="preserve"> </w:t>
      </w:r>
      <w:r w:rsidRPr="00B004EE">
        <w:rPr>
          <w:rFonts w:ascii="Tahoma" w:hAnsi="Tahoma" w:cs="Tahoma"/>
          <w:sz w:val="20"/>
          <w:szCs w:val="20"/>
        </w:rPr>
        <w:t>chargé</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sz w:val="20"/>
          <w:szCs w:val="20"/>
        </w:rPr>
        <w:t xml:space="preserve"> </w:t>
      </w:r>
      <w:r w:rsidRPr="00B004EE">
        <w:rPr>
          <w:rFonts w:ascii="Tahoma" w:hAnsi="Tahoma" w:cs="Tahoma"/>
          <w:sz w:val="20"/>
          <w:szCs w:val="20"/>
        </w:rPr>
        <w:t>peut</w:t>
      </w:r>
      <w:r w:rsidR="00DB1635" w:rsidRPr="00B004EE">
        <w:rPr>
          <w:rFonts w:ascii="Tahoma" w:hAnsi="Tahoma" w:cs="Tahoma"/>
          <w:sz w:val="20"/>
          <w:szCs w:val="20"/>
        </w:rPr>
        <w:t xml:space="preserve"> </w:t>
      </w:r>
      <w:r w:rsidRPr="00B004EE">
        <w:rPr>
          <w:rFonts w:ascii="Tahoma" w:hAnsi="Tahoma" w:cs="Tahoma"/>
          <w:sz w:val="20"/>
          <w:szCs w:val="20"/>
        </w:rPr>
        <w:t>suspendre</w:t>
      </w:r>
      <w:r w:rsidR="00DB1635" w:rsidRPr="00B004EE">
        <w:rPr>
          <w:rFonts w:ascii="Tahoma" w:hAnsi="Tahoma" w:cs="Tahoma"/>
          <w:sz w:val="20"/>
          <w:szCs w:val="20"/>
        </w:rPr>
        <w:t xml:space="preserve"> </w:t>
      </w:r>
      <w:r w:rsidRPr="00B004EE">
        <w:rPr>
          <w:rFonts w:ascii="Tahoma" w:hAnsi="Tahoma" w:cs="Tahoma"/>
          <w:sz w:val="20"/>
          <w:szCs w:val="20"/>
        </w:rPr>
        <w:t>l’agrément</w:t>
      </w:r>
      <w:r w:rsidR="00DB1635" w:rsidRPr="00B004EE">
        <w:rPr>
          <w:rFonts w:ascii="Tahoma" w:hAnsi="Tahoma" w:cs="Tahoma"/>
          <w:sz w:val="20"/>
          <w:szCs w:val="20"/>
        </w:rPr>
        <w:t xml:space="preserve"> </w:t>
      </w:r>
      <w:r w:rsidRPr="00B004EE">
        <w:rPr>
          <w:rFonts w:ascii="Tahoma" w:hAnsi="Tahoma" w:cs="Tahoma"/>
          <w:sz w:val="20"/>
          <w:szCs w:val="20"/>
        </w:rPr>
        <w:t>d’un</w:t>
      </w:r>
      <w:r w:rsidR="00DB1635" w:rsidRPr="00B004EE">
        <w:rPr>
          <w:rFonts w:ascii="Tahoma" w:hAnsi="Tahoma" w:cs="Tahoma"/>
          <w:sz w:val="20"/>
          <w:szCs w:val="20"/>
        </w:rPr>
        <w:t xml:space="preserve"> </w:t>
      </w:r>
      <w:r w:rsidRPr="00B004EE">
        <w:rPr>
          <w:rFonts w:ascii="Tahoma" w:hAnsi="Tahoma" w:cs="Tahoma"/>
          <w:sz w:val="20"/>
          <w:szCs w:val="20"/>
        </w:rPr>
        <w:t>laboratoire</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procéder</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son</w:t>
      </w:r>
      <w:r w:rsidR="00DB1635" w:rsidRPr="00B004EE">
        <w:rPr>
          <w:rFonts w:ascii="Tahoma" w:hAnsi="Tahoma" w:cs="Tahoma"/>
          <w:sz w:val="20"/>
          <w:szCs w:val="20"/>
        </w:rPr>
        <w:t xml:space="preserve"> </w:t>
      </w:r>
      <w:r w:rsidRPr="00B004EE">
        <w:rPr>
          <w:rFonts w:ascii="Tahoma" w:hAnsi="Tahoma" w:cs="Tahoma"/>
          <w:sz w:val="20"/>
          <w:szCs w:val="20"/>
        </w:rPr>
        <w:t>retrait</w:t>
      </w:r>
      <w:r w:rsidR="00DB1635" w:rsidRPr="00B004EE">
        <w:rPr>
          <w:rFonts w:ascii="Tahoma" w:hAnsi="Tahoma" w:cs="Tahoma"/>
          <w:sz w:val="20"/>
          <w:szCs w:val="20"/>
        </w:rPr>
        <w:t xml:space="preserve"> </w:t>
      </w:r>
      <w:r w:rsidRPr="00B004EE">
        <w:rPr>
          <w:rFonts w:ascii="Tahoma" w:hAnsi="Tahoma" w:cs="Tahoma"/>
          <w:sz w:val="20"/>
          <w:szCs w:val="20"/>
        </w:rPr>
        <w:t>après</w:t>
      </w:r>
      <w:r w:rsidR="00DB1635" w:rsidRPr="00B004EE">
        <w:rPr>
          <w:rFonts w:ascii="Tahoma" w:hAnsi="Tahoma" w:cs="Tahoma"/>
          <w:sz w:val="20"/>
          <w:szCs w:val="20"/>
        </w:rPr>
        <w:t xml:space="preserve"> </w:t>
      </w:r>
      <w:r w:rsidRPr="00B004EE">
        <w:rPr>
          <w:rFonts w:ascii="Tahoma" w:hAnsi="Tahoma" w:cs="Tahoma"/>
          <w:sz w:val="20"/>
          <w:szCs w:val="20"/>
        </w:rPr>
        <w:t>avis</w:t>
      </w:r>
      <w:r w:rsidR="00DB1635" w:rsidRPr="00B004EE">
        <w:rPr>
          <w:rFonts w:ascii="Tahoma" w:hAnsi="Tahoma" w:cs="Tahoma"/>
          <w:sz w:val="20"/>
          <w:szCs w:val="20"/>
        </w:rPr>
        <w:t xml:space="preserve"> </w:t>
      </w:r>
      <w:r w:rsidRPr="00B004EE">
        <w:rPr>
          <w:rFonts w:ascii="Tahoma" w:hAnsi="Tahoma" w:cs="Tahoma"/>
          <w:sz w:val="20"/>
          <w:szCs w:val="20"/>
        </w:rPr>
        <w:t>technique</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LNR.</w:t>
      </w:r>
    </w:p>
    <w:p w14:paraId="6DC64064" w14:textId="77777777" w:rsidR="002F24E1" w:rsidRPr="00B004EE" w:rsidRDefault="002F24E1" w:rsidP="00B004EE">
      <w:pPr>
        <w:autoSpaceDE w:val="0"/>
        <w:autoSpaceDN w:val="0"/>
        <w:adjustRightInd w:val="0"/>
        <w:jc w:val="both"/>
        <w:rPr>
          <w:rFonts w:ascii="Tahoma" w:hAnsi="Tahoma" w:cs="Tahoma"/>
          <w:sz w:val="20"/>
          <w:szCs w:val="20"/>
        </w:rPr>
      </w:pPr>
    </w:p>
    <w:p w14:paraId="69A12659" w14:textId="78B80026" w:rsidR="002F24E1" w:rsidRPr="00B004EE" w:rsidRDefault="002F24E1" w:rsidP="00B004EE">
      <w:pPr>
        <w:autoSpaceDE w:val="0"/>
        <w:autoSpaceDN w:val="0"/>
        <w:adjustRightInd w:val="0"/>
        <w:jc w:val="both"/>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14.</w:t>
      </w:r>
      <w:r w:rsidR="00DB1635" w:rsidRPr="00B004EE">
        <w:rPr>
          <w:rFonts w:ascii="Tahoma" w:hAnsi="Tahoma" w:cs="Tahoma"/>
          <w:i/>
          <w:iCs/>
          <w:sz w:val="20"/>
          <w:szCs w:val="20"/>
        </w:rPr>
        <w:t xml:space="preserve"> </w:t>
      </w:r>
      <w:r w:rsidRPr="00B004EE">
        <w:rPr>
          <w:rFonts w:ascii="Tahoma" w:hAnsi="Tahoma" w:cs="Tahoma"/>
          <w:sz w:val="20"/>
          <w:szCs w:val="20"/>
        </w:rPr>
        <w:t>Tout</w:t>
      </w:r>
      <w:r w:rsidR="00DB1635" w:rsidRPr="00B004EE">
        <w:rPr>
          <w:rFonts w:ascii="Tahoma" w:hAnsi="Tahoma" w:cs="Tahoma"/>
          <w:sz w:val="20"/>
          <w:szCs w:val="20"/>
        </w:rPr>
        <w:t xml:space="preserve"> </w:t>
      </w:r>
      <w:r w:rsidRPr="00B004EE">
        <w:rPr>
          <w:rFonts w:ascii="Tahoma" w:hAnsi="Tahoma" w:cs="Tahoma"/>
          <w:sz w:val="20"/>
          <w:szCs w:val="20"/>
        </w:rPr>
        <w:t>laboratoire</w:t>
      </w:r>
      <w:r w:rsidR="00DB1635" w:rsidRPr="00B004EE">
        <w:rPr>
          <w:rFonts w:ascii="Tahoma" w:hAnsi="Tahoma" w:cs="Tahoma"/>
          <w:sz w:val="20"/>
          <w:szCs w:val="20"/>
        </w:rPr>
        <w:t xml:space="preserve"> </w:t>
      </w:r>
      <w:r w:rsidRPr="00B004EE">
        <w:rPr>
          <w:rFonts w:ascii="Tahoma" w:hAnsi="Tahoma" w:cs="Tahoma"/>
          <w:sz w:val="20"/>
          <w:szCs w:val="20"/>
        </w:rPr>
        <w:t>qui</w:t>
      </w:r>
      <w:r w:rsidR="00DB1635" w:rsidRPr="00B004EE">
        <w:rPr>
          <w:rFonts w:ascii="Tahoma" w:hAnsi="Tahoma" w:cs="Tahoma"/>
          <w:sz w:val="20"/>
          <w:szCs w:val="20"/>
        </w:rPr>
        <w:t xml:space="preserve"> </w:t>
      </w:r>
      <w:r w:rsidRPr="00B004EE">
        <w:rPr>
          <w:rFonts w:ascii="Tahoma" w:hAnsi="Tahoma" w:cs="Tahoma"/>
          <w:sz w:val="20"/>
          <w:szCs w:val="20"/>
        </w:rPr>
        <w:t>souhaite</w:t>
      </w:r>
      <w:r w:rsidR="00DB1635" w:rsidRPr="00B004EE">
        <w:rPr>
          <w:rFonts w:ascii="Tahoma" w:hAnsi="Tahoma" w:cs="Tahoma"/>
          <w:sz w:val="20"/>
          <w:szCs w:val="20"/>
        </w:rPr>
        <w:t xml:space="preserve"> </w:t>
      </w:r>
      <w:r w:rsidRPr="00B004EE">
        <w:rPr>
          <w:rFonts w:ascii="Tahoma" w:hAnsi="Tahoma" w:cs="Tahoma"/>
          <w:sz w:val="20"/>
          <w:szCs w:val="20"/>
        </w:rPr>
        <w:t>obtenir</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renouvellement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son</w:t>
      </w:r>
      <w:r w:rsidR="00DB1635" w:rsidRPr="00B004EE">
        <w:rPr>
          <w:rFonts w:ascii="Tahoma" w:hAnsi="Tahoma" w:cs="Tahoma"/>
          <w:sz w:val="20"/>
          <w:szCs w:val="20"/>
        </w:rPr>
        <w:t xml:space="preserve"> </w:t>
      </w:r>
      <w:r w:rsidRPr="00B004EE">
        <w:rPr>
          <w:rFonts w:ascii="Tahoma" w:hAnsi="Tahoma" w:cs="Tahoma"/>
          <w:sz w:val="20"/>
          <w:szCs w:val="20"/>
        </w:rPr>
        <w:t>agrément</w:t>
      </w:r>
      <w:r w:rsidR="00DB1635" w:rsidRPr="00B004EE">
        <w:rPr>
          <w:rFonts w:ascii="Tahoma" w:hAnsi="Tahoma" w:cs="Tahoma"/>
          <w:sz w:val="20"/>
          <w:szCs w:val="20"/>
        </w:rPr>
        <w:t xml:space="preserve"> </w:t>
      </w:r>
      <w:r w:rsidRPr="00B004EE">
        <w:rPr>
          <w:rFonts w:ascii="Tahoma" w:hAnsi="Tahoma" w:cs="Tahoma"/>
          <w:sz w:val="20"/>
          <w:szCs w:val="20"/>
        </w:rPr>
        <w:t>doit</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faire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demande</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ministre</w:t>
      </w:r>
      <w:r w:rsidR="00DB1635" w:rsidRPr="00B004EE">
        <w:rPr>
          <w:rFonts w:ascii="Tahoma" w:hAnsi="Tahoma" w:cs="Tahoma"/>
          <w:sz w:val="20"/>
          <w:szCs w:val="20"/>
        </w:rPr>
        <w:t xml:space="preserve"> </w:t>
      </w:r>
      <w:r w:rsidRPr="00B004EE">
        <w:rPr>
          <w:rFonts w:ascii="Tahoma" w:hAnsi="Tahoma" w:cs="Tahoma"/>
          <w:sz w:val="20"/>
          <w:szCs w:val="20"/>
        </w:rPr>
        <w:t>chargé</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sz w:val="20"/>
          <w:szCs w:val="20"/>
        </w:rPr>
        <w:t xml:space="preserve"> </w:t>
      </w:r>
      <w:r w:rsidRPr="00B004EE">
        <w:rPr>
          <w:rFonts w:ascii="Tahoma" w:hAnsi="Tahoma" w:cs="Tahoma"/>
          <w:sz w:val="20"/>
          <w:szCs w:val="20"/>
        </w:rPr>
        <w:t>six</w:t>
      </w:r>
      <w:r w:rsidR="00DB1635" w:rsidRPr="00B004EE">
        <w:rPr>
          <w:rFonts w:ascii="Tahoma" w:hAnsi="Tahoma" w:cs="Tahoma"/>
          <w:sz w:val="20"/>
          <w:szCs w:val="20"/>
        </w:rPr>
        <w:t xml:space="preserve"> </w:t>
      </w:r>
      <w:r w:rsidRPr="00B004EE">
        <w:rPr>
          <w:rFonts w:ascii="Tahoma" w:hAnsi="Tahoma" w:cs="Tahoma"/>
          <w:sz w:val="20"/>
          <w:szCs w:val="20"/>
        </w:rPr>
        <w:t>mois</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plus</w:t>
      </w:r>
      <w:r w:rsidR="00DB1635" w:rsidRPr="00B004EE">
        <w:rPr>
          <w:rFonts w:ascii="Tahoma" w:hAnsi="Tahoma" w:cs="Tahoma"/>
          <w:sz w:val="20"/>
          <w:szCs w:val="20"/>
        </w:rPr>
        <w:t xml:space="preserve"> </w:t>
      </w:r>
      <w:r w:rsidRPr="00B004EE">
        <w:rPr>
          <w:rFonts w:ascii="Tahoma" w:hAnsi="Tahoma" w:cs="Tahoma"/>
          <w:sz w:val="20"/>
          <w:szCs w:val="20"/>
        </w:rPr>
        <w:t>tôt</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trois</w:t>
      </w:r>
      <w:r w:rsidR="00DB1635" w:rsidRPr="00B004EE">
        <w:rPr>
          <w:rFonts w:ascii="Tahoma" w:hAnsi="Tahoma" w:cs="Tahoma"/>
          <w:sz w:val="20"/>
          <w:szCs w:val="20"/>
        </w:rPr>
        <w:t xml:space="preserve"> </w:t>
      </w:r>
      <w:r w:rsidRPr="00B004EE">
        <w:rPr>
          <w:rFonts w:ascii="Tahoma" w:hAnsi="Tahoma" w:cs="Tahoma"/>
          <w:sz w:val="20"/>
          <w:szCs w:val="20"/>
        </w:rPr>
        <w:t>mois</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plus</w:t>
      </w:r>
      <w:r w:rsidR="00DB1635" w:rsidRPr="00B004EE">
        <w:rPr>
          <w:rFonts w:ascii="Tahoma" w:hAnsi="Tahoma" w:cs="Tahoma"/>
          <w:sz w:val="20"/>
          <w:szCs w:val="20"/>
        </w:rPr>
        <w:t xml:space="preserve"> </w:t>
      </w:r>
      <w:r w:rsidRPr="00B004EE">
        <w:rPr>
          <w:rFonts w:ascii="Tahoma" w:hAnsi="Tahoma" w:cs="Tahoma"/>
          <w:sz w:val="20"/>
          <w:szCs w:val="20"/>
        </w:rPr>
        <w:t>tard</w:t>
      </w:r>
      <w:r w:rsidR="00DB1635" w:rsidRPr="00B004EE">
        <w:rPr>
          <w:rFonts w:ascii="Tahoma" w:hAnsi="Tahoma" w:cs="Tahoma"/>
          <w:sz w:val="20"/>
          <w:szCs w:val="20"/>
        </w:rPr>
        <w:t xml:space="preserve"> </w:t>
      </w:r>
      <w:r w:rsidRPr="00B004EE">
        <w:rPr>
          <w:rFonts w:ascii="Tahoma" w:hAnsi="Tahoma" w:cs="Tahoma"/>
          <w:sz w:val="20"/>
          <w:szCs w:val="20"/>
        </w:rPr>
        <w:t>avant</w:t>
      </w:r>
      <w:r w:rsidR="00DB1635" w:rsidRPr="00B004EE">
        <w:rPr>
          <w:rFonts w:ascii="Tahoma" w:hAnsi="Tahoma" w:cs="Tahoma"/>
          <w:sz w:val="20"/>
          <w:szCs w:val="20"/>
        </w:rPr>
        <w:t xml:space="preserve"> </w:t>
      </w:r>
      <w:r w:rsidRPr="00B004EE">
        <w:rPr>
          <w:rFonts w:ascii="Tahoma" w:hAnsi="Tahoma" w:cs="Tahoma"/>
          <w:sz w:val="20"/>
          <w:szCs w:val="20"/>
        </w:rPr>
        <w:t>l’échéance.</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silence</w:t>
      </w:r>
      <w:r w:rsidR="00DB1635" w:rsidRPr="00B004EE">
        <w:rPr>
          <w:rFonts w:ascii="Tahoma" w:hAnsi="Tahoma" w:cs="Tahoma"/>
          <w:sz w:val="20"/>
          <w:szCs w:val="20"/>
        </w:rPr>
        <w:t xml:space="preserve"> </w:t>
      </w:r>
      <w:r w:rsidRPr="00B004EE">
        <w:rPr>
          <w:rFonts w:ascii="Tahoma" w:hAnsi="Tahoma" w:cs="Tahoma"/>
          <w:sz w:val="20"/>
          <w:szCs w:val="20"/>
        </w:rPr>
        <w:t>gardé</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l’administration</w:t>
      </w:r>
      <w:r w:rsidR="00DB1635" w:rsidRPr="00B004EE">
        <w:rPr>
          <w:rFonts w:ascii="Tahoma" w:hAnsi="Tahoma" w:cs="Tahoma"/>
          <w:sz w:val="20"/>
          <w:szCs w:val="20"/>
        </w:rPr>
        <w:t xml:space="preserve"> </w:t>
      </w:r>
      <w:r w:rsidRPr="00B004EE">
        <w:rPr>
          <w:rFonts w:ascii="Tahoma" w:hAnsi="Tahoma" w:cs="Tahoma"/>
          <w:sz w:val="20"/>
          <w:szCs w:val="20"/>
        </w:rPr>
        <w:t>pendant</w:t>
      </w:r>
      <w:r w:rsidR="00DB1635" w:rsidRPr="00B004EE">
        <w:rPr>
          <w:rFonts w:ascii="Tahoma" w:hAnsi="Tahoma" w:cs="Tahoma"/>
          <w:sz w:val="20"/>
          <w:szCs w:val="20"/>
        </w:rPr>
        <w:t xml:space="preserve"> </w:t>
      </w:r>
      <w:r w:rsidRPr="00B004EE">
        <w:rPr>
          <w:rFonts w:ascii="Tahoma" w:hAnsi="Tahoma" w:cs="Tahoma"/>
          <w:sz w:val="20"/>
          <w:szCs w:val="20"/>
        </w:rPr>
        <w:t>trois</w:t>
      </w:r>
      <w:r w:rsidR="00DB1635" w:rsidRPr="00B004EE">
        <w:rPr>
          <w:rFonts w:ascii="Tahoma" w:hAnsi="Tahoma" w:cs="Tahoma"/>
          <w:sz w:val="20"/>
          <w:szCs w:val="20"/>
        </w:rPr>
        <w:t xml:space="preserve"> </w:t>
      </w:r>
      <w:r w:rsidRPr="00B004EE">
        <w:rPr>
          <w:rFonts w:ascii="Tahoma" w:hAnsi="Tahoma" w:cs="Tahoma"/>
          <w:sz w:val="20"/>
          <w:szCs w:val="20"/>
        </w:rPr>
        <w:t>mois</w:t>
      </w:r>
      <w:r w:rsidR="00DB1635" w:rsidRPr="00B004EE">
        <w:rPr>
          <w:rFonts w:ascii="Tahoma" w:hAnsi="Tahoma" w:cs="Tahoma"/>
          <w:sz w:val="20"/>
          <w:szCs w:val="20"/>
        </w:rPr>
        <w:t xml:space="preserve"> </w:t>
      </w:r>
      <w:r w:rsidRPr="00B004EE">
        <w:rPr>
          <w:rFonts w:ascii="Tahoma" w:hAnsi="Tahoma" w:cs="Tahoma"/>
          <w:sz w:val="20"/>
          <w:szCs w:val="20"/>
        </w:rPr>
        <w:t>sur</w:t>
      </w:r>
      <w:r w:rsidR="00DB1635" w:rsidRPr="00B004EE">
        <w:rPr>
          <w:rFonts w:ascii="Tahoma" w:hAnsi="Tahoma" w:cs="Tahoma"/>
          <w:sz w:val="20"/>
          <w:szCs w:val="20"/>
        </w:rPr>
        <w:t xml:space="preserve"> </w:t>
      </w:r>
      <w:r w:rsidRPr="00B004EE">
        <w:rPr>
          <w:rFonts w:ascii="Tahoma" w:hAnsi="Tahoma" w:cs="Tahoma"/>
          <w:sz w:val="20"/>
          <w:szCs w:val="20"/>
        </w:rPr>
        <w:t>cette</w:t>
      </w:r>
      <w:r w:rsidR="00DB1635" w:rsidRPr="00B004EE">
        <w:rPr>
          <w:rFonts w:ascii="Tahoma" w:hAnsi="Tahoma" w:cs="Tahoma"/>
          <w:sz w:val="20"/>
          <w:szCs w:val="20"/>
        </w:rPr>
        <w:t xml:space="preserve"> </w:t>
      </w:r>
      <w:r w:rsidRPr="00B004EE">
        <w:rPr>
          <w:rFonts w:ascii="Tahoma" w:hAnsi="Tahoma" w:cs="Tahoma"/>
          <w:sz w:val="20"/>
          <w:szCs w:val="20"/>
        </w:rPr>
        <w:t>demande</w:t>
      </w:r>
      <w:r w:rsidR="00DB1635" w:rsidRPr="00B004EE">
        <w:rPr>
          <w:rFonts w:ascii="Tahoma" w:hAnsi="Tahoma" w:cs="Tahoma"/>
          <w:sz w:val="20"/>
          <w:szCs w:val="20"/>
        </w:rPr>
        <w:t xml:space="preserve"> </w:t>
      </w:r>
      <w:r w:rsidRPr="00B004EE">
        <w:rPr>
          <w:rFonts w:ascii="Tahoma" w:hAnsi="Tahoma" w:cs="Tahoma"/>
          <w:sz w:val="20"/>
          <w:szCs w:val="20"/>
        </w:rPr>
        <w:t>vaut</w:t>
      </w:r>
      <w:r w:rsidR="00DB1635" w:rsidRPr="00B004EE">
        <w:rPr>
          <w:rFonts w:ascii="Tahoma" w:hAnsi="Tahoma" w:cs="Tahoma"/>
          <w:sz w:val="20"/>
          <w:szCs w:val="20"/>
        </w:rPr>
        <w:t xml:space="preserve"> </w:t>
      </w:r>
      <w:r w:rsidRPr="00B004EE">
        <w:rPr>
          <w:rFonts w:ascii="Tahoma" w:hAnsi="Tahoma" w:cs="Tahoma"/>
          <w:sz w:val="20"/>
          <w:szCs w:val="20"/>
        </w:rPr>
        <w:t>acceptation.</w:t>
      </w:r>
    </w:p>
    <w:p w14:paraId="6649256E" w14:textId="77777777" w:rsidR="002F24E1" w:rsidRPr="00B004EE" w:rsidRDefault="002F24E1" w:rsidP="00B004EE">
      <w:pPr>
        <w:autoSpaceDE w:val="0"/>
        <w:autoSpaceDN w:val="0"/>
        <w:adjustRightInd w:val="0"/>
        <w:jc w:val="both"/>
        <w:rPr>
          <w:rFonts w:ascii="Tahoma" w:hAnsi="Tahoma" w:cs="Tahoma"/>
          <w:sz w:val="20"/>
          <w:szCs w:val="20"/>
        </w:rPr>
      </w:pPr>
    </w:p>
    <w:p w14:paraId="1F2DEBE4" w14:textId="1C3B2DF3" w:rsidR="002F24E1" w:rsidRPr="00B004EE" w:rsidRDefault="002F24E1" w:rsidP="00B004EE">
      <w:pPr>
        <w:autoSpaceDE w:val="0"/>
        <w:autoSpaceDN w:val="0"/>
        <w:adjustRightInd w:val="0"/>
        <w:jc w:val="center"/>
        <w:rPr>
          <w:rFonts w:ascii="Tahoma" w:hAnsi="Tahoma" w:cs="Tahoma"/>
          <w:b/>
          <w:iCs/>
          <w:sz w:val="20"/>
          <w:szCs w:val="20"/>
        </w:rPr>
      </w:pPr>
      <w:r w:rsidRPr="00B004EE">
        <w:rPr>
          <w:rFonts w:ascii="Tahoma" w:hAnsi="Tahoma" w:cs="Tahoma"/>
          <w:b/>
          <w:iCs/>
          <w:sz w:val="20"/>
          <w:szCs w:val="20"/>
        </w:rPr>
        <w:t>Section</w:t>
      </w:r>
      <w:r w:rsidR="00DB1635" w:rsidRPr="00B004EE">
        <w:rPr>
          <w:rFonts w:ascii="Tahoma" w:hAnsi="Tahoma" w:cs="Tahoma"/>
          <w:b/>
          <w:iCs/>
          <w:sz w:val="20"/>
          <w:szCs w:val="20"/>
        </w:rPr>
        <w:t xml:space="preserve"> </w:t>
      </w:r>
      <w:r w:rsidRPr="00B004EE">
        <w:rPr>
          <w:rFonts w:ascii="Tahoma" w:hAnsi="Tahoma" w:cs="Tahoma"/>
          <w:b/>
          <w:iCs/>
          <w:sz w:val="20"/>
          <w:szCs w:val="20"/>
        </w:rPr>
        <w:t>3</w:t>
      </w:r>
      <w:r w:rsidR="00DB1635" w:rsidRPr="00B004EE">
        <w:rPr>
          <w:rFonts w:ascii="Tahoma" w:hAnsi="Tahoma" w:cs="Tahoma"/>
          <w:b/>
          <w:iCs/>
          <w:sz w:val="20"/>
          <w:szCs w:val="20"/>
        </w:rPr>
        <w:t xml:space="preserve"> </w:t>
      </w:r>
      <w:r w:rsidRPr="00B004EE">
        <w:rPr>
          <w:rFonts w:ascii="Tahoma" w:hAnsi="Tahoma" w:cs="Tahoma"/>
          <w:b/>
          <w:iCs/>
          <w:sz w:val="20"/>
          <w:szCs w:val="20"/>
        </w:rPr>
        <w:t>-</w:t>
      </w:r>
      <w:r w:rsidR="00DB1635" w:rsidRPr="00B004EE">
        <w:rPr>
          <w:rFonts w:ascii="Tahoma" w:hAnsi="Tahoma" w:cs="Tahoma"/>
          <w:b/>
          <w:iCs/>
          <w:sz w:val="20"/>
          <w:szCs w:val="20"/>
        </w:rPr>
        <w:t xml:space="preserve"> </w:t>
      </w:r>
      <w:r w:rsidRPr="00B004EE">
        <w:rPr>
          <w:rFonts w:ascii="Tahoma" w:hAnsi="Tahoma" w:cs="Tahoma"/>
          <w:b/>
          <w:iCs/>
          <w:sz w:val="20"/>
          <w:szCs w:val="20"/>
        </w:rPr>
        <w:t>Obligations</w:t>
      </w:r>
      <w:r w:rsidR="00DB1635" w:rsidRPr="00B004EE">
        <w:rPr>
          <w:rFonts w:ascii="Tahoma" w:hAnsi="Tahoma" w:cs="Tahoma"/>
          <w:b/>
          <w:iCs/>
          <w:sz w:val="20"/>
          <w:szCs w:val="20"/>
        </w:rPr>
        <w:t xml:space="preserve"> </w:t>
      </w:r>
      <w:r w:rsidRPr="00B004EE">
        <w:rPr>
          <w:rFonts w:ascii="Tahoma" w:hAnsi="Tahoma" w:cs="Tahoma"/>
          <w:b/>
          <w:iCs/>
          <w:sz w:val="20"/>
          <w:szCs w:val="20"/>
        </w:rPr>
        <w:t>des</w:t>
      </w:r>
      <w:r w:rsidR="00DB1635" w:rsidRPr="00B004EE">
        <w:rPr>
          <w:rFonts w:ascii="Tahoma" w:hAnsi="Tahoma" w:cs="Tahoma"/>
          <w:b/>
          <w:iCs/>
          <w:sz w:val="20"/>
          <w:szCs w:val="20"/>
        </w:rPr>
        <w:t xml:space="preserve"> </w:t>
      </w:r>
      <w:r w:rsidRPr="00B004EE">
        <w:rPr>
          <w:rFonts w:ascii="Tahoma" w:hAnsi="Tahoma" w:cs="Tahoma"/>
          <w:b/>
          <w:iCs/>
          <w:sz w:val="20"/>
          <w:szCs w:val="20"/>
        </w:rPr>
        <w:t>laboratoires</w:t>
      </w:r>
      <w:r w:rsidR="00DB1635" w:rsidRPr="00B004EE">
        <w:rPr>
          <w:rFonts w:ascii="Tahoma" w:hAnsi="Tahoma" w:cs="Tahoma"/>
          <w:b/>
          <w:iCs/>
          <w:sz w:val="20"/>
          <w:szCs w:val="20"/>
        </w:rPr>
        <w:t xml:space="preserve"> </w:t>
      </w:r>
      <w:r w:rsidRPr="00B004EE">
        <w:rPr>
          <w:rFonts w:ascii="Tahoma" w:hAnsi="Tahoma" w:cs="Tahoma"/>
          <w:b/>
          <w:iCs/>
          <w:sz w:val="20"/>
          <w:szCs w:val="20"/>
        </w:rPr>
        <w:t>agréés</w:t>
      </w:r>
    </w:p>
    <w:p w14:paraId="255E7C13" w14:textId="77777777" w:rsidR="000942DD" w:rsidRPr="00B004EE" w:rsidRDefault="000942DD" w:rsidP="00B004EE">
      <w:pPr>
        <w:autoSpaceDE w:val="0"/>
        <w:autoSpaceDN w:val="0"/>
        <w:adjustRightInd w:val="0"/>
        <w:jc w:val="center"/>
        <w:rPr>
          <w:rFonts w:ascii="Tahoma" w:hAnsi="Tahoma" w:cs="Tahoma"/>
          <w:b/>
          <w:iCs/>
          <w:sz w:val="20"/>
          <w:szCs w:val="20"/>
        </w:rPr>
      </w:pPr>
    </w:p>
    <w:p w14:paraId="2AA4BCB6" w14:textId="2DC26A46" w:rsidR="002F24E1" w:rsidRPr="00B004EE" w:rsidRDefault="002F24E1" w:rsidP="00B004EE">
      <w:pPr>
        <w:autoSpaceDE w:val="0"/>
        <w:autoSpaceDN w:val="0"/>
        <w:adjustRightInd w:val="0"/>
        <w:jc w:val="both"/>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15.</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ministre</w:t>
      </w:r>
      <w:r w:rsidR="00DB1635" w:rsidRPr="00B004EE">
        <w:rPr>
          <w:rFonts w:ascii="Tahoma" w:hAnsi="Tahoma" w:cs="Tahoma"/>
          <w:sz w:val="20"/>
          <w:szCs w:val="20"/>
        </w:rPr>
        <w:t xml:space="preserve"> </w:t>
      </w:r>
      <w:r w:rsidRPr="00B004EE">
        <w:rPr>
          <w:rFonts w:ascii="Tahoma" w:hAnsi="Tahoma" w:cs="Tahoma"/>
          <w:sz w:val="20"/>
          <w:szCs w:val="20"/>
        </w:rPr>
        <w:t>chargé</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sz w:val="20"/>
          <w:szCs w:val="20"/>
        </w:rPr>
        <w:t xml:space="preserve"> </w:t>
      </w:r>
      <w:r w:rsidRPr="00B004EE">
        <w:rPr>
          <w:rFonts w:ascii="Tahoma" w:hAnsi="Tahoma" w:cs="Tahoma"/>
          <w:sz w:val="20"/>
          <w:szCs w:val="20"/>
        </w:rPr>
        <w:t>peut</w:t>
      </w:r>
      <w:r w:rsidR="00DB1635" w:rsidRPr="00B004EE">
        <w:rPr>
          <w:rFonts w:ascii="Tahoma" w:hAnsi="Tahoma" w:cs="Tahoma"/>
          <w:sz w:val="20"/>
          <w:szCs w:val="20"/>
        </w:rPr>
        <w:t xml:space="preserve"> </w:t>
      </w:r>
      <w:r w:rsidRPr="00B004EE">
        <w:rPr>
          <w:rFonts w:ascii="Tahoma" w:hAnsi="Tahoma" w:cs="Tahoma"/>
          <w:sz w:val="20"/>
          <w:szCs w:val="20"/>
        </w:rPr>
        <w:t>désigner</w:t>
      </w:r>
      <w:r w:rsidR="00DB1635" w:rsidRPr="00B004EE">
        <w:rPr>
          <w:rFonts w:ascii="Tahoma" w:hAnsi="Tahoma" w:cs="Tahoma"/>
          <w:sz w:val="20"/>
          <w:szCs w:val="20"/>
        </w:rPr>
        <w:t xml:space="preserve"> </w:t>
      </w:r>
      <w:r w:rsidRPr="00B004EE">
        <w:rPr>
          <w:rFonts w:ascii="Tahoma" w:hAnsi="Tahoma" w:cs="Tahoma"/>
          <w:sz w:val="20"/>
          <w:szCs w:val="20"/>
        </w:rPr>
        <w:t>toute</w:t>
      </w:r>
      <w:r w:rsidR="00DB1635" w:rsidRPr="00B004EE">
        <w:rPr>
          <w:rFonts w:ascii="Tahoma" w:hAnsi="Tahoma" w:cs="Tahoma"/>
          <w:sz w:val="20"/>
          <w:szCs w:val="20"/>
        </w:rPr>
        <w:t xml:space="preserve"> </w:t>
      </w:r>
      <w:r w:rsidRPr="00B004EE">
        <w:rPr>
          <w:rFonts w:ascii="Tahoma" w:hAnsi="Tahoma" w:cs="Tahoma"/>
          <w:sz w:val="20"/>
          <w:szCs w:val="20"/>
        </w:rPr>
        <w:t>personne</w:t>
      </w:r>
      <w:r w:rsidR="00DB1635" w:rsidRPr="00B004EE">
        <w:rPr>
          <w:rFonts w:ascii="Tahoma" w:hAnsi="Tahoma" w:cs="Tahoma"/>
          <w:sz w:val="20"/>
          <w:szCs w:val="20"/>
        </w:rPr>
        <w:t xml:space="preserve"> </w:t>
      </w:r>
      <w:r w:rsidRPr="00B004EE">
        <w:rPr>
          <w:rFonts w:ascii="Tahoma" w:hAnsi="Tahoma" w:cs="Tahoma"/>
          <w:sz w:val="20"/>
          <w:szCs w:val="20"/>
        </w:rPr>
        <w:t>qualifiée</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contrôler,</w:t>
      </w:r>
      <w:r w:rsidR="00DB1635" w:rsidRPr="00B004EE">
        <w:rPr>
          <w:rFonts w:ascii="Tahoma" w:hAnsi="Tahoma" w:cs="Tahoma"/>
          <w:sz w:val="20"/>
          <w:szCs w:val="20"/>
        </w:rPr>
        <w:t xml:space="preserve"> </w:t>
      </w:r>
      <w:r w:rsidRPr="00B004EE">
        <w:rPr>
          <w:rFonts w:ascii="Tahoma" w:hAnsi="Tahoma" w:cs="Tahoma"/>
          <w:sz w:val="20"/>
          <w:szCs w:val="20"/>
        </w:rPr>
        <w:t>sur</w:t>
      </w:r>
      <w:r w:rsidR="00DB1635" w:rsidRPr="00B004EE">
        <w:rPr>
          <w:rFonts w:ascii="Tahoma" w:hAnsi="Tahoma" w:cs="Tahoma"/>
          <w:sz w:val="20"/>
          <w:szCs w:val="20"/>
        </w:rPr>
        <w:t xml:space="preserve"> </w:t>
      </w:r>
      <w:r w:rsidRPr="00B004EE">
        <w:rPr>
          <w:rFonts w:ascii="Tahoma" w:hAnsi="Tahoma" w:cs="Tahoma"/>
          <w:sz w:val="20"/>
          <w:szCs w:val="20"/>
        </w:rPr>
        <w:t>pièces</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sur</w:t>
      </w:r>
      <w:r w:rsidR="00DB1635" w:rsidRPr="00B004EE">
        <w:rPr>
          <w:rFonts w:ascii="Tahoma" w:hAnsi="Tahoma" w:cs="Tahoma"/>
          <w:sz w:val="20"/>
          <w:szCs w:val="20"/>
        </w:rPr>
        <w:t xml:space="preserve"> </w:t>
      </w:r>
      <w:r w:rsidRPr="00B004EE">
        <w:rPr>
          <w:rFonts w:ascii="Tahoma" w:hAnsi="Tahoma" w:cs="Tahoma"/>
          <w:sz w:val="20"/>
          <w:szCs w:val="20"/>
        </w:rPr>
        <w:t>place,</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respect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dispositions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présente</w:t>
      </w:r>
      <w:r w:rsidR="00DB1635" w:rsidRPr="00B004EE">
        <w:rPr>
          <w:rFonts w:ascii="Tahoma" w:hAnsi="Tahoma" w:cs="Tahoma"/>
          <w:sz w:val="20"/>
          <w:szCs w:val="20"/>
        </w:rPr>
        <w:t xml:space="preserve"> </w:t>
      </w:r>
      <w:r w:rsidRPr="00B004EE">
        <w:rPr>
          <w:rFonts w:ascii="Tahoma" w:hAnsi="Tahoma" w:cs="Tahoma"/>
          <w:sz w:val="20"/>
          <w:szCs w:val="20"/>
        </w:rPr>
        <w:t>section</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laboratoires</w:t>
      </w:r>
      <w:r w:rsidR="00DB1635" w:rsidRPr="00B004EE">
        <w:rPr>
          <w:rFonts w:ascii="Tahoma" w:hAnsi="Tahoma" w:cs="Tahoma"/>
          <w:sz w:val="20"/>
          <w:szCs w:val="20"/>
        </w:rPr>
        <w:t xml:space="preserve"> </w:t>
      </w:r>
      <w:r w:rsidRPr="00B004EE">
        <w:rPr>
          <w:rFonts w:ascii="Tahoma" w:hAnsi="Tahoma" w:cs="Tahoma"/>
          <w:sz w:val="20"/>
          <w:szCs w:val="20"/>
        </w:rPr>
        <w:t>agréés.</w:t>
      </w:r>
      <w:r w:rsidR="00DB1635" w:rsidRPr="00B004EE">
        <w:rPr>
          <w:rFonts w:ascii="Tahoma" w:hAnsi="Tahoma" w:cs="Tahoma"/>
          <w:sz w:val="20"/>
          <w:szCs w:val="20"/>
        </w:rPr>
        <w:t xml:space="preserve"> </w:t>
      </w:r>
      <w:r w:rsidRPr="00B004EE">
        <w:rPr>
          <w:rFonts w:ascii="Tahoma" w:hAnsi="Tahoma" w:cs="Tahoma"/>
          <w:sz w:val="20"/>
          <w:szCs w:val="20"/>
        </w:rPr>
        <w:t>Ceux-ci</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tenus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participer</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tout</w:t>
      </w:r>
      <w:r w:rsidR="00DB1635" w:rsidRPr="00B004EE">
        <w:rPr>
          <w:rFonts w:ascii="Tahoma" w:hAnsi="Tahoma" w:cs="Tahoma"/>
          <w:sz w:val="20"/>
          <w:szCs w:val="20"/>
        </w:rPr>
        <w:t xml:space="preserve"> </w:t>
      </w:r>
      <w:r w:rsidRPr="00B004EE">
        <w:rPr>
          <w:rFonts w:ascii="Tahoma" w:hAnsi="Tahoma" w:cs="Tahoma"/>
          <w:sz w:val="20"/>
          <w:szCs w:val="20"/>
        </w:rPr>
        <w:t>processus</w:t>
      </w:r>
      <w:r w:rsidR="00DB1635" w:rsidRPr="00B004EE">
        <w:rPr>
          <w:rFonts w:ascii="Tahoma" w:hAnsi="Tahoma" w:cs="Tahoma"/>
          <w:sz w:val="20"/>
          <w:szCs w:val="20"/>
        </w:rPr>
        <w:t xml:space="preserve"> </w:t>
      </w:r>
      <w:r w:rsidRPr="00B004EE">
        <w:rPr>
          <w:rFonts w:ascii="Tahoma" w:hAnsi="Tahoma" w:cs="Tahoma"/>
          <w:sz w:val="20"/>
          <w:szCs w:val="20"/>
        </w:rPr>
        <w:t>d’évaluation</w:t>
      </w:r>
      <w:r w:rsidR="00DB1635" w:rsidRPr="00B004EE">
        <w:rPr>
          <w:rFonts w:ascii="Tahoma" w:hAnsi="Tahoma" w:cs="Tahoma"/>
          <w:sz w:val="20"/>
          <w:szCs w:val="20"/>
        </w:rPr>
        <w:t xml:space="preserve"> </w:t>
      </w:r>
      <w:r w:rsidRPr="00B004EE">
        <w:rPr>
          <w:rFonts w:ascii="Tahoma" w:hAnsi="Tahoma" w:cs="Tahoma"/>
          <w:sz w:val="20"/>
          <w:szCs w:val="20"/>
        </w:rPr>
        <w:t>technique</w:t>
      </w:r>
      <w:r w:rsidR="00DB1635" w:rsidRPr="00B004EE">
        <w:rPr>
          <w:rFonts w:ascii="Tahoma" w:hAnsi="Tahoma" w:cs="Tahoma"/>
          <w:sz w:val="20"/>
          <w:szCs w:val="20"/>
        </w:rPr>
        <w:t xml:space="preserve"> </w:t>
      </w:r>
      <w:r w:rsidRPr="00B004EE">
        <w:rPr>
          <w:rFonts w:ascii="Tahoma" w:hAnsi="Tahoma" w:cs="Tahoma"/>
          <w:sz w:val="20"/>
          <w:szCs w:val="20"/>
        </w:rPr>
        <w:t>demandé</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ministre</w:t>
      </w:r>
      <w:r w:rsidR="00DB1635" w:rsidRPr="00B004EE">
        <w:rPr>
          <w:rFonts w:ascii="Tahoma" w:hAnsi="Tahoma" w:cs="Tahoma"/>
          <w:sz w:val="20"/>
          <w:szCs w:val="20"/>
        </w:rPr>
        <w:t xml:space="preserve"> </w:t>
      </w:r>
      <w:r w:rsidRPr="00B004EE">
        <w:rPr>
          <w:rFonts w:ascii="Tahoma" w:hAnsi="Tahoma" w:cs="Tahoma"/>
          <w:sz w:val="20"/>
          <w:szCs w:val="20"/>
        </w:rPr>
        <w:t>chargé</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p>
    <w:p w14:paraId="0CE859FA" w14:textId="77777777" w:rsidR="002F24E1" w:rsidRPr="00B004EE" w:rsidRDefault="002F24E1" w:rsidP="00B004EE">
      <w:pPr>
        <w:autoSpaceDE w:val="0"/>
        <w:autoSpaceDN w:val="0"/>
        <w:adjustRightInd w:val="0"/>
        <w:jc w:val="both"/>
        <w:rPr>
          <w:rFonts w:ascii="Tahoma" w:hAnsi="Tahoma" w:cs="Tahoma"/>
          <w:sz w:val="20"/>
          <w:szCs w:val="20"/>
        </w:rPr>
      </w:pPr>
    </w:p>
    <w:p w14:paraId="48D086B7" w14:textId="3CF3D613" w:rsidR="002F24E1" w:rsidRPr="00B004EE" w:rsidRDefault="002F24E1" w:rsidP="00B004EE">
      <w:pPr>
        <w:autoSpaceDE w:val="0"/>
        <w:autoSpaceDN w:val="0"/>
        <w:adjustRightInd w:val="0"/>
        <w:jc w:val="both"/>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16.</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analyses</w:t>
      </w:r>
      <w:r w:rsidR="00DB1635" w:rsidRPr="00B004EE">
        <w:rPr>
          <w:rFonts w:ascii="Tahoma" w:hAnsi="Tahoma" w:cs="Tahoma"/>
          <w:sz w:val="20"/>
          <w:szCs w:val="20"/>
        </w:rPr>
        <w:t xml:space="preserve"> </w:t>
      </w:r>
      <w:r w:rsidRPr="00B004EE">
        <w:rPr>
          <w:rFonts w:ascii="Tahoma" w:hAnsi="Tahoma" w:cs="Tahoma"/>
          <w:sz w:val="20"/>
          <w:szCs w:val="20"/>
        </w:rPr>
        <w:t>mentionnées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l’article</w:t>
      </w:r>
      <w:r w:rsidR="00DB1635" w:rsidRPr="00B004EE">
        <w:rPr>
          <w:rFonts w:ascii="Tahoma" w:hAnsi="Tahoma" w:cs="Tahoma"/>
          <w:sz w:val="20"/>
          <w:szCs w:val="20"/>
        </w:rPr>
        <w:t xml:space="preserve"> </w:t>
      </w:r>
      <w:r w:rsidRPr="00B004EE">
        <w:rPr>
          <w:rFonts w:ascii="Tahoma" w:hAnsi="Tahoma" w:cs="Tahoma"/>
          <w:sz w:val="20"/>
          <w:szCs w:val="20"/>
        </w:rPr>
        <w:t>8</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réalisées</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laboratoires</w:t>
      </w:r>
      <w:r w:rsidR="00DB1635" w:rsidRPr="00B004EE">
        <w:rPr>
          <w:rFonts w:ascii="Tahoma" w:hAnsi="Tahoma" w:cs="Tahoma"/>
          <w:sz w:val="20"/>
          <w:szCs w:val="20"/>
        </w:rPr>
        <w:t xml:space="preserve"> </w:t>
      </w:r>
      <w:r w:rsidRPr="00B004EE">
        <w:rPr>
          <w:rFonts w:ascii="Tahoma" w:hAnsi="Tahoma" w:cs="Tahoma"/>
          <w:sz w:val="20"/>
          <w:szCs w:val="20"/>
        </w:rPr>
        <w:t>agréés</w:t>
      </w:r>
      <w:r w:rsidR="00DB1635" w:rsidRPr="00B004EE">
        <w:rPr>
          <w:rFonts w:ascii="Tahoma" w:hAnsi="Tahoma" w:cs="Tahoma"/>
          <w:sz w:val="20"/>
          <w:szCs w:val="20"/>
        </w:rPr>
        <w:t xml:space="preserve"> </w:t>
      </w:r>
      <w:r w:rsidRPr="00B004EE">
        <w:rPr>
          <w:rFonts w:ascii="Tahoma" w:hAnsi="Tahoma" w:cs="Tahoma"/>
          <w:sz w:val="20"/>
          <w:szCs w:val="20"/>
        </w:rPr>
        <w:t>conformément</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méthodes</w:t>
      </w:r>
      <w:r w:rsidR="00DB1635" w:rsidRPr="00B004EE">
        <w:rPr>
          <w:rFonts w:ascii="Tahoma" w:hAnsi="Tahoma" w:cs="Tahoma"/>
          <w:sz w:val="20"/>
          <w:szCs w:val="20"/>
        </w:rPr>
        <w:t xml:space="preserve"> </w:t>
      </w:r>
      <w:r w:rsidRPr="00B004EE">
        <w:rPr>
          <w:rFonts w:ascii="Tahoma" w:hAnsi="Tahoma" w:cs="Tahoma"/>
          <w:sz w:val="20"/>
          <w:szCs w:val="20"/>
        </w:rPr>
        <w:t>officielles</w:t>
      </w:r>
      <w:r w:rsidR="00DB1635" w:rsidRPr="00B004EE">
        <w:rPr>
          <w:rFonts w:ascii="Tahoma" w:hAnsi="Tahoma" w:cs="Tahoma"/>
          <w:sz w:val="20"/>
          <w:szCs w:val="20"/>
        </w:rPr>
        <w:t xml:space="preserve"> </w:t>
      </w:r>
      <w:r w:rsidRPr="00B004EE">
        <w:rPr>
          <w:rFonts w:ascii="Tahoma" w:hAnsi="Tahoma" w:cs="Tahoma"/>
          <w:sz w:val="20"/>
          <w:szCs w:val="20"/>
        </w:rPr>
        <w:t>publiées</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arrêté</w:t>
      </w:r>
      <w:r w:rsidR="00DB1635" w:rsidRPr="00B004EE">
        <w:rPr>
          <w:rFonts w:ascii="Tahoma" w:hAnsi="Tahoma" w:cs="Tahoma"/>
          <w:i/>
          <w:iCs/>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ministère</w:t>
      </w:r>
      <w:r w:rsidR="00DB1635" w:rsidRPr="00B004EE">
        <w:rPr>
          <w:rFonts w:ascii="Tahoma" w:hAnsi="Tahoma" w:cs="Tahoma"/>
          <w:sz w:val="20"/>
          <w:szCs w:val="20"/>
        </w:rPr>
        <w:t xml:space="preserve"> </w:t>
      </w:r>
      <w:r w:rsidRPr="00B004EE">
        <w:rPr>
          <w:rFonts w:ascii="Tahoma" w:hAnsi="Tahoma" w:cs="Tahoma"/>
          <w:sz w:val="20"/>
          <w:szCs w:val="20"/>
        </w:rPr>
        <w:t>chargé</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p>
    <w:p w14:paraId="02CCEB7B" w14:textId="77777777" w:rsidR="002F24E1" w:rsidRPr="00B004EE" w:rsidRDefault="002F24E1" w:rsidP="00B004EE">
      <w:pPr>
        <w:autoSpaceDE w:val="0"/>
        <w:autoSpaceDN w:val="0"/>
        <w:adjustRightInd w:val="0"/>
        <w:jc w:val="both"/>
        <w:rPr>
          <w:rFonts w:ascii="Tahoma" w:hAnsi="Tahoma" w:cs="Tahoma"/>
          <w:sz w:val="20"/>
          <w:szCs w:val="20"/>
        </w:rPr>
      </w:pPr>
    </w:p>
    <w:p w14:paraId="0A728EBA" w14:textId="5ABC672F" w:rsidR="002F24E1" w:rsidRPr="00B004EE" w:rsidRDefault="002F24E1" w:rsidP="00B004EE">
      <w:pPr>
        <w:autoSpaceDE w:val="0"/>
        <w:autoSpaceDN w:val="0"/>
        <w:adjustRightInd w:val="0"/>
        <w:jc w:val="both"/>
        <w:rPr>
          <w:rFonts w:ascii="Tahoma" w:hAnsi="Tahoma" w:cs="Tahoma"/>
          <w:sz w:val="20"/>
          <w:szCs w:val="20"/>
        </w:rPr>
      </w:pPr>
      <w:r w:rsidRPr="00B004EE">
        <w:rPr>
          <w:rFonts w:ascii="Tahoma" w:hAnsi="Tahoma" w:cs="Tahoma"/>
          <w:sz w:val="20"/>
          <w:szCs w:val="20"/>
        </w:rPr>
        <w:t>Lorsqu’une</w:t>
      </w:r>
      <w:r w:rsidR="00DB1635" w:rsidRPr="00B004EE">
        <w:rPr>
          <w:rFonts w:ascii="Tahoma" w:hAnsi="Tahoma" w:cs="Tahoma"/>
          <w:sz w:val="20"/>
          <w:szCs w:val="20"/>
        </w:rPr>
        <w:t xml:space="preserve"> </w:t>
      </w:r>
      <w:r w:rsidRPr="00B004EE">
        <w:rPr>
          <w:rFonts w:ascii="Tahoma" w:hAnsi="Tahoma" w:cs="Tahoma"/>
          <w:sz w:val="20"/>
          <w:szCs w:val="20"/>
        </w:rPr>
        <w:t>nouvelle</w:t>
      </w:r>
      <w:r w:rsidR="00DB1635" w:rsidRPr="00B004EE">
        <w:rPr>
          <w:rFonts w:ascii="Tahoma" w:hAnsi="Tahoma" w:cs="Tahoma"/>
          <w:sz w:val="20"/>
          <w:szCs w:val="20"/>
        </w:rPr>
        <w:t xml:space="preserve"> </w:t>
      </w:r>
      <w:r w:rsidRPr="00B004EE">
        <w:rPr>
          <w:rFonts w:ascii="Tahoma" w:hAnsi="Tahoma" w:cs="Tahoma"/>
          <w:sz w:val="20"/>
          <w:szCs w:val="20"/>
        </w:rPr>
        <w:t>méthode</w:t>
      </w:r>
      <w:r w:rsidR="00DB1635" w:rsidRPr="00B004EE">
        <w:rPr>
          <w:rFonts w:ascii="Tahoma" w:hAnsi="Tahoma" w:cs="Tahoma"/>
          <w:sz w:val="20"/>
          <w:szCs w:val="20"/>
        </w:rPr>
        <w:t xml:space="preserve"> </w:t>
      </w:r>
      <w:r w:rsidRPr="00B004EE">
        <w:rPr>
          <w:rFonts w:ascii="Tahoma" w:hAnsi="Tahoma" w:cs="Tahoma"/>
          <w:sz w:val="20"/>
          <w:szCs w:val="20"/>
        </w:rPr>
        <w:t>officielle</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publiée</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type</w:t>
      </w:r>
      <w:r w:rsidR="00DB1635" w:rsidRPr="00B004EE">
        <w:rPr>
          <w:rFonts w:ascii="Tahoma" w:hAnsi="Tahoma" w:cs="Tahoma"/>
          <w:sz w:val="20"/>
          <w:szCs w:val="20"/>
        </w:rPr>
        <w:t xml:space="preserve"> </w:t>
      </w:r>
      <w:r w:rsidRPr="00B004EE">
        <w:rPr>
          <w:rFonts w:ascii="Tahoma" w:hAnsi="Tahoma" w:cs="Tahoma"/>
          <w:sz w:val="20"/>
          <w:szCs w:val="20"/>
        </w:rPr>
        <w:t>d’analyse</w:t>
      </w:r>
      <w:r w:rsidR="00DB1635" w:rsidRPr="00B004EE">
        <w:rPr>
          <w:rFonts w:ascii="Tahoma" w:hAnsi="Tahoma" w:cs="Tahoma"/>
          <w:sz w:val="20"/>
          <w:szCs w:val="20"/>
        </w:rPr>
        <w:t xml:space="preserve"> </w:t>
      </w:r>
      <w:r w:rsidRPr="00B004EE">
        <w:rPr>
          <w:rFonts w:ascii="Tahoma" w:hAnsi="Tahoma" w:cs="Tahoma"/>
          <w:sz w:val="20"/>
          <w:szCs w:val="20"/>
        </w:rPr>
        <w:t>donné,</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laboratoires</w:t>
      </w:r>
      <w:r w:rsidR="00DB1635" w:rsidRPr="00B004EE">
        <w:rPr>
          <w:rFonts w:ascii="Tahoma" w:hAnsi="Tahoma" w:cs="Tahoma"/>
          <w:sz w:val="20"/>
          <w:szCs w:val="20"/>
        </w:rPr>
        <w:t xml:space="preserve"> </w:t>
      </w:r>
      <w:r w:rsidRPr="00B004EE">
        <w:rPr>
          <w:rFonts w:ascii="Tahoma" w:hAnsi="Tahoma" w:cs="Tahoma"/>
          <w:sz w:val="20"/>
          <w:szCs w:val="20"/>
        </w:rPr>
        <w:t>agréés</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ce</w:t>
      </w:r>
      <w:r w:rsidR="00DB1635" w:rsidRPr="00B004EE">
        <w:rPr>
          <w:rFonts w:ascii="Tahoma" w:hAnsi="Tahoma" w:cs="Tahoma"/>
          <w:sz w:val="20"/>
          <w:szCs w:val="20"/>
        </w:rPr>
        <w:t xml:space="preserve"> </w:t>
      </w:r>
      <w:r w:rsidRPr="00B004EE">
        <w:rPr>
          <w:rFonts w:ascii="Tahoma" w:hAnsi="Tahoma" w:cs="Tahoma"/>
          <w:sz w:val="20"/>
          <w:szCs w:val="20"/>
        </w:rPr>
        <w:t>type</w:t>
      </w:r>
      <w:r w:rsidR="00DB1635" w:rsidRPr="00B004EE">
        <w:rPr>
          <w:rFonts w:ascii="Tahoma" w:hAnsi="Tahoma" w:cs="Tahoma"/>
          <w:sz w:val="20"/>
          <w:szCs w:val="20"/>
        </w:rPr>
        <w:t xml:space="preserve"> </w:t>
      </w:r>
      <w:r w:rsidRPr="00B004EE">
        <w:rPr>
          <w:rFonts w:ascii="Tahoma" w:hAnsi="Tahoma" w:cs="Tahoma"/>
          <w:sz w:val="20"/>
          <w:szCs w:val="20"/>
        </w:rPr>
        <w:t>d’analyse</w:t>
      </w:r>
      <w:r w:rsidR="00DB1635" w:rsidRPr="00B004EE">
        <w:rPr>
          <w:rFonts w:ascii="Tahoma" w:hAnsi="Tahoma" w:cs="Tahoma"/>
          <w:sz w:val="20"/>
          <w:szCs w:val="20"/>
        </w:rPr>
        <w:t xml:space="preserve"> </w:t>
      </w:r>
      <w:r w:rsidRPr="00B004EE">
        <w:rPr>
          <w:rFonts w:ascii="Tahoma" w:hAnsi="Tahoma" w:cs="Tahoma"/>
          <w:sz w:val="20"/>
          <w:szCs w:val="20"/>
        </w:rPr>
        <w:t>disposent</w:t>
      </w:r>
      <w:r w:rsidR="00DB1635" w:rsidRPr="00B004EE">
        <w:rPr>
          <w:rFonts w:ascii="Tahoma" w:hAnsi="Tahoma" w:cs="Tahoma"/>
          <w:sz w:val="20"/>
          <w:szCs w:val="20"/>
        </w:rPr>
        <w:t xml:space="preserve"> </w:t>
      </w:r>
      <w:r w:rsidRPr="00B004EE">
        <w:rPr>
          <w:rFonts w:ascii="Tahoma" w:hAnsi="Tahoma" w:cs="Tahoma"/>
          <w:sz w:val="20"/>
          <w:szCs w:val="20"/>
        </w:rPr>
        <w:t>d’un</w:t>
      </w:r>
      <w:r w:rsidR="00DB1635" w:rsidRPr="00B004EE">
        <w:rPr>
          <w:rFonts w:ascii="Tahoma" w:hAnsi="Tahoma" w:cs="Tahoma"/>
          <w:sz w:val="20"/>
          <w:szCs w:val="20"/>
        </w:rPr>
        <w:t xml:space="preserve"> </w:t>
      </w:r>
      <w:r w:rsidRPr="00B004EE">
        <w:rPr>
          <w:rFonts w:ascii="Tahoma" w:hAnsi="Tahoma" w:cs="Tahoma"/>
          <w:sz w:val="20"/>
          <w:szCs w:val="20"/>
        </w:rPr>
        <w:t>délai</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vingt-quatre</w:t>
      </w:r>
      <w:r w:rsidR="00DB1635" w:rsidRPr="00B004EE">
        <w:rPr>
          <w:rFonts w:ascii="Tahoma" w:hAnsi="Tahoma" w:cs="Tahoma"/>
          <w:sz w:val="20"/>
          <w:szCs w:val="20"/>
        </w:rPr>
        <w:t xml:space="preserve"> </w:t>
      </w:r>
      <w:r w:rsidRPr="00B004EE">
        <w:rPr>
          <w:rFonts w:ascii="Tahoma" w:hAnsi="Tahoma" w:cs="Tahoma"/>
          <w:sz w:val="20"/>
          <w:szCs w:val="20"/>
        </w:rPr>
        <w:t>mois,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dater</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publication,</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obtenir</w:t>
      </w:r>
      <w:r w:rsidR="00DB1635" w:rsidRPr="00B004EE">
        <w:rPr>
          <w:rFonts w:ascii="Tahoma" w:hAnsi="Tahoma" w:cs="Tahoma"/>
          <w:sz w:val="20"/>
          <w:szCs w:val="20"/>
        </w:rPr>
        <w:t xml:space="preserve"> </w:t>
      </w:r>
      <w:r w:rsidRPr="00B004EE">
        <w:rPr>
          <w:rFonts w:ascii="Tahoma" w:hAnsi="Tahoma" w:cs="Tahoma"/>
          <w:sz w:val="20"/>
          <w:szCs w:val="20"/>
        </w:rPr>
        <w:t>l’accréditation</w:t>
      </w:r>
      <w:r w:rsidR="00DB1635" w:rsidRPr="00B004EE">
        <w:rPr>
          <w:rFonts w:ascii="Tahoma" w:hAnsi="Tahoma" w:cs="Tahoma"/>
          <w:sz w:val="20"/>
          <w:szCs w:val="20"/>
        </w:rPr>
        <w:t xml:space="preserve"> </w:t>
      </w:r>
      <w:r w:rsidRPr="00B004EE">
        <w:rPr>
          <w:rFonts w:ascii="Tahoma" w:hAnsi="Tahoma" w:cs="Tahoma"/>
          <w:sz w:val="20"/>
          <w:szCs w:val="20"/>
        </w:rPr>
        <w:t>relative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cette</w:t>
      </w:r>
      <w:r w:rsidR="00DB1635" w:rsidRPr="00B004EE">
        <w:rPr>
          <w:rFonts w:ascii="Tahoma" w:hAnsi="Tahoma" w:cs="Tahoma"/>
          <w:sz w:val="20"/>
          <w:szCs w:val="20"/>
        </w:rPr>
        <w:t xml:space="preserve"> </w:t>
      </w:r>
      <w:r w:rsidRPr="00B004EE">
        <w:rPr>
          <w:rFonts w:ascii="Tahoma" w:hAnsi="Tahoma" w:cs="Tahoma"/>
          <w:sz w:val="20"/>
          <w:szCs w:val="20"/>
        </w:rPr>
        <w:t>nouvelle</w:t>
      </w:r>
      <w:r w:rsidR="00DB1635" w:rsidRPr="00B004EE">
        <w:rPr>
          <w:rFonts w:ascii="Tahoma" w:hAnsi="Tahoma" w:cs="Tahoma"/>
          <w:sz w:val="20"/>
          <w:szCs w:val="20"/>
        </w:rPr>
        <w:t xml:space="preserve"> </w:t>
      </w:r>
      <w:r w:rsidRPr="00B004EE">
        <w:rPr>
          <w:rFonts w:ascii="Tahoma" w:hAnsi="Tahoma" w:cs="Tahoma"/>
          <w:sz w:val="20"/>
          <w:szCs w:val="20"/>
        </w:rPr>
        <w:t>méthode</w:t>
      </w:r>
      <w:r w:rsidR="00DB1635" w:rsidRPr="00B004EE">
        <w:rPr>
          <w:rFonts w:ascii="Tahoma" w:hAnsi="Tahoma" w:cs="Tahoma"/>
          <w:sz w:val="20"/>
          <w:szCs w:val="20"/>
        </w:rPr>
        <w:t xml:space="preserve"> </w:t>
      </w:r>
      <w:r w:rsidRPr="00B004EE">
        <w:rPr>
          <w:rFonts w:ascii="Tahoma" w:hAnsi="Tahoma" w:cs="Tahoma"/>
          <w:sz w:val="20"/>
          <w:szCs w:val="20"/>
        </w:rPr>
        <w:t>officielle.</w:t>
      </w:r>
    </w:p>
    <w:p w14:paraId="67DA1C29" w14:textId="77777777" w:rsidR="002F24E1" w:rsidRPr="00B004EE" w:rsidRDefault="002F24E1" w:rsidP="00B004EE">
      <w:pPr>
        <w:autoSpaceDE w:val="0"/>
        <w:autoSpaceDN w:val="0"/>
        <w:adjustRightInd w:val="0"/>
        <w:jc w:val="both"/>
        <w:rPr>
          <w:rFonts w:ascii="Tahoma" w:hAnsi="Tahoma" w:cs="Tahoma"/>
          <w:sz w:val="20"/>
          <w:szCs w:val="20"/>
        </w:rPr>
      </w:pPr>
    </w:p>
    <w:p w14:paraId="35773045" w14:textId="577E0DAA" w:rsidR="002F24E1" w:rsidRPr="00B004EE" w:rsidRDefault="002F24E1" w:rsidP="00B004EE">
      <w:pPr>
        <w:autoSpaceDE w:val="0"/>
        <w:autoSpaceDN w:val="0"/>
        <w:adjustRightInd w:val="0"/>
        <w:jc w:val="both"/>
        <w:rPr>
          <w:rFonts w:ascii="Tahoma" w:hAnsi="Tahoma" w:cs="Tahoma"/>
          <w:sz w:val="20"/>
          <w:szCs w:val="20"/>
        </w:rPr>
      </w:pP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laboratoires</w:t>
      </w:r>
      <w:r w:rsidR="00DB1635" w:rsidRPr="00B004EE">
        <w:rPr>
          <w:rFonts w:ascii="Tahoma" w:hAnsi="Tahoma" w:cs="Tahoma"/>
          <w:sz w:val="20"/>
          <w:szCs w:val="20"/>
        </w:rPr>
        <w:t xml:space="preserve"> </w:t>
      </w:r>
      <w:r w:rsidRPr="00B004EE">
        <w:rPr>
          <w:rFonts w:ascii="Tahoma" w:hAnsi="Tahoma" w:cs="Tahoma"/>
          <w:sz w:val="20"/>
          <w:szCs w:val="20"/>
        </w:rPr>
        <w:t>agréés</w:t>
      </w:r>
      <w:r w:rsidR="00DB1635" w:rsidRPr="00B004EE">
        <w:rPr>
          <w:rFonts w:ascii="Tahoma" w:hAnsi="Tahoma" w:cs="Tahoma"/>
          <w:sz w:val="20"/>
          <w:szCs w:val="20"/>
        </w:rPr>
        <w:t xml:space="preserve"> </w:t>
      </w:r>
      <w:r w:rsidRPr="00B004EE">
        <w:rPr>
          <w:rFonts w:ascii="Tahoma" w:hAnsi="Tahoma" w:cs="Tahoma"/>
          <w:sz w:val="20"/>
          <w:szCs w:val="20"/>
        </w:rPr>
        <w:t>réalisent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analyses</w:t>
      </w:r>
      <w:r w:rsidR="00DB1635" w:rsidRPr="00B004EE">
        <w:rPr>
          <w:rFonts w:ascii="Tahoma" w:hAnsi="Tahoma" w:cs="Tahoma"/>
          <w:sz w:val="20"/>
          <w:szCs w:val="20"/>
        </w:rPr>
        <w:t xml:space="preserve"> </w:t>
      </w:r>
      <w:r w:rsidRPr="00B004EE">
        <w:rPr>
          <w:rFonts w:ascii="Tahoma" w:hAnsi="Tahoma" w:cs="Tahoma"/>
          <w:sz w:val="20"/>
          <w:szCs w:val="20"/>
        </w:rPr>
        <w:t>officielles</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plus</w:t>
      </w:r>
      <w:r w:rsidR="00DB1635" w:rsidRPr="00B004EE">
        <w:rPr>
          <w:rFonts w:ascii="Tahoma" w:hAnsi="Tahoma" w:cs="Tahoma"/>
          <w:sz w:val="20"/>
          <w:szCs w:val="20"/>
        </w:rPr>
        <w:t xml:space="preserve"> </w:t>
      </w:r>
      <w:r w:rsidRPr="00B004EE">
        <w:rPr>
          <w:rFonts w:ascii="Tahoma" w:hAnsi="Tahoma" w:cs="Tahoma"/>
          <w:sz w:val="20"/>
          <w:szCs w:val="20"/>
        </w:rPr>
        <w:t>brefs</w:t>
      </w:r>
      <w:r w:rsidR="00DB1635" w:rsidRPr="00B004EE">
        <w:rPr>
          <w:rFonts w:ascii="Tahoma" w:hAnsi="Tahoma" w:cs="Tahoma"/>
          <w:sz w:val="20"/>
          <w:szCs w:val="20"/>
        </w:rPr>
        <w:t xml:space="preserve"> </w:t>
      </w:r>
      <w:r w:rsidRPr="00B004EE">
        <w:rPr>
          <w:rFonts w:ascii="Tahoma" w:hAnsi="Tahoma" w:cs="Tahoma"/>
          <w:sz w:val="20"/>
          <w:szCs w:val="20"/>
        </w:rPr>
        <w:t>délais</w:t>
      </w:r>
      <w:r w:rsidR="00DB1635" w:rsidRPr="00B004EE">
        <w:rPr>
          <w:rFonts w:ascii="Tahoma" w:hAnsi="Tahoma" w:cs="Tahoma"/>
          <w:sz w:val="20"/>
          <w:szCs w:val="20"/>
        </w:rPr>
        <w:t xml:space="preserve"> </w:t>
      </w:r>
      <w:r w:rsidRPr="00B004EE">
        <w:rPr>
          <w:rFonts w:ascii="Tahoma" w:hAnsi="Tahoma" w:cs="Tahoma"/>
          <w:sz w:val="20"/>
          <w:szCs w:val="20"/>
        </w:rPr>
        <w:t>compatibles</w:t>
      </w:r>
      <w:r w:rsidR="00DB1635" w:rsidRPr="00B004EE">
        <w:rPr>
          <w:rFonts w:ascii="Tahoma" w:hAnsi="Tahoma" w:cs="Tahoma"/>
          <w:sz w:val="20"/>
          <w:szCs w:val="20"/>
        </w:rPr>
        <w:t xml:space="preserve"> </w:t>
      </w:r>
      <w:r w:rsidRPr="00B004EE">
        <w:rPr>
          <w:rFonts w:ascii="Tahoma" w:hAnsi="Tahoma" w:cs="Tahoma"/>
          <w:sz w:val="20"/>
          <w:szCs w:val="20"/>
        </w:rPr>
        <w:t>avec</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techniques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méthodes</w:t>
      </w:r>
      <w:r w:rsidR="00DB1635" w:rsidRPr="00B004EE">
        <w:rPr>
          <w:rFonts w:ascii="Tahoma" w:hAnsi="Tahoma" w:cs="Tahoma"/>
          <w:sz w:val="20"/>
          <w:szCs w:val="20"/>
        </w:rPr>
        <w:t xml:space="preserve"> </w:t>
      </w:r>
      <w:r w:rsidRPr="00B004EE">
        <w:rPr>
          <w:rFonts w:ascii="Tahoma" w:hAnsi="Tahoma" w:cs="Tahoma"/>
          <w:sz w:val="20"/>
          <w:szCs w:val="20"/>
        </w:rPr>
        <w:t>utilisées.</w:t>
      </w:r>
      <w:r w:rsidR="00DB1635" w:rsidRPr="00B004EE">
        <w:rPr>
          <w:rFonts w:ascii="Tahoma" w:hAnsi="Tahoma" w:cs="Tahoma"/>
          <w:sz w:val="20"/>
          <w:szCs w:val="20"/>
        </w:rPr>
        <w:t xml:space="preserve"> </w:t>
      </w:r>
      <w:r w:rsidRPr="00B004EE">
        <w:rPr>
          <w:rFonts w:ascii="Tahoma" w:hAnsi="Tahoma" w:cs="Tahoma"/>
          <w:sz w:val="20"/>
          <w:szCs w:val="20"/>
        </w:rPr>
        <w:t>Il</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interdit</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laboratoire</w:t>
      </w:r>
      <w:r w:rsidR="00DB1635" w:rsidRPr="00B004EE">
        <w:rPr>
          <w:rFonts w:ascii="Tahoma" w:hAnsi="Tahoma" w:cs="Tahoma"/>
          <w:sz w:val="20"/>
          <w:szCs w:val="20"/>
        </w:rPr>
        <w:t xml:space="preserve"> </w:t>
      </w:r>
      <w:r w:rsidRPr="00B004EE">
        <w:rPr>
          <w:rFonts w:ascii="Tahoma" w:hAnsi="Tahoma" w:cs="Tahoma"/>
          <w:sz w:val="20"/>
          <w:szCs w:val="20"/>
        </w:rPr>
        <w:t>agréé</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faire</w:t>
      </w:r>
      <w:r w:rsidR="00DB1635" w:rsidRPr="00B004EE">
        <w:rPr>
          <w:rFonts w:ascii="Tahoma" w:hAnsi="Tahoma" w:cs="Tahoma"/>
          <w:sz w:val="20"/>
          <w:szCs w:val="20"/>
        </w:rPr>
        <w:t xml:space="preserve"> </w:t>
      </w:r>
      <w:r w:rsidRPr="00B004EE">
        <w:rPr>
          <w:rFonts w:ascii="Tahoma" w:hAnsi="Tahoma" w:cs="Tahoma"/>
          <w:sz w:val="20"/>
          <w:szCs w:val="20"/>
        </w:rPr>
        <w:t>référence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son</w:t>
      </w:r>
      <w:r w:rsidR="00DB1635" w:rsidRPr="00B004EE">
        <w:rPr>
          <w:rFonts w:ascii="Tahoma" w:hAnsi="Tahoma" w:cs="Tahoma"/>
          <w:sz w:val="20"/>
          <w:szCs w:val="20"/>
        </w:rPr>
        <w:t xml:space="preserve"> </w:t>
      </w:r>
      <w:r w:rsidRPr="00B004EE">
        <w:rPr>
          <w:rFonts w:ascii="Tahoma" w:hAnsi="Tahoma" w:cs="Tahoma"/>
          <w:sz w:val="20"/>
          <w:szCs w:val="20"/>
        </w:rPr>
        <w:t>agrément</w:t>
      </w:r>
      <w:r w:rsidR="00DB1635" w:rsidRPr="00B004EE">
        <w:rPr>
          <w:rFonts w:ascii="Tahoma" w:hAnsi="Tahoma" w:cs="Tahoma"/>
          <w:sz w:val="20"/>
          <w:szCs w:val="20"/>
        </w:rPr>
        <w:t xml:space="preserve"> </w:t>
      </w:r>
      <w:r w:rsidRPr="00B004EE">
        <w:rPr>
          <w:rFonts w:ascii="Tahoma" w:hAnsi="Tahoma" w:cs="Tahoma"/>
          <w:sz w:val="20"/>
          <w:szCs w:val="20"/>
        </w:rPr>
        <w:t>sans</w:t>
      </w:r>
      <w:r w:rsidR="00DB1635" w:rsidRPr="00B004EE">
        <w:rPr>
          <w:rFonts w:ascii="Tahoma" w:hAnsi="Tahoma" w:cs="Tahoma"/>
          <w:sz w:val="20"/>
          <w:szCs w:val="20"/>
        </w:rPr>
        <w:t xml:space="preserve"> </w:t>
      </w:r>
      <w:r w:rsidRPr="00B004EE">
        <w:rPr>
          <w:rFonts w:ascii="Tahoma" w:hAnsi="Tahoma" w:cs="Tahoma"/>
          <w:sz w:val="20"/>
          <w:szCs w:val="20"/>
        </w:rPr>
        <w:t>préciser</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quels</w:t>
      </w:r>
      <w:r w:rsidR="00DB1635" w:rsidRPr="00B004EE">
        <w:rPr>
          <w:rFonts w:ascii="Tahoma" w:hAnsi="Tahoma" w:cs="Tahoma"/>
          <w:sz w:val="20"/>
          <w:szCs w:val="20"/>
        </w:rPr>
        <w:t xml:space="preserve"> </w:t>
      </w:r>
      <w:r w:rsidRPr="00B004EE">
        <w:rPr>
          <w:rFonts w:ascii="Tahoma" w:hAnsi="Tahoma" w:cs="Tahoma"/>
          <w:sz w:val="20"/>
          <w:szCs w:val="20"/>
        </w:rPr>
        <w:t>types</w:t>
      </w:r>
      <w:r w:rsidR="00DB1635" w:rsidRPr="00B004EE">
        <w:rPr>
          <w:rFonts w:ascii="Tahoma" w:hAnsi="Tahoma" w:cs="Tahoma"/>
          <w:sz w:val="20"/>
          <w:szCs w:val="20"/>
        </w:rPr>
        <w:t xml:space="preserve"> </w:t>
      </w:r>
      <w:r w:rsidRPr="00B004EE">
        <w:rPr>
          <w:rFonts w:ascii="Tahoma" w:hAnsi="Tahoma" w:cs="Tahoma"/>
          <w:sz w:val="20"/>
          <w:szCs w:val="20"/>
        </w:rPr>
        <w:t>d’analyses</w:t>
      </w:r>
      <w:r w:rsidR="00DB1635" w:rsidRPr="00B004EE">
        <w:rPr>
          <w:rFonts w:ascii="Tahoma" w:hAnsi="Tahoma" w:cs="Tahoma"/>
          <w:sz w:val="20"/>
          <w:szCs w:val="20"/>
        </w:rPr>
        <w:t xml:space="preserve"> </w:t>
      </w:r>
      <w:r w:rsidRPr="00B004EE">
        <w:rPr>
          <w:rFonts w:ascii="Tahoma" w:hAnsi="Tahoma" w:cs="Tahoma"/>
          <w:sz w:val="20"/>
          <w:szCs w:val="20"/>
        </w:rPr>
        <w:t>il</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agréé.</w:t>
      </w:r>
    </w:p>
    <w:p w14:paraId="38839A63" w14:textId="77777777" w:rsidR="002F24E1" w:rsidRPr="00B004EE" w:rsidRDefault="002F24E1" w:rsidP="00B004EE">
      <w:pPr>
        <w:autoSpaceDE w:val="0"/>
        <w:autoSpaceDN w:val="0"/>
        <w:adjustRightInd w:val="0"/>
        <w:jc w:val="both"/>
        <w:rPr>
          <w:rFonts w:ascii="Tahoma" w:hAnsi="Tahoma" w:cs="Tahoma"/>
          <w:sz w:val="20"/>
          <w:szCs w:val="20"/>
        </w:rPr>
      </w:pPr>
    </w:p>
    <w:p w14:paraId="2BC6A135" w14:textId="30E6BB8E" w:rsidR="002F24E1" w:rsidRPr="00B004EE" w:rsidRDefault="002F24E1" w:rsidP="00B004EE">
      <w:pPr>
        <w:autoSpaceDE w:val="0"/>
        <w:autoSpaceDN w:val="0"/>
        <w:adjustRightInd w:val="0"/>
        <w:jc w:val="both"/>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17</w:t>
      </w:r>
      <w:r w:rsidR="007562A8" w:rsidRPr="00B004EE">
        <w:rPr>
          <w:rFonts w:ascii="Tahoma" w:hAnsi="Tahoma" w:cs="Tahoma"/>
          <w:bCs/>
          <w:sz w:val="20"/>
          <w:szCs w:val="20"/>
        </w:rPr>
        <w:t> :</w:t>
      </w:r>
      <w:r w:rsidR="00DB1635" w:rsidRPr="00B004EE">
        <w:rPr>
          <w:rFonts w:ascii="Tahoma" w:hAnsi="Tahoma" w:cs="Tahoma"/>
          <w:sz w:val="20"/>
          <w:szCs w:val="20"/>
        </w:rPr>
        <w:t xml:space="preserve"> </w:t>
      </w: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laboratoire</w:t>
      </w:r>
      <w:r w:rsidR="00DB1635" w:rsidRPr="00B004EE">
        <w:rPr>
          <w:rFonts w:ascii="Tahoma" w:hAnsi="Tahoma" w:cs="Tahoma"/>
          <w:sz w:val="20"/>
          <w:szCs w:val="20"/>
        </w:rPr>
        <w:t xml:space="preserve"> </w:t>
      </w:r>
      <w:r w:rsidRPr="00B004EE">
        <w:rPr>
          <w:rFonts w:ascii="Tahoma" w:hAnsi="Tahoma" w:cs="Tahoma"/>
          <w:sz w:val="20"/>
          <w:szCs w:val="20"/>
        </w:rPr>
        <w:t>agréé</w:t>
      </w:r>
      <w:r w:rsidR="00DB1635" w:rsidRPr="00B004EE">
        <w:rPr>
          <w:rFonts w:ascii="Tahoma" w:hAnsi="Tahoma" w:cs="Tahoma"/>
          <w:sz w:val="20"/>
          <w:szCs w:val="20"/>
        </w:rPr>
        <w:t xml:space="preserve"> </w:t>
      </w:r>
      <w:r w:rsidRPr="00B004EE">
        <w:rPr>
          <w:rFonts w:ascii="Tahoma" w:hAnsi="Tahoma" w:cs="Tahoma"/>
          <w:sz w:val="20"/>
          <w:szCs w:val="20"/>
        </w:rPr>
        <w:t>peut,</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titre</w:t>
      </w:r>
      <w:r w:rsidR="00DB1635" w:rsidRPr="00B004EE">
        <w:rPr>
          <w:rFonts w:ascii="Tahoma" w:hAnsi="Tahoma" w:cs="Tahoma"/>
          <w:sz w:val="20"/>
          <w:szCs w:val="20"/>
        </w:rPr>
        <w:t xml:space="preserve"> </w:t>
      </w:r>
      <w:r w:rsidRPr="00B004EE">
        <w:rPr>
          <w:rFonts w:ascii="Tahoma" w:hAnsi="Tahoma" w:cs="Tahoma"/>
          <w:sz w:val="20"/>
          <w:szCs w:val="20"/>
        </w:rPr>
        <w:t>exceptionnel,</w:t>
      </w:r>
      <w:r w:rsidR="00DB1635" w:rsidRPr="00B004EE">
        <w:rPr>
          <w:rFonts w:ascii="Tahoma" w:hAnsi="Tahoma" w:cs="Tahoma"/>
          <w:sz w:val="20"/>
          <w:szCs w:val="20"/>
        </w:rPr>
        <w:t xml:space="preserve"> </w:t>
      </w:r>
      <w:r w:rsidRPr="00B004EE">
        <w:rPr>
          <w:rFonts w:ascii="Tahoma" w:hAnsi="Tahoma" w:cs="Tahoma"/>
          <w:sz w:val="20"/>
          <w:szCs w:val="20"/>
        </w:rPr>
        <w:t>sous-traiter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analyses</w:t>
      </w:r>
      <w:r w:rsidR="00DB1635" w:rsidRPr="00B004EE">
        <w:rPr>
          <w:rFonts w:ascii="Tahoma" w:hAnsi="Tahoma" w:cs="Tahoma"/>
          <w:sz w:val="20"/>
          <w:szCs w:val="20"/>
        </w:rPr>
        <w:t xml:space="preserve"> </w:t>
      </w:r>
      <w:r w:rsidRPr="00B004EE">
        <w:rPr>
          <w:rFonts w:ascii="Tahoma" w:hAnsi="Tahoma" w:cs="Tahoma"/>
          <w:sz w:val="20"/>
          <w:szCs w:val="20"/>
        </w:rPr>
        <w:t>officielles</w:t>
      </w:r>
      <w:r w:rsidR="00DB1635" w:rsidRPr="00B004EE">
        <w:rPr>
          <w:rFonts w:ascii="Tahoma" w:hAnsi="Tahoma" w:cs="Tahoma"/>
          <w:sz w:val="20"/>
          <w:szCs w:val="20"/>
        </w:rPr>
        <w:t xml:space="preserve"> </w:t>
      </w:r>
      <w:r w:rsidRPr="00B004EE">
        <w:rPr>
          <w:rFonts w:ascii="Tahoma" w:hAnsi="Tahoma" w:cs="Tahoma"/>
          <w:sz w:val="20"/>
          <w:szCs w:val="20"/>
        </w:rPr>
        <w:t>qui</w:t>
      </w:r>
      <w:r w:rsidR="00DB1635" w:rsidRPr="00B004EE">
        <w:rPr>
          <w:rFonts w:ascii="Tahoma" w:hAnsi="Tahoma" w:cs="Tahoma"/>
          <w:sz w:val="20"/>
          <w:szCs w:val="20"/>
        </w:rPr>
        <w:t xml:space="preserve"> </w:t>
      </w:r>
      <w:r w:rsidRPr="00B004EE">
        <w:rPr>
          <w:rFonts w:ascii="Tahoma" w:hAnsi="Tahoma" w:cs="Tahoma"/>
          <w:sz w:val="20"/>
          <w:szCs w:val="20"/>
        </w:rPr>
        <w:t>lui</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demandées,</w:t>
      </w:r>
      <w:r w:rsidR="00DB1635" w:rsidRPr="00B004EE">
        <w:rPr>
          <w:rFonts w:ascii="Tahoma" w:hAnsi="Tahoma" w:cs="Tahoma"/>
          <w:sz w:val="20"/>
          <w:szCs w:val="20"/>
        </w:rPr>
        <w:t xml:space="preserve"> </w:t>
      </w:r>
      <w:r w:rsidRPr="00B004EE">
        <w:rPr>
          <w:rFonts w:ascii="Tahoma" w:hAnsi="Tahoma" w:cs="Tahoma"/>
          <w:sz w:val="20"/>
          <w:szCs w:val="20"/>
        </w:rPr>
        <w:t>sous</w:t>
      </w:r>
      <w:r w:rsidR="00DB1635" w:rsidRPr="00B004EE">
        <w:rPr>
          <w:rFonts w:ascii="Tahoma" w:hAnsi="Tahoma" w:cs="Tahoma"/>
          <w:sz w:val="20"/>
          <w:szCs w:val="20"/>
        </w:rPr>
        <w:t xml:space="preserve"> </w:t>
      </w:r>
      <w:r w:rsidRPr="00B004EE">
        <w:rPr>
          <w:rFonts w:ascii="Tahoma" w:hAnsi="Tahoma" w:cs="Tahoma"/>
          <w:sz w:val="20"/>
          <w:szCs w:val="20"/>
        </w:rPr>
        <w:t>réserve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confier</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autre</w:t>
      </w:r>
      <w:r w:rsidR="00DB1635" w:rsidRPr="00B004EE">
        <w:rPr>
          <w:rFonts w:ascii="Tahoma" w:hAnsi="Tahoma" w:cs="Tahoma"/>
          <w:sz w:val="20"/>
          <w:szCs w:val="20"/>
        </w:rPr>
        <w:t xml:space="preserve"> </w:t>
      </w:r>
      <w:r w:rsidRPr="00B004EE">
        <w:rPr>
          <w:rFonts w:ascii="Tahoma" w:hAnsi="Tahoma" w:cs="Tahoma"/>
          <w:sz w:val="20"/>
          <w:szCs w:val="20"/>
        </w:rPr>
        <w:t>laboratoire</w:t>
      </w:r>
      <w:r w:rsidR="00DB1635" w:rsidRPr="00B004EE">
        <w:rPr>
          <w:rFonts w:ascii="Tahoma" w:hAnsi="Tahoma" w:cs="Tahoma"/>
          <w:sz w:val="20"/>
          <w:szCs w:val="20"/>
        </w:rPr>
        <w:t xml:space="preserve"> </w:t>
      </w:r>
      <w:r w:rsidRPr="00B004EE">
        <w:rPr>
          <w:rFonts w:ascii="Tahoma" w:hAnsi="Tahoma" w:cs="Tahoma"/>
          <w:sz w:val="20"/>
          <w:szCs w:val="20"/>
        </w:rPr>
        <w:t>agréé</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même</w:t>
      </w:r>
      <w:r w:rsidR="00DB1635" w:rsidRPr="00B004EE">
        <w:rPr>
          <w:rFonts w:ascii="Tahoma" w:hAnsi="Tahoma" w:cs="Tahoma"/>
          <w:sz w:val="20"/>
          <w:szCs w:val="20"/>
        </w:rPr>
        <w:t xml:space="preserve"> </w:t>
      </w:r>
      <w:r w:rsidRPr="00B004EE">
        <w:rPr>
          <w:rFonts w:ascii="Tahoma" w:hAnsi="Tahoma" w:cs="Tahoma"/>
          <w:sz w:val="20"/>
          <w:szCs w:val="20"/>
        </w:rPr>
        <w:t>type</w:t>
      </w:r>
      <w:r w:rsidR="00DB1635" w:rsidRPr="00B004EE">
        <w:rPr>
          <w:rFonts w:ascii="Tahoma" w:hAnsi="Tahoma" w:cs="Tahoma"/>
          <w:sz w:val="20"/>
          <w:szCs w:val="20"/>
        </w:rPr>
        <w:t xml:space="preserve"> </w:t>
      </w:r>
      <w:r w:rsidRPr="00B004EE">
        <w:rPr>
          <w:rFonts w:ascii="Tahoma" w:hAnsi="Tahoma" w:cs="Tahoma"/>
          <w:sz w:val="20"/>
          <w:szCs w:val="20"/>
        </w:rPr>
        <w:t>d’analyses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d’en</w:t>
      </w:r>
      <w:r w:rsidR="00DB1635" w:rsidRPr="00B004EE">
        <w:rPr>
          <w:rFonts w:ascii="Tahoma" w:hAnsi="Tahoma" w:cs="Tahoma"/>
          <w:sz w:val="20"/>
          <w:szCs w:val="20"/>
        </w:rPr>
        <w:t xml:space="preserve"> </w:t>
      </w:r>
      <w:r w:rsidRPr="00B004EE">
        <w:rPr>
          <w:rFonts w:ascii="Tahoma" w:hAnsi="Tahoma" w:cs="Tahoma"/>
          <w:sz w:val="20"/>
          <w:szCs w:val="20"/>
        </w:rPr>
        <w:t>informer</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service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l’Etat</w:t>
      </w:r>
      <w:r w:rsidR="00DB1635" w:rsidRPr="00B004EE">
        <w:rPr>
          <w:rFonts w:ascii="Tahoma" w:hAnsi="Tahoma" w:cs="Tahoma"/>
          <w:sz w:val="20"/>
          <w:szCs w:val="20"/>
        </w:rPr>
        <w:t xml:space="preserve"> </w:t>
      </w:r>
      <w:r w:rsidRPr="00B004EE">
        <w:rPr>
          <w:rFonts w:ascii="Tahoma" w:hAnsi="Tahoma" w:cs="Tahoma"/>
          <w:sz w:val="20"/>
          <w:szCs w:val="20"/>
        </w:rPr>
        <w:t>qui</w:t>
      </w:r>
      <w:r w:rsidR="00DB1635" w:rsidRPr="00B004EE">
        <w:rPr>
          <w:rFonts w:ascii="Tahoma" w:hAnsi="Tahoma" w:cs="Tahoma"/>
          <w:sz w:val="20"/>
          <w:szCs w:val="20"/>
        </w:rPr>
        <w:t xml:space="preserve"> </w:t>
      </w:r>
      <w:r w:rsidRPr="00B004EE">
        <w:rPr>
          <w:rFonts w:ascii="Tahoma" w:hAnsi="Tahoma" w:cs="Tahoma"/>
          <w:sz w:val="20"/>
          <w:szCs w:val="20"/>
        </w:rPr>
        <w:t>a</w:t>
      </w:r>
      <w:r w:rsidR="00DB1635" w:rsidRPr="00B004EE">
        <w:rPr>
          <w:rFonts w:ascii="Tahoma" w:hAnsi="Tahoma" w:cs="Tahoma"/>
          <w:sz w:val="20"/>
          <w:szCs w:val="20"/>
        </w:rPr>
        <w:t xml:space="preserve"> </w:t>
      </w:r>
      <w:r w:rsidRPr="00B004EE">
        <w:rPr>
          <w:rFonts w:ascii="Tahoma" w:hAnsi="Tahoma" w:cs="Tahoma"/>
          <w:sz w:val="20"/>
          <w:szCs w:val="20"/>
        </w:rPr>
        <w:t>demandé</w:t>
      </w:r>
      <w:r w:rsidR="00DB1635" w:rsidRPr="00B004EE">
        <w:rPr>
          <w:rFonts w:ascii="Tahoma" w:hAnsi="Tahoma" w:cs="Tahoma"/>
          <w:sz w:val="20"/>
          <w:szCs w:val="20"/>
        </w:rPr>
        <w:t xml:space="preserve"> </w:t>
      </w:r>
      <w:r w:rsidRPr="00B004EE">
        <w:rPr>
          <w:rFonts w:ascii="Tahoma" w:hAnsi="Tahoma" w:cs="Tahoma"/>
          <w:sz w:val="20"/>
          <w:szCs w:val="20"/>
        </w:rPr>
        <w:t>l’analyse.</w:t>
      </w:r>
      <w:r w:rsidR="00DB1635" w:rsidRPr="00B004EE">
        <w:rPr>
          <w:rFonts w:ascii="Tahoma" w:hAnsi="Tahoma" w:cs="Tahoma"/>
          <w:sz w:val="20"/>
          <w:szCs w:val="20"/>
        </w:rPr>
        <w:t xml:space="preserve"> </w:t>
      </w:r>
      <w:r w:rsidRPr="00B004EE">
        <w:rPr>
          <w:rFonts w:ascii="Tahoma" w:hAnsi="Tahoma" w:cs="Tahoma"/>
          <w:sz w:val="20"/>
          <w:szCs w:val="20"/>
        </w:rPr>
        <w:t>Lorsqu’une</w:t>
      </w:r>
      <w:r w:rsidR="00DB1635" w:rsidRPr="00B004EE">
        <w:rPr>
          <w:rFonts w:ascii="Tahoma" w:hAnsi="Tahoma" w:cs="Tahoma"/>
          <w:sz w:val="20"/>
          <w:szCs w:val="20"/>
        </w:rPr>
        <w:t xml:space="preserve"> </w:t>
      </w:r>
      <w:r w:rsidRPr="00B004EE">
        <w:rPr>
          <w:rFonts w:ascii="Tahoma" w:hAnsi="Tahoma" w:cs="Tahoma"/>
          <w:sz w:val="20"/>
          <w:szCs w:val="20"/>
        </w:rPr>
        <w:t>analyse</w:t>
      </w:r>
      <w:r w:rsidR="00DB1635" w:rsidRPr="00B004EE">
        <w:rPr>
          <w:rFonts w:ascii="Tahoma" w:hAnsi="Tahoma" w:cs="Tahoma"/>
          <w:sz w:val="20"/>
          <w:szCs w:val="20"/>
        </w:rPr>
        <w:t xml:space="preserve"> </w:t>
      </w:r>
      <w:r w:rsidRPr="00B004EE">
        <w:rPr>
          <w:rFonts w:ascii="Tahoma" w:hAnsi="Tahoma" w:cs="Tahoma"/>
          <w:sz w:val="20"/>
          <w:szCs w:val="20"/>
        </w:rPr>
        <w:t>officielle</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confiée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autre</w:t>
      </w:r>
      <w:r w:rsidR="00DB1635" w:rsidRPr="00B004EE">
        <w:rPr>
          <w:rFonts w:ascii="Tahoma" w:hAnsi="Tahoma" w:cs="Tahoma"/>
          <w:sz w:val="20"/>
          <w:szCs w:val="20"/>
        </w:rPr>
        <w:t xml:space="preserve"> </w:t>
      </w:r>
      <w:r w:rsidRPr="00B004EE">
        <w:rPr>
          <w:rFonts w:ascii="Tahoma" w:hAnsi="Tahoma" w:cs="Tahoma"/>
          <w:sz w:val="20"/>
          <w:szCs w:val="20"/>
        </w:rPr>
        <w:t>laboratoire</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conditions</w:t>
      </w:r>
      <w:r w:rsidR="00DB1635" w:rsidRPr="00B004EE">
        <w:rPr>
          <w:rFonts w:ascii="Tahoma" w:hAnsi="Tahoma" w:cs="Tahoma"/>
          <w:sz w:val="20"/>
          <w:szCs w:val="20"/>
        </w:rPr>
        <w:t xml:space="preserve"> </w:t>
      </w:r>
      <w:r w:rsidRPr="00B004EE">
        <w:rPr>
          <w:rFonts w:ascii="Tahoma" w:hAnsi="Tahoma" w:cs="Tahoma"/>
          <w:sz w:val="20"/>
          <w:szCs w:val="20"/>
        </w:rPr>
        <w:t>prévues</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alinéas</w:t>
      </w:r>
      <w:r w:rsidR="00DB1635" w:rsidRPr="00B004EE">
        <w:rPr>
          <w:rFonts w:ascii="Tahoma" w:hAnsi="Tahoma" w:cs="Tahoma"/>
          <w:sz w:val="20"/>
          <w:szCs w:val="20"/>
        </w:rPr>
        <w:t xml:space="preserve"> </w:t>
      </w:r>
      <w:r w:rsidRPr="00B004EE">
        <w:rPr>
          <w:rFonts w:ascii="Tahoma" w:hAnsi="Tahoma" w:cs="Tahoma"/>
          <w:sz w:val="20"/>
          <w:szCs w:val="20"/>
        </w:rPr>
        <w:t>précédents,</w:t>
      </w:r>
      <w:r w:rsidR="00DB1635" w:rsidRPr="00B004EE">
        <w:rPr>
          <w:rFonts w:ascii="Tahoma" w:hAnsi="Tahoma" w:cs="Tahoma"/>
          <w:sz w:val="20"/>
          <w:szCs w:val="20"/>
        </w:rPr>
        <w:t xml:space="preserve"> </w:t>
      </w:r>
      <w:r w:rsidRPr="00B004EE">
        <w:rPr>
          <w:rFonts w:ascii="Tahoma" w:hAnsi="Tahoma" w:cs="Tahoma"/>
          <w:sz w:val="20"/>
          <w:szCs w:val="20"/>
        </w:rPr>
        <w:t>il</w:t>
      </w:r>
      <w:r w:rsidR="00DB1635" w:rsidRPr="00B004EE">
        <w:rPr>
          <w:rFonts w:ascii="Tahoma" w:hAnsi="Tahoma" w:cs="Tahoma"/>
          <w:sz w:val="20"/>
          <w:szCs w:val="20"/>
        </w:rPr>
        <w:t xml:space="preserve"> </w:t>
      </w:r>
      <w:r w:rsidRPr="00B004EE">
        <w:rPr>
          <w:rFonts w:ascii="Tahoma" w:hAnsi="Tahoma" w:cs="Tahoma"/>
          <w:sz w:val="20"/>
          <w:szCs w:val="20"/>
        </w:rPr>
        <w:t>incombe</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premier</w:t>
      </w:r>
      <w:r w:rsidR="00DB1635" w:rsidRPr="00B004EE">
        <w:rPr>
          <w:rFonts w:ascii="Tahoma" w:hAnsi="Tahoma" w:cs="Tahoma"/>
          <w:sz w:val="20"/>
          <w:szCs w:val="20"/>
        </w:rPr>
        <w:t xml:space="preserve"> </w:t>
      </w:r>
      <w:r w:rsidRPr="00B004EE">
        <w:rPr>
          <w:rFonts w:ascii="Tahoma" w:hAnsi="Tahoma" w:cs="Tahoma"/>
          <w:sz w:val="20"/>
          <w:szCs w:val="20"/>
        </w:rPr>
        <w:t>laboratoire</w:t>
      </w:r>
      <w:r w:rsidR="00DB1635" w:rsidRPr="00B004EE">
        <w:rPr>
          <w:rFonts w:ascii="Tahoma" w:hAnsi="Tahoma" w:cs="Tahoma"/>
          <w:sz w:val="20"/>
          <w:szCs w:val="20"/>
        </w:rPr>
        <w:t xml:space="preserve"> </w:t>
      </w:r>
      <w:r w:rsidRPr="00B004EE">
        <w:rPr>
          <w:rFonts w:ascii="Tahoma" w:hAnsi="Tahoma" w:cs="Tahoma"/>
          <w:sz w:val="20"/>
          <w:szCs w:val="20"/>
        </w:rPr>
        <w:t>auquel</w:t>
      </w:r>
      <w:r w:rsidR="00DB1635" w:rsidRPr="00B004EE">
        <w:rPr>
          <w:rFonts w:ascii="Tahoma" w:hAnsi="Tahoma" w:cs="Tahoma"/>
          <w:sz w:val="20"/>
          <w:szCs w:val="20"/>
        </w:rPr>
        <w:t xml:space="preserve"> </w:t>
      </w:r>
      <w:r w:rsidRPr="00B004EE">
        <w:rPr>
          <w:rFonts w:ascii="Tahoma" w:hAnsi="Tahoma" w:cs="Tahoma"/>
          <w:sz w:val="20"/>
          <w:szCs w:val="20"/>
        </w:rPr>
        <w:t>ont</w:t>
      </w:r>
      <w:r w:rsidR="00DB1635" w:rsidRPr="00B004EE">
        <w:rPr>
          <w:rFonts w:ascii="Tahoma" w:hAnsi="Tahoma" w:cs="Tahoma"/>
          <w:sz w:val="20"/>
          <w:szCs w:val="20"/>
        </w:rPr>
        <w:t xml:space="preserve"> </w:t>
      </w:r>
      <w:r w:rsidRPr="00B004EE">
        <w:rPr>
          <w:rFonts w:ascii="Tahoma" w:hAnsi="Tahoma" w:cs="Tahoma"/>
          <w:sz w:val="20"/>
          <w:szCs w:val="20"/>
        </w:rPr>
        <w:t>été</w:t>
      </w:r>
      <w:r w:rsidR="00DB1635" w:rsidRPr="00B004EE">
        <w:rPr>
          <w:rFonts w:ascii="Tahoma" w:hAnsi="Tahoma" w:cs="Tahoma"/>
          <w:sz w:val="20"/>
          <w:szCs w:val="20"/>
        </w:rPr>
        <w:t xml:space="preserve"> </w:t>
      </w:r>
      <w:r w:rsidRPr="00B004EE">
        <w:rPr>
          <w:rFonts w:ascii="Tahoma" w:hAnsi="Tahoma" w:cs="Tahoma"/>
          <w:sz w:val="20"/>
          <w:szCs w:val="20"/>
        </w:rPr>
        <w:t>confiés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échantillons</w:t>
      </w:r>
      <w:r w:rsidR="00DB1635" w:rsidRPr="00B004EE">
        <w:rPr>
          <w:rFonts w:ascii="Tahoma" w:hAnsi="Tahoma" w:cs="Tahoma"/>
          <w:sz w:val="20"/>
          <w:szCs w:val="20"/>
        </w:rPr>
        <w:t xml:space="preserve"> </w:t>
      </w:r>
      <w:r w:rsidRPr="00B004EE">
        <w:rPr>
          <w:rFonts w:ascii="Tahoma" w:hAnsi="Tahoma" w:cs="Tahoma"/>
          <w:sz w:val="20"/>
          <w:szCs w:val="20"/>
        </w:rPr>
        <w:t>d’en</w:t>
      </w:r>
      <w:r w:rsidR="00DB1635" w:rsidRPr="00B004EE">
        <w:rPr>
          <w:rFonts w:ascii="Tahoma" w:hAnsi="Tahoma" w:cs="Tahoma"/>
          <w:sz w:val="20"/>
          <w:szCs w:val="20"/>
        </w:rPr>
        <w:t xml:space="preserve"> </w:t>
      </w:r>
      <w:r w:rsidRPr="00B004EE">
        <w:rPr>
          <w:rFonts w:ascii="Tahoma" w:hAnsi="Tahoma" w:cs="Tahoma"/>
          <w:sz w:val="20"/>
          <w:szCs w:val="20"/>
        </w:rPr>
        <w:t>transmettre</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résultats</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service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l’Etat</w:t>
      </w:r>
      <w:r w:rsidR="00DB1635" w:rsidRPr="00B004EE">
        <w:rPr>
          <w:rFonts w:ascii="Tahoma" w:hAnsi="Tahoma" w:cs="Tahoma"/>
          <w:sz w:val="20"/>
          <w:szCs w:val="20"/>
        </w:rPr>
        <w:t xml:space="preserve"> </w:t>
      </w:r>
      <w:r w:rsidRPr="00B004EE">
        <w:rPr>
          <w:rFonts w:ascii="Tahoma" w:hAnsi="Tahoma" w:cs="Tahoma"/>
          <w:sz w:val="20"/>
          <w:szCs w:val="20"/>
        </w:rPr>
        <w:t>qui</w:t>
      </w:r>
      <w:r w:rsidR="00DB1635" w:rsidRPr="00B004EE">
        <w:rPr>
          <w:rFonts w:ascii="Tahoma" w:hAnsi="Tahoma" w:cs="Tahoma"/>
          <w:sz w:val="20"/>
          <w:szCs w:val="20"/>
        </w:rPr>
        <w:t xml:space="preserve"> </w:t>
      </w:r>
      <w:r w:rsidRPr="00B004EE">
        <w:rPr>
          <w:rFonts w:ascii="Tahoma" w:hAnsi="Tahoma" w:cs="Tahoma"/>
          <w:sz w:val="20"/>
          <w:szCs w:val="20"/>
        </w:rPr>
        <w:t>a</w:t>
      </w:r>
      <w:r w:rsidR="00DB1635" w:rsidRPr="00B004EE">
        <w:rPr>
          <w:rFonts w:ascii="Tahoma" w:hAnsi="Tahoma" w:cs="Tahoma"/>
          <w:sz w:val="20"/>
          <w:szCs w:val="20"/>
        </w:rPr>
        <w:t xml:space="preserve"> </w:t>
      </w:r>
      <w:r w:rsidRPr="00B004EE">
        <w:rPr>
          <w:rFonts w:ascii="Tahoma" w:hAnsi="Tahoma" w:cs="Tahoma"/>
          <w:sz w:val="20"/>
          <w:szCs w:val="20"/>
        </w:rPr>
        <w:t>demandé</w:t>
      </w:r>
      <w:r w:rsidR="00DB1635" w:rsidRPr="00B004EE">
        <w:rPr>
          <w:rFonts w:ascii="Tahoma" w:hAnsi="Tahoma" w:cs="Tahoma"/>
          <w:sz w:val="20"/>
          <w:szCs w:val="20"/>
        </w:rPr>
        <w:t xml:space="preserve"> </w:t>
      </w:r>
      <w:r w:rsidRPr="00B004EE">
        <w:rPr>
          <w:rFonts w:ascii="Tahoma" w:hAnsi="Tahoma" w:cs="Tahoma"/>
          <w:sz w:val="20"/>
          <w:szCs w:val="20"/>
        </w:rPr>
        <w:t>l’analyse.</w:t>
      </w:r>
    </w:p>
    <w:p w14:paraId="7E232E8A" w14:textId="77777777" w:rsidR="002F24E1" w:rsidRPr="00B004EE" w:rsidRDefault="002F24E1" w:rsidP="00B004EE">
      <w:pPr>
        <w:autoSpaceDE w:val="0"/>
        <w:autoSpaceDN w:val="0"/>
        <w:adjustRightInd w:val="0"/>
        <w:jc w:val="both"/>
        <w:rPr>
          <w:rFonts w:ascii="Tahoma" w:hAnsi="Tahoma" w:cs="Tahoma"/>
          <w:sz w:val="20"/>
          <w:szCs w:val="20"/>
        </w:rPr>
      </w:pPr>
    </w:p>
    <w:p w14:paraId="26BD5E7E" w14:textId="4FF25866" w:rsidR="002F24E1" w:rsidRPr="00B004EE" w:rsidRDefault="002F24E1" w:rsidP="00B004EE">
      <w:pPr>
        <w:autoSpaceDE w:val="0"/>
        <w:autoSpaceDN w:val="0"/>
        <w:adjustRightInd w:val="0"/>
        <w:jc w:val="both"/>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18.</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laboratoires</w:t>
      </w:r>
      <w:r w:rsidR="00DB1635" w:rsidRPr="00B004EE">
        <w:rPr>
          <w:rFonts w:ascii="Tahoma" w:hAnsi="Tahoma" w:cs="Tahoma"/>
          <w:sz w:val="20"/>
          <w:szCs w:val="20"/>
        </w:rPr>
        <w:t xml:space="preserve"> </w:t>
      </w:r>
      <w:r w:rsidRPr="00B004EE">
        <w:rPr>
          <w:rFonts w:ascii="Tahoma" w:hAnsi="Tahoma" w:cs="Tahoma"/>
          <w:sz w:val="20"/>
          <w:szCs w:val="20"/>
        </w:rPr>
        <w:t>agréés</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tenus</w:t>
      </w:r>
      <w:r w:rsidR="00DB1635" w:rsidRPr="00B004EE">
        <w:rPr>
          <w:rFonts w:ascii="Tahoma" w:hAnsi="Tahoma" w:cs="Tahoma"/>
          <w:sz w:val="20"/>
          <w:szCs w:val="20"/>
        </w:rPr>
        <w:t xml:space="preserve"> </w:t>
      </w:r>
      <w:r w:rsidRPr="00B004EE">
        <w:rPr>
          <w:rFonts w:ascii="Tahoma" w:hAnsi="Tahoma" w:cs="Tahoma"/>
          <w:sz w:val="20"/>
          <w:szCs w:val="20"/>
        </w:rPr>
        <w:t>d’adresser</w:t>
      </w:r>
      <w:r w:rsidR="00DB1635" w:rsidRPr="00B004EE">
        <w:rPr>
          <w:rFonts w:ascii="Tahoma" w:hAnsi="Tahoma" w:cs="Tahoma"/>
          <w:sz w:val="20"/>
          <w:szCs w:val="20"/>
        </w:rPr>
        <w:t xml:space="preserve"> </w:t>
      </w: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rapport</w:t>
      </w:r>
      <w:r w:rsidR="00DB1635" w:rsidRPr="00B004EE">
        <w:rPr>
          <w:rFonts w:ascii="Tahoma" w:hAnsi="Tahoma" w:cs="Tahoma"/>
          <w:sz w:val="20"/>
          <w:szCs w:val="20"/>
        </w:rPr>
        <w:t xml:space="preserve"> </w:t>
      </w:r>
      <w:r w:rsidRPr="00B004EE">
        <w:rPr>
          <w:rFonts w:ascii="Tahoma" w:hAnsi="Tahoma" w:cs="Tahoma"/>
          <w:sz w:val="20"/>
          <w:szCs w:val="20"/>
        </w:rPr>
        <w:t>annuel</w:t>
      </w:r>
      <w:r w:rsidR="00DB1635" w:rsidRPr="00B004EE">
        <w:rPr>
          <w:rFonts w:ascii="Tahoma" w:hAnsi="Tahoma" w:cs="Tahoma"/>
          <w:sz w:val="20"/>
          <w:szCs w:val="20"/>
        </w:rPr>
        <w:t xml:space="preserve"> </w:t>
      </w:r>
      <w:r w:rsidRPr="00B004EE">
        <w:rPr>
          <w:rFonts w:ascii="Tahoma" w:hAnsi="Tahoma" w:cs="Tahoma"/>
          <w:sz w:val="20"/>
          <w:szCs w:val="20"/>
        </w:rPr>
        <w:t>d’activité</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ministère</w:t>
      </w:r>
      <w:r w:rsidR="00DB1635" w:rsidRPr="00B004EE">
        <w:rPr>
          <w:rFonts w:ascii="Tahoma" w:hAnsi="Tahoma" w:cs="Tahoma"/>
          <w:sz w:val="20"/>
          <w:szCs w:val="20"/>
        </w:rPr>
        <w:t xml:space="preserve"> </w:t>
      </w:r>
      <w:r w:rsidRPr="00B004EE">
        <w:rPr>
          <w:rFonts w:ascii="Tahoma" w:hAnsi="Tahoma" w:cs="Tahoma"/>
          <w:sz w:val="20"/>
          <w:szCs w:val="20"/>
        </w:rPr>
        <w:t>chargé</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p>
    <w:p w14:paraId="165C90C6" w14:textId="77777777" w:rsidR="000942DD" w:rsidRPr="00B004EE" w:rsidRDefault="000942DD" w:rsidP="00B004EE">
      <w:pPr>
        <w:autoSpaceDE w:val="0"/>
        <w:autoSpaceDN w:val="0"/>
        <w:adjustRightInd w:val="0"/>
        <w:jc w:val="both"/>
        <w:rPr>
          <w:rFonts w:ascii="Tahoma" w:hAnsi="Tahoma" w:cs="Tahoma"/>
          <w:sz w:val="20"/>
          <w:szCs w:val="20"/>
        </w:rPr>
      </w:pPr>
    </w:p>
    <w:p w14:paraId="04546ECD" w14:textId="0B58F3FC" w:rsidR="002F24E1" w:rsidRPr="00B004EE" w:rsidRDefault="002F24E1" w:rsidP="00B004EE">
      <w:pPr>
        <w:autoSpaceDE w:val="0"/>
        <w:autoSpaceDN w:val="0"/>
        <w:adjustRightInd w:val="0"/>
        <w:jc w:val="center"/>
        <w:rPr>
          <w:rFonts w:ascii="Tahoma" w:hAnsi="Tahoma" w:cs="Tahoma"/>
          <w:b/>
          <w:iCs/>
          <w:sz w:val="20"/>
          <w:szCs w:val="20"/>
        </w:rPr>
      </w:pPr>
      <w:r w:rsidRPr="00B004EE">
        <w:rPr>
          <w:rFonts w:ascii="Tahoma" w:hAnsi="Tahoma" w:cs="Tahoma"/>
          <w:b/>
          <w:iCs/>
          <w:sz w:val="20"/>
          <w:szCs w:val="20"/>
        </w:rPr>
        <w:t>CHAPITRE</w:t>
      </w:r>
      <w:r w:rsidR="00DB1635" w:rsidRPr="00B004EE">
        <w:rPr>
          <w:rFonts w:ascii="Tahoma" w:hAnsi="Tahoma" w:cs="Tahoma"/>
          <w:b/>
          <w:iCs/>
          <w:sz w:val="20"/>
          <w:szCs w:val="20"/>
        </w:rPr>
        <w:t xml:space="preserve"> </w:t>
      </w:r>
      <w:r w:rsidRPr="00B004EE">
        <w:rPr>
          <w:rFonts w:ascii="Tahoma" w:hAnsi="Tahoma" w:cs="Tahoma"/>
          <w:b/>
          <w:iCs/>
          <w:sz w:val="20"/>
          <w:szCs w:val="20"/>
        </w:rPr>
        <w:t>4</w:t>
      </w:r>
      <w:r w:rsidR="00DB1635" w:rsidRPr="00B004EE">
        <w:rPr>
          <w:rFonts w:ascii="Tahoma" w:hAnsi="Tahoma" w:cs="Tahoma"/>
          <w:b/>
          <w:iCs/>
          <w:sz w:val="20"/>
          <w:szCs w:val="20"/>
        </w:rPr>
        <w:t xml:space="preserve"> </w:t>
      </w:r>
      <w:r w:rsidRPr="00B004EE">
        <w:rPr>
          <w:rFonts w:ascii="Tahoma" w:hAnsi="Tahoma" w:cs="Tahoma"/>
          <w:b/>
          <w:iCs/>
          <w:sz w:val="20"/>
          <w:szCs w:val="20"/>
        </w:rPr>
        <w:t>–</w:t>
      </w:r>
      <w:r w:rsidR="00DB1635" w:rsidRPr="00B004EE">
        <w:rPr>
          <w:rFonts w:ascii="Tahoma" w:hAnsi="Tahoma" w:cs="Tahoma"/>
          <w:b/>
          <w:iCs/>
          <w:sz w:val="20"/>
          <w:szCs w:val="20"/>
        </w:rPr>
        <w:t xml:space="preserve"> </w:t>
      </w:r>
      <w:r w:rsidRPr="00B004EE">
        <w:rPr>
          <w:rFonts w:ascii="Tahoma" w:hAnsi="Tahoma" w:cs="Tahoma"/>
          <w:b/>
          <w:iCs/>
          <w:sz w:val="20"/>
          <w:szCs w:val="20"/>
        </w:rPr>
        <w:t>LABORATOIRES</w:t>
      </w:r>
      <w:r w:rsidR="00DB1635" w:rsidRPr="00B004EE">
        <w:rPr>
          <w:rFonts w:ascii="Tahoma" w:hAnsi="Tahoma" w:cs="Tahoma"/>
          <w:b/>
          <w:iCs/>
          <w:sz w:val="20"/>
          <w:szCs w:val="20"/>
        </w:rPr>
        <w:t xml:space="preserve"> </w:t>
      </w:r>
      <w:r w:rsidRPr="00B004EE">
        <w:rPr>
          <w:rFonts w:ascii="Tahoma" w:hAnsi="Tahoma" w:cs="Tahoma"/>
          <w:b/>
          <w:iCs/>
          <w:sz w:val="20"/>
          <w:szCs w:val="20"/>
        </w:rPr>
        <w:t>RECONNUS</w:t>
      </w:r>
      <w:r w:rsidR="00DB1635" w:rsidRPr="00B004EE">
        <w:rPr>
          <w:rFonts w:ascii="Tahoma" w:hAnsi="Tahoma" w:cs="Tahoma"/>
          <w:b/>
          <w:iCs/>
          <w:sz w:val="20"/>
          <w:szCs w:val="20"/>
        </w:rPr>
        <w:t xml:space="preserve"> </w:t>
      </w:r>
    </w:p>
    <w:p w14:paraId="6E94BC72" w14:textId="77777777" w:rsidR="000942DD" w:rsidRPr="00B004EE" w:rsidRDefault="000942DD" w:rsidP="00B004EE">
      <w:pPr>
        <w:autoSpaceDE w:val="0"/>
        <w:autoSpaceDN w:val="0"/>
        <w:adjustRightInd w:val="0"/>
        <w:jc w:val="center"/>
        <w:rPr>
          <w:rFonts w:ascii="Tahoma" w:hAnsi="Tahoma" w:cs="Tahoma"/>
          <w:b/>
          <w:iCs/>
          <w:sz w:val="20"/>
          <w:szCs w:val="20"/>
        </w:rPr>
      </w:pPr>
    </w:p>
    <w:p w14:paraId="385C8455" w14:textId="512E8417" w:rsidR="002F24E1" w:rsidRPr="00B004EE" w:rsidRDefault="002F24E1" w:rsidP="00B004EE">
      <w:pPr>
        <w:autoSpaceDE w:val="0"/>
        <w:autoSpaceDN w:val="0"/>
        <w:adjustRightInd w:val="0"/>
        <w:jc w:val="both"/>
        <w:rPr>
          <w:rFonts w:ascii="Tahoma" w:hAnsi="Tahoma" w:cs="Tahoma"/>
          <w:bCs/>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19.</w:t>
      </w:r>
      <w:r w:rsidR="00DB1635" w:rsidRPr="00B004EE">
        <w:rPr>
          <w:rFonts w:ascii="Tahoma" w:hAnsi="Tahoma" w:cs="Tahoma"/>
          <w:bCs/>
          <w:sz w:val="20"/>
          <w:szCs w:val="20"/>
        </w:rPr>
        <w:t xml:space="preserve"> </w:t>
      </w:r>
      <w:r w:rsidRPr="00B004EE">
        <w:rPr>
          <w:rFonts w:ascii="Tahoma" w:hAnsi="Tahoma" w:cs="Tahoma"/>
          <w:bCs/>
          <w:sz w:val="20"/>
          <w:szCs w:val="20"/>
        </w:rPr>
        <w:t>Seuls</w:t>
      </w:r>
      <w:r w:rsidR="00DB1635" w:rsidRPr="00B004EE">
        <w:rPr>
          <w:rFonts w:ascii="Tahoma" w:hAnsi="Tahoma" w:cs="Tahoma"/>
          <w:bCs/>
          <w:sz w:val="20"/>
          <w:szCs w:val="20"/>
        </w:rPr>
        <w:t xml:space="preserve"> </w:t>
      </w:r>
      <w:r w:rsidRPr="00B004EE">
        <w:rPr>
          <w:rFonts w:ascii="Tahoma" w:hAnsi="Tahoma" w:cs="Tahoma"/>
          <w:bCs/>
          <w:sz w:val="20"/>
          <w:szCs w:val="20"/>
        </w:rPr>
        <w:t>les</w:t>
      </w:r>
      <w:r w:rsidR="00DB1635" w:rsidRPr="00B004EE">
        <w:rPr>
          <w:rFonts w:ascii="Tahoma" w:hAnsi="Tahoma" w:cs="Tahoma"/>
          <w:bCs/>
          <w:sz w:val="20"/>
          <w:szCs w:val="20"/>
        </w:rPr>
        <w:t xml:space="preserve"> </w:t>
      </w:r>
      <w:r w:rsidRPr="00B004EE">
        <w:rPr>
          <w:rFonts w:ascii="Tahoma" w:hAnsi="Tahoma" w:cs="Tahoma"/>
          <w:bCs/>
          <w:sz w:val="20"/>
          <w:szCs w:val="20"/>
        </w:rPr>
        <w:t>laboratoires</w:t>
      </w:r>
      <w:r w:rsidR="00DB1635" w:rsidRPr="00B004EE">
        <w:rPr>
          <w:rFonts w:ascii="Tahoma" w:hAnsi="Tahoma" w:cs="Tahoma"/>
          <w:bCs/>
          <w:sz w:val="20"/>
          <w:szCs w:val="20"/>
        </w:rPr>
        <w:t xml:space="preserve"> </w:t>
      </w:r>
      <w:r w:rsidRPr="00B004EE">
        <w:rPr>
          <w:rFonts w:ascii="Tahoma" w:hAnsi="Tahoma" w:cs="Tahoma"/>
          <w:bCs/>
          <w:sz w:val="20"/>
          <w:szCs w:val="20"/>
        </w:rPr>
        <w:t>reconnus</w:t>
      </w:r>
      <w:r w:rsidR="00DB1635" w:rsidRPr="00B004EE">
        <w:rPr>
          <w:rFonts w:ascii="Tahoma" w:hAnsi="Tahoma" w:cs="Tahoma"/>
          <w:bCs/>
          <w:sz w:val="20"/>
          <w:szCs w:val="20"/>
        </w:rPr>
        <w:t xml:space="preserve"> </w:t>
      </w:r>
      <w:r w:rsidRPr="00B004EE">
        <w:rPr>
          <w:rFonts w:ascii="Tahoma" w:hAnsi="Tahoma" w:cs="Tahoma"/>
          <w:bCs/>
          <w:sz w:val="20"/>
          <w:szCs w:val="20"/>
        </w:rPr>
        <w:t>peuvent</w:t>
      </w:r>
      <w:r w:rsidR="00DB1635" w:rsidRPr="00B004EE">
        <w:rPr>
          <w:rFonts w:ascii="Tahoma" w:hAnsi="Tahoma" w:cs="Tahoma"/>
          <w:bCs/>
          <w:sz w:val="20"/>
          <w:szCs w:val="20"/>
        </w:rPr>
        <w:t xml:space="preserve"> </w:t>
      </w:r>
      <w:r w:rsidRPr="00B004EE">
        <w:rPr>
          <w:rFonts w:ascii="Tahoma" w:hAnsi="Tahoma" w:cs="Tahoma"/>
          <w:bCs/>
          <w:sz w:val="20"/>
          <w:szCs w:val="20"/>
        </w:rPr>
        <w:t>réaliser</w:t>
      </w:r>
      <w:r w:rsidR="00DB1635" w:rsidRPr="00B004EE">
        <w:rPr>
          <w:rFonts w:ascii="Tahoma" w:hAnsi="Tahoma" w:cs="Tahoma"/>
          <w:bCs/>
          <w:sz w:val="20"/>
          <w:szCs w:val="20"/>
        </w:rPr>
        <w:t xml:space="preserve"> </w:t>
      </w:r>
      <w:r w:rsidRPr="00B004EE">
        <w:rPr>
          <w:rFonts w:ascii="Tahoma" w:hAnsi="Tahoma" w:cs="Tahoma"/>
          <w:bCs/>
          <w:sz w:val="20"/>
          <w:szCs w:val="20"/>
        </w:rPr>
        <w:t>les</w:t>
      </w:r>
      <w:r w:rsidR="00DB1635" w:rsidRPr="00B004EE">
        <w:rPr>
          <w:rFonts w:ascii="Tahoma" w:hAnsi="Tahoma" w:cs="Tahoma"/>
          <w:bCs/>
          <w:sz w:val="20"/>
          <w:szCs w:val="20"/>
        </w:rPr>
        <w:t xml:space="preserve"> </w:t>
      </w:r>
      <w:r w:rsidRPr="00B004EE">
        <w:rPr>
          <w:rFonts w:ascii="Tahoma" w:hAnsi="Tahoma" w:cs="Tahoma"/>
          <w:bCs/>
          <w:sz w:val="20"/>
          <w:szCs w:val="20"/>
        </w:rPr>
        <w:t>analyses</w:t>
      </w:r>
      <w:r w:rsidR="00DB1635" w:rsidRPr="00B004EE">
        <w:rPr>
          <w:rFonts w:ascii="Tahoma" w:hAnsi="Tahoma" w:cs="Tahoma"/>
          <w:bCs/>
          <w:sz w:val="20"/>
          <w:szCs w:val="20"/>
        </w:rPr>
        <w:t xml:space="preserve"> </w:t>
      </w:r>
      <w:r w:rsidRPr="00B004EE">
        <w:rPr>
          <w:rFonts w:ascii="Tahoma" w:hAnsi="Tahoma" w:cs="Tahoma"/>
          <w:bCs/>
          <w:sz w:val="20"/>
          <w:szCs w:val="20"/>
        </w:rPr>
        <w:t>d’autocontrôle</w:t>
      </w:r>
      <w:r w:rsidR="00DB1635" w:rsidRPr="00B004EE">
        <w:rPr>
          <w:rFonts w:ascii="Tahoma" w:hAnsi="Tahoma" w:cs="Tahoma"/>
          <w:bCs/>
          <w:sz w:val="20"/>
          <w:szCs w:val="20"/>
        </w:rPr>
        <w:t xml:space="preserve"> </w:t>
      </w:r>
      <w:r w:rsidRPr="00B004EE">
        <w:rPr>
          <w:rFonts w:ascii="Tahoma" w:hAnsi="Tahoma" w:cs="Tahoma"/>
          <w:bCs/>
          <w:sz w:val="20"/>
          <w:szCs w:val="20"/>
        </w:rPr>
        <w:t>dont</w:t>
      </w:r>
      <w:r w:rsidR="00DB1635" w:rsidRPr="00B004EE">
        <w:rPr>
          <w:rFonts w:ascii="Tahoma" w:hAnsi="Tahoma" w:cs="Tahoma"/>
          <w:bCs/>
          <w:sz w:val="20"/>
          <w:szCs w:val="20"/>
        </w:rPr>
        <w:t xml:space="preserve"> </w:t>
      </w:r>
      <w:r w:rsidRPr="00B004EE">
        <w:rPr>
          <w:rFonts w:ascii="Tahoma" w:hAnsi="Tahoma" w:cs="Tahoma"/>
          <w:bCs/>
          <w:sz w:val="20"/>
          <w:szCs w:val="20"/>
        </w:rPr>
        <w:t>la</w:t>
      </w:r>
      <w:r w:rsidR="00DB1635" w:rsidRPr="00B004EE">
        <w:rPr>
          <w:rFonts w:ascii="Tahoma" w:hAnsi="Tahoma" w:cs="Tahoma"/>
          <w:bCs/>
          <w:sz w:val="20"/>
          <w:szCs w:val="20"/>
        </w:rPr>
        <w:t xml:space="preserve"> </w:t>
      </w:r>
      <w:r w:rsidRPr="00B004EE">
        <w:rPr>
          <w:rFonts w:ascii="Tahoma" w:hAnsi="Tahoma" w:cs="Tahoma"/>
          <w:bCs/>
          <w:sz w:val="20"/>
          <w:szCs w:val="20"/>
        </w:rPr>
        <w:t>liste</w:t>
      </w:r>
      <w:r w:rsidR="00DB1635" w:rsidRPr="00B004EE">
        <w:rPr>
          <w:rFonts w:ascii="Tahoma" w:hAnsi="Tahoma" w:cs="Tahoma"/>
          <w:bCs/>
          <w:sz w:val="20"/>
          <w:szCs w:val="20"/>
        </w:rPr>
        <w:t xml:space="preserve"> </w:t>
      </w:r>
      <w:r w:rsidRPr="00B004EE">
        <w:rPr>
          <w:rFonts w:ascii="Tahoma" w:hAnsi="Tahoma" w:cs="Tahoma"/>
          <w:bCs/>
          <w:sz w:val="20"/>
          <w:szCs w:val="20"/>
        </w:rPr>
        <w:t>est</w:t>
      </w:r>
      <w:r w:rsidR="00DB1635" w:rsidRPr="00B004EE">
        <w:rPr>
          <w:rFonts w:ascii="Tahoma" w:hAnsi="Tahoma" w:cs="Tahoma"/>
          <w:bCs/>
          <w:sz w:val="20"/>
          <w:szCs w:val="20"/>
        </w:rPr>
        <w:t xml:space="preserve"> </w:t>
      </w:r>
      <w:r w:rsidRPr="00B004EE">
        <w:rPr>
          <w:rFonts w:ascii="Tahoma" w:hAnsi="Tahoma" w:cs="Tahoma"/>
          <w:bCs/>
          <w:sz w:val="20"/>
          <w:szCs w:val="20"/>
        </w:rPr>
        <w:t>fixée</w:t>
      </w:r>
      <w:r w:rsidR="00DB1635" w:rsidRPr="00B004EE">
        <w:rPr>
          <w:rFonts w:ascii="Tahoma" w:hAnsi="Tahoma" w:cs="Tahoma"/>
          <w:bCs/>
          <w:sz w:val="20"/>
          <w:szCs w:val="20"/>
        </w:rPr>
        <w:t xml:space="preserve"> </w:t>
      </w:r>
      <w:r w:rsidRPr="00B004EE">
        <w:rPr>
          <w:rFonts w:ascii="Tahoma" w:hAnsi="Tahoma" w:cs="Tahoma"/>
          <w:bCs/>
          <w:sz w:val="20"/>
          <w:szCs w:val="20"/>
        </w:rPr>
        <w:t>par</w:t>
      </w:r>
      <w:r w:rsidR="00DB1635" w:rsidRPr="00B004EE">
        <w:rPr>
          <w:rFonts w:ascii="Tahoma" w:hAnsi="Tahoma" w:cs="Tahoma"/>
          <w:bCs/>
          <w:sz w:val="20"/>
          <w:szCs w:val="20"/>
        </w:rPr>
        <w:t xml:space="preserve"> </w:t>
      </w:r>
      <w:r w:rsidRPr="00B004EE">
        <w:rPr>
          <w:rFonts w:ascii="Tahoma" w:hAnsi="Tahoma" w:cs="Tahoma"/>
          <w:bCs/>
          <w:sz w:val="20"/>
          <w:szCs w:val="20"/>
        </w:rPr>
        <w:t>arrêté</w:t>
      </w:r>
      <w:r w:rsidR="00DB1635" w:rsidRPr="00B004EE">
        <w:rPr>
          <w:rFonts w:ascii="Tahoma" w:hAnsi="Tahoma" w:cs="Tahoma"/>
          <w:bCs/>
          <w:sz w:val="20"/>
          <w:szCs w:val="20"/>
        </w:rPr>
        <w:t xml:space="preserve"> </w:t>
      </w:r>
      <w:r w:rsidRPr="00B004EE">
        <w:rPr>
          <w:rFonts w:ascii="Tahoma" w:hAnsi="Tahoma" w:cs="Tahoma"/>
          <w:bCs/>
          <w:sz w:val="20"/>
          <w:szCs w:val="20"/>
        </w:rPr>
        <w:t>du</w:t>
      </w:r>
      <w:r w:rsidR="00DB1635" w:rsidRPr="00B004EE">
        <w:rPr>
          <w:rFonts w:ascii="Tahoma" w:hAnsi="Tahoma" w:cs="Tahoma"/>
          <w:bCs/>
          <w:sz w:val="20"/>
          <w:szCs w:val="20"/>
        </w:rPr>
        <w:t xml:space="preserve"> </w:t>
      </w:r>
      <w:r w:rsidRPr="00B004EE">
        <w:rPr>
          <w:rFonts w:ascii="Tahoma" w:hAnsi="Tahoma" w:cs="Tahoma"/>
          <w:bCs/>
          <w:sz w:val="20"/>
          <w:szCs w:val="20"/>
        </w:rPr>
        <w:t>ministre</w:t>
      </w:r>
      <w:r w:rsidR="00DB1635" w:rsidRPr="00B004EE">
        <w:rPr>
          <w:rFonts w:ascii="Tahoma" w:hAnsi="Tahoma" w:cs="Tahoma"/>
          <w:bCs/>
          <w:sz w:val="20"/>
          <w:szCs w:val="20"/>
        </w:rPr>
        <w:t xml:space="preserve"> </w:t>
      </w:r>
      <w:r w:rsidRPr="00B004EE">
        <w:rPr>
          <w:rFonts w:ascii="Tahoma" w:hAnsi="Tahoma" w:cs="Tahoma"/>
          <w:bCs/>
          <w:sz w:val="20"/>
          <w:szCs w:val="20"/>
        </w:rPr>
        <w:t>chargé</w:t>
      </w:r>
      <w:r w:rsidR="00DB1635" w:rsidRPr="00B004EE">
        <w:rPr>
          <w:rFonts w:ascii="Tahoma" w:hAnsi="Tahoma" w:cs="Tahoma"/>
          <w:bCs/>
          <w:sz w:val="20"/>
          <w:szCs w:val="20"/>
        </w:rPr>
        <w:t xml:space="preserve"> </w:t>
      </w:r>
      <w:r w:rsidRPr="00B004EE">
        <w:rPr>
          <w:rFonts w:ascii="Tahoma" w:hAnsi="Tahoma" w:cs="Tahoma"/>
          <w:bCs/>
          <w:sz w:val="20"/>
          <w:szCs w:val="20"/>
        </w:rPr>
        <w:t>des</w:t>
      </w:r>
      <w:r w:rsidR="00DB1635" w:rsidRPr="00B004EE">
        <w:rPr>
          <w:rFonts w:ascii="Tahoma" w:hAnsi="Tahoma" w:cs="Tahoma"/>
          <w:bCs/>
          <w:sz w:val="20"/>
          <w:szCs w:val="20"/>
        </w:rPr>
        <w:t xml:space="preserve"> </w:t>
      </w:r>
      <w:r w:rsidRPr="00B004EE">
        <w:rPr>
          <w:rFonts w:ascii="Tahoma" w:hAnsi="Tahoma" w:cs="Tahoma"/>
          <w:bCs/>
          <w:sz w:val="20"/>
          <w:szCs w:val="20"/>
        </w:rPr>
        <w:t>pêches,</w:t>
      </w:r>
      <w:r w:rsidR="00DB1635" w:rsidRPr="00B004EE">
        <w:rPr>
          <w:rFonts w:ascii="Tahoma" w:hAnsi="Tahoma" w:cs="Tahoma"/>
          <w:bCs/>
          <w:sz w:val="20"/>
          <w:szCs w:val="20"/>
        </w:rPr>
        <w:t xml:space="preserve"> </w:t>
      </w:r>
      <w:r w:rsidRPr="00B004EE">
        <w:rPr>
          <w:rFonts w:ascii="Tahoma" w:hAnsi="Tahoma" w:cs="Tahoma"/>
          <w:bCs/>
          <w:sz w:val="20"/>
          <w:szCs w:val="20"/>
        </w:rPr>
        <w:t>dans</w:t>
      </w:r>
      <w:r w:rsidR="00DB1635" w:rsidRPr="00B004EE">
        <w:rPr>
          <w:rFonts w:ascii="Tahoma" w:hAnsi="Tahoma" w:cs="Tahoma"/>
          <w:bCs/>
          <w:sz w:val="20"/>
          <w:szCs w:val="20"/>
        </w:rPr>
        <w:t xml:space="preserve"> </w:t>
      </w:r>
      <w:r w:rsidRPr="00B004EE">
        <w:rPr>
          <w:rFonts w:ascii="Tahoma" w:hAnsi="Tahoma" w:cs="Tahoma"/>
          <w:bCs/>
          <w:sz w:val="20"/>
          <w:szCs w:val="20"/>
        </w:rPr>
        <w:t>les</w:t>
      </w:r>
      <w:r w:rsidR="00DB1635" w:rsidRPr="00B004EE">
        <w:rPr>
          <w:rFonts w:ascii="Tahoma" w:hAnsi="Tahoma" w:cs="Tahoma"/>
          <w:bCs/>
          <w:sz w:val="20"/>
          <w:szCs w:val="20"/>
        </w:rPr>
        <w:t xml:space="preserve"> </w:t>
      </w:r>
      <w:r w:rsidRPr="00B004EE">
        <w:rPr>
          <w:rFonts w:ascii="Tahoma" w:hAnsi="Tahoma" w:cs="Tahoma"/>
          <w:bCs/>
          <w:sz w:val="20"/>
          <w:szCs w:val="20"/>
        </w:rPr>
        <w:t>limites</w:t>
      </w:r>
      <w:r w:rsidR="00DB1635" w:rsidRPr="00B004EE">
        <w:rPr>
          <w:rFonts w:ascii="Tahoma" w:hAnsi="Tahoma" w:cs="Tahoma"/>
          <w:bCs/>
          <w:sz w:val="20"/>
          <w:szCs w:val="20"/>
        </w:rPr>
        <w:t xml:space="preserve"> </w:t>
      </w:r>
      <w:r w:rsidRPr="00B004EE">
        <w:rPr>
          <w:rFonts w:ascii="Tahoma" w:hAnsi="Tahoma" w:cs="Tahoma"/>
          <w:bCs/>
          <w:sz w:val="20"/>
          <w:szCs w:val="20"/>
        </w:rPr>
        <w:t>du</w:t>
      </w:r>
      <w:r w:rsidR="00DB1635" w:rsidRPr="00B004EE">
        <w:rPr>
          <w:rFonts w:ascii="Tahoma" w:hAnsi="Tahoma" w:cs="Tahoma"/>
          <w:bCs/>
          <w:sz w:val="20"/>
          <w:szCs w:val="20"/>
        </w:rPr>
        <w:t xml:space="preserve"> </w:t>
      </w:r>
      <w:r w:rsidRPr="00B004EE">
        <w:rPr>
          <w:rFonts w:ascii="Tahoma" w:hAnsi="Tahoma" w:cs="Tahoma"/>
          <w:bCs/>
          <w:sz w:val="20"/>
          <w:szCs w:val="20"/>
        </w:rPr>
        <w:t>domaine</w:t>
      </w:r>
      <w:r w:rsidR="00DB1635" w:rsidRPr="00B004EE">
        <w:rPr>
          <w:rFonts w:ascii="Tahoma" w:hAnsi="Tahoma" w:cs="Tahoma"/>
          <w:bCs/>
          <w:sz w:val="20"/>
          <w:szCs w:val="20"/>
        </w:rPr>
        <w:t xml:space="preserve"> </w:t>
      </w:r>
      <w:r w:rsidRPr="00B004EE">
        <w:rPr>
          <w:rFonts w:ascii="Tahoma" w:hAnsi="Tahoma" w:cs="Tahoma"/>
          <w:bCs/>
          <w:sz w:val="20"/>
          <w:szCs w:val="20"/>
        </w:rPr>
        <w:t>analytique</w:t>
      </w:r>
      <w:r w:rsidR="00DB1635" w:rsidRPr="00B004EE">
        <w:rPr>
          <w:rFonts w:ascii="Tahoma" w:hAnsi="Tahoma" w:cs="Tahoma"/>
          <w:bCs/>
          <w:sz w:val="20"/>
          <w:szCs w:val="20"/>
        </w:rPr>
        <w:t xml:space="preserve"> </w:t>
      </w:r>
      <w:r w:rsidRPr="00B004EE">
        <w:rPr>
          <w:rFonts w:ascii="Tahoma" w:hAnsi="Tahoma" w:cs="Tahoma"/>
          <w:bCs/>
          <w:sz w:val="20"/>
          <w:szCs w:val="20"/>
        </w:rPr>
        <w:t>pour</w:t>
      </w:r>
      <w:r w:rsidR="00DB1635" w:rsidRPr="00B004EE">
        <w:rPr>
          <w:rFonts w:ascii="Tahoma" w:hAnsi="Tahoma" w:cs="Tahoma"/>
          <w:bCs/>
          <w:sz w:val="20"/>
          <w:szCs w:val="20"/>
        </w:rPr>
        <w:t xml:space="preserve"> </w:t>
      </w:r>
      <w:r w:rsidRPr="00B004EE">
        <w:rPr>
          <w:rFonts w:ascii="Tahoma" w:hAnsi="Tahoma" w:cs="Tahoma"/>
          <w:bCs/>
          <w:sz w:val="20"/>
          <w:szCs w:val="20"/>
        </w:rPr>
        <w:t>lequel</w:t>
      </w:r>
      <w:r w:rsidR="00DB1635" w:rsidRPr="00B004EE">
        <w:rPr>
          <w:rFonts w:ascii="Tahoma" w:hAnsi="Tahoma" w:cs="Tahoma"/>
          <w:bCs/>
          <w:sz w:val="20"/>
          <w:szCs w:val="20"/>
        </w:rPr>
        <w:t xml:space="preserve"> </w:t>
      </w:r>
      <w:r w:rsidRPr="00B004EE">
        <w:rPr>
          <w:rFonts w:ascii="Tahoma" w:hAnsi="Tahoma" w:cs="Tahoma"/>
          <w:bCs/>
          <w:sz w:val="20"/>
          <w:szCs w:val="20"/>
        </w:rPr>
        <w:t>ils</w:t>
      </w:r>
      <w:r w:rsidR="00DB1635" w:rsidRPr="00B004EE">
        <w:rPr>
          <w:rFonts w:ascii="Tahoma" w:hAnsi="Tahoma" w:cs="Tahoma"/>
          <w:bCs/>
          <w:sz w:val="20"/>
          <w:szCs w:val="20"/>
        </w:rPr>
        <w:t xml:space="preserve"> </w:t>
      </w:r>
      <w:r w:rsidRPr="00B004EE">
        <w:rPr>
          <w:rFonts w:ascii="Tahoma" w:hAnsi="Tahoma" w:cs="Tahoma"/>
          <w:bCs/>
          <w:sz w:val="20"/>
          <w:szCs w:val="20"/>
        </w:rPr>
        <w:t>sont</w:t>
      </w:r>
      <w:r w:rsidR="00DB1635" w:rsidRPr="00B004EE">
        <w:rPr>
          <w:rFonts w:ascii="Tahoma" w:hAnsi="Tahoma" w:cs="Tahoma"/>
          <w:bCs/>
          <w:sz w:val="20"/>
          <w:szCs w:val="20"/>
        </w:rPr>
        <w:t xml:space="preserve"> </w:t>
      </w:r>
      <w:r w:rsidRPr="00B004EE">
        <w:rPr>
          <w:rFonts w:ascii="Tahoma" w:hAnsi="Tahoma" w:cs="Tahoma"/>
          <w:bCs/>
          <w:sz w:val="20"/>
          <w:szCs w:val="20"/>
        </w:rPr>
        <w:t>reconnus.</w:t>
      </w:r>
      <w:r w:rsidR="00DB1635" w:rsidRPr="00B004EE">
        <w:rPr>
          <w:rFonts w:ascii="Tahoma" w:hAnsi="Tahoma" w:cs="Tahoma"/>
          <w:bCs/>
          <w:sz w:val="20"/>
          <w:szCs w:val="20"/>
        </w:rPr>
        <w:t xml:space="preserve"> </w:t>
      </w:r>
    </w:p>
    <w:p w14:paraId="504D754A" w14:textId="77777777" w:rsidR="002F24E1" w:rsidRPr="00B004EE" w:rsidRDefault="002F24E1" w:rsidP="00B004EE">
      <w:pPr>
        <w:autoSpaceDE w:val="0"/>
        <w:autoSpaceDN w:val="0"/>
        <w:adjustRightInd w:val="0"/>
        <w:jc w:val="both"/>
        <w:rPr>
          <w:rFonts w:ascii="Tahoma" w:hAnsi="Tahoma" w:cs="Tahoma"/>
          <w:bCs/>
          <w:sz w:val="20"/>
          <w:szCs w:val="20"/>
        </w:rPr>
      </w:pPr>
    </w:p>
    <w:p w14:paraId="46996B81" w14:textId="5D1A1608" w:rsidR="002F24E1" w:rsidRPr="00B004EE" w:rsidRDefault="002F24E1" w:rsidP="00B004EE">
      <w:pPr>
        <w:autoSpaceDE w:val="0"/>
        <w:autoSpaceDN w:val="0"/>
        <w:adjustRightInd w:val="0"/>
        <w:jc w:val="both"/>
        <w:rPr>
          <w:rFonts w:ascii="Tahoma" w:hAnsi="Tahoma" w:cs="Tahoma"/>
          <w:bCs/>
          <w:sz w:val="20"/>
          <w:szCs w:val="20"/>
        </w:rPr>
      </w:pPr>
      <w:r w:rsidRPr="00B004EE">
        <w:rPr>
          <w:rFonts w:ascii="Tahoma" w:hAnsi="Tahoma" w:cs="Tahoma"/>
          <w:bCs/>
          <w:sz w:val="20"/>
          <w:szCs w:val="20"/>
        </w:rPr>
        <w:t>La</w:t>
      </w:r>
      <w:r w:rsidR="00DB1635" w:rsidRPr="00B004EE">
        <w:rPr>
          <w:rFonts w:ascii="Tahoma" w:hAnsi="Tahoma" w:cs="Tahoma"/>
          <w:bCs/>
          <w:sz w:val="20"/>
          <w:szCs w:val="20"/>
        </w:rPr>
        <w:t xml:space="preserve"> </w:t>
      </w:r>
      <w:r w:rsidRPr="00B004EE">
        <w:rPr>
          <w:rFonts w:ascii="Tahoma" w:hAnsi="Tahoma" w:cs="Tahoma"/>
          <w:bCs/>
          <w:sz w:val="20"/>
          <w:szCs w:val="20"/>
        </w:rPr>
        <w:t>reconnaissance</w:t>
      </w:r>
      <w:r w:rsidR="00DB1635" w:rsidRPr="00B004EE">
        <w:rPr>
          <w:rFonts w:ascii="Tahoma" w:hAnsi="Tahoma" w:cs="Tahoma"/>
          <w:bCs/>
          <w:sz w:val="20"/>
          <w:szCs w:val="20"/>
        </w:rPr>
        <w:t xml:space="preserve"> </w:t>
      </w:r>
      <w:r w:rsidRPr="00B004EE">
        <w:rPr>
          <w:rFonts w:ascii="Tahoma" w:hAnsi="Tahoma" w:cs="Tahoma"/>
          <w:bCs/>
          <w:sz w:val="20"/>
          <w:szCs w:val="20"/>
        </w:rPr>
        <w:t>est</w:t>
      </w:r>
      <w:r w:rsidR="00DB1635" w:rsidRPr="00B004EE">
        <w:rPr>
          <w:rFonts w:ascii="Tahoma" w:hAnsi="Tahoma" w:cs="Tahoma"/>
          <w:bCs/>
          <w:sz w:val="20"/>
          <w:szCs w:val="20"/>
        </w:rPr>
        <w:t xml:space="preserve"> </w:t>
      </w:r>
      <w:r w:rsidRPr="00B004EE">
        <w:rPr>
          <w:rFonts w:ascii="Tahoma" w:hAnsi="Tahoma" w:cs="Tahoma"/>
          <w:bCs/>
          <w:sz w:val="20"/>
          <w:szCs w:val="20"/>
        </w:rPr>
        <w:t>délivrée</w:t>
      </w:r>
      <w:r w:rsidR="00DB1635" w:rsidRPr="00B004EE">
        <w:rPr>
          <w:rFonts w:ascii="Tahoma" w:hAnsi="Tahoma" w:cs="Tahoma"/>
          <w:bCs/>
          <w:sz w:val="20"/>
          <w:szCs w:val="20"/>
        </w:rPr>
        <w:t xml:space="preserve"> </w:t>
      </w:r>
      <w:r w:rsidRPr="00B004EE">
        <w:rPr>
          <w:rFonts w:ascii="Tahoma" w:hAnsi="Tahoma" w:cs="Tahoma"/>
          <w:bCs/>
          <w:sz w:val="20"/>
          <w:szCs w:val="20"/>
        </w:rPr>
        <w:t>à</w:t>
      </w:r>
      <w:r w:rsidR="00DB1635" w:rsidRPr="00B004EE">
        <w:rPr>
          <w:rFonts w:ascii="Tahoma" w:hAnsi="Tahoma" w:cs="Tahoma"/>
          <w:bCs/>
          <w:sz w:val="20"/>
          <w:szCs w:val="20"/>
        </w:rPr>
        <w:t xml:space="preserve"> </w:t>
      </w:r>
      <w:r w:rsidRPr="00B004EE">
        <w:rPr>
          <w:rFonts w:ascii="Tahoma" w:hAnsi="Tahoma" w:cs="Tahoma"/>
          <w:bCs/>
          <w:sz w:val="20"/>
          <w:szCs w:val="20"/>
        </w:rPr>
        <w:t>un</w:t>
      </w:r>
      <w:r w:rsidR="00DB1635" w:rsidRPr="00B004EE">
        <w:rPr>
          <w:rFonts w:ascii="Tahoma" w:hAnsi="Tahoma" w:cs="Tahoma"/>
          <w:bCs/>
          <w:sz w:val="20"/>
          <w:szCs w:val="20"/>
        </w:rPr>
        <w:t xml:space="preserve"> </w:t>
      </w:r>
      <w:r w:rsidRPr="00B004EE">
        <w:rPr>
          <w:rFonts w:ascii="Tahoma" w:hAnsi="Tahoma" w:cs="Tahoma"/>
          <w:bCs/>
          <w:sz w:val="20"/>
          <w:szCs w:val="20"/>
        </w:rPr>
        <w:t>laboratoire</w:t>
      </w:r>
      <w:r w:rsidR="00DB1635" w:rsidRPr="00B004EE">
        <w:rPr>
          <w:rFonts w:ascii="Tahoma" w:hAnsi="Tahoma" w:cs="Tahoma"/>
          <w:bCs/>
          <w:sz w:val="20"/>
          <w:szCs w:val="20"/>
        </w:rPr>
        <w:t xml:space="preserve"> </w:t>
      </w:r>
      <w:r w:rsidRPr="00B004EE">
        <w:rPr>
          <w:rFonts w:ascii="Tahoma" w:hAnsi="Tahoma" w:cs="Tahoma"/>
          <w:bCs/>
          <w:sz w:val="20"/>
          <w:szCs w:val="20"/>
        </w:rPr>
        <w:t>pour</w:t>
      </w:r>
      <w:r w:rsidR="00DB1635" w:rsidRPr="00B004EE">
        <w:rPr>
          <w:rFonts w:ascii="Tahoma" w:hAnsi="Tahoma" w:cs="Tahoma"/>
          <w:bCs/>
          <w:sz w:val="20"/>
          <w:szCs w:val="20"/>
        </w:rPr>
        <w:t xml:space="preserve"> </w:t>
      </w:r>
      <w:r w:rsidRPr="00B004EE">
        <w:rPr>
          <w:rFonts w:ascii="Tahoma" w:hAnsi="Tahoma" w:cs="Tahoma"/>
          <w:bCs/>
          <w:sz w:val="20"/>
          <w:szCs w:val="20"/>
        </w:rPr>
        <w:t>un</w:t>
      </w:r>
      <w:r w:rsidR="00DB1635" w:rsidRPr="00B004EE">
        <w:rPr>
          <w:rFonts w:ascii="Tahoma" w:hAnsi="Tahoma" w:cs="Tahoma"/>
          <w:bCs/>
          <w:sz w:val="20"/>
          <w:szCs w:val="20"/>
        </w:rPr>
        <w:t xml:space="preserve"> </w:t>
      </w:r>
      <w:r w:rsidRPr="00B004EE">
        <w:rPr>
          <w:rFonts w:ascii="Tahoma" w:hAnsi="Tahoma" w:cs="Tahoma"/>
          <w:bCs/>
          <w:sz w:val="20"/>
          <w:szCs w:val="20"/>
        </w:rPr>
        <w:t>ou</w:t>
      </w:r>
      <w:r w:rsidR="00DB1635" w:rsidRPr="00B004EE">
        <w:rPr>
          <w:rFonts w:ascii="Tahoma" w:hAnsi="Tahoma" w:cs="Tahoma"/>
          <w:bCs/>
          <w:sz w:val="20"/>
          <w:szCs w:val="20"/>
        </w:rPr>
        <w:t xml:space="preserve"> </w:t>
      </w:r>
      <w:r w:rsidRPr="00B004EE">
        <w:rPr>
          <w:rFonts w:ascii="Tahoma" w:hAnsi="Tahoma" w:cs="Tahoma"/>
          <w:bCs/>
          <w:sz w:val="20"/>
          <w:szCs w:val="20"/>
        </w:rPr>
        <w:t>plusieurs</w:t>
      </w:r>
      <w:r w:rsidR="00DB1635" w:rsidRPr="00B004EE">
        <w:rPr>
          <w:rFonts w:ascii="Tahoma" w:hAnsi="Tahoma" w:cs="Tahoma"/>
          <w:bCs/>
          <w:sz w:val="20"/>
          <w:szCs w:val="20"/>
        </w:rPr>
        <w:t xml:space="preserve"> </w:t>
      </w:r>
      <w:r w:rsidRPr="00B004EE">
        <w:rPr>
          <w:rFonts w:ascii="Tahoma" w:hAnsi="Tahoma" w:cs="Tahoma"/>
          <w:bCs/>
          <w:sz w:val="20"/>
          <w:szCs w:val="20"/>
        </w:rPr>
        <w:t>types</w:t>
      </w:r>
      <w:r w:rsidR="00DB1635" w:rsidRPr="00B004EE">
        <w:rPr>
          <w:rFonts w:ascii="Tahoma" w:hAnsi="Tahoma" w:cs="Tahoma"/>
          <w:bCs/>
          <w:sz w:val="20"/>
          <w:szCs w:val="20"/>
        </w:rPr>
        <w:t xml:space="preserve"> </w:t>
      </w:r>
      <w:r w:rsidRPr="00B004EE">
        <w:rPr>
          <w:rFonts w:ascii="Tahoma" w:hAnsi="Tahoma" w:cs="Tahoma"/>
          <w:bCs/>
          <w:sz w:val="20"/>
          <w:szCs w:val="20"/>
        </w:rPr>
        <w:t>d’analyses,</w:t>
      </w:r>
      <w:r w:rsidR="00DB1635" w:rsidRPr="00B004EE">
        <w:rPr>
          <w:rFonts w:ascii="Tahoma" w:hAnsi="Tahoma" w:cs="Tahoma"/>
          <w:bCs/>
          <w:sz w:val="20"/>
          <w:szCs w:val="20"/>
        </w:rPr>
        <w:t xml:space="preserve"> </w:t>
      </w:r>
      <w:r w:rsidRPr="00B004EE">
        <w:rPr>
          <w:rFonts w:ascii="Tahoma" w:hAnsi="Tahoma" w:cs="Tahoma"/>
          <w:bCs/>
          <w:sz w:val="20"/>
          <w:szCs w:val="20"/>
        </w:rPr>
        <w:t>pour</w:t>
      </w:r>
      <w:r w:rsidR="00DB1635" w:rsidRPr="00B004EE">
        <w:rPr>
          <w:rFonts w:ascii="Tahoma" w:hAnsi="Tahoma" w:cs="Tahoma"/>
          <w:bCs/>
          <w:sz w:val="20"/>
          <w:szCs w:val="20"/>
        </w:rPr>
        <w:t xml:space="preserve"> </w:t>
      </w:r>
      <w:r w:rsidRPr="00B004EE">
        <w:rPr>
          <w:rFonts w:ascii="Tahoma" w:hAnsi="Tahoma" w:cs="Tahoma"/>
          <w:bCs/>
          <w:sz w:val="20"/>
          <w:szCs w:val="20"/>
        </w:rPr>
        <w:t>une</w:t>
      </w:r>
      <w:r w:rsidR="00DB1635" w:rsidRPr="00B004EE">
        <w:rPr>
          <w:rFonts w:ascii="Tahoma" w:hAnsi="Tahoma" w:cs="Tahoma"/>
          <w:bCs/>
          <w:sz w:val="20"/>
          <w:szCs w:val="20"/>
        </w:rPr>
        <w:t xml:space="preserve"> </w:t>
      </w:r>
      <w:r w:rsidRPr="00B004EE">
        <w:rPr>
          <w:rFonts w:ascii="Tahoma" w:hAnsi="Tahoma" w:cs="Tahoma"/>
          <w:bCs/>
          <w:sz w:val="20"/>
          <w:szCs w:val="20"/>
        </w:rPr>
        <w:t>durée</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cinq</w:t>
      </w:r>
      <w:r w:rsidR="00DB1635" w:rsidRPr="00B004EE">
        <w:rPr>
          <w:rFonts w:ascii="Tahoma" w:hAnsi="Tahoma" w:cs="Tahoma"/>
          <w:bCs/>
          <w:sz w:val="20"/>
          <w:szCs w:val="20"/>
        </w:rPr>
        <w:t xml:space="preserve"> </w:t>
      </w:r>
      <w:r w:rsidRPr="00B004EE">
        <w:rPr>
          <w:rFonts w:ascii="Tahoma" w:hAnsi="Tahoma" w:cs="Tahoma"/>
          <w:bCs/>
          <w:sz w:val="20"/>
          <w:szCs w:val="20"/>
        </w:rPr>
        <w:t>ans</w:t>
      </w:r>
      <w:r w:rsidR="00DB1635" w:rsidRPr="00B004EE">
        <w:rPr>
          <w:rFonts w:ascii="Tahoma" w:hAnsi="Tahoma" w:cs="Tahoma"/>
          <w:bCs/>
          <w:sz w:val="20"/>
          <w:szCs w:val="20"/>
        </w:rPr>
        <w:t xml:space="preserve"> </w:t>
      </w:r>
      <w:r w:rsidRPr="00B004EE">
        <w:rPr>
          <w:rFonts w:ascii="Tahoma" w:hAnsi="Tahoma" w:cs="Tahoma"/>
          <w:bCs/>
          <w:sz w:val="20"/>
          <w:szCs w:val="20"/>
        </w:rPr>
        <w:t>renouvelable,</w:t>
      </w:r>
      <w:r w:rsidR="00DB1635" w:rsidRPr="00B004EE">
        <w:rPr>
          <w:rFonts w:ascii="Tahoma" w:hAnsi="Tahoma" w:cs="Tahoma"/>
          <w:bCs/>
          <w:sz w:val="20"/>
          <w:szCs w:val="20"/>
        </w:rPr>
        <w:t xml:space="preserve"> </w:t>
      </w:r>
      <w:r w:rsidRPr="00B004EE">
        <w:rPr>
          <w:rFonts w:ascii="Tahoma" w:hAnsi="Tahoma" w:cs="Tahoma"/>
          <w:bCs/>
          <w:sz w:val="20"/>
          <w:szCs w:val="20"/>
        </w:rPr>
        <w:t>par</w:t>
      </w:r>
      <w:r w:rsidR="00DB1635" w:rsidRPr="00B004EE">
        <w:rPr>
          <w:rFonts w:ascii="Tahoma" w:hAnsi="Tahoma" w:cs="Tahoma"/>
          <w:bCs/>
          <w:sz w:val="20"/>
          <w:szCs w:val="20"/>
        </w:rPr>
        <w:t xml:space="preserve"> </w:t>
      </w:r>
      <w:r w:rsidRPr="00B004EE">
        <w:rPr>
          <w:rFonts w:ascii="Tahoma" w:hAnsi="Tahoma" w:cs="Tahoma"/>
          <w:bCs/>
          <w:sz w:val="20"/>
          <w:szCs w:val="20"/>
        </w:rPr>
        <w:t>l’IMROP</w:t>
      </w:r>
      <w:r w:rsidR="00DB1635" w:rsidRPr="00B004EE">
        <w:rPr>
          <w:rFonts w:ascii="Tahoma" w:hAnsi="Tahoma" w:cs="Tahoma"/>
          <w:bCs/>
          <w:sz w:val="20"/>
          <w:szCs w:val="20"/>
        </w:rPr>
        <w:t xml:space="preserve"> </w:t>
      </w:r>
      <w:r w:rsidRPr="00B004EE">
        <w:rPr>
          <w:rFonts w:ascii="Tahoma" w:hAnsi="Tahoma" w:cs="Tahoma"/>
          <w:bCs/>
          <w:sz w:val="20"/>
          <w:szCs w:val="20"/>
        </w:rPr>
        <w:t>sur</w:t>
      </w:r>
      <w:r w:rsidR="00DB1635" w:rsidRPr="00B004EE">
        <w:rPr>
          <w:rFonts w:ascii="Tahoma" w:hAnsi="Tahoma" w:cs="Tahoma"/>
          <w:bCs/>
          <w:sz w:val="20"/>
          <w:szCs w:val="20"/>
        </w:rPr>
        <w:t xml:space="preserve"> </w:t>
      </w:r>
      <w:r w:rsidRPr="00B004EE">
        <w:rPr>
          <w:rFonts w:ascii="Tahoma" w:hAnsi="Tahoma" w:cs="Tahoma"/>
          <w:bCs/>
          <w:sz w:val="20"/>
          <w:szCs w:val="20"/>
        </w:rPr>
        <w:t>avis</w:t>
      </w:r>
      <w:r w:rsidR="00DB1635" w:rsidRPr="00B004EE">
        <w:rPr>
          <w:rFonts w:ascii="Tahoma" w:hAnsi="Tahoma" w:cs="Tahoma"/>
          <w:bCs/>
          <w:sz w:val="20"/>
          <w:szCs w:val="20"/>
        </w:rPr>
        <w:t xml:space="preserve"> </w:t>
      </w:r>
      <w:r w:rsidRPr="00B004EE">
        <w:rPr>
          <w:rFonts w:ascii="Tahoma" w:hAnsi="Tahoma" w:cs="Tahoma"/>
          <w:bCs/>
          <w:sz w:val="20"/>
          <w:szCs w:val="20"/>
        </w:rPr>
        <w:t>du</w:t>
      </w:r>
      <w:r w:rsidR="00DB1635" w:rsidRPr="00B004EE">
        <w:rPr>
          <w:rFonts w:ascii="Tahoma" w:hAnsi="Tahoma" w:cs="Tahoma"/>
          <w:bCs/>
          <w:sz w:val="20"/>
          <w:szCs w:val="20"/>
        </w:rPr>
        <w:t xml:space="preserve"> </w:t>
      </w:r>
      <w:r w:rsidRPr="00B004EE">
        <w:rPr>
          <w:rFonts w:ascii="Tahoma" w:hAnsi="Tahoma" w:cs="Tahoma"/>
          <w:bCs/>
          <w:sz w:val="20"/>
          <w:szCs w:val="20"/>
        </w:rPr>
        <w:t>LNR.</w:t>
      </w:r>
      <w:r w:rsidR="00DB1635" w:rsidRPr="00B004EE">
        <w:rPr>
          <w:rFonts w:ascii="Tahoma" w:hAnsi="Tahoma" w:cs="Tahoma"/>
          <w:bCs/>
          <w:sz w:val="20"/>
          <w:szCs w:val="20"/>
        </w:rPr>
        <w:t xml:space="preserve"> </w:t>
      </w:r>
      <w:r w:rsidRPr="00B004EE">
        <w:rPr>
          <w:rFonts w:ascii="Tahoma" w:hAnsi="Tahoma" w:cs="Tahoma"/>
          <w:bCs/>
          <w:sz w:val="20"/>
          <w:szCs w:val="20"/>
        </w:rPr>
        <w:t>Le</w:t>
      </w:r>
      <w:r w:rsidR="00DB1635" w:rsidRPr="00B004EE">
        <w:rPr>
          <w:rFonts w:ascii="Tahoma" w:hAnsi="Tahoma" w:cs="Tahoma"/>
          <w:bCs/>
          <w:sz w:val="20"/>
          <w:szCs w:val="20"/>
        </w:rPr>
        <w:t xml:space="preserve"> </w:t>
      </w:r>
      <w:r w:rsidRPr="00B004EE">
        <w:rPr>
          <w:rFonts w:ascii="Tahoma" w:hAnsi="Tahoma" w:cs="Tahoma"/>
          <w:bCs/>
          <w:sz w:val="20"/>
          <w:szCs w:val="20"/>
        </w:rPr>
        <w:t>ministre</w:t>
      </w:r>
      <w:r w:rsidR="00DB1635" w:rsidRPr="00B004EE">
        <w:rPr>
          <w:rFonts w:ascii="Tahoma" w:hAnsi="Tahoma" w:cs="Tahoma"/>
          <w:bCs/>
          <w:sz w:val="20"/>
          <w:szCs w:val="20"/>
        </w:rPr>
        <w:t xml:space="preserve"> </w:t>
      </w:r>
      <w:r w:rsidRPr="00B004EE">
        <w:rPr>
          <w:rFonts w:ascii="Tahoma" w:hAnsi="Tahoma" w:cs="Tahoma"/>
          <w:bCs/>
          <w:sz w:val="20"/>
          <w:szCs w:val="20"/>
        </w:rPr>
        <w:t>chargé</w:t>
      </w:r>
      <w:r w:rsidR="00DB1635" w:rsidRPr="00B004EE">
        <w:rPr>
          <w:rFonts w:ascii="Tahoma" w:hAnsi="Tahoma" w:cs="Tahoma"/>
          <w:bCs/>
          <w:sz w:val="20"/>
          <w:szCs w:val="20"/>
        </w:rPr>
        <w:t xml:space="preserve"> </w:t>
      </w:r>
      <w:r w:rsidRPr="00B004EE">
        <w:rPr>
          <w:rFonts w:ascii="Tahoma" w:hAnsi="Tahoma" w:cs="Tahoma"/>
          <w:bCs/>
          <w:sz w:val="20"/>
          <w:szCs w:val="20"/>
        </w:rPr>
        <w:t>des</w:t>
      </w:r>
      <w:r w:rsidR="00DB1635" w:rsidRPr="00B004EE">
        <w:rPr>
          <w:rFonts w:ascii="Tahoma" w:hAnsi="Tahoma" w:cs="Tahoma"/>
          <w:bCs/>
          <w:sz w:val="20"/>
          <w:szCs w:val="20"/>
        </w:rPr>
        <w:t xml:space="preserve"> </w:t>
      </w:r>
      <w:r w:rsidRPr="00B004EE">
        <w:rPr>
          <w:rFonts w:ascii="Tahoma" w:hAnsi="Tahoma" w:cs="Tahoma"/>
          <w:bCs/>
          <w:sz w:val="20"/>
          <w:szCs w:val="20"/>
        </w:rPr>
        <w:t>pêches</w:t>
      </w:r>
      <w:r w:rsidR="00DB1635" w:rsidRPr="00B004EE">
        <w:rPr>
          <w:rFonts w:ascii="Tahoma" w:hAnsi="Tahoma" w:cs="Tahoma"/>
          <w:bCs/>
          <w:sz w:val="20"/>
          <w:szCs w:val="20"/>
        </w:rPr>
        <w:t xml:space="preserve"> </w:t>
      </w:r>
      <w:r w:rsidRPr="00B004EE">
        <w:rPr>
          <w:rFonts w:ascii="Tahoma" w:hAnsi="Tahoma" w:cs="Tahoma"/>
          <w:bCs/>
          <w:sz w:val="20"/>
          <w:szCs w:val="20"/>
        </w:rPr>
        <w:t>doit</w:t>
      </w:r>
      <w:r w:rsidR="00DB1635" w:rsidRPr="00B004EE">
        <w:rPr>
          <w:rFonts w:ascii="Tahoma" w:hAnsi="Tahoma" w:cs="Tahoma"/>
          <w:bCs/>
          <w:sz w:val="20"/>
          <w:szCs w:val="20"/>
        </w:rPr>
        <w:t xml:space="preserve"> </w:t>
      </w:r>
      <w:r w:rsidRPr="00B004EE">
        <w:rPr>
          <w:rFonts w:ascii="Tahoma" w:hAnsi="Tahoma" w:cs="Tahoma"/>
          <w:bCs/>
          <w:sz w:val="20"/>
          <w:szCs w:val="20"/>
        </w:rPr>
        <w:t>être</w:t>
      </w:r>
      <w:r w:rsidR="00DB1635" w:rsidRPr="00B004EE">
        <w:rPr>
          <w:rFonts w:ascii="Tahoma" w:hAnsi="Tahoma" w:cs="Tahoma"/>
          <w:bCs/>
          <w:sz w:val="20"/>
          <w:szCs w:val="20"/>
        </w:rPr>
        <w:t xml:space="preserve"> </w:t>
      </w:r>
      <w:r w:rsidRPr="00B004EE">
        <w:rPr>
          <w:rFonts w:ascii="Tahoma" w:hAnsi="Tahoma" w:cs="Tahoma"/>
          <w:bCs/>
          <w:sz w:val="20"/>
          <w:szCs w:val="20"/>
        </w:rPr>
        <w:t>informé</w:t>
      </w:r>
      <w:r w:rsidR="00DB1635" w:rsidRPr="00B004EE">
        <w:rPr>
          <w:rFonts w:ascii="Tahoma" w:hAnsi="Tahoma" w:cs="Tahoma"/>
          <w:bCs/>
          <w:sz w:val="20"/>
          <w:szCs w:val="20"/>
        </w:rPr>
        <w:t xml:space="preserve"> </w:t>
      </w:r>
      <w:r w:rsidRPr="00B004EE">
        <w:rPr>
          <w:rFonts w:ascii="Tahoma" w:hAnsi="Tahoma" w:cs="Tahoma"/>
          <w:bCs/>
          <w:sz w:val="20"/>
          <w:szCs w:val="20"/>
        </w:rPr>
        <w:t>par</w:t>
      </w:r>
      <w:r w:rsidR="00DB1635" w:rsidRPr="00B004EE">
        <w:rPr>
          <w:rFonts w:ascii="Tahoma" w:hAnsi="Tahoma" w:cs="Tahoma"/>
          <w:bCs/>
          <w:sz w:val="20"/>
          <w:szCs w:val="20"/>
        </w:rPr>
        <w:t xml:space="preserve"> </w:t>
      </w:r>
      <w:r w:rsidRPr="00B004EE">
        <w:rPr>
          <w:rFonts w:ascii="Tahoma" w:hAnsi="Tahoma" w:cs="Tahoma"/>
          <w:bCs/>
          <w:sz w:val="20"/>
          <w:szCs w:val="20"/>
        </w:rPr>
        <w:lastRenderedPageBreak/>
        <w:t>son</w:t>
      </w:r>
      <w:r w:rsidR="00DB1635" w:rsidRPr="00B004EE">
        <w:rPr>
          <w:rFonts w:ascii="Tahoma" w:hAnsi="Tahoma" w:cs="Tahoma"/>
          <w:bCs/>
          <w:sz w:val="20"/>
          <w:szCs w:val="20"/>
        </w:rPr>
        <w:t xml:space="preserve"> </w:t>
      </w:r>
      <w:r w:rsidRPr="00B004EE">
        <w:rPr>
          <w:rFonts w:ascii="Tahoma" w:hAnsi="Tahoma" w:cs="Tahoma"/>
          <w:bCs/>
          <w:sz w:val="20"/>
          <w:szCs w:val="20"/>
        </w:rPr>
        <w:t>délégataire</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toute</w:t>
      </w:r>
      <w:r w:rsidR="00DB1635" w:rsidRPr="00B004EE">
        <w:rPr>
          <w:rFonts w:ascii="Tahoma" w:hAnsi="Tahoma" w:cs="Tahoma"/>
          <w:bCs/>
          <w:sz w:val="20"/>
          <w:szCs w:val="20"/>
        </w:rPr>
        <w:t xml:space="preserve"> </w:t>
      </w:r>
      <w:r w:rsidRPr="00B004EE">
        <w:rPr>
          <w:rFonts w:ascii="Tahoma" w:hAnsi="Tahoma" w:cs="Tahoma"/>
          <w:bCs/>
          <w:sz w:val="20"/>
          <w:szCs w:val="20"/>
        </w:rPr>
        <w:t>décision</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reconnaissance,</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renouvellement,</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suspension</w:t>
      </w:r>
      <w:r w:rsidR="00DB1635" w:rsidRPr="00B004EE">
        <w:rPr>
          <w:rFonts w:ascii="Tahoma" w:hAnsi="Tahoma" w:cs="Tahoma"/>
          <w:bCs/>
          <w:sz w:val="20"/>
          <w:szCs w:val="20"/>
        </w:rPr>
        <w:t xml:space="preserve"> </w:t>
      </w:r>
      <w:r w:rsidRPr="00B004EE">
        <w:rPr>
          <w:rFonts w:ascii="Tahoma" w:hAnsi="Tahoma" w:cs="Tahoma"/>
          <w:bCs/>
          <w:sz w:val="20"/>
          <w:szCs w:val="20"/>
        </w:rPr>
        <w:t>ou</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retrait</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reconnaissance</w:t>
      </w:r>
      <w:r w:rsidR="00DB1635" w:rsidRPr="00B004EE">
        <w:rPr>
          <w:rFonts w:ascii="Tahoma" w:hAnsi="Tahoma" w:cs="Tahoma"/>
          <w:bCs/>
          <w:sz w:val="20"/>
          <w:szCs w:val="20"/>
        </w:rPr>
        <w:t xml:space="preserve"> </w:t>
      </w:r>
      <w:r w:rsidRPr="00B004EE">
        <w:rPr>
          <w:rFonts w:ascii="Tahoma" w:hAnsi="Tahoma" w:cs="Tahoma"/>
          <w:bCs/>
          <w:sz w:val="20"/>
          <w:szCs w:val="20"/>
        </w:rPr>
        <w:t>du</w:t>
      </w:r>
      <w:r w:rsidR="00DB1635" w:rsidRPr="00B004EE">
        <w:rPr>
          <w:rFonts w:ascii="Tahoma" w:hAnsi="Tahoma" w:cs="Tahoma"/>
          <w:bCs/>
          <w:sz w:val="20"/>
          <w:szCs w:val="20"/>
        </w:rPr>
        <w:t xml:space="preserve"> </w:t>
      </w:r>
      <w:r w:rsidRPr="00B004EE">
        <w:rPr>
          <w:rFonts w:ascii="Tahoma" w:hAnsi="Tahoma" w:cs="Tahoma"/>
          <w:bCs/>
          <w:sz w:val="20"/>
          <w:szCs w:val="20"/>
        </w:rPr>
        <w:t>laboratoire</w:t>
      </w:r>
      <w:r w:rsidR="00DB1635" w:rsidRPr="00B004EE">
        <w:rPr>
          <w:rFonts w:ascii="Tahoma" w:hAnsi="Tahoma" w:cs="Tahoma"/>
          <w:bCs/>
          <w:sz w:val="20"/>
          <w:szCs w:val="20"/>
        </w:rPr>
        <w:t xml:space="preserve"> </w:t>
      </w:r>
      <w:r w:rsidRPr="00B004EE">
        <w:rPr>
          <w:rFonts w:ascii="Tahoma" w:hAnsi="Tahoma" w:cs="Tahoma"/>
          <w:bCs/>
          <w:sz w:val="20"/>
          <w:szCs w:val="20"/>
        </w:rPr>
        <w:t>d’autocontrôle.</w:t>
      </w:r>
    </w:p>
    <w:p w14:paraId="164AB22E" w14:textId="77777777" w:rsidR="00E32DBF" w:rsidRPr="00B004EE" w:rsidRDefault="00E32DBF" w:rsidP="00B004EE">
      <w:pPr>
        <w:autoSpaceDE w:val="0"/>
        <w:autoSpaceDN w:val="0"/>
        <w:adjustRightInd w:val="0"/>
        <w:jc w:val="both"/>
        <w:rPr>
          <w:rFonts w:ascii="Tahoma" w:hAnsi="Tahoma" w:cs="Tahoma"/>
          <w:bCs/>
          <w:sz w:val="20"/>
          <w:szCs w:val="20"/>
        </w:rPr>
      </w:pPr>
    </w:p>
    <w:p w14:paraId="42771734" w14:textId="53470ABE" w:rsidR="002F24E1" w:rsidRPr="00B004EE" w:rsidRDefault="002F24E1" w:rsidP="00B004EE">
      <w:pPr>
        <w:autoSpaceDE w:val="0"/>
        <w:autoSpaceDN w:val="0"/>
        <w:adjustRightInd w:val="0"/>
        <w:jc w:val="both"/>
        <w:rPr>
          <w:rFonts w:ascii="Tahoma" w:hAnsi="Tahoma" w:cs="Tahoma"/>
          <w:bCs/>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20.</w:t>
      </w:r>
      <w:r w:rsidR="00DB1635" w:rsidRPr="00B004EE">
        <w:rPr>
          <w:rFonts w:ascii="Tahoma" w:hAnsi="Tahoma" w:cs="Tahoma"/>
          <w:bCs/>
          <w:sz w:val="20"/>
          <w:szCs w:val="20"/>
        </w:rPr>
        <w:t xml:space="preserve"> </w:t>
      </w:r>
      <w:r w:rsidRPr="00B004EE">
        <w:rPr>
          <w:rFonts w:ascii="Tahoma" w:hAnsi="Tahoma" w:cs="Tahoma"/>
          <w:bCs/>
          <w:sz w:val="20"/>
          <w:szCs w:val="20"/>
        </w:rPr>
        <w:t>Pour</w:t>
      </w:r>
      <w:r w:rsidR="00DB1635" w:rsidRPr="00B004EE">
        <w:rPr>
          <w:rFonts w:ascii="Tahoma" w:hAnsi="Tahoma" w:cs="Tahoma"/>
          <w:bCs/>
          <w:sz w:val="20"/>
          <w:szCs w:val="20"/>
        </w:rPr>
        <w:t xml:space="preserve"> </w:t>
      </w:r>
      <w:r w:rsidRPr="00B004EE">
        <w:rPr>
          <w:rFonts w:ascii="Tahoma" w:hAnsi="Tahoma" w:cs="Tahoma"/>
          <w:bCs/>
          <w:sz w:val="20"/>
          <w:szCs w:val="20"/>
        </w:rPr>
        <w:t>être</w:t>
      </w:r>
      <w:r w:rsidR="00DB1635" w:rsidRPr="00B004EE">
        <w:rPr>
          <w:rFonts w:ascii="Tahoma" w:hAnsi="Tahoma" w:cs="Tahoma"/>
          <w:bCs/>
          <w:sz w:val="20"/>
          <w:szCs w:val="20"/>
        </w:rPr>
        <w:t xml:space="preserve"> </w:t>
      </w:r>
      <w:r w:rsidRPr="00B004EE">
        <w:rPr>
          <w:rFonts w:ascii="Tahoma" w:hAnsi="Tahoma" w:cs="Tahoma"/>
          <w:bCs/>
          <w:sz w:val="20"/>
          <w:szCs w:val="20"/>
        </w:rPr>
        <w:t>reconnus,</w:t>
      </w:r>
      <w:r w:rsidR="00DB1635" w:rsidRPr="00B004EE">
        <w:rPr>
          <w:rFonts w:ascii="Tahoma" w:hAnsi="Tahoma" w:cs="Tahoma"/>
          <w:bCs/>
          <w:sz w:val="20"/>
          <w:szCs w:val="20"/>
        </w:rPr>
        <w:t xml:space="preserve"> </w:t>
      </w:r>
      <w:r w:rsidRPr="00B004EE">
        <w:rPr>
          <w:rFonts w:ascii="Tahoma" w:hAnsi="Tahoma" w:cs="Tahoma"/>
          <w:bCs/>
          <w:sz w:val="20"/>
          <w:szCs w:val="20"/>
        </w:rPr>
        <w:t>les</w:t>
      </w:r>
      <w:r w:rsidR="00DB1635" w:rsidRPr="00B004EE">
        <w:rPr>
          <w:rFonts w:ascii="Tahoma" w:hAnsi="Tahoma" w:cs="Tahoma"/>
          <w:bCs/>
          <w:sz w:val="20"/>
          <w:szCs w:val="20"/>
        </w:rPr>
        <w:t xml:space="preserve"> </w:t>
      </w:r>
      <w:r w:rsidRPr="00B004EE">
        <w:rPr>
          <w:rFonts w:ascii="Tahoma" w:hAnsi="Tahoma" w:cs="Tahoma"/>
          <w:bCs/>
          <w:sz w:val="20"/>
          <w:szCs w:val="20"/>
        </w:rPr>
        <w:t>laboratoires</w:t>
      </w:r>
      <w:r w:rsidR="00DB1635" w:rsidRPr="00B004EE">
        <w:rPr>
          <w:rFonts w:ascii="Tahoma" w:hAnsi="Tahoma" w:cs="Tahoma"/>
          <w:bCs/>
          <w:sz w:val="20"/>
          <w:szCs w:val="20"/>
        </w:rPr>
        <w:t xml:space="preserve"> </w:t>
      </w:r>
      <w:r w:rsidRPr="00B004EE">
        <w:rPr>
          <w:rFonts w:ascii="Tahoma" w:hAnsi="Tahoma" w:cs="Tahoma"/>
          <w:bCs/>
          <w:sz w:val="20"/>
          <w:szCs w:val="20"/>
        </w:rPr>
        <w:t>doivent</w:t>
      </w:r>
      <w:r w:rsidR="00DB1635" w:rsidRPr="00B004EE">
        <w:rPr>
          <w:rFonts w:ascii="Tahoma" w:hAnsi="Tahoma" w:cs="Tahoma"/>
          <w:bCs/>
          <w:sz w:val="20"/>
          <w:szCs w:val="20"/>
        </w:rPr>
        <w:t xml:space="preserve"> </w:t>
      </w:r>
      <w:r w:rsidRPr="00B004EE">
        <w:rPr>
          <w:rFonts w:ascii="Tahoma" w:hAnsi="Tahoma" w:cs="Tahoma"/>
          <w:bCs/>
          <w:sz w:val="20"/>
          <w:szCs w:val="20"/>
        </w:rPr>
        <w:t>:</w:t>
      </w:r>
    </w:p>
    <w:p w14:paraId="6DC1FB62" w14:textId="27375FC8" w:rsidR="002F24E1" w:rsidRPr="00B004EE" w:rsidRDefault="002F24E1" w:rsidP="00B004EE">
      <w:pPr>
        <w:autoSpaceDE w:val="0"/>
        <w:autoSpaceDN w:val="0"/>
        <w:adjustRightInd w:val="0"/>
        <w:ind w:left="284" w:hanging="284"/>
        <w:jc w:val="both"/>
        <w:rPr>
          <w:rFonts w:ascii="Tahoma" w:hAnsi="Tahoma" w:cs="Tahoma"/>
          <w:bCs/>
          <w:sz w:val="20"/>
          <w:szCs w:val="20"/>
        </w:rPr>
      </w:pPr>
      <w:r w:rsidRPr="00B004EE">
        <w:rPr>
          <w:rFonts w:ascii="Tahoma" w:hAnsi="Tahoma" w:cs="Tahoma"/>
          <w:bCs/>
          <w:sz w:val="20"/>
          <w:szCs w:val="20"/>
        </w:rPr>
        <w:t>1.</w:t>
      </w:r>
      <w:r w:rsidR="00DB1635" w:rsidRPr="00B004EE">
        <w:rPr>
          <w:rFonts w:ascii="Tahoma" w:hAnsi="Tahoma" w:cs="Tahoma"/>
          <w:bCs/>
          <w:sz w:val="20"/>
          <w:szCs w:val="20"/>
        </w:rPr>
        <w:t xml:space="preserve"> </w:t>
      </w:r>
      <w:r w:rsidRPr="00B004EE">
        <w:rPr>
          <w:rFonts w:ascii="Tahoma" w:hAnsi="Tahoma" w:cs="Tahoma"/>
          <w:bCs/>
          <w:sz w:val="20"/>
          <w:szCs w:val="20"/>
        </w:rPr>
        <w:t>Disposer</w:t>
      </w:r>
      <w:r w:rsidR="00DB1635" w:rsidRPr="00B004EE">
        <w:rPr>
          <w:rFonts w:ascii="Tahoma" w:hAnsi="Tahoma" w:cs="Tahoma"/>
          <w:bCs/>
          <w:sz w:val="20"/>
          <w:szCs w:val="20"/>
        </w:rPr>
        <w:t xml:space="preserve"> </w:t>
      </w:r>
      <w:r w:rsidRPr="00B004EE">
        <w:rPr>
          <w:rFonts w:ascii="Tahoma" w:hAnsi="Tahoma" w:cs="Tahoma"/>
          <w:bCs/>
          <w:sz w:val="20"/>
          <w:szCs w:val="20"/>
        </w:rPr>
        <w:t>des</w:t>
      </w:r>
      <w:r w:rsidR="00DB1635" w:rsidRPr="00B004EE">
        <w:rPr>
          <w:rFonts w:ascii="Tahoma" w:hAnsi="Tahoma" w:cs="Tahoma"/>
          <w:bCs/>
          <w:sz w:val="20"/>
          <w:szCs w:val="20"/>
        </w:rPr>
        <w:t xml:space="preserve"> </w:t>
      </w:r>
      <w:r w:rsidRPr="00B004EE">
        <w:rPr>
          <w:rFonts w:ascii="Tahoma" w:hAnsi="Tahoma" w:cs="Tahoma"/>
          <w:bCs/>
          <w:sz w:val="20"/>
          <w:szCs w:val="20"/>
        </w:rPr>
        <w:t>personnels,</w:t>
      </w:r>
      <w:r w:rsidR="00DB1635" w:rsidRPr="00B004EE">
        <w:rPr>
          <w:rFonts w:ascii="Tahoma" w:hAnsi="Tahoma" w:cs="Tahoma"/>
          <w:bCs/>
          <w:sz w:val="20"/>
          <w:szCs w:val="20"/>
        </w:rPr>
        <w:t xml:space="preserve"> </w:t>
      </w:r>
      <w:r w:rsidRPr="00B004EE">
        <w:rPr>
          <w:rFonts w:ascii="Tahoma" w:hAnsi="Tahoma" w:cs="Tahoma"/>
          <w:bCs/>
          <w:sz w:val="20"/>
          <w:szCs w:val="20"/>
        </w:rPr>
        <w:t>locaux,</w:t>
      </w:r>
      <w:r w:rsidR="00DB1635" w:rsidRPr="00B004EE">
        <w:rPr>
          <w:rFonts w:ascii="Tahoma" w:hAnsi="Tahoma" w:cs="Tahoma"/>
          <w:bCs/>
          <w:sz w:val="20"/>
          <w:szCs w:val="20"/>
        </w:rPr>
        <w:t xml:space="preserve"> </w:t>
      </w:r>
      <w:r w:rsidRPr="00B004EE">
        <w:rPr>
          <w:rFonts w:ascii="Tahoma" w:hAnsi="Tahoma" w:cs="Tahoma"/>
          <w:bCs/>
          <w:sz w:val="20"/>
          <w:szCs w:val="20"/>
        </w:rPr>
        <w:t>équipements</w:t>
      </w:r>
      <w:r w:rsidR="00DB1635" w:rsidRPr="00B004EE">
        <w:rPr>
          <w:rFonts w:ascii="Tahoma" w:hAnsi="Tahoma" w:cs="Tahoma"/>
          <w:bCs/>
          <w:sz w:val="20"/>
          <w:szCs w:val="20"/>
        </w:rPr>
        <w:t xml:space="preserve"> </w:t>
      </w:r>
      <w:r w:rsidRPr="00B004EE">
        <w:rPr>
          <w:rFonts w:ascii="Tahoma" w:hAnsi="Tahoma" w:cs="Tahoma"/>
          <w:bCs/>
          <w:sz w:val="20"/>
          <w:szCs w:val="20"/>
        </w:rPr>
        <w:t>et</w:t>
      </w:r>
      <w:r w:rsidR="00DB1635" w:rsidRPr="00B004EE">
        <w:rPr>
          <w:rFonts w:ascii="Tahoma" w:hAnsi="Tahoma" w:cs="Tahoma"/>
          <w:bCs/>
          <w:sz w:val="20"/>
          <w:szCs w:val="20"/>
        </w:rPr>
        <w:t xml:space="preserve"> </w:t>
      </w:r>
      <w:r w:rsidRPr="00B004EE">
        <w:rPr>
          <w:rFonts w:ascii="Tahoma" w:hAnsi="Tahoma" w:cs="Tahoma"/>
          <w:bCs/>
          <w:sz w:val="20"/>
          <w:szCs w:val="20"/>
        </w:rPr>
        <w:t>moyens</w:t>
      </w:r>
      <w:r w:rsidR="00DB1635" w:rsidRPr="00B004EE">
        <w:rPr>
          <w:rFonts w:ascii="Tahoma" w:hAnsi="Tahoma" w:cs="Tahoma"/>
          <w:bCs/>
          <w:sz w:val="20"/>
          <w:szCs w:val="20"/>
        </w:rPr>
        <w:t xml:space="preserve"> </w:t>
      </w:r>
      <w:r w:rsidRPr="00B004EE">
        <w:rPr>
          <w:rFonts w:ascii="Tahoma" w:hAnsi="Tahoma" w:cs="Tahoma"/>
          <w:bCs/>
          <w:sz w:val="20"/>
          <w:szCs w:val="20"/>
        </w:rPr>
        <w:t>nécessaires</w:t>
      </w:r>
      <w:r w:rsidR="00DB1635" w:rsidRPr="00B004EE">
        <w:rPr>
          <w:rFonts w:ascii="Tahoma" w:hAnsi="Tahoma" w:cs="Tahoma"/>
          <w:bCs/>
          <w:sz w:val="20"/>
          <w:szCs w:val="20"/>
        </w:rPr>
        <w:t xml:space="preserve"> </w:t>
      </w:r>
      <w:r w:rsidRPr="00B004EE">
        <w:rPr>
          <w:rFonts w:ascii="Tahoma" w:hAnsi="Tahoma" w:cs="Tahoma"/>
          <w:bCs/>
          <w:sz w:val="20"/>
          <w:szCs w:val="20"/>
        </w:rPr>
        <w:t>à</w:t>
      </w:r>
      <w:r w:rsidR="00DB1635" w:rsidRPr="00B004EE">
        <w:rPr>
          <w:rFonts w:ascii="Tahoma" w:hAnsi="Tahoma" w:cs="Tahoma"/>
          <w:bCs/>
          <w:sz w:val="20"/>
          <w:szCs w:val="20"/>
        </w:rPr>
        <w:t xml:space="preserve"> </w:t>
      </w:r>
      <w:r w:rsidRPr="00B004EE">
        <w:rPr>
          <w:rFonts w:ascii="Tahoma" w:hAnsi="Tahoma" w:cs="Tahoma"/>
          <w:bCs/>
          <w:sz w:val="20"/>
          <w:szCs w:val="20"/>
        </w:rPr>
        <w:t>la</w:t>
      </w:r>
      <w:r w:rsidR="00DB1635" w:rsidRPr="00B004EE">
        <w:rPr>
          <w:rFonts w:ascii="Tahoma" w:hAnsi="Tahoma" w:cs="Tahoma"/>
          <w:bCs/>
          <w:sz w:val="20"/>
          <w:szCs w:val="20"/>
        </w:rPr>
        <w:t xml:space="preserve"> </w:t>
      </w:r>
      <w:r w:rsidRPr="00B004EE">
        <w:rPr>
          <w:rFonts w:ascii="Tahoma" w:hAnsi="Tahoma" w:cs="Tahoma"/>
          <w:bCs/>
          <w:sz w:val="20"/>
          <w:szCs w:val="20"/>
        </w:rPr>
        <w:t>réalisation</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leurs</w:t>
      </w:r>
      <w:r w:rsidR="00DB1635" w:rsidRPr="00B004EE">
        <w:rPr>
          <w:rFonts w:ascii="Tahoma" w:hAnsi="Tahoma" w:cs="Tahoma"/>
          <w:bCs/>
          <w:sz w:val="20"/>
          <w:szCs w:val="20"/>
        </w:rPr>
        <w:t xml:space="preserve"> </w:t>
      </w:r>
      <w:r w:rsidRPr="00B004EE">
        <w:rPr>
          <w:rFonts w:ascii="Tahoma" w:hAnsi="Tahoma" w:cs="Tahoma"/>
          <w:bCs/>
          <w:sz w:val="20"/>
          <w:szCs w:val="20"/>
        </w:rPr>
        <w:t>missions</w:t>
      </w:r>
      <w:r w:rsidR="00DB1635" w:rsidRPr="00B004EE">
        <w:rPr>
          <w:rFonts w:ascii="Tahoma" w:hAnsi="Tahoma" w:cs="Tahoma"/>
          <w:bCs/>
          <w:sz w:val="20"/>
          <w:szCs w:val="20"/>
        </w:rPr>
        <w:t xml:space="preserve"> </w:t>
      </w:r>
      <w:r w:rsidRPr="00B004EE">
        <w:rPr>
          <w:rFonts w:ascii="Tahoma" w:hAnsi="Tahoma" w:cs="Tahoma"/>
          <w:bCs/>
          <w:sz w:val="20"/>
          <w:szCs w:val="20"/>
        </w:rPr>
        <w:t>;</w:t>
      </w:r>
    </w:p>
    <w:p w14:paraId="5698267E" w14:textId="660B69B8" w:rsidR="002F24E1" w:rsidRPr="00B004EE" w:rsidRDefault="002F24E1" w:rsidP="00B004EE">
      <w:pPr>
        <w:autoSpaceDE w:val="0"/>
        <w:autoSpaceDN w:val="0"/>
        <w:adjustRightInd w:val="0"/>
        <w:ind w:left="284" w:hanging="284"/>
        <w:jc w:val="both"/>
        <w:rPr>
          <w:rFonts w:ascii="Tahoma" w:hAnsi="Tahoma" w:cs="Tahoma"/>
          <w:bCs/>
          <w:sz w:val="20"/>
          <w:szCs w:val="20"/>
        </w:rPr>
      </w:pPr>
      <w:r w:rsidRPr="00B004EE">
        <w:rPr>
          <w:rFonts w:ascii="Tahoma" w:hAnsi="Tahoma" w:cs="Tahoma"/>
          <w:bCs/>
          <w:sz w:val="20"/>
          <w:szCs w:val="20"/>
        </w:rPr>
        <w:t>2.</w:t>
      </w:r>
      <w:r w:rsidR="00DB1635" w:rsidRPr="00B004EE">
        <w:rPr>
          <w:rFonts w:ascii="Tahoma" w:hAnsi="Tahoma" w:cs="Tahoma"/>
          <w:bCs/>
          <w:sz w:val="20"/>
          <w:szCs w:val="20"/>
        </w:rPr>
        <w:t xml:space="preserve"> </w:t>
      </w:r>
      <w:r w:rsidRPr="00B004EE">
        <w:rPr>
          <w:rFonts w:ascii="Tahoma" w:hAnsi="Tahoma" w:cs="Tahoma"/>
          <w:bCs/>
          <w:sz w:val="20"/>
          <w:szCs w:val="20"/>
        </w:rPr>
        <w:t>Présenter</w:t>
      </w:r>
      <w:r w:rsidR="00DB1635" w:rsidRPr="00B004EE">
        <w:rPr>
          <w:rFonts w:ascii="Tahoma" w:hAnsi="Tahoma" w:cs="Tahoma"/>
          <w:bCs/>
          <w:sz w:val="20"/>
          <w:szCs w:val="20"/>
        </w:rPr>
        <w:t xml:space="preserve"> </w:t>
      </w:r>
      <w:r w:rsidRPr="00B004EE">
        <w:rPr>
          <w:rFonts w:ascii="Tahoma" w:hAnsi="Tahoma" w:cs="Tahoma"/>
          <w:bCs/>
          <w:sz w:val="20"/>
          <w:szCs w:val="20"/>
        </w:rPr>
        <w:t>des</w:t>
      </w:r>
      <w:r w:rsidR="00DB1635" w:rsidRPr="00B004EE">
        <w:rPr>
          <w:rFonts w:ascii="Tahoma" w:hAnsi="Tahoma" w:cs="Tahoma"/>
          <w:bCs/>
          <w:sz w:val="20"/>
          <w:szCs w:val="20"/>
        </w:rPr>
        <w:t xml:space="preserve"> </w:t>
      </w:r>
      <w:r w:rsidRPr="00B004EE">
        <w:rPr>
          <w:rFonts w:ascii="Tahoma" w:hAnsi="Tahoma" w:cs="Tahoma"/>
          <w:bCs/>
          <w:sz w:val="20"/>
          <w:szCs w:val="20"/>
        </w:rPr>
        <w:t>garanties</w:t>
      </w:r>
      <w:r w:rsidR="00DB1635" w:rsidRPr="00B004EE">
        <w:rPr>
          <w:rFonts w:ascii="Tahoma" w:hAnsi="Tahoma" w:cs="Tahoma"/>
          <w:bCs/>
          <w:sz w:val="20"/>
          <w:szCs w:val="20"/>
        </w:rPr>
        <w:t xml:space="preserve"> </w:t>
      </w:r>
      <w:r w:rsidRPr="00B004EE">
        <w:rPr>
          <w:rFonts w:ascii="Tahoma" w:hAnsi="Tahoma" w:cs="Tahoma"/>
          <w:bCs/>
          <w:sz w:val="20"/>
          <w:szCs w:val="20"/>
        </w:rPr>
        <w:t>appropriées</w:t>
      </w:r>
      <w:r w:rsidR="00DB1635" w:rsidRPr="00B004EE">
        <w:rPr>
          <w:rFonts w:ascii="Tahoma" w:hAnsi="Tahoma" w:cs="Tahoma"/>
          <w:bCs/>
          <w:sz w:val="20"/>
          <w:szCs w:val="20"/>
        </w:rPr>
        <w:t xml:space="preserve"> </w:t>
      </w:r>
      <w:r w:rsidRPr="00B004EE">
        <w:rPr>
          <w:rFonts w:ascii="Tahoma" w:hAnsi="Tahoma" w:cs="Tahoma"/>
          <w:bCs/>
          <w:sz w:val="20"/>
          <w:szCs w:val="20"/>
        </w:rPr>
        <w:t>d’impartialité</w:t>
      </w:r>
      <w:r w:rsidR="00DB1635" w:rsidRPr="00B004EE">
        <w:rPr>
          <w:rFonts w:ascii="Tahoma" w:hAnsi="Tahoma" w:cs="Tahoma"/>
          <w:bCs/>
          <w:sz w:val="20"/>
          <w:szCs w:val="20"/>
        </w:rPr>
        <w:t xml:space="preserve"> </w:t>
      </w:r>
      <w:r w:rsidRPr="00B004EE">
        <w:rPr>
          <w:rFonts w:ascii="Tahoma" w:hAnsi="Tahoma" w:cs="Tahoma"/>
          <w:bCs/>
          <w:sz w:val="20"/>
          <w:szCs w:val="20"/>
        </w:rPr>
        <w:t>vis-à-vis</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toute</w:t>
      </w:r>
      <w:r w:rsidR="00DB1635" w:rsidRPr="00B004EE">
        <w:rPr>
          <w:rFonts w:ascii="Tahoma" w:hAnsi="Tahoma" w:cs="Tahoma"/>
          <w:bCs/>
          <w:sz w:val="20"/>
          <w:szCs w:val="20"/>
        </w:rPr>
        <w:t xml:space="preserve"> </w:t>
      </w:r>
      <w:r w:rsidRPr="00B004EE">
        <w:rPr>
          <w:rFonts w:ascii="Tahoma" w:hAnsi="Tahoma" w:cs="Tahoma"/>
          <w:bCs/>
          <w:sz w:val="20"/>
          <w:szCs w:val="20"/>
        </w:rPr>
        <w:t>personne</w:t>
      </w:r>
      <w:r w:rsidR="00DB1635" w:rsidRPr="00B004EE">
        <w:rPr>
          <w:rFonts w:ascii="Tahoma" w:hAnsi="Tahoma" w:cs="Tahoma"/>
          <w:bCs/>
          <w:sz w:val="20"/>
          <w:szCs w:val="20"/>
        </w:rPr>
        <w:t xml:space="preserve"> </w:t>
      </w:r>
      <w:r w:rsidRPr="00B004EE">
        <w:rPr>
          <w:rFonts w:ascii="Tahoma" w:hAnsi="Tahoma" w:cs="Tahoma"/>
          <w:bCs/>
          <w:sz w:val="20"/>
          <w:szCs w:val="20"/>
        </w:rPr>
        <w:t>physique</w:t>
      </w:r>
      <w:r w:rsidR="00DB1635" w:rsidRPr="00B004EE">
        <w:rPr>
          <w:rFonts w:ascii="Tahoma" w:hAnsi="Tahoma" w:cs="Tahoma"/>
          <w:bCs/>
          <w:sz w:val="20"/>
          <w:szCs w:val="20"/>
        </w:rPr>
        <w:t xml:space="preserve"> </w:t>
      </w:r>
      <w:r w:rsidRPr="00B004EE">
        <w:rPr>
          <w:rFonts w:ascii="Tahoma" w:hAnsi="Tahoma" w:cs="Tahoma"/>
          <w:bCs/>
          <w:sz w:val="20"/>
          <w:szCs w:val="20"/>
        </w:rPr>
        <w:t>ou</w:t>
      </w:r>
      <w:r w:rsidR="00DB1635" w:rsidRPr="00B004EE">
        <w:rPr>
          <w:rFonts w:ascii="Tahoma" w:hAnsi="Tahoma" w:cs="Tahoma"/>
          <w:bCs/>
          <w:sz w:val="20"/>
          <w:szCs w:val="20"/>
        </w:rPr>
        <w:t xml:space="preserve"> </w:t>
      </w:r>
      <w:r w:rsidRPr="00B004EE">
        <w:rPr>
          <w:rFonts w:ascii="Tahoma" w:hAnsi="Tahoma" w:cs="Tahoma"/>
          <w:bCs/>
          <w:sz w:val="20"/>
          <w:szCs w:val="20"/>
        </w:rPr>
        <w:t>morale</w:t>
      </w:r>
      <w:r w:rsidR="00DB1635" w:rsidRPr="00B004EE">
        <w:rPr>
          <w:rFonts w:ascii="Tahoma" w:hAnsi="Tahoma" w:cs="Tahoma"/>
          <w:bCs/>
          <w:sz w:val="20"/>
          <w:szCs w:val="20"/>
        </w:rPr>
        <w:t xml:space="preserve"> </w:t>
      </w:r>
      <w:r w:rsidRPr="00B004EE">
        <w:rPr>
          <w:rFonts w:ascii="Tahoma" w:hAnsi="Tahoma" w:cs="Tahoma"/>
          <w:bCs/>
          <w:sz w:val="20"/>
          <w:szCs w:val="20"/>
        </w:rPr>
        <w:t>exerçant</w:t>
      </w:r>
      <w:r w:rsidR="00DB1635" w:rsidRPr="00B004EE">
        <w:rPr>
          <w:rFonts w:ascii="Tahoma" w:hAnsi="Tahoma" w:cs="Tahoma"/>
          <w:bCs/>
          <w:sz w:val="20"/>
          <w:szCs w:val="20"/>
        </w:rPr>
        <w:t xml:space="preserve"> </w:t>
      </w:r>
      <w:r w:rsidRPr="00B004EE">
        <w:rPr>
          <w:rFonts w:ascii="Tahoma" w:hAnsi="Tahoma" w:cs="Tahoma"/>
          <w:bCs/>
          <w:sz w:val="20"/>
          <w:szCs w:val="20"/>
        </w:rPr>
        <w:t>une</w:t>
      </w:r>
      <w:r w:rsidR="00DB1635" w:rsidRPr="00B004EE">
        <w:rPr>
          <w:rFonts w:ascii="Tahoma" w:hAnsi="Tahoma" w:cs="Tahoma"/>
          <w:bCs/>
          <w:sz w:val="20"/>
          <w:szCs w:val="20"/>
        </w:rPr>
        <w:t xml:space="preserve"> </w:t>
      </w:r>
      <w:r w:rsidRPr="00B004EE">
        <w:rPr>
          <w:rFonts w:ascii="Tahoma" w:hAnsi="Tahoma" w:cs="Tahoma"/>
          <w:bCs/>
          <w:sz w:val="20"/>
          <w:szCs w:val="20"/>
        </w:rPr>
        <w:t>activité</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production,</w:t>
      </w:r>
      <w:r w:rsidR="00DB1635" w:rsidRPr="00B004EE">
        <w:rPr>
          <w:rFonts w:ascii="Tahoma" w:hAnsi="Tahoma" w:cs="Tahoma"/>
          <w:bCs/>
          <w:sz w:val="20"/>
          <w:szCs w:val="20"/>
        </w:rPr>
        <w:t xml:space="preserve"> </w:t>
      </w:r>
      <w:r w:rsidRPr="00B004EE">
        <w:rPr>
          <w:rFonts w:ascii="Tahoma" w:hAnsi="Tahoma" w:cs="Tahoma"/>
          <w:bCs/>
          <w:sz w:val="20"/>
          <w:szCs w:val="20"/>
        </w:rPr>
        <w:t>d’importation</w:t>
      </w:r>
      <w:r w:rsidR="00DB1635" w:rsidRPr="00B004EE">
        <w:rPr>
          <w:rFonts w:ascii="Tahoma" w:hAnsi="Tahoma" w:cs="Tahoma"/>
          <w:bCs/>
          <w:sz w:val="20"/>
          <w:szCs w:val="20"/>
        </w:rPr>
        <w:t xml:space="preserve"> </w:t>
      </w:r>
      <w:r w:rsidRPr="00B004EE">
        <w:rPr>
          <w:rFonts w:ascii="Tahoma" w:hAnsi="Tahoma" w:cs="Tahoma"/>
          <w:bCs/>
          <w:sz w:val="20"/>
          <w:szCs w:val="20"/>
        </w:rPr>
        <w:t>ou</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commercialisation</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produits</w:t>
      </w:r>
      <w:r w:rsidR="00DB1635" w:rsidRPr="00B004EE">
        <w:rPr>
          <w:rFonts w:ascii="Tahoma" w:hAnsi="Tahoma" w:cs="Tahoma"/>
          <w:bCs/>
          <w:sz w:val="20"/>
          <w:szCs w:val="20"/>
        </w:rPr>
        <w:t xml:space="preserve"> </w:t>
      </w:r>
      <w:r w:rsidRPr="00B004EE">
        <w:rPr>
          <w:rFonts w:ascii="Tahoma" w:hAnsi="Tahoma" w:cs="Tahoma"/>
          <w:bCs/>
          <w:sz w:val="20"/>
          <w:szCs w:val="20"/>
        </w:rPr>
        <w:t>ou</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biens</w:t>
      </w:r>
      <w:r w:rsidR="00DB1635" w:rsidRPr="00B004EE">
        <w:rPr>
          <w:rFonts w:ascii="Tahoma" w:hAnsi="Tahoma" w:cs="Tahoma"/>
          <w:bCs/>
          <w:sz w:val="20"/>
          <w:szCs w:val="20"/>
        </w:rPr>
        <w:t xml:space="preserve"> </w:t>
      </w:r>
      <w:r w:rsidRPr="00B004EE">
        <w:rPr>
          <w:rFonts w:ascii="Tahoma" w:hAnsi="Tahoma" w:cs="Tahoma"/>
          <w:bCs/>
          <w:sz w:val="20"/>
          <w:szCs w:val="20"/>
        </w:rPr>
        <w:t>en</w:t>
      </w:r>
      <w:r w:rsidR="00DB1635" w:rsidRPr="00B004EE">
        <w:rPr>
          <w:rFonts w:ascii="Tahoma" w:hAnsi="Tahoma" w:cs="Tahoma"/>
          <w:bCs/>
          <w:sz w:val="20"/>
          <w:szCs w:val="20"/>
        </w:rPr>
        <w:t xml:space="preserve"> </w:t>
      </w:r>
      <w:r w:rsidRPr="00B004EE">
        <w:rPr>
          <w:rFonts w:ascii="Tahoma" w:hAnsi="Tahoma" w:cs="Tahoma"/>
          <w:bCs/>
          <w:sz w:val="20"/>
          <w:szCs w:val="20"/>
        </w:rPr>
        <w:t>rapport</w:t>
      </w:r>
      <w:r w:rsidR="00DB1635" w:rsidRPr="00B004EE">
        <w:rPr>
          <w:rFonts w:ascii="Tahoma" w:hAnsi="Tahoma" w:cs="Tahoma"/>
          <w:bCs/>
          <w:sz w:val="20"/>
          <w:szCs w:val="20"/>
        </w:rPr>
        <w:t xml:space="preserve"> </w:t>
      </w:r>
      <w:r w:rsidRPr="00B004EE">
        <w:rPr>
          <w:rFonts w:ascii="Tahoma" w:hAnsi="Tahoma" w:cs="Tahoma"/>
          <w:bCs/>
          <w:sz w:val="20"/>
          <w:szCs w:val="20"/>
        </w:rPr>
        <w:t>avec</w:t>
      </w:r>
      <w:r w:rsidR="00DB1635" w:rsidRPr="00B004EE">
        <w:rPr>
          <w:rFonts w:ascii="Tahoma" w:hAnsi="Tahoma" w:cs="Tahoma"/>
          <w:bCs/>
          <w:sz w:val="20"/>
          <w:szCs w:val="20"/>
        </w:rPr>
        <w:t xml:space="preserve"> </w:t>
      </w:r>
      <w:r w:rsidRPr="00B004EE">
        <w:rPr>
          <w:rFonts w:ascii="Tahoma" w:hAnsi="Tahoma" w:cs="Tahoma"/>
          <w:bCs/>
          <w:sz w:val="20"/>
          <w:szCs w:val="20"/>
        </w:rPr>
        <w:t>le</w:t>
      </w:r>
      <w:r w:rsidR="00DB1635" w:rsidRPr="00B004EE">
        <w:rPr>
          <w:rFonts w:ascii="Tahoma" w:hAnsi="Tahoma" w:cs="Tahoma"/>
          <w:bCs/>
          <w:sz w:val="20"/>
          <w:szCs w:val="20"/>
        </w:rPr>
        <w:t xml:space="preserve"> </w:t>
      </w:r>
      <w:r w:rsidRPr="00B004EE">
        <w:rPr>
          <w:rFonts w:ascii="Tahoma" w:hAnsi="Tahoma" w:cs="Tahoma"/>
          <w:bCs/>
          <w:sz w:val="20"/>
          <w:szCs w:val="20"/>
        </w:rPr>
        <w:t>domaine</w:t>
      </w:r>
      <w:r w:rsidR="00DB1635" w:rsidRPr="00B004EE">
        <w:rPr>
          <w:rFonts w:ascii="Tahoma" w:hAnsi="Tahoma" w:cs="Tahoma"/>
          <w:bCs/>
          <w:sz w:val="20"/>
          <w:szCs w:val="20"/>
        </w:rPr>
        <w:t xml:space="preserve"> </w:t>
      </w:r>
      <w:r w:rsidRPr="00B004EE">
        <w:rPr>
          <w:rFonts w:ascii="Tahoma" w:hAnsi="Tahoma" w:cs="Tahoma"/>
          <w:bCs/>
          <w:sz w:val="20"/>
          <w:szCs w:val="20"/>
        </w:rPr>
        <w:t>analytique</w:t>
      </w:r>
      <w:r w:rsidR="00DB1635" w:rsidRPr="00B004EE">
        <w:rPr>
          <w:rFonts w:ascii="Tahoma" w:hAnsi="Tahoma" w:cs="Tahoma"/>
          <w:bCs/>
          <w:sz w:val="20"/>
          <w:szCs w:val="20"/>
        </w:rPr>
        <w:t xml:space="preserve"> </w:t>
      </w:r>
      <w:r w:rsidRPr="00B004EE">
        <w:rPr>
          <w:rFonts w:ascii="Tahoma" w:hAnsi="Tahoma" w:cs="Tahoma"/>
          <w:bCs/>
          <w:sz w:val="20"/>
          <w:szCs w:val="20"/>
        </w:rPr>
        <w:t>pour</w:t>
      </w:r>
      <w:r w:rsidR="00DB1635" w:rsidRPr="00B004EE">
        <w:rPr>
          <w:rFonts w:ascii="Tahoma" w:hAnsi="Tahoma" w:cs="Tahoma"/>
          <w:bCs/>
          <w:sz w:val="20"/>
          <w:szCs w:val="20"/>
        </w:rPr>
        <w:t xml:space="preserve"> </w:t>
      </w:r>
      <w:r w:rsidRPr="00B004EE">
        <w:rPr>
          <w:rFonts w:ascii="Tahoma" w:hAnsi="Tahoma" w:cs="Tahoma"/>
          <w:bCs/>
          <w:sz w:val="20"/>
          <w:szCs w:val="20"/>
        </w:rPr>
        <w:t>lequel</w:t>
      </w:r>
      <w:r w:rsidR="00DB1635" w:rsidRPr="00B004EE">
        <w:rPr>
          <w:rFonts w:ascii="Tahoma" w:hAnsi="Tahoma" w:cs="Tahoma"/>
          <w:bCs/>
          <w:sz w:val="20"/>
          <w:szCs w:val="20"/>
        </w:rPr>
        <w:t xml:space="preserve"> </w:t>
      </w:r>
      <w:r w:rsidRPr="00B004EE">
        <w:rPr>
          <w:rFonts w:ascii="Tahoma" w:hAnsi="Tahoma" w:cs="Tahoma"/>
          <w:bCs/>
          <w:sz w:val="20"/>
          <w:szCs w:val="20"/>
        </w:rPr>
        <w:t>la</w:t>
      </w:r>
      <w:r w:rsidR="00DB1635" w:rsidRPr="00B004EE">
        <w:rPr>
          <w:rFonts w:ascii="Tahoma" w:hAnsi="Tahoma" w:cs="Tahoma"/>
          <w:bCs/>
          <w:sz w:val="20"/>
          <w:szCs w:val="20"/>
        </w:rPr>
        <w:t xml:space="preserve"> </w:t>
      </w:r>
      <w:r w:rsidRPr="00B004EE">
        <w:rPr>
          <w:rFonts w:ascii="Tahoma" w:hAnsi="Tahoma" w:cs="Tahoma"/>
          <w:bCs/>
          <w:sz w:val="20"/>
          <w:szCs w:val="20"/>
        </w:rPr>
        <w:t>reconnaissance</w:t>
      </w:r>
      <w:r w:rsidR="00DB1635" w:rsidRPr="00B004EE">
        <w:rPr>
          <w:rFonts w:ascii="Tahoma" w:hAnsi="Tahoma" w:cs="Tahoma"/>
          <w:bCs/>
          <w:sz w:val="20"/>
          <w:szCs w:val="20"/>
        </w:rPr>
        <w:t xml:space="preserve"> </w:t>
      </w:r>
      <w:r w:rsidRPr="00B004EE">
        <w:rPr>
          <w:rFonts w:ascii="Tahoma" w:hAnsi="Tahoma" w:cs="Tahoma"/>
          <w:bCs/>
          <w:sz w:val="20"/>
          <w:szCs w:val="20"/>
        </w:rPr>
        <w:t>est</w:t>
      </w:r>
      <w:r w:rsidR="00DB1635" w:rsidRPr="00B004EE">
        <w:rPr>
          <w:rFonts w:ascii="Tahoma" w:hAnsi="Tahoma" w:cs="Tahoma"/>
          <w:bCs/>
          <w:sz w:val="20"/>
          <w:szCs w:val="20"/>
        </w:rPr>
        <w:t xml:space="preserve"> </w:t>
      </w:r>
      <w:r w:rsidRPr="00B004EE">
        <w:rPr>
          <w:rFonts w:ascii="Tahoma" w:hAnsi="Tahoma" w:cs="Tahoma"/>
          <w:bCs/>
          <w:sz w:val="20"/>
          <w:szCs w:val="20"/>
        </w:rPr>
        <w:t>demandée</w:t>
      </w:r>
      <w:r w:rsidR="00DB1635" w:rsidRPr="00B004EE">
        <w:rPr>
          <w:rFonts w:ascii="Tahoma" w:hAnsi="Tahoma" w:cs="Tahoma"/>
          <w:bCs/>
          <w:sz w:val="20"/>
          <w:szCs w:val="20"/>
        </w:rPr>
        <w:t xml:space="preserve"> </w:t>
      </w:r>
      <w:r w:rsidRPr="00B004EE">
        <w:rPr>
          <w:rFonts w:ascii="Tahoma" w:hAnsi="Tahoma" w:cs="Tahoma"/>
          <w:bCs/>
          <w:sz w:val="20"/>
          <w:szCs w:val="20"/>
        </w:rPr>
        <w:t>;</w:t>
      </w:r>
    </w:p>
    <w:p w14:paraId="56B1E08D" w14:textId="43CF49B6" w:rsidR="002F24E1" w:rsidRPr="00B004EE" w:rsidRDefault="002F24E1" w:rsidP="00B004EE">
      <w:pPr>
        <w:autoSpaceDE w:val="0"/>
        <w:autoSpaceDN w:val="0"/>
        <w:adjustRightInd w:val="0"/>
        <w:ind w:left="284" w:hanging="284"/>
        <w:jc w:val="both"/>
        <w:rPr>
          <w:rFonts w:ascii="Tahoma" w:hAnsi="Tahoma" w:cs="Tahoma"/>
          <w:bCs/>
          <w:sz w:val="20"/>
          <w:szCs w:val="20"/>
        </w:rPr>
      </w:pPr>
      <w:r w:rsidRPr="00B004EE">
        <w:rPr>
          <w:rFonts w:ascii="Tahoma" w:hAnsi="Tahoma" w:cs="Tahoma"/>
          <w:bCs/>
          <w:sz w:val="20"/>
          <w:szCs w:val="20"/>
        </w:rPr>
        <w:t>3.</w:t>
      </w:r>
      <w:r w:rsidR="00DB1635" w:rsidRPr="00B004EE">
        <w:rPr>
          <w:rFonts w:ascii="Tahoma" w:hAnsi="Tahoma" w:cs="Tahoma"/>
          <w:bCs/>
          <w:sz w:val="20"/>
          <w:szCs w:val="20"/>
        </w:rPr>
        <w:t xml:space="preserve"> </w:t>
      </w:r>
      <w:r w:rsidRPr="00B004EE">
        <w:rPr>
          <w:rFonts w:ascii="Tahoma" w:hAnsi="Tahoma" w:cs="Tahoma"/>
          <w:bCs/>
          <w:sz w:val="20"/>
          <w:szCs w:val="20"/>
        </w:rPr>
        <w:t>Satisfaire</w:t>
      </w:r>
      <w:r w:rsidR="00DB1635" w:rsidRPr="00B004EE">
        <w:rPr>
          <w:rFonts w:ascii="Tahoma" w:hAnsi="Tahoma" w:cs="Tahoma"/>
          <w:bCs/>
          <w:sz w:val="20"/>
          <w:szCs w:val="20"/>
        </w:rPr>
        <w:t xml:space="preserve"> </w:t>
      </w:r>
      <w:r w:rsidRPr="00B004EE">
        <w:rPr>
          <w:rFonts w:ascii="Tahoma" w:hAnsi="Tahoma" w:cs="Tahoma"/>
          <w:bCs/>
          <w:sz w:val="20"/>
          <w:szCs w:val="20"/>
        </w:rPr>
        <w:t>aux</w:t>
      </w:r>
      <w:r w:rsidR="00DB1635" w:rsidRPr="00B004EE">
        <w:rPr>
          <w:rFonts w:ascii="Tahoma" w:hAnsi="Tahoma" w:cs="Tahoma"/>
          <w:bCs/>
          <w:sz w:val="20"/>
          <w:szCs w:val="20"/>
        </w:rPr>
        <w:t xml:space="preserve"> </w:t>
      </w:r>
      <w:r w:rsidRPr="00B004EE">
        <w:rPr>
          <w:rFonts w:ascii="Tahoma" w:hAnsi="Tahoma" w:cs="Tahoma"/>
          <w:bCs/>
          <w:sz w:val="20"/>
          <w:szCs w:val="20"/>
        </w:rPr>
        <w:t>critères</w:t>
      </w:r>
      <w:r w:rsidR="00DB1635" w:rsidRPr="00B004EE">
        <w:rPr>
          <w:rFonts w:ascii="Tahoma" w:hAnsi="Tahoma" w:cs="Tahoma"/>
          <w:bCs/>
          <w:sz w:val="20"/>
          <w:szCs w:val="20"/>
        </w:rPr>
        <w:t xml:space="preserve"> </w:t>
      </w:r>
      <w:r w:rsidRPr="00B004EE">
        <w:rPr>
          <w:rFonts w:ascii="Tahoma" w:hAnsi="Tahoma" w:cs="Tahoma"/>
          <w:bCs/>
          <w:sz w:val="20"/>
          <w:szCs w:val="20"/>
        </w:rPr>
        <w:t>généraux</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fonctionnement</w:t>
      </w:r>
      <w:r w:rsidR="00DB1635" w:rsidRPr="00B004EE">
        <w:rPr>
          <w:rFonts w:ascii="Tahoma" w:hAnsi="Tahoma" w:cs="Tahoma"/>
          <w:bCs/>
          <w:sz w:val="20"/>
          <w:szCs w:val="20"/>
        </w:rPr>
        <w:t xml:space="preserve"> </w:t>
      </w:r>
      <w:r w:rsidRPr="00B004EE">
        <w:rPr>
          <w:rFonts w:ascii="Tahoma" w:hAnsi="Tahoma" w:cs="Tahoma"/>
          <w:bCs/>
          <w:sz w:val="20"/>
          <w:szCs w:val="20"/>
        </w:rPr>
        <w:t>des</w:t>
      </w:r>
      <w:r w:rsidR="00DB1635" w:rsidRPr="00B004EE">
        <w:rPr>
          <w:rFonts w:ascii="Tahoma" w:hAnsi="Tahoma" w:cs="Tahoma"/>
          <w:bCs/>
          <w:sz w:val="20"/>
          <w:szCs w:val="20"/>
        </w:rPr>
        <w:t xml:space="preserve"> </w:t>
      </w:r>
      <w:r w:rsidRPr="00B004EE">
        <w:rPr>
          <w:rFonts w:ascii="Tahoma" w:hAnsi="Tahoma" w:cs="Tahoma"/>
          <w:bCs/>
          <w:sz w:val="20"/>
          <w:szCs w:val="20"/>
        </w:rPr>
        <w:t>laboratoires</w:t>
      </w:r>
      <w:r w:rsidR="00DB1635" w:rsidRPr="00B004EE">
        <w:rPr>
          <w:rFonts w:ascii="Tahoma" w:hAnsi="Tahoma" w:cs="Tahoma"/>
          <w:bCs/>
          <w:sz w:val="20"/>
          <w:szCs w:val="20"/>
        </w:rPr>
        <w:t xml:space="preserve"> </w:t>
      </w:r>
      <w:r w:rsidRPr="00B004EE">
        <w:rPr>
          <w:rFonts w:ascii="Tahoma" w:hAnsi="Tahoma" w:cs="Tahoma"/>
          <w:bCs/>
          <w:sz w:val="20"/>
          <w:szCs w:val="20"/>
        </w:rPr>
        <w:t>d’essais</w:t>
      </w:r>
      <w:r w:rsidR="00DB1635" w:rsidRPr="00B004EE">
        <w:rPr>
          <w:rFonts w:ascii="Tahoma" w:hAnsi="Tahoma" w:cs="Tahoma"/>
          <w:bCs/>
          <w:sz w:val="20"/>
          <w:szCs w:val="20"/>
        </w:rPr>
        <w:t xml:space="preserve"> </w:t>
      </w:r>
      <w:r w:rsidRPr="00B004EE">
        <w:rPr>
          <w:rFonts w:ascii="Tahoma" w:hAnsi="Tahoma" w:cs="Tahoma"/>
          <w:bCs/>
          <w:sz w:val="20"/>
          <w:szCs w:val="20"/>
        </w:rPr>
        <w:t>énoncés</w:t>
      </w:r>
      <w:r w:rsidR="00DB1635" w:rsidRPr="00B004EE">
        <w:rPr>
          <w:rFonts w:ascii="Tahoma" w:hAnsi="Tahoma" w:cs="Tahoma"/>
          <w:bCs/>
          <w:sz w:val="20"/>
          <w:szCs w:val="20"/>
        </w:rPr>
        <w:t xml:space="preserve"> </w:t>
      </w:r>
      <w:r w:rsidRPr="00B004EE">
        <w:rPr>
          <w:rFonts w:ascii="Tahoma" w:hAnsi="Tahoma" w:cs="Tahoma"/>
          <w:bCs/>
          <w:sz w:val="20"/>
          <w:szCs w:val="20"/>
        </w:rPr>
        <w:t>dans</w:t>
      </w:r>
      <w:r w:rsidR="00DB1635" w:rsidRPr="00B004EE">
        <w:rPr>
          <w:rFonts w:ascii="Tahoma" w:hAnsi="Tahoma" w:cs="Tahoma"/>
          <w:bCs/>
          <w:sz w:val="20"/>
          <w:szCs w:val="20"/>
        </w:rPr>
        <w:t xml:space="preserve"> </w:t>
      </w:r>
      <w:r w:rsidRPr="00B004EE">
        <w:rPr>
          <w:rFonts w:ascii="Tahoma" w:hAnsi="Tahoma" w:cs="Tahoma"/>
          <w:bCs/>
          <w:sz w:val="20"/>
          <w:szCs w:val="20"/>
        </w:rPr>
        <w:t>les</w:t>
      </w:r>
      <w:r w:rsidR="00DB1635" w:rsidRPr="00B004EE">
        <w:rPr>
          <w:rFonts w:ascii="Tahoma" w:hAnsi="Tahoma" w:cs="Tahoma"/>
          <w:bCs/>
          <w:sz w:val="20"/>
          <w:szCs w:val="20"/>
        </w:rPr>
        <w:t xml:space="preserve"> </w:t>
      </w:r>
      <w:r w:rsidRPr="00B004EE">
        <w:rPr>
          <w:rFonts w:ascii="Tahoma" w:hAnsi="Tahoma" w:cs="Tahoma"/>
          <w:bCs/>
          <w:sz w:val="20"/>
          <w:szCs w:val="20"/>
        </w:rPr>
        <w:t>normes</w:t>
      </w:r>
      <w:r w:rsidR="00DB1635" w:rsidRPr="00B004EE">
        <w:rPr>
          <w:rFonts w:ascii="Tahoma" w:hAnsi="Tahoma" w:cs="Tahoma"/>
          <w:bCs/>
          <w:sz w:val="20"/>
          <w:szCs w:val="20"/>
        </w:rPr>
        <w:t xml:space="preserve"> </w:t>
      </w:r>
      <w:r w:rsidRPr="00B004EE">
        <w:rPr>
          <w:rFonts w:ascii="Tahoma" w:hAnsi="Tahoma" w:cs="Tahoma"/>
          <w:bCs/>
          <w:sz w:val="20"/>
          <w:szCs w:val="20"/>
        </w:rPr>
        <w:t>internationales</w:t>
      </w:r>
      <w:r w:rsidR="00DB1635" w:rsidRPr="00B004EE">
        <w:rPr>
          <w:rFonts w:ascii="Tahoma" w:hAnsi="Tahoma" w:cs="Tahoma"/>
          <w:bCs/>
          <w:sz w:val="20"/>
          <w:szCs w:val="20"/>
        </w:rPr>
        <w:t xml:space="preserve"> </w:t>
      </w:r>
      <w:r w:rsidRPr="00B004EE">
        <w:rPr>
          <w:rFonts w:ascii="Tahoma" w:hAnsi="Tahoma" w:cs="Tahoma"/>
          <w:bCs/>
          <w:sz w:val="20"/>
          <w:szCs w:val="20"/>
        </w:rPr>
        <w:t>en</w:t>
      </w:r>
      <w:r w:rsidR="00DB1635" w:rsidRPr="00B004EE">
        <w:rPr>
          <w:rFonts w:ascii="Tahoma" w:hAnsi="Tahoma" w:cs="Tahoma"/>
          <w:bCs/>
          <w:sz w:val="20"/>
          <w:szCs w:val="20"/>
        </w:rPr>
        <w:t xml:space="preserve"> </w:t>
      </w:r>
      <w:r w:rsidRPr="00B004EE">
        <w:rPr>
          <w:rFonts w:ascii="Tahoma" w:hAnsi="Tahoma" w:cs="Tahoma"/>
          <w:bCs/>
          <w:sz w:val="20"/>
          <w:szCs w:val="20"/>
        </w:rPr>
        <w:t>vigueur</w:t>
      </w:r>
      <w:r w:rsidR="00DB1635" w:rsidRPr="00B004EE">
        <w:rPr>
          <w:rFonts w:ascii="Tahoma" w:hAnsi="Tahoma" w:cs="Tahoma"/>
          <w:bCs/>
          <w:sz w:val="20"/>
          <w:szCs w:val="20"/>
        </w:rPr>
        <w:t xml:space="preserve"> </w:t>
      </w:r>
      <w:r w:rsidRPr="00B004EE">
        <w:rPr>
          <w:rFonts w:ascii="Tahoma" w:hAnsi="Tahoma" w:cs="Tahoma"/>
          <w:bCs/>
          <w:sz w:val="20"/>
          <w:szCs w:val="20"/>
        </w:rPr>
        <w:t>;</w:t>
      </w:r>
    </w:p>
    <w:p w14:paraId="0100688E" w14:textId="58670E22" w:rsidR="002F24E1" w:rsidRPr="00B004EE" w:rsidRDefault="002F24E1" w:rsidP="00B004EE">
      <w:pPr>
        <w:autoSpaceDE w:val="0"/>
        <w:autoSpaceDN w:val="0"/>
        <w:adjustRightInd w:val="0"/>
        <w:ind w:left="284" w:hanging="284"/>
        <w:jc w:val="both"/>
        <w:rPr>
          <w:rFonts w:ascii="Tahoma" w:hAnsi="Tahoma" w:cs="Tahoma"/>
          <w:bCs/>
          <w:sz w:val="20"/>
          <w:szCs w:val="20"/>
        </w:rPr>
      </w:pPr>
      <w:r w:rsidRPr="00B004EE">
        <w:rPr>
          <w:rFonts w:ascii="Tahoma" w:hAnsi="Tahoma" w:cs="Tahoma"/>
          <w:bCs/>
          <w:sz w:val="20"/>
          <w:szCs w:val="20"/>
        </w:rPr>
        <w:t>4.</w:t>
      </w:r>
      <w:r w:rsidR="00DB1635" w:rsidRPr="00B004EE">
        <w:rPr>
          <w:rFonts w:ascii="Tahoma" w:hAnsi="Tahoma" w:cs="Tahoma"/>
          <w:bCs/>
          <w:sz w:val="20"/>
          <w:szCs w:val="20"/>
        </w:rPr>
        <w:t xml:space="preserve"> </w:t>
      </w:r>
      <w:r w:rsidRPr="00B004EE">
        <w:rPr>
          <w:rFonts w:ascii="Tahoma" w:hAnsi="Tahoma" w:cs="Tahoma"/>
          <w:bCs/>
          <w:sz w:val="20"/>
          <w:szCs w:val="20"/>
        </w:rPr>
        <w:t>Dans</w:t>
      </w:r>
      <w:r w:rsidR="00DB1635" w:rsidRPr="00B004EE">
        <w:rPr>
          <w:rFonts w:ascii="Tahoma" w:hAnsi="Tahoma" w:cs="Tahoma"/>
          <w:bCs/>
          <w:sz w:val="20"/>
          <w:szCs w:val="20"/>
        </w:rPr>
        <w:t xml:space="preserve"> </w:t>
      </w:r>
      <w:r w:rsidRPr="00B004EE">
        <w:rPr>
          <w:rFonts w:ascii="Tahoma" w:hAnsi="Tahoma" w:cs="Tahoma"/>
          <w:bCs/>
          <w:sz w:val="20"/>
          <w:szCs w:val="20"/>
        </w:rPr>
        <w:t>certains</w:t>
      </w:r>
      <w:r w:rsidR="00DB1635" w:rsidRPr="00B004EE">
        <w:rPr>
          <w:rFonts w:ascii="Tahoma" w:hAnsi="Tahoma" w:cs="Tahoma"/>
          <w:bCs/>
          <w:sz w:val="20"/>
          <w:szCs w:val="20"/>
        </w:rPr>
        <w:t xml:space="preserve"> </w:t>
      </w:r>
      <w:r w:rsidRPr="00B004EE">
        <w:rPr>
          <w:rFonts w:ascii="Tahoma" w:hAnsi="Tahoma" w:cs="Tahoma"/>
          <w:bCs/>
          <w:sz w:val="20"/>
          <w:szCs w:val="20"/>
        </w:rPr>
        <w:t>domaines</w:t>
      </w:r>
      <w:r w:rsidR="00DB1635" w:rsidRPr="00B004EE">
        <w:rPr>
          <w:rFonts w:ascii="Tahoma" w:hAnsi="Tahoma" w:cs="Tahoma"/>
          <w:bCs/>
          <w:sz w:val="20"/>
          <w:szCs w:val="20"/>
        </w:rPr>
        <w:t xml:space="preserve"> </w:t>
      </w:r>
      <w:r w:rsidRPr="00B004EE">
        <w:rPr>
          <w:rFonts w:ascii="Tahoma" w:hAnsi="Tahoma" w:cs="Tahoma"/>
          <w:bCs/>
          <w:sz w:val="20"/>
          <w:szCs w:val="20"/>
        </w:rPr>
        <w:t>analytiques,</w:t>
      </w:r>
      <w:r w:rsidR="00DB1635" w:rsidRPr="00B004EE">
        <w:rPr>
          <w:rFonts w:ascii="Tahoma" w:hAnsi="Tahoma" w:cs="Tahoma"/>
          <w:bCs/>
          <w:sz w:val="20"/>
          <w:szCs w:val="20"/>
        </w:rPr>
        <w:t xml:space="preserve"> </w:t>
      </w:r>
      <w:r w:rsidRPr="00B004EE">
        <w:rPr>
          <w:rFonts w:ascii="Tahoma" w:hAnsi="Tahoma" w:cs="Tahoma"/>
          <w:bCs/>
          <w:sz w:val="20"/>
          <w:szCs w:val="20"/>
        </w:rPr>
        <w:t>lorsque</w:t>
      </w:r>
      <w:r w:rsidR="00DB1635" w:rsidRPr="00B004EE">
        <w:rPr>
          <w:rFonts w:ascii="Tahoma" w:hAnsi="Tahoma" w:cs="Tahoma"/>
          <w:bCs/>
          <w:sz w:val="20"/>
          <w:szCs w:val="20"/>
        </w:rPr>
        <w:t xml:space="preserve"> </w:t>
      </w:r>
      <w:r w:rsidRPr="00B004EE">
        <w:rPr>
          <w:rFonts w:ascii="Tahoma" w:hAnsi="Tahoma" w:cs="Tahoma"/>
          <w:bCs/>
          <w:sz w:val="20"/>
          <w:szCs w:val="20"/>
        </w:rPr>
        <w:t>le</w:t>
      </w:r>
      <w:r w:rsidR="00DB1635" w:rsidRPr="00B004EE">
        <w:rPr>
          <w:rFonts w:ascii="Tahoma" w:hAnsi="Tahoma" w:cs="Tahoma"/>
          <w:bCs/>
          <w:sz w:val="20"/>
          <w:szCs w:val="20"/>
        </w:rPr>
        <w:t xml:space="preserve"> </w:t>
      </w:r>
      <w:r w:rsidRPr="00B004EE">
        <w:rPr>
          <w:rFonts w:ascii="Tahoma" w:hAnsi="Tahoma" w:cs="Tahoma"/>
          <w:bCs/>
          <w:sz w:val="20"/>
          <w:szCs w:val="20"/>
        </w:rPr>
        <w:t>ministre</w:t>
      </w:r>
      <w:r w:rsidR="00DB1635" w:rsidRPr="00B004EE">
        <w:rPr>
          <w:rFonts w:ascii="Tahoma" w:hAnsi="Tahoma" w:cs="Tahoma"/>
          <w:bCs/>
          <w:sz w:val="20"/>
          <w:szCs w:val="20"/>
        </w:rPr>
        <w:t xml:space="preserve"> </w:t>
      </w:r>
      <w:r w:rsidRPr="00B004EE">
        <w:rPr>
          <w:rFonts w:ascii="Tahoma" w:hAnsi="Tahoma" w:cs="Tahoma"/>
          <w:bCs/>
          <w:sz w:val="20"/>
          <w:szCs w:val="20"/>
        </w:rPr>
        <w:t>chargé</w:t>
      </w:r>
      <w:r w:rsidR="00DB1635" w:rsidRPr="00B004EE">
        <w:rPr>
          <w:rFonts w:ascii="Tahoma" w:hAnsi="Tahoma" w:cs="Tahoma"/>
          <w:bCs/>
          <w:sz w:val="20"/>
          <w:szCs w:val="20"/>
        </w:rPr>
        <w:t xml:space="preserve"> </w:t>
      </w:r>
      <w:r w:rsidRPr="00B004EE">
        <w:rPr>
          <w:rFonts w:ascii="Tahoma" w:hAnsi="Tahoma" w:cs="Tahoma"/>
          <w:bCs/>
          <w:sz w:val="20"/>
          <w:szCs w:val="20"/>
        </w:rPr>
        <w:t>des</w:t>
      </w:r>
      <w:r w:rsidR="00DB1635" w:rsidRPr="00B004EE">
        <w:rPr>
          <w:rFonts w:ascii="Tahoma" w:hAnsi="Tahoma" w:cs="Tahoma"/>
          <w:bCs/>
          <w:sz w:val="20"/>
          <w:szCs w:val="20"/>
        </w:rPr>
        <w:t xml:space="preserve"> </w:t>
      </w:r>
      <w:r w:rsidRPr="00B004EE">
        <w:rPr>
          <w:rFonts w:ascii="Tahoma" w:hAnsi="Tahoma" w:cs="Tahoma"/>
          <w:bCs/>
          <w:sz w:val="20"/>
          <w:szCs w:val="20"/>
        </w:rPr>
        <w:t>pêches</w:t>
      </w:r>
      <w:r w:rsidR="00DB1635" w:rsidRPr="00B004EE">
        <w:rPr>
          <w:rFonts w:ascii="Tahoma" w:hAnsi="Tahoma" w:cs="Tahoma"/>
          <w:bCs/>
          <w:sz w:val="20"/>
          <w:szCs w:val="20"/>
        </w:rPr>
        <w:t xml:space="preserve"> </w:t>
      </w:r>
      <w:r w:rsidRPr="00B004EE">
        <w:rPr>
          <w:rFonts w:ascii="Tahoma" w:hAnsi="Tahoma" w:cs="Tahoma"/>
          <w:bCs/>
          <w:sz w:val="20"/>
          <w:szCs w:val="20"/>
        </w:rPr>
        <w:t>l’estime</w:t>
      </w:r>
      <w:r w:rsidR="00DB1635" w:rsidRPr="00B004EE">
        <w:rPr>
          <w:rFonts w:ascii="Tahoma" w:hAnsi="Tahoma" w:cs="Tahoma"/>
          <w:bCs/>
          <w:sz w:val="20"/>
          <w:szCs w:val="20"/>
        </w:rPr>
        <w:t xml:space="preserve"> </w:t>
      </w:r>
      <w:r w:rsidRPr="00B004EE">
        <w:rPr>
          <w:rFonts w:ascii="Tahoma" w:hAnsi="Tahoma" w:cs="Tahoma"/>
          <w:bCs/>
          <w:sz w:val="20"/>
          <w:szCs w:val="20"/>
        </w:rPr>
        <w:t>nécessaire,</w:t>
      </w:r>
      <w:r w:rsidR="00DB1635" w:rsidRPr="00B004EE">
        <w:rPr>
          <w:rFonts w:ascii="Tahoma" w:hAnsi="Tahoma" w:cs="Tahoma"/>
          <w:bCs/>
          <w:sz w:val="20"/>
          <w:szCs w:val="20"/>
        </w:rPr>
        <w:t xml:space="preserve"> </w:t>
      </w:r>
      <w:r w:rsidRPr="00B004EE">
        <w:rPr>
          <w:rFonts w:ascii="Tahoma" w:hAnsi="Tahoma" w:cs="Tahoma"/>
          <w:bCs/>
          <w:sz w:val="20"/>
          <w:szCs w:val="20"/>
        </w:rPr>
        <w:t>il</w:t>
      </w:r>
      <w:r w:rsidR="00DB1635" w:rsidRPr="00B004EE">
        <w:rPr>
          <w:rFonts w:ascii="Tahoma" w:hAnsi="Tahoma" w:cs="Tahoma"/>
          <w:bCs/>
          <w:sz w:val="20"/>
          <w:szCs w:val="20"/>
        </w:rPr>
        <w:t xml:space="preserve"> </w:t>
      </w:r>
      <w:r w:rsidRPr="00B004EE">
        <w:rPr>
          <w:rFonts w:ascii="Tahoma" w:hAnsi="Tahoma" w:cs="Tahoma"/>
          <w:bCs/>
          <w:sz w:val="20"/>
          <w:szCs w:val="20"/>
        </w:rPr>
        <w:t>peut</w:t>
      </w:r>
      <w:r w:rsidR="00DB1635" w:rsidRPr="00B004EE">
        <w:rPr>
          <w:rFonts w:ascii="Tahoma" w:hAnsi="Tahoma" w:cs="Tahoma"/>
          <w:bCs/>
          <w:sz w:val="20"/>
          <w:szCs w:val="20"/>
        </w:rPr>
        <w:t xml:space="preserve"> </w:t>
      </w:r>
      <w:r w:rsidRPr="00B004EE">
        <w:rPr>
          <w:rFonts w:ascii="Tahoma" w:hAnsi="Tahoma" w:cs="Tahoma"/>
          <w:bCs/>
          <w:sz w:val="20"/>
          <w:szCs w:val="20"/>
        </w:rPr>
        <w:t>exiger</w:t>
      </w:r>
      <w:r w:rsidR="00DB1635" w:rsidRPr="00B004EE">
        <w:rPr>
          <w:rFonts w:ascii="Tahoma" w:hAnsi="Tahoma" w:cs="Tahoma"/>
          <w:bCs/>
          <w:sz w:val="20"/>
          <w:szCs w:val="20"/>
        </w:rPr>
        <w:t xml:space="preserve"> </w:t>
      </w:r>
      <w:r w:rsidRPr="00B004EE">
        <w:rPr>
          <w:rFonts w:ascii="Tahoma" w:hAnsi="Tahoma" w:cs="Tahoma"/>
          <w:bCs/>
          <w:sz w:val="20"/>
          <w:szCs w:val="20"/>
        </w:rPr>
        <w:t>que</w:t>
      </w:r>
      <w:r w:rsidR="00DB1635" w:rsidRPr="00B004EE">
        <w:rPr>
          <w:rFonts w:ascii="Tahoma" w:hAnsi="Tahoma" w:cs="Tahoma"/>
          <w:bCs/>
          <w:sz w:val="20"/>
          <w:szCs w:val="20"/>
        </w:rPr>
        <w:t xml:space="preserve"> </w:t>
      </w:r>
      <w:r w:rsidRPr="00B004EE">
        <w:rPr>
          <w:rFonts w:ascii="Tahoma" w:hAnsi="Tahoma" w:cs="Tahoma"/>
          <w:bCs/>
          <w:sz w:val="20"/>
          <w:szCs w:val="20"/>
        </w:rPr>
        <w:t>les</w:t>
      </w:r>
      <w:r w:rsidR="00DB1635" w:rsidRPr="00B004EE">
        <w:rPr>
          <w:rFonts w:ascii="Tahoma" w:hAnsi="Tahoma" w:cs="Tahoma"/>
          <w:bCs/>
          <w:sz w:val="20"/>
          <w:szCs w:val="20"/>
        </w:rPr>
        <w:t xml:space="preserve"> </w:t>
      </w:r>
      <w:r w:rsidRPr="00B004EE">
        <w:rPr>
          <w:rFonts w:ascii="Tahoma" w:hAnsi="Tahoma" w:cs="Tahoma"/>
          <w:bCs/>
          <w:sz w:val="20"/>
          <w:szCs w:val="20"/>
        </w:rPr>
        <w:t>analyses</w:t>
      </w:r>
      <w:r w:rsidR="00DB1635" w:rsidRPr="00B004EE">
        <w:rPr>
          <w:rFonts w:ascii="Tahoma" w:hAnsi="Tahoma" w:cs="Tahoma"/>
          <w:bCs/>
          <w:sz w:val="20"/>
          <w:szCs w:val="20"/>
        </w:rPr>
        <w:t xml:space="preserve"> </w:t>
      </w:r>
      <w:r w:rsidRPr="00B004EE">
        <w:rPr>
          <w:rFonts w:ascii="Tahoma" w:hAnsi="Tahoma" w:cs="Tahoma"/>
          <w:bCs/>
          <w:sz w:val="20"/>
          <w:szCs w:val="20"/>
        </w:rPr>
        <w:t>faisant</w:t>
      </w:r>
      <w:r w:rsidR="00DB1635" w:rsidRPr="00B004EE">
        <w:rPr>
          <w:rFonts w:ascii="Tahoma" w:hAnsi="Tahoma" w:cs="Tahoma"/>
          <w:bCs/>
          <w:sz w:val="20"/>
          <w:szCs w:val="20"/>
        </w:rPr>
        <w:t xml:space="preserve"> </w:t>
      </w:r>
      <w:r w:rsidRPr="00B004EE">
        <w:rPr>
          <w:rFonts w:ascii="Tahoma" w:hAnsi="Tahoma" w:cs="Tahoma"/>
          <w:bCs/>
          <w:sz w:val="20"/>
          <w:szCs w:val="20"/>
        </w:rPr>
        <w:t>l’objet</w:t>
      </w:r>
      <w:r w:rsidR="00DB1635" w:rsidRPr="00B004EE">
        <w:rPr>
          <w:rFonts w:ascii="Tahoma" w:hAnsi="Tahoma" w:cs="Tahoma"/>
          <w:bCs/>
          <w:sz w:val="20"/>
          <w:szCs w:val="20"/>
        </w:rPr>
        <w:t xml:space="preserve"> </w:t>
      </w:r>
      <w:r w:rsidRPr="00B004EE">
        <w:rPr>
          <w:rFonts w:ascii="Tahoma" w:hAnsi="Tahoma" w:cs="Tahoma"/>
          <w:bCs/>
          <w:sz w:val="20"/>
          <w:szCs w:val="20"/>
        </w:rPr>
        <w:t>d’une</w:t>
      </w:r>
      <w:r w:rsidR="00DB1635" w:rsidRPr="00B004EE">
        <w:rPr>
          <w:rFonts w:ascii="Tahoma" w:hAnsi="Tahoma" w:cs="Tahoma"/>
          <w:bCs/>
          <w:sz w:val="20"/>
          <w:szCs w:val="20"/>
        </w:rPr>
        <w:t xml:space="preserve"> </w:t>
      </w:r>
      <w:r w:rsidRPr="00B004EE">
        <w:rPr>
          <w:rFonts w:ascii="Tahoma" w:hAnsi="Tahoma" w:cs="Tahoma"/>
          <w:bCs/>
          <w:sz w:val="20"/>
          <w:szCs w:val="20"/>
        </w:rPr>
        <w:t>reconnaissance</w:t>
      </w:r>
      <w:r w:rsidR="00DB1635" w:rsidRPr="00B004EE">
        <w:rPr>
          <w:rFonts w:ascii="Tahoma" w:hAnsi="Tahoma" w:cs="Tahoma"/>
          <w:bCs/>
          <w:sz w:val="20"/>
          <w:szCs w:val="20"/>
        </w:rPr>
        <w:t xml:space="preserve"> </w:t>
      </w:r>
      <w:r w:rsidRPr="00B004EE">
        <w:rPr>
          <w:rFonts w:ascii="Tahoma" w:hAnsi="Tahoma" w:cs="Tahoma"/>
          <w:bCs/>
          <w:sz w:val="20"/>
          <w:szCs w:val="20"/>
        </w:rPr>
        <w:t>soient</w:t>
      </w:r>
      <w:r w:rsidR="00DB1635" w:rsidRPr="00B004EE">
        <w:rPr>
          <w:rFonts w:ascii="Tahoma" w:hAnsi="Tahoma" w:cs="Tahoma"/>
          <w:bCs/>
          <w:sz w:val="20"/>
          <w:szCs w:val="20"/>
        </w:rPr>
        <w:t xml:space="preserve"> </w:t>
      </w:r>
      <w:r w:rsidRPr="00B004EE">
        <w:rPr>
          <w:rFonts w:ascii="Tahoma" w:hAnsi="Tahoma" w:cs="Tahoma"/>
          <w:bCs/>
          <w:sz w:val="20"/>
          <w:szCs w:val="20"/>
        </w:rPr>
        <w:t>réalisées</w:t>
      </w:r>
      <w:r w:rsidR="00DB1635" w:rsidRPr="00B004EE">
        <w:rPr>
          <w:rFonts w:ascii="Tahoma" w:hAnsi="Tahoma" w:cs="Tahoma"/>
          <w:bCs/>
          <w:sz w:val="20"/>
          <w:szCs w:val="20"/>
        </w:rPr>
        <w:t xml:space="preserve"> </w:t>
      </w:r>
      <w:r w:rsidRPr="00B004EE">
        <w:rPr>
          <w:rFonts w:ascii="Tahoma" w:hAnsi="Tahoma" w:cs="Tahoma"/>
          <w:bCs/>
          <w:sz w:val="20"/>
          <w:szCs w:val="20"/>
        </w:rPr>
        <w:t>sous</w:t>
      </w:r>
      <w:r w:rsidR="00DB1635" w:rsidRPr="00B004EE">
        <w:rPr>
          <w:rFonts w:ascii="Tahoma" w:hAnsi="Tahoma" w:cs="Tahoma"/>
          <w:bCs/>
          <w:sz w:val="20"/>
          <w:szCs w:val="20"/>
        </w:rPr>
        <w:t xml:space="preserve"> </w:t>
      </w:r>
      <w:r w:rsidRPr="00B004EE">
        <w:rPr>
          <w:rFonts w:ascii="Tahoma" w:hAnsi="Tahoma" w:cs="Tahoma"/>
          <w:bCs/>
          <w:sz w:val="20"/>
          <w:szCs w:val="20"/>
        </w:rPr>
        <w:t>accréditation.</w:t>
      </w:r>
    </w:p>
    <w:p w14:paraId="07B7AF36" w14:textId="77777777" w:rsidR="002F24E1" w:rsidRPr="00B004EE" w:rsidRDefault="002F24E1" w:rsidP="00B004EE">
      <w:pPr>
        <w:autoSpaceDE w:val="0"/>
        <w:autoSpaceDN w:val="0"/>
        <w:adjustRightInd w:val="0"/>
        <w:jc w:val="both"/>
        <w:rPr>
          <w:rFonts w:ascii="Tahoma" w:hAnsi="Tahoma" w:cs="Tahoma"/>
          <w:bCs/>
          <w:sz w:val="20"/>
          <w:szCs w:val="20"/>
        </w:rPr>
      </w:pPr>
    </w:p>
    <w:p w14:paraId="2CC950C2" w14:textId="0C691479" w:rsidR="002F24E1" w:rsidRPr="00B004EE" w:rsidRDefault="002F24E1" w:rsidP="00B004EE">
      <w:pPr>
        <w:autoSpaceDE w:val="0"/>
        <w:autoSpaceDN w:val="0"/>
        <w:adjustRightInd w:val="0"/>
        <w:jc w:val="both"/>
        <w:rPr>
          <w:rFonts w:ascii="Tahoma" w:hAnsi="Tahoma" w:cs="Tahoma"/>
          <w:bCs/>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21.</w:t>
      </w:r>
      <w:r w:rsidR="00DB1635" w:rsidRPr="00B004EE">
        <w:rPr>
          <w:rFonts w:ascii="Tahoma" w:hAnsi="Tahoma" w:cs="Tahoma"/>
          <w:bCs/>
          <w:sz w:val="20"/>
          <w:szCs w:val="20"/>
        </w:rPr>
        <w:t xml:space="preserve"> </w:t>
      </w:r>
      <w:r w:rsidRPr="00B004EE">
        <w:rPr>
          <w:rFonts w:ascii="Tahoma" w:hAnsi="Tahoma" w:cs="Tahoma"/>
          <w:bCs/>
          <w:sz w:val="20"/>
          <w:szCs w:val="20"/>
        </w:rPr>
        <w:t>Par</w:t>
      </w:r>
      <w:r w:rsidR="00DB1635" w:rsidRPr="00B004EE">
        <w:rPr>
          <w:rFonts w:ascii="Tahoma" w:hAnsi="Tahoma" w:cs="Tahoma"/>
          <w:bCs/>
          <w:sz w:val="20"/>
          <w:szCs w:val="20"/>
        </w:rPr>
        <w:t xml:space="preserve"> </w:t>
      </w:r>
      <w:r w:rsidRPr="00B004EE">
        <w:rPr>
          <w:rFonts w:ascii="Tahoma" w:hAnsi="Tahoma" w:cs="Tahoma"/>
          <w:bCs/>
          <w:sz w:val="20"/>
          <w:szCs w:val="20"/>
        </w:rPr>
        <w:t>dérogation</w:t>
      </w:r>
      <w:r w:rsidR="00DB1635" w:rsidRPr="00B004EE">
        <w:rPr>
          <w:rFonts w:ascii="Tahoma" w:hAnsi="Tahoma" w:cs="Tahoma"/>
          <w:bCs/>
          <w:sz w:val="20"/>
          <w:szCs w:val="20"/>
        </w:rPr>
        <w:t xml:space="preserve"> </w:t>
      </w:r>
      <w:r w:rsidRPr="00B004EE">
        <w:rPr>
          <w:rFonts w:ascii="Tahoma" w:hAnsi="Tahoma" w:cs="Tahoma"/>
          <w:bCs/>
          <w:sz w:val="20"/>
          <w:szCs w:val="20"/>
        </w:rPr>
        <w:t>aux</w:t>
      </w:r>
      <w:r w:rsidR="00DB1635" w:rsidRPr="00B004EE">
        <w:rPr>
          <w:rFonts w:ascii="Tahoma" w:hAnsi="Tahoma" w:cs="Tahoma"/>
          <w:bCs/>
          <w:sz w:val="20"/>
          <w:szCs w:val="20"/>
        </w:rPr>
        <w:t xml:space="preserve"> </w:t>
      </w:r>
      <w:r w:rsidRPr="00B004EE">
        <w:rPr>
          <w:rFonts w:ascii="Tahoma" w:hAnsi="Tahoma" w:cs="Tahoma"/>
          <w:bCs/>
          <w:sz w:val="20"/>
          <w:szCs w:val="20"/>
        </w:rPr>
        <w:t>dispositions</w:t>
      </w:r>
      <w:r w:rsidR="00DB1635" w:rsidRPr="00B004EE">
        <w:rPr>
          <w:rFonts w:ascii="Tahoma" w:hAnsi="Tahoma" w:cs="Tahoma"/>
          <w:bCs/>
          <w:sz w:val="20"/>
          <w:szCs w:val="20"/>
        </w:rPr>
        <w:t xml:space="preserve"> </w:t>
      </w:r>
      <w:r w:rsidRPr="00B004EE">
        <w:rPr>
          <w:rFonts w:ascii="Tahoma" w:hAnsi="Tahoma" w:cs="Tahoma"/>
          <w:bCs/>
          <w:sz w:val="20"/>
          <w:szCs w:val="20"/>
        </w:rPr>
        <w:t>du</w:t>
      </w:r>
      <w:r w:rsidR="00DB1635" w:rsidRPr="00B004EE">
        <w:rPr>
          <w:rFonts w:ascii="Tahoma" w:hAnsi="Tahoma" w:cs="Tahoma"/>
          <w:bCs/>
          <w:sz w:val="20"/>
          <w:szCs w:val="20"/>
        </w:rPr>
        <w:t xml:space="preserve"> </w:t>
      </w:r>
      <w:r w:rsidRPr="00B004EE">
        <w:rPr>
          <w:rFonts w:ascii="Tahoma" w:hAnsi="Tahoma" w:cs="Tahoma"/>
          <w:bCs/>
          <w:sz w:val="20"/>
          <w:szCs w:val="20"/>
        </w:rPr>
        <w:t>point</w:t>
      </w:r>
      <w:r w:rsidR="00DB1635" w:rsidRPr="00B004EE">
        <w:rPr>
          <w:rFonts w:ascii="Tahoma" w:hAnsi="Tahoma" w:cs="Tahoma"/>
          <w:bCs/>
          <w:sz w:val="20"/>
          <w:szCs w:val="20"/>
        </w:rPr>
        <w:t xml:space="preserve"> </w:t>
      </w:r>
      <w:r w:rsidRPr="00B004EE">
        <w:rPr>
          <w:rFonts w:ascii="Tahoma" w:hAnsi="Tahoma" w:cs="Tahoma"/>
          <w:bCs/>
          <w:sz w:val="20"/>
          <w:szCs w:val="20"/>
        </w:rPr>
        <w:t>4</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l’article</w:t>
      </w:r>
      <w:r w:rsidR="00DB1635" w:rsidRPr="00B004EE">
        <w:rPr>
          <w:rFonts w:ascii="Tahoma" w:hAnsi="Tahoma" w:cs="Tahoma"/>
          <w:bCs/>
          <w:sz w:val="20"/>
          <w:szCs w:val="20"/>
        </w:rPr>
        <w:t xml:space="preserve"> </w:t>
      </w:r>
      <w:r w:rsidRPr="00B004EE">
        <w:rPr>
          <w:rFonts w:ascii="Tahoma" w:hAnsi="Tahoma" w:cs="Tahoma"/>
          <w:bCs/>
          <w:sz w:val="20"/>
          <w:szCs w:val="20"/>
        </w:rPr>
        <w:t>20,</w:t>
      </w:r>
      <w:r w:rsidR="00DB1635" w:rsidRPr="00B004EE">
        <w:rPr>
          <w:rFonts w:ascii="Tahoma" w:hAnsi="Tahoma" w:cs="Tahoma"/>
          <w:bCs/>
          <w:sz w:val="20"/>
          <w:szCs w:val="20"/>
        </w:rPr>
        <w:t xml:space="preserve"> </w:t>
      </w:r>
      <w:r w:rsidRPr="00B004EE">
        <w:rPr>
          <w:rFonts w:ascii="Tahoma" w:hAnsi="Tahoma" w:cs="Tahoma"/>
          <w:bCs/>
          <w:sz w:val="20"/>
          <w:szCs w:val="20"/>
        </w:rPr>
        <w:t>la</w:t>
      </w:r>
      <w:r w:rsidR="00DB1635" w:rsidRPr="00B004EE">
        <w:rPr>
          <w:rFonts w:ascii="Tahoma" w:hAnsi="Tahoma" w:cs="Tahoma"/>
          <w:bCs/>
          <w:sz w:val="20"/>
          <w:szCs w:val="20"/>
        </w:rPr>
        <w:t xml:space="preserve"> </w:t>
      </w:r>
      <w:r w:rsidRPr="00B004EE">
        <w:rPr>
          <w:rFonts w:ascii="Tahoma" w:hAnsi="Tahoma" w:cs="Tahoma"/>
          <w:bCs/>
          <w:sz w:val="20"/>
          <w:szCs w:val="20"/>
        </w:rPr>
        <w:t>reconnaissance</w:t>
      </w:r>
      <w:r w:rsidR="00DB1635" w:rsidRPr="00B004EE">
        <w:rPr>
          <w:rFonts w:ascii="Tahoma" w:hAnsi="Tahoma" w:cs="Tahoma"/>
          <w:bCs/>
          <w:sz w:val="20"/>
          <w:szCs w:val="20"/>
        </w:rPr>
        <w:t xml:space="preserve"> </w:t>
      </w:r>
      <w:r w:rsidRPr="00B004EE">
        <w:rPr>
          <w:rFonts w:ascii="Tahoma" w:hAnsi="Tahoma" w:cs="Tahoma"/>
          <w:bCs/>
          <w:sz w:val="20"/>
          <w:szCs w:val="20"/>
        </w:rPr>
        <w:t>peut</w:t>
      </w:r>
      <w:r w:rsidR="00DB1635" w:rsidRPr="00B004EE">
        <w:rPr>
          <w:rFonts w:ascii="Tahoma" w:hAnsi="Tahoma" w:cs="Tahoma"/>
          <w:bCs/>
          <w:sz w:val="20"/>
          <w:szCs w:val="20"/>
        </w:rPr>
        <w:t xml:space="preserve"> </w:t>
      </w:r>
      <w:r w:rsidRPr="00B004EE">
        <w:rPr>
          <w:rFonts w:ascii="Tahoma" w:hAnsi="Tahoma" w:cs="Tahoma"/>
          <w:bCs/>
          <w:sz w:val="20"/>
          <w:szCs w:val="20"/>
        </w:rPr>
        <w:t>être</w:t>
      </w:r>
      <w:r w:rsidR="00DB1635" w:rsidRPr="00B004EE">
        <w:rPr>
          <w:rFonts w:ascii="Tahoma" w:hAnsi="Tahoma" w:cs="Tahoma"/>
          <w:bCs/>
          <w:sz w:val="20"/>
          <w:szCs w:val="20"/>
        </w:rPr>
        <w:t xml:space="preserve"> </w:t>
      </w:r>
      <w:r w:rsidRPr="00B004EE">
        <w:rPr>
          <w:rFonts w:ascii="Tahoma" w:hAnsi="Tahoma" w:cs="Tahoma"/>
          <w:bCs/>
          <w:sz w:val="20"/>
          <w:szCs w:val="20"/>
        </w:rPr>
        <w:t>accordée</w:t>
      </w:r>
      <w:r w:rsidR="00DB1635" w:rsidRPr="00B004EE">
        <w:rPr>
          <w:rFonts w:ascii="Tahoma" w:hAnsi="Tahoma" w:cs="Tahoma"/>
          <w:bCs/>
          <w:sz w:val="20"/>
          <w:szCs w:val="20"/>
        </w:rPr>
        <w:t xml:space="preserve"> </w:t>
      </w:r>
      <w:r w:rsidRPr="00B004EE">
        <w:rPr>
          <w:rFonts w:ascii="Tahoma" w:hAnsi="Tahoma" w:cs="Tahoma"/>
          <w:bCs/>
          <w:sz w:val="20"/>
          <w:szCs w:val="20"/>
        </w:rPr>
        <w:t>à</w:t>
      </w:r>
      <w:r w:rsidR="00DB1635" w:rsidRPr="00B004EE">
        <w:rPr>
          <w:rFonts w:ascii="Tahoma" w:hAnsi="Tahoma" w:cs="Tahoma"/>
          <w:bCs/>
          <w:sz w:val="20"/>
          <w:szCs w:val="20"/>
        </w:rPr>
        <w:t xml:space="preserve"> </w:t>
      </w:r>
      <w:r w:rsidRPr="00B004EE">
        <w:rPr>
          <w:rFonts w:ascii="Tahoma" w:hAnsi="Tahoma" w:cs="Tahoma"/>
          <w:bCs/>
          <w:sz w:val="20"/>
          <w:szCs w:val="20"/>
        </w:rPr>
        <w:t>titre</w:t>
      </w:r>
      <w:r w:rsidR="00DB1635" w:rsidRPr="00B004EE">
        <w:rPr>
          <w:rFonts w:ascii="Tahoma" w:hAnsi="Tahoma" w:cs="Tahoma"/>
          <w:bCs/>
          <w:sz w:val="20"/>
          <w:szCs w:val="20"/>
        </w:rPr>
        <w:t xml:space="preserve"> </w:t>
      </w:r>
      <w:r w:rsidRPr="00B004EE">
        <w:rPr>
          <w:rFonts w:ascii="Tahoma" w:hAnsi="Tahoma" w:cs="Tahoma"/>
          <w:bCs/>
          <w:sz w:val="20"/>
          <w:szCs w:val="20"/>
        </w:rPr>
        <w:t>provisoire</w:t>
      </w:r>
      <w:r w:rsidR="00DB1635" w:rsidRPr="00B004EE">
        <w:rPr>
          <w:rFonts w:ascii="Tahoma" w:hAnsi="Tahoma" w:cs="Tahoma"/>
          <w:bCs/>
          <w:sz w:val="20"/>
          <w:szCs w:val="20"/>
        </w:rPr>
        <w:t xml:space="preserve"> </w:t>
      </w:r>
      <w:r w:rsidRPr="00B004EE">
        <w:rPr>
          <w:rFonts w:ascii="Tahoma" w:hAnsi="Tahoma" w:cs="Tahoma"/>
          <w:bCs/>
          <w:sz w:val="20"/>
          <w:szCs w:val="20"/>
        </w:rPr>
        <w:t>à</w:t>
      </w:r>
      <w:r w:rsidR="00DB1635" w:rsidRPr="00B004EE">
        <w:rPr>
          <w:rFonts w:ascii="Tahoma" w:hAnsi="Tahoma" w:cs="Tahoma"/>
          <w:bCs/>
          <w:sz w:val="20"/>
          <w:szCs w:val="20"/>
        </w:rPr>
        <w:t xml:space="preserve"> </w:t>
      </w:r>
      <w:r w:rsidRPr="00B004EE">
        <w:rPr>
          <w:rFonts w:ascii="Tahoma" w:hAnsi="Tahoma" w:cs="Tahoma"/>
          <w:bCs/>
          <w:sz w:val="20"/>
          <w:szCs w:val="20"/>
        </w:rPr>
        <w:t>un</w:t>
      </w:r>
      <w:r w:rsidR="00DB1635" w:rsidRPr="00B004EE">
        <w:rPr>
          <w:rFonts w:ascii="Tahoma" w:hAnsi="Tahoma" w:cs="Tahoma"/>
          <w:bCs/>
          <w:sz w:val="20"/>
          <w:szCs w:val="20"/>
        </w:rPr>
        <w:t xml:space="preserve"> </w:t>
      </w:r>
      <w:r w:rsidRPr="00B004EE">
        <w:rPr>
          <w:rFonts w:ascii="Tahoma" w:hAnsi="Tahoma" w:cs="Tahoma"/>
          <w:bCs/>
          <w:sz w:val="20"/>
          <w:szCs w:val="20"/>
        </w:rPr>
        <w:t>laboratoire</w:t>
      </w:r>
      <w:r w:rsidR="00DB1635" w:rsidRPr="00B004EE">
        <w:rPr>
          <w:rFonts w:ascii="Tahoma" w:hAnsi="Tahoma" w:cs="Tahoma"/>
          <w:bCs/>
          <w:sz w:val="20"/>
          <w:szCs w:val="20"/>
        </w:rPr>
        <w:t xml:space="preserve"> </w:t>
      </w:r>
      <w:r w:rsidRPr="00B004EE">
        <w:rPr>
          <w:rFonts w:ascii="Tahoma" w:hAnsi="Tahoma" w:cs="Tahoma"/>
          <w:bCs/>
          <w:sz w:val="20"/>
          <w:szCs w:val="20"/>
        </w:rPr>
        <w:t>non</w:t>
      </w:r>
      <w:r w:rsidR="00DB1635" w:rsidRPr="00B004EE">
        <w:rPr>
          <w:rFonts w:ascii="Tahoma" w:hAnsi="Tahoma" w:cs="Tahoma"/>
          <w:bCs/>
          <w:sz w:val="20"/>
          <w:szCs w:val="20"/>
        </w:rPr>
        <w:t xml:space="preserve"> </w:t>
      </w:r>
      <w:r w:rsidRPr="00B004EE">
        <w:rPr>
          <w:rFonts w:ascii="Tahoma" w:hAnsi="Tahoma" w:cs="Tahoma"/>
          <w:bCs/>
          <w:sz w:val="20"/>
          <w:szCs w:val="20"/>
        </w:rPr>
        <w:t>accrédité</w:t>
      </w:r>
      <w:r w:rsidR="00DB1635" w:rsidRPr="00B004EE">
        <w:rPr>
          <w:rFonts w:ascii="Tahoma" w:hAnsi="Tahoma" w:cs="Tahoma"/>
          <w:bCs/>
          <w:sz w:val="20"/>
          <w:szCs w:val="20"/>
        </w:rPr>
        <w:t xml:space="preserve"> </w:t>
      </w:r>
      <w:r w:rsidRPr="00B004EE">
        <w:rPr>
          <w:rFonts w:ascii="Tahoma" w:hAnsi="Tahoma" w:cs="Tahoma"/>
          <w:bCs/>
          <w:sz w:val="20"/>
          <w:szCs w:val="20"/>
        </w:rPr>
        <w:t>pour</w:t>
      </w:r>
      <w:r w:rsidR="00DB1635" w:rsidRPr="00B004EE">
        <w:rPr>
          <w:rFonts w:ascii="Tahoma" w:hAnsi="Tahoma" w:cs="Tahoma"/>
          <w:bCs/>
          <w:sz w:val="20"/>
          <w:szCs w:val="20"/>
        </w:rPr>
        <w:t xml:space="preserve"> </w:t>
      </w:r>
      <w:r w:rsidRPr="00B004EE">
        <w:rPr>
          <w:rFonts w:ascii="Tahoma" w:hAnsi="Tahoma" w:cs="Tahoma"/>
          <w:bCs/>
          <w:sz w:val="20"/>
          <w:szCs w:val="20"/>
        </w:rPr>
        <w:t>une</w:t>
      </w:r>
      <w:r w:rsidR="00DB1635" w:rsidRPr="00B004EE">
        <w:rPr>
          <w:rFonts w:ascii="Tahoma" w:hAnsi="Tahoma" w:cs="Tahoma"/>
          <w:bCs/>
          <w:sz w:val="20"/>
          <w:szCs w:val="20"/>
        </w:rPr>
        <w:t xml:space="preserve"> </w:t>
      </w:r>
      <w:r w:rsidRPr="00B004EE">
        <w:rPr>
          <w:rFonts w:ascii="Tahoma" w:hAnsi="Tahoma" w:cs="Tahoma"/>
          <w:bCs/>
          <w:sz w:val="20"/>
          <w:szCs w:val="20"/>
        </w:rPr>
        <w:t>période</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vingt-quatre</w:t>
      </w:r>
      <w:r w:rsidR="00DB1635" w:rsidRPr="00B004EE">
        <w:rPr>
          <w:rFonts w:ascii="Tahoma" w:hAnsi="Tahoma" w:cs="Tahoma"/>
          <w:bCs/>
          <w:sz w:val="20"/>
          <w:szCs w:val="20"/>
        </w:rPr>
        <w:t xml:space="preserve"> </w:t>
      </w:r>
      <w:r w:rsidRPr="00B004EE">
        <w:rPr>
          <w:rFonts w:ascii="Tahoma" w:hAnsi="Tahoma" w:cs="Tahoma"/>
          <w:bCs/>
          <w:sz w:val="20"/>
          <w:szCs w:val="20"/>
        </w:rPr>
        <w:t>mois.</w:t>
      </w:r>
    </w:p>
    <w:p w14:paraId="422BF2EA" w14:textId="77777777" w:rsidR="002F24E1" w:rsidRPr="00B004EE" w:rsidRDefault="002F24E1" w:rsidP="00B004EE">
      <w:pPr>
        <w:autoSpaceDE w:val="0"/>
        <w:autoSpaceDN w:val="0"/>
        <w:adjustRightInd w:val="0"/>
        <w:jc w:val="both"/>
        <w:rPr>
          <w:rFonts w:ascii="Tahoma" w:hAnsi="Tahoma" w:cs="Tahoma"/>
          <w:bCs/>
          <w:sz w:val="20"/>
          <w:szCs w:val="20"/>
        </w:rPr>
      </w:pPr>
    </w:p>
    <w:p w14:paraId="2B12C154" w14:textId="2EF35997" w:rsidR="002F24E1" w:rsidRPr="00B004EE" w:rsidRDefault="002F24E1" w:rsidP="00B004EE">
      <w:pPr>
        <w:autoSpaceDE w:val="0"/>
        <w:autoSpaceDN w:val="0"/>
        <w:adjustRightInd w:val="0"/>
        <w:jc w:val="both"/>
        <w:rPr>
          <w:rFonts w:ascii="Tahoma" w:hAnsi="Tahoma" w:cs="Tahoma"/>
          <w:bCs/>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22.</w:t>
      </w:r>
      <w:r w:rsidR="00DB1635" w:rsidRPr="00B004EE">
        <w:rPr>
          <w:rFonts w:ascii="Tahoma" w:hAnsi="Tahoma" w:cs="Tahoma"/>
          <w:bCs/>
          <w:sz w:val="20"/>
          <w:szCs w:val="20"/>
        </w:rPr>
        <w:t xml:space="preserve"> </w:t>
      </w:r>
      <w:r w:rsidRPr="00B004EE">
        <w:rPr>
          <w:rFonts w:ascii="Tahoma" w:hAnsi="Tahoma" w:cs="Tahoma"/>
          <w:bCs/>
          <w:sz w:val="20"/>
          <w:szCs w:val="20"/>
        </w:rPr>
        <w:t>Les</w:t>
      </w:r>
      <w:r w:rsidR="00DB1635" w:rsidRPr="00B004EE">
        <w:rPr>
          <w:rFonts w:ascii="Tahoma" w:hAnsi="Tahoma" w:cs="Tahoma"/>
          <w:bCs/>
          <w:sz w:val="20"/>
          <w:szCs w:val="20"/>
        </w:rPr>
        <w:t xml:space="preserve"> </w:t>
      </w:r>
      <w:r w:rsidRPr="00B004EE">
        <w:rPr>
          <w:rFonts w:ascii="Tahoma" w:hAnsi="Tahoma" w:cs="Tahoma"/>
          <w:bCs/>
          <w:sz w:val="20"/>
          <w:szCs w:val="20"/>
        </w:rPr>
        <w:t>demandes</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reconnaissance</w:t>
      </w:r>
      <w:r w:rsidR="00DB1635" w:rsidRPr="00B004EE">
        <w:rPr>
          <w:rFonts w:ascii="Tahoma" w:hAnsi="Tahoma" w:cs="Tahoma"/>
          <w:bCs/>
          <w:sz w:val="20"/>
          <w:szCs w:val="20"/>
        </w:rPr>
        <w:t xml:space="preserve"> </w:t>
      </w:r>
      <w:r w:rsidRPr="00B004EE">
        <w:rPr>
          <w:rFonts w:ascii="Tahoma" w:hAnsi="Tahoma" w:cs="Tahoma"/>
          <w:bCs/>
          <w:sz w:val="20"/>
          <w:szCs w:val="20"/>
        </w:rPr>
        <w:t>sont</w:t>
      </w:r>
      <w:r w:rsidR="00DB1635" w:rsidRPr="00B004EE">
        <w:rPr>
          <w:rFonts w:ascii="Tahoma" w:hAnsi="Tahoma" w:cs="Tahoma"/>
          <w:bCs/>
          <w:sz w:val="20"/>
          <w:szCs w:val="20"/>
        </w:rPr>
        <w:t xml:space="preserve"> </w:t>
      </w:r>
      <w:r w:rsidRPr="00B004EE">
        <w:rPr>
          <w:rFonts w:ascii="Tahoma" w:hAnsi="Tahoma" w:cs="Tahoma"/>
          <w:bCs/>
          <w:sz w:val="20"/>
          <w:szCs w:val="20"/>
        </w:rPr>
        <w:t>adressées</w:t>
      </w:r>
      <w:r w:rsidR="00DB1635" w:rsidRPr="00B004EE">
        <w:rPr>
          <w:rFonts w:ascii="Tahoma" w:hAnsi="Tahoma" w:cs="Tahoma"/>
          <w:bCs/>
          <w:sz w:val="20"/>
          <w:szCs w:val="20"/>
        </w:rPr>
        <w:t xml:space="preserve"> </w:t>
      </w:r>
      <w:r w:rsidRPr="00B004EE">
        <w:rPr>
          <w:rFonts w:ascii="Tahoma" w:hAnsi="Tahoma" w:cs="Tahoma"/>
          <w:bCs/>
          <w:sz w:val="20"/>
          <w:szCs w:val="20"/>
        </w:rPr>
        <w:t>à</w:t>
      </w:r>
      <w:r w:rsidR="00DB1635" w:rsidRPr="00B004EE">
        <w:rPr>
          <w:rFonts w:ascii="Tahoma" w:hAnsi="Tahoma" w:cs="Tahoma"/>
          <w:bCs/>
          <w:sz w:val="20"/>
          <w:szCs w:val="20"/>
        </w:rPr>
        <w:t xml:space="preserve"> </w:t>
      </w:r>
      <w:r w:rsidRPr="00B004EE">
        <w:rPr>
          <w:rFonts w:ascii="Tahoma" w:hAnsi="Tahoma" w:cs="Tahoma"/>
          <w:bCs/>
          <w:sz w:val="20"/>
          <w:szCs w:val="20"/>
        </w:rPr>
        <w:t>l’IMROP</w:t>
      </w:r>
      <w:r w:rsidR="00DB1635" w:rsidRPr="00B004EE">
        <w:rPr>
          <w:rFonts w:ascii="Tahoma" w:hAnsi="Tahoma" w:cs="Tahoma"/>
          <w:bCs/>
          <w:sz w:val="20"/>
          <w:szCs w:val="20"/>
        </w:rPr>
        <w:t xml:space="preserve"> </w:t>
      </w:r>
      <w:r w:rsidRPr="00B004EE">
        <w:rPr>
          <w:rFonts w:ascii="Tahoma" w:hAnsi="Tahoma" w:cs="Tahoma"/>
          <w:bCs/>
          <w:sz w:val="20"/>
          <w:szCs w:val="20"/>
        </w:rPr>
        <w:t>(autorité</w:t>
      </w:r>
      <w:r w:rsidR="00DB1635" w:rsidRPr="00B004EE">
        <w:rPr>
          <w:rFonts w:ascii="Tahoma" w:hAnsi="Tahoma" w:cs="Tahoma"/>
          <w:bCs/>
          <w:sz w:val="20"/>
          <w:szCs w:val="20"/>
        </w:rPr>
        <w:t xml:space="preserve"> </w:t>
      </w:r>
      <w:r w:rsidRPr="00B004EE">
        <w:rPr>
          <w:rFonts w:ascii="Tahoma" w:hAnsi="Tahoma" w:cs="Tahoma"/>
          <w:bCs/>
          <w:sz w:val="20"/>
          <w:szCs w:val="20"/>
        </w:rPr>
        <w:t>compétente</w:t>
      </w:r>
      <w:r w:rsidR="00DB1635" w:rsidRPr="00B004EE">
        <w:rPr>
          <w:rFonts w:ascii="Tahoma" w:hAnsi="Tahoma" w:cs="Tahoma"/>
          <w:bCs/>
          <w:sz w:val="20"/>
          <w:szCs w:val="20"/>
        </w:rPr>
        <w:t xml:space="preserve"> </w:t>
      </w:r>
      <w:r w:rsidRPr="00B004EE">
        <w:rPr>
          <w:rFonts w:ascii="Tahoma" w:hAnsi="Tahoma" w:cs="Tahoma"/>
          <w:bCs/>
          <w:sz w:val="20"/>
          <w:szCs w:val="20"/>
        </w:rPr>
        <w:t>délégataire)</w:t>
      </w:r>
      <w:r w:rsidR="00DB1635" w:rsidRPr="00B004EE">
        <w:rPr>
          <w:rFonts w:ascii="Tahoma" w:hAnsi="Tahoma" w:cs="Tahoma"/>
          <w:bCs/>
          <w:sz w:val="20"/>
          <w:szCs w:val="20"/>
        </w:rPr>
        <w:t xml:space="preserve"> </w:t>
      </w:r>
      <w:r w:rsidRPr="00B004EE">
        <w:rPr>
          <w:rFonts w:ascii="Tahoma" w:hAnsi="Tahoma" w:cs="Tahoma"/>
          <w:bCs/>
          <w:sz w:val="20"/>
          <w:szCs w:val="20"/>
        </w:rPr>
        <w:t>à</w:t>
      </w:r>
      <w:r w:rsidR="00DB1635" w:rsidRPr="00B004EE">
        <w:rPr>
          <w:rFonts w:ascii="Tahoma" w:hAnsi="Tahoma" w:cs="Tahoma"/>
          <w:bCs/>
          <w:sz w:val="20"/>
          <w:szCs w:val="20"/>
        </w:rPr>
        <w:t xml:space="preserve"> </w:t>
      </w:r>
      <w:r w:rsidRPr="00B004EE">
        <w:rPr>
          <w:rFonts w:ascii="Tahoma" w:hAnsi="Tahoma" w:cs="Tahoma"/>
          <w:bCs/>
          <w:sz w:val="20"/>
          <w:szCs w:val="20"/>
        </w:rPr>
        <w:t>Nouadhibou</w:t>
      </w:r>
      <w:r w:rsidR="00DB1635" w:rsidRPr="00B004EE">
        <w:rPr>
          <w:rFonts w:ascii="Tahoma" w:hAnsi="Tahoma" w:cs="Tahoma"/>
          <w:bCs/>
          <w:sz w:val="20"/>
          <w:szCs w:val="20"/>
        </w:rPr>
        <w:t xml:space="preserve"> </w:t>
      </w:r>
      <w:r w:rsidRPr="00B004EE">
        <w:rPr>
          <w:rFonts w:ascii="Tahoma" w:hAnsi="Tahoma" w:cs="Tahoma"/>
          <w:bCs/>
          <w:sz w:val="20"/>
          <w:szCs w:val="20"/>
        </w:rPr>
        <w:t>accompagnées</w:t>
      </w:r>
      <w:r w:rsidR="00DB1635" w:rsidRPr="00B004EE">
        <w:rPr>
          <w:rFonts w:ascii="Tahoma" w:hAnsi="Tahoma" w:cs="Tahoma"/>
          <w:bCs/>
          <w:sz w:val="20"/>
          <w:szCs w:val="20"/>
        </w:rPr>
        <w:t xml:space="preserve"> </w:t>
      </w:r>
      <w:r w:rsidRPr="00B004EE">
        <w:rPr>
          <w:rFonts w:ascii="Tahoma" w:hAnsi="Tahoma" w:cs="Tahoma"/>
          <w:bCs/>
          <w:sz w:val="20"/>
          <w:szCs w:val="20"/>
        </w:rPr>
        <w:t>d’un</w:t>
      </w:r>
      <w:r w:rsidR="00DB1635" w:rsidRPr="00B004EE">
        <w:rPr>
          <w:rFonts w:ascii="Tahoma" w:hAnsi="Tahoma" w:cs="Tahoma"/>
          <w:bCs/>
          <w:sz w:val="20"/>
          <w:szCs w:val="20"/>
        </w:rPr>
        <w:t xml:space="preserve"> </w:t>
      </w:r>
      <w:r w:rsidRPr="00B004EE">
        <w:rPr>
          <w:rFonts w:ascii="Tahoma" w:hAnsi="Tahoma" w:cs="Tahoma"/>
          <w:bCs/>
          <w:sz w:val="20"/>
          <w:szCs w:val="20"/>
        </w:rPr>
        <w:t>dossier</w:t>
      </w:r>
      <w:r w:rsidR="00DB1635" w:rsidRPr="00B004EE">
        <w:rPr>
          <w:rFonts w:ascii="Tahoma" w:hAnsi="Tahoma" w:cs="Tahoma"/>
          <w:bCs/>
          <w:sz w:val="20"/>
          <w:szCs w:val="20"/>
        </w:rPr>
        <w:t xml:space="preserve"> </w:t>
      </w:r>
      <w:r w:rsidRPr="00B004EE">
        <w:rPr>
          <w:rFonts w:ascii="Tahoma" w:hAnsi="Tahoma" w:cs="Tahoma"/>
          <w:bCs/>
          <w:sz w:val="20"/>
          <w:szCs w:val="20"/>
        </w:rPr>
        <w:t>dont</w:t>
      </w:r>
      <w:r w:rsidR="00DB1635" w:rsidRPr="00B004EE">
        <w:rPr>
          <w:rFonts w:ascii="Tahoma" w:hAnsi="Tahoma" w:cs="Tahoma"/>
          <w:bCs/>
          <w:sz w:val="20"/>
          <w:szCs w:val="20"/>
        </w:rPr>
        <w:t xml:space="preserve"> </w:t>
      </w:r>
      <w:r w:rsidRPr="00B004EE">
        <w:rPr>
          <w:rFonts w:ascii="Tahoma" w:hAnsi="Tahoma" w:cs="Tahoma"/>
          <w:bCs/>
          <w:sz w:val="20"/>
          <w:szCs w:val="20"/>
        </w:rPr>
        <w:t>la</w:t>
      </w:r>
      <w:r w:rsidR="00DB1635" w:rsidRPr="00B004EE">
        <w:rPr>
          <w:rFonts w:ascii="Tahoma" w:hAnsi="Tahoma" w:cs="Tahoma"/>
          <w:bCs/>
          <w:sz w:val="20"/>
          <w:szCs w:val="20"/>
        </w:rPr>
        <w:t xml:space="preserve"> </w:t>
      </w:r>
      <w:r w:rsidRPr="00B004EE">
        <w:rPr>
          <w:rFonts w:ascii="Tahoma" w:hAnsi="Tahoma" w:cs="Tahoma"/>
          <w:bCs/>
          <w:sz w:val="20"/>
          <w:szCs w:val="20"/>
        </w:rPr>
        <w:t>composition</w:t>
      </w:r>
      <w:r w:rsidR="00DB1635" w:rsidRPr="00B004EE">
        <w:rPr>
          <w:rFonts w:ascii="Tahoma" w:hAnsi="Tahoma" w:cs="Tahoma"/>
          <w:bCs/>
          <w:sz w:val="20"/>
          <w:szCs w:val="20"/>
        </w:rPr>
        <w:t xml:space="preserve"> </w:t>
      </w:r>
      <w:r w:rsidRPr="00B004EE">
        <w:rPr>
          <w:rFonts w:ascii="Tahoma" w:hAnsi="Tahoma" w:cs="Tahoma"/>
          <w:bCs/>
          <w:sz w:val="20"/>
          <w:szCs w:val="20"/>
        </w:rPr>
        <w:t>est</w:t>
      </w:r>
      <w:r w:rsidR="00DB1635" w:rsidRPr="00B004EE">
        <w:rPr>
          <w:rFonts w:ascii="Tahoma" w:hAnsi="Tahoma" w:cs="Tahoma"/>
          <w:bCs/>
          <w:sz w:val="20"/>
          <w:szCs w:val="20"/>
        </w:rPr>
        <w:t xml:space="preserve"> </w:t>
      </w:r>
      <w:r w:rsidRPr="00B004EE">
        <w:rPr>
          <w:rFonts w:ascii="Tahoma" w:hAnsi="Tahoma" w:cs="Tahoma"/>
          <w:bCs/>
          <w:sz w:val="20"/>
          <w:szCs w:val="20"/>
        </w:rPr>
        <w:t>fixée</w:t>
      </w:r>
      <w:r w:rsidR="00DB1635" w:rsidRPr="00B004EE">
        <w:rPr>
          <w:rFonts w:ascii="Tahoma" w:hAnsi="Tahoma" w:cs="Tahoma"/>
          <w:bCs/>
          <w:sz w:val="20"/>
          <w:szCs w:val="20"/>
        </w:rPr>
        <w:t xml:space="preserve"> </w:t>
      </w:r>
      <w:r w:rsidRPr="00B004EE">
        <w:rPr>
          <w:rFonts w:ascii="Tahoma" w:hAnsi="Tahoma" w:cs="Tahoma"/>
          <w:bCs/>
          <w:sz w:val="20"/>
          <w:szCs w:val="20"/>
        </w:rPr>
        <w:t>par</w:t>
      </w:r>
      <w:r w:rsidR="00DB1635" w:rsidRPr="00B004EE">
        <w:rPr>
          <w:rFonts w:ascii="Tahoma" w:hAnsi="Tahoma" w:cs="Tahoma"/>
          <w:bCs/>
          <w:sz w:val="20"/>
          <w:szCs w:val="20"/>
        </w:rPr>
        <w:t xml:space="preserve"> </w:t>
      </w:r>
      <w:r w:rsidRPr="00B004EE">
        <w:rPr>
          <w:rFonts w:ascii="Tahoma" w:hAnsi="Tahoma" w:cs="Tahoma"/>
          <w:bCs/>
          <w:sz w:val="20"/>
          <w:szCs w:val="20"/>
        </w:rPr>
        <w:t>arrêté</w:t>
      </w:r>
      <w:r w:rsidR="00DB1635" w:rsidRPr="00B004EE">
        <w:rPr>
          <w:rFonts w:ascii="Tahoma" w:hAnsi="Tahoma" w:cs="Tahoma"/>
          <w:bCs/>
          <w:sz w:val="20"/>
          <w:szCs w:val="20"/>
        </w:rPr>
        <w:t xml:space="preserve"> </w:t>
      </w:r>
      <w:r w:rsidRPr="00B004EE">
        <w:rPr>
          <w:rFonts w:ascii="Tahoma" w:hAnsi="Tahoma" w:cs="Tahoma"/>
          <w:bCs/>
          <w:sz w:val="20"/>
          <w:szCs w:val="20"/>
        </w:rPr>
        <w:t>du</w:t>
      </w:r>
      <w:r w:rsidR="00DB1635" w:rsidRPr="00B004EE">
        <w:rPr>
          <w:rFonts w:ascii="Tahoma" w:hAnsi="Tahoma" w:cs="Tahoma"/>
          <w:bCs/>
          <w:sz w:val="20"/>
          <w:szCs w:val="20"/>
        </w:rPr>
        <w:t xml:space="preserve"> </w:t>
      </w:r>
      <w:r w:rsidRPr="00B004EE">
        <w:rPr>
          <w:rFonts w:ascii="Tahoma" w:hAnsi="Tahoma" w:cs="Tahoma"/>
          <w:bCs/>
          <w:sz w:val="20"/>
          <w:szCs w:val="20"/>
        </w:rPr>
        <w:t>ministre</w:t>
      </w:r>
      <w:r w:rsidR="00DB1635" w:rsidRPr="00B004EE">
        <w:rPr>
          <w:rFonts w:ascii="Tahoma" w:hAnsi="Tahoma" w:cs="Tahoma"/>
          <w:bCs/>
          <w:sz w:val="20"/>
          <w:szCs w:val="20"/>
        </w:rPr>
        <w:t xml:space="preserve"> </w:t>
      </w:r>
      <w:r w:rsidRPr="00B004EE">
        <w:rPr>
          <w:rFonts w:ascii="Tahoma" w:hAnsi="Tahoma" w:cs="Tahoma"/>
          <w:bCs/>
          <w:sz w:val="20"/>
          <w:szCs w:val="20"/>
        </w:rPr>
        <w:t>chargé</w:t>
      </w:r>
      <w:r w:rsidR="00DB1635" w:rsidRPr="00B004EE">
        <w:rPr>
          <w:rFonts w:ascii="Tahoma" w:hAnsi="Tahoma" w:cs="Tahoma"/>
          <w:bCs/>
          <w:sz w:val="20"/>
          <w:szCs w:val="20"/>
        </w:rPr>
        <w:t xml:space="preserve"> </w:t>
      </w:r>
      <w:r w:rsidRPr="00B004EE">
        <w:rPr>
          <w:rFonts w:ascii="Tahoma" w:hAnsi="Tahoma" w:cs="Tahoma"/>
          <w:bCs/>
          <w:sz w:val="20"/>
          <w:szCs w:val="20"/>
        </w:rPr>
        <w:t>des</w:t>
      </w:r>
      <w:r w:rsidR="00DB1635" w:rsidRPr="00B004EE">
        <w:rPr>
          <w:rFonts w:ascii="Tahoma" w:hAnsi="Tahoma" w:cs="Tahoma"/>
          <w:bCs/>
          <w:sz w:val="20"/>
          <w:szCs w:val="20"/>
        </w:rPr>
        <w:t xml:space="preserve"> </w:t>
      </w:r>
      <w:r w:rsidRPr="00B004EE">
        <w:rPr>
          <w:rFonts w:ascii="Tahoma" w:hAnsi="Tahoma" w:cs="Tahoma"/>
          <w:bCs/>
          <w:sz w:val="20"/>
          <w:szCs w:val="20"/>
        </w:rPr>
        <w:t>pêches.</w:t>
      </w:r>
      <w:r w:rsidR="00DB1635" w:rsidRPr="00B004EE">
        <w:rPr>
          <w:rFonts w:ascii="Tahoma" w:hAnsi="Tahoma" w:cs="Tahoma"/>
          <w:bCs/>
          <w:sz w:val="20"/>
          <w:szCs w:val="20"/>
        </w:rPr>
        <w:t xml:space="preserve"> </w:t>
      </w:r>
      <w:r w:rsidRPr="00B004EE">
        <w:rPr>
          <w:rFonts w:ascii="Tahoma" w:hAnsi="Tahoma" w:cs="Tahoma"/>
          <w:bCs/>
          <w:sz w:val="20"/>
          <w:szCs w:val="20"/>
        </w:rPr>
        <w:t>Lorsqu’un</w:t>
      </w:r>
      <w:r w:rsidR="00DB1635" w:rsidRPr="00B004EE">
        <w:rPr>
          <w:rFonts w:ascii="Tahoma" w:hAnsi="Tahoma" w:cs="Tahoma"/>
          <w:bCs/>
          <w:sz w:val="20"/>
          <w:szCs w:val="20"/>
        </w:rPr>
        <w:t xml:space="preserve"> </w:t>
      </w:r>
      <w:r w:rsidRPr="00B004EE">
        <w:rPr>
          <w:rFonts w:ascii="Tahoma" w:hAnsi="Tahoma" w:cs="Tahoma"/>
          <w:bCs/>
          <w:sz w:val="20"/>
          <w:szCs w:val="20"/>
        </w:rPr>
        <w:t>laboratoire</w:t>
      </w:r>
      <w:r w:rsidR="00DB1635" w:rsidRPr="00B004EE">
        <w:rPr>
          <w:rFonts w:ascii="Tahoma" w:hAnsi="Tahoma" w:cs="Tahoma"/>
          <w:bCs/>
          <w:sz w:val="20"/>
          <w:szCs w:val="20"/>
        </w:rPr>
        <w:t xml:space="preserve"> </w:t>
      </w:r>
      <w:r w:rsidRPr="00B004EE">
        <w:rPr>
          <w:rFonts w:ascii="Tahoma" w:hAnsi="Tahoma" w:cs="Tahoma"/>
          <w:bCs/>
          <w:sz w:val="20"/>
          <w:szCs w:val="20"/>
        </w:rPr>
        <w:t>comporte</w:t>
      </w:r>
      <w:r w:rsidR="00DB1635" w:rsidRPr="00B004EE">
        <w:rPr>
          <w:rFonts w:ascii="Tahoma" w:hAnsi="Tahoma" w:cs="Tahoma"/>
          <w:bCs/>
          <w:sz w:val="20"/>
          <w:szCs w:val="20"/>
        </w:rPr>
        <w:t xml:space="preserve"> </w:t>
      </w:r>
      <w:r w:rsidRPr="00B004EE">
        <w:rPr>
          <w:rFonts w:ascii="Tahoma" w:hAnsi="Tahoma" w:cs="Tahoma"/>
          <w:bCs/>
          <w:sz w:val="20"/>
          <w:szCs w:val="20"/>
        </w:rPr>
        <w:t>plusieurs</w:t>
      </w:r>
      <w:r w:rsidR="00DB1635" w:rsidRPr="00B004EE">
        <w:rPr>
          <w:rFonts w:ascii="Tahoma" w:hAnsi="Tahoma" w:cs="Tahoma"/>
          <w:bCs/>
          <w:sz w:val="20"/>
          <w:szCs w:val="20"/>
        </w:rPr>
        <w:t xml:space="preserve"> </w:t>
      </w:r>
      <w:r w:rsidRPr="00B004EE">
        <w:rPr>
          <w:rFonts w:ascii="Tahoma" w:hAnsi="Tahoma" w:cs="Tahoma"/>
          <w:bCs/>
          <w:sz w:val="20"/>
          <w:szCs w:val="20"/>
        </w:rPr>
        <w:t>établissements,</w:t>
      </w:r>
      <w:r w:rsidR="00DB1635" w:rsidRPr="00B004EE">
        <w:rPr>
          <w:rFonts w:ascii="Tahoma" w:hAnsi="Tahoma" w:cs="Tahoma"/>
          <w:bCs/>
          <w:sz w:val="20"/>
          <w:szCs w:val="20"/>
        </w:rPr>
        <w:t xml:space="preserve"> </w:t>
      </w:r>
      <w:r w:rsidRPr="00B004EE">
        <w:rPr>
          <w:rFonts w:ascii="Tahoma" w:hAnsi="Tahoma" w:cs="Tahoma"/>
          <w:bCs/>
          <w:sz w:val="20"/>
          <w:szCs w:val="20"/>
        </w:rPr>
        <w:t>chaque</w:t>
      </w:r>
      <w:r w:rsidR="00DB1635" w:rsidRPr="00B004EE">
        <w:rPr>
          <w:rFonts w:ascii="Tahoma" w:hAnsi="Tahoma" w:cs="Tahoma"/>
          <w:bCs/>
          <w:sz w:val="20"/>
          <w:szCs w:val="20"/>
        </w:rPr>
        <w:t xml:space="preserve"> </w:t>
      </w:r>
      <w:r w:rsidRPr="00B004EE">
        <w:rPr>
          <w:rFonts w:ascii="Tahoma" w:hAnsi="Tahoma" w:cs="Tahoma"/>
          <w:bCs/>
          <w:sz w:val="20"/>
          <w:szCs w:val="20"/>
        </w:rPr>
        <w:t>établissement</w:t>
      </w:r>
      <w:r w:rsidR="00DB1635" w:rsidRPr="00B004EE">
        <w:rPr>
          <w:rFonts w:ascii="Tahoma" w:hAnsi="Tahoma" w:cs="Tahoma"/>
          <w:bCs/>
          <w:sz w:val="20"/>
          <w:szCs w:val="20"/>
        </w:rPr>
        <w:t xml:space="preserve"> </w:t>
      </w:r>
      <w:r w:rsidRPr="00B004EE">
        <w:rPr>
          <w:rFonts w:ascii="Tahoma" w:hAnsi="Tahoma" w:cs="Tahoma"/>
          <w:bCs/>
          <w:sz w:val="20"/>
          <w:szCs w:val="20"/>
        </w:rPr>
        <w:t>doit</w:t>
      </w:r>
      <w:r w:rsidR="00DB1635" w:rsidRPr="00B004EE">
        <w:rPr>
          <w:rFonts w:ascii="Tahoma" w:hAnsi="Tahoma" w:cs="Tahoma"/>
          <w:bCs/>
          <w:sz w:val="20"/>
          <w:szCs w:val="20"/>
        </w:rPr>
        <w:t xml:space="preserve"> </w:t>
      </w:r>
      <w:r w:rsidRPr="00B004EE">
        <w:rPr>
          <w:rFonts w:ascii="Tahoma" w:hAnsi="Tahoma" w:cs="Tahoma"/>
          <w:bCs/>
          <w:sz w:val="20"/>
          <w:szCs w:val="20"/>
        </w:rPr>
        <w:t>demander</w:t>
      </w:r>
      <w:r w:rsidR="00DB1635" w:rsidRPr="00B004EE">
        <w:rPr>
          <w:rFonts w:ascii="Tahoma" w:hAnsi="Tahoma" w:cs="Tahoma"/>
          <w:bCs/>
          <w:sz w:val="20"/>
          <w:szCs w:val="20"/>
        </w:rPr>
        <w:t xml:space="preserve"> </w:t>
      </w:r>
      <w:r w:rsidRPr="00B004EE">
        <w:rPr>
          <w:rFonts w:ascii="Tahoma" w:hAnsi="Tahoma" w:cs="Tahoma"/>
          <w:bCs/>
          <w:sz w:val="20"/>
          <w:szCs w:val="20"/>
        </w:rPr>
        <w:t>sa</w:t>
      </w:r>
      <w:r w:rsidR="00DB1635" w:rsidRPr="00B004EE">
        <w:rPr>
          <w:rFonts w:ascii="Tahoma" w:hAnsi="Tahoma" w:cs="Tahoma"/>
          <w:bCs/>
          <w:sz w:val="20"/>
          <w:szCs w:val="20"/>
        </w:rPr>
        <w:t xml:space="preserve"> </w:t>
      </w:r>
      <w:r w:rsidRPr="00B004EE">
        <w:rPr>
          <w:rFonts w:ascii="Tahoma" w:hAnsi="Tahoma" w:cs="Tahoma"/>
          <w:bCs/>
          <w:sz w:val="20"/>
          <w:szCs w:val="20"/>
        </w:rPr>
        <w:t>reconnaissance.</w:t>
      </w:r>
    </w:p>
    <w:p w14:paraId="098F8C3C" w14:textId="77777777" w:rsidR="002F24E1" w:rsidRPr="00B004EE" w:rsidRDefault="002F24E1" w:rsidP="00B004EE">
      <w:pPr>
        <w:autoSpaceDE w:val="0"/>
        <w:autoSpaceDN w:val="0"/>
        <w:adjustRightInd w:val="0"/>
        <w:jc w:val="both"/>
        <w:rPr>
          <w:rFonts w:ascii="Tahoma" w:hAnsi="Tahoma" w:cs="Tahoma"/>
          <w:bCs/>
          <w:sz w:val="20"/>
          <w:szCs w:val="20"/>
        </w:rPr>
      </w:pPr>
    </w:p>
    <w:p w14:paraId="63038FAB" w14:textId="7AC5818A" w:rsidR="002F24E1" w:rsidRPr="00B004EE" w:rsidRDefault="002F24E1" w:rsidP="00B004EE">
      <w:pPr>
        <w:autoSpaceDE w:val="0"/>
        <w:autoSpaceDN w:val="0"/>
        <w:adjustRightInd w:val="0"/>
        <w:jc w:val="both"/>
        <w:rPr>
          <w:rFonts w:ascii="Tahoma" w:hAnsi="Tahoma" w:cs="Tahoma"/>
          <w:bCs/>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23.</w:t>
      </w:r>
      <w:r w:rsidR="00DB1635" w:rsidRPr="00B004EE">
        <w:rPr>
          <w:rFonts w:ascii="Tahoma" w:hAnsi="Tahoma" w:cs="Tahoma"/>
          <w:bCs/>
          <w:sz w:val="20"/>
          <w:szCs w:val="20"/>
        </w:rPr>
        <w:t xml:space="preserve"> </w:t>
      </w:r>
      <w:r w:rsidRPr="00B004EE">
        <w:rPr>
          <w:rFonts w:ascii="Tahoma" w:hAnsi="Tahoma" w:cs="Tahoma"/>
          <w:bCs/>
          <w:sz w:val="20"/>
          <w:szCs w:val="20"/>
        </w:rPr>
        <w:t>Toute</w:t>
      </w:r>
      <w:r w:rsidR="00DB1635" w:rsidRPr="00B004EE">
        <w:rPr>
          <w:rFonts w:ascii="Tahoma" w:hAnsi="Tahoma" w:cs="Tahoma"/>
          <w:bCs/>
          <w:sz w:val="20"/>
          <w:szCs w:val="20"/>
        </w:rPr>
        <w:t xml:space="preserve"> </w:t>
      </w:r>
      <w:r w:rsidRPr="00B004EE">
        <w:rPr>
          <w:rFonts w:ascii="Tahoma" w:hAnsi="Tahoma" w:cs="Tahoma"/>
          <w:bCs/>
          <w:sz w:val="20"/>
          <w:szCs w:val="20"/>
        </w:rPr>
        <w:t>modification</w:t>
      </w:r>
      <w:r w:rsidR="00DB1635" w:rsidRPr="00B004EE">
        <w:rPr>
          <w:rFonts w:ascii="Tahoma" w:hAnsi="Tahoma" w:cs="Tahoma"/>
          <w:bCs/>
          <w:sz w:val="20"/>
          <w:szCs w:val="20"/>
        </w:rPr>
        <w:t xml:space="preserve"> </w:t>
      </w:r>
      <w:r w:rsidRPr="00B004EE">
        <w:rPr>
          <w:rFonts w:ascii="Tahoma" w:hAnsi="Tahoma" w:cs="Tahoma"/>
          <w:bCs/>
          <w:sz w:val="20"/>
          <w:szCs w:val="20"/>
        </w:rPr>
        <w:t>des</w:t>
      </w:r>
      <w:r w:rsidR="00DB1635" w:rsidRPr="00B004EE">
        <w:rPr>
          <w:rFonts w:ascii="Tahoma" w:hAnsi="Tahoma" w:cs="Tahoma"/>
          <w:bCs/>
          <w:sz w:val="20"/>
          <w:szCs w:val="20"/>
        </w:rPr>
        <w:t xml:space="preserve"> </w:t>
      </w:r>
      <w:r w:rsidRPr="00B004EE">
        <w:rPr>
          <w:rFonts w:ascii="Tahoma" w:hAnsi="Tahoma" w:cs="Tahoma"/>
          <w:bCs/>
          <w:sz w:val="20"/>
          <w:szCs w:val="20"/>
        </w:rPr>
        <w:t>conditions</w:t>
      </w:r>
      <w:r w:rsidR="00DB1635" w:rsidRPr="00B004EE">
        <w:rPr>
          <w:rFonts w:ascii="Tahoma" w:hAnsi="Tahoma" w:cs="Tahoma"/>
          <w:bCs/>
          <w:sz w:val="20"/>
          <w:szCs w:val="20"/>
        </w:rPr>
        <w:t xml:space="preserve"> </w:t>
      </w:r>
      <w:r w:rsidRPr="00B004EE">
        <w:rPr>
          <w:rFonts w:ascii="Tahoma" w:hAnsi="Tahoma" w:cs="Tahoma"/>
          <w:bCs/>
          <w:sz w:val="20"/>
          <w:szCs w:val="20"/>
        </w:rPr>
        <w:t>d’exercice</w:t>
      </w:r>
      <w:r w:rsidR="00DB1635" w:rsidRPr="00B004EE">
        <w:rPr>
          <w:rFonts w:ascii="Tahoma" w:hAnsi="Tahoma" w:cs="Tahoma"/>
          <w:bCs/>
          <w:sz w:val="20"/>
          <w:szCs w:val="20"/>
        </w:rPr>
        <w:t xml:space="preserve"> </w:t>
      </w:r>
      <w:r w:rsidRPr="00B004EE">
        <w:rPr>
          <w:rFonts w:ascii="Tahoma" w:hAnsi="Tahoma" w:cs="Tahoma"/>
          <w:bCs/>
          <w:sz w:val="20"/>
          <w:szCs w:val="20"/>
        </w:rPr>
        <w:t>des</w:t>
      </w:r>
      <w:r w:rsidR="00DB1635" w:rsidRPr="00B004EE">
        <w:rPr>
          <w:rFonts w:ascii="Tahoma" w:hAnsi="Tahoma" w:cs="Tahoma"/>
          <w:bCs/>
          <w:sz w:val="20"/>
          <w:szCs w:val="20"/>
        </w:rPr>
        <w:t xml:space="preserve"> </w:t>
      </w:r>
      <w:r w:rsidRPr="00B004EE">
        <w:rPr>
          <w:rFonts w:ascii="Tahoma" w:hAnsi="Tahoma" w:cs="Tahoma"/>
          <w:bCs/>
          <w:sz w:val="20"/>
          <w:szCs w:val="20"/>
        </w:rPr>
        <w:t>activités</w:t>
      </w:r>
      <w:r w:rsidR="00DB1635" w:rsidRPr="00B004EE">
        <w:rPr>
          <w:rFonts w:ascii="Tahoma" w:hAnsi="Tahoma" w:cs="Tahoma"/>
          <w:bCs/>
          <w:sz w:val="20"/>
          <w:szCs w:val="20"/>
        </w:rPr>
        <w:t xml:space="preserve"> </w:t>
      </w:r>
      <w:r w:rsidRPr="00B004EE">
        <w:rPr>
          <w:rFonts w:ascii="Tahoma" w:hAnsi="Tahoma" w:cs="Tahoma"/>
          <w:bCs/>
          <w:sz w:val="20"/>
          <w:szCs w:val="20"/>
        </w:rPr>
        <w:t>du</w:t>
      </w:r>
      <w:r w:rsidR="00DB1635" w:rsidRPr="00B004EE">
        <w:rPr>
          <w:rFonts w:ascii="Tahoma" w:hAnsi="Tahoma" w:cs="Tahoma"/>
          <w:bCs/>
          <w:sz w:val="20"/>
          <w:szCs w:val="20"/>
        </w:rPr>
        <w:t xml:space="preserve"> </w:t>
      </w:r>
      <w:r w:rsidRPr="00B004EE">
        <w:rPr>
          <w:rFonts w:ascii="Tahoma" w:hAnsi="Tahoma" w:cs="Tahoma"/>
          <w:bCs/>
          <w:sz w:val="20"/>
          <w:szCs w:val="20"/>
        </w:rPr>
        <w:t>laboratoire</w:t>
      </w:r>
      <w:r w:rsidR="00DB1635" w:rsidRPr="00B004EE">
        <w:rPr>
          <w:rFonts w:ascii="Tahoma" w:hAnsi="Tahoma" w:cs="Tahoma"/>
          <w:bCs/>
          <w:sz w:val="20"/>
          <w:szCs w:val="20"/>
        </w:rPr>
        <w:t xml:space="preserve"> </w:t>
      </w:r>
      <w:r w:rsidRPr="00B004EE">
        <w:rPr>
          <w:rFonts w:ascii="Tahoma" w:hAnsi="Tahoma" w:cs="Tahoma"/>
          <w:bCs/>
          <w:sz w:val="20"/>
          <w:szCs w:val="20"/>
        </w:rPr>
        <w:t>telles</w:t>
      </w:r>
      <w:r w:rsidR="00DB1635" w:rsidRPr="00B004EE">
        <w:rPr>
          <w:rFonts w:ascii="Tahoma" w:hAnsi="Tahoma" w:cs="Tahoma"/>
          <w:bCs/>
          <w:sz w:val="20"/>
          <w:szCs w:val="20"/>
        </w:rPr>
        <w:t xml:space="preserve"> </w:t>
      </w:r>
      <w:r w:rsidRPr="00B004EE">
        <w:rPr>
          <w:rFonts w:ascii="Tahoma" w:hAnsi="Tahoma" w:cs="Tahoma"/>
          <w:bCs/>
          <w:sz w:val="20"/>
          <w:szCs w:val="20"/>
        </w:rPr>
        <w:t>qu’énoncées</w:t>
      </w:r>
      <w:r w:rsidR="00DB1635" w:rsidRPr="00B004EE">
        <w:rPr>
          <w:rFonts w:ascii="Tahoma" w:hAnsi="Tahoma" w:cs="Tahoma"/>
          <w:bCs/>
          <w:sz w:val="20"/>
          <w:szCs w:val="20"/>
        </w:rPr>
        <w:t xml:space="preserve"> </w:t>
      </w:r>
      <w:r w:rsidRPr="00B004EE">
        <w:rPr>
          <w:rFonts w:ascii="Tahoma" w:hAnsi="Tahoma" w:cs="Tahoma"/>
          <w:bCs/>
          <w:sz w:val="20"/>
          <w:szCs w:val="20"/>
        </w:rPr>
        <w:t>dans</w:t>
      </w:r>
      <w:r w:rsidR="00DB1635" w:rsidRPr="00B004EE">
        <w:rPr>
          <w:rFonts w:ascii="Tahoma" w:hAnsi="Tahoma" w:cs="Tahoma"/>
          <w:bCs/>
          <w:sz w:val="20"/>
          <w:szCs w:val="20"/>
        </w:rPr>
        <w:t xml:space="preserve"> </w:t>
      </w:r>
      <w:r w:rsidRPr="00B004EE">
        <w:rPr>
          <w:rFonts w:ascii="Tahoma" w:hAnsi="Tahoma" w:cs="Tahoma"/>
          <w:bCs/>
          <w:sz w:val="20"/>
          <w:szCs w:val="20"/>
        </w:rPr>
        <w:t>le</w:t>
      </w:r>
      <w:r w:rsidR="00DB1635" w:rsidRPr="00B004EE">
        <w:rPr>
          <w:rFonts w:ascii="Tahoma" w:hAnsi="Tahoma" w:cs="Tahoma"/>
          <w:bCs/>
          <w:sz w:val="20"/>
          <w:szCs w:val="20"/>
        </w:rPr>
        <w:t xml:space="preserve"> </w:t>
      </w:r>
      <w:r w:rsidRPr="00B004EE">
        <w:rPr>
          <w:rFonts w:ascii="Tahoma" w:hAnsi="Tahoma" w:cs="Tahoma"/>
          <w:bCs/>
          <w:sz w:val="20"/>
          <w:szCs w:val="20"/>
        </w:rPr>
        <w:t>dossier</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demande</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reconnaissance</w:t>
      </w:r>
      <w:r w:rsidR="00DB1635" w:rsidRPr="00B004EE">
        <w:rPr>
          <w:rFonts w:ascii="Tahoma" w:hAnsi="Tahoma" w:cs="Tahoma"/>
          <w:bCs/>
          <w:sz w:val="20"/>
          <w:szCs w:val="20"/>
        </w:rPr>
        <w:t xml:space="preserve"> </w:t>
      </w:r>
      <w:r w:rsidRPr="00B004EE">
        <w:rPr>
          <w:rFonts w:ascii="Tahoma" w:hAnsi="Tahoma" w:cs="Tahoma"/>
          <w:bCs/>
          <w:sz w:val="20"/>
          <w:szCs w:val="20"/>
        </w:rPr>
        <w:t>doit</w:t>
      </w:r>
      <w:r w:rsidR="00DB1635" w:rsidRPr="00B004EE">
        <w:rPr>
          <w:rFonts w:ascii="Tahoma" w:hAnsi="Tahoma" w:cs="Tahoma"/>
          <w:bCs/>
          <w:sz w:val="20"/>
          <w:szCs w:val="20"/>
        </w:rPr>
        <w:t xml:space="preserve"> </w:t>
      </w:r>
      <w:r w:rsidRPr="00B004EE">
        <w:rPr>
          <w:rFonts w:ascii="Tahoma" w:hAnsi="Tahoma" w:cs="Tahoma"/>
          <w:bCs/>
          <w:sz w:val="20"/>
          <w:szCs w:val="20"/>
        </w:rPr>
        <w:t>être</w:t>
      </w:r>
      <w:r w:rsidR="00DB1635" w:rsidRPr="00B004EE">
        <w:rPr>
          <w:rFonts w:ascii="Tahoma" w:hAnsi="Tahoma" w:cs="Tahoma"/>
          <w:bCs/>
          <w:sz w:val="20"/>
          <w:szCs w:val="20"/>
        </w:rPr>
        <w:t xml:space="preserve"> </w:t>
      </w:r>
      <w:r w:rsidRPr="00B004EE">
        <w:rPr>
          <w:rFonts w:ascii="Tahoma" w:hAnsi="Tahoma" w:cs="Tahoma"/>
          <w:bCs/>
          <w:sz w:val="20"/>
          <w:szCs w:val="20"/>
        </w:rPr>
        <w:t>portée</w:t>
      </w:r>
      <w:r w:rsidR="00DB1635" w:rsidRPr="00B004EE">
        <w:rPr>
          <w:rFonts w:ascii="Tahoma" w:hAnsi="Tahoma" w:cs="Tahoma"/>
          <w:bCs/>
          <w:sz w:val="20"/>
          <w:szCs w:val="20"/>
        </w:rPr>
        <w:t xml:space="preserve"> </w:t>
      </w:r>
      <w:r w:rsidRPr="00B004EE">
        <w:rPr>
          <w:rFonts w:ascii="Tahoma" w:hAnsi="Tahoma" w:cs="Tahoma"/>
          <w:bCs/>
          <w:sz w:val="20"/>
          <w:szCs w:val="20"/>
        </w:rPr>
        <w:t>sans</w:t>
      </w:r>
      <w:r w:rsidR="00DB1635" w:rsidRPr="00B004EE">
        <w:rPr>
          <w:rFonts w:ascii="Tahoma" w:hAnsi="Tahoma" w:cs="Tahoma"/>
          <w:bCs/>
          <w:sz w:val="20"/>
          <w:szCs w:val="20"/>
        </w:rPr>
        <w:t xml:space="preserve"> </w:t>
      </w:r>
      <w:r w:rsidRPr="00B004EE">
        <w:rPr>
          <w:rFonts w:ascii="Tahoma" w:hAnsi="Tahoma" w:cs="Tahoma"/>
          <w:bCs/>
          <w:sz w:val="20"/>
          <w:szCs w:val="20"/>
        </w:rPr>
        <w:t>délai</w:t>
      </w:r>
      <w:r w:rsidR="00DB1635" w:rsidRPr="00B004EE">
        <w:rPr>
          <w:rFonts w:ascii="Tahoma" w:hAnsi="Tahoma" w:cs="Tahoma"/>
          <w:bCs/>
          <w:sz w:val="20"/>
          <w:szCs w:val="20"/>
        </w:rPr>
        <w:t xml:space="preserve"> </w:t>
      </w:r>
      <w:r w:rsidRPr="00B004EE">
        <w:rPr>
          <w:rFonts w:ascii="Tahoma" w:hAnsi="Tahoma" w:cs="Tahoma"/>
          <w:bCs/>
          <w:sz w:val="20"/>
          <w:szCs w:val="20"/>
        </w:rPr>
        <w:t>à</w:t>
      </w:r>
      <w:r w:rsidR="00DB1635" w:rsidRPr="00B004EE">
        <w:rPr>
          <w:rFonts w:ascii="Tahoma" w:hAnsi="Tahoma" w:cs="Tahoma"/>
          <w:bCs/>
          <w:sz w:val="20"/>
          <w:szCs w:val="20"/>
        </w:rPr>
        <w:t xml:space="preserve"> </w:t>
      </w:r>
      <w:r w:rsidRPr="00B004EE">
        <w:rPr>
          <w:rFonts w:ascii="Tahoma" w:hAnsi="Tahoma" w:cs="Tahoma"/>
          <w:bCs/>
          <w:sz w:val="20"/>
          <w:szCs w:val="20"/>
        </w:rPr>
        <w:t>la</w:t>
      </w:r>
      <w:r w:rsidR="00DB1635" w:rsidRPr="00B004EE">
        <w:rPr>
          <w:rFonts w:ascii="Tahoma" w:hAnsi="Tahoma" w:cs="Tahoma"/>
          <w:bCs/>
          <w:sz w:val="20"/>
          <w:szCs w:val="20"/>
        </w:rPr>
        <w:t xml:space="preserve"> </w:t>
      </w:r>
      <w:r w:rsidRPr="00B004EE">
        <w:rPr>
          <w:rFonts w:ascii="Tahoma" w:hAnsi="Tahoma" w:cs="Tahoma"/>
          <w:bCs/>
          <w:sz w:val="20"/>
          <w:szCs w:val="20"/>
        </w:rPr>
        <w:t>connaissance</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l’IMROP</w:t>
      </w:r>
      <w:r w:rsidR="00DB1635" w:rsidRPr="00B004EE">
        <w:rPr>
          <w:rFonts w:ascii="Tahoma" w:hAnsi="Tahoma" w:cs="Tahoma"/>
          <w:bCs/>
          <w:sz w:val="20"/>
          <w:szCs w:val="20"/>
        </w:rPr>
        <w:t xml:space="preserve"> </w:t>
      </w:r>
      <w:r w:rsidRPr="00B004EE">
        <w:rPr>
          <w:rFonts w:ascii="Tahoma" w:hAnsi="Tahoma" w:cs="Tahoma"/>
          <w:bCs/>
          <w:sz w:val="20"/>
          <w:szCs w:val="20"/>
        </w:rPr>
        <w:t>(Nouadhibou).</w:t>
      </w:r>
      <w:r w:rsidR="00DB1635" w:rsidRPr="00B004EE">
        <w:rPr>
          <w:rFonts w:ascii="Tahoma" w:hAnsi="Tahoma" w:cs="Tahoma"/>
          <w:bCs/>
          <w:sz w:val="20"/>
          <w:szCs w:val="20"/>
        </w:rPr>
        <w:t xml:space="preserve"> </w:t>
      </w:r>
      <w:r w:rsidRPr="00B004EE">
        <w:rPr>
          <w:rFonts w:ascii="Tahoma" w:hAnsi="Tahoma" w:cs="Tahoma"/>
          <w:bCs/>
          <w:sz w:val="20"/>
          <w:szCs w:val="20"/>
        </w:rPr>
        <w:t>Si</w:t>
      </w:r>
      <w:r w:rsidR="00DB1635" w:rsidRPr="00B004EE">
        <w:rPr>
          <w:rFonts w:ascii="Tahoma" w:hAnsi="Tahoma" w:cs="Tahoma"/>
          <w:bCs/>
          <w:sz w:val="20"/>
          <w:szCs w:val="20"/>
        </w:rPr>
        <w:t xml:space="preserve"> </w:t>
      </w:r>
      <w:r w:rsidRPr="00B004EE">
        <w:rPr>
          <w:rFonts w:ascii="Tahoma" w:hAnsi="Tahoma" w:cs="Tahoma"/>
          <w:bCs/>
          <w:sz w:val="20"/>
          <w:szCs w:val="20"/>
        </w:rPr>
        <w:t>l’importance</w:t>
      </w:r>
      <w:r w:rsidR="00DB1635" w:rsidRPr="00B004EE">
        <w:rPr>
          <w:rFonts w:ascii="Tahoma" w:hAnsi="Tahoma" w:cs="Tahoma"/>
          <w:bCs/>
          <w:sz w:val="20"/>
          <w:szCs w:val="20"/>
        </w:rPr>
        <w:t xml:space="preserve"> </w:t>
      </w:r>
      <w:r w:rsidRPr="00B004EE">
        <w:rPr>
          <w:rFonts w:ascii="Tahoma" w:hAnsi="Tahoma" w:cs="Tahoma"/>
          <w:bCs/>
          <w:sz w:val="20"/>
          <w:szCs w:val="20"/>
        </w:rPr>
        <w:t>ou</w:t>
      </w:r>
      <w:r w:rsidR="00DB1635" w:rsidRPr="00B004EE">
        <w:rPr>
          <w:rFonts w:ascii="Tahoma" w:hAnsi="Tahoma" w:cs="Tahoma"/>
          <w:bCs/>
          <w:sz w:val="20"/>
          <w:szCs w:val="20"/>
        </w:rPr>
        <w:t xml:space="preserve"> </w:t>
      </w:r>
      <w:r w:rsidRPr="00B004EE">
        <w:rPr>
          <w:rFonts w:ascii="Tahoma" w:hAnsi="Tahoma" w:cs="Tahoma"/>
          <w:bCs/>
          <w:sz w:val="20"/>
          <w:szCs w:val="20"/>
        </w:rPr>
        <w:t>la</w:t>
      </w:r>
      <w:r w:rsidR="00DB1635" w:rsidRPr="00B004EE">
        <w:rPr>
          <w:rFonts w:ascii="Tahoma" w:hAnsi="Tahoma" w:cs="Tahoma"/>
          <w:bCs/>
          <w:sz w:val="20"/>
          <w:szCs w:val="20"/>
        </w:rPr>
        <w:t xml:space="preserve"> </w:t>
      </w:r>
      <w:r w:rsidRPr="00B004EE">
        <w:rPr>
          <w:rFonts w:ascii="Tahoma" w:hAnsi="Tahoma" w:cs="Tahoma"/>
          <w:bCs/>
          <w:sz w:val="20"/>
          <w:szCs w:val="20"/>
        </w:rPr>
        <w:t>nature</w:t>
      </w:r>
      <w:r w:rsidR="00DB1635" w:rsidRPr="00B004EE">
        <w:rPr>
          <w:rFonts w:ascii="Tahoma" w:hAnsi="Tahoma" w:cs="Tahoma"/>
          <w:bCs/>
          <w:sz w:val="20"/>
          <w:szCs w:val="20"/>
        </w:rPr>
        <w:t xml:space="preserve"> </w:t>
      </w:r>
      <w:r w:rsidRPr="00B004EE">
        <w:rPr>
          <w:rFonts w:ascii="Tahoma" w:hAnsi="Tahoma" w:cs="Tahoma"/>
          <w:bCs/>
          <w:sz w:val="20"/>
          <w:szCs w:val="20"/>
        </w:rPr>
        <w:t>des</w:t>
      </w:r>
      <w:r w:rsidR="00DB1635" w:rsidRPr="00B004EE">
        <w:rPr>
          <w:rFonts w:ascii="Tahoma" w:hAnsi="Tahoma" w:cs="Tahoma"/>
          <w:bCs/>
          <w:sz w:val="20"/>
          <w:szCs w:val="20"/>
        </w:rPr>
        <w:t xml:space="preserve"> </w:t>
      </w:r>
      <w:r w:rsidRPr="00B004EE">
        <w:rPr>
          <w:rFonts w:ascii="Tahoma" w:hAnsi="Tahoma" w:cs="Tahoma"/>
          <w:bCs/>
          <w:sz w:val="20"/>
          <w:szCs w:val="20"/>
        </w:rPr>
        <w:t>modifications</w:t>
      </w:r>
      <w:r w:rsidR="00DB1635" w:rsidRPr="00B004EE">
        <w:rPr>
          <w:rFonts w:ascii="Tahoma" w:hAnsi="Tahoma" w:cs="Tahoma"/>
          <w:bCs/>
          <w:sz w:val="20"/>
          <w:szCs w:val="20"/>
        </w:rPr>
        <w:t xml:space="preserve"> </w:t>
      </w:r>
      <w:r w:rsidRPr="00B004EE">
        <w:rPr>
          <w:rFonts w:ascii="Tahoma" w:hAnsi="Tahoma" w:cs="Tahoma"/>
          <w:bCs/>
          <w:sz w:val="20"/>
          <w:szCs w:val="20"/>
        </w:rPr>
        <w:t>le</w:t>
      </w:r>
      <w:r w:rsidR="00DB1635" w:rsidRPr="00B004EE">
        <w:rPr>
          <w:rFonts w:ascii="Tahoma" w:hAnsi="Tahoma" w:cs="Tahoma"/>
          <w:bCs/>
          <w:sz w:val="20"/>
          <w:szCs w:val="20"/>
        </w:rPr>
        <w:t xml:space="preserve"> </w:t>
      </w:r>
      <w:r w:rsidRPr="00B004EE">
        <w:rPr>
          <w:rFonts w:ascii="Tahoma" w:hAnsi="Tahoma" w:cs="Tahoma"/>
          <w:bCs/>
          <w:sz w:val="20"/>
          <w:szCs w:val="20"/>
        </w:rPr>
        <w:t>justifie,</w:t>
      </w:r>
      <w:r w:rsidR="00DB1635" w:rsidRPr="00B004EE">
        <w:rPr>
          <w:rFonts w:ascii="Tahoma" w:hAnsi="Tahoma" w:cs="Tahoma"/>
          <w:bCs/>
          <w:sz w:val="20"/>
          <w:szCs w:val="20"/>
        </w:rPr>
        <w:t xml:space="preserve"> </w:t>
      </w:r>
      <w:r w:rsidRPr="00B004EE">
        <w:rPr>
          <w:rFonts w:ascii="Tahoma" w:hAnsi="Tahoma" w:cs="Tahoma"/>
          <w:bCs/>
          <w:sz w:val="20"/>
          <w:szCs w:val="20"/>
        </w:rPr>
        <w:t>l’autorité</w:t>
      </w:r>
      <w:r w:rsidR="00DB1635" w:rsidRPr="00B004EE">
        <w:rPr>
          <w:rFonts w:ascii="Tahoma" w:hAnsi="Tahoma" w:cs="Tahoma"/>
          <w:bCs/>
          <w:sz w:val="20"/>
          <w:szCs w:val="20"/>
        </w:rPr>
        <w:t xml:space="preserve"> </w:t>
      </w:r>
      <w:r w:rsidRPr="00B004EE">
        <w:rPr>
          <w:rFonts w:ascii="Tahoma" w:hAnsi="Tahoma" w:cs="Tahoma"/>
          <w:bCs/>
          <w:sz w:val="20"/>
          <w:szCs w:val="20"/>
        </w:rPr>
        <w:t>compétente</w:t>
      </w:r>
      <w:r w:rsidR="00DB1635" w:rsidRPr="00B004EE">
        <w:rPr>
          <w:rFonts w:ascii="Tahoma" w:hAnsi="Tahoma" w:cs="Tahoma"/>
          <w:bCs/>
          <w:sz w:val="20"/>
          <w:szCs w:val="20"/>
        </w:rPr>
        <w:t xml:space="preserve"> </w:t>
      </w:r>
      <w:r w:rsidRPr="00B004EE">
        <w:rPr>
          <w:rFonts w:ascii="Tahoma" w:hAnsi="Tahoma" w:cs="Tahoma"/>
          <w:bCs/>
          <w:sz w:val="20"/>
          <w:szCs w:val="20"/>
        </w:rPr>
        <w:t>peut</w:t>
      </w:r>
      <w:r w:rsidR="00DB1635" w:rsidRPr="00B004EE">
        <w:rPr>
          <w:rFonts w:ascii="Tahoma" w:hAnsi="Tahoma" w:cs="Tahoma"/>
          <w:bCs/>
          <w:sz w:val="20"/>
          <w:szCs w:val="20"/>
        </w:rPr>
        <w:t xml:space="preserve"> </w:t>
      </w:r>
      <w:r w:rsidRPr="00B004EE">
        <w:rPr>
          <w:rFonts w:ascii="Tahoma" w:hAnsi="Tahoma" w:cs="Tahoma"/>
          <w:bCs/>
          <w:sz w:val="20"/>
          <w:szCs w:val="20"/>
        </w:rPr>
        <w:t>demander</w:t>
      </w:r>
      <w:r w:rsidR="00DB1635" w:rsidRPr="00B004EE">
        <w:rPr>
          <w:rFonts w:ascii="Tahoma" w:hAnsi="Tahoma" w:cs="Tahoma"/>
          <w:bCs/>
          <w:sz w:val="20"/>
          <w:szCs w:val="20"/>
        </w:rPr>
        <w:t xml:space="preserve"> </w:t>
      </w:r>
      <w:r w:rsidRPr="00B004EE">
        <w:rPr>
          <w:rFonts w:ascii="Tahoma" w:hAnsi="Tahoma" w:cs="Tahoma"/>
          <w:bCs/>
          <w:sz w:val="20"/>
          <w:szCs w:val="20"/>
        </w:rPr>
        <w:t>au</w:t>
      </w:r>
      <w:r w:rsidR="00DB1635" w:rsidRPr="00B004EE">
        <w:rPr>
          <w:rFonts w:ascii="Tahoma" w:hAnsi="Tahoma" w:cs="Tahoma"/>
          <w:bCs/>
          <w:sz w:val="20"/>
          <w:szCs w:val="20"/>
        </w:rPr>
        <w:t xml:space="preserve"> </w:t>
      </w:r>
      <w:r w:rsidRPr="00B004EE">
        <w:rPr>
          <w:rFonts w:ascii="Tahoma" w:hAnsi="Tahoma" w:cs="Tahoma"/>
          <w:bCs/>
          <w:sz w:val="20"/>
          <w:szCs w:val="20"/>
        </w:rPr>
        <w:t>responsable</w:t>
      </w:r>
      <w:r w:rsidR="00DB1635" w:rsidRPr="00B004EE">
        <w:rPr>
          <w:rFonts w:ascii="Tahoma" w:hAnsi="Tahoma" w:cs="Tahoma"/>
          <w:bCs/>
          <w:sz w:val="20"/>
          <w:szCs w:val="20"/>
        </w:rPr>
        <w:t xml:space="preserve"> </w:t>
      </w:r>
      <w:r w:rsidRPr="00B004EE">
        <w:rPr>
          <w:rFonts w:ascii="Tahoma" w:hAnsi="Tahoma" w:cs="Tahoma"/>
          <w:bCs/>
          <w:sz w:val="20"/>
          <w:szCs w:val="20"/>
        </w:rPr>
        <w:t>du</w:t>
      </w:r>
      <w:r w:rsidR="00DB1635" w:rsidRPr="00B004EE">
        <w:rPr>
          <w:rFonts w:ascii="Tahoma" w:hAnsi="Tahoma" w:cs="Tahoma"/>
          <w:bCs/>
          <w:sz w:val="20"/>
          <w:szCs w:val="20"/>
        </w:rPr>
        <w:t xml:space="preserve"> </w:t>
      </w:r>
      <w:r w:rsidRPr="00B004EE">
        <w:rPr>
          <w:rFonts w:ascii="Tahoma" w:hAnsi="Tahoma" w:cs="Tahoma"/>
          <w:bCs/>
          <w:sz w:val="20"/>
          <w:szCs w:val="20"/>
        </w:rPr>
        <w:t>laboratoire</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déposer</w:t>
      </w:r>
      <w:r w:rsidR="00DB1635" w:rsidRPr="00B004EE">
        <w:rPr>
          <w:rFonts w:ascii="Tahoma" w:hAnsi="Tahoma" w:cs="Tahoma"/>
          <w:bCs/>
          <w:sz w:val="20"/>
          <w:szCs w:val="20"/>
        </w:rPr>
        <w:t xml:space="preserve"> </w:t>
      </w:r>
      <w:r w:rsidRPr="00B004EE">
        <w:rPr>
          <w:rFonts w:ascii="Tahoma" w:hAnsi="Tahoma" w:cs="Tahoma"/>
          <w:bCs/>
          <w:sz w:val="20"/>
          <w:szCs w:val="20"/>
        </w:rPr>
        <w:t>dans</w:t>
      </w:r>
      <w:r w:rsidR="00DB1635" w:rsidRPr="00B004EE">
        <w:rPr>
          <w:rFonts w:ascii="Tahoma" w:hAnsi="Tahoma" w:cs="Tahoma"/>
          <w:bCs/>
          <w:sz w:val="20"/>
          <w:szCs w:val="20"/>
        </w:rPr>
        <w:t xml:space="preserve"> </w:t>
      </w:r>
      <w:r w:rsidRPr="00B004EE">
        <w:rPr>
          <w:rFonts w:ascii="Tahoma" w:hAnsi="Tahoma" w:cs="Tahoma"/>
          <w:bCs/>
          <w:sz w:val="20"/>
          <w:szCs w:val="20"/>
        </w:rPr>
        <w:t>un</w:t>
      </w:r>
      <w:r w:rsidR="00DB1635" w:rsidRPr="00B004EE">
        <w:rPr>
          <w:rFonts w:ascii="Tahoma" w:hAnsi="Tahoma" w:cs="Tahoma"/>
          <w:bCs/>
          <w:sz w:val="20"/>
          <w:szCs w:val="20"/>
        </w:rPr>
        <w:t xml:space="preserve"> </w:t>
      </w:r>
      <w:r w:rsidRPr="00B004EE">
        <w:rPr>
          <w:rFonts w:ascii="Tahoma" w:hAnsi="Tahoma" w:cs="Tahoma"/>
          <w:bCs/>
          <w:sz w:val="20"/>
          <w:szCs w:val="20"/>
        </w:rPr>
        <w:t>délai</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six</w:t>
      </w:r>
      <w:r w:rsidR="00DB1635" w:rsidRPr="00B004EE">
        <w:rPr>
          <w:rFonts w:ascii="Tahoma" w:hAnsi="Tahoma" w:cs="Tahoma"/>
          <w:bCs/>
          <w:sz w:val="20"/>
          <w:szCs w:val="20"/>
        </w:rPr>
        <w:t xml:space="preserve"> </w:t>
      </w:r>
      <w:r w:rsidRPr="00B004EE">
        <w:rPr>
          <w:rFonts w:ascii="Tahoma" w:hAnsi="Tahoma" w:cs="Tahoma"/>
          <w:bCs/>
          <w:sz w:val="20"/>
          <w:szCs w:val="20"/>
        </w:rPr>
        <w:t>mois</w:t>
      </w:r>
      <w:r w:rsidR="00DB1635" w:rsidRPr="00B004EE">
        <w:rPr>
          <w:rFonts w:ascii="Tahoma" w:hAnsi="Tahoma" w:cs="Tahoma"/>
          <w:bCs/>
          <w:sz w:val="20"/>
          <w:szCs w:val="20"/>
        </w:rPr>
        <w:t xml:space="preserve"> </w:t>
      </w:r>
      <w:r w:rsidRPr="00B004EE">
        <w:rPr>
          <w:rFonts w:ascii="Tahoma" w:hAnsi="Tahoma" w:cs="Tahoma"/>
          <w:bCs/>
          <w:sz w:val="20"/>
          <w:szCs w:val="20"/>
        </w:rPr>
        <w:t>une</w:t>
      </w:r>
      <w:r w:rsidR="00DB1635" w:rsidRPr="00B004EE">
        <w:rPr>
          <w:rFonts w:ascii="Tahoma" w:hAnsi="Tahoma" w:cs="Tahoma"/>
          <w:bCs/>
          <w:sz w:val="20"/>
          <w:szCs w:val="20"/>
        </w:rPr>
        <w:t xml:space="preserve"> </w:t>
      </w:r>
      <w:r w:rsidRPr="00B004EE">
        <w:rPr>
          <w:rFonts w:ascii="Tahoma" w:hAnsi="Tahoma" w:cs="Tahoma"/>
          <w:bCs/>
          <w:sz w:val="20"/>
          <w:szCs w:val="20"/>
        </w:rPr>
        <w:t>nouvelle</w:t>
      </w:r>
      <w:r w:rsidR="00DB1635" w:rsidRPr="00B004EE">
        <w:rPr>
          <w:rFonts w:ascii="Tahoma" w:hAnsi="Tahoma" w:cs="Tahoma"/>
          <w:bCs/>
          <w:sz w:val="20"/>
          <w:szCs w:val="20"/>
        </w:rPr>
        <w:t xml:space="preserve"> </w:t>
      </w:r>
      <w:r w:rsidRPr="00B004EE">
        <w:rPr>
          <w:rFonts w:ascii="Tahoma" w:hAnsi="Tahoma" w:cs="Tahoma"/>
          <w:bCs/>
          <w:sz w:val="20"/>
          <w:szCs w:val="20"/>
        </w:rPr>
        <w:t>demande</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reconnaissance.</w:t>
      </w:r>
    </w:p>
    <w:p w14:paraId="1AAB83F7" w14:textId="77777777" w:rsidR="002F24E1" w:rsidRPr="00B004EE" w:rsidRDefault="002F24E1" w:rsidP="00B004EE">
      <w:pPr>
        <w:autoSpaceDE w:val="0"/>
        <w:autoSpaceDN w:val="0"/>
        <w:adjustRightInd w:val="0"/>
        <w:jc w:val="both"/>
        <w:rPr>
          <w:rFonts w:ascii="Tahoma" w:hAnsi="Tahoma" w:cs="Tahoma"/>
          <w:bCs/>
          <w:sz w:val="20"/>
          <w:szCs w:val="20"/>
        </w:rPr>
      </w:pPr>
    </w:p>
    <w:p w14:paraId="40F26356" w14:textId="092A2EAC" w:rsidR="002F24E1" w:rsidRPr="00B004EE" w:rsidRDefault="002F24E1" w:rsidP="00B004EE">
      <w:pPr>
        <w:autoSpaceDE w:val="0"/>
        <w:autoSpaceDN w:val="0"/>
        <w:adjustRightInd w:val="0"/>
        <w:jc w:val="both"/>
        <w:rPr>
          <w:rFonts w:ascii="Tahoma" w:hAnsi="Tahoma" w:cs="Tahoma"/>
          <w:bCs/>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24.</w:t>
      </w:r>
      <w:r w:rsidR="00DB1635" w:rsidRPr="00B004EE">
        <w:rPr>
          <w:rFonts w:ascii="Tahoma" w:hAnsi="Tahoma" w:cs="Tahoma"/>
          <w:bCs/>
          <w:sz w:val="20"/>
          <w:szCs w:val="20"/>
        </w:rPr>
        <w:t xml:space="preserve"> </w:t>
      </w:r>
      <w:r w:rsidRPr="00B004EE">
        <w:rPr>
          <w:rFonts w:ascii="Tahoma" w:hAnsi="Tahoma" w:cs="Tahoma"/>
          <w:bCs/>
          <w:sz w:val="20"/>
          <w:szCs w:val="20"/>
        </w:rPr>
        <w:t>A</w:t>
      </w:r>
      <w:r w:rsidR="00DB1635" w:rsidRPr="00B004EE">
        <w:rPr>
          <w:rFonts w:ascii="Tahoma" w:hAnsi="Tahoma" w:cs="Tahoma"/>
          <w:bCs/>
          <w:sz w:val="20"/>
          <w:szCs w:val="20"/>
        </w:rPr>
        <w:t xml:space="preserve"> </w:t>
      </w:r>
      <w:r w:rsidRPr="00B004EE">
        <w:rPr>
          <w:rFonts w:ascii="Tahoma" w:hAnsi="Tahoma" w:cs="Tahoma"/>
          <w:bCs/>
          <w:sz w:val="20"/>
          <w:szCs w:val="20"/>
        </w:rPr>
        <w:t>tout</w:t>
      </w:r>
      <w:r w:rsidR="00DB1635" w:rsidRPr="00B004EE">
        <w:rPr>
          <w:rFonts w:ascii="Tahoma" w:hAnsi="Tahoma" w:cs="Tahoma"/>
          <w:bCs/>
          <w:sz w:val="20"/>
          <w:szCs w:val="20"/>
        </w:rPr>
        <w:t xml:space="preserve"> </w:t>
      </w:r>
      <w:r w:rsidRPr="00B004EE">
        <w:rPr>
          <w:rFonts w:ascii="Tahoma" w:hAnsi="Tahoma" w:cs="Tahoma"/>
          <w:bCs/>
          <w:sz w:val="20"/>
          <w:szCs w:val="20"/>
        </w:rPr>
        <w:t>moment,</w:t>
      </w:r>
      <w:r w:rsidR="00DB1635" w:rsidRPr="00B004EE">
        <w:rPr>
          <w:rFonts w:ascii="Tahoma" w:hAnsi="Tahoma" w:cs="Tahoma"/>
          <w:bCs/>
          <w:sz w:val="20"/>
          <w:szCs w:val="20"/>
        </w:rPr>
        <w:t xml:space="preserve"> </w:t>
      </w:r>
      <w:r w:rsidRPr="00B004EE">
        <w:rPr>
          <w:rFonts w:ascii="Tahoma" w:hAnsi="Tahoma" w:cs="Tahoma"/>
          <w:bCs/>
          <w:sz w:val="20"/>
          <w:szCs w:val="20"/>
        </w:rPr>
        <w:t>en</w:t>
      </w:r>
      <w:r w:rsidR="00DB1635" w:rsidRPr="00B004EE">
        <w:rPr>
          <w:rFonts w:ascii="Tahoma" w:hAnsi="Tahoma" w:cs="Tahoma"/>
          <w:bCs/>
          <w:sz w:val="20"/>
          <w:szCs w:val="20"/>
        </w:rPr>
        <w:t xml:space="preserve"> </w:t>
      </w:r>
      <w:r w:rsidRPr="00B004EE">
        <w:rPr>
          <w:rFonts w:ascii="Tahoma" w:hAnsi="Tahoma" w:cs="Tahoma"/>
          <w:bCs/>
          <w:sz w:val="20"/>
          <w:szCs w:val="20"/>
        </w:rPr>
        <w:t>cas</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manquement</w:t>
      </w:r>
      <w:r w:rsidR="00DB1635" w:rsidRPr="00B004EE">
        <w:rPr>
          <w:rFonts w:ascii="Tahoma" w:hAnsi="Tahoma" w:cs="Tahoma"/>
          <w:bCs/>
          <w:sz w:val="20"/>
          <w:szCs w:val="20"/>
        </w:rPr>
        <w:t xml:space="preserve"> </w:t>
      </w:r>
      <w:r w:rsidRPr="00B004EE">
        <w:rPr>
          <w:rFonts w:ascii="Tahoma" w:hAnsi="Tahoma" w:cs="Tahoma"/>
          <w:bCs/>
          <w:sz w:val="20"/>
          <w:szCs w:val="20"/>
        </w:rPr>
        <w:t>aux</w:t>
      </w:r>
      <w:r w:rsidR="00DB1635" w:rsidRPr="00B004EE">
        <w:rPr>
          <w:rFonts w:ascii="Tahoma" w:hAnsi="Tahoma" w:cs="Tahoma"/>
          <w:bCs/>
          <w:sz w:val="20"/>
          <w:szCs w:val="20"/>
        </w:rPr>
        <w:t xml:space="preserve"> </w:t>
      </w:r>
      <w:r w:rsidRPr="00B004EE">
        <w:rPr>
          <w:rFonts w:ascii="Tahoma" w:hAnsi="Tahoma" w:cs="Tahoma"/>
          <w:bCs/>
          <w:sz w:val="20"/>
          <w:szCs w:val="20"/>
        </w:rPr>
        <w:t>obligations</w:t>
      </w:r>
      <w:r w:rsidR="00DB1635" w:rsidRPr="00B004EE">
        <w:rPr>
          <w:rFonts w:ascii="Tahoma" w:hAnsi="Tahoma" w:cs="Tahoma"/>
          <w:bCs/>
          <w:sz w:val="20"/>
          <w:szCs w:val="20"/>
        </w:rPr>
        <w:t xml:space="preserve"> </w:t>
      </w:r>
      <w:r w:rsidRPr="00B004EE">
        <w:rPr>
          <w:rFonts w:ascii="Tahoma" w:hAnsi="Tahoma" w:cs="Tahoma"/>
          <w:bCs/>
          <w:sz w:val="20"/>
          <w:szCs w:val="20"/>
        </w:rPr>
        <w:t>résultant</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la</w:t>
      </w:r>
      <w:r w:rsidR="00DB1635" w:rsidRPr="00B004EE">
        <w:rPr>
          <w:rFonts w:ascii="Tahoma" w:hAnsi="Tahoma" w:cs="Tahoma"/>
          <w:bCs/>
          <w:sz w:val="20"/>
          <w:szCs w:val="20"/>
        </w:rPr>
        <w:t xml:space="preserve"> </w:t>
      </w:r>
      <w:r w:rsidRPr="00B004EE">
        <w:rPr>
          <w:rFonts w:ascii="Tahoma" w:hAnsi="Tahoma" w:cs="Tahoma"/>
          <w:bCs/>
          <w:sz w:val="20"/>
          <w:szCs w:val="20"/>
        </w:rPr>
        <w:t>présente</w:t>
      </w:r>
      <w:r w:rsidR="00DB1635" w:rsidRPr="00B004EE">
        <w:rPr>
          <w:rFonts w:ascii="Tahoma" w:hAnsi="Tahoma" w:cs="Tahoma"/>
          <w:bCs/>
          <w:sz w:val="20"/>
          <w:szCs w:val="20"/>
        </w:rPr>
        <w:t xml:space="preserve"> </w:t>
      </w:r>
      <w:r w:rsidRPr="00B004EE">
        <w:rPr>
          <w:rFonts w:ascii="Tahoma" w:hAnsi="Tahoma" w:cs="Tahoma"/>
          <w:bCs/>
          <w:sz w:val="20"/>
          <w:szCs w:val="20"/>
        </w:rPr>
        <w:t>section</w:t>
      </w:r>
      <w:r w:rsidR="00DB1635" w:rsidRPr="00B004EE">
        <w:rPr>
          <w:rFonts w:ascii="Tahoma" w:hAnsi="Tahoma" w:cs="Tahoma"/>
          <w:bCs/>
          <w:sz w:val="20"/>
          <w:szCs w:val="20"/>
        </w:rPr>
        <w:t xml:space="preserve"> </w:t>
      </w:r>
      <w:r w:rsidRPr="00B004EE">
        <w:rPr>
          <w:rFonts w:ascii="Tahoma" w:hAnsi="Tahoma" w:cs="Tahoma"/>
          <w:bCs/>
          <w:sz w:val="20"/>
          <w:szCs w:val="20"/>
        </w:rPr>
        <w:t>et</w:t>
      </w:r>
      <w:r w:rsidR="00DB1635" w:rsidRPr="00B004EE">
        <w:rPr>
          <w:rFonts w:ascii="Tahoma" w:hAnsi="Tahoma" w:cs="Tahoma"/>
          <w:bCs/>
          <w:sz w:val="20"/>
          <w:szCs w:val="20"/>
        </w:rPr>
        <w:t xml:space="preserve"> </w:t>
      </w:r>
      <w:r w:rsidRPr="00B004EE">
        <w:rPr>
          <w:rFonts w:ascii="Tahoma" w:hAnsi="Tahoma" w:cs="Tahoma"/>
          <w:bCs/>
          <w:sz w:val="20"/>
          <w:szCs w:val="20"/>
        </w:rPr>
        <w:t>des</w:t>
      </w:r>
      <w:r w:rsidR="00DB1635" w:rsidRPr="00B004EE">
        <w:rPr>
          <w:rFonts w:ascii="Tahoma" w:hAnsi="Tahoma" w:cs="Tahoma"/>
          <w:bCs/>
          <w:sz w:val="20"/>
          <w:szCs w:val="20"/>
        </w:rPr>
        <w:t xml:space="preserve"> </w:t>
      </w:r>
      <w:r w:rsidRPr="00B004EE">
        <w:rPr>
          <w:rFonts w:ascii="Tahoma" w:hAnsi="Tahoma" w:cs="Tahoma"/>
          <w:bCs/>
          <w:sz w:val="20"/>
          <w:szCs w:val="20"/>
        </w:rPr>
        <w:t>textes</w:t>
      </w:r>
      <w:r w:rsidR="00DB1635" w:rsidRPr="00B004EE">
        <w:rPr>
          <w:rFonts w:ascii="Tahoma" w:hAnsi="Tahoma" w:cs="Tahoma"/>
          <w:bCs/>
          <w:sz w:val="20"/>
          <w:szCs w:val="20"/>
        </w:rPr>
        <w:t xml:space="preserve"> </w:t>
      </w:r>
      <w:r w:rsidRPr="00B004EE">
        <w:rPr>
          <w:rFonts w:ascii="Tahoma" w:hAnsi="Tahoma" w:cs="Tahoma"/>
          <w:bCs/>
          <w:sz w:val="20"/>
          <w:szCs w:val="20"/>
        </w:rPr>
        <w:t>pris</w:t>
      </w:r>
      <w:r w:rsidR="00DB1635" w:rsidRPr="00B004EE">
        <w:rPr>
          <w:rFonts w:ascii="Tahoma" w:hAnsi="Tahoma" w:cs="Tahoma"/>
          <w:bCs/>
          <w:sz w:val="20"/>
          <w:szCs w:val="20"/>
        </w:rPr>
        <w:t xml:space="preserve"> </w:t>
      </w:r>
      <w:r w:rsidRPr="00B004EE">
        <w:rPr>
          <w:rFonts w:ascii="Tahoma" w:hAnsi="Tahoma" w:cs="Tahoma"/>
          <w:bCs/>
          <w:sz w:val="20"/>
          <w:szCs w:val="20"/>
        </w:rPr>
        <w:t>pour</w:t>
      </w:r>
      <w:r w:rsidR="00DB1635" w:rsidRPr="00B004EE">
        <w:rPr>
          <w:rFonts w:ascii="Tahoma" w:hAnsi="Tahoma" w:cs="Tahoma"/>
          <w:bCs/>
          <w:sz w:val="20"/>
          <w:szCs w:val="20"/>
        </w:rPr>
        <w:t xml:space="preserve"> </w:t>
      </w:r>
      <w:r w:rsidRPr="00B004EE">
        <w:rPr>
          <w:rFonts w:ascii="Tahoma" w:hAnsi="Tahoma" w:cs="Tahoma"/>
          <w:bCs/>
          <w:sz w:val="20"/>
          <w:szCs w:val="20"/>
        </w:rPr>
        <w:t>son</w:t>
      </w:r>
      <w:r w:rsidR="00DB1635" w:rsidRPr="00B004EE">
        <w:rPr>
          <w:rFonts w:ascii="Tahoma" w:hAnsi="Tahoma" w:cs="Tahoma"/>
          <w:bCs/>
          <w:sz w:val="20"/>
          <w:szCs w:val="20"/>
        </w:rPr>
        <w:t xml:space="preserve"> </w:t>
      </w:r>
      <w:r w:rsidRPr="00B004EE">
        <w:rPr>
          <w:rFonts w:ascii="Tahoma" w:hAnsi="Tahoma" w:cs="Tahoma"/>
          <w:bCs/>
          <w:sz w:val="20"/>
          <w:szCs w:val="20"/>
        </w:rPr>
        <w:t>application,</w:t>
      </w:r>
      <w:r w:rsidR="00DB1635" w:rsidRPr="00B004EE">
        <w:rPr>
          <w:rFonts w:ascii="Tahoma" w:hAnsi="Tahoma" w:cs="Tahoma"/>
          <w:bCs/>
          <w:sz w:val="20"/>
          <w:szCs w:val="20"/>
        </w:rPr>
        <w:t xml:space="preserve"> </w:t>
      </w:r>
      <w:r w:rsidRPr="00B004EE">
        <w:rPr>
          <w:rFonts w:ascii="Tahoma" w:hAnsi="Tahoma" w:cs="Tahoma"/>
          <w:bCs/>
          <w:sz w:val="20"/>
          <w:szCs w:val="20"/>
        </w:rPr>
        <w:t>l’autorité</w:t>
      </w:r>
      <w:r w:rsidR="00DB1635" w:rsidRPr="00B004EE">
        <w:rPr>
          <w:rFonts w:ascii="Tahoma" w:hAnsi="Tahoma" w:cs="Tahoma"/>
          <w:bCs/>
          <w:sz w:val="20"/>
          <w:szCs w:val="20"/>
        </w:rPr>
        <w:t xml:space="preserve"> </w:t>
      </w:r>
      <w:r w:rsidRPr="00B004EE">
        <w:rPr>
          <w:rFonts w:ascii="Tahoma" w:hAnsi="Tahoma" w:cs="Tahoma"/>
          <w:bCs/>
          <w:sz w:val="20"/>
          <w:szCs w:val="20"/>
        </w:rPr>
        <w:t>compétente</w:t>
      </w:r>
      <w:r w:rsidR="00DB1635" w:rsidRPr="00B004EE">
        <w:rPr>
          <w:rFonts w:ascii="Tahoma" w:hAnsi="Tahoma" w:cs="Tahoma"/>
          <w:bCs/>
          <w:sz w:val="20"/>
          <w:szCs w:val="20"/>
        </w:rPr>
        <w:t xml:space="preserve"> </w:t>
      </w:r>
      <w:r w:rsidRPr="00B004EE">
        <w:rPr>
          <w:rFonts w:ascii="Tahoma" w:hAnsi="Tahoma" w:cs="Tahoma"/>
          <w:bCs/>
          <w:sz w:val="20"/>
          <w:szCs w:val="20"/>
        </w:rPr>
        <w:t>qui</w:t>
      </w:r>
      <w:r w:rsidR="00DB1635" w:rsidRPr="00B004EE">
        <w:rPr>
          <w:rFonts w:ascii="Tahoma" w:hAnsi="Tahoma" w:cs="Tahoma"/>
          <w:bCs/>
          <w:sz w:val="20"/>
          <w:szCs w:val="20"/>
        </w:rPr>
        <w:t xml:space="preserve"> </w:t>
      </w:r>
      <w:r w:rsidRPr="00B004EE">
        <w:rPr>
          <w:rFonts w:ascii="Tahoma" w:hAnsi="Tahoma" w:cs="Tahoma"/>
          <w:bCs/>
          <w:sz w:val="20"/>
          <w:szCs w:val="20"/>
        </w:rPr>
        <w:t>a</w:t>
      </w:r>
      <w:r w:rsidR="00DB1635" w:rsidRPr="00B004EE">
        <w:rPr>
          <w:rFonts w:ascii="Tahoma" w:hAnsi="Tahoma" w:cs="Tahoma"/>
          <w:bCs/>
          <w:sz w:val="20"/>
          <w:szCs w:val="20"/>
        </w:rPr>
        <w:t xml:space="preserve"> </w:t>
      </w:r>
      <w:r w:rsidRPr="00B004EE">
        <w:rPr>
          <w:rFonts w:ascii="Tahoma" w:hAnsi="Tahoma" w:cs="Tahoma"/>
          <w:bCs/>
          <w:sz w:val="20"/>
          <w:szCs w:val="20"/>
        </w:rPr>
        <w:t>accordé</w:t>
      </w:r>
      <w:r w:rsidR="00DB1635" w:rsidRPr="00B004EE">
        <w:rPr>
          <w:rFonts w:ascii="Tahoma" w:hAnsi="Tahoma" w:cs="Tahoma"/>
          <w:bCs/>
          <w:sz w:val="20"/>
          <w:szCs w:val="20"/>
        </w:rPr>
        <w:t xml:space="preserve"> </w:t>
      </w:r>
      <w:r w:rsidRPr="00B004EE">
        <w:rPr>
          <w:rFonts w:ascii="Tahoma" w:hAnsi="Tahoma" w:cs="Tahoma"/>
          <w:bCs/>
          <w:sz w:val="20"/>
          <w:szCs w:val="20"/>
        </w:rPr>
        <w:t>la</w:t>
      </w:r>
      <w:r w:rsidR="00DB1635" w:rsidRPr="00B004EE">
        <w:rPr>
          <w:rFonts w:ascii="Tahoma" w:hAnsi="Tahoma" w:cs="Tahoma"/>
          <w:bCs/>
          <w:sz w:val="20"/>
          <w:szCs w:val="20"/>
        </w:rPr>
        <w:t xml:space="preserve"> </w:t>
      </w:r>
      <w:r w:rsidRPr="00B004EE">
        <w:rPr>
          <w:rFonts w:ascii="Tahoma" w:hAnsi="Tahoma" w:cs="Tahoma"/>
          <w:bCs/>
          <w:sz w:val="20"/>
          <w:szCs w:val="20"/>
        </w:rPr>
        <w:t>reconnaissance</w:t>
      </w:r>
      <w:r w:rsidR="00DB1635" w:rsidRPr="00B004EE">
        <w:rPr>
          <w:rFonts w:ascii="Tahoma" w:hAnsi="Tahoma" w:cs="Tahoma"/>
          <w:bCs/>
          <w:sz w:val="20"/>
          <w:szCs w:val="20"/>
        </w:rPr>
        <w:t xml:space="preserve"> </w:t>
      </w:r>
      <w:r w:rsidRPr="00B004EE">
        <w:rPr>
          <w:rFonts w:ascii="Tahoma" w:hAnsi="Tahoma" w:cs="Tahoma"/>
          <w:bCs/>
          <w:sz w:val="20"/>
          <w:szCs w:val="20"/>
        </w:rPr>
        <w:t>peut</w:t>
      </w:r>
      <w:r w:rsidR="00DB1635" w:rsidRPr="00B004EE">
        <w:rPr>
          <w:rFonts w:ascii="Tahoma" w:hAnsi="Tahoma" w:cs="Tahoma"/>
          <w:bCs/>
          <w:sz w:val="20"/>
          <w:szCs w:val="20"/>
        </w:rPr>
        <w:t xml:space="preserve"> </w:t>
      </w:r>
      <w:r w:rsidRPr="00B004EE">
        <w:rPr>
          <w:rFonts w:ascii="Tahoma" w:hAnsi="Tahoma" w:cs="Tahoma"/>
          <w:bCs/>
          <w:sz w:val="20"/>
          <w:szCs w:val="20"/>
        </w:rPr>
        <w:t>la</w:t>
      </w:r>
      <w:r w:rsidR="00DB1635" w:rsidRPr="00B004EE">
        <w:rPr>
          <w:rFonts w:ascii="Tahoma" w:hAnsi="Tahoma" w:cs="Tahoma"/>
          <w:bCs/>
          <w:sz w:val="20"/>
          <w:szCs w:val="20"/>
        </w:rPr>
        <w:t xml:space="preserve"> </w:t>
      </w:r>
      <w:r w:rsidRPr="00B004EE">
        <w:rPr>
          <w:rFonts w:ascii="Tahoma" w:hAnsi="Tahoma" w:cs="Tahoma"/>
          <w:bCs/>
          <w:sz w:val="20"/>
          <w:szCs w:val="20"/>
        </w:rPr>
        <w:t>suspendre</w:t>
      </w:r>
      <w:r w:rsidR="00DB1635" w:rsidRPr="00B004EE">
        <w:rPr>
          <w:rFonts w:ascii="Tahoma" w:hAnsi="Tahoma" w:cs="Tahoma"/>
          <w:bCs/>
          <w:sz w:val="20"/>
          <w:szCs w:val="20"/>
        </w:rPr>
        <w:t xml:space="preserve"> </w:t>
      </w:r>
      <w:r w:rsidRPr="00B004EE">
        <w:rPr>
          <w:rFonts w:ascii="Tahoma" w:hAnsi="Tahoma" w:cs="Tahoma"/>
          <w:bCs/>
          <w:sz w:val="20"/>
          <w:szCs w:val="20"/>
        </w:rPr>
        <w:t>ou</w:t>
      </w:r>
      <w:r w:rsidR="00DB1635" w:rsidRPr="00B004EE">
        <w:rPr>
          <w:rFonts w:ascii="Tahoma" w:hAnsi="Tahoma" w:cs="Tahoma"/>
          <w:bCs/>
          <w:sz w:val="20"/>
          <w:szCs w:val="20"/>
        </w:rPr>
        <w:t xml:space="preserve"> </w:t>
      </w:r>
      <w:r w:rsidRPr="00B004EE">
        <w:rPr>
          <w:rFonts w:ascii="Tahoma" w:hAnsi="Tahoma" w:cs="Tahoma"/>
          <w:bCs/>
          <w:sz w:val="20"/>
          <w:szCs w:val="20"/>
        </w:rPr>
        <w:t>procéder</w:t>
      </w:r>
      <w:r w:rsidR="00DB1635" w:rsidRPr="00B004EE">
        <w:rPr>
          <w:rFonts w:ascii="Tahoma" w:hAnsi="Tahoma" w:cs="Tahoma"/>
          <w:bCs/>
          <w:sz w:val="20"/>
          <w:szCs w:val="20"/>
        </w:rPr>
        <w:t xml:space="preserve"> </w:t>
      </w:r>
      <w:r w:rsidRPr="00B004EE">
        <w:rPr>
          <w:rFonts w:ascii="Tahoma" w:hAnsi="Tahoma" w:cs="Tahoma"/>
          <w:bCs/>
          <w:sz w:val="20"/>
          <w:szCs w:val="20"/>
        </w:rPr>
        <w:t>à</w:t>
      </w:r>
      <w:r w:rsidR="00DB1635" w:rsidRPr="00B004EE">
        <w:rPr>
          <w:rFonts w:ascii="Tahoma" w:hAnsi="Tahoma" w:cs="Tahoma"/>
          <w:bCs/>
          <w:sz w:val="20"/>
          <w:szCs w:val="20"/>
        </w:rPr>
        <w:t xml:space="preserve"> </w:t>
      </w:r>
      <w:r w:rsidRPr="00B004EE">
        <w:rPr>
          <w:rFonts w:ascii="Tahoma" w:hAnsi="Tahoma" w:cs="Tahoma"/>
          <w:bCs/>
          <w:sz w:val="20"/>
          <w:szCs w:val="20"/>
        </w:rPr>
        <w:t>son</w:t>
      </w:r>
      <w:r w:rsidR="00DB1635" w:rsidRPr="00B004EE">
        <w:rPr>
          <w:rFonts w:ascii="Tahoma" w:hAnsi="Tahoma" w:cs="Tahoma"/>
          <w:bCs/>
          <w:sz w:val="20"/>
          <w:szCs w:val="20"/>
        </w:rPr>
        <w:t xml:space="preserve"> </w:t>
      </w:r>
      <w:r w:rsidRPr="00B004EE">
        <w:rPr>
          <w:rFonts w:ascii="Tahoma" w:hAnsi="Tahoma" w:cs="Tahoma"/>
          <w:bCs/>
          <w:sz w:val="20"/>
          <w:szCs w:val="20"/>
        </w:rPr>
        <w:t>retrait.</w:t>
      </w:r>
    </w:p>
    <w:p w14:paraId="2DD9B475" w14:textId="77777777" w:rsidR="002F24E1" w:rsidRPr="00B004EE" w:rsidRDefault="002F24E1" w:rsidP="00B004EE">
      <w:pPr>
        <w:autoSpaceDE w:val="0"/>
        <w:autoSpaceDN w:val="0"/>
        <w:adjustRightInd w:val="0"/>
        <w:jc w:val="both"/>
        <w:rPr>
          <w:rFonts w:ascii="Tahoma" w:hAnsi="Tahoma" w:cs="Tahoma"/>
          <w:bCs/>
          <w:sz w:val="20"/>
          <w:szCs w:val="20"/>
        </w:rPr>
      </w:pPr>
    </w:p>
    <w:p w14:paraId="13ECBAA8" w14:textId="7093314C" w:rsidR="002F24E1" w:rsidRPr="00B004EE" w:rsidRDefault="002F24E1" w:rsidP="00B004EE">
      <w:pPr>
        <w:autoSpaceDE w:val="0"/>
        <w:autoSpaceDN w:val="0"/>
        <w:adjustRightInd w:val="0"/>
        <w:jc w:val="both"/>
        <w:rPr>
          <w:rFonts w:ascii="Tahoma" w:hAnsi="Tahoma" w:cs="Tahoma"/>
          <w:bCs/>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25.</w:t>
      </w:r>
      <w:r w:rsidR="00DB1635" w:rsidRPr="00B004EE">
        <w:rPr>
          <w:rFonts w:ascii="Tahoma" w:hAnsi="Tahoma" w:cs="Tahoma"/>
          <w:bCs/>
          <w:sz w:val="20"/>
          <w:szCs w:val="20"/>
        </w:rPr>
        <w:t xml:space="preserve"> </w:t>
      </w:r>
      <w:r w:rsidRPr="00B004EE">
        <w:rPr>
          <w:rFonts w:ascii="Tahoma" w:hAnsi="Tahoma" w:cs="Tahoma"/>
          <w:bCs/>
          <w:sz w:val="20"/>
          <w:szCs w:val="20"/>
        </w:rPr>
        <w:t>Tout</w:t>
      </w:r>
      <w:r w:rsidR="00DB1635" w:rsidRPr="00B004EE">
        <w:rPr>
          <w:rFonts w:ascii="Tahoma" w:hAnsi="Tahoma" w:cs="Tahoma"/>
          <w:bCs/>
          <w:sz w:val="20"/>
          <w:szCs w:val="20"/>
        </w:rPr>
        <w:t xml:space="preserve"> </w:t>
      </w:r>
      <w:r w:rsidRPr="00B004EE">
        <w:rPr>
          <w:rFonts w:ascii="Tahoma" w:hAnsi="Tahoma" w:cs="Tahoma"/>
          <w:bCs/>
          <w:sz w:val="20"/>
          <w:szCs w:val="20"/>
        </w:rPr>
        <w:t>laboratoire</w:t>
      </w:r>
      <w:r w:rsidR="00DB1635" w:rsidRPr="00B004EE">
        <w:rPr>
          <w:rFonts w:ascii="Tahoma" w:hAnsi="Tahoma" w:cs="Tahoma"/>
          <w:bCs/>
          <w:sz w:val="20"/>
          <w:szCs w:val="20"/>
        </w:rPr>
        <w:t xml:space="preserve"> </w:t>
      </w:r>
      <w:r w:rsidRPr="00B004EE">
        <w:rPr>
          <w:rFonts w:ascii="Tahoma" w:hAnsi="Tahoma" w:cs="Tahoma"/>
          <w:bCs/>
          <w:sz w:val="20"/>
          <w:szCs w:val="20"/>
        </w:rPr>
        <w:t>qui</w:t>
      </w:r>
      <w:r w:rsidR="00DB1635" w:rsidRPr="00B004EE">
        <w:rPr>
          <w:rFonts w:ascii="Tahoma" w:hAnsi="Tahoma" w:cs="Tahoma"/>
          <w:bCs/>
          <w:sz w:val="20"/>
          <w:szCs w:val="20"/>
        </w:rPr>
        <w:t xml:space="preserve"> </w:t>
      </w:r>
      <w:r w:rsidRPr="00B004EE">
        <w:rPr>
          <w:rFonts w:ascii="Tahoma" w:hAnsi="Tahoma" w:cs="Tahoma"/>
          <w:bCs/>
          <w:sz w:val="20"/>
          <w:szCs w:val="20"/>
        </w:rPr>
        <w:t>souhaite</w:t>
      </w:r>
      <w:r w:rsidR="00DB1635" w:rsidRPr="00B004EE">
        <w:rPr>
          <w:rFonts w:ascii="Tahoma" w:hAnsi="Tahoma" w:cs="Tahoma"/>
          <w:bCs/>
          <w:sz w:val="20"/>
          <w:szCs w:val="20"/>
        </w:rPr>
        <w:t xml:space="preserve"> </w:t>
      </w:r>
      <w:r w:rsidRPr="00B004EE">
        <w:rPr>
          <w:rFonts w:ascii="Tahoma" w:hAnsi="Tahoma" w:cs="Tahoma"/>
          <w:bCs/>
          <w:sz w:val="20"/>
          <w:szCs w:val="20"/>
        </w:rPr>
        <w:t>obtenir</w:t>
      </w:r>
      <w:r w:rsidR="00DB1635" w:rsidRPr="00B004EE">
        <w:rPr>
          <w:rFonts w:ascii="Tahoma" w:hAnsi="Tahoma" w:cs="Tahoma"/>
          <w:bCs/>
          <w:sz w:val="20"/>
          <w:szCs w:val="20"/>
        </w:rPr>
        <w:t xml:space="preserve"> </w:t>
      </w:r>
      <w:r w:rsidRPr="00B004EE">
        <w:rPr>
          <w:rFonts w:ascii="Tahoma" w:hAnsi="Tahoma" w:cs="Tahoma"/>
          <w:bCs/>
          <w:sz w:val="20"/>
          <w:szCs w:val="20"/>
        </w:rPr>
        <w:t>le</w:t>
      </w:r>
      <w:r w:rsidR="00DB1635" w:rsidRPr="00B004EE">
        <w:rPr>
          <w:rFonts w:ascii="Tahoma" w:hAnsi="Tahoma" w:cs="Tahoma"/>
          <w:bCs/>
          <w:sz w:val="20"/>
          <w:szCs w:val="20"/>
        </w:rPr>
        <w:t xml:space="preserve"> </w:t>
      </w:r>
      <w:r w:rsidRPr="00B004EE">
        <w:rPr>
          <w:rFonts w:ascii="Tahoma" w:hAnsi="Tahoma" w:cs="Tahoma"/>
          <w:bCs/>
          <w:sz w:val="20"/>
          <w:szCs w:val="20"/>
        </w:rPr>
        <w:t>renouvellement</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sa</w:t>
      </w:r>
      <w:r w:rsidR="00DB1635" w:rsidRPr="00B004EE">
        <w:rPr>
          <w:rFonts w:ascii="Tahoma" w:hAnsi="Tahoma" w:cs="Tahoma"/>
          <w:bCs/>
          <w:sz w:val="20"/>
          <w:szCs w:val="20"/>
        </w:rPr>
        <w:t xml:space="preserve"> </w:t>
      </w:r>
      <w:r w:rsidRPr="00B004EE">
        <w:rPr>
          <w:rFonts w:ascii="Tahoma" w:hAnsi="Tahoma" w:cs="Tahoma"/>
          <w:bCs/>
          <w:sz w:val="20"/>
          <w:szCs w:val="20"/>
        </w:rPr>
        <w:t>reconnaissance</w:t>
      </w:r>
      <w:r w:rsidR="00DB1635" w:rsidRPr="00B004EE">
        <w:rPr>
          <w:rFonts w:ascii="Tahoma" w:hAnsi="Tahoma" w:cs="Tahoma"/>
          <w:bCs/>
          <w:sz w:val="20"/>
          <w:szCs w:val="20"/>
        </w:rPr>
        <w:t xml:space="preserve"> </w:t>
      </w:r>
      <w:r w:rsidRPr="00B004EE">
        <w:rPr>
          <w:rFonts w:ascii="Tahoma" w:hAnsi="Tahoma" w:cs="Tahoma"/>
          <w:bCs/>
          <w:sz w:val="20"/>
          <w:szCs w:val="20"/>
        </w:rPr>
        <w:t>doit</w:t>
      </w:r>
      <w:r w:rsidR="00DB1635" w:rsidRPr="00B004EE">
        <w:rPr>
          <w:rFonts w:ascii="Tahoma" w:hAnsi="Tahoma" w:cs="Tahoma"/>
          <w:bCs/>
          <w:sz w:val="20"/>
          <w:szCs w:val="20"/>
        </w:rPr>
        <w:t xml:space="preserve"> </w:t>
      </w:r>
      <w:r w:rsidRPr="00B004EE">
        <w:rPr>
          <w:rFonts w:ascii="Tahoma" w:hAnsi="Tahoma" w:cs="Tahoma"/>
          <w:bCs/>
          <w:sz w:val="20"/>
          <w:szCs w:val="20"/>
        </w:rPr>
        <w:t>en</w:t>
      </w:r>
      <w:r w:rsidR="00DB1635" w:rsidRPr="00B004EE">
        <w:rPr>
          <w:rFonts w:ascii="Tahoma" w:hAnsi="Tahoma" w:cs="Tahoma"/>
          <w:bCs/>
          <w:sz w:val="20"/>
          <w:szCs w:val="20"/>
        </w:rPr>
        <w:t xml:space="preserve"> </w:t>
      </w:r>
      <w:r w:rsidRPr="00B004EE">
        <w:rPr>
          <w:rFonts w:ascii="Tahoma" w:hAnsi="Tahoma" w:cs="Tahoma"/>
          <w:bCs/>
          <w:sz w:val="20"/>
          <w:szCs w:val="20"/>
        </w:rPr>
        <w:t>faire</w:t>
      </w:r>
      <w:r w:rsidR="00DB1635" w:rsidRPr="00B004EE">
        <w:rPr>
          <w:rFonts w:ascii="Tahoma" w:hAnsi="Tahoma" w:cs="Tahoma"/>
          <w:bCs/>
          <w:sz w:val="20"/>
          <w:szCs w:val="20"/>
        </w:rPr>
        <w:t xml:space="preserve"> </w:t>
      </w:r>
      <w:r w:rsidRPr="00B004EE">
        <w:rPr>
          <w:rFonts w:ascii="Tahoma" w:hAnsi="Tahoma" w:cs="Tahoma"/>
          <w:bCs/>
          <w:sz w:val="20"/>
          <w:szCs w:val="20"/>
        </w:rPr>
        <w:t>la</w:t>
      </w:r>
      <w:r w:rsidR="00DB1635" w:rsidRPr="00B004EE">
        <w:rPr>
          <w:rFonts w:ascii="Tahoma" w:hAnsi="Tahoma" w:cs="Tahoma"/>
          <w:bCs/>
          <w:sz w:val="20"/>
          <w:szCs w:val="20"/>
        </w:rPr>
        <w:t xml:space="preserve"> </w:t>
      </w:r>
      <w:r w:rsidRPr="00B004EE">
        <w:rPr>
          <w:rFonts w:ascii="Tahoma" w:hAnsi="Tahoma" w:cs="Tahoma"/>
          <w:bCs/>
          <w:sz w:val="20"/>
          <w:szCs w:val="20"/>
        </w:rPr>
        <w:t>demande</w:t>
      </w:r>
      <w:r w:rsidR="00DB1635" w:rsidRPr="00B004EE">
        <w:rPr>
          <w:rFonts w:ascii="Tahoma" w:hAnsi="Tahoma" w:cs="Tahoma"/>
          <w:bCs/>
          <w:sz w:val="20"/>
          <w:szCs w:val="20"/>
        </w:rPr>
        <w:t xml:space="preserve"> </w:t>
      </w:r>
      <w:r w:rsidRPr="00B004EE">
        <w:rPr>
          <w:rFonts w:ascii="Tahoma" w:hAnsi="Tahoma" w:cs="Tahoma"/>
          <w:bCs/>
          <w:sz w:val="20"/>
          <w:szCs w:val="20"/>
        </w:rPr>
        <w:t>à</w:t>
      </w:r>
      <w:r w:rsidR="00DB1635" w:rsidRPr="00B004EE">
        <w:rPr>
          <w:rFonts w:ascii="Tahoma" w:hAnsi="Tahoma" w:cs="Tahoma"/>
          <w:bCs/>
          <w:sz w:val="20"/>
          <w:szCs w:val="20"/>
        </w:rPr>
        <w:t xml:space="preserve"> </w:t>
      </w:r>
      <w:r w:rsidRPr="00B004EE">
        <w:rPr>
          <w:rFonts w:ascii="Tahoma" w:hAnsi="Tahoma" w:cs="Tahoma"/>
          <w:bCs/>
          <w:sz w:val="20"/>
          <w:szCs w:val="20"/>
        </w:rPr>
        <w:t>l’autorité</w:t>
      </w:r>
      <w:r w:rsidR="00DB1635" w:rsidRPr="00B004EE">
        <w:rPr>
          <w:rFonts w:ascii="Tahoma" w:hAnsi="Tahoma" w:cs="Tahoma"/>
          <w:bCs/>
          <w:sz w:val="20"/>
          <w:szCs w:val="20"/>
        </w:rPr>
        <w:t xml:space="preserve"> </w:t>
      </w:r>
      <w:r w:rsidRPr="00B004EE">
        <w:rPr>
          <w:rFonts w:ascii="Tahoma" w:hAnsi="Tahoma" w:cs="Tahoma"/>
          <w:bCs/>
          <w:sz w:val="20"/>
          <w:szCs w:val="20"/>
        </w:rPr>
        <w:t>compétente</w:t>
      </w:r>
      <w:r w:rsidR="00DB1635" w:rsidRPr="00B004EE">
        <w:rPr>
          <w:rFonts w:ascii="Tahoma" w:hAnsi="Tahoma" w:cs="Tahoma"/>
          <w:bCs/>
          <w:sz w:val="20"/>
          <w:szCs w:val="20"/>
        </w:rPr>
        <w:t xml:space="preserve"> </w:t>
      </w:r>
      <w:r w:rsidRPr="00B004EE">
        <w:rPr>
          <w:rFonts w:ascii="Tahoma" w:hAnsi="Tahoma" w:cs="Tahoma"/>
          <w:bCs/>
          <w:sz w:val="20"/>
          <w:szCs w:val="20"/>
        </w:rPr>
        <w:t>six</w:t>
      </w:r>
      <w:r w:rsidR="00DB1635" w:rsidRPr="00B004EE">
        <w:rPr>
          <w:rFonts w:ascii="Tahoma" w:hAnsi="Tahoma" w:cs="Tahoma"/>
          <w:bCs/>
          <w:sz w:val="20"/>
          <w:szCs w:val="20"/>
        </w:rPr>
        <w:t xml:space="preserve"> </w:t>
      </w:r>
      <w:r w:rsidRPr="00B004EE">
        <w:rPr>
          <w:rFonts w:ascii="Tahoma" w:hAnsi="Tahoma" w:cs="Tahoma"/>
          <w:bCs/>
          <w:sz w:val="20"/>
          <w:szCs w:val="20"/>
        </w:rPr>
        <w:t>mois</w:t>
      </w:r>
      <w:r w:rsidR="00DB1635" w:rsidRPr="00B004EE">
        <w:rPr>
          <w:rFonts w:ascii="Tahoma" w:hAnsi="Tahoma" w:cs="Tahoma"/>
          <w:bCs/>
          <w:sz w:val="20"/>
          <w:szCs w:val="20"/>
        </w:rPr>
        <w:t xml:space="preserve"> </w:t>
      </w:r>
      <w:r w:rsidRPr="00B004EE">
        <w:rPr>
          <w:rFonts w:ascii="Tahoma" w:hAnsi="Tahoma" w:cs="Tahoma"/>
          <w:bCs/>
          <w:sz w:val="20"/>
          <w:szCs w:val="20"/>
        </w:rPr>
        <w:t>au</w:t>
      </w:r>
      <w:r w:rsidR="00DB1635" w:rsidRPr="00B004EE">
        <w:rPr>
          <w:rFonts w:ascii="Tahoma" w:hAnsi="Tahoma" w:cs="Tahoma"/>
          <w:bCs/>
          <w:sz w:val="20"/>
          <w:szCs w:val="20"/>
        </w:rPr>
        <w:t xml:space="preserve"> </w:t>
      </w:r>
      <w:r w:rsidRPr="00B004EE">
        <w:rPr>
          <w:rFonts w:ascii="Tahoma" w:hAnsi="Tahoma" w:cs="Tahoma"/>
          <w:bCs/>
          <w:sz w:val="20"/>
          <w:szCs w:val="20"/>
        </w:rPr>
        <w:t>plus</w:t>
      </w:r>
      <w:r w:rsidR="00DB1635" w:rsidRPr="00B004EE">
        <w:rPr>
          <w:rFonts w:ascii="Tahoma" w:hAnsi="Tahoma" w:cs="Tahoma"/>
          <w:bCs/>
          <w:sz w:val="20"/>
          <w:szCs w:val="20"/>
        </w:rPr>
        <w:t xml:space="preserve"> </w:t>
      </w:r>
      <w:r w:rsidRPr="00B004EE">
        <w:rPr>
          <w:rFonts w:ascii="Tahoma" w:hAnsi="Tahoma" w:cs="Tahoma"/>
          <w:bCs/>
          <w:sz w:val="20"/>
          <w:szCs w:val="20"/>
        </w:rPr>
        <w:t>tôt</w:t>
      </w:r>
      <w:r w:rsidR="00DB1635" w:rsidRPr="00B004EE">
        <w:rPr>
          <w:rFonts w:ascii="Tahoma" w:hAnsi="Tahoma" w:cs="Tahoma"/>
          <w:bCs/>
          <w:sz w:val="20"/>
          <w:szCs w:val="20"/>
        </w:rPr>
        <w:t xml:space="preserve"> </w:t>
      </w:r>
      <w:r w:rsidRPr="00B004EE">
        <w:rPr>
          <w:rFonts w:ascii="Tahoma" w:hAnsi="Tahoma" w:cs="Tahoma"/>
          <w:bCs/>
          <w:sz w:val="20"/>
          <w:szCs w:val="20"/>
        </w:rPr>
        <w:t>et</w:t>
      </w:r>
      <w:r w:rsidR="00DB1635" w:rsidRPr="00B004EE">
        <w:rPr>
          <w:rFonts w:ascii="Tahoma" w:hAnsi="Tahoma" w:cs="Tahoma"/>
          <w:bCs/>
          <w:sz w:val="20"/>
          <w:szCs w:val="20"/>
        </w:rPr>
        <w:t xml:space="preserve"> </w:t>
      </w:r>
      <w:r w:rsidRPr="00B004EE">
        <w:rPr>
          <w:rFonts w:ascii="Tahoma" w:hAnsi="Tahoma" w:cs="Tahoma"/>
          <w:bCs/>
          <w:sz w:val="20"/>
          <w:szCs w:val="20"/>
        </w:rPr>
        <w:t>trois</w:t>
      </w:r>
      <w:r w:rsidR="00DB1635" w:rsidRPr="00B004EE">
        <w:rPr>
          <w:rFonts w:ascii="Tahoma" w:hAnsi="Tahoma" w:cs="Tahoma"/>
          <w:bCs/>
          <w:sz w:val="20"/>
          <w:szCs w:val="20"/>
        </w:rPr>
        <w:t xml:space="preserve"> </w:t>
      </w:r>
      <w:r w:rsidRPr="00B004EE">
        <w:rPr>
          <w:rFonts w:ascii="Tahoma" w:hAnsi="Tahoma" w:cs="Tahoma"/>
          <w:bCs/>
          <w:sz w:val="20"/>
          <w:szCs w:val="20"/>
        </w:rPr>
        <w:t>mois</w:t>
      </w:r>
      <w:r w:rsidR="00DB1635" w:rsidRPr="00B004EE">
        <w:rPr>
          <w:rFonts w:ascii="Tahoma" w:hAnsi="Tahoma" w:cs="Tahoma"/>
          <w:bCs/>
          <w:sz w:val="20"/>
          <w:szCs w:val="20"/>
        </w:rPr>
        <w:t xml:space="preserve"> </w:t>
      </w:r>
      <w:r w:rsidRPr="00B004EE">
        <w:rPr>
          <w:rFonts w:ascii="Tahoma" w:hAnsi="Tahoma" w:cs="Tahoma"/>
          <w:bCs/>
          <w:sz w:val="20"/>
          <w:szCs w:val="20"/>
        </w:rPr>
        <w:t>au</w:t>
      </w:r>
      <w:r w:rsidR="00DB1635" w:rsidRPr="00B004EE">
        <w:rPr>
          <w:rFonts w:ascii="Tahoma" w:hAnsi="Tahoma" w:cs="Tahoma"/>
          <w:bCs/>
          <w:sz w:val="20"/>
          <w:szCs w:val="20"/>
        </w:rPr>
        <w:t xml:space="preserve"> </w:t>
      </w:r>
      <w:r w:rsidRPr="00B004EE">
        <w:rPr>
          <w:rFonts w:ascii="Tahoma" w:hAnsi="Tahoma" w:cs="Tahoma"/>
          <w:bCs/>
          <w:sz w:val="20"/>
          <w:szCs w:val="20"/>
        </w:rPr>
        <w:t>plus</w:t>
      </w:r>
      <w:r w:rsidR="00DB1635" w:rsidRPr="00B004EE">
        <w:rPr>
          <w:rFonts w:ascii="Tahoma" w:hAnsi="Tahoma" w:cs="Tahoma"/>
          <w:bCs/>
          <w:sz w:val="20"/>
          <w:szCs w:val="20"/>
        </w:rPr>
        <w:t xml:space="preserve"> </w:t>
      </w:r>
      <w:r w:rsidRPr="00B004EE">
        <w:rPr>
          <w:rFonts w:ascii="Tahoma" w:hAnsi="Tahoma" w:cs="Tahoma"/>
          <w:bCs/>
          <w:sz w:val="20"/>
          <w:szCs w:val="20"/>
        </w:rPr>
        <w:t>tard</w:t>
      </w:r>
      <w:r w:rsidR="00DB1635" w:rsidRPr="00B004EE">
        <w:rPr>
          <w:rFonts w:ascii="Tahoma" w:hAnsi="Tahoma" w:cs="Tahoma"/>
          <w:bCs/>
          <w:sz w:val="20"/>
          <w:szCs w:val="20"/>
        </w:rPr>
        <w:t xml:space="preserve"> </w:t>
      </w:r>
      <w:r w:rsidRPr="00B004EE">
        <w:rPr>
          <w:rFonts w:ascii="Tahoma" w:hAnsi="Tahoma" w:cs="Tahoma"/>
          <w:bCs/>
          <w:sz w:val="20"/>
          <w:szCs w:val="20"/>
        </w:rPr>
        <w:t>avant</w:t>
      </w:r>
      <w:r w:rsidR="00DB1635" w:rsidRPr="00B004EE">
        <w:rPr>
          <w:rFonts w:ascii="Tahoma" w:hAnsi="Tahoma" w:cs="Tahoma"/>
          <w:bCs/>
          <w:sz w:val="20"/>
          <w:szCs w:val="20"/>
        </w:rPr>
        <w:t xml:space="preserve"> </w:t>
      </w:r>
      <w:r w:rsidRPr="00B004EE">
        <w:rPr>
          <w:rFonts w:ascii="Tahoma" w:hAnsi="Tahoma" w:cs="Tahoma"/>
          <w:bCs/>
          <w:sz w:val="20"/>
          <w:szCs w:val="20"/>
        </w:rPr>
        <w:t>l’échéance.</w:t>
      </w:r>
      <w:r w:rsidR="00DB1635" w:rsidRPr="00B004EE">
        <w:rPr>
          <w:rFonts w:ascii="Tahoma" w:hAnsi="Tahoma" w:cs="Tahoma"/>
          <w:bCs/>
          <w:sz w:val="20"/>
          <w:szCs w:val="20"/>
        </w:rPr>
        <w:t xml:space="preserve"> </w:t>
      </w:r>
      <w:r w:rsidRPr="00B004EE">
        <w:rPr>
          <w:rFonts w:ascii="Tahoma" w:hAnsi="Tahoma" w:cs="Tahoma"/>
          <w:bCs/>
          <w:sz w:val="20"/>
          <w:szCs w:val="20"/>
        </w:rPr>
        <w:t>Le</w:t>
      </w:r>
      <w:r w:rsidR="00DB1635" w:rsidRPr="00B004EE">
        <w:rPr>
          <w:rFonts w:ascii="Tahoma" w:hAnsi="Tahoma" w:cs="Tahoma"/>
          <w:bCs/>
          <w:sz w:val="20"/>
          <w:szCs w:val="20"/>
        </w:rPr>
        <w:t xml:space="preserve"> </w:t>
      </w:r>
      <w:r w:rsidRPr="00B004EE">
        <w:rPr>
          <w:rFonts w:ascii="Tahoma" w:hAnsi="Tahoma" w:cs="Tahoma"/>
          <w:bCs/>
          <w:sz w:val="20"/>
          <w:szCs w:val="20"/>
        </w:rPr>
        <w:t>silence</w:t>
      </w:r>
      <w:r w:rsidR="00DB1635" w:rsidRPr="00B004EE">
        <w:rPr>
          <w:rFonts w:ascii="Tahoma" w:hAnsi="Tahoma" w:cs="Tahoma"/>
          <w:bCs/>
          <w:sz w:val="20"/>
          <w:szCs w:val="20"/>
        </w:rPr>
        <w:t xml:space="preserve"> </w:t>
      </w:r>
      <w:r w:rsidRPr="00B004EE">
        <w:rPr>
          <w:rFonts w:ascii="Tahoma" w:hAnsi="Tahoma" w:cs="Tahoma"/>
          <w:bCs/>
          <w:sz w:val="20"/>
          <w:szCs w:val="20"/>
        </w:rPr>
        <w:t>gardé</w:t>
      </w:r>
      <w:r w:rsidR="00DB1635" w:rsidRPr="00B004EE">
        <w:rPr>
          <w:rFonts w:ascii="Tahoma" w:hAnsi="Tahoma" w:cs="Tahoma"/>
          <w:bCs/>
          <w:sz w:val="20"/>
          <w:szCs w:val="20"/>
        </w:rPr>
        <w:t xml:space="preserve"> </w:t>
      </w:r>
      <w:r w:rsidRPr="00B004EE">
        <w:rPr>
          <w:rFonts w:ascii="Tahoma" w:hAnsi="Tahoma" w:cs="Tahoma"/>
          <w:bCs/>
          <w:sz w:val="20"/>
          <w:szCs w:val="20"/>
        </w:rPr>
        <w:t>par</w:t>
      </w:r>
      <w:r w:rsidR="00DB1635" w:rsidRPr="00B004EE">
        <w:rPr>
          <w:rFonts w:ascii="Tahoma" w:hAnsi="Tahoma" w:cs="Tahoma"/>
          <w:bCs/>
          <w:sz w:val="20"/>
          <w:szCs w:val="20"/>
        </w:rPr>
        <w:t xml:space="preserve"> </w:t>
      </w:r>
      <w:r w:rsidRPr="00B004EE">
        <w:rPr>
          <w:rFonts w:ascii="Tahoma" w:hAnsi="Tahoma" w:cs="Tahoma"/>
          <w:bCs/>
          <w:sz w:val="20"/>
          <w:szCs w:val="20"/>
        </w:rPr>
        <w:t>l’administration</w:t>
      </w:r>
      <w:r w:rsidR="00DB1635" w:rsidRPr="00B004EE">
        <w:rPr>
          <w:rFonts w:ascii="Tahoma" w:hAnsi="Tahoma" w:cs="Tahoma"/>
          <w:bCs/>
          <w:sz w:val="20"/>
          <w:szCs w:val="20"/>
        </w:rPr>
        <w:t xml:space="preserve"> </w:t>
      </w:r>
      <w:r w:rsidRPr="00B004EE">
        <w:rPr>
          <w:rFonts w:ascii="Tahoma" w:hAnsi="Tahoma" w:cs="Tahoma"/>
          <w:bCs/>
          <w:sz w:val="20"/>
          <w:szCs w:val="20"/>
        </w:rPr>
        <w:t>pendant</w:t>
      </w:r>
      <w:r w:rsidR="00DB1635" w:rsidRPr="00B004EE">
        <w:rPr>
          <w:rFonts w:ascii="Tahoma" w:hAnsi="Tahoma" w:cs="Tahoma"/>
          <w:bCs/>
          <w:sz w:val="20"/>
          <w:szCs w:val="20"/>
        </w:rPr>
        <w:t xml:space="preserve"> </w:t>
      </w:r>
      <w:r w:rsidRPr="00B004EE">
        <w:rPr>
          <w:rFonts w:ascii="Tahoma" w:hAnsi="Tahoma" w:cs="Tahoma"/>
          <w:bCs/>
          <w:sz w:val="20"/>
          <w:szCs w:val="20"/>
        </w:rPr>
        <w:t>trois</w:t>
      </w:r>
      <w:r w:rsidR="00DB1635" w:rsidRPr="00B004EE">
        <w:rPr>
          <w:rFonts w:ascii="Tahoma" w:hAnsi="Tahoma" w:cs="Tahoma"/>
          <w:bCs/>
          <w:sz w:val="20"/>
          <w:szCs w:val="20"/>
        </w:rPr>
        <w:t xml:space="preserve"> </w:t>
      </w:r>
      <w:r w:rsidRPr="00B004EE">
        <w:rPr>
          <w:rFonts w:ascii="Tahoma" w:hAnsi="Tahoma" w:cs="Tahoma"/>
          <w:bCs/>
          <w:sz w:val="20"/>
          <w:szCs w:val="20"/>
        </w:rPr>
        <w:t>mois</w:t>
      </w:r>
      <w:r w:rsidR="00DB1635" w:rsidRPr="00B004EE">
        <w:rPr>
          <w:rFonts w:ascii="Tahoma" w:hAnsi="Tahoma" w:cs="Tahoma"/>
          <w:bCs/>
          <w:sz w:val="20"/>
          <w:szCs w:val="20"/>
        </w:rPr>
        <w:t xml:space="preserve"> </w:t>
      </w:r>
      <w:r w:rsidRPr="00B004EE">
        <w:rPr>
          <w:rFonts w:ascii="Tahoma" w:hAnsi="Tahoma" w:cs="Tahoma"/>
          <w:bCs/>
          <w:sz w:val="20"/>
          <w:szCs w:val="20"/>
        </w:rPr>
        <w:t>sur</w:t>
      </w:r>
      <w:r w:rsidR="00DB1635" w:rsidRPr="00B004EE">
        <w:rPr>
          <w:rFonts w:ascii="Tahoma" w:hAnsi="Tahoma" w:cs="Tahoma"/>
          <w:bCs/>
          <w:sz w:val="20"/>
          <w:szCs w:val="20"/>
        </w:rPr>
        <w:t xml:space="preserve"> </w:t>
      </w:r>
      <w:r w:rsidRPr="00B004EE">
        <w:rPr>
          <w:rFonts w:ascii="Tahoma" w:hAnsi="Tahoma" w:cs="Tahoma"/>
          <w:bCs/>
          <w:sz w:val="20"/>
          <w:szCs w:val="20"/>
        </w:rPr>
        <w:t>cette</w:t>
      </w:r>
      <w:r w:rsidR="00DB1635" w:rsidRPr="00B004EE">
        <w:rPr>
          <w:rFonts w:ascii="Tahoma" w:hAnsi="Tahoma" w:cs="Tahoma"/>
          <w:bCs/>
          <w:sz w:val="20"/>
          <w:szCs w:val="20"/>
        </w:rPr>
        <w:t xml:space="preserve"> </w:t>
      </w:r>
      <w:r w:rsidRPr="00B004EE">
        <w:rPr>
          <w:rFonts w:ascii="Tahoma" w:hAnsi="Tahoma" w:cs="Tahoma"/>
          <w:bCs/>
          <w:sz w:val="20"/>
          <w:szCs w:val="20"/>
        </w:rPr>
        <w:t>demande</w:t>
      </w:r>
      <w:r w:rsidR="00DB1635" w:rsidRPr="00B004EE">
        <w:rPr>
          <w:rFonts w:ascii="Tahoma" w:hAnsi="Tahoma" w:cs="Tahoma"/>
          <w:bCs/>
          <w:sz w:val="20"/>
          <w:szCs w:val="20"/>
        </w:rPr>
        <w:t xml:space="preserve"> </w:t>
      </w:r>
      <w:r w:rsidRPr="00B004EE">
        <w:rPr>
          <w:rFonts w:ascii="Tahoma" w:hAnsi="Tahoma" w:cs="Tahoma"/>
          <w:bCs/>
          <w:sz w:val="20"/>
          <w:szCs w:val="20"/>
        </w:rPr>
        <w:t>vaut</w:t>
      </w:r>
      <w:r w:rsidR="00DB1635" w:rsidRPr="00B004EE">
        <w:rPr>
          <w:rFonts w:ascii="Tahoma" w:hAnsi="Tahoma" w:cs="Tahoma"/>
          <w:bCs/>
          <w:sz w:val="20"/>
          <w:szCs w:val="20"/>
        </w:rPr>
        <w:t xml:space="preserve"> </w:t>
      </w:r>
      <w:r w:rsidRPr="00B004EE">
        <w:rPr>
          <w:rFonts w:ascii="Tahoma" w:hAnsi="Tahoma" w:cs="Tahoma"/>
          <w:bCs/>
          <w:sz w:val="20"/>
          <w:szCs w:val="20"/>
        </w:rPr>
        <w:t>acceptation.</w:t>
      </w:r>
    </w:p>
    <w:p w14:paraId="7BC183D0" w14:textId="77777777" w:rsidR="002F24E1" w:rsidRPr="00B004EE" w:rsidRDefault="002F24E1" w:rsidP="00B004EE">
      <w:pPr>
        <w:autoSpaceDE w:val="0"/>
        <w:autoSpaceDN w:val="0"/>
        <w:adjustRightInd w:val="0"/>
        <w:jc w:val="both"/>
        <w:rPr>
          <w:rFonts w:ascii="Tahoma" w:hAnsi="Tahoma" w:cs="Tahoma"/>
          <w:bCs/>
          <w:sz w:val="20"/>
          <w:szCs w:val="20"/>
        </w:rPr>
      </w:pPr>
    </w:p>
    <w:p w14:paraId="49EAB906" w14:textId="44E55B85" w:rsidR="002F24E1" w:rsidRPr="00B004EE" w:rsidRDefault="002F24E1" w:rsidP="00B004EE">
      <w:pPr>
        <w:autoSpaceDE w:val="0"/>
        <w:autoSpaceDN w:val="0"/>
        <w:adjustRightInd w:val="0"/>
        <w:jc w:val="both"/>
        <w:rPr>
          <w:rFonts w:ascii="Tahoma" w:hAnsi="Tahoma" w:cs="Tahoma"/>
          <w:bCs/>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26.</w:t>
      </w:r>
      <w:r w:rsidR="00DB1635" w:rsidRPr="00B004EE">
        <w:rPr>
          <w:rFonts w:ascii="Tahoma" w:hAnsi="Tahoma" w:cs="Tahoma"/>
          <w:bCs/>
          <w:i/>
          <w:iCs/>
          <w:sz w:val="20"/>
          <w:szCs w:val="20"/>
        </w:rPr>
        <w:t xml:space="preserve"> </w:t>
      </w:r>
      <w:r w:rsidRPr="00B004EE">
        <w:rPr>
          <w:rFonts w:ascii="Tahoma" w:hAnsi="Tahoma" w:cs="Tahoma"/>
          <w:bCs/>
          <w:sz w:val="20"/>
          <w:szCs w:val="20"/>
        </w:rPr>
        <w:t>L’autorité</w:t>
      </w:r>
      <w:r w:rsidR="00DB1635" w:rsidRPr="00B004EE">
        <w:rPr>
          <w:rFonts w:ascii="Tahoma" w:hAnsi="Tahoma" w:cs="Tahoma"/>
          <w:bCs/>
          <w:sz w:val="20"/>
          <w:szCs w:val="20"/>
        </w:rPr>
        <w:t xml:space="preserve"> </w:t>
      </w:r>
      <w:r w:rsidRPr="00B004EE">
        <w:rPr>
          <w:rFonts w:ascii="Tahoma" w:hAnsi="Tahoma" w:cs="Tahoma"/>
          <w:bCs/>
          <w:sz w:val="20"/>
          <w:szCs w:val="20"/>
        </w:rPr>
        <w:t>compétente</w:t>
      </w:r>
      <w:r w:rsidR="00DB1635" w:rsidRPr="00B004EE">
        <w:rPr>
          <w:rFonts w:ascii="Tahoma" w:hAnsi="Tahoma" w:cs="Tahoma"/>
          <w:bCs/>
          <w:sz w:val="20"/>
          <w:szCs w:val="20"/>
        </w:rPr>
        <w:t xml:space="preserve"> </w:t>
      </w:r>
      <w:r w:rsidRPr="00B004EE">
        <w:rPr>
          <w:rFonts w:ascii="Tahoma" w:hAnsi="Tahoma" w:cs="Tahoma"/>
          <w:bCs/>
          <w:sz w:val="20"/>
          <w:szCs w:val="20"/>
        </w:rPr>
        <w:t>contrôle,</w:t>
      </w:r>
      <w:r w:rsidR="00DB1635" w:rsidRPr="00B004EE">
        <w:rPr>
          <w:rFonts w:ascii="Tahoma" w:hAnsi="Tahoma" w:cs="Tahoma"/>
          <w:bCs/>
          <w:sz w:val="20"/>
          <w:szCs w:val="20"/>
        </w:rPr>
        <w:t xml:space="preserve"> </w:t>
      </w:r>
      <w:r w:rsidRPr="00B004EE">
        <w:rPr>
          <w:rFonts w:ascii="Tahoma" w:hAnsi="Tahoma" w:cs="Tahoma"/>
          <w:bCs/>
          <w:sz w:val="20"/>
          <w:szCs w:val="20"/>
        </w:rPr>
        <w:t>sur</w:t>
      </w:r>
      <w:r w:rsidR="00DB1635" w:rsidRPr="00B004EE">
        <w:rPr>
          <w:rFonts w:ascii="Tahoma" w:hAnsi="Tahoma" w:cs="Tahoma"/>
          <w:bCs/>
          <w:sz w:val="20"/>
          <w:szCs w:val="20"/>
        </w:rPr>
        <w:t xml:space="preserve"> </w:t>
      </w:r>
      <w:r w:rsidRPr="00B004EE">
        <w:rPr>
          <w:rFonts w:ascii="Tahoma" w:hAnsi="Tahoma" w:cs="Tahoma"/>
          <w:bCs/>
          <w:sz w:val="20"/>
          <w:szCs w:val="20"/>
        </w:rPr>
        <w:t>pièces</w:t>
      </w:r>
      <w:r w:rsidR="00DB1635" w:rsidRPr="00B004EE">
        <w:rPr>
          <w:rFonts w:ascii="Tahoma" w:hAnsi="Tahoma" w:cs="Tahoma"/>
          <w:bCs/>
          <w:sz w:val="20"/>
          <w:szCs w:val="20"/>
        </w:rPr>
        <w:t xml:space="preserve"> </w:t>
      </w:r>
      <w:r w:rsidRPr="00B004EE">
        <w:rPr>
          <w:rFonts w:ascii="Tahoma" w:hAnsi="Tahoma" w:cs="Tahoma"/>
          <w:bCs/>
          <w:sz w:val="20"/>
          <w:szCs w:val="20"/>
        </w:rPr>
        <w:t>ou</w:t>
      </w:r>
      <w:r w:rsidR="00DB1635" w:rsidRPr="00B004EE">
        <w:rPr>
          <w:rFonts w:ascii="Tahoma" w:hAnsi="Tahoma" w:cs="Tahoma"/>
          <w:bCs/>
          <w:sz w:val="20"/>
          <w:szCs w:val="20"/>
        </w:rPr>
        <w:t xml:space="preserve"> </w:t>
      </w:r>
      <w:r w:rsidRPr="00B004EE">
        <w:rPr>
          <w:rFonts w:ascii="Tahoma" w:hAnsi="Tahoma" w:cs="Tahoma"/>
          <w:bCs/>
          <w:sz w:val="20"/>
          <w:szCs w:val="20"/>
        </w:rPr>
        <w:t>sur</w:t>
      </w:r>
      <w:r w:rsidR="00DB1635" w:rsidRPr="00B004EE">
        <w:rPr>
          <w:rFonts w:ascii="Tahoma" w:hAnsi="Tahoma" w:cs="Tahoma"/>
          <w:bCs/>
          <w:sz w:val="20"/>
          <w:szCs w:val="20"/>
        </w:rPr>
        <w:t xml:space="preserve"> </w:t>
      </w:r>
      <w:r w:rsidRPr="00B004EE">
        <w:rPr>
          <w:rFonts w:ascii="Tahoma" w:hAnsi="Tahoma" w:cs="Tahoma"/>
          <w:bCs/>
          <w:sz w:val="20"/>
          <w:szCs w:val="20"/>
        </w:rPr>
        <w:t>place,</w:t>
      </w:r>
      <w:r w:rsidR="00DB1635" w:rsidRPr="00B004EE">
        <w:rPr>
          <w:rFonts w:ascii="Tahoma" w:hAnsi="Tahoma" w:cs="Tahoma"/>
          <w:bCs/>
          <w:sz w:val="20"/>
          <w:szCs w:val="20"/>
        </w:rPr>
        <w:t xml:space="preserve"> </w:t>
      </w:r>
      <w:r w:rsidRPr="00B004EE">
        <w:rPr>
          <w:rFonts w:ascii="Tahoma" w:hAnsi="Tahoma" w:cs="Tahoma"/>
          <w:bCs/>
          <w:sz w:val="20"/>
          <w:szCs w:val="20"/>
        </w:rPr>
        <w:t>le</w:t>
      </w:r>
      <w:r w:rsidR="00DB1635" w:rsidRPr="00B004EE">
        <w:rPr>
          <w:rFonts w:ascii="Tahoma" w:hAnsi="Tahoma" w:cs="Tahoma"/>
          <w:bCs/>
          <w:sz w:val="20"/>
          <w:szCs w:val="20"/>
        </w:rPr>
        <w:t xml:space="preserve"> </w:t>
      </w:r>
      <w:r w:rsidRPr="00B004EE">
        <w:rPr>
          <w:rFonts w:ascii="Tahoma" w:hAnsi="Tahoma" w:cs="Tahoma"/>
          <w:bCs/>
          <w:sz w:val="20"/>
          <w:szCs w:val="20"/>
        </w:rPr>
        <w:t>respect</w:t>
      </w:r>
      <w:r w:rsidR="00DB1635" w:rsidRPr="00B004EE">
        <w:rPr>
          <w:rFonts w:ascii="Tahoma" w:hAnsi="Tahoma" w:cs="Tahoma"/>
          <w:bCs/>
          <w:sz w:val="20"/>
          <w:szCs w:val="20"/>
        </w:rPr>
        <w:t xml:space="preserve"> </w:t>
      </w:r>
      <w:r w:rsidRPr="00B004EE">
        <w:rPr>
          <w:rFonts w:ascii="Tahoma" w:hAnsi="Tahoma" w:cs="Tahoma"/>
          <w:bCs/>
          <w:sz w:val="20"/>
          <w:szCs w:val="20"/>
        </w:rPr>
        <w:t>des</w:t>
      </w:r>
      <w:r w:rsidR="00DB1635" w:rsidRPr="00B004EE">
        <w:rPr>
          <w:rFonts w:ascii="Tahoma" w:hAnsi="Tahoma" w:cs="Tahoma"/>
          <w:bCs/>
          <w:sz w:val="20"/>
          <w:szCs w:val="20"/>
        </w:rPr>
        <w:t xml:space="preserve"> </w:t>
      </w:r>
      <w:r w:rsidRPr="00B004EE">
        <w:rPr>
          <w:rFonts w:ascii="Tahoma" w:hAnsi="Tahoma" w:cs="Tahoma"/>
          <w:bCs/>
          <w:sz w:val="20"/>
          <w:szCs w:val="20"/>
        </w:rPr>
        <w:t>dispositions</w:t>
      </w:r>
      <w:r w:rsidR="00DB1635" w:rsidRPr="00B004EE">
        <w:rPr>
          <w:rFonts w:ascii="Tahoma" w:hAnsi="Tahoma" w:cs="Tahoma"/>
          <w:bCs/>
          <w:sz w:val="20"/>
          <w:szCs w:val="20"/>
        </w:rPr>
        <w:t xml:space="preserve"> </w:t>
      </w:r>
      <w:r w:rsidRPr="00B004EE">
        <w:rPr>
          <w:rFonts w:ascii="Tahoma" w:hAnsi="Tahoma" w:cs="Tahoma"/>
          <w:bCs/>
          <w:sz w:val="20"/>
          <w:szCs w:val="20"/>
        </w:rPr>
        <w:t>du</w:t>
      </w:r>
      <w:r w:rsidR="00DB1635" w:rsidRPr="00B004EE">
        <w:rPr>
          <w:rFonts w:ascii="Tahoma" w:hAnsi="Tahoma" w:cs="Tahoma"/>
          <w:bCs/>
          <w:sz w:val="20"/>
          <w:szCs w:val="20"/>
        </w:rPr>
        <w:t xml:space="preserve"> </w:t>
      </w:r>
      <w:r w:rsidRPr="00B004EE">
        <w:rPr>
          <w:rFonts w:ascii="Tahoma" w:hAnsi="Tahoma" w:cs="Tahoma"/>
          <w:bCs/>
          <w:sz w:val="20"/>
          <w:szCs w:val="20"/>
        </w:rPr>
        <w:t>présent</w:t>
      </w:r>
      <w:r w:rsidR="00DB1635" w:rsidRPr="00B004EE">
        <w:rPr>
          <w:rFonts w:ascii="Tahoma" w:hAnsi="Tahoma" w:cs="Tahoma"/>
          <w:bCs/>
          <w:sz w:val="20"/>
          <w:szCs w:val="20"/>
        </w:rPr>
        <w:t xml:space="preserve"> </w:t>
      </w:r>
      <w:r w:rsidRPr="00B004EE">
        <w:rPr>
          <w:rFonts w:ascii="Tahoma" w:hAnsi="Tahoma" w:cs="Tahoma"/>
          <w:bCs/>
          <w:sz w:val="20"/>
          <w:szCs w:val="20"/>
        </w:rPr>
        <w:t>chapitre</w:t>
      </w:r>
      <w:r w:rsidR="00DB1635" w:rsidRPr="00B004EE">
        <w:rPr>
          <w:rFonts w:ascii="Tahoma" w:hAnsi="Tahoma" w:cs="Tahoma"/>
          <w:bCs/>
          <w:sz w:val="20"/>
          <w:szCs w:val="20"/>
        </w:rPr>
        <w:t xml:space="preserve"> </w:t>
      </w:r>
      <w:r w:rsidRPr="00B004EE">
        <w:rPr>
          <w:rFonts w:ascii="Tahoma" w:hAnsi="Tahoma" w:cs="Tahoma"/>
          <w:bCs/>
          <w:sz w:val="20"/>
          <w:szCs w:val="20"/>
        </w:rPr>
        <w:t>par</w:t>
      </w:r>
      <w:r w:rsidR="00DB1635" w:rsidRPr="00B004EE">
        <w:rPr>
          <w:rFonts w:ascii="Tahoma" w:hAnsi="Tahoma" w:cs="Tahoma"/>
          <w:bCs/>
          <w:sz w:val="20"/>
          <w:szCs w:val="20"/>
        </w:rPr>
        <w:t xml:space="preserve"> </w:t>
      </w:r>
      <w:r w:rsidRPr="00B004EE">
        <w:rPr>
          <w:rFonts w:ascii="Tahoma" w:hAnsi="Tahoma" w:cs="Tahoma"/>
          <w:bCs/>
          <w:sz w:val="20"/>
          <w:szCs w:val="20"/>
        </w:rPr>
        <w:t>les</w:t>
      </w:r>
      <w:r w:rsidR="00DB1635" w:rsidRPr="00B004EE">
        <w:rPr>
          <w:rFonts w:ascii="Tahoma" w:hAnsi="Tahoma" w:cs="Tahoma"/>
          <w:bCs/>
          <w:sz w:val="20"/>
          <w:szCs w:val="20"/>
        </w:rPr>
        <w:t xml:space="preserve"> </w:t>
      </w:r>
      <w:r w:rsidRPr="00B004EE">
        <w:rPr>
          <w:rFonts w:ascii="Tahoma" w:hAnsi="Tahoma" w:cs="Tahoma"/>
          <w:bCs/>
          <w:sz w:val="20"/>
          <w:szCs w:val="20"/>
        </w:rPr>
        <w:t>laboratoires</w:t>
      </w:r>
      <w:r w:rsidR="00DB1635" w:rsidRPr="00B004EE">
        <w:rPr>
          <w:rFonts w:ascii="Tahoma" w:hAnsi="Tahoma" w:cs="Tahoma"/>
          <w:bCs/>
          <w:sz w:val="20"/>
          <w:szCs w:val="20"/>
        </w:rPr>
        <w:t xml:space="preserve"> </w:t>
      </w:r>
      <w:r w:rsidRPr="00B004EE">
        <w:rPr>
          <w:rFonts w:ascii="Tahoma" w:hAnsi="Tahoma" w:cs="Tahoma"/>
          <w:bCs/>
          <w:sz w:val="20"/>
          <w:szCs w:val="20"/>
        </w:rPr>
        <w:t>reconnus.</w:t>
      </w:r>
      <w:r w:rsidR="00DB1635" w:rsidRPr="00B004EE">
        <w:rPr>
          <w:rFonts w:ascii="Tahoma" w:hAnsi="Tahoma" w:cs="Tahoma"/>
          <w:bCs/>
          <w:sz w:val="20"/>
          <w:szCs w:val="20"/>
        </w:rPr>
        <w:t xml:space="preserve"> </w:t>
      </w:r>
      <w:r w:rsidRPr="00B004EE">
        <w:rPr>
          <w:rFonts w:ascii="Tahoma" w:hAnsi="Tahoma" w:cs="Tahoma"/>
          <w:bCs/>
          <w:sz w:val="20"/>
          <w:szCs w:val="20"/>
        </w:rPr>
        <w:t>Ceux-ci</w:t>
      </w:r>
      <w:r w:rsidR="00DB1635" w:rsidRPr="00B004EE">
        <w:rPr>
          <w:rFonts w:ascii="Tahoma" w:hAnsi="Tahoma" w:cs="Tahoma"/>
          <w:bCs/>
          <w:sz w:val="20"/>
          <w:szCs w:val="20"/>
        </w:rPr>
        <w:t xml:space="preserve"> </w:t>
      </w:r>
      <w:r w:rsidRPr="00B004EE">
        <w:rPr>
          <w:rFonts w:ascii="Tahoma" w:hAnsi="Tahoma" w:cs="Tahoma"/>
          <w:bCs/>
          <w:sz w:val="20"/>
          <w:szCs w:val="20"/>
        </w:rPr>
        <w:t>sont</w:t>
      </w:r>
      <w:r w:rsidR="00DB1635" w:rsidRPr="00B004EE">
        <w:rPr>
          <w:rFonts w:ascii="Tahoma" w:hAnsi="Tahoma" w:cs="Tahoma"/>
          <w:bCs/>
          <w:sz w:val="20"/>
          <w:szCs w:val="20"/>
        </w:rPr>
        <w:t xml:space="preserve"> </w:t>
      </w:r>
      <w:r w:rsidRPr="00B004EE">
        <w:rPr>
          <w:rFonts w:ascii="Tahoma" w:hAnsi="Tahoma" w:cs="Tahoma"/>
          <w:bCs/>
          <w:sz w:val="20"/>
          <w:szCs w:val="20"/>
        </w:rPr>
        <w:t>tenus</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participer</w:t>
      </w:r>
      <w:r w:rsidR="00DB1635" w:rsidRPr="00B004EE">
        <w:rPr>
          <w:rFonts w:ascii="Tahoma" w:hAnsi="Tahoma" w:cs="Tahoma"/>
          <w:bCs/>
          <w:sz w:val="20"/>
          <w:szCs w:val="20"/>
        </w:rPr>
        <w:t xml:space="preserve"> </w:t>
      </w:r>
      <w:r w:rsidRPr="00B004EE">
        <w:rPr>
          <w:rFonts w:ascii="Tahoma" w:hAnsi="Tahoma" w:cs="Tahoma"/>
          <w:bCs/>
          <w:sz w:val="20"/>
          <w:szCs w:val="20"/>
        </w:rPr>
        <w:t>à</w:t>
      </w:r>
      <w:r w:rsidR="00DB1635" w:rsidRPr="00B004EE">
        <w:rPr>
          <w:rFonts w:ascii="Tahoma" w:hAnsi="Tahoma" w:cs="Tahoma"/>
          <w:bCs/>
          <w:sz w:val="20"/>
          <w:szCs w:val="20"/>
        </w:rPr>
        <w:t xml:space="preserve"> </w:t>
      </w:r>
      <w:r w:rsidRPr="00B004EE">
        <w:rPr>
          <w:rFonts w:ascii="Tahoma" w:hAnsi="Tahoma" w:cs="Tahoma"/>
          <w:bCs/>
          <w:sz w:val="20"/>
          <w:szCs w:val="20"/>
        </w:rPr>
        <w:t>leurs</w:t>
      </w:r>
      <w:r w:rsidR="00DB1635" w:rsidRPr="00B004EE">
        <w:rPr>
          <w:rFonts w:ascii="Tahoma" w:hAnsi="Tahoma" w:cs="Tahoma"/>
          <w:bCs/>
          <w:sz w:val="20"/>
          <w:szCs w:val="20"/>
        </w:rPr>
        <w:t xml:space="preserve"> </w:t>
      </w:r>
      <w:r w:rsidRPr="00B004EE">
        <w:rPr>
          <w:rFonts w:ascii="Tahoma" w:hAnsi="Tahoma" w:cs="Tahoma"/>
          <w:bCs/>
          <w:sz w:val="20"/>
          <w:szCs w:val="20"/>
        </w:rPr>
        <w:t>frais</w:t>
      </w:r>
      <w:r w:rsidR="00DB1635" w:rsidRPr="00B004EE">
        <w:rPr>
          <w:rFonts w:ascii="Tahoma" w:hAnsi="Tahoma" w:cs="Tahoma"/>
          <w:bCs/>
          <w:sz w:val="20"/>
          <w:szCs w:val="20"/>
        </w:rPr>
        <w:t xml:space="preserve"> </w:t>
      </w:r>
      <w:r w:rsidRPr="00B004EE">
        <w:rPr>
          <w:rFonts w:ascii="Tahoma" w:hAnsi="Tahoma" w:cs="Tahoma"/>
          <w:bCs/>
          <w:sz w:val="20"/>
          <w:szCs w:val="20"/>
        </w:rPr>
        <w:t>à</w:t>
      </w:r>
      <w:r w:rsidR="00DB1635" w:rsidRPr="00B004EE">
        <w:rPr>
          <w:rFonts w:ascii="Tahoma" w:hAnsi="Tahoma" w:cs="Tahoma"/>
          <w:bCs/>
          <w:sz w:val="20"/>
          <w:szCs w:val="20"/>
        </w:rPr>
        <w:t xml:space="preserve"> </w:t>
      </w:r>
      <w:r w:rsidRPr="00B004EE">
        <w:rPr>
          <w:rFonts w:ascii="Tahoma" w:hAnsi="Tahoma" w:cs="Tahoma"/>
          <w:bCs/>
          <w:sz w:val="20"/>
          <w:szCs w:val="20"/>
        </w:rPr>
        <w:t>tout</w:t>
      </w:r>
      <w:r w:rsidR="00DB1635" w:rsidRPr="00B004EE">
        <w:rPr>
          <w:rFonts w:ascii="Tahoma" w:hAnsi="Tahoma" w:cs="Tahoma"/>
          <w:bCs/>
          <w:sz w:val="20"/>
          <w:szCs w:val="20"/>
        </w:rPr>
        <w:t xml:space="preserve"> </w:t>
      </w:r>
      <w:r w:rsidRPr="00B004EE">
        <w:rPr>
          <w:rFonts w:ascii="Tahoma" w:hAnsi="Tahoma" w:cs="Tahoma"/>
          <w:bCs/>
          <w:sz w:val="20"/>
          <w:szCs w:val="20"/>
        </w:rPr>
        <w:t>processus</w:t>
      </w:r>
      <w:r w:rsidR="00DB1635" w:rsidRPr="00B004EE">
        <w:rPr>
          <w:rFonts w:ascii="Tahoma" w:hAnsi="Tahoma" w:cs="Tahoma"/>
          <w:bCs/>
          <w:sz w:val="20"/>
          <w:szCs w:val="20"/>
        </w:rPr>
        <w:t xml:space="preserve"> </w:t>
      </w:r>
      <w:r w:rsidRPr="00B004EE">
        <w:rPr>
          <w:rFonts w:ascii="Tahoma" w:hAnsi="Tahoma" w:cs="Tahoma"/>
          <w:bCs/>
          <w:sz w:val="20"/>
          <w:szCs w:val="20"/>
        </w:rPr>
        <w:t>d’évaluation</w:t>
      </w:r>
      <w:r w:rsidR="00DB1635" w:rsidRPr="00B004EE">
        <w:rPr>
          <w:rFonts w:ascii="Tahoma" w:hAnsi="Tahoma" w:cs="Tahoma"/>
          <w:bCs/>
          <w:sz w:val="20"/>
          <w:szCs w:val="20"/>
        </w:rPr>
        <w:t xml:space="preserve"> </w:t>
      </w:r>
      <w:r w:rsidRPr="00B004EE">
        <w:rPr>
          <w:rFonts w:ascii="Tahoma" w:hAnsi="Tahoma" w:cs="Tahoma"/>
          <w:bCs/>
          <w:sz w:val="20"/>
          <w:szCs w:val="20"/>
        </w:rPr>
        <w:t>technique,</w:t>
      </w:r>
      <w:r w:rsidR="00DB1635" w:rsidRPr="00B004EE">
        <w:rPr>
          <w:rFonts w:ascii="Tahoma" w:hAnsi="Tahoma" w:cs="Tahoma"/>
          <w:bCs/>
          <w:sz w:val="20"/>
          <w:szCs w:val="20"/>
        </w:rPr>
        <w:t xml:space="preserve"> </w:t>
      </w:r>
      <w:r w:rsidRPr="00B004EE">
        <w:rPr>
          <w:rFonts w:ascii="Tahoma" w:hAnsi="Tahoma" w:cs="Tahoma"/>
          <w:bCs/>
          <w:sz w:val="20"/>
          <w:szCs w:val="20"/>
        </w:rPr>
        <w:t>demandé</w:t>
      </w:r>
      <w:r w:rsidR="00DB1635" w:rsidRPr="00B004EE">
        <w:rPr>
          <w:rFonts w:ascii="Tahoma" w:hAnsi="Tahoma" w:cs="Tahoma"/>
          <w:bCs/>
          <w:sz w:val="20"/>
          <w:szCs w:val="20"/>
        </w:rPr>
        <w:t xml:space="preserve"> </w:t>
      </w:r>
      <w:r w:rsidRPr="00B004EE">
        <w:rPr>
          <w:rFonts w:ascii="Tahoma" w:hAnsi="Tahoma" w:cs="Tahoma"/>
          <w:bCs/>
          <w:sz w:val="20"/>
          <w:szCs w:val="20"/>
        </w:rPr>
        <w:t>par</w:t>
      </w:r>
      <w:r w:rsidR="00DB1635" w:rsidRPr="00B004EE">
        <w:rPr>
          <w:rFonts w:ascii="Tahoma" w:hAnsi="Tahoma" w:cs="Tahoma"/>
          <w:bCs/>
          <w:sz w:val="20"/>
          <w:szCs w:val="20"/>
        </w:rPr>
        <w:t xml:space="preserve"> </w:t>
      </w:r>
      <w:r w:rsidRPr="00B004EE">
        <w:rPr>
          <w:rFonts w:ascii="Tahoma" w:hAnsi="Tahoma" w:cs="Tahoma"/>
          <w:bCs/>
          <w:sz w:val="20"/>
          <w:szCs w:val="20"/>
        </w:rPr>
        <w:t>le</w:t>
      </w:r>
      <w:r w:rsidR="00DB1635" w:rsidRPr="00B004EE">
        <w:rPr>
          <w:rFonts w:ascii="Tahoma" w:hAnsi="Tahoma" w:cs="Tahoma"/>
          <w:bCs/>
          <w:sz w:val="20"/>
          <w:szCs w:val="20"/>
        </w:rPr>
        <w:t xml:space="preserve"> </w:t>
      </w:r>
      <w:r w:rsidRPr="00B004EE">
        <w:rPr>
          <w:rFonts w:ascii="Tahoma" w:hAnsi="Tahoma" w:cs="Tahoma"/>
          <w:bCs/>
          <w:sz w:val="20"/>
          <w:szCs w:val="20"/>
        </w:rPr>
        <w:t>ministre</w:t>
      </w:r>
      <w:r w:rsidR="00DB1635" w:rsidRPr="00B004EE">
        <w:rPr>
          <w:rFonts w:ascii="Tahoma" w:hAnsi="Tahoma" w:cs="Tahoma"/>
          <w:bCs/>
          <w:sz w:val="20"/>
          <w:szCs w:val="20"/>
        </w:rPr>
        <w:t xml:space="preserve"> </w:t>
      </w:r>
      <w:r w:rsidRPr="00B004EE">
        <w:rPr>
          <w:rFonts w:ascii="Tahoma" w:hAnsi="Tahoma" w:cs="Tahoma"/>
          <w:bCs/>
          <w:sz w:val="20"/>
          <w:szCs w:val="20"/>
        </w:rPr>
        <w:t>chargé</w:t>
      </w:r>
      <w:r w:rsidR="00DB1635" w:rsidRPr="00B004EE">
        <w:rPr>
          <w:rFonts w:ascii="Tahoma" w:hAnsi="Tahoma" w:cs="Tahoma"/>
          <w:bCs/>
          <w:sz w:val="20"/>
          <w:szCs w:val="20"/>
        </w:rPr>
        <w:t xml:space="preserve"> </w:t>
      </w:r>
      <w:r w:rsidRPr="00B004EE">
        <w:rPr>
          <w:rFonts w:ascii="Tahoma" w:hAnsi="Tahoma" w:cs="Tahoma"/>
          <w:bCs/>
          <w:sz w:val="20"/>
          <w:szCs w:val="20"/>
        </w:rPr>
        <w:t>des</w:t>
      </w:r>
      <w:r w:rsidR="00DB1635" w:rsidRPr="00B004EE">
        <w:rPr>
          <w:rFonts w:ascii="Tahoma" w:hAnsi="Tahoma" w:cs="Tahoma"/>
          <w:bCs/>
          <w:sz w:val="20"/>
          <w:szCs w:val="20"/>
        </w:rPr>
        <w:t xml:space="preserve"> </w:t>
      </w:r>
      <w:r w:rsidRPr="00B004EE">
        <w:rPr>
          <w:rFonts w:ascii="Tahoma" w:hAnsi="Tahoma" w:cs="Tahoma"/>
          <w:bCs/>
          <w:sz w:val="20"/>
          <w:szCs w:val="20"/>
        </w:rPr>
        <w:t>pêches</w:t>
      </w:r>
      <w:r w:rsidR="00DB1635" w:rsidRPr="00B004EE">
        <w:rPr>
          <w:rFonts w:ascii="Tahoma" w:hAnsi="Tahoma" w:cs="Tahoma"/>
          <w:bCs/>
          <w:sz w:val="20"/>
          <w:szCs w:val="20"/>
        </w:rPr>
        <w:t xml:space="preserve"> </w:t>
      </w:r>
      <w:r w:rsidRPr="00B004EE">
        <w:rPr>
          <w:rFonts w:ascii="Tahoma" w:hAnsi="Tahoma" w:cs="Tahoma"/>
          <w:bCs/>
          <w:sz w:val="20"/>
          <w:szCs w:val="20"/>
        </w:rPr>
        <w:t>ou</w:t>
      </w:r>
      <w:r w:rsidR="00DB1635" w:rsidRPr="00B004EE">
        <w:rPr>
          <w:rFonts w:ascii="Tahoma" w:hAnsi="Tahoma" w:cs="Tahoma"/>
          <w:bCs/>
          <w:sz w:val="20"/>
          <w:szCs w:val="20"/>
        </w:rPr>
        <w:t xml:space="preserve"> </w:t>
      </w:r>
      <w:r w:rsidRPr="00B004EE">
        <w:rPr>
          <w:rFonts w:ascii="Tahoma" w:hAnsi="Tahoma" w:cs="Tahoma"/>
          <w:bCs/>
          <w:sz w:val="20"/>
          <w:szCs w:val="20"/>
        </w:rPr>
        <w:t>son</w:t>
      </w:r>
      <w:r w:rsidR="00DB1635" w:rsidRPr="00B004EE">
        <w:rPr>
          <w:rFonts w:ascii="Tahoma" w:hAnsi="Tahoma" w:cs="Tahoma"/>
          <w:bCs/>
          <w:sz w:val="20"/>
          <w:szCs w:val="20"/>
        </w:rPr>
        <w:t xml:space="preserve"> </w:t>
      </w:r>
      <w:r w:rsidRPr="00B004EE">
        <w:rPr>
          <w:rFonts w:ascii="Tahoma" w:hAnsi="Tahoma" w:cs="Tahoma"/>
          <w:bCs/>
          <w:sz w:val="20"/>
          <w:szCs w:val="20"/>
        </w:rPr>
        <w:t>délégataire.</w:t>
      </w:r>
    </w:p>
    <w:p w14:paraId="4CC8FBC3" w14:textId="77777777" w:rsidR="002F24E1" w:rsidRPr="00B004EE" w:rsidRDefault="002F24E1" w:rsidP="00B004EE">
      <w:pPr>
        <w:autoSpaceDE w:val="0"/>
        <w:autoSpaceDN w:val="0"/>
        <w:adjustRightInd w:val="0"/>
        <w:jc w:val="both"/>
        <w:rPr>
          <w:rFonts w:ascii="Tahoma" w:hAnsi="Tahoma" w:cs="Tahoma"/>
          <w:bCs/>
          <w:sz w:val="20"/>
          <w:szCs w:val="20"/>
        </w:rPr>
      </w:pPr>
    </w:p>
    <w:p w14:paraId="556F46D9" w14:textId="6463EAB1" w:rsidR="002F24E1" w:rsidRPr="00B004EE" w:rsidRDefault="002F24E1" w:rsidP="00B004EE">
      <w:pPr>
        <w:autoSpaceDE w:val="0"/>
        <w:autoSpaceDN w:val="0"/>
        <w:adjustRightInd w:val="0"/>
        <w:jc w:val="both"/>
        <w:rPr>
          <w:rFonts w:ascii="Tahoma" w:hAnsi="Tahoma" w:cs="Tahoma"/>
          <w:bCs/>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27.</w:t>
      </w:r>
      <w:r w:rsidR="00DB1635" w:rsidRPr="00B004EE">
        <w:rPr>
          <w:rFonts w:ascii="Tahoma" w:hAnsi="Tahoma" w:cs="Tahoma"/>
          <w:bCs/>
          <w:i/>
          <w:iCs/>
          <w:sz w:val="20"/>
          <w:szCs w:val="20"/>
        </w:rPr>
        <w:t xml:space="preserve"> </w:t>
      </w:r>
      <w:r w:rsidRPr="00B004EE">
        <w:rPr>
          <w:rFonts w:ascii="Tahoma" w:hAnsi="Tahoma" w:cs="Tahoma"/>
          <w:bCs/>
          <w:sz w:val="20"/>
          <w:szCs w:val="20"/>
        </w:rPr>
        <w:t>Les</w:t>
      </w:r>
      <w:r w:rsidR="00DB1635" w:rsidRPr="00B004EE">
        <w:rPr>
          <w:rFonts w:ascii="Tahoma" w:hAnsi="Tahoma" w:cs="Tahoma"/>
          <w:bCs/>
          <w:sz w:val="20"/>
          <w:szCs w:val="20"/>
        </w:rPr>
        <w:t xml:space="preserve"> </w:t>
      </w:r>
      <w:r w:rsidRPr="00B004EE">
        <w:rPr>
          <w:rFonts w:ascii="Tahoma" w:hAnsi="Tahoma" w:cs="Tahoma"/>
          <w:bCs/>
          <w:sz w:val="20"/>
          <w:szCs w:val="20"/>
        </w:rPr>
        <w:t>rapports</w:t>
      </w:r>
      <w:r w:rsidR="00DB1635" w:rsidRPr="00B004EE">
        <w:rPr>
          <w:rFonts w:ascii="Tahoma" w:hAnsi="Tahoma" w:cs="Tahoma"/>
          <w:bCs/>
          <w:sz w:val="20"/>
          <w:szCs w:val="20"/>
        </w:rPr>
        <w:t xml:space="preserve"> </w:t>
      </w:r>
      <w:r w:rsidRPr="00B004EE">
        <w:rPr>
          <w:rFonts w:ascii="Tahoma" w:hAnsi="Tahoma" w:cs="Tahoma"/>
          <w:bCs/>
          <w:sz w:val="20"/>
          <w:szCs w:val="20"/>
        </w:rPr>
        <w:t>d’analyses</w:t>
      </w:r>
      <w:r w:rsidR="00DB1635" w:rsidRPr="00B004EE">
        <w:rPr>
          <w:rFonts w:ascii="Tahoma" w:hAnsi="Tahoma" w:cs="Tahoma"/>
          <w:bCs/>
          <w:sz w:val="20"/>
          <w:szCs w:val="20"/>
        </w:rPr>
        <w:t xml:space="preserve"> </w:t>
      </w:r>
      <w:r w:rsidRPr="00B004EE">
        <w:rPr>
          <w:rFonts w:ascii="Tahoma" w:hAnsi="Tahoma" w:cs="Tahoma"/>
          <w:bCs/>
          <w:sz w:val="20"/>
          <w:szCs w:val="20"/>
        </w:rPr>
        <w:t>d’autocontrôle</w:t>
      </w:r>
      <w:r w:rsidR="00DB1635" w:rsidRPr="00B004EE">
        <w:rPr>
          <w:rFonts w:ascii="Tahoma" w:hAnsi="Tahoma" w:cs="Tahoma"/>
          <w:bCs/>
          <w:sz w:val="20"/>
          <w:szCs w:val="20"/>
        </w:rPr>
        <w:t xml:space="preserve"> </w:t>
      </w:r>
      <w:r w:rsidRPr="00B004EE">
        <w:rPr>
          <w:rFonts w:ascii="Tahoma" w:hAnsi="Tahoma" w:cs="Tahoma"/>
          <w:bCs/>
          <w:sz w:val="20"/>
          <w:szCs w:val="20"/>
        </w:rPr>
        <w:t>réalisées</w:t>
      </w:r>
      <w:r w:rsidR="00DB1635" w:rsidRPr="00B004EE">
        <w:rPr>
          <w:rFonts w:ascii="Tahoma" w:hAnsi="Tahoma" w:cs="Tahoma"/>
          <w:bCs/>
          <w:sz w:val="20"/>
          <w:szCs w:val="20"/>
        </w:rPr>
        <w:t xml:space="preserve"> </w:t>
      </w:r>
      <w:r w:rsidRPr="00B004EE">
        <w:rPr>
          <w:rFonts w:ascii="Tahoma" w:hAnsi="Tahoma" w:cs="Tahoma"/>
          <w:bCs/>
          <w:sz w:val="20"/>
          <w:szCs w:val="20"/>
        </w:rPr>
        <w:t>par</w:t>
      </w:r>
      <w:r w:rsidR="00DB1635" w:rsidRPr="00B004EE">
        <w:rPr>
          <w:rFonts w:ascii="Tahoma" w:hAnsi="Tahoma" w:cs="Tahoma"/>
          <w:bCs/>
          <w:sz w:val="20"/>
          <w:szCs w:val="20"/>
        </w:rPr>
        <w:t xml:space="preserve"> </w:t>
      </w:r>
      <w:r w:rsidRPr="00B004EE">
        <w:rPr>
          <w:rFonts w:ascii="Tahoma" w:hAnsi="Tahoma" w:cs="Tahoma"/>
          <w:bCs/>
          <w:sz w:val="20"/>
          <w:szCs w:val="20"/>
        </w:rPr>
        <w:t>les</w:t>
      </w:r>
      <w:r w:rsidR="00DB1635" w:rsidRPr="00B004EE">
        <w:rPr>
          <w:rFonts w:ascii="Tahoma" w:hAnsi="Tahoma" w:cs="Tahoma"/>
          <w:bCs/>
          <w:sz w:val="20"/>
          <w:szCs w:val="20"/>
        </w:rPr>
        <w:t xml:space="preserve"> </w:t>
      </w:r>
      <w:r w:rsidRPr="00B004EE">
        <w:rPr>
          <w:rFonts w:ascii="Tahoma" w:hAnsi="Tahoma" w:cs="Tahoma"/>
          <w:bCs/>
          <w:sz w:val="20"/>
          <w:szCs w:val="20"/>
        </w:rPr>
        <w:t>laboratoires</w:t>
      </w:r>
      <w:r w:rsidR="00DB1635" w:rsidRPr="00B004EE">
        <w:rPr>
          <w:rFonts w:ascii="Tahoma" w:hAnsi="Tahoma" w:cs="Tahoma"/>
          <w:bCs/>
          <w:sz w:val="20"/>
          <w:szCs w:val="20"/>
        </w:rPr>
        <w:t xml:space="preserve"> </w:t>
      </w:r>
      <w:r w:rsidRPr="00B004EE">
        <w:rPr>
          <w:rFonts w:ascii="Tahoma" w:hAnsi="Tahoma" w:cs="Tahoma"/>
          <w:bCs/>
          <w:sz w:val="20"/>
          <w:szCs w:val="20"/>
        </w:rPr>
        <w:t>reconnus</w:t>
      </w:r>
      <w:r w:rsidR="00DB1635" w:rsidRPr="00B004EE">
        <w:rPr>
          <w:rFonts w:ascii="Tahoma" w:hAnsi="Tahoma" w:cs="Tahoma"/>
          <w:bCs/>
          <w:sz w:val="20"/>
          <w:szCs w:val="20"/>
        </w:rPr>
        <w:t xml:space="preserve"> </w:t>
      </w:r>
      <w:r w:rsidRPr="00B004EE">
        <w:rPr>
          <w:rFonts w:ascii="Tahoma" w:hAnsi="Tahoma" w:cs="Tahoma"/>
          <w:bCs/>
          <w:sz w:val="20"/>
          <w:szCs w:val="20"/>
        </w:rPr>
        <w:t>doivent</w:t>
      </w:r>
      <w:r w:rsidR="00DB1635" w:rsidRPr="00B004EE">
        <w:rPr>
          <w:rFonts w:ascii="Tahoma" w:hAnsi="Tahoma" w:cs="Tahoma"/>
          <w:bCs/>
          <w:sz w:val="20"/>
          <w:szCs w:val="20"/>
        </w:rPr>
        <w:t xml:space="preserve"> </w:t>
      </w:r>
      <w:r w:rsidRPr="00B004EE">
        <w:rPr>
          <w:rFonts w:ascii="Tahoma" w:hAnsi="Tahoma" w:cs="Tahoma"/>
          <w:bCs/>
          <w:sz w:val="20"/>
          <w:szCs w:val="20"/>
        </w:rPr>
        <w:t>permettre</w:t>
      </w:r>
      <w:r w:rsidR="00DB1635" w:rsidRPr="00B004EE">
        <w:rPr>
          <w:rFonts w:ascii="Tahoma" w:hAnsi="Tahoma" w:cs="Tahoma"/>
          <w:bCs/>
          <w:sz w:val="20"/>
          <w:szCs w:val="20"/>
        </w:rPr>
        <w:t xml:space="preserve"> </w:t>
      </w:r>
      <w:r w:rsidRPr="00B004EE">
        <w:rPr>
          <w:rFonts w:ascii="Tahoma" w:hAnsi="Tahoma" w:cs="Tahoma"/>
          <w:bCs/>
          <w:sz w:val="20"/>
          <w:szCs w:val="20"/>
        </w:rPr>
        <w:t>l’identification</w:t>
      </w:r>
      <w:r w:rsidR="00DB1635" w:rsidRPr="00B004EE">
        <w:rPr>
          <w:rFonts w:ascii="Tahoma" w:hAnsi="Tahoma" w:cs="Tahoma"/>
          <w:bCs/>
          <w:sz w:val="20"/>
          <w:szCs w:val="20"/>
        </w:rPr>
        <w:t xml:space="preserve"> </w:t>
      </w:r>
      <w:r w:rsidRPr="00B004EE">
        <w:rPr>
          <w:rFonts w:ascii="Tahoma" w:hAnsi="Tahoma" w:cs="Tahoma"/>
          <w:bCs/>
          <w:sz w:val="20"/>
          <w:szCs w:val="20"/>
        </w:rPr>
        <w:t>:</w:t>
      </w:r>
    </w:p>
    <w:p w14:paraId="2D791EF3" w14:textId="484F3A3B" w:rsidR="002F24E1" w:rsidRPr="00B004EE" w:rsidRDefault="002F24E1" w:rsidP="00B004EE">
      <w:pPr>
        <w:numPr>
          <w:ilvl w:val="0"/>
          <w:numId w:val="5"/>
        </w:numPr>
        <w:autoSpaceDE w:val="0"/>
        <w:autoSpaceDN w:val="0"/>
        <w:adjustRightInd w:val="0"/>
        <w:ind w:left="284" w:hanging="284"/>
        <w:jc w:val="both"/>
        <w:rPr>
          <w:rFonts w:ascii="Tahoma" w:hAnsi="Tahoma" w:cs="Tahoma"/>
          <w:bCs/>
          <w:sz w:val="20"/>
          <w:szCs w:val="20"/>
        </w:rPr>
      </w:pPr>
      <w:proofErr w:type="gramStart"/>
      <w:r w:rsidRPr="00B004EE">
        <w:rPr>
          <w:rFonts w:ascii="Tahoma" w:hAnsi="Tahoma" w:cs="Tahoma"/>
          <w:bCs/>
          <w:sz w:val="20"/>
          <w:szCs w:val="20"/>
        </w:rPr>
        <w:t>du</w:t>
      </w:r>
      <w:proofErr w:type="gramEnd"/>
      <w:r w:rsidR="00DB1635" w:rsidRPr="00B004EE">
        <w:rPr>
          <w:rFonts w:ascii="Tahoma" w:hAnsi="Tahoma" w:cs="Tahoma"/>
          <w:bCs/>
          <w:sz w:val="20"/>
          <w:szCs w:val="20"/>
        </w:rPr>
        <w:t xml:space="preserve"> </w:t>
      </w:r>
      <w:r w:rsidRPr="00B004EE">
        <w:rPr>
          <w:rFonts w:ascii="Tahoma" w:hAnsi="Tahoma" w:cs="Tahoma"/>
          <w:bCs/>
          <w:sz w:val="20"/>
          <w:szCs w:val="20"/>
        </w:rPr>
        <w:t>demandeur</w:t>
      </w:r>
      <w:r w:rsidR="00DB1635" w:rsidRPr="00B004EE">
        <w:rPr>
          <w:rFonts w:ascii="Tahoma" w:hAnsi="Tahoma" w:cs="Tahoma"/>
          <w:bCs/>
          <w:sz w:val="20"/>
          <w:szCs w:val="20"/>
        </w:rPr>
        <w:t xml:space="preserve"> </w:t>
      </w:r>
      <w:r w:rsidRPr="00B004EE">
        <w:rPr>
          <w:rFonts w:ascii="Tahoma" w:hAnsi="Tahoma" w:cs="Tahoma"/>
          <w:bCs/>
          <w:sz w:val="20"/>
          <w:szCs w:val="20"/>
        </w:rPr>
        <w:t>;</w:t>
      </w:r>
    </w:p>
    <w:p w14:paraId="1AA511FE" w14:textId="457F2B85" w:rsidR="002F24E1" w:rsidRPr="00B004EE" w:rsidRDefault="002F24E1" w:rsidP="00B004EE">
      <w:pPr>
        <w:numPr>
          <w:ilvl w:val="0"/>
          <w:numId w:val="5"/>
        </w:numPr>
        <w:autoSpaceDE w:val="0"/>
        <w:autoSpaceDN w:val="0"/>
        <w:adjustRightInd w:val="0"/>
        <w:ind w:left="284" w:hanging="284"/>
        <w:jc w:val="both"/>
        <w:rPr>
          <w:rFonts w:ascii="Tahoma" w:hAnsi="Tahoma" w:cs="Tahoma"/>
          <w:sz w:val="20"/>
          <w:szCs w:val="20"/>
        </w:rPr>
      </w:pPr>
      <w:proofErr w:type="gramStart"/>
      <w:r w:rsidRPr="00B004EE">
        <w:rPr>
          <w:rFonts w:ascii="Tahoma" w:hAnsi="Tahoma" w:cs="Tahoma"/>
          <w:sz w:val="20"/>
          <w:szCs w:val="20"/>
        </w:rPr>
        <w:t>de</w:t>
      </w:r>
      <w:proofErr w:type="gramEnd"/>
      <w:r w:rsidR="00DB1635" w:rsidRPr="00B004EE">
        <w:rPr>
          <w:rFonts w:ascii="Tahoma" w:hAnsi="Tahoma" w:cs="Tahoma"/>
          <w:sz w:val="20"/>
          <w:szCs w:val="20"/>
        </w:rPr>
        <w:t xml:space="preserve"> </w:t>
      </w:r>
      <w:r w:rsidRPr="00B004EE">
        <w:rPr>
          <w:rFonts w:ascii="Tahoma" w:hAnsi="Tahoma" w:cs="Tahoma"/>
          <w:sz w:val="20"/>
          <w:szCs w:val="20"/>
        </w:rPr>
        <w:t>l’échantillon</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nature,</w:t>
      </w:r>
      <w:r w:rsidR="00DB1635" w:rsidRPr="00B004EE">
        <w:rPr>
          <w:rFonts w:ascii="Tahoma" w:hAnsi="Tahoma" w:cs="Tahoma"/>
          <w:sz w:val="20"/>
          <w:szCs w:val="20"/>
        </w:rPr>
        <w:t xml:space="preserve"> </w:t>
      </w:r>
      <w:r w:rsidRPr="00B004EE">
        <w:rPr>
          <w:rFonts w:ascii="Tahoma" w:hAnsi="Tahoma" w:cs="Tahoma"/>
          <w:sz w:val="20"/>
          <w:szCs w:val="20"/>
        </w:rPr>
        <w:t>état,</w:t>
      </w:r>
      <w:r w:rsidR="00DB1635" w:rsidRPr="00B004EE">
        <w:rPr>
          <w:rFonts w:ascii="Tahoma" w:hAnsi="Tahoma" w:cs="Tahoma"/>
          <w:sz w:val="20"/>
          <w:szCs w:val="20"/>
        </w:rPr>
        <w:t xml:space="preserve"> </w:t>
      </w:r>
      <w:r w:rsidRPr="00B004EE">
        <w:rPr>
          <w:rFonts w:ascii="Tahoma" w:hAnsi="Tahoma" w:cs="Tahoma"/>
          <w:sz w:val="20"/>
          <w:szCs w:val="20"/>
        </w:rPr>
        <w:t>date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réception</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date</w:t>
      </w:r>
      <w:r w:rsidR="00DB1635" w:rsidRPr="00B004EE">
        <w:rPr>
          <w:rFonts w:ascii="Tahoma" w:hAnsi="Tahoma" w:cs="Tahoma"/>
          <w:sz w:val="20"/>
          <w:szCs w:val="20"/>
        </w:rPr>
        <w:t xml:space="preserve"> </w:t>
      </w:r>
      <w:r w:rsidRPr="00B004EE">
        <w:rPr>
          <w:rFonts w:ascii="Tahoma" w:hAnsi="Tahoma" w:cs="Tahoma"/>
          <w:sz w:val="20"/>
          <w:szCs w:val="20"/>
        </w:rPr>
        <w:t>d’analyse</w:t>
      </w:r>
      <w:r w:rsidR="00DB1635" w:rsidRPr="00B004EE">
        <w:rPr>
          <w:rFonts w:ascii="Tahoma" w:hAnsi="Tahoma" w:cs="Tahoma"/>
          <w:sz w:val="20"/>
          <w:szCs w:val="20"/>
        </w:rPr>
        <w:t xml:space="preserve"> </w:t>
      </w:r>
      <w:r w:rsidRPr="00B004EE">
        <w:rPr>
          <w:rFonts w:ascii="Tahoma" w:hAnsi="Tahoma" w:cs="Tahoma"/>
          <w:sz w:val="20"/>
          <w:szCs w:val="20"/>
        </w:rPr>
        <w:t>;</w:t>
      </w:r>
    </w:p>
    <w:p w14:paraId="49AFFC37" w14:textId="091B6292" w:rsidR="002F24E1" w:rsidRPr="00B004EE" w:rsidRDefault="002F24E1" w:rsidP="00B004EE">
      <w:pPr>
        <w:numPr>
          <w:ilvl w:val="0"/>
          <w:numId w:val="5"/>
        </w:numPr>
        <w:autoSpaceDE w:val="0"/>
        <w:autoSpaceDN w:val="0"/>
        <w:adjustRightInd w:val="0"/>
        <w:ind w:left="284" w:hanging="284"/>
        <w:jc w:val="both"/>
        <w:rPr>
          <w:rFonts w:ascii="Tahoma" w:hAnsi="Tahoma" w:cs="Tahoma"/>
          <w:sz w:val="20"/>
          <w:szCs w:val="20"/>
        </w:rPr>
      </w:pPr>
      <w:proofErr w:type="gramStart"/>
      <w:r w:rsidRPr="00B004EE">
        <w:rPr>
          <w:rFonts w:ascii="Tahoma" w:hAnsi="Tahoma" w:cs="Tahoma"/>
          <w:sz w:val="20"/>
          <w:szCs w:val="20"/>
        </w:rPr>
        <w:t>de</w:t>
      </w:r>
      <w:proofErr w:type="gramEnd"/>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méthode</w:t>
      </w:r>
      <w:r w:rsidR="00DB1635" w:rsidRPr="00B004EE">
        <w:rPr>
          <w:rFonts w:ascii="Tahoma" w:hAnsi="Tahoma" w:cs="Tahoma"/>
          <w:sz w:val="20"/>
          <w:szCs w:val="20"/>
        </w:rPr>
        <w:t xml:space="preserve"> </w:t>
      </w:r>
      <w:r w:rsidRPr="00B004EE">
        <w:rPr>
          <w:rFonts w:ascii="Tahoma" w:hAnsi="Tahoma" w:cs="Tahoma"/>
          <w:sz w:val="20"/>
          <w:szCs w:val="20"/>
        </w:rPr>
        <w:t>d’analyse</w:t>
      </w:r>
      <w:r w:rsidR="00DB1635" w:rsidRPr="00B004EE">
        <w:rPr>
          <w:rFonts w:ascii="Tahoma" w:hAnsi="Tahoma" w:cs="Tahoma"/>
          <w:sz w:val="20"/>
          <w:szCs w:val="20"/>
        </w:rPr>
        <w:t xml:space="preserve"> </w:t>
      </w:r>
      <w:r w:rsidRPr="00B004EE">
        <w:rPr>
          <w:rFonts w:ascii="Tahoma" w:hAnsi="Tahoma" w:cs="Tahoma"/>
          <w:sz w:val="20"/>
          <w:szCs w:val="20"/>
        </w:rPr>
        <w:t>employée</w:t>
      </w:r>
      <w:r w:rsidR="00DB1635" w:rsidRPr="00B004EE">
        <w:rPr>
          <w:rFonts w:ascii="Tahoma" w:hAnsi="Tahoma" w:cs="Tahoma"/>
          <w:sz w:val="20"/>
          <w:szCs w:val="20"/>
        </w:rPr>
        <w:t xml:space="preserve"> </w:t>
      </w:r>
      <w:r w:rsidRPr="00B004EE">
        <w:rPr>
          <w:rFonts w:ascii="Tahoma" w:hAnsi="Tahoma" w:cs="Tahoma"/>
          <w:sz w:val="20"/>
          <w:szCs w:val="20"/>
        </w:rPr>
        <w:t>;</w:t>
      </w:r>
    </w:p>
    <w:p w14:paraId="7F6B93A2" w14:textId="5B247126" w:rsidR="002F24E1" w:rsidRPr="00B004EE" w:rsidRDefault="002F24E1" w:rsidP="00B004EE">
      <w:pPr>
        <w:numPr>
          <w:ilvl w:val="0"/>
          <w:numId w:val="5"/>
        </w:numPr>
        <w:autoSpaceDE w:val="0"/>
        <w:autoSpaceDN w:val="0"/>
        <w:adjustRightInd w:val="0"/>
        <w:ind w:left="284" w:hanging="284"/>
        <w:jc w:val="both"/>
        <w:rPr>
          <w:rFonts w:ascii="Tahoma" w:hAnsi="Tahoma" w:cs="Tahoma"/>
          <w:sz w:val="20"/>
          <w:szCs w:val="20"/>
        </w:rPr>
      </w:pPr>
      <w:proofErr w:type="gramStart"/>
      <w:r w:rsidRPr="00B004EE">
        <w:rPr>
          <w:rFonts w:ascii="Tahoma" w:hAnsi="Tahoma" w:cs="Tahoma"/>
          <w:sz w:val="20"/>
          <w:szCs w:val="20"/>
        </w:rPr>
        <w:t>du</w:t>
      </w:r>
      <w:proofErr w:type="gramEnd"/>
      <w:r w:rsidR="00DB1635" w:rsidRPr="00B004EE">
        <w:rPr>
          <w:rFonts w:ascii="Tahoma" w:hAnsi="Tahoma" w:cs="Tahoma"/>
          <w:sz w:val="20"/>
          <w:szCs w:val="20"/>
        </w:rPr>
        <w:t xml:space="preserve"> </w:t>
      </w:r>
      <w:r w:rsidRPr="00B004EE">
        <w:rPr>
          <w:rFonts w:ascii="Tahoma" w:hAnsi="Tahoma" w:cs="Tahoma"/>
          <w:sz w:val="20"/>
          <w:szCs w:val="20"/>
        </w:rPr>
        <w:t>résultat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l’analyse</w:t>
      </w:r>
      <w:r w:rsidR="00DB1635" w:rsidRPr="00B004EE">
        <w:rPr>
          <w:rFonts w:ascii="Tahoma" w:hAnsi="Tahoma" w:cs="Tahoma"/>
          <w:sz w:val="20"/>
          <w:szCs w:val="20"/>
        </w:rPr>
        <w:t xml:space="preserve"> </w:t>
      </w:r>
      <w:r w:rsidRPr="00B004EE">
        <w:rPr>
          <w:rFonts w:ascii="Tahoma" w:hAnsi="Tahoma" w:cs="Tahoma"/>
          <w:sz w:val="20"/>
          <w:szCs w:val="20"/>
        </w:rPr>
        <w:t>avec,</w:t>
      </w:r>
      <w:r w:rsidR="00DB1635" w:rsidRPr="00B004EE">
        <w:rPr>
          <w:rFonts w:ascii="Tahoma" w:hAnsi="Tahoma" w:cs="Tahoma"/>
          <w:sz w:val="20"/>
          <w:szCs w:val="20"/>
        </w:rPr>
        <w:t xml:space="preserve"> </w:t>
      </w:r>
      <w:r w:rsidRPr="00B004EE">
        <w:rPr>
          <w:rFonts w:ascii="Tahoma" w:hAnsi="Tahoma" w:cs="Tahoma"/>
          <w:sz w:val="20"/>
          <w:szCs w:val="20"/>
        </w:rPr>
        <w:t>s’il</w:t>
      </w:r>
      <w:r w:rsidR="00DB1635" w:rsidRPr="00B004EE">
        <w:rPr>
          <w:rFonts w:ascii="Tahoma" w:hAnsi="Tahoma" w:cs="Tahoma"/>
          <w:sz w:val="20"/>
          <w:szCs w:val="20"/>
        </w:rPr>
        <w:t xml:space="preserve"> </w:t>
      </w:r>
      <w:r w:rsidRPr="00B004EE">
        <w:rPr>
          <w:rFonts w:ascii="Tahoma" w:hAnsi="Tahoma" w:cs="Tahoma"/>
          <w:sz w:val="20"/>
          <w:szCs w:val="20"/>
        </w:rPr>
        <w:t>y</w:t>
      </w:r>
      <w:r w:rsidR="00DB1635" w:rsidRPr="00B004EE">
        <w:rPr>
          <w:rFonts w:ascii="Tahoma" w:hAnsi="Tahoma" w:cs="Tahoma"/>
          <w:sz w:val="20"/>
          <w:szCs w:val="20"/>
        </w:rPr>
        <w:t xml:space="preserve"> </w:t>
      </w:r>
      <w:r w:rsidRPr="00B004EE">
        <w:rPr>
          <w:rFonts w:ascii="Tahoma" w:hAnsi="Tahoma" w:cs="Tahoma"/>
          <w:sz w:val="20"/>
          <w:szCs w:val="20"/>
        </w:rPr>
        <w:t>a</w:t>
      </w:r>
      <w:r w:rsidR="00DB1635" w:rsidRPr="00B004EE">
        <w:rPr>
          <w:rFonts w:ascii="Tahoma" w:hAnsi="Tahoma" w:cs="Tahoma"/>
          <w:sz w:val="20"/>
          <w:szCs w:val="20"/>
        </w:rPr>
        <w:t xml:space="preserve"> </w:t>
      </w:r>
      <w:r w:rsidRPr="00B004EE">
        <w:rPr>
          <w:rFonts w:ascii="Tahoma" w:hAnsi="Tahoma" w:cs="Tahoma"/>
          <w:sz w:val="20"/>
          <w:szCs w:val="20"/>
        </w:rPr>
        <w:t>lieu,</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unités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mesure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cas</w:t>
      </w:r>
      <w:r w:rsidR="00DB1635" w:rsidRPr="00B004EE">
        <w:rPr>
          <w:rFonts w:ascii="Tahoma" w:hAnsi="Tahoma" w:cs="Tahoma"/>
          <w:sz w:val="20"/>
          <w:szCs w:val="20"/>
        </w:rPr>
        <w:t xml:space="preserve"> </w:t>
      </w:r>
      <w:r w:rsidRPr="00B004EE">
        <w:rPr>
          <w:rFonts w:ascii="Tahoma" w:hAnsi="Tahoma" w:cs="Tahoma"/>
          <w:sz w:val="20"/>
          <w:szCs w:val="20"/>
        </w:rPr>
        <w:t>échéant,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critères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l’interprétation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résultats.</w:t>
      </w:r>
    </w:p>
    <w:p w14:paraId="5D0B9CE5" w14:textId="77777777" w:rsidR="002F24E1" w:rsidRPr="00B004EE" w:rsidRDefault="002F24E1" w:rsidP="00B004EE">
      <w:pPr>
        <w:autoSpaceDE w:val="0"/>
        <w:autoSpaceDN w:val="0"/>
        <w:adjustRightInd w:val="0"/>
        <w:jc w:val="both"/>
        <w:rPr>
          <w:rFonts w:ascii="Tahoma" w:hAnsi="Tahoma" w:cs="Tahoma"/>
          <w:sz w:val="20"/>
          <w:szCs w:val="20"/>
        </w:rPr>
      </w:pPr>
    </w:p>
    <w:p w14:paraId="218EDE87" w14:textId="58EDA9B4" w:rsidR="002F24E1" w:rsidRDefault="002F24E1" w:rsidP="00B004EE">
      <w:pPr>
        <w:autoSpaceDE w:val="0"/>
        <w:autoSpaceDN w:val="0"/>
        <w:adjustRightInd w:val="0"/>
        <w:jc w:val="both"/>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28.</w:t>
      </w:r>
      <w:r w:rsidR="00DB1635" w:rsidRPr="00B004EE">
        <w:rPr>
          <w:rFonts w:ascii="Tahoma" w:hAnsi="Tahoma" w:cs="Tahoma"/>
          <w:bCs/>
          <w:sz w:val="20"/>
          <w:szCs w:val="20"/>
        </w:rPr>
        <w:t xml:space="preserve"> </w:t>
      </w:r>
      <w:r w:rsidRPr="00B004EE">
        <w:rPr>
          <w:rFonts w:ascii="Tahoma" w:hAnsi="Tahoma" w:cs="Tahoma"/>
          <w:bCs/>
          <w:sz w:val="20"/>
          <w:szCs w:val="20"/>
        </w:rPr>
        <w:t>Les</w:t>
      </w:r>
      <w:r w:rsidR="00DB1635" w:rsidRPr="00B004EE">
        <w:rPr>
          <w:rFonts w:ascii="Tahoma" w:hAnsi="Tahoma" w:cs="Tahoma"/>
          <w:bCs/>
          <w:sz w:val="20"/>
          <w:szCs w:val="20"/>
        </w:rPr>
        <w:t xml:space="preserve"> </w:t>
      </w:r>
      <w:r w:rsidRPr="00B004EE">
        <w:rPr>
          <w:rFonts w:ascii="Tahoma" w:hAnsi="Tahoma" w:cs="Tahoma"/>
          <w:bCs/>
          <w:sz w:val="20"/>
          <w:szCs w:val="20"/>
        </w:rPr>
        <w:t>analyses</w:t>
      </w:r>
      <w:r w:rsidR="00DB1635" w:rsidRPr="00B004EE">
        <w:rPr>
          <w:rFonts w:ascii="Tahoma" w:hAnsi="Tahoma" w:cs="Tahoma"/>
          <w:bCs/>
          <w:sz w:val="20"/>
          <w:szCs w:val="20"/>
        </w:rPr>
        <w:t xml:space="preserve"> </w:t>
      </w:r>
      <w:r w:rsidRPr="00B004EE">
        <w:rPr>
          <w:rFonts w:ascii="Tahoma" w:hAnsi="Tahoma" w:cs="Tahoma"/>
          <w:bCs/>
          <w:sz w:val="20"/>
          <w:szCs w:val="20"/>
        </w:rPr>
        <w:t>mentionnées</w:t>
      </w:r>
      <w:r w:rsidR="00DB1635" w:rsidRPr="00B004EE">
        <w:rPr>
          <w:rFonts w:ascii="Tahoma" w:hAnsi="Tahoma" w:cs="Tahoma"/>
          <w:bCs/>
          <w:sz w:val="20"/>
          <w:szCs w:val="20"/>
        </w:rPr>
        <w:t xml:space="preserve"> </w:t>
      </w:r>
      <w:r w:rsidRPr="00B004EE">
        <w:rPr>
          <w:rFonts w:ascii="Tahoma" w:hAnsi="Tahoma" w:cs="Tahoma"/>
          <w:bCs/>
          <w:sz w:val="20"/>
          <w:szCs w:val="20"/>
        </w:rPr>
        <w:t>à</w:t>
      </w:r>
      <w:r w:rsidR="00DB1635" w:rsidRPr="00B004EE">
        <w:rPr>
          <w:rFonts w:ascii="Tahoma" w:hAnsi="Tahoma" w:cs="Tahoma"/>
          <w:bCs/>
          <w:sz w:val="20"/>
          <w:szCs w:val="20"/>
        </w:rPr>
        <w:t xml:space="preserve"> </w:t>
      </w:r>
      <w:r w:rsidRPr="00B004EE">
        <w:rPr>
          <w:rFonts w:ascii="Tahoma" w:hAnsi="Tahoma" w:cs="Tahoma"/>
          <w:bCs/>
          <w:sz w:val="20"/>
          <w:szCs w:val="20"/>
        </w:rPr>
        <w:t>l’article</w:t>
      </w:r>
      <w:r w:rsidR="00DB1635" w:rsidRPr="00B004EE">
        <w:rPr>
          <w:rFonts w:ascii="Tahoma" w:hAnsi="Tahoma" w:cs="Tahoma"/>
          <w:bCs/>
          <w:sz w:val="20"/>
          <w:szCs w:val="20"/>
        </w:rPr>
        <w:t xml:space="preserve"> </w:t>
      </w:r>
      <w:r w:rsidRPr="00B004EE">
        <w:rPr>
          <w:rFonts w:ascii="Tahoma" w:hAnsi="Tahoma" w:cs="Tahoma"/>
          <w:bCs/>
          <w:sz w:val="20"/>
          <w:szCs w:val="20"/>
        </w:rPr>
        <w:t>19</w:t>
      </w:r>
      <w:r w:rsidR="00DB1635" w:rsidRPr="00B004EE">
        <w:rPr>
          <w:rFonts w:ascii="Tahoma" w:hAnsi="Tahoma" w:cs="Tahoma"/>
          <w:bCs/>
          <w:sz w:val="20"/>
          <w:szCs w:val="20"/>
        </w:rPr>
        <w:t xml:space="preserve"> </w:t>
      </w:r>
      <w:r w:rsidRPr="00B004EE">
        <w:rPr>
          <w:rFonts w:ascii="Tahoma" w:hAnsi="Tahoma" w:cs="Tahoma"/>
          <w:bCs/>
          <w:sz w:val="20"/>
          <w:szCs w:val="20"/>
        </w:rPr>
        <w:t>sont</w:t>
      </w:r>
      <w:r w:rsidR="00DB1635" w:rsidRPr="00B004EE">
        <w:rPr>
          <w:rFonts w:ascii="Tahoma" w:hAnsi="Tahoma" w:cs="Tahoma"/>
          <w:bCs/>
          <w:sz w:val="20"/>
          <w:szCs w:val="20"/>
        </w:rPr>
        <w:t xml:space="preserve"> </w:t>
      </w:r>
      <w:r w:rsidRPr="00B004EE">
        <w:rPr>
          <w:rFonts w:ascii="Tahoma" w:hAnsi="Tahoma" w:cs="Tahoma"/>
          <w:bCs/>
          <w:sz w:val="20"/>
          <w:szCs w:val="20"/>
        </w:rPr>
        <w:t>réalisées</w:t>
      </w:r>
      <w:r w:rsidR="00DB1635" w:rsidRPr="00B004EE">
        <w:rPr>
          <w:rFonts w:ascii="Tahoma" w:hAnsi="Tahoma" w:cs="Tahoma"/>
          <w:bCs/>
          <w:sz w:val="20"/>
          <w:szCs w:val="20"/>
        </w:rPr>
        <w:t xml:space="preserve"> </w:t>
      </w:r>
      <w:r w:rsidRPr="00B004EE">
        <w:rPr>
          <w:rFonts w:ascii="Tahoma" w:hAnsi="Tahoma" w:cs="Tahoma"/>
          <w:bCs/>
          <w:sz w:val="20"/>
          <w:szCs w:val="20"/>
        </w:rPr>
        <w:t>par</w:t>
      </w:r>
      <w:r w:rsidR="00DB1635" w:rsidRPr="00B004EE">
        <w:rPr>
          <w:rFonts w:ascii="Tahoma" w:hAnsi="Tahoma" w:cs="Tahoma"/>
          <w:bCs/>
          <w:sz w:val="20"/>
          <w:szCs w:val="20"/>
        </w:rPr>
        <w:t xml:space="preserve"> </w:t>
      </w:r>
      <w:r w:rsidRPr="00B004EE">
        <w:rPr>
          <w:rFonts w:ascii="Tahoma" w:hAnsi="Tahoma" w:cs="Tahoma"/>
          <w:bCs/>
          <w:sz w:val="20"/>
          <w:szCs w:val="20"/>
        </w:rPr>
        <w:t>les</w:t>
      </w:r>
      <w:r w:rsidR="00DB1635" w:rsidRPr="00B004EE">
        <w:rPr>
          <w:rFonts w:ascii="Tahoma" w:hAnsi="Tahoma" w:cs="Tahoma"/>
          <w:bCs/>
          <w:sz w:val="20"/>
          <w:szCs w:val="20"/>
        </w:rPr>
        <w:t xml:space="preserve"> </w:t>
      </w:r>
      <w:r w:rsidRPr="00B004EE">
        <w:rPr>
          <w:rFonts w:ascii="Tahoma" w:hAnsi="Tahoma" w:cs="Tahoma"/>
          <w:bCs/>
          <w:sz w:val="20"/>
          <w:szCs w:val="20"/>
        </w:rPr>
        <w:t>laboratoires</w:t>
      </w:r>
      <w:r w:rsidR="00DB1635" w:rsidRPr="00B004EE">
        <w:rPr>
          <w:rFonts w:ascii="Tahoma" w:hAnsi="Tahoma" w:cs="Tahoma"/>
          <w:sz w:val="20"/>
          <w:szCs w:val="20"/>
        </w:rPr>
        <w:t xml:space="preserve"> </w:t>
      </w:r>
      <w:r w:rsidRPr="00B004EE">
        <w:rPr>
          <w:rFonts w:ascii="Tahoma" w:hAnsi="Tahoma" w:cs="Tahoma"/>
          <w:sz w:val="20"/>
          <w:szCs w:val="20"/>
        </w:rPr>
        <w:t>reconnus</w:t>
      </w:r>
      <w:r w:rsidR="00DB1635" w:rsidRPr="00B004EE">
        <w:rPr>
          <w:rFonts w:ascii="Tahoma" w:hAnsi="Tahoma" w:cs="Tahoma"/>
          <w:sz w:val="20"/>
          <w:szCs w:val="20"/>
        </w:rPr>
        <w:t xml:space="preserve"> </w:t>
      </w:r>
      <w:r w:rsidRPr="00B004EE">
        <w:rPr>
          <w:rFonts w:ascii="Tahoma" w:hAnsi="Tahoma" w:cs="Tahoma"/>
          <w:sz w:val="20"/>
          <w:szCs w:val="20"/>
        </w:rPr>
        <w:t>selon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méthodes</w:t>
      </w:r>
      <w:r w:rsidR="00DB1635" w:rsidRPr="00B004EE">
        <w:rPr>
          <w:rFonts w:ascii="Tahoma" w:hAnsi="Tahoma" w:cs="Tahoma"/>
          <w:sz w:val="20"/>
          <w:szCs w:val="20"/>
        </w:rPr>
        <w:t xml:space="preserve"> </w:t>
      </w:r>
      <w:r w:rsidRPr="00B004EE">
        <w:rPr>
          <w:rFonts w:ascii="Tahoma" w:hAnsi="Tahoma" w:cs="Tahoma"/>
          <w:sz w:val="20"/>
          <w:szCs w:val="20"/>
        </w:rPr>
        <w:t>précisées</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l’arrêté</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ministère</w:t>
      </w:r>
      <w:r w:rsidR="00DB1635" w:rsidRPr="00B004EE">
        <w:rPr>
          <w:rFonts w:ascii="Tahoma" w:hAnsi="Tahoma" w:cs="Tahoma"/>
          <w:sz w:val="20"/>
          <w:szCs w:val="20"/>
        </w:rPr>
        <w:t xml:space="preserve"> </w:t>
      </w:r>
      <w:r w:rsidRPr="00B004EE">
        <w:rPr>
          <w:rFonts w:ascii="Tahoma" w:hAnsi="Tahoma" w:cs="Tahoma"/>
          <w:sz w:val="20"/>
          <w:szCs w:val="20"/>
        </w:rPr>
        <w:t>chargé</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p>
    <w:p w14:paraId="30943F59" w14:textId="36B26D1A" w:rsidR="00251373" w:rsidRDefault="00251373" w:rsidP="00B004EE">
      <w:pPr>
        <w:autoSpaceDE w:val="0"/>
        <w:autoSpaceDN w:val="0"/>
        <w:adjustRightInd w:val="0"/>
        <w:jc w:val="both"/>
        <w:rPr>
          <w:rFonts w:ascii="Tahoma" w:hAnsi="Tahoma" w:cs="Tahoma"/>
          <w:sz w:val="20"/>
          <w:szCs w:val="20"/>
        </w:rPr>
      </w:pPr>
    </w:p>
    <w:p w14:paraId="76104E8A" w14:textId="01D8FE5E" w:rsidR="00251373" w:rsidRDefault="00251373" w:rsidP="00B004EE">
      <w:pPr>
        <w:autoSpaceDE w:val="0"/>
        <w:autoSpaceDN w:val="0"/>
        <w:adjustRightInd w:val="0"/>
        <w:jc w:val="both"/>
        <w:rPr>
          <w:rFonts w:ascii="Tahoma" w:hAnsi="Tahoma" w:cs="Tahoma"/>
          <w:sz w:val="20"/>
          <w:szCs w:val="20"/>
        </w:rPr>
      </w:pPr>
    </w:p>
    <w:p w14:paraId="7CA3056E" w14:textId="77777777" w:rsidR="00251373" w:rsidRPr="00B004EE" w:rsidRDefault="00251373" w:rsidP="00B004EE">
      <w:pPr>
        <w:autoSpaceDE w:val="0"/>
        <w:autoSpaceDN w:val="0"/>
        <w:adjustRightInd w:val="0"/>
        <w:jc w:val="both"/>
        <w:rPr>
          <w:rFonts w:ascii="Tahoma" w:hAnsi="Tahoma" w:cs="Tahoma"/>
          <w:sz w:val="20"/>
          <w:szCs w:val="20"/>
        </w:rPr>
      </w:pPr>
    </w:p>
    <w:p w14:paraId="00FB92A6" w14:textId="77777777" w:rsidR="002F24E1" w:rsidRPr="00B004EE" w:rsidRDefault="002F24E1" w:rsidP="00B004EE">
      <w:pPr>
        <w:autoSpaceDE w:val="0"/>
        <w:autoSpaceDN w:val="0"/>
        <w:adjustRightInd w:val="0"/>
        <w:jc w:val="both"/>
        <w:rPr>
          <w:rFonts w:ascii="Tahoma" w:hAnsi="Tahoma" w:cs="Tahoma"/>
          <w:sz w:val="20"/>
          <w:szCs w:val="20"/>
        </w:rPr>
      </w:pPr>
    </w:p>
    <w:p w14:paraId="4E35A739" w14:textId="5CBCB4E1" w:rsidR="002F24E1" w:rsidRPr="00B004EE" w:rsidRDefault="002F24E1" w:rsidP="00B004EE">
      <w:pPr>
        <w:autoSpaceDE w:val="0"/>
        <w:autoSpaceDN w:val="0"/>
        <w:adjustRightInd w:val="0"/>
        <w:jc w:val="center"/>
        <w:rPr>
          <w:rFonts w:ascii="Tahoma" w:hAnsi="Tahoma" w:cs="Tahoma"/>
          <w:b/>
          <w:iCs/>
          <w:sz w:val="20"/>
          <w:szCs w:val="20"/>
        </w:rPr>
      </w:pPr>
      <w:r w:rsidRPr="00B004EE">
        <w:rPr>
          <w:rFonts w:ascii="Tahoma" w:hAnsi="Tahoma" w:cs="Tahoma"/>
          <w:b/>
          <w:iCs/>
          <w:sz w:val="20"/>
          <w:szCs w:val="20"/>
        </w:rPr>
        <w:lastRenderedPageBreak/>
        <w:t>CHAPITRE</w:t>
      </w:r>
      <w:r w:rsidR="00DB1635" w:rsidRPr="00B004EE">
        <w:rPr>
          <w:rFonts w:ascii="Tahoma" w:hAnsi="Tahoma" w:cs="Tahoma"/>
          <w:b/>
          <w:iCs/>
          <w:sz w:val="20"/>
          <w:szCs w:val="20"/>
        </w:rPr>
        <w:t xml:space="preserve"> </w:t>
      </w:r>
      <w:r w:rsidRPr="00B004EE">
        <w:rPr>
          <w:rFonts w:ascii="Tahoma" w:hAnsi="Tahoma" w:cs="Tahoma"/>
          <w:b/>
          <w:iCs/>
          <w:sz w:val="20"/>
          <w:szCs w:val="20"/>
        </w:rPr>
        <w:t>5</w:t>
      </w:r>
      <w:r w:rsidR="00DB1635" w:rsidRPr="00B004EE">
        <w:rPr>
          <w:rFonts w:ascii="Tahoma" w:hAnsi="Tahoma" w:cs="Tahoma"/>
          <w:b/>
          <w:iCs/>
          <w:sz w:val="20"/>
          <w:szCs w:val="20"/>
        </w:rPr>
        <w:t xml:space="preserve"> </w:t>
      </w:r>
      <w:r w:rsidRPr="00B004EE">
        <w:rPr>
          <w:rFonts w:ascii="Tahoma" w:hAnsi="Tahoma" w:cs="Tahoma"/>
          <w:b/>
          <w:iCs/>
          <w:sz w:val="20"/>
          <w:szCs w:val="20"/>
        </w:rPr>
        <w:t>–</w:t>
      </w:r>
      <w:r w:rsidR="00DB1635" w:rsidRPr="00B004EE">
        <w:rPr>
          <w:rFonts w:ascii="Tahoma" w:hAnsi="Tahoma" w:cs="Tahoma"/>
          <w:b/>
          <w:iCs/>
          <w:sz w:val="20"/>
          <w:szCs w:val="20"/>
        </w:rPr>
        <w:t xml:space="preserve"> </w:t>
      </w:r>
      <w:r w:rsidRPr="00B004EE">
        <w:rPr>
          <w:rFonts w:ascii="Tahoma" w:hAnsi="Tahoma" w:cs="Tahoma"/>
          <w:b/>
          <w:iCs/>
          <w:sz w:val="20"/>
          <w:szCs w:val="20"/>
        </w:rPr>
        <w:t>DISPOSITIONS</w:t>
      </w:r>
      <w:r w:rsidR="00DB1635" w:rsidRPr="00B004EE">
        <w:rPr>
          <w:rFonts w:ascii="Tahoma" w:hAnsi="Tahoma" w:cs="Tahoma"/>
          <w:b/>
          <w:iCs/>
          <w:sz w:val="20"/>
          <w:szCs w:val="20"/>
        </w:rPr>
        <w:t xml:space="preserve"> </w:t>
      </w:r>
      <w:r w:rsidRPr="00B004EE">
        <w:rPr>
          <w:rFonts w:ascii="Tahoma" w:hAnsi="Tahoma" w:cs="Tahoma"/>
          <w:b/>
          <w:iCs/>
          <w:sz w:val="20"/>
          <w:szCs w:val="20"/>
        </w:rPr>
        <w:t>FINALES</w:t>
      </w:r>
    </w:p>
    <w:p w14:paraId="4E7403E3" w14:textId="77777777" w:rsidR="000942DD" w:rsidRPr="00B004EE" w:rsidRDefault="000942DD" w:rsidP="00B004EE">
      <w:pPr>
        <w:autoSpaceDE w:val="0"/>
        <w:autoSpaceDN w:val="0"/>
        <w:adjustRightInd w:val="0"/>
        <w:jc w:val="center"/>
        <w:rPr>
          <w:rFonts w:ascii="Tahoma" w:hAnsi="Tahoma" w:cs="Tahoma"/>
          <w:b/>
          <w:iCs/>
          <w:sz w:val="20"/>
          <w:szCs w:val="20"/>
        </w:rPr>
      </w:pPr>
    </w:p>
    <w:p w14:paraId="3A4A4098" w14:textId="487C8E5B" w:rsidR="002F24E1" w:rsidRPr="00B004EE" w:rsidRDefault="002F24E1" w:rsidP="00B004EE">
      <w:pPr>
        <w:autoSpaceDE w:val="0"/>
        <w:autoSpaceDN w:val="0"/>
        <w:adjustRightInd w:val="0"/>
        <w:jc w:val="both"/>
        <w:rPr>
          <w:rFonts w:ascii="Tahoma" w:hAnsi="Tahoma" w:cs="Tahoma"/>
          <w:bCs/>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29</w:t>
      </w:r>
      <w:r w:rsidR="00DB1635" w:rsidRPr="00B004EE">
        <w:rPr>
          <w:rFonts w:ascii="Tahoma" w:hAnsi="Tahoma" w:cs="Tahoma"/>
          <w:bCs/>
          <w:sz w:val="20"/>
          <w:szCs w:val="20"/>
        </w:rPr>
        <w:t xml:space="preserve"> </w:t>
      </w:r>
      <w:r w:rsidRPr="00B004EE">
        <w:rPr>
          <w:rFonts w:ascii="Tahoma" w:hAnsi="Tahoma" w:cs="Tahoma"/>
          <w:bCs/>
          <w:sz w:val="20"/>
          <w:szCs w:val="20"/>
        </w:rPr>
        <w:t>–</w:t>
      </w:r>
      <w:r w:rsidR="00DB1635" w:rsidRPr="00B004EE">
        <w:rPr>
          <w:rFonts w:ascii="Tahoma" w:hAnsi="Tahoma" w:cs="Tahoma"/>
          <w:bCs/>
          <w:sz w:val="20"/>
          <w:szCs w:val="20"/>
        </w:rPr>
        <w:t xml:space="preserve"> </w:t>
      </w:r>
      <w:r w:rsidRPr="00B004EE">
        <w:rPr>
          <w:rFonts w:ascii="Tahoma" w:hAnsi="Tahoma" w:cs="Tahoma"/>
          <w:bCs/>
          <w:sz w:val="20"/>
          <w:szCs w:val="20"/>
        </w:rPr>
        <w:t>Sont</w:t>
      </w:r>
      <w:r w:rsidR="00DB1635" w:rsidRPr="00B004EE">
        <w:rPr>
          <w:rFonts w:ascii="Tahoma" w:hAnsi="Tahoma" w:cs="Tahoma"/>
          <w:bCs/>
          <w:sz w:val="20"/>
          <w:szCs w:val="20"/>
        </w:rPr>
        <w:t xml:space="preserve"> </w:t>
      </w:r>
      <w:r w:rsidRPr="00B004EE">
        <w:rPr>
          <w:rFonts w:ascii="Tahoma" w:hAnsi="Tahoma" w:cs="Tahoma"/>
          <w:bCs/>
          <w:sz w:val="20"/>
          <w:szCs w:val="20"/>
        </w:rPr>
        <w:t>abrogées</w:t>
      </w:r>
      <w:r w:rsidR="00DB1635" w:rsidRPr="00B004EE">
        <w:rPr>
          <w:rFonts w:ascii="Tahoma" w:hAnsi="Tahoma" w:cs="Tahoma"/>
          <w:bCs/>
          <w:sz w:val="20"/>
          <w:szCs w:val="20"/>
        </w:rPr>
        <w:t xml:space="preserve"> </w:t>
      </w:r>
      <w:r w:rsidRPr="00B004EE">
        <w:rPr>
          <w:rFonts w:ascii="Tahoma" w:hAnsi="Tahoma" w:cs="Tahoma"/>
          <w:bCs/>
          <w:sz w:val="20"/>
          <w:szCs w:val="20"/>
        </w:rPr>
        <w:t>toutes</w:t>
      </w:r>
      <w:r w:rsidR="00DB1635" w:rsidRPr="00B004EE">
        <w:rPr>
          <w:rFonts w:ascii="Tahoma" w:hAnsi="Tahoma" w:cs="Tahoma"/>
          <w:bCs/>
          <w:sz w:val="20"/>
          <w:szCs w:val="20"/>
        </w:rPr>
        <w:t xml:space="preserve"> </w:t>
      </w:r>
      <w:r w:rsidRPr="00B004EE">
        <w:rPr>
          <w:rFonts w:ascii="Tahoma" w:hAnsi="Tahoma" w:cs="Tahoma"/>
          <w:bCs/>
          <w:sz w:val="20"/>
          <w:szCs w:val="20"/>
        </w:rPr>
        <w:t>dispositions</w:t>
      </w:r>
      <w:r w:rsidR="00DB1635" w:rsidRPr="00B004EE">
        <w:rPr>
          <w:rFonts w:ascii="Tahoma" w:hAnsi="Tahoma" w:cs="Tahoma"/>
          <w:bCs/>
          <w:sz w:val="20"/>
          <w:szCs w:val="20"/>
        </w:rPr>
        <w:t xml:space="preserve"> </w:t>
      </w:r>
      <w:r w:rsidRPr="00B004EE">
        <w:rPr>
          <w:rFonts w:ascii="Tahoma" w:hAnsi="Tahoma" w:cs="Tahoma"/>
          <w:bCs/>
          <w:sz w:val="20"/>
          <w:szCs w:val="20"/>
        </w:rPr>
        <w:t>antérieures</w:t>
      </w:r>
      <w:r w:rsidR="00DB1635" w:rsidRPr="00B004EE">
        <w:rPr>
          <w:rFonts w:ascii="Tahoma" w:hAnsi="Tahoma" w:cs="Tahoma"/>
          <w:bCs/>
          <w:sz w:val="20"/>
          <w:szCs w:val="20"/>
        </w:rPr>
        <w:t xml:space="preserve"> </w:t>
      </w:r>
      <w:r w:rsidRPr="00B004EE">
        <w:rPr>
          <w:rFonts w:ascii="Tahoma" w:hAnsi="Tahoma" w:cs="Tahoma"/>
          <w:bCs/>
          <w:sz w:val="20"/>
          <w:szCs w:val="20"/>
        </w:rPr>
        <w:t>et</w:t>
      </w:r>
      <w:r w:rsidR="00DB1635" w:rsidRPr="00B004EE">
        <w:rPr>
          <w:rFonts w:ascii="Tahoma" w:hAnsi="Tahoma" w:cs="Tahoma"/>
          <w:bCs/>
          <w:sz w:val="20"/>
          <w:szCs w:val="20"/>
        </w:rPr>
        <w:t xml:space="preserve"> </w:t>
      </w:r>
      <w:r w:rsidRPr="00B004EE">
        <w:rPr>
          <w:rFonts w:ascii="Tahoma" w:hAnsi="Tahoma" w:cs="Tahoma"/>
          <w:bCs/>
          <w:sz w:val="20"/>
          <w:szCs w:val="20"/>
        </w:rPr>
        <w:t>notamment</w:t>
      </w:r>
      <w:r w:rsidR="00DB1635" w:rsidRPr="00B004EE">
        <w:rPr>
          <w:rFonts w:ascii="Tahoma" w:hAnsi="Tahoma" w:cs="Tahoma"/>
          <w:bCs/>
          <w:sz w:val="20"/>
          <w:szCs w:val="20"/>
        </w:rPr>
        <w:t xml:space="preserve"> </w:t>
      </w:r>
      <w:r w:rsidRPr="00B004EE">
        <w:rPr>
          <w:rFonts w:ascii="Tahoma" w:hAnsi="Tahoma" w:cs="Tahoma"/>
          <w:bCs/>
          <w:sz w:val="20"/>
          <w:szCs w:val="20"/>
        </w:rPr>
        <w:t>les</w:t>
      </w:r>
      <w:r w:rsidR="00DB1635" w:rsidRPr="00B004EE">
        <w:rPr>
          <w:rFonts w:ascii="Tahoma" w:hAnsi="Tahoma" w:cs="Tahoma"/>
          <w:bCs/>
          <w:sz w:val="20"/>
          <w:szCs w:val="20"/>
        </w:rPr>
        <w:t xml:space="preserve"> </w:t>
      </w:r>
      <w:r w:rsidRPr="00B004EE">
        <w:rPr>
          <w:rFonts w:ascii="Tahoma" w:hAnsi="Tahoma" w:cs="Tahoma"/>
          <w:bCs/>
          <w:sz w:val="20"/>
          <w:szCs w:val="20"/>
        </w:rPr>
        <w:t>arrêtés</w:t>
      </w:r>
      <w:r w:rsidR="00DB1635" w:rsidRPr="00B004EE">
        <w:rPr>
          <w:rFonts w:ascii="Tahoma" w:hAnsi="Tahoma" w:cs="Tahoma"/>
          <w:bCs/>
          <w:sz w:val="20"/>
          <w:szCs w:val="20"/>
        </w:rPr>
        <w:t xml:space="preserve"> </w:t>
      </w:r>
      <w:r w:rsidRPr="00B004EE">
        <w:rPr>
          <w:rFonts w:ascii="Tahoma" w:hAnsi="Tahoma" w:cs="Tahoma"/>
          <w:bCs/>
          <w:sz w:val="20"/>
          <w:szCs w:val="20"/>
        </w:rPr>
        <w:t>conjoints</w:t>
      </w:r>
      <w:r w:rsidR="00DB1635" w:rsidRPr="00B004EE">
        <w:rPr>
          <w:rFonts w:ascii="Tahoma" w:hAnsi="Tahoma" w:cs="Tahoma"/>
          <w:bCs/>
          <w:sz w:val="20"/>
          <w:szCs w:val="20"/>
        </w:rPr>
        <w:t xml:space="preserve"> </w:t>
      </w:r>
      <w:r w:rsidRPr="00B004EE">
        <w:rPr>
          <w:rFonts w:ascii="Tahoma" w:hAnsi="Tahoma" w:cs="Tahoma"/>
          <w:bCs/>
          <w:sz w:val="20"/>
          <w:szCs w:val="20"/>
        </w:rPr>
        <w:t>d’application</w:t>
      </w:r>
      <w:r w:rsidR="00DB1635" w:rsidRPr="00B004EE">
        <w:rPr>
          <w:rFonts w:ascii="Tahoma" w:hAnsi="Tahoma" w:cs="Tahoma"/>
          <w:bCs/>
          <w:sz w:val="20"/>
          <w:szCs w:val="20"/>
        </w:rPr>
        <w:t xml:space="preserve"> </w:t>
      </w:r>
      <w:r w:rsidRPr="00B004EE">
        <w:rPr>
          <w:rFonts w:ascii="Tahoma" w:hAnsi="Tahoma" w:cs="Tahoma"/>
          <w:bCs/>
          <w:sz w:val="20"/>
          <w:szCs w:val="20"/>
        </w:rPr>
        <w:t>n°</w:t>
      </w:r>
      <w:r w:rsidR="00DB1635" w:rsidRPr="00B004EE">
        <w:rPr>
          <w:rFonts w:ascii="Tahoma" w:hAnsi="Tahoma" w:cs="Tahoma"/>
          <w:bCs/>
          <w:sz w:val="20"/>
          <w:szCs w:val="20"/>
        </w:rPr>
        <w:t xml:space="preserve"> </w:t>
      </w:r>
      <w:r w:rsidRPr="00B004EE">
        <w:rPr>
          <w:rFonts w:ascii="Tahoma" w:hAnsi="Tahoma" w:cs="Tahoma"/>
          <w:bCs/>
          <w:sz w:val="20"/>
          <w:szCs w:val="20"/>
        </w:rPr>
        <w:t>1058</w:t>
      </w:r>
      <w:r w:rsidR="00DB1635" w:rsidRPr="00B004EE">
        <w:rPr>
          <w:rFonts w:ascii="Tahoma" w:hAnsi="Tahoma" w:cs="Tahoma"/>
          <w:bCs/>
          <w:sz w:val="20"/>
          <w:szCs w:val="20"/>
        </w:rPr>
        <w:t xml:space="preserve"> </w:t>
      </w:r>
      <w:r w:rsidRPr="00B004EE">
        <w:rPr>
          <w:rFonts w:ascii="Tahoma" w:hAnsi="Tahoma" w:cs="Tahoma"/>
          <w:bCs/>
          <w:sz w:val="20"/>
          <w:szCs w:val="20"/>
        </w:rPr>
        <w:t>et</w:t>
      </w:r>
      <w:r w:rsidR="00DB1635" w:rsidRPr="00B004EE">
        <w:rPr>
          <w:rFonts w:ascii="Tahoma" w:hAnsi="Tahoma" w:cs="Tahoma"/>
          <w:bCs/>
          <w:sz w:val="20"/>
          <w:szCs w:val="20"/>
        </w:rPr>
        <w:t xml:space="preserve"> </w:t>
      </w:r>
      <w:r w:rsidRPr="00B004EE">
        <w:rPr>
          <w:rFonts w:ascii="Tahoma" w:hAnsi="Tahoma" w:cs="Tahoma"/>
          <w:bCs/>
          <w:sz w:val="20"/>
          <w:szCs w:val="20"/>
        </w:rPr>
        <w:t>1059</w:t>
      </w:r>
      <w:r w:rsidR="00DB1635" w:rsidRPr="00B004EE">
        <w:rPr>
          <w:rFonts w:ascii="Tahoma" w:hAnsi="Tahoma" w:cs="Tahoma"/>
          <w:bCs/>
          <w:sz w:val="20"/>
          <w:szCs w:val="20"/>
        </w:rPr>
        <w:t xml:space="preserve"> </w:t>
      </w:r>
      <w:r w:rsidRPr="00B004EE">
        <w:rPr>
          <w:rFonts w:ascii="Tahoma" w:hAnsi="Tahoma" w:cs="Tahoma"/>
          <w:bCs/>
          <w:sz w:val="20"/>
          <w:szCs w:val="20"/>
        </w:rPr>
        <w:t>du</w:t>
      </w:r>
      <w:r w:rsidR="00DB1635" w:rsidRPr="00B004EE">
        <w:rPr>
          <w:rFonts w:ascii="Tahoma" w:hAnsi="Tahoma" w:cs="Tahoma"/>
          <w:bCs/>
          <w:sz w:val="20"/>
          <w:szCs w:val="20"/>
        </w:rPr>
        <w:t xml:space="preserve"> </w:t>
      </w:r>
      <w:r w:rsidRPr="00B004EE">
        <w:rPr>
          <w:rFonts w:ascii="Tahoma" w:hAnsi="Tahoma" w:cs="Tahoma"/>
          <w:bCs/>
          <w:sz w:val="20"/>
          <w:szCs w:val="20"/>
        </w:rPr>
        <w:t>17</w:t>
      </w:r>
      <w:r w:rsidR="00DB1635" w:rsidRPr="00B004EE">
        <w:rPr>
          <w:rFonts w:ascii="Tahoma" w:hAnsi="Tahoma" w:cs="Tahoma"/>
          <w:bCs/>
          <w:sz w:val="20"/>
          <w:szCs w:val="20"/>
        </w:rPr>
        <w:t xml:space="preserve"> </w:t>
      </w:r>
      <w:r w:rsidRPr="00B004EE">
        <w:rPr>
          <w:rFonts w:ascii="Tahoma" w:hAnsi="Tahoma" w:cs="Tahoma"/>
          <w:bCs/>
          <w:sz w:val="20"/>
          <w:szCs w:val="20"/>
        </w:rPr>
        <w:t>novembre</w:t>
      </w:r>
      <w:r w:rsidR="00DB1635" w:rsidRPr="00B004EE">
        <w:rPr>
          <w:rFonts w:ascii="Tahoma" w:hAnsi="Tahoma" w:cs="Tahoma"/>
          <w:bCs/>
          <w:sz w:val="20"/>
          <w:szCs w:val="20"/>
        </w:rPr>
        <w:t xml:space="preserve"> </w:t>
      </w:r>
      <w:r w:rsidRPr="00B004EE">
        <w:rPr>
          <w:rFonts w:ascii="Tahoma" w:hAnsi="Tahoma" w:cs="Tahoma"/>
          <w:bCs/>
          <w:sz w:val="20"/>
          <w:szCs w:val="20"/>
        </w:rPr>
        <w:t>2005.</w:t>
      </w:r>
    </w:p>
    <w:p w14:paraId="4D9CD645" w14:textId="77777777" w:rsidR="002F24E1" w:rsidRPr="00B004EE" w:rsidRDefault="002F24E1" w:rsidP="00B004EE">
      <w:pPr>
        <w:autoSpaceDE w:val="0"/>
        <w:autoSpaceDN w:val="0"/>
        <w:adjustRightInd w:val="0"/>
        <w:jc w:val="both"/>
        <w:rPr>
          <w:rFonts w:ascii="Tahoma" w:hAnsi="Tahoma" w:cs="Tahoma"/>
          <w:bCs/>
          <w:sz w:val="20"/>
          <w:szCs w:val="20"/>
        </w:rPr>
      </w:pPr>
    </w:p>
    <w:p w14:paraId="03C31873" w14:textId="56062CE8" w:rsidR="00ED050B" w:rsidRPr="00B004EE" w:rsidRDefault="002F24E1" w:rsidP="00B004EE">
      <w:pPr>
        <w:autoSpaceDE w:val="0"/>
        <w:autoSpaceDN w:val="0"/>
        <w:adjustRightInd w:val="0"/>
        <w:jc w:val="both"/>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30</w:t>
      </w:r>
      <w:r w:rsidR="00DB1635" w:rsidRPr="00B004EE">
        <w:rPr>
          <w:rFonts w:ascii="Tahoma" w:hAnsi="Tahoma" w:cs="Tahoma"/>
          <w:bCs/>
          <w:sz w:val="20"/>
          <w:szCs w:val="20"/>
        </w:rPr>
        <w:t xml:space="preserve"> </w:t>
      </w:r>
      <w:r w:rsidRPr="00B004EE">
        <w:rPr>
          <w:rFonts w:ascii="Tahoma" w:hAnsi="Tahoma" w:cs="Tahoma"/>
          <w:bCs/>
          <w:sz w:val="20"/>
          <w:szCs w:val="20"/>
        </w:rPr>
        <w:t>–</w:t>
      </w:r>
      <w:r w:rsidR="00DB1635" w:rsidRPr="00B004EE">
        <w:rPr>
          <w:rFonts w:ascii="Tahoma" w:hAnsi="Tahoma" w:cs="Tahoma"/>
          <w:bCs/>
          <w:sz w:val="20"/>
          <w:szCs w:val="20"/>
        </w:rPr>
        <w:t xml:space="preserve"> </w:t>
      </w:r>
      <w:r w:rsidRPr="00B004EE">
        <w:rPr>
          <w:rFonts w:ascii="Tahoma" w:hAnsi="Tahoma" w:cs="Tahoma"/>
          <w:bCs/>
          <w:sz w:val="20"/>
          <w:szCs w:val="20"/>
        </w:rPr>
        <w:t>Le</w:t>
      </w:r>
      <w:r w:rsidR="00DB1635" w:rsidRPr="00B004EE">
        <w:rPr>
          <w:rFonts w:ascii="Tahoma" w:hAnsi="Tahoma" w:cs="Tahoma"/>
          <w:bCs/>
          <w:sz w:val="20"/>
          <w:szCs w:val="20"/>
        </w:rPr>
        <w:t xml:space="preserve"> </w:t>
      </w:r>
      <w:r w:rsidRPr="00B004EE">
        <w:rPr>
          <w:rFonts w:ascii="Tahoma" w:hAnsi="Tahoma" w:cs="Tahoma"/>
          <w:bCs/>
          <w:sz w:val="20"/>
          <w:szCs w:val="20"/>
        </w:rPr>
        <w:t>Secrétaire</w:t>
      </w:r>
      <w:r w:rsidR="00DB1635" w:rsidRPr="00B004EE">
        <w:rPr>
          <w:rFonts w:ascii="Tahoma" w:hAnsi="Tahoma" w:cs="Tahoma"/>
          <w:bCs/>
          <w:sz w:val="20"/>
          <w:szCs w:val="20"/>
        </w:rPr>
        <w:t xml:space="preserve"> </w:t>
      </w:r>
      <w:r w:rsidRPr="00B004EE">
        <w:rPr>
          <w:rFonts w:ascii="Tahoma" w:hAnsi="Tahoma" w:cs="Tahoma"/>
          <w:bCs/>
          <w:sz w:val="20"/>
          <w:szCs w:val="20"/>
        </w:rPr>
        <w:t>Général</w:t>
      </w:r>
      <w:r w:rsidR="00DB1635" w:rsidRPr="00B004EE">
        <w:rPr>
          <w:rFonts w:ascii="Tahoma" w:hAnsi="Tahoma" w:cs="Tahoma"/>
          <w:bCs/>
          <w:sz w:val="20"/>
          <w:szCs w:val="20"/>
        </w:rPr>
        <w:t xml:space="preserve"> </w:t>
      </w:r>
      <w:r w:rsidRPr="00B004EE">
        <w:rPr>
          <w:rFonts w:ascii="Tahoma" w:hAnsi="Tahoma" w:cs="Tahoma"/>
          <w:bCs/>
          <w:sz w:val="20"/>
          <w:szCs w:val="20"/>
        </w:rPr>
        <w:t>du</w:t>
      </w:r>
      <w:r w:rsidR="00DB1635" w:rsidRPr="00B004EE">
        <w:rPr>
          <w:rFonts w:ascii="Tahoma" w:hAnsi="Tahoma" w:cs="Tahoma"/>
          <w:bCs/>
          <w:sz w:val="20"/>
          <w:szCs w:val="20"/>
        </w:rPr>
        <w:t xml:space="preserve"> </w:t>
      </w:r>
      <w:r w:rsidRPr="00B004EE">
        <w:rPr>
          <w:rFonts w:ascii="Tahoma" w:hAnsi="Tahoma" w:cs="Tahoma"/>
          <w:bCs/>
          <w:sz w:val="20"/>
          <w:szCs w:val="20"/>
        </w:rPr>
        <w:t>Ministère</w:t>
      </w:r>
      <w:r w:rsidR="00DB1635" w:rsidRPr="00B004EE">
        <w:rPr>
          <w:rFonts w:ascii="Tahoma" w:hAnsi="Tahoma" w:cs="Tahoma"/>
          <w:bCs/>
          <w:sz w:val="20"/>
          <w:szCs w:val="20"/>
        </w:rPr>
        <w:t xml:space="preserve"> </w:t>
      </w:r>
      <w:r w:rsidRPr="00B004EE">
        <w:rPr>
          <w:rFonts w:ascii="Tahoma" w:hAnsi="Tahoma" w:cs="Tahoma"/>
          <w:bCs/>
          <w:sz w:val="20"/>
          <w:szCs w:val="20"/>
        </w:rPr>
        <w:t>des</w:t>
      </w:r>
      <w:r w:rsidR="00DB1635" w:rsidRPr="00B004EE">
        <w:rPr>
          <w:rFonts w:ascii="Tahoma" w:hAnsi="Tahoma" w:cs="Tahoma"/>
          <w:bCs/>
          <w:sz w:val="20"/>
          <w:szCs w:val="20"/>
        </w:rPr>
        <w:t xml:space="preserve"> </w:t>
      </w:r>
      <w:r w:rsidRPr="00B004EE">
        <w:rPr>
          <w:rFonts w:ascii="Tahoma" w:hAnsi="Tahoma" w:cs="Tahoma"/>
          <w:bCs/>
          <w:sz w:val="20"/>
          <w:szCs w:val="20"/>
        </w:rPr>
        <w:t>Pêches</w:t>
      </w:r>
      <w:r w:rsidR="00DB1635" w:rsidRPr="00B004EE">
        <w:rPr>
          <w:rFonts w:ascii="Tahoma" w:hAnsi="Tahoma" w:cs="Tahoma"/>
          <w:bCs/>
          <w:sz w:val="20"/>
          <w:szCs w:val="20"/>
        </w:rPr>
        <w:t xml:space="preserve"> </w:t>
      </w:r>
      <w:r w:rsidRPr="00B004EE">
        <w:rPr>
          <w:rFonts w:ascii="Tahoma" w:hAnsi="Tahoma" w:cs="Tahoma"/>
          <w:bCs/>
          <w:sz w:val="20"/>
          <w:szCs w:val="20"/>
        </w:rPr>
        <w:t>et</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l’Economie</w:t>
      </w:r>
      <w:r w:rsidR="00DB1635" w:rsidRPr="00B004EE">
        <w:rPr>
          <w:rFonts w:ascii="Tahoma" w:hAnsi="Tahoma" w:cs="Tahoma"/>
          <w:bCs/>
          <w:sz w:val="20"/>
          <w:szCs w:val="20"/>
        </w:rPr>
        <w:t xml:space="preserve"> </w:t>
      </w:r>
      <w:r w:rsidRPr="00B004EE">
        <w:rPr>
          <w:rFonts w:ascii="Tahoma" w:hAnsi="Tahoma" w:cs="Tahoma"/>
          <w:bCs/>
          <w:sz w:val="20"/>
          <w:szCs w:val="20"/>
        </w:rPr>
        <w:t>Maritime,</w:t>
      </w:r>
      <w:r w:rsidR="00DB1635" w:rsidRPr="00B004EE">
        <w:rPr>
          <w:rFonts w:ascii="Tahoma" w:hAnsi="Tahoma" w:cs="Tahoma"/>
          <w:bCs/>
          <w:sz w:val="20"/>
          <w:szCs w:val="20"/>
        </w:rPr>
        <w:t xml:space="preserve"> </w:t>
      </w:r>
      <w:r w:rsidRPr="00B004EE">
        <w:rPr>
          <w:rFonts w:ascii="Tahoma" w:hAnsi="Tahoma" w:cs="Tahoma"/>
          <w:bCs/>
          <w:sz w:val="20"/>
          <w:szCs w:val="20"/>
        </w:rPr>
        <w:t>Le</w:t>
      </w:r>
      <w:r w:rsidR="00DB1635" w:rsidRPr="00B004EE">
        <w:rPr>
          <w:rFonts w:ascii="Tahoma" w:hAnsi="Tahoma" w:cs="Tahoma"/>
          <w:bCs/>
          <w:sz w:val="20"/>
          <w:szCs w:val="20"/>
        </w:rPr>
        <w:t xml:space="preserve"> </w:t>
      </w:r>
      <w:r w:rsidRPr="00B004EE">
        <w:rPr>
          <w:rFonts w:ascii="Tahoma" w:hAnsi="Tahoma" w:cs="Tahoma"/>
          <w:bCs/>
          <w:sz w:val="20"/>
          <w:szCs w:val="20"/>
        </w:rPr>
        <w:t>Secrétaire</w:t>
      </w:r>
      <w:r w:rsidR="00DB1635" w:rsidRPr="00B004EE">
        <w:rPr>
          <w:rFonts w:ascii="Tahoma" w:hAnsi="Tahoma" w:cs="Tahoma"/>
          <w:bCs/>
          <w:sz w:val="20"/>
          <w:szCs w:val="20"/>
        </w:rPr>
        <w:t xml:space="preserve"> </w:t>
      </w:r>
      <w:r w:rsidRPr="00B004EE">
        <w:rPr>
          <w:rFonts w:ascii="Tahoma" w:hAnsi="Tahoma" w:cs="Tahoma"/>
          <w:bCs/>
          <w:sz w:val="20"/>
          <w:szCs w:val="20"/>
        </w:rPr>
        <w:t>Général</w:t>
      </w:r>
      <w:r w:rsidR="00DB1635" w:rsidRPr="00B004EE">
        <w:rPr>
          <w:rFonts w:ascii="Tahoma" w:hAnsi="Tahoma" w:cs="Tahoma"/>
          <w:bCs/>
          <w:sz w:val="20"/>
          <w:szCs w:val="20"/>
        </w:rPr>
        <w:t xml:space="preserve"> </w:t>
      </w:r>
      <w:r w:rsidRPr="00B004EE">
        <w:rPr>
          <w:rFonts w:ascii="Tahoma" w:hAnsi="Tahoma" w:cs="Tahoma"/>
          <w:bCs/>
          <w:sz w:val="20"/>
          <w:szCs w:val="20"/>
        </w:rPr>
        <w:t>du</w:t>
      </w:r>
      <w:r w:rsidR="00DB1635" w:rsidRPr="00B004EE">
        <w:rPr>
          <w:rFonts w:ascii="Tahoma" w:hAnsi="Tahoma" w:cs="Tahoma"/>
          <w:bCs/>
          <w:sz w:val="20"/>
          <w:szCs w:val="20"/>
        </w:rPr>
        <w:t xml:space="preserve"> </w:t>
      </w:r>
      <w:r w:rsidRPr="00B004EE">
        <w:rPr>
          <w:rFonts w:ascii="Tahoma" w:hAnsi="Tahoma" w:cs="Tahoma"/>
          <w:bCs/>
          <w:sz w:val="20"/>
          <w:szCs w:val="20"/>
        </w:rPr>
        <w:t>Ministre</w:t>
      </w:r>
      <w:r w:rsidR="00DB1635" w:rsidRPr="00B004EE">
        <w:rPr>
          <w:rFonts w:ascii="Tahoma" w:hAnsi="Tahoma" w:cs="Tahoma"/>
          <w:bCs/>
          <w:sz w:val="20"/>
          <w:szCs w:val="20"/>
        </w:rPr>
        <w:t xml:space="preserve"> </w:t>
      </w:r>
      <w:r w:rsidRPr="00B004EE">
        <w:rPr>
          <w:rFonts w:ascii="Tahoma" w:hAnsi="Tahoma" w:cs="Tahoma"/>
          <w:bCs/>
          <w:sz w:val="20"/>
          <w:szCs w:val="20"/>
        </w:rPr>
        <w:t>du</w:t>
      </w:r>
      <w:r w:rsidR="00DB1635" w:rsidRPr="00B004EE">
        <w:rPr>
          <w:rFonts w:ascii="Tahoma" w:hAnsi="Tahoma" w:cs="Tahoma"/>
          <w:bCs/>
          <w:sz w:val="20"/>
          <w:szCs w:val="20"/>
        </w:rPr>
        <w:t xml:space="preserve"> </w:t>
      </w:r>
      <w:r w:rsidRPr="00B004EE">
        <w:rPr>
          <w:rFonts w:ascii="Tahoma" w:hAnsi="Tahoma" w:cs="Tahoma"/>
          <w:bCs/>
          <w:sz w:val="20"/>
          <w:szCs w:val="20"/>
        </w:rPr>
        <w:t>Commerce,</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l’Artisanat</w:t>
      </w:r>
      <w:r w:rsidR="00DB1635" w:rsidRPr="00B004EE">
        <w:rPr>
          <w:rFonts w:ascii="Tahoma" w:hAnsi="Tahoma" w:cs="Tahoma"/>
          <w:bCs/>
          <w:sz w:val="20"/>
          <w:szCs w:val="20"/>
        </w:rPr>
        <w:t xml:space="preserve"> </w:t>
      </w:r>
      <w:r w:rsidRPr="00B004EE">
        <w:rPr>
          <w:rFonts w:ascii="Tahoma" w:hAnsi="Tahoma" w:cs="Tahoma"/>
          <w:bCs/>
          <w:sz w:val="20"/>
          <w:szCs w:val="20"/>
        </w:rPr>
        <w:t>et</w:t>
      </w:r>
      <w:r w:rsidR="00DB1635" w:rsidRPr="00B004EE">
        <w:rPr>
          <w:rFonts w:ascii="Tahoma" w:hAnsi="Tahoma" w:cs="Tahoma"/>
          <w:bCs/>
          <w:sz w:val="20"/>
          <w:szCs w:val="20"/>
        </w:rPr>
        <w:t xml:space="preserve"> </w:t>
      </w:r>
      <w:r w:rsidRPr="00B004EE">
        <w:rPr>
          <w:rFonts w:ascii="Tahoma" w:hAnsi="Tahoma" w:cs="Tahoma"/>
          <w:bCs/>
          <w:sz w:val="20"/>
          <w:szCs w:val="20"/>
        </w:rPr>
        <w:t>du</w:t>
      </w:r>
      <w:r w:rsidR="00DB1635" w:rsidRPr="00B004EE">
        <w:rPr>
          <w:rFonts w:ascii="Tahoma" w:hAnsi="Tahoma" w:cs="Tahoma"/>
          <w:bCs/>
          <w:sz w:val="20"/>
          <w:szCs w:val="20"/>
        </w:rPr>
        <w:t xml:space="preserve"> </w:t>
      </w:r>
      <w:r w:rsidRPr="00B004EE">
        <w:rPr>
          <w:rFonts w:ascii="Tahoma" w:hAnsi="Tahoma" w:cs="Tahoma"/>
          <w:bCs/>
          <w:sz w:val="20"/>
          <w:szCs w:val="20"/>
        </w:rPr>
        <w:t>Tourisme,</w:t>
      </w:r>
      <w:r w:rsidR="00DB1635" w:rsidRPr="00B004EE">
        <w:rPr>
          <w:rFonts w:ascii="Tahoma" w:hAnsi="Tahoma" w:cs="Tahoma"/>
          <w:bCs/>
          <w:sz w:val="20"/>
          <w:szCs w:val="20"/>
        </w:rPr>
        <w:t xml:space="preserve"> </w:t>
      </w:r>
      <w:r w:rsidRPr="00B004EE">
        <w:rPr>
          <w:rFonts w:ascii="Tahoma" w:hAnsi="Tahoma" w:cs="Tahoma"/>
          <w:bCs/>
          <w:sz w:val="20"/>
          <w:szCs w:val="20"/>
        </w:rPr>
        <w:t>le</w:t>
      </w:r>
      <w:r w:rsidR="00DB1635" w:rsidRPr="00B004EE">
        <w:rPr>
          <w:rFonts w:ascii="Tahoma" w:hAnsi="Tahoma" w:cs="Tahoma"/>
          <w:bCs/>
          <w:sz w:val="20"/>
          <w:szCs w:val="20"/>
        </w:rPr>
        <w:t xml:space="preserve"> </w:t>
      </w:r>
      <w:r w:rsidRPr="00B004EE">
        <w:rPr>
          <w:rFonts w:ascii="Tahoma" w:hAnsi="Tahoma" w:cs="Tahoma"/>
          <w:bCs/>
          <w:sz w:val="20"/>
          <w:szCs w:val="20"/>
        </w:rPr>
        <w:t>Secrétaire</w:t>
      </w:r>
      <w:r w:rsidR="00DB1635" w:rsidRPr="00B004EE">
        <w:rPr>
          <w:rFonts w:ascii="Tahoma" w:hAnsi="Tahoma" w:cs="Tahoma"/>
          <w:bCs/>
          <w:sz w:val="20"/>
          <w:szCs w:val="20"/>
        </w:rPr>
        <w:t xml:space="preserve"> </w:t>
      </w:r>
      <w:r w:rsidRPr="00B004EE">
        <w:rPr>
          <w:rFonts w:ascii="Tahoma" w:hAnsi="Tahoma" w:cs="Tahoma"/>
          <w:bCs/>
          <w:sz w:val="20"/>
          <w:szCs w:val="20"/>
        </w:rPr>
        <w:t>Général</w:t>
      </w:r>
      <w:r w:rsidR="00DB1635" w:rsidRPr="00B004EE">
        <w:rPr>
          <w:rFonts w:ascii="Tahoma" w:hAnsi="Tahoma" w:cs="Tahoma"/>
          <w:bCs/>
          <w:sz w:val="20"/>
          <w:szCs w:val="20"/>
        </w:rPr>
        <w:t xml:space="preserve"> </w:t>
      </w:r>
      <w:r w:rsidRPr="00B004EE">
        <w:rPr>
          <w:rFonts w:ascii="Tahoma" w:hAnsi="Tahoma" w:cs="Tahoma"/>
          <w:bCs/>
          <w:sz w:val="20"/>
          <w:szCs w:val="20"/>
        </w:rPr>
        <w:t>du</w:t>
      </w:r>
      <w:r w:rsidR="00DB1635" w:rsidRPr="00B004EE">
        <w:rPr>
          <w:rFonts w:ascii="Tahoma" w:hAnsi="Tahoma" w:cs="Tahoma"/>
          <w:bCs/>
          <w:sz w:val="20"/>
          <w:szCs w:val="20"/>
        </w:rPr>
        <w:t xml:space="preserve"> </w:t>
      </w:r>
      <w:r w:rsidRPr="00B004EE">
        <w:rPr>
          <w:rFonts w:ascii="Tahoma" w:hAnsi="Tahoma" w:cs="Tahoma"/>
          <w:bCs/>
          <w:sz w:val="20"/>
          <w:szCs w:val="20"/>
        </w:rPr>
        <w:t>Ministre</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la</w:t>
      </w:r>
      <w:r w:rsidR="00DB1635" w:rsidRPr="00B004EE">
        <w:rPr>
          <w:rFonts w:ascii="Tahoma" w:hAnsi="Tahoma" w:cs="Tahoma"/>
          <w:bCs/>
          <w:sz w:val="20"/>
          <w:szCs w:val="20"/>
        </w:rPr>
        <w:t xml:space="preserve"> </w:t>
      </w:r>
      <w:r w:rsidRPr="00B004EE">
        <w:rPr>
          <w:rFonts w:ascii="Tahoma" w:hAnsi="Tahoma" w:cs="Tahoma"/>
          <w:bCs/>
          <w:sz w:val="20"/>
          <w:szCs w:val="20"/>
        </w:rPr>
        <w:t>Santé</w:t>
      </w:r>
      <w:r w:rsidR="00DB1635" w:rsidRPr="00B004EE">
        <w:rPr>
          <w:rFonts w:ascii="Tahoma" w:hAnsi="Tahoma" w:cs="Tahoma"/>
          <w:bCs/>
          <w:sz w:val="20"/>
          <w:szCs w:val="20"/>
        </w:rPr>
        <w:t xml:space="preserve"> </w:t>
      </w:r>
      <w:r w:rsidRPr="00B004EE">
        <w:rPr>
          <w:rFonts w:ascii="Tahoma" w:hAnsi="Tahoma" w:cs="Tahoma"/>
          <w:bCs/>
          <w:sz w:val="20"/>
          <w:szCs w:val="20"/>
        </w:rPr>
        <w:t>et</w:t>
      </w:r>
      <w:r w:rsidR="00DB1635" w:rsidRPr="00B004EE">
        <w:rPr>
          <w:rFonts w:ascii="Tahoma" w:hAnsi="Tahoma" w:cs="Tahoma"/>
          <w:bCs/>
          <w:sz w:val="20"/>
          <w:szCs w:val="20"/>
        </w:rPr>
        <w:t xml:space="preserve"> </w:t>
      </w:r>
      <w:r w:rsidRPr="00B004EE">
        <w:rPr>
          <w:rFonts w:ascii="Tahoma" w:hAnsi="Tahoma" w:cs="Tahoma"/>
          <w:bCs/>
          <w:sz w:val="20"/>
          <w:szCs w:val="20"/>
        </w:rPr>
        <w:t>des</w:t>
      </w:r>
      <w:r w:rsidR="00DB1635" w:rsidRPr="00B004EE">
        <w:rPr>
          <w:rFonts w:ascii="Tahoma" w:hAnsi="Tahoma" w:cs="Tahoma"/>
          <w:bCs/>
          <w:sz w:val="20"/>
          <w:szCs w:val="20"/>
        </w:rPr>
        <w:t xml:space="preserve"> </w:t>
      </w:r>
      <w:r w:rsidRPr="00B004EE">
        <w:rPr>
          <w:rFonts w:ascii="Tahoma" w:hAnsi="Tahoma" w:cs="Tahoma"/>
          <w:bCs/>
          <w:sz w:val="20"/>
          <w:szCs w:val="20"/>
        </w:rPr>
        <w:t>Affaires</w:t>
      </w:r>
      <w:r w:rsidR="00DB1635" w:rsidRPr="00B004EE">
        <w:rPr>
          <w:rFonts w:ascii="Tahoma" w:hAnsi="Tahoma" w:cs="Tahoma"/>
          <w:bCs/>
          <w:sz w:val="20"/>
          <w:szCs w:val="20"/>
        </w:rPr>
        <w:t xml:space="preserve"> </w:t>
      </w:r>
      <w:r w:rsidRPr="00B004EE">
        <w:rPr>
          <w:rFonts w:ascii="Tahoma" w:hAnsi="Tahoma" w:cs="Tahoma"/>
          <w:bCs/>
          <w:sz w:val="20"/>
          <w:szCs w:val="20"/>
        </w:rPr>
        <w:t>Sociales</w:t>
      </w:r>
      <w:r w:rsidR="00DB1635" w:rsidRPr="00B004EE">
        <w:rPr>
          <w:rFonts w:ascii="Tahoma" w:hAnsi="Tahoma" w:cs="Tahoma"/>
          <w:bCs/>
          <w:sz w:val="20"/>
          <w:szCs w:val="20"/>
        </w:rPr>
        <w:t xml:space="preserve"> </w:t>
      </w:r>
      <w:r w:rsidRPr="00B004EE">
        <w:rPr>
          <w:rFonts w:ascii="Tahoma" w:hAnsi="Tahoma" w:cs="Tahoma"/>
          <w:bCs/>
          <w:sz w:val="20"/>
          <w:szCs w:val="20"/>
        </w:rPr>
        <w:t>et</w:t>
      </w:r>
      <w:r w:rsidR="00DB1635" w:rsidRPr="00B004EE">
        <w:rPr>
          <w:rFonts w:ascii="Tahoma" w:hAnsi="Tahoma" w:cs="Tahoma"/>
          <w:bCs/>
          <w:sz w:val="20"/>
          <w:szCs w:val="20"/>
        </w:rPr>
        <w:t xml:space="preserve"> </w:t>
      </w:r>
      <w:r w:rsidRPr="00B004EE">
        <w:rPr>
          <w:rFonts w:ascii="Tahoma" w:hAnsi="Tahoma" w:cs="Tahoma"/>
          <w:bCs/>
          <w:sz w:val="20"/>
          <w:szCs w:val="20"/>
        </w:rPr>
        <w:t>le</w:t>
      </w:r>
      <w:r w:rsidR="00DB1635" w:rsidRPr="00B004EE">
        <w:rPr>
          <w:rFonts w:ascii="Tahoma" w:hAnsi="Tahoma" w:cs="Tahoma"/>
          <w:bCs/>
          <w:sz w:val="20"/>
          <w:szCs w:val="20"/>
        </w:rPr>
        <w:t xml:space="preserve"> </w:t>
      </w:r>
      <w:r w:rsidRPr="00B004EE">
        <w:rPr>
          <w:rFonts w:ascii="Tahoma" w:hAnsi="Tahoma" w:cs="Tahoma"/>
          <w:bCs/>
          <w:sz w:val="20"/>
          <w:szCs w:val="20"/>
        </w:rPr>
        <w:t>Directeur</w:t>
      </w:r>
      <w:r w:rsidR="00DB1635" w:rsidRPr="00B004EE">
        <w:rPr>
          <w:rFonts w:ascii="Tahoma" w:hAnsi="Tahoma" w:cs="Tahoma"/>
          <w:bCs/>
          <w:sz w:val="20"/>
          <w:szCs w:val="20"/>
        </w:rPr>
        <w:t xml:space="preserve"> </w:t>
      </w:r>
      <w:r w:rsidRPr="00B004EE">
        <w:rPr>
          <w:rFonts w:ascii="Tahoma" w:hAnsi="Tahoma" w:cs="Tahoma"/>
          <w:bCs/>
          <w:sz w:val="20"/>
          <w:szCs w:val="20"/>
        </w:rPr>
        <w:t>du</w:t>
      </w:r>
      <w:r w:rsidR="00DB1635" w:rsidRPr="00B004EE">
        <w:rPr>
          <w:rFonts w:ascii="Tahoma" w:hAnsi="Tahoma" w:cs="Tahoma"/>
          <w:sz w:val="20"/>
          <w:szCs w:val="20"/>
        </w:rPr>
        <w:t xml:space="preserve"> </w:t>
      </w:r>
      <w:r w:rsidRPr="00B004EE">
        <w:rPr>
          <w:rFonts w:ascii="Tahoma" w:hAnsi="Tahoma" w:cs="Tahoma"/>
          <w:sz w:val="20"/>
          <w:szCs w:val="20"/>
        </w:rPr>
        <w:t>Cabinet</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Secrétaire</w:t>
      </w:r>
      <w:r w:rsidR="00DB1635" w:rsidRPr="00B004EE">
        <w:rPr>
          <w:rFonts w:ascii="Tahoma" w:hAnsi="Tahoma" w:cs="Tahoma"/>
          <w:sz w:val="20"/>
          <w:szCs w:val="20"/>
        </w:rPr>
        <w:t xml:space="preserve"> </w:t>
      </w:r>
      <w:r w:rsidRPr="00B004EE">
        <w:rPr>
          <w:rFonts w:ascii="Tahoma" w:hAnsi="Tahoma" w:cs="Tahoma"/>
          <w:sz w:val="20"/>
          <w:szCs w:val="20"/>
        </w:rPr>
        <w:t>d’Etat</w:t>
      </w:r>
      <w:r w:rsidR="00DB1635" w:rsidRPr="00B004EE">
        <w:rPr>
          <w:rFonts w:ascii="Tahoma" w:hAnsi="Tahoma" w:cs="Tahoma"/>
          <w:sz w:val="20"/>
          <w:szCs w:val="20"/>
        </w:rPr>
        <w:t xml:space="preserve"> </w:t>
      </w:r>
      <w:r w:rsidRPr="00B004EE">
        <w:rPr>
          <w:rFonts w:ascii="Tahoma" w:hAnsi="Tahoma" w:cs="Tahoma"/>
          <w:sz w:val="20"/>
          <w:szCs w:val="20"/>
        </w:rPr>
        <w:t>auprès</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Premier</w:t>
      </w:r>
      <w:r w:rsidR="00DB1635" w:rsidRPr="00B004EE">
        <w:rPr>
          <w:rFonts w:ascii="Tahoma" w:hAnsi="Tahoma" w:cs="Tahoma"/>
          <w:sz w:val="20"/>
          <w:szCs w:val="20"/>
        </w:rPr>
        <w:t xml:space="preserve"> </w:t>
      </w:r>
      <w:r w:rsidRPr="00B004EE">
        <w:rPr>
          <w:rFonts w:ascii="Tahoma" w:hAnsi="Tahoma" w:cs="Tahoma"/>
          <w:sz w:val="20"/>
          <w:szCs w:val="20"/>
        </w:rPr>
        <w:t>Ministre</w:t>
      </w:r>
      <w:r w:rsidR="00DB1635" w:rsidRPr="00B004EE">
        <w:rPr>
          <w:rFonts w:ascii="Tahoma" w:hAnsi="Tahoma" w:cs="Tahoma"/>
          <w:sz w:val="20"/>
          <w:szCs w:val="20"/>
        </w:rPr>
        <w:t xml:space="preserve"> </w:t>
      </w:r>
      <w:r w:rsidRPr="00B004EE">
        <w:rPr>
          <w:rFonts w:ascii="Tahoma" w:hAnsi="Tahoma" w:cs="Tahoma"/>
          <w:sz w:val="20"/>
          <w:szCs w:val="20"/>
        </w:rPr>
        <w:t>chargé</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l’Environnement,</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chargés,</w:t>
      </w:r>
      <w:r w:rsidR="00DB1635" w:rsidRPr="00B004EE">
        <w:rPr>
          <w:rFonts w:ascii="Tahoma" w:hAnsi="Tahoma" w:cs="Tahoma"/>
          <w:sz w:val="20"/>
          <w:szCs w:val="20"/>
        </w:rPr>
        <w:t xml:space="preserve"> </w:t>
      </w:r>
      <w:r w:rsidRPr="00B004EE">
        <w:rPr>
          <w:rFonts w:ascii="Tahoma" w:hAnsi="Tahoma" w:cs="Tahoma"/>
          <w:sz w:val="20"/>
          <w:szCs w:val="20"/>
        </w:rPr>
        <w:t>chacun</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ce</w:t>
      </w:r>
      <w:r w:rsidR="00DB1635" w:rsidRPr="00B004EE">
        <w:rPr>
          <w:rFonts w:ascii="Tahoma" w:hAnsi="Tahoma" w:cs="Tahoma"/>
          <w:sz w:val="20"/>
          <w:szCs w:val="20"/>
        </w:rPr>
        <w:t xml:space="preserve"> </w:t>
      </w:r>
      <w:r w:rsidRPr="00B004EE">
        <w:rPr>
          <w:rFonts w:ascii="Tahoma" w:hAnsi="Tahoma" w:cs="Tahoma"/>
          <w:sz w:val="20"/>
          <w:szCs w:val="20"/>
        </w:rPr>
        <w:t>qui</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concerne,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l’exécution</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présent</w:t>
      </w:r>
      <w:r w:rsidR="00DB1635" w:rsidRPr="00B004EE">
        <w:rPr>
          <w:rFonts w:ascii="Tahoma" w:hAnsi="Tahoma" w:cs="Tahoma"/>
          <w:sz w:val="20"/>
          <w:szCs w:val="20"/>
        </w:rPr>
        <w:t xml:space="preserve"> </w:t>
      </w:r>
      <w:r w:rsidRPr="00B004EE">
        <w:rPr>
          <w:rFonts w:ascii="Tahoma" w:hAnsi="Tahoma" w:cs="Tahoma"/>
          <w:sz w:val="20"/>
          <w:szCs w:val="20"/>
        </w:rPr>
        <w:t>décret</w:t>
      </w:r>
      <w:r w:rsidR="00DB1635" w:rsidRPr="00B004EE">
        <w:rPr>
          <w:rFonts w:ascii="Tahoma" w:hAnsi="Tahoma" w:cs="Tahoma"/>
          <w:sz w:val="20"/>
          <w:szCs w:val="20"/>
        </w:rPr>
        <w:t xml:space="preserve"> </w:t>
      </w:r>
      <w:r w:rsidRPr="00B004EE">
        <w:rPr>
          <w:rFonts w:ascii="Tahoma" w:hAnsi="Tahoma" w:cs="Tahoma"/>
          <w:sz w:val="20"/>
          <w:szCs w:val="20"/>
        </w:rPr>
        <w:t>qui</w:t>
      </w:r>
      <w:r w:rsidR="00DB1635" w:rsidRPr="00B004EE">
        <w:rPr>
          <w:rFonts w:ascii="Tahoma" w:hAnsi="Tahoma" w:cs="Tahoma"/>
          <w:sz w:val="20"/>
          <w:szCs w:val="20"/>
        </w:rPr>
        <w:t xml:space="preserve"> </w:t>
      </w:r>
      <w:r w:rsidRPr="00B004EE">
        <w:rPr>
          <w:rFonts w:ascii="Tahoma" w:hAnsi="Tahoma" w:cs="Tahoma"/>
          <w:sz w:val="20"/>
          <w:szCs w:val="20"/>
        </w:rPr>
        <w:t>sera</w:t>
      </w:r>
      <w:r w:rsidR="00DB1635" w:rsidRPr="00B004EE">
        <w:rPr>
          <w:rFonts w:ascii="Tahoma" w:hAnsi="Tahoma" w:cs="Tahoma"/>
          <w:sz w:val="20"/>
          <w:szCs w:val="20"/>
        </w:rPr>
        <w:t xml:space="preserve"> </w:t>
      </w:r>
      <w:r w:rsidRPr="00B004EE">
        <w:rPr>
          <w:rFonts w:ascii="Tahoma" w:hAnsi="Tahoma" w:cs="Tahoma"/>
          <w:sz w:val="20"/>
          <w:szCs w:val="20"/>
        </w:rPr>
        <w:t>publié</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Journal</w:t>
      </w:r>
      <w:r w:rsidR="00DB1635" w:rsidRPr="00B004EE">
        <w:rPr>
          <w:rFonts w:ascii="Tahoma" w:hAnsi="Tahoma" w:cs="Tahoma"/>
          <w:sz w:val="20"/>
          <w:szCs w:val="20"/>
        </w:rPr>
        <w:t xml:space="preserve"> </w:t>
      </w:r>
      <w:r w:rsidRPr="00B004EE">
        <w:rPr>
          <w:rFonts w:ascii="Tahoma" w:hAnsi="Tahoma" w:cs="Tahoma"/>
          <w:sz w:val="20"/>
          <w:szCs w:val="20"/>
        </w:rPr>
        <w:t>Officiel.</w:t>
      </w:r>
    </w:p>
    <w:p w14:paraId="7D39C800" w14:textId="77777777" w:rsidR="00251373" w:rsidRDefault="00251373" w:rsidP="00B004EE">
      <w:pPr>
        <w:autoSpaceDE w:val="0"/>
        <w:autoSpaceDN w:val="0"/>
        <w:adjustRightInd w:val="0"/>
        <w:jc w:val="right"/>
        <w:rPr>
          <w:rFonts w:ascii="Tahoma" w:hAnsi="Tahoma" w:cs="Tahoma"/>
          <w:i/>
          <w:iCs/>
          <w:sz w:val="20"/>
          <w:szCs w:val="20"/>
        </w:rPr>
      </w:pPr>
    </w:p>
    <w:p w14:paraId="26FBFD08" w14:textId="77777777" w:rsidR="00251373" w:rsidRDefault="00251373" w:rsidP="00B004EE">
      <w:pPr>
        <w:autoSpaceDE w:val="0"/>
        <w:autoSpaceDN w:val="0"/>
        <w:adjustRightInd w:val="0"/>
        <w:jc w:val="right"/>
        <w:rPr>
          <w:rFonts w:ascii="Tahoma" w:hAnsi="Tahoma" w:cs="Tahoma"/>
          <w:i/>
          <w:iCs/>
          <w:sz w:val="20"/>
          <w:szCs w:val="20"/>
        </w:rPr>
      </w:pPr>
    </w:p>
    <w:p w14:paraId="6D39D82D" w14:textId="7643ED85" w:rsidR="00ED050B" w:rsidRPr="00B004EE" w:rsidRDefault="00ED050B" w:rsidP="00B004EE">
      <w:pPr>
        <w:autoSpaceDE w:val="0"/>
        <w:autoSpaceDN w:val="0"/>
        <w:adjustRightInd w:val="0"/>
        <w:jc w:val="right"/>
        <w:rPr>
          <w:rFonts w:ascii="Tahoma" w:hAnsi="Tahoma" w:cs="Tahoma"/>
          <w:sz w:val="20"/>
          <w:szCs w:val="20"/>
        </w:rPr>
      </w:pPr>
      <w:r w:rsidRPr="00B004EE">
        <w:rPr>
          <w:rFonts w:ascii="Tahoma" w:hAnsi="Tahoma" w:cs="Tahoma"/>
          <w:i/>
          <w:iCs/>
          <w:sz w:val="20"/>
          <w:szCs w:val="20"/>
        </w:rPr>
        <w:t>Fait</w:t>
      </w:r>
      <w:r w:rsidR="00DB1635" w:rsidRPr="00B004EE">
        <w:rPr>
          <w:rFonts w:ascii="Tahoma" w:hAnsi="Tahoma" w:cs="Tahoma"/>
          <w:i/>
          <w:iCs/>
          <w:sz w:val="20"/>
          <w:szCs w:val="20"/>
        </w:rPr>
        <w:t xml:space="preserve"> </w:t>
      </w:r>
      <w:r w:rsidRPr="00B004EE">
        <w:rPr>
          <w:rFonts w:ascii="Tahoma" w:hAnsi="Tahoma" w:cs="Tahoma"/>
          <w:i/>
          <w:iCs/>
          <w:sz w:val="20"/>
          <w:szCs w:val="20"/>
        </w:rPr>
        <w:t>à</w:t>
      </w:r>
      <w:r w:rsidR="00DB1635" w:rsidRPr="00B004EE">
        <w:rPr>
          <w:rFonts w:ascii="Tahoma" w:hAnsi="Tahoma" w:cs="Tahoma"/>
          <w:i/>
          <w:iCs/>
          <w:sz w:val="20"/>
          <w:szCs w:val="20"/>
        </w:rPr>
        <w:t xml:space="preserve"> </w:t>
      </w:r>
      <w:r w:rsidRPr="00B004EE">
        <w:rPr>
          <w:rFonts w:ascii="Tahoma" w:hAnsi="Tahoma" w:cs="Tahoma"/>
          <w:i/>
          <w:iCs/>
          <w:sz w:val="20"/>
          <w:szCs w:val="20"/>
        </w:rPr>
        <w:t>Nouakchott,</w:t>
      </w:r>
      <w:r w:rsidR="00DB1635" w:rsidRPr="00B004EE">
        <w:rPr>
          <w:rFonts w:ascii="Tahoma" w:hAnsi="Tahoma" w:cs="Tahoma"/>
          <w:i/>
          <w:iCs/>
          <w:sz w:val="20"/>
          <w:szCs w:val="20"/>
        </w:rPr>
        <w:t xml:space="preserve"> </w:t>
      </w:r>
      <w:r w:rsidRPr="00B004EE">
        <w:rPr>
          <w:rFonts w:ascii="Tahoma" w:hAnsi="Tahoma" w:cs="Tahoma"/>
          <w:i/>
          <w:iCs/>
          <w:sz w:val="20"/>
          <w:szCs w:val="20"/>
        </w:rPr>
        <w:t>le</w:t>
      </w:r>
      <w:r w:rsidR="00DB1635" w:rsidRPr="00B004EE">
        <w:rPr>
          <w:rFonts w:ascii="Tahoma" w:hAnsi="Tahoma" w:cs="Tahoma"/>
          <w:i/>
          <w:iCs/>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16</w:t>
      </w:r>
      <w:r w:rsidR="00DB1635" w:rsidRPr="00B004EE">
        <w:rPr>
          <w:rFonts w:ascii="Tahoma" w:hAnsi="Tahoma" w:cs="Tahoma"/>
          <w:sz w:val="20"/>
          <w:szCs w:val="20"/>
        </w:rPr>
        <w:t xml:space="preserve"> </w:t>
      </w:r>
      <w:r w:rsidRPr="00B004EE">
        <w:rPr>
          <w:rFonts w:ascii="Tahoma" w:hAnsi="Tahoma" w:cs="Tahoma"/>
          <w:sz w:val="20"/>
          <w:szCs w:val="20"/>
        </w:rPr>
        <w:t>novembre</w:t>
      </w:r>
      <w:r w:rsidR="00DB1635" w:rsidRPr="00B004EE">
        <w:rPr>
          <w:rFonts w:ascii="Tahoma" w:hAnsi="Tahoma" w:cs="Tahoma"/>
          <w:sz w:val="20"/>
          <w:szCs w:val="20"/>
        </w:rPr>
        <w:t xml:space="preserve"> </w:t>
      </w:r>
      <w:r w:rsidRPr="00B004EE">
        <w:rPr>
          <w:rFonts w:ascii="Tahoma" w:hAnsi="Tahoma" w:cs="Tahoma"/>
          <w:sz w:val="20"/>
          <w:szCs w:val="20"/>
        </w:rPr>
        <w:t>2006</w:t>
      </w:r>
    </w:p>
    <w:p w14:paraId="76E5EFEC" w14:textId="2364D53A" w:rsidR="008B58BF" w:rsidRDefault="008B58BF" w:rsidP="00B004EE">
      <w:pPr>
        <w:autoSpaceDE w:val="0"/>
        <w:autoSpaceDN w:val="0"/>
        <w:adjustRightInd w:val="0"/>
        <w:jc w:val="right"/>
        <w:rPr>
          <w:rFonts w:ascii="Tahoma" w:hAnsi="Tahoma" w:cs="Tahoma"/>
          <w:sz w:val="20"/>
          <w:szCs w:val="20"/>
        </w:rPr>
      </w:pPr>
    </w:p>
    <w:p w14:paraId="6E54D8E0" w14:textId="55ED45F1" w:rsidR="00251373" w:rsidRDefault="00251373" w:rsidP="00B004EE">
      <w:pPr>
        <w:autoSpaceDE w:val="0"/>
        <w:autoSpaceDN w:val="0"/>
        <w:adjustRightInd w:val="0"/>
        <w:jc w:val="right"/>
        <w:rPr>
          <w:rFonts w:ascii="Tahoma" w:hAnsi="Tahoma" w:cs="Tahoma"/>
          <w:sz w:val="20"/>
          <w:szCs w:val="20"/>
        </w:rPr>
      </w:pPr>
    </w:p>
    <w:p w14:paraId="0AA10984" w14:textId="06A7DB76" w:rsidR="00251373" w:rsidRDefault="00251373" w:rsidP="00B004EE">
      <w:pPr>
        <w:autoSpaceDE w:val="0"/>
        <w:autoSpaceDN w:val="0"/>
        <w:adjustRightInd w:val="0"/>
        <w:jc w:val="right"/>
        <w:rPr>
          <w:rFonts w:ascii="Tahoma" w:hAnsi="Tahoma" w:cs="Tahoma"/>
          <w:sz w:val="20"/>
          <w:szCs w:val="20"/>
        </w:rPr>
      </w:pPr>
    </w:p>
    <w:p w14:paraId="709AE248" w14:textId="77777777" w:rsidR="00251373" w:rsidRPr="00B004EE" w:rsidRDefault="00251373" w:rsidP="00B004EE">
      <w:pPr>
        <w:autoSpaceDE w:val="0"/>
        <w:autoSpaceDN w:val="0"/>
        <w:adjustRightInd w:val="0"/>
        <w:jc w:val="right"/>
        <w:rPr>
          <w:rFonts w:ascii="Tahoma" w:hAnsi="Tahoma" w:cs="Tahoma"/>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4698"/>
      </w:tblGrid>
      <w:tr w:rsidR="008B58BF" w:rsidRPr="00B004EE" w14:paraId="00221772" w14:textId="77777777" w:rsidTr="008B58BF">
        <w:tc>
          <w:tcPr>
            <w:tcW w:w="4698" w:type="dxa"/>
          </w:tcPr>
          <w:p w14:paraId="4039C8EF" w14:textId="226965BA" w:rsidR="008B58BF" w:rsidRPr="00B004EE" w:rsidRDefault="008B58BF" w:rsidP="00B004EE">
            <w:pPr>
              <w:tabs>
                <w:tab w:val="left" w:pos="3143"/>
              </w:tabs>
              <w:autoSpaceDE w:val="0"/>
              <w:autoSpaceDN w:val="0"/>
              <w:adjustRightInd w:val="0"/>
              <w:ind w:left="35" w:right="1045"/>
              <w:jc w:val="center"/>
              <w:rPr>
                <w:rFonts w:ascii="Tahoma" w:hAnsi="Tahoma" w:cs="Tahoma"/>
              </w:rPr>
            </w:pPr>
            <w:r w:rsidRPr="00B004EE">
              <w:rPr>
                <w:rFonts w:ascii="Tahoma" w:hAnsi="Tahoma" w:cs="Tahoma"/>
              </w:rPr>
              <w:t>Le Ministre Des Pêches et de l’Economie Maritime</w:t>
            </w:r>
          </w:p>
        </w:tc>
        <w:tc>
          <w:tcPr>
            <w:tcW w:w="4698" w:type="dxa"/>
          </w:tcPr>
          <w:p w14:paraId="03DE3EF6" w14:textId="40365577" w:rsidR="008B58BF" w:rsidRPr="00B004EE" w:rsidRDefault="008B58BF" w:rsidP="00B004EE">
            <w:pPr>
              <w:tabs>
                <w:tab w:val="left" w:pos="3834"/>
              </w:tabs>
              <w:autoSpaceDE w:val="0"/>
              <w:autoSpaceDN w:val="0"/>
              <w:adjustRightInd w:val="0"/>
              <w:ind w:left="857"/>
              <w:jc w:val="center"/>
              <w:rPr>
                <w:rFonts w:ascii="Tahoma" w:hAnsi="Tahoma" w:cs="Tahoma"/>
              </w:rPr>
            </w:pPr>
            <w:r w:rsidRPr="00B004EE">
              <w:rPr>
                <w:rFonts w:ascii="Tahoma" w:hAnsi="Tahoma" w:cs="Tahoma"/>
              </w:rPr>
              <w:t>Le Ministre du Commerce, de l’Artisanat et du Tourisme</w:t>
            </w:r>
          </w:p>
        </w:tc>
      </w:tr>
      <w:tr w:rsidR="008B58BF" w:rsidRPr="00B004EE" w14:paraId="4E54FDC0" w14:textId="77777777" w:rsidTr="008B58BF">
        <w:tc>
          <w:tcPr>
            <w:tcW w:w="4698" w:type="dxa"/>
          </w:tcPr>
          <w:p w14:paraId="4C744705" w14:textId="676176B4" w:rsidR="008B58BF" w:rsidRPr="00B004EE" w:rsidRDefault="008B58BF" w:rsidP="00B004EE">
            <w:pPr>
              <w:tabs>
                <w:tab w:val="left" w:pos="3834"/>
              </w:tabs>
              <w:autoSpaceDE w:val="0"/>
              <w:autoSpaceDN w:val="0"/>
              <w:adjustRightInd w:val="0"/>
              <w:ind w:left="166" w:right="913"/>
              <w:rPr>
                <w:rFonts w:ascii="Tahoma" w:hAnsi="Tahoma" w:cs="Tahoma"/>
              </w:rPr>
            </w:pPr>
            <w:r w:rsidRPr="00B004EE">
              <w:rPr>
                <w:rFonts w:ascii="Tahoma" w:hAnsi="Tahoma" w:cs="Tahoma"/>
                <w:lang w:val="en-US"/>
              </w:rPr>
              <w:t>Sidi Mohamed Ould SIDINA</w:t>
            </w:r>
          </w:p>
        </w:tc>
        <w:tc>
          <w:tcPr>
            <w:tcW w:w="4698" w:type="dxa"/>
          </w:tcPr>
          <w:p w14:paraId="23D570CC" w14:textId="7189D08C" w:rsidR="008B58BF" w:rsidRPr="00B004EE" w:rsidRDefault="008B58BF" w:rsidP="00B004EE">
            <w:pPr>
              <w:tabs>
                <w:tab w:val="left" w:pos="3834"/>
              </w:tabs>
              <w:autoSpaceDE w:val="0"/>
              <w:autoSpaceDN w:val="0"/>
              <w:adjustRightInd w:val="0"/>
              <w:ind w:left="716"/>
              <w:jc w:val="center"/>
              <w:rPr>
                <w:rFonts w:ascii="Tahoma" w:hAnsi="Tahoma" w:cs="Tahoma"/>
              </w:rPr>
            </w:pPr>
            <w:r w:rsidRPr="00B004EE">
              <w:rPr>
                <w:rFonts w:ascii="Tahoma" w:hAnsi="Tahoma" w:cs="Tahoma"/>
                <w:lang w:val="en-US"/>
              </w:rPr>
              <w:t>BA Abderrahmane</w:t>
            </w:r>
          </w:p>
        </w:tc>
      </w:tr>
      <w:tr w:rsidR="008B58BF" w:rsidRPr="00B004EE" w14:paraId="3B19BA03" w14:textId="77777777" w:rsidTr="008B58BF">
        <w:tc>
          <w:tcPr>
            <w:tcW w:w="4698" w:type="dxa"/>
          </w:tcPr>
          <w:p w14:paraId="694DCD24" w14:textId="77777777" w:rsidR="008B58BF" w:rsidRPr="00B004EE" w:rsidRDefault="008B58BF" w:rsidP="00B004EE">
            <w:pPr>
              <w:tabs>
                <w:tab w:val="left" w:pos="3834"/>
              </w:tabs>
              <w:autoSpaceDE w:val="0"/>
              <w:autoSpaceDN w:val="0"/>
              <w:adjustRightInd w:val="0"/>
              <w:ind w:left="-118" w:right="913"/>
              <w:jc w:val="center"/>
              <w:rPr>
                <w:rFonts w:ascii="Tahoma" w:hAnsi="Tahoma" w:cs="Tahoma"/>
              </w:rPr>
            </w:pPr>
          </w:p>
        </w:tc>
        <w:tc>
          <w:tcPr>
            <w:tcW w:w="4698" w:type="dxa"/>
          </w:tcPr>
          <w:p w14:paraId="4D5B1431" w14:textId="77777777" w:rsidR="008B58BF" w:rsidRDefault="00251373" w:rsidP="00251373">
            <w:pPr>
              <w:tabs>
                <w:tab w:val="left" w:pos="585"/>
                <w:tab w:val="left" w:pos="3834"/>
              </w:tabs>
              <w:autoSpaceDE w:val="0"/>
              <w:autoSpaceDN w:val="0"/>
              <w:adjustRightInd w:val="0"/>
              <w:rPr>
                <w:rFonts w:ascii="Tahoma" w:hAnsi="Tahoma" w:cs="Tahoma"/>
              </w:rPr>
            </w:pPr>
            <w:r>
              <w:rPr>
                <w:rFonts w:ascii="Tahoma" w:hAnsi="Tahoma" w:cs="Tahoma"/>
              </w:rPr>
              <w:tab/>
            </w:r>
          </w:p>
          <w:p w14:paraId="68C3D044" w14:textId="7FBB3E89" w:rsidR="00251373" w:rsidRPr="00B004EE" w:rsidRDefault="00251373" w:rsidP="00251373">
            <w:pPr>
              <w:tabs>
                <w:tab w:val="left" w:pos="585"/>
                <w:tab w:val="left" w:pos="3834"/>
              </w:tabs>
              <w:autoSpaceDE w:val="0"/>
              <w:autoSpaceDN w:val="0"/>
              <w:adjustRightInd w:val="0"/>
              <w:rPr>
                <w:rFonts w:ascii="Tahoma" w:hAnsi="Tahoma" w:cs="Tahoma"/>
              </w:rPr>
            </w:pPr>
          </w:p>
        </w:tc>
      </w:tr>
      <w:tr w:rsidR="008B58BF" w:rsidRPr="00B004EE" w14:paraId="7CFEACF7" w14:textId="77777777" w:rsidTr="008B58BF">
        <w:tc>
          <w:tcPr>
            <w:tcW w:w="4698" w:type="dxa"/>
          </w:tcPr>
          <w:p w14:paraId="14A740E9" w14:textId="203D6B1E" w:rsidR="008B58BF" w:rsidRPr="00B004EE" w:rsidRDefault="008B58BF" w:rsidP="00B004EE">
            <w:pPr>
              <w:tabs>
                <w:tab w:val="left" w:pos="3834"/>
              </w:tabs>
              <w:autoSpaceDE w:val="0"/>
              <w:autoSpaceDN w:val="0"/>
              <w:adjustRightInd w:val="0"/>
              <w:ind w:left="-118" w:right="913"/>
              <w:jc w:val="center"/>
              <w:rPr>
                <w:rFonts w:ascii="Tahoma" w:hAnsi="Tahoma" w:cs="Tahoma"/>
              </w:rPr>
            </w:pPr>
            <w:r w:rsidRPr="00B004EE">
              <w:rPr>
                <w:rFonts w:ascii="Tahoma" w:hAnsi="Tahoma" w:cs="Tahoma"/>
              </w:rPr>
              <w:t>Le Ministre De La Sante et des Affaires Sociales</w:t>
            </w:r>
          </w:p>
        </w:tc>
        <w:tc>
          <w:tcPr>
            <w:tcW w:w="4698" w:type="dxa"/>
          </w:tcPr>
          <w:p w14:paraId="6F71D4D4" w14:textId="07F219F4" w:rsidR="008B58BF" w:rsidRPr="00B004EE" w:rsidRDefault="008B58BF" w:rsidP="00B004EE">
            <w:pPr>
              <w:tabs>
                <w:tab w:val="left" w:pos="3834"/>
              </w:tabs>
              <w:autoSpaceDE w:val="0"/>
              <w:autoSpaceDN w:val="0"/>
              <w:adjustRightInd w:val="0"/>
              <w:jc w:val="center"/>
              <w:rPr>
                <w:rFonts w:ascii="Tahoma" w:hAnsi="Tahoma" w:cs="Tahoma"/>
              </w:rPr>
            </w:pPr>
            <w:r w:rsidRPr="00B004EE">
              <w:rPr>
                <w:rFonts w:ascii="Tahoma" w:hAnsi="Tahoma" w:cs="Tahoma"/>
              </w:rPr>
              <w:t>Le Secrétaire d’Etat auprès du Premier Ministre Charge de l’Environnement</w:t>
            </w:r>
          </w:p>
        </w:tc>
      </w:tr>
      <w:tr w:rsidR="008B58BF" w:rsidRPr="00BC4336" w14:paraId="4EB080E7" w14:textId="77777777" w:rsidTr="008B58BF">
        <w:tc>
          <w:tcPr>
            <w:tcW w:w="4698" w:type="dxa"/>
          </w:tcPr>
          <w:p w14:paraId="513E8BEC" w14:textId="09BCEB7B" w:rsidR="008B58BF" w:rsidRPr="00B004EE" w:rsidRDefault="008B58BF" w:rsidP="00B004EE">
            <w:pPr>
              <w:tabs>
                <w:tab w:val="left" w:pos="3834"/>
              </w:tabs>
              <w:autoSpaceDE w:val="0"/>
              <w:autoSpaceDN w:val="0"/>
              <w:adjustRightInd w:val="0"/>
              <w:ind w:right="1055"/>
              <w:jc w:val="center"/>
              <w:rPr>
                <w:rFonts w:ascii="Tahoma" w:hAnsi="Tahoma" w:cs="Tahoma"/>
                <w:lang w:val="en-US"/>
              </w:rPr>
            </w:pPr>
            <w:r w:rsidRPr="00B004EE">
              <w:rPr>
                <w:rFonts w:ascii="Tahoma" w:hAnsi="Tahoma" w:cs="Tahoma"/>
                <w:lang w:val="en-US"/>
              </w:rPr>
              <w:t>Saadna Ould BAHAIDA</w:t>
            </w:r>
          </w:p>
        </w:tc>
        <w:tc>
          <w:tcPr>
            <w:tcW w:w="4698" w:type="dxa"/>
          </w:tcPr>
          <w:p w14:paraId="678AB0E0" w14:textId="78930B44" w:rsidR="008B58BF" w:rsidRPr="00B004EE" w:rsidRDefault="008B58BF" w:rsidP="00B004EE">
            <w:pPr>
              <w:tabs>
                <w:tab w:val="left" w:pos="3834"/>
              </w:tabs>
              <w:autoSpaceDE w:val="0"/>
              <w:autoSpaceDN w:val="0"/>
              <w:adjustRightInd w:val="0"/>
              <w:ind w:left="432" w:right="365"/>
              <w:jc w:val="center"/>
              <w:rPr>
                <w:rFonts w:ascii="Tahoma" w:hAnsi="Tahoma" w:cs="Tahoma"/>
                <w:lang w:val="en-US"/>
              </w:rPr>
            </w:pPr>
            <w:r w:rsidRPr="00B004EE">
              <w:rPr>
                <w:rFonts w:ascii="Tahoma" w:hAnsi="Tahoma" w:cs="Tahoma"/>
                <w:lang w:val="en-US"/>
              </w:rPr>
              <w:t>Mohamed Lemine Ould Aboye Ould CHEIKH EL HADRAMI</w:t>
            </w:r>
          </w:p>
        </w:tc>
      </w:tr>
    </w:tbl>
    <w:p w14:paraId="579B6088" w14:textId="5AB41648" w:rsidR="000E237E" w:rsidRPr="00B004EE" w:rsidRDefault="000E237E" w:rsidP="00B004EE">
      <w:pPr>
        <w:autoSpaceDE w:val="0"/>
        <w:autoSpaceDN w:val="0"/>
        <w:adjustRightInd w:val="0"/>
        <w:rPr>
          <w:rFonts w:ascii="Tahoma" w:hAnsi="Tahoma" w:cs="Tahoma"/>
          <w:sz w:val="20"/>
          <w:szCs w:val="20"/>
          <w:lang w:val="en-US"/>
        </w:rPr>
      </w:pPr>
    </w:p>
    <w:p w14:paraId="49C7BB78" w14:textId="77777777" w:rsidR="000E237E" w:rsidRPr="00B004EE" w:rsidRDefault="000E237E" w:rsidP="00B004EE">
      <w:pPr>
        <w:autoSpaceDE w:val="0"/>
        <w:autoSpaceDN w:val="0"/>
        <w:adjustRightInd w:val="0"/>
        <w:rPr>
          <w:rFonts w:ascii="Tahoma" w:hAnsi="Tahoma" w:cs="Tahoma"/>
          <w:sz w:val="20"/>
          <w:szCs w:val="20"/>
          <w:lang w:val="en-US"/>
        </w:rPr>
        <w:sectPr w:rsidR="000E237E" w:rsidRPr="00B004EE" w:rsidSect="00983185">
          <w:pgSz w:w="12240" w:h="15840"/>
          <w:pgMar w:top="1417" w:right="1417" w:bottom="1417" w:left="1417" w:header="720" w:footer="720" w:gutter="0"/>
          <w:cols w:space="720"/>
          <w:noEndnote/>
          <w:docGrid w:linePitch="326"/>
        </w:sectPr>
      </w:pPr>
    </w:p>
    <w:p w14:paraId="6E5CD29B" w14:textId="7B9B484B" w:rsidR="002F24E1" w:rsidRPr="00251373" w:rsidRDefault="002F24E1" w:rsidP="00B004EE">
      <w:pPr>
        <w:pStyle w:val="Titre1"/>
        <w:pBdr>
          <w:top w:val="thinThickMediumGap" w:sz="24" w:space="1" w:color="70AD47" w:themeColor="accent6"/>
          <w:left w:val="thinThickMediumGap" w:sz="24" w:space="4" w:color="70AD47" w:themeColor="accent6"/>
          <w:bottom w:val="thickThinMediumGap" w:sz="24" w:space="1" w:color="70AD47" w:themeColor="accent6"/>
          <w:right w:val="thickThinMediumGap" w:sz="24" w:space="4" w:color="70AD47" w:themeColor="accent6"/>
        </w:pBdr>
        <w:spacing w:line="276" w:lineRule="auto"/>
        <w:jc w:val="both"/>
        <w:rPr>
          <w:rFonts w:ascii="Tahoma" w:hAnsi="Tahoma" w:cs="Tahoma"/>
          <w:szCs w:val="22"/>
        </w:rPr>
      </w:pPr>
      <w:bookmarkStart w:id="176" w:name="_Toc16288671"/>
      <w:bookmarkStart w:id="177" w:name="_Toc17022013"/>
      <w:bookmarkStart w:id="178" w:name="_Toc202214685"/>
      <w:r w:rsidRPr="00251373">
        <w:rPr>
          <w:rFonts w:ascii="Tahoma" w:hAnsi="Tahoma" w:cs="Tahoma"/>
          <w:szCs w:val="22"/>
        </w:rPr>
        <w:lastRenderedPageBreak/>
        <w:t>Arrêté</w:t>
      </w:r>
      <w:r w:rsidR="00DB1635" w:rsidRPr="00251373">
        <w:rPr>
          <w:rFonts w:ascii="Tahoma" w:hAnsi="Tahoma" w:cs="Tahoma"/>
          <w:szCs w:val="22"/>
        </w:rPr>
        <w:t xml:space="preserve"> </w:t>
      </w:r>
      <w:r w:rsidRPr="00251373">
        <w:rPr>
          <w:rFonts w:ascii="Tahoma" w:hAnsi="Tahoma" w:cs="Tahoma"/>
          <w:szCs w:val="22"/>
        </w:rPr>
        <w:t>conjoint</w:t>
      </w:r>
      <w:r w:rsidR="00DB1635" w:rsidRPr="00251373">
        <w:rPr>
          <w:rFonts w:ascii="Tahoma" w:hAnsi="Tahoma" w:cs="Tahoma"/>
          <w:szCs w:val="22"/>
        </w:rPr>
        <w:t xml:space="preserve"> </w:t>
      </w:r>
      <w:r w:rsidRPr="00251373">
        <w:rPr>
          <w:rFonts w:ascii="Tahoma" w:hAnsi="Tahoma" w:cs="Tahoma"/>
          <w:szCs w:val="22"/>
        </w:rPr>
        <w:t>n°</w:t>
      </w:r>
      <w:r w:rsidR="00DB1635" w:rsidRPr="00251373">
        <w:rPr>
          <w:rFonts w:ascii="Tahoma" w:hAnsi="Tahoma" w:cs="Tahoma"/>
          <w:szCs w:val="22"/>
        </w:rPr>
        <w:t xml:space="preserve"> </w:t>
      </w:r>
      <w:r w:rsidRPr="00251373">
        <w:rPr>
          <w:rFonts w:ascii="Tahoma" w:hAnsi="Tahoma" w:cs="Tahoma"/>
          <w:szCs w:val="22"/>
        </w:rPr>
        <w:t>2861</w:t>
      </w:r>
      <w:r w:rsidR="00DB1635" w:rsidRPr="00251373">
        <w:rPr>
          <w:rFonts w:ascii="Tahoma" w:hAnsi="Tahoma" w:cs="Tahoma"/>
          <w:szCs w:val="22"/>
        </w:rPr>
        <w:t xml:space="preserve"> </w:t>
      </w:r>
      <w:r w:rsidR="00656988" w:rsidRPr="00251373">
        <w:rPr>
          <w:rFonts w:ascii="Tahoma" w:hAnsi="Tahoma" w:cs="Tahoma"/>
          <w:szCs w:val="22"/>
        </w:rPr>
        <w:t>du</w:t>
      </w:r>
      <w:r w:rsidR="00DB1635" w:rsidRPr="00251373">
        <w:rPr>
          <w:rFonts w:ascii="Tahoma" w:hAnsi="Tahoma" w:cs="Tahoma"/>
          <w:szCs w:val="22"/>
        </w:rPr>
        <w:t xml:space="preserve"> </w:t>
      </w:r>
      <w:r w:rsidR="00656988" w:rsidRPr="00251373">
        <w:rPr>
          <w:rFonts w:ascii="Tahoma" w:hAnsi="Tahoma" w:cs="Tahoma"/>
          <w:szCs w:val="22"/>
        </w:rPr>
        <w:t>16</w:t>
      </w:r>
      <w:r w:rsidR="00DB1635" w:rsidRPr="00251373">
        <w:rPr>
          <w:rFonts w:ascii="Tahoma" w:hAnsi="Tahoma" w:cs="Tahoma"/>
          <w:szCs w:val="22"/>
        </w:rPr>
        <w:t xml:space="preserve"> </w:t>
      </w:r>
      <w:r w:rsidR="00656988" w:rsidRPr="00251373">
        <w:rPr>
          <w:rFonts w:ascii="Tahoma" w:hAnsi="Tahoma" w:cs="Tahoma"/>
          <w:szCs w:val="22"/>
        </w:rPr>
        <w:t>novembre</w:t>
      </w:r>
      <w:r w:rsidR="00DB1635" w:rsidRPr="00251373">
        <w:rPr>
          <w:rFonts w:ascii="Tahoma" w:hAnsi="Tahoma" w:cs="Tahoma"/>
          <w:szCs w:val="22"/>
        </w:rPr>
        <w:t xml:space="preserve"> </w:t>
      </w:r>
      <w:r w:rsidR="00656988" w:rsidRPr="00251373">
        <w:rPr>
          <w:rFonts w:ascii="Tahoma" w:hAnsi="Tahoma" w:cs="Tahoma"/>
          <w:szCs w:val="22"/>
        </w:rPr>
        <w:t>2006,</w:t>
      </w:r>
      <w:r w:rsidR="00DB1635" w:rsidRPr="00251373">
        <w:rPr>
          <w:rFonts w:ascii="Tahoma" w:hAnsi="Tahoma" w:cs="Tahoma"/>
          <w:szCs w:val="22"/>
        </w:rPr>
        <w:t xml:space="preserve"> </w:t>
      </w:r>
      <w:r w:rsidRPr="00251373">
        <w:rPr>
          <w:rFonts w:ascii="Tahoma" w:hAnsi="Tahoma" w:cs="Tahoma"/>
          <w:szCs w:val="22"/>
        </w:rPr>
        <w:t>relatif</w:t>
      </w:r>
      <w:r w:rsidR="00DB1635" w:rsidRPr="00251373">
        <w:rPr>
          <w:rFonts w:ascii="Tahoma" w:hAnsi="Tahoma" w:cs="Tahoma"/>
          <w:szCs w:val="22"/>
        </w:rPr>
        <w:t xml:space="preserve"> </w:t>
      </w:r>
      <w:r w:rsidRPr="00251373">
        <w:rPr>
          <w:rFonts w:ascii="Tahoma" w:hAnsi="Tahoma" w:cs="Tahoma"/>
          <w:szCs w:val="22"/>
        </w:rPr>
        <w:t>aux</w:t>
      </w:r>
      <w:r w:rsidR="00DB1635" w:rsidRPr="00251373">
        <w:rPr>
          <w:rFonts w:ascii="Tahoma" w:hAnsi="Tahoma" w:cs="Tahoma"/>
          <w:szCs w:val="22"/>
        </w:rPr>
        <w:t xml:space="preserve"> </w:t>
      </w:r>
      <w:r w:rsidRPr="00251373">
        <w:rPr>
          <w:rFonts w:ascii="Tahoma" w:hAnsi="Tahoma" w:cs="Tahoma"/>
          <w:szCs w:val="22"/>
        </w:rPr>
        <w:t>conditions</w:t>
      </w:r>
      <w:r w:rsidR="00DB1635" w:rsidRPr="00251373">
        <w:rPr>
          <w:rFonts w:ascii="Tahoma" w:hAnsi="Tahoma" w:cs="Tahoma"/>
          <w:szCs w:val="22"/>
        </w:rPr>
        <w:t xml:space="preserve"> </w:t>
      </w:r>
      <w:r w:rsidRPr="00251373">
        <w:rPr>
          <w:rFonts w:ascii="Tahoma" w:hAnsi="Tahoma" w:cs="Tahoma"/>
          <w:szCs w:val="22"/>
        </w:rPr>
        <w:t>d'hygiène</w:t>
      </w:r>
      <w:r w:rsidR="00DB1635" w:rsidRPr="00251373">
        <w:rPr>
          <w:rFonts w:ascii="Tahoma" w:hAnsi="Tahoma" w:cs="Tahoma"/>
          <w:szCs w:val="22"/>
        </w:rPr>
        <w:t xml:space="preserve"> </w:t>
      </w:r>
      <w:r w:rsidRPr="00251373">
        <w:rPr>
          <w:rFonts w:ascii="Tahoma" w:hAnsi="Tahoma" w:cs="Tahoma"/>
          <w:szCs w:val="22"/>
        </w:rPr>
        <w:t>et</w:t>
      </w:r>
      <w:r w:rsidR="00DB1635" w:rsidRPr="00251373">
        <w:rPr>
          <w:rFonts w:ascii="Tahoma" w:hAnsi="Tahoma" w:cs="Tahoma"/>
          <w:szCs w:val="22"/>
        </w:rPr>
        <w:t xml:space="preserve"> </w:t>
      </w:r>
      <w:r w:rsidRPr="00251373">
        <w:rPr>
          <w:rFonts w:ascii="Tahoma" w:hAnsi="Tahoma" w:cs="Tahoma"/>
          <w:szCs w:val="22"/>
        </w:rPr>
        <w:t>de</w:t>
      </w:r>
      <w:r w:rsidR="00DB1635" w:rsidRPr="00251373">
        <w:rPr>
          <w:rFonts w:ascii="Tahoma" w:hAnsi="Tahoma" w:cs="Tahoma"/>
          <w:szCs w:val="22"/>
        </w:rPr>
        <w:t xml:space="preserve"> </w:t>
      </w:r>
      <w:r w:rsidRPr="00251373">
        <w:rPr>
          <w:rFonts w:ascii="Tahoma" w:hAnsi="Tahoma" w:cs="Tahoma"/>
          <w:szCs w:val="22"/>
        </w:rPr>
        <w:t>salubrité</w:t>
      </w:r>
      <w:r w:rsidR="00DB1635" w:rsidRPr="00251373">
        <w:rPr>
          <w:rFonts w:ascii="Tahoma" w:hAnsi="Tahoma" w:cs="Tahoma"/>
          <w:szCs w:val="22"/>
        </w:rPr>
        <w:t xml:space="preserve"> </w:t>
      </w:r>
      <w:r w:rsidRPr="00251373">
        <w:rPr>
          <w:rFonts w:ascii="Tahoma" w:hAnsi="Tahoma" w:cs="Tahoma"/>
          <w:szCs w:val="22"/>
        </w:rPr>
        <w:t>applicables</w:t>
      </w:r>
      <w:r w:rsidR="00DB1635" w:rsidRPr="00251373">
        <w:rPr>
          <w:rFonts w:ascii="Tahoma" w:hAnsi="Tahoma" w:cs="Tahoma"/>
          <w:szCs w:val="22"/>
        </w:rPr>
        <w:t xml:space="preserve"> </w:t>
      </w:r>
      <w:r w:rsidRPr="00251373">
        <w:rPr>
          <w:rFonts w:ascii="Tahoma" w:hAnsi="Tahoma" w:cs="Tahoma"/>
          <w:szCs w:val="22"/>
        </w:rPr>
        <w:t>aux</w:t>
      </w:r>
      <w:r w:rsidR="00DB1635" w:rsidRPr="00251373">
        <w:rPr>
          <w:rFonts w:ascii="Tahoma" w:hAnsi="Tahoma" w:cs="Tahoma"/>
          <w:szCs w:val="22"/>
        </w:rPr>
        <w:t xml:space="preserve"> </w:t>
      </w:r>
      <w:r w:rsidRPr="00251373">
        <w:rPr>
          <w:rFonts w:ascii="Tahoma" w:hAnsi="Tahoma" w:cs="Tahoma"/>
          <w:szCs w:val="22"/>
        </w:rPr>
        <w:t>embarcations</w:t>
      </w:r>
      <w:r w:rsidR="00DB1635" w:rsidRPr="00251373">
        <w:rPr>
          <w:rFonts w:ascii="Tahoma" w:hAnsi="Tahoma" w:cs="Tahoma"/>
          <w:szCs w:val="22"/>
        </w:rPr>
        <w:t xml:space="preserve"> </w:t>
      </w:r>
      <w:r w:rsidRPr="00251373">
        <w:rPr>
          <w:rFonts w:ascii="Tahoma" w:hAnsi="Tahoma" w:cs="Tahoma"/>
          <w:szCs w:val="22"/>
        </w:rPr>
        <w:t>de</w:t>
      </w:r>
      <w:r w:rsidR="00DB1635" w:rsidRPr="00251373">
        <w:rPr>
          <w:rFonts w:ascii="Tahoma" w:hAnsi="Tahoma" w:cs="Tahoma"/>
          <w:szCs w:val="22"/>
        </w:rPr>
        <w:t xml:space="preserve"> </w:t>
      </w:r>
      <w:r w:rsidRPr="00251373">
        <w:rPr>
          <w:rFonts w:ascii="Tahoma" w:hAnsi="Tahoma" w:cs="Tahoma"/>
          <w:szCs w:val="22"/>
        </w:rPr>
        <w:t>pêche</w:t>
      </w:r>
      <w:r w:rsidR="00DB1635" w:rsidRPr="00251373">
        <w:rPr>
          <w:rFonts w:ascii="Tahoma" w:hAnsi="Tahoma" w:cs="Tahoma"/>
          <w:szCs w:val="22"/>
        </w:rPr>
        <w:t xml:space="preserve"> </w:t>
      </w:r>
      <w:r w:rsidRPr="00251373">
        <w:rPr>
          <w:rFonts w:ascii="Tahoma" w:hAnsi="Tahoma" w:cs="Tahoma"/>
          <w:szCs w:val="22"/>
        </w:rPr>
        <w:t>artisanale</w:t>
      </w:r>
      <w:r w:rsidR="00DB1635" w:rsidRPr="00251373">
        <w:rPr>
          <w:rFonts w:ascii="Tahoma" w:hAnsi="Tahoma" w:cs="Tahoma"/>
          <w:szCs w:val="22"/>
        </w:rPr>
        <w:t xml:space="preserve"> </w:t>
      </w:r>
      <w:r w:rsidRPr="00251373">
        <w:rPr>
          <w:rFonts w:ascii="Tahoma" w:hAnsi="Tahoma" w:cs="Tahoma"/>
          <w:szCs w:val="22"/>
        </w:rPr>
        <w:t>et</w:t>
      </w:r>
      <w:r w:rsidR="00DB1635" w:rsidRPr="00251373">
        <w:rPr>
          <w:rFonts w:ascii="Tahoma" w:hAnsi="Tahoma" w:cs="Tahoma"/>
          <w:szCs w:val="22"/>
        </w:rPr>
        <w:t xml:space="preserve"> </w:t>
      </w:r>
      <w:r w:rsidRPr="00251373">
        <w:rPr>
          <w:rFonts w:ascii="Tahoma" w:hAnsi="Tahoma" w:cs="Tahoma"/>
          <w:szCs w:val="22"/>
        </w:rPr>
        <w:t>côtière</w:t>
      </w:r>
      <w:bookmarkEnd w:id="176"/>
      <w:bookmarkEnd w:id="177"/>
      <w:bookmarkEnd w:id="178"/>
    </w:p>
    <w:p w14:paraId="7A08797E" w14:textId="77777777" w:rsidR="002F24E1" w:rsidRPr="00B004EE" w:rsidRDefault="002F24E1" w:rsidP="00B004EE">
      <w:pPr>
        <w:jc w:val="both"/>
        <w:rPr>
          <w:rFonts w:ascii="Tahoma" w:hAnsi="Tahoma" w:cs="Tahoma"/>
          <w:sz w:val="20"/>
          <w:szCs w:val="20"/>
        </w:rPr>
      </w:pPr>
    </w:p>
    <w:p w14:paraId="3229DA46" w14:textId="119F3C94" w:rsidR="002F24E1" w:rsidRPr="00B004EE" w:rsidRDefault="002F24E1" w:rsidP="00B004EE">
      <w:pPr>
        <w:jc w:val="both"/>
        <w:rPr>
          <w:rFonts w:ascii="Tahoma" w:hAnsi="Tahoma" w:cs="Tahoma"/>
          <w:sz w:val="20"/>
          <w:szCs w:val="20"/>
        </w:rPr>
      </w:pPr>
      <w:r w:rsidRPr="00B004EE">
        <w:rPr>
          <w:rFonts w:ascii="Tahoma" w:hAnsi="Tahoma" w:cs="Tahoma"/>
          <w:sz w:val="20"/>
          <w:szCs w:val="20"/>
        </w:rPr>
        <w:t>Article</w:t>
      </w:r>
      <w:r w:rsidR="00DB1635" w:rsidRPr="00B004EE">
        <w:rPr>
          <w:rFonts w:ascii="Tahoma" w:hAnsi="Tahoma" w:cs="Tahoma"/>
          <w:sz w:val="20"/>
          <w:szCs w:val="20"/>
        </w:rPr>
        <w:t xml:space="preserve"> </w:t>
      </w:r>
      <w:r w:rsidRPr="00B004EE">
        <w:rPr>
          <w:rFonts w:ascii="Tahoma" w:hAnsi="Tahoma" w:cs="Tahoma"/>
          <w:sz w:val="20"/>
          <w:szCs w:val="20"/>
        </w:rPr>
        <w:t>premier</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application</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l'alinéa</w:t>
      </w:r>
      <w:r w:rsidR="00DB1635" w:rsidRPr="00B004EE">
        <w:rPr>
          <w:rFonts w:ascii="Tahoma" w:hAnsi="Tahoma" w:cs="Tahoma"/>
          <w:sz w:val="20"/>
          <w:szCs w:val="20"/>
        </w:rPr>
        <w:t xml:space="preserve"> </w:t>
      </w:r>
      <w:r w:rsidRPr="00B004EE">
        <w:rPr>
          <w:rFonts w:ascii="Tahoma" w:hAnsi="Tahoma" w:cs="Tahoma"/>
          <w:sz w:val="20"/>
          <w:szCs w:val="20"/>
        </w:rPr>
        <w:t>2</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l'article</w:t>
      </w:r>
      <w:r w:rsidR="00DB1635" w:rsidRPr="00B004EE">
        <w:rPr>
          <w:rFonts w:ascii="Tahoma" w:hAnsi="Tahoma" w:cs="Tahoma"/>
          <w:sz w:val="20"/>
          <w:szCs w:val="20"/>
        </w:rPr>
        <w:t xml:space="preserve"> </w:t>
      </w:r>
      <w:r w:rsidRPr="00B004EE">
        <w:rPr>
          <w:rFonts w:ascii="Tahoma" w:hAnsi="Tahoma" w:cs="Tahoma"/>
          <w:sz w:val="20"/>
          <w:szCs w:val="20"/>
        </w:rPr>
        <w:t>4</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décret</w:t>
      </w:r>
      <w:r w:rsidR="00DB1635" w:rsidRPr="00B004EE">
        <w:rPr>
          <w:rFonts w:ascii="Tahoma" w:hAnsi="Tahoma" w:cs="Tahoma"/>
          <w:sz w:val="20"/>
          <w:szCs w:val="20"/>
        </w:rPr>
        <w:t xml:space="preserve"> </w:t>
      </w:r>
      <w:r w:rsidRPr="00B004EE">
        <w:rPr>
          <w:rFonts w:ascii="Tahoma" w:hAnsi="Tahoma" w:cs="Tahoma"/>
          <w:sz w:val="20"/>
          <w:szCs w:val="20"/>
        </w:rPr>
        <w:t>n°</w:t>
      </w:r>
      <w:r w:rsidR="00DB1635" w:rsidRPr="00B004EE">
        <w:rPr>
          <w:rFonts w:ascii="Tahoma" w:hAnsi="Tahoma" w:cs="Tahoma"/>
          <w:sz w:val="20"/>
          <w:szCs w:val="20"/>
        </w:rPr>
        <w:t xml:space="preserve"> </w:t>
      </w:r>
      <w:r w:rsidRPr="00B004EE">
        <w:rPr>
          <w:rFonts w:ascii="Tahoma" w:hAnsi="Tahoma" w:cs="Tahoma"/>
          <w:sz w:val="20"/>
          <w:szCs w:val="20"/>
        </w:rPr>
        <w:t>94.030</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8</w:t>
      </w:r>
      <w:r w:rsidR="00DB1635" w:rsidRPr="00B004EE">
        <w:rPr>
          <w:rFonts w:ascii="Tahoma" w:hAnsi="Tahoma" w:cs="Tahoma"/>
          <w:sz w:val="20"/>
          <w:szCs w:val="20"/>
        </w:rPr>
        <w:t xml:space="preserve"> </w:t>
      </w:r>
      <w:r w:rsidRPr="00B004EE">
        <w:rPr>
          <w:rFonts w:ascii="Tahoma" w:hAnsi="Tahoma" w:cs="Tahoma"/>
          <w:sz w:val="20"/>
          <w:szCs w:val="20"/>
        </w:rPr>
        <w:t>mars</w:t>
      </w:r>
      <w:r w:rsidR="00DB1635" w:rsidRPr="00B004EE">
        <w:rPr>
          <w:rFonts w:ascii="Tahoma" w:hAnsi="Tahoma" w:cs="Tahoma"/>
          <w:sz w:val="20"/>
          <w:szCs w:val="20"/>
        </w:rPr>
        <w:t xml:space="preserve"> </w:t>
      </w:r>
      <w:r w:rsidRPr="00B004EE">
        <w:rPr>
          <w:rFonts w:ascii="Tahoma" w:hAnsi="Tahoma" w:cs="Tahoma"/>
          <w:sz w:val="20"/>
          <w:szCs w:val="20"/>
        </w:rPr>
        <w:t>1994</w:t>
      </w:r>
      <w:r w:rsidR="00DB1635" w:rsidRPr="00B004EE">
        <w:rPr>
          <w:rFonts w:ascii="Tahoma" w:hAnsi="Tahoma" w:cs="Tahoma"/>
          <w:sz w:val="20"/>
          <w:szCs w:val="20"/>
        </w:rPr>
        <w:t xml:space="preserve"> </w:t>
      </w:r>
      <w:r w:rsidRPr="00B004EE">
        <w:rPr>
          <w:rFonts w:ascii="Tahoma" w:hAnsi="Tahoma" w:cs="Tahoma"/>
          <w:sz w:val="20"/>
          <w:szCs w:val="20"/>
        </w:rPr>
        <w:t>relatif</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normes</w:t>
      </w:r>
      <w:r w:rsidR="00DB1635" w:rsidRPr="00B004EE">
        <w:rPr>
          <w:rFonts w:ascii="Tahoma" w:hAnsi="Tahoma" w:cs="Tahoma"/>
          <w:sz w:val="20"/>
          <w:szCs w:val="20"/>
        </w:rPr>
        <w:t xml:space="preserve"> </w:t>
      </w:r>
      <w:r w:rsidRPr="00B004EE">
        <w:rPr>
          <w:rFonts w:ascii="Tahoma" w:hAnsi="Tahoma" w:cs="Tahoma"/>
          <w:sz w:val="20"/>
          <w:szCs w:val="20"/>
        </w:rPr>
        <w:t>d’hygiène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salubrité</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conditions</w:t>
      </w:r>
      <w:r w:rsidR="00DB1635" w:rsidRPr="00B004EE">
        <w:rPr>
          <w:rFonts w:ascii="Tahoma" w:hAnsi="Tahoma" w:cs="Tahoma"/>
          <w:sz w:val="20"/>
          <w:szCs w:val="20"/>
        </w:rPr>
        <w:t xml:space="preserve"> </w:t>
      </w:r>
      <w:r w:rsidRPr="00B004EE">
        <w:rPr>
          <w:rFonts w:ascii="Tahoma" w:hAnsi="Tahoma" w:cs="Tahoma"/>
          <w:sz w:val="20"/>
          <w:szCs w:val="20"/>
        </w:rPr>
        <w:t>d’inspection</w:t>
      </w:r>
      <w:r w:rsidR="00DB1635" w:rsidRPr="00B004EE">
        <w:rPr>
          <w:rFonts w:ascii="Tahoma" w:hAnsi="Tahoma" w:cs="Tahoma"/>
          <w:sz w:val="20"/>
          <w:szCs w:val="20"/>
        </w:rPr>
        <w:t xml:space="preserve"> </w:t>
      </w:r>
      <w:r w:rsidRPr="00B004EE">
        <w:rPr>
          <w:rFonts w:ascii="Tahoma" w:hAnsi="Tahoma" w:cs="Tahoma"/>
          <w:sz w:val="20"/>
          <w:szCs w:val="20"/>
        </w:rPr>
        <w:t>sanitaire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contrôle</w:t>
      </w:r>
      <w:r w:rsidR="00DB1635" w:rsidRPr="00B004EE">
        <w:rPr>
          <w:rFonts w:ascii="Tahoma" w:hAnsi="Tahoma" w:cs="Tahoma"/>
          <w:sz w:val="20"/>
          <w:szCs w:val="20"/>
        </w:rPr>
        <w:t xml:space="preserve"> </w:t>
      </w:r>
      <w:r w:rsidRPr="00B004EE">
        <w:rPr>
          <w:rFonts w:ascii="Tahoma" w:hAnsi="Tahoma" w:cs="Tahoma"/>
          <w:sz w:val="20"/>
          <w:szCs w:val="20"/>
        </w:rPr>
        <w:t>régissant</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production</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mise</w:t>
      </w:r>
      <w:r w:rsidR="00DB1635" w:rsidRPr="00B004EE">
        <w:rPr>
          <w:rFonts w:ascii="Tahoma" w:hAnsi="Tahoma" w:cs="Tahoma"/>
          <w:sz w:val="20"/>
          <w:szCs w:val="20"/>
        </w:rPr>
        <w:t xml:space="preserve"> </w:t>
      </w:r>
      <w:r w:rsidRPr="00B004EE">
        <w:rPr>
          <w:rFonts w:ascii="Tahoma" w:hAnsi="Tahoma" w:cs="Tahoma"/>
          <w:sz w:val="20"/>
          <w:szCs w:val="20"/>
        </w:rPr>
        <w:t>sur</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marché</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présent</w:t>
      </w:r>
      <w:r w:rsidR="00DB1635" w:rsidRPr="00B004EE">
        <w:rPr>
          <w:rFonts w:ascii="Tahoma" w:hAnsi="Tahoma" w:cs="Tahoma"/>
          <w:sz w:val="20"/>
          <w:szCs w:val="20"/>
        </w:rPr>
        <w:t xml:space="preserve"> </w:t>
      </w:r>
      <w:r w:rsidRPr="00B004EE">
        <w:rPr>
          <w:rFonts w:ascii="Tahoma" w:hAnsi="Tahoma" w:cs="Tahoma"/>
          <w:sz w:val="20"/>
          <w:szCs w:val="20"/>
        </w:rPr>
        <w:t>arrêté</w:t>
      </w:r>
      <w:r w:rsidR="00DB1635" w:rsidRPr="00B004EE">
        <w:rPr>
          <w:rFonts w:ascii="Tahoma" w:hAnsi="Tahoma" w:cs="Tahoma"/>
          <w:sz w:val="20"/>
          <w:szCs w:val="20"/>
        </w:rPr>
        <w:t xml:space="preserve"> </w:t>
      </w:r>
      <w:r w:rsidRPr="00B004EE">
        <w:rPr>
          <w:rFonts w:ascii="Tahoma" w:hAnsi="Tahoma" w:cs="Tahoma"/>
          <w:sz w:val="20"/>
          <w:szCs w:val="20"/>
        </w:rPr>
        <w:t>a</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objet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définir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conditions</w:t>
      </w:r>
      <w:r w:rsidR="00DB1635" w:rsidRPr="00B004EE">
        <w:rPr>
          <w:rFonts w:ascii="Tahoma" w:hAnsi="Tahoma" w:cs="Tahoma"/>
          <w:sz w:val="20"/>
          <w:szCs w:val="20"/>
        </w:rPr>
        <w:t xml:space="preserve"> </w:t>
      </w:r>
      <w:r w:rsidRPr="00B004EE">
        <w:rPr>
          <w:rFonts w:ascii="Tahoma" w:hAnsi="Tahoma" w:cs="Tahoma"/>
          <w:sz w:val="20"/>
          <w:szCs w:val="20"/>
        </w:rPr>
        <w:t>spécifiques</w:t>
      </w:r>
      <w:r w:rsidR="00DB1635" w:rsidRPr="00B004EE">
        <w:rPr>
          <w:rFonts w:ascii="Tahoma" w:hAnsi="Tahoma" w:cs="Tahoma"/>
          <w:sz w:val="20"/>
          <w:szCs w:val="20"/>
        </w:rPr>
        <w:t xml:space="preserve"> </w:t>
      </w:r>
      <w:r w:rsidRPr="00B004EE">
        <w:rPr>
          <w:rFonts w:ascii="Tahoma" w:hAnsi="Tahoma" w:cs="Tahoma"/>
          <w:sz w:val="20"/>
          <w:szCs w:val="20"/>
        </w:rPr>
        <w:t>d'hygiène</w:t>
      </w:r>
      <w:r w:rsidR="00DB1635" w:rsidRPr="00B004EE">
        <w:rPr>
          <w:rFonts w:ascii="Tahoma" w:hAnsi="Tahoma" w:cs="Tahoma"/>
          <w:sz w:val="20"/>
          <w:szCs w:val="20"/>
        </w:rPr>
        <w:t xml:space="preserve"> </w:t>
      </w:r>
      <w:r w:rsidRPr="00B004EE">
        <w:rPr>
          <w:rFonts w:ascii="Tahoma" w:hAnsi="Tahoma" w:cs="Tahoma"/>
          <w:sz w:val="20"/>
          <w:szCs w:val="20"/>
        </w:rPr>
        <w:t>applicables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bord</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embarcations</w:t>
      </w:r>
      <w:r w:rsidR="00DB1635" w:rsidRPr="00B004EE">
        <w:rPr>
          <w:rFonts w:ascii="Tahoma" w:hAnsi="Tahoma" w:cs="Tahoma"/>
          <w:sz w:val="20"/>
          <w:szCs w:val="20"/>
        </w:rPr>
        <w:t xml:space="preserve"> </w:t>
      </w:r>
      <w:r w:rsidRPr="00B004EE">
        <w:rPr>
          <w:rFonts w:ascii="Tahoma" w:hAnsi="Tahoma" w:cs="Tahoma"/>
          <w:sz w:val="20"/>
          <w:szCs w:val="20"/>
        </w:rPr>
        <w:t>artisanales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côtières</w:t>
      </w:r>
      <w:r w:rsidR="00DB1635" w:rsidRPr="00B004EE">
        <w:rPr>
          <w:rFonts w:ascii="Tahoma" w:hAnsi="Tahoma" w:cs="Tahoma"/>
          <w:sz w:val="20"/>
          <w:szCs w:val="20"/>
        </w:rPr>
        <w:t xml:space="preserve"> </w:t>
      </w:r>
      <w:r w:rsidRPr="00B004EE">
        <w:rPr>
          <w:rFonts w:ascii="Tahoma" w:hAnsi="Tahoma" w:cs="Tahoma"/>
          <w:sz w:val="20"/>
          <w:szCs w:val="20"/>
        </w:rPr>
        <w:t>dont</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production</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destinée</w:t>
      </w:r>
      <w:r w:rsidR="00DB1635" w:rsidRPr="00B004EE">
        <w:rPr>
          <w:rFonts w:ascii="Tahoma" w:hAnsi="Tahoma" w:cs="Tahoma"/>
          <w:sz w:val="20"/>
          <w:szCs w:val="20"/>
        </w:rPr>
        <w:t xml:space="preserve"> </w:t>
      </w:r>
      <w:r w:rsidRPr="00B004EE">
        <w:rPr>
          <w:rFonts w:ascii="Tahoma" w:hAnsi="Tahoma" w:cs="Tahoma"/>
          <w:sz w:val="20"/>
          <w:szCs w:val="20"/>
        </w:rPr>
        <w:t>exclusivement</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partie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l’exportation</w:t>
      </w:r>
      <w:r w:rsidR="00DB1635" w:rsidRPr="00B004EE">
        <w:rPr>
          <w:rFonts w:ascii="Tahoma" w:hAnsi="Tahoma" w:cs="Tahoma"/>
          <w:sz w:val="20"/>
          <w:szCs w:val="20"/>
        </w:rPr>
        <w:t xml:space="preserve"> </w:t>
      </w:r>
      <w:r w:rsidRPr="00B004EE">
        <w:rPr>
          <w:rFonts w:ascii="Tahoma" w:hAnsi="Tahoma" w:cs="Tahoma"/>
          <w:sz w:val="20"/>
          <w:szCs w:val="20"/>
        </w:rPr>
        <w:t>vers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marchés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l’Union</w:t>
      </w:r>
      <w:r w:rsidR="00DB1635" w:rsidRPr="00B004EE">
        <w:rPr>
          <w:rFonts w:ascii="Tahoma" w:hAnsi="Tahoma" w:cs="Tahoma"/>
          <w:sz w:val="20"/>
          <w:szCs w:val="20"/>
        </w:rPr>
        <w:t xml:space="preserve"> </w:t>
      </w:r>
      <w:r w:rsidRPr="00B004EE">
        <w:rPr>
          <w:rFonts w:ascii="Tahoma" w:hAnsi="Tahoma" w:cs="Tahoma"/>
          <w:sz w:val="20"/>
          <w:szCs w:val="20"/>
        </w:rPr>
        <w:t>Européenne,</w:t>
      </w:r>
      <w:r w:rsidR="00DB1635" w:rsidRPr="00B004EE">
        <w:rPr>
          <w:rFonts w:ascii="Tahoma" w:hAnsi="Tahoma" w:cs="Tahoma"/>
          <w:sz w:val="20"/>
          <w:szCs w:val="20"/>
        </w:rPr>
        <w:t xml:space="preserve"> </w:t>
      </w:r>
      <w:r w:rsidRPr="00B004EE">
        <w:rPr>
          <w:rFonts w:ascii="Tahoma" w:hAnsi="Tahoma" w:cs="Tahoma"/>
          <w:sz w:val="20"/>
          <w:szCs w:val="20"/>
        </w:rPr>
        <w:t>ainsi</w:t>
      </w:r>
      <w:r w:rsidR="00DB1635" w:rsidRPr="00B004EE">
        <w:rPr>
          <w:rFonts w:ascii="Tahoma" w:hAnsi="Tahoma" w:cs="Tahoma"/>
          <w:sz w:val="20"/>
          <w:szCs w:val="20"/>
        </w:rPr>
        <w:t xml:space="preserve"> </w:t>
      </w:r>
      <w:r w:rsidRPr="00B004EE">
        <w:rPr>
          <w:rFonts w:ascii="Tahoma" w:hAnsi="Tahoma" w:cs="Tahoma"/>
          <w:sz w:val="20"/>
          <w:szCs w:val="20"/>
        </w:rPr>
        <w:t>que</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procédures</w:t>
      </w:r>
      <w:r w:rsidR="00DB1635" w:rsidRPr="00B004EE">
        <w:rPr>
          <w:rFonts w:ascii="Tahoma" w:hAnsi="Tahoma" w:cs="Tahoma"/>
          <w:sz w:val="20"/>
          <w:szCs w:val="20"/>
        </w:rPr>
        <w:t xml:space="preserve"> </w:t>
      </w:r>
      <w:r w:rsidRPr="00B004EE">
        <w:rPr>
          <w:rFonts w:ascii="Tahoma" w:hAnsi="Tahoma" w:cs="Tahoma"/>
          <w:sz w:val="20"/>
          <w:szCs w:val="20"/>
        </w:rPr>
        <w:t>d'inspection</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ces</w:t>
      </w:r>
      <w:r w:rsidR="00DB1635" w:rsidRPr="00B004EE">
        <w:rPr>
          <w:rFonts w:ascii="Tahoma" w:hAnsi="Tahoma" w:cs="Tahoma"/>
          <w:sz w:val="20"/>
          <w:szCs w:val="20"/>
        </w:rPr>
        <w:t xml:space="preserve"> </w:t>
      </w:r>
      <w:r w:rsidRPr="00B004EE">
        <w:rPr>
          <w:rFonts w:ascii="Tahoma" w:hAnsi="Tahoma" w:cs="Tahoma"/>
          <w:sz w:val="20"/>
          <w:szCs w:val="20"/>
        </w:rPr>
        <w:t>embarcations.</w:t>
      </w:r>
    </w:p>
    <w:p w14:paraId="0AA780E1" w14:textId="77777777" w:rsidR="002F24E1" w:rsidRPr="00B004EE" w:rsidRDefault="002F24E1" w:rsidP="00B004EE">
      <w:pPr>
        <w:jc w:val="both"/>
        <w:rPr>
          <w:rFonts w:ascii="Tahoma" w:hAnsi="Tahoma" w:cs="Tahoma"/>
          <w:sz w:val="20"/>
          <w:szCs w:val="20"/>
        </w:rPr>
      </w:pPr>
    </w:p>
    <w:p w14:paraId="5707FC39" w14:textId="776BA3BD" w:rsidR="002F24E1" w:rsidRPr="00B004EE" w:rsidRDefault="002F24E1" w:rsidP="00B004EE">
      <w:pPr>
        <w:jc w:val="both"/>
        <w:rPr>
          <w:rFonts w:ascii="Tahoma" w:hAnsi="Tahoma" w:cs="Tahoma"/>
          <w:sz w:val="20"/>
          <w:szCs w:val="20"/>
        </w:rPr>
      </w:pPr>
      <w:r w:rsidRPr="00B004EE">
        <w:rPr>
          <w:rFonts w:ascii="Tahoma" w:hAnsi="Tahoma" w:cs="Tahoma"/>
          <w:sz w:val="20"/>
          <w:szCs w:val="20"/>
        </w:rPr>
        <w:t>Article</w:t>
      </w:r>
      <w:r w:rsidR="00DB1635" w:rsidRPr="00B004EE">
        <w:rPr>
          <w:rFonts w:ascii="Tahoma" w:hAnsi="Tahoma" w:cs="Tahoma"/>
          <w:sz w:val="20"/>
          <w:szCs w:val="20"/>
        </w:rPr>
        <w:t xml:space="preserve"> </w:t>
      </w:r>
      <w:r w:rsidRPr="00B004EE">
        <w:rPr>
          <w:rFonts w:ascii="Tahoma" w:hAnsi="Tahoma" w:cs="Tahoma"/>
          <w:sz w:val="20"/>
          <w:szCs w:val="20"/>
        </w:rPr>
        <w:t>2</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fins</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présent</w:t>
      </w:r>
      <w:r w:rsidR="00DB1635" w:rsidRPr="00B004EE">
        <w:rPr>
          <w:rFonts w:ascii="Tahoma" w:hAnsi="Tahoma" w:cs="Tahoma"/>
          <w:sz w:val="20"/>
          <w:szCs w:val="20"/>
        </w:rPr>
        <w:t xml:space="preserve"> </w:t>
      </w:r>
      <w:r w:rsidRPr="00B004EE">
        <w:rPr>
          <w:rFonts w:ascii="Tahoma" w:hAnsi="Tahoma" w:cs="Tahoma"/>
          <w:sz w:val="20"/>
          <w:szCs w:val="20"/>
        </w:rPr>
        <w:t>arrêté,</w:t>
      </w:r>
      <w:r w:rsidR="00DB1635" w:rsidRPr="00B004EE">
        <w:rPr>
          <w:rFonts w:ascii="Tahoma" w:hAnsi="Tahoma" w:cs="Tahoma"/>
          <w:sz w:val="20"/>
          <w:szCs w:val="20"/>
        </w:rPr>
        <w:t xml:space="preserve"> </w:t>
      </w:r>
      <w:r w:rsidRPr="00B004EE">
        <w:rPr>
          <w:rFonts w:ascii="Tahoma" w:hAnsi="Tahoma" w:cs="Tahoma"/>
          <w:sz w:val="20"/>
          <w:szCs w:val="20"/>
        </w:rPr>
        <w:t>on</w:t>
      </w:r>
      <w:r w:rsidR="00DB1635" w:rsidRPr="00B004EE">
        <w:rPr>
          <w:rFonts w:ascii="Tahoma" w:hAnsi="Tahoma" w:cs="Tahoma"/>
          <w:sz w:val="20"/>
          <w:szCs w:val="20"/>
        </w:rPr>
        <w:t xml:space="preserve"> </w:t>
      </w:r>
      <w:r w:rsidRPr="00B004EE">
        <w:rPr>
          <w:rFonts w:ascii="Tahoma" w:hAnsi="Tahoma" w:cs="Tahoma"/>
          <w:sz w:val="20"/>
          <w:szCs w:val="20"/>
        </w:rPr>
        <w:t>entend</w:t>
      </w:r>
      <w:r w:rsidR="00DB1635" w:rsidRPr="00B004EE">
        <w:rPr>
          <w:rFonts w:ascii="Tahoma" w:hAnsi="Tahoma" w:cs="Tahoma"/>
          <w:sz w:val="20"/>
          <w:szCs w:val="20"/>
        </w:rPr>
        <w:t xml:space="preserve"> </w:t>
      </w:r>
      <w:r w:rsidR="00FF77A5" w:rsidRPr="00B004EE">
        <w:rPr>
          <w:rFonts w:ascii="Tahoma" w:hAnsi="Tahoma" w:cs="Tahoma"/>
          <w:sz w:val="20"/>
          <w:szCs w:val="20"/>
        </w:rPr>
        <w:t>par :</w:t>
      </w:r>
    </w:p>
    <w:p w14:paraId="6863F14B" w14:textId="34610B6B" w:rsidR="002F24E1" w:rsidRPr="00B004EE" w:rsidRDefault="002F24E1" w:rsidP="00B004EE">
      <w:pPr>
        <w:numPr>
          <w:ilvl w:val="0"/>
          <w:numId w:val="6"/>
        </w:numPr>
        <w:tabs>
          <w:tab w:val="clear" w:pos="540"/>
          <w:tab w:val="num" w:pos="142"/>
        </w:tabs>
        <w:ind w:left="284" w:hanging="284"/>
        <w:jc w:val="both"/>
        <w:rPr>
          <w:rFonts w:ascii="Tahoma" w:hAnsi="Tahoma" w:cs="Tahoma"/>
          <w:sz w:val="20"/>
          <w:szCs w:val="20"/>
        </w:rPr>
      </w:pPr>
      <w:proofErr w:type="gramStart"/>
      <w:r w:rsidRPr="00B004EE">
        <w:rPr>
          <w:rFonts w:ascii="Tahoma" w:hAnsi="Tahoma" w:cs="Tahoma"/>
          <w:sz w:val="20"/>
          <w:szCs w:val="20"/>
        </w:rPr>
        <w:t>embarcation</w:t>
      </w:r>
      <w:proofErr w:type="gramEnd"/>
      <w:r w:rsidR="00DB1635" w:rsidRPr="00B004EE">
        <w:rPr>
          <w:rFonts w:ascii="Tahoma" w:hAnsi="Tahoma" w:cs="Tahoma"/>
          <w:sz w:val="20"/>
          <w:szCs w:val="20"/>
        </w:rPr>
        <w:t xml:space="preserve"> </w:t>
      </w:r>
      <w:r w:rsidRPr="00B004EE">
        <w:rPr>
          <w:rFonts w:ascii="Tahoma" w:hAnsi="Tahoma" w:cs="Tahoma"/>
          <w:sz w:val="20"/>
          <w:szCs w:val="20"/>
        </w:rPr>
        <w:t>artisanale:</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embarcation</w:t>
      </w:r>
      <w:r w:rsidR="00DB1635" w:rsidRPr="00B004EE">
        <w:rPr>
          <w:rFonts w:ascii="Tahoma" w:hAnsi="Tahoma" w:cs="Tahoma"/>
          <w:sz w:val="20"/>
          <w:szCs w:val="20"/>
        </w:rPr>
        <w:t xml:space="preserve"> </w:t>
      </w:r>
      <w:r w:rsidRPr="00B004EE">
        <w:rPr>
          <w:rFonts w:ascii="Tahoma" w:hAnsi="Tahoma" w:cs="Tahoma"/>
          <w:sz w:val="20"/>
          <w:szCs w:val="20"/>
        </w:rPr>
        <w:t>non</w:t>
      </w:r>
      <w:r w:rsidR="00DB1635" w:rsidRPr="00B004EE">
        <w:rPr>
          <w:rFonts w:ascii="Tahoma" w:hAnsi="Tahoma" w:cs="Tahoma"/>
          <w:sz w:val="20"/>
          <w:szCs w:val="20"/>
        </w:rPr>
        <w:t xml:space="preserve"> </w:t>
      </w:r>
      <w:r w:rsidRPr="00B004EE">
        <w:rPr>
          <w:rFonts w:ascii="Tahoma" w:hAnsi="Tahoma" w:cs="Tahoma"/>
          <w:sz w:val="20"/>
          <w:szCs w:val="20"/>
        </w:rPr>
        <w:t>pontée,</w:t>
      </w:r>
      <w:r w:rsidR="00DB1635" w:rsidRPr="00B004EE">
        <w:rPr>
          <w:rFonts w:ascii="Tahoma" w:hAnsi="Tahoma" w:cs="Tahoma"/>
          <w:sz w:val="20"/>
          <w:szCs w:val="20"/>
        </w:rPr>
        <w:t xml:space="preserve"> </w:t>
      </w:r>
      <w:r w:rsidRPr="00B004EE">
        <w:rPr>
          <w:rFonts w:ascii="Tahoma" w:hAnsi="Tahoma" w:cs="Tahoma"/>
          <w:sz w:val="20"/>
          <w:szCs w:val="20"/>
        </w:rPr>
        <w:t>armée</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capture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conservation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frais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bord</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laquelle</w:t>
      </w:r>
      <w:r w:rsidR="00DB1635" w:rsidRPr="00B004EE">
        <w:rPr>
          <w:rFonts w:ascii="Tahoma" w:hAnsi="Tahoma" w:cs="Tahoma"/>
          <w:sz w:val="20"/>
          <w:szCs w:val="20"/>
        </w:rPr>
        <w:t xml:space="preserve"> </w:t>
      </w:r>
      <w:r w:rsidRPr="00B004EE">
        <w:rPr>
          <w:rFonts w:ascii="Tahoma" w:hAnsi="Tahoma" w:cs="Tahoma"/>
          <w:sz w:val="20"/>
          <w:szCs w:val="20"/>
        </w:rPr>
        <w:t>ceux-ci</w:t>
      </w:r>
      <w:r w:rsidR="00DB1635" w:rsidRPr="00B004EE">
        <w:rPr>
          <w:rFonts w:ascii="Tahoma" w:hAnsi="Tahoma" w:cs="Tahoma"/>
          <w:sz w:val="20"/>
          <w:szCs w:val="20"/>
        </w:rPr>
        <w:t xml:space="preserve"> </w:t>
      </w:r>
      <w:r w:rsidRPr="00B004EE">
        <w:rPr>
          <w:rFonts w:ascii="Tahoma" w:hAnsi="Tahoma" w:cs="Tahoma"/>
          <w:sz w:val="20"/>
          <w:szCs w:val="20"/>
        </w:rPr>
        <w:t>ne</w:t>
      </w:r>
      <w:r w:rsidR="00DB1635" w:rsidRPr="00B004EE">
        <w:rPr>
          <w:rFonts w:ascii="Tahoma" w:hAnsi="Tahoma" w:cs="Tahoma"/>
          <w:sz w:val="20"/>
          <w:szCs w:val="20"/>
        </w:rPr>
        <w:t xml:space="preserve"> </w:t>
      </w:r>
      <w:r w:rsidRPr="00B004EE">
        <w:rPr>
          <w:rFonts w:ascii="Tahoma" w:hAnsi="Tahoma" w:cs="Tahoma"/>
          <w:sz w:val="20"/>
          <w:szCs w:val="20"/>
        </w:rPr>
        <w:t>subissent</w:t>
      </w:r>
      <w:r w:rsidR="00DB1635" w:rsidRPr="00B004EE">
        <w:rPr>
          <w:rFonts w:ascii="Tahoma" w:hAnsi="Tahoma" w:cs="Tahoma"/>
          <w:sz w:val="20"/>
          <w:szCs w:val="20"/>
        </w:rPr>
        <w:t xml:space="preserve"> </w:t>
      </w:r>
      <w:r w:rsidRPr="00B004EE">
        <w:rPr>
          <w:rFonts w:ascii="Tahoma" w:hAnsi="Tahoma" w:cs="Tahoma"/>
          <w:sz w:val="20"/>
          <w:szCs w:val="20"/>
        </w:rPr>
        <w:t>aucun</w:t>
      </w:r>
      <w:r w:rsidR="00DB1635" w:rsidRPr="00B004EE">
        <w:rPr>
          <w:rFonts w:ascii="Tahoma" w:hAnsi="Tahoma" w:cs="Tahoma"/>
          <w:sz w:val="20"/>
          <w:szCs w:val="20"/>
        </w:rPr>
        <w:t xml:space="preserve"> </w:t>
      </w:r>
      <w:r w:rsidRPr="00B004EE">
        <w:rPr>
          <w:rFonts w:ascii="Tahoma" w:hAnsi="Tahoma" w:cs="Tahoma"/>
          <w:sz w:val="20"/>
          <w:szCs w:val="20"/>
        </w:rPr>
        <w:t>traitement</w:t>
      </w:r>
      <w:r w:rsidR="00DB1635" w:rsidRPr="00B004EE">
        <w:rPr>
          <w:rFonts w:ascii="Tahoma" w:hAnsi="Tahoma" w:cs="Tahoma"/>
          <w:sz w:val="20"/>
          <w:szCs w:val="20"/>
        </w:rPr>
        <w:t xml:space="preserve"> </w:t>
      </w:r>
      <w:r w:rsidRPr="00B004EE">
        <w:rPr>
          <w:rFonts w:ascii="Tahoma" w:hAnsi="Tahoma" w:cs="Tahoma"/>
          <w:sz w:val="20"/>
          <w:szCs w:val="20"/>
        </w:rPr>
        <w:t>autre</w:t>
      </w:r>
      <w:r w:rsidR="00DB1635" w:rsidRPr="00B004EE">
        <w:rPr>
          <w:rFonts w:ascii="Tahoma" w:hAnsi="Tahoma" w:cs="Tahoma"/>
          <w:sz w:val="20"/>
          <w:szCs w:val="20"/>
        </w:rPr>
        <w:t xml:space="preserve"> </w:t>
      </w:r>
      <w:r w:rsidRPr="00B004EE">
        <w:rPr>
          <w:rFonts w:ascii="Tahoma" w:hAnsi="Tahoma" w:cs="Tahoma"/>
          <w:sz w:val="20"/>
          <w:szCs w:val="20"/>
        </w:rPr>
        <w:t>que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réfrigération</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glace;</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vivants</w:t>
      </w:r>
      <w:r w:rsidR="00DB1635" w:rsidRPr="00B004EE">
        <w:rPr>
          <w:rFonts w:ascii="Tahoma" w:hAnsi="Tahoma" w:cs="Tahoma"/>
          <w:sz w:val="20"/>
          <w:szCs w:val="20"/>
        </w:rPr>
        <w:t xml:space="preserve"> </w:t>
      </w:r>
      <w:r w:rsidRPr="00B004EE">
        <w:rPr>
          <w:rFonts w:ascii="Tahoma" w:hAnsi="Tahoma" w:cs="Tahoma"/>
          <w:sz w:val="20"/>
          <w:szCs w:val="20"/>
        </w:rPr>
        <w:t>maintenus</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conditions</w:t>
      </w:r>
      <w:r w:rsidR="00DB1635" w:rsidRPr="00B004EE">
        <w:rPr>
          <w:rFonts w:ascii="Tahoma" w:hAnsi="Tahoma" w:cs="Tahoma"/>
          <w:sz w:val="20"/>
          <w:szCs w:val="20"/>
        </w:rPr>
        <w:t xml:space="preserve"> </w:t>
      </w:r>
      <w:r w:rsidRPr="00B004EE">
        <w:rPr>
          <w:rFonts w:ascii="Tahoma" w:hAnsi="Tahoma" w:cs="Tahoma"/>
          <w:sz w:val="20"/>
          <w:szCs w:val="20"/>
        </w:rPr>
        <w:t>assurant</w:t>
      </w:r>
      <w:r w:rsidR="00DB1635" w:rsidRPr="00B004EE">
        <w:rPr>
          <w:rFonts w:ascii="Tahoma" w:hAnsi="Tahoma" w:cs="Tahoma"/>
          <w:sz w:val="20"/>
          <w:szCs w:val="20"/>
        </w:rPr>
        <w:t xml:space="preserve"> </w:t>
      </w:r>
      <w:r w:rsidRPr="00B004EE">
        <w:rPr>
          <w:rFonts w:ascii="Tahoma" w:hAnsi="Tahoma" w:cs="Tahoma"/>
          <w:sz w:val="20"/>
          <w:szCs w:val="20"/>
        </w:rPr>
        <w:t>leur</w:t>
      </w:r>
      <w:r w:rsidR="00DB1635" w:rsidRPr="00B004EE">
        <w:rPr>
          <w:rFonts w:ascii="Tahoma" w:hAnsi="Tahoma" w:cs="Tahoma"/>
          <w:sz w:val="20"/>
          <w:szCs w:val="20"/>
        </w:rPr>
        <w:t xml:space="preserve"> </w:t>
      </w:r>
      <w:r w:rsidRPr="00B004EE">
        <w:rPr>
          <w:rFonts w:ascii="Tahoma" w:hAnsi="Tahoma" w:cs="Tahoma"/>
          <w:sz w:val="20"/>
          <w:szCs w:val="20"/>
        </w:rPr>
        <w:t>intégrité.</w:t>
      </w:r>
      <w:r w:rsidR="00DB1635" w:rsidRPr="00B004EE">
        <w:rPr>
          <w:rFonts w:ascii="Tahoma" w:hAnsi="Tahoma" w:cs="Tahoma"/>
          <w:sz w:val="20"/>
          <w:szCs w:val="20"/>
        </w:rPr>
        <w:t xml:space="preserve"> </w:t>
      </w:r>
    </w:p>
    <w:p w14:paraId="5D2CBB3D" w14:textId="3B858CDC" w:rsidR="002F24E1" w:rsidRPr="00B004EE" w:rsidRDefault="002F24E1" w:rsidP="00B004EE">
      <w:pPr>
        <w:numPr>
          <w:ilvl w:val="0"/>
          <w:numId w:val="6"/>
        </w:numPr>
        <w:tabs>
          <w:tab w:val="clear" w:pos="540"/>
          <w:tab w:val="num" w:pos="142"/>
        </w:tabs>
        <w:ind w:left="284" w:hanging="284"/>
        <w:jc w:val="both"/>
        <w:rPr>
          <w:rFonts w:ascii="Tahoma" w:hAnsi="Tahoma" w:cs="Tahoma"/>
          <w:sz w:val="20"/>
          <w:szCs w:val="20"/>
        </w:rPr>
      </w:pPr>
      <w:proofErr w:type="gramStart"/>
      <w:r w:rsidRPr="00B004EE">
        <w:rPr>
          <w:rFonts w:ascii="Tahoma" w:hAnsi="Tahoma" w:cs="Tahoma"/>
          <w:sz w:val="20"/>
          <w:szCs w:val="20"/>
        </w:rPr>
        <w:t>embarcation</w:t>
      </w:r>
      <w:proofErr w:type="gramEnd"/>
      <w:r w:rsidR="00DB1635" w:rsidRPr="00B004EE">
        <w:rPr>
          <w:rFonts w:ascii="Tahoma" w:hAnsi="Tahoma" w:cs="Tahoma"/>
          <w:sz w:val="20"/>
          <w:szCs w:val="20"/>
        </w:rPr>
        <w:t xml:space="preserve"> </w:t>
      </w:r>
      <w:r w:rsidRPr="00B004EE">
        <w:rPr>
          <w:rFonts w:ascii="Tahoma" w:hAnsi="Tahoma" w:cs="Tahoma"/>
          <w:sz w:val="20"/>
          <w:szCs w:val="20"/>
        </w:rPr>
        <w:t>côtière:</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embarcation</w:t>
      </w:r>
      <w:r w:rsidR="00DB1635" w:rsidRPr="00B004EE">
        <w:rPr>
          <w:rFonts w:ascii="Tahoma" w:hAnsi="Tahoma" w:cs="Tahoma"/>
          <w:sz w:val="20"/>
          <w:szCs w:val="20"/>
        </w:rPr>
        <w:t xml:space="preserve"> </w:t>
      </w:r>
      <w:r w:rsidRPr="00B004EE">
        <w:rPr>
          <w:rFonts w:ascii="Tahoma" w:hAnsi="Tahoma" w:cs="Tahoma"/>
          <w:sz w:val="20"/>
          <w:szCs w:val="20"/>
        </w:rPr>
        <w:t>pontée,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longueur</w:t>
      </w:r>
      <w:r w:rsidR="00DB1635" w:rsidRPr="00B004EE">
        <w:rPr>
          <w:rFonts w:ascii="Tahoma" w:hAnsi="Tahoma" w:cs="Tahoma"/>
          <w:sz w:val="20"/>
          <w:szCs w:val="20"/>
        </w:rPr>
        <w:t xml:space="preserve"> </w:t>
      </w:r>
      <w:r w:rsidRPr="00B004EE">
        <w:rPr>
          <w:rFonts w:ascii="Tahoma" w:hAnsi="Tahoma" w:cs="Tahoma"/>
          <w:sz w:val="20"/>
          <w:szCs w:val="20"/>
        </w:rPr>
        <w:t>hors</w:t>
      </w:r>
      <w:r w:rsidR="00DB1635" w:rsidRPr="00B004EE">
        <w:rPr>
          <w:rFonts w:ascii="Tahoma" w:hAnsi="Tahoma" w:cs="Tahoma"/>
          <w:sz w:val="20"/>
          <w:szCs w:val="20"/>
        </w:rPr>
        <w:t xml:space="preserve"> </w:t>
      </w:r>
      <w:r w:rsidRPr="00B004EE">
        <w:rPr>
          <w:rFonts w:ascii="Tahoma" w:hAnsi="Tahoma" w:cs="Tahoma"/>
          <w:sz w:val="20"/>
          <w:szCs w:val="20"/>
        </w:rPr>
        <w:t>tout</w:t>
      </w:r>
      <w:r w:rsidR="00DB1635" w:rsidRPr="00B004EE">
        <w:rPr>
          <w:rFonts w:ascii="Tahoma" w:hAnsi="Tahoma" w:cs="Tahoma"/>
          <w:sz w:val="20"/>
          <w:szCs w:val="20"/>
        </w:rPr>
        <w:t xml:space="preserve"> </w:t>
      </w:r>
      <w:r w:rsidRPr="00B004EE">
        <w:rPr>
          <w:rFonts w:ascii="Tahoma" w:hAnsi="Tahoma" w:cs="Tahoma"/>
          <w:sz w:val="20"/>
          <w:szCs w:val="20"/>
        </w:rPr>
        <w:t>inférieure</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égale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vingt</w:t>
      </w:r>
      <w:r w:rsidR="00DB1635" w:rsidRPr="00B004EE">
        <w:rPr>
          <w:rFonts w:ascii="Tahoma" w:hAnsi="Tahoma" w:cs="Tahoma"/>
          <w:sz w:val="20"/>
          <w:szCs w:val="20"/>
        </w:rPr>
        <w:t xml:space="preserve"> </w:t>
      </w:r>
      <w:r w:rsidRPr="00B004EE">
        <w:rPr>
          <w:rFonts w:ascii="Tahoma" w:hAnsi="Tahoma" w:cs="Tahoma"/>
          <w:sz w:val="20"/>
          <w:szCs w:val="20"/>
        </w:rPr>
        <w:t>six</w:t>
      </w:r>
      <w:r w:rsidR="00DB1635" w:rsidRPr="00B004EE">
        <w:rPr>
          <w:rFonts w:ascii="Tahoma" w:hAnsi="Tahoma" w:cs="Tahoma"/>
          <w:sz w:val="20"/>
          <w:szCs w:val="20"/>
        </w:rPr>
        <w:t xml:space="preserve"> </w:t>
      </w:r>
      <w:r w:rsidRPr="00B004EE">
        <w:rPr>
          <w:rFonts w:ascii="Tahoma" w:hAnsi="Tahoma" w:cs="Tahoma"/>
          <w:sz w:val="20"/>
          <w:szCs w:val="20"/>
        </w:rPr>
        <w:t>mètres</w:t>
      </w:r>
      <w:r w:rsidR="00DB1635" w:rsidRPr="00B004EE">
        <w:rPr>
          <w:rFonts w:ascii="Tahoma" w:hAnsi="Tahoma" w:cs="Tahoma"/>
          <w:sz w:val="20"/>
          <w:szCs w:val="20"/>
        </w:rPr>
        <w:t xml:space="preserve"> </w:t>
      </w:r>
      <w:r w:rsidRPr="00B004EE">
        <w:rPr>
          <w:rFonts w:ascii="Tahoma" w:hAnsi="Tahoma" w:cs="Tahoma"/>
          <w:sz w:val="20"/>
          <w:szCs w:val="20"/>
        </w:rPr>
        <w:t>(26</w:t>
      </w:r>
      <w:r w:rsidR="00DB1635" w:rsidRPr="00B004EE">
        <w:rPr>
          <w:rFonts w:ascii="Tahoma" w:hAnsi="Tahoma" w:cs="Tahoma"/>
          <w:sz w:val="20"/>
          <w:szCs w:val="20"/>
        </w:rPr>
        <w:t xml:space="preserve"> </w:t>
      </w:r>
      <w:r w:rsidRPr="00B004EE">
        <w:rPr>
          <w:rFonts w:ascii="Tahoma" w:hAnsi="Tahoma" w:cs="Tahoma"/>
          <w:sz w:val="20"/>
          <w:szCs w:val="20"/>
        </w:rPr>
        <w:t>m),</w:t>
      </w:r>
      <w:r w:rsidR="00DB1635" w:rsidRPr="00B004EE">
        <w:rPr>
          <w:rFonts w:ascii="Tahoma" w:hAnsi="Tahoma" w:cs="Tahoma"/>
          <w:sz w:val="20"/>
          <w:szCs w:val="20"/>
        </w:rPr>
        <w:t xml:space="preserve"> </w:t>
      </w:r>
      <w:r w:rsidRPr="00B004EE">
        <w:rPr>
          <w:rFonts w:ascii="Tahoma" w:hAnsi="Tahoma" w:cs="Tahoma"/>
          <w:sz w:val="20"/>
          <w:szCs w:val="20"/>
        </w:rPr>
        <w:t>dépourvue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tout</w:t>
      </w:r>
      <w:r w:rsidR="00DB1635" w:rsidRPr="00B004EE">
        <w:rPr>
          <w:rFonts w:ascii="Tahoma" w:hAnsi="Tahoma" w:cs="Tahoma"/>
          <w:sz w:val="20"/>
          <w:szCs w:val="20"/>
        </w:rPr>
        <w:t xml:space="preserve"> </w:t>
      </w:r>
      <w:r w:rsidRPr="00B004EE">
        <w:rPr>
          <w:rFonts w:ascii="Tahoma" w:hAnsi="Tahoma" w:cs="Tahoma"/>
          <w:sz w:val="20"/>
          <w:szCs w:val="20"/>
        </w:rPr>
        <w:t>moyen</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congélation,</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chalut</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drague,</w:t>
      </w:r>
      <w:r w:rsidR="00DB1635" w:rsidRPr="00B004EE">
        <w:rPr>
          <w:rFonts w:ascii="Tahoma" w:hAnsi="Tahoma" w:cs="Tahoma"/>
          <w:sz w:val="20"/>
          <w:szCs w:val="20"/>
        </w:rPr>
        <w:t xml:space="preserve"> </w:t>
      </w:r>
      <w:r w:rsidRPr="00B004EE">
        <w:rPr>
          <w:rFonts w:ascii="Tahoma" w:hAnsi="Tahoma" w:cs="Tahoma"/>
          <w:sz w:val="20"/>
          <w:szCs w:val="20"/>
        </w:rPr>
        <w:t>armée</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capture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conservation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bord</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laquelle</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ne</w:t>
      </w:r>
      <w:r w:rsidR="00DB1635" w:rsidRPr="00B004EE">
        <w:rPr>
          <w:rFonts w:ascii="Tahoma" w:hAnsi="Tahoma" w:cs="Tahoma"/>
          <w:sz w:val="20"/>
          <w:szCs w:val="20"/>
        </w:rPr>
        <w:t xml:space="preserve"> </w:t>
      </w:r>
      <w:r w:rsidRPr="00B004EE">
        <w:rPr>
          <w:rFonts w:ascii="Tahoma" w:hAnsi="Tahoma" w:cs="Tahoma"/>
          <w:sz w:val="20"/>
          <w:szCs w:val="20"/>
        </w:rPr>
        <w:t>subissent</w:t>
      </w:r>
      <w:r w:rsidR="00DB1635" w:rsidRPr="00B004EE">
        <w:rPr>
          <w:rFonts w:ascii="Tahoma" w:hAnsi="Tahoma" w:cs="Tahoma"/>
          <w:sz w:val="20"/>
          <w:szCs w:val="20"/>
        </w:rPr>
        <w:t xml:space="preserve"> </w:t>
      </w:r>
      <w:r w:rsidRPr="00B004EE">
        <w:rPr>
          <w:rFonts w:ascii="Tahoma" w:hAnsi="Tahoma" w:cs="Tahoma"/>
          <w:sz w:val="20"/>
          <w:szCs w:val="20"/>
        </w:rPr>
        <w:t>aucun</w:t>
      </w:r>
      <w:r w:rsidR="00DB1635" w:rsidRPr="00B004EE">
        <w:rPr>
          <w:rFonts w:ascii="Tahoma" w:hAnsi="Tahoma" w:cs="Tahoma"/>
          <w:sz w:val="20"/>
          <w:szCs w:val="20"/>
        </w:rPr>
        <w:t xml:space="preserve"> </w:t>
      </w:r>
      <w:r w:rsidRPr="00B004EE">
        <w:rPr>
          <w:rFonts w:ascii="Tahoma" w:hAnsi="Tahoma" w:cs="Tahoma"/>
          <w:sz w:val="20"/>
          <w:szCs w:val="20"/>
        </w:rPr>
        <w:t>traitement</w:t>
      </w:r>
      <w:r w:rsidR="00DB1635" w:rsidRPr="00B004EE">
        <w:rPr>
          <w:rFonts w:ascii="Tahoma" w:hAnsi="Tahoma" w:cs="Tahoma"/>
          <w:sz w:val="20"/>
          <w:szCs w:val="20"/>
        </w:rPr>
        <w:t xml:space="preserve"> </w:t>
      </w:r>
      <w:r w:rsidRPr="00B004EE">
        <w:rPr>
          <w:rFonts w:ascii="Tahoma" w:hAnsi="Tahoma" w:cs="Tahoma"/>
          <w:sz w:val="20"/>
          <w:szCs w:val="20"/>
        </w:rPr>
        <w:t>autre</w:t>
      </w:r>
      <w:r w:rsidR="00DB1635" w:rsidRPr="00B004EE">
        <w:rPr>
          <w:rFonts w:ascii="Tahoma" w:hAnsi="Tahoma" w:cs="Tahoma"/>
          <w:sz w:val="20"/>
          <w:szCs w:val="20"/>
        </w:rPr>
        <w:t xml:space="preserve"> </w:t>
      </w:r>
      <w:r w:rsidRPr="00B004EE">
        <w:rPr>
          <w:rFonts w:ascii="Tahoma" w:hAnsi="Tahoma" w:cs="Tahoma"/>
          <w:sz w:val="20"/>
          <w:szCs w:val="20"/>
        </w:rPr>
        <w:t>que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réfrigération;</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vivants</w:t>
      </w:r>
      <w:r w:rsidR="00DB1635" w:rsidRPr="00B004EE">
        <w:rPr>
          <w:rFonts w:ascii="Tahoma" w:hAnsi="Tahoma" w:cs="Tahoma"/>
          <w:sz w:val="20"/>
          <w:szCs w:val="20"/>
        </w:rPr>
        <w:t xml:space="preserve"> </w:t>
      </w:r>
      <w:r w:rsidRPr="00B004EE">
        <w:rPr>
          <w:rFonts w:ascii="Tahoma" w:hAnsi="Tahoma" w:cs="Tahoma"/>
          <w:sz w:val="20"/>
          <w:szCs w:val="20"/>
        </w:rPr>
        <w:t>maintenus</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conditions</w:t>
      </w:r>
      <w:r w:rsidR="00DB1635" w:rsidRPr="00B004EE">
        <w:rPr>
          <w:rFonts w:ascii="Tahoma" w:hAnsi="Tahoma" w:cs="Tahoma"/>
          <w:sz w:val="20"/>
          <w:szCs w:val="20"/>
        </w:rPr>
        <w:t xml:space="preserve"> </w:t>
      </w:r>
      <w:r w:rsidRPr="00B004EE">
        <w:rPr>
          <w:rFonts w:ascii="Tahoma" w:hAnsi="Tahoma" w:cs="Tahoma"/>
          <w:sz w:val="20"/>
          <w:szCs w:val="20"/>
        </w:rPr>
        <w:t>assurant</w:t>
      </w:r>
      <w:r w:rsidR="00DB1635" w:rsidRPr="00B004EE">
        <w:rPr>
          <w:rFonts w:ascii="Tahoma" w:hAnsi="Tahoma" w:cs="Tahoma"/>
          <w:sz w:val="20"/>
          <w:szCs w:val="20"/>
        </w:rPr>
        <w:t xml:space="preserve"> </w:t>
      </w:r>
      <w:r w:rsidRPr="00B004EE">
        <w:rPr>
          <w:rFonts w:ascii="Tahoma" w:hAnsi="Tahoma" w:cs="Tahoma"/>
          <w:sz w:val="20"/>
          <w:szCs w:val="20"/>
        </w:rPr>
        <w:t>leur</w:t>
      </w:r>
      <w:r w:rsidR="00DB1635" w:rsidRPr="00B004EE">
        <w:rPr>
          <w:rFonts w:ascii="Tahoma" w:hAnsi="Tahoma" w:cs="Tahoma"/>
          <w:sz w:val="20"/>
          <w:szCs w:val="20"/>
        </w:rPr>
        <w:t xml:space="preserve"> </w:t>
      </w:r>
      <w:r w:rsidRPr="00B004EE">
        <w:rPr>
          <w:rFonts w:ascii="Tahoma" w:hAnsi="Tahoma" w:cs="Tahoma"/>
          <w:sz w:val="20"/>
          <w:szCs w:val="20"/>
        </w:rPr>
        <w:t>intégrité.</w:t>
      </w:r>
    </w:p>
    <w:p w14:paraId="1817E9B5" w14:textId="106A56FA" w:rsidR="002F24E1" w:rsidRPr="00B004EE" w:rsidRDefault="002F24E1" w:rsidP="00B004EE">
      <w:pPr>
        <w:numPr>
          <w:ilvl w:val="0"/>
          <w:numId w:val="6"/>
        </w:numPr>
        <w:tabs>
          <w:tab w:val="clear" w:pos="540"/>
          <w:tab w:val="num" w:pos="142"/>
        </w:tabs>
        <w:ind w:left="284" w:hanging="284"/>
        <w:jc w:val="both"/>
        <w:rPr>
          <w:rFonts w:ascii="Tahoma" w:hAnsi="Tahoma" w:cs="Tahoma"/>
          <w:sz w:val="20"/>
          <w:szCs w:val="20"/>
        </w:rPr>
      </w:pPr>
      <w:proofErr w:type="gramStart"/>
      <w:r w:rsidRPr="00B004EE">
        <w:rPr>
          <w:rFonts w:ascii="Tahoma" w:hAnsi="Tahoma" w:cs="Tahoma"/>
          <w:sz w:val="20"/>
          <w:szCs w:val="20"/>
        </w:rPr>
        <w:t>produits</w:t>
      </w:r>
      <w:proofErr w:type="gramEnd"/>
      <w:r w:rsidR="00DB1635" w:rsidRPr="00B004EE">
        <w:rPr>
          <w:rFonts w:ascii="Tahoma" w:hAnsi="Tahoma" w:cs="Tahoma"/>
          <w:sz w:val="20"/>
          <w:szCs w:val="20"/>
        </w:rPr>
        <w:t xml:space="preserve"> </w:t>
      </w:r>
      <w:r w:rsidRPr="00B004EE">
        <w:rPr>
          <w:rFonts w:ascii="Tahoma" w:hAnsi="Tahoma" w:cs="Tahoma"/>
          <w:sz w:val="20"/>
          <w:szCs w:val="20"/>
        </w:rPr>
        <w:t>frais:</w:t>
      </w:r>
      <w:r w:rsidR="00DB1635" w:rsidRPr="00B004EE">
        <w:rPr>
          <w:rFonts w:ascii="Tahoma" w:hAnsi="Tahoma" w:cs="Tahoma"/>
          <w:sz w:val="20"/>
          <w:szCs w:val="20"/>
        </w:rPr>
        <w:t xml:space="preserve"> </w:t>
      </w:r>
      <w:r w:rsidRPr="00B004EE">
        <w:rPr>
          <w:rFonts w:ascii="Tahoma" w:hAnsi="Tahoma" w:cs="Tahoma"/>
          <w:sz w:val="20"/>
          <w:szCs w:val="20"/>
        </w:rPr>
        <w:t>tout</w:t>
      </w:r>
      <w:r w:rsidR="00DB1635" w:rsidRPr="00B004EE">
        <w:rPr>
          <w:rFonts w:ascii="Tahoma" w:hAnsi="Tahoma" w:cs="Tahoma"/>
          <w:sz w:val="20"/>
          <w:szCs w:val="20"/>
        </w:rPr>
        <w:t xml:space="preserve"> </w:t>
      </w:r>
      <w:r w:rsidRPr="00B004EE">
        <w:rPr>
          <w:rFonts w:ascii="Tahoma" w:hAnsi="Tahoma" w:cs="Tahoma"/>
          <w:sz w:val="20"/>
          <w:szCs w:val="20"/>
        </w:rPr>
        <w:t>produit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entier</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préparé,</w:t>
      </w:r>
      <w:r w:rsidR="00DB1635" w:rsidRPr="00B004EE">
        <w:rPr>
          <w:rFonts w:ascii="Tahoma" w:hAnsi="Tahoma" w:cs="Tahoma"/>
          <w:sz w:val="20"/>
          <w:szCs w:val="20"/>
        </w:rPr>
        <w:t xml:space="preserve"> </w:t>
      </w:r>
      <w:r w:rsidRPr="00B004EE">
        <w:rPr>
          <w:rFonts w:ascii="Tahoma" w:hAnsi="Tahoma" w:cs="Tahoma"/>
          <w:sz w:val="20"/>
          <w:szCs w:val="20"/>
        </w:rPr>
        <w:t>y</w:t>
      </w:r>
      <w:r w:rsidR="00DB1635" w:rsidRPr="00B004EE">
        <w:rPr>
          <w:rFonts w:ascii="Tahoma" w:hAnsi="Tahoma" w:cs="Tahoma"/>
          <w:sz w:val="20"/>
          <w:szCs w:val="20"/>
        </w:rPr>
        <w:t xml:space="preserve"> </w:t>
      </w:r>
      <w:r w:rsidRPr="00B004EE">
        <w:rPr>
          <w:rFonts w:ascii="Tahoma" w:hAnsi="Tahoma" w:cs="Tahoma"/>
          <w:sz w:val="20"/>
          <w:szCs w:val="20"/>
        </w:rPr>
        <w:t>compris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conditionnés</w:t>
      </w:r>
      <w:r w:rsidR="00DB1635" w:rsidRPr="00B004EE">
        <w:rPr>
          <w:rFonts w:ascii="Tahoma" w:hAnsi="Tahoma" w:cs="Tahoma"/>
          <w:sz w:val="20"/>
          <w:szCs w:val="20"/>
        </w:rPr>
        <w:t xml:space="preserve"> </w:t>
      </w:r>
      <w:r w:rsidRPr="00B004EE">
        <w:rPr>
          <w:rFonts w:ascii="Tahoma" w:hAnsi="Tahoma" w:cs="Tahoma"/>
          <w:sz w:val="20"/>
          <w:szCs w:val="20"/>
        </w:rPr>
        <w:t>sous</w:t>
      </w:r>
      <w:r w:rsidR="00DB1635" w:rsidRPr="00B004EE">
        <w:rPr>
          <w:rFonts w:ascii="Tahoma" w:hAnsi="Tahoma" w:cs="Tahoma"/>
          <w:sz w:val="20"/>
          <w:szCs w:val="20"/>
        </w:rPr>
        <w:t xml:space="preserve"> </w:t>
      </w:r>
      <w:r w:rsidRPr="00B004EE">
        <w:rPr>
          <w:rFonts w:ascii="Tahoma" w:hAnsi="Tahoma" w:cs="Tahoma"/>
          <w:sz w:val="20"/>
          <w:szCs w:val="20"/>
        </w:rPr>
        <w:t>vide</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atmosphère</w:t>
      </w:r>
      <w:r w:rsidR="00DB1635" w:rsidRPr="00B004EE">
        <w:rPr>
          <w:rFonts w:ascii="Tahoma" w:hAnsi="Tahoma" w:cs="Tahoma"/>
          <w:sz w:val="20"/>
          <w:szCs w:val="20"/>
        </w:rPr>
        <w:t xml:space="preserve"> </w:t>
      </w:r>
      <w:r w:rsidRPr="00B004EE">
        <w:rPr>
          <w:rFonts w:ascii="Tahoma" w:hAnsi="Tahoma" w:cs="Tahoma"/>
          <w:sz w:val="20"/>
          <w:szCs w:val="20"/>
        </w:rPr>
        <w:t>modifiée,</w:t>
      </w:r>
      <w:r w:rsidR="00DB1635" w:rsidRPr="00B004EE">
        <w:rPr>
          <w:rFonts w:ascii="Tahoma" w:hAnsi="Tahoma" w:cs="Tahoma"/>
          <w:sz w:val="20"/>
          <w:szCs w:val="20"/>
        </w:rPr>
        <w:t xml:space="preserve"> </w:t>
      </w:r>
      <w:r w:rsidRPr="00B004EE">
        <w:rPr>
          <w:rFonts w:ascii="Tahoma" w:hAnsi="Tahoma" w:cs="Tahoma"/>
          <w:sz w:val="20"/>
          <w:szCs w:val="20"/>
        </w:rPr>
        <w:t>n'ayant</w:t>
      </w:r>
      <w:r w:rsidR="00DB1635" w:rsidRPr="00B004EE">
        <w:rPr>
          <w:rFonts w:ascii="Tahoma" w:hAnsi="Tahoma" w:cs="Tahoma"/>
          <w:sz w:val="20"/>
          <w:szCs w:val="20"/>
        </w:rPr>
        <w:t xml:space="preserve"> </w:t>
      </w:r>
      <w:r w:rsidRPr="00B004EE">
        <w:rPr>
          <w:rFonts w:ascii="Tahoma" w:hAnsi="Tahoma" w:cs="Tahoma"/>
          <w:sz w:val="20"/>
          <w:szCs w:val="20"/>
        </w:rPr>
        <w:t>subi</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vue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sa</w:t>
      </w:r>
      <w:r w:rsidR="00DB1635" w:rsidRPr="00B004EE">
        <w:rPr>
          <w:rFonts w:ascii="Tahoma" w:hAnsi="Tahoma" w:cs="Tahoma"/>
          <w:sz w:val="20"/>
          <w:szCs w:val="20"/>
        </w:rPr>
        <w:t xml:space="preserve"> </w:t>
      </w:r>
      <w:r w:rsidRPr="00B004EE">
        <w:rPr>
          <w:rFonts w:ascii="Tahoma" w:hAnsi="Tahoma" w:cs="Tahoma"/>
          <w:sz w:val="20"/>
          <w:szCs w:val="20"/>
        </w:rPr>
        <w:t>conservation</w:t>
      </w:r>
      <w:r w:rsidR="00DB1635" w:rsidRPr="00B004EE">
        <w:rPr>
          <w:rFonts w:ascii="Tahoma" w:hAnsi="Tahoma" w:cs="Tahoma"/>
          <w:sz w:val="20"/>
          <w:szCs w:val="20"/>
        </w:rPr>
        <w:t xml:space="preserve"> </w:t>
      </w:r>
      <w:r w:rsidRPr="00B004EE">
        <w:rPr>
          <w:rFonts w:ascii="Tahoma" w:hAnsi="Tahoma" w:cs="Tahoma"/>
          <w:sz w:val="20"/>
          <w:szCs w:val="20"/>
        </w:rPr>
        <w:t>aucun</w:t>
      </w:r>
      <w:r w:rsidR="00DB1635" w:rsidRPr="00B004EE">
        <w:rPr>
          <w:rFonts w:ascii="Tahoma" w:hAnsi="Tahoma" w:cs="Tahoma"/>
          <w:sz w:val="20"/>
          <w:szCs w:val="20"/>
        </w:rPr>
        <w:t xml:space="preserve"> </w:t>
      </w:r>
      <w:r w:rsidRPr="00B004EE">
        <w:rPr>
          <w:rFonts w:ascii="Tahoma" w:hAnsi="Tahoma" w:cs="Tahoma"/>
          <w:sz w:val="20"/>
          <w:szCs w:val="20"/>
        </w:rPr>
        <w:t>traitement</w:t>
      </w:r>
      <w:r w:rsidR="00DB1635" w:rsidRPr="00B004EE">
        <w:rPr>
          <w:rFonts w:ascii="Tahoma" w:hAnsi="Tahoma" w:cs="Tahoma"/>
          <w:sz w:val="20"/>
          <w:szCs w:val="20"/>
        </w:rPr>
        <w:t xml:space="preserve"> </w:t>
      </w:r>
      <w:r w:rsidRPr="00B004EE">
        <w:rPr>
          <w:rFonts w:ascii="Tahoma" w:hAnsi="Tahoma" w:cs="Tahoma"/>
          <w:sz w:val="20"/>
          <w:szCs w:val="20"/>
        </w:rPr>
        <w:t>autre</w:t>
      </w:r>
      <w:r w:rsidR="00DB1635" w:rsidRPr="00B004EE">
        <w:rPr>
          <w:rFonts w:ascii="Tahoma" w:hAnsi="Tahoma" w:cs="Tahoma"/>
          <w:sz w:val="20"/>
          <w:szCs w:val="20"/>
        </w:rPr>
        <w:t xml:space="preserve"> </w:t>
      </w:r>
      <w:r w:rsidRPr="00B004EE">
        <w:rPr>
          <w:rFonts w:ascii="Tahoma" w:hAnsi="Tahoma" w:cs="Tahoma"/>
          <w:sz w:val="20"/>
          <w:szCs w:val="20"/>
        </w:rPr>
        <w:t>que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réfrigération;</w:t>
      </w:r>
    </w:p>
    <w:p w14:paraId="686D705C" w14:textId="1DC10F8A" w:rsidR="002F24E1" w:rsidRPr="00B004EE" w:rsidRDefault="002F24E1" w:rsidP="00B004EE">
      <w:pPr>
        <w:numPr>
          <w:ilvl w:val="0"/>
          <w:numId w:val="6"/>
        </w:numPr>
        <w:tabs>
          <w:tab w:val="clear" w:pos="540"/>
          <w:tab w:val="num" w:pos="142"/>
        </w:tabs>
        <w:ind w:left="284" w:hanging="284"/>
        <w:jc w:val="both"/>
        <w:rPr>
          <w:rFonts w:ascii="Tahoma" w:hAnsi="Tahoma" w:cs="Tahoma"/>
          <w:sz w:val="20"/>
          <w:szCs w:val="20"/>
        </w:rPr>
      </w:pPr>
      <w:proofErr w:type="gramStart"/>
      <w:r w:rsidRPr="00B004EE">
        <w:rPr>
          <w:rFonts w:ascii="Tahoma" w:hAnsi="Tahoma" w:cs="Tahoma"/>
          <w:sz w:val="20"/>
          <w:szCs w:val="20"/>
        </w:rPr>
        <w:t>produit</w:t>
      </w:r>
      <w:proofErr w:type="gramEnd"/>
      <w:r w:rsidR="00DB1635" w:rsidRPr="00B004EE">
        <w:rPr>
          <w:rFonts w:ascii="Tahoma" w:hAnsi="Tahoma" w:cs="Tahoma"/>
          <w:sz w:val="20"/>
          <w:szCs w:val="20"/>
        </w:rPr>
        <w:t xml:space="preserve"> </w:t>
      </w:r>
      <w:r w:rsidRPr="00B004EE">
        <w:rPr>
          <w:rFonts w:ascii="Tahoma" w:hAnsi="Tahoma" w:cs="Tahoma"/>
          <w:sz w:val="20"/>
          <w:szCs w:val="20"/>
        </w:rPr>
        <w:t>réfrigéré:</w:t>
      </w:r>
      <w:r w:rsidR="00DB1635" w:rsidRPr="00B004EE">
        <w:rPr>
          <w:rFonts w:ascii="Tahoma" w:hAnsi="Tahoma" w:cs="Tahoma"/>
          <w:sz w:val="20"/>
          <w:szCs w:val="20"/>
        </w:rPr>
        <w:t xml:space="preserve"> </w:t>
      </w:r>
      <w:r w:rsidRPr="00B004EE">
        <w:rPr>
          <w:rFonts w:ascii="Tahoma" w:hAnsi="Tahoma" w:cs="Tahoma"/>
          <w:sz w:val="20"/>
          <w:szCs w:val="20"/>
        </w:rPr>
        <w:t>tout</w:t>
      </w:r>
      <w:r w:rsidR="00DB1635" w:rsidRPr="00B004EE">
        <w:rPr>
          <w:rFonts w:ascii="Tahoma" w:hAnsi="Tahoma" w:cs="Tahoma"/>
          <w:sz w:val="20"/>
          <w:szCs w:val="20"/>
        </w:rPr>
        <w:t xml:space="preserve"> </w:t>
      </w:r>
      <w:r w:rsidRPr="00B004EE">
        <w:rPr>
          <w:rFonts w:ascii="Tahoma" w:hAnsi="Tahoma" w:cs="Tahoma"/>
          <w:sz w:val="20"/>
          <w:szCs w:val="20"/>
        </w:rPr>
        <w:t>produit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dont</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température</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abaissée</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réfrigération</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maintenu</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voisinage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température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glace</w:t>
      </w:r>
      <w:r w:rsidR="00DB1635" w:rsidRPr="00B004EE">
        <w:rPr>
          <w:rFonts w:ascii="Tahoma" w:hAnsi="Tahoma" w:cs="Tahoma"/>
          <w:sz w:val="20"/>
          <w:szCs w:val="20"/>
        </w:rPr>
        <w:t xml:space="preserve"> </w:t>
      </w:r>
      <w:r w:rsidRPr="00B004EE">
        <w:rPr>
          <w:rFonts w:ascii="Tahoma" w:hAnsi="Tahoma" w:cs="Tahoma"/>
          <w:sz w:val="20"/>
          <w:szCs w:val="20"/>
        </w:rPr>
        <w:t>fondante;</w:t>
      </w:r>
    </w:p>
    <w:p w14:paraId="497C6EAF" w14:textId="455B0E3A" w:rsidR="002F24E1" w:rsidRPr="00B004EE" w:rsidRDefault="002F24E1" w:rsidP="00B004EE">
      <w:pPr>
        <w:numPr>
          <w:ilvl w:val="0"/>
          <w:numId w:val="6"/>
        </w:numPr>
        <w:tabs>
          <w:tab w:val="clear" w:pos="540"/>
          <w:tab w:val="num" w:pos="142"/>
        </w:tabs>
        <w:ind w:left="284" w:hanging="284"/>
        <w:jc w:val="both"/>
        <w:rPr>
          <w:rFonts w:ascii="Tahoma" w:hAnsi="Tahoma" w:cs="Tahoma"/>
          <w:sz w:val="20"/>
          <w:szCs w:val="20"/>
        </w:rPr>
      </w:pPr>
      <w:proofErr w:type="gramStart"/>
      <w:r w:rsidRPr="00B004EE">
        <w:rPr>
          <w:rFonts w:ascii="Tahoma" w:hAnsi="Tahoma" w:cs="Tahoma"/>
          <w:sz w:val="20"/>
          <w:szCs w:val="20"/>
        </w:rPr>
        <w:t>conditionnement:</w:t>
      </w:r>
      <w:proofErr w:type="gramEnd"/>
      <w:r w:rsidR="00DB1635" w:rsidRPr="00B004EE">
        <w:rPr>
          <w:rFonts w:ascii="Tahoma" w:hAnsi="Tahoma" w:cs="Tahoma"/>
          <w:sz w:val="20"/>
          <w:szCs w:val="20"/>
        </w:rPr>
        <w:t xml:space="preserve"> </w:t>
      </w:r>
      <w:r w:rsidRPr="00B004EE">
        <w:rPr>
          <w:rFonts w:ascii="Tahoma" w:hAnsi="Tahoma" w:cs="Tahoma"/>
          <w:sz w:val="20"/>
          <w:szCs w:val="20"/>
        </w:rPr>
        <w:t>l'opération</w:t>
      </w:r>
      <w:r w:rsidR="00DB1635" w:rsidRPr="00B004EE">
        <w:rPr>
          <w:rFonts w:ascii="Tahoma" w:hAnsi="Tahoma" w:cs="Tahoma"/>
          <w:sz w:val="20"/>
          <w:szCs w:val="20"/>
        </w:rPr>
        <w:t xml:space="preserve"> </w:t>
      </w:r>
      <w:r w:rsidRPr="00B004EE">
        <w:rPr>
          <w:rFonts w:ascii="Tahoma" w:hAnsi="Tahoma" w:cs="Tahoma"/>
          <w:sz w:val="20"/>
          <w:szCs w:val="20"/>
        </w:rPr>
        <w:t>qui</w:t>
      </w:r>
      <w:r w:rsidR="00DB1635" w:rsidRPr="00B004EE">
        <w:rPr>
          <w:rFonts w:ascii="Tahoma" w:hAnsi="Tahoma" w:cs="Tahoma"/>
          <w:sz w:val="20"/>
          <w:szCs w:val="20"/>
        </w:rPr>
        <w:t xml:space="preserve"> </w:t>
      </w:r>
      <w:r w:rsidRPr="00B004EE">
        <w:rPr>
          <w:rFonts w:ascii="Tahoma" w:hAnsi="Tahoma" w:cs="Tahoma"/>
          <w:sz w:val="20"/>
          <w:szCs w:val="20"/>
        </w:rPr>
        <w:t>réalise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protection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l'emploi</w:t>
      </w:r>
      <w:r w:rsidR="00DB1635" w:rsidRPr="00B004EE">
        <w:rPr>
          <w:rFonts w:ascii="Tahoma" w:hAnsi="Tahoma" w:cs="Tahoma"/>
          <w:sz w:val="20"/>
          <w:szCs w:val="20"/>
        </w:rPr>
        <w:t xml:space="preserve"> </w:t>
      </w:r>
      <w:r w:rsidRPr="00B004EE">
        <w:rPr>
          <w:rFonts w:ascii="Tahoma" w:hAnsi="Tahoma" w:cs="Tahoma"/>
          <w:sz w:val="20"/>
          <w:szCs w:val="20"/>
        </w:rPr>
        <w:t>d'une</w:t>
      </w:r>
      <w:r w:rsidR="00DB1635" w:rsidRPr="00B004EE">
        <w:rPr>
          <w:rFonts w:ascii="Tahoma" w:hAnsi="Tahoma" w:cs="Tahoma"/>
          <w:sz w:val="20"/>
          <w:szCs w:val="20"/>
        </w:rPr>
        <w:t xml:space="preserve"> </w:t>
      </w:r>
      <w:r w:rsidRPr="00B004EE">
        <w:rPr>
          <w:rFonts w:ascii="Tahoma" w:hAnsi="Tahoma" w:cs="Tahoma"/>
          <w:sz w:val="20"/>
          <w:szCs w:val="20"/>
        </w:rPr>
        <w:t>enveloppe</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d'un</w:t>
      </w:r>
      <w:r w:rsidR="00DB1635" w:rsidRPr="00B004EE">
        <w:rPr>
          <w:rFonts w:ascii="Tahoma" w:hAnsi="Tahoma" w:cs="Tahoma"/>
          <w:sz w:val="20"/>
          <w:szCs w:val="20"/>
        </w:rPr>
        <w:t xml:space="preserve"> </w:t>
      </w:r>
      <w:r w:rsidRPr="00B004EE">
        <w:rPr>
          <w:rFonts w:ascii="Tahoma" w:hAnsi="Tahoma" w:cs="Tahoma"/>
          <w:sz w:val="20"/>
          <w:szCs w:val="20"/>
        </w:rPr>
        <w:t>contenant</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contact</w:t>
      </w:r>
      <w:r w:rsidR="00DB1635" w:rsidRPr="00B004EE">
        <w:rPr>
          <w:rFonts w:ascii="Tahoma" w:hAnsi="Tahoma" w:cs="Tahoma"/>
          <w:sz w:val="20"/>
          <w:szCs w:val="20"/>
        </w:rPr>
        <w:t xml:space="preserve"> </w:t>
      </w:r>
      <w:r w:rsidRPr="00B004EE">
        <w:rPr>
          <w:rFonts w:ascii="Tahoma" w:hAnsi="Tahoma" w:cs="Tahoma"/>
          <w:sz w:val="20"/>
          <w:szCs w:val="20"/>
        </w:rPr>
        <w:t>direct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extension,</w:t>
      </w:r>
      <w:r w:rsidR="00DB1635" w:rsidRPr="00B004EE">
        <w:rPr>
          <w:rFonts w:ascii="Tahoma" w:hAnsi="Tahoma" w:cs="Tahoma"/>
          <w:sz w:val="20"/>
          <w:szCs w:val="20"/>
        </w:rPr>
        <w:t xml:space="preserve"> </w:t>
      </w:r>
      <w:r w:rsidRPr="00B004EE">
        <w:rPr>
          <w:rFonts w:ascii="Tahoma" w:hAnsi="Tahoma" w:cs="Tahoma"/>
          <w:sz w:val="20"/>
          <w:szCs w:val="20"/>
        </w:rPr>
        <w:t>ce</w:t>
      </w:r>
      <w:r w:rsidR="00DB1635" w:rsidRPr="00B004EE">
        <w:rPr>
          <w:rFonts w:ascii="Tahoma" w:hAnsi="Tahoma" w:cs="Tahoma"/>
          <w:sz w:val="20"/>
          <w:szCs w:val="20"/>
        </w:rPr>
        <w:t xml:space="preserve"> </w:t>
      </w:r>
      <w:r w:rsidRPr="00B004EE">
        <w:rPr>
          <w:rFonts w:ascii="Tahoma" w:hAnsi="Tahoma" w:cs="Tahoma"/>
          <w:sz w:val="20"/>
          <w:szCs w:val="20"/>
        </w:rPr>
        <w:t>contenant;</w:t>
      </w:r>
    </w:p>
    <w:p w14:paraId="45AF13AE" w14:textId="77777777" w:rsidR="002F24E1" w:rsidRPr="00B004EE" w:rsidRDefault="002F24E1" w:rsidP="00B004EE">
      <w:pPr>
        <w:jc w:val="both"/>
        <w:rPr>
          <w:rFonts w:ascii="Tahoma" w:hAnsi="Tahoma" w:cs="Tahoma"/>
          <w:sz w:val="20"/>
          <w:szCs w:val="20"/>
        </w:rPr>
      </w:pPr>
    </w:p>
    <w:p w14:paraId="6892C776" w14:textId="0BA864A2" w:rsidR="002F24E1" w:rsidRPr="00B004EE" w:rsidRDefault="002F24E1" w:rsidP="00B004EE">
      <w:pPr>
        <w:tabs>
          <w:tab w:val="left" w:pos="567"/>
          <w:tab w:val="left" w:pos="851"/>
          <w:tab w:val="left" w:pos="1843"/>
        </w:tabs>
        <w:jc w:val="center"/>
        <w:rPr>
          <w:rFonts w:ascii="Tahoma" w:hAnsi="Tahoma" w:cs="Tahoma"/>
          <w:b/>
          <w:sz w:val="20"/>
          <w:szCs w:val="20"/>
        </w:rPr>
      </w:pPr>
      <w:r w:rsidRPr="00B004EE">
        <w:rPr>
          <w:rFonts w:ascii="Tahoma" w:hAnsi="Tahoma" w:cs="Tahoma"/>
          <w:b/>
          <w:sz w:val="20"/>
          <w:szCs w:val="20"/>
        </w:rPr>
        <w:t>CHAPITRE</w:t>
      </w:r>
      <w:r w:rsidR="00DB1635" w:rsidRPr="00B004EE">
        <w:rPr>
          <w:rFonts w:ascii="Tahoma" w:hAnsi="Tahoma" w:cs="Tahoma"/>
          <w:b/>
          <w:sz w:val="20"/>
          <w:szCs w:val="20"/>
        </w:rPr>
        <w:t xml:space="preserve"> </w:t>
      </w:r>
      <w:r w:rsidRPr="00B004EE">
        <w:rPr>
          <w:rFonts w:ascii="Tahoma" w:hAnsi="Tahoma" w:cs="Tahoma"/>
          <w:b/>
          <w:sz w:val="20"/>
          <w:szCs w:val="20"/>
        </w:rPr>
        <w:t>I</w:t>
      </w:r>
      <w:r w:rsidR="00DB1635" w:rsidRPr="00B004EE">
        <w:rPr>
          <w:rFonts w:ascii="Tahoma" w:hAnsi="Tahoma" w:cs="Tahoma"/>
          <w:b/>
          <w:sz w:val="20"/>
          <w:szCs w:val="20"/>
        </w:rPr>
        <w:t xml:space="preserve"> </w:t>
      </w:r>
      <w:r w:rsidRPr="00B004EE">
        <w:rPr>
          <w:rFonts w:ascii="Tahoma" w:hAnsi="Tahoma" w:cs="Tahoma"/>
          <w:b/>
          <w:sz w:val="20"/>
          <w:szCs w:val="20"/>
        </w:rPr>
        <w:t>:</w:t>
      </w:r>
      <w:r w:rsidR="00DB1635" w:rsidRPr="00B004EE">
        <w:rPr>
          <w:rFonts w:ascii="Tahoma" w:hAnsi="Tahoma" w:cs="Tahoma"/>
          <w:b/>
          <w:sz w:val="20"/>
          <w:szCs w:val="20"/>
        </w:rPr>
        <w:t xml:space="preserve"> </w:t>
      </w:r>
      <w:r w:rsidRPr="00B004EE">
        <w:rPr>
          <w:rFonts w:ascii="Tahoma" w:hAnsi="Tahoma" w:cs="Tahoma"/>
          <w:b/>
          <w:sz w:val="20"/>
          <w:szCs w:val="20"/>
        </w:rPr>
        <w:t>CONDITIONS</w:t>
      </w:r>
      <w:r w:rsidR="00DB1635" w:rsidRPr="00B004EE">
        <w:rPr>
          <w:rFonts w:ascii="Tahoma" w:hAnsi="Tahoma" w:cs="Tahoma"/>
          <w:b/>
          <w:sz w:val="20"/>
          <w:szCs w:val="20"/>
        </w:rPr>
        <w:t xml:space="preserve"> </w:t>
      </w:r>
      <w:r w:rsidRPr="00B004EE">
        <w:rPr>
          <w:rFonts w:ascii="Tahoma" w:hAnsi="Tahoma" w:cs="Tahoma"/>
          <w:b/>
          <w:sz w:val="20"/>
          <w:szCs w:val="20"/>
        </w:rPr>
        <w:t>GENERALES</w:t>
      </w:r>
      <w:r w:rsidR="00DB1635" w:rsidRPr="00B004EE">
        <w:rPr>
          <w:rFonts w:ascii="Tahoma" w:hAnsi="Tahoma" w:cs="Tahoma"/>
          <w:b/>
          <w:sz w:val="20"/>
          <w:szCs w:val="20"/>
        </w:rPr>
        <w:t xml:space="preserve"> </w:t>
      </w:r>
      <w:r w:rsidRPr="00B004EE">
        <w:rPr>
          <w:rFonts w:ascii="Tahoma" w:hAnsi="Tahoma" w:cs="Tahoma"/>
          <w:b/>
          <w:sz w:val="20"/>
          <w:szCs w:val="20"/>
        </w:rPr>
        <w:t>D'HYGIENE</w:t>
      </w:r>
    </w:p>
    <w:p w14:paraId="61FADE1F" w14:textId="77777777" w:rsidR="002F24E1" w:rsidRPr="00B004EE" w:rsidRDefault="002F24E1" w:rsidP="00B004EE">
      <w:pPr>
        <w:tabs>
          <w:tab w:val="left" w:pos="567"/>
          <w:tab w:val="left" w:pos="851"/>
          <w:tab w:val="left" w:pos="1843"/>
        </w:tabs>
        <w:jc w:val="both"/>
        <w:rPr>
          <w:rFonts w:ascii="Tahoma" w:hAnsi="Tahoma" w:cs="Tahoma"/>
          <w:b/>
          <w:sz w:val="20"/>
          <w:szCs w:val="20"/>
        </w:rPr>
      </w:pPr>
    </w:p>
    <w:p w14:paraId="70282672" w14:textId="75DE7EA4" w:rsidR="002F24E1" w:rsidRPr="00B004EE" w:rsidRDefault="002F24E1" w:rsidP="00B004EE">
      <w:pPr>
        <w:tabs>
          <w:tab w:val="left" w:pos="567"/>
          <w:tab w:val="left" w:pos="1843"/>
        </w:tabs>
        <w:jc w:val="both"/>
        <w:rPr>
          <w:rFonts w:ascii="Tahoma" w:hAnsi="Tahoma" w:cs="Tahoma"/>
          <w:b/>
          <w:sz w:val="20"/>
          <w:szCs w:val="20"/>
        </w:rPr>
      </w:pPr>
      <w:r w:rsidRPr="00B004EE">
        <w:rPr>
          <w:rFonts w:ascii="Tahoma" w:hAnsi="Tahoma" w:cs="Tahoma"/>
          <w:b/>
          <w:sz w:val="20"/>
          <w:szCs w:val="20"/>
        </w:rPr>
        <w:t>SECTION</w:t>
      </w:r>
      <w:r w:rsidR="00DB1635" w:rsidRPr="00B004EE">
        <w:rPr>
          <w:rFonts w:ascii="Tahoma" w:hAnsi="Tahoma" w:cs="Tahoma"/>
          <w:b/>
          <w:sz w:val="20"/>
          <w:szCs w:val="20"/>
        </w:rPr>
        <w:t xml:space="preserve"> </w:t>
      </w:r>
      <w:r w:rsidRPr="00B004EE">
        <w:rPr>
          <w:rFonts w:ascii="Tahoma" w:hAnsi="Tahoma" w:cs="Tahoma"/>
          <w:b/>
          <w:sz w:val="20"/>
          <w:szCs w:val="20"/>
        </w:rPr>
        <w:t>I</w:t>
      </w:r>
      <w:r w:rsidR="00DB1635" w:rsidRPr="00B004EE">
        <w:rPr>
          <w:rFonts w:ascii="Tahoma" w:hAnsi="Tahoma" w:cs="Tahoma"/>
          <w:b/>
          <w:sz w:val="20"/>
          <w:szCs w:val="20"/>
        </w:rPr>
        <w:t xml:space="preserve"> </w:t>
      </w:r>
      <w:r w:rsidRPr="00B004EE">
        <w:rPr>
          <w:rFonts w:ascii="Tahoma" w:hAnsi="Tahoma" w:cs="Tahoma"/>
          <w:b/>
          <w:sz w:val="20"/>
          <w:szCs w:val="20"/>
        </w:rPr>
        <w:t>:</w:t>
      </w:r>
      <w:r w:rsidR="00DB1635" w:rsidRPr="00B004EE">
        <w:rPr>
          <w:rFonts w:ascii="Tahoma" w:hAnsi="Tahoma" w:cs="Tahoma"/>
          <w:b/>
          <w:sz w:val="20"/>
          <w:szCs w:val="20"/>
        </w:rPr>
        <w:t xml:space="preserve"> </w:t>
      </w:r>
      <w:r w:rsidRPr="00B004EE">
        <w:rPr>
          <w:rFonts w:ascii="Tahoma" w:hAnsi="Tahoma" w:cs="Tahoma"/>
          <w:b/>
          <w:sz w:val="20"/>
          <w:szCs w:val="20"/>
        </w:rPr>
        <w:t>Installations</w:t>
      </w:r>
      <w:r w:rsidR="00DB1635" w:rsidRPr="00B004EE">
        <w:rPr>
          <w:rFonts w:ascii="Tahoma" w:hAnsi="Tahoma" w:cs="Tahoma"/>
          <w:b/>
          <w:sz w:val="20"/>
          <w:szCs w:val="20"/>
        </w:rPr>
        <w:t xml:space="preserve"> </w:t>
      </w:r>
      <w:r w:rsidRPr="00B004EE">
        <w:rPr>
          <w:rFonts w:ascii="Tahoma" w:hAnsi="Tahoma" w:cs="Tahoma"/>
          <w:b/>
          <w:sz w:val="20"/>
          <w:szCs w:val="20"/>
        </w:rPr>
        <w:t>et</w:t>
      </w:r>
      <w:r w:rsidR="00DB1635" w:rsidRPr="00B004EE">
        <w:rPr>
          <w:rFonts w:ascii="Tahoma" w:hAnsi="Tahoma" w:cs="Tahoma"/>
          <w:b/>
          <w:sz w:val="20"/>
          <w:szCs w:val="20"/>
        </w:rPr>
        <w:t xml:space="preserve"> </w:t>
      </w:r>
      <w:r w:rsidRPr="00B004EE">
        <w:rPr>
          <w:rFonts w:ascii="Tahoma" w:hAnsi="Tahoma" w:cs="Tahoma"/>
          <w:b/>
          <w:sz w:val="20"/>
          <w:szCs w:val="20"/>
        </w:rPr>
        <w:t>matériel</w:t>
      </w:r>
    </w:p>
    <w:p w14:paraId="4F57E5CA" w14:textId="77777777" w:rsidR="002F24E1" w:rsidRPr="00B004EE" w:rsidRDefault="002F24E1" w:rsidP="00B004EE">
      <w:pPr>
        <w:jc w:val="both"/>
        <w:rPr>
          <w:rFonts w:ascii="Tahoma" w:hAnsi="Tahoma" w:cs="Tahoma"/>
          <w:b/>
          <w:bCs/>
          <w:sz w:val="20"/>
          <w:szCs w:val="20"/>
          <w:u w:val="single"/>
        </w:rPr>
      </w:pPr>
    </w:p>
    <w:p w14:paraId="7A175251" w14:textId="748A876D" w:rsidR="002F24E1" w:rsidRPr="00B004EE" w:rsidRDefault="002F24E1" w:rsidP="00B004EE">
      <w:pPr>
        <w:jc w:val="both"/>
        <w:rPr>
          <w:rFonts w:ascii="Tahoma" w:hAnsi="Tahoma" w:cs="Tahoma"/>
          <w:sz w:val="20"/>
          <w:szCs w:val="20"/>
        </w:rPr>
      </w:pPr>
      <w:r w:rsidRPr="00B004EE">
        <w:rPr>
          <w:rFonts w:ascii="Tahoma" w:hAnsi="Tahoma" w:cs="Tahoma"/>
          <w:sz w:val="20"/>
          <w:szCs w:val="20"/>
        </w:rPr>
        <w:t>Article</w:t>
      </w:r>
      <w:r w:rsidR="00DB1635" w:rsidRPr="00B004EE">
        <w:rPr>
          <w:rFonts w:ascii="Tahoma" w:hAnsi="Tahoma" w:cs="Tahoma"/>
          <w:sz w:val="20"/>
          <w:szCs w:val="20"/>
        </w:rPr>
        <w:t xml:space="preserve"> </w:t>
      </w:r>
      <w:r w:rsidRPr="00B004EE">
        <w:rPr>
          <w:rFonts w:ascii="Tahoma" w:hAnsi="Tahoma" w:cs="Tahoma"/>
          <w:sz w:val="20"/>
          <w:szCs w:val="20"/>
        </w:rPr>
        <w:t>3</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embarcations</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parties</w:t>
      </w:r>
      <w:r w:rsidR="00DB1635" w:rsidRPr="00B004EE">
        <w:rPr>
          <w:rFonts w:ascii="Tahoma" w:hAnsi="Tahoma" w:cs="Tahoma"/>
          <w:sz w:val="20"/>
          <w:szCs w:val="20"/>
        </w:rPr>
        <w:t xml:space="preserve"> </w:t>
      </w:r>
      <w:r w:rsidRPr="00B004EE">
        <w:rPr>
          <w:rFonts w:ascii="Tahoma" w:hAnsi="Tahoma" w:cs="Tahoma"/>
          <w:sz w:val="20"/>
          <w:szCs w:val="20"/>
        </w:rPr>
        <w:t>d'embarcations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artisanale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côtière,</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récipients</w:t>
      </w:r>
      <w:r w:rsidR="00DB1635" w:rsidRPr="00B004EE">
        <w:rPr>
          <w:rFonts w:ascii="Tahoma" w:hAnsi="Tahoma" w:cs="Tahoma"/>
          <w:sz w:val="20"/>
          <w:szCs w:val="20"/>
        </w:rPr>
        <w:t xml:space="preserve"> </w:t>
      </w:r>
      <w:r w:rsidRPr="00B004EE">
        <w:rPr>
          <w:rFonts w:ascii="Tahoma" w:hAnsi="Tahoma" w:cs="Tahoma"/>
          <w:sz w:val="20"/>
          <w:szCs w:val="20"/>
        </w:rPr>
        <w:t>utilisés</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proofErr w:type="gramStart"/>
      <w:r w:rsidRPr="00B004EE">
        <w:rPr>
          <w:rFonts w:ascii="Tahoma" w:hAnsi="Tahoma" w:cs="Tahoma"/>
          <w:sz w:val="20"/>
          <w:szCs w:val="20"/>
        </w:rPr>
        <w:t>pêche:</w:t>
      </w:r>
      <w:proofErr w:type="gramEnd"/>
    </w:p>
    <w:p w14:paraId="6BBDE8C1" w14:textId="226F6BB2" w:rsidR="002F24E1" w:rsidRPr="00B004EE" w:rsidRDefault="002F24E1" w:rsidP="00B004EE">
      <w:pPr>
        <w:numPr>
          <w:ilvl w:val="0"/>
          <w:numId w:val="3"/>
        </w:numPr>
        <w:jc w:val="both"/>
        <w:rPr>
          <w:rFonts w:ascii="Tahoma" w:hAnsi="Tahoma" w:cs="Tahoma"/>
          <w:sz w:val="20"/>
          <w:szCs w:val="20"/>
        </w:rPr>
      </w:pPr>
      <w:proofErr w:type="gramStart"/>
      <w:r w:rsidRPr="00B004EE">
        <w:rPr>
          <w:rFonts w:ascii="Tahoma" w:hAnsi="Tahoma" w:cs="Tahoma"/>
          <w:sz w:val="20"/>
          <w:szCs w:val="20"/>
        </w:rPr>
        <w:t>sont</w:t>
      </w:r>
      <w:proofErr w:type="gramEnd"/>
      <w:r w:rsidR="00DB1635" w:rsidRPr="00B004EE">
        <w:rPr>
          <w:rFonts w:ascii="Tahoma" w:hAnsi="Tahoma" w:cs="Tahoma"/>
          <w:sz w:val="20"/>
          <w:szCs w:val="20"/>
        </w:rPr>
        <w:t xml:space="preserve"> </w:t>
      </w:r>
      <w:r w:rsidRPr="00B004EE">
        <w:rPr>
          <w:rFonts w:ascii="Tahoma" w:hAnsi="Tahoma" w:cs="Tahoma"/>
          <w:sz w:val="20"/>
          <w:szCs w:val="20"/>
        </w:rPr>
        <w:t>constitués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façon</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facilement</w:t>
      </w:r>
      <w:r w:rsidR="00DB1635" w:rsidRPr="00B004EE">
        <w:rPr>
          <w:rFonts w:ascii="Tahoma" w:hAnsi="Tahoma" w:cs="Tahoma"/>
          <w:sz w:val="20"/>
          <w:szCs w:val="20"/>
        </w:rPr>
        <w:t xml:space="preserve"> </w:t>
      </w:r>
      <w:r w:rsidRPr="00B004EE">
        <w:rPr>
          <w:rFonts w:ascii="Tahoma" w:hAnsi="Tahoma" w:cs="Tahoma"/>
          <w:sz w:val="20"/>
          <w:szCs w:val="20"/>
        </w:rPr>
        <w:t>nettoyés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désinfectés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éviter</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stagnation</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l'eau</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fusion</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glace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leur</w:t>
      </w:r>
      <w:r w:rsidR="00DB1635" w:rsidRPr="00B004EE">
        <w:rPr>
          <w:rFonts w:ascii="Tahoma" w:hAnsi="Tahoma" w:cs="Tahoma"/>
          <w:sz w:val="20"/>
          <w:szCs w:val="20"/>
        </w:rPr>
        <w:t xml:space="preserve"> </w:t>
      </w:r>
      <w:r w:rsidRPr="00B004EE">
        <w:rPr>
          <w:rFonts w:ascii="Tahoma" w:hAnsi="Tahoma" w:cs="Tahoma"/>
          <w:sz w:val="20"/>
          <w:szCs w:val="20"/>
        </w:rPr>
        <w:t>contact;</w:t>
      </w:r>
    </w:p>
    <w:p w14:paraId="6F9733B7" w14:textId="4393A05D" w:rsidR="002F24E1" w:rsidRPr="00B004EE" w:rsidRDefault="002F24E1" w:rsidP="00B004EE">
      <w:pPr>
        <w:numPr>
          <w:ilvl w:val="0"/>
          <w:numId w:val="3"/>
        </w:numPr>
        <w:jc w:val="both"/>
        <w:rPr>
          <w:rFonts w:ascii="Tahoma" w:hAnsi="Tahoma" w:cs="Tahoma"/>
          <w:sz w:val="20"/>
          <w:szCs w:val="20"/>
        </w:rPr>
      </w:pPr>
      <w:proofErr w:type="gramStart"/>
      <w:r w:rsidRPr="00B004EE">
        <w:rPr>
          <w:rFonts w:ascii="Tahoma" w:hAnsi="Tahoma" w:cs="Tahoma"/>
          <w:sz w:val="20"/>
          <w:szCs w:val="20"/>
        </w:rPr>
        <w:t>ne</w:t>
      </w:r>
      <w:proofErr w:type="gramEnd"/>
      <w:r w:rsidR="00DB1635" w:rsidRPr="00B004EE">
        <w:rPr>
          <w:rFonts w:ascii="Tahoma" w:hAnsi="Tahoma" w:cs="Tahoma"/>
          <w:sz w:val="20"/>
          <w:szCs w:val="20"/>
        </w:rPr>
        <w:t xml:space="preserve"> </w:t>
      </w:r>
      <w:r w:rsidRPr="00B004EE">
        <w:rPr>
          <w:rFonts w:ascii="Tahoma" w:hAnsi="Tahoma" w:cs="Tahoma"/>
          <w:sz w:val="20"/>
          <w:szCs w:val="20"/>
        </w:rPr>
        <w:t>contiennent</w:t>
      </w:r>
      <w:r w:rsidR="00DB1635" w:rsidRPr="00B004EE">
        <w:rPr>
          <w:rFonts w:ascii="Tahoma" w:hAnsi="Tahoma" w:cs="Tahoma"/>
          <w:sz w:val="20"/>
          <w:szCs w:val="20"/>
        </w:rPr>
        <w:t xml:space="preserve"> </w:t>
      </w:r>
      <w:r w:rsidRPr="00B004EE">
        <w:rPr>
          <w:rFonts w:ascii="Tahoma" w:hAnsi="Tahoma" w:cs="Tahoma"/>
          <w:sz w:val="20"/>
          <w:szCs w:val="20"/>
        </w:rPr>
        <w:t>pas</w:t>
      </w:r>
      <w:r w:rsidR="00DB1635" w:rsidRPr="00B004EE">
        <w:rPr>
          <w:rFonts w:ascii="Tahoma" w:hAnsi="Tahoma" w:cs="Tahoma"/>
          <w:sz w:val="20"/>
          <w:szCs w:val="20"/>
        </w:rPr>
        <w:t xml:space="preserve"> </w:t>
      </w:r>
      <w:r w:rsidRPr="00B004EE">
        <w:rPr>
          <w:rFonts w:ascii="Tahoma" w:hAnsi="Tahoma" w:cs="Tahoma"/>
          <w:sz w:val="20"/>
          <w:szCs w:val="20"/>
        </w:rPr>
        <w:t>d'objets</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susceptibles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leur</w:t>
      </w:r>
      <w:r w:rsidR="00DB1635" w:rsidRPr="00B004EE">
        <w:rPr>
          <w:rFonts w:ascii="Tahoma" w:hAnsi="Tahoma" w:cs="Tahoma"/>
          <w:sz w:val="20"/>
          <w:szCs w:val="20"/>
        </w:rPr>
        <w:t xml:space="preserve"> </w:t>
      </w:r>
      <w:r w:rsidRPr="00B004EE">
        <w:rPr>
          <w:rFonts w:ascii="Tahoma" w:hAnsi="Tahoma" w:cs="Tahoma"/>
          <w:sz w:val="20"/>
          <w:szCs w:val="20"/>
        </w:rPr>
        <w:t>transmettre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propriétés</w:t>
      </w:r>
      <w:r w:rsidR="00DB1635" w:rsidRPr="00B004EE">
        <w:rPr>
          <w:rFonts w:ascii="Tahoma" w:hAnsi="Tahoma" w:cs="Tahoma"/>
          <w:sz w:val="20"/>
          <w:szCs w:val="20"/>
        </w:rPr>
        <w:t xml:space="preserve"> </w:t>
      </w:r>
      <w:r w:rsidRPr="00B004EE">
        <w:rPr>
          <w:rFonts w:ascii="Tahoma" w:hAnsi="Tahoma" w:cs="Tahoma"/>
          <w:sz w:val="20"/>
          <w:szCs w:val="20"/>
        </w:rPr>
        <w:t>nocives</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caractères</w:t>
      </w:r>
      <w:r w:rsidR="00DB1635" w:rsidRPr="00B004EE">
        <w:rPr>
          <w:rFonts w:ascii="Tahoma" w:hAnsi="Tahoma" w:cs="Tahoma"/>
          <w:sz w:val="20"/>
          <w:szCs w:val="20"/>
        </w:rPr>
        <w:t xml:space="preserve"> </w:t>
      </w:r>
      <w:r w:rsidRPr="00B004EE">
        <w:rPr>
          <w:rFonts w:ascii="Tahoma" w:hAnsi="Tahoma" w:cs="Tahoma"/>
          <w:sz w:val="20"/>
          <w:szCs w:val="20"/>
        </w:rPr>
        <w:t>anormaux;</w:t>
      </w:r>
    </w:p>
    <w:p w14:paraId="16A7DA36" w14:textId="4FD6072B" w:rsidR="002F24E1" w:rsidRPr="00B004EE" w:rsidRDefault="002F24E1" w:rsidP="00B004EE">
      <w:pPr>
        <w:numPr>
          <w:ilvl w:val="0"/>
          <w:numId w:val="3"/>
        </w:numPr>
        <w:jc w:val="both"/>
        <w:rPr>
          <w:rFonts w:ascii="Tahoma" w:hAnsi="Tahoma" w:cs="Tahoma"/>
          <w:sz w:val="20"/>
          <w:szCs w:val="20"/>
        </w:rPr>
      </w:pPr>
      <w:proofErr w:type="gramStart"/>
      <w:r w:rsidRPr="00B004EE">
        <w:rPr>
          <w:rFonts w:ascii="Tahoma" w:hAnsi="Tahoma" w:cs="Tahoma"/>
          <w:sz w:val="20"/>
          <w:szCs w:val="20"/>
        </w:rPr>
        <w:t>assurent</w:t>
      </w:r>
      <w:proofErr w:type="gramEnd"/>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préservation</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conservation</w:t>
      </w:r>
      <w:r w:rsidR="00DB1635" w:rsidRPr="00B004EE">
        <w:rPr>
          <w:rFonts w:ascii="Tahoma" w:hAnsi="Tahoma" w:cs="Tahoma"/>
          <w:sz w:val="20"/>
          <w:szCs w:val="20"/>
        </w:rPr>
        <w:t xml:space="preserve"> </w:t>
      </w:r>
      <w:r w:rsidRPr="00B004EE">
        <w:rPr>
          <w:rFonts w:ascii="Tahoma" w:hAnsi="Tahoma" w:cs="Tahoma"/>
          <w:sz w:val="20"/>
          <w:szCs w:val="20"/>
        </w:rPr>
        <w:t>satisfaisantes.</w:t>
      </w:r>
    </w:p>
    <w:p w14:paraId="406AFE4B" w14:textId="77777777" w:rsidR="002F24E1" w:rsidRPr="00B004EE" w:rsidRDefault="002F24E1" w:rsidP="00B004EE">
      <w:pPr>
        <w:jc w:val="both"/>
        <w:rPr>
          <w:rFonts w:ascii="Tahoma" w:hAnsi="Tahoma" w:cs="Tahoma"/>
          <w:sz w:val="20"/>
          <w:szCs w:val="20"/>
        </w:rPr>
      </w:pPr>
    </w:p>
    <w:p w14:paraId="63AA5152" w14:textId="0AE72AAB" w:rsidR="002F24E1" w:rsidRPr="00B004EE" w:rsidRDefault="002F24E1" w:rsidP="00B004EE">
      <w:pPr>
        <w:jc w:val="both"/>
        <w:rPr>
          <w:rFonts w:ascii="Tahoma" w:hAnsi="Tahoma" w:cs="Tahoma"/>
          <w:sz w:val="20"/>
          <w:szCs w:val="20"/>
        </w:rPr>
      </w:pPr>
      <w:r w:rsidRPr="00B004EE">
        <w:rPr>
          <w:rFonts w:ascii="Tahoma" w:hAnsi="Tahoma" w:cs="Tahoma"/>
          <w:sz w:val="20"/>
          <w:szCs w:val="20"/>
        </w:rPr>
        <w:t>Article</w:t>
      </w:r>
      <w:r w:rsidR="00DB1635" w:rsidRPr="00B004EE">
        <w:rPr>
          <w:rFonts w:ascii="Tahoma" w:hAnsi="Tahoma" w:cs="Tahoma"/>
          <w:sz w:val="20"/>
          <w:szCs w:val="20"/>
        </w:rPr>
        <w:t xml:space="preserve"> </w:t>
      </w:r>
      <w:r w:rsidRPr="00B004EE">
        <w:rPr>
          <w:rFonts w:ascii="Tahoma" w:hAnsi="Tahoma" w:cs="Tahoma"/>
          <w:sz w:val="20"/>
          <w:szCs w:val="20"/>
        </w:rPr>
        <w:t>4</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équipements</w:t>
      </w:r>
      <w:r w:rsidR="00DB1635" w:rsidRPr="00B004EE">
        <w:rPr>
          <w:rFonts w:ascii="Tahoma" w:hAnsi="Tahoma" w:cs="Tahoma"/>
          <w:sz w:val="20"/>
          <w:szCs w:val="20"/>
        </w:rPr>
        <w:t xml:space="preserve"> </w:t>
      </w:r>
      <w:r w:rsidRPr="00B004EE">
        <w:rPr>
          <w:rFonts w:ascii="Tahoma" w:hAnsi="Tahoma" w:cs="Tahoma"/>
          <w:sz w:val="20"/>
          <w:szCs w:val="20"/>
        </w:rPr>
        <w:t>éventuels,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récipients,</w:t>
      </w:r>
      <w:r w:rsidR="00DB1635" w:rsidRPr="00B004EE">
        <w:rPr>
          <w:rFonts w:ascii="Tahoma" w:hAnsi="Tahoma" w:cs="Tahoma"/>
          <w:sz w:val="20"/>
          <w:szCs w:val="20"/>
        </w:rPr>
        <w:t xml:space="preserve"> </w:t>
      </w:r>
      <w:r w:rsidRPr="00B004EE">
        <w:rPr>
          <w:rFonts w:ascii="Tahoma" w:hAnsi="Tahoma" w:cs="Tahoma"/>
          <w:sz w:val="20"/>
          <w:szCs w:val="20"/>
        </w:rPr>
        <w:t>ustensiles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appareillages</w:t>
      </w:r>
      <w:r w:rsidR="00DB1635" w:rsidRPr="00B004EE">
        <w:rPr>
          <w:rFonts w:ascii="Tahoma" w:hAnsi="Tahoma" w:cs="Tahoma"/>
          <w:sz w:val="20"/>
          <w:szCs w:val="20"/>
        </w:rPr>
        <w:t xml:space="preserve"> </w:t>
      </w:r>
      <w:r w:rsidRPr="00B004EE">
        <w:rPr>
          <w:rFonts w:ascii="Tahoma" w:hAnsi="Tahoma" w:cs="Tahoma"/>
          <w:sz w:val="20"/>
          <w:szCs w:val="20"/>
        </w:rPr>
        <w:t>divers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toute</w:t>
      </w:r>
      <w:r w:rsidR="00DB1635" w:rsidRPr="00B004EE">
        <w:rPr>
          <w:rFonts w:ascii="Tahoma" w:hAnsi="Tahoma" w:cs="Tahoma"/>
          <w:sz w:val="20"/>
          <w:szCs w:val="20"/>
        </w:rPr>
        <w:t xml:space="preserve"> </w:t>
      </w:r>
      <w:r w:rsidRPr="00B004EE">
        <w:rPr>
          <w:rFonts w:ascii="Tahoma" w:hAnsi="Tahoma" w:cs="Tahoma"/>
          <w:sz w:val="20"/>
          <w:szCs w:val="20"/>
        </w:rPr>
        <w:t>surface</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contact</w:t>
      </w:r>
      <w:r w:rsidR="00DB1635" w:rsidRPr="00B004EE">
        <w:rPr>
          <w:rFonts w:ascii="Tahoma" w:hAnsi="Tahoma" w:cs="Tahoma"/>
          <w:sz w:val="20"/>
          <w:szCs w:val="20"/>
        </w:rPr>
        <w:t xml:space="preserve"> </w:t>
      </w:r>
      <w:r w:rsidRPr="00B004EE">
        <w:rPr>
          <w:rFonts w:ascii="Tahoma" w:hAnsi="Tahoma" w:cs="Tahoma"/>
          <w:sz w:val="20"/>
          <w:szCs w:val="20"/>
        </w:rPr>
        <w:t>direct</w:t>
      </w:r>
      <w:r w:rsidR="00DB1635" w:rsidRPr="00B004EE">
        <w:rPr>
          <w:rFonts w:ascii="Tahoma" w:hAnsi="Tahoma" w:cs="Tahoma"/>
          <w:sz w:val="20"/>
          <w:szCs w:val="20"/>
        </w:rPr>
        <w:t xml:space="preserve"> </w:t>
      </w:r>
      <w:r w:rsidRPr="00B004EE">
        <w:rPr>
          <w:rFonts w:ascii="Tahoma" w:hAnsi="Tahoma" w:cs="Tahoma"/>
          <w:sz w:val="20"/>
          <w:szCs w:val="20"/>
        </w:rPr>
        <w:t>avec</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doivent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constitués</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revêtus</w:t>
      </w:r>
      <w:r w:rsidR="00DB1635" w:rsidRPr="00B004EE">
        <w:rPr>
          <w:rFonts w:ascii="Tahoma" w:hAnsi="Tahoma" w:cs="Tahoma"/>
          <w:sz w:val="20"/>
          <w:szCs w:val="20"/>
        </w:rPr>
        <w:t xml:space="preserve"> </w:t>
      </w:r>
      <w:r w:rsidRPr="00B004EE">
        <w:rPr>
          <w:rFonts w:ascii="Tahoma" w:hAnsi="Tahoma" w:cs="Tahoma"/>
          <w:sz w:val="20"/>
          <w:szCs w:val="20"/>
        </w:rPr>
        <w:t>d'un</w:t>
      </w:r>
      <w:r w:rsidR="00DB1635" w:rsidRPr="00B004EE">
        <w:rPr>
          <w:rFonts w:ascii="Tahoma" w:hAnsi="Tahoma" w:cs="Tahoma"/>
          <w:sz w:val="20"/>
          <w:szCs w:val="20"/>
        </w:rPr>
        <w:t xml:space="preserve"> </w:t>
      </w:r>
      <w:r w:rsidRPr="00B004EE">
        <w:rPr>
          <w:rFonts w:ascii="Tahoma" w:hAnsi="Tahoma" w:cs="Tahoma"/>
          <w:sz w:val="20"/>
          <w:szCs w:val="20"/>
        </w:rPr>
        <w:t>matériau</w:t>
      </w:r>
      <w:r w:rsidR="00DB1635" w:rsidRPr="00B004EE">
        <w:rPr>
          <w:rFonts w:ascii="Tahoma" w:hAnsi="Tahoma" w:cs="Tahoma"/>
          <w:sz w:val="20"/>
          <w:szCs w:val="20"/>
        </w:rPr>
        <w:t xml:space="preserve"> </w:t>
      </w:r>
      <w:r w:rsidRPr="00B004EE">
        <w:rPr>
          <w:rFonts w:ascii="Tahoma" w:hAnsi="Tahoma" w:cs="Tahoma"/>
          <w:sz w:val="20"/>
          <w:szCs w:val="20"/>
        </w:rPr>
        <w:t>imperméable,</w:t>
      </w:r>
      <w:r w:rsidR="00DB1635" w:rsidRPr="00B004EE">
        <w:rPr>
          <w:rFonts w:ascii="Tahoma" w:hAnsi="Tahoma" w:cs="Tahoma"/>
          <w:sz w:val="20"/>
          <w:szCs w:val="20"/>
        </w:rPr>
        <w:t xml:space="preserve"> </w:t>
      </w:r>
      <w:r w:rsidRPr="00B004EE">
        <w:rPr>
          <w:rFonts w:ascii="Tahoma" w:hAnsi="Tahoma" w:cs="Tahoma"/>
          <w:sz w:val="20"/>
          <w:szCs w:val="20"/>
        </w:rPr>
        <w:t>imputrescible,</w:t>
      </w:r>
      <w:r w:rsidR="00DB1635" w:rsidRPr="00B004EE">
        <w:rPr>
          <w:rFonts w:ascii="Tahoma" w:hAnsi="Tahoma" w:cs="Tahoma"/>
          <w:sz w:val="20"/>
          <w:szCs w:val="20"/>
        </w:rPr>
        <w:t xml:space="preserve"> </w:t>
      </w:r>
      <w:r w:rsidRPr="00B004EE">
        <w:rPr>
          <w:rFonts w:ascii="Tahoma" w:hAnsi="Tahoma" w:cs="Tahoma"/>
          <w:sz w:val="20"/>
          <w:szCs w:val="20"/>
        </w:rPr>
        <w:t>inoxydable,</w:t>
      </w:r>
      <w:r w:rsidR="00DB1635" w:rsidRPr="00B004EE">
        <w:rPr>
          <w:rFonts w:ascii="Tahoma" w:hAnsi="Tahoma" w:cs="Tahoma"/>
          <w:sz w:val="20"/>
          <w:szCs w:val="20"/>
        </w:rPr>
        <w:t xml:space="preserve"> </w:t>
      </w:r>
      <w:r w:rsidRPr="00B004EE">
        <w:rPr>
          <w:rFonts w:ascii="Tahoma" w:hAnsi="Tahoma" w:cs="Tahoma"/>
          <w:sz w:val="20"/>
          <w:szCs w:val="20"/>
        </w:rPr>
        <w:t>lisse,</w:t>
      </w:r>
      <w:r w:rsidR="00DB1635" w:rsidRPr="00B004EE">
        <w:rPr>
          <w:rFonts w:ascii="Tahoma" w:hAnsi="Tahoma" w:cs="Tahoma"/>
          <w:sz w:val="20"/>
          <w:szCs w:val="20"/>
        </w:rPr>
        <w:t xml:space="preserve"> </w:t>
      </w:r>
      <w:r w:rsidRPr="00B004EE">
        <w:rPr>
          <w:rFonts w:ascii="Tahoma" w:hAnsi="Tahoma" w:cs="Tahoma"/>
          <w:sz w:val="20"/>
          <w:szCs w:val="20"/>
        </w:rPr>
        <w:t>facile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nettoyer</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désinfecter.</w:t>
      </w:r>
    </w:p>
    <w:p w14:paraId="17FE9AF9" w14:textId="77777777" w:rsidR="002F24E1" w:rsidRPr="00B004EE" w:rsidRDefault="002F24E1" w:rsidP="00B004EE">
      <w:pPr>
        <w:jc w:val="both"/>
        <w:rPr>
          <w:rFonts w:ascii="Tahoma" w:hAnsi="Tahoma" w:cs="Tahoma"/>
          <w:sz w:val="20"/>
          <w:szCs w:val="20"/>
        </w:rPr>
      </w:pPr>
    </w:p>
    <w:p w14:paraId="1D8BF051" w14:textId="09A3D374" w:rsidR="002F24E1" w:rsidRPr="00B004EE" w:rsidRDefault="002F24E1" w:rsidP="00B004EE">
      <w:pPr>
        <w:jc w:val="both"/>
        <w:rPr>
          <w:rFonts w:ascii="Tahoma" w:hAnsi="Tahoma" w:cs="Tahoma"/>
          <w:sz w:val="20"/>
          <w:szCs w:val="20"/>
        </w:rPr>
      </w:pPr>
      <w:r w:rsidRPr="00B004EE">
        <w:rPr>
          <w:rFonts w:ascii="Tahoma" w:hAnsi="Tahoma" w:cs="Tahoma"/>
          <w:sz w:val="20"/>
          <w:szCs w:val="20"/>
        </w:rPr>
        <w:t>Article</w:t>
      </w:r>
      <w:r w:rsidR="00DB1635" w:rsidRPr="00B004EE">
        <w:rPr>
          <w:rFonts w:ascii="Tahoma" w:hAnsi="Tahoma" w:cs="Tahoma"/>
          <w:sz w:val="20"/>
          <w:szCs w:val="20"/>
        </w:rPr>
        <w:t xml:space="preserve"> </w:t>
      </w:r>
      <w:r w:rsidRPr="00B004EE">
        <w:rPr>
          <w:rFonts w:ascii="Tahoma" w:hAnsi="Tahoma" w:cs="Tahoma"/>
          <w:sz w:val="20"/>
          <w:szCs w:val="20"/>
        </w:rPr>
        <w:t>5</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moment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leur</w:t>
      </w:r>
      <w:r w:rsidR="00DB1635" w:rsidRPr="00B004EE">
        <w:rPr>
          <w:rFonts w:ascii="Tahoma" w:hAnsi="Tahoma" w:cs="Tahoma"/>
          <w:sz w:val="20"/>
          <w:szCs w:val="20"/>
        </w:rPr>
        <w:t xml:space="preserve"> </w:t>
      </w:r>
      <w:r w:rsidRPr="00B004EE">
        <w:rPr>
          <w:rFonts w:ascii="Tahoma" w:hAnsi="Tahoma" w:cs="Tahoma"/>
          <w:sz w:val="20"/>
          <w:szCs w:val="20"/>
        </w:rPr>
        <w:t>utilisation,</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parties,</w:t>
      </w:r>
      <w:r w:rsidR="00DB1635" w:rsidRPr="00B004EE">
        <w:rPr>
          <w:rFonts w:ascii="Tahoma" w:hAnsi="Tahoma" w:cs="Tahoma"/>
          <w:sz w:val="20"/>
          <w:szCs w:val="20"/>
        </w:rPr>
        <w:t xml:space="preserve"> </w:t>
      </w:r>
      <w:r w:rsidRPr="00B004EE">
        <w:rPr>
          <w:rFonts w:ascii="Tahoma" w:hAnsi="Tahoma" w:cs="Tahoma"/>
          <w:sz w:val="20"/>
          <w:szCs w:val="20"/>
        </w:rPr>
        <w:t>récipients</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équipements</w:t>
      </w:r>
      <w:r w:rsidR="00DB1635" w:rsidRPr="00B004EE">
        <w:rPr>
          <w:rFonts w:ascii="Tahoma" w:hAnsi="Tahoma" w:cs="Tahoma"/>
          <w:sz w:val="20"/>
          <w:szCs w:val="20"/>
        </w:rPr>
        <w:t xml:space="preserve"> </w:t>
      </w:r>
      <w:r w:rsidRPr="00B004EE">
        <w:rPr>
          <w:rFonts w:ascii="Tahoma" w:hAnsi="Tahoma" w:cs="Tahoma"/>
          <w:sz w:val="20"/>
          <w:szCs w:val="20"/>
        </w:rPr>
        <w:t>visés</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articles</w:t>
      </w:r>
      <w:r w:rsidR="00DB1635" w:rsidRPr="00B004EE">
        <w:rPr>
          <w:rFonts w:ascii="Tahoma" w:hAnsi="Tahoma" w:cs="Tahoma"/>
          <w:sz w:val="20"/>
          <w:szCs w:val="20"/>
        </w:rPr>
        <w:t xml:space="preserve"> </w:t>
      </w:r>
      <w:r w:rsidRPr="00B004EE">
        <w:rPr>
          <w:rFonts w:ascii="Tahoma" w:hAnsi="Tahoma" w:cs="Tahoma"/>
          <w:sz w:val="20"/>
          <w:szCs w:val="20"/>
        </w:rPr>
        <w:t>3</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4</w:t>
      </w:r>
      <w:r w:rsidR="00DB1635" w:rsidRPr="00B004EE">
        <w:rPr>
          <w:rFonts w:ascii="Tahoma" w:hAnsi="Tahoma" w:cs="Tahoma"/>
          <w:sz w:val="20"/>
          <w:szCs w:val="20"/>
        </w:rPr>
        <w:t xml:space="preserve"> </w:t>
      </w:r>
      <w:r w:rsidRPr="00B004EE">
        <w:rPr>
          <w:rFonts w:ascii="Tahoma" w:hAnsi="Tahoma" w:cs="Tahoma"/>
          <w:sz w:val="20"/>
          <w:szCs w:val="20"/>
        </w:rPr>
        <w:t>doivent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bon</w:t>
      </w:r>
      <w:r w:rsidR="00DB1635" w:rsidRPr="00B004EE">
        <w:rPr>
          <w:rFonts w:ascii="Tahoma" w:hAnsi="Tahoma" w:cs="Tahoma"/>
          <w:sz w:val="20"/>
          <w:szCs w:val="20"/>
        </w:rPr>
        <w:t xml:space="preserve"> </w:t>
      </w:r>
      <w:r w:rsidRPr="00B004EE">
        <w:rPr>
          <w:rFonts w:ascii="Tahoma" w:hAnsi="Tahoma" w:cs="Tahoma"/>
          <w:sz w:val="20"/>
          <w:szCs w:val="20"/>
        </w:rPr>
        <w:t>état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propreté</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particulier,</w:t>
      </w:r>
      <w:r w:rsidR="00DB1635" w:rsidRPr="00B004EE">
        <w:rPr>
          <w:rFonts w:ascii="Tahoma" w:hAnsi="Tahoma" w:cs="Tahoma"/>
          <w:sz w:val="20"/>
          <w:szCs w:val="20"/>
        </w:rPr>
        <w:t xml:space="preserve"> </w:t>
      </w:r>
      <w:r w:rsidRPr="00B004EE">
        <w:rPr>
          <w:rFonts w:ascii="Tahoma" w:hAnsi="Tahoma" w:cs="Tahoma"/>
          <w:sz w:val="20"/>
          <w:szCs w:val="20"/>
        </w:rPr>
        <w:t>ne</w:t>
      </w:r>
      <w:r w:rsidR="00DB1635" w:rsidRPr="00B004EE">
        <w:rPr>
          <w:rFonts w:ascii="Tahoma" w:hAnsi="Tahoma" w:cs="Tahoma"/>
          <w:sz w:val="20"/>
          <w:szCs w:val="20"/>
        </w:rPr>
        <w:t xml:space="preserve"> </w:t>
      </w:r>
      <w:r w:rsidRPr="00B004EE">
        <w:rPr>
          <w:rFonts w:ascii="Tahoma" w:hAnsi="Tahoma" w:cs="Tahoma"/>
          <w:sz w:val="20"/>
          <w:szCs w:val="20"/>
        </w:rPr>
        <w:t>doivent</w:t>
      </w:r>
      <w:r w:rsidR="00DB1635" w:rsidRPr="00B004EE">
        <w:rPr>
          <w:rFonts w:ascii="Tahoma" w:hAnsi="Tahoma" w:cs="Tahoma"/>
          <w:sz w:val="20"/>
          <w:szCs w:val="20"/>
        </w:rPr>
        <w:t xml:space="preserve"> </w:t>
      </w:r>
      <w:r w:rsidRPr="00B004EE">
        <w:rPr>
          <w:rFonts w:ascii="Tahoma" w:hAnsi="Tahoma" w:cs="Tahoma"/>
          <w:sz w:val="20"/>
          <w:szCs w:val="20"/>
        </w:rPr>
        <w:t>pas</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souillés</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carburant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propulsion</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eaux</w:t>
      </w:r>
      <w:r w:rsidR="00DB1635" w:rsidRPr="00B004EE">
        <w:rPr>
          <w:rFonts w:ascii="Tahoma" w:hAnsi="Tahoma" w:cs="Tahoma"/>
          <w:sz w:val="20"/>
          <w:szCs w:val="20"/>
        </w:rPr>
        <w:t xml:space="preserve"> </w:t>
      </w:r>
      <w:r w:rsidRPr="00B004EE">
        <w:rPr>
          <w:rFonts w:ascii="Tahoma" w:hAnsi="Tahoma" w:cs="Tahoma"/>
          <w:sz w:val="20"/>
          <w:szCs w:val="20"/>
        </w:rPr>
        <w:t>sales</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fonds</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embarcations.</w:t>
      </w:r>
    </w:p>
    <w:p w14:paraId="1C8F0D33" w14:textId="77777777" w:rsidR="002F24E1" w:rsidRPr="00B004EE" w:rsidRDefault="002F24E1" w:rsidP="00B004EE">
      <w:pPr>
        <w:jc w:val="both"/>
        <w:rPr>
          <w:rFonts w:ascii="Tahoma" w:hAnsi="Tahoma" w:cs="Tahoma"/>
          <w:sz w:val="20"/>
          <w:szCs w:val="20"/>
        </w:rPr>
      </w:pPr>
    </w:p>
    <w:p w14:paraId="36FA12BA" w14:textId="7DF0D102" w:rsidR="002F24E1" w:rsidRPr="00B004EE" w:rsidRDefault="002F24E1" w:rsidP="00B004EE">
      <w:pPr>
        <w:jc w:val="both"/>
        <w:rPr>
          <w:rFonts w:ascii="Tahoma" w:hAnsi="Tahoma" w:cs="Tahoma"/>
          <w:sz w:val="20"/>
          <w:szCs w:val="20"/>
        </w:rPr>
      </w:pPr>
      <w:r w:rsidRPr="00B004EE">
        <w:rPr>
          <w:rFonts w:ascii="Tahoma" w:hAnsi="Tahoma" w:cs="Tahoma"/>
          <w:sz w:val="20"/>
          <w:szCs w:val="20"/>
        </w:rPr>
        <w:t>Article</w:t>
      </w:r>
      <w:r w:rsidR="00DB1635" w:rsidRPr="00B004EE">
        <w:rPr>
          <w:rFonts w:ascii="Tahoma" w:hAnsi="Tahoma" w:cs="Tahoma"/>
          <w:sz w:val="20"/>
          <w:szCs w:val="20"/>
        </w:rPr>
        <w:t xml:space="preserve"> </w:t>
      </w:r>
      <w:r w:rsidRPr="00B004EE">
        <w:rPr>
          <w:rFonts w:ascii="Tahoma" w:hAnsi="Tahoma" w:cs="Tahoma"/>
          <w:sz w:val="20"/>
          <w:szCs w:val="20"/>
        </w:rPr>
        <w:t>6</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nettoyage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récipients,</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instruments,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parties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l'embarcation</w:t>
      </w:r>
      <w:r w:rsidR="00DB1635" w:rsidRPr="00B004EE">
        <w:rPr>
          <w:rFonts w:ascii="Tahoma" w:hAnsi="Tahoma" w:cs="Tahoma"/>
          <w:sz w:val="20"/>
          <w:szCs w:val="20"/>
        </w:rPr>
        <w:t xml:space="preserve"> </w:t>
      </w:r>
      <w:r w:rsidRPr="00B004EE">
        <w:rPr>
          <w:rFonts w:ascii="Tahoma" w:hAnsi="Tahoma" w:cs="Tahoma"/>
          <w:sz w:val="20"/>
          <w:szCs w:val="20"/>
        </w:rPr>
        <w:t>entrant</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contact</w:t>
      </w:r>
      <w:r w:rsidR="00DB1635" w:rsidRPr="00B004EE">
        <w:rPr>
          <w:rFonts w:ascii="Tahoma" w:hAnsi="Tahoma" w:cs="Tahoma"/>
          <w:sz w:val="20"/>
          <w:szCs w:val="20"/>
        </w:rPr>
        <w:t xml:space="preserve"> </w:t>
      </w:r>
      <w:r w:rsidRPr="00B004EE">
        <w:rPr>
          <w:rFonts w:ascii="Tahoma" w:hAnsi="Tahoma" w:cs="Tahoma"/>
          <w:sz w:val="20"/>
          <w:szCs w:val="20"/>
        </w:rPr>
        <w:t>direct</w:t>
      </w:r>
      <w:r w:rsidR="00DB1635" w:rsidRPr="00B004EE">
        <w:rPr>
          <w:rFonts w:ascii="Tahoma" w:hAnsi="Tahoma" w:cs="Tahoma"/>
          <w:sz w:val="20"/>
          <w:szCs w:val="20"/>
        </w:rPr>
        <w:t xml:space="preserve"> </w:t>
      </w:r>
      <w:r w:rsidRPr="00B004EE">
        <w:rPr>
          <w:rFonts w:ascii="Tahoma" w:hAnsi="Tahoma" w:cs="Tahoma"/>
          <w:sz w:val="20"/>
          <w:szCs w:val="20"/>
        </w:rPr>
        <w:t>avec</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doit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fait</w:t>
      </w:r>
      <w:r w:rsidR="00DB1635" w:rsidRPr="00B004EE">
        <w:rPr>
          <w:rFonts w:ascii="Tahoma" w:hAnsi="Tahoma" w:cs="Tahoma"/>
          <w:sz w:val="20"/>
          <w:szCs w:val="20"/>
        </w:rPr>
        <w:t xml:space="preserve"> </w:t>
      </w:r>
      <w:r w:rsidRPr="00B004EE">
        <w:rPr>
          <w:rFonts w:ascii="Tahoma" w:hAnsi="Tahoma" w:cs="Tahoma"/>
          <w:sz w:val="20"/>
          <w:szCs w:val="20"/>
        </w:rPr>
        <w:t>aussi</w:t>
      </w:r>
      <w:r w:rsidR="00DB1635" w:rsidRPr="00B004EE">
        <w:rPr>
          <w:rFonts w:ascii="Tahoma" w:hAnsi="Tahoma" w:cs="Tahoma"/>
          <w:sz w:val="20"/>
          <w:szCs w:val="20"/>
        </w:rPr>
        <w:t xml:space="preserve"> </w:t>
      </w:r>
      <w:r w:rsidRPr="00B004EE">
        <w:rPr>
          <w:rFonts w:ascii="Tahoma" w:hAnsi="Tahoma" w:cs="Tahoma"/>
          <w:sz w:val="20"/>
          <w:szCs w:val="20"/>
        </w:rPr>
        <w:t>souvent</w:t>
      </w:r>
      <w:r w:rsidR="00DB1635" w:rsidRPr="00B004EE">
        <w:rPr>
          <w:rFonts w:ascii="Tahoma" w:hAnsi="Tahoma" w:cs="Tahoma"/>
          <w:sz w:val="20"/>
          <w:szCs w:val="20"/>
        </w:rPr>
        <w:t xml:space="preserve"> </w:t>
      </w:r>
      <w:r w:rsidRPr="00B004EE">
        <w:rPr>
          <w:rFonts w:ascii="Tahoma" w:hAnsi="Tahoma" w:cs="Tahoma"/>
          <w:sz w:val="20"/>
          <w:szCs w:val="20"/>
        </w:rPr>
        <w:t>que</w:t>
      </w:r>
      <w:r w:rsidR="00DB1635" w:rsidRPr="00B004EE">
        <w:rPr>
          <w:rFonts w:ascii="Tahoma" w:hAnsi="Tahoma" w:cs="Tahoma"/>
          <w:sz w:val="20"/>
          <w:szCs w:val="20"/>
        </w:rPr>
        <w:t xml:space="preserve"> </w:t>
      </w:r>
      <w:r w:rsidRPr="00B004EE">
        <w:rPr>
          <w:rFonts w:ascii="Tahoma" w:hAnsi="Tahoma" w:cs="Tahoma"/>
          <w:sz w:val="20"/>
          <w:szCs w:val="20"/>
        </w:rPr>
        <w:t>nécessaire,</w:t>
      </w:r>
      <w:r w:rsidR="00DB1635" w:rsidRPr="00B004EE">
        <w:rPr>
          <w:rFonts w:ascii="Tahoma" w:hAnsi="Tahoma" w:cs="Tahoma"/>
          <w:sz w:val="20"/>
          <w:szCs w:val="20"/>
        </w:rPr>
        <w:t xml:space="preserve"> </w:t>
      </w:r>
      <w:r w:rsidRPr="00B004EE">
        <w:rPr>
          <w:rFonts w:ascii="Tahoma" w:hAnsi="Tahoma" w:cs="Tahoma"/>
          <w:sz w:val="20"/>
          <w:szCs w:val="20"/>
        </w:rPr>
        <w:t>avec</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eau</w:t>
      </w:r>
      <w:r w:rsidR="00DB1635" w:rsidRPr="00B004EE">
        <w:rPr>
          <w:rFonts w:ascii="Tahoma" w:hAnsi="Tahoma" w:cs="Tahoma"/>
          <w:sz w:val="20"/>
          <w:szCs w:val="20"/>
        </w:rPr>
        <w:t xml:space="preserve"> </w:t>
      </w:r>
      <w:r w:rsidRPr="00B004EE">
        <w:rPr>
          <w:rFonts w:ascii="Tahoma" w:hAnsi="Tahoma" w:cs="Tahoma"/>
          <w:sz w:val="20"/>
          <w:szCs w:val="20"/>
        </w:rPr>
        <w:t>potable</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eau</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mer</w:t>
      </w:r>
      <w:r w:rsidR="00DB1635" w:rsidRPr="00B004EE">
        <w:rPr>
          <w:rFonts w:ascii="Tahoma" w:hAnsi="Tahoma" w:cs="Tahoma"/>
          <w:sz w:val="20"/>
          <w:szCs w:val="20"/>
        </w:rPr>
        <w:t xml:space="preserve"> </w:t>
      </w:r>
      <w:r w:rsidRPr="00B004EE">
        <w:rPr>
          <w:rFonts w:ascii="Tahoma" w:hAnsi="Tahoma" w:cs="Tahoma"/>
          <w:sz w:val="20"/>
          <w:szCs w:val="20"/>
        </w:rPr>
        <w:t>propre.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désinfection</w:t>
      </w:r>
      <w:r w:rsidR="00DB1635" w:rsidRPr="00B004EE">
        <w:rPr>
          <w:rFonts w:ascii="Tahoma" w:hAnsi="Tahoma" w:cs="Tahoma"/>
          <w:sz w:val="20"/>
          <w:szCs w:val="20"/>
        </w:rPr>
        <w:t xml:space="preserve"> </w:t>
      </w:r>
      <w:r w:rsidRPr="00B004EE">
        <w:rPr>
          <w:rFonts w:ascii="Tahoma" w:hAnsi="Tahoma" w:cs="Tahoma"/>
          <w:sz w:val="20"/>
          <w:szCs w:val="20"/>
        </w:rPr>
        <w:t>doit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réalisée</w:t>
      </w:r>
      <w:r w:rsidR="00DB1635" w:rsidRPr="00B004EE">
        <w:rPr>
          <w:rFonts w:ascii="Tahoma" w:hAnsi="Tahoma" w:cs="Tahoma"/>
          <w:sz w:val="20"/>
          <w:szCs w:val="20"/>
        </w:rPr>
        <w:t xml:space="preserve"> </w:t>
      </w:r>
      <w:r w:rsidRPr="00B004EE">
        <w:rPr>
          <w:rFonts w:ascii="Tahoma" w:hAnsi="Tahoma" w:cs="Tahoma"/>
          <w:sz w:val="20"/>
          <w:szCs w:val="20"/>
        </w:rPr>
        <w:t>conformément</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bonnes</w:t>
      </w:r>
      <w:r w:rsidR="00DB1635" w:rsidRPr="00B004EE">
        <w:rPr>
          <w:rFonts w:ascii="Tahoma" w:hAnsi="Tahoma" w:cs="Tahoma"/>
          <w:sz w:val="20"/>
          <w:szCs w:val="20"/>
        </w:rPr>
        <w:t xml:space="preserve"> </w:t>
      </w:r>
      <w:r w:rsidRPr="00B004EE">
        <w:rPr>
          <w:rFonts w:ascii="Tahoma" w:hAnsi="Tahoma" w:cs="Tahoma"/>
          <w:sz w:val="20"/>
          <w:szCs w:val="20"/>
        </w:rPr>
        <w:t>pratiques</w:t>
      </w:r>
      <w:r w:rsidR="00DB1635" w:rsidRPr="00B004EE">
        <w:rPr>
          <w:rFonts w:ascii="Tahoma" w:hAnsi="Tahoma" w:cs="Tahoma"/>
          <w:sz w:val="20"/>
          <w:szCs w:val="20"/>
        </w:rPr>
        <w:t xml:space="preserve"> </w:t>
      </w:r>
      <w:r w:rsidRPr="00B004EE">
        <w:rPr>
          <w:rFonts w:ascii="Tahoma" w:hAnsi="Tahoma" w:cs="Tahoma"/>
          <w:sz w:val="20"/>
          <w:szCs w:val="20"/>
        </w:rPr>
        <w:t>d'hygiène</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vigueur.</w:t>
      </w:r>
    </w:p>
    <w:p w14:paraId="3BCC2725" w14:textId="3C26C328" w:rsidR="002F24E1" w:rsidRPr="00B004EE" w:rsidRDefault="002F24E1" w:rsidP="00B004EE">
      <w:pPr>
        <w:jc w:val="both"/>
        <w:rPr>
          <w:rFonts w:ascii="Tahoma" w:hAnsi="Tahoma" w:cs="Tahoma"/>
          <w:sz w:val="20"/>
          <w:szCs w:val="20"/>
        </w:rPr>
      </w:pPr>
      <w:r w:rsidRPr="00B004EE">
        <w:rPr>
          <w:rFonts w:ascii="Tahoma" w:hAnsi="Tahoma" w:cs="Tahoma"/>
          <w:b/>
          <w:sz w:val="20"/>
          <w:szCs w:val="20"/>
        </w:rPr>
        <w:lastRenderedPageBreak/>
        <w:t>SECTION</w:t>
      </w:r>
      <w:r w:rsidR="00DB1635" w:rsidRPr="00B004EE">
        <w:rPr>
          <w:rFonts w:ascii="Tahoma" w:hAnsi="Tahoma" w:cs="Tahoma"/>
          <w:b/>
          <w:sz w:val="20"/>
          <w:szCs w:val="20"/>
        </w:rPr>
        <w:t xml:space="preserve"> </w:t>
      </w:r>
      <w:r w:rsidRPr="00B004EE">
        <w:rPr>
          <w:rFonts w:ascii="Tahoma" w:hAnsi="Tahoma" w:cs="Tahoma"/>
          <w:b/>
          <w:sz w:val="20"/>
          <w:szCs w:val="20"/>
        </w:rPr>
        <w:t>II</w:t>
      </w:r>
      <w:r w:rsidR="00DB1635" w:rsidRPr="00B004EE">
        <w:rPr>
          <w:rFonts w:ascii="Tahoma" w:hAnsi="Tahoma" w:cs="Tahoma"/>
          <w:b/>
          <w:sz w:val="20"/>
          <w:szCs w:val="20"/>
        </w:rPr>
        <w:t xml:space="preserve"> </w:t>
      </w:r>
      <w:r w:rsidRPr="00B004EE">
        <w:rPr>
          <w:rFonts w:ascii="Tahoma" w:hAnsi="Tahoma" w:cs="Tahoma"/>
          <w:b/>
          <w:sz w:val="20"/>
          <w:szCs w:val="20"/>
        </w:rPr>
        <w:t>:</w:t>
      </w:r>
      <w:r w:rsidR="00DB1635" w:rsidRPr="00B004EE">
        <w:rPr>
          <w:rFonts w:ascii="Tahoma" w:hAnsi="Tahoma" w:cs="Tahoma"/>
          <w:b/>
          <w:sz w:val="20"/>
          <w:szCs w:val="20"/>
        </w:rPr>
        <w:t xml:space="preserve"> </w:t>
      </w:r>
      <w:r w:rsidRPr="00B004EE">
        <w:rPr>
          <w:rFonts w:ascii="Tahoma" w:hAnsi="Tahoma" w:cs="Tahoma"/>
          <w:b/>
          <w:sz w:val="20"/>
          <w:szCs w:val="20"/>
        </w:rPr>
        <w:t>Personnel</w:t>
      </w:r>
      <w:r w:rsidR="00DB1635" w:rsidRPr="00B004EE">
        <w:rPr>
          <w:rFonts w:ascii="Tahoma" w:hAnsi="Tahoma" w:cs="Tahoma"/>
          <w:b/>
          <w:sz w:val="20"/>
          <w:szCs w:val="20"/>
        </w:rPr>
        <w:t xml:space="preserve"> </w:t>
      </w:r>
      <w:r w:rsidRPr="00B004EE">
        <w:rPr>
          <w:rFonts w:ascii="Tahoma" w:hAnsi="Tahoma" w:cs="Tahoma"/>
          <w:b/>
          <w:sz w:val="20"/>
          <w:szCs w:val="20"/>
        </w:rPr>
        <w:t>et</w:t>
      </w:r>
      <w:r w:rsidR="00DB1635" w:rsidRPr="00B004EE">
        <w:rPr>
          <w:rFonts w:ascii="Tahoma" w:hAnsi="Tahoma" w:cs="Tahoma"/>
          <w:b/>
          <w:sz w:val="20"/>
          <w:szCs w:val="20"/>
        </w:rPr>
        <w:t xml:space="preserve"> </w:t>
      </w:r>
      <w:r w:rsidRPr="00B004EE">
        <w:rPr>
          <w:rFonts w:ascii="Tahoma" w:hAnsi="Tahoma" w:cs="Tahoma"/>
          <w:b/>
          <w:sz w:val="20"/>
          <w:szCs w:val="20"/>
        </w:rPr>
        <w:t>manipulation</w:t>
      </w:r>
    </w:p>
    <w:p w14:paraId="22068D49" w14:textId="77777777" w:rsidR="002F24E1" w:rsidRPr="00B004EE" w:rsidRDefault="002F24E1" w:rsidP="00B004EE">
      <w:pPr>
        <w:jc w:val="both"/>
        <w:rPr>
          <w:rFonts w:ascii="Tahoma" w:hAnsi="Tahoma" w:cs="Tahoma"/>
          <w:b/>
          <w:sz w:val="20"/>
          <w:szCs w:val="20"/>
        </w:rPr>
      </w:pPr>
    </w:p>
    <w:p w14:paraId="7066F100" w14:textId="0B3B5870" w:rsidR="002F24E1" w:rsidRPr="00B004EE" w:rsidRDefault="002F24E1" w:rsidP="00B004EE">
      <w:pPr>
        <w:jc w:val="both"/>
        <w:rPr>
          <w:rFonts w:ascii="Tahoma" w:hAnsi="Tahoma" w:cs="Tahoma"/>
          <w:sz w:val="20"/>
          <w:szCs w:val="20"/>
        </w:rPr>
      </w:pPr>
      <w:r w:rsidRPr="00B004EE">
        <w:rPr>
          <w:rFonts w:ascii="Tahoma" w:hAnsi="Tahoma" w:cs="Tahoma"/>
          <w:sz w:val="20"/>
          <w:szCs w:val="20"/>
        </w:rPr>
        <w:t>Article</w:t>
      </w:r>
      <w:r w:rsidR="00DB1635" w:rsidRPr="00B004EE">
        <w:rPr>
          <w:rFonts w:ascii="Tahoma" w:hAnsi="Tahoma" w:cs="Tahoma"/>
          <w:sz w:val="20"/>
          <w:szCs w:val="20"/>
        </w:rPr>
        <w:t xml:space="preserve"> </w:t>
      </w:r>
      <w:r w:rsidRPr="00B004EE">
        <w:rPr>
          <w:rFonts w:ascii="Tahoma" w:hAnsi="Tahoma" w:cs="Tahoma"/>
          <w:sz w:val="20"/>
          <w:szCs w:val="20"/>
        </w:rPr>
        <w:t>7</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plus</w:t>
      </w:r>
      <w:r w:rsidR="00DB1635" w:rsidRPr="00B004EE">
        <w:rPr>
          <w:rFonts w:ascii="Tahoma" w:hAnsi="Tahoma" w:cs="Tahoma"/>
          <w:sz w:val="20"/>
          <w:szCs w:val="20"/>
        </w:rPr>
        <w:t xml:space="preserve"> </w:t>
      </w:r>
      <w:r w:rsidRPr="00B004EE">
        <w:rPr>
          <w:rFonts w:ascii="Tahoma" w:hAnsi="Tahoma" w:cs="Tahoma"/>
          <w:sz w:val="20"/>
          <w:szCs w:val="20"/>
        </w:rPr>
        <w:t>rapidement</w:t>
      </w:r>
      <w:r w:rsidR="00DB1635" w:rsidRPr="00B004EE">
        <w:rPr>
          <w:rFonts w:ascii="Tahoma" w:hAnsi="Tahoma" w:cs="Tahoma"/>
          <w:sz w:val="20"/>
          <w:szCs w:val="20"/>
        </w:rPr>
        <w:t xml:space="preserve"> </w:t>
      </w:r>
      <w:r w:rsidRPr="00B004EE">
        <w:rPr>
          <w:rFonts w:ascii="Tahoma" w:hAnsi="Tahoma" w:cs="Tahoma"/>
          <w:sz w:val="20"/>
          <w:szCs w:val="20"/>
        </w:rPr>
        <w:t>possible</w:t>
      </w:r>
      <w:r w:rsidR="00DB1635" w:rsidRPr="00B004EE">
        <w:rPr>
          <w:rFonts w:ascii="Tahoma" w:hAnsi="Tahoma" w:cs="Tahoma"/>
          <w:sz w:val="20"/>
          <w:szCs w:val="20"/>
        </w:rPr>
        <w:t xml:space="preserve"> </w:t>
      </w:r>
      <w:r w:rsidRPr="00B004EE">
        <w:rPr>
          <w:rFonts w:ascii="Tahoma" w:hAnsi="Tahoma" w:cs="Tahoma"/>
          <w:sz w:val="20"/>
          <w:szCs w:val="20"/>
        </w:rPr>
        <w:t>après</w:t>
      </w:r>
      <w:r w:rsidR="00DB1635" w:rsidRPr="00B004EE">
        <w:rPr>
          <w:rFonts w:ascii="Tahoma" w:hAnsi="Tahoma" w:cs="Tahoma"/>
          <w:sz w:val="20"/>
          <w:szCs w:val="20"/>
        </w:rPr>
        <w:t xml:space="preserve"> </w:t>
      </w:r>
      <w:r w:rsidRPr="00B004EE">
        <w:rPr>
          <w:rFonts w:ascii="Tahoma" w:hAnsi="Tahoma" w:cs="Tahoma"/>
          <w:sz w:val="20"/>
          <w:szCs w:val="20"/>
        </w:rPr>
        <w:t>leur</w:t>
      </w:r>
      <w:r w:rsidR="00DB1635" w:rsidRPr="00B004EE">
        <w:rPr>
          <w:rFonts w:ascii="Tahoma" w:hAnsi="Tahoma" w:cs="Tahoma"/>
          <w:sz w:val="20"/>
          <w:szCs w:val="20"/>
        </w:rPr>
        <w:t xml:space="preserve"> </w:t>
      </w:r>
      <w:r w:rsidRPr="00B004EE">
        <w:rPr>
          <w:rFonts w:ascii="Tahoma" w:hAnsi="Tahoma" w:cs="Tahoma"/>
          <w:sz w:val="20"/>
          <w:szCs w:val="20"/>
        </w:rPr>
        <w:t>mise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bord,</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doivent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soustraits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l'action</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soleil</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toute</w:t>
      </w:r>
      <w:r w:rsidR="00DB1635" w:rsidRPr="00B004EE">
        <w:rPr>
          <w:rFonts w:ascii="Tahoma" w:hAnsi="Tahoma" w:cs="Tahoma"/>
          <w:sz w:val="20"/>
          <w:szCs w:val="20"/>
        </w:rPr>
        <w:t xml:space="preserve"> </w:t>
      </w:r>
      <w:r w:rsidRPr="00B004EE">
        <w:rPr>
          <w:rFonts w:ascii="Tahoma" w:hAnsi="Tahoma" w:cs="Tahoma"/>
          <w:sz w:val="20"/>
          <w:szCs w:val="20"/>
        </w:rPr>
        <w:t>autre</w:t>
      </w:r>
      <w:r w:rsidR="00DB1635" w:rsidRPr="00B004EE">
        <w:rPr>
          <w:rFonts w:ascii="Tahoma" w:hAnsi="Tahoma" w:cs="Tahoma"/>
          <w:sz w:val="20"/>
          <w:szCs w:val="20"/>
        </w:rPr>
        <w:t xml:space="preserve"> </w:t>
      </w:r>
      <w:r w:rsidRPr="00B004EE">
        <w:rPr>
          <w:rFonts w:ascii="Tahoma" w:hAnsi="Tahoma" w:cs="Tahoma"/>
          <w:sz w:val="20"/>
          <w:szCs w:val="20"/>
        </w:rPr>
        <w:t>source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chaleur</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souillure,</w:t>
      </w:r>
      <w:r w:rsidR="00DB1635" w:rsidRPr="00B004EE">
        <w:rPr>
          <w:rFonts w:ascii="Tahoma" w:hAnsi="Tahoma" w:cs="Tahoma"/>
          <w:sz w:val="20"/>
          <w:szCs w:val="20"/>
        </w:rPr>
        <w:t xml:space="preserve"> </w:t>
      </w:r>
      <w:r w:rsidRPr="00B004EE">
        <w:rPr>
          <w:rFonts w:ascii="Tahoma" w:hAnsi="Tahoma" w:cs="Tahoma"/>
          <w:sz w:val="20"/>
          <w:szCs w:val="20"/>
        </w:rPr>
        <w:t>manipulés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conservés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façon</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éviter</w:t>
      </w:r>
      <w:r w:rsidR="00DB1635" w:rsidRPr="00B004EE">
        <w:rPr>
          <w:rFonts w:ascii="Tahoma" w:hAnsi="Tahoma" w:cs="Tahoma"/>
          <w:sz w:val="20"/>
          <w:szCs w:val="20"/>
        </w:rPr>
        <w:t xml:space="preserve"> </w:t>
      </w:r>
      <w:r w:rsidRPr="00B004EE">
        <w:rPr>
          <w:rFonts w:ascii="Tahoma" w:hAnsi="Tahoma" w:cs="Tahoma"/>
          <w:sz w:val="20"/>
          <w:szCs w:val="20"/>
        </w:rPr>
        <w:t>qu'ils</w:t>
      </w:r>
      <w:r w:rsidR="00DB1635" w:rsidRPr="00B004EE">
        <w:rPr>
          <w:rFonts w:ascii="Tahoma" w:hAnsi="Tahoma" w:cs="Tahoma"/>
          <w:sz w:val="20"/>
          <w:szCs w:val="20"/>
        </w:rPr>
        <w:t xml:space="preserve"> </w:t>
      </w:r>
      <w:r w:rsidRPr="00B004EE">
        <w:rPr>
          <w:rFonts w:ascii="Tahoma" w:hAnsi="Tahoma" w:cs="Tahoma"/>
          <w:sz w:val="20"/>
          <w:szCs w:val="20"/>
        </w:rPr>
        <w:t>soient</w:t>
      </w:r>
      <w:r w:rsidR="00DB1635" w:rsidRPr="00B004EE">
        <w:rPr>
          <w:rFonts w:ascii="Tahoma" w:hAnsi="Tahoma" w:cs="Tahoma"/>
          <w:sz w:val="20"/>
          <w:szCs w:val="20"/>
        </w:rPr>
        <w:t xml:space="preserve"> </w:t>
      </w:r>
      <w:r w:rsidRPr="00B004EE">
        <w:rPr>
          <w:rFonts w:ascii="Tahoma" w:hAnsi="Tahoma" w:cs="Tahoma"/>
          <w:sz w:val="20"/>
          <w:szCs w:val="20"/>
        </w:rPr>
        <w:t>meurtris</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contaminés.</w:t>
      </w:r>
      <w:r w:rsidR="00DB1635" w:rsidRPr="00B004EE">
        <w:rPr>
          <w:rFonts w:ascii="Tahoma" w:hAnsi="Tahoma" w:cs="Tahoma"/>
          <w:sz w:val="20"/>
          <w:szCs w:val="20"/>
        </w:rPr>
        <w:t xml:space="preserve"> </w:t>
      </w:r>
      <w:r w:rsidRPr="00B004EE">
        <w:rPr>
          <w:rFonts w:ascii="Tahoma" w:hAnsi="Tahoma" w:cs="Tahoma"/>
          <w:sz w:val="20"/>
          <w:szCs w:val="20"/>
        </w:rPr>
        <w:t>Peut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tolérée</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services</w:t>
      </w:r>
      <w:r w:rsidR="00DB1635" w:rsidRPr="00B004EE">
        <w:rPr>
          <w:rFonts w:ascii="Tahoma" w:hAnsi="Tahoma" w:cs="Tahoma"/>
          <w:sz w:val="20"/>
          <w:szCs w:val="20"/>
        </w:rPr>
        <w:t xml:space="preserve"> </w:t>
      </w:r>
      <w:r w:rsidRPr="00B004EE">
        <w:rPr>
          <w:rFonts w:ascii="Tahoma" w:hAnsi="Tahoma" w:cs="Tahoma"/>
          <w:sz w:val="20"/>
          <w:szCs w:val="20"/>
        </w:rPr>
        <w:t>d'inspection,</w:t>
      </w:r>
      <w:r w:rsidR="00DB1635" w:rsidRPr="00B004EE">
        <w:rPr>
          <w:rFonts w:ascii="Tahoma" w:hAnsi="Tahoma" w:cs="Tahoma"/>
          <w:sz w:val="20"/>
          <w:szCs w:val="20"/>
        </w:rPr>
        <w:t xml:space="preserve"> </w:t>
      </w:r>
      <w:r w:rsidRPr="00B004EE">
        <w:rPr>
          <w:rFonts w:ascii="Tahoma" w:hAnsi="Tahoma" w:cs="Tahoma"/>
          <w:sz w:val="20"/>
          <w:szCs w:val="20"/>
        </w:rPr>
        <w:t>l'utilisation</w:t>
      </w:r>
      <w:r w:rsidR="00DB1635" w:rsidRPr="00B004EE">
        <w:rPr>
          <w:rFonts w:ascii="Tahoma" w:hAnsi="Tahoma" w:cs="Tahoma"/>
          <w:sz w:val="20"/>
          <w:szCs w:val="20"/>
        </w:rPr>
        <w:t xml:space="preserve"> </w:t>
      </w:r>
      <w:r w:rsidRPr="00B004EE">
        <w:rPr>
          <w:rFonts w:ascii="Tahoma" w:hAnsi="Tahoma" w:cs="Tahoma"/>
          <w:sz w:val="20"/>
          <w:szCs w:val="20"/>
        </w:rPr>
        <w:t>d'instruments</w:t>
      </w:r>
      <w:r w:rsidR="00DB1635" w:rsidRPr="00B004EE">
        <w:rPr>
          <w:rFonts w:ascii="Tahoma" w:hAnsi="Tahoma" w:cs="Tahoma"/>
          <w:sz w:val="20"/>
          <w:szCs w:val="20"/>
        </w:rPr>
        <w:t xml:space="preserve"> </w:t>
      </w:r>
      <w:r w:rsidRPr="00B004EE">
        <w:rPr>
          <w:rFonts w:ascii="Tahoma" w:hAnsi="Tahoma" w:cs="Tahoma"/>
          <w:sz w:val="20"/>
          <w:szCs w:val="20"/>
        </w:rPr>
        <w:t>pointus</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déplacement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poissons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grande</w:t>
      </w:r>
      <w:r w:rsidR="00DB1635" w:rsidRPr="00B004EE">
        <w:rPr>
          <w:rFonts w:ascii="Tahoma" w:hAnsi="Tahoma" w:cs="Tahoma"/>
          <w:sz w:val="20"/>
          <w:szCs w:val="20"/>
        </w:rPr>
        <w:t xml:space="preserve"> </w:t>
      </w:r>
      <w:r w:rsidRPr="00B004EE">
        <w:rPr>
          <w:rFonts w:ascii="Tahoma" w:hAnsi="Tahoma" w:cs="Tahoma"/>
          <w:sz w:val="20"/>
          <w:szCs w:val="20"/>
        </w:rPr>
        <w:t>taille,</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ceux</w:t>
      </w:r>
      <w:r w:rsidR="00DB1635" w:rsidRPr="00B004EE">
        <w:rPr>
          <w:rFonts w:ascii="Tahoma" w:hAnsi="Tahoma" w:cs="Tahoma"/>
          <w:sz w:val="20"/>
          <w:szCs w:val="20"/>
        </w:rPr>
        <w:t xml:space="preserve"> </w:t>
      </w:r>
      <w:r w:rsidRPr="00B004EE">
        <w:rPr>
          <w:rFonts w:ascii="Tahoma" w:hAnsi="Tahoma" w:cs="Tahoma"/>
          <w:sz w:val="20"/>
          <w:szCs w:val="20"/>
        </w:rPr>
        <w:t>risquant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blesser</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manipulateur,</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condition</w:t>
      </w:r>
      <w:r w:rsidR="00DB1635" w:rsidRPr="00B004EE">
        <w:rPr>
          <w:rFonts w:ascii="Tahoma" w:hAnsi="Tahoma" w:cs="Tahoma"/>
          <w:sz w:val="20"/>
          <w:szCs w:val="20"/>
        </w:rPr>
        <w:t xml:space="preserve"> </w:t>
      </w:r>
      <w:r w:rsidRPr="00B004EE">
        <w:rPr>
          <w:rFonts w:ascii="Tahoma" w:hAnsi="Tahoma" w:cs="Tahoma"/>
          <w:sz w:val="20"/>
          <w:szCs w:val="20"/>
        </w:rPr>
        <w:t>que</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chairs</w:t>
      </w:r>
      <w:r w:rsidR="00DB1635" w:rsidRPr="00B004EE">
        <w:rPr>
          <w:rFonts w:ascii="Tahoma" w:hAnsi="Tahoma" w:cs="Tahoma"/>
          <w:sz w:val="20"/>
          <w:szCs w:val="20"/>
        </w:rPr>
        <w:t xml:space="preserve"> </w:t>
      </w:r>
      <w:r w:rsidRPr="00B004EE">
        <w:rPr>
          <w:rFonts w:ascii="Tahoma" w:hAnsi="Tahoma" w:cs="Tahoma"/>
          <w:sz w:val="20"/>
          <w:szCs w:val="20"/>
        </w:rPr>
        <w:t>n'en</w:t>
      </w:r>
      <w:r w:rsidR="00DB1635" w:rsidRPr="00B004EE">
        <w:rPr>
          <w:rFonts w:ascii="Tahoma" w:hAnsi="Tahoma" w:cs="Tahoma"/>
          <w:sz w:val="20"/>
          <w:szCs w:val="20"/>
        </w:rPr>
        <w:t xml:space="preserve"> </w:t>
      </w:r>
      <w:r w:rsidRPr="00B004EE">
        <w:rPr>
          <w:rFonts w:ascii="Tahoma" w:hAnsi="Tahoma" w:cs="Tahoma"/>
          <w:sz w:val="20"/>
          <w:szCs w:val="20"/>
        </w:rPr>
        <w:t>soient</w:t>
      </w:r>
      <w:r w:rsidR="00DB1635" w:rsidRPr="00B004EE">
        <w:rPr>
          <w:rFonts w:ascii="Tahoma" w:hAnsi="Tahoma" w:cs="Tahoma"/>
          <w:sz w:val="20"/>
          <w:szCs w:val="20"/>
        </w:rPr>
        <w:t xml:space="preserve"> </w:t>
      </w:r>
      <w:r w:rsidRPr="00B004EE">
        <w:rPr>
          <w:rFonts w:ascii="Tahoma" w:hAnsi="Tahoma" w:cs="Tahoma"/>
          <w:sz w:val="20"/>
          <w:szCs w:val="20"/>
        </w:rPr>
        <w:t>pas</w:t>
      </w:r>
      <w:r w:rsidR="00DB1635" w:rsidRPr="00B004EE">
        <w:rPr>
          <w:rFonts w:ascii="Tahoma" w:hAnsi="Tahoma" w:cs="Tahoma"/>
          <w:sz w:val="20"/>
          <w:szCs w:val="20"/>
        </w:rPr>
        <w:t xml:space="preserve"> </w:t>
      </w:r>
      <w:r w:rsidRPr="00B004EE">
        <w:rPr>
          <w:rFonts w:ascii="Tahoma" w:hAnsi="Tahoma" w:cs="Tahoma"/>
          <w:sz w:val="20"/>
          <w:szCs w:val="20"/>
        </w:rPr>
        <w:t>détériorées.</w:t>
      </w:r>
    </w:p>
    <w:p w14:paraId="383871C8" w14:textId="77777777" w:rsidR="002F24E1" w:rsidRPr="00B004EE" w:rsidRDefault="002F24E1" w:rsidP="00B004EE">
      <w:pPr>
        <w:jc w:val="both"/>
        <w:rPr>
          <w:rFonts w:ascii="Tahoma" w:hAnsi="Tahoma" w:cs="Tahoma"/>
          <w:sz w:val="20"/>
          <w:szCs w:val="20"/>
        </w:rPr>
      </w:pPr>
    </w:p>
    <w:p w14:paraId="6871C4F8" w14:textId="2255BA18" w:rsidR="002F24E1" w:rsidRPr="00B004EE" w:rsidRDefault="002F24E1" w:rsidP="00B004EE">
      <w:pPr>
        <w:jc w:val="both"/>
        <w:rPr>
          <w:rFonts w:ascii="Tahoma" w:hAnsi="Tahoma" w:cs="Tahoma"/>
          <w:sz w:val="20"/>
          <w:szCs w:val="20"/>
        </w:rPr>
      </w:pPr>
      <w:r w:rsidRPr="00B004EE">
        <w:rPr>
          <w:rFonts w:ascii="Tahoma" w:hAnsi="Tahoma" w:cs="Tahoma"/>
          <w:sz w:val="20"/>
          <w:szCs w:val="20"/>
        </w:rPr>
        <w:t>Lors</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lavage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l'eau</w:t>
      </w:r>
      <w:r w:rsidR="00DB1635" w:rsidRPr="00B004EE">
        <w:rPr>
          <w:rFonts w:ascii="Tahoma" w:hAnsi="Tahoma" w:cs="Tahoma"/>
          <w:sz w:val="20"/>
          <w:szCs w:val="20"/>
        </w:rPr>
        <w:t xml:space="preserve"> </w:t>
      </w:r>
      <w:r w:rsidRPr="00B004EE">
        <w:rPr>
          <w:rFonts w:ascii="Tahoma" w:hAnsi="Tahoma" w:cs="Tahoma"/>
          <w:sz w:val="20"/>
          <w:szCs w:val="20"/>
        </w:rPr>
        <w:t>douce</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l'eau</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mer</w:t>
      </w:r>
      <w:r w:rsidR="00DB1635" w:rsidRPr="00B004EE">
        <w:rPr>
          <w:rFonts w:ascii="Tahoma" w:hAnsi="Tahoma" w:cs="Tahoma"/>
          <w:sz w:val="20"/>
          <w:szCs w:val="20"/>
        </w:rPr>
        <w:t xml:space="preserve"> </w:t>
      </w:r>
      <w:r w:rsidRPr="00B004EE">
        <w:rPr>
          <w:rFonts w:ascii="Tahoma" w:hAnsi="Tahoma" w:cs="Tahoma"/>
          <w:sz w:val="20"/>
          <w:szCs w:val="20"/>
        </w:rPr>
        <w:t>utilisée</w:t>
      </w:r>
      <w:r w:rsidR="00DB1635" w:rsidRPr="00B004EE">
        <w:rPr>
          <w:rFonts w:ascii="Tahoma" w:hAnsi="Tahoma" w:cs="Tahoma"/>
          <w:sz w:val="20"/>
          <w:szCs w:val="20"/>
        </w:rPr>
        <w:t xml:space="preserve"> </w:t>
      </w:r>
      <w:r w:rsidRPr="00B004EE">
        <w:rPr>
          <w:rFonts w:ascii="Tahoma" w:hAnsi="Tahoma" w:cs="Tahoma"/>
          <w:sz w:val="20"/>
          <w:szCs w:val="20"/>
        </w:rPr>
        <w:t>doit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qualité</w:t>
      </w:r>
      <w:r w:rsidR="00DB1635" w:rsidRPr="00B004EE">
        <w:rPr>
          <w:rFonts w:ascii="Tahoma" w:hAnsi="Tahoma" w:cs="Tahoma"/>
          <w:sz w:val="20"/>
          <w:szCs w:val="20"/>
        </w:rPr>
        <w:t xml:space="preserve"> </w:t>
      </w:r>
      <w:r w:rsidRPr="00B004EE">
        <w:rPr>
          <w:rFonts w:ascii="Tahoma" w:hAnsi="Tahoma" w:cs="Tahoma"/>
          <w:sz w:val="20"/>
          <w:szCs w:val="20"/>
        </w:rPr>
        <w:t>potable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ne</w:t>
      </w:r>
      <w:r w:rsidR="00DB1635" w:rsidRPr="00B004EE">
        <w:rPr>
          <w:rFonts w:ascii="Tahoma" w:hAnsi="Tahoma" w:cs="Tahoma"/>
          <w:sz w:val="20"/>
          <w:szCs w:val="20"/>
        </w:rPr>
        <w:t xml:space="preserve"> </w:t>
      </w:r>
      <w:r w:rsidRPr="00B004EE">
        <w:rPr>
          <w:rFonts w:ascii="Tahoma" w:hAnsi="Tahoma" w:cs="Tahoma"/>
          <w:sz w:val="20"/>
          <w:szCs w:val="20"/>
        </w:rPr>
        <w:t>doit</w:t>
      </w:r>
      <w:r w:rsidR="00DB1635" w:rsidRPr="00B004EE">
        <w:rPr>
          <w:rFonts w:ascii="Tahoma" w:hAnsi="Tahoma" w:cs="Tahoma"/>
          <w:sz w:val="20"/>
          <w:szCs w:val="20"/>
        </w:rPr>
        <w:t xml:space="preserve"> </w:t>
      </w:r>
      <w:r w:rsidRPr="00B004EE">
        <w:rPr>
          <w:rFonts w:ascii="Tahoma" w:hAnsi="Tahoma" w:cs="Tahoma"/>
          <w:sz w:val="20"/>
          <w:szCs w:val="20"/>
        </w:rPr>
        <w:t>pas</w:t>
      </w:r>
      <w:r w:rsidR="00DB1635" w:rsidRPr="00B004EE">
        <w:rPr>
          <w:rFonts w:ascii="Tahoma" w:hAnsi="Tahoma" w:cs="Tahoma"/>
          <w:sz w:val="20"/>
          <w:szCs w:val="20"/>
        </w:rPr>
        <w:t xml:space="preserve"> </w:t>
      </w:r>
      <w:r w:rsidRPr="00B004EE">
        <w:rPr>
          <w:rFonts w:ascii="Tahoma" w:hAnsi="Tahoma" w:cs="Tahoma"/>
          <w:sz w:val="20"/>
          <w:szCs w:val="20"/>
        </w:rPr>
        <w:t>pouvoir</w:t>
      </w:r>
      <w:r w:rsidR="00DB1635" w:rsidRPr="00B004EE">
        <w:rPr>
          <w:rFonts w:ascii="Tahoma" w:hAnsi="Tahoma" w:cs="Tahoma"/>
          <w:sz w:val="20"/>
          <w:szCs w:val="20"/>
        </w:rPr>
        <w:t xml:space="preserve"> </w:t>
      </w:r>
      <w:r w:rsidRPr="00B004EE">
        <w:rPr>
          <w:rFonts w:ascii="Tahoma" w:hAnsi="Tahoma" w:cs="Tahoma"/>
          <w:sz w:val="20"/>
          <w:szCs w:val="20"/>
        </w:rPr>
        <w:t>nuire</w:t>
      </w:r>
      <w:r w:rsidR="00DB1635" w:rsidRPr="00B004EE">
        <w:rPr>
          <w:rFonts w:ascii="Tahoma" w:hAnsi="Tahoma" w:cs="Tahoma"/>
          <w:sz w:val="20"/>
          <w:szCs w:val="20"/>
        </w:rPr>
        <w:t xml:space="preserve"> </w:t>
      </w:r>
      <w:r w:rsidRPr="00B004EE">
        <w:rPr>
          <w:rFonts w:ascii="Tahoma" w:hAnsi="Tahoma" w:cs="Tahoma"/>
          <w:sz w:val="20"/>
          <w:szCs w:val="20"/>
        </w:rPr>
        <w:t>ni</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leur</w:t>
      </w:r>
      <w:r w:rsidR="00DB1635" w:rsidRPr="00B004EE">
        <w:rPr>
          <w:rFonts w:ascii="Tahoma" w:hAnsi="Tahoma" w:cs="Tahoma"/>
          <w:sz w:val="20"/>
          <w:szCs w:val="20"/>
        </w:rPr>
        <w:t xml:space="preserve"> </w:t>
      </w:r>
      <w:r w:rsidRPr="00B004EE">
        <w:rPr>
          <w:rFonts w:ascii="Tahoma" w:hAnsi="Tahoma" w:cs="Tahoma"/>
          <w:sz w:val="20"/>
          <w:szCs w:val="20"/>
        </w:rPr>
        <w:t>qualité</w:t>
      </w:r>
      <w:r w:rsidR="00DB1635" w:rsidRPr="00B004EE">
        <w:rPr>
          <w:rFonts w:ascii="Tahoma" w:hAnsi="Tahoma" w:cs="Tahoma"/>
          <w:sz w:val="20"/>
          <w:szCs w:val="20"/>
        </w:rPr>
        <w:t xml:space="preserve"> </w:t>
      </w:r>
      <w:r w:rsidRPr="00B004EE">
        <w:rPr>
          <w:rFonts w:ascii="Tahoma" w:hAnsi="Tahoma" w:cs="Tahoma"/>
          <w:sz w:val="20"/>
          <w:szCs w:val="20"/>
        </w:rPr>
        <w:t>ni</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leur</w:t>
      </w:r>
      <w:r w:rsidR="00DB1635" w:rsidRPr="00B004EE">
        <w:rPr>
          <w:rFonts w:ascii="Tahoma" w:hAnsi="Tahoma" w:cs="Tahoma"/>
          <w:sz w:val="20"/>
          <w:szCs w:val="20"/>
        </w:rPr>
        <w:t xml:space="preserve"> </w:t>
      </w:r>
      <w:r w:rsidRPr="00B004EE">
        <w:rPr>
          <w:rFonts w:ascii="Tahoma" w:hAnsi="Tahoma" w:cs="Tahoma"/>
          <w:sz w:val="20"/>
          <w:szCs w:val="20"/>
        </w:rPr>
        <w:t>salubrité.</w:t>
      </w:r>
    </w:p>
    <w:p w14:paraId="6F9E4A96" w14:textId="77777777" w:rsidR="002F24E1" w:rsidRPr="00B004EE" w:rsidRDefault="002F24E1" w:rsidP="00B004EE">
      <w:pPr>
        <w:jc w:val="both"/>
        <w:rPr>
          <w:rFonts w:ascii="Tahoma" w:hAnsi="Tahoma" w:cs="Tahoma"/>
          <w:sz w:val="20"/>
          <w:szCs w:val="20"/>
        </w:rPr>
      </w:pPr>
    </w:p>
    <w:p w14:paraId="26A05D4C" w14:textId="2355F766" w:rsidR="002F24E1" w:rsidRPr="00B004EE" w:rsidRDefault="002F24E1" w:rsidP="00B004EE">
      <w:pPr>
        <w:jc w:val="both"/>
        <w:rPr>
          <w:rFonts w:ascii="Tahoma" w:hAnsi="Tahoma" w:cs="Tahoma"/>
          <w:sz w:val="20"/>
          <w:szCs w:val="20"/>
        </w:rPr>
      </w:pPr>
      <w:r w:rsidRPr="00B004EE">
        <w:rPr>
          <w:rFonts w:ascii="Tahoma" w:hAnsi="Tahoma" w:cs="Tahoma"/>
          <w:sz w:val="20"/>
          <w:szCs w:val="20"/>
        </w:rPr>
        <w:t>Article</w:t>
      </w:r>
      <w:r w:rsidR="00DB1635" w:rsidRPr="00B004EE">
        <w:rPr>
          <w:rFonts w:ascii="Tahoma" w:hAnsi="Tahoma" w:cs="Tahoma"/>
          <w:sz w:val="20"/>
          <w:szCs w:val="20"/>
        </w:rPr>
        <w:t xml:space="preserve"> </w:t>
      </w:r>
      <w:r w:rsidRPr="00B004EE">
        <w:rPr>
          <w:rFonts w:ascii="Tahoma" w:hAnsi="Tahoma" w:cs="Tahoma"/>
          <w:sz w:val="20"/>
          <w:szCs w:val="20"/>
        </w:rPr>
        <w:t>8</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doivent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soumis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l'action</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froid</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plus</w:t>
      </w:r>
      <w:r w:rsidR="00DB1635" w:rsidRPr="00B004EE">
        <w:rPr>
          <w:rFonts w:ascii="Tahoma" w:hAnsi="Tahoma" w:cs="Tahoma"/>
          <w:sz w:val="20"/>
          <w:szCs w:val="20"/>
        </w:rPr>
        <w:t xml:space="preserve"> </w:t>
      </w:r>
      <w:r w:rsidRPr="00B004EE">
        <w:rPr>
          <w:rFonts w:ascii="Tahoma" w:hAnsi="Tahoma" w:cs="Tahoma"/>
          <w:sz w:val="20"/>
          <w:szCs w:val="20"/>
        </w:rPr>
        <w:t>rapidement</w:t>
      </w:r>
      <w:r w:rsidR="00DB1635" w:rsidRPr="00B004EE">
        <w:rPr>
          <w:rFonts w:ascii="Tahoma" w:hAnsi="Tahoma" w:cs="Tahoma"/>
          <w:sz w:val="20"/>
          <w:szCs w:val="20"/>
        </w:rPr>
        <w:t xml:space="preserve"> </w:t>
      </w:r>
      <w:r w:rsidRPr="00B004EE">
        <w:rPr>
          <w:rFonts w:ascii="Tahoma" w:hAnsi="Tahoma" w:cs="Tahoma"/>
          <w:sz w:val="20"/>
          <w:szCs w:val="20"/>
        </w:rPr>
        <w:t>possible</w:t>
      </w:r>
      <w:r w:rsidR="00DB1635" w:rsidRPr="00B004EE">
        <w:rPr>
          <w:rFonts w:ascii="Tahoma" w:hAnsi="Tahoma" w:cs="Tahoma"/>
          <w:sz w:val="20"/>
          <w:szCs w:val="20"/>
        </w:rPr>
        <w:t xml:space="preserve"> </w:t>
      </w:r>
      <w:r w:rsidRPr="00B004EE">
        <w:rPr>
          <w:rFonts w:ascii="Tahoma" w:hAnsi="Tahoma" w:cs="Tahoma"/>
          <w:sz w:val="20"/>
          <w:szCs w:val="20"/>
        </w:rPr>
        <w:t>après</w:t>
      </w:r>
      <w:r w:rsidR="00DB1635" w:rsidRPr="00B004EE">
        <w:rPr>
          <w:rFonts w:ascii="Tahoma" w:hAnsi="Tahoma" w:cs="Tahoma"/>
          <w:sz w:val="20"/>
          <w:szCs w:val="20"/>
        </w:rPr>
        <w:t xml:space="preserve"> </w:t>
      </w:r>
      <w:r w:rsidRPr="00B004EE">
        <w:rPr>
          <w:rFonts w:ascii="Tahoma" w:hAnsi="Tahoma" w:cs="Tahoma"/>
          <w:sz w:val="20"/>
          <w:szCs w:val="20"/>
        </w:rPr>
        <w:t>leur</w:t>
      </w:r>
      <w:r w:rsidR="00DB1635" w:rsidRPr="00B004EE">
        <w:rPr>
          <w:rFonts w:ascii="Tahoma" w:hAnsi="Tahoma" w:cs="Tahoma"/>
          <w:sz w:val="20"/>
          <w:szCs w:val="20"/>
        </w:rPr>
        <w:t xml:space="preserve"> </w:t>
      </w:r>
      <w:r w:rsidRPr="00B004EE">
        <w:rPr>
          <w:rFonts w:ascii="Tahoma" w:hAnsi="Tahoma" w:cs="Tahoma"/>
          <w:sz w:val="20"/>
          <w:szCs w:val="20"/>
        </w:rPr>
        <w:t>mise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bord.</w:t>
      </w:r>
      <w:r w:rsidR="00DB1635" w:rsidRPr="00B004EE">
        <w:rPr>
          <w:rFonts w:ascii="Tahoma" w:hAnsi="Tahoma" w:cs="Tahoma"/>
          <w:sz w:val="20"/>
          <w:szCs w:val="20"/>
        </w:rPr>
        <w:t xml:space="preserve"> </w:t>
      </w:r>
      <w:r w:rsidRPr="00B004EE">
        <w:rPr>
          <w:rFonts w:ascii="Tahoma" w:hAnsi="Tahoma" w:cs="Tahoma"/>
          <w:sz w:val="20"/>
          <w:szCs w:val="20"/>
        </w:rPr>
        <w:t>Toutefois,</w:t>
      </w:r>
      <w:r w:rsidR="00DB1635" w:rsidRPr="00B004EE">
        <w:rPr>
          <w:rFonts w:ascii="Tahoma" w:hAnsi="Tahoma" w:cs="Tahoma"/>
          <w:sz w:val="20"/>
          <w:szCs w:val="20"/>
        </w:rPr>
        <w:t xml:space="preserve"> </w:t>
      </w:r>
      <w:r w:rsidRPr="00B004EE">
        <w:rPr>
          <w:rFonts w:ascii="Tahoma" w:hAnsi="Tahoma" w:cs="Tahoma"/>
          <w:sz w:val="20"/>
          <w:szCs w:val="20"/>
        </w:rPr>
        <w:t>cette</w:t>
      </w:r>
      <w:r w:rsidR="00DB1635" w:rsidRPr="00B004EE">
        <w:rPr>
          <w:rFonts w:ascii="Tahoma" w:hAnsi="Tahoma" w:cs="Tahoma"/>
          <w:sz w:val="20"/>
          <w:szCs w:val="20"/>
        </w:rPr>
        <w:t xml:space="preserve"> </w:t>
      </w:r>
      <w:r w:rsidRPr="00B004EE">
        <w:rPr>
          <w:rFonts w:ascii="Tahoma" w:hAnsi="Tahoma" w:cs="Tahoma"/>
          <w:sz w:val="20"/>
          <w:szCs w:val="20"/>
        </w:rPr>
        <w:t>disposition</w:t>
      </w:r>
      <w:r w:rsidR="00DB1635" w:rsidRPr="00B004EE">
        <w:rPr>
          <w:rFonts w:ascii="Tahoma" w:hAnsi="Tahoma" w:cs="Tahoma"/>
          <w:sz w:val="20"/>
          <w:szCs w:val="20"/>
        </w:rPr>
        <w:t xml:space="preserve"> </w:t>
      </w:r>
      <w:r w:rsidRPr="00B004EE">
        <w:rPr>
          <w:rFonts w:ascii="Tahoma" w:hAnsi="Tahoma" w:cs="Tahoma"/>
          <w:sz w:val="20"/>
          <w:szCs w:val="20"/>
        </w:rPr>
        <w:t>ne</w:t>
      </w:r>
      <w:r w:rsidR="00DB1635" w:rsidRPr="00B004EE">
        <w:rPr>
          <w:rFonts w:ascii="Tahoma" w:hAnsi="Tahoma" w:cs="Tahoma"/>
          <w:sz w:val="20"/>
          <w:szCs w:val="20"/>
        </w:rPr>
        <w:t xml:space="preserve"> </w:t>
      </w:r>
      <w:r w:rsidRPr="00B004EE">
        <w:rPr>
          <w:rFonts w:ascii="Tahoma" w:hAnsi="Tahoma" w:cs="Tahoma"/>
          <w:sz w:val="20"/>
          <w:szCs w:val="20"/>
        </w:rPr>
        <w:t>s'applique</w:t>
      </w:r>
      <w:r w:rsidR="00DB1635" w:rsidRPr="00B004EE">
        <w:rPr>
          <w:rFonts w:ascii="Tahoma" w:hAnsi="Tahoma" w:cs="Tahoma"/>
          <w:sz w:val="20"/>
          <w:szCs w:val="20"/>
        </w:rPr>
        <w:t xml:space="preserve"> </w:t>
      </w:r>
      <w:r w:rsidRPr="00B004EE">
        <w:rPr>
          <w:rFonts w:ascii="Tahoma" w:hAnsi="Tahoma" w:cs="Tahoma"/>
          <w:sz w:val="20"/>
          <w:szCs w:val="20"/>
        </w:rPr>
        <w:t>pas</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embarcations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bord</w:t>
      </w:r>
      <w:r w:rsidR="00DB1635" w:rsidRPr="00B004EE">
        <w:rPr>
          <w:rFonts w:ascii="Tahoma" w:hAnsi="Tahoma" w:cs="Tahoma"/>
          <w:sz w:val="20"/>
          <w:szCs w:val="20"/>
        </w:rPr>
        <w:t xml:space="preserve"> </w:t>
      </w:r>
      <w:r w:rsidRPr="00B004EE">
        <w:rPr>
          <w:rFonts w:ascii="Tahoma" w:hAnsi="Tahoma" w:cs="Tahoma"/>
          <w:sz w:val="20"/>
          <w:szCs w:val="20"/>
        </w:rPr>
        <w:t>desquelles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maintenus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l'état.</w:t>
      </w:r>
    </w:p>
    <w:p w14:paraId="7127E960" w14:textId="77777777" w:rsidR="002F24E1" w:rsidRPr="00B004EE" w:rsidRDefault="002F24E1" w:rsidP="00B004EE">
      <w:pPr>
        <w:jc w:val="both"/>
        <w:rPr>
          <w:rFonts w:ascii="Tahoma" w:hAnsi="Tahoma" w:cs="Tahoma"/>
          <w:sz w:val="20"/>
          <w:szCs w:val="20"/>
        </w:rPr>
      </w:pPr>
    </w:p>
    <w:p w14:paraId="2330EDA1" w14:textId="34B4237B" w:rsidR="002F24E1" w:rsidRPr="00B004EE" w:rsidRDefault="002F24E1" w:rsidP="00B004EE">
      <w:pPr>
        <w:jc w:val="both"/>
        <w:rPr>
          <w:rFonts w:ascii="Tahoma" w:hAnsi="Tahoma" w:cs="Tahoma"/>
          <w:sz w:val="20"/>
          <w:szCs w:val="20"/>
        </w:rPr>
      </w:pP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glace</w:t>
      </w:r>
      <w:r w:rsidR="00DB1635" w:rsidRPr="00B004EE">
        <w:rPr>
          <w:rFonts w:ascii="Tahoma" w:hAnsi="Tahoma" w:cs="Tahoma"/>
          <w:sz w:val="20"/>
          <w:szCs w:val="20"/>
        </w:rPr>
        <w:t xml:space="preserve"> </w:t>
      </w:r>
      <w:r w:rsidRPr="00B004EE">
        <w:rPr>
          <w:rFonts w:ascii="Tahoma" w:hAnsi="Tahoma" w:cs="Tahoma"/>
          <w:sz w:val="20"/>
          <w:szCs w:val="20"/>
        </w:rPr>
        <w:t>utilisée</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réfrigération</w:t>
      </w:r>
      <w:r w:rsidR="00DB1635" w:rsidRPr="00B004EE">
        <w:rPr>
          <w:rFonts w:ascii="Tahoma" w:hAnsi="Tahoma" w:cs="Tahoma"/>
          <w:sz w:val="20"/>
          <w:szCs w:val="20"/>
        </w:rPr>
        <w:t xml:space="preserve"> </w:t>
      </w:r>
      <w:r w:rsidRPr="00B004EE">
        <w:rPr>
          <w:rFonts w:ascii="Tahoma" w:hAnsi="Tahoma" w:cs="Tahoma"/>
          <w:sz w:val="20"/>
          <w:szCs w:val="20"/>
        </w:rPr>
        <w:t>doit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fabriquée</w:t>
      </w:r>
      <w:r w:rsidR="00DB1635" w:rsidRPr="00B004EE">
        <w:rPr>
          <w:rFonts w:ascii="Tahoma" w:hAnsi="Tahoma" w:cs="Tahoma"/>
          <w:sz w:val="20"/>
          <w:szCs w:val="20"/>
        </w:rPr>
        <w:t xml:space="preserve"> </w:t>
      </w:r>
      <w:r w:rsidRPr="00B004EE">
        <w:rPr>
          <w:rFonts w:ascii="Tahoma" w:hAnsi="Tahoma" w:cs="Tahoma"/>
          <w:sz w:val="20"/>
          <w:szCs w:val="20"/>
        </w:rPr>
        <w:t>avec</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l'eau</w:t>
      </w:r>
      <w:r w:rsidR="00DB1635" w:rsidRPr="00B004EE">
        <w:rPr>
          <w:rFonts w:ascii="Tahoma" w:hAnsi="Tahoma" w:cs="Tahoma"/>
          <w:sz w:val="20"/>
          <w:szCs w:val="20"/>
        </w:rPr>
        <w:t xml:space="preserve"> </w:t>
      </w:r>
      <w:r w:rsidRPr="00B004EE">
        <w:rPr>
          <w:rFonts w:ascii="Tahoma" w:hAnsi="Tahoma" w:cs="Tahoma"/>
          <w:sz w:val="20"/>
          <w:szCs w:val="20"/>
        </w:rPr>
        <w:t>potable</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l'eau</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mer</w:t>
      </w:r>
      <w:r w:rsidR="00DB1635" w:rsidRPr="00B004EE">
        <w:rPr>
          <w:rFonts w:ascii="Tahoma" w:hAnsi="Tahoma" w:cs="Tahoma"/>
          <w:sz w:val="20"/>
          <w:szCs w:val="20"/>
        </w:rPr>
        <w:t xml:space="preserve"> </w:t>
      </w:r>
      <w:r w:rsidRPr="00B004EE">
        <w:rPr>
          <w:rFonts w:ascii="Tahoma" w:hAnsi="Tahoma" w:cs="Tahoma"/>
          <w:sz w:val="20"/>
          <w:szCs w:val="20"/>
        </w:rPr>
        <w:t>propre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entreposée</w:t>
      </w:r>
      <w:r w:rsidR="00DB1635" w:rsidRPr="00B004EE">
        <w:rPr>
          <w:rFonts w:ascii="Tahoma" w:hAnsi="Tahoma" w:cs="Tahoma"/>
          <w:sz w:val="20"/>
          <w:szCs w:val="20"/>
        </w:rPr>
        <w:t xml:space="preserve"> </w:t>
      </w:r>
      <w:r w:rsidRPr="00B004EE">
        <w:rPr>
          <w:rFonts w:ascii="Tahoma" w:hAnsi="Tahoma" w:cs="Tahoma"/>
          <w:sz w:val="20"/>
          <w:szCs w:val="20"/>
        </w:rPr>
        <w:t>avant</w:t>
      </w:r>
      <w:r w:rsidR="00DB1635" w:rsidRPr="00B004EE">
        <w:rPr>
          <w:rFonts w:ascii="Tahoma" w:hAnsi="Tahoma" w:cs="Tahoma"/>
          <w:sz w:val="20"/>
          <w:szCs w:val="20"/>
        </w:rPr>
        <w:t xml:space="preserve"> </w:t>
      </w:r>
      <w:r w:rsidRPr="00B004EE">
        <w:rPr>
          <w:rFonts w:ascii="Tahoma" w:hAnsi="Tahoma" w:cs="Tahoma"/>
          <w:sz w:val="20"/>
          <w:szCs w:val="20"/>
        </w:rPr>
        <w:t>utilisation</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conditions</w:t>
      </w:r>
      <w:r w:rsidR="00DB1635" w:rsidRPr="00B004EE">
        <w:rPr>
          <w:rFonts w:ascii="Tahoma" w:hAnsi="Tahoma" w:cs="Tahoma"/>
          <w:sz w:val="20"/>
          <w:szCs w:val="20"/>
        </w:rPr>
        <w:t xml:space="preserve"> </w:t>
      </w:r>
      <w:r w:rsidRPr="00B004EE">
        <w:rPr>
          <w:rFonts w:ascii="Tahoma" w:hAnsi="Tahoma" w:cs="Tahoma"/>
          <w:sz w:val="20"/>
          <w:szCs w:val="20"/>
        </w:rPr>
        <w:t>empêchant</w:t>
      </w:r>
      <w:r w:rsidR="00DB1635" w:rsidRPr="00B004EE">
        <w:rPr>
          <w:rFonts w:ascii="Tahoma" w:hAnsi="Tahoma" w:cs="Tahoma"/>
          <w:sz w:val="20"/>
          <w:szCs w:val="20"/>
        </w:rPr>
        <w:t xml:space="preserve"> </w:t>
      </w:r>
      <w:r w:rsidRPr="00B004EE">
        <w:rPr>
          <w:rFonts w:ascii="Tahoma" w:hAnsi="Tahoma" w:cs="Tahoma"/>
          <w:sz w:val="20"/>
          <w:szCs w:val="20"/>
        </w:rPr>
        <w:t>sa</w:t>
      </w:r>
      <w:r w:rsidR="00DB1635" w:rsidRPr="00B004EE">
        <w:rPr>
          <w:rFonts w:ascii="Tahoma" w:hAnsi="Tahoma" w:cs="Tahoma"/>
          <w:sz w:val="20"/>
          <w:szCs w:val="20"/>
        </w:rPr>
        <w:t xml:space="preserve"> </w:t>
      </w:r>
      <w:r w:rsidRPr="00B004EE">
        <w:rPr>
          <w:rFonts w:ascii="Tahoma" w:hAnsi="Tahoma" w:cs="Tahoma"/>
          <w:sz w:val="20"/>
          <w:szCs w:val="20"/>
        </w:rPr>
        <w:t>contamination.</w:t>
      </w:r>
    </w:p>
    <w:p w14:paraId="271906BE" w14:textId="77777777" w:rsidR="002F24E1" w:rsidRPr="00B004EE" w:rsidRDefault="002F24E1" w:rsidP="00B004EE">
      <w:pPr>
        <w:jc w:val="both"/>
        <w:rPr>
          <w:rFonts w:ascii="Tahoma" w:hAnsi="Tahoma" w:cs="Tahoma"/>
          <w:sz w:val="20"/>
          <w:szCs w:val="20"/>
        </w:rPr>
      </w:pPr>
    </w:p>
    <w:p w14:paraId="062464EB" w14:textId="788BF81D" w:rsidR="002F24E1" w:rsidRPr="00B004EE" w:rsidRDefault="002F24E1" w:rsidP="00B004EE">
      <w:pPr>
        <w:jc w:val="both"/>
        <w:rPr>
          <w:rFonts w:ascii="Tahoma" w:hAnsi="Tahoma" w:cs="Tahoma"/>
          <w:sz w:val="20"/>
          <w:szCs w:val="20"/>
        </w:rPr>
      </w:pPr>
      <w:r w:rsidRPr="00B004EE">
        <w:rPr>
          <w:rFonts w:ascii="Tahoma" w:hAnsi="Tahoma" w:cs="Tahoma"/>
          <w:sz w:val="20"/>
          <w:szCs w:val="20"/>
        </w:rPr>
        <w:t>Article</w:t>
      </w:r>
      <w:r w:rsidR="00DB1635" w:rsidRPr="00B004EE">
        <w:rPr>
          <w:rFonts w:ascii="Tahoma" w:hAnsi="Tahoma" w:cs="Tahoma"/>
          <w:sz w:val="20"/>
          <w:szCs w:val="20"/>
        </w:rPr>
        <w:t xml:space="preserve"> </w:t>
      </w:r>
      <w:r w:rsidRPr="00B004EE">
        <w:rPr>
          <w:rFonts w:ascii="Tahoma" w:hAnsi="Tahoma" w:cs="Tahoma"/>
          <w:sz w:val="20"/>
          <w:szCs w:val="20"/>
        </w:rPr>
        <w:t>9</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personnel</w:t>
      </w:r>
      <w:r w:rsidR="00DB1635" w:rsidRPr="00B004EE">
        <w:rPr>
          <w:rFonts w:ascii="Tahoma" w:hAnsi="Tahoma" w:cs="Tahoma"/>
          <w:sz w:val="20"/>
          <w:szCs w:val="20"/>
        </w:rPr>
        <w:t xml:space="preserve"> </w:t>
      </w:r>
      <w:r w:rsidRPr="00B004EE">
        <w:rPr>
          <w:rFonts w:ascii="Tahoma" w:hAnsi="Tahoma" w:cs="Tahoma"/>
          <w:sz w:val="20"/>
          <w:szCs w:val="20"/>
        </w:rPr>
        <w:t>marin</w:t>
      </w:r>
      <w:r w:rsidR="00DB1635" w:rsidRPr="00B004EE">
        <w:rPr>
          <w:rFonts w:ascii="Tahoma" w:hAnsi="Tahoma" w:cs="Tahoma"/>
          <w:sz w:val="20"/>
          <w:szCs w:val="20"/>
        </w:rPr>
        <w:t xml:space="preserve"> </w:t>
      </w:r>
      <w:r w:rsidRPr="00B004EE">
        <w:rPr>
          <w:rFonts w:ascii="Tahoma" w:hAnsi="Tahoma" w:cs="Tahoma"/>
          <w:sz w:val="20"/>
          <w:szCs w:val="20"/>
        </w:rPr>
        <w:t>affecté</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opérations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manipulation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doit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bon</w:t>
      </w:r>
      <w:r w:rsidR="00DB1635" w:rsidRPr="00B004EE">
        <w:rPr>
          <w:rFonts w:ascii="Tahoma" w:hAnsi="Tahoma" w:cs="Tahoma"/>
          <w:sz w:val="20"/>
          <w:szCs w:val="20"/>
        </w:rPr>
        <w:t xml:space="preserve"> </w:t>
      </w:r>
      <w:r w:rsidRPr="00B004EE">
        <w:rPr>
          <w:rFonts w:ascii="Tahoma" w:hAnsi="Tahoma" w:cs="Tahoma"/>
          <w:sz w:val="20"/>
          <w:szCs w:val="20"/>
        </w:rPr>
        <w:t>état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santé</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tenu</w:t>
      </w:r>
      <w:r w:rsidR="00DB1635" w:rsidRPr="00B004EE">
        <w:rPr>
          <w:rFonts w:ascii="Tahoma" w:hAnsi="Tahoma" w:cs="Tahoma"/>
          <w:sz w:val="20"/>
          <w:szCs w:val="20"/>
        </w:rPr>
        <w:t xml:space="preserve"> </w:t>
      </w:r>
      <w:r w:rsidRPr="00B004EE">
        <w:rPr>
          <w:rFonts w:ascii="Tahoma" w:hAnsi="Tahoma" w:cs="Tahoma"/>
          <w:sz w:val="20"/>
          <w:szCs w:val="20"/>
        </w:rPr>
        <w:t>d'observer</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bonne</w:t>
      </w:r>
      <w:r w:rsidR="00DB1635" w:rsidRPr="00B004EE">
        <w:rPr>
          <w:rFonts w:ascii="Tahoma" w:hAnsi="Tahoma" w:cs="Tahoma"/>
          <w:sz w:val="20"/>
          <w:szCs w:val="20"/>
        </w:rPr>
        <w:t xml:space="preserve"> </w:t>
      </w:r>
      <w:r w:rsidRPr="00B004EE">
        <w:rPr>
          <w:rFonts w:ascii="Tahoma" w:hAnsi="Tahoma" w:cs="Tahoma"/>
          <w:sz w:val="20"/>
          <w:szCs w:val="20"/>
        </w:rPr>
        <w:t>propreté</w:t>
      </w:r>
      <w:r w:rsidR="00DB1635" w:rsidRPr="00B004EE">
        <w:rPr>
          <w:rFonts w:ascii="Tahoma" w:hAnsi="Tahoma" w:cs="Tahoma"/>
          <w:sz w:val="20"/>
          <w:szCs w:val="20"/>
        </w:rPr>
        <w:t xml:space="preserve"> </w:t>
      </w:r>
      <w:r w:rsidRPr="00B004EE">
        <w:rPr>
          <w:rFonts w:ascii="Tahoma" w:hAnsi="Tahoma" w:cs="Tahoma"/>
          <w:sz w:val="20"/>
          <w:szCs w:val="20"/>
        </w:rPr>
        <w:t>vestimentaire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corporelle.</w:t>
      </w:r>
    </w:p>
    <w:p w14:paraId="3D404032" w14:textId="77777777" w:rsidR="002F24E1" w:rsidRPr="00B004EE" w:rsidRDefault="002F24E1" w:rsidP="00B004EE">
      <w:pPr>
        <w:jc w:val="both"/>
        <w:rPr>
          <w:rFonts w:ascii="Tahoma" w:hAnsi="Tahoma" w:cs="Tahoma"/>
          <w:sz w:val="20"/>
          <w:szCs w:val="20"/>
        </w:rPr>
      </w:pPr>
    </w:p>
    <w:p w14:paraId="64EB9A2D" w14:textId="3CD23CA1" w:rsidR="002F24E1" w:rsidRPr="00B004EE" w:rsidRDefault="002F24E1" w:rsidP="00B004EE">
      <w:pPr>
        <w:tabs>
          <w:tab w:val="left" w:pos="0"/>
          <w:tab w:val="left" w:pos="567"/>
        </w:tabs>
        <w:jc w:val="center"/>
        <w:rPr>
          <w:rFonts w:ascii="Tahoma" w:hAnsi="Tahoma" w:cs="Tahoma"/>
          <w:b/>
          <w:sz w:val="20"/>
          <w:szCs w:val="20"/>
        </w:rPr>
      </w:pPr>
      <w:r w:rsidRPr="00B004EE">
        <w:rPr>
          <w:rFonts w:ascii="Tahoma" w:hAnsi="Tahoma" w:cs="Tahoma"/>
          <w:b/>
          <w:sz w:val="20"/>
          <w:szCs w:val="20"/>
        </w:rPr>
        <w:t>CHAPITRE</w:t>
      </w:r>
      <w:r w:rsidR="00DB1635" w:rsidRPr="00B004EE">
        <w:rPr>
          <w:rFonts w:ascii="Tahoma" w:hAnsi="Tahoma" w:cs="Tahoma"/>
          <w:b/>
          <w:sz w:val="20"/>
          <w:szCs w:val="20"/>
        </w:rPr>
        <w:t xml:space="preserve"> </w:t>
      </w:r>
      <w:r w:rsidRPr="00B004EE">
        <w:rPr>
          <w:rFonts w:ascii="Tahoma" w:hAnsi="Tahoma" w:cs="Tahoma"/>
          <w:b/>
          <w:sz w:val="20"/>
          <w:szCs w:val="20"/>
        </w:rPr>
        <w:t>II</w:t>
      </w:r>
      <w:r w:rsidR="00DB1635" w:rsidRPr="00B004EE">
        <w:rPr>
          <w:rFonts w:ascii="Tahoma" w:hAnsi="Tahoma" w:cs="Tahoma"/>
          <w:b/>
          <w:sz w:val="20"/>
          <w:szCs w:val="20"/>
        </w:rPr>
        <w:t xml:space="preserve"> </w:t>
      </w:r>
      <w:r w:rsidRPr="00B004EE">
        <w:rPr>
          <w:rFonts w:ascii="Tahoma" w:hAnsi="Tahoma" w:cs="Tahoma"/>
          <w:b/>
          <w:sz w:val="20"/>
          <w:szCs w:val="20"/>
        </w:rPr>
        <w:t>:</w:t>
      </w:r>
      <w:r w:rsidR="00DB1635" w:rsidRPr="00B004EE">
        <w:rPr>
          <w:rFonts w:ascii="Tahoma" w:hAnsi="Tahoma" w:cs="Tahoma"/>
          <w:b/>
          <w:sz w:val="20"/>
          <w:szCs w:val="20"/>
        </w:rPr>
        <w:t xml:space="preserve"> </w:t>
      </w:r>
      <w:r w:rsidRPr="00B004EE">
        <w:rPr>
          <w:rFonts w:ascii="Tahoma" w:hAnsi="Tahoma" w:cs="Tahoma"/>
          <w:b/>
          <w:sz w:val="20"/>
          <w:szCs w:val="20"/>
        </w:rPr>
        <w:t>CONDITIONS</w:t>
      </w:r>
      <w:r w:rsidR="00DB1635" w:rsidRPr="00B004EE">
        <w:rPr>
          <w:rFonts w:ascii="Tahoma" w:hAnsi="Tahoma" w:cs="Tahoma"/>
          <w:b/>
          <w:sz w:val="20"/>
          <w:szCs w:val="20"/>
        </w:rPr>
        <w:t xml:space="preserve"> </w:t>
      </w:r>
      <w:r w:rsidRPr="00B004EE">
        <w:rPr>
          <w:rFonts w:ascii="Tahoma" w:hAnsi="Tahoma" w:cs="Tahoma"/>
          <w:b/>
          <w:sz w:val="20"/>
          <w:szCs w:val="20"/>
        </w:rPr>
        <w:t>PARTICULIERES</w:t>
      </w:r>
      <w:r w:rsidR="00DB1635" w:rsidRPr="00B004EE">
        <w:rPr>
          <w:rFonts w:ascii="Tahoma" w:hAnsi="Tahoma" w:cs="Tahoma"/>
          <w:b/>
          <w:sz w:val="20"/>
          <w:szCs w:val="20"/>
        </w:rPr>
        <w:t xml:space="preserve"> </w:t>
      </w:r>
      <w:r w:rsidRPr="00B004EE">
        <w:rPr>
          <w:rFonts w:ascii="Tahoma" w:hAnsi="Tahoma" w:cs="Tahoma"/>
          <w:b/>
          <w:sz w:val="20"/>
          <w:szCs w:val="20"/>
        </w:rPr>
        <w:t>D'HYGIENE</w:t>
      </w:r>
    </w:p>
    <w:p w14:paraId="3D868C49" w14:textId="77777777" w:rsidR="002F24E1" w:rsidRPr="00B004EE" w:rsidRDefault="002F24E1" w:rsidP="00B004EE">
      <w:pPr>
        <w:tabs>
          <w:tab w:val="left" w:pos="567"/>
          <w:tab w:val="left" w:pos="2268"/>
        </w:tabs>
        <w:jc w:val="both"/>
        <w:rPr>
          <w:rFonts w:ascii="Tahoma" w:hAnsi="Tahoma" w:cs="Tahoma"/>
          <w:sz w:val="20"/>
          <w:szCs w:val="20"/>
        </w:rPr>
      </w:pPr>
    </w:p>
    <w:p w14:paraId="6DC0A17C" w14:textId="56751B29" w:rsidR="002F24E1" w:rsidRPr="00B004EE" w:rsidRDefault="002F24E1" w:rsidP="00B004EE">
      <w:pPr>
        <w:tabs>
          <w:tab w:val="left" w:pos="567"/>
        </w:tabs>
        <w:jc w:val="center"/>
        <w:rPr>
          <w:rFonts w:ascii="Tahoma" w:hAnsi="Tahoma" w:cs="Tahoma"/>
          <w:b/>
          <w:sz w:val="20"/>
          <w:szCs w:val="20"/>
        </w:rPr>
      </w:pPr>
      <w:r w:rsidRPr="00B004EE">
        <w:rPr>
          <w:rFonts w:ascii="Tahoma" w:hAnsi="Tahoma" w:cs="Tahoma"/>
          <w:b/>
          <w:sz w:val="20"/>
          <w:szCs w:val="20"/>
        </w:rPr>
        <w:t>SECTION</w:t>
      </w:r>
      <w:r w:rsidR="00DB1635" w:rsidRPr="00B004EE">
        <w:rPr>
          <w:rFonts w:ascii="Tahoma" w:hAnsi="Tahoma" w:cs="Tahoma"/>
          <w:b/>
          <w:sz w:val="20"/>
          <w:szCs w:val="20"/>
        </w:rPr>
        <w:t xml:space="preserve"> </w:t>
      </w:r>
      <w:r w:rsidRPr="00B004EE">
        <w:rPr>
          <w:rFonts w:ascii="Tahoma" w:hAnsi="Tahoma" w:cs="Tahoma"/>
          <w:b/>
          <w:sz w:val="20"/>
          <w:szCs w:val="20"/>
        </w:rPr>
        <w:t>I</w:t>
      </w:r>
      <w:r w:rsidR="00DB1635" w:rsidRPr="00B004EE">
        <w:rPr>
          <w:rFonts w:ascii="Tahoma" w:hAnsi="Tahoma" w:cs="Tahoma"/>
          <w:b/>
          <w:sz w:val="20"/>
          <w:szCs w:val="20"/>
        </w:rPr>
        <w:t xml:space="preserve"> </w:t>
      </w:r>
      <w:r w:rsidRPr="00B004EE">
        <w:rPr>
          <w:rFonts w:ascii="Tahoma" w:hAnsi="Tahoma" w:cs="Tahoma"/>
          <w:b/>
          <w:sz w:val="20"/>
          <w:szCs w:val="20"/>
        </w:rPr>
        <w:t>:</w:t>
      </w:r>
      <w:r w:rsidR="00DB1635" w:rsidRPr="00B004EE">
        <w:rPr>
          <w:rFonts w:ascii="Tahoma" w:hAnsi="Tahoma" w:cs="Tahoma"/>
          <w:b/>
          <w:sz w:val="20"/>
          <w:szCs w:val="20"/>
        </w:rPr>
        <w:t xml:space="preserve"> </w:t>
      </w:r>
      <w:r w:rsidRPr="00B004EE">
        <w:rPr>
          <w:rFonts w:ascii="Tahoma" w:hAnsi="Tahoma" w:cs="Tahoma"/>
          <w:b/>
          <w:sz w:val="20"/>
          <w:szCs w:val="20"/>
        </w:rPr>
        <w:t>Conditions</w:t>
      </w:r>
      <w:r w:rsidR="00DB1635" w:rsidRPr="00B004EE">
        <w:rPr>
          <w:rFonts w:ascii="Tahoma" w:hAnsi="Tahoma" w:cs="Tahoma"/>
          <w:b/>
          <w:sz w:val="20"/>
          <w:szCs w:val="20"/>
        </w:rPr>
        <w:t xml:space="preserve"> </w:t>
      </w:r>
      <w:r w:rsidRPr="00B004EE">
        <w:rPr>
          <w:rFonts w:ascii="Tahoma" w:hAnsi="Tahoma" w:cs="Tahoma"/>
          <w:b/>
          <w:sz w:val="20"/>
          <w:szCs w:val="20"/>
        </w:rPr>
        <w:t>particulières</w:t>
      </w:r>
      <w:r w:rsidR="00DB1635" w:rsidRPr="00B004EE">
        <w:rPr>
          <w:rFonts w:ascii="Tahoma" w:hAnsi="Tahoma" w:cs="Tahoma"/>
          <w:b/>
          <w:sz w:val="20"/>
          <w:szCs w:val="20"/>
        </w:rPr>
        <w:t xml:space="preserve"> </w:t>
      </w:r>
      <w:r w:rsidRPr="00B004EE">
        <w:rPr>
          <w:rFonts w:ascii="Tahoma" w:hAnsi="Tahoma" w:cs="Tahoma"/>
          <w:b/>
          <w:sz w:val="20"/>
          <w:szCs w:val="20"/>
        </w:rPr>
        <w:t>d'hygiène</w:t>
      </w:r>
      <w:r w:rsidR="00DB1635" w:rsidRPr="00B004EE">
        <w:rPr>
          <w:rFonts w:ascii="Tahoma" w:hAnsi="Tahoma" w:cs="Tahoma"/>
          <w:b/>
          <w:sz w:val="20"/>
          <w:szCs w:val="20"/>
        </w:rPr>
        <w:t xml:space="preserve"> </w:t>
      </w:r>
      <w:r w:rsidRPr="00B004EE">
        <w:rPr>
          <w:rFonts w:ascii="Tahoma" w:hAnsi="Tahoma" w:cs="Tahoma"/>
          <w:b/>
          <w:sz w:val="20"/>
          <w:szCs w:val="20"/>
        </w:rPr>
        <w:t>à</w:t>
      </w:r>
      <w:r w:rsidR="00DB1635" w:rsidRPr="00B004EE">
        <w:rPr>
          <w:rFonts w:ascii="Tahoma" w:hAnsi="Tahoma" w:cs="Tahoma"/>
          <w:b/>
          <w:sz w:val="20"/>
          <w:szCs w:val="20"/>
        </w:rPr>
        <w:t xml:space="preserve"> </w:t>
      </w:r>
      <w:r w:rsidRPr="00B004EE">
        <w:rPr>
          <w:rFonts w:ascii="Tahoma" w:hAnsi="Tahoma" w:cs="Tahoma"/>
          <w:b/>
          <w:sz w:val="20"/>
          <w:szCs w:val="20"/>
        </w:rPr>
        <w:t>bord</w:t>
      </w:r>
      <w:r w:rsidR="00DB1635" w:rsidRPr="00B004EE">
        <w:rPr>
          <w:rFonts w:ascii="Tahoma" w:hAnsi="Tahoma" w:cs="Tahoma"/>
          <w:b/>
          <w:sz w:val="20"/>
          <w:szCs w:val="20"/>
        </w:rPr>
        <w:t xml:space="preserve"> </w:t>
      </w:r>
      <w:r w:rsidRPr="00B004EE">
        <w:rPr>
          <w:rFonts w:ascii="Tahoma" w:hAnsi="Tahoma" w:cs="Tahoma"/>
          <w:b/>
          <w:sz w:val="20"/>
          <w:szCs w:val="20"/>
        </w:rPr>
        <w:t>des</w:t>
      </w:r>
      <w:r w:rsidR="00DB1635" w:rsidRPr="00B004EE">
        <w:rPr>
          <w:rFonts w:ascii="Tahoma" w:hAnsi="Tahoma" w:cs="Tahoma"/>
          <w:b/>
          <w:sz w:val="20"/>
          <w:szCs w:val="20"/>
        </w:rPr>
        <w:t xml:space="preserve"> </w:t>
      </w:r>
      <w:r w:rsidRPr="00B004EE">
        <w:rPr>
          <w:rFonts w:ascii="Tahoma" w:hAnsi="Tahoma" w:cs="Tahoma"/>
          <w:b/>
          <w:sz w:val="20"/>
          <w:szCs w:val="20"/>
        </w:rPr>
        <w:t>embarcations</w:t>
      </w:r>
      <w:r w:rsidR="00DB1635" w:rsidRPr="00B004EE">
        <w:rPr>
          <w:rFonts w:ascii="Tahoma" w:hAnsi="Tahoma" w:cs="Tahoma"/>
          <w:b/>
          <w:sz w:val="20"/>
          <w:szCs w:val="20"/>
        </w:rPr>
        <w:t xml:space="preserve"> </w:t>
      </w:r>
      <w:r w:rsidRPr="00B004EE">
        <w:rPr>
          <w:rFonts w:ascii="Tahoma" w:hAnsi="Tahoma" w:cs="Tahoma"/>
          <w:b/>
          <w:sz w:val="20"/>
          <w:szCs w:val="20"/>
        </w:rPr>
        <w:t>conçues</w:t>
      </w:r>
      <w:r w:rsidR="00DB1635" w:rsidRPr="00B004EE">
        <w:rPr>
          <w:rFonts w:ascii="Tahoma" w:hAnsi="Tahoma" w:cs="Tahoma"/>
          <w:b/>
          <w:sz w:val="20"/>
          <w:szCs w:val="20"/>
        </w:rPr>
        <w:t xml:space="preserve"> </w:t>
      </w:r>
      <w:r w:rsidRPr="00B004EE">
        <w:rPr>
          <w:rFonts w:ascii="Tahoma" w:hAnsi="Tahoma" w:cs="Tahoma"/>
          <w:b/>
          <w:sz w:val="20"/>
          <w:szCs w:val="20"/>
        </w:rPr>
        <w:t>pour</w:t>
      </w:r>
      <w:r w:rsidR="00DB1635" w:rsidRPr="00B004EE">
        <w:rPr>
          <w:rFonts w:ascii="Tahoma" w:hAnsi="Tahoma" w:cs="Tahoma"/>
          <w:b/>
          <w:sz w:val="20"/>
          <w:szCs w:val="20"/>
        </w:rPr>
        <w:t xml:space="preserve"> </w:t>
      </w:r>
      <w:r w:rsidRPr="00B004EE">
        <w:rPr>
          <w:rFonts w:ascii="Tahoma" w:hAnsi="Tahoma" w:cs="Tahoma"/>
          <w:b/>
          <w:sz w:val="20"/>
          <w:szCs w:val="20"/>
        </w:rPr>
        <w:t>assurer</w:t>
      </w:r>
      <w:r w:rsidR="00DB1635" w:rsidRPr="00B004EE">
        <w:rPr>
          <w:rFonts w:ascii="Tahoma" w:hAnsi="Tahoma" w:cs="Tahoma"/>
          <w:b/>
          <w:sz w:val="20"/>
          <w:szCs w:val="20"/>
        </w:rPr>
        <w:t xml:space="preserve"> </w:t>
      </w:r>
      <w:r w:rsidRPr="00B004EE">
        <w:rPr>
          <w:rFonts w:ascii="Tahoma" w:hAnsi="Tahoma" w:cs="Tahoma"/>
          <w:b/>
          <w:sz w:val="20"/>
          <w:szCs w:val="20"/>
        </w:rPr>
        <w:t>une</w:t>
      </w:r>
      <w:r w:rsidR="00DB1635" w:rsidRPr="00B004EE">
        <w:rPr>
          <w:rFonts w:ascii="Tahoma" w:hAnsi="Tahoma" w:cs="Tahoma"/>
          <w:b/>
          <w:sz w:val="20"/>
          <w:szCs w:val="20"/>
        </w:rPr>
        <w:t xml:space="preserve"> </w:t>
      </w:r>
      <w:r w:rsidRPr="00B004EE">
        <w:rPr>
          <w:rFonts w:ascii="Tahoma" w:hAnsi="Tahoma" w:cs="Tahoma"/>
          <w:b/>
          <w:sz w:val="20"/>
          <w:szCs w:val="20"/>
        </w:rPr>
        <w:t>conservation</w:t>
      </w:r>
      <w:r w:rsidR="00DB1635" w:rsidRPr="00B004EE">
        <w:rPr>
          <w:rFonts w:ascii="Tahoma" w:hAnsi="Tahoma" w:cs="Tahoma"/>
          <w:b/>
          <w:sz w:val="20"/>
          <w:szCs w:val="20"/>
        </w:rPr>
        <w:t xml:space="preserve"> </w:t>
      </w:r>
      <w:r w:rsidRPr="00B004EE">
        <w:rPr>
          <w:rFonts w:ascii="Tahoma" w:hAnsi="Tahoma" w:cs="Tahoma"/>
          <w:b/>
          <w:sz w:val="20"/>
          <w:szCs w:val="20"/>
        </w:rPr>
        <w:t>satisfaisante</w:t>
      </w:r>
      <w:r w:rsidR="00DB1635" w:rsidRPr="00B004EE">
        <w:rPr>
          <w:rFonts w:ascii="Tahoma" w:hAnsi="Tahoma" w:cs="Tahoma"/>
          <w:b/>
          <w:sz w:val="20"/>
          <w:szCs w:val="20"/>
        </w:rPr>
        <w:t xml:space="preserve"> </w:t>
      </w:r>
      <w:r w:rsidRPr="00B004EE">
        <w:rPr>
          <w:rFonts w:ascii="Tahoma" w:hAnsi="Tahoma" w:cs="Tahoma"/>
          <w:b/>
          <w:sz w:val="20"/>
          <w:szCs w:val="20"/>
        </w:rPr>
        <w:t>des</w:t>
      </w:r>
      <w:r w:rsidR="00DB1635" w:rsidRPr="00B004EE">
        <w:rPr>
          <w:rFonts w:ascii="Tahoma" w:hAnsi="Tahoma" w:cs="Tahoma"/>
          <w:b/>
          <w:sz w:val="20"/>
          <w:szCs w:val="20"/>
        </w:rPr>
        <w:t xml:space="preserve"> </w:t>
      </w:r>
      <w:r w:rsidRPr="00B004EE">
        <w:rPr>
          <w:rFonts w:ascii="Tahoma" w:hAnsi="Tahoma" w:cs="Tahoma"/>
          <w:b/>
          <w:sz w:val="20"/>
          <w:szCs w:val="20"/>
        </w:rPr>
        <w:t>produits</w:t>
      </w:r>
      <w:r w:rsidR="00DB1635" w:rsidRPr="00B004EE">
        <w:rPr>
          <w:rFonts w:ascii="Tahoma" w:hAnsi="Tahoma" w:cs="Tahoma"/>
          <w:b/>
          <w:sz w:val="20"/>
          <w:szCs w:val="20"/>
        </w:rPr>
        <w:t xml:space="preserve"> </w:t>
      </w:r>
      <w:r w:rsidRPr="00B004EE">
        <w:rPr>
          <w:rFonts w:ascii="Tahoma" w:hAnsi="Tahoma" w:cs="Tahoma"/>
          <w:b/>
          <w:sz w:val="20"/>
          <w:szCs w:val="20"/>
        </w:rPr>
        <w:t>de</w:t>
      </w:r>
      <w:r w:rsidR="00DB1635" w:rsidRPr="00B004EE">
        <w:rPr>
          <w:rFonts w:ascii="Tahoma" w:hAnsi="Tahoma" w:cs="Tahoma"/>
          <w:b/>
          <w:sz w:val="20"/>
          <w:szCs w:val="20"/>
        </w:rPr>
        <w:t xml:space="preserve"> </w:t>
      </w:r>
      <w:r w:rsidRPr="00B004EE">
        <w:rPr>
          <w:rFonts w:ascii="Tahoma" w:hAnsi="Tahoma" w:cs="Tahoma"/>
          <w:b/>
          <w:sz w:val="20"/>
          <w:szCs w:val="20"/>
        </w:rPr>
        <w:t>la</w:t>
      </w:r>
      <w:r w:rsidR="00DB1635" w:rsidRPr="00B004EE">
        <w:rPr>
          <w:rFonts w:ascii="Tahoma" w:hAnsi="Tahoma" w:cs="Tahoma"/>
          <w:b/>
          <w:sz w:val="20"/>
          <w:szCs w:val="20"/>
        </w:rPr>
        <w:t xml:space="preserve"> </w:t>
      </w:r>
      <w:r w:rsidRPr="00B004EE">
        <w:rPr>
          <w:rFonts w:ascii="Tahoma" w:hAnsi="Tahoma" w:cs="Tahoma"/>
          <w:b/>
          <w:sz w:val="20"/>
          <w:szCs w:val="20"/>
        </w:rPr>
        <w:t>pêche</w:t>
      </w:r>
      <w:r w:rsidR="00DB1635" w:rsidRPr="00B004EE">
        <w:rPr>
          <w:rFonts w:ascii="Tahoma" w:hAnsi="Tahoma" w:cs="Tahoma"/>
          <w:b/>
          <w:sz w:val="20"/>
          <w:szCs w:val="20"/>
        </w:rPr>
        <w:t xml:space="preserve"> </w:t>
      </w:r>
      <w:r w:rsidRPr="00B004EE">
        <w:rPr>
          <w:rFonts w:ascii="Tahoma" w:hAnsi="Tahoma" w:cs="Tahoma"/>
          <w:b/>
          <w:sz w:val="20"/>
          <w:szCs w:val="20"/>
        </w:rPr>
        <w:t>frais</w:t>
      </w:r>
      <w:r w:rsidR="00DB1635" w:rsidRPr="00B004EE">
        <w:rPr>
          <w:rFonts w:ascii="Tahoma" w:hAnsi="Tahoma" w:cs="Tahoma"/>
          <w:b/>
          <w:sz w:val="20"/>
          <w:szCs w:val="20"/>
        </w:rPr>
        <w:t xml:space="preserve"> </w:t>
      </w:r>
      <w:r w:rsidRPr="00B004EE">
        <w:rPr>
          <w:rFonts w:ascii="Tahoma" w:hAnsi="Tahoma" w:cs="Tahoma"/>
          <w:b/>
          <w:sz w:val="20"/>
          <w:szCs w:val="20"/>
        </w:rPr>
        <w:t>pendant</w:t>
      </w:r>
      <w:r w:rsidR="00DB1635" w:rsidRPr="00B004EE">
        <w:rPr>
          <w:rFonts w:ascii="Tahoma" w:hAnsi="Tahoma" w:cs="Tahoma"/>
          <w:b/>
          <w:sz w:val="20"/>
          <w:szCs w:val="20"/>
        </w:rPr>
        <w:t xml:space="preserve"> </w:t>
      </w:r>
      <w:r w:rsidRPr="00B004EE">
        <w:rPr>
          <w:rFonts w:ascii="Tahoma" w:hAnsi="Tahoma" w:cs="Tahoma"/>
          <w:b/>
          <w:sz w:val="20"/>
          <w:szCs w:val="20"/>
        </w:rPr>
        <w:t>24</w:t>
      </w:r>
      <w:r w:rsidR="00DB1635" w:rsidRPr="00B004EE">
        <w:rPr>
          <w:rFonts w:ascii="Tahoma" w:hAnsi="Tahoma" w:cs="Tahoma"/>
          <w:b/>
          <w:sz w:val="20"/>
          <w:szCs w:val="20"/>
        </w:rPr>
        <w:t xml:space="preserve"> </w:t>
      </w:r>
      <w:r w:rsidRPr="00B004EE">
        <w:rPr>
          <w:rFonts w:ascii="Tahoma" w:hAnsi="Tahoma" w:cs="Tahoma"/>
          <w:b/>
          <w:sz w:val="20"/>
          <w:szCs w:val="20"/>
        </w:rPr>
        <w:t>heures</w:t>
      </w:r>
    </w:p>
    <w:p w14:paraId="12001181" w14:textId="77777777" w:rsidR="002F24E1" w:rsidRPr="00B004EE" w:rsidRDefault="002F24E1" w:rsidP="00B004EE">
      <w:pPr>
        <w:jc w:val="center"/>
        <w:rPr>
          <w:rFonts w:ascii="Tahoma" w:hAnsi="Tahoma" w:cs="Tahoma"/>
          <w:sz w:val="20"/>
          <w:szCs w:val="20"/>
        </w:rPr>
      </w:pPr>
    </w:p>
    <w:p w14:paraId="27AC344B" w14:textId="30694FFE" w:rsidR="002F24E1" w:rsidRPr="00B004EE" w:rsidRDefault="002F24E1" w:rsidP="00B004EE">
      <w:pPr>
        <w:jc w:val="both"/>
        <w:rPr>
          <w:rFonts w:ascii="Tahoma" w:hAnsi="Tahoma" w:cs="Tahoma"/>
          <w:sz w:val="20"/>
          <w:szCs w:val="20"/>
        </w:rPr>
      </w:pPr>
      <w:r w:rsidRPr="00B004EE">
        <w:rPr>
          <w:rFonts w:ascii="Tahoma" w:hAnsi="Tahoma" w:cs="Tahoma"/>
          <w:sz w:val="20"/>
          <w:szCs w:val="20"/>
        </w:rPr>
        <w:t>Article</w:t>
      </w:r>
      <w:r w:rsidR="00DB1635" w:rsidRPr="00B004EE">
        <w:rPr>
          <w:rFonts w:ascii="Tahoma" w:hAnsi="Tahoma" w:cs="Tahoma"/>
          <w:sz w:val="20"/>
          <w:szCs w:val="20"/>
        </w:rPr>
        <w:t xml:space="preserve"> </w:t>
      </w:r>
      <w:r w:rsidRPr="00B004EE">
        <w:rPr>
          <w:rFonts w:ascii="Tahoma" w:hAnsi="Tahoma" w:cs="Tahoma"/>
          <w:sz w:val="20"/>
          <w:szCs w:val="20"/>
        </w:rPr>
        <w:t>10</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conditions</w:t>
      </w:r>
      <w:r w:rsidR="00DB1635" w:rsidRPr="00B004EE">
        <w:rPr>
          <w:rFonts w:ascii="Tahoma" w:hAnsi="Tahoma" w:cs="Tahoma"/>
          <w:sz w:val="20"/>
          <w:szCs w:val="20"/>
        </w:rPr>
        <w:t xml:space="preserve"> </w:t>
      </w:r>
      <w:r w:rsidRPr="00B004EE">
        <w:rPr>
          <w:rFonts w:ascii="Tahoma" w:hAnsi="Tahoma" w:cs="Tahoma"/>
          <w:sz w:val="20"/>
          <w:szCs w:val="20"/>
        </w:rPr>
        <w:t>générales</w:t>
      </w:r>
      <w:r w:rsidR="00DB1635" w:rsidRPr="00B004EE">
        <w:rPr>
          <w:rFonts w:ascii="Tahoma" w:hAnsi="Tahoma" w:cs="Tahoma"/>
          <w:sz w:val="20"/>
          <w:szCs w:val="20"/>
        </w:rPr>
        <w:t xml:space="preserve"> </w:t>
      </w:r>
      <w:r w:rsidRPr="00B004EE">
        <w:rPr>
          <w:rFonts w:ascii="Tahoma" w:hAnsi="Tahoma" w:cs="Tahoma"/>
          <w:sz w:val="20"/>
          <w:szCs w:val="20"/>
        </w:rPr>
        <w:t>d'hygiène</w:t>
      </w:r>
      <w:r w:rsidR="00DB1635" w:rsidRPr="00B004EE">
        <w:rPr>
          <w:rFonts w:ascii="Tahoma" w:hAnsi="Tahoma" w:cs="Tahoma"/>
          <w:sz w:val="20"/>
          <w:szCs w:val="20"/>
        </w:rPr>
        <w:t xml:space="preserve"> </w:t>
      </w:r>
      <w:r w:rsidRPr="00B004EE">
        <w:rPr>
          <w:rFonts w:ascii="Tahoma" w:hAnsi="Tahoma" w:cs="Tahoma"/>
          <w:sz w:val="20"/>
          <w:szCs w:val="20"/>
        </w:rPr>
        <w:t>prévues</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chapitre</w:t>
      </w:r>
      <w:r w:rsidR="00DB1635" w:rsidRPr="00B004EE">
        <w:rPr>
          <w:rFonts w:ascii="Tahoma" w:hAnsi="Tahoma" w:cs="Tahoma"/>
          <w:sz w:val="20"/>
          <w:szCs w:val="20"/>
        </w:rPr>
        <w:t xml:space="preserve"> </w:t>
      </w:r>
      <w:r w:rsidRPr="00B004EE">
        <w:rPr>
          <w:rFonts w:ascii="Tahoma" w:hAnsi="Tahoma" w:cs="Tahoma"/>
          <w:sz w:val="20"/>
          <w:szCs w:val="20"/>
        </w:rPr>
        <w:t>précédent</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applicables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bord</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embarcations</w:t>
      </w:r>
      <w:r w:rsidR="00DB1635" w:rsidRPr="00B004EE">
        <w:rPr>
          <w:rFonts w:ascii="Tahoma" w:hAnsi="Tahoma" w:cs="Tahoma"/>
          <w:sz w:val="20"/>
          <w:szCs w:val="20"/>
        </w:rPr>
        <w:t xml:space="preserve"> </w:t>
      </w:r>
      <w:r w:rsidRPr="00B004EE">
        <w:rPr>
          <w:rFonts w:ascii="Tahoma" w:hAnsi="Tahoma" w:cs="Tahoma"/>
          <w:sz w:val="20"/>
          <w:szCs w:val="20"/>
        </w:rPr>
        <w:t>conçues</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assurer</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conservation</w:t>
      </w:r>
      <w:r w:rsidR="00DB1635" w:rsidRPr="00B004EE">
        <w:rPr>
          <w:rFonts w:ascii="Tahoma" w:hAnsi="Tahoma" w:cs="Tahoma"/>
          <w:sz w:val="20"/>
          <w:szCs w:val="20"/>
        </w:rPr>
        <w:t xml:space="preserve"> </w:t>
      </w:r>
      <w:r w:rsidRPr="00B004EE">
        <w:rPr>
          <w:rFonts w:ascii="Tahoma" w:hAnsi="Tahoma" w:cs="Tahoma"/>
          <w:sz w:val="20"/>
          <w:szCs w:val="20"/>
        </w:rPr>
        <w:t>satisfaisante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frais</w:t>
      </w:r>
      <w:r w:rsidR="00DB1635" w:rsidRPr="00B004EE">
        <w:rPr>
          <w:rFonts w:ascii="Tahoma" w:hAnsi="Tahoma" w:cs="Tahoma"/>
          <w:sz w:val="20"/>
          <w:szCs w:val="20"/>
        </w:rPr>
        <w:t xml:space="preserve"> </w:t>
      </w:r>
      <w:r w:rsidRPr="00B004EE">
        <w:rPr>
          <w:rFonts w:ascii="Tahoma" w:hAnsi="Tahoma" w:cs="Tahoma"/>
          <w:sz w:val="20"/>
          <w:szCs w:val="20"/>
        </w:rPr>
        <w:t>pendant</w:t>
      </w:r>
      <w:r w:rsidR="00DB1635" w:rsidRPr="00B004EE">
        <w:rPr>
          <w:rFonts w:ascii="Tahoma" w:hAnsi="Tahoma" w:cs="Tahoma"/>
          <w:sz w:val="20"/>
          <w:szCs w:val="20"/>
        </w:rPr>
        <w:t xml:space="preserve"> </w:t>
      </w:r>
      <w:r w:rsidRPr="00B004EE">
        <w:rPr>
          <w:rFonts w:ascii="Tahoma" w:hAnsi="Tahoma" w:cs="Tahoma"/>
          <w:sz w:val="20"/>
          <w:szCs w:val="20"/>
        </w:rPr>
        <w:t>24</w:t>
      </w:r>
      <w:r w:rsidR="00DB1635" w:rsidRPr="00B004EE">
        <w:rPr>
          <w:rFonts w:ascii="Tahoma" w:hAnsi="Tahoma" w:cs="Tahoma"/>
          <w:sz w:val="20"/>
          <w:szCs w:val="20"/>
        </w:rPr>
        <w:t xml:space="preserve"> </w:t>
      </w:r>
      <w:r w:rsidRPr="00B004EE">
        <w:rPr>
          <w:rFonts w:ascii="Tahoma" w:hAnsi="Tahoma" w:cs="Tahoma"/>
          <w:sz w:val="20"/>
          <w:szCs w:val="20"/>
        </w:rPr>
        <w:t>heures.</w:t>
      </w:r>
    </w:p>
    <w:p w14:paraId="145EDE17" w14:textId="77777777" w:rsidR="002F24E1" w:rsidRPr="00B004EE" w:rsidRDefault="002F24E1" w:rsidP="00B004EE">
      <w:pPr>
        <w:jc w:val="both"/>
        <w:rPr>
          <w:rFonts w:ascii="Tahoma" w:hAnsi="Tahoma" w:cs="Tahoma"/>
          <w:sz w:val="20"/>
          <w:szCs w:val="20"/>
        </w:rPr>
      </w:pPr>
    </w:p>
    <w:p w14:paraId="167ADEB7" w14:textId="033E2FE6" w:rsidR="002F24E1" w:rsidRPr="00B004EE" w:rsidRDefault="002F24E1" w:rsidP="00B004EE">
      <w:pPr>
        <w:jc w:val="both"/>
        <w:rPr>
          <w:rFonts w:ascii="Tahoma" w:hAnsi="Tahoma" w:cs="Tahoma"/>
          <w:sz w:val="20"/>
          <w:szCs w:val="20"/>
        </w:rPr>
      </w:pPr>
      <w:r w:rsidRPr="00B004EE">
        <w:rPr>
          <w:rFonts w:ascii="Tahoma" w:hAnsi="Tahoma" w:cs="Tahoma"/>
          <w:sz w:val="20"/>
          <w:szCs w:val="20"/>
        </w:rPr>
        <w:t>Article</w:t>
      </w:r>
      <w:r w:rsidR="00DB1635" w:rsidRPr="00B004EE">
        <w:rPr>
          <w:rFonts w:ascii="Tahoma" w:hAnsi="Tahoma" w:cs="Tahoma"/>
          <w:sz w:val="20"/>
          <w:szCs w:val="20"/>
        </w:rPr>
        <w:t xml:space="preserve"> </w:t>
      </w:r>
      <w:r w:rsidRPr="00B004EE">
        <w:rPr>
          <w:rFonts w:ascii="Tahoma" w:hAnsi="Tahoma" w:cs="Tahoma"/>
          <w:sz w:val="20"/>
          <w:szCs w:val="20"/>
        </w:rPr>
        <w:t>11</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embarcations</w:t>
      </w:r>
      <w:r w:rsidR="00DB1635" w:rsidRPr="00B004EE">
        <w:rPr>
          <w:rFonts w:ascii="Tahoma" w:hAnsi="Tahoma" w:cs="Tahoma"/>
          <w:sz w:val="20"/>
          <w:szCs w:val="20"/>
        </w:rPr>
        <w:t xml:space="preserve"> </w:t>
      </w:r>
      <w:r w:rsidRPr="00B004EE">
        <w:rPr>
          <w:rFonts w:ascii="Tahoma" w:hAnsi="Tahoma" w:cs="Tahoma"/>
          <w:sz w:val="20"/>
          <w:szCs w:val="20"/>
        </w:rPr>
        <w:t>artisanales</w:t>
      </w:r>
      <w:r w:rsidR="00DB1635" w:rsidRPr="00B004EE">
        <w:rPr>
          <w:rFonts w:ascii="Tahoma" w:hAnsi="Tahoma" w:cs="Tahoma"/>
          <w:sz w:val="20"/>
          <w:szCs w:val="20"/>
        </w:rPr>
        <w:t xml:space="preserve"> </w:t>
      </w:r>
      <w:r w:rsidRPr="00B004EE">
        <w:rPr>
          <w:rFonts w:ascii="Tahoma" w:hAnsi="Tahoma" w:cs="Tahoma"/>
          <w:sz w:val="20"/>
          <w:szCs w:val="20"/>
        </w:rPr>
        <w:t>doivent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équipées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cales</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conteneurs</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l'entreposage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glace.</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maintenus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l'état</w:t>
      </w:r>
      <w:r w:rsidR="00DB1635" w:rsidRPr="00B004EE">
        <w:rPr>
          <w:rFonts w:ascii="Tahoma" w:hAnsi="Tahoma" w:cs="Tahoma"/>
          <w:sz w:val="20"/>
          <w:szCs w:val="20"/>
        </w:rPr>
        <w:t xml:space="preserve"> </w:t>
      </w:r>
      <w:r w:rsidRPr="00B004EE">
        <w:rPr>
          <w:rFonts w:ascii="Tahoma" w:hAnsi="Tahoma" w:cs="Tahoma"/>
          <w:sz w:val="20"/>
          <w:szCs w:val="20"/>
        </w:rPr>
        <w:t>réfrigéré</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températures</w:t>
      </w:r>
      <w:r w:rsidR="00DB1635" w:rsidRPr="00B004EE">
        <w:rPr>
          <w:rFonts w:ascii="Tahoma" w:hAnsi="Tahoma" w:cs="Tahoma"/>
          <w:sz w:val="20"/>
          <w:szCs w:val="20"/>
        </w:rPr>
        <w:t xml:space="preserve"> </w:t>
      </w:r>
      <w:r w:rsidRPr="00B004EE">
        <w:rPr>
          <w:rFonts w:ascii="Tahoma" w:hAnsi="Tahoma" w:cs="Tahoma"/>
          <w:sz w:val="20"/>
          <w:szCs w:val="20"/>
        </w:rPr>
        <w:t>prescrites</w:t>
      </w:r>
      <w:r w:rsidR="00DB1635" w:rsidRPr="00B004EE">
        <w:rPr>
          <w:rFonts w:ascii="Tahoma" w:hAnsi="Tahoma" w:cs="Tahoma"/>
          <w:sz w:val="20"/>
          <w:szCs w:val="20"/>
        </w:rPr>
        <w:t xml:space="preserve"> </w:t>
      </w:r>
      <w:r w:rsidRPr="00B004EE">
        <w:rPr>
          <w:rFonts w:ascii="Tahoma" w:hAnsi="Tahoma" w:cs="Tahoma"/>
          <w:sz w:val="20"/>
          <w:szCs w:val="20"/>
        </w:rPr>
        <w:t>(0</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+3°C).</w:t>
      </w:r>
    </w:p>
    <w:p w14:paraId="02BEDB77" w14:textId="77777777" w:rsidR="002F24E1" w:rsidRPr="00B004EE" w:rsidRDefault="002F24E1" w:rsidP="00B004EE">
      <w:pPr>
        <w:jc w:val="both"/>
        <w:rPr>
          <w:rFonts w:ascii="Tahoma" w:hAnsi="Tahoma" w:cs="Tahoma"/>
          <w:sz w:val="20"/>
          <w:szCs w:val="20"/>
        </w:rPr>
      </w:pPr>
    </w:p>
    <w:p w14:paraId="6EF6148F" w14:textId="36B3FF9E" w:rsidR="002F24E1" w:rsidRPr="00B004EE" w:rsidRDefault="002F24E1" w:rsidP="00B004EE">
      <w:pPr>
        <w:jc w:val="both"/>
        <w:rPr>
          <w:rFonts w:ascii="Tahoma" w:hAnsi="Tahoma" w:cs="Tahoma"/>
          <w:sz w:val="20"/>
          <w:szCs w:val="20"/>
        </w:rPr>
      </w:pPr>
      <w:r w:rsidRPr="00B004EE">
        <w:rPr>
          <w:rFonts w:ascii="Tahoma" w:hAnsi="Tahoma" w:cs="Tahoma"/>
          <w:sz w:val="20"/>
          <w:szCs w:val="20"/>
        </w:rPr>
        <w:t>Article</w:t>
      </w:r>
      <w:r w:rsidR="00DB1635" w:rsidRPr="00B004EE">
        <w:rPr>
          <w:rFonts w:ascii="Tahoma" w:hAnsi="Tahoma" w:cs="Tahoma"/>
          <w:sz w:val="20"/>
          <w:szCs w:val="20"/>
        </w:rPr>
        <w:t xml:space="preserve"> </w:t>
      </w:r>
      <w:r w:rsidRPr="00B004EE">
        <w:rPr>
          <w:rFonts w:ascii="Tahoma" w:hAnsi="Tahoma" w:cs="Tahoma"/>
          <w:sz w:val="20"/>
          <w:szCs w:val="20"/>
        </w:rPr>
        <w:t>12</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revêtement</w:t>
      </w:r>
      <w:r w:rsidR="00DB1635" w:rsidRPr="00B004EE">
        <w:rPr>
          <w:rFonts w:ascii="Tahoma" w:hAnsi="Tahoma" w:cs="Tahoma"/>
          <w:sz w:val="20"/>
          <w:szCs w:val="20"/>
        </w:rPr>
        <w:t xml:space="preserve"> </w:t>
      </w:r>
      <w:r w:rsidRPr="00B004EE">
        <w:rPr>
          <w:rFonts w:ascii="Tahoma" w:hAnsi="Tahoma" w:cs="Tahoma"/>
          <w:sz w:val="20"/>
          <w:szCs w:val="20"/>
        </w:rPr>
        <w:t>intérieur</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cales</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conteneurs</w:t>
      </w:r>
      <w:r w:rsidR="00DB1635" w:rsidRPr="00B004EE">
        <w:rPr>
          <w:rFonts w:ascii="Tahoma" w:hAnsi="Tahoma" w:cs="Tahoma"/>
          <w:sz w:val="20"/>
          <w:szCs w:val="20"/>
        </w:rPr>
        <w:t xml:space="preserve"> </w:t>
      </w:r>
      <w:r w:rsidRPr="00B004EE">
        <w:rPr>
          <w:rFonts w:ascii="Tahoma" w:hAnsi="Tahoma" w:cs="Tahoma"/>
          <w:sz w:val="20"/>
          <w:szCs w:val="20"/>
        </w:rPr>
        <w:t>doit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constitué</w:t>
      </w:r>
      <w:r w:rsidR="00DB1635" w:rsidRPr="00B004EE">
        <w:rPr>
          <w:rFonts w:ascii="Tahoma" w:hAnsi="Tahoma" w:cs="Tahoma"/>
          <w:sz w:val="20"/>
          <w:szCs w:val="20"/>
        </w:rPr>
        <w:t xml:space="preserve"> </w:t>
      </w:r>
      <w:r w:rsidRPr="00B004EE">
        <w:rPr>
          <w:rFonts w:ascii="Tahoma" w:hAnsi="Tahoma" w:cs="Tahoma"/>
          <w:sz w:val="20"/>
          <w:szCs w:val="20"/>
        </w:rPr>
        <w:t>d'un</w:t>
      </w:r>
      <w:r w:rsidR="00DB1635" w:rsidRPr="00B004EE">
        <w:rPr>
          <w:rFonts w:ascii="Tahoma" w:hAnsi="Tahoma" w:cs="Tahoma"/>
          <w:sz w:val="20"/>
          <w:szCs w:val="20"/>
        </w:rPr>
        <w:t xml:space="preserve"> </w:t>
      </w:r>
      <w:r w:rsidRPr="00B004EE">
        <w:rPr>
          <w:rFonts w:ascii="Tahoma" w:hAnsi="Tahoma" w:cs="Tahoma"/>
          <w:sz w:val="20"/>
          <w:szCs w:val="20"/>
        </w:rPr>
        <w:t>matériau</w:t>
      </w:r>
      <w:r w:rsidR="00DB1635" w:rsidRPr="00B004EE">
        <w:rPr>
          <w:rFonts w:ascii="Tahoma" w:hAnsi="Tahoma" w:cs="Tahoma"/>
          <w:sz w:val="20"/>
          <w:szCs w:val="20"/>
        </w:rPr>
        <w:t xml:space="preserve"> </w:t>
      </w:r>
      <w:r w:rsidRPr="00B004EE">
        <w:rPr>
          <w:rFonts w:ascii="Tahoma" w:hAnsi="Tahoma" w:cs="Tahoma"/>
          <w:sz w:val="20"/>
          <w:szCs w:val="20"/>
        </w:rPr>
        <w:t>étanche,</w:t>
      </w:r>
      <w:r w:rsidR="00DB1635" w:rsidRPr="00B004EE">
        <w:rPr>
          <w:rFonts w:ascii="Tahoma" w:hAnsi="Tahoma" w:cs="Tahoma"/>
          <w:sz w:val="20"/>
          <w:szCs w:val="20"/>
        </w:rPr>
        <w:t xml:space="preserve"> </w:t>
      </w:r>
      <w:r w:rsidRPr="00B004EE">
        <w:rPr>
          <w:rFonts w:ascii="Tahoma" w:hAnsi="Tahoma" w:cs="Tahoma"/>
          <w:sz w:val="20"/>
          <w:szCs w:val="20"/>
        </w:rPr>
        <w:t>lisse,</w:t>
      </w:r>
      <w:r w:rsidR="00DB1635" w:rsidRPr="00B004EE">
        <w:rPr>
          <w:rFonts w:ascii="Tahoma" w:hAnsi="Tahoma" w:cs="Tahoma"/>
          <w:sz w:val="20"/>
          <w:szCs w:val="20"/>
        </w:rPr>
        <w:t xml:space="preserve"> </w:t>
      </w:r>
      <w:r w:rsidRPr="00B004EE">
        <w:rPr>
          <w:rFonts w:ascii="Tahoma" w:hAnsi="Tahoma" w:cs="Tahoma"/>
          <w:sz w:val="20"/>
          <w:szCs w:val="20"/>
        </w:rPr>
        <w:t>imperméable,</w:t>
      </w:r>
      <w:r w:rsidR="00DB1635" w:rsidRPr="00B004EE">
        <w:rPr>
          <w:rFonts w:ascii="Tahoma" w:hAnsi="Tahoma" w:cs="Tahoma"/>
          <w:sz w:val="20"/>
          <w:szCs w:val="20"/>
        </w:rPr>
        <w:t xml:space="preserve"> </w:t>
      </w:r>
      <w:r w:rsidRPr="00B004EE">
        <w:rPr>
          <w:rFonts w:ascii="Tahoma" w:hAnsi="Tahoma" w:cs="Tahoma"/>
          <w:sz w:val="20"/>
          <w:szCs w:val="20"/>
        </w:rPr>
        <w:t>facile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laver</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désinfecter.</w:t>
      </w:r>
      <w:r w:rsidR="00DB1635" w:rsidRPr="00B004EE">
        <w:rPr>
          <w:rFonts w:ascii="Tahoma" w:hAnsi="Tahoma" w:cs="Tahoma"/>
          <w:sz w:val="20"/>
          <w:szCs w:val="20"/>
        </w:rPr>
        <w:t xml:space="preserve"> </w:t>
      </w:r>
      <w:r w:rsidRPr="00B004EE">
        <w:rPr>
          <w:rFonts w:ascii="Tahoma" w:hAnsi="Tahoma" w:cs="Tahoma"/>
          <w:sz w:val="20"/>
          <w:szCs w:val="20"/>
        </w:rPr>
        <w:t>A</w:t>
      </w:r>
      <w:r w:rsidR="00DB1635" w:rsidRPr="00B004EE">
        <w:rPr>
          <w:rFonts w:ascii="Tahoma" w:hAnsi="Tahoma" w:cs="Tahoma"/>
          <w:sz w:val="20"/>
          <w:szCs w:val="20"/>
        </w:rPr>
        <w:t xml:space="preserve"> </w:t>
      </w:r>
      <w:r w:rsidRPr="00B004EE">
        <w:rPr>
          <w:rFonts w:ascii="Tahoma" w:hAnsi="Tahoma" w:cs="Tahoma"/>
          <w:sz w:val="20"/>
          <w:szCs w:val="20"/>
        </w:rPr>
        <w:t>défaut,</w:t>
      </w:r>
      <w:r w:rsidR="00DB1635" w:rsidRPr="00B004EE">
        <w:rPr>
          <w:rFonts w:ascii="Tahoma" w:hAnsi="Tahoma" w:cs="Tahoma"/>
          <w:sz w:val="20"/>
          <w:szCs w:val="20"/>
        </w:rPr>
        <w:t xml:space="preserve"> </w:t>
      </w:r>
      <w:r w:rsidRPr="00B004EE">
        <w:rPr>
          <w:rFonts w:ascii="Tahoma" w:hAnsi="Tahoma" w:cs="Tahoma"/>
          <w:sz w:val="20"/>
          <w:szCs w:val="20"/>
        </w:rPr>
        <w:t>il</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constitué</w:t>
      </w:r>
      <w:r w:rsidR="00DB1635" w:rsidRPr="00B004EE">
        <w:rPr>
          <w:rFonts w:ascii="Tahoma" w:hAnsi="Tahoma" w:cs="Tahoma"/>
          <w:sz w:val="20"/>
          <w:szCs w:val="20"/>
        </w:rPr>
        <w:t xml:space="preserve"> </w:t>
      </w:r>
      <w:r w:rsidRPr="00B004EE">
        <w:rPr>
          <w:rFonts w:ascii="Tahoma" w:hAnsi="Tahoma" w:cs="Tahoma"/>
          <w:sz w:val="20"/>
          <w:szCs w:val="20"/>
        </w:rPr>
        <w:t>d'une</w:t>
      </w:r>
      <w:r w:rsidR="00DB1635" w:rsidRPr="00B004EE">
        <w:rPr>
          <w:rFonts w:ascii="Tahoma" w:hAnsi="Tahoma" w:cs="Tahoma"/>
          <w:sz w:val="20"/>
          <w:szCs w:val="20"/>
        </w:rPr>
        <w:t xml:space="preserve"> </w:t>
      </w:r>
      <w:r w:rsidRPr="00B004EE">
        <w:rPr>
          <w:rFonts w:ascii="Tahoma" w:hAnsi="Tahoma" w:cs="Tahoma"/>
          <w:sz w:val="20"/>
          <w:szCs w:val="20"/>
        </w:rPr>
        <w:t>peinture</w:t>
      </w:r>
      <w:r w:rsidR="00DB1635" w:rsidRPr="00B004EE">
        <w:rPr>
          <w:rFonts w:ascii="Tahoma" w:hAnsi="Tahoma" w:cs="Tahoma"/>
          <w:sz w:val="20"/>
          <w:szCs w:val="20"/>
        </w:rPr>
        <w:t xml:space="preserve"> </w:t>
      </w:r>
      <w:r w:rsidRPr="00B004EE">
        <w:rPr>
          <w:rFonts w:ascii="Tahoma" w:hAnsi="Tahoma" w:cs="Tahoma"/>
          <w:sz w:val="20"/>
          <w:szCs w:val="20"/>
        </w:rPr>
        <w:t>lisse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lavable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qualité</w:t>
      </w:r>
      <w:r w:rsidR="00DB1635" w:rsidRPr="00B004EE">
        <w:rPr>
          <w:rFonts w:ascii="Tahoma" w:hAnsi="Tahoma" w:cs="Tahoma"/>
          <w:sz w:val="20"/>
          <w:szCs w:val="20"/>
        </w:rPr>
        <w:t xml:space="preserve"> </w:t>
      </w:r>
      <w:r w:rsidRPr="00B004EE">
        <w:rPr>
          <w:rFonts w:ascii="Tahoma" w:hAnsi="Tahoma" w:cs="Tahoma"/>
          <w:sz w:val="20"/>
          <w:szCs w:val="20"/>
        </w:rPr>
        <w:t>alimentaire.</w:t>
      </w:r>
    </w:p>
    <w:p w14:paraId="717F91DB" w14:textId="77777777" w:rsidR="002F24E1" w:rsidRPr="00B004EE" w:rsidRDefault="002F24E1" w:rsidP="00B004EE">
      <w:pPr>
        <w:jc w:val="both"/>
        <w:rPr>
          <w:rFonts w:ascii="Tahoma" w:hAnsi="Tahoma" w:cs="Tahoma"/>
          <w:sz w:val="20"/>
          <w:szCs w:val="20"/>
        </w:rPr>
      </w:pPr>
    </w:p>
    <w:p w14:paraId="460B82A8" w14:textId="348E3AE0" w:rsidR="002F24E1" w:rsidRPr="00B004EE" w:rsidRDefault="002F24E1" w:rsidP="00B004EE">
      <w:pPr>
        <w:jc w:val="both"/>
        <w:rPr>
          <w:rFonts w:ascii="Tahoma" w:hAnsi="Tahoma" w:cs="Tahoma"/>
          <w:sz w:val="20"/>
          <w:szCs w:val="20"/>
        </w:rPr>
      </w:pPr>
      <w:r w:rsidRPr="00B004EE">
        <w:rPr>
          <w:rFonts w:ascii="Tahoma" w:hAnsi="Tahoma" w:cs="Tahoma"/>
          <w:sz w:val="20"/>
          <w:szCs w:val="20"/>
        </w:rPr>
        <w:t>Article</w:t>
      </w:r>
      <w:r w:rsidR="00DB1635" w:rsidRPr="00B004EE">
        <w:rPr>
          <w:rFonts w:ascii="Tahoma" w:hAnsi="Tahoma" w:cs="Tahoma"/>
          <w:sz w:val="20"/>
          <w:szCs w:val="20"/>
        </w:rPr>
        <w:t xml:space="preserve"> </w:t>
      </w:r>
      <w:r w:rsidR="00FF77A5" w:rsidRPr="00B004EE">
        <w:rPr>
          <w:rFonts w:ascii="Tahoma" w:hAnsi="Tahoma" w:cs="Tahoma"/>
          <w:sz w:val="20"/>
          <w:szCs w:val="20"/>
        </w:rPr>
        <w:t>13 :</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glace</w:t>
      </w:r>
      <w:r w:rsidR="00DB1635" w:rsidRPr="00B004EE">
        <w:rPr>
          <w:rFonts w:ascii="Tahoma" w:hAnsi="Tahoma" w:cs="Tahoma"/>
          <w:sz w:val="20"/>
          <w:szCs w:val="20"/>
        </w:rPr>
        <w:t xml:space="preserve"> </w:t>
      </w:r>
      <w:r w:rsidRPr="00B004EE">
        <w:rPr>
          <w:rFonts w:ascii="Tahoma" w:hAnsi="Tahoma" w:cs="Tahoma"/>
          <w:sz w:val="20"/>
          <w:szCs w:val="20"/>
        </w:rPr>
        <w:t>utilisée</w:t>
      </w:r>
      <w:r w:rsidR="00DB1635" w:rsidRPr="00B004EE">
        <w:rPr>
          <w:rFonts w:ascii="Tahoma" w:hAnsi="Tahoma" w:cs="Tahoma"/>
          <w:sz w:val="20"/>
          <w:szCs w:val="20"/>
        </w:rPr>
        <w:t xml:space="preserve"> </w:t>
      </w:r>
      <w:r w:rsidRPr="00B004EE">
        <w:rPr>
          <w:rFonts w:ascii="Tahoma" w:hAnsi="Tahoma" w:cs="Tahoma"/>
          <w:sz w:val="20"/>
          <w:szCs w:val="20"/>
        </w:rPr>
        <w:t>doit</w:t>
      </w:r>
      <w:r w:rsidR="00DB1635" w:rsidRPr="00B004EE">
        <w:rPr>
          <w:rFonts w:ascii="Tahoma" w:hAnsi="Tahoma" w:cs="Tahoma"/>
          <w:sz w:val="20"/>
          <w:szCs w:val="20"/>
        </w:rPr>
        <w:t xml:space="preserve"> </w:t>
      </w:r>
      <w:r w:rsidRPr="00B004EE">
        <w:rPr>
          <w:rFonts w:ascii="Tahoma" w:hAnsi="Tahoma" w:cs="Tahoma"/>
          <w:sz w:val="20"/>
          <w:szCs w:val="20"/>
        </w:rPr>
        <w:t>provenir</w:t>
      </w:r>
      <w:r w:rsidR="00DB1635" w:rsidRPr="00B004EE">
        <w:rPr>
          <w:rFonts w:ascii="Tahoma" w:hAnsi="Tahoma" w:cs="Tahoma"/>
          <w:sz w:val="20"/>
          <w:szCs w:val="20"/>
        </w:rPr>
        <w:t xml:space="preserve"> </w:t>
      </w:r>
      <w:r w:rsidRPr="00B004EE">
        <w:rPr>
          <w:rFonts w:ascii="Tahoma" w:hAnsi="Tahoma" w:cs="Tahoma"/>
          <w:sz w:val="20"/>
          <w:szCs w:val="20"/>
        </w:rPr>
        <w:t>d'eau</w:t>
      </w:r>
      <w:r w:rsidR="00DB1635" w:rsidRPr="00B004EE">
        <w:rPr>
          <w:rFonts w:ascii="Tahoma" w:hAnsi="Tahoma" w:cs="Tahoma"/>
          <w:sz w:val="20"/>
          <w:szCs w:val="20"/>
        </w:rPr>
        <w:t xml:space="preserve"> </w:t>
      </w:r>
      <w:r w:rsidRPr="00B004EE">
        <w:rPr>
          <w:rFonts w:ascii="Tahoma" w:hAnsi="Tahoma" w:cs="Tahoma"/>
          <w:sz w:val="20"/>
          <w:szCs w:val="20"/>
        </w:rPr>
        <w:t>potable</w:t>
      </w:r>
      <w:r w:rsidR="00DB1635" w:rsidRPr="00B004EE">
        <w:rPr>
          <w:rFonts w:ascii="Tahoma" w:hAnsi="Tahoma" w:cs="Tahoma"/>
          <w:sz w:val="20"/>
          <w:szCs w:val="20"/>
        </w:rPr>
        <w:t xml:space="preserve"> </w:t>
      </w:r>
      <w:r w:rsidRPr="00B004EE">
        <w:rPr>
          <w:rFonts w:ascii="Tahoma" w:hAnsi="Tahoma" w:cs="Tahoma"/>
          <w:sz w:val="20"/>
          <w:szCs w:val="20"/>
        </w:rPr>
        <w:t>(eau</w:t>
      </w:r>
      <w:r w:rsidR="00DB1635" w:rsidRPr="00B004EE">
        <w:rPr>
          <w:rFonts w:ascii="Tahoma" w:hAnsi="Tahoma" w:cs="Tahoma"/>
          <w:sz w:val="20"/>
          <w:szCs w:val="20"/>
        </w:rPr>
        <w:t xml:space="preserve"> </w:t>
      </w:r>
      <w:r w:rsidRPr="00B004EE">
        <w:rPr>
          <w:rFonts w:ascii="Tahoma" w:hAnsi="Tahoma" w:cs="Tahoma"/>
          <w:sz w:val="20"/>
          <w:szCs w:val="20"/>
        </w:rPr>
        <w:t>douce</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eau</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mer</w:t>
      </w:r>
      <w:r w:rsidR="00DB1635" w:rsidRPr="00B004EE">
        <w:rPr>
          <w:rFonts w:ascii="Tahoma" w:hAnsi="Tahoma" w:cs="Tahoma"/>
          <w:sz w:val="20"/>
          <w:szCs w:val="20"/>
        </w:rPr>
        <w:t xml:space="preserve"> </w:t>
      </w:r>
      <w:r w:rsidRPr="00B004EE">
        <w:rPr>
          <w:rFonts w:ascii="Tahoma" w:hAnsi="Tahoma" w:cs="Tahoma"/>
          <w:sz w:val="20"/>
          <w:szCs w:val="20"/>
        </w:rPr>
        <w:t>propre).</w:t>
      </w:r>
      <w:r w:rsidR="00DB1635" w:rsidRPr="00B004EE">
        <w:rPr>
          <w:rFonts w:ascii="Tahoma" w:hAnsi="Tahoma" w:cs="Tahoma"/>
          <w:sz w:val="20"/>
          <w:szCs w:val="20"/>
        </w:rPr>
        <w:t xml:space="preserve"> </w:t>
      </w:r>
      <w:r w:rsidRPr="00B004EE">
        <w:rPr>
          <w:rFonts w:ascii="Tahoma" w:hAnsi="Tahoma" w:cs="Tahoma"/>
          <w:sz w:val="20"/>
          <w:szCs w:val="20"/>
        </w:rPr>
        <w:t>Elle</w:t>
      </w:r>
      <w:r w:rsidR="00DB1635" w:rsidRPr="00B004EE">
        <w:rPr>
          <w:rFonts w:ascii="Tahoma" w:hAnsi="Tahoma" w:cs="Tahoma"/>
          <w:sz w:val="20"/>
          <w:szCs w:val="20"/>
        </w:rPr>
        <w:t xml:space="preserve"> </w:t>
      </w:r>
      <w:r w:rsidRPr="00B004EE">
        <w:rPr>
          <w:rFonts w:ascii="Tahoma" w:hAnsi="Tahoma" w:cs="Tahoma"/>
          <w:sz w:val="20"/>
          <w:szCs w:val="20"/>
        </w:rPr>
        <w:t>doit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quantité</w:t>
      </w:r>
      <w:r w:rsidR="00DB1635" w:rsidRPr="00B004EE">
        <w:rPr>
          <w:rFonts w:ascii="Tahoma" w:hAnsi="Tahoma" w:cs="Tahoma"/>
          <w:sz w:val="20"/>
          <w:szCs w:val="20"/>
        </w:rPr>
        <w:t xml:space="preserve"> </w:t>
      </w:r>
      <w:r w:rsidRPr="00B004EE">
        <w:rPr>
          <w:rFonts w:ascii="Tahoma" w:hAnsi="Tahoma" w:cs="Tahoma"/>
          <w:sz w:val="20"/>
          <w:szCs w:val="20"/>
        </w:rPr>
        <w:t>suffisante</w:t>
      </w:r>
      <w:r w:rsidR="00DB1635" w:rsidRPr="00B004EE">
        <w:rPr>
          <w:rFonts w:ascii="Tahoma" w:hAnsi="Tahoma" w:cs="Tahoma"/>
          <w:sz w:val="20"/>
          <w:szCs w:val="20"/>
        </w:rPr>
        <w:t xml:space="preserve"> </w:t>
      </w:r>
      <w:r w:rsidRPr="00B004EE">
        <w:rPr>
          <w:rFonts w:ascii="Tahoma" w:hAnsi="Tahoma" w:cs="Tahoma"/>
          <w:sz w:val="20"/>
          <w:szCs w:val="20"/>
        </w:rPr>
        <w:t>telle</w:t>
      </w:r>
      <w:r w:rsidR="00DB1635" w:rsidRPr="00B004EE">
        <w:rPr>
          <w:rFonts w:ascii="Tahoma" w:hAnsi="Tahoma" w:cs="Tahoma"/>
          <w:sz w:val="20"/>
          <w:szCs w:val="20"/>
        </w:rPr>
        <w:t xml:space="preserve"> </w:t>
      </w:r>
      <w:r w:rsidRPr="00B004EE">
        <w:rPr>
          <w:rFonts w:ascii="Tahoma" w:hAnsi="Tahoma" w:cs="Tahoma"/>
          <w:sz w:val="20"/>
          <w:szCs w:val="20"/>
        </w:rPr>
        <w:t>qu'au</w:t>
      </w:r>
      <w:r w:rsidR="00DB1635" w:rsidRPr="00B004EE">
        <w:rPr>
          <w:rFonts w:ascii="Tahoma" w:hAnsi="Tahoma" w:cs="Tahoma"/>
          <w:sz w:val="20"/>
          <w:szCs w:val="20"/>
        </w:rPr>
        <w:t xml:space="preserve"> </w:t>
      </w:r>
      <w:r w:rsidRPr="00B004EE">
        <w:rPr>
          <w:rFonts w:ascii="Tahoma" w:hAnsi="Tahoma" w:cs="Tahoma"/>
          <w:sz w:val="20"/>
          <w:szCs w:val="20"/>
        </w:rPr>
        <w:t>débarquement</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température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00FF77A5" w:rsidRPr="00B004EE">
        <w:rPr>
          <w:rFonts w:ascii="Tahoma" w:hAnsi="Tahoma" w:cs="Tahoma"/>
          <w:sz w:val="20"/>
          <w:szCs w:val="20"/>
        </w:rPr>
        <w:t>cœur</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soit</w:t>
      </w:r>
      <w:r w:rsidR="00DB1635" w:rsidRPr="00B004EE">
        <w:rPr>
          <w:rFonts w:ascii="Tahoma" w:hAnsi="Tahoma" w:cs="Tahoma"/>
          <w:sz w:val="20"/>
          <w:szCs w:val="20"/>
        </w:rPr>
        <w:t xml:space="preserve"> </w:t>
      </w:r>
      <w:r w:rsidRPr="00B004EE">
        <w:rPr>
          <w:rFonts w:ascii="Tahoma" w:hAnsi="Tahoma" w:cs="Tahoma"/>
          <w:sz w:val="20"/>
          <w:szCs w:val="20"/>
        </w:rPr>
        <w:t>celle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glace</w:t>
      </w:r>
      <w:r w:rsidR="00DB1635" w:rsidRPr="00B004EE">
        <w:rPr>
          <w:rFonts w:ascii="Tahoma" w:hAnsi="Tahoma" w:cs="Tahoma"/>
          <w:sz w:val="20"/>
          <w:szCs w:val="20"/>
        </w:rPr>
        <w:t xml:space="preserve"> </w:t>
      </w:r>
      <w:r w:rsidRPr="00B004EE">
        <w:rPr>
          <w:rFonts w:ascii="Tahoma" w:hAnsi="Tahoma" w:cs="Tahoma"/>
          <w:sz w:val="20"/>
          <w:szCs w:val="20"/>
        </w:rPr>
        <w:t>fondante.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glace</w:t>
      </w:r>
      <w:r w:rsidR="00DB1635" w:rsidRPr="00B004EE">
        <w:rPr>
          <w:rFonts w:ascii="Tahoma" w:hAnsi="Tahoma" w:cs="Tahoma"/>
          <w:sz w:val="20"/>
          <w:szCs w:val="20"/>
        </w:rPr>
        <w:t xml:space="preserve"> </w:t>
      </w:r>
      <w:r w:rsidRPr="00B004EE">
        <w:rPr>
          <w:rFonts w:ascii="Tahoma" w:hAnsi="Tahoma" w:cs="Tahoma"/>
          <w:sz w:val="20"/>
          <w:szCs w:val="20"/>
        </w:rPr>
        <w:t>doit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répartie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façon</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assurer</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réfrigération</w:t>
      </w:r>
      <w:r w:rsidR="00DB1635" w:rsidRPr="00B004EE">
        <w:rPr>
          <w:rFonts w:ascii="Tahoma" w:hAnsi="Tahoma" w:cs="Tahoma"/>
          <w:sz w:val="20"/>
          <w:szCs w:val="20"/>
        </w:rPr>
        <w:t xml:space="preserve"> </w:t>
      </w:r>
      <w:r w:rsidRPr="00B004EE">
        <w:rPr>
          <w:rFonts w:ascii="Tahoma" w:hAnsi="Tahoma" w:cs="Tahoma"/>
          <w:sz w:val="20"/>
          <w:szCs w:val="20"/>
        </w:rPr>
        <w:t>efficace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homogène,</w:t>
      </w:r>
      <w:r w:rsidR="00DB1635" w:rsidRPr="00B004EE">
        <w:rPr>
          <w:rFonts w:ascii="Tahoma" w:hAnsi="Tahoma" w:cs="Tahoma"/>
          <w:sz w:val="20"/>
          <w:szCs w:val="20"/>
        </w:rPr>
        <w:t xml:space="preserve"> </w:t>
      </w:r>
      <w:r w:rsidRPr="00B004EE">
        <w:rPr>
          <w:rFonts w:ascii="Tahoma" w:hAnsi="Tahoma" w:cs="Tahoma"/>
          <w:sz w:val="20"/>
          <w:szCs w:val="20"/>
        </w:rPr>
        <w:t>sans</w:t>
      </w:r>
      <w:r w:rsidR="00DB1635" w:rsidRPr="00B004EE">
        <w:rPr>
          <w:rFonts w:ascii="Tahoma" w:hAnsi="Tahoma" w:cs="Tahoma"/>
          <w:sz w:val="20"/>
          <w:szCs w:val="20"/>
        </w:rPr>
        <w:t xml:space="preserve"> </w:t>
      </w:r>
      <w:r w:rsidRPr="00B004EE">
        <w:rPr>
          <w:rFonts w:ascii="Tahoma" w:hAnsi="Tahoma" w:cs="Tahoma"/>
          <w:sz w:val="20"/>
          <w:szCs w:val="20"/>
        </w:rPr>
        <w:t>que</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morceaux</w:t>
      </w:r>
      <w:r w:rsidR="00DB1635" w:rsidRPr="00B004EE">
        <w:rPr>
          <w:rFonts w:ascii="Tahoma" w:hAnsi="Tahoma" w:cs="Tahoma"/>
          <w:sz w:val="20"/>
          <w:szCs w:val="20"/>
        </w:rPr>
        <w:t xml:space="preserve"> </w:t>
      </w:r>
      <w:r w:rsidRPr="00B004EE">
        <w:rPr>
          <w:rFonts w:ascii="Tahoma" w:hAnsi="Tahoma" w:cs="Tahoma"/>
          <w:sz w:val="20"/>
          <w:szCs w:val="20"/>
        </w:rPr>
        <w:t>ni</w:t>
      </w:r>
      <w:r w:rsidR="00DB1635" w:rsidRPr="00B004EE">
        <w:rPr>
          <w:rFonts w:ascii="Tahoma" w:hAnsi="Tahoma" w:cs="Tahoma"/>
          <w:sz w:val="20"/>
          <w:szCs w:val="20"/>
        </w:rPr>
        <w:t xml:space="preserve"> </w:t>
      </w:r>
      <w:r w:rsidRPr="00B004EE">
        <w:rPr>
          <w:rFonts w:ascii="Tahoma" w:hAnsi="Tahoma" w:cs="Tahoma"/>
          <w:sz w:val="20"/>
          <w:szCs w:val="20"/>
        </w:rPr>
        <w:t>l'eau</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fusion</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glace</w:t>
      </w:r>
      <w:r w:rsidR="00DB1635" w:rsidRPr="00B004EE">
        <w:rPr>
          <w:rFonts w:ascii="Tahoma" w:hAnsi="Tahoma" w:cs="Tahoma"/>
          <w:sz w:val="20"/>
          <w:szCs w:val="20"/>
        </w:rPr>
        <w:t xml:space="preserve"> </w:t>
      </w:r>
      <w:r w:rsidRPr="00B004EE">
        <w:rPr>
          <w:rFonts w:ascii="Tahoma" w:hAnsi="Tahoma" w:cs="Tahoma"/>
          <w:sz w:val="20"/>
          <w:szCs w:val="20"/>
        </w:rPr>
        <w:t>ne</w:t>
      </w:r>
      <w:r w:rsidR="00DB1635" w:rsidRPr="00B004EE">
        <w:rPr>
          <w:rFonts w:ascii="Tahoma" w:hAnsi="Tahoma" w:cs="Tahoma"/>
          <w:sz w:val="20"/>
          <w:szCs w:val="20"/>
        </w:rPr>
        <w:t xml:space="preserve"> </w:t>
      </w:r>
      <w:r w:rsidRPr="00B004EE">
        <w:rPr>
          <w:rFonts w:ascii="Tahoma" w:hAnsi="Tahoma" w:cs="Tahoma"/>
          <w:sz w:val="20"/>
          <w:szCs w:val="20"/>
        </w:rPr>
        <w:t>risquent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détériorer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produits.</w:t>
      </w:r>
    </w:p>
    <w:p w14:paraId="42A049DD" w14:textId="77777777" w:rsidR="002F24E1" w:rsidRPr="00B004EE" w:rsidRDefault="002F24E1" w:rsidP="00B004EE">
      <w:pPr>
        <w:jc w:val="both"/>
        <w:rPr>
          <w:rFonts w:ascii="Tahoma" w:hAnsi="Tahoma" w:cs="Tahoma"/>
          <w:sz w:val="20"/>
          <w:szCs w:val="20"/>
        </w:rPr>
      </w:pPr>
    </w:p>
    <w:p w14:paraId="1A3E6D2B" w14:textId="20752946" w:rsidR="002F24E1" w:rsidRPr="00B004EE" w:rsidRDefault="002F24E1" w:rsidP="00B004EE">
      <w:pPr>
        <w:jc w:val="both"/>
        <w:rPr>
          <w:rFonts w:ascii="Tahoma" w:hAnsi="Tahoma" w:cs="Tahoma"/>
          <w:sz w:val="20"/>
          <w:szCs w:val="20"/>
        </w:rPr>
      </w:pPr>
      <w:r w:rsidRPr="00B004EE">
        <w:rPr>
          <w:rFonts w:ascii="Tahoma" w:hAnsi="Tahoma" w:cs="Tahoma"/>
          <w:sz w:val="20"/>
          <w:szCs w:val="20"/>
        </w:rPr>
        <w:t>Article</w:t>
      </w:r>
      <w:r w:rsidR="00DB1635" w:rsidRPr="00B004EE">
        <w:rPr>
          <w:rFonts w:ascii="Tahoma" w:hAnsi="Tahoma" w:cs="Tahoma"/>
          <w:sz w:val="20"/>
          <w:szCs w:val="20"/>
        </w:rPr>
        <w:t xml:space="preserve"> </w:t>
      </w:r>
      <w:r w:rsidRPr="00B004EE">
        <w:rPr>
          <w:rFonts w:ascii="Tahoma" w:hAnsi="Tahoma" w:cs="Tahoma"/>
          <w:sz w:val="20"/>
          <w:szCs w:val="20"/>
        </w:rPr>
        <w:t>14</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moment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leur</w:t>
      </w:r>
      <w:r w:rsidR="00DB1635" w:rsidRPr="00B004EE">
        <w:rPr>
          <w:rFonts w:ascii="Tahoma" w:hAnsi="Tahoma" w:cs="Tahoma"/>
          <w:sz w:val="20"/>
          <w:szCs w:val="20"/>
        </w:rPr>
        <w:t xml:space="preserve"> </w:t>
      </w:r>
      <w:r w:rsidRPr="00B004EE">
        <w:rPr>
          <w:rFonts w:ascii="Tahoma" w:hAnsi="Tahoma" w:cs="Tahoma"/>
          <w:sz w:val="20"/>
          <w:szCs w:val="20"/>
        </w:rPr>
        <w:t>utilisation,</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surfaces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travail,</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équipements,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récipients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cales</w:t>
      </w:r>
      <w:r w:rsidR="00DB1635" w:rsidRPr="00B004EE">
        <w:rPr>
          <w:rFonts w:ascii="Tahoma" w:hAnsi="Tahoma" w:cs="Tahoma"/>
          <w:sz w:val="20"/>
          <w:szCs w:val="20"/>
        </w:rPr>
        <w:t xml:space="preserve"> </w:t>
      </w:r>
      <w:r w:rsidRPr="00B004EE">
        <w:rPr>
          <w:rFonts w:ascii="Tahoma" w:hAnsi="Tahoma" w:cs="Tahoma"/>
          <w:sz w:val="20"/>
          <w:szCs w:val="20"/>
        </w:rPr>
        <w:t>doivent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bon</w:t>
      </w:r>
      <w:r w:rsidR="00DB1635" w:rsidRPr="00B004EE">
        <w:rPr>
          <w:rFonts w:ascii="Tahoma" w:hAnsi="Tahoma" w:cs="Tahoma"/>
          <w:sz w:val="20"/>
          <w:szCs w:val="20"/>
        </w:rPr>
        <w:t xml:space="preserve"> </w:t>
      </w:r>
      <w:r w:rsidRPr="00B004EE">
        <w:rPr>
          <w:rFonts w:ascii="Tahoma" w:hAnsi="Tahoma" w:cs="Tahoma"/>
          <w:sz w:val="20"/>
          <w:szCs w:val="20"/>
        </w:rPr>
        <w:t>état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propreté.</w:t>
      </w:r>
      <w:r w:rsidR="00DB1635" w:rsidRPr="00B004EE">
        <w:rPr>
          <w:rFonts w:ascii="Tahoma" w:hAnsi="Tahoma" w:cs="Tahoma"/>
          <w:sz w:val="20"/>
          <w:szCs w:val="20"/>
        </w:rPr>
        <w:t xml:space="preserve"> </w:t>
      </w:r>
      <w:r w:rsidRPr="00B004EE">
        <w:rPr>
          <w:rFonts w:ascii="Tahoma" w:hAnsi="Tahoma" w:cs="Tahoma"/>
          <w:sz w:val="20"/>
          <w:szCs w:val="20"/>
        </w:rPr>
        <w:t>Ils</w:t>
      </w:r>
      <w:r w:rsidR="00DB1635" w:rsidRPr="00B004EE">
        <w:rPr>
          <w:rFonts w:ascii="Tahoma" w:hAnsi="Tahoma" w:cs="Tahoma"/>
          <w:sz w:val="20"/>
          <w:szCs w:val="20"/>
        </w:rPr>
        <w:t xml:space="preserve"> </w:t>
      </w:r>
      <w:r w:rsidRPr="00B004EE">
        <w:rPr>
          <w:rFonts w:ascii="Tahoma" w:hAnsi="Tahoma" w:cs="Tahoma"/>
          <w:sz w:val="20"/>
          <w:szCs w:val="20"/>
        </w:rPr>
        <w:t>doivent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soigneusement</w:t>
      </w:r>
      <w:r w:rsidR="00DB1635" w:rsidRPr="00B004EE">
        <w:rPr>
          <w:rFonts w:ascii="Tahoma" w:hAnsi="Tahoma" w:cs="Tahoma"/>
          <w:sz w:val="20"/>
          <w:szCs w:val="20"/>
        </w:rPr>
        <w:t xml:space="preserve"> </w:t>
      </w:r>
      <w:r w:rsidRPr="00B004EE">
        <w:rPr>
          <w:rFonts w:ascii="Tahoma" w:hAnsi="Tahoma" w:cs="Tahoma"/>
          <w:sz w:val="20"/>
          <w:szCs w:val="20"/>
        </w:rPr>
        <w:t>nettoyés</w:t>
      </w:r>
      <w:r w:rsidR="00DB1635" w:rsidRPr="00B004EE">
        <w:rPr>
          <w:rFonts w:ascii="Tahoma" w:hAnsi="Tahoma" w:cs="Tahoma"/>
          <w:sz w:val="20"/>
          <w:szCs w:val="20"/>
        </w:rPr>
        <w:t xml:space="preserve"> </w:t>
      </w:r>
      <w:r w:rsidRPr="00B004EE">
        <w:rPr>
          <w:rFonts w:ascii="Tahoma" w:hAnsi="Tahoma" w:cs="Tahoma"/>
          <w:sz w:val="20"/>
          <w:szCs w:val="20"/>
        </w:rPr>
        <w:t>après</w:t>
      </w:r>
      <w:r w:rsidR="00DB1635" w:rsidRPr="00B004EE">
        <w:rPr>
          <w:rFonts w:ascii="Tahoma" w:hAnsi="Tahoma" w:cs="Tahoma"/>
          <w:sz w:val="20"/>
          <w:szCs w:val="20"/>
        </w:rPr>
        <w:t xml:space="preserve"> </w:t>
      </w:r>
      <w:r w:rsidRPr="00B004EE">
        <w:rPr>
          <w:rFonts w:ascii="Tahoma" w:hAnsi="Tahoma" w:cs="Tahoma"/>
          <w:sz w:val="20"/>
          <w:szCs w:val="20"/>
        </w:rPr>
        <w:t>chaque</w:t>
      </w:r>
      <w:r w:rsidR="00DB1635" w:rsidRPr="00B004EE">
        <w:rPr>
          <w:rFonts w:ascii="Tahoma" w:hAnsi="Tahoma" w:cs="Tahoma"/>
          <w:sz w:val="20"/>
          <w:szCs w:val="20"/>
        </w:rPr>
        <w:t xml:space="preserve"> </w:t>
      </w:r>
      <w:r w:rsidRPr="00B004EE">
        <w:rPr>
          <w:rFonts w:ascii="Tahoma" w:hAnsi="Tahoma" w:cs="Tahoma"/>
          <w:sz w:val="20"/>
          <w:szCs w:val="20"/>
        </w:rPr>
        <w:t>usage</w:t>
      </w:r>
      <w:r w:rsidR="00DB1635" w:rsidRPr="00B004EE">
        <w:rPr>
          <w:rFonts w:ascii="Tahoma" w:hAnsi="Tahoma" w:cs="Tahoma"/>
          <w:sz w:val="20"/>
          <w:szCs w:val="20"/>
        </w:rPr>
        <w:t xml:space="preserve"> </w:t>
      </w:r>
      <w:r w:rsidRPr="00B004EE">
        <w:rPr>
          <w:rFonts w:ascii="Tahoma" w:hAnsi="Tahoma" w:cs="Tahoma"/>
          <w:sz w:val="20"/>
          <w:szCs w:val="20"/>
        </w:rPr>
        <w:t>avec</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l'eau</w:t>
      </w:r>
      <w:r w:rsidR="00DB1635" w:rsidRPr="00B004EE">
        <w:rPr>
          <w:rFonts w:ascii="Tahoma" w:hAnsi="Tahoma" w:cs="Tahoma"/>
          <w:sz w:val="20"/>
          <w:szCs w:val="20"/>
        </w:rPr>
        <w:t xml:space="preserve"> </w:t>
      </w:r>
      <w:r w:rsidRPr="00B004EE">
        <w:rPr>
          <w:rFonts w:ascii="Tahoma" w:hAnsi="Tahoma" w:cs="Tahoma"/>
          <w:sz w:val="20"/>
          <w:szCs w:val="20"/>
        </w:rPr>
        <w:t>potable</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l'eau</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mer</w:t>
      </w:r>
      <w:r w:rsidR="00DB1635" w:rsidRPr="00B004EE">
        <w:rPr>
          <w:rFonts w:ascii="Tahoma" w:hAnsi="Tahoma" w:cs="Tahoma"/>
          <w:sz w:val="20"/>
          <w:szCs w:val="20"/>
        </w:rPr>
        <w:t xml:space="preserve"> </w:t>
      </w:r>
      <w:r w:rsidRPr="00B004EE">
        <w:rPr>
          <w:rFonts w:ascii="Tahoma" w:hAnsi="Tahoma" w:cs="Tahoma"/>
          <w:sz w:val="20"/>
          <w:szCs w:val="20"/>
        </w:rPr>
        <w:t>propre.</w:t>
      </w:r>
    </w:p>
    <w:p w14:paraId="67EEC1D7" w14:textId="77777777" w:rsidR="002F24E1" w:rsidRPr="00B004EE" w:rsidRDefault="002F24E1" w:rsidP="00B004EE">
      <w:pPr>
        <w:jc w:val="both"/>
        <w:rPr>
          <w:rFonts w:ascii="Tahoma" w:hAnsi="Tahoma" w:cs="Tahoma"/>
          <w:sz w:val="20"/>
          <w:szCs w:val="20"/>
        </w:rPr>
      </w:pPr>
    </w:p>
    <w:p w14:paraId="4D8F5049" w14:textId="645A2CC8" w:rsidR="002F24E1" w:rsidRPr="00B004EE" w:rsidRDefault="002F24E1" w:rsidP="00B004EE">
      <w:pPr>
        <w:pStyle w:val="Corpsdetexte2"/>
        <w:spacing w:after="0" w:line="240" w:lineRule="auto"/>
        <w:jc w:val="both"/>
        <w:rPr>
          <w:rFonts w:ascii="Tahoma" w:hAnsi="Tahoma" w:cs="Tahoma"/>
          <w:sz w:val="20"/>
          <w:szCs w:val="20"/>
        </w:rPr>
      </w:pP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désinfection</w:t>
      </w:r>
      <w:r w:rsidR="00DB1635" w:rsidRPr="00B004EE">
        <w:rPr>
          <w:rFonts w:ascii="Tahoma" w:hAnsi="Tahoma" w:cs="Tahoma"/>
          <w:sz w:val="20"/>
          <w:szCs w:val="20"/>
        </w:rPr>
        <w:t xml:space="preserve"> </w:t>
      </w:r>
      <w:r w:rsidRPr="00B004EE">
        <w:rPr>
          <w:rFonts w:ascii="Tahoma" w:hAnsi="Tahoma" w:cs="Tahoma"/>
          <w:sz w:val="20"/>
          <w:szCs w:val="20"/>
        </w:rPr>
        <w:t>doit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réalisée</w:t>
      </w:r>
      <w:r w:rsidR="00DB1635" w:rsidRPr="00B004EE">
        <w:rPr>
          <w:rFonts w:ascii="Tahoma" w:hAnsi="Tahoma" w:cs="Tahoma"/>
          <w:sz w:val="20"/>
          <w:szCs w:val="20"/>
        </w:rPr>
        <w:t xml:space="preserve"> </w:t>
      </w:r>
      <w:r w:rsidRPr="00B004EE">
        <w:rPr>
          <w:rFonts w:ascii="Tahoma" w:hAnsi="Tahoma" w:cs="Tahoma"/>
          <w:sz w:val="20"/>
          <w:szCs w:val="20"/>
        </w:rPr>
        <w:t>chaque</w:t>
      </w:r>
      <w:r w:rsidR="00DB1635" w:rsidRPr="00B004EE">
        <w:rPr>
          <w:rFonts w:ascii="Tahoma" w:hAnsi="Tahoma" w:cs="Tahoma"/>
          <w:sz w:val="20"/>
          <w:szCs w:val="20"/>
        </w:rPr>
        <w:t xml:space="preserve"> </w:t>
      </w:r>
      <w:r w:rsidRPr="00B004EE">
        <w:rPr>
          <w:rFonts w:ascii="Tahoma" w:hAnsi="Tahoma" w:cs="Tahoma"/>
          <w:sz w:val="20"/>
          <w:szCs w:val="20"/>
        </w:rPr>
        <w:t>fois</w:t>
      </w:r>
      <w:r w:rsidR="00DB1635" w:rsidRPr="00B004EE">
        <w:rPr>
          <w:rFonts w:ascii="Tahoma" w:hAnsi="Tahoma" w:cs="Tahoma"/>
          <w:sz w:val="20"/>
          <w:szCs w:val="20"/>
        </w:rPr>
        <w:t xml:space="preserve"> </w:t>
      </w:r>
      <w:r w:rsidRPr="00B004EE">
        <w:rPr>
          <w:rFonts w:ascii="Tahoma" w:hAnsi="Tahoma" w:cs="Tahoma"/>
          <w:sz w:val="20"/>
          <w:szCs w:val="20"/>
        </w:rPr>
        <w:t>que</w:t>
      </w:r>
      <w:r w:rsidR="00DB1635" w:rsidRPr="00B004EE">
        <w:rPr>
          <w:rFonts w:ascii="Tahoma" w:hAnsi="Tahoma" w:cs="Tahoma"/>
          <w:sz w:val="20"/>
          <w:szCs w:val="20"/>
        </w:rPr>
        <w:t xml:space="preserve"> </w:t>
      </w:r>
      <w:r w:rsidRPr="00B004EE">
        <w:rPr>
          <w:rFonts w:ascii="Tahoma" w:hAnsi="Tahoma" w:cs="Tahoma"/>
          <w:sz w:val="20"/>
          <w:szCs w:val="20"/>
        </w:rPr>
        <w:t>cela</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nécessaire,</w:t>
      </w:r>
      <w:r w:rsidR="00DB1635" w:rsidRPr="00B004EE">
        <w:rPr>
          <w:rFonts w:ascii="Tahoma" w:hAnsi="Tahoma" w:cs="Tahoma"/>
          <w:sz w:val="20"/>
          <w:szCs w:val="20"/>
        </w:rPr>
        <w:t xml:space="preserve"> </w:t>
      </w:r>
      <w:r w:rsidRPr="00B004EE">
        <w:rPr>
          <w:rFonts w:ascii="Tahoma" w:hAnsi="Tahoma" w:cs="Tahoma"/>
          <w:sz w:val="20"/>
          <w:szCs w:val="20"/>
        </w:rPr>
        <w:t>selon</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prescriptions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réglementation</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vigueur.</w:t>
      </w:r>
      <w:r w:rsidR="00DB1635" w:rsidRPr="00B004EE">
        <w:rPr>
          <w:rFonts w:ascii="Tahoma" w:hAnsi="Tahoma" w:cs="Tahoma"/>
          <w:sz w:val="20"/>
          <w:szCs w:val="20"/>
        </w:rPr>
        <w:t xml:space="preserve"> </w:t>
      </w:r>
      <w:r w:rsidRPr="00B004EE">
        <w:rPr>
          <w:rFonts w:ascii="Tahoma" w:hAnsi="Tahoma" w:cs="Tahoma"/>
          <w:sz w:val="20"/>
          <w:szCs w:val="20"/>
        </w:rPr>
        <w:t>Toutes</w:t>
      </w:r>
      <w:r w:rsidR="00DB1635" w:rsidRPr="00B004EE">
        <w:rPr>
          <w:rFonts w:ascii="Tahoma" w:hAnsi="Tahoma" w:cs="Tahoma"/>
          <w:sz w:val="20"/>
          <w:szCs w:val="20"/>
        </w:rPr>
        <w:t xml:space="preserve"> </w:t>
      </w:r>
      <w:r w:rsidRPr="00B004EE">
        <w:rPr>
          <w:rFonts w:ascii="Tahoma" w:hAnsi="Tahoma" w:cs="Tahoma"/>
          <w:sz w:val="20"/>
          <w:szCs w:val="20"/>
        </w:rPr>
        <w:t>ces</w:t>
      </w:r>
      <w:r w:rsidR="00DB1635" w:rsidRPr="00B004EE">
        <w:rPr>
          <w:rFonts w:ascii="Tahoma" w:hAnsi="Tahoma" w:cs="Tahoma"/>
          <w:sz w:val="20"/>
          <w:szCs w:val="20"/>
        </w:rPr>
        <w:t xml:space="preserve"> </w:t>
      </w:r>
      <w:r w:rsidRPr="00B004EE">
        <w:rPr>
          <w:rFonts w:ascii="Tahoma" w:hAnsi="Tahoma" w:cs="Tahoma"/>
          <w:sz w:val="20"/>
          <w:szCs w:val="20"/>
        </w:rPr>
        <w:t>opérations</w:t>
      </w:r>
      <w:r w:rsidR="00DB1635" w:rsidRPr="00B004EE">
        <w:rPr>
          <w:rFonts w:ascii="Tahoma" w:hAnsi="Tahoma" w:cs="Tahoma"/>
          <w:sz w:val="20"/>
          <w:szCs w:val="20"/>
        </w:rPr>
        <w:t xml:space="preserve"> </w:t>
      </w:r>
      <w:r w:rsidRPr="00B004EE">
        <w:rPr>
          <w:rFonts w:ascii="Tahoma" w:hAnsi="Tahoma" w:cs="Tahoma"/>
          <w:sz w:val="20"/>
          <w:szCs w:val="20"/>
        </w:rPr>
        <w:t>d'assainissement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embarcations</w:t>
      </w:r>
      <w:r w:rsidR="00DB1635" w:rsidRPr="00B004EE">
        <w:rPr>
          <w:rFonts w:ascii="Tahoma" w:hAnsi="Tahoma" w:cs="Tahoma"/>
          <w:sz w:val="20"/>
          <w:szCs w:val="20"/>
        </w:rPr>
        <w:t xml:space="preserve"> </w:t>
      </w:r>
      <w:r w:rsidRPr="00B004EE">
        <w:rPr>
          <w:rFonts w:ascii="Tahoma" w:hAnsi="Tahoma" w:cs="Tahoma"/>
          <w:sz w:val="20"/>
          <w:szCs w:val="20"/>
        </w:rPr>
        <w:t>doivent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enregistrées.</w:t>
      </w:r>
    </w:p>
    <w:p w14:paraId="0E07F20A" w14:textId="77777777" w:rsidR="002F24E1" w:rsidRPr="00B004EE" w:rsidRDefault="002F24E1" w:rsidP="00B004EE">
      <w:pPr>
        <w:jc w:val="both"/>
        <w:rPr>
          <w:rFonts w:ascii="Tahoma" w:hAnsi="Tahoma" w:cs="Tahoma"/>
          <w:sz w:val="20"/>
          <w:szCs w:val="20"/>
        </w:rPr>
      </w:pPr>
    </w:p>
    <w:p w14:paraId="61DD243A" w14:textId="1CE52A90" w:rsidR="002F24E1" w:rsidRPr="00B004EE" w:rsidRDefault="002F24E1" w:rsidP="00B004EE">
      <w:pPr>
        <w:jc w:val="both"/>
        <w:rPr>
          <w:rFonts w:ascii="Tahoma" w:hAnsi="Tahoma" w:cs="Tahoma"/>
          <w:sz w:val="20"/>
          <w:szCs w:val="20"/>
        </w:rPr>
      </w:pP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nettoyage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désinfection</w:t>
      </w:r>
      <w:r w:rsidR="00DB1635" w:rsidRPr="00B004EE">
        <w:rPr>
          <w:rFonts w:ascii="Tahoma" w:hAnsi="Tahoma" w:cs="Tahoma"/>
          <w:sz w:val="20"/>
          <w:szCs w:val="20"/>
        </w:rPr>
        <w:t xml:space="preserve"> </w:t>
      </w:r>
      <w:r w:rsidRPr="00B004EE">
        <w:rPr>
          <w:rFonts w:ascii="Tahoma" w:hAnsi="Tahoma" w:cs="Tahoma"/>
          <w:sz w:val="20"/>
          <w:szCs w:val="20"/>
        </w:rPr>
        <w:t>utilisés</w:t>
      </w:r>
      <w:r w:rsidR="00DB1635" w:rsidRPr="00B004EE">
        <w:rPr>
          <w:rFonts w:ascii="Tahoma" w:hAnsi="Tahoma" w:cs="Tahoma"/>
          <w:sz w:val="20"/>
          <w:szCs w:val="20"/>
        </w:rPr>
        <w:t xml:space="preserve"> </w:t>
      </w:r>
      <w:r w:rsidRPr="00B004EE">
        <w:rPr>
          <w:rFonts w:ascii="Tahoma" w:hAnsi="Tahoma" w:cs="Tahoma"/>
          <w:sz w:val="20"/>
          <w:szCs w:val="20"/>
        </w:rPr>
        <w:t>ne</w:t>
      </w:r>
      <w:r w:rsidR="00DB1635" w:rsidRPr="00B004EE">
        <w:rPr>
          <w:rFonts w:ascii="Tahoma" w:hAnsi="Tahoma" w:cs="Tahoma"/>
          <w:sz w:val="20"/>
          <w:szCs w:val="20"/>
        </w:rPr>
        <w:t xml:space="preserve"> </w:t>
      </w:r>
      <w:r w:rsidRPr="00B004EE">
        <w:rPr>
          <w:rFonts w:ascii="Tahoma" w:hAnsi="Tahoma" w:cs="Tahoma"/>
          <w:sz w:val="20"/>
          <w:szCs w:val="20"/>
        </w:rPr>
        <w:t>doivent</w:t>
      </w:r>
      <w:r w:rsidR="00DB1635" w:rsidRPr="00B004EE">
        <w:rPr>
          <w:rFonts w:ascii="Tahoma" w:hAnsi="Tahoma" w:cs="Tahoma"/>
          <w:sz w:val="20"/>
          <w:szCs w:val="20"/>
        </w:rPr>
        <w:t xml:space="preserve"> </w:t>
      </w:r>
      <w:r w:rsidRPr="00B004EE">
        <w:rPr>
          <w:rFonts w:ascii="Tahoma" w:hAnsi="Tahoma" w:cs="Tahoma"/>
          <w:sz w:val="20"/>
          <w:szCs w:val="20"/>
        </w:rPr>
        <w:t>pas</w:t>
      </w:r>
      <w:r w:rsidR="00DB1635" w:rsidRPr="00B004EE">
        <w:rPr>
          <w:rFonts w:ascii="Tahoma" w:hAnsi="Tahoma" w:cs="Tahoma"/>
          <w:sz w:val="20"/>
          <w:szCs w:val="20"/>
        </w:rPr>
        <w:t xml:space="preserve"> </w:t>
      </w:r>
      <w:r w:rsidRPr="00B004EE">
        <w:rPr>
          <w:rFonts w:ascii="Tahoma" w:hAnsi="Tahoma" w:cs="Tahoma"/>
          <w:sz w:val="20"/>
          <w:szCs w:val="20"/>
        </w:rPr>
        <w:t>présenter</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risque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contamination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p>
    <w:p w14:paraId="7BC3A08E" w14:textId="2651C557" w:rsidR="002F24E1" w:rsidRPr="00B004EE" w:rsidRDefault="002F24E1" w:rsidP="00B004EE">
      <w:pPr>
        <w:jc w:val="both"/>
        <w:rPr>
          <w:rFonts w:ascii="Tahoma" w:hAnsi="Tahoma" w:cs="Tahoma"/>
          <w:sz w:val="20"/>
          <w:szCs w:val="20"/>
        </w:rPr>
      </w:pPr>
      <w:r w:rsidRPr="00B004EE">
        <w:rPr>
          <w:rFonts w:ascii="Tahoma" w:hAnsi="Tahoma" w:cs="Tahoma"/>
          <w:sz w:val="20"/>
          <w:szCs w:val="20"/>
        </w:rPr>
        <w:lastRenderedPageBreak/>
        <w:t>Article</w:t>
      </w:r>
      <w:r w:rsidR="00DB1635" w:rsidRPr="00B004EE">
        <w:rPr>
          <w:rFonts w:ascii="Tahoma" w:hAnsi="Tahoma" w:cs="Tahoma"/>
          <w:sz w:val="20"/>
          <w:szCs w:val="20"/>
        </w:rPr>
        <w:t xml:space="preserve"> </w:t>
      </w:r>
      <w:r w:rsidRPr="00B004EE">
        <w:rPr>
          <w:rFonts w:ascii="Tahoma" w:hAnsi="Tahoma" w:cs="Tahoma"/>
          <w:sz w:val="20"/>
          <w:szCs w:val="20"/>
        </w:rPr>
        <w:t>15</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L'armateur</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son</w:t>
      </w:r>
      <w:r w:rsidR="00DB1635" w:rsidRPr="00B004EE">
        <w:rPr>
          <w:rFonts w:ascii="Tahoma" w:hAnsi="Tahoma" w:cs="Tahoma"/>
          <w:sz w:val="20"/>
          <w:szCs w:val="20"/>
        </w:rPr>
        <w:t xml:space="preserve"> </w:t>
      </w:r>
      <w:r w:rsidRPr="00B004EE">
        <w:rPr>
          <w:rFonts w:ascii="Tahoma" w:hAnsi="Tahoma" w:cs="Tahoma"/>
          <w:sz w:val="20"/>
          <w:szCs w:val="20"/>
        </w:rPr>
        <w:t>représentant</w:t>
      </w:r>
      <w:r w:rsidR="00DB1635" w:rsidRPr="00B004EE">
        <w:rPr>
          <w:rFonts w:ascii="Tahoma" w:hAnsi="Tahoma" w:cs="Tahoma"/>
          <w:sz w:val="20"/>
          <w:szCs w:val="20"/>
        </w:rPr>
        <w:t xml:space="preserve"> </w:t>
      </w:r>
      <w:r w:rsidRPr="00B004EE">
        <w:rPr>
          <w:rFonts w:ascii="Tahoma" w:hAnsi="Tahoma" w:cs="Tahoma"/>
          <w:sz w:val="20"/>
          <w:szCs w:val="20"/>
        </w:rPr>
        <w:t>doit</w:t>
      </w:r>
      <w:r w:rsidR="00DB1635" w:rsidRPr="00B004EE">
        <w:rPr>
          <w:rFonts w:ascii="Tahoma" w:hAnsi="Tahoma" w:cs="Tahoma"/>
          <w:sz w:val="20"/>
          <w:szCs w:val="20"/>
        </w:rPr>
        <w:t xml:space="preserve"> </w:t>
      </w:r>
      <w:r w:rsidRPr="00B004EE">
        <w:rPr>
          <w:rFonts w:ascii="Tahoma" w:hAnsi="Tahoma" w:cs="Tahoma"/>
          <w:sz w:val="20"/>
          <w:szCs w:val="20"/>
        </w:rPr>
        <w:t>prendre</w:t>
      </w:r>
      <w:r w:rsidR="00DB1635" w:rsidRPr="00B004EE">
        <w:rPr>
          <w:rFonts w:ascii="Tahoma" w:hAnsi="Tahoma" w:cs="Tahoma"/>
          <w:sz w:val="20"/>
          <w:szCs w:val="20"/>
        </w:rPr>
        <w:t xml:space="preserve"> </w:t>
      </w:r>
      <w:r w:rsidRPr="00B004EE">
        <w:rPr>
          <w:rFonts w:ascii="Tahoma" w:hAnsi="Tahoma" w:cs="Tahoma"/>
          <w:sz w:val="20"/>
          <w:szCs w:val="20"/>
        </w:rPr>
        <w:t>toute</w:t>
      </w:r>
      <w:r w:rsidR="00DB1635" w:rsidRPr="00B004EE">
        <w:rPr>
          <w:rFonts w:ascii="Tahoma" w:hAnsi="Tahoma" w:cs="Tahoma"/>
          <w:sz w:val="20"/>
          <w:szCs w:val="20"/>
        </w:rPr>
        <w:t xml:space="preserve"> </w:t>
      </w:r>
      <w:r w:rsidRPr="00B004EE">
        <w:rPr>
          <w:rFonts w:ascii="Tahoma" w:hAnsi="Tahoma" w:cs="Tahoma"/>
          <w:sz w:val="20"/>
          <w:szCs w:val="20"/>
        </w:rPr>
        <w:t>mesure</w:t>
      </w:r>
      <w:r w:rsidR="00DB1635" w:rsidRPr="00B004EE">
        <w:rPr>
          <w:rFonts w:ascii="Tahoma" w:hAnsi="Tahoma" w:cs="Tahoma"/>
          <w:sz w:val="20"/>
          <w:szCs w:val="20"/>
        </w:rPr>
        <w:t xml:space="preserve"> </w:t>
      </w:r>
      <w:r w:rsidRPr="00B004EE">
        <w:rPr>
          <w:rFonts w:ascii="Tahoma" w:hAnsi="Tahoma" w:cs="Tahoma"/>
          <w:sz w:val="20"/>
          <w:szCs w:val="20"/>
        </w:rPr>
        <w:t>nécessaire</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faire</w:t>
      </w:r>
      <w:r w:rsidR="00DB1635" w:rsidRPr="00B004EE">
        <w:rPr>
          <w:rFonts w:ascii="Tahoma" w:hAnsi="Tahoma" w:cs="Tahoma"/>
          <w:sz w:val="20"/>
          <w:szCs w:val="20"/>
        </w:rPr>
        <w:t xml:space="preserve"> </w:t>
      </w:r>
      <w:r w:rsidRPr="00B004EE">
        <w:rPr>
          <w:rFonts w:ascii="Tahoma" w:hAnsi="Tahoma" w:cs="Tahoma"/>
          <w:sz w:val="20"/>
          <w:szCs w:val="20"/>
        </w:rPr>
        <w:t>assurer</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suivi</w:t>
      </w:r>
      <w:r w:rsidR="00DB1635" w:rsidRPr="00B004EE">
        <w:rPr>
          <w:rFonts w:ascii="Tahoma" w:hAnsi="Tahoma" w:cs="Tahoma"/>
          <w:sz w:val="20"/>
          <w:szCs w:val="20"/>
        </w:rPr>
        <w:t xml:space="preserve"> </w:t>
      </w:r>
      <w:r w:rsidRPr="00B004EE">
        <w:rPr>
          <w:rFonts w:ascii="Tahoma" w:hAnsi="Tahoma" w:cs="Tahoma"/>
          <w:sz w:val="20"/>
          <w:szCs w:val="20"/>
        </w:rPr>
        <w:t>médical</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personnel</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écarter</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travail</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manipulation</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personnes</w:t>
      </w:r>
      <w:r w:rsidR="00DB1635" w:rsidRPr="00B004EE">
        <w:rPr>
          <w:rFonts w:ascii="Tahoma" w:hAnsi="Tahoma" w:cs="Tahoma"/>
          <w:sz w:val="20"/>
          <w:szCs w:val="20"/>
        </w:rPr>
        <w:t xml:space="preserve"> </w:t>
      </w:r>
      <w:r w:rsidRPr="00B004EE">
        <w:rPr>
          <w:rFonts w:ascii="Tahoma" w:hAnsi="Tahoma" w:cs="Tahoma"/>
          <w:sz w:val="20"/>
          <w:szCs w:val="20"/>
        </w:rPr>
        <w:t>susceptibles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contaminer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jusqu'à</w:t>
      </w:r>
      <w:r w:rsidR="00DB1635" w:rsidRPr="00B004EE">
        <w:rPr>
          <w:rFonts w:ascii="Tahoma" w:hAnsi="Tahoma" w:cs="Tahoma"/>
          <w:sz w:val="20"/>
          <w:szCs w:val="20"/>
        </w:rPr>
        <w:t xml:space="preserve"> </w:t>
      </w:r>
      <w:r w:rsidRPr="00B004EE">
        <w:rPr>
          <w:rFonts w:ascii="Tahoma" w:hAnsi="Tahoma" w:cs="Tahoma"/>
          <w:sz w:val="20"/>
          <w:szCs w:val="20"/>
        </w:rPr>
        <w:t>ce</w:t>
      </w:r>
      <w:r w:rsidR="00DB1635" w:rsidRPr="00B004EE">
        <w:rPr>
          <w:rFonts w:ascii="Tahoma" w:hAnsi="Tahoma" w:cs="Tahoma"/>
          <w:sz w:val="20"/>
          <w:szCs w:val="20"/>
        </w:rPr>
        <w:t xml:space="preserve"> </w:t>
      </w:r>
      <w:r w:rsidRPr="00B004EE">
        <w:rPr>
          <w:rFonts w:ascii="Tahoma" w:hAnsi="Tahoma" w:cs="Tahoma"/>
          <w:sz w:val="20"/>
          <w:szCs w:val="20"/>
        </w:rPr>
        <w:t>que</w:t>
      </w:r>
      <w:r w:rsidR="00DB1635" w:rsidRPr="00B004EE">
        <w:rPr>
          <w:rFonts w:ascii="Tahoma" w:hAnsi="Tahoma" w:cs="Tahoma"/>
          <w:sz w:val="20"/>
          <w:szCs w:val="20"/>
        </w:rPr>
        <w:t xml:space="preserve"> </w:t>
      </w:r>
      <w:r w:rsidRPr="00B004EE">
        <w:rPr>
          <w:rFonts w:ascii="Tahoma" w:hAnsi="Tahoma" w:cs="Tahoma"/>
          <w:sz w:val="20"/>
          <w:szCs w:val="20"/>
        </w:rPr>
        <w:t>leur</w:t>
      </w:r>
      <w:r w:rsidR="00DB1635" w:rsidRPr="00B004EE">
        <w:rPr>
          <w:rFonts w:ascii="Tahoma" w:hAnsi="Tahoma" w:cs="Tahoma"/>
          <w:sz w:val="20"/>
          <w:szCs w:val="20"/>
        </w:rPr>
        <w:t xml:space="preserve"> </w:t>
      </w:r>
      <w:r w:rsidRPr="00B004EE">
        <w:rPr>
          <w:rFonts w:ascii="Tahoma" w:hAnsi="Tahoma" w:cs="Tahoma"/>
          <w:sz w:val="20"/>
          <w:szCs w:val="20"/>
        </w:rPr>
        <w:t>aptitude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faire</w:t>
      </w:r>
      <w:r w:rsidR="00DB1635" w:rsidRPr="00B004EE">
        <w:rPr>
          <w:rFonts w:ascii="Tahoma" w:hAnsi="Tahoma" w:cs="Tahoma"/>
          <w:sz w:val="20"/>
          <w:szCs w:val="20"/>
        </w:rPr>
        <w:t xml:space="preserve"> </w:t>
      </w:r>
      <w:r w:rsidRPr="00B004EE">
        <w:rPr>
          <w:rFonts w:ascii="Tahoma" w:hAnsi="Tahoma" w:cs="Tahoma"/>
          <w:sz w:val="20"/>
          <w:szCs w:val="20"/>
        </w:rPr>
        <w:t>sans</w:t>
      </w:r>
      <w:r w:rsidR="00DB1635" w:rsidRPr="00B004EE">
        <w:rPr>
          <w:rFonts w:ascii="Tahoma" w:hAnsi="Tahoma" w:cs="Tahoma"/>
          <w:sz w:val="20"/>
          <w:szCs w:val="20"/>
        </w:rPr>
        <w:t xml:space="preserve"> </w:t>
      </w:r>
      <w:r w:rsidRPr="00B004EE">
        <w:rPr>
          <w:rFonts w:ascii="Tahoma" w:hAnsi="Tahoma" w:cs="Tahoma"/>
          <w:sz w:val="20"/>
          <w:szCs w:val="20"/>
        </w:rPr>
        <w:t>danger</w:t>
      </w:r>
      <w:r w:rsidR="00DB1635" w:rsidRPr="00B004EE">
        <w:rPr>
          <w:rFonts w:ascii="Tahoma" w:hAnsi="Tahoma" w:cs="Tahoma"/>
          <w:sz w:val="20"/>
          <w:szCs w:val="20"/>
        </w:rPr>
        <w:t xml:space="preserve"> </w:t>
      </w:r>
      <w:r w:rsidRPr="00B004EE">
        <w:rPr>
          <w:rFonts w:ascii="Tahoma" w:hAnsi="Tahoma" w:cs="Tahoma"/>
          <w:sz w:val="20"/>
          <w:szCs w:val="20"/>
        </w:rPr>
        <w:t>soit</w:t>
      </w:r>
      <w:r w:rsidR="00DB1635" w:rsidRPr="00B004EE">
        <w:rPr>
          <w:rFonts w:ascii="Tahoma" w:hAnsi="Tahoma" w:cs="Tahoma"/>
          <w:sz w:val="20"/>
          <w:szCs w:val="20"/>
        </w:rPr>
        <w:t xml:space="preserve"> </w:t>
      </w:r>
      <w:r w:rsidRPr="00B004EE">
        <w:rPr>
          <w:rFonts w:ascii="Tahoma" w:hAnsi="Tahoma" w:cs="Tahoma"/>
          <w:sz w:val="20"/>
          <w:szCs w:val="20"/>
        </w:rPr>
        <w:t>prouvée.</w:t>
      </w:r>
    </w:p>
    <w:p w14:paraId="1AF35F79" w14:textId="77777777" w:rsidR="002F24E1" w:rsidRPr="00B004EE" w:rsidRDefault="002F24E1" w:rsidP="00B004EE">
      <w:pPr>
        <w:jc w:val="both"/>
        <w:rPr>
          <w:rFonts w:ascii="Tahoma" w:hAnsi="Tahoma" w:cs="Tahoma"/>
          <w:sz w:val="20"/>
          <w:szCs w:val="20"/>
        </w:rPr>
      </w:pPr>
    </w:p>
    <w:p w14:paraId="05A2706A" w14:textId="64884101" w:rsidR="002F24E1" w:rsidRPr="00B004EE" w:rsidRDefault="002F24E1" w:rsidP="00B004EE">
      <w:pPr>
        <w:tabs>
          <w:tab w:val="left" w:pos="567"/>
        </w:tabs>
        <w:jc w:val="center"/>
        <w:rPr>
          <w:rFonts w:ascii="Tahoma" w:hAnsi="Tahoma" w:cs="Tahoma"/>
          <w:b/>
          <w:sz w:val="20"/>
          <w:szCs w:val="20"/>
        </w:rPr>
      </w:pPr>
      <w:r w:rsidRPr="00B004EE">
        <w:rPr>
          <w:rFonts w:ascii="Tahoma" w:hAnsi="Tahoma" w:cs="Tahoma"/>
          <w:b/>
          <w:sz w:val="20"/>
          <w:szCs w:val="20"/>
        </w:rPr>
        <w:t>SECTION</w:t>
      </w:r>
      <w:r w:rsidR="00DB1635" w:rsidRPr="00B004EE">
        <w:rPr>
          <w:rFonts w:ascii="Tahoma" w:hAnsi="Tahoma" w:cs="Tahoma"/>
          <w:b/>
          <w:sz w:val="20"/>
          <w:szCs w:val="20"/>
        </w:rPr>
        <w:t xml:space="preserve"> </w:t>
      </w:r>
      <w:r w:rsidRPr="00B004EE">
        <w:rPr>
          <w:rFonts w:ascii="Tahoma" w:hAnsi="Tahoma" w:cs="Tahoma"/>
          <w:b/>
          <w:sz w:val="20"/>
          <w:szCs w:val="20"/>
        </w:rPr>
        <w:t>II</w:t>
      </w:r>
      <w:r w:rsidR="00DB1635" w:rsidRPr="00B004EE">
        <w:rPr>
          <w:rFonts w:ascii="Tahoma" w:hAnsi="Tahoma" w:cs="Tahoma"/>
          <w:b/>
          <w:sz w:val="20"/>
          <w:szCs w:val="20"/>
        </w:rPr>
        <w:t xml:space="preserve"> </w:t>
      </w:r>
      <w:r w:rsidRPr="00B004EE">
        <w:rPr>
          <w:rFonts w:ascii="Tahoma" w:hAnsi="Tahoma" w:cs="Tahoma"/>
          <w:b/>
          <w:sz w:val="20"/>
          <w:szCs w:val="20"/>
        </w:rPr>
        <w:t>:</w:t>
      </w:r>
      <w:r w:rsidR="00DB1635" w:rsidRPr="00B004EE">
        <w:rPr>
          <w:rFonts w:ascii="Tahoma" w:hAnsi="Tahoma" w:cs="Tahoma"/>
          <w:b/>
          <w:sz w:val="20"/>
          <w:szCs w:val="20"/>
        </w:rPr>
        <w:t xml:space="preserve"> </w:t>
      </w:r>
      <w:r w:rsidRPr="00B004EE">
        <w:rPr>
          <w:rFonts w:ascii="Tahoma" w:hAnsi="Tahoma" w:cs="Tahoma"/>
          <w:b/>
          <w:sz w:val="20"/>
          <w:szCs w:val="20"/>
        </w:rPr>
        <w:t>Conditions</w:t>
      </w:r>
      <w:r w:rsidR="00DB1635" w:rsidRPr="00B004EE">
        <w:rPr>
          <w:rFonts w:ascii="Tahoma" w:hAnsi="Tahoma" w:cs="Tahoma"/>
          <w:b/>
          <w:sz w:val="20"/>
          <w:szCs w:val="20"/>
        </w:rPr>
        <w:t xml:space="preserve"> </w:t>
      </w:r>
      <w:r w:rsidRPr="00B004EE">
        <w:rPr>
          <w:rFonts w:ascii="Tahoma" w:hAnsi="Tahoma" w:cs="Tahoma"/>
          <w:b/>
          <w:sz w:val="20"/>
          <w:szCs w:val="20"/>
        </w:rPr>
        <w:t>part</w:t>
      </w:r>
      <w:r w:rsidR="0014292C" w:rsidRPr="00B004EE">
        <w:rPr>
          <w:rFonts w:ascii="Tahoma" w:hAnsi="Tahoma" w:cs="Tahoma"/>
          <w:b/>
          <w:sz w:val="20"/>
          <w:szCs w:val="20"/>
        </w:rPr>
        <w:t>iculières</w:t>
      </w:r>
      <w:r w:rsidR="00DB1635" w:rsidRPr="00B004EE">
        <w:rPr>
          <w:rFonts w:ascii="Tahoma" w:hAnsi="Tahoma" w:cs="Tahoma"/>
          <w:b/>
          <w:sz w:val="20"/>
          <w:szCs w:val="20"/>
        </w:rPr>
        <w:t xml:space="preserve"> </w:t>
      </w:r>
      <w:r w:rsidR="0014292C" w:rsidRPr="00B004EE">
        <w:rPr>
          <w:rFonts w:ascii="Tahoma" w:hAnsi="Tahoma" w:cs="Tahoma"/>
          <w:b/>
          <w:sz w:val="20"/>
          <w:szCs w:val="20"/>
        </w:rPr>
        <w:t>d'hygiène</w:t>
      </w:r>
      <w:r w:rsidR="00DB1635" w:rsidRPr="00B004EE">
        <w:rPr>
          <w:rFonts w:ascii="Tahoma" w:hAnsi="Tahoma" w:cs="Tahoma"/>
          <w:b/>
          <w:sz w:val="20"/>
          <w:szCs w:val="20"/>
        </w:rPr>
        <w:t xml:space="preserve"> </w:t>
      </w:r>
      <w:r w:rsidR="0014292C" w:rsidRPr="00B004EE">
        <w:rPr>
          <w:rFonts w:ascii="Tahoma" w:hAnsi="Tahoma" w:cs="Tahoma"/>
          <w:b/>
          <w:sz w:val="20"/>
          <w:szCs w:val="20"/>
        </w:rPr>
        <w:t>à</w:t>
      </w:r>
      <w:r w:rsidR="00DB1635" w:rsidRPr="00B004EE">
        <w:rPr>
          <w:rFonts w:ascii="Tahoma" w:hAnsi="Tahoma" w:cs="Tahoma"/>
          <w:b/>
          <w:sz w:val="20"/>
          <w:szCs w:val="20"/>
        </w:rPr>
        <w:t xml:space="preserve"> </w:t>
      </w:r>
      <w:r w:rsidR="0014292C" w:rsidRPr="00B004EE">
        <w:rPr>
          <w:rFonts w:ascii="Tahoma" w:hAnsi="Tahoma" w:cs="Tahoma"/>
          <w:b/>
          <w:sz w:val="20"/>
          <w:szCs w:val="20"/>
        </w:rPr>
        <w:t>bord</w:t>
      </w:r>
      <w:r w:rsidR="00DB1635" w:rsidRPr="00B004EE">
        <w:rPr>
          <w:rFonts w:ascii="Tahoma" w:hAnsi="Tahoma" w:cs="Tahoma"/>
          <w:b/>
          <w:sz w:val="20"/>
          <w:szCs w:val="20"/>
        </w:rPr>
        <w:t xml:space="preserve"> </w:t>
      </w:r>
      <w:r w:rsidR="0014292C" w:rsidRPr="00B004EE">
        <w:rPr>
          <w:rFonts w:ascii="Tahoma" w:hAnsi="Tahoma" w:cs="Tahoma"/>
          <w:b/>
          <w:sz w:val="20"/>
          <w:szCs w:val="20"/>
        </w:rPr>
        <w:t>des</w:t>
      </w:r>
      <w:r w:rsidR="00DB1635" w:rsidRPr="00B004EE">
        <w:rPr>
          <w:rFonts w:ascii="Tahoma" w:hAnsi="Tahoma" w:cs="Tahoma"/>
          <w:b/>
          <w:sz w:val="20"/>
          <w:szCs w:val="20"/>
        </w:rPr>
        <w:t xml:space="preserve"> </w:t>
      </w:r>
      <w:r w:rsidRPr="00B004EE">
        <w:rPr>
          <w:rFonts w:ascii="Tahoma" w:hAnsi="Tahoma" w:cs="Tahoma"/>
          <w:b/>
          <w:sz w:val="20"/>
          <w:szCs w:val="20"/>
        </w:rPr>
        <w:t>embarcations</w:t>
      </w:r>
      <w:r w:rsidR="00DB1635" w:rsidRPr="00B004EE">
        <w:rPr>
          <w:rFonts w:ascii="Tahoma" w:hAnsi="Tahoma" w:cs="Tahoma"/>
          <w:b/>
          <w:sz w:val="20"/>
          <w:szCs w:val="20"/>
        </w:rPr>
        <w:t xml:space="preserve"> </w:t>
      </w:r>
      <w:r w:rsidRPr="00B004EE">
        <w:rPr>
          <w:rFonts w:ascii="Tahoma" w:hAnsi="Tahoma" w:cs="Tahoma"/>
          <w:b/>
          <w:sz w:val="20"/>
          <w:szCs w:val="20"/>
        </w:rPr>
        <w:t>conçues</w:t>
      </w:r>
      <w:r w:rsidR="00DB1635" w:rsidRPr="00B004EE">
        <w:rPr>
          <w:rFonts w:ascii="Tahoma" w:hAnsi="Tahoma" w:cs="Tahoma"/>
          <w:b/>
          <w:sz w:val="20"/>
          <w:szCs w:val="20"/>
        </w:rPr>
        <w:t xml:space="preserve"> </w:t>
      </w:r>
      <w:r w:rsidRPr="00B004EE">
        <w:rPr>
          <w:rFonts w:ascii="Tahoma" w:hAnsi="Tahoma" w:cs="Tahoma"/>
          <w:b/>
          <w:sz w:val="20"/>
          <w:szCs w:val="20"/>
        </w:rPr>
        <w:t>et</w:t>
      </w:r>
      <w:r w:rsidR="00DB1635" w:rsidRPr="00B004EE">
        <w:rPr>
          <w:rFonts w:ascii="Tahoma" w:hAnsi="Tahoma" w:cs="Tahoma"/>
          <w:b/>
          <w:sz w:val="20"/>
          <w:szCs w:val="20"/>
        </w:rPr>
        <w:t xml:space="preserve"> </w:t>
      </w:r>
      <w:r w:rsidRPr="00B004EE">
        <w:rPr>
          <w:rFonts w:ascii="Tahoma" w:hAnsi="Tahoma" w:cs="Tahoma"/>
          <w:b/>
          <w:sz w:val="20"/>
          <w:szCs w:val="20"/>
        </w:rPr>
        <w:t>équipées</w:t>
      </w:r>
      <w:r w:rsidR="00DB1635" w:rsidRPr="00B004EE">
        <w:rPr>
          <w:rFonts w:ascii="Tahoma" w:hAnsi="Tahoma" w:cs="Tahoma"/>
          <w:b/>
          <w:sz w:val="20"/>
          <w:szCs w:val="20"/>
        </w:rPr>
        <w:t xml:space="preserve"> </w:t>
      </w:r>
      <w:r w:rsidRPr="00B004EE">
        <w:rPr>
          <w:rFonts w:ascii="Tahoma" w:hAnsi="Tahoma" w:cs="Tahoma"/>
          <w:b/>
          <w:sz w:val="20"/>
          <w:szCs w:val="20"/>
        </w:rPr>
        <w:t>pour</w:t>
      </w:r>
      <w:r w:rsidR="00DB1635" w:rsidRPr="00B004EE">
        <w:rPr>
          <w:rFonts w:ascii="Tahoma" w:hAnsi="Tahoma" w:cs="Tahoma"/>
          <w:b/>
          <w:sz w:val="20"/>
          <w:szCs w:val="20"/>
        </w:rPr>
        <w:t xml:space="preserve"> </w:t>
      </w:r>
      <w:r w:rsidRPr="00B004EE">
        <w:rPr>
          <w:rFonts w:ascii="Tahoma" w:hAnsi="Tahoma" w:cs="Tahoma"/>
          <w:b/>
          <w:sz w:val="20"/>
          <w:szCs w:val="20"/>
        </w:rPr>
        <w:t>assurer</w:t>
      </w:r>
      <w:r w:rsidR="00DB1635" w:rsidRPr="00B004EE">
        <w:rPr>
          <w:rFonts w:ascii="Tahoma" w:hAnsi="Tahoma" w:cs="Tahoma"/>
          <w:b/>
          <w:sz w:val="20"/>
          <w:szCs w:val="20"/>
        </w:rPr>
        <w:t xml:space="preserve"> </w:t>
      </w:r>
      <w:r w:rsidRPr="00B004EE">
        <w:rPr>
          <w:rFonts w:ascii="Tahoma" w:hAnsi="Tahoma" w:cs="Tahoma"/>
          <w:b/>
          <w:sz w:val="20"/>
          <w:szCs w:val="20"/>
        </w:rPr>
        <w:t>une</w:t>
      </w:r>
      <w:r w:rsidR="00DB1635" w:rsidRPr="00B004EE">
        <w:rPr>
          <w:rFonts w:ascii="Tahoma" w:hAnsi="Tahoma" w:cs="Tahoma"/>
          <w:b/>
          <w:sz w:val="20"/>
          <w:szCs w:val="20"/>
        </w:rPr>
        <w:t xml:space="preserve"> </w:t>
      </w:r>
      <w:r w:rsidRPr="00B004EE">
        <w:rPr>
          <w:rFonts w:ascii="Tahoma" w:hAnsi="Tahoma" w:cs="Tahoma"/>
          <w:b/>
          <w:sz w:val="20"/>
          <w:szCs w:val="20"/>
        </w:rPr>
        <w:t>conservation</w:t>
      </w:r>
      <w:r w:rsidR="00DB1635" w:rsidRPr="00B004EE">
        <w:rPr>
          <w:rFonts w:ascii="Tahoma" w:hAnsi="Tahoma" w:cs="Tahoma"/>
          <w:b/>
          <w:sz w:val="20"/>
          <w:szCs w:val="20"/>
        </w:rPr>
        <w:t xml:space="preserve"> </w:t>
      </w:r>
      <w:r w:rsidRPr="00B004EE">
        <w:rPr>
          <w:rFonts w:ascii="Tahoma" w:hAnsi="Tahoma" w:cs="Tahoma"/>
          <w:b/>
          <w:sz w:val="20"/>
          <w:szCs w:val="20"/>
        </w:rPr>
        <w:t>satisfaisante</w:t>
      </w:r>
      <w:r w:rsidR="00DB1635" w:rsidRPr="00B004EE">
        <w:rPr>
          <w:rFonts w:ascii="Tahoma" w:hAnsi="Tahoma" w:cs="Tahoma"/>
          <w:b/>
          <w:sz w:val="20"/>
          <w:szCs w:val="20"/>
        </w:rPr>
        <w:t xml:space="preserve"> </w:t>
      </w:r>
      <w:r w:rsidRPr="00B004EE">
        <w:rPr>
          <w:rFonts w:ascii="Tahoma" w:hAnsi="Tahoma" w:cs="Tahoma"/>
          <w:b/>
          <w:sz w:val="20"/>
          <w:szCs w:val="20"/>
        </w:rPr>
        <w:t>des</w:t>
      </w:r>
      <w:r w:rsidR="00DB1635" w:rsidRPr="00B004EE">
        <w:rPr>
          <w:rFonts w:ascii="Tahoma" w:hAnsi="Tahoma" w:cs="Tahoma"/>
          <w:b/>
          <w:sz w:val="20"/>
          <w:szCs w:val="20"/>
        </w:rPr>
        <w:t xml:space="preserve"> </w:t>
      </w:r>
      <w:r w:rsidRPr="00B004EE">
        <w:rPr>
          <w:rFonts w:ascii="Tahoma" w:hAnsi="Tahoma" w:cs="Tahoma"/>
          <w:b/>
          <w:sz w:val="20"/>
          <w:szCs w:val="20"/>
        </w:rPr>
        <w:t>produits</w:t>
      </w:r>
      <w:r w:rsidR="00DB1635" w:rsidRPr="00B004EE">
        <w:rPr>
          <w:rFonts w:ascii="Tahoma" w:hAnsi="Tahoma" w:cs="Tahoma"/>
          <w:b/>
          <w:sz w:val="20"/>
          <w:szCs w:val="20"/>
        </w:rPr>
        <w:t xml:space="preserve"> </w:t>
      </w:r>
      <w:r w:rsidRPr="00B004EE">
        <w:rPr>
          <w:rFonts w:ascii="Tahoma" w:hAnsi="Tahoma" w:cs="Tahoma"/>
          <w:b/>
          <w:sz w:val="20"/>
          <w:szCs w:val="20"/>
        </w:rPr>
        <w:t>de</w:t>
      </w:r>
      <w:r w:rsidR="00DB1635" w:rsidRPr="00B004EE">
        <w:rPr>
          <w:rFonts w:ascii="Tahoma" w:hAnsi="Tahoma" w:cs="Tahoma"/>
          <w:b/>
          <w:sz w:val="20"/>
          <w:szCs w:val="20"/>
        </w:rPr>
        <w:t xml:space="preserve"> </w:t>
      </w:r>
      <w:r w:rsidRPr="00B004EE">
        <w:rPr>
          <w:rFonts w:ascii="Tahoma" w:hAnsi="Tahoma" w:cs="Tahoma"/>
          <w:b/>
          <w:sz w:val="20"/>
          <w:szCs w:val="20"/>
        </w:rPr>
        <w:t>la</w:t>
      </w:r>
      <w:r w:rsidR="00DB1635" w:rsidRPr="00B004EE">
        <w:rPr>
          <w:rFonts w:ascii="Tahoma" w:hAnsi="Tahoma" w:cs="Tahoma"/>
          <w:b/>
          <w:sz w:val="20"/>
          <w:szCs w:val="20"/>
        </w:rPr>
        <w:t xml:space="preserve"> </w:t>
      </w:r>
      <w:r w:rsidRPr="00B004EE">
        <w:rPr>
          <w:rFonts w:ascii="Tahoma" w:hAnsi="Tahoma" w:cs="Tahoma"/>
          <w:b/>
          <w:sz w:val="20"/>
          <w:szCs w:val="20"/>
        </w:rPr>
        <w:t>pêche</w:t>
      </w:r>
      <w:r w:rsidR="00DB1635" w:rsidRPr="00B004EE">
        <w:rPr>
          <w:rFonts w:ascii="Tahoma" w:hAnsi="Tahoma" w:cs="Tahoma"/>
          <w:b/>
          <w:sz w:val="20"/>
          <w:szCs w:val="20"/>
        </w:rPr>
        <w:t xml:space="preserve"> </w:t>
      </w:r>
      <w:r w:rsidRPr="00B004EE">
        <w:rPr>
          <w:rFonts w:ascii="Tahoma" w:hAnsi="Tahoma" w:cs="Tahoma"/>
          <w:b/>
          <w:sz w:val="20"/>
          <w:szCs w:val="20"/>
        </w:rPr>
        <w:t>frais</w:t>
      </w:r>
      <w:r w:rsidR="00DB1635" w:rsidRPr="00B004EE">
        <w:rPr>
          <w:rFonts w:ascii="Tahoma" w:hAnsi="Tahoma" w:cs="Tahoma"/>
          <w:b/>
          <w:sz w:val="20"/>
          <w:szCs w:val="20"/>
        </w:rPr>
        <w:t xml:space="preserve"> </w:t>
      </w:r>
      <w:r w:rsidRPr="00B004EE">
        <w:rPr>
          <w:rFonts w:ascii="Tahoma" w:hAnsi="Tahoma" w:cs="Tahoma"/>
          <w:b/>
          <w:sz w:val="20"/>
          <w:szCs w:val="20"/>
        </w:rPr>
        <w:t>pendant</w:t>
      </w:r>
      <w:r w:rsidR="00DB1635" w:rsidRPr="00B004EE">
        <w:rPr>
          <w:rFonts w:ascii="Tahoma" w:hAnsi="Tahoma" w:cs="Tahoma"/>
          <w:b/>
          <w:sz w:val="20"/>
          <w:szCs w:val="20"/>
        </w:rPr>
        <w:t xml:space="preserve"> </w:t>
      </w:r>
      <w:r w:rsidRPr="00B004EE">
        <w:rPr>
          <w:rFonts w:ascii="Tahoma" w:hAnsi="Tahoma" w:cs="Tahoma"/>
          <w:b/>
          <w:sz w:val="20"/>
          <w:szCs w:val="20"/>
        </w:rPr>
        <w:t>plus</w:t>
      </w:r>
      <w:r w:rsidR="00DB1635" w:rsidRPr="00B004EE">
        <w:rPr>
          <w:rFonts w:ascii="Tahoma" w:hAnsi="Tahoma" w:cs="Tahoma"/>
          <w:b/>
          <w:sz w:val="20"/>
          <w:szCs w:val="20"/>
        </w:rPr>
        <w:t xml:space="preserve"> </w:t>
      </w:r>
      <w:r w:rsidRPr="00B004EE">
        <w:rPr>
          <w:rFonts w:ascii="Tahoma" w:hAnsi="Tahoma" w:cs="Tahoma"/>
          <w:b/>
          <w:sz w:val="20"/>
          <w:szCs w:val="20"/>
        </w:rPr>
        <w:t>de</w:t>
      </w:r>
      <w:r w:rsidR="00DB1635" w:rsidRPr="00B004EE">
        <w:rPr>
          <w:rFonts w:ascii="Tahoma" w:hAnsi="Tahoma" w:cs="Tahoma"/>
          <w:b/>
          <w:sz w:val="20"/>
          <w:szCs w:val="20"/>
        </w:rPr>
        <w:t xml:space="preserve"> </w:t>
      </w:r>
      <w:r w:rsidRPr="00B004EE">
        <w:rPr>
          <w:rFonts w:ascii="Tahoma" w:hAnsi="Tahoma" w:cs="Tahoma"/>
          <w:b/>
          <w:sz w:val="20"/>
          <w:szCs w:val="20"/>
        </w:rPr>
        <w:t>24</w:t>
      </w:r>
      <w:r w:rsidR="00DB1635" w:rsidRPr="00B004EE">
        <w:rPr>
          <w:rFonts w:ascii="Tahoma" w:hAnsi="Tahoma" w:cs="Tahoma"/>
          <w:b/>
          <w:sz w:val="20"/>
          <w:szCs w:val="20"/>
        </w:rPr>
        <w:t xml:space="preserve"> </w:t>
      </w:r>
      <w:r w:rsidRPr="00B004EE">
        <w:rPr>
          <w:rFonts w:ascii="Tahoma" w:hAnsi="Tahoma" w:cs="Tahoma"/>
          <w:b/>
          <w:sz w:val="20"/>
          <w:szCs w:val="20"/>
        </w:rPr>
        <w:t>heures</w:t>
      </w:r>
    </w:p>
    <w:p w14:paraId="43BF429D" w14:textId="77777777" w:rsidR="002F24E1" w:rsidRPr="00B004EE" w:rsidRDefault="002F24E1" w:rsidP="00B004EE">
      <w:pPr>
        <w:jc w:val="both"/>
        <w:rPr>
          <w:rFonts w:ascii="Tahoma" w:hAnsi="Tahoma" w:cs="Tahoma"/>
          <w:sz w:val="20"/>
          <w:szCs w:val="20"/>
        </w:rPr>
      </w:pPr>
    </w:p>
    <w:p w14:paraId="1B6B4C0A" w14:textId="6958C760" w:rsidR="002F24E1" w:rsidRPr="00B004EE" w:rsidRDefault="002F24E1" w:rsidP="00B004EE">
      <w:pPr>
        <w:jc w:val="both"/>
        <w:rPr>
          <w:rFonts w:ascii="Tahoma" w:hAnsi="Tahoma" w:cs="Tahoma"/>
          <w:sz w:val="20"/>
          <w:szCs w:val="20"/>
        </w:rPr>
      </w:pPr>
      <w:r w:rsidRPr="00B004EE">
        <w:rPr>
          <w:rFonts w:ascii="Tahoma" w:hAnsi="Tahoma" w:cs="Tahoma"/>
          <w:sz w:val="20"/>
          <w:szCs w:val="20"/>
        </w:rPr>
        <w:t>Article</w:t>
      </w:r>
      <w:r w:rsidR="00DB1635" w:rsidRPr="00B004EE">
        <w:rPr>
          <w:rFonts w:ascii="Tahoma" w:hAnsi="Tahoma" w:cs="Tahoma"/>
          <w:sz w:val="20"/>
          <w:szCs w:val="20"/>
        </w:rPr>
        <w:t xml:space="preserve"> </w:t>
      </w:r>
      <w:r w:rsidRPr="00B004EE">
        <w:rPr>
          <w:rFonts w:ascii="Tahoma" w:hAnsi="Tahoma" w:cs="Tahoma"/>
          <w:sz w:val="20"/>
          <w:szCs w:val="20"/>
        </w:rPr>
        <w:t>16</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conditions</w:t>
      </w:r>
      <w:r w:rsidR="00DB1635" w:rsidRPr="00B004EE">
        <w:rPr>
          <w:rFonts w:ascii="Tahoma" w:hAnsi="Tahoma" w:cs="Tahoma"/>
          <w:sz w:val="20"/>
          <w:szCs w:val="20"/>
        </w:rPr>
        <w:t xml:space="preserve"> </w:t>
      </w:r>
      <w:r w:rsidRPr="00B004EE">
        <w:rPr>
          <w:rFonts w:ascii="Tahoma" w:hAnsi="Tahoma" w:cs="Tahoma"/>
          <w:sz w:val="20"/>
          <w:szCs w:val="20"/>
        </w:rPr>
        <w:t>générales</w:t>
      </w:r>
      <w:r w:rsidR="00DB1635" w:rsidRPr="00B004EE">
        <w:rPr>
          <w:rFonts w:ascii="Tahoma" w:hAnsi="Tahoma" w:cs="Tahoma"/>
          <w:sz w:val="20"/>
          <w:szCs w:val="20"/>
        </w:rPr>
        <w:t xml:space="preserve"> </w:t>
      </w:r>
      <w:r w:rsidRPr="00B004EE">
        <w:rPr>
          <w:rFonts w:ascii="Tahoma" w:hAnsi="Tahoma" w:cs="Tahoma"/>
          <w:sz w:val="20"/>
          <w:szCs w:val="20"/>
        </w:rPr>
        <w:t>d'hygiène</w:t>
      </w:r>
      <w:r w:rsidR="00DB1635" w:rsidRPr="00B004EE">
        <w:rPr>
          <w:rFonts w:ascii="Tahoma" w:hAnsi="Tahoma" w:cs="Tahoma"/>
          <w:sz w:val="20"/>
          <w:szCs w:val="20"/>
        </w:rPr>
        <w:t xml:space="preserve"> </w:t>
      </w:r>
      <w:r w:rsidRPr="00B004EE">
        <w:rPr>
          <w:rFonts w:ascii="Tahoma" w:hAnsi="Tahoma" w:cs="Tahoma"/>
          <w:sz w:val="20"/>
          <w:szCs w:val="20"/>
        </w:rPr>
        <w:t>prévues</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chapitre</w:t>
      </w:r>
      <w:r w:rsidR="00DB1635" w:rsidRPr="00B004EE">
        <w:rPr>
          <w:rFonts w:ascii="Tahoma" w:hAnsi="Tahoma" w:cs="Tahoma"/>
          <w:sz w:val="20"/>
          <w:szCs w:val="20"/>
        </w:rPr>
        <w:t xml:space="preserve"> </w:t>
      </w:r>
      <w:r w:rsidRPr="00B004EE">
        <w:rPr>
          <w:rFonts w:ascii="Tahoma" w:hAnsi="Tahoma" w:cs="Tahoma"/>
          <w:sz w:val="20"/>
          <w:szCs w:val="20"/>
        </w:rPr>
        <w:t>précédent</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applicables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bord</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embarcations</w:t>
      </w:r>
      <w:r w:rsidR="00DB1635" w:rsidRPr="00B004EE">
        <w:rPr>
          <w:rFonts w:ascii="Tahoma" w:hAnsi="Tahoma" w:cs="Tahoma"/>
          <w:sz w:val="20"/>
          <w:szCs w:val="20"/>
        </w:rPr>
        <w:t xml:space="preserve"> </w:t>
      </w:r>
      <w:r w:rsidRPr="00B004EE">
        <w:rPr>
          <w:rFonts w:ascii="Tahoma" w:hAnsi="Tahoma" w:cs="Tahoma"/>
          <w:sz w:val="20"/>
          <w:szCs w:val="20"/>
        </w:rPr>
        <w:t>conçues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équipées</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assurer</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conservation</w:t>
      </w:r>
      <w:r w:rsidR="00DB1635" w:rsidRPr="00B004EE">
        <w:rPr>
          <w:rFonts w:ascii="Tahoma" w:hAnsi="Tahoma" w:cs="Tahoma"/>
          <w:sz w:val="20"/>
          <w:szCs w:val="20"/>
        </w:rPr>
        <w:t xml:space="preserve"> </w:t>
      </w:r>
      <w:r w:rsidRPr="00B004EE">
        <w:rPr>
          <w:rFonts w:ascii="Tahoma" w:hAnsi="Tahoma" w:cs="Tahoma"/>
          <w:sz w:val="20"/>
          <w:szCs w:val="20"/>
        </w:rPr>
        <w:t>satisfaisante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frais</w:t>
      </w:r>
      <w:r w:rsidR="00DB1635" w:rsidRPr="00B004EE">
        <w:rPr>
          <w:rFonts w:ascii="Tahoma" w:hAnsi="Tahoma" w:cs="Tahoma"/>
          <w:sz w:val="20"/>
          <w:szCs w:val="20"/>
        </w:rPr>
        <w:t xml:space="preserve"> </w:t>
      </w:r>
      <w:r w:rsidRPr="00B004EE">
        <w:rPr>
          <w:rFonts w:ascii="Tahoma" w:hAnsi="Tahoma" w:cs="Tahoma"/>
          <w:sz w:val="20"/>
          <w:szCs w:val="20"/>
        </w:rPr>
        <w:t>pendant</w:t>
      </w:r>
      <w:r w:rsidR="00DB1635" w:rsidRPr="00B004EE">
        <w:rPr>
          <w:rFonts w:ascii="Tahoma" w:hAnsi="Tahoma" w:cs="Tahoma"/>
          <w:sz w:val="20"/>
          <w:szCs w:val="20"/>
        </w:rPr>
        <w:t xml:space="preserve"> </w:t>
      </w:r>
      <w:r w:rsidRPr="00B004EE">
        <w:rPr>
          <w:rFonts w:ascii="Tahoma" w:hAnsi="Tahoma" w:cs="Tahoma"/>
          <w:sz w:val="20"/>
          <w:szCs w:val="20"/>
        </w:rPr>
        <w:t>plus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24</w:t>
      </w:r>
      <w:r w:rsidR="00DB1635" w:rsidRPr="00B004EE">
        <w:rPr>
          <w:rFonts w:ascii="Tahoma" w:hAnsi="Tahoma" w:cs="Tahoma"/>
          <w:sz w:val="20"/>
          <w:szCs w:val="20"/>
        </w:rPr>
        <w:t xml:space="preserve"> </w:t>
      </w:r>
      <w:r w:rsidRPr="00B004EE">
        <w:rPr>
          <w:rFonts w:ascii="Tahoma" w:hAnsi="Tahoma" w:cs="Tahoma"/>
          <w:sz w:val="20"/>
          <w:szCs w:val="20"/>
        </w:rPr>
        <w:t>heures.</w:t>
      </w:r>
    </w:p>
    <w:p w14:paraId="7E50EEA6" w14:textId="3134A121" w:rsidR="002F24E1" w:rsidRPr="00B004EE" w:rsidRDefault="002F24E1" w:rsidP="00B004EE">
      <w:pPr>
        <w:jc w:val="both"/>
        <w:rPr>
          <w:rFonts w:ascii="Tahoma" w:hAnsi="Tahoma" w:cs="Tahoma"/>
          <w:sz w:val="20"/>
          <w:szCs w:val="20"/>
        </w:rPr>
      </w:pPr>
      <w:r w:rsidRPr="00B004EE">
        <w:rPr>
          <w:rFonts w:ascii="Tahoma" w:hAnsi="Tahoma" w:cs="Tahoma"/>
          <w:sz w:val="20"/>
          <w:szCs w:val="20"/>
        </w:rPr>
        <w:t>Article</w:t>
      </w:r>
      <w:r w:rsidR="00DB1635" w:rsidRPr="00B004EE">
        <w:rPr>
          <w:rFonts w:ascii="Tahoma" w:hAnsi="Tahoma" w:cs="Tahoma"/>
          <w:sz w:val="20"/>
          <w:szCs w:val="20"/>
        </w:rPr>
        <w:t xml:space="preserve"> </w:t>
      </w:r>
      <w:r w:rsidRPr="00B004EE">
        <w:rPr>
          <w:rFonts w:ascii="Tahoma" w:hAnsi="Tahoma" w:cs="Tahoma"/>
          <w:sz w:val="20"/>
          <w:szCs w:val="20"/>
        </w:rPr>
        <w:t>17</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embarcations</w:t>
      </w:r>
      <w:r w:rsidR="00DB1635" w:rsidRPr="00B004EE">
        <w:rPr>
          <w:rFonts w:ascii="Tahoma" w:hAnsi="Tahoma" w:cs="Tahoma"/>
          <w:sz w:val="20"/>
          <w:szCs w:val="20"/>
        </w:rPr>
        <w:t xml:space="preserve"> </w:t>
      </w:r>
      <w:r w:rsidRPr="00B004EE">
        <w:rPr>
          <w:rFonts w:ascii="Tahoma" w:hAnsi="Tahoma" w:cs="Tahoma"/>
          <w:sz w:val="20"/>
          <w:szCs w:val="20"/>
        </w:rPr>
        <w:t>assurant</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conservation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pendant</w:t>
      </w:r>
      <w:r w:rsidR="00DB1635" w:rsidRPr="00B004EE">
        <w:rPr>
          <w:rFonts w:ascii="Tahoma" w:hAnsi="Tahoma" w:cs="Tahoma"/>
          <w:sz w:val="20"/>
          <w:szCs w:val="20"/>
        </w:rPr>
        <w:t xml:space="preserve"> </w:t>
      </w:r>
      <w:r w:rsidRPr="00B004EE">
        <w:rPr>
          <w:rFonts w:ascii="Tahoma" w:hAnsi="Tahoma" w:cs="Tahoma"/>
          <w:sz w:val="20"/>
          <w:szCs w:val="20"/>
        </w:rPr>
        <w:t>plus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24</w:t>
      </w:r>
      <w:r w:rsidR="00DB1635" w:rsidRPr="00B004EE">
        <w:rPr>
          <w:rFonts w:ascii="Tahoma" w:hAnsi="Tahoma" w:cs="Tahoma"/>
          <w:sz w:val="20"/>
          <w:szCs w:val="20"/>
        </w:rPr>
        <w:t xml:space="preserve"> </w:t>
      </w:r>
      <w:r w:rsidRPr="00B004EE">
        <w:rPr>
          <w:rFonts w:ascii="Tahoma" w:hAnsi="Tahoma" w:cs="Tahoma"/>
          <w:sz w:val="20"/>
          <w:szCs w:val="20"/>
        </w:rPr>
        <w:t>heures</w:t>
      </w:r>
      <w:r w:rsidR="00DB1635" w:rsidRPr="00B004EE">
        <w:rPr>
          <w:rFonts w:ascii="Tahoma" w:hAnsi="Tahoma" w:cs="Tahoma"/>
          <w:sz w:val="20"/>
          <w:szCs w:val="20"/>
        </w:rPr>
        <w:t xml:space="preserve"> </w:t>
      </w:r>
      <w:r w:rsidRPr="00B004EE">
        <w:rPr>
          <w:rFonts w:ascii="Tahoma" w:hAnsi="Tahoma" w:cs="Tahoma"/>
          <w:sz w:val="20"/>
          <w:szCs w:val="20"/>
        </w:rPr>
        <w:t>doivent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équipées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cales</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conteneurs</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l'entreposage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glace.</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maintenus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l'état</w:t>
      </w:r>
      <w:r w:rsidR="00DB1635" w:rsidRPr="00B004EE">
        <w:rPr>
          <w:rFonts w:ascii="Tahoma" w:hAnsi="Tahoma" w:cs="Tahoma"/>
          <w:sz w:val="20"/>
          <w:szCs w:val="20"/>
        </w:rPr>
        <w:t xml:space="preserve"> </w:t>
      </w:r>
      <w:r w:rsidRPr="00B004EE">
        <w:rPr>
          <w:rFonts w:ascii="Tahoma" w:hAnsi="Tahoma" w:cs="Tahoma"/>
          <w:sz w:val="20"/>
          <w:szCs w:val="20"/>
        </w:rPr>
        <w:t>réfrigéré</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températures</w:t>
      </w:r>
      <w:r w:rsidR="00DB1635" w:rsidRPr="00B004EE">
        <w:rPr>
          <w:rFonts w:ascii="Tahoma" w:hAnsi="Tahoma" w:cs="Tahoma"/>
          <w:sz w:val="20"/>
          <w:szCs w:val="20"/>
        </w:rPr>
        <w:t xml:space="preserve"> </w:t>
      </w:r>
      <w:r w:rsidRPr="00B004EE">
        <w:rPr>
          <w:rFonts w:ascii="Tahoma" w:hAnsi="Tahoma" w:cs="Tahoma"/>
          <w:sz w:val="20"/>
          <w:szCs w:val="20"/>
        </w:rPr>
        <w:t>prescrites</w:t>
      </w:r>
      <w:r w:rsidR="00DB1635" w:rsidRPr="00B004EE">
        <w:rPr>
          <w:rFonts w:ascii="Tahoma" w:hAnsi="Tahoma" w:cs="Tahoma"/>
          <w:sz w:val="20"/>
          <w:szCs w:val="20"/>
        </w:rPr>
        <w:t xml:space="preserve"> </w:t>
      </w:r>
      <w:r w:rsidRPr="00B004EE">
        <w:rPr>
          <w:rFonts w:ascii="Tahoma" w:hAnsi="Tahoma" w:cs="Tahoma"/>
          <w:sz w:val="20"/>
          <w:szCs w:val="20"/>
        </w:rPr>
        <w:t>(0</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+3°C).</w:t>
      </w:r>
      <w:r w:rsidR="00DB1635" w:rsidRPr="00B004EE">
        <w:rPr>
          <w:rFonts w:ascii="Tahoma" w:hAnsi="Tahoma" w:cs="Tahoma"/>
          <w:sz w:val="20"/>
          <w:szCs w:val="20"/>
        </w:rPr>
        <w:t xml:space="preserve"> </w:t>
      </w:r>
      <w:r w:rsidRPr="00B004EE">
        <w:rPr>
          <w:rFonts w:ascii="Tahoma" w:hAnsi="Tahoma" w:cs="Tahoma"/>
          <w:sz w:val="20"/>
          <w:szCs w:val="20"/>
        </w:rPr>
        <w:t>Ces</w:t>
      </w:r>
      <w:r w:rsidR="00DB1635" w:rsidRPr="00B004EE">
        <w:rPr>
          <w:rFonts w:ascii="Tahoma" w:hAnsi="Tahoma" w:cs="Tahoma"/>
          <w:sz w:val="20"/>
          <w:szCs w:val="20"/>
        </w:rPr>
        <w:t xml:space="preserve"> </w:t>
      </w:r>
      <w:r w:rsidRPr="00B004EE">
        <w:rPr>
          <w:rFonts w:ascii="Tahoma" w:hAnsi="Tahoma" w:cs="Tahoma"/>
          <w:sz w:val="20"/>
          <w:szCs w:val="20"/>
        </w:rPr>
        <w:t>cales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conteneurs</w:t>
      </w:r>
      <w:r w:rsidR="00DB1635" w:rsidRPr="00B004EE">
        <w:rPr>
          <w:rFonts w:ascii="Tahoma" w:hAnsi="Tahoma" w:cs="Tahoma"/>
          <w:sz w:val="20"/>
          <w:szCs w:val="20"/>
        </w:rPr>
        <w:t xml:space="preserve"> </w:t>
      </w:r>
      <w:r w:rsidRPr="00B004EE">
        <w:rPr>
          <w:rFonts w:ascii="Tahoma" w:hAnsi="Tahoma" w:cs="Tahoma"/>
          <w:sz w:val="20"/>
          <w:szCs w:val="20"/>
        </w:rPr>
        <w:t>doivent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séparés</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compartiment</w:t>
      </w:r>
      <w:r w:rsidR="00DB1635" w:rsidRPr="00B004EE">
        <w:rPr>
          <w:rFonts w:ascii="Tahoma" w:hAnsi="Tahoma" w:cs="Tahoma"/>
          <w:sz w:val="20"/>
          <w:szCs w:val="20"/>
        </w:rPr>
        <w:t xml:space="preserve"> </w:t>
      </w:r>
      <w:r w:rsidRPr="00B004EE">
        <w:rPr>
          <w:rFonts w:ascii="Tahoma" w:hAnsi="Tahoma" w:cs="Tahoma"/>
          <w:sz w:val="20"/>
          <w:szCs w:val="20"/>
        </w:rPr>
        <w:t>machine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locaux</w:t>
      </w:r>
      <w:r w:rsidR="00DB1635" w:rsidRPr="00B004EE">
        <w:rPr>
          <w:rFonts w:ascii="Tahoma" w:hAnsi="Tahoma" w:cs="Tahoma"/>
          <w:sz w:val="20"/>
          <w:szCs w:val="20"/>
        </w:rPr>
        <w:t xml:space="preserve"> </w:t>
      </w:r>
      <w:r w:rsidRPr="00B004EE">
        <w:rPr>
          <w:rFonts w:ascii="Tahoma" w:hAnsi="Tahoma" w:cs="Tahoma"/>
          <w:sz w:val="20"/>
          <w:szCs w:val="20"/>
        </w:rPr>
        <w:t>réservés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l'équipage</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cloisons</w:t>
      </w:r>
      <w:r w:rsidR="00DB1635" w:rsidRPr="00B004EE">
        <w:rPr>
          <w:rFonts w:ascii="Tahoma" w:hAnsi="Tahoma" w:cs="Tahoma"/>
          <w:sz w:val="20"/>
          <w:szCs w:val="20"/>
        </w:rPr>
        <w:t xml:space="preserve"> </w:t>
      </w:r>
      <w:r w:rsidRPr="00B004EE">
        <w:rPr>
          <w:rFonts w:ascii="Tahoma" w:hAnsi="Tahoma" w:cs="Tahoma"/>
          <w:sz w:val="20"/>
          <w:szCs w:val="20"/>
        </w:rPr>
        <w:t>suffisamment</w:t>
      </w:r>
      <w:r w:rsidR="00DB1635" w:rsidRPr="00B004EE">
        <w:rPr>
          <w:rFonts w:ascii="Tahoma" w:hAnsi="Tahoma" w:cs="Tahoma"/>
          <w:sz w:val="20"/>
          <w:szCs w:val="20"/>
        </w:rPr>
        <w:t xml:space="preserve"> </w:t>
      </w:r>
      <w:r w:rsidRPr="00B004EE">
        <w:rPr>
          <w:rFonts w:ascii="Tahoma" w:hAnsi="Tahoma" w:cs="Tahoma"/>
          <w:sz w:val="20"/>
          <w:szCs w:val="20"/>
        </w:rPr>
        <w:t>étanches</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éviter</w:t>
      </w:r>
      <w:r w:rsidR="00DB1635" w:rsidRPr="00B004EE">
        <w:rPr>
          <w:rFonts w:ascii="Tahoma" w:hAnsi="Tahoma" w:cs="Tahoma"/>
          <w:sz w:val="20"/>
          <w:szCs w:val="20"/>
        </w:rPr>
        <w:t xml:space="preserve"> </w:t>
      </w:r>
      <w:r w:rsidRPr="00B004EE">
        <w:rPr>
          <w:rFonts w:ascii="Tahoma" w:hAnsi="Tahoma" w:cs="Tahoma"/>
          <w:sz w:val="20"/>
          <w:szCs w:val="20"/>
        </w:rPr>
        <w:t>toute</w:t>
      </w:r>
      <w:r w:rsidR="00DB1635" w:rsidRPr="00B004EE">
        <w:rPr>
          <w:rFonts w:ascii="Tahoma" w:hAnsi="Tahoma" w:cs="Tahoma"/>
          <w:sz w:val="20"/>
          <w:szCs w:val="20"/>
        </w:rPr>
        <w:t xml:space="preserve"> </w:t>
      </w:r>
      <w:r w:rsidRPr="00B004EE">
        <w:rPr>
          <w:rFonts w:ascii="Tahoma" w:hAnsi="Tahoma" w:cs="Tahoma"/>
          <w:sz w:val="20"/>
          <w:szCs w:val="20"/>
        </w:rPr>
        <w:t>contamination</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réchauffement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entreposés.</w:t>
      </w:r>
    </w:p>
    <w:p w14:paraId="01E06067" w14:textId="77777777" w:rsidR="002F24E1" w:rsidRPr="00B004EE" w:rsidRDefault="002F24E1" w:rsidP="00B004EE">
      <w:pPr>
        <w:jc w:val="both"/>
        <w:rPr>
          <w:rFonts w:ascii="Tahoma" w:hAnsi="Tahoma" w:cs="Tahoma"/>
          <w:sz w:val="20"/>
          <w:szCs w:val="20"/>
        </w:rPr>
      </w:pPr>
    </w:p>
    <w:p w14:paraId="17DEF9E8" w14:textId="31902C97" w:rsidR="002F24E1" w:rsidRPr="00B004EE" w:rsidRDefault="002F24E1" w:rsidP="00B004EE">
      <w:pPr>
        <w:jc w:val="both"/>
        <w:rPr>
          <w:rFonts w:ascii="Tahoma" w:hAnsi="Tahoma" w:cs="Tahoma"/>
          <w:sz w:val="20"/>
          <w:szCs w:val="20"/>
        </w:rPr>
      </w:pPr>
      <w:r w:rsidRPr="00B004EE">
        <w:rPr>
          <w:rFonts w:ascii="Tahoma" w:hAnsi="Tahoma" w:cs="Tahoma"/>
          <w:sz w:val="20"/>
          <w:szCs w:val="20"/>
        </w:rPr>
        <w:t>Article</w:t>
      </w:r>
      <w:r w:rsidR="00DB1635" w:rsidRPr="00B004EE">
        <w:rPr>
          <w:rFonts w:ascii="Tahoma" w:hAnsi="Tahoma" w:cs="Tahoma"/>
          <w:sz w:val="20"/>
          <w:szCs w:val="20"/>
        </w:rPr>
        <w:t xml:space="preserve"> </w:t>
      </w:r>
      <w:r w:rsidRPr="00B004EE">
        <w:rPr>
          <w:rFonts w:ascii="Tahoma" w:hAnsi="Tahoma" w:cs="Tahoma"/>
          <w:sz w:val="20"/>
          <w:szCs w:val="20"/>
        </w:rPr>
        <w:t>18</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revêtement</w:t>
      </w:r>
      <w:r w:rsidR="00DB1635" w:rsidRPr="00B004EE">
        <w:rPr>
          <w:rFonts w:ascii="Tahoma" w:hAnsi="Tahoma" w:cs="Tahoma"/>
          <w:sz w:val="20"/>
          <w:szCs w:val="20"/>
        </w:rPr>
        <w:t xml:space="preserve"> </w:t>
      </w:r>
      <w:r w:rsidRPr="00B004EE">
        <w:rPr>
          <w:rFonts w:ascii="Tahoma" w:hAnsi="Tahoma" w:cs="Tahoma"/>
          <w:sz w:val="20"/>
          <w:szCs w:val="20"/>
        </w:rPr>
        <w:t>intérieur</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cales</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conteneurs</w:t>
      </w:r>
      <w:r w:rsidR="00DB1635" w:rsidRPr="00B004EE">
        <w:rPr>
          <w:rFonts w:ascii="Tahoma" w:hAnsi="Tahoma" w:cs="Tahoma"/>
          <w:sz w:val="20"/>
          <w:szCs w:val="20"/>
        </w:rPr>
        <w:t xml:space="preserve"> </w:t>
      </w:r>
      <w:r w:rsidRPr="00B004EE">
        <w:rPr>
          <w:rFonts w:ascii="Tahoma" w:hAnsi="Tahoma" w:cs="Tahoma"/>
          <w:sz w:val="20"/>
          <w:szCs w:val="20"/>
        </w:rPr>
        <w:t>doit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constitué</w:t>
      </w:r>
      <w:r w:rsidR="00DB1635" w:rsidRPr="00B004EE">
        <w:rPr>
          <w:rFonts w:ascii="Tahoma" w:hAnsi="Tahoma" w:cs="Tahoma"/>
          <w:sz w:val="20"/>
          <w:szCs w:val="20"/>
        </w:rPr>
        <w:t xml:space="preserve"> </w:t>
      </w:r>
      <w:r w:rsidRPr="00B004EE">
        <w:rPr>
          <w:rFonts w:ascii="Tahoma" w:hAnsi="Tahoma" w:cs="Tahoma"/>
          <w:sz w:val="20"/>
          <w:szCs w:val="20"/>
        </w:rPr>
        <w:t>d'un</w:t>
      </w:r>
      <w:r w:rsidR="00DB1635" w:rsidRPr="00B004EE">
        <w:rPr>
          <w:rFonts w:ascii="Tahoma" w:hAnsi="Tahoma" w:cs="Tahoma"/>
          <w:sz w:val="20"/>
          <w:szCs w:val="20"/>
        </w:rPr>
        <w:t xml:space="preserve"> </w:t>
      </w:r>
      <w:r w:rsidRPr="00B004EE">
        <w:rPr>
          <w:rFonts w:ascii="Tahoma" w:hAnsi="Tahoma" w:cs="Tahoma"/>
          <w:sz w:val="20"/>
          <w:szCs w:val="20"/>
        </w:rPr>
        <w:t>matériau</w:t>
      </w:r>
      <w:r w:rsidR="00DB1635" w:rsidRPr="00B004EE">
        <w:rPr>
          <w:rFonts w:ascii="Tahoma" w:hAnsi="Tahoma" w:cs="Tahoma"/>
          <w:sz w:val="20"/>
          <w:szCs w:val="20"/>
        </w:rPr>
        <w:t xml:space="preserve"> </w:t>
      </w:r>
      <w:r w:rsidRPr="00B004EE">
        <w:rPr>
          <w:rFonts w:ascii="Tahoma" w:hAnsi="Tahoma" w:cs="Tahoma"/>
          <w:sz w:val="20"/>
          <w:szCs w:val="20"/>
        </w:rPr>
        <w:t>étanche,</w:t>
      </w:r>
      <w:r w:rsidR="00DB1635" w:rsidRPr="00B004EE">
        <w:rPr>
          <w:rFonts w:ascii="Tahoma" w:hAnsi="Tahoma" w:cs="Tahoma"/>
          <w:sz w:val="20"/>
          <w:szCs w:val="20"/>
        </w:rPr>
        <w:t xml:space="preserve"> </w:t>
      </w:r>
      <w:r w:rsidRPr="00B004EE">
        <w:rPr>
          <w:rFonts w:ascii="Tahoma" w:hAnsi="Tahoma" w:cs="Tahoma"/>
          <w:sz w:val="20"/>
          <w:szCs w:val="20"/>
        </w:rPr>
        <w:t>lisse,</w:t>
      </w:r>
      <w:r w:rsidR="00DB1635" w:rsidRPr="00B004EE">
        <w:rPr>
          <w:rFonts w:ascii="Tahoma" w:hAnsi="Tahoma" w:cs="Tahoma"/>
          <w:sz w:val="20"/>
          <w:szCs w:val="20"/>
        </w:rPr>
        <w:t xml:space="preserve"> </w:t>
      </w:r>
      <w:r w:rsidRPr="00B004EE">
        <w:rPr>
          <w:rFonts w:ascii="Tahoma" w:hAnsi="Tahoma" w:cs="Tahoma"/>
          <w:sz w:val="20"/>
          <w:szCs w:val="20"/>
        </w:rPr>
        <w:t>imperméable,</w:t>
      </w:r>
      <w:r w:rsidR="00DB1635" w:rsidRPr="00B004EE">
        <w:rPr>
          <w:rFonts w:ascii="Tahoma" w:hAnsi="Tahoma" w:cs="Tahoma"/>
          <w:sz w:val="20"/>
          <w:szCs w:val="20"/>
        </w:rPr>
        <w:t xml:space="preserve"> </w:t>
      </w:r>
      <w:r w:rsidRPr="00B004EE">
        <w:rPr>
          <w:rFonts w:ascii="Tahoma" w:hAnsi="Tahoma" w:cs="Tahoma"/>
          <w:sz w:val="20"/>
          <w:szCs w:val="20"/>
        </w:rPr>
        <w:t>facile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laver</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désinfecter.</w:t>
      </w:r>
      <w:r w:rsidR="00DB1635" w:rsidRPr="00B004EE">
        <w:rPr>
          <w:rFonts w:ascii="Tahoma" w:hAnsi="Tahoma" w:cs="Tahoma"/>
          <w:sz w:val="20"/>
          <w:szCs w:val="20"/>
        </w:rPr>
        <w:t xml:space="preserve"> </w:t>
      </w:r>
      <w:r w:rsidRPr="00B004EE">
        <w:rPr>
          <w:rFonts w:ascii="Tahoma" w:hAnsi="Tahoma" w:cs="Tahoma"/>
          <w:sz w:val="20"/>
          <w:szCs w:val="20"/>
        </w:rPr>
        <w:t>A</w:t>
      </w:r>
      <w:r w:rsidR="00DB1635" w:rsidRPr="00B004EE">
        <w:rPr>
          <w:rFonts w:ascii="Tahoma" w:hAnsi="Tahoma" w:cs="Tahoma"/>
          <w:sz w:val="20"/>
          <w:szCs w:val="20"/>
        </w:rPr>
        <w:t xml:space="preserve"> </w:t>
      </w:r>
      <w:r w:rsidRPr="00B004EE">
        <w:rPr>
          <w:rFonts w:ascii="Tahoma" w:hAnsi="Tahoma" w:cs="Tahoma"/>
          <w:sz w:val="20"/>
          <w:szCs w:val="20"/>
        </w:rPr>
        <w:t>défaut,</w:t>
      </w:r>
      <w:r w:rsidR="00DB1635" w:rsidRPr="00B004EE">
        <w:rPr>
          <w:rFonts w:ascii="Tahoma" w:hAnsi="Tahoma" w:cs="Tahoma"/>
          <w:sz w:val="20"/>
          <w:szCs w:val="20"/>
        </w:rPr>
        <w:t xml:space="preserve"> </w:t>
      </w:r>
      <w:r w:rsidRPr="00B004EE">
        <w:rPr>
          <w:rFonts w:ascii="Tahoma" w:hAnsi="Tahoma" w:cs="Tahoma"/>
          <w:sz w:val="20"/>
          <w:szCs w:val="20"/>
        </w:rPr>
        <w:t>il</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constitué</w:t>
      </w:r>
      <w:r w:rsidR="00DB1635" w:rsidRPr="00B004EE">
        <w:rPr>
          <w:rFonts w:ascii="Tahoma" w:hAnsi="Tahoma" w:cs="Tahoma"/>
          <w:sz w:val="20"/>
          <w:szCs w:val="20"/>
        </w:rPr>
        <w:t xml:space="preserve"> </w:t>
      </w:r>
      <w:r w:rsidRPr="00B004EE">
        <w:rPr>
          <w:rFonts w:ascii="Tahoma" w:hAnsi="Tahoma" w:cs="Tahoma"/>
          <w:sz w:val="20"/>
          <w:szCs w:val="20"/>
        </w:rPr>
        <w:t>d'une</w:t>
      </w:r>
      <w:r w:rsidR="00DB1635" w:rsidRPr="00B004EE">
        <w:rPr>
          <w:rFonts w:ascii="Tahoma" w:hAnsi="Tahoma" w:cs="Tahoma"/>
          <w:sz w:val="20"/>
          <w:szCs w:val="20"/>
        </w:rPr>
        <w:t xml:space="preserve"> </w:t>
      </w:r>
      <w:r w:rsidRPr="00B004EE">
        <w:rPr>
          <w:rFonts w:ascii="Tahoma" w:hAnsi="Tahoma" w:cs="Tahoma"/>
          <w:sz w:val="20"/>
          <w:szCs w:val="20"/>
        </w:rPr>
        <w:t>peinture</w:t>
      </w:r>
      <w:r w:rsidR="00DB1635" w:rsidRPr="00B004EE">
        <w:rPr>
          <w:rFonts w:ascii="Tahoma" w:hAnsi="Tahoma" w:cs="Tahoma"/>
          <w:sz w:val="20"/>
          <w:szCs w:val="20"/>
        </w:rPr>
        <w:t xml:space="preserve"> </w:t>
      </w:r>
      <w:r w:rsidRPr="00B004EE">
        <w:rPr>
          <w:rFonts w:ascii="Tahoma" w:hAnsi="Tahoma" w:cs="Tahoma"/>
          <w:sz w:val="20"/>
          <w:szCs w:val="20"/>
        </w:rPr>
        <w:t>lisse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lavable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qualité</w:t>
      </w:r>
      <w:r w:rsidR="00DB1635" w:rsidRPr="00B004EE">
        <w:rPr>
          <w:rFonts w:ascii="Tahoma" w:hAnsi="Tahoma" w:cs="Tahoma"/>
          <w:sz w:val="20"/>
          <w:szCs w:val="20"/>
        </w:rPr>
        <w:t xml:space="preserve"> </w:t>
      </w:r>
      <w:r w:rsidRPr="00B004EE">
        <w:rPr>
          <w:rFonts w:ascii="Tahoma" w:hAnsi="Tahoma" w:cs="Tahoma"/>
          <w:sz w:val="20"/>
          <w:szCs w:val="20"/>
        </w:rPr>
        <w:t>alimentaire.</w:t>
      </w:r>
    </w:p>
    <w:p w14:paraId="6025EC62" w14:textId="77777777" w:rsidR="002F24E1" w:rsidRPr="00B004EE" w:rsidRDefault="002F24E1" w:rsidP="00B004EE">
      <w:pPr>
        <w:jc w:val="both"/>
        <w:rPr>
          <w:rFonts w:ascii="Tahoma" w:hAnsi="Tahoma" w:cs="Tahoma"/>
          <w:sz w:val="20"/>
          <w:szCs w:val="20"/>
        </w:rPr>
      </w:pPr>
    </w:p>
    <w:p w14:paraId="29EA57CD" w14:textId="55FAE039" w:rsidR="002F24E1" w:rsidRPr="00B004EE" w:rsidRDefault="002F24E1" w:rsidP="00B004EE">
      <w:pPr>
        <w:jc w:val="both"/>
        <w:rPr>
          <w:rFonts w:ascii="Tahoma" w:hAnsi="Tahoma" w:cs="Tahoma"/>
          <w:sz w:val="20"/>
          <w:szCs w:val="20"/>
        </w:rPr>
      </w:pPr>
      <w:r w:rsidRPr="00B004EE">
        <w:rPr>
          <w:rFonts w:ascii="Tahoma" w:hAnsi="Tahoma" w:cs="Tahoma"/>
          <w:sz w:val="20"/>
          <w:szCs w:val="20"/>
        </w:rPr>
        <w:t>Article</w:t>
      </w:r>
      <w:r w:rsidR="00DB1635" w:rsidRPr="00B004EE">
        <w:rPr>
          <w:rFonts w:ascii="Tahoma" w:hAnsi="Tahoma" w:cs="Tahoma"/>
          <w:sz w:val="20"/>
          <w:szCs w:val="20"/>
        </w:rPr>
        <w:t xml:space="preserve"> </w:t>
      </w:r>
      <w:r w:rsidRPr="00B004EE">
        <w:rPr>
          <w:rFonts w:ascii="Tahoma" w:hAnsi="Tahoma" w:cs="Tahoma"/>
          <w:sz w:val="20"/>
          <w:szCs w:val="20"/>
        </w:rPr>
        <w:t>19</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glace</w:t>
      </w:r>
      <w:r w:rsidR="00DB1635" w:rsidRPr="00B004EE">
        <w:rPr>
          <w:rFonts w:ascii="Tahoma" w:hAnsi="Tahoma" w:cs="Tahoma"/>
          <w:sz w:val="20"/>
          <w:szCs w:val="20"/>
        </w:rPr>
        <w:t xml:space="preserve"> </w:t>
      </w:r>
      <w:r w:rsidRPr="00B004EE">
        <w:rPr>
          <w:rFonts w:ascii="Tahoma" w:hAnsi="Tahoma" w:cs="Tahoma"/>
          <w:sz w:val="20"/>
          <w:szCs w:val="20"/>
        </w:rPr>
        <w:t>utilisée</w:t>
      </w:r>
      <w:r w:rsidR="00DB1635" w:rsidRPr="00B004EE">
        <w:rPr>
          <w:rFonts w:ascii="Tahoma" w:hAnsi="Tahoma" w:cs="Tahoma"/>
          <w:sz w:val="20"/>
          <w:szCs w:val="20"/>
        </w:rPr>
        <w:t xml:space="preserve"> </w:t>
      </w:r>
      <w:r w:rsidRPr="00B004EE">
        <w:rPr>
          <w:rFonts w:ascii="Tahoma" w:hAnsi="Tahoma" w:cs="Tahoma"/>
          <w:sz w:val="20"/>
          <w:szCs w:val="20"/>
        </w:rPr>
        <w:t>doit</w:t>
      </w:r>
      <w:r w:rsidR="00DB1635" w:rsidRPr="00B004EE">
        <w:rPr>
          <w:rFonts w:ascii="Tahoma" w:hAnsi="Tahoma" w:cs="Tahoma"/>
          <w:sz w:val="20"/>
          <w:szCs w:val="20"/>
        </w:rPr>
        <w:t xml:space="preserve"> </w:t>
      </w:r>
      <w:r w:rsidRPr="00B004EE">
        <w:rPr>
          <w:rFonts w:ascii="Tahoma" w:hAnsi="Tahoma" w:cs="Tahoma"/>
          <w:sz w:val="20"/>
          <w:szCs w:val="20"/>
        </w:rPr>
        <w:t>provenir</w:t>
      </w:r>
      <w:r w:rsidR="00DB1635" w:rsidRPr="00B004EE">
        <w:rPr>
          <w:rFonts w:ascii="Tahoma" w:hAnsi="Tahoma" w:cs="Tahoma"/>
          <w:sz w:val="20"/>
          <w:szCs w:val="20"/>
        </w:rPr>
        <w:t xml:space="preserve"> </w:t>
      </w:r>
      <w:r w:rsidRPr="00B004EE">
        <w:rPr>
          <w:rFonts w:ascii="Tahoma" w:hAnsi="Tahoma" w:cs="Tahoma"/>
          <w:sz w:val="20"/>
          <w:szCs w:val="20"/>
        </w:rPr>
        <w:t>d'eau</w:t>
      </w:r>
      <w:r w:rsidR="00DB1635" w:rsidRPr="00B004EE">
        <w:rPr>
          <w:rFonts w:ascii="Tahoma" w:hAnsi="Tahoma" w:cs="Tahoma"/>
          <w:sz w:val="20"/>
          <w:szCs w:val="20"/>
        </w:rPr>
        <w:t xml:space="preserve"> </w:t>
      </w:r>
      <w:r w:rsidRPr="00B004EE">
        <w:rPr>
          <w:rFonts w:ascii="Tahoma" w:hAnsi="Tahoma" w:cs="Tahoma"/>
          <w:sz w:val="20"/>
          <w:szCs w:val="20"/>
        </w:rPr>
        <w:t>potable</w:t>
      </w:r>
      <w:r w:rsidR="00DB1635" w:rsidRPr="00B004EE">
        <w:rPr>
          <w:rFonts w:ascii="Tahoma" w:hAnsi="Tahoma" w:cs="Tahoma"/>
          <w:sz w:val="20"/>
          <w:szCs w:val="20"/>
        </w:rPr>
        <w:t xml:space="preserve"> </w:t>
      </w:r>
      <w:r w:rsidRPr="00B004EE">
        <w:rPr>
          <w:rFonts w:ascii="Tahoma" w:hAnsi="Tahoma" w:cs="Tahoma"/>
          <w:sz w:val="20"/>
          <w:szCs w:val="20"/>
        </w:rPr>
        <w:t>(eau</w:t>
      </w:r>
      <w:r w:rsidR="00DB1635" w:rsidRPr="00B004EE">
        <w:rPr>
          <w:rFonts w:ascii="Tahoma" w:hAnsi="Tahoma" w:cs="Tahoma"/>
          <w:sz w:val="20"/>
          <w:szCs w:val="20"/>
        </w:rPr>
        <w:t xml:space="preserve"> </w:t>
      </w:r>
      <w:r w:rsidRPr="00B004EE">
        <w:rPr>
          <w:rFonts w:ascii="Tahoma" w:hAnsi="Tahoma" w:cs="Tahoma"/>
          <w:sz w:val="20"/>
          <w:szCs w:val="20"/>
        </w:rPr>
        <w:t>douce</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eau</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mer</w:t>
      </w:r>
      <w:r w:rsidR="00DB1635" w:rsidRPr="00B004EE">
        <w:rPr>
          <w:rFonts w:ascii="Tahoma" w:hAnsi="Tahoma" w:cs="Tahoma"/>
          <w:sz w:val="20"/>
          <w:szCs w:val="20"/>
        </w:rPr>
        <w:t xml:space="preserve"> </w:t>
      </w:r>
      <w:r w:rsidRPr="00B004EE">
        <w:rPr>
          <w:rFonts w:ascii="Tahoma" w:hAnsi="Tahoma" w:cs="Tahoma"/>
          <w:sz w:val="20"/>
          <w:szCs w:val="20"/>
        </w:rPr>
        <w:t>propre).</w:t>
      </w:r>
      <w:r w:rsidR="00DB1635" w:rsidRPr="00B004EE">
        <w:rPr>
          <w:rFonts w:ascii="Tahoma" w:hAnsi="Tahoma" w:cs="Tahoma"/>
          <w:sz w:val="20"/>
          <w:szCs w:val="20"/>
        </w:rPr>
        <w:t xml:space="preserve"> </w:t>
      </w:r>
      <w:r w:rsidRPr="00B004EE">
        <w:rPr>
          <w:rFonts w:ascii="Tahoma" w:hAnsi="Tahoma" w:cs="Tahoma"/>
          <w:sz w:val="20"/>
          <w:szCs w:val="20"/>
        </w:rPr>
        <w:t>Elle</w:t>
      </w:r>
      <w:r w:rsidR="00DB1635" w:rsidRPr="00B004EE">
        <w:rPr>
          <w:rFonts w:ascii="Tahoma" w:hAnsi="Tahoma" w:cs="Tahoma"/>
          <w:sz w:val="20"/>
          <w:szCs w:val="20"/>
        </w:rPr>
        <w:t xml:space="preserve"> </w:t>
      </w:r>
      <w:r w:rsidRPr="00B004EE">
        <w:rPr>
          <w:rFonts w:ascii="Tahoma" w:hAnsi="Tahoma" w:cs="Tahoma"/>
          <w:sz w:val="20"/>
          <w:szCs w:val="20"/>
        </w:rPr>
        <w:t>doit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quantité</w:t>
      </w:r>
      <w:r w:rsidR="00DB1635" w:rsidRPr="00B004EE">
        <w:rPr>
          <w:rFonts w:ascii="Tahoma" w:hAnsi="Tahoma" w:cs="Tahoma"/>
          <w:sz w:val="20"/>
          <w:szCs w:val="20"/>
        </w:rPr>
        <w:t xml:space="preserve"> </w:t>
      </w:r>
      <w:r w:rsidRPr="00B004EE">
        <w:rPr>
          <w:rFonts w:ascii="Tahoma" w:hAnsi="Tahoma" w:cs="Tahoma"/>
          <w:sz w:val="20"/>
          <w:szCs w:val="20"/>
        </w:rPr>
        <w:t>suffisante</w:t>
      </w:r>
      <w:r w:rsidR="00DB1635" w:rsidRPr="00B004EE">
        <w:rPr>
          <w:rFonts w:ascii="Tahoma" w:hAnsi="Tahoma" w:cs="Tahoma"/>
          <w:sz w:val="20"/>
          <w:szCs w:val="20"/>
        </w:rPr>
        <w:t xml:space="preserve"> </w:t>
      </w:r>
      <w:r w:rsidRPr="00B004EE">
        <w:rPr>
          <w:rFonts w:ascii="Tahoma" w:hAnsi="Tahoma" w:cs="Tahoma"/>
          <w:sz w:val="20"/>
          <w:szCs w:val="20"/>
        </w:rPr>
        <w:t>telle</w:t>
      </w:r>
      <w:r w:rsidR="00DB1635" w:rsidRPr="00B004EE">
        <w:rPr>
          <w:rFonts w:ascii="Tahoma" w:hAnsi="Tahoma" w:cs="Tahoma"/>
          <w:sz w:val="20"/>
          <w:szCs w:val="20"/>
        </w:rPr>
        <w:t xml:space="preserve"> </w:t>
      </w:r>
      <w:r w:rsidRPr="00B004EE">
        <w:rPr>
          <w:rFonts w:ascii="Tahoma" w:hAnsi="Tahoma" w:cs="Tahoma"/>
          <w:sz w:val="20"/>
          <w:szCs w:val="20"/>
        </w:rPr>
        <w:t>qu'au</w:t>
      </w:r>
      <w:r w:rsidR="00DB1635" w:rsidRPr="00B004EE">
        <w:rPr>
          <w:rFonts w:ascii="Tahoma" w:hAnsi="Tahoma" w:cs="Tahoma"/>
          <w:sz w:val="20"/>
          <w:szCs w:val="20"/>
        </w:rPr>
        <w:t xml:space="preserve"> </w:t>
      </w:r>
      <w:r w:rsidRPr="00B004EE">
        <w:rPr>
          <w:rFonts w:ascii="Tahoma" w:hAnsi="Tahoma" w:cs="Tahoma"/>
          <w:sz w:val="20"/>
          <w:szCs w:val="20"/>
        </w:rPr>
        <w:t>débarquement</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température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00FF77A5" w:rsidRPr="00B004EE">
        <w:rPr>
          <w:rFonts w:ascii="Tahoma" w:hAnsi="Tahoma" w:cs="Tahoma"/>
          <w:sz w:val="20"/>
          <w:szCs w:val="20"/>
        </w:rPr>
        <w:t>cœur</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soit</w:t>
      </w:r>
      <w:r w:rsidR="00DB1635" w:rsidRPr="00B004EE">
        <w:rPr>
          <w:rFonts w:ascii="Tahoma" w:hAnsi="Tahoma" w:cs="Tahoma"/>
          <w:sz w:val="20"/>
          <w:szCs w:val="20"/>
        </w:rPr>
        <w:t xml:space="preserve"> </w:t>
      </w:r>
      <w:r w:rsidRPr="00B004EE">
        <w:rPr>
          <w:rFonts w:ascii="Tahoma" w:hAnsi="Tahoma" w:cs="Tahoma"/>
          <w:sz w:val="20"/>
          <w:szCs w:val="20"/>
        </w:rPr>
        <w:t>celle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glace</w:t>
      </w:r>
      <w:r w:rsidR="00DB1635" w:rsidRPr="00B004EE">
        <w:rPr>
          <w:rFonts w:ascii="Tahoma" w:hAnsi="Tahoma" w:cs="Tahoma"/>
          <w:sz w:val="20"/>
          <w:szCs w:val="20"/>
        </w:rPr>
        <w:t xml:space="preserve"> </w:t>
      </w:r>
      <w:r w:rsidRPr="00B004EE">
        <w:rPr>
          <w:rFonts w:ascii="Tahoma" w:hAnsi="Tahoma" w:cs="Tahoma"/>
          <w:sz w:val="20"/>
          <w:szCs w:val="20"/>
        </w:rPr>
        <w:t>fondante.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glace</w:t>
      </w:r>
      <w:r w:rsidR="00DB1635" w:rsidRPr="00B004EE">
        <w:rPr>
          <w:rFonts w:ascii="Tahoma" w:hAnsi="Tahoma" w:cs="Tahoma"/>
          <w:sz w:val="20"/>
          <w:szCs w:val="20"/>
        </w:rPr>
        <w:t xml:space="preserve"> </w:t>
      </w:r>
      <w:r w:rsidRPr="00B004EE">
        <w:rPr>
          <w:rFonts w:ascii="Tahoma" w:hAnsi="Tahoma" w:cs="Tahoma"/>
          <w:sz w:val="20"/>
          <w:szCs w:val="20"/>
        </w:rPr>
        <w:t>doit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répartie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façon</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assurer</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réfrigération</w:t>
      </w:r>
      <w:r w:rsidR="00DB1635" w:rsidRPr="00B004EE">
        <w:rPr>
          <w:rFonts w:ascii="Tahoma" w:hAnsi="Tahoma" w:cs="Tahoma"/>
          <w:sz w:val="20"/>
          <w:szCs w:val="20"/>
        </w:rPr>
        <w:t xml:space="preserve"> </w:t>
      </w:r>
      <w:r w:rsidRPr="00B004EE">
        <w:rPr>
          <w:rFonts w:ascii="Tahoma" w:hAnsi="Tahoma" w:cs="Tahoma"/>
          <w:sz w:val="20"/>
          <w:szCs w:val="20"/>
        </w:rPr>
        <w:t>efficace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homogène,</w:t>
      </w:r>
      <w:r w:rsidR="00DB1635" w:rsidRPr="00B004EE">
        <w:rPr>
          <w:rFonts w:ascii="Tahoma" w:hAnsi="Tahoma" w:cs="Tahoma"/>
          <w:sz w:val="20"/>
          <w:szCs w:val="20"/>
        </w:rPr>
        <w:t xml:space="preserve"> </w:t>
      </w:r>
      <w:r w:rsidRPr="00B004EE">
        <w:rPr>
          <w:rFonts w:ascii="Tahoma" w:hAnsi="Tahoma" w:cs="Tahoma"/>
          <w:sz w:val="20"/>
          <w:szCs w:val="20"/>
        </w:rPr>
        <w:t>sans</w:t>
      </w:r>
      <w:r w:rsidR="00DB1635" w:rsidRPr="00B004EE">
        <w:rPr>
          <w:rFonts w:ascii="Tahoma" w:hAnsi="Tahoma" w:cs="Tahoma"/>
          <w:sz w:val="20"/>
          <w:szCs w:val="20"/>
        </w:rPr>
        <w:t xml:space="preserve"> </w:t>
      </w:r>
      <w:r w:rsidRPr="00B004EE">
        <w:rPr>
          <w:rFonts w:ascii="Tahoma" w:hAnsi="Tahoma" w:cs="Tahoma"/>
          <w:sz w:val="20"/>
          <w:szCs w:val="20"/>
        </w:rPr>
        <w:t>que</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morceaux</w:t>
      </w:r>
      <w:r w:rsidR="00DB1635" w:rsidRPr="00B004EE">
        <w:rPr>
          <w:rFonts w:ascii="Tahoma" w:hAnsi="Tahoma" w:cs="Tahoma"/>
          <w:sz w:val="20"/>
          <w:szCs w:val="20"/>
        </w:rPr>
        <w:t xml:space="preserve"> </w:t>
      </w:r>
      <w:r w:rsidRPr="00B004EE">
        <w:rPr>
          <w:rFonts w:ascii="Tahoma" w:hAnsi="Tahoma" w:cs="Tahoma"/>
          <w:sz w:val="20"/>
          <w:szCs w:val="20"/>
        </w:rPr>
        <w:t>ni</w:t>
      </w:r>
      <w:r w:rsidR="00DB1635" w:rsidRPr="00B004EE">
        <w:rPr>
          <w:rFonts w:ascii="Tahoma" w:hAnsi="Tahoma" w:cs="Tahoma"/>
          <w:sz w:val="20"/>
          <w:szCs w:val="20"/>
        </w:rPr>
        <w:t xml:space="preserve"> </w:t>
      </w:r>
      <w:r w:rsidRPr="00B004EE">
        <w:rPr>
          <w:rFonts w:ascii="Tahoma" w:hAnsi="Tahoma" w:cs="Tahoma"/>
          <w:sz w:val="20"/>
          <w:szCs w:val="20"/>
        </w:rPr>
        <w:t>l'eau</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fusion</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glace</w:t>
      </w:r>
      <w:r w:rsidR="00DB1635" w:rsidRPr="00B004EE">
        <w:rPr>
          <w:rFonts w:ascii="Tahoma" w:hAnsi="Tahoma" w:cs="Tahoma"/>
          <w:sz w:val="20"/>
          <w:szCs w:val="20"/>
        </w:rPr>
        <w:t xml:space="preserve"> </w:t>
      </w:r>
      <w:r w:rsidRPr="00B004EE">
        <w:rPr>
          <w:rFonts w:ascii="Tahoma" w:hAnsi="Tahoma" w:cs="Tahoma"/>
          <w:sz w:val="20"/>
          <w:szCs w:val="20"/>
        </w:rPr>
        <w:t>ne</w:t>
      </w:r>
      <w:r w:rsidR="00DB1635" w:rsidRPr="00B004EE">
        <w:rPr>
          <w:rFonts w:ascii="Tahoma" w:hAnsi="Tahoma" w:cs="Tahoma"/>
          <w:sz w:val="20"/>
          <w:szCs w:val="20"/>
        </w:rPr>
        <w:t xml:space="preserve"> </w:t>
      </w:r>
      <w:r w:rsidRPr="00B004EE">
        <w:rPr>
          <w:rFonts w:ascii="Tahoma" w:hAnsi="Tahoma" w:cs="Tahoma"/>
          <w:sz w:val="20"/>
          <w:szCs w:val="20"/>
        </w:rPr>
        <w:t>risquent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détériorer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produits.</w:t>
      </w:r>
    </w:p>
    <w:p w14:paraId="1E37120A" w14:textId="77777777" w:rsidR="002F24E1" w:rsidRPr="00B004EE" w:rsidRDefault="002F24E1" w:rsidP="00B004EE">
      <w:pPr>
        <w:jc w:val="both"/>
        <w:rPr>
          <w:rFonts w:ascii="Tahoma" w:hAnsi="Tahoma" w:cs="Tahoma"/>
          <w:sz w:val="20"/>
          <w:szCs w:val="20"/>
        </w:rPr>
      </w:pPr>
    </w:p>
    <w:p w14:paraId="41BBD6CF" w14:textId="7458570D" w:rsidR="002F24E1" w:rsidRPr="00B004EE" w:rsidRDefault="002F24E1" w:rsidP="00B004EE">
      <w:pPr>
        <w:jc w:val="both"/>
        <w:rPr>
          <w:rFonts w:ascii="Tahoma" w:hAnsi="Tahoma" w:cs="Tahoma"/>
          <w:sz w:val="20"/>
          <w:szCs w:val="20"/>
        </w:rPr>
      </w:pPr>
      <w:r w:rsidRPr="00B004EE">
        <w:rPr>
          <w:rFonts w:ascii="Tahoma" w:hAnsi="Tahoma" w:cs="Tahoma"/>
          <w:sz w:val="20"/>
          <w:szCs w:val="20"/>
        </w:rPr>
        <w:t>Article</w:t>
      </w:r>
      <w:r w:rsidR="00DB1635" w:rsidRPr="00B004EE">
        <w:rPr>
          <w:rFonts w:ascii="Tahoma" w:hAnsi="Tahoma" w:cs="Tahoma"/>
          <w:sz w:val="20"/>
          <w:szCs w:val="20"/>
        </w:rPr>
        <w:t xml:space="preserve"> </w:t>
      </w:r>
      <w:r w:rsidRPr="00B004EE">
        <w:rPr>
          <w:rFonts w:ascii="Tahoma" w:hAnsi="Tahoma" w:cs="Tahoma"/>
          <w:sz w:val="20"/>
          <w:szCs w:val="20"/>
        </w:rPr>
        <w:t>20</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moment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leur</w:t>
      </w:r>
      <w:r w:rsidR="00DB1635" w:rsidRPr="00B004EE">
        <w:rPr>
          <w:rFonts w:ascii="Tahoma" w:hAnsi="Tahoma" w:cs="Tahoma"/>
          <w:sz w:val="20"/>
          <w:szCs w:val="20"/>
        </w:rPr>
        <w:t xml:space="preserve"> </w:t>
      </w:r>
      <w:r w:rsidRPr="00B004EE">
        <w:rPr>
          <w:rFonts w:ascii="Tahoma" w:hAnsi="Tahoma" w:cs="Tahoma"/>
          <w:sz w:val="20"/>
          <w:szCs w:val="20"/>
        </w:rPr>
        <w:t>utilisation,</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surfaces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travail,</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équipements,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récipients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cales</w:t>
      </w:r>
      <w:r w:rsidR="00DB1635" w:rsidRPr="00B004EE">
        <w:rPr>
          <w:rFonts w:ascii="Tahoma" w:hAnsi="Tahoma" w:cs="Tahoma"/>
          <w:sz w:val="20"/>
          <w:szCs w:val="20"/>
        </w:rPr>
        <w:t xml:space="preserve"> </w:t>
      </w:r>
      <w:r w:rsidRPr="00B004EE">
        <w:rPr>
          <w:rFonts w:ascii="Tahoma" w:hAnsi="Tahoma" w:cs="Tahoma"/>
          <w:sz w:val="20"/>
          <w:szCs w:val="20"/>
        </w:rPr>
        <w:t>doivent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bon</w:t>
      </w:r>
      <w:r w:rsidR="00DB1635" w:rsidRPr="00B004EE">
        <w:rPr>
          <w:rFonts w:ascii="Tahoma" w:hAnsi="Tahoma" w:cs="Tahoma"/>
          <w:sz w:val="20"/>
          <w:szCs w:val="20"/>
        </w:rPr>
        <w:t xml:space="preserve"> </w:t>
      </w:r>
      <w:r w:rsidRPr="00B004EE">
        <w:rPr>
          <w:rFonts w:ascii="Tahoma" w:hAnsi="Tahoma" w:cs="Tahoma"/>
          <w:sz w:val="20"/>
          <w:szCs w:val="20"/>
        </w:rPr>
        <w:t>état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propreté.</w:t>
      </w:r>
      <w:r w:rsidR="00DB1635" w:rsidRPr="00B004EE">
        <w:rPr>
          <w:rFonts w:ascii="Tahoma" w:hAnsi="Tahoma" w:cs="Tahoma"/>
          <w:sz w:val="20"/>
          <w:szCs w:val="20"/>
        </w:rPr>
        <w:t xml:space="preserve"> </w:t>
      </w:r>
      <w:r w:rsidRPr="00B004EE">
        <w:rPr>
          <w:rFonts w:ascii="Tahoma" w:hAnsi="Tahoma" w:cs="Tahoma"/>
          <w:sz w:val="20"/>
          <w:szCs w:val="20"/>
        </w:rPr>
        <w:t>Ils</w:t>
      </w:r>
      <w:r w:rsidR="00DB1635" w:rsidRPr="00B004EE">
        <w:rPr>
          <w:rFonts w:ascii="Tahoma" w:hAnsi="Tahoma" w:cs="Tahoma"/>
          <w:sz w:val="20"/>
          <w:szCs w:val="20"/>
        </w:rPr>
        <w:t xml:space="preserve"> </w:t>
      </w:r>
      <w:r w:rsidRPr="00B004EE">
        <w:rPr>
          <w:rFonts w:ascii="Tahoma" w:hAnsi="Tahoma" w:cs="Tahoma"/>
          <w:sz w:val="20"/>
          <w:szCs w:val="20"/>
        </w:rPr>
        <w:t>doivent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soigneusement</w:t>
      </w:r>
      <w:r w:rsidR="00DB1635" w:rsidRPr="00B004EE">
        <w:rPr>
          <w:rFonts w:ascii="Tahoma" w:hAnsi="Tahoma" w:cs="Tahoma"/>
          <w:sz w:val="20"/>
          <w:szCs w:val="20"/>
        </w:rPr>
        <w:t xml:space="preserve"> </w:t>
      </w:r>
      <w:r w:rsidRPr="00B004EE">
        <w:rPr>
          <w:rFonts w:ascii="Tahoma" w:hAnsi="Tahoma" w:cs="Tahoma"/>
          <w:sz w:val="20"/>
          <w:szCs w:val="20"/>
        </w:rPr>
        <w:t>nettoyés</w:t>
      </w:r>
      <w:r w:rsidR="00DB1635" w:rsidRPr="00B004EE">
        <w:rPr>
          <w:rFonts w:ascii="Tahoma" w:hAnsi="Tahoma" w:cs="Tahoma"/>
          <w:sz w:val="20"/>
          <w:szCs w:val="20"/>
        </w:rPr>
        <w:t xml:space="preserve"> </w:t>
      </w:r>
      <w:r w:rsidRPr="00B004EE">
        <w:rPr>
          <w:rFonts w:ascii="Tahoma" w:hAnsi="Tahoma" w:cs="Tahoma"/>
          <w:sz w:val="20"/>
          <w:szCs w:val="20"/>
        </w:rPr>
        <w:t>après</w:t>
      </w:r>
      <w:r w:rsidR="00DB1635" w:rsidRPr="00B004EE">
        <w:rPr>
          <w:rFonts w:ascii="Tahoma" w:hAnsi="Tahoma" w:cs="Tahoma"/>
          <w:sz w:val="20"/>
          <w:szCs w:val="20"/>
        </w:rPr>
        <w:t xml:space="preserve"> </w:t>
      </w:r>
      <w:r w:rsidRPr="00B004EE">
        <w:rPr>
          <w:rFonts w:ascii="Tahoma" w:hAnsi="Tahoma" w:cs="Tahoma"/>
          <w:sz w:val="20"/>
          <w:szCs w:val="20"/>
        </w:rPr>
        <w:t>chaque</w:t>
      </w:r>
      <w:r w:rsidR="00DB1635" w:rsidRPr="00B004EE">
        <w:rPr>
          <w:rFonts w:ascii="Tahoma" w:hAnsi="Tahoma" w:cs="Tahoma"/>
          <w:sz w:val="20"/>
          <w:szCs w:val="20"/>
        </w:rPr>
        <w:t xml:space="preserve"> </w:t>
      </w:r>
      <w:r w:rsidRPr="00B004EE">
        <w:rPr>
          <w:rFonts w:ascii="Tahoma" w:hAnsi="Tahoma" w:cs="Tahoma"/>
          <w:sz w:val="20"/>
          <w:szCs w:val="20"/>
        </w:rPr>
        <w:t>usage</w:t>
      </w:r>
      <w:r w:rsidR="00DB1635" w:rsidRPr="00B004EE">
        <w:rPr>
          <w:rFonts w:ascii="Tahoma" w:hAnsi="Tahoma" w:cs="Tahoma"/>
          <w:sz w:val="20"/>
          <w:szCs w:val="20"/>
        </w:rPr>
        <w:t xml:space="preserve"> </w:t>
      </w:r>
      <w:r w:rsidRPr="00B004EE">
        <w:rPr>
          <w:rFonts w:ascii="Tahoma" w:hAnsi="Tahoma" w:cs="Tahoma"/>
          <w:sz w:val="20"/>
          <w:szCs w:val="20"/>
        </w:rPr>
        <w:t>avec</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l'eau</w:t>
      </w:r>
      <w:r w:rsidR="00DB1635" w:rsidRPr="00B004EE">
        <w:rPr>
          <w:rFonts w:ascii="Tahoma" w:hAnsi="Tahoma" w:cs="Tahoma"/>
          <w:sz w:val="20"/>
          <w:szCs w:val="20"/>
        </w:rPr>
        <w:t xml:space="preserve"> </w:t>
      </w:r>
      <w:r w:rsidRPr="00B004EE">
        <w:rPr>
          <w:rFonts w:ascii="Tahoma" w:hAnsi="Tahoma" w:cs="Tahoma"/>
          <w:sz w:val="20"/>
          <w:szCs w:val="20"/>
        </w:rPr>
        <w:t>potable</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l'eau</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mer</w:t>
      </w:r>
      <w:r w:rsidR="00DB1635" w:rsidRPr="00B004EE">
        <w:rPr>
          <w:rFonts w:ascii="Tahoma" w:hAnsi="Tahoma" w:cs="Tahoma"/>
          <w:sz w:val="20"/>
          <w:szCs w:val="20"/>
        </w:rPr>
        <w:t xml:space="preserve"> </w:t>
      </w:r>
      <w:r w:rsidRPr="00B004EE">
        <w:rPr>
          <w:rFonts w:ascii="Tahoma" w:hAnsi="Tahoma" w:cs="Tahoma"/>
          <w:sz w:val="20"/>
          <w:szCs w:val="20"/>
        </w:rPr>
        <w:t>propre.</w:t>
      </w:r>
    </w:p>
    <w:p w14:paraId="5E2CA07C" w14:textId="77777777" w:rsidR="002F24E1" w:rsidRPr="00B004EE" w:rsidRDefault="002F24E1" w:rsidP="00B004EE">
      <w:pPr>
        <w:jc w:val="both"/>
        <w:rPr>
          <w:rFonts w:ascii="Tahoma" w:hAnsi="Tahoma" w:cs="Tahoma"/>
          <w:sz w:val="20"/>
          <w:szCs w:val="20"/>
        </w:rPr>
      </w:pPr>
    </w:p>
    <w:p w14:paraId="7115945A" w14:textId="2F4130C4" w:rsidR="002F24E1" w:rsidRPr="00B004EE" w:rsidRDefault="002F24E1" w:rsidP="00B004EE">
      <w:pPr>
        <w:pStyle w:val="Corpsdetexte2"/>
        <w:spacing w:after="0" w:line="240" w:lineRule="auto"/>
        <w:jc w:val="both"/>
        <w:rPr>
          <w:rFonts w:ascii="Tahoma" w:hAnsi="Tahoma" w:cs="Tahoma"/>
          <w:sz w:val="20"/>
          <w:szCs w:val="20"/>
        </w:rPr>
      </w:pP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désinfection,</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désinsectisation</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dératisation,</w:t>
      </w:r>
      <w:r w:rsidR="00DB1635" w:rsidRPr="00B004EE">
        <w:rPr>
          <w:rFonts w:ascii="Tahoma" w:hAnsi="Tahoma" w:cs="Tahoma"/>
          <w:sz w:val="20"/>
          <w:szCs w:val="20"/>
        </w:rPr>
        <w:t xml:space="preserve"> </w:t>
      </w:r>
      <w:r w:rsidRPr="00B004EE">
        <w:rPr>
          <w:rFonts w:ascii="Tahoma" w:hAnsi="Tahoma" w:cs="Tahoma"/>
          <w:sz w:val="20"/>
          <w:szCs w:val="20"/>
        </w:rPr>
        <w:t>doivent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réalisées</w:t>
      </w:r>
      <w:r w:rsidR="00DB1635" w:rsidRPr="00B004EE">
        <w:rPr>
          <w:rFonts w:ascii="Tahoma" w:hAnsi="Tahoma" w:cs="Tahoma"/>
          <w:sz w:val="20"/>
          <w:szCs w:val="20"/>
        </w:rPr>
        <w:t xml:space="preserve"> </w:t>
      </w:r>
      <w:r w:rsidRPr="00B004EE">
        <w:rPr>
          <w:rFonts w:ascii="Tahoma" w:hAnsi="Tahoma" w:cs="Tahoma"/>
          <w:sz w:val="20"/>
          <w:szCs w:val="20"/>
        </w:rPr>
        <w:t>chaque</w:t>
      </w:r>
      <w:r w:rsidR="00DB1635" w:rsidRPr="00B004EE">
        <w:rPr>
          <w:rFonts w:ascii="Tahoma" w:hAnsi="Tahoma" w:cs="Tahoma"/>
          <w:sz w:val="20"/>
          <w:szCs w:val="20"/>
        </w:rPr>
        <w:t xml:space="preserve"> </w:t>
      </w:r>
      <w:r w:rsidRPr="00B004EE">
        <w:rPr>
          <w:rFonts w:ascii="Tahoma" w:hAnsi="Tahoma" w:cs="Tahoma"/>
          <w:sz w:val="20"/>
          <w:szCs w:val="20"/>
        </w:rPr>
        <w:t>fois</w:t>
      </w:r>
      <w:r w:rsidR="00DB1635" w:rsidRPr="00B004EE">
        <w:rPr>
          <w:rFonts w:ascii="Tahoma" w:hAnsi="Tahoma" w:cs="Tahoma"/>
          <w:sz w:val="20"/>
          <w:szCs w:val="20"/>
        </w:rPr>
        <w:t xml:space="preserve"> </w:t>
      </w:r>
      <w:r w:rsidRPr="00B004EE">
        <w:rPr>
          <w:rFonts w:ascii="Tahoma" w:hAnsi="Tahoma" w:cs="Tahoma"/>
          <w:sz w:val="20"/>
          <w:szCs w:val="20"/>
        </w:rPr>
        <w:t>que</w:t>
      </w:r>
      <w:r w:rsidR="00DB1635" w:rsidRPr="00B004EE">
        <w:rPr>
          <w:rFonts w:ascii="Tahoma" w:hAnsi="Tahoma" w:cs="Tahoma"/>
          <w:sz w:val="20"/>
          <w:szCs w:val="20"/>
        </w:rPr>
        <w:t xml:space="preserve"> </w:t>
      </w:r>
      <w:r w:rsidRPr="00B004EE">
        <w:rPr>
          <w:rFonts w:ascii="Tahoma" w:hAnsi="Tahoma" w:cs="Tahoma"/>
          <w:sz w:val="20"/>
          <w:szCs w:val="20"/>
        </w:rPr>
        <w:t>cela</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nécessaire,</w:t>
      </w:r>
      <w:r w:rsidR="00DB1635" w:rsidRPr="00B004EE">
        <w:rPr>
          <w:rFonts w:ascii="Tahoma" w:hAnsi="Tahoma" w:cs="Tahoma"/>
          <w:sz w:val="20"/>
          <w:szCs w:val="20"/>
        </w:rPr>
        <w:t xml:space="preserve"> </w:t>
      </w:r>
      <w:r w:rsidRPr="00B004EE">
        <w:rPr>
          <w:rFonts w:ascii="Tahoma" w:hAnsi="Tahoma" w:cs="Tahoma"/>
          <w:sz w:val="20"/>
          <w:szCs w:val="20"/>
        </w:rPr>
        <w:t>selon</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prescriptions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réglementation</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vigueur.</w:t>
      </w:r>
      <w:r w:rsidR="00DB1635" w:rsidRPr="00B004EE">
        <w:rPr>
          <w:rFonts w:ascii="Tahoma" w:hAnsi="Tahoma" w:cs="Tahoma"/>
          <w:sz w:val="20"/>
          <w:szCs w:val="20"/>
        </w:rPr>
        <w:t xml:space="preserve"> </w:t>
      </w:r>
      <w:r w:rsidRPr="00B004EE">
        <w:rPr>
          <w:rFonts w:ascii="Tahoma" w:hAnsi="Tahoma" w:cs="Tahoma"/>
          <w:sz w:val="20"/>
          <w:szCs w:val="20"/>
        </w:rPr>
        <w:t>Toutes</w:t>
      </w:r>
      <w:r w:rsidR="00DB1635" w:rsidRPr="00B004EE">
        <w:rPr>
          <w:rFonts w:ascii="Tahoma" w:hAnsi="Tahoma" w:cs="Tahoma"/>
          <w:sz w:val="20"/>
          <w:szCs w:val="20"/>
        </w:rPr>
        <w:t xml:space="preserve"> </w:t>
      </w:r>
      <w:r w:rsidRPr="00B004EE">
        <w:rPr>
          <w:rFonts w:ascii="Tahoma" w:hAnsi="Tahoma" w:cs="Tahoma"/>
          <w:sz w:val="20"/>
          <w:szCs w:val="20"/>
        </w:rPr>
        <w:t>ces</w:t>
      </w:r>
      <w:r w:rsidR="00DB1635" w:rsidRPr="00B004EE">
        <w:rPr>
          <w:rFonts w:ascii="Tahoma" w:hAnsi="Tahoma" w:cs="Tahoma"/>
          <w:sz w:val="20"/>
          <w:szCs w:val="20"/>
        </w:rPr>
        <w:t xml:space="preserve"> </w:t>
      </w:r>
      <w:r w:rsidRPr="00B004EE">
        <w:rPr>
          <w:rFonts w:ascii="Tahoma" w:hAnsi="Tahoma" w:cs="Tahoma"/>
          <w:sz w:val="20"/>
          <w:szCs w:val="20"/>
        </w:rPr>
        <w:t>opérations</w:t>
      </w:r>
      <w:r w:rsidR="00DB1635" w:rsidRPr="00B004EE">
        <w:rPr>
          <w:rFonts w:ascii="Tahoma" w:hAnsi="Tahoma" w:cs="Tahoma"/>
          <w:sz w:val="20"/>
          <w:szCs w:val="20"/>
        </w:rPr>
        <w:t xml:space="preserve"> </w:t>
      </w:r>
      <w:r w:rsidRPr="00B004EE">
        <w:rPr>
          <w:rFonts w:ascii="Tahoma" w:hAnsi="Tahoma" w:cs="Tahoma"/>
          <w:sz w:val="20"/>
          <w:szCs w:val="20"/>
        </w:rPr>
        <w:t>d'assainissement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embarcations</w:t>
      </w:r>
      <w:r w:rsidR="00DB1635" w:rsidRPr="00B004EE">
        <w:rPr>
          <w:rFonts w:ascii="Tahoma" w:hAnsi="Tahoma" w:cs="Tahoma"/>
          <w:sz w:val="20"/>
          <w:szCs w:val="20"/>
        </w:rPr>
        <w:t xml:space="preserve"> </w:t>
      </w:r>
      <w:r w:rsidRPr="00B004EE">
        <w:rPr>
          <w:rFonts w:ascii="Tahoma" w:hAnsi="Tahoma" w:cs="Tahoma"/>
          <w:sz w:val="20"/>
          <w:szCs w:val="20"/>
        </w:rPr>
        <w:t>doivent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consignées</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registre</w:t>
      </w:r>
      <w:r w:rsidR="00DB1635" w:rsidRPr="00B004EE">
        <w:rPr>
          <w:rFonts w:ascii="Tahoma" w:hAnsi="Tahoma" w:cs="Tahoma"/>
          <w:sz w:val="20"/>
          <w:szCs w:val="20"/>
        </w:rPr>
        <w:t xml:space="preserve"> </w:t>
      </w:r>
      <w:r w:rsidRPr="00B004EE">
        <w:rPr>
          <w:rFonts w:ascii="Tahoma" w:hAnsi="Tahoma" w:cs="Tahoma"/>
          <w:sz w:val="20"/>
          <w:szCs w:val="20"/>
        </w:rPr>
        <w:t>disponible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bord.</w:t>
      </w:r>
    </w:p>
    <w:p w14:paraId="63E942B2" w14:textId="77777777" w:rsidR="002F24E1" w:rsidRPr="00B004EE" w:rsidRDefault="002F24E1" w:rsidP="00B004EE">
      <w:pPr>
        <w:jc w:val="both"/>
        <w:rPr>
          <w:rFonts w:ascii="Tahoma" w:hAnsi="Tahoma" w:cs="Tahoma"/>
          <w:sz w:val="20"/>
          <w:szCs w:val="20"/>
        </w:rPr>
      </w:pPr>
    </w:p>
    <w:p w14:paraId="06B08634" w14:textId="483824DC" w:rsidR="002F24E1" w:rsidRPr="00B004EE" w:rsidRDefault="002F24E1" w:rsidP="00B004EE">
      <w:pPr>
        <w:jc w:val="both"/>
        <w:rPr>
          <w:rFonts w:ascii="Tahoma" w:hAnsi="Tahoma" w:cs="Tahoma"/>
          <w:sz w:val="20"/>
          <w:szCs w:val="20"/>
        </w:rPr>
      </w:pP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nettoyage,</w:t>
      </w:r>
      <w:r w:rsidR="00DB1635" w:rsidRPr="00B004EE">
        <w:rPr>
          <w:rFonts w:ascii="Tahoma" w:hAnsi="Tahoma" w:cs="Tahoma"/>
          <w:sz w:val="20"/>
          <w:szCs w:val="20"/>
        </w:rPr>
        <w:t xml:space="preserve"> </w:t>
      </w:r>
      <w:r w:rsidRPr="00B004EE">
        <w:rPr>
          <w:rFonts w:ascii="Tahoma" w:hAnsi="Tahoma" w:cs="Tahoma"/>
          <w:sz w:val="20"/>
          <w:szCs w:val="20"/>
        </w:rPr>
        <w:t>désinfectants,</w:t>
      </w:r>
      <w:r w:rsidR="00DB1635" w:rsidRPr="00B004EE">
        <w:rPr>
          <w:rFonts w:ascii="Tahoma" w:hAnsi="Tahoma" w:cs="Tahoma"/>
          <w:sz w:val="20"/>
          <w:szCs w:val="20"/>
        </w:rPr>
        <w:t xml:space="preserve"> </w:t>
      </w:r>
      <w:r w:rsidRPr="00B004EE">
        <w:rPr>
          <w:rFonts w:ascii="Tahoma" w:hAnsi="Tahoma" w:cs="Tahoma"/>
          <w:sz w:val="20"/>
          <w:szCs w:val="20"/>
        </w:rPr>
        <w:t>insecticides,</w:t>
      </w:r>
      <w:r w:rsidR="00DB1635" w:rsidRPr="00B004EE">
        <w:rPr>
          <w:rFonts w:ascii="Tahoma" w:hAnsi="Tahoma" w:cs="Tahoma"/>
          <w:sz w:val="20"/>
          <w:szCs w:val="20"/>
        </w:rPr>
        <w:t xml:space="preserve"> </w:t>
      </w:r>
      <w:r w:rsidRPr="00B004EE">
        <w:rPr>
          <w:rFonts w:ascii="Tahoma" w:hAnsi="Tahoma" w:cs="Tahoma"/>
          <w:sz w:val="20"/>
          <w:szCs w:val="20"/>
        </w:rPr>
        <w:t>raticides,</w:t>
      </w:r>
      <w:r w:rsidR="00DB1635" w:rsidRPr="00B004EE">
        <w:rPr>
          <w:rFonts w:ascii="Tahoma" w:hAnsi="Tahoma" w:cs="Tahoma"/>
          <w:sz w:val="20"/>
          <w:szCs w:val="20"/>
        </w:rPr>
        <w:t xml:space="preserve"> </w:t>
      </w:r>
      <w:r w:rsidRPr="00B004EE">
        <w:rPr>
          <w:rFonts w:ascii="Tahoma" w:hAnsi="Tahoma" w:cs="Tahoma"/>
          <w:sz w:val="20"/>
          <w:szCs w:val="20"/>
        </w:rPr>
        <w:t>peintures</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toutes</w:t>
      </w:r>
      <w:r w:rsidR="00DB1635" w:rsidRPr="00B004EE">
        <w:rPr>
          <w:rFonts w:ascii="Tahoma" w:hAnsi="Tahoma" w:cs="Tahoma"/>
          <w:sz w:val="20"/>
          <w:szCs w:val="20"/>
        </w:rPr>
        <w:t xml:space="preserve"> </w:t>
      </w:r>
      <w:r w:rsidRPr="00B004EE">
        <w:rPr>
          <w:rFonts w:ascii="Tahoma" w:hAnsi="Tahoma" w:cs="Tahoma"/>
          <w:sz w:val="20"/>
          <w:szCs w:val="20"/>
        </w:rPr>
        <w:t>substances</w:t>
      </w:r>
      <w:r w:rsidR="00DB1635" w:rsidRPr="00B004EE">
        <w:rPr>
          <w:rFonts w:ascii="Tahoma" w:hAnsi="Tahoma" w:cs="Tahoma"/>
          <w:sz w:val="20"/>
          <w:szCs w:val="20"/>
        </w:rPr>
        <w:t xml:space="preserve"> </w:t>
      </w:r>
      <w:r w:rsidRPr="00B004EE">
        <w:rPr>
          <w:rFonts w:ascii="Tahoma" w:hAnsi="Tahoma" w:cs="Tahoma"/>
          <w:sz w:val="20"/>
          <w:szCs w:val="20"/>
        </w:rPr>
        <w:t>pouvant</w:t>
      </w:r>
      <w:r w:rsidR="00DB1635" w:rsidRPr="00B004EE">
        <w:rPr>
          <w:rFonts w:ascii="Tahoma" w:hAnsi="Tahoma" w:cs="Tahoma"/>
          <w:sz w:val="20"/>
          <w:szCs w:val="20"/>
        </w:rPr>
        <w:t xml:space="preserve"> </w:t>
      </w:r>
      <w:r w:rsidRPr="00B004EE">
        <w:rPr>
          <w:rFonts w:ascii="Tahoma" w:hAnsi="Tahoma" w:cs="Tahoma"/>
          <w:sz w:val="20"/>
          <w:szCs w:val="20"/>
        </w:rPr>
        <w:t>présenter</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certaine</w:t>
      </w:r>
      <w:r w:rsidR="00DB1635" w:rsidRPr="00B004EE">
        <w:rPr>
          <w:rFonts w:ascii="Tahoma" w:hAnsi="Tahoma" w:cs="Tahoma"/>
          <w:sz w:val="20"/>
          <w:szCs w:val="20"/>
        </w:rPr>
        <w:t xml:space="preserve"> </w:t>
      </w:r>
      <w:r w:rsidRPr="00B004EE">
        <w:rPr>
          <w:rFonts w:ascii="Tahoma" w:hAnsi="Tahoma" w:cs="Tahoma"/>
          <w:sz w:val="20"/>
          <w:szCs w:val="20"/>
        </w:rPr>
        <w:t>toxicité</w:t>
      </w:r>
      <w:r w:rsidR="00DB1635" w:rsidRPr="00B004EE">
        <w:rPr>
          <w:rFonts w:ascii="Tahoma" w:hAnsi="Tahoma" w:cs="Tahoma"/>
          <w:sz w:val="20"/>
          <w:szCs w:val="20"/>
        </w:rPr>
        <w:t xml:space="preserve"> </w:t>
      </w:r>
      <w:r w:rsidRPr="00B004EE">
        <w:rPr>
          <w:rFonts w:ascii="Tahoma" w:hAnsi="Tahoma" w:cs="Tahoma"/>
          <w:sz w:val="20"/>
          <w:szCs w:val="20"/>
        </w:rPr>
        <w:t>doivent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autorisés,</w:t>
      </w:r>
      <w:r w:rsidR="00DB1635" w:rsidRPr="00B004EE">
        <w:rPr>
          <w:rFonts w:ascii="Tahoma" w:hAnsi="Tahoma" w:cs="Tahoma"/>
          <w:sz w:val="20"/>
          <w:szCs w:val="20"/>
        </w:rPr>
        <w:t xml:space="preserve"> </w:t>
      </w:r>
      <w:r w:rsidRPr="00B004EE">
        <w:rPr>
          <w:rFonts w:ascii="Tahoma" w:hAnsi="Tahoma" w:cs="Tahoma"/>
          <w:sz w:val="20"/>
          <w:szCs w:val="20"/>
        </w:rPr>
        <w:t>entreposés</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local</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armoire</w:t>
      </w:r>
      <w:r w:rsidR="00DB1635" w:rsidRPr="00B004EE">
        <w:rPr>
          <w:rFonts w:ascii="Tahoma" w:hAnsi="Tahoma" w:cs="Tahoma"/>
          <w:sz w:val="20"/>
          <w:szCs w:val="20"/>
        </w:rPr>
        <w:t xml:space="preserve"> </w:t>
      </w:r>
      <w:r w:rsidRPr="00B004EE">
        <w:rPr>
          <w:rFonts w:ascii="Tahoma" w:hAnsi="Tahoma" w:cs="Tahoma"/>
          <w:sz w:val="20"/>
          <w:szCs w:val="20"/>
        </w:rPr>
        <w:t>fermant</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clé</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utilisés</w:t>
      </w:r>
      <w:r w:rsidR="00DB1635" w:rsidRPr="00B004EE">
        <w:rPr>
          <w:rFonts w:ascii="Tahoma" w:hAnsi="Tahoma" w:cs="Tahoma"/>
          <w:sz w:val="20"/>
          <w:szCs w:val="20"/>
        </w:rPr>
        <w:t xml:space="preserve"> </w:t>
      </w:r>
      <w:r w:rsidRPr="00B004EE">
        <w:rPr>
          <w:rFonts w:ascii="Tahoma" w:hAnsi="Tahoma" w:cs="Tahoma"/>
          <w:sz w:val="20"/>
          <w:szCs w:val="20"/>
        </w:rPr>
        <w:t>sans</w:t>
      </w:r>
      <w:r w:rsidR="00DB1635" w:rsidRPr="00B004EE">
        <w:rPr>
          <w:rFonts w:ascii="Tahoma" w:hAnsi="Tahoma" w:cs="Tahoma"/>
          <w:sz w:val="20"/>
          <w:szCs w:val="20"/>
        </w:rPr>
        <w:t xml:space="preserve"> </w:t>
      </w:r>
      <w:r w:rsidRPr="00B004EE">
        <w:rPr>
          <w:rFonts w:ascii="Tahoma" w:hAnsi="Tahoma" w:cs="Tahoma"/>
          <w:sz w:val="20"/>
          <w:szCs w:val="20"/>
        </w:rPr>
        <w:t>risque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contamination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p>
    <w:p w14:paraId="3D191CB5" w14:textId="77777777" w:rsidR="002F24E1" w:rsidRPr="00B004EE" w:rsidRDefault="002F24E1" w:rsidP="00B004EE">
      <w:pPr>
        <w:jc w:val="both"/>
        <w:rPr>
          <w:rFonts w:ascii="Tahoma" w:hAnsi="Tahoma" w:cs="Tahoma"/>
          <w:sz w:val="20"/>
          <w:szCs w:val="20"/>
        </w:rPr>
      </w:pPr>
    </w:p>
    <w:p w14:paraId="076F1EDA" w14:textId="7F88C06D" w:rsidR="002F24E1" w:rsidRPr="00B004EE" w:rsidRDefault="002F24E1" w:rsidP="00B004EE">
      <w:pPr>
        <w:jc w:val="both"/>
        <w:rPr>
          <w:rFonts w:ascii="Tahoma" w:hAnsi="Tahoma" w:cs="Tahoma"/>
          <w:sz w:val="20"/>
          <w:szCs w:val="20"/>
        </w:rPr>
      </w:pPr>
      <w:r w:rsidRPr="00B004EE">
        <w:rPr>
          <w:rFonts w:ascii="Tahoma" w:hAnsi="Tahoma" w:cs="Tahoma"/>
          <w:sz w:val="20"/>
          <w:szCs w:val="20"/>
        </w:rPr>
        <w:t>Article</w:t>
      </w:r>
      <w:r w:rsidR="00DB1635" w:rsidRPr="00B004EE">
        <w:rPr>
          <w:rFonts w:ascii="Tahoma" w:hAnsi="Tahoma" w:cs="Tahoma"/>
          <w:sz w:val="20"/>
          <w:szCs w:val="20"/>
        </w:rPr>
        <w:t xml:space="preserve"> </w:t>
      </w:r>
      <w:r w:rsidRPr="00B004EE">
        <w:rPr>
          <w:rFonts w:ascii="Tahoma" w:hAnsi="Tahoma" w:cs="Tahoma"/>
          <w:sz w:val="20"/>
          <w:szCs w:val="20"/>
        </w:rPr>
        <w:t>21</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L'armateur</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son</w:t>
      </w:r>
      <w:r w:rsidR="00DB1635" w:rsidRPr="00B004EE">
        <w:rPr>
          <w:rFonts w:ascii="Tahoma" w:hAnsi="Tahoma" w:cs="Tahoma"/>
          <w:sz w:val="20"/>
          <w:szCs w:val="20"/>
        </w:rPr>
        <w:t xml:space="preserve"> </w:t>
      </w:r>
      <w:r w:rsidRPr="00B004EE">
        <w:rPr>
          <w:rFonts w:ascii="Tahoma" w:hAnsi="Tahoma" w:cs="Tahoma"/>
          <w:sz w:val="20"/>
          <w:szCs w:val="20"/>
        </w:rPr>
        <w:t>représentant</w:t>
      </w:r>
      <w:r w:rsidR="00DB1635" w:rsidRPr="00B004EE">
        <w:rPr>
          <w:rFonts w:ascii="Tahoma" w:hAnsi="Tahoma" w:cs="Tahoma"/>
          <w:sz w:val="20"/>
          <w:szCs w:val="20"/>
        </w:rPr>
        <w:t xml:space="preserve"> </w:t>
      </w:r>
      <w:r w:rsidRPr="00B004EE">
        <w:rPr>
          <w:rFonts w:ascii="Tahoma" w:hAnsi="Tahoma" w:cs="Tahoma"/>
          <w:sz w:val="20"/>
          <w:szCs w:val="20"/>
        </w:rPr>
        <w:t>doit</w:t>
      </w:r>
      <w:r w:rsidR="00DB1635" w:rsidRPr="00B004EE">
        <w:rPr>
          <w:rFonts w:ascii="Tahoma" w:hAnsi="Tahoma" w:cs="Tahoma"/>
          <w:sz w:val="20"/>
          <w:szCs w:val="20"/>
        </w:rPr>
        <w:t xml:space="preserve"> </w:t>
      </w:r>
      <w:r w:rsidRPr="00B004EE">
        <w:rPr>
          <w:rFonts w:ascii="Tahoma" w:hAnsi="Tahoma" w:cs="Tahoma"/>
          <w:sz w:val="20"/>
          <w:szCs w:val="20"/>
        </w:rPr>
        <w:t>prendre</w:t>
      </w:r>
      <w:r w:rsidR="00DB1635" w:rsidRPr="00B004EE">
        <w:rPr>
          <w:rFonts w:ascii="Tahoma" w:hAnsi="Tahoma" w:cs="Tahoma"/>
          <w:sz w:val="20"/>
          <w:szCs w:val="20"/>
        </w:rPr>
        <w:t xml:space="preserve"> </w:t>
      </w:r>
      <w:r w:rsidRPr="00B004EE">
        <w:rPr>
          <w:rFonts w:ascii="Tahoma" w:hAnsi="Tahoma" w:cs="Tahoma"/>
          <w:sz w:val="20"/>
          <w:szCs w:val="20"/>
        </w:rPr>
        <w:t>toute</w:t>
      </w:r>
      <w:r w:rsidR="00DB1635" w:rsidRPr="00B004EE">
        <w:rPr>
          <w:rFonts w:ascii="Tahoma" w:hAnsi="Tahoma" w:cs="Tahoma"/>
          <w:sz w:val="20"/>
          <w:szCs w:val="20"/>
        </w:rPr>
        <w:t xml:space="preserve"> </w:t>
      </w:r>
      <w:r w:rsidRPr="00B004EE">
        <w:rPr>
          <w:rFonts w:ascii="Tahoma" w:hAnsi="Tahoma" w:cs="Tahoma"/>
          <w:sz w:val="20"/>
          <w:szCs w:val="20"/>
        </w:rPr>
        <w:t>mesure</w:t>
      </w:r>
      <w:r w:rsidR="00DB1635" w:rsidRPr="00B004EE">
        <w:rPr>
          <w:rFonts w:ascii="Tahoma" w:hAnsi="Tahoma" w:cs="Tahoma"/>
          <w:sz w:val="20"/>
          <w:szCs w:val="20"/>
        </w:rPr>
        <w:t xml:space="preserve"> </w:t>
      </w:r>
      <w:r w:rsidRPr="00B004EE">
        <w:rPr>
          <w:rFonts w:ascii="Tahoma" w:hAnsi="Tahoma" w:cs="Tahoma"/>
          <w:sz w:val="20"/>
          <w:szCs w:val="20"/>
        </w:rPr>
        <w:t>nécessaire</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faire</w:t>
      </w:r>
      <w:r w:rsidR="00DB1635" w:rsidRPr="00B004EE">
        <w:rPr>
          <w:rFonts w:ascii="Tahoma" w:hAnsi="Tahoma" w:cs="Tahoma"/>
          <w:sz w:val="20"/>
          <w:szCs w:val="20"/>
        </w:rPr>
        <w:t xml:space="preserve"> </w:t>
      </w:r>
      <w:r w:rsidRPr="00B004EE">
        <w:rPr>
          <w:rFonts w:ascii="Tahoma" w:hAnsi="Tahoma" w:cs="Tahoma"/>
          <w:sz w:val="20"/>
          <w:szCs w:val="20"/>
        </w:rPr>
        <w:t>assurer</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suivi</w:t>
      </w:r>
      <w:r w:rsidR="00DB1635" w:rsidRPr="00B004EE">
        <w:rPr>
          <w:rFonts w:ascii="Tahoma" w:hAnsi="Tahoma" w:cs="Tahoma"/>
          <w:sz w:val="20"/>
          <w:szCs w:val="20"/>
        </w:rPr>
        <w:t xml:space="preserve"> </w:t>
      </w:r>
      <w:r w:rsidRPr="00B004EE">
        <w:rPr>
          <w:rFonts w:ascii="Tahoma" w:hAnsi="Tahoma" w:cs="Tahoma"/>
          <w:sz w:val="20"/>
          <w:szCs w:val="20"/>
        </w:rPr>
        <w:t>médical</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personnel</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écarter</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travail</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manipulation</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personnes</w:t>
      </w:r>
      <w:r w:rsidR="00DB1635" w:rsidRPr="00B004EE">
        <w:rPr>
          <w:rFonts w:ascii="Tahoma" w:hAnsi="Tahoma" w:cs="Tahoma"/>
          <w:sz w:val="20"/>
          <w:szCs w:val="20"/>
        </w:rPr>
        <w:t xml:space="preserve"> </w:t>
      </w:r>
      <w:r w:rsidRPr="00B004EE">
        <w:rPr>
          <w:rFonts w:ascii="Tahoma" w:hAnsi="Tahoma" w:cs="Tahoma"/>
          <w:sz w:val="20"/>
          <w:szCs w:val="20"/>
        </w:rPr>
        <w:t>susceptibles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contaminer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jusqu'à</w:t>
      </w:r>
      <w:r w:rsidR="00DB1635" w:rsidRPr="00B004EE">
        <w:rPr>
          <w:rFonts w:ascii="Tahoma" w:hAnsi="Tahoma" w:cs="Tahoma"/>
          <w:sz w:val="20"/>
          <w:szCs w:val="20"/>
        </w:rPr>
        <w:t xml:space="preserve"> </w:t>
      </w:r>
      <w:r w:rsidRPr="00B004EE">
        <w:rPr>
          <w:rFonts w:ascii="Tahoma" w:hAnsi="Tahoma" w:cs="Tahoma"/>
          <w:sz w:val="20"/>
          <w:szCs w:val="20"/>
        </w:rPr>
        <w:t>ce</w:t>
      </w:r>
      <w:r w:rsidR="00DB1635" w:rsidRPr="00B004EE">
        <w:rPr>
          <w:rFonts w:ascii="Tahoma" w:hAnsi="Tahoma" w:cs="Tahoma"/>
          <w:sz w:val="20"/>
          <w:szCs w:val="20"/>
        </w:rPr>
        <w:t xml:space="preserve"> </w:t>
      </w:r>
      <w:r w:rsidRPr="00B004EE">
        <w:rPr>
          <w:rFonts w:ascii="Tahoma" w:hAnsi="Tahoma" w:cs="Tahoma"/>
          <w:sz w:val="20"/>
          <w:szCs w:val="20"/>
        </w:rPr>
        <w:t>que</w:t>
      </w:r>
      <w:r w:rsidR="00DB1635" w:rsidRPr="00B004EE">
        <w:rPr>
          <w:rFonts w:ascii="Tahoma" w:hAnsi="Tahoma" w:cs="Tahoma"/>
          <w:sz w:val="20"/>
          <w:szCs w:val="20"/>
        </w:rPr>
        <w:t xml:space="preserve"> </w:t>
      </w:r>
      <w:r w:rsidRPr="00B004EE">
        <w:rPr>
          <w:rFonts w:ascii="Tahoma" w:hAnsi="Tahoma" w:cs="Tahoma"/>
          <w:sz w:val="20"/>
          <w:szCs w:val="20"/>
        </w:rPr>
        <w:t>leur</w:t>
      </w:r>
      <w:r w:rsidR="00DB1635" w:rsidRPr="00B004EE">
        <w:rPr>
          <w:rFonts w:ascii="Tahoma" w:hAnsi="Tahoma" w:cs="Tahoma"/>
          <w:sz w:val="20"/>
          <w:szCs w:val="20"/>
        </w:rPr>
        <w:t xml:space="preserve"> </w:t>
      </w:r>
      <w:r w:rsidRPr="00B004EE">
        <w:rPr>
          <w:rFonts w:ascii="Tahoma" w:hAnsi="Tahoma" w:cs="Tahoma"/>
          <w:sz w:val="20"/>
          <w:szCs w:val="20"/>
        </w:rPr>
        <w:t>aptitude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faire</w:t>
      </w:r>
      <w:r w:rsidR="00DB1635" w:rsidRPr="00B004EE">
        <w:rPr>
          <w:rFonts w:ascii="Tahoma" w:hAnsi="Tahoma" w:cs="Tahoma"/>
          <w:sz w:val="20"/>
          <w:szCs w:val="20"/>
        </w:rPr>
        <w:t xml:space="preserve"> </w:t>
      </w:r>
      <w:r w:rsidRPr="00B004EE">
        <w:rPr>
          <w:rFonts w:ascii="Tahoma" w:hAnsi="Tahoma" w:cs="Tahoma"/>
          <w:sz w:val="20"/>
          <w:szCs w:val="20"/>
        </w:rPr>
        <w:t>sans</w:t>
      </w:r>
      <w:r w:rsidR="00DB1635" w:rsidRPr="00B004EE">
        <w:rPr>
          <w:rFonts w:ascii="Tahoma" w:hAnsi="Tahoma" w:cs="Tahoma"/>
          <w:sz w:val="20"/>
          <w:szCs w:val="20"/>
        </w:rPr>
        <w:t xml:space="preserve"> </w:t>
      </w:r>
      <w:r w:rsidRPr="00B004EE">
        <w:rPr>
          <w:rFonts w:ascii="Tahoma" w:hAnsi="Tahoma" w:cs="Tahoma"/>
          <w:sz w:val="20"/>
          <w:szCs w:val="20"/>
        </w:rPr>
        <w:t>danger</w:t>
      </w:r>
      <w:r w:rsidR="00DB1635" w:rsidRPr="00B004EE">
        <w:rPr>
          <w:rFonts w:ascii="Tahoma" w:hAnsi="Tahoma" w:cs="Tahoma"/>
          <w:sz w:val="20"/>
          <w:szCs w:val="20"/>
        </w:rPr>
        <w:t xml:space="preserve"> </w:t>
      </w:r>
      <w:r w:rsidRPr="00B004EE">
        <w:rPr>
          <w:rFonts w:ascii="Tahoma" w:hAnsi="Tahoma" w:cs="Tahoma"/>
          <w:sz w:val="20"/>
          <w:szCs w:val="20"/>
        </w:rPr>
        <w:t>soit</w:t>
      </w:r>
      <w:r w:rsidR="00DB1635" w:rsidRPr="00B004EE">
        <w:rPr>
          <w:rFonts w:ascii="Tahoma" w:hAnsi="Tahoma" w:cs="Tahoma"/>
          <w:sz w:val="20"/>
          <w:szCs w:val="20"/>
        </w:rPr>
        <w:t xml:space="preserve"> </w:t>
      </w:r>
      <w:r w:rsidRPr="00B004EE">
        <w:rPr>
          <w:rFonts w:ascii="Tahoma" w:hAnsi="Tahoma" w:cs="Tahoma"/>
          <w:sz w:val="20"/>
          <w:szCs w:val="20"/>
        </w:rPr>
        <w:t>prouvée.</w:t>
      </w:r>
    </w:p>
    <w:p w14:paraId="4CFF5588" w14:textId="77777777" w:rsidR="002F24E1" w:rsidRPr="00B004EE" w:rsidRDefault="002F24E1" w:rsidP="00B004EE">
      <w:pPr>
        <w:tabs>
          <w:tab w:val="left" w:pos="0"/>
        </w:tabs>
        <w:jc w:val="both"/>
        <w:rPr>
          <w:rFonts w:ascii="Tahoma" w:hAnsi="Tahoma" w:cs="Tahoma"/>
          <w:b/>
          <w:sz w:val="20"/>
          <w:szCs w:val="20"/>
        </w:rPr>
      </w:pPr>
    </w:p>
    <w:p w14:paraId="7A810F0E" w14:textId="23BFAB83" w:rsidR="002F24E1" w:rsidRPr="00B004EE" w:rsidRDefault="002F24E1" w:rsidP="00B004EE">
      <w:pPr>
        <w:tabs>
          <w:tab w:val="left" w:pos="567"/>
        </w:tabs>
        <w:jc w:val="center"/>
        <w:rPr>
          <w:rFonts w:ascii="Tahoma" w:hAnsi="Tahoma" w:cs="Tahoma"/>
          <w:b/>
          <w:sz w:val="20"/>
          <w:szCs w:val="20"/>
        </w:rPr>
      </w:pPr>
      <w:r w:rsidRPr="00B004EE">
        <w:rPr>
          <w:rFonts w:ascii="Tahoma" w:hAnsi="Tahoma" w:cs="Tahoma"/>
          <w:b/>
          <w:sz w:val="20"/>
          <w:szCs w:val="20"/>
        </w:rPr>
        <w:t>SECTION</w:t>
      </w:r>
      <w:r w:rsidR="00DB1635" w:rsidRPr="00B004EE">
        <w:rPr>
          <w:rFonts w:ascii="Tahoma" w:hAnsi="Tahoma" w:cs="Tahoma"/>
          <w:b/>
          <w:sz w:val="20"/>
          <w:szCs w:val="20"/>
        </w:rPr>
        <w:t xml:space="preserve"> </w:t>
      </w:r>
      <w:r w:rsidRPr="00B004EE">
        <w:rPr>
          <w:rFonts w:ascii="Tahoma" w:hAnsi="Tahoma" w:cs="Tahoma"/>
          <w:b/>
          <w:sz w:val="20"/>
          <w:szCs w:val="20"/>
        </w:rPr>
        <w:t>III</w:t>
      </w:r>
      <w:r w:rsidR="00DB1635" w:rsidRPr="00B004EE">
        <w:rPr>
          <w:rFonts w:ascii="Tahoma" w:hAnsi="Tahoma" w:cs="Tahoma"/>
          <w:b/>
          <w:sz w:val="20"/>
          <w:szCs w:val="20"/>
        </w:rPr>
        <w:t xml:space="preserve"> </w:t>
      </w:r>
      <w:r w:rsidRPr="00B004EE">
        <w:rPr>
          <w:rFonts w:ascii="Tahoma" w:hAnsi="Tahoma" w:cs="Tahoma"/>
          <w:b/>
          <w:sz w:val="20"/>
          <w:szCs w:val="20"/>
        </w:rPr>
        <w:t>:</w:t>
      </w:r>
      <w:r w:rsidR="00DB1635" w:rsidRPr="00B004EE">
        <w:rPr>
          <w:rFonts w:ascii="Tahoma" w:hAnsi="Tahoma" w:cs="Tahoma"/>
          <w:b/>
          <w:sz w:val="20"/>
          <w:szCs w:val="20"/>
        </w:rPr>
        <w:t xml:space="preserve"> </w:t>
      </w:r>
      <w:r w:rsidRPr="00B004EE">
        <w:rPr>
          <w:rFonts w:ascii="Tahoma" w:hAnsi="Tahoma" w:cs="Tahoma"/>
          <w:b/>
          <w:sz w:val="20"/>
          <w:szCs w:val="20"/>
        </w:rPr>
        <w:t>Utilisation</w:t>
      </w:r>
      <w:r w:rsidR="00DB1635" w:rsidRPr="00B004EE">
        <w:rPr>
          <w:rFonts w:ascii="Tahoma" w:hAnsi="Tahoma" w:cs="Tahoma"/>
          <w:b/>
          <w:sz w:val="20"/>
          <w:szCs w:val="20"/>
        </w:rPr>
        <w:t xml:space="preserve"> </w:t>
      </w:r>
      <w:r w:rsidRPr="00B004EE">
        <w:rPr>
          <w:rFonts w:ascii="Tahoma" w:hAnsi="Tahoma" w:cs="Tahoma"/>
          <w:b/>
          <w:sz w:val="20"/>
          <w:szCs w:val="20"/>
        </w:rPr>
        <w:t>et</w:t>
      </w:r>
      <w:r w:rsidR="00DB1635" w:rsidRPr="00B004EE">
        <w:rPr>
          <w:rFonts w:ascii="Tahoma" w:hAnsi="Tahoma" w:cs="Tahoma"/>
          <w:b/>
          <w:sz w:val="20"/>
          <w:szCs w:val="20"/>
        </w:rPr>
        <w:t xml:space="preserve"> </w:t>
      </w:r>
      <w:r w:rsidRPr="00B004EE">
        <w:rPr>
          <w:rFonts w:ascii="Tahoma" w:hAnsi="Tahoma" w:cs="Tahoma"/>
          <w:b/>
          <w:sz w:val="20"/>
          <w:szCs w:val="20"/>
        </w:rPr>
        <w:t>entretien</w:t>
      </w:r>
      <w:r w:rsidR="00DB1635" w:rsidRPr="00B004EE">
        <w:rPr>
          <w:rFonts w:ascii="Tahoma" w:hAnsi="Tahoma" w:cs="Tahoma"/>
          <w:b/>
          <w:sz w:val="20"/>
          <w:szCs w:val="20"/>
        </w:rPr>
        <w:t xml:space="preserve"> </w:t>
      </w:r>
      <w:r w:rsidRPr="00B004EE">
        <w:rPr>
          <w:rFonts w:ascii="Tahoma" w:hAnsi="Tahoma" w:cs="Tahoma"/>
          <w:b/>
          <w:sz w:val="20"/>
          <w:szCs w:val="20"/>
        </w:rPr>
        <w:t>des</w:t>
      </w:r>
      <w:r w:rsidR="00DB1635" w:rsidRPr="00B004EE">
        <w:rPr>
          <w:rFonts w:ascii="Tahoma" w:hAnsi="Tahoma" w:cs="Tahoma"/>
          <w:b/>
          <w:sz w:val="20"/>
          <w:szCs w:val="20"/>
        </w:rPr>
        <w:t xml:space="preserve"> </w:t>
      </w:r>
      <w:r w:rsidRPr="00B004EE">
        <w:rPr>
          <w:rFonts w:ascii="Tahoma" w:hAnsi="Tahoma" w:cs="Tahoma"/>
          <w:b/>
          <w:sz w:val="20"/>
          <w:szCs w:val="20"/>
        </w:rPr>
        <w:t>locaux</w:t>
      </w:r>
      <w:r w:rsidR="00DB1635" w:rsidRPr="00B004EE">
        <w:rPr>
          <w:rFonts w:ascii="Tahoma" w:hAnsi="Tahoma" w:cs="Tahoma"/>
          <w:b/>
          <w:sz w:val="20"/>
          <w:szCs w:val="20"/>
        </w:rPr>
        <w:t xml:space="preserve"> </w:t>
      </w:r>
      <w:r w:rsidRPr="00B004EE">
        <w:rPr>
          <w:rFonts w:ascii="Tahoma" w:hAnsi="Tahoma" w:cs="Tahoma"/>
          <w:b/>
          <w:sz w:val="20"/>
          <w:szCs w:val="20"/>
        </w:rPr>
        <w:t>et</w:t>
      </w:r>
      <w:r w:rsidR="00DB1635" w:rsidRPr="00B004EE">
        <w:rPr>
          <w:rFonts w:ascii="Tahoma" w:hAnsi="Tahoma" w:cs="Tahoma"/>
          <w:b/>
          <w:sz w:val="20"/>
          <w:szCs w:val="20"/>
        </w:rPr>
        <w:t xml:space="preserve"> </w:t>
      </w:r>
      <w:r w:rsidRPr="00B004EE">
        <w:rPr>
          <w:rFonts w:ascii="Tahoma" w:hAnsi="Tahoma" w:cs="Tahoma"/>
          <w:b/>
          <w:sz w:val="20"/>
          <w:szCs w:val="20"/>
        </w:rPr>
        <w:t>du</w:t>
      </w:r>
      <w:r w:rsidR="00DB1635" w:rsidRPr="00B004EE">
        <w:rPr>
          <w:rFonts w:ascii="Tahoma" w:hAnsi="Tahoma" w:cs="Tahoma"/>
          <w:b/>
          <w:sz w:val="20"/>
          <w:szCs w:val="20"/>
        </w:rPr>
        <w:t xml:space="preserve"> </w:t>
      </w:r>
      <w:r w:rsidRPr="00B004EE">
        <w:rPr>
          <w:rFonts w:ascii="Tahoma" w:hAnsi="Tahoma" w:cs="Tahoma"/>
          <w:b/>
          <w:sz w:val="20"/>
          <w:szCs w:val="20"/>
        </w:rPr>
        <w:t>matériel</w:t>
      </w:r>
    </w:p>
    <w:p w14:paraId="442B8552" w14:textId="77777777" w:rsidR="002F24E1" w:rsidRPr="00B004EE" w:rsidRDefault="002F24E1" w:rsidP="00B004EE">
      <w:pPr>
        <w:jc w:val="both"/>
        <w:rPr>
          <w:rFonts w:ascii="Tahoma" w:hAnsi="Tahoma" w:cs="Tahoma"/>
          <w:b/>
          <w:sz w:val="20"/>
          <w:szCs w:val="20"/>
        </w:rPr>
      </w:pPr>
    </w:p>
    <w:p w14:paraId="54A670BB" w14:textId="1C250077" w:rsidR="002F24E1" w:rsidRPr="00B004EE" w:rsidRDefault="002F24E1" w:rsidP="00B004EE">
      <w:pPr>
        <w:jc w:val="both"/>
        <w:rPr>
          <w:rFonts w:ascii="Tahoma" w:hAnsi="Tahoma" w:cs="Tahoma"/>
          <w:sz w:val="20"/>
          <w:szCs w:val="20"/>
        </w:rPr>
      </w:pPr>
      <w:r w:rsidRPr="00B004EE">
        <w:rPr>
          <w:rFonts w:ascii="Tahoma" w:hAnsi="Tahoma" w:cs="Tahoma"/>
          <w:sz w:val="20"/>
          <w:szCs w:val="20"/>
        </w:rPr>
        <w:t>Article</w:t>
      </w:r>
      <w:r w:rsidR="00DB1635" w:rsidRPr="00B004EE">
        <w:rPr>
          <w:rFonts w:ascii="Tahoma" w:hAnsi="Tahoma" w:cs="Tahoma"/>
          <w:sz w:val="20"/>
          <w:szCs w:val="20"/>
        </w:rPr>
        <w:t xml:space="preserve"> </w:t>
      </w:r>
      <w:r w:rsidR="007161D7" w:rsidRPr="00B004EE">
        <w:rPr>
          <w:rFonts w:ascii="Tahoma" w:hAnsi="Tahoma" w:cs="Tahoma"/>
          <w:sz w:val="20"/>
          <w:szCs w:val="20"/>
        </w:rPr>
        <w:t>22 :</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conditions</w:t>
      </w:r>
      <w:r w:rsidR="00DB1635" w:rsidRPr="00B004EE">
        <w:rPr>
          <w:rFonts w:ascii="Tahoma" w:hAnsi="Tahoma" w:cs="Tahoma"/>
          <w:sz w:val="20"/>
          <w:szCs w:val="20"/>
        </w:rPr>
        <w:t xml:space="preserve"> </w:t>
      </w:r>
      <w:r w:rsidRPr="00B004EE">
        <w:rPr>
          <w:rFonts w:ascii="Tahoma" w:hAnsi="Tahoma" w:cs="Tahoma"/>
          <w:sz w:val="20"/>
          <w:szCs w:val="20"/>
        </w:rPr>
        <w:t>générales</w:t>
      </w:r>
      <w:r w:rsidR="00DB1635" w:rsidRPr="00B004EE">
        <w:rPr>
          <w:rFonts w:ascii="Tahoma" w:hAnsi="Tahoma" w:cs="Tahoma"/>
          <w:sz w:val="20"/>
          <w:szCs w:val="20"/>
        </w:rPr>
        <w:t xml:space="preserve"> </w:t>
      </w:r>
      <w:r w:rsidRPr="00B004EE">
        <w:rPr>
          <w:rFonts w:ascii="Tahoma" w:hAnsi="Tahoma" w:cs="Tahoma"/>
          <w:sz w:val="20"/>
          <w:szCs w:val="20"/>
        </w:rPr>
        <w:t>d'hygiène</w:t>
      </w:r>
      <w:r w:rsidR="00DB1635" w:rsidRPr="00B004EE">
        <w:rPr>
          <w:rFonts w:ascii="Tahoma" w:hAnsi="Tahoma" w:cs="Tahoma"/>
          <w:sz w:val="20"/>
          <w:szCs w:val="20"/>
        </w:rPr>
        <w:t xml:space="preserve"> </w:t>
      </w:r>
      <w:r w:rsidRPr="00B004EE">
        <w:rPr>
          <w:rFonts w:ascii="Tahoma" w:hAnsi="Tahoma" w:cs="Tahoma"/>
          <w:sz w:val="20"/>
          <w:szCs w:val="20"/>
        </w:rPr>
        <w:t>applicables</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locaux</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matériels</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00FF77A5" w:rsidRPr="00B004EE">
        <w:rPr>
          <w:rFonts w:ascii="Tahoma" w:hAnsi="Tahoma" w:cs="Tahoma"/>
          <w:sz w:val="20"/>
          <w:szCs w:val="20"/>
        </w:rPr>
        <w:t>suivantes :</w:t>
      </w:r>
    </w:p>
    <w:p w14:paraId="103F9CE3" w14:textId="4B3DBF7D" w:rsidR="002F24E1" w:rsidRPr="00B004EE" w:rsidRDefault="002F24E1" w:rsidP="00B004EE">
      <w:pPr>
        <w:numPr>
          <w:ilvl w:val="0"/>
          <w:numId w:val="3"/>
        </w:numPr>
        <w:ind w:left="284"/>
        <w:jc w:val="both"/>
        <w:rPr>
          <w:rFonts w:ascii="Tahoma" w:hAnsi="Tahoma" w:cs="Tahoma"/>
          <w:sz w:val="20"/>
          <w:szCs w:val="20"/>
        </w:rPr>
      </w:pPr>
      <w:proofErr w:type="gramStart"/>
      <w:r w:rsidRPr="00B004EE">
        <w:rPr>
          <w:rFonts w:ascii="Tahoma" w:hAnsi="Tahoma" w:cs="Tahoma"/>
          <w:sz w:val="20"/>
          <w:szCs w:val="20"/>
        </w:rPr>
        <w:t>le</w:t>
      </w:r>
      <w:proofErr w:type="gramEnd"/>
      <w:r w:rsidR="00DB1635" w:rsidRPr="00B004EE">
        <w:rPr>
          <w:rFonts w:ascii="Tahoma" w:hAnsi="Tahoma" w:cs="Tahoma"/>
          <w:sz w:val="20"/>
          <w:szCs w:val="20"/>
        </w:rPr>
        <w:t xml:space="preserve"> </w:t>
      </w:r>
      <w:r w:rsidRPr="00B004EE">
        <w:rPr>
          <w:rFonts w:ascii="Tahoma" w:hAnsi="Tahoma" w:cs="Tahoma"/>
          <w:sz w:val="20"/>
          <w:szCs w:val="20"/>
        </w:rPr>
        <w:t>sol,</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cloisons,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murs,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plafonds,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équipements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matériel</w:t>
      </w:r>
      <w:r w:rsidR="00DB1635" w:rsidRPr="00B004EE">
        <w:rPr>
          <w:rFonts w:ascii="Tahoma" w:hAnsi="Tahoma" w:cs="Tahoma"/>
          <w:sz w:val="20"/>
          <w:szCs w:val="20"/>
        </w:rPr>
        <w:t xml:space="preserve"> </w:t>
      </w:r>
      <w:r w:rsidRPr="00B004EE">
        <w:rPr>
          <w:rFonts w:ascii="Tahoma" w:hAnsi="Tahoma" w:cs="Tahoma"/>
          <w:sz w:val="20"/>
          <w:szCs w:val="20"/>
        </w:rPr>
        <w:t>utilisés</w:t>
      </w:r>
      <w:r w:rsidR="00DB1635" w:rsidRPr="00B004EE">
        <w:rPr>
          <w:rFonts w:ascii="Tahoma" w:hAnsi="Tahoma" w:cs="Tahoma"/>
          <w:sz w:val="20"/>
          <w:szCs w:val="20"/>
        </w:rPr>
        <w:t xml:space="preserve"> </w:t>
      </w:r>
      <w:r w:rsidRPr="00B004EE">
        <w:rPr>
          <w:rFonts w:ascii="Tahoma" w:hAnsi="Tahoma" w:cs="Tahoma"/>
          <w:sz w:val="20"/>
          <w:szCs w:val="20"/>
        </w:rPr>
        <w:t>doivent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maintenus</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bon</w:t>
      </w:r>
      <w:r w:rsidR="00DB1635" w:rsidRPr="00B004EE">
        <w:rPr>
          <w:rFonts w:ascii="Tahoma" w:hAnsi="Tahoma" w:cs="Tahoma"/>
          <w:sz w:val="20"/>
          <w:szCs w:val="20"/>
        </w:rPr>
        <w:t xml:space="preserve"> </w:t>
      </w:r>
      <w:r w:rsidRPr="00B004EE">
        <w:rPr>
          <w:rFonts w:ascii="Tahoma" w:hAnsi="Tahoma" w:cs="Tahoma"/>
          <w:sz w:val="20"/>
          <w:szCs w:val="20"/>
        </w:rPr>
        <w:t>état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propreté</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d'entretien</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ne</w:t>
      </w:r>
      <w:r w:rsidR="00DB1635" w:rsidRPr="00B004EE">
        <w:rPr>
          <w:rFonts w:ascii="Tahoma" w:hAnsi="Tahoma" w:cs="Tahoma"/>
          <w:sz w:val="20"/>
          <w:szCs w:val="20"/>
        </w:rPr>
        <w:t xml:space="preserve"> </w:t>
      </w:r>
      <w:r w:rsidRPr="00B004EE">
        <w:rPr>
          <w:rFonts w:ascii="Tahoma" w:hAnsi="Tahoma" w:cs="Tahoma"/>
          <w:sz w:val="20"/>
          <w:szCs w:val="20"/>
        </w:rPr>
        <w:t>doivent</w:t>
      </w:r>
      <w:r w:rsidR="00DB1635" w:rsidRPr="00B004EE">
        <w:rPr>
          <w:rFonts w:ascii="Tahoma" w:hAnsi="Tahoma" w:cs="Tahoma"/>
          <w:sz w:val="20"/>
          <w:szCs w:val="20"/>
        </w:rPr>
        <w:t xml:space="preserve"> </w:t>
      </w:r>
      <w:r w:rsidRPr="00B004EE">
        <w:rPr>
          <w:rFonts w:ascii="Tahoma" w:hAnsi="Tahoma" w:cs="Tahoma"/>
          <w:sz w:val="20"/>
          <w:szCs w:val="20"/>
        </w:rPr>
        <w:t>pas</w:t>
      </w:r>
      <w:r w:rsidR="00DB1635" w:rsidRPr="00B004EE">
        <w:rPr>
          <w:rFonts w:ascii="Tahoma" w:hAnsi="Tahoma" w:cs="Tahoma"/>
          <w:sz w:val="20"/>
          <w:szCs w:val="20"/>
        </w:rPr>
        <w:t xml:space="preserve"> </w:t>
      </w:r>
      <w:r w:rsidRPr="00B004EE">
        <w:rPr>
          <w:rFonts w:ascii="Tahoma" w:hAnsi="Tahoma" w:cs="Tahoma"/>
          <w:sz w:val="20"/>
          <w:szCs w:val="20"/>
        </w:rPr>
        <w:t>constituer</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source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contamination</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destruction</w:t>
      </w:r>
      <w:r w:rsidR="00DB1635" w:rsidRPr="00B004EE">
        <w:rPr>
          <w:rFonts w:ascii="Tahoma" w:hAnsi="Tahoma" w:cs="Tahoma"/>
          <w:sz w:val="20"/>
          <w:szCs w:val="20"/>
        </w:rPr>
        <w:t xml:space="preserve"> </w:t>
      </w:r>
      <w:r w:rsidRPr="00B004EE">
        <w:rPr>
          <w:rFonts w:ascii="Tahoma" w:hAnsi="Tahoma" w:cs="Tahoma"/>
          <w:sz w:val="20"/>
          <w:szCs w:val="20"/>
        </w:rPr>
        <w:t>physique</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produits;</w:t>
      </w:r>
    </w:p>
    <w:p w14:paraId="737279F7" w14:textId="27F338E7" w:rsidR="002F24E1" w:rsidRPr="00B004EE" w:rsidRDefault="002F24E1" w:rsidP="00B004EE">
      <w:pPr>
        <w:numPr>
          <w:ilvl w:val="0"/>
          <w:numId w:val="3"/>
        </w:numPr>
        <w:ind w:left="284"/>
        <w:jc w:val="both"/>
        <w:rPr>
          <w:rFonts w:ascii="Tahoma" w:hAnsi="Tahoma" w:cs="Tahoma"/>
          <w:sz w:val="20"/>
          <w:szCs w:val="20"/>
        </w:rPr>
      </w:pPr>
      <w:proofErr w:type="gramStart"/>
      <w:r w:rsidRPr="00B004EE">
        <w:rPr>
          <w:rFonts w:ascii="Tahoma" w:hAnsi="Tahoma" w:cs="Tahoma"/>
          <w:sz w:val="20"/>
          <w:szCs w:val="20"/>
        </w:rPr>
        <w:t>la</w:t>
      </w:r>
      <w:proofErr w:type="gramEnd"/>
      <w:r w:rsidR="00DB1635" w:rsidRPr="00B004EE">
        <w:rPr>
          <w:rFonts w:ascii="Tahoma" w:hAnsi="Tahoma" w:cs="Tahoma"/>
          <w:sz w:val="20"/>
          <w:szCs w:val="20"/>
        </w:rPr>
        <w:t xml:space="preserve"> </w:t>
      </w:r>
      <w:r w:rsidRPr="00B004EE">
        <w:rPr>
          <w:rFonts w:ascii="Tahoma" w:hAnsi="Tahoma" w:cs="Tahoma"/>
          <w:sz w:val="20"/>
          <w:szCs w:val="20"/>
        </w:rPr>
        <w:t>destruction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rongeurs,</w:t>
      </w:r>
      <w:r w:rsidR="00DB1635" w:rsidRPr="00B004EE">
        <w:rPr>
          <w:rFonts w:ascii="Tahoma" w:hAnsi="Tahoma" w:cs="Tahoma"/>
          <w:sz w:val="20"/>
          <w:szCs w:val="20"/>
        </w:rPr>
        <w:t xml:space="preserve"> </w:t>
      </w:r>
      <w:r w:rsidRPr="00B004EE">
        <w:rPr>
          <w:rFonts w:ascii="Tahoma" w:hAnsi="Tahoma" w:cs="Tahoma"/>
          <w:sz w:val="20"/>
          <w:szCs w:val="20"/>
        </w:rPr>
        <w:t>insectes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toute</w:t>
      </w:r>
      <w:r w:rsidR="00DB1635" w:rsidRPr="00B004EE">
        <w:rPr>
          <w:rFonts w:ascii="Tahoma" w:hAnsi="Tahoma" w:cs="Tahoma"/>
          <w:sz w:val="20"/>
          <w:szCs w:val="20"/>
        </w:rPr>
        <w:t xml:space="preserve"> </w:t>
      </w:r>
      <w:r w:rsidRPr="00B004EE">
        <w:rPr>
          <w:rFonts w:ascii="Tahoma" w:hAnsi="Tahoma" w:cs="Tahoma"/>
          <w:sz w:val="20"/>
          <w:szCs w:val="20"/>
        </w:rPr>
        <w:t>autre</w:t>
      </w:r>
      <w:r w:rsidR="00DB1635" w:rsidRPr="00B004EE">
        <w:rPr>
          <w:rFonts w:ascii="Tahoma" w:hAnsi="Tahoma" w:cs="Tahoma"/>
          <w:sz w:val="20"/>
          <w:szCs w:val="20"/>
        </w:rPr>
        <w:t xml:space="preserve"> </w:t>
      </w:r>
      <w:r w:rsidRPr="00B004EE">
        <w:rPr>
          <w:rFonts w:ascii="Tahoma" w:hAnsi="Tahoma" w:cs="Tahoma"/>
          <w:sz w:val="20"/>
          <w:szCs w:val="20"/>
        </w:rPr>
        <w:t>vermine</w:t>
      </w:r>
      <w:r w:rsidR="00DB1635" w:rsidRPr="00B004EE">
        <w:rPr>
          <w:rFonts w:ascii="Tahoma" w:hAnsi="Tahoma" w:cs="Tahoma"/>
          <w:sz w:val="20"/>
          <w:szCs w:val="20"/>
        </w:rPr>
        <w:t xml:space="preserve"> </w:t>
      </w:r>
      <w:r w:rsidRPr="00B004EE">
        <w:rPr>
          <w:rFonts w:ascii="Tahoma" w:hAnsi="Tahoma" w:cs="Tahoma"/>
          <w:sz w:val="20"/>
          <w:szCs w:val="20"/>
        </w:rPr>
        <w:t>doit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systématiquement</w:t>
      </w:r>
      <w:r w:rsidR="00DB1635" w:rsidRPr="00B004EE">
        <w:rPr>
          <w:rFonts w:ascii="Tahoma" w:hAnsi="Tahoma" w:cs="Tahoma"/>
          <w:sz w:val="20"/>
          <w:szCs w:val="20"/>
        </w:rPr>
        <w:t xml:space="preserve"> </w:t>
      </w:r>
      <w:r w:rsidRPr="00B004EE">
        <w:rPr>
          <w:rFonts w:ascii="Tahoma" w:hAnsi="Tahoma" w:cs="Tahoma"/>
          <w:sz w:val="20"/>
          <w:szCs w:val="20"/>
        </w:rPr>
        <w:t>effectuée.</w:t>
      </w:r>
    </w:p>
    <w:p w14:paraId="09BE0034" w14:textId="01F06284" w:rsidR="002F24E1" w:rsidRPr="00B004EE" w:rsidRDefault="002F24E1" w:rsidP="00B004EE">
      <w:pPr>
        <w:numPr>
          <w:ilvl w:val="0"/>
          <w:numId w:val="3"/>
        </w:numPr>
        <w:ind w:left="284"/>
        <w:jc w:val="both"/>
        <w:rPr>
          <w:rFonts w:ascii="Tahoma" w:hAnsi="Tahoma" w:cs="Tahoma"/>
          <w:sz w:val="20"/>
          <w:szCs w:val="20"/>
        </w:rPr>
      </w:pPr>
      <w:proofErr w:type="gramStart"/>
      <w:r w:rsidRPr="00B004EE">
        <w:rPr>
          <w:rFonts w:ascii="Tahoma" w:hAnsi="Tahoma" w:cs="Tahoma"/>
          <w:sz w:val="20"/>
          <w:szCs w:val="20"/>
        </w:rPr>
        <w:t>les</w:t>
      </w:r>
      <w:proofErr w:type="gramEnd"/>
      <w:r w:rsidR="00DB1635" w:rsidRPr="00B004EE">
        <w:rPr>
          <w:rFonts w:ascii="Tahoma" w:hAnsi="Tahoma" w:cs="Tahoma"/>
          <w:sz w:val="20"/>
          <w:szCs w:val="20"/>
        </w:rPr>
        <w:t xml:space="preserve"> </w:t>
      </w:r>
      <w:r w:rsidRPr="00B004EE">
        <w:rPr>
          <w:rFonts w:ascii="Tahoma" w:hAnsi="Tahoma" w:cs="Tahoma"/>
          <w:sz w:val="20"/>
          <w:szCs w:val="20"/>
        </w:rPr>
        <w:t>lieux</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travail,</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outils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matériel</w:t>
      </w:r>
      <w:r w:rsidR="00DB1635" w:rsidRPr="00B004EE">
        <w:rPr>
          <w:rFonts w:ascii="Tahoma" w:hAnsi="Tahoma" w:cs="Tahoma"/>
          <w:sz w:val="20"/>
          <w:szCs w:val="20"/>
        </w:rPr>
        <w:t xml:space="preserve"> </w:t>
      </w:r>
      <w:r w:rsidRPr="00B004EE">
        <w:rPr>
          <w:rFonts w:ascii="Tahoma" w:hAnsi="Tahoma" w:cs="Tahoma"/>
          <w:sz w:val="20"/>
          <w:szCs w:val="20"/>
        </w:rPr>
        <w:t>ne</w:t>
      </w:r>
      <w:r w:rsidR="00DB1635" w:rsidRPr="00B004EE">
        <w:rPr>
          <w:rFonts w:ascii="Tahoma" w:hAnsi="Tahoma" w:cs="Tahoma"/>
          <w:sz w:val="20"/>
          <w:szCs w:val="20"/>
        </w:rPr>
        <w:t xml:space="preserve"> </w:t>
      </w:r>
      <w:r w:rsidRPr="00B004EE">
        <w:rPr>
          <w:rFonts w:ascii="Tahoma" w:hAnsi="Tahoma" w:cs="Tahoma"/>
          <w:sz w:val="20"/>
          <w:szCs w:val="20"/>
        </w:rPr>
        <w:t>peuvent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utilisés</w:t>
      </w:r>
      <w:r w:rsidR="00DB1635" w:rsidRPr="00B004EE">
        <w:rPr>
          <w:rFonts w:ascii="Tahoma" w:hAnsi="Tahoma" w:cs="Tahoma"/>
          <w:sz w:val="20"/>
          <w:szCs w:val="20"/>
        </w:rPr>
        <w:t xml:space="preserve"> </w:t>
      </w:r>
      <w:r w:rsidRPr="00B004EE">
        <w:rPr>
          <w:rFonts w:ascii="Tahoma" w:hAnsi="Tahoma" w:cs="Tahoma"/>
          <w:sz w:val="20"/>
          <w:szCs w:val="20"/>
        </w:rPr>
        <w:t>que</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manipulation</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l'élaboration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sauf</w:t>
      </w:r>
      <w:r w:rsidR="00DB1635" w:rsidRPr="00B004EE">
        <w:rPr>
          <w:rFonts w:ascii="Tahoma" w:hAnsi="Tahoma" w:cs="Tahoma"/>
          <w:sz w:val="20"/>
          <w:szCs w:val="20"/>
        </w:rPr>
        <w:t xml:space="preserve"> </w:t>
      </w:r>
      <w:r w:rsidRPr="00B004EE">
        <w:rPr>
          <w:rFonts w:ascii="Tahoma" w:hAnsi="Tahoma" w:cs="Tahoma"/>
          <w:sz w:val="20"/>
          <w:szCs w:val="20"/>
        </w:rPr>
        <w:t>dérogation</w:t>
      </w:r>
      <w:r w:rsidR="00DB1635" w:rsidRPr="00B004EE">
        <w:rPr>
          <w:rFonts w:ascii="Tahoma" w:hAnsi="Tahoma" w:cs="Tahoma"/>
          <w:sz w:val="20"/>
          <w:szCs w:val="20"/>
        </w:rPr>
        <w:t xml:space="preserve"> </w:t>
      </w:r>
      <w:r w:rsidRPr="00B004EE">
        <w:rPr>
          <w:rFonts w:ascii="Tahoma" w:hAnsi="Tahoma" w:cs="Tahoma"/>
          <w:sz w:val="20"/>
          <w:szCs w:val="20"/>
        </w:rPr>
        <w:t>accordée</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agents</w:t>
      </w:r>
      <w:r w:rsidR="00DB1635" w:rsidRPr="00B004EE">
        <w:rPr>
          <w:rFonts w:ascii="Tahoma" w:hAnsi="Tahoma" w:cs="Tahoma"/>
          <w:sz w:val="20"/>
          <w:szCs w:val="20"/>
        </w:rPr>
        <w:t xml:space="preserve"> </w:t>
      </w:r>
      <w:r w:rsidRPr="00B004EE">
        <w:rPr>
          <w:rFonts w:ascii="Tahoma" w:hAnsi="Tahoma" w:cs="Tahoma"/>
          <w:sz w:val="20"/>
          <w:szCs w:val="20"/>
        </w:rPr>
        <w:t>d'inspection;</w:t>
      </w:r>
    </w:p>
    <w:p w14:paraId="591A8DF3" w14:textId="481021B4" w:rsidR="002F24E1" w:rsidRPr="00B004EE" w:rsidRDefault="007161D7" w:rsidP="00B004EE">
      <w:pPr>
        <w:numPr>
          <w:ilvl w:val="0"/>
          <w:numId w:val="3"/>
        </w:numPr>
        <w:ind w:left="284"/>
        <w:jc w:val="both"/>
        <w:rPr>
          <w:rFonts w:ascii="Tahoma" w:hAnsi="Tahoma" w:cs="Tahoma"/>
          <w:sz w:val="20"/>
          <w:szCs w:val="20"/>
        </w:rPr>
      </w:pPr>
      <w:r w:rsidRPr="00B004EE">
        <w:rPr>
          <w:rFonts w:ascii="Tahoma" w:hAnsi="Tahoma" w:cs="Tahoma"/>
          <w:sz w:val="20"/>
          <w:szCs w:val="20"/>
        </w:rPr>
        <w:t>L’utilisation</w:t>
      </w:r>
      <w:r w:rsidR="00DB1635" w:rsidRPr="00B004EE">
        <w:rPr>
          <w:rFonts w:ascii="Tahoma" w:hAnsi="Tahoma" w:cs="Tahoma"/>
          <w:sz w:val="20"/>
          <w:szCs w:val="20"/>
        </w:rPr>
        <w:t xml:space="preserve"> </w:t>
      </w:r>
      <w:r w:rsidR="002F24E1" w:rsidRPr="00B004EE">
        <w:rPr>
          <w:rFonts w:ascii="Tahoma" w:hAnsi="Tahoma" w:cs="Tahoma"/>
          <w:sz w:val="20"/>
          <w:szCs w:val="20"/>
        </w:rPr>
        <w:t>d'eau</w:t>
      </w:r>
      <w:r w:rsidR="00DB1635" w:rsidRPr="00B004EE">
        <w:rPr>
          <w:rFonts w:ascii="Tahoma" w:hAnsi="Tahoma" w:cs="Tahoma"/>
          <w:sz w:val="20"/>
          <w:szCs w:val="20"/>
        </w:rPr>
        <w:t xml:space="preserve"> </w:t>
      </w:r>
      <w:r w:rsidR="002F24E1" w:rsidRPr="00B004EE">
        <w:rPr>
          <w:rFonts w:ascii="Tahoma" w:hAnsi="Tahoma" w:cs="Tahoma"/>
          <w:sz w:val="20"/>
          <w:szCs w:val="20"/>
        </w:rPr>
        <w:t>potable</w:t>
      </w:r>
      <w:r w:rsidR="00DB1635" w:rsidRPr="00B004EE">
        <w:rPr>
          <w:rFonts w:ascii="Tahoma" w:hAnsi="Tahoma" w:cs="Tahoma"/>
          <w:sz w:val="20"/>
          <w:szCs w:val="20"/>
        </w:rPr>
        <w:t xml:space="preserve"> </w:t>
      </w:r>
      <w:r w:rsidR="002F24E1" w:rsidRPr="00B004EE">
        <w:rPr>
          <w:rFonts w:ascii="Tahoma" w:hAnsi="Tahoma" w:cs="Tahoma"/>
          <w:sz w:val="20"/>
          <w:szCs w:val="20"/>
        </w:rPr>
        <w:t>ou</w:t>
      </w:r>
      <w:r w:rsidR="00DB1635" w:rsidRPr="00B004EE">
        <w:rPr>
          <w:rFonts w:ascii="Tahoma" w:hAnsi="Tahoma" w:cs="Tahoma"/>
          <w:sz w:val="20"/>
          <w:szCs w:val="20"/>
        </w:rPr>
        <w:t xml:space="preserve"> </w:t>
      </w:r>
      <w:r w:rsidR="002F24E1" w:rsidRPr="00B004EE">
        <w:rPr>
          <w:rFonts w:ascii="Tahoma" w:hAnsi="Tahoma" w:cs="Tahoma"/>
          <w:sz w:val="20"/>
          <w:szCs w:val="20"/>
        </w:rPr>
        <w:t>d'eau</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mer</w:t>
      </w:r>
      <w:r w:rsidR="00DB1635" w:rsidRPr="00B004EE">
        <w:rPr>
          <w:rFonts w:ascii="Tahoma" w:hAnsi="Tahoma" w:cs="Tahoma"/>
          <w:sz w:val="20"/>
          <w:szCs w:val="20"/>
        </w:rPr>
        <w:t xml:space="preserve"> </w:t>
      </w:r>
      <w:r w:rsidR="002F24E1" w:rsidRPr="00B004EE">
        <w:rPr>
          <w:rFonts w:ascii="Tahoma" w:hAnsi="Tahoma" w:cs="Tahoma"/>
          <w:sz w:val="20"/>
          <w:szCs w:val="20"/>
        </w:rPr>
        <w:t>propre</w:t>
      </w:r>
      <w:r w:rsidR="00DB1635" w:rsidRPr="00B004EE">
        <w:rPr>
          <w:rFonts w:ascii="Tahoma" w:hAnsi="Tahoma" w:cs="Tahoma"/>
          <w:sz w:val="20"/>
          <w:szCs w:val="20"/>
        </w:rPr>
        <w:t xml:space="preserve"> </w:t>
      </w:r>
      <w:r w:rsidR="002F24E1" w:rsidRPr="00B004EE">
        <w:rPr>
          <w:rFonts w:ascii="Tahoma" w:hAnsi="Tahoma" w:cs="Tahoma"/>
          <w:sz w:val="20"/>
          <w:szCs w:val="20"/>
        </w:rPr>
        <w:t>est</w:t>
      </w:r>
      <w:r w:rsidR="00DB1635" w:rsidRPr="00B004EE">
        <w:rPr>
          <w:rFonts w:ascii="Tahoma" w:hAnsi="Tahoma" w:cs="Tahoma"/>
          <w:sz w:val="20"/>
          <w:szCs w:val="20"/>
        </w:rPr>
        <w:t xml:space="preserve"> </w:t>
      </w:r>
      <w:r w:rsidR="002F24E1" w:rsidRPr="00B004EE">
        <w:rPr>
          <w:rFonts w:ascii="Tahoma" w:hAnsi="Tahoma" w:cs="Tahoma"/>
          <w:sz w:val="20"/>
          <w:szCs w:val="20"/>
        </w:rPr>
        <w:t>imposée</w:t>
      </w:r>
      <w:r w:rsidR="00DB1635" w:rsidRPr="00B004EE">
        <w:rPr>
          <w:rFonts w:ascii="Tahoma" w:hAnsi="Tahoma" w:cs="Tahoma"/>
          <w:sz w:val="20"/>
          <w:szCs w:val="20"/>
        </w:rPr>
        <w:t xml:space="preserve"> </w:t>
      </w:r>
      <w:r w:rsidR="002F24E1" w:rsidRPr="00B004EE">
        <w:rPr>
          <w:rFonts w:ascii="Tahoma" w:hAnsi="Tahoma" w:cs="Tahoma"/>
          <w:sz w:val="20"/>
          <w:szCs w:val="20"/>
        </w:rPr>
        <w:t>pour</w:t>
      </w:r>
      <w:r w:rsidR="00DB1635" w:rsidRPr="00B004EE">
        <w:rPr>
          <w:rFonts w:ascii="Tahoma" w:hAnsi="Tahoma" w:cs="Tahoma"/>
          <w:sz w:val="20"/>
          <w:szCs w:val="20"/>
        </w:rPr>
        <w:t xml:space="preserve"> </w:t>
      </w:r>
      <w:r w:rsidR="002F24E1" w:rsidRPr="00B004EE">
        <w:rPr>
          <w:rFonts w:ascii="Tahoma" w:hAnsi="Tahoma" w:cs="Tahoma"/>
          <w:sz w:val="20"/>
          <w:szCs w:val="20"/>
        </w:rPr>
        <w:t>tous</w:t>
      </w:r>
      <w:r w:rsidR="00DB1635" w:rsidRPr="00B004EE">
        <w:rPr>
          <w:rFonts w:ascii="Tahoma" w:hAnsi="Tahoma" w:cs="Tahoma"/>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2F24E1" w:rsidRPr="00B004EE">
        <w:rPr>
          <w:rFonts w:ascii="Tahoma" w:hAnsi="Tahoma" w:cs="Tahoma"/>
          <w:sz w:val="20"/>
          <w:szCs w:val="20"/>
        </w:rPr>
        <w:t>usages.</w:t>
      </w:r>
    </w:p>
    <w:p w14:paraId="6AC492EB" w14:textId="77777777" w:rsidR="002F24E1" w:rsidRPr="00B004EE" w:rsidRDefault="002F24E1" w:rsidP="00B004EE">
      <w:pPr>
        <w:jc w:val="both"/>
        <w:rPr>
          <w:rFonts w:ascii="Tahoma" w:hAnsi="Tahoma" w:cs="Tahoma"/>
          <w:sz w:val="20"/>
          <w:szCs w:val="20"/>
        </w:rPr>
      </w:pPr>
    </w:p>
    <w:p w14:paraId="124533F1" w14:textId="21973D89" w:rsidR="002F24E1" w:rsidRPr="00B004EE" w:rsidRDefault="002F24E1" w:rsidP="00B004EE">
      <w:pPr>
        <w:tabs>
          <w:tab w:val="left" w:pos="567"/>
        </w:tabs>
        <w:jc w:val="center"/>
        <w:rPr>
          <w:rFonts w:ascii="Tahoma" w:hAnsi="Tahoma" w:cs="Tahoma"/>
          <w:b/>
          <w:sz w:val="20"/>
          <w:szCs w:val="20"/>
        </w:rPr>
      </w:pPr>
      <w:r w:rsidRPr="00B004EE">
        <w:rPr>
          <w:rFonts w:ascii="Tahoma" w:hAnsi="Tahoma" w:cs="Tahoma"/>
          <w:b/>
          <w:sz w:val="20"/>
          <w:szCs w:val="20"/>
        </w:rPr>
        <w:lastRenderedPageBreak/>
        <w:t>CHAPITRE</w:t>
      </w:r>
      <w:r w:rsidR="00DB1635" w:rsidRPr="00B004EE">
        <w:rPr>
          <w:rFonts w:ascii="Tahoma" w:hAnsi="Tahoma" w:cs="Tahoma"/>
          <w:b/>
          <w:sz w:val="20"/>
          <w:szCs w:val="20"/>
        </w:rPr>
        <w:t xml:space="preserve"> </w:t>
      </w:r>
      <w:r w:rsidR="007161D7" w:rsidRPr="00B004EE">
        <w:rPr>
          <w:rFonts w:ascii="Tahoma" w:hAnsi="Tahoma" w:cs="Tahoma"/>
          <w:b/>
          <w:sz w:val="20"/>
          <w:szCs w:val="20"/>
        </w:rPr>
        <w:t>III :</w:t>
      </w:r>
      <w:r w:rsidR="00DB1635" w:rsidRPr="00B004EE">
        <w:rPr>
          <w:rFonts w:ascii="Tahoma" w:hAnsi="Tahoma" w:cs="Tahoma"/>
          <w:b/>
          <w:sz w:val="20"/>
          <w:szCs w:val="20"/>
        </w:rPr>
        <w:t xml:space="preserve"> </w:t>
      </w:r>
      <w:r w:rsidRPr="00B004EE">
        <w:rPr>
          <w:rFonts w:ascii="Tahoma" w:hAnsi="Tahoma" w:cs="Tahoma"/>
          <w:b/>
          <w:sz w:val="20"/>
          <w:szCs w:val="20"/>
        </w:rPr>
        <w:t>CONTROLE</w:t>
      </w:r>
      <w:r w:rsidR="00DB1635" w:rsidRPr="00B004EE">
        <w:rPr>
          <w:rFonts w:ascii="Tahoma" w:hAnsi="Tahoma" w:cs="Tahoma"/>
          <w:b/>
          <w:sz w:val="20"/>
          <w:szCs w:val="20"/>
        </w:rPr>
        <w:t xml:space="preserve"> </w:t>
      </w:r>
      <w:r w:rsidRPr="00B004EE">
        <w:rPr>
          <w:rFonts w:ascii="Tahoma" w:hAnsi="Tahoma" w:cs="Tahoma"/>
          <w:b/>
          <w:sz w:val="20"/>
          <w:szCs w:val="20"/>
        </w:rPr>
        <w:t>SANITAIRE</w:t>
      </w:r>
      <w:r w:rsidR="00DB1635" w:rsidRPr="00B004EE">
        <w:rPr>
          <w:rFonts w:ascii="Tahoma" w:hAnsi="Tahoma" w:cs="Tahoma"/>
          <w:b/>
          <w:sz w:val="20"/>
          <w:szCs w:val="20"/>
        </w:rPr>
        <w:t xml:space="preserve"> </w:t>
      </w:r>
      <w:r w:rsidRPr="00B004EE">
        <w:rPr>
          <w:rFonts w:ascii="Tahoma" w:hAnsi="Tahoma" w:cs="Tahoma"/>
          <w:b/>
          <w:sz w:val="20"/>
          <w:szCs w:val="20"/>
        </w:rPr>
        <w:t>ET</w:t>
      </w:r>
      <w:r w:rsidR="00DB1635" w:rsidRPr="00B004EE">
        <w:rPr>
          <w:rFonts w:ascii="Tahoma" w:hAnsi="Tahoma" w:cs="Tahoma"/>
          <w:b/>
          <w:sz w:val="20"/>
          <w:szCs w:val="20"/>
        </w:rPr>
        <w:t xml:space="preserve"> </w:t>
      </w:r>
      <w:r w:rsidRPr="00B004EE">
        <w:rPr>
          <w:rFonts w:ascii="Tahoma" w:hAnsi="Tahoma" w:cs="Tahoma"/>
          <w:b/>
          <w:sz w:val="20"/>
          <w:szCs w:val="20"/>
        </w:rPr>
        <w:t>SURVEILLANCE</w:t>
      </w:r>
      <w:r w:rsidR="00DB1635" w:rsidRPr="00B004EE">
        <w:rPr>
          <w:rFonts w:ascii="Tahoma" w:hAnsi="Tahoma" w:cs="Tahoma"/>
          <w:b/>
          <w:sz w:val="20"/>
          <w:szCs w:val="20"/>
        </w:rPr>
        <w:t xml:space="preserve"> </w:t>
      </w:r>
      <w:r w:rsidRPr="00B004EE">
        <w:rPr>
          <w:rFonts w:ascii="Tahoma" w:hAnsi="Tahoma" w:cs="Tahoma"/>
          <w:b/>
          <w:sz w:val="20"/>
          <w:szCs w:val="20"/>
        </w:rPr>
        <w:t>DES</w:t>
      </w:r>
      <w:r w:rsidR="00DB1635" w:rsidRPr="00B004EE">
        <w:rPr>
          <w:rFonts w:ascii="Tahoma" w:hAnsi="Tahoma" w:cs="Tahoma"/>
          <w:b/>
          <w:sz w:val="20"/>
          <w:szCs w:val="20"/>
        </w:rPr>
        <w:t xml:space="preserve"> </w:t>
      </w:r>
      <w:r w:rsidRPr="00B004EE">
        <w:rPr>
          <w:rFonts w:ascii="Tahoma" w:hAnsi="Tahoma" w:cs="Tahoma"/>
          <w:b/>
          <w:sz w:val="20"/>
          <w:szCs w:val="20"/>
        </w:rPr>
        <w:t>CONDITIONS</w:t>
      </w:r>
      <w:r w:rsidR="00DB1635" w:rsidRPr="00B004EE">
        <w:rPr>
          <w:rFonts w:ascii="Tahoma" w:hAnsi="Tahoma" w:cs="Tahoma"/>
          <w:b/>
          <w:sz w:val="20"/>
          <w:szCs w:val="20"/>
        </w:rPr>
        <w:t xml:space="preserve"> </w:t>
      </w:r>
      <w:r w:rsidRPr="00B004EE">
        <w:rPr>
          <w:rFonts w:ascii="Tahoma" w:hAnsi="Tahoma" w:cs="Tahoma"/>
          <w:b/>
          <w:sz w:val="20"/>
          <w:szCs w:val="20"/>
        </w:rPr>
        <w:t>DE</w:t>
      </w:r>
      <w:r w:rsidR="00DB1635" w:rsidRPr="00B004EE">
        <w:rPr>
          <w:rFonts w:ascii="Tahoma" w:hAnsi="Tahoma" w:cs="Tahoma"/>
          <w:b/>
          <w:sz w:val="20"/>
          <w:szCs w:val="20"/>
        </w:rPr>
        <w:t xml:space="preserve"> </w:t>
      </w:r>
      <w:r w:rsidRPr="00B004EE">
        <w:rPr>
          <w:rFonts w:ascii="Tahoma" w:hAnsi="Tahoma" w:cs="Tahoma"/>
          <w:b/>
          <w:sz w:val="20"/>
          <w:szCs w:val="20"/>
        </w:rPr>
        <w:t>PRODUCTION</w:t>
      </w:r>
      <w:r w:rsidR="00DB1635" w:rsidRPr="00B004EE">
        <w:rPr>
          <w:rFonts w:ascii="Tahoma" w:hAnsi="Tahoma" w:cs="Tahoma"/>
          <w:b/>
          <w:sz w:val="20"/>
          <w:szCs w:val="20"/>
        </w:rPr>
        <w:t xml:space="preserve"> </w:t>
      </w:r>
      <w:r w:rsidRPr="00B004EE">
        <w:rPr>
          <w:rFonts w:ascii="Tahoma" w:hAnsi="Tahoma" w:cs="Tahoma"/>
          <w:b/>
          <w:sz w:val="20"/>
          <w:szCs w:val="20"/>
        </w:rPr>
        <w:t>DES</w:t>
      </w:r>
      <w:r w:rsidR="00DB1635" w:rsidRPr="00B004EE">
        <w:rPr>
          <w:rFonts w:ascii="Tahoma" w:hAnsi="Tahoma" w:cs="Tahoma"/>
          <w:b/>
          <w:sz w:val="20"/>
          <w:szCs w:val="20"/>
        </w:rPr>
        <w:t xml:space="preserve"> </w:t>
      </w:r>
      <w:r w:rsidRPr="00B004EE">
        <w:rPr>
          <w:rFonts w:ascii="Tahoma" w:hAnsi="Tahoma" w:cs="Tahoma"/>
          <w:b/>
          <w:sz w:val="20"/>
          <w:szCs w:val="20"/>
        </w:rPr>
        <w:t>EMBARCATIONS</w:t>
      </w:r>
      <w:r w:rsidR="00DB1635" w:rsidRPr="00B004EE">
        <w:rPr>
          <w:rFonts w:ascii="Tahoma" w:hAnsi="Tahoma" w:cs="Tahoma"/>
          <w:b/>
          <w:sz w:val="20"/>
          <w:szCs w:val="20"/>
        </w:rPr>
        <w:t xml:space="preserve"> </w:t>
      </w:r>
      <w:r w:rsidRPr="00B004EE">
        <w:rPr>
          <w:rFonts w:ascii="Tahoma" w:hAnsi="Tahoma" w:cs="Tahoma"/>
          <w:b/>
          <w:sz w:val="20"/>
          <w:szCs w:val="20"/>
        </w:rPr>
        <w:t>DE</w:t>
      </w:r>
      <w:r w:rsidR="00DB1635" w:rsidRPr="00B004EE">
        <w:rPr>
          <w:rFonts w:ascii="Tahoma" w:hAnsi="Tahoma" w:cs="Tahoma"/>
          <w:b/>
          <w:sz w:val="20"/>
          <w:szCs w:val="20"/>
        </w:rPr>
        <w:t xml:space="preserve"> </w:t>
      </w:r>
      <w:r w:rsidRPr="00B004EE">
        <w:rPr>
          <w:rFonts w:ascii="Tahoma" w:hAnsi="Tahoma" w:cs="Tahoma"/>
          <w:b/>
          <w:sz w:val="20"/>
          <w:szCs w:val="20"/>
        </w:rPr>
        <w:t>PECHE</w:t>
      </w:r>
      <w:r w:rsidR="00DB1635" w:rsidRPr="00B004EE">
        <w:rPr>
          <w:rFonts w:ascii="Tahoma" w:hAnsi="Tahoma" w:cs="Tahoma"/>
          <w:b/>
          <w:sz w:val="20"/>
          <w:szCs w:val="20"/>
        </w:rPr>
        <w:t xml:space="preserve"> </w:t>
      </w:r>
      <w:r w:rsidRPr="00B004EE">
        <w:rPr>
          <w:rFonts w:ascii="Tahoma" w:hAnsi="Tahoma" w:cs="Tahoma"/>
          <w:b/>
          <w:sz w:val="20"/>
          <w:szCs w:val="20"/>
        </w:rPr>
        <w:t>ARTISANALE</w:t>
      </w:r>
      <w:r w:rsidR="00DB1635" w:rsidRPr="00B004EE">
        <w:rPr>
          <w:rFonts w:ascii="Tahoma" w:hAnsi="Tahoma" w:cs="Tahoma"/>
          <w:b/>
          <w:sz w:val="20"/>
          <w:szCs w:val="20"/>
        </w:rPr>
        <w:t xml:space="preserve"> </w:t>
      </w:r>
      <w:r w:rsidRPr="00B004EE">
        <w:rPr>
          <w:rFonts w:ascii="Tahoma" w:hAnsi="Tahoma" w:cs="Tahoma"/>
          <w:b/>
          <w:sz w:val="20"/>
          <w:szCs w:val="20"/>
        </w:rPr>
        <w:t>ET</w:t>
      </w:r>
      <w:r w:rsidR="00DB1635" w:rsidRPr="00B004EE">
        <w:rPr>
          <w:rFonts w:ascii="Tahoma" w:hAnsi="Tahoma" w:cs="Tahoma"/>
          <w:b/>
          <w:sz w:val="20"/>
          <w:szCs w:val="20"/>
        </w:rPr>
        <w:t xml:space="preserve"> </w:t>
      </w:r>
      <w:r w:rsidRPr="00B004EE">
        <w:rPr>
          <w:rFonts w:ascii="Tahoma" w:hAnsi="Tahoma" w:cs="Tahoma"/>
          <w:b/>
          <w:sz w:val="20"/>
          <w:szCs w:val="20"/>
        </w:rPr>
        <w:t>COTIERE</w:t>
      </w:r>
    </w:p>
    <w:p w14:paraId="03E64DB1" w14:textId="77777777" w:rsidR="002F24E1" w:rsidRPr="00B004EE" w:rsidRDefault="002F24E1" w:rsidP="00B004EE">
      <w:pPr>
        <w:jc w:val="both"/>
        <w:rPr>
          <w:rFonts w:ascii="Tahoma" w:hAnsi="Tahoma" w:cs="Tahoma"/>
          <w:sz w:val="20"/>
          <w:szCs w:val="20"/>
        </w:rPr>
      </w:pPr>
    </w:p>
    <w:p w14:paraId="353F2810" w14:textId="71C4D4E1" w:rsidR="002F24E1" w:rsidRPr="00B004EE" w:rsidRDefault="002F24E1" w:rsidP="00B004EE">
      <w:pPr>
        <w:jc w:val="both"/>
        <w:rPr>
          <w:rFonts w:ascii="Tahoma" w:hAnsi="Tahoma" w:cs="Tahoma"/>
          <w:sz w:val="20"/>
          <w:szCs w:val="20"/>
        </w:rPr>
      </w:pPr>
      <w:r w:rsidRPr="00B004EE">
        <w:rPr>
          <w:rFonts w:ascii="Tahoma" w:hAnsi="Tahoma" w:cs="Tahoma"/>
          <w:sz w:val="20"/>
          <w:szCs w:val="20"/>
        </w:rPr>
        <w:t>Article</w:t>
      </w:r>
      <w:r w:rsidR="00DB1635" w:rsidRPr="00B004EE">
        <w:rPr>
          <w:rFonts w:ascii="Tahoma" w:hAnsi="Tahoma" w:cs="Tahoma"/>
          <w:sz w:val="20"/>
          <w:szCs w:val="20"/>
        </w:rPr>
        <w:t xml:space="preserve"> </w:t>
      </w:r>
      <w:r w:rsidRPr="00B004EE">
        <w:rPr>
          <w:rFonts w:ascii="Tahoma" w:hAnsi="Tahoma" w:cs="Tahoma"/>
          <w:sz w:val="20"/>
          <w:szCs w:val="20"/>
        </w:rPr>
        <w:t>23</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destinés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consommation</w:t>
      </w:r>
      <w:r w:rsidR="00DB1635" w:rsidRPr="00B004EE">
        <w:rPr>
          <w:rFonts w:ascii="Tahoma" w:hAnsi="Tahoma" w:cs="Tahoma"/>
          <w:sz w:val="20"/>
          <w:szCs w:val="20"/>
        </w:rPr>
        <w:t xml:space="preserve"> </w:t>
      </w:r>
      <w:r w:rsidRPr="00B004EE">
        <w:rPr>
          <w:rFonts w:ascii="Tahoma" w:hAnsi="Tahoma" w:cs="Tahoma"/>
          <w:sz w:val="20"/>
          <w:szCs w:val="20"/>
        </w:rPr>
        <w:t>humaine</w:t>
      </w:r>
      <w:r w:rsidR="00DB1635" w:rsidRPr="00B004EE">
        <w:rPr>
          <w:rFonts w:ascii="Tahoma" w:hAnsi="Tahoma" w:cs="Tahoma"/>
          <w:sz w:val="20"/>
          <w:szCs w:val="20"/>
        </w:rPr>
        <w:t xml:space="preserve"> </w:t>
      </w:r>
      <w:r w:rsidRPr="00B004EE">
        <w:rPr>
          <w:rFonts w:ascii="Tahoma" w:hAnsi="Tahoma" w:cs="Tahoma"/>
          <w:sz w:val="20"/>
          <w:szCs w:val="20"/>
        </w:rPr>
        <w:t>ainsi</w:t>
      </w:r>
      <w:r w:rsidR="00DB1635" w:rsidRPr="00B004EE">
        <w:rPr>
          <w:rFonts w:ascii="Tahoma" w:hAnsi="Tahoma" w:cs="Tahoma"/>
          <w:sz w:val="20"/>
          <w:szCs w:val="20"/>
        </w:rPr>
        <w:t xml:space="preserve"> </w:t>
      </w:r>
      <w:r w:rsidRPr="00B004EE">
        <w:rPr>
          <w:rFonts w:ascii="Tahoma" w:hAnsi="Tahoma" w:cs="Tahoma"/>
          <w:sz w:val="20"/>
          <w:szCs w:val="20"/>
        </w:rPr>
        <w:t>que</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embarcations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artisanale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côtière</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soumis</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contrôle</w:t>
      </w:r>
      <w:r w:rsidR="00DB1635" w:rsidRPr="00B004EE">
        <w:rPr>
          <w:rFonts w:ascii="Tahoma" w:hAnsi="Tahoma" w:cs="Tahoma"/>
          <w:sz w:val="20"/>
          <w:szCs w:val="20"/>
        </w:rPr>
        <w:t xml:space="preserve"> </w:t>
      </w:r>
      <w:r w:rsidRPr="00B004EE">
        <w:rPr>
          <w:rFonts w:ascii="Tahoma" w:hAnsi="Tahoma" w:cs="Tahoma"/>
          <w:sz w:val="20"/>
          <w:szCs w:val="20"/>
        </w:rPr>
        <w:t>sanitaire</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services</w:t>
      </w:r>
      <w:r w:rsidR="00DB1635" w:rsidRPr="00B004EE">
        <w:rPr>
          <w:rFonts w:ascii="Tahoma" w:hAnsi="Tahoma" w:cs="Tahoma"/>
          <w:sz w:val="20"/>
          <w:szCs w:val="20"/>
        </w:rPr>
        <w:t xml:space="preserve"> </w:t>
      </w:r>
      <w:r w:rsidRPr="00B004EE">
        <w:rPr>
          <w:rFonts w:ascii="Tahoma" w:hAnsi="Tahoma" w:cs="Tahoma"/>
          <w:sz w:val="20"/>
          <w:szCs w:val="20"/>
        </w:rPr>
        <w:t>d'inspection</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l'IMROP.</w:t>
      </w:r>
    </w:p>
    <w:p w14:paraId="52F0C075" w14:textId="77777777" w:rsidR="002F24E1" w:rsidRPr="00B004EE" w:rsidRDefault="002F24E1" w:rsidP="00B004EE">
      <w:pPr>
        <w:jc w:val="both"/>
        <w:rPr>
          <w:rFonts w:ascii="Tahoma" w:hAnsi="Tahoma" w:cs="Tahoma"/>
          <w:sz w:val="20"/>
          <w:szCs w:val="20"/>
        </w:rPr>
      </w:pPr>
    </w:p>
    <w:p w14:paraId="79142FC0" w14:textId="2395E4E9" w:rsidR="002F24E1" w:rsidRPr="00B004EE" w:rsidRDefault="002F24E1" w:rsidP="00B004EE">
      <w:pPr>
        <w:jc w:val="both"/>
        <w:rPr>
          <w:rFonts w:ascii="Tahoma" w:hAnsi="Tahoma" w:cs="Tahoma"/>
          <w:sz w:val="20"/>
          <w:szCs w:val="20"/>
        </w:rPr>
      </w:pP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cas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besoin,</w:t>
      </w:r>
      <w:r w:rsidR="00DB1635" w:rsidRPr="00B004EE">
        <w:rPr>
          <w:rFonts w:ascii="Tahoma" w:hAnsi="Tahoma" w:cs="Tahoma"/>
          <w:sz w:val="20"/>
          <w:szCs w:val="20"/>
        </w:rPr>
        <w:t xml:space="preserve"> </w:t>
      </w:r>
      <w:r w:rsidRPr="00B004EE">
        <w:rPr>
          <w:rFonts w:ascii="Tahoma" w:hAnsi="Tahoma" w:cs="Tahoma"/>
          <w:sz w:val="20"/>
          <w:szCs w:val="20"/>
        </w:rPr>
        <w:t>l'IMROP</w:t>
      </w:r>
      <w:r w:rsidR="00DB1635" w:rsidRPr="00B004EE">
        <w:rPr>
          <w:rFonts w:ascii="Tahoma" w:hAnsi="Tahoma" w:cs="Tahoma"/>
          <w:sz w:val="20"/>
          <w:szCs w:val="20"/>
        </w:rPr>
        <w:t xml:space="preserve"> </w:t>
      </w:r>
      <w:r w:rsidRPr="00B004EE">
        <w:rPr>
          <w:rFonts w:ascii="Tahoma" w:hAnsi="Tahoma" w:cs="Tahoma"/>
          <w:sz w:val="20"/>
          <w:szCs w:val="20"/>
        </w:rPr>
        <w:t>peut</w:t>
      </w:r>
      <w:r w:rsidR="00DB1635" w:rsidRPr="00B004EE">
        <w:rPr>
          <w:rFonts w:ascii="Tahoma" w:hAnsi="Tahoma" w:cs="Tahoma"/>
          <w:sz w:val="20"/>
          <w:szCs w:val="20"/>
        </w:rPr>
        <w:t xml:space="preserve"> </w:t>
      </w:r>
      <w:r w:rsidRPr="00B004EE">
        <w:rPr>
          <w:rFonts w:ascii="Tahoma" w:hAnsi="Tahoma" w:cs="Tahoma"/>
          <w:sz w:val="20"/>
          <w:szCs w:val="20"/>
        </w:rPr>
        <w:t>mandater</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agents</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exercer</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contrôle</w:t>
      </w:r>
      <w:r w:rsidR="00DB1635" w:rsidRPr="00B004EE">
        <w:rPr>
          <w:rFonts w:ascii="Tahoma" w:hAnsi="Tahoma" w:cs="Tahoma"/>
          <w:sz w:val="20"/>
          <w:szCs w:val="20"/>
        </w:rPr>
        <w:t xml:space="preserve"> </w:t>
      </w:r>
      <w:r w:rsidRPr="00B004EE">
        <w:rPr>
          <w:rFonts w:ascii="Tahoma" w:hAnsi="Tahoma" w:cs="Tahoma"/>
          <w:sz w:val="20"/>
          <w:szCs w:val="20"/>
        </w:rPr>
        <w:t>sanitaire</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ports</w:t>
      </w:r>
      <w:r w:rsidR="00DB1635" w:rsidRPr="00B004EE">
        <w:rPr>
          <w:rFonts w:ascii="Tahoma" w:hAnsi="Tahoma" w:cs="Tahoma"/>
          <w:sz w:val="20"/>
          <w:szCs w:val="20"/>
        </w:rPr>
        <w:t xml:space="preserve"> </w:t>
      </w:r>
      <w:r w:rsidRPr="00B004EE">
        <w:rPr>
          <w:rFonts w:ascii="Tahoma" w:hAnsi="Tahoma" w:cs="Tahoma"/>
          <w:sz w:val="20"/>
          <w:szCs w:val="20"/>
        </w:rPr>
        <w:t>situés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l'étranger.</w:t>
      </w:r>
    </w:p>
    <w:p w14:paraId="1678E47E" w14:textId="77777777" w:rsidR="002F24E1" w:rsidRPr="00B004EE" w:rsidRDefault="002F24E1" w:rsidP="00B004EE">
      <w:pPr>
        <w:jc w:val="both"/>
        <w:rPr>
          <w:rFonts w:ascii="Tahoma" w:hAnsi="Tahoma" w:cs="Tahoma"/>
          <w:sz w:val="20"/>
          <w:szCs w:val="20"/>
        </w:rPr>
      </w:pPr>
    </w:p>
    <w:p w14:paraId="36E28679" w14:textId="0D105CA5" w:rsidR="002F24E1" w:rsidRPr="00B004EE" w:rsidRDefault="002F24E1" w:rsidP="00B004EE">
      <w:pPr>
        <w:jc w:val="both"/>
        <w:rPr>
          <w:rFonts w:ascii="Tahoma" w:hAnsi="Tahoma" w:cs="Tahoma"/>
          <w:sz w:val="20"/>
          <w:szCs w:val="20"/>
        </w:rPr>
      </w:pPr>
      <w:r w:rsidRPr="00B004EE">
        <w:rPr>
          <w:rFonts w:ascii="Tahoma" w:hAnsi="Tahoma" w:cs="Tahoma"/>
          <w:sz w:val="20"/>
          <w:szCs w:val="20"/>
        </w:rPr>
        <w:t>Article</w:t>
      </w:r>
      <w:r w:rsidR="00DB1635" w:rsidRPr="00B004EE">
        <w:rPr>
          <w:rFonts w:ascii="Tahoma" w:hAnsi="Tahoma" w:cs="Tahoma"/>
          <w:sz w:val="20"/>
          <w:szCs w:val="20"/>
        </w:rPr>
        <w:t xml:space="preserve"> </w:t>
      </w:r>
      <w:r w:rsidRPr="00B004EE">
        <w:rPr>
          <w:rFonts w:ascii="Tahoma" w:hAnsi="Tahoma" w:cs="Tahoma"/>
          <w:sz w:val="20"/>
          <w:szCs w:val="20"/>
        </w:rPr>
        <w:t>24</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services</w:t>
      </w:r>
      <w:r w:rsidR="00DB1635" w:rsidRPr="00B004EE">
        <w:rPr>
          <w:rFonts w:ascii="Tahoma" w:hAnsi="Tahoma" w:cs="Tahoma"/>
          <w:sz w:val="20"/>
          <w:szCs w:val="20"/>
        </w:rPr>
        <w:t xml:space="preserve"> </w:t>
      </w:r>
      <w:r w:rsidRPr="00B004EE">
        <w:rPr>
          <w:rFonts w:ascii="Tahoma" w:hAnsi="Tahoma" w:cs="Tahoma"/>
          <w:sz w:val="20"/>
          <w:szCs w:val="20"/>
        </w:rPr>
        <w:t>d'inspection</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l'IMROP</w:t>
      </w:r>
      <w:r w:rsidR="00DB1635" w:rsidRPr="00B004EE">
        <w:rPr>
          <w:rFonts w:ascii="Tahoma" w:hAnsi="Tahoma" w:cs="Tahoma"/>
          <w:sz w:val="20"/>
          <w:szCs w:val="20"/>
        </w:rPr>
        <w:t xml:space="preserve"> </w:t>
      </w:r>
      <w:r w:rsidRPr="00B004EE">
        <w:rPr>
          <w:rFonts w:ascii="Tahoma" w:hAnsi="Tahoma" w:cs="Tahoma"/>
          <w:sz w:val="20"/>
          <w:szCs w:val="20"/>
        </w:rPr>
        <w:t>effectuent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visites</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moins</w:t>
      </w:r>
      <w:r w:rsidR="00DB1635" w:rsidRPr="00B004EE">
        <w:rPr>
          <w:rFonts w:ascii="Tahoma" w:hAnsi="Tahoma" w:cs="Tahoma"/>
          <w:sz w:val="20"/>
          <w:szCs w:val="20"/>
        </w:rPr>
        <w:t xml:space="preserve"> </w:t>
      </w:r>
      <w:r w:rsidRPr="00B004EE">
        <w:rPr>
          <w:rFonts w:ascii="Tahoma" w:hAnsi="Tahoma" w:cs="Tahoma"/>
          <w:sz w:val="20"/>
          <w:szCs w:val="20"/>
        </w:rPr>
        <w:t>annuelles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si</w:t>
      </w:r>
      <w:r w:rsidR="00DB1635" w:rsidRPr="00B004EE">
        <w:rPr>
          <w:rFonts w:ascii="Tahoma" w:hAnsi="Tahoma" w:cs="Tahoma"/>
          <w:sz w:val="20"/>
          <w:szCs w:val="20"/>
        </w:rPr>
        <w:t xml:space="preserve"> </w:t>
      </w:r>
      <w:r w:rsidRPr="00B004EE">
        <w:rPr>
          <w:rFonts w:ascii="Tahoma" w:hAnsi="Tahoma" w:cs="Tahoma"/>
          <w:sz w:val="20"/>
          <w:szCs w:val="20"/>
        </w:rPr>
        <w:t>nécessaires</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embarcations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artisanale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côtière</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vue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contrôler</w:t>
      </w:r>
      <w:r w:rsidR="00DB1635" w:rsidRPr="00B004EE">
        <w:rPr>
          <w:rFonts w:ascii="Tahoma" w:hAnsi="Tahoma" w:cs="Tahoma"/>
          <w:sz w:val="20"/>
          <w:szCs w:val="20"/>
        </w:rPr>
        <w:t xml:space="preserve"> </w:t>
      </w:r>
      <w:r w:rsidRPr="00B004EE">
        <w:rPr>
          <w:rFonts w:ascii="Tahoma" w:hAnsi="Tahoma" w:cs="Tahoma"/>
          <w:sz w:val="20"/>
          <w:szCs w:val="20"/>
        </w:rPr>
        <w:t>l'hygiène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conformité</w:t>
      </w:r>
      <w:r w:rsidR="00DB1635" w:rsidRPr="00B004EE">
        <w:rPr>
          <w:rFonts w:ascii="Tahoma" w:hAnsi="Tahoma" w:cs="Tahoma"/>
          <w:sz w:val="20"/>
          <w:szCs w:val="20"/>
        </w:rPr>
        <w:t xml:space="preserve"> </w:t>
      </w:r>
      <w:r w:rsidRPr="00B004EE">
        <w:rPr>
          <w:rFonts w:ascii="Tahoma" w:hAnsi="Tahoma" w:cs="Tahoma"/>
          <w:sz w:val="20"/>
          <w:szCs w:val="20"/>
        </w:rPr>
        <w:t>structurelle.</w:t>
      </w:r>
      <w:r w:rsidR="00DB1635" w:rsidRPr="00B004EE">
        <w:rPr>
          <w:rFonts w:ascii="Tahoma" w:hAnsi="Tahoma" w:cs="Tahoma"/>
          <w:sz w:val="20"/>
          <w:szCs w:val="20"/>
        </w:rPr>
        <w:t xml:space="preserve"> </w:t>
      </w:r>
      <w:r w:rsidRPr="00B004EE">
        <w:rPr>
          <w:rFonts w:ascii="Tahoma" w:hAnsi="Tahoma" w:cs="Tahoma"/>
          <w:sz w:val="20"/>
          <w:szCs w:val="20"/>
        </w:rPr>
        <w:t>Ces</w:t>
      </w:r>
      <w:r w:rsidR="00DB1635" w:rsidRPr="00B004EE">
        <w:rPr>
          <w:rFonts w:ascii="Tahoma" w:hAnsi="Tahoma" w:cs="Tahoma"/>
          <w:sz w:val="20"/>
          <w:szCs w:val="20"/>
        </w:rPr>
        <w:t xml:space="preserve"> </w:t>
      </w:r>
      <w:r w:rsidRPr="00B004EE">
        <w:rPr>
          <w:rFonts w:ascii="Tahoma" w:hAnsi="Tahoma" w:cs="Tahoma"/>
          <w:sz w:val="20"/>
          <w:szCs w:val="20"/>
        </w:rPr>
        <w:t>visites</w:t>
      </w:r>
      <w:r w:rsidR="00DB1635" w:rsidRPr="00B004EE">
        <w:rPr>
          <w:rFonts w:ascii="Tahoma" w:hAnsi="Tahoma" w:cs="Tahoma"/>
          <w:sz w:val="20"/>
          <w:szCs w:val="20"/>
        </w:rPr>
        <w:t xml:space="preserve"> </w:t>
      </w:r>
      <w:r w:rsidRPr="00B004EE">
        <w:rPr>
          <w:rFonts w:ascii="Tahoma" w:hAnsi="Tahoma" w:cs="Tahoma"/>
          <w:sz w:val="20"/>
          <w:szCs w:val="20"/>
        </w:rPr>
        <w:t>peuvent</w:t>
      </w:r>
      <w:r w:rsidR="00DB1635" w:rsidRPr="00B004EE">
        <w:rPr>
          <w:rFonts w:ascii="Tahoma" w:hAnsi="Tahoma" w:cs="Tahoma"/>
          <w:sz w:val="20"/>
          <w:szCs w:val="20"/>
        </w:rPr>
        <w:t xml:space="preserve"> </w:t>
      </w:r>
      <w:r w:rsidRPr="00B004EE">
        <w:rPr>
          <w:rFonts w:ascii="Tahoma" w:hAnsi="Tahoma" w:cs="Tahoma"/>
          <w:sz w:val="20"/>
          <w:szCs w:val="20"/>
        </w:rPr>
        <w:t>avoir</w:t>
      </w:r>
      <w:r w:rsidR="00DB1635" w:rsidRPr="00B004EE">
        <w:rPr>
          <w:rFonts w:ascii="Tahoma" w:hAnsi="Tahoma" w:cs="Tahoma"/>
          <w:sz w:val="20"/>
          <w:szCs w:val="20"/>
        </w:rPr>
        <w:t xml:space="preserve"> </w:t>
      </w:r>
      <w:r w:rsidRPr="00B004EE">
        <w:rPr>
          <w:rFonts w:ascii="Tahoma" w:hAnsi="Tahoma" w:cs="Tahoma"/>
          <w:sz w:val="20"/>
          <w:szCs w:val="20"/>
        </w:rPr>
        <w:t>lieu</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bord</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tant</w:t>
      </w:r>
      <w:r w:rsidR="00DB1635" w:rsidRPr="00B004EE">
        <w:rPr>
          <w:rFonts w:ascii="Tahoma" w:hAnsi="Tahoma" w:cs="Tahoma"/>
          <w:sz w:val="20"/>
          <w:szCs w:val="20"/>
        </w:rPr>
        <w:t xml:space="preserve"> </w:t>
      </w:r>
      <w:r w:rsidRPr="00B004EE">
        <w:rPr>
          <w:rFonts w:ascii="Tahoma" w:hAnsi="Tahoma" w:cs="Tahoma"/>
          <w:sz w:val="20"/>
          <w:szCs w:val="20"/>
        </w:rPr>
        <w:t>que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besoin.</w:t>
      </w:r>
    </w:p>
    <w:p w14:paraId="2B4D9B7D" w14:textId="77777777" w:rsidR="002F24E1" w:rsidRPr="00B004EE" w:rsidRDefault="002F24E1" w:rsidP="00B004EE">
      <w:pPr>
        <w:jc w:val="both"/>
        <w:rPr>
          <w:rFonts w:ascii="Tahoma" w:hAnsi="Tahoma" w:cs="Tahoma"/>
          <w:sz w:val="20"/>
          <w:szCs w:val="20"/>
        </w:rPr>
      </w:pPr>
    </w:p>
    <w:p w14:paraId="5B52C17B" w14:textId="707BDA04" w:rsidR="002F24E1" w:rsidRPr="00B004EE" w:rsidRDefault="002F24E1" w:rsidP="00B004EE">
      <w:pPr>
        <w:autoSpaceDE w:val="0"/>
        <w:autoSpaceDN w:val="0"/>
        <w:adjustRightInd w:val="0"/>
        <w:jc w:val="both"/>
        <w:rPr>
          <w:rFonts w:ascii="Tahoma" w:hAnsi="Tahoma" w:cs="Tahoma"/>
          <w:sz w:val="20"/>
          <w:szCs w:val="20"/>
        </w:rPr>
      </w:pPr>
      <w:r w:rsidRPr="00B004EE">
        <w:rPr>
          <w:rFonts w:ascii="Tahoma" w:hAnsi="Tahoma" w:cs="Tahoma"/>
          <w:sz w:val="20"/>
          <w:szCs w:val="20"/>
        </w:rPr>
        <w:t>Article</w:t>
      </w:r>
      <w:r w:rsidR="00DB1635" w:rsidRPr="00B004EE">
        <w:rPr>
          <w:rFonts w:ascii="Tahoma" w:hAnsi="Tahoma" w:cs="Tahoma"/>
          <w:sz w:val="20"/>
          <w:szCs w:val="20"/>
        </w:rPr>
        <w:t xml:space="preserve"> </w:t>
      </w:r>
      <w:r w:rsidRPr="00B004EE">
        <w:rPr>
          <w:rFonts w:ascii="Tahoma" w:hAnsi="Tahoma" w:cs="Tahoma"/>
          <w:sz w:val="20"/>
          <w:szCs w:val="20"/>
        </w:rPr>
        <w:t>25</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Sanctions</w:t>
      </w:r>
    </w:p>
    <w:p w14:paraId="10D578EF" w14:textId="13FFB50F" w:rsidR="002F24E1" w:rsidRPr="00B004EE" w:rsidRDefault="002F24E1" w:rsidP="00B004EE">
      <w:pPr>
        <w:autoSpaceDE w:val="0"/>
        <w:autoSpaceDN w:val="0"/>
        <w:adjustRightInd w:val="0"/>
        <w:jc w:val="both"/>
        <w:rPr>
          <w:rFonts w:ascii="Tahoma" w:hAnsi="Tahoma" w:cs="Tahoma"/>
          <w:sz w:val="20"/>
          <w:szCs w:val="20"/>
        </w:rPr>
      </w:pP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infractions</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présent</w:t>
      </w:r>
      <w:r w:rsidR="00DB1635" w:rsidRPr="00B004EE">
        <w:rPr>
          <w:rFonts w:ascii="Tahoma" w:hAnsi="Tahoma" w:cs="Tahoma"/>
          <w:sz w:val="20"/>
          <w:szCs w:val="20"/>
        </w:rPr>
        <w:t xml:space="preserve"> </w:t>
      </w:r>
      <w:r w:rsidRPr="00B004EE">
        <w:rPr>
          <w:rFonts w:ascii="Tahoma" w:hAnsi="Tahoma" w:cs="Tahoma"/>
          <w:sz w:val="20"/>
          <w:szCs w:val="20"/>
        </w:rPr>
        <w:t>arrêté</w:t>
      </w:r>
      <w:r w:rsidR="00DB1635" w:rsidRPr="00B004EE">
        <w:rPr>
          <w:rFonts w:ascii="Tahoma" w:hAnsi="Tahoma" w:cs="Tahoma"/>
          <w:sz w:val="20"/>
          <w:szCs w:val="20"/>
        </w:rPr>
        <w:t xml:space="preserve"> </w:t>
      </w:r>
      <w:r w:rsidRPr="00B004EE">
        <w:rPr>
          <w:rFonts w:ascii="Tahoma" w:hAnsi="Tahoma" w:cs="Tahoma"/>
          <w:sz w:val="20"/>
          <w:szCs w:val="20"/>
        </w:rPr>
        <w:t>seront</w:t>
      </w:r>
      <w:r w:rsidR="00DB1635" w:rsidRPr="00B004EE">
        <w:rPr>
          <w:rFonts w:ascii="Tahoma" w:hAnsi="Tahoma" w:cs="Tahoma"/>
          <w:sz w:val="20"/>
          <w:szCs w:val="20"/>
        </w:rPr>
        <w:t xml:space="preserve"> </w:t>
      </w:r>
      <w:r w:rsidRPr="00B004EE">
        <w:rPr>
          <w:rFonts w:ascii="Tahoma" w:hAnsi="Tahoma" w:cs="Tahoma"/>
          <w:sz w:val="20"/>
          <w:szCs w:val="20"/>
        </w:rPr>
        <w:t>punies</w:t>
      </w:r>
      <w:r w:rsidR="00DB1635" w:rsidRPr="00B004EE">
        <w:rPr>
          <w:rFonts w:ascii="Tahoma" w:hAnsi="Tahoma" w:cs="Tahoma"/>
          <w:sz w:val="20"/>
          <w:szCs w:val="20"/>
        </w:rPr>
        <w:t xml:space="preserve"> </w:t>
      </w:r>
      <w:r w:rsidRPr="00B004EE">
        <w:rPr>
          <w:rFonts w:ascii="Tahoma" w:hAnsi="Tahoma" w:cs="Tahoma"/>
          <w:sz w:val="20"/>
          <w:szCs w:val="20"/>
        </w:rPr>
        <w:t>conformément</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dispositions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l’article</w:t>
      </w:r>
      <w:r w:rsidR="00DB1635" w:rsidRPr="00B004EE">
        <w:rPr>
          <w:rFonts w:ascii="Tahoma" w:hAnsi="Tahoma" w:cs="Tahoma"/>
          <w:sz w:val="20"/>
          <w:szCs w:val="20"/>
        </w:rPr>
        <w:t xml:space="preserve"> </w:t>
      </w:r>
      <w:r w:rsidRPr="00B004EE">
        <w:rPr>
          <w:rFonts w:ascii="Tahoma" w:hAnsi="Tahoma" w:cs="Tahoma"/>
          <w:sz w:val="20"/>
          <w:szCs w:val="20"/>
        </w:rPr>
        <w:t>72</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loi</w:t>
      </w:r>
      <w:r w:rsidR="00DB1635" w:rsidRPr="00B004EE">
        <w:rPr>
          <w:rFonts w:ascii="Tahoma" w:hAnsi="Tahoma" w:cs="Tahoma"/>
          <w:sz w:val="20"/>
          <w:szCs w:val="20"/>
        </w:rPr>
        <w:t xml:space="preserve"> </w:t>
      </w:r>
      <w:r w:rsidRPr="00B004EE">
        <w:rPr>
          <w:rFonts w:ascii="Tahoma" w:hAnsi="Tahoma" w:cs="Tahoma"/>
          <w:sz w:val="20"/>
          <w:szCs w:val="20"/>
        </w:rPr>
        <w:t>n°</w:t>
      </w:r>
      <w:r w:rsidR="00DB1635" w:rsidRPr="00B004EE">
        <w:rPr>
          <w:rFonts w:ascii="Tahoma" w:hAnsi="Tahoma" w:cs="Tahoma"/>
          <w:sz w:val="20"/>
          <w:szCs w:val="20"/>
        </w:rPr>
        <w:t xml:space="preserve"> </w:t>
      </w:r>
      <w:r w:rsidRPr="00B004EE">
        <w:rPr>
          <w:rFonts w:ascii="Tahoma" w:hAnsi="Tahoma" w:cs="Tahoma"/>
          <w:sz w:val="20"/>
          <w:szCs w:val="20"/>
        </w:rPr>
        <w:t>2000-025</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24</w:t>
      </w:r>
      <w:r w:rsidR="00DB1635" w:rsidRPr="00B004EE">
        <w:rPr>
          <w:rFonts w:ascii="Tahoma" w:hAnsi="Tahoma" w:cs="Tahoma"/>
          <w:sz w:val="20"/>
          <w:szCs w:val="20"/>
        </w:rPr>
        <w:t xml:space="preserve"> </w:t>
      </w:r>
      <w:r w:rsidRPr="00B004EE">
        <w:rPr>
          <w:rFonts w:ascii="Tahoma" w:hAnsi="Tahoma" w:cs="Tahoma"/>
          <w:sz w:val="20"/>
          <w:szCs w:val="20"/>
        </w:rPr>
        <w:t>janvier</w:t>
      </w:r>
      <w:r w:rsidR="00DB1635" w:rsidRPr="00B004EE">
        <w:rPr>
          <w:rFonts w:ascii="Tahoma" w:hAnsi="Tahoma" w:cs="Tahoma"/>
          <w:sz w:val="20"/>
          <w:szCs w:val="20"/>
        </w:rPr>
        <w:t xml:space="preserve"> </w:t>
      </w:r>
      <w:r w:rsidRPr="00B004EE">
        <w:rPr>
          <w:rFonts w:ascii="Tahoma" w:hAnsi="Tahoma" w:cs="Tahoma"/>
          <w:sz w:val="20"/>
          <w:szCs w:val="20"/>
        </w:rPr>
        <w:t>2000</w:t>
      </w:r>
      <w:r w:rsidR="00DB1635" w:rsidRPr="00B004EE">
        <w:rPr>
          <w:rFonts w:ascii="Tahoma" w:hAnsi="Tahoma" w:cs="Tahoma"/>
          <w:sz w:val="20"/>
          <w:szCs w:val="20"/>
        </w:rPr>
        <w:t xml:space="preserve"> </w:t>
      </w:r>
      <w:r w:rsidRPr="00B004EE">
        <w:rPr>
          <w:rFonts w:ascii="Tahoma" w:hAnsi="Tahoma" w:cs="Tahoma"/>
          <w:sz w:val="20"/>
          <w:szCs w:val="20"/>
        </w:rPr>
        <w:t>portant</w:t>
      </w:r>
      <w:r w:rsidR="00DB1635" w:rsidRPr="00B004EE">
        <w:rPr>
          <w:rFonts w:ascii="Tahoma" w:hAnsi="Tahoma" w:cs="Tahoma"/>
          <w:sz w:val="20"/>
          <w:szCs w:val="20"/>
        </w:rPr>
        <w:t xml:space="preserve"> </w:t>
      </w:r>
      <w:r w:rsidRPr="00B004EE">
        <w:rPr>
          <w:rFonts w:ascii="Tahoma" w:hAnsi="Tahoma" w:cs="Tahoma"/>
          <w:sz w:val="20"/>
          <w:szCs w:val="20"/>
        </w:rPr>
        <w:t>Code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p>
    <w:p w14:paraId="688D15DB" w14:textId="77777777" w:rsidR="002F24E1" w:rsidRPr="00B004EE" w:rsidRDefault="002F24E1" w:rsidP="00B004EE">
      <w:pPr>
        <w:autoSpaceDE w:val="0"/>
        <w:autoSpaceDN w:val="0"/>
        <w:adjustRightInd w:val="0"/>
        <w:jc w:val="both"/>
        <w:rPr>
          <w:rFonts w:ascii="Tahoma" w:hAnsi="Tahoma" w:cs="Tahoma"/>
          <w:sz w:val="20"/>
          <w:szCs w:val="20"/>
        </w:rPr>
      </w:pPr>
    </w:p>
    <w:p w14:paraId="078C52C5" w14:textId="31786A47" w:rsidR="002F24E1" w:rsidRPr="00B004EE" w:rsidRDefault="002F24E1" w:rsidP="00B004EE">
      <w:pPr>
        <w:tabs>
          <w:tab w:val="left" w:pos="567"/>
        </w:tabs>
        <w:jc w:val="center"/>
        <w:rPr>
          <w:rFonts w:ascii="Tahoma" w:hAnsi="Tahoma" w:cs="Tahoma"/>
          <w:b/>
          <w:sz w:val="20"/>
          <w:szCs w:val="20"/>
        </w:rPr>
      </w:pPr>
      <w:r w:rsidRPr="00B004EE">
        <w:rPr>
          <w:rFonts w:ascii="Tahoma" w:hAnsi="Tahoma" w:cs="Tahoma"/>
          <w:b/>
          <w:sz w:val="20"/>
          <w:szCs w:val="20"/>
        </w:rPr>
        <w:t>CHAPITRE</w:t>
      </w:r>
      <w:r w:rsidR="00DB1635" w:rsidRPr="00B004EE">
        <w:rPr>
          <w:rFonts w:ascii="Tahoma" w:hAnsi="Tahoma" w:cs="Tahoma"/>
          <w:b/>
          <w:sz w:val="20"/>
          <w:szCs w:val="20"/>
        </w:rPr>
        <w:t xml:space="preserve"> </w:t>
      </w:r>
      <w:r w:rsidRPr="00B004EE">
        <w:rPr>
          <w:rFonts w:ascii="Tahoma" w:hAnsi="Tahoma" w:cs="Tahoma"/>
          <w:b/>
          <w:sz w:val="20"/>
          <w:szCs w:val="20"/>
        </w:rPr>
        <w:t>IV–</w:t>
      </w:r>
      <w:r w:rsidR="00DB1635" w:rsidRPr="00B004EE">
        <w:rPr>
          <w:rFonts w:ascii="Tahoma" w:hAnsi="Tahoma" w:cs="Tahoma"/>
          <w:b/>
          <w:sz w:val="20"/>
          <w:szCs w:val="20"/>
        </w:rPr>
        <w:t xml:space="preserve"> </w:t>
      </w:r>
      <w:r w:rsidRPr="00B004EE">
        <w:rPr>
          <w:rFonts w:ascii="Tahoma" w:hAnsi="Tahoma" w:cs="Tahoma"/>
          <w:b/>
          <w:sz w:val="20"/>
          <w:szCs w:val="20"/>
        </w:rPr>
        <w:t>DISPOSITIONS</w:t>
      </w:r>
      <w:r w:rsidR="00DB1635" w:rsidRPr="00B004EE">
        <w:rPr>
          <w:rFonts w:ascii="Tahoma" w:hAnsi="Tahoma" w:cs="Tahoma"/>
          <w:b/>
          <w:sz w:val="20"/>
          <w:szCs w:val="20"/>
        </w:rPr>
        <w:t xml:space="preserve"> </w:t>
      </w:r>
      <w:r w:rsidRPr="00B004EE">
        <w:rPr>
          <w:rFonts w:ascii="Tahoma" w:hAnsi="Tahoma" w:cs="Tahoma"/>
          <w:b/>
          <w:sz w:val="20"/>
          <w:szCs w:val="20"/>
        </w:rPr>
        <w:t>FINALES</w:t>
      </w:r>
    </w:p>
    <w:p w14:paraId="2D500BBC" w14:textId="77777777" w:rsidR="002F24E1" w:rsidRPr="00B004EE" w:rsidRDefault="002F24E1" w:rsidP="00B004EE">
      <w:pPr>
        <w:autoSpaceDE w:val="0"/>
        <w:autoSpaceDN w:val="0"/>
        <w:adjustRightInd w:val="0"/>
        <w:jc w:val="both"/>
        <w:rPr>
          <w:rFonts w:ascii="Tahoma" w:hAnsi="Tahoma" w:cs="Tahoma"/>
          <w:sz w:val="20"/>
          <w:szCs w:val="20"/>
        </w:rPr>
      </w:pPr>
    </w:p>
    <w:p w14:paraId="72DEFFAA" w14:textId="6BDA8FE6" w:rsidR="002F24E1" w:rsidRPr="00B004EE" w:rsidRDefault="002F24E1" w:rsidP="00B004EE">
      <w:pPr>
        <w:autoSpaceDE w:val="0"/>
        <w:autoSpaceDN w:val="0"/>
        <w:adjustRightInd w:val="0"/>
        <w:jc w:val="both"/>
        <w:rPr>
          <w:rFonts w:ascii="Tahoma" w:hAnsi="Tahoma" w:cs="Tahoma"/>
          <w:sz w:val="20"/>
          <w:szCs w:val="20"/>
        </w:rPr>
      </w:pPr>
      <w:r w:rsidRPr="00B004EE">
        <w:rPr>
          <w:rFonts w:ascii="Tahoma" w:hAnsi="Tahoma" w:cs="Tahoma"/>
          <w:sz w:val="20"/>
          <w:szCs w:val="20"/>
        </w:rPr>
        <w:t>Article</w:t>
      </w:r>
      <w:r w:rsidR="00DB1635" w:rsidRPr="00B004EE">
        <w:rPr>
          <w:rFonts w:ascii="Tahoma" w:hAnsi="Tahoma" w:cs="Tahoma"/>
          <w:sz w:val="20"/>
          <w:szCs w:val="20"/>
        </w:rPr>
        <w:t xml:space="preserve"> </w:t>
      </w:r>
      <w:r w:rsidR="007161D7" w:rsidRPr="00B004EE">
        <w:rPr>
          <w:rFonts w:ascii="Tahoma" w:hAnsi="Tahoma" w:cs="Tahoma"/>
          <w:sz w:val="20"/>
          <w:szCs w:val="20"/>
        </w:rPr>
        <w:t>26 :</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abrogées</w:t>
      </w:r>
      <w:r w:rsidR="00DB1635" w:rsidRPr="00B004EE">
        <w:rPr>
          <w:rFonts w:ascii="Tahoma" w:hAnsi="Tahoma" w:cs="Tahoma"/>
          <w:sz w:val="20"/>
          <w:szCs w:val="20"/>
        </w:rPr>
        <w:t xml:space="preserve"> </w:t>
      </w:r>
      <w:r w:rsidRPr="00B004EE">
        <w:rPr>
          <w:rFonts w:ascii="Tahoma" w:hAnsi="Tahoma" w:cs="Tahoma"/>
          <w:sz w:val="20"/>
          <w:szCs w:val="20"/>
        </w:rPr>
        <w:t>toutes</w:t>
      </w:r>
      <w:r w:rsidR="00DB1635" w:rsidRPr="00B004EE">
        <w:rPr>
          <w:rFonts w:ascii="Tahoma" w:hAnsi="Tahoma" w:cs="Tahoma"/>
          <w:sz w:val="20"/>
          <w:szCs w:val="20"/>
        </w:rPr>
        <w:t xml:space="preserve"> </w:t>
      </w:r>
      <w:r w:rsidRPr="00B004EE">
        <w:rPr>
          <w:rFonts w:ascii="Tahoma" w:hAnsi="Tahoma" w:cs="Tahoma"/>
          <w:sz w:val="20"/>
          <w:szCs w:val="20"/>
        </w:rPr>
        <w:t>dispositions</w:t>
      </w:r>
      <w:r w:rsidR="00DB1635" w:rsidRPr="00B004EE">
        <w:rPr>
          <w:rFonts w:ascii="Tahoma" w:hAnsi="Tahoma" w:cs="Tahoma"/>
          <w:sz w:val="20"/>
          <w:szCs w:val="20"/>
        </w:rPr>
        <w:t xml:space="preserve"> </w:t>
      </w:r>
      <w:r w:rsidRPr="00B004EE">
        <w:rPr>
          <w:rFonts w:ascii="Tahoma" w:hAnsi="Tahoma" w:cs="Tahoma"/>
          <w:sz w:val="20"/>
          <w:szCs w:val="20"/>
        </w:rPr>
        <w:t>antérieures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notamment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arrêtés</w:t>
      </w:r>
      <w:r w:rsidR="00DB1635" w:rsidRPr="00B004EE">
        <w:rPr>
          <w:rFonts w:ascii="Tahoma" w:hAnsi="Tahoma" w:cs="Tahoma"/>
          <w:sz w:val="20"/>
          <w:szCs w:val="20"/>
        </w:rPr>
        <w:t xml:space="preserve"> </w:t>
      </w:r>
      <w:r w:rsidRPr="00B004EE">
        <w:rPr>
          <w:rFonts w:ascii="Tahoma" w:hAnsi="Tahoma" w:cs="Tahoma"/>
          <w:sz w:val="20"/>
          <w:szCs w:val="20"/>
        </w:rPr>
        <w:t>conjoints</w:t>
      </w:r>
      <w:r w:rsidR="00DB1635" w:rsidRPr="00B004EE">
        <w:rPr>
          <w:rFonts w:ascii="Tahoma" w:hAnsi="Tahoma" w:cs="Tahoma"/>
          <w:sz w:val="20"/>
          <w:szCs w:val="20"/>
        </w:rPr>
        <w:t xml:space="preserve"> </w:t>
      </w:r>
      <w:r w:rsidRPr="00B004EE">
        <w:rPr>
          <w:rFonts w:ascii="Tahoma" w:hAnsi="Tahoma" w:cs="Tahoma"/>
          <w:sz w:val="20"/>
          <w:szCs w:val="20"/>
        </w:rPr>
        <w:t>d’application</w:t>
      </w:r>
      <w:r w:rsidR="00DB1635" w:rsidRPr="00B004EE">
        <w:rPr>
          <w:rFonts w:ascii="Tahoma" w:hAnsi="Tahoma" w:cs="Tahoma"/>
          <w:sz w:val="20"/>
          <w:szCs w:val="20"/>
        </w:rPr>
        <w:t xml:space="preserve"> </w:t>
      </w:r>
      <w:r w:rsidRPr="00B004EE">
        <w:rPr>
          <w:rFonts w:ascii="Tahoma" w:hAnsi="Tahoma" w:cs="Tahoma"/>
          <w:sz w:val="20"/>
          <w:szCs w:val="20"/>
        </w:rPr>
        <w:t>n°</w:t>
      </w:r>
      <w:r w:rsidR="00DB1635" w:rsidRPr="00B004EE">
        <w:rPr>
          <w:rFonts w:ascii="Tahoma" w:hAnsi="Tahoma" w:cs="Tahoma"/>
          <w:sz w:val="20"/>
          <w:szCs w:val="20"/>
        </w:rPr>
        <w:t xml:space="preserve"> </w:t>
      </w:r>
      <w:r w:rsidRPr="00B004EE">
        <w:rPr>
          <w:rFonts w:ascii="Tahoma" w:hAnsi="Tahoma" w:cs="Tahoma"/>
          <w:sz w:val="20"/>
          <w:szCs w:val="20"/>
        </w:rPr>
        <w:t>1058</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1059</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17</w:t>
      </w:r>
      <w:r w:rsidR="00DB1635" w:rsidRPr="00B004EE">
        <w:rPr>
          <w:rFonts w:ascii="Tahoma" w:hAnsi="Tahoma" w:cs="Tahoma"/>
          <w:sz w:val="20"/>
          <w:szCs w:val="20"/>
        </w:rPr>
        <w:t xml:space="preserve"> </w:t>
      </w:r>
      <w:r w:rsidRPr="00B004EE">
        <w:rPr>
          <w:rFonts w:ascii="Tahoma" w:hAnsi="Tahoma" w:cs="Tahoma"/>
          <w:sz w:val="20"/>
          <w:szCs w:val="20"/>
        </w:rPr>
        <w:t>novembre</w:t>
      </w:r>
      <w:r w:rsidR="00DB1635" w:rsidRPr="00B004EE">
        <w:rPr>
          <w:rFonts w:ascii="Tahoma" w:hAnsi="Tahoma" w:cs="Tahoma"/>
          <w:sz w:val="20"/>
          <w:szCs w:val="20"/>
        </w:rPr>
        <w:t xml:space="preserve"> </w:t>
      </w:r>
      <w:r w:rsidRPr="00B004EE">
        <w:rPr>
          <w:rFonts w:ascii="Tahoma" w:hAnsi="Tahoma" w:cs="Tahoma"/>
          <w:sz w:val="20"/>
          <w:szCs w:val="20"/>
        </w:rPr>
        <w:t>2005.</w:t>
      </w:r>
    </w:p>
    <w:p w14:paraId="70030AD3" w14:textId="77777777" w:rsidR="002F24E1" w:rsidRPr="00B004EE" w:rsidRDefault="002F24E1" w:rsidP="00B004EE">
      <w:pPr>
        <w:autoSpaceDE w:val="0"/>
        <w:autoSpaceDN w:val="0"/>
        <w:adjustRightInd w:val="0"/>
        <w:jc w:val="both"/>
        <w:rPr>
          <w:rFonts w:ascii="Tahoma" w:hAnsi="Tahoma" w:cs="Tahoma"/>
          <w:sz w:val="20"/>
          <w:szCs w:val="20"/>
        </w:rPr>
      </w:pPr>
    </w:p>
    <w:p w14:paraId="3FC33A69" w14:textId="3E77077A" w:rsidR="002F24E1" w:rsidRPr="00B004EE" w:rsidRDefault="002F24E1" w:rsidP="00B004EE">
      <w:pPr>
        <w:jc w:val="both"/>
        <w:rPr>
          <w:rFonts w:ascii="Tahoma" w:hAnsi="Tahoma" w:cs="Tahoma"/>
          <w:sz w:val="20"/>
          <w:szCs w:val="20"/>
        </w:rPr>
      </w:pPr>
      <w:r w:rsidRPr="00B004EE">
        <w:rPr>
          <w:rFonts w:ascii="Tahoma" w:hAnsi="Tahoma" w:cs="Tahoma"/>
          <w:sz w:val="20"/>
          <w:szCs w:val="20"/>
        </w:rPr>
        <w:t>Article</w:t>
      </w:r>
      <w:r w:rsidR="00DB1635" w:rsidRPr="00B004EE">
        <w:rPr>
          <w:rFonts w:ascii="Tahoma" w:hAnsi="Tahoma" w:cs="Tahoma"/>
          <w:sz w:val="20"/>
          <w:szCs w:val="20"/>
        </w:rPr>
        <w:t xml:space="preserve"> </w:t>
      </w:r>
      <w:r w:rsidR="007161D7" w:rsidRPr="00B004EE">
        <w:rPr>
          <w:rFonts w:ascii="Tahoma" w:hAnsi="Tahoma" w:cs="Tahoma"/>
          <w:sz w:val="20"/>
          <w:szCs w:val="20"/>
        </w:rPr>
        <w:t>27 :</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Secrétaire</w:t>
      </w:r>
      <w:r w:rsidR="00DB1635" w:rsidRPr="00B004EE">
        <w:rPr>
          <w:rFonts w:ascii="Tahoma" w:hAnsi="Tahoma" w:cs="Tahoma"/>
          <w:sz w:val="20"/>
          <w:szCs w:val="20"/>
        </w:rPr>
        <w:t xml:space="preserve"> </w:t>
      </w:r>
      <w:r w:rsidRPr="00B004EE">
        <w:rPr>
          <w:rFonts w:ascii="Tahoma" w:hAnsi="Tahoma" w:cs="Tahoma"/>
          <w:sz w:val="20"/>
          <w:szCs w:val="20"/>
        </w:rPr>
        <w:t>Général</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Ministère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l’Economie</w:t>
      </w:r>
      <w:r w:rsidR="00DB1635" w:rsidRPr="00B004EE">
        <w:rPr>
          <w:rFonts w:ascii="Tahoma" w:hAnsi="Tahoma" w:cs="Tahoma"/>
          <w:sz w:val="20"/>
          <w:szCs w:val="20"/>
        </w:rPr>
        <w:t xml:space="preserve"> </w:t>
      </w:r>
      <w:r w:rsidRPr="00B004EE">
        <w:rPr>
          <w:rFonts w:ascii="Tahoma" w:hAnsi="Tahoma" w:cs="Tahoma"/>
          <w:sz w:val="20"/>
          <w:szCs w:val="20"/>
        </w:rPr>
        <w:t>Maritime,</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Secrétaire</w:t>
      </w:r>
      <w:r w:rsidR="00DB1635" w:rsidRPr="00B004EE">
        <w:rPr>
          <w:rFonts w:ascii="Tahoma" w:hAnsi="Tahoma" w:cs="Tahoma"/>
          <w:sz w:val="20"/>
          <w:szCs w:val="20"/>
        </w:rPr>
        <w:t xml:space="preserve"> </w:t>
      </w:r>
      <w:r w:rsidRPr="00B004EE">
        <w:rPr>
          <w:rFonts w:ascii="Tahoma" w:hAnsi="Tahoma" w:cs="Tahoma"/>
          <w:sz w:val="20"/>
          <w:szCs w:val="20"/>
        </w:rPr>
        <w:t>Général</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Ministre</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Commerce,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l’Artisanat</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Tourisme,</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Secrétaire</w:t>
      </w:r>
      <w:r w:rsidR="00DB1635" w:rsidRPr="00B004EE">
        <w:rPr>
          <w:rFonts w:ascii="Tahoma" w:hAnsi="Tahoma" w:cs="Tahoma"/>
          <w:sz w:val="20"/>
          <w:szCs w:val="20"/>
        </w:rPr>
        <w:t xml:space="preserve"> </w:t>
      </w:r>
      <w:r w:rsidRPr="00B004EE">
        <w:rPr>
          <w:rFonts w:ascii="Tahoma" w:hAnsi="Tahoma" w:cs="Tahoma"/>
          <w:sz w:val="20"/>
          <w:szCs w:val="20"/>
        </w:rPr>
        <w:t>Général</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Ministre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Santé</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Affaires</w:t>
      </w:r>
      <w:r w:rsidR="00DB1635" w:rsidRPr="00B004EE">
        <w:rPr>
          <w:rFonts w:ascii="Tahoma" w:hAnsi="Tahoma" w:cs="Tahoma"/>
          <w:sz w:val="20"/>
          <w:szCs w:val="20"/>
        </w:rPr>
        <w:t xml:space="preserve"> </w:t>
      </w:r>
      <w:r w:rsidRPr="00B004EE">
        <w:rPr>
          <w:rFonts w:ascii="Tahoma" w:hAnsi="Tahoma" w:cs="Tahoma"/>
          <w:sz w:val="20"/>
          <w:szCs w:val="20"/>
        </w:rPr>
        <w:t>Sociales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Directeur</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Cabinet</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Secrétaire</w:t>
      </w:r>
      <w:r w:rsidR="00DB1635" w:rsidRPr="00B004EE">
        <w:rPr>
          <w:rFonts w:ascii="Tahoma" w:hAnsi="Tahoma" w:cs="Tahoma"/>
          <w:sz w:val="20"/>
          <w:szCs w:val="20"/>
        </w:rPr>
        <w:t xml:space="preserve"> </w:t>
      </w:r>
      <w:r w:rsidRPr="00B004EE">
        <w:rPr>
          <w:rFonts w:ascii="Tahoma" w:hAnsi="Tahoma" w:cs="Tahoma"/>
          <w:sz w:val="20"/>
          <w:szCs w:val="20"/>
        </w:rPr>
        <w:t>d’Etat</w:t>
      </w:r>
      <w:r w:rsidR="00DB1635" w:rsidRPr="00B004EE">
        <w:rPr>
          <w:rFonts w:ascii="Tahoma" w:hAnsi="Tahoma" w:cs="Tahoma"/>
          <w:sz w:val="20"/>
          <w:szCs w:val="20"/>
        </w:rPr>
        <w:t xml:space="preserve"> </w:t>
      </w:r>
      <w:r w:rsidRPr="00B004EE">
        <w:rPr>
          <w:rFonts w:ascii="Tahoma" w:hAnsi="Tahoma" w:cs="Tahoma"/>
          <w:sz w:val="20"/>
          <w:szCs w:val="20"/>
        </w:rPr>
        <w:t>auprès</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Premier</w:t>
      </w:r>
      <w:r w:rsidR="00DB1635" w:rsidRPr="00B004EE">
        <w:rPr>
          <w:rFonts w:ascii="Tahoma" w:hAnsi="Tahoma" w:cs="Tahoma"/>
          <w:sz w:val="20"/>
          <w:szCs w:val="20"/>
        </w:rPr>
        <w:t xml:space="preserve"> </w:t>
      </w:r>
      <w:r w:rsidRPr="00B004EE">
        <w:rPr>
          <w:rFonts w:ascii="Tahoma" w:hAnsi="Tahoma" w:cs="Tahoma"/>
          <w:sz w:val="20"/>
          <w:szCs w:val="20"/>
        </w:rPr>
        <w:t>Ministre</w:t>
      </w:r>
      <w:r w:rsidR="00DB1635" w:rsidRPr="00B004EE">
        <w:rPr>
          <w:rFonts w:ascii="Tahoma" w:hAnsi="Tahoma" w:cs="Tahoma"/>
          <w:sz w:val="20"/>
          <w:szCs w:val="20"/>
        </w:rPr>
        <w:t xml:space="preserve"> </w:t>
      </w:r>
      <w:r w:rsidRPr="00B004EE">
        <w:rPr>
          <w:rFonts w:ascii="Tahoma" w:hAnsi="Tahoma" w:cs="Tahoma"/>
          <w:sz w:val="20"/>
          <w:szCs w:val="20"/>
        </w:rPr>
        <w:t>chargé</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l’Environnement,</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chargés,</w:t>
      </w:r>
      <w:r w:rsidR="00DB1635" w:rsidRPr="00B004EE">
        <w:rPr>
          <w:rFonts w:ascii="Tahoma" w:hAnsi="Tahoma" w:cs="Tahoma"/>
          <w:sz w:val="20"/>
          <w:szCs w:val="20"/>
        </w:rPr>
        <w:t xml:space="preserve"> </w:t>
      </w:r>
      <w:r w:rsidRPr="00B004EE">
        <w:rPr>
          <w:rFonts w:ascii="Tahoma" w:hAnsi="Tahoma" w:cs="Tahoma"/>
          <w:sz w:val="20"/>
          <w:szCs w:val="20"/>
        </w:rPr>
        <w:t>chacun</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ce</w:t>
      </w:r>
      <w:r w:rsidR="00DB1635" w:rsidRPr="00B004EE">
        <w:rPr>
          <w:rFonts w:ascii="Tahoma" w:hAnsi="Tahoma" w:cs="Tahoma"/>
          <w:sz w:val="20"/>
          <w:szCs w:val="20"/>
        </w:rPr>
        <w:t xml:space="preserve"> </w:t>
      </w:r>
      <w:r w:rsidRPr="00B004EE">
        <w:rPr>
          <w:rFonts w:ascii="Tahoma" w:hAnsi="Tahoma" w:cs="Tahoma"/>
          <w:sz w:val="20"/>
          <w:szCs w:val="20"/>
        </w:rPr>
        <w:t>qui</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concerne,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l’exécution</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présent</w:t>
      </w:r>
      <w:r w:rsidR="00DB1635" w:rsidRPr="00B004EE">
        <w:rPr>
          <w:rFonts w:ascii="Tahoma" w:hAnsi="Tahoma" w:cs="Tahoma"/>
          <w:sz w:val="20"/>
          <w:szCs w:val="20"/>
        </w:rPr>
        <w:t xml:space="preserve"> </w:t>
      </w:r>
      <w:r w:rsidRPr="00B004EE">
        <w:rPr>
          <w:rFonts w:ascii="Tahoma" w:hAnsi="Tahoma" w:cs="Tahoma"/>
          <w:sz w:val="20"/>
          <w:szCs w:val="20"/>
        </w:rPr>
        <w:t>décret</w:t>
      </w:r>
      <w:r w:rsidR="00DB1635" w:rsidRPr="00B004EE">
        <w:rPr>
          <w:rFonts w:ascii="Tahoma" w:hAnsi="Tahoma" w:cs="Tahoma"/>
          <w:sz w:val="20"/>
          <w:szCs w:val="20"/>
        </w:rPr>
        <w:t xml:space="preserve"> </w:t>
      </w:r>
      <w:r w:rsidRPr="00B004EE">
        <w:rPr>
          <w:rFonts w:ascii="Tahoma" w:hAnsi="Tahoma" w:cs="Tahoma"/>
          <w:sz w:val="20"/>
          <w:szCs w:val="20"/>
        </w:rPr>
        <w:t>qui</w:t>
      </w:r>
      <w:r w:rsidR="00DB1635" w:rsidRPr="00B004EE">
        <w:rPr>
          <w:rFonts w:ascii="Tahoma" w:hAnsi="Tahoma" w:cs="Tahoma"/>
          <w:sz w:val="20"/>
          <w:szCs w:val="20"/>
        </w:rPr>
        <w:t xml:space="preserve"> </w:t>
      </w:r>
      <w:r w:rsidRPr="00B004EE">
        <w:rPr>
          <w:rFonts w:ascii="Tahoma" w:hAnsi="Tahoma" w:cs="Tahoma"/>
          <w:sz w:val="20"/>
          <w:szCs w:val="20"/>
        </w:rPr>
        <w:t>sera</w:t>
      </w:r>
      <w:r w:rsidR="00DB1635" w:rsidRPr="00B004EE">
        <w:rPr>
          <w:rFonts w:ascii="Tahoma" w:hAnsi="Tahoma" w:cs="Tahoma"/>
          <w:sz w:val="20"/>
          <w:szCs w:val="20"/>
        </w:rPr>
        <w:t xml:space="preserve"> </w:t>
      </w:r>
      <w:r w:rsidRPr="00B004EE">
        <w:rPr>
          <w:rFonts w:ascii="Tahoma" w:hAnsi="Tahoma" w:cs="Tahoma"/>
          <w:sz w:val="20"/>
          <w:szCs w:val="20"/>
        </w:rPr>
        <w:t>publié</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Journal</w:t>
      </w:r>
      <w:r w:rsidR="00DB1635" w:rsidRPr="00B004EE">
        <w:rPr>
          <w:rFonts w:ascii="Tahoma" w:hAnsi="Tahoma" w:cs="Tahoma"/>
          <w:sz w:val="20"/>
          <w:szCs w:val="20"/>
        </w:rPr>
        <w:t xml:space="preserve"> </w:t>
      </w:r>
      <w:r w:rsidRPr="00B004EE">
        <w:rPr>
          <w:rFonts w:ascii="Tahoma" w:hAnsi="Tahoma" w:cs="Tahoma"/>
          <w:sz w:val="20"/>
          <w:szCs w:val="20"/>
        </w:rPr>
        <w:t>Officiel.</w:t>
      </w:r>
    </w:p>
    <w:p w14:paraId="3FA4AE6D" w14:textId="4358BDC2" w:rsidR="002F24E1" w:rsidRPr="00B004EE" w:rsidRDefault="00011085" w:rsidP="00B004EE">
      <w:pPr>
        <w:tabs>
          <w:tab w:val="left" w:pos="567"/>
        </w:tabs>
        <w:jc w:val="right"/>
        <w:rPr>
          <w:rFonts w:ascii="Tahoma" w:hAnsi="Tahoma" w:cs="Tahoma"/>
          <w:sz w:val="20"/>
          <w:szCs w:val="20"/>
        </w:rPr>
      </w:pPr>
      <w:r w:rsidRPr="00B004EE">
        <w:rPr>
          <w:rFonts w:ascii="Tahoma" w:hAnsi="Tahoma" w:cs="Tahoma"/>
          <w:i/>
          <w:iCs/>
          <w:sz w:val="20"/>
          <w:szCs w:val="20"/>
        </w:rPr>
        <w:t>Fait</w:t>
      </w:r>
      <w:r w:rsidR="00DB1635" w:rsidRPr="00B004EE">
        <w:rPr>
          <w:rFonts w:ascii="Tahoma" w:hAnsi="Tahoma" w:cs="Tahoma"/>
          <w:i/>
          <w:iCs/>
          <w:sz w:val="20"/>
          <w:szCs w:val="20"/>
        </w:rPr>
        <w:t xml:space="preserve"> </w:t>
      </w:r>
      <w:r w:rsidRPr="00B004EE">
        <w:rPr>
          <w:rFonts w:ascii="Tahoma" w:hAnsi="Tahoma" w:cs="Tahoma"/>
          <w:i/>
          <w:iCs/>
          <w:sz w:val="20"/>
          <w:szCs w:val="20"/>
        </w:rPr>
        <w:t>à</w:t>
      </w:r>
      <w:r w:rsidR="00DB1635" w:rsidRPr="00B004EE">
        <w:rPr>
          <w:rFonts w:ascii="Tahoma" w:hAnsi="Tahoma" w:cs="Tahoma"/>
          <w:i/>
          <w:iCs/>
          <w:sz w:val="20"/>
          <w:szCs w:val="20"/>
        </w:rPr>
        <w:t xml:space="preserve"> </w:t>
      </w:r>
      <w:r w:rsidRPr="00B004EE">
        <w:rPr>
          <w:rFonts w:ascii="Tahoma" w:hAnsi="Tahoma" w:cs="Tahoma"/>
          <w:i/>
          <w:iCs/>
          <w:sz w:val="20"/>
          <w:szCs w:val="20"/>
        </w:rPr>
        <w:t>Nouakchott,</w:t>
      </w:r>
      <w:r w:rsidR="00DB1635" w:rsidRPr="00B004EE">
        <w:rPr>
          <w:rFonts w:ascii="Tahoma" w:hAnsi="Tahoma" w:cs="Tahoma"/>
          <w:i/>
          <w:iCs/>
          <w:sz w:val="20"/>
          <w:szCs w:val="20"/>
        </w:rPr>
        <w:t xml:space="preserve"> </w:t>
      </w:r>
      <w:r w:rsidRPr="00B004EE">
        <w:rPr>
          <w:rFonts w:ascii="Tahoma" w:hAnsi="Tahoma" w:cs="Tahoma"/>
          <w:i/>
          <w:iCs/>
          <w:sz w:val="20"/>
          <w:szCs w:val="20"/>
        </w:rPr>
        <w:t>le</w:t>
      </w:r>
      <w:r w:rsidR="00DB1635" w:rsidRPr="00B004EE">
        <w:rPr>
          <w:rFonts w:ascii="Tahoma" w:hAnsi="Tahoma" w:cs="Tahoma"/>
          <w:i/>
          <w:iCs/>
          <w:sz w:val="20"/>
          <w:szCs w:val="20"/>
        </w:rPr>
        <w:t xml:space="preserve"> </w:t>
      </w:r>
      <w:r w:rsidRPr="00B004EE">
        <w:rPr>
          <w:rFonts w:ascii="Tahoma" w:hAnsi="Tahoma" w:cs="Tahoma"/>
          <w:i/>
          <w:iCs/>
          <w:sz w:val="20"/>
          <w:szCs w:val="20"/>
        </w:rPr>
        <w:t>:</w:t>
      </w:r>
      <w:r w:rsidR="00DB1635" w:rsidRPr="00B004EE">
        <w:rPr>
          <w:rFonts w:ascii="Tahoma" w:hAnsi="Tahoma" w:cs="Tahoma"/>
          <w:sz w:val="20"/>
          <w:szCs w:val="20"/>
        </w:rPr>
        <w:t xml:space="preserve"> </w:t>
      </w:r>
      <w:r w:rsidRPr="00B004EE">
        <w:rPr>
          <w:rFonts w:ascii="Tahoma" w:hAnsi="Tahoma" w:cs="Tahoma"/>
          <w:sz w:val="20"/>
          <w:szCs w:val="20"/>
        </w:rPr>
        <w:t>16</w:t>
      </w:r>
      <w:r w:rsidR="00DB1635" w:rsidRPr="00B004EE">
        <w:rPr>
          <w:rFonts w:ascii="Tahoma" w:hAnsi="Tahoma" w:cs="Tahoma"/>
          <w:sz w:val="20"/>
          <w:szCs w:val="20"/>
        </w:rPr>
        <w:t xml:space="preserve"> </w:t>
      </w:r>
      <w:r w:rsidRPr="00B004EE">
        <w:rPr>
          <w:rFonts w:ascii="Tahoma" w:hAnsi="Tahoma" w:cs="Tahoma"/>
          <w:sz w:val="20"/>
          <w:szCs w:val="20"/>
        </w:rPr>
        <w:t>novembre</w:t>
      </w:r>
      <w:r w:rsidR="00DB1635" w:rsidRPr="00B004EE">
        <w:rPr>
          <w:rFonts w:ascii="Tahoma" w:hAnsi="Tahoma" w:cs="Tahoma"/>
          <w:sz w:val="20"/>
          <w:szCs w:val="20"/>
        </w:rPr>
        <w:t xml:space="preserve"> </w:t>
      </w:r>
      <w:r w:rsidRPr="00B004EE">
        <w:rPr>
          <w:rFonts w:ascii="Tahoma" w:hAnsi="Tahoma" w:cs="Tahoma"/>
          <w:sz w:val="20"/>
          <w:szCs w:val="20"/>
        </w:rPr>
        <w:t>2006</w:t>
      </w:r>
    </w:p>
    <w:p w14:paraId="3E748AD3" w14:textId="01A0D321" w:rsidR="00FF77A5" w:rsidRDefault="00FF77A5" w:rsidP="00B004EE">
      <w:pPr>
        <w:tabs>
          <w:tab w:val="left" w:pos="567"/>
        </w:tabs>
        <w:jc w:val="right"/>
        <w:rPr>
          <w:rFonts w:ascii="Tahoma" w:hAnsi="Tahoma" w:cs="Tahoma"/>
          <w:sz w:val="20"/>
          <w:szCs w:val="20"/>
        </w:rPr>
      </w:pPr>
    </w:p>
    <w:p w14:paraId="11D05250" w14:textId="0FBC169E" w:rsidR="00251373" w:rsidRDefault="00251373" w:rsidP="00B004EE">
      <w:pPr>
        <w:tabs>
          <w:tab w:val="left" w:pos="567"/>
        </w:tabs>
        <w:jc w:val="right"/>
        <w:rPr>
          <w:rFonts w:ascii="Tahoma" w:hAnsi="Tahoma" w:cs="Tahoma"/>
          <w:sz w:val="20"/>
          <w:szCs w:val="20"/>
        </w:rPr>
      </w:pPr>
    </w:p>
    <w:p w14:paraId="3DBC5B81" w14:textId="77777777" w:rsidR="00251373" w:rsidRPr="00B004EE" w:rsidRDefault="00251373" w:rsidP="00B004EE">
      <w:pPr>
        <w:tabs>
          <w:tab w:val="left" w:pos="567"/>
        </w:tabs>
        <w:jc w:val="right"/>
        <w:rPr>
          <w:rFonts w:ascii="Tahoma" w:hAnsi="Tahoma" w:cs="Tahoma"/>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4698"/>
      </w:tblGrid>
      <w:tr w:rsidR="00FF77A5" w:rsidRPr="00B004EE" w14:paraId="37665293" w14:textId="77777777" w:rsidTr="0024676E">
        <w:tc>
          <w:tcPr>
            <w:tcW w:w="4698" w:type="dxa"/>
          </w:tcPr>
          <w:p w14:paraId="5946B00C" w14:textId="77777777" w:rsidR="00FF77A5" w:rsidRPr="00B004EE" w:rsidRDefault="00FF77A5" w:rsidP="00B004EE">
            <w:pPr>
              <w:tabs>
                <w:tab w:val="left" w:pos="3143"/>
              </w:tabs>
              <w:autoSpaceDE w:val="0"/>
              <w:autoSpaceDN w:val="0"/>
              <w:adjustRightInd w:val="0"/>
              <w:ind w:left="35" w:right="1045"/>
              <w:jc w:val="center"/>
              <w:rPr>
                <w:rFonts w:ascii="Tahoma" w:hAnsi="Tahoma" w:cs="Tahoma"/>
              </w:rPr>
            </w:pPr>
            <w:r w:rsidRPr="00B004EE">
              <w:rPr>
                <w:rFonts w:ascii="Tahoma" w:hAnsi="Tahoma" w:cs="Tahoma"/>
              </w:rPr>
              <w:t>Le Ministre Des Pêches et de l’Economie Maritime</w:t>
            </w:r>
          </w:p>
        </w:tc>
        <w:tc>
          <w:tcPr>
            <w:tcW w:w="4698" w:type="dxa"/>
          </w:tcPr>
          <w:p w14:paraId="07DCA9AF" w14:textId="77777777" w:rsidR="00FF77A5" w:rsidRPr="00B004EE" w:rsidRDefault="00FF77A5" w:rsidP="00B004EE">
            <w:pPr>
              <w:tabs>
                <w:tab w:val="left" w:pos="3834"/>
              </w:tabs>
              <w:autoSpaceDE w:val="0"/>
              <w:autoSpaceDN w:val="0"/>
              <w:adjustRightInd w:val="0"/>
              <w:ind w:left="857"/>
              <w:jc w:val="center"/>
              <w:rPr>
                <w:rFonts w:ascii="Tahoma" w:hAnsi="Tahoma" w:cs="Tahoma"/>
              </w:rPr>
            </w:pPr>
            <w:r w:rsidRPr="00B004EE">
              <w:rPr>
                <w:rFonts w:ascii="Tahoma" w:hAnsi="Tahoma" w:cs="Tahoma"/>
              </w:rPr>
              <w:t>Le Ministre du Commerce, de l’Artisanat et du Tourisme</w:t>
            </w:r>
          </w:p>
        </w:tc>
      </w:tr>
      <w:tr w:rsidR="00FF77A5" w:rsidRPr="00B004EE" w14:paraId="2F142F46" w14:textId="77777777" w:rsidTr="0024676E">
        <w:tc>
          <w:tcPr>
            <w:tcW w:w="4698" w:type="dxa"/>
          </w:tcPr>
          <w:p w14:paraId="6B7AAD7D" w14:textId="77777777" w:rsidR="00FF77A5" w:rsidRPr="00B004EE" w:rsidRDefault="00FF77A5" w:rsidP="00B004EE">
            <w:pPr>
              <w:tabs>
                <w:tab w:val="left" w:pos="3834"/>
              </w:tabs>
              <w:autoSpaceDE w:val="0"/>
              <w:autoSpaceDN w:val="0"/>
              <w:adjustRightInd w:val="0"/>
              <w:ind w:left="166" w:right="913"/>
              <w:rPr>
                <w:rFonts w:ascii="Tahoma" w:hAnsi="Tahoma" w:cs="Tahoma"/>
              </w:rPr>
            </w:pPr>
            <w:r w:rsidRPr="00B004EE">
              <w:rPr>
                <w:rFonts w:ascii="Tahoma" w:hAnsi="Tahoma" w:cs="Tahoma"/>
                <w:lang w:val="en-US"/>
              </w:rPr>
              <w:t>Sidi Mohamed Ould SIDINA</w:t>
            </w:r>
          </w:p>
        </w:tc>
        <w:tc>
          <w:tcPr>
            <w:tcW w:w="4698" w:type="dxa"/>
          </w:tcPr>
          <w:p w14:paraId="5C5E7750" w14:textId="77777777" w:rsidR="00FF77A5" w:rsidRPr="00B004EE" w:rsidRDefault="00FF77A5" w:rsidP="00B004EE">
            <w:pPr>
              <w:tabs>
                <w:tab w:val="left" w:pos="3834"/>
              </w:tabs>
              <w:autoSpaceDE w:val="0"/>
              <w:autoSpaceDN w:val="0"/>
              <w:adjustRightInd w:val="0"/>
              <w:ind w:left="716"/>
              <w:jc w:val="center"/>
              <w:rPr>
                <w:rFonts w:ascii="Tahoma" w:hAnsi="Tahoma" w:cs="Tahoma"/>
              </w:rPr>
            </w:pPr>
            <w:r w:rsidRPr="00B004EE">
              <w:rPr>
                <w:rFonts w:ascii="Tahoma" w:hAnsi="Tahoma" w:cs="Tahoma"/>
                <w:lang w:val="en-US"/>
              </w:rPr>
              <w:t>BA Abderrahmane</w:t>
            </w:r>
          </w:p>
        </w:tc>
      </w:tr>
      <w:tr w:rsidR="00FF77A5" w:rsidRPr="00B004EE" w14:paraId="11CDDC99" w14:textId="77777777" w:rsidTr="0024676E">
        <w:tc>
          <w:tcPr>
            <w:tcW w:w="4698" w:type="dxa"/>
          </w:tcPr>
          <w:p w14:paraId="2BFC7624" w14:textId="77777777" w:rsidR="00FF77A5" w:rsidRPr="00B004EE" w:rsidRDefault="00FF77A5" w:rsidP="00B004EE">
            <w:pPr>
              <w:tabs>
                <w:tab w:val="left" w:pos="3834"/>
              </w:tabs>
              <w:autoSpaceDE w:val="0"/>
              <w:autoSpaceDN w:val="0"/>
              <w:adjustRightInd w:val="0"/>
              <w:ind w:left="-118" w:right="913"/>
              <w:jc w:val="center"/>
              <w:rPr>
                <w:rFonts w:ascii="Tahoma" w:hAnsi="Tahoma" w:cs="Tahoma"/>
              </w:rPr>
            </w:pPr>
          </w:p>
          <w:p w14:paraId="346669E5" w14:textId="7E26A7B3" w:rsidR="00FF77A5" w:rsidRPr="00B004EE" w:rsidRDefault="00FF77A5" w:rsidP="00B004EE">
            <w:pPr>
              <w:tabs>
                <w:tab w:val="left" w:pos="3834"/>
              </w:tabs>
              <w:autoSpaceDE w:val="0"/>
              <w:autoSpaceDN w:val="0"/>
              <w:adjustRightInd w:val="0"/>
              <w:ind w:left="-118" w:right="913"/>
              <w:jc w:val="center"/>
              <w:rPr>
                <w:rFonts w:ascii="Tahoma" w:hAnsi="Tahoma" w:cs="Tahoma"/>
              </w:rPr>
            </w:pPr>
          </w:p>
        </w:tc>
        <w:tc>
          <w:tcPr>
            <w:tcW w:w="4698" w:type="dxa"/>
          </w:tcPr>
          <w:p w14:paraId="799503A2" w14:textId="77777777" w:rsidR="00FF77A5" w:rsidRDefault="00FF77A5" w:rsidP="00B004EE">
            <w:pPr>
              <w:tabs>
                <w:tab w:val="left" w:pos="3834"/>
              </w:tabs>
              <w:autoSpaceDE w:val="0"/>
              <w:autoSpaceDN w:val="0"/>
              <w:adjustRightInd w:val="0"/>
              <w:jc w:val="center"/>
              <w:rPr>
                <w:rFonts w:ascii="Tahoma" w:hAnsi="Tahoma" w:cs="Tahoma"/>
              </w:rPr>
            </w:pPr>
          </w:p>
          <w:p w14:paraId="7A10A6B7" w14:textId="77777777" w:rsidR="00251373" w:rsidRDefault="00251373" w:rsidP="00B004EE">
            <w:pPr>
              <w:tabs>
                <w:tab w:val="left" w:pos="3834"/>
              </w:tabs>
              <w:autoSpaceDE w:val="0"/>
              <w:autoSpaceDN w:val="0"/>
              <w:adjustRightInd w:val="0"/>
              <w:jc w:val="center"/>
              <w:rPr>
                <w:rFonts w:ascii="Tahoma" w:hAnsi="Tahoma" w:cs="Tahoma"/>
              </w:rPr>
            </w:pPr>
          </w:p>
          <w:p w14:paraId="57F94B62" w14:textId="71F25E18" w:rsidR="00251373" w:rsidRPr="00B004EE" w:rsidRDefault="00251373" w:rsidP="00B004EE">
            <w:pPr>
              <w:tabs>
                <w:tab w:val="left" w:pos="3834"/>
              </w:tabs>
              <w:autoSpaceDE w:val="0"/>
              <w:autoSpaceDN w:val="0"/>
              <w:adjustRightInd w:val="0"/>
              <w:jc w:val="center"/>
              <w:rPr>
                <w:rFonts w:ascii="Tahoma" w:hAnsi="Tahoma" w:cs="Tahoma"/>
              </w:rPr>
            </w:pPr>
          </w:p>
        </w:tc>
      </w:tr>
      <w:tr w:rsidR="00FF77A5" w:rsidRPr="00B004EE" w14:paraId="6C1DB459" w14:textId="77777777" w:rsidTr="0024676E">
        <w:tc>
          <w:tcPr>
            <w:tcW w:w="4698" w:type="dxa"/>
          </w:tcPr>
          <w:p w14:paraId="2194A5F0" w14:textId="77777777" w:rsidR="00FF77A5" w:rsidRPr="00B004EE" w:rsidRDefault="00FF77A5" w:rsidP="00B004EE">
            <w:pPr>
              <w:tabs>
                <w:tab w:val="left" w:pos="3834"/>
              </w:tabs>
              <w:autoSpaceDE w:val="0"/>
              <w:autoSpaceDN w:val="0"/>
              <w:adjustRightInd w:val="0"/>
              <w:ind w:left="-118" w:right="913"/>
              <w:jc w:val="center"/>
              <w:rPr>
                <w:rFonts w:ascii="Tahoma" w:hAnsi="Tahoma" w:cs="Tahoma"/>
              </w:rPr>
            </w:pPr>
            <w:r w:rsidRPr="00B004EE">
              <w:rPr>
                <w:rFonts w:ascii="Tahoma" w:hAnsi="Tahoma" w:cs="Tahoma"/>
              </w:rPr>
              <w:t>Le Ministre De La Sante et des Affaires Sociales</w:t>
            </w:r>
          </w:p>
        </w:tc>
        <w:tc>
          <w:tcPr>
            <w:tcW w:w="4698" w:type="dxa"/>
          </w:tcPr>
          <w:p w14:paraId="5EAE9F2F" w14:textId="77777777" w:rsidR="00FF77A5" w:rsidRPr="00B004EE" w:rsidRDefault="00FF77A5" w:rsidP="00B004EE">
            <w:pPr>
              <w:tabs>
                <w:tab w:val="left" w:pos="3834"/>
              </w:tabs>
              <w:autoSpaceDE w:val="0"/>
              <w:autoSpaceDN w:val="0"/>
              <w:adjustRightInd w:val="0"/>
              <w:jc w:val="center"/>
              <w:rPr>
                <w:rFonts w:ascii="Tahoma" w:hAnsi="Tahoma" w:cs="Tahoma"/>
              </w:rPr>
            </w:pPr>
            <w:r w:rsidRPr="00B004EE">
              <w:rPr>
                <w:rFonts w:ascii="Tahoma" w:hAnsi="Tahoma" w:cs="Tahoma"/>
              </w:rPr>
              <w:t>Le Secrétaire d’Etat auprès du Premier Ministre Charge de l’Environnement</w:t>
            </w:r>
          </w:p>
        </w:tc>
      </w:tr>
      <w:tr w:rsidR="00FF77A5" w:rsidRPr="00BC4336" w14:paraId="1F4A54D5" w14:textId="77777777" w:rsidTr="0024676E">
        <w:tc>
          <w:tcPr>
            <w:tcW w:w="4698" w:type="dxa"/>
          </w:tcPr>
          <w:p w14:paraId="4A9CB836" w14:textId="77777777" w:rsidR="00FF77A5" w:rsidRPr="00B004EE" w:rsidRDefault="00FF77A5" w:rsidP="00B004EE">
            <w:pPr>
              <w:tabs>
                <w:tab w:val="left" w:pos="3834"/>
              </w:tabs>
              <w:autoSpaceDE w:val="0"/>
              <w:autoSpaceDN w:val="0"/>
              <w:adjustRightInd w:val="0"/>
              <w:ind w:right="1055"/>
              <w:jc w:val="center"/>
              <w:rPr>
                <w:rFonts w:ascii="Tahoma" w:hAnsi="Tahoma" w:cs="Tahoma"/>
                <w:lang w:val="en-US"/>
              </w:rPr>
            </w:pPr>
            <w:r w:rsidRPr="00B004EE">
              <w:rPr>
                <w:rFonts w:ascii="Tahoma" w:hAnsi="Tahoma" w:cs="Tahoma"/>
                <w:lang w:val="en-US"/>
              </w:rPr>
              <w:t>Saadna Ould BAHAIDA</w:t>
            </w:r>
          </w:p>
        </w:tc>
        <w:tc>
          <w:tcPr>
            <w:tcW w:w="4698" w:type="dxa"/>
          </w:tcPr>
          <w:p w14:paraId="7953CF73" w14:textId="77777777" w:rsidR="00FF77A5" w:rsidRPr="00B004EE" w:rsidRDefault="00FF77A5" w:rsidP="00B004EE">
            <w:pPr>
              <w:tabs>
                <w:tab w:val="left" w:pos="3834"/>
              </w:tabs>
              <w:autoSpaceDE w:val="0"/>
              <w:autoSpaceDN w:val="0"/>
              <w:adjustRightInd w:val="0"/>
              <w:ind w:left="432" w:right="365"/>
              <w:jc w:val="center"/>
              <w:rPr>
                <w:rFonts w:ascii="Tahoma" w:hAnsi="Tahoma" w:cs="Tahoma"/>
                <w:lang w:val="en-US"/>
              </w:rPr>
            </w:pPr>
            <w:r w:rsidRPr="00B004EE">
              <w:rPr>
                <w:rFonts w:ascii="Tahoma" w:hAnsi="Tahoma" w:cs="Tahoma"/>
                <w:lang w:val="en-US"/>
              </w:rPr>
              <w:t>Mohamed Lemine Ould Aboye Ould CHEIKH EL HADRAMI</w:t>
            </w:r>
          </w:p>
        </w:tc>
      </w:tr>
    </w:tbl>
    <w:p w14:paraId="253250F4" w14:textId="77777777" w:rsidR="00FF77A5" w:rsidRPr="00B004EE" w:rsidRDefault="00FF77A5" w:rsidP="00B004EE">
      <w:pPr>
        <w:ind w:left="4536"/>
        <w:jc w:val="both"/>
        <w:rPr>
          <w:rFonts w:ascii="Tahoma" w:hAnsi="Tahoma" w:cs="Tahoma"/>
          <w:b/>
          <w:bCs/>
          <w:sz w:val="20"/>
          <w:szCs w:val="20"/>
          <w:lang w:val="en-US"/>
        </w:rPr>
      </w:pPr>
    </w:p>
    <w:p w14:paraId="7971C1AA" w14:textId="77777777" w:rsidR="000E62A6" w:rsidRPr="00B004EE" w:rsidRDefault="000E62A6" w:rsidP="00B004EE">
      <w:pPr>
        <w:ind w:left="4536"/>
        <w:jc w:val="both"/>
        <w:rPr>
          <w:rFonts w:ascii="Tahoma" w:hAnsi="Tahoma" w:cs="Tahoma"/>
          <w:b/>
          <w:bCs/>
          <w:sz w:val="20"/>
          <w:szCs w:val="20"/>
          <w:lang w:val="en-US"/>
        </w:rPr>
        <w:sectPr w:rsidR="000E62A6" w:rsidRPr="00B004EE" w:rsidSect="00337E3A">
          <w:pgSz w:w="12240" w:h="15840" w:code="1"/>
          <w:pgMar w:top="1417" w:right="1417" w:bottom="1417" w:left="1417" w:header="720" w:footer="720" w:gutter="0"/>
          <w:cols w:space="720"/>
          <w:noEndnote/>
          <w:docGrid w:linePitch="326"/>
        </w:sectPr>
      </w:pPr>
    </w:p>
    <w:p w14:paraId="2184BB82" w14:textId="4CEB9724" w:rsidR="008105B4" w:rsidRPr="00251373" w:rsidRDefault="008105B4" w:rsidP="00B004EE">
      <w:pPr>
        <w:pStyle w:val="Titre1"/>
        <w:pBdr>
          <w:top w:val="thinThickMediumGap" w:sz="24" w:space="1" w:color="70AD47" w:themeColor="accent6"/>
          <w:left w:val="thinThickMediumGap" w:sz="24" w:space="4" w:color="70AD47" w:themeColor="accent6"/>
          <w:bottom w:val="thickThinMediumGap" w:sz="24" w:space="1" w:color="70AD47" w:themeColor="accent6"/>
          <w:right w:val="thickThinMediumGap" w:sz="24" w:space="4" w:color="70AD47" w:themeColor="accent6"/>
        </w:pBdr>
        <w:spacing w:line="276" w:lineRule="auto"/>
        <w:jc w:val="both"/>
        <w:rPr>
          <w:rFonts w:ascii="Tahoma" w:hAnsi="Tahoma" w:cs="Tahoma"/>
          <w:szCs w:val="22"/>
        </w:rPr>
      </w:pPr>
      <w:bookmarkStart w:id="179" w:name="_Toc317340032"/>
      <w:bookmarkStart w:id="180" w:name="_Toc16288672"/>
      <w:bookmarkStart w:id="181" w:name="_Toc17022014"/>
      <w:bookmarkStart w:id="182" w:name="_Toc202214686"/>
      <w:r w:rsidRPr="00251373">
        <w:rPr>
          <w:rFonts w:ascii="Tahoma" w:hAnsi="Tahoma" w:cs="Tahoma"/>
          <w:szCs w:val="22"/>
        </w:rPr>
        <w:lastRenderedPageBreak/>
        <w:t>Arrêt</w:t>
      </w:r>
      <w:r w:rsidR="00127017" w:rsidRPr="00251373">
        <w:rPr>
          <w:rFonts w:ascii="Tahoma" w:hAnsi="Tahoma" w:cs="Tahoma"/>
          <w:szCs w:val="22"/>
        </w:rPr>
        <w:t>é</w:t>
      </w:r>
      <w:r w:rsidR="00DB1635" w:rsidRPr="00251373">
        <w:rPr>
          <w:rFonts w:ascii="Tahoma" w:hAnsi="Tahoma" w:cs="Tahoma"/>
          <w:szCs w:val="22"/>
        </w:rPr>
        <w:t xml:space="preserve"> </w:t>
      </w:r>
      <w:r w:rsidRPr="00251373">
        <w:rPr>
          <w:rFonts w:ascii="Tahoma" w:hAnsi="Tahoma" w:cs="Tahoma"/>
          <w:szCs w:val="22"/>
        </w:rPr>
        <w:t>conjoint</w:t>
      </w:r>
      <w:r w:rsidR="00DB1635" w:rsidRPr="00251373">
        <w:rPr>
          <w:rFonts w:ascii="Tahoma" w:hAnsi="Tahoma" w:cs="Tahoma"/>
          <w:szCs w:val="22"/>
        </w:rPr>
        <w:t xml:space="preserve"> </w:t>
      </w:r>
      <w:r w:rsidRPr="00251373">
        <w:rPr>
          <w:rFonts w:ascii="Tahoma" w:hAnsi="Tahoma" w:cs="Tahoma"/>
          <w:szCs w:val="22"/>
        </w:rPr>
        <w:t>n°</w:t>
      </w:r>
      <w:r w:rsidR="00DB1635" w:rsidRPr="00251373">
        <w:rPr>
          <w:rFonts w:ascii="Tahoma" w:hAnsi="Tahoma" w:cs="Tahoma"/>
          <w:szCs w:val="22"/>
        </w:rPr>
        <w:t xml:space="preserve"> </w:t>
      </w:r>
      <w:r w:rsidRPr="00251373">
        <w:rPr>
          <w:rFonts w:ascii="Tahoma" w:hAnsi="Tahoma" w:cs="Tahoma"/>
          <w:szCs w:val="22"/>
        </w:rPr>
        <w:t>2862</w:t>
      </w:r>
      <w:r w:rsidR="00DB1635" w:rsidRPr="00251373">
        <w:rPr>
          <w:rFonts w:ascii="Tahoma" w:hAnsi="Tahoma" w:cs="Tahoma"/>
          <w:szCs w:val="22"/>
        </w:rPr>
        <w:t xml:space="preserve"> </w:t>
      </w:r>
      <w:r w:rsidR="00656988" w:rsidRPr="00251373">
        <w:rPr>
          <w:rFonts w:ascii="Tahoma" w:hAnsi="Tahoma" w:cs="Tahoma"/>
          <w:szCs w:val="22"/>
        </w:rPr>
        <w:t>du</w:t>
      </w:r>
      <w:r w:rsidR="00DB1635" w:rsidRPr="00251373">
        <w:rPr>
          <w:rFonts w:ascii="Tahoma" w:hAnsi="Tahoma" w:cs="Tahoma"/>
          <w:szCs w:val="22"/>
        </w:rPr>
        <w:t xml:space="preserve"> </w:t>
      </w:r>
      <w:r w:rsidR="00656988" w:rsidRPr="00251373">
        <w:rPr>
          <w:rFonts w:ascii="Tahoma" w:hAnsi="Tahoma" w:cs="Tahoma"/>
          <w:szCs w:val="22"/>
        </w:rPr>
        <w:t>16</w:t>
      </w:r>
      <w:r w:rsidR="00DB1635" w:rsidRPr="00251373">
        <w:rPr>
          <w:rFonts w:ascii="Tahoma" w:hAnsi="Tahoma" w:cs="Tahoma"/>
          <w:szCs w:val="22"/>
        </w:rPr>
        <w:t xml:space="preserve"> </w:t>
      </w:r>
      <w:r w:rsidR="00656988" w:rsidRPr="00251373">
        <w:rPr>
          <w:rFonts w:ascii="Tahoma" w:hAnsi="Tahoma" w:cs="Tahoma"/>
          <w:szCs w:val="22"/>
        </w:rPr>
        <w:t>novembre</w:t>
      </w:r>
      <w:r w:rsidR="00DB1635" w:rsidRPr="00251373">
        <w:rPr>
          <w:rFonts w:ascii="Tahoma" w:hAnsi="Tahoma" w:cs="Tahoma"/>
          <w:szCs w:val="22"/>
        </w:rPr>
        <w:t xml:space="preserve"> </w:t>
      </w:r>
      <w:r w:rsidR="00656988" w:rsidRPr="00251373">
        <w:rPr>
          <w:rFonts w:ascii="Tahoma" w:hAnsi="Tahoma" w:cs="Tahoma"/>
          <w:szCs w:val="22"/>
        </w:rPr>
        <w:t>2006,</w:t>
      </w:r>
      <w:r w:rsidR="00DB1635" w:rsidRPr="00251373">
        <w:rPr>
          <w:rFonts w:ascii="Tahoma" w:hAnsi="Tahoma" w:cs="Tahoma"/>
          <w:szCs w:val="22"/>
        </w:rPr>
        <w:t xml:space="preserve"> </w:t>
      </w:r>
      <w:r w:rsidR="00656988" w:rsidRPr="00251373">
        <w:rPr>
          <w:rFonts w:ascii="Tahoma" w:hAnsi="Tahoma" w:cs="Tahoma"/>
          <w:szCs w:val="22"/>
        </w:rPr>
        <w:t>portant</w:t>
      </w:r>
      <w:r w:rsidR="00DB1635" w:rsidRPr="00251373">
        <w:rPr>
          <w:rFonts w:ascii="Tahoma" w:hAnsi="Tahoma" w:cs="Tahoma"/>
          <w:szCs w:val="22"/>
        </w:rPr>
        <w:t xml:space="preserve"> </w:t>
      </w:r>
      <w:r w:rsidRPr="00251373">
        <w:rPr>
          <w:rFonts w:ascii="Tahoma" w:hAnsi="Tahoma" w:cs="Tahoma"/>
          <w:szCs w:val="22"/>
        </w:rPr>
        <w:t>définition</w:t>
      </w:r>
      <w:r w:rsidR="00DB1635" w:rsidRPr="00251373">
        <w:rPr>
          <w:rFonts w:ascii="Tahoma" w:hAnsi="Tahoma" w:cs="Tahoma"/>
          <w:szCs w:val="22"/>
        </w:rPr>
        <w:t xml:space="preserve"> </w:t>
      </w:r>
      <w:r w:rsidRPr="00251373">
        <w:rPr>
          <w:rFonts w:ascii="Tahoma" w:hAnsi="Tahoma" w:cs="Tahoma"/>
          <w:szCs w:val="22"/>
        </w:rPr>
        <w:t>des</w:t>
      </w:r>
      <w:r w:rsidR="00DB1635" w:rsidRPr="00251373">
        <w:rPr>
          <w:rFonts w:ascii="Tahoma" w:hAnsi="Tahoma" w:cs="Tahoma"/>
          <w:szCs w:val="22"/>
        </w:rPr>
        <w:t xml:space="preserve"> </w:t>
      </w:r>
      <w:r w:rsidRPr="00251373">
        <w:rPr>
          <w:rFonts w:ascii="Tahoma" w:hAnsi="Tahoma" w:cs="Tahoma"/>
          <w:szCs w:val="22"/>
        </w:rPr>
        <w:t>critères</w:t>
      </w:r>
      <w:r w:rsidR="00DB1635" w:rsidRPr="00251373">
        <w:rPr>
          <w:rFonts w:ascii="Tahoma" w:hAnsi="Tahoma" w:cs="Tahoma"/>
          <w:szCs w:val="22"/>
        </w:rPr>
        <w:t xml:space="preserve"> </w:t>
      </w:r>
      <w:r w:rsidRPr="00251373">
        <w:rPr>
          <w:rFonts w:ascii="Tahoma" w:hAnsi="Tahoma" w:cs="Tahoma"/>
          <w:szCs w:val="22"/>
        </w:rPr>
        <w:t>de</w:t>
      </w:r>
      <w:r w:rsidR="00DB1635" w:rsidRPr="00251373">
        <w:rPr>
          <w:rFonts w:ascii="Tahoma" w:hAnsi="Tahoma" w:cs="Tahoma"/>
          <w:szCs w:val="22"/>
        </w:rPr>
        <w:t xml:space="preserve"> </w:t>
      </w:r>
      <w:r w:rsidRPr="00251373">
        <w:rPr>
          <w:rFonts w:ascii="Tahoma" w:hAnsi="Tahoma" w:cs="Tahoma"/>
          <w:szCs w:val="22"/>
        </w:rPr>
        <w:t>qualité</w:t>
      </w:r>
      <w:r w:rsidR="00DB1635" w:rsidRPr="00251373">
        <w:rPr>
          <w:rFonts w:ascii="Tahoma" w:hAnsi="Tahoma" w:cs="Tahoma"/>
          <w:szCs w:val="22"/>
        </w:rPr>
        <w:t xml:space="preserve"> </w:t>
      </w:r>
      <w:r w:rsidRPr="00251373">
        <w:rPr>
          <w:rFonts w:ascii="Tahoma" w:hAnsi="Tahoma" w:cs="Tahoma"/>
          <w:szCs w:val="22"/>
        </w:rPr>
        <w:t>des</w:t>
      </w:r>
      <w:r w:rsidR="00DB1635" w:rsidRPr="00251373">
        <w:rPr>
          <w:rFonts w:ascii="Tahoma" w:hAnsi="Tahoma" w:cs="Tahoma"/>
          <w:szCs w:val="22"/>
        </w:rPr>
        <w:t xml:space="preserve"> </w:t>
      </w:r>
      <w:r w:rsidRPr="00251373">
        <w:rPr>
          <w:rFonts w:ascii="Tahoma" w:hAnsi="Tahoma" w:cs="Tahoma"/>
          <w:szCs w:val="22"/>
        </w:rPr>
        <w:t>eaux</w:t>
      </w:r>
      <w:r w:rsidR="00DB1635" w:rsidRPr="00251373">
        <w:rPr>
          <w:rFonts w:ascii="Tahoma" w:hAnsi="Tahoma" w:cs="Tahoma"/>
          <w:szCs w:val="22"/>
        </w:rPr>
        <w:t xml:space="preserve"> </w:t>
      </w:r>
      <w:r w:rsidRPr="00251373">
        <w:rPr>
          <w:rFonts w:ascii="Tahoma" w:hAnsi="Tahoma" w:cs="Tahoma"/>
          <w:szCs w:val="22"/>
        </w:rPr>
        <w:t>utilisées</w:t>
      </w:r>
      <w:r w:rsidR="00DB1635" w:rsidRPr="00251373">
        <w:rPr>
          <w:rFonts w:ascii="Tahoma" w:hAnsi="Tahoma" w:cs="Tahoma"/>
          <w:szCs w:val="22"/>
        </w:rPr>
        <w:t xml:space="preserve"> </w:t>
      </w:r>
      <w:r w:rsidRPr="00251373">
        <w:rPr>
          <w:rFonts w:ascii="Tahoma" w:hAnsi="Tahoma" w:cs="Tahoma"/>
          <w:szCs w:val="22"/>
        </w:rPr>
        <w:t>dans</w:t>
      </w:r>
      <w:r w:rsidR="00DB1635" w:rsidRPr="00251373">
        <w:rPr>
          <w:rFonts w:ascii="Tahoma" w:hAnsi="Tahoma" w:cs="Tahoma"/>
          <w:szCs w:val="22"/>
        </w:rPr>
        <w:t xml:space="preserve"> </w:t>
      </w:r>
      <w:r w:rsidRPr="00251373">
        <w:rPr>
          <w:rFonts w:ascii="Tahoma" w:hAnsi="Tahoma" w:cs="Tahoma"/>
          <w:szCs w:val="22"/>
        </w:rPr>
        <w:t>l'industrie</w:t>
      </w:r>
      <w:r w:rsidR="00DB1635" w:rsidRPr="00251373">
        <w:rPr>
          <w:rFonts w:ascii="Tahoma" w:hAnsi="Tahoma" w:cs="Tahoma"/>
          <w:szCs w:val="22"/>
        </w:rPr>
        <w:t xml:space="preserve"> </w:t>
      </w:r>
      <w:r w:rsidRPr="00251373">
        <w:rPr>
          <w:rFonts w:ascii="Tahoma" w:hAnsi="Tahoma" w:cs="Tahoma"/>
          <w:szCs w:val="22"/>
        </w:rPr>
        <w:t>de</w:t>
      </w:r>
      <w:r w:rsidR="00DB1635" w:rsidRPr="00251373">
        <w:rPr>
          <w:rFonts w:ascii="Tahoma" w:hAnsi="Tahoma" w:cs="Tahoma"/>
          <w:szCs w:val="22"/>
        </w:rPr>
        <w:t xml:space="preserve"> </w:t>
      </w:r>
      <w:r w:rsidRPr="00251373">
        <w:rPr>
          <w:rFonts w:ascii="Tahoma" w:hAnsi="Tahoma" w:cs="Tahoma"/>
          <w:szCs w:val="22"/>
        </w:rPr>
        <w:t>traitement</w:t>
      </w:r>
      <w:r w:rsidR="00DB1635" w:rsidRPr="00251373">
        <w:rPr>
          <w:rFonts w:ascii="Tahoma" w:hAnsi="Tahoma" w:cs="Tahoma"/>
          <w:szCs w:val="22"/>
        </w:rPr>
        <w:t xml:space="preserve"> </w:t>
      </w:r>
      <w:r w:rsidRPr="00251373">
        <w:rPr>
          <w:rFonts w:ascii="Tahoma" w:hAnsi="Tahoma" w:cs="Tahoma"/>
          <w:szCs w:val="22"/>
        </w:rPr>
        <w:t>des</w:t>
      </w:r>
      <w:r w:rsidR="00DB1635" w:rsidRPr="00251373">
        <w:rPr>
          <w:rFonts w:ascii="Tahoma" w:hAnsi="Tahoma" w:cs="Tahoma"/>
          <w:szCs w:val="22"/>
        </w:rPr>
        <w:t xml:space="preserve"> </w:t>
      </w:r>
      <w:r w:rsidRPr="00251373">
        <w:rPr>
          <w:rFonts w:ascii="Tahoma" w:hAnsi="Tahoma" w:cs="Tahoma"/>
          <w:szCs w:val="22"/>
        </w:rPr>
        <w:t>produits</w:t>
      </w:r>
      <w:r w:rsidR="00DB1635" w:rsidRPr="00251373">
        <w:rPr>
          <w:rFonts w:ascii="Tahoma" w:hAnsi="Tahoma" w:cs="Tahoma"/>
          <w:szCs w:val="22"/>
        </w:rPr>
        <w:t xml:space="preserve"> </w:t>
      </w:r>
      <w:r w:rsidRPr="00251373">
        <w:rPr>
          <w:rFonts w:ascii="Tahoma" w:hAnsi="Tahoma" w:cs="Tahoma"/>
          <w:szCs w:val="22"/>
        </w:rPr>
        <w:t>de</w:t>
      </w:r>
      <w:r w:rsidR="00DB1635" w:rsidRPr="00251373">
        <w:rPr>
          <w:rFonts w:ascii="Tahoma" w:hAnsi="Tahoma" w:cs="Tahoma"/>
          <w:szCs w:val="22"/>
        </w:rPr>
        <w:t xml:space="preserve"> </w:t>
      </w:r>
      <w:r w:rsidRPr="00251373">
        <w:rPr>
          <w:rFonts w:ascii="Tahoma" w:hAnsi="Tahoma" w:cs="Tahoma"/>
          <w:szCs w:val="22"/>
        </w:rPr>
        <w:t>la</w:t>
      </w:r>
      <w:r w:rsidR="00DB1635" w:rsidRPr="00251373">
        <w:rPr>
          <w:rFonts w:ascii="Tahoma" w:hAnsi="Tahoma" w:cs="Tahoma"/>
          <w:szCs w:val="22"/>
        </w:rPr>
        <w:t xml:space="preserve"> </w:t>
      </w:r>
      <w:r w:rsidRPr="00251373">
        <w:rPr>
          <w:rFonts w:ascii="Tahoma" w:hAnsi="Tahoma" w:cs="Tahoma"/>
          <w:szCs w:val="22"/>
        </w:rPr>
        <w:t>pêche</w:t>
      </w:r>
      <w:r w:rsidR="00DB1635" w:rsidRPr="00251373">
        <w:rPr>
          <w:rFonts w:ascii="Tahoma" w:hAnsi="Tahoma" w:cs="Tahoma"/>
          <w:szCs w:val="22"/>
        </w:rPr>
        <w:t xml:space="preserve"> </w:t>
      </w:r>
      <w:r w:rsidRPr="00251373">
        <w:rPr>
          <w:rFonts w:ascii="Tahoma" w:hAnsi="Tahoma" w:cs="Tahoma"/>
          <w:szCs w:val="22"/>
        </w:rPr>
        <w:t>et</w:t>
      </w:r>
      <w:r w:rsidR="00DB1635" w:rsidRPr="00251373">
        <w:rPr>
          <w:rFonts w:ascii="Tahoma" w:hAnsi="Tahoma" w:cs="Tahoma"/>
          <w:szCs w:val="22"/>
        </w:rPr>
        <w:t xml:space="preserve"> </w:t>
      </w:r>
      <w:r w:rsidRPr="00251373">
        <w:rPr>
          <w:rFonts w:ascii="Tahoma" w:hAnsi="Tahoma" w:cs="Tahoma"/>
          <w:szCs w:val="22"/>
        </w:rPr>
        <w:t>de</w:t>
      </w:r>
      <w:r w:rsidR="00DB1635" w:rsidRPr="00251373">
        <w:rPr>
          <w:rFonts w:ascii="Tahoma" w:hAnsi="Tahoma" w:cs="Tahoma"/>
          <w:szCs w:val="22"/>
        </w:rPr>
        <w:t xml:space="preserve"> </w:t>
      </w:r>
      <w:r w:rsidRPr="00251373">
        <w:rPr>
          <w:rFonts w:ascii="Tahoma" w:hAnsi="Tahoma" w:cs="Tahoma"/>
          <w:szCs w:val="22"/>
        </w:rPr>
        <w:t>l'aquaculture</w:t>
      </w:r>
      <w:bookmarkEnd w:id="179"/>
      <w:r w:rsidRPr="00251373">
        <w:rPr>
          <w:rFonts w:ascii="Tahoma" w:hAnsi="Tahoma" w:cs="Tahoma"/>
          <w:szCs w:val="22"/>
        </w:rPr>
        <w:t>.</w:t>
      </w:r>
      <w:bookmarkEnd w:id="180"/>
      <w:bookmarkEnd w:id="181"/>
      <w:bookmarkEnd w:id="182"/>
    </w:p>
    <w:p w14:paraId="7C1A1D2D" w14:textId="77777777" w:rsidR="008105B4" w:rsidRPr="00B004EE" w:rsidRDefault="008105B4" w:rsidP="00B004EE">
      <w:pPr>
        <w:jc w:val="both"/>
        <w:rPr>
          <w:rFonts w:ascii="Tahoma" w:hAnsi="Tahoma" w:cs="Tahoma"/>
          <w:sz w:val="20"/>
          <w:szCs w:val="20"/>
        </w:rPr>
      </w:pPr>
    </w:p>
    <w:p w14:paraId="10DE34F9" w14:textId="1D8055C2" w:rsidR="008105B4" w:rsidRPr="00B004EE" w:rsidRDefault="008105B4" w:rsidP="00B004EE">
      <w:pPr>
        <w:jc w:val="both"/>
        <w:rPr>
          <w:rFonts w:ascii="Tahoma" w:hAnsi="Tahoma" w:cs="Tahoma"/>
          <w:sz w:val="20"/>
          <w:szCs w:val="20"/>
        </w:rPr>
      </w:pPr>
      <w:r w:rsidRPr="00B004EE">
        <w:rPr>
          <w:rFonts w:ascii="Tahoma" w:hAnsi="Tahoma" w:cs="Tahoma"/>
          <w:sz w:val="20"/>
          <w:szCs w:val="20"/>
        </w:rPr>
        <w:t>Article</w:t>
      </w:r>
      <w:r w:rsidR="00DB1635" w:rsidRPr="00B004EE">
        <w:rPr>
          <w:rFonts w:ascii="Tahoma" w:hAnsi="Tahoma" w:cs="Tahoma"/>
          <w:sz w:val="20"/>
          <w:szCs w:val="20"/>
        </w:rPr>
        <w:t xml:space="preserve"> </w:t>
      </w:r>
      <w:r w:rsidRPr="00B004EE">
        <w:rPr>
          <w:rFonts w:ascii="Tahoma" w:hAnsi="Tahoma" w:cs="Tahoma"/>
          <w:sz w:val="20"/>
          <w:szCs w:val="20"/>
        </w:rPr>
        <w:t>premier</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application</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l’article</w:t>
      </w:r>
      <w:r w:rsidR="00DB1635" w:rsidRPr="00B004EE">
        <w:rPr>
          <w:rFonts w:ascii="Tahoma" w:hAnsi="Tahoma" w:cs="Tahoma"/>
          <w:sz w:val="20"/>
          <w:szCs w:val="20"/>
        </w:rPr>
        <w:t xml:space="preserve"> </w:t>
      </w:r>
      <w:r w:rsidRPr="00B004EE">
        <w:rPr>
          <w:rFonts w:ascii="Tahoma" w:hAnsi="Tahoma" w:cs="Tahoma"/>
          <w:sz w:val="20"/>
          <w:szCs w:val="20"/>
        </w:rPr>
        <w:t>4</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décret</w:t>
      </w:r>
      <w:r w:rsidR="00DB1635" w:rsidRPr="00B004EE">
        <w:rPr>
          <w:rFonts w:ascii="Tahoma" w:hAnsi="Tahoma" w:cs="Tahoma"/>
          <w:sz w:val="20"/>
          <w:szCs w:val="20"/>
        </w:rPr>
        <w:t xml:space="preserve"> </w:t>
      </w:r>
      <w:r w:rsidRPr="00B004EE">
        <w:rPr>
          <w:rFonts w:ascii="Tahoma" w:hAnsi="Tahoma" w:cs="Tahoma"/>
          <w:sz w:val="20"/>
          <w:szCs w:val="20"/>
        </w:rPr>
        <w:t>n°</w:t>
      </w:r>
      <w:r w:rsidR="00DB1635" w:rsidRPr="00B004EE">
        <w:rPr>
          <w:rFonts w:ascii="Tahoma" w:hAnsi="Tahoma" w:cs="Tahoma"/>
          <w:sz w:val="20"/>
          <w:szCs w:val="20"/>
        </w:rPr>
        <w:t xml:space="preserve"> </w:t>
      </w:r>
      <w:r w:rsidRPr="00B004EE">
        <w:rPr>
          <w:rFonts w:ascii="Tahoma" w:hAnsi="Tahoma" w:cs="Tahoma"/>
          <w:sz w:val="20"/>
          <w:szCs w:val="20"/>
        </w:rPr>
        <w:t>94.030</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8</w:t>
      </w:r>
      <w:r w:rsidR="00DB1635" w:rsidRPr="00B004EE">
        <w:rPr>
          <w:rFonts w:ascii="Tahoma" w:hAnsi="Tahoma" w:cs="Tahoma"/>
          <w:sz w:val="20"/>
          <w:szCs w:val="20"/>
        </w:rPr>
        <w:t xml:space="preserve"> </w:t>
      </w:r>
      <w:r w:rsidRPr="00B004EE">
        <w:rPr>
          <w:rFonts w:ascii="Tahoma" w:hAnsi="Tahoma" w:cs="Tahoma"/>
          <w:sz w:val="20"/>
          <w:szCs w:val="20"/>
        </w:rPr>
        <w:t>mars</w:t>
      </w:r>
      <w:r w:rsidR="00DB1635" w:rsidRPr="00B004EE">
        <w:rPr>
          <w:rFonts w:ascii="Tahoma" w:hAnsi="Tahoma" w:cs="Tahoma"/>
          <w:sz w:val="20"/>
          <w:szCs w:val="20"/>
        </w:rPr>
        <w:t xml:space="preserve"> </w:t>
      </w:r>
      <w:r w:rsidRPr="00B004EE">
        <w:rPr>
          <w:rFonts w:ascii="Tahoma" w:hAnsi="Tahoma" w:cs="Tahoma"/>
          <w:sz w:val="20"/>
          <w:szCs w:val="20"/>
        </w:rPr>
        <w:t>1994</w:t>
      </w:r>
      <w:r w:rsidR="00DB1635" w:rsidRPr="00B004EE">
        <w:rPr>
          <w:rFonts w:ascii="Tahoma" w:hAnsi="Tahoma" w:cs="Tahoma"/>
          <w:sz w:val="20"/>
          <w:szCs w:val="20"/>
        </w:rPr>
        <w:t xml:space="preserve"> </w:t>
      </w:r>
      <w:r w:rsidRPr="00B004EE">
        <w:rPr>
          <w:rFonts w:ascii="Tahoma" w:hAnsi="Tahoma" w:cs="Tahoma"/>
          <w:sz w:val="20"/>
          <w:szCs w:val="20"/>
        </w:rPr>
        <w:t>relatif</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normes</w:t>
      </w:r>
      <w:r w:rsidR="00DB1635" w:rsidRPr="00B004EE">
        <w:rPr>
          <w:rFonts w:ascii="Tahoma" w:hAnsi="Tahoma" w:cs="Tahoma"/>
          <w:sz w:val="20"/>
          <w:szCs w:val="20"/>
        </w:rPr>
        <w:t xml:space="preserve"> </w:t>
      </w:r>
      <w:r w:rsidRPr="00B004EE">
        <w:rPr>
          <w:rFonts w:ascii="Tahoma" w:hAnsi="Tahoma" w:cs="Tahoma"/>
          <w:sz w:val="20"/>
          <w:szCs w:val="20"/>
        </w:rPr>
        <w:t>d’hygiène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salubrité</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conditions</w:t>
      </w:r>
      <w:r w:rsidR="00DB1635" w:rsidRPr="00B004EE">
        <w:rPr>
          <w:rFonts w:ascii="Tahoma" w:hAnsi="Tahoma" w:cs="Tahoma"/>
          <w:sz w:val="20"/>
          <w:szCs w:val="20"/>
        </w:rPr>
        <w:t xml:space="preserve"> </w:t>
      </w:r>
      <w:r w:rsidRPr="00B004EE">
        <w:rPr>
          <w:rFonts w:ascii="Tahoma" w:hAnsi="Tahoma" w:cs="Tahoma"/>
          <w:sz w:val="20"/>
          <w:szCs w:val="20"/>
        </w:rPr>
        <w:t>d’inspection</w:t>
      </w:r>
      <w:r w:rsidR="00DB1635" w:rsidRPr="00B004EE">
        <w:rPr>
          <w:rFonts w:ascii="Tahoma" w:hAnsi="Tahoma" w:cs="Tahoma"/>
          <w:sz w:val="20"/>
          <w:szCs w:val="20"/>
        </w:rPr>
        <w:t xml:space="preserve"> </w:t>
      </w:r>
      <w:r w:rsidRPr="00B004EE">
        <w:rPr>
          <w:rFonts w:ascii="Tahoma" w:hAnsi="Tahoma" w:cs="Tahoma"/>
          <w:sz w:val="20"/>
          <w:szCs w:val="20"/>
        </w:rPr>
        <w:t>sanitaire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contrôle</w:t>
      </w:r>
      <w:r w:rsidR="00DB1635" w:rsidRPr="00B004EE">
        <w:rPr>
          <w:rFonts w:ascii="Tahoma" w:hAnsi="Tahoma" w:cs="Tahoma"/>
          <w:sz w:val="20"/>
          <w:szCs w:val="20"/>
        </w:rPr>
        <w:t xml:space="preserve"> </w:t>
      </w:r>
      <w:r w:rsidRPr="00B004EE">
        <w:rPr>
          <w:rFonts w:ascii="Tahoma" w:hAnsi="Tahoma" w:cs="Tahoma"/>
          <w:sz w:val="20"/>
          <w:szCs w:val="20"/>
        </w:rPr>
        <w:t>régissant</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production</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mise</w:t>
      </w:r>
      <w:r w:rsidR="00DB1635" w:rsidRPr="00B004EE">
        <w:rPr>
          <w:rFonts w:ascii="Tahoma" w:hAnsi="Tahoma" w:cs="Tahoma"/>
          <w:sz w:val="20"/>
          <w:szCs w:val="20"/>
        </w:rPr>
        <w:t xml:space="preserve"> </w:t>
      </w:r>
      <w:r w:rsidRPr="00B004EE">
        <w:rPr>
          <w:rFonts w:ascii="Tahoma" w:hAnsi="Tahoma" w:cs="Tahoma"/>
          <w:sz w:val="20"/>
          <w:szCs w:val="20"/>
        </w:rPr>
        <w:t>sur</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marché</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présent</w:t>
      </w:r>
      <w:r w:rsidR="00DB1635" w:rsidRPr="00B004EE">
        <w:rPr>
          <w:rFonts w:ascii="Tahoma" w:hAnsi="Tahoma" w:cs="Tahoma"/>
          <w:sz w:val="20"/>
          <w:szCs w:val="20"/>
        </w:rPr>
        <w:t xml:space="preserve"> </w:t>
      </w:r>
      <w:r w:rsidRPr="00B004EE">
        <w:rPr>
          <w:rFonts w:ascii="Tahoma" w:hAnsi="Tahoma" w:cs="Tahoma"/>
          <w:sz w:val="20"/>
          <w:szCs w:val="20"/>
        </w:rPr>
        <w:t>arrêté</w:t>
      </w:r>
      <w:r w:rsidR="00DB1635" w:rsidRPr="00B004EE">
        <w:rPr>
          <w:rFonts w:ascii="Tahoma" w:hAnsi="Tahoma" w:cs="Tahoma"/>
          <w:sz w:val="20"/>
          <w:szCs w:val="20"/>
        </w:rPr>
        <w:t xml:space="preserve"> </w:t>
      </w:r>
      <w:r w:rsidRPr="00B004EE">
        <w:rPr>
          <w:rFonts w:ascii="Tahoma" w:hAnsi="Tahoma" w:cs="Tahoma"/>
          <w:sz w:val="20"/>
          <w:szCs w:val="20"/>
        </w:rPr>
        <w:t>a</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objet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fixer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normes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qualité</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eaux</w:t>
      </w:r>
      <w:r w:rsidR="00DB1635" w:rsidRPr="00B004EE">
        <w:rPr>
          <w:rFonts w:ascii="Tahoma" w:hAnsi="Tahoma" w:cs="Tahoma"/>
          <w:sz w:val="20"/>
          <w:szCs w:val="20"/>
        </w:rPr>
        <w:t xml:space="preserve"> </w:t>
      </w:r>
      <w:r w:rsidRPr="00B004EE">
        <w:rPr>
          <w:rFonts w:ascii="Tahoma" w:hAnsi="Tahoma" w:cs="Tahoma"/>
          <w:sz w:val="20"/>
          <w:szCs w:val="20"/>
        </w:rPr>
        <w:t>utilisées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fins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fabrication,</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traitement,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conservation</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mise</w:t>
      </w:r>
      <w:r w:rsidR="00DB1635" w:rsidRPr="00B004EE">
        <w:rPr>
          <w:rFonts w:ascii="Tahoma" w:hAnsi="Tahoma" w:cs="Tahoma"/>
          <w:sz w:val="20"/>
          <w:szCs w:val="20"/>
        </w:rPr>
        <w:t xml:space="preserve"> </w:t>
      </w:r>
      <w:r w:rsidRPr="00B004EE">
        <w:rPr>
          <w:rFonts w:ascii="Tahoma" w:hAnsi="Tahoma" w:cs="Tahoma"/>
          <w:sz w:val="20"/>
          <w:szCs w:val="20"/>
        </w:rPr>
        <w:t>sur</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marché</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l’aquaculture,</w:t>
      </w:r>
      <w:r w:rsidR="00DB1635" w:rsidRPr="00B004EE">
        <w:rPr>
          <w:rFonts w:ascii="Tahoma" w:hAnsi="Tahoma" w:cs="Tahoma"/>
          <w:sz w:val="20"/>
          <w:szCs w:val="20"/>
        </w:rPr>
        <w:t xml:space="preserve"> </w:t>
      </w:r>
      <w:r w:rsidRPr="00B004EE">
        <w:rPr>
          <w:rFonts w:ascii="Tahoma" w:hAnsi="Tahoma" w:cs="Tahoma"/>
          <w:sz w:val="20"/>
          <w:szCs w:val="20"/>
        </w:rPr>
        <w:t>y</w:t>
      </w:r>
      <w:r w:rsidR="00DB1635" w:rsidRPr="00B004EE">
        <w:rPr>
          <w:rFonts w:ascii="Tahoma" w:hAnsi="Tahoma" w:cs="Tahoma"/>
          <w:sz w:val="20"/>
          <w:szCs w:val="20"/>
        </w:rPr>
        <w:t xml:space="preserve"> </w:t>
      </w:r>
      <w:r w:rsidRPr="00B004EE">
        <w:rPr>
          <w:rFonts w:ascii="Tahoma" w:hAnsi="Tahoma" w:cs="Tahoma"/>
          <w:sz w:val="20"/>
          <w:szCs w:val="20"/>
        </w:rPr>
        <w:t>compris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mollusques</w:t>
      </w:r>
      <w:r w:rsidR="00DB1635" w:rsidRPr="00B004EE">
        <w:rPr>
          <w:rFonts w:ascii="Tahoma" w:hAnsi="Tahoma" w:cs="Tahoma"/>
          <w:sz w:val="20"/>
          <w:szCs w:val="20"/>
        </w:rPr>
        <w:t xml:space="preserve"> </w:t>
      </w:r>
      <w:r w:rsidRPr="00B004EE">
        <w:rPr>
          <w:rFonts w:ascii="Tahoma" w:hAnsi="Tahoma" w:cs="Tahoma"/>
          <w:sz w:val="20"/>
          <w:szCs w:val="20"/>
        </w:rPr>
        <w:t>bivalves</w:t>
      </w:r>
      <w:r w:rsidR="00DB1635" w:rsidRPr="00B004EE">
        <w:rPr>
          <w:rFonts w:ascii="Tahoma" w:hAnsi="Tahoma" w:cs="Tahoma"/>
          <w:sz w:val="20"/>
          <w:szCs w:val="20"/>
        </w:rPr>
        <w:t xml:space="preserve"> </w:t>
      </w:r>
      <w:r w:rsidRPr="00B004EE">
        <w:rPr>
          <w:rFonts w:ascii="Tahoma" w:hAnsi="Tahoma" w:cs="Tahoma"/>
          <w:sz w:val="20"/>
          <w:szCs w:val="20"/>
        </w:rPr>
        <w:t>vivants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leurs</w:t>
      </w:r>
      <w:r w:rsidR="00DB1635" w:rsidRPr="00B004EE">
        <w:rPr>
          <w:rFonts w:ascii="Tahoma" w:hAnsi="Tahoma" w:cs="Tahoma"/>
          <w:sz w:val="20"/>
          <w:szCs w:val="20"/>
        </w:rPr>
        <w:t xml:space="preserve"> </w:t>
      </w:r>
      <w:r w:rsidRPr="00B004EE">
        <w:rPr>
          <w:rFonts w:ascii="Tahoma" w:hAnsi="Tahoma" w:cs="Tahoma"/>
          <w:sz w:val="20"/>
          <w:szCs w:val="20"/>
        </w:rPr>
        <w:t>dérivés</w:t>
      </w:r>
      <w:r w:rsidR="00DB1635" w:rsidRPr="00B004EE">
        <w:rPr>
          <w:rFonts w:ascii="Tahoma" w:hAnsi="Tahoma" w:cs="Tahoma"/>
          <w:sz w:val="20"/>
          <w:szCs w:val="20"/>
        </w:rPr>
        <w:t xml:space="preserve"> </w:t>
      </w:r>
      <w:r w:rsidRPr="00B004EE">
        <w:rPr>
          <w:rFonts w:ascii="Tahoma" w:hAnsi="Tahoma" w:cs="Tahoma"/>
          <w:sz w:val="20"/>
          <w:szCs w:val="20"/>
        </w:rPr>
        <w:t>destinés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l’exportation</w:t>
      </w:r>
      <w:r w:rsidR="00DB1635" w:rsidRPr="00B004EE">
        <w:rPr>
          <w:rFonts w:ascii="Tahoma" w:hAnsi="Tahoma" w:cs="Tahoma"/>
          <w:sz w:val="20"/>
          <w:szCs w:val="20"/>
        </w:rPr>
        <w:t xml:space="preserve"> </w:t>
      </w:r>
      <w:r w:rsidRPr="00B004EE">
        <w:rPr>
          <w:rFonts w:ascii="Tahoma" w:hAnsi="Tahoma" w:cs="Tahoma"/>
          <w:sz w:val="20"/>
          <w:szCs w:val="20"/>
        </w:rPr>
        <w:t>vers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marchés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l’Union</w:t>
      </w:r>
      <w:r w:rsidR="00DB1635" w:rsidRPr="00B004EE">
        <w:rPr>
          <w:rFonts w:ascii="Tahoma" w:hAnsi="Tahoma" w:cs="Tahoma"/>
          <w:sz w:val="20"/>
          <w:szCs w:val="20"/>
        </w:rPr>
        <w:t xml:space="preserve"> </w:t>
      </w:r>
      <w:r w:rsidRPr="00B004EE">
        <w:rPr>
          <w:rFonts w:ascii="Tahoma" w:hAnsi="Tahoma" w:cs="Tahoma"/>
          <w:sz w:val="20"/>
          <w:szCs w:val="20"/>
        </w:rPr>
        <w:t>Européenne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fins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consommation</w:t>
      </w:r>
      <w:r w:rsidR="00DB1635" w:rsidRPr="00B004EE">
        <w:rPr>
          <w:rFonts w:ascii="Tahoma" w:hAnsi="Tahoma" w:cs="Tahoma"/>
          <w:sz w:val="20"/>
          <w:szCs w:val="20"/>
        </w:rPr>
        <w:t xml:space="preserve"> </w:t>
      </w:r>
      <w:r w:rsidRPr="00B004EE">
        <w:rPr>
          <w:rFonts w:ascii="Tahoma" w:hAnsi="Tahoma" w:cs="Tahoma"/>
          <w:sz w:val="20"/>
          <w:szCs w:val="20"/>
        </w:rPr>
        <w:t>humaine.</w:t>
      </w:r>
    </w:p>
    <w:p w14:paraId="37A2DE0B" w14:textId="77777777" w:rsidR="008105B4" w:rsidRPr="00B004EE" w:rsidRDefault="008105B4" w:rsidP="00B004EE">
      <w:pPr>
        <w:jc w:val="both"/>
        <w:rPr>
          <w:rFonts w:ascii="Tahoma" w:hAnsi="Tahoma" w:cs="Tahoma"/>
          <w:sz w:val="20"/>
          <w:szCs w:val="20"/>
        </w:rPr>
      </w:pPr>
    </w:p>
    <w:p w14:paraId="7E2D1E90" w14:textId="77F2E033" w:rsidR="008105B4" w:rsidRPr="00B004EE" w:rsidRDefault="008105B4" w:rsidP="00B004EE">
      <w:pPr>
        <w:jc w:val="both"/>
        <w:rPr>
          <w:rFonts w:ascii="Tahoma" w:hAnsi="Tahoma" w:cs="Tahoma"/>
          <w:sz w:val="20"/>
          <w:szCs w:val="20"/>
        </w:rPr>
      </w:pPr>
      <w:r w:rsidRPr="00B004EE">
        <w:rPr>
          <w:rFonts w:ascii="Tahoma" w:hAnsi="Tahoma" w:cs="Tahoma"/>
          <w:sz w:val="20"/>
          <w:szCs w:val="20"/>
        </w:rPr>
        <w:t>Article</w:t>
      </w:r>
      <w:r w:rsidR="00DB1635" w:rsidRPr="00B004EE">
        <w:rPr>
          <w:rFonts w:ascii="Tahoma" w:hAnsi="Tahoma" w:cs="Tahoma"/>
          <w:sz w:val="20"/>
          <w:szCs w:val="20"/>
        </w:rPr>
        <w:t xml:space="preserve"> </w:t>
      </w:r>
      <w:r w:rsidRPr="00B004EE">
        <w:rPr>
          <w:rFonts w:ascii="Tahoma" w:hAnsi="Tahoma" w:cs="Tahoma"/>
          <w:sz w:val="20"/>
          <w:szCs w:val="20"/>
        </w:rPr>
        <w:t>2</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sens</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présent</w:t>
      </w:r>
      <w:r w:rsidR="00DB1635" w:rsidRPr="00B004EE">
        <w:rPr>
          <w:rFonts w:ascii="Tahoma" w:hAnsi="Tahoma" w:cs="Tahoma"/>
          <w:sz w:val="20"/>
          <w:szCs w:val="20"/>
        </w:rPr>
        <w:t xml:space="preserve"> </w:t>
      </w:r>
      <w:r w:rsidRPr="00B004EE">
        <w:rPr>
          <w:rFonts w:ascii="Tahoma" w:hAnsi="Tahoma" w:cs="Tahoma"/>
          <w:sz w:val="20"/>
          <w:szCs w:val="20"/>
        </w:rPr>
        <w:t>arrêté</w:t>
      </w:r>
      <w:r w:rsidR="00DB1635" w:rsidRPr="00B004EE">
        <w:rPr>
          <w:rFonts w:ascii="Tahoma" w:hAnsi="Tahoma" w:cs="Tahoma"/>
          <w:sz w:val="20"/>
          <w:szCs w:val="20"/>
        </w:rPr>
        <w:t xml:space="preserve"> </w:t>
      </w:r>
      <w:r w:rsidRPr="00B004EE">
        <w:rPr>
          <w:rFonts w:ascii="Tahoma" w:hAnsi="Tahoma" w:cs="Tahoma"/>
          <w:sz w:val="20"/>
          <w:szCs w:val="20"/>
        </w:rPr>
        <w:t>on</w:t>
      </w:r>
      <w:r w:rsidR="00DB1635" w:rsidRPr="00B004EE">
        <w:rPr>
          <w:rFonts w:ascii="Tahoma" w:hAnsi="Tahoma" w:cs="Tahoma"/>
          <w:sz w:val="20"/>
          <w:szCs w:val="20"/>
        </w:rPr>
        <w:t xml:space="preserve"> </w:t>
      </w:r>
      <w:r w:rsidRPr="00B004EE">
        <w:rPr>
          <w:rFonts w:ascii="Tahoma" w:hAnsi="Tahoma" w:cs="Tahoma"/>
          <w:sz w:val="20"/>
          <w:szCs w:val="20"/>
        </w:rPr>
        <w:t>entend</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eaux</w:t>
      </w:r>
      <w:r w:rsidR="00DB1635" w:rsidRPr="00B004EE">
        <w:rPr>
          <w:rFonts w:ascii="Tahoma" w:hAnsi="Tahoma" w:cs="Tahoma"/>
          <w:sz w:val="20"/>
          <w:szCs w:val="20"/>
        </w:rPr>
        <w:t xml:space="preserve"> </w:t>
      </w:r>
      <w:r w:rsidRPr="00B004EE">
        <w:rPr>
          <w:rFonts w:ascii="Tahoma" w:hAnsi="Tahoma" w:cs="Tahoma"/>
          <w:sz w:val="20"/>
          <w:szCs w:val="20"/>
        </w:rPr>
        <w:t>utilisées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fins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fabrication,</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traitement,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conservation</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mise</w:t>
      </w:r>
      <w:r w:rsidR="00DB1635" w:rsidRPr="00B004EE">
        <w:rPr>
          <w:rFonts w:ascii="Tahoma" w:hAnsi="Tahoma" w:cs="Tahoma"/>
          <w:sz w:val="20"/>
          <w:szCs w:val="20"/>
        </w:rPr>
        <w:t xml:space="preserve"> </w:t>
      </w:r>
      <w:r w:rsidRPr="00B004EE">
        <w:rPr>
          <w:rFonts w:ascii="Tahoma" w:hAnsi="Tahoma" w:cs="Tahoma"/>
          <w:sz w:val="20"/>
          <w:szCs w:val="20"/>
        </w:rPr>
        <w:t>sur</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marché</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l’aquaculture,</w:t>
      </w:r>
      <w:r w:rsidR="00DB1635" w:rsidRPr="00B004EE">
        <w:rPr>
          <w:rFonts w:ascii="Tahoma" w:hAnsi="Tahoma" w:cs="Tahoma"/>
          <w:sz w:val="20"/>
          <w:szCs w:val="20"/>
        </w:rPr>
        <w:t xml:space="preserve"> </w:t>
      </w:r>
      <w:r w:rsidRPr="00B004EE">
        <w:rPr>
          <w:rFonts w:ascii="Tahoma" w:hAnsi="Tahoma" w:cs="Tahoma"/>
          <w:sz w:val="20"/>
          <w:szCs w:val="20"/>
        </w:rPr>
        <w:t>y</w:t>
      </w:r>
      <w:r w:rsidR="00DB1635" w:rsidRPr="00B004EE">
        <w:rPr>
          <w:rFonts w:ascii="Tahoma" w:hAnsi="Tahoma" w:cs="Tahoma"/>
          <w:sz w:val="20"/>
          <w:szCs w:val="20"/>
        </w:rPr>
        <w:t xml:space="preserve"> </w:t>
      </w:r>
      <w:r w:rsidRPr="00B004EE">
        <w:rPr>
          <w:rFonts w:ascii="Tahoma" w:hAnsi="Tahoma" w:cs="Tahoma"/>
          <w:sz w:val="20"/>
          <w:szCs w:val="20"/>
        </w:rPr>
        <w:t>compris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mollusques</w:t>
      </w:r>
      <w:r w:rsidR="00DB1635" w:rsidRPr="00B004EE">
        <w:rPr>
          <w:rFonts w:ascii="Tahoma" w:hAnsi="Tahoma" w:cs="Tahoma"/>
          <w:sz w:val="20"/>
          <w:szCs w:val="20"/>
        </w:rPr>
        <w:t xml:space="preserve"> </w:t>
      </w:r>
      <w:r w:rsidRPr="00B004EE">
        <w:rPr>
          <w:rFonts w:ascii="Tahoma" w:hAnsi="Tahoma" w:cs="Tahoma"/>
          <w:sz w:val="20"/>
          <w:szCs w:val="20"/>
        </w:rPr>
        <w:t>bivalves</w:t>
      </w:r>
      <w:r w:rsidR="00DB1635" w:rsidRPr="00B004EE">
        <w:rPr>
          <w:rFonts w:ascii="Tahoma" w:hAnsi="Tahoma" w:cs="Tahoma"/>
          <w:sz w:val="20"/>
          <w:szCs w:val="20"/>
        </w:rPr>
        <w:t xml:space="preserve"> </w:t>
      </w:r>
      <w:r w:rsidRPr="00B004EE">
        <w:rPr>
          <w:rFonts w:ascii="Tahoma" w:hAnsi="Tahoma" w:cs="Tahoma"/>
          <w:sz w:val="20"/>
          <w:szCs w:val="20"/>
        </w:rPr>
        <w:t>vivants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leurs</w:t>
      </w:r>
      <w:r w:rsidR="00DB1635" w:rsidRPr="00B004EE">
        <w:rPr>
          <w:rFonts w:ascii="Tahoma" w:hAnsi="Tahoma" w:cs="Tahoma"/>
          <w:sz w:val="20"/>
          <w:szCs w:val="20"/>
        </w:rPr>
        <w:t xml:space="preserve"> </w:t>
      </w:r>
      <w:r w:rsidRPr="00B004EE">
        <w:rPr>
          <w:rFonts w:ascii="Tahoma" w:hAnsi="Tahoma" w:cs="Tahoma"/>
          <w:sz w:val="20"/>
          <w:szCs w:val="20"/>
        </w:rPr>
        <w:t>dérivés</w:t>
      </w:r>
      <w:r w:rsidR="00DB1635" w:rsidRPr="00B004EE">
        <w:rPr>
          <w:rFonts w:ascii="Tahoma" w:hAnsi="Tahoma" w:cs="Tahoma"/>
          <w:sz w:val="20"/>
          <w:szCs w:val="20"/>
        </w:rPr>
        <w:t xml:space="preserve"> </w:t>
      </w:r>
      <w:r w:rsidRPr="00B004EE">
        <w:rPr>
          <w:rFonts w:ascii="Tahoma" w:hAnsi="Tahoma" w:cs="Tahoma"/>
          <w:sz w:val="20"/>
          <w:szCs w:val="20"/>
        </w:rPr>
        <w:t>toutes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eaux</w:t>
      </w:r>
      <w:r w:rsidR="00DB1635" w:rsidRPr="00B004EE">
        <w:rPr>
          <w:rFonts w:ascii="Tahoma" w:hAnsi="Tahoma" w:cs="Tahoma"/>
          <w:sz w:val="20"/>
          <w:szCs w:val="20"/>
        </w:rPr>
        <w:t xml:space="preserve"> </w:t>
      </w:r>
      <w:r w:rsidRPr="00B004EE">
        <w:rPr>
          <w:rFonts w:ascii="Tahoma" w:hAnsi="Tahoma" w:cs="Tahoma"/>
          <w:sz w:val="20"/>
          <w:szCs w:val="20"/>
        </w:rPr>
        <w:t>destinées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ces</w:t>
      </w:r>
      <w:r w:rsidR="00DB1635" w:rsidRPr="00B004EE">
        <w:rPr>
          <w:rFonts w:ascii="Tahoma" w:hAnsi="Tahoma" w:cs="Tahoma"/>
          <w:sz w:val="20"/>
          <w:szCs w:val="20"/>
        </w:rPr>
        <w:t xml:space="preserve"> </w:t>
      </w:r>
      <w:r w:rsidRPr="00B004EE">
        <w:rPr>
          <w:rFonts w:ascii="Tahoma" w:hAnsi="Tahoma" w:cs="Tahoma"/>
          <w:sz w:val="20"/>
          <w:szCs w:val="20"/>
        </w:rPr>
        <w:t>fins,</w:t>
      </w:r>
      <w:r w:rsidR="00DB1635" w:rsidRPr="00B004EE">
        <w:rPr>
          <w:rFonts w:ascii="Tahoma" w:hAnsi="Tahoma" w:cs="Tahoma"/>
          <w:sz w:val="20"/>
          <w:szCs w:val="20"/>
        </w:rPr>
        <w:t xml:space="preserve"> </w:t>
      </w:r>
      <w:r w:rsidRPr="00B004EE">
        <w:rPr>
          <w:rFonts w:ascii="Tahoma" w:hAnsi="Tahoma" w:cs="Tahoma"/>
          <w:sz w:val="20"/>
          <w:szCs w:val="20"/>
        </w:rPr>
        <w:t>soit</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l’état,</w:t>
      </w:r>
      <w:r w:rsidR="00DB1635" w:rsidRPr="00B004EE">
        <w:rPr>
          <w:rFonts w:ascii="Tahoma" w:hAnsi="Tahoma" w:cs="Tahoma"/>
          <w:sz w:val="20"/>
          <w:szCs w:val="20"/>
        </w:rPr>
        <w:t xml:space="preserve"> </w:t>
      </w:r>
      <w:r w:rsidRPr="00B004EE">
        <w:rPr>
          <w:rFonts w:ascii="Tahoma" w:hAnsi="Tahoma" w:cs="Tahoma"/>
          <w:sz w:val="20"/>
          <w:szCs w:val="20"/>
        </w:rPr>
        <w:t>soit</w:t>
      </w:r>
      <w:r w:rsidR="00DB1635" w:rsidRPr="00B004EE">
        <w:rPr>
          <w:rFonts w:ascii="Tahoma" w:hAnsi="Tahoma" w:cs="Tahoma"/>
          <w:sz w:val="20"/>
          <w:szCs w:val="20"/>
        </w:rPr>
        <w:t xml:space="preserve"> </w:t>
      </w:r>
      <w:r w:rsidRPr="00B004EE">
        <w:rPr>
          <w:rFonts w:ascii="Tahoma" w:hAnsi="Tahoma" w:cs="Tahoma"/>
          <w:sz w:val="20"/>
          <w:szCs w:val="20"/>
        </w:rPr>
        <w:t>après</w:t>
      </w:r>
      <w:r w:rsidR="00DB1635" w:rsidRPr="00B004EE">
        <w:rPr>
          <w:rFonts w:ascii="Tahoma" w:hAnsi="Tahoma" w:cs="Tahoma"/>
          <w:sz w:val="20"/>
          <w:szCs w:val="20"/>
        </w:rPr>
        <w:t xml:space="preserve"> </w:t>
      </w:r>
      <w:r w:rsidRPr="00B004EE">
        <w:rPr>
          <w:rFonts w:ascii="Tahoma" w:hAnsi="Tahoma" w:cs="Tahoma"/>
          <w:sz w:val="20"/>
          <w:szCs w:val="20"/>
        </w:rPr>
        <w:t>traitement,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quelque</w:t>
      </w:r>
      <w:r w:rsidR="00DB1635" w:rsidRPr="00B004EE">
        <w:rPr>
          <w:rFonts w:ascii="Tahoma" w:hAnsi="Tahoma" w:cs="Tahoma"/>
          <w:sz w:val="20"/>
          <w:szCs w:val="20"/>
        </w:rPr>
        <w:t xml:space="preserve"> </w:t>
      </w:r>
      <w:r w:rsidRPr="00B004EE">
        <w:rPr>
          <w:rFonts w:ascii="Tahoma" w:hAnsi="Tahoma" w:cs="Tahoma"/>
          <w:sz w:val="20"/>
          <w:szCs w:val="20"/>
        </w:rPr>
        <w:t>origine</w:t>
      </w:r>
      <w:r w:rsidR="00DB1635" w:rsidRPr="00B004EE">
        <w:rPr>
          <w:rFonts w:ascii="Tahoma" w:hAnsi="Tahoma" w:cs="Tahoma"/>
          <w:sz w:val="20"/>
          <w:szCs w:val="20"/>
        </w:rPr>
        <w:t xml:space="preserve"> </w:t>
      </w:r>
      <w:r w:rsidRPr="00B004EE">
        <w:rPr>
          <w:rFonts w:ascii="Tahoma" w:hAnsi="Tahoma" w:cs="Tahoma"/>
          <w:sz w:val="20"/>
          <w:szCs w:val="20"/>
        </w:rPr>
        <w:t>qu’elles</w:t>
      </w:r>
      <w:r w:rsidR="00DB1635" w:rsidRPr="00B004EE">
        <w:rPr>
          <w:rFonts w:ascii="Tahoma" w:hAnsi="Tahoma" w:cs="Tahoma"/>
          <w:sz w:val="20"/>
          <w:szCs w:val="20"/>
        </w:rPr>
        <w:t xml:space="preserve"> </w:t>
      </w:r>
      <w:r w:rsidRPr="00B004EE">
        <w:rPr>
          <w:rFonts w:ascii="Tahoma" w:hAnsi="Tahoma" w:cs="Tahoma"/>
          <w:sz w:val="20"/>
          <w:szCs w:val="20"/>
        </w:rPr>
        <w:t>soient.</w:t>
      </w:r>
    </w:p>
    <w:p w14:paraId="23FA80F6" w14:textId="77777777" w:rsidR="008105B4" w:rsidRPr="00B004EE" w:rsidRDefault="008105B4" w:rsidP="00B004EE">
      <w:pPr>
        <w:jc w:val="both"/>
        <w:rPr>
          <w:rFonts w:ascii="Tahoma" w:hAnsi="Tahoma" w:cs="Tahoma"/>
          <w:sz w:val="20"/>
          <w:szCs w:val="20"/>
        </w:rPr>
      </w:pPr>
    </w:p>
    <w:p w14:paraId="5C322094" w14:textId="244D57C1" w:rsidR="008105B4" w:rsidRPr="00B004EE" w:rsidRDefault="008105B4" w:rsidP="00B004EE">
      <w:pPr>
        <w:jc w:val="both"/>
        <w:rPr>
          <w:rFonts w:ascii="Tahoma" w:hAnsi="Tahoma" w:cs="Tahoma"/>
          <w:sz w:val="20"/>
          <w:szCs w:val="20"/>
        </w:rPr>
      </w:pPr>
      <w:r w:rsidRPr="00B004EE">
        <w:rPr>
          <w:rFonts w:ascii="Tahoma" w:hAnsi="Tahoma" w:cs="Tahoma"/>
          <w:sz w:val="20"/>
          <w:szCs w:val="20"/>
        </w:rPr>
        <w:t>Article</w:t>
      </w:r>
      <w:r w:rsidR="00DB1635" w:rsidRPr="00B004EE">
        <w:rPr>
          <w:rFonts w:ascii="Tahoma" w:hAnsi="Tahoma" w:cs="Tahoma"/>
          <w:sz w:val="20"/>
          <w:szCs w:val="20"/>
        </w:rPr>
        <w:t xml:space="preserve"> </w:t>
      </w:r>
      <w:r w:rsidRPr="00B004EE">
        <w:rPr>
          <w:rFonts w:ascii="Tahoma" w:hAnsi="Tahoma" w:cs="Tahoma"/>
          <w:sz w:val="20"/>
          <w:szCs w:val="20"/>
        </w:rPr>
        <w:t>3</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eaux</w:t>
      </w:r>
      <w:r w:rsidR="00DB1635" w:rsidRPr="00B004EE">
        <w:rPr>
          <w:rFonts w:ascii="Tahoma" w:hAnsi="Tahoma" w:cs="Tahoma"/>
          <w:sz w:val="20"/>
          <w:szCs w:val="20"/>
        </w:rPr>
        <w:t xml:space="preserve"> </w:t>
      </w:r>
      <w:r w:rsidRPr="00B004EE">
        <w:rPr>
          <w:rFonts w:ascii="Tahoma" w:hAnsi="Tahoma" w:cs="Tahoma"/>
          <w:sz w:val="20"/>
          <w:szCs w:val="20"/>
        </w:rPr>
        <w:t>utilisées</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l’industrie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traitement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l’aquaculture</w:t>
      </w:r>
      <w:r w:rsidR="00DB1635" w:rsidRPr="00B004EE">
        <w:rPr>
          <w:rFonts w:ascii="Tahoma" w:hAnsi="Tahoma" w:cs="Tahoma"/>
          <w:sz w:val="20"/>
          <w:szCs w:val="20"/>
        </w:rPr>
        <w:t xml:space="preserve"> </w:t>
      </w:r>
      <w:r w:rsidRPr="00B004EE">
        <w:rPr>
          <w:rFonts w:ascii="Tahoma" w:hAnsi="Tahoma" w:cs="Tahoma"/>
          <w:sz w:val="20"/>
          <w:szCs w:val="20"/>
        </w:rPr>
        <w:t>visées</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présent</w:t>
      </w:r>
      <w:r w:rsidR="00DB1635" w:rsidRPr="00B004EE">
        <w:rPr>
          <w:rFonts w:ascii="Tahoma" w:hAnsi="Tahoma" w:cs="Tahoma"/>
          <w:sz w:val="20"/>
          <w:szCs w:val="20"/>
        </w:rPr>
        <w:t xml:space="preserve"> </w:t>
      </w:r>
      <w:r w:rsidRPr="00B004EE">
        <w:rPr>
          <w:rFonts w:ascii="Tahoma" w:hAnsi="Tahoma" w:cs="Tahoma"/>
          <w:sz w:val="20"/>
          <w:szCs w:val="20"/>
        </w:rPr>
        <w:t>arrêté,</w:t>
      </w:r>
      <w:r w:rsidR="00DB1635" w:rsidRPr="00B004EE">
        <w:rPr>
          <w:rFonts w:ascii="Tahoma" w:hAnsi="Tahoma" w:cs="Tahoma"/>
          <w:sz w:val="20"/>
          <w:szCs w:val="20"/>
        </w:rPr>
        <w:t xml:space="preserve"> </w:t>
      </w:r>
      <w:r w:rsidRPr="00B004EE">
        <w:rPr>
          <w:rFonts w:ascii="Tahoma" w:hAnsi="Tahoma" w:cs="Tahoma"/>
          <w:sz w:val="20"/>
          <w:szCs w:val="20"/>
        </w:rPr>
        <w:t>doivent</w:t>
      </w:r>
      <w:r w:rsidR="00DB1635" w:rsidRPr="00B004EE">
        <w:rPr>
          <w:rFonts w:ascii="Tahoma" w:hAnsi="Tahoma" w:cs="Tahoma"/>
          <w:sz w:val="20"/>
          <w:szCs w:val="20"/>
        </w:rPr>
        <w:t xml:space="preserve"> </w:t>
      </w:r>
      <w:r w:rsidRPr="00B004EE">
        <w:rPr>
          <w:rFonts w:ascii="Tahoma" w:hAnsi="Tahoma" w:cs="Tahoma"/>
          <w:sz w:val="20"/>
          <w:szCs w:val="20"/>
        </w:rPr>
        <w:t>répondre</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critères</w:t>
      </w:r>
      <w:r w:rsidR="00DB1635" w:rsidRPr="00B004EE">
        <w:rPr>
          <w:rFonts w:ascii="Tahoma" w:hAnsi="Tahoma" w:cs="Tahoma"/>
          <w:sz w:val="20"/>
          <w:szCs w:val="20"/>
        </w:rPr>
        <w:t xml:space="preserve"> </w:t>
      </w:r>
      <w:r w:rsidRPr="00B004EE">
        <w:rPr>
          <w:rFonts w:ascii="Tahoma" w:hAnsi="Tahoma" w:cs="Tahoma"/>
          <w:sz w:val="20"/>
          <w:szCs w:val="20"/>
        </w:rPr>
        <w:t>microbiologiques,</w:t>
      </w:r>
      <w:r w:rsidR="00DB1635" w:rsidRPr="00B004EE">
        <w:rPr>
          <w:rFonts w:ascii="Tahoma" w:hAnsi="Tahoma" w:cs="Tahoma"/>
          <w:sz w:val="20"/>
          <w:szCs w:val="20"/>
        </w:rPr>
        <w:t xml:space="preserve"> </w:t>
      </w:r>
      <w:r w:rsidRPr="00B004EE">
        <w:rPr>
          <w:rFonts w:ascii="Tahoma" w:hAnsi="Tahoma" w:cs="Tahoma"/>
          <w:sz w:val="20"/>
          <w:szCs w:val="20"/>
        </w:rPr>
        <w:t>chimiques,</w:t>
      </w:r>
      <w:r w:rsidR="00DB1635" w:rsidRPr="00B004EE">
        <w:rPr>
          <w:rFonts w:ascii="Tahoma" w:hAnsi="Tahoma" w:cs="Tahoma"/>
          <w:sz w:val="20"/>
          <w:szCs w:val="20"/>
        </w:rPr>
        <w:t xml:space="preserve"> </w:t>
      </w:r>
      <w:r w:rsidRPr="00B004EE">
        <w:rPr>
          <w:rFonts w:ascii="Tahoma" w:hAnsi="Tahoma" w:cs="Tahoma"/>
          <w:sz w:val="20"/>
          <w:szCs w:val="20"/>
        </w:rPr>
        <w:t>physico-chimiques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organoleptiques,</w:t>
      </w:r>
      <w:r w:rsidR="00DB1635" w:rsidRPr="00B004EE">
        <w:rPr>
          <w:rFonts w:ascii="Tahoma" w:hAnsi="Tahoma" w:cs="Tahoma"/>
          <w:sz w:val="20"/>
          <w:szCs w:val="20"/>
        </w:rPr>
        <w:t xml:space="preserve"> </w:t>
      </w:r>
      <w:r w:rsidRPr="00B004EE">
        <w:rPr>
          <w:rFonts w:ascii="Tahoma" w:hAnsi="Tahoma" w:cs="Tahoma"/>
          <w:sz w:val="20"/>
          <w:szCs w:val="20"/>
        </w:rPr>
        <w:t>fixés</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l’Annexe</w:t>
      </w:r>
      <w:r w:rsidR="00DB1635" w:rsidRPr="00B004EE">
        <w:rPr>
          <w:rFonts w:ascii="Tahoma" w:hAnsi="Tahoma" w:cs="Tahoma"/>
          <w:sz w:val="20"/>
          <w:szCs w:val="20"/>
        </w:rPr>
        <w:t xml:space="preserve"> </w:t>
      </w:r>
      <w:r w:rsidRPr="00B004EE">
        <w:rPr>
          <w:rFonts w:ascii="Tahoma" w:hAnsi="Tahoma" w:cs="Tahoma"/>
          <w:sz w:val="20"/>
          <w:szCs w:val="20"/>
        </w:rPr>
        <w:t>I</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présent</w:t>
      </w:r>
      <w:r w:rsidR="00DB1635" w:rsidRPr="00B004EE">
        <w:rPr>
          <w:rFonts w:ascii="Tahoma" w:hAnsi="Tahoma" w:cs="Tahoma"/>
          <w:sz w:val="20"/>
          <w:szCs w:val="20"/>
        </w:rPr>
        <w:t xml:space="preserve"> </w:t>
      </w:r>
      <w:r w:rsidRPr="00B004EE">
        <w:rPr>
          <w:rFonts w:ascii="Tahoma" w:hAnsi="Tahoma" w:cs="Tahoma"/>
          <w:sz w:val="20"/>
          <w:szCs w:val="20"/>
        </w:rPr>
        <w:t>arrêté</w:t>
      </w:r>
      <w:r w:rsidR="00DB1635" w:rsidRPr="00B004EE">
        <w:rPr>
          <w:rFonts w:ascii="Tahoma" w:hAnsi="Tahoma" w:cs="Tahoma"/>
          <w:sz w:val="20"/>
          <w:szCs w:val="20"/>
        </w:rPr>
        <w:t xml:space="preserve"> </w:t>
      </w:r>
      <w:r w:rsidRPr="00B004EE">
        <w:rPr>
          <w:rFonts w:ascii="Tahoma" w:hAnsi="Tahoma" w:cs="Tahoma"/>
          <w:sz w:val="20"/>
          <w:szCs w:val="20"/>
        </w:rPr>
        <w:t>qui</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fait</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partie</w:t>
      </w:r>
      <w:r w:rsidR="00DB1635" w:rsidRPr="00B004EE">
        <w:rPr>
          <w:rFonts w:ascii="Tahoma" w:hAnsi="Tahoma" w:cs="Tahoma"/>
          <w:sz w:val="20"/>
          <w:szCs w:val="20"/>
        </w:rPr>
        <w:t xml:space="preserve"> </w:t>
      </w:r>
      <w:r w:rsidRPr="00B004EE">
        <w:rPr>
          <w:rFonts w:ascii="Tahoma" w:hAnsi="Tahoma" w:cs="Tahoma"/>
          <w:sz w:val="20"/>
          <w:szCs w:val="20"/>
        </w:rPr>
        <w:t>intégrante.</w:t>
      </w:r>
    </w:p>
    <w:p w14:paraId="0A18A4FC" w14:textId="77777777" w:rsidR="008105B4" w:rsidRPr="00B004EE" w:rsidRDefault="008105B4" w:rsidP="00B004EE">
      <w:pPr>
        <w:jc w:val="both"/>
        <w:rPr>
          <w:rFonts w:ascii="Tahoma" w:hAnsi="Tahoma" w:cs="Tahoma"/>
          <w:sz w:val="20"/>
          <w:szCs w:val="20"/>
        </w:rPr>
      </w:pPr>
    </w:p>
    <w:p w14:paraId="6E7E1B81" w14:textId="2CDA2D27" w:rsidR="008105B4" w:rsidRPr="00B004EE" w:rsidRDefault="008105B4" w:rsidP="00B004EE">
      <w:pPr>
        <w:autoSpaceDE w:val="0"/>
        <w:autoSpaceDN w:val="0"/>
        <w:adjustRightInd w:val="0"/>
        <w:jc w:val="both"/>
        <w:rPr>
          <w:rFonts w:ascii="Tahoma" w:hAnsi="Tahoma" w:cs="Tahoma"/>
          <w:sz w:val="20"/>
          <w:szCs w:val="20"/>
        </w:rPr>
      </w:pPr>
      <w:r w:rsidRPr="00B004EE">
        <w:rPr>
          <w:rFonts w:ascii="Tahoma" w:hAnsi="Tahoma" w:cs="Tahoma"/>
          <w:sz w:val="20"/>
          <w:szCs w:val="20"/>
        </w:rPr>
        <w:t>Article</w:t>
      </w:r>
      <w:r w:rsidR="00DB1635" w:rsidRPr="00B004EE">
        <w:rPr>
          <w:rFonts w:ascii="Tahoma" w:hAnsi="Tahoma" w:cs="Tahoma"/>
          <w:sz w:val="20"/>
          <w:szCs w:val="20"/>
        </w:rPr>
        <w:t xml:space="preserve"> </w:t>
      </w:r>
      <w:r w:rsidRPr="00B004EE">
        <w:rPr>
          <w:rFonts w:ascii="Tahoma" w:hAnsi="Tahoma" w:cs="Tahoma"/>
          <w:sz w:val="20"/>
          <w:szCs w:val="20"/>
        </w:rPr>
        <w:t>4</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Sanctions</w:t>
      </w:r>
    </w:p>
    <w:p w14:paraId="40EBA2AE" w14:textId="68F6ABB8" w:rsidR="008105B4" w:rsidRPr="00B004EE" w:rsidRDefault="008105B4" w:rsidP="00B004EE">
      <w:pPr>
        <w:autoSpaceDE w:val="0"/>
        <w:autoSpaceDN w:val="0"/>
        <w:adjustRightInd w:val="0"/>
        <w:jc w:val="both"/>
        <w:rPr>
          <w:rFonts w:ascii="Tahoma" w:hAnsi="Tahoma" w:cs="Tahoma"/>
          <w:sz w:val="20"/>
          <w:szCs w:val="20"/>
        </w:rPr>
      </w:pP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infractions</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présent</w:t>
      </w:r>
      <w:r w:rsidR="00DB1635" w:rsidRPr="00B004EE">
        <w:rPr>
          <w:rFonts w:ascii="Tahoma" w:hAnsi="Tahoma" w:cs="Tahoma"/>
          <w:sz w:val="20"/>
          <w:szCs w:val="20"/>
        </w:rPr>
        <w:t xml:space="preserve"> </w:t>
      </w:r>
      <w:r w:rsidRPr="00B004EE">
        <w:rPr>
          <w:rFonts w:ascii="Tahoma" w:hAnsi="Tahoma" w:cs="Tahoma"/>
          <w:sz w:val="20"/>
          <w:szCs w:val="20"/>
        </w:rPr>
        <w:t>arrêté</w:t>
      </w:r>
      <w:r w:rsidR="00DB1635" w:rsidRPr="00B004EE">
        <w:rPr>
          <w:rFonts w:ascii="Tahoma" w:hAnsi="Tahoma" w:cs="Tahoma"/>
          <w:sz w:val="20"/>
          <w:szCs w:val="20"/>
        </w:rPr>
        <w:t xml:space="preserve"> </w:t>
      </w:r>
      <w:r w:rsidRPr="00B004EE">
        <w:rPr>
          <w:rFonts w:ascii="Tahoma" w:hAnsi="Tahoma" w:cs="Tahoma"/>
          <w:sz w:val="20"/>
          <w:szCs w:val="20"/>
        </w:rPr>
        <w:t>seront</w:t>
      </w:r>
      <w:r w:rsidR="00DB1635" w:rsidRPr="00B004EE">
        <w:rPr>
          <w:rFonts w:ascii="Tahoma" w:hAnsi="Tahoma" w:cs="Tahoma"/>
          <w:sz w:val="20"/>
          <w:szCs w:val="20"/>
        </w:rPr>
        <w:t xml:space="preserve"> </w:t>
      </w:r>
      <w:r w:rsidRPr="00B004EE">
        <w:rPr>
          <w:rFonts w:ascii="Tahoma" w:hAnsi="Tahoma" w:cs="Tahoma"/>
          <w:sz w:val="20"/>
          <w:szCs w:val="20"/>
        </w:rPr>
        <w:t>punies</w:t>
      </w:r>
      <w:r w:rsidR="00DB1635" w:rsidRPr="00B004EE">
        <w:rPr>
          <w:rFonts w:ascii="Tahoma" w:hAnsi="Tahoma" w:cs="Tahoma"/>
          <w:sz w:val="20"/>
          <w:szCs w:val="20"/>
        </w:rPr>
        <w:t xml:space="preserve"> </w:t>
      </w:r>
      <w:r w:rsidRPr="00B004EE">
        <w:rPr>
          <w:rFonts w:ascii="Tahoma" w:hAnsi="Tahoma" w:cs="Tahoma"/>
          <w:sz w:val="20"/>
          <w:szCs w:val="20"/>
        </w:rPr>
        <w:t>conformément</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dispositions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l’article</w:t>
      </w:r>
      <w:r w:rsidR="00DB1635" w:rsidRPr="00B004EE">
        <w:rPr>
          <w:rFonts w:ascii="Tahoma" w:hAnsi="Tahoma" w:cs="Tahoma"/>
          <w:sz w:val="20"/>
          <w:szCs w:val="20"/>
        </w:rPr>
        <w:t xml:space="preserve"> </w:t>
      </w:r>
      <w:r w:rsidRPr="00B004EE">
        <w:rPr>
          <w:rFonts w:ascii="Tahoma" w:hAnsi="Tahoma" w:cs="Tahoma"/>
          <w:sz w:val="20"/>
          <w:szCs w:val="20"/>
        </w:rPr>
        <w:t>72</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l’ordonnance</w:t>
      </w:r>
      <w:r w:rsidR="00DB1635" w:rsidRPr="00B004EE">
        <w:rPr>
          <w:rFonts w:ascii="Tahoma" w:hAnsi="Tahoma" w:cs="Tahoma"/>
          <w:sz w:val="20"/>
          <w:szCs w:val="20"/>
        </w:rPr>
        <w:t xml:space="preserve"> </w:t>
      </w:r>
      <w:r w:rsidRPr="00B004EE">
        <w:rPr>
          <w:rFonts w:ascii="Tahoma" w:hAnsi="Tahoma" w:cs="Tahoma"/>
          <w:sz w:val="20"/>
          <w:szCs w:val="20"/>
        </w:rPr>
        <w:t>n°</w:t>
      </w:r>
      <w:r w:rsidR="00DB1635" w:rsidRPr="00B004EE">
        <w:rPr>
          <w:rFonts w:ascii="Tahoma" w:hAnsi="Tahoma" w:cs="Tahoma"/>
          <w:sz w:val="20"/>
          <w:szCs w:val="20"/>
        </w:rPr>
        <w:t xml:space="preserve"> </w:t>
      </w:r>
      <w:r w:rsidRPr="00B004EE">
        <w:rPr>
          <w:rFonts w:ascii="Tahoma" w:hAnsi="Tahoma" w:cs="Tahoma"/>
          <w:sz w:val="20"/>
          <w:szCs w:val="20"/>
        </w:rPr>
        <w:t>2000-025</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24</w:t>
      </w:r>
      <w:r w:rsidR="00DB1635" w:rsidRPr="00B004EE">
        <w:rPr>
          <w:rFonts w:ascii="Tahoma" w:hAnsi="Tahoma" w:cs="Tahoma"/>
          <w:sz w:val="20"/>
          <w:szCs w:val="20"/>
        </w:rPr>
        <w:t xml:space="preserve"> </w:t>
      </w:r>
      <w:r w:rsidRPr="00B004EE">
        <w:rPr>
          <w:rFonts w:ascii="Tahoma" w:hAnsi="Tahoma" w:cs="Tahoma"/>
          <w:sz w:val="20"/>
          <w:szCs w:val="20"/>
        </w:rPr>
        <w:t>janvier</w:t>
      </w:r>
      <w:r w:rsidR="00DB1635" w:rsidRPr="00B004EE">
        <w:rPr>
          <w:rFonts w:ascii="Tahoma" w:hAnsi="Tahoma" w:cs="Tahoma"/>
          <w:sz w:val="20"/>
          <w:szCs w:val="20"/>
        </w:rPr>
        <w:t xml:space="preserve"> </w:t>
      </w:r>
      <w:r w:rsidRPr="00B004EE">
        <w:rPr>
          <w:rFonts w:ascii="Tahoma" w:hAnsi="Tahoma" w:cs="Tahoma"/>
          <w:sz w:val="20"/>
          <w:szCs w:val="20"/>
        </w:rPr>
        <w:t>2000</w:t>
      </w:r>
      <w:r w:rsidR="00DB1635" w:rsidRPr="00B004EE">
        <w:rPr>
          <w:rFonts w:ascii="Tahoma" w:hAnsi="Tahoma" w:cs="Tahoma"/>
          <w:sz w:val="20"/>
          <w:szCs w:val="20"/>
        </w:rPr>
        <w:t xml:space="preserve"> </w:t>
      </w:r>
      <w:r w:rsidRPr="00B004EE">
        <w:rPr>
          <w:rFonts w:ascii="Tahoma" w:hAnsi="Tahoma" w:cs="Tahoma"/>
          <w:sz w:val="20"/>
          <w:szCs w:val="20"/>
        </w:rPr>
        <w:t>portant</w:t>
      </w:r>
      <w:r w:rsidR="00DB1635" w:rsidRPr="00B004EE">
        <w:rPr>
          <w:rFonts w:ascii="Tahoma" w:hAnsi="Tahoma" w:cs="Tahoma"/>
          <w:sz w:val="20"/>
          <w:szCs w:val="20"/>
        </w:rPr>
        <w:t xml:space="preserve"> </w:t>
      </w:r>
      <w:r w:rsidRPr="00B004EE">
        <w:rPr>
          <w:rFonts w:ascii="Tahoma" w:hAnsi="Tahoma" w:cs="Tahoma"/>
          <w:sz w:val="20"/>
          <w:szCs w:val="20"/>
        </w:rPr>
        <w:t>Code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sz w:val="20"/>
          <w:szCs w:val="20"/>
        </w:rPr>
        <w:t xml:space="preserve"> </w:t>
      </w:r>
    </w:p>
    <w:p w14:paraId="2ACCCF25" w14:textId="77777777" w:rsidR="008105B4" w:rsidRPr="00B004EE" w:rsidRDefault="008105B4" w:rsidP="00B004EE">
      <w:pPr>
        <w:jc w:val="both"/>
        <w:rPr>
          <w:rFonts w:ascii="Tahoma" w:hAnsi="Tahoma" w:cs="Tahoma"/>
          <w:sz w:val="20"/>
          <w:szCs w:val="20"/>
        </w:rPr>
      </w:pPr>
    </w:p>
    <w:p w14:paraId="0E33816E" w14:textId="05FEC808" w:rsidR="008105B4" w:rsidRPr="00B004EE" w:rsidRDefault="008105B4" w:rsidP="00B004EE">
      <w:pPr>
        <w:jc w:val="both"/>
        <w:rPr>
          <w:rFonts w:ascii="Tahoma" w:hAnsi="Tahoma" w:cs="Tahoma"/>
          <w:sz w:val="20"/>
          <w:szCs w:val="20"/>
        </w:rPr>
      </w:pPr>
      <w:r w:rsidRPr="00B004EE">
        <w:rPr>
          <w:rFonts w:ascii="Tahoma" w:hAnsi="Tahoma" w:cs="Tahoma"/>
          <w:sz w:val="20"/>
          <w:szCs w:val="20"/>
        </w:rPr>
        <w:t>Article</w:t>
      </w:r>
      <w:r w:rsidR="00DB1635" w:rsidRPr="00B004EE">
        <w:rPr>
          <w:rFonts w:ascii="Tahoma" w:hAnsi="Tahoma" w:cs="Tahoma"/>
          <w:sz w:val="20"/>
          <w:szCs w:val="20"/>
        </w:rPr>
        <w:t xml:space="preserve"> </w:t>
      </w:r>
      <w:r w:rsidRPr="00B004EE">
        <w:rPr>
          <w:rFonts w:ascii="Tahoma" w:hAnsi="Tahoma" w:cs="Tahoma"/>
          <w:sz w:val="20"/>
          <w:szCs w:val="20"/>
        </w:rPr>
        <w:t>5</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Secrétaire</w:t>
      </w:r>
      <w:r w:rsidR="00DB1635" w:rsidRPr="00B004EE">
        <w:rPr>
          <w:rFonts w:ascii="Tahoma" w:hAnsi="Tahoma" w:cs="Tahoma"/>
          <w:sz w:val="20"/>
          <w:szCs w:val="20"/>
        </w:rPr>
        <w:t xml:space="preserve"> </w:t>
      </w:r>
      <w:r w:rsidRPr="00B004EE">
        <w:rPr>
          <w:rFonts w:ascii="Tahoma" w:hAnsi="Tahoma" w:cs="Tahoma"/>
          <w:sz w:val="20"/>
          <w:szCs w:val="20"/>
        </w:rPr>
        <w:t>Général</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Ministère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l’Economie</w:t>
      </w:r>
      <w:r w:rsidR="00DB1635" w:rsidRPr="00B004EE">
        <w:rPr>
          <w:rFonts w:ascii="Tahoma" w:hAnsi="Tahoma" w:cs="Tahoma"/>
          <w:sz w:val="20"/>
          <w:szCs w:val="20"/>
        </w:rPr>
        <w:t xml:space="preserve"> </w:t>
      </w:r>
      <w:r w:rsidRPr="00B004EE">
        <w:rPr>
          <w:rFonts w:ascii="Tahoma" w:hAnsi="Tahoma" w:cs="Tahoma"/>
          <w:sz w:val="20"/>
          <w:szCs w:val="20"/>
        </w:rPr>
        <w:t>Maritime,</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Secrétaire</w:t>
      </w:r>
      <w:r w:rsidR="00DB1635" w:rsidRPr="00B004EE">
        <w:rPr>
          <w:rFonts w:ascii="Tahoma" w:hAnsi="Tahoma" w:cs="Tahoma"/>
          <w:sz w:val="20"/>
          <w:szCs w:val="20"/>
        </w:rPr>
        <w:t xml:space="preserve"> </w:t>
      </w:r>
      <w:r w:rsidRPr="00B004EE">
        <w:rPr>
          <w:rFonts w:ascii="Tahoma" w:hAnsi="Tahoma" w:cs="Tahoma"/>
          <w:sz w:val="20"/>
          <w:szCs w:val="20"/>
        </w:rPr>
        <w:t>Général</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Ministre</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Commerce,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l’Artisanat</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Tourisme,</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Secrétaire</w:t>
      </w:r>
      <w:r w:rsidR="00DB1635" w:rsidRPr="00B004EE">
        <w:rPr>
          <w:rFonts w:ascii="Tahoma" w:hAnsi="Tahoma" w:cs="Tahoma"/>
          <w:sz w:val="20"/>
          <w:szCs w:val="20"/>
        </w:rPr>
        <w:t xml:space="preserve"> </w:t>
      </w:r>
      <w:r w:rsidRPr="00B004EE">
        <w:rPr>
          <w:rFonts w:ascii="Tahoma" w:hAnsi="Tahoma" w:cs="Tahoma"/>
          <w:sz w:val="20"/>
          <w:szCs w:val="20"/>
        </w:rPr>
        <w:t>Général</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Ministère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l'Hydraulique,</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Secrétaire</w:t>
      </w:r>
      <w:r w:rsidR="00DB1635" w:rsidRPr="00B004EE">
        <w:rPr>
          <w:rFonts w:ascii="Tahoma" w:hAnsi="Tahoma" w:cs="Tahoma"/>
          <w:sz w:val="20"/>
          <w:szCs w:val="20"/>
        </w:rPr>
        <w:t xml:space="preserve"> </w:t>
      </w:r>
      <w:r w:rsidRPr="00B004EE">
        <w:rPr>
          <w:rFonts w:ascii="Tahoma" w:hAnsi="Tahoma" w:cs="Tahoma"/>
          <w:sz w:val="20"/>
          <w:szCs w:val="20"/>
        </w:rPr>
        <w:t>Général</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Ministre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Santé</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Affaires</w:t>
      </w:r>
      <w:r w:rsidR="00DB1635" w:rsidRPr="00B004EE">
        <w:rPr>
          <w:rFonts w:ascii="Tahoma" w:hAnsi="Tahoma" w:cs="Tahoma"/>
          <w:sz w:val="20"/>
          <w:szCs w:val="20"/>
        </w:rPr>
        <w:t xml:space="preserve"> </w:t>
      </w:r>
      <w:r w:rsidRPr="00B004EE">
        <w:rPr>
          <w:rFonts w:ascii="Tahoma" w:hAnsi="Tahoma" w:cs="Tahoma"/>
          <w:sz w:val="20"/>
          <w:szCs w:val="20"/>
        </w:rPr>
        <w:t>Sociales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Directeur</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Cabinet</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Secrétaire</w:t>
      </w:r>
      <w:r w:rsidR="00DB1635" w:rsidRPr="00B004EE">
        <w:rPr>
          <w:rFonts w:ascii="Tahoma" w:hAnsi="Tahoma" w:cs="Tahoma"/>
          <w:sz w:val="20"/>
          <w:szCs w:val="20"/>
        </w:rPr>
        <w:t xml:space="preserve"> </w:t>
      </w:r>
      <w:r w:rsidRPr="00B004EE">
        <w:rPr>
          <w:rFonts w:ascii="Tahoma" w:hAnsi="Tahoma" w:cs="Tahoma"/>
          <w:sz w:val="20"/>
          <w:szCs w:val="20"/>
        </w:rPr>
        <w:t>d’Etat</w:t>
      </w:r>
      <w:r w:rsidR="00DB1635" w:rsidRPr="00B004EE">
        <w:rPr>
          <w:rFonts w:ascii="Tahoma" w:hAnsi="Tahoma" w:cs="Tahoma"/>
          <w:sz w:val="20"/>
          <w:szCs w:val="20"/>
        </w:rPr>
        <w:t xml:space="preserve"> </w:t>
      </w:r>
      <w:r w:rsidRPr="00B004EE">
        <w:rPr>
          <w:rFonts w:ascii="Tahoma" w:hAnsi="Tahoma" w:cs="Tahoma"/>
          <w:sz w:val="20"/>
          <w:szCs w:val="20"/>
        </w:rPr>
        <w:t>auprès</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Premier</w:t>
      </w:r>
      <w:r w:rsidR="00DB1635" w:rsidRPr="00B004EE">
        <w:rPr>
          <w:rFonts w:ascii="Tahoma" w:hAnsi="Tahoma" w:cs="Tahoma"/>
          <w:sz w:val="20"/>
          <w:szCs w:val="20"/>
        </w:rPr>
        <w:t xml:space="preserve"> </w:t>
      </w:r>
      <w:r w:rsidRPr="00B004EE">
        <w:rPr>
          <w:rFonts w:ascii="Tahoma" w:hAnsi="Tahoma" w:cs="Tahoma"/>
          <w:sz w:val="20"/>
          <w:szCs w:val="20"/>
        </w:rPr>
        <w:t>Ministre</w:t>
      </w:r>
      <w:r w:rsidR="00DB1635" w:rsidRPr="00B004EE">
        <w:rPr>
          <w:rFonts w:ascii="Tahoma" w:hAnsi="Tahoma" w:cs="Tahoma"/>
          <w:sz w:val="20"/>
          <w:szCs w:val="20"/>
        </w:rPr>
        <w:t xml:space="preserve"> </w:t>
      </w:r>
      <w:r w:rsidRPr="00B004EE">
        <w:rPr>
          <w:rFonts w:ascii="Tahoma" w:hAnsi="Tahoma" w:cs="Tahoma"/>
          <w:sz w:val="20"/>
          <w:szCs w:val="20"/>
        </w:rPr>
        <w:t>chargé</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l’Environnement,</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chargés,</w:t>
      </w:r>
      <w:r w:rsidR="00DB1635" w:rsidRPr="00B004EE">
        <w:rPr>
          <w:rFonts w:ascii="Tahoma" w:hAnsi="Tahoma" w:cs="Tahoma"/>
          <w:sz w:val="20"/>
          <w:szCs w:val="20"/>
        </w:rPr>
        <w:t xml:space="preserve"> </w:t>
      </w:r>
      <w:r w:rsidRPr="00B004EE">
        <w:rPr>
          <w:rFonts w:ascii="Tahoma" w:hAnsi="Tahoma" w:cs="Tahoma"/>
          <w:sz w:val="20"/>
          <w:szCs w:val="20"/>
        </w:rPr>
        <w:t>chacun</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ce</w:t>
      </w:r>
      <w:r w:rsidR="00DB1635" w:rsidRPr="00B004EE">
        <w:rPr>
          <w:rFonts w:ascii="Tahoma" w:hAnsi="Tahoma" w:cs="Tahoma"/>
          <w:sz w:val="20"/>
          <w:szCs w:val="20"/>
        </w:rPr>
        <w:t xml:space="preserve"> </w:t>
      </w:r>
      <w:r w:rsidRPr="00B004EE">
        <w:rPr>
          <w:rFonts w:ascii="Tahoma" w:hAnsi="Tahoma" w:cs="Tahoma"/>
          <w:sz w:val="20"/>
          <w:szCs w:val="20"/>
        </w:rPr>
        <w:t>qui</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concerne,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l’exécution</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présent</w:t>
      </w:r>
      <w:r w:rsidR="00DB1635" w:rsidRPr="00B004EE">
        <w:rPr>
          <w:rFonts w:ascii="Tahoma" w:hAnsi="Tahoma" w:cs="Tahoma"/>
          <w:sz w:val="20"/>
          <w:szCs w:val="20"/>
        </w:rPr>
        <w:t xml:space="preserve"> </w:t>
      </w:r>
      <w:r w:rsidRPr="00B004EE">
        <w:rPr>
          <w:rFonts w:ascii="Tahoma" w:hAnsi="Tahoma" w:cs="Tahoma"/>
          <w:sz w:val="20"/>
          <w:szCs w:val="20"/>
        </w:rPr>
        <w:t>décret</w:t>
      </w:r>
      <w:r w:rsidR="00DB1635" w:rsidRPr="00B004EE">
        <w:rPr>
          <w:rFonts w:ascii="Tahoma" w:hAnsi="Tahoma" w:cs="Tahoma"/>
          <w:sz w:val="20"/>
          <w:szCs w:val="20"/>
        </w:rPr>
        <w:t xml:space="preserve"> </w:t>
      </w:r>
      <w:r w:rsidRPr="00B004EE">
        <w:rPr>
          <w:rFonts w:ascii="Tahoma" w:hAnsi="Tahoma" w:cs="Tahoma"/>
          <w:sz w:val="20"/>
          <w:szCs w:val="20"/>
        </w:rPr>
        <w:t>qui</w:t>
      </w:r>
      <w:r w:rsidR="00DB1635" w:rsidRPr="00B004EE">
        <w:rPr>
          <w:rFonts w:ascii="Tahoma" w:hAnsi="Tahoma" w:cs="Tahoma"/>
          <w:sz w:val="20"/>
          <w:szCs w:val="20"/>
        </w:rPr>
        <w:t xml:space="preserve"> </w:t>
      </w:r>
      <w:r w:rsidRPr="00B004EE">
        <w:rPr>
          <w:rFonts w:ascii="Tahoma" w:hAnsi="Tahoma" w:cs="Tahoma"/>
          <w:sz w:val="20"/>
          <w:szCs w:val="20"/>
        </w:rPr>
        <w:t>sera</w:t>
      </w:r>
      <w:r w:rsidR="00DB1635" w:rsidRPr="00B004EE">
        <w:rPr>
          <w:rFonts w:ascii="Tahoma" w:hAnsi="Tahoma" w:cs="Tahoma"/>
          <w:sz w:val="20"/>
          <w:szCs w:val="20"/>
        </w:rPr>
        <w:t xml:space="preserve"> </w:t>
      </w:r>
      <w:r w:rsidRPr="00B004EE">
        <w:rPr>
          <w:rFonts w:ascii="Tahoma" w:hAnsi="Tahoma" w:cs="Tahoma"/>
          <w:sz w:val="20"/>
          <w:szCs w:val="20"/>
        </w:rPr>
        <w:t>publié</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Journal</w:t>
      </w:r>
      <w:r w:rsidR="00DB1635" w:rsidRPr="00B004EE">
        <w:rPr>
          <w:rFonts w:ascii="Tahoma" w:hAnsi="Tahoma" w:cs="Tahoma"/>
          <w:sz w:val="20"/>
          <w:szCs w:val="20"/>
        </w:rPr>
        <w:t xml:space="preserve"> </w:t>
      </w:r>
      <w:r w:rsidRPr="00B004EE">
        <w:rPr>
          <w:rFonts w:ascii="Tahoma" w:hAnsi="Tahoma" w:cs="Tahoma"/>
          <w:sz w:val="20"/>
          <w:szCs w:val="20"/>
        </w:rPr>
        <w:t>Officiel.</w:t>
      </w:r>
    </w:p>
    <w:p w14:paraId="68F91B45" w14:textId="77777777" w:rsidR="008105B4" w:rsidRPr="00B004EE" w:rsidRDefault="008105B4" w:rsidP="00B004EE">
      <w:pPr>
        <w:jc w:val="both"/>
        <w:rPr>
          <w:rFonts w:ascii="Tahoma" w:hAnsi="Tahoma" w:cs="Tahoma"/>
          <w:sz w:val="20"/>
          <w:szCs w:val="20"/>
        </w:rPr>
      </w:pPr>
    </w:p>
    <w:p w14:paraId="37981CC1" w14:textId="204395F7" w:rsidR="008105B4" w:rsidRPr="00B004EE" w:rsidRDefault="008105B4" w:rsidP="00B004EE">
      <w:pPr>
        <w:jc w:val="right"/>
        <w:rPr>
          <w:rFonts w:ascii="Tahoma" w:hAnsi="Tahoma" w:cs="Tahoma"/>
          <w:i/>
          <w:iCs/>
          <w:sz w:val="20"/>
          <w:szCs w:val="20"/>
        </w:rPr>
      </w:pPr>
      <w:r w:rsidRPr="00B004EE">
        <w:rPr>
          <w:rFonts w:ascii="Tahoma" w:hAnsi="Tahoma" w:cs="Tahoma"/>
          <w:i/>
          <w:iCs/>
          <w:sz w:val="20"/>
          <w:szCs w:val="20"/>
        </w:rPr>
        <w:t>Nouakchott,</w:t>
      </w:r>
      <w:r w:rsidR="00DB1635" w:rsidRPr="00B004EE">
        <w:rPr>
          <w:rFonts w:ascii="Tahoma" w:hAnsi="Tahoma" w:cs="Tahoma"/>
          <w:i/>
          <w:iCs/>
          <w:sz w:val="20"/>
          <w:szCs w:val="20"/>
        </w:rPr>
        <w:t xml:space="preserve"> </w:t>
      </w:r>
      <w:r w:rsidRPr="00B004EE">
        <w:rPr>
          <w:rFonts w:ascii="Tahoma" w:hAnsi="Tahoma" w:cs="Tahoma"/>
          <w:i/>
          <w:iCs/>
          <w:sz w:val="20"/>
          <w:szCs w:val="20"/>
        </w:rPr>
        <w:t>le</w:t>
      </w:r>
      <w:r w:rsidR="00DB1635" w:rsidRPr="00B004EE">
        <w:rPr>
          <w:rFonts w:ascii="Tahoma" w:hAnsi="Tahoma" w:cs="Tahoma"/>
          <w:i/>
          <w:iCs/>
          <w:sz w:val="20"/>
          <w:szCs w:val="20"/>
        </w:rPr>
        <w:t xml:space="preserve"> </w:t>
      </w:r>
      <w:r w:rsidRPr="00B004EE">
        <w:rPr>
          <w:rFonts w:ascii="Tahoma" w:hAnsi="Tahoma" w:cs="Tahoma"/>
          <w:i/>
          <w:iCs/>
          <w:sz w:val="20"/>
          <w:szCs w:val="20"/>
        </w:rPr>
        <w:t>16</w:t>
      </w:r>
      <w:r w:rsidR="00DB1635" w:rsidRPr="00B004EE">
        <w:rPr>
          <w:rFonts w:ascii="Tahoma" w:hAnsi="Tahoma" w:cs="Tahoma"/>
          <w:i/>
          <w:iCs/>
          <w:sz w:val="20"/>
          <w:szCs w:val="20"/>
        </w:rPr>
        <w:t xml:space="preserve"> </w:t>
      </w:r>
      <w:r w:rsidRPr="00B004EE">
        <w:rPr>
          <w:rFonts w:ascii="Tahoma" w:hAnsi="Tahoma" w:cs="Tahoma"/>
          <w:i/>
          <w:iCs/>
          <w:sz w:val="20"/>
          <w:szCs w:val="20"/>
        </w:rPr>
        <w:t>novembre</w:t>
      </w:r>
      <w:r w:rsidR="00DB1635" w:rsidRPr="00B004EE">
        <w:rPr>
          <w:rFonts w:ascii="Tahoma" w:hAnsi="Tahoma" w:cs="Tahoma"/>
          <w:i/>
          <w:iCs/>
          <w:sz w:val="20"/>
          <w:szCs w:val="20"/>
        </w:rPr>
        <w:t xml:space="preserve"> </w:t>
      </w:r>
      <w:r w:rsidRPr="00B004EE">
        <w:rPr>
          <w:rFonts w:ascii="Tahoma" w:hAnsi="Tahoma" w:cs="Tahoma"/>
          <w:i/>
          <w:iCs/>
          <w:sz w:val="20"/>
          <w:szCs w:val="20"/>
        </w:rPr>
        <w:t>2006</w:t>
      </w:r>
    </w:p>
    <w:p w14:paraId="021801F1" w14:textId="4DAB7BCE" w:rsidR="008105B4" w:rsidRPr="00B004EE" w:rsidRDefault="008105B4" w:rsidP="00B004EE">
      <w:pPr>
        <w:jc w:val="both"/>
        <w:rPr>
          <w:rFonts w:ascii="Tahoma" w:hAnsi="Tahoma" w:cs="Tahoma"/>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4698"/>
      </w:tblGrid>
      <w:tr w:rsidR="003D2A25" w:rsidRPr="00B004EE" w14:paraId="04B8A341" w14:textId="77777777" w:rsidTr="00DB2C7A">
        <w:tc>
          <w:tcPr>
            <w:tcW w:w="4698" w:type="dxa"/>
          </w:tcPr>
          <w:p w14:paraId="493CD4E3" w14:textId="77777777" w:rsidR="003D2A25" w:rsidRPr="00B004EE" w:rsidRDefault="003D2A25" w:rsidP="00B004EE">
            <w:pPr>
              <w:tabs>
                <w:tab w:val="left" w:pos="3143"/>
              </w:tabs>
              <w:autoSpaceDE w:val="0"/>
              <w:autoSpaceDN w:val="0"/>
              <w:adjustRightInd w:val="0"/>
              <w:ind w:left="35" w:right="1045"/>
              <w:jc w:val="center"/>
              <w:rPr>
                <w:rFonts w:ascii="Tahoma" w:hAnsi="Tahoma" w:cs="Tahoma"/>
              </w:rPr>
            </w:pPr>
            <w:r w:rsidRPr="00B004EE">
              <w:rPr>
                <w:rFonts w:ascii="Tahoma" w:hAnsi="Tahoma" w:cs="Tahoma"/>
              </w:rPr>
              <w:t>Le Ministre Des Pêches et de l’Economie Maritime</w:t>
            </w:r>
          </w:p>
        </w:tc>
        <w:tc>
          <w:tcPr>
            <w:tcW w:w="4698" w:type="dxa"/>
          </w:tcPr>
          <w:p w14:paraId="3DBFDE1C" w14:textId="77777777" w:rsidR="003D2A25" w:rsidRPr="00B004EE" w:rsidRDefault="003D2A25" w:rsidP="00B004EE">
            <w:pPr>
              <w:tabs>
                <w:tab w:val="left" w:pos="3834"/>
              </w:tabs>
              <w:autoSpaceDE w:val="0"/>
              <w:autoSpaceDN w:val="0"/>
              <w:adjustRightInd w:val="0"/>
              <w:ind w:left="857"/>
              <w:jc w:val="center"/>
              <w:rPr>
                <w:rFonts w:ascii="Tahoma" w:hAnsi="Tahoma" w:cs="Tahoma"/>
              </w:rPr>
            </w:pPr>
            <w:r w:rsidRPr="00B004EE">
              <w:rPr>
                <w:rFonts w:ascii="Tahoma" w:hAnsi="Tahoma" w:cs="Tahoma"/>
              </w:rPr>
              <w:t>Le Ministre du Commerce, de l’Artisanat et du Tourisme</w:t>
            </w:r>
          </w:p>
        </w:tc>
      </w:tr>
      <w:tr w:rsidR="003D2A25" w:rsidRPr="00B004EE" w14:paraId="0B9A55B8" w14:textId="77777777" w:rsidTr="00DB2C7A">
        <w:tc>
          <w:tcPr>
            <w:tcW w:w="4698" w:type="dxa"/>
          </w:tcPr>
          <w:p w14:paraId="3A5BA83D" w14:textId="77777777" w:rsidR="003D2A25" w:rsidRPr="00B004EE" w:rsidRDefault="003D2A25" w:rsidP="00B004EE">
            <w:pPr>
              <w:tabs>
                <w:tab w:val="left" w:pos="3834"/>
              </w:tabs>
              <w:autoSpaceDE w:val="0"/>
              <w:autoSpaceDN w:val="0"/>
              <w:adjustRightInd w:val="0"/>
              <w:ind w:left="166" w:right="913"/>
              <w:rPr>
                <w:rFonts w:ascii="Tahoma" w:hAnsi="Tahoma" w:cs="Tahoma"/>
              </w:rPr>
            </w:pPr>
            <w:r w:rsidRPr="00B004EE">
              <w:rPr>
                <w:rFonts w:ascii="Tahoma" w:hAnsi="Tahoma" w:cs="Tahoma"/>
                <w:lang w:val="en-US"/>
              </w:rPr>
              <w:t>Sidi Mohamed Ould SIDINA</w:t>
            </w:r>
          </w:p>
        </w:tc>
        <w:tc>
          <w:tcPr>
            <w:tcW w:w="4698" w:type="dxa"/>
          </w:tcPr>
          <w:p w14:paraId="69520BC4" w14:textId="77777777" w:rsidR="003D2A25" w:rsidRPr="00B004EE" w:rsidRDefault="003D2A25" w:rsidP="00B004EE">
            <w:pPr>
              <w:tabs>
                <w:tab w:val="left" w:pos="3834"/>
              </w:tabs>
              <w:autoSpaceDE w:val="0"/>
              <w:autoSpaceDN w:val="0"/>
              <w:adjustRightInd w:val="0"/>
              <w:ind w:left="716"/>
              <w:jc w:val="center"/>
              <w:rPr>
                <w:rFonts w:ascii="Tahoma" w:hAnsi="Tahoma" w:cs="Tahoma"/>
              </w:rPr>
            </w:pPr>
            <w:r w:rsidRPr="00B004EE">
              <w:rPr>
                <w:rFonts w:ascii="Tahoma" w:hAnsi="Tahoma" w:cs="Tahoma"/>
                <w:lang w:val="en-US"/>
              </w:rPr>
              <w:t>BA Abderrahmane</w:t>
            </w:r>
          </w:p>
        </w:tc>
      </w:tr>
      <w:tr w:rsidR="003D2A25" w:rsidRPr="00B004EE" w14:paraId="5B15FC1C" w14:textId="77777777" w:rsidTr="00DB2C7A">
        <w:tc>
          <w:tcPr>
            <w:tcW w:w="4698" w:type="dxa"/>
          </w:tcPr>
          <w:p w14:paraId="3AD71C75" w14:textId="77777777" w:rsidR="003D2A25" w:rsidRPr="00B004EE" w:rsidRDefault="003D2A25" w:rsidP="00B004EE">
            <w:pPr>
              <w:tabs>
                <w:tab w:val="left" w:pos="3834"/>
              </w:tabs>
              <w:autoSpaceDE w:val="0"/>
              <w:autoSpaceDN w:val="0"/>
              <w:adjustRightInd w:val="0"/>
              <w:ind w:left="-118" w:right="913"/>
              <w:jc w:val="center"/>
              <w:rPr>
                <w:rFonts w:ascii="Tahoma" w:hAnsi="Tahoma" w:cs="Tahoma"/>
              </w:rPr>
            </w:pPr>
          </w:p>
        </w:tc>
        <w:tc>
          <w:tcPr>
            <w:tcW w:w="4698" w:type="dxa"/>
          </w:tcPr>
          <w:p w14:paraId="696B7936" w14:textId="77777777" w:rsidR="003D2A25" w:rsidRPr="00B004EE" w:rsidRDefault="003D2A25" w:rsidP="00B004EE">
            <w:pPr>
              <w:tabs>
                <w:tab w:val="left" w:pos="3834"/>
              </w:tabs>
              <w:autoSpaceDE w:val="0"/>
              <w:autoSpaceDN w:val="0"/>
              <w:adjustRightInd w:val="0"/>
              <w:jc w:val="center"/>
              <w:rPr>
                <w:rFonts w:ascii="Tahoma" w:hAnsi="Tahoma" w:cs="Tahoma"/>
              </w:rPr>
            </w:pPr>
          </w:p>
        </w:tc>
      </w:tr>
      <w:tr w:rsidR="003D2A25" w:rsidRPr="00B004EE" w14:paraId="613BAEA2" w14:textId="77777777" w:rsidTr="00DB2C7A">
        <w:tc>
          <w:tcPr>
            <w:tcW w:w="4698" w:type="dxa"/>
          </w:tcPr>
          <w:p w14:paraId="7575A2CC" w14:textId="77777777" w:rsidR="003D2A25" w:rsidRPr="00B004EE" w:rsidRDefault="003D2A25" w:rsidP="00B004EE">
            <w:pPr>
              <w:tabs>
                <w:tab w:val="left" w:pos="3834"/>
              </w:tabs>
              <w:autoSpaceDE w:val="0"/>
              <w:autoSpaceDN w:val="0"/>
              <w:adjustRightInd w:val="0"/>
              <w:ind w:left="-118" w:right="913"/>
              <w:jc w:val="center"/>
              <w:rPr>
                <w:rFonts w:ascii="Tahoma" w:hAnsi="Tahoma" w:cs="Tahoma"/>
              </w:rPr>
            </w:pPr>
            <w:r w:rsidRPr="00B004EE">
              <w:rPr>
                <w:rFonts w:ascii="Tahoma" w:hAnsi="Tahoma" w:cs="Tahoma"/>
              </w:rPr>
              <w:t>Le Ministre De La Sante et des Affaires Sociales</w:t>
            </w:r>
          </w:p>
        </w:tc>
        <w:tc>
          <w:tcPr>
            <w:tcW w:w="4698" w:type="dxa"/>
          </w:tcPr>
          <w:p w14:paraId="3CF36A24" w14:textId="77777777" w:rsidR="003D2A25" w:rsidRPr="00B004EE" w:rsidRDefault="003D2A25" w:rsidP="00B004EE">
            <w:pPr>
              <w:tabs>
                <w:tab w:val="left" w:pos="3834"/>
              </w:tabs>
              <w:autoSpaceDE w:val="0"/>
              <w:autoSpaceDN w:val="0"/>
              <w:adjustRightInd w:val="0"/>
              <w:jc w:val="center"/>
              <w:rPr>
                <w:rFonts w:ascii="Tahoma" w:hAnsi="Tahoma" w:cs="Tahoma"/>
              </w:rPr>
            </w:pPr>
            <w:r w:rsidRPr="00B004EE">
              <w:rPr>
                <w:rFonts w:ascii="Tahoma" w:hAnsi="Tahoma" w:cs="Tahoma"/>
              </w:rPr>
              <w:t>Le Secrétaire d’Etat auprès du Premier Ministre Charge de l’Environnement</w:t>
            </w:r>
          </w:p>
        </w:tc>
      </w:tr>
      <w:tr w:rsidR="003D2A25" w:rsidRPr="00BC4336" w14:paraId="4C0426B7" w14:textId="77777777" w:rsidTr="00DB2C7A">
        <w:tc>
          <w:tcPr>
            <w:tcW w:w="4698" w:type="dxa"/>
          </w:tcPr>
          <w:p w14:paraId="49A76899" w14:textId="77777777" w:rsidR="003D2A25" w:rsidRPr="00B004EE" w:rsidRDefault="003D2A25" w:rsidP="00B004EE">
            <w:pPr>
              <w:tabs>
                <w:tab w:val="left" w:pos="3834"/>
              </w:tabs>
              <w:autoSpaceDE w:val="0"/>
              <w:autoSpaceDN w:val="0"/>
              <w:adjustRightInd w:val="0"/>
              <w:ind w:right="1055"/>
              <w:jc w:val="center"/>
              <w:rPr>
                <w:rFonts w:ascii="Tahoma" w:hAnsi="Tahoma" w:cs="Tahoma"/>
                <w:lang w:val="en-US"/>
              </w:rPr>
            </w:pPr>
            <w:r w:rsidRPr="00B004EE">
              <w:rPr>
                <w:rFonts w:ascii="Tahoma" w:hAnsi="Tahoma" w:cs="Tahoma"/>
                <w:lang w:val="en-US"/>
              </w:rPr>
              <w:t>Saadna Ould BAHAIDA</w:t>
            </w:r>
          </w:p>
        </w:tc>
        <w:tc>
          <w:tcPr>
            <w:tcW w:w="4698" w:type="dxa"/>
          </w:tcPr>
          <w:p w14:paraId="36649711" w14:textId="77777777" w:rsidR="003D2A25" w:rsidRPr="00B004EE" w:rsidRDefault="003D2A25" w:rsidP="00B004EE">
            <w:pPr>
              <w:tabs>
                <w:tab w:val="left" w:pos="3834"/>
              </w:tabs>
              <w:autoSpaceDE w:val="0"/>
              <w:autoSpaceDN w:val="0"/>
              <w:adjustRightInd w:val="0"/>
              <w:ind w:left="432" w:right="365"/>
              <w:jc w:val="center"/>
              <w:rPr>
                <w:rFonts w:ascii="Tahoma" w:hAnsi="Tahoma" w:cs="Tahoma"/>
                <w:lang w:val="en-US"/>
              </w:rPr>
            </w:pPr>
            <w:r w:rsidRPr="00B004EE">
              <w:rPr>
                <w:rFonts w:ascii="Tahoma" w:hAnsi="Tahoma" w:cs="Tahoma"/>
                <w:lang w:val="en-US"/>
              </w:rPr>
              <w:t>Mohamed Lemine Ould Aboye Ould CHEIKH EL HADRAMI</w:t>
            </w:r>
          </w:p>
        </w:tc>
      </w:tr>
    </w:tbl>
    <w:p w14:paraId="46B96C52" w14:textId="0EC74F6F" w:rsidR="008B58BF" w:rsidRDefault="008B58BF" w:rsidP="00B004EE">
      <w:pPr>
        <w:rPr>
          <w:rFonts w:ascii="Tahoma" w:hAnsi="Tahoma" w:cs="Tahoma"/>
          <w:sz w:val="20"/>
          <w:szCs w:val="20"/>
          <w:lang w:val="en-US"/>
        </w:rPr>
      </w:pPr>
    </w:p>
    <w:p w14:paraId="0F3F0BE0" w14:textId="6045077C" w:rsidR="00251373" w:rsidRDefault="00251373" w:rsidP="00B004EE">
      <w:pPr>
        <w:rPr>
          <w:rFonts w:ascii="Tahoma" w:hAnsi="Tahoma" w:cs="Tahoma"/>
          <w:sz w:val="20"/>
          <w:szCs w:val="20"/>
          <w:lang w:val="en-US"/>
        </w:rPr>
      </w:pPr>
    </w:p>
    <w:p w14:paraId="533D0C2B" w14:textId="4FAB3019" w:rsidR="00251373" w:rsidRDefault="00251373">
      <w:pPr>
        <w:rPr>
          <w:rFonts w:ascii="Tahoma" w:hAnsi="Tahoma" w:cs="Tahoma"/>
          <w:sz w:val="20"/>
          <w:szCs w:val="20"/>
          <w:lang w:val="en-US"/>
        </w:rPr>
      </w:pPr>
      <w:r>
        <w:rPr>
          <w:rFonts w:ascii="Tahoma" w:hAnsi="Tahoma" w:cs="Tahoma"/>
          <w:sz w:val="20"/>
          <w:szCs w:val="20"/>
          <w:lang w:val="en-US"/>
        </w:rPr>
        <w:br w:type="page"/>
      </w:r>
    </w:p>
    <w:p w14:paraId="6E0F1932" w14:textId="5BCB4BB2" w:rsidR="008105B4" w:rsidRPr="00B004EE" w:rsidRDefault="008105B4" w:rsidP="00B004EE">
      <w:pPr>
        <w:jc w:val="center"/>
        <w:rPr>
          <w:rFonts w:ascii="Tahoma" w:hAnsi="Tahoma" w:cs="Tahoma"/>
          <w:b/>
          <w:bCs/>
          <w:sz w:val="20"/>
          <w:szCs w:val="20"/>
        </w:rPr>
      </w:pPr>
      <w:r w:rsidRPr="00B004EE">
        <w:rPr>
          <w:rFonts w:ascii="Tahoma" w:hAnsi="Tahoma" w:cs="Tahoma"/>
          <w:b/>
          <w:bCs/>
          <w:sz w:val="20"/>
          <w:szCs w:val="20"/>
        </w:rPr>
        <w:lastRenderedPageBreak/>
        <w:t>ANNEXE</w:t>
      </w:r>
      <w:r w:rsidR="00DB1635" w:rsidRPr="00B004EE">
        <w:rPr>
          <w:rFonts w:ascii="Tahoma" w:hAnsi="Tahoma" w:cs="Tahoma"/>
          <w:b/>
          <w:bCs/>
          <w:sz w:val="20"/>
          <w:szCs w:val="20"/>
        </w:rPr>
        <w:t xml:space="preserve"> </w:t>
      </w:r>
      <w:r w:rsidRPr="00B004EE">
        <w:rPr>
          <w:rFonts w:ascii="Tahoma" w:hAnsi="Tahoma" w:cs="Tahoma"/>
          <w:b/>
          <w:bCs/>
          <w:sz w:val="20"/>
          <w:szCs w:val="20"/>
        </w:rPr>
        <w:t>1</w:t>
      </w:r>
      <w:r w:rsidR="00DB1635" w:rsidRPr="00B004EE">
        <w:rPr>
          <w:rFonts w:ascii="Tahoma" w:hAnsi="Tahoma" w:cs="Tahoma"/>
          <w:b/>
          <w:bCs/>
          <w:sz w:val="20"/>
          <w:szCs w:val="20"/>
        </w:rPr>
        <w:t xml:space="preserve"> </w:t>
      </w:r>
      <w:r w:rsidRPr="00B004EE">
        <w:rPr>
          <w:rFonts w:ascii="Tahoma" w:hAnsi="Tahoma" w:cs="Tahoma"/>
          <w:b/>
          <w:bCs/>
          <w:sz w:val="20"/>
          <w:szCs w:val="20"/>
        </w:rPr>
        <w:t>:</w:t>
      </w:r>
    </w:p>
    <w:p w14:paraId="5446782B" w14:textId="77777777" w:rsidR="008105B4" w:rsidRPr="00B004EE" w:rsidRDefault="008105B4" w:rsidP="00B004EE">
      <w:pPr>
        <w:jc w:val="center"/>
        <w:rPr>
          <w:rFonts w:ascii="Tahoma" w:hAnsi="Tahoma" w:cs="Tahoma"/>
          <w:b/>
          <w:bCs/>
          <w:sz w:val="20"/>
          <w:szCs w:val="20"/>
        </w:rPr>
      </w:pPr>
    </w:p>
    <w:p w14:paraId="2E7CF4D8" w14:textId="10323423" w:rsidR="008105B4" w:rsidRPr="00B004EE" w:rsidRDefault="008105B4" w:rsidP="00B004EE">
      <w:pPr>
        <w:jc w:val="center"/>
        <w:rPr>
          <w:rFonts w:ascii="Tahoma" w:hAnsi="Tahoma" w:cs="Tahoma"/>
          <w:b/>
          <w:bCs/>
          <w:sz w:val="20"/>
          <w:szCs w:val="20"/>
        </w:rPr>
      </w:pPr>
      <w:r w:rsidRPr="00B004EE">
        <w:rPr>
          <w:rFonts w:ascii="Tahoma" w:hAnsi="Tahoma" w:cs="Tahoma"/>
          <w:b/>
          <w:bCs/>
          <w:sz w:val="20"/>
          <w:szCs w:val="20"/>
        </w:rPr>
        <w:t>LIMITES</w:t>
      </w:r>
      <w:r w:rsidR="00DB1635" w:rsidRPr="00B004EE">
        <w:rPr>
          <w:rFonts w:ascii="Tahoma" w:hAnsi="Tahoma" w:cs="Tahoma"/>
          <w:b/>
          <w:bCs/>
          <w:sz w:val="20"/>
          <w:szCs w:val="20"/>
        </w:rPr>
        <w:t xml:space="preserve"> </w:t>
      </w:r>
      <w:r w:rsidRPr="00B004EE">
        <w:rPr>
          <w:rFonts w:ascii="Tahoma" w:hAnsi="Tahoma" w:cs="Tahoma"/>
          <w:b/>
          <w:bCs/>
          <w:sz w:val="20"/>
          <w:szCs w:val="20"/>
        </w:rPr>
        <w:t>DE</w:t>
      </w:r>
      <w:r w:rsidR="00DB1635" w:rsidRPr="00B004EE">
        <w:rPr>
          <w:rFonts w:ascii="Tahoma" w:hAnsi="Tahoma" w:cs="Tahoma"/>
          <w:b/>
          <w:bCs/>
          <w:sz w:val="20"/>
          <w:szCs w:val="20"/>
        </w:rPr>
        <w:t xml:space="preserve"> </w:t>
      </w:r>
      <w:r w:rsidRPr="00B004EE">
        <w:rPr>
          <w:rFonts w:ascii="Tahoma" w:hAnsi="Tahoma" w:cs="Tahoma"/>
          <w:b/>
          <w:bCs/>
          <w:sz w:val="20"/>
          <w:szCs w:val="20"/>
        </w:rPr>
        <w:t>QUALITE</w:t>
      </w:r>
      <w:r w:rsidR="00DB1635" w:rsidRPr="00B004EE">
        <w:rPr>
          <w:rFonts w:ascii="Tahoma" w:hAnsi="Tahoma" w:cs="Tahoma"/>
          <w:b/>
          <w:bCs/>
          <w:sz w:val="20"/>
          <w:szCs w:val="20"/>
        </w:rPr>
        <w:t xml:space="preserve"> </w:t>
      </w:r>
      <w:r w:rsidRPr="00B004EE">
        <w:rPr>
          <w:rFonts w:ascii="Tahoma" w:hAnsi="Tahoma" w:cs="Tahoma"/>
          <w:b/>
          <w:bCs/>
          <w:sz w:val="20"/>
          <w:szCs w:val="20"/>
        </w:rPr>
        <w:t>DES</w:t>
      </w:r>
      <w:r w:rsidR="00DB1635" w:rsidRPr="00B004EE">
        <w:rPr>
          <w:rFonts w:ascii="Tahoma" w:hAnsi="Tahoma" w:cs="Tahoma"/>
          <w:b/>
          <w:bCs/>
          <w:sz w:val="20"/>
          <w:szCs w:val="20"/>
        </w:rPr>
        <w:t xml:space="preserve"> </w:t>
      </w:r>
      <w:r w:rsidRPr="00B004EE">
        <w:rPr>
          <w:rFonts w:ascii="Tahoma" w:hAnsi="Tahoma" w:cs="Tahoma"/>
          <w:b/>
          <w:bCs/>
          <w:sz w:val="20"/>
          <w:szCs w:val="20"/>
        </w:rPr>
        <w:t>EAUX</w:t>
      </w:r>
      <w:r w:rsidR="00DB1635" w:rsidRPr="00B004EE">
        <w:rPr>
          <w:rFonts w:ascii="Tahoma" w:hAnsi="Tahoma" w:cs="Tahoma"/>
          <w:b/>
          <w:bCs/>
          <w:sz w:val="20"/>
          <w:szCs w:val="20"/>
        </w:rPr>
        <w:t xml:space="preserve"> </w:t>
      </w:r>
      <w:r w:rsidRPr="00B004EE">
        <w:rPr>
          <w:rFonts w:ascii="Tahoma" w:hAnsi="Tahoma" w:cs="Tahoma"/>
          <w:b/>
          <w:bCs/>
          <w:sz w:val="20"/>
          <w:szCs w:val="20"/>
        </w:rPr>
        <w:t>UTILISEES</w:t>
      </w:r>
      <w:r w:rsidR="00DB1635" w:rsidRPr="00B004EE">
        <w:rPr>
          <w:rFonts w:ascii="Tahoma" w:hAnsi="Tahoma" w:cs="Tahoma"/>
          <w:b/>
          <w:bCs/>
          <w:sz w:val="20"/>
          <w:szCs w:val="20"/>
        </w:rPr>
        <w:t xml:space="preserve"> </w:t>
      </w:r>
      <w:r w:rsidRPr="00B004EE">
        <w:rPr>
          <w:rFonts w:ascii="Tahoma" w:hAnsi="Tahoma" w:cs="Tahoma"/>
          <w:b/>
          <w:bCs/>
          <w:sz w:val="20"/>
          <w:szCs w:val="20"/>
        </w:rPr>
        <w:t>DANS</w:t>
      </w:r>
      <w:r w:rsidR="00DB1635" w:rsidRPr="00B004EE">
        <w:rPr>
          <w:rFonts w:ascii="Tahoma" w:hAnsi="Tahoma" w:cs="Tahoma"/>
          <w:b/>
          <w:bCs/>
          <w:sz w:val="20"/>
          <w:szCs w:val="20"/>
        </w:rPr>
        <w:t xml:space="preserve"> </w:t>
      </w:r>
      <w:r w:rsidRPr="00B004EE">
        <w:rPr>
          <w:rFonts w:ascii="Tahoma" w:hAnsi="Tahoma" w:cs="Tahoma"/>
          <w:b/>
          <w:bCs/>
          <w:sz w:val="20"/>
          <w:szCs w:val="20"/>
        </w:rPr>
        <w:t>LES</w:t>
      </w:r>
      <w:r w:rsidR="00DB1635" w:rsidRPr="00B004EE">
        <w:rPr>
          <w:rFonts w:ascii="Tahoma" w:hAnsi="Tahoma" w:cs="Tahoma"/>
          <w:b/>
          <w:bCs/>
          <w:sz w:val="20"/>
          <w:szCs w:val="20"/>
        </w:rPr>
        <w:t xml:space="preserve"> </w:t>
      </w:r>
      <w:r w:rsidRPr="00B004EE">
        <w:rPr>
          <w:rFonts w:ascii="Tahoma" w:hAnsi="Tahoma" w:cs="Tahoma"/>
          <w:b/>
          <w:bCs/>
          <w:sz w:val="20"/>
          <w:szCs w:val="20"/>
        </w:rPr>
        <w:t>ENTREPRISES</w:t>
      </w:r>
      <w:r w:rsidR="00DB1635" w:rsidRPr="00B004EE">
        <w:rPr>
          <w:rFonts w:ascii="Tahoma" w:hAnsi="Tahoma" w:cs="Tahoma"/>
          <w:b/>
          <w:bCs/>
          <w:sz w:val="20"/>
          <w:szCs w:val="20"/>
        </w:rPr>
        <w:t xml:space="preserve"> </w:t>
      </w:r>
      <w:r w:rsidRPr="00B004EE">
        <w:rPr>
          <w:rFonts w:ascii="Tahoma" w:hAnsi="Tahoma" w:cs="Tahoma"/>
          <w:b/>
          <w:bCs/>
          <w:sz w:val="20"/>
          <w:szCs w:val="20"/>
        </w:rPr>
        <w:t>ALIMENTAIRES</w:t>
      </w:r>
    </w:p>
    <w:p w14:paraId="0AC9D98A" w14:textId="77777777" w:rsidR="008105B4" w:rsidRPr="00B004EE" w:rsidRDefault="008105B4" w:rsidP="00B004EE">
      <w:pPr>
        <w:jc w:val="both"/>
        <w:rPr>
          <w:rFonts w:ascii="Tahoma" w:hAnsi="Tahoma" w:cs="Tahoma"/>
          <w:b/>
          <w:bCs/>
          <w:sz w:val="20"/>
          <w:szCs w:val="20"/>
        </w:rPr>
      </w:pPr>
    </w:p>
    <w:p w14:paraId="7CAB3927" w14:textId="5C990CBE" w:rsidR="008105B4" w:rsidRPr="00B004EE" w:rsidRDefault="008105B4" w:rsidP="00B004EE">
      <w:pPr>
        <w:jc w:val="both"/>
        <w:rPr>
          <w:rFonts w:ascii="Tahoma" w:hAnsi="Tahoma" w:cs="Tahoma"/>
          <w:bCs/>
          <w:sz w:val="20"/>
          <w:szCs w:val="20"/>
        </w:rPr>
      </w:pP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eaux</w:t>
      </w:r>
      <w:r w:rsidR="00DB1635" w:rsidRPr="00B004EE">
        <w:rPr>
          <w:rFonts w:ascii="Tahoma" w:hAnsi="Tahoma" w:cs="Tahoma"/>
          <w:sz w:val="20"/>
          <w:szCs w:val="20"/>
        </w:rPr>
        <w:t xml:space="preserve"> </w:t>
      </w:r>
      <w:r w:rsidRPr="00B004EE">
        <w:rPr>
          <w:rFonts w:ascii="Tahoma" w:hAnsi="Tahoma" w:cs="Tahoma"/>
          <w:sz w:val="20"/>
          <w:szCs w:val="20"/>
        </w:rPr>
        <w:t>utilisées</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entreprises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traitement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l’aquaculture,</w:t>
      </w:r>
      <w:r w:rsidR="00DB1635" w:rsidRPr="00B004EE">
        <w:rPr>
          <w:rFonts w:ascii="Tahoma" w:hAnsi="Tahoma" w:cs="Tahoma"/>
          <w:sz w:val="20"/>
          <w:szCs w:val="20"/>
        </w:rPr>
        <w:t xml:space="preserve"> </w:t>
      </w:r>
      <w:r w:rsidRPr="00B004EE">
        <w:rPr>
          <w:rFonts w:ascii="Tahoma" w:hAnsi="Tahoma" w:cs="Tahoma"/>
          <w:sz w:val="20"/>
          <w:szCs w:val="20"/>
        </w:rPr>
        <w:t>ne</w:t>
      </w:r>
      <w:r w:rsidR="00DB1635" w:rsidRPr="00B004EE">
        <w:rPr>
          <w:rFonts w:ascii="Tahoma" w:hAnsi="Tahoma" w:cs="Tahoma"/>
          <w:sz w:val="20"/>
          <w:szCs w:val="20"/>
        </w:rPr>
        <w:t xml:space="preserve"> </w:t>
      </w:r>
      <w:r w:rsidRPr="00B004EE">
        <w:rPr>
          <w:rFonts w:ascii="Tahoma" w:hAnsi="Tahoma" w:cs="Tahoma"/>
          <w:sz w:val="20"/>
          <w:szCs w:val="20"/>
        </w:rPr>
        <w:t>doivent</w:t>
      </w:r>
      <w:r w:rsidR="00DB1635" w:rsidRPr="00B004EE">
        <w:rPr>
          <w:rFonts w:ascii="Tahoma" w:hAnsi="Tahoma" w:cs="Tahoma"/>
          <w:sz w:val="20"/>
          <w:szCs w:val="20"/>
        </w:rPr>
        <w:t xml:space="preserve"> </w:t>
      </w:r>
      <w:r w:rsidRPr="00B004EE">
        <w:rPr>
          <w:rFonts w:ascii="Tahoma" w:hAnsi="Tahoma" w:cs="Tahoma"/>
          <w:sz w:val="20"/>
          <w:szCs w:val="20"/>
        </w:rPr>
        <w:t>pas</w:t>
      </w:r>
      <w:r w:rsidR="00DB1635" w:rsidRPr="00B004EE">
        <w:rPr>
          <w:rFonts w:ascii="Tahoma" w:hAnsi="Tahoma" w:cs="Tahoma"/>
          <w:sz w:val="20"/>
          <w:szCs w:val="20"/>
        </w:rPr>
        <w:t xml:space="preserve"> </w:t>
      </w:r>
      <w:r w:rsidRPr="00B004EE">
        <w:rPr>
          <w:rFonts w:ascii="Tahoma" w:hAnsi="Tahoma" w:cs="Tahoma"/>
          <w:sz w:val="20"/>
          <w:szCs w:val="20"/>
        </w:rPr>
        <w:t>contenir</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micro-organismes,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parasites,</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toutes</w:t>
      </w:r>
      <w:r w:rsidR="00DB1635" w:rsidRPr="00B004EE">
        <w:rPr>
          <w:rFonts w:ascii="Tahoma" w:hAnsi="Tahoma" w:cs="Tahoma"/>
          <w:sz w:val="20"/>
          <w:szCs w:val="20"/>
        </w:rPr>
        <w:t xml:space="preserve"> </w:t>
      </w:r>
      <w:r w:rsidRPr="00B004EE">
        <w:rPr>
          <w:rFonts w:ascii="Tahoma" w:hAnsi="Tahoma" w:cs="Tahoma"/>
          <w:sz w:val="20"/>
          <w:szCs w:val="20"/>
        </w:rPr>
        <w:t>autres</w:t>
      </w:r>
      <w:r w:rsidR="00DB1635" w:rsidRPr="00B004EE">
        <w:rPr>
          <w:rFonts w:ascii="Tahoma" w:hAnsi="Tahoma" w:cs="Tahoma"/>
          <w:sz w:val="20"/>
          <w:szCs w:val="20"/>
        </w:rPr>
        <w:t xml:space="preserve"> </w:t>
      </w:r>
      <w:r w:rsidRPr="00B004EE">
        <w:rPr>
          <w:rFonts w:ascii="Tahoma" w:hAnsi="Tahoma" w:cs="Tahoma"/>
          <w:sz w:val="20"/>
          <w:szCs w:val="20"/>
        </w:rPr>
        <w:t>substances</w:t>
      </w:r>
      <w:r w:rsidR="00DB1635" w:rsidRPr="00B004EE">
        <w:rPr>
          <w:rFonts w:ascii="Tahoma" w:hAnsi="Tahoma" w:cs="Tahoma"/>
          <w:sz w:val="20"/>
          <w:szCs w:val="20"/>
        </w:rPr>
        <w:t xml:space="preserve"> </w:t>
      </w:r>
      <w:r w:rsidRPr="00B004EE">
        <w:rPr>
          <w:rFonts w:ascii="Tahoma" w:hAnsi="Tahoma" w:cs="Tahoma"/>
          <w:sz w:val="20"/>
          <w:szCs w:val="20"/>
        </w:rPr>
        <w:t>constituant</w:t>
      </w:r>
      <w:r w:rsidR="00DB1635" w:rsidRPr="00B004EE">
        <w:rPr>
          <w:rFonts w:ascii="Tahoma" w:hAnsi="Tahoma" w:cs="Tahoma"/>
          <w:sz w:val="20"/>
          <w:szCs w:val="20"/>
        </w:rPr>
        <w:t xml:space="preserve"> </w:t>
      </w: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danger</w:t>
      </w:r>
      <w:r w:rsidR="00DB1635" w:rsidRPr="00B004EE">
        <w:rPr>
          <w:rFonts w:ascii="Tahoma" w:hAnsi="Tahoma" w:cs="Tahoma"/>
          <w:sz w:val="20"/>
          <w:szCs w:val="20"/>
        </w:rPr>
        <w:t xml:space="preserve"> </w:t>
      </w:r>
      <w:r w:rsidRPr="00B004EE">
        <w:rPr>
          <w:rFonts w:ascii="Tahoma" w:hAnsi="Tahoma" w:cs="Tahoma"/>
          <w:sz w:val="20"/>
          <w:szCs w:val="20"/>
        </w:rPr>
        <w:t>potentiel</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santé</w:t>
      </w:r>
      <w:r w:rsidR="00DB1635" w:rsidRPr="00B004EE">
        <w:rPr>
          <w:rFonts w:ascii="Tahoma" w:hAnsi="Tahoma" w:cs="Tahoma"/>
          <w:sz w:val="20"/>
          <w:szCs w:val="20"/>
        </w:rPr>
        <w:t xml:space="preserve"> </w:t>
      </w:r>
      <w:r w:rsidRPr="00B004EE">
        <w:rPr>
          <w:rFonts w:ascii="Tahoma" w:hAnsi="Tahoma" w:cs="Tahoma"/>
          <w:sz w:val="20"/>
          <w:szCs w:val="20"/>
        </w:rPr>
        <w:t>humaine.</w:t>
      </w:r>
      <w:r w:rsidR="00DB1635" w:rsidRPr="00B004EE">
        <w:rPr>
          <w:rFonts w:ascii="Tahoma" w:hAnsi="Tahoma" w:cs="Tahoma"/>
          <w:sz w:val="20"/>
          <w:szCs w:val="20"/>
        </w:rPr>
        <w:t xml:space="preserve"> </w:t>
      </w:r>
      <w:r w:rsidRPr="00B004EE">
        <w:rPr>
          <w:rFonts w:ascii="Tahoma" w:hAnsi="Tahoma" w:cs="Tahoma"/>
          <w:sz w:val="20"/>
          <w:szCs w:val="20"/>
        </w:rPr>
        <w:t>Ces</w:t>
      </w:r>
      <w:r w:rsidR="00DB1635" w:rsidRPr="00B004EE">
        <w:rPr>
          <w:rFonts w:ascii="Tahoma" w:hAnsi="Tahoma" w:cs="Tahoma"/>
          <w:sz w:val="20"/>
          <w:szCs w:val="20"/>
        </w:rPr>
        <w:t xml:space="preserve"> </w:t>
      </w:r>
      <w:r w:rsidRPr="00B004EE">
        <w:rPr>
          <w:rFonts w:ascii="Tahoma" w:hAnsi="Tahoma" w:cs="Tahoma"/>
          <w:sz w:val="20"/>
          <w:szCs w:val="20"/>
        </w:rPr>
        <w:t>eaux</w:t>
      </w:r>
      <w:r w:rsidR="00DB1635" w:rsidRPr="00B004EE">
        <w:rPr>
          <w:rFonts w:ascii="Tahoma" w:hAnsi="Tahoma" w:cs="Tahoma"/>
          <w:sz w:val="20"/>
          <w:szCs w:val="20"/>
        </w:rPr>
        <w:t xml:space="preserve"> </w:t>
      </w:r>
      <w:r w:rsidRPr="00B004EE">
        <w:rPr>
          <w:rFonts w:ascii="Tahoma" w:hAnsi="Tahoma" w:cs="Tahoma"/>
          <w:sz w:val="20"/>
          <w:szCs w:val="20"/>
        </w:rPr>
        <w:t>doivent</w:t>
      </w:r>
      <w:r w:rsidR="00DB1635" w:rsidRPr="00B004EE">
        <w:rPr>
          <w:rFonts w:ascii="Tahoma" w:hAnsi="Tahoma" w:cs="Tahoma"/>
          <w:sz w:val="20"/>
          <w:szCs w:val="20"/>
        </w:rPr>
        <w:t xml:space="preserve"> </w:t>
      </w:r>
      <w:r w:rsidRPr="00B004EE">
        <w:rPr>
          <w:rFonts w:ascii="Tahoma" w:hAnsi="Tahoma" w:cs="Tahoma"/>
          <w:sz w:val="20"/>
          <w:szCs w:val="20"/>
        </w:rPr>
        <w:t>satisfaire</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références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qualité</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paramètres</w:t>
      </w:r>
      <w:r w:rsidR="00DB1635" w:rsidRPr="00B004EE">
        <w:rPr>
          <w:rFonts w:ascii="Tahoma" w:hAnsi="Tahoma" w:cs="Tahoma"/>
          <w:sz w:val="20"/>
          <w:szCs w:val="20"/>
        </w:rPr>
        <w:t xml:space="preserve"> </w:t>
      </w:r>
      <w:r w:rsidRPr="00B004EE">
        <w:rPr>
          <w:rFonts w:ascii="Tahoma" w:hAnsi="Tahoma" w:cs="Tahoma"/>
          <w:sz w:val="20"/>
          <w:szCs w:val="20"/>
        </w:rPr>
        <w:t>microbiologiques</w:t>
      </w:r>
      <w:r w:rsidR="00DB1635" w:rsidRPr="00B004EE">
        <w:rPr>
          <w:rFonts w:ascii="Tahoma" w:hAnsi="Tahoma" w:cs="Tahoma"/>
          <w:sz w:val="20"/>
          <w:szCs w:val="20"/>
        </w:rPr>
        <w:t xml:space="preserve"> </w:t>
      </w:r>
      <w:r w:rsidRPr="00B004EE">
        <w:rPr>
          <w:rFonts w:ascii="Tahoma" w:hAnsi="Tahoma" w:cs="Tahoma"/>
          <w:sz w:val="20"/>
          <w:szCs w:val="20"/>
        </w:rPr>
        <w:t>(tableau</w:t>
      </w:r>
      <w:r w:rsidR="00DB1635" w:rsidRPr="00B004EE">
        <w:rPr>
          <w:rFonts w:ascii="Tahoma" w:hAnsi="Tahoma" w:cs="Tahoma"/>
          <w:sz w:val="20"/>
          <w:szCs w:val="20"/>
        </w:rPr>
        <w:t xml:space="preserve"> </w:t>
      </w:r>
      <w:r w:rsidRPr="00B004EE">
        <w:rPr>
          <w:rFonts w:ascii="Tahoma" w:hAnsi="Tahoma" w:cs="Tahoma"/>
          <w:sz w:val="20"/>
          <w:szCs w:val="20"/>
        </w:rPr>
        <w:t>A),</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paramètres</w:t>
      </w:r>
      <w:r w:rsidR="00DB1635" w:rsidRPr="00B004EE">
        <w:rPr>
          <w:rFonts w:ascii="Tahoma" w:hAnsi="Tahoma" w:cs="Tahoma"/>
          <w:sz w:val="20"/>
          <w:szCs w:val="20"/>
        </w:rPr>
        <w:t xml:space="preserve"> </w:t>
      </w:r>
      <w:r w:rsidRPr="00B004EE">
        <w:rPr>
          <w:rFonts w:ascii="Tahoma" w:hAnsi="Tahoma" w:cs="Tahoma"/>
          <w:sz w:val="20"/>
          <w:szCs w:val="20"/>
        </w:rPr>
        <w:t>chimiques</w:t>
      </w:r>
      <w:r w:rsidR="00DB1635" w:rsidRPr="00B004EE">
        <w:rPr>
          <w:rFonts w:ascii="Tahoma" w:hAnsi="Tahoma" w:cs="Tahoma"/>
          <w:sz w:val="20"/>
          <w:szCs w:val="20"/>
        </w:rPr>
        <w:t xml:space="preserve"> </w:t>
      </w:r>
      <w:r w:rsidRPr="00B004EE">
        <w:rPr>
          <w:rFonts w:ascii="Tahoma" w:hAnsi="Tahoma" w:cs="Tahoma"/>
          <w:sz w:val="20"/>
          <w:szCs w:val="20"/>
        </w:rPr>
        <w:t>(tableau</w:t>
      </w:r>
      <w:r w:rsidR="00DB1635" w:rsidRPr="00B004EE">
        <w:rPr>
          <w:rFonts w:ascii="Tahoma" w:hAnsi="Tahoma" w:cs="Tahoma"/>
          <w:sz w:val="20"/>
          <w:szCs w:val="20"/>
        </w:rPr>
        <w:t xml:space="preserve"> </w:t>
      </w:r>
      <w:r w:rsidRPr="00B004EE">
        <w:rPr>
          <w:rFonts w:ascii="Tahoma" w:hAnsi="Tahoma" w:cs="Tahoma"/>
          <w:sz w:val="20"/>
          <w:szCs w:val="20"/>
        </w:rPr>
        <w:t>B)</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paramètres</w:t>
      </w:r>
      <w:r w:rsidR="00DB1635" w:rsidRPr="00B004EE">
        <w:rPr>
          <w:rFonts w:ascii="Tahoma" w:hAnsi="Tahoma" w:cs="Tahoma"/>
          <w:sz w:val="20"/>
          <w:szCs w:val="20"/>
        </w:rPr>
        <w:t xml:space="preserve"> </w:t>
      </w:r>
      <w:r w:rsidRPr="00B004EE">
        <w:rPr>
          <w:rFonts w:ascii="Tahoma" w:hAnsi="Tahoma" w:cs="Tahoma"/>
          <w:bCs/>
          <w:sz w:val="20"/>
          <w:szCs w:val="20"/>
        </w:rPr>
        <w:t>indicateurs</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qualité</w:t>
      </w:r>
      <w:r w:rsidR="00DB1635" w:rsidRPr="00B004EE">
        <w:rPr>
          <w:rFonts w:ascii="Tahoma" w:hAnsi="Tahoma" w:cs="Tahoma"/>
          <w:bCs/>
          <w:sz w:val="20"/>
          <w:szCs w:val="20"/>
        </w:rPr>
        <w:t xml:space="preserve"> </w:t>
      </w:r>
      <w:r w:rsidRPr="00B004EE">
        <w:rPr>
          <w:rFonts w:ascii="Tahoma" w:hAnsi="Tahoma" w:cs="Tahoma"/>
          <w:bCs/>
          <w:sz w:val="20"/>
          <w:szCs w:val="20"/>
        </w:rPr>
        <w:t>aux</w:t>
      </w:r>
      <w:r w:rsidR="00DB1635" w:rsidRPr="00B004EE">
        <w:rPr>
          <w:rFonts w:ascii="Tahoma" w:hAnsi="Tahoma" w:cs="Tahoma"/>
          <w:bCs/>
          <w:sz w:val="20"/>
          <w:szCs w:val="20"/>
        </w:rPr>
        <w:t xml:space="preserve"> </w:t>
      </w:r>
      <w:r w:rsidRPr="00B004EE">
        <w:rPr>
          <w:rFonts w:ascii="Tahoma" w:hAnsi="Tahoma" w:cs="Tahoma"/>
          <w:bCs/>
          <w:sz w:val="20"/>
          <w:szCs w:val="20"/>
        </w:rPr>
        <w:t>fins</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contrôle</w:t>
      </w:r>
      <w:r w:rsidR="00DB1635" w:rsidRPr="00B004EE">
        <w:rPr>
          <w:rFonts w:ascii="Tahoma" w:hAnsi="Tahoma" w:cs="Tahoma"/>
          <w:bCs/>
          <w:sz w:val="20"/>
          <w:szCs w:val="20"/>
        </w:rPr>
        <w:t xml:space="preserve"> </w:t>
      </w:r>
      <w:r w:rsidRPr="00B004EE">
        <w:rPr>
          <w:rFonts w:ascii="Tahoma" w:hAnsi="Tahoma" w:cs="Tahoma"/>
          <w:bCs/>
          <w:sz w:val="20"/>
          <w:szCs w:val="20"/>
        </w:rPr>
        <w:t>(tableaux</w:t>
      </w:r>
      <w:r w:rsidR="00DB1635" w:rsidRPr="00B004EE">
        <w:rPr>
          <w:rFonts w:ascii="Tahoma" w:hAnsi="Tahoma" w:cs="Tahoma"/>
          <w:bCs/>
          <w:sz w:val="20"/>
          <w:szCs w:val="20"/>
        </w:rPr>
        <w:t xml:space="preserve"> </w:t>
      </w:r>
      <w:r w:rsidRPr="00B004EE">
        <w:rPr>
          <w:rFonts w:ascii="Tahoma" w:hAnsi="Tahoma" w:cs="Tahoma"/>
          <w:bCs/>
          <w:sz w:val="20"/>
          <w:szCs w:val="20"/>
        </w:rPr>
        <w:t>C</w:t>
      </w:r>
      <w:r w:rsidRPr="00B004EE">
        <w:rPr>
          <w:rFonts w:ascii="Tahoma" w:hAnsi="Tahoma" w:cs="Tahoma"/>
          <w:bCs/>
          <w:sz w:val="20"/>
          <w:szCs w:val="20"/>
          <w:vertAlign w:val="subscript"/>
        </w:rPr>
        <w:t>A</w:t>
      </w:r>
      <w:r w:rsidR="00DB1635" w:rsidRPr="00B004EE">
        <w:rPr>
          <w:rFonts w:ascii="Tahoma" w:hAnsi="Tahoma" w:cs="Tahoma"/>
          <w:bCs/>
          <w:sz w:val="20"/>
          <w:szCs w:val="20"/>
        </w:rPr>
        <w:t xml:space="preserve"> </w:t>
      </w:r>
      <w:r w:rsidRPr="00B004EE">
        <w:rPr>
          <w:rFonts w:ascii="Tahoma" w:hAnsi="Tahoma" w:cs="Tahoma"/>
          <w:bCs/>
          <w:sz w:val="20"/>
          <w:szCs w:val="20"/>
        </w:rPr>
        <w:t>et</w:t>
      </w:r>
      <w:r w:rsidR="00DB1635" w:rsidRPr="00B004EE">
        <w:rPr>
          <w:rFonts w:ascii="Tahoma" w:hAnsi="Tahoma" w:cs="Tahoma"/>
          <w:bCs/>
          <w:sz w:val="20"/>
          <w:szCs w:val="20"/>
        </w:rPr>
        <w:t xml:space="preserve"> </w:t>
      </w:r>
      <w:r w:rsidRPr="00B004EE">
        <w:rPr>
          <w:rFonts w:ascii="Tahoma" w:hAnsi="Tahoma" w:cs="Tahoma"/>
          <w:bCs/>
          <w:sz w:val="20"/>
          <w:szCs w:val="20"/>
        </w:rPr>
        <w:t>C</w:t>
      </w:r>
      <w:r w:rsidRPr="00B004EE">
        <w:rPr>
          <w:rFonts w:ascii="Tahoma" w:hAnsi="Tahoma" w:cs="Tahoma"/>
          <w:bCs/>
          <w:sz w:val="20"/>
          <w:szCs w:val="20"/>
          <w:vertAlign w:val="subscript"/>
        </w:rPr>
        <w:t>B</w:t>
      </w:r>
      <w:r w:rsidRPr="00B004EE">
        <w:rPr>
          <w:rFonts w:ascii="Tahoma" w:hAnsi="Tahoma" w:cs="Tahoma"/>
          <w:bCs/>
          <w:sz w:val="20"/>
          <w:szCs w:val="20"/>
        </w:rPr>
        <w:t>)</w:t>
      </w:r>
      <w:r w:rsidR="00FF77A5" w:rsidRPr="00B004EE">
        <w:rPr>
          <w:rFonts w:ascii="Tahoma" w:hAnsi="Tahoma" w:cs="Tahoma"/>
          <w:bCs/>
          <w:sz w:val="20"/>
          <w:szCs w:val="20"/>
        </w:rPr>
        <w:t>.</w:t>
      </w:r>
    </w:p>
    <w:p w14:paraId="4FBC8BF2" w14:textId="77777777" w:rsidR="008105B4" w:rsidRPr="00B004EE" w:rsidRDefault="008105B4" w:rsidP="00B004EE">
      <w:pPr>
        <w:jc w:val="both"/>
        <w:rPr>
          <w:rFonts w:ascii="Tahoma" w:hAnsi="Tahoma" w:cs="Tahoma"/>
          <w:sz w:val="20"/>
          <w:szCs w:val="20"/>
        </w:rPr>
      </w:pPr>
    </w:p>
    <w:p w14:paraId="0F51A9A5" w14:textId="049F0192" w:rsidR="008105B4" w:rsidRPr="00B004EE" w:rsidRDefault="008105B4" w:rsidP="00B004EE">
      <w:pPr>
        <w:jc w:val="both"/>
        <w:rPr>
          <w:rFonts w:ascii="Tahoma" w:hAnsi="Tahoma" w:cs="Tahoma"/>
          <w:b/>
          <w:sz w:val="20"/>
          <w:szCs w:val="20"/>
        </w:rPr>
      </w:pPr>
      <w:r w:rsidRPr="00B004EE">
        <w:rPr>
          <w:rFonts w:ascii="Tahoma" w:hAnsi="Tahoma" w:cs="Tahoma"/>
          <w:b/>
          <w:sz w:val="20"/>
          <w:szCs w:val="20"/>
        </w:rPr>
        <w:t>Tableau</w:t>
      </w:r>
      <w:r w:rsidR="00DB1635" w:rsidRPr="00B004EE">
        <w:rPr>
          <w:rFonts w:ascii="Tahoma" w:hAnsi="Tahoma" w:cs="Tahoma"/>
          <w:b/>
          <w:sz w:val="20"/>
          <w:szCs w:val="20"/>
        </w:rPr>
        <w:t xml:space="preserve"> </w:t>
      </w:r>
      <w:r w:rsidRPr="00B004EE">
        <w:rPr>
          <w:rFonts w:ascii="Tahoma" w:hAnsi="Tahoma" w:cs="Tahoma"/>
          <w:b/>
          <w:sz w:val="20"/>
          <w:szCs w:val="20"/>
        </w:rPr>
        <w:t>A</w:t>
      </w:r>
      <w:r w:rsidR="00DB1635" w:rsidRPr="00B004EE">
        <w:rPr>
          <w:rFonts w:ascii="Tahoma" w:hAnsi="Tahoma" w:cs="Tahoma"/>
          <w:b/>
          <w:sz w:val="20"/>
          <w:szCs w:val="20"/>
        </w:rPr>
        <w:t xml:space="preserve"> </w:t>
      </w:r>
      <w:r w:rsidRPr="00B004EE">
        <w:rPr>
          <w:rFonts w:ascii="Tahoma" w:hAnsi="Tahoma" w:cs="Tahoma"/>
          <w:b/>
          <w:sz w:val="20"/>
          <w:szCs w:val="20"/>
        </w:rPr>
        <w:t>:</w:t>
      </w:r>
      <w:r w:rsidR="00DB1635" w:rsidRPr="00B004EE">
        <w:rPr>
          <w:rFonts w:ascii="Tahoma" w:hAnsi="Tahoma" w:cs="Tahoma"/>
          <w:b/>
          <w:sz w:val="20"/>
          <w:szCs w:val="20"/>
        </w:rPr>
        <w:t xml:space="preserve"> </w:t>
      </w:r>
      <w:r w:rsidRPr="00B004EE">
        <w:rPr>
          <w:rFonts w:ascii="Tahoma" w:hAnsi="Tahoma" w:cs="Tahoma"/>
          <w:b/>
          <w:sz w:val="20"/>
          <w:szCs w:val="20"/>
        </w:rPr>
        <w:t>Paramètres</w:t>
      </w:r>
      <w:r w:rsidR="00DB1635" w:rsidRPr="00B004EE">
        <w:rPr>
          <w:rFonts w:ascii="Tahoma" w:hAnsi="Tahoma" w:cs="Tahoma"/>
          <w:b/>
          <w:sz w:val="20"/>
          <w:szCs w:val="20"/>
        </w:rPr>
        <w:t xml:space="preserve"> </w:t>
      </w:r>
      <w:r w:rsidRPr="00B004EE">
        <w:rPr>
          <w:rFonts w:ascii="Tahoma" w:hAnsi="Tahoma" w:cs="Tahoma"/>
          <w:b/>
          <w:sz w:val="20"/>
          <w:szCs w:val="20"/>
        </w:rPr>
        <w:t>microbiologiques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835"/>
        <w:gridCol w:w="2268"/>
        <w:gridCol w:w="1786"/>
        <w:gridCol w:w="1701"/>
      </w:tblGrid>
      <w:tr w:rsidR="00150C90" w:rsidRPr="00B004EE" w14:paraId="685E41CF" w14:textId="77777777" w:rsidTr="001E7C3C">
        <w:trPr>
          <w:jc w:val="center"/>
        </w:trPr>
        <w:tc>
          <w:tcPr>
            <w:tcW w:w="567" w:type="dxa"/>
          </w:tcPr>
          <w:p w14:paraId="4AE5D38A" w14:textId="77777777" w:rsidR="008105B4" w:rsidRPr="00B004EE" w:rsidRDefault="008105B4" w:rsidP="00B004EE">
            <w:pPr>
              <w:jc w:val="center"/>
              <w:rPr>
                <w:rFonts w:ascii="Tahoma" w:hAnsi="Tahoma" w:cs="Tahoma"/>
                <w:b/>
                <w:sz w:val="20"/>
                <w:szCs w:val="20"/>
              </w:rPr>
            </w:pPr>
            <w:r w:rsidRPr="00B004EE">
              <w:rPr>
                <w:rFonts w:ascii="Tahoma" w:hAnsi="Tahoma" w:cs="Tahoma"/>
                <w:b/>
                <w:sz w:val="20"/>
                <w:szCs w:val="20"/>
              </w:rPr>
              <w:t>N°</w:t>
            </w:r>
          </w:p>
        </w:tc>
        <w:tc>
          <w:tcPr>
            <w:tcW w:w="2835" w:type="dxa"/>
          </w:tcPr>
          <w:p w14:paraId="6DF1429A" w14:textId="77777777" w:rsidR="008105B4" w:rsidRPr="00B004EE" w:rsidRDefault="008105B4" w:rsidP="00B004EE">
            <w:pPr>
              <w:jc w:val="center"/>
              <w:rPr>
                <w:rFonts w:ascii="Tahoma" w:hAnsi="Tahoma" w:cs="Tahoma"/>
                <w:b/>
                <w:sz w:val="20"/>
                <w:szCs w:val="20"/>
              </w:rPr>
            </w:pPr>
            <w:r w:rsidRPr="00B004EE">
              <w:rPr>
                <w:rFonts w:ascii="Tahoma" w:hAnsi="Tahoma" w:cs="Tahoma"/>
                <w:b/>
                <w:sz w:val="20"/>
                <w:szCs w:val="20"/>
              </w:rPr>
              <w:t>Paramètres</w:t>
            </w:r>
          </w:p>
        </w:tc>
        <w:tc>
          <w:tcPr>
            <w:tcW w:w="2268" w:type="dxa"/>
          </w:tcPr>
          <w:p w14:paraId="5B94F63E" w14:textId="079B76C7" w:rsidR="008105B4" w:rsidRPr="00B004EE" w:rsidRDefault="008105B4" w:rsidP="00B004EE">
            <w:pPr>
              <w:jc w:val="center"/>
              <w:rPr>
                <w:rFonts w:ascii="Tahoma" w:hAnsi="Tahoma" w:cs="Tahoma"/>
                <w:b/>
                <w:sz w:val="20"/>
                <w:szCs w:val="20"/>
              </w:rPr>
            </w:pPr>
            <w:r w:rsidRPr="00B004EE">
              <w:rPr>
                <w:rFonts w:ascii="Tahoma" w:hAnsi="Tahoma" w:cs="Tahoma"/>
                <w:b/>
                <w:sz w:val="20"/>
                <w:szCs w:val="20"/>
              </w:rPr>
              <w:t>Limites</w:t>
            </w:r>
            <w:r w:rsidR="00DB1635" w:rsidRPr="00B004EE">
              <w:rPr>
                <w:rFonts w:ascii="Tahoma" w:hAnsi="Tahoma" w:cs="Tahoma"/>
                <w:b/>
                <w:sz w:val="20"/>
                <w:szCs w:val="20"/>
              </w:rPr>
              <w:t xml:space="preserve"> </w:t>
            </w:r>
            <w:r w:rsidRPr="00B004EE">
              <w:rPr>
                <w:rFonts w:ascii="Tahoma" w:hAnsi="Tahoma" w:cs="Tahoma"/>
                <w:b/>
                <w:sz w:val="20"/>
                <w:szCs w:val="20"/>
              </w:rPr>
              <w:t>de</w:t>
            </w:r>
            <w:r w:rsidR="00DB1635" w:rsidRPr="00B004EE">
              <w:rPr>
                <w:rFonts w:ascii="Tahoma" w:hAnsi="Tahoma" w:cs="Tahoma"/>
                <w:b/>
                <w:sz w:val="20"/>
                <w:szCs w:val="20"/>
              </w:rPr>
              <w:t xml:space="preserve"> </w:t>
            </w:r>
            <w:r w:rsidRPr="00B004EE">
              <w:rPr>
                <w:rFonts w:ascii="Tahoma" w:hAnsi="Tahoma" w:cs="Tahoma"/>
                <w:b/>
                <w:sz w:val="20"/>
                <w:szCs w:val="20"/>
              </w:rPr>
              <w:t>qualité</w:t>
            </w:r>
          </w:p>
        </w:tc>
        <w:tc>
          <w:tcPr>
            <w:tcW w:w="1786" w:type="dxa"/>
          </w:tcPr>
          <w:p w14:paraId="7CB7A2BA" w14:textId="590CAAF2" w:rsidR="008105B4" w:rsidRPr="00B004EE" w:rsidRDefault="008105B4" w:rsidP="00B004EE">
            <w:pPr>
              <w:jc w:val="center"/>
              <w:rPr>
                <w:rFonts w:ascii="Tahoma" w:hAnsi="Tahoma" w:cs="Tahoma"/>
                <w:b/>
                <w:sz w:val="20"/>
                <w:szCs w:val="20"/>
              </w:rPr>
            </w:pPr>
            <w:r w:rsidRPr="00B004EE">
              <w:rPr>
                <w:rFonts w:ascii="Tahoma" w:hAnsi="Tahoma" w:cs="Tahoma"/>
                <w:b/>
                <w:sz w:val="20"/>
                <w:szCs w:val="20"/>
              </w:rPr>
              <w:t>Unités</w:t>
            </w:r>
            <w:r w:rsidR="00DB1635" w:rsidRPr="00B004EE">
              <w:rPr>
                <w:rFonts w:ascii="Tahoma" w:hAnsi="Tahoma" w:cs="Tahoma"/>
                <w:b/>
                <w:sz w:val="20"/>
                <w:szCs w:val="20"/>
              </w:rPr>
              <w:t xml:space="preserve"> </w:t>
            </w:r>
            <w:r w:rsidRPr="00B004EE">
              <w:rPr>
                <w:rFonts w:ascii="Tahoma" w:hAnsi="Tahoma" w:cs="Tahoma"/>
                <w:b/>
                <w:sz w:val="20"/>
                <w:szCs w:val="20"/>
              </w:rPr>
              <w:t>de</w:t>
            </w:r>
            <w:r w:rsidR="00DB1635" w:rsidRPr="00B004EE">
              <w:rPr>
                <w:rFonts w:ascii="Tahoma" w:hAnsi="Tahoma" w:cs="Tahoma"/>
                <w:b/>
                <w:sz w:val="20"/>
                <w:szCs w:val="20"/>
              </w:rPr>
              <w:t xml:space="preserve"> </w:t>
            </w:r>
            <w:r w:rsidRPr="00B004EE">
              <w:rPr>
                <w:rFonts w:ascii="Tahoma" w:hAnsi="Tahoma" w:cs="Tahoma"/>
                <w:b/>
                <w:sz w:val="20"/>
                <w:szCs w:val="20"/>
              </w:rPr>
              <w:t>mesure</w:t>
            </w:r>
          </w:p>
        </w:tc>
        <w:tc>
          <w:tcPr>
            <w:tcW w:w="1701" w:type="dxa"/>
          </w:tcPr>
          <w:p w14:paraId="2BEAC397" w14:textId="77777777" w:rsidR="008105B4" w:rsidRPr="00B004EE" w:rsidRDefault="008105B4" w:rsidP="00B004EE">
            <w:pPr>
              <w:jc w:val="center"/>
              <w:rPr>
                <w:rFonts w:ascii="Tahoma" w:hAnsi="Tahoma" w:cs="Tahoma"/>
                <w:b/>
                <w:sz w:val="20"/>
                <w:szCs w:val="20"/>
              </w:rPr>
            </w:pPr>
            <w:r w:rsidRPr="00B004EE">
              <w:rPr>
                <w:rFonts w:ascii="Tahoma" w:hAnsi="Tahoma" w:cs="Tahoma"/>
                <w:b/>
                <w:sz w:val="20"/>
                <w:szCs w:val="20"/>
              </w:rPr>
              <w:t>Notes</w:t>
            </w:r>
          </w:p>
        </w:tc>
      </w:tr>
      <w:tr w:rsidR="00150C90" w:rsidRPr="00B004EE" w14:paraId="0C5CC814" w14:textId="77777777" w:rsidTr="001E7C3C">
        <w:trPr>
          <w:jc w:val="center"/>
        </w:trPr>
        <w:tc>
          <w:tcPr>
            <w:tcW w:w="567" w:type="dxa"/>
          </w:tcPr>
          <w:p w14:paraId="030F86C2" w14:textId="77777777" w:rsidR="008105B4" w:rsidRPr="00B004EE" w:rsidRDefault="008105B4" w:rsidP="00B004EE">
            <w:pPr>
              <w:pStyle w:val="Lgende"/>
              <w:jc w:val="both"/>
              <w:rPr>
                <w:rFonts w:ascii="Tahoma" w:hAnsi="Tahoma" w:cs="Tahoma"/>
                <w:b w:val="0"/>
                <w:bCs w:val="0"/>
              </w:rPr>
            </w:pPr>
            <w:r w:rsidRPr="00B004EE">
              <w:rPr>
                <w:rFonts w:ascii="Tahoma" w:hAnsi="Tahoma" w:cs="Tahoma"/>
                <w:b w:val="0"/>
                <w:bCs w:val="0"/>
              </w:rPr>
              <w:t>1</w:t>
            </w:r>
          </w:p>
        </w:tc>
        <w:tc>
          <w:tcPr>
            <w:tcW w:w="2835" w:type="dxa"/>
          </w:tcPr>
          <w:p w14:paraId="05B16AD1" w14:textId="14D64D32" w:rsidR="008105B4" w:rsidRPr="00B004EE" w:rsidRDefault="008105B4" w:rsidP="00B004EE">
            <w:pPr>
              <w:pStyle w:val="Lgende"/>
              <w:jc w:val="both"/>
              <w:rPr>
                <w:rFonts w:ascii="Tahoma" w:hAnsi="Tahoma" w:cs="Tahoma"/>
                <w:b w:val="0"/>
                <w:bCs w:val="0"/>
              </w:rPr>
            </w:pPr>
            <w:bookmarkStart w:id="183" w:name="_Toc317072041"/>
            <w:bookmarkStart w:id="184" w:name="_Toc317072405"/>
            <w:bookmarkStart w:id="185" w:name="_Toc317072703"/>
            <w:bookmarkStart w:id="186" w:name="_Toc317072751"/>
            <w:bookmarkStart w:id="187" w:name="_Toc317073931"/>
            <w:r w:rsidRPr="00B004EE">
              <w:rPr>
                <w:rFonts w:ascii="Tahoma" w:hAnsi="Tahoma" w:cs="Tahoma"/>
                <w:b w:val="0"/>
                <w:bCs w:val="0"/>
              </w:rPr>
              <w:t>Escherichia</w:t>
            </w:r>
            <w:r w:rsidR="00DB1635" w:rsidRPr="00B004EE">
              <w:rPr>
                <w:rFonts w:ascii="Tahoma" w:hAnsi="Tahoma" w:cs="Tahoma"/>
                <w:b w:val="0"/>
                <w:bCs w:val="0"/>
              </w:rPr>
              <w:t xml:space="preserve"> </w:t>
            </w:r>
            <w:r w:rsidRPr="00B004EE">
              <w:rPr>
                <w:rFonts w:ascii="Tahoma" w:hAnsi="Tahoma" w:cs="Tahoma"/>
                <w:b w:val="0"/>
                <w:bCs w:val="0"/>
              </w:rPr>
              <w:t>coli</w:t>
            </w:r>
            <w:bookmarkEnd w:id="183"/>
            <w:bookmarkEnd w:id="184"/>
            <w:bookmarkEnd w:id="185"/>
            <w:bookmarkEnd w:id="186"/>
            <w:bookmarkEnd w:id="187"/>
            <w:r w:rsidR="00DB1635" w:rsidRPr="00B004EE">
              <w:rPr>
                <w:rFonts w:ascii="Tahoma" w:hAnsi="Tahoma" w:cs="Tahoma"/>
                <w:b w:val="0"/>
                <w:bCs w:val="0"/>
              </w:rPr>
              <w:t xml:space="preserve"> </w:t>
            </w:r>
          </w:p>
        </w:tc>
        <w:tc>
          <w:tcPr>
            <w:tcW w:w="2268" w:type="dxa"/>
          </w:tcPr>
          <w:p w14:paraId="025B7919" w14:textId="7943CB92" w:rsidR="008105B4" w:rsidRPr="00B004EE" w:rsidRDefault="008105B4" w:rsidP="00B004EE">
            <w:pPr>
              <w:pStyle w:val="Lgende"/>
              <w:jc w:val="both"/>
              <w:rPr>
                <w:rFonts w:ascii="Tahoma" w:hAnsi="Tahoma" w:cs="Tahoma"/>
                <w:b w:val="0"/>
                <w:bCs w:val="0"/>
              </w:rPr>
            </w:pPr>
            <w:r w:rsidRPr="00B004EE">
              <w:rPr>
                <w:rFonts w:ascii="Tahoma" w:hAnsi="Tahoma" w:cs="Tahoma"/>
                <w:b w:val="0"/>
                <w:bCs w:val="0"/>
              </w:rPr>
              <w:t>&lt;</w:t>
            </w:r>
            <w:r w:rsidR="00DB1635" w:rsidRPr="00B004EE">
              <w:rPr>
                <w:rFonts w:ascii="Tahoma" w:hAnsi="Tahoma" w:cs="Tahoma"/>
                <w:b w:val="0"/>
                <w:bCs w:val="0"/>
              </w:rPr>
              <w:t xml:space="preserve"> </w:t>
            </w:r>
            <w:r w:rsidRPr="00B004EE">
              <w:rPr>
                <w:rFonts w:ascii="Tahoma" w:hAnsi="Tahoma" w:cs="Tahoma"/>
                <w:b w:val="0"/>
                <w:bCs w:val="0"/>
              </w:rPr>
              <w:t>1</w:t>
            </w:r>
          </w:p>
        </w:tc>
        <w:tc>
          <w:tcPr>
            <w:tcW w:w="1786" w:type="dxa"/>
          </w:tcPr>
          <w:p w14:paraId="0A415BCA" w14:textId="5C413C45" w:rsidR="008105B4" w:rsidRPr="00B004EE" w:rsidRDefault="008105B4" w:rsidP="00B004EE">
            <w:pPr>
              <w:pStyle w:val="Lgende"/>
              <w:jc w:val="both"/>
              <w:rPr>
                <w:rFonts w:ascii="Tahoma" w:hAnsi="Tahoma" w:cs="Tahoma"/>
                <w:b w:val="0"/>
                <w:bCs w:val="0"/>
              </w:rPr>
            </w:pPr>
            <w:r w:rsidRPr="00B004EE">
              <w:rPr>
                <w:rFonts w:ascii="Tahoma" w:hAnsi="Tahoma" w:cs="Tahoma"/>
                <w:b w:val="0"/>
                <w:bCs w:val="0"/>
              </w:rPr>
              <w:t>nombre/100</w:t>
            </w:r>
            <w:r w:rsidR="00DB1635" w:rsidRPr="00B004EE">
              <w:rPr>
                <w:rFonts w:ascii="Tahoma" w:hAnsi="Tahoma" w:cs="Tahoma"/>
                <w:b w:val="0"/>
                <w:bCs w:val="0"/>
              </w:rPr>
              <w:t xml:space="preserve"> </w:t>
            </w:r>
            <w:r w:rsidRPr="00B004EE">
              <w:rPr>
                <w:rFonts w:ascii="Tahoma" w:hAnsi="Tahoma" w:cs="Tahoma"/>
                <w:b w:val="0"/>
                <w:bCs w:val="0"/>
              </w:rPr>
              <w:t>ml</w:t>
            </w:r>
          </w:p>
        </w:tc>
        <w:tc>
          <w:tcPr>
            <w:tcW w:w="1701" w:type="dxa"/>
          </w:tcPr>
          <w:p w14:paraId="086B02F3" w14:textId="77777777" w:rsidR="008105B4" w:rsidRPr="00B004EE" w:rsidRDefault="008105B4" w:rsidP="00B004EE">
            <w:pPr>
              <w:pStyle w:val="Lgende"/>
              <w:jc w:val="both"/>
              <w:rPr>
                <w:rFonts w:ascii="Tahoma" w:hAnsi="Tahoma" w:cs="Tahoma"/>
                <w:b w:val="0"/>
                <w:bCs w:val="0"/>
              </w:rPr>
            </w:pPr>
          </w:p>
        </w:tc>
      </w:tr>
      <w:tr w:rsidR="008105B4" w:rsidRPr="00B004EE" w14:paraId="3992EDD3" w14:textId="77777777" w:rsidTr="001E7C3C">
        <w:trPr>
          <w:jc w:val="center"/>
        </w:trPr>
        <w:tc>
          <w:tcPr>
            <w:tcW w:w="567" w:type="dxa"/>
          </w:tcPr>
          <w:p w14:paraId="5E745BD8" w14:textId="77777777" w:rsidR="008105B4" w:rsidRPr="00B004EE" w:rsidRDefault="008105B4" w:rsidP="00B004EE">
            <w:pPr>
              <w:pStyle w:val="Lgende"/>
              <w:jc w:val="both"/>
              <w:rPr>
                <w:rFonts w:ascii="Tahoma" w:hAnsi="Tahoma" w:cs="Tahoma"/>
                <w:b w:val="0"/>
                <w:bCs w:val="0"/>
              </w:rPr>
            </w:pPr>
            <w:r w:rsidRPr="00B004EE">
              <w:rPr>
                <w:rFonts w:ascii="Tahoma" w:hAnsi="Tahoma" w:cs="Tahoma"/>
                <w:b w:val="0"/>
                <w:bCs w:val="0"/>
              </w:rPr>
              <w:t>2</w:t>
            </w:r>
          </w:p>
        </w:tc>
        <w:tc>
          <w:tcPr>
            <w:tcW w:w="2835" w:type="dxa"/>
          </w:tcPr>
          <w:p w14:paraId="30F462CA" w14:textId="77777777" w:rsidR="008105B4" w:rsidRPr="00B004EE" w:rsidRDefault="008105B4" w:rsidP="00B004EE">
            <w:pPr>
              <w:pStyle w:val="Lgende"/>
              <w:jc w:val="both"/>
              <w:rPr>
                <w:rFonts w:ascii="Tahoma" w:hAnsi="Tahoma" w:cs="Tahoma"/>
                <w:b w:val="0"/>
                <w:bCs w:val="0"/>
              </w:rPr>
            </w:pPr>
            <w:r w:rsidRPr="00B004EE">
              <w:rPr>
                <w:rFonts w:ascii="Tahoma" w:hAnsi="Tahoma" w:cs="Tahoma"/>
                <w:b w:val="0"/>
                <w:bCs w:val="0"/>
              </w:rPr>
              <w:t>Entérocoques</w:t>
            </w:r>
          </w:p>
        </w:tc>
        <w:tc>
          <w:tcPr>
            <w:tcW w:w="2268" w:type="dxa"/>
          </w:tcPr>
          <w:p w14:paraId="2A7EABF6" w14:textId="413A36B4" w:rsidR="008105B4" w:rsidRPr="00B004EE" w:rsidRDefault="008105B4" w:rsidP="00B004EE">
            <w:pPr>
              <w:pStyle w:val="Lgende"/>
              <w:jc w:val="both"/>
              <w:rPr>
                <w:rFonts w:ascii="Tahoma" w:hAnsi="Tahoma" w:cs="Tahoma"/>
                <w:b w:val="0"/>
                <w:bCs w:val="0"/>
              </w:rPr>
            </w:pPr>
            <w:r w:rsidRPr="00B004EE">
              <w:rPr>
                <w:rFonts w:ascii="Tahoma" w:hAnsi="Tahoma" w:cs="Tahoma"/>
                <w:b w:val="0"/>
                <w:bCs w:val="0"/>
              </w:rPr>
              <w:t>&lt;</w:t>
            </w:r>
            <w:r w:rsidR="00DB1635" w:rsidRPr="00B004EE">
              <w:rPr>
                <w:rFonts w:ascii="Tahoma" w:hAnsi="Tahoma" w:cs="Tahoma"/>
                <w:b w:val="0"/>
                <w:bCs w:val="0"/>
              </w:rPr>
              <w:t xml:space="preserve"> </w:t>
            </w:r>
            <w:r w:rsidRPr="00B004EE">
              <w:rPr>
                <w:rFonts w:ascii="Tahoma" w:hAnsi="Tahoma" w:cs="Tahoma"/>
                <w:b w:val="0"/>
                <w:bCs w:val="0"/>
              </w:rPr>
              <w:t>1</w:t>
            </w:r>
          </w:p>
        </w:tc>
        <w:tc>
          <w:tcPr>
            <w:tcW w:w="1786" w:type="dxa"/>
          </w:tcPr>
          <w:p w14:paraId="5897C845" w14:textId="5A63ADC5" w:rsidR="008105B4" w:rsidRPr="00B004EE" w:rsidRDefault="008105B4" w:rsidP="00B004EE">
            <w:pPr>
              <w:pStyle w:val="Lgende"/>
              <w:jc w:val="both"/>
              <w:rPr>
                <w:rFonts w:ascii="Tahoma" w:hAnsi="Tahoma" w:cs="Tahoma"/>
                <w:b w:val="0"/>
                <w:bCs w:val="0"/>
              </w:rPr>
            </w:pPr>
            <w:r w:rsidRPr="00B004EE">
              <w:rPr>
                <w:rFonts w:ascii="Tahoma" w:hAnsi="Tahoma" w:cs="Tahoma"/>
                <w:b w:val="0"/>
                <w:bCs w:val="0"/>
              </w:rPr>
              <w:t>nombre/100</w:t>
            </w:r>
            <w:r w:rsidR="00DB1635" w:rsidRPr="00B004EE">
              <w:rPr>
                <w:rFonts w:ascii="Tahoma" w:hAnsi="Tahoma" w:cs="Tahoma"/>
                <w:b w:val="0"/>
                <w:bCs w:val="0"/>
              </w:rPr>
              <w:t xml:space="preserve"> </w:t>
            </w:r>
            <w:r w:rsidRPr="00B004EE">
              <w:rPr>
                <w:rFonts w:ascii="Tahoma" w:hAnsi="Tahoma" w:cs="Tahoma"/>
                <w:b w:val="0"/>
                <w:bCs w:val="0"/>
              </w:rPr>
              <w:t>ml</w:t>
            </w:r>
          </w:p>
        </w:tc>
        <w:tc>
          <w:tcPr>
            <w:tcW w:w="1701" w:type="dxa"/>
          </w:tcPr>
          <w:p w14:paraId="51EAD8FB" w14:textId="77777777" w:rsidR="008105B4" w:rsidRPr="00B004EE" w:rsidRDefault="008105B4" w:rsidP="00B004EE">
            <w:pPr>
              <w:pStyle w:val="Lgende"/>
              <w:jc w:val="both"/>
              <w:rPr>
                <w:rFonts w:ascii="Tahoma" w:hAnsi="Tahoma" w:cs="Tahoma"/>
                <w:b w:val="0"/>
                <w:bCs w:val="0"/>
              </w:rPr>
            </w:pPr>
          </w:p>
        </w:tc>
      </w:tr>
    </w:tbl>
    <w:p w14:paraId="54BA8CEB" w14:textId="77777777" w:rsidR="008105B4" w:rsidRPr="00B004EE" w:rsidRDefault="008105B4" w:rsidP="00B004EE">
      <w:pPr>
        <w:jc w:val="both"/>
        <w:rPr>
          <w:rFonts w:ascii="Tahoma" w:hAnsi="Tahoma" w:cs="Tahoma"/>
          <w:sz w:val="20"/>
          <w:szCs w:val="20"/>
        </w:rPr>
      </w:pPr>
    </w:p>
    <w:p w14:paraId="13BD0856" w14:textId="73D7287B" w:rsidR="008105B4" w:rsidRPr="00B004EE" w:rsidRDefault="008105B4" w:rsidP="00B004EE">
      <w:pPr>
        <w:pStyle w:val="Lgende"/>
        <w:jc w:val="both"/>
        <w:rPr>
          <w:rFonts w:ascii="Tahoma" w:hAnsi="Tahoma" w:cs="Tahoma"/>
        </w:rPr>
      </w:pPr>
      <w:bookmarkStart w:id="188" w:name="_Toc317072042"/>
      <w:bookmarkStart w:id="189" w:name="_Toc317072406"/>
      <w:bookmarkStart w:id="190" w:name="_Toc317072704"/>
      <w:bookmarkStart w:id="191" w:name="_Toc317072752"/>
      <w:bookmarkStart w:id="192" w:name="_Toc317073362"/>
      <w:bookmarkStart w:id="193" w:name="_Toc317073932"/>
      <w:r w:rsidRPr="00B004EE">
        <w:rPr>
          <w:rFonts w:ascii="Tahoma" w:hAnsi="Tahoma" w:cs="Tahoma"/>
        </w:rPr>
        <w:t>Tableau</w:t>
      </w:r>
      <w:r w:rsidR="00DB1635" w:rsidRPr="00B004EE">
        <w:rPr>
          <w:rFonts w:ascii="Tahoma" w:hAnsi="Tahoma" w:cs="Tahoma"/>
        </w:rPr>
        <w:t xml:space="preserve"> </w:t>
      </w:r>
      <w:r w:rsidRPr="00B004EE">
        <w:rPr>
          <w:rFonts w:ascii="Tahoma" w:hAnsi="Tahoma" w:cs="Tahoma"/>
        </w:rPr>
        <w:t>B</w:t>
      </w:r>
      <w:r w:rsidR="00DB1635" w:rsidRPr="00B004EE">
        <w:rPr>
          <w:rFonts w:ascii="Tahoma" w:hAnsi="Tahoma" w:cs="Tahoma"/>
        </w:rPr>
        <w:t xml:space="preserve"> </w:t>
      </w:r>
      <w:r w:rsidRPr="00B004EE">
        <w:rPr>
          <w:rFonts w:ascii="Tahoma" w:hAnsi="Tahoma" w:cs="Tahoma"/>
        </w:rPr>
        <w:t>:</w:t>
      </w:r>
      <w:r w:rsidR="00DB1635" w:rsidRPr="00B004EE">
        <w:rPr>
          <w:rFonts w:ascii="Tahoma" w:hAnsi="Tahoma" w:cs="Tahoma"/>
        </w:rPr>
        <w:t xml:space="preserve"> </w:t>
      </w:r>
      <w:r w:rsidRPr="00B004EE">
        <w:rPr>
          <w:rFonts w:ascii="Tahoma" w:hAnsi="Tahoma" w:cs="Tahoma"/>
        </w:rPr>
        <w:t>Paramètres</w:t>
      </w:r>
      <w:r w:rsidR="00DB1635" w:rsidRPr="00B004EE">
        <w:rPr>
          <w:rFonts w:ascii="Tahoma" w:hAnsi="Tahoma" w:cs="Tahoma"/>
        </w:rPr>
        <w:t xml:space="preserve"> </w:t>
      </w:r>
      <w:r w:rsidRPr="00B004EE">
        <w:rPr>
          <w:rFonts w:ascii="Tahoma" w:hAnsi="Tahoma" w:cs="Tahoma"/>
        </w:rPr>
        <w:t>chimiques</w:t>
      </w:r>
      <w:bookmarkEnd w:id="188"/>
      <w:bookmarkEnd w:id="189"/>
      <w:bookmarkEnd w:id="190"/>
      <w:bookmarkEnd w:id="191"/>
      <w:bookmarkEnd w:id="192"/>
      <w:bookmarkEnd w:id="19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2"/>
        <w:gridCol w:w="2835"/>
        <w:gridCol w:w="2268"/>
        <w:gridCol w:w="1786"/>
        <w:gridCol w:w="1720"/>
      </w:tblGrid>
      <w:tr w:rsidR="00150C90" w:rsidRPr="00B004EE" w14:paraId="6A67CA6E" w14:textId="77777777" w:rsidTr="001E7C3C">
        <w:trPr>
          <w:jc w:val="center"/>
        </w:trPr>
        <w:tc>
          <w:tcPr>
            <w:tcW w:w="552" w:type="dxa"/>
          </w:tcPr>
          <w:p w14:paraId="55F59379" w14:textId="77777777" w:rsidR="008105B4" w:rsidRPr="00B004EE" w:rsidRDefault="008105B4" w:rsidP="00B004EE">
            <w:pPr>
              <w:jc w:val="center"/>
              <w:rPr>
                <w:rFonts w:ascii="Tahoma" w:hAnsi="Tahoma" w:cs="Tahoma"/>
                <w:b/>
                <w:sz w:val="20"/>
                <w:szCs w:val="20"/>
              </w:rPr>
            </w:pPr>
            <w:r w:rsidRPr="00B004EE">
              <w:rPr>
                <w:rFonts w:ascii="Tahoma" w:hAnsi="Tahoma" w:cs="Tahoma"/>
                <w:b/>
                <w:sz w:val="20"/>
                <w:szCs w:val="20"/>
              </w:rPr>
              <w:t>N°</w:t>
            </w:r>
          </w:p>
        </w:tc>
        <w:tc>
          <w:tcPr>
            <w:tcW w:w="2835" w:type="dxa"/>
          </w:tcPr>
          <w:p w14:paraId="492766B1" w14:textId="77777777" w:rsidR="008105B4" w:rsidRPr="00B004EE" w:rsidRDefault="008105B4" w:rsidP="00B004EE">
            <w:pPr>
              <w:jc w:val="center"/>
              <w:rPr>
                <w:rFonts w:ascii="Tahoma" w:hAnsi="Tahoma" w:cs="Tahoma"/>
                <w:b/>
                <w:sz w:val="20"/>
                <w:szCs w:val="20"/>
              </w:rPr>
            </w:pPr>
            <w:r w:rsidRPr="00B004EE">
              <w:rPr>
                <w:rFonts w:ascii="Tahoma" w:hAnsi="Tahoma" w:cs="Tahoma"/>
                <w:b/>
                <w:sz w:val="20"/>
                <w:szCs w:val="20"/>
              </w:rPr>
              <w:t>Paramètres</w:t>
            </w:r>
          </w:p>
        </w:tc>
        <w:tc>
          <w:tcPr>
            <w:tcW w:w="2268" w:type="dxa"/>
          </w:tcPr>
          <w:p w14:paraId="079B770F" w14:textId="6F9509C0" w:rsidR="008105B4" w:rsidRPr="00B004EE" w:rsidRDefault="008105B4" w:rsidP="00B004EE">
            <w:pPr>
              <w:jc w:val="center"/>
              <w:rPr>
                <w:rFonts w:ascii="Tahoma" w:hAnsi="Tahoma" w:cs="Tahoma"/>
                <w:b/>
                <w:sz w:val="20"/>
                <w:szCs w:val="20"/>
              </w:rPr>
            </w:pPr>
            <w:r w:rsidRPr="00B004EE">
              <w:rPr>
                <w:rFonts w:ascii="Tahoma" w:hAnsi="Tahoma" w:cs="Tahoma"/>
                <w:b/>
                <w:sz w:val="20"/>
                <w:szCs w:val="20"/>
              </w:rPr>
              <w:t>Limites</w:t>
            </w:r>
            <w:r w:rsidR="00DB1635" w:rsidRPr="00B004EE">
              <w:rPr>
                <w:rFonts w:ascii="Tahoma" w:hAnsi="Tahoma" w:cs="Tahoma"/>
                <w:b/>
                <w:sz w:val="20"/>
                <w:szCs w:val="20"/>
              </w:rPr>
              <w:t xml:space="preserve"> </w:t>
            </w:r>
            <w:r w:rsidRPr="00B004EE">
              <w:rPr>
                <w:rFonts w:ascii="Tahoma" w:hAnsi="Tahoma" w:cs="Tahoma"/>
                <w:b/>
                <w:sz w:val="20"/>
                <w:szCs w:val="20"/>
              </w:rPr>
              <w:t>de</w:t>
            </w:r>
            <w:r w:rsidR="00DB1635" w:rsidRPr="00B004EE">
              <w:rPr>
                <w:rFonts w:ascii="Tahoma" w:hAnsi="Tahoma" w:cs="Tahoma"/>
                <w:b/>
                <w:sz w:val="20"/>
                <w:szCs w:val="20"/>
              </w:rPr>
              <w:t xml:space="preserve"> </w:t>
            </w:r>
            <w:r w:rsidRPr="00B004EE">
              <w:rPr>
                <w:rFonts w:ascii="Tahoma" w:hAnsi="Tahoma" w:cs="Tahoma"/>
                <w:b/>
                <w:sz w:val="20"/>
                <w:szCs w:val="20"/>
              </w:rPr>
              <w:t>qualité</w:t>
            </w:r>
          </w:p>
        </w:tc>
        <w:tc>
          <w:tcPr>
            <w:tcW w:w="1786" w:type="dxa"/>
          </w:tcPr>
          <w:p w14:paraId="72333D5C" w14:textId="70CA8C23" w:rsidR="008105B4" w:rsidRPr="00B004EE" w:rsidRDefault="008105B4" w:rsidP="00B004EE">
            <w:pPr>
              <w:jc w:val="center"/>
              <w:rPr>
                <w:rFonts w:ascii="Tahoma" w:hAnsi="Tahoma" w:cs="Tahoma"/>
                <w:b/>
                <w:sz w:val="20"/>
                <w:szCs w:val="20"/>
              </w:rPr>
            </w:pPr>
            <w:r w:rsidRPr="00B004EE">
              <w:rPr>
                <w:rFonts w:ascii="Tahoma" w:hAnsi="Tahoma" w:cs="Tahoma"/>
                <w:b/>
                <w:sz w:val="20"/>
                <w:szCs w:val="20"/>
              </w:rPr>
              <w:t>Unités</w:t>
            </w:r>
            <w:r w:rsidR="00DB1635" w:rsidRPr="00B004EE">
              <w:rPr>
                <w:rFonts w:ascii="Tahoma" w:hAnsi="Tahoma" w:cs="Tahoma"/>
                <w:b/>
                <w:sz w:val="20"/>
                <w:szCs w:val="20"/>
              </w:rPr>
              <w:t xml:space="preserve"> </w:t>
            </w:r>
            <w:r w:rsidRPr="00B004EE">
              <w:rPr>
                <w:rFonts w:ascii="Tahoma" w:hAnsi="Tahoma" w:cs="Tahoma"/>
                <w:b/>
                <w:sz w:val="20"/>
                <w:szCs w:val="20"/>
              </w:rPr>
              <w:t>de</w:t>
            </w:r>
            <w:r w:rsidR="00DB1635" w:rsidRPr="00B004EE">
              <w:rPr>
                <w:rFonts w:ascii="Tahoma" w:hAnsi="Tahoma" w:cs="Tahoma"/>
                <w:b/>
                <w:sz w:val="20"/>
                <w:szCs w:val="20"/>
              </w:rPr>
              <w:t xml:space="preserve"> </w:t>
            </w:r>
            <w:r w:rsidRPr="00B004EE">
              <w:rPr>
                <w:rFonts w:ascii="Tahoma" w:hAnsi="Tahoma" w:cs="Tahoma"/>
                <w:b/>
                <w:sz w:val="20"/>
                <w:szCs w:val="20"/>
              </w:rPr>
              <w:t>mesure</w:t>
            </w:r>
          </w:p>
        </w:tc>
        <w:tc>
          <w:tcPr>
            <w:tcW w:w="1720" w:type="dxa"/>
          </w:tcPr>
          <w:p w14:paraId="32C5D421" w14:textId="77777777" w:rsidR="008105B4" w:rsidRPr="00B004EE" w:rsidRDefault="008105B4" w:rsidP="00B004EE">
            <w:pPr>
              <w:jc w:val="center"/>
              <w:rPr>
                <w:rFonts w:ascii="Tahoma" w:hAnsi="Tahoma" w:cs="Tahoma"/>
                <w:b/>
                <w:sz w:val="20"/>
                <w:szCs w:val="20"/>
              </w:rPr>
            </w:pPr>
            <w:r w:rsidRPr="00B004EE">
              <w:rPr>
                <w:rFonts w:ascii="Tahoma" w:hAnsi="Tahoma" w:cs="Tahoma"/>
                <w:b/>
                <w:sz w:val="20"/>
                <w:szCs w:val="20"/>
              </w:rPr>
              <w:t>Notes</w:t>
            </w:r>
          </w:p>
        </w:tc>
      </w:tr>
      <w:tr w:rsidR="00150C90" w:rsidRPr="00B004EE" w14:paraId="342088D4" w14:textId="77777777" w:rsidTr="001E7C3C">
        <w:trPr>
          <w:jc w:val="center"/>
        </w:trPr>
        <w:tc>
          <w:tcPr>
            <w:tcW w:w="552" w:type="dxa"/>
          </w:tcPr>
          <w:p w14:paraId="2ACDD300" w14:textId="77777777" w:rsidR="008105B4" w:rsidRPr="00B004EE" w:rsidRDefault="008105B4" w:rsidP="00B004EE">
            <w:pPr>
              <w:pStyle w:val="Lgende"/>
              <w:jc w:val="both"/>
              <w:rPr>
                <w:rFonts w:ascii="Tahoma" w:hAnsi="Tahoma" w:cs="Tahoma"/>
                <w:b w:val="0"/>
                <w:bCs w:val="0"/>
              </w:rPr>
            </w:pPr>
            <w:r w:rsidRPr="00B004EE">
              <w:rPr>
                <w:rFonts w:ascii="Tahoma" w:hAnsi="Tahoma" w:cs="Tahoma"/>
                <w:b w:val="0"/>
                <w:bCs w:val="0"/>
              </w:rPr>
              <w:t>3</w:t>
            </w:r>
          </w:p>
        </w:tc>
        <w:tc>
          <w:tcPr>
            <w:tcW w:w="2835" w:type="dxa"/>
            <w:vAlign w:val="center"/>
          </w:tcPr>
          <w:p w14:paraId="35247633" w14:textId="77777777" w:rsidR="008105B4" w:rsidRPr="00B004EE" w:rsidRDefault="008105B4" w:rsidP="00B004EE">
            <w:pPr>
              <w:pStyle w:val="Lgende"/>
              <w:jc w:val="both"/>
              <w:rPr>
                <w:rFonts w:ascii="Tahoma" w:eastAsia="Arial Unicode MS" w:hAnsi="Tahoma" w:cs="Tahoma"/>
                <w:b w:val="0"/>
                <w:bCs w:val="0"/>
              </w:rPr>
            </w:pPr>
            <w:r w:rsidRPr="00B004EE">
              <w:rPr>
                <w:rFonts w:ascii="Tahoma" w:hAnsi="Tahoma" w:cs="Tahoma"/>
                <w:b w:val="0"/>
                <w:bCs w:val="0"/>
              </w:rPr>
              <w:t>Acrylamide</w:t>
            </w:r>
          </w:p>
        </w:tc>
        <w:tc>
          <w:tcPr>
            <w:tcW w:w="2268" w:type="dxa"/>
            <w:vAlign w:val="center"/>
          </w:tcPr>
          <w:p w14:paraId="52D75C24" w14:textId="77777777" w:rsidR="008105B4" w:rsidRPr="00B004EE" w:rsidRDefault="008105B4" w:rsidP="00B004EE">
            <w:pPr>
              <w:pStyle w:val="Lgende"/>
              <w:jc w:val="both"/>
              <w:rPr>
                <w:rFonts w:ascii="Tahoma" w:eastAsia="Arial Unicode MS" w:hAnsi="Tahoma" w:cs="Tahoma"/>
                <w:b w:val="0"/>
                <w:bCs w:val="0"/>
              </w:rPr>
            </w:pPr>
            <w:r w:rsidRPr="00B004EE">
              <w:rPr>
                <w:rFonts w:ascii="Tahoma" w:hAnsi="Tahoma" w:cs="Tahoma"/>
                <w:b w:val="0"/>
                <w:bCs w:val="0"/>
              </w:rPr>
              <w:t>0,10</w:t>
            </w:r>
          </w:p>
        </w:tc>
        <w:tc>
          <w:tcPr>
            <w:tcW w:w="1786" w:type="dxa"/>
            <w:vAlign w:val="center"/>
          </w:tcPr>
          <w:p w14:paraId="2AF6B436" w14:textId="77777777" w:rsidR="008105B4" w:rsidRPr="00B004EE" w:rsidRDefault="008105B4" w:rsidP="00B004EE">
            <w:pPr>
              <w:pStyle w:val="Lgende"/>
              <w:jc w:val="both"/>
              <w:rPr>
                <w:rFonts w:ascii="Tahoma" w:eastAsia="Arial Unicode MS" w:hAnsi="Tahoma" w:cs="Tahoma"/>
                <w:b w:val="0"/>
                <w:bCs w:val="0"/>
              </w:rPr>
            </w:pPr>
            <w:r w:rsidRPr="00B004EE">
              <w:rPr>
                <w:rFonts w:ascii="Tahoma" w:hAnsi="Tahoma" w:cs="Tahoma"/>
                <w:b w:val="0"/>
                <w:bCs w:val="0"/>
              </w:rPr>
              <w:t>µg/l</w:t>
            </w:r>
          </w:p>
        </w:tc>
        <w:tc>
          <w:tcPr>
            <w:tcW w:w="1720" w:type="dxa"/>
            <w:vAlign w:val="center"/>
          </w:tcPr>
          <w:p w14:paraId="556C3B01" w14:textId="31040B28" w:rsidR="008105B4" w:rsidRPr="00B004EE" w:rsidRDefault="008105B4" w:rsidP="00B004EE">
            <w:pPr>
              <w:pStyle w:val="Lgende"/>
              <w:jc w:val="both"/>
              <w:rPr>
                <w:rFonts w:ascii="Tahoma" w:eastAsia="Arial Unicode MS" w:hAnsi="Tahoma" w:cs="Tahoma"/>
                <w:b w:val="0"/>
                <w:bCs w:val="0"/>
              </w:rPr>
            </w:pPr>
            <w:r w:rsidRPr="00B004EE">
              <w:rPr>
                <w:rFonts w:ascii="Tahoma" w:eastAsia="Arial Unicode MS" w:hAnsi="Tahoma" w:cs="Tahoma"/>
                <w:b w:val="0"/>
                <w:bCs w:val="0"/>
              </w:rPr>
              <w:t>Note</w:t>
            </w:r>
            <w:r w:rsidR="00DB1635" w:rsidRPr="00B004EE">
              <w:rPr>
                <w:rFonts w:ascii="Tahoma" w:eastAsia="Arial Unicode MS" w:hAnsi="Tahoma" w:cs="Tahoma"/>
                <w:b w:val="0"/>
                <w:bCs w:val="0"/>
              </w:rPr>
              <w:t xml:space="preserve"> </w:t>
            </w:r>
            <w:r w:rsidRPr="00B004EE">
              <w:rPr>
                <w:rFonts w:ascii="Tahoma" w:eastAsia="Arial Unicode MS" w:hAnsi="Tahoma" w:cs="Tahoma"/>
                <w:b w:val="0"/>
                <w:bCs w:val="0"/>
              </w:rPr>
              <w:t>1</w:t>
            </w:r>
          </w:p>
        </w:tc>
      </w:tr>
      <w:tr w:rsidR="00150C90" w:rsidRPr="00B004EE" w14:paraId="44875185" w14:textId="77777777" w:rsidTr="001E7C3C">
        <w:trPr>
          <w:jc w:val="center"/>
        </w:trPr>
        <w:tc>
          <w:tcPr>
            <w:tcW w:w="552" w:type="dxa"/>
          </w:tcPr>
          <w:p w14:paraId="5F2E0355" w14:textId="77777777" w:rsidR="008105B4" w:rsidRPr="00B004EE" w:rsidRDefault="008105B4" w:rsidP="00B004EE">
            <w:pPr>
              <w:pStyle w:val="Lgende"/>
              <w:jc w:val="both"/>
              <w:rPr>
                <w:rFonts w:ascii="Tahoma" w:hAnsi="Tahoma" w:cs="Tahoma"/>
                <w:b w:val="0"/>
                <w:bCs w:val="0"/>
              </w:rPr>
            </w:pPr>
            <w:r w:rsidRPr="00B004EE">
              <w:rPr>
                <w:rFonts w:ascii="Tahoma" w:hAnsi="Tahoma" w:cs="Tahoma"/>
                <w:b w:val="0"/>
                <w:bCs w:val="0"/>
              </w:rPr>
              <w:t>4</w:t>
            </w:r>
          </w:p>
        </w:tc>
        <w:tc>
          <w:tcPr>
            <w:tcW w:w="2835" w:type="dxa"/>
            <w:vAlign w:val="center"/>
          </w:tcPr>
          <w:p w14:paraId="0342B750" w14:textId="77777777" w:rsidR="008105B4" w:rsidRPr="00B004EE" w:rsidRDefault="008105B4" w:rsidP="00B004EE">
            <w:pPr>
              <w:pStyle w:val="Lgende"/>
              <w:jc w:val="both"/>
              <w:rPr>
                <w:rFonts w:ascii="Tahoma" w:eastAsia="Arial Unicode MS" w:hAnsi="Tahoma" w:cs="Tahoma"/>
                <w:b w:val="0"/>
                <w:bCs w:val="0"/>
              </w:rPr>
            </w:pPr>
            <w:r w:rsidRPr="00B004EE">
              <w:rPr>
                <w:rFonts w:ascii="Tahoma" w:hAnsi="Tahoma" w:cs="Tahoma"/>
                <w:b w:val="0"/>
                <w:bCs w:val="0"/>
              </w:rPr>
              <w:t>Antimoine</w:t>
            </w:r>
          </w:p>
        </w:tc>
        <w:tc>
          <w:tcPr>
            <w:tcW w:w="2268" w:type="dxa"/>
            <w:vAlign w:val="center"/>
          </w:tcPr>
          <w:p w14:paraId="317F2CF7" w14:textId="77777777" w:rsidR="008105B4" w:rsidRPr="00B004EE" w:rsidRDefault="008105B4" w:rsidP="00B004EE">
            <w:pPr>
              <w:pStyle w:val="Lgende"/>
              <w:jc w:val="both"/>
              <w:rPr>
                <w:rFonts w:ascii="Tahoma" w:eastAsia="Arial Unicode MS" w:hAnsi="Tahoma" w:cs="Tahoma"/>
                <w:b w:val="0"/>
                <w:bCs w:val="0"/>
              </w:rPr>
            </w:pPr>
            <w:r w:rsidRPr="00B004EE">
              <w:rPr>
                <w:rFonts w:ascii="Tahoma" w:hAnsi="Tahoma" w:cs="Tahoma"/>
                <w:b w:val="0"/>
                <w:bCs w:val="0"/>
              </w:rPr>
              <w:t>5,0</w:t>
            </w:r>
          </w:p>
        </w:tc>
        <w:tc>
          <w:tcPr>
            <w:tcW w:w="1786" w:type="dxa"/>
            <w:vAlign w:val="center"/>
          </w:tcPr>
          <w:p w14:paraId="76ECBC59" w14:textId="77777777" w:rsidR="008105B4" w:rsidRPr="00B004EE" w:rsidRDefault="008105B4" w:rsidP="00B004EE">
            <w:pPr>
              <w:pStyle w:val="Lgende"/>
              <w:jc w:val="both"/>
              <w:rPr>
                <w:rFonts w:ascii="Tahoma" w:eastAsia="Arial Unicode MS" w:hAnsi="Tahoma" w:cs="Tahoma"/>
                <w:b w:val="0"/>
                <w:bCs w:val="0"/>
              </w:rPr>
            </w:pPr>
            <w:r w:rsidRPr="00B004EE">
              <w:rPr>
                <w:rFonts w:ascii="Tahoma" w:hAnsi="Tahoma" w:cs="Tahoma"/>
                <w:b w:val="0"/>
                <w:bCs w:val="0"/>
              </w:rPr>
              <w:t>µg/l</w:t>
            </w:r>
          </w:p>
        </w:tc>
        <w:tc>
          <w:tcPr>
            <w:tcW w:w="1720" w:type="dxa"/>
            <w:vAlign w:val="center"/>
          </w:tcPr>
          <w:p w14:paraId="73029126" w14:textId="77777777" w:rsidR="008105B4" w:rsidRPr="00B004EE" w:rsidRDefault="008105B4" w:rsidP="00B004EE">
            <w:pPr>
              <w:pStyle w:val="Lgende"/>
              <w:jc w:val="both"/>
              <w:rPr>
                <w:rFonts w:ascii="Tahoma" w:eastAsia="Arial Unicode MS" w:hAnsi="Tahoma" w:cs="Tahoma"/>
                <w:b w:val="0"/>
                <w:bCs w:val="0"/>
              </w:rPr>
            </w:pPr>
          </w:p>
        </w:tc>
      </w:tr>
      <w:tr w:rsidR="00150C90" w:rsidRPr="00B004EE" w14:paraId="7A5F6061" w14:textId="77777777" w:rsidTr="001E7C3C">
        <w:trPr>
          <w:jc w:val="center"/>
        </w:trPr>
        <w:tc>
          <w:tcPr>
            <w:tcW w:w="552" w:type="dxa"/>
          </w:tcPr>
          <w:p w14:paraId="164F38C1" w14:textId="77777777" w:rsidR="008105B4" w:rsidRPr="00B004EE" w:rsidRDefault="008105B4" w:rsidP="00B004EE">
            <w:pPr>
              <w:pStyle w:val="Lgende"/>
              <w:jc w:val="both"/>
              <w:rPr>
                <w:rFonts w:ascii="Tahoma" w:hAnsi="Tahoma" w:cs="Tahoma"/>
                <w:b w:val="0"/>
                <w:bCs w:val="0"/>
                <w:lang w:val="en-GB"/>
              </w:rPr>
            </w:pPr>
            <w:r w:rsidRPr="00B004EE">
              <w:rPr>
                <w:rFonts w:ascii="Tahoma" w:hAnsi="Tahoma" w:cs="Tahoma"/>
                <w:b w:val="0"/>
                <w:bCs w:val="0"/>
                <w:lang w:val="en-GB"/>
              </w:rPr>
              <w:t>5</w:t>
            </w:r>
          </w:p>
        </w:tc>
        <w:tc>
          <w:tcPr>
            <w:tcW w:w="2835" w:type="dxa"/>
            <w:vAlign w:val="center"/>
          </w:tcPr>
          <w:p w14:paraId="78410AFE" w14:textId="77777777" w:rsidR="008105B4" w:rsidRPr="00B004EE" w:rsidRDefault="008105B4" w:rsidP="00B004EE">
            <w:pPr>
              <w:pStyle w:val="Lgende"/>
              <w:jc w:val="both"/>
              <w:rPr>
                <w:rFonts w:ascii="Tahoma" w:eastAsia="Arial Unicode MS" w:hAnsi="Tahoma" w:cs="Tahoma"/>
                <w:b w:val="0"/>
                <w:bCs w:val="0"/>
                <w:lang w:val="en-GB"/>
              </w:rPr>
            </w:pPr>
            <w:r w:rsidRPr="00B004EE">
              <w:rPr>
                <w:rFonts w:ascii="Tahoma" w:hAnsi="Tahoma" w:cs="Tahoma"/>
                <w:b w:val="0"/>
                <w:bCs w:val="0"/>
                <w:lang w:val="en-GB"/>
              </w:rPr>
              <w:t>Arsenic</w:t>
            </w:r>
          </w:p>
        </w:tc>
        <w:tc>
          <w:tcPr>
            <w:tcW w:w="2268" w:type="dxa"/>
            <w:vAlign w:val="center"/>
          </w:tcPr>
          <w:p w14:paraId="724FAC07" w14:textId="77777777" w:rsidR="008105B4" w:rsidRPr="00B004EE" w:rsidRDefault="008105B4" w:rsidP="00B004EE">
            <w:pPr>
              <w:pStyle w:val="Lgende"/>
              <w:jc w:val="both"/>
              <w:rPr>
                <w:rFonts w:ascii="Tahoma" w:eastAsia="Arial Unicode MS" w:hAnsi="Tahoma" w:cs="Tahoma"/>
                <w:b w:val="0"/>
                <w:bCs w:val="0"/>
                <w:lang w:val="en-GB"/>
              </w:rPr>
            </w:pPr>
            <w:r w:rsidRPr="00B004EE">
              <w:rPr>
                <w:rFonts w:ascii="Tahoma" w:hAnsi="Tahoma" w:cs="Tahoma"/>
                <w:b w:val="0"/>
                <w:bCs w:val="0"/>
                <w:lang w:val="en-GB"/>
              </w:rPr>
              <w:t>10</w:t>
            </w:r>
          </w:p>
        </w:tc>
        <w:tc>
          <w:tcPr>
            <w:tcW w:w="1786" w:type="dxa"/>
            <w:vAlign w:val="center"/>
          </w:tcPr>
          <w:p w14:paraId="75878F30" w14:textId="77777777" w:rsidR="008105B4" w:rsidRPr="00B004EE" w:rsidRDefault="008105B4" w:rsidP="00B004EE">
            <w:pPr>
              <w:pStyle w:val="Lgende"/>
              <w:jc w:val="both"/>
              <w:rPr>
                <w:rFonts w:ascii="Tahoma" w:eastAsia="Arial Unicode MS" w:hAnsi="Tahoma" w:cs="Tahoma"/>
                <w:b w:val="0"/>
                <w:bCs w:val="0"/>
                <w:lang w:val="en-GB"/>
              </w:rPr>
            </w:pPr>
            <w:r w:rsidRPr="00B004EE">
              <w:rPr>
                <w:rFonts w:ascii="Tahoma" w:hAnsi="Tahoma" w:cs="Tahoma"/>
                <w:b w:val="0"/>
                <w:bCs w:val="0"/>
                <w:lang w:val="en-GB"/>
              </w:rPr>
              <w:t>µg/l</w:t>
            </w:r>
          </w:p>
        </w:tc>
        <w:tc>
          <w:tcPr>
            <w:tcW w:w="1720" w:type="dxa"/>
            <w:vAlign w:val="center"/>
          </w:tcPr>
          <w:p w14:paraId="6C8D0E02" w14:textId="77777777" w:rsidR="008105B4" w:rsidRPr="00B004EE" w:rsidRDefault="008105B4" w:rsidP="00B004EE">
            <w:pPr>
              <w:pStyle w:val="Lgende"/>
              <w:jc w:val="both"/>
              <w:rPr>
                <w:rFonts w:ascii="Tahoma" w:eastAsia="Arial Unicode MS" w:hAnsi="Tahoma" w:cs="Tahoma"/>
                <w:b w:val="0"/>
                <w:bCs w:val="0"/>
                <w:lang w:val="en-GB"/>
              </w:rPr>
            </w:pPr>
          </w:p>
        </w:tc>
      </w:tr>
      <w:tr w:rsidR="00150C90" w:rsidRPr="00B004EE" w14:paraId="23738662" w14:textId="77777777" w:rsidTr="001E7C3C">
        <w:trPr>
          <w:jc w:val="center"/>
        </w:trPr>
        <w:tc>
          <w:tcPr>
            <w:tcW w:w="552" w:type="dxa"/>
          </w:tcPr>
          <w:p w14:paraId="38015A9B" w14:textId="77777777" w:rsidR="008105B4" w:rsidRPr="00B004EE" w:rsidRDefault="008105B4" w:rsidP="00B004EE">
            <w:pPr>
              <w:pStyle w:val="Lgende"/>
              <w:jc w:val="both"/>
              <w:rPr>
                <w:rFonts w:ascii="Tahoma" w:hAnsi="Tahoma" w:cs="Tahoma"/>
                <w:b w:val="0"/>
                <w:bCs w:val="0"/>
                <w:lang w:val="de-DE"/>
              </w:rPr>
            </w:pPr>
            <w:r w:rsidRPr="00B004EE">
              <w:rPr>
                <w:rFonts w:ascii="Tahoma" w:hAnsi="Tahoma" w:cs="Tahoma"/>
                <w:b w:val="0"/>
                <w:bCs w:val="0"/>
                <w:lang w:val="de-DE"/>
              </w:rPr>
              <w:t>6</w:t>
            </w:r>
          </w:p>
        </w:tc>
        <w:tc>
          <w:tcPr>
            <w:tcW w:w="2835" w:type="dxa"/>
            <w:vAlign w:val="center"/>
          </w:tcPr>
          <w:p w14:paraId="26FDBF68" w14:textId="77777777" w:rsidR="008105B4" w:rsidRPr="00B004EE" w:rsidRDefault="008105B4" w:rsidP="00B004EE">
            <w:pPr>
              <w:pStyle w:val="Lgende"/>
              <w:jc w:val="both"/>
              <w:rPr>
                <w:rFonts w:ascii="Tahoma" w:eastAsia="Arial Unicode MS" w:hAnsi="Tahoma" w:cs="Tahoma"/>
                <w:b w:val="0"/>
                <w:bCs w:val="0"/>
                <w:lang w:val="de-DE"/>
              </w:rPr>
            </w:pPr>
            <w:r w:rsidRPr="00B004EE">
              <w:rPr>
                <w:rFonts w:ascii="Tahoma" w:hAnsi="Tahoma" w:cs="Tahoma"/>
                <w:b w:val="0"/>
                <w:bCs w:val="0"/>
                <w:lang w:val="de-DE"/>
              </w:rPr>
              <w:t>Benzène</w:t>
            </w:r>
          </w:p>
        </w:tc>
        <w:tc>
          <w:tcPr>
            <w:tcW w:w="2268" w:type="dxa"/>
            <w:vAlign w:val="center"/>
          </w:tcPr>
          <w:p w14:paraId="6FA4BD1D" w14:textId="77777777" w:rsidR="008105B4" w:rsidRPr="00B004EE" w:rsidRDefault="008105B4" w:rsidP="00B004EE">
            <w:pPr>
              <w:pStyle w:val="Lgende"/>
              <w:jc w:val="both"/>
              <w:rPr>
                <w:rFonts w:ascii="Tahoma" w:eastAsia="Arial Unicode MS" w:hAnsi="Tahoma" w:cs="Tahoma"/>
                <w:b w:val="0"/>
                <w:bCs w:val="0"/>
                <w:lang w:val="de-DE"/>
              </w:rPr>
            </w:pPr>
            <w:r w:rsidRPr="00B004EE">
              <w:rPr>
                <w:rFonts w:ascii="Tahoma" w:hAnsi="Tahoma" w:cs="Tahoma"/>
                <w:b w:val="0"/>
                <w:bCs w:val="0"/>
                <w:lang w:val="de-DE"/>
              </w:rPr>
              <w:t>1,0</w:t>
            </w:r>
          </w:p>
        </w:tc>
        <w:tc>
          <w:tcPr>
            <w:tcW w:w="1786" w:type="dxa"/>
            <w:vAlign w:val="center"/>
          </w:tcPr>
          <w:p w14:paraId="1DF7F48D" w14:textId="77777777" w:rsidR="008105B4" w:rsidRPr="00B004EE" w:rsidRDefault="008105B4" w:rsidP="00B004EE">
            <w:pPr>
              <w:pStyle w:val="Lgende"/>
              <w:jc w:val="both"/>
              <w:rPr>
                <w:rFonts w:ascii="Tahoma" w:eastAsia="Arial Unicode MS" w:hAnsi="Tahoma" w:cs="Tahoma"/>
                <w:b w:val="0"/>
                <w:bCs w:val="0"/>
                <w:lang w:val="de-DE"/>
              </w:rPr>
            </w:pPr>
            <w:r w:rsidRPr="00B004EE">
              <w:rPr>
                <w:rFonts w:ascii="Tahoma" w:hAnsi="Tahoma" w:cs="Tahoma"/>
                <w:b w:val="0"/>
                <w:bCs w:val="0"/>
                <w:lang w:val="de-DE"/>
              </w:rPr>
              <w:t>µg/l</w:t>
            </w:r>
          </w:p>
        </w:tc>
        <w:tc>
          <w:tcPr>
            <w:tcW w:w="1720" w:type="dxa"/>
            <w:vAlign w:val="center"/>
          </w:tcPr>
          <w:p w14:paraId="4C6D982B" w14:textId="77777777" w:rsidR="008105B4" w:rsidRPr="00B004EE" w:rsidRDefault="008105B4" w:rsidP="00B004EE">
            <w:pPr>
              <w:pStyle w:val="Lgende"/>
              <w:jc w:val="both"/>
              <w:rPr>
                <w:rFonts w:ascii="Tahoma" w:eastAsia="Arial Unicode MS" w:hAnsi="Tahoma" w:cs="Tahoma"/>
                <w:b w:val="0"/>
                <w:bCs w:val="0"/>
                <w:lang w:val="de-DE"/>
              </w:rPr>
            </w:pPr>
          </w:p>
        </w:tc>
      </w:tr>
      <w:tr w:rsidR="00150C90" w:rsidRPr="00B004EE" w14:paraId="116204CC" w14:textId="77777777" w:rsidTr="001E7C3C">
        <w:trPr>
          <w:jc w:val="center"/>
        </w:trPr>
        <w:tc>
          <w:tcPr>
            <w:tcW w:w="552" w:type="dxa"/>
          </w:tcPr>
          <w:p w14:paraId="21F7327F" w14:textId="77777777" w:rsidR="008105B4" w:rsidRPr="00B004EE" w:rsidRDefault="008105B4" w:rsidP="00B004EE">
            <w:pPr>
              <w:pStyle w:val="Lgende"/>
              <w:jc w:val="both"/>
              <w:rPr>
                <w:rFonts w:ascii="Tahoma" w:hAnsi="Tahoma" w:cs="Tahoma"/>
                <w:b w:val="0"/>
                <w:bCs w:val="0"/>
              </w:rPr>
            </w:pPr>
            <w:r w:rsidRPr="00B004EE">
              <w:rPr>
                <w:rFonts w:ascii="Tahoma" w:hAnsi="Tahoma" w:cs="Tahoma"/>
                <w:b w:val="0"/>
                <w:bCs w:val="0"/>
              </w:rPr>
              <w:t>7</w:t>
            </w:r>
          </w:p>
        </w:tc>
        <w:tc>
          <w:tcPr>
            <w:tcW w:w="2835" w:type="dxa"/>
            <w:vAlign w:val="center"/>
          </w:tcPr>
          <w:p w14:paraId="23590443" w14:textId="77777777" w:rsidR="008105B4" w:rsidRPr="00B004EE" w:rsidRDefault="008105B4" w:rsidP="00B004EE">
            <w:pPr>
              <w:pStyle w:val="Lgende"/>
              <w:jc w:val="both"/>
              <w:rPr>
                <w:rFonts w:ascii="Tahoma" w:eastAsia="Arial Unicode MS" w:hAnsi="Tahoma" w:cs="Tahoma"/>
                <w:b w:val="0"/>
                <w:bCs w:val="0"/>
              </w:rPr>
            </w:pPr>
            <w:r w:rsidRPr="00B004EE">
              <w:rPr>
                <w:rFonts w:ascii="Tahoma" w:hAnsi="Tahoma" w:cs="Tahoma"/>
                <w:b w:val="0"/>
                <w:bCs w:val="0"/>
              </w:rPr>
              <w:t>Benzo[a]pyrène</w:t>
            </w:r>
          </w:p>
        </w:tc>
        <w:tc>
          <w:tcPr>
            <w:tcW w:w="2268" w:type="dxa"/>
            <w:vAlign w:val="center"/>
          </w:tcPr>
          <w:p w14:paraId="290534D0" w14:textId="77777777" w:rsidR="008105B4" w:rsidRPr="00B004EE" w:rsidRDefault="008105B4" w:rsidP="00B004EE">
            <w:pPr>
              <w:pStyle w:val="Lgende"/>
              <w:jc w:val="both"/>
              <w:rPr>
                <w:rFonts w:ascii="Tahoma" w:eastAsia="Arial Unicode MS" w:hAnsi="Tahoma" w:cs="Tahoma"/>
                <w:b w:val="0"/>
                <w:bCs w:val="0"/>
              </w:rPr>
            </w:pPr>
            <w:r w:rsidRPr="00B004EE">
              <w:rPr>
                <w:rFonts w:ascii="Tahoma" w:hAnsi="Tahoma" w:cs="Tahoma"/>
                <w:b w:val="0"/>
                <w:bCs w:val="0"/>
              </w:rPr>
              <w:t>0,010</w:t>
            </w:r>
          </w:p>
        </w:tc>
        <w:tc>
          <w:tcPr>
            <w:tcW w:w="1786" w:type="dxa"/>
            <w:vAlign w:val="center"/>
          </w:tcPr>
          <w:p w14:paraId="47C7EB6D" w14:textId="77777777" w:rsidR="008105B4" w:rsidRPr="00B004EE" w:rsidRDefault="008105B4" w:rsidP="00B004EE">
            <w:pPr>
              <w:pStyle w:val="Lgende"/>
              <w:jc w:val="both"/>
              <w:rPr>
                <w:rFonts w:ascii="Tahoma" w:eastAsia="Arial Unicode MS" w:hAnsi="Tahoma" w:cs="Tahoma"/>
                <w:b w:val="0"/>
                <w:bCs w:val="0"/>
              </w:rPr>
            </w:pPr>
            <w:r w:rsidRPr="00B004EE">
              <w:rPr>
                <w:rFonts w:ascii="Tahoma" w:hAnsi="Tahoma" w:cs="Tahoma"/>
                <w:b w:val="0"/>
                <w:bCs w:val="0"/>
              </w:rPr>
              <w:t>µg/l</w:t>
            </w:r>
          </w:p>
        </w:tc>
        <w:tc>
          <w:tcPr>
            <w:tcW w:w="1720" w:type="dxa"/>
            <w:vAlign w:val="center"/>
          </w:tcPr>
          <w:p w14:paraId="5B9F8299" w14:textId="77777777" w:rsidR="008105B4" w:rsidRPr="00B004EE" w:rsidRDefault="008105B4" w:rsidP="00B004EE">
            <w:pPr>
              <w:pStyle w:val="Lgende"/>
              <w:jc w:val="both"/>
              <w:rPr>
                <w:rFonts w:ascii="Tahoma" w:eastAsia="Arial Unicode MS" w:hAnsi="Tahoma" w:cs="Tahoma"/>
                <w:b w:val="0"/>
                <w:bCs w:val="0"/>
              </w:rPr>
            </w:pPr>
          </w:p>
        </w:tc>
      </w:tr>
      <w:tr w:rsidR="00150C90" w:rsidRPr="00B004EE" w14:paraId="75E75338" w14:textId="77777777" w:rsidTr="001E7C3C">
        <w:trPr>
          <w:jc w:val="center"/>
        </w:trPr>
        <w:tc>
          <w:tcPr>
            <w:tcW w:w="552" w:type="dxa"/>
          </w:tcPr>
          <w:p w14:paraId="785EB815" w14:textId="77777777" w:rsidR="008105B4" w:rsidRPr="00B004EE" w:rsidRDefault="008105B4" w:rsidP="00B004EE">
            <w:pPr>
              <w:pStyle w:val="Lgende"/>
              <w:jc w:val="both"/>
              <w:rPr>
                <w:rFonts w:ascii="Tahoma" w:hAnsi="Tahoma" w:cs="Tahoma"/>
                <w:b w:val="0"/>
                <w:bCs w:val="0"/>
              </w:rPr>
            </w:pPr>
            <w:r w:rsidRPr="00B004EE">
              <w:rPr>
                <w:rFonts w:ascii="Tahoma" w:hAnsi="Tahoma" w:cs="Tahoma"/>
                <w:b w:val="0"/>
                <w:bCs w:val="0"/>
              </w:rPr>
              <w:t>8</w:t>
            </w:r>
          </w:p>
        </w:tc>
        <w:tc>
          <w:tcPr>
            <w:tcW w:w="2835" w:type="dxa"/>
            <w:vAlign w:val="center"/>
          </w:tcPr>
          <w:p w14:paraId="64C903C0" w14:textId="77777777" w:rsidR="008105B4" w:rsidRPr="00B004EE" w:rsidRDefault="008105B4" w:rsidP="00B004EE">
            <w:pPr>
              <w:pStyle w:val="Lgende"/>
              <w:jc w:val="both"/>
              <w:rPr>
                <w:rFonts w:ascii="Tahoma" w:eastAsia="Arial Unicode MS" w:hAnsi="Tahoma" w:cs="Tahoma"/>
                <w:b w:val="0"/>
                <w:bCs w:val="0"/>
              </w:rPr>
            </w:pPr>
            <w:r w:rsidRPr="00B004EE">
              <w:rPr>
                <w:rFonts w:ascii="Tahoma" w:hAnsi="Tahoma" w:cs="Tahoma"/>
                <w:b w:val="0"/>
                <w:bCs w:val="0"/>
              </w:rPr>
              <w:t>Bore</w:t>
            </w:r>
          </w:p>
        </w:tc>
        <w:tc>
          <w:tcPr>
            <w:tcW w:w="2268" w:type="dxa"/>
            <w:vAlign w:val="center"/>
          </w:tcPr>
          <w:p w14:paraId="0EA1BBFD" w14:textId="77777777" w:rsidR="008105B4" w:rsidRPr="00B004EE" w:rsidRDefault="008105B4" w:rsidP="00B004EE">
            <w:pPr>
              <w:pStyle w:val="Lgende"/>
              <w:jc w:val="both"/>
              <w:rPr>
                <w:rFonts w:ascii="Tahoma" w:eastAsia="Arial Unicode MS" w:hAnsi="Tahoma" w:cs="Tahoma"/>
                <w:b w:val="0"/>
                <w:bCs w:val="0"/>
              </w:rPr>
            </w:pPr>
            <w:r w:rsidRPr="00B004EE">
              <w:rPr>
                <w:rFonts w:ascii="Tahoma" w:hAnsi="Tahoma" w:cs="Tahoma"/>
                <w:b w:val="0"/>
                <w:bCs w:val="0"/>
              </w:rPr>
              <w:t>1,0</w:t>
            </w:r>
          </w:p>
        </w:tc>
        <w:tc>
          <w:tcPr>
            <w:tcW w:w="1786" w:type="dxa"/>
            <w:vAlign w:val="center"/>
          </w:tcPr>
          <w:p w14:paraId="6DB58737" w14:textId="77777777" w:rsidR="008105B4" w:rsidRPr="00B004EE" w:rsidRDefault="008105B4" w:rsidP="00B004EE">
            <w:pPr>
              <w:pStyle w:val="Lgende"/>
              <w:jc w:val="both"/>
              <w:rPr>
                <w:rFonts w:ascii="Tahoma" w:eastAsia="Arial Unicode MS" w:hAnsi="Tahoma" w:cs="Tahoma"/>
                <w:b w:val="0"/>
                <w:bCs w:val="0"/>
              </w:rPr>
            </w:pPr>
            <w:r w:rsidRPr="00B004EE">
              <w:rPr>
                <w:rFonts w:ascii="Tahoma" w:hAnsi="Tahoma" w:cs="Tahoma"/>
                <w:b w:val="0"/>
                <w:bCs w:val="0"/>
              </w:rPr>
              <w:t>mg/l</w:t>
            </w:r>
          </w:p>
        </w:tc>
        <w:tc>
          <w:tcPr>
            <w:tcW w:w="1720" w:type="dxa"/>
            <w:vAlign w:val="center"/>
          </w:tcPr>
          <w:p w14:paraId="68112C8F" w14:textId="77777777" w:rsidR="008105B4" w:rsidRPr="00B004EE" w:rsidRDefault="008105B4" w:rsidP="00B004EE">
            <w:pPr>
              <w:pStyle w:val="Lgende"/>
              <w:jc w:val="both"/>
              <w:rPr>
                <w:rFonts w:ascii="Tahoma" w:eastAsia="Arial Unicode MS" w:hAnsi="Tahoma" w:cs="Tahoma"/>
                <w:b w:val="0"/>
                <w:bCs w:val="0"/>
              </w:rPr>
            </w:pPr>
          </w:p>
        </w:tc>
      </w:tr>
      <w:tr w:rsidR="00150C90" w:rsidRPr="00B004EE" w14:paraId="512166CA" w14:textId="77777777" w:rsidTr="001E7C3C">
        <w:trPr>
          <w:jc w:val="center"/>
        </w:trPr>
        <w:tc>
          <w:tcPr>
            <w:tcW w:w="552" w:type="dxa"/>
          </w:tcPr>
          <w:p w14:paraId="4670936A" w14:textId="77777777" w:rsidR="008105B4" w:rsidRPr="00B004EE" w:rsidRDefault="008105B4" w:rsidP="00B004EE">
            <w:pPr>
              <w:pStyle w:val="Lgende"/>
              <w:jc w:val="both"/>
              <w:rPr>
                <w:rFonts w:ascii="Tahoma" w:hAnsi="Tahoma" w:cs="Tahoma"/>
                <w:b w:val="0"/>
                <w:bCs w:val="0"/>
              </w:rPr>
            </w:pPr>
            <w:r w:rsidRPr="00B004EE">
              <w:rPr>
                <w:rFonts w:ascii="Tahoma" w:hAnsi="Tahoma" w:cs="Tahoma"/>
                <w:b w:val="0"/>
                <w:bCs w:val="0"/>
              </w:rPr>
              <w:t>9</w:t>
            </w:r>
          </w:p>
        </w:tc>
        <w:tc>
          <w:tcPr>
            <w:tcW w:w="2835" w:type="dxa"/>
            <w:vAlign w:val="center"/>
          </w:tcPr>
          <w:p w14:paraId="67D41DF3" w14:textId="77777777" w:rsidR="008105B4" w:rsidRPr="00B004EE" w:rsidRDefault="008105B4" w:rsidP="00B004EE">
            <w:pPr>
              <w:pStyle w:val="Lgende"/>
              <w:jc w:val="both"/>
              <w:rPr>
                <w:rFonts w:ascii="Tahoma" w:eastAsia="Arial Unicode MS" w:hAnsi="Tahoma" w:cs="Tahoma"/>
                <w:b w:val="0"/>
                <w:bCs w:val="0"/>
              </w:rPr>
            </w:pPr>
            <w:r w:rsidRPr="00B004EE">
              <w:rPr>
                <w:rFonts w:ascii="Tahoma" w:hAnsi="Tahoma" w:cs="Tahoma"/>
                <w:b w:val="0"/>
                <w:bCs w:val="0"/>
              </w:rPr>
              <w:t>Bromates</w:t>
            </w:r>
          </w:p>
        </w:tc>
        <w:tc>
          <w:tcPr>
            <w:tcW w:w="2268" w:type="dxa"/>
            <w:vAlign w:val="center"/>
          </w:tcPr>
          <w:p w14:paraId="4F8DE851" w14:textId="77777777" w:rsidR="008105B4" w:rsidRPr="00B004EE" w:rsidRDefault="008105B4" w:rsidP="00B004EE">
            <w:pPr>
              <w:pStyle w:val="Lgende"/>
              <w:jc w:val="both"/>
              <w:rPr>
                <w:rFonts w:ascii="Tahoma" w:eastAsia="Arial Unicode MS" w:hAnsi="Tahoma" w:cs="Tahoma"/>
                <w:b w:val="0"/>
                <w:bCs w:val="0"/>
              </w:rPr>
            </w:pPr>
            <w:r w:rsidRPr="00B004EE">
              <w:rPr>
                <w:rFonts w:ascii="Tahoma" w:hAnsi="Tahoma" w:cs="Tahoma"/>
                <w:b w:val="0"/>
                <w:bCs w:val="0"/>
              </w:rPr>
              <w:t>10</w:t>
            </w:r>
          </w:p>
        </w:tc>
        <w:tc>
          <w:tcPr>
            <w:tcW w:w="1786" w:type="dxa"/>
            <w:vAlign w:val="center"/>
          </w:tcPr>
          <w:p w14:paraId="12163AA1" w14:textId="77777777" w:rsidR="008105B4" w:rsidRPr="00B004EE" w:rsidRDefault="008105B4" w:rsidP="00B004EE">
            <w:pPr>
              <w:pStyle w:val="Lgende"/>
              <w:jc w:val="both"/>
              <w:rPr>
                <w:rFonts w:ascii="Tahoma" w:eastAsia="Arial Unicode MS" w:hAnsi="Tahoma" w:cs="Tahoma"/>
                <w:b w:val="0"/>
                <w:bCs w:val="0"/>
              </w:rPr>
            </w:pPr>
            <w:r w:rsidRPr="00B004EE">
              <w:rPr>
                <w:rFonts w:ascii="Tahoma" w:hAnsi="Tahoma" w:cs="Tahoma"/>
                <w:b w:val="0"/>
                <w:bCs w:val="0"/>
              </w:rPr>
              <w:t>µg/l</w:t>
            </w:r>
          </w:p>
        </w:tc>
        <w:tc>
          <w:tcPr>
            <w:tcW w:w="1720" w:type="dxa"/>
            <w:vAlign w:val="center"/>
          </w:tcPr>
          <w:p w14:paraId="79D3E5BC" w14:textId="6760EAEF" w:rsidR="008105B4" w:rsidRPr="00B004EE" w:rsidRDefault="008105B4" w:rsidP="00B004EE">
            <w:pPr>
              <w:pStyle w:val="Lgende"/>
              <w:jc w:val="both"/>
              <w:rPr>
                <w:rFonts w:ascii="Tahoma" w:eastAsia="Arial Unicode MS" w:hAnsi="Tahoma" w:cs="Tahoma"/>
                <w:b w:val="0"/>
                <w:bCs w:val="0"/>
              </w:rPr>
            </w:pPr>
            <w:r w:rsidRPr="00B004EE">
              <w:rPr>
                <w:rFonts w:ascii="Tahoma" w:eastAsia="Arial Unicode MS" w:hAnsi="Tahoma" w:cs="Tahoma"/>
                <w:b w:val="0"/>
                <w:bCs w:val="0"/>
              </w:rPr>
              <w:t>Note</w:t>
            </w:r>
            <w:r w:rsidR="00DB1635" w:rsidRPr="00B004EE">
              <w:rPr>
                <w:rFonts w:ascii="Tahoma" w:eastAsia="Arial Unicode MS" w:hAnsi="Tahoma" w:cs="Tahoma"/>
                <w:b w:val="0"/>
                <w:bCs w:val="0"/>
              </w:rPr>
              <w:t xml:space="preserve"> </w:t>
            </w:r>
            <w:r w:rsidRPr="00B004EE">
              <w:rPr>
                <w:rFonts w:ascii="Tahoma" w:eastAsia="Arial Unicode MS" w:hAnsi="Tahoma" w:cs="Tahoma"/>
                <w:b w:val="0"/>
                <w:bCs w:val="0"/>
              </w:rPr>
              <w:t>2</w:t>
            </w:r>
          </w:p>
        </w:tc>
      </w:tr>
      <w:tr w:rsidR="00150C90" w:rsidRPr="00B004EE" w14:paraId="2E007FE2" w14:textId="77777777" w:rsidTr="001E7C3C">
        <w:trPr>
          <w:jc w:val="center"/>
        </w:trPr>
        <w:tc>
          <w:tcPr>
            <w:tcW w:w="552" w:type="dxa"/>
          </w:tcPr>
          <w:p w14:paraId="09713937" w14:textId="77777777" w:rsidR="008105B4" w:rsidRPr="00B004EE" w:rsidRDefault="008105B4" w:rsidP="00B004EE">
            <w:pPr>
              <w:pStyle w:val="Lgende"/>
              <w:jc w:val="both"/>
              <w:rPr>
                <w:rFonts w:ascii="Tahoma" w:hAnsi="Tahoma" w:cs="Tahoma"/>
                <w:b w:val="0"/>
                <w:bCs w:val="0"/>
              </w:rPr>
            </w:pPr>
            <w:r w:rsidRPr="00B004EE">
              <w:rPr>
                <w:rFonts w:ascii="Tahoma" w:hAnsi="Tahoma" w:cs="Tahoma"/>
                <w:b w:val="0"/>
                <w:bCs w:val="0"/>
              </w:rPr>
              <w:t>10</w:t>
            </w:r>
          </w:p>
        </w:tc>
        <w:tc>
          <w:tcPr>
            <w:tcW w:w="2835" w:type="dxa"/>
            <w:vAlign w:val="center"/>
          </w:tcPr>
          <w:p w14:paraId="57ACA0B0" w14:textId="77777777" w:rsidR="008105B4" w:rsidRPr="00B004EE" w:rsidRDefault="008105B4" w:rsidP="00B004EE">
            <w:pPr>
              <w:pStyle w:val="Lgende"/>
              <w:jc w:val="both"/>
              <w:rPr>
                <w:rFonts w:ascii="Tahoma" w:eastAsia="Arial Unicode MS" w:hAnsi="Tahoma" w:cs="Tahoma"/>
                <w:b w:val="0"/>
                <w:bCs w:val="0"/>
              </w:rPr>
            </w:pPr>
            <w:r w:rsidRPr="00B004EE">
              <w:rPr>
                <w:rFonts w:ascii="Tahoma" w:hAnsi="Tahoma" w:cs="Tahoma"/>
                <w:b w:val="0"/>
                <w:bCs w:val="0"/>
              </w:rPr>
              <w:t>Cadmium</w:t>
            </w:r>
          </w:p>
        </w:tc>
        <w:tc>
          <w:tcPr>
            <w:tcW w:w="2268" w:type="dxa"/>
            <w:vAlign w:val="center"/>
          </w:tcPr>
          <w:p w14:paraId="149D5223" w14:textId="77777777" w:rsidR="008105B4" w:rsidRPr="00B004EE" w:rsidRDefault="008105B4" w:rsidP="00B004EE">
            <w:pPr>
              <w:pStyle w:val="Lgende"/>
              <w:jc w:val="both"/>
              <w:rPr>
                <w:rFonts w:ascii="Tahoma" w:eastAsia="Arial Unicode MS" w:hAnsi="Tahoma" w:cs="Tahoma"/>
                <w:b w:val="0"/>
                <w:bCs w:val="0"/>
              </w:rPr>
            </w:pPr>
            <w:r w:rsidRPr="00B004EE">
              <w:rPr>
                <w:rFonts w:ascii="Tahoma" w:hAnsi="Tahoma" w:cs="Tahoma"/>
                <w:b w:val="0"/>
                <w:bCs w:val="0"/>
              </w:rPr>
              <w:t>5,0</w:t>
            </w:r>
          </w:p>
        </w:tc>
        <w:tc>
          <w:tcPr>
            <w:tcW w:w="1786" w:type="dxa"/>
            <w:vAlign w:val="center"/>
          </w:tcPr>
          <w:p w14:paraId="7264C627" w14:textId="77777777" w:rsidR="008105B4" w:rsidRPr="00B004EE" w:rsidRDefault="008105B4" w:rsidP="00B004EE">
            <w:pPr>
              <w:pStyle w:val="Lgende"/>
              <w:jc w:val="both"/>
              <w:rPr>
                <w:rFonts w:ascii="Tahoma" w:eastAsia="Arial Unicode MS" w:hAnsi="Tahoma" w:cs="Tahoma"/>
                <w:b w:val="0"/>
                <w:bCs w:val="0"/>
              </w:rPr>
            </w:pPr>
            <w:r w:rsidRPr="00B004EE">
              <w:rPr>
                <w:rFonts w:ascii="Tahoma" w:hAnsi="Tahoma" w:cs="Tahoma"/>
                <w:b w:val="0"/>
                <w:bCs w:val="0"/>
              </w:rPr>
              <w:t>µg/l</w:t>
            </w:r>
          </w:p>
        </w:tc>
        <w:tc>
          <w:tcPr>
            <w:tcW w:w="1720" w:type="dxa"/>
            <w:vAlign w:val="center"/>
          </w:tcPr>
          <w:p w14:paraId="1F12C446" w14:textId="77777777" w:rsidR="008105B4" w:rsidRPr="00B004EE" w:rsidRDefault="008105B4" w:rsidP="00B004EE">
            <w:pPr>
              <w:pStyle w:val="Lgende"/>
              <w:jc w:val="both"/>
              <w:rPr>
                <w:rFonts w:ascii="Tahoma" w:eastAsia="Arial Unicode MS" w:hAnsi="Tahoma" w:cs="Tahoma"/>
                <w:b w:val="0"/>
                <w:bCs w:val="0"/>
              </w:rPr>
            </w:pPr>
          </w:p>
        </w:tc>
      </w:tr>
      <w:tr w:rsidR="00150C90" w:rsidRPr="00B004EE" w14:paraId="5D8F9AA8" w14:textId="77777777" w:rsidTr="001E7C3C">
        <w:trPr>
          <w:jc w:val="center"/>
        </w:trPr>
        <w:tc>
          <w:tcPr>
            <w:tcW w:w="552" w:type="dxa"/>
          </w:tcPr>
          <w:p w14:paraId="6436BB65" w14:textId="77777777" w:rsidR="008105B4" w:rsidRPr="00B004EE" w:rsidRDefault="008105B4" w:rsidP="00B004EE">
            <w:pPr>
              <w:pStyle w:val="Lgende"/>
              <w:jc w:val="both"/>
              <w:rPr>
                <w:rFonts w:ascii="Tahoma" w:hAnsi="Tahoma" w:cs="Tahoma"/>
                <w:b w:val="0"/>
                <w:bCs w:val="0"/>
              </w:rPr>
            </w:pPr>
            <w:r w:rsidRPr="00B004EE">
              <w:rPr>
                <w:rFonts w:ascii="Tahoma" w:hAnsi="Tahoma" w:cs="Tahoma"/>
                <w:b w:val="0"/>
                <w:bCs w:val="0"/>
              </w:rPr>
              <w:t>11</w:t>
            </w:r>
          </w:p>
        </w:tc>
        <w:tc>
          <w:tcPr>
            <w:tcW w:w="2835" w:type="dxa"/>
            <w:vAlign w:val="center"/>
          </w:tcPr>
          <w:p w14:paraId="22BFF7AC" w14:textId="2BC9E1CF" w:rsidR="008105B4" w:rsidRPr="00B004EE" w:rsidRDefault="008105B4" w:rsidP="00B004EE">
            <w:pPr>
              <w:pStyle w:val="Lgende"/>
              <w:jc w:val="both"/>
              <w:rPr>
                <w:rFonts w:ascii="Tahoma" w:eastAsia="Arial Unicode MS" w:hAnsi="Tahoma" w:cs="Tahoma"/>
                <w:b w:val="0"/>
                <w:bCs w:val="0"/>
              </w:rPr>
            </w:pPr>
            <w:r w:rsidRPr="00B004EE">
              <w:rPr>
                <w:rFonts w:ascii="Tahoma" w:hAnsi="Tahoma" w:cs="Tahoma"/>
                <w:b w:val="0"/>
                <w:bCs w:val="0"/>
              </w:rPr>
              <w:t>Chlorure</w:t>
            </w:r>
            <w:r w:rsidR="00DB1635" w:rsidRPr="00B004EE">
              <w:rPr>
                <w:rFonts w:ascii="Tahoma" w:hAnsi="Tahoma" w:cs="Tahoma"/>
                <w:b w:val="0"/>
                <w:bCs w:val="0"/>
              </w:rPr>
              <w:t xml:space="preserve"> </w:t>
            </w:r>
            <w:r w:rsidRPr="00B004EE">
              <w:rPr>
                <w:rFonts w:ascii="Tahoma" w:hAnsi="Tahoma" w:cs="Tahoma"/>
                <w:b w:val="0"/>
                <w:bCs w:val="0"/>
              </w:rPr>
              <w:t>de</w:t>
            </w:r>
            <w:r w:rsidR="00DB1635" w:rsidRPr="00B004EE">
              <w:rPr>
                <w:rFonts w:ascii="Tahoma" w:hAnsi="Tahoma" w:cs="Tahoma"/>
                <w:b w:val="0"/>
                <w:bCs w:val="0"/>
              </w:rPr>
              <w:t xml:space="preserve"> </w:t>
            </w:r>
            <w:r w:rsidRPr="00B004EE">
              <w:rPr>
                <w:rFonts w:ascii="Tahoma" w:hAnsi="Tahoma" w:cs="Tahoma"/>
                <w:b w:val="0"/>
                <w:bCs w:val="0"/>
              </w:rPr>
              <w:t>vinyle</w:t>
            </w:r>
          </w:p>
        </w:tc>
        <w:tc>
          <w:tcPr>
            <w:tcW w:w="2268" w:type="dxa"/>
            <w:vAlign w:val="center"/>
          </w:tcPr>
          <w:p w14:paraId="398D3D21" w14:textId="77777777" w:rsidR="008105B4" w:rsidRPr="00B004EE" w:rsidRDefault="008105B4" w:rsidP="00B004EE">
            <w:pPr>
              <w:pStyle w:val="Lgende"/>
              <w:jc w:val="both"/>
              <w:rPr>
                <w:rFonts w:ascii="Tahoma" w:eastAsia="Arial Unicode MS" w:hAnsi="Tahoma" w:cs="Tahoma"/>
                <w:b w:val="0"/>
                <w:bCs w:val="0"/>
                <w:lang w:val="en-GB"/>
              </w:rPr>
            </w:pPr>
            <w:r w:rsidRPr="00B004EE">
              <w:rPr>
                <w:rFonts w:ascii="Tahoma" w:hAnsi="Tahoma" w:cs="Tahoma"/>
                <w:b w:val="0"/>
                <w:bCs w:val="0"/>
                <w:lang w:val="en-GB"/>
              </w:rPr>
              <w:t>0,5</w:t>
            </w:r>
          </w:p>
        </w:tc>
        <w:tc>
          <w:tcPr>
            <w:tcW w:w="1786" w:type="dxa"/>
            <w:vAlign w:val="center"/>
          </w:tcPr>
          <w:p w14:paraId="7A6EE4F0" w14:textId="77777777" w:rsidR="008105B4" w:rsidRPr="00B004EE" w:rsidRDefault="008105B4" w:rsidP="00B004EE">
            <w:pPr>
              <w:pStyle w:val="Lgende"/>
              <w:jc w:val="both"/>
              <w:rPr>
                <w:rFonts w:ascii="Tahoma" w:eastAsia="Arial Unicode MS" w:hAnsi="Tahoma" w:cs="Tahoma"/>
                <w:b w:val="0"/>
                <w:bCs w:val="0"/>
                <w:lang w:val="en-GB"/>
              </w:rPr>
            </w:pPr>
            <w:r w:rsidRPr="00B004EE">
              <w:rPr>
                <w:rFonts w:ascii="Tahoma" w:hAnsi="Tahoma" w:cs="Tahoma"/>
                <w:b w:val="0"/>
                <w:bCs w:val="0"/>
                <w:lang w:val="en-GB"/>
              </w:rPr>
              <w:t>µg/l</w:t>
            </w:r>
          </w:p>
        </w:tc>
        <w:tc>
          <w:tcPr>
            <w:tcW w:w="1720" w:type="dxa"/>
            <w:vAlign w:val="center"/>
          </w:tcPr>
          <w:p w14:paraId="0B51D61C" w14:textId="457B228D" w:rsidR="008105B4" w:rsidRPr="00B004EE" w:rsidRDefault="008105B4" w:rsidP="00B004EE">
            <w:pPr>
              <w:pStyle w:val="Lgende"/>
              <w:jc w:val="both"/>
              <w:rPr>
                <w:rFonts w:ascii="Tahoma" w:eastAsia="Arial Unicode MS" w:hAnsi="Tahoma" w:cs="Tahoma"/>
                <w:b w:val="0"/>
                <w:bCs w:val="0"/>
                <w:lang w:val="en-GB"/>
              </w:rPr>
            </w:pPr>
            <w:r w:rsidRPr="00B004EE">
              <w:rPr>
                <w:rFonts w:ascii="Tahoma" w:eastAsia="Arial Unicode MS" w:hAnsi="Tahoma" w:cs="Tahoma"/>
                <w:b w:val="0"/>
                <w:bCs w:val="0"/>
                <w:lang w:val="en-GB"/>
              </w:rPr>
              <w:t>Note</w:t>
            </w:r>
            <w:r w:rsidR="00DB1635" w:rsidRPr="00B004EE">
              <w:rPr>
                <w:rFonts w:ascii="Tahoma" w:eastAsia="Arial Unicode MS" w:hAnsi="Tahoma" w:cs="Tahoma"/>
                <w:b w:val="0"/>
                <w:bCs w:val="0"/>
                <w:lang w:val="en-GB"/>
              </w:rPr>
              <w:t xml:space="preserve"> </w:t>
            </w:r>
            <w:r w:rsidRPr="00B004EE">
              <w:rPr>
                <w:rFonts w:ascii="Tahoma" w:eastAsia="Arial Unicode MS" w:hAnsi="Tahoma" w:cs="Tahoma"/>
                <w:b w:val="0"/>
                <w:bCs w:val="0"/>
                <w:lang w:val="en-GB"/>
              </w:rPr>
              <w:t>1</w:t>
            </w:r>
          </w:p>
        </w:tc>
      </w:tr>
      <w:tr w:rsidR="00150C90" w:rsidRPr="00B004EE" w14:paraId="1F57B0CB" w14:textId="77777777" w:rsidTr="001E7C3C">
        <w:trPr>
          <w:jc w:val="center"/>
        </w:trPr>
        <w:tc>
          <w:tcPr>
            <w:tcW w:w="552" w:type="dxa"/>
          </w:tcPr>
          <w:p w14:paraId="692CF87E" w14:textId="77777777" w:rsidR="008105B4" w:rsidRPr="00B004EE" w:rsidRDefault="008105B4" w:rsidP="00B004EE">
            <w:pPr>
              <w:pStyle w:val="Lgende"/>
              <w:jc w:val="both"/>
              <w:rPr>
                <w:rFonts w:ascii="Tahoma" w:hAnsi="Tahoma" w:cs="Tahoma"/>
                <w:b w:val="0"/>
                <w:bCs w:val="0"/>
                <w:lang w:val="en-GB"/>
              </w:rPr>
            </w:pPr>
            <w:r w:rsidRPr="00B004EE">
              <w:rPr>
                <w:rFonts w:ascii="Tahoma" w:hAnsi="Tahoma" w:cs="Tahoma"/>
                <w:b w:val="0"/>
                <w:bCs w:val="0"/>
                <w:lang w:val="en-GB"/>
              </w:rPr>
              <w:t>12</w:t>
            </w:r>
          </w:p>
        </w:tc>
        <w:tc>
          <w:tcPr>
            <w:tcW w:w="2835" w:type="dxa"/>
            <w:vAlign w:val="center"/>
          </w:tcPr>
          <w:p w14:paraId="7D45F554" w14:textId="77777777" w:rsidR="008105B4" w:rsidRPr="00B004EE" w:rsidRDefault="008105B4" w:rsidP="00B004EE">
            <w:pPr>
              <w:pStyle w:val="Lgende"/>
              <w:jc w:val="both"/>
              <w:rPr>
                <w:rFonts w:ascii="Tahoma" w:eastAsia="Arial Unicode MS" w:hAnsi="Tahoma" w:cs="Tahoma"/>
                <w:b w:val="0"/>
                <w:bCs w:val="0"/>
                <w:lang w:val="en-GB"/>
              </w:rPr>
            </w:pPr>
            <w:r w:rsidRPr="00B004EE">
              <w:rPr>
                <w:rFonts w:ascii="Tahoma" w:hAnsi="Tahoma" w:cs="Tahoma"/>
                <w:b w:val="0"/>
                <w:bCs w:val="0"/>
                <w:lang w:val="en-GB"/>
              </w:rPr>
              <w:t>Chrome</w:t>
            </w:r>
          </w:p>
        </w:tc>
        <w:tc>
          <w:tcPr>
            <w:tcW w:w="2268" w:type="dxa"/>
            <w:vAlign w:val="center"/>
          </w:tcPr>
          <w:p w14:paraId="7FE18582" w14:textId="77777777" w:rsidR="008105B4" w:rsidRPr="00B004EE" w:rsidRDefault="008105B4" w:rsidP="00B004EE">
            <w:pPr>
              <w:pStyle w:val="Lgende"/>
              <w:jc w:val="both"/>
              <w:rPr>
                <w:rFonts w:ascii="Tahoma" w:eastAsia="Arial Unicode MS" w:hAnsi="Tahoma" w:cs="Tahoma"/>
                <w:b w:val="0"/>
                <w:bCs w:val="0"/>
              </w:rPr>
            </w:pPr>
            <w:r w:rsidRPr="00B004EE">
              <w:rPr>
                <w:rFonts w:ascii="Tahoma" w:hAnsi="Tahoma" w:cs="Tahoma"/>
                <w:b w:val="0"/>
                <w:bCs w:val="0"/>
              </w:rPr>
              <w:t>50</w:t>
            </w:r>
          </w:p>
        </w:tc>
        <w:tc>
          <w:tcPr>
            <w:tcW w:w="1786" w:type="dxa"/>
            <w:vAlign w:val="center"/>
          </w:tcPr>
          <w:p w14:paraId="09CBBEF2" w14:textId="77777777" w:rsidR="008105B4" w:rsidRPr="00B004EE" w:rsidRDefault="008105B4" w:rsidP="00B004EE">
            <w:pPr>
              <w:pStyle w:val="Lgende"/>
              <w:jc w:val="both"/>
              <w:rPr>
                <w:rFonts w:ascii="Tahoma" w:eastAsia="Arial Unicode MS" w:hAnsi="Tahoma" w:cs="Tahoma"/>
                <w:b w:val="0"/>
                <w:bCs w:val="0"/>
              </w:rPr>
            </w:pPr>
            <w:r w:rsidRPr="00B004EE">
              <w:rPr>
                <w:rFonts w:ascii="Tahoma" w:hAnsi="Tahoma" w:cs="Tahoma"/>
                <w:b w:val="0"/>
                <w:bCs w:val="0"/>
              </w:rPr>
              <w:t>µg/l</w:t>
            </w:r>
          </w:p>
        </w:tc>
        <w:tc>
          <w:tcPr>
            <w:tcW w:w="1720" w:type="dxa"/>
            <w:vAlign w:val="center"/>
          </w:tcPr>
          <w:p w14:paraId="686900FC" w14:textId="55099D24" w:rsidR="008105B4" w:rsidRPr="00B004EE" w:rsidRDefault="008105B4" w:rsidP="00B004EE">
            <w:pPr>
              <w:pStyle w:val="Lgende"/>
              <w:jc w:val="both"/>
              <w:rPr>
                <w:rFonts w:ascii="Tahoma" w:eastAsia="Arial Unicode MS" w:hAnsi="Tahoma" w:cs="Tahoma"/>
                <w:b w:val="0"/>
                <w:bCs w:val="0"/>
              </w:rPr>
            </w:pPr>
            <w:r w:rsidRPr="00B004EE">
              <w:rPr>
                <w:rFonts w:ascii="Tahoma" w:hAnsi="Tahoma" w:cs="Tahoma"/>
                <w:b w:val="0"/>
                <w:bCs w:val="0"/>
              </w:rPr>
              <w:t>Note</w:t>
            </w:r>
            <w:r w:rsidR="00DB1635" w:rsidRPr="00B004EE">
              <w:rPr>
                <w:rFonts w:ascii="Tahoma" w:hAnsi="Tahoma" w:cs="Tahoma"/>
                <w:b w:val="0"/>
                <w:bCs w:val="0"/>
              </w:rPr>
              <w:t xml:space="preserve"> </w:t>
            </w:r>
            <w:r w:rsidRPr="00B004EE">
              <w:rPr>
                <w:rFonts w:ascii="Tahoma" w:hAnsi="Tahoma" w:cs="Tahoma"/>
                <w:b w:val="0"/>
                <w:bCs w:val="0"/>
              </w:rPr>
              <w:t>3</w:t>
            </w:r>
          </w:p>
        </w:tc>
      </w:tr>
      <w:tr w:rsidR="00150C90" w:rsidRPr="00B004EE" w14:paraId="58203B5A" w14:textId="77777777" w:rsidTr="001E7C3C">
        <w:trPr>
          <w:jc w:val="center"/>
        </w:trPr>
        <w:tc>
          <w:tcPr>
            <w:tcW w:w="552" w:type="dxa"/>
          </w:tcPr>
          <w:p w14:paraId="02262F25" w14:textId="77777777" w:rsidR="008105B4" w:rsidRPr="00B004EE" w:rsidRDefault="008105B4" w:rsidP="00B004EE">
            <w:pPr>
              <w:pStyle w:val="Lgende"/>
              <w:jc w:val="both"/>
              <w:rPr>
                <w:rFonts w:ascii="Tahoma" w:hAnsi="Tahoma" w:cs="Tahoma"/>
                <w:b w:val="0"/>
                <w:bCs w:val="0"/>
              </w:rPr>
            </w:pPr>
            <w:r w:rsidRPr="00B004EE">
              <w:rPr>
                <w:rFonts w:ascii="Tahoma" w:hAnsi="Tahoma" w:cs="Tahoma"/>
                <w:b w:val="0"/>
                <w:bCs w:val="0"/>
              </w:rPr>
              <w:t>13</w:t>
            </w:r>
          </w:p>
        </w:tc>
        <w:tc>
          <w:tcPr>
            <w:tcW w:w="2835" w:type="dxa"/>
            <w:vAlign w:val="center"/>
          </w:tcPr>
          <w:p w14:paraId="0DEB584A" w14:textId="77777777" w:rsidR="008105B4" w:rsidRPr="00B004EE" w:rsidRDefault="008105B4" w:rsidP="00B004EE">
            <w:pPr>
              <w:pStyle w:val="Lgende"/>
              <w:jc w:val="both"/>
              <w:rPr>
                <w:rFonts w:ascii="Tahoma" w:eastAsia="Arial Unicode MS" w:hAnsi="Tahoma" w:cs="Tahoma"/>
                <w:b w:val="0"/>
                <w:bCs w:val="0"/>
              </w:rPr>
            </w:pPr>
            <w:r w:rsidRPr="00B004EE">
              <w:rPr>
                <w:rFonts w:ascii="Tahoma" w:hAnsi="Tahoma" w:cs="Tahoma"/>
                <w:b w:val="0"/>
                <w:bCs w:val="0"/>
              </w:rPr>
              <w:t>Cuivre</w:t>
            </w:r>
          </w:p>
        </w:tc>
        <w:tc>
          <w:tcPr>
            <w:tcW w:w="2268" w:type="dxa"/>
            <w:vAlign w:val="center"/>
          </w:tcPr>
          <w:p w14:paraId="18A6CB0E" w14:textId="77777777" w:rsidR="008105B4" w:rsidRPr="00B004EE" w:rsidRDefault="008105B4" w:rsidP="00B004EE">
            <w:pPr>
              <w:pStyle w:val="Lgende"/>
              <w:jc w:val="both"/>
              <w:rPr>
                <w:rFonts w:ascii="Tahoma" w:eastAsia="Arial Unicode MS" w:hAnsi="Tahoma" w:cs="Tahoma"/>
                <w:b w:val="0"/>
                <w:bCs w:val="0"/>
              </w:rPr>
            </w:pPr>
            <w:r w:rsidRPr="00B004EE">
              <w:rPr>
                <w:rFonts w:ascii="Tahoma" w:hAnsi="Tahoma" w:cs="Tahoma"/>
                <w:b w:val="0"/>
                <w:bCs w:val="0"/>
              </w:rPr>
              <w:t>2,0</w:t>
            </w:r>
          </w:p>
        </w:tc>
        <w:tc>
          <w:tcPr>
            <w:tcW w:w="1786" w:type="dxa"/>
            <w:vAlign w:val="center"/>
          </w:tcPr>
          <w:p w14:paraId="51C89D18" w14:textId="77777777" w:rsidR="008105B4" w:rsidRPr="00B004EE" w:rsidRDefault="008105B4" w:rsidP="00B004EE">
            <w:pPr>
              <w:pStyle w:val="Lgende"/>
              <w:jc w:val="both"/>
              <w:rPr>
                <w:rFonts w:ascii="Tahoma" w:eastAsia="Arial Unicode MS" w:hAnsi="Tahoma" w:cs="Tahoma"/>
                <w:b w:val="0"/>
                <w:bCs w:val="0"/>
              </w:rPr>
            </w:pPr>
            <w:r w:rsidRPr="00B004EE">
              <w:rPr>
                <w:rFonts w:ascii="Tahoma" w:hAnsi="Tahoma" w:cs="Tahoma"/>
                <w:b w:val="0"/>
                <w:bCs w:val="0"/>
              </w:rPr>
              <w:t>mg/l</w:t>
            </w:r>
          </w:p>
        </w:tc>
        <w:tc>
          <w:tcPr>
            <w:tcW w:w="1720" w:type="dxa"/>
            <w:vAlign w:val="center"/>
          </w:tcPr>
          <w:p w14:paraId="183F86BA" w14:textId="25A51D9D" w:rsidR="008105B4" w:rsidRPr="00B004EE" w:rsidRDefault="008105B4" w:rsidP="00B004EE">
            <w:pPr>
              <w:pStyle w:val="Lgende"/>
              <w:jc w:val="both"/>
              <w:rPr>
                <w:rFonts w:ascii="Tahoma" w:eastAsia="Arial Unicode MS" w:hAnsi="Tahoma" w:cs="Tahoma"/>
                <w:b w:val="0"/>
                <w:bCs w:val="0"/>
              </w:rPr>
            </w:pPr>
            <w:r w:rsidRPr="00B004EE">
              <w:rPr>
                <w:rFonts w:ascii="Tahoma" w:hAnsi="Tahoma" w:cs="Tahoma"/>
                <w:b w:val="0"/>
                <w:bCs w:val="0"/>
              </w:rPr>
              <w:t>Note</w:t>
            </w:r>
            <w:r w:rsidR="00DB1635" w:rsidRPr="00B004EE">
              <w:rPr>
                <w:rFonts w:ascii="Tahoma" w:hAnsi="Tahoma" w:cs="Tahoma"/>
                <w:b w:val="0"/>
                <w:bCs w:val="0"/>
              </w:rPr>
              <w:t xml:space="preserve"> </w:t>
            </w:r>
            <w:r w:rsidRPr="00B004EE">
              <w:rPr>
                <w:rFonts w:ascii="Tahoma" w:hAnsi="Tahoma" w:cs="Tahoma"/>
                <w:b w:val="0"/>
                <w:bCs w:val="0"/>
              </w:rPr>
              <w:t>3</w:t>
            </w:r>
          </w:p>
        </w:tc>
      </w:tr>
      <w:tr w:rsidR="00150C90" w:rsidRPr="00B004EE" w14:paraId="4CE8F68D" w14:textId="77777777" w:rsidTr="001E7C3C">
        <w:trPr>
          <w:jc w:val="center"/>
        </w:trPr>
        <w:tc>
          <w:tcPr>
            <w:tcW w:w="552" w:type="dxa"/>
          </w:tcPr>
          <w:p w14:paraId="6791C4DC" w14:textId="77777777" w:rsidR="008105B4" w:rsidRPr="00B004EE" w:rsidRDefault="008105B4" w:rsidP="00B004EE">
            <w:pPr>
              <w:pStyle w:val="Lgende"/>
              <w:jc w:val="both"/>
              <w:rPr>
                <w:rFonts w:ascii="Tahoma" w:hAnsi="Tahoma" w:cs="Tahoma"/>
                <w:b w:val="0"/>
                <w:bCs w:val="0"/>
              </w:rPr>
            </w:pPr>
            <w:r w:rsidRPr="00B004EE">
              <w:rPr>
                <w:rFonts w:ascii="Tahoma" w:hAnsi="Tahoma" w:cs="Tahoma"/>
                <w:b w:val="0"/>
                <w:bCs w:val="0"/>
              </w:rPr>
              <w:t>14</w:t>
            </w:r>
          </w:p>
        </w:tc>
        <w:tc>
          <w:tcPr>
            <w:tcW w:w="2835" w:type="dxa"/>
            <w:vAlign w:val="center"/>
          </w:tcPr>
          <w:p w14:paraId="5E3A0B9B" w14:textId="75560C2F" w:rsidR="008105B4" w:rsidRPr="00B004EE" w:rsidRDefault="008105B4" w:rsidP="00B004EE">
            <w:pPr>
              <w:pStyle w:val="Lgende"/>
              <w:jc w:val="both"/>
              <w:rPr>
                <w:rFonts w:ascii="Tahoma" w:eastAsia="Arial Unicode MS" w:hAnsi="Tahoma" w:cs="Tahoma"/>
                <w:b w:val="0"/>
                <w:bCs w:val="0"/>
              </w:rPr>
            </w:pPr>
            <w:r w:rsidRPr="00B004EE">
              <w:rPr>
                <w:rFonts w:ascii="Tahoma" w:hAnsi="Tahoma" w:cs="Tahoma"/>
                <w:b w:val="0"/>
                <w:bCs w:val="0"/>
              </w:rPr>
              <w:t>Cyanures</w:t>
            </w:r>
            <w:r w:rsidR="00DB1635" w:rsidRPr="00B004EE">
              <w:rPr>
                <w:rFonts w:ascii="Tahoma" w:hAnsi="Tahoma" w:cs="Tahoma"/>
                <w:b w:val="0"/>
                <w:bCs w:val="0"/>
              </w:rPr>
              <w:t xml:space="preserve"> </w:t>
            </w:r>
            <w:r w:rsidRPr="00B004EE">
              <w:rPr>
                <w:rFonts w:ascii="Tahoma" w:hAnsi="Tahoma" w:cs="Tahoma"/>
                <w:b w:val="0"/>
                <w:bCs w:val="0"/>
              </w:rPr>
              <w:t>totaux</w:t>
            </w:r>
          </w:p>
        </w:tc>
        <w:tc>
          <w:tcPr>
            <w:tcW w:w="2268" w:type="dxa"/>
            <w:vAlign w:val="center"/>
          </w:tcPr>
          <w:p w14:paraId="73DC116C" w14:textId="77777777" w:rsidR="008105B4" w:rsidRPr="00B004EE" w:rsidRDefault="008105B4" w:rsidP="00B004EE">
            <w:pPr>
              <w:pStyle w:val="Lgende"/>
              <w:jc w:val="both"/>
              <w:rPr>
                <w:rFonts w:ascii="Tahoma" w:eastAsia="Arial Unicode MS" w:hAnsi="Tahoma" w:cs="Tahoma"/>
                <w:b w:val="0"/>
                <w:bCs w:val="0"/>
                <w:lang w:val="de-DE"/>
              </w:rPr>
            </w:pPr>
            <w:r w:rsidRPr="00B004EE">
              <w:rPr>
                <w:rFonts w:ascii="Tahoma" w:hAnsi="Tahoma" w:cs="Tahoma"/>
                <w:b w:val="0"/>
                <w:bCs w:val="0"/>
                <w:lang w:val="de-DE"/>
              </w:rPr>
              <w:t>50</w:t>
            </w:r>
          </w:p>
        </w:tc>
        <w:tc>
          <w:tcPr>
            <w:tcW w:w="1786" w:type="dxa"/>
            <w:vAlign w:val="center"/>
          </w:tcPr>
          <w:p w14:paraId="5C954D73" w14:textId="77777777" w:rsidR="008105B4" w:rsidRPr="00B004EE" w:rsidRDefault="008105B4" w:rsidP="00B004EE">
            <w:pPr>
              <w:pStyle w:val="Lgende"/>
              <w:jc w:val="both"/>
              <w:rPr>
                <w:rFonts w:ascii="Tahoma" w:eastAsia="Arial Unicode MS" w:hAnsi="Tahoma" w:cs="Tahoma"/>
                <w:b w:val="0"/>
                <w:bCs w:val="0"/>
                <w:lang w:val="de-DE"/>
              </w:rPr>
            </w:pPr>
            <w:r w:rsidRPr="00B004EE">
              <w:rPr>
                <w:rFonts w:ascii="Tahoma" w:hAnsi="Tahoma" w:cs="Tahoma"/>
                <w:b w:val="0"/>
                <w:bCs w:val="0"/>
                <w:lang w:val="de-DE"/>
              </w:rPr>
              <w:t>µg/l</w:t>
            </w:r>
          </w:p>
        </w:tc>
        <w:tc>
          <w:tcPr>
            <w:tcW w:w="1720" w:type="dxa"/>
            <w:vAlign w:val="center"/>
          </w:tcPr>
          <w:p w14:paraId="66C9204C" w14:textId="77777777" w:rsidR="008105B4" w:rsidRPr="00B004EE" w:rsidRDefault="008105B4" w:rsidP="00B004EE">
            <w:pPr>
              <w:pStyle w:val="Lgende"/>
              <w:jc w:val="both"/>
              <w:rPr>
                <w:rFonts w:ascii="Tahoma" w:eastAsia="Arial Unicode MS" w:hAnsi="Tahoma" w:cs="Tahoma"/>
                <w:b w:val="0"/>
                <w:bCs w:val="0"/>
                <w:lang w:val="de-DE"/>
              </w:rPr>
            </w:pPr>
          </w:p>
        </w:tc>
      </w:tr>
      <w:tr w:rsidR="00150C90" w:rsidRPr="00B004EE" w14:paraId="236A4C0A" w14:textId="77777777" w:rsidTr="001E7C3C">
        <w:trPr>
          <w:jc w:val="center"/>
        </w:trPr>
        <w:tc>
          <w:tcPr>
            <w:tcW w:w="552" w:type="dxa"/>
          </w:tcPr>
          <w:p w14:paraId="20474B21" w14:textId="77777777" w:rsidR="008105B4" w:rsidRPr="00B004EE" w:rsidRDefault="008105B4" w:rsidP="00B004EE">
            <w:pPr>
              <w:pStyle w:val="Lgende"/>
              <w:jc w:val="both"/>
              <w:rPr>
                <w:rFonts w:ascii="Tahoma" w:hAnsi="Tahoma" w:cs="Tahoma"/>
                <w:b w:val="0"/>
                <w:bCs w:val="0"/>
                <w:lang w:val="de-DE"/>
              </w:rPr>
            </w:pPr>
            <w:r w:rsidRPr="00B004EE">
              <w:rPr>
                <w:rFonts w:ascii="Tahoma" w:hAnsi="Tahoma" w:cs="Tahoma"/>
                <w:b w:val="0"/>
                <w:bCs w:val="0"/>
                <w:lang w:val="de-DE"/>
              </w:rPr>
              <w:t>15</w:t>
            </w:r>
          </w:p>
        </w:tc>
        <w:tc>
          <w:tcPr>
            <w:tcW w:w="2835" w:type="dxa"/>
            <w:vAlign w:val="center"/>
          </w:tcPr>
          <w:p w14:paraId="6A19E489" w14:textId="77777777" w:rsidR="008105B4" w:rsidRPr="00B004EE" w:rsidRDefault="008105B4" w:rsidP="00B004EE">
            <w:pPr>
              <w:pStyle w:val="Lgende"/>
              <w:jc w:val="both"/>
              <w:rPr>
                <w:rFonts w:ascii="Tahoma" w:eastAsia="Arial Unicode MS" w:hAnsi="Tahoma" w:cs="Tahoma"/>
                <w:b w:val="0"/>
                <w:bCs w:val="0"/>
                <w:lang w:val="de-DE"/>
              </w:rPr>
            </w:pPr>
            <w:r w:rsidRPr="00B004EE">
              <w:rPr>
                <w:rFonts w:ascii="Tahoma" w:hAnsi="Tahoma" w:cs="Tahoma"/>
                <w:b w:val="0"/>
                <w:bCs w:val="0"/>
                <w:lang w:val="de-DE"/>
              </w:rPr>
              <w:t>1,2-dichloroéthane</w:t>
            </w:r>
          </w:p>
        </w:tc>
        <w:tc>
          <w:tcPr>
            <w:tcW w:w="2268" w:type="dxa"/>
            <w:vAlign w:val="center"/>
          </w:tcPr>
          <w:p w14:paraId="7E615AC5" w14:textId="77777777" w:rsidR="008105B4" w:rsidRPr="00B004EE" w:rsidRDefault="008105B4" w:rsidP="00B004EE">
            <w:pPr>
              <w:pStyle w:val="Lgende"/>
              <w:jc w:val="both"/>
              <w:rPr>
                <w:rFonts w:ascii="Tahoma" w:eastAsia="Arial Unicode MS" w:hAnsi="Tahoma" w:cs="Tahoma"/>
                <w:b w:val="0"/>
                <w:bCs w:val="0"/>
                <w:lang w:val="de-DE"/>
              </w:rPr>
            </w:pPr>
            <w:r w:rsidRPr="00B004EE">
              <w:rPr>
                <w:rFonts w:ascii="Tahoma" w:hAnsi="Tahoma" w:cs="Tahoma"/>
                <w:b w:val="0"/>
                <w:bCs w:val="0"/>
                <w:lang w:val="de-DE"/>
              </w:rPr>
              <w:t>3,0</w:t>
            </w:r>
          </w:p>
        </w:tc>
        <w:tc>
          <w:tcPr>
            <w:tcW w:w="1786" w:type="dxa"/>
            <w:vAlign w:val="center"/>
          </w:tcPr>
          <w:p w14:paraId="77E43332" w14:textId="77777777" w:rsidR="008105B4" w:rsidRPr="00B004EE" w:rsidRDefault="008105B4" w:rsidP="00B004EE">
            <w:pPr>
              <w:pStyle w:val="Lgende"/>
              <w:jc w:val="both"/>
              <w:rPr>
                <w:rFonts w:ascii="Tahoma" w:eastAsia="Arial Unicode MS" w:hAnsi="Tahoma" w:cs="Tahoma"/>
                <w:b w:val="0"/>
                <w:bCs w:val="0"/>
                <w:lang w:val="de-DE"/>
              </w:rPr>
            </w:pPr>
            <w:r w:rsidRPr="00B004EE">
              <w:rPr>
                <w:rFonts w:ascii="Tahoma" w:hAnsi="Tahoma" w:cs="Tahoma"/>
                <w:b w:val="0"/>
                <w:bCs w:val="0"/>
                <w:lang w:val="de-DE"/>
              </w:rPr>
              <w:t>µg/l</w:t>
            </w:r>
          </w:p>
        </w:tc>
        <w:tc>
          <w:tcPr>
            <w:tcW w:w="1720" w:type="dxa"/>
            <w:vAlign w:val="center"/>
          </w:tcPr>
          <w:p w14:paraId="088CFA48" w14:textId="77777777" w:rsidR="008105B4" w:rsidRPr="00B004EE" w:rsidRDefault="008105B4" w:rsidP="00B004EE">
            <w:pPr>
              <w:pStyle w:val="Lgende"/>
              <w:jc w:val="both"/>
              <w:rPr>
                <w:rFonts w:ascii="Tahoma" w:eastAsia="Arial Unicode MS" w:hAnsi="Tahoma" w:cs="Tahoma"/>
                <w:b w:val="0"/>
                <w:bCs w:val="0"/>
                <w:lang w:val="de-DE"/>
              </w:rPr>
            </w:pPr>
          </w:p>
        </w:tc>
      </w:tr>
      <w:tr w:rsidR="00150C90" w:rsidRPr="00B004EE" w14:paraId="652E67A6" w14:textId="77777777" w:rsidTr="001E7C3C">
        <w:trPr>
          <w:jc w:val="center"/>
        </w:trPr>
        <w:tc>
          <w:tcPr>
            <w:tcW w:w="552" w:type="dxa"/>
          </w:tcPr>
          <w:p w14:paraId="3FF3D1BB" w14:textId="77777777" w:rsidR="008105B4" w:rsidRPr="00B004EE" w:rsidRDefault="008105B4" w:rsidP="00B004EE">
            <w:pPr>
              <w:pStyle w:val="Lgende"/>
              <w:jc w:val="both"/>
              <w:rPr>
                <w:rFonts w:ascii="Tahoma" w:hAnsi="Tahoma" w:cs="Tahoma"/>
                <w:b w:val="0"/>
                <w:bCs w:val="0"/>
                <w:lang w:val="de-DE"/>
              </w:rPr>
            </w:pPr>
            <w:r w:rsidRPr="00B004EE">
              <w:rPr>
                <w:rFonts w:ascii="Tahoma" w:hAnsi="Tahoma" w:cs="Tahoma"/>
                <w:b w:val="0"/>
                <w:bCs w:val="0"/>
                <w:lang w:val="de-DE"/>
              </w:rPr>
              <w:t>16</w:t>
            </w:r>
          </w:p>
        </w:tc>
        <w:tc>
          <w:tcPr>
            <w:tcW w:w="2835" w:type="dxa"/>
            <w:vAlign w:val="center"/>
          </w:tcPr>
          <w:p w14:paraId="07C1D252" w14:textId="77777777" w:rsidR="008105B4" w:rsidRPr="00B004EE" w:rsidRDefault="008105B4" w:rsidP="00B004EE">
            <w:pPr>
              <w:pStyle w:val="Lgende"/>
              <w:jc w:val="both"/>
              <w:rPr>
                <w:rFonts w:ascii="Tahoma" w:eastAsia="Arial Unicode MS" w:hAnsi="Tahoma" w:cs="Tahoma"/>
                <w:b w:val="0"/>
                <w:bCs w:val="0"/>
                <w:lang w:val="de-DE"/>
              </w:rPr>
            </w:pPr>
            <w:r w:rsidRPr="00B004EE">
              <w:rPr>
                <w:rFonts w:ascii="Tahoma" w:hAnsi="Tahoma" w:cs="Tahoma"/>
                <w:b w:val="0"/>
                <w:bCs w:val="0"/>
                <w:lang w:val="de-DE"/>
              </w:rPr>
              <w:t>Epichlorhydrine</w:t>
            </w:r>
          </w:p>
        </w:tc>
        <w:tc>
          <w:tcPr>
            <w:tcW w:w="2268" w:type="dxa"/>
            <w:vAlign w:val="center"/>
          </w:tcPr>
          <w:p w14:paraId="31AE5008" w14:textId="77777777" w:rsidR="008105B4" w:rsidRPr="00B004EE" w:rsidRDefault="008105B4" w:rsidP="00B004EE">
            <w:pPr>
              <w:pStyle w:val="Lgende"/>
              <w:jc w:val="both"/>
              <w:rPr>
                <w:rFonts w:ascii="Tahoma" w:eastAsia="Arial Unicode MS" w:hAnsi="Tahoma" w:cs="Tahoma"/>
                <w:b w:val="0"/>
                <w:bCs w:val="0"/>
                <w:lang w:val="de-DE"/>
              </w:rPr>
            </w:pPr>
            <w:r w:rsidRPr="00B004EE">
              <w:rPr>
                <w:rFonts w:ascii="Tahoma" w:hAnsi="Tahoma" w:cs="Tahoma"/>
                <w:b w:val="0"/>
                <w:bCs w:val="0"/>
                <w:lang w:val="de-DE"/>
              </w:rPr>
              <w:t>0,10</w:t>
            </w:r>
          </w:p>
        </w:tc>
        <w:tc>
          <w:tcPr>
            <w:tcW w:w="1786" w:type="dxa"/>
            <w:vAlign w:val="center"/>
          </w:tcPr>
          <w:p w14:paraId="07411E3F" w14:textId="77777777" w:rsidR="008105B4" w:rsidRPr="00B004EE" w:rsidRDefault="008105B4" w:rsidP="00B004EE">
            <w:pPr>
              <w:pStyle w:val="Lgende"/>
              <w:jc w:val="both"/>
              <w:rPr>
                <w:rFonts w:ascii="Tahoma" w:eastAsia="Arial Unicode MS" w:hAnsi="Tahoma" w:cs="Tahoma"/>
                <w:b w:val="0"/>
                <w:bCs w:val="0"/>
                <w:lang w:val="de-DE"/>
              </w:rPr>
            </w:pPr>
            <w:r w:rsidRPr="00B004EE">
              <w:rPr>
                <w:rFonts w:ascii="Tahoma" w:hAnsi="Tahoma" w:cs="Tahoma"/>
                <w:b w:val="0"/>
                <w:bCs w:val="0"/>
                <w:lang w:val="de-DE"/>
              </w:rPr>
              <w:t>µg/l</w:t>
            </w:r>
          </w:p>
        </w:tc>
        <w:tc>
          <w:tcPr>
            <w:tcW w:w="1720" w:type="dxa"/>
            <w:vAlign w:val="center"/>
          </w:tcPr>
          <w:p w14:paraId="68321A78" w14:textId="031FC691" w:rsidR="008105B4" w:rsidRPr="00B004EE" w:rsidRDefault="008105B4" w:rsidP="00B004EE">
            <w:pPr>
              <w:pStyle w:val="Lgende"/>
              <w:jc w:val="both"/>
              <w:rPr>
                <w:rFonts w:ascii="Tahoma" w:eastAsia="Arial Unicode MS" w:hAnsi="Tahoma" w:cs="Tahoma"/>
                <w:b w:val="0"/>
                <w:bCs w:val="0"/>
              </w:rPr>
            </w:pPr>
            <w:r w:rsidRPr="00B004EE">
              <w:rPr>
                <w:rFonts w:ascii="Tahoma" w:eastAsia="Arial Unicode MS" w:hAnsi="Tahoma" w:cs="Tahoma"/>
                <w:b w:val="0"/>
                <w:bCs w:val="0"/>
              </w:rPr>
              <w:t>Note</w:t>
            </w:r>
            <w:r w:rsidR="00DB1635" w:rsidRPr="00B004EE">
              <w:rPr>
                <w:rFonts w:ascii="Tahoma" w:eastAsia="Arial Unicode MS" w:hAnsi="Tahoma" w:cs="Tahoma"/>
                <w:b w:val="0"/>
                <w:bCs w:val="0"/>
              </w:rPr>
              <w:t xml:space="preserve"> </w:t>
            </w:r>
            <w:r w:rsidRPr="00B004EE">
              <w:rPr>
                <w:rFonts w:ascii="Tahoma" w:eastAsia="Arial Unicode MS" w:hAnsi="Tahoma" w:cs="Tahoma"/>
                <w:b w:val="0"/>
                <w:bCs w:val="0"/>
              </w:rPr>
              <w:t>1</w:t>
            </w:r>
          </w:p>
        </w:tc>
      </w:tr>
      <w:tr w:rsidR="00150C90" w:rsidRPr="00B004EE" w14:paraId="74E7F480" w14:textId="77777777" w:rsidTr="001E7C3C">
        <w:trPr>
          <w:jc w:val="center"/>
        </w:trPr>
        <w:tc>
          <w:tcPr>
            <w:tcW w:w="552" w:type="dxa"/>
          </w:tcPr>
          <w:p w14:paraId="404B4763" w14:textId="77777777" w:rsidR="008105B4" w:rsidRPr="00B004EE" w:rsidRDefault="008105B4" w:rsidP="00B004EE">
            <w:pPr>
              <w:pStyle w:val="Lgende"/>
              <w:jc w:val="both"/>
              <w:rPr>
                <w:rFonts w:ascii="Tahoma" w:hAnsi="Tahoma" w:cs="Tahoma"/>
                <w:b w:val="0"/>
                <w:bCs w:val="0"/>
              </w:rPr>
            </w:pPr>
            <w:r w:rsidRPr="00B004EE">
              <w:rPr>
                <w:rFonts w:ascii="Tahoma" w:hAnsi="Tahoma" w:cs="Tahoma"/>
                <w:b w:val="0"/>
                <w:bCs w:val="0"/>
              </w:rPr>
              <w:t>17</w:t>
            </w:r>
          </w:p>
        </w:tc>
        <w:tc>
          <w:tcPr>
            <w:tcW w:w="2835" w:type="dxa"/>
            <w:vAlign w:val="center"/>
          </w:tcPr>
          <w:p w14:paraId="22FE7303" w14:textId="77777777" w:rsidR="008105B4" w:rsidRPr="00B004EE" w:rsidRDefault="008105B4" w:rsidP="00B004EE">
            <w:pPr>
              <w:pStyle w:val="Lgende"/>
              <w:jc w:val="both"/>
              <w:rPr>
                <w:rFonts w:ascii="Tahoma" w:eastAsia="Arial Unicode MS" w:hAnsi="Tahoma" w:cs="Tahoma"/>
                <w:b w:val="0"/>
                <w:bCs w:val="0"/>
              </w:rPr>
            </w:pPr>
            <w:r w:rsidRPr="00B004EE">
              <w:rPr>
                <w:rFonts w:ascii="Tahoma" w:hAnsi="Tahoma" w:cs="Tahoma"/>
                <w:b w:val="0"/>
                <w:bCs w:val="0"/>
              </w:rPr>
              <w:t>Fluorures</w:t>
            </w:r>
          </w:p>
        </w:tc>
        <w:tc>
          <w:tcPr>
            <w:tcW w:w="2268" w:type="dxa"/>
            <w:vAlign w:val="center"/>
          </w:tcPr>
          <w:p w14:paraId="168F0FF6" w14:textId="77777777" w:rsidR="008105B4" w:rsidRPr="00B004EE" w:rsidRDefault="008105B4" w:rsidP="00B004EE">
            <w:pPr>
              <w:pStyle w:val="Lgende"/>
              <w:jc w:val="both"/>
              <w:rPr>
                <w:rFonts w:ascii="Tahoma" w:eastAsia="Arial Unicode MS" w:hAnsi="Tahoma" w:cs="Tahoma"/>
                <w:b w:val="0"/>
                <w:bCs w:val="0"/>
              </w:rPr>
            </w:pPr>
            <w:r w:rsidRPr="00B004EE">
              <w:rPr>
                <w:rFonts w:ascii="Tahoma" w:hAnsi="Tahoma" w:cs="Tahoma"/>
                <w:b w:val="0"/>
                <w:bCs w:val="0"/>
              </w:rPr>
              <w:t>1,5</w:t>
            </w:r>
          </w:p>
        </w:tc>
        <w:tc>
          <w:tcPr>
            <w:tcW w:w="1786" w:type="dxa"/>
            <w:vAlign w:val="center"/>
          </w:tcPr>
          <w:p w14:paraId="096409FE" w14:textId="77777777" w:rsidR="008105B4" w:rsidRPr="00B004EE" w:rsidRDefault="008105B4" w:rsidP="00B004EE">
            <w:pPr>
              <w:pStyle w:val="Lgende"/>
              <w:jc w:val="both"/>
              <w:rPr>
                <w:rFonts w:ascii="Tahoma" w:eastAsia="Arial Unicode MS" w:hAnsi="Tahoma" w:cs="Tahoma"/>
                <w:b w:val="0"/>
                <w:bCs w:val="0"/>
              </w:rPr>
            </w:pPr>
            <w:r w:rsidRPr="00B004EE">
              <w:rPr>
                <w:rFonts w:ascii="Tahoma" w:hAnsi="Tahoma" w:cs="Tahoma"/>
                <w:b w:val="0"/>
                <w:bCs w:val="0"/>
              </w:rPr>
              <w:t>mg/l</w:t>
            </w:r>
          </w:p>
        </w:tc>
        <w:tc>
          <w:tcPr>
            <w:tcW w:w="1720" w:type="dxa"/>
            <w:vAlign w:val="center"/>
          </w:tcPr>
          <w:p w14:paraId="5DDFFC89" w14:textId="77777777" w:rsidR="008105B4" w:rsidRPr="00B004EE" w:rsidRDefault="008105B4" w:rsidP="00B004EE">
            <w:pPr>
              <w:pStyle w:val="Lgende"/>
              <w:jc w:val="both"/>
              <w:rPr>
                <w:rFonts w:ascii="Tahoma" w:eastAsia="Arial Unicode MS" w:hAnsi="Tahoma" w:cs="Tahoma"/>
                <w:b w:val="0"/>
                <w:bCs w:val="0"/>
              </w:rPr>
            </w:pPr>
          </w:p>
        </w:tc>
      </w:tr>
      <w:tr w:rsidR="00150C90" w:rsidRPr="00B004EE" w14:paraId="7A6002B2" w14:textId="77777777" w:rsidTr="001E7C3C">
        <w:trPr>
          <w:jc w:val="center"/>
        </w:trPr>
        <w:tc>
          <w:tcPr>
            <w:tcW w:w="552" w:type="dxa"/>
          </w:tcPr>
          <w:p w14:paraId="019BBF73" w14:textId="77777777" w:rsidR="008105B4" w:rsidRPr="00B004EE" w:rsidRDefault="008105B4" w:rsidP="00B004EE">
            <w:pPr>
              <w:pStyle w:val="Lgende"/>
              <w:jc w:val="both"/>
              <w:rPr>
                <w:rFonts w:ascii="Tahoma" w:hAnsi="Tahoma" w:cs="Tahoma"/>
                <w:b w:val="0"/>
                <w:bCs w:val="0"/>
              </w:rPr>
            </w:pPr>
            <w:r w:rsidRPr="00B004EE">
              <w:rPr>
                <w:rFonts w:ascii="Tahoma" w:hAnsi="Tahoma" w:cs="Tahoma"/>
                <w:b w:val="0"/>
                <w:bCs w:val="0"/>
              </w:rPr>
              <w:t>18</w:t>
            </w:r>
          </w:p>
        </w:tc>
        <w:tc>
          <w:tcPr>
            <w:tcW w:w="2835" w:type="dxa"/>
            <w:vAlign w:val="center"/>
          </w:tcPr>
          <w:p w14:paraId="4F0C5673" w14:textId="70932C77" w:rsidR="008105B4" w:rsidRPr="00B004EE" w:rsidRDefault="008105B4" w:rsidP="00B004EE">
            <w:pPr>
              <w:pStyle w:val="Lgende"/>
              <w:jc w:val="both"/>
              <w:rPr>
                <w:rFonts w:ascii="Tahoma" w:eastAsia="Arial Unicode MS" w:hAnsi="Tahoma" w:cs="Tahoma"/>
                <w:b w:val="0"/>
                <w:bCs w:val="0"/>
              </w:rPr>
            </w:pPr>
            <w:r w:rsidRPr="00B004EE">
              <w:rPr>
                <w:rFonts w:ascii="Tahoma" w:hAnsi="Tahoma" w:cs="Tahoma"/>
                <w:b w:val="0"/>
                <w:bCs w:val="0"/>
              </w:rPr>
              <w:t>Hydrocarbures</w:t>
            </w:r>
            <w:r w:rsidR="00DB1635" w:rsidRPr="00B004EE">
              <w:rPr>
                <w:rFonts w:ascii="Tahoma" w:hAnsi="Tahoma" w:cs="Tahoma"/>
                <w:b w:val="0"/>
                <w:bCs w:val="0"/>
              </w:rPr>
              <w:t xml:space="preserve"> </w:t>
            </w:r>
            <w:r w:rsidRPr="00B004EE">
              <w:rPr>
                <w:rFonts w:ascii="Tahoma" w:hAnsi="Tahoma" w:cs="Tahoma"/>
                <w:b w:val="0"/>
                <w:bCs w:val="0"/>
              </w:rPr>
              <w:t>aromatiques</w:t>
            </w:r>
            <w:r w:rsidR="00DB1635" w:rsidRPr="00B004EE">
              <w:rPr>
                <w:rFonts w:ascii="Tahoma" w:hAnsi="Tahoma" w:cs="Tahoma"/>
                <w:b w:val="0"/>
                <w:bCs w:val="0"/>
              </w:rPr>
              <w:t xml:space="preserve"> </w:t>
            </w:r>
            <w:r w:rsidRPr="00B004EE">
              <w:rPr>
                <w:rFonts w:ascii="Tahoma" w:hAnsi="Tahoma" w:cs="Tahoma"/>
                <w:b w:val="0"/>
                <w:bCs w:val="0"/>
              </w:rPr>
              <w:t>polycycliques</w:t>
            </w:r>
          </w:p>
        </w:tc>
        <w:tc>
          <w:tcPr>
            <w:tcW w:w="2268" w:type="dxa"/>
            <w:vAlign w:val="center"/>
          </w:tcPr>
          <w:p w14:paraId="275D520C" w14:textId="77777777" w:rsidR="008105B4" w:rsidRPr="00B004EE" w:rsidRDefault="008105B4" w:rsidP="00B004EE">
            <w:pPr>
              <w:pStyle w:val="Lgende"/>
              <w:jc w:val="both"/>
              <w:rPr>
                <w:rFonts w:ascii="Tahoma" w:eastAsia="Arial Unicode MS" w:hAnsi="Tahoma" w:cs="Tahoma"/>
                <w:b w:val="0"/>
                <w:bCs w:val="0"/>
                <w:lang w:val="en-GB"/>
              </w:rPr>
            </w:pPr>
            <w:r w:rsidRPr="00B004EE">
              <w:rPr>
                <w:rFonts w:ascii="Tahoma" w:hAnsi="Tahoma" w:cs="Tahoma"/>
                <w:b w:val="0"/>
                <w:bCs w:val="0"/>
                <w:lang w:val="en-GB"/>
              </w:rPr>
              <w:t>0,1</w:t>
            </w:r>
          </w:p>
        </w:tc>
        <w:tc>
          <w:tcPr>
            <w:tcW w:w="1786" w:type="dxa"/>
            <w:vAlign w:val="center"/>
          </w:tcPr>
          <w:p w14:paraId="42215440" w14:textId="77777777" w:rsidR="008105B4" w:rsidRPr="00B004EE" w:rsidRDefault="008105B4" w:rsidP="00B004EE">
            <w:pPr>
              <w:pStyle w:val="Lgende"/>
              <w:jc w:val="both"/>
              <w:rPr>
                <w:rFonts w:ascii="Tahoma" w:eastAsia="Arial Unicode MS" w:hAnsi="Tahoma" w:cs="Tahoma"/>
                <w:b w:val="0"/>
                <w:bCs w:val="0"/>
                <w:lang w:val="en-GB"/>
              </w:rPr>
            </w:pPr>
            <w:r w:rsidRPr="00B004EE">
              <w:rPr>
                <w:rFonts w:ascii="Tahoma" w:hAnsi="Tahoma" w:cs="Tahoma"/>
                <w:b w:val="0"/>
                <w:bCs w:val="0"/>
                <w:lang w:val="en-GB"/>
              </w:rPr>
              <w:t>µg/l</w:t>
            </w:r>
          </w:p>
        </w:tc>
        <w:tc>
          <w:tcPr>
            <w:tcW w:w="1720" w:type="dxa"/>
            <w:vAlign w:val="center"/>
          </w:tcPr>
          <w:p w14:paraId="13A9F671" w14:textId="6374D50F" w:rsidR="008105B4" w:rsidRPr="00B004EE" w:rsidRDefault="008105B4" w:rsidP="00B004EE">
            <w:pPr>
              <w:pStyle w:val="Lgende"/>
              <w:jc w:val="both"/>
              <w:rPr>
                <w:rFonts w:ascii="Tahoma" w:eastAsia="Arial Unicode MS" w:hAnsi="Tahoma" w:cs="Tahoma"/>
                <w:b w:val="0"/>
                <w:bCs w:val="0"/>
                <w:lang w:val="en-GB"/>
              </w:rPr>
            </w:pPr>
            <w:r w:rsidRPr="00B004EE">
              <w:rPr>
                <w:rFonts w:ascii="Tahoma" w:eastAsia="Arial Unicode MS" w:hAnsi="Tahoma" w:cs="Tahoma"/>
                <w:b w:val="0"/>
                <w:bCs w:val="0"/>
                <w:lang w:val="en-GB"/>
              </w:rPr>
              <w:t>Note</w:t>
            </w:r>
            <w:r w:rsidR="00DB1635" w:rsidRPr="00B004EE">
              <w:rPr>
                <w:rFonts w:ascii="Tahoma" w:eastAsia="Arial Unicode MS" w:hAnsi="Tahoma" w:cs="Tahoma"/>
                <w:b w:val="0"/>
                <w:bCs w:val="0"/>
                <w:lang w:val="en-GB"/>
              </w:rPr>
              <w:t xml:space="preserve"> </w:t>
            </w:r>
            <w:r w:rsidRPr="00B004EE">
              <w:rPr>
                <w:rFonts w:ascii="Tahoma" w:eastAsia="Arial Unicode MS" w:hAnsi="Tahoma" w:cs="Tahoma"/>
                <w:b w:val="0"/>
                <w:bCs w:val="0"/>
                <w:lang w:val="en-GB"/>
              </w:rPr>
              <w:t>4</w:t>
            </w:r>
          </w:p>
        </w:tc>
      </w:tr>
      <w:tr w:rsidR="00150C90" w:rsidRPr="00B004EE" w14:paraId="71BE6146" w14:textId="77777777" w:rsidTr="001E7C3C">
        <w:trPr>
          <w:jc w:val="center"/>
        </w:trPr>
        <w:tc>
          <w:tcPr>
            <w:tcW w:w="552" w:type="dxa"/>
          </w:tcPr>
          <w:p w14:paraId="505468F7" w14:textId="77777777" w:rsidR="008105B4" w:rsidRPr="00B004EE" w:rsidRDefault="008105B4" w:rsidP="00B004EE">
            <w:pPr>
              <w:pStyle w:val="Lgende"/>
              <w:jc w:val="both"/>
              <w:rPr>
                <w:rFonts w:ascii="Tahoma" w:hAnsi="Tahoma" w:cs="Tahoma"/>
                <w:b w:val="0"/>
                <w:bCs w:val="0"/>
                <w:lang w:val="en-GB"/>
              </w:rPr>
            </w:pPr>
            <w:r w:rsidRPr="00B004EE">
              <w:rPr>
                <w:rFonts w:ascii="Tahoma" w:hAnsi="Tahoma" w:cs="Tahoma"/>
                <w:b w:val="0"/>
                <w:bCs w:val="0"/>
                <w:lang w:val="en-GB"/>
              </w:rPr>
              <w:t>19</w:t>
            </w:r>
          </w:p>
        </w:tc>
        <w:tc>
          <w:tcPr>
            <w:tcW w:w="2835" w:type="dxa"/>
            <w:vAlign w:val="center"/>
          </w:tcPr>
          <w:p w14:paraId="514BA0C6" w14:textId="724E8325" w:rsidR="008105B4" w:rsidRPr="00B004EE" w:rsidRDefault="008105B4" w:rsidP="00B004EE">
            <w:pPr>
              <w:pStyle w:val="Lgende"/>
              <w:jc w:val="both"/>
              <w:rPr>
                <w:rFonts w:ascii="Tahoma" w:eastAsia="Arial Unicode MS" w:hAnsi="Tahoma" w:cs="Tahoma"/>
                <w:b w:val="0"/>
                <w:bCs w:val="0"/>
                <w:lang w:val="en-GB"/>
              </w:rPr>
            </w:pPr>
            <w:r w:rsidRPr="00B004EE">
              <w:rPr>
                <w:rFonts w:ascii="Tahoma" w:hAnsi="Tahoma" w:cs="Tahoma"/>
                <w:b w:val="0"/>
                <w:bCs w:val="0"/>
                <w:lang w:val="en-GB"/>
              </w:rPr>
              <w:t>Mercure</w:t>
            </w:r>
            <w:r w:rsidR="00DB1635" w:rsidRPr="00B004EE">
              <w:rPr>
                <w:rFonts w:ascii="Tahoma" w:hAnsi="Tahoma" w:cs="Tahoma"/>
                <w:b w:val="0"/>
                <w:bCs w:val="0"/>
                <w:lang w:val="en-GB"/>
              </w:rPr>
              <w:t xml:space="preserve"> </w:t>
            </w:r>
            <w:r w:rsidRPr="00B004EE">
              <w:rPr>
                <w:rFonts w:ascii="Tahoma" w:hAnsi="Tahoma" w:cs="Tahoma"/>
                <w:b w:val="0"/>
                <w:bCs w:val="0"/>
                <w:lang w:val="en-GB"/>
              </w:rPr>
              <w:t>total</w:t>
            </w:r>
          </w:p>
        </w:tc>
        <w:tc>
          <w:tcPr>
            <w:tcW w:w="2268" w:type="dxa"/>
            <w:vAlign w:val="center"/>
          </w:tcPr>
          <w:p w14:paraId="5D63ABFC" w14:textId="77777777" w:rsidR="008105B4" w:rsidRPr="00B004EE" w:rsidRDefault="008105B4" w:rsidP="00B004EE">
            <w:pPr>
              <w:pStyle w:val="Lgende"/>
              <w:jc w:val="both"/>
              <w:rPr>
                <w:rFonts w:ascii="Tahoma" w:eastAsia="Arial Unicode MS" w:hAnsi="Tahoma" w:cs="Tahoma"/>
                <w:b w:val="0"/>
                <w:bCs w:val="0"/>
                <w:lang w:val="en-GB"/>
              </w:rPr>
            </w:pPr>
            <w:r w:rsidRPr="00B004EE">
              <w:rPr>
                <w:rFonts w:ascii="Tahoma" w:hAnsi="Tahoma" w:cs="Tahoma"/>
                <w:b w:val="0"/>
                <w:bCs w:val="0"/>
                <w:lang w:val="en-GB"/>
              </w:rPr>
              <w:t>1,0</w:t>
            </w:r>
          </w:p>
        </w:tc>
        <w:tc>
          <w:tcPr>
            <w:tcW w:w="1786" w:type="dxa"/>
            <w:vAlign w:val="center"/>
          </w:tcPr>
          <w:p w14:paraId="53C9DD81" w14:textId="77777777" w:rsidR="008105B4" w:rsidRPr="00B004EE" w:rsidRDefault="008105B4" w:rsidP="00B004EE">
            <w:pPr>
              <w:pStyle w:val="Lgende"/>
              <w:jc w:val="both"/>
              <w:rPr>
                <w:rFonts w:ascii="Tahoma" w:eastAsia="Arial Unicode MS" w:hAnsi="Tahoma" w:cs="Tahoma"/>
                <w:b w:val="0"/>
                <w:bCs w:val="0"/>
                <w:lang w:val="en-GB"/>
              </w:rPr>
            </w:pPr>
            <w:r w:rsidRPr="00B004EE">
              <w:rPr>
                <w:rFonts w:ascii="Tahoma" w:hAnsi="Tahoma" w:cs="Tahoma"/>
                <w:b w:val="0"/>
                <w:bCs w:val="0"/>
                <w:lang w:val="en-GB"/>
              </w:rPr>
              <w:t>µg/l</w:t>
            </w:r>
          </w:p>
        </w:tc>
        <w:tc>
          <w:tcPr>
            <w:tcW w:w="1720" w:type="dxa"/>
            <w:vAlign w:val="center"/>
          </w:tcPr>
          <w:p w14:paraId="02437A7B" w14:textId="77777777" w:rsidR="008105B4" w:rsidRPr="00B004EE" w:rsidRDefault="008105B4" w:rsidP="00B004EE">
            <w:pPr>
              <w:pStyle w:val="Lgende"/>
              <w:jc w:val="both"/>
              <w:rPr>
                <w:rFonts w:ascii="Tahoma" w:eastAsia="Arial Unicode MS" w:hAnsi="Tahoma" w:cs="Tahoma"/>
                <w:b w:val="0"/>
                <w:bCs w:val="0"/>
                <w:lang w:val="en-GB"/>
              </w:rPr>
            </w:pPr>
          </w:p>
        </w:tc>
      </w:tr>
      <w:tr w:rsidR="00150C90" w:rsidRPr="00B004EE" w14:paraId="5C30A6FA" w14:textId="77777777" w:rsidTr="001E7C3C">
        <w:trPr>
          <w:jc w:val="center"/>
        </w:trPr>
        <w:tc>
          <w:tcPr>
            <w:tcW w:w="552" w:type="dxa"/>
          </w:tcPr>
          <w:p w14:paraId="2FA6BB29" w14:textId="77777777" w:rsidR="008105B4" w:rsidRPr="00B004EE" w:rsidRDefault="008105B4" w:rsidP="00B004EE">
            <w:pPr>
              <w:pStyle w:val="Lgende"/>
              <w:jc w:val="both"/>
              <w:rPr>
                <w:rFonts w:ascii="Tahoma" w:hAnsi="Tahoma" w:cs="Tahoma"/>
                <w:b w:val="0"/>
                <w:bCs w:val="0"/>
                <w:lang w:val="de-DE"/>
              </w:rPr>
            </w:pPr>
            <w:r w:rsidRPr="00B004EE">
              <w:rPr>
                <w:rFonts w:ascii="Tahoma" w:hAnsi="Tahoma" w:cs="Tahoma"/>
                <w:b w:val="0"/>
                <w:bCs w:val="0"/>
                <w:lang w:val="de-DE"/>
              </w:rPr>
              <w:t>20</w:t>
            </w:r>
          </w:p>
        </w:tc>
        <w:tc>
          <w:tcPr>
            <w:tcW w:w="2835" w:type="dxa"/>
            <w:vAlign w:val="center"/>
          </w:tcPr>
          <w:p w14:paraId="2A66E0B3" w14:textId="77777777" w:rsidR="008105B4" w:rsidRPr="00B004EE" w:rsidRDefault="008105B4" w:rsidP="00B004EE">
            <w:pPr>
              <w:pStyle w:val="Lgende"/>
              <w:jc w:val="both"/>
              <w:rPr>
                <w:rFonts w:ascii="Tahoma" w:eastAsia="Arial Unicode MS" w:hAnsi="Tahoma" w:cs="Tahoma"/>
                <w:b w:val="0"/>
                <w:bCs w:val="0"/>
                <w:lang w:val="de-DE"/>
              </w:rPr>
            </w:pPr>
            <w:r w:rsidRPr="00B004EE">
              <w:rPr>
                <w:rFonts w:ascii="Tahoma" w:hAnsi="Tahoma" w:cs="Tahoma"/>
                <w:b w:val="0"/>
                <w:bCs w:val="0"/>
                <w:lang w:val="de-DE"/>
              </w:rPr>
              <w:t>Nickel</w:t>
            </w:r>
          </w:p>
        </w:tc>
        <w:tc>
          <w:tcPr>
            <w:tcW w:w="2268" w:type="dxa"/>
            <w:vAlign w:val="center"/>
          </w:tcPr>
          <w:p w14:paraId="47C6ED79" w14:textId="77777777" w:rsidR="008105B4" w:rsidRPr="00B004EE" w:rsidRDefault="008105B4" w:rsidP="00B004EE">
            <w:pPr>
              <w:pStyle w:val="Lgende"/>
              <w:jc w:val="both"/>
              <w:rPr>
                <w:rFonts w:ascii="Tahoma" w:eastAsia="Arial Unicode MS" w:hAnsi="Tahoma" w:cs="Tahoma"/>
                <w:b w:val="0"/>
                <w:bCs w:val="0"/>
                <w:lang w:val="de-DE"/>
              </w:rPr>
            </w:pPr>
            <w:r w:rsidRPr="00B004EE">
              <w:rPr>
                <w:rFonts w:ascii="Tahoma" w:hAnsi="Tahoma" w:cs="Tahoma"/>
                <w:b w:val="0"/>
                <w:bCs w:val="0"/>
                <w:lang w:val="de-DE"/>
              </w:rPr>
              <w:t>20</w:t>
            </w:r>
          </w:p>
        </w:tc>
        <w:tc>
          <w:tcPr>
            <w:tcW w:w="1786" w:type="dxa"/>
            <w:vAlign w:val="center"/>
          </w:tcPr>
          <w:p w14:paraId="35910882" w14:textId="77777777" w:rsidR="008105B4" w:rsidRPr="00B004EE" w:rsidRDefault="008105B4" w:rsidP="00B004EE">
            <w:pPr>
              <w:pStyle w:val="Lgende"/>
              <w:jc w:val="both"/>
              <w:rPr>
                <w:rFonts w:ascii="Tahoma" w:eastAsia="Arial Unicode MS" w:hAnsi="Tahoma" w:cs="Tahoma"/>
                <w:b w:val="0"/>
                <w:bCs w:val="0"/>
                <w:lang w:val="de-DE"/>
              </w:rPr>
            </w:pPr>
            <w:r w:rsidRPr="00B004EE">
              <w:rPr>
                <w:rFonts w:ascii="Tahoma" w:hAnsi="Tahoma" w:cs="Tahoma"/>
                <w:b w:val="0"/>
                <w:bCs w:val="0"/>
                <w:lang w:val="de-DE"/>
              </w:rPr>
              <w:t>µg/l</w:t>
            </w:r>
          </w:p>
        </w:tc>
        <w:tc>
          <w:tcPr>
            <w:tcW w:w="1720" w:type="dxa"/>
            <w:vAlign w:val="center"/>
          </w:tcPr>
          <w:p w14:paraId="18003CFE" w14:textId="224223E6" w:rsidR="008105B4" w:rsidRPr="00B004EE" w:rsidRDefault="008105B4" w:rsidP="00B004EE">
            <w:pPr>
              <w:pStyle w:val="Lgende"/>
              <w:jc w:val="both"/>
              <w:rPr>
                <w:rFonts w:ascii="Tahoma" w:eastAsia="Arial Unicode MS" w:hAnsi="Tahoma" w:cs="Tahoma"/>
                <w:b w:val="0"/>
                <w:bCs w:val="0"/>
              </w:rPr>
            </w:pPr>
            <w:r w:rsidRPr="00B004EE">
              <w:rPr>
                <w:rFonts w:ascii="Tahoma" w:eastAsia="Arial Unicode MS" w:hAnsi="Tahoma" w:cs="Tahoma"/>
                <w:b w:val="0"/>
                <w:bCs w:val="0"/>
              </w:rPr>
              <w:t>Note</w:t>
            </w:r>
            <w:r w:rsidR="00DB1635" w:rsidRPr="00B004EE">
              <w:rPr>
                <w:rFonts w:ascii="Tahoma" w:eastAsia="Arial Unicode MS" w:hAnsi="Tahoma" w:cs="Tahoma"/>
                <w:b w:val="0"/>
                <w:bCs w:val="0"/>
              </w:rPr>
              <w:t xml:space="preserve"> </w:t>
            </w:r>
            <w:r w:rsidRPr="00B004EE">
              <w:rPr>
                <w:rFonts w:ascii="Tahoma" w:eastAsia="Arial Unicode MS" w:hAnsi="Tahoma" w:cs="Tahoma"/>
                <w:b w:val="0"/>
                <w:bCs w:val="0"/>
              </w:rPr>
              <w:t>3</w:t>
            </w:r>
          </w:p>
        </w:tc>
      </w:tr>
      <w:tr w:rsidR="00150C90" w:rsidRPr="00B004EE" w14:paraId="5B3DC1E0" w14:textId="77777777" w:rsidTr="001E7C3C">
        <w:trPr>
          <w:jc w:val="center"/>
        </w:trPr>
        <w:tc>
          <w:tcPr>
            <w:tcW w:w="552" w:type="dxa"/>
          </w:tcPr>
          <w:p w14:paraId="5182A254" w14:textId="77777777" w:rsidR="008105B4" w:rsidRPr="00B004EE" w:rsidRDefault="008105B4" w:rsidP="00B004EE">
            <w:pPr>
              <w:pStyle w:val="Lgende"/>
              <w:jc w:val="both"/>
              <w:rPr>
                <w:rFonts w:ascii="Tahoma" w:hAnsi="Tahoma" w:cs="Tahoma"/>
                <w:b w:val="0"/>
                <w:bCs w:val="0"/>
              </w:rPr>
            </w:pPr>
            <w:r w:rsidRPr="00B004EE">
              <w:rPr>
                <w:rFonts w:ascii="Tahoma" w:hAnsi="Tahoma" w:cs="Tahoma"/>
                <w:b w:val="0"/>
                <w:bCs w:val="0"/>
              </w:rPr>
              <w:t>21</w:t>
            </w:r>
          </w:p>
        </w:tc>
        <w:tc>
          <w:tcPr>
            <w:tcW w:w="2835" w:type="dxa"/>
            <w:vAlign w:val="center"/>
          </w:tcPr>
          <w:p w14:paraId="1B9A64BB" w14:textId="77777777" w:rsidR="008105B4" w:rsidRPr="00B004EE" w:rsidRDefault="008105B4" w:rsidP="00B004EE">
            <w:pPr>
              <w:pStyle w:val="Lgende"/>
              <w:jc w:val="both"/>
              <w:rPr>
                <w:rFonts w:ascii="Tahoma" w:eastAsia="Arial Unicode MS" w:hAnsi="Tahoma" w:cs="Tahoma"/>
                <w:b w:val="0"/>
                <w:bCs w:val="0"/>
              </w:rPr>
            </w:pPr>
            <w:r w:rsidRPr="00B004EE">
              <w:rPr>
                <w:rFonts w:ascii="Tahoma" w:hAnsi="Tahoma" w:cs="Tahoma"/>
                <w:b w:val="0"/>
                <w:bCs w:val="0"/>
              </w:rPr>
              <w:t>Nitrates</w:t>
            </w:r>
          </w:p>
        </w:tc>
        <w:tc>
          <w:tcPr>
            <w:tcW w:w="2268" w:type="dxa"/>
            <w:vAlign w:val="center"/>
          </w:tcPr>
          <w:p w14:paraId="0D172936" w14:textId="77777777" w:rsidR="008105B4" w:rsidRPr="00B004EE" w:rsidRDefault="008105B4" w:rsidP="00B004EE">
            <w:pPr>
              <w:pStyle w:val="Lgende"/>
              <w:jc w:val="both"/>
              <w:rPr>
                <w:rFonts w:ascii="Tahoma" w:eastAsia="Arial Unicode MS" w:hAnsi="Tahoma" w:cs="Tahoma"/>
                <w:b w:val="0"/>
                <w:bCs w:val="0"/>
              </w:rPr>
            </w:pPr>
            <w:r w:rsidRPr="00B004EE">
              <w:rPr>
                <w:rFonts w:ascii="Tahoma" w:hAnsi="Tahoma" w:cs="Tahoma"/>
                <w:b w:val="0"/>
                <w:bCs w:val="0"/>
              </w:rPr>
              <w:t>50</w:t>
            </w:r>
          </w:p>
        </w:tc>
        <w:tc>
          <w:tcPr>
            <w:tcW w:w="1786" w:type="dxa"/>
            <w:vAlign w:val="center"/>
          </w:tcPr>
          <w:p w14:paraId="4C94B6D6" w14:textId="77777777" w:rsidR="008105B4" w:rsidRPr="00B004EE" w:rsidRDefault="008105B4" w:rsidP="00B004EE">
            <w:pPr>
              <w:pStyle w:val="Lgende"/>
              <w:jc w:val="both"/>
              <w:rPr>
                <w:rFonts w:ascii="Tahoma" w:eastAsia="Arial Unicode MS" w:hAnsi="Tahoma" w:cs="Tahoma"/>
                <w:b w:val="0"/>
                <w:bCs w:val="0"/>
              </w:rPr>
            </w:pPr>
            <w:r w:rsidRPr="00B004EE">
              <w:rPr>
                <w:rFonts w:ascii="Tahoma" w:hAnsi="Tahoma" w:cs="Tahoma"/>
                <w:b w:val="0"/>
                <w:bCs w:val="0"/>
              </w:rPr>
              <w:t>mg/l</w:t>
            </w:r>
          </w:p>
        </w:tc>
        <w:tc>
          <w:tcPr>
            <w:tcW w:w="1720" w:type="dxa"/>
            <w:vAlign w:val="center"/>
          </w:tcPr>
          <w:p w14:paraId="00370EC1" w14:textId="5487A55C" w:rsidR="008105B4" w:rsidRPr="00B004EE" w:rsidRDefault="008105B4" w:rsidP="00B004EE">
            <w:pPr>
              <w:pStyle w:val="Lgende"/>
              <w:jc w:val="both"/>
              <w:rPr>
                <w:rFonts w:ascii="Tahoma" w:eastAsia="Arial Unicode MS" w:hAnsi="Tahoma" w:cs="Tahoma"/>
                <w:b w:val="0"/>
                <w:bCs w:val="0"/>
              </w:rPr>
            </w:pPr>
            <w:r w:rsidRPr="00B004EE">
              <w:rPr>
                <w:rFonts w:ascii="Tahoma" w:eastAsia="Arial Unicode MS" w:hAnsi="Tahoma" w:cs="Tahoma"/>
                <w:b w:val="0"/>
                <w:bCs w:val="0"/>
              </w:rPr>
              <w:t>Note</w:t>
            </w:r>
            <w:r w:rsidR="00DB1635" w:rsidRPr="00B004EE">
              <w:rPr>
                <w:rFonts w:ascii="Tahoma" w:eastAsia="Arial Unicode MS" w:hAnsi="Tahoma" w:cs="Tahoma"/>
                <w:b w:val="0"/>
                <w:bCs w:val="0"/>
              </w:rPr>
              <w:t xml:space="preserve"> </w:t>
            </w:r>
            <w:r w:rsidRPr="00B004EE">
              <w:rPr>
                <w:rFonts w:ascii="Tahoma" w:eastAsia="Arial Unicode MS" w:hAnsi="Tahoma" w:cs="Tahoma"/>
                <w:b w:val="0"/>
                <w:bCs w:val="0"/>
              </w:rPr>
              <w:t>5</w:t>
            </w:r>
          </w:p>
        </w:tc>
      </w:tr>
      <w:tr w:rsidR="00150C90" w:rsidRPr="00B004EE" w14:paraId="39106460" w14:textId="77777777" w:rsidTr="001E7C3C">
        <w:trPr>
          <w:jc w:val="center"/>
        </w:trPr>
        <w:tc>
          <w:tcPr>
            <w:tcW w:w="552" w:type="dxa"/>
          </w:tcPr>
          <w:p w14:paraId="6B439E51" w14:textId="77777777" w:rsidR="008105B4" w:rsidRPr="00B004EE" w:rsidRDefault="008105B4" w:rsidP="00B004EE">
            <w:pPr>
              <w:pStyle w:val="Lgende"/>
              <w:jc w:val="both"/>
              <w:rPr>
                <w:rFonts w:ascii="Tahoma" w:hAnsi="Tahoma" w:cs="Tahoma"/>
                <w:b w:val="0"/>
                <w:bCs w:val="0"/>
              </w:rPr>
            </w:pPr>
            <w:r w:rsidRPr="00B004EE">
              <w:rPr>
                <w:rFonts w:ascii="Tahoma" w:hAnsi="Tahoma" w:cs="Tahoma"/>
                <w:b w:val="0"/>
                <w:bCs w:val="0"/>
              </w:rPr>
              <w:t>22</w:t>
            </w:r>
          </w:p>
        </w:tc>
        <w:tc>
          <w:tcPr>
            <w:tcW w:w="2835" w:type="dxa"/>
            <w:vAlign w:val="center"/>
          </w:tcPr>
          <w:p w14:paraId="1C1D7FE4" w14:textId="77777777" w:rsidR="008105B4" w:rsidRPr="00B004EE" w:rsidRDefault="008105B4" w:rsidP="00B004EE">
            <w:pPr>
              <w:pStyle w:val="Lgende"/>
              <w:jc w:val="both"/>
              <w:rPr>
                <w:rFonts w:ascii="Tahoma" w:eastAsia="Arial Unicode MS" w:hAnsi="Tahoma" w:cs="Tahoma"/>
                <w:b w:val="0"/>
                <w:bCs w:val="0"/>
              </w:rPr>
            </w:pPr>
            <w:r w:rsidRPr="00B004EE">
              <w:rPr>
                <w:rFonts w:ascii="Tahoma" w:hAnsi="Tahoma" w:cs="Tahoma"/>
                <w:b w:val="0"/>
                <w:bCs w:val="0"/>
              </w:rPr>
              <w:t>Nitrites</w:t>
            </w:r>
          </w:p>
        </w:tc>
        <w:tc>
          <w:tcPr>
            <w:tcW w:w="2268" w:type="dxa"/>
            <w:vAlign w:val="center"/>
          </w:tcPr>
          <w:p w14:paraId="32C0080C" w14:textId="77777777" w:rsidR="008105B4" w:rsidRPr="00B004EE" w:rsidRDefault="008105B4" w:rsidP="00B004EE">
            <w:pPr>
              <w:pStyle w:val="Lgende"/>
              <w:jc w:val="both"/>
              <w:rPr>
                <w:rFonts w:ascii="Tahoma" w:eastAsia="Arial Unicode MS" w:hAnsi="Tahoma" w:cs="Tahoma"/>
                <w:b w:val="0"/>
                <w:bCs w:val="0"/>
              </w:rPr>
            </w:pPr>
            <w:r w:rsidRPr="00B004EE">
              <w:rPr>
                <w:rFonts w:ascii="Tahoma" w:hAnsi="Tahoma" w:cs="Tahoma"/>
                <w:b w:val="0"/>
                <w:bCs w:val="0"/>
              </w:rPr>
              <w:t>0,50</w:t>
            </w:r>
          </w:p>
        </w:tc>
        <w:tc>
          <w:tcPr>
            <w:tcW w:w="1786" w:type="dxa"/>
            <w:vAlign w:val="center"/>
          </w:tcPr>
          <w:p w14:paraId="0C01935F" w14:textId="77777777" w:rsidR="008105B4" w:rsidRPr="00B004EE" w:rsidRDefault="008105B4" w:rsidP="00B004EE">
            <w:pPr>
              <w:pStyle w:val="Lgende"/>
              <w:jc w:val="both"/>
              <w:rPr>
                <w:rFonts w:ascii="Tahoma" w:eastAsia="Arial Unicode MS" w:hAnsi="Tahoma" w:cs="Tahoma"/>
                <w:b w:val="0"/>
                <w:bCs w:val="0"/>
              </w:rPr>
            </w:pPr>
            <w:r w:rsidRPr="00B004EE">
              <w:rPr>
                <w:rFonts w:ascii="Tahoma" w:hAnsi="Tahoma" w:cs="Tahoma"/>
                <w:b w:val="0"/>
                <w:bCs w:val="0"/>
              </w:rPr>
              <w:t>mg/l</w:t>
            </w:r>
          </w:p>
        </w:tc>
        <w:tc>
          <w:tcPr>
            <w:tcW w:w="1720" w:type="dxa"/>
            <w:vAlign w:val="center"/>
          </w:tcPr>
          <w:p w14:paraId="337F6347" w14:textId="0683FD4D" w:rsidR="008105B4" w:rsidRPr="00B004EE" w:rsidRDefault="008105B4" w:rsidP="00B004EE">
            <w:pPr>
              <w:pStyle w:val="Lgende"/>
              <w:jc w:val="both"/>
              <w:rPr>
                <w:rFonts w:ascii="Tahoma" w:eastAsia="Arial Unicode MS" w:hAnsi="Tahoma" w:cs="Tahoma"/>
                <w:b w:val="0"/>
                <w:bCs w:val="0"/>
              </w:rPr>
            </w:pPr>
            <w:r w:rsidRPr="00B004EE">
              <w:rPr>
                <w:rFonts w:ascii="Tahoma" w:eastAsia="Arial Unicode MS" w:hAnsi="Tahoma" w:cs="Tahoma"/>
                <w:b w:val="0"/>
                <w:bCs w:val="0"/>
              </w:rPr>
              <w:t>Note</w:t>
            </w:r>
            <w:r w:rsidR="00DB1635" w:rsidRPr="00B004EE">
              <w:rPr>
                <w:rFonts w:ascii="Tahoma" w:eastAsia="Arial Unicode MS" w:hAnsi="Tahoma" w:cs="Tahoma"/>
                <w:b w:val="0"/>
                <w:bCs w:val="0"/>
              </w:rPr>
              <w:t xml:space="preserve"> </w:t>
            </w:r>
            <w:r w:rsidRPr="00B004EE">
              <w:rPr>
                <w:rFonts w:ascii="Tahoma" w:eastAsia="Arial Unicode MS" w:hAnsi="Tahoma" w:cs="Tahoma"/>
                <w:b w:val="0"/>
                <w:bCs w:val="0"/>
              </w:rPr>
              <w:t>5</w:t>
            </w:r>
          </w:p>
        </w:tc>
      </w:tr>
      <w:tr w:rsidR="00150C90" w:rsidRPr="00B004EE" w14:paraId="670B9470" w14:textId="77777777" w:rsidTr="001E7C3C">
        <w:trPr>
          <w:jc w:val="center"/>
        </w:trPr>
        <w:tc>
          <w:tcPr>
            <w:tcW w:w="552" w:type="dxa"/>
          </w:tcPr>
          <w:p w14:paraId="44E77896" w14:textId="77777777" w:rsidR="008105B4" w:rsidRPr="00B004EE" w:rsidRDefault="008105B4" w:rsidP="00B004EE">
            <w:pPr>
              <w:pStyle w:val="Lgende"/>
              <w:jc w:val="both"/>
              <w:rPr>
                <w:rFonts w:ascii="Tahoma" w:hAnsi="Tahoma" w:cs="Tahoma"/>
                <w:b w:val="0"/>
                <w:bCs w:val="0"/>
              </w:rPr>
            </w:pPr>
            <w:r w:rsidRPr="00B004EE">
              <w:rPr>
                <w:rFonts w:ascii="Tahoma" w:hAnsi="Tahoma" w:cs="Tahoma"/>
                <w:b w:val="0"/>
                <w:bCs w:val="0"/>
              </w:rPr>
              <w:t>23</w:t>
            </w:r>
          </w:p>
        </w:tc>
        <w:tc>
          <w:tcPr>
            <w:tcW w:w="2835" w:type="dxa"/>
            <w:vAlign w:val="center"/>
          </w:tcPr>
          <w:p w14:paraId="7F09F7CB" w14:textId="77777777" w:rsidR="008105B4" w:rsidRPr="00B004EE" w:rsidRDefault="008105B4" w:rsidP="00B004EE">
            <w:pPr>
              <w:pStyle w:val="Lgende"/>
              <w:jc w:val="both"/>
              <w:rPr>
                <w:rFonts w:ascii="Tahoma" w:eastAsia="Arial Unicode MS" w:hAnsi="Tahoma" w:cs="Tahoma"/>
                <w:b w:val="0"/>
                <w:bCs w:val="0"/>
              </w:rPr>
            </w:pPr>
            <w:r w:rsidRPr="00B004EE">
              <w:rPr>
                <w:rFonts w:ascii="Tahoma" w:hAnsi="Tahoma" w:cs="Tahoma"/>
                <w:b w:val="0"/>
                <w:bCs w:val="0"/>
              </w:rPr>
              <w:t>Pesticides</w:t>
            </w:r>
          </w:p>
        </w:tc>
        <w:tc>
          <w:tcPr>
            <w:tcW w:w="2268" w:type="dxa"/>
            <w:vAlign w:val="center"/>
          </w:tcPr>
          <w:p w14:paraId="3C7416C4" w14:textId="77777777" w:rsidR="008105B4" w:rsidRPr="00B004EE" w:rsidRDefault="008105B4" w:rsidP="00B004EE">
            <w:pPr>
              <w:pStyle w:val="Lgende"/>
              <w:jc w:val="both"/>
              <w:rPr>
                <w:rFonts w:ascii="Tahoma" w:eastAsia="Arial Unicode MS" w:hAnsi="Tahoma" w:cs="Tahoma"/>
                <w:b w:val="0"/>
                <w:bCs w:val="0"/>
              </w:rPr>
            </w:pPr>
            <w:r w:rsidRPr="00B004EE">
              <w:rPr>
                <w:rFonts w:ascii="Tahoma" w:hAnsi="Tahoma" w:cs="Tahoma"/>
                <w:b w:val="0"/>
                <w:bCs w:val="0"/>
              </w:rPr>
              <w:t>0,10</w:t>
            </w:r>
          </w:p>
        </w:tc>
        <w:tc>
          <w:tcPr>
            <w:tcW w:w="1786" w:type="dxa"/>
            <w:vAlign w:val="center"/>
          </w:tcPr>
          <w:p w14:paraId="4C9A25F5" w14:textId="77777777" w:rsidR="008105B4" w:rsidRPr="00B004EE" w:rsidRDefault="008105B4" w:rsidP="00B004EE">
            <w:pPr>
              <w:pStyle w:val="Lgende"/>
              <w:jc w:val="both"/>
              <w:rPr>
                <w:rFonts w:ascii="Tahoma" w:eastAsia="Arial Unicode MS" w:hAnsi="Tahoma" w:cs="Tahoma"/>
                <w:b w:val="0"/>
                <w:bCs w:val="0"/>
              </w:rPr>
            </w:pPr>
            <w:r w:rsidRPr="00B004EE">
              <w:rPr>
                <w:rFonts w:ascii="Tahoma" w:hAnsi="Tahoma" w:cs="Tahoma"/>
                <w:b w:val="0"/>
                <w:bCs w:val="0"/>
              </w:rPr>
              <w:t>µg/l</w:t>
            </w:r>
          </w:p>
        </w:tc>
        <w:tc>
          <w:tcPr>
            <w:tcW w:w="1720" w:type="dxa"/>
            <w:vAlign w:val="center"/>
          </w:tcPr>
          <w:p w14:paraId="50AF1027" w14:textId="12377632" w:rsidR="008105B4" w:rsidRPr="00B004EE" w:rsidRDefault="008105B4" w:rsidP="00B004EE">
            <w:pPr>
              <w:pStyle w:val="Lgende"/>
              <w:jc w:val="both"/>
              <w:rPr>
                <w:rFonts w:ascii="Tahoma" w:eastAsia="Arial Unicode MS" w:hAnsi="Tahoma" w:cs="Tahoma"/>
                <w:b w:val="0"/>
                <w:bCs w:val="0"/>
              </w:rPr>
            </w:pPr>
            <w:r w:rsidRPr="00B004EE">
              <w:rPr>
                <w:rFonts w:ascii="Tahoma" w:eastAsia="Arial Unicode MS" w:hAnsi="Tahoma" w:cs="Tahoma"/>
                <w:b w:val="0"/>
                <w:bCs w:val="0"/>
              </w:rPr>
              <w:t>Notes</w:t>
            </w:r>
            <w:r w:rsidR="00DB1635" w:rsidRPr="00B004EE">
              <w:rPr>
                <w:rFonts w:ascii="Tahoma" w:eastAsia="Arial Unicode MS" w:hAnsi="Tahoma" w:cs="Tahoma"/>
                <w:b w:val="0"/>
                <w:bCs w:val="0"/>
              </w:rPr>
              <w:t xml:space="preserve"> </w:t>
            </w:r>
            <w:r w:rsidRPr="00B004EE">
              <w:rPr>
                <w:rFonts w:ascii="Tahoma" w:eastAsia="Arial Unicode MS" w:hAnsi="Tahoma" w:cs="Tahoma"/>
                <w:b w:val="0"/>
                <w:bCs w:val="0"/>
              </w:rPr>
              <w:t>6</w:t>
            </w:r>
            <w:r w:rsidR="00DB1635" w:rsidRPr="00B004EE">
              <w:rPr>
                <w:rFonts w:ascii="Tahoma" w:eastAsia="Arial Unicode MS" w:hAnsi="Tahoma" w:cs="Tahoma"/>
                <w:b w:val="0"/>
                <w:bCs w:val="0"/>
              </w:rPr>
              <w:t xml:space="preserve"> </w:t>
            </w:r>
            <w:r w:rsidRPr="00B004EE">
              <w:rPr>
                <w:rFonts w:ascii="Tahoma" w:eastAsia="Arial Unicode MS" w:hAnsi="Tahoma" w:cs="Tahoma"/>
                <w:b w:val="0"/>
                <w:bCs w:val="0"/>
              </w:rPr>
              <w:t>et</w:t>
            </w:r>
            <w:r w:rsidR="00DB1635" w:rsidRPr="00B004EE">
              <w:rPr>
                <w:rFonts w:ascii="Tahoma" w:eastAsia="Arial Unicode MS" w:hAnsi="Tahoma" w:cs="Tahoma"/>
                <w:b w:val="0"/>
                <w:bCs w:val="0"/>
              </w:rPr>
              <w:t xml:space="preserve"> </w:t>
            </w:r>
            <w:r w:rsidRPr="00B004EE">
              <w:rPr>
                <w:rFonts w:ascii="Tahoma" w:eastAsia="Arial Unicode MS" w:hAnsi="Tahoma" w:cs="Tahoma"/>
                <w:b w:val="0"/>
                <w:bCs w:val="0"/>
              </w:rPr>
              <w:t>7</w:t>
            </w:r>
          </w:p>
        </w:tc>
      </w:tr>
      <w:tr w:rsidR="00150C90" w:rsidRPr="00B004EE" w14:paraId="7E8F006F" w14:textId="77777777" w:rsidTr="001E7C3C">
        <w:trPr>
          <w:jc w:val="center"/>
        </w:trPr>
        <w:tc>
          <w:tcPr>
            <w:tcW w:w="552" w:type="dxa"/>
          </w:tcPr>
          <w:p w14:paraId="424A7896" w14:textId="77777777" w:rsidR="008105B4" w:rsidRPr="00B004EE" w:rsidRDefault="008105B4" w:rsidP="00B004EE">
            <w:pPr>
              <w:pStyle w:val="Lgende"/>
              <w:jc w:val="both"/>
              <w:rPr>
                <w:rFonts w:ascii="Tahoma" w:hAnsi="Tahoma" w:cs="Tahoma"/>
                <w:b w:val="0"/>
                <w:bCs w:val="0"/>
              </w:rPr>
            </w:pPr>
            <w:r w:rsidRPr="00B004EE">
              <w:rPr>
                <w:rFonts w:ascii="Tahoma" w:hAnsi="Tahoma" w:cs="Tahoma"/>
                <w:b w:val="0"/>
                <w:bCs w:val="0"/>
              </w:rPr>
              <w:t>24</w:t>
            </w:r>
          </w:p>
        </w:tc>
        <w:tc>
          <w:tcPr>
            <w:tcW w:w="2835" w:type="dxa"/>
            <w:vAlign w:val="center"/>
          </w:tcPr>
          <w:p w14:paraId="3E00DB8C" w14:textId="3D89F44C" w:rsidR="008105B4" w:rsidRPr="00B004EE" w:rsidRDefault="008105B4" w:rsidP="00B004EE">
            <w:pPr>
              <w:pStyle w:val="Lgende"/>
              <w:jc w:val="both"/>
              <w:rPr>
                <w:rFonts w:ascii="Tahoma" w:eastAsia="Arial Unicode MS" w:hAnsi="Tahoma" w:cs="Tahoma"/>
                <w:b w:val="0"/>
                <w:bCs w:val="0"/>
              </w:rPr>
            </w:pPr>
            <w:r w:rsidRPr="00B004EE">
              <w:rPr>
                <w:rFonts w:ascii="Tahoma" w:hAnsi="Tahoma" w:cs="Tahoma"/>
                <w:b w:val="0"/>
                <w:bCs w:val="0"/>
              </w:rPr>
              <w:t>Pesticides</w:t>
            </w:r>
            <w:r w:rsidR="00DB1635" w:rsidRPr="00B004EE">
              <w:rPr>
                <w:rFonts w:ascii="Tahoma" w:hAnsi="Tahoma" w:cs="Tahoma"/>
                <w:b w:val="0"/>
                <w:bCs w:val="0"/>
              </w:rPr>
              <w:t xml:space="preserve"> </w:t>
            </w:r>
            <w:r w:rsidRPr="00B004EE">
              <w:rPr>
                <w:rFonts w:ascii="Tahoma" w:hAnsi="Tahoma" w:cs="Tahoma"/>
                <w:b w:val="0"/>
                <w:bCs w:val="0"/>
              </w:rPr>
              <w:t>totaux</w:t>
            </w:r>
          </w:p>
        </w:tc>
        <w:tc>
          <w:tcPr>
            <w:tcW w:w="2268" w:type="dxa"/>
            <w:vAlign w:val="center"/>
          </w:tcPr>
          <w:p w14:paraId="41F36785" w14:textId="77777777" w:rsidR="008105B4" w:rsidRPr="00B004EE" w:rsidRDefault="008105B4" w:rsidP="00B004EE">
            <w:pPr>
              <w:pStyle w:val="Lgende"/>
              <w:jc w:val="both"/>
              <w:rPr>
                <w:rFonts w:ascii="Tahoma" w:eastAsia="Arial Unicode MS" w:hAnsi="Tahoma" w:cs="Tahoma"/>
                <w:b w:val="0"/>
                <w:bCs w:val="0"/>
              </w:rPr>
            </w:pPr>
            <w:r w:rsidRPr="00B004EE">
              <w:rPr>
                <w:rFonts w:ascii="Tahoma" w:hAnsi="Tahoma" w:cs="Tahoma"/>
                <w:b w:val="0"/>
                <w:bCs w:val="0"/>
              </w:rPr>
              <w:t>0,50</w:t>
            </w:r>
          </w:p>
        </w:tc>
        <w:tc>
          <w:tcPr>
            <w:tcW w:w="1786" w:type="dxa"/>
            <w:vAlign w:val="center"/>
          </w:tcPr>
          <w:p w14:paraId="31D7351B" w14:textId="77777777" w:rsidR="008105B4" w:rsidRPr="00B004EE" w:rsidRDefault="008105B4" w:rsidP="00B004EE">
            <w:pPr>
              <w:pStyle w:val="Lgende"/>
              <w:jc w:val="both"/>
              <w:rPr>
                <w:rFonts w:ascii="Tahoma" w:eastAsia="Arial Unicode MS" w:hAnsi="Tahoma" w:cs="Tahoma"/>
                <w:b w:val="0"/>
                <w:bCs w:val="0"/>
              </w:rPr>
            </w:pPr>
            <w:r w:rsidRPr="00B004EE">
              <w:rPr>
                <w:rFonts w:ascii="Tahoma" w:hAnsi="Tahoma" w:cs="Tahoma"/>
                <w:b w:val="0"/>
                <w:bCs w:val="0"/>
              </w:rPr>
              <w:t>µg/l</w:t>
            </w:r>
          </w:p>
        </w:tc>
        <w:tc>
          <w:tcPr>
            <w:tcW w:w="1720" w:type="dxa"/>
            <w:vAlign w:val="center"/>
          </w:tcPr>
          <w:p w14:paraId="281D13D8" w14:textId="33F97AE3" w:rsidR="008105B4" w:rsidRPr="00B004EE" w:rsidRDefault="008105B4" w:rsidP="00B004EE">
            <w:pPr>
              <w:pStyle w:val="Lgende"/>
              <w:jc w:val="both"/>
              <w:rPr>
                <w:rFonts w:ascii="Tahoma" w:eastAsia="Arial Unicode MS" w:hAnsi="Tahoma" w:cs="Tahoma"/>
                <w:b w:val="0"/>
                <w:bCs w:val="0"/>
              </w:rPr>
            </w:pPr>
            <w:r w:rsidRPr="00B004EE">
              <w:rPr>
                <w:rFonts w:ascii="Tahoma" w:eastAsia="Arial Unicode MS" w:hAnsi="Tahoma" w:cs="Tahoma"/>
                <w:b w:val="0"/>
                <w:bCs w:val="0"/>
              </w:rPr>
              <w:t>Notes</w:t>
            </w:r>
            <w:r w:rsidR="00DB1635" w:rsidRPr="00B004EE">
              <w:rPr>
                <w:rFonts w:ascii="Tahoma" w:eastAsia="Arial Unicode MS" w:hAnsi="Tahoma" w:cs="Tahoma"/>
                <w:b w:val="0"/>
                <w:bCs w:val="0"/>
              </w:rPr>
              <w:t xml:space="preserve"> </w:t>
            </w:r>
            <w:r w:rsidRPr="00B004EE">
              <w:rPr>
                <w:rFonts w:ascii="Tahoma" w:eastAsia="Arial Unicode MS" w:hAnsi="Tahoma" w:cs="Tahoma"/>
                <w:b w:val="0"/>
                <w:bCs w:val="0"/>
              </w:rPr>
              <w:t>6</w:t>
            </w:r>
            <w:r w:rsidR="00DB1635" w:rsidRPr="00B004EE">
              <w:rPr>
                <w:rFonts w:ascii="Tahoma" w:eastAsia="Arial Unicode MS" w:hAnsi="Tahoma" w:cs="Tahoma"/>
                <w:b w:val="0"/>
                <w:bCs w:val="0"/>
              </w:rPr>
              <w:t xml:space="preserve"> </w:t>
            </w:r>
            <w:r w:rsidRPr="00B004EE">
              <w:rPr>
                <w:rFonts w:ascii="Tahoma" w:eastAsia="Arial Unicode MS" w:hAnsi="Tahoma" w:cs="Tahoma"/>
                <w:b w:val="0"/>
                <w:bCs w:val="0"/>
              </w:rPr>
              <w:t>et</w:t>
            </w:r>
            <w:r w:rsidR="00DB1635" w:rsidRPr="00B004EE">
              <w:rPr>
                <w:rFonts w:ascii="Tahoma" w:eastAsia="Arial Unicode MS" w:hAnsi="Tahoma" w:cs="Tahoma"/>
                <w:b w:val="0"/>
                <w:bCs w:val="0"/>
              </w:rPr>
              <w:t xml:space="preserve"> </w:t>
            </w:r>
            <w:r w:rsidRPr="00B004EE">
              <w:rPr>
                <w:rFonts w:ascii="Tahoma" w:eastAsia="Arial Unicode MS" w:hAnsi="Tahoma" w:cs="Tahoma"/>
                <w:b w:val="0"/>
                <w:bCs w:val="0"/>
              </w:rPr>
              <w:t>8</w:t>
            </w:r>
          </w:p>
        </w:tc>
      </w:tr>
      <w:tr w:rsidR="00150C90" w:rsidRPr="00B004EE" w14:paraId="0124B611" w14:textId="77777777" w:rsidTr="001E7C3C">
        <w:trPr>
          <w:jc w:val="center"/>
        </w:trPr>
        <w:tc>
          <w:tcPr>
            <w:tcW w:w="552" w:type="dxa"/>
          </w:tcPr>
          <w:p w14:paraId="4F10A0A7" w14:textId="77777777" w:rsidR="008105B4" w:rsidRPr="00B004EE" w:rsidRDefault="008105B4" w:rsidP="00B004EE">
            <w:pPr>
              <w:pStyle w:val="Lgende"/>
              <w:jc w:val="both"/>
              <w:rPr>
                <w:rFonts w:ascii="Tahoma" w:hAnsi="Tahoma" w:cs="Tahoma"/>
                <w:b w:val="0"/>
                <w:bCs w:val="0"/>
                <w:lang w:val="en-GB"/>
              </w:rPr>
            </w:pPr>
            <w:r w:rsidRPr="00B004EE">
              <w:rPr>
                <w:rFonts w:ascii="Tahoma" w:hAnsi="Tahoma" w:cs="Tahoma"/>
                <w:b w:val="0"/>
                <w:bCs w:val="0"/>
                <w:lang w:val="en-GB"/>
              </w:rPr>
              <w:t>25</w:t>
            </w:r>
          </w:p>
        </w:tc>
        <w:tc>
          <w:tcPr>
            <w:tcW w:w="2835" w:type="dxa"/>
            <w:vAlign w:val="center"/>
          </w:tcPr>
          <w:p w14:paraId="4BF00A19" w14:textId="77777777" w:rsidR="008105B4" w:rsidRPr="00B004EE" w:rsidRDefault="008105B4" w:rsidP="00B004EE">
            <w:pPr>
              <w:pStyle w:val="Lgende"/>
              <w:jc w:val="both"/>
              <w:rPr>
                <w:rFonts w:ascii="Tahoma" w:eastAsia="Arial Unicode MS" w:hAnsi="Tahoma" w:cs="Tahoma"/>
                <w:b w:val="0"/>
                <w:bCs w:val="0"/>
                <w:lang w:val="en-GB"/>
              </w:rPr>
            </w:pPr>
            <w:r w:rsidRPr="00B004EE">
              <w:rPr>
                <w:rFonts w:ascii="Tahoma" w:hAnsi="Tahoma" w:cs="Tahoma"/>
                <w:b w:val="0"/>
                <w:bCs w:val="0"/>
                <w:lang w:val="en-GB"/>
              </w:rPr>
              <w:t>Plomb</w:t>
            </w:r>
          </w:p>
        </w:tc>
        <w:tc>
          <w:tcPr>
            <w:tcW w:w="2268" w:type="dxa"/>
            <w:vAlign w:val="center"/>
          </w:tcPr>
          <w:p w14:paraId="52C03C58" w14:textId="77777777" w:rsidR="008105B4" w:rsidRPr="00B004EE" w:rsidRDefault="008105B4" w:rsidP="00B004EE">
            <w:pPr>
              <w:pStyle w:val="Lgende"/>
              <w:jc w:val="both"/>
              <w:rPr>
                <w:rFonts w:ascii="Tahoma" w:eastAsia="Arial Unicode MS" w:hAnsi="Tahoma" w:cs="Tahoma"/>
                <w:b w:val="0"/>
                <w:bCs w:val="0"/>
                <w:lang w:val="en-GB"/>
              </w:rPr>
            </w:pPr>
            <w:r w:rsidRPr="00B004EE">
              <w:rPr>
                <w:rFonts w:ascii="Tahoma" w:hAnsi="Tahoma" w:cs="Tahoma"/>
                <w:b w:val="0"/>
                <w:bCs w:val="0"/>
                <w:lang w:val="en-GB"/>
              </w:rPr>
              <w:t>10</w:t>
            </w:r>
          </w:p>
        </w:tc>
        <w:tc>
          <w:tcPr>
            <w:tcW w:w="1786" w:type="dxa"/>
            <w:vAlign w:val="center"/>
          </w:tcPr>
          <w:p w14:paraId="33D7DEF3" w14:textId="77777777" w:rsidR="008105B4" w:rsidRPr="00B004EE" w:rsidRDefault="008105B4" w:rsidP="00B004EE">
            <w:pPr>
              <w:pStyle w:val="Lgende"/>
              <w:jc w:val="both"/>
              <w:rPr>
                <w:rFonts w:ascii="Tahoma" w:eastAsia="Arial Unicode MS" w:hAnsi="Tahoma" w:cs="Tahoma"/>
                <w:b w:val="0"/>
                <w:bCs w:val="0"/>
                <w:lang w:val="en-GB"/>
              </w:rPr>
            </w:pPr>
            <w:r w:rsidRPr="00B004EE">
              <w:rPr>
                <w:rFonts w:ascii="Tahoma" w:hAnsi="Tahoma" w:cs="Tahoma"/>
                <w:b w:val="0"/>
                <w:bCs w:val="0"/>
                <w:lang w:val="en-GB"/>
              </w:rPr>
              <w:t>µg/l</w:t>
            </w:r>
          </w:p>
        </w:tc>
        <w:tc>
          <w:tcPr>
            <w:tcW w:w="1720" w:type="dxa"/>
            <w:vAlign w:val="center"/>
          </w:tcPr>
          <w:p w14:paraId="7B90E817" w14:textId="0A59191F" w:rsidR="008105B4" w:rsidRPr="00B004EE" w:rsidRDefault="008105B4" w:rsidP="00B004EE">
            <w:pPr>
              <w:pStyle w:val="Lgende"/>
              <w:jc w:val="both"/>
              <w:rPr>
                <w:rFonts w:ascii="Tahoma" w:eastAsia="Arial Unicode MS" w:hAnsi="Tahoma" w:cs="Tahoma"/>
                <w:b w:val="0"/>
                <w:bCs w:val="0"/>
              </w:rPr>
            </w:pPr>
            <w:r w:rsidRPr="00B004EE">
              <w:rPr>
                <w:rFonts w:ascii="Tahoma" w:eastAsia="Arial Unicode MS" w:hAnsi="Tahoma" w:cs="Tahoma"/>
                <w:b w:val="0"/>
                <w:bCs w:val="0"/>
              </w:rPr>
              <w:t>Notes</w:t>
            </w:r>
            <w:r w:rsidR="00DB1635" w:rsidRPr="00B004EE">
              <w:rPr>
                <w:rFonts w:ascii="Tahoma" w:eastAsia="Arial Unicode MS" w:hAnsi="Tahoma" w:cs="Tahoma"/>
                <w:b w:val="0"/>
                <w:bCs w:val="0"/>
              </w:rPr>
              <w:t xml:space="preserve"> </w:t>
            </w:r>
            <w:r w:rsidRPr="00B004EE">
              <w:rPr>
                <w:rFonts w:ascii="Tahoma" w:eastAsia="Arial Unicode MS" w:hAnsi="Tahoma" w:cs="Tahoma"/>
                <w:b w:val="0"/>
                <w:bCs w:val="0"/>
              </w:rPr>
              <w:t>3</w:t>
            </w:r>
            <w:r w:rsidR="00DB1635" w:rsidRPr="00B004EE">
              <w:rPr>
                <w:rFonts w:ascii="Tahoma" w:eastAsia="Arial Unicode MS" w:hAnsi="Tahoma" w:cs="Tahoma"/>
                <w:b w:val="0"/>
                <w:bCs w:val="0"/>
              </w:rPr>
              <w:t xml:space="preserve"> </w:t>
            </w:r>
            <w:r w:rsidRPr="00B004EE">
              <w:rPr>
                <w:rFonts w:ascii="Tahoma" w:eastAsia="Arial Unicode MS" w:hAnsi="Tahoma" w:cs="Tahoma"/>
                <w:b w:val="0"/>
                <w:bCs w:val="0"/>
              </w:rPr>
              <w:t>et</w:t>
            </w:r>
            <w:r w:rsidR="00DB1635" w:rsidRPr="00B004EE">
              <w:rPr>
                <w:rFonts w:ascii="Tahoma" w:eastAsia="Arial Unicode MS" w:hAnsi="Tahoma" w:cs="Tahoma"/>
                <w:b w:val="0"/>
                <w:bCs w:val="0"/>
              </w:rPr>
              <w:t xml:space="preserve"> </w:t>
            </w:r>
            <w:r w:rsidRPr="00B004EE">
              <w:rPr>
                <w:rFonts w:ascii="Tahoma" w:eastAsia="Arial Unicode MS" w:hAnsi="Tahoma" w:cs="Tahoma"/>
                <w:b w:val="0"/>
                <w:bCs w:val="0"/>
              </w:rPr>
              <w:t>9</w:t>
            </w:r>
          </w:p>
        </w:tc>
      </w:tr>
      <w:tr w:rsidR="00150C90" w:rsidRPr="00B004EE" w14:paraId="5A0052F7" w14:textId="77777777" w:rsidTr="001E7C3C">
        <w:trPr>
          <w:jc w:val="center"/>
        </w:trPr>
        <w:tc>
          <w:tcPr>
            <w:tcW w:w="552" w:type="dxa"/>
          </w:tcPr>
          <w:p w14:paraId="78695974" w14:textId="77777777" w:rsidR="008105B4" w:rsidRPr="00B004EE" w:rsidRDefault="008105B4" w:rsidP="00B004EE">
            <w:pPr>
              <w:pStyle w:val="Lgende"/>
              <w:jc w:val="both"/>
              <w:rPr>
                <w:rFonts w:ascii="Tahoma" w:hAnsi="Tahoma" w:cs="Tahoma"/>
                <w:b w:val="0"/>
                <w:bCs w:val="0"/>
              </w:rPr>
            </w:pPr>
            <w:r w:rsidRPr="00B004EE">
              <w:rPr>
                <w:rFonts w:ascii="Tahoma" w:hAnsi="Tahoma" w:cs="Tahoma"/>
                <w:b w:val="0"/>
                <w:bCs w:val="0"/>
              </w:rPr>
              <w:t>26</w:t>
            </w:r>
          </w:p>
        </w:tc>
        <w:tc>
          <w:tcPr>
            <w:tcW w:w="2835" w:type="dxa"/>
            <w:vAlign w:val="center"/>
          </w:tcPr>
          <w:p w14:paraId="7C99A894" w14:textId="77777777" w:rsidR="008105B4" w:rsidRPr="00B004EE" w:rsidRDefault="008105B4" w:rsidP="00B004EE">
            <w:pPr>
              <w:pStyle w:val="Lgende"/>
              <w:jc w:val="both"/>
              <w:rPr>
                <w:rFonts w:ascii="Tahoma" w:eastAsia="Arial Unicode MS" w:hAnsi="Tahoma" w:cs="Tahoma"/>
                <w:b w:val="0"/>
                <w:bCs w:val="0"/>
              </w:rPr>
            </w:pPr>
            <w:r w:rsidRPr="00B004EE">
              <w:rPr>
                <w:rFonts w:ascii="Tahoma" w:hAnsi="Tahoma" w:cs="Tahoma"/>
                <w:b w:val="0"/>
                <w:bCs w:val="0"/>
              </w:rPr>
              <w:t>Sélénium</w:t>
            </w:r>
          </w:p>
        </w:tc>
        <w:tc>
          <w:tcPr>
            <w:tcW w:w="2268" w:type="dxa"/>
            <w:vAlign w:val="center"/>
          </w:tcPr>
          <w:p w14:paraId="2DE541A8" w14:textId="77777777" w:rsidR="008105B4" w:rsidRPr="00B004EE" w:rsidRDefault="008105B4" w:rsidP="00B004EE">
            <w:pPr>
              <w:pStyle w:val="Lgende"/>
              <w:jc w:val="both"/>
              <w:rPr>
                <w:rFonts w:ascii="Tahoma" w:eastAsia="Arial Unicode MS" w:hAnsi="Tahoma" w:cs="Tahoma"/>
                <w:b w:val="0"/>
                <w:bCs w:val="0"/>
              </w:rPr>
            </w:pPr>
            <w:r w:rsidRPr="00B004EE">
              <w:rPr>
                <w:rFonts w:ascii="Tahoma" w:hAnsi="Tahoma" w:cs="Tahoma"/>
                <w:b w:val="0"/>
                <w:bCs w:val="0"/>
              </w:rPr>
              <w:t>10</w:t>
            </w:r>
          </w:p>
        </w:tc>
        <w:tc>
          <w:tcPr>
            <w:tcW w:w="1786" w:type="dxa"/>
            <w:vAlign w:val="center"/>
          </w:tcPr>
          <w:p w14:paraId="4F14A8AA" w14:textId="77777777" w:rsidR="008105B4" w:rsidRPr="00B004EE" w:rsidRDefault="008105B4" w:rsidP="00B004EE">
            <w:pPr>
              <w:pStyle w:val="Lgende"/>
              <w:jc w:val="both"/>
              <w:rPr>
                <w:rFonts w:ascii="Tahoma" w:eastAsia="Arial Unicode MS" w:hAnsi="Tahoma" w:cs="Tahoma"/>
                <w:b w:val="0"/>
                <w:bCs w:val="0"/>
              </w:rPr>
            </w:pPr>
            <w:r w:rsidRPr="00B004EE">
              <w:rPr>
                <w:rFonts w:ascii="Tahoma" w:hAnsi="Tahoma" w:cs="Tahoma"/>
                <w:b w:val="0"/>
                <w:bCs w:val="0"/>
              </w:rPr>
              <w:t>µg/l</w:t>
            </w:r>
          </w:p>
        </w:tc>
        <w:tc>
          <w:tcPr>
            <w:tcW w:w="1720" w:type="dxa"/>
            <w:vAlign w:val="center"/>
          </w:tcPr>
          <w:p w14:paraId="66976B68" w14:textId="77777777" w:rsidR="008105B4" w:rsidRPr="00B004EE" w:rsidRDefault="008105B4" w:rsidP="00B004EE">
            <w:pPr>
              <w:pStyle w:val="Lgende"/>
              <w:jc w:val="both"/>
              <w:rPr>
                <w:rFonts w:ascii="Tahoma" w:eastAsia="Arial Unicode MS" w:hAnsi="Tahoma" w:cs="Tahoma"/>
                <w:b w:val="0"/>
                <w:bCs w:val="0"/>
              </w:rPr>
            </w:pPr>
          </w:p>
        </w:tc>
      </w:tr>
      <w:tr w:rsidR="00150C90" w:rsidRPr="00B004EE" w14:paraId="22DF7F65" w14:textId="77777777" w:rsidTr="001E7C3C">
        <w:trPr>
          <w:jc w:val="center"/>
        </w:trPr>
        <w:tc>
          <w:tcPr>
            <w:tcW w:w="552" w:type="dxa"/>
          </w:tcPr>
          <w:p w14:paraId="597BB3EE" w14:textId="77777777" w:rsidR="008105B4" w:rsidRPr="00B004EE" w:rsidRDefault="008105B4" w:rsidP="00B004EE">
            <w:pPr>
              <w:pStyle w:val="Lgende"/>
              <w:jc w:val="both"/>
              <w:rPr>
                <w:rFonts w:ascii="Tahoma" w:hAnsi="Tahoma" w:cs="Tahoma"/>
                <w:b w:val="0"/>
                <w:bCs w:val="0"/>
              </w:rPr>
            </w:pPr>
          </w:p>
          <w:p w14:paraId="79B2A85E" w14:textId="77777777" w:rsidR="008105B4" w:rsidRPr="00B004EE" w:rsidRDefault="008105B4" w:rsidP="00B004EE">
            <w:pPr>
              <w:pStyle w:val="Lgende"/>
              <w:jc w:val="both"/>
              <w:rPr>
                <w:rFonts w:ascii="Tahoma" w:hAnsi="Tahoma" w:cs="Tahoma"/>
                <w:b w:val="0"/>
                <w:bCs w:val="0"/>
              </w:rPr>
            </w:pPr>
            <w:r w:rsidRPr="00B004EE">
              <w:rPr>
                <w:rFonts w:ascii="Tahoma" w:hAnsi="Tahoma" w:cs="Tahoma"/>
                <w:b w:val="0"/>
                <w:bCs w:val="0"/>
              </w:rPr>
              <w:t>27</w:t>
            </w:r>
          </w:p>
        </w:tc>
        <w:tc>
          <w:tcPr>
            <w:tcW w:w="2835" w:type="dxa"/>
            <w:vAlign w:val="center"/>
          </w:tcPr>
          <w:p w14:paraId="55F22877" w14:textId="70021957" w:rsidR="008105B4" w:rsidRPr="00B004EE" w:rsidRDefault="008105B4" w:rsidP="00B004EE">
            <w:pPr>
              <w:pStyle w:val="Lgende"/>
              <w:jc w:val="both"/>
              <w:rPr>
                <w:rFonts w:ascii="Tahoma" w:eastAsia="Arial Unicode MS" w:hAnsi="Tahoma" w:cs="Tahoma"/>
                <w:b w:val="0"/>
                <w:bCs w:val="0"/>
              </w:rPr>
            </w:pPr>
            <w:r w:rsidRPr="00B004EE">
              <w:rPr>
                <w:rFonts w:ascii="Tahoma" w:hAnsi="Tahoma" w:cs="Tahoma"/>
                <w:b w:val="0"/>
                <w:bCs w:val="0"/>
              </w:rPr>
              <w:t>Tétrachloroéthylène</w:t>
            </w:r>
            <w:r w:rsidR="00DB1635" w:rsidRPr="00B004EE">
              <w:rPr>
                <w:rFonts w:ascii="Tahoma" w:hAnsi="Tahoma" w:cs="Tahoma"/>
                <w:b w:val="0"/>
                <w:bCs w:val="0"/>
              </w:rPr>
              <w:t xml:space="preserve"> </w:t>
            </w:r>
            <w:r w:rsidRPr="00B004EE">
              <w:rPr>
                <w:rFonts w:ascii="Tahoma" w:hAnsi="Tahoma" w:cs="Tahoma"/>
                <w:b w:val="0"/>
                <w:bCs w:val="0"/>
              </w:rPr>
              <w:t>et</w:t>
            </w:r>
            <w:r w:rsidR="00DB1635" w:rsidRPr="00B004EE">
              <w:rPr>
                <w:rFonts w:ascii="Tahoma" w:hAnsi="Tahoma" w:cs="Tahoma"/>
                <w:b w:val="0"/>
                <w:bCs w:val="0"/>
              </w:rPr>
              <w:t xml:space="preserve"> </w:t>
            </w:r>
            <w:r w:rsidRPr="00B004EE">
              <w:rPr>
                <w:rFonts w:ascii="Tahoma" w:hAnsi="Tahoma" w:cs="Tahoma"/>
                <w:b w:val="0"/>
                <w:bCs w:val="0"/>
              </w:rPr>
              <w:t>Trichloroéthylène</w:t>
            </w:r>
          </w:p>
        </w:tc>
        <w:tc>
          <w:tcPr>
            <w:tcW w:w="2268" w:type="dxa"/>
            <w:vAlign w:val="center"/>
          </w:tcPr>
          <w:p w14:paraId="4607430F" w14:textId="77777777" w:rsidR="008105B4" w:rsidRPr="00B004EE" w:rsidRDefault="008105B4" w:rsidP="00B004EE">
            <w:pPr>
              <w:pStyle w:val="Lgende"/>
              <w:jc w:val="both"/>
              <w:rPr>
                <w:rFonts w:ascii="Tahoma" w:eastAsia="Arial Unicode MS" w:hAnsi="Tahoma" w:cs="Tahoma"/>
                <w:b w:val="0"/>
                <w:bCs w:val="0"/>
              </w:rPr>
            </w:pPr>
            <w:r w:rsidRPr="00B004EE">
              <w:rPr>
                <w:rFonts w:ascii="Tahoma" w:hAnsi="Tahoma" w:cs="Tahoma"/>
                <w:b w:val="0"/>
                <w:bCs w:val="0"/>
              </w:rPr>
              <w:t>10</w:t>
            </w:r>
          </w:p>
        </w:tc>
        <w:tc>
          <w:tcPr>
            <w:tcW w:w="1786" w:type="dxa"/>
            <w:vAlign w:val="center"/>
          </w:tcPr>
          <w:p w14:paraId="1FA46A85" w14:textId="77777777" w:rsidR="008105B4" w:rsidRPr="00B004EE" w:rsidRDefault="008105B4" w:rsidP="00B004EE">
            <w:pPr>
              <w:pStyle w:val="Lgende"/>
              <w:jc w:val="both"/>
              <w:rPr>
                <w:rFonts w:ascii="Tahoma" w:eastAsia="Arial Unicode MS" w:hAnsi="Tahoma" w:cs="Tahoma"/>
                <w:b w:val="0"/>
                <w:bCs w:val="0"/>
              </w:rPr>
            </w:pPr>
            <w:r w:rsidRPr="00B004EE">
              <w:rPr>
                <w:rFonts w:ascii="Tahoma" w:hAnsi="Tahoma" w:cs="Tahoma"/>
                <w:b w:val="0"/>
                <w:bCs w:val="0"/>
              </w:rPr>
              <w:t>µg/l</w:t>
            </w:r>
          </w:p>
        </w:tc>
        <w:tc>
          <w:tcPr>
            <w:tcW w:w="1720" w:type="dxa"/>
            <w:vAlign w:val="center"/>
          </w:tcPr>
          <w:p w14:paraId="01974284" w14:textId="2CED559F" w:rsidR="008105B4" w:rsidRPr="00B004EE" w:rsidRDefault="008105B4" w:rsidP="00B004EE">
            <w:pPr>
              <w:pStyle w:val="Lgende"/>
              <w:jc w:val="both"/>
              <w:rPr>
                <w:rFonts w:ascii="Tahoma" w:eastAsia="Arial Unicode MS" w:hAnsi="Tahoma" w:cs="Tahoma"/>
                <w:b w:val="0"/>
                <w:bCs w:val="0"/>
              </w:rPr>
            </w:pPr>
            <w:r w:rsidRPr="00B004EE">
              <w:rPr>
                <w:rFonts w:ascii="Tahoma" w:hAnsi="Tahoma" w:cs="Tahoma"/>
                <w:b w:val="0"/>
                <w:bCs w:val="0"/>
              </w:rPr>
              <w:t>Somme</w:t>
            </w:r>
            <w:r w:rsidR="00DB1635" w:rsidRPr="00B004EE">
              <w:rPr>
                <w:rFonts w:ascii="Tahoma" w:hAnsi="Tahoma" w:cs="Tahoma"/>
                <w:b w:val="0"/>
                <w:bCs w:val="0"/>
              </w:rPr>
              <w:t xml:space="preserve"> </w:t>
            </w:r>
            <w:r w:rsidRPr="00B004EE">
              <w:rPr>
                <w:rFonts w:ascii="Tahoma" w:hAnsi="Tahoma" w:cs="Tahoma"/>
                <w:b w:val="0"/>
                <w:bCs w:val="0"/>
              </w:rPr>
              <w:t>des</w:t>
            </w:r>
            <w:r w:rsidR="00DB1635" w:rsidRPr="00B004EE">
              <w:rPr>
                <w:rFonts w:ascii="Tahoma" w:hAnsi="Tahoma" w:cs="Tahoma"/>
                <w:b w:val="0"/>
                <w:bCs w:val="0"/>
              </w:rPr>
              <w:t xml:space="preserve"> </w:t>
            </w:r>
            <w:r w:rsidRPr="00B004EE">
              <w:rPr>
                <w:rFonts w:ascii="Tahoma" w:hAnsi="Tahoma" w:cs="Tahoma"/>
                <w:b w:val="0"/>
                <w:bCs w:val="0"/>
              </w:rPr>
              <w:t>concentrations</w:t>
            </w:r>
          </w:p>
        </w:tc>
      </w:tr>
      <w:tr w:rsidR="00150C90" w:rsidRPr="00B004EE" w14:paraId="7A13FFC5" w14:textId="77777777" w:rsidTr="001E7C3C">
        <w:trPr>
          <w:jc w:val="center"/>
        </w:trPr>
        <w:tc>
          <w:tcPr>
            <w:tcW w:w="552" w:type="dxa"/>
          </w:tcPr>
          <w:p w14:paraId="73271D6E" w14:textId="77777777" w:rsidR="008105B4" w:rsidRPr="00B004EE" w:rsidRDefault="008105B4" w:rsidP="00B004EE">
            <w:pPr>
              <w:pStyle w:val="Lgende"/>
              <w:jc w:val="both"/>
              <w:rPr>
                <w:rFonts w:ascii="Tahoma" w:hAnsi="Tahoma" w:cs="Tahoma"/>
                <w:b w:val="0"/>
                <w:bCs w:val="0"/>
              </w:rPr>
            </w:pPr>
            <w:r w:rsidRPr="00B004EE">
              <w:rPr>
                <w:rFonts w:ascii="Tahoma" w:hAnsi="Tahoma" w:cs="Tahoma"/>
                <w:b w:val="0"/>
                <w:bCs w:val="0"/>
              </w:rPr>
              <w:t>28</w:t>
            </w:r>
          </w:p>
        </w:tc>
        <w:tc>
          <w:tcPr>
            <w:tcW w:w="2835" w:type="dxa"/>
            <w:vAlign w:val="center"/>
          </w:tcPr>
          <w:p w14:paraId="3EA10533" w14:textId="58108932" w:rsidR="008105B4" w:rsidRPr="00B004EE" w:rsidRDefault="008105B4" w:rsidP="00B004EE">
            <w:pPr>
              <w:pStyle w:val="Lgende"/>
              <w:jc w:val="both"/>
              <w:rPr>
                <w:rFonts w:ascii="Tahoma" w:eastAsia="Arial Unicode MS" w:hAnsi="Tahoma" w:cs="Tahoma"/>
                <w:b w:val="0"/>
                <w:bCs w:val="0"/>
              </w:rPr>
            </w:pPr>
            <w:r w:rsidRPr="00B004EE">
              <w:rPr>
                <w:rFonts w:ascii="Tahoma" w:hAnsi="Tahoma" w:cs="Tahoma"/>
                <w:b w:val="0"/>
                <w:bCs w:val="0"/>
              </w:rPr>
              <w:t>Total</w:t>
            </w:r>
            <w:r w:rsidR="00DB1635" w:rsidRPr="00B004EE">
              <w:rPr>
                <w:rFonts w:ascii="Tahoma" w:hAnsi="Tahoma" w:cs="Tahoma"/>
                <w:b w:val="0"/>
                <w:bCs w:val="0"/>
              </w:rPr>
              <w:t xml:space="preserve"> </w:t>
            </w:r>
            <w:r w:rsidRPr="00B004EE">
              <w:rPr>
                <w:rFonts w:ascii="Tahoma" w:hAnsi="Tahoma" w:cs="Tahoma"/>
                <w:b w:val="0"/>
                <w:bCs w:val="0"/>
              </w:rPr>
              <w:t>trihalométhanes</w:t>
            </w:r>
            <w:r w:rsidR="00DB1635" w:rsidRPr="00B004EE">
              <w:rPr>
                <w:rFonts w:ascii="Tahoma" w:hAnsi="Tahoma" w:cs="Tahoma"/>
                <w:b w:val="0"/>
                <w:bCs w:val="0"/>
              </w:rPr>
              <w:t xml:space="preserve"> </w:t>
            </w:r>
            <w:r w:rsidRPr="00B004EE">
              <w:rPr>
                <w:rFonts w:ascii="Tahoma" w:hAnsi="Tahoma" w:cs="Tahoma"/>
                <w:b w:val="0"/>
                <w:bCs w:val="0"/>
              </w:rPr>
              <w:t>(THM)</w:t>
            </w:r>
          </w:p>
        </w:tc>
        <w:tc>
          <w:tcPr>
            <w:tcW w:w="2268" w:type="dxa"/>
            <w:vAlign w:val="center"/>
          </w:tcPr>
          <w:p w14:paraId="42515DE7" w14:textId="77777777" w:rsidR="008105B4" w:rsidRPr="00B004EE" w:rsidRDefault="008105B4" w:rsidP="00B004EE">
            <w:pPr>
              <w:pStyle w:val="Lgende"/>
              <w:jc w:val="both"/>
              <w:rPr>
                <w:rFonts w:ascii="Tahoma" w:eastAsia="Arial Unicode MS" w:hAnsi="Tahoma" w:cs="Tahoma"/>
                <w:b w:val="0"/>
                <w:bCs w:val="0"/>
              </w:rPr>
            </w:pPr>
            <w:r w:rsidRPr="00B004EE">
              <w:rPr>
                <w:rFonts w:ascii="Tahoma" w:hAnsi="Tahoma" w:cs="Tahoma"/>
                <w:b w:val="0"/>
                <w:bCs w:val="0"/>
              </w:rPr>
              <w:t>100</w:t>
            </w:r>
          </w:p>
        </w:tc>
        <w:tc>
          <w:tcPr>
            <w:tcW w:w="1786" w:type="dxa"/>
            <w:vAlign w:val="center"/>
          </w:tcPr>
          <w:p w14:paraId="468C41BB" w14:textId="77777777" w:rsidR="008105B4" w:rsidRPr="00B004EE" w:rsidRDefault="008105B4" w:rsidP="00B004EE">
            <w:pPr>
              <w:pStyle w:val="Lgende"/>
              <w:jc w:val="both"/>
              <w:rPr>
                <w:rFonts w:ascii="Tahoma" w:eastAsia="Arial Unicode MS" w:hAnsi="Tahoma" w:cs="Tahoma"/>
                <w:b w:val="0"/>
                <w:bCs w:val="0"/>
              </w:rPr>
            </w:pPr>
            <w:r w:rsidRPr="00B004EE">
              <w:rPr>
                <w:rFonts w:ascii="Tahoma" w:hAnsi="Tahoma" w:cs="Tahoma"/>
                <w:b w:val="0"/>
                <w:bCs w:val="0"/>
              </w:rPr>
              <w:t>µg/l</w:t>
            </w:r>
          </w:p>
        </w:tc>
        <w:tc>
          <w:tcPr>
            <w:tcW w:w="1720" w:type="dxa"/>
            <w:vAlign w:val="center"/>
          </w:tcPr>
          <w:p w14:paraId="0DC28278" w14:textId="0AAC7DFE" w:rsidR="008105B4" w:rsidRPr="00B004EE" w:rsidRDefault="008105B4" w:rsidP="00B004EE">
            <w:pPr>
              <w:pStyle w:val="Lgende"/>
              <w:jc w:val="both"/>
              <w:rPr>
                <w:rFonts w:ascii="Tahoma" w:eastAsia="Arial Unicode MS" w:hAnsi="Tahoma" w:cs="Tahoma"/>
                <w:b w:val="0"/>
                <w:bCs w:val="0"/>
              </w:rPr>
            </w:pPr>
            <w:r w:rsidRPr="00B004EE">
              <w:rPr>
                <w:rFonts w:ascii="Tahoma" w:eastAsia="Arial Unicode MS" w:hAnsi="Tahoma" w:cs="Tahoma"/>
                <w:b w:val="0"/>
                <w:bCs w:val="0"/>
              </w:rPr>
              <w:t>Note</w:t>
            </w:r>
            <w:r w:rsidR="00DB1635" w:rsidRPr="00B004EE">
              <w:rPr>
                <w:rFonts w:ascii="Tahoma" w:eastAsia="Arial Unicode MS" w:hAnsi="Tahoma" w:cs="Tahoma"/>
                <w:b w:val="0"/>
                <w:bCs w:val="0"/>
              </w:rPr>
              <w:t xml:space="preserve"> </w:t>
            </w:r>
            <w:r w:rsidRPr="00B004EE">
              <w:rPr>
                <w:rFonts w:ascii="Tahoma" w:eastAsia="Arial Unicode MS" w:hAnsi="Tahoma" w:cs="Tahoma"/>
                <w:b w:val="0"/>
                <w:bCs w:val="0"/>
              </w:rPr>
              <w:t>10</w:t>
            </w:r>
          </w:p>
        </w:tc>
      </w:tr>
      <w:tr w:rsidR="008105B4" w:rsidRPr="00B004EE" w14:paraId="6AFA0173" w14:textId="77777777" w:rsidTr="001E7C3C">
        <w:trPr>
          <w:jc w:val="center"/>
        </w:trPr>
        <w:tc>
          <w:tcPr>
            <w:tcW w:w="552" w:type="dxa"/>
          </w:tcPr>
          <w:p w14:paraId="6C482206" w14:textId="77777777" w:rsidR="008105B4" w:rsidRPr="00B004EE" w:rsidRDefault="008105B4" w:rsidP="00B004EE">
            <w:pPr>
              <w:pStyle w:val="Lgende"/>
              <w:jc w:val="both"/>
              <w:rPr>
                <w:rFonts w:ascii="Tahoma" w:hAnsi="Tahoma" w:cs="Tahoma"/>
                <w:b w:val="0"/>
                <w:bCs w:val="0"/>
              </w:rPr>
            </w:pPr>
            <w:r w:rsidRPr="00B004EE">
              <w:rPr>
                <w:rFonts w:ascii="Tahoma" w:hAnsi="Tahoma" w:cs="Tahoma"/>
                <w:b w:val="0"/>
                <w:bCs w:val="0"/>
              </w:rPr>
              <w:t>29</w:t>
            </w:r>
          </w:p>
        </w:tc>
        <w:tc>
          <w:tcPr>
            <w:tcW w:w="2835" w:type="dxa"/>
            <w:vAlign w:val="center"/>
          </w:tcPr>
          <w:p w14:paraId="264E2AF4" w14:textId="77777777" w:rsidR="008105B4" w:rsidRPr="00B004EE" w:rsidRDefault="008105B4" w:rsidP="00B004EE">
            <w:pPr>
              <w:pStyle w:val="Lgende"/>
              <w:jc w:val="both"/>
              <w:rPr>
                <w:rFonts w:ascii="Tahoma" w:eastAsia="Arial Unicode MS" w:hAnsi="Tahoma" w:cs="Tahoma"/>
                <w:b w:val="0"/>
                <w:bCs w:val="0"/>
              </w:rPr>
            </w:pPr>
            <w:r w:rsidRPr="00B004EE">
              <w:rPr>
                <w:rFonts w:ascii="Tahoma" w:hAnsi="Tahoma" w:cs="Tahoma"/>
                <w:b w:val="0"/>
                <w:bCs w:val="0"/>
              </w:rPr>
              <w:t>Turbidité</w:t>
            </w:r>
          </w:p>
        </w:tc>
        <w:tc>
          <w:tcPr>
            <w:tcW w:w="2268" w:type="dxa"/>
            <w:vAlign w:val="center"/>
          </w:tcPr>
          <w:p w14:paraId="1FD2A656" w14:textId="77777777" w:rsidR="008105B4" w:rsidRPr="00B004EE" w:rsidRDefault="008105B4" w:rsidP="00B004EE">
            <w:pPr>
              <w:pStyle w:val="Lgende"/>
              <w:jc w:val="both"/>
              <w:rPr>
                <w:rFonts w:ascii="Tahoma" w:eastAsia="Arial Unicode MS" w:hAnsi="Tahoma" w:cs="Tahoma"/>
                <w:b w:val="0"/>
                <w:bCs w:val="0"/>
              </w:rPr>
            </w:pPr>
            <w:r w:rsidRPr="00B004EE">
              <w:rPr>
                <w:rFonts w:ascii="Tahoma" w:hAnsi="Tahoma" w:cs="Tahoma"/>
                <w:b w:val="0"/>
                <w:bCs w:val="0"/>
              </w:rPr>
              <w:t>1</w:t>
            </w:r>
          </w:p>
        </w:tc>
        <w:tc>
          <w:tcPr>
            <w:tcW w:w="1786" w:type="dxa"/>
            <w:vAlign w:val="center"/>
          </w:tcPr>
          <w:p w14:paraId="6F4406F5" w14:textId="77777777" w:rsidR="008105B4" w:rsidRPr="00B004EE" w:rsidRDefault="008105B4" w:rsidP="00B004EE">
            <w:pPr>
              <w:pStyle w:val="Lgende"/>
              <w:jc w:val="both"/>
              <w:rPr>
                <w:rFonts w:ascii="Tahoma" w:eastAsia="Arial Unicode MS" w:hAnsi="Tahoma" w:cs="Tahoma"/>
                <w:b w:val="0"/>
                <w:bCs w:val="0"/>
              </w:rPr>
            </w:pPr>
            <w:r w:rsidRPr="00B004EE">
              <w:rPr>
                <w:rFonts w:ascii="Tahoma" w:hAnsi="Tahoma" w:cs="Tahoma"/>
                <w:b w:val="0"/>
                <w:bCs w:val="0"/>
              </w:rPr>
              <w:t>NTU</w:t>
            </w:r>
          </w:p>
        </w:tc>
        <w:tc>
          <w:tcPr>
            <w:tcW w:w="1720" w:type="dxa"/>
            <w:vAlign w:val="center"/>
          </w:tcPr>
          <w:p w14:paraId="1FCBDD6A" w14:textId="018E7B93" w:rsidR="008105B4" w:rsidRPr="00B004EE" w:rsidRDefault="008105B4" w:rsidP="00B004EE">
            <w:pPr>
              <w:pStyle w:val="Lgende"/>
              <w:jc w:val="both"/>
              <w:rPr>
                <w:rFonts w:ascii="Tahoma" w:eastAsia="Arial Unicode MS" w:hAnsi="Tahoma" w:cs="Tahoma"/>
                <w:b w:val="0"/>
                <w:bCs w:val="0"/>
              </w:rPr>
            </w:pPr>
            <w:r w:rsidRPr="00B004EE">
              <w:rPr>
                <w:rFonts w:ascii="Tahoma" w:eastAsia="Arial Unicode MS" w:hAnsi="Tahoma" w:cs="Tahoma"/>
                <w:b w:val="0"/>
                <w:bCs w:val="0"/>
              </w:rPr>
              <w:t>Note</w:t>
            </w:r>
            <w:r w:rsidR="00DB1635" w:rsidRPr="00B004EE">
              <w:rPr>
                <w:rFonts w:ascii="Tahoma" w:eastAsia="Arial Unicode MS" w:hAnsi="Tahoma" w:cs="Tahoma"/>
                <w:b w:val="0"/>
                <w:bCs w:val="0"/>
              </w:rPr>
              <w:t xml:space="preserve"> </w:t>
            </w:r>
            <w:r w:rsidRPr="00B004EE">
              <w:rPr>
                <w:rFonts w:ascii="Tahoma" w:eastAsia="Arial Unicode MS" w:hAnsi="Tahoma" w:cs="Tahoma"/>
                <w:b w:val="0"/>
                <w:bCs w:val="0"/>
              </w:rPr>
              <w:t>11</w:t>
            </w:r>
          </w:p>
        </w:tc>
      </w:tr>
    </w:tbl>
    <w:p w14:paraId="14167FBB" w14:textId="77777777" w:rsidR="008105B4" w:rsidRPr="00B004EE" w:rsidRDefault="008105B4" w:rsidP="00B004EE">
      <w:pPr>
        <w:tabs>
          <w:tab w:val="left" w:pos="284"/>
          <w:tab w:val="left" w:pos="3070"/>
          <w:tab w:val="left" w:pos="4605"/>
          <w:tab w:val="left" w:pos="6140"/>
          <w:tab w:val="left" w:pos="7675"/>
          <w:tab w:val="left" w:pos="9210"/>
        </w:tabs>
        <w:ind w:left="284" w:hanging="283"/>
        <w:jc w:val="both"/>
        <w:rPr>
          <w:rFonts w:ascii="Tahoma" w:hAnsi="Tahoma" w:cs="Tahoma"/>
          <w:sz w:val="20"/>
          <w:szCs w:val="20"/>
        </w:rPr>
      </w:pPr>
    </w:p>
    <w:p w14:paraId="3E2EF297" w14:textId="290D66CE" w:rsidR="008105B4" w:rsidRPr="00B004EE" w:rsidRDefault="008105B4" w:rsidP="00B004EE">
      <w:pPr>
        <w:tabs>
          <w:tab w:val="left" w:pos="142"/>
          <w:tab w:val="left" w:pos="3070"/>
          <w:tab w:val="left" w:pos="4605"/>
          <w:tab w:val="left" w:pos="6140"/>
          <w:tab w:val="left" w:pos="7675"/>
          <w:tab w:val="left" w:pos="9210"/>
        </w:tabs>
        <w:ind w:left="567" w:hanging="567"/>
        <w:jc w:val="both"/>
        <w:rPr>
          <w:rFonts w:ascii="Tahoma" w:hAnsi="Tahoma" w:cs="Tahoma"/>
          <w:sz w:val="20"/>
          <w:szCs w:val="20"/>
        </w:rPr>
      </w:pPr>
      <w:r w:rsidRPr="00B004EE">
        <w:rPr>
          <w:rFonts w:ascii="Tahoma" w:hAnsi="Tahoma" w:cs="Tahoma"/>
          <w:sz w:val="20"/>
          <w:szCs w:val="20"/>
        </w:rPr>
        <w:t>Note</w:t>
      </w:r>
      <w:r w:rsidR="00DB1635" w:rsidRPr="00B004EE">
        <w:rPr>
          <w:rFonts w:ascii="Tahoma" w:hAnsi="Tahoma" w:cs="Tahoma"/>
          <w:sz w:val="20"/>
          <w:szCs w:val="20"/>
        </w:rPr>
        <w:t xml:space="preserve"> </w:t>
      </w:r>
      <w:r w:rsidRPr="00B004EE">
        <w:rPr>
          <w:rFonts w:ascii="Tahoma" w:hAnsi="Tahoma" w:cs="Tahoma"/>
          <w:sz w:val="20"/>
          <w:szCs w:val="20"/>
        </w:rPr>
        <w:t>1</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limite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qualité</w:t>
      </w:r>
      <w:r w:rsidR="00DB1635" w:rsidRPr="00B004EE">
        <w:rPr>
          <w:rFonts w:ascii="Tahoma" w:hAnsi="Tahoma" w:cs="Tahoma"/>
          <w:sz w:val="20"/>
          <w:szCs w:val="20"/>
        </w:rPr>
        <w:t xml:space="preserve"> </w:t>
      </w:r>
      <w:r w:rsidRPr="00B004EE">
        <w:rPr>
          <w:rFonts w:ascii="Tahoma" w:hAnsi="Tahoma" w:cs="Tahoma"/>
          <w:sz w:val="20"/>
          <w:szCs w:val="20"/>
        </w:rPr>
        <w:t>se</w:t>
      </w:r>
      <w:r w:rsidR="00DB1635" w:rsidRPr="00B004EE">
        <w:rPr>
          <w:rFonts w:ascii="Tahoma" w:hAnsi="Tahoma" w:cs="Tahoma"/>
          <w:sz w:val="20"/>
          <w:szCs w:val="20"/>
        </w:rPr>
        <w:t xml:space="preserve"> </w:t>
      </w:r>
      <w:r w:rsidRPr="00B004EE">
        <w:rPr>
          <w:rFonts w:ascii="Tahoma" w:hAnsi="Tahoma" w:cs="Tahoma"/>
          <w:sz w:val="20"/>
          <w:szCs w:val="20"/>
        </w:rPr>
        <w:t>réfère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concentration</w:t>
      </w:r>
      <w:r w:rsidR="00DB1635" w:rsidRPr="00B004EE">
        <w:rPr>
          <w:rFonts w:ascii="Tahoma" w:hAnsi="Tahoma" w:cs="Tahoma"/>
          <w:sz w:val="20"/>
          <w:szCs w:val="20"/>
        </w:rPr>
        <w:t xml:space="preserve"> </w:t>
      </w:r>
      <w:r w:rsidRPr="00B004EE">
        <w:rPr>
          <w:rFonts w:ascii="Tahoma" w:hAnsi="Tahoma" w:cs="Tahoma"/>
          <w:sz w:val="20"/>
          <w:szCs w:val="20"/>
        </w:rPr>
        <w:t>résiduelle</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monomères</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l'eau,</w:t>
      </w:r>
      <w:r w:rsidR="00DB1635" w:rsidRPr="00B004EE">
        <w:rPr>
          <w:rFonts w:ascii="Tahoma" w:hAnsi="Tahoma" w:cs="Tahoma"/>
          <w:sz w:val="20"/>
          <w:szCs w:val="20"/>
        </w:rPr>
        <w:t xml:space="preserve"> </w:t>
      </w:r>
      <w:r w:rsidRPr="00B004EE">
        <w:rPr>
          <w:rFonts w:ascii="Tahoma" w:hAnsi="Tahoma" w:cs="Tahoma"/>
          <w:sz w:val="20"/>
          <w:szCs w:val="20"/>
        </w:rPr>
        <w:t>calculée</w:t>
      </w:r>
      <w:r w:rsidR="00DB1635" w:rsidRPr="00B004EE">
        <w:rPr>
          <w:rFonts w:ascii="Tahoma" w:hAnsi="Tahoma" w:cs="Tahoma"/>
          <w:sz w:val="20"/>
          <w:szCs w:val="20"/>
        </w:rPr>
        <w:t xml:space="preserve"> </w:t>
      </w:r>
      <w:r w:rsidRPr="00B004EE">
        <w:rPr>
          <w:rFonts w:ascii="Tahoma" w:hAnsi="Tahoma" w:cs="Tahoma"/>
          <w:sz w:val="20"/>
          <w:szCs w:val="20"/>
        </w:rPr>
        <w:t>conformément</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spécifications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migration</w:t>
      </w:r>
      <w:r w:rsidR="00DB1635" w:rsidRPr="00B004EE">
        <w:rPr>
          <w:rFonts w:ascii="Tahoma" w:hAnsi="Tahoma" w:cs="Tahoma"/>
          <w:sz w:val="20"/>
          <w:szCs w:val="20"/>
        </w:rPr>
        <w:t xml:space="preserve"> </w:t>
      </w:r>
      <w:r w:rsidRPr="00B004EE">
        <w:rPr>
          <w:rFonts w:ascii="Tahoma" w:hAnsi="Tahoma" w:cs="Tahoma"/>
          <w:sz w:val="20"/>
          <w:szCs w:val="20"/>
        </w:rPr>
        <w:t>maximale</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polymère</w:t>
      </w:r>
      <w:r w:rsidR="00DB1635" w:rsidRPr="00B004EE">
        <w:rPr>
          <w:rFonts w:ascii="Tahoma" w:hAnsi="Tahoma" w:cs="Tahoma"/>
          <w:sz w:val="20"/>
          <w:szCs w:val="20"/>
        </w:rPr>
        <w:t xml:space="preserve"> </w:t>
      </w:r>
      <w:r w:rsidRPr="00B004EE">
        <w:rPr>
          <w:rFonts w:ascii="Tahoma" w:hAnsi="Tahoma" w:cs="Tahoma"/>
          <w:sz w:val="20"/>
          <w:szCs w:val="20"/>
        </w:rPr>
        <w:t>correspondant</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contact</w:t>
      </w:r>
      <w:r w:rsidR="00DB1635" w:rsidRPr="00B004EE">
        <w:rPr>
          <w:rFonts w:ascii="Tahoma" w:hAnsi="Tahoma" w:cs="Tahoma"/>
          <w:sz w:val="20"/>
          <w:szCs w:val="20"/>
        </w:rPr>
        <w:t xml:space="preserve"> </w:t>
      </w:r>
      <w:r w:rsidRPr="00B004EE">
        <w:rPr>
          <w:rFonts w:ascii="Tahoma" w:hAnsi="Tahoma" w:cs="Tahoma"/>
          <w:sz w:val="20"/>
          <w:szCs w:val="20"/>
        </w:rPr>
        <w:t>avec</w:t>
      </w:r>
      <w:r w:rsidR="00DB1635" w:rsidRPr="00B004EE">
        <w:rPr>
          <w:rFonts w:ascii="Tahoma" w:hAnsi="Tahoma" w:cs="Tahoma"/>
          <w:sz w:val="20"/>
          <w:szCs w:val="20"/>
        </w:rPr>
        <w:t xml:space="preserve"> </w:t>
      </w:r>
      <w:r w:rsidRPr="00B004EE">
        <w:rPr>
          <w:rFonts w:ascii="Tahoma" w:hAnsi="Tahoma" w:cs="Tahoma"/>
          <w:sz w:val="20"/>
          <w:szCs w:val="20"/>
        </w:rPr>
        <w:t>l'eau.</w:t>
      </w:r>
    </w:p>
    <w:p w14:paraId="2A1D538A" w14:textId="77777777" w:rsidR="008105B4" w:rsidRPr="00B004EE" w:rsidRDefault="008105B4" w:rsidP="00B004EE">
      <w:pPr>
        <w:tabs>
          <w:tab w:val="left" w:pos="142"/>
          <w:tab w:val="left" w:pos="3070"/>
          <w:tab w:val="left" w:pos="4605"/>
          <w:tab w:val="left" w:pos="6140"/>
          <w:tab w:val="left" w:pos="7675"/>
          <w:tab w:val="left" w:pos="9210"/>
        </w:tabs>
        <w:ind w:left="567" w:hanging="567"/>
        <w:jc w:val="both"/>
        <w:rPr>
          <w:rFonts w:ascii="Tahoma" w:hAnsi="Tahoma" w:cs="Tahoma"/>
          <w:b/>
          <w:sz w:val="20"/>
          <w:szCs w:val="20"/>
        </w:rPr>
      </w:pPr>
    </w:p>
    <w:p w14:paraId="421A8FF4" w14:textId="23B69B69" w:rsidR="008105B4" w:rsidRPr="00B004EE" w:rsidRDefault="008105B4" w:rsidP="00B004EE">
      <w:pPr>
        <w:tabs>
          <w:tab w:val="left" w:pos="142"/>
          <w:tab w:val="left" w:pos="3070"/>
          <w:tab w:val="left" w:pos="4605"/>
          <w:tab w:val="left" w:pos="6140"/>
          <w:tab w:val="left" w:pos="7675"/>
          <w:tab w:val="left" w:pos="9210"/>
        </w:tabs>
        <w:ind w:left="567" w:hanging="567"/>
        <w:jc w:val="both"/>
        <w:rPr>
          <w:rFonts w:ascii="Tahoma" w:hAnsi="Tahoma" w:cs="Tahoma"/>
          <w:sz w:val="20"/>
          <w:szCs w:val="20"/>
        </w:rPr>
      </w:pPr>
      <w:r w:rsidRPr="00B004EE">
        <w:rPr>
          <w:rFonts w:ascii="Tahoma" w:hAnsi="Tahoma" w:cs="Tahoma"/>
          <w:sz w:val="20"/>
          <w:szCs w:val="20"/>
        </w:rPr>
        <w:t>Note</w:t>
      </w:r>
      <w:r w:rsidR="00DB1635" w:rsidRPr="00B004EE">
        <w:rPr>
          <w:rFonts w:ascii="Tahoma" w:hAnsi="Tahoma" w:cs="Tahoma"/>
          <w:sz w:val="20"/>
          <w:szCs w:val="20"/>
        </w:rPr>
        <w:t xml:space="preserve"> </w:t>
      </w:r>
      <w:r w:rsidRPr="00B004EE">
        <w:rPr>
          <w:rFonts w:ascii="Tahoma" w:hAnsi="Tahoma" w:cs="Tahoma"/>
          <w:sz w:val="20"/>
          <w:szCs w:val="20"/>
        </w:rPr>
        <w:t>2</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limite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qualité</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plus</w:t>
      </w:r>
      <w:r w:rsidR="00DB1635" w:rsidRPr="00B004EE">
        <w:rPr>
          <w:rFonts w:ascii="Tahoma" w:hAnsi="Tahoma" w:cs="Tahoma"/>
          <w:sz w:val="20"/>
          <w:szCs w:val="20"/>
        </w:rPr>
        <w:t xml:space="preserve"> </w:t>
      </w:r>
      <w:r w:rsidRPr="00B004EE">
        <w:rPr>
          <w:rFonts w:ascii="Tahoma" w:hAnsi="Tahoma" w:cs="Tahoma"/>
          <w:sz w:val="20"/>
          <w:szCs w:val="20"/>
        </w:rPr>
        <w:t>faible</w:t>
      </w:r>
      <w:r w:rsidR="00DB1635" w:rsidRPr="00B004EE">
        <w:rPr>
          <w:rFonts w:ascii="Tahoma" w:hAnsi="Tahoma" w:cs="Tahoma"/>
          <w:sz w:val="20"/>
          <w:szCs w:val="20"/>
        </w:rPr>
        <w:t xml:space="preserve"> </w:t>
      </w:r>
      <w:r w:rsidRPr="00B004EE">
        <w:rPr>
          <w:rFonts w:ascii="Tahoma" w:hAnsi="Tahoma" w:cs="Tahoma"/>
          <w:sz w:val="20"/>
          <w:szCs w:val="20"/>
        </w:rPr>
        <w:t>possible</w:t>
      </w:r>
      <w:r w:rsidR="00DB1635" w:rsidRPr="00B004EE">
        <w:rPr>
          <w:rFonts w:ascii="Tahoma" w:hAnsi="Tahoma" w:cs="Tahoma"/>
          <w:sz w:val="20"/>
          <w:szCs w:val="20"/>
        </w:rPr>
        <w:t xml:space="preserve"> </w:t>
      </w:r>
      <w:r w:rsidRPr="00B004EE">
        <w:rPr>
          <w:rFonts w:ascii="Tahoma" w:hAnsi="Tahoma" w:cs="Tahoma"/>
          <w:sz w:val="20"/>
          <w:szCs w:val="20"/>
        </w:rPr>
        <w:t>inférieure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cette</w:t>
      </w:r>
      <w:r w:rsidR="00DB1635" w:rsidRPr="00B004EE">
        <w:rPr>
          <w:rFonts w:ascii="Tahoma" w:hAnsi="Tahoma" w:cs="Tahoma"/>
          <w:sz w:val="20"/>
          <w:szCs w:val="20"/>
        </w:rPr>
        <w:t xml:space="preserve"> </w:t>
      </w:r>
      <w:r w:rsidRPr="00B004EE">
        <w:rPr>
          <w:rFonts w:ascii="Tahoma" w:hAnsi="Tahoma" w:cs="Tahoma"/>
          <w:sz w:val="20"/>
          <w:szCs w:val="20"/>
        </w:rPr>
        <w:t>limite</w:t>
      </w:r>
      <w:r w:rsidR="00DB1635" w:rsidRPr="00B004EE">
        <w:rPr>
          <w:rFonts w:ascii="Tahoma" w:hAnsi="Tahoma" w:cs="Tahoma"/>
          <w:sz w:val="20"/>
          <w:szCs w:val="20"/>
        </w:rPr>
        <w:t xml:space="preserve"> </w:t>
      </w:r>
      <w:r w:rsidRPr="00B004EE">
        <w:rPr>
          <w:rFonts w:ascii="Tahoma" w:hAnsi="Tahoma" w:cs="Tahoma"/>
          <w:sz w:val="20"/>
          <w:szCs w:val="20"/>
        </w:rPr>
        <w:t>doit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visée</w:t>
      </w:r>
      <w:r w:rsidR="00DB1635" w:rsidRPr="00B004EE">
        <w:rPr>
          <w:rFonts w:ascii="Tahoma" w:hAnsi="Tahoma" w:cs="Tahoma"/>
          <w:sz w:val="20"/>
          <w:szCs w:val="20"/>
        </w:rPr>
        <w:t xml:space="preserve"> </w:t>
      </w:r>
      <w:r w:rsidRPr="00B004EE">
        <w:rPr>
          <w:rFonts w:ascii="Tahoma" w:hAnsi="Tahoma" w:cs="Tahoma"/>
          <w:sz w:val="20"/>
          <w:szCs w:val="20"/>
        </w:rPr>
        <w:t>sans</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autant</w:t>
      </w:r>
      <w:r w:rsidR="00DB1635" w:rsidRPr="00B004EE">
        <w:rPr>
          <w:rFonts w:ascii="Tahoma" w:hAnsi="Tahoma" w:cs="Tahoma"/>
          <w:sz w:val="20"/>
          <w:szCs w:val="20"/>
        </w:rPr>
        <w:t xml:space="preserve"> </w:t>
      </w:r>
      <w:r w:rsidRPr="00B004EE">
        <w:rPr>
          <w:rFonts w:ascii="Tahoma" w:hAnsi="Tahoma" w:cs="Tahoma"/>
          <w:sz w:val="20"/>
          <w:szCs w:val="20"/>
        </w:rPr>
        <w:t>compromettre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désinfection.</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limite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qualité</w:t>
      </w:r>
      <w:r w:rsidR="00DB1635" w:rsidRPr="00B004EE">
        <w:rPr>
          <w:rFonts w:ascii="Tahoma" w:hAnsi="Tahoma" w:cs="Tahoma"/>
          <w:sz w:val="20"/>
          <w:szCs w:val="20"/>
        </w:rPr>
        <w:t xml:space="preserve"> </w:t>
      </w:r>
      <w:r w:rsidRPr="00B004EE">
        <w:rPr>
          <w:rFonts w:ascii="Tahoma" w:hAnsi="Tahoma" w:cs="Tahoma"/>
          <w:sz w:val="20"/>
          <w:szCs w:val="20"/>
        </w:rPr>
        <w:t>provisoire</w:t>
      </w:r>
      <w:r w:rsidR="00DB1635" w:rsidRPr="00B004EE">
        <w:rPr>
          <w:rFonts w:ascii="Tahoma" w:hAnsi="Tahoma" w:cs="Tahoma"/>
          <w:sz w:val="20"/>
          <w:szCs w:val="20"/>
        </w:rPr>
        <w:t xml:space="preserve"> </w:t>
      </w:r>
      <w:r w:rsidRPr="00B004EE">
        <w:rPr>
          <w:rFonts w:ascii="Tahoma" w:hAnsi="Tahoma" w:cs="Tahoma"/>
          <w:sz w:val="20"/>
          <w:szCs w:val="20"/>
        </w:rPr>
        <w:t>applicable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concentration</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bromates</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fixée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25</w:t>
      </w:r>
      <w:r w:rsidR="00DB1635" w:rsidRPr="00B004EE">
        <w:rPr>
          <w:rFonts w:ascii="Tahoma" w:hAnsi="Tahoma" w:cs="Tahoma"/>
          <w:sz w:val="20"/>
          <w:szCs w:val="20"/>
        </w:rPr>
        <w:t xml:space="preserve"> </w:t>
      </w:r>
      <w:r w:rsidRPr="00B004EE">
        <w:rPr>
          <w:rFonts w:ascii="Tahoma" w:hAnsi="Tahoma" w:cs="Tahoma"/>
          <w:sz w:val="20"/>
          <w:szCs w:val="20"/>
        </w:rPr>
        <w:t>µg/l</w:t>
      </w:r>
      <w:r w:rsidR="00DB1635" w:rsidRPr="00B004EE">
        <w:rPr>
          <w:rFonts w:ascii="Tahoma" w:hAnsi="Tahoma" w:cs="Tahoma"/>
          <w:sz w:val="20"/>
          <w:szCs w:val="20"/>
        </w:rPr>
        <w:t xml:space="preserve"> </w:t>
      </w:r>
      <w:r w:rsidRPr="00B004EE">
        <w:rPr>
          <w:rFonts w:ascii="Tahoma" w:hAnsi="Tahoma" w:cs="Tahoma"/>
          <w:sz w:val="20"/>
          <w:szCs w:val="20"/>
        </w:rPr>
        <w:t>jusqu’au</w:t>
      </w:r>
      <w:r w:rsidR="00DB1635" w:rsidRPr="00B004EE">
        <w:rPr>
          <w:rFonts w:ascii="Tahoma" w:hAnsi="Tahoma" w:cs="Tahoma"/>
          <w:sz w:val="20"/>
          <w:szCs w:val="20"/>
        </w:rPr>
        <w:t xml:space="preserve"> </w:t>
      </w:r>
      <w:r w:rsidRPr="00B004EE">
        <w:rPr>
          <w:rFonts w:ascii="Tahoma" w:hAnsi="Tahoma" w:cs="Tahoma"/>
          <w:sz w:val="20"/>
          <w:szCs w:val="20"/>
        </w:rPr>
        <w:t>31</w:t>
      </w:r>
      <w:r w:rsidR="00DB1635" w:rsidRPr="00B004EE">
        <w:rPr>
          <w:rFonts w:ascii="Tahoma" w:hAnsi="Tahoma" w:cs="Tahoma"/>
          <w:sz w:val="20"/>
          <w:szCs w:val="20"/>
        </w:rPr>
        <w:t xml:space="preserve"> </w:t>
      </w:r>
      <w:r w:rsidRPr="00B004EE">
        <w:rPr>
          <w:rFonts w:ascii="Tahoma" w:hAnsi="Tahoma" w:cs="Tahoma"/>
          <w:sz w:val="20"/>
          <w:szCs w:val="20"/>
        </w:rPr>
        <w:t>décembre</w:t>
      </w:r>
      <w:r w:rsidR="00DB1635" w:rsidRPr="00B004EE">
        <w:rPr>
          <w:rFonts w:ascii="Tahoma" w:hAnsi="Tahoma" w:cs="Tahoma"/>
          <w:sz w:val="20"/>
          <w:szCs w:val="20"/>
        </w:rPr>
        <w:t xml:space="preserve"> </w:t>
      </w:r>
      <w:r w:rsidRPr="00B004EE">
        <w:rPr>
          <w:rFonts w:ascii="Tahoma" w:hAnsi="Tahoma" w:cs="Tahoma"/>
          <w:sz w:val="20"/>
          <w:szCs w:val="20"/>
        </w:rPr>
        <w:t>2008.</w:t>
      </w:r>
      <w:r w:rsidR="00DB1635" w:rsidRPr="00B004EE">
        <w:rPr>
          <w:rFonts w:ascii="Tahoma" w:hAnsi="Tahoma" w:cs="Tahoma"/>
          <w:sz w:val="20"/>
          <w:szCs w:val="20"/>
        </w:rPr>
        <w:t xml:space="preserve"> </w:t>
      </w:r>
      <w:r w:rsidRPr="00B004EE">
        <w:rPr>
          <w:rFonts w:ascii="Tahoma" w:hAnsi="Tahoma" w:cs="Tahoma"/>
          <w:sz w:val="20"/>
          <w:szCs w:val="20"/>
        </w:rPr>
        <w:t>Toutes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mesures</w:t>
      </w:r>
      <w:r w:rsidR="00DB1635" w:rsidRPr="00B004EE">
        <w:rPr>
          <w:rFonts w:ascii="Tahoma" w:hAnsi="Tahoma" w:cs="Tahoma"/>
          <w:sz w:val="20"/>
          <w:szCs w:val="20"/>
        </w:rPr>
        <w:t xml:space="preserve"> </w:t>
      </w:r>
      <w:r w:rsidRPr="00B004EE">
        <w:rPr>
          <w:rFonts w:ascii="Tahoma" w:hAnsi="Tahoma" w:cs="Tahoma"/>
          <w:sz w:val="20"/>
          <w:szCs w:val="20"/>
        </w:rPr>
        <w:t>appropriées</w:t>
      </w:r>
      <w:r w:rsidR="00DB1635" w:rsidRPr="00B004EE">
        <w:rPr>
          <w:rFonts w:ascii="Tahoma" w:hAnsi="Tahoma" w:cs="Tahoma"/>
          <w:sz w:val="20"/>
          <w:szCs w:val="20"/>
        </w:rPr>
        <w:t xml:space="preserve"> </w:t>
      </w:r>
      <w:r w:rsidRPr="00B004EE">
        <w:rPr>
          <w:rFonts w:ascii="Tahoma" w:hAnsi="Tahoma" w:cs="Tahoma"/>
          <w:sz w:val="20"/>
          <w:szCs w:val="20"/>
        </w:rPr>
        <w:t>doivent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prises</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cours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ce</w:t>
      </w:r>
      <w:r w:rsidR="00DB1635" w:rsidRPr="00B004EE">
        <w:rPr>
          <w:rFonts w:ascii="Tahoma" w:hAnsi="Tahoma" w:cs="Tahoma"/>
          <w:sz w:val="20"/>
          <w:szCs w:val="20"/>
        </w:rPr>
        <w:t xml:space="preserve"> </w:t>
      </w:r>
      <w:r w:rsidRPr="00B004EE">
        <w:rPr>
          <w:rFonts w:ascii="Tahoma" w:hAnsi="Tahoma" w:cs="Tahoma"/>
          <w:sz w:val="20"/>
          <w:szCs w:val="20"/>
        </w:rPr>
        <w:t>délai</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se</w:t>
      </w:r>
      <w:r w:rsidR="00DB1635" w:rsidRPr="00B004EE">
        <w:rPr>
          <w:rFonts w:ascii="Tahoma" w:hAnsi="Tahoma" w:cs="Tahoma"/>
          <w:sz w:val="20"/>
          <w:szCs w:val="20"/>
        </w:rPr>
        <w:t xml:space="preserve"> </w:t>
      </w:r>
      <w:r w:rsidRPr="00B004EE">
        <w:rPr>
          <w:rFonts w:ascii="Tahoma" w:hAnsi="Tahoma" w:cs="Tahoma"/>
          <w:sz w:val="20"/>
          <w:szCs w:val="20"/>
        </w:rPr>
        <w:t>conformer</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limite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qualité</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concentration</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bromates</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eaux</w:t>
      </w:r>
      <w:r w:rsidR="00DB1635" w:rsidRPr="00B004EE">
        <w:rPr>
          <w:rFonts w:ascii="Tahoma" w:hAnsi="Tahoma" w:cs="Tahoma"/>
          <w:sz w:val="20"/>
          <w:szCs w:val="20"/>
        </w:rPr>
        <w:t xml:space="preserve"> </w:t>
      </w:r>
      <w:r w:rsidRPr="00B004EE">
        <w:rPr>
          <w:rFonts w:ascii="Tahoma" w:hAnsi="Tahoma" w:cs="Tahoma"/>
          <w:sz w:val="20"/>
          <w:szCs w:val="20"/>
        </w:rPr>
        <w:t>destinées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consommation</w:t>
      </w:r>
      <w:r w:rsidR="00DB1635" w:rsidRPr="00B004EE">
        <w:rPr>
          <w:rFonts w:ascii="Tahoma" w:hAnsi="Tahoma" w:cs="Tahoma"/>
          <w:sz w:val="20"/>
          <w:szCs w:val="20"/>
        </w:rPr>
        <w:t xml:space="preserve"> </w:t>
      </w:r>
      <w:r w:rsidRPr="00B004EE">
        <w:rPr>
          <w:rFonts w:ascii="Tahoma" w:hAnsi="Tahoma" w:cs="Tahoma"/>
          <w:sz w:val="20"/>
          <w:szCs w:val="20"/>
        </w:rPr>
        <w:t>humaine.</w:t>
      </w:r>
      <w:r w:rsidR="00DB1635" w:rsidRPr="00B004EE">
        <w:rPr>
          <w:rFonts w:ascii="Tahoma" w:hAnsi="Tahoma" w:cs="Tahoma"/>
          <w:sz w:val="20"/>
          <w:szCs w:val="20"/>
        </w:rPr>
        <w:t xml:space="preserve"> </w:t>
      </w:r>
    </w:p>
    <w:p w14:paraId="10114DAC" w14:textId="77777777" w:rsidR="008105B4" w:rsidRPr="00B004EE" w:rsidRDefault="008105B4" w:rsidP="00B004EE">
      <w:pPr>
        <w:tabs>
          <w:tab w:val="left" w:pos="142"/>
          <w:tab w:val="left" w:pos="3070"/>
          <w:tab w:val="left" w:pos="4605"/>
          <w:tab w:val="left" w:pos="6140"/>
          <w:tab w:val="left" w:pos="7675"/>
          <w:tab w:val="left" w:pos="9210"/>
        </w:tabs>
        <w:ind w:left="567" w:hanging="567"/>
        <w:jc w:val="both"/>
        <w:rPr>
          <w:rFonts w:ascii="Tahoma" w:hAnsi="Tahoma" w:cs="Tahoma"/>
          <w:sz w:val="20"/>
          <w:szCs w:val="20"/>
        </w:rPr>
      </w:pPr>
    </w:p>
    <w:p w14:paraId="02DD84A6" w14:textId="74D9654F" w:rsidR="008105B4" w:rsidRPr="00B004EE" w:rsidRDefault="008105B4" w:rsidP="00B004EE">
      <w:pPr>
        <w:tabs>
          <w:tab w:val="left" w:pos="142"/>
          <w:tab w:val="left" w:pos="3070"/>
          <w:tab w:val="left" w:pos="4605"/>
          <w:tab w:val="left" w:pos="6140"/>
          <w:tab w:val="left" w:pos="7675"/>
          <w:tab w:val="left" w:pos="9210"/>
        </w:tabs>
        <w:ind w:left="567" w:hanging="567"/>
        <w:jc w:val="both"/>
        <w:rPr>
          <w:rFonts w:ascii="Tahoma" w:hAnsi="Tahoma" w:cs="Tahoma"/>
          <w:sz w:val="20"/>
          <w:szCs w:val="20"/>
        </w:rPr>
      </w:pPr>
      <w:r w:rsidRPr="00B004EE">
        <w:rPr>
          <w:rFonts w:ascii="Tahoma" w:hAnsi="Tahoma" w:cs="Tahoma"/>
          <w:sz w:val="20"/>
          <w:szCs w:val="20"/>
        </w:rPr>
        <w:t>Note</w:t>
      </w:r>
      <w:r w:rsidR="00DB1635" w:rsidRPr="00B004EE">
        <w:rPr>
          <w:rFonts w:ascii="Tahoma" w:hAnsi="Tahoma" w:cs="Tahoma"/>
          <w:sz w:val="20"/>
          <w:szCs w:val="20"/>
        </w:rPr>
        <w:t xml:space="preserve"> </w:t>
      </w:r>
      <w:r w:rsidRPr="00B004EE">
        <w:rPr>
          <w:rFonts w:ascii="Tahoma" w:hAnsi="Tahoma" w:cs="Tahoma"/>
          <w:sz w:val="20"/>
          <w:szCs w:val="20"/>
        </w:rPr>
        <w:t>3</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Cette</w:t>
      </w:r>
      <w:r w:rsidR="00DB1635" w:rsidRPr="00B004EE">
        <w:rPr>
          <w:rFonts w:ascii="Tahoma" w:hAnsi="Tahoma" w:cs="Tahoma"/>
          <w:sz w:val="20"/>
          <w:szCs w:val="20"/>
        </w:rPr>
        <w:t xml:space="preserve"> </w:t>
      </w:r>
      <w:r w:rsidRPr="00B004EE">
        <w:rPr>
          <w:rFonts w:ascii="Tahoma" w:hAnsi="Tahoma" w:cs="Tahoma"/>
          <w:sz w:val="20"/>
          <w:szCs w:val="20"/>
        </w:rPr>
        <w:t>limite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qualité</w:t>
      </w:r>
      <w:r w:rsidR="00DB1635" w:rsidRPr="00B004EE">
        <w:rPr>
          <w:rFonts w:ascii="Tahoma" w:hAnsi="Tahoma" w:cs="Tahoma"/>
          <w:sz w:val="20"/>
          <w:szCs w:val="20"/>
        </w:rPr>
        <w:t xml:space="preserve"> </w:t>
      </w:r>
      <w:r w:rsidRPr="00B004EE">
        <w:rPr>
          <w:rFonts w:ascii="Tahoma" w:hAnsi="Tahoma" w:cs="Tahoma"/>
          <w:sz w:val="20"/>
          <w:szCs w:val="20"/>
        </w:rPr>
        <w:t>s’applique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échantillon</w:t>
      </w:r>
      <w:r w:rsidR="00DB1635" w:rsidRPr="00B004EE">
        <w:rPr>
          <w:rFonts w:ascii="Tahoma" w:hAnsi="Tahoma" w:cs="Tahoma"/>
          <w:sz w:val="20"/>
          <w:szCs w:val="20"/>
        </w:rPr>
        <w:t xml:space="preserve"> </w:t>
      </w:r>
      <w:r w:rsidRPr="00B004EE">
        <w:rPr>
          <w:rFonts w:ascii="Tahoma" w:hAnsi="Tahoma" w:cs="Tahoma"/>
          <w:sz w:val="20"/>
          <w:szCs w:val="20"/>
        </w:rPr>
        <w:t>d’eau</w:t>
      </w:r>
      <w:r w:rsidR="00DB1635" w:rsidRPr="00B004EE">
        <w:rPr>
          <w:rFonts w:ascii="Tahoma" w:hAnsi="Tahoma" w:cs="Tahoma"/>
          <w:sz w:val="20"/>
          <w:szCs w:val="20"/>
        </w:rPr>
        <w:t xml:space="preserve"> </w:t>
      </w:r>
      <w:r w:rsidRPr="00B004EE">
        <w:rPr>
          <w:rFonts w:ascii="Tahoma" w:hAnsi="Tahoma" w:cs="Tahoma"/>
          <w:sz w:val="20"/>
          <w:szCs w:val="20"/>
        </w:rPr>
        <w:t>destinée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consommation</w:t>
      </w:r>
      <w:r w:rsidR="00DB1635" w:rsidRPr="00B004EE">
        <w:rPr>
          <w:rFonts w:ascii="Tahoma" w:hAnsi="Tahoma" w:cs="Tahoma"/>
          <w:sz w:val="20"/>
          <w:szCs w:val="20"/>
        </w:rPr>
        <w:t xml:space="preserve"> </w:t>
      </w:r>
      <w:r w:rsidRPr="00B004EE">
        <w:rPr>
          <w:rFonts w:ascii="Tahoma" w:hAnsi="Tahoma" w:cs="Tahoma"/>
          <w:sz w:val="20"/>
          <w:szCs w:val="20"/>
        </w:rPr>
        <w:t>humaine,</w:t>
      </w:r>
      <w:r w:rsidR="00DB1635" w:rsidRPr="00B004EE">
        <w:rPr>
          <w:rFonts w:ascii="Tahoma" w:hAnsi="Tahoma" w:cs="Tahoma"/>
          <w:sz w:val="20"/>
          <w:szCs w:val="20"/>
        </w:rPr>
        <w:t xml:space="preserve"> </w:t>
      </w:r>
      <w:r w:rsidRPr="00B004EE">
        <w:rPr>
          <w:rFonts w:ascii="Tahoma" w:hAnsi="Tahoma" w:cs="Tahoma"/>
          <w:sz w:val="20"/>
          <w:szCs w:val="20"/>
        </w:rPr>
        <w:t>prélevé</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robinet</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méthode</w:t>
      </w:r>
      <w:r w:rsidR="00DB1635" w:rsidRPr="00B004EE">
        <w:rPr>
          <w:rFonts w:ascii="Tahoma" w:hAnsi="Tahoma" w:cs="Tahoma"/>
          <w:sz w:val="20"/>
          <w:szCs w:val="20"/>
        </w:rPr>
        <w:t xml:space="preserve"> </w:t>
      </w:r>
      <w:r w:rsidRPr="00B004EE">
        <w:rPr>
          <w:rFonts w:ascii="Tahoma" w:hAnsi="Tahoma" w:cs="Tahoma"/>
          <w:sz w:val="20"/>
          <w:szCs w:val="20"/>
        </w:rPr>
        <w:t>d’échantillonnage</w:t>
      </w:r>
      <w:r w:rsidR="00DB1635" w:rsidRPr="00B004EE">
        <w:rPr>
          <w:rFonts w:ascii="Tahoma" w:hAnsi="Tahoma" w:cs="Tahoma"/>
          <w:sz w:val="20"/>
          <w:szCs w:val="20"/>
        </w:rPr>
        <w:t xml:space="preserve"> </w:t>
      </w:r>
      <w:r w:rsidRPr="00B004EE">
        <w:rPr>
          <w:rFonts w:ascii="Tahoma" w:hAnsi="Tahoma" w:cs="Tahoma"/>
          <w:sz w:val="20"/>
          <w:szCs w:val="20"/>
        </w:rPr>
        <w:t>appropriée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manière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représentatif</w:t>
      </w:r>
      <w:r w:rsidR="00DB1635" w:rsidRPr="00B004EE">
        <w:rPr>
          <w:rFonts w:ascii="Tahoma" w:hAnsi="Tahoma" w:cs="Tahoma"/>
          <w:sz w:val="20"/>
          <w:szCs w:val="20"/>
        </w:rPr>
        <w:t xml:space="preserve"> </w:t>
      </w:r>
      <w:r w:rsidRPr="00B004EE">
        <w:rPr>
          <w:rFonts w:ascii="Tahoma" w:hAnsi="Tahoma" w:cs="Tahoma"/>
          <w:sz w:val="20"/>
          <w:szCs w:val="20"/>
        </w:rPr>
        <w:t>d’une</w:t>
      </w:r>
      <w:r w:rsidR="00DB1635" w:rsidRPr="00B004EE">
        <w:rPr>
          <w:rFonts w:ascii="Tahoma" w:hAnsi="Tahoma" w:cs="Tahoma"/>
          <w:sz w:val="20"/>
          <w:szCs w:val="20"/>
        </w:rPr>
        <w:t xml:space="preserve"> </w:t>
      </w:r>
      <w:r w:rsidRPr="00B004EE">
        <w:rPr>
          <w:rFonts w:ascii="Tahoma" w:hAnsi="Tahoma" w:cs="Tahoma"/>
          <w:sz w:val="20"/>
          <w:szCs w:val="20"/>
        </w:rPr>
        <w:t>valeur</w:t>
      </w:r>
      <w:r w:rsidR="00DB1635" w:rsidRPr="00B004EE">
        <w:rPr>
          <w:rFonts w:ascii="Tahoma" w:hAnsi="Tahoma" w:cs="Tahoma"/>
          <w:sz w:val="20"/>
          <w:szCs w:val="20"/>
        </w:rPr>
        <w:t xml:space="preserve"> </w:t>
      </w:r>
      <w:r w:rsidRPr="00B004EE">
        <w:rPr>
          <w:rFonts w:ascii="Tahoma" w:hAnsi="Tahoma" w:cs="Tahoma"/>
          <w:sz w:val="20"/>
          <w:szCs w:val="20"/>
        </w:rPr>
        <w:t>moyenne</w:t>
      </w:r>
      <w:r w:rsidR="00DB1635" w:rsidRPr="00B004EE">
        <w:rPr>
          <w:rFonts w:ascii="Tahoma" w:hAnsi="Tahoma" w:cs="Tahoma"/>
          <w:sz w:val="20"/>
          <w:szCs w:val="20"/>
        </w:rPr>
        <w:t xml:space="preserve"> </w:t>
      </w:r>
      <w:r w:rsidRPr="00B004EE">
        <w:rPr>
          <w:rFonts w:ascii="Tahoma" w:hAnsi="Tahoma" w:cs="Tahoma"/>
          <w:sz w:val="20"/>
          <w:szCs w:val="20"/>
        </w:rPr>
        <w:t>hebdomadaire</w:t>
      </w:r>
      <w:r w:rsidR="00DB1635" w:rsidRPr="00B004EE">
        <w:rPr>
          <w:rFonts w:ascii="Tahoma" w:hAnsi="Tahoma" w:cs="Tahoma"/>
          <w:sz w:val="20"/>
          <w:szCs w:val="20"/>
        </w:rPr>
        <w:t xml:space="preserve"> </w:t>
      </w:r>
      <w:r w:rsidRPr="00B004EE">
        <w:rPr>
          <w:rFonts w:ascii="Tahoma" w:hAnsi="Tahoma" w:cs="Tahoma"/>
          <w:sz w:val="20"/>
          <w:szCs w:val="20"/>
        </w:rPr>
        <w:t>ingérée</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consommateurs.</w:t>
      </w:r>
    </w:p>
    <w:p w14:paraId="07367A86" w14:textId="77777777" w:rsidR="008105B4" w:rsidRPr="00B004EE" w:rsidRDefault="008105B4" w:rsidP="00B004EE">
      <w:pPr>
        <w:tabs>
          <w:tab w:val="left" w:pos="142"/>
          <w:tab w:val="left" w:pos="3070"/>
          <w:tab w:val="left" w:pos="4605"/>
          <w:tab w:val="left" w:pos="6140"/>
          <w:tab w:val="left" w:pos="7675"/>
          <w:tab w:val="left" w:pos="9210"/>
        </w:tabs>
        <w:ind w:left="567" w:hanging="567"/>
        <w:jc w:val="both"/>
        <w:rPr>
          <w:rFonts w:ascii="Tahoma" w:hAnsi="Tahoma" w:cs="Tahoma"/>
          <w:sz w:val="20"/>
          <w:szCs w:val="20"/>
        </w:rPr>
      </w:pPr>
    </w:p>
    <w:p w14:paraId="50070C38" w14:textId="470E573C" w:rsidR="008105B4" w:rsidRPr="00B004EE" w:rsidRDefault="008105B4" w:rsidP="00B004EE">
      <w:pPr>
        <w:tabs>
          <w:tab w:val="left" w:pos="142"/>
          <w:tab w:val="left" w:pos="3070"/>
          <w:tab w:val="left" w:pos="4605"/>
          <w:tab w:val="left" w:pos="6140"/>
          <w:tab w:val="left" w:pos="7675"/>
          <w:tab w:val="left" w:pos="9210"/>
        </w:tabs>
        <w:ind w:left="567" w:hanging="567"/>
        <w:jc w:val="both"/>
        <w:rPr>
          <w:rFonts w:ascii="Tahoma" w:hAnsi="Tahoma" w:cs="Tahoma"/>
          <w:sz w:val="20"/>
          <w:szCs w:val="20"/>
        </w:rPr>
      </w:pPr>
      <w:r w:rsidRPr="00B004EE">
        <w:rPr>
          <w:rFonts w:ascii="Tahoma" w:hAnsi="Tahoma" w:cs="Tahoma"/>
          <w:sz w:val="20"/>
          <w:szCs w:val="20"/>
        </w:rPr>
        <w:t>Note</w:t>
      </w:r>
      <w:r w:rsidR="00DB1635" w:rsidRPr="00B004EE">
        <w:rPr>
          <w:rFonts w:ascii="Tahoma" w:hAnsi="Tahoma" w:cs="Tahoma"/>
          <w:sz w:val="20"/>
          <w:szCs w:val="20"/>
        </w:rPr>
        <w:t xml:space="preserve"> </w:t>
      </w:r>
      <w:r w:rsidRPr="00B004EE">
        <w:rPr>
          <w:rFonts w:ascii="Tahoma" w:hAnsi="Tahoma" w:cs="Tahoma"/>
          <w:sz w:val="20"/>
          <w:szCs w:val="20"/>
        </w:rPr>
        <w:t>4</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limite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qualité</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fixée</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somme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composés</w:t>
      </w:r>
      <w:r w:rsidR="00DB1635" w:rsidRPr="00B004EE">
        <w:rPr>
          <w:rFonts w:ascii="Tahoma" w:hAnsi="Tahoma" w:cs="Tahoma"/>
          <w:sz w:val="20"/>
          <w:szCs w:val="20"/>
        </w:rPr>
        <w:t xml:space="preserve"> </w:t>
      </w:r>
      <w:r w:rsidRPr="00B004EE">
        <w:rPr>
          <w:rFonts w:ascii="Tahoma" w:hAnsi="Tahoma" w:cs="Tahoma"/>
          <w:sz w:val="20"/>
          <w:szCs w:val="20"/>
        </w:rPr>
        <w:t>suivants</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benzo[b]fluoranthène,</w:t>
      </w:r>
      <w:r w:rsidR="00DB1635" w:rsidRPr="00B004EE">
        <w:rPr>
          <w:rFonts w:ascii="Tahoma" w:hAnsi="Tahoma" w:cs="Tahoma"/>
          <w:sz w:val="20"/>
          <w:szCs w:val="20"/>
        </w:rPr>
        <w:t xml:space="preserve"> </w:t>
      </w:r>
      <w:r w:rsidRPr="00B004EE">
        <w:rPr>
          <w:rFonts w:ascii="Tahoma" w:hAnsi="Tahoma" w:cs="Tahoma"/>
          <w:sz w:val="20"/>
          <w:szCs w:val="20"/>
        </w:rPr>
        <w:t>benzo[k]fluoranthène,</w:t>
      </w:r>
      <w:r w:rsidR="00DB1635" w:rsidRPr="00B004EE">
        <w:rPr>
          <w:rFonts w:ascii="Tahoma" w:hAnsi="Tahoma" w:cs="Tahoma"/>
          <w:sz w:val="20"/>
          <w:szCs w:val="20"/>
        </w:rPr>
        <w:t xml:space="preserve"> </w:t>
      </w:r>
      <w:r w:rsidRPr="00B004EE">
        <w:rPr>
          <w:rFonts w:ascii="Tahoma" w:hAnsi="Tahoma" w:cs="Tahoma"/>
          <w:sz w:val="20"/>
          <w:szCs w:val="20"/>
        </w:rPr>
        <w:t>benzo[ghi]pérylène,</w:t>
      </w:r>
      <w:r w:rsidR="00DB1635" w:rsidRPr="00B004EE">
        <w:rPr>
          <w:rFonts w:ascii="Tahoma" w:hAnsi="Tahoma" w:cs="Tahoma"/>
          <w:sz w:val="20"/>
          <w:szCs w:val="20"/>
        </w:rPr>
        <w:t xml:space="preserve"> </w:t>
      </w:r>
      <w:r w:rsidRPr="00B004EE">
        <w:rPr>
          <w:rFonts w:ascii="Tahoma" w:hAnsi="Tahoma" w:cs="Tahoma"/>
          <w:sz w:val="20"/>
          <w:szCs w:val="20"/>
        </w:rPr>
        <w:t>indéno[1,2,3-</w:t>
      </w:r>
      <w:proofErr w:type="gramStart"/>
      <w:r w:rsidRPr="00B004EE">
        <w:rPr>
          <w:rFonts w:ascii="Tahoma" w:hAnsi="Tahoma" w:cs="Tahoma"/>
          <w:sz w:val="20"/>
          <w:szCs w:val="20"/>
        </w:rPr>
        <w:t>cd]pyrène</w:t>
      </w:r>
      <w:proofErr w:type="gramEnd"/>
      <w:r w:rsidRPr="00B004EE">
        <w:rPr>
          <w:rFonts w:ascii="Tahoma" w:hAnsi="Tahoma" w:cs="Tahoma"/>
          <w:sz w:val="20"/>
          <w:szCs w:val="20"/>
        </w:rPr>
        <w:t>.</w:t>
      </w:r>
    </w:p>
    <w:p w14:paraId="396CB141" w14:textId="77777777" w:rsidR="008105B4" w:rsidRPr="00B004EE" w:rsidRDefault="008105B4" w:rsidP="00B004EE">
      <w:pPr>
        <w:tabs>
          <w:tab w:val="left" w:pos="142"/>
          <w:tab w:val="left" w:pos="3070"/>
          <w:tab w:val="left" w:pos="4605"/>
          <w:tab w:val="left" w:pos="6140"/>
          <w:tab w:val="left" w:pos="7675"/>
          <w:tab w:val="left" w:pos="9210"/>
        </w:tabs>
        <w:ind w:left="567" w:hanging="567"/>
        <w:jc w:val="both"/>
        <w:rPr>
          <w:rFonts w:ascii="Tahoma" w:hAnsi="Tahoma" w:cs="Tahoma"/>
          <w:sz w:val="20"/>
          <w:szCs w:val="20"/>
        </w:rPr>
      </w:pPr>
    </w:p>
    <w:p w14:paraId="19D8CAE8" w14:textId="16A61A1C" w:rsidR="008105B4" w:rsidRPr="00B004EE" w:rsidRDefault="008105B4" w:rsidP="00B004EE">
      <w:pPr>
        <w:tabs>
          <w:tab w:val="left" w:pos="142"/>
          <w:tab w:val="left" w:pos="3070"/>
          <w:tab w:val="left" w:pos="4605"/>
          <w:tab w:val="left" w:pos="6140"/>
          <w:tab w:val="left" w:pos="7675"/>
          <w:tab w:val="left" w:pos="9210"/>
        </w:tabs>
        <w:ind w:left="567" w:hanging="567"/>
        <w:jc w:val="both"/>
        <w:rPr>
          <w:rFonts w:ascii="Tahoma" w:hAnsi="Tahoma" w:cs="Tahoma"/>
          <w:sz w:val="20"/>
          <w:szCs w:val="20"/>
        </w:rPr>
      </w:pPr>
      <w:r w:rsidRPr="00B004EE">
        <w:rPr>
          <w:rFonts w:ascii="Tahoma" w:hAnsi="Tahoma" w:cs="Tahoma"/>
          <w:sz w:val="20"/>
          <w:szCs w:val="20"/>
        </w:rPr>
        <w:t>Note</w:t>
      </w:r>
      <w:r w:rsidR="00DB1635" w:rsidRPr="00B004EE">
        <w:rPr>
          <w:rFonts w:ascii="Tahoma" w:hAnsi="Tahoma" w:cs="Tahoma"/>
          <w:sz w:val="20"/>
          <w:szCs w:val="20"/>
        </w:rPr>
        <w:t xml:space="preserve"> </w:t>
      </w:r>
      <w:r w:rsidRPr="00B004EE">
        <w:rPr>
          <w:rFonts w:ascii="Tahoma" w:hAnsi="Tahoma" w:cs="Tahoma"/>
          <w:sz w:val="20"/>
          <w:szCs w:val="20"/>
        </w:rPr>
        <w:t>5</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somme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concentration</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nitrates</w:t>
      </w:r>
      <w:r w:rsidR="00DB1635" w:rsidRPr="00B004EE">
        <w:rPr>
          <w:rFonts w:ascii="Tahoma" w:hAnsi="Tahoma" w:cs="Tahoma"/>
          <w:sz w:val="20"/>
          <w:szCs w:val="20"/>
        </w:rPr>
        <w:t xml:space="preserve"> </w:t>
      </w:r>
      <w:r w:rsidRPr="00B004EE">
        <w:rPr>
          <w:rFonts w:ascii="Tahoma" w:hAnsi="Tahoma" w:cs="Tahoma"/>
          <w:sz w:val="20"/>
          <w:szCs w:val="20"/>
        </w:rPr>
        <w:t>(NO3)</w:t>
      </w:r>
      <w:r w:rsidR="00DB1635" w:rsidRPr="00B004EE">
        <w:rPr>
          <w:rFonts w:ascii="Tahoma" w:hAnsi="Tahoma" w:cs="Tahoma"/>
          <w:sz w:val="20"/>
          <w:szCs w:val="20"/>
        </w:rPr>
        <w:t xml:space="preserve"> </w:t>
      </w:r>
      <w:r w:rsidRPr="00B004EE">
        <w:rPr>
          <w:rFonts w:ascii="Tahoma" w:hAnsi="Tahoma" w:cs="Tahoma"/>
          <w:sz w:val="20"/>
          <w:szCs w:val="20"/>
        </w:rPr>
        <w:t>divisée</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50</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celle</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nitrites</w:t>
      </w:r>
      <w:r w:rsidR="00DB1635" w:rsidRPr="00B004EE">
        <w:rPr>
          <w:rFonts w:ascii="Tahoma" w:hAnsi="Tahoma" w:cs="Tahoma"/>
          <w:sz w:val="20"/>
          <w:szCs w:val="20"/>
        </w:rPr>
        <w:t xml:space="preserve"> </w:t>
      </w:r>
      <w:r w:rsidRPr="00B004EE">
        <w:rPr>
          <w:rFonts w:ascii="Tahoma" w:hAnsi="Tahoma" w:cs="Tahoma"/>
          <w:sz w:val="20"/>
          <w:szCs w:val="20"/>
        </w:rPr>
        <w:t>(NO2)</w:t>
      </w:r>
      <w:r w:rsidR="00DB1635" w:rsidRPr="00B004EE">
        <w:rPr>
          <w:rFonts w:ascii="Tahoma" w:hAnsi="Tahoma" w:cs="Tahoma"/>
          <w:sz w:val="20"/>
          <w:szCs w:val="20"/>
        </w:rPr>
        <w:t xml:space="preserve"> </w:t>
      </w:r>
      <w:r w:rsidRPr="00B004EE">
        <w:rPr>
          <w:rFonts w:ascii="Tahoma" w:hAnsi="Tahoma" w:cs="Tahoma"/>
          <w:sz w:val="20"/>
          <w:szCs w:val="20"/>
        </w:rPr>
        <w:t>divisée</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3</w:t>
      </w:r>
      <w:r w:rsidR="00DB1635" w:rsidRPr="00B004EE">
        <w:rPr>
          <w:rFonts w:ascii="Tahoma" w:hAnsi="Tahoma" w:cs="Tahoma"/>
          <w:sz w:val="20"/>
          <w:szCs w:val="20"/>
        </w:rPr>
        <w:t xml:space="preserve"> </w:t>
      </w:r>
      <w:r w:rsidRPr="00B004EE">
        <w:rPr>
          <w:rFonts w:ascii="Tahoma" w:hAnsi="Tahoma" w:cs="Tahoma"/>
          <w:sz w:val="20"/>
          <w:szCs w:val="20"/>
        </w:rPr>
        <w:t>doit</w:t>
      </w:r>
      <w:r w:rsidR="00DB1635" w:rsidRPr="00B004EE">
        <w:rPr>
          <w:rFonts w:ascii="Tahoma" w:hAnsi="Tahoma" w:cs="Tahoma"/>
          <w:sz w:val="20"/>
          <w:szCs w:val="20"/>
        </w:rPr>
        <w:t xml:space="preserve"> </w:t>
      </w:r>
      <w:r w:rsidRPr="00B004EE">
        <w:rPr>
          <w:rFonts w:ascii="Tahoma" w:hAnsi="Tahoma" w:cs="Tahoma"/>
          <w:sz w:val="20"/>
          <w:szCs w:val="20"/>
        </w:rPr>
        <w:t>rester</w:t>
      </w:r>
      <w:r w:rsidR="00DB1635" w:rsidRPr="00B004EE">
        <w:rPr>
          <w:rFonts w:ascii="Tahoma" w:hAnsi="Tahoma" w:cs="Tahoma"/>
          <w:sz w:val="20"/>
          <w:szCs w:val="20"/>
        </w:rPr>
        <w:t xml:space="preserve"> </w:t>
      </w:r>
      <w:r w:rsidRPr="00B004EE">
        <w:rPr>
          <w:rFonts w:ascii="Tahoma" w:hAnsi="Tahoma" w:cs="Tahoma"/>
          <w:sz w:val="20"/>
          <w:szCs w:val="20"/>
        </w:rPr>
        <w:t>inférieure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1.</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sortie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installations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traitement,</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concentration</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nitrites</w:t>
      </w:r>
      <w:r w:rsidR="00DB1635" w:rsidRPr="00B004EE">
        <w:rPr>
          <w:rFonts w:ascii="Tahoma" w:hAnsi="Tahoma" w:cs="Tahoma"/>
          <w:sz w:val="20"/>
          <w:szCs w:val="20"/>
        </w:rPr>
        <w:t xml:space="preserve"> </w:t>
      </w:r>
      <w:r w:rsidRPr="00B004EE">
        <w:rPr>
          <w:rFonts w:ascii="Tahoma" w:hAnsi="Tahoma" w:cs="Tahoma"/>
          <w:sz w:val="20"/>
          <w:szCs w:val="20"/>
        </w:rPr>
        <w:t>doit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inférieure</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égale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0,1mg/l.</w:t>
      </w:r>
    </w:p>
    <w:p w14:paraId="2CECD3EA" w14:textId="77777777" w:rsidR="008105B4" w:rsidRPr="00B004EE" w:rsidRDefault="008105B4" w:rsidP="00B004EE">
      <w:pPr>
        <w:tabs>
          <w:tab w:val="left" w:pos="142"/>
          <w:tab w:val="left" w:pos="3070"/>
          <w:tab w:val="left" w:pos="4605"/>
          <w:tab w:val="left" w:pos="6140"/>
          <w:tab w:val="left" w:pos="7675"/>
          <w:tab w:val="left" w:pos="9210"/>
        </w:tabs>
        <w:ind w:left="567" w:hanging="567"/>
        <w:jc w:val="both"/>
        <w:rPr>
          <w:rFonts w:ascii="Tahoma" w:hAnsi="Tahoma" w:cs="Tahoma"/>
          <w:sz w:val="20"/>
          <w:szCs w:val="20"/>
        </w:rPr>
      </w:pPr>
    </w:p>
    <w:p w14:paraId="148A833D" w14:textId="20D3985E" w:rsidR="008105B4" w:rsidRPr="00B004EE" w:rsidRDefault="008105B4" w:rsidP="00B004EE">
      <w:pPr>
        <w:tabs>
          <w:tab w:val="left" w:pos="142"/>
          <w:tab w:val="left" w:pos="3070"/>
          <w:tab w:val="left" w:pos="4605"/>
          <w:tab w:val="left" w:pos="6140"/>
          <w:tab w:val="left" w:pos="7675"/>
          <w:tab w:val="left" w:pos="9210"/>
        </w:tabs>
        <w:ind w:left="567" w:hanging="567"/>
        <w:jc w:val="both"/>
        <w:rPr>
          <w:rFonts w:ascii="Tahoma" w:hAnsi="Tahoma" w:cs="Tahoma"/>
          <w:sz w:val="20"/>
          <w:szCs w:val="20"/>
        </w:rPr>
      </w:pPr>
      <w:r w:rsidRPr="00B004EE">
        <w:rPr>
          <w:rFonts w:ascii="Tahoma" w:hAnsi="Tahoma" w:cs="Tahoma"/>
          <w:sz w:val="20"/>
          <w:szCs w:val="20"/>
        </w:rPr>
        <w:t>Note</w:t>
      </w:r>
      <w:r w:rsidR="00DB1635" w:rsidRPr="00B004EE">
        <w:rPr>
          <w:rFonts w:ascii="Tahoma" w:hAnsi="Tahoma" w:cs="Tahoma"/>
          <w:sz w:val="20"/>
          <w:szCs w:val="20"/>
        </w:rPr>
        <w:t xml:space="preserve"> </w:t>
      </w:r>
      <w:r w:rsidRPr="00B004EE">
        <w:rPr>
          <w:rFonts w:ascii="Tahoma" w:hAnsi="Tahoma" w:cs="Tahoma"/>
          <w:sz w:val="20"/>
          <w:szCs w:val="20"/>
        </w:rPr>
        <w:t>6</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Seuls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pesticides</w:t>
      </w:r>
      <w:r w:rsidR="00DB1635" w:rsidRPr="00B004EE">
        <w:rPr>
          <w:rFonts w:ascii="Tahoma" w:hAnsi="Tahoma" w:cs="Tahoma"/>
          <w:sz w:val="20"/>
          <w:szCs w:val="20"/>
        </w:rPr>
        <w:t xml:space="preserve"> </w:t>
      </w:r>
      <w:r w:rsidRPr="00B004EE">
        <w:rPr>
          <w:rFonts w:ascii="Tahoma" w:hAnsi="Tahoma" w:cs="Tahoma"/>
          <w:sz w:val="20"/>
          <w:szCs w:val="20"/>
        </w:rPr>
        <w:t>dont</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présence</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distribution</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probable</w:t>
      </w:r>
      <w:r w:rsidR="00DB1635" w:rsidRPr="00B004EE">
        <w:rPr>
          <w:rFonts w:ascii="Tahoma" w:hAnsi="Tahoma" w:cs="Tahoma"/>
          <w:sz w:val="20"/>
          <w:szCs w:val="20"/>
        </w:rPr>
        <w:t xml:space="preserve"> </w:t>
      </w:r>
      <w:r w:rsidRPr="00B004EE">
        <w:rPr>
          <w:rFonts w:ascii="Tahoma" w:hAnsi="Tahoma" w:cs="Tahoma"/>
          <w:sz w:val="20"/>
          <w:szCs w:val="20"/>
        </w:rPr>
        <w:t>doivent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contrôlés.</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pesticides</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on</w:t>
      </w:r>
      <w:r w:rsidR="00DB1635" w:rsidRPr="00B004EE">
        <w:rPr>
          <w:rFonts w:ascii="Tahoma" w:hAnsi="Tahoma" w:cs="Tahoma"/>
          <w:sz w:val="20"/>
          <w:szCs w:val="20"/>
        </w:rPr>
        <w:t xml:space="preserve"> </w:t>
      </w:r>
      <w:r w:rsidRPr="00B004EE">
        <w:rPr>
          <w:rFonts w:ascii="Tahoma" w:hAnsi="Tahoma" w:cs="Tahoma"/>
          <w:sz w:val="20"/>
          <w:szCs w:val="20"/>
        </w:rPr>
        <w:t>entend</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p>
    <w:p w14:paraId="20D97CBA" w14:textId="49F5BA53" w:rsidR="008105B4" w:rsidRPr="00B004EE" w:rsidRDefault="008105B4" w:rsidP="00B004EE">
      <w:pPr>
        <w:tabs>
          <w:tab w:val="left" w:pos="142"/>
          <w:tab w:val="left" w:pos="567"/>
          <w:tab w:val="left" w:pos="3070"/>
          <w:tab w:val="left" w:pos="4605"/>
          <w:tab w:val="left" w:pos="6140"/>
          <w:tab w:val="left" w:pos="7675"/>
          <w:tab w:val="left" w:pos="9210"/>
        </w:tabs>
        <w:ind w:left="567" w:hanging="567"/>
        <w:jc w:val="both"/>
        <w:rPr>
          <w:rFonts w:ascii="Tahoma" w:hAnsi="Tahoma" w:cs="Tahoma"/>
          <w:sz w:val="20"/>
          <w:szCs w:val="20"/>
        </w:rPr>
      </w:pP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insecticides</w:t>
      </w:r>
      <w:r w:rsidR="00DB1635" w:rsidRPr="00B004EE">
        <w:rPr>
          <w:rFonts w:ascii="Tahoma" w:hAnsi="Tahoma" w:cs="Tahoma"/>
          <w:sz w:val="20"/>
          <w:szCs w:val="20"/>
        </w:rPr>
        <w:t xml:space="preserve"> </w:t>
      </w:r>
      <w:r w:rsidRPr="00B004EE">
        <w:rPr>
          <w:rFonts w:ascii="Tahoma" w:hAnsi="Tahoma" w:cs="Tahoma"/>
          <w:sz w:val="20"/>
          <w:szCs w:val="20"/>
        </w:rPr>
        <w:t>organiques</w:t>
      </w:r>
      <w:r w:rsidR="00DB1635" w:rsidRPr="00B004EE">
        <w:rPr>
          <w:rFonts w:ascii="Tahoma" w:hAnsi="Tahoma" w:cs="Tahoma"/>
          <w:sz w:val="20"/>
          <w:szCs w:val="20"/>
        </w:rPr>
        <w:t xml:space="preserve"> </w:t>
      </w:r>
      <w:r w:rsidRPr="00B004EE">
        <w:rPr>
          <w:rFonts w:ascii="Tahoma" w:hAnsi="Tahoma" w:cs="Tahoma"/>
          <w:sz w:val="20"/>
          <w:szCs w:val="20"/>
        </w:rPr>
        <w:t>;</w:t>
      </w:r>
    </w:p>
    <w:p w14:paraId="52929C93" w14:textId="6E9B2519" w:rsidR="008105B4" w:rsidRPr="00B004EE" w:rsidRDefault="008105B4" w:rsidP="00B004EE">
      <w:pPr>
        <w:tabs>
          <w:tab w:val="left" w:pos="142"/>
          <w:tab w:val="left" w:pos="567"/>
          <w:tab w:val="left" w:pos="3070"/>
          <w:tab w:val="left" w:pos="4605"/>
          <w:tab w:val="left" w:pos="6140"/>
          <w:tab w:val="left" w:pos="7675"/>
          <w:tab w:val="left" w:pos="9210"/>
        </w:tabs>
        <w:ind w:left="567" w:hanging="567"/>
        <w:jc w:val="both"/>
        <w:rPr>
          <w:rFonts w:ascii="Tahoma" w:hAnsi="Tahoma" w:cs="Tahoma"/>
          <w:sz w:val="20"/>
          <w:szCs w:val="20"/>
        </w:rPr>
      </w:pP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herbicides</w:t>
      </w:r>
      <w:r w:rsidR="00DB1635" w:rsidRPr="00B004EE">
        <w:rPr>
          <w:rFonts w:ascii="Tahoma" w:hAnsi="Tahoma" w:cs="Tahoma"/>
          <w:sz w:val="20"/>
          <w:szCs w:val="20"/>
        </w:rPr>
        <w:t xml:space="preserve"> </w:t>
      </w:r>
      <w:r w:rsidRPr="00B004EE">
        <w:rPr>
          <w:rFonts w:ascii="Tahoma" w:hAnsi="Tahoma" w:cs="Tahoma"/>
          <w:sz w:val="20"/>
          <w:szCs w:val="20"/>
        </w:rPr>
        <w:t>organiques</w:t>
      </w:r>
      <w:r w:rsidR="00DB1635" w:rsidRPr="00B004EE">
        <w:rPr>
          <w:rFonts w:ascii="Tahoma" w:hAnsi="Tahoma" w:cs="Tahoma"/>
          <w:sz w:val="20"/>
          <w:szCs w:val="20"/>
        </w:rPr>
        <w:t xml:space="preserve"> </w:t>
      </w:r>
      <w:r w:rsidRPr="00B004EE">
        <w:rPr>
          <w:rFonts w:ascii="Tahoma" w:hAnsi="Tahoma" w:cs="Tahoma"/>
          <w:sz w:val="20"/>
          <w:szCs w:val="20"/>
        </w:rPr>
        <w:t>;</w:t>
      </w:r>
    </w:p>
    <w:p w14:paraId="5D8D854C" w14:textId="1AC846B8" w:rsidR="008105B4" w:rsidRPr="00B004EE" w:rsidRDefault="008105B4" w:rsidP="00B004EE">
      <w:pPr>
        <w:tabs>
          <w:tab w:val="left" w:pos="142"/>
          <w:tab w:val="left" w:pos="567"/>
          <w:tab w:val="left" w:pos="3070"/>
          <w:tab w:val="left" w:pos="4605"/>
          <w:tab w:val="left" w:pos="6140"/>
          <w:tab w:val="left" w:pos="7675"/>
          <w:tab w:val="left" w:pos="9210"/>
        </w:tabs>
        <w:ind w:left="567" w:hanging="567"/>
        <w:jc w:val="both"/>
        <w:rPr>
          <w:rFonts w:ascii="Tahoma" w:hAnsi="Tahoma" w:cs="Tahoma"/>
          <w:sz w:val="20"/>
          <w:szCs w:val="20"/>
        </w:rPr>
      </w:pP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fongicides</w:t>
      </w:r>
      <w:r w:rsidR="00DB1635" w:rsidRPr="00B004EE">
        <w:rPr>
          <w:rFonts w:ascii="Tahoma" w:hAnsi="Tahoma" w:cs="Tahoma"/>
          <w:sz w:val="20"/>
          <w:szCs w:val="20"/>
        </w:rPr>
        <w:t xml:space="preserve"> </w:t>
      </w:r>
      <w:r w:rsidRPr="00B004EE">
        <w:rPr>
          <w:rFonts w:ascii="Tahoma" w:hAnsi="Tahoma" w:cs="Tahoma"/>
          <w:sz w:val="20"/>
          <w:szCs w:val="20"/>
        </w:rPr>
        <w:t>organiques</w:t>
      </w:r>
      <w:r w:rsidR="00DB1635" w:rsidRPr="00B004EE">
        <w:rPr>
          <w:rFonts w:ascii="Tahoma" w:hAnsi="Tahoma" w:cs="Tahoma"/>
          <w:sz w:val="20"/>
          <w:szCs w:val="20"/>
        </w:rPr>
        <w:t xml:space="preserve"> </w:t>
      </w:r>
      <w:r w:rsidRPr="00B004EE">
        <w:rPr>
          <w:rFonts w:ascii="Tahoma" w:hAnsi="Tahoma" w:cs="Tahoma"/>
          <w:sz w:val="20"/>
          <w:szCs w:val="20"/>
        </w:rPr>
        <w:t>;</w:t>
      </w:r>
    </w:p>
    <w:p w14:paraId="193FA2E8" w14:textId="2CBCC123" w:rsidR="008105B4" w:rsidRPr="00B004EE" w:rsidRDefault="008105B4" w:rsidP="00B004EE">
      <w:pPr>
        <w:tabs>
          <w:tab w:val="left" w:pos="142"/>
          <w:tab w:val="left" w:pos="567"/>
          <w:tab w:val="left" w:pos="3070"/>
          <w:tab w:val="left" w:pos="4605"/>
          <w:tab w:val="left" w:pos="6140"/>
          <w:tab w:val="left" w:pos="7675"/>
          <w:tab w:val="left" w:pos="9210"/>
        </w:tabs>
        <w:ind w:left="567" w:hanging="567"/>
        <w:jc w:val="both"/>
        <w:rPr>
          <w:rFonts w:ascii="Tahoma" w:hAnsi="Tahoma" w:cs="Tahoma"/>
          <w:sz w:val="20"/>
          <w:szCs w:val="20"/>
        </w:rPr>
      </w:pP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nématocides</w:t>
      </w:r>
      <w:r w:rsidR="00DB1635" w:rsidRPr="00B004EE">
        <w:rPr>
          <w:rFonts w:ascii="Tahoma" w:hAnsi="Tahoma" w:cs="Tahoma"/>
          <w:sz w:val="20"/>
          <w:szCs w:val="20"/>
        </w:rPr>
        <w:t xml:space="preserve"> </w:t>
      </w:r>
      <w:r w:rsidRPr="00B004EE">
        <w:rPr>
          <w:rFonts w:ascii="Tahoma" w:hAnsi="Tahoma" w:cs="Tahoma"/>
          <w:sz w:val="20"/>
          <w:szCs w:val="20"/>
        </w:rPr>
        <w:t>organiques</w:t>
      </w:r>
      <w:r w:rsidR="00DB1635" w:rsidRPr="00B004EE">
        <w:rPr>
          <w:rFonts w:ascii="Tahoma" w:hAnsi="Tahoma" w:cs="Tahoma"/>
          <w:sz w:val="20"/>
          <w:szCs w:val="20"/>
        </w:rPr>
        <w:t xml:space="preserve"> </w:t>
      </w:r>
      <w:r w:rsidRPr="00B004EE">
        <w:rPr>
          <w:rFonts w:ascii="Tahoma" w:hAnsi="Tahoma" w:cs="Tahoma"/>
          <w:sz w:val="20"/>
          <w:szCs w:val="20"/>
        </w:rPr>
        <w:t>;</w:t>
      </w:r>
    </w:p>
    <w:p w14:paraId="39596025" w14:textId="403422D1" w:rsidR="008105B4" w:rsidRPr="00B004EE" w:rsidRDefault="008105B4" w:rsidP="00B004EE">
      <w:pPr>
        <w:tabs>
          <w:tab w:val="left" w:pos="142"/>
          <w:tab w:val="left" w:pos="567"/>
          <w:tab w:val="left" w:pos="3070"/>
          <w:tab w:val="left" w:pos="4605"/>
          <w:tab w:val="left" w:pos="6140"/>
          <w:tab w:val="left" w:pos="7675"/>
          <w:tab w:val="left" w:pos="9210"/>
        </w:tabs>
        <w:ind w:left="567" w:hanging="567"/>
        <w:jc w:val="both"/>
        <w:rPr>
          <w:rFonts w:ascii="Tahoma" w:hAnsi="Tahoma" w:cs="Tahoma"/>
          <w:sz w:val="20"/>
          <w:szCs w:val="20"/>
        </w:rPr>
      </w:pP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acaricides</w:t>
      </w:r>
      <w:r w:rsidR="00DB1635" w:rsidRPr="00B004EE">
        <w:rPr>
          <w:rFonts w:ascii="Tahoma" w:hAnsi="Tahoma" w:cs="Tahoma"/>
          <w:sz w:val="20"/>
          <w:szCs w:val="20"/>
        </w:rPr>
        <w:t xml:space="preserve"> </w:t>
      </w:r>
      <w:r w:rsidRPr="00B004EE">
        <w:rPr>
          <w:rFonts w:ascii="Tahoma" w:hAnsi="Tahoma" w:cs="Tahoma"/>
          <w:sz w:val="20"/>
          <w:szCs w:val="20"/>
        </w:rPr>
        <w:t>organiques</w:t>
      </w:r>
      <w:r w:rsidR="00DB1635" w:rsidRPr="00B004EE">
        <w:rPr>
          <w:rFonts w:ascii="Tahoma" w:hAnsi="Tahoma" w:cs="Tahoma"/>
          <w:sz w:val="20"/>
          <w:szCs w:val="20"/>
        </w:rPr>
        <w:t xml:space="preserve"> </w:t>
      </w:r>
      <w:r w:rsidRPr="00B004EE">
        <w:rPr>
          <w:rFonts w:ascii="Tahoma" w:hAnsi="Tahoma" w:cs="Tahoma"/>
          <w:sz w:val="20"/>
          <w:szCs w:val="20"/>
        </w:rPr>
        <w:t>;</w:t>
      </w:r>
    </w:p>
    <w:p w14:paraId="34CA3852" w14:textId="30322B2E" w:rsidR="008105B4" w:rsidRPr="00B004EE" w:rsidRDefault="008105B4" w:rsidP="00B004EE">
      <w:pPr>
        <w:tabs>
          <w:tab w:val="left" w:pos="142"/>
          <w:tab w:val="left" w:pos="567"/>
          <w:tab w:val="left" w:pos="3070"/>
          <w:tab w:val="left" w:pos="4605"/>
          <w:tab w:val="left" w:pos="6140"/>
          <w:tab w:val="left" w:pos="7675"/>
          <w:tab w:val="left" w:pos="9210"/>
        </w:tabs>
        <w:ind w:left="567" w:hanging="567"/>
        <w:jc w:val="both"/>
        <w:rPr>
          <w:rFonts w:ascii="Tahoma" w:hAnsi="Tahoma" w:cs="Tahoma"/>
          <w:sz w:val="20"/>
          <w:szCs w:val="20"/>
        </w:rPr>
      </w:pP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algicides</w:t>
      </w:r>
      <w:r w:rsidR="00DB1635" w:rsidRPr="00B004EE">
        <w:rPr>
          <w:rFonts w:ascii="Tahoma" w:hAnsi="Tahoma" w:cs="Tahoma"/>
          <w:sz w:val="20"/>
          <w:szCs w:val="20"/>
        </w:rPr>
        <w:t xml:space="preserve"> </w:t>
      </w:r>
      <w:r w:rsidRPr="00B004EE">
        <w:rPr>
          <w:rFonts w:ascii="Tahoma" w:hAnsi="Tahoma" w:cs="Tahoma"/>
          <w:sz w:val="20"/>
          <w:szCs w:val="20"/>
        </w:rPr>
        <w:t>organiques</w:t>
      </w:r>
      <w:r w:rsidR="00DB1635" w:rsidRPr="00B004EE">
        <w:rPr>
          <w:rFonts w:ascii="Tahoma" w:hAnsi="Tahoma" w:cs="Tahoma"/>
          <w:sz w:val="20"/>
          <w:szCs w:val="20"/>
        </w:rPr>
        <w:t xml:space="preserve"> </w:t>
      </w:r>
      <w:r w:rsidRPr="00B004EE">
        <w:rPr>
          <w:rFonts w:ascii="Tahoma" w:hAnsi="Tahoma" w:cs="Tahoma"/>
          <w:sz w:val="20"/>
          <w:szCs w:val="20"/>
        </w:rPr>
        <w:t>;</w:t>
      </w:r>
    </w:p>
    <w:p w14:paraId="4CDF6333" w14:textId="03919024" w:rsidR="008105B4" w:rsidRPr="00B004EE" w:rsidRDefault="008105B4" w:rsidP="00B004EE">
      <w:pPr>
        <w:tabs>
          <w:tab w:val="left" w:pos="142"/>
          <w:tab w:val="left" w:pos="567"/>
          <w:tab w:val="left" w:pos="3070"/>
          <w:tab w:val="left" w:pos="4605"/>
          <w:tab w:val="left" w:pos="6140"/>
          <w:tab w:val="left" w:pos="7675"/>
          <w:tab w:val="left" w:pos="9210"/>
        </w:tabs>
        <w:ind w:left="567" w:hanging="567"/>
        <w:jc w:val="both"/>
        <w:rPr>
          <w:rFonts w:ascii="Tahoma" w:hAnsi="Tahoma" w:cs="Tahoma"/>
          <w:sz w:val="20"/>
          <w:szCs w:val="20"/>
        </w:rPr>
      </w:pP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rodenticides</w:t>
      </w:r>
      <w:r w:rsidR="00DB1635" w:rsidRPr="00B004EE">
        <w:rPr>
          <w:rFonts w:ascii="Tahoma" w:hAnsi="Tahoma" w:cs="Tahoma"/>
          <w:sz w:val="20"/>
          <w:szCs w:val="20"/>
        </w:rPr>
        <w:t xml:space="preserve"> </w:t>
      </w:r>
      <w:r w:rsidRPr="00B004EE">
        <w:rPr>
          <w:rFonts w:ascii="Tahoma" w:hAnsi="Tahoma" w:cs="Tahoma"/>
          <w:sz w:val="20"/>
          <w:szCs w:val="20"/>
        </w:rPr>
        <w:t>organiques</w:t>
      </w:r>
      <w:r w:rsidR="00DB1635" w:rsidRPr="00B004EE">
        <w:rPr>
          <w:rFonts w:ascii="Tahoma" w:hAnsi="Tahoma" w:cs="Tahoma"/>
          <w:sz w:val="20"/>
          <w:szCs w:val="20"/>
        </w:rPr>
        <w:t xml:space="preserve"> </w:t>
      </w:r>
      <w:r w:rsidRPr="00B004EE">
        <w:rPr>
          <w:rFonts w:ascii="Tahoma" w:hAnsi="Tahoma" w:cs="Tahoma"/>
          <w:sz w:val="20"/>
          <w:szCs w:val="20"/>
        </w:rPr>
        <w:t>;</w:t>
      </w:r>
    </w:p>
    <w:p w14:paraId="30ED8B52" w14:textId="4C7B9BE6" w:rsidR="008105B4" w:rsidRPr="00B004EE" w:rsidRDefault="008105B4" w:rsidP="00B004EE">
      <w:pPr>
        <w:tabs>
          <w:tab w:val="left" w:pos="567"/>
          <w:tab w:val="left" w:pos="3070"/>
          <w:tab w:val="left" w:pos="4605"/>
          <w:tab w:val="left" w:pos="6140"/>
          <w:tab w:val="left" w:pos="7675"/>
          <w:tab w:val="left" w:pos="9210"/>
        </w:tabs>
        <w:ind w:left="567" w:hanging="284"/>
        <w:jc w:val="both"/>
        <w:rPr>
          <w:rFonts w:ascii="Tahoma" w:hAnsi="Tahoma" w:cs="Tahoma"/>
          <w:sz w:val="20"/>
          <w:szCs w:val="20"/>
        </w:rPr>
      </w:pP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antimoisissures</w:t>
      </w:r>
      <w:r w:rsidR="00DB1635" w:rsidRPr="00B004EE">
        <w:rPr>
          <w:rFonts w:ascii="Tahoma" w:hAnsi="Tahoma" w:cs="Tahoma"/>
          <w:sz w:val="20"/>
          <w:szCs w:val="20"/>
        </w:rPr>
        <w:t xml:space="preserve"> </w:t>
      </w:r>
      <w:r w:rsidRPr="00B004EE">
        <w:rPr>
          <w:rFonts w:ascii="Tahoma" w:hAnsi="Tahoma" w:cs="Tahoma"/>
          <w:sz w:val="20"/>
          <w:szCs w:val="20"/>
        </w:rPr>
        <w:t>organiques</w:t>
      </w:r>
      <w:r w:rsidR="00DB1635" w:rsidRPr="00B004EE">
        <w:rPr>
          <w:rFonts w:ascii="Tahoma" w:hAnsi="Tahoma" w:cs="Tahoma"/>
          <w:sz w:val="20"/>
          <w:szCs w:val="20"/>
        </w:rPr>
        <w:t xml:space="preserve"> </w:t>
      </w:r>
      <w:r w:rsidRPr="00B004EE">
        <w:rPr>
          <w:rFonts w:ascii="Tahoma" w:hAnsi="Tahoma" w:cs="Tahoma"/>
          <w:sz w:val="20"/>
          <w:szCs w:val="20"/>
        </w:rPr>
        <w:t>;</w:t>
      </w:r>
    </w:p>
    <w:p w14:paraId="2406A2EE" w14:textId="30FFBB39" w:rsidR="008105B4" w:rsidRPr="00B004EE" w:rsidRDefault="008105B4" w:rsidP="00B004EE">
      <w:pPr>
        <w:tabs>
          <w:tab w:val="left" w:pos="567"/>
          <w:tab w:val="left" w:pos="3070"/>
          <w:tab w:val="left" w:pos="4605"/>
          <w:tab w:val="left" w:pos="6140"/>
          <w:tab w:val="left" w:pos="7675"/>
          <w:tab w:val="left" w:pos="9210"/>
        </w:tabs>
        <w:ind w:left="567" w:hanging="284"/>
        <w:jc w:val="both"/>
        <w:rPr>
          <w:rFonts w:ascii="Tahoma" w:hAnsi="Tahoma" w:cs="Tahoma"/>
          <w:sz w:val="20"/>
          <w:szCs w:val="20"/>
        </w:rPr>
      </w:pP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apparentés</w:t>
      </w:r>
      <w:r w:rsidR="00DB1635" w:rsidRPr="00B004EE">
        <w:rPr>
          <w:rFonts w:ascii="Tahoma" w:hAnsi="Tahoma" w:cs="Tahoma"/>
          <w:sz w:val="20"/>
          <w:szCs w:val="20"/>
        </w:rPr>
        <w:t xml:space="preserve"> </w:t>
      </w:r>
      <w:r w:rsidRPr="00B004EE">
        <w:rPr>
          <w:rFonts w:ascii="Tahoma" w:hAnsi="Tahoma" w:cs="Tahoma"/>
          <w:sz w:val="20"/>
          <w:szCs w:val="20"/>
        </w:rPr>
        <w:t>(notamment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régulateurs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croissance)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leurs</w:t>
      </w:r>
      <w:r w:rsidR="00DB1635" w:rsidRPr="00B004EE">
        <w:rPr>
          <w:rFonts w:ascii="Tahoma" w:hAnsi="Tahoma" w:cs="Tahoma"/>
          <w:sz w:val="20"/>
          <w:szCs w:val="20"/>
        </w:rPr>
        <w:t xml:space="preserve"> </w:t>
      </w:r>
      <w:r w:rsidRPr="00B004EE">
        <w:rPr>
          <w:rFonts w:ascii="Tahoma" w:hAnsi="Tahoma" w:cs="Tahoma"/>
          <w:sz w:val="20"/>
          <w:szCs w:val="20"/>
        </w:rPr>
        <w:t>métabolites,</w:t>
      </w:r>
      <w:r w:rsidR="00DB1635" w:rsidRPr="00B004EE">
        <w:rPr>
          <w:rFonts w:ascii="Tahoma" w:hAnsi="Tahoma" w:cs="Tahoma"/>
          <w:sz w:val="20"/>
          <w:szCs w:val="20"/>
        </w:rPr>
        <w:t xml:space="preserve"> </w:t>
      </w:r>
    </w:p>
    <w:p w14:paraId="2DA54BA5" w14:textId="7679473A" w:rsidR="008105B4" w:rsidRPr="00B004EE" w:rsidRDefault="00DB1635" w:rsidP="00B004EE">
      <w:pPr>
        <w:tabs>
          <w:tab w:val="left" w:pos="567"/>
          <w:tab w:val="left" w:pos="3070"/>
          <w:tab w:val="left" w:pos="4605"/>
          <w:tab w:val="left" w:pos="6140"/>
          <w:tab w:val="left" w:pos="7675"/>
          <w:tab w:val="left" w:pos="9210"/>
        </w:tabs>
        <w:ind w:left="567" w:hanging="284"/>
        <w:jc w:val="both"/>
        <w:rPr>
          <w:rFonts w:ascii="Tahoma" w:hAnsi="Tahoma" w:cs="Tahoma"/>
          <w:sz w:val="20"/>
          <w:szCs w:val="20"/>
        </w:rPr>
      </w:pPr>
      <w:r w:rsidRPr="00B004EE">
        <w:rPr>
          <w:rFonts w:ascii="Tahoma" w:hAnsi="Tahoma" w:cs="Tahoma"/>
          <w:sz w:val="20"/>
          <w:szCs w:val="20"/>
        </w:rPr>
        <w:t xml:space="preserve"> </w:t>
      </w:r>
      <w:proofErr w:type="gramStart"/>
      <w:r w:rsidR="008105B4" w:rsidRPr="00B004EE">
        <w:rPr>
          <w:rFonts w:ascii="Tahoma" w:hAnsi="Tahoma" w:cs="Tahoma"/>
          <w:sz w:val="20"/>
          <w:szCs w:val="20"/>
        </w:rPr>
        <w:t>produits</w:t>
      </w:r>
      <w:proofErr w:type="gramEnd"/>
      <w:r w:rsidRPr="00B004EE">
        <w:rPr>
          <w:rFonts w:ascii="Tahoma" w:hAnsi="Tahoma" w:cs="Tahoma"/>
          <w:sz w:val="20"/>
          <w:szCs w:val="20"/>
        </w:rPr>
        <w:t xml:space="preserve"> </w:t>
      </w:r>
      <w:r w:rsidR="008105B4" w:rsidRPr="00B004EE">
        <w:rPr>
          <w:rFonts w:ascii="Tahoma" w:hAnsi="Tahoma" w:cs="Tahoma"/>
          <w:sz w:val="20"/>
          <w:szCs w:val="20"/>
        </w:rPr>
        <w:t>de</w:t>
      </w:r>
      <w:r w:rsidRPr="00B004EE">
        <w:rPr>
          <w:rFonts w:ascii="Tahoma" w:hAnsi="Tahoma" w:cs="Tahoma"/>
          <w:sz w:val="20"/>
          <w:szCs w:val="20"/>
        </w:rPr>
        <w:t xml:space="preserve"> </w:t>
      </w:r>
      <w:r w:rsidR="008105B4" w:rsidRPr="00B004EE">
        <w:rPr>
          <w:rFonts w:ascii="Tahoma" w:hAnsi="Tahoma" w:cs="Tahoma"/>
          <w:sz w:val="20"/>
          <w:szCs w:val="20"/>
        </w:rPr>
        <w:t>dégradation</w:t>
      </w:r>
      <w:r w:rsidRPr="00B004EE">
        <w:rPr>
          <w:rFonts w:ascii="Tahoma" w:hAnsi="Tahoma" w:cs="Tahoma"/>
          <w:sz w:val="20"/>
          <w:szCs w:val="20"/>
        </w:rPr>
        <w:t xml:space="preserve"> </w:t>
      </w:r>
      <w:r w:rsidR="008105B4" w:rsidRPr="00B004EE">
        <w:rPr>
          <w:rFonts w:ascii="Tahoma" w:hAnsi="Tahoma" w:cs="Tahoma"/>
          <w:sz w:val="20"/>
          <w:szCs w:val="20"/>
        </w:rPr>
        <w:t>et</w:t>
      </w:r>
      <w:r w:rsidRPr="00B004EE">
        <w:rPr>
          <w:rFonts w:ascii="Tahoma" w:hAnsi="Tahoma" w:cs="Tahoma"/>
          <w:sz w:val="20"/>
          <w:szCs w:val="20"/>
        </w:rPr>
        <w:t xml:space="preserve"> </w:t>
      </w:r>
      <w:r w:rsidR="008105B4" w:rsidRPr="00B004EE">
        <w:rPr>
          <w:rFonts w:ascii="Tahoma" w:hAnsi="Tahoma" w:cs="Tahoma"/>
          <w:sz w:val="20"/>
          <w:szCs w:val="20"/>
        </w:rPr>
        <w:t>de</w:t>
      </w:r>
      <w:r w:rsidRPr="00B004EE">
        <w:rPr>
          <w:rFonts w:ascii="Tahoma" w:hAnsi="Tahoma" w:cs="Tahoma"/>
          <w:sz w:val="20"/>
          <w:szCs w:val="20"/>
        </w:rPr>
        <w:t xml:space="preserve"> </w:t>
      </w:r>
      <w:r w:rsidR="008105B4" w:rsidRPr="00B004EE">
        <w:rPr>
          <w:rFonts w:ascii="Tahoma" w:hAnsi="Tahoma" w:cs="Tahoma"/>
          <w:sz w:val="20"/>
          <w:szCs w:val="20"/>
        </w:rPr>
        <w:t>réaction</w:t>
      </w:r>
      <w:r w:rsidRPr="00B004EE">
        <w:rPr>
          <w:rFonts w:ascii="Tahoma" w:hAnsi="Tahoma" w:cs="Tahoma"/>
          <w:sz w:val="20"/>
          <w:szCs w:val="20"/>
        </w:rPr>
        <w:t xml:space="preserve"> </w:t>
      </w:r>
      <w:r w:rsidR="008105B4" w:rsidRPr="00B004EE">
        <w:rPr>
          <w:rFonts w:ascii="Tahoma" w:hAnsi="Tahoma" w:cs="Tahoma"/>
          <w:sz w:val="20"/>
          <w:szCs w:val="20"/>
        </w:rPr>
        <w:t>pertinents.</w:t>
      </w:r>
    </w:p>
    <w:p w14:paraId="3953C1D9" w14:textId="77777777" w:rsidR="008105B4" w:rsidRPr="00B004EE" w:rsidRDefault="008105B4" w:rsidP="00B004EE">
      <w:pPr>
        <w:tabs>
          <w:tab w:val="left" w:pos="567"/>
          <w:tab w:val="left" w:pos="3070"/>
          <w:tab w:val="left" w:pos="4605"/>
          <w:tab w:val="left" w:pos="6140"/>
          <w:tab w:val="left" w:pos="7675"/>
          <w:tab w:val="left" w:pos="9210"/>
        </w:tabs>
        <w:ind w:left="567" w:hanging="284"/>
        <w:jc w:val="both"/>
        <w:rPr>
          <w:rFonts w:ascii="Tahoma" w:hAnsi="Tahoma" w:cs="Tahoma"/>
          <w:sz w:val="20"/>
          <w:szCs w:val="20"/>
        </w:rPr>
      </w:pPr>
    </w:p>
    <w:p w14:paraId="5D40718E" w14:textId="13F96CB8" w:rsidR="008105B4" w:rsidRPr="00B004EE" w:rsidRDefault="008105B4" w:rsidP="00B004EE">
      <w:pPr>
        <w:tabs>
          <w:tab w:val="left" w:pos="284"/>
          <w:tab w:val="left" w:pos="3070"/>
          <w:tab w:val="left" w:pos="4605"/>
          <w:tab w:val="left" w:pos="6140"/>
          <w:tab w:val="left" w:pos="7675"/>
          <w:tab w:val="left" w:pos="9210"/>
        </w:tabs>
        <w:ind w:left="284" w:hanging="283"/>
        <w:jc w:val="both"/>
        <w:rPr>
          <w:rFonts w:ascii="Tahoma" w:hAnsi="Tahoma" w:cs="Tahoma"/>
          <w:sz w:val="20"/>
          <w:szCs w:val="20"/>
        </w:rPr>
      </w:pPr>
      <w:r w:rsidRPr="00B004EE">
        <w:rPr>
          <w:rFonts w:ascii="Tahoma" w:hAnsi="Tahoma" w:cs="Tahoma"/>
          <w:sz w:val="20"/>
          <w:szCs w:val="20"/>
        </w:rPr>
        <w:t>Note</w:t>
      </w:r>
      <w:r w:rsidR="00DB1635" w:rsidRPr="00B004EE">
        <w:rPr>
          <w:rFonts w:ascii="Tahoma" w:hAnsi="Tahoma" w:cs="Tahoma"/>
          <w:sz w:val="20"/>
          <w:szCs w:val="20"/>
        </w:rPr>
        <w:t xml:space="preserve"> </w:t>
      </w:r>
      <w:r w:rsidRPr="00B004EE">
        <w:rPr>
          <w:rFonts w:ascii="Tahoma" w:hAnsi="Tahoma" w:cs="Tahoma"/>
          <w:sz w:val="20"/>
          <w:szCs w:val="20"/>
        </w:rPr>
        <w:t>7</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limite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qualité</w:t>
      </w:r>
      <w:r w:rsidR="00DB1635" w:rsidRPr="00B004EE">
        <w:rPr>
          <w:rFonts w:ascii="Tahoma" w:hAnsi="Tahoma" w:cs="Tahoma"/>
          <w:sz w:val="20"/>
          <w:szCs w:val="20"/>
        </w:rPr>
        <w:t xml:space="preserve"> </w:t>
      </w:r>
      <w:r w:rsidRPr="00B004EE">
        <w:rPr>
          <w:rFonts w:ascii="Tahoma" w:hAnsi="Tahoma" w:cs="Tahoma"/>
          <w:sz w:val="20"/>
          <w:szCs w:val="20"/>
        </w:rPr>
        <w:t>s’applique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chacun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pesticides,</w:t>
      </w:r>
      <w:r w:rsidR="00DB1635" w:rsidRPr="00B004EE">
        <w:rPr>
          <w:rFonts w:ascii="Tahoma" w:hAnsi="Tahoma" w:cs="Tahoma"/>
          <w:sz w:val="20"/>
          <w:szCs w:val="20"/>
        </w:rPr>
        <w:t xml:space="preserve"> </w:t>
      </w:r>
      <w:r w:rsidRPr="00B004EE">
        <w:rPr>
          <w:rFonts w:ascii="Tahoma" w:hAnsi="Tahoma" w:cs="Tahoma"/>
          <w:sz w:val="20"/>
          <w:szCs w:val="20"/>
        </w:rPr>
        <w:t>sauf</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l’aldrine,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dieldrine,</w:t>
      </w:r>
      <w:r w:rsidR="00DB1635" w:rsidRPr="00B004EE">
        <w:rPr>
          <w:rFonts w:ascii="Tahoma" w:hAnsi="Tahoma" w:cs="Tahoma"/>
          <w:sz w:val="20"/>
          <w:szCs w:val="20"/>
        </w:rPr>
        <w:t xml:space="preserve"> </w:t>
      </w:r>
      <w:r w:rsidRPr="00B004EE">
        <w:rPr>
          <w:rFonts w:ascii="Tahoma" w:hAnsi="Tahoma" w:cs="Tahoma"/>
          <w:sz w:val="20"/>
          <w:szCs w:val="20"/>
        </w:rPr>
        <w:t>l’heptachlore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l’heptachlorépoxyde</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lesquels</w:t>
      </w:r>
      <w:r w:rsidR="00DB1635" w:rsidRPr="00B004EE">
        <w:rPr>
          <w:rFonts w:ascii="Tahoma" w:hAnsi="Tahoma" w:cs="Tahoma"/>
          <w:sz w:val="20"/>
          <w:szCs w:val="20"/>
        </w:rPr>
        <w:t xml:space="preserve"> </w:t>
      </w:r>
      <w:r w:rsidRPr="00B004EE">
        <w:rPr>
          <w:rFonts w:ascii="Tahoma" w:hAnsi="Tahoma" w:cs="Tahoma"/>
          <w:sz w:val="20"/>
          <w:szCs w:val="20"/>
        </w:rPr>
        <w:t>cette</w:t>
      </w:r>
      <w:r w:rsidR="00DB1635" w:rsidRPr="00B004EE">
        <w:rPr>
          <w:rFonts w:ascii="Tahoma" w:hAnsi="Tahoma" w:cs="Tahoma"/>
          <w:sz w:val="20"/>
          <w:szCs w:val="20"/>
        </w:rPr>
        <w:t xml:space="preserve"> </w:t>
      </w:r>
      <w:r w:rsidRPr="00B004EE">
        <w:rPr>
          <w:rFonts w:ascii="Tahoma" w:hAnsi="Tahoma" w:cs="Tahoma"/>
          <w:sz w:val="20"/>
          <w:szCs w:val="20"/>
        </w:rPr>
        <w:t>limite</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0,03</w:t>
      </w:r>
      <w:r w:rsidR="00DB1635" w:rsidRPr="00B004EE">
        <w:rPr>
          <w:rFonts w:ascii="Tahoma" w:hAnsi="Tahoma" w:cs="Tahoma"/>
          <w:sz w:val="20"/>
          <w:szCs w:val="20"/>
        </w:rPr>
        <w:t xml:space="preserve"> </w:t>
      </w:r>
      <w:r w:rsidRPr="00B004EE">
        <w:rPr>
          <w:rFonts w:ascii="Tahoma" w:hAnsi="Tahoma" w:cs="Tahoma"/>
          <w:sz w:val="20"/>
          <w:szCs w:val="20"/>
        </w:rPr>
        <w:t>µg/l.</w:t>
      </w:r>
    </w:p>
    <w:p w14:paraId="0C51389E" w14:textId="77777777" w:rsidR="008105B4" w:rsidRPr="00B004EE" w:rsidRDefault="008105B4" w:rsidP="00B004EE">
      <w:pPr>
        <w:tabs>
          <w:tab w:val="left" w:pos="284"/>
          <w:tab w:val="left" w:pos="3070"/>
          <w:tab w:val="left" w:pos="4605"/>
          <w:tab w:val="left" w:pos="6140"/>
          <w:tab w:val="left" w:pos="7675"/>
          <w:tab w:val="left" w:pos="9210"/>
        </w:tabs>
        <w:ind w:left="284" w:hanging="283"/>
        <w:jc w:val="both"/>
        <w:rPr>
          <w:rFonts w:ascii="Tahoma" w:hAnsi="Tahoma" w:cs="Tahoma"/>
          <w:sz w:val="20"/>
          <w:szCs w:val="20"/>
        </w:rPr>
      </w:pPr>
    </w:p>
    <w:p w14:paraId="22F5CBAF" w14:textId="3F72D613" w:rsidR="008105B4" w:rsidRPr="00B004EE" w:rsidRDefault="008105B4" w:rsidP="00B004EE">
      <w:pPr>
        <w:tabs>
          <w:tab w:val="left" w:pos="284"/>
          <w:tab w:val="left" w:pos="3070"/>
          <w:tab w:val="left" w:pos="4605"/>
          <w:tab w:val="left" w:pos="6140"/>
          <w:tab w:val="left" w:pos="7675"/>
          <w:tab w:val="left" w:pos="9210"/>
        </w:tabs>
        <w:ind w:left="284" w:hanging="283"/>
        <w:jc w:val="both"/>
        <w:rPr>
          <w:rFonts w:ascii="Tahoma" w:hAnsi="Tahoma" w:cs="Tahoma"/>
          <w:sz w:val="20"/>
          <w:szCs w:val="20"/>
        </w:rPr>
      </w:pPr>
      <w:r w:rsidRPr="00B004EE">
        <w:rPr>
          <w:rFonts w:ascii="Tahoma" w:hAnsi="Tahoma" w:cs="Tahoma"/>
          <w:sz w:val="20"/>
          <w:szCs w:val="20"/>
        </w:rPr>
        <w:t>Note</w:t>
      </w:r>
      <w:r w:rsidR="00DB1635" w:rsidRPr="00B004EE">
        <w:rPr>
          <w:rFonts w:ascii="Tahoma" w:hAnsi="Tahoma" w:cs="Tahoma"/>
          <w:sz w:val="20"/>
          <w:szCs w:val="20"/>
        </w:rPr>
        <w:t xml:space="preserve"> </w:t>
      </w:r>
      <w:r w:rsidRPr="00B004EE">
        <w:rPr>
          <w:rFonts w:ascii="Tahoma" w:hAnsi="Tahoma" w:cs="Tahoma"/>
          <w:sz w:val="20"/>
          <w:szCs w:val="20"/>
        </w:rPr>
        <w:t>8</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total</w:t>
      </w:r>
      <w:r w:rsidR="00DB1635" w:rsidRPr="00B004EE">
        <w:rPr>
          <w:rFonts w:ascii="Tahoma" w:hAnsi="Tahoma" w:cs="Tahoma"/>
          <w:sz w:val="20"/>
          <w:szCs w:val="20"/>
        </w:rPr>
        <w:t xml:space="preserve"> </w:t>
      </w:r>
      <w:r w:rsidRPr="00B004EE">
        <w:rPr>
          <w:rFonts w:ascii="Tahoma" w:hAnsi="Tahoma" w:cs="Tahoma"/>
          <w:sz w:val="20"/>
          <w:szCs w:val="20"/>
        </w:rPr>
        <w:t>pesticides</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on</w:t>
      </w:r>
      <w:r w:rsidR="00DB1635" w:rsidRPr="00B004EE">
        <w:rPr>
          <w:rFonts w:ascii="Tahoma" w:hAnsi="Tahoma" w:cs="Tahoma"/>
          <w:sz w:val="20"/>
          <w:szCs w:val="20"/>
        </w:rPr>
        <w:t xml:space="preserve"> </w:t>
      </w:r>
      <w:r w:rsidRPr="00B004EE">
        <w:rPr>
          <w:rFonts w:ascii="Tahoma" w:hAnsi="Tahoma" w:cs="Tahoma"/>
          <w:sz w:val="20"/>
          <w:szCs w:val="20"/>
        </w:rPr>
        <w:t>entend</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somme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tous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pesticides</w:t>
      </w:r>
      <w:r w:rsidR="00DB1635" w:rsidRPr="00B004EE">
        <w:rPr>
          <w:rFonts w:ascii="Tahoma" w:hAnsi="Tahoma" w:cs="Tahoma"/>
          <w:sz w:val="20"/>
          <w:szCs w:val="20"/>
        </w:rPr>
        <w:t xml:space="preserve"> </w:t>
      </w:r>
      <w:r w:rsidRPr="00B004EE">
        <w:rPr>
          <w:rFonts w:ascii="Tahoma" w:hAnsi="Tahoma" w:cs="Tahoma"/>
          <w:sz w:val="20"/>
          <w:szCs w:val="20"/>
        </w:rPr>
        <w:t>individualisés</w:t>
      </w:r>
      <w:r w:rsidR="00DB1635" w:rsidRPr="00B004EE">
        <w:rPr>
          <w:rFonts w:ascii="Tahoma" w:hAnsi="Tahoma" w:cs="Tahoma"/>
          <w:sz w:val="20"/>
          <w:szCs w:val="20"/>
        </w:rPr>
        <w:t xml:space="preserve"> </w:t>
      </w:r>
      <w:r w:rsidRPr="00B004EE">
        <w:rPr>
          <w:rFonts w:ascii="Tahoma" w:hAnsi="Tahoma" w:cs="Tahoma"/>
          <w:sz w:val="20"/>
          <w:szCs w:val="20"/>
        </w:rPr>
        <w:t>détectés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quantifiés.</w:t>
      </w:r>
    </w:p>
    <w:p w14:paraId="4A93BA96" w14:textId="77777777" w:rsidR="008105B4" w:rsidRPr="00B004EE" w:rsidRDefault="008105B4" w:rsidP="00B004EE">
      <w:pPr>
        <w:tabs>
          <w:tab w:val="left" w:pos="284"/>
          <w:tab w:val="left" w:pos="3070"/>
          <w:tab w:val="left" w:pos="4605"/>
          <w:tab w:val="left" w:pos="6140"/>
          <w:tab w:val="left" w:pos="7675"/>
          <w:tab w:val="left" w:pos="9210"/>
        </w:tabs>
        <w:ind w:left="284" w:hanging="283"/>
        <w:jc w:val="both"/>
        <w:rPr>
          <w:rFonts w:ascii="Tahoma" w:hAnsi="Tahoma" w:cs="Tahoma"/>
          <w:sz w:val="20"/>
          <w:szCs w:val="20"/>
        </w:rPr>
      </w:pPr>
    </w:p>
    <w:p w14:paraId="2069E74F" w14:textId="1599999D" w:rsidR="008105B4" w:rsidRPr="00B004EE" w:rsidRDefault="008105B4" w:rsidP="00B004EE">
      <w:pPr>
        <w:tabs>
          <w:tab w:val="left" w:pos="284"/>
          <w:tab w:val="left" w:pos="3070"/>
          <w:tab w:val="left" w:pos="4605"/>
          <w:tab w:val="left" w:pos="6140"/>
          <w:tab w:val="left" w:pos="7675"/>
          <w:tab w:val="left" w:pos="9210"/>
        </w:tabs>
        <w:ind w:left="284" w:hanging="283"/>
        <w:jc w:val="both"/>
        <w:rPr>
          <w:rFonts w:ascii="Tahoma" w:hAnsi="Tahoma" w:cs="Tahoma"/>
          <w:sz w:val="20"/>
          <w:szCs w:val="20"/>
        </w:rPr>
      </w:pPr>
      <w:r w:rsidRPr="00B004EE">
        <w:rPr>
          <w:rFonts w:ascii="Tahoma" w:hAnsi="Tahoma" w:cs="Tahoma"/>
          <w:sz w:val="20"/>
          <w:szCs w:val="20"/>
        </w:rPr>
        <w:t>Note</w:t>
      </w:r>
      <w:r w:rsidR="00DB1635" w:rsidRPr="00B004EE">
        <w:rPr>
          <w:rFonts w:ascii="Tahoma" w:hAnsi="Tahoma" w:cs="Tahoma"/>
          <w:sz w:val="20"/>
          <w:szCs w:val="20"/>
        </w:rPr>
        <w:t xml:space="preserve"> </w:t>
      </w:r>
      <w:r w:rsidRPr="00B004EE">
        <w:rPr>
          <w:rFonts w:ascii="Tahoma" w:hAnsi="Tahoma" w:cs="Tahoma"/>
          <w:sz w:val="20"/>
          <w:szCs w:val="20"/>
        </w:rPr>
        <w:t>9</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limite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qualité</w:t>
      </w:r>
      <w:r w:rsidR="00DB1635" w:rsidRPr="00B004EE">
        <w:rPr>
          <w:rFonts w:ascii="Tahoma" w:hAnsi="Tahoma" w:cs="Tahoma"/>
          <w:sz w:val="20"/>
          <w:szCs w:val="20"/>
        </w:rPr>
        <w:t xml:space="preserve"> </w:t>
      </w:r>
      <w:r w:rsidRPr="00B004EE">
        <w:rPr>
          <w:rFonts w:ascii="Tahoma" w:hAnsi="Tahoma" w:cs="Tahoma"/>
          <w:sz w:val="20"/>
          <w:szCs w:val="20"/>
        </w:rPr>
        <w:t>doit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respectée</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plus</w:t>
      </w:r>
      <w:r w:rsidR="00DB1635" w:rsidRPr="00B004EE">
        <w:rPr>
          <w:rFonts w:ascii="Tahoma" w:hAnsi="Tahoma" w:cs="Tahoma"/>
          <w:sz w:val="20"/>
          <w:szCs w:val="20"/>
        </w:rPr>
        <w:t xml:space="preserve"> </w:t>
      </w:r>
      <w:r w:rsidRPr="00B004EE">
        <w:rPr>
          <w:rFonts w:ascii="Tahoma" w:hAnsi="Tahoma" w:cs="Tahoma"/>
          <w:sz w:val="20"/>
          <w:szCs w:val="20"/>
        </w:rPr>
        <w:t>tard</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1er</w:t>
      </w:r>
      <w:r w:rsidR="00DB1635" w:rsidRPr="00B004EE">
        <w:rPr>
          <w:rFonts w:ascii="Tahoma" w:hAnsi="Tahoma" w:cs="Tahoma"/>
          <w:sz w:val="20"/>
          <w:szCs w:val="20"/>
        </w:rPr>
        <w:t xml:space="preserve"> </w:t>
      </w:r>
      <w:r w:rsidRPr="00B004EE">
        <w:rPr>
          <w:rFonts w:ascii="Tahoma" w:hAnsi="Tahoma" w:cs="Tahoma"/>
          <w:sz w:val="20"/>
          <w:szCs w:val="20"/>
        </w:rPr>
        <w:t>janvier</w:t>
      </w:r>
      <w:r w:rsidR="00DB1635" w:rsidRPr="00B004EE">
        <w:rPr>
          <w:rFonts w:ascii="Tahoma" w:hAnsi="Tahoma" w:cs="Tahoma"/>
          <w:sz w:val="20"/>
          <w:szCs w:val="20"/>
        </w:rPr>
        <w:t xml:space="preserve"> </w:t>
      </w:r>
      <w:r w:rsidRPr="00B004EE">
        <w:rPr>
          <w:rFonts w:ascii="Tahoma" w:hAnsi="Tahoma" w:cs="Tahoma"/>
          <w:sz w:val="20"/>
          <w:szCs w:val="20"/>
        </w:rPr>
        <w:t>2014.</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limite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qualité</w:t>
      </w:r>
      <w:r w:rsidR="00DB1635" w:rsidRPr="00B004EE">
        <w:rPr>
          <w:rFonts w:ascii="Tahoma" w:hAnsi="Tahoma" w:cs="Tahoma"/>
          <w:sz w:val="20"/>
          <w:szCs w:val="20"/>
        </w:rPr>
        <w:t xml:space="preserve"> </w:t>
      </w:r>
      <w:r w:rsidRPr="00B004EE">
        <w:rPr>
          <w:rFonts w:ascii="Tahoma" w:hAnsi="Tahoma" w:cs="Tahoma"/>
          <w:sz w:val="20"/>
          <w:szCs w:val="20"/>
        </w:rPr>
        <w:t>provisoire</w:t>
      </w:r>
      <w:r w:rsidR="00DB1635" w:rsidRPr="00B004EE">
        <w:rPr>
          <w:rFonts w:ascii="Tahoma" w:hAnsi="Tahoma" w:cs="Tahoma"/>
          <w:sz w:val="20"/>
          <w:szCs w:val="20"/>
        </w:rPr>
        <w:t xml:space="preserve"> </w:t>
      </w:r>
      <w:r w:rsidRPr="00B004EE">
        <w:rPr>
          <w:rFonts w:ascii="Tahoma" w:hAnsi="Tahoma" w:cs="Tahoma"/>
          <w:sz w:val="20"/>
          <w:szCs w:val="20"/>
        </w:rPr>
        <w:t>applicable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concentration</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plomb</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fixée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25</w:t>
      </w:r>
      <w:r w:rsidR="00DB1635" w:rsidRPr="00B004EE">
        <w:rPr>
          <w:rFonts w:ascii="Tahoma" w:hAnsi="Tahoma" w:cs="Tahoma"/>
          <w:sz w:val="20"/>
          <w:szCs w:val="20"/>
        </w:rPr>
        <w:t xml:space="preserve"> </w:t>
      </w:r>
      <w:r w:rsidRPr="00B004EE">
        <w:rPr>
          <w:rFonts w:ascii="Tahoma" w:hAnsi="Tahoma" w:cs="Tahoma"/>
          <w:sz w:val="20"/>
          <w:szCs w:val="20"/>
        </w:rPr>
        <w:t>μg/l</w:t>
      </w:r>
      <w:r w:rsidR="00DB1635" w:rsidRPr="00B004EE">
        <w:rPr>
          <w:rFonts w:ascii="Tahoma" w:hAnsi="Tahoma" w:cs="Tahoma"/>
          <w:sz w:val="20"/>
          <w:szCs w:val="20"/>
        </w:rPr>
        <w:t xml:space="preserve"> </w:t>
      </w:r>
      <w:r w:rsidRPr="00B004EE">
        <w:rPr>
          <w:rFonts w:ascii="Tahoma" w:hAnsi="Tahoma" w:cs="Tahoma"/>
          <w:sz w:val="20"/>
          <w:szCs w:val="20"/>
        </w:rPr>
        <w:t>jusqu’à</w:t>
      </w:r>
      <w:r w:rsidR="00DB1635" w:rsidRPr="00B004EE">
        <w:rPr>
          <w:rFonts w:ascii="Tahoma" w:hAnsi="Tahoma" w:cs="Tahoma"/>
          <w:sz w:val="20"/>
          <w:szCs w:val="20"/>
        </w:rPr>
        <w:t xml:space="preserve"> </w:t>
      </w:r>
      <w:r w:rsidRPr="00B004EE">
        <w:rPr>
          <w:rFonts w:ascii="Tahoma" w:hAnsi="Tahoma" w:cs="Tahoma"/>
          <w:sz w:val="20"/>
          <w:szCs w:val="20"/>
        </w:rPr>
        <w:t>cette</w:t>
      </w:r>
      <w:r w:rsidR="00DB1635" w:rsidRPr="00B004EE">
        <w:rPr>
          <w:rFonts w:ascii="Tahoma" w:hAnsi="Tahoma" w:cs="Tahoma"/>
          <w:sz w:val="20"/>
          <w:szCs w:val="20"/>
        </w:rPr>
        <w:t xml:space="preserve"> </w:t>
      </w:r>
      <w:r w:rsidRPr="00B004EE">
        <w:rPr>
          <w:rFonts w:ascii="Tahoma" w:hAnsi="Tahoma" w:cs="Tahoma"/>
          <w:sz w:val="20"/>
          <w:szCs w:val="20"/>
        </w:rPr>
        <w:t>échéance,</w:t>
      </w:r>
      <w:r w:rsidR="00DB1635" w:rsidRPr="00B004EE">
        <w:rPr>
          <w:rFonts w:ascii="Tahoma" w:hAnsi="Tahoma" w:cs="Tahoma"/>
          <w:sz w:val="20"/>
          <w:szCs w:val="20"/>
        </w:rPr>
        <w:t xml:space="preserve"> </w:t>
      </w:r>
      <w:r w:rsidRPr="00B004EE">
        <w:rPr>
          <w:rFonts w:ascii="Tahoma" w:hAnsi="Tahoma" w:cs="Tahoma"/>
          <w:sz w:val="20"/>
          <w:szCs w:val="20"/>
        </w:rPr>
        <w:t>étant</w:t>
      </w:r>
      <w:r w:rsidR="00DB1635" w:rsidRPr="00B004EE">
        <w:rPr>
          <w:rFonts w:ascii="Tahoma" w:hAnsi="Tahoma" w:cs="Tahoma"/>
          <w:sz w:val="20"/>
          <w:szCs w:val="20"/>
        </w:rPr>
        <w:t xml:space="preserve"> </w:t>
      </w:r>
      <w:r w:rsidRPr="00B004EE">
        <w:rPr>
          <w:rFonts w:ascii="Tahoma" w:hAnsi="Tahoma" w:cs="Tahoma"/>
          <w:sz w:val="20"/>
          <w:szCs w:val="20"/>
        </w:rPr>
        <w:t>entendu</w:t>
      </w:r>
      <w:r w:rsidR="00DB1635" w:rsidRPr="00B004EE">
        <w:rPr>
          <w:rFonts w:ascii="Tahoma" w:hAnsi="Tahoma" w:cs="Tahoma"/>
          <w:sz w:val="20"/>
          <w:szCs w:val="20"/>
        </w:rPr>
        <w:t xml:space="preserve"> </w:t>
      </w:r>
      <w:r w:rsidRPr="00B004EE">
        <w:rPr>
          <w:rFonts w:ascii="Tahoma" w:hAnsi="Tahoma" w:cs="Tahoma"/>
          <w:sz w:val="20"/>
          <w:szCs w:val="20"/>
        </w:rPr>
        <w:t>que</w:t>
      </w:r>
      <w:r w:rsidR="00DB1635" w:rsidRPr="00B004EE">
        <w:rPr>
          <w:rFonts w:ascii="Tahoma" w:hAnsi="Tahoma" w:cs="Tahoma"/>
          <w:sz w:val="20"/>
          <w:szCs w:val="20"/>
        </w:rPr>
        <w:t xml:space="preserve"> </w:t>
      </w:r>
      <w:r w:rsidRPr="00B004EE">
        <w:rPr>
          <w:rFonts w:ascii="Tahoma" w:hAnsi="Tahoma" w:cs="Tahoma"/>
          <w:sz w:val="20"/>
          <w:szCs w:val="20"/>
        </w:rPr>
        <w:t>toutes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mesures</w:t>
      </w:r>
      <w:r w:rsidR="00DB1635" w:rsidRPr="00B004EE">
        <w:rPr>
          <w:rFonts w:ascii="Tahoma" w:hAnsi="Tahoma" w:cs="Tahoma"/>
          <w:sz w:val="20"/>
          <w:szCs w:val="20"/>
        </w:rPr>
        <w:t xml:space="preserve"> </w:t>
      </w:r>
      <w:r w:rsidRPr="00B004EE">
        <w:rPr>
          <w:rFonts w:ascii="Tahoma" w:hAnsi="Tahoma" w:cs="Tahoma"/>
          <w:sz w:val="20"/>
          <w:szCs w:val="20"/>
        </w:rPr>
        <w:t>appropriées</w:t>
      </w:r>
      <w:r w:rsidR="00DB1635" w:rsidRPr="00B004EE">
        <w:rPr>
          <w:rFonts w:ascii="Tahoma" w:hAnsi="Tahoma" w:cs="Tahoma"/>
          <w:sz w:val="20"/>
          <w:szCs w:val="20"/>
        </w:rPr>
        <w:t xml:space="preserve"> </w:t>
      </w:r>
      <w:r w:rsidRPr="00B004EE">
        <w:rPr>
          <w:rFonts w:ascii="Tahoma" w:hAnsi="Tahoma" w:cs="Tahoma"/>
          <w:sz w:val="20"/>
          <w:szCs w:val="20"/>
        </w:rPr>
        <w:t>doivent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prises</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réduire</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plus</w:t>
      </w:r>
      <w:r w:rsidR="00DB1635" w:rsidRPr="00B004EE">
        <w:rPr>
          <w:rFonts w:ascii="Tahoma" w:hAnsi="Tahoma" w:cs="Tahoma"/>
          <w:sz w:val="20"/>
          <w:szCs w:val="20"/>
        </w:rPr>
        <w:t xml:space="preserve"> </w:t>
      </w:r>
      <w:r w:rsidRPr="00B004EE">
        <w:rPr>
          <w:rFonts w:ascii="Tahoma" w:hAnsi="Tahoma" w:cs="Tahoma"/>
          <w:sz w:val="20"/>
          <w:szCs w:val="20"/>
        </w:rPr>
        <w:t>possible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concentration</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plomb</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eaux</w:t>
      </w:r>
      <w:r w:rsidR="00DB1635" w:rsidRPr="00B004EE">
        <w:rPr>
          <w:rFonts w:ascii="Tahoma" w:hAnsi="Tahoma" w:cs="Tahoma"/>
          <w:sz w:val="20"/>
          <w:szCs w:val="20"/>
        </w:rPr>
        <w:t xml:space="preserve"> </w:t>
      </w:r>
      <w:r w:rsidRPr="00B004EE">
        <w:rPr>
          <w:rFonts w:ascii="Tahoma" w:hAnsi="Tahoma" w:cs="Tahoma"/>
          <w:sz w:val="20"/>
          <w:szCs w:val="20"/>
        </w:rPr>
        <w:t>destinées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consommation</w:t>
      </w:r>
      <w:r w:rsidR="00DB1635" w:rsidRPr="00B004EE">
        <w:rPr>
          <w:rFonts w:ascii="Tahoma" w:hAnsi="Tahoma" w:cs="Tahoma"/>
          <w:sz w:val="20"/>
          <w:szCs w:val="20"/>
        </w:rPr>
        <w:t xml:space="preserve"> </w:t>
      </w:r>
      <w:r w:rsidRPr="00B004EE">
        <w:rPr>
          <w:rFonts w:ascii="Tahoma" w:hAnsi="Tahoma" w:cs="Tahoma"/>
          <w:sz w:val="20"/>
          <w:szCs w:val="20"/>
        </w:rPr>
        <w:t>humaine</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cours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ce</w:t>
      </w:r>
      <w:r w:rsidR="00DB1635" w:rsidRPr="00B004EE">
        <w:rPr>
          <w:rFonts w:ascii="Tahoma" w:hAnsi="Tahoma" w:cs="Tahoma"/>
          <w:sz w:val="20"/>
          <w:szCs w:val="20"/>
        </w:rPr>
        <w:t xml:space="preserve"> </w:t>
      </w:r>
      <w:r w:rsidRPr="00B004EE">
        <w:rPr>
          <w:rFonts w:ascii="Tahoma" w:hAnsi="Tahoma" w:cs="Tahoma"/>
          <w:sz w:val="20"/>
          <w:szCs w:val="20"/>
        </w:rPr>
        <w:t>délai</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se</w:t>
      </w:r>
      <w:r w:rsidR="00DB1635" w:rsidRPr="00B004EE">
        <w:rPr>
          <w:rFonts w:ascii="Tahoma" w:hAnsi="Tahoma" w:cs="Tahoma"/>
          <w:sz w:val="20"/>
          <w:szCs w:val="20"/>
        </w:rPr>
        <w:t xml:space="preserve"> </w:t>
      </w:r>
      <w:r w:rsidRPr="00B004EE">
        <w:rPr>
          <w:rFonts w:ascii="Tahoma" w:hAnsi="Tahoma" w:cs="Tahoma"/>
          <w:sz w:val="20"/>
          <w:szCs w:val="20"/>
        </w:rPr>
        <w:t>conformer</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limite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qualité.</w:t>
      </w:r>
      <w:r w:rsidR="00DB1635" w:rsidRPr="00B004EE">
        <w:rPr>
          <w:rFonts w:ascii="Tahoma" w:hAnsi="Tahoma" w:cs="Tahoma"/>
          <w:sz w:val="20"/>
          <w:szCs w:val="20"/>
        </w:rPr>
        <w:t xml:space="preserve"> </w:t>
      </w:r>
      <w:r w:rsidRPr="00B004EE">
        <w:rPr>
          <w:rFonts w:ascii="Tahoma" w:hAnsi="Tahoma" w:cs="Tahoma"/>
          <w:sz w:val="20"/>
          <w:szCs w:val="20"/>
        </w:rPr>
        <w:t>Lors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mise</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00830CD2" w:rsidRPr="00B004EE">
        <w:rPr>
          <w:rFonts w:ascii="Tahoma" w:hAnsi="Tahoma" w:cs="Tahoma"/>
          <w:sz w:val="20"/>
          <w:szCs w:val="20"/>
        </w:rPr>
        <w:t>œuvre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mesures</w:t>
      </w:r>
      <w:r w:rsidR="00DB1635" w:rsidRPr="00B004EE">
        <w:rPr>
          <w:rFonts w:ascii="Tahoma" w:hAnsi="Tahoma" w:cs="Tahoma"/>
          <w:sz w:val="20"/>
          <w:szCs w:val="20"/>
        </w:rPr>
        <w:t xml:space="preserve"> </w:t>
      </w:r>
      <w:r w:rsidRPr="00B004EE">
        <w:rPr>
          <w:rFonts w:ascii="Tahoma" w:hAnsi="Tahoma" w:cs="Tahoma"/>
          <w:sz w:val="20"/>
          <w:szCs w:val="20"/>
        </w:rPr>
        <w:t>destinées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atteindre</w:t>
      </w:r>
      <w:r w:rsidR="00DB1635" w:rsidRPr="00B004EE">
        <w:rPr>
          <w:rFonts w:ascii="Tahoma" w:hAnsi="Tahoma" w:cs="Tahoma"/>
          <w:sz w:val="20"/>
          <w:szCs w:val="20"/>
        </w:rPr>
        <w:t xml:space="preserve"> </w:t>
      </w:r>
      <w:r w:rsidRPr="00B004EE">
        <w:rPr>
          <w:rFonts w:ascii="Tahoma" w:hAnsi="Tahoma" w:cs="Tahoma"/>
          <w:sz w:val="20"/>
          <w:szCs w:val="20"/>
        </w:rPr>
        <w:t>cette</w:t>
      </w:r>
      <w:r w:rsidR="00DB1635" w:rsidRPr="00B004EE">
        <w:rPr>
          <w:rFonts w:ascii="Tahoma" w:hAnsi="Tahoma" w:cs="Tahoma"/>
          <w:sz w:val="20"/>
          <w:szCs w:val="20"/>
        </w:rPr>
        <w:t xml:space="preserve"> </w:t>
      </w:r>
      <w:r w:rsidRPr="00B004EE">
        <w:rPr>
          <w:rFonts w:ascii="Tahoma" w:hAnsi="Tahoma" w:cs="Tahoma"/>
          <w:sz w:val="20"/>
          <w:szCs w:val="20"/>
        </w:rPr>
        <w:t>valeur,</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priorité</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donnée</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zones</w:t>
      </w:r>
      <w:r w:rsidR="00DB1635" w:rsidRPr="00B004EE">
        <w:rPr>
          <w:rFonts w:ascii="Tahoma" w:hAnsi="Tahoma" w:cs="Tahoma"/>
          <w:sz w:val="20"/>
          <w:szCs w:val="20"/>
        </w:rPr>
        <w:t xml:space="preserve"> </w:t>
      </w:r>
      <w:r w:rsidRPr="00B004EE">
        <w:rPr>
          <w:rFonts w:ascii="Tahoma" w:hAnsi="Tahoma" w:cs="Tahoma"/>
          <w:sz w:val="20"/>
          <w:szCs w:val="20"/>
        </w:rPr>
        <w:t>où</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concentrations</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plomb</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eaux</w:t>
      </w:r>
      <w:r w:rsidR="00DB1635" w:rsidRPr="00B004EE">
        <w:rPr>
          <w:rFonts w:ascii="Tahoma" w:hAnsi="Tahoma" w:cs="Tahoma"/>
          <w:sz w:val="20"/>
          <w:szCs w:val="20"/>
        </w:rPr>
        <w:t xml:space="preserve"> </w:t>
      </w:r>
      <w:r w:rsidRPr="00B004EE">
        <w:rPr>
          <w:rFonts w:ascii="Tahoma" w:hAnsi="Tahoma" w:cs="Tahoma"/>
          <w:sz w:val="20"/>
          <w:szCs w:val="20"/>
        </w:rPr>
        <w:t>destinées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consommation</w:t>
      </w:r>
      <w:r w:rsidR="00DB1635" w:rsidRPr="00B004EE">
        <w:rPr>
          <w:rFonts w:ascii="Tahoma" w:hAnsi="Tahoma" w:cs="Tahoma"/>
          <w:sz w:val="20"/>
          <w:szCs w:val="20"/>
        </w:rPr>
        <w:t xml:space="preserve"> </w:t>
      </w:r>
      <w:r w:rsidRPr="00B004EE">
        <w:rPr>
          <w:rFonts w:ascii="Tahoma" w:hAnsi="Tahoma" w:cs="Tahoma"/>
          <w:sz w:val="20"/>
          <w:szCs w:val="20"/>
        </w:rPr>
        <w:t>humaine</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plus</w:t>
      </w:r>
      <w:r w:rsidR="00DB1635" w:rsidRPr="00B004EE">
        <w:rPr>
          <w:rFonts w:ascii="Tahoma" w:hAnsi="Tahoma" w:cs="Tahoma"/>
          <w:sz w:val="20"/>
          <w:szCs w:val="20"/>
        </w:rPr>
        <w:t xml:space="preserve"> </w:t>
      </w:r>
      <w:r w:rsidRPr="00B004EE">
        <w:rPr>
          <w:rFonts w:ascii="Tahoma" w:hAnsi="Tahoma" w:cs="Tahoma"/>
          <w:sz w:val="20"/>
          <w:szCs w:val="20"/>
        </w:rPr>
        <w:t>élevées.</w:t>
      </w:r>
    </w:p>
    <w:p w14:paraId="19DB7ADF" w14:textId="77777777" w:rsidR="008105B4" w:rsidRPr="00B004EE" w:rsidRDefault="008105B4" w:rsidP="00B004EE">
      <w:pPr>
        <w:tabs>
          <w:tab w:val="left" w:pos="284"/>
          <w:tab w:val="left" w:pos="3070"/>
          <w:tab w:val="left" w:pos="4605"/>
          <w:tab w:val="left" w:pos="6140"/>
          <w:tab w:val="left" w:pos="7675"/>
          <w:tab w:val="left" w:pos="9210"/>
        </w:tabs>
        <w:ind w:left="284" w:hanging="283"/>
        <w:jc w:val="both"/>
        <w:rPr>
          <w:rFonts w:ascii="Tahoma" w:hAnsi="Tahoma" w:cs="Tahoma"/>
          <w:sz w:val="20"/>
          <w:szCs w:val="20"/>
        </w:rPr>
      </w:pPr>
    </w:p>
    <w:p w14:paraId="14058732" w14:textId="303063BE" w:rsidR="008105B4" w:rsidRPr="00B004EE" w:rsidRDefault="008105B4" w:rsidP="00B004EE">
      <w:pPr>
        <w:tabs>
          <w:tab w:val="left" w:pos="284"/>
          <w:tab w:val="left" w:pos="3070"/>
          <w:tab w:val="left" w:pos="4605"/>
          <w:tab w:val="left" w:pos="6140"/>
          <w:tab w:val="left" w:pos="7675"/>
          <w:tab w:val="left" w:pos="9210"/>
        </w:tabs>
        <w:ind w:left="284" w:hanging="283"/>
        <w:jc w:val="both"/>
        <w:rPr>
          <w:rFonts w:ascii="Tahoma" w:hAnsi="Tahoma" w:cs="Tahoma"/>
          <w:sz w:val="20"/>
          <w:szCs w:val="20"/>
        </w:rPr>
      </w:pPr>
      <w:r w:rsidRPr="00B004EE">
        <w:rPr>
          <w:rFonts w:ascii="Tahoma" w:hAnsi="Tahoma" w:cs="Tahoma"/>
          <w:sz w:val="20"/>
          <w:szCs w:val="20"/>
        </w:rPr>
        <w:t>Note</w:t>
      </w:r>
      <w:r w:rsidR="00DB1635" w:rsidRPr="00B004EE">
        <w:rPr>
          <w:rFonts w:ascii="Tahoma" w:hAnsi="Tahoma" w:cs="Tahoma"/>
          <w:sz w:val="20"/>
          <w:szCs w:val="20"/>
        </w:rPr>
        <w:t xml:space="preserve"> </w:t>
      </w:r>
      <w:r w:rsidRPr="00B004EE">
        <w:rPr>
          <w:rFonts w:ascii="Tahoma" w:hAnsi="Tahoma" w:cs="Tahoma"/>
          <w:sz w:val="20"/>
          <w:szCs w:val="20"/>
        </w:rPr>
        <w:t>10</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Total</w:t>
      </w:r>
      <w:r w:rsidR="00DB1635" w:rsidRPr="00B004EE">
        <w:rPr>
          <w:rFonts w:ascii="Tahoma" w:hAnsi="Tahoma" w:cs="Tahoma"/>
          <w:sz w:val="20"/>
          <w:szCs w:val="20"/>
        </w:rPr>
        <w:t xml:space="preserve"> </w:t>
      </w:r>
      <w:r w:rsidRPr="00B004EE">
        <w:rPr>
          <w:rFonts w:ascii="Tahoma" w:hAnsi="Tahoma" w:cs="Tahoma"/>
          <w:sz w:val="20"/>
          <w:szCs w:val="20"/>
        </w:rPr>
        <w:t>trihalométhanes</w:t>
      </w:r>
      <w:r w:rsidR="00DB1635" w:rsidRPr="00B004EE">
        <w:rPr>
          <w:rFonts w:ascii="Tahoma" w:hAnsi="Tahoma" w:cs="Tahoma"/>
          <w:sz w:val="20"/>
          <w:szCs w:val="20"/>
        </w:rPr>
        <w:t xml:space="preserve"> </w:t>
      </w:r>
      <w:r w:rsidRPr="00B004EE">
        <w:rPr>
          <w:rFonts w:ascii="Tahoma" w:hAnsi="Tahoma" w:cs="Tahoma"/>
          <w:sz w:val="20"/>
          <w:szCs w:val="20"/>
        </w:rPr>
        <w:t>on</w:t>
      </w:r>
      <w:r w:rsidR="00DB1635" w:rsidRPr="00B004EE">
        <w:rPr>
          <w:rFonts w:ascii="Tahoma" w:hAnsi="Tahoma" w:cs="Tahoma"/>
          <w:sz w:val="20"/>
          <w:szCs w:val="20"/>
        </w:rPr>
        <w:t xml:space="preserve"> </w:t>
      </w:r>
      <w:r w:rsidRPr="00B004EE">
        <w:rPr>
          <w:rFonts w:ascii="Tahoma" w:hAnsi="Tahoma" w:cs="Tahoma"/>
          <w:sz w:val="20"/>
          <w:szCs w:val="20"/>
        </w:rPr>
        <w:t>entend</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somme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chloroforme,</w:t>
      </w:r>
      <w:r w:rsidR="00DB1635" w:rsidRPr="00B004EE">
        <w:rPr>
          <w:rFonts w:ascii="Tahoma" w:hAnsi="Tahoma" w:cs="Tahoma"/>
          <w:sz w:val="20"/>
          <w:szCs w:val="20"/>
        </w:rPr>
        <w:t xml:space="preserve"> </w:t>
      </w:r>
      <w:r w:rsidRPr="00B004EE">
        <w:rPr>
          <w:rFonts w:ascii="Tahoma" w:hAnsi="Tahoma" w:cs="Tahoma"/>
          <w:sz w:val="20"/>
          <w:szCs w:val="20"/>
        </w:rPr>
        <w:t>bromoforme,</w:t>
      </w:r>
      <w:r w:rsidR="00DB1635" w:rsidRPr="00B004EE">
        <w:rPr>
          <w:rFonts w:ascii="Tahoma" w:hAnsi="Tahoma" w:cs="Tahoma"/>
          <w:sz w:val="20"/>
          <w:szCs w:val="20"/>
        </w:rPr>
        <w:t xml:space="preserve"> </w:t>
      </w:r>
    </w:p>
    <w:p w14:paraId="332035E6" w14:textId="37F69BF6" w:rsidR="008105B4" w:rsidRPr="00B004EE" w:rsidRDefault="008105B4" w:rsidP="00B004EE">
      <w:pPr>
        <w:tabs>
          <w:tab w:val="left" w:pos="284"/>
          <w:tab w:val="left" w:pos="3070"/>
          <w:tab w:val="left" w:pos="4605"/>
          <w:tab w:val="left" w:pos="6140"/>
          <w:tab w:val="left" w:pos="7675"/>
          <w:tab w:val="left" w:pos="9210"/>
        </w:tabs>
        <w:ind w:left="284" w:hanging="283"/>
        <w:jc w:val="both"/>
        <w:rPr>
          <w:rFonts w:ascii="Tahoma" w:hAnsi="Tahoma" w:cs="Tahoma"/>
          <w:sz w:val="20"/>
          <w:szCs w:val="20"/>
        </w:rPr>
      </w:pPr>
      <w:r w:rsidRPr="00B004EE">
        <w:rPr>
          <w:rFonts w:ascii="Tahoma" w:hAnsi="Tahoma" w:cs="Tahoma"/>
          <w:sz w:val="20"/>
          <w:szCs w:val="20"/>
        </w:rPr>
        <w:tab/>
      </w:r>
      <w:proofErr w:type="gramStart"/>
      <w:r w:rsidRPr="00B004EE">
        <w:rPr>
          <w:rFonts w:ascii="Tahoma" w:hAnsi="Tahoma" w:cs="Tahoma"/>
          <w:sz w:val="20"/>
          <w:szCs w:val="20"/>
        </w:rPr>
        <w:t>dibromochlorométhane</w:t>
      </w:r>
      <w:proofErr w:type="gramEnd"/>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bromodichlorométhane.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valeur</w:t>
      </w:r>
      <w:r w:rsidR="00DB1635" w:rsidRPr="00B004EE">
        <w:rPr>
          <w:rFonts w:ascii="Tahoma" w:hAnsi="Tahoma" w:cs="Tahoma"/>
          <w:sz w:val="20"/>
          <w:szCs w:val="20"/>
        </w:rPr>
        <w:t xml:space="preserve"> </w:t>
      </w:r>
      <w:r w:rsidR="00DE14A0" w:rsidRPr="00B004EE">
        <w:rPr>
          <w:rFonts w:ascii="Tahoma" w:hAnsi="Tahoma" w:cs="Tahoma"/>
          <w:sz w:val="20"/>
          <w:szCs w:val="20"/>
        </w:rPr>
        <w:t>le plus faible possible inférieur</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limite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qualité</w:t>
      </w:r>
      <w:r w:rsidR="00DB1635" w:rsidRPr="00B004EE">
        <w:rPr>
          <w:rFonts w:ascii="Tahoma" w:hAnsi="Tahoma" w:cs="Tahoma"/>
          <w:sz w:val="20"/>
          <w:szCs w:val="20"/>
        </w:rPr>
        <w:t xml:space="preserve"> </w:t>
      </w:r>
      <w:r w:rsidRPr="00B004EE">
        <w:rPr>
          <w:rFonts w:ascii="Tahoma" w:hAnsi="Tahoma" w:cs="Tahoma"/>
          <w:sz w:val="20"/>
          <w:szCs w:val="20"/>
        </w:rPr>
        <w:t>doit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visée</w:t>
      </w:r>
      <w:r w:rsidR="00DB1635" w:rsidRPr="00B004EE">
        <w:rPr>
          <w:rFonts w:ascii="Tahoma" w:hAnsi="Tahoma" w:cs="Tahoma"/>
          <w:sz w:val="20"/>
          <w:szCs w:val="20"/>
        </w:rPr>
        <w:t xml:space="preserve"> </w:t>
      </w:r>
      <w:r w:rsidRPr="00B004EE">
        <w:rPr>
          <w:rFonts w:ascii="Tahoma" w:hAnsi="Tahoma" w:cs="Tahoma"/>
          <w:sz w:val="20"/>
          <w:szCs w:val="20"/>
        </w:rPr>
        <w:t>sans</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autant</w:t>
      </w:r>
      <w:r w:rsidR="00DB1635" w:rsidRPr="00B004EE">
        <w:rPr>
          <w:rFonts w:ascii="Tahoma" w:hAnsi="Tahoma" w:cs="Tahoma"/>
          <w:sz w:val="20"/>
          <w:szCs w:val="20"/>
        </w:rPr>
        <w:t xml:space="preserve"> </w:t>
      </w:r>
      <w:r w:rsidRPr="00B004EE">
        <w:rPr>
          <w:rFonts w:ascii="Tahoma" w:hAnsi="Tahoma" w:cs="Tahoma"/>
          <w:sz w:val="20"/>
          <w:szCs w:val="20"/>
        </w:rPr>
        <w:t>compromettre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désinfection.</w:t>
      </w:r>
      <w:r w:rsidR="00DB1635" w:rsidRPr="00B004EE">
        <w:rPr>
          <w:rFonts w:ascii="Tahoma" w:hAnsi="Tahoma" w:cs="Tahoma"/>
          <w:sz w:val="20"/>
          <w:szCs w:val="20"/>
        </w:rPr>
        <w:t xml:space="preserve"> </w:t>
      </w:r>
      <w:r w:rsidRPr="00B004EE">
        <w:rPr>
          <w:rFonts w:ascii="Tahoma" w:hAnsi="Tahoma" w:cs="Tahoma"/>
          <w:sz w:val="20"/>
          <w:szCs w:val="20"/>
        </w:rPr>
        <w:t>Toutefois,</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limite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qualité</w:t>
      </w:r>
      <w:r w:rsidR="00DB1635" w:rsidRPr="00B004EE">
        <w:rPr>
          <w:rFonts w:ascii="Tahoma" w:hAnsi="Tahoma" w:cs="Tahoma"/>
          <w:sz w:val="20"/>
          <w:szCs w:val="20"/>
        </w:rPr>
        <w:t xml:space="preserve"> </w:t>
      </w:r>
      <w:r w:rsidRPr="00B004EE">
        <w:rPr>
          <w:rFonts w:ascii="Tahoma" w:hAnsi="Tahoma" w:cs="Tahoma"/>
          <w:sz w:val="20"/>
          <w:szCs w:val="20"/>
        </w:rPr>
        <w:t>provisoire</w:t>
      </w:r>
      <w:r w:rsidR="00DB1635" w:rsidRPr="00B004EE">
        <w:rPr>
          <w:rFonts w:ascii="Tahoma" w:hAnsi="Tahoma" w:cs="Tahoma"/>
          <w:sz w:val="20"/>
          <w:szCs w:val="20"/>
        </w:rPr>
        <w:t xml:space="preserve"> </w:t>
      </w:r>
      <w:r w:rsidRPr="00B004EE">
        <w:rPr>
          <w:rFonts w:ascii="Tahoma" w:hAnsi="Tahoma" w:cs="Tahoma"/>
          <w:sz w:val="20"/>
          <w:szCs w:val="20"/>
        </w:rPr>
        <w:t>applicable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concentration</w:t>
      </w:r>
      <w:r w:rsidR="00DB1635" w:rsidRPr="00B004EE">
        <w:rPr>
          <w:rFonts w:ascii="Tahoma" w:hAnsi="Tahoma" w:cs="Tahoma"/>
          <w:sz w:val="20"/>
          <w:szCs w:val="20"/>
        </w:rPr>
        <w:t xml:space="preserve"> </w:t>
      </w:r>
      <w:r w:rsidRPr="00B004EE">
        <w:rPr>
          <w:rFonts w:ascii="Tahoma" w:hAnsi="Tahoma" w:cs="Tahoma"/>
          <w:sz w:val="20"/>
          <w:szCs w:val="20"/>
        </w:rPr>
        <w:t>totale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THM</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fixée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150</w:t>
      </w:r>
      <w:r w:rsidR="00DB1635" w:rsidRPr="00B004EE">
        <w:rPr>
          <w:rFonts w:ascii="Tahoma" w:hAnsi="Tahoma" w:cs="Tahoma"/>
          <w:sz w:val="20"/>
          <w:szCs w:val="20"/>
        </w:rPr>
        <w:t xml:space="preserve"> </w:t>
      </w:r>
      <w:r w:rsidRPr="00B004EE">
        <w:rPr>
          <w:rFonts w:ascii="Tahoma" w:hAnsi="Tahoma" w:cs="Tahoma"/>
          <w:sz w:val="20"/>
          <w:szCs w:val="20"/>
        </w:rPr>
        <w:t>μg/l</w:t>
      </w:r>
      <w:r w:rsidR="00DB1635" w:rsidRPr="00B004EE">
        <w:rPr>
          <w:rFonts w:ascii="Tahoma" w:hAnsi="Tahoma" w:cs="Tahoma"/>
          <w:sz w:val="20"/>
          <w:szCs w:val="20"/>
        </w:rPr>
        <w:t xml:space="preserve"> </w:t>
      </w:r>
      <w:r w:rsidRPr="00B004EE">
        <w:rPr>
          <w:rFonts w:ascii="Tahoma" w:hAnsi="Tahoma" w:cs="Tahoma"/>
          <w:sz w:val="20"/>
          <w:szCs w:val="20"/>
        </w:rPr>
        <w:t>jusqu’au</w:t>
      </w:r>
      <w:r w:rsidR="00DB1635" w:rsidRPr="00B004EE">
        <w:rPr>
          <w:rFonts w:ascii="Tahoma" w:hAnsi="Tahoma" w:cs="Tahoma"/>
          <w:sz w:val="20"/>
          <w:szCs w:val="20"/>
        </w:rPr>
        <w:t xml:space="preserve"> </w:t>
      </w:r>
      <w:r w:rsidRPr="00B004EE">
        <w:rPr>
          <w:rFonts w:ascii="Tahoma" w:hAnsi="Tahoma" w:cs="Tahoma"/>
          <w:sz w:val="20"/>
          <w:szCs w:val="20"/>
        </w:rPr>
        <w:t>31</w:t>
      </w:r>
      <w:r w:rsidR="00DB1635" w:rsidRPr="00B004EE">
        <w:rPr>
          <w:rFonts w:ascii="Tahoma" w:hAnsi="Tahoma" w:cs="Tahoma"/>
          <w:sz w:val="20"/>
          <w:szCs w:val="20"/>
        </w:rPr>
        <w:t xml:space="preserve"> </w:t>
      </w:r>
      <w:r w:rsidRPr="00B004EE">
        <w:rPr>
          <w:rFonts w:ascii="Tahoma" w:hAnsi="Tahoma" w:cs="Tahoma"/>
          <w:sz w:val="20"/>
          <w:szCs w:val="20"/>
        </w:rPr>
        <w:t>décembre</w:t>
      </w:r>
      <w:r w:rsidR="00DB1635" w:rsidRPr="00B004EE">
        <w:rPr>
          <w:rFonts w:ascii="Tahoma" w:hAnsi="Tahoma" w:cs="Tahoma"/>
          <w:sz w:val="20"/>
          <w:szCs w:val="20"/>
        </w:rPr>
        <w:t xml:space="preserve"> </w:t>
      </w:r>
      <w:r w:rsidRPr="00B004EE">
        <w:rPr>
          <w:rFonts w:ascii="Tahoma" w:hAnsi="Tahoma" w:cs="Tahoma"/>
          <w:sz w:val="20"/>
          <w:szCs w:val="20"/>
        </w:rPr>
        <w:t>2008,</w:t>
      </w:r>
      <w:r w:rsidR="00DB1635" w:rsidRPr="00B004EE">
        <w:rPr>
          <w:rFonts w:ascii="Tahoma" w:hAnsi="Tahoma" w:cs="Tahoma"/>
          <w:sz w:val="20"/>
          <w:szCs w:val="20"/>
        </w:rPr>
        <w:t xml:space="preserve"> </w:t>
      </w:r>
      <w:r w:rsidRPr="00B004EE">
        <w:rPr>
          <w:rFonts w:ascii="Tahoma" w:hAnsi="Tahoma" w:cs="Tahoma"/>
          <w:sz w:val="20"/>
          <w:szCs w:val="20"/>
        </w:rPr>
        <w:t>étant</w:t>
      </w:r>
      <w:r w:rsidR="00DB1635" w:rsidRPr="00B004EE">
        <w:rPr>
          <w:rFonts w:ascii="Tahoma" w:hAnsi="Tahoma" w:cs="Tahoma"/>
          <w:sz w:val="20"/>
          <w:szCs w:val="20"/>
        </w:rPr>
        <w:t xml:space="preserve"> </w:t>
      </w:r>
      <w:r w:rsidRPr="00B004EE">
        <w:rPr>
          <w:rFonts w:ascii="Tahoma" w:hAnsi="Tahoma" w:cs="Tahoma"/>
          <w:sz w:val="20"/>
          <w:szCs w:val="20"/>
        </w:rPr>
        <w:t>entendu</w:t>
      </w:r>
      <w:r w:rsidR="00DB1635" w:rsidRPr="00B004EE">
        <w:rPr>
          <w:rFonts w:ascii="Tahoma" w:hAnsi="Tahoma" w:cs="Tahoma"/>
          <w:sz w:val="20"/>
          <w:szCs w:val="20"/>
        </w:rPr>
        <w:t xml:space="preserve"> </w:t>
      </w:r>
      <w:r w:rsidRPr="00B004EE">
        <w:rPr>
          <w:rFonts w:ascii="Tahoma" w:hAnsi="Tahoma" w:cs="Tahoma"/>
          <w:sz w:val="20"/>
          <w:szCs w:val="20"/>
        </w:rPr>
        <w:t>que</w:t>
      </w:r>
      <w:r w:rsidR="00DB1635" w:rsidRPr="00B004EE">
        <w:rPr>
          <w:rFonts w:ascii="Tahoma" w:hAnsi="Tahoma" w:cs="Tahoma"/>
          <w:sz w:val="20"/>
          <w:szCs w:val="20"/>
        </w:rPr>
        <w:t xml:space="preserve"> </w:t>
      </w:r>
      <w:r w:rsidRPr="00B004EE">
        <w:rPr>
          <w:rFonts w:ascii="Tahoma" w:hAnsi="Tahoma" w:cs="Tahoma"/>
          <w:sz w:val="20"/>
          <w:szCs w:val="20"/>
        </w:rPr>
        <w:t>toutes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mesures</w:t>
      </w:r>
      <w:r w:rsidR="00DB1635" w:rsidRPr="00B004EE">
        <w:rPr>
          <w:rFonts w:ascii="Tahoma" w:hAnsi="Tahoma" w:cs="Tahoma"/>
          <w:sz w:val="20"/>
          <w:szCs w:val="20"/>
        </w:rPr>
        <w:t xml:space="preserve"> </w:t>
      </w:r>
      <w:r w:rsidRPr="00B004EE">
        <w:rPr>
          <w:rFonts w:ascii="Tahoma" w:hAnsi="Tahoma" w:cs="Tahoma"/>
          <w:sz w:val="20"/>
          <w:szCs w:val="20"/>
        </w:rPr>
        <w:t>appropriées</w:t>
      </w:r>
      <w:r w:rsidR="00DB1635" w:rsidRPr="00B004EE">
        <w:rPr>
          <w:rFonts w:ascii="Tahoma" w:hAnsi="Tahoma" w:cs="Tahoma"/>
          <w:sz w:val="20"/>
          <w:szCs w:val="20"/>
        </w:rPr>
        <w:t xml:space="preserve"> </w:t>
      </w:r>
      <w:r w:rsidRPr="00B004EE">
        <w:rPr>
          <w:rFonts w:ascii="Tahoma" w:hAnsi="Tahoma" w:cs="Tahoma"/>
          <w:sz w:val="20"/>
          <w:szCs w:val="20"/>
        </w:rPr>
        <w:t>doivent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prises</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réduire</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plus</w:t>
      </w:r>
      <w:r w:rsidR="00DB1635" w:rsidRPr="00B004EE">
        <w:rPr>
          <w:rFonts w:ascii="Tahoma" w:hAnsi="Tahoma" w:cs="Tahoma"/>
          <w:sz w:val="20"/>
          <w:szCs w:val="20"/>
        </w:rPr>
        <w:t xml:space="preserve"> </w:t>
      </w:r>
      <w:r w:rsidRPr="00B004EE">
        <w:rPr>
          <w:rFonts w:ascii="Tahoma" w:hAnsi="Tahoma" w:cs="Tahoma"/>
          <w:sz w:val="20"/>
          <w:szCs w:val="20"/>
        </w:rPr>
        <w:t>possible,</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cours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période</w:t>
      </w:r>
      <w:r w:rsidR="00DB1635" w:rsidRPr="00B004EE">
        <w:rPr>
          <w:rFonts w:ascii="Tahoma" w:hAnsi="Tahoma" w:cs="Tahoma"/>
          <w:sz w:val="20"/>
          <w:szCs w:val="20"/>
        </w:rPr>
        <w:t xml:space="preserve"> </w:t>
      </w:r>
      <w:r w:rsidRPr="00B004EE">
        <w:rPr>
          <w:rFonts w:ascii="Tahoma" w:hAnsi="Tahoma" w:cs="Tahoma"/>
          <w:sz w:val="20"/>
          <w:szCs w:val="20"/>
        </w:rPr>
        <w:t>nécessaire</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se</w:t>
      </w:r>
      <w:r w:rsidR="00DB1635" w:rsidRPr="00B004EE">
        <w:rPr>
          <w:rFonts w:ascii="Tahoma" w:hAnsi="Tahoma" w:cs="Tahoma"/>
          <w:sz w:val="20"/>
          <w:szCs w:val="20"/>
        </w:rPr>
        <w:t xml:space="preserve"> </w:t>
      </w:r>
      <w:r w:rsidRPr="00B004EE">
        <w:rPr>
          <w:rFonts w:ascii="Tahoma" w:hAnsi="Tahoma" w:cs="Tahoma"/>
          <w:sz w:val="20"/>
          <w:szCs w:val="20"/>
        </w:rPr>
        <w:t>conformer</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limite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qualité</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concentration</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THM</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eaux</w:t>
      </w:r>
      <w:r w:rsidR="00DB1635" w:rsidRPr="00B004EE">
        <w:rPr>
          <w:rFonts w:ascii="Tahoma" w:hAnsi="Tahoma" w:cs="Tahoma"/>
          <w:sz w:val="20"/>
          <w:szCs w:val="20"/>
        </w:rPr>
        <w:t xml:space="preserve"> </w:t>
      </w:r>
      <w:r w:rsidRPr="00B004EE">
        <w:rPr>
          <w:rFonts w:ascii="Tahoma" w:hAnsi="Tahoma" w:cs="Tahoma"/>
          <w:sz w:val="20"/>
          <w:szCs w:val="20"/>
        </w:rPr>
        <w:t>destinées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consommation</w:t>
      </w:r>
      <w:r w:rsidR="00DB1635" w:rsidRPr="00B004EE">
        <w:rPr>
          <w:rFonts w:ascii="Tahoma" w:hAnsi="Tahoma" w:cs="Tahoma"/>
          <w:sz w:val="20"/>
          <w:szCs w:val="20"/>
        </w:rPr>
        <w:t xml:space="preserve"> </w:t>
      </w:r>
      <w:r w:rsidRPr="00B004EE">
        <w:rPr>
          <w:rFonts w:ascii="Tahoma" w:hAnsi="Tahoma" w:cs="Tahoma"/>
          <w:sz w:val="20"/>
          <w:szCs w:val="20"/>
        </w:rPr>
        <w:t>humaine.</w:t>
      </w:r>
      <w:r w:rsidR="00DB1635" w:rsidRPr="00B004EE">
        <w:rPr>
          <w:rFonts w:ascii="Tahoma" w:hAnsi="Tahoma" w:cs="Tahoma"/>
          <w:sz w:val="20"/>
          <w:szCs w:val="20"/>
        </w:rPr>
        <w:t xml:space="preserve"> </w:t>
      </w:r>
      <w:r w:rsidRPr="00B004EE">
        <w:rPr>
          <w:rFonts w:ascii="Tahoma" w:hAnsi="Tahoma" w:cs="Tahoma"/>
          <w:sz w:val="20"/>
          <w:szCs w:val="20"/>
        </w:rPr>
        <w:t>Lors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mise</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00DE14A0" w:rsidRPr="00B004EE">
        <w:rPr>
          <w:rFonts w:ascii="Tahoma" w:hAnsi="Tahoma" w:cs="Tahoma"/>
          <w:sz w:val="20"/>
          <w:szCs w:val="20"/>
        </w:rPr>
        <w:t>œuvre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mesures</w:t>
      </w:r>
      <w:r w:rsidR="00DB1635" w:rsidRPr="00B004EE">
        <w:rPr>
          <w:rFonts w:ascii="Tahoma" w:hAnsi="Tahoma" w:cs="Tahoma"/>
          <w:sz w:val="20"/>
          <w:szCs w:val="20"/>
        </w:rPr>
        <w:t xml:space="preserve"> </w:t>
      </w:r>
      <w:r w:rsidRPr="00B004EE">
        <w:rPr>
          <w:rFonts w:ascii="Tahoma" w:hAnsi="Tahoma" w:cs="Tahoma"/>
          <w:sz w:val="20"/>
          <w:szCs w:val="20"/>
        </w:rPr>
        <w:t>visant</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lastRenderedPageBreak/>
        <w:t>atteindre</w:t>
      </w:r>
      <w:r w:rsidR="00DB1635" w:rsidRPr="00B004EE">
        <w:rPr>
          <w:rFonts w:ascii="Tahoma" w:hAnsi="Tahoma" w:cs="Tahoma"/>
          <w:sz w:val="20"/>
          <w:szCs w:val="20"/>
        </w:rPr>
        <w:t xml:space="preserve"> </w:t>
      </w:r>
      <w:r w:rsidRPr="00B004EE">
        <w:rPr>
          <w:rFonts w:ascii="Tahoma" w:hAnsi="Tahoma" w:cs="Tahoma"/>
          <w:sz w:val="20"/>
          <w:szCs w:val="20"/>
        </w:rPr>
        <w:t>cette</w:t>
      </w:r>
      <w:r w:rsidR="00DB1635" w:rsidRPr="00B004EE">
        <w:rPr>
          <w:rFonts w:ascii="Tahoma" w:hAnsi="Tahoma" w:cs="Tahoma"/>
          <w:sz w:val="20"/>
          <w:szCs w:val="20"/>
        </w:rPr>
        <w:t xml:space="preserve"> </w:t>
      </w:r>
      <w:r w:rsidRPr="00B004EE">
        <w:rPr>
          <w:rFonts w:ascii="Tahoma" w:hAnsi="Tahoma" w:cs="Tahoma"/>
          <w:sz w:val="20"/>
          <w:szCs w:val="20"/>
        </w:rPr>
        <w:t>valeur,</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priorité</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donnée</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zones</w:t>
      </w:r>
      <w:r w:rsidR="00DB1635" w:rsidRPr="00B004EE">
        <w:rPr>
          <w:rFonts w:ascii="Tahoma" w:hAnsi="Tahoma" w:cs="Tahoma"/>
          <w:sz w:val="20"/>
          <w:szCs w:val="20"/>
        </w:rPr>
        <w:t xml:space="preserve"> </w:t>
      </w:r>
      <w:r w:rsidRPr="00B004EE">
        <w:rPr>
          <w:rFonts w:ascii="Tahoma" w:hAnsi="Tahoma" w:cs="Tahoma"/>
          <w:sz w:val="20"/>
          <w:szCs w:val="20"/>
        </w:rPr>
        <w:t>où</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concentrations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THM</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eaux</w:t>
      </w:r>
      <w:r w:rsidR="00DB1635" w:rsidRPr="00B004EE">
        <w:rPr>
          <w:rFonts w:ascii="Tahoma" w:hAnsi="Tahoma" w:cs="Tahoma"/>
          <w:sz w:val="20"/>
          <w:szCs w:val="20"/>
        </w:rPr>
        <w:t xml:space="preserve"> </w:t>
      </w:r>
      <w:r w:rsidRPr="00B004EE">
        <w:rPr>
          <w:rFonts w:ascii="Tahoma" w:hAnsi="Tahoma" w:cs="Tahoma"/>
          <w:sz w:val="20"/>
          <w:szCs w:val="20"/>
        </w:rPr>
        <w:t>destinées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consommation</w:t>
      </w:r>
      <w:r w:rsidR="00DB1635" w:rsidRPr="00B004EE">
        <w:rPr>
          <w:rFonts w:ascii="Tahoma" w:hAnsi="Tahoma" w:cs="Tahoma"/>
          <w:sz w:val="20"/>
          <w:szCs w:val="20"/>
        </w:rPr>
        <w:t xml:space="preserve"> </w:t>
      </w:r>
      <w:r w:rsidRPr="00B004EE">
        <w:rPr>
          <w:rFonts w:ascii="Tahoma" w:hAnsi="Tahoma" w:cs="Tahoma"/>
          <w:sz w:val="20"/>
          <w:szCs w:val="20"/>
        </w:rPr>
        <w:t>humaine</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plus</w:t>
      </w:r>
      <w:r w:rsidR="00DB1635" w:rsidRPr="00B004EE">
        <w:rPr>
          <w:rFonts w:ascii="Tahoma" w:hAnsi="Tahoma" w:cs="Tahoma"/>
          <w:sz w:val="20"/>
          <w:szCs w:val="20"/>
        </w:rPr>
        <w:t xml:space="preserve"> </w:t>
      </w:r>
      <w:r w:rsidRPr="00B004EE">
        <w:rPr>
          <w:rFonts w:ascii="Tahoma" w:hAnsi="Tahoma" w:cs="Tahoma"/>
          <w:sz w:val="20"/>
          <w:szCs w:val="20"/>
        </w:rPr>
        <w:t>élevées.</w:t>
      </w:r>
    </w:p>
    <w:p w14:paraId="75C07CE3" w14:textId="77777777" w:rsidR="008105B4" w:rsidRPr="00B004EE" w:rsidRDefault="008105B4" w:rsidP="00B004EE">
      <w:pPr>
        <w:tabs>
          <w:tab w:val="left" w:pos="284"/>
          <w:tab w:val="left" w:pos="3070"/>
          <w:tab w:val="left" w:pos="4605"/>
          <w:tab w:val="left" w:pos="6140"/>
          <w:tab w:val="left" w:pos="7675"/>
          <w:tab w:val="left" w:pos="9210"/>
        </w:tabs>
        <w:ind w:left="284" w:hanging="283"/>
        <w:jc w:val="both"/>
        <w:rPr>
          <w:rFonts w:ascii="Tahoma" w:hAnsi="Tahoma" w:cs="Tahoma"/>
          <w:sz w:val="20"/>
          <w:szCs w:val="20"/>
        </w:rPr>
      </w:pPr>
    </w:p>
    <w:p w14:paraId="7484037A" w14:textId="3FEF5EDD" w:rsidR="008105B4" w:rsidRPr="00B004EE" w:rsidRDefault="008105B4" w:rsidP="00B004EE">
      <w:pPr>
        <w:tabs>
          <w:tab w:val="left" w:pos="284"/>
          <w:tab w:val="left" w:pos="3070"/>
          <w:tab w:val="left" w:pos="4605"/>
          <w:tab w:val="left" w:pos="6140"/>
          <w:tab w:val="left" w:pos="7675"/>
          <w:tab w:val="left" w:pos="9210"/>
        </w:tabs>
        <w:ind w:left="284" w:hanging="283"/>
        <w:jc w:val="both"/>
        <w:rPr>
          <w:rFonts w:ascii="Tahoma" w:hAnsi="Tahoma" w:cs="Tahoma"/>
          <w:sz w:val="20"/>
          <w:szCs w:val="20"/>
        </w:rPr>
      </w:pPr>
      <w:r w:rsidRPr="00B004EE">
        <w:rPr>
          <w:rFonts w:ascii="Tahoma" w:hAnsi="Tahoma" w:cs="Tahoma"/>
          <w:sz w:val="20"/>
          <w:szCs w:val="20"/>
        </w:rPr>
        <w:t>Note</w:t>
      </w:r>
      <w:r w:rsidR="00DB1635" w:rsidRPr="00B004EE">
        <w:rPr>
          <w:rFonts w:ascii="Tahoma" w:hAnsi="Tahoma" w:cs="Tahoma"/>
          <w:sz w:val="20"/>
          <w:szCs w:val="20"/>
        </w:rPr>
        <w:t xml:space="preserve"> </w:t>
      </w:r>
      <w:r w:rsidRPr="00B004EE">
        <w:rPr>
          <w:rFonts w:ascii="Tahoma" w:hAnsi="Tahoma" w:cs="Tahoma"/>
          <w:sz w:val="20"/>
          <w:szCs w:val="20"/>
        </w:rPr>
        <w:t>11</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limite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qualité</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applicable</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point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mise</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distribution,</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eaux</w:t>
      </w:r>
      <w:r w:rsidR="00DB1635" w:rsidRPr="00B004EE">
        <w:rPr>
          <w:rFonts w:ascii="Tahoma" w:hAnsi="Tahoma" w:cs="Tahoma"/>
          <w:sz w:val="20"/>
          <w:szCs w:val="20"/>
        </w:rPr>
        <w:t xml:space="preserve"> </w:t>
      </w:r>
      <w:r w:rsidRPr="00B004EE">
        <w:rPr>
          <w:rFonts w:ascii="Tahoma" w:hAnsi="Tahoma" w:cs="Tahoma"/>
          <w:sz w:val="20"/>
          <w:szCs w:val="20"/>
        </w:rPr>
        <w:t>douces</w:t>
      </w:r>
      <w:r w:rsidR="00DB1635" w:rsidRPr="00B004EE">
        <w:rPr>
          <w:rFonts w:ascii="Tahoma" w:hAnsi="Tahoma" w:cs="Tahoma"/>
          <w:sz w:val="20"/>
          <w:szCs w:val="20"/>
        </w:rPr>
        <w:t xml:space="preserve"> </w:t>
      </w:r>
      <w:r w:rsidRPr="00B004EE">
        <w:rPr>
          <w:rFonts w:ascii="Tahoma" w:hAnsi="Tahoma" w:cs="Tahoma"/>
          <w:sz w:val="20"/>
          <w:szCs w:val="20"/>
        </w:rPr>
        <w:t>d’origine</w:t>
      </w:r>
      <w:r w:rsidR="00DB1635" w:rsidRPr="00B004EE">
        <w:rPr>
          <w:rFonts w:ascii="Tahoma" w:hAnsi="Tahoma" w:cs="Tahoma"/>
          <w:sz w:val="20"/>
          <w:szCs w:val="20"/>
        </w:rPr>
        <w:t xml:space="preserve"> </w:t>
      </w:r>
      <w:r w:rsidRPr="00B004EE">
        <w:rPr>
          <w:rFonts w:ascii="Tahoma" w:hAnsi="Tahoma" w:cs="Tahoma"/>
          <w:sz w:val="20"/>
          <w:szCs w:val="20"/>
        </w:rPr>
        <w:t>superficielle</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eaux</w:t>
      </w:r>
      <w:r w:rsidR="00DB1635" w:rsidRPr="00B004EE">
        <w:rPr>
          <w:rFonts w:ascii="Tahoma" w:hAnsi="Tahoma" w:cs="Tahoma"/>
          <w:sz w:val="20"/>
          <w:szCs w:val="20"/>
        </w:rPr>
        <w:t xml:space="preserve"> </w:t>
      </w:r>
      <w:r w:rsidRPr="00B004EE">
        <w:rPr>
          <w:rFonts w:ascii="Tahoma" w:hAnsi="Tahoma" w:cs="Tahoma"/>
          <w:sz w:val="20"/>
          <w:szCs w:val="20"/>
        </w:rPr>
        <w:t>d'origine</w:t>
      </w:r>
      <w:r w:rsidR="00DB1635" w:rsidRPr="00B004EE">
        <w:rPr>
          <w:rFonts w:ascii="Tahoma" w:hAnsi="Tahoma" w:cs="Tahoma"/>
          <w:sz w:val="20"/>
          <w:szCs w:val="20"/>
        </w:rPr>
        <w:t xml:space="preserve"> </w:t>
      </w:r>
      <w:r w:rsidRPr="00B004EE">
        <w:rPr>
          <w:rFonts w:ascii="Tahoma" w:hAnsi="Tahoma" w:cs="Tahoma"/>
          <w:sz w:val="20"/>
          <w:szCs w:val="20"/>
        </w:rPr>
        <w:t>souterraine</w:t>
      </w:r>
      <w:r w:rsidR="00DB1635" w:rsidRPr="00B004EE">
        <w:rPr>
          <w:rFonts w:ascii="Tahoma" w:hAnsi="Tahoma" w:cs="Tahoma"/>
          <w:sz w:val="20"/>
          <w:szCs w:val="20"/>
        </w:rPr>
        <w:t xml:space="preserve"> </w:t>
      </w:r>
      <w:r w:rsidRPr="00B004EE">
        <w:rPr>
          <w:rFonts w:ascii="Tahoma" w:hAnsi="Tahoma" w:cs="Tahoma"/>
          <w:sz w:val="20"/>
          <w:szCs w:val="20"/>
        </w:rPr>
        <w:t>provenant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milieux</w:t>
      </w:r>
      <w:r w:rsidR="00DB1635" w:rsidRPr="00B004EE">
        <w:rPr>
          <w:rFonts w:ascii="Tahoma" w:hAnsi="Tahoma" w:cs="Tahoma"/>
          <w:sz w:val="20"/>
          <w:szCs w:val="20"/>
        </w:rPr>
        <w:t xml:space="preserve"> </w:t>
      </w:r>
      <w:r w:rsidRPr="00B004EE">
        <w:rPr>
          <w:rFonts w:ascii="Tahoma" w:hAnsi="Tahoma" w:cs="Tahoma"/>
          <w:sz w:val="20"/>
          <w:szCs w:val="20"/>
        </w:rPr>
        <w:t>fissurés</w:t>
      </w:r>
      <w:r w:rsidR="00DB1635" w:rsidRPr="00B004EE">
        <w:rPr>
          <w:rFonts w:ascii="Tahoma" w:hAnsi="Tahoma" w:cs="Tahoma"/>
          <w:sz w:val="20"/>
          <w:szCs w:val="20"/>
        </w:rPr>
        <w:t xml:space="preserve"> </w:t>
      </w:r>
      <w:r w:rsidRPr="00B004EE">
        <w:rPr>
          <w:rFonts w:ascii="Tahoma" w:hAnsi="Tahoma" w:cs="Tahoma"/>
          <w:sz w:val="20"/>
          <w:szCs w:val="20"/>
        </w:rPr>
        <w:t>présentant</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turbidité</w:t>
      </w:r>
      <w:r w:rsidR="00DB1635" w:rsidRPr="00B004EE">
        <w:rPr>
          <w:rFonts w:ascii="Tahoma" w:hAnsi="Tahoma" w:cs="Tahoma"/>
          <w:sz w:val="20"/>
          <w:szCs w:val="20"/>
        </w:rPr>
        <w:t xml:space="preserve"> </w:t>
      </w:r>
      <w:r w:rsidRPr="00B004EE">
        <w:rPr>
          <w:rFonts w:ascii="Tahoma" w:hAnsi="Tahoma" w:cs="Tahoma"/>
          <w:sz w:val="20"/>
          <w:szCs w:val="20"/>
        </w:rPr>
        <w:t>périodique</w:t>
      </w:r>
      <w:r w:rsidR="00DB1635" w:rsidRPr="00B004EE">
        <w:rPr>
          <w:rFonts w:ascii="Tahoma" w:hAnsi="Tahoma" w:cs="Tahoma"/>
          <w:sz w:val="20"/>
          <w:szCs w:val="20"/>
        </w:rPr>
        <w:t xml:space="preserve"> </w:t>
      </w:r>
      <w:r w:rsidRPr="00B004EE">
        <w:rPr>
          <w:rFonts w:ascii="Tahoma" w:hAnsi="Tahoma" w:cs="Tahoma"/>
          <w:sz w:val="20"/>
          <w:szCs w:val="20"/>
        </w:rPr>
        <w:t>importante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supérieure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2</w:t>
      </w:r>
      <w:r w:rsidR="00DB1635" w:rsidRPr="00B004EE">
        <w:rPr>
          <w:rFonts w:ascii="Tahoma" w:hAnsi="Tahoma" w:cs="Tahoma"/>
          <w:sz w:val="20"/>
          <w:szCs w:val="20"/>
        </w:rPr>
        <w:t xml:space="preserve"> </w:t>
      </w:r>
      <w:r w:rsidRPr="00B004EE">
        <w:rPr>
          <w:rFonts w:ascii="Tahoma" w:hAnsi="Tahoma" w:cs="Tahoma"/>
          <w:sz w:val="20"/>
          <w:szCs w:val="20"/>
        </w:rPr>
        <w:t>NTU.</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cas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mise</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00DE14A0" w:rsidRPr="00B004EE">
        <w:rPr>
          <w:rFonts w:ascii="Tahoma" w:hAnsi="Tahoma" w:cs="Tahoma"/>
          <w:sz w:val="20"/>
          <w:szCs w:val="20"/>
        </w:rPr>
        <w:t>œuvre</w:t>
      </w:r>
      <w:r w:rsidR="00DB1635" w:rsidRPr="00B004EE">
        <w:rPr>
          <w:rFonts w:ascii="Tahoma" w:hAnsi="Tahoma" w:cs="Tahoma"/>
          <w:sz w:val="20"/>
          <w:szCs w:val="20"/>
        </w:rPr>
        <w:t xml:space="preserve"> </w:t>
      </w:r>
      <w:r w:rsidRPr="00B004EE">
        <w:rPr>
          <w:rFonts w:ascii="Tahoma" w:hAnsi="Tahoma" w:cs="Tahoma"/>
          <w:sz w:val="20"/>
          <w:szCs w:val="20"/>
        </w:rPr>
        <w:t>d'un</w:t>
      </w:r>
      <w:r w:rsidR="00DB1635" w:rsidRPr="00B004EE">
        <w:rPr>
          <w:rFonts w:ascii="Tahoma" w:hAnsi="Tahoma" w:cs="Tahoma"/>
          <w:sz w:val="20"/>
          <w:szCs w:val="20"/>
        </w:rPr>
        <w:t xml:space="preserve"> </w:t>
      </w:r>
      <w:r w:rsidRPr="00B004EE">
        <w:rPr>
          <w:rFonts w:ascii="Tahoma" w:hAnsi="Tahoma" w:cs="Tahoma"/>
          <w:sz w:val="20"/>
          <w:szCs w:val="20"/>
        </w:rPr>
        <w:t>traitement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neutralisation</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reminéralisation,</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limite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qualité</w:t>
      </w:r>
      <w:r w:rsidR="00DB1635" w:rsidRPr="00B004EE">
        <w:rPr>
          <w:rFonts w:ascii="Tahoma" w:hAnsi="Tahoma" w:cs="Tahoma"/>
          <w:sz w:val="20"/>
          <w:szCs w:val="20"/>
        </w:rPr>
        <w:t xml:space="preserve"> </w:t>
      </w:r>
      <w:r w:rsidRPr="00B004EE">
        <w:rPr>
          <w:rFonts w:ascii="Tahoma" w:hAnsi="Tahoma" w:cs="Tahoma"/>
          <w:sz w:val="20"/>
          <w:szCs w:val="20"/>
        </w:rPr>
        <w:t>s'applique</w:t>
      </w:r>
      <w:r w:rsidR="00DB1635" w:rsidRPr="00B004EE">
        <w:rPr>
          <w:rFonts w:ascii="Tahoma" w:hAnsi="Tahoma" w:cs="Tahoma"/>
          <w:sz w:val="20"/>
          <w:szCs w:val="20"/>
        </w:rPr>
        <w:t xml:space="preserve"> </w:t>
      </w:r>
      <w:r w:rsidRPr="00B004EE">
        <w:rPr>
          <w:rFonts w:ascii="Tahoma" w:hAnsi="Tahoma" w:cs="Tahoma"/>
          <w:sz w:val="20"/>
          <w:szCs w:val="20"/>
        </w:rPr>
        <w:t>hors</w:t>
      </w:r>
      <w:r w:rsidR="00DB1635" w:rsidRPr="00B004EE">
        <w:rPr>
          <w:rFonts w:ascii="Tahoma" w:hAnsi="Tahoma" w:cs="Tahoma"/>
          <w:sz w:val="20"/>
          <w:szCs w:val="20"/>
        </w:rPr>
        <w:t xml:space="preserve"> </w:t>
      </w:r>
      <w:r w:rsidRPr="00B004EE">
        <w:rPr>
          <w:rFonts w:ascii="Tahoma" w:hAnsi="Tahoma" w:cs="Tahoma"/>
          <w:sz w:val="20"/>
          <w:szCs w:val="20"/>
        </w:rPr>
        <w:t>augmentation</w:t>
      </w:r>
      <w:r w:rsidR="00DB1635" w:rsidRPr="00B004EE">
        <w:rPr>
          <w:rFonts w:ascii="Tahoma" w:hAnsi="Tahoma" w:cs="Tahoma"/>
          <w:sz w:val="20"/>
          <w:szCs w:val="20"/>
        </w:rPr>
        <w:t xml:space="preserve"> </w:t>
      </w:r>
      <w:r w:rsidRPr="00B004EE">
        <w:rPr>
          <w:rFonts w:ascii="Tahoma" w:hAnsi="Tahoma" w:cs="Tahoma"/>
          <w:sz w:val="20"/>
          <w:szCs w:val="20"/>
        </w:rPr>
        <w:t>éventuelle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turbidité</w:t>
      </w:r>
      <w:r w:rsidR="00DB1635" w:rsidRPr="00B004EE">
        <w:rPr>
          <w:rFonts w:ascii="Tahoma" w:hAnsi="Tahoma" w:cs="Tahoma"/>
          <w:sz w:val="20"/>
          <w:szCs w:val="20"/>
        </w:rPr>
        <w:t xml:space="preserve"> </w:t>
      </w:r>
      <w:r w:rsidRPr="00B004EE">
        <w:rPr>
          <w:rFonts w:ascii="Tahoma" w:hAnsi="Tahoma" w:cs="Tahoma"/>
          <w:sz w:val="20"/>
          <w:szCs w:val="20"/>
        </w:rPr>
        <w:t>due</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traitement.</w:t>
      </w:r>
      <w:r w:rsidR="00DB1635" w:rsidRPr="00B004EE">
        <w:rPr>
          <w:rFonts w:ascii="Tahoma" w:hAnsi="Tahoma" w:cs="Tahoma"/>
          <w:sz w:val="20"/>
          <w:szCs w:val="20"/>
        </w:rPr>
        <w:t xml:space="preserve"> </w:t>
      </w:r>
    </w:p>
    <w:p w14:paraId="46D29183" w14:textId="77777777" w:rsidR="00DE14A0" w:rsidRPr="00B004EE" w:rsidRDefault="00DE14A0" w:rsidP="00B004EE">
      <w:pPr>
        <w:tabs>
          <w:tab w:val="left" w:pos="1535"/>
          <w:tab w:val="left" w:pos="3070"/>
          <w:tab w:val="left" w:pos="4605"/>
          <w:tab w:val="left" w:pos="6140"/>
          <w:tab w:val="left" w:pos="7675"/>
          <w:tab w:val="left" w:pos="9210"/>
        </w:tabs>
        <w:jc w:val="both"/>
        <w:rPr>
          <w:rFonts w:ascii="Tahoma" w:hAnsi="Tahoma" w:cs="Tahoma"/>
          <w:bCs/>
          <w:caps/>
          <w:sz w:val="20"/>
          <w:szCs w:val="20"/>
        </w:rPr>
      </w:pPr>
    </w:p>
    <w:p w14:paraId="4802F553" w14:textId="0CB33A0B" w:rsidR="008105B4" w:rsidRPr="00B004EE" w:rsidRDefault="008105B4" w:rsidP="00B004EE">
      <w:pPr>
        <w:jc w:val="center"/>
        <w:rPr>
          <w:rFonts w:ascii="Tahoma" w:hAnsi="Tahoma" w:cs="Tahoma"/>
          <w:b/>
          <w:sz w:val="20"/>
          <w:szCs w:val="20"/>
        </w:rPr>
      </w:pPr>
      <w:r w:rsidRPr="00B004EE">
        <w:rPr>
          <w:rFonts w:ascii="Tahoma" w:hAnsi="Tahoma" w:cs="Tahoma"/>
          <w:b/>
          <w:sz w:val="20"/>
          <w:szCs w:val="20"/>
        </w:rPr>
        <w:t>Tableau</w:t>
      </w:r>
      <w:r w:rsidR="00DB1635" w:rsidRPr="00B004EE">
        <w:rPr>
          <w:rFonts w:ascii="Tahoma" w:hAnsi="Tahoma" w:cs="Tahoma"/>
          <w:b/>
          <w:sz w:val="20"/>
          <w:szCs w:val="20"/>
        </w:rPr>
        <w:t xml:space="preserve"> </w:t>
      </w:r>
      <w:r w:rsidRPr="00B004EE">
        <w:rPr>
          <w:rFonts w:ascii="Tahoma" w:hAnsi="Tahoma" w:cs="Tahoma"/>
          <w:b/>
          <w:sz w:val="20"/>
          <w:szCs w:val="20"/>
        </w:rPr>
        <w:t>C</w:t>
      </w:r>
      <w:r w:rsidR="00011085" w:rsidRPr="00B004EE">
        <w:rPr>
          <w:rFonts w:ascii="Tahoma" w:hAnsi="Tahoma" w:cs="Tahoma"/>
          <w:b/>
          <w:sz w:val="20"/>
          <w:szCs w:val="20"/>
        </w:rPr>
        <w:t>a</w:t>
      </w:r>
      <w:r w:rsidR="00DB1635" w:rsidRPr="00B004EE">
        <w:rPr>
          <w:rFonts w:ascii="Tahoma" w:hAnsi="Tahoma" w:cs="Tahoma"/>
          <w:b/>
          <w:sz w:val="20"/>
          <w:szCs w:val="20"/>
        </w:rPr>
        <w:t xml:space="preserve"> </w:t>
      </w:r>
      <w:r w:rsidRPr="00B004EE">
        <w:rPr>
          <w:rFonts w:ascii="Tahoma" w:hAnsi="Tahoma" w:cs="Tahoma"/>
          <w:b/>
          <w:sz w:val="20"/>
          <w:szCs w:val="20"/>
        </w:rPr>
        <w:t>:</w:t>
      </w:r>
      <w:r w:rsidR="00DB1635" w:rsidRPr="00B004EE">
        <w:rPr>
          <w:rFonts w:ascii="Tahoma" w:hAnsi="Tahoma" w:cs="Tahoma"/>
          <w:b/>
          <w:sz w:val="20"/>
          <w:szCs w:val="20"/>
        </w:rPr>
        <w:t xml:space="preserve"> </w:t>
      </w:r>
      <w:r w:rsidRPr="00B004EE">
        <w:rPr>
          <w:rFonts w:ascii="Tahoma" w:hAnsi="Tahoma" w:cs="Tahoma"/>
          <w:b/>
          <w:sz w:val="20"/>
          <w:szCs w:val="20"/>
        </w:rPr>
        <w:t>Paramètres</w:t>
      </w:r>
      <w:r w:rsidR="00DB1635" w:rsidRPr="00B004EE">
        <w:rPr>
          <w:rFonts w:ascii="Tahoma" w:hAnsi="Tahoma" w:cs="Tahoma"/>
          <w:b/>
          <w:sz w:val="20"/>
          <w:szCs w:val="20"/>
        </w:rPr>
        <w:t xml:space="preserve"> </w:t>
      </w:r>
      <w:r w:rsidRPr="00B004EE">
        <w:rPr>
          <w:rFonts w:ascii="Tahoma" w:hAnsi="Tahoma" w:cs="Tahoma"/>
          <w:b/>
          <w:sz w:val="20"/>
          <w:szCs w:val="20"/>
        </w:rPr>
        <w:t>indicateurs</w:t>
      </w:r>
      <w:r w:rsidR="00DB1635" w:rsidRPr="00B004EE">
        <w:rPr>
          <w:rFonts w:ascii="Tahoma" w:hAnsi="Tahoma" w:cs="Tahoma"/>
          <w:b/>
          <w:sz w:val="20"/>
          <w:szCs w:val="20"/>
        </w:rPr>
        <w:t xml:space="preserve"> </w:t>
      </w:r>
      <w:r w:rsidRPr="00B004EE">
        <w:rPr>
          <w:rFonts w:ascii="Tahoma" w:hAnsi="Tahoma" w:cs="Tahoma"/>
          <w:b/>
          <w:sz w:val="20"/>
          <w:szCs w:val="20"/>
        </w:rPr>
        <w:t>et</w:t>
      </w:r>
      <w:r w:rsidR="00DB1635" w:rsidRPr="00B004EE">
        <w:rPr>
          <w:rFonts w:ascii="Tahoma" w:hAnsi="Tahoma" w:cs="Tahoma"/>
          <w:b/>
          <w:sz w:val="20"/>
          <w:szCs w:val="20"/>
        </w:rPr>
        <w:t xml:space="preserve"> </w:t>
      </w:r>
      <w:r w:rsidRPr="00B004EE">
        <w:rPr>
          <w:rFonts w:ascii="Tahoma" w:hAnsi="Tahoma" w:cs="Tahoma"/>
          <w:b/>
          <w:sz w:val="20"/>
          <w:szCs w:val="20"/>
        </w:rPr>
        <w:t>limites</w:t>
      </w:r>
      <w:r w:rsidR="00DB1635" w:rsidRPr="00B004EE">
        <w:rPr>
          <w:rFonts w:ascii="Tahoma" w:hAnsi="Tahoma" w:cs="Tahoma"/>
          <w:b/>
          <w:sz w:val="20"/>
          <w:szCs w:val="20"/>
        </w:rPr>
        <w:t xml:space="preserve"> </w:t>
      </w:r>
      <w:r w:rsidRPr="00B004EE">
        <w:rPr>
          <w:rFonts w:ascii="Tahoma" w:hAnsi="Tahoma" w:cs="Tahoma"/>
          <w:b/>
          <w:sz w:val="20"/>
          <w:szCs w:val="20"/>
        </w:rPr>
        <w:t>de</w:t>
      </w:r>
      <w:r w:rsidR="00DB1635" w:rsidRPr="00B004EE">
        <w:rPr>
          <w:rFonts w:ascii="Tahoma" w:hAnsi="Tahoma" w:cs="Tahoma"/>
          <w:b/>
          <w:sz w:val="20"/>
          <w:szCs w:val="20"/>
        </w:rPr>
        <w:t xml:space="preserve"> </w:t>
      </w:r>
      <w:r w:rsidRPr="00B004EE">
        <w:rPr>
          <w:rFonts w:ascii="Tahoma" w:hAnsi="Tahoma" w:cs="Tahoma"/>
          <w:b/>
          <w:sz w:val="20"/>
          <w:szCs w:val="20"/>
        </w:rPr>
        <w:t>qualité</w:t>
      </w:r>
      <w:r w:rsidR="00DB1635" w:rsidRPr="00B004EE">
        <w:rPr>
          <w:rFonts w:ascii="Tahoma" w:hAnsi="Tahoma" w:cs="Tahoma"/>
          <w:b/>
          <w:sz w:val="20"/>
          <w:szCs w:val="20"/>
        </w:rPr>
        <w:t xml:space="preserve"> </w:t>
      </w:r>
      <w:r w:rsidRPr="00B004EE">
        <w:rPr>
          <w:rFonts w:ascii="Tahoma" w:hAnsi="Tahoma" w:cs="Tahoma"/>
          <w:b/>
          <w:sz w:val="20"/>
          <w:szCs w:val="20"/>
        </w:rPr>
        <w:t>pour</w:t>
      </w:r>
      <w:r w:rsidR="00DB1635" w:rsidRPr="00B004EE">
        <w:rPr>
          <w:rFonts w:ascii="Tahoma" w:hAnsi="Tahoma" w:cs="Tahoma"/>
          <w:b/>
          <w:sz w:val="20"/>
          <w:szCs w:val="20"/>
        </w:rPr>
        <w:t xml:space="preserve"> </w:t>
      </w:r>
      <w:r w:rsidRPr="00B004EE">
        <w:rPr>
          <w:rFonts w:ascii="Tahoma" w:hAnsi="Tahoma" w:cs="Tahoma"/>
          <w:b/>
          <w:sz w:val="20"/>
          <w:szCs w:val="20"/>
        </w:rPr>
        <w:t>le</w:t>
      </w:r>
      <w:r w:rsidR="00DB1635" w:rsidRPr="00B004EE">
        <w:rPr>
          <w:rFonts w:ascii="Tahoma" w:hAnsi="Tahoma" w:cs="Tahoma"/>
          <w:b/>
          <w:sz w:val="20"/>
          <w:szCs w:val="20"/>
        </w:rPr>
        <w:t xml:space="preserve"> </w:t>
      </w:r>
      <w:r w:rsidRPr="00B004EE">
        <w:rPr>
          <w:rFonts w:ascii="Tahoma" w:hAnsi="Tahoma" w:cs="Tahoma"/>
          <w:b/>
          <w:sz w:val="20"/>
          <w:szCs w:val="20"/>
        </w:rPr>
        <w:t>contrôle</w:t>
      </w:r>
      <w:r w:rsidR="00DB1635" w:rsidRPr="00B004EE">
        <w:rPr>
          <w:rFonts w:ascii="Tahoma" w:hAnsi="Tahoma" w:cs="Tahoma"/>
          <w:b/>
          <w:sz w:val="20"/>
          <w:szCs w:val="20"/>
        </w:rPr>
        <w:t xml:space="preserve"> </w:t>
      </w:r>
      <w:r w:rsidRPr="00B004EE">
        <w:rPr>
          <w:rFonts w:ascii="Tahoma" w:hAnsi="Tahoma" w:cs="Tahoma"/>
          <w:b/>
          <w:sz w:val="20"/>
          <w:szCs w:val="20"/>
        </w:rPr>
        <w:t>de</w:t>
      </w:r>
      <w:r w:rsidR="00DB1635" w:rsidRPr="00B004EE">
        <w:rPr>
          <w:rFonts w:ascii="Tahoma" w:hAnsi="Tahoma" w:cs="Tahoma"/>
          <w:b/>
          <w:sz w:val="20"/>
          <w:szCs w:val="20"/>
        </w:rPr>
        <w:t xml:space="preserve"> </w:t>
      </w:r>
      <w:r w:rsidRPr="00B004EE">
        <w:rPr>
          <w:rFonts w:ascii="Tahoma" w:hAnsi="Tahoma" w:cs="Tahoma"/>
          <w:b/>
          <w:sz w:val="20"/>
          <w:szCs w:val="20"/>
        </w:rPr>
        <w:t>routine</w:t>
      </w:r>
    </w:p>
    <w:p w14:paraId="348A4D04" w14:textId="77777777" w:rsidR="008105B4" w:rsidRPr="00B004EE" w:rsidRDefault="008105B4" w:rsidP="00B004EE">
      <w:pPr>
        <w:tabs>
          <w:tab w:val="left" w:pos="1535"/>
          <w:tab w:val="left" w:pos="3070"/>
          <w:tab w:val="left" w:pos="4605"/>
          <w:tab w:val="left" w:pos="6140"/>
          <w:tab w:val="left" w:pos="7675"/>
          <w:tab w:val="left" w:pos="9210"/>
        </w:tabs>
        <w:jc w:val="center"/>
        <w:rPr>
          <w:rFonts w:ascii="Tahoma" w:hAnsi="Tahoma" w:cs="Tahoma"/>
          <w:bCs/>
          <w:sz w:val="20"/>
          <w:szCs w:val="20"/>
        </w:rPr>
      </w:pPr>
    </w:p>
    <w:p w14:paraId="38B96074" w14:textId="35336187" w:rsidR="008105B4" w:rsidRPr="00B004EE" w:rsidRDefault="008105B4" w:rsidP="00B004EE">
      <w:pPr>
        <w:tabs>
          <w:tab w:val="left" w:pos="1535"/>
          <w:tab w:val="left" w:pos="3070"/>
          <w:tab w:val="left" w:pos="4605"/>
          <w:tab w:val="left" w:pos="6140"/>
          <w:tab w:val="left" w:pos="7675"/>
          <w:tab w:val="left" w:pos="9210"/>
        </w:tabs>
        <w:jc w:val="both"/>
        <w:rPr>
          <w:rFonts w:ascii="Tahoma" w:hAnsi="Tahoma" w:cs="Tahoma"/>
          <w:bCs/>
          <w:sz w:val="20"/>
          <w:szCs w:val="20"/>
        </w:rPr>
      </w:pP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paramètres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contrôle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radioactivité</w:t>
      </w:r>
      <w:r w:rsidR="00DB1635" w:rsidRPr="00B004EE">
        <w:rPr>
          <w:rFonts w:ascii="Tahoma" w:hAnsi="Tahoma" w:cs="Tahoma"/>
          <w:sz w:val="20"/>
          <w:szCs w:val="20"/>
        </w:rPr>
        <w:t xml:space="preserve"> </w:t>
      </w:r>
      <w:r w:rsidRPr="00B004EE">
        <w:rPr>
          <w:rFonts w:ascii="Tahoma" w:hAnsi="Tahoma" w:cs="Tahoma"/>
          <w:sz w:val="20"/>
          <w:szCs w:val="20"/>
        </w:rPr>
        <w:t>peuvent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ajoutés</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cas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danger</w:t>
      </w:r>
      <w:r w:rsidR="00DB1635" w:rsidRPr="00B004EE">
        <w:rPr>
          <w:rFonts w:ascii="Tahoma" w:hAnsi="Tahoma" w:cs="Tahoma"/>
          <w:sz w:val="20"/>
          <w:szCs w:val="20"/>
        </w:rPr>
        <w:t xml:space="preserve"> </w:t>
      </w:r>
      <w:r w:rsidRPr="00B004EE">
        <w:rPr>
          <w:rFonts w:ascii="Tahoma" w:hAnsi="Tahoma" w:cs="Tahoma"/>
          <w:sz w:val="20"/>
          <w:szCs w:val="20"/>
        </w:rPr>
        <w:t>potentiel</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santé</w:t>
      </w:r>
      <w:r w:rsidR="00DB1635" w:rsidRPr="00B004EE">
        <w:rPr>
          <w:rFonts w:ascii="Tahoma" w:hAnsi="Tahoma" w:cs="Tahoma"/>
          <w:sz w:val="20"/>
          <w:szCs w:val="20"/>
        </w:rPr>
        <w:t xml:space="preserve"> </w:t>
      </w:r>
      <w:r w:rsidRPr="00B004EE">
        <w:rPr>
          <w:rFonts w:ascii="Tahoma" w:hAnsi="Tahoma" w:cs="Tahoma"/>
          <w:sz w:val="20"/>
          <w:szCs w:val="20"/>
        </w:rPr>
        <w:t>humaine.</w:t>
      </w:r>
    </w:p>
    <w:p w14:paraId="3AB61F5A" w14:textId="77777777" w:rsidR="008105B4" w:rsidRPr="00B004EE" w:rsidRDefault="008105B4" w:rsidP="00B004EE">
      <w:pPr>
        <w:tabs>
          <w:tab w:val="left" w:pos="1535"/>
          <w:tab w:val="left" w:pos="3070"/>
          <w:tab w:val="left" w:pos="4605"/>
          <w:tab w:val="left" w:pos="6140"/>
          <w:tab w:val="left" w:pos="7675"/>
          <w:tab w:val="left" w:pos="9210"/>
        </w:tabs>
        <w:jc w:val="both"/>
        <w:rPr>
          <w:rFonts w:ascii="Tahoma" w:hAnsi="Tahoma" w:cs="Tahoma"/>
          <w:bCs/>
          <w:sz w:val="20"/>
          <w:szCs w:val="20"/>
        </w:rPr>
      </w:pPr>
    </w:p>
    <w:tbl>
      <w:tblPr>
        <w:tblW w:w="9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7"/>
        <w:gridCol w:w="3524"/>
        <w:gridCol w:w="2208"/>
        <w:gridCol w:w="1755"/>
        <w:gridCol w:w="1598"/>
      </w:tblGrid>
      <w:tr w:rsidR="00150C90" w:rsidRPr="00B004EE" w14:paraId="14FD1B1E" w14:textId="77777777" w:rsidTr="00C63768">
        <w:trPr>
          <w:jc w:val="center"/>
        </w:trPr>
        <w:tc>
          <w:tcPr>
            <w:tcW w:w="587" w:type="dxa"/>
          </w:tcPr>
          <w:p w14:paraId="77DD9808" w14:textId="77777777" w:rsidR="008105B4" w:rsidRPr="00B004EE" w:rsidRDefault="008105B4" w:rsidP="00B004EE">
            <w:pPr>
              <w:jc w:val="center"/>
              <w:rPr>
                <w:rFonts w:ascii="Tahoma" w:hAnsi="Tahoma" w:cs="Tahoma"/>
                <w:b/>
                <w:sz w:val="20"/>
                <w:szCs w:val="20"/>
              </w:rPr>
            </w:pPr>
            <w:r w:rsidRPr="00B004EE">
              <w:rPr>
                <w:rFonts w:ascii="Tahoma" w:hAnsi="Tahoma" w:cs="Tahoma"/>
                <w:b/>
                <w:sz w:val="20"/>
                <w:szCs w:val="20"/>
              </w:rPr>
              <w:t>N°</w:t>
            </w:r>
          </w:p>
        </w:tc>
        <w:tc>
          <w:tcPr>
            <w:tcW w:w="3524" w:type="dxa"/>
          </w:tcPr>
          <w:p w14:paraId="0B1E7108" w14:textId="77777777" w:rsidR="008105B4" w:rsidRPr="00B004EE" w:rsidRDefault="008105B4" w:rsidP="00B004EE">
            <w:pPr>
              <w:jc w:val="center"/>
              <w:rPr>
                <w:rFonts w:ascii="Tahoma" w:hAnsi="Tahoma" w:cs="Tahoma"/>
                <w:b/>
                <w:sz w:val="20"/>
                <w:szCs w:val="20"/>
              </w:rPr>
            </w:pPr>
            <w:r w:rsidRPr="00B004EE">
              <w:rPr>
                <w:rFonts w:ascii="Tahoma" w:hAnsi="Tahoma" w:cs="Tahoma"/>
                <w:b/>
                <w:sz w:val="20"/>
                <w:szCs w:val="20"/>
              </w:rPr>
              <w:t>Paramètres</w:t>
            </w:r>
          </w:p>
        </w:tc>
        <w:tc>
          <w:tcPr>
            <w:tcW w:w="2208" w:type="dxa"/>
          </w:tcPr>
          <w:p w14:paraId="29E2F8C7" w14:textId="3C414DA0" w:rsidR="008105B4" w:rsidRPr="00B004EE" w:rsidRDefault="008105B4" w:rsidP="00B004EE">
            <w:pPr>
              <w:jc w:val="center"/>
              <w:rPr>
                <w:rFonts w:ascii="Tahoma" w:hAnsi="Tahoma" w:cs="Tahoma"/>
                <w:b/>
                <w:sz w:val="20"/>
                <w:szCs w:val="20"/>
              </w:rPr>
            </w:pPr>
            <w:r w:rsidRPr="00B004EE">
              <w:rPr>
                <w:rFonts w:ascii="Tahoma" w:hAnsi="Tahoma" w:cs="Tahoma"/>
                <w:b/>
                <w:sz w:val="20"/>
                <w:szCs w:val="20"/>
              </w:rPr>
              <w:t>Limites</w:t>
            </w:r>
            <w:r w:rsidR="00DB1635" w:rsidRPr="00B004EE">
              <w:rPr>
                <w:rFonts w:ascii="Tahoma" w:hAnsi="Tahoma" w:cs="Tahoma"/>
                <w:b/>
                <w:sz w:val="20"/>
                <w:szCs w:val="20"/>
              </w:rPr>
              <w:t xml:space="preserve"> </w:t>
            </w:r>
            <w:r w:rsidRPr="00B004EE">
              <w:rPr>
                <w:rFonts w:ascii="Tahoma" w:hAnsi="Tahoma" w:cs="Tahoma"/>
                <w:b/>
                <w:sz w:val="20"/>
                <w:szCs w:val="20"/>
              </w:rPr>
              <w:t>de</w:t>
            </w:r>
            <w:r w:rsidR="00DB1635" w:rsidRPr="00B004EE">
              <w:rPr>
                <w:rFonts w:ascii="Tahoma" w:hAnsi="Tahoma" w:cs="Tahoma"/>
                <w:b/>
                <w:sz w:val="20"/>
                <w:szCs w:val="20"/>
              </w:rPr>
              <w:t xml:space="preserve"> </w:t>
            </w:r>
            <w:r w:rsidRPr="00B004EE">
              <w:rPr>
                <w:rFonts w:ascii="Tahoma" w:hAnsi="Tahoma" w:cs="Tahoma"/>
                <w:b/>
                <w:sz w:val="20"/>
                <w:szCs w:val="20"/>
              </w:rPr>
              <w:t>qualité</w:t>
            </w:r>
          </w:p>
        </w:tc>
        <w:tc>
          <w:tcPr>
            <w:tcW w:w="1755" w:type="dxa"/>
          </w:tcPr>
          <w:p w14:paraId="036EBEF7" w14:textId="549199AD" w:rsidR="008105B4" w:rsidRPr="00B004EE" w:rsidRDefault="008105B4" w:rsidP="00B004EE">
            <w:pPr>
              <w:jc w:val="center"/>
              <w:rPr>
                <w:rFonts w:ascii="Tahoma" w:hAnsi="Tahoma" w:cs="Tahoma"/>
                <w:b/>
                <w:sz w:val="20"/>
                <w:szCs w:val="20"/>
              </w:rPr>
            </w:pPr>
            <w:r w:rsidRPr="00B004EE">
              <w:rPr>
                <w:rFonts w:ascii="Tahoma" w:hAnsi="Tahoma" w:cs="Tahoma"/>
                <w:b/>
                <w:sz w:val="20"/>
                <w:szCs w:val="20"/>
              </w:rPr>
              <w:t>Unités</w:t>
            </w:r>
            <w:r w:rsidR="00DB1635" w:rsidRPr="00B004EE">
              <w:rPr>
                <w:rFonts w:ascii="Tahoma" w:hAnsi="Tahoma" w:cs="Tahoma"/>
                <w:b/>
                <w:sz w:val="20"/>
                <w:szCs w:val="20"/>
              </w:rPr>
              <w:t xml:space="preserve"> </w:t>
            </w:r>
            <w:r w:rsidRPr="00B004EE">
              <w:rPr>
                <w:rFonts w:ascii="Tahoma" w:hAnsi="Tahoma" w:cs="Tahoma"/>
                <w:b/>
                <w:sz w:val="20"/>
                <w:szCs w:val="20"/>
              </w:rPr>
              <w:t>de</w:t>
            </w:r>
            <w:r w:rsidR="00DB1635" w:rsidRPr="00B004EE">
              <w:rPr>
                <w:rFonts w:ascii="Tahoma" w:hAnsi="Tahoma" w:cs="Tahoma"/>
                <w:b/>
                <w:sz w:val="20"/>
                <w:szCs w:val="20"/>
              </w:rPr>
              <w:t xml:space="preserve"> </w:t>
            </w:r>
            <w:r w:rsidRPr="00B004EE">
              <w:rPr>
                <w:rFonts w:ascii="Tahoma" w:hAnsi="Tahoma" w:cs="Tahoma"/>
                <w:b/>
                <w:sz w:val="20"/>
                <w:szCs w:val="20"/>
              </w:rPr>
              <w:t>mesure</w:t>
            </w:r>
          </w:p>
        </w:tc>
        <w:tc>
          <w:tcPr>
            <w:tcW w:w="1598" w:type="dxa"/>
          </w:tcPr>
          <w:p w14:paraId="4AA0C6F2" w14:textId="77777777" w:rsidR="008105B4" w:rsidRPr="00B004EE" w:rsidRDefault="008105B4" w:rsidP="00B004EE">
            <w:pPr>
              <w:jc w:val="center"/>
              <w:rPr>
                <w:rFonts w:ascii="Tahoma" w:hAnsi="Tahoma" w:cs="Tahoma"/>
                <w:b/>
                <w:sz w:val="20"/>
                <w:szCs w:val="20"/>
                <w:lang w:val="en-GB"/>
              </w:rPr>
            </w:pPr>
            <w:r w:rsidRPr="00B004EE">
              <w:rPr>
                <w:rFonts w:ascii="Tahoma" w:hAnsi="Tahoma" w:cs="Tahoma"/>
                <w:b/>
                <w:sz w:val="20"/>
                <w:szCs w:val="20"/>
                <w:lang w:val="en-GB"/>
              </w:rPr>
              <w:t>Notes</w:t>
            </w:r>
          </w:p>
        </w:tc>
      </w:tr>
      <w:tr w:rsidR="00150C90" w:rsidRPr="00B004EE" w14:paraId="373F47A6" w14:textId="77777777" w:rsidTr="00C63768">
        <w:trPr>
          <w:jc w:val="center"/>
        </w:trPr>
        <w:tc>
          <w:tcPr>
            <w:tcW w:w="587" w:type="dxa"/>
          </w:tcPr>
          <w:p w14:paraId="4D060246" w14:textId="77777777" w:rsidR="008105B4" w:rsidRPr="00B004EE" w:rsidRDefault="008105B4" w:rsidP="00B004EE">
            <w:pPr>
              <w:jc w:val="both"/>
              <w:rPr>
                <w:rFonts w:ascii="Tahoma" w:hAnsi="Tahoma" w:cs="Tahoma"/>
                <w:sz w:val="20"/>
                <w:szCs w:val="20"/>
                <w:lang w:val="en-GB"/>
              </w:rPr>
            </w:pPr>
          </w:p>
        </w:tc>
        <w:tc>
          <w:tcPr>
            <w:tcW w:w="3524" w:type="dxa"/>
            <w:vAlign w:val="center"/>
          </w:tcPr>
          <w:p w14:paraId="7A920FFE" w14:textId="47C43FA2" w:rsidR="008105B4" w:rsidRPr="00B004EE" w:rsidRDefault="008105B4" w:rsidP="00B004EE">
            <w:pPr>
              <w:jc w:val="both"/>
              <w:rPr>
                <w:rFonts w:ascii="Tahoma" w:eastAsia="Arial Unicode MS" w:hAnsi="Tahoma" w:cs="Tahoma"/>
                <w:sz w:val="20"/>
                <w:szCs w:val="20"/>
                <w:lang w:val="en-GB"/>
              </w:rPr>
            </w:pPr>
            <w:r w:rsidRPr="00B004EE">
              <w:rPr>
                <w:rFonts w:ascii="Tahoma" w:hAnsi="Tahoma" w:cs="Tahoma"/>
                <w:sz w:val="20"/>
                <w:szCs w:val="20"/>
                <w:lang w:val="en-GB"/>
              </w:rPr>
              <w:t>Aluminium</w:t>
            </w:r>
            <w:r w:rsidR="00DB1635" w:rsidRPr="00B004EE">
              <w:rPr>
                <w:rFonts w:ascii="Tahoma" w:hAnsi="Tahoma" w:cs="Tahoma"/>
                <w:sz w:val="20"/>
                <w:szCs w:val="20"/>
                <w:lang w:val="en-GB"/>
              </w:rPr>
              <w:t xml:space="preserve"> </w:t>
            </w:r>
            <w:r w:rsidRPr="00B004EE">
              <w:rPr>
                <w:rFonts w:ascii="Tahoma" w:hAnsi="Tahoma" w:cs="Tahoma"/>
                <w:sz w:val="20"/>
                <w:szCs w:val="20"/>
                <w:lang w:val="en-GB"/>
              </w:rPr>
              <w:t>total</w:t>
            </w:r>
          </w:p>
        </w:tc>
        <w:tc>
          <w:tcPr>
            <w:tcW w:w="2208" w:type="dxa"/>
            <w:vAlign w:val="center"/>
          </w:tcPr>
          <w:p w14:paraId="507C77F0" w14:textId="77777777" w:rsidR="008105B4" w:rsidRPr="00B004EE" w:rsidRDefault="008105B4" w:rsidP="00B004EE">
            <w:pPr>
              <w:jc w:val="both"/>
              <w:rPr>
                <w:rFonts w:ascii="Tahoma" w:eastAsia="Arial Unicode MS" w:hAnsi="Tahoma" w:cs="Tahoma"/>
                <w:sz w:val="20"/>
                <w:szCs w:val="20"/>
                <w:lang w:val="en-GB"/>
              </w:rPr>
            </w:pPr>
            <w:r w:rsidRPr="00B004EE">
              <w:rPr>
                <w:rFonts w:ascii="Tahoma" w:hAnsi="Tahoma" w:cs="Tahoma"/>
                <w:sz w:val="20"/>
                <w:szCs w:val="20"/>
                <w:lang w:val="en-GB"/>
              </w:rPr>
              <w:t>200</w:t>
            </w:r>
          </w:p>
        </w:tc>
        <w:tc>
          <w:tcPr>
            <w:tcW w:w="1755" w:type="dxa"/>
            <w:vAlign w:val="center"/>
          </w:tcPr>
          <w:p w14:paraId="521204FC" w14:textId="77777777" w:rsidR="008105B4" w:rsidRPr="00B004EE" w:rsidRDefault="008105B4" w:rsidP="00B004EE">
            <w:pPr>
              <w:jc w:val="both"/>
              <w:rPr>
                <w:rFonts w:ascii="Tahoma" w:eastAsia="Arial Unicode MS" w:hAnsi="Tahoma" w:cs="Tahoma"/>
                <w:sz w:val="20"/>
                <w:szCs w:val="20"/>
                <w:lang w:val="en-GB"/>
              </w:rPr>
            </w:pPr>
            <w:r w:rsidRPr="00B004EE">
              <w:rPr>
                <w:rFonts w:ascii="Tahoma" w:hAnsi="Tahoma" w:cs="Tahoma"/>
                <w:sz w:val="20"/>
                <w:szCs w:val="20"/>
                <w:lang w:val="en-GB"/>
              </w:rPr>
              <w:t>µg/l</w:t>
            </w:r>
          </w:p>
        </w:tc>
        <w:tc>
          <w:tcPr>
            <w:tcW w:w="1598" w:type="dxa"/>
            <w:vAlign w:val="center"/>
          </w:tcPr>
          <w:p w14:paraId="18560660" w14:textId="34AC499D" w:rsidR="008105B4" w:rsidRPr="00B004EE" w:rsidRDefault="008105B4" w:rsidP="00B004EE">
            <w:pPr>
              <w:jc w:val="both"/>
              <w:rPr>
                <w:rFonts w:ascii="Tahoma" w:eastAsia="Arial Unicode MS" w:hAnsi="Tahoma" w:cs="Tahoma"/>
                <w:sz w:val="20"/>
                <w:szCs w:val="20"/>
                <w:lang w:val="en-GB"/>
              </w:rPr>
            </w:pPr>
            <w:r w:rsidRPr="00B004EE">
              <w:rPr>
                <w:rFonts w:ascii="Tahoma" w:eastAsia="Arial Unicode MS" w:hAnsi="Tahoma" w:cs="Tahoma"/>
                <w:sz w:val="20"/>
                <w:szCs w:val="20"/>
                <w:lang w:val="en-GB"/>
              </w:rPr>
              <w:t>Note</w:t>
            </w:r>
            <w:r w:rsidR="00DB1635" w:rsidRPr="00B004EE">
              <w:rPr>
                <w:rFonts w:ascii="Tahoma" w:eastAsia="Arial Unicode MS" w:hAnsi="Tahoma" w:cs="Tahoma"/>
                <w:sz w:val="20"/>
                <w:szCs w:val="20"/>
                <w:lang w:val="en-GB"/>
              </w:rPr>
              <w:t xml:space="preserve"> </w:t>
            </w:r>
            <w:r w:rsidRPr="00B004EE">
              <w:rPr>
                <w:rFonts w:ascii="Tahoma" w:eastAsia="Arial Unicode MS" w:hAnsi="Tahoma" w:cs="Tahoma"/>
                <w:sz w:val="20"/>
                <w:szCs w:val="20"/>
                <w:lang w:val="en-GB"/>
              </w:rPr>
              <w:t>1</w:t>
            </w:r>
          </w:p>
        </w:tc>
      </w:tr>
      <w:tr w:rsidR="00150C90" w:rsidRPr="00B004EE" w14:paraId="5ADFBBC6" w14:textId="77777777" w:rsidTr="00C63768">
        <w:trPr>
          <w:jc w:val="center"/>
        </w:trPr>
        <w:tc>
          <w:tcPr>
            <w:tcW w:w="587" w:type="dxa"/>
          </w:tcPr>
          <w:p w14:paraId="11AC7CAE" w14:textId="77777777" w:rsidR="008105B4" w:rsidRPr="00B004EE" w:rsidRDefault="008105B4" w:rsidP="00B004EE">
            <w:pPr>
              <w:jc w:val="both"/>
              <w:rPr>
                <w:rFonts w:ascii="Tahoma" w:hAnsi="Tahoma" w:cs="Tahoma"/>
                <w:sz w:val="20"/>
                <w:szCs w:val="20"/>
                <w:lang w:val="en-GB"/>
              </w:rPr>
            </w:pPr>
          </w:p>
        </w:tc>
        <w:tc>
          <w:tcPr>
            <w:tcW w:w="3524" w:type="dxa"/>
            <w:vAlign w:val="center"/>
          </w:tcPr>
          <w:p w14:paraId="2137DCBB" w14:textId="77777777" w:rsidR="008105B4" w:rsidRPr="00B004EE" w:rsidRDefault="008105B4" w:rsidP="00B004EE">
            <w:pPr>
              <w:jc w:val="both"/>
              <w:rPr>
                <w:rFonts w:ascii="Tahoma" w:eastAsia="Arial Unicode MS" w:hAnsi="Tahoma" w:cs="Tahoma"/>
                <w:sz w:val="20"/>
                <w:szCs w:val="20"/>
                <w:lang w:val="en-GB"/>
              </w:rPr>
            </w:pPr>
            <w:r w:rsidRPr="00B004EE">
              <w:rPr>
                <w:rFonts w:ascii="Tahoma" w:hAnsi="Tahoma" w:cs="Tahoma"/>
                <w:sz w:val="20"/>
                <w:szCs w:val="20"/>
                <w:lang w:val="en-GB"/>
              </w:rPr>
              <w:t>Ammonium</w:t>
            </w:r>
          </w:p>
        </w:tc>
        <w:tc>
          <w:tcPr>
            <w:tcW w:w="2208" w:type="dxa"/>
            <w:vAlign w:val="center"/>
          </w:tcPr>
          <w:p w14:paraId="771BAA47" w14:textId="77777777" w:rsidR="008105B4" w:rsidRPr="00B004EE" w:rsidRDefault="008105B4" w:rsidP="00B004EE">
            <w:pPr>
              <w:jc w:val="both"/>
              <w:rPr>
                <w:rFonts w:ascii="Tahoma" w:eastAsia="Arial Unicode MS" w:hAnsi="Tahoma" w:cs="Tahoma"/>
                <w:sz w:val="20"/>
                <w:szCs w:val="20"/>
                <w:lang w:val="en-GB"/>
              </w:rPr>
            </w:pPr>
            <w:r w:rsidRPr="00B004EE">
              <w:rPr>
                <w:rFonts w:ascii="Tahoma" w:hAnsi="Tahoma" w:cs="Tahoma"/>
                <w:sz w:val="20"/>
                <w:szCs w:val="20"/>
                <w:lang w:val="en-GB"/>
              </w:rPr>
              <w:t>0,1</w:t>
            </w:r>
          </w:p>
        </w:tc>
        <w:tc>
          <w:tcPr>
            <w:tcW w:w="1755" w:type="dxa"/>
            <w:vAlign w:val="center"/>
          </w:tcPr>
          <w:p w14:paraId="7B605668" w14:textId="77777777" w:rsidR="008105B4" w:rsidRPr="00B004EE" w:rsidRDefault="008105B4" w:rsidP="00B004EE">
            <w:pPr>
              <w:jc w:val="both"/>
              <w:rPr>
                <w:rFonts w:ascii="Tahoma" w:eastAsia="Arial Unicode MS" w:hAnsi="Tahoma" w:cs="Tahoma"/>
                <w:sz w:val="20"/>
                <w:szCs w:val="20"/>
                <w:lang w:val="en-GB"/>
              </w:rPr>
            </w:pPr>
            <w:r w:rsidRPr="00B004EE">
              <w:rPr>
                <w:rFonts w:ascii="Tahoma" w:hAnsi="Tahoma" w:cs="Tahoma"/>
                <w:sz w:val="20"/>
                <w:szCs w:val="20"/>
                <w:lang w:val="en-GB"/>
              </w:rPr>
              <w:t>mg/l</w:t>
            </w:r>
          </w:p>
        </w:tc>
        <w:tc>
          <w:tcPr>
            <w:tcW w:w="1598" w:type="dxa"/>
            <w:vAlign w:val="center"/>
          </w:tcPr>
          <w:p w14:paraId="39DFD449" w14:textId="627C0C49" w:rsidR="008105B4" w:rsidRPr="00B004EE" w:rsidRDefault="008105B4" w:rsidP="00B004EE">
            <w:pPr>
              <w:jc w:val="both"/>
              <w:rPr>
                <w:rFonts w:ascii="Tahoma" w:eastAsia="Arial Unicode MS" w:hAnsi="Tahoma" w:cs="Tahoma"/>
                <w:sz w:val="20"/>
                <w:szCs w:val="20"/>
                <w:lang w:val="en-GB"/>
              </w:rPr>
            </w:pPr>
            <w:r w:rsidRPr="00B004EE">
              <w:rPr>
                <w:rFonts w:ascii="Tahoma" w:eastAsia="Arial Unicode MS" w:hAnsi="Tahoma" w:cs="Tahoma"/>
                <w:sz w:val="20"/>
                <w:szCs w:val="20"/>
                <w:lang w:val="en-GB"/>
              </w:rPr>
              <w:t>Note</w:t>
            </w:r>
            <w:r w:rsidR="00DB1635" w:rsidRPr="00B004EE">
              <w:rPr>
                <w:rFonts w:ascii="Tahoma" w:eastAsia="Arial Unicode MS" w:hAnsi="Tahoma" w:cs="Tahoma"/>
                <w:sz w:val="20"/>
                <w:szCs w:val="20"/>
                <w:lang w:val="en-GB"/>
              </w:rPr>
              <w:t xml:space="preserve"> </w:t>
            </w:r>
            <w:r w:rsidRPr="00B004EE">
              <w:rPr>
                <w:rFonts w:ascii="Tahoma" w:eastAsia="Arial Unicode MS" w:hAnsi="Tahoma" w:cs="Tahoma"/>
                <w:sz w:val="20"/>
                <w:szCs w:val="20"/>
                <w:lang w:val="en-GB"/>
              </w:rPr>
              <w:t>2</w:t>
            </w:r>
          </w:p>
        </w:tc>
      </w:tr>
      <w:tr w:rsidR="00150C90" w:rsidRPr="00B004EE" w14:paraId="11CAFA07" w14:textId="77777777" w:rsidTr="00C63768">
        <w:trPr>
          <w:jc w:val="center"/>
        </w:trPr>
        <w:tc>
          <w:tcPr>
            <w:tcW w:w="587" w:type="dxa"/>
          </w:tcPr>
          <w:p w14:paraId="5433912A" w14:textId="77777777" w:rsidR="008105B4" w:rsidRPr="00B004EE" w:rsidRDefault="008105B4" w:rsidP="00B004EE">
            <w:pPr>
              <w:jc w:val="both"/>
              <w:rPr>
                <w:rFonts w:ascii="Tahoma" w:hAnsi="Tahoma" w:cs="Tahoma"/>
                <w:sz w:val="20"/>
                <w:szCs w:val="20"/>
                <w:lang w:val="en-GB"/>
              </w:rPr>
            </w:pPr>
          </w:p>
        </w:tc>
        <w:tc>
          <w:tcPr>
            <w:tcW w:w="3524" w:type="dxa"/>
            <w:vAlign w:val="center"/>
          </w:tcPr>
          <w:p w14:paraId="5954EA39" w14:textId="5A1B8524" w:rsidR="008105B4" w:rsidRPr="00B004EE" w:rsidRDefault="008105B4" w:rsidP="00B004EE">
            <w:pPr>
              <w:jc w:val="both"/>
              <w:rPr>
                <w:rFonts w:ascii="Tahoma" w:hAnsi="Tahoma" w:cs="Tahoma"/>
                <w:i/>
                <w:iCs/>
                <w:sz w:val="20"/>
                <w:szCs w:val="20"/>
              </w:rPr>
            </w:pPr>
            <w:r w:rsidRPr="00B004EE">
              <w:rPr>
                <w:rFonts w:ascii="Tahoma" w:hAnsi="Tahoma" w:cs="Tahoma"/>
                <w:sz w:val="20"/>
                <w:szCs w:val="20"/>
              </w:rPr>
              <w:t>Bactéries</w:t>
            </w:r>
            <w:r w:rsidR="00DB1635" w:rsidRPr="00B004EE">
              <w:rPr>
                <w:rFonts w:ascii="Tahoma" w:hAnsi="Tahoma" w:cs="Tahoma"/>
                <w:sz w:val="20"/>
                <w:szCs w:val="20"/>
              </w:rPr>
              <w:t xml:space="preserve"> </w:t>
            </w:r>
            <w:r w:rsidRPr="00B004EE">
              <w:rPr>
                <w:rFonts w:ascii="Tahoma" w:hAnsi="Tahoma" w:cs="Tahoma"/>
                <w:sz w:val="20"/>
                <w:szCs w:val="20"/>
              </w:rPr>
              <w:t>sulfito-réductrices</w:t>
            </w:r>
          </w:p>
          <w:p w14:paraId="29AA711D" w14:textId="125E89E0" w:rsidR="008105B4" w:rsidRPr="00B004EE" w:rsidRDefault="008105B4" w:rsidP="00B004EE">
            <w:pPr>
              <w:jc w:val="both"/>
              <w:rPr>
                <w:rFonts w:ascii="Tahoma" w:eastAsia="Arial Unicode MS" w:hAnsi="Tahoma" w:cs="Tahoma"/>
                <w:sz w:val="20"/>
                <w:szCs w:val="20"/>
              </w:rPr>
            </w:pPr>
            <w:r w:rsidRPr="00B004EE">
              <w:rPr>
                <w:rFonts w:ascii="Tahoma" w:hAnsi="Tahoma" w:cs="Tahoma"/>
                <w:sz w:val="20"/>
                <w:szCs w:val="20"/>
              </w:rPr>
              <w:t>y</w:t>
            </w:r>
            <w:r w:rsidR="00DB1635" w:rsidRPr="00B004EE">
              <w:rPr>
                <w:rFonts w:ascii="Tahoma" w:hAnsi="Tahoma" w:cs="Tahoma"/>
                <w:sz w:val="20"/>
                <w:szCs w:val="20"/>
              </w:rPr>
              <w:t xml:space="preserve"> </w:t>
            </w:r>
            <w:r w:rsidRPr="00B004EE">
              <w:rPr>
                <w:rFonts w:ascii="Tahoma" w:hAnsi="Tahoma" w:cs="Tahoma"/>
                <w:sz w:val="20"/>
                <w:szCs w:val="20"/>
              </w:rPr>
              <w:t>compris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spores</w:t>
            </w:r>
          </w:p>
        </w:tc>
        <w:tc>
          <w:tcPr>
            <w:tcW w:w="2208" w:type="dxa"/>
            <w:vAlign w:val="center"/>
          </w:tcPr>
          <w:p w14:paraId="0AC2284D" w14:textId="483BF8D0" w:rsidR="008105B4" w:rsidRPr="00B004EE" w:rsidRDefault="008105B4" w:rsidP="00B004EE">
            <w:pPr>
              <w:jc w:val="both"/>
              <w:rPr>
                <w:rFonts w:ascii="Tahoma" w:eastAsia="Arial Unicode MS" w:hAnsi="Tahoma" w:cs="Tahoma"/>
                <w:sz w:val="20"/>
                <w:szCs w:val="20"/>
              </w:rPr>
            </w:pPr>
            <w:r w:rsidRPr="00B004EE">
              <w:rPr>
                <w:rFonts w:ascii="Tahoma" w:hAnsi="Tahoma" w:cs="Tahoma"/>
                <w:sz w:val="20"/>
                <w:szCs w:val="20"/>
              </w:rPr>
              <w:t>&lt;</w:t>
            </w:r>
            <w:r w:rsidR="00DB1635" w:rsidRPr="00B004EE">
              <w:rPr>
                <w:rFonts w:ascii="Tahoma" w:hAnsi="Tahoma" w:cs="Tahoma"/>
                <w:sz w:val="20"/>
                <w:szCs w:val="20"/>
              </w:rPr>
              <w:t xml:space="preserve"> </w:t>
            </w:r>
            <w:r w:rsidRPr="00B004EE">
              <w:rPr>
                <w:rFonts w:ascii="Tahoma" w:hAnsi="Tahoma" w:cs="Tahoma"/>
                <w:sz w:val="20"/>
                <w:szCs w:val="20"/>
              </w:rPr>
              <w:t>1</w:t>
            </w:r>
          </w:p>
        </w:tc>
        <w:tc>
          <w:tcPr>
            <w:tcW w:w="1755" w:type="dxa"/>
            <w:vAlign w:val="center"/>
          </w:tcPr>
          <w:p w14:paraId="5590BF61" w14:textId="3B6F7747" w:rsidR="008105B4" w:rsidRPr="00B004EE" w:rsidRDefault="008105B4" w:rsidP="00B004EE">
            <w:pPr>
              <w:jc w:val="both"/>
              <w:rPr>
                <w:rFonts w:ascii="Tahoma" w:eastAsia="Arial Unicode MS" w:hAnsi="Tahoma" w:cs="Tahoma"/>
                <w:sz w:val="20"/>
                <w:szCs w:val="20"/>
              </w:rPr>
            </w:pPr>
            <w:r w:rsidRPr="00B004EE">
              <w:rPr>
                <w:rFonts w:ascii="Tahoma" w:hAnsi="Tahoma" w:cs="Tahoma"/>
                <w:sz w:val="20"/>
                <w:szCs w:val="20"/>
              </w:rPr>
              <w:t>nombre</w:t>
            </w:r>
            <w:r w:rsidR="00DB1635" w:rsidRPr="00B004EE">
              <w:rPr>
                <w:rFonts w:ascii="Tahoma" w:hAnsi="Tahoma" w:cs="Tahoma"/>
                <w:sz w:val="20"/>
                <w:szCs w:val="20"/>
              </w:rPr>
              <w:t xml:space="preserve"> </w:t>
            </w:r>
            <w:r w:rsidRPr="00B004EE">
              <w:rPr>
                <w:rFonts w:ascii="Tahoma" w:hAnsi="Tahoma" w:cs="Tahoma"/>
                <w:sz w:val="20"/>
                <w:szCs w:val="20"/>
              </w:rPr>
              <w:t>/100</w:t>
            </w:r>
            <w:r w:rsidR="00DB1635" w:rsidRPr="00B004EE">
              <w:rPr>
                <w:rFonts w:ascii="Tahoma" w:hAnsi="Tahoma" w:cs="Tahoma"/>
                <w:sz w:val="20"/>
                <w:szCs w:val="20"/>
              </w:rPr>
              <w:t xml:space="preserve"> </w:t>
            </w:r>
            <w:r w:rsidRPr="00B004EE">
              <w:rPr>
                <w:rFonts w:ascii="Tahoma" w:hAnsi="Tahoma" w:cs="Tahoma"/>
                <w:sz w:val="20"/>
                <w:szCs w:val="20"/>
              </w:rPr>
              <w:t>ml</w:t>
            </w:r>
          </w:p>
        </w:tc>
        <w:tc>
          <w:tcPr>
            <w:tcW w:w="1598" w:type="dxa"/>
            <w:vAlign w:val="center"/>
          </w:tcPr>
          <w:p w14:paraId="2D0AC8ED" w14:textId="2B508AE8" w:rsidR="008105B4" w:rsidRPr="00B004EE" w:rsidRDefault="008105B4" w:rsidP="00B004EE">
            <w:pPr>
              <w:jc w:val="both"/>
              <w:rPr>
                <w:rFonts w:ascii="Tahoma" w:eastAsia="Arial Unicode MS" w:hAnsi="Tahoma" w:cs="Tahoma"/>
                <w:sz w:val="20"/>
                <w:szCs w:val="20"/>
              </w:rPr>
            </w:pPr>
            <w:r w:rsidRPr="00B004EE">
              <w:rPr>
                <w:rFonts w:ascii="Tahoma" w:eastAsia="Arial Unicode MS" w:hAnsi="Tahoma" w:cs="Tahoma"/>
                <w:sz w:val="20"/>
                <w:szCs w:val="20"/>
              </w:rPr>
              <w:t>Note</w:t>
            </w:r>
            <w:r w:rsidR="00DB1635" w:rsidRPr="00B004EE">
              <w:rPr>
                <w:rFonts w:ascii="Tahoma" w:eastAsia="Arial Unicode MS" w:hAnsi="Tahoma" w:cs="Tahoma"/>
                <w:sz w:val="20"/>
                <w:szCs w:val="20"/>
              </w:rPr>
              <w:t xml:space="preserve"> </w:t>
            </w:r>
            <w:r w:rsidRPr="00B004EE">
              <w:rPr>
                <w:rFonts w:ascii="Tahoma" w:eastAsia="Arial Unicode MS" w:hAnsi="Tahoma" w:cs="Tahoma"/>
                <w:sz w:val="20"/>
                <w:szCs w:val="20"/>
              </w:rPr>
              <w:t>3</w:t>
            </w:r>
          </w:p>
        </w:tc>
      </w:tr>
      <w:tr w:rsidR="00150C90" w:rsidRPr="00B004EE" w14:paraId="41464433" w14:textId="77777777" w:rsidTr="00C63768">
        <w:trPr>
          <w:jc w:val="center"/>
        </w:trPr>
        <w:tc>
          <w:tcPr>
            <w:tcW w:w="587" w:type="dxa"/>
          </w:tcPr>
          <w:p w14:paraId="32E68E6C" w14:textId="77777777" w:rsidR="008105B4" w:rsidRPr="00B004EE" w:rsidRDefault="008105B4" w:rsidP="00B004EE">
            <w:pPr>
              <w:jc w:val="both"/>
              <w:rPr>
                <w:rFonts w:ascii="Tahoma" w:hAnsi="Tahoma" w:cs="Tahoma"/>
                <w:sz w:val="20"/>
                <w:szCs w:val="20"/>
              </w:rPr>
            </w:pPr>
          </w:p>
        </w:tc>
        <w:tc>
          <w:tcPr>
            <w:tcW w:w="3524" w:type="dxa"/>
            <w:vAlign w:val="center"/>
          </w:tcPr>
          <w:p w14:paraId="51F2A1B2" w14:textId="7FECEE45" w:rsidR="008105B4" w:rsidRPr="00B004EE" w:rsidRDefault="008105B4" w:rsidP="00B004EE">
            <w:pPr>
              <w:jc w:val="both"/>
              <w:rPr>
                <w:rFonts w:ascii="Tahoma" w:hAnsi="Tahoma" w:cs="Tahoma"/>
                <w:sz w:val="20"/>
                <w:szCs w:val="20"/>
              </w:rPr>
            </w:pPr>
            <w:r w:rsidRPr="00B004EE">
              <w:rPr>
                <w:rFonts w:ascii="Tahoma" w:hAnsi="Tahoma" w:cs="Tahoma"/>
                <w:sz w:val="20"/>
                <w:szCs w:val="20"/>
              </w:rPr>
              <w:t>Carbone</w:t>
            </w:r>
            <w:r w:rsidR="00DB1635" w:rsidRPr="00B004EE">
              <w:rPr>
                <w:rFonts w:ascii="Tahoma" w:hAnsi="Tahoma" w:cs="Tahoma"/>
                <w:sz w:val="20"/>
                <w:szCs w:val="20"/>
              </w:rPr>
              <w:t xml:space="preserve"> </w:t>
            </w:r>
            <w:r w:rsidRPr="00B004EE">
              <w:rPr>
                <w:rFonts w:ascii="Tahoma" w:hAnsi="Tahoma" w:cs="Tahoma"/>
                <w:sz w:val="20"/>
                <w:szCs w:val="20"/>
              </w:rPr>
              <w:t>organique</w:t>
            </w:r>
            <w:r w:rsidR="00DB1635" w:rsidRPr="00B004EE">
              <w:rPr>
                <w:rFonts w:ascii="Tahoma" w:hAnsi="Tahoma" w:cs="Tahoma"/>
                <w:sz w:val="20"/>
                <w:szCs w:val="20"/>
              </w:rPr>
              <w:t xml:space="preserve"> </w:t>
            </w:r>
            <w:r w:rsidRPr="00B004EE">
              <w:rPr>
                <w:rFonts w:ascii="Tahoma" w:hAnsi="Tahoma" w:cs="Tahoma"/>
                <w:sz w:val="20"/>
                <w:szCs w:val="20"/>
              </w:rPr>
              <w:t>total</w:t>
            </w:r>
            <w:r w:rsidR="00DB1635" w:rsidRPr="00B004EE">
              <w:rPr>
                <w:rFonts w:ascii="Tahoma" w:hAnsi="Tahoma" w:cs="Tahoma"/>
                <w:sz w:val="20"/>
                <w:szCs w:val="20"/>
              </w:rPr>
              <w:t xml:space="preserve"> </w:t>
            </w:r>
            <w:r w:rsidRPr="00B004EE">
              <w:rPr>
                <w:rFonts w:ascii="Tahoma" w:hAnsi="Tahoma" w:cs="Tahoma"/>
                <w:sz w:val="20"/>
                <w:szCs w:val="20"/>
              </w:rPr>
              <w:t>(COT)</w:t>
            </w:r>
          </w:p>
        </w:tc>
        <w:tc>
          <w:tcPr>
            <w:tcW w:w="2208" w:type="dxa"/>
            <w:vAlign w:val="center"/>
          </w:tcPr>
          <w:p w14:paraId="6432090C" w14:textId="1696164B" w:rsidR="008105B4" w:rsidRPr="00B004EE" w:rsidRDefault="008105B4" w:rsidP="00B004EE">
            <w:pPr>
              <w:jc w:val="both"/>
              <w:rPr>
                <w:rFonts w:ascii="Tahoma" w:hAnsi="Tahoma" w:cs="Tahoma"/>
                <w:sz w:val="20"/>
                <w:szCs w:val="20"/>
              </w:rPr>
            </w:pPr>
            <w:r w:rsidRPr="00B004EE">
              <w:rPr>
                <w:rFonts w:ascii="Tahoma" w:hAnsi="Tahoma" w:cs="Tahoma"/>
                <w:sz w:val="20"/>
                <w:szCs w:val="20"/>
              </w:rPr>
              <w:t>Sans</w:t>
            </w:r>
            <w:r w:rsidR="00DB1635" w:rsidRPr="00B004EE">
              <w:rPr>
                <w:rFonts w:ascii="Tahoma" w:hAnsi="Tahoma" w:cs="Tahoma"/>
                <w:sz w:val="20"/>
                <w:szCs w:val="20"/>
              </w:rPr>
              <w:t xml:space="preserve"> </w:t>
            </w:r>
            <w:r w:rsidRPr="00B004EE">
              <w:rPr>
                <w:rFonts w:ascii="Tahoma" w:hAnsi="Tahoma" w:cs="Tahoma"/>
                <w:sz w:val="20"/>
                <w:szCs w:val="20"/>
              </w:rPr>
              <w:t>changement</w:t>
            </w:r>
            <w:r w:rsidR="00DB1635" w:rsidRPr="00B004EE">
              <w:rPr>
                <w:rFonts w:ascii="Tahoma" w:hAnsi="Tahoma" w:cs="Tahoma"/>
                <w:sz w:val="20"/>
                <w:szCs w:val="20"/>
              </w:rPr>
              <w:t xml:space="preserve"> </w:t>
            </w:r>
            <w:r w:rsidRPr="00B004EE">
              <w:rPr>
                <w:rFonts w:ascii="Tahoma" w:hAnsi="Tahoma" w:cs="Tahoma"/>
                <w:sz w:val="20"/>
                <w:szCs w:val="20"/>
              </w:rPr>
              <w:t>anormal</w:t>
            </w:r>
          </w:p>
        </w:tc>
        <w:tc>
          <w:tcPr>
            <w:tcW w:w="1755" w:type="dxa"/>
            <w:vAlign w:val="center"/>
          </w:tcPr>
          <w:p w14:paraId="6E91F3F6" w14:textId="77777777" w:rsidR="008105B4" w:rsidRPr="00B004EE" w:rsidRDefault="008105B4" w:rsidP="00B004EE">
            <w:pPr>
              <w:jc w:val="both"/>
              <w:rPr>
                <w:rFonts w:ascii="Tahoma" w:hAnsi="Tahoma" w:cs="Tahoma"/>
                <w:sz w:val="20"/>
                <w:szCs w:val="20"/>
                <w:lang w:val="nl-NL"/>
              </w:rPr>
            </w:pPr>
            <w:r w:rsidRPr="00B004EE">
              <w:rPr>
                <w:rFonts w:ascii="Tahoma" w:hAnsi="Tahoma" w:cs="Tahoma"/>
                <w:sz w:val="20"/>
                <w:szCs w:val="20"/>
                <w:lang w:val="nl-NL"/>
              </w:rPr>
              <w:t>mg/l</w:t>
            </w:r>
          </w:p>
        </w:tc>
        <w:tc>
          <w:tcPr>
            <w:tcW w:w="1598" w:type="dxa"/>
            <w:vAlign w:val="center"/>
          </w:tcPr>
          <w:p w14:paraId="70492611" w14:textId="7554A922" w:rsidR="008105B4" w:rsidRPr="00B004EE" w:rsidRDefault="008105B4" w:rsidP="00B004EE">
            <w:pPr>
              <w:jc w:val="both"/>
              <w:rPr>
                <w:rFonts w:ascii="Tahoma" w:hAnsi="Tahoma" w:cs="Tahoma"/>
                <w:sz w:val="20"/>
                <w:szCs w:val="20"/>
                <w:lang w:val="nl-NL"/>
              </w:rPr>
            </w:pPr>
            <w:r w:rsidRPr="00B004EE">
              <w:rPr>
                <w:rFonts w:ascii="Tahoma" w:hAnsi="Tahoma" w:cs="Tahoma"/>
                <w:sz w:val="20"/>
                <w:szCs w:val="20"/>
                <w:lang w:val="nl-NL"/>
              </w:rPr>
              <w:t>&gt;</w:t>
            </w:r>
            <w:r w:rsidR="00DB1635" w:rsidRPr="00B004EE">
              <w:rPr>
                <w:rFonts w:ascii="Tahoma" w:hAnsi="Tahoma" w:cs="Tahoma"/>
                <w:sz w:val="20"/>
                <w:szCs w:val="20"/>
                <w:lang w:val="nl-NL"/>
              </w:rPr>
              <w:t xml:space="preserve"> </w:t>
            </w:r>
            <w:r w:rsidRPr="00B004EE">
              <w:rPr>
                <w:rFonts w:ascii="Tahoma" w:hAnsi="Tahoma" w:cs="Tahoma"/>
                <w:sz w:val="20"/>
                <w:szCs w:val="20"/>
                <w:lang w:val="nl-NL"/>
              </w:rPr>
              <w:t>10</w:t>
            </w:r>
            <w:r w:rsidR="00DB1635" w:rsidRPr="00B004EE">
              <w:rPr>
                <w:rFonts w:ascii="Tahoma" w:hAnsi="Tahoma" w:cs="Tahoma"/>
                <w:sz w:val="20"/>
                <w:szCs w:val="20"/>
                <w:lang w:val="nl-NL"/>
              </w:rPr>
              <w:t xml:space="preserve"> </w:t>
            </w:r>
            <w:r w:rsidRPr="00B004EE">
              <w:rPr>
                <w:rFonts w:ascii="Tahoma" w:hAnsi="Tahoma" w:cs="Tahoma"/>
                <w:sz w:val="20"/>
                <w:szCs w:val="20"/>
                <w:lang w:val="nl-NL"/>
              </w:rPr>
              <w:t>000</w:t>
            </w:r>
            <w:r w:rsidR="00DB1635" w:rsidRPr="00B004EE">
              <w:rPr>
                <w:rFonts w:ascii="Tahoma" w:hAnsi="Tahoma" w:cs="Tahoma"/>
                <w:sz w:val="20"/>
                <w:szCs w:val="20"/>
                <w:lang w:val="nl-NL"/>
              </w:rPr>
              <w:t xml:space="preserve"> </w:t>
            </w:r>
            <w:r w:rsidRPr="00B004EE">
              <w:rPr>
                <w:rFonts w:ascii="Tahoma" w:hAnsi="Tahoma" w:cs="Tahoma"/>
                <w:sz w:val="20"/>
                <w:szCs w:val="20"/>
                <w:lang w:val="nl-NL"/>
              </w:rPr>
              <w:t>m3/j</w:t>
            </w:r>
          </w:p>
        </w:tc>
      </w:tr>
      <w:tr w:rsidR="00150C90" w:rsidRPr="00B004EE" w14:paraId="6DEDC0E7" w14:textId="77777777" w:rsidTr="00C63768">
        <w:trPr>
          <w:jc w:val="center"/>
        </w:trPr>
        <w:tc>
          <w:tcPr>
            <w:tcW w:w="587" w:type="dxa"/>
          </w:tcPr>
          <w:p w14:paraId="3FB33344" w14:textId="77777777" w:rsidR="008105B4" w:rsidRPr="00B004EE" w:rsidRDefault="008105B4" w:rsidP="00B004EE">
            <w:pPr>
              <w:jc w:val="both"/>
              <w:rPr>
                <w:rFonts w:ascii="Tahoma" w:hAnsi="Tahoma" w:cs="Tahoma"/>
                <w:sz w:val="20"/>
                <w:szCs w:val="20"/>
                <w:lang w:val="nl-NL"/>
              </w:rPr>
            </w:pPr>
          </w:p>
        </w:tc>
        <w:tc>
          <w:tcPr>
            <w:tcW w:w="3524" w:type="dxa"/>
            <w:vAlign w:val="center"/>
          </w:tcPr>
          <w:p w14:paraId="58C29044" w14:textId="48DCC054" w:rsidR="008105B4" w:rsidRPr="00B004EE" w:rsidRDefault="008105B4" w:rsidP="00B004EE">
            <w:pPr>
              <w:jc w:val="both"/>
              <w:rPr>
                <w:rFonts w:ascii="Tahoma" w:hAnsi="Tahoma" w:cs="Tahoma"/>
                <w:sz w:val="20"/>
                <w:szCs w:val="20"/>
              </w:rPr>
            </w:pPr>
            <w:r w:rsidRPr="00B004EE">
              <w:rPr>
                <w:rFonts w:ascii="Tahoma" w:hAnsi="Tahoma" w:cs="Tahoma"/>
                <w:sz w:val="20"/>
                <w:szCs w:val="20"/>
              </w:rPr>
              <w:t>Chlore</w:t>
            </w:r>
            <w:r w:rsidR="00DB1635" w:rsidRPr="00B004EE">
              <w:rPr>
                <w:rFonts w:ascii="Tahoma" w:hAnsi="Tahoma" w:cs="Tahoma"/>
                <w:sz w:val="20"/>
                <w:szCs w:val="20"/>
              </w:rPr>
              <w:t xml:space="preserve"> </w:t>
            </w:r>
            <w:r w:rsidRPr="00B004EE">
              <w:rPr>
                <w:rFonts w:ascii="Tahoma" w:hAnsi="Tahoma" w:cs="Tahoma"/>
                <w:sz w:val="20"/>
                <w:szCs w:val="20"/>
              </w:rPr>
              <w:t>libre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total</w:t>
            </w:r>
          </w:p>
        </w:tc>
        <w:tc>
          <w:tcPr>
            <w:tcW w:w="2208" w:type="dxa"/>
            <w:vAlign w:val="center"/>
          </w:tcPr>
          <w:p w14:paraId="3B25755E" w14:textId="77777777" w:rsidR="008105B4" w:rsidRPr="00B004EE" w:rsidRDefault="008105B4" w:rsidP="00B004EE">
            <w:pPr>
              <w:jc w:val="both"/>
              <w:rPr>
                <w:rFonts w:ascii="Tahoma" w:hAnsi="Tahoma" w:cs="Tahoma"/>
                <w:sz w:val="20"/>
                <w:szCs w:val="20"/>
              </w:rPr>
            </w:pPr>
            <w:r w:rsidRPr="00B004EE">
              <w:rPr>
                <w:rFonts w:ascii="Tahoma" w:hAnsi="Tahoma" w:cs="Tahoma"/>
                <w:sz w:val="20"/>
                <w:szCs w:val="20"/>
              </w:rPr>
              <w:t>-</w:t>
            </w:r>
          </w:p>
        </w:tc>
        <w:tc>
          <w:tcPr>
            <w:tcW w:w="1755" w:type="dxa"/>
            <w:vAlign w:val="center"/>
          </w:tcPr>
          <w:p w14:paraId="271469DF" w14:textId="77777777" w:rsidR="008105B4" w:rsidRPr="00B004EE" w:rsidRDefault="008105B4" w:rsidP="00B004EE">
            <w:pPr>
              <w:jc w:val="both"/>
              <w:rPr>
                <w:rFonts w:ascii="Tahoma" w:hAnsi="Tahoma" w:cs="Tahoma"/>
                <w:sz w:val="20"/>
                <w:szCs w:val="20"/>
              </w:rPr>
            </w:pPr>
            <w:r w:rsidRPr="00B004EE">
              <w:rPr>
                <w:rFonts w:ascii="Tahoma" w:hAnsi="Tahoma" w:cs="Tahoma"/>
                <w:sz w:val="20"/>
                <w:szCs w:val="20"/>
              </w:rPr>
              <w:t>-</w:t>
            </w:r>
          </w:p>
        </w:tc>
        <w:tc>
          <w:tcPr>
            <w:tcW w:w="1598" w:type="dxa"/>
            <w:vAlign w:val="center"/>
          </w:tcPr>
          <w:p w14:paraId="552E57DE" w14:textId="29FF39BD" w:rsidR="008105B4" w:rsidRPr="00B004EE" w:rsidRDefault="008105B4" w:rsidP="00B004EE">
            <w:pPr>
              <w:jc w:val="both"/>
              <w:rPr>
                <w:rFonts w:ascii="Tahoma" w:hAnsi="Tahoma" w:cs="Tahoma"/>
                <w:sz w:val="20"/>
                <w:szCs w:val="20"/>
              </w:rPr>
            </w:pPr>
            <w:r w:rsidRPr="00B004EE">
              <w:rPr>
                <w:rFonts w:ascii="Tahoma" w:hAnsi="Tahoma" w:cs="Tahoma"/>
                <w:sz w:val="20"/>
                <w:szCs w:val="20"/>
              </w:rPr>
              <w:t>Note</w:t>
            </w:r>
            <w:r w:rsidR="00DB1635" w:rsidRPr="00B004EE">
              <w:rPr>
                <w:rFonts w:ascii="Tahoma" w:hAnsi="Tahoma" w:cs="Tahoma"/>
                <w:sz w:val="20"/>
                <w:szCs w:val="20"/>
              </w:rPr>
              <w:t xml:space="preserve"> </w:t>
            </w:r>
            <w:r w:rsidRPr="00B004EE">
              <w:rPr>
                <w:rFonts w:ascii="Tahoma" w:hAnsi="Tahoma" w:cs="Tahoma"/>
                <w:sz w:val="20"/>
                <w:szCs w:val="20"/>
              </w:rPr>
              <w:t>4</w:t>
            </w:r>
          </w:p>
        </w:tc>
      </w:tr>
      <w:tr w:rsidR="00150C90" w:rsidRPr="00B004EE" w14:paraId="2857DC1D" w14:textId="77777777" w:rsidTr="00C63768">
        <w:trPr>
          <w:jc w:val="center"/>
        </w:trPr>
        <w:tc>
          <w:tcPr>
            <w:tcW w:w="587" w:type="dxa"/>
          </w:tcPr>
          <w:p w14:paraId="550E5547" w14:textId="77777777" w:rsidR="008105B4" w:rsidRPr="00B004EE" w:rsidRDefault="008105B4" w:rsidP="00B004EE">
            <w:pPr>
              <w:jc w:val="both"/>
              <w:rPr>
                <w:rFonts w:ascii="Tahoma" w:hAnsi="Tahoma" w:cs="Tahoma"/>
                <w:sz w:val="20"/>
                <w:szCs w:val="20"/>
              </w:rPr>
            </w:pPr>
          </w:p>
        </w:tc>
        <w:tc>
          <w:tcPr>
            <w:tcW w:w="3524" w:type="dxa"/>
            <w:vAlign w:val="center"/>
          </w:tcPr>
          <w:p w14:paraId="21EA6C45" w14:textId="77777777" w:rsidR="008105B4" w:rsidRPr="00B004EE" w:rsidRDefault="008105B4" w:rsidP="00B004EE">
            <w:pPr>
              <w:jc w:val="both"/>
              <w:rPr>
                <w:rFonts w:ascii="Tahoma" w:eastAsia="Arial Unicode MS" w:hAnsi="Tahoma" w:cs="Tahoma"/>
                <w:sz w:val="20"/>
                <w:szCs w:val="20"/>
              </w:rPr>
            </w:pPr>
            <w:r w:rsidRPr="00B004EE">
              <w:rPr>
                <w:rFonts w:ascii="Tahoma" w:hAnsi="Tahoma" w:cs="Tahoma"/>
                <w:sz w:val="20"/>
                <w:szCs w:val="20"/>
              </w:rPr>
              <w:t>Chlorures</w:t>
            </w:r>
          </w:p>
        </w:tc>
        <w:tc>
          <w:tcPr>
            <w:tcW w:w="2208" w:type="dxa"/>
            <w:vAlign w:val="center"/>
          </w:tcPr>
          <w:p w14:paraId="394866FD" w14:textId="77777777" w:rsidR="008105B4" w:rsidRPr="00B004EE" w:rsidRDefault="008105B4" w:rsidP="00B004EE">
            <w:pPr>
              <w:jc w:val="both"/>
              <w:rPr>
                <w:rFonts w:ascii="Tahoma" w:eastAsia="Arial Unicode MS" w:hAnsi="Tahoma" w:cs="Tahoma"/>
                <w:sz w:val="20"/>
                <w:szCs w:val="20"/>
              </w:rPr>
            </w:pPr>
            <w:r w:rsidRPr="00B004EE">
              <w:rPr>
                <w:rFonts w:ascii="Tahoma" w:hAnsi="Tahoma" w:cs="Tahoma"/>
                <w:sz w:val="20"/>
                <w:szCs w:val="20"/>
              </w:rPr>
              <w:t>250</w:t>
            </w:r>
          </w:p>
        </w:tc>
        <w:tc>
          <w:tcPr>
            <w:tcW w:w="1755" w:type="dxa"/>
            <w:vAlign w:val="center"/>
          </w:tcPr>
          <w:p w14:paraId="29A3BC2C" w14:textId="77777777" w:rsidR="008105B4" w:rsidRPr="00B004EE" w:rsidRDefault="008105B4" w:rsidP="00B004EE">
            <w:pPr>
              <w:jc w:val="both"/>
              <w:rPr>
                <w:rFonts w:ascii="Tahoma" w:eastAsia="Arial Unicode MS" w:hAnsi="Tahoma" w:cs="Tahoma"/>
                <w:sz w:val="20"/>
                <w:szCs w:val="20"/>
              </w:rPr>
            </w:pPr>
            <w:r w:rsidRPr="00B004EE">
              <w:rPr>
                <w:rFonts w:ascii="Tahoma" w:hAnsi="Tahoma" w:cs="Tahoma"/>
                <w:sz w:val="20"/>
                <w:szCs w:val="20"/>
              </w:rPr>
              <w:t>mg/l</w:t>
            </w:r>
          </w:p>
        </w:tc>
        <w:tc>
          <w:tcPr>
            <w:tcW w:w="1598" w:type="dxa"/>
            <w:vAlign w:val="center"/>
          </w:tcPr>
          <w:p w14:paraId="0976A9AC" w14:textId="5EC8C44D" w:rsidR="008105B4" w:rsidRPr="00B004EE" w:rsidRDefault="008105B4" w:rsidP="00B004EE">
            <w:pPr>
              <w:jc w:val="both"/>
              <w:rPr>
                <w:rFonts w:ascii="Tahoma" w:eastAsia="Arial Unicode MS" w:hAnsi="Tahoma" w:cs="Tahoma"/>
                <w:sz w:val="20"/>
                <w:szCs w:val="20"/>
              </w:rPr>
            </w:pPr>
            <w:r w:rsidRPr="00B004EE">
              <w:rPr>
                <w:rFonts w:ascii="Tahoma" w:hAnsi="Tahoma" w:cs="Tahoma"/>
                <w:sz w:val="20"/>
                <w:szCs w:val="20"/>
              </w:rPr>
              <w:t>Note</w:t>
            </w:r>
            <w:r w:rsidR="00DB1635" w:rsidRPr="00B004EE">
              <w:rPr>
                <w:rFonts w:ascii="Tahoma" w:hAnsi="Tahoma" w:cs="Tahoma"/>
                <w:sz w:val="20"/>
                <w:szCs w:val="20"/>
              </w:rPr>
              <w:t xml:space="preserve"> </w:t>
            </w:r>
            <w:r w:rsidRPr="00B004EE">
              <w:rPr>
                <w:rFonts w:ascii="Tahoma" w:hAnsi="Tahoma" w:cs="Tahoma"/>
                <w:sz w:val="20"/>
                <w:szCs w:val="20"/>
              </w:rPr>
              <w:t>5</w:t>
            </w:r>
            <w:r w:rsidR="00DB1635" w:rsidRPr="00B004EE">
              <w:rPr>
                <w:rFonts w:ascii="Tahoma" w:hAnsi="Tahoma" w:cs="Tahoma"/>
                <w:sz w:val="20"/>
                <w:szCs w:val="20"/>
              </w:rPr>
              <w:t xml:space="preserve"> </w:t>
            </w:r>
          </w:p>
        </w:tc>
      </w:tr>
      <w:tr w:rsidR="00150C90" w:rsidRPr="00B004EE" w14:paraId="1A492867" w14:textId="77777777" w:rsidTr="00C63768">
        <w:trPr>
          <w:jc w:val="center"/>
        </w:trPr>
        <w:tc>
          <w:tcPr>
            <w:tcW w:w="587" w:type="dxa"/>
          </w:tcPr>
          <w:p w14:paraId="4DA419F4" w14:textId="77777777" w:rsidR="008105B4" w:rsidRPr="00B004EE" w:rsidRDefault="008105B4" w:rsidP="00B004EE">
            <w:pPr>
              <w:jc w:val="both"/>
              <w:rPr>
                <w:rFonts w:ascii="Tahoma" w:hAnsi="Tahoma" w:cs="Tahoma"/>
                <w:sz w:val="20"/>
                <w:szCs w:val="20"/>
              </w:rPr>
            </w:pPr>
          </w:p>
        </w:tc>
        <w:tc>
          <w:tcPr>
            <w:tcW w:w="3524" w:type="dxa"/>
            <w:vAlign w:val="center"/>
          </w:tcPr>
          <w:p w14:paraId="2B84822E" w14:textId="71ADEE9F" w:rsidR="008105B4" w:rsidRPr="00B004EE" w:rsidRDefault="008105B4" w:rsidP="00B004EE">
            <w:pPr>
              <w:jc w:val="both"/>
              <w:rPr>
                <w:rFonts w:ascii="Tahoma" w:eastAsia="Arial Unicode MS" w:hAnsi="Tahoma" w:cs="Tahoma"/>
                <w:sz w:val="20"/>
                <w:szCs w:val="20"/>
              </w:rPr>
            </w:pPr>
            <w:r w:rsidRPr="00B004EE">
              <w:rPr>
                <w:rFonts w:ascii="Tahoma" w:hAnsi="Tahoma" w:cs="Tahoma"/>
                <w:sz w:val="20"/>
                <w:szCs w:val="20"/>
              </w:rPr>
              <w:t>Coliformes</w:t>
            </w:r>
            <w:r w:rsidR="00DB1635" w:rsidRPr="00B004EE">
              <w:rPr>
                <w:rFonts w:ascii="Tahoma" w:hAnsi="Tahoma" w:cs="Tahoma"/>
                <w:sz w:val="20"/>
                <w:szCs w:val="20"/>
              </w:rPr>
              <w:t xml:space="preserve"> </w:t>
            </w:r>
            <w:r w:rsidRPr="00B004EE">
              <w:rPr>
                <w:rFonts w:ascii="Tahoma" w:hAnsi="Tahoma" w:cs="Tahoma"/>
                <w:sz w:val="20"/>
                <w:szCs w:val="20"/>
              </w:rPr>
              <w:t>totaux</w:t>
            </w:r>
          </w:p>
        </w:tc>
        <w:tc>
          <w:tcPr>
            <w:tcW w:w="2208" w:type="dxa"/>
            <w:vAlign w:val="center"/>
          </w:tcPr>
          <w:p w14:paraId="1582DEB4" w14:textId="2BD112FA" w:rsidR="008105B4" w:rsidRPr="00B004EE" w:rsidRDefault="008105B4" w:rsidP="00B004EE">
            <w:pPr>
              <w:jc w:val="both"/>
              <w:rPr>
                <w:rFonts w:ascii="Tahoma" w:eastAsia="Arial Unicode MS" w:hAnsi="Tahoma" w:cs="Tahoma"/>
                <w:sz w:val="20"/>
                <w:szCs w:val="20"/>
              </w:rPr>
            </w:pPr>
            <w:r w:rsidRPr="00B004EE">
              <w:rPr>
                <w:rFonts w:ascii="Tahoma" w:hAnsi="Tahoma" w:cs="Tahoma"/>
                <w:sz w:val="20"/>
                <w:szCs w:val="20"/>
              </w:rPr>
              <w:t>&lt;</w:t>
            </w:r>
            <w:r w:rsidR="00DB1635" w:rsidRPr="00B004EE">
              <w:rPr>
                <w:rFonts w:ascii="Tahoma" w:hAnsi="Tahoma" w:cs="Tahoma"/>
                <w:sz w:val="20"/>
                <w:szCs w:val="20"/>
              </w:rPr>
              <w:t xml:space="preserve"> </w:t>
            </w:r>
            <w:r w:rsidRPr="00B004EE">
              <w:rPr>
                <w:rFonts w:ascii="Tahoma" w:hAnsi="Tahoma" w:cs="Tahoma"/>
                <w:sz w:val="20"/>
                <w:szCs w:val="20"/>
              </w:rPr>
              <w:t>1</w:t>
            </w:r>
          </w:p>
        </w:tc>
        <w:tc>
          <w:tcPr>
            <w:tcW w:w="1755" w:type="dxa"/>
            <w:vAlign w:val="center"/>
          </w:tcPr>
          <w:p w14:paraId="58A65783" w14:textId="23653B14" w:rsidR="008105B4" w:rsidRPr="00B004EE" w:rsidRDefault="008105B4" w:rsidP="00B004EE">
            <w:pPr>
              <w:jc w:val="both"/>
              <w:rPr>
                <w:rFonts w:ascii="Tahoma" w:eastAsia="Arial Unicode MS" w:hAnsi="Tahoma" w:cs="Tahoma"/>
                <w:sz w:val="20"/>
                <w:szCs w:val="20"/>
              </w:rPr>
            </w:pPr>
            <w:r w:rsidRPr="00B004EE">
              <w:rPr>
                <w:rFonts w:ascii="Tahoma" w:hAnsi="Tahoma" w:cs="Tahoma"/>
                <w:sz w:val="20"/>
                <w:szCs w:val="20"/>
              </w:rPr>
              <w:t>nombre/100</w:t>
            </w:r>
            <w:r w:rsidR="00DB1635" w:rsidRPr="00B004EE">
              <w:rPr>
                <w:rFonts w:ascii="Tahoma" w:hAnsi="Tahoma" w:cs="Tahoma"/>
                <w:sz w:val="20"/>
                <w:szCs w:val="20"/>
              </w:rPr>
              <w:t xml:space="preserve"> </w:t>
            </w:r>
            <w:r w:rsidRPr="00B004EE">
              <w:rPr>
                <w:rFonts w:ascii="Tahoma" w:hAnsi="Tahoma" w:cs="Tahoma"/>
                <w:sz w:val="20"/>
                <w:szCs w:val="20"/>
              </w:rPr>
              <w:t>ml</w:t>
            </w:r>
          </w:p>
        </w:tc>
        <w:tc>
          <w:tcPr>
            <w:tcW w:w="1598" w:type="dxa"/>
            <w:vAlign w:val="center"/>
          </w:tcPr>
          <w:p w14:paraId="0078184E" w14:textId="77777777" w:rsidR="008105B4" w:rsidRPr="00B004EE" w:rsidRDefault="008105B4" w:rsidP="00B004EE">
            <w:pPr>
              <w:jc w:val="both"/>
              <w:rPr>
                <w:rFonts w:ascii="Tahoma" w:eastAsia="Arial Unicode MS" w:hAnsi="Tahoma" w:cs="Tahoma"/>
                <w:sz w:val="20"/>
                <w:szCs w:val="20"/>
              </w:rPr>
            </w:pPr>
          </w:p>
        </w:tc>
      </w:tr>
      <w:tr w:rsidR="00150C90" w:rsidRPr="00B004EE" w14:paraId="15B06C96" w14:textId="77777777" w:rsidTr="00C63768">
        <w:trPr>
          <w:jc w:val="center"/>
        </w:trPr>
        <w:tc>
          <w:tcPr>
            <w:tcW w:w="587" w:type="dxa"/>
          </w:tcPr>
          <w:p w14:paraId="039FB683" w14:textId="77777777" w:rsidR="008105B4" w:rsidRPr="00B004EE" w:rsidRDefault="008105B4" w:rsidP="00B004EE">
            <w:pPr>
              <w:jc w:val="both"/>
              <w:rPr>
                <w:rFonts w:ascii="Tahoma" w:hAnsi="Tahoma" w:cs="Tahoma"/>
                <w:sz w:val="20"/>
                <w:szCs w:val="20"/>
              </w:rPr>
            </w:pPr>
          </w:p>
        </w:tc>
        <w:tc>
          <w:tcPr>
            <w:tcW w:w="3524" w:type="dxa"/>
            <w:vAlign w:val="center"/>
          </w:tcPr>
          <w:p w14:paraId="21297C52" w14:textId="2587A3EF" w:rsidR="008105B4" w:rsidRPr="00B004EE" w:rsidRDefault="008105B4" w:rsidP="00B004EE">
            <w:pPr>
              <w:jc w:val="both"/>
              <w:rPr>
                <w:rFonts w:ascii="Tahoma" w:eastAsia="Arial Unicode MS" w:hAnsi="Tahoma" w:cs="Tahoma"/>
                <w:sz w:val="20"/>
                <w:szCs w:val="20"/>
              </w:rPr>
            </w:pPr>
            <w:r w:rsidRPr="00B004EE">
              <w:rPr>
                <w:rFonts w:ascii="Tahoma" w:hAnsi="Tahoma" w:cs="Tahoma"/>
                <w:sz w:val="20"/>
                <w:szCs w:val="20"/>
              </w:rPr>
              <w:t>Concentration</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ions</w:t>
            </w:r>
            <w:r w:rsidR="00DB1635" w:rsidRPr="00B004EE">
              <w:rPr>
                <w:rFonts w:ascii="Tahoma" w:hAnsi="Tahoma" w:cs="Tahoma"/>
                <w:sz w:val="20"/>
                <w:szCs w:val="20"/>
              </w:rPr>
              <w:t xml:space="preserve"> </w:t>
            </w:r>
            <w:r w:rsidRPr="00B004EE">
              <w:rPr>
                <w:rFonts w:ascii="Tahoma" w:hAnsi="Tahoma" w:cs="Tahoma"/>
                <w:sz w:val="20"/>
                <w:szCs w:val="20"/>
              </w:rPr>
              <w:t>hydrogènes</w:t>
            </w:r>
          </w:p>
        </w:tc>
        <w:tc>
          <w:tcPr>
            <w:tcW w:w="2208" w:type="dxa"/>
            <w:vAlign w:val="center"/>
          </w:tcPr>
          <w:p w14:paraId="4F9324E0" w14:textId="6F731C3C" w:rsidR="008105B4" w:rsidRPr="00B004EE" w:rsidRDefault="008105B4" w:rsidP="00B004EE">
            <w:pPr>
              <w:jc w:val="both"/>
              <w:rPr>
                <w:rFonts w:ascii="Tahoma" w:eastAsia="Arial Unicode MS" w:hAnsi="Tahoma" w:cs="Tahoma"/>
                <w:sz w:val="20"/>
                <w:szCs w:val="20"/>
              </w:rPr>
            </w:pP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6,5</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9</w:t>
            </w:r>
          </w:p>
        </w:tc>
        <w:tc>
          <w:tcPr>
            <w:tcW w:w="1755" w:type="dxa"/>
            <w:vAlign w:val="center"/>
          </w:tcPr>
          <w:p w14:paraId="5AFA87B8" w14:textId="136CBA8C" w:rsidR="008105B4" w:rsidRPr="00B004EE" w:rsidRDefault="008105B4" w:rsidP="00B004EE">
            <w:pPr>
              <w:jc w:val="both"/>
              <w:rPr>
                <w:rFonts w:ascii="Tahoma" w:eastAsia="Arial Unicode MS" w:hAnsi="Tahoma" w:cs="Tahoma"/>
                <w:sz w:val="20"/>
                <w:szCs w:val="20"/>
              </w:rPr>
            </w:pPr>
            <w:r w:rsidRPr="00B004EE">
              <w:rPr>
                <w:rFonts w:ascii="Tahoma" w:hAnsi="Tahoma" w:cs="Tahoma"/>
                <w:sz w:val="20"/>
                <w:szCs w:val="20"/>
              </w:rPr>
              <w:t>Unités</w:t>
            </w:r>
            <w:r w:rsidR="00DB1635" w:rsidRPr="00B004EE">
              <w:rPr>
                <w:rFonts w:ascii="Tahoma" w:hAnsi="Tahoma" w:cs="Tahoma"/>
                <w:sz w:val="20"/>
                <w:szCs w:val="20"/>
              </w:rPr>
              <w:t xml:space="preserve"> </w:t>
            </w:r>
            <w:r w:rsidRPr="00B004EE">
              <w:rPr>
                <w:rFonts w:ascii="Tahoma" w:hAnsi="Tahoma" w:cs="Tahoma"/>
                <w:sz w:val="20"/>
                <w:szCs w:val="20"/>
              </w:rPr>
              <w:t>pH</w:t>
            </w:r>
          </w:p>
        </w:tc>
        <w:tc>
          <w:tcPr>
            <w:tcW w:w="1598" w:type="dxa"/>
            <w:vAlign w:val="center"/>
          </w:tcPr>
          <w:p w14:paraId="58357403" w14:textId="44217AA9" w:rsidR="008105B4" w:rsidRPr="00B004EE" w:rsidRDefault="008105B4" w:rsidP="00B004EE">
            <w:pPr>
              <w:jc w:val="both"/>
              <w:rPr>
                <w:rFonts w:ascii="Tahoma" w:eastAsia="Arial Unicode MS" w:hAnsi="Tahoma" w:cs="Tahoma"/>
                <w:sz w:val="20"/>
                <w:szCs w:val="20"/>
              </w:rPr>
            </w:pPr>
            <w:r w:rsidRPr="00B004EE">
              <w:rPr>
                <w:rFonts w:ascii="Tahoma" w:hAnsi="Tahoma" w:cs="Tahoma"/>
                <w:sz w:val="20"/>
                <w:szCs w:val="20"/>
              </w:rPr>
              <w:t>Note</w:t>
            </w:r>
            <w:r w:rsidR="00DB1635" w:rsidRPr="00B004EE">
              <w:rPr>
                <w:rFonts w:ascii="Tahoma" w:hAnsi="Tahoma" w:cs="Tahoma"/>
                <w:sz w:val="20"/>
                <w:szCs w:val="20"/>
              </w:rPr>
              <w:t xml:space="preserve"> </w:t>
            </w:r>
            <w:r w:rsidRPr="00B004EE">
              <w:rPr>
                <w:rFonts w:ascii="Tahoma" w:hAnsi="Tahoma" w:cs="Tahoma"/>
                <w:sz w:val="20"/>
                <w:szCs w:val="20"/>
              </w:rPr>
              <w:t>5</w:t>
            </w:r>
          </w:p>
        </w:tc>
      </w:tr>
      <w:tr w:rsidR="00150C90" w:rsidRPr="00B004EE" w14:paraId="16C1E688" w14:textId="77777777" w:rsidTr="00C63768">
        <w:trPr>
          <w:jc w:val="center"/>
        </w:trPr>
        <w:tc>
          <w:tcPr>
            <w:tcW w:w="587" w:type="dxa"/>
          </w:tcPr>
          <w:p w14:paraId="2C4273A3" w14:textId="77777777" w:rsidR="008105B4" w:rsidRPr="00B004EE" w:rsidRDefault="008105B4" w:rsidP="00B004EE">
            <w:pPr>
              <w:jc w:val="both"/>
              <w:rPr>
                <w:rFonts w:ascii="Tahoma" w:hAnsi="Tahoma" w:cs="Tahoma"/>
                <w:sz w:val="20"/>
                <w:szCs w:val="20"/>
              </w:rPr>
            </w:pPr>
          </w:p>
        </w:tc>
        <w:tc>
          <w:tcPr>
            <w:tcW w:w="3524" w:type="dxa"/>
            <w:vAlign w:val="center"/>
          </w:tcPr>
          <w:p w14:paraId="0C5AF016" w14:textId="77777777" w:rsidR="008105B4" w:rsidRPr="00B004EE" w:rsidRDefault="008105B4" w:rsidP="00B004EE">
            <w:pPr>
              <w:jc w:val="both"/>
              <w:rPr>
                <w:rFonts w:ascii="Tahoma" w:eastAsia="Arial Unicode MS" w:hAnsi="Tahoma" w:cs="Tahoma"/>
                <w:sz w:val="20"/>
                <w:szCs w:val="20"/>
              </w:rPr>
            </w:pPr>
            <w:r w:rsidRPr="00B004EE">
              <w:rPr>
                <w:rFonts w:ascii="Tahoma" w:hAnsi="Tahoma" w:cs="Tahoma"/>
                <w:sz w:val="20"/>
                <w:szCs w:val="20"/>
              </w:rPr>
              <w:t>Conductivité</w:t>
            </w:r>
          </w:p>
        </w:tc>
        <w:tc>
          <w:tcPr>
            <w:tcW w:w="2208" w:type="dxa"/>
            <w:vAlign w:val="center"/>
          </w:tcPr>
          <w:p w14:paraId="17B9347E" w14:textId="5F084671" w:rsidR="008105B4" w:rsidRPr="00B004EE" w:rsidRDefault="008105B4" w:rsidP="00B004EE">
            <w:pPr>
              <w:jc w:val="both"/>
              <w:rPr>
                <w:rFonts w:ascii="Tahoma" w:eastAsia="Arial Unicode MS" w:hAnsi="Tahoma" w:cs="Tahoma"/>
                <w:sz w:val="20"/>
                <w:szCs w:val="20"/>
              </w:rPr>
            </w:pPr>
            <w:r w:rsidRPr="00B004EE">
              <w:rPr>
                <w:rFonts w:ascii="Tahoma" w:hAnsi="Tahoma" w:cs="Tahoma"/>
                <w:sz w:val="20"/>
                <w:szCs w:val="20"/>
              </w:rPr>
              <w:t>2</w:t>
            </w:r>
            <w:r w:rsidR="00DB1635" w:rsidRPr="00B004EE">
              <w:rPr>
                <w:rFonts w:ascii="Tahoma" w:hAnsi="Tahoma" w:cs="Tahoma"/>
                <w:sz w:val="20"/>
                <w:szCs w:val="20"/>
              </w:rPr>
              <w:t xml:space="preserve"> </w:t>
            </w:r>
            <w:r w:rsidRPr="00B004EE">
              <w:rPr>
                <w:rFonts w:ascii="Tahoma" w:hAnsi="Tahoma" w:cs="Tahoma"/>
                <w:sz w:val="20"/>
                <w:szCs w:val="20"/>
              </w:rPr>
              <w:t>500</w:t>
            </w:r>
          </w:p>
        </w:tc>
        <w:tc>
          <w:tcPr>
            <w:tcW w:w="1755" w:type="dxa"/>
            <w:vAlign w:val="center"/>
          </w:tcPr>
          <w:p w14:paraId="371F779A" w14:textId="5CB6F32D" w:rsidR="008105B4" w:rsidRPr="00B004EE" w:rsidRDefault="008105B4" w:rsidP="00B004EE">
            <w:pPr>
              <w:jc w:val="both"/>
              <w:rPr>
                <w:rFonts w:ascii="Tahoma" w:eastAsia="Arial Unicode MS" w:hAnsi="Tahoma" w:cs="Tahoma"/>
                <w:sz w:val="20"/>
                <w:szCs w:val="20"/>
              </w:rPr>
            </w:pPr>
            <w:r w:rsidRPr="00B004EE">
              <w:rPr>
                <w:rFonts w:ascii="Tahoma" w:hAnsi="Tahoma" w:cs="Tahoma"/>
                <w:sz w:val="20"/>
                <w:szCs w:val="20"/>
              </w:rPr>
              <w:t>µS/cm</w:t>
            </w:r>
            <w:r w:rsidRPr="00B004EE">
              <w:rPr>
                <w:rFonts w:ascii="Tahoma" w:hAnsi="Tahoma" w:cs="Tahoma"/>
                <w:sz w:val="20"/>
                <w:szCs w:val="20"/>
                <w:vertAlign w:val="superscript"/>
              </w:rPr>
              <w:t>-1</w:t>
            </w:r>
            <w:r w:rsidR="00DB1635" w:rsidRPr="00B004EE">
              <w:rPr>
                <w:rFonts w:ascii="Tahoma" w:hAnsi="Tahoma" w:cs="Tahoma"/>
                <w:sz w:val="20"/>
                <w:szCs w:val="20"/>
                <w:vertAlign w:val="superscript"/>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20</w:t>
            </w:r>
            <w:r w:rsidR="00DB1635" w:rsidRPr="00B004EE">
              <w:rPr>
                <w:rFonts w:ascii="Tahoma" w:hAnsi="Tahoma" w:cs="Tahoma"/>
                <w:sz w:val="20"/>
                <w:szCs w:val="20"/>
              </w:rPr>
              <w:t xml:space="preserve"> </w:t>
            </w:r>
            <w:r w:rsidRPr="00B004EE">
              <w:rPr>
                <w:rFonts w:ascii="Tahoma" w:hAnsi="Tahoma" w:cs="Tahoma"/>
                <w:sz w:val="20"/>
                <w:szCs w:val="20"/>
              </w:rPr>
              <w:t>°C</w:t>
            </w:r>
          </w:p>
        </w:tc>
        <w:tc>
          <w:tcPr>
            <w:tcW w:w="1598" w:type="dxa"/>
            <w:vAlign w:val="center"/>
          </w:tcPr>
          <w:p w14:paraId="4D3C20C4" w14:textId="04945D31" w:rsidR="008105B4" w:rsidRPr="00B004EE" w:rsidRDefault="008105B4" w:rsidP="00B004EE">
            <w:pPr>
              <w:jc w:val="both"/>
              <w:rPr>
                <w:rFonts w:ascii="Tahoma" w:eastAsia="Arial Unicode MS" w:hAnsi="Tahoma" w:cs="Tahoma"/>
                <w:sz w:val="20"/>
                <w:szCs w:val="20"/>
              </w:rPr>
            </w:pPr>
            <w:r w:rsidRPr="00B004EE">
              <w:rPr>
                <w:rFonts w:ascii="Tahoma" w:hAnsi="Tahoma" w:cs="Tahoma"/>
                <w:sz w:val="20"/>
                <w:szCs w:val="20"/>
              </w:rPr>
              <w:t>Note</w:t>
            </w:r>
            <w:r w:rsidR="00DB1635" w:rsidRPr="00B004EE">
              <w:rPr>
                <w:rFonts w:ascii="Tahoma" w:hAnsi="Tahoma" w:cs="Tahoma"/>
                <w:sz w:val="20"/>
                <w:szCs w:val="20"/>
              </w:rPr>
              <w:t xml:space="preserve"> </w:t>
            </w:r>
            <w:r w:rsidRPr="00B004EE">
              <w:rPr>
                <w:rFonts w:ascii="Tahoma" w:hAnsi="Tahoma" w:cs="Tahoma"/>
                <w:sz w:val="20"/>
                <w:szCs w:val="20"/>
              </w:rPr>
              <w:t>5</w:t>
            </w:r>
          </w:p>
        </w:tc>
      </w:tr>
      <w:tr w:rsidR="00150C90" w:rsidRPr="00B004EE" w14:paraId="7825D213" w14:textId="77777777" w:rsidTr="00C63768">
        <w:trPr>
          <w:jc w:val="center"/>
        </w:trPr>
        <w:tc>
          <w:tcPr>
            <w:tcW w:w="587" w:type="dxa"/>
          </w:tcPr>
          <w:p w14:paraId="27B5B564" w14:textId="77777777" w:rsidR="008105B4" w:rsidRPr="00B004EE" w:rsidRDefault="008105B4" w:rsidP="00B004EE">
            <w:pPr>
              <w:jc w:val="both"/>
              <w:rPr>
                <w:rFonts w:ascii="Tahoma" w:hAnsi="Tahoma" w:cs="Tahoma"/>
                <w:sz w:val="20"/>
                <w:szCs w:val="20"/>
              </w:rPr>
            </w:pPr>
          </w:p>
        </w:tc>
        <w:tc>
          <w:tcPr>
            <w:tcW w:w="3524" w:type="dxa"/>
            <w:vAlign w:val="center"/>
          </w:tcPr>
          <w:p w14:paraId="00FC89D6" w14:textId="77777777" w:rsidR="008105B4" w:rsidRPr="00B004EE" w:rsidRDefault="008105B4" w:rsidP="00B004EE">
            <w:pPr>
              <w:jc w:val="both"/>
              <w:rPr>
                <w:rFonts w:ascii="Tahoma" w:eastAsia="Arial Unicode MS" w:hAnsi="Tahoma" w:cs="Tahoma"/>
                <w:sz w:val="20"/>
                <w:szCs w:val="20"/>
              </w:rPr>
            </w:pPr>
            <w:r w:rsidRPr="00B004EE">
              <w:rPr>
                <w:rFonts w:ascii="Tahoma" w:hAnsi="Tahoma" w:cs="Tahoma"/>
                <w:sz w:val="20"/>
                <w:szCs w:val="20"/>
              </w:rPr>
              <w:t>Couleur</w:t>
            </w:r>
          </w:p>
        </w:tc>
        <w:tc>
          <w:tcPr>
            <w:tcW w:w="2208" w:type="dxa"/>
            <w:vAlign w:val="center"/>
          </w:tcPr>
          <w:p w14:paraId="7340754F" w14:textId="6C0D2D43" w:rsidR="008105B4" w:rsidRPr="00B004EE" w:rsidRDefault="008105B4" w:rsidP="00B004EE">
            <w:pPr>
              <w:jc w:val="both"/>
              <w:rPr>
                <w:rFonts w:ascii="Tahoma" w:eastAsia="Arial Unicode MS" w:hAnsi="Tahoma" w:cs="Tahoma"/>
                <w:sz w:val="20"/>
                <w:szCs w:val="20"/>
              </w:rPr>
            </w:pP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15</w:t>
            </w:r>
            <w:r w:rsidR="00DB1635" w:rsidRPr="00B004EE">
              <w:rPr>
                <w:rFonts w:ascii="Tahoma" w:hAnsi="Tahoma" w:cs="Tahoma"/>
                <w:sz w:val="20"/>
                <w:szCs w:val="20"/>
              </w:rPr>
              <w:t xml:space="preserve"> </w:t>
            </w:r>
          </w:p>
        </w:tc>
        <w:tc>
          <w:tcPr>
            <w:tcW w:w="1755" w:type="dxa"/>
            <w:vAlign w:val="center"/>
          </w:tcPr>
          <w:p w14:paraId="0AE15C1A" w14:textId="53E34E9E" w:rsidR="008105B4" w:rsidRPr="00B004EE" w:rsidRDefault="008105B4" w:rsidP="00B004EE">
            <w:pPr>
              <w:jc w:val="both"/>
              <w:rPr>
                <w:rFonts w:ascii="Tahoma" w:eastAsia="Arial Unicode MS" w:hAnsi="Tahoma" w:cs="Tahoma"/>
                <w:sz w:val="20"/>
                <w:szCs w:val="20"/>
              </w:rPr>
            </w:pPr>
            <w:r w:rsidRPr="00B004EE">
              <w:rPr>
                <w:rFonts w:ascii="Tahoma" w:hAnsi="Tahoma" w:cs="Tahoma"/>
                <w:sz w:val="20"/>
                <w:szCs w:val="20"/>
              </w:rPr>
              <w:t>mg/l</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platine</w:t>
            </w:r>
            <w:r w:rsidR="00DB1635" w:rsidRPr="00B004EE">
              <w:rPr>
                <w:rFonts w:ascii="Tahoma" w:hAnsi="Tahoma" w:cs="Tahoma"/>
                <w:sz w:val="20"/>
                <w:szCs w:val="20"/>
              </w:rPr>
              <w:t xml:space="preserve"> </w:t>
            </w:r>
            <w:r w:rsidRPr="00B004EE">
              <w:rPr>
                <w:rFonts w:ascii="Tahoma" w:hAnsi="Tahoma" w:cs="Tahoma"/>
                <w:sz w:val="20"/>
                <w:szCs w:val="20"/>
              </w:rPr>
              <w:t>(échelle</w:t>
            </w:r>
            <w:r w:rsidR="00DB1635" w:rsidRPr="00B004EE">
              <w:rPr>
                <w:rFonts w:ascii="Tahoma" w:hAnsi="Tahoma" w:cs="Tahoma"/>
                <w:sz w:val="20"/>
                <w:szCs w:val="20"/>
              </w:rPr>
              <w:t xml:space="preserve"> </w:t>
            </w:r>
            <w:r w:rsidRPr="00B004EE">
              <w:rPr>
                <w:rFonts w:ascii="Tahoma" w:hAnsi="Tahoma" w:cs="Tahoma"/>
                <w:sz w:val="20"/>
                <w:szCs w:val="20"/>
              </w:rPr>
              <w:t>Pt/Co)</w:t>
            </w:r>
          </w:p>
        </w:tc>
        <w:tc>
          <w:tcPr>
            <w:tcW w:w="1598" w:type="dxa"/>
            <w:vAlign w:val="center"/>
          </w:tcPr>
          <w:p w14:paraId="02970EF7" w14:textId="4502CCDB" w:rsidR="008105B4" w:rsidRPr="00B004EE" w:rsidRDefault="008105B4" w:rsidP="00B004EE">
            <w:pPr>
              <w:jc w:val="both"/>
              <w:rPr>
                <w:rFonts w:ascii="Tahoma" w:eastAsia="Arial Unicode MS" w:hAnsi="Tahoma" w:cs="Tahoma"/>
                <w:sz w:val="20"/>
                <w:szCs w:val="20"/>
              </w:rPr>
            </w:pPr>
            <w:r w:rsidRPr="00B004EE">
              <w:rPr>
                <w:rFonts w:ascii="Tahoma" w:eastAsia="Arial Unicode MS" w:hAnsi="Tahoma" w:cs="Tahoma"/>
                <w:sz w:val="20"/>
                <w:szCs w:val="20"/>
              </w:rPr>
              <w:t>Note</w:t>
            </w:r>
            <w:r w:rsidR="00DB1635" w:rsidRPr="00B004EE">
              <w:rPr>
                <w:rFonts w:ascii="Tahoma" w:eastAsia="Arial Unicode MS" w:hAnsi="Tahoma" w:cs="Tahoma"/>
                <w:sz w:val="20"/>
                <w:szCs w:val="20"/>
              </w:rPr>
              <w:t xml:space="preserve"> </w:t>
            </w:r>
            <w:r w:rsidRPr="00B004EE">
              <w:rPr>
                <w:rFonts w:ascii="Tahoma" w:eastAsia="Arial Unicode MS" w:hAnsi="Tahoma" w:cs="Tahoma"/>
                <w:sz w:val="20"/>
                <w:szCs w:val="20"/>
              </w:rPr>
              <w:t>6</w:t>
            </w:r>
          </w:p>
        </w:tc>
      </w:tr>
      <w:tr w:rsidR="00150C90" w:rsidRPr="00B004EE" w14:paraId="29EF32BF" w14:textId="77777777" w:rsidTr="00C63768">
        <w:trPr>
          <w:jc w:val="center"/>
        </w:trPr>
        <w:tc>
          <w:tcPr>
            <w:tcW w:w="587" w:type="dxa"/>
          </w:tcPr>
          <w:p w14:paraId="5DF91385" w14:textId="77777777" w:rsidR="008105B4" w:rsidRPr="00B004EE" w:rsidRDefault="008105B4" w:rsidP="00B004EE">
            <w:pPr>
              <w:jc w:val="both"/>
              <w:rPr>
                <w:rFonts w:ascii="Tahoma" w:hAnsi="Tahoma" w:cs="Tahoma"/>
                <w:sz w:val="20"/>
                <w:szCs w:val="20"/>
              </w:rPr>
            </w:pPr>
          </w:p>
        </w:tc>
        <w:tc>
          <w:tcPr>
            <w:tcW w:w="3524" w:type="dxa"/>
            <w:vAlign w:val="center"/>
          </w:tcPr>
          <w:p w14:paraId="376EC662" w14:textId="3636C1FA" w:rsidR="008105B4" w:rsidRPr="00B004EE" w:rsidRDefault="008105B4" w:rsidP="00B004EE">
            <w:pPr>
              <w:jc w:val="both"/>
              <w:rPr>
                <w:rFonts w:ascii="Tahoma" w:hAnsi="Tahoma" w:cs="Tahoma"/>
                <w:sz w:val="20"/>
                <w:szCs w:val="20"/>
              </w:rPr>
            </w:pPr>
            <w:r w:rsidRPr="00B004EE">
              <w:rPr>
                <w:rFonts w:ascii="Tahoma" w:hAnsi="Tahoma" w:cs="Tahoma"/>
                <w:sz w:val="20"/>
                <w:szCs w:val="20"/>
              </w:rPr>
              <w:t>Entérocoques</w:t>
            </w:r>
            <w:r w:rsidR="00DB1635" w:rsidRPr="00B004EE">
              <w:rPr>
                <w:rFonts w:ascii="Tahoma" w:hAnsi="Tahoma" w:cs="Tahoma"/>
                <w:sz w:val="20"/>
                <w:szCs w:val="20"/>
              </w:rPr>
              <w:t xml:space="preserve"> </w:t>
            </w:r>
            <w:r w:rsidRPr="00B004EE">
              <w:rPr>
                <w:rFonts w:ascii="Tahoma" w:hAnsi="Tahoma" w:cs="Tahoma"/>
                <w:bCs/>
                <w:sz w:val="20"/>
                <w:szCs w:val="20"/>
              </w:rPr>
              <w:t>(*)</w:t>
            </w:r>
          </w:p>
        </w:tc>
        <w:tc>
          <w:tcPr>
            <w:tcW w:w="2208" w:type="dxa"/>
          </w:tcPr>
          <w:p w14:paraId="2FBD7B1D" w14:textId="77777777" w:rsidR="008105B4" w:rsidRPr="00B004EE" w:rsidRDefault="008105B4" w:rsidP="00B004EE">
            <w:pPr>
              <w:jc w:val="both"/>
              <w:rPr>
                <w:rFonts w:ascii="Tahoma" w:hAnsi="Tahoma" w:cs="Tahoma"/>
                <w:sz w:val="20"/>
                <w:szCs w:val="20"/>
              </w:rPr>
            </w:pPr>
            <w:r w:rsidRPr="00B004EE">
              <w:rPr>
                <w:rFonts w:ascii="Tahoma" w:hAnsi="Tahoma" w:cs="Tahoma"/>
                <w:sz w:val="20"/>
                <w:szCs w:val="20"/>
              </w:rPr>
              <w:t>-</w:t>
            </w:r>
          </w:p>
        </w:tc>
        <w:tc>
          <w:tcPr>
            <w:tcW w:w="1755" w:type="dxa"/>
          </w:tcPr>
          <w:p w14:paraId="1328D564" w14:textId="77777777" w:rsidR="008105B4" w:rsidRPr="00B004EE" w:rsidRDefault="008105B4" w:rsidP="00B004EE">
            <w:pPr>
              <w:jc w:val="both"/>
              <w:rPr>
                <w:rFonts w:ascii="Tahoma" w:hAnsi="Tahoma" w:cs="Tahoma"/>
                <w:sz w:val="20"/>
                <w:szCs w:val="20"/>
              </w:rPr>
            </w:pPr>
            <w:r w:rsidRPr="00B004EE">
              <w:rPr>
                <w:rFonts w:ascii="Tahoma" w:hAnsi="Tahoma" w:cs="Tahoma"/>
                <w:sz w:val="20"/>
                <w:szCs w:val="20"/>
              </w:rPr>
              <w:t>-</w:t>
            </w:r>
          </w:p>
        </w:tc>
        <w:tc>
          <w:tcPr>
            <w:tcW w:w="1598" w:type="dxa"/>
            <w:vAlign w:val="center"/>
          </w:tcPr>
          <w:p w14:paraId="208F063E" w14:textId="77777777" w:rsidR="008105B4" w:rsidRPr="00B004EE" w:rsidRDefault="008105B4" w:rsidP="00B004EE">
            <w:pPr>
              <w:jc w:val="both"/>
              <w:rPr>
                <w:rFonts w:ascii="Tahoma" w:hAnsi="Tahoma" w:cs="Tahoma"/>
                <w:sz w:val="20"/>
                <w:szCs w:val="20"/>
              </w:rPr>
            </w:pPr>
          </w:p>
        </w:tc>
      </w:tr>
      <w:tr w:rsidR="00150C90" w:rsidRPr="00B004EE" w14:paraId="15C995E0" w14:textId="77777777" w:rsidTr="00C63768">
        <w:trPr>
          <w:jc w:val="center"/>
        </w:trPr>
        <w:tc>
          <w:tcPr>
            <w:tcW w:w="587" w:type="dxa"/>
          </w:tcPr>
          <w:p w14:paraId="587A8208" w14:textId="77777777" w:rsidR="008105B4" w:rsidRPr="00B004EE" w:rsidRDefault="008105B4" w:rsidP="00B004EE">
            <w:pPr>
              <w:jc w:val="both"/>
              <w:rPr>
                <w:rFonts w:ascii="Tahoma" w:hAnsi="Tahoma" w:cs="Tahoma"/>
                <w:sz w:val="20"/>
                <w:szCs w:val="20"/>
              </w:rPr>
            </w:pPr>
          </w:p>
        </w:tc>
        <w:tc>
          <w:tcPr>
            <w:tcW w:w="3524" w:type="dxa"/>
            <w:vAlign w:val="center"/>
          </w:tcPr>
          <w:p w14:paraId="6EDB5308" w14:textId="2874EAAB" w:rsidR="008105B4" w:rsidRPr="00B004EE" w:rsidRDefault="008105B4" w:rsidP="00B004EE">
            <w:pPr>
              <w:jc w:val="both"/>
              <w:rPr>
                <w:rFonts w:ascii="Tahoma" w:hAnsi="Tahoma" w:cs="Tahoma"/>
                <w:i/>
                <w:iCs/>
                <w:sz w:val="20"/>
                <w:szCs w:val="20"/>
              </w:rPr>
            </w:pPr>
            <w:r w:rsidRPr="00B004EE">
              <w:rPr>
                <w:rFonts w:ascii="Tahoma" w:hAnsi="Tahoma" w:cs="Tahoma"/>
                <w:i/>
                <w:iCs/>
                <w:sz w:val="20"/>
                <w:szCs w:val="20"/>
              </w:rPr>
              <w:t>Escherichia</w:t>
            </w:r>
            <w:r w:rsidR="00DB1635" w:rsidRPr="00B004EE">
              <w:rPr>
                <w:rFonts w:ascii="Tahoma" w:hAnsi="Tahoma" w:cs="Tahoma"/>
                <w:i/>
                <w:iCs/>
                <w:sz w:val="20"/>
                <w:szCs w:val="20"/>
              </w:rPr>
              <w:t xml:space="preserve"> </w:t>
            </w:r>
            <w:r w:rsidRPr="00B004EE">
              <w:rPr>
                <w:rFonts w:ascii="Tahoma" w:hAnsi="Tahoma" w:cs="Tahoma"/>
                <w:i/>
                <w:iCs/>
                <w:sz w:val="20"/>
                <w:szCs w:val="20"/>
              </w:rPr>
              <w:t>coli</w:t>
            </w:r>
            <w:r w:rsidR="00DB1635" w:rsidRPr="00B004EE">
              <w:rPr>
                <w:rFonts w:ascii="Tahoma" w:hAnsi="Tahoma" w:cs="Tahoma"/>
                <w:i/>
                <w:iCs/>
                <w:sz w:val="20"/>
                <w:szCs w:val="20"/>
              </w:rPr>
              <w:t xml:space="preserve"> </w:t>
            </w:r>
            <w:r w:rsidRPr="00B004EE">
              <w:rPr>
                <w:rFonts w:ascii="Tahoma" w:hAnsi="Tahoma" w:cs="Tahoma"/>
                <w:bCs/>
                <w:sz w:val="20"/>
                <w:szCs w:val="20"/>
              </w:rPr>
              <w:t>(*)</w:t>
            </w:r>
          </w:p>
        </w:tc>
        <w:tc>
          <w:tcPr>
            <w:tcW w:w="2208" w:type="dxa"/>
          </w:tcPr>
          <w:p w14:paraId="6F0D49D9" w14:textId="77777777" w:rsidR="008105B4" w:rsidRPr="00B004EE" w:rsidRDefault="008105B4" w:rsidP="00B004EE">
            <w:pPr>
              <w:jc w:val="both"/>
              <w:rPr>
                <w:rFonts w:ascii="Tahoma" w:hAnsi="Tahoma" w:cs="Tahoma"/>
                <w:sz w:val="20"/>
                <w:szCs w:val="20"/>
              </w:rPr>
            </w:pPr>
            <w:r w:rsidRPr="00B004EE">
              <w:rPr>
                <w:rFonts w:ascii="Tahoma" w:hAnsi="Tahoma" w:cs="Tahoma"/>
                <w:sz w:val="20"/>
                <w:szCs w:val="20"/>
              </w:rPr>
              <w:t>-</w:t>
            </w:r>
          </w:p>
        </w:tc>
        <w:tc>
          <w:tcPr>
            <w:tcW w:w="1755" w:type="dxa"/>
          </w:tcPr>
          <w:p w14:paraId="6BD6F20E" w14:textId="77777777" w:rsidR="008105B4" w:rsidRPr="00B004EE" w:rsidRDefault="008105B4" w:rsidP="00B004EE">
            <w:pPr>
              <w:jc w:val="both"/>
              <w:rPr>
                <w:rFonts w:ascii="Tahoma" w:hAnsi="Tahoma" w:cs="Tahoma"/>
                <w:sz w:val="20"/>
                <w:szCs w:val="20"/>
              </w:rPr>
            </w:pPr>
            <w:r w:rsidRPr="00B004EE">
              <w:rPr>
                <w:rFonts w:ascii="Tahoma" w:hAnsi="Tahoma" w:cs="Tahoma"/>
                <w:sz w:val="20"/>
                <w:szCs w:val="20"/>
              </w:rPr>
              <w:t>-</w:t>
            </w:r>
          </w:p>
        </w:tc>
        <w:tc>
          <w:tcPr>
            <w:tcW w:w="1598" w:type="dxa"/>
            <w:vAlign w:val="center"/>
          </w:tcPr>
          <w:p w14:paraId="3010F667" w14:textId="77777777" w:rsidR="008105B4" w:rsidRPr="00B004EE" w:rsidRDefault="008105B4" w:rsidP="00B004EE">
            <w:pPr>
              <w:jc w:val="both"/>
              <w:rPr>
                <w:rFonts w:ascii="Tahoma" w:hAnsi="Tahoma" w:cs="Tahoma"/>
                <w:sz w:val="20"/>
                <w:szCs w:val="20"/>
              </w:rPr>
            </w:pPr>
          </w:p>
        </w:tc>
      </w:tr>
      <w:tr w:rsidR="00150C90" w:rsidRPr="00B004EE" w14:paraId="087893F4" w14:textId="77777777" w:rsidTr="00C63768">
        <w:trPr>
          <w:jc w:val="center"/>
        </w:trPr>
        <w:tc>
          <w:tcPr>
            <w:tcW w:w="587" w:type="dxa"/>
          </w:tcPr>
          <w:p w14:paraId="71877EA6" w14:textId="77777777" w:rsidR="008105B4" w:rsidRPr="00B004EE" w:rsidRDefault="008105B4" w:rsidP="00B004EE">
            <w:pPr>
              <w:jc w:val="both"/>
              <w:rPr>
                <w:rFonts w:ascii="Tahoma" w:hAnsi="Tahoma" w:cs="Tahoma"/>
                <w:sz w:val="20"/>
                <w:szCs w:val="20"/>
              </w:rPr>
            </w:pPr>
          </w:p>
        </w:tc>
        <w:tc>
          <w:tcPr>
            <w:tcW w:w="3524" w:type="dxa"/>
            <w:vAlign w:val="center"/>
          </w:tcPr>
          <w:p w14:paraId="7612A30F" w14:textId="56CF53A3" w:rsidR="008105B4" w:rsidRPr="00B004EE" w:rsidRDefault="008105B4" w:rsidP="00B004EE">
            <w:pPr>
              <w:jc w:val="both"/>
              <w:rPr>
                <w:rFonts w:ascii="Tahoma" w:eastAsia="Arial Unicode MS" w:hAnsi="Tahoma" w:cs="Tahoma"/>
                <w:sz w:val="20"/>
                <w:szCs w:val="20"/>
                <w:lang w:val="en-GB"/>
              </w:rPr>
            </w:pPr>
            <w:r w:rsidRPr="00B004EE">
              <w:rPr>
                <w:rFonts w:ascii="Tahoma" w:hAnsi="Tahoma" w:cs="Tahoma"/>
                <w:sz w:val="20"/>
                <w:szCs w:val="20"/>
                <w:lang w:val="en-GB"/>
              </w:rPr>
              <w:t>Fer</w:t>
            </w:r>
            <w:r w:rsidR="00DB1635" w:rsidRPr="00B004EE">
              <w:rPr>
                <w:rFonts w:ascii="Tahoma" w:hAnsi="Tahoma" w:cs="Tahoma"/>
                <w:sz w:val="20"/>
                <w:szCs w:val="20"/>
                <w:lang w:val="en-GB"/>
              </w:rPr>
              <w:t xml:space="preserve"> </w:t>
            </w:r>
            <w:r w:rsidRPr="00B004EE">
              <w:rPr>
                <w:rFonts w:ascii="Tahoma" w:hAnsi="Tahoma" w:cs="Tahoma"/>
                <w:sz w:val="20"/>
                <w:szCs w:val="20"/>
                <w:lang w:val="en-GB"/>
              </w:rPr>
              <w:t>total</w:t>
            </w:r>
          </w:p>
        </w:tc>
        <w:tc>
          <w:tcPr>
            <w:tcW w:w="2208" w:type="dxa"/>
            <w:vAlign w:val="center"/>
          </w:tcPr>
          <w:p w14:paraId="440660EC" w14:textId="77777777" w:rsidR="008105B4" w:rsidRPr="00B004EE" w:rsidRDefault="008105B4" w:rsidP="00B004EE">
            <w:pPr>
              <w:jc w:val="both"/>
              <w:rPr>
                <w:rFonts w:ascii="Tahoma" w:eastAsia="Arial Unicode MS" w:hAnsi="Tahoma" w:cs="Tahoma"/>
                <w:sz w:val="20"/>
                <w:szCs w:val="20"/>
                <w:lang w:val="en-GB"/>
              </w:rPr>
            </w:pPr>
            <w:r w:rsidRPr="00B004EE">
              <w:rPr>
                <w:rFonts w:ascii="Tahoma" w:hAnsi="Tahoma" w:cs="Tahoma"/>
                <w:sz w:val="20"/>
                <w:szCs w:val="20"/>
                <w:lang w:val="en-GB"/>
              </w:rPr>
              <w:t>200</w:t>
            </w:r>
          </w:p>
        </w:tc>
        <w:tc>
          <w:tcPr>
            <w:tcW w:w="1755" w:type="dxa"/>
            <w:vAlign w:val="center"/>
          </w:tcPr>
          <w:p w14:paraId="43C11BEB" w14:textId="77777777" w:rsidR="008105B4" w:rsidRPr="00B004EE" w:rsidRDefault="008105B4" w:rsidP="00B004EE">
            <w:pPr>
              <w:jc w:val="both"/>
              <w:rPr>
                <w:rFonts w:ascii="Tahoma" w:eastAsia="Arial Unicode MS" w:hAnsi="Tahoma" w:cs="Tahoma"/>
                <w:sz w:val="20"/>
                <w:szCs w:val="20"/>
                <w:lang w:val="en-GB"/>
              </w:rPr>
            </w:pPr>
            <w:r w:rsidRPr="00B004EE">
              <w:rPr>
                <w:rFonts w:ascii="Tahoma" w:hAnsi="Tahoma" w:cs="Tahoma"/>
                <w:sz w:val="20"/>
                <w:szCs w:val="20"/>
                <w:lang w:val="en-GB"/>
              </w:rPr>
              <w:t>µg/l</w:t>
            </w:r>
          </w:p>
        </w:tc>
        <w:tc>
          <w:tcPr>
            <w:tcW w:w="1598" w:type="dxa"/>
            <w:vAlign w:val="center"/>
          </w:tcPr>
          <w:p w14:paraId="6258EC92" w14:textId="77777777" w:rsidR="008105B4" w:rsidRPr="00B004EE" w:rsidRDefault="008105B4" w:rsidP="00B004EE">
            <w:pPr>
              <w:jc w:val="both"/>
              <w:rPr>
                <w:rFonts w:ascii="Tahoma" w:eastAsia="Arial Unicode MS" w:hAnsi="Tahoma" w:cs="Tahoma"/>
                <w:sz w:val="20"/>
                <w:szCs w:val="20"/>
                <w:lang w:val="en-GB"/>
              </w:rPr>
            </w:pPr>
          </w:p>
        </w:tc>
      </w:tr>
      <w:tr w:rsidR="00150C90" w:rsidRPr="00B004EE" w14:paraId="7A85B04B" w14:textId="77777777" w:rsidTr="00C63768">
        <w:trPr>
          <w:jc w:val="center"/>
        </w:trPr>
        <w:tc>
          <w:tcPr>
            <w:tcW w:w="587" w:type="dxa"/>
          </w:tcPr>
          <w:p w14:paraId="14D0B53C" w14:textId="77777777" w:rsidR="008105B4" w:rsidRPr="00B004EE" w:rsidRDefault="008105B4" w:rsidP="00B004EE">
            <w:pPr>
              <w:jc w:val="both"/>
              <w:rPr>
                <w:rFonts w:ascii="Tahoma" w:hAnsi="Tahoma" w:cs="Tahoma"/>
                <w:sz w:val="20"/>
                <w:szCs w:val="20"/>
                <w:lang w:val="en-GB"/>
              </w:rPr>
            </w:pPr>
          </w:p>
        </w:tc>
        <w:tc>
          <w:tcPr>
            <w:tcW w:w="3524" w:type="dxa"/>
            <w:vAlign w:val="center"/>
          </w:tcPr>
          <w:p w14:paraId="25C57E1D" w14:textId="77777777" w:rsidR="008105B4" w:rsidRPr="00B004EE" w:rsidRDefault="008105B4" w:rsidP="00B004EE">
            <w:pPr>
              <w:jc w:val="both"/>
              <w:rPr>
                <w:rFonts w:ascii="Tahoma" w:eastAsia="Arial Unicode MS" w:hAnsi="Tahoma" w:cs="Tahoma"/>
                <w:sz w:val="20"/>
                <w:szCs w:val="20"/>
                <w:lang w:val="de-DE"/>
              </w:rPr>
            </w:pPr>
            <w:r w:rsidRPr="00B004EE">
              <w:rPr>
                <w:rFonts w:ascii="Tahoma" w:hAnsi="Tahoma" w:cs="Tahoma"/>
                <w:sz w:val="20"/>
                <w:szCs w:val="20"/>
                <w:lang w:val="de-DE"/>
              </w:rPr>
              <w:t>Manganèse</w:t>
            </w:r>
          </w:p>
        </w:tc>
        <w:tc>
          <w:tcPr>
            <w:tcW w:w="2208" w:type="dxa"/>
            <w:vAlign w:val="center"/>
          </w:tcPr>
          <w:p w14:paraId="2483E4AC" w14:textId="77777777" w:rsidR="008105B4" w:rsidRPr="00B004EE" w:rsidRDefault="008105B4" w:rsidP="00B004EE">
            <w:pPr>
              <w:jc w:val="both"/>
              <w:rPr>
                <w:rFonts w:ascii="Tahoma" w:eastAsia="Arial Unicode MS" w:hAnsi="Tahoma" w:cs="Tahoma"/>
                <w:sz w:val="20"/>
                <w:szCs w:val="20"/>
                <w:lang w:val="de-DE"/>
              </w:rPr>
            </w:pPr>
            <w:r w:rsidRPr="00B004EE">
              <w:rPr>
                <w:rFonts w:ascii="Tahoma" w:hAnsi="Tahoma" w:cs="Tahoma"/>
                <w:sz w:val="20"/>
                <w:szCs w:val="20"/>
                <w:lang w:val="de-DE"/>
              </w:rPr>
              <w:t>50</w:t>
            </w:r>
          </w:p>
        </w:tc>
        <w:tc>
          <w:tcPr>
            <w:tcW w:w="1755" w:type="dxa"/>
            <w:vAlign w:val="center"/>
          </w:tcPr>
          <w:p w14:paraId="72E84E8F" w14:textId="77777777" w:rsidR="008105B4" w:rsidRPr="00B004EE" w:rsidRDefault="008105B4" w:rsidP="00B004EE">
            <w:pPr>
              <w:jc w:val="both"/>
              <w:rPr>
                <w:rFonts w:ascii="Tahoma" w:eastAsia="Arial Unicode MS" w:hAnsi="Tahoma" w:cs="Tahoma"/>
                <w:sz w:val="20"/>
                <w:szCs w:val="20"/>
                <w:lang w:val="de-DE"/>
              </w:rPr>
            </w:pPr>
            <w:r w:rsidRPr="00B004EE">
              <w:rPr>
                <w:rFonts w:ascii="Tahoma" w:hAnsi="Tahoma" w:cs="Tahoma"/>
                <w:sz w:val="20"/>
                <w:szCs w:val="20"/>
                <w:lang w:val="de-DE"/>
              </w:rPr>
              <w:t>µg/l</w:t>
            </w:r>
          </w:p>
        </w:tc>
        <w:tc>
          <w:tcPr>
            <w:tcW w:w="1598" w:type="dxa"/>
            <w:vAlign w:val="center"/>
          </w:tcPr>
          <w:p w14:paraId="551AA701" w14:textId="25C8858B" w:rsidR="008105B4" w:rsidRPr="00B004EE" w:rsidRDefault="008105B4" w:rsidP="00B004EE">
            <w:pPr>
              <w:jc w:val="both"/>
              <w:rPr>
                <w:rFonts w:ascii="Tahoma" w:eastAsia="Arial Unicode MS" w:hAnsi="Tahoma" w:cs="Tahoma"/>
                <w:sz w:val="20"/>
                <w:szCs w:val="20"/>
              </w:rPr>
            </w:pPr>
            <w:r w:rsidRPr="00B004EE">
              <w:rPr>
                <w:rFonts w:ascii="Tahoma" w:hAnsi="Tahoma" w:cs="Tahoma"/>
                <w:sz w:val="20"/>
                <w:szCs w:val="20"/>
              </w:rPr>
              <w:t>Note</w:t>
            </w:r>
            <w:r w:rsidR="00DB1635" w:rsidRPr="00B004EE">
              <w:rPr>
                <w:rFonts w:ascii="Tahoma" w:hAnsi="Tahoma" w:cs="Tahoma"/>
                <w:sz w:val="20"/>
                <w:szCs w:val="20"/>
              </w:rPr>
              <w:t xml:space="preserve"> </w:t>
            </w:r>
            <w:r w:rsidRPr="00B004EE">
              <w:rPr>
                <w:rFonts w:ascii="Tahoma" w:hAnsi="Tahoma" w:cs="Tahoma"/>
                <w:sz w:val="20"/>
                <w:szCs w:val="20"/>
              </w:rPr>
              <w:t>7</w:t>
            </w:r>
          </w:p>
        </w:tc>
      </w:tr>
      <w:tr w:rsidR="00150C90" w:rsidRPr="00B004EE" w14:paraId="621009D7" w14:textId="77777777" w:rsidTr="00C63768">
        <w:trPr>
          <w:jc w:val="center"/>
        </w:trPr>
        <w:tc>
          <w:tcPr>
            <w:tcW w:w="587" w:type="dxa"/>
          </w:tcPr>
          <w:p w14:paraId="75C932C4" w14:textId="77777777" w:rsidR="008105B4" w:rsidRPr="00B004EE" w:rsidRDefault="008105B4" w:rsidP="00B004EE">
            <w:pPr>
              <w:jc w:val="both"/>
              <w:rPr>
                <w:rFonts w:ascii="Tahoma" w:hAnsi="Tahoma" w:cs="Tahoma"/>
                <w:sz w:val="20"/>
                <w:szCs w:val="20"/>
              </w:rPr>
            </w:pPr>
          </w:p>
        </w:tc>
        <w:tc>
          <w:tcPr>
            <w:tcW w:w="3524" w:type="dxa"/>
            <w:vAlign w:val="center"/>
          </w:tcPr>
          <w:p w14:paraId="42AD7D6B" w14:textId="77777777" w:rsidR="008105B4" w:rsidRPr="00B004EE" w:rsidRDefault="008105B4" w:rsidP="00B004EE">
            <w:pPr>
              <w:jc w:val="both"/>
              <w:rPr>
                <w:rFonts w:ascii="Tahoma" w:hAnsi="Tahoma" w:cs="Tahoma"/>
                <w:sz w:val="20"/>
                <w:szCs w:val="20"/>
              </w:rPr>
            </w:pPr>
            <w:r w:rsidRPr="00B004EE">
              <w:rPr>
                <w:rFonts w:ascii="Tahoma" w:hAnsi="Tahoma" w:cs="Tahoma"/>
                <w:sz w:val="20"/>
                <w:szCs w:val="20"/>
              </w:rPr>
              <w:t>Nitrates</w:t>
            </w:r>
          </w:p>
        </w:tc>
        <w:tc>
          <w:tcPr>
            <w:tcW w:w="2208" w:type="dxa"/>
            <w:vAlign w:val="center"/>
          </w:tcPr>
          <w:p w14:paraId="14B14139" w14:textId="77777777" w:rsidR="008105B4" w:rsidRPr="00B004EE" w:rsidRDefault="008105B4" w:rsidP="00B004EE">
            <w:pPr>
              <w:jc w:val="both"/>
              <w:rPr>
                <w:rFonts w:ascii="Tahoma" w:eastAsia="Arial Unicode MS" w:hAnsi="Tahoma" w:cs="Tahoma"/>
                <w:sz w:val="20"/>
                <w:szCs w:val="20"/>
              </w:rPr>
            </w:pPr>
            <w:r w:rsidRPr="00B004EE">
              <w:rPr>
                <w:rFonts w:ascii="Tahoma" w:hAnsi="Tahoma" w:cs="Tahoma"/>
                <w:sz w:val="20"/>
                <w:szCs w:val="20"/>
              </w:rPr>
              <w:t>50</w:t>
            </w:r>
          </w:p>
        </w:tc>
        <w:tc>
          <w:tcPr>
            <w:tcW w:w="1755" w:type="dxa"/>
            <w:vAlign w:val="center"/>
          </w:tcPr>
          <w:p w14:paraId="6F1FE8E4" w14:textId="77777777" w:rsidR="008105B4" w:rsidRPr="00B004EE" w:rsidRDefault="008105B4" w:rsidP="00B004EE">
            <w:pPr>
              <w:jc w:val="both"/>
              <w:rPr>
                <w:rFonts w:ascii="Tahoma" w:eastAsia="Arial Unicode MS" w:hAnsi="Tahoma" w:cs="Tahoma"/>
                <w:sz w:val="20"/>
                <w:szCs w:val="20"/>
              </w:rPr>
            </w:pPr>
            <w:r w:rsidRPr="00B004EE">
              <w:rPr>
                <w:rFonts w:ascii="Tahoma" w:hAnsi="Tahoma" w:cs="Tahoma"/>
                <w:sz w:val="20"/>
                <w:szCs w:val="20"/>
              </w:rPr>
              <w:t>mg/l</w:t>
            </w:r>
          </w:p>
        </w:tc>
        <w:tc>
          <w:tcPr>
            <w:tcW w:w="1598" w:type="dxa"/>
            <w:vAlign w:val="center"/>
          </w:tcPr>
          <w:p w14:paraId="36367415" w14:textId="77777777" w:rsidR="008105B4" w:rsidRPr="00B004EE" w:rsidRDefault="008105B4" w:rsidP="00B004EE">
            <w:pPr>
              <w:jc w:val="both"/>
              <w:rPr>
                <w:rFonts w:ascii="Tahoma" w:hAnsi="Tahoma" w:cs="Tahoma"/>
                <w:sz w:val="20"/>
                <w:szCs w:val="20"/>
              </w:rPr>
            </w:pPr>
          </w:p>
        </w:tc>
      </w:tr>
      <w:tr w:rsidR="00150C90" w:rsidRPr="00B004EE" w14:paraId="7BD74A23" w14:textId="77777777" w:rsidTr="00C63768">
        <w:trPr>
          <w:jc w:val="center"/>
        </w:trPr>
        <w:tc>
          <w:tcPr>
            <w:tcW w:w="587" w:type="dxa"/>
          </w:tcPr>
          <w:p w14:paraId="1C56707F" w14:textId="77777777" w:rsidR="008105B4" w:rsidRPr="00B004EE" w:rsidRDefault="008105B4" w:rsidP="00B004EE">
            <w:pPr>
              <w:jc w:val="both"/>
              <w:rPr>
                <w:rFonts w:ascii="Tahoma" w:hAnsi="Tahoma" w:cs="Tahoma"/>
                <w:sz w:val="20"/>
                <w:szCs w:val="20"/>
              </w:rPr>
            </w:pPr>
          </w:p>
        </w:tc>
        <w:tc>
          <w:tcPr>
            <w:tcW w:w="3524" w:type="dxa"/>
            <w:vAlign w:val="center"/>
          </w:tcPr>
          <w:p w14:paraId="3B26877D" w14:textId="77777777" w:rsidR="008105B4" w:rsidRPr="00B004EE" w:rsidRDefault="008105B4" w:rsidP="00B004EE">
            <w:pPr>
              <w:jc w:val="both"/>
              <w:rPr>
                <w:rFonts w:ascii="Tahoma" w:hAnsi="Tahoma" w:cs="Tahoma"/>
                <w:sz w:val="20"/>
                <w:szCs w:val="20"/>
              </w:rPr>
            </w:pPr>
            <w:r w:rsidRPr="00B004EE">
              <w:rPr>
                <w:rFonts w:ascii="Tahoma" w:hAnsi="Tahoma" w:cs="Tahoma"/>
                <w:sz w:val="20"/>
                <w:szCs w:val="20"/>
              </w:rPr>
              <w:t>Nitrites</w:t>
            </w:r>
          </w:p>
        </w:tc>
        <w:tc>
          <w:tcPr>
            <w:tcW w:w="2208" w:type="dxa"/>
            <w:vAlign w:val="center"/>
          </w:tcPr>
          <w:p w14:paraId="50288799" w14:textId="77777777" w:rsidR="008105B4" w:rsidRPr="00B004EE" w:rsidRDefault="008105B4" w:rsidP="00B004EE">
            <w:pPr>
              <w:jc w:val="both"/>
              <w:rPr>
                <w:rFonts w:ascii="Tahoma" w:eastAsia="Arial Unicode MS" w:hAnsi="Tahoma" w:cs="Tahoma"/>
                <w:sz w:val="20"/>
                <w:szCs w:val="20"/>
              </w:rPr>
            </w:pPr>
            <w:r w:rsidRPr="00B004EE">
              <w:rPr>
                <w:rFonts w:ascii="Tahoma" w:hAnsi="Tahoma" w:cs="Tahoma"/>
                <w:sz w:val="20"/>
                <w:szCs w:val="20"/>
              </w:rPr>
              <w:t>0,50</w:t>
            </w:r>
          </w:p>
        </w:tc>
        <w:tc>
          <w:tcPr>
            <w:tcW w:w="1755" w:type="dxa"/>
            <w:vAlign w:val="center"/>
          </w:tcPr>
          <w:p w14:paraId="3DE6D378" w14:textId="77777777" w:rsidR="008105B4" w:rsidRPr="00B004EE" w:rsidRDefault="008105B4" w:rsidP="00B004EE">
            <w:pPr>
              <w:jc w:val="both"/>
              <w:rPr>
                <w:rFonts w:ascii="Tahoma" w:eastAsia="Arial Unicode MS" w:hAnsi="Tahoma" w:cs="Tahoma"/>
                <w:sz w:val="20"/>
                <w:szCs w:val="20"/>
              </w:rPr>
            </w:pPr>
            <w:r w:rsidRPr="00B004EE">
              <w:rPr>
                <w:rFonts w:ascii="Tahoma" w:hAnsi="Tahoma" w:cs="Tahoma"/>
                <w:sz w:val="20"/>
                <w:szCs w:val="20"/>
              </w:rPr>
              <w:t>mg/l</w:t>
            </w:r>
          </w:p>
        </w:tc>
        <w:tc>
          <w:tcPr>
            <w:tcW w:w="1598" w:type="dxa"/>
            <w:vAlign w:val="center"/>
          </w:tcPr>
          <w:p w14:paraId="5B4B8918" w14:textId="77777777" w:rsidR="008105B4" w:rsidRPr="00B004EE" w:rsidRDefault="008105B4" w:rsidP="00B004EE">
            <w:pPr>
              <w:jc w:val="both"/>
              <w:rPr>
                <w:rFonts w:ascii="Tahoma" w:hAnsi="Tahoma" w:cs="Tahoma"/>
                <w:sz w:val="20"/>
                <w:szCs w:val="20"/>
              </w:rPr>
            </w:pPr>
          </w:p>
        </w:tc>
      </w:tr>
      <w:tr w:rsidR="00150C90" w:rsidRPr="00B004EE" w14:paraId="3BA27A41" w14:textId="77777777" w:rsidTr="00C63768">
        <w:trPr>
          <w:jc w:val="center"/>
        </w:trPr>
        <w:tc>
          <w:tcPr>
            <w:tcW w:w="587" w:type="dxa"/>
          </w:tcPr>
          <w:p w14:paraId="0D441A8D" w14:textId="77777777" w:rsidR="008105B4" w:rsidRPr="00B004EE" w:rsidRDefault="008105B4" w:rsidP="00B004EE">
            <w:pPr>
              <w:jc w:val="both"/>
              <w:rPr>
                <w:rFonts w:ascii="Tahoma" w:hAnsi="Tahoma" w:cs="Tahoma"/>
                <w:sz w:val="20"/>
                <w:szCs w:val="20"/>
              </w:rPr>
            </w:pPr>
          </w:p>
        </w:tc>
        <w:tc>
          <w:tcPr>
            <w:tcW w:w="3524" w:type="dxa"/>
            <w:vAlign w:val="center"/>
          </w:tcPr>
          <w:p w14:paraId="08BB5430" w14:textId="77777777" w:rsidR="008105B4" w:rsidRPr="00B004EE" w:rsidRDefault="008105B4" w:rsidP="00B004EE">
            <w:pPr>
              <w:jc w:val="both"/>
              <w:rPr>
                <w:rFonts w:ascii="Tahoma" w:eastAsia="Arial Unicode MS" w:hAnsi="Tahoma" w:cs="Tahoma"/>
                <w:sz w:val="20"/>
                <w:szCs w:val="20"/>
              </w:rPr>
            </w:pPr>
            <w:r w:rsidRPr="00B004EE">
              <w:rPr>
                <w:rFonts w:ascii="Tahoma" w:hAnsi="Tahoma" w:cs="Tahoma"/>
                <w:sz w:val="20"/>
                <w:szCs w:val="20"/>
              </w:rPr>
              <w:t>Odeur</w:t>
            </w:r>
          </w:p>
        </w:tc>
        <w:tc>
          <w:tcPr>
            <w:tcW w:w="2208" w:type="dxa"/>
            <w:vAlign w:val="center"/>
          </w:tcPr>
          <w:p w14:paraId="15997B6C" w14:textId="77777777" w:rsidR="008105B4" w:rsidRPr="00B004EE" w:rsidRDefault="008105B4" w:rsidP="00B004EE">
            <w:pPr>
              <w:jc w:val="both"/>
              <w:rPr>
                <w:rFonts w:ascii="Tahoma" w:eastAsia="Arial Unicode MS" w:hAnsi="Tahoma" w:cs="Tahoma"/>
                <w:sz w:val="20"/>
                <w:szCs w:val="20"/>
              </w:rPr>
            </w:pPr>
            <w:r w:rsidRPr="00B004EE">
              <w:rPr>
                <w:rFonts w:ascii="Tahoma" w:hAnsi="Tahoma" w:cs="Tahoma"/>
                <w:sz w:val="20"/>
                <w:szCs w:val="20"/>
              </w:rPr>
              <w:t>-</w:t>
            </w:r>
          </w:p>
        </w:tc>
        <w:tc>
          <w:tcPr>
            <w:tcW w:w="1755" w:type="dxa"/>
            <w:vAlign w:val="center"/>
          </w:tcPr>
          <w:p w14:paraId="3C20AABD" w14:textId="77777777" w:rsidR="008105B4" w:rsidRPr="00B004EE" w:rsidRDefault="008105B4" w:rsidP="00B004EE">
            <w:pPr>
              <w:jc w:val="both"/>
              <w:rPr>
                <w:rFonts w:ascii="Tahoma" w:eastAsia="Arial Unicode MS" w:hAnsi="Tahoma" w:cs="Tahoma"/>
                <w:sz w:val="20"/>
                <w:szCs w:val="20"/>
              </w:rPr>
            </w:pPr>
            <w:r w:rsidRPr="00B004EE">
              <w:rPr>
                <w:rFonts w:ascii="Tahoma" w:eastAsia="Arial Unicode MS" w:hAnsi="Tahoma" w:cs="Tahoma"/>
                <w:sz w:val="20"/>
                <w:szCs w:val="20"/>
              </w:rPr>
              <w:t>-</w:t>
            </w:r>
          </w:p>
        </w:tc>
        <w:tc>
          <w:tcPr>
            <w:tcW w:w="1598" w:type="dxa"/>
            <w:vAlign w:val="center"/>
          </w:tcPr>
          <w:p w14:paraId="4C42D998" w14:textId="65979A3D" w:rsidR="008105B4" w:rsidRPr="00B004EE" w:rsidRDefault="008105B4" w:rsidP="00B004EE">
            <w:pPr>
              <w:jc w:val="both"/>
              <w:rPr>
                <w:rFonts w:ascii="Tahoma" w:eastAsia="Arial Unicode MS" w:hAnsi="Tahoma" w:cs="Tahoma"/>
                <w:sz w:val="20"/>
                <w:szCs w:val="20"/>
              </w:rPr>
            </w:pPr>
            <w:r w:rsidRPr="00B004EE">
              <w:rPr>
                <w:rFonts w:ascii="Tahoma" w:hAnsi="Tahoma" w:cs="Tahoma"/>
                <w:sz w:val="20"/>
                <w:szCs w:val="20"/>
              </w:rPr>
              <w:t>Note</w:t>
            </w:r>
            <w:r w:rsidR="00DB1635" w:rsidRPr="00B004EE">
              <w:rPr>
                <w:rFonts w:ascii="Tahoma" w:hAnsi="Tahoma" w:cs="Tahoma"/>
                <w:sz w:val="20"/>
                <w:szCs w:val="20"/>
              </w:rPr>
              <w:t xml:space="preserve"> </w:t>
            </w:r>
            <w:r w:rsidRPr="00B004EE">
              <w:rPr>
                <w:rFonts w:ascii="Tahoma" w:hAnsi="Tahoma" w:cs="Tahoma"/>
                <w:sz w:val="20"/>
                <w:szCs w:val="20"/>
              </w:rPr>
              <w:t>6</w:t>
            </w:r>
          </w:p>
        </w:tc>
      </w:tr>
      <w:tr w:rsidR="00150C90" w:rsidRPr="00B004EE" w14:paraId="34F1C85C" w14:textId="77777777" w:rsidTr="00C63768">
        <w:trPr>
          <w:jc w:val="center"/>
        </w:trPr>
        <w:tc>
          <w:tcPr>
            <w:tcW w:w="587" w:type="dxa"/>
          </w:tcPr>
          <w:p w14:paraId="6338E7E1" w14:textId="77777777" w:rsidR="008105B4" w:rsidRPr="00B004EE" w:rsidRDefault="008105B4" w:rsidP="00B004EE">
            <w:pPr>
              <w:jc w:val="both"/>
              <w:rPr>
                <w:rFonts w:ascii="Tahoma" w:hAnsi="Tahoma" w:cs="Tahoma"/>
                <w:sz w:val="20"/>
                <w:szCs w:val="20"/>
              </w:rPr>
            </w:pPr>
          </w:p>
        </w:tc>
        <w:tc>
          <w:tcPr>
            <w:tcW w:w="3524" w:type="dxa"/>
            <w:vAlign w:val="center"/>
          </w:tcPr>
          <w:p w14:paraId="19247B88" w14:textId="194EB11D" w:rsidR="008105B4" w:rsidRPr="00B004EE" w:rsidRDefault="008105B4" w:rsidP="00B004EE">
            <w:pPr>
              <w:jc w:val="both"/>
              <w:rPr>
                <w:rFonts w:ascii="Tahoma" w:hAnsi="Tahoma" w:cs="Tahoma"/>
                <w:sz w:val="20"/>
                <w:szCs w:val="20"/>
              </w:rPr>
            </w:pPr>
            <w:r w:rsidRPr="00B004EE">
              <w:rPr>
                <w:rFonts w:ascii="Tahoma" w:hAnsi="Tahoma" w:cs="Tahoma"/>
                <w:sz w:val="20"/>
                <w:szCs w:val="20"/>
              </w:rPr>
              <w:t>Oxydabilité</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permanganate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potassium</w:t>
            </w:r>
          </w:p>
        </w:tc>
        <w:tc>
          <w:tcPr>
            <w:tcW w:w="2208" w:type="dxa"/>
            <w:vAlign w:val="center"/>
          </w:tcPr>
          <w:p w14:paraId="27A3CD40" w14:textId="77777777" w:rsidR="008105B4" w:rsidRPr="00B004EE" w:rsidRDefault="008105B4" w:rsidP="00B004EE">
            <w:pPr>
              <w:jc w:val="both"/>
              <w:rPr>
                <w:rFonts w:ascii="Tahoma" w:hAnsi="Tahoma" w:cs="Tahoma"/>
                <w:sz w:val="20"/>
                <w:szCs w:val="20"/>
                <w:lang w:val="en-GB"/>
              </w:rPr>
            </w:pPr>
            <w:r w:rsidRPr="00B004EE">
              <w:rPr>
                <w:rFonts w:ascii="Tahoma" w:hAnsi="Tahoma" w:cs="Tahoma"/>
                <w:sz w:val="20"/>
                <w:szCs w:val="20"/>
                <w:lang w:val="en-GB"/>
              </w:rPr>
              <w:t>5,0</w:t>
            </w:r>
          </w:p>
        </w:tc>
        <w:tc>
          <w:tcPr>
            <w:tcW w:w="1755" w:type="dxa"/>
            <w:vAlign w:val="center"/>
          </w:tcPr>
          <w:p w14:paraId="5205D69B" w14:textId="00488513" w:rsidR="008105B4" w:rsidRPr="00B004EE" w:rsidRDefault="008105B4" w:rsidP="00B004EE">
            <w:pPr>
              <w:jc w:val="both"/>
              <w:rPr>
                <w:rFonts w:ascii="Tahoma" w:hAnsi="Tahoma" w:cs="Tahoma"/>
                <w:sz w:val="20"/>
                <w:szCs w:val="20"/>
                <w:lang w:val="en-GB"/>
              </w:rPr>
            </w:pPr>
            <w:r w:rsidRPr="00B004EE">
              <w:rPr>
                <w:rFonts w:ascii="Tahoma" w:hAnsi="Tahoma" w:cs="Tahoma"/>
                <w:sz w:val="20"/>
                <w:szCs w:val="20"/>
                <w:lang w:val="en-GB"/>
              </w:rPr>
              <w:t>Mg/l</w:t>
            </w:r>
            <w:r w:rsidR="00DB1635" w:rsidRPr="00B004EE">
              <w:rPr>
                <w:rFonts w:ascii="Tahoma" w:hAnsi="Tahoma" w:cs="Tahoma"/>
                <w:sz w:val="20"/>
                <w:szCs w:val="20"/>
                <w:lang w:val="en-GB"/>
              </w:rPr>
              <w:t xml:space="preserve"> </w:t>
            </w:r>
            <w:r w:rsidRPr="00B004EE">
              <w:rPr>
                <w:rFonts w:ascii="Tahoma" w:hAnsi="Tahoma" w:cs="Tahoma"/>
                <w:sz w:val="20"/>
                <w:szCs w:val="20"/>
                <w:lang w:val="en-GB"/>
              </w:rPr>
              <w:t>O</w:t>
            </w:r>
            <w:r w:rsidRPr="00B004EE">
              <w:rPr>
                <w:rFonts w:ascii="Tahoma" w:hAnsi="Tahoma" w:cs="Tahoma"/>
                <w:sz w:val="20"/>
                <w:szCs w:val="20"/>
                <w:vertAlign w:val="subscript"/>
                <w:lang w:val="en-GB"/>
              </w:rPr>
              <w:t>2</w:t>
            </w:r>
          </w:p>
        </w:tc>
        <w:tc>
          <w:tcPr>
            <w:tcW w:w="1598" w:type="dxa"/>
            <w:vAlign w:val="center"/>
          </w:tcPr>
          <w:p w14:paraId="4506E7A7" w14:textId="3B8B30D8" w:rsidR="008105B4" w:rsidRPr="00B004EE" w:rsidRDefault="008105B4" w:rsidP="00B004EE">
            <w:pPr>
              <w:jc w:val="both"/>
              <w:rPr>
                <w:rFonts w:ascii="Tahoma" w:hAnsi="Tahoma" w:cs="Tahoma"/>
                <w:sz w:val="20"/>
                <w:szCs w:val="20"/>
                <w:lang w:val="en-GB"/>
              </w:rPr>
            </w:pPr>
            <w:r w:rsidRPr="00B004EE">
              <w:rPr>
                <w:rFonts w:ascii="Tahoma" w:hAnsi="Tahoma" w:cs="Tahoma"/>
                <w:sz w:val="20"/>
                <w:szCs w:val="20"/>
                <w:lang w:val="en-GB"/>
              </w:rPr>
              <w:t>Note</w:t>
            </w:r>
            <w:r w:rsidR="00DB1635" w:rsidRPr="00B004EE">
              <w:rPr>
                <w:rFonts w:ascii="Tahoma" w:hAnsi="Tahoma" w:cs="Tahoma"/>
                <w:sz w:val="20"/>
                <w:szCs w:val="20"/>
                <w:lang w:val="en-GB"/>
              </w:rPr>
              <w:t xml:space="preserve"> </w:t>
            </w:r>
            <w:r w:rsidRPr="00B004EE">
              <w:rPr>
                <w:rFonts w:ascii="Tahoma" w:hAnsi="Tahoma" w:cs="Tahoma"/>
                <w:sz w:val="20"/>
                <w:szCs w:val="20"/>
                <w:lang w:val="en-GB"/>
              </w:rPr>
              <w:t>8</w:t>
            </w:r>
          </w:p>
        </w:tc>
      </w:tr>
      <w:tr w:rsidR="00150C90" w:rsidRPr="00B004EE" w14:paraId="6DEC0174" w14:textId="77777777" w:rsidTr="00C63768">
        <w:trPr>
          <w:jc w:val="center"/>
        </w:trPr>
        <w:tc>
          <w:tcPr>
            <w:tcW w:w="587" w:type="dxa"/>
          </w:tcPr>
          <w:p w14:paraId="3AA05155" w14:textId="77777777" w:rsidR="008105B4" w:rsidRPr="00B004EE" w:rsidRDefault="008105B4" w:rsidP="00B004EE">
            <w:pPr>
              <w:jc w:val="both"/>
              <w:rPr>
                <w:rFonts w:ascii="Tahoma" w:hAnsi="Tahoma" w:cs="Tahoma"/>
                <w:sz w:val="20"/>
                <w:szCs w:val="20"/>
                <w:lang w:val="en-GB"/>
              </w:rPr>
            </w:pPr>
          </w:p>
        </w:tc>
        <w:tc>
          <w:tcPr>
            <w:tcW w:w="3524" w:type="dxa"/>
            <w:vAlign w:val="center"/>
          </w:tcPr>
          <w:p w14:paraId="335CF08A" w14:textId="77777777" w:rsidR="008105B4" w:rsidRPr="00B004EE" w:rsidRDefault="008105B4" w:rsidP="00B004EE">
            <w:pPr>
              <w:jc w:val="both"/>
              <w:rPr>
                <w:rFonts w:ascii="Tahoma" w:eastAsia="Arial Unicode MS" w:hAnsi="Tahoma" w:cs="Tahoma"/>
                <w:sz w:val="20"/>
                <w:szCs w:val="20"/>
              </w:rPr>
            </w:pPr>
            <w:r w:rsidRPr="00B004EE">
              <w:rPr>
                <w:rFonts w:ascii="Tahoma" w:hAnsi="Tahoma" w:cs="Tahoma"/>
                <w:sz w:val="20"/>
                <w:szCs w:val="20"/>
              </w:rPr>
              <w:t>Saveur</w:t>
            </w:r>
          </w:p>
        </w:tc>
        <w:tc>
          <w:tcPr>
            <w:tcW w:w="2208" w:type="dxa"/>
            <w:vAlign w:val="center"/>
          </w:tcPr>
          <w:p w14:paraId="0F849CA0" w14:textId="77777777" w:rsidR="008105B4" w:rsidRPr="00B004EE" w:rsidRDefault="008105B4" w:rsidP="00B004EE">
            <w:pPr>
              <w:jc w:val="both"/>
              <w:rPr>
                <w:rFonts w:ascii="Tahoma" w:eastAsia="Arial Unicode MS" w:hAnsi="Tahoma" w:cs="Tahoma"/>
                <w:sz w:val="20"/>
                <w:szCs w:val="20"/>
              </w:rPr>
            </w:pPr>
            <w:r w:rsidRPr="00B004EE">
              <w:rPr>
                <w:rFonts w:ascii="Tahoma" w:eastAsia="Arial Unicode MS" w:hAnsi="Tahoma" w:cs="Tahoma"/>
                <w:sz w:val="20"/>
                <w:szCs w:val="20"/>
              </w:rPr>
              <w:t>-</w:t>
            </w:r>
          </w:p>
        </w:tc>
        <w:tc>
          <w:tcPr>
            <w:tcW w:w="1755" w:type="dxa"/>
            <w:vAlign w:val="center"/>
          </w:tcPr>
          <w:p w14:paraId="6D796C55" w14:textId="77777777" w:rsidR="008105B4" w:rsidRPr="00B004EE" w:rsidRDefault="008105B4" w:rsidP="00B004EE">
            <w:pPr>
              <w:jc w:val="both"/>
              <w:rPr>
                <w:rFonts w:ascii="Tahoma" w:eastAsia="Arial Unicode MS" w:hAnsi="Tahoma" w:cs="Tahoma"/>
                <w:sz w:val="20"/>
                <w:szCs w:val="20"/>
              </w:rPr>
            </w:pPr>
            <w:r w:rsidRPr="00B004EE">
              <w:rPr>
                <w:rFonts w:ascii="Tahoma" w:eastAsia="Arial Unicode MS" w:hAnsi="Tahoma" w:cs="Tahoma"/>
                <w:sz w:val="20"/>
                <w:szCs w:val="20"/>
              </w:rPr>
              <w:t>-</w:t>
            </w:r>
          </w:p>
        </w:tc>
        <w:tc>
          <w:tcPr>
            <w:tcW w:w="1598" w:type="dxa"/>
            <w:vAlign w:val="center"/>
          </w:tcPr>
          <w:p w14:paraId="663DDA49" w14:textId="0429E964" w:rsidR="008105B4" w:rsidRPr="00B004EE" w:rsidRDefault="008105B4" w:rsidP="00B004EE">
            <w:pPr>
              <w:jc w:val="both"/>
              <w:rPr>
                <w:rFonts w:ascii="Tahoma" w:eastAsia="Arial Unicode MS" w:hAnsi="Tahoma" w:cs="Tahoma"/>
                <w:sz w:val="20"/>
                <w:szCs w:val="20"/>
              </w:rPr>
            </w:pPr>
            <w:r w:rsidRPr="00B004EE">
              <w:rPr>
                <w:rFonts w:ascii="Tahoma" w:hAnsi="Tahoma" w:cs="Tahoma"/>
                <w:sz w:val="20"/>
                <w:szCs w:val="20"/>
              </w:rPr>
              <w:t>Note</w:t>
            </w:r>
            <w:r w:rsidR="00DB1635" w:rsidRPr="00B004EE">
              <w:rPr>
                <w:rFonts w:ascii="Tahoma" w:hAnsi="Tahoma" w:cs="Tahoma"/>
                <w:sz w:val="20"/>
                <w:szCs w:val="20"/>
              </w:rPr>
              <w:t xml:space="preserve"> </w:t>
            </w:r>
            <w:r w:rsidRPr="00B004EE">
              <w:rPr>
                <w:rFonts w:ascii="Tahoma" w:hAnsi="Tahoma" w:cs="Tahoma"/>
                <w:sz w:val="20"/>
                <w:szCs w:val="20"/>
              </w:rPr>
              <w:t>6</w:t>
            </w:r>
          </w:p>
        </w:tc>
      </w:tr>
      <w:tr w:rsidR="00150C90" w:rsidRPr="00B004EE" w14:paraId="4F7A2678" w14:textId="77777777" w:rsidTr="00C63768">
        <w:trPr>
          <w:jc w:val="center"/>
        </w:trPr>
        <w:tc>
          <w:tcPr>
            <w:tcW w:w="587" w:type="dxa"/>
          </w:tcPr>
          <w:p w14:paraId="12009E4D" w14:textId="77777777" w:rsidR="008105B4" w:rsidRPr="00B004EE" w:rsidRDefault="008105B4" w:rsidP="00B004EE">
            <w:pPr>
              <w:jc w:val="both"/>
              <w:rPr>
                <w:rFonts w:ascii="Tahoma" w:hAnsi="Tahoma" w:cs="Tahoma"/>
                <w:sz w:val="20"/>
                <w:szCs w:val="20"/>
              </w:rPr>
            </w:pPr>
          </w:p>
        </w:tc>
        <w:tc>
          <w:tcPr>
            <w:tcW w:w="3524" w:type="dxa"/>
            <w:vAlign w:val="center"/>
          </w:tcPr>
          <w:p w14:paraId="3CC5BDD3" w14:textId="77777777" w:rsidR="008105B4" w:rsidRPr="00B004EE" w:rsidRDefault="008105B4" w:rsidP="00B004EE">
            <w:pPr>
              <w:jc w:val="both"/>
              <w:rPr>
                <w:rFonts w:ascii="Tahoma" w:eastAsia="Arial Unicode MS" w:hAnsi="Tahoma" w:cs="Tahoma"/>
                <w:sz w:val="20"/>
                <w:szCs w:val="20"/>
              </w:rPr>
            </w:pPr>
            <w:r w:rsidRPr="00B004EE">
              <w:rPr>
                <w:rFonts w:ascii="Tahoma" w:hAnsi="Tahoma" w:cs="Tahoma"/>
                <w:sz w:val="20"/>
                <w:szCs w:val="20"/>
              </w:rPr>
              <w:t>Sulfates</w:t>
            </w:r>
          </w:p>
        </w:tc>
        <w:tc>
          <w:tcPr>
            <w:tcW w:w="2208" w:type="dxa"/>
            <w:vAlign w:val="center"/>
          </w:tcPr>
          <w:p w14:paraId="091016EE" w14:textId="77777777" w:rsidR="008105B4" w:rsidRPr="00B004EE" w:rsidRDefault="008105B4" w:rsidP="00B004EE">
            <w:pPr>
              <w:jc w:val="both"/>
              <w:rPr>
                <w:rFonts w:ascii="Tahoma" w:eastAsia="Arial Unicode MS" w:hAnsi="Tahoma" w:cs="Tahoma"/>
                <w:sz w:val="20"/>
                <w:szCs w:val="20"/>
              </w:rPr>
            </w:pPr>
            <w:r w:rsidRPr="00B004EE">
              <w:rPr>
                <w:rFonts w:ascii="Tahoma" w:hAnsi="Tahoma" w:cs="Tahoma"/>
                <w:sz w:val="20"/>
                <w:szCs w:val="20"/>
              </w:rPr>
              <w:t>250</w:t>
            </w:r>
          </w:p>
        </w:tc>
        <w:tc>
          <w:tcPr>
            <w:tcW w:w="1755" w:type="dxa"/>
            <w:vAlign w:val="center"/>
          </w:tcPr>
          <w:p w14:paraId="494C62AE" w14:textId="77777777" w:rsidR="008105B4" w:rsidRPr="00B004EE" w:rsidRDefault="008105B4" w:rsidP="00B004EE">
            <w:pPr>
              <w:jc w:val="both"/>
              <w:rPr>
                <w:rFonts w:ascii="Tahoma" w:eastAsia="Arial Unicode MS" w:hAnsi="Tahoma" w:cs="Tahoma"/>
                <w:sz w:val="20"/>
                <w:szCs w:val="20"/>
              </w:rPr>
            </w:pPr>
            <w:r w:rsidRPr="00B004EE">
              <w:rPr>
                <w:rFonts w:ascii="Tahoma" w:hAnsi="Tahoma" w:cs="Tahoma"/>
                <w:sz w:val="20"/>
                <w:szCs w:val="20"/>
              </w:rPr>
              <w:t>mg/l</w:t>
            </w:r>
          </w:p>
        </w:tc>
        <w:tc>
          <w:tcPr>
            <w:tcW w:w="1598" w:type="dxa"/>
            <w:vAlign w:val="center"/>
          </w:tcPr>
          <w:p w14:paraId="12728C39" w14:textId="77777777" w:rsidR="008105B4" w:rsidRPr="00B004EE" w:rsidRDefault="008105B4" w:rsidP="00B004EE">
            <w:pPr>
              <w:jc w:val="both"/>
              <w:rPr>
                <w:rFonts w:ascii="Tahoma" w:eastAsia="Arial Unicode MS" w:hAnsi="Tahoma" w:cs="Tahoma"/>
                <w:sz w:val="20"/>
                <w:szCs w:val="20"/>
              </w:rPr>
            </w:pPr>
          </w:p>
        </w:tc>
      </w:tr>
      <w:tr w:rsidR="00150C90" w:rsidRPr="00B004EE" w14:paraId="0BBBE02B" w14:textId="77777777" w:rsidTr="00C63768">
        <w:trPr>
          <w:jc w:val="center"/>
        </w:trPr>
        <w:tc>
          <w:tcPr>
            <w:tcW w:w="587" w:type="dxa"/>
          </w:tcPr>
          <w:p w14:paraId="1C22B98A" w14:textId="77777777" w:rsidR="008105B4" w:rsidRPr="00B004EE" w:rsidRDefault="008105B4" w:rsidP="00B004EE">
            <w:pPr>
              <w:jc w:val="both"/>
              <w:rPr>
                <w:rFonts w:ascii="Tahoma" w:hAnsi="Tahoma" w:cs="Tahoma"/>
                <w:sz w:val="20"/>
                <w:szCs w:val="20"/>
              </w:rPr>
            </w:pPr>
          </w:p>
        </w:tc>
        <w:tc>
          <w:tcPr>
            <w:tcW w:w="3524" w:type="dxa"/>
            <w:vAlign w:val="center"/>
          </w:tcPr>
          <w:p w14:paraId="7B34A4D7" w14:textId="77777777" w:rsidR="008105B4" w:rsidRPr="00B004EE" w:rsidRDefault="008105B4" w:rsidP="00B004EE">
            <w:pPr>
              <w:jc w:val="both"/>
              <w:rPr>
                <w:rFonts w:ascii="Tahoma" w:eastAsia="Arial Unicode MS" w:hAnsi="Tahoma" w:cs="Tahoma"/>
                <w:sz w:val="20"/>
                <w:szCs w:val="20"/>
              </w:rPr>
            </w:pPr>
            <w:r w:rsidRPr="00B004EE">
              <w:rPr>
                <w:rFonts w:ascii="Tahoma" w:hAnsi="Tahoma" w:cs="Tahoma"/>
                <w:sz w:val="20"/>
                <w:szCs w:val="20"/>
              </w:rPr>
              <w:t>Turbidité</w:t>
            </w:r>
          </w:p>
        </w:tc>
        <w:tc>
          <w:tcPr>
            <w:tcW w:w="2208" w:type="dxa"/>
            <w:vAlign w:val="center"/>
          </w:tcPr>
          <w:p w14:paraId="2DA4D7C6" w14:textId="77777777" w:rsidR="008105B4" w:rsidRPr="00B004EE" w:rsidRDefault="008105B4" w:rsidP="00B004EE">
            <w:pPr>
              <w:jc w:val="both"/>
              <w:rPr>
                <w:rFonts w:ascii="Tahoma" w:eastAsia="Arial Unicode MS" w:hAnsi="Tahoma" w:cs="Tahoma"/>
                <w:sz w:val="20"/>
                <w:szCs w:val="20"/>
              </w:rPr>
            </w:pPr>
            <w:r w:rsidRPr="00B004EE">
              <w:rPr>
                <w:rFonts w:ascii="Tahoma" w:hAnsi="Tahoma" w:cs="Tahoma"/>
                <w:sz w:val="20"/>
                <w:szCs w:val="20"/>
              </w:rPr>
              <w:t>-</w:t>
            </w:r>
          </w:p>
        </w:tc>
        <w:tc>
          <w:tcPr>
            <w:tcW w:w="1755" w:type="dxa"/>
            <w:vAlign w:val="center"/>
          </w:tcPr>
          <w:p w14:paraId="27F69096" w14:textId="77777777" w:rsidR="008105B4" w:rsidRPr="00B004EE" w:rsidRDefault="008105B4" w:rsidP="00B004EE">
            <w:pPr>
              <w:jc w:val="both"/>
              <w:rPr>
                <w:rFonts w:ascii="Tahoma" w:eastAsia="Arial Unicode MS" w:hAnsi="Tahoma" w:cs="Tahoma"/>
                <w:sz w:val="20"/>
                <w:szCs w:val="20"/>
              </w:rPr>
            </w:pPr>
            <w:r w:rsidRPr="00B004EE">
              <w:rPr>
                <w:rFonts w:ascii="Tahoma" w:eastAsia="Arial Unicode MS" w:hAnsi="Tahoma" w:cs="Tahoma"/>
                <w:sz w:val="20"/>
                <w:szCs w:val="20"/>
              </w:rPr>
              <w:t>-</w:t>
            </w:r>
          </w:p>
        </w:tc>
        <w:tc>
          <w:tcPr>
            <w:tcW w:w="1598" w:type="dxa"/>
            <w:vAlign w:val="center"/>
          </w:tcPr>
          <w:p w14:paraId="3915932C" w14:textId="3FDDD6BC" w:rsidR="008105B4" w:rsidRPr="00B004EE" w:rsidRDefault="008105B4" w:rsidP="00B004EE">
            <w:pPr>
              <w:jc w:val="both"/>
              <w:rPr>
                <w:rFonts w:ascii="Tahoma" w:eastAsia="Arial Unicode MS" w:hAnsi="Tahoma" w:cs="Tahoma"/>
                <w:sz w:val="20"/>
                <w:szCs w:val="20"/>
              </w:rPr>
            </w:pPr>
            <w:r w:rsidRPr="00B004EE">
              <w:rPr>
                <w:rFonts w:ascii="Tahoma" w:eastAsia="Arial Unicode MS" w:hAnsi="Tahoma" w:cs="Tahoma"/>
                <w:sz w:val="20"/>
                <w:szCs w:val="20"/>
              </w:rPr>
              <w:t>Note</w:t>
            </w:r>
            <w:r w:rsidR="00DB1635" w:rsidRPr="00B004EE">
              <w:rPr>
                <w:rFonts w:ascii="Tahoma" w:eastAsia="Arial Unicode MS" w:hAnsi="Tahoma" w:cs="Tahoma"/>
                <w:sz w:val="20"/>
                <w:szCs w:val="20"/>
              </w:rPr>
              <w:t xml:space="preserve"> </w:t>
            </w:r>
            <w:r w:rsidRPr="00B004EE">
              <w:rPr>
                <w:rFonts w:ascii="Tahoma" w:eastAsia="Arial Unicode MS" w:hAnsi="Tahoma" w:cs="Tahoma"/>
                <w:sz w:val="20"/>
                <w:szCs w:val="20"/>
              </w:rPr>
              <w:t>6</w:t>
            </w:r>
            <w:r w:rsidR="00DB1635" w:rsidRPr="00B004EE">
              <w:rPr>
                <w:rFonts w:ascii="Tahoma" w:eastAsia="Arial Unicode MS" w:hAnsi="Tahoma" w:cs="Tahoma"/>
                <w:sz w:val="20"/>
                <w:szCs w:val="20"/>
              </w:rPr>
              <w:t xml:space="preserve"> </w:t>
            </w:r>
            <w:r w:rsidRPr="00B004EE">
              <w:rPr>
                <w:rFonts w:ascii="Tahoma" w:eastAsia="Arial Unicode MS" w:hAnsi="Tahoma" w:cs="Tahoma"/>
                <w:sz w:val="20"/>
                <w:szCs w:val="20"/>
              </w:rPr>
              <w:t>et</w:t>
            </w:r>
            <w:r w:rsidR="00DB1635" w:rsidRPr="00B004EE">
              <w:rPr>
                <w:rFonts w:ascii="Tahoma" w:eastAsia="Arial Unicode MS" w:hAnsi="Tahoma" w:cs="Tahoma"/>
                <w:sz w:val="20"/>
                <w:szCs w:val="20"/>
              </w:rPr>
              <w:t xml:space="preserve"> </w:t>
            </w:r>
            <w:r w:rsidRPr="00B004EE">
              <w:rPr>
                <w:rFonts w:ascii="Tahoma" w:eastAsia="Arial Unicode MS" w:hAnsi="Tahoma" w:cs="Tahoma"/>
                <w:sz w:val="20"/>
                <w:szCs w:val="20"/>
              </w:rPr>
              <w:t>9</w:t>
            </w:r>
          </w:p>
        </w:tc>
      </w:tr>
    </w:tbl>
    <w:p w14:paraId="41939BA7" w14:textId="7E1FD255" w:rsidR="008105B4" w:rsidRPr="00B004EE" w:rsidRDefault="008105B4" w:rsidP="00B004EE">
      <w:pPr>
        <w:ind w:left="902" w:hanging="902"/>
        <w:jc w:val="both"/>
        <w:rPr>
          <w:rFonts w:ascii="Tahoma" w:hAnsi="Tahoma" w:cs="Tahoma"/>
          <w:bCs/>
          <w:sz w:val="20"/>
          <w:szCs w:val="20"/>
        </w:rPr>
      </w:pPr>
      <w:r w:rsidRPr="00B004EE">
        <w:rPr>
          <w:rFonts w:ascii="Tahoma" w:hAnsi="Tahoma" w:cs="Tahoma"/>
          <w:bCs/>
          <w:sz w:val="20"/>
          <w:szCs w:val="20"/>
        </w:rPr>
        <w:t>(*)</w:t>
      </w:r>
      <w:r w:rsidR="00DB1635" w:rsidRPr="00B004EE">
        <w:rPr>
          <w:rFonts w:ascii="Tahoma" w:hAnsi="Tahoma" w:cs="Tahoma"/>
          <w:bCs/>
          <w:sz w:val="20"/>
          <w:szCs w:val="20"/>
        </w:rPr>
        <w:t xml:space="preserve"> </w:t>
      </w:r>
      <w:r w:rsidRPr="00B004EE">
        <w:rPr>
          <w:rFonts w:ascii="Tahoma" w:hAnsi="Tahoma" w:cs="Tahoma"/>
          <w:bCs/>
          <w:sz w:val="20"/>
          <w:szCs w:val="20"/>
        </w:rPr>
        <w:t>Voir</w:t>
      </w:r>
      <w:r w:rsidR="00DB1635" w:rsidRPr="00B004EE">
        <w:rPr>
          <w:rFonts w:ascii="Tahoma" w:hAnsi="Tahoma" w:cs="Tahoma"/>
          <w:bCs/>
          <w:sz w:val="20"/>
          <w:szCs w:val="20"/>
        </w:rPr>
        <w:t xml:space="preserve"> </w:t>
      </w:r>
      <w:r w:rsidRPr="00B004EE">
        <w:rPr>
          <w:rFonts w:ascii="Tahoma" w:hAnsi="Tahoma" w:cs="Tahoma"/>
          <w:bCs/>
          <w:sz w:val="20"/>
          <w:szCs w:val="20"/>
        </w:rPr>
        <w:t>les</w:t>
      </w:r>
      <w:r w:rsidR="00DB1635" w:rsidRPr="00B004EE">
        <w:rPr>
          <w:rFonts w:ascii="Tahoma" w:hAnsi="Tahoma" w:cs="Tahoma"/>
          <w:bCs/>
          <w:sz w:val="20"/>
          <w:szCs w:val="20"/>
        </w:rPr>
        <w:t xml:space="preserve"> </w:t>
      </w:r>
      <w:r w:rsidRPr="00B004EE">
        <w:rPr>
          <w:rFonts w:ascii="Tahoma" w:hAnsi="Tahoma" w:cs="Tahoma"/>
          <w:bCs/>
          <w:sz w:val="20"/>
          <w:szCs w:val="20"/>
        </w:rPr>
        <w:t>limites</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qualité</w:t>
      </w:r>
      <w:r w:rsidR="00DB1635" w:rsidRPr="00B004EE">
        <w:rPr>
          <w:rFonts w:ascii="Tahoma" w:hAnsi="Tahoma" w:cs="Tahoma"/>
          <w:bCs/>
          <w:sz w:val="20"/>
          <w:szCs w:val="20"/>
        </w:rPr>
        <w:t xml:space="preserve"> </w:t>
      </w:r>
      <w:r w:rsidRPr="00B004EE">
        <w:rPr>
          <w:rFonts w:ascii="Tahoma" w:hAnsi="Tahoma" w:cs="Tahoma"/>
          <w:bCs/>
          <w:sz w:val="20"/>
          <w:szCs w:val="20"/>
        </w:rPr>
        <w:t>au</w:t>
      </w:r>
      <w:r w:rsidR="00DB1635" w:rsidRPr="00B004EE">
        <w:rPr>
          <w:rFonts w:ascii="Tahoma" w:hAnsi="Tahoma" w:cs="Tahoma"/>
          <w:bCs/>
          <w:sz w:val="20"/>
          <w:szCs w:val="20"/>
        </w:rPr>
        <w:t xml:space="preserve"> </w:t>
      </w:r>
      <w:r w:rsidRPr="00B004EE">
        <w:rPr>
          <w:rFonts w:ascii="Tahoma" w:hAnsi="Tahoma" w:cs="Tahoma"/>
          <w:bCs/>
          <w:sz w:val="20"/>
          <w:szCs w:val="20"/>
        </w:rPr>
        <w:t>tableau</w:t>
      </w:r>
      <w:r w:rsidR="00DB1635" w:rsidRPr="00B004EE">
        <w:rPr>
          <w:rFonts w:ascii="Tahoma" w:hAnsi="Tahoma" w:cs="Tahoma"/>
          <w:bCs/>
          <w:sz w:val="20"/>
          <w:szCs w:val="20"/>
        </w:rPr>
        <w:t xml:space="preserve"> </w:t>
      </w:r>
      <w:r w:rsidRPr="00B004EE">
        <w:rPr>
          <w:rFonts w:ascii="Tahoma" w:hAnsi="Tahoma" w:cs="Tahoma"/>
          <w:bCs/>
          <w:sz w:val="20"/>
          <w:szCs w:val="20"/>
        </w:rPr>
        <w:t>A</w:t>
      </w:r>
    </w:p>
    <w:p w14:paraId="1E5FAA20" w14:textId="215066E8" w:rsidR="008105B4" w:rsidRPr="00B004EE" w:rsidRDefault="008105B4" w:rsidP="00B004EE">
      <w:pPr>
        <w:tabs>
          <w:tab w:val="left" w:pos="0"/>
          <w:tab w:val="left" w:pos="3070"/>
          <w:tab w:val="left" w:pos="4605"/>
          <w:tab w:val="left" w:pos="6140"/>
          <w:tab w:val="left" w:pos="7675"/>
          <w:tab w:val="left" w:pos="9210"/>
        </w:tabs>
        <w:ind w:left="993" w:hanging="851"/>
        <w:jc w:val="both"/>
        <w:rPr>
          <w:rFonts w:ascii="Tahoma" w:hAnsi="Tahoma" w:cs="Tahoma"/>
          <w:sz w:val="20"/>
          <w:szCs w:val="20"/>
        </w:rPr>
      </w:pPr>
      <w:r w:rsidRPr="00B004EE">
        <w:rPr>
          <w:rFonts w:ascii="Tahoma" w:hAnsi="Tahoma" w:cs="Tahoma"/>
          <w:sz w:val="20"/>
          <w:szCs w:val="20"/>
        </w:rPr>
        <w:t>Note</w:t>
      </w:r>
      <w:r w:rsidR="00DB1635" w:rsidRPr="00B004EE">
        <w:rPr>
          <w:rFonts w:ascii="Tahoma" w:hAnsi="Tahoma" w:cs="Tahoma"/>
          <w:sz w:val="20"/>
          <w:szCs w:val="20"/>
        </w:rPr>
        <w:t xml:space="preserve"> </w:t>
      </w:r>
      <w:r w:rsidRPr="00B004EE">
        <w:rPr>
          <w:rFonts w:ascii="Tahoma" w:hAnsi="Tahoma" w:cs="Tahoma"/>
          <w:sz w:val="20"/>
          <w:szCs w:val="20"/>
        </w:rPr>
        <w:t>1</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A</w:t>
      </w:r>
      <w:r w:rsidR="00DB1635" w:rsidRPr="00B004EE">
        <w:rPr>
          <w:rFonts w:ascii="Tahoma" w:hAnsi="Tahoma" w:cs="Tahoma"/>
          <w:sz w:val="20"/>
          <w:szCs w:val="20"/>
        </w:rPr>
        <w:t xml:space="preserve"> </w:t>
      </w:r>
      <w:r w:rsidRPr="00B004EE">
        <w:rPr>
          <w:rFonts w:ascii="Tahoma" w:hAnsi="Tahoma" w:cs="Tahoma"/>
          <w:sz w:val="20"/>
          <w:szCs w:val="20"/>
        </w:rPr>
        <w:t>l'exception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eaux</w:t>
      </w:r>
      <w:r w:rsidR="00DB1635" w:rsidRPr="00B004EE">
        <w:rPr>
          <w:rFonts w:ascii="Tahoma" w:hAnsi="Tahoma" w:cs="Tahoma"/>
          <w:sz w:val="20"/>
          <w:szCs w:val="20"/>
        </w:rPr>
        <w:t xml:space="preserve"> </w:t>
      </w:r>
      <w:r w:rsidRPr="00B004EE">
        <w:rPr>
          <w:rFonts w:ascii="Tahoma" w:hAnsi="Tahoma" w:cs="Tahoma"/>
          <w:sz w:val="20"/>
          <w:szCs w:val="20"/>
        </w:rPr>
        <w:t>ayant</w:t>
      </w:r>
      <w:r w:rsidR="00DB1635" w:rsidRPr="00B004EE">
        <w:rPr>
          <w:rFonts w:ascii="Tahoma" w:hAnsi="Tahoma" w:cs="Tahoma"/>
          <w:sz w:val="20"/>
          <w:szCs w:val="20"/>
        </w:rPr>
        <w:t xml:space="preserve"> </w:t>
      </w:r>
      <w:r w:rsidRPr="00B004EE">
        <w:rPr>
          <w:rFonts w:ascii="Tahoma" w:hAnsi="Tahoma" w:cs="Tahoma"/>
          <w:sz w:val="20"/>
          <w:szCs w:val="20"/>
        </w:rPr>
        <w:t>subi</w:t>
      </w:r>
      <w:r w:rsidR="00DB1635" w:rsidRPr="00B004EE">
        <w:rPr>
          <w:rFonts w:ascii="Tahoma" w:hAnsi="Tahoma" w:cs="Tahoma"/>
          <w:sz w:val="20"/>
          <w:szCs w:val="20"/>
        </w:rPr>
        <w:t xml:space="preserve"> </w:t>
      </w: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traitement</w:t>
      </w:r>
      <w:r w:rsidR="00DB1635" w:rsidRPr="00B004EE">
        <w:rPr>
          <w:rFonts w:ascii="Tahoma" w:hAnsi="Tahoma" w:cs="Tahoma"/>
          <w:sz w:val="20"/>
          <w:szCs w:val="20"/>
        </w:rPr>
        <w:t xml:space="preserve"> </w:t>
      </w:r>
      <w:r w:rsidRPr="00B004EE">
        <w:rPr>
          <w:rFonts w:ascii="Tahoma" w:hAnsi="Tahoma" w:cs="Tahoma"/>
          <w:sz w:val="20"/>
          <w:szCs w:val="20"/>
        </w:rPr>
        <w:t>thermique</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production</w:t>
      </w:r>
      <w:r w:rsidR="00DB1635" w:rsidRPr="00B004EE">
        <w:rPr>
          <w:rFonts w:ascii="Tahoma" w:hAnsi="Tahoma" w:cs="Tahoma"/>
          <w:sz w:val="20"/>
          <w:szCs w:val="20"/>
        </w:rPr>
        <w:t xml:space="preserve"> </w:t>
      </w:r>
      <w:r w:rsidRPr="00B004EE">
        <w:rPr>
          <w:rFonts w:ascii="Tahoma" w:hAnsi="Tahoma" w:cs="Tahoma"/>
          <w:sz w:val="20"/>
          <w:szCs w:val="20"/>
        </w:rPr>
        <w:t>d'eau</w:t>
      </w:r>
      <w:r w:rsidR="00DB1635" w:rsidRPr="00B004EE">
        <w:rPr>
          <w:rFonts w:ascii="Tahoma" w:hAnsi="Tahoma" w:cs="Tahoma"/>
          <w:sz w:val="20"/>
          <w:szCs w:val="20"/>
        </w:rPr>
        <w:t xml:space="preserve"> </w:t>
      </w:r>
      <w:r w:rsidRPr="00B004EE">
        <w:rPr>
          <w:rFonts w:ascii="Tahoma" w:hAnsi="Tahoma" w:cs="Tahoma"/>
          <w:sz w:val="20"/>
          <w:szCs w:val="20"/>
        </w:rPr>
        <w:t>chaude</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lesquelles</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valeur</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0,5</w:t>
      </w:r>
      <w:r w:rsidR="00DB1635" w:rsidRPr="00B004EE">
        <w:rPr>
          <w:rFonts w:ascii="Tahoma" w:hAnsi="Tahoma" w:cs="Tahoma"/>
          <w:sz w:val="20"/>
          <w:szCs w:val="20"/>
        </w:rPr>
        <w:t xml:space="preserve"> </w:t>
      </w:r>
      <w:r w:rsidRPr="00B004EE">
        <w:rPr>
          <w:rFonts w:ascii="Tahoma" w:hAnsi="Tahoma" w:cs="Tahoma"/>
          <w:sz w:val="20"/>
          <w:szCs w:val="20"/>
        </w:rPr>
        <w:t>mg/l</w:t>
      </w:r>
      <w:r w:rsidR="00DB1635" w:rsidRPr="00B004EE">
        <w:rPr>
          <w:rFonts w:ascii="Tahoma" w:hAnsi="Tahoma" w:cs="Tahoma"/>
          <w:sz w:val="20"/>
          <w:szCs w:val="20"/>
        </w:rPr>
        <w:t xml:space="preserve"> </w:t>
      </w:r>
      <w:r w:rsidRPr="00B004EE">
        <w:rPr>
          <w:rFonts w:ascii="Tahoma" w:hAnsi="Tahoma" w:cs="Tahoma"/>
          <w:sz w:val="20"/>
          <w:szCs w:val="20"/>
        </w:rPr>
        <w:t>(Al)</w:t>
      </w:r>
      <w:r w:rsidR="00DB1635" w:rsidRPr="00B004EE">
        <w:rPr>
          <w:rFonts w:ascii="Tahoma" w:hAnsi="Tahoma" w:cs="Tahoma"/>
          <w:sz w:val="20"/>
          <w:szCs w:val="20"/>
        </w:rPr>
        <w:t xml:space="preserve"> </w:t>
      </w:r>
      <w:r w:rsidRPr="00B004EE">
        <w:rPr>
          <w:rFonts w:ascii="Tahoma" w:hAnsi="Tahoma" w:cs="Tahoma"/>
          <w:sz w:val="20"/>
          <w:szCs w:val="20"/>
        </w:rPr>
        <w:t>ne</w:t>
      </w:r>
      <w:r w:rsidR="00DB1635" w:rsidRPr="00B004EE">
        <w:rPr>
          <w:rFonts w:ascii="Tahoma" w:hAnsi="Tahoma" w:cs="Tahoma"/>
          <w:sz w:val="20"/>
          <w:szCs w:val="20"/>
        </w:rPr>
        <w:t xml:space="preserve"> </w:t>
      </w:r>
      <w:r w:rsidRPr="00B004EE">
        <w:rPr>
          <w:rFonts w:ascii="Tahoma" w:hAnsi="Tahoma" w:cs="Tahoma"/>
          <w:sz w:val="20"/>
          <w:szCs w:val="20"/>
        </w:rPr>
        <w:t>doit</w:t>
      </w:r>
      <w:r w:rsidR="00DB1635" w:rsidRPr="00B004EE">
        <w:rPr>
          <w:rFonts w:ascii="Tahoma" w:hAnsi="Tahoma" w:cs="Tahoma"/>
          <w:sz w:val="20"/>
          <w:szCs w:val="20"/>
        </w:rPr>
        <w:t xml:space="preserve"> </w:t>
      </w:r>
      <w:r w:rsidRPr="00B004EE">
        <w:rPr>
          <w:rFonts w:ascii="Tahoma" w:hAnsi="Tahoma" w:cs="Tahoma"/>
          <w:sz w:val="20"/>
          <w:szCs w:val="20"/>
        </w:rPr>
        <w:t>pas</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dépassée.</w:t>
      </w:r>
    </w:p>
    <w:p w14:paraId="38C2462E" w14:textId="6C28BA6F" w:rsidR="008105B4" w:rsidRPr="00B004EE" w:rsidRDefault="008105B4" w:rsidP="00B004EE">
      <w:pPr>
        <w:tabs>
          <w:tab w:val="left" w:pos="0"/>
          <w:tab w:val="left" w:pos="3070"/>
          <w:tab w:val="left" w:pos="4605"/>
          <w:tab w:val="left" w:pos="6140"/>
          <w:tab w:val="left" w:pos="7675"/>
          <w:tab w:val="left" w:pos="9210"/>
        </w:tabs>
        <w:ind w:left="993" w:hanging="851"/>
        <w:jc w:val="both"/>
        <w:rPr>
          <w:rFonts w:ascii="Tahoma" w:hAnsi="Tahoma" w:cs="Tahoma"/>
          <w:sz w:val="20"/>
          <w:szCs w:val="20"/>
        </w:rPr>
      </w:pPr>
      <w:r w:rsidRPr="00B004EE">
        <w:rPr>
          <w:rFonts w:ascii="Tahoma" w:hAnsi="Tahoma" w:cs="Tahoma"/>
          <w:sz w:val="20"/>
          <w:szCs w:val="20"/>
        </w:rPr>
        <w:t>Note</w:t>
      </w:r>
      <w:r w:rsidR="00DB1635" w:rsidRPr="00B004EE">
        <w:rPr>
          <w:rFonts w:ascii="Tahoma" w:hAnsi="Tahoma" w:cs="Tahoma"/>
          <w:sz w:val="20"/>
          <w:szCs w:val="20"/>
        </w:rPr>
        <w:t xml:space="preserve"> </w:t>
      </w:r>
      <w:r w:rsidRPr="00B004EE">
        <w:rPr>
          <w:rFonts w:ascii="Tahoma" w:hAnsi="Tahoma" w:cs="Tahoma"/>
          <w:sz w:val="20"/>
          <w:szCs w:val="20"/>
        </w:rPr>
        <w:t>2</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S'il</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démontré</w:t>
      </w:r>
      <w:r w:rsidR="00DB1635" w:rsidRPr="00B004EE">
        <w:rPr>
          <w:rFonts w:ascii="Tahoma" w:hAnsi="Tahoma" w:cs="Tahoma"/>
          <w:sz w:val="20"/>
          <w:szCs w:val="20"/>
        </w:rPr>
        <w:t xml:space="preserve"> </w:t>
      </w:r>
      <w:r w:rsidRPr="00B004EE">
        <w:rPr>
          <w:rFonts w:ascii="Tahoma" w:hAnsi="Tahoma" w:cs="Tahoma"/>
          <w:sz w:val="20"/>
          <w:szCs w:val="20"/>
        </w:rPr>
        <w:t>que</w:t>
      </w:r>
      <w:r w:rsidR="00DB1635" w:rsidRPr="00B004EE">
        <w:rPr>
          <w:rFonts w:ascii="Tahoma" w:hAnsi="Tahoma" w:cs="Tahoma"/>
          <w:sz w:val="20"/>
          <w:szCs w:val="20"/>
        </w:rPr>
        <w:t xml:space="preserve"> </w:t>
      </w:r>
      <w:r w:rsidRPr="00B004EE">
        <w:rPr>
          <w:rFonts w:ascii="Tahoma" w:hAnsi="Tahoma" w:cs="Tahoma"/>
          <w:sz w:val="20"/>
          <w:szCs w:val="20"/>
        </w:rPr>
        <w:t>l'ammonium</w:t>
      </w:r>
      <w:r w:rsidR="00DB1635" w:rsidRPr="00B004EE">
        <w:rPr>
          <w:rFonts w:ascii="Tahoma" w:hAnsi="Tahoma" w:cs="Tahoma"/>
          <w:sz w:val="20"/>
          <w:szCs w:val="20"/>
        </w:rPr>
        <w:t xml:space="preserve"> </w:t>
      </w:r>
      <w:r w:rsidRPr="00B004EE">
        <w:rPr>
          <w:rFonts w:ascii="Tahoma" w:hAnsi="Tahoma" w:cs="Tahoma"/>
          <w:sz w:val="20"/>
          <w:szCs w:val="20"/>
        </w:rPr>
        <w:t>a</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origine</w:t>
      </w:r>
      <w:r w:rsidR="00DB1635" w:rsidRPr="00B004EE">
        <w:rPr>
          <w:rFonts w:ascii="Tahoma" w:hAnsi="Tahoma" w:cs="Tahoma"/>
          <w:sz w:val="20"/>
          <w:szCs w:val="20"/>
        </w:rPr>
        <w:t xml:space="preserve"> </w:t>
      </w:r>
      <w:r w:rsidRPr="00B004EE">
        <w:rPr>
          <w:rFonts w:ascii="Tahoma" w:hAnsi="Tahoma" w:cs="Tahoma"/>
          <w:sz w:val="20"/>
          <w:szCs w:val="20"/>
        </w:rPr>
        <w:t>naturelle,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valeur</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respecter</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0,5mg/l</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eaux</w:t>
      </w:r>
      <w:r w:rsidR="00DB1635" w:rsidRPr="00B004EE">
        <w:rPr>
          <w:rFonts w:ascii="Tahoma" w:hAnsi="Tahoma" w:cs="Tahoma"/>
          <w:sz w:val="20"/>
          <w:szCs w:val="20"/>
        </w:rPr>
        <w:t xml:space="preserve"> </w:t>
      </w:r>
      <w:r w:rsidRPr="00B004EE">
        <w:rPr>
          <w:rFonts w:ascii="Tahoma" w:hAnsi="Tahoma" w:cs="Tahoma"/>
          <w:sz w:val="20"/>
          <w:szCs w:val="20"/>
        </w:rPr>
        <w:t>souterraines</w:t>
      </w:r>
    </w:p>
    <w:p w14:paraId="1609C24C" w14:textId="52BB9209" w:rsidR="008105B4" w:rsidRPr="00B004EE" w:rsidRDefault="008105B4" w:rsidP="00B004EE">
      <w:pPr>
        <w:tabs>
          <w:tab w:val="left" w:pos="0"/>
          <w:tab w:val="left" w:pos="3070"/>
          <w:tab w:val="left" w:pos="4605"/>
          <w:tab w:val="left" w:pos="6140"/>
          <w:tab w:val="left" w:pos="7675"/>
          <w:tab w:val="left" w:pos="9210"/>
        </w:tabs>
        <w:ind w:left="993" w:hanging="851"/>
        <w:jc w:val="both"/>
        <w:rPr>
          <w:rFonts w:ascii="Tahoma" w:hAnsi="Tahoma" w:cs="Tahoma"/>
          <w:sz w:val="20"/>
          <w:szCs w:val="20"/>
        </w:rPr>
      </w:pPr>
      <w:r w:rsidRPr="00B004EE">
        <w:rPr>
          <w:rFonts w:ascii="Tahoma" w:hAnsi="Tahoma" w:cs="Tahoma"/>
          <w:sz w:val="20"/>
          <w:szCs w:val="20"/>
        </w:rPr>
        <w:t>Note</w:t>
      </w:r>
      <w:r w:rsidR="00DB1635" w:rsidRPr="00B004EE">
        <w:rPr>
          <w:rFonts w:ascii="Tahoma" w:hAnsi="Tahoma" w:cs="Tahoma"/>
          <w:sz w:val="20"/>
          <w:szCs w:val="20"/>
        </w:rPr>
        <w:t xml:space="preserve"> </w:t>
      </w:r>
      <w:r w:rsidRPr="00B004EE">
        <w:rPr>
          <w:rFonts w:ascii="Tahoma" w:hAnsi="Tahoma" w:cs="Tahoma"/>
          <w:sz w:val="20"/>
          <w:szCs w:val="20"/>
        </w:rPr>
        <w:t>3</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Ce</w:t>
      </w:r>
      <w:r w:rsidR="00DB1635" w:rsidRPr="00B004EE">
        <w:rPr>
          <w:rFonts w:ascii="Tahoma" w:hAnsi="Tahoma" w:cs="Tahoma"/>
          <w:sz w:val="20"/>
          <w:szCs w:val="20"/>
        </w:rPr>
        <w:t xml:space="preserve"> </w:t>
      </w:r>
      <w:r w:rsidRPr="00B004EE">
        <w:rPr>
          <w:rFonts w:ascii="Tahoma" w:hAnsi="Tahoma" w:cs="Tahoma"/>
          <w:sz w:val="20"/>
          <w:szCs w:val="20"/>
        </w:rPr>
        <w:t>paramètre</w:t>
      </w:r>
      <w:r w:rsidR="00DB1635" w:rsidRPr="00B004EE">
        <w:rPr>
          <w:rFonts w:ascii="Tahoma" w:hAnsi="Tahoma" w:cs="Tahoma"/>
          <w:sz w:val="20"/>
          <w:szCs w:val="20"/>
        </w:rPr>
        <w:t xml:space="preserve"> </w:t>
      </w:r>
      <w:r w:rsidRPr="00B004EE">
        <w:rPr>
          <w:rFonts w:ascii="Tahoma" w:hAnsi="Tahoma" w:cs="Tahoma"/>
          <w:sz w:val="20"/>
          <w:szCs w:val="20"/>
        </w:rPr>
        <w:t>doit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mesuré</w:t>
      </w:r>
      <w:r w:rsidR="00DB1635" w:rsidRPr="00B004EE">
        <w:rPr>
          <w:rFonts w:ascii="Tahoma" w:hAnsi="Tahoma" w:cs="Tahoma"/>
          <w:sz w:val="20"/>
          <w:szCs w:val="20"/>
        </w:rPr>
        <w:t xml:space="preserve"> </w:t>
      </w:r>
      <w:r w:rsidRPr="00B004EE">
        <w:rPr>
          <w:rFonts w:ascii="Tahoma" w:hAnsi="Tahoma" w:cs="Tahoma"/>
          <w:sz w:val="20"/>
          <w:szCs w:val="20"/>
        </w:rPr>
        <w:t>lorsque</w:t>
      </w:r>
      <w:r w:rsidR="00DB1635" w:rsidRPr="00B004EE">
        <w:rPr>
          <w:rFonts w:ascii="Tahoma" w:hAnsi="Tahoma" w:cs="Tahoma"/>
          <w:sz w:val="20"/>
          <w:szCs w:val="20"/>
        </w:rPr>
        <w:t xml:space="preserve"> </w:t>
      </w:r>
      <w:r w:rsidRPr="00B004EE">
        <w:rPr>
          <w:rFonts w:ascii="Tahoma" w:hAnsi="Tahoma" w:cs="Tahoma"/>
          <w:sz w:val="20"/>
          <w:szCs w:val="20"/>
        </w:rPr>
        <w:t>l'eau</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d'origine</w:t>
      </w:r>
      <w:r w:rsidR="00DB1635" w:rsidRPr="00B004EE">
        <w:rPr>
          <w:rFonts w:ascii="Tahoma" w:hAnsi="Tahoma" w:cs="Tahoma"/>
          <w:sz w:val="20"/>
          <w:szCs w:val="20"/>
        </w:rPr>
        <w:t xml:space="preserve"> </w:t>
      </w:r>
      <w:r w:rsidRPr="00B004EE">
        <w:rPr>
          <w:rFonts w:ascii="Tahoma" w:hAnsi="Tahoma" w:cs="Tahoma"/>
          <w:sz w:val="20"/>
          <w:szCs w:val="20"/>
        </w:rPr>
        <w:t>superficielle</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influencée</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eau</w:t>
      </w:r>
      <w:r w:rsidR="00DB1635" w:rsidRPr="00B004EE">
        <w:rPr>
          <w:rFonts w:ascii="Tahoma" w:hAnsi="Tahoma" w:cs="Tahoma"/>
          <w:sz w:val="20"/>
          <w:szCs w:val="20"/>
        </w:rPr>
        <w:t xml:space="preserve"> </w:t>
      </w:r>
      <w:r w:rsidRPr="00B004EE">
        <w:rPr>
          <w:rFonts w:ascii="Tahoma" w:hAnsi="Tahoma" w:cs="Tahoma"/>
          <w:sz w:val="20"/>
          <w:szCs w:val="20"/>
        </w:rPr>
        <w:t>d'origine</w:t>
      </w:r>
      <w:r w:rsidR="00DB1635" w:rsidRPr="00B004EE">
        <w:rPr>
          <w:rFonts w:ascii="Tahoma" w:hAnsi="Tahoma" w:cs="Tahoma"/>
          <w:sz w:val="20"/>
          <w:szCs w:val="20"/>
        </w:rPr>
        <w:t xml:space="preserve"> </w:t>
      </w:r>
      <w:r w:rsidRPr="00B004EE">
        <w:rPr>
          <w:rFonts w:ascii="Tahoma" w:hAnsi="Tahoma" w:cs="Tahoma"/>
          <w:sz w:val="20"/>
          <w:szCs w:val="20"/>
        </w:rPr>
        <w:t>superficielle.</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cas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non-respect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cette</w:t>
      </w:r>
      <w:r w:rsidR="00DB1635" w:rsidRPr="00B004EE">
        <w:rPr>
          <w:rFonts w:ascii="Tahoma" w:hAnsi="Tahoma" w:cs="Tahoma"/>
          <w:sz w:val="20"/>
          <w:szCs w:val="20"/>
        </w:rPr>
        <w:t xml:space="preserve"> </w:t>
      </w:r>
      <w:r w:rsidRPr="00B004EE">
        <w:rPr>
          <w:rFonts w:ascii="Tahoma" w:hAnsi="Tahoma" w:cs="Tahoma"/>
          <w:sz w:val="20"/>
          <w:szCs w:val="20"/>
        </w:rPr>
        <w:t>valeur,</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enquête</w:t>
      </w:r>
      <w:r w:rsidR="00DB1635" w:rsidRPr="00B004EE">
        <w:rPr>
          <w:rFonts w:ascii="Tahoma" w:hAnsi="Tahoma" w:cs="Tahoma"/>
          <w:sz w:val="20"/>
          <w:szCs w:val="20"/>
        </w:rPr>
        <w:t xml:space="preserve"> </w:t>
      </w:r>
      <w:r w:rsidRPr="00B004EE">
        <w:rPr>
          <w:rFonts w:ascii="Tahoma" w:hAnsi="Tahoma" w:cs="Tahoma"/>
          <w:sz w:val="20"/>
          <w:szCs w:val="20"/>
        </w:rPr>
        <w:t>doit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menée</w:t>
      </w:r>
      <w:r w:rsidR="00DB1635" w:rsidRPr="00B004EE">
        <w:rPr>
          <w:rFonts w:ascii="Tahoma" w:hAnsi="Tahoma" w:cs="Tahoma"/>
          <w:sz w:val="20"/>
          <w:szCs w:val="20"/>
        </w:rPr>
        <w:t xml:space="preserve"> </w:t>
      </w:r>
      <w:r w:rsidRPr="00B004EE">
        <w:rPr>
          <w:rFonts w:ascii="Tahoma" w:hAnsi="Tahoma" w:cs="Tahoma"/>
          <w:sz w:val="20"/>
          <w:szCs w:val="20"/>
        </w:rPr>
        <w:t>sur</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distribution</w:t>
      </w:r>
      <w:r w:rsidR="00DB1635" w:rsidRPr="00B004EE">
        <w:rPr>
          <w:rFonts w:ascii="Tahoma" w:hAnsi="Tahoma" w:cs="Tahoma"/>
          <w:sz w:val="20"/>
          <w:szCs w:val="20"/>
        </w:rPr>
        <w:t xml:space="preserve"> </w:t>
      </w:r>
      <w:r w:rsidRPr="00B004EE">
        <w:rPr>
          <w:rFonts w:ascii="Tahoma" w:hAnsi="Tahoma" w:cs="Tahoma"/>
          <w:sz w:val="20"/>
          <w:szCs w:val="20"/>
        </w:rPr>
        <w:t>d'eau</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s'assurer</w:t>
      </w:r>
      <w:r w:rsidR="00DB1635" w:rsidRPr="00B004EE">
        <w:rPr>
          <w:rFonts w:ascii="Tahoma" w:hAnsi="Tahoma" w:cs="Tahoma"/>
          <w:sz w:val="20"/>
          <w:szCs w:val="20"/>
        </w:rPr>
        <w:t xml:space="preserve"> </w:t>
      </w:r>
      <w:r w:rsidRPr="00B004EE">
        <w:rPr>
          <w:rFonts w:ascii="Tahoma" w:hAnsi="Tahoma" w:cs="Tahoma"/>
          <w:sz w:val="20"/>
          <w:szCs w:val="20"/>
        </w:rPr>
        <w:t>qu'il</w:t>
      </w:r>
      <w:r w:rsidR="00DB1635" w:rsidRPr="00B004EE">
        <w:rPr>
          <w:rFonts w:ascii="Tahoma" w:hAnsi="Tahoma" w:cs="Tahoma"/>
          <w:sz w:val="20"/>
          <w:szCs w:val="20"/>
        </w:rPr>
        <w:t xml:space="preserve"> </w:t>
      </w:r>
      <w:r w:rsidRPr="00B004EE">
        <w:rPr>
          <w:rFonts w:ascii="Tahoma" w:hAnsi="Tahoma" w:cs="Tahoma"/>
          <w:sz w:val="20"/>
          <w:szCs w:val="20"/>
        </w:rPr>
        <w:t>n'y</w:t>
      </w:r>
      <w:r w:rsidR="00DB1635" w:rsidRPr="00B004EE">
        <w:rPr>
          <w:rFonts w:ascii="Tahoma" w:hAnsi="Tahoma" w:cs="Tahoma"/>
          <w:sz w:val="20"/>
          <w:szCs w:val="20"/>
        </w:rPr>
        <w:t xml:space="preserve"> </w:t>
      </w:r>
      <w:r w:rsidRPr="00B004EE">
        <w:rPr>
          <w:rFonts w:ascii="Tahoma" w:hAnsi="Tahoma" w:cs="Tahoma"/>
          <w:sz w:val="20"/>
          <w:szCs w:val="20"/>
        </w:rPr>
        <w:t>a</w:t>
      </w:r>
      <w:r w:rsidR="00DB1635" w:rsidRPr="00B004EE">
        <w:rPr>
          <w:rFonts w:ascii="Tahoma" w:hAnsi="Tahoma" w:cs="Tahoma"/>
          <w:sz w:val="20"/>
          <w:szCs w:val="20"/>
        </w:rPr>
        <w:t xml:space="preserve"> </w:t>
      </w:r>
      <w:r w:rsidRPr="00B004EE">
        <w:rPr>
          <w:rFonts w:ascii="Tahoma" w:hAnsi="Tahoma" w:cs="Tahoma"/>
          <w:sz w:val="20"/>
          <w:szCs w:val="20"/>
        </w:rPr>
        <w:t>aucun</w:t>
      </w:r>
      <w:r w:rsidR="00DB1635" w:rsidRPr="00B004EE">
        <w:rPr>
          <w:rFonts w:ascii="Tahoma" w:hAnsi="Tahoma" w:cs="Tahoma"/>
          <w:sz w:val="20"/>
          <w:szCs w:val="20"/>
        </w:rPr>
        <w:t xml:space="preserve"> </w:t>
      </w:r>
      <w:r w:rsidRPr="00B004EE">
        <w:rPr>
          <w:rFonts w:ascii="Tahoma" w:hAnsi="Tahoma" w:cs="Tahoma"/>
          <w:sz w:val="20"/>
          <w:szCs w:val="20"/>
        </w:rPr>
        <w:t>danger</w:t>
      </w:r>
      <w:r w:rsidR="00DB1635" w:rsidRPr="00B004EE">
        <w:rPr>
          <w:rFonts w:ascii="Tahoma" w:hAnsi="Tahoma" w:cs="Tahoma"/>
          <w:sz w:val="20"/>
          <w:szCs w:val="20"/>
        </w:rPr>
        <w:t xml:space="preserve"> </w:t>
      </w:r>
      <w:r w:rsidRPr="00B004EE">
        <w:rPr>
          <w:rFonts w:ascii="Tahoma" w:hAnsi="Tahoma" w:cs="Tahoma"/>
          <w:sz w:val="20"/>
          <w:szCs w:val="20"/>
        </w:rPr>
        <w:t>potentiel</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santé</w:t>
      </w:r>
      <w:r w:rsidR="00DB1635" w:rsidRPr="00B004EE">
        <w:rPr>
          <w:rFonts w:ascii="Tahoma" w:hAnsi="Tahoma" w:cs="Tahoma"/>
          <w:sz w:val="20"/>
          <w:szCs w:val="20"/>
        </w:rPr>
        <w:t xml:space="preserve"> </w:t>
      </w:r>
      <w:r w:rsidRPr="00B004EE">
        <w:rPr>
          <w:rFonts w:ascii="Tahoma" w:hAnsi="Tahoma" w:cs="Tahoma"/>
          <w:sz w:val="20"/>
          <w:szCs w:val="20"/>
        </w:rPr>
        <w:t>humaine</w:t>
      </w:r>
      <w:r w:rsidR="00DB1635" w:rsidRPr="00B004EE">
        <w:rPr>
          <w:rFonts w:ascii="Tahoma" w:hAnsi="Tahoma" w:cs="Tahoma"/>
          <w:sz w:val="20"/>
          <w:szCs w:val="20"/>
        </w:rPr>
        <w:t xml:space="preserve"> </w:t>
      </w:r>
      <w:r w:rsidRPr="00B004EE">
        <w:rPr>
          <w:rFonts w:ascii="Tahoma" w:hAnsi="Tahoma" w:cs="Tahoma"/>
          <w:sz w:val="20"/>
          <w:szCs w:val="20"/>
        </w:rPr>
        <w:t>résultant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présence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micro-organismes</w:t>
      </w:r>
      <w:r w:rsidR="00DB1635" w:rsidRPr="00B004EE">
        <w:rPr>
          <w:rFonts w:ascii="Tahoma" w:hAnsi="Tahoma" w:cs="Tahoma"/>
          <w:sz w:val="20"/>
          <w:szCs w:val="20"/>
        </w:rPr>
        <w:t xml:space="preserve"> </w:t>
      </w:r>
      <w:r w:rsidRPr="00B004EE">
        <w:rPr>
          <w:rFonts w:ascii="Tahoma" w:hAnsi="Tahoma" w:cs="Tahoma"/>
          <w:sz w:val="20"/>
          <w:szCs w:val="20"/>
        </w:rPr>
        <w:t>pathogènes,</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exemple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Cryptosporidium.</w:t>
      </w:r>
    </w:p>
    <w:p w14:paraId="46B343F0" w14:textId="3B35AD5F" w:rsidR="008105B4" w:rsidRPr="00B004EE" w:rsidRDefault="008105B4" w:rsidP="00B004EE">
      <w:pPr>
        <w:tabs>
          <w:tab w:val="left" w:pos="0"/>
          <w:tab w:val="left" w:pos="3070"/>
          <w:tab w:val="left" w:pos="4605"/>
          <w:tab w:val="left" w:pos="6140"/>
          <w:tab w:val="left" w:pos="7675"/>
          <w:tab w:val="left" w:pos="9210"/>
        </w:tabs>
        <w:ind w:left="993" w:hanging="851"/>
        <w:jc w:val="both"/>
        <w:rPr>
          <w:rFonts w:ascii="Tahoma" w:hAnsi="Tahoma" w:cs="Tahoma"/>
          <w:sz w:val="20"/>
          <w:szCs w:val="20"/>
        </w:rPr>
      </w:pPr>
      <w:r w:rsidRPr="00B004EE">
        <w:rPr>
          <w:rFonts w:ascii="Tahoma" w:hAnsi="Tahoma" w:cs="Tahoma"/>
          <w:sz w:val="20"/>
          <w:szCs w:val="20"/>
        </w:rPr>
        <w:t>Note</w:t>
      </w:r>
      <w:r w:rsidR="00DB1635" w:rsidRPr="00B004EE">
        <w:rPr>
          <w:rFonts w:ascii="Tahoma" w:hAnsi="Tahoma" w:cs="Tahoma"/>
          <w:sz w:val="20"/>
          <w:szCs w:val="20"/>
        </w:rPr>
        <w:t xml:space="preserve"> </w:t>
      </w:r>
      <w:r w:rsidRPr="00B004EE">
        <w:rPr>
          <w:rFonts w:ascii="Tahoma" w:hAnsi="Tahoma" w:cs="Tahoma"/>
          <w:sz w:val="20"/>
          <w:szCs w:val="20"/>
        </w:rPr>
        <w:t>4</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Absence</w:t>
      </w:r>
      <w:r w:rsidR="00DB1635" w:rsidRPr="00B004EE">
        <w:rPr>
          <w:rFonts w:ascii="Tahoma" w:hAnsi="Tahoma" w:cs="Tahoma"/>
          <w:sz w:val="20"/>
          <w:szCs w:val="20"/>
        </w:rPr>
        <w:t xml:space="preserve"> </w:t>
      </w:r>
      <w:r w:rsidRPr="00B004EE">
        <w:rPr>
          <w:rFonts w:ascii="Tahoma" w:hAnsi="Tahoma" w:cs="Tahoma"/>
          <w:sz w:val="20"/>
          <w:szCs w:val="20"/>
        </w:rPr>
        <w:t>d’odeur,</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saveur</w:t>
      </w:r>
      <w:r w:rsidR="00DB1635" w:rsidRPr="00B004EE">
        <w:rPr>
          <w:rFonts w:ascii="Tahoma" w:hAnsi="Tahoma" w:cs="Tahoma"/>
          <w:sz w:val="20"/>
          <w:szCs w:val="20"/>
        </w:rPr>
        <w:t xml:space="preserve"> </w:t>
      </w:r>
      <w:r w:rsidRPr="00B004EE">
        <w:rPr>
          <w:rFonts w:ascii="Tahoma" w:hAnsi="Tahoma" w:cs="Tahoma"/>
          <w:sz w:val="20"/>
          <w:szCs w:val="20"/>
        </w:rPr>
        <w:t>désagréable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aucun</w:t>
      </w:r>
      <w:r w:rsidR="00DB1635" w:rsidRPr="00B004EE">
        <w:rPr>
          <w:rFonts w:ascii="Tahoma" w:hAnsi="Tahoma" w:cs="Tahoma"/>
          <w:sz w:val="20"/>
          <w:szCs w:val="20"/>
        </w:rPr>
        <w:t xml:space="preserve"> </w:t>
      </w:r>
      <w:r w:rsidRPr="00B004EE">
        <w:rPr>
          <w:rFonts w:ascii="Tahoma" w:hAnsi="Tahoma" w:cs="Tahoma"/>
          <w:sz w:val="20"/>
          <w:szCs w:val="20"/>
        </w:rPr>
        <w:t>changement</w:t>
      </w:r>
      <w:r w:rsidR="00DB1635" w:rsidRPr="00B004EE">
        <w:rPr>
          <w:rFonts w:ascii="Tahoma" w:hAnsi="Tahoma" w:cs="Tahoma"/>
          <w:sz w:val="20"/>
          <w:szCs w:val="20"/>
        </w:rPr>
        <w:t xml:space="preserve"> </w:t>
      </w:r>
      <w:r w:rsidRPr="00B004EE">
        <w:rPr>
          <w:rFonts w:ascii="Tahoma" w:hAnsi="Tahoma" w:cs="Tahoma"/>
          <w:sz w:val="20"/>
          <w:szCs w:val="20"/>
        </w:rPr>
        <w:t>anormal</w:t>
      </w:r>
    </w:p>
    <w:p w14:paraId="66423776" w14:textId="1F697452" w:rsidR="008105B4" w:rsidRPr="00B004EE" w:rsidRDefault="008105B4" w:rsidP="00B004EE">
      <w:pPr>
        <w:tabs>
          <w:tab w:val="left" w:pos="0"/>
          <w:tab w:val="left" w:pos="3070"/>
          <w:tab w:val="left" w:pos="4605"/>
          <w:tab w:val="left" w:pos="6140"/>
          <w:tab w:val="left" w:pos="7675"/>
          <w:tab w:val="left" w:pos="9210"/>
        </w:tabs>
        <w:ind w:left="993" w:hanging="851"/>
        <w:jc w:val="both"/>
        <w:rPr>
          <w:rFonts w:ascii="Tahoma" w:hAnsi="Tahoma" w:cs="Tahoma"/>
          <w:sz w:val="20"/>
          <w:szCs w:val="20"/>
        </w:rPr>
      </w:pPr>
      <w:r w:rsidRPr="00B004EE">
        <w:rPr>
          <w:rFonts w:ascii="Tahoma" w:hAnsi="Tahoma" w:cs="Tahoma"/>
          <w:sz w:val="20"/>
          <w:szCs w:val="20"/>
        </w:rPr>
        <w:t>Note</w:t>
      </w:r>
      <w:r w:rsidR="00DB1635" w:rsidRPr="00B004EE">
        <w:rPr>
          <w:rFonts w:ascii="Tahoma" w:hAnsi="Tahoma" w:cs="Tahoma"/>
          <w:sz w:val="20"/>
          <w:szCs w:val="20"/>
        </w:rPr>
        <w:t xml:space="preserve"> </w:t>
      </w:r>
      <w:r w:rsidRPr="00B004EE">
        <w:rPr>
          <w:rFonts w:ascii="Tahoma" w:hAnsi="Tahoma" w:cs="Tahoma"/>
          <w:sz w:val="20"/>
          <w:szCs w:val="20"/>
        </w:rPr>
        <w:t>5</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eaux</w:t>
      </w:r>
      <w:r w:rsidR="00DB1635" w:rsidRPr="00B004EE">
        <w:rPr>
          <w:rFonts w:ascii="Tahoma" w:hAnsi="Tahoma" w:cs="Tahoma"/>
          <w:sz w:val="20"/>
          <w:szCs w:val="20"/>
        </w:rPr>
        <w:t xml:space="preserve"> </w:t>
      </w:r>
      <w:r w:rsidRPr="00B004EE">
        <w:rPr>
          <w:rFonts w:ascii="Tahoma" w:hAnsi="Tahoma" w:cs="Tahoma"/>
          <w:sz w:val="20"/>
          <w:szCs w:val="20"/>
        </w:rPr>
        <w:t>ne</w:t>
      </w:r>
      <w:r w:rsidR="00DB1635" w:rsidRPr="00B004EE">
        <w:rPr>
          <w:rFonts w:ascii="Tahoma" w:hAnsi="Tahoma" w:cs="Tahoma"/>
          <w:sz w:val="20"/>
          <w:szCs w:val="20"/>
        </w:rPr>
        <w:t xml:space="preserve"> </w:t>
      </w:r>
      <w:r w:rsidRPr="00B004EE">
        <w:rPr>
          <w:rFonts w:ascii="Tahoma" w:hAnsi="Tahoma" w:cs="Tahoma"/>
          <w:sz w:val="20"/>
          <w:szCs w:val="20"/>
        </w:rPr>
        <w:t>doivent</w:t>
      </w:r>
      <w:r w:rsidR="00DB1635" w:rsidRPr="00B004EE">
        <w:rPr>
          <w:rFonts w:ascii="Tahoma" w:hAnsi="Tahoma" w:cs="Tahoma"/>
          <w:sz w:val="20"/>
          <w:szCs w:val="20"/>
        </w:rPr>
        <w:t xml:space="preserve"> </w:t>
      </w:r>
      <w:r w:rsidRPr="00B004EE">
        <w:rPr>
          <w:rFonts w:ascii="Tahoma" w:hAnsi="Tahoma" w:cs="Tahoma"/>
          <w:sz w:val="20"/>
          <w:szCs w:val="20"/>
        </w:rPr>
        <w:t>pas</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agressives.</w:t>
      </w:r>
      <w:r w:rsidR="00DB1635" w:rsidRPr="00B004EE">
        <w:rPr>
          <w:rFonts w:ascii="Tahoma" w:hAnsi="Tahoma" w:cs="Tahoma"/>
          <w:sz w:val="20"/>
          <w:szCs w:val="20"/>
        </w:rPr>
        <w:t xml:space="preserve"> </w:t>
      </w:r>
    </w:p>
    <w:p w14:paraId="34355AD9" w14:textId="1C5FA56D" w:rsidR="008105B4" w:rsidRPr="00B004EE" w:rsidRDefault="008105B4" w:rsidP="00B004EE">
      <w:pPr>
        <w:tabs>
          <w:tab w:val="left" w:pos="0"/>
          <w:tab w:val="left" w:pos="3070"/>
          <w:tab w:val="left" w:pos="4605"/>
          <w:tab w:val="left" w:pos="6140"/>
          <w:tab w:val="left" w:pos="7675"/>
          <w:tab w:val="left" w:pos="9210"/>
        </w:tabs>
        <w:ind w:left="993" w:hanging="851"/>
        <w:jc w:val="both"/>
        <w:rPr>
          <w:rFonts w:ascii="Tahoma" w:hAnsi="Tahoma" w:cs="Tahoma"/>
          <w:sz w:val="20"/>
          <w:szCs w:val="20"/>
        </w:rPr>
      </w:pPr>
      <w:r w:rsidRPr="00B004EE">
        <w:rPr>
          <w:rFonts w:ascii="Tahoma" w:hAnsi="Tahoma" w:cs="Tahoma"/>
          <w:sz w:val="20"/>
          <w:szCs w:val="20"/>
        </w:rPr>
        <w:lastRenderedPageBreak/>
        <w:t>Note</w:t>
      </w:r>
      <w:r w:rsidR="00DB1635" w:rsidRPr="00B004EE">
        <w:rPr>
          <w:rFonts w:ascii="Tahoma" w:hAnsi="Tahoma" w:cs="Tahoma"/>
          <w:sz w:val="20"/>
          <w:szCs w:val="20"/>
        </w:rPr>
        <w:t xml:space="preserve"> </w:t>
      </w:r>
      <w:r w:rsidRPr="00B004EE">
        <w:rPr>
          <w:rFonts w:ascii="Tahoma" w:hAnsi="Tahoma" w:cs="Tahoma"/>
          <w:sz w:val="20"/>
          <w:szCs w:val="20"/>
        </w:rPr>
        <w:t>6</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Acceptable</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consommateurs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aucun</w:t>
      </w:r>
      <w:r w:rsidR="00DB1635" w:rsidRPr="00B004EE">
        <w:rPr>
          <w:rFonts w:ascii="Tahoma" w:hAnsi="Tahoma" w:cs="Tahoma"/>
          <w:sz w:val="20"/>
          <w:szCs w:val="20"/>
        </w:rPr>
        <w:t xml:space="preserve"> </w:t>
      </w:r>
      <w:r w:rsidRPr="00B004EE">
        <w:rPr>
          <w:rFonts w:ascii="Tahoma" w:hAnsi="Tahoma" w:cs="Tahoma"/>
          <w:sz w:val="20"/>
          <w:szCs w:val="20"/>
        </w:rPr>
        <w:t>changement</w:t>
      </w:r>
      <w:r w:rsidR="00DB1635" w:rsidRPr="00B004EE">
        <w:rPr>
          <w:rFonts w:ascii="Tahoma" w:hAnsi="Tahoma" w:cs="Tahoma"/>
          <w:sz w:val="20"/>
          <w:szCs w:val="20"/>
        </w:rPr>
        <w:t xml:space="preserve"> </w:t>
      </w:r>
      <w:r w:rsidRPr="00B004EE">
        <w:rPr>
          <w:rFonts w:ascii="Tahoma" w:hAnsi="Tahoma" w:cs="Tahoma"/>
          <w:sz w:val="20"/>
          <w:szCs w:val="20"/>
        </w:rPr>
        <w:t>anormal</w:t>
      </w:r>
    </w:p>
    <w:p w14:paraId="3C3F1B6D" w14:textId="4F8110E7" w:rsidR="008105B4" w:rsidRPr="00B004EE" w:rsidRDefault="008105B4" w:rsidP="00B004EE">
      <w:pPr>
        <w:tabs>
          <w:tab w:val="left" w:pos="0"/>
          <w:tab w:val="left" w:pos="3070"/>
          <w:tab w:val="left" w:pos="4605"/>
          <w:tab w:val="left" w:pos="6140"/>
          <w:tab w:val="left" w:pos="7675"/>
          <w:tab w:val="left" w:pos="9210"/>
        </w:tabs>
        <w:ind w:left="993" w:hanging="851"/>
        <w:jc w:val="both"/>
        <w:rPr>
          <w:rFonts w:ascii="Tahoma" w:hAnsi="Tahoma" w:cs="Tahoma"/>
          <w:sz w:val="20"/>
          <w:szCs w:val="20"/>
        </w:rPr>
      </w:pPr>
      <w:r w:rsidRPr="00B004EE">
        <w:rPr>
          <w:rFonts w:ascii="Tahoma" w:hAnsi="Tahoma" w:cs="Tahoma"/>
          <w:sz w:val="20"/>
          <w:szCs w:val="20"/>
        </w:rPr>
        <w:t>Note</w:t>
      </w:r>
      <w:r w:rsidR="00DB1635" w:rsidRPr="00B004EE">
        <w:rPr>
          <w:rFonts w:ascii="Tahoma" w:hAnsi="Tahoma" w:cs="Tahoma"/>
          <w:sz w:val="20"/>
          <w:szCs w:val="20"/>
        </w:rPr>
        <w:t xml:space="preserve"> </w:t>
      </w:r>
      <w:r w:rsidRPr="00B004EE">
        <w:rPr>
          <w:rFonts w:ascii="Tahoma" w:hAnsi="Tahoma" w:cs="Tahoma"/>
          <w:sz w:val="20"/>
          <w:szCs w:val="20"/>
        </w:rPr>
        <w:t>7</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Seulement</w:t>
      </w:r>
      <w:r w:rsidR="00DB1635" w:rsidRPr="00B004EE">
        <w:rPr>
          <w:rFonts w:ascii="Tahoma" w:hAnsi="Tahoma" w:cs="Tahoma"/>
          <w:sz w:val="20"/>
          <w:szCs w:val="20"/>
        </w:rPr>
        <w:t xml:space="preserve"> </w:t>
      </w:r>
      <w:r w:rsidRPr="00B004EE">
        <w:rPr>
          <w:rFonts w:ascii="Tahoma" w:hAnsi="Tahoma" w:cs="Tahoma"/>
          <w:sz w:val="20"/>
          <w:szCs w:val="20"/>
        </w:rPr>
        <w:t>nécessaire</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cas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traitement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démanganisation</w:t>
      </w:r>
    </w:p>
    <w:p w14:paraId="5327209E" w14:textId="02782713" w:rsidR="008105B4" w:rsidRPr="00B004EE" w:rsidRDefault="008105B4" w:rsidP="00B004EE">
      <w:pPr>
        <w:tabs>
          <w:tab w:val="left" w:pos="0"/>
          <w:tab w:val="left" w:pos="3070"/>
          <w:tab w:val="left" w:pos="4605"/>
          <w:tab w:val="left" w:pos="6140"/>
          <w:tab w:val="left" w:pos="7675"/>
          <w:tab w:val="left" w:pos="9210"/>
        </w:tabs>
        <w:ind w:left="993" w:hanging="851"/>
        <w:jc w:val="both"/>
        <w:rPr>
          <w:rFonts w:ascii="Tahoma" w:hAnsi="Tahoma" w:cs="Tahoma"/>
          <w:sz w:val="20"/>
          <w:szCs w:val="20"/>
        </w:rPr>
      </w:pPr>
      <w:r w:rsidRPr="00B004EE">
        <w:rPr>
          <w:rFonts w:ascii="Tahoma" w:hAnsi="Tahoma" w:cs="Tahoma"/>
          <w:sz w:val="20"/>
          <w:szCs w:val="20"/>
        </w:rPr>
        <w:t>Note</w:t>
      </w:r>
      <w:r w:rsidR="00DB1635" w:rsidRPr="00B004EE">
        <w:rPr>
          <w:rFonts w:ascii="Tahoma" w:hAnsi="Tahoma" w:cs="Tahoma"/>
          <w:sz w:val="20"/>
          <w:szCs w:val="20"/>
        </w:rPr>
        <w:t xml:space="preserve"> </w:t>
      </w:r>
      <w:r w:rsidRPr="00B004EE">
        <w:rPr>
          <w:rFonts w:ascii="Tahoma" w:hAnsi="Tahoma" w:cs="Tahoma"/>
          <w:sz w:val="20"/>
          <w:szCs w:val="20"/>
        </w:rPr>
        <w:t>8</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Ce</w:t>
      </w:r>
      <w:r w:rsidR="00DB1635" w:rsidRPr="00B004EE">
        <w:rPr>
          <w:rFonts w:ascii="Tahoma" w:hAnsi="Tahoma" w:cs="Tahoma"/>
          <w:sz w:val="20"/>
          <w:szCs w:val="20"/>
        </w:rPr>
        <w:t xml:space="preserve"> </w:t>
      </w:r>
      <w:r w:rsidRPr="00B004EE">
        <w:rPr>
          <w:rFonts w:ascii="Tahoma" w:hAnsi="Tahoma" w:cs="Tahoma"/>
          <w:sz w:val="20"/>
          <w:szCs w:val="20"/>
        </w:rPr>
        <w:t>paramètre</w:t>
      </w:r>
      <w:r w:rsidR="00DB1635" w:rsidRPr="00B004EE">
        <w:rPr>
          <w:rFonts w:ascii="Tahoma" w:hAnsi="Tahoma" w:cs="Tahoma"/>
          <w:sz w:val="20"/>
          <w:szCs w:val="20"/>
        </w:rPr>
        <w:t xml:space="preserve"> </w:t>
      </w:r>
      <w:r w:rsidRPr="00B004EE">
        <w:rPr>
          <w:rFonts w:ascii="Tahoma" w:hAnsi="Tahoma" w:cs="Tahoma"/>
          <w:sz w:val="20"/>
          <w:szCs w:val="20"/>
        </w:rPr>
        <w:t>doit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recherché</w:t>
      </w:r>
      <w:r w:rsidR="00DB1635" w:rsidRPr="00B004EE">
        <w:rPr>
          <w:rFonts w:ascii="Tahoma" w:hAnsi="Tahoma" w:cs="Tahoma"/>
          <w:sz w:val="20"/>
          <w:szCs w:val="20"/>
        </w:rPr>
        <w:t xml:space="preserve"> </w:t>
      </w:r>
      <w:r w:rsidRPr="00B004EE">
        <w:rPr>
          <w:rFonts w:ascii="Tahoma" w:hAnsi="Tahoma" w:cs="Tahoma"/>
          <w:sz w:val="20"/>
          <w:szCs w:val="20"/>
        </w:rPr>
        <w:t>lorsque</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COT</w:t>
      </w:r>
      <w:r w:rsidR="00DB1635" w:rsidRPr="00B004EE">
        <w:rPr>
          <w:rFonts w:ascii="Tahoma" w:hAnsi="Tahoma" w:cs="Tahoma"/>
          <w:sz w:val="20"/>
          <w:szCs w:val="20"/>
        </w:rPr>
        <w:t xml:space="preserve"> </w:t>
      </w:r>
      <w:r w:rsidRPr="00B004EE">
        <w:rPr>
          <w:rFonts w:ascii="Tahoma" w:hAnsi="Tahoma" w:cs="Tahoma"/>
          <w:sz w:val="20"/>
          <w:szCs w:val="20"/>
        </w:rPr>
        <w:t>n'est</w:t>
      </w:r>
      <w:r w:rsidR="00DB1635" w:rsidRPr="00B004EE">
        <w:rPr>
          <w:rFonts w:ascii="Tahoma" w:hAnsi="Tahoma" w:cs="Tahoma"/>
          <w:sz w:val="20"/>
          <w:szCs w:val="20"/>
        </w:rPr>
        <w:t xml:space="preserve"> </w:t>
      </w:r>
      <w:r w:rsidRPr="00B004EE">
        <w:rPr>
          <w:rFonts w:ascii="Tahoma" w:hAnsi="Tahoma" w:cs="Tahoma"/>
          <w:sz w:val="20"/>
          <w:szCs w:val="20"/>
        </w:rPr>
        <w:t>pas</w:t>
      </w:r>
      <w:r w:rsidR="00DB1635" w:rsidRPr="00B004EE">
        <w:rPr>
          <w:rFonts w:ascii="Tahoma" w:hAnsi="Tahoma" w:cs="Tahoma"/>
          <w:sz w:val="20"/>
          <w:szCs w:val="20"/>
        </w:rPr>
        <w:t xml:space="preserve"> </w:t>
      </w:r>
      <w:r w:rsidRPr="00B004EE">
        <w:rPr>
          <w:rFonts w:ascii="Tahoma" w:hAnsi="Tahoma" w:cs="Tahoma"/>
          <w:sz w:val="20"/>
          <w:szCs w:val="20"/>
        </w:rPr>
        <w:t>analysé.</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mesure</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effectuée</w:t>
      </w:r>
      <w:r w:rsidR="00DB1635" w:rsidRPr="00B004EE">
        <w:rPr>
          <w:rFonts w:ascii="Tahoma" w:hAnsi="Tahoma" w:cs="Tahoma"/>
          <w:sz w:val="20"/>
          <w:szCs w:val="20"/>
        </w:rPr>
        <w:t xml:space="preserve"> </w:t>
      </w:r>
      <w:r w:rsidRPr="00B004EE">
        <w:rPr>
          <w:rFonts w:ascii="Tahoma" w:hAnsi="Tahoma" w:cs="Tahoma"/>
          <w:sz w:val="20"/>
          <w:szCs w:val="20"/>
        </w:rPr>
        <w:t>après</w:t>
      </w:r>
      <w:r w:rsidR="00DB1635" w:rsidRPr="00B004EE">
        <w:rPr>
          <w:rFonts w:ascii="Tahoma" w:hAnsi="Tahoma" w:cs="Tahoma"/>
          <w:sz w:val="20"/>
          <w:szCs w:val="20"/>
        </w:rPr>
        <w:t xml:space="preserve"> </w:t>
      </w:r>
      <w:r w:rsidRPr="00B004EE">
        <w:rPr>
          <w:rFonts w:ascii="Tahoma" w:hAnsi="Tahoma" w:cs="Tahoma"/>
          <w:sz w:val="20"/>
          <w:szCs w:val="20"/>
        </w:rPr>
        <w:t>10</w:t>
      </w:r>
      <w:r w:rsidR="00DB1635" w:rsidRPr="00B004EE">
        <w:rPr>
          <w:rFonts w:ascii="Tahoma" w:hAnsi="Tahoma" w:cs="Tahoma"/>
          <w:sz w:val="20"/>
          <w:szCs w:val="20"/>
        </w:rPr>
        <w:t xml:space="preserve"> </w:t>
      </w:r>
      <w:r w:rsidRPr="00B004EE">
        <w:rPr>
          <w:rFonts w:ascii="Tahoma" w:hAnsi="Tahoma" w:cs="Tahoma"/>
          <w:sz w:val="20"/>
          <w:szCs w:val="20"/>
        </w:rPr>
        <w:t>minutes</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milieu</w:t>
      </w:r>
      <w:r w:rsidR="00DB1635" w:rsidRPr="00B004EE">
        <w:rPr>
          <w:rFonts w:ascii="Tahoma" w:hAnsi="Tahoma" w:cs="Tahoma"/>
          <w:sz w:val="20"/>
          <w:szCs w:val="20"/>
        </w:rPr>
        <w:t xml:space="preserve"> </w:t>
      </w:r>
      <w:r w:rsidRPr="00B004EE">
        <w:rPr>
          <w:rFonts w:ascii="Tahoma" w:hAnsi="Tahoma" w:cs="Tahoma"/>
          <w:sz w:val="20"/>
          <w:szCs w:val="20"/>
        </w:rPr>
        <w:t>acide.</w:t>
      </w:r>
    </w:p>
    <w:p w14:paraId="70E81361" w14:textId="01724E77" w:rsidR="008105B4" w:rsidRPr="00B004EE" w:rsidRDefault="008105B4" w:rsidP="00B004EE">
      <w:pPr>
        <w:tabs>
          <w:tab w:val="left" w:pos="0"/>
          <w:tab w:val="left" w:pos="3070"/>
          <w:tab w:val="left" w:pos="4605"/>
          <w:tab w:val="left" w:pos="6140"/>
          <w:tab w:val="left" w:pos="7675"/>
          <w:tab w:val="left" w:pos="9210"/>
        </w:tabs>
        <w:ind w:left="993" w:hanging="851"/>
        <w:jc w:val="both"/>
        <w:rPr>
          <w:rFonts w:ascii="Tahoma" w:hAnsi="Tahoma" w:cs="Tahoma"/>
          <w:sz w:val="20"/>
          <w:szCs w:val="20"/>
        </w:rPr>
      </w:pPr>
      <w:r w:rsidRPr="00B004EE">
        <w:rPr>
          <w:rFonts w:ascii="Tahoma" w:hAnsi="Tahoma" w:cs="Tahoma"/>
          <w:sz w:val="20"/>
          <w:szCs w:val="20"/>
        </w:rPr>
        <w:t>Note</w:t>
      </w:r>
      <w:r w:rsidR="00DB1635" w:rsidRPr="00B004EE">
        <w:rPr>
          <w:rFonts w:ascii="Tahoma" w:hAnsi="Tahoma" w:cs="Tahoma"/>
          <w:sz w:val="20"/>
          <w:szCs w:val="20"/>
        </w:rPr>
        <w:t xml:space="preserve"> </w:t>
      </w:r>
      <w:r w:rsidRPr="00B004EE">
        <w:rPr>
          <w:rFonts w:ascii="Tahoma" w:hAnsi="Tahoma" w:cs="Tahoma"/>
          <w:sz w:val="20"/>
          <w:szCs w:val="20"/>
        </w:rPr>
        <w:t>9</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cas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traitement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eaux</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surface,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limite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qualité</w:t>
      </w:r>
      <w:r w:rsidR="00DB1635" w:rsidRPr="00B004EE">
        <w:rPr>
          <w:rFonts w:ascii="Tahoma" w:hAnsi="Tahoma" w:cs="Tahoma"/>
          <w:sz w:val="20"/>
          <w:szCs w:val="20"/>
        </w:rPr>
        <w:t xml:space="preserve"> </w:t>
      </w:r>
      <w:r w:rsidRPr="00B004EE">
        <w:rPr>
          <w:rFonts w:ascii="Tahoma" w:hAnsi="Tahoma" w:cs="Tahoma"/>
          <w:sz w:val="20"/>
          <w:szCs w:val="20"/>
        </w:rPr>
        <w:t>ne</w:t>
      </w:r>
      <w:r w:rsidR="00DB1635" w:rsidRPr="00B004EE">
        <w:rPr>
          <w:rFonts w:ascii="Tahoma" w:hAnsi="Tahoma" w:cs="Tahoma"/>
          <w:sz w:val="20"/>
          <w:szCs w:val="20"/>
        </w:rPr>
        <w:t xml:space="preserve"> </w:t>
      </w:r>
      <w:r w:rsidRPr="00B004EE">
        <w:rPr>
          <w:rFonts w:ascii="Tahoma" w:hAnsi="Tahoma" w:cs="Tahoma"/>
          <w:sz w:val="20"/>
          <w:szCs w:val="20"/>
        </w:rPr>
        <w:t>devrait</w:t>
      </w:r>
      <w:r w:rsidR="00DB1635" w:rsidRPr="00B004EE">
        <w:rPr>
          <w:rFonts w:ascii="Tahoma" w:hAnsi="Tahoma" w:cs="Tahoma"/>
          <w:sz w:val="20"/>
          <w:szCs w:val="20"/>
        </w:rPr>
        <w:t xml:space="preserve"> </w:t>
      </w:r>
      <w:r w:rsidRPr="00B004EE">
        <w:rPr>
          <w:rFonts w:ascii="Tahoma" w:hAnsi="Tahoma" w:cs="Tahoma"/>
          <w:sz w:val="20"/>
          <w:szCs w:val="20"/>
        </w:rPr>
        <w:t>pas</w:t>
      </w:r>
      <w:r w:rsidR="00DB1635" w:rsidRPr="00B004EE">
        <w:rPr>
          <w:rFonts w:ascii="Tahoma" w:hAnsi="Tahoma" w:cs="Tahoma"/>
          <w:sz w:val="20"/>
          <w:szCs w:val="20"/>
        </w:rPr>
        <w:t xml:space="preserve"> </w:t>
      </w:r>
      <w:r w:rsidRPr="00B004EE">
        <w:rPr>
          <w:rFonts w:ascii="Tahoma" w:hAnsi="Tahoma" w:cs="Tahoma"/>
          <w:sz w:val="20"/>
          <w:szCs w:val="20"/>
        </w:rPr>
        <w:t>dépasser</w:t>
      </w:r>
      <w:r w:rsidR="00DB1635" w:rsidRPr="00B004EE">
        <w:rPr>
          <w:rFonts w:ascii="Tahoma" w:hAnsi="Tahoma" w:cs="Tahoma"/>
          <w:sz w:val="20"/>
          <w:szCs w:val="20"/>
        </w:rPr>
        <w:t xml:space="preserve"> </w:t>
      </w:r>
      <w:r w:rsidRPr="00B004EE">
        <w:rPr>
          <w:rFonts w:ascii="Tahoma" w:hAnsi="Tahoma" w:cs="Tahoma"/>
          <w:sz w:val="20"/>
          <w:szCs w:val="20"/>
        </w:rPr>
        <w:t>1,0</w:t>
      </w:r>
      <w:r w:rsidR="00DB1635" w:rsidRPr="00B004EE">
        <w:rPr>
          <w:rFonts w:ascii="Tahoma" w:hAnsi="Tahoma" w:cs="Tahoma"/>
          <w:sz w:val="20"/>
          <w:szCs w:val="20"/>
        </w:rPr>
        <w:t xml:space="preserve"> </w:t>
      </w:r>
      <w:r w:rsidRPr="00B004EE">
        <w:rPr>
          <w:rFonts w:ascii="Tahoma" w:hAnsi="Tahoma" w:cs="Tahoma"/>
          <w:sz w:val="20"/>
          <w:szCs w:val="20"/>
        </w:rPr>
        <w:t>NTU</w:t>
      </w:r>
      <w:r w:rsidR="00DB1635" w:rsidRPr="00B004EE">
        <w:rPr>
          <w:rFonts w:ascii="Tahoma" w:hAnsi="Tahoma" w:cs="Tahoma"/>
          <w:sz w:val="20"/>
          <w:szCs w:val="20"/>
        </w:rPr>
        <w:t xml:space="preserve"> </w:t>
      </w:r>
      <w:r w:rsidRPr="00B004EE">
        <w:rPr>
          <w:rFonts w:ascii="Tahoma" w:hAnsi="Tahoma" w:cs="Tahoma"/>
          <w:sz w:val="20"/>
          <w:szCs w:val="20"/>
        </w:rPr>
        <w:t>(Nephelometric</w:t>
      </w:r>
      <w:r w:rsidR="00DB1635" w:rsidRPr="00B004EE">
        <w:rPr>
          <w:rFonts w:ascii="Tahoma" w:hAnsi="Tahoma" w:cs="Tahoma"/>
          <w:sz w:val="20"/>
          <w:szCs w:val="20"/>
        </w:rPr>
        <w:t xml:space="preserve"> </w:t>
      </w:r>
      <w:r w:rsidRPr="00B004EE">
        <w:rPr>
          <w:rFonts w:ascii="Tahoma" w:hAnsi="Tahoma" w:cs="Tahoma"/>
          <w:sz w:val="20"/>
          <w:szCs w:val="20"/>
        </w:rPr>
        <w:t>Turbidity</w:t>
      </w:r>
      <w:r w:rsidR="00DB1635" w:rsidRPr="00B004EE">
        <w:rPr>
          <w:rFonts w:ascii="Tahoma" w:hAnsi="Tahoma" w:cs="Tahoma"/>
          <w:sz w:val="20"/>
          <w:szCs w:val="20"/>
        </w:rPr>
        <w:t xml:space="preserve"> </w:t>
      </w:r>
      <w:r w:rsidRPr="00B004EE">
        <w:rPr>
          <w:rFonts w:ascii="Tahoma" w:hAnsi="Tahoma" w:cs="Tahoma"/>
          <w:sz w:val="20"/>
          <w:szCs w:val="20"/>
        </w:rPr>
        <w:t>Unit)</w:t>
      </w:r>
    </w:p>
    <w:p w14:paraId="123C6967" w14:textId="77777777" w:rsidR="008105B4" w:rsidRPr="00B004EE" w:rsidRDefault="008105B4" w:rsidP="00B004EE">
      <w:pPr>
        <w:tabs>
          <w:tab w:val="left" w:pos="284"/>
          <w:tab w:val="left" w:pos="3070"/>
          <w:tab w:val="left" w:pos="4605"/>
          <w:tab w:val="left" w:pos="6140"/>
          <w:tab w:val="left" w:pos="7675"/>
          <w:tab w:val="left" w:pos="9210"/>
        </w:tabs>
        <w:ind w:left="284" w:hanging="283"/>
        <w:jc w:val="both"/>
        <w:rPr>
          <w:rFonts w:ascii="Tahoma" w:hAnsi="Tahoma" w:cs="Tahoma"/>
          <w:sz w:val="20"/>
          <w:szCs w:val="20"/>
        </w:rPr>
      </w:pPr>
    </w:p>
    <w:p w14:paraId="47C6CD78" w14:textId="3BA807DB" w:rsidR="008105B4" w:rsidRPr="00B004EE" w:rsidRDefault="008105B4" w:rsidP="00B004EE">
      <w:pPr>
        <w:jc w:val="both"/>
        <w:rPr>
          <w:rFonts w:ascii="Tahoma" w:hAnsi="Tahoma" w:cs="Tahoma"/>
          <w:b/>
          <w:sz w:val="20"/>
          <w:szCs w:val="20"/>
        </w:rPr>
      </w:pPr>
      <w:r w:rsidRPr="00B004EE">
        <w:rPr>
          <w:rFonts w:ascii="Tahoma" w:hAnsi="Tahoma" w:cs="Tahoma"/>
          <w:b/>
          <w:caps/>
          <w:sz w:val="20"/>
          <w:szCs w:val="20"/>
        </w:rPr>
        <w:t>T</w:t>
      </w:r>
      <w:r w:rsidRPr="00B004EE">
        <w:rPr>
          <w:rFonts w:ascii="Tahoma" w:hAnsi="Tahoma" w:cs="Tahoma"/>
          <w:b/>
          <w:sz w:val="20"/>
          <w:szCs w:val="20"/>
        </w:rPr>
        <w:t>ableau</w:t>
      </w:r>
      <w:r w:rsidR="00DB1635" w:rsidRPr="00B004EE">
        <w:rPr>
          <w:rFonts w:ascii="Tahoma" w:hAnsi="Tahoma" w:cs="Tahoma"/>
          <w:b/>
          <w:sz w:val="20"/>
          <w:szCs w:val="20"/>
        </w:rPr>
        <w:t xml:space="preserve"> </w:t>
      </w:r>
      <w:r w:rsidRPr="00B004EE">
        <w:rPr>
          <w:rFonts w:ascii="Tahoma" w:hAnsi="Tahoma" w:cs="Tahoma"/>
          <w:b/>
          <w:sz w:val="20"/>
          <w:szCs w:val="20"/>
        </w:rPr>
        <w:t>C</w:t>
      </w:r>
      <w:r w:rsidRPr="00B004EE">
        <w:rPr>
          <w:rFonts w:ascii="Tahoma" w:hAnsi="Tahoma" w:cs="Tahoma"/>
          <w:b/>
          <w:sz w:val="20"/>
          <w:szCs w:val="20"/>
          <w:vertAlign w:val="subscript"/>
        </w:rPr>
        <w:t>B</w:t>
      </w:r>
      <w:r w:rsidR="00DB1635" w:rsidRPr="00B004EE">
        <w:rPr>
          <w:rFonts w:ascii="Tahoma" w:hAnsi="Tahoma" w:cs="Tahoma"/>
          <w:b/>
          <w:sz w:val="20"/>
          <w:szCs w:val="20"/>
        </w:rPr>
        <w:t xml:space="preserve"> </w:t>
      </w:r>
      <w:r w:rsidRPr="00B004EE">
        <w:rPr>
          <w:rFonts w:ascii="Tahoma" w:hAnsi="Tahoma" w:cs="Tahoma"/>
          <w:b/>
          <w:caps/>
          <w:sz w:val="20"/>
          <w:szCs w:val="20"/>
        </w:rPr>
        <w:t>:</w:t>
      </w:r>
      <w:r w:rsidR="00DB1635" w:rsidRPr="00B004EE">
        <w:rPr>
          <w:rFonts w:ascii="Tahoma" w:hAnsi="Tahoma" w:cs="Tahoma"/>
          <w:b/>
          <w:caps/>
          <w:sz w:val="20"/>
          <w:szCs w:val="20"/>
        </w:rPr>
        <w:t xml:space="preserve"> </w:t>
      </w:r>
      <w:r w:rsidRPr="00B004EE">
        <w:rPr>
          <w:rFonts w:ascii="Tahoma" w:hAnsi="Tahoma" w:cs="Tahoma"/>
          <w:b/>
          <w:sz w:val="20"/>
          <w:szCs w:val="20"/>
        </w:rPr>
        <w:t>Paramètres</w:t>
      </w:r>
      <w:r w:rsidR="00DB1635" w:rsidRPr="00B004EE">
        <w:rPr>
          <w:rFonts w:ascii="Tahoma" w:hAnsi="Tahoma" w:cs="Tahoma"/>
          <w:b/>
          <w:sz w:val="20"/>
          <w:szCs w:val="20"/>
        </w:rPr>
        <w:t xml:space="preserve"> </w:t>
      </w:r>
      <w:r w:rsidRPr="00B004EE">
        <w:rPr>
          <w:rFonts w:ascii="Tahoma" w:hAnsi="Tahoma" w:cs="Tahoma"/>
          <w:b/>
          <w:sz w:val="20"/>
          <w:szCs w:val="20"/>
        </w:rPr>
        <w:t>complémentaires</w:t>
      </w:r>
      <w:r w:rsidR="00DB1635" w:rsidRPr="00B004EE">
        <w:rPr>
          <w:rFonts w:ascii="Tahoma" w:hAnsi="Tahoma" w:cs="Tahoma"/>
          <w:b/>
          <w:sz w:val="20"/>
          <w:szCs w:val="20"/>
        </w:rPr>
        <w:t xml:space="preserve"> </w:t>
      </w:r>
      <w:r w:rsidRPr="00B004EE">
        <w:rPr>
          <w:rFonts w:ascii="Tahoma" w:hAnsi="Tahoma" w:cs="Tahoma"/>
          <w:b/>
          <w:sz w:val="20"/>
          <w:szCs w:val="20"/>
        </w:rPr>
        <w:t>et</w:t>
      </w:r>
      <w:r w:rsidR="00DB1635" w:rsidRPr="00B004EE">
        <w:rPr>
          <w:rFonts w:ascii="Tahoma" w:hAnsi="Tahoma" w:cs="Tahoma"/>
          <w:b/>
          <w:sz w:val="20"/>
          <w:szCs w:val="20"/>
        </w:rPr>
        <w:t xml:space="preserve"> </w:t>
      </w:r>
      <w:r w:rsidRPr="00B004EE">
        <w:rPr>
          <w:rFonts w:ascii="Tahoma" w:hAnsi="Tahoma" w:cs="Tahoma"/>
          <w:b/>
          <w:sz w:val="20"/>
          <w:szCs w:val="20"/>
        </w:rPr>
        <w:t>limites</w:t>
      </w:r>
      <w:r w:rsidR="00DB1635" w:rsidRPr="00B004EE">
        <w:rPr>
          <w:rFonts w:ascii="Tahoma" w:hAnsi="Tahoma" w:cs="Tahoma"/>
          <w:b/>
          <w:sz w:val="20"/>
          <w:szCs w:val="20"/>
        </w:rPr>
        <w:t xml:space="preserve"> </w:t>
      </w:r>
      <w:r w:rsidRPr="00B004EE">
        <w:rPr>
          <w:rFonts w:ascii="Tahoma" w:hAnsi="Tahoma" w:cs="Tahoma"/>
          <w:b/>
          <w:sz w:val="20"/>
          <w:szCs w:val="20"/>
        </w:rPr>
        <w:t>de</w:t>
      </w:r>
      <w:r w:rsidR="00DB1635" w:rsidRPr="00B004EE">
        <w:rPr>
          <w:rFonts w:ascii="Tahoma" w:hAnsi="Tahoma" w:cs="Tahoma"/>
          <w:b/>
          <w:sz w:val="20"/>
          <w:szCs w:val="20"/>
        </w:rPr>
        <w:t xml:space="preserve"> </w:t>
      </w:r>
      <w:r w:rsidRPr="00B004EE">
        <w:rPr>
          <w:rFonts w:ascii="Tahoma" w:hAnsi="Tahoma" w:cs="Tahoma"/>
          <w:b/>
          <w:sz w:val="20"/>
          <w:szCs w:val="20"/>
        </w:rPr>
        <w:t>qualité</w:t>
      </w:r>
      <w:r w:rsidR="00DB1635" w:rsidRPr="00B004EE">
        <w:rPr>
          <w:rFonts w:ascii="Tahoma" w:hAnsi="Tahoma" w:cs="Tahoma"/>
          <w:b/>
          <w:sz w:val="20"/>
          <w:szCs w:val="20"/>
        </w:rPr>
        <w:t xml:space="preserve"> </w:t>
      </w:r>
      <w:r w:rsidRPr="00B004EE">
        <w:rPr>
          <w:rFonts w:ascii="Tahoma" w:hAnsi="Tahoma" w:cs="Tahoma"/>
          <w:b/>
          <w:sz w:val="20"/>
          <w:szCs w:val="20"/>
        </w:rPr>
        <w:t>(*)</w:t>
      </w:r>
      <w:r w:rsidR="00DB1635" w:rsidRPr="00B004EE">
        <w:rPr>
          <w:rFonts w:ascii="Tahoma" w:hAnsi="Tahoma" w:cs="Tahoma"/>
          <w:b/>
          <w:sz w:val="20"/>
          <w:szCs w:val="20"/>
        </w:rPr>
        <w:t xml:space="preserve"> </w:t>
      </w:r>
      <w:r w:rsidRPr="00B004EE">
        <w:rPr>
          <w:rFonts w:ascii="Tahoma" w:hAnsi="Tahoma" w:cs="Tahoma"/>
          <w:b/>
          <w:sz w:val="20"/>
          <w:szCs w:val="20"/>
        </w:rPr>
        <w:t>pour</w:t>
      </w:r>
      <w:r w:rsidR="00DB1635" w:rsidRPr="00B004EE">
        <w:rPr>
          <w:rFonts w:ascii="Tahoma" w:hAnsi="Tahoma" w:cs="Tahoma"/>
          <w:b/>
          <w:sz w:val="20"/>
          <w:szCs w:val="20"/>
        </w:rPr>
        <w:t xml:space="preserve"> </w:t>
      </w:r>
      <w:r w:rsidRPr="00B004EE">
        <w:rPr>
          <w:rFonts w:ascii="Tahoma" w:hAnsi="Tahoma" w:cs="Tahoma"/>
          <w:b/>
          <w:sz w:val="20"/>
          <w:szCs w:val="20"/>
        </w:rPr>
        <w:t>le</w:t>
      </w:r>
      <w:r w:rsidR="00DB1635" w:rsidRPr="00B004EE">
        <w:rPr>
          <w:rFonts w:ascii="Tahoma" w:hAnsi="Tahoma" w:cs="Tahoma"/>
          <w:b/>
          <w:sz w:val="20"/>
          <w:szCs w:val="20"/>
        </w:rPr>
        <w:t xml:space="preserve"> </w:t>
      </w:r>
      <w:r w:rsidRPr="00B004EE">
        <w:rPr>
          <w:rFonts w:ascii="Tahoma" w:hAnsi="Tahoma" w:cs="Tahoma"/>
          <w:b/>
          <w:sz w:val="20"/>
          <w:szCs w:val="20"/>
        </w:rPr>
        <w:t>contrôle</w:t>
      </w:r>
      <w:r w:rsidR="00DB1635" w:rsidRPr="00B004EE">
        <w:rPr>
          <w:rFonts w:ascii="Tahoma" w:hAnsi="Tahoma" w:cs="Tahoma"/>
          <w:b/>
          <w:sz w:val="20"/>
          <w:szCs w:val="20"/>
        </w:rPr>
        <w:t xml:space="preserve"> </w:t>
      </w:r>
      <w:r w:rsidRPr="00B004EE">
        <w:rPr>
          <w:rFonts w:ascii="Tahoma" w:hAnsi="Tahoma" w:cs="Tahoma"/>
          <w:b/>
          <w:sz w:val="20"/>
          <w:szCs w:val="20"/>
        </w:rPr>
        <w:t>complet</w:t>
      </w:r>
    </w:p>
    <w:tbl>
      <w:tblPr>
        <w:tblW w:w="9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7"/>
        <w:gridCol w:w="3174"/>
        <w:gridCol w:w="2330"/>
        <w:gridCol w:w="2268"/>
        <w:gridCol w:w="1313"/>
      </w:tblGrid>
      <w:tr w:rsidR="00150C90" w:rsidRPr="00B004EE" w14:paraId="7F41CA14" w14:textId="77777777" w:rsidTr="00DE14A0">
        <w:trPr>
          <w:jc w:val="center"/>
        </w:trPr>
        <w:tc>
          <w:tcPr>
            <w:tcW w:w="587" w:type="dxa"/>
          </w:tcPr>
          <w:p w14:paraId="30C54FC8" w14:textId="77777777" w:rsidR="008105B4" w:rsidRPr="00B004EE" w:rsidRDefault="008105B4" w:rsidP="00B004EE">
            <w:pPr>
              <w:jc w:val="both"/>
              <w:rPr>
                <w:rFonts w:ascii="Tahoma" w:hAnsi="Tahoma" w:cs="Tahoma"/>
                <w:b/>
                <w:sz w:val="20"/>
                <w:szCs w:val="20"/>
              </w:rPr>
            </w:pPr>
            <w:r w:rsidRPr="00B004EE">
              <w:rPr>
                <w:rFonts w:ascii="Tahoma" w:hAnsi="Tahoma" w:cs="Tahoma"/>
                <w:b/>
                <w:sz w:val="20"/>
                <w:szCs w:val="20"/>
              </w:rPr>
              <w:t>N°</w:t>
            </w:r>
          </w:p>
        </w:tc>
        <w:tc>
          <w:tcPr>
            <w:tcW w:w="3174" w:type="dxa"/>
          </w:tcPr>
          <w:p w14:paraId="1C9287AC" w14:textId="77777777" w:rsidR="008105B4" w:rsidRPr="00B004EE" w:rsidRDefault="008105B4" w:rsidP="00B004EE">
            <w:pPr>
              <w:jc w:val="both"/>
              <w:rPr>
                <w:rFonts w:ascii="Tahoma" w:hAnsi="Tahoma" w:cs="Tahoma"/>
                <w:b/>
                <w:sz w:val="20"/>
                <w:szCs w:val="20"/>
              </w:rPr>
            </w:pPr>
            <w:r w:rsidRPr="00B004EE">
              <w:rPr>
                <w:rFonts w:ascii="Tahoma" w:hAnsi="Tahoma" w:cs="Tahoma"/>
                <w:b/>
                <w:sz w:val="20"/>
                <w:szCs w:val="20"/>
              </w:rPr>
              <w:t>Paramètres</w:t>
            </w:r>
          </w:p>
        </w:tc>
        <w:tc>
          <w:tcPr>
            <w:tcW w:w="2330" w:type="dxa"/>
          </w:tcPr>
          <w:p w14:paraId="3C6B870F" w14:textId="1BE97925" w:rsidR="008105B4" w:rsidRPr="00B004EE" w:rsidRDefault="008105B4" w:rsidP="00B004EE">
            <w:pPr>
              <w:jc w:val="both"/>
              <w:rPr>
                <w:rFonts w:ascii="Tahoma" w:hAnsi="Tahoma" w:cs="Tahoma"/>
                <w:b/>
                <w:sz w:val="20"/>
                <w:szCs w:val="20"/>
              </w:rPr>
            </w:pPr>
            <w:r w:rsidRPr="00B004EE">
              <w:rPr>
                <w:rFonts w:ascii="Tahoma" w:hAnsi="Tahoma" w:cs="Tahoma"/>
                <w:b/>
                <w:sz w:val="20"/>
                <w:szCs w:val="20"/>
              </w:rPr>
              <w:t>Limites</w:t>
            </w:r>
            <w:r w:rsidR="00DB1635" w:rsidRPr="00B004EE">
              <w:rPr>
                <w:rFonts w:ascii="Tahoma" w:hAnsi="Tahoma" w:cs="Tahoma"/>
                <w:b/>
                <w:sz w:val="20"/>
                <w:szCs w:val="20"/>
              </w:rPr>
              <w:t xml:space="preserve"> </w:t>
            </w:r>
            <w:r w:rsidRPr="00B004EE">
              <w:rPr>
                <w:rFonts w:ascii="Tahoma" w:hAnsi="Tahoma" w:cs="Tahoma"/>
                <w:b/>
                <w:sz w:val="20"/>
                <w:szCs w:val="20"/>
              </w:rPr>
              <w:t>de</w:t>
            </w:r>
            <w:r w:rsidR="00DB1635" w:rsidRPr="00B004EE">
              <w:rPr>
                <w:rFonts w:ascii="Tahoma" w:hAnsi="Tahoma" w:cs="Tahoma"/>
                <w:b/>
                <w:sz w:val="20"/>
                <w:szCs w:val="20"/>
              </w:rPr>
              <w:t xml:space="preserve"> </w:t>
            </w:r>
            <w:r w:rsidRPr="00B004EE">
              <w:rPr>
                <w:rFonts w:ascii="Tahoma" w:hAnsi="Tahoma" w:cs="Tahoma"/>
                <w:b/>
                <w:sz w:val="20"/>
                <w:szCs w:val="20"/>
              </w:rPr>
              <w:t>qualité</w:t>
            </w:r>
          </w:p>
        </w:tc>
        <w:tc>
          <w:tcPr>
            <w:tcW w:w="2268" w:type="dxa"/>
          </w:tcPr>
          <w:p w14:paraId="04291F6C" w14:textId="4095A5C5" w:rsidR="008105B4" w:rsidRPr="00B004EE" w:rsidRDefault="008105B4" w:rsidP="00B004EE">
            <w:pPr>
              <w:jc w:val="both"/>
              <w:rPr>
                <w:rFonts w:ascii="Tahoma" w:hAnsi="Tahoma" w:cs="Tahoma"/>
                <w:b/>
                <w:sz w:val="20"/>
                <w:szCs w:val="20"/>
              </w:rPr>
            </w:pPr>
            <w:r w:rsidRPr="00B004EE">
              <w:rPr>
                <w:rFonts w:ascii="Tahoma" w:hAnsi="Tahoma" w:cs="Tahoma"/>
                <w:b/>
                <w:sz w:val="20"/>
                <w:szCs w:val="20"/>
              </w:rPr>
              <w:t>Unités</w:t>
            </w:r>
            <w:r w:rsidR="00DB1635" w:rsidRPr="00B004EE">
              <w:rPr>
                <w:rFonts w:ascii="Tahoma" w:hAnsi="Tahoma" w:cs="Tahoma"/>
                <w:b/>
                <w:sz w:val="20"/>
                <w:szCs w:val="20"/>
              </w:rPr>
              <w:t xml:space="preserve"> </w:t>
            </w:r>
            <w:r w:rsidRPr="00B004EE">
              <w:rPr>
                <w:rFonts w:ascii="Tahoma" w:hAnsi="Tahoma" w:cs="Tahoma"/>
                <w:b/>
                <w:sz w:val="20"/>
                <w:szCs w:val="20"/>
              </w:rPr>
              <w:t>de</w:t>
            </w:r>
            <w:r w:rsidR="00DB1635" w:rsidRPr="00B004EE">
              <w:rPr>
                <w:rFonts w:ascii="Tahoma" w:hAnsi="Tahoma" w:cs="Tahoma"/>
                <w:b/>
                <w:sz w:val="20"/>
                <w:szCs w:val="20"/>
              </w:rPr>
              <w:t xml:space="preserve"> </w:t>
            </w:r>
            <w:r w:rsidRPr="00B004EE">
              <w:rPr>
                <w:rFonts w:ascii="Tahoma" w:hAnsi="Tahoma" w:cs="Tahoma"/>
                <w:b/>
                <w:sz w:val="20"/>
                <w:szCs w:val="20"/>
              </w:rPr>
              <w:t>mesure</w:t>
            </w:r>
          </w:p>
        </w:tc>
        <w:tc>
          <w:tcPr>
            <w:tcW w:w="1313" w:type="dxa"/>
          </w:tcPr>
          <w:p w14:paraId="38A724F6" w14:textId="77777777" w:rsidR="008105B4" w:rsidRPr="00B004EE" w:rsidRDefault="008105B4" w:rsidP="00B004EE">
            <w:pPr>
              <w:jc w:val="both"/>
              <w:rPr>
                <w:rFonts w:ascii="Tahoma" w:hAnsi="Tahoma" w:cs="Tahoma"/>
                <w:b/>
                <w:sz w:val="20"/>
                <w:szCs w:val="20"/>
              </w:rPr>
            </w:pPr>
            <w:r w:rsidRPr="00B004EE">
              <w:rPr>
                <w:rFonts w:ascii="Tahoma" w:hAnsi="Tahoma" w:cs="Tahoma"/>
                <w:b/>
                <w:sz w:val="20"/>
                <w:szCs w:val="20"/>
              </w:rPr>
              <w:t>Notes</w:t>
            </w:r>
          </w:p>
        </w:tc>
      </w:tr>
      <w:tr w:rsidR="00150C90" w:rsidRPr="00B004EE" w14:paraId="30BFC449" w14:textId="77777777" w:rsidTr="00DE14A0">
        <w:trPr>
          <w:jc w:val="center"/>
        </w:trPr>
        <w:tc>
          <w:tcPr>
            <w:tcW w:w="587" w:type="dxa"/>
          </w:tcPr>
          <w:p w14:paraId="19F263DE" w14:textId="77777777" w:rsidR="008105B4" w:rsidRPr="00B004EE" w:rsidRDefault="008105B4" w:rsidP="00B004EE">
            <w:pPr>
              <w:jc w:val="both"/>
              <w:rPr>
                <w:rFonts w:ascii="Tahoma" w:hAnsi="Tahoma" w:cs="Tahoma"/>
                <w:sz w:val="20"/>
                <w:szCs w:val="20"/>
              </w:rPr>
            </w:pPr>
          </w:p>
        </w:tc>
        <w:tc>
          <w:tcPr>
            <w:tcW w:w="3174" w:type="dxa"/>
            <w:vAlign w:val="center"/>
          </w:tcPr>
          <w:p w14:paraId="02EE0635" w14:textId="77777777" w:rsidR="008105B4" w:rsidRPr="00B004EE" w:rsidRDefault="008105B4" w:rsidP="00B004EE">
            <w:pPr>
              <w:jc w:val="both"/>
              <w:rPr>
                <w:rFonts w:ascii="Tahoma" w:hAnsi="Tahoma" w:cs="Tahoma"/>
                <w:sz w:val="20"/>
                <w:szCs w:val="20"/>
              </w:rPr>
            </w:pPr>
            <w:r w:rsidRPr="00B004EE">
              <w:rPr>
                <w:rFonts w:ascii="Tahoma" w:hAnsi="Tahoma" w:cs="Tahoma"/>
                <w:sz w:val="20"/>
                <w:szCs w:val="20"/>
              </w:rPr>
              <w:t>Acrylamide</w:t>
            </w:r>
          </w:p>
        </w:tc>
        <w:tc>
          <w:tcPr>
            <w:tcW w:w="2330" w:type="dxa"/>
            <w:vAlign w:val="center"/>
          </w:tcPr>
          <w:p w14:paraId="0070C878" w14:textId="77777777" w:rsidR="008105B4" w:rsidRPr="00B004EE" w:rsidRDefault="008105B4" w:rsidP="00B004EE">
            <w:pPr>
              <w:jc w:val="both"/>
              <w:rPr>
                <w:rFonts w:ascii="Tahoma" w:hAnsi="Tahoma" w:cs="Tahoma"/>
                <w:sz w:val="20"/>
                <w:szCs w:val="20"/>
              </w:rPr>
            </w:pPr>
          </w:p>
        </w:tc>
        <w:tc>
          <w:tcPr>
            <w:tcW w:w="2268" w:type="dxa"/>
            <w:vAlign w:val="center"/>
          </w:tcPr>
          <w:p w14:paraId="01C75354" w14:textId="77777777" w:rsidR="008105B4" w:rsidRPr="00B004EE" w:rsidRDefault="008105B4" w:rsidP="00B004EE">
            <w:pPr>
              <w:jc w:val="both"/>
              <w:rPr>
                <w:rFonts w:ascii="Tahoma" w:hAnsi="Tahoma" w:cs="Tahoma"/>
                <w:sz w:val="20"/>
                <w:szCs w:val="20"/>
              </w:rPr>
            </w:pPr>
          </w:p>
        </w:tc>
        <w:tc>
          <w:tcPr>
            <w:tcW w:w="1313" w:type="dxa"/>
            <w:vAlign w:val="center"/>
          </w:tcPr>
          <w:p w14:paraId="56D47CAC" w14:textId="77777777" w:rsidR="008105B4" w:rsidRPr="00B004EE" w:rsidRDefault="008105B4" w:rsidP="00B004EE">
            <w:pPr>
              <w:jc w:val="both"/>
              <w:rPr>
                <w:rFonts w:ascii="Tahoma" w:eastAsia="Arial Unicode MS" w:hAnsi="Tahoma" w:cs="Tahoma"/>
                <w:sz w:val="20"/>
                <w:szCs w:val="20"/>
              </w:rPr>
            </w:pPr>
          </w:p>
        </w:tc>
      </w:tr>
      <w:tr w:rsidR="00150C90" w:rsidRPr="00B004EE" w14:paraId="35941ABE" w14:textId="77777777" w:rsidTr="00DE14A0">
        <w:trPr>
          <w:jc w:val="center"/>
        </w:trPr>
        <w:tc>
          <w:tcPr>
            <w:tcW w:w="587" w:type="dxa"/>
          </w:tcPr>
          <w:p w14:paraId="47D9F37E" w14:textId="77777777" w:rsidR="008105B4" w:rsidRPr="00B004EE" w:rsidRDefault="008105B4" w:rsidP="00B004EE">
            <w:pPr>
              <w:jc w:val="both"/>
              <w:rPr>
                <w:rFonts w:ascii="Tahoma" w:hAnsi="Tahoma" w:cs="Tahoma"/>
                <w:sz w:val="20"/>
                <w:szCs w:val="20"/>
              </w:rPr>
            </w:pPr>
          </w:p>
        </w:tc>
        <w:tc>
          <w:tcPr>
            <w:tcW w:w="3174" w:type="dxa"/>
            <w:vAlign w:val="center"/>
          </w:tcPr>
          <w:p w14:paraId="0F5F13D9" w14:textId="77777777" w:rsidR="008105B4" w:rsidRPr="00B004EE" w:rsidRDefault="008105B4" w:rsidP="00B004EE">
            <w:pPr>
              <w:jc w:val="both"/>
              <w:rPr>
                <w:rFonts w:ascii="Tahoma" w:eastAsia="Arial Unicode MS" w:hAnsi="Tahoma" w:cs="Tahoma"/>
                <w:sz w:val="20"/>
                <w:szCs w:val="20"/>
              </w:rPr>
            </w:pPr>
            <w:r w:rsidRPr="00B004EE">
              <w:rPr>
                <w:rFonts w:ascii="Tahoma" w:hAnsi="Tahoma" w:cs="Tahoma"/>
                <w:sz w:val="20"/>
                <w:szCs w:val="20"/>
              </w:rPr>
              <w:t>Antimoine</w:t>
            </w:r>
          </w:p>
        </w:tc>
        <w:tc>
          <w:tcPr>
            <w:tcW w:w="2330" w:type="dxa"/>
            <w:vAlign w:val="center"/>
          </w:tcPr>
          <w:p w14:paraId="4D8934F6" w14:textId="77777777" w:rsidR="008105B4" w:rsidRPr="00B004EE" w:rsidRDefault="008105B4" w:rsidP="00B004EE">
            <w:pPr>
              <w:jc w:val="both"/>
              <w:rPr>
                <w:rFonts w:ascii="Tahoma" w:eastAsia="Arial Unicode MS" w:hAnsi="Tahoma" w:cs="Tahoma"/>
                <w:sz w:val="20"/>
                <w:szCs w:val="20"/>
              </w:rPr>
            </w:pPr>
          </w:p>
        </w:tc>
        <w:tc>
          <w:tcPr>
            <w:tcW w:w="2268" w:type="dxa"/>
            <w:vAlign w:val="center"/>
          </w:tcPr>
          <w:p w14:paraId="23C1A5FF" w14:textId="77777777" w:rsidR="008105B4" w:rsidRPr="00B004EE" w:rsidRDefault="008105B4" w:rsidP="00B004EE">
            <w:pPr>
              <w:jc w:val="both"/>
              <w:rPr>
                <w:rFonts w:ascii="Tahoma" w:eastAsia="Arial Unicode MS" w:hAnsi="Tahoma" w:cs="Tahoma"/>
                <w:sz w:val="20"/>
                <w:szCs w:val="20"/>
              </w:rPr>
            </w:pPr>
          </w:p>
        </w:tc>
        <w:tc>
          <w:tcPr>
            <w:tcW w:w="1313" w:type="dxa"/>
            <w:vAlign w:val="center"/>
          </w:tcPr>
          <w:p w14:paraId="5709FF4D" w14:textId="77777777" w:rsidR="008105B4" w:rsidRPr="00B004EE" w:rsidRDefault="008105B4" w:rsidP="00B004EE">
            <w:pPr>
              <w:jc w:val="both"/>
              <w:rPr>
                <w:rFonts w:ascii="Tahoma" w:eastAsia="Arial Unicode MS" w:hAnsi="Tahoma" w:cs="Tahoma"/>
                <w:sz w:val="20"/>
                <w:szCs w:val="20"/>
              </w:rPr>
            </w:pPr>
          </w:p>
        </w:tc>
      </w:tr>
      <w:tr w:rsidR="00150C90" w:rsidRPr="00B004EE" w14:paraId="5A705BA4" w14:textId="77777777" w:rsidTr="00DE14A0">
        <w:trPr>
          <w:jc w:val="center"/>
        </w:trPr>
        <w:tc>
          <w:tcPr>
            <w:tcW w:w="587" w:type="dxa"/>
          </w:tcPr>
          <w:p w14:paraId="0DD2C8D6" w14:textId="77777777" w:rsidR="008105B4" w:rsidRPr="00B004EE" w:rsidRDefault="008105B4" w:rsidP="00B004EE">
            <w:pPr>
              <w:jc w:val="both"/>
              <w:rPr>
                <w:rFonts w:ascii="Tahoma" w:hAnsi="Tahoma" w:cs="Tahoma"/>
                <w:sz w:val="20"/>
                <w:szCs w:val="20"/>
              </w:rPr>
            </w:pPr>
          </w:p>
        </w:tc>
        <w:tc>
          <w:tcPr>
            <w:tcW w:w="3174" w:type="dxa"/>
            <w:vAlign w:val="center"/>
          </w:tcPr>
          <w:p w14:paraId="6A6F7D1A" w14:textId="77777777" w:rsidR="008105B4" w:rsidRPr="00B004EE" w:rsidRDefault="008105B4" w:rsidP="00B004EE">
            <w:pPr>
              <w:jc w:val="both"/>
              <w:rPr>
                <w:rFonts w:ascii="Tahoma" w:hAnsi="Tahoma" w:cs="Tahoma"/>
                <w:sz w:val="20"/>
                <w:szCs w:val="20"/>
              </w:rPr>
            </w:pPr>
            <w:r w:rsidRPr="00B004EE">
              <w:rPr>
                <w:rFonts w:ascii="Tahoma" w:hAnsi="Tahoma" w:cs="Tahoma"/>
                <w:sz w:val="20"/>
                <w:szCs w:val="20"/>
              </w:rPr>
              <w:t>Arsenic</w:t>
            </w:r>
          </w:p>
        </w:tc>
        <w:tc>
          <w:tcPr>
            <w:tcW w:w="2330" w:type="dxa"/>
            <w:vAlign w:val="center"/>
          </w:tcPr>
          <w:p w14:paraId="521F3399" w14:textId="77777777" w:rsidR="008105B4" w:rsidRPr="00B004EE" w:rsidRDefault="008105B4" w:rsidP="00B004EE">
            <w:pPr>
              <w:jc w:val="both"/>
              <w:rPr>
                <w:rFonts w:ascii="Tahoma" w:hAnsi="Tahoma" w:cs="Tahoma"/>
                <w:sz w:val="20"/>
                <w:szCs w:val="20"/>
              </w:rPr>
            </w:pPr>
          </w:p>
        </w:tc>
        <w:tc>
          <w:tcPr>
            <w:tcW w:w="2268" w:type="dxa"/>
            <w:vAlign w:val="center"/>
          </w:tcPr>
          <w:p w14:paraId="120B56AB" w14:textId="77777777" w:rsidR="008105B4" w:rsidRPr="00B004EE" w:rsidRDefault="008105B4" w:rsidP="00B004EE">
            <w:pPr>
              <w:jc w:val="both"/>
              <w:rPr>
                <w:rFonts w:ascii="Tahoma" w:hAnsi="Tahoma" w:cs="Tahoma"/>
                <w:sz w:val="20"/>
                <w:szCs w:val="20"/>
              </w:rPr>
            </w:pPr>
          </w:p>
        </w:tc>
        <w:tc>
          <w:tcPr>
            <w:tcW w:w="1313" w:type="dxa"/>
            <w:vAlign w:val="center"/>
          </w:tcPr>
          <w:p w14:paraId="580888AE" w14:textId="77777777" w:rsidR="008105B4" w:rsidRPr="00B004EE" w:rsidRDefault="008105B4" w:rsidP="00B004EE">
            <w:pPr>
              <w:jc w:val="both"/>
              <w:rPr>
                <w:rFonts w:ascii="Tahoma" w:eastAsia="Arial Unicode MS" w:hAnsi="Tahoma" w:cs="Tahoma"/>
                <w:sz w:val="20"/>
                <w:szCs w:val="20"/>
              </w:rPr>
            </w:pPr>
          </w:p>
        </w:tc>
      </w:tr>
      <w:tr w:rsidR="00150C90" w:rsidRPr="00B004EE" w14:paraId="20C8F41C" w14:textId="77777777" w:rsidTr="00DE14A0">
        <w:trPr>
          <w:jc w:val="center"/>
        </w:trPr>
        <w:tc>
          <w:tcPr>
            <w:tcW w:w="587" w:type="dxa"/>
          </w:tcPr>
          <w:p w14:paraId="23789A04" w14:textId="77777777" w:rsidR="008105B4" w:rsidRPr="00B004EE" w:rsidRDefault="008105B4" w:rsidP="00B004EE">
            <w:pPr>
              <w:jc w:val="both"/>
              <w:rPr>
                <w:rFonts w:ascii="Tahoma" w:hAnsi="Tahoma" w:cs="Tahoma"/>
                <w:sz w:val="20"/>
                <w:szCs w:val="20"/>
              </w:rPr>
            </w:pPr>
          </w:p>
        </w:tc>
        <w:tc>
          <w:tcPr>
            <w:tcW w:w="3174" w:type="dxa"/>
            <w:vAlign w:val="center"/>
          </w:tcPr>
          <w:p w14:paraId="64B95375" w14:textId="77777777" w:rsidR="008105B4" w:rsidRPr="00B004EE" w:rsidRDefault="008105B4" w:rsidP="00B004EE">
            <w:pPr>
              <w:jc w:val="both"/>
              <w:rPr>
                <w:rFonts w:ascii="Tahoma" w:hAnsi="Tahoma" w:cs="Tahoma"/>
                <w:sz w:val="20"/>
                <w:szCs w:val="20"/>
              </w:rPr>
            </w:pPr>
            <w:r w:rsidRPr="00B004EE">
              <w:rPr>
                <w:rFonts w:ascii="Tahoma" w:hAnsi="Tahoma" w:cs="Tahoma"/>
                <w:sz w:val="20"/>
                <w:szCs w:val="20"/>
              </w:rPr>
              <w:t>Benzène</w:t>
            </w:r>
          </w:p>
        </w:tc>
        <w:tc>
          <w:tcPr>
            <w:tcW w:w="2330" w:type="dxa"/>
            <w:vAlign w:val="center"/>
          </w:tcPr>
          <w:p w14:paraId="34C39EB3" w14:textId="77777777" w:rsidR="008105B4" w:rsidRPr="00B004EE" w:rsidRDefault="008105B4" w:rsidP="00B004EE">
            <w:pPr>
              <w:jc w:val="both"/>
              <w:rPr>
                <w:rFonts w:ascii="Tahoma" w:hAnsi="Tahoma" w:cs="Tahoma"/>
                <w:sz w:val="20"/>
                <w:szCs w:val="20"/>
              </w:rPr>
            </w:pPr>
          </w:p>
        </w:tc>
        <w:tc>
          <w:tcPr>
            <w:tcW w:w="2268" w:type="dxa"/>
            <w:vAlign w:val="center"/>
          </w:tcPr>
          <w:p w14:paraId="4FAC01C8" w14:textId="77777777" w:rsidR="008105B4" w:rsidRPr="00B004EE" w:rsidRDefault="008105B4" w:rsidP="00B004EE">
            <w:pPr>
              <w:jc w:val="both"/>
              <w:rPr>
                <w:rFonts w:ascii="Tahoma" w:hAnsi="Tahoma" w:cs="Tahoma"/>
                <w:sz w:val="20"/>
                <w:szCs w:val="20"/>
              </w:rPr>
            </w:pPr>
          </w:p>
        </w:tc>
        <w:tc>
          <w:tcPr>
            <w:tcW w:w="1313" w:type="dxa"/>
            <w:vAlign w:val="center"/>
          </w:tcPr>
          <w:p w14:paraId="14CD3DCF" w14:textId="77777777" w:rsidR="008105B4" w:rsidRPr="00B004EE" w:rsidRDefault="008105B4" w:rsidP="00B004EE">
            <w:pPr>
              <w:jc w:val="both"/>
              <w:rPr>
                <w:rFonts w:ascii="Tahoma" w:hAnsi="Tahoma" w:cs="Tahoma"/>
                <w:sz w:val="20"/>
                <w:szCs w:val="20"/>
              </w:rPr>
            </w:pPr>
          </w:p>
        </w:tc>
      </w:tr>
      <w:tr w:rsidR="00150C90" w:rsidRPr="00B004EE" w14:paraId="779F4822" w14:textId="77777777" w:rsidTr="00DE14A0">
        <w:trPr>
          <w:jc w:val="center"/>
        </w:trPr>
        <w:tc>
          <w:tcPr>
            <w:tcW w:w="587" w:type="dxa"/>
          </w:tcPr>
          <w:p w14:paraId="58499BB4" w14:textId="77777777" w:rsidR="008105B4" w:rsidRPr="00B004EE" w:rsidRDefault="008105B4" w:rsidP="00B004EE">
            <w:pPr>
              <w:jc w:val="both"/>
              <w:rPr>
                <w:rFonts w:ascii="Tahoma" w:hAnsi="Tahoma" w:cs="Tahoma"/>
                <w:sz w:val="20"/>
                <w:szCs w:val="20"/>
              </w:rPr>
            </w:pPr>
          </w:p>
        </w:tc>
        <w:tc>
          <w:tcPr>
            <w:tcW w:w="3174" w:type="dxa"/>
            <w:vAlign w:val="center"/>
          </w:tcPr>
          <w:p w14:paraId="1AE737D0" w14:textId="5BD93A38" w:rsidR="008105B4" w:rsidRPr="00B004EE" w:rsidRDefault="008105B4" w:rsidP="00B004EE">
            <w:pPr>
              <w:jc w:val="both"/>
              <w:rPr>
                <w:rFonts w:ascii="Tahoma" w:hAnsi="Tahoma" w:cs="Tahoma"/>
                <w:sz w:val="20"/>
                <w:szCs w:val="20"/>
              </w:rPr>
            </w:pPr>
            <w:r w:rsidRPr="00B004EE">
              <w:rPr>
                <w:rFonts w:ascii="Tahoma" w:hAnsi="Tahoma" w:cs="Tahoma"/>
                <w:sz w:val="20"/>
                <w:szCs w:val="20"/>
              </w:rPr>
              <w:t>Benzo</w:t>
            </w:r>
            <w:r w:rsidR="00DB1635" w:rsidRPr="00B004EE">
              <w:rPr>
                <w:rFonts w:ascii="Tahoma" w:hAnsi="Tahoma" w:cs="Tahoma"/>
                <w:sz w:val="20"/>
                <w:szCs w:val="20"/>
              </w:rPr>
              <w:t xml:space="preserve"> </w:t>
            </w:r>
            <w:r w:rsidRPr="00B004EE">
              <w:rPr>
                <w:rFonts w:ascii="Tahoma" w:hAnsi="Tahoma" w:cs="Tahoma"/>
                <w:sz w:val="20"/>
                <w:szCs w:val="20"/>
              </w:rPr>
              <w:t>[a]</w:t>
            </w:r>
            <w:r w:rsidR="00DB1635" w:rsidRPr="00B004EE">
              <w:rPr>
                <w:rFonts w:ascii="Tahoma" w:hAnsi="Tahoma" w:cs="Tahoma"/>
                <w:sz w:val="20"/>
                <w:szCs w:val="20"/>
              </w:rPr>
              <w:t xml:space="preserve"> </w:t>
            </w:r>
            <w:r w:rsidRPr="00B004EE">
              <w:rPr>
                <w:rFonts w:ascii="Tahoma" w:hAnsi="Tahoma" w:cs="Tahoma"/>
                <w:sz w:val="20"/>
                <w:szCs w:val="20"/>
              </w:rPr>
              <w:t>pyrène</w:t>
            </w:r>
          </w:p>
        </w:tc>
        <w:tc>
          <w:tcPr>
            <w:tcW w:w="2330" w:type="dxa"/>
            <w:vAlign w:val="center"/>
          </w:tcPr>
          <w:p w14:paraId="3354DDDC" w14:textId="77777777" w:rsidR="008105B4" w:rsidRPr="00B004EE" w:rsidRDefault="008105B4" w:rsidP="00B004EE">
            <w:pPr>
              <w:jc w:val="both"/>
              <w:rPr>
                <w:rFonts w:ascii="Tahoma" w:hAnsi="Tahoma" w:cs="Tahoma"/>
                <w:sz w:val="20"/>
                <w:szCs w:val="20"/>
              </w:rPr>
            </w:pPr>
          </w:p>
        </w:tc>
        <w:tc>
          <w:tcPr>
            <w:tcW w:w="2268" w:type="dxa"/>
            <w:vAlign w:val="center"/>
          </w:tcPr>
          <w:p w14:paraId="59D01CB5" w14:textId="77777777" w:rsidR="008105B4" w:rsidRPr="00B004EE" w:rsidRDefault="008105B4" w:rsidP="00B004EE">
            <w:pPr>
              <w:jc w:val="both"/>
              <w:rPr>
                <w:rFonts w:ascii="Tahoma" w:hAnsi="Tahoma" w:cs="Tahoma"/>
                <w:sz w:val="20"/>
                <w:szCs w:val="20"/>
              </w:rPr>
            </w:pPr>
          </w:p>
        </w:tc>
        <w:tc>
          <w:tcPr>
            <w:tcW w:w="1313" w:type="dxa"/>
            <w:vAlign w:val="center"/>
          </w:tcPr>
          <w:p w14:paraId="1FEA3927" w14:textId="77777777" w:rsidR="008105B4" w:rsidRPr="00B004EE" w:rsidRDefault="008105B4" w:rsidP="00B004EE">
            <w:pPr>
              <w:jc w:val="both"/>
              <w:rPr>
                <w:rFonts w:ascii="Tahoma" w:hAnsi="Tahoma" w:cs="Tahoma"/>
                <w:sz w:val="20"/>
                <w:szCs w:val="20"/>
              </w:rPr>
            </w:pPr>
          </w:p>
        </w:tc>
      </w:tr>
      <w:tr w:rsidR="00150C90" w:rsidRPr="00B004EE" w14:paraId="71FC268A" w14:textId="77777777" w:rsidTr="00DE14A0">
        <w:trPr>
          <w:jc w:val="center"/>
        </w:trPr>
        <w:tc>
          <w:tcPr>
            <w:tcW w:w="587" w:type="dxa"/>
          </w:tcPr>
          <w:p w14:paraId="349F3EAF" w14:textId="77777777" w:rsidR="008105B4" w:rsidRPr="00B004EE" w:rsidRDefault="008105B4" w:rsidP="00B004EE">
            <w:pPr>
              <w:jc w:val="both"/>
              <w:rPr>
                <w:rFonts w:ascii="Tahoma" w:hAnsi="Tahoma" w:cs="Tahoma"/>
                <w:sz w:val="20"/>
                <w:szCs w:val="20"/>
              </w:rPr>
            </w:pPr>
          </w:p>
        </w:tc>
        <w:tc>
          <w:tcPr>
            <w:tcW w:w="3174" w:type="dxa"/>
            <w:vAlign w:val="center"/>
          </w:tcPr>
          <w:p w14:paraId="5C347CA4" w14:textId="77777777" w:rsidR="008105B4" w:rsidRPr="00B004EE" w:rsidRDefault="008105B4" w:rsidP="00B004EE">
            <w:pPr>
              <w:jc w:val="both"/>
              <w:rPr>
                <w:rFonts w:ascii="Tahoma" w:hAnsi="Tahoma" w:cs="Tahoma"/>
                <w:sz w:val="20"/>
                <w:szCs w:val="20"/>
              </w:rPr>
            </w:pPr>
            <w:r w:rsidRPr="00B004EE">
              <w:rPr>
                <w:rFonts w:ascii="Tahoma" w:hAnsi="Tahoma" w:cs="Tahoma"/>
                <w:sz w:val="20"/>
                <w:szCs w:val="20"/>
              </w:rPr>
              <w:t>Bore</w:t>
            </w:r>
          </w:p>
        </w:tc>
        <w:tc>
          <w:tcPr>
            <w:tcW w:w="2330" w:type="dxa"/>
            <w:vAlign w:val="center"/>
          </w:tcPr>
          <w:p w14:paraId="649E7AD7" w14:textId="77777777" w:rsidR="008105B4" w:rsidRPr="00B004EE" w:rsidRDefault="008105B4" w:rsidP="00B004EE">
            <w:pPr>
              <w:jc w:val="both"/>
              <w:rPr>
                <w:rFonts w:ascii="Tahoma" w:hAnsi="Tahoma" w:cs="Tahoma"/>
                <w:sz w:val="20"/>
                <w:szCs w:val="20"/>
              </w:rPr>
            </w:pPr>
          </w:p>
        </w:tc>
        <w:tc>
          <w:tcPr>
            <w:tcW w:w="2268" w:type="dxa"/>
            <w:vAlign w:val="center"/>
          </w:tcPr>
          <w:p w14:paraId="2EDB6D16" w14:textId="77777777" w:rsidR="008105B4" w:rsidRPr="00B004EE" w:rsidRDefault="008105B4" w:rsidP="00B004EE">
            <w:pPr>
              <w:jc w:val="both"/>
              <w:rPr>
                <w:rFonts w:ascii="Tahoma" w:hAnsi="Tahoma" w:cs="Tahoma"/>
                <w:sz w:val="20"/>
                <w:szCs w:val="20"/>
              </w:rPr>
            </w:pPr>
          </w:p>
        </w:tc>
        <w:tc>
          <w:tcPr>
            <w:tcW w:w="1313" w:type="dxa"/>
            <w:vAlign w:val="center"/>
          </w:tcPr>
          <w:p w14:paraId="32F4BCCF" w14:textId="77777777" w:rsidR="008105B4" w:rsidRPr="00B004EE" w:rsidRDefault="008105B4" w:rsidP="00B004EE">
            <w:pPr>
              <w:jc w:val="both"/>
              <w:rPr>
                <w:rFonts w:ascii="Tahoma" w:hAnsi="Tahoma" w:cs="Tahoma"/>
                <w:sz w:val="20"/>
                <w:szCs w:val="20"/>
              </w:rPr>
            </w:pPr>
          </w:p>
        </w:tc>
      </w:tr>
      <w:tr w:rsidR="00150C90" w:rsidRPr="00B004EE" w14:paraId="2A94BBCA" w14:textId="77777777" w:rsidTr="00DE14A0">
        <w:trPr>
          <w:jc w:val="center"/>
        </w:trPr>
        <w:tc>
          <w:tcPr>
            <w:tcW w:w="587" w:type="dxa"/>
          </w:tcPr>
          <w:p w14:paraId="715F7810" w14:textId="77777777" w:rsidR="008105B4" w:rsidRPr="00B004EE" w:rsidRDefault="008105B4" w:rsidP="00B004EE">
            <w:pPr>
              <w:jc w:val="both"/>
              <w:rPr>
                <w:rFonts w:ascii="Tahoma" w:hAnsi="Tahoma" w:cs="Tahoma"/>
                <w:sz w:val="20"/>
                <w:szCs w:val="20"/>
              </w:rPr>
            </w:pPr>
          </w:p>
        </w:tc>
        <w:tc>
          <w:tcPr>
            <w:tcW w:w="3174" w:type="dxa"/>
            <w:vAlign w:val="center"/>
          </w:tcPr>
          <w:p w14:paraId="768DE86F" w14:textId="77777777" w:rsidR="008105B4" w:rsidRPr="00B004EE" w:rsidRDefault="008105B4" w:rsidP="00B004EE">
            <w:pPr>
              <w:jc w:val="both"/>
              <w:rPr>
                <w:rFonts w:ascii="Tahoma" w:hAnsi="Tahoma" w:cs="Tahoma"/>
                <w:sz w:val="20"/>
                <w:szCs w:val="20"/>
              </w:rPr>
            </w:pPr>
            <w:r w:rsidRPr="00B004EE">
              <w:rPr>
                <w:rFonts w:ascii="Tahoma" w:hAnsi="Tahoma" w:cs="Tahoma"/>
                <w:sz w:val="20"/>
                <w:szCs w:val="20"/>
              </w:rPr>
              <w:t>Bromates</w:t>
            </w:r>
          </w:p>
        </w:tc>
        <w:tc>
          <w:tcPr>
            <w:tcW w:w="2330" w:type="dxa"/>
            <w:vAlign w:val="center"/>
          </w:tcPr>
          <w:p w14:paraId="3D1AD672" w14:textId="77777777" w:rsidR="008105B4" w:rsidRPr="00B004EE" w:rsidRDefault="008105B4" w:rsidP="00B004EE">
            <w:pPr>
              <w:jc w:val="both"/>
              <w:rPr>
                <w:rFonts w:ascii="Tahoma" w:hAnsi="Tahoma" w:cs="Tahoma"/>
                <w:sz w:val="20"/>
                <w:szCs w:val="20"/>
              </w:rPr>
            </w:pPr>
          </w:p>
        </w:tc>
        <w:tc>
          <w:tcPr>
            <w:tcW w:w="2268" w:type="dxa"/>
            <w:vAlign w:val="center"/>
          </w:tcPr>
          <w:p w14:paraId="49A1B173" w14:textId="77777777" w:rsidR="008105B4" w:rsidRPr="00B004EE" w:rsidRDefault="008105B4" w:rsidP="00B004EE">
            <w:pPr>
              <w:jc w:val="both"/>
              <w:rPr>
                <w:rFonts w:ascii="Tahoma" w:hAnsi="Tahoma" w:cs="Tahoma"/>
                <w:sz w:val="20"/>
                <w:szCs w:val="20"/>
              </w:rPr>
            </w:pPr>
          </w:p>
        </w:tc>
        <w:tc>
          <w:tcPr>
            <w:tcW w:w="1313" w:type="dxa"/>
            <w:vAlign w:val="center"/>
          </w:tcPr>
          <w:p w14:paraId="5B21610B" w14:textId="77777777" w:rsidR="008105B4" w:rsidRPr="00B004EE" w:rsidRDefault="008105B4" w:rsidP="00B004EE">
            <w:pPr>
              <w:jc w:val="both"/>
              <w:rPr>
                <w:rFonts w:ascii="Tahoma" w:hAnsi="Tahoma" w:cs="Tahoma"/>
                <w:sz w:val="20"/>
                <w:szCs w:val="20"/>
              </w:rPr>
            </w:pPr>
          </w:p>
        </w:tc>
      </w:tr>
      <w:tr w:rsidR="00150C90" w:rsidRPr="00B004EE" w14:paraId="15D2D6FC" w14:textId="77777777" w:rsidTr="00DE14A0">
        <w:trPr>
          <w:jc w:val="center"/>
        </w:trPr>
        <w:tc>
          <w:tcPr>
            <w:tcW w:w="587" w:type="dxa"/>
          </w:tcPr>
          <w:p w14:paraId="26F4F13A" w14:textId="77777777" w:rsidR="008105B4" w:rsidRPr="00B004EE" w:rsidRDefault="008105B4" w:rsidP="00B004EE">
            <w:pPr>
              <w:jc w:val="both"/>
              <w:rPr>
                <w:rFonts w:ascii="Tahoma" w:hAnsi="Tahoma" w:cs="Tahoma"/>
                <w:sz w:val="20"/>
                <w:szCs w:val="20"/>
              </w:rPr>
            </w:pPr>
          </w:p>
        </w:tc>
        <w:tc>
          <w:tcPr>
            <w:tcW w:w="3174" w:type="dxa"/>
            <w:vAlign w:val="center"/>
          </w:tcPr>
          <w:p w14:paraId="1DD7046E" w14:textId="77777777" w:rsidR="008105B4" w:rsidRPr="00B004EE" w:rsidRDefault="008105B4" w:rsidP="00B004EE">
            <w:pPr>
              <w:jc w:val="both"/>
              <w:rPr>
                <w:rFonts w:ascii="Tahoma" w:hAnsi="Tahoma" w:cs="Tahoma"/>
                <w:sz w:val="20"/>
                <w:szCs w:val="20"/>
              </w:rPr>
            </w:pPr>
            <w:r w:rsidRPr="00B004EE">
              <w:rPr>
                <w:rFonts w:ascii="Tahoma" w:hAnsi="Tahoma" w:cs="Tahoma"/>
                <w:sz w:val="20"/>
                <w:szCs w:val="20"/>
              </w:rPr>
              <w:t>Cadmium</w:t>
            </w:r>
          </w:p>
        </w:tc>
        <w:tc>
          <w:tcPr>
            <w:tcW w:w="2330" w:type="dxa"/>
            <w:vAlign w:val="center"/>
          </w:tcPr>
          <w:p w14:paraId="5CD1B8F1" w14:textId="77777777" w:rsidR="008105B4" w:rsidRPr="00B004EE" w:rsidRDefault="008105B4" w:rsidP="00B004EE">
            <w:pPr>
              <w:jc w:val="both"/>
              <w:rPr>
                <w:rFonts w:ascii="Tahoma" w:hAnsi="Tahoma" w:cs="Tahoma"/>
                <w:sz w:val="20"/>
                <w:szCs w:val="20"/>
              </w:rPr>
            </w:pPr>
          </w:p>
        </w:tc>
        <w:tc>
          <w:tcPr>
            <w:tcW w:w="2268" w:type="dxa"/>
            <w:vAlign w:val="center"/>
          </w:tcPr>
          <w:p w14:paraId="74B0CC3D" w14:textId="77777777" w:rsidR="008105B4" w:rsidRPr="00B004EE" w:rsidRDefault="008105B4" w:rsidP="00B004EE">
            <w:pPr>
              <w:jc w:val="both"/>
              <w:rPr>
                <w:rFonts w:ascii="Tahoma" w:hAnsi="Tahoma" w:cs="Tahoma"/>
                <w:sz w:val="20"/>
                <w:szCs w:val="20"/>
              </w:rPr>
            </w:pPr>
          </w:p>
        </w:tc>
        <w:tc>
          <w:tcPr>
            <w:tcW w:w="1313" w:type="dxa"/>
            <w:vAlign w:val="center"/>
          </w:tcPr>
          <w:p w14:paraId="3D98466F" w14:textId="77777777" w:rsidR="008105B4" w:rsidRPr="00B004EE" w:rsidRDefault="008105B4" w:rsidP="00B004EE">
            <w:pPr>
              <w:jc w:val="both"/>
              <w:rPr>
                <w:rFonts w:ascii="Tahoma" w:hAnsi="Tahoma" w:cs="Tahoma"/>
                <w:sz w:val="20"/>
                <w:szCs w:val="20"/>
              </w:rPr>
            </w:pPr>
          </w:p>
        </w:tc>
      </w:tr>
      <w:tr w:rsidR="00150C90" w:rsidRPr="00B004EE" w14:paraId="36BFDEF5" w14:textId="77777777" w:rsidTr="00DE14A0">
        <w:trPr>
          <w:jc w:val="center"/>
        </w:trPr>
        <w:tc>
          <w:tcPr>
            <w:tcW w:w="587" w:type="dxa"/>
          </w:tcPr>
          <w:p w14:paraId="548E4009" w14:textId="77777777" w:rsidR="008105B4" w:rsidRPr="00B004EE" w:rsidRDefault="008105B4" w:rsidP="00B004EE">
            <w:pPr>
              <w:jc w:val="both"/>
              <w:rPr>
                <w:rFonts w:ascii="Tahoma" w:hAnsi="Tahoma" w:cs="Tahoma"/>
                <w:sz w:val="20"/>
                <w:szCs w:val="20"/>
              </w:rPr>
            </w:pPr>
          </w:p>
        </w:tc>
        <w:tc>
          <w:tcPr>
            <w:tcW w:w="3174" w:type="dxa"/>
            <w:vAlign w:val="center"/>
          </w:tcPr>
          <w:p w14:paraId="703B85D7" w14:textId="77777777" w:rsidR="008105B4" w:rsidRPr="00B004EE" w:rsidRDefault="008105B4" w:rsidP="00B004EE">
            <w:pPr>
              <w:jc w:val="both"/>
              <w:rPr>
                <w:rFonts w:ascii="Tahoma" w:hAnsi="Tahoma" w:cs="Tahoma"/>
                <w:sz w:val="20"/>
                <w:szCs w:val="20"/>
              </w:rPr>
            </w:pPr>
            <w:r w:rsidRPr="00B004EE">
              <w:rPr>
                <w:rFonts w:ascii="Tahoma" w:hAnsi="Tahoma" w:cs="Tahoma"/>
                <w:sz w:val="20"/>
                <w:szCs w:val="20"/>
              </w:rPr>
              <w:t>Chlorites</w:t>
            </w:r>
          </w:p>
        </w:tc>
        <w:tc>
          <w:tcPr>
            <w:tcW w:w="2330" w:type="dxa"/>
            <w:vAlign w:val="center"/>
          </w:tcPr>
          <w:p w14:paraId="368A6A83" w14:textId="77777777" w:rsidR="008105B4" w:rsidRPr="00B004EE" w:rsidRDefault="008105B4" w:rsidP="00B004EE">
            <w:pPr>
              <w:jc w:val="both"/>
              <w:rPr>
                <w:rFonts w:ascii="Tahoma" w:hAnsi="Tahoma" w:cs="Tahoma"/>
                <w:sz w:val="20"/>
                <w:szCs w:val="20"/>
              </w:rPr>
            </w:pPr>
            <w:r w:rsidRPr="00B004EE">
              <w:rPr>
                <w:rFonts w:ascii="Tahoma" w:hAnsi="Tahoma" w:cs="Tahoma"/>
                <w:sz w:val="20"/>
                <w:szCs w:val="20"/>
              </w:rPr>
              <w:t>0,2</w:t>
            </w:r>
          </w:p>
        </w:tc>
        <w:tc>
          <w:tcPr>
            <w:tcW w:w="2268" w:type="dxa"/>
            <w:vAlign w:val="center"/>
          </w:tcPr>
          <w:p w14:paraId="77250285" w14:textId="77777777" w:rsidR="008105B4" w:rsidRPr="00B004EE" w:rsidRDefault="008105B4" w:rsidP="00B004EE">
            <w:pPr>
              <w:jc w:val="both"/>
              <w:rPr>
                <w:rFonts w:ascii="Tahoma" w:hAnsi="Tahoma" w:cs="Tahoma"/>
                <w:sz w:val="20"/>
                <w:szCs w:val="20"/>
              </w:rPr>
            </w:pPr>
            <w:r w:rsidRPr="00B004EE">
              <w:rPr>
                <w:rFonts w:ascii="Tahoma" w:hAnsi="Tahoma" w:cs="Tahoma"/>
                <w:sz w:val="20"/>
                <w:szCs w:val="20"/>
              </w:rPr>
              <w:t>mg/l</w:t>
            </w:r>
          </w:p>
        </w:tc>
        <w:tc>
          <w:tcPr>
            <w:tcW w:w="1313" w:type="dxa"/>
            <w:vAlign w:val="center"/>
          </w:tcPr>
          <w:p w14:paraId="61DEADD6" w14:textId="60569F18" w:rsidR="008105B4" w:rsidRPr="00B004EE" w:rsidRDefault="008105B4" w:rsidP="00B004EE">
            <w:pPr>
              <w:jc w:val="both"/>
              <w:rPr>
                <w:rFonts w:ascii="Tahoma" w:hAnsi="Tahoma" w:cs="Tahoma"/>
                <w:sz w:val="20"/>
                <w:szCs w:val="20"/>
              </w:rPr>
            </w:pPr>
            <w:r w:rsidRPr="00B004EE">
              <w:rPr>
                <w:rFonts w:ascii="Tahoma" w:hAnsi="Tahoma" w:cs="Tahoma"/>
                <w:sz w:val="20"/>
                <w:szCs w:val="20"/>
              </w:rPr>
              <w:t>Note</w:t>
            </w:r>
            <w:r w:rsidR="00DB1635" w:rsidRPr="00B004EE">
              <w:rPr>
                <w:rFonts w:ascii="Tahoma" w:hAnsi="Tahoma" w:cs="Tahoma"/>
                <w:sz w:val="20"/>
                <w:szCs w:val="20"/>
              </w:rPr>
              <w:t xml:space="preserve"> </w:t>
            </w:r>
            <w:r w:rsidRPr="00B004EE">
              <w:rPr>
                <w:rFonts w:ascii="Tahoma" w:hAnsi="Tahoma" w:cs="Tahoma"/>
                <w:sz w:val="20"/>
                <w:szCs w:val="20"/>
              </w:rPr>
              <w:t>1</w:t>
            </w:r>
          </w:p>
        </w:tc>
      </w:tr>
      <w:tr w:rsidR="00150C90" w:rsidRPr="00B004EE" w14:paraId="7183D171" w14:textId="77777777" w:rsidTr="00DE14A0">
        <w:trPr>
          <w:jc w:val="center"/>
        </w:trPr>
        <w:tc>
          <w:tcPr>
            <w:tcW w:w="587" w:type="dxa"/>
          </w:tcPr>
          <w:p w14:paraId="79D92C46" w14:textId="77777777" w:rsidR="008105B4" w:rsidRPr="00B004EE" w:rsidRDefault="008105B4" w:rsidP="00B004EE">
            <w:pPr>
              <w:jc w:val="both"/>
              <w:rPr>
                <w:rFonts w:ascii="Tahoma" w:hAnsi="Tahoma" w:cs="Tahoma"/>
                <w:sz w:val="20"/>
                <w:szCs w:val="20"/>
              </w:rPr>
            </w:pPr>
          </w:p>
        </w:tc>
        <w:tc>
          <w:tcPr>
            <w:tcW w:w="3174" w:type="dxa"/>
            <w:vAlign w:val="center"/>
          </w:tcPr>
          <w:p w14:paraId="1B848061" w14:textId="2AFED65D" w:rsidR="008105B4" w:rsidRPr="00B004EE" w:rsidRDefault="008105B4" w:rsidP="00B004EE">
            <w:pPr>
              <w:jc w:val="both"/>
              <w:rPr>
                <w:rFonts w:ascii="Tahoma" w:hAnsi="Tahoma" w:cs="Tahoma"/>
                <w:sz w:val="20"/>
                <w:szCs w:val="20"/>
              </w:rPr>
            </w:pPr>
            <w:r w:rsidRPr="00B004EE">
              <w:rPr>
                <w:rFonts w:ascii="Tahoma" w:hAnsi="Tahoma" w:cs="Tahoma"/>
                <w:sz w:val="20"/>
                <w:szCs w:val="20"/>
              </w:rPr>
              <w:t>Chlorure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vinyle</w:t>
            </w:r>
          </w:p>
        </w:tc>
        <w:tc>
          <w:tcPr>
            <w:tcW w:w="2330" w:type="dxa"/>
            <w:vAlign w:val="center"/>
          </w:tcPr>
          <w:p w14:paraId="453DC1F6" w14:textId="77777777" w:rsidR="008105B4" w:rsidRPr="00B004EE" w:rsidRDefault="008105B4" w:rsidP="00B004EE">
            <w:pPr>
              <w:jc w:val="both"/>
              <w:rPr>
                <w:rFonts w:ascii="Tahoma" w:hAnsi="Tahoma" w:cs="Tahoma"/>
                <w:sz w:val="20"/>
                <w:szCs w:val="20"/>
              </w:rPr>
            </w:pPr>
          </w:p>
        </w:tc>
        <w:tc>
          <w:tcPr>
            <w:tcW w:w="2268" w:type="dxa"/>
            <w:vAlign w:val="center"/>
          </w:tcPr>
          <w:p w14:paraId="6D46C119" w14:textId="77777777" w:rsidR="008105B4" w:rsidRPr="00B004EE" w:rsidRDefault="008105B4" w:rsidP="00B004EE">
            <w:pPr>
              <w:jc w:val="both"/>
              <w:rPr>
                <w:rFonts w:ascii="Tahoma" w:hAnsi="Tahoma" w:cs="Tahoma"/>
                <w:sz w:val="20"/>
                <w:szCs w:val="20"/>
              </w:rPr>
            </w:pPr>
          </w:p>
        </w:tc>
        <w:tc>
          <w:tcPr>
            <w:tcW w:w="1313" w:type="dxa"/>
            <w:vAlign w:val="center"/>
          </w:tcPr>
          <w:p w14:paraId="4E6AC7E7" w14:textId="77777777" w:rsidR="008105B4" w:rsidRPr="00B004EE" w:rsidRDefault="008105B4" w:rsidP="00B004EE">
            <w:pPr>
              <w:jc w:val="both"/>
              <w:rPr>
                <w:rFonts w:ascii="Tahoma" w:eastAsia="Arial Unicode MS" w:hAnsi="Tahoma" w:cs="Tahoma"/>
                <w:sz w:val="20"/>
                <w:szCs w:val="20"/>
              </w:rPr>
            </w:pPr>
          </w:p>
        </w:tc>
      </w:tr>
      <w:tr w:rsidR="00150C90" w:rsidRPr="00B004EE" w14:paraId="5FDD7A33" w14:textId="77777777" w:rsidTr="00DE14A0">
        <w:trPr>
          <w:jc w:val="center"/>
        </w:trPr>
        <w:tc>
          <w:tcPr>
            <w:tcW w:w="587" w:type="dxa"/>
          </w:tcPr>
          <w:p w14:paraId="6906C4CC" w14:textId="77777777" w:rsidR="008105B4" w:rsidRPr="00B004EE" w:rsidRDefault="008105B4" w:rsidP="00B004EE">
            <w:pPr>
              <w:jc w:val="both"/>
              <w:rPr>
                <w:rFonts w:ascii="Tahoma" w:hAnsi="Tahoma" w:cs="Tahoma"/>
                <w:sz w:val="20"/>
                <w:szCs w:val="20"/>
              </w:rPr>
            </w:pPr>
          </w:p>
        </w:tc>
        <w:tc>
          <w:tcPr>
            <w:tcW w:w="3174" w:type="dxa"/>
            <w:vAlign w:val="center"/>
          </w:tcPr>
          <w:p w14:paraId="43B8C3EA" w14:textId="77777777" w:rsidR="008105B4" w:rsidRPr="00B004EE" w:rsidRDefault="008105B4" w:rsidP="00B004EE">
            <w:pPr>
              <w:jc w:val="both"/>
              <w:rPr>
                <w:rFonts w:ascii="Tahoma" w:hAnsi="Tahoma" w:cs="Tahoma"/>
                <w:sz w:val="20"/>
                <w:szCs w:val="20"/>
              </w:rPr>
            </w:pPr>
            <w:r w:rsidRPr="00B004EE">
              <w:rPr>
                <w:rFonts w:ascii="Tahoma" w:hAnsi="Tahoma" w:cs="Tahoma"/>
                <w:sz w:val="20"/>
                <w:szCs w:val="20"/>
              </w:rPr>
              <w:t>Chrome</w:t>
            </w:r>
          </w:p>
        </w:tc>
        <w:tc>
          <w:tcPr>
            <w:tcW w:w="2330" w:type="dxa"/>
            <w:vAlign w:val="center"/>
          </w:tcPr>
          <w:p w14:paraId="2240C0E0" w14:textId="77777777" w:rsidR="008105B4" w:rsidRPr="00B004EE" w:rsidRDefault="008105B4" w:rsidP="00B004EE">
            <w:pPr>
              <w:jc w:val="both"/>
              <w:rPr>
                <w:rFonts w:ascii="Tahoma" w:hAnsi="Tahoma" w:cs="Tahoma"/>
                <w:sz w:val="20"/>
                <w:szCs w:val="20"/>
              </w:rPr>
            </w:pPr>
          </w:p>
        </w:tc>
        <w:tc>
          <w:tcPr>
            <w:tcW w:w="2268" w:type="dxa"/>
            <w:vAlign w:val="center"/>
          </w:tcPr>
          <w:p w14:paraId="29341530" w14:textId="77777777" w:rsidR="008105B4" w:rsidRPr="00B004EE" w:rsidRDefault="008105B4" w:rsidP="00B004EE">
            <w:pPr>
              <w:jc w:val="both"/>
              <w:rPr>
                <w:rFonts w:ascii="Tahoma" w:hAnsi="Tahoma" w:cs="Tahoma"/>
                <w:sz w:val="20"/>
                <w:szCs w:val="20"/>
              </w:rPr>
            </w:pPr>
          </w:p>
        </w:tc>
        <w:tc>
          <w:tcPr>
            <w:tcW w:w="1313" w:type="dxa"/>
            <w:vAlign w:val="center"/>
          </w:tcPr>
          <w:p w14:paraId="4E1D94AC" w14:textId="77777777" w:rsidR="008105B4" w:rsidRPr="00B004EE" w:rsidRDefault="008105B4" w:rsidP="00B004EE">
            <w:pPr>
              <w:jc w:val="both"/>
              <w:rPr>
                <w:rFonts w:ascii="Tahoma" w:eastAsia="Arial Unicode MS" w:hAnsi="Tahoma" w:cs="Tahoma"/>
                <w:sz w:val="20"/>
                <w:szCs w:val="20"/>
              </w:rPr>
            </w:pPr>
          </w:p>
        </w:tc>
      </w:tr>
      <w:tr w:rsidR="00150C90" w:rsidRPr="00B004EE" w14:paraId="10BF7175" w14:textId="77777777" w:rsidTr="00DE14A0">
        <w:trPr>
          <w:jc w:val="center"/>
        </w:trPr>
        <w:tc>
          <w:tcPr>
            <w:tcW w:w="587" w:type="dxa"/>
          </w:tcPr>
          <w:p w14:paraId="4EA5F00F" w14:textId="77777777" w:rsidR="008105B4" w:rsidRPr="00B004EE" w:rsidRDefault="008105B4" w:rsidP="00B004EE">
            <w:pPr>
              <w:jc w:val="both"/>
              <w:rPr>
                <w:rFonts w:ascii="Tahoma" w:hAnsi="Tahoma" w:cs="Tahoma"/>
                <w:sz w:val="20"/>
                <w:szCs w:val="20"/>
              </w:rPr>
            </w:pPr>
          </w:p>
        </w:tc>
        <w:tc>
          <w:tcPr>
            <w:tcW w:w="3174" w:type="dxa"/>
            <w:vAlign w:val="center"/>
          </w:tcPr>
          <w:p w14:paraId="4EF7611D" w14:textId="77777777" w:rsidR="008105B4" w:rsidRPr="00B004EE" w:rsidRDefault="008105B4" w:rsidP="00B004EE">
            <w:pPr>
              <w:jc w:val="both"/>
              <w:rPr>
                <w:rFonts w:ascii="Tahoma" w:eastAsia="Arial Unicode MS" w:hAnsi="Tahoma" w:cs="Tahoma"/>
                <w:sz w:val="20"/>
                <w:szCs w:val="20"/>
              </w:rPr>
            </w:pPr>
            <w:r w:rsidRPr="00B004EE">
              <w:rPr>
                <w:rFonts w:ascii="Tahoma" w:hAnsi="Tahoma" w:cs="Tahoma"/>
                <w:sz w:val="20"/>
                <w:szCs w:val="20"/>
              </w:rPr>
              <w:t>Cuivre</w:t>
            </w:r>
          </w:p>
        </w:tc>
        <w:tc>
          <w:tcPr>
            <w:tcW w:w="2330" w:type="dxa"/>
            <w:vAlign w:val="center"/>
          </w:tcPr>
          <w:p w14:paraId="0355846F" w14:textId="77777777" w:rsidR="008105B4" w:rsidRPr="00B004EE" w:rsidRDefault="008105B4" w:rsidP="00B004EE">
            <w:pPr>
              <w:jc w:val="both"/>
              <w:rPr>
                <w:rFonts w:ascii="Tahoma" w:eastAsia="Arial Unicode MS" w:hAnsi="Tahoma" w:cs="Tahoma"/>
                <w:sz w:val="20"/>
                <w:szCs w:val="20"/>
              </w:rPr>
            </w:pPr>
            <w:r w:rsidRPr="00B004EE">
              <w:rPr>
                <w:rFonts w:ascii="Tahoma" w:hAnsi="Tahoma" w:cs="Tahoma"/>
                <w:sz w:val="20"/>
                <w:szCs w:val="20"/>
              </w:rPr>
              <w:t>2</w:t>
            </w:r>
          </w:p>
        </w:tc>
        <w:tc>
          <w:tcPr>
            <w:tcW w:w="2268" w:type="dxa"/>
            <w:vAlign w:val="center"/>
          </w:tcPr>
          <w:p w14:paraId="02C64336" w14:textId="77777777" w:rsidR="008105B4" w:rsidRPr="00B004EE" w:rsidRDefault="008105B4" w:rsidP="00B004EE">
            <w:pPr>
              <w:jc w:val="both"/>
              <w:rPr>
                <w:rFonts w:ascii="Tahoma" w:eastAsia="Arial Unicode MS" w:hAnsi="Tahoma" w:cs="Tahoma"/>
                <w:sz w:val="20"/>
                <w:szCs w:val="20"/>
              </w:rPr>
            </w:pPr>
            <w:r w:rsidRPr="00B004EE">
              <w:rPr>
                <w:rFonts w:ascii="Tahoma" w:hAnsi="Tahoma" w:cs="Tahoma"/>
                <w:sz w:val="20"/>
                <w:szCs w:val="20"/>
              </w:rPr>
              <w:t>mg/l</w:t>
            </w:r>
          </w:p>
        </w:tc>
        <w:tc>
          <w:tcPr>
            <w:tcW w:w="1313" w:type="dxa"/>
            <w:vAlign w:val="center"/>
          </w:tcPr>
          <w:p w14:paraId="0B0D1A87" w14:textId="77777777" w:rsidR="008105B4" w:rsidRPr="00B004EE" w:rsidRDefault="008105B4" w:rsidP="00B004EE">
            <w:pPr>
              <w:jc w:val="both"/>
              <w:rPr>
                <w:rFonts w:ascii="Tahoma" w:eastAsia="Arial Unicode MS" w:hAnsi="Tahoma" w:cs="Tahoma"/>
                <w:sz w:val="20"/>
                <w:szCs w:val="20"/>
              </w:rPr>
            </w:pPr>
          </w:p>
        </w:tc>
      </w:tr>
      <w:tr w:rsidR="00150C90" w:rsidRPr="00B004EE" w14:paraId="69A08207" w14:textId="77777777" w:rsidTr="00DE14A0">
        <w:trPr>
          <w:jc w:val="center"/>
        </w:trPr>
        <w:tc>
          <w:tcPr>
            <w:tcW w:w="587" w:type="dxa"/>
          </w:tcPr>
          <w:p w14:paraId="1B7059C2" w14:textId="77777777" w:rsidR="008105B4" w:rsidRPr="00B004EE" w:rsidRDefault="008105B4" w:rsidP="00B004EE">
            <w:pPr>
              <w:jc w:val="both"/>
              <w:rPr>
                <w:rFonts w:ascii="Tahoma" w:hAnsi="Tahoma" w:cs="Tahoma"/>
                <w:sz w:val="20"/>
                <w:szCs w:val="20"/>
              </w:rPr>
            </w:pPr>
          </w:p>
        </w:tc>
        <w:tc>
          <w:tcPr>
            <w:tcW w:w="3174" w:type="dxa"/>
            <w:vAlign w:val="center"/>
          </w:tcPr>
          <w:p w14:paraId="40301DEA" w14:textId="77777777" w:rsidR="008105B4" w:rsidRPr="00B004EE" w:rsidRDefault="008105B4" w:rsidP="00B004EE">
            <w:pPr>
              <w:jc w:val="both"/>
              <w:rPr>
                <w:rFonts w:ascii="Tahoma" w:hAnsi="Tahoma" w:cs="Tahoma"/>
                <w:sz w:val="20"/>
                <w:szCs w:val="20"/>
              </w:rPr>
            </w:pPr>
            <w:r w:rsidRPr="00B004EE">
              <w:rPr>
                <w:rFonts w:ascii="Tahoma" w:hAnsi="Tahoma" w:cs="Tahoma"/>
                <w:sz w:val="20"/>
                <w:szCs w:val="20"/>
              </w:rPr>
              <w:t>Cyanures</w:t>
            </w:r>
          </w:p>
        </w:tc>
        <w:tc>
          <w:tcPr>
            <w:tcW w:w="2330" w:type="dxa"/>
          </w:tcPr>
          <w:p w14:paraId="10F85F35" w14:textId="77777777" w:rsidR="008105B4" w:rsidRPr="00B004EE" w:rsidRDefault="008105B4" w:rsidP="00B004EE">
            <w:pPr>
              <w:jc w:val="both"/>
              <w:rPr>
                <w:rFonts w:ascii="Tahoma" w:hAnsi="Tahoma" w:cs="Tahoma"/>
                <w:sz w:val="20"/>
                <w:szCs w:val="20"/>
              </w:rPr>
            </w:pPr>
          </w:p>
        </w:tc>
        <w:tc>
          <w:tcPr>
            <w:tcW w:w="2268" w:type="dxa"/>
          </w:tcPr>
          <w:p w14:paraId="23693119" w14:textId="77777777" w:rsidR="008105B4" w:rsidRPr="00B004EE" w:rsidRDefault="008105B4" w:rsidP="00B004EE">
            <w:pPr>
              <w:jc w:val="both"/>
              <w:rPr>
                <w:rFonts w:ascii="Tahoma" w:hAnsi="Tahoma" w:cs="Tahoma"/>
                <w:sz w:val="20"/>
                <w:szCs w:val="20"/>
              </w:rPr>
            </w:pPr>
          </w:p>
        </w:tc>
        <w:tc>
          <w:tcPr>
            <w:tcW w:w="1313" w:type="dxa"/>
            <w:vAlign w:val="center"/>
          </w:tcPr>
          <w:p w14:paraId="158D5271" w14:textId="77777777" w:rsidR="008105B4" w:rsidRPr="00B004EE" w:rsidRDefault="008105B4" w:rsidP="00B004EE">
            <w:pPr>
              <w:jc w:val="both"/>
              <w:rPr>
                <w:rFonts w:ascii="Tahoma" w:hAnsi="Tahoma" w:cs="Tahoma"/>
                <w:sz w:val="20"/>
                <w:szCs w:val="20"/>
              </w:rPr>
            </w:pPr>
          </w:p>
        </w:tc>
      </w:tr>
      <w:tr w:rsidR="00150C90" w:rsidRPr="00B004EE" w14:paraId="355827A6" w14:textId="77777777" w:rsidTr="00DE14A0">
        <w:trPr>
          <w:jc w:val="center"/>
        </w:trPr>
        <w:tc>
          <w:tcPr>
            <w:tcW w:w="587" w:type="dxa"/>
          </w:tcPr>
          <w:p w14:paraId="4DA94399" w14:textId="77777777" w:rsidR="008105B4" w:rsidRPr="00B004EE" w:rsidRDefault="008105B4" w:rsidP="00B004EE">
            <w:pPr>
              <w:jc w:val="both"/>
              <w:rPr>
                <w:rFonts w:ascii="Tahoma" w:hAnsi="Tahoma" w:cs="Tahoma"/>
                <w:sz w:val="20"/>
                <w:szCs w:val="20"/>
              </w:rPr>
            </w:pPr>
          </w:p>
        </w:tc>
        <w:tc>
          <w:tcPr>
            <w:tcW w:w="3174" w:type="dxa"/>
            <w:vAlign w:val="center"/>
          </w:tcPr>
          <w:p w14:paraId="7193247D" w14:textId="77777777" w:rsidR="008105B4" w:rsidRPr="00B004EE" w:rsidRDefault="008105B4" w:rsidP="00B004EE">
            <w:pPr>
              <w:jc w:val="both"/>
              <w:rPr>
                <w:rFonts w:ascii="Tahoma" w:hAnsi="Tahoma" w:cs="Tahoma"/>
                <w:sz w:val="20"/>
                <w:szCs w:val="20"/>
              </w:rPr>
            </w:pPr>
            <w:r w:rsidRPr="00B004EE">
              <w:rPr>
                <w:rFonts w:ascii="Tahoma" w:hAnsi="Tahoma" w:cs="Tahoma"/>
                <w:sz w:val="20"/>
                <w:szCs w:val="20"/>
              </w:rPr>
              <w:t>1,2-dichloroéthane</w:t>
            </w:r>
          </w:p>
        </w:tc>
        <w:tc>
          <w:tcPr>
            <w:tcW w:w="2330" w:type="dxa"/>
          </w:tcPr>
          <w:p w14:paraId="34EBBC6F" w14:textId="77777777" w:rsidR="008105B4" w:rsidRPr="00B004EE" w:rsidRDefault="008105B4" w:rsidP="00B004EE">
            <w:pPr>
              <w:jc w:val="both"/>
              <w:rPr>
                <w:rFonts w:ascii="Tahoma" w:hAnsi="Tahoma" w:cs="Tahoma"/>
                <w:sz w:val="20"/>
                <w:szCs w:val="20"/>
              </w:rPr>
            </w:pPr>
          </w:p>
        </w:tc>
        <w:tc>
          <w:tcPr>
            <w:tcW w:w="2268" w:type="dxa"/>
          </w:tcPr>
          <w:p w14:paraId="52A8ACE3" w14:textId="77777777" w:rsidR="008105B4" w:rsidRPr="00B004EE" w:rsidRDefault="008105B4" w:rsidP="00B004EE">
            <w:pPr>
              <w:jc w:val="both"/>
              <w:rPr>
                <w:rFonts w:ascii="Tahoma" w:hAnsi="Tahoma" w:cs="Tahoma"/>
                <w:sz w:val="20"/>
                <w:szCs w:val="20"/>
              </w:rPr>
            </w:pPr>
          </w:p>
        </w:tc>
        <w:tc>
          <w:tcPr>
            <w:tcW w:w="1313" w:type="dxa"/>
            <w:vAlign w:val="center"/>
          </w:tcPr>
          <w:p w14:paraId="2BFD7401" w14:textId="77777777" w:rsidR="008105B4" w:rsidRPr="00B004EE" w:rsidRDefault="008105B4" w:rsidP="00B004EE">
            <w:pPr>
              <w:jc w:val="both"/>
              <w:rPr>
                <w:rFonts w:ascii="Tahoma" w:hAnsi="Tahoma" w:cs="Tahoma"/>
                <w:sz w:val="20"/>
                <w:szCs w:val="20"/>
              </w:rPr>
            </w:pPr>
          </w:p>
        </w:tc>
      </w:tr>
      <w:tr w:rsidR="00150C90" w:rsidRPr="00B004EE" w14:paraId="5B97586D" w14:textId="77777777" w:rsidTr="00DE14A0">
        <w:trPr>
          <w:jc w:val="center"/>
        </w:trPr>
        <w:tc>
          <w:tcPr>
            <w:tcW w:w="587" w:type="dxa"/>
          </w:tcPr>
          <w:p w14:paraId="11F5EA9E" w14:textId="77777777" w:rsidR="008105B4" w:rsidRPr="00B004EE" w:rsidRDefault="008105B4" w:rsidP="00B004EE">
            <w:pPr>
              <w:jc w:val="both"/>
              <w:rPr>
                <w:rFonts w:ascii="Tahoma" w:hAnsi="Tahoma" w:cs="Tahoma"/>
                <w:sz w:val="20"/>
                <w:szCs w:val="20"/>
              </w:rPr>
            </w:pPr>
          </w:p>
        </w:tc>
        <w:tc>
          <w:tcPr>
            <w:tcW w:w="3174" w:type="dxa"/>
            <w:vAlign w:val="center"/>
          </w:tcPr>
          <w:p w14:paraId="223664AD" w14:textId="77777777" w:rsidR="008105B4" w:rsidRPr="00B004EE" w:rsidRDefault="008105B4" w:rsidP="00B004EE">
            <w:pPr>
              <w:jc w:val="both"/>
              <w:rPr>
                <w:rFonts w:ascii="Tahoma" w:hAnsi="Tahoma" w:cs="Tahoma"/>
                <w:sz w:val="20"/>
                <w:szCs w:val="20"/>
              </w:rPr>
            </w:pPr>
            <w:r w:rsidRPr="00B004EE">
              <w:rPr>
                <w:rFonts w:ascii="Tahoma" w:hAnsi="Tahoma" w:cs="Tahoma"/>
                <w:sz w:val="20"/>
                <w:szCs w:val="20"/>
              </w:rPr>
              <w:t>Epichlorhydrine</w:t>
            </w:r>
          </w:p>
        </w:tc>
        <w:tc>
          <w:tcPr>
            <w:tcW w:w="2330" w:type="dxa"/>
          </w:tcPr>
          <w:p w14:paraId="1BC0F9F2" w14:textId="77777777" w:rsidR="008105B4" w:rsidRPr="00B004EE" w:rsidRDefault="008105B4" w:rsidP="00B004EE">
            <w:pPr>
              <w:jc w:val="both"/>
              <w:rPr>
                <w:rFonts w:ascii="Tahoma" w:hAnsi="Tahoma" w:cs="Tahoma"/>
                <w:sz w:val="20"/>
                <w:szCs w:val="20"/>
              </w:rPr>
            </w:pPr>
          </w:p>
        </w:tc>
        <w:tc>
          <w:tcPr>
            <w:tcW w:w="2268" w:type="dxa"/>
          </w:tcPr>
          <w:p w14:paraId="55417C20" w14:textId="77777777" w:rsidR="008105B4" w:rsidRPr="00B004EE" w:rsidRDefault="008105B4" w:rsidP="00B004EE">
            <w:pPr>
              <w:jc w:val="both"/>
              <w:rPr>
                <w:rFonts w:ascii="Tahoma" w:hAnsi="Tahoma" w:cs="Tahoma"/>
                <w:sz w:val="20"/>
                <w:szCs w:val="20"/>
              </w:rPr>
            </w:pPr>
          </w:p>
        </w:tc>
        <w:tc>
          <w:tcPr>
            <w:tcW w:w="1313" w:type="dxa"/>
            <w:vAlign w:val="center"/>
          </w:tcPr>
          <w:p w14:paraId="4C43AED7" w14:textId="77777777" w:rsidR="008105B4" w:rsidRPr="00B004EE" w:rsidRDefault="008105B4" w:rsidP="00B004EE">
            <w:pPr>
              <w:jc w:val="both"/>
              <w:rPr>
                <w:rFonts w:ascii="Tahoma" w:hAnsi="Tahoma" w:cs="Tahoma"/>
                <w:sz w:val="20"/>
                <w:szCs w:val="20"/>
              </w:rPr>
            </w:pPr>
          </w:p>
        </w:tc>
      </w:tr>
      <w:tr w:rsidR="00150C90" w:rsidRPr="00B004EE" w14:paraId="069CD0DD" w14:textId="77777777" w:rsidTr="00DE14A0">
        <w:trPr>
          <w:jc w:val="center"/>
        </w:trPr>
        <w:tc>
          <w:tcPr>
            <w:tcW w:w="587" w:type="dxa"/>
          </w:tcPr>
          <w:p w14:paraId="58284422" w14:textId="77777777" w:rsidR="008105B4" w:rsidRPr="00B004EE" w:rsidRDefault="008105B4" w:rsidP="00B004EE">
            <w:pPr>
              <w:jc w:val="both"/>
              <w:rPr>
                <w:rFonts w:ascii="Tahoma" w:hAnsi="Tahoma" w:cs="Tahoma"/>
                <w:sz w:val="20"/>
                <w:szCs w:val="20"/>
              </w:rPr>
            </w:pPr>
          </w:p>
        </w:tc>
        <w:tc>
          <w:tcPr>
            <w:tcW w:w="3174" w:type="dxa"/>
            <w:vAlign w:val="center"/>
          </w:tcPr>
          <w:p w14:paraId="1BCAB3D4" w14:textId="77777777" w:rsidR="008105B4" w:rsidRPr="00B004EE" w:rsidRDefault="008105B4" w:rsidP="00B004EE">
            <w:pPr>
              <w:jc w:val="both"/>
              <w:rPr>
                <w:rFonts w:ascii="Tahoma" w:hAnsi="Tahoma" w:cs="Tahoma"/>
                <w:sz w:val="20"/>
                <w:szCs w:val="20"/>
              </w:rPr>
            </w:pPr>
            <w:r w:rsidRPr="00B004EE">
              <w:rPr>
                <w:rFonts w:ascii="Tahoma" w:hAnsi="Tahoma" w:cs="Tahoma"/>
                <w:sz w:val="20"/>
                <w:szCs w:val="20"/>
              </w:rPr>
              <w:t>Fluorures</w:t>
            </w:r>
          </w:p>
        </w:tc>
        <w:tc>
          <w:tcPr>
            <w:tcW w:w="2330" w:type="dxa"/>
            <w:vAlign w:val="center"/>
          </w:tcPr>
          <w:p w14:paraId="4A619FEF" w14:textId="77777777" w:rsidR="008105B4" w:rsidRPr="00B004EE" w:rsidRDefault="008105B4" w:rsidP="00B004EE">
            <w:pPr>
              <w:jc w:val="both"/>
              <w:rPr>
                <w:rFonts w:ascii="Tahoma" w:hAnsi="Tahoma" w:cs="Tahoma"/>
                <w:sz w:val="20"/>
                <w:szCs w:val="20"/>
              </w:rPr>
            </w:pPr>
          </w:p>
        </w:tc>
        <w:tc>
          <w:tcPr>
            <w:tcW w:w="2268" w:type="dxa"/>
            <w:vAlign w:val="center"/>
          </w:tcPr>
          <w:p w14:paraId="1E417E73" w14:textId="77777777" w:rsidR="008105B4" w:rsidRPr="00B004EE" w:rsidRDefault="008105B4" w:rsidP="00B004EE">
            <w:pPr>
              <w:jc w:val="both"/>
              <w:rPr>
                <w:rFonts w:ascii="Tahoma" w:hAnsi="Tahoma" w:cs="Tahoma"/>
                <w:sz w:val="20"/>
                <w:szCs w:val="20"/>
              </w:rPr>
            </w:pPr>
          </w:p>
        </w:tc>
        <w:tc>
          <w:tcPr>
            <w:tcW w:w="1313" w:type="dxa"/>
            <w:vAlign w:val="center"/>
          </w:tcPr>
          <w:p w14:paraId="519CC776" w14:textId="77777777" w:rsidR="008105B4" w:rsidRPr="00B004EE" w:rsidRDefault="008105B4" w:rsidP="00B004EE">
            <w:pPr>
              <w:jc w:val="both"/>
              <w:rPr>
                <w:rFonts w:ascii="Tahoma" w:hAnsi="Tahoma" w:cs="Tahoma"/>
                <w:sz w:val="20"/>
                <w:szCs w:val="20"/>
              </w:rPr>
            </w:pPr>
          </w:p>
        </w:tc>
      </w:tr>
      <w:tr w:rsidR="00150C90" w:rsidRPr="00B004EE" w14:paraId="0DAAF2C8" w14:textId="77777777" w:rsidTr="00DE14A0">
        <w:trPr>
          <w:jc w:val="center"/>
        </w:trPr>
        <w:tc>
          <w:tcPr>
            <w:tcW w:w="587" w:type="dxa"/>
          </w:tcPr>
          <w:p w14:paraId="49055D57" w14:textId="77777777" w:rsidR="008105B4" w:rsidRPr="00B004EE" w:rsidRDefault="008105B4" w:rsidP="00B004EE">
            <w:pPr>
              <w:jc w:val="both"/>
              <w:rPr>
                <w:rFonts w:ascii="Tahoma" w:hAnsi="Tahoma" w:cs="Tahoma"/>
                <w:sz w:val="20"/>
                <w:szCs w:val="20"/>
              </w:rPr>
            </w:pPr>
          </w:p>
        </w:tc>
        <w:tc>
          <w:tcPr>
            <w:tcW w:w="3174" w:type="dxa"/>
            <w:vAlign w:val="center"/>
          </w:tcPr>
          <w:p w14:paraId="6DDAAF24" w14:textId="53509A6D" w:rsidR="008105B4" w:rsidRPr="00B004EE" w:rsidRDefault="008105B4" w:rsidP="00B004EE">
            <w:pPr>
              <w:jc w:val="both"/>
              <w:rPr>
                <w:rFonts w:ascii="Tahoma" w:hAnsi="Tahoma" w:cs="Tahoma"/>
                <w:sz w:val="20"/>
                <w:szCs w:val="20"/>
              </w:rPr>
            </w:pPr>
            <w:r w:rsidRPr="00B004EE">
              <w:rPr>
                <w:rFonts w:ascii="Tahoma" w:hAnsi="Tahoma" w:cs="Tahoma"/>
                <w:sz w:val="20"/>
                <w:szCs w:val="20"/>
              </w:rPr>
              <w:t>Hydrocarbures</w:t>
            </w:r>
            <w:r w:rsidR="00DB1635" w:rsidRPr="00B004EE">
              <w:rPr>
                <w:rFonts w:ascii="Tahoma" w:hAnsi="Tahoma" w:cs="Tahoma"/>
                <w:sz w:val="20"/>
                <w:szCs w:val="20"/>
              </w:rPr>
              <w:t xml:space="preserve"> </w:t>
            </w:r>
            <w:r w:rsidRPr="00B004EE">
              <w:rPr>
                <w:rFonts w:ascii="Tahoma" w:hAnsi="Tahoma" w:cs="Tahoma"/>
                <w:sz w:val="20"/>
                <w:szCs w:val="20"/>
              </w:rPr>
              <w:t>aromatiques</w:t>
            </w:r>
            <w:r w:rsidR="00DB1635" w:rsidRPr="00B004EE">
              <w:rPr>
                <w:rFonts w:ascii="Tahoma" w:hAnsi="Tahoma" w:cs="Tahoma"/>
                <w:sz w:val="20"/>
                <w:szCs w:val="20"/>
              </w:rPr>
              <w:t xml:space="preserve"> </w:t>
            </w:r>
            <w:r w:rsidRPr="00B004EE">
              <w:rPr>
                <w:rFonts w:ascii="Tahoma" w:hAnsi="Tahoma" w:cs="Tahoma"/>
                <w:sz w:val="20"/>
                <w:szCs w:val="20"/>
              </w:rPr>
              <w:t>polycycliques</w:t>
            </w:r>
          </w:p>
        </w:tc>
        <w:tc>
          <w:tcPr>
            <w:tcW w:w="2330" w:type="dxa"/>
            <w:vAlign w:val="center"/>
          </w:tcPr>
          <w:p w14:paraId="797DDE6D" w14:textId="77777777" w:rsidR="008105B4" w:rsidRPr="00B004EE" w:rsidRDefault="008105B4" w:rsidP="00B004EE">
            <w:pPr>
              <w:jc w:val="both"/>
              <w:rPr>
                <w:rFonts w:ascii="Tahoma" w:hAnsi="Tahoma" w:cs="Tahoma"/>
                <w:sz w:val="20"/>
                <w:szCs w:val="20"/>
              </w:rPr>
            </w:pPr>
          </w:p>
        </w:tc>
        <w:tc>
          <w:tcPr>
            <w:tcW w:w="2268" w:type="dxa"/>
            <w:vAlign w:val="center"/>
          </w:tcPr>
          <w:p w14:paraId="6CCB0098" w14:textId="77777777" w:rsidR="008105B4" w:rsidRPr="00B004EE" w:rsidRDefault="008105B4" w:rsidP="00B004EE">
            <w:pPr>
              <w:jc w:val="both"/>
              <w:rPr>
                <w:rFonts w:ascii="Tahoma" w:hAnsi="Tahoma" w:cs="Tahoma"/>
                <w:sz w:val="20"/>
                <w:szCs w:val="20"/>
              </w:rPr>
            </w:pPr>
          </w:p>
        </w:tc>
        <w:tc>
          <w:tcPr>
            <w:tcW w:w="1313" w:type="dxa"/>
            <w:vAlign w:val="center"/>
          </w:tcPr>
          <w:p w14:paraId="42E2B0F1" w14:textId="77777777" w:rsidR="008105B4" w:rsidRPr="00B004EE" w:rsidRDefault="008105B4" w:rsidP="00B004EE">
            <w:pPr>
              <w:jc w:val="both"/>
              <w:rPr>
                <w:rFonts w:ascii="Tahoma" w:hAnsi="Tahoma" w:cs="Tahoma"/>
                <w:sz w:val="20"/>
                <w:szCs w:val="20"/>
              </w:rPr>
            </w:pPr>
          </w:p>
        </w:tc>
      </w:tr>
      <w:tr w:rsidR="00150C90" w:rsidRPr="00B004EE" w14:paraId="5C1748C4" w14:textId="77777777" w:rsidTr="00DE14A0">
        <w:trPr>
          <w:jc w:val="center"/>
        </w:trPr>
        <w:tc>
          <w:tcPr>
            <w:tcW w:w="587" w:type="dxa"/>
          </w:tcPr>
          <w:p w14:paraId="7230A557" w14:textId="77777777" w:rsidR="008105B4" w:rsidRPr="00B004EE" w:rsidRDefault="008105B4" w:rsidP="00B004EE">
            <w:pPr>
              <w:jc w:val="both"/>
              <w:rPr>
                <w:rFonts w:ascii="Tahoma" w:hAnsi="Tahoma" w:cs="Tahoma"/>
                <w:sz w:val="20"/>
                <w:szCs w:val="20"/>
              </w:rPr>
            </w:pPr>
          </w:p>
        </w:tc>
        <w:tc>
          <w:tcPr>
            <w:tcW w:w="3174" w:type="dxa"/>
            <w:vAlign w:val="center"/>
          </w:tcPr>
          <w:p w14:paraId="4F43EDC5" w14:textId="77777777" w:rsidR="008105B4" w:rsidRPr="00B004EE" w:rsidRDefault="008105B4" w:rsidP="00B004EE">
            <w:pPr>
              <w:jc w:val="both"/>
              <w:rPr>
                <w:rFonts w:ascii="Tahoma" w:eastAsia="Arial Unicode MS" w:hAnsi="Tahoma" w:cs="Tahoma"/>
                <w:sz w:val="20"/>
                <w:szCs w:val="20"/>
                <w:lang w:val="de-DE"/>
              </w:rPr>
            </w:pPr>
            <w:r w:rsidRPr="00B004EE">
              <w:rPr>
                <w:rFonts w:ascii="Tahoma" w:hAnsi="Tahoma" w:cs="Tahoma"/>
                <w:sz w:val="20"/>
                <w:szCs w:val="20"/>
                <w:lang w:val="de-DE"/>
              </w:rPr>
              <w:t>Manganèse</w:t>
            </w:r>
          </w:p>
        </w:tc>
        <w:tc>
          <w:tcPr>
            <w:tcW w:w="2330" w:type="dxa"/>
            <w:vAlign w:val="center"/>
          </w:tcPr>
          <w:p w14:paraId="7C057F72" w14:textId="77777777" w:rsidR="008105B4" w:rsidRPr="00B004EE" w:rsidRDefault="008105B4" w:rsidP="00B004EE">
            <w:pPr>
              <w:jc w:val="both"/>
              <w:rPr>
                <w:rFonts w:ascii="Tahoma" w:eastAsia="Arial Unicode MS" w:hAnsi="Tahoma" w:cs="Tahoma"/>
                <w:sz w:val="20"/>
                <w:szCs w:val="20"/>
                <w:lang w:val="de-DE"/>
              </w:rPr>
            </w:pPr>
            <w:r w:rsidRPr="00B004EE">
              <w:rPr>
                <w:rFonts w:ascii="Tahoma" w:hAnsi="Tahoma" w:cs="Tahoma"/>
                <w:sz w:val="20"/>
                <w:szCs w:val="20"/>
                <w:lang w:val="de-DE"/>
              </w:rPr>
              <w:t>50</w:t>
            </w:r>
          </w:p>
        </w:tc>
        <w:tc>
          <w:tcPr>
            <w:tcW w:w="2268" w:type="dxa"/>
            <w:vAlign w:val="center"/>
          </w:tcPr>
          <w:p w14:paraId="79F7334B" w14:textId="77777777" w:rsidR="008105B4" w:rsidRPr="00B004EE" w:rsidRDefault="008105B4" w:rsidP="00B004EE">
            <w:pPr>
              <w:jc w:val="both"/>
              <w:rPr>
                <w:rFonts w:ascii="Tahoma" w:eastAsia="Arial Unicode MS" w:hAnsi="Tahoma" w:cs="Tahoma"/>
                <w:sz w:val="20"/>
                <w:szCs w:val="20"/>
                <w:lang w:val="de-DE"/>
              </w:rPr>
            </w:pPr>
            <w:r w:rsidRPr="00B004EE">
              <w:rPr>
                <w:rFonts w:ascii="Tahoma" w:hAnsi="Tahoma" w:cs="Tahoma"/>
                <w:sz w:val="20"/>
                <w:szCs w:val="20"/>
                <w:lang w:val="de-DE"/>
              </w:rPr>
              <w:t>µg/l</w:t>
            </w:r>
          </w:p>
        </w:tc>
        <w:tc>
          <w:tcPr>
            <w:tcW w:w="1313" w:type="dxa"/>
            <w:vAlign w:val="center"/>
          </w:tcPr>
          <w:p w14:paraId="1B77C041" w14:textId="1C676EF5" w:rsidR="008105B4" w:rsidRPr="00B004EE" w:rsidRDefault="008105B4" w:rsidP="00B004EE">
            <w:pPr>
              <w:jc w:val="both"/>
              <w:rPr>
                <w:rFonts w:ascii="Tahoma" w:eastAsia="Arial Unicode MS" w:hAnsi="Tahoma" w:cs="Tahoma"/>
                <w:sz w:val="20"/>
                <w:szCs w:val="20"/>
              </w:rPr>
            </w:pPr>
            <w:r w:rsidRPr="00B004EE">
              <w:rPr>
                <w:rFonts w:ascii="Tahoma" w:hAnsi="Tahoma" w:cs="Tahoma"/>
                <w:sz w:val="20"/>
                <w:szCs w:val="20"/>
              </w:rPr>
              <w:t>Note</w:t>
            </w:r>
            <w:r w:rsidR="00DB1635" w:rsidRPr="00B004EE">
              <w:rPr>
                <w:rFonts w:ascii="Tahoma" w:hAnsi="Tahoma" w:cs="Tahoma"/>
                <w:sz w:val="20"/>
                <w:szCs w:val="20"/>
              </w:rPr>
              <w:t xml:space="preserve"> </w:t>
            </w:r>
            <w:r w:rsidRPr="00B004EE">
              <w:rPr>
                <w:rFonts w:ascii="Tahoma" w:hAnsi="Tahoma" w:cs="Tahoma"/>
                <w:sz w:val="20"/>
                <w:szCs w:val="20"/>
              </w:rPr>
              <w:t>2</w:t>
            </w:r>
          </w:p>
        </w:tc>
      </w:tr>
      <w:tr w:rsidR="00150C90" w:rsidRPr="00B004EE" w14:paraId="4489B44D" w14:textId="77777777" w:rsidTr="00DE14A0">
        <w:trPr>
          <w:jc w:val="center"/>
        </w:trPr>
        <w:tc>
          <w:tcPr>
            <w:tcW w:w="587" w:type="dxa"/>
          </w:tcPr>
          <w:p w14:paraId="044F682A" w14:textId="77777777" w:rsidR="008105B4" w:rsidRPr="00B004EE" w:rsidRDefault="008105B4" w:rsidP="00B004EE">
            <w:pPr>
              <w:jc w:val="both"/>
              <w:rPr>
                <w:rFonts w:ascii="Tahoma" w:hAnsi="Tahoma" w:cs="Tahoma"/>
                <w:sz w:val="20"/>
                <w:szCs w:val="20"/>
              </w:rPr>
            </w:pPr>
          </w:p>
        </w:tc>
        <w:tc>
          <w:tcPr>
            <w:tcW w:w="3174" w:type="dxa"/>
            <w:vAlign w:val="center"/>
          </w:tcPr>
          <w:p w14:paraId="755BC861" w14:textId="77777777" w:rsidR="008105B4" w:rsidRPr="00B004EE" w:rsidRDefault="008105B4" w:rsidP="00B004EE">
            <w:pPr>
              <w:jc w:val="both"/>
              <w:rPr>
                <w:rFonts w:ascii="Tahoma" w:hAnsi="Tahoma" w:cs="Tahoma"/>
                <w:sz w:val="20"/>
                <w:szCs w:val="20"/>
              </w:rPr>
            </w:pPr>
            <w:r w:rsidRPr="00B004EE">
              <w:rPr>
                <w:rFonts w:ascii="Tahoma" w:hAnsi="Tahoma" w:cs="Tahoma"/>
                <w:sz w:val="20"/>
                <w:szCs w:val="20"/>
              </w:rPr>
              <w:t>Mercure</w:t>
            </w:r>
          </w:p>
        </w:tc>
        <w:tc>
          <w:tcPr>
            <w:tcW w:w="2330" w:type="dxa"/>
            <w:vAlign w:val="center"/>
          </w:tcPr>
          <w:p w14:paraId="5D23291F" w14:textId="77777777" w:rsidR="008105B4" w:rsidRPr="00B004EE" w:rsidRDefault="008105B4" w:rsidP="00B004EE">
            <w:pPr>
              <w:jc w:val="both"/>
              <w:rPr>
                <w:rFonts w:ascii="Tahoma" w:hAnsi="Tahoma" w:cs="Tahoma"/>
                <w:sz w:val="20"/>
                <w:szCs w:val="20"/>
              </w:rPr>
            </w:pPr>
          </w:p>
        </w:tc>
        <w:tc>
          <w:tcPr>
            <w:tcW w:w="2268" w:type="dxa"/>
            <w:vAlign w:val="center"/>
          </w:tcPr>
          <w:p w14:paraId="28ED7C14" w14:textId="77777777" w:rsidR="008105B4" w:rsidRPr="00B004EE" w:rsidRDefault="008105B4" w:rsidP="00B004EE">
            <w:pPr>
              <w:jc w:val="both"/>
              <w:rPr>
                <w:rFonts w:ascii="Tahoma" w:hAnsi="Tahoma" w:cs="Tahoma"/>
                <w:sz w:val="20"/>
                <w:szCs w:val="20"/>
              </w:rPr>
            </w:pPr>
          </w:p>
        </w:tc>
        <w:tc>
          <w:tcPr>
            <w:tcW w:w="1313" w:type="dxa"/>
            <w:vAlign w:val="center"/>
          </w:tcPr>
          <w:p w14:paraId="39BDE1BC" w14:textId="77777777" w:rsidR="008105B4" w:rsidRPr="00B004EE" w:rsidRDefault="008105B4" w:rsidP="00B004EE">
            <w:pPr>
              <w:jc w:val="both"/>
              <w:rPr>
                <w:rFonts w:ascii="Tahoma" w:hAnsi="Tahoma" w:cs="Tahoma"/>
                <w:sz w:val="20"/>
                <w:szCs w:val="20"/>
              </w:rPr>
            </w:pPr>
          </w:p>
        </w:tc>
      </w:tr>
      <w:tr w:rsidR="00150C90" w:rsidRPr="00B004EE" w14:paraId="62423848" w14:textId="77777777" w:rsidTr="00DE14A0">
        <w:trPr>
          <w:jc w:val="center"/>
        </w:trPr>
        <w:tc>
          <w:tcPr>
            <w:tcW w:w="587" w:type="dxa"/>
          </w:tcPr>
          <w:p w14:paraId="71D6C0FE" w14:textId="77777777" w:rsidR="008105B4" w:rsidRPr="00B004EE" w:rsidRDefault="008105B4" w:rsidP="00B004EE">
            <w:pPr>
              <w:jc w:val="both"/>
              <w:rPr>
                <w:rFonts w:ascii="Tahoma" w:hAnsi="Tahoma" w:cs="Tahoma"/>
                <w:sz w:val="20"/>
                <w:szCs w:val="20"/>
              </w:rPr>
            </w:pPr>
          </w:p>
        </w:tc>
        <w:tc>
          <w:tcPr>
            <w:tcW w:w="3174" w:type="dxa"/>
            <w:vAlign w:val="center"/>
          </w:tcPr>
          <w:p w14:paraId="56B6B400" w14:textId="77777777" w:rsidR="008105B4" w:rsidRPr="00B004EE" w:rsidRDefault="008105B4" w:rsidP="00B004EE">
            <w:pPr>
              <w:jc w:val="both"/>
              <w:rPr>
                <w:rFonts w:ascii="Tahoma" w:hAnsi="Tahoma" w:cs="Tahoma"/>
                <w:sz w:val="20"/>
                <w:szCs w:val="20"/>
              </w:rPr>
            </w:pPr>
            <w:r w:rsidRPr="00B004EE">
              <w:rPr>
                <w:rFonts w:ascii="Tahoma" w:hAnsi="Tahoma" w:cs="Tahoma"/>
                <w:sz w:val="20"/>
                <w:szCs w:val="20"/>
              </w:rPr>
              <w:t>Nickel</w:t>
            </w:r>
          </w:p>
        </w:tc>
        <w:tc>
          <w:tcPr>
            <w:tcW w:w="2330" w:type="dxa"/>
            <w:vAlign w:val="center"/>
          </w:tcPr>
          <w:p w14:paraId="3A245B36" w14:textId="77777777" w:rsidR="008105B4" w:rsidRPr="00B004EE" w:rsidRDefault="008105B4" w:rsidP="00B004EE">
            <w:pPr>
              <w:jc w:val="both"/>
              <w:rPr>
                <w:rFonts w:ascii="Tahoma" w:hAnsi="Tahoma" w:cs="Tahoma"/>
                <w:sz w:val="20"/>
                <w:szCs w:val="20"/>
              </w:rPr>
            </w:pPr>
          </w:p>
        </w:tc>
        <w:tc>
          <w:tcPr>
            <w:tcW w:w="2268" w:type="dxa"/>
            <w:vAlign w:val="center"/>
          </w:tcPr>
          <w:p w14:paraId="1FCC0015" w14:textId="77777777" w:rsidR="008105B4" w:rsidRPr="00B004EE" w:rsidRDefault="008105B4" w:rsidP="00B004EE">
            <w:pPr>
              <w:jc w:val="both"/>
              <w:rPr>
                <w:rFonts w:ascii="Tahoma" w:hAnsi="Tahoma" w:cs="Tahoma"/>
                <w:sz w:val="20"/>
                <w:szCs w:val="20"/>
              </w:rPr>
            </w:pPr>
          </w:p>
        </w:tc>
        <w:tc>
          <w:tcPr>
            <w:tcW w:w="1313" w:type="dxa"/>
            <w:vAlign w:val="center"/>
          </w:tcPr>
          <w:p w14:paraId="702BFAD2" w14:textId="77777777" w:rsidR="008105B4" w:rsidRPr="00B004EE" w:rsidRDefault="008105B4" w:rsidP="00B004EE">
            <w:pPr>
              <w:jc w:val="both"/>
              <w:rPr>
                <w:rFonts w:ascii="Tahoma" w:hAnsi="Tahoma" w:cs="Tahoma"/>
                <w:sz w:val="20"/>
                <w:szCs w:val="20"/>
              </w:rPr>
            </w:pPr>
          </w:p>
        </w:tc>
      </w:tr>
      <w:tr w:rsidR="00150C90" w:rsidRPr="00B004EE" w14:paraId="67964904" w14:textId="77777777" w:rsidTr="00DE14A0">
        <w:trPr>
          <w:jc w:val="center"/>
        </w:trPr>
        <w:tc>
          <w:tcPr>
            <w:tcW w:w="587" w:type="dxa"/>
          </w:tcPr>
          <w:p w14:paraId="217614E0" w14:textId="77777777" w:rsidR="008105B4" w:rsidRPr="00B004EE" w:rsidRDefault="008105B4" w:rsidP="00B004EE">
            <w:pPr>
              <w:jc w:val="both"/>
              <w:rPr>
                <w:rFonts w:ascii="Tahoma" w:hAnsi="Tahoma" w:cs="Tahoma"/>
                <w:sz w:val="20"/>
                <w:szCs w:val="20"/>
              </w:rPr>
            </w:pPr>
          </w:p>
        </w:tc>
        <w:tc>
          <w:tcPr>
            <w:tcW w:w="3174" w:type="dxa"/>
            <w:vAlign w:val="center"/>
          </w:tcPr>
          <w:p w14:paraId="4A0B8C5F" w14:textId="06651345" w:rsidR="008105B4" w:rsidRPr="00B004EE" w:rsidRDefault="008105B4" w:rsidP="00B004EE">
            <w:pPr>
              <w:jc w:val="both"/>
              <w:rPr>
                <w:rFonts w:ascii="Tahoma" w:hAnsi="Tahoma" w:cs="Tahoma"/>
                <w:sz w:val="20"/>
                <w:szCs w:val="20"/>
              </w:rPr>
            </w:pPr>
            <w:r w:rsidRPr="00B004EE">
              <w:rPr>
                <w:rFonts w:ascii="Tahoma" w:hAnsi="Tahoma" w:cs="Tahoma"/>
                <w:sz w:val="20"/>
                <w:szCs w:val="20"/>
              </w:rPr>
              <w:t>Oxydabilité</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permanganate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potassium</w:t>
            </w:r>
          </w:p>
        </w:tc>
        <w:tc>
          <w:tcPr>
            <w:tcW w:w="2330" w:type="dxa"/>
            <w:vAlign w:val="center"/>
          </w:tcPr>
          <w:p w14:paraId="3814FECA" w14:textId="77777777" w:rsidR="008105B4" w:rsidRPr="00B004EE" w:rsidRDefault="008105B4" w:rsidP="00B004EE">
            <w:pPr>
              <w:jc w:val="both"/>
              <w:rPr>
                <w:rFonts w:ascii="Tahoma" w:hAnsi="Tahoma" w:cs="Tahoma"/>
                <w:sz w:val="20"/>
                <w:szCs w:val="20"/>
                <w:lang w:val="en-GB"/>
              </w:rPr>
            </w:pPr>
            <w:r w:rsidRPr="00B004EE">
              <w:rPr>
                <w:rFonts w:ascii="Tahoma" w:hAnsi="Tahoma" w:cs="Tahoma"/>
                <w:sz w:val="20"/>
                <w:szCs w:val="20"/>
                <w:lang w:val="en-GB"/>
              </w:rPr>
              <w:t>5,0</w:t>
            </w:r>
          </w:p>
        </w:tc>
        <w:tc>
          <w:tcPr>
            <w:tcW w:w="2268" w:type="dxa"/>
            <w:vAlign w:val="center"/>
          </w:tcPr>
          <w:p w14:paraId="187F62E7" w14:textId="2E6AE9A9" w:rsidR="008105B4" w:rsidRPr="00B004EE" w:rsidRDefault="008105B4" w:rsidP="00B004EE">
            <w:pPr>
              <w:jc w:val="both"/>
              <w:rPr>
                <w:rFonts w:ascii="Tahoma" w:hAnsi="Tahoma" w:cs="Tahoma"/>
                <w:sz w:val="20"/>
                <w:szCs w:val="20"/>
                <w:lang w:val="en-GB"/>
              </w:rPr>
            </w:pPr>
            <w:r w:rsidRPr="00B004EE">
              <w:rPr>
                <w:rFonts w:ascii="Tahoma" w:hAnsi="Tahoma" w:cs="Tahoma"/>
                <w:sz w:val="20"/>
                <w:szCs w:val="20"/>
                <w:lang w:val="en-GB"/>
              </w:rPr>
              <w:t>Mg/l</w:t>
            </w:r>
            <w:r w:rsidR="00DB1635" w:rsidRPr="00B004EE">
              <w:rPr>
                <w:rFonts w:ascii="Tahoma" w:hAnsi="Tahoma" w:cs="Tahoma"/>
                <w:sz w:val="20"/>
                <w:szCs w:val="20"/>
                <w:lang w:val="en-GB"/>
              </w:rPr>
              <w:t xml:space="preserve"> </w:t>
            </w:r>
            <w:r w:rsidRPr="00B004EE">
              <w:rPr>
                <w:rFonts w:ascii="Tahoma" w:hAnsi="Tahoma" w:cs="Tahoma"/>
                <w:sz w:val="20"/>
                <w:szCs w:val="20"/>
                <w:lang w:val="en-GB"/>
              </w:rPr>
              <w:t>O</w:t>
            </w:r>
            <w:r w:rsidRPr="00B004EE">
              <w:rPr>
                <w:rFonts w:ascii="Tahoma" w:hAnsi="Tahoma" w:cs="Tahoma"/>
                <w:sz w:val="20"/>
                <w:szCs w:val="20"/>
                <w:vertAlign w:val="subscript"/>
                <w:lang w:val="en-GB"/>
              </w:rPr>
              <w:t>2</w:t>
            </w:r>
          </w:p>
        </w:tc>
        <w:tc>
          <w:tcPr>
            <w:tcW w:w="1313" w:type="dxa"/>
            <w:vAlign w:val="center"/>
          </w:tcPr>
          <w:p w14:paraId="6A01F163" w14:textId="5598C782" w:rsidR="008105B4" w:rsidRPr="00B004EE" w:rsidRDefault="008105B4" w:rsidP="00B004EE">
            <w:pPr>
              <w:jc w:val="both"/>
              <w:rPr>
                <w:rFonts w:ascii="Tahoma" w:hAnsi="Tahoma" w:cs="Tahoma"/>
                <w:sz w:val="20"/>
                <w:szCs w:val="20"/>
                <w:lang w:val="en-GB"/>
              </w:rPr>
            </w:pPr>
            <w:r w:rsidRPr="00B004EE">
              <w:rPr>
                <w:rFonts w:ascii="Tahoma" w:hAnsi="Tahoma" w:cs="Tahoma"/>
                <w:sz w:val="20"/>
                <w:szCs w:val="20"/>
                <w:lang w:val="en-GB"/>
              </w:rPr>
              <w:t>Note</w:t>
            </w:r>
            <w:r w:rsidR="00DB1635" w:rsidRPr="00B004EE">
              <w:rPr>
                <w:rFonts w:ascii="Tahoma" w:hAnsi="Tahoma" w:cs="Tahoma"/>
                <w:sz w:val="20"/>
                <w:szCs w:val="20"/>
                <w:lang w:val="en-GB"/>
              </w:rPr>
              <w:t xml:space="preserve"> </w:t>
            </w:r>
            <w:r w:rsidRPr="00B004EE">
              <w:rPr>
                <w:rFonts w:ascii="Tahoma" w:hAnsi="Tahoma" w:cs="Tahoma"/>
                <w:sz w:val="20"/>
                <w:szCs w:val="20"/>
                <w:lang w:val="en-GB"/>
              </w:rPr>
              <w:t>3</w:t>
            </w:r>
          </w:p>
        </w:tc>
      </w:tr>
      <w:tr w:rsidR="00150C90" w:rsidRPr="00B004EE" w14:paraId="7822B189" w14:textId="77777777" w:rsidTr="00DE14A0">
        <w:trPr>
          <w:jc w:val="center"/>
        </w:trPr>
        <w:tc>
          <w:tcPr>
            <w:tcW w:w="587" w:type="dxa"/>
          </w:tcPr>
          <w:p w14:paraId="0B7C076E" w14:textId="77777777" w:rsidR="008105B4" w:rsidRPr="00B004EE" w:rsidRDefault="008105B4" w:rsidP="00B004EE">
            <w:pPr>
              <w:jc w:val="both"/>
              <w:rPr>
                <w:rFonts w:ascii="Tahoma" w:hAnsi="Tahoma" w:cs="Tahoma"/>
                <w:sz w:val="20"/>
                <w:szCs w:val="20"/>
                <w:lang w:val="en-GB"/>
              </w:rPr>
            </w:pPr>
          </w:p>
        </w:tc>
        <w:tc>
          <w:tcPr>
            <w:tcW w:w="3174" w:type="dxa"/>
            <w:vAlign w:val="center"/>
          </w:tcPr>
          <w:p w14:paraId="3035CCCC" w14:textId="3C9EAE96" w:rsidR="008105B4" w:rsidRPr="00B004EE" w:rsidRDefault="008105B4" w:rsidP="00B004EE">
            <w:pPr>
              <w:jc w:val="both"/>
              <w:rPr>
                <w:rFonts w:ascii="Tahoma" w:hAnsi="Tahoma" w:cs="Tahoma"/>
                <w:sz w:val="20"/>
                <w:szCs w:val="20"/>
              </w:rPr>
            </w:pPr>
            <w:r w:rsidRPr="00B004EE">
              <w:rPr>
                <w:rFonts w:ascii="Tahoma" w:hAnsi="Tahoma" w:cs="Tahoma"/>
                <w:sz w:val="20"/>
                <w:szCs w:val="20"/>
              </w:rPr>
              <w:t>Pesticides</w:t>
            </w:r>
            <w:r w:rsidR="00DB1635" w:rsidRPr="00B004EE">
              <w:rPr>
                <w:rFonts w:ascii="Tahoma" w:hAnsi="Tahoma" w:cs="Tahoma"/>
                <w:sz w:val="20"/>
                <w:szCs w:val="20"/>
              </w:rPr>
              <w:t xml:space="preserve"> </w:t>
            </w:r>
            <w:r w:rsidRPr="00B004EE">
              <w:rPr>
                <w:rFonts w:ascii="Tahoma" w:hAnsi="Tahoma" w:cs="Tahoma"/>
                <w:sz w:val="20"/>
                <w:szCs w:val="20"/>
              </w:rPr>
              <w:t>totaux</w:t>
            </w:r>
          </w:p>
        </w:tc>
        <w:tc>
          <w:tcPr>
            <w:tcW w:w="2330" w:type="dxa"/>
            <w:vAlign w:val="center"/>
          </w:tcPr>
          <w:p w14:paraId="1AFE6CAD" w14:textId="77777777" w:rsidR="008105B4" w:rsidRPr="00B004EE" w:rsidRDefault="008105B4" w:rsidP="00B004EE">
            <w:pPr>
              <w:jc w:val="both"/>
              <w:rPr>
                <w:rFonts w:ascii="Tahoma" w:eastAsia="Arial Unicode MS" w:hAnsi="Tahoma" w:cs="Tahoma"/>
                <w:sz w:val="20"/>
                <w:szCs w:val="20"/>
              </w:rPr>
            </w:pPr>
          </w:p>
        </w:tc>
        <w:tc>
          <w:tcPr>
            <w:tcW w:w="2268" w:type="dxa"/>
            <w:vAlign w:val="center"/>
          </w:tcPr>
          <w:p w14:paraId="2D9BF606" w14:textId="77777777" w:rsidR="008105B4" w:rsidRPr="00B004EE" w:rsidRDefault="008105B4" w:rsidP="00B004EE">
            <w:pPr>
              <w:jc w:val="both"/>
              <w:rPr>
                <w:rFonts w:ascii="Tahoma" w:eastAsia="Arial Unicode MS" w:hAnsi="Tahoma" w:cs="Tahoma"/>
                <w:sz w:val="20"/>
                <w:szCs w:val="20"/>
              </w:rPr>
            </w:pPr>
          </w:p>
        </w:tc>
        <w:tc>
          <w:tcPr>
            <w:tcW w:w="1313" w:type="dxa"/>
            <w:vAlign w:val="center"/>
          </w:tcPr>
          <w:p w14:paraId="533A2177" w14:textId="77777777" w:rsidR="008105B4" w:rsidRPr="00B004EE" w:rsidRDefault="008105B4" w:rsidP="00B004EE">
            <w:pPr>
              <w:jc w:val="both"/>
              <w:rPr>
                <w:rFonts w:ascii="Tahoma" w:hAnsi="Tahoma" w:cs="Tahoma"/>
                <w:sz w:val="20"/>
                <w:szCs w:val="20"/>
              </w:rPr>
            </w:pPr>
          </w:p>
        </w:tc>
      </w:tr>
      <w:tr w:rsidR="00150C90" w:rsidRPr="00B004EE" w14:paraId="4C76EC6E" w14:textId="77777777" w:rsidTr="00DE14A0">
        <w:trPr>
          <w:jc w:val="center"/>
        </w:trPr>
        <w:tc>
          <w:tcPr>
            <w:tcW w:w="587" w:type="dxa"/>
          </w:tcPr>
          <w:p w14:paraId="6601D6C5" w14:textId="77777777" w:rsidR="008105B4" w:rsidRPr="00B004EE" w:rsidRDefault="008105B4" w:rsidP="00B004EE">
            <w:pPr>
              <w:jc w:val="both"/>
              <w:rPr>
                <w:rFonts w:ascii="Tahoma" w:hAnsi="Tahoma" w:cs="Tahoma"/>
                <w:sz w:val="20"/>
                <w:szCs w:val="20"/>
              </w:rPr>
            </w:pPr>
          </w:p>
        </w:tc>
        <w:tc>
          <w:tcPr>
            <w:tcW w:w="3174" w:type="dxa"/>
            <w:vAlign w:val="center"/>
          </w:tcPr>
          <w:p w14:paraId="6F992319" w14:textId="77777777" w:rsidR="008105B4" w:rsidRPr="00B004EE" w:rsidRDefault="008105B4" w:rsidP="00B004EE">
            <w:pPr>
              <w:jc w:val="both"/>
              <w:rPr>
                <w:rFonts w:ascii="Tahoma" w:hAnsi="Tahoma" w:cs="Tahoma"/>
                <w:sz w:val="20"/>
                <w:szCs w:val="20"/>
              </w:rPr>
            </w:pPr>
            <w:r w:rsidRPr="00B004EE">
              <w:rPr>
                <w:rFonts w:ascii="Tahoma" w:hAnsi="Tahoma" w:cs="Tahoma"/>
                <w:sz w:val="20"/>
                <w:szCs w:val="20"/>
              </w:rPr>
              <w:t>Plomb</w:t>
            </w:r>
          </w:p>
        </w:tc>
        <w:tc>
          <w:tcPr>
            <w:tcW w:w="2330" w:type="dxa"/>
            <w:vAlign w:val="center"/>
          </w:tcPr>
          <w:p w14:paraId="60E4669F" w14:textId="77777777" w:rsidR="008105B4" w:rsidRPr="00B004EE" w:rsidRDefault="008105B4" w:rsidP="00B004EE">
            <w:pPr>
              <w:jc w:val="both"/>
              <w:rPr>
                <w:rFonts w:ascii="Tahoma" w:eastAsia="Arial Unicode MS" w:hAnsi="Tahoma" w:cs="Tahoma"/>
                <w:sz w:val="20"/>
                <w:szCs w:val="20"/>
              </w:rPr>
            </w:pPr>
          </w:p>
        </w:tc>
        <w:tc>
          <w:tcPr>
            <w:tcW w:w="2268" w:type="dxa"/>
            <w:vAlign w:val="center"/>
          </w:tcPr>
          <w:p w14:paraId="3541DB5F" w14:textId="77777777" w:rsidR="008105B4" w:rsidRPr="00B004EE" w:rsidRDefault="008105B4" w:rsidP="00B004EE">
            <w:pPr>
              <w:jc w:val="both"/>
              <w:rPr>
                <w:rFonts w:ascii="Tahoma" w:eastAsia="Arial Unicode MS" w:hAnsi="Tahoma" w:cs="Tahoma"/>
                <w:sz w:val="20"/>
                <w:szCs w:val="20"/>
              </w:rPr>
            </w:pPr>
          </w:p>
        </w:tc>
        <w:tc>
          <w:tcPr>
            <w:tcW w:w="1313" w:type="dxa"/>
            <w:vAlign w:val="center"/>
          </w:tcPr>
          <w:p w14:paraId="3A899DC9" w14:textId="77777777" w:rsidR="008105B4" w:rsidRPr="00B004EE" w:rsidRDefault="008105B4" w:rsidP="00B004EE">
            <w:pPr>
              <w:jc w:val="both"/>
              <w:rPr>
                <w:rFonts w:ascii="Tahoma" w:hAnsi="Tahoma" w:cs="Tahoma"/>
                <w:sz w:val="20"/>
                <w:szCs w:val="20"/>
              </w:rPr>
            </w:pPr>
          </w:p>
        </w:tc>
      </w:tr>
      <w:tr w:rsidR="00150C90" w:rsidRPr="00B004EE" w14:paraId="1B152A6E" w14:textId="77777777" w:rsidTr="00DE14A0">
        <w:trPr>
          <w:jc w:val="center"/>
        </w:trPr>
        <w:tc>
          <w:tcPr>
            <w:tcW w:w="587" w:type="dxa"/>
          </w:tcPr>
          <w:p w14:paraId="09590B96" w14:textId="77777777" w:rsidR="008105B4" w:rsidRPr="00B004EE" w:rsidRDefault="008105B4" w:rsidP="00B004EE">
            <w:pPr>
              <w:jc w:val="both"/>
              <w:rPr>
                <w:rFonts w:ascii="Tahoma" w:hAnsi="Tahoma" w:cs="Tahoma"/>
                <w:sz w:val="20"/>
                <w:szCs w:val="20"/>
              </w:rPr>
            </w:pPr>
          </w:p>
        </w:tc>
        <w:tc>
          <w:tcPr>
            <w:tcW w:w="3174" w:type="dxa"/>
            <w:vAlign w:val="center"/>
          </w:tcPr>
          <w:p w14:paraId="381E21E1" w14:textId="77777777" w:rsidR="008105B4" w:rsidRPr="00B004EE" w:rsidRDefault="008105B4" w:rsidP="00B004EE">
            <w:pPr>
              <w:jc w:val="both"/>
              <w:rPr>
                <w:rFonts w:ascii="Tahoma" w:hAnsi="Tahoma" w:cs="Tahoma"/>
                <w:sz w:val="20"/>
                <w:szCs w:val="20"/>
                <w:lang w:val="de-DE"/>
              </w:rPr>
            </w:pPr>
            <w:r w:rsidRPr="00B004EE">
              <w:rPr>
                <w:rFonts w:ascii="Tahoma" w:hAnsi="Tahoma" w:cs="Tahoma"/>
                <w:sz w:val="20"/>
                <w:szCs w:val="20"/>
                <w:lang w:val="de-DE"/>
              </w:rPr>
              <w:t>Sélénium</w:t>
            </w:r>
          </w:p>
        </w:tc>
        <w:tc>
          <w:tcPr>
            <w:tcW w:w="2330" w:type="dxa"/>
            <w:vAlign w:val="center"/>
          </w:tcPr>
          <w:p w14:paraId="77068AE7" w14:textId="77777777" w:rsidR="008105B4" w:rsidRPr="00B004EE" w:rsidRDefault="008105B4" w:rsidP="00B004EE">
            <w:pPr>
              <w:jc w:val="both"/>
              <w:rPr>
                <w:rFonts w:ascii="Tahoma" w:hAnsi="Tahoma" w:cs="Tahoma"/>
                <w:sz w:val="20"/>
                <w:szCs w:val="20"/>
                <w:lang w:val="de-DE"/>
              </w:rPr>
            </w:pPr>
          </w:p>
        </w:tc>
        <w:tc>
          <w:tcPr>
            <w:tcW w:w="2268" w:type="dxa"/>
            <w:vAlign w:val="center"/>
          </w:tcPr>
          <w:p w14:paraId="510BBBC6" w14:textId="77777777" w:rsidR="008105B4" w:rsidRPr="00B004EE" w:rsidRDefault="008105B4" w:rsidP="00B004EE">
            <w:pPr>
              <w:jc w:val="both"/>
              <w:rPr>
                <w:rFonts w:ascii="Tahoma" w:hAnsi="Tahoma" w:cs="Tahoma"/>
                <w:sz w:val="20"/>
                <w:szCs w:val="20"/>
                <w:lang w:val="de-DE"/>
              </w:rPr>
            </w:pPr>
          </w:p>
        </w:tc>
        <w:tc>
          <w:tcPr>
            <w:tcW w:w="1313" w:type="dxa"/>
            <w:vAlign w:val="center"/>
          </w:tcPr>
          <w:p w14:paraId="4A2F7E82" w14:textId="77777777" w:rsidR="008105B4" w:rsidRPr="00B004EE" w:rsidRDefault="008105B4" w:rsidP="00B004EE">
            <w:pPr>
              <w:jc w:val="both"/>
              <w:rPr>
                <w:rFonts w:ascii="Tahoma" w:eastAsia="Arial Unicode MS" w:hAnsi="Tahoma" w:cs="Tahoma"/>
                <w:sz w:val="20"/>
                <w:szCs w:val="20"/>
                <w:lang w:val="de-DE"/>
              </w:rPr>
            </w:pPr>
          </w:p>
        </w:tc>
      </w:tr>
      <w:tr w:rsidR="00150C90" w:rsidRPr="00B004EE" w14:paraId="22535C92" w14:textId="77777777" w:rsidTr="00DE14A0">
        <w:trPr>
          <w:jc w:val="center"/>
        </w:trPr>
        <w:tc>
          <w:tcPr>
            <w:tcW w:w="587" w:type="dxa"/>
          </w:tcPr>
          <w:p w14:paraId="16097257" w14:textId="77777777" w:rsidR="008105B4" w:rsidRPr="00B004EE" w:rsidRDefault="008105B4" w:rsidP="00B004EE">
            <w:pPr>
              <w:jc w:val="both"/>
              <w:rPr>
                <w:rFonts w:ascii="Tahoma" w:hAnsi="Tahoma" w:cs="Tahoma"/>
                <w:sz w:val="20"/>
                <w:szCs w:val="20"/>
                <w:lang w:val="de-DE"/>
              </w:rPr>
            </w:pPr>
          </w:p>
        </w:tc>
        <w:tc>
          <w:tcPr>
            <w:tcW w:w="3174" w:type="dxa"/>
            <w:vAlign w:val="center"/>
          </w:tcPr>
          <w:p w14:paraId="037425D0" w14:textId="77777777" w:rsidR="008105B4" w:rsidRPr="00B004EE" w:rsidRDefault="008105B4" w:rsidP="00B004EE">
            <w:pPr>
              <w:jc w:val="both"/>
              <w:rPr>
                <w:rFonts w:ascii="Tahoma" w:eastAsia="Arial Unicode MS" w:hAnsi="Tahoma" w:cs="Tahoma"/>
                <w:sz w:val="20"/>
                <w:szCs w:val="20"/>
                <w:lang w:val="de-DE"/>
              </w:rPr>
            </w:pPr>
            <w:r w:rsidRPr="00B004EE">
              <w:rPr>
                <w:rFonts w:ascii="Tahoma" w:hAnsi="Tahoma" w:cs="Tahoma"/>
                <w:sz w:val="20"/>
                <w:szCs w:val="20"/>
                <w:lang w:val="de-DE"/>
              </w:rPr>
              <w:t>Sodium</w:t>
            </w:r>
          </w:p>
        </w:tc>
        <w:tc>
          <w:tcPr>
            <w:tcW w:w="2330" w:type="dxa"/>
            <w:vAlign w:val="center"/>
          </w:tcPr>
          <w:p w14:paraId="19DB4480" w14:textId="77777777" w:rsidR="008105B4" w:rsidRPr="00B004EE" w:rsidRDefault="008105B4" w:rsidP="00B004EE">
            <w:pPr>
              <w:jc w:val="both"/>
              <w:rPr>
                <w:rFonts w:ascii="Tahoma" w:eastAsia="Arial Unicode MS" w:hAnsi="Tahoma" w:cs="Tahoma"/>
                <w:sz w:val="20"/>
                <w:szCs w:val="20"/>
                <w:lang w:val="de-DE"/>
              </w:rPr>
            </w:pPr>
            <w:r w:rsidRPr="00B004EE">
              <w:rPr>
                <w:rFonts w:ascii="Tahoma" w:hAnsi="Tahoma" w:cs="Tahoma"/>
                <w:sz w:val="20"/>
                <w:szCs w:val="20"/>
                <w:lang w:val="de-DE"/>
              </w:rPr>
              <w:t>200</w:t>
            </w:r>
          </w:p>
        </w:tc>
        <w:tc>
          <w:tcPr>
            <w:tcW w:w="2268" w:type="dxa"/>
            <w:vAlign w:val="center"/>
          </w:tcPr>
          <w:p w14:paraId="0BDFB539" w14:textId="77777777" w:rsidR="008105B4" w:rsidRPr="00B004EE" w:rsidRDefault="008105B4" w:rsidP="00B004EE">
            <w:pPr>
              <w:jc w:val="both"/>
              <w:rPr>
                <w:rFonts w:ascii="Tahoma" w:eastAsia="Arial Unicode MS" w:hAnsi="Tahoma" w:cs="Tahoma"/>
                <w:sz w:val="20"/>
                <w:szCs w:val="20"/>
                <w:lang w:val="de-DE"/>
              </w:rPr>
            </w:pPr>
            <w:r w:rsidRPr="00B004EE">
              <w:rPr>
                <w:rFonts w:ascii="Tahoma" w:hAnsi="Tahoma" w:cs="Tahoma"/>
                <w:sz w:val="20"/>
                <w:szCs w:val="20"/>
                <w:lang w:val="de-DE"/>
              </w:rPr>
              <w:t>mg/l</w:t>
            </w:r>
          </w:p>
        </w:tc>
        <w:tc>
          <w:tcPr>
            <w:tcW w:w="1313" w:type="dxa"/>
            <w:vAlign w:val="center"/>
          </w:tcPr>
          <w:p w14:paraId="20381391" w14:textId="77777777" w:rsidR="008105B4" w:rsidRPr="00B004EE" w:rsidRDefault="008105B4" w:rsidP="00B004EE">
            <w:pPr>
              <w:jc w:val="both"/>
              <w:rPr>
                <w:rFonts w:ascii="Tahoma" w:eastAsia="Arial Unicode MS" w:hAnsi="Tahoma" w:cs="Tahoma"/>
                <w:sz w:val="20"/>
                <w:szCs w:val="20"/>
                <w:lang w:val="de-DE"/>
              </w:rPr>
            </w:pPr>
          </w:p>
        </w:tc>
      </w:tr>
      <w:tr w:rsidR="00150C90" w:rsidRPr="00B004EE" w14:paraId="256F5859" w14:textId="77777777" w:rsidTr="00DE14A0">
        <w:trPr>
          <w:jc w:val="center"/>
        </w:trPr>
        <w:tc>
          <w:tcPr>
            <w:tcW w:w="587" w:type="dxa"/>
          </w:tcPr>
          <w:p w14:paraId="73131E09" w14:textId="77777777" w:rsidR="008105B4" w:rsidRPr="00B004EE" w:rsidRDefault="008105B4" w:rsidP="00B004EE">
            <w:pPr>
              <w:jc w:val="both"/>
              <w:rPr>
                <w:rFonts w:ascii="Tahoma" w:hAnsi="Tahoma" w:cs="Tahoma"/>
                <w:sz w:val="20"/>
                <w:szCs w:val="20"/>
                <w:lang w:val="de-DE"/>
              </w:rPr>
            </w:pPr>
          </w:p>
        </w:tc>
        <w:tc>
          <w:tcPr>
            <w:tcW w:w="3174" w:type="dxa"/>
            <w:vAlign w:val="center"/>
          </w:tcPr>
          <w:p w14:paraId="3F7426AC" w14:textId="77777777" w:rsidR="008105B4" w:rsidRPr="00B004EE" w:rsidRDefault="008105B4" w:rsidP="00B004EE">
            <w:pPr>
              <w:jc w:val="both"/>
              <w:rPr>
                <w:rFonts w:ascii="Tahoma" w:eastAsia="Arial Unicode MS" w:hAnsi="Tahoma" w:cs="Tahoma"/>
                <w:sz w:val="20"/>
                <w:szCs w:val="20"/>
                <w:lang w:val="en-GB"/>
              </w:rPr>
            </w:pPr>
            <w:r w:rsidRPr="00B004EE">
              <w:rPr>
                <w:rFonts w:ascii="Tahoma" w:hAnsi="Tahoma" w:cs="Tahoma"/>
                <w:sz w:val="20"/>
                <w:szCs w:val="20"/>
                <w:lang w:val="en-GB"/>
              </w:rPr>
              <w:t>Sulfates</w:t>
            </w:r>
          </w:p>
        </w:tc>
        <w:tc>
          <w:tcPr>
            <w:tcW w:w="2330" w:type="dxa"/>
            <w:vAlign w:val="center"/>
          </w:tcPr>
          <w:p w14:paraId="65FC616F" w14:textId="77777777" w:rsidR="008105B4" w:rsidRPr="00B004EE" w:rsidRDefault="008105B4" w:rsidP="00B004EE">
            <w:pPr>
              <w:jc w:val="both"/>
              <w:rPr>
                <w:rFonts w:ascii="Tahoma" w:eastAsia="Arial Unicode MS" w:hAnsi="Tahoma" w:cs="Tahoma"/>
                <w:sz w:val="20"/>
                <w:szCs w:val="20"/>
                <w:lang w:val="en-GB"/>
              </w:rPr>
            </w:pPr>
            <w:r w:rsidRPr="00B004EE">
              <w:rPr>
                <w:rFonts w:ascii="Tahoma" w:hAnsi="Tahoma" w:cs="Tahoma"/>
                <w:sz w:val="20"/>
                <w:szCs w:val="20"/>
                <w:lang w:val="en-GB"/>
              </w:rPr>
              <w:t>250</w:t>
            </w:r>
          </w:p>
        </w:tc>
        <w:tc>
          <w:tcPr>
            <w:tcW w:w="2268" w:type="dxa"/>
            <w:vAlign w:val="center"/>
          </w:tcPr>
          <w:p w14:paraId="1E32CE12" w14:textId="77777777" w:rsidR="008105B4" w:rsidRPr="00B004EE" w:rsidRDefault="008105B4" w:rsidP="00B004EE">
            <w:pPr>
              <w:jc w:val="both"/>
              <w:rPr>
                <w:rFonts w:ascii="Tahoma" w:eastAsia="Arial Unicode MS" w:hAnsi="Tahoma" w:cs="Tahoma"/>
                <w:sz w:val="20"/>
                <w:szCs w:val="20"/>
                <w:lang w:val="en-GB"/>
              </w:rPr>
            </w:pPr>
            <w:r w:rsidRPr="00B004EE">
              <w:rPr>
                <w:rFonts w:ascii="Tahoma" w:hAnsi="Tahoma" w:cs="Tahoma"/>
                <w:sz w:val="20"/>
                <w:szCs w:val="20"/>
                <w:lang w:val="en-GB"/>
              </w:rPr>
              <w:t>mg/l</w:t>
            </w:r>
          </w:p>
        </w:tc>
        <w:tc>
          <w:tcPr>
            <w:tcW w:w="1313" w:type="dxa"/>
            <w:vAlign w:val="center"/>
          </w:tcPr>
          <w:p w14:paraId="1E184DDA" w14:textId="77777777" w:rsidR="008105B4" w:rsidRPr="00B004EE" w:rsidRDefault="008105B4" w:rsidP="00B004EE">
            <w:pPr>
              <w:jc w:val="both"/>
              <w:rPr>
                <w:rFonts w:ascii="Tahoma" w:eastAsia="Arial Unicode MS" w:hAnsi="Tahoma" w:cs="Tahoma"/>
                <w:sz w:val="20"/>
                <w:szCs w:val="20"/>
                <w:lang w:val="en-GB"/>
              </w:rPr>
            </w:pPr>
          </w:p>
        </w:tc>
      </w:tr>
      <w:tr w:rsidR="00150C90" w:rsidRPr="00B004EE" w14:paraId="3B05196F" w14:textId="77777777" w:rsidTr="00DE14A0">
        <w:trPr>
          <w:jc w:val="center"/>
        </w:trPr>
        <w:tc>
          <w:tcPr>
            <w:tcW w:w="587" w:type="dxa"/>
          </w:tcPr>
          <w:p w14:paraId="3B9D11FE" w14:textId="77777777" w:rsidR="008105B4" w:rsidRPr="00B004EE" w:rsidRDefault="008105B4" w:rsidP="00B004EE">
            <w:pPr>
              <w:jc w:val="both"/>
              <w:rPr>
                <w:rFonts w:ascii="Tahoma" w:hAnsi="Tahoma" w:cs="Tahoma"/>
                <w:sz w:val="20"/>
                <w:szCs w:val="20"/>
                <w:lang w:val="en-GB"/>
              </w:rPr>
            </w:pPr>
          </w:p>
        </w:tc>
        <w:tc>
          <w:tcPr>
            <w:tcW w:w="3174" w:type="dxa"/>
          </w:tcPr>
          <w:p w14:paraId="13C817F1" w14:textId="1B0F77B5" w:rsidR="008105B4" w:rsidRPr="00B004EE" w:rsidRDefault="008105B4" w:rsidP="00B004EE">
            <w:pPr>
              <w:jc w:val="both"/>
              <w:rPr>
                <w:rFonts w:ascii="Tahoma" w:hAnsi="Tahoma" w:cs="Tahoma"/>
                <w:sz w:val="20"/>
                <w:szCs w:val="20"/>
              </w:rPr>
            </w:pPr>
            <w:r w:rsidRPr="00B004EE">
              <w:rPr>
                <w:rFonts w:ascii="Tahoma" w:hAnsi="Tahoma" w:cs="Tahoma"/>
                <w:sz w:val="20"/>
                <w:szCs w:val="20"/>
              </w:rPr>
              <w:t>Tétrachloréthylène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trichloréthylène</w:t>
            </w:r>
          </w:p>
        </w:tc>
        <w:tc>
          <w:tcPr>
            <w:tcW w:w="2330" w:type="dxa"/>
            <w:vAlign w:val="center"/>
          </w:tcPr>
          <w:p w14:paraId="7E4B23C8" w14:textId="77777777" w:rsidR="008105B4" w:rsidRPr="00B004EE" w:rsidRDefault="008105B4" w:rsidP="00B004EE">
            <w:pPr>
              <w:jc w:val="both"/>
              <w:rPr>
                <w:rFonts w:ascii="Tahoma" w:eastAsia="Arial Unicode MS" w:hAnsi="Tahoma" w:cs="Tahoma"/>
                <w:sz w:val="20"/>
                <w:szCs w:val="20"/>
              </w:rPr>
            </w:pPr>
          </w:p>
        </w:tc>
        <w:tc>
          <w:tcPr>
            <w:tcW w:w="2268" w:type="dxa"/>
            <w:vAlign w:val="center"/>
          </w:tcPr>
          <w:p w14:paraId="23A8A871" w14:textId="77777777" w:rsidR="008105B4" w:rsidRPr="00B004EE" w:rsidRDefault="008105B4" w:rsidP="00B004EE">
            <w:pPr>
              <w:jc w:val="both"/>
              <w:rPr>
                <w:rFonts w:ascii="Tahoma" w:eastAsia="Arial Unicode MS" w:hAnsi="Tahoma" w:cs="Tahoma"/>
                <w:sz w:val="20"/>
                <w:szCs w:val="20"/>
              </w:rPr>
            </w:pPr>
          </w:p>
        </w:tc>
        <w:tc>
          <w:tcPr>
            <w:tcW w:w="1313" w:type="dxa"/>
            <w:vAlign w:val="center"/>
          </w:tcPr>
          <w:p w14:paraId="1852C966" w14:textId="77777777" w:rsidR="008105B4" w:rsidRPr="00B004EE" w:rsidRDefault="008105B4" w:rsidP="00B004EE">
            <w:pPr>
              <w:jc w:val="both"/>
              <w:rPr>
                <w:rFonts w:ascii="Tahoma" w:hAnsi="Tahoma" w:cs="Tahoma"/>
                <w:sz w:val="20"/>
                <w:szCs w:val="20"/>
              </w:rPr>
            </w:pPr>
          </w:p>
        </w:tc>
      </w:tr>
      <w:tr w:rsidR="00150C90" w:rsidRPr="00B004EE" w14:paraId="0B121FCD" w14:textId="77777777" w:rsidTr="00DE14A0">
        <w:trPr>
          <w:jc w:val="center"/>
        </w:trPr>
        <w:tc>
          <w:tcPr>
            <w:tcW w:w="587" w:type="dxa"/>
          </w:tcPr>
          <w:p w14:paraId="4DAD86D3" w14:textId="77777777" w:rsidR="008105B4" w:rsidRPr="00B004EE" w:rsidRDefault="008105B4" w:rsidP="00B004EE">
            <w:pPr>
              <w:jc w:val="both"/>
              <w:rPr>
                <w:rFonts w:ascii="Tahoma" w:hAnsi="Tahoma" w:cs="Tahoma"/>
                <w:sz w:val="20"/>
                <w:szCs w:val="20"/>
              </w:rPr>
            </w:pPr>
          </w:p>
        </w:tc>
        <w:tc>
          <w:tcPr>
            <w:tcW w:w="3174" w:type="dxa"/>
          </w:tcPr>
          <w:p w14:paraId="151A1BC8" w14:textId="6A77243E" w:rsidR="008105B4" w:rsidRPr="00B004EE" w:rsidRDefault="008105B4" w:rsidP="00B004EE">
            <w:pPr>
              <w:jc w:val="both"/>
              <w:rPr>
                <w:rFonts w:ascii="Tahoma" w:hAnsi="Tahoma" w:cs="Tahoma"/>
                <w:sz w:val="20"/>
                <w:szCs w:val="20"/>
              </w:rPr>
            </w:pPr>
            <w:r w:rsidRPr="00B004EE">
              <w:rPr>
                <w:rFonts w:ascii="Tahoma" w:hAnsi="Tahoma" w:cs="Tahoma"/>
                <w:sz w:val="20"/>
                <w:szCs w:val="20"/>
              </w:rPr>
              <w:t>Total</w:t>
            </w:r>
            <w:r w:rsidR="00DB1635" w:rsidRPr="00B004EE">
              <w:rPr>
                <w:rFonts w:ascii="Tahoma" w:hAnsi="Tahoma" w:cs="Tahoma"/>
                <w:sz w:val="20"/>
                <w:szCs w:val="20"/>
              </w:rPr>
              <w:t xml:space="preserve"> </w:t>
            </w:r>
            <w:r w:rsidRPr="00B004EE">
              <w:rPr>
                <w:rFonts w:ascii="Tahoma" w:hAnsi="Tahoma" w:cs="Tahoma"/>
                <w:sz w:val="20"/>
                <w:szCs w:val="20"/>
              </w:rPr>
              <w:t>trihalométhanes</w:t>
            </w:r>
            <w:r w:rsidR="00DB1635" w:rsidRPr="00B004EE">
              <w:rPr>
                <w:rFonts w:ascii="Tahoma" w:hAnsi="Tahoma" w:cs="Tahoma"/>
                <w:sz w:val="20"/>
                <w:szCs w:val="20"/>
              </w:rPr>
              <w:t xml:space="preserve"> </w:t>
            </w:r>
            <w:r w:rsidRPr="00B004EE">
              <w:rPr>
                <w:rFonts w:ascii="Tahoma" w:hAnsi="Tahoma" w:cs="Tahoma"/>
                <w:sz w:val="20"/>
                <w:szCs w:val="20"/>
              </w:rPr>
              <w:t>(THM)</w:t>
            </w:r>
            <w:r w:rsidR="00DB1635" w:rsidRPr="00B004EE">
              <w:rPr>
                <w:rFonts w:ascii="Tahoma" w:hAnsi="Tahoma" w:cs="Tahoma"/>
                <w:sz w:val="20"/>
                <w:szCs w:val="20"/>
              </w:rPr>
              <w:t xml:space="preserve"> </w:t>
            </w:r>
          </w:p>
        </w:tc>
        <w:tc>
          <w:tcPr>
            <w:tcW w:w="2330" w:type="dxa"/>
            <w:vAlign w:val="center"/>
          </w:tcPr>
          <w:p w14:paraId="25A873F1" w14:textId="77777777" w:rsidR="008105B4" w:rsidRPr="00B004EE" w:rsidRDefault="008105B4" w:rsidP="00B004EE">
            <w:pPr>
              <w:jc w:val="both"/>
              <w:rPr>
                <w:rFonts w:ascii="Tahoma" w:eastAsia="Arial Unicode MS" w:hAnsi="Tahoma" w:cs="Tahoma"/>
                <w:sz w:val="20"/>
                <w:szCs w:val="20"/>
              </w:rPr>
            </w:pPr>
          </w:p>
        </w:tc>
        <w:tc>
          <w:tcPr>
            <w:tcW w:w="2268" w:type="dxa"/>
            <w:vAlign w:val="center"/>
          </w:tcPr>
          <w:p w14:paraId="4A74A570" w14:textId="77777777" w:rsidR="008105B4" w:rsidRPr="00B004EE" w:rsidRDefault="008105B4" w:rsidP="00B004EE">
            <w:pPr>
              <w:jc w:val="both"/>
              <w:rPr>
                <w:rFonts w:ascii="Tahoma" w:eastAsia="Arial Unicode MS" w:hAnsi="Tahoma" w:cs="Tahoma"/>
                <w:sz w:val="20"/>
                <w:szCs w:val="20"/>
              </w:rPr>
            </w:pPr>
          </w:p>
        </w:tc>
        <w:tc>
          <w:tcPr>
            <w:tcW w:w="1313" w:type="dxa"/>
            <w:vAlign w:val="center"/>
          </w:tcPr>
          <w:p w14:paraId="77FB9F10" w14:textId="77777777" w:rsidR="008105B4" w:rsidRPr="00B004EE" w:rsidRDefault="008105B4" w:rsidP="00B004EE">
            <w:pPr>
              <w:jc w:val="both"/>
              <w:rPr>
                <w:rFonts w:ascii="Tahoma" w:hAnsi="Tahoma" w:cs="Tahoma"/>
                <w:sz w:val="20"/>
                <w:szCs w:val="20"/>
              </w:rPr>
            </w:pPr>
          </w:p>
        </w:tc>
      </w:tr>
    </w:tbl>
    <w:p w14:paraId="515AC008" w14:textId="2D545B9E" w:rsidR="008105B4" w:rsidRPr="00B004EE" w:rsidRDefault="008105B4" w:rsidP="00B004EE">
      <w:pPr>
        <w:jc w:val="both"/>
        <w:rPr>
          <w:rFonts w:ascii="Tahoma" w:hAnsi="Tahoma" w:cs="Tahoma"/>
          <w:bCs/>
          <w:sz w:val="20"/>
          <w:szCs w:val="20"/>
        </w:rPr>
      </w:pPr>
      <w:r w:rsidRPr="00B004EE">
        <w:rPr>
          <w:rFonts w:ascii="Tahoma" w:hAnsi="Tahoma" w:cs="Tahoma"/>
          <w:bCs/>
          <w:sz w:val="20"/>
          <w:szCs w:val="20"/>
          <w:vertAlign w:val="superscript"/>
        </w:rPr>
        <w:t>(</w:t>
      </w:r>
      <w:r w:rsidR="00DE14A0" w:rsidRPr="00B004EE">
        <w:rPr>
          <w:rFonts w:ascii="Tahoma" w:hAnsi="Tahoma" w:cs="Tahoma"/>
          <w:bCs/>
          <w:sz w:val="20"/>
          <w:szCs w:val="20"/>
          <w:vertAlign w:val="superscript"/>
        </w:rPr>
        <w:t>*)</w:t>
      </w:r>
      <w:r w:rsidR="00DE14A0" w:rsidRPr="00B004EE">
        <w:rPr>
          <w:rFonts w:ascii="Tahoma" w:hAnsi="Tahoma" w:cs="Tahoma"/>
          <w:bCs/>
          <w:sz w:val="20"/>
          <w:szCs w:val="20"/>
        </w:rPr>
        <w:t xml:space="preserve"> Voir</w:t>
      </w:r>
      <w:r w:rsidR="00DB1635" w:rsidRPr="00B004EE">
        <w:rPr>
          <w:rFonts w:ascii="Tahoma" w:hAnsi="Tahoma" w:cs="Tahoma"/>
          <w:bCs/>
          <w:sz w:val="20"/>
          <w:szCs w:val="20"/>
        </w:rPr>
        <w:t xml:space="preserve"> </w:t>
      </w:r>
      <w:r w:rsidRPr="00B004EE">
        <w:rPr>
          <w:rFonts w:ascii="Tahoma" w:hAnsi="Tahoma" w:cs="Tahoma"/>
          <w:bCs/>
          <w:sz w:val="20"/>
          <w:szCs w:val="20"/>
        </w:rPr>
        <w:t>les</w:t>
      </w:r>
      <w:r w:rsidR="00DB1635" w:rsidRPr="00B004EE">
        <w:rPr>
          <w:rFonts w:ascii="Tahoma" w:hAnsi="Tahoma" w:cs="Tahoma"/>
          <w:bCs/>
          <w:sz w:val="20"/>
          <w:szCs w:val="20"/>
        </w:rPr>
        <w:t xml:space="preserve"> </w:t>
      </w:r>
      <w:r w:rsidRPr="00B004EE">
        <w:rPr>
          <w:rFonts w:ascii="Tahoma" w:hAnsi="Tahoma" w:cs="Tahoma"/>
          <w:bCs/>
          <w:sz w:val="20"/>
          <w:szCs w:val="20"/>
        </w:rPr>
        <w:t>limites</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qualité</w:t>
      </w:r>
      <w:r w:rsidR="00DB1635" w:rsidRPr="00B004EE">
        <w:rPr>
          <w:rFonts w:ascii="Tahoma" w:hAnsi="Tahoma" w:cs="Tahoma"/>
          <w:bCs/>
          <w:sz w:val="20"/>
          <w:szCs w:val="20"/>
        </w:rPr>
        <w:t xml:space="preserve"> </w:t>
      </w:r>
      <w:r w:rsidRPr="00B004EE">
        <w:rPr>
          <w:rFonts w:ascii="Tahoma" w:hAnsi="Tahoma" w:cs="Tahoma"/>
          <w:bCs/>
          <w:sz w:val="20"/>
          <w:szCs w:val="20"/>
        </w:rPr>
        <w:t>manquantes</w:t>
      </w:r>
      <w:r w:rsidR="00DB1635" w:rsidRPr="00B004EE">
        <w:rPr>
          <w:rFonts w:ascii="Tahoma" w:hAnsi="Tahoma" w:cs="Tahoma"/>
          <w:bCs/>
          <w:sz w:val="20"/>
          <w:szCs w:val="20"/>
        </w:rPr>
        <w:t xml:space="preserve"> </w:t>
      </w:r>
      <w:r w:rsidRPr="00B004EE">
        <w:rPr>
          <w:rFonts w:ascii="Tahoma" w:hAnsi="Tahoma" w:cs="Tahoma"/>
          <w:bCs/>
          <w:sz w:val="20"/>
          <w:szCs w:val="20"/>
        </w:rPr>
        <w:t>au</w:t>
      </w:r>
      <w:r w:rsidR="00DB1635" w:rsidRPr="00B004EE">
        <w:rPr>
          <w:rFonts w:ascii="Tahoma" w:hAnsi="Tahoma" w:cs="Tahoma"/>
          <w:bCs/>
          <w:sz w:val="20"/>
          <w:szCs w:val="20"/>
        </w:rPr>
        <w:t xml:space="preserve"> </w:t>
      </w:r>
      <w:r w:rsidRPr="00B004EE">
        <w:rPr>
          <w:rFonts w:ascii="Tahoma" w:hAnsi="Tahoma" w:cs="Tahoma"/>
          <w:bCs/>
          <w:sz w:val="20"/>
          <w:szCs w:val="20"/>
        </w:rPr>
        <w:t>tableau</w:t>
      </w:r>
      <w:r w:rsidR="00DB1635" w:rsidRPr="00B004EE">
        <w:rPr>
          <w:rFonts w:ascii="Tahoma" w:hAnsi="Tahoma" w:cs="Tahoma"/>
          <w:bCs/>
          <w:sz w:val="20"/>
          <w:szCs w:val="20"/>
        </w:rPr>
        <w:t xml:space="preserve"> </w:t>
      </w:r>
      <w:r w:rsidRPr="00B004EE">
        <w:rPr>
          <w:rFonts w:ascii="Tahoma" w:hAnsi="Tahoma" w:cs="Tahoma"/>
          <w:bCs/>
          <w:sz w:val="20"/>
          <w:szCs w:val="20"/>
        </w:rPr>
        <w:t>B</w:t>
      </w:r>
    </w:p>
    <w:p w14:paraId="26349FBD" w14:textId="39CC24DB" w:rsidR="008105B4" w:rsidRPr="00B004EE" w:rsidRDefault="008105B4" w:rsidP="00B004EE">
      <w:pPr>
        <w:jc w:val="both"/>
        <w:rPr>
          <w:rFonts w:ascii="Tahoma" w:hAnsi="Tahoma" w:cs="Tahoma"/>
          <w:sz w:val="20"/>
          <w:szCs w:val="20"/>
        </w:rPr>
      </w:pPr>
      <w:r w:rsidRPr="00B004EE">
        <w:rPr>
          <w:rFonts w:ascii="Tahoma" w:hAnsi="Tahoma" w:cs="Tahoma"/>
          <w:sz w:val="20"/>
          <w:szCs w:val="20"/>
        </w:rPr>
        <w:t>Note</w:t>
      </w:r>
      <w:r w:rsidR="00DB1635" w:rsidRPr="00B004EE">
        <w:rPr>
          <w:rFonts w:ascii="Tahoma" w:hAnsi="Tahoma" w:cs="Tahoma"/>
          <w:sz w:val="20"/>
          <w:szCs w:val="20"/>
        </w:rPr>
        <w:t xml:space="preserve"> </w:t>
      </w:r>
      <w:r w:rsidRPr="00B004EE">
        <w:rPr>
          <w:rFonts w:ascii="Tahoma" w:hAnsi="Tahoma" w:cs="Tahoma"/>
          <w:sz w:val="20"/>
          <w:szCs w:val="20"/>
        </w:rPr>
        <w:t>1</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Sans</w:t>
      </w:r>
      <w:r w:rsidR="00DB1635" w:rsidRPr="00B004EE">
        <w:rPr>
          <w:rFonts w:ascii="Tahoma" w:hAnsi="Tahoma" w:cs="Tahoma"/>
          <w:sz w:val="20"/>
          <w:szCs w:val="20"/>
        </w:rPr>
        <w:t xml:space="preserve"> </w:t>
      </w:r>
      <w:r w:rsidRPr="00B004EE">
        <w:rPr>
          <w:rFonts w:ascii="Tahoma" w:hAnsi="Tahoma" w:cs="Tahoma"/>
          <w:sz w:val="20"/>
          <w:szCs w:val="20"/>
        </w:rPr>
        <w:t>compromettre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désinfection,</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valeur</w:t>
      </w:r>
      <w:r w:rsidR="00DB1635" w:rsidRPr="00B004EE">
        <w:rPr>
          <w:rFonts w:ascii="Tahoma" w:hAnsi="Tahoma" w:cs="Tahoma"/>
          <w:sz w:val="20"/>
          <w:szCs w:val="20"/>
        </w:rPr>
        <w:t xml:space="preserve"> </w:t>
      </w:r>
      <w:r w:rsidR="00DE14A0" w:rsidRPr="00B004EE">
        <w:rPr>
          <w:rFonts w:ascii="Tahoma" w:hAnsi="Tahoma" w:cs="Tahoma"/>
          <w:sz w:val="20"/>
          <w:szCs w:val="20"/>
        </w:rPr>
        <w:t>le plus faible possible</w:t>
      </w:r>
      <w:r w:rsidR="00DB1635" w:rsidRPr="00B004EE">
        <w:rPr>
          <w:rFonts w:ascii="Tahoma" w:hAnsi="Tahoma" w:cs="Tahoma"/>
          <w:sz w:val="20"/>
          <w:szCs w:val="20"/>
        </w:rPr>
        <w:t xml:space="preserve"> </w:t>
      </w:r>
      <w:r w:rsidRPr="00B004EE">
        <w:rPr>
          <w:rFonts w:ascii="Tahoma" w:hAnsi="Tahoma" w:cs="Tahoma"/>
          <w:sz w:val="20"/>
          <w:szCs w:val="20"/>
        </w:rPr>
        <w:t>doit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visée.</w:t>
      </w:r>
    </w:p>
    <w:p w14:paraId="4BE0EC94" w14:textId="41332EBB" w:rsidR="008105B4" w:rsidRPr="00B004EE" w:rsidRDefault="008105B4" w:rsidP="00B004EE">
      <w:pPr>
        <w:ind w:left="900" w:hanging="900"/>
        <w:jc w:val="both"/>
        <w:rPr>
          <w:rFonts w:ascii="Tahoma" w:hAnsi="Tahoma" w:cs="Tahoma"/>
          <w:sz w:val="20"/>
          <w:szCs w:val="20"/>
        </w:rPr>
      </w:pPr>
      <w:r w:rsidRPr="00B004EE">
        <w:rPr>
          <w:rFonts w:ascii="Tahoma" w:hAnsi="Tahoma" w:cs="Tahoma"/>
          <w:sz w:val="20"/>
          <w:szCs w:val="20"/>
        </w:rPr>
        <w:t>Note</w:t>
      </w:r>
      <w:r w:rsidR="00DB1635" w:rsidRPr="00B004EE">
        <w:rPr>
          <w:rFonts w:ascii="Tahoma" w:hAnsi="Tahoma" w:cs="Tahoma"/>
          <w:sz w:val="20"/>
          <w:szCs w:val="20"/>
        </w:rPr>
        <w:t xml:space="preserve"> </w:t>
      </w:r>
      <w:r w:rsidRPr="00B004EE">
        <w:rPr>
          <w:rFonts w:ascii="Tahoma" w:hAnsi="Tahoma" w:cs="Tahoma"/>
          <w:sz w:val="20"/>
          <w:szCs w:val="20"/>
        </w:rPr>
        <w:t>2</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Seulement</w:t>
      </w:r>
      <w:r w:rsidR="00DB1635" w:rsidRPr="00B004EE">
        <w:rPr>
          <w:rFonts w:ascii="Tahoma" w:hAnsi="Tahoma" w:cs="Tahoma"/>
          <w:sz w:val="20"/>
          <w:szCs w:val="20"/>
        </w:rPr>
        <w:t xml:space="preserve"> </w:t>
      </w:r>
      <w:r w:rsidRPr="00B004EE">
        <w:rPr>
          <w:rFonts w:ascii="Tahoma" w:hAnsi="Tahoma" w:cs="Tahoma"/>
          <w:sz w:val="20"/>
          <w:szCs w:val="20"/>
        </w:rPr>
        <w:t>nécessaire</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cas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traitement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démanganisation</w:t>
      </w:r>
    </w:p>
    <w:p w14:paraId="0EE0B838" w14:textId="40D0CF0C" w:rsidR="008105B4" w:rsidRPr="00B004EE" w:rsidRDefault="008105B4" w:rsidP="00B004EE">
      <w:pPr>
        <w:ind w:left="900" w:hanging="900"/>
        <w:jc w:val="both"/>
        <w:rPr>
          <w:rFonts w:ascii="Tahoma" w:hAnsi="Tahoma" w:cs="Tahoma"/>
          <w:sz w:val="20"/>
          <w:szCs w:val="20"/>
        </w:rPr>
      </w:pPr>
      <w:r w:rsidRPr="00B004EE">
        <w:rPr>
          <w:rFonts w:ascii="Tahoma" w:hAnsi="Tahoma" w:cs="Tahoma"/>
          <w:sz w:val="20"/>
          <w:szCs w:val="20"/>
        </w:rPr>
        <w:t>Note</w:t>
      </w:r>
      <w:r w:rsidR="00DB1635" w:rsidRPr="00B004EE">
        <w:rPr>
          <w:rFonts w:ascii="Tahoma" w:hAnsi="Tahoma" w:cs="Tahoma"/>
          <w:sz w:val="20"/>
          <w:szCs w:val="20"/>
        </w:rPr>
        <w:t xml:space="preserve"> </w:t>
      </w:r>
      <w:r w:rsidRPr="00B004EE">
        <w:rPr>
          <w:rFonts w:ascii="Tahoma" w:hAnsi="Tahoma" w:cs="Tahoma"/>
          <w:sz w:val="20"/>
          <w:szCs w:val="20"/>
        </w:rPr>
        <w:t>3</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Ce</w:t>
      </w:r>
      <w:r w:rsidR="00DB1635" w:rsidRPr="00B004EE">
        <w:rPr>
          <w:rFonts w:ascii="Tahoma" w:hAnsi="Tahoma" w:cs="Tahoma"/>
          <w:sz w:val="20"/>
          <w:szCs w:val="20"/>
        </w:rPr>
        <w:t xml:space="preserve"> </w:t>
      </w:r>
      <w:r w:rsidRPr="00B004EE">
        <w:rPr>
          <w:rFonts w:ascii="Tahoma" w:hAnsi="Tahoma" w:cs="Tahoma"/>
          <w:sz w:val="20"/>
          <w:szCs w:val="20"/>
        </w:rPr>
        <w:t>paramètre</w:t>
      </w:r>
      <w:r w:rsidR="00DB1635" w:rsidRPr="00B004EE">
        <w:rPr>
          <w:rFonts w:ascii="Tahoma" w:hAnsi="Tahoma" w:cs="Tahoma"/>
          <w:sz w:val="20"/>
          <w:szCs w:val="20"/>
        </w:rPr>
        <w:t xml:space="preserve"> </w:t>
      </w:r>
      <w:r w:rsidRPr="00B004EE">
        <w:rPr>
          <w:rFonts w:ascii="Tahoma" w:hAnsi="Tahoma" w:cs="Tahoma"/>
          <w:sz w:val="20"/>
          <w:szCs w:val="20"/>
        </w:rPr>
        <w:t>doit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recherché</w:t>
      </w:r>
      <w:r w:rsidR="00DB1635" w:rsidRPr="00B004EE">
        <w:rPr>
          <w:rFonts w:ascii="Tahoma" w:hAnsi="Tahoma" w:cs="Tahoma"/>
          <w:sz w:val="20"/>
          <w:szCs w:val="20"/>
        </w:rPr>
        <w:t xml:space="preserve"> </w:t>
      </w:r>
      <w:r w:rsidRPr="00B004EE">
        <w:rPr>
          <w:rFonts w:ascii="Tahoma" w:hAnsi="Tahoma" w:cs="Tahoma"/>
          <w:sz w:val="20"/>
          <w:szCs w:val="20"/>
        </w:rPr>
        <w:t>lorsque</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COT</w:t>
      </w:r>
      <w:r w:rsidR="00DB1635" w:rsidRPr="00B004EE">
        <w:rPr>
          <w:rFonts w:ascii="Tahoma" w:hAnsi="Tahoma" w:cs="Tahoma"/>
          <w:sz w:val="20"/>
          <w:szCs w:val="20"/>
        </w:rPr>
        <w:t xml:space="preserve"> </w:t>
      </w:r>
      <w:r w:rsidRPr="00B004EE">
        <w:rPr>
          <w:rFonts w:ascii="Tahoma" w:hAnsi="Tahoma" w:cs="Tahoma"/>
          <w:sz w:val="20"/>
          <w:szCs w:val="20"/>
        </w:rPr>
        <w:t>n'est</w:t>
      </w:r>
      <w:r w:rsidR="00DB1635" w:rsidRPr="00B004EE">
        <w:rPr>
          <w:rFonts w:ascii="Tahoma" w:hAnsi="Tahoma" w:cs="Tahoma"/>
          <w:sz w:val="20"/>
          <w:szCs w:val="20"/>
        </w:rPr>
        <w:t xml:space="preserve"> </w:t>
      </w:r>
      <w:r w:rsidRPr="00B004EE">
        <w:rPr>
          <w:rFonts w:ascii="Tahoma" w:hAnsi="Tahoma" w:cs="Tahoma"/>
          <w:sz w:val="20"/>
          <w:szCs w:val="20"/>
        </w:rPr>
        <w:t>pas</w:t>
      </w:r>
      <w:r w:rsidR="00DB1635" w:rsidRPr="00B004EE">
        <w:rPr>
          <w:rFonts w:ascii="Tahoma" w:hAnsi="Tahoma" w:cs="Tahoma"/>
          <w:sz w:val="20"/>
          <w:szCs w:val="20"/>
        </w:rPr>
        <w:t xml:space="preserve"> </w:t>
      </w:r>
      <w:r w:rsidRPr="00B004EE">
        <w:rPr>
          <w:rFonts w:ascii="Tahoma" w:hAnsi="Tahoma" w:cs="Tahoma"/>
          <w:sz w:val="20"/>
          <w:szCs w:val="20"/>
        </w:rPr>
        <w:t>analysé.</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mesure</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effectuée</w:t>
      </w:r>
      <w:r w:rsidR="00DB1635" w:rsidRPr="00B004EE">
        <w:rPr>
          <w:rFonts w:ascii="Tahoma" w:hAnsi="Tahoma" w:cs="Tahoma"/>
          <w:sz w:val="20"/>
          <w:szCs w:val="20"/>
        </w:rPr>
        <w:t xml:space="preserve"> </w:t>
      </w:r>
      <w:r w:rsidRPr="00B004EE">
        <w:rPr>
          <w:rFonts w:ascii="Tahoma" w:hAnsi="Tahoma" w:cs="Tahoma"/>
          <w:sz w:val="20"/>
          <w:szCs w:val="20"/>
        </w:rPr>
        <w:t>après</w:t>
      </w:r>
      <w:r w:rsidR="00DB1635" w:rsidRPr="00B004EE">
        <w:rPr>
          <w:rFonts w:ascii="Tahoma" w:hAnsi="Tahoma" w:cs="Tahoma"/>
          <w:sz w:val="20"/>
          <w:szCs w:val="20"/>
        </w:rPr>
        <w:t xml:space="preserve"> </w:t>
      </w:r>
      <w:r w:rsidRPr="00B004EE">
        <w:rPr>
          <w:rFonts w:ascii="Tahoma" w:hAnsi="Tahoma" w:cs="Tahoma"/>
          <w:sz w:val="20"/>
          <w:szCs w:val="20"/>
        </w:rPr>
        <w:t>10</w:t>
      </w:r>
      <w:r w:rsidR="00DB1635" w:rsidRPr="00B004EE">
        <w:rPr>
          <w:rFonts w:ascii="Tahoma" w:hAnsi="Tahoma" w:cs="Tahoma"/>
          <w:sz w:val="20"/>
          <w:szCs w:val="20"/>
        </w:rPr>
        <w:t xml:space="preserve"> </w:t>
      </w:r>
      <w:r w:rsidRPr="00B004EE">
        <w:rPr>
          <w:rFonts w:ascii="Tahoma" w:hAnsi="Tahoma" w:cs="Tahoma"/>
          <w:sz w:val="20"/>
          <w:szCs w:val="20"/>
        </w:rPr>
        <w:t>minutes</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milieu</w:t>
      </w:r>
      <w:r w:rsidR="00DB1635" w:rsidRPr="00B004EE">
        <w:rPr>
          <w:rFonts w:ascii="Tahoma" w:hAnsi="Tahoma" w:cs="Tahoma"/>
          <w:sz w:val="20"/>
          <w:szCs w:val="20"/>
        </w:rPr>
        <w:t xml:space="preserve"> </w:t>
      </w:r>
      <w:r w:rsidRPr="00B004EE">
        <w:rPr>
          <w:rFonts w:ascii="Tahoma" w:hAnsi="Tahoma" w:cs="Tahoma"/>
          <w:sz w:val="20"/>
          <w:szCs w:val="20"/>
        </w:rPr>
        <w:t>acide.</w:t>
      </w:r>
    </w:p>
    <w:p w14:paraId="25A3E111" w14:textId="77777777" w:rsidR="00DE14A0" w:rsidRPr="00B004EE" w:rsidRDefault="00DE14A0" w:rsidP="00B004EE">
      <w:pPr>
        <w:ind w:left="900" w:hanging="900"/>
        <w:jc w:val="both"/>
        <w:rPr>
          <w:rFonts w:ascii="Tahoma" w:hAnsi="Tahoma" w:cs="Tahoma"/>
          <w:sz w:val="20"/>
          <w:szCs w:val="20"/>
        </w:rPr>
      </w:pPr>
    </w:p>
    <w:p w14:paraId="5E07F6A3" w14:textId="1967CCC6" w:rsidR="008105B4" w:rsidRDefault="008105B4" w:rsidP="00B004EE">
      <w:pPr>
        <w:ind w:left="900" w:hanging="900"/>
        <w:jc w:val="both"/>
        <w:rPr>
          <w:rFonts w:ascii="Tahoma" w:hAnsi="Tahoma" w:cs="Tahoma"/>
          <w:sz w:val="20"/>
          <w:szCs w:val="20"/>
        </w:rPr>
      </w:pPr>
    </w:p>
    <w:p w14:paraId="3E278F90" w14:textId="44C67399" w:rsidR="00251373" w:rsidRDefault="00251373" w:rsidP="00B004EE">
      <w:pPr>
        <w:ind w:left="900" w:hanging="900"/>
        <w:jc w:val="both"/>
        <w:rPr>
          <w:rFonts w:ascii="Tahoma" w:hAnsi="Tahoma" w:cs="Tahoma"/>
          <w:sz w:val="20"/>
          <w:szCs w:val="20"/>
        </w:rPr>
      </w:pPr>
    </w:p>
    <w:p w14:paraId="0C4D8FC6" w14:textId="0658D34F" w:rsidR="00251373" w:rsidRDefault="00251373" w:rsidP="00B004EE">
      <w:pPr>
        <w:ind w:left="900" w:hanging="900"/>
        <w:jc w:val="both"/>
        <w:rPr>
          <w:rFonts w:ascii="Tahoma" w:hAnsi="Tahoma" w:cs="Tahoma"/>
          <w:sz w:val="20"/>
          <w:szCs w:val="20"/>
        </w:rPr>
      </w:pPr>
    </w:p>
    <w:p w14:paraId="18AF3393" w14:textId="4D70336F" w:rsidR="00251373" w:rsidRDefault="00251373" w:rsidP="00B004EE">
      <w:pPr>
        <w:ind w:left="900" w:hanging="900"/>
        <w:jc w:val="both"/>
        <w:rPr>
          <w:rFonts w:ascii="Tahoma" w:hAnsi="Tahoma" w:cs="Tahoma"/>
          <w:sz w:val="20"/>
          <w:szCs w:val="20"/>
        </w:rPr>
      </w:pPr>
    </w:p>
    <w:p w14:paraId="6471FAFF" w14:textId="7D52561A" w:rsidR="00251373" w:rsidRDefault="00251373" w:rsidP="00B004EE">
      <w:pPr>
        <w:ind w:left="900" w:hanging="900"/>
        <w:jc w:val="both"/>
        <w:rPr>
          <w:rFonts w:ascii="Tahoma" w:hAnsi="Tahoma" w:cs="Tahoma"/>
          <w:sz w:val="20"/>
          <w:szCs w:val="20"/>
        </w:rPr>
      </w:pPr>
    </w:p>
    <w:p w14:paraId="5ABE212C" w14:textId="77777777" w:rsidR="00251373" w:rsidRPr="00B004EE" w:rsidRDefault="00251373" w:rsidP="00B004EE">
      <w:pPr>
        <w:ind w:left="900" w:hanging="900"/>
        <w:jc w:val="both"/>
        <w:rPr>
          <w:rFonts w:ascii="Tahoma" w:hAnsi="Tahoma" w:cs="Tahoma"/>
          <w:sz w:val="20"/>
          <w:szCs w:val="20"/>
        </w:rPr>
      </w:pPr>
    </w:p>
    <w:p w14:paraId="728DB131" w14:textId="59A3035B" w:rsidR="008105B4" w:rsidRPr="00B004EE" w:rsidRDefault="008105B4" w:rsidP="00B004EE">
      <w:pPr>
        <w:ind w:left="900" w:hanging="900"/>
        <w:jc w:val="center"/>
        <w:rPr>
          <w:rFonts w:ascii="Tahoma" w:hAnsi="Tahoma" w:cs="Tahoma"/>
          <w:b/>
          <w:bCs/>
          <w:sz w:val="20"/>
          <w:szCs w:val="20"/>
        </w:rPr>
      </w:pPr>
      <w:r w:rsidRPr="00B004EE">
        <w:rPr>
          <w:rFonts w:ascii="Tahoma" w:hAnsi="Tahoma" w:cs="Tahoma"/>
          <w:b/>
          <w:bCs/>
          <w:sz w:val="20"/>
          <w:szCs w:val="20"/>
        </w:rPr>
        <w:lastRenderedPageBreak/>
        <w:t>ANNEXE</w:t>
      </w:r>
      <w:r w:rsidR="00DB1635" w:rsidRPr="00B004EE">
        <w:rPr>
          <w:rFonts w:ascii="Tahoma" w:hAnsi="Tahoma" w:cs="Tahoma"/>
          <w:b/>
          <w:bCs/>
          <w:sz w:val="20"/>
          <w:szCs w:val="20"/>
        </w:rPr>
        <w:t xml:space="preserve"> </w:t>
      </w:r>
      <w:r w:rsidRPr="00B004EE">
        <w:rPr>
          <w:rFonts w:ascii="Tahoma" w:hAnsi="Tahoma" w:cs="Tahoma"/>
          <w:b/>
          <w:bCs/>
          <w:sz w:val="20"/>
          <w:szCs w:val="20"/>
        </w:rPr>
        <w:t>II</w:t>
      </w:r>
      <w:r w:rsidR="00DB1635" w:rsidRPr="00B004EE">
        <w:rPr>
          <w:rFonts w:ascii="Tahoma" w:hAnsi="Tahoma" w:cs="Tahoma"/>
          <w:b/>
          <w:bCs/>
          <w:sz w:val="20"/>
          <w:szCs w:val="20"/>
        </w:rPr>
        <w:t xml:space="preserve"> </w:t>
      </w:r>
      <w:r w:rsidRPr="00B004EE">
        <w:rPr>
          <w:rFonts w:ascii="Tahoma" w:hAnsi="Tahoma" w:cs="Tahoma"/>
          <w:b/>
          <w:bCs/>
          <w:sz w:val="20"/>
          <w:szCs w:val="20"/>
        </w:rPr>
        <w:t>:</w:t>
      </w:r>
    </w:p>
    <w:p w14:paraId="40D386CF" w14:textId="00E9391B" w:rsidR="008105B4" w:rsidRPr="00B004EE" w:rsidRDefault="008105B4" w:rsidP="00B004EE">
      <w:pPr>
        <w:ind w:left="900" w:hanging="900"/>
        <w:jc w:val="center"/>
        <w:rPr>
          <w:rFonts w:ascii="Tahoma" w:hAnsi="Tahoma" w:cs="Tahoma"/>
          <w:b/>
          <w:bCs/>
          <w:sz w:val="20"/>
          <w:szCs w:val="20"/>
        </w:rPr>
      </w:pPr>
      <w:r w:rsidRPr="00B004EE">
        <w:rPr>
          <w:rFonts w:ascii="Tahoma" w:hAnsi="Tahoma" w:cs="Tahoma"/>
          <w:b/>
          <w:bCs/>
          <w:sz w:val="20"/>
          <w:szCs w:val="20"/>
        </w:rPr>
        <w:t>CONTROLES</w:t>
      </w:r>
      <w:r w:rsidR="00DB1635" w:rsidRPr="00B004EE">
        <w:rPr>
          <w:rFonts w:ascii="Tahoma" w:hAnsi="Tahoma" w:cs="Tahoma"/>
          <w:b/>
          <w:bCs/>
          <w:sz w:val="20"/>
          <w:szCs w:val="20"/>
        </w:rPr>
        <w:t xml:space="preserve"> </w:t>
      </w:r>
      <w:r w:rsidRPr="00B004EE">
        <w:rPr>
          <w:rFonts w:ascii="Tahoma" w:hAnsi="Tahoma" w:cs="Tahoma"/>
          <w:b/>
          <w:bCs/>
          <w:sz w:val="20"/>
          <w:szCs w:val="20"/>
        </w:rPr>
        <w:t>ET</w:t>
      </w:r>
      <w:r w:rsidR="00DB1635" w:rsidRPr="00B004EE">
        <w:rPr>
          <w:rFonts w:ascii="Tahoma" w:hAnsi="Tahoma" w:cs="Tahoma"/>
          <w:b/>
          <w:bCs/>
          <w:sz w:val="20"/>
          <w:szCs w:val="20"/>
        </w:rPr>
        <w:t xml:space="preserve"> </w:t>
      </w:r>
      <w:r w:rsidRPr="00B004EE">
        <w:rPr>
          <w:rFonts w:ascii="Tahoma" w:hAnsi="Tahoma" w:cs="Tahoma"/>
          <w:b/>
          <w:bCs/>
          <w:sz w:val="20"/>
          <w:szCs w:val="20"/>
        </w:rPr>
        <w:t>PROGRAMMES</w:t>
      </w:r>
      <w:r w:rsidR="00DB1635" w:rsidRPr="00B004EE">
        <w:rPr>
          <w:rFonts w:ascii="Tahoma" w:hAnsi="Tahoma" w:cs="Tahoma"/>
          <w:b/>
          <w:bCs/>
          <w:sz w:val="20"/>
          <w:szCs w:val="20"/>
        </w:rPr>
        <w:t xml:space="preserve"> </w:t>
      </w:r>
      <w:r w:rsidRPr="00B004EE">
        <w:rPr>
          <w:rFonts w:ascii="Tahoma" w:hAnsi="Tahoma" w:cs="Tahoma"/>
          <w:b/>
          <w:bCs/>
          <w:sz w:val="20"/>
          <w:szCs w:val="20"/>
        </w:rPr>
        <w:t>D’ANALYSE</w:t>
      </w:r>
      <w:r w:rsidR="00DB1635" w:rsidRPr="00B004EE">
        <w:rPr>
          <w:rFonts w:ascii="Tahoma" w:hAnsi="Tahoma" w:cs="Tahoma"/>
          <w:b/>
          <w:bCs/>
          <w:sz w:val="20"/>
          <w:szCs w:val="20"/>
        </w:rPr>
        <w:t xml:space="preserve"> </w:t>
      </w:r>
      <w:r w:rsidRPr="00B004EE">
        <w:rPr>
          <w:rFonts w:ascii="Tahoma" w:hAnsi="Tahoma" w:cs="Tahoma"/>
          <w:b/>
          <w:bCs/>
          <w:sz w:val="20"/>
          <w:szCs w:val="20"/>
        </w:rPr>
        <w:t>DES</w:t>
      </w:r>
      <w:r w:rsidR="00DB1635" w:rsidRPr="00B004EE">
        <w:rPr>
          <w:rFonts w:ascii="Tahoma" w:hAnsi="Tahoma" w:cs="Tahoma"/>
          <w:b/>
          <w:bCs/>
          <w:sz w:val="20"/>
          <w:szCs w:val="20"/>
        </w:rPr>
        <w:t xml:space="preserve"> </w:t>
      </w:r>
      <w:r w:rsidRPr="00B004EE">
        <w:rPr>
          <w:rFonts w:ascii="Tahoma" w:hAnsi="Tahoma" w:cs="Tahoma"/>
          <w:b/>
          <w:bCs/>
          <w:sz w:val="20"/>
          <w:szCs w:val="20"/>
        </w:rPr>
        <w:t>ECHANTILLONS</w:t>
      </w:r>
      <w:r w:rsidR="00DB1635" w:rsidRPr="00B004EE">
        <w:rPr>
          <w:rFonts w:ascii="Tahoma" w:hAnsi="Tahoma" w:cs="Tahoma"/>
          <w:b/>
          <w:bCs/>
          <w:sz w:val="20"/>
          <w:szCs w:val="20"/>
        </w:rPr>
        <w:t xml:space="preserve"> </w:t>
      </w:r>
      <w:r w:rsidRPr="00B004EE">
        <w:rPr>
          <w:rFonts w:ascii="Tahoma" w:hAnsi="Tahoma" w:cs="Tahoma"/>
          <w:b/>
          <w:bCs/>
          <w:sz w:val="20"/>
          <w:szCs w:val="20"/>
        </w:rPr>
        <w:t>D’EAU</w:t>
      </w:r>
    </w:p>
    <w:p w14:paraId="5A909E59" w14:textId="77777777" w:rsidR="00011085" w:rsidRPr="00B004EE" w:rsidRDefault="00011085" w:rsidP="00B004EE">
      <w:pPr>
        <w:ind w:left="900" w:hanging="900"/>
        <w:jc w:val="center"/>
        <w:rPr>
          <w:rFonts w:ascii="Tahoma" w:hAnsi="Tahoma" w:cs="Tahoma"/>
          <w:b/>
          <w:bCs/>
          <w:sz w:val="20"/>
          <w:szCs w:val="20"/>
        </w:rPr>
      </w:pPr>
    </w:p>
    <w:p w14:paraId="0DE77D28" w14:textId="7765D4E2" w:rsidR="008105B4" w:rsidRPr="00B004EE" w:rsidRDefault="008105B4" w:rsidP="00B004EE">
      <w:pPr>
        <w:jc w:val="both"/>
        <w:rPr>
          <w:rFonts w:ascii="Tahoma" w:hAnsi="Tahoma" w:cs="Tahoma"/>
          <w:sz w:val="20"/>
          <w:szCs w:val="20"/>
        </w:rPr>
      </w:pP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présente</w:t>
      </w:r>
      <w:r w:rsidR="00DB1635" w:rsidRPr="00B004EE">
        <w:rPr>
          <w:rFonts w:ascii="Tahoma" w:hAnsi="Tahoma" w:cs="Tahoma"/>
          <w:sz w:val="20"/>
          <w:szCs w:val="20"/>
        </w:rPr>
        <w:t xml:space="preserve"> </w:t>
      </w:r>
      <w:r w:rsidRPr="00B004EE">
        <w:rPr>
          <w:rFonts w:ascii="Tahoma" w:hAnsi="Tahoma" w:cs="Tahoma"/>
          <w:sz w:val="20"/>
          <w:szCs w:val="20"/>
        </w:rPr>
        <w:t>annexe</w:t>
      </w:r>
      <w:r w:rsidR="00DB1635" w:rsidRPr="00B004EE">
        <w:rPr>
          <w:rFonts w:ascii="Tahoma" w:hAnsi="Tahoma" w:cs="Tahoma"/>
          <w:sz w:val="20"/>
          <w:szCs w:val="20"/>
        </w:rPr>
        <w:t xml:space="preserve"> </w:t>
      </w:r>
      <w:r w:rsidRPr="00B004EE">
        <w:rPr>
          <w:rFonts w:ascii="Tahoma" w:hAnsi="Tahoma" w:cs="Tahoma"/>
          <w:sz w:val="20"/>
          <w:szCs w:val="20"/>
        </w:rPr>
        <w:t>fixe</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programmes</w:t>
      </w:r>
      <w:r w:rsidR="00DB1635" w:rsidRPr="00B004EE">
        <w:rPr>
          <w:rFonts w:ascii="Tahoma" w:hAnsi="Tahoma" w:cs="Tahoma"/>
          <w:sz w:val="20"/>
          <w:szCs w:val="20"/>
        </w:rPr>
        <w:t xml:space="preserve"> </w:t>
      </w:r>
      <w:r w:rsidRPr="00B004EE">
        <w:rPr>
          <w:rFonts w:ascii="Tahoma" w:hAnsi="Tahoma" w:cs="Tahoma"/>
          <w:sz w:val="20"/>
          <w:szCs w:val="20"/>
        </w:rPr>
        <w:t>d'analyses</w:t>
      </w:r>
      <w:r w:rsidR="00DB1635" w:rsidRPr="00B004EE">
        <w:rPr>
          <w:rFonts w:ascii="Tahoma" w:hAnsi="Tahoma" w:cs="Tahoma"/>
          <w:sz w:val="20"/>
          <w:szCs w:val="20"/>
        </w:rPr>
        <w:t xml:space="preserve"> </w:t>
      </w:r>
      <w:r w:rsidRPr="00B004EE">
        <w:rPr>
          <w:rFonts w:ascii="Tahoma" w:hAnsi="Tahoma" w:cs="Tahoma"/>
          <w:sz w:val="20"/>
          <w:szCs w:val="20"/>
        </w:rPr>
        <w:t>d'échantillons</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eaux</w:t>
      </w:r>
      <w:r w:rsidR="00DB1635" w:rsidRPr="00B004EE">
        <w:rPr>
          <w:rFonts w:ascii="Tahoma" w:hAnsi="Tahoma" w:cs="Tahoma"/>
          <w:sz w:val="20"/>
          <w:szCs w:val="20"/>
        </w:rPr>
        <w:t xml:space="preserve"> </w:t>
      </w:r>
      <w:r w:rsidRPr="00B004EE">
        <w:rPr>
          <w:rFonts w:ascii="Tahoma" w:hAnsi="Tahoma" w:cs="Tahoma"/>
          <w:sz w:val="20"/>
          <w:szCs w:val="20"/>
        </w:rPr>
        <w:t>utilisées</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industries</w:t>
      </w:r>
      <w:r w:rsidR="00DB1635" w:rsidRPr="00B004EE">
        <w:rPr>
          <w:rFonts w:ascii="Tahoma" w:hAnsi="Tahoma" w:cs="Tahoma"/>
          <w:sz w:val="20"/>
          <w:szCs w:val="20"/>
        </w:rPr>
        <w:t xml:space="preserve"> </w:t>
      </w:r>
      <w:r w:rsidRPr="00B004EE">
        <w:rPr>
          <w:rFonts w:ascii="Tahoma" w:hAnsi="Tahoma" w:cs="Tahoma"/>
          <w:sz w:val="20"/>
          <w:szCs w:val="20"/>
        </w:rPr>
        <w:t>alimentaires</w:t>
      </w:r>
      <w:r w:rsidR="00DB1635" w:rsidRPr="00B004EE">
        <w:rPr>
          <w:rFonts w:ascii="Tahoma" w:hAnsi="Tahoma" w:cs="Tahoma"/>
          <w:sz w:val="20"/>
          <w:szCs w:val="20"/>
        </w:rPr>
        <w:t xml:space="preserve"> </w:t>
      </w:r>
      <w:r w:rsidRPr="00B004EE">
        <w:rPr>
          <w:rFonts w:ascii="Tahoma" w:hAnsi="Tahoma" w:cs="Tahoma"/>
          <w:sz w:val="20"/>
          <w:szCs w:val="20"/>
        </w:rPr>
        <w:t>raccordées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réseau</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distribution</w:t>
      </w:r>
      <w:r w:rsidR="00DB1635" w:rsidRPr="00B004EE">
        <w:rPr>
          <w:rFonts w:ascii="Tahoma" w:hAnsi="Tahoma" w:cs="Tahoma"/>
          <w:sz w:val="20"/>
          <w:szCs w:val="20"/>
        </w:rPr>
        <w:t xml:space="preserve"> </w:t>
      </w:r>
      <w:r w:rsidRPr="00B004EE">
        <w:rPr>
          <w:rFonts w:ascii="Tahoma" w:hAnsi="Tahoma" w:cs="Tahoma"/>
          <w:sz w:val="20"/>
          <w:szCs w:val="20"/>
        </w:rPr>
        <w:t>(II-1)</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non</w:t>
      </w:r>
      <w:r w:rsidR="00DB1635" w:rsidRPr="00B004EE">
        <w:rPr>
          <w:rFonts w:ascii="Tahoma" w:hAnsi="Tahoma" w:cs="Tahoma"/>
          <w:sz w:val="20"/>
          <w:szCs w:val="20"/>
        </w:rPr>
        <w:t xml:space="preserve"> </w:t>
      </w:r>
      <w:r w:rsidRPr="00B004EE">
        <w:rPr>
          <w:rFonts w:ascii="Tahoma" w:hAnsi="Tahoma" w:cs="Tahoma"/>
          <w:sz w:val="20"/>
          <w:szCs w:val="20"/>
        </w:rPr>
        <w:t>raccordées</w:t>
      </w:r>
      <w:r w:rsidR="00DB1635" w:rsidRPr="00B004EE">
        <w:rPr>
          <w:rFonts w:ascii="Tahoma" w:hAnsi="Tahoma" w:cs="Tahoma"/>
          <w:sz w:val="20"/>
          <w:szCs w:val="20"/>
        </w:rPr>
        <w:t xml:space="preserve"> </w:t>
      </w:r>
      <w:r w:rsidRPr="00B004EE">
        <w:rPr>
          <w:rFonts w:ascii="Tahoma" w:hAnsi="Tahoma" w:cs="Tahoma"/>
          <w:sz w:val="20"/>
          <w:szCs w:val="20"/>
        </w:rPr>
        <w:t>(II-2),</w:t>
      </w:r>
      <w:r w:rsidR="00DB1635" w:rsidRPr="00B004EE">
        <w:rPr>
          <w:rFonts w:ascii="Tahoma" w:hAnsi="Tahoma" w:cs="Tahoma"/>
          <w:sz w:val="20"/>
          <w:szCs w:val="20"/>
        </w:rPr>
        <w:t xml:space="preserve"> </w:t>
      </w:r>
      <w:r w:rsidRPr="00B004EE">
        <w:rPr>
          <w:rFonts w:ascii="Tahoma" w:hAnsi="Tahoma" w:cs="Tahoma"/>
          <w:sz w:val="20"/>
          <w:szCs w:val="20"/>
        </w:rPr>
        <w:t>dont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fréquences</w:t>
      </w:r>
      <w:r w:rsidR="00DB1635" w:rsidRPr="00B004EE">
        <w:rPr>
          <w:rFonts w:ascii="Tahoma" w:hAnsi="Tahoma" w:cs="Tahoma"/>
          <w:sz w:val="20"/>
          <w:szCs w:val="20"/>
        </w:rPr>
        <w:t xml:space="preserve"> </w:t>
      </w:r>
      <w:r w:rsidRPr="00B004EE">
        <w:rPr>
          <w:rFonts w:ascii="Tahoma" w:hAnsi="Tahoma" w:cs="Tahoma"/>
          <w:sz w:val="20"/>
          <w:szCs w:val="20"/>
        </w:rPr>
        <w:t>minimales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prélèvement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échantillons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analyses</w:t>
      </w:r>
      <w:r w:rsidR="00DB1635" w:rsidRPr="00B004EE">
        <w:rPr>
          <w:rFonts w:ascii="Tahoma" w:hAnsi="Tahoma" w:cs="Tahoma"/>
          <w:sz w:val="20"/>
          <w:szCs w:val="20"/>
        </w:rPr>
        <w:t xml:space="preserve"> </w:t>
      </w:r>
      <w:r w:rsidRPr="00B004EE">
        <w:rPr>
          <w:rFonts w:ascii="Tahoma" w:hAnsi="Tahoma" w:cs="Tahoma"/>
          <w:sz w:val="20"/>
          <w:szCs w:val="20"/>
        </w:rPr>
        <w:t>(II-3).</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laboratoires</w:t>
      </w:r>
      <w:r w:rsidR="00DB1635" w:rsidRPr="00B004EE">
        <w:rPr>
          <w:rFonts w:ascii="Tahoma" w:hAnsi="Tahoma" w:cs="Tahoma"/>
          <w:sz w:val="20"/>
          <w:szCs w:val="20"/>
        </w:rPr>
        <w:t xml:space="preserve"> </w:t>
      </w:r>
      <w:r w:rsidRPr="00B004EE">
        <w:rPr>
          <w:rFonts w:ascii="Tahoma" w:hAnsi="Tahoma" w:cs="Tahoma"/>
          <w:sz w:val="20"/>
          <w:szCs w:val="20"/>
        </w:rPr>
        <w:t>d’analyses</w:t>
      </w:r>
      <w:r w:rsidR="00DB1635" w:rsidRPr="00B004EE">
        <w:rPr>
          <w:rFonts w:ascii="Tahoma" w:hAnsi="Tahoma" w:cs="Tahoma"/>
          <w:sz w:val="20"/>
          <w:szCs w:val="20"/>
        </w:rPr>
        <w:t xml:space="preserve"> </w:t>
      </w:r>
      <w:r w:rsidRPr="00B004EE">
        <w:rPr>
          <w:rFonts w:ascii="Tahoma" w:hAnsi="Tahoma" w:cs="Tahoma"/>
          <w:sz w:val="20"/>
          <w:szCs w:val="20"/>
        </w:rPr>
        <w:t>doivent</w:t>
      </w:r>
      <w:r w:rsidR="00DB1635" w:rsidRPr="00B004EE">
        <w:rPr>
          <w:rFonts w:ascii="Tahoma" w:hAnsi="Tahoma" w:cs="Tahoma"/>
          <w:sz w:val="20"/>
          <w:szCs w:val="20"/>
        </w:rPr>
        <w:t xml:space="preserve"> </w:t>
      </w:r>
      <w:r w:rsidRPr="00B004EE">
        <w:rPr>
          <w:rFonts w:ascii="Tahoma" w:hAnsi="Tahoma" w:cs="Tahoma"/>
          <w:sz w:val="20"/>
          <w:szCs w:val="20"/>
        </w:rPr>
        <w:t>utiliser</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méthodes</w:t>
      </w:r>
      <w:r w:rsidR="00DB1635" w:rsidRPr="00B004EE">
        <w:rPr>
          <w:rFonts w:ascii="Tahoma" w:hAnsi="Tahoma" w:cs="Tahoma"/>
          <w:sz w:val="20"/>
          <w:szCs w:val="20"/>
        </w:rPr>
        <w:t xml:space="preserve"> </w:t>
      </w:r>
      <w:r w:rsidRPr="00B004EE">
        <w:rPr>
          <w:rFonts w:ascii="Tahoma" w:hAnsi="Tahoma" w:cs="Tahoma"/>
          <w:sz w:val="20"/>
          <w:szCs w:val="20"/>
        </w:rPr>
        <w:t>validées</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reconnues</w:t>
      </w:r>
      <w:r w:rsidR="00DB1635" w:rsidRPr="00B004EE">
        <w:rPr>
          <w:rFonts w:ascii="Tahoma" w:hAnsi="Tahoma" w:cs="Tahoma"/>
          <w:sz w:val="20"/>
          <w:szCs w:val="20"/>
        </w:rPr>
        <w:t xml:space="preserve"> </w:t>
      </w:r>
      <w:r w:rsidRPr="00B004EE">
        <w:rPr>
          <w:rFonts w:ascii="Tahoma" w:hAnsi="Tahoma" w:cs="Tahoma"/>
          <w:sz w:val="20"/>
          <w:szCs w:val="20"/>
        </w:rPr>
        <w:t>sur</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plan</w:t>
      </w:r>
      <w:r w:rsidR="00DB1635" w:rsidRPr="00B004EE">
        <w:rPr>
          <w:rFonts w:ascii="Tahoma" w:hAnsi="Tahoma" w:cs="Tahoma"/>
          <w:sz w:val="20"/>
          <w:szCs w:val="20"/>
        </w:rPr>
        <w:t xml:space="preserve"> </w:t>
      </w:r>
      <w:r w:rsidRPr="00B004EE">
        <w:rPr>
          <w:rFonts w:ascii="Tahoma" w:hAnsi="Tahoma" w:cs="Tahoma"/>
          <w:sz w:val="20"/>
          <w:szCs w:val="20"/>
        </w:rPr>
        <w:t>international</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appliquer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caractéristiques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performance</w:t>
      </w:r>
      <w:r w:rsidR="00DB1635" w:rsidRPr="00B004EE">
        <w:rPr>
          <w:rFonts w:ascii="Tahoma" w:hAnsi="Tahoma" w:cs="Tahoma"/>
          <w:sz w:val="20"/>
          <w:szCs w:val="20"/>
        </w:rPr>
        <w:t xml:space="preserve"> </w:t>
      </w:r>
      <w:r w:rsidRPr="00B004EE">
        <w:rPr>
          <w:rFonts w:ascii="Tahoma" w:hAnsi="Tahoma" w:cs="Tahoma"/>
          <w:sz w:val="20"/>
          <w:szCs w:val="20"/>
        </w:rPr>
        <w:t>spécifiées.</w:t>
      </w:r>
    </w:p>
    <w:p w14:paraId="04B925BA" w14:textId="5925519B" w:rsidR="008105B4" w:rsidRPr="00B004EE" w:rsidRDefault="008105B4" w:rsidP="00B004EE">
      <w:pPr>
        <w:pStyle w:val="Corpsdetexte3"/>
        <w:rPr>
          <w:rFonts w:ascii="Tahoma" w:hAnsi="Tahoma" w:cs="Tahoma"/>
          <w:bCs/>
          <w:sz w:val="20"/>
          <w:szCs w:val="20"/>
        </w:rPr>
      </w:pP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échantillons</w:t>
      </w:r>
      <w:r w:rsidR="00DB1635" w:rsidRPr="00B004EE">
        <w:rPr>
          <w:rFonts w:ascii="Tahoma" w:hAnsi="Tahoma" w:cs="Tahoma"/>
          <w:sz w:val="20"/>
          <w:szCs w:val="20"/>
        </w:rPr>
        <w:t xml:space="preserve"> </w:t>
      </w:r>
      <w:r w:rsidRPr="00B004EE">
        <w:rPr>
          <w:rFonts w:ascii="Tahoma" w:hAnsi="Tahoma" w:cs="Tahoma"/>
          <w:sz w:val="20"/>
          <w:szCs w:val="20"/>
        </w:rPr>
        <w:t>doivent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prélevés</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point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mise</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distribution</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manière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représentatifs</w:t>
      </w:r>
      <w:r w:rsidR="00DB1635" w:rsidRPr="00B004EE">
        <w:rPr>
          <w:rFonts w:ascii="Tahoma" w:hAnsi="Tahoma" w:cs="Tahoma"/>
          <w:sz w:val="20"/>
          <w:szCs w:val="20"/>
        </w:rPr>
        <w:t xml:space="preserve"> </w:t>
      </w:r>
      <w:r w:rsidRPr="00B004EE">
        <w:rPr>
          <w:rFonts w:ascii="Tahoma" w:hAnsi="Tahoma" w:cs="Tahoma"/>
          <w:sz w:val="20"/>
          <w:szCs w:val="20"/>
        </w:rPr>
        <w:t>(temporellement</w:t>
      </w:r>
      <w:r w:rsidR="00DB1635" w:rsidRPr="00B004EE">
        <w:rPr>
          <w:rFonts w:ascii="Tahoma" w:hAnsi="Tahoma" w:cs="Tahoma"/>
          <w:sz w:val="20"/>
          <w:szCs w:val="20"/>
        </w:rPr>
        <w:t xml:space="preserve"> </w:t>
      </w:r>
      <w:r w:rsidRPr="00B004EE">
        <w:rPr>
          <w:rFonts w:ascii="Tahoma" w:hAnsi="Tahoma" w:cs="Tahoma"/>
          <w:sz w:val="20"/>
          <w:szCs w:val="20"/>
        </w:rPr>
        <w:t>tout</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long</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l'année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géographiquement)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qualité</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eaux</w:t>
      </w:r>
      <w:r w:rsidR="00DB1635" w:rsidRPr="00B004EE">
        <w:rPr>
          <w:rFonts w:ascii="Tahoma" w:hAnsi="Tahoma" w:cs="Tahoma"/>
          <w:sz w:val="20"/>
          <w:szCs w:val="20"/>
        </w:rPr>
        <w:t xml:space="preserve"> </w:t>
      </w:r>
      <w:r w:rsidRPr="00B004EE">
        <w:rPr>
          <w:rFonts w:ascii="Tahoma" w:hAnsi="Tahoma" w:cs="Tahoma"/>
          <w:sz w:val="20"/>
          <w:szCs w:val="20"/>
        </w:rPr>
        <w:t>utilisées</w:t>
      </w:r>
      <w:r w:rsidR="00DB1635" w:rsidRPr="00B004EE">
        <w:rPr>
          <w:rFonts w:ascii="Tahoma" w:hAnsi="Tahoma" w:cs="Tahoma"/>
          <w:sz w:val="20"/>
          <w:szCs w:val="20"/>
        </w:rPr>
        <w:t xml:space="preserve"> </w:t>
      </w:r>
      <w:r w:rsidRPr="00B004EE">
        <w:rPr>
          <w:rFonts w:ascii="Tahoma" w:hAnsi="Tahoma" w:cs="Tahoma"/>
          <w:bCs/>
          <w:sz w:val="20"/>
          <w:szCs w:val="20"/>
        </w:rPr>
        <w:t>dans</w:t>
      </w:r>
      <w:r w:rsidR="00DB1635" w:rsidRPr="00B004EE">
        <w:rPr>
          <w:rFonts w:ascii="Tahoma" w:hAnsi="Tahoma" w:cs="Tahoma"/>
          <w:bCs/>
          <w:sz w:val="20"/>
          <w:szCs w:val="20"/>
        </w:rPr>
        <w:t xml:space="preserve"> </w:t>
      </w:r>
      <w:r w:rsidRPr="00B004EE">
        <w:rPr>
          <w:rFonts w:ascii="Tahoma" w:hAnsi="Tahoma" w:cs="Tahoma"/>
          <w:bCs/>
          <w:sz w:val="20"/>
          <w:szCs w:val="20"/>
        </w:rPr>
        <w:t>l’entreprise</w:t>
      </w:r>
      <w:r w:rsidR="00DB1635" w:rsidRPr="00B004EE">
        <w:rPr>
          <w:rFonts w:ascii="Tahoma" w:hAnsi="Tahoma" w:cs="Tahoma"/>
          <w:bCs/>
          <w:sz w:val="20"/>
          <w:szCs w:val="20"/>
        </w:rPr>
        <w:t xml:space="preserve"> </w:t>
      </w:r>
      <w:r w:rsidRPr="00B004EE">
        <w:rPr>
          <w:rFonts w:ascii="Tahoma" w:hAnsi="Tahoma" w:cs="Tahoma"/>
          <w:bCs/>
          <w:sz w:val="20"/>
          <w:szCs w:val="20"/>
        </w:rPr>
        <w:t>alimentaire.</w:t>
      </w:r>
    </w:p>
    <w:p w14:paraId="4DE8FAE7" w14:textId="77777777" w:rsidR="008105B4" w:rsidRPr="00B004EE" w:rsidRDefault="008105B4" w:rsidP="00B004EE">
      <w:pPr>
        <w:jc w:val="both"/>
        <w:rPr>
          <w:rFonts w:ascii="Tahoma" w:hAnsi="Tahoma" w:cs="Tahoma"/>
          <w:b/>
          <w:bCs/>
          <w:sz w:val="20"/>
          <w:szCs w:val="20"/>
        </w:rPr>
      </w:pPr>
    </w:p>
    <w:p w14:paraId="7DEE61CE" w14:textId="3F816B8A" w:rsidR="008105B4" w:rsidRPr="00B004EE" w:rsidRDefault="008105B4" w:rsidP="00B004EE">
      <w:pPr>
        <w:jc w:val="both"/>
        <w:rPr>
          <w:rFonts w:ascii="Tahoma" w:hAnsi="Tahoma" w:cs="Tahoma"/>
          <w:sz w:val="20"/>
          <w:szCs w:val="20"/>
        </w:rPr>
      </w:pPr>
      <w:r w:rsidRPr="00B004EE">
        <w:rPr>
          <w:rFonts w:ascii="Tahoma" w:hAnsi="Tahoma" w:cs="Tahoma"/>
          <w:bCs/>
          <w:sz w:val="20"/>
          <w:szCs w:val="20"/>
        </w:rPr>
        <w:t>En</w:t>
      </w:r>
      <w:r w:rsidR="00DB1635" w:rsidRPr="00B004EE">
        <w:rPr>
          <w:rFonts w:ascii="Tahoma" w:hAnsi="Tahoma" w:cs="Tahoma"/>
          <w:bCs/>
          <w:sz w:val="20"/>
          <w:szCs w:val="20"/>
        </w:rPr>
        <w:t xml:space="preserve"> </w:t>
      </w:r>
      <w:r w:rsidRPr="00B004EE">
        <w:rPr>
          <w:rFonts w:ascii="Tahoma" w:hAnsi="Tahoma" w:cs="Tahoma"/>
          <w:bCs/>
          <w:sz w:val="20"/>
          <w:szCs w:val="20"/>
        </w:rPr>
        <w:t>cas</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non-respect</w:t>
      </w:r>
      <w:r w:rsidR="00DB1635" w:rsidRPr="00B004EE">
        <w:rPr>
          <w:rFonts w:ascii="Tahoma" w:hAnsi="Tahoma" w:cs="Tahoma"/>
          <w:bCs/>
          <w:sz w:val="20"/>
          <w:szCs w:val="20"/>
        </w:rPr>
        <w:t xml:space="preserve"> </w:t>
      </w:r>
      <w:r w:rsidRPr="00B004EE">
        <w:rPr>
          <w:rFonts w:ascii="Tahoma" w:hAnsi="Tahoma" w:cs="Tahoma"/>
          <w:bCs/>
          <w:sz w:val="20"/>
          <w:szCs w:val="20"/>
        </w:rPr>
        <w:t>des</w:t>
      </w:r>
      <w:r w:rsidR="00DB1635" w:rsidRPr="00B004EE">
        <w:rPr>
          <w:rFonts w:ascii="Tahoma" w:hAnsi="Tahoma" w:cs="Tahoma"/>
          <w:bCs/>
          <w:sz w:val="20"/>
          <w:szCs w:val="20"/>
        </w:rPr>
        <w:t xml:space="preserve"> </w:t>
      </w:r>
      <w:r w:rsidRPr="00B004EE">
        <w:rPr>
          <w:rFonts w:ascii="Tahoma" w:hAnsi="Tahoma" w:cs="Tahoma"/>
          <w:bCs/>
          <w:sz w:val="20"/>
          <w:szCs w:val="20"/>
        </w:rPr>
        <w:t>limites</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qualité</w:t>
      </w:r>
      <w:r w:rsidR="00DB1635" w:rsidRPr="00B004EE">
        <w:rPr>
          <w:rFonts w:ascii="Tahoma" w:hAnsi="Tahoma" w:cs="Tahoma"/>
          <w:bCs/>
          <w:sz w:val="20"/>
          <w:szCs w:val="20"/>
        </w:rPr>
        <w:t xml:space="preserve"> </w:t>
      </w:r>
      <w:r w:rsidRPr="00B004EE">
        <w:rPr>
          <w:rFonts w:ascii="Tahoma" w:hAnsi="Tahoma" w:cs="Tahoma"/>
          <w:bCs/>
          <w:sz w:val="20"/>
          <w:szCs w:val="20"/>
        </w:rPr>
        <w:t>des</w:t>
      </w:r>
      <w:r w:rsidR="00DB1635" w:rsidRPr="00B004EE">
        <w:rPr>
          <w:rFonts w:ascii="Tahoma" w:hAnsi="Tahoma" w:cs="Tahoma"/>
          <w:bCs/>
          <w:sz w:val="20"/>
          <w:szCs w:val="20"/>
        </w:rPr>
        <w:t xml:space="preserve"> </w:t>
      </w:r>
      <w:r w:rsidRPr="00B004EE">
        <w:rPr>
          <w:rFonts w:ascii="Tahoma" w:hAnsi="Tahoma" w:cs="Tahoma"/>
          <w:bCs/>
          <w:sz w:val="20"/>
          <w:szCs w:val="20"/>
        </w:rPr>
        <w:t>paramètres</w:t>
      </w:r>
      <w:r w:rsidR="00DB1635" w:rsidRPr="00B004EE">
        <w:rPr>
          <w:rFonts w:ascii="Tahoma" w:hAnsi="Tahoma" w:cs="Tahoma"/>
          <w:bCs/>
          <w:sz w:val="20"/>
          <w:szCs w:val="20"/>
        </w:rPr>
        <w:t xml:space="preserve"> </w:t>
      </w:r>
      <w:r w:rsidRPr="00B004EE">
        <w:rPr>
          <w:rFonts w:ascii="Tahoma" w:hAnsi="Tahoma" w:cs="Tahoma"/>
          <w:sz w:val="20"/>
          <w:szCs w:val="20"/>
        </w:rPr>
        <w:t>fixés</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l’annexe</w:t>
      </w:r>
      <w:r w:rsidR="00DB1635" w:rsidRPr="00B004EE">
        <w:rPr>
          <w:rFonts w:ascii="Tahoma" w:hAnsi="Tahoma" w:cs="Tahoma"/>
          <w:sz w:val="20"/>
          <w:szCs w:val="20"/>
        </w:rPr>
        <w:t xml:space="preserve"> </w:t>
      </w:r>
      <w:r w:rsidRPr="00B004EE">
        <w:rPr>
          <w:rFonts w:ascii="Tahoma" w:hAnsi="Tahoma" w:cs="Tahoma"/>
          <w:sz w:val="20"/>
          <w:szCs w:val="20"/>
        </w:rPr>
        <w:t>I,</w:t>
      </w:r>
      <w:r w:rsidR="00DB1635" w:rsidRPr="00B004EE">
        <w:rPr>
          <w:rFonts w:ascii="Tahoma" w:hAnsi="Tahoma" w:cs="Tahoma"/>
          <w:sz w:val="20"/>
          <w:szCs w:val="20"/>
        </w:rPr>
        <w:t xml:space="preserve"> </w:t>
      </w:r>
      <w:r w:rsidRPr="00B004EE">
        <w:rPr>
          <w:rFonts w:ascii="Tahoma" w:hAnsi="Tahoma" w:cs="Tahoma"/>
          <w:sz w:val="20"/>
          <w:szCs w:val="20"/>
        </w:rPr>
        <w:t>l’autorité</w:t>
      </w:r>
      <w:r w:rsidR="00DB1635" w:rsidRPr="00B004EE">
        <w:rPr>
          <w:rFonts w:ascii="Tahoma" w:hAnsi="Tahoma" w:cs="Tahoma"/>
          <w:sz w:val="20"/>
          <w:szCs w:val="20"/>
        </w:rPr>
        <w:t xml:space="preserve"> </w:t>
      </w:r>
      <w:r w:rsidRPr="00B004EE">
        <w:rPr>
          <w:rFonts w:ascii="Tahoma" w:hAnsi="Tahoma" w:cs="Tahoma"/>
          <w:sz w:val="20"/>
          <w:szCs w:val="20"/>
        </w:rPr>
        <w:t>compétente</w:t>
      </w:r>
      <w:r w:rsidR="00DB1635" w:rsidRPr="00B004EE">
        <w:rPr>
          <w:rFonts w:ascii="Tahoma" w:hAnsi="Tahoma" w:cs="Tahoma"/>
          <w:sz w:val="20"/>
          <w:szCs w:val="20"/>
        </w:rPr>
        <w:t xml:space="preserve"> </w:t>
      </w:r>
      <w:r w:rsidRPr="00B004EE">
        <w:rPr>
          <w:rFonts w:ascii="Tahoma" w:hAnsi="Tahoma" w:cs="Tahoma"/>
          <w:sz w:val="20"/>
          <w:szCs w:val="20"/>
        </w:rPr>
        <w:t>veille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ce</w:t>
      </w:r>
      <w:r w:rsidR="00DB1635" w:rsidRPr="00B004EE">
        <w:rPr>
          <w:rFonts w:ascii="Tahoma" w:hAnsi="Tahoma" w:cs="Tahoma"/>
          <w:sz w:val="20"/>
          <w:szCs w:val="20"/>
        </w:rPr>
        <w:t xml:space="preserve"> </w:t>
      </w:r>
      <w:r w:rsidRPr="00B004EE">
        <w:rPr>
          <w:rFonts w:ascii="Tahoma" w:hAnsi="Tahoma" w:cs="Tahoma"/>
          <w:sz w:val="20"/>
          <w:szCs w:val="20"/>
        </w:rPr>
        <w:t>:</w:t>
      </w:r>
    </w:p>
    <w:p w14:paraId="3D2B1FA3" w14:textId="686D8CCF" w:rsidR="008105B4" w:rsidRPr="00B004EE" w:rsidRDefault="008105B4" w:rsidP="00B004EE">
      <w:pPr>
        <w:jc w:val="both"/>
        <w:rPr>
          <w:rFonts w:ascii="Tahoma" w:hAnsi="Tahoma" w:cs="Tahoma"/>
          <w:sz w:val="20"/>
          <w:szCs w:val="20"/>
        </w:rPr>
      </w:pP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qu’une</w:t>
      </w:r>
      <w:r w:rsidR="00DB1635" w:rsidRPr="00B004EE">
        <w:rPr>
          <w:rFonts w:ascii="Tahoma" w:hAnsi="Tahoma" w:cs="Tahoma"/>
          <w:sz w:val="20"/>
          <w:szCs w:val="20"/>
        </w:rPr>
        <w:t xml:space="preserve"> </w:t>
      </w:r>
      <w:r w:rsidRPr="00B004EE">
        <w:rPr>
          <w:rFonts w:ascii="Tahoma" w:hAnsi="Tahoma" w:cs="Tahoma"/>
          <w:sz w:val="20"/>
          <w:szCs w:val="20"/>
        </w:rPr>
        <w:t>enquête</w:t>
      </w:r>
      <w:r w:rsidR="00DB1635" w:rsidRPr="00B004EE">
        <w:rPr>
          <w:rFonts w:ascii="Tahoma" w:hAnsi="Tahoma" w:cs="Tahoma"/>
          <w:sz w:val="20"/>
          <w:szCs w:val="20"/>
        </w:rPr>
        <w:t xml:space="preserve"> </w:t>
      </w:r>
      <w:r w:rsidRPr="00B004EE">
        <w:rPr>
          <w:rFonts w:ascii="Tahoma" w:hAnsi="Tahoma" w:cs="Tahoma"/>
          <w:sz w:val="20"/>
          <w:szCs w:val="20"/>
        </w:rPr>
        <w:t>soit</w:t>
      </w:r>
      <w:r w:rsidR="00DB1635" w:rsidRPr="00B004EE">
        <w:rPr>
          <w:rFonts w:ascii="Tahoma" w:hAnsi="Tahoma" w:cs="Tahoma"/>
          <w:sz w:val="20"/>
          <w:szCs w:val="20"/>
        </w:rPr>
        <w:t xml:space="preserve"> </w:t>
      </w:r>
      <w:r w:rsidRPr="00B004EE">
        <w:rPr>
          <w:rFonts w:ascii="Tahoma" w:hAnsi="Tahoma" w:cs="Tahoma"/>
          <w:sz w:val="20"/>
          <w:szCs w:val="20"/>
        </w:rPr>
        <w:t>immédiatement</w:t>
      </w:r>
      <w:r w:rsidR="00DB1635" w:rsidRPr="00B004EE">
        <w:rPr>
          <w:rFonts w:ascii="Tahoma" w:hAnsi="Tahoma" w:cs="Tahoma"/>
          <w:sz w:val="20"/>
          <w:szCs w:val="20"/>
        </w:rPr>
        <w:t xml:space="preserve"> </w:t>
      </w:r>
      <w:r w:rsidRPr="00B004EE">
        <w:rPr>
          <w:rFonts w:ascii="Tahoma" w:hAnsi="Tahoma" w:cs="Tahoma"/>
          <w:sz w:val="20"/>
          <w:szCs w:val="20"/>
        </w:rPr>
        <w:t>effectuée</w:t>
      </w:r>
      <w:r w:rsidR="00DB1635" w:rsidRPr="00B004EE">
        <w:rPr>
          <w:rFonts w:ascii="Tahoma" w:hAnsi="Tahoma" w:cs="Tahoma"/>
          <w:sz w:val="20"/>
          <w:szCs w:val="20"/>
        </w:rPr>
        <w:t xml:space="preserve"> </w:t>
      </w:r>
      <w:r w:rsidRPr="00B004EE">
        <w:rPr>
          <w:rFonts w:ascii="Tahoma" w:hAnsi="Tahoma" w:cs="Tahoma"/>
          <w:sz w:val="20"/>
          <w:szCs w:val="20"/>
        </w:rPr>
        <w:t>afin</w:t>
      </w:r>
      <w:r w:rsidR="00DB1635" w:rsidRPr="00B004EE">
        <w:rPr>
          <w:rFonts w:ascii="Tahoma" w:hAnsi="Tahoma" w:cs="Tahoma"/>
          <w:sz w:val="20"/>
          <w:szCs w:val="20"/>
        </w:rPr>
        <w:t xml:space="preserve"> </w:t>
      </w:r>
      <w:r w:rsidRPr="00B004EE">
        <w:rPr>
          <w:rFonts w:ascii="Tahoma" w:hAnsi="Tahoma" w:cs="Tahoma"/>
          <w:sz w:val="20"/>
          <w:szCs w:val="20"/>
        </w:rPr>
        <w:t>d’en</w:t>
      </w:r>
      <w:r w:rsidR="00DB1635" w:rsidRPr="00B004EE">
        <w:rPr>
          <w:rFonts w:ascii="Tahoma" w:hAnsi="Tahoma" w:cs="Tahoma"/>
          <w:sz w:val="20"/>
          <w:szCs w:val="20"/>
        </w:rPr>
        <w:t xml:space="preserve"> </w:t>
      </w:r>
      <w:r w:rsidRPr="00B004EE">
        <w:rPr>
          <w:rFonts w:ascii="Tahoma" w:hAnsi="Tahoma" w:cs="Tahoma"/>
          <w:sz w:val="20"/>
          <w:szCs w:val="20"/>
        </w:rPr>
        <w:t>déterminer</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cause,</w:t>
      </w:r>
    </w:p>
    <w:p w14:paraId="3A69772C" w14:textId="782E1CD6" w:rsidR="008105B4" w:rsidRPr="00B004EE" w:rsidRDefault="008105B4" w:rsidP="00B004EE">
      <w:pPr>
        <w:jc w:val="both"/>
        <w:rPr>
          <w:rFonts w:ascii="Tahoma" w:hAnsi="Tahoma" w:cs="Tahoma"/>
          <w:b/>
          <w:bCs/>
          <w:sz w:val="20"/>
          <w:szCs w:val="20"/>
        </w:rPr>
      </w:pP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que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personne</w:t>
      </w:r>
      <w:r w:rsidR="00DB1635" w:rsidRPr="00B004EE">
        <w:rPr>
          <w:rFonts w:ascii="Tahoma" w:hAnsi="Tahoma" w:cs="Tahoma"/>
          <w:sz w:val="20"/>
          <w:szCs w:val="20"/>
        </w:rPr>
        <w:t xml:space="preserve"> </w:t>
      </w:r>
      <w:r w:rsidRPr="00B004EE">
        <w:rPr>
          <w:rFonts w:ascii="Tahoma" w:hAnsi="Tahoma" w:cs="Tahoma"/>
          <w:sz w:val="20"/>
          <w:szCs w:val="20"/>
        </w:rPr>
        <w:t>publique</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privée,</w:t>
      </w:r>
      <w:r w:rsidR="00DB1635" w:rsidRPr="00B004EE">
        <w:rPr>
          <w:rFonts w:ascii="Tahoma" w:hAnsi="Tahoma" w:cs="Tahoma"/>
          <w:sz w:val="20"/>
          <w:szCs w:val="20"/>
        </w:rPr>
        <w:t xml:space="preserve"> </w:t>
      </w:r>
      <w:r w:rsidRPr="00B004EE">
        <w:rPr>
          <w:rFonts w:ascii="Tahoma" w:hAnsi="Tahoma" w:cs="Tahoma"/>
          <w:sz w:val="20"/>
          <w:szCs w:val="20"/>
        </w:rPr>
        <w:t>responsable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distribution</w:t>
      </w:r>
      <w:r w:rsidR="00DB1635" w:rsidRPr="00B004EE">
        <w:rPr>
          <w:rFonts w:ascii="Tahoma" w:hAnsi="Tahoma" w:cs="Tahoma"/>
          <w:sz w:val="20"/>
          <w:szCs w:val="20"/>
        </w:rPr>
        <w:t xml:space="preserve"> </w:t>
      </w:r>
      <w:r w:rsidRPr="00B004EE">
        <w:rPr>
          <w:rFonts w:ascii="Tahoma" w:hAnsi="Tahoma" w:cs="Tahoma"/>
          <w:sz w:val="20"/>
          <w:szCs w:val="20"/>
        </w:rPr>
        <w:t>d’eau,</w:t>
      </w:r>
      <w:r w:rsidR="00DB1635" w:rsidRPr="00B004EE">
        <w:rPr>
          <w:rFonts w:ascii="Tahoma" w:hAnsi="Tahoma" w:cs="Tahoma"/>
          <w:sz w:val="20"/>
          <w:szCs w:val="20"/>
        </w:rPr>
        <w:t xml:space="preserve"> </w:t>
      </w:r>
      <w:r w:rsidRPr="00B004EE">
        <w:rPr>
          <w:rFonts w:ascii="Tahoma" w:hAnsi="Tahoma" w:cs="Tahoma"/>
          <w:sz w:val="20"/>
          <w:szCs w:val="20"/>
        </w:rPr>
        <w:t>prenne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mesures</w:t>
      </w:r>
      <w:r w:rsidR="00DB1635" w:rsidRPr="00B004EE">
        <w:rPr>
          <w:rFonts w:ascii="Tahoma" w:hAnsi="Tahoma" w:cs="Tahoma"/>
          <w:sz w:val="20"/>
          <w:szCs w:val="20"/>
        </w:rPr>
        <w:t xml:space="preserve"> </w:t>
      </w:r>
      <w:r w:rsidRPr="00B004EE">
        <w:rPr>
          <w:rFonts w:ascii="Tahoma" w:hAnsi="Tahoma" w:cs="Tahoma"/>
          <w:sz w:val="20"/>
          <w:szCs w:val="20"/>
        </w:rPr>
        <w:t>correctives</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rétablir</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qualité</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eaux.</w:t>
      </w:r>
    </w:p>
    <w:p w14:paraId="7B0DAD58" w14:textId="77777777" w:rsidR="008105B4" w:rsidRPr="00B004EE" w:rsidRDefault="008105B4" w:rsidP="00B004EE">
      <w:pPr>
        <w:jc w:val="both"/>
        <w:rPr>
          <w:rFonts w:ascii="Tahoma" w:hAnsi="Tahoma" w:cs="Tahoma"/>
          <w:b/>
          <w:bCs/>
          <w:sz w:val="20"/>
          <w:szCs w:val="20"/>
        </w:rPr>
      </w:pPr>
    </w:p>
    <w:p w14:paraId="56C00B6B" w14:textId="29C6CAA3" w:rsidR="008105B4" w:rsidRPr="00B004EE" w:rsidRDefault="008105B4" w:rsidP="00B004EE">
      <w:pPr>
        <w:pStyle w:val="Lgende"/>
        <w:jc w:val="both"/>
        <w:rPr>
          <w:rFonts w:ascii="Tahoma" w:hAnsi="Tahoma" w:cs="Tahoma"/>
        </w:rPr>
      </w:pPr>
      <w:r w:rsidRPr="00B004EE">
        <w:rPr>
          <w:rFonts w:ascii="Tahoma" w:hAnsi="Tahoma" w:cs="Tahoma"/>
        </w:rPr>
        <w:t>II.1</w:t>
      </w:r>
      <w:r w:rsidR="00DB1635" w:rsidRPr="00B004EE">
        <w:rPr>
          <w:rFonts w:ascii="Tahoma" w:hAnsi="Tahoma" w:cs="Tahoma"/>
        </w:rPr>
        <w:t xml:space="preserve"> </w:t>
      </w:r>
      <w:r w:rsidRPr="00B004EE">
        <w:rPr>
          <w:rFonts w:ascii="Tahoma" w:hAnsi="Tahoma" w:cs="Tahoma"/>
        </w:rPr>
        <w:t>Industries</w:t>
      </w:r>
      <w:r w:rsidR="00DB1635" w:rsidRPr="00B004EE">
        <w:rPr>
          <w:rFonts w:ascii="Tahoma" w:hAnsi="Tahoma" w:cs="Tahoma"/>
        </w:rPr>
        <w:t xml:space="preserve"> </w:t>
      </w:r>
      <w:r w:rsidRPr="00B004EE">
        <w:rPr>
          <w:rFonts w:ascii="Tahoma" w:hAnsi="Tahoma" w:cs="Tahoma"/>
        </w:rPr>
        <w:t>alimentaires</w:t>
      </w:r>
      <w:r w:rsidR="00DB1635" w:rsidRPr="00B004EE">
        <w:rPr>
          <w:rFonts w:ascii="Tahoma" w:hAnsi="Tahoma" w:cs="Tahoma"/>
        </w:rPr>
        <w:t xml:space="preserve"> </w:t>
      </w:r>
      <w:r w:rsidRPr="00B004EE">
        <w:rPr>
          <w:rFonts w:ascii="Tahoma" w:hAnsi="Tahoma" w:cs="Tahoma"/>
        </w:rPr>
        <w:t>raccordées</w:t>
      </w:r>
      <w:r w:rsidR="00DB1635" w:rsidRPr="00B004EE">
        <w:rPr>
          <w:rFonts w:ascii="Tahoma" w:hAnsi="Tahoma" w:cs="Tahoma"/>
        </w:rPr>
        <w:t xml:space="preserve"> </w:t>
      </w:r>
      <w:r w:rsidRPr="00B004EE">
        <w:rPr>
          <w:rFonts w:ascii="Tahoma" w:hAnsi="Tahoma" w:cs="Tahoma"/>
        </w:rPr>
        <w:t>à</w:t>
      </w:r>
      <w:r w:rsidR="00DB1635" w:rsidRPr="00B004EE">
        <w:rPr>
          <w:rFonts w:ascii="Tahoma" w:hAnsi="Tahoma" w:cs="Tahoma"/>
        </w:rPr>
        <w:t xml:space="preserve"> </w:t>
      </w:r>
      <w:r w:rsidRPr="00B004EE">
        <w:rPr>
          <w:rFonts w:ascii="Tahoma" w:hAnsi="Tahoma" w:cs="Tahoma"/>
        </w:rPr>
        <w:t>un</w:t>
      </w:r>
      <w:r w:rsidR="00DB1635" w:rsidRPr="00B004EE">
        <w:rPr>
          <w:rFonts w:ascii="Tahoma" w:hAnsi="Tahoma" w:cs="Tahoma"/>
        </w:rPr>
        <w:t xml:space="preserve"> </w:t>
      </w:r>
      <w:r w:rsidRPr="00B004EE">
        <w:rPr>
          <w:rFonts w:ascii="Tahoma" w:hAnsi="Tahoma" w:cs="Tahoma"/>
        </w:rPr>
        <w:t>réseau</w:t>
      </w:r>
      <w:r w:rsidR="00DB1635" w:rsidRPr="00B004EE">
        <w:rPr>
          <w:rFonts w:ascii="Tahoma" w:hAnsi="Tahoma" w:cs="Tahoma"/>
        </w:rPr>
        <w:t xml:space="preserve"> </w:t>
      </w:r>
      <w:r w:rsidRPr="00B004EE">
        <w:rPr>
          <w:rFonts w:ascii="Tahoma" w:hAnsi="Tahoma" w:cs="Tahoma"/>
        </w:rPr>
        <w:t>de</w:t>
      </w:r>
      <w:r w:rsidR="00DB1635" w:rsidRPr="00B004EE">
        <w:rPr>
          <w:rFonts w:ascii="Tahoma" w:hAnsi="Tahoma" w:cs="Tahoma"/>
        </w:rPr>
        <w:t xml:space="preserve"> </w:t>
      </w:r>
      <w:r w:rsidRPr="00B004EE">
        <w:rPr>
          <w:rFonts w:ascii="Tahoma" w:hAnsi="Tahoma" w:cs="Tahoma"/>
        </w:rPr>
        <w:t>distribution</w:t>
      </w:r>
      <w:r w:rsidR="00DB1635" w:rsidRPr="00B004EE">
        <w:rPr>
          <w:rFonts w:ascii="Tahoma" w:hAnsi="Tahoma" w:cs="Tahoma"/>
        </w:rPr>
        <w:t xml:space="preserve"> </w:t>
      </w:r>
      <w:r w:rsidRPr="00B004EE">
        <w:rPr>
          <w:rFonts w:ascii="Tahoma" w:hAnsi="Tahoma" w:cs="Tahoma"/>
        </w:rPr>
        <w:t>d’eau</w:t>
      </w:r>
    </w:p>
    <w:p w14:paraId="2082EADB" w14:textId="77777777" w:rsidR="008105B4" w:rsidRPr="00B004EE" w:rsidRDefault="008105B4" w:rsidP="00B004EE">
      <w:pPr>
        <w:jc w:val="both"/>
        <w:rPr>
          <w:rFonts w:ascii="Tahoma" w:hAnsi="Tahoma" w:cs="Tahoma"/>
          <w:b/>
          <w:bCs/>
          <w:sz w:val="20"/>
          <w:szCs w:val="20"/>
        </w:rPr>
      </w:pPr>
    </w:p>
    <w:p w14:paraId="59788503" w14:textId="697E62E3" w:rsidR="008105B4" w:rsidRPr="00B004EE" w:rsidRDefault="008105B4" w:rsidP="00B004EE">
      <w:pPr>
        <w:jc w:val="both"/>
        <w:rPr>
          <w:rFonts w:ascii="Tahoma" w:hAnsi="Tahoma" w:cs="Tahoma"/>
          <w:sz w:val="20"/>
          <w:szCs w:val="20"/>
        </w:rPr>
      </w:pP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contrôle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routine</w:t>
      </w:r>
      <w:r w:rsidR="00DB1635" w:rsidRPr="00B004EE">
        <w:rPr>
          <w:rFonts w:ascii="Tahoma" w:hAnsi="Tahoma" w:cs="Tahoma"/>
          <w:sz w:val="20"/>
          <w:szCs w:val="20"/>
        </w:rPr>
        <w:t xml:space="preserve"> </w:t>
      </w:r>
      <w:r w:rsidRPr="00B004EE">
        <w:rPr>
          <w:rFonts w:ascii="Tahoma" w:hAnsi="Tahoma" w:cs="Tahoma"/>
          <w:sz w:val="20"/>
          <w:szCs w:val="20"/>
        </w:rPr>
        <w:t>a</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but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fournir,</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manière</w:t>
      </w:r>
      <w:r w:rsidR="00DB1635" w:rsidRPr="00B004EE">
        <w:rPr>
          <w:rFonts w:ascii="Tahoma" w:hAnsi="Tahoma" w:cs="Tahoma"/>
          <w:sz w:val="20"/>
          <w:szCs w:val="20"/>
        </w:rPr>
        <w:t xml:space="preserve"> </w:t>
      </w:r>
      <w:r w:rsidRPr="00B004EE">
        <w:rPr>
          <w:rFonts w:ascii="Tahoma" w:hAnsi="Tahoma" w:cs="Tahoma"/>
          <w:sz w:val="20"/>
          <w:szCs w:val="20"/>
        </w:rPr>
        <w:t>régulière,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informations</w:t>
      </w:r>
      <w:r w:rsidR="00DB1635" w:rsidRPr="00B004EE">
        <w:rPr>
          <w:rFonts w:ascii="Tahoma" w:hAnsi="Tahoma" w:cs="Tahoma"/>
          <w:sz w:val="20"/>
          <w:szCs w:val="20"/>
        </w:rPr>
        <w:t xml:space="preserve"> </w:t>
      </w:r>
      <w:r w:rsidRPr="00B004EE">
        <w:rPr>
          <w:rFonts w:ascii="Tahoma" w:hAnsi="Tahoma" w:cs="Tahoma"/>
          <w:sz w:val="20"/>
          <w:szCs w:val="20"/>
        </w:rPr>
        <w:t>sur</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qualité</w:t>
      </w:r>
      <w:r w:rsidR="00DB1635" w:rsidRPr="00B004EE">
        <w:rPr>
          <w:rFonts w:ascii="Tahoma" w:hAnsi="Tahoma" w:cs="Tahoma"/>
          <w:sz w:val="20"/>
          <w:szCs w:val="20"/>
        </w:rPr>
        <w:t xml:space="preserve"> </w:t>
      </w:r>
      <w:r w:rsidRPr="00B004EE">
        <w:rPr>
          <w:rFonts w:ascii="Tahoma" w:hAnsi="Tahoma" w:cs="Tahoma"/>
          <w:sz w:val="20"/>
          <w:szCs w:val="20"/>
        </w:rPr>
        <w:t>organoleptique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microbiologique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eaux</w:t>
      </w:r>
      <w:r w:rsidR="00DB1635" w:rsidRPr="00B004EE">
        <w:rPr>
          <w:rFonts w:ascii="Tahoma" w:hAnsi="Tahoma" w:cs="Tahoma"/>
          <w:sz w:val="20"/>
          <w:szCs w:val="20"/>
        </w:rPr>
        <w:t xml:space="preserve"> </w:t>
      </w:r>
      <w:r w:rsidRPr="00B004EE">
        <w:rPr>
          <w:rFonts w:ascii="Tahoma" w:hAnsi="Tahoma" w:cs="Tahoma"/>
          <w:sz w:val="20"/>
          <w:szCs w:val="20"/>
        </w:rPr>
        <w:t>destinées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consommation</w:t>
      </w:r>
      <w:r w:rsidR="00DB1635" w:rsidRPr="00B004EE">
        <w:rPr>
          <w:rFonts w:ascii="Tahoma" w:hAnsi="Tahoma" w:cs="Tahoma"/>
          <w:sz w:val="20"/>
          <w:szCs w:val="20"/>
        </w:rPr>
        <w:t xml:space="preserve"> </w:t>
      </w:r>
      <w:r w:rsidRPr="00B004EE">
        <w:rPr>
          <w:rFonts w:ascii="Tahoma" w:hAnsi="Tahoma" w:cs="Tahoma"/>
          <w:sz w:val="20"/>
          <w:szCs w:val="20"/>
        </w:rPr>
        <w:t>humaine</w:t>
      </w:r>
      <w:r w:rsidR="00DB1635" w:rsidRPr="00B004EE">
        <w:rPr>
          <w:rFonts w:ascii="Tahoma" w:hAnsi="Tahoma" w:cs="Tahoma"/>
          <w:sz w:val="20"/>
          <w:szCs w:val="20"/>
        </w:rPr>
        <w:t xml:space="preserve"> </w:t>
      </w:r>
      <w:r w:rsidRPr="00B004EE">
        <w:rPr>
          <w:rFonts w:ascii="Tahoma" w:hAnsi="Tahoma" w:cs="Tahoma"/>
          <w:sz w:val="20"/>
          <w:szCs w:val="20"/>
        </w:rPr>
        <w:t>ainsi</w:t>
      </w:r>
      <w:r w:rsidR="00DB1635" w:rsidRPr="00B004EE">
        <w:rPr>
          <w:rFonts w:ascii="Tahoma" w:hAnsi="Tahoma" w:cs="Tahoma"/>
          <w:sz w:val="20"/>
          <w:szCs w:val="20"/>
        </w:rPr>
        <w:t xml:space="preserve"> </w:t>
      </w:r>
      <w:r w:rsidRPr="00B004EE">
        <w:rPr>
          <w:rFonts w:ascii="Tahoma" w:hAnsi="Tahoma" w:cs="Tahoma"/>
          <w:sz w:val="20"/>
          <w:szCs w:val="20"/>
        </w:rPr>
        <w:t>que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informations</w:t>
      </w:r>
      <w:r w:rsidR="00DB1635" w:rsidRPr="00B004EE">
        <w:rPr>
          <w:rFonts w:ascii="Tahoma" w:hAnsi="Tahoma" w:cs="Tahoma"/>
          <w:sz w:val="20"/>
          <w:szCs w:val="20"/>
        </w:rPr>
        <w:t xml:space="preserve"> </w:t>
      </w:r>
      <w:r w:rsidRPr="00B004EE">
        <w:rPr>
          <w:rFonts w:ascii="Tahoma" w:hAnsi="Tahoma" w:cs="Tahoma"/>
          <w:sz w:val="20"/>
          <w:szCs w:val="20"/>
        </w:rPr>
        <w:t>sur</w:t>
      </w:r>
      <w:r w:rsidR="00DB1635" w:rsidRPr="00B004EE">
        <w:rPr>
          <w:rFonts w:ascii="Tahoma" w:hAnsi="Tahoma" w:cs="Tahoma"/>
          <w:sz w:val="20"/>
          <w:szCs w:val="20"/>
        </w:rPr>
        <w:t xml:space="preserve"> </w:t>
      </w:r>
      <w:r w:rsidRPr="00B004EE">
        <w:rPr>
          <w:rFonts w:ascii="Tahoma" w:hAnsi="Tahoma" w:cs="Tahoma"/>
          <w:sz w:val="20"/>
          <w:szCs w:val="20"/>
        </w:rPr>
        <w:t>l’efficacité</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traitement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eaux</w:t>
      </w:r>
      <w:r w:rsidR="00DB1635" w:rsidRPr="00B004EE">
        <w:rPr>
          <w:rFonts w:ascii="Tahoma" w:hAnsi="Tahoma" w:cs="Tahoma"/>
          <w:sz w:val="20"/>
          <w:szCs w:val="20"/>
        </w:rPr>
        <w:t xml:space="preserve"> </w:t>
      </w:r>
      <w:r w:rsidRPr="00B004EE">
        <w:rPr>
          <w:rFonts w:ascii="Tahoma" w:hAnsi="Tahoma" w:cs="Tahoma"/>
          <w:sz w:val="20"/>
          <w:szCs w:val="20"/>
        </w:rPr>
        <w:t>potables</w:t>
      </w:r>
      <w:r w:rsidR="00DB1635" w:rsidRPr="00B004EE">
        <w:rPr>
          <w:rFonts w:ascii="Tahoma" w:hAnsi="Tahoma" w:cs="Tahoma"/>
          <w:sz w:val="20"/>
          <w:szCs w:val="20"/>
        </w:rPr>
        <w:t xml:space="preserve"> </w:t>
      </w:r>
      <w:r w:rsidRPr="00B004EE">
        <w:rPr>
          <w:rFonts w:ascii="Tahoma" w:hAnsi="Tahoma" w:cs="Tahoma"/>
          <w:sz w:val="20"/>
          <w:szCs w:val="20"/>
        </w:rPr>
        <w:t>(notamment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désinfection)</w:t>
      </w:r>
      <w:r w:rsidR="00DB1635" w:rsidRPr="00B004EE">
        <w:rPr>
          <w:rFonts w:ascii="Tahoma" w:hAnsi="Tahoma" w:cs="Tahoma"/>
          <w:sz w:val="20"/>
          <w:szCs w:val="20"/>
        </w:rPr>
        <w:t xml:space="preserve"> </w:t>
      </w:r>
      <w:r w:rsidRPr="00B004EE">
        <w:rPr>
          <w:rFonts w:ascii="Tahoma" w:hAnsi="Tahoma" w:cs="Tahoma"/>
          <w:sz w:val="20"/>
          <w:szCs w:val="20"/>
        </w:rPr>
        <w:t>lorsqu’il</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pratiqué,</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vue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déterminer</w:t>
      </w:r>
      <w:r w:rsidR="00DB1635" w:rsidRPr="00B004EE">
        <w:rPr>
          <w:rFonts w:ascii="Tahoma" w:hAnsi="Tahoma" w:cs="Tahoma"/>
          <w:sz w:val="20"/>
          <w:szCs w:val="20"/>
        </w:rPr>
        <w:t xml:space="preserve"> </w:t>
      </w:r>
      <w:r w:rsidRPr="00B004EE">
        <w:rPr>
          <w:rFonts w:ascii="Tahoma" w:hAnsi="Tahoma" w:cs="Tahoma"/>
          <w:sz w:val="20"/>
          <w:szCs w:val="20"/>
        </w:rPr>
        <w:t>si</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eaux</w:t>
      </w:r>
      <w:r w:rsidR="00DB1635" w:rsidRPr="00B004EE">
        <w:rPr>
          <w:rFonts w:ascii="Tahoma" w:hAnsi="Tahoma" w:cs="Tahoma"/>
          <w:sz w:val="20"/>
          <w:szCs w:val="20"/>
        </w:rPr>
        <w:t xml:space="preserve"> </w:t>
      </w:r>
      <w:r w:rsidRPr="00B004EE">
        <w:rPr>
          <w:rFonts w:ascii="Tahoma" w:hAnsi="Tahoma" w:cs="Tahoma"/>
          <w:sz w:val="20"/>
          <w:szCs w:val="20"/>
        </w:rPr>
        <w:t>destinées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consommation</w:t>
      </w:r>
      <w:r w:rsidR="00DB1635" w:rsidRPr="00B004EE">
        <w:rPr>
          <w:rFonts w:ascii="Tahoma" w:hAnsi="Tahoma" w:cs="Tahoma"/>
          <w:sz w:val="20"/>
          <w:szCs w:val="20"/>
        </w:rPr>
        <w:t xml:space="preserve"> </w:t>
      </w:r>
      <w:r w:rsidRPr="00B004EE">
        <w:rPr>
          <w:rFonts w:ascii="Tahoma" w:hAnsi="Tahoma" w:cs="Tahoma"/>
          <w:sz w:val="20"/>
          <w:szCs w:val="20"/>
        </w:rPr>
        <w:t>humaine</w:t>
      </w:r>
      <w:r w:rsidR="00DB1635" w:rsidRPr="00B004EE">
        <w:rPr>
          <w:rFonts w:ascii="Tahoma" w:hAnsi="Tahoma" w:cs="Tahoma"/>
          <w:sz w:val="20"/>
          <w:szCs w:val="20"/>
        </w:rPr>
        <w:t xml:space="preserve"> </w:t>
      </w:r>
      <w:r w:rsidRPr="00B004EE">
        <w:rPr>
          <w:rFonts w:ascii="Tahoma" w:hAnsi="Tahoma" w:cs="Tahoma"/>
          <w:sz w:val="20"/>
          <w:szCs w:val="20"/>
        </w:rPr>
        <w:t>respectent</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non</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valeurs</w:t>
      </w:r>
      <w:r w:rsidR="00DB1635" w:rsidRPr="00B004EE">
        <w:rPr>
          <w:rFonts w:ascii="Tahoma" w:hAnsi="Tahoma" w:cs="Tahoma"/>
          <w:sz w:val="20"/>
          <w:szCs w:val="20"/>
        </w:rPr>
        <w:t xml:space="preserve"> </w:t>
      </w:r>
      <w:r w:rsidRPr="00B004EE">
        <w:rPr>
          <w:rFonts w:ascii="Tahoma" w:hAnsi="Tahoma" w:cs="Tahoma"/>
          <w:sz w:val="20"/>
          <w:szCs w:val="20"/>
        </w:rPr>
        <w:t>paramétriques</w:t>
      </w:r>
      <w:r w:rsidR="00DB1635" w:rsidRPr="00B004EE">
        <w:rPr>
          <w:rFonts w:ascii="Tahoma" w:hAnsi="Tahoma" w:cs="Tahoma"/>
          <w:sz w:val="20"/>
          <w:szCs w:val="20"/>
        </w:rPr>
        <w:t xml:space="preserve"> </w:t>
      </w:r>
      <w:r w:rsidRPr="00B004EE">
        <w:rPr>
          <w:rFonts w:ascii="Tahoma" w:hAnsi="Tahoma" w:cs="Tahoma"/>
          <w:sz w:val="20"/>
          <w:szCs w:val="20"/>
        </w:rPr>
        <w:t>pertinentes</w:t>
      </w:r>
      <w:r w:rsidR="00DB1635" w:rsidRPr="00B004EE">
        <w:rPr>
          <w:rFonts w:ascii="Tahoma" w:hAnsi="Tahoma" w:cs="Tahoma"/>
          <w:sz w:val="20"/>
          <w:szCs w:val="20"/>
        </w:rPr>
        <w:t xml:space="preserve"> </w:t>
      </w:r>
      <w:r w:rsidRPr="00B004EE">
        <w:rPr>
          <w:rFonts w:ascii="Tahoma" w:hAnsi="Tahoma" w:cs="Tahoma"/>
          <w:sz w:val="20"/>
          <w:szCs w:val="20"/>
        </w:rPr>
        <w:t>prévues</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présent</w:t>
      </w:r>
      <w:r w:rsidR="00DB1635" w:rsidRPr="00B004EE">
        <w:rPr>
          <w:rFonts w:ascii="Tahoma" w:hAnsi="Tahoma" w:cs="Tahoma"/>
          <w:sz w:val="20"/>
          <w:szCs w:val="20"/>
        </w:rPr>
        <w:t xml:space="preserve"> </w:t>
      </w:r>
      <w:r w:rsidRPr="00B004EE">
        <w:rPr>
          <w:rFonts w:ascii="Tahoma" w:hAnsi="Tahoma" w:cs="Tahoma"/>
          <w:sz w:val="20"/>
          <w:szCs w:val="20"/>
        </w:rPr>
        <w:t>arrêté.</w:t>
      </w:r>
      <w:r w:rsidR="00DB1635" w:rsidRPr="00B004EE">
        <w:rPr>
          <w:rFonts w:ascii="Tahoma" w:hAnsi="Tahoma" w:cs="Tahoma"/>
          <w:sz w:val="20"/>
          <w:szCs w:val="20"/>
        </w:rPr>
        <w:t xml:space="preserve"> </w:t>
      </w:r>
    </w:p>
    <w:p w14:paraId="7F93996E" w14:textId="77777777" w:rsidR="008105B4" w:rsidRPr="00B004EE" w:rsidRDefault="008105B4" w:rsidP="00B004EE">
      <w:pPr>
        <w:jc w:val="both"/>
        <w:rPr>
          <w:rFonts w:ascii="Tahoma" w:hAnsi="Tahoma" w:cs="Tahoma"/>
          <w:b/>
          <w:bCs/>
          <w:sz w:val="20"/>
          <w:szCs w:val="20"/>
        </w:rPr>
      </w:pPr>
    </w:p>
    <w:p w14:paraId="5C720CE4" w14:textId="028A915C" w:rsidR="008105B4" w:rsidRPr="00B004EE" w:rsidRDefault="008105B4" w:rsidP="00B004EE">
      <w:pPr>
        <w:jc w:val="both"/>
        <w:rPr>
          <w:rFonts w:ascii="Tahoma" w:hAnsi="Tahoma" w:cs="Tahoma"/>
          <w:b/>
          <w:bCs/>
          <w:i/>
          <w:iCs/>
          <w:sz w:val="20"/>
          <w:szCs w:val="20"/>
        </w:rPr>
      </w:pPr>
      <w:r w:rsidRPr="00B004EE">
        <w:rPr>
          <w:rFonts w:ascii="Tahoma" w:hAnsi="Tahoma" w:cs="Tahoma"/>
          <w:b/>
          <w:bCs/>
          <w:sz w:val="20"/>
          <w:szCs w:val="20"/>
        </w:rPr>
        <w:t>A.</w:t>
      </w:r>
      <w:r w:rsidR="00DB1635" w:rsidRPr="00B004EE">
        <w:rPr>
          <w:rFonts w:ascii="Tahoma" w:hAnsi="Tahoma" w:cs="Tahoma"/>
          <w:b/>
          <w:bCs/>
          <w:sz w:val="20"/>
          <w:szCs w:val="20"/>
        </w:rPr>
        <w:t xml:space="preserve"> </w:t>
      </w:r>
      <w:r w:rsidRPr="00B004EE">
        <w:rPr>
          <w:rFonts w:ascii="Tahoma" w:hAnsi="Tahoma" w:cs="Tahoma"/>
          <w:b/>
          <w:bCs/>
          <w:i/>
          <w:iCs/>
          <w:sz w:val="20"/>
          <w:szCs w:val="20"/>
        </w:rPr>
        <w:t>Contrôle</w:t>
      </w:r>
      <w:r w:rsidR="00DB1635" w:rsidRPr="00B004EE">
        <w:rPr>
          <w:rFonts w:ascii="Tahoma" w:hAnsi="Tahoma" w:cs="Tahoma"/>
          <w:b/>
          <w:bCs/>
          <w:i/>
          <w:iCs/>
          <w:sz w:val="20"/>
          <w:szCs w:val="20"/>
        </w:rPr>
        <w:t xml:space="preserve"> </w:t>
      </w:r>
      <w:r w:rsidRPr="00B004EE">
        <w:rPr>
          <w:rFonts w:ascii="Tahoma" w:hAnsi="Tahoma" w:cs="Tahoma"/>
          <w:b/>
          <w:bCs/>
          <w:i/>
          <w:iCs/>
          <w:sz w:val="20"/>
          <w:szCs w:val="20"/>
        </w:rPr>
        <w:t>de</w:t>
      </w:r>
      <w:r w:rsidR="00DB1635" w:rsidRPr="00B004EE">
        <w:rPr>
          <w:rFonts w:ascii="Tahoma" w:hAnsi="Tahoma" w:cs="Tahoma"/>
          <w:b/>
          <w:bCs/>
          <w:i/>
          <w:iCs/>
          <w:sz w:val="20"/>
          <w:szCs w:val="20"/>
        </w:rPr>
        <w:t xml:space="preserve"> </w:t>
      </w:r>
      <w:r w:rsidRPr="00B004EE">
        <w:rPr>
          <w:rFonts w:ascii="Tahoma" w:hAnsi="Tahoma" w:cs="Tahoma"/>
          <w:b/>
          <w:bCs/>
          <w:i/>
          <w:iCs/>
          <w:sz w:val="20"/>
          <w:szCs w:val="20"/>
        </w:rPr>
        <w:t>routine</w:t>
      </w:r>
    </w:p>
    <w:p w14:paraId="1E657174" w14:textId="77777777" w:rsidR="008105B4" w:rsidRPr="00B004EE" w:rsidRDefault="008105B4" w:rsidP="00B004EE">
      <w:pPr>
        <w:jc w:val="both"/>
        <w:rPr>
          <w:rFonts w:ascii="Tahoma" w:hAnsi="Tahoma" w:cs="Tahoma"/>
          <w:i/>
          <w:iCs/>
          <w:sz w:val="20"/>
          <w:szCs w:val="20"/>
        </w:rPr>
      </w:pPr>
    </w:p>
    <w:p w14:paraId="34BE34D3" w14:textId="7694A431" w:rsidR="008105B4" w:rsidRPr="00B004EE" w:rsidRDefault="008105B4" w:rsidP="00B004EE">
      <w:pPr>
        <w:pStyle w:val="Corpsdetexte3"/>
        <w:rPr>
          <w:rFonts w:ascii="Tahoma" w:hAnsi="Tahoma" w:cs="Tahoma"/>
          <w:sz w:val="20"/>
          <w:szCs w:val="20"/>
        </w:rPr>
      </w:pP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paramètres</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tableau</w:t>
      </w:r>
      <w:r w:rsidR="00DB1635" w:rsidRPr="00B004EE">
        <w:rPr>
          <w:rFonts w:ascii="Tahoma" w:hAnsi="Tahoma" w:cs="Tahoma"/>
          <w:sz w:val="20"/>
          <w:szCs w:val="20"/>
        </w:rPr>
        <w:t xml:space="preserve"> </w:t>
      </w:r>
      <w:r w:rsidRPr="00B004EE">
        <w:rPr>
          <w:rFonts w:ascii="Tahoma" w:hAnsi="Tahoma" w:cs="Tahoma"/>
          <w:sz w:val="20"/>
          <w:szCs w:val="20"/>
        </w:rPr>
        <w:t>D</w:t>
      </w:r>
      <w:r w:rsidR="00DB1635" w:rsidRPr="00B004EE">
        <w:rPr>
          <w:rFonts w:ascii="Tahoma" w:hAnsi="Tahoma" w:cs="Tahoma"/>
          <w:sz w:val="20"/>
          <w:szCs w:val="20"/>
        </w:rPr>
        <w:t xml:space="preserve"> </w:t>
      </w:r>
      <w:r w:rsidRPr="00B004EE">
        <w:rPr>
          <w:rFonts w:ascii="Tahoma" w:hAnsi="Tahoma" w:cs="Tahoma"/>
          <w:sz w:val="20"/>
          <w:szCs w:val="20"/>
        </w:rPr>
        <w:t>font</w:t>
      </w:r>
      <w:r w:rsidR="00DB1635" w:rsidRPr="00B004EE">
        <w:rPr>
          <w:rFonts w:ascii="Tahoma" w:hAnsi="Tahoma" w:cs="Tahoma"/>
          <w:sz w:val="20"/>
          <w:szCs w:val="20"/>
        </w:rPr>
        <w:t xml:space="preserve"> </w:t>
      </w:r>
      <w:r w:rsidRPr="00B004EE">
        <w:rPr>
          <w:rFonts w:ascii="Tahoma" w:hAnsi="Tahoma" w:cs="Tahoma"/>
          <w:sz w:val="20"/>
          <w:szCs w:val="20"/>
        </w:rPr>
        <w:t>l’objet</w:t>
      </w:r>
      <w:r w:rsidR="00DB1635" w:rsidRPr="00B004EE">
        <w:rPr>
          <w:rFonts w:ascii="Tahoma" w:hAnsi="Tahoma" w:cs="Tahoma"/>
          <w:sz w:val="20"/>
          <w:szCs w:val="20"/>
        </w:rPr>
        <w:t xml:space="preserve"> </w:t>
      </w:r>
      <w:r w:rsidRPr="00B004EE">
        <w:rPr>
          <w:rFonts w:ascii="Tahoma" w:hAnsi="Tahoma" w:cs="Tahoma"/>
          <w:sz w:val="20"/>
          <w:szCs w:val="20"/>
        </w:rPr>
        <w:t>d’un</w:t>
      </w:r>
      <w:r w:rsidR="00DB1635" w:rsidRPr="00B004EE">
        <w:rPr>
          <w:rFonts w:ascii="Tahoma" w:hAnsi="Tahoma" w:cs="Tahoma"/>
          <w:sz w:val="20"/>
          <w:szCs w:val="20"/>
        </w:rPr>
        <w:t xml:space="preserve"> </w:t>
      </w:r>
      <w:r w:rsidRPr="00B004EE">
        <w:rPr>
          <w:rFonts w:ascii="Tahoma" w:hAnsi="Tahoma" w:cs="Tahoma"/>
          <w:sz w:val="20"/>
          <w:szCs w:val="20"/>
        </w:rPr>
        <w:t>contrôle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routine,</w:t>
      </w:r>
      <w:r w:rsidR="00DB1635" w:rsidRPr="00B004EE">
        <w:rPr>
          <w:rFonts w:ascii="Tahoma" w:hAnsi="Tahoma" w:cs="Tahoma"/>
          <w:sz w:val="20"/>
          <w:szCs w:val="20"/>
        </w:rPr>
        <w:t xml:space="preserve"> </w:t>
      </w:r>
      <w:r w:rsidRPr="00B004EE">
        <w:rPr>
          <w:rFonts w:ascii="Tahoma" w:hAnsi="Tahoma" w:cs="Tahoma"/>
          <w:sz w:val="20"/>
          <w:szCs w:val="20"/>
        </w:rPr>
        <w:t>mais</w:t>
      </w:r>
      <w:r w:rsidR="00DB1635" w:rsidRPr="00B004EE">
        <w:rPr>
          <w:rFonts w:ascii="Tahoma" w:hAnsi="Tahoma" w:cs="Tahoma"/>
          <w:sz w:val="20"/>
          <w:szCs w:val="20"/>
        </w:rPr>
        <w:t xml:space="preserve"> </w:t>
      </w:r>
      <w:r w:rsidRPr="00B004EE">
        <w:rPr>
          <w:rFonts w:ascii="Tahoma" w:hAnsi="Tahoma" w:cs="Tahoma"/>
          <w:sz w:val="20"/>
          <w:szCs w:val="20"/>
        </w:rPr>
        <w:t>d’autres</w:t>
      </w:r>
      <w:r w:rsidR="00DB1635" w:rsidRPr="00B004EE">
        <w:rPr>
          <w:rFonts w:ascii="Tahoma" w:hAnsi="Tahoma" w:cs="Tahoma"/>
          <w:sz w:val="20"/>
          <w:szCs w:val="20"/>
        </w:rPr>
        <w:t xml:space="preserve"> </w:t>
      </w:r>
      <w:r w:rsidRPr="00B004EE">
        <w:rPr>
          <w:rFonts w:ascii="Tahoma" w:hAnsi="Tahoma" w:cs="Tahoma"/>
          <w:sz w:val="20"/>
          <w:szCs w:val="20"/>
        </w:rPr>
        <w:t>paramètres</w:t>
      </w:r>
      <w:r w:rsidR="00DB1635" w:rsidRPr="00B004EE">
        <w:rPr>
          <w:rFonts w:ascii="Tahoma" w:hAnsi="Tahoma" w:cs="Tahoma"/>
          <w:sz w:val="20"/>
          <w:szCs w:val="20"/>
        </w:rPr>
        <w:t xml:space="preserve"> </w:t>
      </w:r>
      <w:r w:rsidRPr="00B004EE">
        <w:rPr>
          <w:rFonts w:ascii="Tahoma" w:hAnsi="Tahoma" w:cs="Tahoma"/>
          <w:sz w:val="20"/>
          <w:szCs w:val="20"/>
        </w:rPr>
        <w:t>peuvent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ajoutés</w:t>
      </w:r>
      <w:r w:rsidR="00DB1635" w:rsidRPr="00B004EE">
        <w:rPr>
          <w:rFonts w:ascii="Tahoma" w:hAnsi="Tahoma" w:cs="Tahoma"/>
          <w:sz w:val="20"/>
          <w:szCs w:val="20"/>
        </w:rPr>
        <w:t xml:space="preserve"> </w:t>
      </w:r>
      <w:r w:rsidRPr="00B004EE">
        <w:rPr>
          <w:rFonts w:ascii="Tahoma" w:hAnsi="Tahoma" w:cs="Tahoma"/>
          <w:sz w:val="20"/>
          <w:szCs w:val="20"/>
        </w:rPr>
        <w:t>si</w:t>
      </w:r>
      <w:r w:rsidR="00DB1635" w:rsidRPr="00B004EE">
        <w:rPr>
          <w:rFonts w:ascii="Tahoma" w:hAnsi="Tahoma" w:cs="Tahoma"/>
          <w:sz w:val="20"/>
          <w:szCs w:val="20"/>
        </w:rPr>
        <w:t xml:space="preserve"> </w:t>
      </w:r>
      <w:r w:rsidRPr="00B004EE">
        <w:rPr>
          <w:rFonts w:ascii="Tahoma" w:hAnsi="Tahoma" w:cs="Tahoma"/>
          <w:sz w:val="20"/>
          <w:szCs w:val="20"/>
        </w:rPr>
        <w:t>nécessaire.</w:t>
      </w:r>
    </w:p>
    <w:p w14:paraId="7FFD59A4" w14:textId="77777777" w:rsidR="008105B4" w:rsidRPr="00B004EE" w:rsidRDefault="008105B4" w:rsidP="00B004EE">
      <w:pPr>
        <w:pStyle w:val="Corpsdetexte3"/>
        <w:rPr>
          <w:rFonts w:ascii="Tahoma" w:hAnsi="Tahoma" w:cs="Tahoma"/>
          <w:sz w:val="20"/>
          <w:szCs w:val="20"/>
        </w:rPr>
      </w:pPr>
    </w:p>
    <w:p w14:paraId="3564E45C" w14:textId="2CBE91B6" w:rsidR="008105B4" w:rsidRPr="00B004EE" w:rsidRDefault="008105B4" w:rsidP="00B004EE">
      <w:pPr>
        <w:jc w:val="both"/>
        <w:rPr>
          <w:rFonts w:ascii="Tahoma" w:hAnsi="Tahoma" w:cs="Tahoma"/>
          <w:b/>
          <w:bCs/>
          <w:sz w:val="20"/>
          <w:szCs w:val="20"/>
        </w:rPr>
      </w:pPr>
      <w:r w:rsidRPr="00B004EE">
        <w:rPr>
          <w:rFonts w:ascii="Tahoma" w:hAnsi="Tahoma" w:cs="Tahoma"/>
          <w:b/>
          <w:bCs/>
          <w:sz w:val="20"/>
          <w:szCs w:val="20"/>
        </w:rPr>
        <w:t>Tableau</w:t>
      </w:r>
      <w:r w:rsidR="00DB1635" w:rsidRPr="00B004EE">
        <w:rPr>
          <w:rFonts w:ascii="Tahoma" w:hAnsi="Tahoma" w:cs="Tahoma"/>
          <w:b/>
          <w:bCs/>
          <w:sz w:val="20"/>
          <w:szCs w:val="20"/>
        </w:rPr>
        <w:t xml:space="preserve"> </w:t>
      </w:r>
      <w:r w:rsidRPr="00B004EE">
        <w:rPr>
          <w:rFonts w:ascii="Tahoma" w:hAnsi="Tahoma" w:cs="Tahoma"/>
          <w:b/>
          <w:bCs/>
          <w:sz w:val="20"/>
          <w:szCs w:val="20"/>
        </w:rPr>
        <w:t>D</w:t>
      </w:r>
      <w:r w:rsidR="00DB1635" w:rsidRPr="00B004EE">
        <w:rPr>
          <w:rFonts w:ascii="Tahoma" w:hAnsi="Tahoma" w:cs="Tahoma"/>
          <w:b/>
          <w:bCs/>
          <w:sz w:val="20"/>
          <w:szCs w:val="20"/>
        </w:rPr>
        <w:t xml:space="preserve"> </w:t>
      </w:r>
      <w:r w:rsidRPr="00B004EE">
        <w:rPr>
          <w:rFonts w:ascii="Tahoma" w:hAnsi="Tahoma" w:cs="Tahoma"/>
          <w:b/>
          <w:bCs/>
          <w:sz w:val="20"/>
          <w:szCs w:val="20"/>
        </w:rPr>
        <w:t>:</w:t>
      </w:r>
      <w:r w:rsidR="00DB1635" w:rsidRPr="00B004EE">
        <w:rPr>
          <w:rFonts w:ascii="Tahoma" w:hAnsi="Tahoma" w:cs="Tahoma"/>
          <w:b/>
          <w:bCs/>
          <w:sz w:val="20"/>
          <w:szCs w:val="20"/>
        </w:rPr>
        <w:t xml:space="preserve"> </w:t>
      </w:r>
      <w:r w:rsidRPr="00B004EE">
        <w:rPr>
          <w:rFonts w:ascii="Tahoma" w:hAnsi="Tahoma" w:cs="Tahoma"/>
          <w:b/>
          <w:bCs/>
          <w:sz w:val="20"/>
          <w:szCs w:val="20"/>
        </w:rPr>
        <w:t>Paramètres</w:t>
      </w:r>
      <w:r w:rsidR="00DB1635" w:rsidRPr="00B004EE">
        <w:rPr>
          <w:rFonts w:ascii="Tahoma" w:hAnsi="Tahoma" w:cs="Tahoma"/>
          <w:b/>
          <w:bCs/>
          <w:sz w:val="20"/>
          <w:szCs w:val="20"/>
        </w:rPr>
        <w:t xml:space="preserve"> </w:t>
      </w:r>
      <w:r w:rsidRPr="00B004EE">
        <w:rPr>
          <w:rFonts w:ascii="Tahoma" w:hAnsi="Tahoma" w:cs="Tahoma"/>
          <w:b/>
          <w:bCs/>
          <w:sz w:val="20"/>
          <w:szCs w:val="20"/>
        </w:rPr>
        <w:t>pour</w:t>
      </w:r>
      <w:r w:rsidR="00DB1635" w:rsidRPr="00B004EE">
        <w:rPr>
          <w:rFonts w:ascii="Tahoma" w:hAnsi="Tahoma" w:cs="Tahoma"/>
          <w:b/>
          <w:bCs/>
          <w:sz w:val="20"/>
          <w:szCs w:val="20"/>
        </w:rPr>
        <w:t xml:space="preserve"> </w:t>
      </w:r>
      <w:r w:rsidRPr="00B004EE">
        <w:rPr>
          <w:rFonts w:ascii="Tahoma" w:hAnsi="Tahoma" w:cs="Tahoma"/>
          <w:b/>
          <w:bCs/>
          <w:sz w:val="20"/>
          <w:szCs w:val="20"/>
        </w:rPr>
        <w:t>le</w:t>
      </w:r>
      <w:r w:rsidR="00DB1635" w:rsidRPr="00B004EE">
        <w:rPr>
          <w:rFonts w:ascii="Tahoma" w:hAnsi="Tahoma" w:cs="Tahoma"/>
          <w:b/>
          <w:bCs/>
          <w:sz w:val="20"/>
          <w:szCs w:val="20"/>
        </w:rPr>
        <w:t xml:space="preserve"> </w:t>
      </w:r>
      <w:r w:rsidRPr="00B004EE">
        <w:rPr>
          <w:rFonts w:ascii="Tahoma" w:hAnsi="Tahoma" w:cs="Tahoma"/>
          <w:b/>
          <w:bCs/>
          <w:sz w:val="20"/>
          <w:szCs w:val="20"/>
        </w:rPr>
        <w:t>contrôle</w:t>
      </w:r>
      <w:r w:rsidR="00DB1635" w:rsidRPr="00B004EE">
        <w:rPr>
          <w:rFonts w:ascii="Tahoma" w:hAnsi="Tahoma" w:cs="Tahoma"/>
          <w:b/>
          <w:bCs/>
          <w:sz w:val="20"/>
          <w:szCs w:val="20"/>
        </w:rPr>
        <w:t xml:space="preserve"> </w:t>
      </w:r>
      <w:r w:rsidRPr="00B004EE">
        <w:rPr>
          <w:rFonts w:ascii="Tahoma" w:hAnsi="Tahoma" w:cs="Tahoma"/>
          <w:b/>
          <w:bCs/>
          <w:sz w:val="20"/>
          <w:szCs w:val="20"/>
        </w:rPr>
        <w:t>de</w:t>
      </w:r>
      <w:r w:rsidR="00DB1635" w:rsidRPr="00B004EE">
        <w:rPr>
          <w:rFonts w:ascii="Tahoma" w:hAnsi="Tahoma" w:cs="Tahoma"/>
          <w:b/>
          <w:bCs/>
          <w:sz w:val="20"/>
          <w:szCs w:val="20"/>
        </w:rPr>
        <w:t xml:space="preserve"> </w:t>
      </w:r>
      <w:r w:rsidRPr="00B004EE">
        <w:rPr>
          <w:rFonts w:ascii="Tahoma" w:hAnsi="Tahoma" w:cs="Tahoma"/>
          <w:b/>
          <w:bCs/>
          <w:sz w:val="20"/>
          <w:szCs w:val="20"/>
        </w:rPr>
        <w:t>routine</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9"/>
        <w:gridCol w:w="5356"/>
        <w:gridCol w:w="3813"/>
      </w:tblGrid>
      <w:tr w:rsidR="00150C90" w:rsidRPr="00B004EE" w14:paraId="0752EF07" w14:textId="77777777" w:rsidTr="001E7C3C">
        <w:tc>
          <w:tcPr>
            <w:tcW w:w="365" w:type="dxa"/>
          </w:tcPr>
          <w:p w14:paraId="7A9979F4" w14:textId="77777777" w:rsidR="008105B4" w:rsidRPr="00B004EE" w:rsidRDefault="008105B4" w:rsidP="00B004EE">
            <w:pPr>
              <w:jc w:val="both"/>
              <w:rPr>
                <w:rFonts w:ascii="Tahoma" w:hAnsi="Tahoma" w:cs="Tahoma"/>
                <w:b/>
                <w:bCs/>
                <w:sz w:val="20"/>
                <w:szCs w:val="20"/>
              </w:rPr>
            </w:pPr>
            <w:r w:rsidRPr="00B004EE">
              <w:rPr>
                <w:rFonts w:ascii="Tahoma" w:hAnsi="Tahoma" w:cs="Tahoma"/>
                <w:b/>
                <w:bCs/>
                <w:sz w:val="20"/>
                <w:szCs w:val="20"/>
              </w:rPr>
              <w:t>N°</w:t>
            </w:r>
          </w:p>
        </w:tc>
        <w:tc>
          <w:tcPr>
            <w:tcW w:w="5375" w:type="dxa"/>
          </w:tcPr>
          <w:p w14:paraId="6CE8925B" w14:textId="77777777" w:rsidR="008105B4" w:rsidRPr="00B004EE" w:rsidRDefault="008105B4" w:rsidP="00B004EE">
            <w:pPr>
              <w:jc w:val="both"/>
              <w:rPr>
                <w:rFonts w:ascii="Tahoma" w:hAnsi="Tahoma" w:cs="Tahoma"/>
                <w:b/>
                <w:bCs/>
                <w:sz w:val="20"/>
                <w:szCs w:val="20"/>
              </w:rPr>
            </w:pPr>
            <w:r w:rsidRPr="00B004EE">
              <w:rPr>
                <w:rFonts w:ascii="Tahoma" w:hAnsi="Tahoma" w:cs="Tahoma"/>
                <w:b/>
                <w:bCs/>
                <w:sz w:val="20"/>
                <w:szCs w:val="20"/>
              </w:rPr>
              <w:t>Paramètres</w:t>
            </w:r>
          </w:p>
        </w:tc>
        <w:tc>
          <w:tcPr>
            <w:tcW w:w="3828" w:type="dxa"/>
          </w:tcPr>
          <w:p w14:paraId="31438BB2" w14:textId="77777777" w:rsidR="008105B4" w:rsidRPr="00B004EE" w:rsidRDefault="008105B4" w:rsidP="00B004EE">
            <w:pPr>
              <w:pStyle w:val="Titre4"/>
              <w:rPr>
                <w:rFonts w:ascii="Tahoma" w:hAnsi="Tahoma" w:cs="Tahoma"/>
                <w:sz w:val="20"/>
                <w:szCs w:val="20"/>
              </w:rPr>
            </w:pPr>
            <w:r w:rsidRPr="00B004EE">
              <w:rPr>
                <w:rFonts w:ascii="Tahoma" w:hAnsi="Tahoma" w:cs="Tahoma"/>
                <w:sz w:val="20"/>
                <w:szCs w:val="20"/>
              </w:rPr>
              <w:t>Notes</w:t>
            </w:r>
          </w:p>
        </w:tc>
      </w:tr>
      <w:tr w:rsidR="00150C90" w:rsidRPr="00B004EE" w14:paraId="46765151" w14:textId="77777777" w:rsidTr="001E7C3C">
        <w:tc>
          <w:tcPr>
            <w:tcW w:w="365" w:type="dxa"/>
          </w:tcPr>
          <w:p w14:paraId="13A89E56" w14:textId="77777777" w:rsidR="008105B4" w:rsidRPr="00B004EE" w:rsidRDefault="008105B4" w:rsidP="00B004EE">
            <w:pPr>
              <w:jc w:val="both"/>
              <w:rPr>
                <w:rFonts w:ascii="Tahoma" w:hAnsi="Tahoma" w:cs="Tahoma"/>
                <w:sz w:val="20"/>
                <w:szCs w:val="20"/>
              </w:rPr>
            </w:pPr>
          </w:p>
        </w:tc>
        <w:tc>
          <w:tcPr>
            <w:tcW w:w="5375" w:type="dxa"/>
          </w:tcPr>
          <w:p w14:paraId="46CF04F6" w14:textId="6ACA35B0" w:rsidR="008105B4" w:rsidRPr="00B004EE" w:rsidRDefault="008105B4" w:rsidP="00B004EE">
            <w:pPr>
              <w:jc w:val="both"/>
              <w:rPr>
                <w:rFonts w:ascii="Tahoma" w:hAnsi="Tahoma" w:cs="Tahoma"/>
                <w:sz w:val="20"/>
                <w:szCs w:val="20"/>
              </w:rPr>
            </w:pPr>
            <w:r w:rsidRPr="00B004EE">
              <w:rPr>
                <w:rFonts w:ascii="Tahoma" w:hAnsi="Tahoma" w:cs="Tahoma"/>
                <w:sz w:val="20"/>
                <w:szCs w:val="20"/>
              </w:rPr>
              <w:t>Aluminium</w:t>
            </w:r>
            <w:r w:rsidR="00DB1635" w:rsidRPr="00B004EE">
              <w:rPr>
                <w:rFonts w:ascii="Tahoma" w:hAnsi="Tahoma" w:cs="Tahoma"/>
                <w:sz w:val="20"/>
                <w:szCs w:val="20"/>
              </w:rPr>
              <w:t xml:space="preserve"> </w:t>
            </w:r>
            <w:r w:rsidRPr="00B004EE">
              <w:rPr>
                <w:rFonts w:ascii="Tahoma" w:hAnsi="Tahoma" w:cs="Tahoma"/>
                <w:sz w:val="20"/>
                <w:szCs w:val="20"/>
              </w:rPr>
              <w:t>total</w:t>
            </w:r>
          </w:p>
        </w:tc>
        <w:tc>
          <w:tcPr>
            <w:tcW w:w="3828" w:type="dxa"/>
          </w:tcPr>
          <w:p w14:paraId="0EFE224B" w14:textId="7BCCE7AF" w:rsidR="008105B4" w:rsidRPr="00B004EE" w:rsidRDefault="008105B4" w:rsidP="00B004EE">
            <w:pPr>
              <w:jc w:val="both"/>
              <w:rPr>
                <w:rFonts w:ascii="Tahoma" w:hAnsi="Tahoma" w:cs="Tahoma"/>
                <w:sz w:val="20"/>
                <w:szCs w:val="20"/>
              </w:rPr>
            </w:pPr>
            <w:r w:rsidRPr="00B004EE">
              <w:rPr>
                <w:rFonts w:ascii="Tahoma" w:hAnsi="Tahoma" w:cs="Tahoma"/>
                <w:sz w:val="20"/>
                <w:szCs w:val="20"/>
              </w:rPr>
              <w:t>Note</w:t>
            </w:r>
            <w:r w:rsidR="00DB1635" w:rsidRPr="00B004EE">
              <w:rPr>
                <w:rFonts w:ascii="Tahoma" w:hAnsi="Tahoma" w:cs="Tahoma"/>
                <w:sz w:val="20"/>
                <w:szCs w:val="20"/>
              </w:rPr>
              <w:t xml:space="preserve"> </w:t>
            </w:r>
            <w:r w:rsidRPr="00B004EE">
              <w:rPr>
                <w:rFonts w:ascii="Tahoma" w:hAnsi="Tahoma" w:cs="Tahoma"/>
                <w:sz w:val="20"/>
                <w:szCs w:val="20"/>
              </w:rPr>
              <w:t>1</w:t>
            </w:r>
          </w:p>
        </w:tc>
      </w:tr>
      <w:tr w:rsidR="00150C90" w:rsidRPr="00B004EE" w14:paraId="11E1C735" w14:textId="77777777" w:rsidTr="001E7C3C">
        <w:tc>
          <w:tcPr>
            <w:tcW w:w="365" w:type="dxa"/>
          </w:tcPr>
          <w:p w14:paraId="441A6180" w14:textId="77777777" w:rsidR="008105B4" w:rsidRPr="00B004EE" w:rsidRDefault="008105B4" w:rsidP="00B004EE">
            <w:pPr>
              <w:jc w:val="both"/>
              <w:rPr>
                <w:rFonts w:ascii="Tahoma" w:hAnsi="Tahoma" w:cs="Tahoma"/>
                <w:sz w:val="20"/>
                <w:szCs w:val="20"/>
              </w:rPr>
            </w:pPr>
          </w:p>
        </w:tc>
        <w:tc>
          <w:tcPr>
            <w:tcW w:w="5375" w:type="dxa"/>
          </w:tcPr>
          <w:p w14:paraId="431B3382" w14:textId="77777777" w:rsidR="008105B4" w:rsidRPr="00B004EE" w:rsidRDefault="008105B4" w:rsidP="00B004EE">
            <w:pPr>
              <w:jc w:val="both"/>
              <w:rPr>
                <w:rFonts w:ascii="Tahoma" w:hAnsi="Tahoma" w:cs="Tahoma"/>
                <w:sz w:val="20"/>
                <w:szCs w:val="20"/>
              </w:rPr>
            </w:pPr>
            <w:r w:rsidRPr="00B004EE">
              <w:rPr>
                <w:rFonts w:ascii="Tahoma" w:hAnsi="Tahoma" w:cs="Tahoma"/>
                <w:sz w:val="20"/>
                <w:szCs w:val="20"/>
              </w:rPr>
              <w:t>Ammonium</w:t>
            </w:r>
          </w:p>
        </w:tc>
        <w:tc>
          <w:tcPr>
            <w:tcW w:w="3828" w:type="dxa"/>
          </w:tcPr>
          <w:p w14:paraId="0593CB10" w14:textId="77777777" w:rsidR="008105B4" w:rsidRPr="00B004EE" w:rsidRDefault="008105B4" w:rsidP="00B004EE">
            <w:pPr>
              <w:jc w:val="both"/>
              <w:rPr>
                <w:rFonts w:ascii="Tahoma" w:hAnsi="Tahoma" w:cs="Tahoma"/>
                <w:sz w:val="20"/>
                <w:szCs w:val="20"/>
              </w:rPr>
            </w:pPr>
          </w:p>
        </w:tc>
      </w:tr>
      <w:tr w:rsidR="00150C90" w:rsidRPr="00B004EE" w14:paraId="177FF2EC" w14:textId="77777777" w:rsidTr="001E7C3C">
        <w:tc>
          <w:tcPr>
            <w:tcW w:w="365" w:type="dxa"/>
          </w:tcPr>
          <w:p w14:paraId="1DA3FE0B" w14:textId="77777777" w:rsidR="008105B4" w:rsidRPr="00B004EE" w:rsidRDefault="008105B4" w:rsidP="00B004EE">
            <w:pPr>
              <w:jc w:val="both"/>
              <w:rPr>
                <w:rFonts w:ascii="Tahoma" w:hAnsi="Tahoma" w:cs="Tahoma"/>
                <w:i/>
                <w:iCs/>
                <w:sz w:val="20"/>
                <w:szCs w:val="20"/>
              </w:rPr>
            </w:pPr>
          </w:p>
        </w:tc>
        <w:tc>
          <w:tcPr>
            <w:tcW w:w="5375" w:type="dxa"/>
          </w:tcPr>
          <w:p w14:paraId="6D96D6D0" w14:textId="6E2A446E" w:rsidR="008105B4" w:rsidRPr="00B004EE" w:rsidRDefault="008105B4" w:rsidP="00B004EE">
            <w:pPr>
              <w:jc w:val="both"/>
              <w:rPr>
                <w:rFonts w:ascii="Tahoma" w:hAnsi="Tahoma" w:cs="Tahoma"/>
                <w:sz w:val="20"/>
                <w:szCs w:val="20"/>
              </w:rPr>
            </w:pPr>
            <w:r w:rsidRPr="00B004EE">
              <w:rPr>
                <w:rFonts w:ascii="Tahoma" w:hAnsi="Tahoma" w:cs="Tahoma"/>
                <w:sz w:val="20"/>
                <w:szCs w:val="20"/>
              </w:rPr>
              <w:t>Bactéries</w:t>
            </w:r>
            <w:r w:rsidR="00DB1635" w:rsidRPr="00B004EE">
              <w:rPr>
                <w:rFonts w:ascii="Tahoma" w:hAnsi="Tahoma" w:cs="Tahoma"/>
                <w:sz w:val="20"/>
                <w:szCs w:val="20"/>
              </w:rPr>
              <w:t xml:space="preserve"> </w:t>
            </w:r>
            <w:r w:rsidRPr="00B004EE">
              <w:rPr>
                <w:rFonts w:ascii="Tahoma" w:hAnsi="Tahoma" w:cs="Tahoma"/>
                <w:sz w:val="20"/>
                <w:szCs w:val="20"/>
              </w:rPr>
              <w:t>sulfito-réductrices</w:t>
            </w:r>
            <w:r w:rsidR="00DB1635" w:rsidRPr="00B004EE">
              <w:rPr>
                <w:rFonts w:ascii="Tahoma" w:hAnsi="Tahoma" w:cs="Tahoma"/>
                <w:sz w:val="20"/>
                <w:szCs w:val="20"/>
              </w:rPr>
              <w:t xml:space="preserve"> </w:t>
            </w:r>
            <w:r w:rsidRPr="00B004EE">
              <w:rPr>
                <w:rFonts w:ascii="Tahoma" w:hAnsi="Tahoma" w:cs="Tahoma"/>
                <w:sz w:val="20"/>
                <w:szCs w:val="20"/>
              </w:rPr>
              <w:t>y</w:t>
            </w:r>
            <w:r w:rsidR="00DB1635" w:rsidRPr="00B004EE">
              <w:rPr>
                <w:rFonts w:ascii="Tahoma" w:hAnsi="Tahoma" w:cs="Tahoma"/>
                <w:sz w:val="20"/>
                <w:szCs w:val="20"/>
              </w:rPr>
              <w:t xml:space="preserve"> </w:t>
            </w:r>
            <w:r w:rsidRPr="00B004EE">
              <w:rPr>
                <w:rFonts w:ascii="Tahoma" w:hAnsi="Tahoma" w:cs="Tahoma"/>
                <w:sz w:val="20"/>
                <w:szCs w:val="20"/>
              </w:rPr>
              <w:t>compris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spores</w:t>
            </w:r>
          </w:p>
        </w:tc>
        <w:tc>
          <w:tcPr>
            <w:tcW w:w="3828" w:type="dxa"/>
          </w:tcPr>
          <w:p w14:paraId="4EBBD8FB" w14:textId="445DEF63" w:rsidR="008105B4" w:rsidRPr="00B004EE" w:rsidRDefault="008105B4" w:rsidP="00B004EE">
            <w:pPr>
              <w:jc w:val="both"/>
              <w:rPr>
                <w:rFonts w:ascii="Tahoma" w:hAnsi="Tahoma" w:cs="Tahoma"/>
                <w:sz w:val="20"/>
                <w:szCs w:val="20"/>
              </w:rPr>
            </w:pPr>
            <w:r w:rsidRPr="00B004EE">
              <w:rPr>
                <w:rFonts w:ascii="Tahoma" w:hAnsi="Tahoma" w:cs="Tahoma"/>
                <w:sz w:val="20"/>
                <w:szCs w:val="20"/>
              </w:rPr>
              <w:t>Note</w:t>
            </w:r>
            <w:r w:rsidR="00DB1635" w:rsidRPr="00B004EE">
              <w:rPr>
                <w:rFonts w:ascii="Tahoma" w:hAnsi="Tahoma" w:cs="Tahoma"/>
                <w:sz w:val="20"/>
                <w:szCs w:val="20"/>
              </w:rPr>
              <w:t xml:space="preserve"> </w:t>
            </w:r>
            <w:r w:rsidRPr="00B004EE">
              <w:rPr>
                <w:rFonts w:ascii="Tahoma" w:hAnsi="Tahoma" w:cs="Tahoma"/>
                <w:sz w:val="20"/>
                <w:szCs w:val="20"/>
              </w:rPr>
              <w:t>2</w:t>
            </w:r>
          </w:p>
        </w:tc>
      </w:tr>
      <w:tr w:rsidR="00150C90" w:rsidRPr="00B004EE" w14:paraId="155D9BC9" w14:textId="77777777" w:rsidTr="001E7C3C">
        <w:tc>
          <w:tcPr>
            <w:tcW w:w="365" w:type="dxa"/>
          </w:tcPr>
          <w:p w14:paraId="22970421" w14:textId="77777777" w:rsidR="008105B4" w:rsidRPr="00B004EE" w:rsidRDefault="008105B4" w:rsidP="00B004EE">
            <w:pPr>
              <w:jc w:val="both"/>
              <w:rPr>
                <w:rFonts w:ascii="Tahoma" w:hAnsi="Tahoma" w:cs="Tahoma"/>
                <w:sz w:val="20"/>
                <w:szCs w:val="20"/>
              </w:rPr>
            </w:pPr>
          </w:p>
        </w:tc>
        <w:tc>
          <w:tcPr>
            <w:tcW w:w="5375" w:type="dxa"/>
          </w:tcPr>
          <w:p w14:paraId="168628E7" w14:textId="7F7A212E" w:rsidR="008105B4" w:rsidRPr="00B004EE" w:rsidRDefault="008105B4" w:rsidP="00B004EE">
            <w:pPr>
              <w:jc w:val="both"/>
              <w:rPr>
                <w:rFonts w:ascii="Tahoma" w:hAnsi="Tahoma" w:cs="Tahoma"/>
                <w:sz w:val="20"/>
                <w:szCs w:val="20"/>
              </w:rPr>
            </w:pPr>
            <w:r w:rsidRPr="00B004EE">
              <w:rPr>
                <w:rFonts w:ascii="Tahoma" w:hAnsi="Tahoma" w:cs="Tahoma"/>
                <w:sz w:val="20"/>
                <w:szCs w:val="20"/>
              </w:rPr>
              <w:t>Chlore</w:t>
            </w:r>
            <w:r w:rsidR="00DB1635" w:rsidRPr="00B004EE">
              <w:rPr>
                <w:rFonts w:ascii="Tahoma" w:hAnsi="Tahoma" w:cs="Tahoma"/>
                <w:sz w:val="20"/>
                <w:szCs w:val="20"/>
              </w:rPr>
              <w:t xml:space="preserve"> </w:t>
            </w:r>
            <w:r w:rsidRPr="00B004EE">
              <w:rPr>
                <w:rFonts w:ascii="Tahoma" w:hAnsi="Tahoma" w:cs="Tahoma"/>
                <w:sz w:val="20"/>
                <w:szCs w:val="20"/>
              </w:rPr>
              <w:t>libre</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total</w:t>
            </w:r>
          </w:p>
        </w:tc>
        <w:tc>
          <w:tcPr>
            <w:tcW w:w="3828" w:type="dxa"/>
          </w:tcPr>
          <w:p w14:paraId="33DBE143" w14:textId="77777777" w:rsidR="008105B4" w:rsidRPr="00B004EE" w:rsidRDefault="008105B4" w:rsidP="00B004EE">
            <w:pPr>
              <w:jc w:val="both"/>
              <w:rPr>
                <w:rFonts w:ascii="Tahoma" w:hAnsi="Tahoma" w:cs="Tahoma"/>
                <w:sz w:val="20"/>
                <w:szCs w:val="20"/>
              </w:rPr>
            </w:pPr>
          </w:p>
        </w:tc>
      </w:tr>
      <w:tr w:rsidR="00150C90" w:rsidRPr="00B004EE" w14:paraId="6D21D4AF" w14:textId="77777777" w:rsidTr="001E7C3C">
        <w:tc>
          <w:tcPr>
            <w:tcW w:w="365" w:type="dxa"/>
          </w:tcPr>
          <w:p w14:paraId="432E3CB2" w14:textId="77777777" w:rsidR="008105B4" w:rsidRPr="00B004EE" w:rsidRDefault="008105B4" w:rsidP="00B004EE">
            <w:pPr>
              <w:jc w:val="both"/>
              <w:rPr>
                <w:rFonts w:ascii="Tahoma" w:hAnsi="Tahoma" w:cs="Tahoma"/>
                <w:sz w:val="20"/>
                <w:szCs w:val="20"/>
              </w:rPr>
            </w:pPr>
          </w:p>
        </w:tc>
        <w:tc>
          <w:tcPr>
            <w:tcW w:w="5375" w:type="dxa"/>
          </w:tcPr>
          <w:p w14:paraId="5FDB47DD" w14:textId="77777777" w:rsidR="008105B4" w:rsidRPr="00B004EE" w:rsidRDefault="008105B4" w:rsidP="00B004EE">
            <w:pPr>
              <w:jc w:val="both"/>
              <w:rPr>
                <w:rFonts w:ascii="Tahoma" w:hAnsi="Tahoma" w:cs="Tahoma"/>
                <w:sz w:val="20"/>
                <w:szCs w:val="20"/>
              </w:rPr>
            </w:pPr>
            <w:r w:rsidRPr="00B004EE">
              <w:rPr>
                <w:rFonts w:ascii="Tahoma" w:hAnsi="Tahoma" w:cs="Tahoma"/>
                <w:sz w:val="20"/>
                <w:szCs w:val="20"/>
              </w:rPr>
              <w:t>Chlorures</w:t>
            </w:r>
          </w:p>
        </w:tc>
        <w:tc>
          <w:tcPr>
            <w:tcW w:w="3828" w:type="dxa"/>
          </w:tcPr>
          <w:p w14:paraId="7A60C2E5" w14:textId="77777777" w:rsidR="008105B4" w:rsidRPr="00B004EE" w:rsidRDefault="008105B4" w:rsidP="00B004EE">
            <w:pPr>
              <w:jc w:val="both"/>
              <w:rPr>
                <w:rFonts w:ascii="Tahoma" w:hAnsi="Tahoma" w:cs="Tahoma"/>
                <w:sz w:val="20"/>
                <w:szCs w:val="20"/>
              </w:rPr>
            </w:pPr>
          </w:p>
        </w:tc>
      </w:tr>
      <w:tr w:rsidR="00150C90" w:rsidRPr="00B004EE" w14:paraId="105C0B02" w14:textId="77777777" w:rsidTr="001E7C3C">
        <w:tc>
          <w:tcPr>
            <w:tcW w:w="365" w:type="dxa"/>
          </w:tcPr>
          <w:p w14:paraId="45E92367" w14:textId="77777777" w:rsidR="008105B4" w:rsidRPr="00B004EE" w:rsidRDefault="008105B4" w:rsidP="00B004EE">
            <w:pPr>
              <w:jc w:val="both"/>
              <w:rPr>
                <w:rFonts w:ascii="Tahoma" w:hAnsi="Tahoma" w:cs="Tahoma"/>
                <w:sz w:val="20"/>
                <w:szCs w:val="20"/>
              </w:rPr>
            </w:pPr>
          </w:p>
        </w:tc>
        <w:tc>
          <w:tcPr>
            <w:tcW w:w="5375" w:type="dxa"/>
          </w:tcPr>
          <w:p w14:paraId="1BFFFA91" w14:textId="4468EC6E" w:rsidR="008105B4" w:rsidRPr="00B004EE" w:rsidRDefault="008105B4" w:rsidP="00B004EE">
            <w:pPr>
              <w:jc w:val="both"/>
              <w:rPr>
                <w:rFonts w:ascii="Tahoma" w:hAnsi="Tahoma" w:cs="Tahoma"/>
                <w:sz w:val="20"/>
                <w:szCs w:val="20"/>
              </w:rPr>
            </w:pPr>
            <w:r w:rsidRPr="00B004EE">
              <w:rPr>
                <w:rFonts w:ascii="Tahoma" w:hAnsi="Tahoma" w:cs="Tahoma"/>
                <w:sz w:val="20"/>
                <w:szCs w:val="20"/>
              </w:rPr>
              <w:t>Coliformes</w:t>
            </w:r>
            <w:r w:rsidR="00DB1635" w:rsidRPr="00B004EE">
              <w:rPr>
                <w:rFonts w:ascii="Tahoma" w:hAnsi="Tahoma" w:cs="Tahoma"/>
                <w:sz w:val="20"/>
                <w:szCs w:val="20"/>
              </w:rPr>
              <w:t xml:space="preserve"> </w:t>
            </w:r>
            <w:r w:rsidRPr="00B004EE">
              <w:rPr>
                <w:rFonts w:ascii="Tahoma" w:hAnsi="Tahoma" w:cs="Tahoma"/>
                <w:sz w:val="20"/>
                <w:szCs w:val="20"/>
              </w:rPr>
              <w:t>totaux</w:t>
            </w:r>
          </w:p>
        </w:tc>
        <w:tc>
          <w:tcPr>
            <w:tcW w:w="3828" w:type="dxa"/>
          </w:tcPr>
          <w:p w14:paraId="463C3F7A" w14:textId="77777777" w:rsidR="008105B4" w:rsidRPr="00B004EE" w:rsidRDefault="008105B4" w:rsidP="00B004EE">
            <w:pPr>
              <w:jc w:val="both"/>
              <w:rPr>
                <w:rFonts w:ascii="Tahoma" w:hAnsi="Tahoma" w:cs="Tahoma"/>
                <w:sz w:val="20"/>
                <w:szCs w:val="20"/>
              </w:rPr>
            </w:pPr>
          </w:p>
        </w:tc>
      </w:tr>
      <w:tr w:rsidR="00150C90" w:rsidRPr="00B004EE" w14:paraId="1829A2F4" w14:textId="77777777" w:rsidTr="001E7C3C">
        <w:tc>
          <w:tcPr>
            <w:tcW w:w="365" w:type="dxa"/>
          </w:tcPr>
          <w:p w14:paraId="361EFD7B" w14:textId="77777777" w:rsidR="008105B4" w:rsidRPr="00B004EE" w:rsidRDefault="008105B4" w:rsidP="00B004EE">
            <w:pPr>
              <w:jc w:val="both"/>
              <w:rPr>
                <w:rFonts w:ascii="Tahoma" w:hAnsi="Tahoma" w:cs="Tahoma"/>
                <w:sz w:val="20"/>
                <w:szCs w:val="20"/>
              </w:rPr>
            </w:pPr>
          </w:p>
        </w:tc>
        <w:tc>
          <w:tcPr>
            <w:tcW w:w="5375" w:type="dxa"/>
          </w:tcPr>
          <w:p w14:paraId="5DEF2289" w14:textId="14F1794B" w:rsidR="008105B4" w:rsidRPr="00B004EE" w:rsidRDefault="008105B4" w:rsidP="00B004EE">
            <w:pPr>
              <w:jc w:val="both"/>
              <w:rPr>
                <w:rFonts w:ascii="Tahoma" w:hAnsi="Tahoma" w:cs="Tahoma"/>
                <w:sz w:val="20"/>
                <w:szCs w:val="20"/>
              </w:rPr>
            </w:pPr>
            <w:r w:rsidRPr="00B004EE">
              <w:rPr>
                <w:rFonts w:ascii="Tahoma" w:hAnsi="Tahoma" w:cs="Tahoma"/>
                <w:sz w:val="20"/>
                <w:szCs w:val="20"/>
              </w:rPr>
              <w:t>Concentration</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ions</w:t>
            </w:r>
            <w:r w:rsidR="00DB1635" w:rsidRPr="00B004EE">
              <w:rPr>
                <w:rFonts w:ascii="Tahoma" w:hAnsi="Tahoma" w:cs="Tahoma"/>
                <w:sz w:val="20"/>
                <w:szCs w:val="20"/>
              </w:rPr>
              <w:t xml:space="preserve"> </w:t>
            </w:r>
            <w:r w:rsidRPr="00B004EE">
              <w:rPr>
                <w:rFonts w:ascii="Tahoma" w:hAnsi="Tahoma" w:cs="Tahoma"/>
                <w:sz w:val="20"/>
                <w:szCs w:val="20"/>
              </w:rPr>
              <w:t>hydrogène</w:t>
            </w:r>
          </w:p>
        </w:tc>
        <w:tc>
          <w:tcPr>
            <w:tcW w:w="3828" w:type="dxa"/>
          </w:tcPr>
          <w:p w14:paraId="3A0CCD38" w14:textId="77777777" w:rsidR="008105B4" w:rsidRPr="00B004EE" w:rsidRDefault="008105B4" w:rsidP="00B004EE">
            <w:pPr>
              <w:jc w:val="both"/>
              <w:rPr>
                <w:rFonts w:ascii="Tahoma" w:hAnsi="Tahoma" w:cs="Tahoma"/>
                <w:sz w:val="20"/>
                <w:szCs w:val="20"/>
              </w:rPr>
            </w:pPr>
          </w:p>
        </w:tc>
      </w:tr>
      <w:tr w:rsidR="00150C90" w:rsidRPr="00B004EE" w14:paraId="0AD39F72" w14:textId="77777777" w:rsidTr="001E7C3C">
        <w:tc>
          <w:tcPr>
            <w:tcW w:w="365" w:type="dxa"/>
          </w:tcPr>
          <w:p w14:paraId="105D3AAB" w14:textId="77777777" w:rsidR="008105B4" w:rsidRPr="00B004EE" w:rsidRDefault="008105B4" w:rsidP="00B004EE">
            <w:pPr>
              <w:jc w:val="both"/>
              <w:rPr>
                <w:rFonts w:ascii="Tahoma" w:hAnsi="Tahoma" w:cs="Tahoma"/>
                <w:sz w:val="20"/>
                <w:szCs w:val="20"/>
              </w:rPr>
            </w:pPr>
          </w:p>
        </w:tc>
        <w:tc>
          <w:tcPr>
            <w:tcW w:w="5375" w:type="dxa"/>
          </w:tcPr>
          <w:p w14:paraId="63A0654C" w14:textId="77777777" w:rsidR="008105B4" w:rsidRPr="00B004EE" w:rsidRDefault="008105B4" w:rsidP="00B004EE">
            <w:pPr>
              <w:jc w:val="both"/>
              <w:rPr>
                <w:rFonts w:ascii="Tahoma" w:hAnsi="Tahoma" w:cs="Tahoma"/>
                <w:sz w:val="20"/>
                <w:szCs w:val="20"/>
              </w:rPr>
            </w:pPr>
            <w:r w:rsidRPr="00B004EE">
              <w:rPr>
                <w:rFonts w:ascii="Tahoma" w:hAnsi="Tahoma" w:cs="Tahoma"/>
                <w:sz w:val="20"/>
                <w:szCs w:val="20"/>
              </w:rPr>
              <w:t>Conductivité</w:t>
            </w:r>
          </w:p>
        </w:tc>
        <w:tc>
          <w:tcPr>
            <w:tcW w:w="3828" w:type="dxa"/>
          </w:tcPr>
          <w:p w14:paraId="1B5AF0C6" w14:textId="77777777" w:rsidR="008105B4" w:rsidRPr="00B004EE" w:rsidRDefault="008105B4" w:rsidP="00B004EE">
            <w:pPr>
              <w:jc w:val="both"/>
              <w:rPr>
                <w:rFonts w:ascii="Tahoma" w:hAnsi="Tahoma" w:cs="Tahoma"/>
                <w:sz w:val="20"/>
                <w:szCs w:val="20"/>
              </w:rPr>
            </w:pPr>
          </w:p>
        </w:tc>
      </w:tr>
      <w:tr w:rsidR="00150C90" w:rsidRPr="00B004EE" w14:paraId="01362372" w14:textId="77777777" w:rsidTr="001E7C3C">
        <w:tc>
          <w:tcPr>
            <w:tcW w:w="365" w:type="dxa"/>
          </w:tcPr>
          <w:p w14:paraId="73987EC6" w14:textId="77777777" w:rsidR="008105B4" w:rsidRPr="00B004EE" w:rsidRDefault="008105B4" w:rsidP="00B004EE">
            <w:pPr>
              <w:jc w:val="both"/>
              <w:rPr>
                <w:rFonts w:ascii="Tahoma" w:hAnsi="Tahoma" w:cs="Tahoma"/>
                <w:sz w:val="20"/>
                <w:szCs w:val="20"/>
              </w:rPr>
            </w:pPr>
          </w:p>
        </w:tc>
        <w:tc>
          <w:tcPr>
            <w:tcW w:w="5375" w:type="dxa"/>
          </w:tcPr>
          <w:p w14:paraId="3C447222" w14:textId="77777777" w:rsidR="008105B4" w:rsidRPr="00B004EE" w:rsidRDefault="008105B4" w:rsidP="00B004EE">
            <w:pPr>
              <w:jc w:val="both"/>
              <w:rPr>
                <w:rFonts w:ascii="Tahoma" w:hAnsi="Tahoma" w:cs="Tahoma"/>
                <w:sz w:val="20"/>
                <w:szCs w:val="20"/>
              </w:rPr>
            </w:pPr>
            <w:r w:rsidRPr="00B004EE">
              <w:rPr>
                <w:rFonts w:ascii="Tahoma" w:hAnsi="Tahoma" w:cs="Tahoma"/>
                <w:sz w:val="20"/>
                <w:szCs w:val="20"/>
              </w:rPr>
              <w:t>Couleur</w:t>
            </w:r>
          </w:p>
        </w:tc>
        <w:tc>
          <w:tcPr>
            <w:tcW w:w="3828" w:type="dxa"/>
          </w:tcPr>
          <w:p w14:paraId="28DB541A" w14:textId="77777777" w:rsidR="008105B4" w:rsidRPr="00B004EE" w:rsidRDefault="008105B4" w:rsidP="00B004EE">
            <w:pPr>
              <w:jc w:val="both"/>
              <w:rPr>
                <w:rFonts w:ascii="Tahoma" w:hAnsi="Tahoma" w:cs="Tahoma"/>
                <w:sz w:val="20"/>
                <w:szCs w:val="20"/>
              </w:rPr>
            </w:pPr>
          </w:p>
        </w:tc>
      </w:tr>
      <w:tr w:rsidR="008105B4" w:rsidRPr="00B004EE" w14:paraId="59074CA8" w14:textId="77777777" w:rsidTr="001E7C3C">
        <w:tc>
          <w:tcPr>
            <w:tcW w:w="365" w:type="dxa"/>
          </w:tcPr>
          <w:p w14:paraId="14FA7028" w14:textId="77777777" w:rsidR="008105B4" w:rsidRPr="00B004EE" w:rsidRDefault="008105B4" w:rsidP="00B004EE">
            <w:pPr>
              <w:jc w:val="both"/>
              <w:rPr>
                <w:rFonts w:ascii="Tahoma" w:hAnsi="Tahoma" w:cs="Tahoma"/>
                <w:sz w:val="20"/>
                <w:szCs w:val="20"/>
              </w:rPr>
            </w:pPr>
          </w:p>
        </w:tc>
        <w:tc>
          <w:tcPr>
            <w:tcW w:w="5375" w:type="dxa"/>
          </w:tcPr>
          <w:p w14:paraId="66AD7AA8" w14:textId="77777777" w:rsidR="008105B4" w:rsidRPr="00B004EE" w:rsidRDefault="008105B4" w:rsidP="00B004EE">
            <w:pPr>
              <w:jc w:val="both"/>
              <w:rPr>
                <w:rFonts w:ascii="Tahoma" w:hAnsi="Tahoma" w:cs="Tahoma"/>
                <w:i/>
                <w:iCs/>
                <w:sz w:val="20"/>
                <w:szCs w:val="20"/>
              </w:rPr>
            </w:pPr>
            <w:r w:rsidRPr="00B004EE">
              <w:rPr>
                <w:rFonts w:ascii="Tahoma" w:hAnsi="Tahoma" w:cs="Tahoma"/>
                <w:sz w:val="20"/>
                <w:szCs w:val="20"/>
              </w:rPr>
              <w:t>Entérocoques</w:t>
            </w:r>
          </w:p>
        </w:tc>
        <w:tc>
          <w:tcPr>
            <w:tcW w:w="3828" w:type="dxa"/>
          </w:tcPr>
          <w:p w14:paraId="2847795A" w14:textId="77777777" w:rsidR="008105B4" w:rsidRPr="00B004EE" w:rsidRDefault="008105B4" w:rsidP="00B004EE">
            <w:pPr>
              <w:jc w:val="both"/>
              <w:rPr>
                <w:rFonts w:ascii="Tahoma" w:hAnsi="Tahoma" w:cs="Tahoma"/>
                <w:sz w:val="20"/>
                <w:szCs w:val="20"/>
              </w:rPr>
            </w:pPr>
          </w:p>
        </w:tc>
      </w:tr>
    </w:tbl>
    <w:p w14:paraId="0814B681" w14:textId="77777777" w:rsidR="008105B4" w:rsidRPr="00B004EE" w:rsidRDefault="008105B4" w:rsidP="00B004EE">
      <w:pPr>
        <w:pStyle w:val="Corpsdetexte3"/>
        <w:rPr>
          <w:rFonts w:ascii="Tahoma" w:hAnsi="Tahoma" w:cs="Tahoma"/>
          <w:sz w:val="20"/>
          <w:szCs w:val="20"/>
        </w:rPr>
      </w:pPr>
    </w:p>
    <w:p w14:paraId="1DAA34CD" w14:textId="52374919" w:rsidR="008105B4" w:rsidRPr="00B004EE" w:rsidRDefault="008105B4" w:rsidP="00B004EE">
      <w:pPr>
        <w:jc w:val="both"/>
        <w:rPr>
          <w:rFonts w:ascii="Tahoma" w:hAnsi="Tahoma" w:cs="Tahoma"/>
          <w:b/>
          <w:bCs/>
          <w:sz w:val="20"/>
          <w:szCs w:val="20"/>
        </w:rPr>
      </w:pPr>
      <w:r w:rsidRPr="00B004EE">
        <w:rPr>
          <w:rFonts w:ascii="Tahoma" w:hAnsi="Tahoma" w:cs="Tahoma"/>
          <w:b/>
          <w:bCs/>
          <w:sz w:val="20"/>
          <w:szCs w:val="20"/>
        </w:rPr>
        <w:t>Tableau</w:t>
      </w:r>
      <w:r w:rsidR="00DB1635" w:rsidRPr="00B004EE">
        <w:rPr>
          <w:rFonts w:ascii="Tahoma" w:hAnsi="Tahoma" w:cs="Tahoma"/>
          <w:b/>
          <w:bCs/>
          <w:sz w:val="20"/>
          <w:szCs w:val="20"/>
        </w:rPr>
        <w:t xml:space="preserve"> </w:t>
      </w:r>
      <w:r w:rsidRPr="00B004EE">
        <w:rPr>
          <w:rFonts w:ascii="Tahoma" w:hAnsi="Tahoma" w:cs="Tahoma"/>
          <w:b/>
          <w:bCs/>
          <w:sz w:val="20"/>
          <w:szCs w:val="20"/>
        </w:rPr>
        <w:t>D</w:t>
      </w:r>
      <w:r w:rsidR="00DB1635" w:rsidRPr="00B004EE">
        <w:rPr>
          <w:rFonts w:ascii="Tahoma" w:hAnsi="Tahoma" w:cs="Tahoma"/>
          <w:b/>
          <w:bCs/>
          <w:sz w:val="20"/>
          <w:szCs w:val="20"/>
        </w:rPr>
        <w:t xml:space="preserve"> </w:t>
      </w:r>
      <w:r w:rsidRPr="00B004EE">
        <w:rPr>
          <w:rFonts w:ascii="Tahoma" w:hAnsi="Tahoma" w:cs="Tahoma"/>
          <w:b/>
          <w:bCs/>
          <w:sz w:val="20"/>
          <w:szCs w:val="20"/>
        </w:rPr>
        <w:t>(suite)</w:t>
      </w:r>
      <w:r w:rsidR="00DB1635" w:rsidRPr="00B004EE">
        <w:rPr>
          <w:rFonts w:ascii="Tahoma" w:hAnsi="Tahoma" w:cs="Tahoma"/>
          <w:b/>
          <w:bCs/>
          <w:sz w:val="20"/>
          <w:szCs w:val="20"/>
        </w:rPr>
        <w:t xml:space="preserve"> </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
        <w:gridCol w:w="5386"/>
        <w:gridCol w:w="3828"/>
      </w:tblGrid>
      <w:tr w:rsidR="00150C90" w:rsidRPr="00B004EE" w14:paraId="6B4CFAF0" w14:textId="77777777" w:rsidTr="001E7C3C">
        <w:tc>
          <w:tcPr>
            <w:tcW w:w="354" w:type="dxa"/>
          </w:tcPr>
          <w:p w14:paraId="25B87052" w14:textId="77777777" w:rsidR="008105B4" w:rsidRPr="00B004EE" w:rsidRDefault="008105B4" w:rsidP="00B004EE">
            <w:pPr>
              <w:jc w:val="both"/>
              <w:rPr>
                <w:rFonts w:ascii="Tahoma" w:hAnsi="Tahoma" w:cs="Tahoma"/>
                <w:sz w:val="20"/>
                <w:szCs w:val="20"/>
              </w:rPr>
            </w:pPr>
          </w:p>
        </w:tc>
        <w:tc>
          <w:tcPr>
            <w:tcW w:w="5386" w:type="dxa"/>
          </w:tcPr>
          <w:p w14:paraId="2FB9B715" w14:textId="2FFB606C" w:rsidR="008105B4" w:rsidRPr="00B004EE" w:rsidRDefault="008105B4" w:rsidP="00B004EE">
            <w:pPr>
              <w:jc w:val="both"/>
              <w:rPr>
                <w:rFonts w:ascii="Tahoma" w:hAnsi="Tahoma" w:cs="Tahoma"/>
                <w:sz w:val="20"/>
                <w:szCs w:val="20"/>
              </w:rPr>
            </w:pPr>
            <w:r w:rsidRPr="00B004EE">
              <w:rPr>
                <w:rFonts w:ascii="Tahoma" w:hAnsi="Tahoma" w:cs="Tahoma"/>
                <w:i/>
                <w:iCs/>
                <w:sz w:val="20"/>
                <w:szCs w:val="20"/>
              </w:rPr>
              <w:t>Escherichia</w:t>
            </w:r>
            <w:r w:rsidR="00DB1635" w:rsidRPr="00B004EE">
              <w:rPr>
                <w:rFonts w:ascii="Tahoma" w:hAnsi="Tahoma" w:cs="Tahoma"/>
                <w:i/>
                <w:iCs/>
                <w:sz w:val="20"/>
                <w:szCs w:val="20"/>
              </w:rPr>
              <w:t xml:space="preserve"> </w:t>
            </w:r>
            <w:r w:rsidRPr="00B004EE">
              <w:rPr>
                <w:rFonts w:ascii="Tahoma" w:hAnsi="Tahoma" w:cs="Tahoma"/>
                <w:i/>
                <w:iCs/>
                <w:sz w:val="20"/>
                <w:szCs w:val="20"/>
              </w:rPr>
              <w:t>coli</w:t>
            </w:r>
            <w:r w:rsidR="00DB1635" w:rsidRPr="00B004EE">
              <w:rPr>
                <w:rFonts w:ascii="Tahoma" w:hAnsi="Tahoma" w:cs="Tahoma"/>
                <w:sz w:val="20"/>
                <w:szCs w:val="20"/>
              </w:rPr>
              <w:t xml:space="preserve"> </w:t>
            </w:r>
            <w:r w:rsidRPr="00B004EE">
              <w:rPr>
                <w:rFonts w:ascii="Tahoma" w:hAnsi="Tahoma" w:cs="Tahoma"/>
                <w:sz w:val="20"/>
                <w:szCs w:val="20"/>
              </w:rPr>
              <w:t>(</w:t>
            </w:r>
            <w:r w:rsidRPr="00B004EE">
              <w:rPr>
                <w:rFonts w:ascii="Tahoma" w:hAnsi="Tahoma" w:cs="Tahoma"/>
                <w:i/>
                <w:iCs/>
                <w:sz w:val="20"/>
                <w:szCs w:val="20"/>
              </w:rPr>
              <w:t>E.</w:t>
            </w:r>
            <w:r w:rsidR="00DB1635" w:rsidRPr="00B004EE">
              <w:rPr>
                <w:rFonts w:ascii="Tahoma" w:hAnsi="Tahoma" w:cs="Tahoma"/>
                <w:i/>
                <w:iCs/>
                <w:sz w:val="20"/>
                <w:szCs w:val="20"/>
              </w:rPr>
              <w:t xml:space="preserve"> </w:t>
            </w:r>
            <w:r w:rsidRPr="00B004EE">
              <w:rPr>
                <w:rFonts w:ascii="Tahoma" w:hAnsi="Tahoma" w:cs="Tahoma"/>
                <w:i/>
                <w:iCs/>
                <w:sz w:val="20"/>
                <w:szCs w:val="20"/>
              </w:rPr>
              <w:t>coli</w:t>
            </w:r>
            <w:r w:rsidRPr="00B004EE">
              <w:rPr>
                <w:rFonts w:ascii="Tahoma" w:hAnsi="Tahoma" w:cs="Tahoma"/>
                <w:sz w:val="20"/>
                <w:szCs w:val="20"/>
              </w:rPr>
              <w:t>)</w:t>
            </w:r>
          </w:p>
        </w:tc>
        <w:tc>
          <w:tcPr>
            <w:tcW w:w="3828" w:type="dxa"/>
          </w:tcPr>
          <w:p w14:paraId="02B16A70" w14:textId="77777777" w:rsidR="008105B4" w:rsidRPr="00B004EE" w:rsidRDefault="008105B4" w:rsidP="00B004EE">
            <w:pPr>
              <w:jc w:val="both"/>
              <w:rPr>
                <w:rFonts w:ascii="Tahoma" w:hAnsi="Tahoma" w:cs="Tahoma"/>
                <w:sz w:val="20"/>
                <w:szCs w:val="20"/>
              </w:rPr>
            </w:pPr>
          </w:p>
        </w:tc>
      </w:tr>
      <w:tr w:rsidR="00150C90" w:rsidRPr="00B004EE" w14:paraId="201F9B8F" w14:textId="77777777" w:rsidTr="001E7C3C">
        <w:tc>
          <w:tcPr>
            <w:tcW w:w="354" w:type="dxa"/>
          </w:tcPr>
          <w:p w14:paraId="0343C87F" w14:textId="77777777" w:rsidR="008105B4" w:rsidRPr="00B004EE" w:rsidRDefault="008105B4" w:rsidP="00B004EE">
            <w:pPr>
              <w:jc w:val="both"/>
              <w:rPr>
                <w:rFonts w:ascii="Tahoma" w:hAnsi="Tahoma" w:cs="Tahoma"/>
                <w:sz w:val="20"/>
                <w:szCs w:val="20"/>
              </w:rPr>
            </w:pPr>
          </w:p>
        </w:tc>
        <w:tc>
          <w:tcPr>
            <w:tcW w:w="5386" w:type="dxa"/>
          </w:tcPr>
          <w:p w14:paraId="5A6F6B8E" w14:textId="25391AB3" w:rsidR="008105B4" w:rsidRPr="00B004EE" w:rsidRDefault="008105B4" w:rsidP="00B004EE">
            <w:pPr>
              <w:jc w:val="both"/>
              <w:rPr>
                <w:rFonts w:ascii="Tahoma" w:hAnsi="Tahoma" w:cs="Tahoma"/>
                <w:sz w:val="20"/>
                <w:szCs w:val="20"/>
              </w:rPr>
            </w:pPr>
            <w:r w:rsidRPr="00B004EE">
              <w:rPr>
                <w:rFonts w:ascii="Tahoma" w:hAnsi="Tahoma" w:cs="Tahoma"/>
                <w:sz w:val="20"/>
                <w:szCs w:val="20"/>
              </w:rPr>
              <w:t>Fer</w:t>
            </w:r>
            <w:r w:rsidR="00DB1635" w:rsidRPr="00B004EE">
              <w:rPr>
                <w:rFonts w:ascii="Tahoma" w:hAnsi="Tahoma" w:cs="Tahoma"/>
                <w:sz w:val="20"/>
                <w:szCs w:val="20"/>
              </w:rPr>
              <w:t xml:space="preserve"> </w:t>
            </w:r>
            <w:r w:rsidRPr="00B004EE">
              <w:rPr>
                <w:rFonts w:ascii="Tahoma" w:hAnsi="Tahoma" w:cs="Tahoma"/>
                <w:sz w:val="20"/>
                <w:szCs w:val="20"/>
              </w:rPr>
              <w:t>total</w:t>
            </w:r>
          </w:p>
        </w:tc>
        <w:tc>
          <w:tcPr>
            <w:tcW w:w="3828" w:type="dxa"/>
          </w:tcPr>
          <w:p w14:paraId="7F7E01FF" w14:textId="1FB4AF89" w:rsidR="008105B4" w:rsidRPr="00B004EE" w:rsidRDefault="008105B4" w:rsidP="00B004EE">
            <w:pPr>
              <w:jc w:val="both"/>
              <w:rPr>
                <w:rFonts w:ascii="Tahoma" w:hAnsi="Tahoma" w:cs="Tahoma"/>
                <w:sz w:val="20"/>
                <w:szCs w:val="20"/>
              </w:rPr>
            </w:pPr>
            <w:r w:rsidRPr="00B004EE">
              <w:rPr>
                <w:rFonts w:ascii="Tahoma" w:hAnsi="Tahoma" w:cs="Tahoma"/>
                <w:sz w:val="20"/>
                <w:szCs w:val="20"/>
              </w:rPr>
              <w:t>Note</w:t>
            </w:r>
            <w:r w:rsidR="00DB1635" w:rsidRPr="00B004EE">
              <w:rPr>
                <w:rFonts w:ascii="Tahoma" w:hAnsi="Tahoma" w:cs="Tahoma"/>
                <w:sz w:val="20"/>
                <w:szCs w:val="20"/>
              </w:rPr>
              <w:t xml:space="preserve"> </w:t>
            </w:r>
            <w:r w:rsidRPr="00B004EE">
              <w:rPr>
                <w:rFonts w:ascii="Tahoma" w:hAnsi="Tahoma" w:cs="Tahoma"/>
                <w:sz w:val="20"/>
                <w:szCs w:val="20"/>
              </w:rPr>
              <w:t>1</w:t>
            </w:r>
          </w:p>
        </w:tc>
      </w:tr>
      <w:tr w:rsidR="00150C90" w:rsidRPr="00B004EE" w14:paraId="4E4C8961" w14:textId="77777777" w:rsidTr="00C04B58">
        <w:trPr>
          <w:trHeight w:val="320"/>
        </w:trPr>
        <w:tc>
          <w:tcPr>
            <w:tcW w:w="354" w:type="dxa"/>
          </w:tcPr>
          <w:p w14:paraId="779F839B" w14:textId="77777777" w:rsidR="008105B4" w:rsidRPr="00B004EE" w:rsidRDefault="008105B4" w:rsidP="00B004EE">
            <w:pPr>
              <w:jc w:val="both"/>
              <w:rPr>
                <w:rFonts w:ascii="Tahoma" w:hAnsi="Tahoma" w:cs="Tahoma"/>
                <w:sz w:val="20"/>
                <w:szCs w:val="20"/>
              </w:rPr>
            </w:pPr>
          </w:p>
        </w:tc>
        <w:tc>
          <w:tcPr>
            <w:tcW w:w="5386" w:type="dxa"/>
          </w:tcPr>
          <w:p w14:paraId="3D88B62A" w14:textId="77777777" w:rsidR="008105B4" w:rsidRPr="00B004EE" w:rsidRDefault="008105B4" w:rsidP="00B004EE">
            <w:pPr>
              <w:jc w:val="both"/>
              <w:rPr>
                <w:rFonts w:ascii="Tahoma" w:hAnsi="Tahoma" w:cs="Tahoma"/>
                <w:sz w:val="20"/>
                <w:szCs w:val="20"/>
              </w:rPr>
            </w:pPr>
            <w:r w:rsidRPr="00B004EE">
              <w:rPr>
                <w:rFonts w:ascii="Tahoma" w:hAnsi="Tahoma" w:cs="Tahoma"/>
                <w:sz w:val="20"/>
                <w:szCs w:val="20"/>
              </w:rPr>
              <w:t>Manganèse</w:t>
            </w:r>
          </w:p>
        </w:tc>
        <w:tc>
          <w:tcPr>
            <w:tcW w:w="3828" w:type="dxa"/>
          </w:tcPr>
          <w:p w14:paraId="40C12F9E" w14:textId="430335A4" w:rsidR="008105B4" w:rsidRPr="00B004EE" w:rsidRDefault="008105B4" w:rsidP="00B004EE">
            <w:pPr>
              <w:jc w:val="both"/>
              <w:rPr>
                <w:rFonts w:ascii="Tahoma" w:hAnsi="Tahoma" w:cs="Tahoma"/>
                <w:sz w:val="20"/>
                <w:szCs w:val="20"/>
              </w:rPr>
            </w:pPr>
            <w:r w:rsidRPr="00B004EE">
              <w:rPr>
                <w:rFonts w:ascii="Tahoma" w:hAnsi="Tahoma" w:cs="Tahoma"/>
                <w:sz w:val="20"/>
                <w:szCs w:val="20"/>
              </w:rPr>
              <w:t>Note</w:t>
            </w:r>
            <w:r w:rsidR="00DB1635" w:rsidRPr="00B004EE">
              <w:rPr>
                <w:rFonts w:ascii="Tahoma" w:hAnsi="Tahoma" w:cs="Tahoma"/>
                <w:sz w:val="20"/>
                <w:szCs w:val="20"/>
              </w:rPr>
              <w:t xml:space="preserve"> </w:t>
            </w:r>
            <w:r w:rsidRPr="00B004EE">
              <w:rPr>
                <w:rFonts w:ascii="Tahoma" w:hAnsi="Tahoma" w:cs="Tahoma"/>
                <w:sz w:val="20"/>
                <w:szCs w:val="20"/>
              </w:rPr>
              <w:t>3</w:t>
            </w:r>
          </w:p>
        </w:tc>
      </w:tr>
      <w:tr w:rsidR="00150C90" w:rsidRPr="00B004EE" w14:paraId="29AF7B7A" w14:textId="77777777" w:rsidTr="001E7C3C">
        <w:tc>
          <w:tcPr>
            <w:tcW w:w="354" w:type="dxa"/>
          </w:tcPr>
          <w:p w14:paraId="693F24EE" w14:textId="77777777" w:rsidR="008105B4" w:rsidRPr="00B004EE" w:rsidRDefault="008105B4" w:rsidP="00B004EE">
            <w:pPr>
              <w:jc w:val="both"/>
              <w:rPr>
                <w:rFonts w:ascii="Tahoma" w:hAnsi="Tahoma" w:cs="Tahoma"/>
                <w:sz w:val="20"/>
                <w:szCs w:val="20"/>
              </w:rPr>
            </w:pPr>
          </w:p>
        </w:tc>
        <w:tc>
          <w:tcPr>
            <w:tcW w:w="5386" w:type="dxa"/>
          </w:tcPr>
          <w:p w14:paraId="36789E5F" w14:textId="77777777" w:rsidR="008105B4" w:rsidRPr="00B004EE" w:rsidRDefault="008105B4" w:rsidP="00B004EE">
            <w:pPr>
              <w:jc w:val="both"/>
              <w:rPr>
                <w:rFonts w:ascii="Tahoma" w:hAnsi="Tahoma" w:cs="Tahoma"/>
                <w:sz w:val="20"/>
                <w:szCs w:val="20"/>
              </w:rPr>
            </w:pPr>
            <w:r w:rsidRPr="00B004EE">
              <w:rPr>
                <w:rFonts w:ascii="Tahoma" w:hAnsi="Tahoma" w:cs="Tahoma"/>
                <w:sz w:val="20"/>
                <w:szCs w:val="20"/>
              </w:rPr>
              <w:t>Nitrates</w:t>
            </w:r>
          </w:p>
        </w:tc>
        <w:tc>
          <w:tcPr>
            <w:tcW w:w="3828" w:type="dxa"/>
          </w:tcPr>
          <w:p w14:paraId="4C60692B" w14:textId="77777777" w:rsidR="008105B4" w:rsidRPr="00B004EE" w:rsidRDefault="008105B4" w:rsidP="00B004EE">
            <w:pPr>
              <w:jc w:val="both"/>
              <w:rPr>
                <w:rFonts w:ascii="Tahoma" w:hAnsi="Tahoma" w:cs="Tahoma"/>
                <w:sz w:val="20"/>
                <w:szCs w:val="20"/>
              </w:rPr>
            </w:pPr>
          </w:p>
        </w:tc>
      </w:tr>
      <w:tr w:rsidR="00150C90" w:rsidRPr="00B004EE" w14:paraId="66EA4446" w14:textId="77777777" w:rsidTr="001E7C3C">
        <w:tc>
          <w:tcPr>
            <w:tcW w:w="354" w:type="dxa"/>
          </w:tcPr>
          <w:p w14:paraId="4C20BD87" w14:textId="77777777" w:rsidR="008105B4" w:rsidRPr="00B004EE" w:rsidRDefault="008105B4" w:rsidP="00B004EE">
            <w:pPr>
              <w:jc w:val="both"/>
              <w:rPr>
                <w:rFonts w:ascii="Tahoma" w:hAnsi="Tahoma" w:cs="Tahoma"/>
                <w:sz w:val="20"/>
                <w:szCs w:val="20"/>
              </w:rPr>
            </w:pPr>
          </w:p>
        </w:tc>
        <w:tc>
          <w:tcPr>
            <w:tcW w:w="5386" w:type="dxa"/>
          </w:tcPr>
          <w:p w14:paraId="1F13C574" w14:textId="77777777" w:rsidR="008105B4" w:rsidRPr="00B004EE" w:rsidRDefault="008105B4" w:rsidP="00B004EE">
            <w:pPr>
              <w:jc w:val="both"/>
              <w:rPr>
                <w:rFonts w:ascii="Tahoma" w:hAnsi="Tahoma" w:cs="Tahoma"/>
                <w:sz w:val="20"/>
                <w:szCs w:val="20"/>
              </w:rPr>
            </w:pPr>
            <w:r w:rsidRPr="00B004EE">
              <w:rPr>
                <w:rFonts w:ascii="Tahoma" w:hAnsi="Tahoma" w:cs="Tahoma"/>
                <w:sz w:val="20"/>
                <w:szCs w:val="20"/>
              </w:rPr>
              <w:t>Nitrites</w:t>
            </w:r>
          </w:p>
        </w:tc>
        <w:tc>
          <w:tcPr>
            <w:tcW w:w="3828" w:type="dxa"/>
          </w:tcPr>
          <w:p w14:paraId="548AABB6" w14:textId="0C721195" w:rsidR="008105B4" w:rsidRPr="00B004EE" w:rsidRDefault="008105B4" w:rsidP="00B004EE">
            <w:pPr>
              <w:jc w:val="both"/>
              <w:rPr>
                <w:rFonts w:ascii="Tahoma" w:hAnsi="Tahoma" w:cs="Tahoma"/>
                <w:sz w:val="20"/>
                <w:szCs w:val="20"/>
              </w:rPr>
            </w:pPr>
            <w:r w:rsidRPr="00B004EE">
              <w:rPr>
                <w:rFonts w:ascii="Tahoma" w:hAnsi="Tahoma" w:cs="Tahoma"/>
                <w:sz w:val="20"/>
                <w:szCs w:val="20"/>
              </w:rPr>
              <w:t>Note</w:t>
            </w:r>
            <w:r w:rsidR="00DB1635" w:rsidRPr="00B004EE">
              <w:rPr>
                <w:rFonts w:ascii="Tahoma" w:hAnsi="Tahoma" w:cs="Tahoma"/>
                <w:sz w:val="20"/>
                <w:szCs w:val="20"/>
              </w:rPr>
              <w:t xml:space="preserve"> </w:t>
            </w:r>
            <w:r w:rsidRPr="00B004EE">
              <w:rPr>
                <w:rFonts w:ascii="Tahoma" w:hAnsi="Tahoma" w:cs="Tahoma"/>
                <w:sz w:val="20"/>
                <w:szCs w:val="20"/>
              </w:rPr>
              <w:t>4</w:t>
            </w:r>
          </w:p>
        </w:tc>
      </w:tr>
      <w:tr w:rsidR="00150C90" w:rsidRPr="00B004EE" w14:paraId="0CA202FF" w14:textId="77777777" w:rsidTr="001E7C3C">
        <w:tc>
          <w:tcPr>
            <w:tcW w:w="354" w:type="dxa"/>
          </w:tcPr>
          <w:p w14:paraId="444A257E" w14:textId="77777777" w:rsidR="008105B4" w:rsidRPr="00B004EE" w:rsidRDefault="008105B4" w:rsidP="00B004EE">
            <w:pPr>
              <w:jc w:val="both"/>
              <w:rPr>
                <w:rFonts w:ascii="Tahoma" w:hAnsi="Tahoma" w:cs="Tahoma"/>
                <w:sz w:val="20"/>
                <w:szCs w:val="20"/>
              </w:rPr>
            </w:pPr>
          </w:p>
        </w:tc>
        <w:tc>
          <w:tcPr>
            <w:tcW w:w="5386" w:type="dxa"/>
          </w:tcPr>
          <w:p w14:paraId="6B8D3A79" w14:textId="77777777" w:rsidR="008105B4" w:rsidRPr="00B004EE" w:rsidRDefault="008105B4" w:rsidP="00B004EE">
            <w:pPr>
              <w:jc w:val="both"/>
              <w:rPr>
                <w:rFonts w:ascii="Tahoma" w:hAnsi="Tahoma" w:cs="Tahoma"/>
                <w:sz w:val="20"/>
                <w:szCs w:val="20"/>
              </w:rPr>
            </w:pPr>
            <w:r w:rsidRPr="00B004EE">
              <w:rPr>
                <w:rFonts w:ascii="Tahoma" w:hAnsi="Tahoma" w:cs="Tahoma"/>
                <w:sz w:val="20"/>
                <w:szCs w:val="20"/>
              </w:rPr>
              <w:t>Odeur</w:t>
            </w:r>
          </w:p>
        </w:tc>
        <w:tc>
          <w:tcPr>
            <w:tcW w:w="3828" w:type="dxa"/>
          </w:tcPr>
          <w:p w14:paraId="24091CC9" w14:textId="77777777" w:rsidR="008105B4" w:rsidRPr="00B004EE" w:rsidRDefault="008105B4" w:rsidP="00B004EE">
            <w:pPr>
              <w:jc w:val="both"/>
              <w:rPr>
                <w:rFonts w:ascii="Tahoma" w:hAnsi="Tahoma" w:cs="Tahoma"/>
                <w:sz w:val="20"/>
                <w:szCs w:val="20"/>
              </w:rPr>
            </w:pPr>
          </w:p>
        </w:tc>
      </w:tr>
      <w:tr w:rsidR="00150C90" w:rsidRPr="00B004EE" w14:paraId="230CA786" w14:textId="77777777" w:rsidTr="001E7C3C">
        <w:tc>
          <w:tcPr>
            <w:tcW w:w="354" w:type="dxa"/>
          </w:tcPr>
          <w:p w14:paraId="3E59980D" w14:textId="77777777" w:rsidR="008105B4" w:rsidRPr="00B004EE" w:rsidRDefault="008105B4" w:rsidP="00B004EE">
            <w:pPr>
              <w:jc w:val="both"/>
              <w:rPr>
                <w:rFonts w:ascii="Tahoma" w:hAnsi="Tahoma" w:cs="Tahoma"/>
                <w:sz w:val="20"/>
                <w:szCs w:val="20"/>
              </w:rPr>
            </w:pPr>
          </w:p>
        </w:tc>
        <w:tc>
          <w:tcPr>
            <w:tcW w:w="5386" w:type="dxa"/>
          </w:tcPr>
          <w:p w14:paraId="0E2AF308" w14:textId="245C6702" w:rsidR="008105B4" w:rsidRPr="00B004EE" w:rsidRDefault="008105B4" w:rsidP="00B004EE">
            <w:pPr>
              <w:jc w:val="both"/>
              <w:rPr>
                <w:rFonts w:ascii="Tahoma" w:hAnsi="Tahoma" w:cs="Tahoma"/>
                <w:sz w:val="20"/>
                <w:szCs w:val="20"/>
              </w:rPr>
            </w:pPr>
            <w:r w:rsidRPr="00B004EE">
              <w:rPr>
                <w:rFonts w:ascii="Tahoma" w:hAnsi="Tahoma" w:cs="Tahoma"/>
                <w:sz w:val="20"/>
                <w:szCs w:val="20"/>
              </w:rPr>
              <w:t>Oxydabilité</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permanganate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potassium</w:t>
            </w:r>
          </w:p>
        </w:tc>
        <w:tc>
          <w:tcPr>
            <w:tcW w:w="3828" w:type="dxa"/>
          </w:tcPr>
          <w:p w14:paraId="20BA3840" w14:textId="7C81E33F" w:rsidR="008105B4" w:rsidRPr="00B004EE" w:rsidRDefault="008105B4" w:rsidP="00B004EE">
            <w:pPr>
              <w:jc w:val="both"/>
              <w:rPr>
                <w:rFonts w:ascii="Tahoma" w:hAnsi="Tahoma" w:cs="Tahoma"/>
                <w:sz w:val="20"/>
                <w:szCs w:val="20"/>
              </w:rPr>
            </w:pPr>
            <w:r w:rsidRPr="00B004EE">
              <w:rPr>
                <w:rFonts w:ascii="Tahoma" w:hAnsi="Tahoma" w:cs="Tahoma"/>
                <w:sz w:val="20"/>
                <w:szCs w:val="20"/>
              </w:rPr>
              <w:t>Note</w:t>
            </w:r>
            <w:r w:rsidR="00DB1635" w:rsidRPr="00B004EE">
              <w:rPr>
                <w:rFonts w:ascii="Tahoma" w:hAnsi="Tahoma" w:cs="Tahoma"/>
                <w:sz w:val="20"/>
                <w:szCs w:val="20"/>
              </w:rPr>
              <w:t xml:space="preserve"> </w:t>
            </w:r>
            <w:r w:rsidRPr="00B004EE">
              <w:rPr>
                <w:rFonts w:ascii="Tahoma" w:hAnsi="Tahoma" w:cs="Tahoma"/>
                <w:sz w:val="20"/>
                <w:szCs w:val="20"/>
              </w:rPr>
              <w:t>5</w:t>
            </w:r>
          </w:p>
        </w:tc>
      </w:tr>
      <w:tr w:rsidR="00150C90" w:rsidRPr="00B004EE" w14:paraId="1F93D62B" w14:textId="77777777" w:rsidTr="001E7C3C">
        <w:tc>
          <w:tcPr>
            <w:tcW w:w="354" w:type="dxa"/>
          </w:tcPr>
          <w:p w14:paraId="378382F7" w14:textId="77777777" w:rsidR="008105B4" w:rsidRPr="00B004EE" w:rsidRDefault="008105B4" w:rsidP="00B004EE">
            <w:pPr>
              <w:jc w:val="both"/>
              <w:rPr>
                <w:rFonts w:ascii="Tahoma" w:hAnsi="Tahoma" w:cs="Tahoma"/>
                <w:sz w:val="20"/>
                <w:szCs w:val="20"/>
              </w:rPr>
            </w:pPr>
          </w:p>
        </w:tc>
        <w:tc>
          <w:tcPr>
            <w:tcW w:w="5386" w:type="dxa"/>
          </w:tcPr>
          <w:p w14:paraId="4B441BEA" w14:textId="77777777" w:rsidR="008105B4" w:rsidRPr="00B004EE" w:rsidRDefault="008105B4" w:rsidP="00B004EE">
            <w:pPr>
              <w:jc w:val="both"/>
              <w:rPr>
                <w:rFonts w:ascii="Tahoma" w:hAnsi="Tahoma" w:cs="Tahoma"/>
                <w:sz w:val="20"/>
                <w:szCs w:val="20"/>
              </w:rPr>
            </w:pPr>
            <w:r w:rsidRPr="00B004EE">
              <w:rPr>
                <w:rFonts w:ascii="Tahoma" w:hAnsi="Tahoma" w:cs="Tahoma"/>
                <w:sz w:val="20"/>
                <w:szCs w:val="20"/>
              </w:rPr>
              <w:t>Saveur</w:t>
            </w:r>
          </w:p>
        </w:tc>
        <w:tc>
          <w:tcPr>
            <w:tcW w:w="3828" w:type="dxa"/>
          </w:tcPr>
          <w:p w14:paraId="0EEFC637" w14:textId="77777777" w:rsidR="008105B4" w:rsidRPr="00B004EE" w:rsidRDefault="008105B4" w:rsidP="00B004EE">
            <w:pPr>
              <w:jc w:val="both"/>
              <w:rPr>
                <w:rFonts w:ascii="Tahoma" w:hAnsi="Tahoma" w:cs="Tahoma"/>
                <w:sz w:val="20"/>
                <w:szCs w:val="20"/>
              </w:rPr>
            </w:pPr>
          </w:p>
        </w:tc>
      </w:tr>
      <w:tr w:rsidR="00150C90" w:rsidRPr="00B004EE" w14:paraId="522D7E76" w14:textId="77777777" w:rsidTr="001E7C3C">
        <w:tc>
          <w:tcPr>
            <w:tcW w:w="354" w:type="dxa"/>
          </w:tcPr>
          <w:p w14:paraId="058BED37" w14:textId="77777777" w:rsidR="008105B4" w:rsidRPr="00B004EE" w:rsidRDefault="008105B4" w:rsidP="00B004EE">
            <w:pPr>
              <w:jc w:val="both"/>
              <w:rPr>
                <w:rFonts w:ascii="Tahoma" w:hAnsi="Tahoma" w:cs="Tahoma"/>
                <w:sz w:val="20"/>
                <w:szCs w:val="20"/>
              </w:rPr>
            </w:pPr>
          </w:p>
        </w:tc>
        <w:tc>
          <w:tcPr>
            <w:tcW w:w="5386" w:type="dxa"/>
          </w:tcPr>
          <w:p w14:paraId="6418164B" w14:textId="77777777" w:rsidR="008105B4" w:rsidRPr="00B004EE" w:rsidRDefault="008105B4" w:rsidP="00B004EE">
            <w:pPr>
              <w:jc w:val="both"/>
              <w:rPr>
                <w:rFonts w:ascii="Tahoma" w:hAnsi="Tahoma" w:cs="Tahoma"/>
                <w:sz w:val="20"/>
                <w:szCs w:val="20"/>
              </w:rPr>
            </w:pPr>
            <w:r w:rsidRPr="00B004EE">
              <w:rPr>
                <w:rFonts w:ascii="Tahoma" w:hAnsi="Tahoma" w:cs="Tahoma"/>
                <w:sz w:val="20"/>
                <w:szCs w:val="20"/>
              </w:rPr>
              <w:t>Sulfates</w:t>
            </w:r>
          </w:p>
        </w:tc>
        <w:tc>
          <w:tcPr>
            <w:tcW w:w="3828" w:type="dxa"/>
          </w:tcPr>
          <w:p w14:paraId="0B1C27BF" w14:textId="77777777" w:rsidR="008105B4" w:rsidRPr="00B004EE" w:rsidRDefault="008105B4" w:rsidP="00B004EE">
            <w:pPr>
              <w:jc w:val="both"/>
              <w:rPr>
                <w:rFonts w:ascii="Tahoma" w:hAnsi="Tahoma" w:cs="Tahoma"/>
                <w:sz w:val="20"/>
                <w:szCs w:val="20"/>
              </w:rPr>
            </w:pPr>
          </w:p>
        </w:tc>
      </w:tr>
      <w:tr w:rsidR="008105B4" w:rsidRPr="00B004EE" w14:paraId="1C42B614" w14:textId="77777777" w:rsidTr="001E7C3C">
        <w:tc>
          <w:tcPr>
            <w:tcW w:w="354" w:type="dxa"/>
          </w:tcPr>
          <w:p w14:paraId="365957EC" w14:textId="77777777" w:rsidR="008105B4" w:rsidRPr="00B004EE" w:rsidRDefault="008105B4" w:rsidP="00B004EE">
            <w:pPr>
              <w:jc w:val="both"/>
              <w:rPr>
                <w:rFonts w:ascii="Tahoma" w:hAnsi="Tahoma" w:cs="Tahoma"/>
                <w:sz w:val="20"/>
                <w:szCs w:val="20"/>
              </w:rPr>
            </w:pPr>
          </w:p>
        </w:tc>
        <w:tc>
          <w:tcPr>
            <w:tcW w:w="5386" w:type="dxa"/>
          </w:tcPr>
          <w:p w14:paraId="1C8ED785" w14:textId="77777777" w:rsidR="008105B4" w:rsidRPr="00B004EE" w:rsidRDefault="008105B4" w:rsidP="00B004EE">
            <w:pPr>
              <w:jc w:val="both"/>
              <w:rPr>
                <w:rFonts w:ascii="Tahoma" w:hAnsi="Tahoma" w:cs="Tahoma"/>
                <w:sz w:val="20"/>
                <w:szCs w:val="20"/>
              </w:rPr>
            </w:pPr>
            <w:r w:rsidRPr="00B004EE">
              <w:rPr>
                <w:rFonts w:ascii="Tahoma" w:hAnsi="Tahoma" w:cs="Tahoma"/>
                <w:sz w:val="20"/>
                <w:szCs w:val="20"/>
              </w:rPr>
              <w:t>Turbidité</w:t>
            </w:r>
          </w:p>
        </w:tc>
        <w:tc>
          <w:tcPr>
            <w:tcW w:w="3828" w:type="dxa"/>
          </w:tcPr>
          <w:p w14:paraId="2EEEDA8A" w14:textId="77777777" w:rsidR="008105B4" w:rsidRPr="00B004EE" w:rsidRDefault="008105B4" w:rsidP="00B004EE">
            <w:pPr>
              <w:jc w:val="both"/>
              <w:rPr>
                <w:rFonts w:ascii="Tahoma" w:hAnsi="Tahoma" w:cs="Tahoma"/>
                <w:sz w:val="20"/>
                <w:szCs w:val="20"/>
              </w:rPr>
            </w:pPr>
          </w:p>
        </w:tc>
      </w:tr>
    </w:tbl>
    <w:p w14:paraId="464FDDDB" w14:textId="77777777" w:rsidR="008105B4" w:rsidRPr="00B004EE" w:rsidRDefault="008105B4" w:rsidP="00B004EE">
      <w:pPr>
        <w:ind w:left="902" w:hanging="902"/>
        <w:jc w:val="both"/>
        <w:rPr>
          <w:rFonts w:ascii="Tahoma" w:hAnsi="Tahoma" w:cs="Tahoma"/>
          <w:sz w:val="20"/>
          <w:szCs w:val="20"/>
        </w:rPr>
      </w:pPr>
    </w:p>
    <w:p w14:paraId="00FEE411" w14:textId="6FF02155" w:rsidR="008105B4" w:rsidRPr="00B004EE" w:rsidRDefault="008105B4" w:rsidP="00B004EE">
      <w:pPr>
        <w:tabs>
          <w:tab w:val="left" w:pos="3070"/>
          <w:tab w:val="left" w:pos="4605"/>
          <w:tab w:val="left" w:pos="6140"/>
          <w:tab w:val="left" w:pos="7675"/>
          <w:tab w:val="left" w:pos="9210"/>
        </w:tabs>
        <w:ind w:left="567" w:hanging="567"/>
        <w:jc w:val="both"/>
        <w:rPr>
          <w:rFonts w:ascii="Tahoma" w:hAnsi="Tahoma" w:cs="Tahoma"/>
          <w:sz w:val="20"/>
          <w:szCs w:val="20"/>
        </w:rPr>
      </w:pPr>
      <w:r w:rsidRPr="00B004EE">
        <w:rPr>
          <w:rFonts w:ascii="Tahoma" w:hAnsi="Tahoma" w:cs="Tahoma"/>
          <w:sz w:val="20"/>
          <w:szCs w:val="20"/>
        </w:rPr>
        <w:t>Note</w:t>
      </w:r>
      <w:r w:rsidR="00DB1635" w:rsidRPr="00B004EE">
        <w:rPr>
          <w:rFonts w:ascii="Tahoma" w:hAnsi="Tahoma" w:cs="Tahoma"/>
          <w:sz w:val="20"/>
          <w:szCs w:val="20"/>
        </w:rPr>
        <w:t xml:space="preserve"> </w:t>
      </w:r>
      <w:r w:rsidRPr="00B004EE">
        <w:rPr>
          <w:rFonts w:ascii="Tahoma" w:hAnsi="Tahoma" w:cs="Tahoma"/>
          <w:sz w:val="20"/>
          <w:szCs w:val="20"/>
        </w:rPr>
        <w:t>1</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Seulement</w:t>
      </w:r>
      <w:r w:rsidR="00DB1635" w:rsidRPr="00B004EE">
        <w:rPr>
          <w:rFonts w:ascii="Tahoma" w:hAnsi="Tahoma" w:cs="Tahoma"/>
          <w:sz w:val="20"/>
          <w:szCs w:val="20"/>
        </w:rPr>
        <w:t xml:space="preserve"> </w:t>
      </w:r>
      <w:r w:rsidRPr="00B004EE">
        <w:rPr>
          <w:rFonts w:ascii="Tahoma" w:hAnsi="Tahoma" w:cs="Tahoma"/>
          <w:sz w:val="20"/>
          <w:szCs w:val="20"/>
        </w:rPr>
        <w:t>nécessaire</w:t>
      </w:r>
      <w:r w:rsidR="00DB1635" w:rsidRPr="00B004EE">
        <w:rPr>
          <w:rFonts w:ascii="Tahoma" w:hAnsi="Tahoma" w:cs="Tahoma"/>
          <w:sz w:val="20"/>
          <w:szCs w:val="20"/>
        </w:rPr>
        <w:t xml:space="preserve"> </w:t>
      </w:r>
      <w:r w:rsidRPr="00B004EE">
        <w:rPr>
          <w:rFonts w:ascii="Tahoma" w:hAnsi="Tahoma" w:cs="Tahoma"/>
          <w:sz w:val="20"/>
          <w:szCs w:val="20"/>
        </w:rPr>
        <w:t>lorsqu’il</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utilisé</w:t>
      </w:r>
      <w:r w:rsidR="00DB1635" w:rsidRPr="00B004EE">
        <w:rPr>
          <w:rFonts w:ascii="Tahoma" w:hAnsi="Tahoma" w:cs="Tahoma"/>
          <w:sz w:val="20"/>
          <w:szCs w:val="20"/>
        </w:rPr>
        <w:t xml:space="preserve"> </w:t>
      </w:r>
      <w:r w:rsidRPr="00B004EE">
        <w:rPr>
          <w:rFonts w:ascii="Tahoma" w:hAnsi="Tahoma" w:cs="Tahoma"/>
          <w:sz w:val="20"/>
          <w:szCs w:val="20"/>
        </w:rPr>
        <w:t>comme</w:t>
      </w:r>
      <w:r w:rsidR="00DB1635" w:rsidRPr="00B004EE">
        <w:rPr>
          <w:rFonts w:ascii="Tahoma" w:hAnsi="Tahoma" w:cs="Tahoma"/>
          <w:sz w:val="20"/>
          <w:szCs w:val="20"/>
        </w:rPr>
        <w:t xml:space="preserve"> </w:t>
      </w:r>
      <w:r w:rsidRPr="00B004EE">
        <w:rPr>
          <w:rFonts w:ascii="Tahoma" w:hAnsi="Tahoma" w:cs="Tahoma"/>
          <w:sz w:val="20"/>
          <w:szCs w:val="20"/>
        </w:rPr>
        <w:t>agent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floculation</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système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traitement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l’eau</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réseau</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distribution.</w:t>
      </w:r>
    </w:p>
    <w:p w14:paraId="4D801AEB" w14:textId="6934E7DC" w:rsidR="008105B4" w:rsidRPr="00B004EE" w:rsidRDefault="008105B4" w:rsidP="00B004EE">
      <w:pPr>
        <w:tabs>
          <w:tab w:val="left" w:pos="3070"/>
          <w:tab w:val="left" w:pos="4605"/>
          <w:tab w:val="left" w:pos="6140"/>
          <w:tab w:val="left" w:pos="7675"/>
          <w:tab w:val="left" w:pos="9210"/>
        </w:tabs>
        <w:ind w:left="567" w:hanging="567"/>
        <w:jc w:val="both"/>
        <w:rPr>
          <w:rFonts w:ascii="Tahoma" w:hAnsi="Tahoma" w:cs="Tahoma"/>
          <w:sz w:val="20"/>
          <w:szCs w:val="20"/>
        </w:rPr>
      </w:pPr>
      <w:r w:rsidRPr="00B004EE">
        <w:rPr>
          <w:rFonts w:ascii="Tahoma" w:hAnsi="Tahoma" w:cs="Tahoma"/>
          <w:sz w:val="20"/>
          <w:szCs w:val="20"/>
        </w:rPr>
        <w:t>Note</w:t>
      </w:r>
      <w:r w:rsidR="00DB1635" w:rsidRPr="00B004EE">
        <w:rPr>
          <w:rFonts w:ascii="Tahoma" w:hAnsi="Tahoma" w:cs="Tahoma"/>
          <w:sz w:val="20"/>
          <w:szCs w:val="20"/>
        </w:rPr>
        <w:t xml:space="preserve"> </w:t>
      </w:r>
      <w:r w:rsidRPr="00B004EE">
        <w:rPr>
          <w:rFonts w:ascii="Tahoma" w:hAnsi="Tahoma" w:cs="Tahoma"/>
          <w:sz w:val="20"/>
          <w:szCs w:val="20"/>
        </w:rPr>
        <w:t>2</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Seulement</w:t>
      </w:r>
      <w:r w:rsidR="00DB1635" w:rsidRPr="00B004EE">
        <w:rPr>
          <w:rFonts w:ascii="Tahoma" w:hAnsi="Tahoma" w:cs="Tahoma"/>
          <w:sz w:val="20"/>
          <w:szCs w:val="20"/>
        </w:rPr>
        <w:t xml:space="preserve"> </w:t>
      </w:r>
      <w:r w:rsidRPr="00B004EE">
        <w:rPr>
          <w:rFonts w:ascii="Tahoma" w:hAnsi="Tahoma" w:cs="Tahoma"/>
          <w:sz w:val="20"/>
          <w:szCs w:val="20"/>
        </w:rPr>
        <w:t>nécessaire</w:t>
      </w:r>
      <w:r w:rsidR="00DB1635" w:rsidRPr="00B004EE">
        <w:rPr>
          <w:rFonts w:ascii="Tahoma" w:hAnsi="Tahoma" w:cs="Tahoma"/>
          <w:sz w:val="20"/>
          <w:szCs w:val="20"/>
        </w:rPr>
        <w:t xml:space="preserve"> </w:t>
      </w:r>
      <w:r w:rsidRPr="00B004EE">
        <w:rPr>
          <w:rFonts w:ascii="Tahoma" w:hAnsi="Tahoma" w:cs="Tahoma"/>
          <w:sz w:val="20"/>
          <w:szCs w:val="20"/>
        </w:rPr>
        <w:t>si</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eaux</w:t>
      </w:r>
      <w:r w:rsidR="00DB1635" w:rsidRPr="00B004EE">
        <w:rPr>
          <w:rFonts w:ascii="Tahoma" w:hAnsi="Tahoma" w:cs="Tahoma"/>
          <w:sz w:val="20"/>
          <w:szCs w:val="20"/>
        </w:rPr>
        <w:t xml:space="preserve"> </w:t>
      </w:r>
      <w:r w:rsidRPr="00B004EE">
        <w:rPr>
          <w:rFonts w:ascii="Tahoma" w:hAnsi="Tahoma" w:cs="Tahoma"/>
          <w:sz w:val="20"/>
          <w:szCs w:val="20"/>
        </w:rPr>
        <w:t>proviennent</w:t>
      </w:r>
      <w:r w:rsidR="00DB1635" w:rsidRPr="00B004EE">
        <w:rPr>
          <w:rFonts w:ascii="Tahoma" w:hAnsi="Tahoma" w:cs="Tahoma"/>
          <w:sz w:val="20"/>
          <w:szCs w:val="20"/>
        </w:rPr>
        <w:t xml:space="preserve"> </w:t>
      </w:r>
      <w:r w:rsidRPr="00B004EE">
        <w:rPr>
          <w:rFonts w:ascii="Tahoma" w:hAnsi="Tahoma" w:cs="Tahoma"/>
          <w:sz w:val="20"/>
          <w:szCs w:val="20"/>
        </w:rPr>
        <w:t>d’eaux</w:t>
      </w:r>
      <w:r w:rsidR="00DB1635" w:rsidRPr="00B004EE">
        <w:rPr>
          <w:rFonts w:ascii="Tahoma" w:hAnsi="Tahoma" w:cs="Tahoma"/>
          <w:sz w:val="20"/>
          <w:szCs w:val="20"/>
        </w:rPr>
        <w:t xml:space="preserve"> </w:t>
      </w:r>
      <w:r w:rsidRPr="00B004EE">
        <w:rPr>
          <w:rFonts w:ascii="Tahoma" w:hAnsi="Tahoma" w:cs="Tahoma"/>
          <w:sz w:val="20"/>
          <w:szCs w:val="20"/>
        </w:rPr>
        <w:t>superficielles</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influencées</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celles-ci.</w:t>
      </w:r>
    </w:p>
    <w:p w14:paraId="469592CC" w14:textId="555D8984" w:rsidR="008105B4" w:rsidRPr="00B004EE" w:rsidRDefault="008105B4" w:rsidP="00B004EE">
      <w:pPr>
        <w:tabs>
          <w:tab w:val="left" w:pos="3070"/>
          <w:tab w:val="left" w:pos="4605"/>
          <w:tab w:val="left" w:pos="6140"/>
          <w:tab w:val="left" w:pos="7675"/>
          <w:tab w:val="left" w:pos="9210"/>
        </w:tabs>
        <w:ind w:left="567" w:hanging="567"/>
        <w:jc w:val="both"/>
        <w:rPr>
          <w:rFonts w:ascii="Tahoma" w:hAnsi="Tahoma" w:cs="Tahoma"/>
          <w:sz w:val="20"/>
          <w:szCs w:val="20"/>
        </w:rPr>
      </w:pPr>
      <w:r w:rsidRPr="00B004EE">
        <w:rPr>
          <w:rFonts w:ascii="Tahoma" w:hAnsi="Tahoma" w:cs="Tahoma"/>
          <w:sz w:val="20"/>
          <w:szCs w:val="20"/>
        </w:rPr>
        <w:t>Note</w:t>
      </w:r>
      <w:r w:rsidR="00DB1635" w:rsidRPr="00B004EE">
        <w:rPr>
          <w:rFonts w:ascii="Tahoma" w:hAnsi="Tahoma" w:cs="Tahoma"/>
          <w:sz w:val="20"/>
          <w:szCs w:val="20"/>
        </w:rPr>
        <w:t xml:space="preserve"> </w:t>
      </w:r>
      <w:r w:rsidRPr="00B004EE">
        <w:rPr>
          <w:rFonts w:ascii="Tahoma" w:hAnsi="Tahoma" w:cs="Tahoma"/>
          <w:sz w:val="20"/>
          <w:szCs w:val="20"/>
        </w:rPr>
        <w:t>3</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Seulement</w:t>
      </w:r>
      <w:r w:rsidR="00DB1635" w:rsidRPr="00B004EE">
        <w:rPr>
          <w:rFonts w:ascii="Tahoma" w:hAnsi="Tahoma" w:cs="Tahoma"/>
          <w:sz w:val="20"/>
          <w:szCs w:val="20"/>
        </w:rPr>
        <w:t xml:space="preserve"> </w:t>
      </w:r>
      <w:r w:rsidRPr="00B004EE">
        <w:rPr>
          <w:rFonts w:ascii="Tahoma" w:hAnsi="Tahoma" w:cs="Tahoma"/>
          <w:sz w:val="20"/>
          <w:szCs w:val="20"/>
        </w:rPr>
        <w:t>nécessaire</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cas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traitement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démanganisation.</w:t>
      </w:r>
    </w:p>
    <w:p w14:paraId="732D70DA" w14:textId="5C9DE2D8" w:rsidR="008105B4" w:rsidRPr="00B004EE" w:rsidRDefault="008105B4" w:rsidP="00B004EE">
      <w:pPr>
        <w:tabs>
          <w:tab w:val="left" w:pos="3070"/>
          <w:tab w:val="left" w:pos="4605"/>
          <w:tab w:val="left" w:pos="6140"/>
          <w:tab w:val="left" w:pos="7675"/>
          <w:tab w:val="left" w:pos="9210"/>
        </w:tabs>
        <w:ind w:left="567" w:hanging="567"/>
        <w:jc w:val="both"/>
        <w:rPr>
          <w:rFonts w:ascii="Tahoma" w:hAnsi="Tahoma" w:cs="Tahoma"/>
          <w:sz w:val="20"/>
          <w:szCs w:val="20"/>
        </w:rPr>
      </w:pPr>
      <w:r w:rsidRPr="00B004EE">
        <w:rPr>
          <w:rFonts w:ascii="Tahoma" w:hAnsi="Tahoma" w:cs="Tahoma"/>
          <w:sz w:val="20"/>
          <w:szCs w:val="20"/>
        </w:rPr>
        <w:t>Note</w:t>
      </w:r>
      <w:r w:rsidR="00DB1635" w:rsidRPr="00B004EE">
        <w:rPr>
          <w:rFonts w:ascii="Tahoma" w:hAnsi="Tahoma" w:cs="Tahoma"/>
          <w:sz w:val="20"/>
          <w:szCs w:val="20"/>
        </w:rPr>
        <w:t xml:space="preserve"> </w:t>
      </w:r>
      <w:r w:rsidR="00DE14A0" w:rsidRPr="00B004EE">
        <w:rPr>
          <w:rFonts w:ascii="Tahoma" w:hAnsi="Tahoma" w:cs="Tahoma"/>
          <w:sz w:val="20"/>
          <w:szCs w:val="20"/>
        </w:rPr>
        <w:t>4 :</w:t>
      </w:r>
      <w:r w:rsidR="00DB1635" w:rsidRPr="00B004EE">
        <w:rPr>
          <w:rFonts w:ascii="Tahoma" w:hAnsi="Tahoma" w:cs="Tahoma"/>
          <w:sz w:val="20"/>
          <w:szCs w:val="20"/>
        </w:rPr>
        <w:t xml:space="preserve">  </w:t>
      </w:r>
      <w:r w:rsidRPr="00B004EE">
        <w:rPr>
          <w:rFonts w:ascii="Tahoma" w:hAnsi="Tahoma" w:cs="Tahoma"/>
          <w:sz w:val="20"/>
          <w:szCs w:val="20"/>
        </w:rPr>
        <w:t>Seulement</w:t>
      </w:r>
      <w:r w:rsidR="00DB1635" w:rsidRPr="00B004EE">
        <w:rPr>
          <w:rFonts w:ascii="Tahoma" w:hAnsi="Tahoma" w:cs="Tahoma"/>
          <w:sz w:val="20"/>
          <w:szCs w:val="20"/>
        </w:rPr>
        <w:t xml:space="preserve"> </w:t>
      </w:r>
      <w:r w:rsidRPr="00B004EE">
        <w:rPr>
          <w:rFonts w:ascii="Tahoma" w:hAnsi="Tahoma" w:cs="Tahoma"/>
          <w:sz w:val="20"/>
          <w:szCs w:val="20"/>
        </w:rPr>
        <w:t>nécessaire</w:t>
      </w:r>
      <w:r w:rsidR="00DB1635" w:rsidRPr="00B004EE">
        <w:rPr>
          <w:rFonts w:ascii="Tahoma" w:hAnsi="Tahoma" w:cs="Tahoma"/>
          <w:sz w:val="20"/>
          <w:szCs w:val="20"/>
        </w:rPr>
        <w:t xml:space="preserve"> </w:t>
      </w:r>
      <w:r w:rsidRPr="00B004EE">
        <w:rPr>
          <w:rFonts w:ascii="Tahoma" w:hAnsi="Tahoma" w:cs="Tahoma"/>
          <w:sz w:val="20"/>
          <w:szCs w:val="20"/>
        </w:rPr>
        <w:t>lorsque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chloramination</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utilisée</w:t>
      </w:r>
      <w:r w:rsidR="00DB1635" w:rsidRPr="00B004EE">
        <w:rPr>
          <w:rFonts w:ascii="Tahoma" w:hAnsi="Tahoma" w:cs="Tahoma"/>
          <w:sz w:val="20"/>
          <w:szCs w:val="20"/>
        </w:rPr>
        <w:t xml:space="preserve"> </w:t>
      </w:r>
      <w:r w:rsidRPr="00B004EE">
        <w:rPr>
          <w:rFonts w:ascii="Tahoma" w:hAnsi="Tahoma" w:cs="Tahoma"/>
          <w:sz w:val="20"/>
          <w:szCs w:val="20"/>
        </w:rPr>
        <w:t>comme</w:t>
      </w:r>
      <w:r w:rsidR="00DB1635" w:rsidRPr="00B004EE">
        <w:rPr>
          <w:rFonts w:ascii="Tahoma" w:hAnsi="Tahoma" w:cs="Tahoma"/>
          <w:sz w:val="20"/>
          <w:szCs w:val="20"/>
        </w:rPr>
        <w:t xml:space="preserve"> </w:t>
      </w:r>
      <w:r w:rsidRPr="00B004EE">
        <w:rPr>
          <w:rFonts w:ascii="Tahoma" w:hAnsi="Tahoma" w:cs="Tahoma"/>
          <w:sz w:val="20"/>
          <w:szCs w:val="20"/>
        </w:rPr>
        <w:t>traitement</w:t>
      </w:r>
      <w:r w:rsidR="00DB1635" w:rsidRPr="00B004EE">
        <w:rPr>
          <w:rFonts w:ascii="Tahoma" w:hAnsi="Tahoma" w:cs="Tahoma"/>
          <w:sz w:val="20"/>
          <w:szCs w:val="20"/>
        </w:rPr>
        <w:t xml:space="preserve"> </w:t>
      </w:r>
      <w:r w:rsidRPr="00B004EE">
        <w:rPr>
          <w:rFonts w:ascii="Tahoma" w:hAnsi="Tahoma" w:cs="Tahoma"/>
          <w:sz w:val="20"/>
          <w:szCs w:val="20"/>
        </w:rPr>
        <w:t>désinfectant.</w:t>
      </w:r>
    </w:p>
    <w:p w14:paraId="314F45BF" w14:textId="72FB74ED" w:rsidR="008105B4" w:rsidRPr="00B004EE" w:rsidRDefault="008105B4" w:rsidP="00B004EE">
      <w:pPr>
        <w:tabs>
          <w:tab w:val="left" w:pos="3070"/>
          <w:tab w:val="left" w:pos="4605"/>
          <w:tab w:val="left" w:pos="6140"/>
          <w:tab w:val="left" w:pos="7675"/>
          <w:tab w:val="left" w:pos="9210"/>
        </w:tabs>
        <w:ind w:left="567" w:hanging="567"/>
        <w:jc w:val="both"/>
        <w:rPr>
          <w:rFonts w:ascii="Tahoma" w:hAnsi="Tahoma" w:cs="Tahoma"/>
          <w:sz w:val="20"/>
          <w:szCs w:val="20"/>
        </w:rPr>
      </w:pPr>
      <w:r w:rsidRPr="00B004EE">
        <w:rPr>
          <w:rFonts w:ascii="Tahoma" w:hAnsi="Tahoma" w:cs="Tahoma"/>
          <w:sz w:val="20"/>
          <w:szCs w:val="20"/>
        </w:rPr>
        <w:t>Note</w:t>
      </w:r>
      <w:r w:rsidR="00DB1635" w:rsidRPr="00B004EE">
        <w:rPr>
          <w:rFonts w:ascii="Tahoma" w:hAnsi="Tahoma" w:cs="Tahoma"/>
          <w:sz w:val="20"/>
          <w:szCs w:val="20"/>
        </w:rPr>
        <w:t xml:space="preserve"> </w:t>
      </w:r>
      <w:r w:rsidRPr="00B004EE">
        <w:rPr>
          <w:rFonts w:ascii="Tahoma" w:hAnsi="Tahoma" w:cs="Tahoma"/>
          <w:sz w:val="20"/>
          <w:szCs w:val="20"/>
        </w:rPr>
        <w:t>5</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Ce</w:t>
      </w:r>
      <w:r w:rsidR="00DB1635" w:rsidRPr="00B004EE">
        <w:rPr>
          <w:rFonts w:ascii="Tahoma" w:hAnsi="Tahoma" w:cs="Tahoma"/>
          <w:sz w:val="20"/>
          <w:szCs w:val="20"/>
        </w:rPr>
        <w:t xml:space="preserve"> </w:t>
      </w:r>
      <w:r w:rsidRPr="00B004EE">
        <w:rPr>
          <w:rFonts w:ascii="Tahoma" w:hAnsi="Tahoma" w:cs="Tahoma"/>
          <w:sz w:val="20"/>
          <w:szCs w:val="20"/>
        </w:rPr>
        <w:t>paramètre</w:t>
      </w:r>
      <w:r w:rsidR="00DB1635" w:rsidRPr="00B004EE">
        <w:rPr>
          <w:rFonts w:ascii="Tahoma" w:hAnsi="Tahoma" w:cs="Tahoma"/>
          <w:sz w:val="20"/>
          <w:szCs w:val="20"/>
        </w:rPr>
        <w:t xml:space="preserve"> </w:t>
      </w:r>
      <w:r w:rsidRPr="00B004EE">
        <w:rPr>
          <w:rFonts w:ascii="Tahoma" w:hAnsi="Tahoma" w:cs="Tahoma"/>
          <w:sz w:val="20"/>
          <w:szCs w:val="20"/>
        </w:rPr>
        <w:t>doit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recherché</w:t>
      </w:r>
      <w:r w:rsidR="00DB1635" w:rsidRPr="00B004EE">
        <w:rPr>
          <w:rFonts w:ascii="Tahoma" w:hAnsi="Tahoma" w:cs="Tahoma"/>
          <w:sz w:val="20"/>
          <w:szCs w:val="20"/>
        </w:rPr>
        <w:t xml:space="preserve"> </w:t>
      </w:r>
      <w:r w:rsidRPr="00B004EE">
        <w:rPr>
          <w:rFonts w:ascii="Tahoma" w:hAnsi="Tahoma" w:cs="Tahoma"/>
          <w:sz w:val="20"/>
          <w:szCs w:val="20"/>
        </w:rPr>
        <w:t>lorsque</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COT</w:t>
      </w:r>
      <w:r w:rsidR="00DB1635" w:rsidRPr="00B004EE">
        <w:rPr>
          <w:rFonts w:ascii="Tahoma" w:hAnsi="Tahoma" w:cs="Tahoma"/>
          <w:sz w:val="20"/>
          <w:szCs w:val="20"/>
        </w:rPr>
        <w:t xml:space="preserve"> </w:t>
      </w:r>
      <w:r w:rsidRPr="00B004EE">
        <w:rPr>
          <w:rFonts w:ascii="Tahoma" w:hAnsi="Tahoma" w:cs="Tahoma"/>
          <w:sz w:val="20"/>
          <w:szCs w:val="20"/>
        </w:rPr>
        <w:t>n'est</w:t>
      </w:r>
      <w:r w:rsidR="00DB1635" w:rsidRPr="00B004EE">
        <w:rPr>
          <w:rFonts w:ascii="Tahoma" w:hAnsi="Tahoma" w:cs="Tahoma"/>
          <w:sz w:val="20"/>
          <w:szCs w:val="20"/>
        </w:rPr>
        <w:t xml:space="preserve"> </w:t>
      </w:r>
      <w:r w:rsidRPr="00B004EE">
        <w:rPr>
          <w:rFonts w:ascii="Tahoma" w:hAnsi="Tahoma" w:cs="Tahoma"/>
          <w:sz w:val="20"/>
          <w:szCs w:val="20"/>
        </w:rPr>
        <w:t>pas</w:t>
      </w:r>
      <w:r w:rsidR="00DB1635" w:rsidRPr="00B004EE">
        <w:rPr>
          <w:rFonts w:ascii="Tahoma" w:hAnsi="Tahoma" w:cs="Tahoma"/>
          <w:sz w:val="20"/>
          <w:szCs w:val="20"/>
        </w:rPr>
        <w:t xml:space="preserve"> </w:t>
      </w:r>
      <w:r w:rsidRPr="00B004EE">
        <w:rPr>
          <w:rFonts w:ascii="Tahoma" w:hAnsi="Tahoma" w:cs="Tahoma"/>
          <w:sz w:val="20"/>
          <w:szCs w:val="20"/>
        </w:rPr>
        <w:t>analysé.</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mesure</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effectuée</w:t>
      </w:r>
      <w:r w:rsidR="00DB1635" w:rsidRPr="00B004EE">
        <w:rPr>
          <w:rFonts w:ascii="Tahoma" w:hAnsi="Tahoma" w:cs="Tahoma"/>
          <w:sz w:val="20"/>
          <w:szCs w:val="20"/>
        </w:rPr>
        <w:t xml:space="preserve"> </w:t>
      </w:r>
      <w:r w:rsidRPr="00B004EE">
        <w:rPr>
          <w:rFonts w:ascii="Tahoma" w:hAnsi="Tahoma" w:cs="Tahoma"/>
          <w:sz w:val="20"/>
          <w:szCs w:val="20"/>
        </w:rPr>
        <w:t>après</w:t>
      </w:r>
      <w:r w:rsidR="00DB1635" w:rsidRPr="00B004EE">
        <w:rPr>
          <w:rFonts w:ascii="Tahoma" w:hAnsi="Tahoma" w:cs="Tahoma"/>
          <w:sz w:val="20"/>
          <w:szCs w:val="20"/>
        </w:rPr>
        <w:t xml:space="preserve"> </w:t>
      </w:r>
      <w:r w:rsidRPr="00B004EE">
        <w:rPr>
          <w:rFonts w:ascii="Tahoma" w:hAnsi="Tahoma" w:cs="Tahoma"/>
          <w:sz w:val="20"/>
          <w:szCs w:val="20"/>
        </w:rPr>
        <w:t>10</w:t>
      </w:r>
      <w:r w:rsidR="00DB1635" w:rsidRPr="00B004EE">
        <w:rPr>
          <w:rFonts w:ascii="Tahoma" w:hAnsi="Tahoma" w:cs="Tahoma"/>
          <w:sz w:val="20"/>
          <w:szCs w:val="20"/>
        </w:rPr>
        <w:t xml:space="preserve"> </w:t>
      </w:r>
      <w:r w:rsidRPr="00B004EE">
        <w:rPr>
          <w:rFonts w:ascii="Tahoma" w:hAnsi="Tahoma" w:cs="Tahoma"/>
          <w:sz w:val="20"/>
          <w:szCs w:val="20"/>
        </w:rPr>
        <w:t>minutes</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milieu</w:t>
      </w:r>
      <w:r w:rsidR="00DB1635" w:rsidRPr="00B004EE">
        <w:rPr>
          <w:rFonts w:ascii="Tahoma" w:hAnsi="Tahoma" w:cs="Tahoma"/>
          <w:sz w:val="20"/>
          <w:szCs w:val="20"/>
        </w:rPr>
        <w:t xml:space="preserve"> </w:t>
      </w:r>
      <w:r w:rsidRPr="00B004EE">
        <w:rPr>
          <w:rFonts w:ascii="Tahoma" w:hAnsi="Tahoma" w:cs="Tahoma"/>
          <w:sz w:val="20"/>
          <w:szCs w:val="20"/>
        </w:rPr>
        <w:t>acide.</w:t>
      </w:r>
    </w:p>
    <w:p w14:paraId="49336F40" w14:textId="77777777" w:rsidR="008105B4" w:rsidRPr="00B004EE" w:rsidRDefault="008105B4" w:rsidP="00B004EE">
      <w:pPr>
        <w:tabs>
          <w:tab w:val="left" w:pos="3070"/>
          <w:tab w:val="left" w:pos="4605"/>
          <w:tab w:val="left" w:pos="6140"/>
          <w:tab w:val="left" w:pos="7675"/>
          <w:tab w:val="left" w:pos="9210"/>
        </w:tabs>
        <w:ind w:left="567" w:hanging="567"/>
        <w:jc w:val="both"/>
        <w:rPr>
          <w:rFonts w:ascii="Tahoma" w:hAnsi="Tahoma" w:cs="Tahoma"/>
          <w:sz w:val="20"/>
          <w:szCs w:val="20"/>
        </w:rPr>
      </w:pPr>
    </w:p>
    <w:p w14:paraId="553FD34C" w14:textId="7B64A0B0" w:rsidR="008105B4" w:rsidRPr="00B004EE" w:rsidRDefault="008105B4" w:rsidP="00B004EE">
      <w:pPr>
        <w:jc w:val="both"/>
        <w:rPr>
          <w:rFonts w:ascii="Tahoma" w:hAnsi="Tahoma" w:cs="Tahoma"/>
          <w:b/>
          <w:bCs/>
          <w:i/>
          <w:iCs/>
          <w:sz w:val="20"/>
          <w:szCs w:val="20"/>
        </w:rPr>
      </w:pPr>
      <w:r w:rsidRPr="00B004EE">
        <w:rPr>
          <w:rFonts w:ascii="Tahoma" w:hAnsi="Tahoma" w:cs="Tahoma"/>
          <w:b/>
          <w:bCs/>
          <w:i/>
          <w:iCs/>
          <w:sz w:val="20"/>
          <w:szCs w:val="20"/>
        </w:rPr>
        <w:t>B.</w:t>
      </w:r>
      <w:r w:rsidR="00DB1635" w:rsidRPr="00B004EE">
        <w:rPr>
          <w:rFonts w:ascii="Tahoma" w:hAnsi="Tahoma" w:cs="Tahoma"/>
          <w:b/>
          <w:bCs/>
          <w:i/>
          <w:iCs/>
          <w:sz w:val="20"/>
          <w:szCs w:val="20"/>
        </w:rPr>
        <w:t xml:space="preserve"> </w:t>
      </w:r>
      <w:r w:rsidRPr="00B004EE">
        <w:rPr>
          <w:rFonts w:ascii="Tahoma" w:hAnsi="Tahoma" w:cs="Tahoma"/>
          <w:b/>
          <w:bCs/>
          <w:i/>
          <w:iCs/>
          <w:sz w:val="20"/>
          <w:szCs w:val="20"/>
        </w:rPr>
        <w:t>Contrôle</w:t>
      </w:r>
      <w:r w:rsidR="00DB1635" w:rsidRPr="00B004EE">
        <w:rPr>
          <w:rFonts w:ascii="Tahoma" w:hAnsi="Tahoma" w:cs="Tahoma"/>
          <w:b/>
          <w:bCs/>
          <w:i/>
          <w:iCs/>
          <w:sz w:val="20"/>
          <w:szCs w:val="20"/>
        </w:rPr>
        <w:t xml:space="preserve"> </w:t>
      </w:r>
      <w:r w:rsidRPr="00B004EE">
        <w:rPr>
          <w:rFonts w:ascii="Tahoma" w:hAnsi="Tahoma" w:cs="Tahoma"/>
          <w:b/>
          <w:bCs/>
          <w:i/>
          <w:iCs/>
          <w:sz w:val="20"/>
          <w:szCs w:val="20"/>
        </w:rPr>
        <w:t>complet</w:t>
      </w:r>
    </w:p>
    <w:p w14:paraId="0C99FDC7" w14:textId="478B7F9A" w:rsidR="008105B4" w:rsidRPr="00B004EE" w:rsidRDefault="008105B4" w:rsidP="00B004EE">
      <w:pPr>
        <w:jc w:val="both"/>
        <w:rPr>
          <w:rFonts w:ascii="Tahoma" w:hAnsi="Tahoma" w:cs="Tahoma"/>
          <w:sz w:val="20"/>
          <w:szCs w:val="20"/>
        </w:rPr>
      </w:pP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contrôle</w:t>
      </w:r>
      <w:r w:rsidR="00DB1635" w:rsidRPr="00B004EE">
        <w:rPr>
          <w:rFonts w:ascii="Tahoma" w:hAnsi="Tahoma" w:cs="Tahoma"/>
          <w:sz w:val="20"/>
          <w:szCs w:val="20"/>
        </w:rPr>
        <w:t xml:space="preserve"> </w:t>
      </w:r>
      <w:r w:rsidRPr="00B004EE">
        <w:rPr>
          <w:rFonts w:ascii="Tahoma" w:hAnsi="Tahoma" w:cs="Tahoma"/>
          <w:sz w:val="20"/>
          <w:szCs w:val="20"/>
        </w:rPr>
        <w:t>complet</w:t>
      </w:r>
      <w:r w:rsidR="00DB1635" w:rsidRPr="00B004EE">
        <w:rPr>
          <w:rFonts w:ascii="Tahoma" w:hAnsi="Tahoma" w:cs="Tahoma"/>
          <w:sz w:val="20"/>
          <w:szCs w:val="20"/>
        </w:rPr>
        <w:t xml:space="preserve"> </w:t>
      </w:r>
      <w:r w:rsidRPr="00B004EE">
        <w:rPr>
          <w:rFonts w:ascii="Tahoma" w:hAnsi="Tahoma" w:cs="Tahoma"/>
          <w:sz w:val="20"/>
          <w:szCs w:val="20"/>
        </w:rPr>
        <w:t>a</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but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fournir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informations</w:t>
      </w:r>
      <w:r w:rsidR="00DB1635" w:rsidRPr="00B004EE">
        <w:rPr>
          <w:rFonts w:ascii="Tahoma" w:hAnsi="Tahoma" w:cs="Tahoma"/>
          <w:sz w:val="20"/>
          <w:szCs w:val="20"/>
        </w:rPr>
        <w:t xml:space="preserve"> </w:t>
      </w:r>
      <w:r w:rsidRPr="00B004EE">
        <w:rPr>
          <w:rFonts w:ascii="Tahoma" w:hAnsi="Tahoma" w:cs="Tahoma"/>
          <w:sz w:val="20"/>
          <w:szCs w:val="20"/>
        </w:rPr>
        <w:t>nécessaires</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déterminer</w:t>
      </w:r>
      <w:r w:rsidR="00DB1635" w:rsidRPr="00B004EE">
        <w:rPr>
          <w:rFonts w:ascii="Tahoma" w:hAnsi="Tahoma" w:cs="Tahoma"/>
          <w:sz w:val="20"/>
          <w:szCs w:val="20"/>
        </w:rPr>
        <w:t xml:space="preserve"> </w:t>
      </w:r>
      <w:r w:rsidRPr="00B004EE">
        <w:rPr>
          <w:rFonts w:ascii="Tahoma" w:hAnsi="Tahoma" w:cs="Tahoma"/>
          <w:sz w:val="20"/>
          <w:szCs w:val="20"/>
        </w:rPr>
        <w:t>si</w:t>
      </w:r>
      <w:r w:rsidR="00DB1635" w:rsidRPr="00B004EE">
        <w:rPr>
          <w:rFonts w:ascii="Tahoma" w:hAnsi="Tahoma" w:cs="Tahoma"/>
          <w:sz w:val="20"/>
          <w:szCs w:val="20"/>
        </w:rPr>
        <w:t xml:space="preserve"> </w:t>
      </w:r>
      <w:r w:rsidRPr="00B004EE">
        <w:rPr>
          <w:rFonts w:ascii="Tahoma" w:hAnsi="Tahoma" w:cs="Tahoma"/>
          <w:sz w:val="20"/>
          <w:szCs w:val="20"/>
        </w:rPr>
        <w:t>toutes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limites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qualité</w:t>
      </w:r>
      <w:r w:rsidR="00DB1635" w:rsidRPr="00B004EE">
        <w:rPr>
          <w:rFonts w:ascii="Tahoma" w:hAnsi="Tahoma" w:cs="Tahoma"/>
          <w:sz w:val="20"/>
          <w:szCs w:val="20"/>
        </w:rPr>
        <w:t xml:space="preserve"> </w:t>
      </w:r>
      <w:r w:rsidRPr="00B004EE">
        <w:rPr>
          <w:rFonts w:ascii="Tahoma" w:hAnsi="Tahoma" w:cs="Tahoma"/>
          <w:sz w:val="20"/>
          <w:szCs w:val="20"/>
        </w:rPr>
        <w:t>prévues</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présent</w:t>
      </w:r>
      <w:r w:rsidR="00DB1635" w:rsidRPr="00B004EE">
        <w:rPr>
          <w:rFonts w:ascii="Tahoma" w:hAnsi="Tahoma" w:cs="Tahoma"/>
          <w:sz w:val="20"/>
          <w:szCs w:val="20"/>
        </w:rPr>
        <w:t xml:space="preserve"> </w:t>
      </w:r>
      <w:r w:rsidRPr="00B004EE">
        <w:rPr>
          <w:rFonts w:ascii="Tahoma" w:hAnsi="Tahoma" w:cs="Tahoma"/>
          <w:sz w:val="20"/>
          <w:szCs w:val="20"/>
        </w:rPr>
        <w:t>arrêté</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non</w:t>
      </w:r>
      <w:r w:rsidR="00DB1635" w:rsidRPr="00B004EE">
        <w:rPr>
          <w:rFonts w:ascii="Tahoma" w:hAnsi="Tahoma" w:cs="Tahoma"/>
          <w:sz w:val="20"/>
          <w:szCs w:val="20"/>
        </w:rPr>
        <w:t xml:space="preserve"> </w:t>
      </w:r>
      <w:r w:rsidRPr="00B004EE">
        <w:rPr>
          <w:rFonts w:ascii="Tahoma" w:hAnsi="Tahoma" w:cs="Tahoma"/>
          <w:sz w:val="20"/>
          <w:szCs w:val="20"/>
        </w:rPr>
        <w:t>respectées.</w:t>
      </w:r>
    </w:p>
    <w:p w14:paraId="0AA975BE" w14:textId="1865C82E" w:rsidR="008105B4" w:rsidRPr="00B004EE" w:rsidRDefault="008105B4" w:rsidP="00B004EE">
      <w:pPr>
        <w:jc w:val="both"/>
        <w:rPr>
          <w:rFonts w:ascii="Tahoma" w:hAnsi="Tahoma" w:cs="Tahoma"/>
          <w:sz w:val="20"/>
          <w:szCs w:val="20"/>
        </w:rPr>
      </w:pPr>
      <w:r w:rsidRPr="00B004EE">
        <w:rPr>
          <w:rFonts w:ascii="Tahoma" w:hAnsi="Tahoma" w:cs="Tahoma"/>
          <w:sz w:val="20"/>
          <w:szCs w:val="20"/>
        </w:rPr>
        <w:t>Tous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paramètres</w:t>
      </w:r>
      <w:r w:rsidR="00DB1635" w:rsidRPr="00B004EE">
        <w:rPr>
          <w:rFonts w:ascii="Tahoma" w:hAnsi="Tahoma" w:cs="Tahoma"/>
          <w:sz w:val="20"/>
          <w:szCs w:val="20"/>
        </w:rPr>
        <w:t xml:space="preserve"> </w:t>
      </w:r>
      <w:r w:rsidRPr="00B004EE">
        <w:rPr>
          <w:rFonts w:ascii="Tahoma" w:hAnsi="Tahoma" w:cs="Tahoma"/>
          <w:sz w:val="20"/>
          <w:szCs w:val="20"/>
        </w:rPr>
        <w:t>figurant</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tableaux</w:t>
      </w:r>
      <w:r w:rsidR="00DB1635" w:rsidRPr="00B004EE">
        <w:rPr>
          <w:rFonts w:ascii="Tahoma" w:hAnsi="Tahoma" w:cs="Tahoma"/>
          <w:sz w:val="20"/>
          <w:szCs w:val="20"/>
        </w:rPr>
        <w:t xml:space="preserve"> </w:t>
      </w:r>
      <w:r w:rsidRPr="00B004EE">
        <w:rPr>
          <w:rFonts w:ascii="Tahoma" w:hAnsi="Tahoma" w:cs="Tahoma"/>
          <w:sz w:val="20"/>
          <w:szCs w:val="20"/>
        </w:rPr>
        <w:t>D</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E</w:t>
      </w:r>
      <w:r w:rsidR="00DB1635" w:rsidRPr="00B004EE">
        <w:rPr>
          <w:rFonts w:ascii="Tahoma" w:hAnsi="Tahoma" w:cs="Tahoma"/>
          <w:sz w:val="20"/>
          <w:szCs w:val="20"/>
        </w:rPr>
        <w:t xml:space="preserve"> </w:t>
      </w:r>
      <w:r w:rsidRPr="00B004EE">
        <w:rPr>
          <w:rFonts w:ascii="Tahoma" w:hAnsi="Tahoma" w:cs="Tahoma"/>
          <w:sz w:val="20"/>
          <w:szCs w:val="20"/>
        </w:rPr>
        <w:t>font</w:t>
      </w:r>
      <w:r w:rsidR="00DB1635" w:rsidRPr="00B004EE">
        <w:rPr>
          <w:rFonts w:ascii="Tahoma" w:hAnsi="Tahoma" w:cs="Tahoma"/>
          <w:sz w:val="20"/>
          <w:szCs w:val="20"/>
        </w:rPr>
        <w:t xml:space="preserve"> </w:t>
      </w:r>
      <w:r w:rsidRPr="00B004EE">
        <w:rPr>
          <w:rFonts w:ascii="Tahoma" w:hAnsi="Tahoma" w:cs="Tahoma"/>
          <w:sz w:val="20"/>
          <w:szCs w:val="20"/>
        </w:rPr>
        <w:t>l’objet</w:t>
      </w:r>
      <w:r w:rsidR="00DB1635" w:rsidRPr="00B004EE">
        <w:rPr>
          <w:rFonts w:ascii="Tahoma" w:hAnsi="Tahoma" w:cs="Tahoma"/>
          <w:sz w:val="20"/>
          <w:szCs w:val="20"/>
        </w:rPr>
        <w:t xml:space="preserve"> </w:t>
      </w:r>
      <w:r w:rsidRPr="00B004EE">
        <w:rPr>
          <w:rFonts w:ascii="Tahoma" w:hAnsi="Tahoma" w:cs="Tahoma"/>
          <w:sz w:val="20"/>
          <w:szCs w:val="20"/>
        </w:rPr>
        <w:t>d’un</w:t>
      </w:r>
      <w:r w:rsidR="00DB1635" w:rsidRPr="00B004EE">
        <w:rPr>
          <w:rFonts w:ascii="Tahoma" w:hAnsi="Tahoma" w:cs="Tahoma"/>
          <w:sz w:val="20"/>
          <w:szCs w:val="20"/>
        </w:rPr>
        <w:t xml:space="preserve"> </w:t>
      </w:r>
      <w:r w:rsidRPr="00B004EE">
        <w:rPr>
          <w:rFonts w:ascii="Tahoma" w:hAnsi="Tahoma" w:cs="Tahoma"/>
          <w:sz w:val="20"/>
          <w:szCs w:val="20"/>
        </w:rPr>
        <w:t>contrôle</w:t>
      </w:r>
      <w:r w:rsidR="00DB1635" w:rsidRPr="00B004EE">
        <w:rPr>
          <w:rFonts w:ascii="Tahoma" w:hAnsi="Tahoma" w:cs="Tahoma"/>
          <w:sz w:val="20"/>
          <w:szCs w:val="20"/>
        </w:rPr>
        <w:t xml:space="preserve"> </w:t>
      </w:r>
      <w:r w:rsidRPr="00B004EE">
        <w:rPr>
          <w:rFonts w:ascii="Tahoma" w:hAnsi="Tahoma" w:cs="Tahoma"/>
          <w:sz w:val="20"/>
          <w:szCs w:val="20"/>
        </w:rPr>
        <w:t>complet</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moins</w:t>
      </w:r>
      <w:r w:rsidR="00DB1635" w:rsidRPr="00B004EE">
        <w:rPr>
          <w:rFonts w:ascii="Tahoma" w:hAnsi="Tahoma" w:cs="Tahoma"/>
          <w:sz w:val="20"/>
          <w:szCs w:val="20"/>
        </w:rPr>
        <w:t xml:space="preserve"> </w:t>
      </w:r>
      <w:r w:rsidRPr="00B004EE">
        <w:rPr>
          <w:rFonts w:ascii="Tahoma" w:hAnsi="Tahoma" w:cs="Tahoma"/>
          <w:sz w:val="20"/>
          <w:szCs w:val="20"/>
        </w:rPr>
        <w:t>que</w:t>
      </w:r>
      <w:r w:rsidR="00DB1635" w:rsidRPr="00B004EE">
        <w:rPr>
          <w:rFonts w:ascii="Tahoma" w:hAnsi="Tahoma" w:cs="Tahoma"/>
          <w:sz w:val="20"/>
          <w:szCs w:val="20"/>
        </w:rPr>
        <w:t xml:space="preserve"> </w:t>
      </w:r>
      <w:r w:rsidRPr="00B004EE">
        <w:rPr>
          <w:rFonts w:ascii="Tahoma" w:hAnsi="Tahoma" w:cs="Tahoma"/>
          <w:sz w:val="20"/>
          <w:szCs w:val="20"/>
        </w:rPr>
        <w:t>l’autorité</w:t>
      </w:r>
      <w:r w:rsidR="00DB1635" w:rsidRPr="00B004EE">
        <w:rPr>
          <w:rFonts w:ascii="Tahoma" w:hAnsi="Tahoma" w:cs="Tahoma"/>
          <w:sz w:val="20"/>
          <w:szCs w:val="20"/>
        </w:rPr>
        <w:t xml:space="preserve"> </w:t>
      </w:r>
      <w:r w:rsidRPr="00B004EE">
        <w:rPr>
          <w:rFonts w:ascii="Tahoma" w:hAnsi="Tahoma" w:cs="Tahoma"/>
          <w:sz w:val="20"/>
          <w:szCs w:val="20"/>
        </w:rPr>
        <w:t>compétente</w:t>
      </w:r>
      <w:r w:rsidR="00DB1635" w:rsidRPr="00B004EE">
        <w:rPr>
          <w:rFonts w:ascii="Tahoma" w:hAnsi="Tahoma" w:cs="Tahoma"/>
          <w:sz w:val="20"/>
          <w:szCs w:val="20"/>
        </w:rPr>
        <w:t xml:space="preserve"> </w:t>
      </w:r>
      <w:r w:rsidRPr="00B004EE">
        <w:rPr>
          <w:rFonts w:ascii="Tahoma" w:hAnsi="Tahoma" w:cs="Tahoma"/>
          <w:sz w:val="20"/>
          <w:szCs w:val="20"/>
        </w:rPr>
        <w:t>puisse</w:t>
      </w:r>
      <w:r w:rsidR="00DB1635" w:rsidRPr="00B004EE">
        <w:rPr>
          <w:rFonts w:ascii="Tahoma" w:hAnsi="Tahoma" w:cs="Tahoma"/>
          <w:sz w:val="20"/>
          <w:szCs w:val="20"/>
        </w:rPr>
        <w:t xml:space="preserve"> </w:t>
      </w:r>
      <w:r w:rsidRPr="00B004EE">
        <w:rPr>
          <w:rFonts w:ascii="Tahoma" w:hAnsi="Tahoma" w:cs="Tahoma"/>
          <w:sz w:val="20"/>
          <w:szCs w:val="20"/>
        </w:rPr>
        <w:t>établir</w:t>
      </w:r>
      <w:r w:rsidR="00DB1635" w:rsidRPr="00B004EE">
        <w:rPr>
          <w:rFonts w:ascii="Tahoma" w:hAnsi="Tahoma" w:cs="Tahoma"/>
          <w:sz w:val="20"/>
          <w:szCs w:val="20"/>
        </w:rPr>
        <w:t xml:space="preserve"> </w:t>
      </w:r>
      <w:r w:rsidRPr="00B004EE">
        <w:rPr>
          <w:rFonts w:ascii="Tahoma" w:hAnsi="Tahoma" w:cs="Tahoma"/>
          <w:sz w:val="20"/>
          <w:szCs w:val="20"/>
        </w:rPr>
        <w:t>que,</w:t>
      </w:r>
      <w:r w:rsidR="00DB1635" w:rsidRPr="00B004EE">
        <w:rPr>
          <w:rFonts w:ascii="Tahoma" w:hAnsi="Tahoma" w:cs="Tahoma"/>
          <w:sz w:val="20"/>
          <w:szCs w:val="20"/>
        </w:rPr>
        <w:t xml:space="preserve"> </w:t>
      </w:r>
      <w:r w:rsidRPr="00B004EE">
        <w:rPr>
          <w:rFonts w:ascii="Tahoma" w:hAnsi="Tahoma" w:cs="Tahoma"/>
          <w:sz w:val="20"/>
          <w:szCs w:val="20"/>
        </w:rPr>
        <w:t>pendant</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période</w:t>
      </w:r>
      <w:r w:rsidR="00DB1635" w:rsidRPr="00B004EE">
        <w:rPr>
          <w:rFonts w:ascii="Tahoma" w:hAnsi="Tahoma" w:cs="Tahoma"/>
          <w:sz w:val="20"/>
          <w:szCs w:val="20"/>
        </w:rPr>
        <w:t xml:space="preserve"> </w:t>
      </w:r>
      <w:r w:rsidRPr="00B004EE">
        <w:rPr>
          <w:rFonts w:ascii="Tahoma" w:hAnsi="Tahoma" w:cs="Tahoma"/>
          <w:sz w:val="20"/>
          <w:szCs w:val="20"/>
        </w:rPr>
        <w:t>qu’il</w:t>
      </w:r>
      <w:r w:rsidR="00DB1635" w:rsidRPr="00B004EE">
        <w:rPr>
          <w:rFonts w:ascii="Tahoma" w:hAnsi="Tahoma" w:cs="Tahoma"/>
          <w:sz w:val="20"/>
          <w:szCs w:val="20"/>
        </w:rPr>
        <w:t xml:space="preserve"> </w:t>
      </w:r>
      <w:r w:rsidRPr="00B004EE">
        <w:rPr>
          <w:rFonts w:ascii="Tahoma" w:hAnsi="Tahoma" w:cs="Tahoma"/>
          <w:sz w:val="20"/>
          <w:szCs w:val="20"/>
        </w:rPr>
        <w:t>lui</w:t>
      </w:r>
      <w:r w:rsidR="00DB1635" w:rsidRPr="00B004EE">
        <w:rPr>
          <w:rFonts w:ascii="Tahoma" w:hAnsi="Tahoma" w:cs="Tahoma"/>
          <w:sz w:val="20"/>
          <w:szCs w:val="20"/>
        </w:rPr>
        <w:t xml:space="preserve"> </w:t>
      </w:r>
      <w:r w:rsidRPr="00B004EE">
        <w:rPr>
          <w:rFonts w:ascii="Tahoma" w:hAnsi="Tahoma" w:cs="Tahoma"/>
          <w:sz w:val="20"/>
          <w:szCs w:val="20"/>
        </w:rPr>
        <w:t>appartient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déterminer,</w:t>
      </w:r>
      <w:r w:rsidR="00DB1635" w:rsidRPr="00B004EE">
        <w:rPr>
          <w:rFonts w:ascii="Tahoma" w:hAnsi="Tahoma" w:cs="Tahoma"/>
          <w:sz w:val="20"/>
          <w:szCs w:val="20"/>
        </w:rPr>
        <w:t xml:space="preserve"> </w:t>
      </w: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paramètre</w:t>
      </w:r>
      <w:r w:rsidR="00DB1635" w:rsidRPr="00B004EE">
        <w:rPr>
          <w:rFonts w:ascii="Tahoma" w:hAnsi="Tahoma" w:cs="Tahoma"/>
          <w:sz w:val="20"/>
          <w:szCs w:val="20"/>
        </w:rPr>
        <w:t xml:space="preserve"> </w:t>
      </w:r>
      <w:r w:rsidRPr="00B004EE">
        <w:rPr>
          <w:rFonts w:ascii="Tahoma" w:hAnsi="Tahoma" w:cs="Tahoma"/>
          <w:sz w:val="20"/>
          <w:szCs w:val="20"/>
        </w:rPr>
        <w:t>n’est</w:t>
      </w:r>
      <w:r w:rsidR="00DB1635" w:rsidRPr="00B004EE">
        <w:rPr>
          <w:rFonts w:ascii="Tahoma" w:hAnsi="Tahoma" w:cs="Tahoma"/>
          <w:sz w:val="20"/>
          <w:szCs w:val="20"/>
        </w:rPr>
        <w:t xml:space="preserve"> </w:t>
      </w:r>
      <w:r w:rsidRPr="00B004EE">
        <w:rPr>
          <w:rFonts w:ascii="Tahoma" w:hAnsi="Tahoma" w:cs="Tahoma"/>
          <w:sz w:val="20"/>
          <w:szCs w:val="20"/>
        </w:rPr>
        <w:t>pas</w:t>
      </w:r>
      <w:r w:rsidR="00DB1635" w:rsidRPr="00B004EE">
        <w:rPr>
          <w:rFonts w:ascii="Tahoma" w:hAnsi="Tahoma" w:cs="Tahoma"/>
          <w:sz w:val="20"/>
          <w:szCs w:val="20"/>
        </w:rPr>
        <w:t xml:space="preserve"> </w:t>
      </w:r>
      <w:r w:rsidRPr="00B004EE">
        <w:rPr>
          <w:rFonts w:ascii="Tahoma" w:hAnsi="Tahoma" w:cs="Tahoma"/>
          <w:sz w:val="20"/>
          <w:szCs w:val="20"/>
        </w:rPr>
        <w:t>susceptible</w:t>
      </w:r>
      <w:r w:rsidR="00DB1635" w:rsidRPr="00B004EE">
        <w:rPr>
          <w:rFonts w:ascii="Tahoma" w:hAnsi="Tahoma" w:cs="Tahoma"/>
          <w:sz w:val="20"/>
          <w:szCs w:val="20"/>
        </w:rPr>
        <w:t xml:space="preserve"> </w:t>
      </w:r>
      <w:r w:rsidRPr="00B004EE">
        <w:rPr>
          <w:rFonts w:ascii="Tahoma" w:hAnsi="Tahoma" w:cs="Tahoma"/>
          <w:sz w:val="20"/>
          <w:szCs w:val="20"/>
        </w:rPr>
        <w:t>d’être</w:t>
      </w:r>
      <w:r w:rsidR="00DB1635" w:rsidRPr="00B004EE">
        <w:rPr>
          <w:rFonts w:ascii="Tahoma" w:hAnsi="Tahoma" w:cs="Tahoma"/>
          <w:sz w:val="20"/>
          <w:szCs w:val="20"/>
        </w:rPr>
        <w:t xml:space="preserve"> </w:t>
      </w:r>
      <w:r w:rsidRPr="00B004EE">
        <w:rPr>
          <w:rFonts w:ascii="Tahoma" w:hAnsi="Tahoma" w:cs="Tahoma"/>
          <w:sz w:val="20"/>
          <w:szCs w:val="20"/>
        </w:rPr>
        <w:t>présent</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distribution</w:t>
      </w:r>
      <w:r w:rsidR="00DB1635" w:rsidRPr="00B004EE">
        <w:rPr>
          <w:rFonts w:ascii="Tahoma" w:hAnsi="Tahoma" w:cs="Tahoma"/>
          <w:sz w:val="20"/>
          <w:szCs w:val="20"/>
        </w:rPr>
        <w:t xml:space="preserve"> </w:t>
      </w:r>
      <w:r w:rsidRPr="00B004EE">
        <w:rPr>
          <w:rFonts w:ascii="Tahoma" w:hAnsi="Tahoma" w:cs="Tahoma"/>
          <w:sz w:val="20"/>
          <w:szCs w:val="20"/>
        </w:rPr>
        <w:t>donnée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concentrations</w:t>
      </w:r>
      <w:r w:rsidR="00DB1635" w:rsidRPr="00B004EE">
        <w:rPr>
          <w:rFonts w:ascii="Tahoma" w:hAnsi="Tahoma" w:cs="Tahoma"/>
          <w:sz w:val="20"/>
          <w:szCs w:val="20"/>
        </w:rPr>
        <w:t xml:space="preserve"> </w:t>
      </w:r>
      <w:r w:rsidRPr="00B004EE">
        <w:rPr>
          <w:rFonts w:ascii="Tahoma" w:hAnsi="Tahoma" w:cs="Tahoma"/>
          <w:sz w:val="20"/>
          <w:szCs w:val="20"/>
        </w:rPr>
        <w:t>qui</w:t>
      </w:r>
      <w:r w:rsidR="00DB1635" w:rsidRPr="00B004EE">
        <w:rPr>
          <w:rFonts w:ascii="Tahoma" w:hAnsi="Tahoma" w:cs="Tahoma"/>
          <w:sz w:val="20"/>
          <w:szCs w:val="20"/>
        </w:rPr>
        <w:t xml:space="preserve"> </w:t>
      </w:r>
      <w:r w:rsidRPr="00B004EE">
        <w:rPr>
          <w:rFonts w:ascii="Tahoma" w:hAnsi="Tahoma" w:cs="Tahoma"/>
          <w:sz w:val="20"/>
          <w:szCs w:val="20"/>
        </w:rPr>
        <w:t>pourraient</w:t>
      </w:r>
      <w:r w:rsidR="00DB1635" w:rsidRPr="00B004EE">
        <w:rPr>
          <w:rFonts w:ascii="Tahoma" w:hAnsi="Tahoma" w:cs="Tahoma"/>
          <w:sz w:val="20"/>
          <w:szCs w:val="20"/>
        </w:rPr>
        <w:t xml:space="preserve"> </w:t>
      </w:r>
      <w:r w:rsidRPr="00B004EE">
        <w:rPr>
          <w:rFonts w:ascii="Tahoma" w:hAnsi="Tahoma" w:cs="Tahoma"/>
          <w:sz w:val="20"/>
          <w:szCs w:val="20"/>
        </w:rPr>
        <w:t>compromettre</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respect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limites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qualité</w:t>
      </w:r>
      <w:r w:rsidR="00DB1635" w:rsidRPr="00B004EE">
        <w:rPr>
          <w:rFonts w:ascii="Tahoma" w:hAnsi="Tahoma" w:cs="Tahoma"/>
          <w:sz w:val="20"/>
          <w:szCs w:val="20"/>
        </w:rPr>
        <w:t xml:space="preserve"> </w:t>
      </w:r>
      <w:r w:rsidRPr="00B004EE">
        <w:rPr>
          <w:rFonts w:ascii="Tahoma" w:hAnsi="Tahoma" w:cs="Tahoma"/>
          <w:sz w:val="20"/>
          <w:szCs w:val="20"/>
        </w:rPr>
        <w:t>pertinentes.</w:t>
      </w:r>
    </w:p>
    <w:p w14:paraId="13BD4450" w14:textId="366F04D3" w:rsidR="00DE14A0" w:rsidRPr="00B004EE" w:rsidRDefault="00DE14A0" w:rsidP="00B004EE">
      <w:pPr>
        <w:jc w:val="both"/>
        <w:rPr>
          <w:rFonts w:ascii="Tahoma" w:hAnsi="Tahoma" w:cs="Tahoma"/>
          <w:sz w:val="20"/>
          <w:szCs w:val="20"/>
        </w:rPr>
      </w:pPr>
    </w:p>
    <w:p w14:paraId="5C18F495" w14:textId="0BCEBA43" w:rsidR="00DE14A0" w:rsidRPr="00B004EE" w:rsidRDefault="00DE14A0" w:rsidP="00B004EE">
      <w:pPr>
        <w:jc w:val="both"/>
        <w:rPr>
          <w:rFonts w:ascii="Tahoma" w:hAnsi="Tahoma" w:cs="Tahoma"/>
          <w:sz w:val="20"/>
          <w:szCs w:val="20"/>
        </w:rPr>
      </w:pPr>
    </w:p>
    <w:p w14:paraId="14CC434E" w14:textId="77777777" w:rsidR="00DE14A0" w:rsidRPr="00B004EE" w:rsidRDefault="00DE14A0" w:rsidP="00B004EE">
      <w:pPr>
        <w:jc w:val="both"/>
        <w:rPr>
          <w:rFonts w:ascii="Tahoma" w:hAnsi="Tahoma" w:cs="Tahoma"/>
          <w:sz w:val="20"/>
          <w:szCs w:val="20"/>
        </w:rPr>
      </w:pPr>
    </w:p>
    <w:p w14:paraId="2216A137" w14:textId="77777777" w:rsidR="008105B4" w:rsidRPr="00B004EE" w:rsidRDefault="008105B4" w:rsidP="00B004EE">
      <w:pPr>
        <w:jc w:val="both"/>
        <w:rPr>
          <w:rFonts w:ascii="Tahoma" w:hAnsi="Tahoma" w:cs="Tahoma"/>
          <w:sz w:val="20"/>
          <w:szCs w:val="20"/>
        </w:rPr>
      </w:pPr>
    </w:p>
    <w:p w14:paraId="59336E61" w14:textId="0BCD2EAB" w:rsidR="008105B4" w:rsidRPr="00B004EE" w:rsidRDefault="008105B4" w:rsidP="00B004EE">
      <w:pPr>
        <w:jc w:val="both"/>
        <w:rPr>
          <w:rFonts w:ascii="Tahoma" w:hAnsi="Tahoma" w:cs="Tahoma"/>
          <w:b/>
          <w:bCs/>
          <w:sz w:val="20"/>
          <w:szCs w:val="20"/>
        </w:rPr>
      </w:pPr>
      <w:r w:rsidRPr="00B004EE">
        <w:rPr>
          <w:rFonts w:ascii="Tahoma" w:hAnsi="Tahoma" w:cs="Tahoma"/>
          <w:b/>
          <w:bCs/>
          <w:sz w:val="20"/>
          <w:szCs w:val="20"/>
        </w:rPr>
        <w:t>Tableau</w:t>
      </w:r>
      <w:r w:rsidR="00DB1635" w:rsidRPr="00B004EE">
        <w:rPr>
          <w:rFonts w:ascii="Tahoma" w:hAnsi="Tahoma" w:cs="Tahoma"/>
          <w:b/>
          <w:bCs/>
          <w:sz w:val="20"/>
          <w:szCs w:val="20"/>
        </w:rPr>
        <w:t xml:space="preserve"> </w:t>
      </w:r>
      <w:r w:rsidRPr="00B004EE">
        <w:rPr>
          <w:rFonts w:ascii="Tahoma" w:hAnsi="Tahoma" w:cs="Tahoma"/>
          <w:b/>
          <w:bCs/>
          <w:sz w:val="20"/>
          <w:szCs w:val="20"/>
        </w:rPr>
        <w:t>E</w:t>
      </w:r>
      <w:r w:rsidR="00DB1635" w:rsidRPr="00B004EE">
        <w:rPr>
          <w:rFonts w:ascii="Tahoma" w:hAnsi="Tahoma" w:cs="Tahoma"/>
          <w:b/>
          <w:bCs/>
          <w:sz w:val="20"/>
          <w:szCs w:val="20"/>
        </w:rPr>
        <w:t xml:space="preserve"> </w:t>
      </w:r>
      <w:r w:rsidRPr="00B004EE">
        <w:rPr>
          <w:rFonts w:ascii="Tahoma" w:hAnsi="Tahoma" w:cs="Tahoma"/>
          <w:b/>
          <w:bCs/>
          <w:sz w:val="20"/>
          <w:szCs w:val="20"/>
        </w:rPr>
        <w:t>:</w:t>
      </w:r>
      <w:r w:rsidR="00DB1635" w:rsidRPr="00B004EE">
        <w:rPr>
          <w:rFonts w:ascii="Tahoma" w:hAnsi="Tahoma" w:cs="Tahoma"/>
          <w:b/>
          <w:bCs/>
          <w:sz w:val="20"/>
          <w:szCs w:val="20"/>
        </w:rPr>
        <w:t xml:space="preserve"> </w:t>
      </w:r>
      <w:r w:rsidRPr="00B004EE">
        <w:rPr>
          <w:rFonts w:ascii="Tahoma" w:hAnsi="Tahoma" w:cs="Tahoma"/>
          <w:b/>
          <w:bCs/>
          <w:sz w:val="20"/>
          <w:szCs w:val="20"/>
        </w:rPr>
        <w:t>Paramètres</w:t>
      </w:r>
      <w:r w:rsidR="00DB1635" w:rsidRPr="00B004EE">
        <w:rPr>
          <w:rFonts w:ascii="Tahoma" w:hAnsi="Tahoma" w:cs="Tahoma"/>
          <w:b/>
          <w:bCs/>
          <w:sz w:val="20"/>
          <w:szCs w:val="20"/>
        </w:rPr>
        <w:t xml:space="preserve"> </w:t>
      </w:r>
      <w:r w:rsidRPr="00B004EE">
        <w:rPr>
          <w:rFonts w:ascii="Tahoma" w:hAnsi="Tahoma" w:cs="Tahoma"/>
          <w:b/>
          <w:bCs/>
          <w:sz w:val="20"/>
          <w:szCs w:val="20"/>
        </w:rPr>
        <w:t>complémentaires</w:t>
      </w:r>
      <w:r w:rsidR="00DB1635" w:rsidRPr="00B004EE">
        <w:rPr>
          <w:rFonts w:ascii="Tahoma" w:hAnsi="Tahoma" w:cs="Tahoma"/>
          <w:b/>
          <w:bCs/>
          <w:sz w:val="20"/>
          <w:szCs w:val="20"/>
        </w:rPr>
        <w:t xml:space="preserve"> </w:t>
      </w:r>
      <w:r w:rsidRPr="00B004EE">
        <w:rPr>
          <w:rFonts w:ascii="Tahoma" w:hAnsi="Tahoma" w:cs="Tahoma"/>
          <w:b/>
          <w:bCs/>
          <w:sz w:val="20"/>
          <w:szCs w:val="20"/>
        </w:rPr>
        <w:t>pour</w:t>
      </w:r>
      <w:r w:rsidR="00DB1635" w:rsidRPr="00B004EE">
        <w:rPr>
          <w:rFonts w:ascii="Tahoma" w:hAnsi="Tahoma" w:cs="Tahoma"/>
          <w:b/>
          <w:bCs/>
          <w:sz w:val="20"/>
          <w:szCs w:val="20"/>
        </w:rPr>
        <w:t xml:space="preserve"> </w:t>
      </w:r>
      <w:r w:rsidRPr="00B004EE">
        <w:rPr>
          <w:rFonts w:ascii="Tahoma" w:hAnsi="Tahoma" w:cs="Tahoma"/>
          <w:b/>
          <w:bCs/>
          <w:sz w:val="20"/>
          <w:szCs w:val="20"/>
        </w:rPr>
        <w:t>le</w:t>
      </w:r>
      <w:r w:rsidR="00DB1635" w:rsidRPr="00B004EE">
        <w:rPr>
          <w:rFonts w:ascii="Tahoma" w:hAnsi="Tahoma" w:cs="Tahoma"/>
          <w:b/>
          <w:bCs/>
          <w:sz w:val="20"/>
          <w:szCs w:val="20"/>
        </w:rPr>
        <w:t xml:space="preserve"> </w:t>
      </w:r>
      <w:r w:rsidRPr="00B004EE">
        <w:rPr>
          <w:rFonts w:ascii="Tahoma" w:hAnsi="Tahoma" w:cs="Tahoma"/>
          <w:b/>
          <w:bCs/>
          <w:sz w:val="20"/>
          <w:szCs w:val="20"/>
        </w:rPr>
        <w:t>contrôle</w:t>
      </w:r>
      <w:r w:rsidR="00DB1635" w:rsidRPr="00B004EE">
        <w:rPr>
          <w:rFonts w:ascii="Tahoma" w:hAnsi="Tahoma" w:cs="Tahoma"/>
          <w:b/>
          <w:bCs/>
          <w:sz w:val="20"/>
          <w:szCs w:val="20"/>
        </w:rPr>
        <w:t xml:space="preserve"> </w:t>
      </w:r>
      <w:r w:rsidRPr="00B004EE">
        <w:rPr>
          <w:rFonts w:ascii="Tahoma" w:hAnsi="Tahoma" w:cs="Tahoma"/>
          <w:b/>
          <w:bCs/>
          <w:sz w:val="20"/>
          <w:szCs w:val="20"/>
        </w:rPr>
        <w:t>complet</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9"/>
        <w:gridCol w:w="4934"/>
        <w:gridCol w:w="4235"/>
      </w:tblGrid>
      <w:tr w:rsidR="00150C90" w:rsidRPr="00B004EE" w14:paraId="1F41B7DA" w14:textId="77777777" w:rsidTr="001E7C3C">
        <w:tc>
          <w:tcPr>
            <w:tcW w:w="365" w:type="dxa"/>
          </w:tcPr>
          <w:p w14:paraId="251E704F" w14:textId="77777777" w:rsidR="008105B4" w:rsidRPr="00B004EE" w:rsidRDefault="008105B4" w:rsidP="00B004EE">
            <w:pPr>
              <w:jc w:val="both"/>
              <w:rPr>
                <w:rFonts w:ascii="Tahoma" w:hAnsi="Tahoma" w:cs="Tahoma"/>
                <w:b/>
                <w:bCs/>
                <w:sz w:val="20"/>
                <w:szCs w:val="20"/>
              </w:rPr>
            </w:pPr>
            <w:r w:rsidRPr="00B004EE">
              <w:rPr>
                <w:rFonts w:ascii="Tahoma" w:hAnsi="Tahoma" w:cs="Tahoma"/>
                <w:b/>
                <w:bCs/>
                <w:sz w:val="20"/>
                <w:szCs w:val="20"/>
              </w:rPr>
              <w:t>N°</w:t>
            </w:r>
          </w:p>
        </w:tc>
        <w:tc>
          <w:tcPr>
            <w:tcW w:w="4950" w:type="dxa"/>
          </w:tcPr>
          <w:p w14:paraId="1BC73DD9" w14:textId="77777777" w:rsidR="008105B4" w:rsidRPr="00B004EE" w:rsidRDefault="008105B4" w:rsidP="00B004EE">
            <w:pPr>
              <w:jc w:val="both"/>
              <w:rPr>
                <w:rFonts w:ascii="Tahoma" w:hAnsi="Tahoma" w:cs="Tahoma"/>
                <w:b/>
                <w:bCs/>
                <w:sz w:val="20"/>
                <w:szCs w:val="20"/>
              </w:rPr>
            </w:pPr>
            <w:r w:rsidRPr="00B004EE">
              <w:rPr>
                <w:rFonts w:ascii="Tahoma" w:hAnsi="Tahoma" w:cs="Tahoma"/>
                <w:b/>
                <w:bCs/>
                <w:sz w:val="20"/>
                <w:szCs w:val="20"/>
              </w:rPr>
              <w:t>Paramètre</w:t>
            </w:r>
          </w:p>
        </w:tc>
        <w:tc>
          <w:tcPr>
            <w:tcW w:w="4253" w:type="dxa"/>
          </w:tcPr>
          <w:p w14:paraId="459C7BAF" w14:textId="77777777" w:rsidR="008105B4" w:rsidRPr="00B004EE" w:rsidRDefault="008105B4" w:rsidP="00B004EE">
            <w:pPr>
              <w:pStyle w:val="Titre4"/>
              <w:rPr>
                <w:rFonts w:ascii="Tahoma" w:hAnsi="Tahoma" w:cs="Tahoma"/>
                <w:sz w:val="20"/>
                <w:szCs w:val="20"/>
              </w:rPr>
            </w:pPr>
            <w:r w:rsidRPr="00B004EE">
              <w:rPr>
                <w:rFonts w:ascii="Tahoma" w:hAnsi="Tahoma" w:cs="Tahoma"/>
                <w:sz w:val="20"/>
                <w:szCs w:val="20"/>
              </w:rPr>
              <w:t>Note</w:t>
            </w:r>
          </w:p>
        </w:tc>
      </w:tr>
      <w:tr w:rsidR="00150C90" w:rsidRPr="00B004EE" w14:paraId="65E60E35" w14:textId="77777777" w:rsidTr="001E7C3C">
        <w:tc>
          <w:tcPr>
            <w:tcW w:w="365" w:type="dxa"/>
          </w:tcPr>
          <w:p w14:paraId="3736E06A" w14:textId="77777777" w:rsidR="008105B4" w:rsidRPr="00B004EE" w:rsidRDefault="008105B4" w:rsidP="00B004EE">
            <w:pPr>
              <w:jc w:val="both"/>
              <w:rPr>
                <w:rFonts w:ascii="Tahoma" w:hAnsi="Tahoma" w:cs="Tahoma"/>
                <w:sz w:val="20"/>
                <w:szCs w:val="20"/>
              </w:rPr>
            </w:pPr>
          </w:p>
        </w:tc>
        <w:tc>
          <w:tcPr>
            <w:tcW w:w="4950" w:type="dxa"/>
          </w:tcPr>
          <w:p w14:paraId="4F4C2184" w14:textId="77777777" w:rsidR="008105B4" w:rsidRPr="00B004EE" w:rsidRDefault="008105B4" w:rsidP="00B004EE">
            <w:pPr>
              <w:jc w:val="both"/>
              <w:rPr>
                <w:rFonts w:ascii="Tahoma" w:hAnsi="Tahoma" w:cs="Tahoma"/>
                <w:sz w:val="20"/>
                <w:szCs w:val="20"/>
              </w:rPr>
            </w:pPr>
            <w:r w:rsidRPr="00B004EE">
              <w:rPr>
                <w:rFonts w:ascii="Tahoma" w:hAnsi="Tahoma" w:cs="Tahoma"/>
                <w:sz w:val="20"/>
                <w:szCs w:val="20"/>
              </w:rPr>
              <w:t>Acrylamide</w:t>
            </w:r>
          </w:p>
        </w:tc>
        <w:tc>
          <w:tcPr>
            <w:tcW w:w="4253" w:type="dxa"/>
          </w:tcPr>
          <w:p w14:paraId="36AEAB15" w14:textId="39C46081" w:rsidR="008105B4" w:rsidRPr="00B004EE" w:rsidRDefault="008105B4" w:rsidP="00B004EE">
            <w:pPr>
              <w:jc w:val="both"/>
              <w:rPr>
                <w:rFonts w:ascii="Tahoma" w:hAnsi="Tahoma" w:cs="Tahoma"/>
                <w:sz w:val="20"/>
                <w:szCs w:val="20"/>
              </w:rPr>
            </w:pPr>
            <w:r w:rsidRPr="00B004EE">
              <w:rPr>
                <w:rFonts w:ascii="Tahoma" w:hAnsi="Tahoma" w:cs="Tahoma"/>
                <w:sz w:val="20"/>
                <w:szCs w:val="20"/>
              </w:rPr>
              <w:t>Note</w:t>
            </w:r>
            <w:r w:rsidR="00DB1635" w:rsidRPr="00B004EE">
              <w:rPr>
                <w:rFonts w:ascii="Tahoma" w:hAnsi="Tahoma" w:cs="Tahoma"/>
                <w:sz w:val="20"/>
                <w:szCs w:val="20"/>
              </w:rPr>
              <w:t xml:space="preserve"> </w:t>
            </w:r>
            <w:r w:rsidRPr="00B004EE">
              <w:rPr>
                <w:rFonts w:ascii="Tahoma" w:hAnsi="Tahoma" w:cs="Tahoma"/>
                <w:sz w:val="20"/>
                <w:szCs w:val="20"/>
              </w:rPr>
              <w:t>1</w:t>
            </w:r>
          </w:p>
        </w:tc>
      </w:tr>
      <w:tr w:rsidR="00150C90" w:rsidRPr="00B004EE" w14:paraId="141EE799" w14:textId="77777777" w:rsidTr="001E7C3C">
        <w:tc>
          <w:tcPr>
            <w:tcW w:w="365" w:type="dxa"/>
          </w:tcPr>
          <w:p w14:paraId="45BBEF54" w14:textId="77777777" w:rsidR="008105B4" w:rsidRPr="00B004EE" w:rsidRDefault="008105B4" w:rsidP="00B004EE">
            <w:pPr>
              <w:jc w:val="both"/>
              <w:rPr>
                <w:rFonts w:ascii="Tahoma" w:hAnsi="Tahoma" w:cs="Tahoma"/>
                <w:i/>
                <w:iCs/>
                <w:sz w:val="20"/>
                <w:szCs w:val="20"/>
              </w:rPr>
            </w:pPr>
          </w:p>
        </w:tc>
        <w:tc>
          <w:tcPr>
            <w:tcW w:w="4950" w:type="dxa"/>
          </w:tcPr>
          <w:p w14:paraId="55D94ED1" w14:textId="77777777" w:rsidR="008105B4" w:rsidRPr="00B004EE" w:rsidRDefault="008105B4" w:rsidP="00B004EE">
            <w:pPr>
              <w:jc w:val="both"/>
              <w:rPr>
                <w:rFonts w:ascii="Tahoma" w:hAnsi="Tahoma" w:cs="Tahoma"/>
                <w:sz w:val="20"/>
                <w:szCs w:val="20"/>
              </w:rPr>
            </w:pPr>
            <w:r w:rsidRPr="00B004EE">
              <w:rPr>
                <w:rFonts w:ascii="Tahoma" w:hAnsi="Tahoma" w:cs="Tahoma"/>
                <w:sz w:val="20"/>
                <w:szCs w:val="20"/>
              </w:rPr>
              <w:t>Arsenic</w:t>
            </w:r>
          </w:p>
        </w:tc>
        <w:tc>
          <w:tcPr>
            <w:tcW w:w="4253" w:type="dxa"/>
          </w:tcPr>
          <w:p w14:paraId="0CB197F2" w14:textId="32010978" w:rsidR="008105B4" w:rsidRPr="00B004EE" w:rsidRDefault="008105B4" w:rsidP="00B004EE">
            <w:pPr>
              <w:jc w:val="both"/>
              <w:rPr>
                <w:rFonts w:ascii="Tahoma" w:hAnsi="Tahoma" w:cs="Tahoma"/>
                <w:sz w:val="20"/>
                <w:szCs w:val="20"/>
              </w:rPr>
            </w:pPr>
            <w:r w:rsidRPr="00B004EE">
              <w:rPr>
                <w:rFonts w:ascii="Tahoma" w:hAnsi="Tahoma" w:cs="Tahoma"/>
                <w:sz w:val="20"/>
                <w:szCs w:val="20"/>
              </w:rPr>
              <w:t>Note</w:t>
            </w:r>
            <w:r w:rsidR="00DB1635" w:rsidRPr="00B004EE">
              <w:rPr>
                <w:rFonts w:ascii="Tahoma" w:hAnsi="Tahoma" w:cs="Tahoma"/>
                <w:sz w:val="20"/>
                <w:szCs w:val="20"/>
              </w:rPr>
              <w:t xml:space="preserve"> </w:t>
            </w:r>
            <w:r w:rsidRPr="00B004EE">
              <w:rPr>
                <w:rFonts w:ascii="Tahoma" w:hAnsi="Tahoma" w:cs="Tahoma"/>
                <w:sz w:val="20"/>
                <w:szCs w:val="20"/>
              </w:rPr>
              <w:t>2</w:t>
            </w:r>
          </w:p>
        </w:tc>
      </w:tr>
      <w:tr w:rsidR="00150C90" w:rsidRPr="00B004EE" w14:paraId="26726F3B" w14:textId="77777777" w:rsidTr="001E7C3C">
        <w:tc>
          <w:tcPr>
            <w:tcW w:w="365" w:type="dxa"/>
          </w:tcPr>
          <w:p w14:paraId="00A79368" w14:textId="77777777" w:rsidR="008105B4" w:rsidRPr="00B004EE" w:rsidRDefault="008105B4" w:rsidP="00B004EE">
            <w:pPr>
              <w:jc w:val="both"/>
              <w:rPr>
                <w:rFonts w:ascii="Tahoma" w:hAnsi="Tahoma" w:cs="Tahoma"/>
                <w:sz w:val="20"/>
                <w:szCs w:val="20"/>
              </w:rPr>
            </w:pPr>
          </w:p>
        </w:tc>
        <w:tc>
          <w:tcPr>
            <w:tcW w:w="4950" w:type="dxa"/>
          </w:tcPr>
          <w:p w14:paraId="37CEA073" w14:textId="77777777" w:rsidR="008105B4" w:rsidRPr="00B004EE" w:rsidRDefault="008105B4" w:rsidP="00B004EE">
            <w:pPr>
              <w:jc w:val="both"/>
              <w:rPr>
                <w:rFonts w:ascii="Tahoma" w:hAnsi="Tahoma" w:cs="Tahoma"/>
                <w:sz w:val="20"/>
                <w:szCs w:val="20"/>
              </w:rPr>
            </w:pPr>
            <w:r w:rsidRPr="00B004EE">
              <w:rPr>
                <w:rFonts w:ascii="Tahoma" w:hAnsi="Tahoma" w:cs="Tahoma"/>
                <w:sz w:val="20"/>
                <w:szCs w:val="20"/>
              </w:rPr>
              <w:t>Benzène</w:t>
            </w:r>
          </w:p>
        </w:tc>
        <w:tc>
          <w:tcPr>
            <w:tcW w:w="4253" w:type="dxa"/>
          </w:tcPr>
          <w:p w14:paraId="0CEE20F1" w14:textId="77777777" w:rsidR="008105B4" w:rsidRPr="00B004EE" w:rsidRDefault="008105B4" w:rsidP="00B004EE">
            <w:pPr>
              <w:jc w:val="both"/>
              <w:rPr>
                <w:rFonts w:ascii="Tahoma" w:hAnsi="Tahoma" w:cs="Tahoma"/>
                <w:sz w:val="20"/>
                <w:szCs w:val="20"/>
              </w:rPr>
            </w:pPr>
          </w:p>
        </w:tc>
      </w:tr>
      <w:tr w:rsidR="00150C90" w:rsidRPr="00B004EE" w14:paraId="3C88358F" w14:textId="77777777" w:rsidTr="001E7C3C">
        <w:tc>
          <w:tcPr>
            <w:tcW w:w="365" w:type="dxa"/>
          </w:tcPr>
          <w:p w14:paraId="0F21EE52" w14:textId="77777777" w:rsidR="008105B4" w:rsidRPr="00B004EE" w:rsidRDefault="008105B4" w:rsidP="00B004EE">
            <w:pPr>
              <w:jc w:val="both"/>
              <w:rPr>
                <w:rFonts w:ascii="Tahoma" w:hAnsi="Tahoma" w:cs="Tahoma"/>
                <w:sz w:val="20"/>
                <w:szCs w:val="20"/>
              </w:rPr>
            </w:pPr>
          </w:p>
        </w:tc>
        <w:tc>
          <w:tcPr>
            <w:tcW w:w="4950" w:type="dxa"/>
          </w:tcPr>
          <w:p w14:paraId="23C088FF" w14:textId="77777777" w:rsidR="008105B4" w:rsidRPr="00B004EE" w:rsidRDefault="008105B4" w:rsidP="00B004EE">
            <w:pPr>
              <w:jc w:val="both"/>
              <w:rPr>
                <w:rFonts w:ascii="Tahoma" w:hAnsi="Tahoma" w:cs="Tahoma"/>
                <w:sz w:val="20"/>
                <w:szCs w:val="20"/>
              </w:rPr>
            </w:pPr>
            <w:r w:rsidRPr="00B004EE">
              <w:rPr>
                <w:rFonts w:ascii="Tahoma" w:hAnsi="Tahoma" w:cs="Tahoma"/>
                <w:sz w:val="20"/>
                <w:szCs w:val="20"/>
              </w:rPr>
              <w:t>Bore</w:t>
            </w:r>
          </w:p>
        </w:tc>
        <w:tc>
          <w:tcPr>
            <w:tcW w:w="4253" w:type="dxa"/>
          </w:tcPr>
          <w:p w14:paraId="2C5463DF" w14:textId="4638C7F0" w:rsidR="008105B4" w:rsidRPr="00B004EE" w:rsidRDefault="008105B4" w:rsidP="00B004EE">
            <w:pPr>
              <w:jc w:val="both"/>
              <w:rPr>
                <w:rFonts w:ascii="Tahoma" w:hAnsi="Tahoma" w:cs="Tahoma"/>
                <w:sz w:val="20"/>
                <w:szCs w:val="20"/>
              </w:rPr>
            </w:pPr>
            <w:r w:rsidRPr="00B004EE">
              <w:rPr>
                <w:rFonts w:ascii="Tahoma" w:hAnsi="Tahoma" w:cs="Tahoma"/>
                <w:sz w:val="20"/>
                <w:szCs w:val="20"/>
              </w:rPr>
              <w:t>Note</w:t>
            </w:r>
            <w:r w:rsidR="00DB1635" w:rsidRPr="00B004EE">
              <w:rPr>
                <w:rFonts w:ascii="Tahoma" w:hAnsi="Tahoma" w:cs="Tahoma"/>
                <w:sz w:val="20"/>
                <w:szCs w:val="20"/>
              </w:rPr>
              <w:t xml:space="preserve"> </w:t>
            </w:r>
            <w:r w:rsidRPr="00B004EE">
              <w:rPr>
                <w:rFonts w:ascii="Tahoma" w:hAnsi="Tahoma" w:cs="Tahoma"/>
                <w:sz w:val="20"/>
                <w:szCs w:val="20"/>
              </w:rPr>
              <w:t>2</w:t>
            </w:r>
          </w:p>
        </w:tc>
      </w:tr>
      <w:tr w:rsidR="00150C90" w:rsidRPr="00B004EE" w14:paraId="071B36AF" w14:textId="77777777" w:rsidTr="001E7C3C">
        <w:tc>
          <w:tcPr>
            <w:tcW w:w="365" w:type="dxa"/>
          </w:tcPr>
          <w:p w14:paraId="507B76BB" w14:textId="77777777" w:rsidR="008105B4" w:rsidRPr="00B004EE" w:rsidRDefault="008105B4" w:rsidP="00B004EE">
            <w:pPr>
              <w:jc w:val="both"/>
              <w:rPr>
                <w:rFonts w:ascii="Tahoma" w:hAnsi="Tahoma" w:cs="Tahoma"/>
                <w:sz w:val="20"/>
                <w:szCs w:val="20"/>
              </w:rPr>
            </w:pPr>
          </w:p>
        </w:tc>
        <w:tc>
          <w:tcPr>
            <w:tcW w:w="4950" w:type="dxa"/>
          </w:tcPr>
          <w:p w14:paraId="2B86BE39" w14:textId="77777777" w:rsidR="008105B4" w:rsidRPr="00B004EE" w:rsidRDefault="008105B4" w:rsidP="00B004EE">
            <w:pPr>
              <w:jc w:val="both"/>
              <w:rPr>
                <w:rFonts w:ascii="Tahoma" w:hAnsi="Tahoma" w:cs="Tahoma"/>
                <w:sz w:val="20"/>
                <w:szCs w:val="20"/>
              </w:rPr>
            </w:pPr>
            <w:r w:rsidRPr="00B004EE">
              <w:rPr>
                <w:rFonts w:ascii="Tahoma" w:hAnsi="Tahoma" w:cs="Tahoma"/>
                <w:sz w:val="20"/>
                <w:szCs w:val="20"/>
              </w:rPr>
              <w:t>Bromates</w:t>
            </w:r>
          </w:p>
        </w:tc>
        <w:tc>
          <w:tcPr>
            <w:tcW w:w="4253" w:type="dxa"/>
          </w:tcPr>
          <w:p w14:paraId="6B3C65D3" w14:textId="3F04A499" w:rsidR="008105B4" w:rsidRPr="00B004EE" w:rsidRDefault="008105B4" w:rsidP="00B004EE">
            <w:pPr>
              <w:jc w:val="both"/>
              <w:rPr>
                <w:rFonts w:ascii="Tahoma" w:hAnsi="Tahoma" w:cs="Tahoma"/>
                <w:sz w:val="20"/>
                <w:szCs w:val="20"/>
              </w:rPr>
            </w:pPr>
            <w:r w:rsidRPr="00B004EE">
              <w:rPr>
                <w:rFonts w:ascii="Tahoma" w:hAnsi="Tahoma" w:cs="Tahoma"/>
                <w:sz w:val="20"/>
                <w:szCs w:val="20"/>
              </w:rPr>
              <w:t>Note</w:t>
            </w:r>
            <w:r w:rsidR="00DB1635" w:rsidRPr="00B004EE">
              <w:rPr>
                <w:rFonts w:ascii="Tahoma" w:hAnsi="Tahoma" w:cs="Tahoma"/>
                <w:sz w:val="20"/>
                <w:szCs w:val="20"/>
              </w:rPr>
              <w:t xml:space="preserve"> </w:t>
            </w:r>
            <w:r w:rsidRPr="00B004EE">
              <w:rPr>
                <w:rFonts w:ascii="Tahoma" w:hAnsi="Tahoma" w:cs="Tahoma"/>
                <w:sz w:val="20"/>
                <w:szCs w:val="20"/>
              </w:rPr>
              <w:t>3</w:t>
            </w:r>
          </w:p>
        </w:tc>
      </w:tr>
      <w:tr w:rsidR="00150C90" w:rsidRPr="00B004EE" w14:paraId="2BD341B6" w14:textId="77777777" w:rsidTr="001E7C3C">
        <w:tc>
          <w:tcPr>
            <w:tcW w:w="365" w:type="dxa"/>
          </w:tcPr>
          <w:p w14:paraId="3A0D81C2" w14:textId="77777777" w:rsidR="008105B4" w:rsidRPr="00B004EE" w:rsidRDefault="008105B4" w:rsidP="00B004EE">
            <w:pPr>
              <w:jc w:val="both"/>
              <w:rPr>
                <w:rFonts w:ascii="Tahoma" w:hAnsi="Tahoma" w:cs="Tahoma"/>
                <w:sz w:val="20"/>
                <w:szCs w:val="20"/>
              </w:rPr>
            </w:pPr>
          </w:p>
        </w:tc>
        <w:tc>
          <w:tcPr>
            <w:tcW w:w="4950" w:type="dxa"/>
          </w:tcPr>
          <w:p w14:paraId="3337D36F" w14:textId="77777777" w:rsidR="008105B4" w:rsidRPr="00B004EE" w:rsidRDefault="008105B4" w:rsidP="00B004EE">
            <w:pPr>
              <w:jc w:val="both"/>
              <w:rPr>
                <w:rFonts w:ascii="Tahoma" w:hAnsi="Tahoma" w:cs="Tahoma"/>
                <w:sz w:val="20"/>
                <w:szCs w:val="20"/>
              </w:rPr>
            </w:pPr>
            <w:r w:rsidRPr="00B004EE">
              <w:rPr>
                <w:rFonts w:ascii="Tahoma" w:hAnsi="Tahoma" w:cs="Tahoma"/>
                <w:sz w:val="20"/>
                <w:szCs w:val="20"/>
              </w:rPr>
              <w:t>Chlorites</w:t>
            </w:r>
          </w:p>
        </w:tc>
        <w:tc>
          <w:tcPr>
            <w:tcW w:w="4253" w:type="dxa"/>
          </w:tcPr>
          <w:p w14:paraId="7FB708A3" w14:textId="09CF5660" w:rsidR="008105B4" w:rsidRPr="00B004EE" w:rsidRDefault="008105B4" w:rsidP="00B004EE">
            <w:pPr>
              <w:jc w:val="both"/>
              <w:rPr>
                <w:rFonts w:ascii="Tahoma" w:hAnsi="Tahoma" w:cs="Tahoma"/>
                <w:sz w:val="20"/>
                <w:szCs w:val="20"/>
              </w:rPr>
            </w:pPr>
            <w:r w:rsidRPr="00B004EE">
              <w:rPr>
                <w:rFonts w:ascii="Tahoma" w:hAnsi="Tahoma" w:cs="Tahoma"/>
                <w:sz w:val="20"/>
                <w:szCs w:val="20"/>
              </w:rPr>
              <w:t>Note</w:t>
            </w:r>
            <w:r w:rsidR="00DB1635" w:rsidRPr="00B004EE">
              <w:rPr>
                <w:rFonts w:ascii="Tahoma" w:hAnsi="Tahoma" w:cs="Tahoma"/>
                <w:sz w:val="20"/>
                <w:szCs w:val="20"/>
              </w:rPr>
              <w:t xml:space="preserve"> </w:t>
            </w:r>
            <w:r w:rsidRPr="00B004EE">
              <w:rPr>
                <w:rFonts w:ascii="Tahoma" w:hAnsi="Tahoma" w:cs="Tahoma"/>
                <w:sz w:val="20"/>
                <w:szCs w:val="20"/>
              </w:rPr>
              <w:t>4</w:t>
            </w:r>
          </w:p>
        </w:tc>
      </w:tr>
      <w:tr w:rsidR="00150C90" w:rsidRPr="00B004EE" w14:paraId="0ADDD603" w14:textId="77777777" w:rsidTr="001E7C3C">
        <w:tc>
          <w:tcPr>
            <w:tcW w:w="365" w:type="dxa"/>
          </w:tcPr>
          <w:p w14:paraId="628CBD8E" w14:textId="77777777" w:rsidR="008105B4" w:rsidRPr="00B004EE" w:rsidRDefault="008105B4" w:rsidP="00B004EE">
            <w:pPr>
              <w:jc w:val="both"/>
              <w:rPr>
                <w:rFonts w:ascii="Tahoma" w:hAnsi="Tahoma" w:cs="Tahoma"/>
                <w:sz w:val="20"/>
                <w:szCs w:val="20"/>
              </w:rPr>
            </w:pPr>
          </w:p>
        </w:tc>
        <w:tc>
          <w:tcPr>
            <w:tcW w:w="4950" w:type="dxa"/>
          </w:tcPr>
          <w:p w14:paraId="4C50D3A4" w14:textId="77777777" w:rsidR="008105B4" w:rsidRPr="00B004EE" w:rsidRDefault="008105B4" w:rsidP="00B004EE">
            <w:pPr>
              <w:jc w:val="both"/>
              <w:rPr>
                <w:rFonts w:ascii="Tahoma" w:hAnsi="Tahoma" w:cs="Tahoma"/>
                <w:sz w:val="20"/>
                <w:szCs w:val="20"/>
              </w:rPr>
            </w:pPr>
            <w:r w:rsidRPr="00B004EE">
              <w:rPr>
                <w:rFonts w:ascii="Tahoma" w:hAnsi="Tahoma" w:cs="Tahoma"/>
                <w:sz w:val="20"/>
                <w:szCs w:val="20"/>
              </w:rPr>
              <w:t>Cyanures</w:t>
            </w:r>
          </w:p>
        </w:tc>
        <w:tc>
          <w:tcPr>
            <w:tcW w:w="4253" w:type="dxa"/>
          </w:tcPr>
          <w:p w14:paraId="53D4195D" w14:textId="6B8EBA92" w:rsidR="008105B4" w:rsidRPr="00B004EE" w:rsidRDefault="008105B4" w:rsidP="00B004EE">
            <w:pPr>
              <w:jc w:val="both"/>
              <w:rPr>
                <w:rFonts w:ascii="Tahoma" w:hAnsi="Tahoma" w:cs="Tahoma"/>
                <w:sz w:val="20"/>
                <w:szCs w:val="20"/>
              </w:rPr>
            </w:pPr>
            <w:r w:rsidRPr="00B004EE">
              <w:rPr>
                <w:rFonts w:ascii="Tahoma" w:hAnsi="Tahoma" w:cs="Tahoma"/>
                <w:sz w:val="20"/>
                <w:szCs w:val="20"/>
              </w:rPr>
              <w:t>Note</w:t>
            </w:r>
            <w:r w:rsidR="00DB1635" w:rsidRPr="00B004EE">
              <w:rPr>
                <w:rFonts w:ascii="Tahoma" w:hAnsi="Tahoma" w:cs="Tahoma"/>
                <w:sz w:val="20"/>
                <w:szCs w:val="20"/>
              </w:rPr>
              <w:t xml:space="preserve"> </w:t>
            </w:r>
            <w:r w:rsidRPr="00B004EE">
              <w:rPr>
                <w:rFonts w:ascii="Tahoma" w:hAnsi="Tahoma" w:cs="Tahoma"/>
                <w:sz w:val="20"/>
                <w:szCs w:val="20"/>
              </w:rPr>
              <w:t>2</w:t>
            </w:r>
          </w:p>
        </w:tc>
      </w:tr>
      <w:tr w:rsidR="00150C90" w:rsidRPr="00B004EE" w14:paraId="6DCE6FA1" w14:textId="77777777" w:rsidTr="001E7C3C">
        <w:tc>
          <w:tcPr>
            <w:tcW w:w="365" w:type="dxa"/>
          </w:tcPr>
          <w:p w14:paraId="7B67E0AA" w14:textId="77777777" w:rsidR="008105B4" w:rsidRPr="00B004EE" w:rsidRDefault="008105B4" w:rsidP="00B004EE">
            <w:pPr>
              <w:jc w:val="both"/>
              <w:rPr>
                <w:rFonts w:ascii="Tahoma" w:hAnsi="Tahoma" w:cs="Tahoma"/>
                <w:sz w:val="20"/>
                <w:szCs w:val="20"/>
              </w:rPr>
            </w:pPr>
          </w:p>
        </w:tc>
        <w:tc>
          <w:tcPr>
            <w:tcW w:w="4950" w:type="dxa"/>
          </w:tcPr>
          <w:p w14:paraId="5B22E712" w14:textId="77777777" w:rsidR="008105B4" w:rsidRPr="00B004EE" w:rsidRDefault="008105B4" w:rsidP="00B004EE">
            <w:pPr>
              <w:jc w:val="both"/>
              <w:rPr>
                <w:rFonts w:ascii="Tahoma" w:hAnsi="Tahoma" w:cs="Tahoma"/>
                <w:sz w:val="20"/>
                <w:szCs w:val="20"/>
              </w:rPr>
            </w:pPr>
            <w:r w:rsidRPr="00B004EE">
              <w:rPr>
                <w:rFonts w:ascii="Tahoma" w:hAnsi="Tahoma" w:cs="Tahoma"/>
                <w:sz w:val="20"/>
                <w:szCs w:val="20"/>
              </w:rPr>
              <w:t>1,2-dichloroéthane</w:t>
            </w:r>
          </w:p>
        </w:tc>
        <w:tc>
          <w:tcPr>
            <w:tcW w:w="4253" w:type="dxa"/>
          </w:tcPr>
          <w:p w14:paraId="65078D8E" w14:textId="77777777" w:rsidR="008105B4" w:rsidRPr="00B004EE" w:rsidRDefault="008105B4" w:rsidP="00B004EE">
            <w:pPr>
              <w:jc w:val="both"/>
              <w:rPr>
                <w:rFonts w:ascii="Tahoma" w:hAnsi="Tahoma" w:cs="Tahoma"/>
                <w:sz w:val="20"/>
                <w:szCs w:val="20"/>
              </w:rPr>
            </w:pPr>
          </w:p>
        </w:tc>
      </w:tr>
      <w:tr w:rsidR="00150C90" w:rsidRPr="00B004EE" w14:paraId="4A627C01" w14:textId="77777777" w:rsidTr="001E7C3C">
        <w:tc>
          <w:tcPr>
            <w:tcW w:w="365" w:type="dxa"/>
          </w:tcPr>
          <w:p w14:paraId="239D54AC" w14:textId="77777777" w:rsidR="008105B4" w:rsidRPr="00B004EE" w:rsidRDefault="008105B4" w:rsidP="00B004EE">
            <w:pPr>
              <w:jc w:val="both"/>
              <w:rPr>
                <w:rFonts w:ascii="Tahoma" w:hAnsi="Tahoma" w:cs="Tahoma"/>
                <w:sz w:val="20"/>
                <w:szCs w:val="20"/>
              </w:rPr>
            </w:pPr>
          </w:p>
        </w:tc>
        <w:tc>
          <w:tcPr>
            <w:tcW w:w="4950" w:type="dxa"/>
          </w:tcPr>
          <w:p w14:paraId="65C61496" w14:textId="77777777" w:rsidR="008105B4" w:rsidRPr="00B004EE" w:rsidRDefault="008105B4" w:rsidP="00B004EE">
            <w:pPr>
              <w:jc w:val="both"/>
              <w:rPr>
                <w:rFonts w:ascii="Tahoma" w:hAnsi="Tahoma" w:cs="Tahoma"/>
                <w:sz w:val="20"/>
                <w:szCs w:val="20"/>
                <w:lang w:val="en-GB"/>
              </w:rPr>
            </w:pPr>
            <w:r w:rsidRPr="00B004EE">
              <w:rPr>
                <w:rFonts w:ascii="Tahoma" w:hAnsi="Tahoma" w:cs="Tahoma"/>
                <w:sz w:val="20"/>
                <w:szCs w:val="20"/>
                <w:lang w:val="en-GB"/>
              </w:rPr>
              <w:t>Epichlorhydrine</w:t>
            </w:r>
          </w:p>
        </w:tc>
        <w:tc>
          <w:tcPr>
            <w:tcW w:w="4253" w:type="dxa"/>
          </w:tcPr>
          <w:p w14:paraId="7B10B0FB" w14:textId="3817967C" w:rsidR="008105B4" w:rsidRPr="00B004EE" w:rsidRDefault="008105B4" w:rsidP="00B004EE">
            <w:pPr>
              <w:jc w:val="both"/>
              <w:rPr>
                <w:rFonts w:ascii="Tahoma" w:hAnsi="Tahoma" w:cs="Tahoma"/>
                <w:sz w:val="20"/>
                <w:szCs w:val="20"/>
                <w:lang w:val="en-GB"/>
              </w:rPr>
            </w:pPr>
            <w:r w:rsidRPr="00B004EE">
              <w:rPr>
                <w:rFonts w:ascii="Tahoma" w:hAnsi="Tahoma" w:cs="Tahoma"/>
                <w:sz w:val="20"/>
                <w:szCs w:val="20"/>
                <w:lang w:val="en-GB"/>
              </w:rPr>
              <w:t>Note</w:t>
            </w:r>
            <w:r w:rsidR="00DB1635" w:rsidRPr="00B004EE">
              <w:rPr>
                <w:rFonts w:ascii="Tahoma" w:hAnsi="Tahoma" w:cs="Tahoma"/>
                <w:sz w:val="20"/>
                <w:szCs w:val="20"/>
                <w:lang w:val="en-GB"/>
              </w:rPr>
              <w:t xml:space="preserve"> </w:t>
            </w:r>
            <w:r w:rsidRPr="00B004EE">
              <w:rPr>
                <w:rFonts w:ascii="Tahoma" w:hAnsi="Tahoma" w:cs="Tahoma"/>
                <w:sz w:val="20"/>
                <w:szCs w:val="20"/>
                <w:lang w:val="en-GB"/>
              </w:rPr>
              <w:t>1</w:t>
            </w:r>
          </w:p>
        </w:tc>
      </w:tr>
      <w:tr w:rsidR="00150C90" w:rsidRPr="00B004EE" w14:paraId="2915B432" w14:textId="77777777" w:rsidTr="001E7C3C">
        <w:tc>
          <w:tcPr>
            <w:tcW w:w="365" w:type="dxa"/>
          </w:tcPr>
          <w:p w14:paraId="3F3BFEB7" w14:textId="77777777" w:rsidR="008105B4" w:rsidRPr="00B004EE" w:rsidRDefault="008105B4" w:rsidP="00B004EE">
            <w:pPr>
              <w:jc w:val="both"/>
              <w:rPr>
                <w:rFonts w:ascii="Tahoma" w:hAnsi="Tahoma" w:cs="Tahoma"/>
                <w:sz w:val="20"/>
                <w:szCs w:val="20"/>
                <w:lang w:val="en-GB"/>
              </w:rPr>
            </w:pPr>
          </w:p>
        </w:tc>
        <w:tc>
          <w:tcPr>
            <w:tcW w:w="4950" w:type="dxa"/>
          </w:tcPr>
          <w:p w14:paraId="7BA78FD6" w14:textId="77777777" w:rsidR="008105B4" w:rsidRPr="00B004EE" w:rsidRDefault="008105B4" w:rsidP="00B004EE">
            <w:pPr>
              <w:jc w:val="both"/>
              <w:rPr>
                <w:rFonts w:ascii="Tahoma" w:hAnsi="Tahoma" w:cs="Tahoma"/>
                <w:sz w:val="20"/>
                <w:szCs w:val="20"/>
              </w:rPr>
            </w:pPr>
            <w:r w:rsidRPr="00B004EE">
              <w:rPr>
                <w:rFonts w:ascii="Tahoma" w:hAnsi="Tahoma" w:cs="Tahoma"/>
                <w:sz w:val="20"/>
                <w:szCs w:val="20"/>
              </w:rPr>
              <w:t>Fluorures</w:t>
            </w:r>
          </w:p>
        </w:tc>
        <w:tc>
          <w:tcPr>
            <w:tcW w:w="4253" w:type="dxa"/>
          </w:tcPr>
          <w:p w14:paraId="66461161" w14:textId="7C844567" w:rsidR="008105B4" w:rsidRPr="00B004EE" w:rsidRDefault="008105B4" w:rsidP="00B004EE">
            <w:pPr>
              <w:jc w:val="both"/>
              <w:rPr>
                <w:rFonts w:ascii="Tahoma" w:hAnsi="Tahoma" w:cs="Tahoma"/>
                <w:sz w:val="20"/>
                <w:szCs w:val="20"/>
              </w:rPr>
            </w:pPr>
            <w:r w:rsidRPr="00B004EE">
              <w:rPr>
                <w:rFonts w:ascii="Tahoma" w:hAnsi="Tahoma" w:cs="Tahoma"/>
                <w:sz w:val="20"/>
                <w:szCs w:val="20"/>
              </w:rPr>
              <w:t>Note</w:t>
            </w:r>
            <w:r w:rsidR="00DB1635" w:rsidRPr="00B004EE">
              <w:rPr>
                <w:rFonts w:ascii="Tahoma" w:hAnsi="Tahoma" w:cs="Tahoma"/>
                <w:sz w:val="20"/>
                <w:szCs w:val="20"/>
              </w:rPr>
              <w:t xml:space="preserve"> </w:t>
            </w:r>
            <w:r w:rsidRPr="00B004EE">
              <w:rPr>
                <w:rFonts w:ascii="Tahoma" w:hAnsi="Tahoma" w:cs="Tahoma"/>
                <w:sz w:val="20"/>
                <w:szCs w:val="20"/>
              </w:rPr>
              <w:t>2</w:t>
            </w:r>
          </w:p>
        </w:tc>
      </w:tr>
      <w:tr w:rsidR="00150C90" w:rsidRPr="00B004EE" w14:paraId="3F3C7AE2" w14:textId="77777777" w:rsidTr="001E7C3C">
        <w:tc>
          <w:tcPr>
            <w:tcW w:w="365" w:type="dxa"/>
          </w:tcPr>
          <w:p w14:paraId="40AEA29A" w14:textId="77777777" w:rsidR="008105B4" w:rsidRPr="00B004EE" w:rsidRDefault="008105B4" w:rsidP="00B004EE">
            <w:pPr>
              <w:jc w:val="both"/>
              <w:rPr>
                <w:rFonts w:ascii="Tahoma" w:hAnsi="Tahoma" w:cs="Tahoma"/>
                <w:sz w:val="20"/>
                <w:szCs w:val="20"/>
              </w:rPr>
            </w:pPr>
          </w:p>
        </w:tc>
        <w:tc>
          <w:tcPr>
            <w:tcW w:w="4950" w:type="dxa"/>
          </w:tcPr>
          <w:p w14:paraId="06A0CFE1" w14:textId="12B865C5" w:rsidR="008105B4" w:rsidRPr="00B004EE" w:rsidRDefault="008105B4" w:rsidP="00B004EE">
            <w:pPr>
              <w:ind w:left="-29" w:firstLine="29"/>
              <w:jc w:val="both"/>
              <w:rPr>
                <w:rFonts w:ascii="Tahoma" w:hAnsi="Tahoma" w:cs="Tahoma"/>
                <w:sz w:val="20"/>
                <w:szCs w:val="20"/>
              </w:rPr>
            </w:pPr>
            <w:r w:rsidRPr="00B004EE">
              <w:rPr>
                <w:rFonts w:ascii="Tahoma" w:hAnsi="Tahoma" w:cs="Tahoma"/>
                <w:sz w:val="20"/>
                <w:szCs w:val="20"/>
              </w:rPr>
              <w:t>Pesticides</w:t>
            </w:r>
            <w:r w:rsidR="00DB1635" w:rsidRPr="00B004EE">
              <w:rPr>
                <w:rFonts w:ascii="Tahoma" w:hAnsi="Tahoma" w:cs="Tahoma"/>
                <w:sz w:val="20"/>
                <w:szCs w:val="20"/>
              </w:rPr>
              <w:t xml:space="preserve"> </w:t>
            </w:r>
            <w:r w:rsidRPr="00B004EE">
              <w:rPr>
                <w:rFonts w:ascii="Tahoma" w:hAnsi="Tahoma" w:cs="Tahoma"/>
                <w:sz w:val="20"/>
                <w:szCs w:val="20"/>
              </w:rPr>
              <w:t>totaux</w:t>
            </w:r>
          </w:p>
        </w:tc>
        <w:tc>
          <w:tcPr>
            <w:tcW w:w="4253" w:type="dxa"/>
          </w:tcPr>
          <w:p w14:paraId="6253ADB9" w14:textId="08D56E0B" w:rsidR="008105B4" w:rsidRPr="00B004EE" w:rsidRDefault="008105B4" w:rsidP="00B004EE">
            <w:pPr>
              <w:jc w:val="both"/>
              <w:rPr>
                <w:rFonts w:ascii="Tahoma" w:hAnsi="Tahoma" w:cs="Tahoma"/>
                <w:sz w:val="20"/>
                <w:szCs w:val="20"/>
              </w:rPr>
            </w:pPr>
            <w:r w:rsidRPr="00B004EE">
              <w:rPr>
                <w:rFonts w:ascii="Tahoma" w:hAnsi="Tahoma" w:cs="Tahoma"/>
                <w:sz w:val="20"/>
                <w:szCs w:val="20"/>
              </w:rPr>
              <w:t>Note</w:t>
            </w:r>
            <w:r w:rsidR="00DB1635" w:rsidRPr="00B004EE">
              <w:rPr>
                <w:rFonts w:ascii="Tahoma" w:hAnsi="Tahoma" w:cs="Tahoma"/>
                <w:sz w:val="20"/>
                <w:szCs w:val="20"/>
              </w:rPr>
              <w:t xml:space="preserve"> </w:t>
            </w:r>
            <w:r w:rsidRPr="00B004EE">
              <w:rPr>
                <w:rFonts w:ascii="Tahoma" w:hAnsi="Tahoma" w:cs="Tahoma"/>
                <w:sz w:val="20"/>
                <w:szCs w:val="20"/>
              </w:rPr>
              <w:t>2</w:t>
            </w:r>
            <w:r w:rsidR="00DB1635" w:rsidRPr="00B004EE">
              <w:rPr>
                <w:rFonts w:ascii="Tahoma" w:hAnsi="Tahoma" w:cs="Tahoma"/>
                <w:sz w:val="20"/>
                <w:szCs w:val="20"/>
              </w:rPr>
              <w:t xml:space="preserve"> </w:t>
            </w:r>
          </w:p>
        </w:tc>
      </w:tr>
      <w:tr w:rsidR="00150C90" w:rsidRPr="00B004EE" w14:paraId="5807EB8E" w14:textId="77777777" w:rsidTr="001E7C3C">
        <w:tc>
          <w:tcPr>
            <w:tcW w:w="365" w:type="dxa"/>
          </w:tcPr>
          <w:p w14:paraId="0E43006E" w14:textId="77777777" w:rsidR="008105B4" w:rsidRPr="00B004EE" w:rsidRDefault="008105B4" w:rsidP="00B004EE">
            <w:pPr>
              <w:jc w:val="both"/>
              <w:rPr>
                <w:rFonts w:ascii="Tahoma" w:hAnsi="Tahoma" w:cs="Tahoma"/>
                <w:sz w:val="20"/>
                <w:szCs w:val="20"/>
              </w:rPr>
            </w:pPr>
          </w:p>
        </w:tc>
        <w:tc>
          <w:tcPr>
            <w:tcW w:w="4950" w:type="dxa"/>
          </w:tcPr>
          <w:p w14:paraId="3B7424A6" w14:textId="77777777" w:rsidR="008105B4" w:rsidRPr="00B004EE" w:rsidRDefault="008105B4" w:rsidP="00B004EE">
            <w:pPr>
              <w:jc w:val="both"/>
              <w:rPr>
                <w:rFonts w:ascii="Tahoma" w:hAnsi="Tahoma" w:cs="Tahoma"/>
                <w:sz w:val="20"/>
                <w:szCs w:val="20"/>
              </w:rPr>
            </w:pPr>
            <w:r w:rsidRPr="00B004EE">
              <w:rPr>
                <w:rFonts w:ascii="Tahoma" w:hAnsi="Tahoma" w:cs="Tahoma"/>
                <w:sz w:val="20"/>
                <w:szCs w:val="20"/>
              </w:rPr>
              <w:t>Mercure</w:t>
            </w:r>
          </w:p>
        </w:tc>
        <w:tc>
          <w:tcPr>
            <w:tcW w:w="4253" w:type="dxa"/>
          </w:tcPr>
          <w:p w14:paraId="71AEBFFB" w14:textId="2240DE8E" w:rsidR="008105B4" w:rsidRPr="00B004EE" w:rsidRDefault="008105B4" w:rsidP="00B004EE">
            <w:pPr>
              <w:jc w:val="both"/>
              <w:rPr>
                <w:rFonts w:ascii="Tahoma" w:hAnsi="Tahoma" w:cs="Tahoma"/>
                <w:sz w:val="20"/>
                <w:szCs w:val="20"/>
              </w:rPr>
            </w:pPr>
            <w:r w:rsidRPr="00B004EE">
              <w:rPr>
                <w:rFonts w:ascii="Tahoma" w:hAnsi="Tahoma" w:cs="Tahoma"/>
                <w:sz w:val="20"/>
                <w:szCs w:val="20"/>
              </w:rPr>
              <w:t>Note</w:t>
            </w:r>
            <w:r w:rsidR="00DB1635" w:rsidRPr="00B004EE">
              <w:rPr>
                <w:rFonts w:ascii="Tahoma" w:hAnsi="Tahoma" w:cs="Tahoma"/>
                <w:sz w:val="20"/>
                <w:szCs w:val="20"/>
              </w:rPr>
              <w:t xml:space="preserve"> </w:t>
            </w:r>
            <w:r w:rsidRPr="00B004EE">
              <w:rPr>
                <w:rFonts w:ascii="Tahoma" w:hAnsi="Tahoma" w:cs="Tahoma"/>
                <w:sz w:val="20"/>
                <w:szCs w:val="20"/>
              </w:rPr>
              <w:t>2</w:t>
            </w:r>
          </w:p>
        </w:tc>
      </w:tr>
      <w:tr w:rsidR="00150C90" w:rsidRPr="00B004EE" w14:paraId="0D86E426" w14:textId="77777777" w:rsidTr="001E7C3C">
        <w:tc>
          <w:tcPr>
            <w:tcW w:w="365" w:type="dxa"/>
          </w:tcPr>
          <w:p w14:paraId="42E48BAA" w14:textId="77777777" w:rsidR="008105B4" w:rsidRPr="00B004EE" w:rsidRDefault="008105B4" w:rsidP="00B004EE">
            <w:pPr>
              <w:jc w:val="both"/>
              <w:rPr>
                <w:rFonts w:ascii="Tahoma" w:hAnsi="Tahoma" w:cs="Tahoma"/>
                <w:sz w:val="20"/>
                <w:szCs w:val="20"/>
              </w:rPr>
            </w:pPr>
          </w:p>
        </w:tc>
        <w:tc>
          <w:tcPr>
            <w:tcW w:w="4950" w:type="dxa"/>
          </w:tcPr>
          <w:p w14:paraId="54CED3DF" w14:textId="77777777" w:rsidR="008105B4" w:rsidRPr="00B004EE" w:rsidRDefault="008105B4" w:rsidP="00B004EE">
            <w:pPr>
              <w:jc w:val="both"/>
              <w:rPr>
                <w:rFonts w:ascii="Tahoma" w:hAnsi="Tahoma" w:cs="Tahoma"/>
                <w:sz w:val="20"/>
                <w:szCs w:val="20"/>
              </w:rPr>
            </w:pPr>
            <w:r w:rsidRPr="00B004EE">
              <w:rPr>
                <w:rFonts w:ascii="Tahoma" w:hAnsi="Tahoma" w:cs="Tahoma"/>
                <w:sz w:val="20"/>
                <w:szCs w:val="20"/>
              </w:rPr>
              <w:t>Sélénium</w:t>
            </w:r>
          </w:p>
        </w:tc>
        <w:tc>
          <w:tcPr>
            <w:tcW w:w="4253" w:type="dxa"/>
          </w:tcPr>
          <w:p w14:paraId="1DA2E70F" w14:textId="71743B52" w:rsidR="008105B4" w:rsidRPr="00B004EE" w:rsidRDefault="008105B4" w:rsidP="00B004EE">
            <w:pPr>
              <w:jc w:val="both"/>
              <w:rPr>
                <w:rFonts w:ascii="Tahoma" w:hAnsi="Tahoma" w:cs="Tahoma"/>
                <w:sz w:val="20"/>
                <w:szCs w:val="20"/>
              </w:rPr>
            </w:pPr>
            <w:r w:rsidRPr="00B004EE">
              <w:rPr>
                <w:rFonts w:ascii="Tahoma" w:hAnsi="Tahoma" w:cs="Tahoma"/>
                <w:sz w:val="20"/>
                <w:szCs w:val="20"/>
              </w:rPr>
              <w:t>Note</w:t>
            </w:r>
            <w:r w:rsidR="00DB1635" w:rsidRPr="00B004EE">
              <w:rPr>
                <w:rFonts w:ascii="Tahoma" w:hAnsi="Tahoma" w:cs="Tahoma"/>
                <w:sz w:val="20"/>
                <w:szCs w:val="20"/>
              </w:rPr>
              <w:t xml:space="preserve"> </w:t>
            </w:r>
            <w:r w:rsidRPr="00B004EE">
              <w:rPr>
                <w:rFonts w:ascii="Tahoma" w:hAnsi="Tahoma" w:cs="Tahoma"/>
                <w:sz w:val="20"/>
                <w:szCs w:val="20"/>
              </w:rPr>
              <w:t>2</w:t>
            </w:r>
          </w:p>
        </w:tc>
      </w:tr>
      <w:tr w:rsidR="00150C90" w:rsidRPr="00B004EE" w14:paraId="00FFABE4" w14:textId="77777777" w:rsidTr="001E7C3C">
        <w:tc>
          <w:tcPr>
            <w:tcW w:w="365" w:type="dxa"/>
          </w:tcPr>
          <w:p w14:paraId="0AEB340A" w14:textId="77777777" w:rsidR="008105B4" w:rsidRPr="00B004EE" w:rsidRDefault="008105B4" w:rsidP="00B004EE">
            <w:pPr>
              <w:jc w:val="both"/>
              <w:rPr>
                <w:rFonts w:ascii="Tahoma" w:hAnsi="Tahoma" w:cs="Tahoma"/>
                <w:sz w:val="20"/>
                <w:szCs w:val="20"/>
              </w:rPr>
            </w:pPr>
          </w:p>
        </w:tc>
        <w:tc>
          <w:tcPr>
            <w:tcW w:w="4950" w:type="dxa"/>
          </w:tcPr>
          <w:p w14:paraId="7C3819E1" w14:textId="77777777" w:rsidR="008105B4" w:rsidRPr="00B004EE" w:rsidRDefault="008105B4" w:rsidP="00B004EE">
            <w:pPr>
              <w:jc w:val="both"/>
              <w:rPr>
                <w:rFonts w:ascii="Tahoma" w:hAnsi="Tahoma" w:cs="Tahoma"/>
                <w:sz w:val="20"/>
                <w:szCs w:val="20"/>
              </w:rPr>
            </w:pPr>
            <w:r w:rsidRPr="00B004EE">
              <w:rPr>
                <w:rFonts w:ascii="Tahoma" w:hAnsi="Tahoma" w:cs="Tahoma"/>
                <w:sz w:val="20"/>
                <w:szCs w:val="20"/>
              </w:rPr>
              <w:t>Sodium</w:t>
            </w:r>
          </w:p>
        </w:tc>
        <w:tc>
          <w:tcPr>
            <w:tcW w:w="4253" w:type="dxa"/>
          </w:tcPr>
          <w:p w14:paraId="0F45BA10" w14:textId="77777777" w:rsidR="008105B4" w:rsidRPr="00B004EE" w:rsidRDefault="008105B4" w:rsidP="00B004EE">
            <w:pPr>
              <w:jc w:val="both"/>
              <w:rPr>
                <w:rFonts w:ascii="Tahoma" w:hAnsi="Tahoma" w:cs="Tahoma"/>
                <w:sz w:val="20"/>
                <w:szCs w:val="20"/>
              </w:rPr>
            </w:pPr>
          </w:p>
        </w:tc>
      </w:tr>
      <w:tr w:rsidR="00150C90" w:rsidRPr="00B004EE" w14:paraId="03FE3306" w14:textId="77777777" w:rsidTr="001E7C3C">
        <w:tc>
          <w:tcPr>
            <w:tcW w:w="365" w:type="dxa"/>
          </w:tcPr>
          <w:p w14:paraId="6B720685" w14:textId="77777777" w:rsidR="008105B4" w:rsidRPr="00B004EE" w:rsidRDefault="008105B4" w:rsidP="00B004EE">
            <w:pPr>
              <w:jc w:val="both"/>
              <w:rPr>
                <w:rFonts w:ascii="Tahoma" w:hAnsi="Tahoma" w:cs="Tahoma"/>
                <w:sz w:val="20"/>
                <w:szCs w:val="20"/>
              </w:rPr>
            </w:pPr>
          </w:p>
        </w:tc>
        <w:tc>
          <w:tcPr>
            <w:tcW w:w="4950" w:type="dxa"/>
          </w:tcPr>
          <w:p w14:paraId="1070FB1B" w14:textId="769CBF5A" w:rsidR="008105B4" w:rsidRPr="00B004EE" w:rsidRDefault="008105B4" w:rsidP="00B004EE">
            <w:pPr>
              <w:jc w:val="both"/>
              <w:rPr>
                <w:rFonts w:ascii="Tahoma" w:hAnsi="Tahoma" w:cs="Tahoma"/>
                <w:sz w:val="20"/>
                <w:szCs w:val="20"/>
              </w:rPr>
            </w:pPr>
            <w:r w:rsidRPr="00B004EE">
              <w:rPr>
                <w:rFonts w:ascii="Tahoma" w:hAnsi="Tahoma" w:cs="Tahoma"/>
                <w:sz w:val="20"/>
                <w:szCs w:val="20"/>
              </w:rPr>
              <w:t>Tétrachloréthylène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trichloréthylène</w:t>
            </w:r>
          </w:p>
        </w:tc>
        <w:tc>
          <w:tcPr>
            <w:tcW w:w="4253" w:type="dxa"/>
          </w:tcPr>
          <w:p w14:paraId="595DF148" w14:textId="77777777" w:rsidR="008105B4" w:rsidRPr="00B004EE" w:rsidRDefault="008105B4" w:rsidP="00B004EE">
            <w:pPr>
              <w:jc w:val="both"/>
              <w:rPr>
                <w:rFonts w:ascii="Tahoma" w:hAnsi="Tahoma" w:cs="Tahoma"/>
                <w:sz w:val="20"/>
                <w:szCs w:val="20"/>
              </w:rPr>
            </w:pPr>
          </w:p>
        </w:tc>
      </w:tr>
      <w:tr w:rsidR="008105B4" w:rsidRPr="00B004EE" w14:paraId="62E79ED8" w14:textId="77777777" w:rsidTr="001E7C3C">
        <w:tc>
          <w:tcPr>
            <w:tcW w:w="365" w:type="dxa"/>
          </w:tcPr>
          <w:p w14:paraId="49F814D1" w14:textId="77777777" w:rsidR="008105B4" w:rsidRPr="00B004EE" w:rsidRDefault="008105B4" w:rsidP="00B004EE">
            <w:pPr>
              <w:jc w:val="both"/>
              <w:rPr>
                <w:rFonts w:ascii="Tahoma" w:hAnsi="Tahoma" w:cs="Tahoma"/>
                <w:sz w:val="20"/>
                <w:szCs w:val="20"/>
              </w:rPr>
            </w:pPr>
          </w:p>
        </w:tc>
        <w:tc>
          <w:tcPr>
            <w:tcW w:w="4950" w:type="dxa"/>
          </w:tcPr>
          <w:p w14:paraId="4D437323" w14:textId="5BC97DE6" w:rsidR="008105B4" w:rsidRPr="00B004EE" w:rsidRDefault="008105B4" w:rsidP="00B004EE">
            <w:pPr>
              <w:jc w:val="both"/>
              <w:rPr>
                <w:rFonts w:ascii="Tahoma" w:hAnsi="Tahoma" w:cs="Tahoma"/>
                <w:sz w:val="20"/>
                <w:szCs w:val="20"/>
              </w:rPr>
            </w:pPr>
            <w:r w:rsidRPr="00B004EE">
              <w:rPr>
                <w:rFonts w:ascii="Tahoma" w:hAnsi="Tahoma" w:cs="Tahoma"/>
                <w:sz w:val="20"/>
                <w:szCs w:val="20"/>
              </w:rPr>
              <w:t>Total</w:t>
            </w:r>
            <w:r w:rsidR="00DB1635" w:rsidRPr="00B004EE">
              <w:rPr>
                <w:rFonts w:ascii="Tahoma" w:hAnsi="Tahoma" w:cs="Tahoma"/>
                <w:sz w:val="20"/>
                <w:szCs w:val="20"/>
              </w:rPr>
              <w:t xml:space="preserve"> </w:t>
            </w:r>
            <w:r w:rsidRPr="00B004EE">
              <w:rPr>
                <w:rFonts w:ascii="Tahoma" w:hAnsi="Tahoma" w:cs="Tahoma"/>
                <w:sz w:val="20"/>
                <w:szCs w:val="20"/>
              </w:rPr>
              <w:t>trihalométhanes</w:t>
            </w:r>
            <w:r w:rsidR="00DB1635" w:rsidRPr="00B004EE">
              <w:rPr>
                <w:rFonts w:ascii="Tahoma" w:hAnsi="Tahoma" w:cs="Tahoma"/>
                <w:sz w:val="20"/>
                <w:szCs w:val="20"/>
              </w:rPr>
              <w:t xml:space="preserve"> </w:t>
            </w:r>
            <w:r w:rsidRPr="00B004EE">
              <w:rPr>
                <w:rFonts w:ascii="Tahoma" w:hAnsi="Tahoma" w:cs="Tahoma"/>
                <w:sz w:val="20"/>
                <w:szCs w:val="20"/>
              </w:rPr>
              <w:t>(THM)</w:t>
            </w:r>
            <w:r w:rsidR="00DB1635" w:rsidRPr="00B004EE">
              <w:rPr>
                <w:rFonts w:ascii="Tahoma" w:hAnsi="Tahoma" w:cs="Tahoma"/>
                <w:sz w:val="20"/>
                <w:szCs w:val="20"/>
              </w:rPr>
              <w:t xml:space="preserve"> </w:t>
            </w:r>
          </w:p>
        </w:tc>
        <w:tc>
          <w:tcPr>
            <w:tcW w:w="4253" w:type="dxa"/>
          </w:tcPr>
          <w:p w14:paraId="2FA4DE0E" w14:textId="18301675" w:rsidR="008105B4" w:rsidRPr="00B004EE" w:rsidRDefault="008105B4" w:rsidP="00B004EE">
            <w:pPr>
              <w:jc w:val="both"/>
              <w:rPr>
                <w:rFonts w:ascii="Tahoma" w:hAnsi="Tahoma" w:cs="Tahoma"/>
                <w:sz w:val="20"/>
                <w:szCs w:val="20"/>
              </w:rPr>
            </w:pPr>
            <w:r w:rsidRPr="00B004EE">
              <w:rPr>
                <w:rFonts w:ascii="Tahoma" w:hAnsi="Tahoma" w:cs="Tahoma"/>
                <w:sz w:val="20"/>
                <w:szCs w:val="20"/>
              </w:rPr>
              <w:t>Note</w:t>
            </w:r>
            <w:r w:rsidR="00DB1635" w:rsidRPr="00B004EE">
              <w:rPr>
                <w:rFonts w:ascii="Tahoma" w:hAnsi="Tahoma" w:cs="Tahoma"/>
                <w:sz w:val="20"/>
                <w:szCs w:val="20"/>
              </w:rPr>
              <w:t xml:space="preserve"> </w:t>
            </w:r>
            <w:r w:rsidRPr="00B004EE">
              <w:rPr>
                <w:rFonts w:ascii="Tahoma" w:hAnsi="Tahoma" w:cs="Tahoma"/>
                <w:sz w:val="20"/>
                <w:szCs w:val="20"/>
              </w:rPr>
              <w:t>5</w:t>
            </w:r>
          </w:p>
        </w:tc>
      </w:tr>
    </w:tbl>
    <w:p w14:paraId="6AC5A38D" w14:textId="77777777" w:rsidR="008105B4" w:rsidRPr="00B004EE" w:rsidRDefault="008105B4" w:rsidP="00B004EE">
      <w:pPr>
        <w:pStyle w:val="Corpsdetexte3"/>
        <w:rPr>
          <w:rFonts w:ascii="Tahoma" w:hAnsi="Tahoma" w:cs="Tahoma"/>
          <w:sz w:val="20"/>
          <w:szCs w:val="20"/>
        </w:rPr>
      </w:pPr>
    </w:p>
    <w:p w14:paraId="3B204552" w14:textId="04C57BA7" w:rsidR="008105B4" w:rsidRPr="00B004EE" w:rsidRDefault="008105B4" w:rsidP="00B004EE">
      <w:pPr>
        <w:pStyle w:val="Corpsdetexte3"/>
        <w:ind w:left="851" w:hanging="851"/>
        <w:rPr>
          <w:rFonts w:ascii="Tahoma" w:hAnsi="Tahoma" w:cs="Tahoma"/>
          <w:i w:val="0"/>
          <w:iCs w:val="0"/>
          <w:sz w:val="20"/>
          <w:szCs w:val="20"/>
        </w:rPr>
      </w:pPr>
      <w:r w:rsidRPr="00B004EE">
        <w:rPr>
          <w:rFonts w:ascii="Tahoma" w:hAnsi="Tahoma" w:cs="Tahoma"/>
          <w:i w:val="0"/>
          <w:iCs w:val="0"/>
          <w:sz w:val="20"/>
          <w:szCs w:val="20"/>
        </w:rPr>
        <w:t>Note</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1</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La</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limite</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de</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qualité</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se</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réfère</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à</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la</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concentration</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résiduelle</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en</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monomères</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dans</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l'eau,</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calculée</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conformément</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aux</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spécifications</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de</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la</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migration</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maximale</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du</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polymère</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correspondant</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en</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contact</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avec</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l'eau.</w:t>
      </w:r>
    </w:p>
    <w:p w14:paraId="6010203F" w14:textId="76B29138" w:rsidR="008105B4" w:rsidRPr="00B004EE" w:rsidRDefault="008105B4" w:rsidP="00B004EE">
      <w:pPr>
        <w:pStyle w:val="Corpsdetexte3"/>
        <w:ind w:left="851" w:hanging="851"/>
        <w:rPr>
          <w:rFonts w:ascii="Tahoma" w:hAnsi="Tahoma" w:cs="Tahoma"/>
          <w:i w:val="0"/>
          <w:iCs w:val="0"/>
          <w:sz w:val="20"/>
          <w:szCs w:val="20"/>
        </w:rPr>
      </w:pPr>
      <w:r w:rsidRPr="00B004EE">
        <w:rPr>
          <w:rFonts w:ascii="Tahoma" w:hAnsi="Tahoma" w:cs="Tahoma"/>
          <w:i w:val="0"/>
          <w:iCs w:val="0"/>
          <w:sz w:val="20"/>
          <w:szCs w:val="20"/>
        </w:rPr>
        <w:t>Note</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2</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Pour</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les</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entreprises</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utilisant</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moins</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de</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100</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m3</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d’eau</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par</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jour,</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cet</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élément</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peut</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être</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exclu</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de</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l’analyse</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si</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les</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résultats</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des</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contrôles</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effectués</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depuis</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au</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moins</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deux</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ans</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montrent</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que</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l’eau</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utilisée</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n’en</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contient</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pas.</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Concernant</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les</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pesticides,</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les</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éléments</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susceptibles</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d'être</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présents</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doivent</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être</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recherchés</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en</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priorité.</w:t>
      </w:r>
    </w:p>
    <w:p w14:paraId="65B1F956" w14:textId="07C8E9D9" w:rsidR="008105B4" w:rsidRPr="00B004EE" w:rsidRDefault="008105B4" w:rsidP="00B004EE">
      <w:pPr>
        <w:pStyle w:val="Corpsdetexte3"/>
        <w:ind w:left="851" w:hanging="851"/>
        <w:rPr>
          <w:rFonts w:ascii="Tahoma" w:hAnsi="Tahoma" w:cs="Tahoma"/>
          <w:i w:val="0"/>
          <w:iCs w:val="0"/>
          <w:sz w:val="20"/>
          <w:szCs w:val="20"/>
        </w:rPr>
      </w:pPr>
      <w:r w:rsidRPr="00B004EE">
        <w:rPr>
          <w:rFonts w:ascii="Tahoma" w:hAnsi="Tahoma" w:cs="Tahoma"/>
          <w:i w:val="0"/>
          <w:iCs w:val="0"/>
          <w:sz w:val="20"/>
          <w:szCs w:val="20"/>
        </w:rPr>
        <w:t>Note</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3</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Seulement</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nécessaire</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si</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l'eau</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a</w:t>
      </w:r>
      <w:r w:rsidR="00DB1635" w:rsidRPr="00B004EE">
        <w:rPr>
          <w:rFonts w:ascii="Tahoma" w:hAnsi="Tahoma" w:cs="Tahoma"/>
          <w:i w:val="0"/>
          <w:iCs w:val="0"/>
          <w:sz w:val="20"/>
          <w:szCs w:val="20"/>
        </w:rPr>
        <w:t xml:space="preserve"> </w:t>
      </w:r>
      <w:r w:rsidR="002B5360" w:rsidRPr="00B004EE">
        <w:rPr>
          <w:rFonts w:ascii="Tahoma" w:hAnsi="Tahoma" w:cs="Tahoma"/>
          <w:i w:val="0"/>
          <w:iCs w:val="0"/>
          <w:sz w:val="20"/>
          <w:szCs w:val="20"/>
        </w:rPr>
        <w:t>subi</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un</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traitement</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à</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l'ozone</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ou</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au</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chlore.</w:t>
      </w:r>
    </w:p>
    <w:p w14:paraId="77B73A05" w14:textId="3E9DDC67" w:rsidR="008105B4" w:rsidRPr="00B004EE" w:rsidRDefault="008105B4" w:rsidP="00B004EE">
      <w:pPr>
        <w:pStyle w:val="Corpsdetexte3"/>
        <w:ind w:left="851" w:hanging="851"/>
        <w:rPr>
          <w:rFonts w:ascii="Tahoma" w:hAnsi="Tahoma" w:cs="Tahoma"/>
          <w:i w:val="0"/>
          <w:iCs w:val="0"/>
          <w:sz w:val="20"/>
          <w:szCs w:val="20"/>
        </w:rPr>
      </w:pPr>
      <w:r w:rsidRPr="00B004EE">
        <w:rPr>
          <w:rFonts w:ascii="Tahoma" w:hAnsi="Tahoma" w:cs="Tahoma"/>
          <w:i w:val="0"/>
          <w:iCs w:val="0"/>
          <w:sz w:val="20"/>
          <w:szCs w:val="20"/>
        </w:rPr>
        <w:t>Note</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4</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Seulement</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nécessaire</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si</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l'eau</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a</w:t>
      </w:r>
      <w:r w:rsidR="00DB1635" w:rsidRPr="00B004EE">
        <w:rPr>
          <w:rFonts w:ascii="Tahoma" w:hAnsi="Tahoma" w:cs="Tahoma"/>
          <w:i w:val="0"/>
          <w:iCs w:val="0"/>
          <w:sz w:val="20"/>
          <w:szCs w:val="20"/>
        </w:rPr>
        <w:t xml:space="preserve"> </w:t>
      </w:r>
      <w:r w:rsidR="002B5360" w:rsidRPr="00B004EE">
        <w:rPr>
          <w:rFonts w:ascii="Tahoma" w:hAnsi="Tahoma" w:cs="Tahoma"/>
          <w:i w:val="0"/>
          <w:iCs w:val="0"/>
          <w:sz w:val="20"/>
          <w:szCs w:val="20"/>
        </w:rPr>
        <w:t>subi</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un</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traitement</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au</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bioxyde</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de</w:t>
      </w:r>
      <w:r w:rsidR="00DB1635" w:rsidRPr="00B004EE">
        <w:rPr>
          <w:rFonts w:ascii="Tahoma" w:hAnsi="Tahoma" w:cs="Tahoma"/>
          <w:i w:val="0"/>
          <w:iCs w:val="0"/>
          <w:sz w:val="20"/>
          <w:szCs w:val="20"/>
        </w:rPr>
        <w:t xml:space="preserve"> </w:t>
      </w:r>
      <w:r w:rsidRPr="00B004EE">
        <w:rPr>
          <w:rFonts w:ascii="Tahoma" w:hAnsi="Tahoma" w:cs="Tahoma"/>
          <w:i w:val="0"/>
          <w:iCs w:val="0"/>
          <w:sz w:val="20"/>
          <w:szCs w:val="20"/>
        </w:rPr>
        <w:t>chlore.</w:t>
      </w:r>
    </w:p>
    <w:p w14:paraId="4B39D398" w14:textId="3AE3CAEE" w:rsidR="008105B4" w:rsidRPr="00B004EE" w:rsidRDefault="008105B4" w:rsidP="00B004EE">
      <w:pPr>
        <w:ind w:left="851" w:hanging="851"/>
        <w:jc w:val="both"/>
        <w:rPr>
          <w:rFonts w:ascii="Tahoma" w:hAnsi="Tahoma" w:cs="Tahoma"/>
          <w:sz w:val="20"/>
          <w:szCs w:val="20"/>
        </w:rPr>
      </w:pPr>
      <w:r w:rsidRPr="00B004EE">
        <w:rPr>
          <w:rFonts w:ascii="Tahoma" w:hAnsi="Tahoma" w:cs="Tahoma"/>
          <w:sz w:val="20"/>
          <w:szCs w:val="20"/>
        </w:rPr>
        <w:lastRenderedPageBreak/>
        <w:t>Note</w:t>
      </w:r>
      <w:r w:rsidR="00DB1635" w:rsidRPr="00B004EE">
        <w:rPr>
          <w:rFonts w:ascii="Tahoma" w:hAnsi="Tahoma" w:cs="Tahoma"/>
          <w:sz w:val="20"/>
          <w:szCs w:val="20"/>
        </w:rPr>
        <w:t xml:space="preserve"> </w:t>
      </w:r>
      <w:r w:rsidRPr="00B004EE">
        <w:rPr>
          <w:rFonts w:ascii="Tahoma" w:hAnsi="Tahoma" w:cs="Tahoma"/>
          <w:sz w:val="20"/>
          <w:szCs w:val="20"/>
        </w:rPr>
        <w:t>5</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Seulement</w:t>
      </w:r>
      <w:r w:rsidR="00DB1635" w:rsidRPr="00B004EE">
        <w:rPr>
          <w:rFonts w:ascii="Tahoma" w:hAnsi="Tahoma" w:cs="Tahoma"/>
          <w:sz w:val="20"/>
          <w:szCs w:val="20"/>
        </w:rPr>
        <w:t xml:space="preserve"> </w:t>
      </w:r>
      <w:r w:rsidRPr="00B004EE">
        <w:rPr>
          <w:rFonts w:ascii="Tahoma" w:hAnsi="Tahoma" w:cs="Tahoma"/>
          <w:sz w:val="20"/>
          <w:szCs w:val="20"/>
        </w:rPr>
        <w:t>nécessaire</w:t>
      </w:r>
      <w:r w:rsidR="00DB1635" w:rsidRPr="00B004EE">
        <w:rPr>
          <w:rFonts w:ascii="Tahoma" w:hAnsi="Tahoma" w:cs="Tahoma"/>
          <w:sz w:val="20"/>
          <w:szCs w:val="20"/>
        </w:rPr>
        <w:t xml:space="preserve"> </w:t>
      </w:r>
      <w:r w:rsidRPr="00B004EE">
        <w:rPr>
          <w:rFonts w:ascii="Tahoma" w:hAnsi="Tahoma" w:cs="Tahoma"/>
          <w:sz w:val="20"/>
          <w:szCs w:val="20"/>
        </w:rPr>
        <w:t>si</w:t>
      </w:r>
      <w:r w:rsidR="00DB1635" w:rsidRPr="00B004EE">
        <w:rPr>
          <w:rFonts w:ascii="Tahoma" w:hAnsi="Tahoma" w:cs="Tahoma"/>
          <w:sz w:val="20"/>
          <w:szCs w:val="20"/>
        </w:rPr>
        <w:t xml:space="preserve"> </w:t>
      </w:r>
      <w:r w:rsidRPr="00B004EE">
        <w:rPr>
          <w:rFonts w:ascii="Tahoma" w:hAnsi="Tahoma" w:cs="Tahoma"/>
          <w:sz w:val="20"/>
          <w:szCs w:val="20"/>
        </w:rPr>
        <w:t>l'eau</w:t>
      </w:r>
      <w:r w:rsidR="00DB1635" w:rsidRPr="00B004EE">
        <w:rPr>
          <w:rFonts w:ascii="Tahoma" w:hAnsi="Tahoma" w:cs="Tahoma"/>
          <w:sz w:val="20"/>
          <w:szCs w:val="20"/>
        </w:rPr>
        <w:t xml:space="preserve"> </w:t>
      </w:r>
      <w:r w:rsidRPr="00B004EE">
        <w:rPr>
          <w:rFonts w:ascii="Tahoma" w:hAnsi="Tahoma" w:cs="Tahoma"/>
          <w:sz w:val="20"/>
          <w:szCs w:val="20"/>
        </w:rPr>
        <w:t>a</w:t>
      </w:r>
      <w:r w:rsidR="00DB1635" w:rsidRPr="00B004EE">
        <w:rPr>
          <w:rFonts w:ascii="Tahoma" w:hAnsi="Tahoma" w:cs="Tahoma"/>
          <w:sz w:val="20"/>
          <w:szCs w:val="20"/>
        </w:rPr>
        <w:t xml:space="preserve"> </w:t>
      </w:r>
      <w:r w:rsidRPr="00B004EE">
        <w:rPr>
          <w:rFonts w:ascii="Tahoma" w:hAnsi="Tahoma" w:cs="Tahoma"/>
          <w:sz w:val="20"/>
          <w:szCs w:val="20"/>
        </w:rPr>
        <w:t>sub</w:t>
      </w:r>
      <w:r w:rsidR="00DE14A0" w:rsidRPr="00B004EE">
        <w:rPr>
          <w:rFonts w:ascii="Tahoma" w:hAnsi="Tahoma" w:cs="Tahoma"/>
          <w:sz w:val="20"/>
          <w:szCs w:val="20"/>
        </w:rPr>
        <w:t xml:space="preserve">i </w:t>
      </w: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traitement</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chlore.</w:t>
      </w:r>
    </w:p>
    <w:p w14:paraId="047738C7" w14:textId="77777777" w:rsidR="008105B4" w:rsidRPr="00B004EE" w:rsidRDefault="008105B4" w:rsidP="00B004EE">
      <w:pPr>
        <w:jc w:val="both"/>
        <w:rPr>
          <w:rFonts w:ascii="Tahoma" w:hAnsi="Tahoma" w:cs="Tahoma"/>
          <w:b/>
          <w:bCs/>
          <w:sz w:val="20"/>
          <w:szCs w:val="20"/>
        </w:rPr>
      </w:pPr>
    </w:p>
    <w:p w14:paraId="6CC9D380" w14:textId="1502AE13" w:rsidR="008105B4" w:rsidRPr="00B004EE" w:rsidRDefault="008105B4" w:rsidP="00B004EE">
      <w:pPr>
        <w:jc w:val="both"/>
        <w:rPr>
          <w:rFonts w:ascii="Tahoma" w:hAnsi="Tahoma" w:cs="Tahoma"/>
          <w:b/>
          <w:bCs/>
          <w:sz w:val="20"/>
          <w:szCs w:val="20"/>
        </w:rPr>
      </w:pPr>
      <w:r w:rsidRPr="00B004EE">
        <w:rPr>
          <w:rFonts w:ascii="Tahoma" w:hAnsi="Tahoma" w:cs="Tahoma"/>
          <w:b/>
          <w:bCs/>
          <w:sz w:val="20"/>
          <w:szCs w:val="20"/>
        </w:rPr>
        <w:t>II.2.</w:t>
      </w:r>
      <w:r w:rsidR="00DB1635" w:rsidRPr="00B004EE">
        <w:rPr>
          <w:rFonts w:ascii="Tahoma" w:hAnsi="Tahoma" w:cs="Tahoma"/>
          <w:b/>
          <w:bCs/>
          <w:sz w:val="20"/>
          <w:szCs w:val="20"/>
        </w:rPr>
        <w:t xml:space="preserve"> </w:t>
      </w:r>
      <w:r w:rsidRPr="00B004EE">
        <w:rPr>
          <w:rFonts w:ascii="Tahoma" w:hAnsi="Tahoma" w:cs="Tahoma"/>
          <w:b/>
          <w:bCs/>
          <w:sz w:val="20"/>
          <w:szCs w:val="20"/>
        </w:rPr>
        <w:t>Industries</w:t>
      </w:r>
      <w:r w:rsidR="00DB1635" w:rsidRPr="00B004EE">
        <w:rPr>
          <w:rFonts w:ascii="Tahoma" w:hAnsi="Tahoma" w:cs="Tahoma"/>
          <w:b/>
          <w:bCs/>
          <w:sz w:val="20"/>
          <w:szCs w:val="20"/>
        </w:rPr>
        <w:t xml:space="preserve"> </w:t>
      </w:r>
      <w:r w:rsidRPr="00B004EE">
        <w:rPr>
          <w:rFonts w:ascii="Tahoma" w:hAnsi="Tahoma" w:cs="Tahoma"/>
          <w:b/>
          <w:bCs/>
          <w:sz w:val="20"/>
          <w:szCs w:val="20"/>
        </w:rPr>
        <w:t>alimentaires</w:t>
      </w:r>
      <w:r w:rsidR="00DB1635" w:rsidRPr="00B004EE">
        <w:rPr>
          <w:rFonts w:ascii="Tahoma" w:hAnsi="Tahoma" w:cs="Tahoma"/>
          <w:b/>
          <w:bCs/>
          <w:sz w:val="20"/>
          <w:szCs w:val="20"/>
        </w:rPr>
        <w:t xml:space="preserve"> </w:t>
      </w:r>
      <w:r w:rsidRPr="00B004EE">
        <w:rPr>
          <w:rFonts w:ascii="Tahoma" w:hAnsi="Tahoma" w:cs="Tahoma"/>
          <w:b/>
          <w:bCs/>
          <w:sz w:val="20"/>
          <w:szCs w:val="20"/>
        </w:rPr>
        <w:t>non</w:t>
      </w:r>
      <w:r w:rsidR="00DB1635" w:rsidRPr="00B004EE">
        <w:rPr>
          <w:rFonts w:ascii="Tahoma" w:hAnsi="Tahoma" w:cs="Tahoma"/>
          <w:b/>
          <w:bCs/>
          <w:sz w:val="20"/>
          <w:szCs w:val="20"/>
        </w:rPr>
        <w:t xml:space="preserve"> </w:t>
      </w:r>
      <w:r w:rsidRPr="00B004EE">
        <w:rPr>
          <w:rFonts w:ascii="Tahoma" w:hAnsi="Tahoma" w:cs="Tahoma"/>
          <w:b/>
          <w:bCs/>
          <w:sz w:val="20"/>
          <w:szCs w:val="20"/>
        </w:rPr>
        <w:t>raccordées</w:t>
      </w:r>
      <w:r w:rsidR="00DB1635" w:rsidRPr="00B004EE">
        <w:rPr>
          <w:rFonts w:ascii="Tahoma" w:hAnsi="Tahoma" w:cs="Tahoma"/>
          <w:b/>
          <w:bCs/>
          <w:sz w:val="20"/>
          <w:szCs w:val="20"/>
        </w:rPr>
        <w:t xml:space="preserve"> </w:t>
      </w:r>
      <w:r w:rsidRPr="00B004EE">
        <w:rPr>
          <w:rFonts w:ascii="Tahoma" w:hAnsi="Tahoma" w:cs="Tahoma"/>
          <w:b/>
          <w:bCs/>
          <w:sz w:val="20"/>
          <w:szCs w:val="20"/>
        </w:rPr>
        <w:t>à</w:t>
      </w:r>
      <w:r w:rsidR="00DB1635" w:rsidRPr="00B004EE">
        <w:rPr>
          <w:rFonts w:ascii="Tahoma" w:hAnsi="Tahoma" w:cs="Tahoma"/>
          <w:b/>
          <w:bCs/>
          <w:sz w:val="20"/>
          <w:szCs w:val="20"/>
        </w:rPr>
        <w:t xml:space="preserve"> </w:t>
      </w:r>
      <w:r w:rsidRPr="00B004EE">
        <w:rPr>
          <w:rFonts w:ascii="Tahoma" w:hAnsi="Tahoma" w:cs="Tahoma"/>
          <w:b/>
          <w:bCs/>
          <w:sz w:val="20"/>
          <w:szCs w:val="20"/>
        </w:rPr>
        <w:t>un</w:t>
      </w:r>
      <w:r w:rsidR="00DB1635" w:rsidRPr="00B004EE">
        <w:rPr>
          <w:rFonts w:ascii="Tahoma" w:hAnsi="Tahoma" w:cs="Tahoma"/>
          <w:b/>
          <w:bCs/>
          <w:sz w:val="20"/>
          <w:szCs w:val="20"/>
        </w:rPr>
        <w:t xml:space="preserve"> </w:t>
      </w:r>
      <w:r w:rsidRPr="00B004EE">
        <w:rPr>
          <w:rFonts w:ascii="Tahoma" w:hAnsi="Tahoma" w:cs="Tahoma"/>
          <w:b/>
          <w:bCs/>
          <w:sz w:val="20"/>
          <w:szCs w:val="20"/>
        </w:rPr>
        <w:t>réseau</w:t>
      </w:r>
      <w:r w:rsidR="00DB1635" w:rsidRPr="00B004EE">
        <w:rPr>
          <w:rFonts w:ascii="Tahoma" w:hAnsi="Tahoma" w:cs="Tahoma"/>
          <w:b/>
          <w:bCs/>
          <w:sz w:val="20"/>
          <w:szCs w:val="20"/>
        </w:rPr>
        <w:t xml:space="preserve"> </w:t>
      </w:r>
      <w:r w:rsidRPr="00B004EE">
        <w:rPr>
          <w:rFonts w:ascii="Tahoma" w:hAnsi="Tahoma" w:cs="Tahoma"/>
          <w:b/>
          <w:bCs/>
          <w:sz w:val="20"/>
          <w:szCs w:val="20"/>
        </w:rPr>
        <w:t>de</w:t>
      </w:r>
      <w:r w:rsidR="00DB1635" w:rsidRPr="00B004EE">
        <w:rPr>
          <w:rFonts w:ascii="Tahoma" w:hAnsi="Tahoma" w:cs="Tahoma"/>
          <w:b/>
          <w:bCs/>
          <w:sz w:val="20"/>
          <w:szCs w:val="20"/>
        </w:rPr>
        <w:t xml:space="preserve"> </w:t>
      </w:r>
      <w:r w:rsidRPr="00B004EE">
        <w:rPr>
          <w:rFonts w:ascii="Tahoma" w:hAnsi="Tahoma" w:cs="Tahoma"/>
          <w:b/>
          <w:bCs/>
          <w:sz w:val="20"/>
          <w:szCs w:val="20"/>
        </w:rPr>
        <w:t>distribution</w:t>
      </w:r>
      <w:r w:rsidR="00DB1635" w:rsidRPr="00B004EE">
        <w:rPr>
          <w:rFonts w:ascii="Tahoma" w:hAnsi="Tahoma" w:cs="Tahoma"/>
          <w:b/>
          <w:bCs/>
          <w:sz w:val="20"/>
          <w:szCs w:val="20"/>
        </w:rPr>
        <w:t xml:space="preserve"> </w:t>
      </w:r>
      <w:r w:rsidRPr="00B004EE">
        <w:rPr>
          <w:rFonts w:ascii="Tahoma" w:hAnsi="Tahoma" w:cs="Tahoma"/>
          <w:b/>
          <w:bCs/>
          <w:sz w:val="20"/>
          <w:szCs w:val="20"/>
        </w:rPr>
        <w:t>d’eau</w:t>
      </w:r>
    </w:p>
    <w:p w14:paraId="15C3D1F5" w14:textId="77777777" w:rsidR="008105B4" w:rsidRPr="00B004EE" w:rsidRDefault="008105B4" w:rsidP="00B004EE">
      <w:pPr>
        <w:pStyle w:val="Corpsdetexte3"/>
        <w:rPr>
          <w:rFonts w:ascii="Tahoma" w:hAnsi="Tahoma" w:cs="Tahoma"/>
          <w:sz w:val="20"/>
          <w:szCs w:val="20"/>
        </w:rPr>
      </w:pPr>
    </w:p>
    <w:p w14:paraId="145A729B" w14:textId="4A026EDC" w:rsidR="008105B4" w:rsidRPr="00B004EE" w:rsidRDefault="008105B4" w:rsidP="00B004EE">
      <w:pPr>
        <w:pStyle w:val="Corpsdetexte3"/>
        <w:rPr>
          <w:rFonts w:ascii="Tahoma" w:hAnsi="Tahoma" w:cs="Tahoma"/>
          <w:sz w:val="20"/>
          <w:szCs w:val="20"/>
        </w:rPr>
      </w:pPr>
      <w:r w:rsidRPr="00B004EE">
        <w:rPr>
          <w:rFonts w:ascii="Tahoma" w:hAnsi="Tahoma" w:cs="Tahoma"/>
          <w:sz w:val="20"/>
          <w:szCs w:val="20"/>
        </w:rPr>
        <w:t>Lorsque</w:t>
      </w:r>
      <w:r w:rsidR="00DB1635" w:rsidRPr="00B004EE">
        <w:rPr>
          <w:rFonts w:ascii="Tahoma" w:hAnsi="Tahoma" w:cs="Tahoma"/>
          <w:sz w:val="20"/>
          <w:szCs w:val="20"/>
        </w:rPr>
        <w:t xml:space="preserve"> </w:t>
      </w:r>
      <w:r w:rsidRPr="00B004EE">
        <w:rPr>
          <w:rFonts w:ascii="Tahoma" w:hAnsi="Tahoma" w:cs="Tahoma"/>
          <w:sz w:val="20"/>
          <w:szCs w:val="20"/>
        </w:rPr>
        <w:t>l’eau</w:t>
      </w:r>
      <w:r w:rsidR="00DB1635" w:rsidRPr="00B004EE">
        <w:rPr>
          <w:rFonts w:ascii="Tahoma" w:hAnsi="Tahoma" w:cs="Tahoma"/>
          <w:sz w:val="20"/>
          <w:szCs w:val="20"/>
        </w:rPr>
        <w:t xml:space="preserve"> </w:t>
      </w:r>
      <w:r w:rsidRPr="00B004EE">
        <w:rPr>
          <w:rFonts w:ascii="Tahoma" w:hAnsi="Tahoma" w:cs="Tahoma"/>
          <w:sz w:val="20"/>
          <w:szCs w:val="20"/>
        </w:rPr>
        <w:t>utilisée</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entreprises</w:t>
      </w:r>
      <w:r w:rsidR="00DB1635" w:rsidRPr="00B004EE">
        <w:rPr>
          <w:rFonts w:ascii="Tahoma" w:hAnsi="Tahoma" w:cs="Tahoma"/>
          <w:sz w:val="20"/>
          <w:szCs w:val="20"/>
        </w:rPr>
        <w:t xml:space="preserve"> </w:t>
      </w:r>
      <w:r w:rsidRPr="00B004EE">
        <w:rPr>
          <w:rFonts w:ascii="Tahoma" w:hAnsi="Tahoma" w:cs="Tahoma"/>
          <w:sz w:val="20"/>
          <w:szCs w:val="20"/>
        </w:rPr>
        <w:t>alimentaires</w:t>
      </w:r>
      <w:r w:rsidR="00DB1635" w:rsidRPr="00B004EE">
        <w:rPr>
          <w:rFonts w:ascii="Tahoma" w:hAnsi="Tahoma" w:cs="Tahoma"/>
          <w:sz w:val="20"/>
          <w:szCs w:val="20"/>
        </w:rPr>
        <w:t xml:space="preserve"> </w:t>
      </w:r>
      <w:r w:rsidRPr="00B004EE">
        <w:rPr>
          <w:rFonts w:ascii="Tahoma" w:hAnsi="Tahoma" w:cs="Tahoma"/>
          <w:sz w:val="20"/>
          <w:szCs w:val="20"/>
        </w:rPr>
        <w:t>ne</w:t>
      </w:r>
      <w:r w:rsidR="00DB1635" w:rsidRPr="00B004EE">
        <w:rPr>
          <w:rFonts w:ascii="Tahoma" w:hAnsi="Tahoma" w:cs="Tahoma"/>
          <w:sz w:val="20"/>
          <w:szCs w:val="20"/>
        </w:rPr>
        <w:t xml:space="preserve"> </w:t>
      </w:r>
      <w:r w:rsidRPr="00B004EE">
        <w:rPr>
          <w:rFonts w:ascii="Tahoma" w:hAnsi="Tahoma" w:cs="Tahoma"/>
          <w:sz w:val="20"/>
          <w:szCs w:val="20"/>
        </w:rPr>
        <w:t>provient</w:t>
      </w:r>
      <w:r w:rsidR="00DB1635" w:rsidRPr="00B004EE">
        <w:rPr>
          <w:rFonts w:ascii="Tahoma" w:hAnsi="Tahoma" w:cs="Tahoma"/>
          <w:sz w:val="20"/>
          <w:szCs w:val="20"/>
        </w:rPr>
        <w:t xml:space="preserve"> </w:t>
      </w:r>
      <w:r w:rsidRPr="00B004EE">
        <w:rPr>
          <w:rFonts w:ascii="Tahoma" w:hAnsi="Tahoma" w:cs="Tahoma"/>
          <w:sz w:val="20"/>
          <w:szCs w:val="20"/>
        </w:rPr>
        <w:t>pas</w:t>
      </w:r>
      <w:r w:rsidR="00DB1635" w:rsidRPr="00B004EE">
        <w:rPr>
          <w:rFonts w:ascii="Tahoma" w:hAnsi="Tahoma" w:cs="Tahoma"/>
          <w:sz w:val="20"/>
          <w:szCs w:val="20"/>
        </w:rPr>
        <w:t xml:space="preserve"> </w:t>
      </w:r>
      <w:r w:rsidRPr="00B004EE">
        <w:rPr>
          <w:rFonts w:ascii="Tahoma" w:hAnsi="Tahoma" w:cs="Tahoma"/>
          <w:sz w:val="20"/>
          <w:szCs w:val="20"/>
        </w:rPr>
        <w:t>d’une</w:t>
      </w:r>
      <w:r w:rsidR="00DB1635" w:rsidRPr="00B004EE">
        <w:rPr>
          <w:rFonts w:ascii="Tahoma" w:hAnsi="Tahoma" w:cs="Tahoma"/>
          <w:sz w:val="20"/>
          <w:szCs w:val="20"/>
        </w:rPr>
        <w:t xml:space="preserve"> </w:t>
      </w:r>
      <w:r w:rsidRPr="00B004EE">
        <w:rPr>
          <w:rFonts w:ascii="Tahoma" w:hAnsi="Tahoma" w:cs="Tahoma"/>
          <w:sz w:val="20"/>
          <w:szCs w:val="20"/>
        </w:rPr>
        <w:t>distribution</w:t>
      </w:r>
      <w:r w:rsidR="00DB1635" w:rsidRPr="00B004EE">
        <w:rPr>
          <w:rFonts w:ascii="Tahoma" w:hAnsi="Tahoma" w:cs="Tahoma"/>
          <w:sz w:val="20"/>
          <w:szCs w:val="20"/>
        </w:rPr>
        <w:t xml:space="preserve"> </w:t>
      </w:r>
      <w:r w:rsidRPr="00B004EE">
        <w:rPr>
          <w:rFonts w:ascii="Tahoma" w:hAnsi="Tahoma" w:cs="Tahoma"/>
          <w:sz w:val="20"/>
          <w:szCs w:val="20"/>
        </w:rPr>
        <w:t>publique,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prélèvements</w:t>
      </w:r>
      <w:r w:rsidR="00DB1635" w:rsidRPr="00B004EE">
        <w:rPr>
          <w:rFonts w:ascii="Tahoma" w:hAnsi="Tahoma" w:cs="Tahoma"/>
          <w:sz w:val="20"/>
          <w:szCs w:val="20"/>
        </w:rPr>
        <w:t xml:space="preserve"> </w:t>
      </w:r>
      <w:r w:rsidRPr="00B004EE">
        <w:rPr>
          <w:rFonts w:ascii="Tahoma" w:hAnsi="Tahoma" w:cs="Tahoma"/>
          <w:sz w:val="20"/>
          <w:szCs w:val="20"/>
        </w:rPr>
        <w:t>d’échantillons</w:t>
      </w:r>
      <w:r w:rsidR="00DB1635" w:rsidRPr="00B004EE">
        <w:rPr>
          <w:rFonts w:ascii="Tahoma" w:hAnsi="Tahoma" w:cs="Tahoma"/>
          <w:sz w:val="20"/>
          <w:szCs w:val="20"/>
        </w:rPr>
        <w:t xml:space="preserve"> </w:t>
      </w:r>
      <w:r w:rsidRPr="00B004EE">
        <w:rPr>
          <w:rFonts w:ascii="Tahoma" w:hAnsi="Tahoma" w:cs="Tahoma"/>
          <w:sz w:val="20"/>
          <w:szCs w:val="20"/>
        </w:rPr>
        <w:t>d’eau</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effectués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ressource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point</w:t>
      </w:r>
      <w:r w:rsidR="00DB1635" w:rsidRPr="00B004EE">
        <w:rPr>
          <w:rFonts w:ascii="Tahoma" w:hAnsi="Tahoma" w:cs="Tahoma"/>
          <w:sz w:val="20"/>
          <w:szCs w:val="20"/>
        </w:rPr>
        <w:t xml:space="preserve"> </w:t>
      </w:r>
      <w:r w:rsidRPr="00B004EE">
        <w:rPr>
          <w:rFonts w:ascii="Tahoma" w:hAnsi="Tahoma" w:cs="Tahoma"/>
          <w:sz w:val="20"/>
          <w:szCs w:val="20"/>
        </w:rPr>
        <w:t>où</w:t>
      </w:r>
      <w:r w:rsidR="00DB1635" w:rsidRPr="00B004EE">
        <w:rPr>
          <w:rFonts w:ascii="Tahoma" w:hAnsi="Tahoma" w:cs="Tahoma"/>
          <w:sz w:val="20"/>
          <w:szCs w:val="20"/>
        </w:rPr>
        <w:t xml:space="preserve"> </w:t>
      </w:r>
      <w:r w:rsidRPr="00B004EE">
        <w:rPr>
          <w:rFonts w:ascii="Tahoma" w:hAnsi="Tahoma" w:cs="Tahoma"/>
          <w:sz w:val="20"/>
          <w:szCs w:val="20"/>
        </w:rPr>
        <w:t>elle</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utilisée</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l’entreprise.</w:t>
      </w:r>
      <w:r w:rsidR="00DB1635" w:rsidRPr="00B004EE">
        <w:rPr>
          <w:rFonts w:ascii="Tahoma" w:hAnsi="Tahoma" w:cs="Tahoma"/>
          <w:sz w:val="20"/>
          <w:szCs w:val="20"/>
        </w:rPr>
        <w:t xml:space="preserve"> </w:t>
      </w:r>
    </w:p>
    <w:p w14:paraId="6CEB6C89" w14:textId="77777777" w:rsidR="008105B4" w:rsidRPr="00B004EE" w:rsidRDefault="008105B4" w:rsidP="00B004EE">
      <w:pPr>
        <w:jc w:val="both"/>
        <w:rPr>
          <w:rFonts w:ascii="Tahoma" w:hAnsi="Tahoma" w:cs="Tahoma"/>
          <w:sz w:val="20"/>
          <w:szCs w:val="20"/>
        </w:rPr>
      </w:pPr>
    </w:p>
    <w:p w14:paraId="1EAFC7DF" w14:textId="1226BBFE" w:rsidR="008105B4" w:rsidRPr="00B004EE" w:rsidRDefault="008105B4" w:rsidP="00B004EE">
      <w:pPr>
        <w:jc w:val="both"/>
        <w:rPr>
          <w:rFonts w:ascii="Tahoma" w:hAnsi="Tahoma" w:cs="Tahoma"/>
          <w:sz w:val="20"/>
          <w:szCs w:val="20"/>
        </w:rPr>
      </w:pP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différents</w:t>
      </w:r>
      <w:r w:rsidR="00DB1635" w:rsidRPr="00B004EE">
        <w:rPr>
          <w:rFonts w:ascii="Tahoma" w:hAnsi="Tahoma" w:cs="Tahoma"/>
          <w:sz w:val="20"/>
          <w:szCs w:val="20"/>
        </w:rPr>
        <w:t xml:space="preserve"> </w:t>
      </w:r>
      <w:r w:rsidRPr="00B004EE">
        <w:rPr>
          <w:rFonts w:ascii="Tahoma" w:hAnsi="Tahoma" w:cs="Tahoma"/>
          <w:sz w:val="20"/>
          <w:szCs w:val="20"/>
        </w:rPr>
        <w:t>paramètres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mesurer,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prélèvements</w:t>
      </w:r>
      <w:r w:rsidR="00DB1635" w:rsidRPr="00B004EE">
        <w:rPr>
          <w:rFonts w:ascii="Tahoma" w:hAnsi="Tahoma" w:cs="Tahoma"/>
          <w:sz w:val="20"/>
          <w:szCs w:val="20"/>
        </w:rPr>
        <w:t xml:space="preserve"> </w:t>
      </w:r>
      <w:r w:rsidRPr="00B004EE">
        <w:rPr>
          <w:rFonts w:ascii="Tahoma" w:hAnsi="Tahoma" w:cs="Tahoma"/>
          <w:sz w:val="20"/>
          <w:szCs w:val="20"/>
        </w:rPr>
        <w:t>peuvent</w:t>
      </w:r>
      <w:r w:rsidR="00DB1635" w:rsidRPr="00B004EE">
        <w:rPr>
          <w:rFonts w:ascii="Tahoma" w:hAnsi="Tahoma" w:cs="Tahoma"/>
          <w:sz w:val="20"/>
          <w:szCs w:val="20"/>
        </w:rPr>
        <w:t xml:space="preserve"> </w:t>
      </w:r>
      <w:r w:rsidRPr="00B004EE">
        <w:rPr>
          <w:rFonts w:ascii="Tahoma" w:hAnsi="Tahoma" w:cs="Tahoma"/>
          <w:sz w:val="20"/>
          <w:szCs w:val="20"/>
        </w:rPr>
        <w:t>n’être</w:t>
      </w:r>
      <w:r w:rsidR="00DB1635" w:rsidRPr="00B004EE">
        <w:rPr>
          <w:rFonts w:ascii="Tahoma" w:hAnsi="Tahoma" w:cs="Tahoma"/>
          <w:sz w:val="20"/>
          <w:szCs w:val="20"/>
        </w:rPr>
        <w:t xml:space="preserve"> </w:t>
      </w:r>
      <w:r w:rsidRPr="00B004EE">
        <w:rPr>
          <w:rFonts w:ascii="Tahoma" w:hAnsi="Tahoma" w:cs="Tahoma"/>
          <w:sz w:val="20"/>
          <w:szCs w:val="20"/>
        </w:rPr>
        <w:t>réalisés</w:t>
      </w:r>
      <w:r w:rsidR="00DB1635" w:rsidRPr="00B004EE">
        <w:rPr>
          <w:rFonts w:ascii="Tahoma" w:hAnsi="Tahoma" w:cs="Tahoma"/>
          <w:sz w:val="20"/>
          <w:szCs w:val="20"/>
        </w:rPr>
        <w:t xml:space="preserve"> </w:t>
      </w:r>
      <w:r w:rsidRPr="00B004EE">
        <w:rPr>
          <w:rFonts w:ascii="Tahoma" w:hAnsi="Tahoma" w:cs="Tahoma"/>
          <w:sz w:val="20"/>
          <w:szCs w:val="20"/>
        </w:rPr>
        <w:t>qu’au</w:t>
      </w:r>
      <w:r w:rsidR="00DB1635" w:rsidRPr="00B004EE">
        <w:rPr>
          <w:rFonts w:ascii="Tahoma" w:hAnsi="Tahoma" w:cs="Tahoma"/>
          <w:sz w:val="20"/>
          <w:szCs w:val="20"/>
        </w:rPr>
        <w:t xml:space="preserve"> </w:t>
      </w:r>
      <w:r w:rsidRPr="00B004EE">
        <w:rPr>
          <w:rFonts w:ascii="Tahoma" w:hAnsi="Tahoma" w:cs="Tahoma"/>
          <w:sz w:val="20"/>
          <w:szCs w:val="20"/>
        </w:rPr>
        <w:t>point</w:t>
      </w:r>
      <w:r w:rsidR="00DB1635" w:rsidRPr="00B004EE">
        <w:rPr>
          <w:rFonts w:ascii="Tahoma" w:hAnsi="Tahoma" w:cs="Tahoma"/>
          <w:sz w:val="20"/>
          <w:szCs w:val="20"/>
        </w:rPr>
        <w:t xml:space="preserve"> </w:t>
      </w:r>
      <w:r w:rsidRPr="00B004EE">
        <w:rPr>
          <w:rFonts w:ascii="Tahoma" w:hAnsi="Tahoma" w:cs="Tahoma"/>
          <w:sz w:val="20"/>
          <w:szCs w:val="20"/>
        </w:rPr>
        <w:t>où</w:t>
      </w:r>
      <w:r w:rsidR="00DB1635" w:rsidRPr="00B004EE">
        <w:rPr>
          <w:rFonts w:ascii="Tahoma" w:hAnsi="Tahoma" w:cs="Tahoma"/>
          <w:sz w:val="20"/>
          <w:szCs w:val="20"/>
        </w:rPr>
        <w:t xml:space="preserve"> </w:t>
      </w:r>
      <w:r w:rsidRPr="00B004EE">
        <w:rPr>
          <w:rFonts w:ascii="Tahoma" w:hAnsi="Tahoma" w:cs="Tahoma"/>
          <w:sz w:val="20"/>
          <w:szCs w:val="20"/>
        </w:rPr>
        <w:t>elle</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utilisée</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l’entreprise</w:t>
      </w:r>
      <w:r w:rsidR="00DB1635" w:rsidRPr="00B004EE">
        <w:rPr>
          <w:rFonts w:ascii="Tahoma" w:hAnsi="Tahoma" w:cs="Tahoma"/>
          <w:sz w:val="20"/>
          <w:szCs w:val="20"/>
        </w:rPr>
        <w:t xml:space="preserve"> </w:t>
      </w:r>
      <w:r w:rsidRPr="00B004EE">
        <w:rPr>
          <w:rFonts w:ascii="Tahoma" w:hAnsi="Tahoma" w:cs="Tahoma"/>
          <w:sz w:val="20"/>
          <w:szCs w:val="20"/>
        </w:rPr>
        <w:t>lorsque</w:t>
      </w:r>
      <w:r w:rsidR="00DB1635" w:rsidRPr="00B004EE">
        <w:rPr>
          <w:rFonts w:ascii="Tahoma" w:hAnsi="Tahoma" w:cs="Tahoma"/>
          <w:sz w:val="20"/>
          <w:szCs w:val="20"/>
        </w:rPr>
        <w:t xml:space="preserve"> </w:t>
      </w:r>
      <w:r w:rsidRPr="00B004EE">
        <w:rPr>
          <w:rFonts w:ascii="Tahoma" w:hAnsi="Tahoma" w:cs="Tahoma"/>
          <w:sz w:val="20"/>
          <w:szCs w:val="20"/>
        </w:rPr>
        <w:t>:</w:t>
      </w:r>
    </w:p>
    <w:p w14:paraId="5893727A" w14:textId="53333C23" w:rsidR="008105B4" w:rsidRPr="00B004EE" w:rsidRDefault="008105B4" w:rsidP="00B004EE">
      <w:pPr>
        <w:jc w:val="both"/>
        <w:rPr>
          <w:rFonts w:ascii="Tahoma" w:hAnsi="Tahoma" w:cs="Tahoma"/>
          <w:sz w:val="20"/>
          <w:szCs w:val="20"/>
        </w:rPr>
      </w:pPr>
      <w:r w:rsidRPr="00B004EE">
        <w:rPr>
          <w:rFonts w:ascii="Tahoma" w:hAnsi="Tahoma" w:cs="Tahoma"/>
          <w:sz w:val="20"/>
          <w:szCs w:val="20"/>
        </w:rPr>
        <w:t>a)</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valeurs</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résultats</w:t>
      </w:r>
      <w:r w:rsidR="00DB1635" w:rsidRPr="00B004EE">
        <w:rPr>
          <w:rFonts w:ascii="Tahoma" w:hAnsi="Tahoma" w:cs="Tahoma"/>
          <w:sz w:val="20"/>
          <w:szCs w:val="20"/>
        </w:rPr>
        <w:t xml:space="preserve"> </w:t>
      </w:r>
      <w:r w:rsidRPr="00B004EE">
        <w:rPr>
          <w:rFonts w:ascii="Tahoma" w:hAnsi="Tahoma" w:cs="Tahoma"/>
          <w:sz w:val="20"/>
          <w:szCs w:val="20"/>
        </w:rPr>
        <w:t>obtenus</w:t>
      </w:r>
      <w:r w:rsidR="00DB1635" w:rsidRPr="00B004EE">
        <w:rPr>
          <w:rFonts w:ascii="Tahoma" w:hAnsi="Tahoma" w:cs="Tahoma"/>
          <w:sz w:val="20"/>
          <w:szCs w:val="20"/>
        </w:rPr>
        <w:t xml:space="preserve"> </w:t>
      </w:r>
      <w:r w:rsidRPr="00B004EE">
        <w:rPr>
          <w:rFonts w:ascii="Tahoma" w:hAnsi="Tahoma" w:cs="Tahoma"/>
          <w:sz w:val="20"/>
          <w:szCs w:val="20"/>
        </w:rPr>
        <w:t>avec</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échantillons</w:t>
      </w:r>
      <w:r w:rsidR="00DB1635" w:rsidRPr="00B004EE">
        <w:rPr>
          <w:rFonts w:ascii="Tahoma" w:hAnsi="Tahoma" w:cs="Tahoma"/>
          <w:sz w:val="20"/>
          <w:szCs w:val="20"/>
        </w:rPr>
        <w:t xml:space="preserve"> </w:t>
      </w:r>
      <w:r w:rsidRPr="00B004EE">
        <w:rPr>
          <w:rFonts w:ascii="Tahoma" w:hAnsi="Tahoma" w:cs="Tahoma"/>
          <w:sz w:val="20"/>
          <w:szCs w:val="20"/>
        </w:rPr>
        <w:t>prélevés</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cours</w:t>
      </w:r>
      <w:r w:rsidR="00DB1635" w:rsidRPr="00B004EE">
        <w:rPr>
          <w:rFonts w:ascii="Tahoma" w:hAnsi="Tahoma" w:cs="Tahoma"/>
          <w:sz w:val="20"/>
          <w:szCs w:val="20"/>
        </w:rPr>
        <w:t xml:space="preserve"> </w:t>
      </w:r>
      <w:r w:rsidRPr="00B004EE">
        <w:rPr>
          <w:rFonts w:ascii="Tahoma" w:hAnsi="Tahoma" w:cs="Tahoma"/>
          <w:sz w:val="20"/>
          <w:szCs w:val="20"/>
        </w:rPr>
        <w:t>d’une</w:t>
      </w:r>
      <w:r w:rsidR="00DB1635" w:rsidRPr="00B004EE">
        <w:rPr>
          <w:rFonts w:ascii="Tahoma" w:hAnsi="Tahoma" w:cs="Tahoma"/>
          <w:sz w:val="20"/>
          <w:szCs w:val="20"/>
        </w:rPr>
        <w:t xml:space="preserve"> </w:t>
      </w:r>
      <w:r w:rsidRPr="00B004EE">
        <w:rPr>
          <w:rFonts w:ascii="Tahoma" w:hAnsi="Tahoma" w:cs="Tahoma"/>
          <w:sz w:val="20"/>
          <w:szCs w:val="20"/>
        </w:rPr>
        <w:t>période</w:t>
      </w:r>
      <w:r w:rsidR="00DB1635" w:rsidRPr="00B004EE">
        <w:rPr>
          <w:rFonts w:ascii="Tahoma" w:hAnsi="Tahoma" w:cs="Tahoma"/>
          <w:sz w:val="20"/>
          <w:szCs w:val="20"/>
        </w:rPr>
        <w:t xml:space="preserve"> </w:t>
      </w:r>
      <w:r w:rsidRPr="00B004EE">
        <w:rPr>
          <w:rFonts w:ascii="Tahoma" w:hAnsi="Tahoma" w:cs="Tahoma"/>
          <w:sz w:val="20"/>
          <w:szCs w:val="20"/>
        </w:rPr>
        <w:t>d’au</w:t>
      </w:r>
      <w:r w:rsidR="00DB1635" w:rsidRPr="00B004EE">
        <w:rPr>
          <w:rFonts w:ascii="Tahoma" w:hAnsi="Tahoma" w:cs="Tahoma"/>
          <w:sz w:val="20"/>
          <w:szCs w:val="20"/>
        </w:rPr>
        <w:t xml:space="preserve"> </w:t>
      </w:r>
      <w:r w:rsidRPr="00B004EE">
        <w:rPr>
          <w:rFonts w:ascii="Tahoma" w:hAnsi="Tahoma" w:cs="Tahoma"/>
          <w:sz w:val="20"/>
          <w:szCs w:val="20"/>
        </w:rPr>
        <w:t>moins</w:t>
      </w:r>
      <w:r w:rsidR="00DB1635" w:rsidRPr="00B004EE">
        <w:rPr>
          <w:rFonts w:ascii="Tahoma" w:hAnsi="Tahoma" w:cs="Tahoma"/>
          <w:sz w:val="20"/>
          <w:szCs w:val="20"/>
        </w:rPr>
        <w:t xml:space="preserve"> </w:t>
      </w:r>
      <w:r w:rsidRPr="00B004EE">
        <w:rPr>
          <w:rFonts w:ascii="Tahoma" w:hAnsi="Tahoma" w:cs="Tahoma"/>
          <w:sz w:val="20"/>
          <w:szCs w:val="20"/>
        </w:rPr>
        <w:t>deux</w:t>
      </w:r>
      <w:r w:rsidR="00DB1635" w:rsidRPr="00B004EE">
        <w:rPr>
          <w:rFonts w:ascii="Tahoma" w:hAnsi="Tahoma" w:cs="Tahoma"/>
          <w:sz w:val="20"/>
          <w:szCs w:val="20"/>
        </w:rPr>
        <w:t xml:space="preserve"> </w:t>
      </w:r>
      <w:r w:rsidRPr="00B004EE">
        <w:rPr>
          <w:rFonts w:ascii="Tahoma" w:hAnsi="Tahoma" w:cs="Tahoma"/>
          <w:sz w:val="20"/>
          <w:szCs w:val="20"/>
        </w:rPr>
        <w:t>années</w:t>
      </w:r>
      <w:r w:rsidR="00DB1635" w:rsidRPr="00B004EE">
        <w:rPr>
          <w:rFonts w:ascii="Tahoma" w:hAnsi="Tahoma" w:cs="Tahoma"/>
          <w:sz w:val="20"/>
          <w:szCs w:val="20"/>
        </w:rPr>
        <w:t xml:space="preserve"> </w:t>
      </w:r>
      <w:r w:rsidRPr="00B004EE">
        <w:rPr>
          <w:rFonts w:ascii="Tahoma" w:hAnsi="Tahoma" w:cs="Tahoma"/>
          <w:sz w:val="20"/>
          <w:szCs w:val="20"/>
        </w:rPr>
        <w:t>successives</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constantes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sensiblement</w:t>
      </w:r>
      <w:r w:rsidR="00DB1635" w:rsidRPr="00B004EE">
        <w:rPr>
          <w:rFonts w:ascii="Tahoma" w:hAnsi="Tahoma" w:cs="Tahoma"/>
          <w:sz w:val="20"/>
          <w:szCs w:val="20"/>
        </w:rPr>
        <w:t xml:space="preserve"> </w:t>
      </w:r>
      <w:r w:rsidRPr="00B004EE">
        <w:rPr>
          <w:rFonts w:ascii="Tahoma" w:hAnsi="Tahoma" w:cs="Tahoma"/>
          <w:sz w:val="20"/>
          <w:szCs w:val="20"/>
        </w:rPr>
        <w:t>meilleures</w:t>
      </w:r>
      <w:r w:rsidR="00DB1635" w:rsidRPr="00B004EE">
        <w:rPr>
          <w:rFonts w:ascii="Tahoma" w:hAnsi="Tahoma" w:cs="Tahoma"/>
          <w:sz w:val="20"/>
          <w:szCs w:val="20"/>
        </w:rPr>
        <w:t xml:space="preserve"> </w:t>
      </w:r>
      <w:r w:rsidRPr="00B004EE">
        <w:rPr>
          <w:rFonts w:ascii="Tahoma" w:hAnsi="Tahoma" w:cs="Tahoma"/>
          <w:sz w:val="20"/>
          <w:szCs w:val="20"/>
        </w:rPr>
        <w:t>que</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limites</w:t>
      </w:r>
      <w:r w:rsidR="00DB1635" w:rsidRPr="00B004EE">
        <w:rPr>
          <w:rFonts w:ascii="Tahoma" w:hAnsi="Tahoma" w:cs="Tahoma"/>
          <w:sz w:val="20"/>
          <w:szCs w:val="20"/>
        </w:rPr>
        <w:t xml:space="preserve"> </w:t>
      </w:r>
      <w:r w:rsidRPr="00B004EE">
        <w:rPr>
          <w:rFonts w:ascii="Tahoma" w:hAnsi="Tahoma" w:cs="Tahoma"/>
          <w:sz w:val="20"/>
          <w:szCs w:val="20"/>
        </w:rPr>
        <w:t>prévues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l’annexe</w:t>
      </w:r>
      <w:r w:rsidR="00DB1635" w:rsidRPr="00B004EE">
        <w:rPr>
          <w:rFonts w:ascii="Tahoma" w:hAnsi="Tahoma" w:cs="Tahoma"/>
          <w:sz w:val="20"/>
          <w:szCs w:val="20"/>
        </w:rPr>
        <w:t xml:space="preserve"> </w:t>
      </w:r>
      <w:r w:rsidRPr="00B004EE">
        <w:rPr>
          <w:rFonts w:ascii="Tahoma" w:hAnsi="Tahoma" w:cs="Tahoma"/>
          <w:sz w:val="20"/>
          <w:szCs w:val="20"/>
        </w:rPr>
        <w:t>I,</w:t>
      </w:r>
    </w:p>
    <w:p w14:paraId="2B9BA291" w14:textId="5944CE6E" w:rsidR="008105B4" w:rsidRPr="00B004EE" w:rsidRDefault="008105B4" w:rsidP="00B004EE">
      <w:pPr>
        <w:jc w:val="both"/>
        <w:rPr>
          <w:rFonts w:ascii="Tahoma" w:hAnsi="Tahoma" w:cs="Tahoma"/>
          <w:sz w:val="20"/>
          <w:szCs w:val="20"/>
        </w:rPr>
      </w:pPr>
      <w:r w:rsidRPr="00B004EE">
        <w:rPr>
          <w:rFonts w:ascii="Tahoma" w:hAnsi="Tahoma" w:cs="Tahoma"/>
          <w:sz w:val="20"/>
          <w:szCs w:val="20"/>
        </w:rPr>
        <w:t>b)</w:t>
      </w:r>
      <w:r w:rsidR="00DB1635" w:rsidRPr="00B004EE">
        <w:rPr>
          <w:rFonts w:ascii="Tahoma" w:hAnsi="Tahoma" w:cs="Tahoma"/>
          <w:sz w:val="20"/>
          <w:szCs w:val="20"/>
        </w:rPr>
        <w:t xml:space="preserve"> </w:t>
      </w:r>
      <w:r w:rsidRPr="00B004EE">
        <w:rPr>
          <w:rFonts w:ascii="Tahoma" w:hAnsi="Tahoma" w:cs="Tahoma"/>
          <w:sz w:val="20"/>
          <w:szCs w:val="20"/>
        </w:rPr>
        <w:t>qu’aucun</w:t>
      </w:r>
      <w:r w:rsidR="00DB1635" w:rsidRPr="00B004EE">
        <w:rPr>
          <w:rFonts w:ascii="Tahoma" w:hAnsi="Tahoma" w:cs="Tahoma"/>
          <w:sz w:val="20"/>
          <w:szCs w:val="20"/>
        </w:rPr>
        <w:t xml:space="preserve"> </w:t>
      </w:r>
      <w:r w:rsidRPr="00B004EE">
        <w:rPr>
          <w:rFonts w:ascii="Tahoma" w:hAnsi="Tahoma" w:cs="Tahoma"/>
          <w:sz w:val="20"/>
          <w:szCs w:val="20"/>
        </w:rPr>
        <w:t>facteur</w:t>
      </w:r>
      <w:r w:rsidR="00DB1635" w:rsidRPr="00B004EE">
        <w:rPr>
          <w:rFonts w:ascii="Tahoma" w:hAnsi="Tahoma" w:cs="Tahoma"/>
          <w:sz w:val="20"/>
          <w:szCs w:val="20"/>
        </w:rPr>
        <w:t xml:space="preserve"> </w:t>
      </w:r>
      <w:r w:rsidRPr="00B004EE">
        <w:rPr>
          <w:rFonts w:ascii="Tahoma" w:hAnsi="Tahoma" w:cs="Tahoma"/>
          <w:sz w:val="20"/>
          <w:szCs w:val="20"/>
        </w:rPr>
        <w:t>n’est</w:t>
      </w:r>
      <w:r w:rsidR="00DB1635" w:rsidRPr="00B004EE">
        <w:rPr>
          <w:rFonts w:ascii="Tahoma" w:hAnsi="Tahoma" w:cs="Tahoma"/>
          <w:sz w:val="20"/>
          <w:szCs w:val="20"/>
        </w:rPr>
        <w:t xml:space="preserve"> </w:t>
      </w:r>
      <w:r w:rsidRPr="00B004EE">
        <w:rPr>
          <w:rFonts w:ascii="Tahoma" w:hAnsi="Tahoma" w:cs="Tahoma"/>
          <w:sz w:val="20"/>
          <w:szCs w:val="20"/>
        </w:rPr>
        <w:t>susceptible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diminuer</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qualité</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eaux</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qu’il</w:t>
      </w:r>
      <w:r w:rsidR="00DB1635" w:rsidRPr="00B004EE">
        <w:rPr>
          <w:rFonts w:ascii="Tahoma" w:hAnsi="Tahoma" w:cs="Tahoma"/>
          <w:sz w:val="20"/>
          <w:szCs w:val="20"/>
        </w:rPr>
        <w:t xml:space="preserve"> </w:t>
      </w:r>
      <w:r w:rsidRPr="00B004EE">
        <w:rPr>
          <w:rFonts w:ascii="Tahoma" w:hAnsi="Tahoma" w:cs="Tahoma"/>
          <w:sz w:val="20"/>
          <w:szCs w:val="20"/>
        </w:rPr>
        <w:t>n’y</w:t>
      </w:r>
      <w:r w:rsidR="00DB1635" w:rsidRPr="00B004EE">
        <w:rPr>
          <w:rFonts w:ascii="Tahoma" w:hAnsi="Tahoma" w:cs="Tahoma"/>
          <w:sz w:val="20"/>
          <w:szCs w:val="20"/>
        </w:rPr>
        <w:t xml:space="preserve"> </w:t>
      </w:r>
      <w:r w:rsidRPr="00B004EE">
        <w:rPr>
          <w:rFonts w:ascii="Tahoma" w:hAnsi="Tahoma" w:cs="Tahoma"/>
          <w:sz w:val="20"/>
          <w:szCs w:val="20"/>
        </w:rPr>
        <w:t>a</w:t>
      </w:r>
      <w:r w:rsidR="00DB1635" w:rsidRPr="00B004EE">
        <w:rPr>
          <w:rFonts w:ascii="Tahoma" w:hAnsi="Tahoma" w:cs="Tahoma"/>
          <w:sz w:val="20"/>
          <w:szCs w:val="20"/>
        </w:rPr>
        <w:t xml:space="preserve"> </w:t>
      </w:r>
      <w:r w:rsidRPr="00B004EE">
        <w:rPr>
          <w:rFonts w:ascii="Tahoma" w:hAnsi="Tahoma" w:cs="Tahoma"/>
          <w:sz w:val="20"/>
          <w:szCs w:val="20"/>
        </w:rPr>
        <w:t>guère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différence</w:t>
      </w:r>
      <w:r w:rsidR="00DB1635" w:rsidRPr="00B004EE">
        <w:rPr>
          <w:rFonts w:ascii="Tahoma" w:hAnsi="Tahoma" w:cs="Tahoma"/>
          <w:sz w:val="20"/>
          <w:szCs w:val="20"/>
        </w:rPr>
        <w:t xml:space="preserve"> </w:t>
      </w:r>
      <w:r w:rsidRPr="00B004EE">
        <w:rPr>
          <w:rFonts w:ascii="Tahoma" w:hAnsi="Tahoma" w:cs="Tahoma"/>
          <w:sz w:val="20"/>
          <w:szCs w:val="20"/>
        </w:rPr>
        <w:t>entre</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échantillons</w:t>
      </w:r>
      <w:r w:rsidR="00DB1635" w:rsidRPr="00B004EE">
        <w:rPr>
          <w:rFonts w:ascii="Tahoma" w:hAnsi="Tahoma" w:cs="Tahoma"/>
          <w:sz w:val="20"/>
          <w:szCs w:val="20"/>
        </w:rPr>
        <w:t xml:space="preserve"> </w:t>
      </w:r>
      <w:r w:rsidRPr="00B004EE">
        <w:rPr>
          <w:rFonts w:ascii="Tahoma" w:hAnsi="Tahoma" w:cs="Tahoma"/>
          <w:sz w:val="20"/>
          <w:szCs w:val="20"/>
        </w:rPr>
        <w:t>prélevés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ressource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point</w:t>
      </w:r>
      <w:r w:rsidR="00DB1635" w:rsidRPr="00B004EE">
        <w:rPr>
          <w:rFonts w:ascii="Tahoma" w:hAnsi="Tahoma" w:cs="Tahoma"/>
          <w:sz w:val="20"/>
          <w:szCs w:val="20"/>
        </w:rPr>
        <w:t xml:space="preserve"> </w:t>
      </w:r>
      <w:r w:rsidRPr="00B004EE">
        <w:rPr>
          <w:rFonts w:ascii="Tahoma" w:hAnsi="Tahoma" w:cs="Tahoma"/>
          <w:sz w:val="20"/>
          <w:szCs w:val="20"/>
        </w:rPr>
        <w:t>où</w:t>
      </w:r>
      <w:r w:rsidR="00DB1635" w:rsidRPr="00B004EE">
        <w:rPr>
          <w:rFonts w:ascii="Tahoma" w:hAnsi="Tahoma" w:cs="Tahoma"/>
          <w:sz w:val="20"/>
          <w:szCs w:val="20"/>
        </w:rPr>
        <w:t xml:space="preserve"> </w:t>
      </w:r>
      <w:r w:rsidRPr="00B004EE">
        <w:rPr>
          <w:rFonts w:ascii="Tahoma" w:hAnsi="Tahoma" w:cs="Tahoma"/>
          <w:sz w:val="20"/>
          <w:szCs w:val="20"/>
        </w:rPr>
        <w:t>elle</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utilisée</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l’entreprise.</w:t>
      </w:r>
    </w:p>
    <w:p w14:paraId="0CB84BE7" w14:textId="64E012A3" w:rsidR="008105B4" w:rsidRPr="00B004EE" w:rsidRDefault="008105B4" w:rsidP="00B004EE">
      <w:pPr>
        <w:jc w:val="both"/>
        <w:rPr>
          <w:rFonts w:ascii="Tahoma" w:hAnsi="Tahoma" w:cs="Tahoma"/>
          <w:sz w:val="20"/>
          <w:szCs w:val="20"/>
        </w:rPr>
      </w:pPr>
    </w:p>
    <w:p w14:paraId="0337E19E" w14:textId="77777777" w:rsidR="002B5360" w:rsidRPr="00B004EE" w:rsidRDefault="002B5360" w:rsidP="00B004EE">
      <w:pPr>
        <w:jc w:val="both"/>
        <w:rPr>
          <w:rFonts w:ascii="Tahoma" w:hAnsi="Tahoma" w:cs="Tahoma"/>
          <w:sz w:val="20"/>
          <w:szCs w:val="20"/>
        </w:rPr>
      </w:pPr>
    </w:p>
    <w:p w14:paraId="15448B60" w14:textId="71245F2B" w:rsidR="008105B4" w:rsidRPr="00B004EE" w:rsidRDefault="008105B4" w:rsidP="00B004EE">
      <w:pPr>
        <w:jc w:val="both"/>
        <w:rPr>
          <w:rFonts w:ascii="Tahoma" w:hAnsi="Tahoma" w:cs="Tahoma"/>
          <w:b/>
          <w:bCs/>
          <w:i/>
          <w:iCs/>
          <w:sz w:val="20"/>
          <w:szCs w:val="20"/>
        </w:rPr>
      </w:pPr>
      <w:r w:rsidRPr="00B004EE">
        <w:rPr>
          <w:rFonts w:ascii="Tahoma" w:hAnsi="Tahoma" w:cs="Tahoma"/>
          <w:b/>
          <w:bCs/>
          <w:sz w:val="20"/>
          <w:szCs w:val="20"/>
        </w:rPr>
        <w:t>A.</w:t>
      </w:r>
      <w:r w:rsidR="00DB1635" w:rsidRPr="00B004EE">
        <w:rPr>
          <w:rFonts w:ascii="Tahoma" w:hAnsi="Tahoma" w:cs="Tahoma"/>
          <w:b/>
          <w:bCs/>
          <w:sz w:val="20"/>
          <w:szCs w:val="20"/>
        </w:rPr>
        <w:t xml:space="preserve"> </w:t>
      </w:r>
      <w:r w:rsidRPr="00B004EE">
        <w:rPr>
          <w:rFonts w:ascii="Tahoma" w:hAnsi="Tahoma" w:cs="Tahoma"/>
          <w:b/>
          <w:bCs/>
          <w:i/>
          <w:iCs/>
          <w:sz w:val="20"/>
          <w:szCs w:val="20"/>
        </w:rPr>
        <w:t>Contrôle</w:t>
      </w:r>
      <w:r w:rsidR="00DB1635" w:rsidRPr="00B004EE">
        <w:rPr>
          <w:rFonts w:ascii="Tahoma" w:hAnsi="Tahoma" w:cs="Tahoma"/>
          <w:b/>
          <w:bCs/>
          <w:i/>
          <w:iCs/>
          <w:sz w:val="20"/>
          <w:szCs w:val="20"/>
        </w:rPr>
        <w:t xml:space="preserve"> </w:t>
      </w:r>
      <w:r w:rsidRPr="00B004EE">
        <w:rPr>
          <w:rFonts w:ascii="Tahoma" w:hAnsi="Tahoma" w:cs="Tahoma"/>
          <w:b/>
          <w:bCs/>
          <w:i/>
          <w:iCs/>
          <w:sz w:val="20"/>
          <w:szCs w:val="20"/>
        </w:rPr>
        <w:t>de</w:t>
      </w:r>
      <w:r w:rsidR="00DB1635" w:rsidRPr="00B004EE">
        <w:rPr>
          <w:rFonts w:ascii="Tahoma" w:hAnsi="Tahoma" w:cs="Tahoma"/>
          <w:b/>
          <w:bCs/>
          <w:i/>
          <w:iCs/>
          <w:sz w:val="20"/>
          <w:szCs w:val="20"/>
        </w:rPr>
        <w:t xml:space="preserve"> </w:t>
      </w:r>
      <w:r w:rsidRPr="00B004EE">
        <w:rPr>
          <w:rFonts w:ascii="Tahoma" w:hAnsi="Tahoma" w:cs="Tahoma"/>
          <w:b/>
          <w:bCs/>
          <w:i/>
          <w:iCs/>
          <w:sz w:val="20"/>
          <w:szCs w:val="20"/>
        </w:rPr>
        <w:t>routine</w:t>
      </w:r>
    </w:p>
    <w:p w14:paraId="01A3AD08" w14:textId="77777777" w:rsidR="008105B4" w:rsidRPr="00B004EE" w:rsidRDefault="008105B4" w:rsidP="00B004EE">
      <w:pPr>
        <w:jc w:val="both"/>
        <w:rPr>
          <w:rFonts w:ascii="Tahoma" w:hAnsi="Tahoma" w:cs="Tahoma"/>
          <w:sz w:val="20"/>
          <w:szCs w:val="20"/>
        </w:rPr>
      </w:pPr>
    </w:p>
    <w:p w14:paraId="7F31C67F" w14:textId="6E7D581E" w:rsidR="008105B4" w:rsidRPr="00B004EE" w:rsidRDefault="008105B4" w:rsidP="00B004EE">
      <w:pPr>
        <w:jc w:val="both"/>
        <w:rPr>
          <w:rFonts w:ascii="Tahoma" w:hAnsi="Tahoma" w:cs="Tahoma"/>
          <w:b/>
          <w:bCs/>
          <w:sz w:val="20"/>
          <w:szCs w:val="20"/>
        </w:rPr>
      </w:pPr>
      <w:r w:rsidRPr="00B004EE">
        <w:rPr>
          <w:rFonts w:ascii="Tahoma" w:hAnsi="Tahoma" w:cs="Tahoma"/>
          <w:b/>
          <w:bCs/>
          <w:sz w:val="20"/>
          <w:szCs w:val="20"/>
        </w:rPr>
        <w:t>Tableau</w:t>
      </w:r>
      <w:r w:rsidR="00DB1635" w:rsidRPr="00B004EE">
        <w:rPr>
          <w:rFonts w:ascii="Tahoma" w:hAnsi="Tahoma" w:cs="Tahoma"/>
          <w:b/>
          <w:bCs/>
          <w:sz w:val="20"/>
          <w:szCs w:val="20"/>
        </w:rPr>
        <w:t xml:space="preserve"> </w:t>
      </w:r>
      <w:r w:rsidRPr="00B004EE">
        <w:rPr>
          <w:rFonts w:ascii="Tahoma" w:hAnsi="Tahoma" w:cs="Tahoma"/>
          <w:b/>
          <w:bCs/>
          <w:sz w:val="20"/>
          <w:szCs w:val="20"/>
        </w:rPr>
        <w:t>F</w:t>
      </w:r>
      <w:r w:rsidR="00DB1635" w:rsidRPr="00B004EE">
        <w:rPr>
          <w:rFonts w:ascii="Tahoma" w:hAnsi="Tahoma" w:cs="Tahoma"/>
          <w:b/>
          <w:bCs/>
          <w:sz w:val="20"/>
          <w:szCs w:val="20"/>
        </w:rPr>
        <w:t xml:space="preserve"> </w:t>
      </w:r>
      <w:r w:rsidRPr="00B004EE">
        <w:rPr>
          <w:rFonts w:ascii="Tahoma" w:hAnsi="Tahoma" w:cs="Tahoma"/>
          <w:b/>
          <w:bCs/>
          <w:sz w:val="20"/>
          <w:szCs w:val="20"/>
        </w:rPr>
        <w:t>:</w:t>
      </w:r>
      <w:r w:rsidR="00DB1635" w:rsidRPr="00B004EE">
        <w:rPr>
          <w:rFonts w:ascii="Tahoma" w:hAnsi="Tahoma" w:cs="Tahoma"/>
          <w:b/>
          <w:bCs/>
          <w:sz w:val="20"/>
          <w:szCs w:val="20"/>
        </w:rPr>
        <w:t xml:space="preserve"> </w:t>
      </w:r>
      <w:r w:rsidRPr="00B004EE">
        <w:rPr>
          <w:rFonts w:ascii="Tahoma" w:hAnsi="Tahoma" w:cs="Tahoma"/>
          <w:b/>
          <w:bCs/>
          <w:sz w:val="20"/>
          <w:szCs w:val="20"/>
        </w:rPr>
        <w:t>Paramètres</w:t>
      </w:r>
      <w:r w:rsidR="00DB1635" w:rsidRPr="00B004EE">
        <w:rPr>
          <w:rFonts w:ascii="Tahoma" w:hAnsi="Tahoma" w:cs="Tahoma"/>
          <w:b/>
          <w:bCs/>
          <w:sz w:val="20"/>
          <w:szCs w:val="20"/>
        </w:rPr>
        <w:t xml:space="preserve"> </w:t>
      </w:r>
      <w:r w:rsidRPr="00B004EE">
        <w:rPr>
          <w:rFonts w:ascii="Tahoma" w:hAnsi="Tahoma" w:cs="Tahoma"/>
          <w:b/>
          <w:bCs/>
          <w:sz w:val="20"/>
          <w:szCs w:val="20"/>
        </w:rPr>
        <w:t>pour</w:t>
      </w:r>
      <w:r w:rsidR="00DB1635" w:rsidRPr="00B004EE">
        <w:rPr>
          <w:rFonts w:ascii="Tahoma" w:hAnsi="Tahoma" w:cs="Tahoma"/>
          <w:b/>
          <w:bCs/>
          <w:sz w:val="20"/>
          <w:szCs w:val="20"/>
        </w:rPr>
        <w:t xml:space="preserve"> </w:t>
      </w:r>
      <w:r w:rsidRPr="00B004EE">
        <w:rPr>
          <w:rFonts w:ascii="Tahoma" w:hAnsi="Tahoma" w:cs="Tahoma"/>
          <w:b/>
          <w:bCs/>
          <w:sz w:val="20"/>
          <w:szCs w:val="20"/>
        </w:rPr>
        <w:t>le</w:t>
      </w:r>
      <w:r w:rsidR="00DB1635" w:rsidRPr="00B004EE">
        <w:rPr>
          <w:rFonts w:ascii="Tahoma" w:hAnsi="Tahoma" w:cs="Tahoma"/>
          <w:b/>
          <w:bCs/>
          <w:sz w:val="20"/>
          <w:szCs w:val="20"/>
        </w:rPr>
        <w:t xml:space="preserve"> </w:t>
      </w:r>
      <w:r w:rsidRPr="00B004EE">
        <w:rPr>
          <w:rFonts w:ascii="Tahoma" w:hAnsi="Tahoma" w:cs="Tahoma"/>
          <w:b/>
          <w:bCs/>
          <w:sz w:val="20"/>
          <w:szCs w:val="20"/>
        </w:rPr>
        <w:t>contrôle</w:t>
      </w:r>
      <w:r w:rsidR="00DB1635" w:rsidRPr="00B004EE">
        <w:rPr>
          <w:rFonts w:ascii="Tahoma" w:hAnsi="Tahoma" w:cs="Tahoma"/>
          <w:b/>
          <w:bCs/>
          <w:sz w:val="20"/>
          <w:szCs w:val="20"/>
        </w:rPr>
        <w:t xml:space="preserve"> </w:t>
      </w:r>
      <w:r w:rsidRPr="00B004EE">
        <w:rPr>
          <w:rFonts w:ascii="Tahoma" w:hAnsi="Tahoma" w:cs="Tahoma"/>
          <w:b/>
          <w:bCs/>
          <w:sz w:val="20"/>
          <w:szCs w:val="20"/>
        </w:rPr>
        <w:t>de</w:t>
      </w:r>
      <w:r w:rsidR="00DB1635" w:rsidRPr="00B004EE">
        <w:rPr>
          <w:rFonts w:ascii="Tahoma" w:hAnsi="Tahoma" w:cs="Tahoma"/>
          <w:b/>
          <w:bCs/>
          <w:sz w:val="20"/>
          <w:szCs w:val="20"/>
        </w:rPr>
        <w:t xml:space="preserve"> </w:t>
      </w:r>
      <w:r w:rsidRPr="00B004EE">
        <w:rPr>
          <w:rFonts w:ascii="Tahoma" w:hAnsi="Tahoma" w:cs="Tahoma"/>
          <w:b/>
          <w:bCs/>
          <w:sz w:val="20"/>
          <w:szCs w:val="20"/>
        </w:rPr>
        <w:t>routine</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0"/>
        <w:gridCol w:w="5497"/>
        <w:gridCol w:w="3621"/>
      </w:tblGrid>
      <w:tr w:rsidR="00150C90" w:rsidRPr="00B004EE" w14:paraId="038404D1" w14:textId="77777777" w:rsidTr="007D76A1">
        <w:tc>
          <w:tcPr>
            <w:tcW w:w="450" w:type="dxa"/>
          </w:tcPr>
          <w:p w14:paraId="3398F7FD" w14:textId="77777777" w:rsidR="008105B4" w:rsidRPr="00B004EE" w:rsidRDefault="008105B4" w:rsidP="00B004EE">
            <w:pPr>
              <w:jc w:val="both"/>
              <w:rPr>
                <w:rFonts w:ascii="Tahoma" w:hAnsi="Tahoma" w:cs="Tahoma"/>
                <w:b/>
                <w:bCs/>
                <w:sz w:val="20"/>
                <w:szCs w:val="20"/>
              </w:rPr>
            </w:pPr>
            <w:r w:rsidRPr="00B004EE">
              <w:rPr>
                <w:rFonts w:ascii="Tahoma" w:hAnsi="Tahoma" w:cs="Tahoma"/>
                <w:b/>
                <w:bCs/>
                <w:sz w:val="20"/>
                <w:szCs w:val="20"/>
              </w:rPr>
              <w:t>N°</w:t>
            </w:r>
          </w:p>
        </w:tc>
        <w:tc>
          <w:tcPr>
            <w:tcW w:w="5497" w:type="dxa"/>
          </w:tcPr>
          <w:p w14:paraId="0E6E820D" w14:textId="77777777" w:rsidR="008105B4" w:rsidRPr="00B004EE" w:rsidRDefault="008105B4" w:rsidP="00B004EE">
            <w:pPr>
              <w:jc w:val="both"/>
              <w:rPr>
                <w:rFonts w:ascii="Tahoma" w:hAnsi="Tahoma" w:cs="Tahoma"/>
                <w:b/>
                <w:bCs/>
                <w:sz w:val="20"/>
                <w:szCs w:val="20"/>
              </w:rPr>
            </w:pPr>
            <w:r w:rsidRPr="00B004EE">
              <w:rPr>
                <w:rFonts w:ascii="Tahoma" w:hAnsi="Tahoma" w:cs="Tahoma"/>
                <w:b/>
                <w:bCs/>
                <w:sz w:val="20"/>
                <w:szCs w:val="20"/>
              </w:rPr>
              <w:t>Paramètre</w:t>
            </w:r>
          </w:p>
        </w:tc>
        <w:tc>
          <w:tcPr>
            <w:tcW w:w="3621" w:type="dxa"/>
          </w:tcPr>
          <w:p w14:paraId="407FD7BB" w14:textId="77777777" w:rsidR="008105B4" w:rsidRPr="00B004EE" w:rsidRDefault="008105B4" w:rsidP="00B004EE">
            <w:pPr>
              <w:pStyle w:val="Titre4"/>
              <w:rPr>
                <w:rFonts w:ascii="Tahoma" w:hAnsi="Tahoma" w:cs="Tahoma"/>
                <w:sz w:val="20"/>
                <w:szCs w:val="20"/>
              </w:rPr>
            </w:pPr>
            <w:r w:rsidRPr="00B004EE">
              <w:rPr>
                <w:rFonts w:ascii="Tahoma" w:hAnsi="Tahoma" w:cs="Tahoma"/>
                <w:sz w:val="20"/>
                <w:szCs w:val="20"/>
              </w:rPr>
              <w:t>Note</w:t>
            </w:r>
          </w:p>
        </w:tc>
      </w:tr>
      <w:tr w:rsidR="00150C90" w:rsidRPr="00B004EE" w14:paraId="5CED4FA9" w14:textId="77777777" w:rsidTr="007D76A1">
        <w:tc>
          <w:tcPr>
            <w:tcW w:w="450" w:type="dxa"/>
          </w:tcPr>
          <w:p w14:paraId="7AB97E45" w14:textId="19B222AA" w:rsidR="008105B4" w:rsidRPr="00B004EE" w:rsidRDefault="007D76A1" w:rsidP="00B004EE">
            <w:pPr>
              <w:jc w:val="both"/>
              <w:rPr>
                <w:rFonts w:ascii="Tahoma" w:hAnsi="Tahoma" w:cs="Tahoma"/>
                <w:sz w:val="20"/>
                <w:szCs w:val="20"/>
              </w:rPr>
            </w:pPr>
            <w:r w:rsidRPr="00B004EE">
              <w:rPr>
                <w:rFonts w:ascii="Tahoma" w:hAnsi="Tahoma" w:cs="Tahoma"/>
                <w:sz w:val="20"/>
                <w:szCs w:val="20"/>
              </w:rPr>
              <w:t>1</w:t>
            </w:r>
          </w:p>
        </w:tc>
        <w:tc>
          <w:tcPr>
            <w:tcW w:w="5497" w:type="dxa"/>
          </w:tcPr>
          <w:p w14:paraId="392E0DAF" w14:textId="76FC27FD" w:rsidR="008105B4" w:rsidRPr="00B004EE" w:rsidRDefault="008105B4" w:rsidP="00B004EE">
            <w:pPr>
              <w:jc w:val="both"/>
              <w:rPr>
                <w:rFonts w:ascii="Tahoma" w:hAnsi="Tahoma" w:cs="Tahoma"/>
                <w:sz w:val="20"/>
                <w:szCs w:val="20"/>
              </w:rPr>
            </w:pPr>
            <w:r w:rsidRPr="00B004EE">
              <w:rPr>
                <w:rFonts w:ascii="Tahoma" w:hAnsi="Tahoma" w:cs="Tahoma"/>
                <w:sz w:val="20"/>
                <w:szCs w:val="20"/>
              </w:rPr>
              <w:t>Aluminium</w:t>
            </w:r>
            <w:r w:rsidR="00DB1635" w:rsidRPr="00B004EE">
              <w:rPr>
                <w:rFonts w:ascii="Tahoma" w:hAnsi="Tahoma" w:cs="Tahoma"/>
                <w:sz w:val="20"/>
                <w:szCs w:val="20"/>
              </w:rPr>
              <w:t xml:space="preserve"> </w:t>
            </w:r>
            <w:r w:rsidRPr="00B004EE">
              <w:rPr>
                <w:rFonts w:ascii="Tahoma" w:hAnsi="Tahoma" w:cs="Tahoma"/>
                <w:sz w:val="20"/>
                <w:szCs w:val="20"/>
              </w:rPr>
              <w:t>total</w:t>
            </w:r>
          </w:p>
        </w:tc>
        <w:tc>
          <w:tcPr>
            <w:tcW w:w="3621" w:type="dxa"/>
          </w:tcPr>
          <w:p w14:paraId="36CFCCB7" w14:textId="77777777" w:rsidR="008105B4" w:rsidRPr="00B004EE" w:rsidRDefault="008105B4" w:rsidP="00B004EE">
            <w:pPr>
              <w:jc w:val="both"/>
              <w:rPr>
                <w:rFonts w:ascii="Tahoma" w:hAnsi="Tahoma" w:cs="Tahoma"/>
                <w:sz w:val="20"/>
                <w:szCs w:val="20"/>
              </w:rPr>
            </w:pPr>
            <w:r w:rsidRPr="00B004EE">
              <w:rPr>
                <w:rFonts w:ascii="Tahoma" w:hAnsi="Tahoma" w:cs="Tahoma"/>
                <w:sz w:val="20"/>
                <w:szCs w:val="20"/>
              </w:rPr>
              <w:t>1</w:t>
            </w:r>
          </w:p>
        </w:tc>
      </w:tr>
      <w:tr w:rsidR="00150C90" w:rsidRPr="00B004EE" w14:paraId="317F16C4" w14:textId="77777777" w:rsidTr="007D76A1">
        <w:tc>
          <w:tcPr>
            <w:tcW w:w="450" w:type="dxa"/>
          </w:tcPr>
          <w:p w14:paraId="1715F5AA" w14:textId="11CD9F54" w:rsidR="008105B4" w:rsidRPr="00B004EE" w:rsidRDefault="007D76A1" w:rsidP="00B004EE">
            <w:pPr>
              <w:jc w:val="both"/>
              <w:rPr>
                <w:rFonts w:ascii="Tahoma" w:hAnsi="Tahoma" w:cs="Tahoma"/>
                <w:sz w:val="20"/>
                <w:szCs w:val="20"/>
              </w:rPr>
            </w:pPr>
            <w:r w:rsidRPr="00B004EE">
              <w:rPr>
                <w:rFonts w:ascii="Tahoma" w:hAnsi="Tahoma" w:cs="Tahoma"/>
                <w:sz w:val="20"/>
                <w:szCs w:val="20"/>
              </w:rPr>
              <w:t>2</w:t>
            </w:r>
          </w:p>
        </w:tc>
        <w:tc>
          <w:tcPr>
            <w:tcW w:w="5497" w:type="dxa"/>
          </w:tcPr>
          <w:p w14:paraId="407E4A7B" w14:textId="77777777" w:rsidR="008105B4" w:rsidRPr="00B004EE" w:rsidRDefault="008105B4" w:rsidP="00B004EE">
            <w:pPr>
              <w:jc w:val="both"/>
              <w:rPr>
                <w:rFonts w:ascii="Tahoma" w:hAnsi="Tahoma" w:cs="Tahoma"/>
                <w:sz w:val="20"/>
                <w:szCs w:val="20"/>
              </w:rPr>
            </w:pPr>
            <w:r w:rsidRPr="00B004EE">
              <w:rPr>
                <w:rFonts w:ascii="Tahoma" w:hAnsi="Tahoma" w:cs="Tahoma"/>
                <w:sz w:val="20"/>
                <w:szCs w:val="20"/>
              </w:rPr>
              <w:t>Ammonium</w:t>
            </w:r>
          </w:p>
        </w:tc>
        <w:tc>
          <w:tcPr>
            <w:tcW w:w="3621" w:type="dxa"/>
          </w:tcPr>
          <w:p w14:paraId="47FC34B6" w14:textId="77777777" w:rsidR="008105B4" w:rsidRPr="00B004EE" w:rsidRDefault="008105B4" w:rsidP="00B004EE">
            <w:pPr>
              <w:jc w:val="both"/>
              <w:rPr>
                <w:rFonts w:ascii="Tahoma" w:hAnsi="Tahoma" w:cs="Tahoma"/>
                <w:sz w:val="20"/>
                <w:szCs w:val="20"/>
              </w:rPr>
            </w:pPr>
          </w:p>
        </w:tc>
      </w:tr>
      <w:tr w:rsidR="00150C90" w:rsidRPr="00B004EE" w14:paraId="58A42456" w14:textId="77777777" w:rsidTr="007D76A1">
        <w:tc>
          <w:tcPr>
            <w:tcW w:w="450" w:type="dxa"/>
          </w:tcPr>
          <w:p w14:paraId="73991F36" w14:textId="18661D07" w:rsidR="008105B4" w:rsidRPr="00B004EE" w:rsidRDefault="007D76A1" w:rsidP="00B004EE">
            <w:pPr>
              <w:jc w:val="both"/>
              <w:rPr>
                <w:rFonts w:ascii="Tahoma" w:hAnsi="Tahoma" w:cs="Tahoma"/>
                <w:i/>
                <w:iCs/>
                <w:sz w:val="20"/>
                <w:szCs w:val="20"/>
              </w:rPr>
            </w:pPr>
            <w:r w:rsidRPr="00B004EE">
              <w:rPr>
                <w:rFonts w:ascii="Tahoma" w:hAnsi="Tahoma" w:cs="Tahoma"/>
                <w:i/>
                <w:iCs/>
                <w:sz w:val="20"/>
                <w:szCs w:val="20"/>
              </w:rPr>
              <w:t>3</w:t>
            </w:r>
          </w:p>
        </w:tc>
        <w:tc>
          <w:tcPr>
            <w:tcW w:w="5497" w:type="dxa"/>
          </w:tcPr>
          <w:p w14:paraId="03815A49" w14:textId="107B389A" w:rsidR="008105B4" w:rsidRPr="00B004EE" w:rsidRDefault="008105B4" w:rsidP="00B004EE">
            <w:pPr>
              <w:jc w:val="both"/>
              <w:rPr>
                <w:rFonts w:ascii="Tahoma" w:hAnsi="Tahoma" w:cs="Tahoma"/>
                <w:sz w:val="20"/>
                <w:szCs w:val="20"/>
              </w:rPr>
            </w:pPr>
            <w:r w:rsidRPr="00B004EE">
              <w:rPr>
                <w:rFonts w:ascii="Tahoma" w:hAnsi="Tahoma" w:cs="Tahoma"/>
                <w:sz w:val="20"/>
                <w:szCs w:val="20"/>
              </w:rPr>
              <w:t>Bactéries</w:t>
            </w:r>
            <w:r w:rsidR="00DB1635" w:rsidRPr="00B004EE">
              <w:rPr>
                <w:rFonts w:ascii="Tahoma" w:hAnsi="Tahoma" w:cs="Tahoma"/>
                <w:sz w:val="20"/>
                <w:szCs w:val="20"/>
              </w:rPr>
              <w:t xml:space="preserve"> </w:t>
            </w:r>
            <w:r w:rsidRPr="00B004EE">
              <w:rPr>
                <w:rFonts w:ascii="Tahoma" w:hAnsi="Tahoma" w:cs="Tahoma"/>
                <w:sz w:val="20"/>
                <w:szCs w:val="20"/>
              </w:rPr>
              <w:t>sulfito-réductrices,</w:t>
            </w:r>
            <w:r w:rsidR="00DB1635" w:rsidRPr="00B004EE">
              <w:rPr>
                <w:rFonts w:ascii="Tahoma" w:hAnsi="Tahoma" w:cs="Tahoma"/>
                <w:sz w:val="20"/>
                <w:szCs w:val="20"/>
              </w:rPr>
              <w:t xml:space="preserve"> </w:t>
            </w:r>
            <w:r w:rsidRPr="00B004EE">
              <w:rPr>
                <w:rFonts w:ascii="Tahoma" w:hAnsi="Tahoma" w:cs="Tahoma"/>
                <w:sz w:val="20"/>
                <w:szCs w:val="20"/>
              </w:rPr>
              <w:t>y</w:t>
            </w:r>
            <w:r w:rsidR="00DB1635" w:rsidRPr="00B004EE">
              <w:rPr>
                <w:rFonts w:ascii="Tahoma" w:hAnsi="Tahoma" w:cs="Tahoma"/>
                <w:sz w:val="20"/>
                <w:szCs w:val="20"/>
              </w:rPr>
              <w:t xml:space="preserve"> </w:t>
            </w:r>
            <w:r w:rsidRPr="00B004EE">
              <w:rPr>
                <w:rFonts w:ascii="Tahoma" w:hAnsi="Tahoma" w:cs="Tahoma"/>
                <w:sz w:val="20"/>
                <w:szCs w:val="20"/>
              </w:rPr>
              <w:t>compris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spores</w:t>
            </w:r>
          </w:p>
        </w:tc>
        <w:tc>
          <w:tcPr>
            <w:tcW w:w="3621" w:type="dxa"/>
          </w:tcPr>
          <w:p w14:paraId="14714657" w14:textId="77777777" w:rsidR="008105B4" w:rsidRPr="00B004EE" w:rsidRDefault="008105B4" w:rsidP="00B004EE">
            <w:pPr>
              <w:jc w:val="both"/>
              <w:rPr>
                <w:rFonts w:ascii="Tahoma" w:hAnsi="Tahoma" w:cs="Tahoma"/>
                <w:sz w:val="20"/>
                <w:szCs w:val="20"/>
              </w:rPr>
            </w:pPr>
            <w:r w:rsidRPr="00B004EE">
              <w:rPr>
                <w:rFonts w:ascii="Tahoma" w:hAnsi="Tahoma" w:cs="Tahoma"/>
                <w:sz w:val="20"/>
                <w:szCs w:val="20"/>
              </w:rPr>
              <w:t>2</w:t>
            </w:r>
          </w:p>
        </w:tc>
      </w:tr>
      <w:tr w:rsidR="00150C90" w:rsidRPr="00B004EE" w14:paraId="1C4536C9" w14:textId="77777777" w:rsidTr="007D76A1">
        <w:tc>
          <w:tcPr>
            <w:tcW w:w="450" w:type="dxa"/>
          </w:tcPr>
          <w:p w14:paraId="2C12E1F1" w14:textId="20746246" w:rsidR="008105B4" w:rsidRPr="00B004EE" w:rsidRDefault="007D76A1" w:rsidP="00B004EE">
            <w:pPr>
              <w:jc w:val="both"/>
              <w:rPr>
                <w:rFonts w:ascii="Tahoma" w:hAnsi="Tahoma" w:cs="Tahoma"/>
                <w:sz w:val="20"/>
                <w:szCs w:val="20"/>
              </w:rPr>
            </w:pPr>
            <w:r w:rsidRPr="00B004EE">
              <w:rPr>
                <w:rFonts w:ascii="Tahoma" w:hAnsi="Tahoma" w:cs="Tahoma"/>
                <w:sz w:val="20"/>
                <w:szCs w:val="20"/>
              </w:rPr>
              <w:t>4</w:t>
            </w:r>
          </w:p>
        </w:tc>
        <w:tc>
          <w:tcPr>
            <w:tcW w:w="5497" w:type="dxa"/>
          </w:tcPr>
          <w:p w14:paraId="6B72A733" w14:textId="773EC998" w:rsidR="008105B4" w:rsidRPr="00B004EE" w:rsidRDefault="008105B4" w:rsidP="00B004EE">
            <w:pPr>
              <w:jc w:val="both"/>
              <w:rPr>
                <w:rFonts w:ascii="Tahoma" w:hAnsi="Tahoma" w:cs="Tahoma"/>
                <w:sz w:val="20"/>
                <w:szCs w:val="20"/>
              </w:rPr>
            </w:pPr>
            <w:r w:rsidRPr="00B004EE">
              <w:rPr>
                <w:rFonts w:ascii="Tahoma" w:hAnsi="Tahoma" w:cs="Tahoma"/>
                <w:sz w:val="20"/>
                <w:szCs w:val="20"/>
              </w:rPr>
              <w:t>Coliformes</w:t>
            </w:r>
            <w:r w:rsidR="00DB1635" w:rsidRPr="00B004EE">
              <w:rPr>
                <w:rFonts w:ascii="Tahoma" w:hAnsi="Tahoma" w:cs="Tahoma"/>
                <w:sz w:val="20"/>
                <w:szCs w:val="20"/>
              </w:rPr>
              <w:t xml:space="preserve"> </w:t>
            </w:r>
            <w:r w:rsidRPr="00B004EE">
              <w:rPr>
                <w:rFonts w:ascii="Tahoma" w:hAnsi="Tahoma" w:cs="Tahoma"/>
                <w:sz w:val="20"/>
                <w:szCs w:val="20"/>
              </w:rPr>
              <w:t>totaux</w:t>
            </w:r>
          </w:p>
        </w:tc>
        <w:tc>
          <w:tcPr>
            <w:tcW w:w="3621" w:type="dxa"/>
          </w:tcPr>
          <w:p w14:paraId="288548C3" w14:textId="77777777" w:rsidR="008105B4" w:rsidRPr="00B004EE" w:rsidRDefault="008105B4" w:rsidP="00B004EE">
            <w:pPr>
              <w:jc w:val="both"/>
              <w:rPr>
                <w:rFonts w:ascii="Tahoma" w:hAnsi="Tahoma" w:cs="Tahoma"/>
                <w:sz w:val="20"/>
                <w:szCs w:val="20"/>
              </w:rPr>
            </w:pPr>
          </w:p>
        </w:tc>
      </w:tr>
      <w:tr w:rsidR="00150C90" w:rsidRPr="00B004EE" w14:paraId="33897991" w14:textId="77777777" w:rsidTr="007D76A1">
        <w:tc>
          <w:tcPr>
            <w:tcW w:w="450" w:type="dxa"/>
          </w:tcPr>
          <w:p w14:paraId="26537D9C" w14:textId="2BEACAE8" w:rsidR="008105B4" w:rsidRPr="00B004EE" w:rsidRDefault="007D76A1" w:rsidP="00B004EE">
            <w:pPr>
              <w:jc w:val="both"/>
              <w:rPr>
                <w:rFonts w:ascii="Tahoma" w:hAnsi="Tahoma" w:cs="Tahoma"/>
                <w:sz w:val="20"/>
                <w:szCs w:val="20"/>
              </w:rPr>
            </w:pPr>
            <w:r w:rsidRPr="00B004EE">
              <w:rPr>
                <w:rFonts w:ascii="Tahoma" w:hAnsi="Tahoma" w:cs="Tahoma"/>
                <w:sz w:val="20"/>
                <w:szCs w:val="20"/>
              </w:rPr>
              <w:t>5</w:t>
            </w:r>
          </w:p>
        </w:tc>
        <w:tc>
          <w:tcPr>
            <w:tcW w:w="5497" w:type="dxa"/>
          </w:tcPr>
          <w:p w14:paraId="6C06932D" w14:textId="0D173405" w:rsidR="008105B4" w:rsidRPr="00B004EE" w:rsidRDefault="008105B4" w:rsidP="00B004EE">
            <w:pPr>
              <w:jc w:val="both"/>
              <w:rPr>
                <w:rFonts w:ascii="Tahoma" w:hAnsi="Tahoma" w:cs="Tahoma"/>
                <w:sz w:val="20"/>
                <w:szCs w:val="20"/>
              </w:rPr>
            </w:pPr>
            <w:r w:rsidRPr="00B004EE">
              <w:rPr>
                <w:rFonts w:ascii="Tahoma" w:hAnsi="Tahoma" w:cs="Tahoma"/>
                <w:sz w:val="20"/>
                <w:szCs w:val="20"/>
              </w:rPr>
              <w:t>Concentration</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ions</w:t>
            </w:r>
            <w:r w:rsidR="00DB1635" w:rsidRPr="00B004EE">
              <w:rPr>
                <w:rFonts w:ascii="Tahoma" w:hAnsi="Tahoma" w:cs="Tahoma"/>
                <w:sz w:val="20"/>
                <w:szCs w:val="20"/>
              </w:rPr>
              <w:t xml:space="preserve"> </w:t>
            </w:r>
            <w:r w:rsidRPr="00B004EE">
              <w:rPr>
                <w:rFonts w:ascii="Tahoma" w:hAnsi="Tahoma" w:cs="Tahoma"/>
                <w:sz w:val="20"/>
                <w:szCs w:val="20"/>
              </w:rPr>
              <w:t>hydrogènes</w:t>
            </w:r>
          </w:p>
        </w:tc>
        <w:tc>
          <w:tcPr>
            <w:tcW w:w="3621" w:type="dxa"/>
          </w:tcPr>
          <w:p w14:paraId="53490674" w14:textId="77777777" w:rsidR="008105B4" w:rsidRPr="00B004EE" w:rsidRDefault="008105B4" w:rsidP="00B004EE">
            <w:pPr>
              <w:jc w:val="both"/>
              <w:rPr>
                <w:rFonts w:ascii="Tahoma" w:hAnsi="Tahoma" w:cs="Tahoma"/>
                <w:sz w:val="20"/>
                <w:szCs w:val="20"/>
              </w:rPr>
            </w:pPr>
          </w:p>
        </w:tc>
      </w:tr>
      <w:tr w:rsidR="00150C90" w:rsidRPr="00B004EE" w14:paraId="24B6CE5E" w14:textId="77777777" w:rsidTr="007D76A1">
        <w:tc>
          <w:tcPr>
            <w:tcW w:w="450" w:type="dxa"/>
          </w:tcPr>
          <w:p w14:paraId="3C0978F5" w14:textId="6976F7F3" w:rsidR="008105B4" w:rsidRPr="00B004EE" w:rsidRDefault="007D76A1" w:rsidP="00B004EE">
            <w:pPr>
              <w:jc w:val="both"/>
              <w:rPr>
                <w:rFonts w:ascii="Tahoma" w:hAnsi="Tahoma" w:cs="Tahoma"/>
                <w:sz w:val="20"/>
                <w:szCs w:val="20"/>
              </w:rPr>
            </w:pPr>
            <w:r w:rsidRPr="00B004EE">
              <w:rPr>
                <w:rFonts w:ascii="Tahoma" w:hAnsi="Tahoma" w:cs="Tahoma"/>
                <w:sz w:val="20"/>
                <w:szCs w:val="20"/>
              </w:rPr>
              <w:t>6</w:t>
            </w:r>
          </w:p>
        </w:tc>
        <w:tc>
          <w:tcPr>
            <w:tcW w:w="5497" w:type="dxa"/>
          </w:tcPr>
          <w:p w14:paraId="52721B35" w14:textId="77777777" w:rsidR="008105B4" w:rsidRPr="00B004EE" w:rsidRDefault="008105B4" w:rsidP="00B004EE">
            <w:pPr>
              <w:jc w:val="both"/>
              <w:rPr>
                <w:rFonts w:ascii="Tahoma" w:hAnsi="Tahoma" w:cs="Tahoma"/>
                <w:sz w:val="20"/>
                <w:szCs w:val="20"/>
              </w:rPr>
            </w:pPr>
            <w:r w:rsidRPr="00B004EE">
              <w:rPr>
                <w:rFonts w:ascii="Tahoma" w:hAnsi="Tahoma" w:cs="Tahoma"/>
                <w:sz w:val="20"/>
                <w:szCs w:val="20"/>
              </w:rPr>
              <w:t>Conductivité</w:t>
            </w:r>
          </w:p>
        </w:tc>
        <w:tc>
          <w:tcPr>
            <w:tcW w:w="3621" w:type="dxa"/>
          </w:tcPr>
          <w:p w14:paraId="7E8A8FAD" w14:textId="77777777" w:rsidR="008105B4" w:rsidRPr="00B004EE" w:rsidRDefault="008105B4" w:rsidP="00B004EE">
            <w:pPr>
              <w:jc w:val="both"/>
              <w:rPr>
                <w:rFonts w:ascii="Tahoma" w:hAnsi="Tahoma" w:cs="Tahoma"/>
                <w:sz w:val="20"/>
                <w:szCs w:val="20"/>
              </w:rPr>
            </w:pPr>
          </w:p>
        </w:tc>
      </w:tr>
      <w:tr w:rsidR="00150C90" w:rsidRPr="00B004EE" w14:paraId="54EC3981" w14:textId="77777777" w:rsidTr="007D76A1">
        <w:tc>
          <w:tcPr>
            <w:tcW w:w="450" w:type="dxa"/>
          </w:tcPr>
          <w:p w14:paraId="1417C2FE" w14:textId="14132508" w:rsidR="008105B4" w:rsidRPr="00B004EE" w:rsidRDefault="007D76A1" w:rsidP="00B004EE">
            <w:pPr>
              <w:jc w:val="both"/>
              <w:rPr>
                <w:rFonts w:ascii="Tahoma" w:hAnsi="Tahoma" w:cs="Tahoma"/>
                <w:sz w:val="20"/>
                <w:szCs w:val="20"/>
              </w:rPr>
            </w:pPr>
            <w:r w:rsidRPr="00B004EE">
              <w:rPr>
                <w:rFonts w:ascii="Tahoma" w:hAnsi="Tahoma" w:cs="Tahoma"/>
                <w:sz w:val="20"/>
                <w:szCs w:val="20"/>
              </w:rPr>
              <w:t>7</w:t>
            </w:r>
          </w:p>
        </w:tc>
        <w:tc>
          <w:tcPr>
            <w:tcW w:w="5497" w:type="dxa"/>
          </w:tcPr>
          <w:p w14:paraId="6EA051C1" w14:textId="77777777" w:rsidR="008105B4" w:rsidRPr="00B004EE" w:rsidRDefault="008105B4" w:rsidP="00B004EE">
            <w:pPr>
              <w:jc w:val="both"/>
              <w:rPr>
                <w:rFonts w:ascii="Tahoma" w:hAnsi="Tahoma" w:cs="Tahoma"/>
                <w:sz w:val="20"/>
                <w:szCs w:val="20"/>
              </w:rPr>
            </w:pPr>
            <w:r w:rsidRPr="00B004EE">
              <w:rPr>
                <w:rFonts w:ascii="Tahoma" w:hAnsi="Tahoma" w:cs="Tahoma"/>
                <w:sz w:val="20"/>
                <w:szCs w:val="20"/>
              </w:rPr>
              <w:t>Couleur</w:t>
            </w:r>
          </w:p>
        </w:tc>
        <w:tc>
          <w:tcPr>
            <w:tcW w:w="3621" w:type="dxa"/>
          </w:tcPr>
          <w:p w14:paraId="176D3DE5" w14:textId="77777777" w:rsidR="008105B4" w:rsidRPr="00B004EE" w:rsidRDefault="008105B4" w:rsidP="00B004EE">
            <w:pPr>
              <w:jc w:val="both"/>
              <w:rPr>
                <w:rFonts w:ascii="Tahoma" w:hAnsi="Tahoma" w:cs="Tahoma"/>
                <w:sz w:val="20"/>
                <w:szCs w:val="20"/>
              </w:rPr>
            </w:pPr>
          </w:p>
        </w:tc>
      </w:tr>
      <w:tr w:rsidR="00150C90" w:rsidRPr="00B004EE" w14:paraId="25AA509B" w14:textId="77777777" w:rsidTr="007D76A1">
        <w:tc>
          <w:tcPr>
            <w:tcW w:w="450" w:type="dxa"/>
          </w:tcPr>
          <w:p w14:paraId="0566F65D" w14:textId="3D807222" w:rsidR="008105B4" w:rsidRPr="00B004EE" w:rsidRDefault="007D76A1" w:rsidP="00B004EE">
            <w:pPr>
              <w:jc w:val="both"/>
              <w:rPr>
                <w:rFonts w:ascii="Tahoma" w:hAnsi="Tahoma" w:cs="Tahoma"/>
                <w:sz w:val="20"/>
                <w:szCs w:val="20"/>
              </w:rPr>
            </w:pPr>
            <w:r w:rsidRPr="00B004EE">
              <w:rPr>
                <w:rFonts w:ascii="Tahoma" w:hAnsi="Tahoma" w:cs="Tahoma"/>
                <w:sz w:val="20"/>
                <w:szCs w:val="20"/>
              </w:rPr>
              <w:t>8</w:t>
            </w:r>
          </w:p>
        </w:tc>
        <w:tc>
          <w:tcPr>
            <w:tcW w:w="5497" w:type="dxa"/>
          </w:tcPr>
          <w:p w14:paraId="5A0601DC" w14:textId="77777777" w:rsidR="008105B4" w:rsidRPr="00B004EE" w:rsidRDefault="008105B4" w:rsidP="00B004EE">
            <w:pPr>
              <w:jc w:val="both"/>
              <w:rPr>
                <w:rFonts w:ascii="Tahoma" w:hAnsi="Tahoma" w:cs="Tahoma"/>
                <w:sz w:val="20"/>
                <w:szCs w:val="20"/>
              </w:rPr>
            </w:pPr>
            <w:r w:rsidRPr="00B004EE">
              <w:rPr>
                <w:rFonts w:ascii="Tahoma" w:hAnsi="Tahoma" w:cs="Tahoma"/>
                <w:sz w:val="20"/>
                <w:szCs w:val="20"/>
              </w:rPr>
              <w:t>Entérocoques</w:t>
            </w:r>
          </w:p>
        </w:tc>
        <w:tc>
          <w:tcPr>
            <w:tcW w:w="3621" w:type="dxa"/>
          </w:tcPr>
          <w:p w14:paraId="338237FA" w14:textId="77777777" w:rsidR="008105B4" w:rsidRPr="00B004EE" w:rsidRDefault="008105B4" w:rsidP="00B004EE">
            <w:pPr>
              <w:jc w:val="both"/>
              <w:rPr>
                <w:rFonts w:ascii="Tahoma" w:hAnsi="Tahoma" w:cs="Tahoma"/>
                <w:sz w:val="20"/>
                <w:szCs w:val="20"/>
              </w:rPr>
            </w:pPr>
          </w:p>
        </w:tc>
      </w:tr>
      <w:tr w:rsidR="00150C90" w:rsidRPr="00B004EE" w14:paraId="3BE49906" w14:textId="77777777" w:rsidTr="007D76A1">
        <w:tc>
          <w:tcPr>
            <w:tcW w:w="450" w:type="dxa"/>
          </w:tcPr>
          <w:p w14:paraId="11E31B89" w14:textId="03A74E1C" w:rsidR="008105B4" w:rsidRPr="00B004EE" w:rsidRDefault="007D76A1" w:rsidP="00B004EE">
            <w:pPr>
              <w:jc w:val="both"/>
              <w:rPr>
                <w:rFonts w:ascii="Tahoma" w:hAnsi="Tahoma" w:cs="Tahoma"/>
                <w:sz w:val="20"/>
                <w:szCs w:val="20"/>
              </w:rPr>
            </w:pPr>
            <w:r w:rsidRPr="00B004EE">
              <w:rPr>
                <w:rFonts w:ascii="Tahoma" w:hAnsi="Tahoma" w:cs="Tahoma"/>
                <w:sz w:val="20"/>
                <w:szCs w:val="20"/>
              </w:rPr>
              <w:t>9</w:t>
            </w:r>
          </w:p>
        </w:tc>
        <w:tc>
          <w:tcPr>
            <w:tcW w:w="5497" w:type="dxa"/>
          </w:tcPr>
          <w:p w14:paraId="50A40659" w14:textId="25A267A6" w:rsidR="008105B4" w:rsidRPr="00B004EE" w:rsidRDefault="008105B4" w:rsidP="00B004EE">
            <w:pPr>
              <w:jc w:val="both"/>
              <w:rPr>
                <w:rFonts w:ascii="Tahoma" w:hAnsi="Tahoma" w:cs="Tahoma"/>
                <w:sz w:val="20"/>
                <w:szCs w:val="20"/>
              </w:rPr>
            </w:pPr>
            <w:r w:rsidRPr="00B004EE">
              <w:rPr>
                <w:rFonts w:ascii="Tahoma" w:hAnsi="Tahoma" w:cs="Tahoma"/>
                <w:i/>
                <w:iCs/>
                <w:sz w:val="20"/>
                <w:szCs w:val="20"/>
              </w:rPr>
              <w:t>Escherichia</w:t>
            </w:r>
            <w:r w:rsidR="00DB1635" w:rsidRPr="00B004EE">
              <w:rPr>
                <w:rFonts w:ascii="Tahoma" w:hAnsi="Tahoma" w:cs="Tahoma"/>
                <w:i/>
                <w:iCs/>
                <w:sz w:val="20"/>
                <w:szCs w:val="20"/>
              </w:rPr>
              <w:t xml:space="preserve"> </w:t>
            </w:r>
            <w:r w:rsidRPr="00B004EE">
              <w:rPr>
                <w:rFonts w:ascii="Tahoma" w:hAnsi="Tahoma" w:cs="Tahoma"/>
                <w:i/>
                <w:iCs/>
                <w:sz w:val="20"/>
                <w:szCs w:val="20"/>
              </w:rPr>
              <w:t>coli</w:t>
            </w:r>
          </w:p>
        </w:tc>
        <w:tc>
          <w:tcPr>
            <w:tcW w:w="3621" w:type="dxa"/>
          </w:tcPr>
          <w:p w14:paraId="3F946B49" w14:textId="77777777" w:rsidR="008105B4" w:rsidRPr="00B004EE" w:rsidRDefault="008105B4" w:rsidP="00B004EE">
            <w:pPr>
              <w:jc w:val="both"/>
              <w:rPr>
                <w:rFonts w:ascii="Tahoma" w:hAnsi="Tahoma" w:cs="Tahoma"/>
                <w:sz w:val="20"/>
                <w:szCs w:val="20"/>
              </w:rPr>
            </w:pPr>
          </w:p>
        </w:tc>
      </w:tr>
      <w:tr w:rsidR="00150C90" w:rsidRPr="00B004EE" w14:paraId="5AAF3084" w14:textId="77777777" w:rsidTr="007D76A1">
        <w:tc>
          <w:tcPr>
            <w:tcW w:w="450" w:type="dxa"/>
          </w:tcPr>
          <w:p w14:paraId="4BCF5C49" w14:textId="446C2DC9" w:rsidR="008105B4" w:rsidRPr="00B004EE" w:rsidRDefault="007D76A1" w:rsidP="00B004EE">
            <w:pPr>
              <w:jc w:val="both"/>
              <w:rPr>
                <w:rFonts w:ascii="Tahoma" w:hAnsi="Tahoma" w:cs="Tahoma"/>
                <w:sz w:val="20"/>
                <w:szCs w:val="20"/>
              </w:rPr>
            </w:pPr>
            <w:r w:rsidRPr="00B004EE">
              <w:rPr>
                <w:rFonts w:ascii="Tahoma" w:hAnsi="Tahoma" w:cs="Tahoma"/>
                <w:sz w:val="20"/>
                <w:szCs w:val="20"/>
              </w:rPr>
              <w:t>10</w:t>
            </w:r>
          </w:p>
        </w:tc>
        <w:tc>
          <w:tcPr>
            <w:tcW w:w="5497" w:type="dxa"/>
          </w:tcPr>
          <w:p w14:paraId="6D1445F1" w14:textId="5A308DCC" w:rsidR="008105B4" w:rsidRPr="00B004EE" w:rsidRDefault="008105B4" w:rsidP="00B004EE">
            <w:pPr>
              <w:jc w:val="both"/>
              <w:rPr>
                <w:rFonts w:ascii="Tahoma" w:hAnsi="Tahoma" w:cs="Tahoma"/>
                <w:sz w:val="20"/>
                <w:szCs w:val="20"/>
              </w:rPr>
            </w:pPr>
            <w:r w:rsidRPr="00B004EE">
              <w:rPr>
                <w:rFonts w:ascii="Tahoma" w:hAnsi="Tahoma" w:cs="Tahoma"/>
                <w:sz w:val="20"/>
                <w:szCs w:val="20"/>
              </w:rPr>
              <w:t>Fer</w:t>
            </w:r>
            <w:r w:rsidR="00DB1635" w:rsidRPr="00B004EE">
              <w:rPr>
                <w:rFonts w:ascii="Tahoma" w:hAnsi="Tahoma" w:cs="Tahoma"/>
                <w:sz w:val="20"/>
                <w:szCs w:val="20"/>
              </w:rPr>
              <w:t xml:space="preserve"> </w:t>
            </w:r>
            <w:r w:rsidRPr="00B004EE">
              <w:rPr>
                <w:rFonts w:ascii="Tahoma" w:hAnsi="Tahoma" w:cs="Tahoma"/>
                <w:sz w:val="20"/>
                <w:szCs w:val="20"/>
              </w:rPr>
              <w:t>total</w:t>
            </w:r>
          </w:p>
        </w:tc>
        <w:tc>
          <w:tcPr>
            <w:tcW w:w="3621" w:type="dxa"/>
          </w:tcPr>
          <w:p w14:paraId="3DCC1E32" w14:textId="77777777" w:rsidR="008105B4" w:rsidRPr="00B004EE" w:rsidRDefault="008105B4" w:rsidP="00B004EE">
            <w:pPr>
              <w:jc w:val="both"/>
              <w:rPr>
                <w:rFonts w:ascii="Tahoma" w:hAnsi="Tahoma" w:cs="Tahoma"/>
                <w:sz w:val="20"/>
                <w:szCs w:val="20"/>
              </w:rPr>
            </w:pPr>
          </w:p>
        </w:tc>
      </w:tr>
      <w:tr w:rsidR="00150C90" w:rsidRPr="00B004EE" w14:paraId="5AE0E618" w14:textId="77777777" w:rsidTr="007D76A1">
        <w:tc>
          <w:tcPr>
            <w:tcW w:w="450" w:type="dxa"/>
          </w:tcPr>
          <w:p w14:paraId="0DE51551" w14:textId="052558E8" w:rsidR="008105B4" w:rsidRPr="00B004EE" w:rsidRDefault="007D76A1" w:rsidP="00B004EE">
            <w:pPr>
              <w:jc w:val="both"/>
              <w:rPr>
                <w:rFonts w:ascii="Tahoma" w:hAnsi="Tahoma" w:cs="Tahoma"/>
                <w:sz w:val="20"/>
                <w:szCs w:val="20"/>
              </w:rPr>
            </w:pPr>
            <w:r w:rsidRPr="00B004EE">
              <w:rPr>
                <w:rFonts w:ascii="Tahoma" w:hAnsi="Tahoma" w:cs="Tahoma"/>
                <w:sz w:val="20"/>
                <w:szCs w:val="20"/>
              </w:rPr>
              <w:t>11</w:t>
            </w:r>
          </w:p>
        </w:tc>
        <w:tc>
          <w:tcPr>
            <w:tcW w:w="5497" w:type="dxa"/>
          </w:tcPr>
          <w:p w14:paraId="286F8457" w14:textId="77777777" w:rsidR="008105B4" w:rsidRPr="00B004EE" w:rsidRDefault="008105B4" w:rsidP="00B004EE">
            <w:pPr>
              <w:jc w:val="both"/>
              <w:rPr>
                <w:rFonts w:ascii="Tahoma" w:hAnsi="Tahoma" w:cs="Tahoma"/>
                <w:sz w:val="20"/>
                <w:szCs w:val="20"/>
              </w:rPr>
            </w:pPr>
            <w:r w:rsidRPr="00B004EE">
              <w:rPr>
                <w:rFonts w:ascii="Tahoma" w:hAnsi="Tahoma" w:cs="Tahoma"/>
                <w:sz w:val="20"/>
                <w:szCs w:val="20"/>
              </w:rPr>
              <w:t>Nitrates</w:t>
            </w:r>
          </w:p>
        </w:tc>
        <w:tc>
          <w:tcPr>
            <w:tcW w:w="3621" w:type="dxa"/>
          </w:tcPr>
          <w:p w14:paraId="5934D51F" w14:textId="77777777" w:rsidR="008105B4" w:rsidRPr="00B004EE" w:rsidRDefault="008105B4" w:rsidP="00B004EE">
            <w:pPr>
              <w:jc w:val="both"/>
              <w:rPr>
                <w:rFonts w:ascii="Tahoma" w:hAnsi="Tahoma" w:cs="Tahoma"/>
                <w:sz w:val="20"/>
                <w:szCs w:val="20"/>
              </w:rPr>
            </w:pPr>
          </w:p>
        </w:tc>
      </w:tr>
      <w:tr w:rsidR="00150C90" w:rsidRPr="00B004EE" w14:paraId="5E9912E8" w14:textId="77777777" w:rsidTr="007D76A1">
        <w:tc>
          <w:tcPr>
            <w:tcW w:w="450" w:type="dxa"/>
          </w:tcPr>
          <w:p w14:paraId="00E80CC6" w14:textId="04D06A71" w:rsidR="008105B4" w:rsidRPr="00B004EE" w:rsidRDefault="007D76A1" w:rsidP="00B004EE">
            <w:pPr>
              <w:jc w:val="both"/>
              <w:rPr>
                <w:rFonts w:ascii="Tahoma" w:hAnsi="Tahoma" w:cs="Tahoma"/>
                <w:sz w:val="20"/>
                <w:szCs w:val="20"/>
              </w:rPr>
            </w:pPr>
            <w:r w:rsidRPr="00B004EE">
              <w:rPr>
                <w:rFonts w:ascii="Tahoma" w:hAnsi="Tahoma" w:cs="Tahoma"/>
                <w:sz w:val="20"/>
                <w:szCs w:val="20"/>
              </w:rPr>
              <w:t>12</w:t>
            </w:r>
          </w:p>
        </w:tc>
        <w:tc>
          <w:tcPr>
            <w:tcW w:w="5497" w:type="dxa"/>
          </w:tcPr>
          <w:p w14:paraId="613ECA8A" w14:textId="77777777" w:rsidR="008105B4" w:rsidRPr="00B004EE" w:rsidRDefault="008105B4" w:rsidP="00B004EE">
            <w:pPr>
              <w:jc w:val="both"/>
              <w:rPr>
                <w:rFonts w:ascii="Tahoma" w:hAnsi="Tahoma" w:cs="Tahoma"/>
                <w:sz w:val="20"/>
                <w:szCs w:val="20"/>
              </w:rPr>
            </w:pPr>
            <w:r w:rsidRPr="00B004EE">
              <w:rPr>
                <w:rFonts w:ascii="Tahoma" w:hAnsi="Tahoma" w:cs="Tahoma"/>
                <w:sz w:val="20"/>
                <w:szCs w:val="20"/>
              </w:rPr>
              <w:t>Nitrites</w:t>
            </w:r>
          </w:p>
        </w:tc>
        <w:tc>
          <w:tcPr>
            <w:tcW w:w="3621" w:type="dxa"/>
          </w:tcPr>
          <w:p w14:paraId="40ECFC55" w14:textId="77777777" w:rsidR="008105B4" w:rsidRPr="00B004EE" w:rsidRDefault="008105B4" w:rsidP="00B004EE">
            <w:pPr>
              <w:jc w:val="both"/>
              <w:rPr>
                <w:rFonts w:ascii="Tahoma" w:hAnsi="Tahoma" w:cs="Tahoma"/>
                <w:sz w:val="20"/>
                <w:szCs w:val="20"/>
              </w:rPr>
            </w:pPr>
          </w:p>
        </w:tc>
      </w:tr>
      <w:tr w:rsidR="00150C90" w:rsidRPr="00B004EE" w14:paraId="74C02C0E" w14:textId="77777777" w:rsidTr="007D76A1">
        <w:tc>
          <w:tcPr>
            <w:tcW w:w="450" w:type="dxa"/>
          </w:tcPr>
          <w:p w14:paraId="317739CE" w14:textId="4A902055" w:rsidR="008105B4" w:rsidRPr="00B004EE" w:rsidRDefault="007D76A1" w:rsidP="00B004EE">
            <w:pPr>
              <w:jc w:val="both"/>
              <w:rPr>
                <w:rFonts w:ascii="Tahoma" w:hAnsi="Tahoma" w:cs="Tahoma"/>
                <w:sz w:val="20"/>
                <w:szCs w:val="20"/>
              </w:rPr>
            </w:pPr>
            <w:r w:rsidRPr="00B004EE">
              <w:rPr>
                <w:rFonts w:ascii="Tahoma" w:hAnsi="Tahoma" w:cs="Tahoma"/>
                <w:sz w:val="20"/>
                <w:szCs w:val="20"/>
              </w:rPr>
              <w:t>13</w:t>
            </w:r>
          </w:p>
        </w:tc>
        <w:tc>
          <w:tcPr>
            <w:tcW w:w="5497" w:type="dxa"/>
          </w:tcPr>
          <w:p w14:paraId="45F1606A" w14:textId="77777777" w:rsidR="008105B4" w:rsidRPr="00B004EE" w:rsidRDefault="008105B4" w:rsidP="00B004EE">
            <w:pPr>
              <w:ind w:left="-29"/>
              <w:jc w:val="both"/>
              <w:rPr>
                <w:rFonts w:ascii="Tahoma" w:hAnsi="Tahoma" w:cs="Tahoma"/>
                <w:sz w:val="20"/>
                <w:szCs w:val="20"/>
              </w:rPr>
            </w:pPr>
            <w:r w:rsidRPr="00B004EE">
              <w:rPr>
                <w:rFonts w:ascii="Tahoma" w:hAnsi="Tahoma" w:cs="Tahoma"/>
                <w:sz w:val="20"/>
                <w:szCs w:val="20"/>
              </w:rPr>
              <w:t>Odeur</w:t>
            </w:r>
          </w:p>
        </w:tc>
        <w:tc>
          <w:tcPr>
            <w:tcW w:w="3621" w:type="dxa"/>
          </w:tcPr>
          <w:p w14:paraId="580C8E69" w14:textId="77777777" w:rsidR="008105B4" w:rsidRPr="00B004EE" w:rsidRDefault="008105B4" w:rsidP="00B004EE">
            <w:pPr>
              <w:jc w:val="both"/>
              <w:rPr>
                <w:rFonts w:ascii="Tahoma" w:hAnsi="Tahoma" w:cs="Tahoma"/>
                <w:sz w:val="20"/>
                <w:szCs w:val="20"/>
              </w:rPr>
            </w:pPr>
          </w:p>
        </w:tc>
      </w:tr>
      <w:tr w:rsidR="00150C90" w:rsidRPr="00B004EE" w14:paraId="5551DCB1" w14:textId="77777777" w:rsidTr="007D76A1">
        <w:tc>
          <w:tcPr>
            <w:tcW w:w="450" w:type="dxa"/>
          </w:tcPr>
          <w:p w14:paraId="0B671418" w14:textId="163527F6" w:rsidR="008105B4" w:rsidRPr="00B004EE" w:rsidRDefault="007D76A1" w:rsidP="00B004EE">
            <w:pPr>
              <w:jc w:val="both"/>
              <w:rPr>
                <w:rFonts w:ascii="Tahoma" w:hAnsi="Tahoma" w:cs="Tahoma"/>
                <w:sz w:val="20"/>
                <w:szCs w:val="20"/>
              </w:rPr>
            </w:pPr>
            <w:r w:rsidRPr="00B004EE">
              <w:rPr>
                <w:rFonts w:ascii="Tahoma" w:hAnsi="Tahoma" w:cs="Tahoma"/>
                <w:sz w:val="20"/>
                <w:szCs w:val="20"/>
              </w:rPr>
              <w:t>14</w:t>
            </w:r>
          </w:p>
        </w:tc>
        <w:tc>
          <w:tcPr>
            <w:tcW w:w="5497" w:type="dxa"/>
          </w:tcPr>
          <w:p w14:paraId="0C7A8BB4" w14:textId="77777777" w:rsidR="008105B4" w:rsidRPr="00B004EE" w:rsidRDefault="008105B4" w:rsidP="00B004EE">
            <w:pPr>
              <w:jc w:val="both"/>
              <w:rPr>
                <w:rFonts w:ascii="Tahoma" w:hAnsi="Tahoma" w:cs="Tahoma"/>
                <w:sz w:val="20"/>
                <w:szCs w:val="20"/>
              </w:rPr>
            </w:pPr>
            <w:r w:rsidRPr="00B004EE">
              <w:rPr>
                <w:rFonts w:ascii="Tahoma" w:hAnsi="Tahoma" w:cs="Tahoma"/>
                <w:sz w:val="20"/>
                <w:szCs w:val="20"/>
              </w:rPr>
              <w:t>Saveur</w:t>
            </w:r>
          </w:p>
        </w:tc>
        <w:tc>
          <w:tcPr>
            <w:tcW w:w="3621" w:type="dxa"/>
          </w:tcPr>
          <w:p w14:paraId="544E2798" w14:textId="77777777" w:rsidR="008105B4" w:rsidRPr="00B004EE" w:rsidRDefault="008105B4" w:rsidP="00B004EE">
            <w:pPr>
              <w:jc w:val="both"/>
              <w:rPr>
                <w:rFonts w:ascii="Tahoma" w:hAnsi="Tahoma" w:cs="Tahoma"/>
                <w:sz w:val="20"/>
                <w:szCs w:val="20"/>
              </w:rPr>
            </w:pPr>
          </w:p>
        </w:tc>
      </w:tr>
      <w:tr w:rsidR="007D76A1" w:rsidRPr="00B004EE" w14:paraId="6210B3DC" w14:textId="77777777" w:rsidTr="007D76A1">
        <w:tc>
          <w:tcPr>
            <w:tcW w:w="450" w:type="dxa"/>
          </w:tcPr>
          <w:p w14:paraId="408C5069" w14:textId="104ABBFF" w:rsidR="008105B4" w:rsidRPr="00B004EE" w:rsidRDefault="007D76A1" w:rsidP="00B004EE">
            <w:pPr>
              <w:jc w:val="both"/>
              <w:rPr>
                <w:rFonts w:ascii="Tahoma" w:hAnsi="Tahoma" w:cs="Tahoma"/>
                <w:sz w:val="20"/>
                <w:szCs w:val="20"/>
              </w:rPr>
            </w:pPr>
            <w:r w:rsidRPr="00B004EE">
              <w:rPr>
                <w:rFonts w:ascii="Tahoma" w:hAnsi="Tahoma" w:cs="Tahoma"/>
                <w:sz w:val="20"/>
                <w:szCs w:val="20"/>
              </w:rPr>
              <w:t>15</w:t>
            </w:r>
          </w:p>
        </w:tc>
        <w:tc>
          <w:tcPr>
            <w:tcW w:w="5497" w:type="dxa"/>
          </w:tcPr>
          <w:p w14:paraId="61F5AB60" w14:textId="77777777" w:rsidR="008105B4" w:rsidRPr="00B004EE" w:rsidRDefault="008105B4" w:rsidP="00B004EE">
            <w:pPr>
              <w:jc w:val="both"/>
              <w:rPr>
                <w:rFonts w:ascii="Tahoma" w:hAnsi="Tahoma" w:cs="Tahoma"/>
                <w:sz w:val="20"/>
                <w:szCs w:val="20"/>
              </w:rPr>
            </w:pPr>
            <w:r w:rsidRPr="00B004EE">
              <w:rPr>
                <w:rFonts w:ascii="Tahoma" w:hAnsi="Tahoma" w:cs="Tahoma"/>
                <w:sz w:val="20"/>
                <w:szCs w:val="20"/>
              </w:rPr>
              <w:t>Turbidité</w:t>
            </w:r>
          </w:p>
        </w:tc>
        <w:tc>
          <w:tcPr>
            <w:tcW w:w="3621" w:type="dxa"/>
          </w:tcPr>
          <w:p w14:paraId="28BC7CE9" w14:textId="77777777" w:rsidR="008105B4" w:rsidRPr="00B004EE" w:rsidRDefault="008105B4" w:rsidP="00B004EE">
            <w:pPr>
              <w:jc w:val="both"/>
              <w:rPr>
                <w:rFonts w:ascii="Tahoma" w:hAnsi="Tahoma" w:cs="Tahoma"/>
                <w:sz w:val="20"/>
                <w:szCs w:val="20"/>
              </w:rPr>
            </w:pPr>
          </w:p>
        </w:tc>
      </w:tr>
    </w:tbl>
    <w:p w14:paraId="35D0E81F" w14:textId="77777777" w:rsidR="008105B4" w:rsidRPr="00B004EE" w:rsidRDefault="008105B4" w:rsidP="00B004EE">
      <w:pPr>
        <w:jc w:val="both"/>
        <w:rPr>
          <w:rFonts w:ascii="Tahoma" w:hAnsi="Tahoma" w:cs="Tahoma"/>
          <w:sz w:val="20"/>
          <w:szCs w:val="20"/>
        </w:rPr>
      </w:pPr>
    </w:p>
    <w:p w14:paraId="2A65C800" w14:textId="125C7C95" w:rsidR="008105B4" w:rsidRPr="00B004EE" w:rsidRDefault="00A1797D" w:rsidP="00B004EE">
      <w:pPr>
        <w:tabs>
          <w:tab w:val="left" w:pos="3070"/>
          <w:tab w:val="left" w:pos="4605"/>
          <w:tab w:val="left" w:pos="6140"/>
          <w:tab w:val="left" w:pos="7675"/>
          <w:tab w:val="left" w:pos="9210"/>
        </w:tabs>
        <w:ind w:left="709" w:hanging="709"/>
        <w:jc w:val="both"/>
        <w:rPr>
          <w:rFonts w:ascii="Tahoma" w:hAnsi="Tahoma" w:cs="Tahoma"/>
          <w:sz w:val="20"/>
          <w:szCs w:val="20"/>
        </w:rPr>
      </w:pPr>
      <w:r w:rsidRPr="00B004EE">
        <w:rPr>
          <w:rFonts w:ascii="Tahoma" w:hAnsi="Tahoma" w:cs="Tahoma"/>
          <w:sz w:val="20"/>
          <w:szCs w:val="20"/>
        </w:rPr>
        <w:t>Note</w:t>
      </w:r>
      <w:r w:rsidR="00DB1635" w:rsidRPr="00B004EE">
        <w:rPr>
          <w:rFonts w:ascii="Tahoma" w:hAnsi="Tahoma" w:cs="Tahoma"/>
          <w:sz w:val="20"/>
          <w:szCs w:val="20"/>
        </w:rPr>
        <w:t xml:space="preserve"> </w:t>
      </w:r>
      <w:r w:rsidRPr="00B004EE">
        <w:rPr>
          <w:rFonts w:ascii="Tahoma" w:hAnsi="Tahoma" w:cs="Tahoma"/>
          <w:sz w:val="20"/>
          <w:szCs w:val="20"/>
        </w:rPr>
        <w:t>1</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008105B4" w:rsidRPr="00B004EE">
        <w:rPr>
          <w:rFonts w:ascii="Tahoma" w:hAnsi="Tahoma" w:cs="Tahoma"/>
          <w:sz w:val="20"/>
          <w:szCs w:val="20"/>
        </w:rPr>
        <w:t>Seulement</w:t>
      </w:r>
      <w:r w:rsidR="00DB1635" w:rsidRPr="00B004EE">
        <w:rPr>
          <w:rFonts w:ascii="Tahoma" w:hAnsi="Tahoma" w:cs="Tahoma"/>
          <w:sz w:val="20"/>
          <w:szCs w:val="20"/>
        </w:rPr>
        <w:t xml:space="preserve"> </w:t>
      </w:r>
      <w:r w:rsidR="008105B4" w:rsidRPr="00B004EE">
        <w:rPr>
          <w:rFonts w:ascii="Tahoma" w:hAnsi="Tahoma" w:cs="Tahoma"/>
          <w:sz w:val="20"/>
          <w:szCs w:val="20"/>
        </w:rPr>
        <w:t>nécessaire</w:t>
      </w:r>
      <w:r w:rsidR="00DB1635" w:rsidRPr="00B004EE">
        <w:rPr>
          <w:rFonts w:ascii="Tahoma" w:hAnsi="Tahoma" w:cs="Tahoma"/>
          <w:sz w:val="20"/>
          <w:szCs w:val="20"/>
        </w:rPr>
        <w:t xml:space="preserve"> </w:t>
      </w:r>
      <w:r w:rsidR="008105B4" w:rsidRPr="00B004EE">
        <w:rPr>
          <w:rFonts w:ascii="Tahoma" w:hAnsi="Tahoma" w:cs="Tahoma"/>
          <w:sz w:val="20"/>
          <w:szCs w:val="20"/>
        </w:rPr>
        <w:t>lorsque</w:t>
      </w:r>
      <w:r w:rsidR="00DB1635" w:rsidRPr="00B004EE">
        <w:rPr>
          <w:rFonts w:ascii="Tahoma" w:hAnsi="Tahoma" w:cs="Tahoma"/>
          <w:sz w:val="20"/>
          <w:szCs w:val="20"/>
        </w:rPr>
        <w:t xml:space="preserve"> </w:t>
      </w:r>
      <w:r w:rsidR="008105B4" w:rsidRPr="00B004EE">
        <w:rPr>
          <w:rFonts w:ascii="Tahoma" w:hAnsi="Tahoma" w:cs="Tahoma"/>
          <w:sz w:val="20"/>
          <w:szCs w:val="20"/>
        </w:rPr>
        <w:t>le</w:t>
      </w:r>
      <w:r w:rsidR="00DB1635" w:rsidRPr="00B004EE">
        <w:rPr>
          <w:rFonts w:ascii="Tahoma" w:hAnsi="Tahoma" w:cs="Tahoma"/>
          <w:sz w:val="20"/>
          <w:szCs w:val="20"/>
        </w:rPr>
        <w:t xml:space="preserve"> </w:t>
      </w:r>
      <w:r w:rsidR="008105B4" w:rsidRPr="00B004EE">
        <w:rPr>
          <w:rFonts w:ascii="Tahoma" w:hAnsi="Tahoma" w:cs="Tahoma"/>
          <w:sz w:val="20"/>
          <w:szCs w:val="20"/>
        </w:rPr>
        <w:t>paramètre</w:t>
      </w:r>
      <w:r w:rsidR="00DB1635" w:rsidRPr="00B004EE">
        <w:rPr>
          <w:rFonts w:ascii="Tahoma" w:hAnsi="Tahoma" w:cs="Tahoma"/>
          <w:sz w:val="20"/>
          <w:szCs w:val="20"/>
        </w:rPr>
        <w:t xml:space="preserve"> </w:t>
      </w:r>
      <w:r w:rsidR="008105B4" w:rsidRPr="00B004EE">
        <w:rPr>
          <w:rFonts w:ascii="Tahoma" w:hAnsi="Tahoma" w:cs="Tahoma"/>
          <w:sz w:val="20"/>
          <w:szCs w:val="20"/>
        </w:rPr>
        <w:t>est</w:t>
      </w:r>
      <w:r w:rsidR="00DB1635" w:rsidRPr="00B004EE">
        <w:rPr>
          <w:rFonts w:ascii="Tahoma" w:hAnsi="Tahoma" w:cs="Tahoma"/>
          <w:sz w:val="20"/>
          <w:szCs w:val="20"/>
        </w:rPr>
        <w:t xml:space="preserve"> </w:t>
      </w:r>
      <w:r w:rsidR="008105B4" w:rsidRPr="00B004EE">
        <w:rPr>
          <w:rFonts w:ascii="Tahoma" w:hAnsi="Tahoma" w:cs="Tahoma"/>
          <w:sz w:val="20"/>
          <w:szCs w:val="20"/>
        </w:rPr>
        <w:t>utilisé</w:t>
      </w:r>
      <w:r w:rsidR="00DB1635" w:rsidRPr="00B004EE">
        <w:rPr>
          <w:rFonts w:ascii="Tahoma" w:hAnsi="Tahoma" w:cs="Tahoma"/>
          <w:sz w:val="20"/>
          <w:szCs w:val="20"/>
        </w:rPr>
        <w:t xml:space="preserve"> </w:t>
      </w:r>
      <w:r w:rsidR="008105B4" w:rsidRPr="00B004EE">
        <w:rPr>
          <w:rFonts w:ascii="Tahoma" w:hAnsi="Tahoma" w:cs="Tahoma"/>
          <w:sz w:val="20"/>
          <w:szCs w:val="20"/>
        </w:rPr>
        <w:t>comme</w:t>
      </w:r>
      <w:r w:rsidR="00DB1635" w:rsidRPr="00B004EE">
        <w:rPr>
          <w:rFonts w:ascii="Tahoma" w:hAnsi="Tahoma" w:cs="Tahoma"/>
          <w:sz w:val="20"/>
          <w:szCs w:val="20"/>
        </w:rPr>
        <w:t xml:space="preserve"> </w:t>
      </w:r>
      <w:r w:rsidR="008105B4" w:rsidRPr="00B004EE">
        <w:rPr>
          <w:rFonts w:ascii="Tahoma" w:hAnsi="Tahoma" w:cs="Tahoma"/>
          <w:sz w:val="20"/>
          <w:szCs w:val="20"/>
        </w:rPr>
        <w:t>agent</w:t>
      </w:r>
      <w:r w:rsidR="00DB1635" w:rsidRPr="00B004EE">
        <w:rPr>
          <w:rFonts w:ascii="Tahoma" w:hAnsi="Tahoma" w:cs="Tahoma"/>
          <w:sz w:val="20"/>
          <w:szCs w:val="20"/>
        </w:rPr>
        <w:t xml:space="preserve"> </w:t>
      </w:r>
      <w:r w:rsidR="008105B4" w:rsidRPr="00B004EE">
        <w:rPr>
          <w:rFonts w:ascii="Tahoma" w:hAnsi="Tahoma" w:cs="Tahoma"/>
          <w:sz w:val="20"/>
          <w:szCs w:val="20"/>
        </w:rPr>
        <w:t>de</w:t>
      </w:r>
      <w:r w:rsidR="00DB1635" w:rsidRPr="00B004EE">
        <w:rPr>
          <w:rFonts w:ascii="Tahoma" w:hAnsi="Tahoma" w:cs="Tahoma"/>
          <w:sz w:val="20"/>
          <w:szCs w:val="20"/>
        </w:rPr>
        <w:t xml:space="preserve"> </w:t>
      </w:r>
      <w:r w:rsidR="008105B4" w:rsidRPr="00B004EE">
        <w:rPr>
          <w:rFonts w:ascii="Tahoma" w:hAnsi="Tahoma" w:cs="Tahoma"/>
          <w:sz w:val="20"/>
          <w:szCs w:val="20"/>
        </w:rPr>
        <w:t>floculation.</w:t>
      </w:r>
    </w:p>
    <w:p w14:paraId="1DB68091" w14:textId="2B27C04A" w:rsidR="008105B4" w:rsidRPr="00B004EE" w:rsidRDefault="008105B4" w:rsidP="00B004EE">
      <w:pPr>
        <w:tabs>
          <w:tab w:val="left" w:pos="3070"/>
          <w:tab w:val="left" w:pos="4605"/>
          <w:tab w:val="left" w:pos="6140"/>
          <w:tab w:val="left" w:pos="7675"/>
          <w:tab w:val="left" w:pos="9210"/>
        </w:tabs>
        <w:ind w:left="709" w:hanging="709"/>
        <w:jc w:val="both"/>
        <w:rPr>
          <w:rFonts w:ascii="Tahoma" w:hAnsi="Tahoma" w:cs="Tahoma"/>
          <w:sz w:val="20"/>
          <w:szCs w:val="20"/>
        </w:rPr>
      </w:pPr>
      <w:r w:rsidRPr="00B004EE">
        <w:rPr>
          <w:rFonts w:ascii="Tahoma" w:hAnsi="Tahoma" w:cs="Tahoma"/>
          <w:sz w:val="20"/>
          <w:szCs w:val="20"/>
        </w:rPr>
        <w:t>Note</w:t>
      </w:r>
      <w:r w:rsidR="00DB1635" w:rsidRPr="00B004EE">
        <w:rPr>
          <w:rFonts w:ascii="Tahoma" w:hAnsi="Tahoma" w:cs="Tahoma"/>
          <w:sz w:val="20"/>
          <w:szCs w:val="20"/>
        </w:rPr>
        <w:t xml:space="preserve"> </w:t>
      </w:r>
      <w:r w:rsidRPr="00B004EE">
        <w:rPr>
          <w:rFonts w:ascii="Tahoma" w:hAnsi="Tahoma" w:cs="Tahoma"/>
          <w:sz w:val="20"/>
          <w:szCs w:val="20"/>
        </w:rPr>
        <w:t>2</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Seulement</w:t>
      </w:r>
      <w:r w:rsidR="00DB1635" w:rsidRPr="00B004EE">
        <w:rPr>
          <w:rFonts w:ascii="Tahoma" w:hAnsi="Tahoma" w:cs="Tahoma"/>
          <w:sz w:val="20"/>
          <w:szCs w:val="20"/>
        </w:rPr>
        <w:t xml:space="preserve"> </w:t>
      </w:r>
      <w:r w:rsidRPr="00B004EE">
        <w:rPr>
          <w:rFonts w:ascii="Tahoma" w:hAnsi="Tahoma" w:cs="Tahoma"/>
          <w:sz w:val="20"/>
          <w:szCs w:val="20"/>
        </w:rPr>
        <w:t>nécessaire</w:t>
      </w:r>
      <w:r w:rsidR="00DB1635" w:rsidRPr="00B004EE">
        <w:rPr>
          <w:rFonts w:ascii="Tahoma" w:hAnsi="Tahoma" w:cs="Tahoma"/>
          <w:sz w:val="20"/>
          <w:szCs w:val="20"/>
        </w:rPr>
        <w:t xml:space="preserve"> </w:t>
      </w:r>
      <w:r w:rsidRPr="00B004EE">
        <w:rPr>
          <w:rFonts w:ascii="Tahoma" w:hAnsi="Tahoma" w:cs="Tahoma"/>
          <w:sz w:val="20"/>
          <w:szCs w:val="20"/>
        </w:rPr>
        <w:t>si</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eaux</w:t>
      </w:r>
      <w:r w:rsidR="00DB1635" w:rsidRPr="00B004EE">
        <w:rPr>
          <w:rFonts w:ascii="Tahoma" w:hAnsi="Tahoma" w:cs="Tahoma"/>
          <w:sz w:val="20"/>
          <w:szCs w:val="20"/>
        </w:rPr>
        <w:t xml:space="preserve"> </w:t>
      </w:r>
      <w:r w:rsidRPr="00B004EE">
        <w:rPr>
          <w:rFonts w:ascii="Tahoma" w:hAnsi="Tahoma" w:cs="Tahoma"/>
          <w:sz w:val="20"/>
          <w:szCs w:val="20"/>
        </w:rPr>
        <w:t>proviennent</w:t>
      </w:r>
      <w:r w:rsidR="00DB1635" w:rsidRPr="00B004EE">
        <w:rPr>
          <w:rFonts w:ascii="Tahoma" w:hAnsi="Tahoma" w:cs="Tahoma"/>
          <w:sz w:val="20"/>
          <w:szCs w:val="20"/>
        </w:rPr>
        <w:t xml:space="preserve"> </w:t>
      </w:r>
      <w:r w:rsidRPr="00B004EE">
        <w:rPr>
          <w:rFonts w:ascii="Tahoma" w:hAnsi="Tahoma" w:cs="Tahoma"/>
          <w:sz w:val="20"/>
          <w:szCs w:val="20"/>
        </w:rPr>
        <w:t>d'eaux</w:t>
      </w:r>
      <w:r w:rsidR="00DB1635" w:rsidRPr="00B004EE">
        <w:rPr>
          <w:rFonts w:ascii="Tahoma" w:hAnsi="Tahoma" w:cs="Tahoma"/>
          <w:sz w:val="20"/>
          <w:szCs w:val="20"/>
        </w:rPr>
        <w:t xml:space="preserve"> </w:t>
      </w:r>
      <w:r w:rsidRPr="00B004EE">
        <w:rPr>
          <w:rFonts w:ascii="Tahoma" w:hAnsi="Tahoma" w:cs="Tahoma"/>
          <w:sz w:val="20"/>
          <w:szCs w:val="20"/>
        </w:rPr>
        <w:t>superficielles</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influencées</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celles-ci.</w:t>
      </w:r>
    </w:p>
    <w:p w14:paraId="7D6F08F9" w14:textId="77777777" w:rsidR="008105B4" w:rsidRPr="00B004EE" w:rsidRDefault="008105B4" w:rsidP="00B004EE">
      <w:pPr>
        <w:jc w:val="both"/>
        <w:rPr>
          <w:rFonts w:ascii="Tahoma" w:hAnsi="Tahoma" w:cs="Tahoma"/>
          <w:sz w:val="20"/>
          <w:szCs w:val="20"/>
        </w:rPr>
      </w:pPr>
    </w:p>
    <w:p w14:paraId="27B8318B" w14:textId="0D9B9AF6" w:rsidR="008105B4" w:rsidRPr="00B004EE" w:rsidRDefault="008105B4" w:rsidP="00B004EE">
      <w:pPr>
        <w:jc w:val="both"/>
        <w:rPr>
          <w:rFonts w:ascii="Tahoma" w:hAnsi="Tahoma" w:cs="Tahoma"/>
          <w:b/>
          <w:bCs/>
          <w:i/>
          <w:iCs/>
          <w:sz w:val="20"/>
          <w:szCs w:val="20"/>
        </w:rPr>
      </w:pPr>
      <w:r w:rsidRPr="00B004EE">
        <w:rPr>
          <w:rFonts w:ascii="Tahoma" w:hAnsi="Tahoma" w:cs="Tahoma"/>
          <w:b/>
          <w:bCs/>
          <w:sz w:val="20"/>
          <w:szCs w:val="20"/>
        </w:rPr>
        <w:t>B.</w:t>
      </w:r>
      <w:r w:rsidR="00DB1635" w:rsidRPr="00B004EE">
        <w:rPr>
          <w:rFonts w:ascii="Tahoma" w:hAnsi="Tahoma" w:cs="Tahoma"/>
          <w:b/>
          <w:bCs/>
          <w:sz w:val="20"/>
          <w:szCs w:val="20"/>
        </w:rPr>
        <w:t xml:space="preserve"> </w:t>
      </w:r>
      <w:r w:rsidRPr="00B004EE">
        <w:rPr>
          <w:rFonts w:ascii="Tahoma" w:hAnsi="Tahoma" w:cs="Tahoma"/>
          <w:b/>
          <w:bCs/>
          <w:i/>
          <w:iCs/>
          <w:sz w:val="20"/>
          <w:szCs w:val="20"/>
        </w:rPr>
        <w:t>Contrôle</w:t>
      </w:r>
      <w:r w:rsidR="00DB1635" w:rsidRPr="00B004EE">
        <w:rPr>
          <w:rFonts w:ascii="Tahoma" w:hAnsi="Tahoma" w:cs="Tahoma"/>
          <w:b/>
          <w:bCs/>
          <w:i/>
          <w:iCs/>
          <w:sz w:val="20"/>
          <w:szCs w:val="20"/>
        </w:rPr>
        <w:t xml:space="preserve"> </w:t>
      </w:r>
      <w:r w:rsidRPr="00B004EE">
        <w:rPr>
          <w:rFonts w:ascii="Tahoma" w:hAnsi="Tahoma" w:cs="Tahoma"/>
          <w:b/>
          <w:bCs/>
          <w:i/>
          <w:iCs/>
          <w:sz w:val="20"/>
          <w:szCs w:val="20"/>
        </w:rPr>
        <w:t>complet</w:t>
      </w:r>
    </w:p>
    <w:p w14:paraId="6051695A" w14:textId="77777777" w:rsidR="008105B4" w:rsidRPr="00B004EE" w:rsidRDefault="008105B4" w:rsidP="00B004EE">
      <w:pPr>
        <w:jc w:val="both"/>
        <w:rPr>
          <w:rFonts w:ascii="Tahoma" w:hAnsi="Tahoma" w:cs="Tahoma"/>
          <w:sz w:val="20"/>
          <w:szCs w:val="20"/>
        </w:rPr>
      </w:pPr>
    </w:p>
    <w:p w14:paraId="2E4382F4" w14:textId="7714EB96" w:rsidR="008105B4" w:rsidRPr="00B004EE" w:rsidRDefault="008105B4" w:rsidP="00B004EE">
      <w:pPr>
        <w:jc w:val="both"/>
        <w:rPr>
          <w:rFonts w:ascii="Tahoma" w:hAnsi="Tahoma" w:cs="Tahoma"/>
          <w:b/>
          <w:bCs/>
          <w:sz w:val="20"/>
          <w:szCs w:val="20"/>
        </w:rPr>
      </w:pPr>
      <w:r w:rsidRPr="00B004EE">
        <w:rPr>
          <w:rFonts w:ascii="Tahoma" w:hAnsi="Tahoma" w:cs="Tahoma"/>
          <w:b/>
          <w:bCs/>
          <w:sz w:val="20"/>
          <w:szCs w:val="20"/>
        </w:rPr>
        <w:t>Tableau</w:t>
      </w:r>
      <w:r w:rsidR="00DB1635" w:rsidRPr="00B004EE">
        <w:rPr>
          <w:rFonts w:ascii="Tahoma" w:hAnsi="Tahoma" w:cs="Tahoma"/>
          <w:b/>
          <w:bCs/>
          <w:sz w:val="20"/>
          <w:szCs w:val="20"/>
        </w:rPr>
        <w:t xml:space="preserve"> </w:t>
      </w:r>
      <w:r w:rsidRPr="00B004EE">
        <w:rPr>
          <w:rFonts w:ascii="Tahoma" w:hAnsi="Tahoma" w:cs="Tahoma"/>
          <w:b/>
          <w:bCs/>
          <w:sz w:val="20"/>
          <w:szCs w:val="20"/>
        </w:rPr>
        <w:t>G</w:t>
      </w:r>
      <w:r w:rsidR="00DB1635" w:rsidRPr="00B004EE">
        <w:rPr>
          <w:rFonts w:ascii="Tahoma" w:hAnsi="Tahoma" w:cs="Tahoma"/>
          <w:b/>
          <w:bCs/>
          <w:sz w:val="20"/>
          <w:szCs w:val="20"/>
        </w:rPr>
        <w:t xml:space="preserve"> </w:t>
      </w:r>
      <w:r w:rsidRPr="00B004EE">
        <w:rPr>
          <w:rFonts w:ascii="Tahoma" w:hAnsi="Tahoma" w:cs="Tahoma"/>
          <w:b/>
          <w:bCs/>
          <w:sz w:val="20"/>
          <w:szCs w:val="20"/>
        </w:rPr>
        <w:t>:</w:t>
      </w:r>
      <w:r w:rsidR="00DB1635" w:rsidRPr="00B004EE">
        <w:rPr>
          <w:rFonts w:ascii="Tahoma" w:hAnsi="Tahoma" w:cs="Tahoma"/>
          <w:b/>
          <w:bCs/>
          <w:sz w:val="20"/>
          <w:szCs w:val="20"/>
        </w:rPr>
        <w:t xml:space="preserve"> </w:t>
      </w:r>
      <w:r w:rsidRPr="00B004EE">
        <w:rPr>
          <w:rFonts w:ascii="Tahoma" w:hAnsi="Tahoma" w:cs="Tahoma"/>
          <w:b/>
          <w:bCs/>
          <w:sz w:val="20"/>
          <w:szCs w:val="20"/>
        </w:rPr>
        <w:t>Paramètres</w:t>
      </w:r>
      <w:r w:rsidR="00DB1635" w:rsidRPr="00B004EE">
        <w:rPr>
          <w:rFonts w:ascii="Tahoma" w:hAnsi="Tahoma" w:cs="Tahoma"/>
          <w:b/>
          <w:bCs/>
          <w:sz w:val="20"/>
          <w:szCs w:val="20"/>
        </w:rPr>
        <w:t xml:space="preserve"> </w:t>
      </w:r>
      <w:r w:rsidRPr="00B004EE">
        <w:rPr>
          <w:rFonts w:ascii="Tahoma" w:hAnsi="Tahoma" w:cs="Tahoma"/>
          <w:b/>
          <w:bCs/>
          <w:sz w:val="20"/>
          <w:szCs w:val="20"/>
        </w:rPr>
        <w:t>complémentaires</w:t>
      </w:r>
      <w:r w:rsidR="00DB1635" w:rsidRPr="00B004EE">
        <w:rPr>
          <w:rFonts w:ascii="Tahoma" w:hAnsi="Tahoma" w:cs="Tahoma"/>
          <w:b/>
          <w:bCs/>
          <w:sz w:val="20"/>
          <w:szCs w:val="20"/>
        </w:rPr>
        <w:t xml:space="preserve"> </w:t>
      </w:r>
      <w:r w:rsidRPr="00B004EE">
        <w:rPr>
          <w:rFonts w:ascii="Tahoma" w:hAnsi="Tahoma" w:cs="Tahoma"/>
          <w:b/>
          <w:bCs/>
          <w:sz w:val="20"/>
          <w:szCs w:val="20"/>
        </w:rPr>
        <w:t>pour</w:t>
      </w:r>
      <w:r w:rsidR="00DB1635" w:rsidRPr="00B004EE">
        <w:rPr>
          <w:rFonts w:ascii="Tahoma" w:hAnsi="Tahoma" w:cs="Tahoma"/>
          <w:b/>
          <w:bCs/>
          <w:sz w:val="20"/>
          <w:szCs w:val="20"/>
        </w:rPr>
        <w:t xml:space="preserve"> </w:t>
      </w:r>
      <w:r w:rsidRPr="00B004EE">
        <w:rPr>
          <w:rFonts w:ascii="Tahoma" w:hAnsi="Tahoma" w:cs="Tahoma"/>
          <w:b/>
          <w:bCs/>
          <w:sz w:val="20"/>
          <w:szCs w:val="20"/>
        </w:rPr>
        <w:t>le</w:t>
      </w:r>
      <w:r w:rsidR="00DB1635" w:rsidRPr="00B004EE">
        <w:rPr>
          <w:rFonts w:ascii="Tahoma" w:hAnsi="Tahoma" w:cs="Tahoma"/>
          <w:b/>
          <w:bCs/>
          <w:sz w:val="20"/>
          <w:szCs w:val="20"/>
        </w:rPr>
        <w:t xml:space="preserve"> </w:t>
      </w:r>
      <w:r w:rsidRPr="00B004EE">
        <w:rPr>
          <w:rFonts w:ascii="Tahoma" w:hAnsi="Tahoma" w:cs="Tahoma"/>
          <w:b/>
          <w:bCs/>
          <w:sz w:val="20"/>
          <w:szCs w:val="20"/>
        </w:rPr>
        <w:t>contrôle</w:t>
      </w:r>
      <w:r w:rsidR="00DB1635" w:rsidRPr="00B004EE">
        <w:rPr>
          <w:rFonts w:ascii="Tahoma" w:hAnsi="Tahoma" w:cs="Tahoma"/>
          <w:b/>
          <w:bCs/>
          <w:sz w:val="20"/>
          <w:szCs w:val="20"/>
        </w:rPr>
        <w:t xml:space="preserve"> </w:t>
      </w:r>
      <w:r w:rsidRPr="00B004EE">
        <w:rPr>
          <w:rFonts w:ascii="Tahoma" w:hAnsi="Tahoma" w:cs="Tahoma"/>
          <w:b/>
          <w:bCs/>
          <w:sz w:val="20"/>
          <w:szCs w:val="20"/>
        </w:rPr>
        <w:t>complet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0"/>
        <w:gridCol w:w="4930"/>
        <w:gridCol w:w="3706"/>
      </w:tblGrid>
      <w:tr w:rsidR="00150C90" w:rsidRPr="00B004EE" w14:paraId="29F39227" w14:textId="77777777" w:rsidTr="007D76A1">
        <w:tc>
          <w:tcPr>
            <w:tcW w:w="450" w:type="dxa"/>
          </w:tcPr>
          <w:p w14:paraId="6F039BA3" w14:textId="77777777" w:rsidR="008105B4" w:rsidRPr="00B004EE" w:rsidRDefault="008105B4" w:rsidP="00B004EE">
            <w:pPr>
              <w:jc w:val="both"/>
              <w:rPr>
                <w:rFonts w:ascii="Tahoma" w:hAnsi="Tahoma" w:cs="Tahoma"/>
                <w:b/>
                <w:bCs/>
                <w:sz w:val="20"/>
                <w:szCs w:val="20"/>
              </w:rPr>
            </w:pPr>
            <w:r w:rsidRPr="00B004EE">
              <w:rPr>
                <w:rFonts w:ascii="Tahoma" w:hAnsi="Tahoma" w:cs="Tahoma"/>
                <w:b/>
                <w:bCs/>
                <w:sz w:val="20"/>
                <w:szCs w:val="20"/>
              </w:rPr>
              <w:t>N°</w:t>
            </w:r>
          </w:p>
        </w:tc>
        <w:tc>
          <w:tcPr>
            <w:tcW w:w="4930" w:type="dxa"/>
          </w:tcPr>
          <w:p w14:paraId="7876A39D" w14:textId="77777777" w:rsidR="008105B4" w:rsidRPr="00B004EE" w:rsidRDefault="008105B4" w:rsidP="00B004EE">
            <w:pPr>
              <w:jc w:val="both"/>
              <w:rPr>
                <w:rFonts w:ascii="Tahoma" w:hAnsi="Tahoma" w:cs="Tahoma"/>
                <w:b/>
                <w:bCs/>
                <w:sz w:val="20"/>
                <w:szCs w:val="20"/>
              </w:rPr>
            </w:pPr>
            <w:r w:rsidRPr="00B004EE">
              <w:rPr>
                <w:rFonts w:ascii="Tahoma" w:hAnsi="Tahoma" w:cs="Tahoma"/>
                <w:b/>
                <w:bCs/>
                <w:sz w:val="20"/>
                <w:szCs w:val="20"/>
              </w:rPr>
              <w:t>Paramètre</w:t>
            </w:r>
          </w:p>
        </w:tc>
        <w:tc>
          <w:tcPr>
            <w:tcW w:w="3706" w:type="dxa"/>
          </w:tcPr>
          <w:p w14:paraId="7A6FB159" w14:textId="77777777" w:rsidR="008105B4" w:rsidRPr="00B004EE" w:rsidRDefault="008105B4" w:rsidP="00B004EE">
            <w:pPr>
              <w:pStyle w:val="Titre4"/>
              <w:rPr>
                <w:rFonts w:ascii="Tahoma" w:hAnsi="Tahoma" w:cs="Tahoma"/>
                <w:sz w:val="20"/>
                <w:szCs w:val="20"/>
              </w:rPr>
            </w:pPr>
            <w:r w:rsidRPr="00B004EE">
              <w:rPr>
                <w:rFonts w:ascii="Tahoma" w:hAnsi="Tahoma" w:cs="Tahoma"/>
                <w:sz w:val="20"/>
                <w:szCs w:val="20"/>
              </w:rPr>
              <w:t>Note</w:t>
            </w:r>
          </w:p>
        </w:tc>
      </w:tr>
      <w:tr w:rsidR="00150C90" w:rsidRPr="00B004EE" w14:paraId="76322186" w14:textId="77777777" w:rsidTr="007D76A1">
        <w:tc>
          <w:tcPr>
            <w:tcW w:w="450" w:type="dxa"/>
          </w:tcPr>
          <w:p w14:paraId="003AAE86" w14:textId="77777777" w:rsidR="008105B4" w:rsidRPr="00B004EE" w:rsidRDefault="008105B4" w:rsidP="00B004EE">
            <w:pPr>
              <w:jc w:val="both"/>
              <w:rPr>
                <w:rFonts w:ascii="Tahoma" w:hAnsi="Tahoma" w:cs="Tahoma"/>
                <w:sz w:val="20"/>
                <w:szCs w:val="20"/>
              </w:rPr>
            </w:pPr>
          </w:p>
        </w:tc>
        <w:tc>
          <w:tcPr>
            <w:tcW w:w="4930" w:type="dxa"/>
            <w:vAlign w:val="center"/>
          </w:tcPr>
          <w:p w14:paraId="664601AD" w14:textId="77777777" w:rsidR="008105B4" w:rsidRPr="00B004EE" w:rsidRDefault="008105B4" w:rsidP="00B004EE">
            <w:pPr>
              <w:jc w:val="both"/>
              <w:rPr>
                <w:rFonts w:ascii="Tahoma" w:hAnsi="Tahoma" w:cs="Tahoma"/>
                <w:sz w:val="20"/>
                <w:szCs w:val="20"/>
              </w:rPr>
            </w:pPr>
            <w:r w:rsidRPr="00B004EE">
              <w:rPr>
                <w:rFonts w:ascii="Tahoma" w:hAnsi="Tahoma" w:cs="Tahoma"/>
                <w:sz w:val="20"/>
                <w:szCs w:val="20"/>
              </w:rPr>
              <w:t>Acrylamide</w:t>
            </w:r>
          </w:p>
        </w:tc>
        <w:tc>
          <w:tcPr>
            <w:tcW w:w="3706" w:type="dxa"/>
          </w:tcPr>
          <w:p w14:paraId="26BB3021" w14:textId="028AE28C" w:rsidR="008105B4" w:rsidRPr="00B004EE" w:rsidRDefault="008105B4" w:rsidP="00B004EE">
            <w:pPr>
              <w:jc w:val="both"/>
              <w:rPr>
                <w:rFonts w:ascii="Tahoma" w:hAnsi="Tahoma" w:cs="Tahoma"/>
                <w:sz w:val="20"/>
                <w:szCs w:val="20"/>
              </w:rPr>
            </w:pPr>
            <w:r w:rsidRPr="00B004EE">
              <w:rPr>
                <w:rFonts w:ascii="Tahoma" w:hAnsi="Tahoma" w:cs="Tahoma"/>
                <w:sz w:val="20"/>
                <w:szCs w:val="20"/>
              </w:rPr>
              <w:t>Note</w:t>
            </w:r>
            <w:r w:rsidR="00DB1635" w:rsidRPr="00B004EE">
              <w:rPr>
                <w:rFonts w:ascii="Tahoma" w:hAnsi="Tahoma" w:cs="Tahoma"/>
                <w:sz w:val="20"/>
                <w:szCs w:val="20"/>
              </w:rPr>
              <w:t xml:space="preserve"> </w:t>
            </w:r>
            <w:r w:rsidRPr="00B004EE">
              <w:rPr>
                <w:rFonts w:ascii="Tahoma" w:hAnsi="Tahoma" w:cs="Tahoma"/>
                <w:sz w:val="20"/>
                <w:szCs w:val="20"/>
              </w:rPr>
              <w:t>1</w:t>
            </w:r>
          </w:p>
        </w:tc>
      </w:tr>
      <w:tr w:rsidR="00150C90" w:rsidRPr="00B004EE" w14:paraId="71AB7204" w14:textId="77777777" w:rsidTr="007D76A1">
        <w:tc>
          <w:tcPr>
            <w:tcW w:w="450" w:type="dxa"/>
          </w:tcPr>
          <w:p w14:paraId="7C3D1314" w14:textId="77777777" w:rsidR="008105B4" w:rsidRPr="00B004EE" w:rsidRDefault="008105B4" w:rsidP="00B004EE">
            <w:pPr>
              <w:jc w:val="both"/>
              <w:rPr>
                <w:rFonts w:ascii="Tahoma" w:hAnsi="Tahoma" w:cs="Tahoma"/>
                <w:sz w:val="20"/>
                <w:szCs w:val="20"/>
                <w:lang w:val="en-GB"/>
              </w:rPr>
            </w:pPr>
          </w:p>
        </w:tc>
        <w:tc>
          <w:tcPr>
            <w:tcW w:w="4930" w:type="dxa"/>
            <w:vAlign w:val="center"/>
          </w:tcPr>
          <w:p w14:paraId="4E11DAC7" w14:textId="77777777" w:rsidR="008105B4" w:rsidRPr="00B004EE" w:rsidRDefault="008105B4" w:rsidP="00B004EE">
            <w:pPr>
              <w:jc w:val="both"/>
              <w:rPr>
                <w:rFonts w:ascii="Tahoma" w:hAnsi="Tahoma" w:cs="Tahoma"/>
                <w:sz w:val="20"/>
                <w:szCs w:val="20"/>
              </w:rPr>
            </w:pPr>
            <w:r w:rsidRPr="00B004EE">
              <w:rPr>
                <w:rFonts w:ascii="Tahoma" w:hAnsi="Tahoma" w:cs="Tahoma"/>
                <w:sz w:val="20"/>
                <w:szCs w:val="20"/>
              </w:rPr>
              <w:t>Antimoine</w:t>
            </w:r>
          </w:p>
        </w:tc>
        <w:tc>
          <w:tcPr>
            <w:tcW w:w="3706" w:type="dxa"/>
          </w:tcPr>
          <w:p w14:paraId="1E02EF85" w14:textId="77777777" w:rsidR="008105B4" w:rsidRPr="00B004EE" w:rsidRDefault="008105B4" w:rsidP="00B004EE">
            <w:pPr>
              <w:jc w:val="both"/>
              <w:rPr>
                <w:rFonts w:ascii="Tahoma" w:hAnsi="Tahoma" w:cs="Tahoma"/>
                <w:sz w:val="20"/>
                <w:szCs w:val="20"/>
              </w:rPr>
            </w:pPr>
          </w:p>
        </w:tc>
      </w:tr>
      <w:tr w:rsidR="00150C90" w:rsidRPr="00B004EE" w14:paraId="69339EAA" w14:textId="77777777" w:rsidTr="007D76A1">
        <w:tc>
          <w:tcPr>
            <w:tcW w:w="450" w:type="dxa"/>
          </w:tcPr>
          <w:p w14:paraId="59420634" w14:textId="77777777" w:rsidR="008105B4" w:rsidRPr="00B004EE" w:rsidRDefault="008105B4" w:rsidP="00B004EE">
            <w:pPr>
              <w:jc w:val="both"/>
              <w:rPr>
                <w:rFonts w:ascii="Tahoma" w:hAnsi="Tahoma" w:cs="Tahoma"/>
                <w:sz w:val="20"/>
                <w:szCs w:val="20"/>
              </w:rPr>
            </w:pPr>
          </w:p>
        </w:tc>
        <w:tc>
          <w:tcPr>
            <w:tcW w:w="4930" w:type="dxa"/>
            <w:vAlign w:val="center"/>
          </w:tcPr>
          <w:p w14:paraId="54F4D161" w14:textId="77777777" w:rsidR="008105B4" w:rsidRPr="00B004EE" w:rsidRDefault="008105B4" w:rsidP="00B004EE">
            <w:pPr>
              <w:jc w:val="both"/>
              <w:rPr>
                <w:rFonts w:ascii="Tahoma" w:hAnsi="Tahoma" w:cs="Tahoma"/>
                <w:sz w:val="20"/>
                <w:szCs w:val="20"/>
              </w:rPr>
            </w:pPr>
            <w:r w:rsidRPr="00B004EE">
              <w:rPr>
                <w:rFonts w:ascii="Tahoma" w:hAnsi="Tahoma" w:cs="Tahoma"/>
                <w:sz w:val="20"/>
                <w:szCs w:val="20"/>
              </w:rPr>
              <w:t>Arsenic</w:t>
            </w:r>
          </w:p>
        </w:tc>
        <w:tc>
          <w:tcPr>
            <w:tcW w:w="3706" w:type="dxa"/>
          </w:tcPr>
          <w:p w14:paraId="4F1163EF" w14:textId="77777777" w:rsidR="008105B4" w:rsidRPr="00B004EE" w:rsidRDefault="008105B4" w:rsidP="00B004EE">
            <w:pPr>
              <w:jc w:val="both"/>
              <w:rPr>
                <w:rFonts w:ascii="Tahoma" w:hAnsi="Tahoma" w:cs="Tahoma"/>
                <w:sz w:val="20"/>
                <w:szCs w:val="20"/>
              </w:rPr>
            </w:pPr>
          </w:p>
        </w:tc>
      </w:tr>
      <w:tr w:rsidR="00150C90" w:rsidRPr="00B004EE" w14:paraId="3AA7E999" w14:textId="77777777" w:rsidTr="007D76A1">
        <w:tc>
          <w:tcPr>
            <w:tcW w:w="450" w:type="dxa"/>
          </w:tcPr>
          <w:p w14:paraId="7C5ACD99" w14:textId="77777777" w:rsidR="008105B4" w:rsidRPr="00B004EE" w:rsidRDefault="008105B4" w:rsidP="00B004EE">
            <w:pPr>
              <w:jc w:val="both"/>
              <w:rPr>
                <w:rFonts w:ascii="Tahoma" w:hAnsi="Tahoma" w:cs="Tahoma"/>
                <w:sz w:val="20"/>
                <w:szCs w:val="20"/>
              </w:rPr>
            </w:pPr>
          </w:p>
        </w:tc>
        <w:tc>
          <w:tcPr>
            <w:tcW w:w="4930" w:type="dxa"/>
            <w:vAlign w:val="center"/>
          </w:tcPr>
          <w:p w14:paraId="428E71B9" w14:textId="77777777" w:rsidR="008105B4" w:rsidRPr="00B004EE" w:rsidRDefault="008105B4" w:rsidP="00B004EE">
            <w:pPr>
              <w:jc w:val="both"/>
              <w:rPr>
                <w:rFonts w:ascii="Tahoma" w:hAnsi="Tahoma" w:cs="Tahoma"/>
                <w:sz w:val="20"/>
                <w:szCs w:val="20"/>
                <w:lang w:val="en-GB"/>
              </w:rPr>
            </w:pPr>
            <w:r w:rsidRPr="00B004EE">
              <w:rPr>
                <w:rFonts w:ascii="Tahoma" w:hAnsi="Tahoma" w:cs="Tahoma"/>
                <w:sz w:val="20"/>
                <w:szCs w:val="20"/>
              </w:rPr>
              <w:t>Benzène</w:t>
            </w:r>
          </w:p>
        </w:tc>
        <w:tc>
          <w:tcPr>
            <w:tcW w:w="3706" w:type="dxa"/>
          </w:tcPr>
          <w:p w14:paraId="6DADABE2" w14:textId="77777777" w:rsidR="008105B4" w:rsidRPr="00B004EE" w:rsidRDefault="008105B4" w:rsidP="00B004EE">
            <w:pPr>
              <w:jc w:val="both"/>
              <w:rPr>
                <w:rFonts w:ascii="Tahoma" w:hAnsi="Tahoma" w:cs="Tahoma"/>
                <w:sz w:val="20"/>
                <w:szCs w:val="20"/>
                <w:lang w:val="en-GB"/>
              </w:rPr>
            </w:pPr>
          </w:p>
        </w:tc>
      </w:tr>
      <w:tr w:rsidR="00150C90" w:rsidRPr="00B004EE" w14:paraId="6BE73B54" w14:textId="77777777" w:rsidTr="007D76A1">
        <w:tc>
          <w:tcPr>
            <w:tcW w:w="450" w:type="dxa"/>
          </w:tcPr>
          <w:p w14:paraId="56B96D05" w14:textId="77777777" w:rsidR="008105B4" w:rsidRPr="00B004EE" w:rsidRDefault="008105B4" w:rsidP="00B004EE">
            <w:pPr>
              <w:jc w:val="both"/>
              <w:rPr>
                <w:rFonts w:ascii="Tahoma" w:hAnsi="Tahoma" w:cs="Tahoma"/>
                <w:sz w:val="20"/>
                <w:szCs w:val="20"/>
                <w:lang w:val="en-GB"/>
              </w:rPr>
            </w:pPr>
          </w:p>
        </w:tc>
        <w:tc>
          <w:tcPr>
            <w:tcW w:w="4930" w:type="dxa"/>
            <w:vAlign w:val="center"/>
          </w:tcPr>
          <w:p w14:paraId="22983BE0" w14:textId="77777777" w:rsidR="008105B4" w:rsidRPr="00B004EE" w:rsidRDefault="008105B4" w:rsidP="00B004EE">
            <w:pPr>
              <w:jc w:val="both"/>
              <w:rPr>
                <w:rFonts w:ascii="Tahoma" w:hAnsi="Tahoma" w:cs="Tahoma"/>
                <w:sz w:val="20"/>
                <w:szCs w:val="20"/>
              </w:rPr>
            </w:pPr>
            <w:r w:rsidRPr="00B004EE">
              <w:rPr>
                <w:rFonts w:ascii="Tahoma" w:hAnsi="Tahoma" w:cs="Tahoma"/>
                <w:sz w:val="20"/>
                <w:szCs w:val="20"/>
              </w:rPr>
              <w:t>Benzo[a]pyrène</w:t>
            </w:r>
          </w:p>
        </w:tc>
        <w:tc>
          <w:tcPr>
            <w:tcW w:w="3706" w:type="dxa"/>
          </w:tcPr>
          <w:p w14:paraId="453DB8CC" w14:textId="77777777" w:rsidR="008105B4" w:rsidRPr="00B004EE" w:rsidRDefault="008105B4" w:rsidP="00B004EE">
            <w:pPr>
              <w:jc w:val="both"/>
              <w:rPr>
                <w:rFonts w:ascii="Tahoma" w:hAnsi="Tahoma" w:cs="Tahoma"/>
                <w:sz w:val="20"/>
                <w:szCs w:val="20"/>
              </w:rPr>
            </w:pPr>
          </w:p>
        </w:tc>
      </w:tr>
      <w:tr w:rsidR="00150C90" w:rsidRPr="00B004EE" w14:paraId="785F378A" w14:textId="77777777" w:rsidTr="007D76A1">
        <w:tc>
          <w:tcPr>
            <w:tcW w:w="450" w:type="dxa"/>
          </w:tcPr>
          <w:p w14:paraId="20DC01D3" w14:textId="77777777" w:rsidR="008105B4" w:rsidRPr="00B004EE" w:rsidRDefault="008105B4" w:rsidP="00B004EE">
            <w:pPr>
              <w:jc w:val="both"/>
              <w:rPr>
                <w:rFonts w:ascii="Tahoma" w:hAnsi="Tahoma" w:cs="Tahoma"/>
                <w:sz w:val="20"/>
                <w:szCs w:val="20"/>
              </w:rPr>
            </w:pPr>
          </w:p>
        </w:tc>
        <w:tc>
          <w:tcPr>
            <w:tcW w:w="4930" w:type="dxa"/>
            <w:vAlign w:val="center"/>
          </w:tcPr>
          <w:p w14:paraId="333EBC51" w14:textId="77777777" w:rsidR="008105B4" w:rsidRPr="00B004EE" w:rsidRDefault="008105B4" w:rsidP="00B004EE">
            <w:pPr>
              <w:jc w:val="both"/>
              <w:rPr>
                <w:rFonts w:ascii="Tahoma" w:hAnsi="Tahoma" w:cs="Tahoma"/>
                <w:sz w:val="20"/>
                <w:szCs w:val="20"/>
              </w:rPr>
            </w:pPr>
            <w:r w:rsidRPr="00B004EE">
              <w:rPr>
                <w:rFonts w:ascii="Tahoma" w:hAnsi="Tahoma" w:cs="Tahoma"/>
                <w:sz w:val="20"/>
                <w:szCs w:val="20"/>
              </w:rPr>
              <w:t>Bore</w:t>
            </w:r>
          </w:p>
        </w:tc>
        <w:tc>
          <w:tcPr>
            <w:tcW w:w="3706" w:type="dxa"/>
          </w:tcPr>
          <w:p w14:paraId="08CB3FE7" w14:textId="77777777" w:rsidR="008105B4" w:rsidRPr="00B004EE" w:rsidRDefault="008105B4" w:rsidP="00B004EE">
            <w:pPr>
              <w:jc w:val="both"/>
              <w:rPr>
                <w:rFonts w:ascii="Tahoma" w:hAnsi="Tahoma" w:cs="Tahoma"/>
                <w:sz w:val="20"/>
                <w:szCs w:val="20"/>
              </w:rPr>
            </w:pPr>
          </w:p>
        </w:tc>
      </w:tr>
      <w:tr w:rsidR="00150C90" w:rsidRPr="00B004EE" w14:paraId="01A8ED87" w14:textId="77777777" w:rsidTr="007D76A1">
        <w:tc>
          <w:tcPr>
            <w:tcW w:w="450" w:type="dxa"/>
          </w:tcPr>
          <w:p w14:paraId="77E292EE" w14:textId="77777777" w:rsidR="008105B4" w:rsidRPr="00B004EE" w:rsidRDefault="008105B4" w:rsidP="00B004EE">
            <w:pPr>
              <w:jc w:val="both"/>
              <w:rPr>
                <w:rFonts w:ascii="Tahoma" w:hAnsi="Tahoma" w:cs="Tahoma"/>
                <w:sz w:val="20"/>
                <w:szCs w:val="20"/>
              </w:rPr>
            </w:pPr>
          </w:p>
        </w:tc>
        <w:tc>
          <w:tcPr>
            <w:tcW w:w="4930" w:type="dxa"/>
            <w:vAlign w:val="center"/>
          </w:tcPr>
          <w:p w14:paraId="4A2BA095" w14:textId="77777777" w:rsidR="008105B4" w:rsidRPr="00B004EE" w:rsidRDefault="008105B4" w:rsidP="00B004EE">
            <w:pPr>
              <w:jc w:val="both"/>
              <w:rPr>
                <w:rFonts w:ascii="Tahoma" w:hAnsi="Tahoma" w:cs="Tahoma"/>
                <w:sz w:val="20"/>
                <w:szCs w:val="20"/>
              </w:rPr>
            </w:pPr>
            <w:r w:rsidRPr="00B004EE">
              <w:rPr>
                <w:rFonts w:ascii="Tahoma" w:hAnsi="Tahoma" w:cs="Tahoma"/>
                <w:sz w:val="20"/>
                <w:szCs w:val="20"/>
              </w:rPr>
              <w:t>Bromates</w:t>
            </w:r>
          </w:p>
        </w:tc>
        <w:tc>
          <w:tcPr>
            <w:tcW w:w="3706" w:type="dxa"/>
          </w:tcPr>
          <w:p w14:paraId="06BC522B" w14:textId="1DAD4A4C" w:rsidR="008105B4" w:rsidRPr="00B004EE" w:rsidRDefault="008105B4" w:rsidP="00B004EE">
            <w:pPr>
              <w:jc w:val="both"/>
              <w:rPr>
                <w:rFonts w:ascii="Tahoma" w:hAnsi="Tahoma" w:cs="Tahoma"/>
                <w:sz w:val="20"/>
                <w:szCs w:val="20"/>
              </w:rPr>
            </w:pPr>
            <w:r w:rsidRPr="00B004EE">
              <w:rPr>
                <w:rFonts w:ascii="Tahoma" w:hAnsi="Tahoma" w:cs="Tahoma"/>
                <w:sz w:val="20"/>
                <w:szCs w:val="20"/>
              </w:rPr>
              <w:t>Note</w:t>
            </w:r>
            <w:r w:rsidR="00DB1635" w:rsidRPr="00B004EE">
              <w:rPr>
                <w:rFonts w:ascii="Tahoma" w:hAnsi="Tahoma" w:cs="Tahoma"/>
                <w:sz w:val="20"/>
                <w:szCs w:val="20"/>
              </w:rPr>
              <w:t xml:space="preserve"> </w:t>
            </w:r>
            <w:r w:rsidRPr="00B004EE">
              <w:rPr>
                <w:rFonts w:ascii="Tahoma" w:hAnsi="Tahoma" w:cs="Tahoma"/>
                <w:sz w:val="20"/>
                <w:szCs w:val="20"/>
              </w:rPr>
              <w:t>2</w:t>
            </w:r>
          </w:p>
        </w:tc>
      </w:tr>
      <w:tr w:rsidR="00150C90" w:rsidRPr="00B004EE" w14:paraId="3198B293" w14:textId="77777777" w:rsidTr="007D76A1">
        <w:tc>
          <w:tcPr>
            <w:tcW w:w="450" w:type="dxa"/>
          </w:tcPr>
          <w:p w14:paraId="48AD0678" w14:textId="77777777" w:rsidR="008105B4" w:rsidRPr="00B004EE" w:rsidRDefault="008105B4" w:rsidP="00B004EE">
            <w:pPr>
              <w:jc w:val="both"/>
              <w:rPr>
                <w:rFonts w:ascii="Tahoma" w:hAnsi="Tahoma" w:cs="Tahoma"/>
                <w:sz w:val="20"/>
                <w:szCs w:val="20"/>
              </w:rPr>
            </w:pPr>
          </w:p>
        </w:tc>
        <w:tc>
          <w:tcPr>
            <w:tcW w:w="4930" w:type="dxa"/>
            <w:vAlign w:val="center"/>
          </w:tcPr>
          <w:p w14:paraId="30DE0CCD" w14:textId="77777777" w:rsidR="008105B4" w:rsidRPr="00B004EE" w:rsidRDefault="008105B4" w:rsidP="00B004EE">
            <w:pPr>
              <w:jc w:val="both"/>
              <w:rPr>
                <w:rFonts w:ascii="Tahoma" w:hAnsi="Tahoma" w:cs="Tahoma"/>
                <w:sz w:val="20"/>
                <w:szCs w:val="20"/>
              </w:rPr>
            </w:pPr>
            <w:r w:rsidRPr="00B004EE">
              <w:rPr>
                <w:rFonts w:ascii="Tahoma" w:hAnsi="Tahoma" w:cs="Tahoma"/>
                <w:sz w:val="20"/>
                <w:szCs w:val="20"/>
                <w:lang w:val="en-GB"/>
              </w:rPr>
              <w:t>Cadmium</w:t>
            </w:r>
          </w:p>
        </w:tc>
        <w:tc>
          <w:tcPr>
            <w:tcW w:w="3706" w:type="dxa"/>
          </w:tcPr>
          <w:p w14:paraId="519DE64B" w14:textId="77777777" w:rsidR="008105B4" w:rsidRPr="00B004EE" w:rsidRDefault="008105B4" w:rsidP="00B004EE">
            <w:pPr>
              <w:jc w:val="both"/>
              <w:rPr>
                <w:rFonts w:ascii="Tahoma" w:hAnsi="Tahoma" w:cs="Tahoma"/>
                <w:sz w:val="20"/>
                <w:szCs w:val="20"/>
              </w:rPr>
            </w:pPr>
          </w:p>
        </w:tc>
      </w:tr>
      <w:tr w:rsidR="00150C90" w:rsidRPr="00B004EE" w14:paraId="6F365E13" w14:textId="77777777" w:rsidTr="007D76A1">
        <w:tc>
          <w:tcPr>
            <w:tcW w:w="450" w:type="dxa"/>
          </w:tcPr>
          <w:p w14:paraId="4A077763" w14:textId="77777777" w:rsidR="008105B4" w:rsidRPr="00B004EE" w:rsidRDefault="008105B4" w:rsidP="00B004EE">
            <w:pPr>
              <w:jc w:val="both"/>
              <w:rPr>
                <w:rFonts w:ascii="Tahoma" w:hAnsi="Tahoma" w:cs="Tahoma"/>
                <w:sz w:val="20"/>
                <w:szCs w:val="20"/>
              </w:rPr>
            </w:pPr>
          </w:p>
        </w:tc>
        <w:tc>
          <w:tcPr>
            <w:tcW w:w="4930" w:type="dxa"/>
            <w:vAlign w:val="center"/>
          </w:tcPr>
          <w:p w14:paraId="1B7BDD78" w14:textId="2B887B73" w:rsidR="008105B4" w:rsidRPr="00B004EE" w:rsidRDefault="008105B4" w:rsidP="00B004EE">
            <w:pPr>
              <w:jc w:val="both"/>
              <w:rPr>
                <w:rFonts w:ascii="Tahoma" w:hAnsi="Tahoma" w:cs="Tahoma"/>
                <w:sz w:val="20"/>
                <w:szCs w:val="20"/>
              </w:rPr>
            </w:pPr>
            <w:r w:rsidRPr="00B004EE">
              <w:rPr>
                <w:rFonts w:ascii="Tahoma" w:hAnsi="Tahoma" w:cs="Tahoma"/>
                <w:sz w:val="20"/>
                <w:szCs w:val="20"/>
              </w:rPr>
              <w:t>Chlore</w:t>
            </w:r>
            <w:r w:rsidR="00DB1635" w:rsidRPr="00B004EE">
              <w:rPr>
                <w:rFonts w:ascii="Tahoma" w:hAnsi="Tahoma" w:cs="Tahoma"/>
                <w:sz w:val="20"/>
                <w:szCs w:val="20"/>
              </w:rPr>
              <w:t xml:space="preserve"> </w:t>
            </w:r>
            <w:r w:rsidRPr="00B004EE">
              <w:rPr>
                <w:rFonts w:ascii="Tahoma" w:hAnsi="Tahoma" w:cs="Tahoma"/>
                <w:sz w:val="20"/>
                <w:szCs w:val="20"/>
              </w:rPr>
              <w:t>libre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total</w:t>
            </w:r>
          </w:p>
        </w:tc>
        <w:tc>
          <w:tcPr>
            <w:tcW w:w="3706" w:type="dxa"/>
          </w:tcPr>
          <w:p w14:paraId="79EC0986" w14:textId="77777777" w:rsidR="008105B4" w:rsidRPr="00B004EE" w:rsidRDefault="008105B4" w:rsidP="00B004EE">
            <w:pPr>
              <w:jc w:val="both"/>
              <w:rPr>
                <w:rFonts w:ascii="Tahoma" w:hAnsi="Tahoma" w:cs="Tahoma"/>
                <w:sz w:val="20"/>
                <w:szCs w:val="20"/>
              </w:rPr>
            </w:pPr>
          </w:p>
        </w:tc>
      </w:tr>
      <w:tr w:rsidR="00150C90" w:rsidRPr="00B004EE" w14:paraId="0BDF74F7" w14:textId="77777777" w:rsidTr="007D76A1">
        <w:tc>
          <w:tcPr>
            <w:tcW w:w="450" w:type="dxa"/>
          </w:tcPr>
          <w:p w14:paraId="13C3FD9C" w14:textId="77777777" w:rsidR="008105B4" w:rsidRPr="00B004EE" w:rsidRDefault="008105B4" w:rsidP="00B004EE">
            <w:pPr>
              <w:jc w:val="both"/>
              <w:rPr>
                <w:rFonts w:ascii="Tahoma" w:hAnsi="Tahoma" w:cs="Tahoma"/>
                <w:sz w:val="20"/>
                <w:szCs w:val="20"/>
              </w:rPr>
            </w:pPr>
          </w:p>
        </w:tc>
        <w:tc>
          <w:tcPr>
            <w:tcW w:w="4930" w:type="dxa"/>
            <w:vAlign w:val="center"/>
          </w:tcPr>
          <w:p w14:paraId="60E50324" w14:textId="77777777" w:rsidR="008105B4" w:rsidRPr="00B004EE" w:rsidRDefault="008105B4" w:rsidP="00B004EE">
            <w:pPr>
              <w:jc w:val="both"/>
              <w:rPr>
                <w:rFonts w:ascii="Tahoma" w:hAnsi="Tahoma" w:cs="Tahoma"/>
                <w:sz w:val="20"/>
                <w:szCs w:val="20"/>
              </w:rPr>
            </w:pPr>
            <w:r w:rsidRPr="00B004EE">
              <w:rPr>
                <w:rFonts w:ascii="Tahoma" w:hAnsi="Tahoma" w:cs="Tahoma"/>
                <w:sz w:val="20"/>
                <w:szCs w:val="20"/>
              </w:rPr>
              <w:t>Chlorites</w:t>
            </w:r>
          </w:p>
        </w:tc>
        <w:tc>
          <w:tcPr>
            <w:tcW w:w="3706" w:type="dxa"/>
          </w:tcPr>
          <w:p w14:paraId="4CB66221" w14:textId="05E33DBB" w:rsidR="008105B4" w:rsidRPr="00B004EE" w:rsidRDefault="008105B4" w:rsidP="00B004EE">
            <w:pPr>
              <w:jc w:val="both"/>
              <w:rPr>
                <w:rFonts w:ascii="Tahoma" w:hAnsi="Tahoma" w:cs="Tahoma"/>
                <w:sz w:val="20"/>
                <w:szCs w:val="20"/>
              </w:rPr>
            </w:pPr>
            <w:r w:rsidRPr="00B004EE">
              <w:rPr>
                <w:rFonts w:ascii="Tahoma" w:hAnsi="Tahoma" w:cs="Tahoma"/>
                <w:sz w:val="20"/>
                <w:szCs w:val="20"/>
              </w:rPr>
              <w:t>Note</w:t>
            </w:r>
            <w:r w:rsidR="00DB1635" w:rsidRPr="00B004EE">
              <w:rPr>
                <w:rFonts w:ascii="Tahoma" w:hAnsi="Tahoma" w:cs="Tahoma"/>
                <w:sz w:val="20"/>
                <w:szCs w:val="20"/>
              </w:rPr>
              <w:t xml:space="preserve"> </w:t>
            </w:r>
            <w:r w:rsidRPr="00B004EE">
              <w:rPr>
                <w:rFonts w:ascii="Tahoma" w:hAnsi="Tahoma" w:cs="Tahoma"/>
                <w:sz w:val="20"/>
                <w:szCs w:val="20"/>
              </w:rPr>
              <w:t>3</w:t>
            </w:r>
            <w:r w:rsidR="00DB1635" w:rsidRPr="00B004EE">
              <w:rPr>
                <w:rFonts w:ascii="Tahoma" w:hAnsi="Tahoma" w:cs="Tahoma"/>
                <w:sz w:val="20"/>
                <w:szCs w:val="20"/>
              </w:rPr>
              <w:t xml:space="preserve"> </w:t>
            </w:r>
          </w:p>
        </w:tc>
      </w:tr>
      <w:tr w:rsidR="00150C90" w:rsidRPr="00B004EE" w14:paraId="7318AD4F" w14:textId="77777777" w:rsidTr="007D76A1">
        <w:tc>
          <w:tcPr>
            <w:tcW w:w="450" w:type="dxa"/>
          </w:tcPr>
          <w:p w14:paraId="1696ED91" w14:textId="77777777" w:rsidR="008105B4" w:rsidRPr="00B004EE" w:rsidRDefault="008105B4" w:rsidP="00B004EE">
            <w:pPr>
              <w:jc w:val="both"/>
              <w:rPr>
                <w:rFonts w:ascii="Tahoma" w:hAnsi="Tahoma" w:cs="Tahoma"/>
                <w:sz w:val="20"/>
                <w:szCs w:val="20"/>
              </w:rPr>
            </w:pPr>
          </w:p>
        </w:tc>
        <w:tc>
          <w:tcPr>
            <w:tcW w:w="4930" w:type="dxa"/>
            <w:vAlign w:val="center"/>
          </w:tcPr>
          <w:p w14:paraId="3724923E" w14:textId="77777777" w:rsidR="008105B4" w:rsidRPr="00B004EE" w:rsidRDefault="008105B4" w:rsidP="00B004EE">
            <w:pPr>
              <w:jc w:val="both"/>
              <w:rPr>
                <w:rFonts w:ascii="Tahoma" w:eastAsia="Arial Unicode MS" w:hAnsi="Tahoma" w:cs="Tahoma"/>
                <w:sz w:val="20"/>
                <w:szCs w:val="20"/>
              </w:rPr>
            </w:pPr>
            <w:r w:rsidRPr="00B004EE">
              <w:rPr>
                <w:rFonts w:ascii="Tahoma" w:hAnsi="Tahoma" w:cs="Tahoma"/>
                <w:sz w:val="20"/>
                <w:szCs w:val="20"/>
              </w:rPr>
              <w:t>Chlorures</w:t>
            </w:r>
          </w:p>
        </w:tc>
        <w:tc>
          <w:tcPr>
            <w:tcW w:w="3706" w:type="dxa"/>
          </w:tcPr>
          <w:p w14:paraId="110B21B4" w14:textId="77777777" w:rsidR="008105B4" w:rsidRPr="00B004EE" w:rsidRDefault="008105B4" w:rsidP="00B004EE">
            <w:pPr>
              <w:jc w:val="both"/>
              <w:rPr>
                <w:rFonts w:ascii="Tahoma" w:hAnsi="Tahoma" w:cs="Tahoma"/>
                <w:sz w:val="20"/>
                <w:szCs w:val="20"/>
              </w:rPr>
            </w:pPr>
          </w:p>
        </w:tc>
      </w:tr>
      <w:tr w:rsidR="00150C90" w:rsidRPr="00B004EE" w14:paraId="2F7601EA" w14:textId="77777777" w:rsidTr="007D76A1">
        <w:tc>
          <w:tcPr>
            <w:tcW w:w="450" w:type="dxa"/>
          </w:tcPr>
          <w:p w14:paraId="14BDB560" w14:textId="77777777" w:rsidR="008105B4" w:rsidRPr="00B004EE" w:rsidRDefault="008105B4" w:rsidP="00B004EE">
            <w:pPr>
              <w:jc w:val="both"/>
              <w:rPr>
                <w:rFonts w:ascii="Tahoma" w:hAnsi="Tahoma" w:cs="Tahoma"/>
                <w:sz w:val="20"/>
                <w:szCs w:val="20"/>
              </w:rPr>
            </w:pPr>
          </w:p>
        </w:tc>
        <w:tc>
          <w:tcPr>
            <w:tcW w:w="4930" w:type="dxa"/>
            <w:vAlign w:val="center"/>
          </w:tcPr>
          <w:p w14:paraId="4CE3D926" w14:textId="10972794" w:rsidR="008105B4" w:rsidRPr="00B004EE" w:rsidRDefault="008105B4" w:rsidP="00B004EE">
            <w:pPr>
              <w:jc w:val="both"/>
              <w:rPr>
                <w:rFonts w:ascii="Tahoma" w:eastAsia="Arial Unicode MS" w:hAnsi="Tahoma" w:cs="Tahoma"/>
                <w:sz w:val="20"/>
                <w:szCs w:val="20"/>
              </w:rPr>
            </w:pPr>
            <w:r w:rsidRPr="00B004EE">
              <w:rPr>
                <w:rFonts w:ascii="Tahoma" w:hAnsi="Tahoma" w:cs="Tahoma"/>
                <w:sz w:val="20"/>
                <w:szCs w:val="20"/>
              </w:rPr>
              <w:t>Chlorure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vinyle</w:t>
            </w:r>
            <w:r w:rsidR="00DB1635" w:rsidRPr="00B004EE">
              <w:rPr>
                <w:rFonts w:ascii="Tahoma" w:hAnsi="Tahoma" w:cs="Tahoma"/>
                <w:sz w:val="20"/>
                <w:szCs w:val="20"/>
              </w:rPr>
              <w:t xml:space="preserve"> </w:t>
            </w:r>
          </w:p>
        </w:tc>
        <w:tc>
          <w:tcPr>
            <w:tcW w:w="3706" w:type="dxa"/>
          </w:tcPr>
          <w:p w14:paraId="5C0E6643" w14:textId="5BA07832" w:rsidR="008105B4" w:rsidRPr="00B004EE" w:rsidRDefault="008105B4" w:rsidP="00B004EE">
            <w:pPr>
              <w:jc w:val="both"/>
              <w:rPr>
                <w:rFonts w:ascii="Tahoma" w:hAnsi="Tahoma" w:cs="Tahoma"/>
                <w:sz w:val="20"/>
                <w:szCs w:val="20"/>
              </w:rPr>
            </w:pPr>
            <w:r w:rsidRPr="00B004EE">
              <w:rPr>
                <w:rFonts w:ascii="Tahoma" w:hAnsi="Tahoma" w:cs="Tahoma"/>
                <w:sz w:val="20"/>
                <w:szCs w:val="20"/>
              </w:rPr>
              <w:t>Note</w:t>
            </w:r>
            <w:r w:rsidR="00DB1635" w:rsidRPr="00B004EE">
              <w:rPr>
                <w:rFonts w:ascii="Tahoma" w:hAnsi="Tahoma" w:cs="Tahoma"/>
                <w:sz w:val="20"/>
                <w:szCs w:val="20"/>
              </w:rPr>
              <w:t xml:space="preserve"> </w:t>
            </w:r>
            <w:r w:rsidRPr="00B004EE">
              <w:rPr>
                <w:rFonts w:ascii="Tahoma" w:hAnsi="Tahoma" w:cs="Tahoma"/>
                <w:sz w:val="20"/>
                <w:szCs w:val="20"/>
              </w:rPr>
              <w:t>1</w:t>
            </w:r>
          </w:p>
        </w:tc>
      </w:tr>
      <w:tr w:rsidR="00150C90" w:rsidRPr="00B004EE" w14:paraId="70C033BD" w14:textId="77777777" w:rsidTr="007D76A1">
        <w:tc>
          <w:tcPr>
            <w:tcW w:w="450" w:type="dxa"/>
          </w:tcPr>
          <w:p w14:paraId="5D344539" w14:textId="77777777" w:rsidR="008105B4" w:rsidRPr="00B004EE" w:rsidRDefault="008105B4" w:rsidP="00B004EE">
            <w:pPr>
              <w:jc w:val="both"/>
              <w:rPr>
                <w:rFonts w:ascii="Tahoma" w:hAnsi="Tahoma" w:cs="Tahoma"/>
                <w:sz w:val="20"/>
                <w:szCs w:val="20"/>
              </w:rPr>
            </w:pPr>
          </w:p>
        </w:tc>
        <w:tc>
          <w:tcPr>
            <w:tcW w:w="4930" w:type="dxa"/>
            <w:vAlign w:val="center"/>
          </w:tcPr>
          <w:p w14:paraId="39508608" w14:textId="77777777" w:rsidR="008105B4" w:rsidRPr="00B004EE" w:rsidRDefault="008105B4" w:rsidP="00B004EE">
            <w:pPr>
              <w:jc w:val="both"/>
              <w:rPr>
                <w:rFonts w:ascii="Tahoma" w:eastAsia="Arial Unicode MS" w:hAnsi="Tahoma" w:cs="Tahoma"/>
                <w:sz w:val="20"/>
                <w:szCs w:val="20"/>
              </w:rPr>
            </w:pPr>
            <w:r w:rsidRPr="00B004EE">
              <w:rPr>
                <w:rFonts w:ascii="Tahoma" w:hAnsi="Tahoma" w:cs="Tahoma"/>
                <w:sz w:val="20"/>
                <w:szCs w:val="20"/>
              </w:rPr>
              <w:t>Chrome</w:t>
            </w:r>
          </w:p>
        </w:tc>
        <w:tc>
          <w:tcPr>
            <w:tcW w:w="3706" w:type="dxa"/>
          </w:tcPr>
          <w:p w14:paraId="6132B114" w14:textId="77777777" w:rsidR="008105B4" w:rsidRPr="00B004EE" w:rsidRDefault="008105B4" w:rsidP="00B004EE">
            <w:pPr>
              <w:jc w:val="both"/>
              <w:rPr>
                <w:rFonts w:ascii="Tahoma" w:hAnsi="Tahoma" w:cs="Tahoma"/>
                <w:sz w:val="20"/>
                <w:szCs w:val="20"/>
              </w:rPr>
            </w:pPr>
          </w:p>
        </w:tc>
      </w:tr>
      <w:tr w:rsidR="00150C90" w:rsidRPr="00B004EE" w14:paraId="0BC164E7" w14:textId="77777777" w:rsidTr="007D76A1">
        <w:tc>
          <w:tcPr>
            <w:tcW w:w="450" w:type="dxa"/>
          </w:tcPr>
          <w:p w14:paraId="188DD3F2" w14:textId="77777777" w:rsidR="008105B4" w:rsidRPr="00B004EE" w:rsidRDefault="008105B4" w:rsidP="00B004EE">
            <w:pPr>
              <w:jc w:val="both"/>
              <w:rPr>
                <w:rFonts w:ascii="Tahoma" w:hAnsi="Tahoma" w:cs="Tahoma"/>
                <w:sz w:val="20"/>
                <w:szCs w:val="20"/>
              </w:rPr>
            </w:pPr>
          </w:p>
        </w:tc>
        <w:tc>
          <w:tcPr>
            <w:tcW w:w="4930" w:type="dxa"/>
            <w:vAlign w:val="center"/>
          </w:tcPr>
          <w:p w14:paraId="1408AF2D" w14:textId="77777777" w:rsidR="008105B4" w:rsidRPr="00B004EE" w:rsidRDefault="008105B4" w:rsidP="00B004EE">
            <w:pPr>
              <w:jc w:val="both"/>
              <w:rPr>
                <w:rFonts w:ascii="Tahoma" w:eastAsia="Arial Unicode MS" w:hAnsi="Tahoma" w:cs="Tahoma"/>
                <w:sz w:val="20"/>
                <w:szCs w:val="20"/>
              </w:rPr>
            </w:pPr>
            <w:r w:rsidRPr="00B004EE">
              <w:rPr>
                <w:rFonts w:ascii="Tahoma" w:hAnsi="Tahoma" w:cs="Tahoma"/>
                <w:sz w:val="20"/>
                <w:szCs w:val="20"/>
              </w:rPr>
              <w:t>Cuivre</w:t>
            </w:r>
          </w:p>
        </w:tc>
        <w:tc>
          <w:tcPr>
            <w:tcW w:w="3706" w:type="dxa"/>
          </w:tcPr>
          <w:p w14:paraId="2C351708" w14:textId="77777777" w:rsidR="008105B4" w:rsidRPr="00B004EE" w:rsidRDefault="008105B4" w:rsidP="00B004EE">
            <w:pPr>
              <w:jc w:val="both"/>
              <w:rPr>
                <w:rFonts w:ascii="Tahoma" w:hAnsi="Tahoma" w:cs="Tahoma"/>
                <w:sz w:val="20"/>
                <w:szCs w:val="20"/>
              </w:rPr>
            </w:pPr>
          </w:p>
        </w:tc>
      </w:tr>
      <w:tr w:rsidR="00150C90" w:rsidRPr="00B004EE" w14:paraId="4D77E29C" w14:textId="77777777" w:rsidTr="007D76A1">
        <w:tc>
          <w:tcPr>
            <w:tcW w:w="450" w:type="dxa"/>
          </w:tcPr>
          <w:p w14:paraId="1548A0FA" w14:textId="77777777" w:rsidR="008105B4" w:rsidRPr="00B004EE" w:rsidRDefault="008105B4" w:rsidP="00B004EE">
            <w:pPr>
              <w:jc w:val="both"/>
              <w:rPr>
                <w:rFonts w:ascii="Tahoma" w:hAnsi="Tahoma" w:cs="Tahoma"/>
                <w:sz w:val="20"/>
                <w:szCs w:val="20"/>
              </w:rPr>
            </w:pPr>
          </w:p>
        </w:tc>
        <w:tc>
          <w:tcPr>
            <w:tcW w:w="4930" w:type="dxa"/>
            <w:vAlign w:val="center"/>
          </w:tcPr>
          <w:p w14:paraId="1E544CFF" w14:textId="77777777" w:rsidR="008105B4" w:rsidRPr="00B004EE" w:rsidRDefault="008105B4" w:rsidP="00B004EE">
            <w:pPr>
              <w:jc w:val="both"/>
              <w:rPr>
                <w:rFonts w:ascii="Tahoma" w:hAnsi="Tahoma" w:cs="Tahoma"/>
                <w:sz w:val="20"/>
                <w:szCs w:val="20"/>
              </w:rPr>
            </w:pPr>
            <w:r w:rsidRPr="00B004EE">
              <w:rPr>
                <w:rFonts w:ascii="Tahoma" w:hAnsi="Tahoma" w:cs="Tahoma"/>
                <w:sz w:val="20"/>
                <w:szCs w:val="20"/>
              </w:rPr>
              <w:t>Cyanures</w:t>
            </w:r>
          </w:p>
        </w:tc>
        <w:tc>
          <w:tcPr>
            <w:tcW w:w="3706" w:type="dxa"/>
          </w:tcPr>
          <w:p w14:paraId="231A92A1" w14:textId="77777777" w:rsidR="008105B4" w:rsidRPr="00B004EE" w:rsidRDefault="008105B4" w:rsidP="00B004EE">
            <w:pPr>
              <w:jc w:val="both"/>
              <w:rPr>
                <w:rFonts w:ascii="Tahoma" w:hAnsi="Tahoma" w:cs="Tahoma"/>
                <w:sz w:val="20"/>
                <w:szCs w:val="20"/>
              </w:rPr>
            </w:pPr>
          </w:p>
        </w:tc>
      </w:tr>
      <w:tr w:rsidR="00150C90" w:rsidRPr="00B004EE" w14:paraId="16D30F3B" w14:textId="77777777" w:rsidTr="007D76A1">
        <w:tc>
          <w:tcPr>
            <w:tcW w:w="450" w:type="dxa"/>
          </w:tcPr>
          <w:p w14:paraId="0B3D5663" w14:textId="77777777" w:rsidR="008105B4" w:rsidRPr="00B004EE" w:rsidRDefault="008105B4" w:rsidP="00B004EE">
            <w:pPr>
              <w:jc w:val="both"/>
              <w:rPr>
                <w:rFonts w:ascii="Tahoma" w:hAnsi="Tahoma" w:cs="Tahoma"/>
                <w:sz w:val="20"/>
                <w:szCs w:val="20"/>
              </w:rPr>
            </w:pPr>
          </w:p>
        </w:tc>
        <w:tc>
          <w:tcPr>
            <w:tcW w:w="4930" w:type="dxa"/>
            <w:vAlign w:val="center"/>
          </w:tcPr>
          <w:p w14:paraId="4B27D407" w14:textId="77777777" w:rsidR="008105B4" w:rsidRPr="00B004EE" w:rsidRDefault="008105B4" w:rsidP="00B004EE">
            <w:pPr>
              <w:jc w:val="both"/>
              <w:rPr>
                <w:rFonts w:ascii="Tahoma" w:hAnsi="Tahoma" w:cs="Tahoma"/>
                <w:i/>
                <w:iCs/>
                <w:sz w:val="20"/>
                <w:szCs w:val="20"/>
              </w:rPr>
            </w:pPr>
            <w:r w:rsidRPr="00B004EE">
              <w:rPr>
                <w:rFonts w:ascii="Tahoma" w:hAnsi="Tahoma" w:cs="Tahoma"/>
                <w:sz w:val="20"/>
                <w:szCs w:val="20"/>
              </w:rPr>
              <w:t>1,2-dichloroéthane</w:t>
            </w:r>
          </w:p>
        </w:tc>
        <w:tc>
          <w:tcPr>
            <w:tcW w:w="3706" w:type="dxa"/>
          </w:tcPr>
          <w:p w14:paraId="51FDF5FF" w14:textId="77777777" w:rsidR="008105B4" w:rsidRPr="00B004EE" w:rsidRDefault="008105B4" w:rsidP="00B004EE">
            <w:pPr>
              <w:jc w:val="both"/>
              <w:rPr>
                <w:rFonts w:ascii="Tahoma" w:hAnsi="Tahoma" w:cs="Tahoma"/>
                <w:sz w:val="20"/>
                <w:szCs w:val="20"/>
              </w:rPr>
            </w:pPr>
          </w:p>
        </w:tc>
      </w:tr>
      <w:tr w:rsidR="00150C90" w:rsidRPr="00B004EE" w14:paraId="44146C3B" w14:textId="77777777" w:rsidTr="007D76A1">
        <w:tc>
          <w:tcPr>
            <w:tcW w:w="450" w:type="dxa"/>
          </w:tcPr>
          <w:p w14:paraId="39FC0ADF" w14:textId="77777777" w:rsidR="008105B4" w:rsidRPr="00B004EE" w:rsidRDefault="008105B4" w:rsidP="00B004EE">
            <w:pPr>
              <w:jc w:val="both"/>
              <w:rPr>
                <w:rFonts w:ascii="Tahoma" w:hAnsi="Tahoma" w:cs="Tahoma"/>
                <w:sz w:val="20"/>
                <w:szCs w:val="20"/>
              </w:rPr>
            </w:pPr>
          </w:p>
        </w:tc>
        <w:tc>
          <w:tcPr>
            <w:tcW w:w="4930" w:type="dxa"/>
            <w:vAlign w:val="center"/>
          </w:tcPr>
          <w:p w14:paraId="1539EEF2" w14:textId="6805E8CF" w:rsidR="008105B4" w:rsidRPr="00B004EE" w:rsidRDefault="008105B4" w:rsidP="00B004EE">
            <w:pPr>
              <w:jc w:val="both"/>
              <w:rPr>
                <w:rFonts w:ascii="Tahoma" w:eastAsia="Arial Unicode MS" w:hAnsi="Tahoma" w:cs="Tahoma"/>
                <w:sz w:val="20"/>
                <w:szCs w:val="20"/>
              </w:rPr>
            </w:pPr>
            <w:r w:rsidRPr="00B004EE">
              <w:rPr>
                <w:rFonts w:ascii="Tahoma" w:hAnsi="Tahoma" w:cs="Tahoma"/>
                <w:sz w:val="20"/>
                <w:szCs w:val="20"/>
              </w:rPr>
              <w:t>Epichlorhydrine</w:t>
            </w:r>
            <w:r w:rsidR="00DB1635" w:rsidRPr="00B004EE">
              <w:rPr>
                <w:rFonts w:ascii="Tahoma" w:hAnsi="Tahoma" w:cs="Tahoma"/>
                <w:sz w:val="20"/>
                <w:szCs w:val="20"/>
              </w:rPr>
              <w:t xml:space="preserve"> </w:t>
            </w:r>
            <w:r w:rsidRPr="00B004EE">
              <w:rPr>
                <w:rFonts w:ascii="Tahoma" w:hAnsi="Tahoma" w:cs="Tahoma"/>
                <w:sz w:val="20"/>
                <w:szCs w:val="20"/>
              </w:rPr>
              <w:t>(3)</w:t>
            </w:r>
          </w:p>
        </w:tc>
        <w:tc>
          <w:tcPr>
            <w:tcW w:w="3706" w:type="dxa"/>
          </w:tcPr>
          <w:p w14:paraId="6A907CE6" w14:textId="77777777" w:rsidR="008105B4" w:rsidRPr="00B004EE" w:rsidRDefault="008105B4" w:rsidP="00B004EE">
            <w:pPr>
              <w:jc w:val="both"/>
              <w:rPr>
                <w:rFonts w:ascii="Tahoma" w:hAnsi="Tahoma" w:cs="Tahoma"/>
                <w:sz w:val="20"/>
                <w:szCs w:val="20"/>
              </w:rPr>
            </w:pPr>
          </w:p>
        </w:tc>
      </w:tr>
      <w:tr w:rsidR="00150C90" w:rsidRPr="00B004EE" w14:paraId="5E0EC437" w14:textId="77777777" w:rsidTr="007D76A1">
        <w:tc>
          <w:tcPr>
            <w:tcW w:w="450" w:type="dxa"/>
          </w:tcPr>
          <w:p w14:paraId="5E88E3C1" w14:textId="77777777" w:rsidR="008105B4" w:rsidRPr="00B004EE" w:rsidRDefault="008105B4" w:rsidP="00B004EE">
            <w:pPr>
              <w:jc w:val="both"/>
              <w:rPr>
                <w:rFonts w:ascii="Tahoma" w:hAnsi="Tahoma" w:cs="Tahoma"/>
                <w:sz w:val="20"/>
                <w:szCs w:val="20"/>
              </w:rPr>
            </w:pPr>
          </w:p>
        </w:tc>
        <w:tc>
          <w:tcPr>
            <w:tcW w:w="4930" w:type="dxa"/>
            <w:vAlign w:val="center"/>
          </w:tcPr>
          <w:p w14:paraId="44965887" w14:textId="77777777" w:rsidR="008105B4" w:rsidRPr="00B004EE" w:rsidRDefault="008105B4" w:rsidP="00B004EE">
            <w:pPr>
              <w:jc w:val="both"/>
              <w:rPr>
                <w:rFonts w:ascii="Tahoma" w:hAnsi="Tahoma" w:cs="Tahoma"/>
                <w:sz w:val="20"/>
                <w:szCs w:val="20"/>
              </w:rPr>
            </w:pPr>
            <w:r w:rsidRPr="00B004EE">
              <w:rPr>
                <w:rFonts w:ascii="Tahoma" w:hAnsi="Tahoma" w:cs="Tahoma"/>
                <w:sz w:val="20"/>
                <w:szCs w:val="20"/>
                <w:lang w:val="de-DE"/>
              </w:rPr>
              <w:t>Fluorures</w:t>
            </w:r>
          </w:p>
        </w:tc>
        <w:tc>
          <w:tcPr>
            <w:tcW w:w="3706" w:type="dxa"/>
          </w:tcPr>
          <w:p w14:paraId="56CEFEB8" w14:textId="77777777" w:rsidR="008105B4" w:rsidRPr="00B004EE" w:rsidRDefault="008105B4" w:rsidP="00B004EE">
            <w:pPr>
              <w:jc w:val="both"/>
              <w:rPr>
                <w:rFonts w:ascii="Tahoma" w:hAnsi="Tahoma" w:cs="Tahoma"/>
                <w:sz w:val="20"/>
                <w:szCs w:val="20"/>
              </w:rPr>
            </w:pPr>
          </w:p>
        </w:tc>
      </w:tr>
      <w:tr w:rsidR="00150C90" w:rsidRPr="00B004EE" w14:paraId="78A054C8" w14:textId="77777777" w:rsidTr="007D76A1">
        <w:tc>
          <w:tcPr>
            <w:tcW w:w="450" w:type="dxa"/>
          </w:tcPr>
          <w:p w14:paraId="778A56FB" w14:textId="77777777" w:rsidR="008105B4" w:rsidRPr="00B004EE" w:rsidRDefault="008105B4" w:rsidP="00B004EE">
            <w:pPr>
              <w:jc w:val="both"/>
              <w:rPr>
                <w:rFonts w:ascii="Tahoma" w:hAnsi="Tahoma" w:cs="Tahoma"/>
                <w:sz w:val="20"/>
                <w:szCs w:val="20"/>
              </w:rPr>
            </w:pPr>
          </w:p>
        </w:tc>
        <w:tc>
          <w:tcPr>
            <w:tcW w:w="4930" w:type="dxa"/>
            <w:vAlign w:val="center"/>
          </w:tcPr>
          <w:p w14:paraId="1137D5B2" w14:textId="6B46507D" w:rsidR="008105B4" w:rsidRPr="00B004EE" w:rsidRDefault="008105B4" w:rsidP="00B004EE">
            <w:pPr>
              <w:jc w:val="both"/>
              <w:rPr>
                <w:rFonts w:ascii="Tahoma" w:hAnsi="Tahoma" w:cs="Tahoma"/>
                <w:sz w:val="20"/>
                <w:szCs w:val="20"/>
              </w:rPr>
            </w:pPr>
            <w:r w:rsidRPr="00B004EE">
              <w:rPr>
                <w:rFonts w:ascii="Tahoma" w:hAnsi="Tahoma" w:cs="Tahoma"/>
                <w:sz w:val="20"/>
                <w:szCs w:val="20"/>
              </w:rPr>
              <w:t>Hydrocarbures</w:t>
            </w:r>
            <w:r w:rsidR="00DB1635" w:rsidRPr="00B004EE">
              <w:rPr>
                <w:rFonts w:ascii="Tahoma" w:hAnsi="Tahoma" w:cs="Tahoma"/>
                <w:sz w:val="20"/>
                <w:szCs w:val="20"/>
              </w:rPr>
              <w:t xml:space="preserve"> </w:t>
            </w:r>
            <w:r w:rsidRPr="00B004EE">
              <w:rPr>
                <w:rFonts w:ascii="Tahoma" w:hAnsi="Tahoma" w:cs="Tahoma"/>
                <w:sz w:val="20"/>
                <w:szCs w:val="20"/>
              </w:rPr>
              <w:t>aromatiques</w:t>
            </w:r>
            <w:r w:rsidR="00DB1635" w:rsidRPr="00B004EE">
              <w:rPr>
                <w:rFonts w:ascii="Tahoma" w:hAnsi="Tahoma" w:cs="Tahoma"/>
                <w:sz w:val="20"/>
                <w:szCs w:val="20"/>
              </w:rPr>
              <w:t xml:space="preserve"> </w:t>
            </w:r>
            <w:r w:rsidRPr="00B004EE">
              <w:rPr>
                <w:rFonts w:ascii="Tahoma" w:hAnsi="Tahoma" w:cs="Tahoma"/>
                <w:sz w:val="20"/>
                <w:szCs w:val="20"/>
              </w:rPr>
              <w:t>polycycliques</w:t>
            </w:r>
          </w:p>
        </w:tc>
        <w:tc>
          <w:tcPr>
            <w:tcW w:w="3706" w:type="dxa"/>
          </w:tcPr>
          <w:p w14:paraId="260DC08B" w14:textId="77777777" w:rsidR="008105B4" w:rsidRPr="00B004EE" w:rsidRDefault="008105B4" w:rsidP="00B004EE">
            <w:pPr>
              <w:jc w:val="both"/>
              <w:rPr>
                <w:rFonts w:ascii="Tahoma" w:hAnsi="Tahoma" w:cs="Tahoma"/>
                <w:sz w:val="20"/>
                <w:szCs w:val="20"/>
              </w:rPr>
            </w:pPr>
          </w:p>
        </w:tc>
      </w:tr>
      <w:tr w:rsidR="00150C90" w:rsidRPr="00B004EE" w14:paraId="477A85F9" w14:textId="77777777" w:rsidTr="007D76A1">
        <w:trPr>
          <w:trHeight w:val="70"/>
        </w:trPr>
        <w:tc>
          <w:tcPr>
            <w:tcW w:w="450" w:type="dxa"/>
          </w:tcPr>
          <w:p w14:paraId="39E17704" w14:textId="77777777" w:rsidR="008105B4" w:rsidRPr="00B004EE" w:rsidRDefault="008105B4" w:rsidP="00B004EE">
            <w:pPr>
              <w:jc w:val="both"/>
              <w:rPr>
                <w:rFonts w:ascii="Tahoma" w:hAnsi="Tahoma" w:cs="Tahoma"/>
                <w:sz w:val="20"/>
                <w:szCs w:val="20"/>
              </w:rPr>
            </w:pPr>
          </w:p>
        </w:tc>
        <w:tc>
          <w:tcPr>
            <w:tcW w:w="4930" w:type="dxa"/>
            <w:vAlign w:val="center"/>
          </w:tcPr>
          <w:p w14:paraId="199F9FC2" w14:textId="77777777" w:rsidR="008105B4" w:rsidRPr="00B004EE" w:rsidRDefault="008105B4" w:rsidP="00B004EE">
            <w:pPr>
              <w:jc w:val="both"/>
              <w:rPr>
                <w:rFonts w:ascii="Tahoma" w:hAnsi="Tahoma" w:cs="Tahoma"/>
                <w:sz w:val="20"/>
                <w:szCs w:val="20"/>
              </w:rPr>
            </w:pPr>
            <w:r w:rsidRPr="00B004EE">
              <w:rPr>
                <w:rFonts w:ascii="Tahoma" w:hAnsi="Tahoma" w:cs="Tahoma"/>
                <w:sz w:val="20"/>
                <w:szCs w:val="20"/>
              </w:rPr>
              <w:t>Manganèse</w:t>
            </w:r>
          </w:p>
        </w:tc>
        <w:tc>
          <w:tcPr>
            <w:tcW w:w="3706" w:type="dxa"/>
          </w:tcPr>
          <w:p w14:paraId="1BC09E02" w14:textId="77777777" w:rsidR="008105B4" w:rsidRPr="00B004EE" w:rsidRDefault="008105B4" w:rsidP="00B004EE">
            <w:pPr>
              <w:jc w:val="both"/>
              <w:rPr>
                <w:rFonts w:ascii="Tahoma" w:hAnsi="Tahoma" w:cs="Tahoma"/>
                <w:sz w:val="20"/>
                <w:szCs w:val="20"/>
              </w:rPr>
            </w:pPr>
          </w:p>
        </w:tc>
      </w:tr>
      <w:tr w:rsidR="00150C90" w:rsidRPr="00B004EE" w14:paraId="75455F9A" w14:textId="77777777" w:rsidTr="007D76A1">
        <w:tc>
          <w:tcPr>
            <w:tcW w:w="450" w:type="dxa"/>
          </w:tcPr>
          <w:p w14:paraId="427273BA" w14:textId="77777777" w:rsidR="008105B4" w:rsidRPr="00B004EE" w:rsidRDefault="008105B4" w:rsidP="00B004EE">
            <w:pPr>
              <w:jc w:val="both"/>
              <w:rPr>
                <w:rFonts w:ascii="Tahoma" w:hAnsi="Tahoma" w:cs="Tahoma"/>
                <w:sz w:val="20"/>
                <w:szCs w:val="20"/>
              </w:rPr>
            </w:pPr>
          </w:p>
        </w:tc>
        <w:tc>
          <w:tcPr>
            <w:tcW w:w="4930" w:type="dxa"/>
            <w:vAlign w:val="center"/>
          </w:tcPr>
          <w:p w14:paraId="3BCE9158" w14:textId="77777777" w:rsidR="008105B4" w:rsidRPr="00B004EE" w:rsidRDefault="008105B4" w:rsidP="00B004EE">
            <w:pPr>
              <w:jc w:val="both"/>
              <w:rPr>
                <w:rFonts w:ascii="Tahoma" w:hAnsi="Tahoma" w:cs="Tahoma"/>
                <w:sz w:val="20"/>
                <w:szCs w:val="20"/>
              </w:rPr>
            </w:pPr>
            <w:r w:rsidRPr="00B004EE">
              <w:rPr>
                <w:rFonts w:ascii="Tahoma" w:hAnsi="Tahoma" w:cs="Tahoma"/>
                <w:sz w:val="20"/>
                <w:szCs w:val="20"/>
                <w:lang w:val="de-DE"/>
              </w:rPr>
              <w:t>Mercure</w:t>
            </w:r>
          </w:p>
        </w:tc>
        <w:tc>
          <w:tcPr>
            <w:tcW w:w="3706" w:type="dxa"/>
          </w:tcPr>
          <w:p w14:paraId="7EAAB096" w14:textId="77777777" w:rsidR="008105B4" w:rsidRPr="00B004EE" w:rsidRDefault="008105B4" w:rsidP="00B004EE">
            <w:pPr>
              <w:jc w:val="both"/>
              <w:rPr>
                <w:rFonts w:ascii="Tahoma" w:hAnsi="Tahoma" w:cs="Tahoma"/>
                <w:sz w:val="20"/>
                <w:szCs w:val="20"/>
              </w:rPr>
            </w:pPr>
          </w:p>
        </w:tc>
      </w:tr>
      <w:tr w:rsidR="00150C90" w:rsidRPr="00B004EE" w14:paraId="47C44B0A" w14:textId="77777777" w:rsidTr="007D76A1">
        <w:tc>
          <w:tcPr>
            <w:tcW w:w="450" w:type="dxa"/>
          </w:tcPr>
          <w:p w14:paraId="0171938E" w14:textId="77777777" w:rsidR="008105B4" w:rsidRPr="00B004EE" w:rsidRDefault="008105B4" w:rsidP="00B004EE">
            <w:pPr>
              <w:jc w:val="both"/>
              <w:rPr>
                <w:rFonts w:ascii="Tahoma" w:hAnsi="Tahoma" w:cs="Tahoma"/>
                <w:sz w:val="20"/>
                <w:szCs w:val="20"/>
              </w:rPr>
            </w:pPr>
          </w:p>
        </w:tc>
        <w:tc>
          <w:tcPr>
            <w:tcW w:w="4930" w:type="dxa"/>
            <w:vAlign w:val="center"/>
          </w:tcPr>
          <w:p w14:paraId="7D3664C1" w14:textId="77777777" w:rsidR="008105B4" w:rsidRPr="00B004EE" w:rsidRDefault="008105B4" w:rsidP="00B004EE">
            <w:pPr>
              <w:jc w:val="both"/>
              <w:rPr>
                <w:rFonts w:ascii="Tahoma" w:eastAsia="Arial Unicode MS" w:hAnsi="Tahoma" w:cs="Tahoma"/>
                <w:sz w:val="20"/>
                <w:szCs w:val="20"/>
              </w:rPr>
            </w:pPr>
            <w:r w:rsidRPr="00B004EE">
              <w:rPr>
                <w:rFonts w:ascii="Tahoma" w:hAnsi="Tahoma" w:cs="Tahoma"/>
                <w:sz w:val="20"/>
                <w:szCs w:val="20"/>
                <w:lang w:val="de-DE"/>
              </w:rPr>
              <w:t>Nickel</w:t>
            </w:r>
          </w:p>
        </w:tc>
        <w:tc>
          <w:tcPr>
            <w:tcW w:w="3706" w:type="dxa"/>
          </w:tcPr>
          <w:p w14:paraId="2AC44CD5" w14:textId="77777777" w:rsidR="008105B4" w:rsidRPr="00B004EE" w:rsidRDefault="008105B4" w:rsidP="00B004EE">
            <w:pPr>
              <w:jc w:val="both"/>
              <w:rPr>
                <w:rFonts w:ascii="Tahoma" w:hAnsi="Tahoma" w:cs="Tahoma"/>
                <w:sz w:val="20"/>
                <w:szCs w:val="20"/>
              </w:rPr>
            </w:pPr>
          </w:p>
        </w:tc>
      </w:tr>
      <w:tr w:rsidR="00150C90" w:rsidRPr="00B004EE" w14:paraId="13CC3032" w14:textId="77777777" w:rsidTr="007D76A1">
        <w:tc>
          <w:tcPr>
            <w:tcW w:w="450" w:type="dxa"/>
          </w:tcPr>
          <w:p w14:paraId="507F994C" w14:textId="77777777" w:rsidR="008105B4" w:rsidRPr="00B004EE" w:rsidRDefault="008105B4" w:rsidP="00B004EE">
            <w:pPr>
              <w:jc w:val="both"/>
              <w:rPr>
                <w:rFonts w:ascii="Tahoma" w:hAnsi="Tahoma" w:cs="Tahoma"/>
                <w:i/>
                <w:iCs/>
                <w:sz w:val="20"/>
                <w:szCs w:val="20"/>
              </w:rPr>
            </w:pPr>
          </w:p>
        </w:tc>
        <w:tc>
          <w:tcPr>
            <w:tcW w:w="4930" w:type="dxa"/>
            <w:vAlign w:val="center"/>
          </w:tcPr>
          <w:p w14:paraId="4A28CA35" w14:textId="0CDD3FB1" w:rsidR="008105B4" w:rsidRPr="00B004EE" w:rsidRDefault="008105B4" w:rsidP="00B004EE">
            <w:pPr>
              <w:jc w:val="both"/>
              <w:rPr>
                <w:rFonts w:ascii="Tahoma" w:hAnsi="Tahoma" w:cs="Tahoma"/>
                <w:sz w:val="20"/>
                <w:szCs w:val="20"/>
              </w:rPr>
            </w:pPr>
            <w:r w:rsidRPr="00B004EE">
              <w:rPr>
                <w:rFonts w:ascii="Tahoma" w:hAnsi="Tahoma" w:cs="Tahoma"/>
                <w:sz w:val="20"/>
                <w:szCs w:val="20"/>
              </w:rPr>
              <w:t>Oxydabilité</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permanganate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potassium</w:t>
            </w:r>
          </w:p>
        </w:tc>
        <w:tc>
          <w:tcPr>
            <w:tcW w:w="3706" w:type="dxa"/>
          </w:tcPr>
          <w:p w14:paraId="19E225AD" w14:textId="3B1FE6BA" w:rsidR="008105B4" w:rsidRPr="00B004EE" w:rsidRDefault="008105B4" w:rsidP="00B004EE">
            <w:pPr>
              <w:jc w:val="both"/>
              <w:rPr>
                <w:rFonts w:ascii="Tahoma" w:hAnsi="Tahoma" w:cs="Tahoma"/>
                <w:sz w:val="20"/>
                <w:szCs w:val="20"/>
              </w:rPr>
            </w:pPr>
            <w:r w:rsidRPr="00B004EE">
              <w:rPr>
                <w:rFonts w:ascii="Tahoma" w:hAnsi="Tahoma" w:cs="Tahoma"/>
                <w:sz w:val="20"/>
                <w:szCs w:val="20"/>
              </w:rPr>
              <w:t>Note</w:t>
            </w:r>
            <w:r w:rsidR="00DB1635" w:rsidRPr="00B004EE">
              <w:rPr>
                <w:rFonts w:ascii="Tahoma" w:hAnsi="Tahoma" w:cs="Tahoma"/>
                <w:sz w:val="20"/>
                <w:szCs w:val="20"/>
              </w:rPr>
              <w:t xml:space="preserve"> </w:t>
            </w:r>
            <w:r w:rsidRPr="00B004EE">
              <w:rPr>
                <w:rFonts w:ascii="Tahoma" w:hAnsi="Tahoma" w:cs="Tahoma"/>
                <w:sz w:val="20"/>
                <w:szCs w:val="20"/>
              </w:rPr>
              <w:t>4</w:t>
            </w:r>
          </w:p>
        </w:tc>
      </w:tr>
      <w:tr w:rsidR="00150C90" w:rsidRPr="00B004EE" w14:paraId="2BA1747D" w14:textId="77777777" w:rsidTr="007D76A1">
        <w:tc>
          <w:tcPr>
            <w:tcW w:w="450" w:type="dxa"/>
          </w:tcPr>
          <w:p w14:paraId="1B61B98B" w14:textId="77777777" w:rsidR="008105B4" w:rsidRPr="00B004EE" w:rsidRDefault="008105B4" w:rsidP="00B004EE">
            <w:pPr>
              <w:jc w:val="both"/>
              <w:rPr>
                <w:rFonts w:ascii="Tahoma" w:hAnsi="Tahoma" w:cs="Tahoma"/>
                <w:sz w:val="20"/>
                <w:szCs w:val="20"/>
              </w:rPr>
            </w:pPr>
          </w:p>
        </w:tc>
        <w:tc>
          <w:tcPr>
            <w:tcW w:w="4930" w:type="dxa"/>
            <w:vAlign w:val="center"/>
          </w:tcPr>
          <w:p w14:paraId="0F17D900" w14:textId="169C1FCE" w:rsidR="008105B4" w:rsidRPr="00B004EE" w:rsidRDefault="008105B4" w:rsidP="00B004EE">
            <w:pPr>
              <w:jc w:val="both"/>
              <w:rPr>
                <w:rFonts w:ascii="Tahoma" w:eastAsia="Arial Unicode MS" w:hAnsi="Tahoma" w:cs="Tahoma"/>
                <w:sz w:val="20"/>
                <w:szCs w:val="20"/>
              </w:rPr>
            </w:pPr>
            <w:r w:rsidRPr="00B004EE">
              <w:rPr>
                <w:rFonts w:ascii="Tahoma" w:hAnsi="Tahoma" w:cs="Tahoma"/>
                <w:sz w:val="20"/>
                <w:szCs w:val="20"/>
              </w:rPr>
              <w:t>Pesticides</w:t>
            </w:r>
            <w:r w:rsidR="00DB1635" w:rsidRPr="00B004EE">
              <w:rPr>
                <w:rFonts w:ascii="Tahoma" w:hAnsi="Tahoma" w:cs="Tahoma"/>
                <w:sz w:val="20"/>
                <w:szCs w:val="20"/>
              </w:rPr>
              <w:t xml:space="preserve"> </w:t>
            </w:r>
            <w:r w:rsidRPr="00B004EE">
              <w:rPr>
                <w:rFonts w:ascii="Tahoma" w:hAnsi="Tahoma" w:cs="Tahoma"/>
                <w:sz w:val="20"/>
                <w:szCs w:val="20"/>
              </w:rPr>
              <w:t>totaux</w:t>
            </w:r>
          </w:p>
        </w:tc>
        <w:tc>
          <w:tcPr>
            <w:tcW w:w="3706" w:type="dxa"/>
          </w:tcPr>
          <w:p w14:paraId="20EC7DC3" w14:textId="0207D002" w:rsidR="008105B4" w:rsidRPr="00B004EE" w:rsidRDefault="008105B4" w:rsidP="00B004EE">
            <w:pPr>
              <w:jc w:val="both"/>
              <w:rPr>
                <w:rFonts w:ascii="Tahoma" w:hAnsi="Tahoma" w:cs="Tahoma"/>
                <w:sz w:val="20"/>
                <w:szCs w:val="20"/>
              </w:rPr>
            </w:pPr>
            <w:r w:rsidRPr="00B004EE">
              <w:rPr>
                <w:rFonts w:ascii="Tahoma" w:hAnsi="Tahoma" w:cs="Tahoma"/>
                <w:sz w:val="20"/>
                <w:szCs w:val="20"/>
              </w:rPr>
              <w:t>Note</w:t>
            </w:r>
            <w:r w:rsidR="00DB1635" w:rsidRPr="00B004EE">
              <w:rPr>
                <w:rFonts w:ascii="Tahoma" w:hAnsi="Tahoma" w:cs="Tahoma"/>
                <w:sz w:val="20"/>
                <w:szCs w:val="20"/>
              </w:rPr>
              <w:t xml:space="preserve"> </w:t>
            </w:r>
            <w:r w:rsidRPr="00B004EE">
              <w:rPr>
                <w:rFonts w:ascii="Tahoma" w:hAnsi="Tahoma" w:cs="Tahoma"/>
                <w:sz w:val="20"/>
                <w:szCs w:val="20"/>
              </w:rPr>
              <w:t>5</w:t>
            </w:r>
            <w:r w:rsidR="00DB1635" w:rsidRPr="00B004EE">
              <w:rPr>
                <w:rFonts w:ascii="Tahoma" w:hAnsi="Tahoma" w:cs="Tahoma"/>
                <w:sz w:val="20"/>
                <w:szCs w:val="20"/>
              </w:rPr>
              <w:t xml:space="preserve"> </w:t>
            </w:r>
          </w:p>
        </w:tc>
      </w:tr>
      <w:tr w:rsidR="00150C90" w:rsidRPr="00B004EE" w14:paraId="585F6633" w14:textId="77777777" w:rsidTr="007D76A1">
        <w:tc>
          <w:tcPr>
            <w:tcW w:w="450" w:type="dxa"/>
          </w:tcPr>
          <w:p w14:paraId="6BFEA04C" w14:textId="77777777" w:rsidR="008105B4" w:rsidRPr="00B004EE" w:rsidRDefault="008105B4" w:rsidP="00B004EE">
            <w:pPr>
              <w:jc w:val="both"/>
              <w:rPr>
                <w:rFonts w:ascii="Tahoma" w:hAnsi="Tahoma" w:cs="Tahoma"/>
                <w:sz w:val="20"/>
                <w:szCs w:val="20"/>
              </w:rPr>
            </w:pPr>
          </w:p>
        </w:tc>
        <w:tc>
          <w:tcPr>
            <w:tcW w:w="4930" w:type="dxa"/>
            <w:vAlign w:val="center"/>
          </w:tcPr>
          <w:p w14:paraId="225868FD" w14:textId="77777777" w:rsidR="008105B4" w:rsidRPr="00B004EE" w:rsidRDefault="008105B4" w:rsidP="00B004EE">
            <w:pPr>
              <w:jc w:val="both"/>
              <w:rPr>
                <w:rFonts w:ascii="Tahoma" w:hAnsi="Tahoma" w:cs="Tahoma"/>
                <w:sz w:val="20"/>
                <w:szCs w:val="20"/>
              </w:rPr>
            </w:pPr>
            <w:r w:rsidRPr="00B004EE">
              <w:rPr>
                <w:rFonts w:ascii="Tahoma" w:hAnsi="Tahoma" w:cs="Tahoma"/>
                <w:sz w:val="20"/>
                <w:szCs w:val="20"/>
                <w:lang w:val="en-GB"/>
              </w:rPr>
              <w:t>Plomb</w:t>
            </w:r>
          </w:p>
        </w:tc>
        <w:tc>
          <w:tcPr>
            <w:tcW w:w="3706" w:type="dxa"/>
          </w:tcPr>
          <w:p w14:paraId="34C0829C" w14:textId="77777777" w:rsidR="008105B4" w:rsidRPr="00B004EE" w:rsidRDefault="008105B4" w:rsidP="00B004EE">
            <w:pPr>
              <w:jc w:val="both"/>
              <w:rPr>
                <w:rFonts w:ascii="Tahoma" w:hAnsi="Tahoma" w:cs="Tahoma"/>
                <w:sz w:val="20"/>
                <w:szCs w:val="20"/>
              </w:rPr>
            </w:pPr>
          </w:p>
        </w:tc>
      </w:tr>
      <w:tr w:rsidR="00150C90" w:rsidRPr="00B004EE" w14:paraId="5602732B" w14:textId="77777777" w:rsidTr="007D76A1">
        <w:tc>
          <w:tcPr>
            <w:tcW w:w="450" w:type="dxa"/>
          </w:tcPr>
          <w:p w14:paraId="5EE08FF6" w14:textId="77777777" w:rsidR="008105B4" w:rsidRPr="00B004EE" w:rsidRDefault="008105B4" w:rsidP="00B004EE">
            <w:pPr>
              <w:jc w:val="both"/>
              <w:rPr>
                <w:rFonts w:ascii="Tahoma" w:hAnsi="Tahoma" w:cs="Tahoma"/>
                <w:sz w:val="20"/>
                <w:szCs w:val="20"/>
              </w:rPr>
            </w:pPr>
          </w:p>
        </w:tc>
        <w:tc>
          <w:tcPr>
            <w:tcW w:w="4930" w:type="dxa"/>
            <w:vAlign w:val="center"/>
          </w:tcPr>
          <w:p w14:paraId="67FFBD9C" w14:textId="77777777" w:rsidR="008105B4" w:rsidRPr="00B004EE" w:rsidRDefault="008105B4" w:rsidP="00B004EE">
            <w:pPr>
              <w:jc w:val="both"/>
              <w:rPr>
                <w:rFonts w:ascii="Tahoma" w:hAnsi="Tahoma" w:cs="Tahoma"/>
                <w:sz w:val="20"/>
                <w:szCs w:val="20"/>
              </w:rPr>
            </w:pPr>
            <w:r w:rsidRPr="00B004EE">
              <w:rPr>
                <w:rFonts w:ascii="Tahoma" w:hAnsi="Tahoma" w:cs="Tahoma"/>
                <w:sz w:val="20"/>
                <w:szCs w:val="20"/>
              </w:rPr>
              <w:t>Sélénium</w:t>
            </w:r>
          </w:p>
        </w:tc>
        <w:tc>
          <w:tcPr>
            <w:tcW w:w="3706" w:type="dxa"/>
          </w:tcPr>
          <w:p w14:paraId="591A036E" w14:textId="77777777" w:rsidR="008105B4" w:rsidRPr="00B004EE" w:rsidRDefault="008105B4" w:rsidP="00B004EE">
            <w:pPr>
              <w:jc w:val="both"/>
              <w:rPr>
                <w:rFonts w:ascii="Tahoma" w:hAnsi="Tahoma" w:cs="Tahoma"/>
                <w:sz w:val="20"/>
                <w:szCs w:val="20"/>
              </w:rPr>
            </w:pPr>
          </w:p>
        </w:tc>
      </w:tr>
      <w:tr w:rsidR="00150C90" w:rsidRPr="00B004EE" w14:paraId="3D9D1F80" w14:textId="77777777" w:rsidTr="007D76A1">
        <w:tc>
          <w:tcPr>
            <w:tcW w:w="450" w:type="dxa"/>
          </w:tcPr>
          <w:p w14:paraId="37091B27" w14:textId="77777777" w:rsidR="008105B4" w:rsidRPr="00B004EE" w:rsidRDefault="008105B4" w:rsidP="00B004EE">
            <w:pPr>
              <w:jc w:val="both"/>
              <w:rPr>
                <w:rFonts w:ascii="Tahoma" w:hAnsi="Tahoma" w:cs="Tahoma"/>
                <w:sz w:val="20"/>
                <w:szCs w:val="20"/>
              </w:rPr>
            </w:pPr>
          </w:p>
        </w:tc>
        <w:tc>
          <w:tcPr>
            <w:tcW w:w="4930" w:type="dxa"/>
            <w:vAlign w:val="center"/>
          </w:tcPr>
          <w:p w14:paraId="73637B89" w14:textId="77777777" w:rsidR="008105B4" w:rsidRPr="00B004EE" w:rsidRDefault="008105B4" w:rsidP="00B004EE">
            <w:pPr>
              <w:jc w:val="both"/>
              <w:rPr>
                <w:rFonts w:ascii="Tahoma" w:eastAsia="Arial Unicode MS" w:hAnsi="Tahoma" w:cs="Tahoma"/>
                <w:sz w:val="20"/>
                <w:szCs w:val="20"/>
              </w:rPr>
            </w:pPr>
            <w:r w:rsidRPr="00B004EE">
              <w:rPr>
                <w:rFonts w:ascii="Tahoma" w:hAnsi="Tahoma" w:cs="Tahoma"/>
                <w:sz w:val="20"/>
                <w:szCs w:val="20"/>
              </w:rPr>
              <w:t>Sodium.</w:t>
            </w:r>
          </w:p>
        </w:tc>
        <w:tc>
          <w:tcPr>
            <w:tcW w:w="3706" w:type="dxa"/>
          </w:tcPr>
          <w:p w14:paraId="4A8724D7" w14:textId="77777777" w:rsidR="008105B4" w:rsidRPr="00B004EE" w:rsidRDefault="008105B4" w:rsidP="00B004EE">
            <w:pPr>
              <w:jc w:val="both"/>
              <w:rPr>
                <w:rFonts w:ascii="Tahoma" w:hAnsi="Tahoma" w:cs="Tahoma"/>
                <w:sz w:val="20"/>
                <w:szCs w:val="20"/>
              </w:rPr>
            </w:pPr>
          </w:p>
        </w:tc>
      </w:tr>
      <w:tr w:rsidR="00150C90" w:rsidRPr="00B004EE" w14:paraId="551C4D89" w14:textId="77777777" w:rsidTr="007D76A1">
        <w:tc>
          <w:tcPr>
            <w:tcW w:w="450" w:type="dxa"/>
          </w:tcPr>
          <w:p w14:paraId="4FCE51B5" w14:textId="77777777" w:rsidR="008105B4" w:rsidRPr="00B004EE" w:rsidRDefault="008105B4" w:rsidP="00B004EE">
            <w:pPr>
              <w:jc w:val="both"/>
              <w:rPr>
                <w:rFonts w:ascii="Tahoma" w:hAnsi="Tahoma" w:cs="Tahoma"/>
                <w:sz w:val="20"/>
                <w:szCs w:val="20"/>
              </w:rPr>
            </w:pPr>
          </w:p>
        </w:tc>
        <w:tc>
          <w:tcPr>
            <w:tcW w:w="4930" w:type="dxa"/>
            <w:vAlign w:val="center"/>
          </w:tcPr>
          <w:p w14:paraId="39216F49" w14:textId="77777777" w:rsidR="008105B4" w:rsidRPr="00B004EE" w:rsidRDefault="008105B4" w:rsidP="00B004EE">
            <w:pPr>
              <w:jc w:val="both"/>
              <w:rPr>
                <w:rFonts w:ascii="Tahoma" w:eastAsia="Arial Unicode MS" w:hAnsi="Tahoma" w:cs="Tahoma"/>
                <w:sz w:val="20"/>
                <w:szCs w:val="20"/>
              </w:rPr>
            </w:pPr>
            <w:r w:rsidRPr="00B004EE">
              <w:rPr>
                <w:rFonts w:ascii="Tahoma" w:hAnsi="Tahoma" w:cs="Tahoma"/>
                <w:sz w:val="20"/>
                <w:szCs w:val="20"/>
              </w:rPr>
              <w:t>Sulfates</w:t>
            </w:r>
          </w:p>
        </w:tc>
        <w:tc>
          <w:tcPr>
            <w:tcW w:w="3706" w:type="dxa"/>
          </w:tcPr>
          <w:p w14:paraId="52B717E3" w14:textId="77777777" w:rsidR="008105B4" w:rsidRPr="00B004EE" w:rsidRDefault="008105B4" w:rsidP="00B004EE">
            <w:pPr>
              <w:jc w:val="both"/>
              <w:rPr>
                <w:rFonts w:ascii="Tahoma" w:hAnsi="Tahoma" w:cs="Tahoma"/>
                <w:sz w:val="20"/>
                <w:szCs w:val="20"/>
              </w:rPr>
            </w:pPr>
          </w:p>
        </w:tc>
      </w:tr>
      <w:tr w:rsidR="00150C90" w:rsidRPr="00B004EE" w14:paraId="15D09F02" w14:textId="77777777" w:rsidTr="007D76A1">
        <w:tc>
          <w:tcPr>
            <w:tcW w:w="450" w:type="dxa"/>
          </w:tcPr>
          <w:p w14:paraId="39D75417" w14:textId="77777777" w:rsidR="008105B4" w:rsidRPr="00B004EE" w:rsidRDefault="008105B4" w:rsidP="00B004EE">
            <w:pPr>
              <w:jc w:val="both"/>
              <w:rPr>
                <w:rFonts w:ascii="Tahoma" w:hAnsi="Tahoma" w:cs="Tahoma"/>
                <w:sz w:val="20"/>
                <w:szCs w:val="20"/>
              </w:rPr>
            </w:pPr>
          </w:p>
        </w:tc>
        <w:tc>
          <w:tcPr>
            <w:tcW w:w="4930" w:type="dxa"/>
            <w:vAlign w:val="center"/>
          </w:tcPr>
          <w:p w14:paraId="14C1CF99" w14:textId="41C5651E" w:rsidR="008105B4" w:rsidRPr="00B004EE" w:rsidRDefault="008105B4" w:rsidP="00B004EE">
            <w:pPr>
              <w:jc w:val="both"/>
              <w:rPr>
                <w:rFonts w:ascii="Tahoma" w:eastAsia="Arial Unicode MS" w:hAnsi="Tahoma" w:cs="Tahoma"/>
                <w:sz w:val="20"/>
                <w:szCs w:val="20"/>
              </w:rPr>
            </w:pPr>
            <w:r w:rsidRPr="00B004EE">
              <w:rPr>
                <w:rFonts w:ascii="Tahoma" w:hAnsi="Tahoma" w:cs="Tahoma"/>
                <w:sz w:val="20"/>
                <w:szCs w:val="20"/>
              </w:rPr>
              <w:t>Tétrachloroéthylène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trichloréthylène</w:t>
            </w:r>
          </w:p>
        </w:tc>
        <w:tc>
          <w:tcPr>
            <w:tcW w:w="3706" w:type="dxa"/>
          </w:tcPr>
          <w:p w14:paraId="6A45E0DE" w14:textId="77777777" w:rsidR="008105B4" w:rsidRPr="00B004EE" w:rsidRDefault="008105B4" w:rsidP="00B004EE">
            <w:pPr>
              <w:jc w:val="both"/>
              <w:rPr>
                <w:rFonts w:ascii="Tahoma" w:hAnsi="Tahoma" w:cs="Tahoma"/>
                <w:sz w:val="20"/>
                <w:szCs w:val="20"/>
              </w:rPr>
            </w:pPr>
          </w:p>
        </w:tc>
      </w:tr>
      <w:tr w:rsidR="007D76A1" w:rsidRPr="00B004EE" w14:paraId="553FDBC3" w14:textId="77777777" w:rsidTr="007D76A1">
        <w:tc>
          <w:tcPr>
            <w:tcW w:w="450" w:type="dxa"/>
          </w:tcPr>
          <w:p w14:paraId="7F70DAF3" w14:textId="77777777" w:rsidR="008105B4" w:rsidRPr="00B004EE" w:rsidRDefault="008105B4" w:rsidP="00B004EE">
            <w:pPr>
              <w:jc w:val="both"/>
              <w:rPr>
                <w:rFonts w:ascii="Tahoma" w:hAnsi="Tahoma" w:cs="Tahoma"/>
                <w:sz w:val="20"/>
                <w:szCs w:val="20"/>
              </w:rPr>
            </w:pPr>
          </w:p>
        </w:tc>
        <w:tc>
          <w:tcPr>
            <w:tcW w:w="4930" w:type="dxa"/>
          </w:tcPr>
          <w:p w14:paraId="278CAA91" w14:textId="6DABA88C" w:rsidR="008105B4" w:rsidRPr="00B004EE" w:rsidRDefault="008105B4" w:rsidP="00B004EE">
            <w:pPr>
              <w:jc w:val="both"/>
              <w:rPr>
                <w:rFonts w:ascii="Tahoma" w:hAnsi="Tahoma" w:cs="Tahoma"/>
                <w:sz w:val="20"/>
                <w:szCs w:val="20"/>
              </w:rPr>
            </w:pPr>
            <w:r w:rsidRPr="00B004EE">
              <w:rPr>
                <w:rFonts w:ascii="Tahoma" w:hAnsi="Tahoma" w:cs="Tahoma"/>
                <w:sz w:val="20"/>
                <w:szCs w:val="20"/>
              </w:rPr>
              <w:t>Total</w:t>
            </w:r>
            <w:r w:rsidR="00DB1635" w:rsidRPr="00B004EE">
              <w:rPr>
                <w:rFonts w:ascii="Tahoma" w:hAnsi="Tahoma" w:cs="Tahoma"/>
                <w:sz w:val="20"/>
                <w:szCs w:val="20"/>
              </w:rPr>
              <w:t xml:space="preserve"> </w:t>
            </w:r>
            <w:r w:rsidRPr="00B004EE">
              <w:rPr>
                <w:rFonts w:ascii="Tahoma" w:hAnsi="Tahoma" w:cs="Tahoma"/>
                <w:sz w:val="20"/>
                <w:szCs w:val="20"/>
              </w:rPr>
              <w:t>trihalométhanes</w:t>
            </w:r>
            <w:r w:rsidR="00DB1635" w:rsidRPr="00B004EE">
              <w:rPr>
                <w:rFonts w:ascii="Tahoma" w:hAnsi="Tahoma" w:cs="Tahoma"/>
                <w:sz w:val="20"/>
                <w:szCs w:val="20"/>
              </w:rPr>
              <w:t xml:space="preserve"> </w:t>
            </w:r>
            <w:r w:rsidRPr="00B004EE">
              <w:rPr>
                <w:rFonts w:ascii="Tahoma" w:hAnsi="Tahoma" w:cs="Tahoma"/>
                <w:sz w:val="20"/>
                <w:szCs w:val="20"/>
              </w:rPr>
              <w:t>(THM)</w:t>
            </w:r>
          </w:p>
        </w:tc>
        <w:tc>
          <w:tcPr>
            <w:tcW w:w="3706" w:type="dxa"/>
          </w:tcPr>
          <w:p w14:paraId="5A78541E" w14:textId="2EC64204" w:rsidR="008105B4" w:rsidRPr="00B004EE" w:rsidRDefault="008105B4" w:rsidP="00B004EE">
            <w:pPr>
              <w:jc w:val="both"/>
              <w:rPr>
                <w:rFonts w:ascii="Tahoma" w:hAnsi="Tahoma" w:cs="Tahoma"/>
                <w:sz w:val="20"/>
                <w:szCs w:val="20"/>
              </w:rPr>
            </w:pPr>
            <w:r w:rsidRPr="00B004EE">
              <w:rPr>
                <w:rFonts w:ascii="Tahoma" w:hAnsi="Tahoma" w:cs="Tahoma"/>
                <w:sz w:val="20"/>
                <w:szCs w:val="20"/>
              </w:rPr>
              <w:t>Note</w:t>
            </w:r>
            <w:r w:rsidR="00DB1635" w:rsidRPr="00B004EE">
              <w:rPr>
                <w:rFonts w:ascii="Tahoma" w:hAnsi="Tahoma" w:cs="Tahoma"/>
                <w:sz w:val="20"/>
                <w:szCs w:val="20"/>
              </w:rPr>
              <w:t xml:space="preserve"> </w:t>
            </w:r>
            <w:r w:rsidRPr="00B004EE">
              <w:rPr>
                <w:rFonts w:ascii="Tahoma" w:hAnsi="Tahoma" w:cs="Tahoma"/>
                <w:sz w:val="20"/>
                <w:szCs w:val="20"/>
              </w:rPr>
              <w:t>6</w:t>
            </w:r>
          </w:p>
        </w:tc>
      </w:tr>
    </w:tbl>
    <w:p w14:paraId="0DDEB204" w14:textId="77777777" w:rsidR="008105B4" w:rsidRPr="00B004EE" w:rsidRDefault="008105B4" w:rsidP="00B004EE">
      <w:pPr>
        <w:ind w:left="900" w:hanging="900"/>
        <w:jc w:val="both"/>
        <w:rPr>
          <w:rFonts w:ascii="Tahoma" w:hAnsi="Tahoma" w:cs="Tahoma"/>
          <w:sz w:val="20"/>
          <w:szCs w:val="20"/>
        </w:rPr>
      </w:pPr>
    </w:p>
    <w:p w14:paraId="336005B1" w14:textId="6FF5E003" w:rsidR="008105B4" w:rsidRPr="00B004EE" w:rsidRDefault="008105B4" w:rsidP="00B004EE">
      <w:pPr>
        <w:tabs>
          <w:tab w:val="left" w:pos="0"/>
          <w:tab w:val="left" w:pos="3070"/>
          <w:tab w:val="left" w:pos="4605"/>
          <w:tab w:val="left" w:pos="6140"/>
          <w:tab w:val="left" w:pos="7675"/>
          <w:tab w:val="left" w:pos="9210"/>
        </w:tabs>
        <w:ind w:left="567" w:hanging="567"/>
        <w:jc w:val="both"/>
        <w:rPr>
          <w:rFonts w:ascii="Tahoma" w:hAnsi="Tahoma" w:cs="Tahoma"/>
          <w:sz w:val="20"/>
          <w:szCs w:val="20"/>
        </w:rPr>
      </w:pPr>
      <w:r w:rsidRPr="00B004EE">
        <w:rPr>
          <w:rFonts w:ascii="Tahoma" w:hAnsi="Tahoma" w:cs="Tahoma"/>
          <w:sz w:val="20"/>
          <w:szCs w:val="20"/>
        </w:rPr>
        <w:t>Note</w:t>
      </w:r>
      <w:r w:rsidR="00DB1635" w:rsidRPr="00B004EE">
        <w:rPr>
          <w:rFonts w:ascii="Tahoma" w:hAnsi="Tahoma" w:cs="Tahoma"/>
          <w:sz w:val="20"/>
          <w:szCs w:val="20"/>
        </w:rPr>
        <w:t xml:space="preserve"> </w:t>
      </w:r>
      <w:r w:rsidRPr="00B004EE">
        <w:rPr>
          <w:rFonts w:ascii="Tahoma" w:hAnsi="Tahoma" w:cs="Tahoma"/>
          <w:sz w:val="20"/>
          <w:szCs w:val="20"/>
        </w:rPr>
        <w:t>1</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limite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qualité</w:t>
      </w:r>
      <w:r w:rsidR="00DB1635" w:rsidRPr="00B004EE">
        <w:rPr>
          <w:rFonts w:ascii="Tahoma" w:hAnsi="Tahoma" w:cs="Tahoma"/>
          <w:sz w:val="20"/>
          <w:szCs w:val="20"/>
        </w:rPr>
        <w:t xml:space="preserve"> </w:t>
      </w:r>
      <w:r w:rsidRPr="00B004EE">
        <w:rPr>
          <w:rFonts w:ascii="Tahoma" w:hAnsi="Tahoma" w:cs="Tahoma"/>
          <w:sz w:val="20"/>
          <w:szCs w:val="20"/>
        </w:rPr>
        <w:t>se</w:t>
      </w:r>
      <w:r w:rsidR="00DB1635" w:rsidRPr="00B004EE">
        <w:rPr>
          <w:rFonts w:ascii="Tahoma" w:hAnsi="Tahoma" w:cs="Tahoma"/>
          <w:sz w:val="20"/>
          <w:szCs w:val="20"/>
        </w:rPr>
        <w:t xml:space="preserve"> </w:t>
      </w:r>
      <w:r w:rsidRPr="00B004EE">
        <w:rPr>
          <w:rFonts w:ascii="Tahoma" w:hAnsi="Tahoma" w:cs="Tahoma"/>
          <w:sz w:val="20"/>
          <w:szCs w:val="20"/>
        </w:rPr>
        <w:t>réfère</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concentration</w:t>
      </w:r>
      <w:r w:rsidR="00DB1635" w:rsidRPr="00B004EE">
        <w:rPr>
          <w:rFonts w:ascii="Tahoma" w:hAnsi="Tahoma" w:cs="Tahoma"/>
          <w:sz w:val="20"/>
          <w:szCs w:val="20"/>
        </w:rPr>
        <w:t xml:space="preserve"> </w:t>
      </w:r>
      <w:r w:rsidRPr="00B004EE">
        <w:rPr>
          <w:rFonts w:ascii="Tahoma" w:hAnsi="Tahoma" w:cs="Tahoma"/>
          <w:sz w:val="20"/>
          <w:szCs w:val="20"/>
        </w:rPr>
        <w:t>résiduelle</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monomères</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l'eau,</w:t>
      </w:r>
      <w:r w:rsidR="00DB1635" w:rsidRPr="00B004EE">
        <w:rPr>
          <w:rFonts w:ascii="Tahoma" w:hAnsi="Tahoma" w:cs="Tahoma"/>
          <w:sz w:val="20"/>
          <w:szCs w:val="20"/>
        </w:rPr>
        <w:t xml:space="preserve"> </w:t>
      </w:r>
      <w:r w:rsidRPr="00B004EE">
        <w:rPr>
          <w:rFonts w:ascii="Tahoma" w:hAnsi="Tahoma" w:cs="Tahoma"/>
          <w:sz w:val="20"/>
          <w:szCs w:val="20"/>
        </w:rPr>
        <w:t>calculée</w:t>
      </w:r>
      <w:r w:rsidR="00DB1635" w:rsidRPr="00B004EE">
        <w:rPr>
          <w:rFonts w:ascii="Tahoma" w:hAnsi="Tahoma" w:cs="Tahoma"/>
          <w:sz w:val="20"/>
          <w:szCs w:val="20"/>
        </w:rPr>
        <w:t xml:space="preserve"> </w:t>
      </w:r>
      <w:r w:rsidRPr="00B004EE">
        <w:rPr>
          <w:rFonts w:ascii="Tahoma" w:hAnsi="Tahoma" w:cs="Tahoma"/>
          <w:sz w:val="20"/>
          <w:szCs w:val="20"/>
        </w:rPr>
        <w:t>conformément</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spécifications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migration</w:t>
      </w:r>
      <w:r w:rsidR="00DB1635" w:rsidRPr="00B004EE">
        <w:rPr>
          <w:rFonts w:ascii="Tahoma" w:hAnsi="Tahoma" w:cs="Tahoma"/>
          <w:sz w:val="20"/>
          <w:szCs w:val="20"/>
        </w:rPr>
        <w:t xml:space="preserve"> </w:t>
      </w:r>
      <w:r w:rsidRPr="00B004EE">
        <w:rPr>
          <w:rFonts w:ascii="Tahoma" w:hAnsi="Tahoma" w:cs="Tahoma"/>
          <w:sz w:val="20"/>
          <w:szCs w:val="20"/>
        </w:rPr>
        <w:t>maximale</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polymère</w:t>
      </w:r>
      <w:r w:rsidR="00DB1635" w:rsidRPr="00B004EE">
        <w:rPr>
          <w:rFonts w:ascii="Tahoma" w:hAnsi="Tahoma" w:cs="Tahoma"/>
          <w:sz w:val="20"/>
          <w:szCs w:val="20"/>
        </w:rPr>
        <w:t xml:space="preserve"> </w:t>
      </w:r>
      <w:r w:rsidRPr="00B004EE">
        <w:rPr>
          <w:rFonts w:ascii="Tahoma" w:hAnsi="Tahoma" w:cs="Tahoma"/>
          <w:sz w:val="20"/>
          <w:szCs w:val="20"/>
        </w:rPr>
        <w:t>correspondant</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contact</w:t>
      </w:r>
      <w:r w:rsidR="00DB1635" w:rsidRPr="00B004EE">
        <w:rPr>
          <w:rFonts w:ascii="Tahoma" w:hAnsi="Tahoma" w:cs="Tahoma"/>
          <w:sz w:val="20"/>
          <w:szCs w:val="20"/>
        </w:rPr>
        <w:t xml:space="preserve"> </w:t>
      </w:r>
      <w:r w:rsidRPr="00B004EE">
        <w:rPr>
          <w:rFonts w:ascii="Tahoma" w:hAnsi="Tahoma" w:cs="Tahoma"/>
          <w:sz w:val="20"/>
          <w:szCs w:val="20"/>
        </w:rPr>
        <w:t>avec</w:t>
      </w:r>
      <w:r w:rsidR="00DB1635" w:rsidRPr="00B004EE">
        <w:rPr>
          <w:rFonts w:ascii="Tahoma" w:hAnsi="Tahoma" w:cs="Tahoma"/>
          <w:sz w:val="20"/>
          <w:szCs w:val="20"/>
        </w:rPr>
        <w:t xml:space="preserve"> </w:t>
      </w:r>
      <w:r w:rsidRPr="00B004EE">
        <w:rPr>
          <w:rFonts w:ascii="Tahoma" w:hAnsi="Tahoma" w:cs="Tahoma"/>
          <w:sz w:val="20"/>
          <w:szCs w:val="20"/>
        </w:rPr>
        <w:t>l'eau.</w:t>
      </w:r>
    </w:p>
    <w:p w14:paraId="05C720A9" w14:textId="7922BB09" w:rsidR="008105B4" w:rsidRPr="00B004EE" w:rsidRDefault="008105B4" w:rsidP="00B004EE">
      <w:pPr>
        <w:tabs>
          <w:tab w:val="left" w:pos="0"/>
          <w:tab w:val="left" w:pos="3070"/>
          <w:tab w:val="left" w:pos="4605"/>
          <w:tab w:val="left" w:pos="6140"/>
          <w:tab w:val="left" w:pos="7675"/>
          <w:tab w:val="left" w:pos="9210"/>
        </w:tabs>
        <w:ind w:left="567" w:hanging="567"/>
        <w:jc w:val="both"/>
        <w:rPr>
          <w:rFonts w:ascii="Tahoma" w:hAnsi="Tahoma" w:cs="Tahoma"/>
          <w:sz w:val="20"/>
          <w:szCs w:val="20"/>
        </w:rPr>
      </w:pPr>
      <w:r w:rsidRPr="00B004EE">
        <w:rPr>
          <w:rFonts w:ascii="Tahoma" w:hAnsi="Tahoma" w:cs="Tahoma"/>
          <w:sz w:val="20"/>
          <w:szCs w:val="20"/>
        </w:rPr>
        <w:t>Note</w:t>
      </w:r>
      <w:r w:rsidR="00DB1635" w:rsidRPr="00B004EE">
        <w:rPr>
          <w:rFonts w:ascii="Tahoma" w:hAnsi="Tahoma" w:cs="Tahoma"/>
          <w:sz w:val="20"/>
          <w:szCs w:val="20"/>
        </w:rPr>
        <w:t xml:space="preserve"> </w:t>
      </w:r>
      <w:r w:rsidRPr="00B004EE">
        <w:rPr>
          <w:rFonts w:ascii="Tahoma" w:hAnsi="Tahoma" w:cs="Tahoma"/>
          <w:sz w:val="20"/>
          <w:szCs w:val="20"/>
        </w:rPr>
        <w:t>2</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Seulement</w:t>
      </w:r>
      <w:r w:rsidR="00DB1635" w:rsidRPr="00B004EE">
        <w:rPr>
          <w:rFonts w:ascii="Tahoma" w:hAnsi="Tahoma" w:cs="Tahoma"/>
          <w:sz w:val="20"/>
          <w:szCs w:val="20"/>
        </w:rPr>
        <w:t xml:space="preserve"> </w:t>
      </w:r>
      <w:r w:rsidRPr="00B004EE">
        <w:rPr>
          <w:rFonts w:ascii="Tahoma" w:hAnsi="Tahoma" w:cs="Tahoma"/>
          <w:sz w:val="20"/>
          <w:szCs w:val="20"/>
        </w:rPr>
        <w:t>nécessaire</w:t>
      </w:r>
      <w:r w:rsidR="00DB1635" w:rsidRPr="00B004EE">
        <w:rPr>
          <w:rFonts w:ascii="Tahoma" w:hAnsi="Tahoma" w:cs="Tahoma"/>
          <w:sz w:val="20"/>
          <w:szCs w:val="20"/>
        </w:rPr>
        <w:t xml:space="preserve"> </w:t>
      </w:r>
      <w:r w:rsidRPr="00B004EE">
        <w:rPr>
          <w:rFonts w:ascii="Tahoma" w:hAnsi="Tahoma" w:cs="Tahoma"/>
          <w:sz w:val="20"/>
          <w:szCs w:val="20"/>
        </w:rPr>
        <w:t>lorsque</w:t>
      </w:r>
      <w:r w:rsidR="00DB1635" w:rsidRPr="00B004EE">
        <w:rPr>
          <w:rFonts w:ascii="Tahoma" w:hAnsi="Tahoma" w:cs="Tahoma"/>
          <w:sz w:val="20"/>
          <w:szCs w:val="20"/>
        </w:rPr>
        <w:t xml:space="preserve"> </w:t>
      </w:r>
      <w:r w:rsidRPr="00B004EE">
        <w:rPr>
          <w:rFonts w:ascii="Tahoma" w:hAnsi="Tahoma" w:cs="Tahoma"/>
          <w:sz w:val="20"/>
          <w:szCs w:val="20"/>
        </w:rPr>
        <w:t>l’eau</w:t>
      </w:r>
      <w:r w:rsidR="00DB1635" w:rsidRPr="00B004EE">
        <w:rPr>
          <w:rFonts w:ascii="Tahoma" w:hAnsi="Tahoma" w:cs="Tahoma"/>
          <w:sz w:val="20"/>
          <w:szCs w:val="20"/>
        </w:rPr>
        <w:t xml:space="preserve"> </w:t>
      </w:r>
      <w:r w:rsidRPr="00B004EE">
        <w:rPr>
          <w:rFonts w:ascii="Tahoma" w:hAnsi="Tahoma" w:cs="Tahoma"/>
          <w:sz w:val="20"/>
          <w:szCs w:val="20"/>
        </w:rPr>
        <w:t>a</w:t>
      </w:r>
      <w:r w:rsidR="00DB1635" w:rsidRPr="00B004EE">
        <w:rPr>
          <w:rFonts w:ascii="Tahoma" w:hAnsi="Tahoma" w:cs="Tahoma"/>
          <w:sz w:val="20"/>
          <w:szCs w:val="20"/>
        </w:rPr>
        <w:t xml:space="preserve"> </w:t>
      </w:r>
      <w:r w:rsidR="002B5360" w:rsidRPr="00B004EE">
        <w:rPr>
          <w:rFonts w:ascii="Tahoma" w:hAnsi="Tahoma" w:cs="Tahoma"/>
          <w:sz w:val="20"/>
          <w:szCs w:val="20"/>
        </w:rPr>
        <w:t>subi</w:t>
      </w:r>
      <w:r w:rsidR="00DB1635" w:rsidRPr="00B004EE">
        <w:rPr>
          <w:rFonts w:ascii="Tahoma" w:hAnsi="Tahoma" w:cs="Tahoma"/>
          <w:sz w:val="20"/>
          <w:szCs w:val="20"/>
        </w:rPr>
        <w:t xml:space="preserve"> </w:t>
      </w: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traitement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désinfection</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l'ozone</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chlore.</w:t>
      </w:r>
    </w:p>
    <w:p w14:paraId="433CA034" w14:textId="630CAB0C" w:rsidR="008105B4" w:rsidRPr="00B004EE" w:rsidRDefault="008105B4" w:rsidP="00B004EE">
      <w:pPr>
        <w:tabs>
          <w:tab w:val="left" w:pos="0"/>
          <w:tab w:val="left" w:pos="3070"/>
          <w:tab w:val="left" w:pos="4605"/>
          <w:tab w:val="left" w:pos="6140"/>
          <w:tab w:val="left" w:pos="7675"/>
          <w:tab w:val="left" w:pos="9210"/>
        </w:tabs>
        <w:ind w:left="567" w:hanging="567"/>
        <w:jc w:val="both"/>
        <w:rPr>
          <w:rFonts w:ascii="Tahoma" w:hAnsi="Tahoma" w:cs="Tahoma"/>
          <w:sz w:val="20"/>
          <w:szCs w:val="20"/>
        </w:rPr>
      </w:pPr>
      <w:r w:rsidRPr="00B004EE">
        <w:rPr>
          <w:rFonts w:ascii="Tahoma" w:hAnsi="Tahoma" w:cs="Tahoma"/>
          <w:sz w:val="20"/>
          <w:szCs w:val="20"/>
        </w:rPr>
        <w:t>Note</w:t>
      </w:r>
      <w:r w:rsidR="00DB1635" w:rsidRPr="00B004EE">
        <w:rPr>
          <w:rFonts w:ascii="Tahoma" w:hAnsi="Tahoma" w:cs="Tahoma"/>
          <w:sz w:val="20"/>
          <w:szCs w:val="20"/>
        </w:rPr>
        <w:t xml:space="preserve"> </w:t>
      </w:r>
      <w:r w:rsidRPr="00B004EE">
        <w:rPr>
          <w:rFonts w:ascii="Tahoma" w:hAnsi="Tahoma" w:cs="Tahoma"/>
          <w:sz w:val="20"/>
          <w:szCs w:val="20"/>
        </w:rPr>
        <w:t>3</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Seulement</w:t>
      </w:r>
      <w:r w:rsidR="00DB1635" w:rsidRPr="00B004EE">
        <w:rPr>
          <w:rFonts w:ascii="Tahoma" w:hAnsi="Tahoma" w:cs="Tahoma"/>
          <w:sz w:val="20"/>
          <w:szCs w:val="20"/>
        </w:rPr>
        <w:t xml:space="preserve"> </w:t>
      </w:r>
      <w:r w:rsidRPr="00B004EE">
        <w:rPr>
          <w:rFonts w:ascii="Tahoma" w:hAnsi="Tahoma" w:cs="Tahoma"/>
          <w:sz w:val="20"/>
          <w:szCs w:val="20"/>
        </w:rPr>
        <w:t>nécessaire</w:t>
      </w:r>
      <w:r w:rsidR="00DB1635" w:rsidRPr="00B004EE">
        <w:rPr>
          <w:rFonts w:ascii="Tahoma" w:hAnsi="Tahoma" w:cs="Tahoma"/>
          <w:sz w:val="20"/>
          <w:szCs w:val="20"/>
        </w:rPr>
        <w:t xml:space="preserve"> </w:t>
      </w:r>
      <w:r w:rsidRPr="00B004EE">
        <w:rPr>
          <w:rFonts w:ascii="Tahoma" w:hAnsi="Tahoma" w:cs="Tahoma"/>
          <w:sz w:val="20"/>
          <w:szCs w:val="20"/>
        </w:rPr>
        <w:t>lorsque</w:t>
      </w:r>
      <w:r w:rsidR="00DB1635" w:rsidRPr="00B004EE">
        <w:rPr>
          <w:rFonts w:ascii="Tahoma" w:hAnsi="Tahoma" w:cs="Tahoma"/>
          <w:sz w:val="20"/>
          <w:szCs w:val="20"/>
        </w:rPr>
        <w:t xml:space="preserve"> </w:t>
      </w:r>
      <w:r w:rsidRPr="00B004EE">
        <w:rPr>
          <w:rFonts w:ascii="Tahoma" w:hAnsi="Tahoma" w:cs="Tahoma"/>
          <w:sz w:val="20"/>
          <w:szCs w:val="20"/>
        </w:rPr>
        <w:t>l’eau</w:t>
      </w:r>
      <w:r w:rsidR="00DB1635" w:rsidRPr="00B004EE">
        <w:rPr>
          <w:rFonts w:ascii="Tahoma" w:hAnsi="Tahoma" w:cs="Tahoma"/>
          <w:sz w:val="20"/>
          <w:szCs w:val="20"/>
        </w:rPr>
        <w:t xml:space="preserve"> </w:t>
      </w:r>
      <w:r w:rsidRPr="00B004EE">
        <w:rPr>
          <w:rFonts w:ascii="Tahoma" w:hAnsi="Tahoma" w:cs="Tahoma"/>
          <w:sz w:val="20"/>
          <w:szCs w:val="20"/>
        </w:rPr>
        <w:t>a</w:t>
      </w:r>
      <w:r w:rsidR="00DB1635" w:rsidRPr="00B004EE">
        <w:rPr>
          <w:rFonts w:ascii="Tahoma" w:hAnsi="Tahoma" w:cs="Tahoma"/>
          <w:sz w:val="20"/>
          <w:szCs w:val="20"/>
        </w:rPr>
        <w:t xml:space="preserve"> </w:t>
      </w:r>
      <w:r w:rsidR="002B5360" w:rsidRPr="00B004EE">
        <w:rPr>
          <w:rFonts w:ascii="Tahoma" w:hAnsi="Tahoma" w:cs="Tahoma"/>
          <w:sz w:val="20"/>
          <w:szCs w:val="20"/>
        </w:rPr>
        <w:t>subi</w:t>
      </w:r>
      <w:r w:rsidR="00DB1635" w:rsidRPr="00B004EE">
        <w:rPr>
          <w:rFonts w:ascii="Tahoma" w:hAnsi="Tahoma" w:cs="Tahoma"/>
          <w:sz w:val="20"/>
          <w:szCs w:val="20"/>
        </w:rPr>
        <w:t xml:space="preserve"> </w:t>
      </w: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traitement</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dioxyde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chlore.</w:t>
      </w:r>
    </w:p>
    <w:p w14:paraId="07DAB633" w14:textId="4E74E037" w:rsidR="008105B4" w:rsidRPr="00B004EE" w:rsidRDefault="008105B4" w:rsidP="00B004EE">
      <w:pPr>
        <w:tabs>
          <w:tab w:val="left" w:pos="0"/>
          <w:tab w:val="left" w:pos="3070"/>
          <w:tab w:val="left" w:pos="4605"/>
          <w:tab w:val="left" w:pos="6140"/>
          <w:tab w:val="left" w:pos="7675"/>
          <w:tab w:val="left" w:pos="9210"/>
        </w:tabs>
        <w:ind w:left="567" w:hanging="567"/>
        <w:jc w:val="both"/>
        <w:rPr>
          <w:rFonts w:ascii="Tahoma" w:hAnsi="Tahoma" w:cs="Tahoma"/>
          <w:sz w:val="20"/>
          <w:szCs w:val="20"/>
        </w:rPr>
      </w:pPr>
      <w:r w:rsidRPr="00B004EE">
        <w:rPr>
          <w:rFonts w:ascii="Tahoma" w:hAnsi="Tahoma" w:cs="Tahoma"/>
          <w:sz w:val="20"/>
          <w:szCs w:val="20"/>
        </w:rPr>
        <w:t>Note</w:t>
      </w:r>
      <w:r w:rsidR="00DB1635" w:rsidRPr="00B004EE">
        <w:rPr>
          <w:rFonts w:ascii="Tahoma" w:hAnsi="Tahoma" w:cs="Tahoma"/>
          <w:sz w:val="20"/>
          <w:szCs w:val="20"/>
        </w:rPr>
        <w:t xml:space="preserve"> </w:t>
      </w:r>
      <w:r w:rsidRPr="00B004EE">
        <w:rPr>
          <w:rFonts w:ascii="Tahoma" w:hAnsi="Tahoma" w:cs="Tahoma"/>
          <w:sz w:val="20"/>
          <w:szCs w:val="20"/>
        </w:rPr>
        <w:t>4</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Ce</w:t>
      </w:r>
      <w:r w:rsidR="00DB1635" w:rsidRPr="00B004EE">
        <w:rPr>
          <w:rFonts w:ascii="Tahoma" w:hAnsi="Tahoma" w:cs="Tahoma"/>
          <w:sz w:val="20"/>
          <w:szCs w:val="20"/>
        </w:rPr>
        <w:t xml:space="preserve"> </w:t>
      </w:r>
      <w:r w:rsidRPr="00B004EE">
        <w:rPr>
          <w:rFonts w:ascii="Tahoma" w:hAnsi="Tahoma" w:cs="Tahoma"/>
          <w:sz w:val="20"/>
          <w:szCs w:val="20"/>
        </w:rPr>
        <w:t>paramètre</w:t>
      </w:r>
      <w:r w:rsidR="00DB1635" w:rsidRPr="00B004EE">
        <w:rPr>
          <w:rFonts w:ascii="Tahoma" w:hAnsi="Tahoma" w:cs="Tahoma"/>
          <w:sz w:val="20"/>
          <w:szCs w:val="20"/>
        </w:rPr>
        <w:t xml:space="preserve"> </w:t>
      </w:r>
      <w:r w:rsidRPr="00B004EE">
        <w:rPr>
          <w:rFonts w:ascii="Tahoma" w:hAnsi="Tahoma" w:cs="Tahoma"/>
          <w:sz w:val="20"/>
          <w:szCs w:val="20"/>
        </w:rPr>
        <w:t>doit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recherché</w:t>
      </w:r>
      <w:r w:rsidR="00DB1635" w:rsidRPr="00B004EE">
        <w:rPr>
          <w:rFonts w:ascii="Tahoma" w:hAnsi="Tahoma" w:cs="Tahoma"/>
          <w:sz w:val="20"/>
          <w:szCs w:val="20"/>
        </w:rPr>
        <w:t xml:space="preserve"> </w:t>
      </w:r>
      <w:r w:rsidRPr="00B004EE">
        <w:rPr>
          <w:rFonts w:ascii="Tahoma" w:hAnsi="Tahoma" w:cs="Tahoma"/>
          <w:sz w:val="20"/>
          <w:szCs w:val="20"/>
        </w:rPr>
        <w:t>lorsque</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COT</w:t>
      </w:r>
      <w:r w:rsidR="00DB1635" w:rsidRPr="00B004EE">
        <w:rPr>
          <w:rFonts w:ascii="Tahoma" w:hAnsi="Tahoma" w:cs="Tahoma"/>
          <w:sz w:val="20"/>
          <w:szCs w:val="20"/>
        </w:rPr>
        <w:t xml:space="preserve"> </w:t>
      </w:r>
      <w:r w:rsidRPr="00B004EE">
        <w:rPr>
          <w:rFonts w:ascii="Tahoma" w:hAnsi="Tahoma" w:cs="Tahoma"/>
          <w:sz w:val="20"/>
          <w:szCs w:val="20"/>
        </w:rPr>
        <w:t>n'est</w:t>
      </w:r>
      <w:r w:rsidR="00DB1635" w:rsidRPr="00B004EE">
        <w:rPr>
          <w:rFonts w:ascii="Tahoma" w:hAnsi="Tahoma" w:cs="Tahoma"/>
          <w:sz w:val="20"/>
          <w:szCs w:val="20"/>
        </w:rPr>
        <w:t xml:space="preserve"> </w:t>
      </w:r>
      <w:r w:rsidRPr="00B004EE">
        <w:rPr>
          <w:rFonts w:ascii="Tahoma" w:hAnsi="Tahoma" w:cs="Tahoma"/>
          <w:sz w:val="20"/>
          <w:szCs w:val="20"/>
        </w:rPr>
        <w:t>pas</w:t>
      </w:r>
      <w:r w:rsidR="00DB1635" w:rsidRPr="00B004EE">
        <w:rPr>
          <w:rFonts w:ascii="Tahoma" w:hAnsi="Tahoma" w:cs="Tahoma"/>
          <w:sz w:val="20"/>
          <w:szCs w:val="20"/>
        </w:rPr>
        <w:t xml:space="preserve"> </w:t>
      </w:r>
      <w:r w:rsidRPr="00B004EE">
        <w:rPr>
          <w:rFonts w:ascii="Tahoma" w:hAnsi="Tahoma" w:cs="Tahoma"/>
          <w:sz w:val="20"/>
          <w:szCs w:val="20"/>
        </w:rPr>
        <w:t>analysé.</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mesure</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effectuée</w:t>
      </w:r>
      <w:r w:rsidR="00DB1635" w:rsidRPr="00B004EE">
        <w:rPr>
          <w:rFonts w:ascii="Tahoma" w:hAnsi="Tahoma" w:cs="Tahoma"/>
          <w:sz w:val="20"/>
          <w:szCs w:val="20"/>
        </w:rPr>
        <w:t xml:space="preserve"> </w:t>
      </w:r>
      <w:r w:rsidRPr="00B004EE">
        <w:rPr>
          <w:rFonts w:ascii="Tahoma" w:hAnsi="Tahoma" w:cs="Tahoma"/>
          <w:sz w:val="20"/>
          <w:szCs w:val="20"/>
        </w:rPr>
        <w:t>après</w:t>
      </w:r>
      <w:r w:rsidR="00DB1635" w:rsidRPr="00B004EE">
        <w:rPr>
          <w:rFonts w:ascii="Tahoma" w:hAnsi="Tahoma" w:cs="Tahoma"/>
          <w:sz w:val="20"/>
          <w:szCs w:val="20"/>
        </w:rPr>
        <w:t xml:space="preserve"> </w:t>
      </w:r>
      <w:r w:rsidRPr="00B004EE">
        <w:rPr>
          <w:rFonts w:ascii="Tahoma" w:hAnsi="Tahoma" w:cs="Tahoma"/>
          <w:sz w:val="20"/>
          <w:szCs w:val="20"/>
        </w:rPr>
        <w:t>10</w:t>
      </w:r>
      <w:r w:rsidR="00DB1635" w:rsidRPr="00B004EE">
        <w:rPr>
          <w:rFonts w:ascii="Tahoma" w:hAnsi="Tahoma" w:cs="Tahoma"/>
          <w:sz w:val="20"/>
          <w:szCs w:val="20"/>
        </w:rPr>
        <w:t xml:space="preserve"> </w:t>
      </w:r>
      <w:r w:rsidRPr="00B004EE">
        <w:rPr>
          <w:rFonts w:ascii="Tahoma" w:hAnsi="Tahoma" w:cs="Tahoma"/>
          <w:sz w:val="20"/>
          <w:szCs w:val="20"/>
        </w:rPr>
        <w:t>minutes</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milieu</w:t>
      </w:r>
      <w:r w:rsidR="00DB1635" w:rsidRPr="00B004EE">
        <w:rPr>
          <w:rFonts w:ascii="Tahoma" w:hAnsi="Tahoma" w:cs="Tahoma"/>
          <w:sz w:val="20"/>
          <w:szCs w:val="20"/>
        </w:rPr>
        <w:t xml:space="preserve"> </w:t>
      </w:r>
      <w:r w:rsidRPr="00B004EE">
        <w:rPr>
          <w:rFonts w:ascii="Tahoma" w:hAnsi="Tahoma" w:cs="Tahoma"/>
          <w:sz w:val="20"/>
          <w:szCs w:val="20"/>
        </w:rPr>
        <w:t>acide.</w:t>
      </w:r>
    </w:p>
    <w:p w14:paraId="6C8C64B1" w14:textId="73C2DCB8" w:rsidR="008105B4" w:rsidRPr="00B004EE" w:rsidRDefault="008105B4" w:rsidP="00B004EE">
      <w:pPr>
        <w:tabs>
          <w:tab w:val="left" w:pos="0"/>
          <w:tab w:val="left" w:pos="3070"/>
          <w:tab w:val="left" w:pos="4605"/>
          <w:tab w:val="left" w:pos="6140"/>
          <w:tab w:val="left" w:pos="7675"/>
          <w:tab w:val="left" w:pos="9210"/>
        </w:tabs>
        <w:ind w:left="567" w:hanging="567"/>
        <w:jc w:val="both"/>
        <w:rPr>
          <w:rFonts w:ascii="Tahoma" w:hAnsi="Tahoma" w:cs="Tahoma"/>
          <w:sz w:val="20"/>
          <w:szCs w:val="20"/>
        </w:rPr>
      </w:pPr>
      <w:r w:rsidRPr="00B004EE">
        <w:rPr>
          <w:rFonts w:ascii="Tahoma" w:hAnsi="Tahoma" w:cs="Tahoma"/>
          <w:sz w:val="20"/>
          <w:szCs w:val="20"/>
        </w:rPr>
        <w:t>Note</w:t>
      </w:r>
      <w:r w:rsidR="00DB1635" w:rsidRPr="00B004EE">
        <w:rPr>
          <w:rFonts w:ascii="Tahoma" w:hAnsi="Tahoma" w:cs="Tahoma"/>
          <w:sz w:val="20"/>
          <w:szCs w:val="20"/>
        </w:rPr>
        <w:t xml:space="preserve"> </w:t>
      </w:r>
      <w:r w:rsidRPr="00B004EE">
        <w:rPr>
          <w:rFonts w:ascii="Tahoma" w:hAnsi="Tahoma" w:cs="Tahoma"/>
          <w:sz w:val="20"/>
          <w:szCs w:val="20"/>
        </w:rPr>
        <w:t>5</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pesticides</w:t>
      </w:r>
      <w:r w:rsidR="00DB1635" w:rsidRPr="00B004EE">
        <w:rPr>
          <w:rFonts w:ascii="Tahoma" w:hAnsi="Tahoma" w:cs="Tahoma"/>
          <w:sz w:val="20"/>
          <w:szCs w:val="20"/>
        </w:rPr>
        <w:t xml:space="preserve"> </w:t>
      </w:r>
      <w:r w:rsidRPr="00B004EE">
        <w:rPr>
          <w:rFonts w:ascii="Tahoma" w:hAnsi="Tahoma" w:cs="Tahoma"/>
          <w:sz w:val="20"/>
          <w:szCs w:val="20"/>
        </w:rPr>
        <w:t>susceptibles</w:t>
      </w:r>
      <w:r w:rsidR="00DB1635" w:rsidRPr="00B004EE">
        <w:rPr>
          <w:rFonts w:ascii="Tahoma" w:hAnsi="Tahoma" w:cs="Tahoma"/>
          <w:sz w:val="20"/>
          <w:szCs w:val="20"/>
        </w:rPr>
        <w:t xml:space="preserve"> </w:t>
      </w:r>
      <w:r w:rsidRPr="00B004EE">
        <w:rPr>
          <w:rFonts w:ascii="Tahoma" w:hAnsi="Tahoma" w:cs="Tahoma"/>
          <w:sz w:val="20"/>
          <w:szCs w:val="20"/>
        </w:rPr>
        <w:t>d'être</w:t>
      </w:r>
      <w:r w:rsidR="00DB1635" w:rsidRPr="00B004EE">
        <w:rPr>
          <w:rFonts w:ascii="Tahoma" w:hAnsi="Tahoma" w:cs="Tahoma"/>
          <w:sz w:val="20"/>
          <w:szCs w:val="20"/>
        </w:rPr>
        <w:t xml:space="preserve"> </w:t>
      </w:r>
      <w:r w:rsidRPr="00B004EE">
        <w:rPr>
          <w:rFonts w:ascii="Tahoma" w:hAnsi="Tahoma" w:cs="Tahoma"/>
          <w:sz w:val="20"/>
          <w:szCs w:val="20"/>
        </w:rPr>
        <w:t>présents</w:t>
      </w:r>
      <w:r w:rsidR="00DB1635" w:rsidRPr="00B004EE">
        <w:rPr>
          <w:rFonts w:ascii="Tahoma" w:hAnsi="Tahoma" w:cs="Tahoma"/>
          <w:sz w:val="20"/>
          <w:szCs w:val="20"/>
        </w:rPr>
        <w:t xml:space="preserve"> </w:t>
      </w:r>
      <w:r w:rsidRPr="00B004EE">
        <w:rPr>
          <w:rFonts w:ascii="Tahoma" w:hAnsi="Tahoma" w:cs="Tahoma"/>
          <w:sz w:val="20"/>
          <w:szCs w:val="20"/>
        </w:rPr>
        <w:t>doivent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recherchés</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priorité.</w:t>
      </w:r>
    </w:p>
    <w:p w14:paraId="60FFD3E8" w14:textId="50903C4F" w:rsidR="008105B4" w:rsidRPr="00B004EE" w:rsidRDefault="008105B4" w:rsidP="00B004EE">
      <w:pPr>
        <w:tabs>
          <w:tab w:val="left" w:pos="0"/>
          <w:tab w:val="left" w:pos="3070"/>
          <w:tab w:val="left" w:pos="4605"/>
          <w:tab w:val="left" w:pos="6140"/>
          <w:tab w:val="left" w:pos="7675"/>
          <w:tab w:val="left" w:pos="9210"/>
        </w:tabs>
        <w:ind w:left="567" w:hanging="567"/>
        <w:jc w:val="both"/>
        <w:rPr>
          <w:rFonts w:ascii="Tahoma" w:hAnsi="Tahoma" w:cs="Tahoma"/>
          <w:sz w:val="20"/>
          <w:szCs w:val="20"/>
        </w:rPr>
      </w:pPr>
      <w:r w:rsidRPr="00B004EE">
        <w:rPr>
          <w:rFonts w:ascii="Tahoma" w:hAnsi="Tahoma" w:cs="Tahoma"/>
          <w:sz w:val="20"/>
          <w:szCs w:val="20"/>
        </w:rPr>
        <w:t>Note</w:t>
      </w:r>
      <w:r w:rsidR="00DB1635" w:rsidRPr="00B004EE">
        <w:rPr>
          <w:rFonts w:ascii="Tahoma" w:hAnsi="Tahoma" w:cs="Tahoma"/>
          <w:sz w:val="20"/>
          <w:szCs w:val="20"/>
        </w:rPr>
        <w:t xml:space="preserve"> </w:t>
      </w:r>
      <w:r w:rsidRPr="00B004EE">
        <w:rPr>
          <w:rFonts w:ascii="Tahoma" w:hAnsi="Tahoma" w:cs="Tahoma"/>
          <w:sz w:val="20"/>
          <w:szCs w:val="20"/>
        </w:rPr>
        <w:t>6</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Seulement</w:t>
      </w:r>
      <w:r w:rsidR="00DB1635" w:rsidRPr="00B004EE">
        <w:rPr>
          <w:rFonts w:ascii="Tahoma" w:hAnsi="Tahoma" w:cs="Tahoma"/>
          <w:sz w:val="20"/>
          <w:szCs w:val="20"/>
        </w:rPr>
        <w:t xml:space="preserve"> </w:t>
      </w:r>
      <w:r w:rsidRPr="00B004EE">
        <w:rPr>
          <w:rFonts w:ascii="Tahoma" w:hAnsi="Tahoma" w:cs="Tahoma"/>
          <w:sz w:val="20"/>
          <w:szCs w:val="20"/>
        </w:rPr>
        <w:t>nécessaire</w:t>
      </w:r>
      <w:r w:rsidR="00DB1635" w:rsidRPr="00B004EE">
        <w:rPr>
          <w:rFonts w:ascii="Tahoma" w:hAnsi="Tahoma" w:cs="Tahoma"/>
          <w:sz w:val="20"/>
          <w:szCs w:val="20"/>
        </w:rPr>
        <w:t xml:space="preserve"> </w:t>
      </w:r>
      <w:r w:rsidRPr="00B004EE">
        <w:rPr>
          <w:rFonts w:ascii="Tahoma" w:hAnsi="Tahoma" w:cs="Tahoma"/>
          <w:sz w:val="20"/>
          <w:szCs w:val="20"/>
        </w:rPr>
        <w:t>lorsque</w:t>
      </w:r>
      <w:r w:rsidR="00DB1635" w:rsidRPr="00B004EE">
        <w:rPr>
          <w:rFonts w:ascii="Tahoma" w:hAnsi="Tahoma" w:cs="Tahoma"/>
          <w:sz w:val="20"/>
          <w:szCs w:val="20"/>
        </w:rPr>
        <w:t xml:space="preserve"> </w:t>
      </w:r>
      <w:r w:rsidRPr="00B004EE">
        <w:rPr>
          <w:rFonts w:ascii="Tahoma" w:hAnsi="Tahoma" w:cs="Tahoma"/>
          <w:sz w:val="20"/>
          <w:szCs w:val="20"/>
        </w:rPr>
        <w:t>l’eau</w:t>
      </w:r>
      <w:r w:rsidR="00DB1635" w:rsidRPr="00B004EE">
        <w:rPr>
          <w:rFonts w:ascii="Tahoma" w:hAnsi="Tahoma" w:cs="Tahoma"/>
          <w:sz w:val="20"/>
          <w:szCs w:val="20"/>
        </w:rPr>
        <w:t xml:space="preserve"> </w:t>
      </w:r>
      <w:r w:rsidRPr="00B004EE">
        <w:rPr>
          <w:rFonts w:ascii="Tahoma" w:hAnsi="Tahoma" w:cs="Tahoma"/>
          <w:sz w:val="20"/>
          <w:szCs w:val="20"/>
        </w:rPr>
        <w:t>a</w:t>
      </w:r>
      <w:r w:rsidR="00DB1635" w:rsidRPr="00B004EE">
        <w:rPr>
          <w:rFonts w:ascii="Tahoma" w:hAnsi="Tahoma" w:cs="Tahoma"/>
          <w:sz w:val="20"/>
          <w:szCs w:val="20"/>
        </w:rPr>
        <w:t xml:space="preserve"> </w:t>
      </w:r>
      <w:r w:rsidR="002B5360" w:rsidRPr="00B004EE">
        <w:rPr>
          <w:rFonts w:ascii="Tahoma" w:hAnsi="Tahoma" w:cs="Tahoma"/>
          <w:sz w:val="20"/>
          <w:szCs w:val="20"/>
        </w:rPr>
        <w:t>subi</w:t>
      </w:r>
      <w:r w:rsidR="00DB1635" w:rsidRPr="00B004EE">
        <w:rPr>
          <w:rFonts w:ascii="Tahoma" w:hAnsi="Tahoma" w:cs="Tahoma"/>
          <w:sz w:val="20"/>
          <w:szCs w:val="20"/>
        </w:rPr>
        <w:t xml:space="preserve"> </w:t>
      </w: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traitement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002B5360" w:rsidRPr="00B004EE">
        <w:rPr>
          <w:rFonts w:ascii="Tahoma" w:hAnsi="Tahoma" w:cs="Tahoma"/>
          <w:sz w:val="20"/>
          <w:szCs w:val="20"/>
        </w:rPr>
        <w:t>désinfection.</w:t>
      </w:r>
    </w:p>
    <w:p w14:paraId="517163FD" w14:textId="77777777" w:rsidR="008105B4" w:rsidRPr="00B004EE" w:rsidRDefault="008105B4" w:rsidP="00B004EE">
      <w:pPr>
        <w:jc w:val="both"/>
        <w:rPr>
          <w:rFonts w:ascii="Tahoma" w:hAnsi="Tahoma" w:cs="Tahoma"/>
          <w:sz w:val="20"/>
          <w:szCs w:val="20"/>
        </w:rPr>
      </w:pPr>
    </w:p>
    <w:p w14:paraId="0615D2A8" w14:textId="2CBD5E6C" w:rsidR="008105B4" w:rsidRPr="00B004EE" w:rsidRDefault="008105B4" w:rsidP="00B004EE">
      <w:pPr>
        <w:jc w:val="both"/>
        <w:rPr>
          <w:rFonts w:ascii="Tahoma" w:hAnsi="Tahoma" w:cs="Tahoma"/>
          <w:sz w:val="20"/>
          <w:szCs w:val="20"/>
        </w:rPr>
      </w:pPr>
      <w:r w:rsidRPr="00B004EE">
        <w:rPr>
          <w:rFonts w:ascii="Tahoma" w:hAnsi="Tahoma" w:cs="Tahoma"/>
          <w:b/>
          <w:bCs/>
          <w:sz w:val="20"/>
          <w:szCs w:val="20"/>
        </w:rPr>
        <w:t>II.3.</w:t>
      </w:r>
      <w:r w:rsidR="00DB1635" w:rsidRPr="00B004EE">
        <w:rPr>
          <w:rFonts w:ascii="Tahoma" w:hAnsi="Tahoma" w:cs="Tahoma"/>
          <w:b/>
          <w:bCs/>
          <w:sz w:val="20"/>
          <w:szCs w:val="20"/>
        </w:rPr>
        <w:t xml:space="preserve"> </w:t>
      </w:r>
      <w:r w:rsidRPr="00B004EE">
        <w:rPr>
          <w:rFonts w:ascii="Tahoma" w:hAnsi="Tahoma" w:cs="Tahoma"/>
          <w:b/>
          <w:bCs/>
          <w:sz w:val="20"/>
          <w:szCs w:val="20"/>
        </w:rPr>
        <w:t>Fréquences</w:t>
      </w:r>
      <w:r w:rsidR="00DB1635" w:rsidRPr="00B004EE">
        <w:rPr>
          <w:rFonts w:ascii="Tahoma" w:hAnsi="Tahoma" w:cs="Tahoma"/>
          <w:b/>
          <w:bCs/>
          <w:sz w:val="20"/>
          <w:szCs w:val="20"/>
        </w:rPr>
        <w:t xml:space="preserve"> </w:t>
      </w:r>
      <w:r w:rsidRPr="00B004EE">
        <w:rPr>
          <w:rFonts w:ascii="Tahoma" w:hAnsi="Tahoma" w:cs="Tahoma"/>
          <w:b/>
          <w:bCs/>
          <w:sz w:val="20"/>
          <w:szCs w:val="20"/>
        </w:rPr>
        <w:t>minimales</w:t>
      </w:r>
      <w:r w:rsidR="00DB1635" w:rsidRPr="00B004EE">
        <w:rPr>
          <w:rFonts w:ascii="Tahoma" w:hAnsi="Tahoma" w:cs="Tahoma"/>
          <w:b/>
          <w:bCs/>
          <w:sz w:val="20"/>
          <w:szCs w:val="20"/>
        </w:rPr>
        <w:t xml:space="preserve"> </w:t>
      </w:r>
      <w:r w:rsidRPr="00B004EE">
        <w:rPr>
          <w:rFonts w:ascii="Tahoma" w:hAnsi="Tahoma" w:cs="Tahoma"/>
          <w:b/>
          <w:bCs/>
          <w:sz w:val="20"/>
          <w:szCs w:val="20"/>
        </w:rPr>
        <w:t>de</w:t>
      </w:r>
      <w:r w:rsidR="00DB1635" w:rsidRPr="00B004EE">
        <w:rPr>
          <w:rFonts w:ascii="Tahoma" w:hAnsi="Tahoma" w:cs="Tahoma"/>
          <w:b/>
          <w:bCs/>
          <w:sz w:val="20"/>
          <w:szCs w:val="20"/>
        </w:rPr>
        <w:t xml:space="preserve"> </w:t>
      </w:r>
      <w:r w:rsidRPr="00B004EE">
        <w:rPr>
          <w:rFonts w:ascii="Tahoma" w:hAnsi="Tahoma" w:cs="Tahoma"/>
          <w:b/>
          <w:bCs/>
          <w:sz w:val="20"/>
          <w:szCs w:val="20"/>
        </w:rPr>
        <w:t>prélèvement</w:t>
      </w:r>
      <w:r w:rsidR="00DB1635" w:rsidRPr="00B004EE">
        <w:rPr>
          <w:rFonts w:ascii="Tahoma" w:hAnsi="Tahoma" w:cs="Tahoma"/>
          <w:b/>
          <w:bCs/>
          <w:sz w:val="20"/>
          <w:szCs w:val="20"/>
        </w:rPr>
        <w:t xml:space="preserve"> </w:t>
      </w:r>
      <w:r w:rsidRPr="00B004EE">
        <w:rPr>
          <w:rFonts w:ascii="Tahoma" w:hAnsi="Tahoma" w:cs="Tahoma"/>
          <w:b/>
          <w:bCs/>
          <w:sz w:val="20"/>
          <w:szCs w:val="20"/>
        </w:rPr>
        <w:t>des</w:t>
      </w:r>
      <w:r w:rsidR="00DB1635" w:rsidRPr="00B004EE">
        <w:rPr>
          <w:rFonts w:ascii="Tahoma" w:hAnsi="Tahoma" w:cs="Tahoma"/>
          <w:b/>
          <w:bCs/>
          <w:sz w:val="20"/>
          <w:szCs w:val="20"/>
        </w:rPr>
        <w:t xml:space="preserve"> </w:t>
      </w:r>
      <w:r w:rsidRPr="00B004EE">
        <w:rPr>
          <w:rFonts w:ascii="Tahoma" w:hAnsi="Tahoma" w:cs="Tahoma"/>
          <w:b/>
          <w:bCs/>
          <w:sz w:val="20"/>
          <w:szCs w:val="20"/>
        </w:rPr>
        <w:t>échantillons</w:t>
      </w:r>
      <w:r w:rsidR="00DB1635" w:rsidRPr="00B004EE">
        <w:rPr>
          <w:rFonts w:ascii="Tahoma" w:hAnsi="Tahoma" w:cs="Tahoma"/>
          <w:b/>
          <w:bCs/>
          <w:sz w:val="20"/>
          <w:szCs w:val="20"/>
        </w:rPr>
        <w:t xml:space="preserve"> </w:t>
      </w:r>
      <w:r w:rsidRPr="00B004EE">
        <w:rPr>
          <w:rFonts w:ascii="Tahoma" w:hAnsi="Tahoma" w:cs="Tahoma"/>
          <w:b/>
          <w:bCs/>
          <w:sz w:val="20"/>
          <w:szCs w:val="20"/>
        </w:rPr>
        <w:t>et</w:t>
      </w:r>
      <w:r w:rsidR="00DB1635" w:rsidRPr="00B004EE">
        <w:rPr>
          <w:rFonts w:ascii="Tahoma" w:hAnsi="Tahoma" w:cs="Tahoma"/>
          <w:b/>
          <w:bCs/>
          <w:sz w:val="20"/>
          <w:szCs w:val="20"/>
        </w:rPr>
        <w:t xml:space="preserve"> </w:t>
      </w:r>
      <w:r w:rsidRPr="00B004EE">
        <w:rPr>
          <w:rFonts w:ascii="Tahoma" w:hAnsi="Tahoma" w:cs="Tahoma"/>
          <w:b/>
          <w:bCs/>
          <w:sz w:val="20"/>
          <w:szCs w:val="20"/>
        </w:rPr>
        <w:t>des</w:t>
      </w:r>
      <w:r w:rsidR="00DB1635" w:rsidRPr="00B004EE">
        <w:rPr>
          <w:rFonts w:ascii="Tahoma" w:hAnsi="Tahoma" w:cs="Tahoma"/>
          <w:b/>
          <w:bCs/>
          <w:sz w:val="20"/>
          <w:szCs w:val="20"/>
        </w:rPr>
        <w:t xml:space="preserve"> </w:t>
      </w:r>
      <w:r w:rsidRPr="00B004EE">
        <w:rPr>
          <w:rFonts w:ascii="Tahoma" w:hAnsi="Tahoma" w:cs="Tahoma"/>
          <w:b/>
          <w:bCs/>
          <w:sz w:val="20"/>
          <w:szCs w:val="20"/>
        </w:rPr>
        <w:t>analyses</w:t>
      </w:r>
      <w:r w:rsidR="00DB1635" w:rsidRPr="00B004EE">
        <w:rPr>
          <w:rFonts w:ascii="Tahoma" w:hAnsi="Tahoma" w:cs="Tahoma"/>
          <w:b/>
          <w:bCs/>
          <w:sz w:val="20"/>
          <w:szCs w:val="20"/>
        </w:rPr>
        <w:t xml:space="preserve"> </w:t>
      </w:r>
      <w:r w:rsidRPr="00B004EE">
        <w:rPr>
          <w:rFonts w:ascii="Tahoma" w:hAnsi="Tahoma" w:cs="Tahoma"/>
          <w:b/>
          <w:bCs/>
          <w:sz w:val="20"/>
          <w:szCs w:val="20"/>
        </w:rPr>
        <w:t>pour</w:t>
      </w:r>
      <w:r w:rsidR="00DB1635" w:rsidRPr="00B004EE">
        <w:rPr>
          <w:rFonts w:ascii="Tahoma" w:hAnsi="Tahoma" w:cs="Tahoma"/>
          <w:b/>
          <w:bCs/>
          <w:sz w:val="20"/>
          <w:szCs w:val="20"/>
        </w:rPr>
        <w:t xml:space="preserve"> </w:t>
      </w:r>
      <w:r w:rsidRPr="00B004EE">
        <w:rPr>
          <w:rFonts w:ascii="Tahoma" w:hAnsi="Tahoma" w:cs="Tahoma"/>
          <w:b/>
          <w:bCs/>
          <w:sz w:val="20"/>
          <w:szCs w:val="20"/>
        </w:rPr>
        <w:t>les</w:t>
      </w:r>
      <w:r w:rsidR="00DB1635" w:rsidRPr="00B004EE">
        <w:rPr>
          <w:rFonts w:ascii="Tahoma" w:hAnsi="Tahoma" w:cs="Tahoma"/>
          <w:b/>
          <w:bCs/>
          <w:sz w:val="20"/>
          <w:szCs w:val="20"/>
        </w:rPr>
        <w:t xml:space="preserve"> </w:t>
      </w:r>
      <w:r w:rsidRPr="00B004EE">
        <w:rPr>
          <w:rFonts w:ascii="Tahoma" w:hAnsi="Tahoma" w:cs="Tahoma"/>
          <w:b/>
          <w:bCs/>
          <w:sz w:val="20"/>
          <w:szCs w:val="20"/>
        </w:rPr>
        <w:t>eaux</w:t>
      </w:r>
      <w:r w:rsidR="00DB1635" w:rsidRPr="00B004EE">
        <w:rPr>
          <w:rFonts w:ascii="Tahoma" w:hAnsi="Tahoma" w:cs="Tahoma"/>
          <w:b/>
          <w:bCs/>
          <w:sz w:val="20"/>
          <w:szCs w:val="20"/>
        </w:rPr>
        <w:t xml:space="preserve"> </w:t>
      </w:r>
      <w:r w:rsidRPr="00B004EE">
        <w:rPr>
          <w:rFonts w:ascii="Tahoma" w:hAnsi="Tahoma" w:cs="Tahoma"/>
          <w:b/>
          <w:bCs/>
          <w:sz w:val="20"/>
          <w:szCs w:val="20"/>
        </w:rPr>
        <w:t>utilisées</w:t>
      </w:r>
      <w:r w:rsidR="00DB1635" w:rsidRPr="00B004EE">
        <w:rPr>
          <w:rFonts w:ascii="Tahoma" w:hAnsi="Tahoma" w:cs="Tahoma"/>
          <w:b/>
          <w:bCs/>
          <w:sz w:val="20"/>
          <w:szCs w:val="20"/>
        </w:rPr>
        <w:t xml:space="preserve"> </w:t>
      </w:r>
      <w:r w:rsidRPr="00B004EE">
        <w:rPr>
          <w:rFonts w:ascii="Tahoma" w:hAnsi="Tahoma" w:cs="Tahoma"/>
          <w:b/>
          <w:bCs/>
          <w:sz w:val="20"/>
          <w:szCs w:val="20"/>
        </w:rPr>
        <w:t>dans</w:t>
      </w:r>
      <w:r w:rsidR="00DB1635" w:rsidRPr="00B004EE">
        <w:rPr>
          <w:rFonts w:ascii="Tahoma" w:hAnsi="Tahoma" w:cs="Tahoma"/>
          <w:b/>
          <w:bCs/>
          <w:sz w:val="20"/>
          <w:szCs w:val="20"/>
        </w:rPr>
        <w:t xml:space="preserve"> </w:t>
      </w:r>
      <w:r w:rsidRPr="00B004EE">
        <w:rPr>
          <w:rFonts w:ascii="Tahoma" w:hAnsi="Tahoma" w:cs="Tahoma"/>
          <w:b/>
          <w:bCs/>
          <w:sz w:val="20"/>
          <w:szCs w:val="20"/>
        </w:rPr>
        <w:t>une</w:t>
      </w:r>
      <w:r w:rsidR="00DB1635" w:rsidRPr="00B004EE">
        <w:rPr>
          <w:rFonts w:ascii="Tahoma" w:hAnsi="Tahoma" w:cs="Tahoma"/>
          <w:b/>
          <w:bCs/>
          <w:sz w:val="20"/>
          <w:szCs w:val="20"/>
        </w:rPr>
        <w:t xml:space="preserve"> </w:t>
      </w:r>
      <w:r w:rsidRPr="00B004EE">
        <w:rPr>
          <w:rFonts w:ascii="Tahoma" w:hAnsi="Tahoma" w:cs="Tahoma"/>
          <w:b/>
          <w:bCs/>
          <w:sz w:val="20"/>
          <w:szCs w:val="20"/>
        </w:rPr>
        <w:t>entreprise</w:t>
      </w:r>
      <w:r w:rsidR="00DB1635" w:rsidRPr="00B004EE">
        <w:rPr>
          <w:rFonts w:ascii="Tahoma" w:hAnsi="Tahoma" w:cs="Tahoma"/>
          <w:b/>
          <w:bCs/>
          <w:sz w:val="20"/>
          <w:szCs w:val="20"/>
        </w:rPr>
        <w:t xml:space="preserve"> </w:t>
      </w:r>
      <w:r w:rsidRPr="00B004EE">
        <w:rPr>
          <w:rFonts w:ascii="Tahoma" w:hAnsi="Tahoma" w:cs="Tahoma"/>
          <w:b/>
          <w:bCs/>
          <w:sz w:val="20"/>
          <w:szCs w:val="20"/>
        </w:rPr>
        <w:t>alimentaire</w:t>
      </w:r>
    </w:p>
    <w:p w14:paraId="0E3F202C" w14:textId="77777777" w:rsidR="008105B4" w:rsidRPr="00B004EE" w:rsidRDefault="008105B4" w:rsidP="00B004EE">
      <w:pPr>
        <w:jc w:val="both"/>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6"/>
        <w:gridCol w:w="3130"/>
        <w:gridCol w:w="3130"/>
      </w:tblGrid>
      <w:tr w:rsidR="00150C90" w:rsidRPr="00B004EE" w14:paraId="136F0D69" w14:textId="77777777" w:rsidTr="001E7C3C">
        <w:tc>
          <w:tcPr>
            <w:tcW w:w="3182" w:type="dxa"/>
          </w:tcPr>
          <w:p w14:paraId="26C1E0BF" w14:textId="1B4A0CCD" w:rsidR="008105B4" w:rsidRPr="00B004EE" w:rsidRDefault="008105B4" w:rsidP="00B004EE">
            <w:pPr>
              <w:jc w:val="both"/>
              <w:rPr>
                <w:rFonts w:ascii="Tahoma" w:hAnsi="Tahoma" w:cs="Tahoma"/>
                <w:sz w:val="20"/>
                <w:szCs w:val="20"/>
              </w:rPr>
            </w:pPr>
            <w:r w:rsidRPr="00B004EE">
              <w:rPr>
                <w:rFonts w:ascii="Tahoma" w:hAnsi="Tahoma" w:cs="Tahoma"/>
                <w:sz w:val="20"/>
                <w:szCs w:val="20"/>
              </w:rPr>
              <w:t>Volume</w:t>
            </w:r>
            <w:r w:rsidR="00DB1635" w:rsidRPr="00B004EE">
              <w:rPr>
                <w:rFonts w:ascii="Tahoma" w:hAnsi="Tahoma" w:cs="Tahoma"/>
                <w:sz w:val="20"/>
                <w:szCs w:val="20"/>
              </w:rPr>
              <w:t xml:space="preserve"> </w:t>
            </w:r>
            <w:r w:rsidRPr="00B004EE">
              <w:rPr>
                <w:rFonts w:ascii="Tahoma" w:hAnsi="Tahoma" w:cs="Tahoma"/>
                <w:sz w:val="20"/>
                <w:szCs w:val="20"/>
              </w:rPr>
              <w:t>d’eau</w:t>
            </w:r>
            <w:r w:rsidR="00DB1635" w:rsidRPr="00B004EE">
              <w:rPr>
                <w:rFonts w:ascii="Tahoma" w:hAnsi="Tahoma" w:cs="Tahoma"/>
                <w:sz w:val="20"/>
                <w:szCs w:val="20"/>
              </w:rPr>
              <w:t xml:space="preserve"> </w:t>
            </w:r>
            <w:r w:rsidRPr="00B004EE">
              <w:rPr>
                <w:rFonts w:ascii="Tahoma" w:hAnsi="Tahoma" w:cs="Tahoma"/>
                <w:sz w:val="20"/>
                <w:szCs w:val="20"/>
              </w:rPr>
              <w:t>utilisée</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jour</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l’intérieur</w:t>
            </w:r>
            <w:r w:rsidR="00DB1635" w:rsidRPr="00B004EE">
              <w:rPr>
                <w:rFonts w:ascii="Tahoma" w:hAnsi="Tahoma" w:cs="Tahoma"/>
                <w:sz w:val="20"/>
                <w:szCs w:val="20"/>
              </w:rPr>
              <w:t xml:space="preserve"> </w:t>
            </w:r>
            <w:r w:rsidRPr="00B004EE">
              <w:rPr>
                <w:rFonts w:ascii="Tahoma" w:hAnsi="Tahoma" w:cs="Tahoma"/>
                <w:sz w:val="20"/>
                <w:szCs w:val="20"/>
              </w:rPr>
              <w:t>d’une</w:t>
            </w:r>
            <w:r w:rsidR="00DB1635" w:rsidRPr="00B004EE">
              <w:rPr>
                <w:rFonts w:ascii="Tahoma" w:hAnsi="Tahoma" w:cs="Tahoma"/>
                <w:sz w:val="20"/>
                <w:szCs w:val="20"/>
              </w:rPr>
              <w:t xml:space="preserve"> </w:t>
            </w:r>
            <w:r w:rsidRPr="00B004EE">
              <w:rPr>
                <w:rFonts w:ascii="Tahoma" w:hAnsi="Tahoma" w:cs="Tahoma"/>
                <w:sz w:val="20"/>
                <w:szCs w:val="20"/>
              </w:rPr>
              <w:t>zone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distribution</w:t>
            </w:r>
            <w:r w:rsidR="00DB1635" w:rsidRPr="00B004EE">
              <w:rPr>
                <w:rFonts w:ascii="Tahoma" w:hAnsi="Tahoma" w:cs="Tahoma"/>
                <w:sz w:val="20"/>
                <w:szCs w:val="20"/>
              </w:rPr>
              <w:t xml:space="preserve"> </w:t>
            </w:r>
            <w:r w:rsidRPr="00B004EE">
              <w:rPr>
                <w:rFonts w:ascii="Tahoma" w:hAnsi="Tahoma" w:cs="Tahoma"/>
                <w:sz w:val="20"/>
                <w:szCs w:val="20"/>
              </w:rPr>
              <w:t>(Note</w:t>
            </w:r>
            <w:r w:rsidR="00DB1635" w:rsidRPr="00B004EE">
              <w:rPr>
                <w:rFonts w:ascii="Tahoma" w:hAnsi="Tahoma" w:cs="Tahoma"/>
                <w:sz w:val="20"/>
                <w:szCs w:val="20"/>
              </w:rPr>
              <w:t xml:space="preserve"> </w:t>
            </w:r>
            <w:r w:rsidRPr="00B004EE">
              <w:rPr>
                <w:rFonts w:ascii="Tahoma" w:hAnsi="Tahoma" w:cs="Tahoma"/>
                <w:sz w:val="20"/>
                <w:szCs w:val="20"/>
              </w:rPr>
              <w:t>1)</w:t>
            </w:r>
          </w:p>
        </w:tc>
        <w:tc>
          <w:tcPr>
            <w:tcW w:w="3182" w:type="dxa"/>
          </w:tcPr>
          <w:p w14:paraId="76D7D208" w14:textId="0FAD37A0" w:rsidR="008105B4" w:rsidRPr="00B004EE" w:rsidRDefault="008105B4" w:rsidP="00B004EE">
            <w:pPr>
              <w:jc w:val="both"/>
              <w:rPr>
                <w:rFonts w:ascii="Tahoma" w:hAnsi="Tahoma" w:cs="Tahoma"/>
                <w:sz w:val="20"/>
                <w:szCs w:val="20"/>
              </w:rPr>
            </w:pPr>
            <w:r w:rsidRPr="00B004EE">
              <w:rPr>
                <w:rFonts w:ascii="Tahoma" w:hAnsi="Tahoma" w:cs="Tahoma"/>
                <w:sz w:val="20"/>
                <w:szCs w:val="20"/>
              </w:rPr>
              <w:t>Contrôle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routine</w:t>
            </w:r>
          </w:p>
          <w:p w14:paraId="50A16428" w14:textId="4EEAB172" w:rsidR="008105B4" w:rsidRPr="00B004EE" w:rsidRDefault="008105B4" w:rsidP="00B004EE">
            <w:pPr>
              <w:jc w:val="both"/>
              <w:rPr>
                <w:rFonts w:ascii="Tahoma" w:hAnsi="Tahoma" w:cs="Tahoma"/>
                <w:sz w:val="20"/>
                <w:szCs w:val="20"/>
              </w:rPr>
            </w:pPr>
            <w:r w:rsidRPr="00B004EE">
              <w:rPr>
                <w:rFonts w:ascii="Tahoma" w:hAnsi="Tahoma" w:cs="Tahoma"/>
                <w:sz w:val="20"/>
                <w:szCs w:val="20"/>
              </w:rPr>
              <w:t>(Notes</w:t>
            </w:r>
            <w:r w:rsidR="00DB1635" w:rsidRPr="00B004EE">
              <w:rPr>
                <w:rFonts w:ascii="Tahoma" w:hAnsi="Tahoma" w:cs="Tahoma"/>
                <w:sz w:val="20"/>
                <w:szCs w:val="20"/>
              </w:rPr>
              <w:t xml:space="preserve"> </w:t>
            </w:r>
            <w:r w:rsidRPr="00B004EE">
              <w:rPr>
                <w:rFonts w:ascii="Tahoma" w:hAnsi="Tahoma" w:cs="Tahoma"/>
                <w:sz w:val="20"/>
                <w:szCs w:val="20"/>
              </w:rPr>
              <w:t>2</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3)</w:t>
            </w:r>
          </w:p>
        </w:tc>
        <w:tc>
          <w:tcPr>
            <w:tcW w:w="3182" w:type="dxa"/>
          </w:tcPr>
          <w:p w14:paraId="5A8C380F" w14:textId="331CDBDC" w:rsidR="008105B4" w:rsidRPr="00B004EE" w:rsidRDefault="008105B4" w:rsidP="00B004EE">
            <w:pPr>
              <w:jc w:val="both"/>
              <w:rPr>
                <w:rFonts w:ascii="Tahoma" w:hAnsi="Tahoma" w:cs="Tahoma"/>
                <w:sz w:val="20"/>
                <w:szCs w:val="20"/>
              </w:rPr>
            </w:pPr>
            <w:r w:rsidRPr="00B004EE">
              <w:rPr>
                <w:rFonts w:ascii="Tahoma" w:hAnsi="Tahoma" w:cs="Tahoma"/>
                <w:sz w:val="20"/>
                <w:szCs w:val="20"/>
              </w:rPr>
              <w:t>Contrôle</w:t>
            </w:r>
            <w:r w:rsidR="00DB1635" w:rsidRPr="00B004EE">
              <w:rPr>
                <w:rFonts w:ascii="Tahoma" w:hAnsi="Tahoma" w:cs="Tahoma"/>
                <w:sz w:val="20"/>
                <w:szCs w:val="20"/>
              </w:rPr>
              <w:t xml:space="preserve"> </w:t>
            </w:r>
            <w:r w:rsidRPr="00B004EE">
              <w:rPr>
                <w:rFonts w:ascii="Tahoma" w:hAnsi="Tahoma" w:cs="Tahoma"/>
                <w:sz w:val="20"/>
                <w:szCs w:val="20"/>
              </w:rPr>
              <w:t>complet</w:t>
            </w:r>
          </w:p>
          <w:p w14:paraId="504F7602" w14:textId="4CDE61FF" w:rsidR="008105B4" w:rsidRPr="00B004EE" w:rsidRDefault="008105B4" w:rsidP="00B004EE">
            <w:pPr>
              <w:jc w:val="both"/>
              <w:rPr>
                <w:rFonts w:ascii="Tahoma" w:hAnsi="Tahoma" w:cs="Tahoma"/>
                <w:sz w:val="20"/>
                <w:szCs w:val="20"/>
              </w:rPr>
            </w:pPr>
            <w:r w:rsidRPr="00B004EE">
              <w:rPr>
                <w:rFonts w:ascii="Tahoma" w:hAnsi="Tahoma" w:cs="Tahoma"/>
                <w:sz w:val="20"/>
                <w:szCs w:val="20"/>
              </w:rPr>
              <w:t>(Notes</w:t>
            </w:r>
            <w:r w:rsidR="00DB1635" w:rsidRPr="00B004EE">
              <w:rPr>
                <w:rFonts w:ascii="Tahoma" w:hAnsi="Tahoma" w:cs="Tahoma"/>
                <w:sz w:val="20"/>
                <w:szCs w:val="20"/>
              </w:rPr>
              <w:t xml:space="preserve"> </w:t>
            </w:r>
            <w:r w:rsidRPr="00B004EE">
              <w:rPr>
                <w:rFonts w:ascii="Tahoma" w:hAnsi="Tahoma" w:cs="Tahoma"/>
                <w:sz w:val="20"/>
                <w:szCs w:val="20"/>
              </w:rPr>
              <w:t>2</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3)</w:t>
            </w:r>
          </w:p>
        </w:tc>
      </w:tr>
      <w:tr w:rsidR="00150C90" w:rsidRPr="00B004EE" w14:paraId="2990A59F" w14:textId="77777777" w:rsidTr="001E7C3C">
        <w:tc>
          <w:tcPr>
            <w:tcW w:w="3182" w:type="dxa"/>
          </w:tcPr>
          <w:p w14:paraId="26623117" w14:textId="63956EA7" w:rsidR="008105B4" w:rsidRPr="00B004EE" w:rsidRDefault="008105B4" w:rsidP="00B004EE">
            <w:pPr>
              <w:jc w:val="both"/>
              <w:rPr>
                <w:rFonts w:ascii="Tahoma" w:hAnsi="Tahoma" w:cs="Tahoma"/>
                <w:sz w:val="20"/>
                <w:szCs w:val="20"/>
              </w:rPr>
            </w:pP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100</w:t>
            </w:r>
            <w:r w:rsidR="00DB1635" w:rsidRPr="00B004EE">
              <w:rPr>
                <w:rFonts w:ascii="Tahoma" w:hAnsi="Tahoma" w:cs="Tahoma"/>
                <w:sz w:val="20"/>
                <w:szCs w:val="20"/>
              </w:rPr>
              <w:t xml:space="preserve"> </w:t>
            </w:r>
            <w:r w:rsidRPr="00B004EE">
              <w:rPr>
                <w:rFonts w:ascii="Tahoma" w:hAnsi="Tahoma" w:cs="Tahoma"/>
                <w:sz w:val="20"/>
                <w:szCs w:val="20"/>
              </w:rPr>
              <w:t>m</w:t>
            </w:r>
            <w:r w:rsidRPr="00B004EE">
              <w:rPr>
                <w:rFonts w:ascii="Tahoma" w:hAnsi="Tahoma" w:cs="Tahoma"/>
                <w:sz w:val="20"/>
                <w:szCs w:val="20"/>
                <w:vertAlign w:val="superscript"/>
              </w:rPr>
              <w:t>3</w:t>
            </w:r>
          </w:p>
        </w:tc>
        <w:tc>
          <w:tcPr>
            <w:tcW w:w="3182" w:type="dxa"/>
          </w:tcPr>
          <w:p w14:paraId="2001FED2" w14:textId="6E8610A6" w:rsidR="008105B4" w:rsidRPr="00B004EE" w:rsidRDefault="008105B4" w:rsidP="00B004EE">
            <w:pPr>
              <w:jc w:val="both"/>
              <w:rPr>
                <w:rFonts w:ascii="Tahoma" w:hAnsi="Tahoma" w:cs="Tahoma"/>
                <w:sz w:val="20"/>
                <w:szCs w:val="20"/>
              </w:rPr>
            </w:pPr>
            <w:r w:rsidRPr="00B004EE">
              <w:rPr>
                <w:rFonts w:ascii="Tahoma" w:hAnsi="Tahoma" w:cs="Tahoma"/>
                <w:sz w:val="20"/>
                <w:szCs w:val="20"/>
              </w:rPr>
              <w:t>2</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an</w:t>
            </w:r>
            <w:r w:rsidR="00DB1635" w:rsidRPr="00B004EE">
              <w:rPr>
                <w:rFonts w:ascii="Tahoma" w:hAnsi="Tahoma" w:cs="Tahoma"/>
                <w:sz w:val="20"/>
                <w:szCs w:val="20"/>
              </w:rPr>
              <w:t xml:space="preserve"> </w:t>
            </w:r>
          </w:p>
        </w:tc>
        <w:tc>
          <w:tcPr>
            <w:tcW w:w="3182" w:type="dxa"/>
          </w:tcPr>
          <w:p w14:paraId="0799925D" w14:textId="521E3650" w:rsidR="008105B4" w:rsidRPr="00B004EE" w:rsidRDefault="008105B4" w:rsidP="00B004EE">
            <w:pPr>
              <w:jc w:val="both"/>
              <w:rPr>
                <w:rFonts w:ascii="Tahoma" w:hAnsi="Tahoma" w:cs="Tahoma"/>
                <w:sz w:val="20"/>
                <w:szCs w:val="20"/>
              </w:rPr>
            </w:pPr>
            <w:r w:rsidRPr="00B004EE">
              <w:rPr>
                <w:rFonts w:ascii="Tahoma" w:hAnsi="Tahoma" w:cs="Tahoma"/>
                <w:sz w:val="20"/>
                <w:szCs w:val="20"/>
              </w:rPr>
              <w:t>1</w:t>
            </w:r>
            <w:r w:rsidR="00DB1635" w:rsidRPr="00B004EE">
              <w:rPr>
                <w:rFonts w:ascii="Tahoma" w:hAnsi="Tahoma" w:cs="Tahoma"/>
                <w:sz w:val="20"/>
                <w:szCs w:val="20"/>
              </w:rPr>
              <w:t xml:space="preserve"> </w:t>
            </w:r>
            <w:r w:rsidRPr="00B004EE">
              <w:rPr>
                <w:rFonts w:ascii="Tahoma" w:hAnsi="Tahoma" w:cs="Tahoma"/>
                <w:sz w:val="20"/>
                <w:szCs w:val="20"/>
              </w:rPr>
              <w:t>tous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2</w:t>
            </w:r>
            <w:r w:rsidR="00DB1635" w:rsidRPr="00B004EE">
              <w:rPr>
                <w:rFonts w:ascii="Tahoma" w:hAnsi="Tahoma" w:cs="Tahoma"/>
                <w:sz w:val="20"/>
                <w:szCs w:val="20"/>
              </w:rPr>
              <w:t xml:space="preserve"> </w:t>
            </w:r>
            <w:r w:rsidRPr="00B004EE">
              <w:rPr>
                <w:rFonts w:ascii="Tahoma" w:hAnsi="Tahoma" w:cs="Tahoma"/>
                <w:sz w:val="20"/>
                <w:szCs w:val="20"/>
              </w:rPr>
              <w:t>ans</w:t>
            </w:r>
          </w:p>
        </w:tc>
      </w:tr>
      <w:tr w:rsidR="00150C90" w:rsidRPr="00B004EE" w14:paraId="32F1E7E9" w14:textId="77777777" w:rsidTr="001E7C3C">
        <w:tc>
          <w:tcPr>
            <w:tcW w:w="3182" w:type="dxa"/>
          </w:tcPr>
          <w:p w14:paraId="2D2E8234" w14:textId="15B33A35" w:rsidR="008105B4" w:rsidRPr="00B004EE" w:rsidRDefault="008105B4" w:rsidP="00B004EE">
            <w:pPr>
              <w:jc w:val="both"/>
              <w:rPr>
                <w:rFonts w:ascii="Tahoma" w:hAnsi="Tahoma" w:cs="Tahoma"/>
                <w:sz w:val="20"/>
                <w:szCs w:val="20"/>
              </w:rPr>
            </w:pPr>
            <w:r w:rsidRPr="00B004EE">
              <w:rPr>
                <w:rFonts w:ascii="Tahoma" w:hAnsi="Tahoma" w:cs="Tahoma"/>
                <w:sz w:val="20"/>
                <w:szCs w:val="20"/>
              </w:rPr>
              <w:t>101</w:t>
            </w:r>
            <w:r w:rsidR="00DB1635" w:rsidRPr="00B004EE">
              <w:rPr>
                <w:rFonts w:ascii="Tahoma" w:hAnsi="Tahoma" w:cs="Tahoma"/>
                <w:sz w:val="20"/>
                <w:szCs w:val="20"/>
              </w:rPr>
              <w:t xml:space="preserve"> </w:t>
            </w:r>
            <w:r w:rsidRPr="00B004EE">
              <w:rPr>
                <w:rFonts w:ascii="Tahoma" w:hAnsi="Tahoma" w:cs="Tahoma"/>
                <w:sz w:val="20"/>
                <w:szCs w:val="20"/>
              </w:rPr>
              <w:t>m</w:t>
            </w:r>
            <w:r w:rsidRPr="00B004EE">
              <w:rPr>
                <w:rFonts w:ascii="Tahoma" w:hAnsi="Tahoma" w:cs="Tahoma"/>
                <w:sz w:val="20"/>
                <w:szCs w:val="20"/>
                <w:vertAlign w:val="superscript"/>
              </w:rPr>
              <w:t>3</w:t>
            </w:r>
            <w:r w:rsidR="00DB1635" w:rsidRPr="00B004EE">
              <w:rPr>
                <w:rFonts w:ascii="Tahoma" w:hAnsi="Tahoma" w:cs="Tahoma"/>
                <w:sz w:val="20"/>
                <w:szCs w:val="20"/>
                <w:vertAlign w:val="superscript"/>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1</w:t>
            </w:r>
            <w:r w:rsidR="00DB1635" w:rsidRPr="00B004EE">
              <w:rPr>
                <w:rFonts w:ascii="Tahoma" w:hAnsi="Tahoma" w:cs="Tahoma"/>
                <w:sz w:val="20"/>
                <w:szCs w:val="20"/>
              </w:rPr>
              <w:t xml:space="preserve"> </w:t>
            </w:r>
            <w:r w:rsidRPr="00B004EE">
              <w:rPr>
                <w:rFonts w:ascii="Tahoma" w:hAnsi="Tahoma" w:cs="Tahoma"/>
                <w:sz w:val="20"/>
                <w:szCs w:val="20"/>
              </w:rPr>
              <w:t>000</w:t>
            </w:r>
            <w:r w:rsidR="00DB1635" w:rsidRPr="00B004EE">
              <w:rPr>
                <w:rFonts w:ascii="Tahoma" w:hAnsi="Tahoma" w:cs="Tahoma"/>
                <w:sz w:val="20"/>
                <w:szCs w:val="20"/>
              </w:rPr>
              <w:t xml:space="preserve"> </w:t>
            </w:r>
            <w:r w:rsidRPr="00B004EE">
              <w:rPr>
                <w:rFonts w:ascii="Tahoma" w:hAnsi="Tahoma" w:cs="Tahoma"/>
                <w:sz w:val="20"/>
                <w:szCs w:val="20"/>
              </w:rPr>
              <w:t>m</w:t>
            </w:r>
            <w:r w:rsidRPr="00B004EE">
              <w:rPr>
                <w:rFonts w:ascii="Tahoma" w:hAnsi="Tahoma" w:cs="Tahoma"/>
                <w:sz w:val="20"/>
                <w:szCs w:val="20"/>
                <w:vertAlign w:val="superscript"/>
              </w:rPr>
              <w:t>3</w:t>
            </w:r>
          </w:p>
        </w:tc>
        <w:tc>
          <w:tcPr>
            <w:tcW w:w="3182" w:type="dxa"/>
          </w:tcPr>
          <w:p w14:paraId="6C45DCA1" w14:textId="10116AE3" w:rsidR="008105B4" w:rsidRPr="00B004EE" w:rsidRDefault="008105B4" w:rsidP="00B004EE">
            <w:pPr>
              <w:jc w:val="both"/>
              <w:rPr>
                <w:rFonts w:ascii="Tahoma" w:hAnsi="Tahoma" w:cs="Tahoma"/>
                <w:sz w:val="20"/>
                <w:szCs w:val="20"/>
              </w:rPr>
            </w:pPr>
            <w:r w:rsidRPr="00B004EE">
              <w:rPr>
                <w:rFonts w:ascii="Tahoma" w:hAnsi="Tahoma" w:cs="Tahoma"/>
                <w:sz w:val="20"/>
                <w:szCs w:val="20"/>
              </w:rPr>
              <w:t>4</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an</w:t>
            </w:r>
            <w:r w:rsidR="00DB1635" w:rsidRPr="00B004EE">
              <w:rPr>
                <w:rFonts w:ascii="Tahoma" w:hAnsi="Tahoma" w:cs="Tahoma"/>
                <w:sz w:val="20"/>
                <w:szCs w:val="20"/>
              </w:rPr>
              <w:t xml:space="preserve"> </w:t>
            </w:r>
          </w:p>
        </w:tc>
        <w:tc>
          <w:tcPr>
            <w:tcW w:w="3182" w:type="dxa"/>
          </w:tcPr>
          <w:p w14:paraId="4F2E013A" w14:textId="334856D7" w:rsidR="008105B4" w:rsidRPr="00B004EE" w:rsidRDefault="008105B4" w:rsidP="00B004EE">
            <w:pPr>
              <w:jc w:val="both"/>
              <w:rPr>
                <w:rFonts w:ascii="Tahoma" w:hAnsi="Tahoma" w:cs="Tahoma"/>
                <w:sz w:val="20"/>
                <w:szCs w:val="20"/>
              </w:rPr>
            </w:pPr>
            <w:r w:rsidRPr="00B004EE">
              <w:rPr>
                <w:rFonts w:ascii="Tahoma" w:hAnsi="Tahoma" w:cs="Tahoma"/>
                <w:sz w:val="20"/>
                <w:szCs w:val="20"/>
              </w:rPr>
              <w:t>1</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an</w:t>
            </w:r>
          </w:p>
        </w:tc>
      </w:tr>
      <w:tr w:rsidR="00150C90" w:rsidRPr="00B004EE" w14:paraId="5D5F764C" w14:textId="77777777" w:rsidTr="001E7C3C">
        <w:tc>
          <w:tcPr>
            <w:tcW w:w="3182" w:type="dxa"/>
            <w:vAlign w:val="center"/>
          </w:tcPr>
          <w:p w14:paraId="055AA752" w14:textId="52F44C28" w:rsidR="008105B4" w:rsidRPr="00B004EE" w:rsidRDefault="008105B4" w:rsidP="00B004EE">
            <w:pPr>
              <w:jc w:val="both"/>
              <w:rPr>
                <w:rFonts w:ascii="Tahoma" w:hAnsi="Tahoma" w:cs="Tahoma"/>
                <w:sz w:val="20"/>
                <w:szCs w:val="20"/>
              </w:rPr>
            </w:pPr>
            <w:r w:rsidRPr="00B004EE">
              <w:rPr>
                <w:rFonts w:ascii="Tahoma" w:hAnsi="Tahoma" w:cs="Tahoma"/>
                <w:sz w:val="20"/>
                <w:szCs w:val="20"/>
              </w:rPr>
              <w:t>1</w:t>
            </w:r>
            <w:r w:rsidR="00DB1635" w:rsidRPr="00B004EE">
              <w:rPr>
                <w:rFonts w:ascii="Tahoma" w:hAnsi="Tahoma" w:cs="Tahoma"/>
                <w:sz w:val="20"/>
                <w:szCs w:val="20"/>
              </w:rPr>
              <w:t xml:space="preserve"> </w:t>
            </w:r>
            <w:r w:rsidRPr="00B004EE">
              <w:rPr>
                <w:rFonts w:ascii="Tahoma" w:hAnsi="Tahoma" w:cs="Tahoma"/>
                <w:sz w:val="20"/>
                <w:szCs w:val="20"/>
              </w:rPr>
              <w:t>001</w:t>
            </w:r>
            <w:r w:rsidR="00DB1635" w:rsidRPr="00B004EE">
              <w:rPr>
                <w:rFonts w:ascii="Tahoma" w:hAnsi="Tahoma" w:cs="Tahoma"/>
                <w:sz w:val="20"/>
                <w:szCs w:val="20"/>
              </w:rPr>
              <w:t xml:space="preserve"> </w:t>
            </w:r>
            <w:r w:rsidRPr="00B004EE">
              <w:rPr>
                <w:rFonts w:ascii="Tahoma" w:hAnsi="Tahoma" w:cs="Tahoma"/>
                <w:sz w:val="20"/>
                <w:szCs w:val="20"/>
              </w:rPr>
              <w:t>m</w:t>
            </w:r>
            <w:r w:rsidRPr="00B004EE">
              <w:rPr>
                <w:rFonts w:ascii="Tahoma" w:hAnsi="Tahoma" w:cs="Tahoma"/>
                <w:sz w:val="20"/>
                <w:szCs w:val="20"/>
                <w:vertAlign w:val="superscript"/>
              </w:rPr>
              <w:t>3</w:t>
            </w:r>
            <w:r w:rsidR="00DB1635" w:rsidRPr="00B004EE">
              <w:rPr>
                <w:rFonts w:ascii="Tahoma" w:hAnsi="Tahoma" w:cs="Tahoma"/>
                <w:sz w:val="20"/>
                <w:szCs w:val="20"/>
                <w:vertAlign w:val="superscript"/>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10</w:t>
            </w:r>
            <w:r w:rsidR="00DB1635" w:rsidRPr="00B004EE">
              <w:rPr>
                <w:rFonts w:ascii="Tahoma" w:hAnsi="Tahoma" w:cs="Tahoma"/>
                <w:sz w:val="20"/>
                <w:szCs w:val="20"/>
              </w:rPr>
              <w:t xml:space="preserve"> </w:t>
            </w:r>
            <w:r w:rsidRPr="00B004EE">
              <w:rPr>
                <w:rFonts w:ascii="Tahoma" w:hAnsi="Tahoma" w:cs="Tahoma"/>
                <w:sz w:val="20"/>
                <w:szCs w:val="20"/>
              </w:rPr>
              <w:t>000</w:t>
            </w:r>
            <w:r w:rsidR="00DB1635" w:rsidRPr="00B004EE">
              <w:rPr>
                <w:rFonts w:ascii="Tahoma" w:hAnsi="Tahoma" w:cs="Tahoma"/>
                <w:sz w:val="20"/>
                <w:szCs w:val="20"/>
              </w:rPr>
              <w:t xml:space="preserve"> </w:t>
            </w:r>
            <w:r w:rsidRPr="00B004EE">
              <w:rPr>
                <w:rFonts w:ascii="Tahoma" w:hAnsi="Tahoma" w:cs="Tahoma"/>
                <w:sz w:val="20"/>
                <w:szCs w:val="20"/>
              </w:rPr>
              <w:t>m</w:t>
            </w:r>
            <w:r w:rsidRPr="00B004EE">
              <w:rPr>
                <w:rFonts w:ascii="Tahoma" w:hAnsi="Tahoma" w:cs="Tahoma"/>
                <w:sz w:val="20"/>
                <w:szCs w:val="20"/>
                <w:vertAlign w:val="superscript"/>
              </w:rPr>
              <w:t>3</w:t>
            </w:r>
          </w:p>
        </w:tc>
        <w:tc>
          <w:tcPr>
            <w:tcW w:w="3182" w:type="dxa"/>
          </w:tcPr>
          <w:p w14:paraId="01D1A7D2" w14:textId="0328F399" w:rsidR="008105B4" w:rsidRPr="00B004EE" w:rsidRDefault="008105B4" w:rsidP="00B004EE">
            <w:pPr>
              <w:jc w:val="both"/>
              <w:rPr>
                <w:rFonts w:ascii="Tahoma" w:hAnsi="Tahoma" w:cs="Tahoma"/>
                <w:sz w:val="20"/>
                <w:szCs w:val="20"/>
              </w:rPr>
            </w:pPr>
            <w:r w:rsidRPr="00B004EE">
              <w:rPr>
                <w:rFonts w:ascii="Tahoma" w:hAnsi="Tahoma" w:cs="Tahoma"/>
                <w:sz w:val="20"/>
                <w:szCs w:val="20"/>
              </w:rPr>
              <w:t>4</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an</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4</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tranche</w:t>
            </w:r>
            <w:r w:rsidR="00DB1635" w:rsidRPr="00B004EE">
              <w:rPr>
                <w:rFonts w:ascii="Tahoma" w:hAnsi="Tahoma" w:cs="Tahoma"/>
                <w:sz w:val="20"/>
                <w:szCs w:val="20"/>
              </w:rPr>
              <w:t xml:space="preserve"> </w:t>
            </w:r>
          </w:p>
          <w:p w14:paraId="631FCB26" w14:textId="381CED25" w:rsidR="008105B4" w:rsidRPr="00B004EE" w:rsidRDefault="008105B4" w:rsidP="00B004EE">
            <w:pPr>
              <w:jc w:val="both"/>
              <w:rPr>
                <w:rFonts w:ascii="Tahoma" w:hAnsi="Tahoma" w:cs="Tahoma"/>
                <w:sz w:val="20"/>
                <w:szCs w:val="20"/>
              </w:rPr>
            </w:pP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5000</w:t>
            </w:r>
            <w:r w:rsidR="00DB1635" w:rsidRPr="00B004EE">
              <w:rPr>
                <w:rFonts w:ascii="Tahoma" w:hAnsi="Tahoma" w:cs="Tahoma"/>
                <w:sz w:val="20"/>
                <w:szCs w:val="20"/>
              </w:rPr>
              <w:t xml:space="preserve"> </w:t>
            </w:r>
            <w:r w:rsidRPr="00B004EE">
              <w:rPr>
                <w:rFonts w:ascii="Tahoma" w:hAnsi="Tahoma" w:cs="Tahoma"/>
                <w:sz w:val="20"/>
                <w:szCs w:val="20"/>
              </w:rPr>
              <w:t>m</w:t>
            </w:r>
            <w:r w:rsidRPr="00B004EE">
              <w:rPr>
                <w:rFonts w:ascii="Tahoma" w:hAnsi="Tahoma" w:cs="Tahoma"/>
                <w:sz w:val="20"/>
                <w:szCs w:val="20"/>
                <w:vertAlign w:val="superscript"/>
              </w:rPr>
              <w:t>3</w:t>
            </w:r>
            <w:r w:rsidR="00DB1635" w:rsidRPr="00B004EE">
              <w:rPr>
                <w:rFonts w:ascii="Tahoma" w:hAnsi="Tahoma" w:cs="Tahoma"/>
                <w:sz w:val="20"/>
                <w:szCs w:val="20"/>
                <w:vertAlign w:val="superscript"/>
              </w:rPr>
              <w:t xml:space="preserve"> </w:t>
            </w:r>
            <w:r w:rsidRPr="00B004EE">
              <w:rPr>
                <w:rFonts w:ascii="Tahoma" w:hAnsi="Tahoma" w:cs="Tahoma"/>
                <w:sz w:val="20"/>
                <w:szCs w:val="20"/>
              </w:rPr>
              <w:t>entamée</w:t>
            </w:r>
            <w:r w:rsidR="00DB1635" w:rsidRPr="00B004EE">
              <w:rPr>
                <w:rFonts w:ascii="Tahoma" w:hAnsi="Tahoma" w:cs="Tahoma"/>
                <w:sz w:val="20"/>
                <w:szCs w:val="20"/>
              </w:rPr>
              <w:t xml:space="preserve"> </w:t>
            </w:r>
          </w:p>
        </w:tc>
        <w:tc>
          <w:tcPr>
            <w:tcW w:w="3182" w:type="dxa"/>
          </w:tcPr>
          <w:p w14:paraId="55C162EC" w14:textId="2520978F" w:rsidR="008105B4" w:rsidRPr="00B004EE" w:rsidRDefault="008105B4" w:rsidP="00B004EE">
            <w:pPr>
              <w:jc w:val="both"/>
              <w:rPr>
                <w:rFonts w:ascii="Tahoma" w:hAnsi="Tahoma" w:cs="Tahoma"/>
                <w:sz w:val="20"/>
                <w:szCs w:val="20"/>
              </w:rPr>
            </w:pPr>
            <w:r w:rsidRPr="00B004EE">
              <w:rPr>
                <w:rFonts w:ascii="Tahoma" w:hAnsi="Tahoma" w:cs="Tahoma"/>
                <w:sz w:val="20"/>
                <w:szCs w:val="20"/>
              </w:rPr>
              <w:t>1</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an</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1</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tranche</w:t>
            </w:r>
          </w:p>
          <w:p w14:paraId="76FCDAB6" w14:textId="24E68869" w:rsidR="008105B4" w:rsidRPr="00B004EE" w:rsidRDefault="008105B4" w:rsidP="00B004EE">
            <w:pPr>
              <w:jc w:val="both"/>
              <w:rPr>
                <w:rFonts w:ascii="Tahoma" w:hAnsi="Tahoma" w:cs="Tahoma"/>
                <w:sz w:val="20"/>
                <w:szCs w:val="20"/>
              </w:rPr>
            </w:pP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5000</w:t>
            </w:r>
            <w:r w:rsidR="00DB1635" w:rsidRPr="00B004EE">
              <w:rPr>
                <w:rFonts w:ascii="Tahoma" w:hAnsi="Tahoma" w:cs="Tahoma"/>
                <w:sz w:val="20"/>
                <w:szCs w:val="20"/>
              </w:rPr>
              <w:t xml:space="preserve"> </w:t>
            </w:r>
            <w:r w:rsidRPr="00B004EE">
              <w:rPr>
                <w:rFonts w:ascii="Tahoma" w:hAnsi="Tahoma" w:cs="Tahoma"/>
                <w:sz w:val="20"/>
                <w:szCs w:val="20"/>
              </w:rPr>
              <w:t>m</w:t>
            </w:r>
            <w:r w:rsidRPr="00B004EE">
              <w:rPr>
                <w:rFonts w:ascii="Tahoma" w:hAnsi="Tahoma" w:cs="Tahoma"/>
                <w:sz w:val="20"/>
                <w:szCs w:val="20"/>
                <w:vertAlign w:val="superscript"/>
              </w:rPr>
              <w:t>3</w:t>
            </w:r>
            <w:r w:rsidR="00DB1635" w:rsidRPr="00B004EE">
              <w:rPr>
                <w:rFonts w:ascii="Tahoma" w:hAnsi="Tahoma" w:cs="Tahoma"/>
                <w:sz w:val="20"/>
                <w:szCs w:val="20"/>
                <w:vertAlign w:val="superscript"/>
              </w:rPr>
              <w:t xml:space="preserve"> </w:t>
            </w:r>
            <w:r w:rsidRPr="00B004EE">
              <w:rPr>
                <w:rFonts w:ascii="Tahoma" w:hAnsi="Tahoma" w:cs="Tahoma"/>
                <w:sz w:val="20"/>
                <w:szCs w:val="20"/>
              </w:rPr>
              <w:t>entamée</w:t>
            </w:r>
          </w:p>
        </w:tc>
      </w:tr>
      <w:tr w:rsidR="008105B4" w:rsidRPr="00B004EE" w14:paraId="3B522429" w14:textId="77777777" w:rsidTr="001E7C3C">
        <w:tc>
          <w:tcPr>
            <w:tcW w:w="3182" w:type="dxa"/>
            <w:vAlign w:val="center"/>
          </w:tcPr>
          <w:p w14:paraId="324A16F4" w14:textId="095CC314" w:rsidR="008105B4" w:rsidRPr="00B004EE" w:rsidRDefault="008105B4" w:rsidP="00B004EE">
            <w:pPr>
              <w:jc w:val="both"/>
              <w:rPr>
                <w:rFonts w:ascii="Tahoma" w:hAnsi="Tahoma" w:cs="Tahoma"/>
                <w:sz w:val="20"/>
                <w:szCs w:val="20"/>
              </w:rPr>
            </w:pPr>
            <w:r w:rsidRPr="00B004EE">
              <w:rPr>
                <w:rFonts w:ascii="Tahoma" w:hAnsi="Tahoma" w:cs="Tahoma"/>
                <w:sz w:val="20"/>
                <w:szCs w:val="20"/>
              </w:rPr>
              <w:t>10</w:t>
            </w:r>
            <w:r w:rsidR="00DB1635" w:rsidRPr="00B004EE">
              <w:rPr>
                <w:rFonts w:ascii="Tahoma" w:hAnsi="Tahoma" w:cs="Tahoma"/>
                <w:sz w:val="20"/>
                <w:szCs w:val="20"/>
              </w:rPr>
              <w:t xml:space="preserve"> </w:t>
            </w:r>
            <w:r w:rsidRPr="00B004EE">
              <w:rPr>
                <w:rFonts w:ascii="Tahoma" w:hAnsi="Tahoma" w:cs="Tahoma"/>
                <w:sz w:val="20"/>
                <w:szCs w:val="20"/>
              </w:rPr>
              <w:t>001</w:t>
            </w:r>
            <w:r w:rsidR="00DB1635" w:rsidRPr="00B004EE">
              <w:rPr>
                <w:rFonts w:ascii="Tahoma" w:hAnsi="Tahoma" w:cs="Tahoma"/>
                <w:sz w:val="20"/>
                <w:szCs w:val="20"/>
              </w:rPr>
              <w:t xml:space="preserve"> </w:t>
            </w:r>
            <w:r w:rsidRPr="00B004EE">
              <w:rPr>
                <w:rFonts w:ascii="Tahoma" w:hAnsi="Tahoma" w:cs="Tahoma"/>
                <w:sz w:val="20"/>
                <w:szCs w:val="20"/>
              </w:rPr>
              <w:t>m</w:t>
            </w:r>
            <w:r w:rsidRPr="00B004EE">
              <w:rPr>
                <w:rFonts w:ascii="Tahoma" w:hAnsi="Tahoma" w:cs="Tahoma"/>
                <w:sz w:val="20"/>
                <w:szCs w:val="20"/>
                <w:vertAlign w:val="superscript"/>
              </w:rPr>
              <w:t>3</w:t>
            </w:r>
            <w:r w:rsidR="00DB1635" w:rsidRPr="00B004EE">
              <w:rPr>
                <w:rFonts w:ascii="Tahoma" w:hAnsi="Tahoma" w:cs="Tahoma"/>
                <w:sz w:val="20"/>
                <w:szCs w:val="20"/>
                <w:vertAlign w:val="superscript"/>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100</w:t>
            </w:r>
            <w:r w:rsidR="00DB1635" w:rsidRPr="00B004EE">
              <w:rPr>
                <w:rFonts w:ascii="Tahoma" w:hAnsi="Tahoma" w:cs="Tahoma"/>
                <w:sz w:val="20"/>
                <w:szCs w:val="20"/>
              </w:rPr>
              <w:t xml:space="preserve"> </w:t>
            </w:r>
            <w:r w:rsidRPr="00B004EE">
              <w:rPr>
                <w:rFonts w:ascii="Tahoma" w:hAnsi="Tahoma" w:cs="Tahoma"/>
                <w:sz w:val="20"/>
                <w:szCs w:val="20"/>
              </w:rPr>
              <w:t>000</w:t>
            </w:r>
            <w:r w:rsidR="00DB1635" w:rsidRPr="00B004EE">
              <w:rPr>
                <w:rFonts w:ascii="Tahoma" w:hAnsi="Tahoma" w:cs="Tahoma"/>
                <w:sz w:val="20"/>
                <w:szCs w:val="20"/>
              </w:rPr>
              <w:t xml:space="preserve"> </w:t>
            </w:r>
            <w:r w:rsidRPr="00B004EE">
              <w:rPr>
                <w:rFonts w:ascii="Tahoma" w:hAnsi="Tahoma" w:cs="Tahoma"/>
                <w:sz w:val="20"/>
                <w:szCs w:val="20"/>
              </w:rPr>
              <w:t>m</w:t>
            </w:r>
            <w:r w:rsidRPr="00B004EE">
              <w:rPr>
                <w:rFonts w:ascii="Tahoma" w:hAnsi="Tahoma" w:cs="Tahoma"/>
                <w:sz w:val="20"/>
                <w:szCs w:val="20"/>
                <w:vertAlign w:val="superscript"/>
              </w:rPr>
              <w:t>3</w:t>
            </w:r>
          </w:p>
        </w:tc>
        <w:tc>
          <w:tcPr>
            <w:tcW w:w="3182" w:type="dxa"/>
          </w:tcPr>
          <w:p w14:paraId="5F5F6435" w14:textId="2E4AECAC" w:rsidR="008105B4" w:rsidRPr="00B004EE" w:rsidRDefault="008105B4" w:rsidP="00B004EE">
            <w:pPr>
              <w:jc w:val="both"/>
              <w:rPr>
                <w:rFonts w:ascii="Tahoma" w:hAnsi="Tahoma" w:cs="Tahoma"/>
                <w:sz w:val="20"/>
                <w:szCs w:val="20"/>
              </w:rPr>
            </w:pPr>
            <w:r w:rsidRPr="00B004EE">
              <w:rPr>
                <w:rFonts w:ascii="Tahoma" w:hAnsi="Tahoma" w:cs="Tahoma"/>
                <w:sz w:val="20"/>
                <w:szCs w:val="20"/>
              </w:rPr>
              <w:t>12</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an+</w:t>
            </w:r>
            <w:r w:rsidR="00DB1635" w:rsidRPr="00B004EE">
              <w:rPr>
                <w:rFonts w:ascii="Tahoma" w:hAnsi="Tahoma" w:cs="Tahoma"/>
                <w:sz w:val="20"/>
                <w:szCs w:val="20"/>
              </w:rPr>
              <w:t xml:space="preserve"> </w:t>
            </w:r>
            <w:r w:rsidRPr="00B004EE">
              <w:rPr>
                <w:rFonts w:ascii="Tahoma" w:hAnsi="Tahoma" w:cs="Tahoma"/>
                <w:sz w:val="20"/>
                <w:szCs w:val="20"/>
              </w:rPr>
              <w:t>4</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tranche</w:t>
            </w:r>
            <w:r w:rsidR="00DB1635" w:rsidRPr="00B004EE">
              <w:rPr>
                <w:rFonts w:ascii="Tahoma" w:hAnsi="Tahoma" w:cs="Tahoma"/>
                <w:sz w:val="20"/>
                <w:szCs w:val="20"/>
              </w:rPr>
              <w:t xml:space="preserve"> </w:t>
            </w:r>
          </w:p>
          <w:p w14:paraId="69942FBA" w14:textId="72C9E0E2" w:rsidR="008105B4" w:rsidRPr="00B004EE" w:rsidRDefault="008105B4" w:rsidP="00B004EE">
            <w:pPr>
              <w:tabs>
                <w:tab w:val="left" w:pos="465"/>
                <w:tab w:val="center" w:pos="1521"/>
              </w:tabs>
              <w:jc w:val="both"/>
              <w:rPr>
                <w:rFonts w:ascii="Tahoma" w:hAnsi="Tahoma" w:cs="Tahoma"/>
                <w:sz w:val="20"/>
                <w:szCs w:val="20"/>
              </w:rPr>
            </w:pP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10</w:t>
            </w:r>
            <w:r w:rsidR="00DB1635" w:rsidRPr="00B004EE">
              <w:rPr>
                <w:rFonts w:ascii="Tahoma" w:hAnsi="Tahoma" w:cs="Tahoma"/>
                <w:sz w:val="20"/>
                <w:szCs w:val="20"/>
              </w:rPr>
              <w:t xml:space="preserve"> </w:t>
            </w:r>
            <w:r w:rsidRPr="00B004EE">
              <w:rPr>
                <w:rFonts w:ascii="Tahoma" w:hAnsi="Tahoma" w:cs="Tahoma"/>
                <w:sz w:val="20"/>
                <w:szCs w:val="20"/>
              </w:rPr>
              <w:t>000</w:t>
            </w:r>
            <w:r w:rsidR="00DB1635" w:rsidRPr="00B004EE">
              <w:rPr>
                <w:rFonts w:ascii="Tahoma" w:hAnsi="Tahoma" w:cs="Tahoma"/>
                <w:sz w:val="20"/>
                <w:szCs w:val="20"/>
              </w:rPr>
              <w:t xml:space="preserve"> </w:t>
            </w:r>
            <w:r w:rsidRPr="00B004EE">
              <w:rPr>
                <w:rFonts w:ascii="Tahoma" w:hAnsi="Tahoma" w:cs="Tahoma"/>
                <w:sz w:val="20"/>
                <w:szCs w:val="20"/>
              </w:rPr>
              <w:t>m</w:t>
            </w:r>
            <w:r w:rsidRPr="00B004EE">
              <w:rPr>
                <w:rFonts w:ascii="Tahoma" w:hAnsi="Tahoma" w:cs="Tahoma"/>
                <w:sz w:val="20"/>
                <w:szCs w:val="20"/>
                <w:vertAlign w:val="superscript"/>
              </w:rPr>
              <w:t>3</w:t>
            </w:r>
            <w:r w:rsidR="00DB1635" w:rsidRPr="00B004EE">
              <w:rPr>
                <w:rFonts w:ascii="Tahoma" w:hAnsi="Tahoma" w:cs="Tahoma"/>
                <w:sz w:val="20"/>
                <w:szCs w:val="20"/>
                <w:vertAlign w:val="superscript"/>
              </w:rPr>
              <w:t xml:space="preserve"> </w:t>
            </w:r>
            <w:r w:rsidRPr="00B004EE">
              <w:rPr>
                <w:rFonts w:ascii="Tahoma" w:hAnsi="Tahoma" w:cs="Tahoma"/>
                <w:sz w:val="20"/>
                <w:szCs w:val="20"/>
              </w:rPr>
              <w:t>entamée</w:t>
            </w:r>
          </w:p>
        </w:tc>
        <w:tc>
          <w:tcPr>
            <w:tcW w:w="3182" w:type="dxa"/>
          </w:tcPr>
          <w:p w14:paraId="74F7D0AD" w14:textId="19F2A9FB" w:rsidR="008105B4" w:rsidRPr="00B004EE" w:rsidRDefault="008105B4" w:rsidP="00B004EE">
            <w:pPr>
              <w:jc w:val="both"/>
              <w:rPr>
                <w:rFonts w:ascii="Tahoma" w:hAnsi="Tahoma" w:cs="Tahoma"/>
                <w:sz w:val="20"/>
                <w:szCs w:val="20"/>
              </w:rPr>
            </w:pPr>
            <w:r w:rsidRPr="00B004EE">
              <w:rPr>
                <w:rFonts w:ascii="Tahoma" w:hAnsi="Tahoma" w:cs="Tahoma"/>
                <w:sz w:val="20"/>
                <w:szCs w:val="20"/>
              </w:rPr>
              <w:t>3</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an</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1</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tranche</w:t>
            </w:r>
          </w:p>
          <w:p w14:paraId="620D8271" w14:textId="11060241" w:rsidR="008105B4" w:rsidRPr="00B004EE" w:rsidRDefault="008105B4" w:rsidP="00B004EE">
            <w:pPr>
              <w:jc w:val="both"/>
              <w:rPr>
                <w:rFonts w:ascii="Tahoma" w:hAnsi="Tahoma" w:cs="Tahoma"/>
                <w:sz w:val="20"/>
                <w:szCs w:val="20"/>
              </w:rPr>
            </w:pP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10</w:t>
            </w:r>
            <w:r w:rsidR="00DB1635" w:rsidRPr="00B004EE">
              <w:rPr>
                <w:rFonts w:ascii="Tahoma" w:hAnsi="Tahoma" w:cs="Tahoma"/>
                <w:sz w:val="20"/>
                <w:szCs w:val="20"/>
              </w:rPr>
              <w:t xml:space="preserve"> </w:t>
            </w:r>
            <w:r w:rsidRPr="00B004EE">
              <w:rPr>
                <w:rFonts w:ascii="Tahoma" w:hAnsi="Tahoma" w:cs="Tahoma"/>
                <w:sz w:val="20"/>
                <w:szCs w:val="20"/>
              </w:rPr>
              <w:t>000</w:t>
            </w:r>
            <w:r w:rsidR="00DB1635" w:rsidRPr="00B004EE">
              <w:rPr>
                <w:rFonts w:ascii="Tahoma" w:hAnsi="Tahoma" w:cs="Tahoma"/>
                <w:sz w:val="20"/>
                <w:szCs w:val="20"/>
              </w:rPr>
              <w:t xml:space="preserve"> </w:t>
            </w:r>
            <w:r w:rsidRPr="00B004EE">
              <w:rPr>
                <w:rFonts w:ascii="Tahoma" w:hAnsi="Tahoma" w:cs="Tahoma"/>
                <w:sz w:val="20"/>
                <w:szCs w:val="20"/>
              </w:rPr>
              <w:t>m</w:t>
            </w:r>
            <w:r w:rsidRPr="00B004EE">
              <w:rPr>
                <w:rFonts w:ascii="Tahoma" w:hAnsi="Tahoma" w:cs="Tahoma"/>
                <w:sz w:val="20"/>
                <w:szCs w:val="20"/>
                <w:vertAlign w:val="superscript"/>
              </w:rPr>
              <w:t>3</w:t>
            </w:r>
            <w:r w:rsidR="00DB1635" w:rsidRPr="00B004EE">
              <w:rPr>
                <w:rFonts w:ascii="Tahoma" w:hAnsi="Tahoma" w:cs="Tahoma"/>
                <w:sz w:val="20"/>
                <w:szCs w:val="20"/>
                <w:vertAlign w:val="superscript"/>
              </w:rPr>
              <w:t xml:space="preserve"> </w:t>
            </w:r>
            <w:r w:rsidRPr="00B004EE">
              <w:rPr>
                <w:rFonts w:ascii="Tahoma" w:hAnsi="Tahoma" w:cs="Tahoma"/>
                <w:sz w:val="20"/>
                <w:szCs w:val="20"/>
              </w:rPr>
              <w:t>entamée</w:t>
            </w:r>
          </w:p>
        </w:tc>
      </w:tr>
    </w:tbl>
    <w:p w14:paraId="5941FD14" w14:textId="77777777" w:rsidR="008105B4" w:rsidRPr="00B004EE" w:rsidRDefault="008105B4" w:rsidP="00B004EE">
      <w:pPr>
        <w:jc w:val="both"/>
        <w:rPr>
          <w:rFonts w:ascii="Tahoma" w:hAnsi="Tahoma" w:cs="Tahoma"/>
          <w:sz w:val="20"/>
          <w:szCs w:val="20"/>
        </w:rPr>
      </w:pPr>
    </w:p>
    <w:p w14:paraId="5396CD58" w14:textId="77777777" w:rsidR="008105B4" w:rsidRPr="00B004EE" w:rsidRDefault="008105B4" w:rsidP="00B004EE">
      <w:pPr>
        <w:jc w:val="both"/>
        <w:rPr>
          <w:rFonts w:ascii="Tahoma" w:hAnsi="Tahoma" w:cs="Tahoma"/>
          <w:sz w:val="20"/>
          <w:szCs w:val="20"/>
        </w:rPr>
      </w:pPr>
    </w:p>
    <w:p w14:paraId="5B508415" w14:textId="36A2729B" w:rsidR="008105B4" w:rsidRPr="00B004EE" w:rsidRDefault="008105B4" w:rsidP="00B004EE">
      <w:pPr>
        <w:ind w:left="567" w:hanging="567"/>
        <w:jc w:val="both"/>
        <w:rPr>
          <w:rFonts w:ascii="Tahoma" w:hAnsi="Tahoma" w:cs="Tahoma"/>
          <w:sz w:val="20"/>
          <w:szCs w:val="20"/>
        </w:rPr>
      </w:pPr>
      <w:r w:rsidRPr="00B004EE">
        <w:rPr>
          <w:rFonts w:ascii="Tahoma" w:hAnsi="Tahoma" w:cs="Tahoma"/>
          <w:sz w:val="20"/>
          <w:szCs w:val="20"/>
        </w:rPr>
        <w:t>Note</w:t>
      </w:r>
      <w:r w:rsidR="00DB1635" w:rsidRPr="00B004EE">
        <w:rPr>
          <w:rFonts w:ascii="Tahoma" w:hAnsi="Tahoma" w:cs="Tahoma"/>
          <w:sz w:val="20"/>
          <w:szCs w:val="20"/>
        </w:rPr>
        <w:t xml:space="preserve"> </w:t>
      </w:r>
      <w:proofErr w:type="gramStart"/>
      <w:r w:rsidRPr="00B004EE">
        <w:rPr>
          <w:rFonts w:ascii="Tahoma" w:hAnsi="Tahoma" w:cs="Tahoma"/>
          <w:sz w:val="20"/>
          <w:szCs w:val="20"/>
        </w:rPr>
        <w:t>1:</w:t>
      </w:r>
      <w:proofErr w:type="gramEnd"/>
      <w:r w:rsidR="00DB1635" w:rsidRPr="00B004EE">
        <w:rPr>
          <w:rFonts w:ascii="Tahoma" w:hAnsi="Tahoma" w:cs="Tahoma"/>
          <w:i/>
          <w:iCs/>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volumes</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volumes</w:t>
      </w:r>
      <w:r w:rsidR="00DB1635" w:rsidRPr="00B004EE">
        <w:rPr>
          <w:rFonts w:ascii="Tahoma" w:hAnsi="Tahoma" w:cs="Tahoma"/>
          <w:sz w:val="20"/>
          <w:szCs w:val="20"/>
        </w:rPr>
        <w:t xml:space="preserve"> </w:t>
      </w:r>
      <w:r w:rsidRPr="00B004EE">
        <w:rPr>
          <w:rFonts w:ascii="Tahoma" w:hAnsi="Tahoma" w:cs="Tahoma"/>
          <w:sz w:val="20"/>
          <w:szCs w:val="20"/>
        </w:rPr>
        <w:t>moyens</w:t>
      </w:r>
      <w:r w:rsidR="00DB1635" w:rsidRPr="00B004EE">
        <w:rPr>
          <w:rFonts w:ascii="Tahoma" w:hAnsi="Tahoma" w:cs="Tahoma"/>
          <w:sz w:val="20"/>
          <w:szCs w:val="20"/>
        </w:rPr>
        <w:t xml:space="preserve"> </w:t>
      </w:r>
      <w:r w:rsidRPr="00B004EE">
        <w:rPr>
          <w:rFonts w:ascii="Tahoma" w:hAnsi="Tahoma" w:cs="Tahoma"/>
          <w:sz w:val="20"/>
          <w:szCs w:val="20"/>
        </w:rPr>
        <w:t>calculés</w:t>
      </w:r>
      <w:r w:rsidR="00DB1635" w:rsidRPr="00B004EE">
        <w:rPr>
          <w:rFonts w:ascii="Tahoma" w:hAnsi="Tahoma" w:cs="Tahoma"/>
          <w:sz w:val="20"/>
          <w:szCs w:val="20"/>
        </w:rPr>
        <w:t xml:space="preserve"> </w:t>
      </w:r>
      <w:r w:rsidRPr="00B004EE">
        <w:rPr>
          <w:rFonts w:ascii="Tahoma" w:hAnsi="Tahoma" w:cs="Tahoma"/>
          <w:sz w:val="20"/>
          <w:szCs w:val="20"/>
        </w:rPr>
        <w:t>sur</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année</w:t>
      </w:r>
      <w:r w:rsidR="00DB1635" w:rsidRPr="00B004EE">
        <w:rPr>
          <w:rFonts w:ascii="Tahoma" w:hAnsi="Tahoma" w:cs="Tahoma"/>
          <w:sz w:val="20"/>
          <w:szCs w:val="20"/>
        </w:rPr>
        <w:t xml:space="preserve"> </w:t>
      </w:r>
      <w:r w:rsidRPr="00B004EE">
        <w:rPr>
          <w:rFonts w:ascii="Tahoma" w:hAnsi="Tahoma" w:cs="Tahoma"/>
          <w:sz w:val="20"/>
          <w:szCs w:val="20"/>
        </w:rPr>
        <w:t>civile</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déterminer</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fréquence</w:t>
      </w:r>
      <w:r w:rsidR="00DB1635" w:rsidRPr="00B004EE">
        <w:rPr>
          <w:rFonts w:ascii="Tahoma" w:hAnsi="Tahoma" w:cs="Tahoma"/>
          <w:sz w:val="20"/>
          <w:szCs w:val="20"/>
        </w:rPr>
        <w:t xml:space="preserve"> </w:t>
      </w:r>
      <w:r w:rsidRPr="00B004EE">
        <w:rPr>
          <w:rFonts w:ascii="Tahoma" w:hAnsi="Tahoma" w:cs="Tahoma"/>
          <w:sz w:val="20"/>
          <w:szCs w:val="20"/>
        </w:rPr>
        <w:t>minimale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prélèvement</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zone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distribution</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l’entreprise</w:t>
      </w:r>
      <w:r w:rsidR="00DB1635" w:rsidRPr="00B004EE">
        <w:rPr>
          <w:rFonts w:ascii="Tahoma" w:hAnsi="Tahoma" w:cs="Tahoma"/>
          <w:sz w:val="20"/>
          <w:szCs w:val="20"/>
        </w:rPr>
        <w:t xml:space="preserve"> </w:t>
      </w:r>
      <w:r w:rsidRPr="00B004EE">
        <w:rPr>
          <w:rFonts w:ascii="Tahoma" w:hAnsi="Tahoma" w:cs="Tahoma"/>
          <w:sz w:val="20"/>
          <w:szCs w:val="20"/>
        </w:rPr>
        <w:t>concernée,</w:t>
      </w:r>
      <w:r w:rsidR="00DB1635" w:rsidRPr="00B004EE">
        <w:rPr>
          <w:rFonts w:ascii="Tahoma" w:hAnsi="Tahoma" w:cs="Tahoma"/>
          <w:sz w:val="20"/>
          <w:szCs w:val="20"/>
        </w:rPr>
        <w:t xml:space="preserve"> </w:t>
      </w:r>
      <w:r w:rsidRPr="00B004EE">
        <w:rPr>
          <w:rFonts w:ascii="Tahoma" w:hAnsi="Tahoma" w:cs="Tahoma"/>
          <w:sz w:val="20"/>
          <w:szCs w:val="20"/>
        </w:rPr>
        <w:t>alimentée</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même</w:t>
      </w:r>
      <w:r w:rsidR="00DB1635" w:rsidRPr="00B004EE">
        <w:rPr>
          <w:rFonts w:ascii="Tahoma" w:hAnsi="Tahoma" w:cs="Tahoma"/>
          <w:sz w:val="20"/>
          <w:szCs w:val="20"/>
        </w:rPr>
        <w:t xml:space="preserve"> </w:t>
      </w:r>
      <w:r w:rsidRPr="00B004EE">
        <w:rPr>
          <w:rFonts w:ascii="Tahoma" w:hAnsi="Tahoma" w:cs="Tahoma"/>
          <w:sz w:val="20"/>
          <w:szCs w:val="20"/>
        </w:rPr>
        <w:t>source</w:t>
      </w:r>
      <w:r w:rsidR="00DB1635" w:rsidRPr="00B004EE">
        <w:rPr>
          <w:rFonts w:ascii="Tahoma" w:hAnsi="Tahoma" w:cs="Tahoma"/>
          <w:sz w:val="20"/>
          <w:szCs w:val="20"/>
        </w:rPr>
        <w:t xml:space="preserve"> </w:t>
      </w:r>
      <w:r w:rsidRPr="00B004EE">
        <w:rPr>
          <w:rFonts w:ascii="Tahoma" w:hAnsi="Tahoma" w:cs="Tahoma"/>
          <w:sz w:val="20"/>
          <w:szCs w:val="20"/>
        </w:rPr>
        <w:t>d’approvisionnement.</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cas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petites</w:t>
      </w:r>
      <w:r w:rsidR="00DB1635" w:rsidRPr="00B004EE">
        <w:rPr>
          <w:rFonts w:ascii="Tahoma" w:hAnsi="Tahoma" w:cs="Tahoma"/>
          <w:sz w:val="20"/>
          <w:szCs w:val="20"/>
        </w:rPr>
        <w:t xml:space="preserve"> </w:t>
      </w:r>
      <w:r w:rsidRPr="00B004EE">
        <w:rPr>
          <w:rFonts w:ascii="Tahoma" w:hAnsi="Tahoma" w:cs="Tahoma"/>
          <w:sz w:val="20"/>
          <w:szCs w:val="20"/>
        </w:rPr>
        <w:t>entreprises</w:t>
      </w:r>
      <w:r w:rsidR="00DB1635" w:rsidRPr="00B004EE">
        <w:rPr>
          <w:rFonts w:ascii="Tahoma" w:hAnsi="Tahoma" w:cs="Tahoma"/>
          <w:sz w:val="20"/>
          <w:szCs w:val="20"/>
        </w:rPr>
        <w:t xml:space="preserve"> </w:t>
      </w:r>
      <w:r w:rsidRPr="00B004EE">
        <w:rPr>
          <w:rFonts w:ascii="Tahoma" w:hAnsi="Tahoma" w:cs="Tahoma"/>
          <w:sz w:val="20"/>
          <w:szCs w:val="20"/>
        </w:rPr>
        <w:t>regroupées</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zone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distribution</w:t>
      </w:r>
      <w:r w:rsidR="00DB1635" w:rsidRPr="00B004EE">
        <w:rPr>
          <w:rFonts w:ascii="Tahoma" w:hAnsi="Tahoma" w:cs="Tahoma"/>
          <w:sz w:val="20"/>
          <w:szCs w:val="20"/>
        </w:rPr>
        <w:t xml:space="preserve"> </w:t>
      </w:r>
      <w:r w:rsidRPr="00B004EE">
        <w:rPr>
          <w:rFonts w:ascii="Tahoma" w:hAnsi="Tahoma" w:cs="Tahoma"/>
          <w:sz w:val="20"/>
          <w:szCs w:val="20"/>
        </w:rPr>
        <w:t>d’eau,</w:t>
      </w:r>
      <w:r w:rsidR="00DB1635" w:rsidRPr="00B004EE">
        <w:rPr>
          <w:rFonts w:ascii="Tahoma" w:hAnsi="Tahoma" w:cs="Tahoma"/>
          <w:sz w:val="20"/>
          <w:szCs w:val="20"/>
        </w:rPr>
        <w:t xml:space="preserve"> </w:t>
      </w:r>
      <w:r w:rsidRPr="00B004EE">
        <w:rPr>
          <w:rFonts w:ascii="Tahoma" w:hAnsi="Tahoma" w:cs="Tahoma"/>
          <w:sz w:val="20"/>
          <w:szCs w:val="20"/>
        </w:rPr>
        <w:t>où</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qualité</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l’eau</w:t>
      </w:r>
      <w:r w:rsidR="00DB1635" w:rsidRPr="00B004EE">
        <w:rPr>
          <w:rFonts w:ascii="Tahoma" w:hAnsi="Tahoma" w:cs="Tahoma"/>
          <w:sz w:val="20"/>
          <w:szCs w:val="20"/>
        </w:rPr>
        <w:t xml:space="preserve"> </w:t>
      </w:r>
      <w:r w:rsidRPr="00B004EE">
        <w:rPr>
          <w:rFonts w:ascii="Tahoma" w:hAnsi="Tahoma" w:cs="Tahoma"/>
          <w:sz w:val="20"/>
          <w:szCs w:val="20"/>
        </w:rPr>
        <w:t>peut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considérée</w:t>
      </w:r>
      <w:r w:rsidR="00DB1635" w:rsidRPr="00B004EE">
        <w:rPr>
          <w:rFonts w:ascii="Tahoma" w:hAnsi="Tahoma" w:cs="Tahoma"/>
          <w:sz w:val="20"/>
          <w:szCs w:val="20"/>
        </w:rPr>
        <w:t xml:space="preserve"> </w:t>
      </w:r>
      <w:r w:rsidRPr="00B004EE">
        <w:rPr>
          <w:rFonts w:ascii="Tahoma" w:hAnsi="Tahoma" w:cs="Tahoma"/>
          <w:sz w:val="20"/>
          <w:szCs w:val="20"/>
        </w:rPr>
        <w:t>comme</w:t>
      </w:r>
      <w:r w:rsidR="00DB1635" w:rsidRPr="00B004EE">
        <w:rPr>
          <w:rFonts w:ascii="Tahoma" w:hAnsi="Tahoma" w:cs="Tahoma"/>
          <w:sz w:val="20"/>
          <w:szCs w:val="20"/>
        </w:rPr>
        <w:t xml:space="preserve"> </w:t>
      </w:r>
      <w:r w:rsidRPr="00B004EE">
        <w:rPr>
          <w:rFonts w:ascii="Tahoma" w:hAnsi="Tahoma" w:cs="Tahoma"/>
          <w:sz w:val="20"/>
          <w:szCs w:val="20"/>
        </w:rPr>
        <w:t>étant</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peu</w:t>
      </w:r>
      <w:r w:rsidR="00DB1635" w:rsidRPr="00B004EE">
        <w:rPr>
          <w:rFonts w:ascii="Tahoma" w:hAnsi="Tahoma" w:cs="Tahoma"/>
          <w:sz w:val="20"/>
          <w:szCs w:val="20"/>
        </w:rPr>
        <w:t xml:space="preserve"> </w:t>
      </w:r>
      <w:r w:rsidRPr="00B004EE">
        <w:rPr>
          <w:rFonts w:ascii="Tahoma" w:hAnsi="Tahoma" w:cs="Tahoma"/>
          <w:sz w:val="20"/>
          <w:szCs w:val="20"/>
        </w:rPr>
        <w:t>près</w:t>
      </w:r>
      <w:r w:rsidR="00DB1635" w:rsidRPr="00B004EE">
        <w:rPr>
          <w:rFonts w:ascii="Tahoma" w:hAnsi="Tahoma" w:cs="Tahoma"/>
          <w:sz w:val="20"/>
          <w:szCs w:val="20"/>
        </w:rPr>
        <w:t xml:space="preserve"> </w:t>
      </w:r>
      <w:r w:rsidRPr="00B004EE">
        <w:rPr>
          <w:rFonts w:ascii="Tahoma" w:hAnsi="Tahoma" w:cs="Tahoma"/>
          <w:sz w:val="20"/>
          <w:szCs w:val="20"/>
        </w:rPr>
        <w:t>uniforme,</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contrôles</w:t>
      </w:r>
      <w:r w:rsidR="00DB1635" w:rsidRPr="00B004EE">
        <w:rPr>
          <w:rFonts w:ascii="Tahoma" w:hAnsi="Tahoma" w:cs="Tahoma"/>
          <w:sz w:val="20"/>
          <w:szCs w:val="20"/>
        </w:rPr>
        <w:t xml:space="preserve"> </w:t>
      </w:r>
      <w:r w:rsidRPr="00B004EE">
        <w:rPr>
          <w:rFonts w:ascii="Tahoma" w:hAnsi="Tahoma" w:cs="Tahoma"/>
          <w:sz w:val="20"/>
          <w:szCs w:val="20"/>
        </w:rPr>
        <w:t>peuvent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faits</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roulement</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ces</w:t>
      </w:r>
      <w:r w:rsidR="00DB1635" w:rsidRPr="00B004EE">
        <w:rPr>
          <w:rFonts w:ascii="Tahoma" w:hAnsi="Tahoma" w:cs="Tahoma"/>
          <w:sz w:val="20"/>
          <w:szCs w:val="20"/>
        </w:rPr>
        <w:t xml:space="preserve"> </w:t>
      </w:r>
      <w:r w:rsidRPr="00B004EE">
        <w:rPr>
          <w:rFonts w:ascii="Tahoma" w:hAnsi="Tahoma" w:cs="Tahoma"/>
          <w:sz w:val="20"/>
          <w:szCs w:val="20"/>
        </w:rPr>
        <w:t>entreprises.</w:t>
      </w:r>
      <w:r w:rsidR="00DB1635" w:rsidRPr="00B004EE">
        <w:rPr>
          <w:rFonts w:ascii="Tahoma" w:hAnsi="Tahoma" w:cs="Tahoma"/>
          <w:sz w:val="20"/>
          <w:szCs w:val="20"/>
        </w:rPr>
        <w:t xml:space="preserve"> </w:t>
      </w:r>
    </w:p>
    <w:p w14:paraId="3AE7EEAC" w14:textId="77777777" w:rsidR="008105B4" w:rsidRPr="00B004EE" w:rsidRDefault="008105B4" w:rsidP="00B004EE">
      <w:pPr>
        <w:ind w:left="567" w:hanging="567"/>
        <w:jc w:val="both"/>
        <w:rPr>
          <w:rFonts w:ascii="Tahoma" w:hAnsi="Tahoma" w:cs="Tahoma"/>
          <w:sz w:val="20"/>
          <w:szCs w:val="20"/>
        </w:rPr>
      </w:pPr>
    </w:p>
    <w:p w14:paraId="6EBC1C8A" w14:textId="1509DA99" w:rsidR="008105B4" w:rsidRPr="00B004EE" w:rsidRDefault="008105B4" w:rsidP="00B004EE">
      <w:pPr>
        <w:ind w:left="567" w:hanging="567"/>
        <w:jc w:val="both"/>
        <w:rPr>
          <w:rFonts w:ascii="Tahoma" w:hAnsi="Tahoma" w:cs="Tahoma"/>
          <w:sz w:val="20"/>
          <w:szCs w:val="20"/>
        </w:rPr>
      </w:pPr>
      <w:r w:rsidRPr="00B004EE">
        <w:rPr>
          <w:rFonts w:ascii="Tahoma" w:hAnsi="Tahoma" w:cs="Tahoma"/>
          <w:sz w:val="20"/>
          <w:szCs w:val="20"/>
        </w:rPr>
        <w:t>Note</w:t>
      </w:r>
      <w:r w:rsidR="00DB1635" w:rsidRPr="00B004EE">
        <w:rPr>
          <w:rFonts w:ascii="Tahoma" w:hAnsi="Tahoma" w:cs="Tahoma"/>
          <w:sz w:val="20"/>
          <w:szCs w:val="20"/>
        </w:rPr>
        <w:t xml:space="preserve"> </w:t>
      </w:r>
      <w:proofErr w:type="gramStart"/>
      <w:r w:rsidRPr="00B004EE">
        <w:rPr>
          <w:rFonts w:ascii="Tahoma" w:hAnsi="Tahoma" w:cs="Tahoma"/>
          <w:sz w:val="20"/>
          <w:szCs w:val="20"/>
        </w:rPr>
        <w:t>2:</w:t>
      </w:r>
      <w:proofErr w:type="gramEnd"/>
      <w:r w:rsidR="00DB1635" w:rsidRPr="00B004EE">
        <w:rPr>
          <w:rFonts w:ascii="Tahoma" w:hAnsi="Tahoma" w:cs="Tahoma"/>
          <w:i/>
          <w:iCs/>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différents</w:t>
      </w:r>
      <w:r w:rsidR="00DB1635" w:rsidRPr="00B004EE">
        <w:rPr>
          <w:rFonts w:ascii="Tahoma" w:hAnsi="Tahoma" w:cs="Tahoma"/>
          <w:sz w:val="20"/>
          <w:szCs w:val="20"/>
        </w:rPr>
        <w:t xml:space="preserve"> </w:t>
      </w:r>
      <w:r w:rsidRPr="00B004EE">
        <w:rPr>
          <w:rFonts w:ascii="Tahoma" w:hAnsi="Tahoma" w:cs="Tahoma"/>
          <w:sz w:val="20"/>
          <w:szCs w:val="20"/>
        </w:rPr>
        <w:t>paramètres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l’annexe</w:t>
      </w:r>
      <w:r w:rsidR="00DB1635" w:rsidRPr="00B004EE">
        <w:rPr>
          <w:rFonts w:ascii="Tahoma" w:hAnsi="Tahoma" w:cs="Tahoma"/>
          <w:sz w:val="20"/>
          <w:szCs w:val="20"/>
        </w:rPr>
        <w:t xml:space="preserve"> </w:t>
      </w:r>
      <w:r w:rsidRPr="00B004EE">
        <w:rPr>
          <w:rFonts w:ascii="Tahoma" w:hAnsi="Tahoma" w:cs="Tahoma"/>
          <w:sz w:val="20"/>
          <w:szCs w:val="20"/>
        </w:rPr>
        <w:t>II,</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nombre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prélèvements</w:t>
      </w:r>
      <w:r w:rsidR="00DB1635" w:rsidRPr="00B004EE">
        <w:rPr>
          <w:rFonts w:ascii="Tahoma" w:hAnsi="Tahoma" w:cs="Tahoma"/>
          <w:sz w:val="20"/>
          <w:szCs w:val="20"/>
        </w:rPr>
        <w:t xml:space="preserve"> </w:t>
      </w:r>
      <w:r w:rsidRPr="00B004EE">
        <w:rPr>
          <w:rFonts w:ascii="Tahoma" w:hAnsi="Tahoma" w:cs="Tahoma"/>
          <w:sz w:val="20"/>
          <w:szCs w:val="20"/>
        </w:rPr>
        <w:t>peut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réduit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50</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excepté</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analyses</w:t>
      </w:r>
      <w:r w:rsidR="00DB1635" w:rsidRPr="00B004EE">
        <w:rPr>
          <w:rFonts w:ascii="Tahoma" w:hAnsi="Tahoma" w:cs="Tahoma"/>
          <w:sz w:val="20"/>
          <w:szCs w:val="20"/>
        </w:rPr>
        <w:t xml:space="preserve"> </w:t>
      </w:r>
      <w:r w:rsidRPr="00B004EE">
        <w:rPr>
          <w:rFonts w:ascii="Tahoma" w:hAnsi="Tahoma" w:cs="Tahoma"/>
          <w:sz w:val="20"/>
          <w:szCs w:val="20"/>
        </w:rPr>
        <w:t>bactériologiques,</w:t>
      </w:r>
      <w:r w:rsidR="00DB1635" w:rsidRPr="00B004EE">
        <w:rPr>
          <w:rFonts w:ascii="Tahoma" w:hAnsi="Tahoma" w:cs="Tahoma"/>
          <w:sz w:val="20"/>
          <w:szCs w:val="20"/>
        </w:rPr>
        <w:t xml:space="preserve"> </w:t>
      </w:r>
      <w:r w:rsidRPr="00B004EE">
        <w:rPr>
          <w:rFonts w:ascii="Tahoma" w:hAnsi="Tahoma" w:cs="Tahoma"/>
          <w:sz w:val="20"/>
          <w:szCs w:val="20"/>
        </w:rPr>
        <w:t>lorsque</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valeurs</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résultats</w:t>
      </w:r>
      <w:r w:rsidR="00DB1635" w:rsidRPr="00B004EE">
        <w:rPr>
          <w:rFonts w:ascii="Tahoma" w:hAnsi="Tahoma" w:cs="Tahoma"/>
          <w:sz w:val="20"/>
          <w:szCs w:val="20"/>
        </w:rPr>
        <w:t xml:space="preserve"> </w:t>
      </w:r>
      <w:r w:rsidRPr="00B004EE">
        <w:rPr>
          <w:rFonts w:ascii="Tahoma" w:hAnsi="Tahoma" w:cs="Tahoma"/>
          <w:sz w:val="20"/>
          <w:szCs w:val="20"/>
        </w:rPr>
        <w:t>obtenus</w:t>
      </w:r>
      <w:r w:rsidR="00DB1635" w:rsidRPr="00B004EE">
        <w:rPr>
          <w:rFonts w:ascii="Tahoma" w:hAnsi="Tahoma" w:cs="Tahoma"/>
          <w:sz w:val="20"/>
          <w:szCs w:val="20"/>
        </w:rPr>
        <w:t xml:space="preserve"> </w:t>
      </w:r>
      <w:r w:rsidRPr="00B004EE">
        <w:rPr>
          <w:rFonts w:ascii="Tahoma" w:hAnsi="Tahoma" w:cs="Tahoma"/>
          <w:sz w:val="20"/>
          <w:szCs w:val="20"/>
        </w:rPr>
        <w:t>avec</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échantillons</w:t>
      </w:r>
      <w:r w:rsidR="00DB1635" w:rsidRPr="00B004EE">
        <w:rPr>
          <w:rFonts w:ascii="Tahoma" w:hAnsi="Tahoma" w:cs="Tahoma"/>
          <w:sz w:val="20"/>
          <w:szCs w:val="20"/>
        </w:rPr>
        <w:t xml:space="preserve"> </w:t>
      </w:r>
      <w:r w:rsidRPr="00B004EE">
        <w:rPr>
          <w:rFonts w:ascii="Tahoma" w:hAnsi="Tahoma" w:cs="Tahoma"/>
          <w:sz w:val="20"/>
          <w:szCs w:val="20"/>
        </w:rPr>
        <w:t>prélevés</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cours</w:t>
      </w:r>
      <w:r w:rsidR="00DB1635" w:rsidRPr="00B004EE">
        <w:rPr>
          <w:rFonts w:ascii="Tahoma" w:hAnsi="Tahoma" w:cs="Tahoma"/>
          <w:sz w:val="20"/>
          <w:szCs w:val="20"/>
        </w:rPr>
        <w:t xml:space="preserve"> </w:t>
      </w:r>
      <w:r w:rsidRPr="00B004EE">
        <w:rPr>
          <w:rFonts w:ascii="Tahoma" w:hAnsi="Tahoma" w:cs="Tahoma"/>
          <w:sz w:val="20"/>
          <w:szCs w:val="20"/>
        </w:rPr>
        <w:t>d’une</w:t>
      </w:r>
      <w:r w:rsidR="00DB1635" w:rsidRPr="00B004EE">
        <w:rPr>
          <w:rFonts w:ascii="Tahoma" w:hAnsi="Tahoma" w:cs="Tahoma"/>
          <w:sz w:val="20"/>
          <w:szCs w:val="20"/>
        </w:rPr>
        <w:t xml:space="preserve"> </w:t>
      </w:r>
      <w:r w:rsidRPr="00B004EE">
        <w:rPr>
          <w:rFonts w:ascii="Tahoma" w:hAnsi="Tahoma" w:cs="Tahoma"/>
          <w:sz w:val="20"/>
          <w:szCs w:val="20"/>
        </w:rPr>
        <w:t>période</w:t>
      </w:r>
      <w:r w:rsidR="00DB1635" w:rsidRPr="00B004EE">
        <w:rPr>
          <w:rFonts w:ascii="Tahoma" w:hAnsi="Tahoma" w:cs="Tahoma"/>
          <w:sz w:val="20"/>
          <w:szCs w:val="20"/>
        </w:rPr>
        <w:t xml:space="preserve"> </w:t>
      </w:r>
      <w:r w:rsidRPr="00B004EE">
        <w:rPr>
          <w:rFonts w:ascii="Tahoma" w:hAnsi="Tahoma" w:cs="Tahoma"/>
          <w:sz w:val="20"/>
          <w:szCs w:val="20"/>
        </w:rPr>
        <w:t>d’au</w:t>
      </w:r>
      <w:r w:rsidR="00DB1635" w:rsidRPr="00B004EE">
        <w:rPr>
          <w:rFonts w:ascii="Tahoma" w:hAnsi="Tahoma" w:cs="Tahoma"/>
          <w:sz w:val="20"/>
          <w:szCs w:val="20"/>
        </w:rPr>
        <w:t xml:space="preserve"> </w:t>
      </w:r>
      <w:r w:rsidRPr="00B004EE">
        <w:rPr>
          <w:rFonts w:ascii="Tahoma" w:hAnsi="Tahoma" w:cs="Tahoma"/>
          <w:sz w:val="20"/>
          <w:szCs w:val="20"/>
        </w:rPr>
        <w:t>moins</w:t>
      </w:r>
      <w:r w:rsidR="00DB1635" w:rsidRPr="00B004EE">
        <w:rPr>
          <w:rFonts w:ascii="Tahoma" w:hAnsi="Tahoma" w:cs="Tahoma"/>
          <w:sz w:val="20"/>
          <w:szCs w:val="20"/>
        </w:rPr>
        <w:t xml:space="preserve"> </w:t>
      </w:r>
      <w:r w:rsidRPr="00B004EE">
        <w:rPr>
          <w:rFonts w:ascii="Tahoma" w:hAnsi="Tahoma" w:cs="Tahoma"/>
          <w:sz w:val="20"/>
          <w:szCs w:val="20"/>
        </w:rPr>
        <w:t>deux</w:t>
      </w:r>
      <w:r w:rsidR="00DB1635" w:rsidRPr="00B004EE">
        <w:rPr>
          <w:rFonts w:ascii="Tahoma" w:hAnsi="Tahoma" w:cs="Tahoma"/>
          <w:sz w:val="20"/>
          <w:szCs w:val="20"/>
        </w:rPr>
        <w:t xml:space="preserve"> </w:t>
      </w:r>
      <w:r w:rsidRPr="00B004EE">
        <w:rPr>
          <w:rFonts w:ascii="Tahoma" w:hAnsi="Tahoma" w:cs="Tahoma"/>
          <w:sz w:val="20"/>
          <w:szCs w:val="20"/>
        </w:rPr>
        <w:t>années</w:t>
      </w:r>
      <w:r w:rsidR="00DB1635" w:rsidRPr="00B004EE">
        <w:rPr>
          <w:rFonts w:ascii="Tahoma" w:hAnsi="Tahoma" w:cs="Tahoma"/>
          <w:sz w:val="20"/>
          <w:szCs w:val="20"/>
        </w:rPr>
        <w:t xml:space="preserve"> </w:t>
      </w:r>
      <w:r w:rsidRPr="00B004EE">
        <w:rPr>
          <w:rFonts w:ascii="Tahoma" w:hAnsi="Tahoma" w:cs="Tahoma"/>
          <w:sz w:val="20"/>
          <w:szCs w:val="20"/>
        </w:rPr>
        <w:t>successives</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constantes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sensiblement</w:t>
      </w:r>
      <w:r w:rsidR="00DB1635" w:rsidRPr="00B004EE">
        <w:rPr>
          <w:rFonts w:ascii="Tahoma" w:hAnsi="Tahoma" w:cs="Tahoma"/>
          <w:sz w:val="20"/>
          <w:szCs w:val="20"/>
        </w:rPr>
        <w:t xml:space="preserve"> </w:t>
      </w:r>
      <w:r w:rsidRPr="00B004EE">
        <w:rPr>
          <w:rFonts w:ascii="Tahoma" w:hAnsi="Tahoma" w:cs="Tahoma"/>
          <w:sz w:val="20"/>
          <w:szCs w:val="20"/>
        </w:rPr>
        <w:t>meilleures</w:t>
      </w:r>
      <w:r w:rsidR="00DB1635" w:rsidRPr="00B004EE">
        <w:rPr>
          <w:rFonts w:ascii="Tahoma" w:hAnsi="Tahoma" w:cs="Tahoma"/>
          <w:sz w:val="20"/>
          <w:szCs w:val="20"/>
        </w:rPr>
        <w:t xml:space="preserve"> </w:t>
      </w:r>
      <w:r w:rsidRPr="00B004EE">
        <w:rPr>
          <w:rFonts w:ascii="Tahoma" w:hAnsi="Tahoma" w:cs="Tahoma"/>
          <w:sz w:val="20"/>
          <w:szCs w:val="20"/>
        </w:rPr>
        <w:t>que</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limites</w:t>
      </w:r>
      <w:r w:rsidR="00DB1635" w:rsidRPr="00B004EE">
        <w:rPr>
          <w:rFonts w:ascii="Tahoma" w:hAnsi="Tahoma" w:cs="Tahoma"/>
          <w:sz w:val="20"/>
          <w:szCs w:val="20"/>
        </w:rPr>
        <w:t xml:space="preserve"> </w:t>
      </w:r>
      <w:r w:rsidRPr="00B004EE">
        <w:rPr>
          <w:rFonts w:ascii="Tahoma" w:hAnsi="Tahoma" w:cs="Tahoma"/>
          <w:sz w:val="20"/>
          <w:szCs w:val="20"/>
        </w:rPr>
        <w:t>prévues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l’annexe</w:t>
      </w:r>
      <w:r w:rsidR="00DB1635" w:rsidRPr="00B004EE">
        <w:rPr>
          <w:rFonts w:ascii="Tahoma" w:hAnsi="Tahoma" w:cs="Tahoma"/>
          <w:sz w:val="20"/>
          <w:szCs w:val="20"/>
        </w:rPr>
        <w:t xml:space="preserve"> </w:t>
      </w:r>
      <w:r w:rsidRPr="00B004EE">
        <w:rPr>
          <w:rFonts w:ascii="Tahoma" w:hAnsi="Tahoma" w:cs="Tahoma"/>
          <w:sz w:val="20"/>
          <w:szCs w:val="20"/>
        </w:rPr>
        <w:t>I</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qu’aucun</w:t>
      </w:r>
      <w:r w:rsidR="00DB1635" w:rsidRPr="00B004EE">
        <w:rPr>
          <w:rFonts w:ascii="Tahoma" w:hAnsi="Tahoma" w:cs="Tahoma"/>
          <w:sz w:val="20"/>
          <w:szCs w:val="20"/>
        </w:rPr>
        <w:t xml:space="preserve"> </w:t>
      </w:r>
      <w:r w:rsidRPr="00B004EE">
        <w:rPr>
          <w:rFonts w:ascii="Tahoma" w:hAnsi="Tahoma" w:cs="Tahoma"/>
          <w:sz w:val="20"/>
          <w:szCs w:val="20"/>
        </w:rPr>
        <w:t>facteur</w:t>
      </w:r>
      <w:r w:rsidR="00DB1635" w:rsidRPr="00B004EE">
        <w:rPr>
          <w:rFonts w:ascii="Tahoma" w:hAnsi="Tahoma" w:cs="Tahoma"/>
          <w:sz w:val="20"/>
          <w:szCs w:val="20"/>
        </w:rPr>
        <w:t xml:space="preserve"> </w:t>
      </w:r>
      <w:r w:rsidRPr="00B004EE">
        <w:rPr>
          <w:rFonts w:ascii="Tahoma" w:hAnsi="Tahoma" w:cs="Tahoma"/>
          <w:sz w:val="20"/>
          <w:szCs w:val="20"/>
        </w:rPr>
        <w:t>n’est</w:t>
      </w:r>
      <w:r w:rsidR="00DB1635" w:rsidRPr="00B004EE">
        <w:rPr>
          <w:rFonts w:ascii="Tahoma" w:hAnsi="Tahoma" w:cs="Tahoma"/>
          <w:sz w:val="20"/>
          <w:szCs w:val="20"/>
        </w:rPr>
        <w:t xml:space="preserve"> </w:t>
      </w:r>
      <w:r w:rsidRPr="00B004EE">
        <w:rPr>
          <w:rFonts w:ascii="Tahoma" w:hAnsi="Tahoma" w:cs="Tahoma"/>
          <w:sz w:val="20"/>
          <w:szCs w:val="20"/>
        </w:rPr>
        <w:t>susceptible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diminuer</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qualité</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eaux.</w:t>
      </w:r>
      <w:r w:rsidR="00DB1635" w:rsidRPr="00B004EE">
        <w:rPr>
          <w:rFonts w:ascii="Tahoma" w:hAnsi="Tahoma" w:cs="Tahoma"/>
          <w:sz w:val="20"/>
          <w:szCs w:val="20"/>
        </w:rPr>
        <w:t xml:space="preserve"> </w:t>
      </w:r>
    </w:p>
    <w:p w14:paraId="419FD517" w14:textId="77777777" w:rsidR="008105B4" w:rsidRPr="00B004EE" w:rsidRDefault="008105B4" w:rsidP="00B004EE">
      <w:pPr>
        <w:ind w:left="567" w:hanging="567"/>
        <w:jc w:val="both"/>
        <w:rPr>
          <w:rFonts w:ascii="Tahoma" w:hAnsi="Tahoma" w:cs="Tahoma"/>
          <w:sz w:val="20"/>
          <w:szCs w:val="20"/>
        </w:rPr>
      </w:pPr>
    </w:p>
    <w:p w14:paraId="70FA4707" w14:textId="77777777" w:rsidR="000E62A6" w:rsidRPr="00B004EE" w:rsidRDefault="008105B4" w:rsidP="00B004EE">
      <w:pPr>
        <w:ind w:left="567" w:hanging="567"/>
        <w:jc w:val="both"/>
        <w:rPr>
          <w:rFonts w:ascii="Tahoma" w:hAnsi="Tahoma" w:cs="Tahoma"/>
          <w:sz w:val="20"/>
          <w:szCs w:val="20"/>
        </w:rPr>
      </w:pPr>
      <w:r w:rsidRPr="00B004EE">
        <w:rPr>
          <w:rFonts w:ascii="Tahoma" w:hAnsi="Tahoma" w:cs="Tahoma"/>
          <w:sz w:val="20"/>
          <w:szCs w:val="20"/>
        </w:rPr>
        <w:t>Note</w:t>
      </w:r>
      <w:r w:rsidR="00DB1635" w:rsidRPr="00B004EE">
        <w:rPr>
          <w:rFonts w:ascii="Tahoma" w:hAnsi="Tahoma" w:cs="Tahoma"/>
          <w:sz w:val="20"/>
          <w:szCs w:val="20"/>
        </w:rPr>
        <w:t xml:space="preserve"> </w:t>
      </w:r>
      <w:proofErr w:type="gramStart"/>
      <w:r w:rsidRPr="00B004EE">
        <w:rPr>
          <w:rFonts w:ascii="Tahoma" w:hAnsi="Tahoma" w:cs="Tahoma"/>
          <w:sz w:val="20"/>
          <w:szCs w:val="20"/>
        </w:rPr>
        <w:t>3:</w:t>
      </w:r>
      <w:proofErr w:type="gramEnd"/>
      <w:r w:rsidR="00DB1635" w:rsidRPr="00B004EE">
        <w:rPr>
          <w:rFonts w:ascii="Tahoma" w:hAnsi="Tahoma" w:cs="Tahoma"/>
          <w:i/>
          <w:iCs/>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mesure</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possible,</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nombre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prélèvements</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entreprises</w:t>
      </w:r>
      <w:r w:rsidR="00DB1635" w:rsidRPr="00B004EE">
        <w:rPr>
          <w:rFonts w:ascii="Tahoma" w:hAnsi="Tahoma" w:cs="Tahoma"/>
          <w:sz w:val="20"/>
          <w:szCs w:val="20"/>
        </w:rPr>
        <w:t xml:space="preserve"> </w:t>
      </w:r>
      <w:r w:rsidRPr="00B004EE">
        <w:rPr>
          <w:rFonts w:ascii="Tahoma" w:hAnsi="Tahoma" w:cs="Tahoma"/>
          <w:sz w:val="20"/>
          <w:szCs w:val="20"/>
        </w:rPr>
        <w:t>alimentaires</w:t>
      </w:r>
      <w:r w:rsidR="00DB1635" w:rsidRPr="00B004EE">
        <w:rPr>
          <w:rFonts w:ascii="Tahoma" w:hAnsi="Tahoma" w:cs="Tahoma"/>
          <w:sz w:val="20"/>
          <w:szCs w:val="20"/>
        </w:rPr>
        <w:t xml:space="preserve"> </w:t>
      </w:r>
      <w:r w:rsidRPr="00B004EE">
        <w:rPr>
          <w:rFonts w:ascii="Tahoma" w:hAnsi="Tahoma" w:cs="Tahoma"/>
          <w:sz w:val="20"/>
          <w:szCs w:val="20"/>
        </w:rPr>
        <w:t>doit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réparti</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manière</w:t>
      </w:r>
      <w:r w:rsidR="00DB1635" w:rsidRPr="00B004EE">
        <w:rPr>
          <w:rFonts w:ascii="Tahoma" w:hAnsi="Tahoma" w:cs="Tahoma"/>
          <w:sz w:val="20"/>
          <w:szCs w:val="20"/>
        </w:rPr>
        <w:t xml:space="preserve"> </w:t>
      </w:r>
      <w:r w:rsidRPr="00B004EE">
        <w:rPr>
          <w:rFonts w:ascii="Tahoma" w:hAnsi="Tahoma" w:cs="Tahoma"/>
          <w:sz w:val="20"/>
          <w:szCs w:val="20"/>
        </w:rPr>
        <w:t>régulière</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l’année.</w:t>
      </w:r>
    </w:p>
    <w:p w14:paraId="2BBEB00B" w14:textId="29939569" w:rsidR="008105B4" w:rsidRPr="00B004EE" w:rsidRDefault="008105B4" w:rsidP="00B004EE">
      <w:pPr>
        <w:ind w:left="567" w:hanging="567"/>
        <w:jc w:val="both"/>
        <w:rPr>
          <w:rFonts w:ascii="Tahoma" w:hAnsi="Tahoma" w:cs="Tahoma"/>
          <w:sz w:val="20"/>
          <w:szCs w:val="20"/>
        </w:rPr>
      </w:pPr>
    </w:p>
    <w:p w14:paraId="1DD7A6E0" w14:textId="3E7328C7" w:rsidR="000E62A6" w:rsidRPr="00B004EE" w:rsidRDefault="000E62A6" w:rsidP="00B004EE">
      <w:pPr>
        <w:ind w:left="567" w:hanging="567"/>
        <w:jc w:val="both"/>
        <w:rPr>
          <w:rFonts w:ascii="Tahoma" w:hAnsi="Tahoma" w:cs="Tahoma"/>
          <w:sz w:val="20"/>
          <w:szCs w:val="20"/>
        </w:rPr>
      </w:pPr>
    </w:p>
    <w:p w14:paraId="62F03BC6" w14:textId="77777777" w:rsidR="000E62A6" w:rsidRPr="00B004EE" w:rsidRDefault="000E62A6" w:rsidP="00B004EE">
      <w:pPr>
        <w:ind w:left="567" w:hanging="567"/>
        <w:jc w:val="both"/>
        <w:rPr>
          <w:rFonts w:ascii="Tahoma" w:hAnsi="Tahoma" w:cs="Tahoma"/>
          <w:sz w:val="20"/>
          <w:szCs w:val="20"/>
        </w:rPr>
        <w:sectPr w:rsidR="000E62A6" w:rsidRPr="00B004EE" w:rsidSect="00337E3A">
          <w:pgSz w:w="12240" w:h="15840" w:code="1"/>
          <w:pgMar w:top="1417" w:right="1417" w:bottom="1417" w:left="1417" w:header="720" w:footer="720" w:gutter="0"/>
          <w:cols w:space="720"/>
          <w:noEndnote/>
          <w:docGrid w:linePitch="326"/>
        </w:sectPr>
      </w:pPr>
    </w:p>
    <w:p w14:paraId="78672778" w14:textId="77777777" w:rsidR="00584AC9" w:rsidRPr="00A155DA" w:rsidRDefault="00584AC9" w:rsidP="00B004EE">
      <w:pPr>
        <w:pStyle w:val="Titre1"/>
        <w:pBdr>
          <w:top w:val="thinThickMediumGap" w:sz="24" w:space="1" w:color="70AD47" w:themeColor="accent6"/>
          <w:left w:val="thinThickMediumGap" w:sz="24" w:space="4" w:color="70AD47" w:themeColor="accent6"/>
          <w:bottom w:val="thickThinMediumGap" w:sz="24" w:space="1" w:color="70AD47" w:themeColor="accent6"/>
          <w:right w:val="thickThinMediumGap" w:sz="24" w:space="4" w:color="70AD47" w:themeColor="accent6"/>
        </w:pBdr>
        <w:spacing w:line="276" w:lineRule="auto"/>
        <w:jc w:val="both"/>
        <w:rPr>
          <w:rFonts w:ascii="Tahoma" w:hAnsi="Tahoma" w:cs="Tahoma"/>
          <w:szCs w:val="22"/>
        </w:rPr>
      </w:pPr>
      <w:bookmarkStart w:id="194" w:name="_Toc202214687"/>
      <w:r w:rsidRPr="00A155DA">
        <w:rPr>
          <w:rFonts w:ascii="Tahoma" w:hAnsi="Tahoma" w:cs="Tahoma"/>
          <w:szCs w:val="22"/>
        </w:rPr>
        <w:lastRenderedPageBreak/>
        <w:t>Arrêté N° 1254 /MPEM du 19 mai 2010 définissant les conditions minimales d’hygiène, de salubrité, de qualité, de traçabilité et les moyens exigés pour l’octroi des cartes professionnelles de mareyeur</w:t>
      </w:r>
      <w:bookmarkEnd w:id="194"/>
    </w:p>
    <w:p w14:paraId="5B8BF1A0" w14:textId="77777777" w:rsidR="00584AC9" w:rsidRPr="00B004EE" w:rsidRDefault="00584AC9" w:rsidP="00B004EE">
      <w:pPr>
        <w:jc w:val="both"/>
        <w:rPr>
          <w:rFonts w:ascii="Tahoma" w:hAnsi="Tahoma" w:cs="Tahoma"/>
          <w:b/>
          <w:bCs/>
          <w:sz w:val="20"/>
          <w:szCs w:val="20"/>
        </w:rPr>
      </w:pPr>
    </w:p>
    <w:p w14:paraId="65BE7512" w14:textId="37B5FBDC" w:rsidR="00584AC9" w:rsidRPr="00B004EE" w:rsidRDefault="00584AC9" w:rsidP="00B004EE">
      <w:pPr>
        <w:jc w:val="both"/>
        <w:rPr>
          <w:rFonts w:ascii="Tahoma" w:hAnsi="Tahoma" w:cs="Tahoma"/>
          <w:sz w:val="20"/>
          <w:szCs w:val="20"/>
        </w:rPr>
      </w:pPr>
      <w:r w:rsidRPr="00B004EE">
        <w:rPr>
          <w:rFonts w:ascii="Tahoma" w:hAnsi="Tahoma" w:cs="Tahoma"/>
          <w:sz w:val="20"/>
          <w:szCs w:val="20"/>
        </w:rPr>
        <w:t>Article Premier :</w:t>
      </w:r>
      <w:r w:rsidRPr="00B004EE">
        <w:rPr>
          <w:rFonts w:ascii="Tahoma" w:hAnsi="Tahoma" w:cs="Tahoma"/>
          <w:b/>
          <w:bCs/>
          <w:sz w:val="20"/>
          <w:szCs w:val="20"/>
        </w:rPr>
        <w:t xml:space="preserve"> </w:t>
      </w:r>
      <w:r w:rsidRPr="00B004EE">
        <w:rPr>
          <w:rFonts w:ascii="Tahoma" w:hAnsi="Tahoma" w:cs="Tahoma"/>
          <w:sz w:val="20"/>
          <w:szCs w:val="20"/>
        </w:rPr>
        <w:t>En application des dispositions des articles 4 et 5 du décret n° 2009-172 en date du 11 Mai 2009 abrogeant et remplaçant le décret n° 2002-065 du 05 août 2002 relatif à l’exercice de la profession de mareyeur, le présent arrêté définit les moyens et les conditions minimales d’hygiène, de salubrité, de qualité, de traçabilité, exigées pour l’octroi des cartes professionnelles de mareyeur, et subdivise certaines catégories de mareyeurs en sous-catégories.</w:t>
      </w:r>
    </w:p>
    <w:p w14:paraId="569E1911" w14:textId="77777777" w:rsidR="00584AC9" w:rsidRPr="00B004EE" w:rsidRDefault="00584AC9" w:rsidP="00B004EE">
      <w:pPr>
        <w:jc w:val="both"/>
        <w:rPr>
          <w:rFonts w:ascii="Tahoma" w:hAnsi="Tahoma" w:cs="Tahoma"/>
          <w:sz w:val="20"/>
          <w:szCs w:val="20"/>
        </w:rPr>
      </w:pPr>
    </w:p>
    <w:p w14:paraId="0A347FBD" w14:textId="77777777" w:rsidR="00584AC9" w:rsidRPr="00B004EE" w:rsidRDefault="00584AC9" w:rsidP="00B004EE">
      <w:pPr>
        <w:jc w:val="both"/>
        <w:rPr>
          <w:rFonts w:ascii="Tahoma" w:hAnsi="Tahoma" w:cs="Tahoma"/>
          <w:sz w:val="20"/>
          <w:szCs w:val="20"/>
        </w:rPr>
      </w:pPr>
    </w:p>
    <w:p w14:paraId="1B1531FB" w14:textId="77777777" w:rsidR="00584AC9" w:rsidRPr="00B004EE" w:rsidRDefault="00584AC9" w:rsidP="00B004EE">
      <w:pPr>
        <w:jc w:val="both"/>
        <w:rPr>
          <w:rFonts w:ascii="Tahoma" w:hAnsi="Tahoma" w:cs="Tahoma"/>
          <w:b/>
          <w:bCs/>
          <w:sz w:val="20"/>
          <w:szCs w:val="20"/>
        </w:rPr>
      </w:pPr>
      <w:r w:rsidRPr="00B004EE">
        <w:rPr>
          <w:rFonts w:ascii="Tahoma" w:hAnsi="Tahoma" w:cs="Tahoma"/>
          <w:sz w:val="20"/>
          <w:szCs w:val="20"/>
        </w:rPr>
        <w:t>Article 2 :</w:t>
      </w:r>
      <w:r w:rsidRPr="00B004EE">
        <w:rPr>
          <w:rFonts w:ascii="Tahoma" w:hAnsi="Tahoma" w:cs="Tahoma"/>
          <w:b/>
          <w:bCs/>
          <w:sz w:val="20"/>
          <w:szCs w:val="20"/>
        </w:rPr>
        <w:t> Définitions</w:t>
      </w:r>
    </w:p>
    <w:p w14:paraId="172B2621" w14:textId="77777777" w:rsidR="00584AC9" w:rsidRPr="00B004EE" w:rsidRDefault="00584AC9" w:rsidP="00B004EE">
      <w:pPr>
        <w:jc w:val="both"/>
        <w:rPr>
          <w:rFonts w:ascii="Tahoma" w:hAnsi="Tahoma" w:cs="Tahoma"/>
          <w:sz w:val="20"/>
          <w:szCs w:val="20"/>
        </w:rPr>
      </w:pPr>
    </w:p>
    <w:p w14:paraId="6D627F73" w14:textId="77777777" w:rsidR="00584AC9" w:rsidRPr="00B004EE" w:rsidRDefault="00584AC9" w:rsidP="00B004EE">
      <w:pPr>
        <w:jc w:val="both"/>
        <w:rPr>
          <w:rFonts w:ascii="Tahoma" w:hAnsi="Tahoma" w:cs="Tahoma"/>
          <w:sz w:val="20"/>
          <w:szCs w:val="20"/>
        </w:rPr>
      </w:pPr>
      <w:r w:rsidRPr="00B004EE">
        <w:rPr>
          <w:rFonts w:ascii="Tahoma" w:hAnsi="Tahoma" w:cs="Tahoma"/>
          <w:b/>
          <w:bCs/>
          <w:sz w:val="20"/>
          <w:szCs w:val="20"/>
        </w:rPr>
        <w:t>La traçabilité</w:t>
      </w:r>
      <w:r w:rsidRPr="00B004EE">
        <w:rPr>
          <w:rFonts w:ascii="Tahoma" w:hAnsi="Tahoma" w:cs="Tahoma"/>
          <w:sz w:val="20"/>
          <w:szCs w:val="20"/>
        </w:rPr>
        <w:t xml:space="preserve"> est définie comme l’aptitude à retrouver l’historique, l’utilisation ou la localisation d’un article ou d’une activité, ou d’articles ou d’activités semblables, au moyen d’une identification enregistrée (ISO 8402). Elle permet de suivre et de retrouver un produit ou un service depuis sa création (production) jusqu’à sa destruction (consommation).</w:t>
      </w:r>
    </w:p>
    <w:p w14:paraId="76C05935" w14:textId="77777777" w:rsidR="00584AC9" w:rsidRPr="00B004EE" w:rsidRDefault="00584AC9" w:rsidP="00B004EE">
      <w:pPr>
        <w:jc w:val="both"/>
        <w:rPr>
          <w:rFonts w:ascii="Tahoma" w:hAnsi="Tahoma" w:cs="Tahoma"/>
          <w:sz w:val="20"/>
          <w:szCs w:val="20"/>
        </w:rPr>
      </w:pPr>
    </w:p>
    <w:p w14:paraId="4C2B3EF7" w14:textId="77777777" w:rsidR="00584AC9" w:rsidRPr="00B004EE" w:rsidRDefault="00584AC9" w:rsidP="00B004EE">
      <w:pPr>
        <w:jc w:val="both"/>
        <w:rPr>
          <w:rFonts w:ascii="Tahoma" w:hAnsi="Tahoma" w:cs="Tahoma"/>
          <w:sz w:val="20"/>
          <w:szCs w:val="20"/>
        </w:rPr>
      </w:pPr>
      <w:r w:rsidRPr="00B004EE">
        <w:rPr>
          <w:rFonts w:ascii="Tahoma" w:hAnsi="Tahoma" w:cs="Tahoma"/>
          <w:b/>
          <w:bCs/>
          <w:sz w:val="20"/>
          <w:szCs w:val="20"/>
        </w:rPr>
        <w:t>Magasin de mareyage</w:t>
      </w:r>
      <w:r w:rsidRPr="00B004EE">
        <w:rPr>
          <w:rFonts w:ascii="Tahoma" w:hAnsi="Tahoma" w:cs="Tahoma"/>
          <w:sz w:val="20"/>
          <w:szCs w:val="20"/>
        </w:rPr>
        <w:t> : C’est un local destiné à la collecte des produits frais de la pêche, dans lequel les mareyeurs collecteurs procèdent uniquement à la réception, au pesage, au glaçage et à la commercialisation des produits frais.</w:t>
      </w:r>
    </w:p>
    <w:p w14:paraId="321B552F" w14:textId="77777777" w:rsidR="00584AC9" w:rsidRPr="00B004EE" w:rsidRDefault="00584AC9" w:rsidP="00B004EE">
      <w:pPr>
        <w:jc w:val="both"/>
        <w:rPr>
          <w:rFonts w:ascii="Tahoma" w:hAnsi="Tahoma" w:cs="Tahoma"/>
          <w:sz w:val="20"/>
          <w:szCs w:val="20"/>
        </w:rPr>
      </w:pPr>
    </w:p>
    <w:p w14:paraId="5D9FC28A" w14:textId="77777777" w:rsidR="00584AC9" w:rsidRPr="00B004EE" w:rsidRDefault="00584AC9" w:rsidP="00B004EE">
      <w:pPr>
        <w:jc w:val="both"/>
        <w:rPr>
          <w:rFonts w:ascii="Tahoma" w:hAnsi="Tahoma" w:cs="Tahoma"/>
          <w:sz w:val="20"/>
          <w:szCs w:val="20"/>
        </w:rPr>
      </w:pPr>
      <w:r w:rsidRPr="00B004EE">
        <w:rPr>
          <w:rFonts w:ascii="Tahoma" w:hAnsi="Tahoma" w:cs="Tahoma"/>
          <w:b/>
          <w:bCs/>
          <w:sz w:val="20"/>
          <w:szCs w:val="20"/>
        </w:rPr>
        <w:t>Atelier de mareyage</w:t>
      </w:r>
      <w:r w:rsidRPr="00B004EE">
        <w:rPr>
          <w:rFonts w:ascii="Tahoma" w:hAnsi="Tahoma" w:cs="Tahoma"/>
          <w:sz w:val="20"/>
          <w:szCs w:val="20"/>
        </w:rPr>
        <w:t> : C’est un local destiné à la collecte et la vente des produits frais de la pêche où sont effectuées les opérations de mareyage à savoir la réception, le triage, le pesage, éventuellement le lavage, le glaçage et l’emballage des produits.</w:t>
      </w:r>
    </w:p>
    <w:p w14:paraId="54F71980" w14:textId="77777777" w:rsidR="00584AC9" w:rsidRPr="00B004EE" w:rsidRDefault="00584AC9" w:rsidP="00B004EE">
      <w:pPr>
        <w:jc w:val="both"/>
        <w:rPr>
          <w:rFonts w:ascii="Tahoma" w:hAnsi="Tahoma" w:cs="Tahoma"/>
          <w:sz w:val="20"/>
          <w:szCs w:val="20"/>
        </w:rPr>
      </w:pPr>
    </w:p>
    <w:p w14:paraId="269A1686" w14:textId="06E6BE21" w:rsidR="00584AC9" w:rsidRPr="00B004EE" w:rsidRDefault="00584AC9" w:rsidP="00B004EE">
      <w:pPr>
        <w:jc w:val="both"/>
        <w:rPr>
          <w:rFonts w:ascii="Tahoma" w:hAnsi="Tahoma" w:cs="Tahoma"/>
          <w:sz w:val="20"/>
          <w:szCs w:val="20"/>
        </w:rPr>
      </w:pPr>
      <w:r w:rsidRPr="00B004EE">
        <w:rPr>
          <w:rFonts w:ascii="Tahoma" w:hAnsi="Tahoma" w:cs="Tahoma"/>
          <w:sz w:val="20"/>
          <w:szCs w:val="20"/>
        </w:rPr>
        <w:t>Article 3 :</w:t>
      </w:r>
      <w:r w:rsidRPr="00B004EE">
        <w:rPr>
          <w:rFonts w:ascii="Tahoma" w:hAnsi="Tahoma" w:cs="Tahoma"/>
          <w:b/>
          <w:bCs/>
          <w:sz w:val="20"/>
          <w:szCs w:val="20"/>
        </w:rPr>
        <w:t xml:space="preserve"> </w:t>
      </w:r>
      <w:r w:rsidRPr="00B004EE">
        <w:rPr>
          <w:rFonts w:ascii="Tahoma" w:hAnsi="Tahoma" w:cs="Tahoma"/>
          <w:sz w:val="20"/>
          <w:szCs w:val="20"/>
        </w:rPr>
        <w:t>Le magasin de mareyage doit être conçu et équipé conformément aux spécifications techniques suivantes :</w:t>
      </w:r>
    </w:p>
    <w:p w14:paraId="005ED00D" w14:textId="77777777" w:rsidR="00584AC9" w:rsidRPr="00B004EE" w:rsidRDefault="00584AC9" w:rsidP="00420DDA">
      <w:pPr>
        <w:numPr>
          <w:ilvl w:val="0"/>
          <w:numId w:val="154"/>
        </w:numPr>
        <w:jc w:val="both"/>
        <w:rPr>
          <w:rFonts w:ascii="Tahoma" w:hAnsi="Tahoma" w:cs="Tahoma"/>
          <w:sz w:val="20"/>
          <w:szCs w:val="20"/>
        </w:rPr>
      </w:pPr>
      <w:r w:rsidRPr="00B004EE">
        <w:rPr>
          <w:rFonts w:ascii="Tahoma" w:hAnsi="Tahoma" w:cs="Tahoma"/>
          <w:sz w:val="20"/>
          <w:szCs w:val="20"/>
        </w:rPr>
        <w:t>Un revêtement du sol en matériau dur, imperméable, imputrescible, antidérapant, facile à nettoyer et à désinfecter ;</w:t>
      </w:r>
    </w:p>
    <w:p w14:paraId="50602D22" w14:textId="77777777" w:rsidR="00584AC9" w:rsidRPr="00B004EE" w:rsidRDefault="00584AC9" w:rsidP="00420DDA">
      <w:pPr>
        <w:numPr>
          <w:ilvl w:val="0"/>
          <w:numId w:val="154"/>
        </w:numPr>
        <w:jc w:val="both"/>
        <w:rPr>
          <w:rFonts w:ascii="Tahoma" w:hAnsi="Tahoma" w:cs="Tahoma"/>
          <w:sz w:val="20"/>
          <w:szCs w:val="20"/>
        </w:rPr>
      </w:pPr>
      <w:r w:rsidRPr="00B004EE">
        <w:rPr>
          <w:rFonts w:ascii="Tahoma" w:hAnsi="Tahoma" w:cs="Tahoma"/>
          <w:sz w:val="20"/>
          <w:szCs w:val="20"/>
        </w:rPr>
        <w:t>Un sol muni de système d’évacuation et ayant une pente et des rigoles permettant un écoulement des eaux de nettoyage et de fusion de la glace ;</w:t>
      </w:r>
    </w:p>
    <w:p w14:paraId="14B043DA" w14:textId="77777777" w:rsidR="00584AC9" w:rsidRPr="00B004EE" w:rsidRDefault="00584AC9" w:rsidP="00420DDA">
      <w:pPr>
        <w:numPr>
          <w:ilvl w:val="0"/>
          <w:numId w:val="154"/>
        </w:numPr>
        <w:jc w:val="both"/>
        <w:rPr>
          <w:rFonts w:ascii="Tahoma" w:hAnsi="Tahoma" w:cs="Tahoma"/>
          <w:sz w:val="20"/>
          <w:szCs w:val="20"/>
        </w:rPr>
      </w:pPr>
      <w:r w:rsidRPr="00B004EE">
        <w:rPr>
          <w:rFonts w:ascii="Tahoma" w:hAnsi="Tahoma" w:cs="Tahoma"/>
          <w:sz w:val="20"/>
          <w:szCs w:val="20"/>
        </w:rPr>
        <w:t>Des murs avec un revêtement clair, lisse, imperméable, résistant et facile à nettoyer ;</w:t>
      </w:r>
    </w:p>
    <w:p w14:paraId="4927C388" w14:textId="77777777" w:rsidR="00584AC9" w:rsidRPr="00B004EE" w:rsidRDefault="00584AC9" w:rsidP="00420DDA">
      <w:pPr>
        <w:numPr>
          <w:ilvl w:val="0"/>
          <w:numId w:val="154"/>
        </w:numPr>
        <w:jc w:val="both"/>
        <w:rPr>
          <w:rFonts w:ascii="Tahoma" w:hAnsi="Tahoma" w:cs="Tahoma"/>
          <w:sz w:val="20"/>
          <w:szCs w:val="20"/>
        </w:rPr>
      </w:pPr>
      <w:r w:rsidRPr="00B004EE">
        <w:rPr>
          <w:rFonts w:ascii="Tahoma" w:hAnsi="Tahoma" w:cs="Tahoma"/>
          <w:sz w:val="20"/>
          <w:szCs w:val="20"/>
        </w:rPr>
        <w:t>Un plafond clair, résistant et facile à nettoyer ;</w:t>
      </w:r>
    </w:p>
    <w:p w14:paraId="1585213C" w14:textId="77777777" w:rsidR="00584AC9" w:rsidRPr="00B004EE" w:rsidRDefault="00584AC9" w:rsidP="00420DDA">
      <w:pPr>
        <w:numPr>
          <w:ilvl w:val="0"/>
          <w:numId w:val="154"/>
        </w:numPr>
        <w:jc w:val="both"/>
        <w:rPr>
          <w:rFonts w:ascii="Tahoma" w:hAnsi="Tahoma" w:cs="Tahoma"/>
          <w:sz w:val="20"/>
          <w:szCs w:val="20"/>
        </w:rPr>
      </w:pPr>
      <w:r w:rsidRPr="00B004EE">
        <w:rPr>
          <w:rFonts w:ascii="Tahoma" w:hAnsi="Tahoma" w:cs="Tahoma"/>
          <w:sz w:val="20"/>
          <w:szCs w:val="20"/>
        </w:rPr>
        <w:t>Des portes en matériaux inaltérables et faciles à nettoyer ;</w:t>
      </w:r>
    </w:p>
    <w:p w14:paraId="2F58B2B2" w14:textId="77777777" w:rsidR="00584AC9" w:rsidRPr="00B004EE" w:rsidRDefault="00584AC9" w:rsidP="00420DDA">
      <w:pPr>
        <w:numPr>
          <w:ilvl w:val="0"/>
          <w:numId w:val="154"/>
        </w:numPr>
        <w:jc w:val="both"/>
        <w:rPr>
          <w:rFonts w:ascii="Tahoma" w:hAnsi="Tahoma" w:cs="Tahoma"/>
          <w:sz w:val="20"/>
          <w:szCs w:val="20"/>
        </w:rPr>
      </w:pPr>
      <w:r w:rsidRPr="00B004EE">
        <w:rPr>
          <w:rFonts w:ascii="Tahoma" w:hAnsi="Tahoma" w:cs="Tahoma"/>
          <w:sz w:val="20"/>
          <w:szCs w:val="20"/>
        </w:rPr>
        <w:t>Un éclairage étanche et une aération suffisante ;</w:t>
      </w:r>
    </w:p>
    <w:p w14:paraId="78CC1D78" w14:textId="77777777" w:rsidR="00584AC9" w:rsidRPr="00B004EE" w:rsidRDefault="00584AC9" w:rsidP="00420DDA">
      <w:pPr>
        <w:numPr>
          <w:ilvl w:val="0"/>
          <w:numId w:val="154"/>
        </w:numPr>
        <w:jc w:val="both"/>
        <w:rPr>
          <w:rFonts w:ascii="Tahoma" w:hAnsi="Tahoma" w:cs="Tahoma"/>
          <w:sz w:val="20"/>
          <w:szCs w:val="20"/>
        </w:rPr>
      </w:pPr>
      <w:r w:rsidRPr="00B004EE">
        <w:rPr>
          <w:rFonts w:ascii="Tahoma" w:hAnsi="Tahoma" w:cs="Tahoma"/>
          <w:sz w:val="20"/>
          <w:szCs w:val="20"/>
        </w:rPr>
        <w:t>Un lave mains, une eau propre et un système de ‘‘tue mouches’’ disponibles ;</w:t>
      </w:r>
    </w:p>
    <w:p w14:paraId="49937762" w14:textId="77777777" w:rsidR="00584AC9" w:rsidRPr="00B004EE" w:rsidRDefault="00584AC9" w:rsidP="00B004EE">
      <w:pPr>
        <w:jc w:val="both"/>
        <w:rPr>
          <w:rFonts w:ascii="Tahoma" w:hAnsi="Tahoma" w:cs="Tahoma"/>
          <w:sz w:val="20"/>
          <w:szCs w:val="20"/>
        </w:rPr>
      </w:pPr>
    </w:p>
    <w:p w14:paraId="3957CEEE" w14:textId="77777777" w:rsidR="00584AC9" w:rsidRPr="00B004EE" w:rsidRDefault="00584AC9" w:rsidP="00B004EE">
      <w:pPr>
        <w:jc w:val="both"/>
        <w:rPr>
          <w:rFonts w:ascii="Tahoma" w:hAnsi="Tahoma" w:cs="Tahoma"/>
          <w:sz w:val="20"/>
          <w:szCs w:val="20"/>
        </w:rPr>
      </w:pPr>
      <w:r w:rsidRPr="00B004EE">
        <w:rPr>
          <w:rFonts w:ascii="Tahoma" w:hAnsi="Tahoma" w:cs="Tahoma"/>
          <w:sz w:val="20"/>
          <w:szCs w:val="20"/>
        </w:rPr>
        <w:t>Les caisses de manutention, la table de travail, les bacs de conservation de la glace, les palettes d’entreposage, les pelles, le récipient à couvercle pour l’évacuation des déchets doivent être conforme aux normes requises.</w:t>
      </w:r>
    </w:p>
    <w:p w14:paraId="78AA629D" w14:textId="77777777" w:rsidR="00584AC9" w:rsidRPr="00B004EE" w:rsidRDefault="00584AC9" w:rsidP="00B004EE">
      <w:pPr>
        <w:jc w:val="both"/>
        <w:rPr>
          <w:rFonts w:ascii="Tahoma" w:hAnsi="Tahoma" w:cs="Tahoma"/>
          <w:sz w:val="20"/>
          <w:szCs w:val="20"/>
        </w:rPr>
      </w:pPr>
    </w:p>
    <w:p w14:paraId="3B961F4A" w14:textId="77777777" w:rsidR="00584AC9" w:rsidRPr="00B004EE" w:rsidRDefault="00584AC9" w:rsidP="00B004EE">
      <w:pPr>
        <w:jc w:val="both"/>
        <w:rPr>
          <w:rFonts w:ascii="Tahoma" w:hAnsi="Tahoma" w:cs="Tahoma"/>
          <w:sz w:val="20"/>
          <w:szCs w:val="20"/>
        </w:rPr>
      </w:pPr>
      <w:r w:rsidRPr="00B004EE">
        <w:rPr>
          <w:rFonts w:ascii="Tahoma" w:hAnsi="Tahoma" w:cs="Tahoma"/>
          <w:sz w:val="20"/>
          <w:szCs w:val="20"/>
        </w:rPr>
        <w:t>Article 4 :</w:t>
      </w:r>
      <w:r w:rsidRPr="00B004EE">
        <w:rPr>
          <w:rFonts w:ascii="Tahoma" w:hAnsi="Tahoma" w:cs="Tahoma"/>
          <w:b/>
          <w:bCs/>
          <w:sz w:val="20"/>
          <w:szCs w:val="20"/>
        </w:rPr>
        <w:t xml:space="preserve"> </w:t>
      </w:r>
      <w:r w:rsidRPr="00B004EE">
        <w:rPr>
          <w:rFonts w:ascii="Tahoma" w:hAnsi="Tahoma" w:cs="Tahoma"/>
          <w:sz w:val="20"/>
          <w:szCs w:val="20"/>
        </w:rPr>
        <w:t>Les ateliers de mareyage ne peuvent en aucun cas servir à d’autres activités que celles prévues à l’article 2 ci-dessus. Le traitement, la préparation, l’éviscération, l’étêtage, la vidange ainsi que la congélation et le stockage des produits ne peuvent être effectués dans ces ateliers.</w:t>
      </w:r>
    </w:p>
    <w:p w14:paraId="093B3646" w14:textId="77777777" w:rsidR="00584AC9" w:rsidRPr="00B004EE" w:rsidRDefault="00584AC9" w:rsidP="00B004EE">
      <w:pPr>
        <w:jc w:val="both"/>
        <w:rPr>
          <w:rFonts w:ascii="Tahoma" w:hAnsi="Tahoma" w:cs="Tahoma"/>
          <w:sz w:val="20"/>
          <w:szCs w:val="20"/>
        </w:rPr>
      </w:pPr>
    </w:p>
    <w:p w14:paraId="3F9DCD7B" w14:textId="77777777" w:rsidR="00584AC9" w:rsidRPr="00B004EE" w:rsidRDefault="00584AC9" w:rsidP="00B004EE">
      <w:pPr>
        <w:jc w:val="both"/>
        <w:rPr>
          <w:rFonts w:ascii="Tahoma" w:hAnsi="Tahoma" w:cs="Tahoma"/>
          <w:sz w:val="20"/>
          <w:szCs w:val="20"/>
        </w:rPr>
      </w:pPr>
      <w:r w:rsidRPr="00B004EE">
        <w:rPr>
          <w:rFonts w:ascii="Tahoma" w:hAnsi="Tahoma" w:cs="Tahoma"/>
          <w:sz w:val="20"/>
          <w:szCs w:val="20"/>
        </w:rPr>
        <w:t>En plus des conditions exigées pour le magasin, l’atelier doit avoir une superficie suffisante, être doté d’un dispositif de lutte contre les animaux indésirables et équipé d’un système de réfrigération pour la vente et la conservation des produits de la pêche.</w:t>
      </w:r>
    </w:p>
    <w:p w14:paraId="23E0CE6A" w14:textId="77777777" w:rsidR="00584AC9" w:rsidRPr="00B004EE" w:rsidRDefault="00584AC9" w:rsidP="00B004EE">
      <w:pPr>
        <w:jc w:val="both"/>
        <w:rPr>
          <w:rFonts w:ascii="Tahoma" w:hAnsi="Tahoma" w:cs="Tahoma"/>
          <w:sz w:val="20"/>
          <w:szCs w:val="20"/>
        </w:rPr>
      </w:pPr>
    </w:p>
    <w:p w14:paraId="025B6D1D" w14:textId="77777777" w:rsidR="00584AC9" w:rsidRPr="00B004EE" w:rsidRDefault="00584AC9" w:rsidP="00B004EE">
      <w:pPr>
        <w:jc w:val="both"/>
        <w:rPr>
          <w:rFonts w:ascii="Tahoma" w:hAnsi="Tahoma" w:cs="Tahoma"/>
          <w:sz w:val="20"/>
          <w:szCs w:val="20"/>
        </w:rPr>
      </w:pPr>
      <w:r w:rsidRPr="00B004EE">
        <w:rPr>
          <w:rFonts w:ascii="Tahoma" w:hAnsi="Tahoma" w:cs="Tahoma"/>
          <w:sz w:val="20"/>
          <w:szCs w:val="20"/>
        </w:rPr>
        <w:t>Article 5 :</w:t>
      </w:r>
      <w:r w:rsidRPr="00B004EE">
        <w:rPr>
          <w:rFonts w:ascii="Tahoma" w:hAnsi="Tahoma" w:cs="Tahoma"/>
          <w:b/>
          <w:bCs/>
          <w:sz w:val="20"/>
          <w:szCs w:val="20"/>
        </w:rPr>
        <w:t xml:space="preserve"> </w:t>
      </w:r>
      <w:r w:rsidRPr="00B004EE">
        <w:rPr>
          <w:rFonts w:ascii="Tahoma" w:hAnsi="Tahoma" w:cs="Tahoma"/>
          <w:sz w:val="20"/>
          <w:szCs w:val="20"/>
        </w:rPr>
        <w:t xml:space="preserve">Les mareyeurs collecteurs dits de </w:t>
      </w:r>
      <w:r w:rsidRPr="00B004EE">
        <w:rPr>
          <w:rFonts w:ascii="Tahoma" w:hAnsi="Tahoma" w:cs="Tahoma"/>
          <w:b/>
          <w:bCs/>
          <w:sz w:val="20"/>
          <w:szCs w:val="20"/>
        </w:rPr>
        <w:t>1</w:t>
      </w:r>
      <w:r w:rsidRPr="00B004EE">
        <w:rPr>
          <w:rFonts w:ascii="Tahoma" w:hAnsi="Tahoma" w:cs="Tahoma"/>
          <w:b/>
          <w:bCs/>
          <w:sz w:val="20"/>
          <w:szCs w:val="20"/>
          <w:vertAlign w:val="superscript"/>
        </w:rPr>
        <w:t>ère</w:t>
      </w:r>
      <w:r w:rsidRPr="00B004EE">
        <w:rPr>
          <w:rFonts w:ascii="Tahoma" w:hAnsi="Tahoma" w:cs="Tahoma"/>
          <w:b/>
          <w:bCs/>
          <w:sz w:val="20"/>
          <w:szCs w:val="20"/>
        </w:rPr>
        <w:t xml:space="preserve"> catégorie</w:t>
      </w:r>
      <w:r w:rsidRPr="00B004EE">
        <w:rPr>
          <w:rFonts w:ascii="Tahoma" w:hAnsi="Tahoma" w:cs="Tahoma"/>
          <w:sz w:val="20"/>
          <w:szCs w:val="20"/>
        </w:rPr>
        <w:t xml:space="preserve"> ne sont pas divisés en sous-catégories.</w:t>
      </w:r>
    </w:p>
    <w:p w14:paraId="08759248" w14:textId="77777777" w:rsidR="00584AC9" w:rsidRPr="00B004EE" w:rsidRDefault="00584AC9" w:rsidP="00B004EE">
      <w:pPr>
        <w:jc w:val="both"/>
        <w:rPr>
          <w:rFonts w:ascii="Tahoma" w:hAnsi="Tahoma" w:cs="Tahoma"/>
          <w:sz w:val="20"/>
          <w:szCs w:val="20"/>
        </w:rPr>
      </w:pPr>
    </w:p>
    <w:p w14:paraId="21799619" w14:textId="77777777" w:rsidR="00584AC9" w:rsidRPr="00B004EE" w:rsidRDefault="00584AC9" w:rsidP="00B004EE">
      <w:pPr>
        <w:jc w:val="both"/>
        <w:rPr>
          <w:rFonts w:ascii="Tahoma" w:hAnsi="Tahoma" w:cs="Tahoma"/>
          <w:sz w:val="20"/>
          <w:szCs w:val="20"/>
        </w:rPr>
      </w:pPr>
      <w:r w:rsidRPr="00B004EE">
        <w:rPr>
          <w:rFonts w:ascii="Tahoma" w:hAnsi="Tahoma" w:cs="Tahoma"/>
          <w:sz w:val="20"/>
          <w:szCs w:val="20"/>
        </w:rPr>
        <w:t xml:space="preserve">Les mareyeurs distributeurs dits de </w:t>
      </w:r>
      <w:r w:rsidRPr="00B004EE">
        <w:rPr>
          <w:rFonts w:ascii="Tahoma" w:hAnsi="Tahoma" w:cs="Tahoma"/>
          <w:b/>
          <w:bCs/>
          <w:sz w:val="20"/>
          <w:szCs w:val="20"/>
        </w:rPr>
        <w:t>2</w:t>
      </w:r>
      <w:r w:rsidRPr="00B004EE">
        <w:rPr>
          <w:rFonts w:ascii="Tahoma" w:hAnsi="Tahoma" w:cs="Tahoma"/>
          <w:b/>
          <w:bCs/>
          <w:sz w:val="20"/>
          <w:szCs w:val="20"/>
          <w:vertAlign w:val="superscript"/>
        </w:rPr>
        <w:t>ème</w:t>
      </w:r>
      <w:r w:rsidRPr="00B004EE">
        <w:rPr>
          <w:rFonts w:ascii="Tahoma" w:hAnsi="Tahoma" w:cs="Tahoma"/>
          <w:b/>
          <w:bCs/>
          <w:sz w:val="20"/>
          <w:szCs w:val="20"/>
        </w:rPr>
        <w:t xml:space="preserve"> catégorie</w:t>
      </w:r>
      <w:r w:rsidRPr="00B004EE">
        <w:rPr>
          <w:rFonts w:ascii="Tahoma" w:hAnsi="Tahoma" w:cs="Tahoma"/>
          <w:sz w:val="20"/>
          <w:szCs w:val="20"/>
        </w:rPr>
        <w:t>, sont divisés, suivant le volume de transaction et la zone de distribution, en deux sous-catégories :</w:t>
      </w:r>
    </w:p>
    <w:p w14:paraId="5080018E" w14:textId="77777777" w:rsidR="00584AC9" w:rsidRPr="00B004EE" w:rsidRDefault="00584AC9" w:rsidP="00420DDA">
      <w:pPr>
        <w:numPr>
          <w:ilvl w:val="0"/>
          <w:numId w:val="155"/>
        </w:numPr>
        <w:jc w:val="both"/>
        <w:rPr>
          <w:rFonts w:ascii="Tahoma" w:hAnsi="Tahoma" w:cs="Tahoma"/>
          <w:sz w:val="20"/>
          <w:szCs w:val="20"/>
        </w:rPr>
      </w:pPr>
      <w:r w:rsidRPr="00B004EE">
        <w:rPr>
          <w:rFonts w:ascii="Tahoma" w:hAnsi="Tahoma" w:cs="Tahoma"/>
          <w:sz w:val="20"/>
          <w:szCs w:val="20"/>
        </w:rPr>
        <w:t>-</w:t>
      </w:r>
      <w:r w:rsidRPr="00B004EE">
        <w:rPr>
          <w:rFonts w:ascii="Tahoma" w:hAnsi="Tahoma" w:cs="Tahoma"/>
          <w:b/>
          <w:bCs/>
          <w:sz w:val="20"/>
          <w:szCs w:val="20"/>
        </w:rPr>
        <w:t>Sous-catégorie</w:t>
      </w:r>
      <w:r w:rsidRPr="00B004EE">
        <w:rPr>
          <w:rFonts w:ascii="Tahoma" w:hAnsi="Tahoma" w:cs="Tahoma"/>
          <w:sz w:val="20"/>
          <w:szCs w:val="20"/>
        </w:rPr>
        <w:t xml:space="preserve"> : Le mareyeur distributeur de cette sous-catégorie est celui dont le volume de transaction est inférieur ou égal à 100 kg par jour et le champ de distribution se limite à l’intérieur de la ville ;</w:t>
      </w:r>
    </w:p>
    <w:p w14:paraId="59C8964A" w14:textId="77777777" w:rsidR="00584AC9" w:rsidRPr="00B004EE" w:rsidRDefault="00584AC9" w:rsidP="00B004EE">
      <w:pPr>
        <w:jc w:val="both"/>
        <w:rPr>
          <w:rFonts w:ascii="Tahoma" w:hAnsi="Tahoma" w:cs="Tahoma"/>
          <w:sz w:val="20"/>
          <w:szCs w:val="20"/>
        </w:rPr>
      </w:pPr>
    </w:p>
    <w:p w14:paraId="7F3A740A" w14:textId="77777777" w:rsidR="00584AC9" w:rsidRPr="00B004EE" w:rsidRDefault="00584AC9" w:rsidP="00420DDA">
      <w:pPr>
        <w:numPr>
          <w:ilvl w:val="0"/>
          <w:numId w:val="155"/>
        </w:numPr>
        <w:jc w:val="both"/>
        <w:rPr>
          <w:rFonts w:ascii="Tahoma" w:hAnsi="Tahoma" w:cs="Tahoma"/>
          <w:sz w:val="20"/>
          <w:szCs w:val="20"/>
        </w:rPr>
      </w:pPr>
      <w:r w:rsidRPr="00B004EE">
        <w:rPr>
          <w:rFonts w:ascii="Tahoma" w:hAnsi="Tahoma" w:cs="Tahoma"/>
          <w:sz w:val="20"/>
          <w:szCs w:val="20"/>
        </w:rPr>
        <w:t>-</w:t>
      </w:r>
      <w:r w:rsidRPr="00B004EE">
        <w:rPr>
          <w:rFonts w:ascii="Tahoma" w:hAnsi="Tahoma" w:cs="Tahoma"/>
          <w:b/>
          <w:bCs/>
          <w:sz w:val="20"/>
          <w:szCs w:val="20"/>
        </w:rPr>
        <w:t>Sous-catégorie</w:t>
      </w:r>
      <w:r w:rsidRPr="00B004EE">
        <w:rPr>
          <w:rFonts w:ascii="Tahoma" w:hAnsi="Tahoma" w:cs="Tahoma"/>
          <w:sz w:val="20"/>
          <w:szCs w:val="20"/>
        </w:rPr>
        <w:t xml:space="preserve"> : Le mareyeur distributeur de cette sous-catégorie est celui dont le volume de transaction est supérieur à 100 kg par jour et ou la zone de distribution est élargie à toute l’étendue du territoire national.</w:t>
      </w:r>
    </w:p>
    <w:p w14:paraId="008297B3" w14:textId="77777777" w:rsidR="00584AC9" w:rsidRPr="00B004EE" w:rsidRDefault="00584AC9" w:rsidP="00B004EE">
      <w:pPr>
        <w:jc w:val="both"/>
        <w:rPr>
          <w:rFonts w:ascii="Tahoma" w:hAnsi="Tahoma" w:cs="Tahoma"/>
          <w:sz w:val="20"/>
          <w:szCs w:val="20"/>
        </w:rPr>
      </w:pPr>
    </w:p>
    <w:p w14:paraId="2D026F71" w14:textId="77777777" w:rsidR="00584AC9" w:rsidRPr="00B004EE" w:rsidRDefault="00584AC9" w:rsidP="00B004EE">
      <w:pPr>
        <w:jc w:val="both"/>
        <w:rPr>
          <w:rFonts w:ascii="Tahoma" w:hAnsi="Tahoma" w:cs="Tahoma"/>
          <w:sz w:val="20"/>
          <w:szCs w:val="20"/>
        </w:rPr>
      </w:pPr>
      <w:r w:rsidRPr="00B004EE">
        <w:rPr>
          <w:rFonts w:ascii="Tahoma" w:hAnsi="Tahoma" w:cs="Tahoma"/>
          <w:b/>
          <w:bCs/>
          <w:sz w:val="20"/>
          <w:szCs w:val="20"/>
        </w:rPr>
        <w:t>Les mareyeurs exportateurs, dits de 3</w:t>
      </w:r>
      <w:r w:rsidRPr="00B004EE">
        <w:rPr>
          <w:rFonts w:ascii="Tahoma" w:hAnsi="Tahoma" w:cs="Tahoma"/>
          <w:b/>
          <w:bCs/>
          <w:sz w:val="20"/>
          <w:szCs w:val="20"/>
          <w:vertAlign w:val="superscript"/>
        </w:rPr>
        <w:t>ème</w:t>
      </w:r>
      <w:r w:rsidRPr="00B004EE">
        <w:rPr>
          <w:rFonts w:ascii="Tahoma" w:hAnsi="Tahoma" w:cs="Tahoma"/>
          <w:b/>
          <w:bCs/>
          <w:sz w:val="20"/>
          <w:szCs w:val="20"/>
        </w:rPr>
        <w:t xml:space="preserve"> catégorie</w:t>
      </w:r>
      <w:r w:rsidRPr="00B004EE">
        <w:rPr>
          <w:rFonts w:ascii="Tahoma" w:hAnsi="Tahoma" w:cs="Tahoma"/>
          <w:sz w:val="20"/>
          <w:szCs w:val="20"/>
        </w:rPr>
        <w:t>, sont divisés en deux (2) sous-catégories :</w:t>
      </w:r>
    </w:p>
    <w:p w14:paraId="517A0B7B" w14:textId="77777777" w:rsidR="00584AC9" w:rsidRPr="00B004EE" w:rsidRDefault="00584AC9" w:rsidP="00B004EE">
      <w:pPr>
        <w:jc w:val="both"/>
        <w:rPr>
          <w:rFonts w:ascii="Tahoma" w:hAnsi="Tahoma" w:cs="Tahoma"/>
          <w:sz w:val="20"/>
          <w:szCs w:val="20"/>
        </w:rPr>
      </w:pPr>
    </w:p>
    <w:p w14:paraId="52175353" w14:textId="77777777" w:rsidR="00584AC9" w:rsidRPr="00B004EE" w:rsidRDefault="00584AC9" w:rsidP="00420DDA">
      <w:pPr>
        <w:numPr>
          <w:ilvl w:val="0"/>
          <w:numId w:val="156"/>
        </w:numPr>
        <w:jc w:val="both"/>
        <w:rPr>
          <w:rFonts w:ascii="Tahoma" w:hAnsi="Tahoma" w:cs="Tahoma"/>
          <w:sz w:val="20"/>
          <w:szCs w:val="20"/>
        </w:rPr>
      </w:pPr>
      <w:r w:rsidRPr="00B004EE">
        <w:rPr>
          <w:rFonts w:ascii="Tahoma" w:hAnsi="Tahoma" w:cs="Tahoma"/>
          <w:sz w:val="20"/>
          <w:szCs w:val="20"/>
        </w:rPr>
        <w:t>-Sous-catégorie : Le mareyeur exportateur de cette sous-catégorie doit être une personne morale propriétaire d’un établissement à terre agréé conformément à la réglementation en vigueur en matière de normes sanitaires et de qualité ;</w:t>
      </w:r>
    </w:p>
    <w:p w14:paraId="63E46D05" w14:textId="77777777" w:rsidR="00584AC9" w:rsidRPr="00B004EE" w:rsidRDefault="00584AC9" w:rsidP="00B004EE">
      <w:pPr>
        <w:jc w:val="both"/>
        <w:rPr>
          <w:rFonts w:ascii="Tahoma" w:hAnsi="Tahoma" w:cs="Tahoma"/>
          <w:sz w:val="20"/>
          <w:szCs w:val="20"/>
        </w:rPr>
      </w:pPr>
    </w:p>
    <w:p w14:paraId="4D3738CD" w14:textId="77777777" w:rsidR="00584AC9" w:rsidRPr="00B004EE" w:rsidRDefault="00584AC9" w:rsidP="00420DDA">
      <w:pPr>
        <w:numPr>
          <w:ilvl w:val="0"/>
          <w:numId w:val="156"/>
        </w:numPr>
        <w:jc w:val="both"/>
        <w:rPr>
          <w:rFonts w:ascii="Tahoma" w:hAnsi="Tahoma" w:cs="Tahoma"/>
          <w:sz w:val="20"/>
          <w:szCs w:val="20"/>
        </w:rPr>
      </w:pPr>
      <w:r w:rsidRPr="00B004EE">
        <w:rPr>
          <w:rFonts w:ascii="Tahoma" w:hAnsi="Tahoma" w:cs="Tahoma"/>
          <w:sz w:val="20"/>
          <w:szCs w:val="20"/>
        </w:rPr>
        <w:t>-Sous-catégorie : Le mareyeur exportateur de cette sous-catégorie est une personne physique ou morale qui n’est pas propriétaire d’un établissement à terre agréé aux normes sanitaires et de qualité, mais qui exporte, sous les conditions spéciales définies à l’article 7 ci-dessous, des produits de pêche répondant aux dispositions de la réglementation en vigueur.</w:t>
      </w:r>
    </w:p>
    <w:p w14:paraId="5A8ADE19" w14:textId="77777777" w:rsidR="00584AC9" w:rsidRPr="00B004EE" w:rsidRDefault="00584AC9" w:rsidP="00B004EE">
      <w:pPr>
        <w:jc w:val="both"/>
        <w:rPr>
          <w:rFonts w:ascii="Tahoma" w:hAnsi="Tahoma" w:cs="Tahoma"/>
          <w:sz w:val="20"/>
          <w:szCs w:val="20"/>
        </w:rPr>
      </w:pPr>
    </w:p>
    <w:p w14:paraId="1C7745D1" w14:textId="77777777" w:rsidR="00584AC9" w:rsidRPr="00B004EE" w:rsidRDefault="00584AC9" w:rsidP="00B004EE">
      <w:pPr>
        <w:jc w:val="both"/>
        <w:rPr>
          <w:rFonts w:ascii="Tahoma" w:hAnsi="Tahoma" w:cs="Tahoma"/>
          <w:sz w:val="20"/>
          <w:szCs w:val="20"/>
        </w:rPr>
      </w:pPr>
      <w:r w:rsidRPr="00B004EE">
        <w:rPr>
          <w:rFonts w:ascii="Tahoma" w:hAnsi="Tahoma" w:cs="Tahoma"/>
          <w:sz w:val="20"/>
          <w:szCs w:val="20"/>
        </w:rPr>
        <w:t>Article 6 :</w:t>
      </w:r>
      <w:r w:rsidRPr="00B004EE">
        <w:rPr>
          <w:rFonts w:ascii="Tahoma" w:hAnsi="Tahoma" w:cs="Tahoma"/>
          <w:b/>
          <w:bCs/>
          <w:sz w:val="20"/>
          <w:szCs w:val="20"/>
        </w:rPr>
        <w:t xml:space="preserve"> </w:t>
      </w:r>
      <w:r w:rsidRPr="00B004EE">
        <w:rPr>
          <w:rFonts w:ascii="Tahoma" w:hAnsi="Tahoma" w:cs="Tahoma"/>
          <w:sz w:val="20"/>
          <w:szCs w:val="20"/>
        </w:rPr>
        <w:t>Le personnel exerçant les opérations de mareyage, toutes catégories et sous-catégories confondues, doit respecter les bonnes pratiques d’hygiène, notamment la propreté corporelle et vestimentaire (blouses, tablier, bottes, gants, etc.), et subir un examen médical périodique conformément à la réglementation en vigueur.</w:t>
      </w:r>
    </w:p>
    <w:p w14:paraId="26BE2983" w14:textId="77777777" w:rsidR="00584AC9" w:rsidRPr="00B004EE" w:rsidRDefault="00584AC9" w:rsidP="00B004EE">
      <w:pPr>
        <w:jc w:val="both"/>
        <w:rPr>
          <w:rFonts w:ascii="Tahoma" w:hAnsi="Tahoma" w:cs="Tahoma"/>
          <w:sz w:val="20"/>
          <w:szCs w:val="20"/>
        </w:rPr>
      </w:pPr>
    </w:p>
    <w:p w14:paraId="684B3E1C" w14:textId="77777777" w:rsidR="00584AC9" w:rsidRPr="00B004EE" w:rsidRDefault="00584AC9" w:rsidP="00B004EE">
      <w:pPr>
        <w:jc w:val="both"/>
        <w:rPr>
          <w:rFonts w:ascii="Tahoma" w:hAnsi="Tahoma" w:cs="Tahoma"/>
          <w:sz w:val="20"/>
          <w:szCs w:val="20"/>
        </w:rPr>
      </w:pPr>
      <w:r w:rsidRPr="00B004EE">
        <w:rPr>
          <w:rFonts w:ascii="Tahoma" w:hAnsi="Tahoma" w:cs="Tahoma"/>
          <w:sz w:val="20"/>
          <w:szCs w:val="20"/>
        </w:rPr>
        <w:t>Article 7 :</w:t>
      </w:r>
      <w:r w:rsidRPr="00B004EE">
        <w:rPr>
          <w:rFonts w:ascii="Tahoma" w:hAnsi="Tahoma" w:cs="Tahoma"/>
          <w:b/>
          <w:bCs/>
          <w:sz w:val="20"/>
          <w:szCs w:val="20"/>
        </w:rPr>
        <w:t xml:space="preserve">  </w:t>
      </w:r>
      <w:r w:rsidRPr="00B004EE">
        <w:rPr>
          <w:rFonts w:ascii="Tahoma" w:hAnsi="Tahoma" w:cs="Tahoma"/>
          <w:sz w:val="20"/>
          <w:szCs w:val="20"/>
        </w:rPr>
        <w:t>Les conditions d’octroi de la carte professionnelle pour chaque catégorie et sous-catégories sont définies ainsi qu’il suit :</w:t>
      </w:r>
    </w:p>
    <w:p w14:paraId="299AA8DE" w14:textId="77777777" w:rsidR="00584AC9" w:rsidRPr="00B004EE" w:rsidRDefault="00584AC9" w:rsidP="00420DDA">
      <w:pPr>
        <w:numPr>
          <w:ilvl w:val="0"/>
          <w:numId w:val="156"/>
        </w:numPr>
        <w:ind w:left="426"/>
        <w:jc w:val="both"/>
        <w:rPr>
          <w:rFonts w:ascii="Tahoma" w:hAnsi="Tahoma" w:cs="Tahoma"/>
          <w:sz w:val="20"/>
          <w:szCs w:val="20"/>
        </w:rPr>
      </w:pPr>
      <w:r w:rsidRPr="00B004EE">
        <w:rPr>
          <w:rFonts w:ascii="Tahoma" w:hAnsi="Tahoma" w:cs="Tahoma"/>
          <w:b/>
          <w:bCs/>
          <w:sz w:val="20"/>
          <w:szCs w:val="20"/>
        </w:rPr>
        <w:t>Le mareyeur collecteur (1-0) :</w:t>
      </w:r>
      <w:r w:rsidRPr="00B004EE">
        <w:rPr>
          <w:rFonts w:ascii="Tahoma" w:hAnsi="Tahoma" w:cs="Tahoma"/>
          <w:sz w:val="20"/>
          <w:szCs w:val="20"/>
        </w:rPr>
        <w:t xml:space="preserve"> doit disposer au moins, d’un magasin de mareyage situé dans les limites géographiques d’un point de débarquement autorisé et répondant aux dispositions de l’article 2 ci-dessus.</w:t>
      </w:r>
    </w:p>
    <w:p w14:paraId="2D4D0752" w14:textId="77777777" w:rsidR="00584AC9" w:rsidRPr="00B004EE" w:rsidRDefault="00584AC9" w:rsidP="00420DDA">
      <w:pPr>
        <w:numPr>
          <w:ilvl w:val="0"/>
          <w:numId w:val="156"/>
        </w:numPr>
        <w:ind w:left="426"/>
        <w:jc w:val="both"/>
        <w:rPr>
          <w:rFonts w:ascii="Tahoma" w:hAnsi="Tahoma" w:cs="Tahoma"/>
          <w:sz w:val="20"/>
          <w:szCs w:val="20"/>
        </w:rPr>
      </w:pPr>
      <w:r w:rsidRPr="00B004EE">
        <w:rPr>
          <w:rFonts w:ascii="Tahoma" w:hAnsi="Tahoma" w:cs="Tahoma"/>
          <w:b/>
          <w:bCs/>
          <w:sz w:val="20"/>
          <w:szCs w:val="20"/>
        </w:rPr>
        <w:t>Le mareyeur distributeur de la Sous-catégorie1</w:t>
      </w:r>
      <w:r w:rsidRPr="00B004EE">
        <w:rPr>
          <w:rFonts w:ascii="Tahoma" w:hAnsi="Tahoma" w:cs="Tahoma"/>
          <w:sz w:val="20"/>
          <w:szCs w:val="20"/>
        </w:rPr>
        <w:t xml:space="preserve"> : doit disposer obligatoirement de caisses conformes aux normes et utiliser la glace en quantité et qualité suffisantes.</w:t>
      </w:r>
    </w:p>
    <w:p w14:paraId="7F1E90E1" w14:textId="77777777" w:rsidR="00584AC9" w:rsidRPr="00B004EE" w:rsidRDefault="00584AC9" w:rsidP="00420DDA">
      <w:pPr>
        <w:numPr>
          <w:ilvl w:val="0"/>
          <w:numId w:val="156"/>
        </w:numPr>
        <w:ind w:left="426"/>
        <w:jc w:val="both"/>
        <w:rPr>
          <w:rFonts w:ascii="Tahoma" w:hAnsi="Tahoma" w:cs="Tahoma"/>
          <w:sz w:val="20"/>
          <w:szCs w:val="20"/>
        </w:rPr>
      </w:pPr>
      <w:r w:rsidRPr="00B004EE">
        <w:rPr>
          <w:rFonts w:ascii="Tahoma" w:hAnsi="Tahoma" w:cs="Tahoma"/>
          <w:b/>
          <w:bCs/>
          <w:sz w:val="20"/>
          <w:szCs w:val="20"/>
        </w:rPr>
        <w:t>Le mareyeur distributeur de la Sous-catégorie2</w:t>
      </w:r>
      <w:r w:rsidRPr="00B004EE">
        <w:rPr>
          <w:rFonts w:ascii="Tahoma" w:hAnsi="Tahoma" w:cs="Tahoma"/>
          <w:sz w:val="20"/>
          <w:szCs w:val="20"/>
        </w:rPr>
        <w:t xml:space="preserve"> : doit disposer d’un moyen de transport conforme aux dispositions de la réglementation en vigueur, ou d’un atelier de mareyage.</w:t>
      </w:r>
    </w:p>
    <w:p w14:paraId="52A8FB80" w14:textId="77777777" w:rsidR="00584AC9" w:rsidRPr="00B004EE" w:rsidRDefault="00584AC9" w:rsidP="00420DDA">
      <w:pPr>
        <w:numPr>
          <w:ilvl w:val="0"/>
          <w:numId w:val="156"/>
        </w:numPr>
        <w:ind w:left="426"/>
        <w:jc w:val="both"/>
        <w:rPr>
          <w:rFonts w:ascii="Tahoma" w:hAnsi="Tahoma" w:cs="Tahoma"/>
          <w:sz w:val="20"/>
          <w:szCs w:val="20"/>
        </w:rPr>
      </w:pPr>
      <w:r w:rsidRPr="00B004EE">
        <w:rPr>
          <w:rFonts w:ascii="Tahoma" w:hAnsi="Tahoma" w:cs="Tahoma"/>
          <w:b/>
          <w:bCs/>
          <w:sz w:val="20"/>
          <w:szCs w:val="20"/>
        </w:rPr>
        <w:t>Le mareyeur exportateur de la Sous-catégorie1</w:t>
      </w:r>
      <w:r w:rsidRPr="00B004EE">
        <w:rPr>
          <w:rFonts w:ascii="Tahoma" w:hAnsi="Tahoma" w:cs="Tahoma"/>
          <w:sz w:val="20"/>
          <w:szCs w:val="20"/>
        </w:rPr>
        <w:t xml:space="preserve"> : doit être propriétaire d’un établissement à terre agréé pour le traitement des produits de la pêche conformément à la réglementation sanitaire en vigueur.</w:t>
      </w:r>
    </w:p>
    <w:p w14:paraId="37C54FC4" w14:textId="77777777" w:rsidR="00584AC9" w:rsidRPr="00B004EE" w:rsidRDefault="00584AC9" w:rsidP="00420DDA">
      <w:pPr>
        <w:numPr>
          <w:ilvl w:val="0"/>
          <w:numId w:val="156"/>
        </w:numPr>
        <w:ind w:left="426"/>
        <w:jc w:val="both"/>
        <w:rPr>
          <w:rFonts w:ascii="Tahoma" w:hAnsi="Tahoma" w:cs="Tahoma"/>
          <w:sz w:val="20"/>
          <w:szCs w:val="20"/>
        </w:rPr>
      </w:pPr>
      <w:r w:rsidRPr="00B004EE">
        <w:rPr>
          <w:rFonts w:ascii="Tahoma" w:hAnsi="Tahoma" w:cs="Tahoma"/>
          <w:b/>
          <w:bCs/>
          <w:sz w:val="20"/>
          <w:szCs w:val="20"/>
        </w:rPr>
        <w:t>Le mareyeur exportateur de la Sous-catégorie2</w:t>
      </w:r>
      <w:r w:rsidRPr="00B004EE">
        <w:rPr>
          <w:rFonts w:ascii="Tahoma" w:hAnsi="Tahoma" w:cs="Tahoma"/>
          <w:sz w:val="20"/>
          <w:szCs w:val="20"/>
        </w:rPr>
        <w:t xml:space="preserve"> : doit remplir les conditions qui seront fixées par lettre circulaire du Ministre chargé des pêches.</w:t>
      </w:r>
    </w:p>
    <w:p w14:paraId="2791EC1E" w14:textId="77777777" w:rsidR="00584AC9" w:rsidRPr="00B004EE" w:rsidRDefault="00584AC9" w:rsidP="00B004EE">
      <w:pPr>
        <w:ind w:left="426"/>
        <w:jc w:val="both"/>
        <w:rPr>
          <w:rFonts w:ascii="Tahoma" w:hAnsi="Tahoma" w:cs="Tahoma"/>
          <w:sz w:val="20"/>
          <w:szCs w:val="20"/>
        </w:rPr>
      </w:pPr>
    </w:p>
    <w:p w14:paraId="241C138A" w14:textId="77777777" w:rsidR="00584AC9" w:rsidRPr="00B004EE" w:rsidRDefault="00584AC9" w:rsidP="00B004EE">
      <w:pPr>
        <w:jc w:val="both"/>
        <w:rPr>
          <w:rFonts w:ascii="Tahoma" w:hAnsi="Tahoma" w:cs="Tahoma"/>
          <w:sz w:val="20"/>
          <w:szCs w:val="20"/>
        </w:rPr>
      </w:pPr>
      <w:r w:rsidRPr="00B004EE">
        <w:rPr>
          <w:rFonts w:ascii="Tahoma" w:hAnsi="Tahoma" w:cs="Tahoma"/>
          <w:sz w:val="20"/>
          <w:szCs w:val="20"/>
        </w:rPr>
        <w:t>Pour exporter leurs produits de pêches, les détenteurs de la carte professionnelle de mareyeurs exportateurs, dits de 3</w:t>
      </w:r>
      <w:r w:rsidRPr="00B004EE">
        <w:rPr>
          <w:rFonts w:ascii="Tahoma" w:hAnsi="Tahoma" w:cs="Tahoma"/>
          <w:sz w:val="20"/>
          <w:szCs w:val="20"/>
          <w:vertAlign w:val="superscript"/>
        </w:rPr>
        <w:t>ème</w:t>
      </w:r>
      <w:r w:rsidRPr="00B004EE">
        <w:rPr>
          <w:rFonts w:ascii="Tahoma" w:hAnsi="Tahoma" w:cs="Tahoma"/>
          <w:sz w:val="20"/>
          <w:szCs w:val="20"/>
        </w:rPr>
        <w:t xml:space="preserve"> catégorie doivent au préalable obtenir une autorisation d’exportation, délivrée par le Ministre chargé des pêches.</w:t>
      </w:r>
    </w:p>
    <w:p w14:paraId="64266A66" w14:textId="77777777" w:rsidR="00584AC9" w:rsidRPr="00B004EE" w:rsidRDefault="00584AC9" w:rsidP="00B004EE">
      <w:pPr>
        <w:jc w:val="both"/>
        <w:rPr>
          <w:rFonts w:ascii="Tahoma" w:hAnsi="Tahoma" w:cs="Tahoma"/>
          <w:sz w:val="20"/>
          <w:szCs w:val="20"/>
        </w:rPr>
      </w:pPr>
    </w:p>
    <w:p w14:paraId="30CCC005" w14:textId="77777777" w:rsidR="00584AC9" w:rsidRPr="00B004EE" w:rsidRDefault="00584AC9" w:rsidP="00B004EE">
      <w:pPr>
        <w:jc w:val="both"/>
        <w:rPr>
          <w:rFonts w:ascii="Tahoma" w:hAnsi="Tahoma" w:cs="Tahoma"/>
          <w:sz w:val="20"/>
          <w:szCs w:val="20"/>
        </w:rPr>
      </w:pPr>
      <w:r w:rsidRPr="00B004EE">
        <w:rPr>
          <w:rFonts w:ascii="Tahoma" w:hAnsi="Tahoma" w:cs="Tahoma"/>
          <w:sz w:val="20"/>
          <w:szCs w:val="20"/>
        </w:rPr>
        <w:t>Article 8 :</w:t>
      </w:r>
      <w:r w:rsidRPr="00B004EE">
        <w:rPr>
          <w:rFonts w:ascii="Tahoma" w:hAnsi="Tahoma" w:cs="Tahoma"/>
          <w:b/>
          <w:bCs/>
          <w:sz w:val="20"/>
          <w:szCs w:val="20"/>
        </w:rPr>
        <w:t xml:space="preserve"> </w:t>
      </w:r>
      <w:r w:rsidRPr="00B004EE">
        <w:rPr>
          <w:rFonts w:ascii="Tahoma" w:hAnsi="Tahoma" w:cs="Tahoma"/>
          <w:sz w:val="20"/>
          <w:szCs w:val="20"/>
        </w:rPr>
        <w:t>Tout mareyeur quelle que soit sa catégorie est tenu de fournir à la Direction chargée de la promotion des produits toute information et ou document demandé, notamment celles relatives à la traçabilité des produits, aux prix et à la régularité avec les autres administrations. Les périodicités et les documents nécessaires seront fixés par lettre circulaire du Ministre chargé des pêches.</w:t>
      </w:r>
    </w:p>
    <w:p w14:paraId="39EF480C" w14:textId="77777777" w:rsidR="00584AC9" w:rsidRPr="00B004EE" w:rsidRDefault="00584AC9" w:rsidP="00B004EE">
      <w:pPr>
        <w:jc w:val="both"/>
        <w:rPr>
          <w:rFonts w:ascii="Tahoma" w:hAnsi="Tahoma" w:cs="Tahoma"/>
          <w:sz w:val="20"/>
          <w:szCs w:val="20"/>
        </w:rPr>
      </w:pPr>
    </w:p>
    <w:p w14:paraId="2BABD219" w14:textId="77777777" w:rsidR="00584AC9" w:rsidRPr="00B004EE" w:rsidRDefault="00584AC9" w:rsidP="00B004EE">
      <w:pPr>
        <w:jc w:val="both"/>
        <w:rPr>
          <w:rFonts w:ascii="Tahoma" w:hAnsi="Tahoma" w:cs="Tahoma"/>
          <w:sz w:val="20"/>
          <w:szCs w:val="20"/>
        </w:rPr>
      </w:pPr>
      <w:r w:rsidRPr="00B004EE">
        <w:rPr>
          <w:rFonts w:ascii="Tahoma" w:hAnsi="Tahoma" w:cs="Tahoma"/>
          <w:sz w:val="20"/>
          <w:szCs w:val="20"/>
        </w:rPr>
        <w:t xml:space="preserve">Afin de faciliter le suivi de la traçabilité, tous les mareyeurs doivent disposer de registres d’enregistrement pour les détails de leurs activités telles que les quantités par espèce ou groupes d’espèces, les prix d’achat </w:t>
      </w:r>
      <w:r w:rsidRPr="00B004EE">
        <w:rPr>
          <w:rFonts w:ascii="Tahoma" w:hAnsi="Tahoma" w:cs="Tahoma"/>
          <w:sz w:val="20"/>
          <w:szCs w:val="20"/>
        </w:rPr>
        <w:lastRenderedPageBreak/>
        <w:t>et de vente, l’origine et la destination du produit, etc. Sont exclus de cette formalité les mareyeurs distributeurs de la sous-catégorie de la Sous-catégorie2</w:t>
      </w:r>
    </w:p>
    <w:p w14:paraId="79A7C579" w14:textId="77777777" w:rsidR="00584AC9" w:rsidRPr="00B004EE" w:rsidRDefault="00584AC9" w:rsidP="00B004EE">
      <w:pPr>
        <w:jc w:val="both"/>
        <w:rPr>
          <w:rFonts w:ascii="Tahoma" w:hAnsi="Tahoma" w:cs="Tahoma"/>
          <w:sz w:val="20"/>
          <w:szCs w:val="20"/>
        </w:rPr>
      </w:pPr>
    </w:p>
    <w:p w14:paraId="344F9C3B" w14:textId="77777777" w:rsidR="00584AC9" w:rsidRPr="00B004EE" w:rsidRDefault="00584AC9" w:rsidP="00B004EE">
      <w:pPr>
        <w:jc w:val="both"/>
        <w:rPr>
          <w:rFonts w:ascii="Tahoma" w:hAnsi="Tahoma" w:cs="Tahoma"/>
          <w:sz w:val="20"/>
          <w:szCs w:val="20"/>
        </w:rPr>
      </w:pPr>
      <w:r w:rsidRPr="00B004EE">
        <w:rPr>
          <w:rFonts w:ascii="Tahoma" w:hAnsi="Tahoma" w:cs="Tahoma"/>
          <w:sz w:val="20"/>
          <w:szCs w:val="20"/>
        </w:rPr>
        <w:t>En cas de besoin le Ministre chargé des Pêches peut désigner une commission de suivi et d’évaluation des opérations de mareyage.</w:t>
      </w:r>
    </w:p>
    <w:p w14:paraId="6D296536" w14:textId="77777777" w:rsidR="00584AC9" w:rsidRPr="00B004EE" w:rsidRDefault="00584AC9" w:rsidP="00B004EE">
      <w:pPr>
        <w:jc w:val="both"/>
        <w:rPr>
          <w:rFonts w:ascii="Tahoma" w:hAnsi="Tahoma" w:cs="Tahoma"/>
          <w:sz w:val="20"/>
          <w:szCs w:val="20"/>
        </w:rPr>
      </w:pPr>
    </w:p>
    <w:p w14:paraId="681CCA64" w14:textId="77777777" w:rsidR="00584AC9" w:rsidRPr="00B004EE" w:rsidRDefault="00584AC9" w:rsidP="00B004EE">
      <w:pPr>
        <w:jc w:val="both"/>
        <w:rPr>
          <w:rFonts w:ascii="Tahoma" w:hAnsi="Tahoma" w:cs="Tahoma"/>
          <w:sz w:val="20"/>
          <w:szCs w:val="20"/>
        </w:rPr>
      </w:pPr>
      <w:r w:rsidRPr="00B004EE">
        <w:rPr>
          <w:rFonts w:ascii="Tahoma" w:hAnsi="Tahoma" w:cs="Tahoma"/>
          <w:sz w:val="20"/>
          <w:szCs w:val="20"/>
        </w:rPr>
        <w:t>Article 9 :</w:t>
      </w:r>
      <w:r w:rsidRPr="00B004EE">
        <w:rPr>
          <w:rFonts w:ascii="Tahoma" w:hAnsi="Tahoma" w:cs="Tahoma"/>
          <w:b/>
          <w:bCs/>
          <w:sz w:val="20"/>
          <w:szCs w:val="20"/>
        </w:rPr>
        <w:t xml:space="preserve"> </w:t>
      </w:r>
      <w:r w:rsidRPr="00B004EE">
        <w:rPr>
          <w:rFonts w:ascii="Tahoma" w:hAnsi="Tahoma" w:cs="Tahoma"/>
          <w:sz w:val="20"/>
          <w:szCs w:val="20"/>
        </w:rPr>
        <w:t>Les lieux de collecte et de distribution de la sardinelle et du mulet seront fixés par une circulaire du Ministre chargé de la pêche, toutefois les mareyeurs doivent postuler à la carte professionnelle correspondante à leur activité.</w:t>
      </w:r>
    </w:p>
    <w:p w14:paraId="338D4F3F" w14:textId="77777777" w:rsidR="00584AC9" w:rsidRPr="00B004EE" w:rsidRDefault="00584AC9" w:rsidP="00B004EE">
      <w:pPr>
        <w:jc w:val="both"/>
        <w:rPr>
          <w:rFonts w:ascii="Tahoma" w:hAnsi="Tahoma" w:cs="Tahoma"/>
          <w:sz w:val="20"/>
          <w:szCs w:val="20"/>
        </w:rPr>
      </w:pPr>
    </w:p>
    <w:p w14:paraId="4F25F376" w14:textId="77777777" w:rsidR="00584AC9" w:rsidRPr="00B004EE" w:rsidRDefault="00584AC9" w:rsidP="00B004EE">
      <w:pPr>
        <w:jc w:val="both"/>
        <w:rPr>
          <w:rFonts w:ascii="Tahoma" w:hAnsi="Tahoma" w:cs="Tahoma"/>
          <w:sz w:val="20"/>
          <w:szCs w:val="20"/>
        </w:rPr>
      </w:pPr>
      <w:r w:rsidRPr="00B004EE">
        <w:rPr>
          <w:rFonts w:ascii="Tahoma" w:hAnsi="Tahoma" w:cs="Tahoma"/>
          <w:sz w:val="20"/>
          <w:szCs w:val="20"/>
        </w:rPr>
        <w:t>Article 10 :</w:t>
      </w:r>
      <w:r w:rsidRPr="00B004EE">
        <w:rPr>
          <w:rFonts w:ascii="Tahoma" w:hAnsi="Tahoma" w:cs="Tahoma"/>
          <w:b/>
          <w:bCs/>
          <w:sz w:val="20"/>
          <w:szCs w:val="20"/>
        </w:rPr>
        <w:t xml:space="preserve"> </w:t>
      </w:r>
      <w:r w:rsidRPr="00B004EE">
        <w:rPr>
          <w:rFonts w:ascii="Tahoma" w:hAnsi="Tahoma" w:cs="Tahoma"/>
          <w:sz w:val="20"/>
          <w:szCs w:val="20"/>
        </w:rPr>
        <w:t>Les mareyeurs qui commercialisent les produits de la pêche vivants et ou transformés, peuvent postuler à l’une des catégories de mareyage, prévues par la réglementation en vigueur et doivent se conformer à la réglementation en matière d’hygiène, de salubrité et de qualité.</w:t>
      </w:r>
    </w:p>
    <w:p w14:paraId="7DF9CBF5" w14:textId="77777777" w:rsidR="00584AC9" w:rsidRPr="00B004EE" w:rsidRDefault="00584AC9" w:rsidP="00B004EE">
      <w:pPr>
        <w:jc w:val="both"/>
        <w:rPr>
          <w:rFonts w:ascii="Tahoma" w:hAnsi="Tahoma" w:cs="Tahoma"/>
          <w:sz w:val="20"/>
          <w:szCs w:val="20"/>
        </w:rPr>
      </w:pPr>
    </w:p>
    <w:p w14:paraId="73126AE4" w14:textId="77777777" w:rsidR="00584AC9" w:rsidRPr="00B004EE" w:rsidRDefault="00584AC9" w:rsidP="00B004EE">
      <w:pPr>
        <w:jc w:val="both"/>
        <w:rPr>
          <w:rFonts w:ascii="Tahoma" w:hAnsi="Tahoma" w:cs="Tahoma"/>
          <w:sz w:val="20"/>
          <w:szCs w:val="20"/>
        </w:rPr>
      </w:pPr>
      <w:r w:rsidRPr="00B004EE">
        <w:rPr>
          <w:rFonts w:ascii="Tahoma" w:hAnsi="Tahoma" w:cs="Tahoma"/>
          <w:sz w:val="20"/>
          <w:szCs w:val="20"/>
        </w:rPr>
        <w:t>Article 11 :</w:t>
      </w:r>
      <w:r w:rsidRPr="00B004EE">
        <w:rPr>
          <w:rFonts w:ascii="Tahoma" w:hAnsi="Tahoma" w:cs="Tahoma"/>
          <w:b/>
          <w:bCs/>
          <w:sz w:val="20"/>
          <w:szCs w:val="20"/>
        </w:rPr>
        <w:t xml:space="preserve"> </w:t>
      </w:r>
      <w:r w:rsidRPr="00B004EE">
        <w:rPr>
          <w:rFonts w:ascii="Tahoma" w:hAnsi="Tahoma" w:cs="Tahoma"/>
          <w:sz w:val="20"/>
          <w:szCs w:val="20"/>
        </w:rPr>
        <w:t>Tous les lieux d’exposition de vente de poissions doivent se conformer à la réglementation en vigueur en matière d’hygiène et de salubrité.</w:t>
      </w:r>
    </w:p>
    <w:p w14:paraId="249B9475" w14:textId="77777777" w:rsidR="00584AC9" w:rsidRPr="00B004EE" w:rsidRDefault="00584AC9" w:rsidP="00B004EE">
      <w:pPr>
        <w:jc w:val="both"/>
        <w:rPr>
          <w:rFonts w:ascii="Tahoma" w:hAnsi="Tahoma" w:cs="Tahoma"/>
          <w:sz w:val="20"/>
          <w:szCs w:val="20"/>
        </w:rPr>
      </w:pPr>
    </w:p>
    <w:p w14:paraId="7F9B0811" w14:textId="77777777" w:rsidR="00584AC9" w:rsidRPr="00B004EE" w:rsidRDefault="00584AC9" w:rsidP="00B004EE">
      <w:pPr>
        <w:jc w:val="both"/>
        <w:rPr>
          <w:rFonts w:ascii="Tahoma" w:hAnsi="Tahoma" w:cs="Tahoma"/>
          <w:sz w:val="20"/>
          <w:szCs w:val="20"/>
        </w:rPr>
      </w:pPr>
      <w:r w:rsidRPr="00B004EE">
        <w:rPr>
          <w:rFonts w:ascii="Tahoma" w:hAnsi="Tahoma" w:cs="Tahoma"/>
          <w:sz w:val="20"/>
          <w:szCs w:val="20"/>
        </w:rPr>
        <w:t>Article 12 :</w:t>
      </w:r>
      <w:r w:rsidRPr="00B004EE">
        <w:rPr>
          <w:rFonts w:ascii="Tahoma" w:hAnsi="Tahoma" w:cs="Tahoma"/>
          <w:b/>
          <w:bCs/>
          <w:sz w:val="20"/>
          <w:szCs w:val="20"/>
        </w:rPr>
        <w:t xml:space="preserve"> </w:t>
      </w:r>
      <w:r w:rsidRPr="00B004EE">
        <w:rPr>
          <w:rFonts w:ascii="Tahoma" w:hAnsi="Tahoma" w:cs="Tahoma"/>
          <w:sz w:val="20"/>
          <w:szCs w:val="20"/>
        </w:rPr>
        <w:t>Sont abrogées toutes les dispositions antérieures contraires au présent arrêté, notamment les arrêtés d’application du décret n° 2002 -065 du 05 septembre 2002 relatif à l’exercice de la profession de mareyeur.</w:t>
      </w:r>
    </w:p>
    <w:p w14:paraId="799183E3" w14:textId="77777777" w:rsidR="00584AC9" w:rsidRPr="00B004EE" w:rsidRDefault="00584AC9" w:rsidP="00B004EE">
      <w:pPr>
        <w:jc w:val="both"/>
        <w:rPr>
          <w:rFonts w:ascii="Tahoma" w:hAnsi="Tahoma" w:cs="Tahoma"/>
          <w:sz w:val="20"/>
          <w:szCs w:val="20"/>
        </w:rPr>
      </w:pPr>
    </w:p>
    <w:p w14:paraId="5E7D844A" w14:textId="77777777" w:rsidR="00584AC9" w:rsidRPr="00B004EE" w:rsidRDefault="00584AC9" w:rsidP="00B004EE">
      <w:pPr>
        <w:jc w:val="both"/>
        <w:rPr>
          <w:rFonts w:ascii="Tahoma" w:hAnsi="Tahoma" w:cs="Tahoma"/>
          <w:sz w:val="20"/>
          <w:szCs w:val="20"/>
        </w:rPr>
      </w:pPr>
      <w:r w:rsidRPr="00B004EE">
        <w:rPr>
          <w:rFonts w:ascii="Tahoma" w:hAnsi="Tahoma" w:cs="Tahoma"/>
          <w:sz w:val="20"/>
          <w:szCs w:val="20"/>
        </w:rPr>
        <w:t>Article 13 :</w:t>
      </w:r>
      <w:r w:rsidRPr="00B004EE">
        <w:rPr>
          <w:rFonts w:ascii="Tahoma" w:hAnsi="Tahoma" w:cs="Tahoma"/>
          <w:b/>
          <w:bCs/>
          <w:sz w:val="20"/>
          <w:szCs w:val="20"/>
        </w:rPr>
        <w:t xml:space="preserve"> </w:t>
      </w:r>
      <w:r w:rsidRPr="00B004EE">
        <w:rPr>
          <w:rFonts w:ascii="Tahoma" w:hAnsi="Tahoma" w:cs="Tahoma"/>
          <w:sz w:val="20"/>
          <w:szCs w:val="20"/>
        </w:rPr>
        <w:t>Le Secrétaire Général du Ministère des Pêches et de l’Economie Maritime, le Délégué à la Surveillance de pêche et le Contrôle en Mer et le Directeur chargé de la promotion des produits de la pêche sont chargés, chacun en ce qui le concerne, de l’exécution du présent arrêté qui sera publié au Journal Officiel de la République Islamique de Mauritanie.</w:t>
      </w:r>
    </w:p>
    <w:p w14:paraId="401A862E" w14:textId="77777777" w:rsidR="00584AC9" w:rsidRPr="00B004EE" w:rsidRDefault="00584AC9" w:rsidP="00B004EE">
      <w:pPr>
        <w:jc w:val="right"/>
        <w:rPr>
          <w:rFonts w:ascii="Tahoma" w:hAnsi="Tahoma" w:cs="Tahoma"/>
          <w:b/>
          <w:bCs/>
          <w:sz w:val="20"/>
          <w:szCs w:val="20"/>
        </w:rPr>
      </w:pPr>
    </w:p>
    <w:p w14:paraId="1048E939" w14:textId="4CE3A7F2" w:rsidR="00584AC9" w:rsidRPr="00B004EE" w:rsidRDefault="00584AC9" w:rsidP="00B004EE">
      <w:pPr>
        <w:jc w:val="right"/>
        <w:rPr>
          <w:rFonts w:ascii="Tahoma" w:hAnsi="Tahoma" w:cs="Tahoma"/>
          <w:sz w:val="20"/>
          <w:szCs w:val="20"/>
        </w:rPr>
      </w:pPr>
      <w:r w:rsidRPr="00B004EE">
        <w:rPr>
          <w:rFonts w:ascii="Tahoma" w:hAnsi="Tahoma" w:cs="Tahoma"/>
          <w:i/>
          <w:iCs/>
          <w:sz w:val="20"/>
          <w:szCs w:val="20"/>
        </w:rPr>
        <w:t>Fait à Nouakchott, le</w:t>
      </w:r>
      <w:r w:rsidRPr="00B004EE">
        <w:rPr>
          <w:rFonts w:ascii="Tahoma" w:hAnsi="Tahoma" w:cs="Tahoma"/>
          <w:sz w:val="20"/>
          <w:szCs w:val="20"/>
        </w:rPr>
        <w:t> : 19/05/2010</w:t>
      </w:r>
    </w:p>
    <w:p w14:paraId="5827D71E" w14:textId="77777777" w:rsidR="00584AC9" w:rsidRPr="00B004EE" w:rsidRDefault="00584AC9" w:rsidP="00B004EE">
      <w:pPr>
        <w:jc w:val="both"/>
        <w:rPr>
          <w:rFonts w:ascii="Tahoma" w:hAnsi="Tahoma" w:cs="Tahoma"/>
          <w:sz w:val="20"/>
          <w:szCs w:val="20"/>
        </w:rPr>
      </w:pPr>
    </w:p>
    <w:p w14:paraId="223D8671" w14:textId="77777777" w:rsidR="00834860" w:rsidRPr="00B004EE" w:rsidRDefault="00834860" w:rsidP="00B004EE">
      <w:pPr>
        <w:pStyle w:val="Pieddepage"/>
        <w:tabs>
          <w:tab w:val="clear" w:pos="4536"/>
          <w:tab w:val="clear" w:pos="9072"/>
        </w:tabs>
        <w:jc w:val="center"/>
        <w:rPr>
          <w:rFonts w:ascii="Tahoma" w:hAnsi="Tahoma" w:cs="Tahoma"/>
        </w:rPr>
      </w:pPr>
    </w:p>
    <w:p w14:paraId="2A126940" w14:textId="77777777" w:rsidR="00834860" w:rsidRPr="00B004EE" w:rsidRDefault="00834860" w:rsidP="00B004EE">
      <w:pPr>
        <w:pStyle w:val="Pieddepage"/>
        <w:tabs>
          <w:tab w:val="clear" w:pos="4536"/>
          <w:tab w:val="clear" w:pos="9072"/>
        </w:tabs>
        <w:jc w:val="center"/>
        <w:rPr>
          <w:rFonts w:ascii="Tahoma" w:hAnsi="Tahoma" w:cs="Tahoma"/>
        </w:rPr>
      </w:pPr>
    </w:p>
    <w:p w14:paraId="2F94D65B" w14:textId="39BD3120" w:rsidR="00834860" w:rsidRPr="00B004EE" w:rsidRDefault="00584AC9" w:rsidP="00B004EE">
      <w:pPr>
        <w:pStyle w:val="Pieddepage"/>
        <w:tabs>
          <w:tab w:val="clear" w:pos="4536"/>
          <w:tab w:val="clear" w:pos="9072"/>
        </w:tabs>
        <w:jc w:val="center"/>
        <w:rPr>
          <w:rFonts w:ascii="Tahoma" w:hAnsi="Tahoma" w:cs="Tahoma"/>
        </w:rPr>
      </w:pPr>
      <w:r w:rsidRPr="00B004EE">
        <w:rPr>
          <w:rFonts w:ascii="Tahoma" w:hAnsi="Tahoma" w:cs="Tahoma"/>
        </w:rPr>
        <w:t xml:space="preserve">Le Ministre des pêches </w:t>
      </w:r>
    </w:p>
    <w:p w14:paraId="04A17564" w14:textId="15CB33F4" w:rsidR="00584AC9" w:rsidRPr="00B004EE" w:rsidRDefault="00584AC9" w:rsidP="00B004EE">
      <w:pPr>
        <w:pStyle w:val="Pieddepage"/>
        <w:tabs>
          <w:tab w:val="clear" w:pos="4536"/>
          <w:tab w:val="clear" w:pos="9072"/>
        </w:tabs>
        <w:jc w:val="center"/>
        <w:rPr>
          <w:rFonts w:ascii="Tahoma" w:hAnsi="Tahoma" w:cs="Tahoma"/>
          <w:caps/>
        </w:rPr>
      </w:pPr>
      <w:proofErr w:type="gramStart"/>
      <w:r w:rsidRPr="00B004EE">
        <w:rPr>
          <w:rFonts w:ascii="Tahoma" w:hAnsi="Tahoma" w:cs="Tahoma"/>
        </w:rPr>
        <w:t>et</w:t>
      </w:r>
      <w:proofErr w:type="gramEnd"/>
      <w:r w:rsidRPr="00B004EE">
        <w:rPr>
          <w:rFonts w:ascii="Tahoma" w:hAnsi="Tahoma" w:cs="Tahoma"/>
        </w:rPr>
        <w:t xml:space="preserve"> de l’Economie Maritime</w:t>
      </w:r>
    </w:p>
    <w:p w14:paraId="0B748892" w14:textId="036F8F4B" w:rsidR="00584AC9" w:rsidRPr="00B004EE" w:rsidRDefault="00584AC9" w:rsidP="00B004EE">
      <w:pPr>
        <w:jc w:val="center"/>
        <w:rPr>
          <w:rFonts w:ascii="Tahoma" w:hAnsi="Tahoma" w:cs="Tahoma"/>
          <w:b/>
          <w:bCs/>
          <w:sz w:val="20"/>
          <w:szCs w:val="20"/>
        </w:rPr>
      </w:pPr>
      <w:r w:rsidRPr="00B004EE">
        <w:rPr>
          <w:rFonts w:ascii="Tahoma" w:hAnsi="Tahoma" w:cs="Tahoma"/>
          <w:b/>
          <w:bCs/>
          <w:sz w:val="20"/>
          <w:szCs w:val="20"/>
        </w:rPr>
        <w:t>Aghdhefna Ould EYIH</w:t>
      </w:r>
    </w:p>
    <w:p w14:paraId="10A80762" w14:textId="77777777" w:rsidR="00584AC9" w:rsidRPr="00B004EE" w:rsidRDefault="00584AC9" w:rsidP="00B004EE">
      <w:pPr>
        <w:jc w:val="center"/>
        <w:rPr>
          <w:sz w:val="20"/>
          <w:szCs w:val="20"/>
        </w:rPr>
      </w:pPr>
    </w:p>
    <w:p w14:paraId="7D633E61" w14:textId="75DD6BC5" w:rsidR="001165AE" w:rsidRPr="00B004EE" w:rsidRDefault="001165AE" w:rsidP="00B004EE">
      <w:pPr>
        <w:autoSpaceDE w:val="0"/>
        <w:autoSpaceDN w:val="0"/>
        <w:adjustRightInd w:val="0"/>
        <w:jc w:val="center"/>
        <w:rPr>
          <w:rFonts w:ascii="Tahoma" w:hAnsi="Tahoma" w:cs="Tahoma"/>
          <w:sz w:val="20"/>
          <w:szCs w:val="20"/>
        </w:rPr>
      </w:pPr>
    </w:p>
    <w:p w14:paraId="46946D85" w14:textId="14ADE361" w:rsidR="00584AC9" w:rsidRPr="00B004EE" w:rsidRDefault="00584AC9" w:rsidP="00B004EE">
      <w:pPr>
        <w:autoSpaceDE w:val="0"/>
        <w:autoSpaceDN w:val="0"/>
        <w:adjustRightInd w:val="0"/>
        <w:jc w:val="both"/>
        <w:rPr>
          <w:rFonts w:ascii="Tahoma" w:hAnsi="Tahoma" w:cs="Tahoma"/>
          <w:sz w:val="20"/>
          <w:szCs w:val="20"/>
        </w:rPr>
      </w:pPr>
    </w:p>
    <w:p w14:paraId="6DF8BD27" w14:textId="77777777" w:rsidR="00584AC9" w:rsidRPr="00B004EE" w:rsidRDefault="00584AC9" w:rsidP="00B004EE">
      <w:pPr>
        <w:autoSpaceDE w:val="0"/>
        <w:autoSpaceDN w:val="0"/>
        <w:adjustRightInd w:val="0"/>
        <w:jc w:val="both"/>
        <w:rPr>
          <w:rFonts w:ascii="Tahoma" w:hAnsi="Tahoma" w:cs="Tahoma"/>
          <w:sz w:val="20"/>
          <w:szCs w:val="20"/>
        </w:rPr>
      </w:pPr>
    </w:p>
    <w:p w14:paraId="2FD5677B" w14:textId="1AF68314" w:rsidR="001165AE" w:rsidRPr="00B004EE" w:rsidRDefault="001165AE" w:rsidP="00B004EE">
      <w:pPr>
        <w:autoSpaceDE w:val="0"/>
        <w:autoSpaceDN w:val="0"/>
        <w:adjustRightInd w:val="0"/>
        <w:jc w:val="both"/>
        <w:rPr>
          <w:rFonts w:ascii="Tahoma" w:hAnsi="Tahoma" w:cs="Tahoma"/>
          <w:sz w:val="20"/>
          <w:szCs w:val="20"/>
        </w:rPr>
      </w:pPr>
    </w:p>
    <w:p w14:paraId="7E0F56ED" w14:textId="77777777" w:rsidR="001165AE" w:rsidRPr="00B004EE" w:rsidRDefault="001165AE" w:rsidP="00B004EE">
      <w:pPr>
        <w:autoSpaceDE w:val="0"/>
        <w:autoSpaceDN w:val="0"/>
        <w:adjustRightInd w:val="0"/>
        <w:jc w:val="both"/>
        <w:rPr>
          <w:rFonts w:ascii="Tahoma" w:hAnsi="Tahoma" w:cs="Tahoma"/>
          <w:sz w:val="20"/>
          <w:szCs w:val="20"/>
        </w:rPr>
        <w:sectPr w:rsidR="001165AE" w:rsidRPr="00B004EE" w:rsidSect="00337E3A">
          <w:pgSz w:w="12240" w:h="15840" w:code="1"/>
          <w:pgMar w:top="1417" w:right="1417" w:bottom="1417" w:left="1417" w:header="720" w:footer="720" w:gutter="0"/>
          <w:cols w:space="720"/>
          <w:noEndnote/>
          <w:docGrid w:linePitch="326"/>
        </w:sectPr>
      </w:pPr>
    </w:p>
    <w:p w14:paraId="3FD6BFAC" w14:textId="631FB2C9" w:rsidR="002F24E1" w:rsidRPr="00A155DA" w:rsidRDefault="002F24E1" w:rsidP="00B004EE">
      <w:pPr>
        <w:pStyle w:val="Titre1"/>
        <w:pBdr>
          <w:top w:val="thinThickMediumGap" w:sz="24" w:space="1" w:color="70AD47" w:themeColor="accent6"/>
          <w:left w:val="thinThickMediumGap" w:sz="24" w:space="4" w:color="70AD47" w:themeColor="accent6"/>
          <w:bottom w:val="thickThinMediumGap" w:sz="24" w:space="1" w:color="70AD47" w:themeColor="accent6"/>
          <w:right w:val="thickThinMediumGap" w:sz="24" w:space="4" w:color="70AD47" w:themeColor="accent6"/>
        </w:pBdr>
        <w:spacing w:line="276" w:lineRule="auto"/>
        <w:jc w:val="both"/>
        <w:rPr>
          <w:rFonts w:ascii="Tahoma" w:hAnsi="Tahoma" w:cs="Tahoma"/>
          <w:szCs w:val="22"/>
        </w:rPr>
      </w:pPr>
      <w:bookmarkStart w:id="195" w:name="_Toc202214688"/>
      <w:r w:rsidRPr="00A155DA">
        <w:rPr>
          <w:rFonts w:ascii="Tahoma" w:hAnsi="Tahoma" w:cs="Tahoma"/>
          <w:szCs w:val="22"/>
        </w:rPr>
        <w:lastRenderedPageBreak/>
        <w:t>Arrête</w:t>
      </w:r>
      <w:r w:rsidR="00DB1635" w:rsidRPr="00A155DA">
        <w:rPr>
          <w:rFonts w:ascii="Tahoma" w:hAnsi="Tahoma" w:cs="Tahoma"/>
          <w:szCs w:val="22"/>
        </w:rPr>
        <w:t xml:space="preserve"> </w:t>
      </w:r>
      <w:r w:rsidRPr="00A155DA">
        <w:rPr>
          <w:rFonts w:ascii="Tahoma" w:hAnsi="Tahoma" w:cs="Tahoma"/>
          <w:szCs w:val="22"/>
        </w:rPr>
        <w:t>n°</w:t>
      </w:r>
      <w:r w:rsidR="00DB1635" w:rsidRPr="00A155DA">
        <w:rPr>
          <w:rFonts w:ascii="Tahoma" w:hAnsi="Tahoma" w:cs="Tahoma"/>
          <w:szCs w:val="22"/>
        </w:rPr>
        <w:t xml:space="preserve"> </w:t>
      </w:r>
      <w:r w:rsidRPr="00A155DA">
        <w:rPr>
          <w:rFonts w:ascii="Tahoma" w:hAnsi="Tahoma" w:cs="Tahoma"/>
          <w:szCs w:val="22"/>
        </w:rPr>
        <w:t>2466</w:t>
      </w:r>
      <w:r w:rsidR="00DB1635" w:rsidRPr="00A155DA">
        <w:rPr>
          <w:rFonts w:ascii="Tahoma" w:hAnsi="Tahoma" w:cs="Tahoma"/>
          <w:szCs w:val="22"/>
        </w:rPr>
        <w:t xml:space="preserve"> </w:t>
      </w:r>
      <w:r w:rsidR="0049647F" w:rsidRPr="00A155DA">
        <w:rPr>
          <w:rFonts w:ascii="Tahoma" w:hAnsi="Tahoma" w:cs="Tahoma"/>
          <w:szCs w:val="22"/>
        </w:rPr>
        <w:t xml:space="preserve">du </w:t>
      </w:r>
      <w:r w:rsidR="0049647F" w:rsidRPr="00A155DA">
        <w:rPr>
          <w:rFonts w:ascii="Tahoma" w:hAnsi="Tahoma" w:cs="Tahoma"/>
          <w:bCs w:val="0"/>
          <w:szCs w:val="22"/>
        </w:rPr>
        <w:t xml:space="preserve">28 octobre 2010, </w:t>
      </w:r>
      <w:r w:rsidRPr="00A155DA">
        <w:rPr>
          <w:rFonts w:ascii="Tahoma" w:hAnsi="Tahoma" w:cs="Tahoma"/>
          <w:szCs w:val="22"/>
        </w:rPr>
        <w:t>portant</w:t>
      </w:r>
      <w:r w:rsidR="00DB1635" w:rsidRPr="00A155DA">
        <w:rPr>
          <w:rFonts w:ascii="Tahoma" w:hAnsi="Tahoma" w:cs="Tahoma"/>
          <w:szCs w:val="22"/>
        </w:rPr>
        <w:t xml:space="preserve"> </w:t>
      </w:r>
      <w:r w:rsidRPr="00A155DA">
        <w:rPr>
          <w:rFonts w:ascii="Tahoma" w:hAnsi="Tahoma" w:cs="Tahoma"/>
          <w:szCs w:val="22"/>
        </w:rPr>
        <w:t>classement</w:t>
      </w:r>
      <w:r w:rsidR="00DB1635" w:rsidRPr="00A155DA">
        <w:rPr>
          <w:rFonts w:ascii="Tahoma" w:hAnsi="Tahoma" w:cs="Tahoma"/>
          <w:szCs w:val="22"/>
        </w:rPr>
        <w:t xml:space="preserve"> </w:t>
      </w:r>
      <w:r w:rsidRPr="00A155DA">
        <w:rPr>
          <w:rFonts w:ascii="Tahoma" w:hAnsi="Tahoma" w:cs="Tahoma"/>
          <w:szCs w:val="22"/>
        </w:rPr>
        <w:t>de</w:t>
      </w:r>
      <w:r w:rsidR="00DB1635" w:rsidRPr="00A155DA">
        <w:rPr>
          <w:rFonts w:ascii="Tahoma" w:hAnsi="Tahoma" w:cs="Tahoma"/>
          <w:szCs w:val="22"/>
        </w:rPr>
        <w:t xml:space="preserve"> </w:t>
      </w:r>
      <w:r w:rsidRPr="00A155DA">
        <w:rPr>
          <w:rFonts w:ascii="Tahoma" w:hAnsi="Tahoma" w:cs="Tahoma"/>
          <w:szCs w:val="22"/>
        </w:rPr>
        <w:t>salubrité</w:t>
      </w:r>
      <w:r w:rsidR="00DB1635" w:rsidRPr="00A155DA">
        <w:rPr>
          <w:rFonts w:ascii="Tahoma" w:hAnsi="Tahoma" w:cs="Tahoma"/>
          <w:szCs w:val="22"/>
        </w:rPr>
        <w:t xml:space="preserve"> </w:t>
      </w:r>
      <w:r w:rsidRPr="00A155DA">
        <w:rPr>
          <w:rFonts w:ascii="Tahoma" w:hAnsi="Tahoma" w:cs="Tahoma"/>
          <w:szCs w:val="22"/>
        </w:rPr>
        <w:t>des</w:t>
      </w:r>
      <w:r w:rsidR="00DB1635" w:rsidRPr="00A155DA">
        <w:rPr>
          <w:rFonts w:ascii="Tahoma" w:hAnsi="Tahoma" w:cs="Tahoma"/>
          <w:szCs w:val="22"/>
        </w:rPr>
        <w:t xml:space="preserve"> </w:t>
      </w:r>
      <w:r w:rsidRPr="00A155DA">
        <w:rPr>
          <w:rFonts w:ascii="Tahoma" w:hAnsi="Tahoma" w:cs="Tahoma"/>
          <w:szCs w:val="22"/>
        </w:rPr>
        <w:t>zones</w:t>
      </w:r>
      <w:r w:rsidR="00DB1635" w:rsidRPr="00A155DA">
        <w:rPr>
          <w:rFonts w:ascii="Tahoma" w:hAnsi="Tahoma" w:cs="Tahoma"/>
          <w:szCs w:val="22"/>
        </w:rPr>
        <w:t xml:space="preserve"> </w:t>
      </w:r>
      <w:r w:rsidRPr="00A155DA">
        <w:rPr>
          <w:rFonts w:ascii="Tahoma" w:hAnsi="Tahoma" w:cs="Tahoma"/>
          <w:szCs w:val="22"/>
        </w:rPr>
        <w:t>de</w:t>
      </w:r>
      <w:r w:rsidR="00DB1635" w:rsidRPr="00A155DA">
        <w:rPr>
          <w:rFonts w:ascii="Tahoma" w:hAnsi="Tahoma" w:cs="Tahoma"/>
          <w:szCs w:val="22"/>
        </w:rPr>
        <w:t xml:space="preserve"> </w:t>
      </w:r>
      <w:r w:rsidRPr="00A155DA">
        <w:rPr>
          <w:rFonts w:ascii="Tahoma" w:hAnsi="Tahoma" w:cs="Tahoma"/>
          <w:szCs w:val="22"/>
        </w:rPr>
        <w:t>production</w:t>
      </w:r>
      <w:r w:rsidR="00DB1635" w:rsidRPr="00A155DA">
        <w:rPr>
          <w:rFonts w:ascii="Tahoma" w:hAnsi="Tahoma" w:cs="Tahoma"/>
          <w:szCs w:val="22"/>
        </w:rPr>
        <w:t xml:space="preserve"> </w:t>
      </w:r>
      <w:r w:rsidRPr="00A155DA">
        <w:rPr>
          <w:rFonts w:ascii="Tahoma" w:hAnsi="Tahoma" w:cs="Tahoma"/>
          <w:szCs w:val="22"/>
        </w:rPr>
        <w:t>de</w:t>
      </w:r>
      <w:r w:rsidR="00DB1635" w:rsidRPr="00A155DA">
        <w:rPr>
          <w:rFonts w:ascii="Tahoma" w:hAnsi="Tahoma" w:cs="Tahoma"/>
          <w:szCs w:val="22"/>
        </w:rPr>
        <w:t xml:space="preserve"> </w:t>
      </w:r>
      <w:r w:rsidRPr="00A155DA">
        <w:rPr>
          <w:rFonts w:ascii="Tahoma" w:hAnsi="Tahoma" w:cs="Tahoma"/>
          <w:szCs w:val="22"/>
        </w:rPr>
        <w:t>coquillage</w:t>
      </w:r>
      <w:r w:rsidR="00DB1635" w:rsidRPr="00A155DA">
        <w:rPr>
          <w:rFonts w:ascii="Tahoma" w:hAnsi="Tahoma" w:cs="Tahoma"/>
          <w:szCs w:val="22"/>
        </w:rPr>
        <w:t xml:space="preserve"> </w:t>
      </w:r>
      <w:r w:rsidRPr="00A155DA">
        <w:rPr>
          <w:rFonts w:ascii="Tahoma" w:hAnsi="Tahoma" w:cs="Tahoma"/>
          <w:szCs w:val="22"/>
        </w:rPr>
        <w:t>de</w:t>
      </w:r>
      <w:r w:rsidR="00DB1635" w:rsidRPr="00A155DA">
        <w:rPr>
          <w:rFonts w:ascii="Tahoma" w:hAnsi="Tahoma" w:cs="Tahoma"/>
          <w:szCs w:val="22"/>
        </w:rPr>
        <w:t xml:space="preserve"> </w:t>
      </w:r>
      <w:r w:rsidRPr="00A155DA">
        <w:rPr>
          <w:rFonts w:ascii="Tahoma" w:hAnsi="Tahoma" w:cs="Tahoma"/>
          <w:szCs w:val="22"/>
        </w:rPr>
        <w:t>Dakhlet</w:t>
      </w:r>
      <w:r w:rsidR="00DB1635" w:rsidRPr="00A155DA">
        <w:rPr>
          <w:rFonts w:ascii="Tahoma" w:hAnsi="Tahoma" w:cs="Tahoma"/>
          <w:szCs w:val="22"/>
        </w:rPr>
        <w:t xml:space="preserve"> </w:t>
      </w:r>
      <w:r w:rsidRPr="00A155DA">
        <w:rPr>
          <w:rFonts w:ascii="Tahoma" w:hAnsi="Tahoma" w:cs="Tahoma"/>
          <w:szCs w:val="22"/>
        </w:rPr>
        <w:t>Nouadhibou.</w:t>
      </w:r>
      <w:bookmarkEnd w:id="195"/>
    </w:p>
    <w:p w14:paraId="2C840E57" w14:textId="77777777" w:rsidR="002F24E1" w:rsidRPr="00B004EE" w:rsidRDefault="002F24E1" w:rsidP="00B004EE">
      <w:pPr>
        <w:pStyle w:val="Corpsdetexte"/>
        <w:rPr>
          <w:rFonts w:ascii="Tahoma" w:hAnsi="Tahoma" w:cs="Tahoma"/>
          <w:b/>
          <w:sz w:val="20"/>
          <w:szCs w:val="20"/>
        </w:rPr>
      </w:pPr>
    </w:p>
    <w:p w14:paraId="6126E5D0" w14:textId="21CF38BD" w:rsidR="002F24E1" w:rsidRPr="00B004EE" w:rsidRDefault="002F24E1" w:rsidP="00B004EE">
      <w:pPr>
        <w:jc w:val="both"/>
        <w:rPr>
          <w:rFonts w:ascii="Tahoma" w:hAnsi="Tahoma" w:cs="Tahoma"/>
          <w:sz w:val="20"/>
          <w:szCs w:val="20"/>
        </w:rPr>
      </w:pPr>
      <w:r w:rsidRPr="00A155DA">
        <w:rPr>
          <w:rFonts w:ascii="Tahoma" w:hAnsi="Tahoma" w:cs="Tahoma"/>
          <w:sz w:val="20"/>
          <w:szCs w:val="20"/>
          <w:u w:val="single"/>
        </w:rPr>
        <w:t>Article</w:t>
      </w:r>
      <w:r w:rsidR="00DB1635" w:rsidRPr="00A155DA">
        <w:rPr>
          <w:rFonts w:ascii="Tahoma" w:hAnsi="Tahoma" w:cs="Tahoma"/>
          <w:sz w:val="20"/>
          <w:szCs w:val="20"/>
          <w:u w:val="single"/>
        </w:rPr>
        <w:t xml:space="preserve"> </w:t>
      </w:r>
      <w:r w:rsidRPr="00A155DA">
        <w:rPr>
          <w:rFonts w:ascii="Tahoma" w:hAnsi="Tahoma" w:cs="Tahoma"/>
          <w:sz w:val="20"/>
          <w:szCs w:val="20"/>
          <w:u w:val="single"/>
        </w:rPr>
        <w:t>Premier</w:t>
      </w:r>
      <w:r w:rsidR="00DB1635" w:rsidRPr="00A155DA">
        <w:rPr>
          <w:rFonts w:ascii="Tahoma" w:hAnsi="Tahoma" w:cs="Tahoma"/>
          <w:sz w:val="20"/>
          <w:szCs w:val="20"/>
        </w:rPr>
        <w:t xml:space="preserve"> </w:t>
      </w:r>
      <w:r w:rsidRPr="00A155DA">
        <w:rPr>
          <w:rFonts w:ascii="Tahoma" w:hAnsi="Tahoma" w:cs="Tahoma"/>
          <w:sz w:val="20"/>
          <w:szCs w:val="20"/>
        </w:rPr>
        <w:t>:</w:t>
      </w:r>
      <w:r w:rsidR="00DB1635" w:rsidRPr="00B004EE">
        <w:rPr>
          <w:rFonts w:ascii="Tahoma" w:hAnsi="Tahoma" w:cs="Tahoma"/>
          <w:b/>
          <w:bCs/>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application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dispositions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l’arrêté</w:t>
      </w:r>
      <w:r w:rsidR="00DB1635" w:rsidRPr="00B004EE">
        <w:rPr>
          <w:rFonts w:ascii="Tahoma" w:hAnsi="Tahoma" w:cs="Tahoma"/>
          <w:sz w:val="20"/>
          <w:szCs w:val="20"/>
        </w:rPr>
        <w:t xml:space="preserve"> </w:t>
      </w:r>
      <w:r w:rsidRPr="00B004EE">
        <w:rPr>
          <w:rFonts w:ascii="Tahoma" w:hAnsi="Tahoma" w:cs="Tahoma"/>
          <w:sz w:val="20"/>
          <w:szCs w:val="20"/>
        </w:rPr>
        <w:t>conjoint</w:t>
      </w:r>
      <w:r w:rsidR="00DB1635" w:rsidRPr="00B004EE">
        <w:rPr>
          <w:rFonts w:ascii="Tahoma" w:hAnsi="Tahoma" w:cs="Tahoma"/>
          <w:sz w:val="20"/>
          <w:szCs w:val="20"/>
        </w:rPr>
        <w:t xml:space="preserve"> </w:t>
      </w:r>
      <w:r w:rsidRPr="00B004EE">
        <w:rPr>
          <w:rFonts w:ascii="Tahoma" w:hAnsi="Tahoma" w:cs="Tahoma"/>
          <w:sz w:val="20"/>
          <w:szCs w:val="20"/>
        </w:rPr>
        <w:t>n°</w:t>
      </w:r>
      <w:r w:rsidR="00DB1635" w:rsidRPr="00B004EE">
        <w:rPr>
          <w:rFonts w:ascii="Tahoma" w:hAnsi="Tahoma" w:cs="Tahoma"/>
          <w:sz w:val="20"/>
          <w:szCs w:val="20"/>
        </w:rPr>
        <w:t xml:space="preserve"> </w:t>
      </w:r>
      <w:r w:rsidRPr="00B004EE">
        <w:rPr>
          <w:rFonts w:ascii="Tahoma" w:hAnsi="Tahoma" w:cs="Tahoma"/>
          <w:b/>
          <w:bCs/>
          <w:sz w:val="20"/>
          <w:szCs w:val="20"/>
        </w:rPr>
        <w:t>2860</w:t>
      </w:r>
      <w:r w:rsidR="00DB1635" w:rsidRPr="00B004EE">
        <w:rPr>
          <w:rFonts w:ascii="Tahoma" w:hAnsi="Tahoma" w:cs="Tahoma"/>
          <w:sz w:val="20"/>
          <w:szCs w:val="20"/>
        </w:rPr>
        <w:t xml:space="preserve"> </w:t>
      </w:r>
      <w:r w:rsidRPr="00B004EE">
        <w:rPr>
          <w:rFonts w:ascii="Tahoma" w:hAnsi="Tahoma" w:cs="Tahoma"/>
          <w:sz w:val="20"/>
          <w:szCs w:val="20"/>
        </w:rPr>
        <w:t>MPEM</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MCAT</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MSAS</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SEPME</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16</w:t>
      </w:r>
      <w:r w:rsidR="00DB1635" w:rsidRPr="00B004EE">
        <w:rPr>
          <w:rFonts w:ascii="Tahoma" w:hAnsi="Tahoma" w:cs="Tahoma"/>
          <w:sz w:val="20"/>
          <w:szCs w:val="20"/>
        </w:rPr>
        <w:t xml:space="preserve"> </w:t>
      </w:r>
      <w:r w:rsidRPr="00B004EE">
        <w:rPr>
          <w:rFonts w:ascii="Tahoma" w:hAnsi="Tahoma" w:cs="Tahoma"/>
          <w:sz w:val="20"/>
          <w:szCs w:val="20"/>
        </w:rPr>
        <w:t>novembre</w:t>
      </w:r>
      <w:r w:rsidR="00DB1635" w:rsidRPr="00B004EE">
        <w:rPr>
          <w:rFonts w:ascii="Tahoma" w:hAnsi="Tahoma" w:cs="Tahoma"/>
          <w:sz w:val="20"/>
          <w:szCs w:val="20"/>
        </w:rPr>
        <w:t xml:space="preserve"> </w:t>
      </w:r>
      <w:r w:rsidRPr="00B004EE">
        <w:rPr>
          <w:rFonts w:ascii="Tahoma" w:hAnsi="Tahoma" w:cs="Tahoma"/>
          <w:sz w:val="20"/>
          <w:szCs w:val="20"/>
        </w:rPr>
        <w:t>2006</w:t>
      </w:r>
      <w:r w:rsidR="00DB1635" w:rsidRPr="00B004EE">
        <w:rPr>
          <w:rFonts w:ascii="Tahoma" w:hAnsi="Tahoma" w:cs="Tahoma"/>
          <w:sz w:val="20"/>
          <w:szCs w:val="20"/>
        </w:rPr>
        <w:t xml:space="preserve"> </w:t>
      </w:r>
      <w:r w:rsidRPr="00B004EE">
        <w:rPr>
          <w:rFonts w:ascii="Tahoma" w:hAnsi="Tahoma" w:cs="Tahoma"/>
          <w:sz w:val="20"/>
          <w:szCs w:val="20"/>
        </w:rPr>
        <w:t>susvisé,</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zones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coquillages</w:t>
      </w:r>
      <w:r w:rsidR="00DB1635" w:rsidRPr="00B004EE">
        <w:rPr>
          <w:rFonts w:ascii="Tahoma" w:hAnsi="Tahoma" w:cs="Tahoma"/>
          <w:sz w:val="20"/>
          <w:szCs w:val="20"/>
        </w:rPr>
        <w:t xml:space="preserve"> </w:t>
      </w:r>
      <w:r w:rsidRPr="00B004EE">
        <w:rPr>
          <w:rFonts w:ascii="Tahoma" w:hAnsi="Tahoma" w:cs="Tahoma"/>
          <w:sz w:val="20"/>
          <w:szCs w:val="20"/>
        </w:rPr>
        <w:t>situées</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mer</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sur</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littoral,</w:t>
      </w:r>
      <w:r w:rsidR="00DB1635" w:rsidRPr="00B004EE">
        <w:rPr>
          <w:rFonts w:ascii="Tahoma" w:hAnsi="Tahoma" w:cs="Tahoma"/>
          <w:sz w:val="20"/>
          <w:szCs w:val="20"/>
        </w:rPr>
        <w:t xml:space="preserve"> </w:t>
      </w:r>
      <w:r w:rsidRPr="00B004EE">
        <w:rPr>
          <w:rFonts w:ascii="Tahoma" w:hAnsi="Tahoma" w:cs="Tahoma"/>
          <w:sz w:val="20"/>
          <w:szCs w:val="20"/>
        </w:rPr>
        <w:t>définies</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noms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coordonnées</w:t>
      </w:r>
      <w:r w:rsidR="00DB1635" w:rsidRPr="00B004EE">
        <w:rPr>
          <w:rFonts w:ascii="Tahoma" w:hAnsi="Tahoma" w:cs="Tahoma"/>
          <w:sz w:val="20"/>
          <w:szCs w:val="20"/>
        </w:rPr>
        <w:t xml:space="preserve"> </w:t>
      </w:r>
      <w:r w:rsidRPr="00B004EE">
        <w:rPr>
          <w:rFonts w:ascii="Tahoma" w:hAnsi="Tahoma" w:cs="Tahoma"/>
          <w:sz w:val="20"/>
          <w:szCs w:val="20"/>
        </w:rPr>
        <w:t>géographiques</w:t>
      </w:r>
      <w:r w:rsidR="00DB1635" w:rsidRPr="00B004EE">
        <w:rPr>
          <w:rFonts w:ascii="Tahoma" w:hAnsi="Tahoma" w:cs="Tahoma"/>
          <w:sz w:val="20"/>
          <w:szCs w:val="20"/>
        </w:rPr>
        <w:t xml:space="preserve"> </w:t>
      </w:r>
      <w:r w:rsidRPr="00B004EE">
        <w:rPr>
          <w:rFonts w:ascii="Tahoma" w:hAnsi="Tahoma" w:cs="Tahoma"/>
          <w:sz w:val="20"/>
          <w:szCs w:val="20"/>
        </w:rPr>
        <w:t>suivantes,</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désignées</w:t>
      </w:r>
      <w:r w:rsidR="00DB1635" w:rsidRPr="00B004EE">
        <w:rPr>
          <w:rFonts w:ascii="Tahoma" w:hAnsi="Tahoma" w:cs="Tahoma"/>
          <w:sz w:val="20"/>
          <w:szCs w:val="20"/>
        </w:rPr>
        <w:t xml:space="preserve"> </w:t>
      </w:r>
      <w:r w:rsidRPr="00B004EE">
        <w:rPr>
          <w:rFonts w:ascii="Tahoma" w:hAnsi="Tahoma" w:cs="Tahoma"/>
          <w:sz w:val="20"/>
          <w:szCs w:val="20"/>
        </w:rPr>
        <w:t>zones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production</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classées,</w:t>
      </w:r>
      <w:r w:rsidR="00DB1635" w:rsidRPr="00B004EE">
        <w:rPr>
          <w:rFonts w:ascii="Tahoma" w:hAnsi="Tahoma" w:cs="Tahoma"/>
          <w:sz w:val="20"/>
          <w:szCs w:val="20"/>
        </w:rPr>
        <w:t xml:space="preserve"> </w:t>
      </w:r>
      <w:r w:rsidRPr="00B004EE">
        <w:rPr>
          <w:rFonts w:ascii="Tahoma" w:hAnsi="Tahoma" w:cs="Tahoma"/>
          <w:sz w:val="20"/>
          <w:szCs w:val="20"/>
        </w:rPr>
        <w:t>conformément</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indications</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Tableau</w:t>
      </w:r>
      <w:r w:rsidR="00DB1635" w:rsidRPr="00B004EE">
        <w:rPr>
          <w:rFonts w:ascii="Tahoma" w:hAnsi="Tahoma" w:cs="Tahoma"/>
          <w:sz w:val="20"/>
          <w:szCs w:val="20"/>
        </w:rPr>
        <w:t xml:space="preserve"> </w:t>
      </w:r>
      <w:r w:rsidRPr="00B004EE">
        <w:rPr>
          <w:rFonts w:ascii="Tahoma" w:hAnsi="Tahoma" w:cs="Tahoma"/>
          <w:sz w:val="20"/>
          <w:szCs w:val="20"/>
        </w:rPr>
        <w:t>ci-après</w:t>
      </w:r>
      <w:r w:rsidR="00DB1635" w:rsidRPr="00B004EE">
        <w:rPr>
          <w:rFonts w:ascii="Tahoma" w:hAnsi="Tahoma" w:cs="Tahoma"/>
          <w:sz w:val="20"/>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95"/>
        <w:gridCol w:w="3872"/>
        <w:gridCol w:w="1498"/>
        <w:gridCol w:w="1531"/>
      </w:tblGrid>
      <w:tr w:rsidR="00150C90" w:rsidRPr="00B004EE" w14:paraId="4C4B5BE9" w14:textId="77777777" w:rsidTr="00475682">
        <w:trPr>
          <w:jc w:val="center"/>
        </w:trPr>
        <w:tc>
          <w:tcPr>
            <w:tcW w:w="2495" w:type="dxa"/>
          </w:tcPr>
          <w:p w14:paraId="5D953207" w14:textId="6B7CAE69" w:rsidR="002F24E1" w:rsidRPr="00B004EE" w:rsidRDefault="002F24E1" w:rsidP="00B004EE">
            <w:pPr>
              <w:pStyle w:val="Titre5"/>
              <w:jc w:val="both"/>
              <w:rPr>
                <w:rFonts w:ascii="Tahoma" w:hAnsi="Tahoma" w:cs="Tahoma"/>
                <w:sz w:val="20"/>
                <w:szCs w:val="20"/>
              </w:rPr>
            </w:pPr>
            <w:r w:rsidRPr="00B004EE">
              <w:rPr>
                <w:rFonts w:ascii="Tahoma" w:hAnsi="Tahoma" w:cs="Tahoma"/>
                <w:sz w:val="20"/>
                <w:szCs w:val="20"/>
              </w:rPr>
              <w:t>:Zone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production</w:t>
            </w:r>
          </w:p>
        </w:tc>
        <w:tc>
          <w:tcPr>
            <w:tcW w:w="3872" w:type="dxa"/>
          </w:tcPr>
          <w:p w14:paraId="3FAD15B4" w14:textId="7A96A00B" w:rsidR="002F24E1" w:rsidRPr="00B004EE" w:rsidRDefault="002F24E1" w:rsidP="00B004EE">
            <w:pPr>
              <w:pStyle w:val="Titre5"/>
              <w:jc w:val="both"/>
              <w:rPr>
                <w:rFonts w:ascii="Tahoma" w:hAnsi="Tahoma" w:cs="Tahoma"/>
                <w:sz w:val="20"/>
                <w:szCs w:val="20"/>
              </w:rPr>
            </w:pPr>
            <w:r w:rsidRPr="00B004EE">
              <w:rPr>
                <w:rFonts w:ascii="Tahoma" w:hAnsi="Tahoma" w:cs="Tahoma"/>
                <w:sz w:val="20"/>
                <w:szCs w:val="20"/>
              </w:rPr>
              <w:t>Limites</w:t>
            </w:r>
            <w:r w:rsidR="00DB1635" w:rsidRPr="00B004EE">
              <w:rPr>
                <w:rFonts w:ascii="Tahoma" w:hAnsi="Tahoma" w:cs="Tahoma"/>
                <w:sz w:val="20"/>
                <w:szCs w:val="20"/>
              </w:rPr>
              <w:t xml:space="preserve"> </w:t>
            </w:r>
            <w:r w:rsidRPr="00B004EE">
              <w:rPr>
                <w:rFonts w:ascii="Tahoma" w:hAnsi="Tahoma" w:cs="Tahoma"/>
                <w:sz w:val="20"/>
                <w:szCs w:val="20"/>
              </w:rPr>
              <w:t>géographiques</w:t>
            </w:r>
          </w:p>
        </w:tc>
        <w:tc>
          <w:tcPr>
            <w:tcW w:w="1498" w:type="dxa"/>
          </w:tcPr>
          <w:p w14:paraId="6E266817" w14:textId="395EFE9A" w:rsidR="002F24E1" w:rsidRPr="00B004EE" w:rsidRDefault="002F24E1" w:rsidP="00B004EE">
            <w:pPr>
              <w:pStyle w:val="Titre5"/>
              <w:jc w:val="both"/>
              <w:rPr>
                <w:rFonts w:ascii="Tahoma" w:hAnsi="Tahoma" w:cs="Tahoma"/>
                <w:sz w:val="20"/>
                <w:szCs w:val="20"/>
              </w:rPr>
            </w:pPr>
            <w:r w:rsidRPr="00B004EE">
              <w:rPr>
                <w:rFonts w:ascii="Tahoma" w:hAnsi="Tahoma" w:cs="Tahoma"/>
                <w:sz w:val="20"/>
                <w:szCs w:val="20"/>
              </w:rPr>
              <w:t>Espèces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coquillages</w:t>
            </w:r>
          </w:p>
        </w:tc>
        <w:tc>
          <w:tcPr>
            <w:tcW w:w="1531" w:type="dxa"/>
          </w:tcPr>
          <w:p w14:paraId="5274220E" w14:textId="77777777" w:rsidR="002F24E1" w:rsidRPr="00B004EE" w:rsidRDefault="002F24E1" w:rsidP="00B004EE">
            <w:pPr>
              <w:pStyle w:val="Titre5"/>
              <w:jc w:val="both"/>
              <w:rPr>
                <w:rFonts w:ascii="Tahoma" w:hAnsi="Tahoma" w:cs="Tahoma"/>
                <w:sz w:val="20"/>
                <w:szCs w:val="20"/>
              </w:rPr>
            </w:pPr>
            <w:r w:rsidRPr="00B004EE">
              <w:rPr>
                <w:rFonts w:ascii="Tahoma" w:hAnsi="Tahoma" w:cs="Tahoma"/>
                <w:sz w:val="20"/>
                <w:szCs w:val="20"/>
              </w:rPr>
              <w:t>Classement</w:t>
            </w:r>
          </w:p>
        </w:tc>
      </w:tr>
      <w:tr w:rsidR="00150C90" w:rsidRPr="00B004EE" w14:paraId="7826A493" w14:textId="77777777" w:rsidTr="00475682">
        <w:trPr>
          <w:jc w:val="center"/>
        </w:trPr>
        <w:tc>
          <w:tcPr>
            <w:tcW w:w="2495" w:type="dxa"/>
            <w:vAlign w:val="center"/>
          </w:tcPr>
          <w:p w14:paraId="0211D7E9" w14:textId="0ECA902F" w:rsidR="002F24E1" w:rsidRPr="00B004EE" w:rsidRDefault="002F24E1" w:rsidP="00B004EE">
            <w:pPr>
              <w:autoSpaceDE w:val="0"/>
              <w:autoSpaceDN w:val="0"/>
              <w:adjustRightInd w:val="0"/>
              <w:jc w:val="both"/>
              <w:rPr>
                <w:rFonts w:ascii="Tahoma" w:hAnsi="Tahoma" w:cs="Tahoma"/>
                <w:sz w:val="20"/>
                <w:szCs w:val="20"/>
              </w:rPr>
            </w:pPr>
            <w:r w:rsidRPr="00B004EE">
              <w:rPr>
                <w:rFonts w:ascii="Tahoma" w:hAnsi="Tahoma" w:cs="Tahoma"/>
                <w:sz w:val="20"/>
                <w:szCs w:val="20"/>
              </w:rPr>
              <w:t>Zone</w:t>
            </w:r>
            <w:r w:rsidR="00DB1635" w:rsidRPr="00B004EE">
              <w:rPr>
                <w:rFonts w:ascii="Tahoma" w:hAnsi="Tahoma" w:cs="Tahoma"/>
                <w:sz w:val="20"/>
                <w:szCs w:val="20"/>
              </w:rPr>
              <w:t xml:space="preserve"> </w:t>
            </w:r>
            <w:r w:rsidRPr="00B004EE">
              <w:rPr>
                <w:rFonts w:ascii="Tahoma" w:hAnsi="Tahoma" w:cs="Tahoma"/>
                <w:sz w:val="20"/>
                <w:szCs w:val="20"/>
              </w:rPr>
              <w:t>baie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l’Etoile</w:t>
            </w:r>
            <w:r w:rsidR="00DB1635" w:rsidRPr="00B004EE">
              <w:rPr>
                <w:rFonts w:ascii="Tahoma" w:hAnsi="Tahoma" w:cs="Tahoma"/>
                <w:sz w:val="20"/>
                <w:szCs w:val="20"/>
              </w:rPr>
              <w:t xml:space="preserve"> </w:t>
            </w:r>
          </w:p>
        </w:tc>
        <w:tc>
          <w:tcPr>
            <w:tcW w:w="3872" w:type="dxa"/>
          </w:tcPr>
          <w:p w14:paraId="0194A618" w14:textId="76F8E4C4" w:rsidR="002F24E1" w:rsidRPr="00B004EE" w:rsidRDefault="002F24E1" w:rsidP="00B004EE">
            <w:pPr>
              <w:autoSpaceDE w:val="0"/>
              <w:autoSpaceDN w:val="0"/>
              <w:adjustRightInd w:val="0"/>
              <w:jc w:val="both"/>
              <w:rPr>
                <w:rFonts w:ascii="Tahoma" w:hAnsi="Tahoma" w:cs="Tahoma"/>
                <w:sz w:val="20"/>
                <w:szCs w:val="20"/>
              </w:rPr>
            </w:pPr>
            <w:r w:rsidRPr="00B004EE">
              <w:rPr>
                <w:rFonts w:ascii="Tahoma" w:hAnsi="Tahoma" w:cs="Tahoma"/>
                <w:sz w:val="20"/>
                <w:szCs w:val="20"/>
              </w:rPr>
              <w:t>Zone</w:t>
            </w:r>
            <w:r w:rsidR="00DB1635" w:rsidRPr="00B004EE">
              <w:rPr>
                <w:rFonts w:ascii="Tahoma" w:hAnsi="Tahoma" w:cs="Tahoma"/>
                <w:sz w:val="20"/>
                <w:szCs w:val="20"/>
              </w:rPr>
              <w:t xml:space="preserve"> </w:t>
            </w:r>
            <w:r w:rsidRPr="00B004EE">
              <w:rPr>
                <w:rFonts w:ascii="Tahoma" w:hAnsi="Tahoma" w:cs="Tahoma"/>
                <w:sz w:val="20"/>
                <w:szCs w:val="20"/>
              </w:rPr>
              <w:t>délimitée</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nord</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rivage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Baie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l’Etoile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sud</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ligne</w:t>
            </w:r>
            <w:r w:rsidR="00DB1635" w:rsidRPr="00B004EE">
              <w:rPr>
                <w:rFonts w:ascii="Tahoma" w:hAnsi="Tahoma" w:cs="Tahoma"/>
                <w:sz w:val="20"/>
                <w:szCs w:val="20"/>
              </w:rPr>
              <w:t xml:space="preserve"> </w:t>
            </w:r>
            <w:r w:rsidRPr="00B004EE">
              <w:rPr>
                <w:rFonts w:ascii="Tahoma" w:hAnsi="Tahoma" w:cs="Tahoma"/>
                <w:sz w:val="20"/>
                <w:szCs w:val="20"/>
              </w:rPr>
              <w:t>transversale</w:t>
            </w:r>
            <w:r w:rsidR="00DB1635" w:rsidRPr="00B004EE">
              <w:rPr>
                <w:rFonts w:ascii="Tahoma" w:hAnsi="Tahoma" w:cs="Tahoma"/>
                <w:sz w:val="20"/>
                <w:szCs w:val="20"/>
              </w:rPr>
              <w:t xml:space="preserve"> </w:t>
            </w:r>
            <w:r w:rsidRPr="00B004EE">
              <w:rPr>
                <w:rFonts w:ascii="Tahoma" w:hAnsi="Tahoma" w:cs="Tahoma"/>
                <w:sz w:val="20"/>
                <w:szCs w:val="20"/>
              </w:rPr>
              <w:t>dont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coordonnées</w:t>
            </w:r>
            <w:r w:rsidR="00DB1635" w:rsidRPr="00B004EE">
              <w:rPr>
                <w:rFonts w:ascii="Tahoma" w:hAnsi="Tahoma" w:cs="Tahoma"/>
                <w:sz w:val="20"/>
                <w:szCs w:val="20"/>
              </w:rPr>
              <w:t xml:space="preserve"> </w:t>
            </w:r>
            <w:r w:rsidRPr="00B004EE">
              <w:rPr>
                <w:rFonts w:ascii="Tahoma" w:hAnsi="Tahoma" w:cs="Tahoma"/>
                <w:sz w:val="20"/>
                <w:szCs w:val="20"/>
              </w:rPr>
              <w:t>géographiques</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suivantes</w:t>
            </w:r>
            <w:r w:rsidR="00DB1635" w:rsidRPr="00B004EE">
              <w:rPr>
                <w:rFonts w:ascii="Tahoma" w:hAnsi="Tahoma" w:cs="Tahoma"/>
                <w:sz w:val="20"/>
                <w:szCs w:val="20"/>
              </w:rPr>
              <w:t xml:space="preserve"> </w:t>
            </w:r>
            <w:r w:rsidRPr="00B004EE">
              <w:rPr>
                <w:rFonts w:ascii="Tahoma" w:hAnsi="Tahoma" w:cs="Tahoma"/>
                <w:sz w:val="20"/>
                <w:szCs w:val="20"/>
              </w:rPr>
              <w:t>:</w:t>
            </w:r>
          </w:p>
          <w:p w14:paraId="3EB48CC9" w14:textId="53853178" w:rsidR="002F24E1" w:rsidRPr="00B004EE" w:rsidRDefault="002F24E1" w:rsidP="00B004EE">
            <w:pPr>
              <w:autoSpaceDE w:val="0"/>
              <w:autoSpaceDN w:val="0"/>
              <w:adjustRightInd w:val="0"/>
              <w:jc w:val="both"/>
              <w:rPr>
                <w:rFonts w:ascii="Tahoma" w:hAnsi="Tahoma" w:cs="Tahoma"/>
                <w:sz w:val="20"/>
                <w:szCs w:val="20"/>
                <w:lang w:val="en-US"/>
              </w:rPr>
            </w:pPr>
            <w:r w:rsidRPr="00B004EE">
              <w:rPr>
                <w:rFonts w:ascii="Tahoma" w:hAnsi="Tahoma" w:cs="Tahoma"/>
                <w:sz w:val="20"/>
                <w:szCs w:val="20"/>
                <w:lang w:val="en-US"/>
              </w:rPr>
              <w:t>Point</w:t>
            </w:r>
            <w:r w:rsidR="00DB1635" w:rsidRPr="00B004EE">
              <w:rPr>
                <w:rFonts w:ascii="Tahoma" w:hAnsi="Tahoma" w:cs="Tahoma"/>
                <w:sz w:val="20"/>
                <w:szCs w:val="20"/>
                <w:lang w:val="en-US"/>
              </w:rPr>
              <w:t xml:space="preserve"> </w:t>
            </w:r>
            <w:proofErr w:type="gramStart"/>
            <w:r w:rsidRPr="00B004EE">
              <w:rPr>
                <w:rFonts w:ascii="Tahoma" w:hAnsi="Tahoma" w:cs="Tahoma"/>
                <w:sz w:val="20"/>
                <w:szCs w:val="20"/>
                <w:lang w:val="en-US"/>
              </w:rPr>
              <w:t>A</w:t>
            </w:r>
            <w:r w:rsidR="00DB1635" w:rsidRPr="00B004EE">
              <w:rPr>
                <w:rFonts w:ascii="Tahoma" w:hAnsi="Tahoma" w:cs="Tahoma"/>
                <w:sz w:val="20"/>
                <w:szCs w:val="20"/>
                <w:lang w:val="en-US"/>
              </w:rPr>
              <w:t xml:space="preserve"> </w:t>
            </w:r>
            <w:r w:rsidRPr="00B004EE">
              <w:rPr>
                <w:rFonts w:ascii="Tahoma" w:hAnsi="Tahoma" w:cs="Tahoma"/>
                <w:sz w:val="20"/>
                <w:szCs w:val="20"/>
                <w:lang w:val="en-US"/>
              </w:rPr>
              <w:t>:</w:t>
            </w:r>
            <w:proofErr w:type="gramEnd"/>
            <w:r w:rsidR="00DB1635" w:rsidRPr="00B004EE">
              <w:rPr>
                <w:rFonts w:ascii="Tahoma" w:hAnsi="Tahoma" w:cs="Tahoma"/>
                <w:sz w:val="20"/>
                <w:szCs w:val="20"/>
                <w:lang w:val="en-US"/>
              </w:rPr>
              <w:t xml:space="preserve"> </w:t>
            </w:r>
            <w:r w:rsidRPr="00B004EE">
              <w:rPr>
                <w:rFonts w:ascii="Tahoma" w:hAnsi="Tahoma" w:cs="Tahoma"/>
                <w:sz w:val="20"/>
                <w:szCs w:val="20"/>
                <w:lang w:val="en-US"/>
              </w:rPr>
              <w:t>21°01’,35N</w:t>
            </w:r>
            <w:r w:rsidR="00DB1635" w:rsidRPr="00B004EE">
              <w:rPr>
                <w:rFonts w:ascii="Tahoma" w:hAnsi="Tahoma" w:cs="Tahoma"/>
                <w:sz w:val="20"/>
                <w:szCs w:val="20"/>
                <w:lang w:val="en-US"/>
              </w:rPr>
              <w:t xml:space="preserve"> </w:t>
            </w:r>
            <w:r w:rsidRPr="00B004EE">
              <w:rPr>
                <w:rFonts w:ascii="Tahoma" w:hAnsi="Tahoma" w:cs="Tahoma"/>
                <w:sz w:val="20"/>
                <w:szCs w:val="20"/>
                <w:lang w:val="en-US"/>
              </w:rPr>
              <w:t>-</w:t>
            </w:r>
            <w:r w:rsidR="00DB1635" w:rsidRPr="00B004EE">
              <w:rPr>
                <w:rFonts w:ascii="Tahoma" w:hAnsi="Tahoma" w:cs="Tahoma"/>
                <w:sz w:val="20"/>
                <w:szCs w:val="20"/>
                <w:lang w:val="en-US"/>
              </w:rPr>
              <w:t xml:space="preserve"> </w:t>
            </w:r>
            <w:r w:rsidRPr="00B004EE">
              <w:rPr>
                <w:rFonts w:ascii="Tahoma" w:hAnsi="Tahoma" w:cs="Tahoma"/>
                <w:sz w:val="20"/>
                <w:szCs w:val="20"/>
                <w:lang w:val="en-US"/>
              </w:rPr>
              <w:t>17°01’,28W</w:t>
            </w:r>
          </w:p>
          <w:p w14:paraId="2F89CFFC" w14:textId="1A21A2CA" w:rsidR="002F24E1" w:rsidRPr="00B004EE" w:rsidRDefault="002F24E1" w:rsidP="00B004EE">
            <w:pPr>
              <w:autoSpaceDE w:val="0"/>
              <w:autoSpaceDN w:val="0"/>
              <w:adjustRightInd w:val="0"/>
              <w:jc w:val="both"/>
              <w:rPr>
                <w:rFonts w:ascii="Tahoma" w:hAnsi="Tahoma" w:cs="Tahoma"/>
                <w:sz w:val="20"/>
                <w:szCs w:val="20"/>
                <w:lang w:val="en-US"/>
              </w:rPr>
            </w:pPr>
            <w:r w:rsidRPr="00B004EE">
              <w:rPr>
                <w:rFonts w:ascii="Tahoma" w:hAnsi="Tahoma" w:cs="Tahoma"/>
                <w:sz w:val="20"/>
                <w:szCs w:val="20"/>
                <w:lang w:val="en-US"/>
              </w:rPr>
              <w:t>Point</w:t>
            </w:r>
            <w:r w:rsidR="00DB1635" w:rsidRPr="00B004EE">
              <w:rPr>
                <w:rFonts w:ascii="Tahoma" w:hAnsi="Tahoma" w:cs="Tahoma"/>
                <w:sz w:val="20"/>
                <w:szCs w:val="20"/>
                <w:lang w:val="en-US"/>
              </w:rPr>
              <w:t xml:space="preserve"> </w:t>
            </w:r>
            <w:r w:rsidRPr="00B004EE">
              <w:rPr>
                <w:rFonts w:ascii="Tahoma" w:hAnsi="Tahoma" w:cs="Tahoma"/>
                <w:sz w:val="20"/>
                <w:szCs w:val="20"/>
                <w:lang w:val="en-US"/>
              </w:rPr>
              <w:t>B</w:t>
            </w:r>
            <w:r w:rsidR="00DB1635" w:rsidRPr="00B004EE">
              <w:rPr>
                <w:rFonts w:ascii="Tahoma" w:hAnsi="Tahoma" w:cs="Tahoma"/>
                <w:sz w:val="20"/>
                <w:szCs w:val="20"/>
                <w:lang w:val="en-US"/>
              </w:rPr>
              <w:t xml:space="preserve"> </w:t>
            </w:r>
            <w:r w:rsidRPr="00B004EE">
              <w:rPr>
                <w:rFonts w:ascii="Tahoma" w:hAnsi="Tahoma" w:cs="Tahoma"/>
                <w:sz w:val="20"/>
                <w:szCs w:val="20"/>
                <w:lang w:val="en-US"/>
              </w:rPr>
              <w:t>:</w:t>
            </w:r>
            <w:r w:rsidR="00DB1635" w:rsidRPr="00B004EE">
              <w:rPr>
                <w:rFonts w:ascii="Tahoma" w:hAnsi="Tahoma" w:cs="Tahoma"/>
                <w:sz w:val="20"/>
                <w:szCs w:val="20"/>
                <w:lang w:val="en-US"/>
              </w:rPr>
              <w:t xml:space="preserve"> </w:t>
            </w:r>
            <w:r w:rsidRPr="00B004EE">
              <w:rPr>
                <w:rFonts w:ascii="Tahoma" w:hAnsi="Tahoma" w:cs="Tahoma"/>
                <w:sz w:val="20"/>
                <w:szCs w:val="20"/>
                <w:lang w:val="en-US"/>
              </w:rPr>
              <w:t>21°01’,35N</w:t>
            </w:r>
            <w:r w:rsidR="00DB1635" w:rsidRPr="00B004EE">
              <w:rPr>
                <w:rFonts w:ascii="Tahoma" w:hAnsi="Tahoma" w:cs="Tahoma"/>
                <w:sz w:val="20"/>
                <w:szCs w:val="20"/>
                <w:lang w:val="en-US"/>
              </w:rPr>
              <w:t xml:space="preserve"> </w:t>
            </w:r>
            <w:r w:rsidRPr="00B004EE">
              <w:rPr>
                <w:rFonts w:ascii="Tahoma" w:hAnsi="Tahoma" w:cs="Tahoma"/>
                <w:sz w:val="20"/>
                <w:szCs w:val="20"/>
                <w:lang w:val="en-US"/>
              </w:rPr>
              <w:t>-</w:t>
            </w:r>
            <w:r w:rsidR="00DB1635" w:rsidRPr="00B004EE">
              <w:rPr>
                <w:rFonts w:ascii="Tahoma" w:hAnsi="Tahoma" w:cs="Tahoma"/>
                <w:sz w:val="20"/>
                <w:szCs w:val="20"/>
                <w:lang w:val="en-US"/>
              </w:rPr>
              <w:t xml:space="preserve"> </w:t>
            </w:r>
            <w:r w:rsidRPr="00B004EE">
              <w:rPr>
                <w:rFonts w:ascii="Tahoma" w:hAnsi="Tahoma" w:cs="Tahoma"/>
                <w:sz w:val="20"/>
                <w:szCs w:val="20"/>
                <w:lang w:val="en-US"/>
              </w:rPr>
              <w:t>17°00’,10W</w:t>
            </w:r>
          </w:p>
        </w:tc>
        <w:tc>
          <w:tcPr>
            <w:tcW w:w="1498" w:type="dxa"/>
            <w:vAlign w:val="center"/>
          </w:tcPr>
          <w:p w14:paraId="54FCBC87" w14:textId="1A567B8A" w:rsidR="002F24E1" w:rsidRPr="00B004EE" w:rsidRDefault="002F24E1" w:rsidP="00B004EE">
            <w:pPr>
              <w:autoSpaceDE w:val="0"/>
              <w:autoSpaceDN w:val="0"/>
              <w:adjustRightInd w:val="0"/>
              <w:jc w:val="both"/>
              <w:rPr>
                <w:rFonts w:ascii="Tahoma" w:hAnsi="Tahoma" w:cs="Tahoma"/>
                <w:sz w:val="20"/>
                <w:szCs w:val="20"/>
                <w:lang w:val="en-US"/>
              </w:rPr>
            </w:pPr>
            <w:r w:rsidRPr="00B004EE">
              <w:rPr>
                <w:rFonts w:ascii="Tahoma" w:hAnsi="Tahoma" w:cs="Tahoma"/>
                <w:i/>
                <w:iCs/>
                <w:sz w:val="20"/>
                <w:szCs w:val="20"/>
                <w:lang w:val="en-US"/>
              </w:rPr>
              <w:t>Crassostrea</w:t>
            </w:r>
            <w:r w:rsidR="00DB1635" w:rsidRPr="00B004EE">
              <w:rPr>
                <w:rFonts w:ascii="Tahoma" w:hAnsi="Tahoma" w:cs="Tahoma"/>
                <w:i/>
                <w:iCs/>
                <w:sz w:val="20"/>
                <w:szCs w:val="20"/>
                <w:lang w:val="en-US"/>
              </w:rPr>
              <w:t xml:space="preserve"> </w:t>
            </w:r>
            <w:r w:rsidRPr="00B004EE">
              <w:rPr>
                <w:rFonts w:ascii="Tahoma" w:hAnsi="Tahoma" w:cs="Tahoma"/>
                <w:i/>
                <w:iCs/>
                <w:sz w:val="20"/>
                <w:szCs w:val="20"/>
                <w:lang w:val="en-US"/>
              </w:rPr>
              <w:t>gigas</w:t>
            </w:r>
            <w:r w:rsidR="00DB1635" w:rsidRPr="00B004EE">
              <w:rPr>
                <w:rFonts w:ascii="Tahoma" w:hAnsi="Tahoma" w:cs="Tahoma"/>
                <w:i/>
                <w:iCs/>
                <w:sz w:val="20"/>
                <w:szCs w:val="20"/>
                <w:lang w:val="en-US"/>
              </w:rPr>
              <w:t xml:space="preserve"> </w:t>
            </w:r>
          </w:p>
        </w:tc>
        <w:tc>
          <w:tcPr>
            <w:tcW w:w="1531" w:type="dxa"/>
            <w:vAlign w:val="center"/>
          </w:tcPr>
          <w:p w14:paraId="7ED979E8" w14:textId="3A17778A" w:rsidR="002F24E1" w:rsidRPr="00B004EE" w:rsidRDefault="002F24E1" w:rsidP="00B004EE">
            <w:pPr>
              <w:autoSpaceDE w:val="0"/>
              <w:autoSpaceDN w:val="0"/>
              <w:adjustRightInd w:val="0"/>
              <w:jc w:val="both"/>
              <w:rPr>
                <w:rFonts w:ascii="Tahoma" w:hAnsi="Tahoma" w:cs="Tahoma"/>
                <w:sz w:val="20"/>
                <w:szCs w:val="20"/>
              </w:rPr>
            </w:pPr>
            <w:r w:rsidRPr="00B004EE">
              <w:rPr>
                <w:rFonts w:ascii="Tahoma" w:hAnsi="Tahoma" w:cs="Tahoma"/>
                <w:sz w:val="20"/>
                <w:szCs w:val="20"/>
              </w:rPr>
              <w:t>A</w:t>
            </w:r>
            <w:r w:rsidR="00DB1635" w:rsidRPr="00B004EE">
              <w:rPr>
                <w:rFonts w:ascii="Tahoma" w:hAnsi="Tahoma" w:cs="Tahoma"/>
                <w:sz w:val="20"/>
                <w:szCs w:val="20"/>
              </w:rPr>
              <w:t xml:space="preserve"> </w:t>
            </w:r>
          </w:p>
        </w:tc>
      </w:tr>
      <w:tr w:rsidR="00150C90" w:rsidRPr="00B004EE" w14:paraId="434C4D4F" w14:textId="77777777" w:rsidTr="00475682">
        <w:trPr>
          <w:jc w:val="center"/>
        </w:trPr>
        <w:tc>
          <w:tcPr>
            <w:tcW w:w="2495" w:type="dxa"/>
            <w:tcBorders>
              <w:top w:val="single" w:sz="4" w:space="0" w:color="auto"/>
              <w:left w:val="single" w:sz="4" w:space="0" w:color="auto"/>
              <w:bottom w:val="single" w:sz="4" w:space="0" w:color="auto"/>
              <w:right w:val="single" w:sz="4" w:space="0" w:color="auto"/>
            </w:tcBorders>
            <w:vAlign w:val="center"/>
          </w:tcPr>
          <w:p w14:paraId="7D849FCC" w14:textId="0B0563E5" w:rsidR="002F24E1" w:rsidRPr="00B004EE" w:rsidRDefault="002F24E1" w:rsidP="00B004EE">
            <w:pPr>
              <w:autoSpaceDE w:val="0"/>
              <w:autoSpaceDN w:val="0"/>
              <w:adjustRightInd w:val="0"/>
              <w:jc w:val="both"/>
              <w:rPr>
                <w:rFonts w:ascii="Tahoma" w:hAnsi="Tahoma" w:cs="Tahoma"/>
                <w:sz w:val="20"/>
                <w:szCs w:val="20"/>
              </w:rPr>
            </w:pPr>
            <w:r w:rsidRPr="00B004EE">
              <w:rPr>
                <w:rFonts w:ascii="Tahoma" w:hAnsi="Tahoma" w:cs="Tahoma"/>
                <w:sz w:val="20"/>
                <w:szCs w:val="20"/>
              </w:rPr>
              <w:t>Zone</w:t>
            </w:r>
            <w:r w:rsidR="00DB1635" w:rsidRPr="00B004EE">
              <w:rPr>
                <w:rFonts w:ascii="Tahoma" w:hAnsi="Tahoma" w:cs="Tahoma"/>
                <w:sz w:val="20"/>
                <w:szCs w:val="20"/>
              </w:rPr>
              <w:t xml:space="preserve"> </w:t>
            </w:r>
            <w:r w:rsidRPr="00B004EE">
              <w:rPr>
                <w:rFonts w:ascii="Tahoma" w:hAnsi="Tahoma" w:cs="Tahoma"/>
                <w:sz w:val="20"/>
                <w:szCs w:val="20"/>
              </w:rPr>
              <w:t>Archimède</w:t>
            </w:r>
            <w:r w:rsidR="00DB1635" w:rsidRPr="00B004EE">
              <w:rPr>
                <w:rFonts w:ascii="Tahoma" w:hAnsi="Tahoma" w:cs="Tahoma"/>
                <w:sz w:val="20"/>
                <w:szCs w:val="20"/>
              </w:rPr>
              <w:t xml:space="preserve"> </w:t>
            </w:r>
          </w:p>
        </w:tc>
        <w:tc>
          <w:tcPr>
            <w:tcW w:w="3872" w:type="dxa"/>
            <w:tcBorders>
              <w:top w:val="single" w:sz="4" w:space="0" w:color="auto"/>
              <w:left w:val="single" w:sz="4" w:space="0" w:color="auto"/>
              <w:bottom w:val="single" w:sz="4" w:space="0" w:color="auto"/>
              <w:right w:val="single" w:sz="4" w:space="0" w:color="auto"/>
            </w:tcBorders>
          </w:tcPr>
          <w:p w14:paraId="63F353D0" w14:textId="398A407A" w:rsidR="002F24E1" w:rsidRPr="00B004EE" w:rsidRDefault="002F24E1" w:rsidP="00B004EE">
            <w:pPr>
              <w:autoSpaceDE w:val="0"/>
              <w:autoSpaceDN w:val="0"/>
              <w:adjustRightInd w:val="0"/>
              <w:jc w:val="both"/>
              <w:rPr>
                <w:rFonts w:ascii="Tahoma" w:hAnsi="Tahoma" w:cs="Tahoma"/>
                <w:sz w:val="20"/>
                <w:szCs w:val="20"/>
              </w:rPr>
            </w:pPr>
            <w:r w:rsidRPr="00B004EE">
              <w:rPr>
                <w:rFonts w:ascii="Tahoma" w:hAnsi="Tahoma" w:cs="Tahoma"/>
                <w:sz w:val="20"/>
                <w:szCs w:val="20"/>
              </w:rPr>
              <w:t>Zone</w:t>
            </w:r>
            <w:r w:rsidR="00DB1635" w:rsidRPr="00B004EE">
              <w:rPr>
                <w:rFonts w:ascii="Tahoma" w:hAnsi="Tahoma" w:cs="Tahoma"/>
                <w:sz w:val="20"/>
                <w:szCs w:val="20"/>
              </w:rPr>
              <w:t xml:space="preserve"> </w:t>
            </w:r>
            <w:r w:rsidRPr="00B004EE">
              <w:rPr>
                <w:rFonts w:ascii="Tahoma" w:hAnsi="Tahoma" w:cs="Tahoma"/>
                <w:sz w:val="20"/>
                <w:szCs w:val="20"/>
              </w:rPr>
              <w:t>délimitée</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nord</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rivage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pointe</w:t>
            </w:r>
            <w:r w:rsidR="00DB1635" w:rsidRPr="00B004EE">
              <w:rPr>
                <w:rFonts w:ascii="Tahoma" w:hAnsi="Tahoma" w:cs="Tahoma"/>
                <w:sz w:val="20"/>
                <w:szCs w:val="20"/>
              </w:rPr>
              <w:t xml:space="preserve"> </w:t>
            </w:r>
            <w:r w:rsidRPr="00B004EE">
              <w:rPr>
                <w:rFonts w:ascii="Tahoma" w:hAnsi="Tahoma" w:cs="Tahoma"/>
                <w:sz w:val="20"/>
                <w:szCs w:val="20"/>
              </w:rPr>
              <w:t>d’Archimède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sud</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ligne</w:t>
            </w:r>
            <w:r w:rsidR="00DB1635" w:rsidRPr="00B004EE">
              <w:rPr>
                <w:rFonts w:ascii="Tahoma" w:hAnsi="Tahoma" w:cs="Tahoma"/>
                <w:sz w:val="20"/>
                <w:szCs w:val="20"/>
              </w:rPr>
              <w:t xml:space="preserve"> </w:t>
            </w:r>
            <w:r w:rsidRPr="00B004EE">
              <w:rPr>
                <w:rFonts w:ascii="Tahoma" w:hAnsi="Tahoma" w:cs="Tahoma"/>
                <w:sz w:val="20"/>
                <w:szCs w:val="20"/>
              </w:rPr>
              <w:t>transversale</w:t>
            </w:r>
            <w:r w:rsidR="00DB1635" w:rsidRPr="00B004EE">
              <w:rPr>
                <w:rFonts w:ascii="Tahoma" w:hAnsi="Tahoma" w:cs="Tahoma"/>
                <w:sz w:val="20"/>
                <w:szCs w:val="20"/>
              </w:rPr>
              <w:t xml:space="preserve"> </w:t>
            </w:r>
            <w:r w:rsidRPr="00B004EE">
              <w:rPr>
                <w:rFonts w:ascii="Tahoma" w:hAnsi="Tahoma" w:cs="Tahoma"/>
                <w:sz w:val="20"/>
                <w:szCs w:val="20"/>
              </w:rPr>
              <w:t>dont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coordonnées</w:t>
            </w:r>
            <w:r w:rsidR="00DB1635" w:rsidRPr="00B004EE">
              <w:rPr>
                <w:rFonts w:ascii="Tahoma" w:hAnsi="Tahoma" w:cs="Tahoma"/>
                <w:sz w:val="20"/>
                <w:szCs w:val="20"/>
              </w:rPr>
              <w:t xml:space="preserve"> </w:t>
            </w:r>
            <w:r w:rsidRPr="00B004EE">
              <w:rPr>
                <w:rFonts w:ascii="Tahoma" w:hAnsi="Tahoma" w:cs="Tahoma"/>
                <w:sz w:val="20"/>
                <w:szCs w:val="20"/>
              </w:rPr>
              <w:t>géographiques</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suivantes</w:t>
            </w:r>
            <w:r w:rsidR="00DB1635" w:rsidRPr="00B004EE">
              <w:rPr>
                <w:rFonts w:ascii="Tahoma" w:hAnsi="Tahoma" w:cs="Tahoma"/>
                <w:sz w:val="20"/>
                <w:szCs w:val="20"/>
              </w:rPr>
              <w:t xml:space="preserve"> </w:t>
            </w:r>
            <w:r w:rsidRPr="00B004EE">
              <w:rPr>
                <w:rFonts w:ascii="Tahoma" w:hAnsi="Tahoma" w:cs="Tahoma"/>
                <w:sz w:val="20"/>
                <w:szCs w:val="20"/>
              </w:rPr>
              <w:t>:</w:t>
            </w:r>
          </w:p>
          <w:p w14:paraId="08E33266" w14:textId="463BC926" w:rsidR="002F24E1" w:rsidRPr="00B004EE" w:rsidRDefault="002F24E1" w:rsidP="00B004EE">
            <w:pPr>
              <w:suppressLineNumbers/>
              <w:tabs>
                <w:tab w:val="left" w:pos="567"/>
              </w:tabs>
              <w:jc w:val="both"/>
              <w:rPr>
                <w:rFonts w:ascii="Tahoma" w:hAnsi="Tahoma" w:cs="Tahoma"/>
                <w:sz w:val="20"/>
                <w:szCs w:val="20"/>
                <w:lang w:val="en-US"/>
              </w:rPr>
            </w:pPr>
            <w:r w:rsidRPr="00B004EE">
              <w:rPr>
                <w:rFonts w:ascii="Tahoma" w:hAnsi="Tahoma" w:cs="Tahoma"/>
                <w:sz w:val="20"/>
                <w:szCs w:val="20"/>
                <w:lang w:val="en-US"/>
              </w:rPr>
              <w:t>Point</w:t>
            </w:r>
            <w:r w:rsidR="00DB1635" w:rsidRPr="00B004EE">
              <w:rPr>
                <w:rFonts w:ascii="Tahoma" w:hAnsi="Tahoma" w:cs="Tahoma"/>
                <w:sz w:val="20"/>
                <w:szCs w:val="20"/>
                <w:lang w:val="en-US"/>
              </w:rPr>
              <w:t xml:space="preserve"> </w:t>
            </w:r>
            <w:proofErr w:type="gramStart"/>
            <w:r w:rsidRPr="00B004EE">
              <w:rPr>
                <w:rFonts w:ascii="Tahoma" w:hAnsi="Tahoma" w:cs="Tahoma"/>
                <w:sz w:val="20"/>
                <w:szCs w:val="20"/>
                <w:lang w:val="en-US"/>
              </w:rPr>
              <w:t>A</w:t>
            </w:r>
            <w:r w:rsidR="00DB1635" w:rsidRPr="00B004EE">
              <w:rPr>
                <w:rFonts w:ascii="Tahoma" w:hAnsi="Tahoma" w:cs="Tahoma"/>
                <w:sz w:val="20"/>
                <w:szCs w:val="20"/>
                <w:lang w:val="en-US"/>
              </w:rPr>
              <w:t xml:space="preserve"> </w:t>
            </w:r>
            <w:r w:rsidRPr="00B004EE">
              <w:rPr>
                <w:rFonts w:ascii="Tahoma" w:hAnsi="Tahoma" w:cs="Tahoma"/>
                <w:sz w:val="20"/>
                <w:szCs w:val="20"/>
                <w:lang w:val="en-US"/>
              </w:rPr>
              <w:t>:</w:t>
            </w:r>
            <w:proofErr w:type="gramEnd"/>
            <w:r w:rsidR="00DB1635" w:rsidRPr="00B004EE">
              <w:rPr>
                <w:rFonts w:ascii="Tahoma" w:hAnsi="Tahoma" w:cs="Tahoma"/>
                <w:sz w:val="20"/>
                <w:szCs w:val="20"/>
                <w:lang w:val="en-US"/>
              </w:rPr>
              <w:t xml:space="preserve"> </w:t>
            </w:r>
            <w:r w:rsidRPr="00B004EE">
              <w:rPr>
                <w:rFonts w:ascii="Tahoma" w:hAnsi="Tahoma" w:cs="Tahoma"/>
                <w:sz w:val="20"/>
                <w:szCs w:val="20"/>
                <w:lang w:val="en-US"/>
              </w:rPr>
              <w:t>21°01’,30N</w:t>
            </w:r>
            <w:r w:rsidR="00DB1635" w:rsidRPr="00B004EE">
              <w:rPr>
                <w:rFonts w:ascii="Tahoma" w:hAnsi="Tahoma" w:cs="Tahoma"/>
                <w:sz w:val="20"/>
                <w:szCs w:val="20"/>
                <w:lang w:val="en-US"/>
              </w:rPr>
              <w:t xml:space="preserve"> </w:t>
            </w:r>
            <w:r w:rsidRPr="00B004EE">
              <w:rPr>
                <w:rFonts w:ascii="Tahoma" w:hAnsi="Tahoma" w:cs="Tahoma"/>
                <w:sz w:val="20"/>
                <w:szCs w:val="20"/>
                <w:lang w:val="en-US"/>
              </w:rPr>
              <w:t>-16°59’,50W</w:t>
            </w:r>
          </w:p>
          <w:p w14:paraId="0F1132BF" w14:textId="21D84A27" w:rsidR="002F24E1" w:rsidRPr="00B004EE" w:rsidRDefault="002F24E1" w:rsidP="00B004EE">
            <w:pPr>
              <w:autoSpaceDE w:val="0"/>
              <w:autoSpaceDN w:val="0"/>
              <w:adjustRightInd w:val="0"/>
              <w:jc w:val="both"/>
              <w:rPr>
                <w:rFonts w:ascii="Tahoma" w:hAnsi="Tahoma" w:cs="Tahoma"/>
                <w:sz w:val="20"/>
                <w:szCs w:val="20"/>
                <w:lang w:val="en-US"/>
              </w:rPr>
            </w:pPr>
            <w:r w:rsidRPr="00B004EE">
              <w:rPr>
                <w:rFonts w:ascii="Tahoma" w:hAnsi="Tahoma" w:cs="Tahoma"/>
                <w:sz w:val="20"/>
                <w:szCs w:val="20"/>
                <w:lang w:val="en-US"/>
              </w:rPr>
              <w:t>Point</w:t>
            </w:r>
            <w:r w:rsidR="00DB1635" w:rsidRPr="00B004EE">
              <w:rPr>
                <w:rFonts w:ascii="Tahoma" w:hAnsi="Tahoma" w:cs="Tahoma"/>
                <w:sz w:val="20"/>
                <w:szCs w:val="20"/>
                <w:lang w:val="en-US"/>
              </w:rPr>
              <w:t xml:space="preserve"> </w:t>
            </w:r>
            <w:r w:rsidRPr="00B004EE">
              <w:rPr>
                <w:rFonts w:ascii="Tahoma" w:hAnsi="Tahoma" w:cs="Tahoma"/>
                <w:sz w:val="20"/>
                <w:szCs w:val="20"/>
                <w:lang w:val="en-US"/>
              </w:rPr>
              <w:t>B</w:t>
            </w:r>
            <w:r w:rsidR="00DB1635" w:rsidRPr="00B004EE">
              <w:rPr>
                <w:rFonts w:ascii="Tahoma" w:hAnsi="Tahoma" w:cs="Tahoma"/>
                <w:sz w:val="20"/>
                <w:szCs w:val="20"/>
                <w:lang w:val="en-US"/>
              </w:rPr>
              <w:t xml:space="preserve"> </w:t>
            </w:r>
            <w:r w:rsidRPr="00B004EE">
              <w:rPr>
                <w:rFonts w:ascii="Tahoma" w:hAnsi="Tahoma" w:cs="Tahoma"/>
                <w:sz w:val="20"/>
                <w:szCs w:val="20"/>
                <w:lang w:val="en-US"/>
              </w:rPr>
              <w:t>:</w:t>
            </w:r>
            <w:r w:rsidR="00DB1635" w:rsidRPr="00B004EE">
              <w:rPr>
                <w:rFonts w:ascii="Tahoma" w:hAnsi="Tahoma" w:cs="Tahoma"/>
                <w:sz w:val="20"/>
                <w:szCs w:val="20"/>
                <w:lang w:val="en-US"/>
              </w:rPr>
              <w:t xml:space="preserve"> </w:t>
            </w:r>
            <w:r w:rsidRPr="00B004EE">
              <w:rPr>
                <w:rFonts w:ascii="Tahoma" w:hAnsi="Tahoma" w:cs="Tahoma"/>
                <w:sz w:val="20"/>
                <w:szCs w:val="20"/>
                <w:lang w:val="en-US"/>
              </w:rPr>
              <w:t>21°01’,30N</w:t>
            </w:r>
            <w:r w:rsidR="00DB1635" w:rsidRPr="00B004EE">
              <w:rPr>
                <w:rFonts w:ascii="Tahoma" w:hAnsi="Tahoma" w:cs="Tahoma"/>
                <w:sz w:val="20"/>
                <w:szCs w:val="20"/>
                <w:lang w:val="en-US"/>
              </w:rPr>
              <w:t xml:space="preserve"> </w:t>
            </w:r>
            <w:r w:rsidRPr="00B004EE">
              <w:rPr>
                <w:rFonts w:ascii="Tahoma" w:hAnsi="Tahoma" w:cs="Tahoma"/>
                <w:sz w:val="20"/>
                <w:szCs w:val="20"/>
                <w:lang w:val="en-US"/>
              </w:rPr>
              <w:t>-</w:t>
            </w:r>
            <w:r w:rsidR="00DB1635" w:rsidRPr="00B004EE">
              <w:rPr>
                <w:rFonts w:ascii="Tahoma" w:hAnsi="Tahoma" w:cs="Tahoma"/>
                <w:sz w:val="20"/>
                <w:szCs w:val="20"/>
                <w:lang w:val="en-US"/>
              </w:rPr>
              <w:t xml:space="preserve"> </w:t>
            </w:r>
            <w:r w:rsidRPr="00B004EE">
              <w:rPr>
                <w:rFonts w:ascii="Tahoma" w:hAnsi="Tahoma" w:cs="Tahoma"/>
                <w:sz w:val="20"/>
                <w:szCs w:val="20"/>
                <w:lang w:val="en-US"/>
              </w:rPr>
              <w:t>16°51’,42W</w:t>
            </w:r>
          </w:p>
        </w:tc>
        <w:tc>
          <w:tcPr>
            <w:tcW w:w="1498" w:type="dxa"/>
            <w:tcBorders>
              <w:top w:val="single" w:sz="4" w:space="0" w:color="auto"/>
              <w:left w:val="single" w:sz="4" w:space="0" w:color="auto"/>
              <w:bottom w:val="single" w:sz="4" w:space="0" w:color="auto"/>
              <w:right w:val="single" w:sz="4" w:space="0" w:color="auto"/>
            </w:tcBorders>
            <w:vAlign w:val="center"/>
          </w:tcPr>
          <w:p w14:paraId="21D48C00" w14:textId="0EF80A71" w:rsidR="002F24E1" w:rsidRPr="00B004EE" w:rsidRDefault="002F24E1" w:rsidP="00B004EE">
            <w:pPr>
              <w:autoSpaceDE w:val="0"/>
              <w:autoSpaceDN w:val="0"/>
              <w:adjustRightInd w:val="0"/>
              <w:jc w:val="both"/>
              <w:rPr>
                <w:rFonts w:ascii="Tahoma" w:hAnsi="Tahoma" w:cs="Tahoma"/>
                <w:i/>
                <w:iCs/>
                <w:sz w:val="20"/>
                <w:szCs w:val="20"/>
                <w:lang w:val="en-US"/>
              </w:rPr>
            </w:pPr>
            <w:r w:rsidRPr="00B004EE">
              <w:rPr>
                <w:rFonts w:ascii="Tahoma" w:hAnsi="Tahoma" w:cs="Tahoma"/>
                <w:i/>
                <w:iCs/>
                <w:sz w:val="20"/>
                <w:szCs w:val="20"/>
                <w:lang w:val="en-US"/>
              </w:rPr>
              <w:t>Crassostrea</w:t>
            </w:r>
            <w:r w:rsidR="00DB1635" w:rsidRPr="00B004EE">
              <w:rPr>
                <w:rFonts w:ascii="Tahoma" w:hAnsi="Tahoma" w:cs="Tahoma"/>
                <w:i/>
                <w:iCs/>
                <w:sz w:val="20"/>
                <w:szCs w:val="20"/>
                <w:lang w:val="en-US"/>
              </w:rPr>
              <w:t xml:space="preserve"> </w:t>
            </w:r>
            <w:r w:rsidRPr="00B004EE">
              <w:rPr>
                <w:rFonts w:ascii="Tahoma" w:hAnsi="Tahoma" w:cs="Tahoma"/>
                <w:i/>
                <w:iCs/>
                <w:sz w:val="20"/>
                <w:szCs w:val="20"/>
                <w:lang w:val="en-US"/>
              </w:rPr>
              <w:t>gigas</w:t>
            </w:r>
            <w:r w:rsidR="00DB1635" w:rsidRPr="00B004EE">
              <w:rPr>
                <w:rFonts w:ascii="Tahoma" w:hAnsi="Tahoma" w:cs="Tahoma"/>
                <w:i/>
                <w:iCs/>
                <w:sz w:val="20"/>
                <w:szCs w:val="20"/>
                <w:lang w:val="en-US"/>
              </w:rPr>
              <w:t xml:space="preserve"> </w:t>
            </w:r>
          </w:p>
        </w:tc>
        <w:tc>
          <w:tcPr>
            <w:tcW w:w="1531" w:type="dxa"/>
            <w:tcBorders>
              <w:top w:val="single" w:sz="4" w:space="0" w:color="auto"/>
              <w:left w:val="single" w:sz="4" w:space="0" w:color="auto"/>
              <w:bottom w:val="single" w:sz="4" w:space="0" w:color="auto"/>
              <w:right w:val="single" w:sz="4" w:space="0" w:color="auto"/>
            </w:tcBorders>
            <w:vAlign w:val="center"/>
          </w:tcPr>
          <w:p w14:paraId="720BA1D5" w14:textId="343D5C3F" w:rsidR="002F24E1" w:rsidRPr="00B004EE" w:rsidRDefault="002F24E1" w:rsidP="00B004EE">
            <w:pPr>
              <w:autoSpaceDE w:val="0"/>
              <w:autoSpaceDN w:val="0"/>
              <w:adjustRightInd w:val="0"/>
              <w:jc w:val="both"/>
              <w:rPr>
                <w:rFonts w:ascii="Tahoma" w:hAnsi="Tahoma" w:cs="Tahoma"/>
                <w:sz w:val="20"/>
                <w:szCs w:val="20"/>
                <w:lang w:val="en-US"/>
              </w:rPr>
            </w:pPr>
            <w:r w:rsidRPr="00B004EE">
              <w:rPr>
                <w:rFonts w:ascii="Tahoma" w:hAnsi="Tahoma" w:cs="Tahoma"/>
                <w:sz w:val="20"/>
                <w:szCs w:val="20"/>
                <w:lang w:val="en-US"/>
              </w:rPr>
              <w:t>A</w:t>
            </w:r>
            <w:r w:rsidR="00DB1635" w:rsidRPr="00B004EE">
              <w:rPr>
                <w:rFonts w:ascii="Tahoma" w:hAnsi="Tahoma" w:cs="Tahoma"/>
                <w:sz w:val="20"/>
                <w:szCs w:val="20"/>
                <w:lang w:val="en-US"/>
              </w:rPr>
              <w:t xml:space="preserve"> </w:t>
            </w:r>
          </w:p>
        </w:tc>
      </w:tr>
      <w:tr w:rsidR="00150C90" w:rsidRPr="00B004EE" w14:paraId="5BC59CC6" w14:textId="77777777" w:rsidTr="00475682">
        <w:trPr>
          <w:jc w:val="center"/>
        </w:trPr>
        <w:tc>
          <w:tcPr>
            <w:tcW w:w="2495" w:type="dxa"/>
            <w:tcBorders>
              <w:top w:val="single" w:sz="4" w:space="0" w:color="auto"/>
              <w:left w:val="single" w:sz="4" w:space="0" w:color="auto"/>
              <w:bottom w:val="single" w:sz="4" w:space="0" w:color="auto"/>
              <w:right w:val="single" w:sz="4" w:space="0" w:color="auto"/>
            </w:tcBorders>
            <w:vAlign w:val="center"/>
          </w:tcPr>
          <w:p w14:paraId="613E9CF3" w14:textId="76B8F1DE" w:rsidR="002F24E1" w:rsidRPr="00B004EE" w:rsidRDefault="002F24E1" w:rsidP="00B004EE">
            <w:pPr>
              <w:autoSpaceDE w:val="0"/>
              <w:autoSpaceDN w:val="0"/>
              <w:adjustRightInd w:val="0"/>
              <w:jc w:val="both"/>
              <w:rPr>
                <w:rFonts w:ascii="Tahoma" w:hAnsi="Tahoma" w:cs="Tahoma"/>
                <w:sz w:val="20"/>
                <w:szCs w:val="20"/>
              </w:rPr>
            </w:pPr>
            <w:r w:rsidRPr="00B004EE">
              <w:rPr>
                <w:rFonts w:ascii="Tahoma" w:hAnsi="Tahoma" w:cs="Tahoma"/>
                <w:sz w:val="20"/>
                <w:szCs w:val="20"/>
              </w:rPr>
              <w:t>Zone</w:t>
            </w:r>
            <w:r w:rsidR="00DB1635" w:rsidRPr="00B004EE">
              <w:rPr>
                <w:rFonts w:ascii="Tahoma" w:hAnsi="Tahoma" w:cs="Tahoma"/>
                <w:sz w:val="20"/>
                <w:szCs w:val="20"/>
              </w:rPr>
              <w:t xml:space="preserve"> </w:t>
            </w:r>
            <w:r w:rsidRPr="00B004EE">
              <w:rPr>
                <w:rFonts w:ascii="Tahoma" w:hAnsi="Tahoma" w:cs="Tahoma"/>
                <w:sz w:val="20"/>
                <w:szCs w:val="20"/>
              </w:rPr>
              <w:t>Maritime</w:t>
            </w:r>
            <w:r w:rsidR="00DB1635" w:rsidRPr="00B004EE">
              <w:rPr>
                <w:rFonts w:ascii="Tahoma" w:hAnsi="Tahoma" w:cs="Tahoma"/>
                <w:sz w:val="20"/>
                <w:szCs w:val="20"/>
              </w:rPr>
              <w:t xml:space="preserve"> </w:t>
            </w:r>
            <w:r w:rsidRPr="00B004EE">
              <w:rPr>
                <w:rFonts w:ascii="Tahoma" w:hAnsi="Tahoma" w:cs="Tahoma"/>
                <w:sz w:val="20"/>
                <w:szCs w:val="20"/>
              </w:rPr>
              <w:t>Vérrucosa</w:t>
            </w:r>
            <w:r w:rsidR="00DB1635" w:rsidRPr="00B004EE">
              <w:rPr>
                <w:rFonts w:ascii="Tahoma" w:hAnsi="Tahoma" w:cs="Tahoma"/>
                <w:sz w:val="20"/>
                <w:szCs w:val="20"/>
              </w:rPr>
              <w:t xml:space="preserve"> </w:t>
            </w:r>
          </w:p>
        </w:tc>
        <w:tc>
          <w:tcPr>
            <w:tcW w:w="3872" w:type="dxa"/>
            <w:tcBorders>
              <w:top w:val="single" w:sz="4" w:space="0" w:color="auto"/>
              <w:left w:val="single" w:sz="4" w:space="0" w:color="auto"/>
              <w:bottom w:val="single" w:sz="4" w:space="0" w:color="auto"/>
              <w:right w:val="single" w:sz="4" w:space="0" w:color="auto"/>
            </w:tcBorders>
          </w:tcPr>
          <w:p w14:paraId="3A17FA88" w14:textId="63002062" w:rsidR="002F24E1" w:rsidRPr="00B004EE" w:rsidRDefault="002F24E1" w:rsidP="00B004EE">
            <w:pPr>
              <w:autoSpaceDE w:val="0"/>
              <w:autoSpaceDN w:val="0"/>
              <w:adjustRightInd w:val="0"/>
              <w:jc w:val="both"/>
              <w:rPr>
                <w:rFonts w:ascii="Tahoma" w:hAnsi="Tahoma" w:cs="Tahoma"/>
                <w:sz w:val="20"/>
                <w:szCs w:val="20"/>
              </w:rPr>
            </w:pPr>
            <w:r w:rsidRPr="00B004EE">
              <w:rPr>
                <w:rFonts w:ascii="Tahoma" w:hAnsi="Tahoma" w:cs="Tahoma"/>
                <w:sz w:val="20"/>
                <w:szCs w:val="20"/>
              </w:rPr>
              <w:t>Zone</w:t>
            </w:r>
            <w:r w:rsidR="00DB1635" w:rsidRPr="00B004EE">
              <w:rPr>
                <w:rFonts w:ascii="Tahoma" w:hAnsi="Tahoma" w:cs="Tahoma"/>
                <w:sz w:val="20"/>
                <w:szCs w:val="20"/>
              </w:rPr>
              <w:t xml:space="preserve"> </w:t>
            </w:r>
            <w:r w:rsidRPr="00B004EE">
              <w:rPr>
                <w:rFonts w:ascii="Tahoma" w:hAnsi="Tahoma" w:cs="Tahoma"/>
                <w:sz w:val="20"/>
                <w:szCs w:val="20"/>
              </w:rPr>
              <w:t>délimitée</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coordonnées</w:t>
            </w:r>
            <w:r w:rsidR="00DB1635" w:rsidRPr="00B004EE">
              <w:rPr>
                <w:rFonts w:ascii="Tahoma" w:hAnsi="Tahoma" w:cs="Tahoma"/>
                <w:sz w:val="20"/>
                <w:szCs w:val="20"/>
              </w:rPr>
              <w:t xml:space="preserve"> </w:t>
            </w:r>
            <w:r w:rsidRPr="00B004EE">
              <w:rPr>
                <w:rFonts w:ascii="Tahoma" w:hAnsi="Tahoma" w:cs="Tahoma"/>
                <w:sz w:val="20"/>
                <w:szCs w:val="20"/>
              </w:rPr>
              <w:t>géographiques</w:t>
            </w:r>
            <w:r w:rsidR="00DB1635" w:rsidRPr="00B004EE">
              <w:rPr>
                <w:rFonts w:ascii="Tahoma" w:hAnsi="Tahoma" w:cs="Tahoma"/>
                <w:sz w:val="20"/>
                <w:szCs w:val="20"/>
              </w:rPr>
              <w:t xml:space="preserve"> </w:t>
            </w:r>
            <w:r w:rsidRPr="00B004EE">
              <w:rPr>
                <w:rFonts w:ascii="Tahoma" w:hAnsi="Tahoma" w:cs="Tahoma"/>
                <w:sz w:val="20"/>
                <w:szCs w:val="20"/>
              </w:rPr>
              <w:t>suivantes</w:t>
            </w:r>
            <w:r w:rsidR="00DB1635" w:rsidRPr="00B004EE">
              <w:rPr>
                <w:rFonts w:ascii="Tahoma" w:hAnsi="Tahoma" w:cs="Tahoma"/>
                <w:sz w:val="20"/>
                <w:szCs w:val="20"/>
              </w:rPr>
              <w:t xml:space="preserve"> </w:t>
            </w:r>
            <w:r w:rsidRPr="00B004EE">
              <w:rPr>
                <w:rFonts w:ascii="Tahoma" w:hAnsi="Tahoma" w:cs="Tahoma"/>
                <w:sz w:val="20"/>
                <w:szCs w:val="20"/>
              </w:rPr>
              <w:t>:</w:t>
            </w:r>
          </w:p>
          <w:p w14:paraId="44F30E98" w14:textId="74A5356B" w:rsidR="002F24E1" w:rsidRPr="00B004EE" w:rsidRDefault="002F24E1" w:rsidP="00B004EE">
            <w:pPr>
              <w:suppressLineNumbers/>
              <w:tabs>
                <w:tab w:val="left" w:pos="567"/>
              </w:tabs>
              <w:jc w:val="both"/>
              <w:rPr>
                <w:rFonts w:ascii="Tahoma" w:hAnsi="Tahoma" w:cs="Tahoma"/>
                <w:sz w:val="20"/>
                <w:szCs w:val="20"/>
                <w:lang w:val="en-US"/>
              </w:rPr>
            </w:pPr>
            <w:r w:rsidRPr="00B004EE">
              <w:rPr>
                <w:rFonts w:ascii="Tahoma" w:hAnsi="Tahoma" w:cs="Tahoma"/>
                <w:sz w:val="20"/>
                <w:szCs w:val="20"/>
                <w:lang w:val="en-US"/>
              </w:rPr>
              <w:t>Point</w:t>
            </w:r>
            <w:r w:rsidR="00DB1635" w:rsidRPr="00B004EE">
              <w:rPr>
                <w:rFonts w:ascii="Tahoma" w:hAnsi="Tahoma" w:cs="Tahoma"/>
                <w:sz w:val="20"/>
                <w:szCs w:val="20"/>
                <w:lang w:val="en-US"/>
              </w:rPr>
              <w:t xml:space="preserve"> </w:t>
            </w:r>
            <w:proofErr w:type="gramStart"/>
            <w:r w:rsidRPr="00B004EE">
              <w:rPr>
                <w:rFonts w:ascii="Tahoma" w:hAnsi="Tahoma" w:cs="Tahoma"/>
                <w:sz w:val="20"/>
                <w:szCs w:val="20"/>
                <w:lang w:val="en-US"/>
              </w:rPr>
              <w:t>A</w:t>
            </w:r>
            <w:r w:rsidR="00DB1635" w:rsidRPr="00B004EE">
              <w:rPr>
                <w:rFonts w:ascii="Tahoma" w:hAnsi="Tahoma" w:cs="Tahoma"/>
                <w:sz w:val="20"/>
                <w:szCs w:val="20"/>
                <w:lang w:val="en-US"/>
              </w:rPr>
              <w:t xml:space="preserve"> </w:t>
            </w:r>
            <w:r w:rsidRPr="00B004EE">
              <w:rPr>
                <w:rFonts w:ascii="Tahoma" w:hAnsi="Tahoma" w:cs="Tahoma"/>
                <w:sz w:val="20"/>
                <w:szCs w:val="20"/>
                <w:lang w:val="en-US"/>
              </w:rPr>
              <w:t>:</w:t>
            </w:r>
            <w:proofErr w:type="gramEnd"/>
            <w:r w:rsidR="00DB1635" w:rsidRPr="00B004EE">
              <w:rPr>
                <w:rFonts w:ascii="Tahoma" w:hAnsi="Tahoma" w:cs="Tahoma"/>
                <w:sz w:val="20"/>
                <w:szCs w:val="20"/>
                <w:lang w:val="en-US"/>
              </w:rPr>
              <w:t xml:space="preserve"> </w:t>
            </w:r>
            <w:r w:rsidRPr="00B004EE">
              <w:rPr>
                <w:rFonts w:ascii="Tahoma" w:hAnsi="Tahoma" w:cs="Tahoma"/>
                <w:sz w:val="20"/>
                <w:szCs w:val="20"/>
                <w:lang w:val="en-US"/>
              </w:rPr>
              <w:t>20°48´N</w:t>
            </w:r>
            <w:r w:rsidR="00DB1635" w:rsidRPr="00B004EE">
              <w:rPr>
                <w:rFonts w:ascii="Tahoma" w:hAnsi="Tahoma" w:cs="Tahoma"/>
                <w:sz w:val="20"/>
                <w:szCs w:val="20"/>
                <w:lang w:val="en-US"/>
              </w:rPr>
              <w:t xml:space="preserve"> </w:t>
            </w:r>
            <w:r w:rsidRPr="00B004EE">
              <w:rPr>
                <w:rFonts w:ascii="Tahoma" w:hAnsi="Tahoma" w:cs="Tahoma"/>
                <w:sz w:val="20"/>
                <w:szCs w:val="20"/>
                <w:lang w:val="en-US"/>
              </w:rPr>
              <w:t>-</w:t>
            </w:r>
            <w:r w:rsidR="00DB1635" w:rsidRPr="00B004EE">
              <w:rPr>
                <w:rFonts w:ascii="Tahoma" w:hAnsi="Tahoma" w:cs="Tahoma"/>
                <w:sz w:val="20"/>
                <w:szCs w:val="20"/>
                <w:lang w:val="en-US"/>
              </w:rPr>
              <w:t xml:space="preserve"> </w:t>
            </w:r>
            <w:r w:rsidRPr="00B004EE">
              <w:rPr>
                <w:rFonts w:ascii="Tahoma" w:hAnsi="Tahoma" w:cs="Tahoma"/>
                <w:sz w:val="20"/>
                <w:szCs w:val="20"/>
                <w:lang w:val="en-US"/>
              </w:rPr>
              <w:t>17°02’W</w:t>
            </w:r>
          </w:p>
          <w:p w14:paraId="3B83B93B" w14:textId="2658A61E" w:rsidR="002F24E1" w:rsidRPr="00B004EE" w:rsidRDefault="002F24E1" w:rsidP="00B004EE">
            <w:pPr>
              <w:suppressLineNumbers/>
              <w:tabs>
                <w:tab w:val="left" w:pos="567"/>
              </w:tabs>
              <w:jc w:val="both"/>
              <w:rPr>
                <w:rFonts w:ascii="Tahoma" w:hAnsi="Tahoma" w:cs="Tahoma"/>
                <w:sz w:val="20"/>
                <w:szCs w:val="20"/>
                <w:lang w:val="en-US"/>
              </w:rPr>
            </w:pPr>
            <w:r w:rsidRPr="00B004EE">
              <w:rPr>
                <w:rFonts w:ascii="Tahoma" w:hAnsi="Tahoma" w:cs="Tahoma"/>
                <w:sz w:val="20"/>
                <w:szCs w:val="20"/>
                <w:lang w:val="en-US"/>
              </w:rPr>
              <w:t>Point</w:t>
            </w:r>
            <w:r w:rsidR="00DB1635" w:rsidRPr="00B004EE">
              <w:rPr>
                <w:rFonts w:ascii="Tahoma" w:hAnsi="Tahoma" w:cs="Tahoma"/>
                <w:sz w:val="20"/>
                <w:szCs w:val="20"/>
                <w:lang w:val="en-US"/>
              </w:rPr>
              <w:t xml:space="preserve"> </w:t>
            </w:r>
            <w:r w:rsidRPr="00B004EE">
              <w:rPr>
                <w:rFonts w:ascii="Tahoma" w:hAnsi="Tahoma" w:cs="Tahoma"/>
                <w:sz w:val="20"/>
                <w:szCs w:val="20"/>
                <w:lang w:val="en-US"/>
              </w:rPr>
              <w:t>B</w:t>
            </w:r>
            <w:r w:rsidR="00DB1635" w:rsidRPr="00B004EE">
              <w:rPr>
                <w:rFonts w:ascii="Tahoma" w:hAnsi="Tahoma" w:cs="Tahoma"/>
                <w:sz w:val="20"/>
                <w:szCs w:val="20"/>
                <w:lang w:val="en-US"/>
              </w:rPr>
              <w:t xml:space="preserve"> </w:t>
            </w:r>
            <w:r w:rsidRPr="00B004EE">
              <w:rPr>
                <w:rFonts w:ascii="Tahoma" w:hAnsi="Tahoma" w:cs="Tahoma"/>
                <w:sz w:val="20"/>
                <w:szCs w:val="20"/>
                <w:lang w:val="en-US"/>
              </w:rPr>
              <w:t>:</w:t>
            </w:r>
            <w:r w:rsidR="00DB1635" w:rsidRPr="00B004EE">
              <w:rPr>
                <w:rFonts w:ascii="Tahoma" w:hAnsi="Tahoma" w:cs="Tahoma"/>
                <w:sz w:val="20"/>
                <w:szCs w:val="20"/>
                <w:lang w:val="en-US"/>
              </w:rPr>
              <w:t xml:space="preserve"> </w:t>
            </w:r>
            <w:r w:rsidRPr="00B004EE">
              <w:rPr>
                <w:rFonts w:ascii="Tahoma" w:hAnsi="Tahoma" w:cs="Tahoma"/>
                <w:sz w:val="20"/>
                <w:szCs w:val="20"/>
                <w:lang w:val="en-US"/>
              </w:rPr>
              <w:t>20°54’N</w:t>
            </w:r>
            <w:r w:rsidR="00DB1635" w:rsidRPr="00B004EE">
              <w:rPr>
                <w:rFonts w:ascii="Tahoma" w:hAnsi="Tahoma" w:cs="Tahoma"/>
                <w:sz w:val="20"/>
                <w:szCs w:val="20"/>
                <w:lang w:val="en-US"/>
              </w:rPr>
              <w:t xml:space="preserve"> </w:t>
            </w:r>
            <w:r w:rsidRPr="00B004EE">
              <w:rPr>
                <w:rFonts w:ascii="Tahoma" w:hAnsi="Tahoma" w:cs="Tahoma"/>
                <w:sz w:val="20"/>
                <w:szCs w:val="20"/>
                <w:lang w:val="en-US"/>
              </w:rPr>
              <w:t>-</w:t>
            </w:r>
            <w:r w:rsidR="00DB1635" w:rsidRPr="00B004EE">
              <w:rPr>
                <w:rFonts w:ascii="Tahoma" w:hAnsi="Tahoma" w:cs="Tahoma"/>
                <w:sz w:val="20"/>
                <w:szCs w:val="20"/>
                <w:lang w:val="en-US"/>
              </w:rPr>
              <w:t xml:space="preserve"> </w:t>
            </w:r>
            <w:r w:rsidRPr="00B004EE">
              <w:rPr>
                <w:rFonts w:ascii="Tahoma" w:hAnsi="Tahoma" w:cs="Tahoma"/>
                <w:sz w:val="20"/>
                <w:szCs w:val="20"/>
                <w:lang w:val="en-US"/>
              </w:rPr>
              <w:t>17°48’</w:t>
            </w:r>
            <w:r w:rsidR="00DB1635" w:rsidRPr="00B004EE">
              <w:rPr>
                <w:rFonts w:ascii="Tahoma" w:hAnsi="Tahoma" w:cs="Tahoma"/>
                <w:sz w:val="20"/>
                <w:szCs w:val="20"/>
                <w:lang w:val="en-US"/>
              </w:rPr>
              <w:t xml:space="preserve"> </w:t>
            </w:r>
            <w:r w:rsidRPr="00B004EE">
              <w:rPr>
                <w:rFonts w:ascii="Tahoma" w:hAnsi="Tahoma" w:cs="Tahoma"/>
                <w:sz w:val="20"/>
                <w:szCs w:val="20"/>
                <w:lang w:val="en-US"/>
              </w:rPr>
              <w:t>W</w:t>
            </w:r>
          </w:p>
        </w:tc>
        <w:tc>
          <w:tcPr>
            <w:tcW w:w="1498" w:type="dxa"/>
            <w:tcBorders>
              <w:top w:val="single" w:sz="4" w:space="0" w:color="auto"/>
              <w:left w:val="single" w:sz="4" w:space="0" w:color="auto"/>
              <w:bottom w:val="single" w:sz="4" w:space="0" w:color="auto"/>
              <w:right w:val="single" w:sz="4" w:space="0" w:color="auto"/>
            </w:tcBorders>
            <w:vAlign w:val="center"/>
          </w:tcPr>
          <w:p w14:paraId="4765E85F" w14:textId="54F711C0" w:rsidR="002F24E1" w:rsidRPr="00B004EE" w:rsidRDefault="002F24E1" w:rsidP="00B004EE">
            <w:pPr>
              <w:autoSpaceDE w:val="0"/>
              <w:autoSpaceDN w:val="0"/>
              <w:adjustRightInd w:val="0"/>
              <w:jc w:val="both"/>
              <w:rPr>
                <w:rFonts w:ascii="Tahoma" w:hAnsi="Tahoma" w:cs="Tahoma"/>
                <w:i/>
                <w:iCs/>
                <w:sz w:val="20"/>
                <w:szCs w:val="20"/>
                <w:lang w:val="en-US"/>
              </w:rPr>
            </w:pPr>
            <w:r w:rsidRPr="00B004EE">
              <w:rPr>
                <w:rFonts w:ascii="Tahoma" w:hAnsi="Tahoma" w:cs="Tahoma"/>
                <w:i/>
                <w:iCs/>
                <w:sz w:val="20"/>
                <w:szCs w:val="20"/>
                <w:lang w:val="en-US"/>
              </w:rPr>
              <w:t>Venus</w:t>
            </w:r>
            <w:r w:rsidR="00DB1635" w:rsidRPr="00B004EE">
              <w:rPr>
                <w:rFonts w:ascii="Tahoma" w:hAnsi="Tahoma" w:cs="Tahoma"/>
                <w:i/>
                <w:iCs/>
                <w:sz w:val="20"/>
                <w:szCs w:val="20"/>
                <w:lang w:val="en-US"/>
              </w:rPr>
              <w:t xml:space="preserve"> </w:t>
            </w:r>
            <w:r w:rsidRPr="00B004EE">
              <w:rPr>
                <w:rFonts w:ascii="Tahoma" w:hAnsi="Tahoma" w:cs="Tahoma"/>
                <w:i/>
                <w:iCs/>
                <w:sz w:val="20"/>
                <w:szCs w:val="20"/>
                <w:lang w:val="en-US"/>
              </w:rPr>
              <w:t>verrucosa</w:t>
            </w:r>
            <w:r w:rsidR="00DB1635" w:rsidRPr="00B004EE">
              <w:rPr>
                <w:rFonts w:ascii="Tahoma" w:hAnsi="Tahoma" w:cs="Tahoma"/>
                <w:i/>
                <w:iCs/>
                <w:sz w:val="20"/>
                <w:szCs w:val="20"/>
                <w:lang w:val="en-US"/>
              </w:rPr>
              <w:t xml:space="preserve"> </w:t>
            </w:r>
          </w:p>
        </w:tc>
        <w:tc>
          <w:tcPr>
            <w:tcW w:w="1531" w:type="dxa"/>
            <w:tcBorders>
              <w:top w:val="single" w:sz="4" w:space="0" w:color="auto"/>
              <w:left w:val="single" w:sz="4" w:space="0" w:color="auto"/>
              <w:bottom w:val="single" w:sz="4" w:space="0" w:color="auto"/>
              <w:right w:val="single" w:sz="4" w:space="0" w:color="auto"/>
            </w:tcBorders>
            <w:vAlign w:val="center"/>
          </w:tcPr>
          <w:p w14:paraId="2B90597B" w14:textId="76007085" w:rsidR="002F24E1" w:rsidRPr="00B004EE" w:rsidRDefault="002F24E1" w:rsidP="00B004EE">
            <w:pPr>
              <w:autoSpaceDE w:val="0"/>
              <w:autoSpaceDN w:val="0"/>
              <w:adjustRightInd w:val="0"/>
              <w:jc w:val="both"/>
              <w:rPr>
                <w:rFonts w:ascii="Tahoma" w:hAnsi="Tahoma" w:cs="Tahoma"/>
                <w:sz w:val="20"/>
                <w:szCs w:val="20"/>
                <w:lang w:val="en-US"/>
              </w:rPr>
            </w:pPr>
            <w:r w:rsidRPr="00B004EE">
              <w:rPr>
                <w:rFonts w:ascii="Tahoma" w:hAnsi="Tahoma" w:cs="Tahoma"/>
                <w:sz w:val="20"/>
                <w:szCs w:val="20"/>
                <w:lang w:val="en-US"/>
              </w:rPr>
              <w:t>D</w:t>
            </w:r>
            <w:r w:rsidR="00DB1635" w:rsidRPr="00B004EE">
              <w:rPr>
                <w:rFonts w:ascii="Tahoma" w:hAnsi="Tahoma" w:cs="Tahoma"/>
                <w:sz w:val="20"/>
                <w:szCs w:val="20"/>
                <w:lang w:val="en-US"/>
              </w:rPr>
              <w:t xml:space="preserve"> </w:t>
            </w:r>
          </w:p>
        </w:tc>
      </w:tr>
      <w:tr w:rsidR="00150C90" w:rsidRPr="00B004EE" w14:paraId="28DD7E62" w14:textId="77777777" w:rsidTr="00475682">
        <w:trPr>
          <w:jc w:val="center"/>
        </w:trPr>
        <w:tc>
          <w:tcPr>
            <w:tcW w:w="2495" w:type="dxa"/>
            <w:tcBorders>
              <w:top w:val="single" w:sz="4" w:space="0" w:color="auto"/>
              <w:left w:val="single" w:sz="4" w:space="0" w:color="auto"/>
              <w:bottom w:val="single" w:sz="4" w:space="0" w:color="auto"/>
              <w:right w:val="single" w:sz="4" w:space="0" w:color="auto"/>
            </w:tcBorders>
            <w:vAlign w:val="center"/>
          </w:tcPr>
          <w:p w14:paraId="471C30A5" w14:textId="42A91C52" w:rsidR="002F24E1" w:rsidRPr="00B004EE" w:rsidRDefault="002F24E1" w:rsidP="00B004EE">
            <w:pPr>
              <w:autoSpaceDE w:val="0"/>
              <w:autoSpaceDN w:val="0"/>
              <w:adjustRightInd w:val="0"/>
              <w:jc w:val="both"/>
              <w:rPr>
                <w:rFonts w:ascii="Tahoma" w:hAnsi="Tahoma" w:cs="Tahoma"/>
                <w:sz w:val="20"/>
                <w:szCs w:val="20"/>
              </w:rPr>
            </w:pPr>
            <w:r w:rsidRPr="00B004EE">
              <w:rPr>
                <w:rFonts w:ascii="Tahoma" w:hAnsi="Tahoma" w:cs="Tahoma"/>
                <w:sz w:val="20"/>
                <w:szCs w:val="20"/>
              </w:rPr>
              <w:t>Zone</w:t>
            </w:r>
            <w:r w:rsidR="00DB1635" w:rsidRPr="00B004EE">
              <w:rPr>
                <w:rFonts w:ascii="Tahoma" w:hAnsi="Tahoma" w:cs="Tahoma"/>
                <w:sz w:val="20"/>
                <w:szCs w:val="20"/>
              </w:rPr>
              <w:t xml:space="preserve"> </w:t>
            </w:r>
            <w:r w:rsidRPr="00B004EE">
              <w:rPr>
                <w:rFonts w:ascii="Tahoma" w:hAnsi="Tahoma" w:cs="Tahoma"/>
                <w:sz w:val="20"/>
                <w:szCs w:val="20"/>
              </w:rPr>
              <w:t>Maritime</w:t>
            </w:r>
            <w:r w:rsidR="00DB1635" w:rsidRPr="00B004EE">
              <w:rPr>
                <w:rFonts w:ascii="Tahoma" w:hAnsi="Tahoma" w:cs="Tahoma"/>
                <w:sz w:val="20"/>
                <w:szCs w:val="20"/>
              </w:rPr>
              <w:t xml:space="preserve"> </w:t>
            </w:r>
            <w:r w:rsidRPr="00B004EE">
              <w:rPr>
                <w:rFonts w:ascii="Tahoma" w:hAnsi="Tahoma" w:cs="Tahoma"/>
                <w:sz w:val="20"/>
                <w:szCs w:val="20"/>
              </w:rPr>
              <w:t>Rosalina</w:t>
            </w:r>
            <w:r w:rsidR="00DB1635" w:rsidRPr="00B004EE">
              <w:rPr>
                <w:rFonts w:ascii="Tahoma" w:hAnsi="Tahoma" w:cs="Tahoma"/>
                <w:sz w:val="20"/>
                <w:szCs w:val="20"/>
              </w:rPr>
              <w:t xml:space="preserve"> </w:t>
            </w:r>
          </w:p>
        </w:tc>
        <w:tc>
          <w:tcPr>
            <w:tcW w:w="3872" w:type="dxa"/>
            <w:tcBorders>
              <w:top w:val="single" w:sz="4" w:space="0" w:color="auto"/>
              <w:left w:val="single" w:sz="4" w:space="0" w:color="auto"/>
              <w:bottom w:val="single" w:sz="4" w:space="0" w:color="auto"/>
              <w:right w:val="single" w:sz="4" w:space="0" w:color="auto"/>
            </w:tcBorders>
          </w:tcPr>
          <w:p w14:paraId="1F83062E" w14:textId="637F0F65" w:rsidR="002F24E1" w:rsidRPr="00B004EE" w:rsidRDefault="002F24E1" w:rsidP="00B004EE">
            <w:pPr>
              <w:autoSpaceDE w:val="0"/>
              <w:autoSpaceDN w:val="0"/>
              <w:adjustRightInd w:val="0"/>
              <w:jc w:val="both"/>
              <w:rPr>
                <w:rFonts w:ascii="Tahoma" w:hAnsi="Tahoma" w:cs="Tahoma"/>
                <w:sz w:val="20"/>
                <w:szCs w:val="20"/>
              </w:rPr>
            </w:pPr>
            <w:r w:rsidRPr="00B004EE">
              <w:rPr>
                <w:rFonts w:ascii="Tahoma" w:hAnsi="Tahoma" w:cs="Tahoma"/>
                <w:sz w:val="20"/>
                <w:szCs w:val="20"/>
              </w:rPr>
              <w:t>Zone</w:t>
            </w:r>
            <w:r w:rsidR="00DB1635" w:rsidRPr="00B004EE">
              <w:rPr>
                <w:rFonts w:ascii="Tahoma" w:hAnsi="Tahoma" w:cs="Tahoma"/>
                <w:sz w:val="20"/>
                <w:szCs w:val="20"/>
              </w:rPr>
              <w:t xml:space="preserve"> </w:t>
            </w:r>
            <w:r w:rsidRPr="00B004EE">
              <w:rPr>
                <w:rFonts w:ascii="Tahoma" w:hAnsi="Tahoma" w:cs="Tahoma"/>
                <w:sz w:val="20"/>
                <w:szCs w:val="20"/>
              </w:rPr>
              <w:t>délimitée</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coordonnées</w:t>
            </w:r>
            <w:r w:rsidR="00DB1635" w:rsidRPr="00B004EE">
              <w:rPr>
                <w:rFonts w:ascii="Tahoma" w:hAnsi="Tahoma" w:cs="Tahoma"/>
                <w:sz w:val="20"/>
                <w:szCs w:val="20"/>
              </w:rPr>
              <w:t xml:space="preserve"> </w:t>
            </w:r>
            <w:r w:rsidRPr="00B004EE">
              <w:rPr>
                <w:rFonts w:ascii="Tahoma" w:hAnsi="Tahoma" w:cs="Tahoma"/>
                <w:sz w:val="20"/>
                <w:szCs w:val="20"/>
              </w:rPr>
              <w:t>géographiques</w:t>
            </w:r>
            <w:r w:rsidR="00DB1635" w:rsidRPr="00B004EE">
              <w:rPr>
                <w:rFonts w:ascii="Tahoma" w:hAnsi="Tahoma" w:cs="Tahoma"/>
                <w:sz w:val="20"/>
                <w:szCs w:val="20"/>
              </w:rPr>
              <w:t xml:space="preserve"> </w:t>
            </w:r>
            <w:r w:rsidRPr="00B004EE">
              <w:rPr>
                <w:rFonts w:ascii="Tahoma" w:hAnsi="Tahoma" w:cs="Tahoma"/>
                <w:sz w:val="20"/>
                <w:szCs w:val="20"/>
              </w:rPr>
              <w:t>suivantes</w:t>
            </w:r>
            <w:r w:rsidR="00DB1635" w:rsidRPr="00B004EE">
              <w:rPr>
                <w:rFonts w:ascii="Tahoma" w:hAnsi="Tahoma" w:cs="Tahoma"/>
                <w:sz w:val="20"/>
                <w:szCs w:val="20"/>
              </w:rPr>
              <w:t xml:space="preserve"> </w:t>
            </w:r>
            <w:r w:rsidRPr="00B004EE">
              <w:rPr>
                <w:rFonts w:ascii="Tahoma" w:hAnsi="Tahoma" w:cs="Tahoma"/>
                <w:sz w:val="20"/>
                <w:szCs w:val="20"/>
              </w:rPr>
              <w:t>:</w:t>
            </w:r>
          </w:p>
          <w:p w14:paraId="0090DD32" w14:textId="51DEF4C5" w:rsidR="002F24E1" w:rsidRPr="00B004EE" w:rsidRDefault="002F24E1" w:rsidP="00B004EE">
            <w:pPr>
              <w:autoSpaceDE w:val="0"/>
              <w:autoSpaceDN w:val="0"/>
              <w:adjustRightInd w:val="0"/>
              <w:jc w:val="both"/>
              <w:rPr>
                <w:rFonts w:ascii="Tahoma" w:hAnsi="Tahoma" w:cs="Tahoma"/>
                <w:sz w:val="20"/>
                <w:szCs w:val="20"/>
                <w:lang w:val="en-US"/>
              </w:rPr>
            </w:pPr>
            <w:r w:rsidRPr="00B004EE">
              <w:rPr>
                <w:rFonts w:ascii="Tahoma" w:hAnsi="Tahoma" w:cs="Tahoma"/>
                <w:sz w:val="20"/>
                <w:szCs w:val="20"/>
                <w:lang w:val="en-US"/>
              </w:rPr>
              <w:t>Point</w:t>
            </w:r>
            <w:r w:rsidR="00DB1635" w:rsidRPr="00B004EE">
              <w:rPr>
                <w:rFonts w:ascii="Tahoma" w:hAnsi="Tahoma" w:cs="Tahoma"/>
                <w:sz w:val="20"/>
                <w:szCs w:val="20"/>
                <w:lang w:val="en-US"/>
              </w:rPr>
              <w:t xml:space="preserve"> </w:t>
            </w:r>
            <w:proofErr w:type="gramStart"/>
            <w:r w:rsidRPr="00B004EE">
              <w:rPr>
                <w:rFonts w:ascii="Tahoma" w:hAnsi="Tahoma" w:cs="Tahoma"/>
                <w:sz w:val="20"/>
                <w:szCs w:val="20"/>
                <w:lang w:val="en-US"/>
              </w:rPr>
              <w:t>A</w:t>
            </w:r>
            <w:r w:rsidR="00DB1635" w:rsidRPr="00B004EE">
              <w:rPr>
                <w:rFonts w:ascii="Tahoma" w:hAnsi="Tahoma" w:cs="Tahoma"/>
                <w:sz w:val="20"/>
                <w:szCs w:val="20"/>
                <w:lang w:val="en-US"/>
              </w:rPr>
              <w:t xml:space="preserve"> </w:t>
            </w:r>
            <w:r w:rsidRPr="00B004EE">
              <w:rPr>
                <w:rFonts w:ascii="Tahoma" w:hAnsi="Tahoma" w:cs="Tahoma"/>
                <w:sz w:val="20"/>
                <w:szCs w:val="20"/>
                <w:lang w:val="en-US"/>
              </w:rPr>
              <w:t>:</w:t>
            </w:r>
            <w:proofErr w:type="gramEnd"/>
            <w:r w:rsidR="00DB1635" w:rsidRPr="00B004EE">
              <w:rPr>
                <w:rFonts w:ascii="Tahoma" w:hAnsi="Tahoma" w:cs="Tahoma"/>
                <w:sz w:val="20"/>
                <w:szCs w:val="20"/>
                <w:lang w:val="en-US"/>
              </w:rPr>
              <w:t xml:space="preserve"> </w:t>
            </w:r>
            <w:r w:rsidRPr="00B004EE">
              <w:rPr>
                <w:rFonts w:ascii="Tahoma" w:hAnsi="Tahoma" w:cs="Tahoma"/>
                <w:sz w:val="20"/>
                <w:szCs w:val="20"/>
                <w:lang w:val="en-US"/>
              </w:rPr>
              <w:t>20°12´N</w:t>
            </w:r>
            <w:r w:rsidR="00DB1635" w:rsidRPr="00B004EE">
              <w:rPr>
                <w:rFonts w:ascii="Tahoma" w:hAnsi="Tahoma" w:cs="Tahoma"/>
                <w:sz w:val="20"/>
                <w:szCs w:val="20"/>
                <w:lang w:val="en-US"/>
              </w:rPr>
              <w:t xml:space="preserve"> </w:t>
            </w:r>
            <w:r w:rsidRPr="00B004EE">
              <w:rPr>
                <w:rFonts w:ascii="Tahoma" w:hAnsi="Tahoma" w:cs="Tahoma"/>
                <w:sz w:val="20"/>
                <w:szCs w:val="20"/>
                <w:lang w:val="en-US"/>
              </w:rPr>
              <w:t>-</w:t>
            </w:r>
            <w:r w:rsidR="00DB1635" w:rsidRPr="00B004EE">
              <w:rPr>
                <w:rFonts w:ascii="Tahoma" w:hAnsi="Tahoma" w:cs="Tahoma"/>
                <w:sz w:val="20"/>
                <w:szCs w:val="20"/>
                <w:lang w:val="en-US"/>
              </w:rPr>
              <w:t xml:space="preserve"> </w:t>
            </w:r>
            <w:r w:rsidRPr="00B004EE">
              <w:rPr>
                <w:rFonts w:ascii="Tahoma" w:hAnsi="Tahoma" w:cs="Tahoma"/>
                <w:sz w:val="20"/>
                <w:szCs w:val="20"/>
                <w:lang w:val="en-US"/>
              </w:rPr>
              <w:t>17°08´W</w:t>
            </w:r>
          </w:p>
          <w:p w14:paraId="50826968" w14:textId="57383CD9" w:rsidR="002F24E1" w:rsidRPr="00B004EE" w:rsidRDefault="002F24E1" w:rsidP="00B004EE">
            <w:pPr>
              <w:autoSpaceDE w:val="0"/>
              <w:autoSpaceDN w:val="0"/>
              <w:adjustRightInd w:val="0"/>
              <w:jc w:val="both"/>
              <w:rPr>
                <w:rFonts w:ascii="Tahoma" w:hAnsi="Tahoma" w:cs="Tahoma"/>
                <w:sz w:val="20"/>
                <w:szCs w:val="20"/>
                <w:lang w:val="en-US"/>
              </w:rPr>
            </w:pPr>
            <w:r w:rsidRPr="00B004EE">
              <w:rPr>
                <w:rFonts w:ascii="Tahoma" w:hAnsi="Tahoma" w:cs="Tahoma"/>
                <w:sz w:val="20"/>
                <w:szCs w:val="20"/>
                <w:lang w:val="en-US"/>
              </w:rPr>
              <w:t>Point</w:t>
            </w:r>
            <w:r w:rsidR="00DB1635" w:rsidRPr="00B004EE">
              <w:rPr>
                <w:rFonts w:ascii="Tahoma" w:hAnsi="Tahoma" w:cs="Tahoma"/>
                <w:sz w:val="20"/>
                <w:szCs w:val="20"/>
                <w:lang w:val="en-US"/>
              </w:rPr>
              <w:t xml:space="preserve"> </w:t>
            </w:r>
            <w:r w:rsidRPr="00B004EE">
              <w:rPr>
                <w:rFonts w:ascii="Tahoma" w:hAnsi="Tahoma" w:cs="Tahoma"/>
                <w:sz w:val="20"/>
                <w:szCs w:val="20"/>
                <w:lang w:val="en-US"/>
              </w:rPr>
              <w:t>B</w:t>
            </w:r>
            <w:r w:rsidR="00DB1635" w:rsidRPr="00B004EE">
              <w:rPr>
                <w:rFonts w:ascii="Tahoma" w:hAnsi="Tahoma" w:cs="Tahoma"/>
                <w:sz w:val="20"/>
                <w:szCs w:val="20"/>
                <w:lang w:val="en-US"/>
              </w:rPr>
              <w:t xml:space="preserve"> </w:t>
            </w:r>
            <w:r w:rsidRPr="00B004EE">
              <w:rPr>
                <w:rFonts w:ascii="Tahoma" w:hAnsi="Tahoma" w:cs="Tahoma"/>
                <w:sz w:val="20"/>
                <w:szCs w:val="20"/>
                <w:lang w:val="en-US"/>
              </w:rPr>
              <w:t>:</w:t>
            </w:r>
            <w:r w:rsidR="00DB1635" w:rsidRPr="00B004EE">
              <w:rPr>
                <w:rFonts w:ascii="Tahoma" w:hAnsi="Tahoma" w:cs="Tahoma"/>
                <w:sz w:val="20"/>
                <w:szCs w:val="20"/>
                <w:lang w:val="en-US"/>
              </w:rPr>
              <w:t xml:space="preserve"> </w:t>
            </w:r>
            <w:r w:rsidRPr="00B004EE">
              <w:rPr>
                <w:rFonts w:ascii="Tahoma" w:hAnsi="Tahoma" w:cs="Tahoma"/>
                <w:sz w:val="20"/>
                <w:szCs w:val="20"/>
                <w:lang w:val="en-US"/>
              </w:rPr>
              <w:t>20°19’N</w:t>
            </w:r>
            <w:r w:rsidR="00DB1635" w:rsidRPr="00B004EE">
              <w:rPr>
                <w:rFonts w:ascii="Tahoma" w:hAnsi="Tahoma" w:cs="Tahoma"/>
                <w:sz w:val="20"/>
                <w:szCs w:val="20"/>
                <w:lang w:val="en-US"/>
              </w:rPr>
              <w:t xml:space="preserve"> </w:t>
            </w:r>
            <w:r w:rsidRPr="00B004EE">
              <w:rPr>
                <w:rFonts w:ascii="Tahoma" w:hAnsi="Tahoma" w:cs="Tahoma"/>
                <w:sz w:val="20"/>
                <w:szCs w:val="20"/>
                <w:lang w:val="en-US"/>
              </w:rPr>
              <w:t>-</w:t>
            </w:r>
            <w:r w:rsidR="00DB1635" w:rsidRPr="00B004EE">
              <w:rPr>
                <w:rFonts w:ascii="Tahoma" w:hAnsi="Tahoma" w:cs="Tahoma"/>
                <w:sz w:val="20"/>
                <w:szCs w:val="20"/>
                <w:lang w:val="en-US"/>
              </w:rPr>
              <w:t xml:space="preserve"> </w:t>
            </w:r>
            <w:r w:rsidRPr="00B004EE">
              <w:rPr>
                <w:rFonts w:ascii="Tahoma" w:hAnsi="Tahoma" w:cs="Tahoma"/>
                <w:sz w:val="20"/>
                <w:szCs w:val="20"/>
                <w:lang w:val="en-US"/>
              </w:rPr>
              <w:t>17°12´W</w:t>
            </w:r>
          </w:p>
        </w:tc>
        <w:tc>
          <w:tcPr>
            <w:tcW w:w="1498" w:type="dxa"/>
            <w:tcBorders>
              <w:top w:val="single" w:sz="4" w:space="0" w:color="auto"/>
              <w:left w:val="single" w:sz="4" w:space="0" w:color="auto"/>
              <w:bottom w:val="single" w:sz="4" w:space="0" w:color="auto"/>
              <w:right w:val="single" w:sz="4" w:space="0" w:color="auto"/>
            </w:tcBorders>
            <w:vAlign w:val="center"/>
          </w:tcPr>
          <w:p w14:paraId="361294FF" w14:textId="3A2B58BE" w:rsidR="002F24E1" w:rsidRPr="00B004EE" w:rsidRDefault="002F24E1" w:rsidP="00B004EE">
            <w:pPr>
              <w:autoSpaceDE w:val="0"/>
              <w:autoSpaceDN w:val="0"/>
              <w:adjustRightInd w:val="0"/>
              <w:jc w:val="both"/>
              <w:rPr>
                <w:rFonts w:ascii="Tahoma" w:hAnsi="Tahoma" w:cs="Tahoma"/>
                <w:i/>
                <w:iCs/>
                <w:sz w:val="20"/>
                <w:szCs w:val="20"/>
                <w:lang w:val="en-US"/>
              </w:rPr>
            </w:pPr>
            <w:r w:rsidRPr="00B004EE">
              <w:rPr>
                <w:rFonts w:ascii="Tahoma" w:hAnsi="Tahoma" w:cs="Tahoma"/>
                <w:i/>
                <w:iCs/>
                <w:sz w:val="20"/>
                <w:szCs w:val="20"/>
                <w:lang w:val="en-US"/>
              </w:rPr>
              <w:t>Venus</w:t>
            </w:r>
            <w:r w:rsidR="00DB1635" w:rsidRPr="00B004EE">
              <w:rPr>
                <w:rFonts w:ascii="Tahoma" w:hAnsi="Tahoma" w:cs="Tahoma"/>
                <w:i/>
                <w:iCs/>
                <w:sz w:val="20"/>
                <w:szCs w:val="20"/>
                <w:lang w:val="en-US"/>
              </w:rPr>
              <w:t xml:space="preserve"> </w:t>
            </w:r>
            <w:r w:rsidRPr="00B004EE">
              <w:rPr>
                <w:rFonts w:ascii="Tahoma" w:hAnsi="Tahoma" w:cs="Tahoma"/>
                <w:i/>
                <w:iCs/>
                <w:sz w:val="20"/>
                <w:szCs w:val="20"/>
                <w:lang w:val="en-US"/>
              </w:rPr>
              <w:t>rosalina</w:t>
            </w:r>
            <w:r w:rsidR="00DB1635" w:rsidRPr="00B004EE">
              <w:rPr>
                <w:rFonts w:ascii="Tahoma" w:hAnsi="Tahoma" w:cs="Tahoma"/>
                <w:i/>
                <w:iCs/>
                <w:sz w:val="20"/>
                <w:szCs w:val="20"/>
                <w:lang w:val="en-US"/>
              </w:rPr>
              <w:t xml:space="preserve"> </w:t>
            </w:r>
          </w:p>
        </w:tc>
        <w:tc>
          <w:tcPr>
            <w:tcW w:w="1531" w:type="dxa"/>
            <w:tcBorders>
              <w:top w:val="single" w:sz="4" w:space="0" w:color="auto"/>
              <w:left w:val="single" w:sz="4" w:space="0" w:color="auto"/>
              <w:bottom w:val="single" w:sz="4" w:space="0" w:color="auto"/>
              <w:right w:val="single" w:sz="4" w:space="0" w:color="auto"/>
            </w:tcBorders>
            <w:vAlign w:val="center"/>
          </w:tcPr>
          <w:p w14:paraId="01EAD441" w14:textId="6B7D1E92" w:rsidR="002F24E1" w:rsidRPr="00B004EE" w:rsidRDefault="002F24E1" w:rsidP="00B004EE">
            <w:pPr>
              <w:autoSpaceDE w:val="0"/>
              <w:autoSpaceDN w:val="0"/>
              <w:adjustRightInd w:val="0"/>
              <w:jc w:val="both"/>
              <w:rPr>
                <w:rFonts w:ascii="Tahoma" w:hAnsi="Tahoma" w:cs="Tahoma"/>
                <w:sz w:val="20"/>
                <w:szCs w:val="20"/>
                <w:lang w:val="en-US"/>
              </w:rPr>
            </w:pPr>
            <w:r w:rsidRPr="00B004EE">
              <w:rPr>
                <w:rFonts w:ascii="Tahoma" w:hAnsi="Tahoma" w:cs="Tahoma"/>
                <w:sz w:val="20"/>
                <w:szCs w:val="20"/>
                <w:lang w:val="en-US"/>
              </w:rPr>
              <w:t>D</w:t>
            </w:r>
            <w:r w:rsidR="00DB1635" w:rsidRPr="00B004EE">
              <w:rPr>
                <w:rFonts w:ascii="Tahoma" w:hAnsi="Tahoma" w:cs="Tahoma"/>
                <w:sz w:val="20"/>
                <w:szCs w:val="20"/>
                <w:lang w:val="en-US"/>
              </w:rPr>
              <w:t xml:space="preserve"> </w:t>
            </w:r>
          </w:p>
        </w:tc>
      </w:tr>
      <w:tr w:rsidR="00475682" w:rsidRPr="00B004EE" w14:paraId="73F6E008" w14:textId="77777777" w:rsidTr="00475682">
        <w:trPr>
          <w:jc w:val="center"/>
        </w:trPr>
        <w:tc>
          <w:tcPr>
            <w:tcW w:w="2495" w:type="dxa"/>
            <w:tcBorders>
              <w:top w:val="single" w:sz="4" w:space="0" w:color="auto"/>
              <w:left w:val="single" w:sz="4" w:space="0" w:color="auto"/>
              <w:bottom w:val="single" w:sz="4" w:space="0" w:color="auto"/>
              <w:right w:val="single" w:sz="4" w:space="0" w:color="auto"/>
            </w:tcBorders>
            <w:vAlign w:val="center"/>
          </w:tcPr>
          <w:p w14:paraId="544634FE" w14:textId="4AD243F6" w:rsidR="002F24E1" w:rsidRPr="00B004EE" w:rsidRDefault="002F24E1" w:rsidP="00B004EE">
            <w:pPr>
              <w:autoSpaceDE w:val="0"/>
              <w:autoSpaceDN w:val="0"/>
              <w:adjustRightInd w:val="0"/>
              <w:jc w:val="both"/>
              <w:rPr>
                <w:rFonts w:ascii="Tahoma" w:hAnsi="Tahoma" w:cs="Tahoma"/>
                <w:sz w:val="20"/>
                <w:szCs w:val="20"/>
              </w:rPr>
            </w:pPr>
            <w:r w:rsidRPr="00B004EE">
              <w:rPr>
                <w:rFonts w:ascii="Tahoma" w:hAnsi="Tahoma" w:cs="Tahoma"/>
                <w:sz w:val="20"/>
                <w:szCs w:val="20"/>
              </w:rPr>
              <w:t>Zone</w:t>
            </w:r>
            <w:r w:rsidR="00DB1635" w:rsidRPr="00B004EE">
              <w:rPr>
                <w:rFonts w:ascii="Tahoma" w:hAnsi="Tahoma" w:cs="Tahoma"/>
                <w:sz w:val="20"/>
                <w:szCs w:val="20"/>
              </w:rPr>
              <w:t xml:space="preserve"> </w:t>
            </w:r>
            <w:r w:rsidRPr="00B004EE">
              <w:rPr>
                <w:rFonts w:ascii="Tahoma" w:hAnsi="Tahoma" w:cs="Tahoma"/>
                <w:sz w:val="20"/>
                <w:szCs w:val="20"/>
              </w:rPr>
              <w:t>littorale</w:t>
            </w:r>
          </w:p>
        </w:tc>
        <w:tc>
          <w:tcPr>
            <w:tcW w:w="3872" w:type="dxa"/>
            <w:tcBorders>
              <w:top w:val="single" w:sz="4" w:space="0" w:color="auto"/>
              <w:left w:val="single" w:sz="4" w:space="0" w:color="auto"/>
              <w:bottom w:val="single" w:sz="4" w:space="0" w:color="auto"/>
              <w:right w:val="single" w:sz="4" w:space="0" w:color="auto"/>
            </w:tcBorders>
          </w:tcPr>
          <w:p w14:paraId="246BD861" w14:textId="0243AE17" w:rsidR="002F24E1" w:rsidRPr="00B004EE" w:rsidRDefault="002F24E1" w:rsidP="00B004EE">
            <w:pPr>
              <w:autoSpaceDE w:val="0"/>
              <w:autoSpaceDN w:val="0"/>
              <w:adjustRightInd w:val="0"/>
              <w:jc w:val="both"/>
              <w:rPr>
                <w:rFonts w:ascii="Tahoma" w:hAnsi="Tahoma" w:cs="Tahoma"/>
                <w:sz w:val="20"/>
                <w:szCs w:val="20"/>
              </w:rPr>
            </w:pPr>
            <w:r w:rsidRPr="00B004EE">
              <w:rPr>
                <w:rFonts w:ascii="Tahoma" w:hAnsi="Tahoma" w:cs="Tahoma"/>
                <w:sz w:val="20"/>
                <w:szCs w:val="20"/>
              </w:rPr>
              <w:t>Zone</w:t>
            </w:r>
            <w:r w:rsidR="00DB1635" w:rsidRPr="00B004EE">
              <w:rPr>
                <w:rFonts w:ascii="Tahoma" w:hAnsi="Tahoma" w:cs="Tahoma"/>
                <w:sz w:val="20"/>
                <w:szCs w:val="20"/>
              </w:rPr>
              <w:t xml:space="preserve"> </w:t>
            </w:r>
            <w:r w:rsidRPr="00B004EE">
              <w:rPr>
                <w:rFonts w:ascii="Tahoma" w:hAnsi="Tahoma" w:cs="Tahoma"/>
                <w:sz w:val="20"/>
                <w:szCs w:val="20"/>
              </w:rPr>
              <w:t>littoral</w:t>
            </w:r>
            <w:r w:rsidR="00DB1635" w:rsidRPr="00B004EE">
              <w:rPr>
                <w:rFonts w:ascii="Tahoma" w:hAnsi="Tahoma" w:cs="Tahoma"/>
                <w:sz w:val="20"/>
                <w:szCs w:val="20"/>
              </w:rPr>
              <w:t xml:space="preserve"> </w:t>
            </w:r>
            <w:r w:rsidRPr="00B004EE">
              <w:rPr>
                <w:rFonts w:ascii="Tahoma" w:hAnsi="Tahoma" w:cs="Tahoma"/>
                <w:sz w:val="20"/>
                <w:szCs w:val="20"/>
              </w:rPr>
              <w:t>délimitée</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nord</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centre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sud</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cap</w:t>
            </w:r>
            <w:r w:rsidR="00DB1635" w:rsidRPr="00B004EE">
              <w:rPr>
                <w:rFonts w:ascii="Tahoma" w:hAnsi="Tahoma" w:cs="Tahoma"/>
                <w:sz w:val="20"/>
                <w:szCs w:val="20"/>
              </w:rPr>
              <w:t xml:space="preserve"> </w:t>
            </w:r>
            <w:r w:rsidRPr="00B004EE">
              <w:rPr>
                <w:rFonts w:ascii="Tahoma" w:hAnsi="Tahoma" w:cs="Tahoma"/>
                <w:sz w:val="20"/>
                <w:szCs w:val="20"/>
              </w:rPr>
              <w:t>blanc</w:t>
            </w:r>
            <w:r w:rsidR="00DB1635" w:rsidRPr="00B004EE">
              <w:rPr>
                <w:rFonts w:ascii="Tahoma" w:hAnsi="Tahoma" w:cs="Tahoma"/>
                <w:sz w:val="20"/>
                <w:szCs w:val="20"/>
              </w:rPr>
              <w:t xml:space="preserve"> </w:t>
            </w:r>
            <w:r w:rsidRPr="00B004EE">
              <w:rPr>
                <w:rFonts w:ascii="Tahoma" w:hAnsi="Tahoma" w:cs="Tahoma"/>
                <w:sz w:val="20"/>
                <w:szCs w:val="20"/>
              </w:rPr>
              <w:t>:</w:t>
            </w:r>
          </w:p>
          <w:p w14:paraId="5858CE7D" w14:textId="1925A40F" w:rsidR="002F24E1" w:rsidRPr="00B004EE" w:rsidRDefault="002F24E1" w:rsidP="00B004EE">
            <w:pPr>
              <w:suppressLineNumbers/>
              <w:tabs>
                <w:tab w:val="left" w:pos="567"/>
              </w:tabs>
              <w:jc w:val="both"/>
              <w:rPr>
                <w:rFonts w:ascii="Tahoma" w:hAnsi="Tahoma" w:cs="Tahoma"/>
                <w:sz w:val="20"/>
                <w:szCs w:val="20"/>
              </w:rPr>
            </w:pPr>
            <w:r w:rsidRPr="00B004EE">
              <w:rPr>
                <w:rFonts w:ascii="Tahoma" w:hAnsi="Tahoma" w:cs="Tahoma"/>
                <w:sz w:val="20"/>
                <w:szCs w:val="20"/>
              </w:rPr>
              <w:t>20°58’,19N</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17°00’,29</w:t>
            </w:r>
            <w:r w:rsidR="00DB1635" w:rsidRPr="00B004EE">
              <w:rPr>
                <w:rFonts w:ascii="Tahoma" w:hAnsi="Tahoma" w:cs="Tahoma"/>
                <w:sz w:val="20"/>
                <w:szCs w:val="20"/>
              </w:rPr>
              <w:t xml:space="preserve"> </w:t>
            </w:r>
            <w:r w:rsidRPr="00B004EE">
              <w:rPr>
                <w:rFonts w:ascii="Tahoma" w:hAnsi="Tahoma" w:cs="Tahoma"/>
                <w:sz w:val="20"/>
                <w:szCs w:val="20"/>
              </w:rPr>
              <w:t>W</w:t>
            </w:r>
          </w:p>
          <w:p w14:paraId="61F675AA" w14:textId="242B25BE" w:rsidR="002F24E1" w:rsidRPr="00B004EE" w:rsidRDefault="002F24E1" w:rsidP="00B004EE">
            <w:pPr>
              <w:autoSpaceDE w:val="0"/>
              <w:autoSpaceDN w:val="0"/>
              <w:adjustRightInd w:val="0"/>
              <w:jc w:val="both"/>
              <w:rPr>
                <w:rFonts w:ascii="Tahoma" w:hAnsi="Tahoma" w:cs="Tahoma"/>
                <w:sz w:val="20"/>
                <w:szCs w:val="20"/>
              </w:rPr>
            </w:pPr>
            <w:r w:rsidRPr="00B004EE">
              <w:rPr>
                <w:rFonts w:ascii="Tahoma" w:hAnsi="Tahoma" w:cs="Tahoma"/>
                <w:sz w:val="20"/>
                <w:szCs w:val="20"/>
              </w:rPr>
              <w:t>20°46’,27N</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17°02’,58</w:t>
            </w:r>
            <w:r w:rsidR="00DB1635" w:rsidRPr="00B004EE">
              <w:rPr>
                <w:rFonts w:ascii="Tahoma" w:hAnsi="Tahoma" w:cs="Tahoma"/>
                <w:sz w:val="20"/>
                <w:szCs w:val="20"/>
              </w:rPr>
              <w:t xml:space="preserve"> </w:t>
            </w:r>
            <w:r w:rsidRPr="00B004EE">
              <w:rPr>
                <w:rFonts w:ascii="Tahoma" w:hAnsi="Tahoma" w:cs="Tahoma"/>
                <w:sz w:val="20"/>
                <w:szCs w:val="20"/>
              </w:rPr>
              <w:t>W</w:t>
            </w:r>
          </w:p>
        </w:tc>
        <w:tc>
          <w:tcPr>
            <w:tcW w:w="1498" w:type="dxa"/>
            <w:tcBorders>
              <w:top w:val="single" w:sz="4" w:space="0" w:color="auto"/>
              <w:left w:val="single" w:sz="4" w:space="0" w:color="auto"/>
              <w:bottom w:val="single" w:sz="4" w:space="0" w:color="auto"/>
              <w:right w:val="single" w:sz="4" w:space="0" w:color="auto"/>
            </w:tcBorders>
            <w:vAlign w:val="center"/>
          </w:tcPr>
          <w:p w14:paraId="470CD5F2" w14:textId="752DF1FE" w:rsidR="002F24E1" w:rsidRPr="00B004EE" w:rsidRDefault="002F24E1" w:rsidP="00B004EE">
            <w:pPr>
              <w:autoSpaceDE w:val="0"/>
              <w:autoSpaceDN w:val="0"/>
              <w:adjustRightInd w:val="0"/>
              <w:jc w:val="both"/>
              <w:rPr>
                <w:rFonts w:ascii="Tahoma" w:hAnsi="Tahoma" w:cs="Tahoma"/>
                <w:i/>
                <w:iCs/>
                <w:sz w:val="20"/>
                <w:szCs w:val="20"/>
                <w:lang w:val="en-US"/>
              </w:rPr>
            </w:pPr>
            <w:r w:rsidRPr="00B004EE">
              <w:rPr>
                <w:rFonts w:ascii="Tahoma" w:hAnsi="Tahoma" w:cs="Tahoma"/>
                <w:i/>
                <w:iCs/>
                <w:sz w:val="20"/>
                <w:szCs w:val="20"/>
                <w:lang w:val="en-US"/>
              </w:rPr>
              <w:t>Perna</w:t>
            </w:r>
            <w:r w:rsidR="00DB1635" w:rsidRPr="00B004EE">
              <w:rPr>
                <w:rFonts w:ascii="Tahoma" w:hAnsi="Tahoma" w:cs="Tahoma"/>
                <w:i/>
                <w:iCs/>
                <w:sz w:val="20"/>
                <w:szCs w:val="20"/>
                <w:lang w:val="en-US"/>
              </w:rPr>
              <w:t xml:space="preserve"> </w:t>
            </w:r>
            <w:r w:rsidRPr="00B004EE">
              <w:rPr>
                <w:rFonts w:ascii="Tahoma" w:hAnsi="Tahoma" w:cs="Tahoma"/>
                <w:i/>
                <w:iCs/>
                <w:sz w:val="20"/>
                <w:szCs w:val="20"/>
                <w:lang w:val="en-US"/>
              </w:rPr>
              <w:t>perna</w:t>
            </w:r>
            <w:r w:rsidR="00DB1635" w:rsidRPr="00B004EE">
              <w:rPr>
                <w:rFonts w:ascii="Tahoma" w:hAnsi="Tahoma" w:cs="Tahoma"/>
                <w:i/>
                <w:iCs/>
                <w:sz w:val="20"/>
                <w:szCs w:val="20"/>
                <w:lang w:val="en-US"/>
              </w:rPr>
              <w:t xml:space="preserve"> </w:t>
            </w:r>
          </w:p>
        </w:tc>
        <w:tc>
          <w:tcPr>
            <w:tcW w:w="1531" w:type="dxa"/>
            <w:tcBorders>
              <w:top w:val="single" w:sz="4" w:space="0" w:color="auto"/>
              <w:left w:val="single" w:sz="4" w:space="0" w:color="auto"/>
              <w:bottom w:val="single" w:sz="4" w:space="0" w:color="auto"/>
              <w:right w:val="single" w:sz="4" w:space="0" w:color="auto"/>
            </w:tcBorders>
            <w:vAlign w:val="center"/>
          </w:tcPr>
          <w:p w14:paraId="527880ED" w14:textId="49B25E2C" w:rsidR="002F24E1" w:rsidRPr="00B004EE" w:rsidRDefault="002F24E1" w:rsidP="00B004EE">
            <w:pPr>
              <w:autoSpaceDE w:val="0"/>
              <w:autoSpaceDN w:val="0"/>
              <w:adjustRightInd w:val="0"/>
              <w:jc w:val="both"/>
              <w:rPr>
                <w:rFonts w:ascii="Tahoma" w:hAnsi="Tahoma" w:cs="Tahoma"/>
                <w:sz w:val="20"/>
                <w:szCs w:val="20"/>
                <w:lang w:val="en-US"/>
              </w:rPr>
            </w:pPr>
            <w:r w:rsidRPr="00B004EE">
              <w:rPr>
                <w:rFonts w:ascii="Tahoma" w:hAnsi="Tahoma" w:cs="Tahoma"/>
                <w:sz w:val="20"/>
                <w:szCs w:val="20"/>
              </w:rPr>
              <w:t>Interdite</w:t>
            </w:r>
            <w:r w:rsidR="00DB1635" w:rsidRPr="00B004EE">
              <w:rPr>
                <w:rFonts w:ascii="Tahoma" w:hAnsi="Tahoma" w:cs="Tahoma"/>
                <w:sz w:val="20"/>
                <w:szCs w:val="20"/>
                <w:lang w:val="en-US"/>
              </w:rPr>
              <w:t xml:space="preserve"> </w:t>
            </w:r>
          </w:p>
        </w:tc>
      </w:tr>
    </w:tbl>
    <w:p w14:paraId="60FD8E3D" w14:textId="77777777" w:rsidR="002F24E1" w:rsidRPr="00B004EE" w:rsidRDefault="002F24E1" w:rsidP="00B004EE">
      <w:pPr>
        <w:autoSpaceDE w:val="0"/>
        <w:autoSpaceDN w:val="0"/>
        <w:adjustRightInd w:val="0"/>
        <w:jc w:val="both"/>
        <w:rPr>
          <w:rFonts w:ascii="Tahoma" w:hAnsi="Tahoma" w:cs="Tahoma"/>
          <w:sz w:val="20"/>
          <w:szCs w:val="20"/>
          <w:lang w:val="en-US"/>
        </w:rPr>
      </w:pPr>
    </w:p>
    <w:p w14:paraId="7A469366" w14:textId="476A57E5" w:rsidR="002F24E1" w:rsidRPr="00B004EE" w:rsidRDefault="002F24E1" w:rsidP="00B004EE">
      <w:pPr>
        <w:autoSpaceDE w:val="0"/>
        <w:autoSpaceDN w:val="0"/>
        <w:adjustRightInd w:val="0"/>
        <w:jc w:val="both"/>
        <w:rPr>
          <w:rFonts w:ascii="Tahoma" w:hAnsi="Tahoma" w:cs="Tahoma"/>
          <w:sz w:val="20"/>
          <w:szCs w:val="20"/>
        </w:rPr>
      </w:pPr>
      <w:r w:rsidRPr="00A155DA">
        <w:rPr>
          <w:rFonts w:ascii="Tahoma" w:hAnsi="Tahoma" w:cs="Tahoma"/>
          <w:sz w:val="20"/>
          <w:szCs w:val="20"/>
        </w:rPr>
        <w:t>Article</w:t>
      </w:r>
      <w:r w:rsidR="00DB1635" w:rsidRPr="00A155DA">
        <w:rPr>
          <w:rFonts w:ascii="Tahoma" w:hAnsi="Tahoma" w:cs="Tahoma"/>
          <w:sz w:val="20"/>
          <w:szCs w:val="20"/>
        </w:rPr>
        <w:t xml:space="preserve"> </w:t>
      </w:r>
      <w:r w:rsidRPr="00A155DA">
        <w:rPr>
          <w:rFonts w:ascii="Tahoma" w:hAnsi="Tahoma" w:cs="Tahoma"/>
          <w:sz w:val="20"/>
          <w:szCs w:val="20"/>
        </w:rPr>
        <w:t>2</w:t>
      </w:r>
      <w:r w:rsidR="00DB1635" w:rsidRPr="00A155DA">
        <w:rPr>
          <w:rFonts w:ascii="Tahoma" w:hAnsi="Tahoma" w:cs="Tahoma"/>
          <w:sz w:val="20"/>
          <w:szCs w:val="20"/>
        </w:rPr>
        <w:t xml:space="preserve"> </w:t>
      </w:r>
      <w:r w:rsidRPr="00A155DA">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application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dispositions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l’arrêté</w:t>
      </w:r>
      <w:r w:rsidR="00DB1635" w:rsidRPr="00B004EE">
        <w:rPr>
          <w:rFonts w:ascii="Tahoma" w:hAnsi="Tahoma" w:cs="Tahoma"/>
          <w:sz w:val="20"/>
          <w:szCs w:val="20"/>
        </w:rPr>
        <w:t xml:space="preserve"> </w:t>
      </w:r>
      <w:r w:rsidRPr="00B004EE">
        <w:rPr>
          <w:rFonts w:ascii="Tahoma" w:hAnsi="Tahoma" w:cs="Tahoma"/>
          <w:sz w:val="20"/>
          <w:szCs w:val="20"/>
        </w:rPr>
        <w:t>conjoint</w:t>
      </w:r>
      <w:r w:rsidR="00DB1635" w:rsidRPr="00B004EE">
        <w:rPr>
          <w:rFonts w:ascii="Tahoma" w:hAnsi="Tahoma" w:cs="Tahoma"/>
          <w:sz w:val="20"/>
          <w:szCs w:val="20"/>
        </w:rPr>
        <w:t xml:space="preserve"> </w:t>
      </w:r>
      <w:r w:rsidRPr="00B004EE">
        <w:rPr>
          <w:rFonts w:ascii="Tahoma" w:hAnsi="Tahoma" w:cs="Tahoma"/>
          <w:sz w:val="20"/>
          <w:szCs w:val="20"/>
        </w:rPr>
        <w:t>n°</w:t>
      </w:r>
      <w:r w:rsidR="00DB1635" w:rsidRPr="00B004EE">
        <w:rPr>
          <w:rFonts w:ascii="Tahoma" w:hAnsi="Tahoma" w:cs="Tahoma"/>
          <w:sz w:val="20"/>
          <w:szCs w:val="20"/>
        </w:rPr>
        <w:t xml:space="preserve"> </w:t>
      </w:r>
      <w:r w:rsidRPr="00B004EE">
        <w:rPr>
          <w:rFonts w:ascii="Tahoma" w:hAnsi="Tahoma" w:cs="Tahoma"/>
          <w:sz w:val="20"/>
          <w:szCs w:val="20"/>
        </w:rPr>
        <w:t>2860</w:t>
      </w:r>
      <w:r w:rsidR="00DB1635" w:rsidRPr="00B004EE">
        <w:rPr>
          <w:rFonts w:ascii="Tahoma" w:hAnsi="Tahoma" w:cs="Tahoma"/>
          <w:sz w:val="20"/>
          <w:szCs w:val="20"/>
        </w:rPr>
        <w:t xml:space="preserve"> </w:t>
      </w:r>
      <w:r w:rsidRPr="00B004EE">
        <w:rPr>
          <w:rFonts w:ascii="Tahoma" w:hAnsi="Tahoma" w:cs="Tahoma"/>
          <w:sz w:val="20"/>
          <w:szCs w:val="20"/>
        </w:rPr>
        <w:t>MPEM/MCAT/MSAS/SEPME</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16</w:t>
      </w:r>
      <w:r w:rsidR="00DB1635" w:rsidRPr="00B004EE">
        <w:rPr>
          <w:rFonts w:ascii="Tahoma" w:hAnsi="Tahoma" w:cs="Tahoma"/>
          <w:sz w:val="20"/>
          <w:szCs w:val="20"/>
        </w:rPr>
        <w:t xml:space="preserve"> </w:t>
      </w:r>
      <w:r w:rsidRPr="00B004EE">
        <w:rPr>
          <w:rFonts w:ascii="Tahoma" w:hAnsi="Tahoma" w:cs="Tahoma"/>
          <w:sz w:val="20"/>
          <w:szCs w:val="20"/>
        </w:rPr>
        <w:t>novembre</w:t>
      </w:r>
      <w:r w:rsidR="00DB1635" w:rsidRPr="00B004EE">
        <w:rPr>
          <w:rFonts w:ascii="Tahoma" w:hAnsi="Tahoma" w:cs="Tahoma"/>
          <w:sz w:val="20"/>
          <w:szCs w:val="20"/>
        </w:rPr>
        <w:t xml:space="preserve"> </w:t>
      </w:r>
      <w:r w:rsidRPr="00B004EE">
        <w:rPr>
          <w:rFonts w:ascii="Tahoma" w:hAnsi="Tahoma" w:cs="Tahoma"/>
          <w:sz w:val="20"/>
          <w:szCs w:val="20"/>
        </w:rPr>
        <w:t>2006</w:t>
      </w:r>
      <w:r w:rsidR="00DB1635" w:rsidRPr="00B004EE">
        <w:rPr>
          <w:rFonts w:ascii="Tahoma" w:hAnsi="Tahoma" w:cs="Tahoma"/>
          <w:sz w:val="20"/>
          <w:szCs w:val="20"/>
        </w:rPr>
        <w:t xml:space="preserve"> </w:t>
      </w:r>
      <w:r w:rsidRPr="00B004EE">
        <w:rPr>
          <w:rFonts w:ascii="Tahoma" w:hAnsi="Tahoma" w:cs="Tahoma"/>
          <w:sz w:val="20"/>
          <w:szCs w:val="20"/>
        </w:rPr>
        <w:t>susvisé,</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zones</w:t>
      </w:r>
      <w:r w:rsidR="00DB1635" w:rsidRPr="00B004EE">
        <w:rPr>
          <w:rFonts w:ascii="Tahoma" w:hAnsi="Tahoma" w:cs="Tahoma"/>
          <w:sz w:val="20"/>
          <w:szCs w:val="20"/>
        </w:rPr>
        <w:t xml:space="preserve"> </w:t>
      </w:r>
      <w:r w:rsidRPr="00B004EE">
        <w:rPr>
          <w:rFonts w:ascii="Tahoma" w:hAnsi="Tahoma" w:cs="Tahoma"/>
          <w:sz w:val="20"/>
          <w:szCs w:val="20"/>
        </w:rPr>
        <w:t>littorales</w:t>
      </w:r>
      <w:r w:rsidR="00DB1635" w:rsidRPr="00B004EE">
        <w:rPr>
          <w:rFonts w:ascii="Tahoma" w:hAnsi="Tahoma" w:cs="Tahoma"/>
          <w:sz w:val="20"/>
          <w:szCs w:val="20"/>
        </w:rPr>
        <w:t xml:space="preserve"> </w:t>
      </w:r>
      <w:r w:rsidRPr="00B004EE">
        <w:rPr>
          <w:rFonts w:ascii="Tahoma" w:hAnsi="Tahoma" w:cs="Tahoma"/>
          <w:sz w:val="20"/>
          <w:szCs w:val="20"/>
        </w:rPr>
        <w:t>urbanisées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zones</w:t>
      </w:r>
      <w:r w:rsidR="00DB1635" w:rsidRPr="00B004EE">
        <w:rPr>
          <w:rFonts w:ascii="Tahoma" w:hAnsi="Tahoma" w:cs="Tahoma"/>
          <w:sz w:val="20"/>
          <w:szCs w:val="20"/>
        </w:rPr>
        <w:t xml:space="preserve"> </w:t>
      </w:r>
      <w:r w:rsidRPr="00B004EE">
        <w:rPr>
          <w:rFonts w:ascii="Tahoma" w:hAnsi="Tahoma" w:cs="Tahoma"/>
          <w:sz w:val="20"/>
          <w:szCs w:val="20"/>
        </w:rPr>
        <w:t>portuaires</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littoral</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classées,</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toute</w:t>
      </w:r>
      <w:r w:rsidR="00DB1635" w:rsidRPr="00B004EE">
        <w:rPr>
          <w:rFonts w:ascii="Tahoma" w:hAnsi="Tahoma" w:cs="Tahoma"/>
          <w:sz w:val="20"/>
          <w:szCs w:val="20"/>
        </w:rPr>
        <w:t xml:space="preserve"> </w:t>
      </w:r>
      <w:r w:rsidRPr="00B004EE">
        <w:rPr>
          <w:rFonts w:ascii="Tahoma" w:hAnsi="Tahoma" w:cs="Tahoma"/>
          <w:sz w:val="20"/>
          <w:szCs w:val="20"/>
        </w:rPr>
        <w:t>espèce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coquillages</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point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vue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salubrité,</w:t>
      </w:r>
      <w:r w:rsidR="00DB1635" w:rsidRPr="00B004EE">
        <w:rPr>
          <w:rFonts w:ascii="Tahoma" w:hAnsi="Tahoma" w:cs="Tahoma"/>
          <w:sz w:val="20"/>
          <w:szCs w:val="20"/>
        </w:rPr>
        <w:t xml:space="preserve"> </w:t>
      </w:r>
      <w:r w:rsidRPr="00B004EE">
        <w:rPr>
          <w:rFonts w:ascii="Tahoma" w:hAnsi="Tahoma" w:cs="Tahoma"/>
          <w:sz w:val="20"/>
          <w:szCs w:val="20"/>
        </w:rPr>
        <w:t>conformément</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indications</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Tableau</w:t>
      </w:r>
      <w:r w:rsidR="00DB1635" w:rsidRPr="00B004EE">
        <w:rPr>
          <w:rFonts w:ascii="Tahoma" w:hAnsi="Tahoma" w:cs="Tahoma"/>
          <w:sz w:val="20"/>
          <w:szCs w:val="20"/>
        </w:rPr>
        <w:t xml:space="preserve"> </w:t>
      </w:r>
      <w:r w:rsidRPr="00B004EE">
        <w:rPr>
          <w:rFonts w:ascii="Tahoma" w:hAnsi="Tahoma" w:cs="Tahoma"/>
          <w:sz w:val="20"/>
          <w:szCs w:val="20"/>
        </w:rPr>
        <w:t>ci-après</w:t>
      </w:r>
      <w:r w:rsidR="00DB1635" w:rsidRPr="00B004EE">
        <w:rPr>
          <w:rFonts w:ascii="Tahoma" w:hAnsi="Tahoma" w:cs="Tahoma"/>
          <w:sz w:val="20"/>
          <w:szCs w:val="20"/>
        </w:rPr>
        <w:t xml:space="preserve"> </w:t>
      </w:r>
      <w:r w:rsidRPr="00B004EE">
        <w:rPr>
          <w:rFonts w:ascii="Tahoma" w:hAnsi="Tahoma" w:cs="Tahoma"/>
          <w:sz w:val="20"/>
          <w:szCs w:val="20"/>
        </w:rPr>
        <w:t>:</w:t>
      </w:r>
    </w:p>
    <w:p w14:paraId="009196B6" w14:textId="77777777" w:rsidR="002F24E1" w:rsidRPr="00B004EE" w:rsidRDefault="002F24E1" w:rsidP="00B004EE">
      <w:pPr>
        <w:autoSpaceDE w:val="0"/>
        <w:autoSpaceDN w:val="0"/>
        <w:adjustRightInd w:val="0"/>
        <w:jc w:val="both"/>
        <w:rPr>
          <w:rFonts w:ascii="Tahoma" w:hAnsi="Tahoma" w:cs="Tahoma"/>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76"/>
        <w:gridCol w:w="3520"/>
      </w:tblGrid>
      <w:tr w:rsidR="00150C90" w:rsidRPr="00B004EE" w14:paraId="42842E3E" w14:textId="77777777" w:rsidTr="00024507">
        <w:trPr>
          <w:cantSplit/>
          <w:jc w:val="center"/>
        </w:trPr>
        <w:tc>
          <w:tcPr>
            <w:tcW w:w="5887" w:type="dxa"/>
          </w:tcPr>
          <w:p w14:paraId="3ED15DB9" w14:textId="6E1F1546" w:rsidR="002F24E1" w:rsidRPr="00B004EE" w:rsidRDefault="002F24E1" w:rsidP="00B004EE">
            <w:pPr>
              <w:pStyle w:val="Titre5"/>
              <w:jc w:val="both"/>
              <w:rPr>
                <w:rFonts w:ascii="Tahoma" w:hAnsi="Tahoma" w:cs="Tahoma"/>
                <w:sz w:val="20"/>
                <w:szCs w:val="20"/>
              </w:rPr>
            </w:pPr>
            <w:r w:rsidRPr="00B004EE">
              <w:rPr>
                <w:rFonts w:ascii="Tahoma" w:hAnsi="Tahoma" w:cs="Tahoma"/>
                <w:sz w:val="20"/>
                <w:szCs w:val="20"/>
              </w:rPr>
              <w:t>Zone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production</w:t>
            </w:r>
            <w:r w:rsidR="00DB1635" w:rsidRPr="00B004EE">
              <w:rPr>
                <w:rFonts w:ascii="Tahoma" w:hAnsi="Tahoma" w:cs="Tahoma"/>
                <w:sz w:val="20"/>
                <w:szCs w:val="20"/>
              </w:rPr>
              <w:t xml:space="preserve"> </w:t>
            </w:r>
            <w:r w:rsidRPr="00B004EE">
              <w:rPr>
                <w:rFonts w:ascii="Tahoma" w:hAnsi="Tahoma" w:cs="Tahoma"/>
                <w:sz w:val="20"/>
                <w:szCs w:val="20"/>
              </w:rPr>
              <w:t>Limites</w:t>
            </w:r>
            <w:r w:rsidR="00DB1635" w:rsidRPr="00B004EE">
              <w:rPr>
                <w:rFonts w:ascii="Tahoma" w:hAnsi="Tahoma" w:cs="Tahoma"/>
                <w:sz w:val="20"/>
                <w:szCs w:val="20"/>
              </w:rPr>
              <w:t xml:space="preserve"> </w:t>
            </w:r>
            <w:r w:rsidRPr="00B004EE">
              <w:rPr>
                <w:rFonts w:ascii="Tahoma" w:hAnsi="Tahoma" w:cs="Tahoma"/>
                <w:sz w:val="20"/>
                <w:szCs w:val="20"/>
              </w:rPr>
              <w:t>géographiques</w:t>
            </w:r>
          </w:p>
        </w:tc>
        <w:tc>
          <w:tcPr>
            <w:tcW w:w="3526" w:type="dxa"/>
          </w:tcPr>
          <w:p w14:paraId="01054712" w14:textId="77777777" w:rsidR="002F24E1" w:rsidRPr="00B004EE" w:rsidRDefault="002F24E1" w:rsidP="00B004EE">
            <w:pPr>
              <w:pStyle w:val="Titre5"/>
              <w:jc w:val="both"/>
              <w:rPr>
                <w:rFonts w:ascii="Tahoma" w:hAnsi="Tahoma" w:cs="Tahoma"/>
                <w:sz w:val="20"/>
                <w:szCs w:val="20"/>
              </w:rPr>
            </w:pPr>
            <w:r w:rsidRPr="00B004EE">
              <w:rPr>
                <w:rFonts w:ascii="Tahoma" w:hAnsi="Tahoma" w:cs="Tahoma"/>
                <w:sz w:val="20"/>
                <w:szCs w:val="20"/>
              </w:rPr>
              <w:t>Classement</w:t>
            </w:r>
          </w:p>
        </w:tc>
      </w:tr>
      <w:tr w:rsidR="00150C90" w:rsidRPr="00B004EE" w14:paraId="134F1796" w14:textId="77777777" w:rsidTr="00024507">
        <w:trPr>
          <w:cantSplit/>
          <w:jc w:val="center"/>
        </w:trPr>
        <w:tc>
          <w:tcPr>
            <w:tcW w:w="5887" w:type="dxa"/>
            <w:vAlign w:val="center"/>
          </w:tcPr>
          <w:p w14:paraId="63EEDCE9" w14:textId="28AF15DC" w:rsidR="002F24E1" w:rsidRPr="00B004EE" w:rsidRDefault="002F24E1" w:rsidP="00B004EE">
            <w:pPr>
              <w:pStyle w:val="Titre4"/>
              <w:autoSpaceDE w:val="0"/>
              <w:autoSpaceDN w:val="0"/>
              <w:adjustRightInd w:val="0"/>
              <w:rPr>
                <w:rFonts w:ascii="Tahoma" w:hAnsi="Tahoma" w:cs="Tahoma"/>
                <w:sz w:val="20"/>
                <w:szCs w:val="20"/>
              </w:rPr>
            </w:pPr>
            <w:r w:rsidRPr="00B004EE">
              <w:rPr>
                <w:rFonts w:ascii="Tahoma" w:hAnsi="Tahoma" w:cs="Tahoma"/>
                <w:sz w:val="20"/>
                <w:szCs w:val="20"/>
              </w:rPr>
              <w:t>Baie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Cansado</w:t>
            </w:r>
            <w:r w:rsidR="00DB1635" w:rsidRPr="00B004EE">
              <w:rPr>
                <w:rFonts w:ascii="Tahoma" w:hAnsi="Tahoma" w:cs="Tahoma"/>
                <w:sz w:val="20"/>
                <w:szCs w:val="20"/>
              </w:rPr>
              <w:t xml:space="preserve"> </w:t>
            </w:r>
          </w:p>
          <w:p w14:paraId="5D9DBA86" w14:textId="58C2A6AD" w:rsidR="002F24E1" w:rsidRPr="00B004EE" w:rsidRDefault="002F24E1" w:rsidP="00B004EE">
            <w:pPr>
              <w:autoSpaceDE w:val="0"/>
              <w:autoSpaceDN w:val="0"/>
              <w:adjustRightInd w:val="0"/>
              <w:jc w:val="both"/>
              <w:rPr>
                <w:rFonts w:ascii="Tahoma" w:hAnsi="Tahoma" w:cs="Tahoma"/>
                <w:sz w:val="20"/>
                <w:szCs w:val="20"/>
              </w:rPr>
            </w:pPr>
            <w:r w:rsidRPr="00B004EE">
              <w:rPr>
                <w:rFonts w:ascii="Tahoma" w:hAnsi="Tahoma" w:cs="Tahoma"/>
                <w:sz w:val="20"/>
                <w:szCs w:val="20"/>
              </w:rPr>
              <w:t>Zone</w:t>
            </w:r>
            <w:r w:rsidR="00DB1635" w:rsidRPr="00B004EE">
              <w:rPr>
                <w:rFonts w:ascii="Tahoma" w:hAnsi="Tahoma" w:cs="Tahoma"/>
                <w:sz w:val="20"/>
                <w:szCs w:val="20"/>
              </w:rPr>
              <w:t xml:space="preserve"> </w:t>
            </w:r>
            <w:r w:rsidRPr="00B004EE">
              <w:rPr>
                <w:rFonts w:ascii="Tahoma" w:hAnsi="Tahoma" w:cs="Tahoma"/>
                <w:sz w:val="20"/>
                <w:szCs w:val="20"/>
              </w:rPr>
              <w:t>délimitée</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nord</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pointe</w:t>
            </w:r>
            <w:r w:rsidR="00DB1635" w:rsidRPr="00B004EE">
              <w:rPr>
                <w:rFonts w:ascii="Tahoma" w:hAnsi="Tahoma" w:cs="Tahoma"/>
                <w:sz w:val="20"/>
                <w:szCs w:val="20"/>
              </w:rPr>
              <w:t xml:space="preserve"> </w:t>
            </w:r>
            <w:r w:rsidRPr="00B004EE">
              <w:rPr>
                <w:rFonts w:ascii="Tahoma" w:hAnsi="Tahoma" w:cs="Tahoma"/>
                <w:sz w:val="20"/>
                <w:szCs w:val="20"/>
              </w:rPr>
              <w:t>Rey</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sud</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pointe</w:t>
            </w:r>
            <w:r w:rsidR="00DB1635" w:rsidRPr="00B004EE">
              <w:rPr>
                <w:rFonts w:ascii="Tahoma" w:hAnsi="Tahoma" w:cs="Tahoma"/>
                <w:sz w:val="20"/>
                <w:szCs w:val="20"/>
              </w:rPr>
              <w:t xml:space="preserve"> </w:t>
            </w:r>
            <w:r w:rsidRPr="00B004EE">
              <w:rPr>
                <w:rFonts w:ascii="Tahoma" w:hAnsi="Tahoma" w:cs="Tahoma"/>
                <w:sz w:val="20"/>
                <w:szCs w:val="20"/>
              </w:rPr>
              <w:t>Cansado</w:t>
            </w:r>
          </w:p>
        </w:tc>
        <w:tc>
          <w:tcPr>
            <w:tcW w:w="3526" w:type="dxa"/>
            <w:vAlign w:val="center"/>
          </w:tcPr>
          <w:p w14:paraId="07098565" w14:textId="77EF8206" w:rsidR="002F24E1" w:rsidRPr="00B004EE" w:rsidRDefault="002F24E1" w:rsidP="00B004EE">
            <w:pPr>
              <w:autoSpaceDE w:val="0"/>
              <w:autoSpaceDN w:val="0"/>
              <w:adjustRightInd w:val="0"/>
              <w:ind w:left="213"/>
              <w:jc w:val="both"/>
              <w:rPr>
                <w:rFonts w:ascii="Tahoma" w:hAnsi="Tahoma" w:cs="Tahoma"/>
                <w:sz w:val="20"/>
                <w:szCs w:val="20"/>
              </w:rPr>
            </w:pPr>
            <w:r w:rsidRPr="00B004EE">
              <w:rPr>
                <w:rFonts w:ascii="Tahoma" w:hAnsi="Tahoma" w:cs="Tahoma"/>
                <w:sz w:val="20"/>
                <w:szCs w:val="20"/>
              </w:rPr>
              <w:t>Interdite</w:t>
            </w:r>
            <w:r w:rsidR="00DB1635" w:rsidRPr="00B004EE">
              <w:rPr>
                <w:rFonts w:ascii="Tahoma" w:hAnsi="Tahoma" w:cs="Tahoma"/>
                <w:sz w:val="20"/>
                <w:szCs w:val="20"/>
                <w:lang w:val="en-US"/>
              </w:rPr>
              <w:t xml:space="preserve"> </w:t>
            </w:r>
          </w:p>
        </w:tc>
      </w:tr>
      <w:tr w:rsidR="00150C90" w:rsidRPr="00B004EE" w14:paraId="2BC26D44" w14:textId="77777777" w:rsidTr="00024507">
        <w:trPr>
          <w:cantSplit/>
          <w:jc w:val="center"/>
        </w:trPr>
        <w:tc>
          <w:tcPr>
            <w:tcW w:w="5887" w:type="dxa"/>
            <w:vAlign w:val="center"/>
          </w:tcPr>
          <w:p w14:paraId="5C488931" w14:textId="77A61821" w:rsidR="002F24E1" w:rsidRPr="00B004EE" w:rsidRDefault="002F24E1" w:rsidP="00B004EE">
            <w:pPr>
              <w:autoSpaceDE w:val="0"/>
              <w:autoSpaceDN w:val="0"/>
              <w:adjustRightInd w:val="0"/>
              <w:jc w:val="both"/>
              <w:rPr>
                <w:rFonts w:ascii="Tahoma" w:hAnsi="Tahoma" w:cs="Tahoma"/>
                <w:b/>
                <w:bCs/>
                <w:sz w:val="20"/>
                <w:szCs w:val="20"/>
              </w:rPr>
            </w:pPr>
            <w:r w:rsidRPr="00B004EE">
              <w:rPr>
                <w:rFonts w:ascii="Tahoma" w:hAnsi="Tahoma" w:cs="Tahoma"/>
                <w:b/>
                <w:bCs/>
                <w:sz w:val="20"/>
                <w:szCs w:val="20"/>
              </w:rPr>
              <w:t>Zone</w:t>
            </w:r>
            <w:r w:rsidR="00DB1635" w:rsidRPr="00B004EE">
              <w:rPr>
                <w:rFonts w:ascii="Tahoma" w:hAnsi="Tahoma" w:cs="Tahoma"/>
                <w:b/>
                <w:bCs/>
                <w:sz w:val="20"/>
                <w:szCs w:val="20"/>
              </w:rPr>
              <w:t xml:space="preserve"> </w:t>
            </w:r>
            <w:r w:rsidRPr="00B004EE">
              <w:rPr>
                <w:rFonts w:ascii="Tahoma" w:hAnsi="Tahoma" w:cs="Tahoma"/>
                <w:b/>
                <w:bCs/>
                <w:sz w:val="20"/>
                <w:szCs w:val="20"/>
              </w:rPr>
              <w:t>urbanisée</w:t>
            </w:r>
            <w:r w:rsidR="00DB1635" w:rsidRPr="00B004EE">
              <w:rPr>
                <w:rFonts w:ascii="Tahoma" w:hAnsi="Tahoma" w:cs="Tahoma"/>
                <w:b/>
                <w:bCs/>
                <w:sz w:val="20"/>
                <w:szCs w:val="20"/>
              </w:rPr>
              <w:t xml:space="preserve"> </w:t>
            </w:r>
            <w:r w:rsidRPr="00B004EE">
              <w:rPr>
                <w:rFonts w:ascii="Tahoma" w:hAnsi="Tahoma" w:cs="Tahoma"/>
                <w:b/>
                <w:bCs/>
                <w:sz w:val="20"/>
                <w:szCs w:val="20"/>
              </w:rPr>
              <w:t>de</w:t>
            </w:r>
            <w:r w:rsidR="00DB1635" w:rsidRPr="00B004EE">
              <w:rPr>
                <w:rFonts w:ascii="Tahoma" w:hAnsi="Tahoma" w:cs="Tahoma"/>
                <w:b/>
                <w:bCs/>
                <w:sz w:val="20"/>
                <w:szCs w:val="20"/>
              </w:rPr>
              <w:t xml:space="preserve"> </w:t>
            </w:r>
            <w:r w:rsidRPr="00B004EE">
              <w:rPr>
                <w:rFonts w:ascii="Tahoma" w:hAnsi="Tahoma" w:cs="Tahoma"/>
                <w:b/>
                <w:bCs/>
                <w:sz w:val="20"/>
                <w:szCs w:val="20"/>
              </w:rPr>
              <w:t>Cansado</w:t>
            </w:r>
            <w:r w:rsidR="00DB1635" w:rsidRPr="00B004EE">
              <w:rPr>
                <w:rFonts w:ascii="Tahoma" w:hAnsi="Tahoma" w:cs="Tahoma"/>
                <w:b/>
                <w:bCs/>
                <w:sz w:val="20"/>
                <w:szCs w:val="20"/>
              </w:rPr>
              <w:t xml:space="preserve"> </w:t>
            </w:r>
            <w:r w:rsidRPr="00B004EE">
              <w:rPr>
                <w:rFonts w:ascii="Tahoma" w:hAnsi="Tahoma" w:cs="Tahoma"/>
                <w:b/>
                <w:bCs/>
                <w:sz w:val="20"/>
                <w:szCs w:val="20"/>
              </w:rPr>
              <w:t>:</w:t>
            </w:r>
          </w:p>
        </w:tc>
        <w:tc>
          <w:tcPr>
            <w:tcW w:w="3526" w:type="dxa"/>
            <w:vAlign w:val="center"/>
          </w:tcPr>
          <w:p w14:paraId="65C40360" w14:textId="117844A4" w:rsidR="002F24E1" w:rsidRPr="00B004EE" w:rsidRDefault="002F24E1" w:rsidP="00B004EE">
            <w:pPr>
              <w:autoSpaceDE w:val="0"/>
              <w:autoSpaceDN w:val="0"/>
              <w:adjustRightInd w:val="0"/>
              <w:jc w:val="both"/>
              <w:rPr>
                <w:rFonts w:ascii="Tahoma" w:hAnsi="Tahoma" w:cs="Tahoma"/>
                <w:sz w:val="20"/>
                <w:szCs w:val="20"/>
              </w:rPr>
            </w:pPr>
            <w:r w:rsidRPr="00B004EE">
              <w:rPr>
                <w:rFonts w:ascii="Tahoma" w:hAnsi="Tahoma" w:cs="Tahoma"/>
                <w:sz w:val="20"/>
                <w:szCs w:val="20"/>
              </w:rPr>
              <w:t>Interdite</w:t>
            </w:r>
            <w:r w:rsidR="00DB1635" w:rsidRPr="00B004EE">
              <w:rPr>
                <w:rFonts w:ascii="Tahoma" w:hAnsi="Tahoma" w:cs="Tahoma"/>
                <w:sz w:val="20"/>
                <w:szCs w:val="20"/>
                <w:lang w:val="en-US"/>
              </w:rPr>
              <w:t xml:space="preserve"> </w:t>
            </w:r>
          </w:p>
        </w:tc>
      </w:tr>
      <w:tr w:rsidR="002F24E1" w:rsidRPr="00B004EE" w14:paraId="7ADBAB50" w14:textId="77777777" w:rsidTr="00024507">
        <w:trPr>
          <w:cantSplit/>
          <w:jc w:val="center"/>
        </w:trPr>
        <w:tc>
          <w:tcPr>
            <w:tcW w:w="5887" w:type="dxa"/>
            <w:vAlign w:val="center"/>
          </w:tcPr>
          <w:p w14:paraId="5CE6990D" w14:textId="5F3CD458" w:rsidR="002F24E1" w:rsidRPr="00B004EE" w:rsidRDefault="002F24E1" w:rsidP="00B004EE">
            <w:pPr>
              <w:autoSpaceDE w:val="0"/>
              <w:autoSpaceDN w:val="0"/>
              <w:adjustRightInd w:val="0"/>
              <w:jc w:val="both"/>
              <w:rPr>
                <w:rFonts w:ascii="Tahoma" w:hAnsi="Tahoma" w:cs="Tahoma"/>
                <w:b/>
                <w:bCs/>
                <w:sz w:val="20"/>
                <w:szCs w:val="20"/>
              </w:rPr>
            </w:pPr>
            <w:r w:rsidRPr="00B004EE">
              <w:rPr>
                <w:rFonts w:ascii="Tahoma" w:hAnsi="Tahoma" w:cs="Tahoma"/>
                <w:b/>
                <w:bCs/>
                <w:sz w:val="20"/>
                <w:szCs w:val="20"/>
              </w:rPr>
              <w:t>Zone</w:t>
            </w:r>
            <w:r w:rsidR="00DB1635" w:rsidRPr="00B004EE">
              <w:rPr>
                <w:rFonts w:ascii="Tahoma" w:hAnsi="Tahoma" w:cs="Tahoma"/>
                <w:b/>
                <w:bCs/>
                <w:sz w:val="20"/>
                <w:szCs w:val="20"/>
              </w:rPr>
              <w:t xml:space="preserve"> </w:t>
            </w:r>
            <w:r w:rsidRPr="00B004EE">
              <w:rPr>
                <w:rFonts w:ascii="Tahoma" w:hAnsi="Tahoma" w:cs="Tahoma"/>
                <w:b/>
                <w:bCs/>
                <w:sz w:val="20"/>
                <w:szCs w:val="20"/>
              </w:rPr>
              <w:t>Port</w:t>
            </w:r>
            <w:r w:rsidR="00DB1635" w:rsidRPr="00B004EE">
              <w:rPr>
                <w:rFonts w:ascii="Tahoma" w:hAnsi="Tahoma" w:cs="Tahoma"/>
                <w:b/>
                <w:bCs/>
                <w:sz w:val="20"/>
                <w:szCs w:val="20"/>
              </w:rPr>
              <w:t xml:space="preserve"> </w:t>
            </w:r>
            <w:r w:rsidRPr="00B004EE">
              <w:rPr>
                <w:rFonts w:ascii="Tahoma" w:hAnsi="Tahoma" w:cs="Tahoma"/>
                <w:b/>
                <w:bCs/>
                <w:sz w:val="20"/>
                <w:szCs w:val="20"/>
              </w:rPr>
              <w:t>pétrolier</w:t>
            </w:r>
            <w:r w:rsidR="00DB1635" w:rsidRPr="00B004EE">
              <w:rPr>
                <w:rFonts w:ascii="Tahoma" w:hAnsi="Tahoma" w:cs="Tahoma"/>
                <w:b/>
                <w:bCs/>
                <w:sz w:val="20"/>
                <w:szCs w:val="20"/>
              </w:rPr>
              <w:t xml:space="preserve"> </w:t>
            </w:r>
            <w:r w:rsidRPr="00B004EE">
              <w:rPr>
                <w:rFonts w:ascii="Tahoma" w:hAnsi="Tahoma" w:cs="Tahoma"/>
                <w:b/>
                <w:bCs/>
                <w:sz w:val="20"/>
                <w:szCs w:val="20"/>
              </w:rPr>
              <w:t>et</w:t>
            </w:r>
            <w:r w:rsidR="00DB1635" w:rsidRPr="00B004EE">
              <w:rPr>
                <w:rFonts w:ascii="Tahoma" w:hAnsi="Tahoma" w:cs="Tahoma"/>
                <w:b/>
                <w:bCs/>
                <w:sz w:val="20"/>
                <w:szCs w:val="20"/>
              </w:rPr>
              <w:t xml:space="preserve"> </w:t>
            </w:r>
            <w:r w:rsidRPr="00B004EE">
              <w:rPr>
                <w:rFonts w:ascii="Tahoma" w:hAnsi="Tahoma" w:cs="Tahoma"/>
                <w:b/>
                <w:bCs/>
                <w:sz w:val="20"/>
                <w:szCs w:val="20"/>
              </w:rPr>
              <w:t>Zone</w:t>
            </w:r>
            <w:r w:rsidR="00DB1635" w:rsidRPr="00B004EE">
              <w:rPr>
                <w:rFonts w:ascii="Tahoma" w:hAnsi="Tahoma" w:cs="Tahoma"/>
                <w:b/>
                <w:bCs/>
                <w:sz w:val="20"/>
                <w:szCs w:val="20"/>
              </w:rPr>
              <w:t xml:space="preserve"> </w:t>
            </w:r>
            <w:r w:rsidRPr="00B004EE">
              <w:rPr>
                <w:rFonts w:ascii="Tahoma" w:hAnsi="Tahoma" w:cs="Tahoma"/>
                <w:b/>
                <w:bCs/>
                <w:sz w:val="20"/>
                <w:szCs w:val="20"/>
              </w:rPr>
              <w:t>Port</w:t>
            </w:r>
            <w:r w:rsidR="00DB1635" w:rsidRPr="00B004EE">
              <w:rPr>
                <w:rFonts w:ascii="Tahoma" w:hAnsi="Tahoma" w:cs="Tahoma"/>
                <w:b/>
                <w:bCs/>
                <w:sz w:val="20"/>
                <w:szCs w:val="20"/>
              </w:rPr>
              <w:t xml:space="preserve"> </w:t>
            </w:r>
            <w:r w:rsidRPr="00B004EE">
              <w:rPr>
                <w:rFonts w:ascii="Tahoma" w:hAnsi="Tahoma" w:cs="Tahoma"/>
                <w:b/>
                <w:bCs/>
                <w:sz w:val="20"/>
                <w:szCs w:val="20"/>
              </w:rPr>
              <w:t>Minéralier:</w:t>
            </w:r>
            <w:r w:rsidR="00DB1635" w:rsidRPr="00B004EE">
              <w:rPr>
                <w:rFonts w:ascii="Tahoma" w:hAnsi="Tahoma" w:cs="Tahoma"/>
                <w:b/>
                <w:bCs/>
                <w:sz w:val="20"/>
                <w:szCs w:val="20"/>
              </w:rPr>
              <w:t xml:space="preserve"> </w:t>
            </w:r>
          </w:p>
        </w:tc>
        <w:tc>
          <w:tcPr>
            <w:tcW w:w="3526" w:type="dxa"/>
            <w:vAlign w:val="center"/>
          </w:tcPr>
          <w:p w14:paraId="158A6F47" w14:textId="304B4130" w:rsidR="002F24E1" w:rsidRPr="00B004EE" w:rsidRDefault="002F24E1" w:rsidP="00B004EE">
            <w:pPr>
              <w:autoSpaceDE w:val="0"/>
              <w:autoSpaceDN w:val="0"/>
              <w:adjustRightInd w:val="0"/>
              <w:jc w:val="both"/>
              <w:rPr>
                <w:rFonts w:ascii="Tahoma" w:hAnsi="Tahoma" w:cs="Tahoma"/>
                <w:sz w:val="20"/>
                <w:szCs w:val="20"/>
              </w:rPr>
            </w:pPr>
            <w:r w:rsidRPr="00B004EE">
              <w:rPr>
                <w:rFonts w:ascii="Tahoma" w:hAnsi="Tahoma" w:cs="Tahoma"/>
                <w:sz w:val="20"/>
                <w:szCs w:val="20"/>
              </w:rPr>
              <w:t>Interdite</w:t>
            </w:r>
            <w:r w:rsidR="00DB1635" w:rsidRPr="00B004EE">
              <w:rPr>
                <w:rFonts w:ascii="Tahoma" w:hAnsi="Tahoma" w:cs="Tahoma"/>
                <w:sz w:val="20"/>
                <w:szCs w:val="20"/>
                <w:lang w:val="en-US"/>
              </w:rPr>
              <w:t xml:space="preserve"> </w:t>
            </w:r>
          </w:p>
        </w:tc>
      </w:tr>
    </w:tbl>
    <w:p w14:paraId="584828ED" w14:textId="77777777" w:rsidR="002F24E1" w:rsidRPr="00B004EE" w:rsidRDefault="002F24E1" w:rsidP="00B004EE">
      <w:pPr>
        <w:autoSpaceDE w:val="0"/>
        <w:autoSpaceDN w:val="0"/>
        <w:adjustRightInd w:val="0"/>
        <w:jc w:val="both"/>
        <w:rPr>
          <w:rFonts w:ascii="Tahoma" w:hAnsi="Tahoma" w:cs="Tahoma"/>
          <w:b/>
          <w:bCs/>
          <w:i/>
          <w:iCs/>
          <w:sz w:val="20"/>
          <w:szCs w:val="20"/>
          <w:u w:val="single"/>
        </w:rPr>
      </w:pPr>
    </w:p>
    <w:p w14:paraId="6356F884" w14:textId="2642C1AF" w:rsidR="002F24E1" w:rsidRPr="00B004EE" w:rsidRDefault="002F24E1" w:rsidP="00B004EE">
      <w:pPr>
        <w:autoSpaceDE w:val="0"/>
        <w:autoSpaceDN w:val="0"/>
        <w:adjustRightInd w:val="0"/>
        <w:jc w:val="both"/>
        <w:rPr>
          <w:rFonts w:ascii="Tahoma" w:hAnsi="Tahoma" w:cs="Tahoma"/>
          <w:sz w:val="20"/>
          <w:szCs w:val="20"/>
        </w:rPr>
      </w:pPr>
      <w:r w:rsidRPr="00A155DA">
        <w:rPr>
          <w:rFonts w:ascii="Tahoma" w:hAnsi="Tahoma" w:cs="Tahoma"/>
          <w:sz w:val="20"/>
          <w:szCs w:val="20"/>
        </w:rPr>
        <w:t>Article</w:t>
      </w:r>
      <w:r w:rsidR="00DB1635" w:rsidRPr="00A155DA">
        <w:rPr>
          <w:rFonts w:ascii="Tahoma" w:hAnsi="Tahoma" w:cs="Tahoma"/>
          <w:sz w:val="20"/>
          <w:szCs w:val="20"/>
        </w:rPr>
        <w:t xml:space="preserve"> </w:t>
      </w:r>
      <w:r w:rsidRPr="00A155DA">
        <w:rPr>
          <w:rFonts w:ascii="Tahoma" w:hAnsi="Tahoma" w:cs="Tahoma"/>
          <w:sz w:val="20"/>
          <w:szCs w:val="20"/>
        </w:rPr>
        <w:t>3</w:t>
      </w:r>
      <w:r w:rsidR="00DB1635" w:rsidRPr="00A155DA">
        <w:rPr>
          <w:rFonts w:ascii="Tahoma" w:hAnsi="Tahoma" w:cs="Tahoma"/>
          <w:sz w:val="20"/>
          <w:szCs w:val="20"/>
        </w:rPr>
        <w:t xml:space="preserve"> </w:t>
      </w:r>
      <w:r w:rsidRPr="00A155DA">
        <w:rPr>
          <w:rFonts w:ascii="Tahoma" w:hAnsi="Tahoma" w:cs="Tahoma"/>
          <w:sz w:val="20"/>
          <w:szCs w:val="20"/>
        </w:rPr>
        <w:t>:</w:t>
      </w:r>
      <w:r w:rsidR="00DB1635" w:rsidRPr="00B004EE">
        <w:rPr>
          <w:rFonts w:ascii="Tahoma" w:hAnsi="Tahoma" w:cs="Tahoma"/>
          <w:b/>
          <w:bCs/>
          <w:sz w:val="20"/>
          <w:szCs w:val="20"/>
        </w:rPr>
        <w:t xml:space="preserve"> </w:t>
      </w:r>
      <w:r w:rsidRPr="00B004EE">
        <w:rPr>
          <w:rFonts w:ascii="Tahoma" w:hAnsi="Tahoma" w:cs="Tahoma"/>
          <w:sz w:val="20"/>
          <w:szCs w:val="20"/>
        </w:rPr>
        <w:t>Il</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institué</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commission</w:t>
      </w:r>
      <w:r w:rsidR="00DB1635" w:rsidRPr="00B004EE">
        <w:rPr>
          <w:rFonts w:ascii="Tahoma" w:hAnsi="Tahoma" w:cs="Tahoma"/>
          <w:b/>
          <w:bCs/>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suivi</w:t>
      </w:r>
      <w:r w:rsidR="00DB1635" w:rsidRPr="00B004EE">
        <w:rPr>
          <w:rFonts w:ascii="Tahoma" w:hAnsi="Tahoma" w:cs="Tahoma"/>
          <w:sz w:val="20"/>
          <w:szCs w:val="20"/>
        </w:rPr>
        <w:t xml:space="preserve"> </w:t>
      </w:r>
      <w:r w:rsidRPr="00B004EE">
        <w:rPr>
          <w:rFonts w:ascii="Tahoma" w:hAnsi="Tahoma" w:cs="Tahoma"/>
          <w:sz w:val="20"/>
          <w:szCs w:val="20"/>
        </w:rPr>
        <w:t>sanitaire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zones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production</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coquillages.</w:t>
      </w:r>
    </w:p>
    <w:p w14:paraId="1A88D9CA" w14:textId="5FBE0C5F" w:rsidR="002F24E1" w:rsidRPr="00B004EE" w:rsidRDefault="002F24E1" w:rsidP="00B004EE">
      <w:pPr>
        <w:autoSpaceDE w:val="0"/>
        <w:autoSpaceDN w:val="0"/>
        <w:adjustRightInd w:val="0"/>
        <w:jc w:val="both"/>
        <w:rPr>
          <w:rFonts w:ascii="Tahoma" w:hAnsi="Tahoma" w:cs="Tahoma"/>
          <w:sz w:val="20"/>
          <w:szCs w:val="20"/>
        </w:rPr>
      </w:pPr>
      <w:r w:rsidRPr="00B004EE">
        <w:rPr>
          <w:rFonts w:ascii="Tahoma" w:hAnsi="Tahoma" w:cs="Tahoma"/>
          <w:sz w:val="20"/>
          <w:szCs w:val="20"/>
        </w:rPr>
        <w:t>Cette</w:t>
      </w:r>
      <w:r w:rsidR="00DB1635" w:rsidRPr="00B004EE">
        <w:rPr>
          <w:rFonts w:ascii="Tahoma" w:hAnsi="Tahoma" w:cs="Tahoma"/>
          <w:sz w:val="20"/>
          <w:szCs w:val="20"/>
        </w:rPr>
        <w:t xml:space="preserve"> </w:t>
      </w:r>
      <w:r w:rsidRPr="00B004EE">
        <w:rPr>
          <w:rFonts w:ascii="Tahoma" w:hAnsi="Tahoma" w:cs="Tahoma"/>
          <w:sz w:val="20"/>
          <w:szCs w:val="20"/>
        </w:rPr>
        <w:t>Commission,</w:t>
      </w:r>
      <w:r w:rsidR="00DB1635" w:rsidRPr="00B004EE">
        <w:rPr>
          <w:rFonts w:ascii="Tahoma" w:hAnsi="Tahoma" w:cs="Tahoma"/>
          <w:sz w:val="20"/>
          <w:szCs w:val="20"/>
        </w:rPr>
        <w:t xml:space="preserve"> </w:t>
      </w:r>
      <w:r w:rsidRPr="00B004EE">
        <w:rPr>
          <w:rFonts w:ascii="Tahoma" w:hAnsi="Tahoma" w:cs="Tahoma"/>
          <w:sz w:val="20"/>
          <w:szCs w:val="20"/>
        </w:rPr>
        <w:t>présidée</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Wali</w:t>
      </w:r>
      <w:r w:rsidR="00DB1635" w:rsidRPr="00B004EE">
        <w:rPr>
          <w:rFonts w:ascii="Tahoma" w:hAnsi="Tahoma" w:cs="Tahoma"/>
          <w:sz w:val="20"/>
          <w:szCs w:val="20"/>
        </w:rPr>
        <w:t xml:space="preserve"> </w:t>
      </w:r>
      <w:r w:rsidRPr="00B004EE">
        <w:rPr>
          <w:rFonts w:ascii="Tahoma" w:hAnsi="Tahoma" w:cs="Tahoma"/>
          <w:sz w:val="20"/>
          <w:szCs w:val="20"/>
        </w:rPr>
        <w:t>territorialement</w:t>
      </w:r>
      <w:r w:rsidR="00DB1635" w:rsidRPr="00B004EE">
        <w:rPr>
          <w:rFonts w:ascii="Tahoma" w:hAnsi="Tahoma" w:cs="Tahoma"/>
          <w:sz w:val="20"/>
          <w:szCs w:val="20"/>
        </w:rPr>
        <w:t xml:space="preserve"> </w:t>
      </w:r>
      <w:r w:rsidRPr="00B004EE">
        <w:rPr>
          <w:rFonts w:ascii="Tahoma" w:hAnsi="Tahoma" w:cs="Tahoma"/>
          <w:sz w:val="20"/>
          <w:szCs w:val="20"/>
        </w:rPr>
        <w:t>compétent</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son</w:t>
      </w:r>
      <w:r w:rsidR="00DB1635" w:rsidRPr="00B004EE">
        <w:rPr>
          <w:rFonts w:ascii="Tahoma" w:hAnsi="Tahoma" w:cs="Tahoma"/>
          <w:sz w:val="20"/>
          <w:szCs w:val="20"/>
        </w:rPr>
        <w:t xml:space="preserve"> </w:t>
      </w:r>
      <w:r w:rsidRPr="00B004EE">
        <w:rPr>
          <w:rFonts w:ascii="Tahoma" w:hAnsi="Tahoma" w:cs="Tahoma"/>
          <w:sz w:val="20"/>
          <w:szCs w:val="20"/>
        </w:rPr>
        <w:t>représentant,</w:t>
      </w:r>
      <w:r w:rsidR="00DB1635" w:rsidRPr="00B004EE">
        <w:rPr>
          <w:rFonts w:ascii="Tahoma" w:hAnsi="Tahoma" w:cs="Tahoma"/>
          <w:sz w:val="20"/>
          <w:szCs w:val="20"/>
        </w:rPr>
        <w:t xml:space="preserve"> </w:t>
      </w:r>
      <w:r w:rsidRPr="00B004EE">
        <w:rPr>
          <w:rFonts w:ascii="Tahoma" w:hAnsi="Tahoma" w:cs="Tahoma"/>
          <w:sz w:val="20"/>
          <w:szCs w:val="20"/>
        </w:rPr>
        <w:t>comprend</w:t>
      </w:r>
      <w:r w:rsidR="00DB1635" w:rsidRPr="00B004EE">
        <w:rPr>
          <w:rFonts w:ascii="Tahoma" w:hAnsi="Tahoma" w:cs="Tahoma"/>
          <w:sz w:val="20"/>
          <w:szCs w:val="20"/>
        </w:rPr>
        <w:t xml:space="preserve"> </w:t>
      </w:r>
      <w:r w:rsidRPr="00B004EE">
        <w:rPr>
          <w:rFonts w:ascii="Tahoma" w:hAnsi="Tahoma" w:cs="Tahoma"/>
          <w:sz w:val="20"/>
          <w:szCs w:val="20"/>
        </w:rPr>
        <w:t>:</w:t>
      </w:r>
    </w:p>
    <w:p w14:paraId="2140EB93" w14:textId="0FCC2757" w:rsidR="002F24E1" w:rsidRPr="00B004EE" w:rsidRDefault="002F24E1" w:rsidP="00B004EE">
      <w:pPr>
        <w:numPr>
          <w:ilvl w:val="0"/>
          <w:numId w:val="1"/>
        </w:numPr>
        <w:tabs>
          <w:tab w:val="clear" w:pos="720"/>
          <w:tab w:val="num" w:pos="284"/>
        </w:tabs>
        <w:autoSpaceDE w:val="0"/>
        <w:autoSpaceDN w:val="0"/>
        <w:adjustRightInd w:val="0"/>
        <w:ind w:left="284" w:hanging="284"/>
        <w:jc w:val="both"/>
        <w:rPr>
          <w:rFonts w:ascii="Tahoma" w:hAnsi="Tahoma" w:cs="Tahoma"/>
          <w:sz w:val="20"/>
          <w:szCs w:val="20"/>
        </w:rPr>
      </w:pP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Délégué</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Surveillance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Contrôle</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Mer</w:t>
      </w:r>
      <w:r w:rsidR="00DB1635" w:rsidRPr="00B004EE">
        <w:rPr>
          <w:rFonts w:ascii="Tahoma" w:hAnsi="Tahoma" w:cs="Tahoma"/>
          <w:sz w:val="20"/>
          <w:szCs w:val="20"/>
        </w:rPr>
        <w:t xml:space="preserve"> </w:t>
      </w:r>
      <w:r w:rsidRPr="00B004EE">
        <w:rPr>
          <w:rFonts w:ascii="Tahoma" w:hAnsi="Tahoma" w:cs="Tahoma"/>
          <w:sz w:val="20"/>
          <w:szCs w:val="20"/>
        </w:rPr>
        <w:t>(DSPCM)</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son</w:t>
      </w:r>
      <w:r w:rsidR="00DB1635" w:rsidRPr="00B004EE">
        <w:rPr>
          <w:rFonts w:ascii="Tahoma" w:hAnsi="Tahoma" w:cs="Tahoma"/>
          <w:sz w:val="20"/>
          <w:szCs w:val="20"/>
        </w:rPr>
        <w:t xml:space="preserve"> </w:t>
      </w:r>
      <w:proofErr w:type="gramStart"/>
      <w:r w:rsidRPr="00B004EE">
        <w:rPr>
          <w:rFonts w:ascii="Tahoma" w:hAnsi="Tahoma" w:cs="Tahoma"/>
          <w:sz w:val="20"/>
          <w:szCs w:val="20"/>
        </w:rPr>
        <w:t>représentant;</w:t>
      </w:r>
      <w:proofErr w:type="gramEnd"/>
    </w:p>
    <w:p w14:paraId="529A3B25" w14:textId="1E8A08B1" w:rsidR="002F24E1" w:rsidRPr="00B004EE" w:rsidRDefault="002F24E1" w:rsidP="00B004EE">
      <w:pPr>
        <w:numPr>
          <w:ilvl w:val="0"/>
          <w:numId w:val="1"/>
        </w:numPr>
        <w:tabs>
          <w:tab w:val="clear" w:pos="720"/>
          <w:tab w:val="num" w:pos="284"/>
        </w:tabs>
        <w:autoSpaceDE w:val="0"/>
        <w:autoSpaceDN w:val="0"/>
        <w:adjustRightInd w:val="0"/>
        <w:ind w:left="284" w:hanging="284"/>
        <w:jc w:val="both"/>
        <w:rPr>
          <w:rFonts w:ascii="Tahoma" w:hAnsi="Tahoma" w:cs="Tahoma"/>
          <w:sz w:val="20"/>
          <w:szCs w:val="20"/>
        </w:rPr>
      </w:pP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Directeur</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DIPIS</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son</w:t>
      </w:r>
      <w:r w:rsidR="00DB1635" w:rsidRPr="00B004EE">
        <w:rPr>
          <w:rFonts w:ascii="Tahoma" w:hAnsi="Tahoma" w:cs="Tahoma"/>
          <w:sz w:val="20"/>
          <w:szCs w:val="20"/>
        </w:rPr>
        <w:t xml:space="preserve"> </w:t>
      </w:r>
      <w:r w:rsidRPr="00B004EE">
        <w:rPr>
          <w:rFonts w:ascii="Tahoma" w:hAnsi="Tahoma" w:cs="Tahoma"/>
          <w:sz w:val="20"/>
          <w:szCs w:val="20"/>
        </w:rPr>
        <w:t>représentant</w:t>
      </w:r>
    </w:p>
    <w:p w14:paraId="6BECA2FC" w14:textId="4A641931" w:rsidR="002F24E1" w:rsidRPr="00B004EE" w:rsidRDefault="002F24E1" w:rsidP="00B004EE">
      <w:pPr>
        <w:numPr>
          <w:ilvl w:val="0"/>
          <w:numId w:val="1"/>
        </w:numPr>
        <w:tabs>
          <w:tab w:val="clear" w:pos="720"/>
          <w:tab w:val="num" w:pos="284"/>
        </w:tabs>
        <w:autoSpaceDE w:val="0"/>
        <w:autoSpaceDN w:val="0"/>
        <w:adjustRightInd w:val="0"/>
        <w:ind w:left="284" w:hanging="284"/>
        <w:jc w:val="both"/>
        <w:rPr>
          <w:rFonts w:ascii="Tahoma" w:hAnsi="Tahoma" w:cs="Tahoma"/>
          <w:sz w:val="20"/>
          <w:szCs w:val="20"/>
        </w:rPr>
      </w:pP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Directeur</w:t>
      </w:r>
      <w:r w:rsidR="00DB1635" w:rsidRPr="00B004EE">
        <w:rPr>
          <w:rFonts w:ascii="Tahoma" w:hAnsi="Tahoma" w:cs="Tahoma"/>
          <w:sz w:val="20"/>
          <w:szCs w:val="20"/>
        </w:rPr>
        <w:t xml:space="preserve"> </w:t>
      </w:r>
      <w:r w:rsidRPr="00B004EE">
        <w:rPr>
          <w:rFonts w:ascii="Tahoma" w:hAnsi="Tahoma" w:cs="Tahoma"/>
          <w:sz w:val="20"/>
          <w:szCs w:val="20"/>
        </w:rPr>
        <w:t>Régional</w:t>
      </w:r>
      <w:r w:rsidR="00DB1635" w:rsidRPr="00B004EE">
        <w:rPr>
          <w:rFonts w:ascii="Tahoma" w:hAnsi="Tahoma" w:cs="Tahoma"/>
          <w:sz w:val="20"/>
          <w:szCs w:val="20"/>
        </w:rPr>
        <w:t xml:space="preserve"> </w:t>
      </w:r>
      <w:r w:rsidRPr="00B004EE">
        <w:rPr>
          <w:rFonts w:ascii="Tahoma" w:hAnsi="Tahoma" w:cs="Tahoma"/>
          <w:sz w:val="20"/>
          <w:szCs w:val="20"/>
        </w:rPr>
        <w:t>Maritime</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son</w:t>
      </w:r>
      <w:r w:rsidR="00DB1635" w:rsidRPr="00B004EE">
        <w:rPr>
          <w:rFonts w:ascii="Tahoma" w:hAnsi="Tahoma" w:cs="Tahoma"/>
          <w:sz w:val="20"/>
          <w:szCs w:val="20"/>
        </w:rPr>
        <w:t xml:space="preserve"> </w:t>
      </w:r>
      <w:proofErr w:type="gramStart"/>
      <w:r w:rsidRPr="00B004EE">
        <w:rPr>
          <w:rFonts w:ascii="Tahoma" w:hAnsi="Tahoma" w:cs="Tahoma"/>
          <w:sz w:val="20"/>
          <w:szCs w:val="20"/>
        </w:rPr>
        <w:t>représentant;</w:t>
      </w:r>
      <w:proofErr w:type="gramEnd"/>
    </w:p>
    <w:p w14:paraId="70359F06" w14:textId="6131D635" w:rsidR="002F24E1" w:rsidRPr="00B004EE" w:rsidRDefault="002F24E1" w:rsidP="00B004EE">
      <w:pPr>
        <w:numPr>
          <w:ilvl w:val="0"/>
          <w:numId w:val="1"/>
        </w:numPr>
        <w:tabs>
          <w:tab w:val="clear" w:pos="720"/>
          <w:tab w:val="num" w:pos="284"/>
        </w:tabs>
        <w:autoSpaceDE w:val="0"/>
        <w:autoSpaceDN w:val="0"/>
        <w:adjustRightInd w:val="0"/>
        <w:ind w:left="284" w:hanging="284"/>
        <w:jc w:val="both"/>
        <w:rPr>
          <w:rFonts w:ascii="Tahoma" w:hAnsi="Tahoma" w:cs="Tahoma"/>
          <w:sz w:val="20"/>
          <w:szCs w:val="20"/>
        </w:rPr>
      </w:pPr>
      <w:r w:rsidRPr="00B004EE">
        <w:rPr>
          <w:rFonts w:ascii="Tahoma" w:hAnsi="Tahoma" w:cs="Tahoma"/>
          <w:sz w:val="20"/>
          <w:szCs w:val="20"/>
        </w:rPr>
        <w:lastRenderedPageBreak/>
        <w:t>Le</w:t>
      </w:r>
      <w:r w:rsidR="00DB1635" w:rsidRPr="00B004EE">
        <w:rPr>
          <w:rFonts w:ascii="Tahoma" w:hAnsi="Tahoma" w:cs="Tahoma"/>
          <w:sz w:val="20"/>
          <w:szCs w:val="20"/>
        </w:rPr>
        <w:t xml:space="preserve"> </w:t>
      </w:r>
      <w:r w:rsidRPr="00B004EE">
        <w:rPr>
          <w:rFonts w:ascii="Tahoma" w:hAnsi="Tahoma" w:cs="Tahoma"/>
          <w:sz w:val="20"/>
          <w:szCs w:val="20"/>
        </w:rPr>
        <w:t>Directeur</w:t>
      </w:r>
      <w:r w:rsidR="00DB1635" w:rsidRPr="00B004EE">
        <w:rPr>
          <w:rFonts w:ascii="Tahoma" w:hAnsi="Tahoma" w:cs="Tahoma"/>
          <w:sz w:val="20"/>
          <w:szCs w:val="20"/>
        </w:rPr>
        <w:t xml:space="preserve"> </w:t>
      </w:r>
      <w:r w:rsidRPr="00B004EE">
        <w:rPr>
          <w:rFonts w:ascii="Tahoma" w:hAnsi="Tahoma" w:cs="Tahoma"/>
          <w:sz w:val="20"/>
          <w:szCs w:val="20"/>
        </w:rPr>
        <w:t>Régional</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Santé</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son</w:t>
      </w:r>
      <w:r w:rsidR="00DB1635" w:rsidRPr="00B004EE">
        <w:rPr>
          <w:rFonts w:ascii="Tahoma" w:hAnsi="Tahoma" w:cs="Tahoma"/>
          <w:sz w:val="20"/>
          <w:szCs w:val="20"/>
        </w:rPr>
        <w:t xml:space="preserve"> </w:t>
      </w:r>
      <w:proofErr w:type="gramStart"/>
      <w:r w:rsidRPr="00B004EE">
        <w:rPr>
          <w:rFonts w:ascii="Tahoma" w:hAnsi="Tahoma" w:cs="Tahoma"/>
          <w:sz w:val="20"/>
          <w:szCs w:val="20"/>
        </w:rPr>
        <w:t>représentant;</w:t>
      </w:r>
      <w:proofErr w:type="gramEnd"/>
    </w:p>
    <w:p w14:paraId="5422954D" w14:textId="6642EDA0" w:rsidR="002F24E1" w:rsidRPr="00B004EE" w:rsidRDefault="002F24E1" w:rsidP="00B004EE">
      <w:pPr>
        <w:numPr>
          <w:ilvl w:val="0"/>
          <w:numId w:val="1"/>
        </w:numPr>
        <w:tabs>
          <w:tab w:val="clear" w:pos="720"/>
          <w:tab w:val="num" w:pos="284"/>
        </w:tabs>
        <w:autoSpaceDE w:val="0"/>
        <w:autoSpaceDN w:val="0"/>
        <w:adjustRightInd w:val="0"/>
        <w:ind w:left="284" w:hanging="284"/>
        <w:jc w:val="both"/>
        <w:rPr>
          <w:rFonts w:ascii="Tahoma" w:hAnsi="Tahoma" w:cs="Tahoma"/>
          <w:sz w:val="20"/>
          <w:szCs w:val="20"/>
        </w:rPr>
      </w:pP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Directeur</w:t>
      </w:r>
      <w:r w:rsidR="00DB1635" w:rsidRPr="00B004EE">
        <w:rPr>
          <w:rFonts w:ascii="Tahoma" w:hAnsi="Tahoma" w:cs="Tahoma"/>
          <w:sz w:val="20"/>
          <w:szCs w:val="20"/>
        </w:rPr>
        <w:t xml:space="preserve"> </w:t>
      </w:r>
      <w:r w:rsidRPr="00B004EE">
        <w:rPr>
          <w:rFonts w:ascii="Tahoma" w:hAnsi="Tahoma" w:cs="Tahoma"/>
          <w:sz w:val="20"/>
          <w:szCs w:val="20"/>
        </w:rPr>
        <w:t>Régional</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Commerce</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son</w:t>
      </w:r>
      <w:r w:rsidR="00DB1635" w:rsidRPr="00B004EE">
        <w:rPr>
          <w:rFonts w:ascii="Tahoma" w:hAnsi="Tahoma" w:cs="Tahoma"/>
          <w:sz w:val="20"/>
          <w:szCs w:val="20"/>
        </w:rPr>
        <w:t xml:space="preserve"> </w:t>
      </w:r>
      <w:proofErr w:type="gramStart"/>
      <w:r w:rsidRPr="00B004EE">
        <w:rPr>
          <w:rFonts w:ascii="Tahoma" w:hAnsi="Tahoma" w:cs="Tahoma"/>
          <w:sz w:val="20"/>
          <w:szCs w:val="20"/>
        </w:rPr>
        <w:t>représentant;</w:t>
      </w:r>
      <w:proofErr w:type="gramEnd"/>
      <w:r w:rsidR="00DB1635" w:rsidRPr="00B004EE">
        <w:rPr>
          <w:rFonts w:ascii="Tahoma" w:hAnsi="Tahoma" w:cs="Tahoma"/>
          <w:sz w:val="20"/>
          <w:szCs w:val="20"/>
        </w:rPr>
        <w:t xml:space="preserve"> </w:t>
      </w:r>
    </w:p>
    <w:p w14:paraId="4DC68902" w14:textId="56662508" w:rsidR="002F24E1" w:rsidRPr="00B004EE" w:rsidRDefault="002F24E1" w:rsidP="00B004EE">
      <w:pPr>
        <w:numPr>
          <w:ilvl w:val="0"/>
          <w:numId w:val="1"/>
        </w:numPr>
        <w:tabs>
          <w:tab w:val="clear" w:pos="720"/>
          <w:tab w:val="num" w:pos="284"/>
        </w:tabs>
        <w:autoSpaceDE w:val="0"/>
        <w:autoSpaceDN w:val="0"/>
        <w:adjustRightInd w:val="0"/>
        <w:ind w:left="284" w:hanging="284"/>
        <w:jc w:val="both"/>
        <w:rPr>
          <w:rFonts w:ascii="Tahoma" w:hAnsi="Tahoma" w:cs="Tahoma"/>
          <w:sz w:val="20"/>
          <w:szCs w:val="20"/>
        </w:rPr>
      </w:pP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Directeur</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l’ONISPA</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son</w:t>
      </w:r>
      <w:r w:rsidR="00DB1635" w:rsidRPr="00B004EE">
        <w:rPr>
          <w:rFonts w:ascii="Tahoma" w:hAnsi="Tahoma" w:cs="Tahoma"/>
          <w:sz w:val="20"/>
          <w:szCs w:val="20"/>
        </w:rPr>
        <w:t xml:space="preserve"> </w:t>
      </w:r>
      <w:proofErr w:type="gramStart"/>
      <w:r w:rsidRPr="00B004EE">
        <w:rPr>
          <w:rFonts w:ascii="Tahoma" w:hAnsi="Tahoma" w:cs="Tahoma"/>
          <w:sz w:val="20"/>
          <w:szCs w:val="20"/>
        </w:rPr>
        <w:t>représentant;</w:t>
      </w:r>
      <w:proofErr w:type="gramEnd"/>
    </w:p>
    <w:p w14:paraId="5482E9FE" w14:textId="16E54F81" w:rsidR="002F24E1" w:rsidRPr="00B004EE" w:rsidRDefault="002F24E1" w:rsidP="00B004EE">
      <w:pPr>
        <w:numPr>
          <w:ilvl w:val="0"/>
          <w:numId w:val="1"/>
        </w:numPr>
        <w:tabs>
          <w:tab w:val="clear" w:pos="720"/>
          <w:tab w:val="num" w:pos="284"/>
        </w:tabs>
        <w:autoSpaceDE w:val="0"/>
        <w:autoSpaceDN w:val="0"/>
        <w:adjustRightInd w:val="0"/>
        <w:ind w:left="284" w:hanging="284"/>
        <w:jc w:val="both"/>
        <w:rPr>
          <w:rFonts w:ascii="Tahoma" w:hAnsi="Tahoma" w:cs="Tahoma"/>
          <w:sz w:val="20"/>
          <w:szCs w:val="20"/>
        </w:rPr>
      </w:pP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Directeur</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l’IMROP</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son</w:t>
      </w:r>
      <w:r w:rsidR="00DB1635" w:rsidRPr="00B004EE">
        <w:rPr>
          <w:rFonts w:ascii="Tahoma" w:hAnsi="Tahoma" w:cs="Tahoma"/>
          <w:sz w:val="20"/>
          <w:szCs w:val="20"/>
        </w:rPr>
        <w:t xml:space="preserve"> </w:t>
      </w:r>
      <w:r w:rsidRPr="00B004EE">
        <w:rPr>
          <w:rFonts w:ascii="Tahoma" w:hAnsi="Tahoma" w:cs="Tahoma"/>
          <w:sz w:val="20"/>
          <w:szCs w:val="20"/>
        </w:rPr>
        <w:t>représentant</w:t>
      </w:r>
      <w:r w:rsidR="00DB1635" w:rsidRPr="00B004EE">
        <w:rPr>
          <w:rFonts w:ascii="Tahoma" w:hAnsi="Tahoma" w:cs="Tahoma"/>
          <w:sz w:val="20"/>
          <w:szCs w:val="20"/>
        </w:rPr>
        <w:t xml:space="preserve"> </w:t>
      </w:r>
      <w:r w:rsidRPr="00B004EE">
        <w:rPr>
          <w:rFonts w:ascii="Tahoma" w:hAnsi="Tahoma" w:cs="Tahoma"/>
          <w:sz w:val="20"/>
          <w:szCs w:val="20"/>
        </w:rPr>
        <w:t>;</w:t>
      </w:r>
    </w:p>
    <w:p w14:paraId="3D578E10" w14:textId="58E23C46" w:rsidR="002F24E1" w:rsidRPr="00B004EE" w:rsidRDefault="002F24E1" w:rsidP="00B004EE">
      <w:pPr>
        <w:numPr>
          <w:ilvl w:val="0"/>
          <w:numId w:val="1"/>
        </w:numPr>
        <w:tabs>
          <w:tab w:val="clear" w:pos="720"/>
          <w:tab w:val="num" w:pos="284"/>
        </w:tabs>
        <w:autoSpaceDE w:val="0"/>
        <w:autoSpaceDN w:val="0"/>
        <w:adjustRightInd w:val="0"/>
        <w:ind w:left="284" w:hanging="284"/>
        <w:jc w:val="both"/>
        <w:rPr>
          <w:rFonts w:ascii="Tahoma" w:hAnsi="Tahoma" w:cs="Tahoma"/>
          <w:sz w:val="20"/>
          <w:szCs w:val="20"/>
        </w:rPr>
      </w:pP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Délégué</w:t>
      </w:r>
      <w:r w:rsidR="00DB1635" w:rsidRPr="00B004EE">
        <w:rPr>
          <w:rFonts w:ascii="Tahoma" w:hAnsi="Tahoma" w:cs="Tahoma"/>
          <w:sz w:val="20"/>
          <w:szCs w:val="20"/>
        </w:rPr>
        <w:t xml:space="preserve"> </w:t>
      </w:r>
      <w:r w:rsidRPr="00B004EE">
        <w:rPr>
          <w:rFonts w:ascii="Tahoma" w:hAnsi="Tahoma" w:cs="Tahoma"/>
          <w:sz w:val="20"/>
          <w:szCs w:val="20"/>
        </w:rPr>
        <w:t>Régional</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Ministère</w:t>
      </w:r>
      <w:r w:rsidR="00DB1635" w:rsidRPr="00B004EE">
        <w:rPr>
          <w:rFonts w:ascii="Tahoma" w:hAnsi="Tahoma" w:cs="Tahoma"/>
          <w:sz w:val="20"/>
          <w:szCs w:val="20"/>
        </w:rPr>
        <w:t xml:space="preserve"> </w:t>
      </w:r>
      <w:r w:rsidRPr="00B004EE">
        <w:rPr>
          <w:rFonts w:ascii="Tahoma" w:hAnsi="Tahoma" w:cs="Tahoma"/>
          <w:sz w:val="20"/>
          <w:szCs w:val="20"/>
        </w:rPr>
        <w:t>Délégué</w:t>
      </w:r>
      <w:r w:rsidR="00DB1635" w:rsidRPr="00B004EE">
        <w:rPr>
          <w:rFonts w:ascii="Tahoma" w:hAnsi="Tahoma" w:cs="Tahoma"/>
          <w:sz w:val="20"/>
          <w:szCs w:val="20"/>
        </w:rPr>
        <w:t xml:space="preserve"> </w:t>
      </w:r>
      <w:r w:rsidRPr="00B004EE">
        <w:rPr>
          <w:rFonts w:ascii="Tahoma" w:hAnsi="Tahoma" w:cs="Tahoma"/>
          <w:sz w:val="20"/>
          <w:szCs w:val="20"/>
        </w:rPr>
        <w:t>auprès</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Premier</w:t>
      </w:r>
      <w:r w:rsidR="00DB1635" w:rsidRPr="00B004EE">
        <w:rPr>
          <w:rFonts w:ascii="Tahoma" w:hAnsi="Tahoma" w:cs="Tahoma"/>
          <w:sz w:val="20"/>
          <w:szCs w:val="20"/>
        </w:rPr>
        <w:t xml:space="preserve"> </w:t>
      </w:r>
      <w:r w:rsidRPr="00B004EE">
        <w:rPr>
          <w:rFonts w:ascii="Tahoma" w:hAnsi="Tahoma" w:cs="Tahoma"/>
          <w:sz w:val="20"/>
          <w:szCs w:val="20"/>
        </w:rPr>
        <w:t>Ministre</w:t>
      </w:r>
      <w:r w:rsidR="00DB1635" w:rsidRPr="00B004EE">
        <w:rPr>
          <w:rFonts w:ascii="Tahoma" w:hAnsi="Tahoma" w:cs="Tahoma"/>
          <w:sz w:val="20"/>
          <w:szCs w:val="20"/>
        </w:rPr>
        <w:t xml:space="preserve"> </w:t>
      </w:r>
      <w:r w:rsidRPr="00B004EE">
        <w:rPr>
          <w:rFonts w:ascii="Tahoma" w:hAnsi="Tahoma" w:cs="Tahoma"/>
          <w:sz w:val="20"/>
          <w:szCs w:val="20"/>
        </w:rPr>
        <w:t>chargé</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l’Environnement</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développement</w:t>
      </w:r>
      <w:r w:rsidR="00DB1635" w:rsidRPr="00B004EE">
        <w:rPr>
          <w:rFonts w:ascii="Tahoma" w:hAnsi="Tahoma" w:cs="Tahoma"/>
          <w:sz w:val="20"/>
          <w:szCs w:val="20"/>
        </w:rPr>
        <w:t xml:space="preserve"> </w:t>
      </w:r>
      <w:r w:rsidRPr="00B004EE">
        <w:rPr>
          <w:rFonts w:ascii="Tahoma" w:hAnsi="Tahoma" w:cs="Tahoma"/>
          <w:sz w:val="20"/>
          <w:szCs w:val="20"/>
        </w:rPr>
        <w:t>durable</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son</w:t>
      </w:r>
      <w:r w:rsidR="00DB1635" w:rsidRPr="00B004EE">
        <w:rPr>
          <w:rFonts w:ascii="Tahoma" w:hAnsi="Tahoma" w:cs="Tahoma"/>
          <w:sz w:val="20"/>
          <w:szCs w:val="20"/>
        </w:rPr>
        <w:t xml:space="preserve"> </w:t>
      </w:r>
      <w:r w:rsidRPr="00B004EE">
        <w:rPr>
          <w:rFonts w:ascii="Tahoma" w:hAnsi="Tahoma" w:cs="Tahoma"/>
          <w:sz w:val="20"/>
          <w:szCs w:val="20"/>
        </w:rPr>
        <w:t>représentant.</w:t>
      </w:r>
    </w:p>
    <w:p w14:paraId="7405892C" w14:textId="2173FDA8" w:rsidR="002F24E1" w:rsidRPr="00B004EE" w:rsidRDefault="002F24E1" w:rsidP="00B004EE">
      <w:pPr>
        <w:autoSpaceDE w:val="0"/>
        <w:autoSpaceDN w:val="0"/>
        <w:adjustRightInd w:val="0"/>
        <w:jc w:val="both"/>
        <w:rPr>
          <w:rFonts w:ascii="Tahoma" w:hAnsi="Tahoma" w:cs="Tahoma"/>
          <w:bCs/>
          <w:sz w:val="20"/>
          <w:szCs w:val="20"/>
        </w:rPr>
      </w:pPr>
      <w:r w:rsidRPr="00B004EE">
        <w:rPr>
          <w:rFonts w:ascii="Tahoma" w:hAnsi="Tahoma" w:cs="Tahoma"/>
          <w:bCs/>
          <w:sz w:val="20"/>
          <w:szCs w:val="20"/>
        </w:rPr>
        <w:t>Cette</w:t>
      </w:r>
      <w:r w:rsidR="00DB1635" w:rsidRPr="00B004EE">
        <w:rPr>
          <w:rFonts w:ascii="Tahoma" w:hAnsi="Tahoma" w:cs="Tahoma"/>
          <w:bCs/>
          <w:sz w:val="20"/>
          <w:szCs w:val="20"/>
        </w:rPr>
        <w:t xml:space="preserve"> </w:t>
      </w:r>
      <w:r w:rsidRPr="00B004EE">
        <w:rPr>
          <w:rFonts w:ascii="Tahoma" w:hAnsi="Tahoma" w:cs="Tahoma"/>
          <w:bCs/>
          <w:sz w:val="20"/>
          <w:szCs w:val="20"/>
        </w:rPr>
        <w:t>Commission</w:t>
      </w:r>
      <w:r w:rsidR="00DB1635" w:rsidRPr="00B004EE">
        <w:rPr>
          <w:rFonts w:ascii="Tahoma" w:hAnsi="Tahoma" w:cs="Tahoma"/>
          <w:bCs/>
          <w:sz w:val="20"/>
          <w:szCs w:val="20"/>
        </w:rPr>
        <w:t xml:space="preserve"> </w:t>
      </w:r>
      <w:r w:rsidRPr="00B004EE">
        <w:rPr>
          <w:rFonts w:ascii="Tahoma" w:hAnsi="Tahoma" w:cs="Tahoma"/>
          <w:bCs/>
          <w:sz w:val="20"/>
          <w:szCs w:val="20"/>
        </w:rPr>
        <w:t>est</w:t>
      </w:r>
      <w:r w:rsidR="00DB1635" w:rsidRPr="00B004EE">
        <w:rPr>
          <w:rFonts w:ascii="Tahoma" w:hAnsi="Tahoma" w:cs="Tahoma"/>
          <w:bCs/>
          <w:sz w:val="20"/>
          <w:szCs w:val="20"/>
        </w:rPr>
        <w:t xml:space="preserve"> </w:t>
      </w:r>
      <w:r w:rsidRPr="00B004EE">
        <w:rPr>
          <w:rFonts w:ascii="Tahoma" w:hAnsi="Tahoma" w:cs="Tahoma"/>
          <w:bCs/>
          <w:sz w:val="20"/>
          <w:szCs w:val="20"/>
        </w:rPr>
        <w:t>chargée</w:t>
      </w:r>
      <w:r w:rsidR="00DB1635" w:rsidRPr="00B004EE">
        <w:rPr>
          <w:rFonts w:ascii="Tahoma" w:hAnsi="Tahoma" w:cs="Tahoma"/>
          <w:bCs/>
          <w:sz w:val="20"/>
          <w:szCs w:val="20"/>
        </w:rPr>
        <w:t xml:space="preserve"> </w:t>
      </w:r>
      <w:r w:rsidRPr="00B004EE">
        <w:rPr>
          <w:rFonts w:ascii="Tahoma" w:hAnsi="Tahoma" w:cs="Tahoma"/>
          <w:bCs/>
          <w:sz w:val="20"/>
          <w:szCs w:val="20"/>
        </w:rPr>
        <w:t>d’évaluer</w:t>
      </w:r>
      <w:r w:rsidR="00DB1635" w:rsidRPr="00B004EE">
        <w:rPr>
          <w:rFonts w:ascii="Tahoma" w:hAnsi="Tahoma" w:cs="Tahoma"/>
          <w:bCs/>
          <w:sz w:val="20"/>
          <w:szCs w:val="20"/>
        </w:rPr>
        <w:t xml:space="preserve"> </w:t>
      </w:r>
      <w:r w:rsidRPr="00B004EE">
        <w:rPr>
          <w:rFonts w:ascii="Tahoma" w:hAnsi="Tahoma" w:cs="Tahoma"/>
          <w:bCs/>
          <w:sz w:val="20"/>
          <w:szCs w:val="20"/>
        </w:rPr>
        <w:t>la</w:t>
      </w:r>
      <w:r w:rsidR="00DB1635" w:rsidRPr="00B004EE">
        <w:rPr>
          <w:rFonts w:ascii="Tahoma" w:hAnsi="Tahoma" w:cs="Tahoma"/>
          <w:bCs/>
          <w:sz w:val="20"/>
          <w:szCs w:val="20"/>
        </w:rPr>
        <w:t xml:space="preserve"> </w:t>
      </w:r>
      <w:r w:rsidRPr="00B004EE">
        <w:rPr>
          <w:rFonts w:ascii="Tahoma" w:hAnsi="Tahoma" w:cs="Tahoma"/>
          <w:bCs/>
          <w:sz w:val="20"/>
          <w:szCs w:val="20"/>
        </w:rPr>
        <w:t>situation</w:t>
      </w:r>
      <w:r w:rsidR="00DB1635" w:rsidRPr="00B004EE">
        <w:rPr>
          <w:rFonts w:ascii="Tahoma" w:hAnsi="Tahoma" w:cs="Tahoma"/>
          <w:bCs/>
          <w:sz w:val="20"/>
          <w:szCs w:val="20"/>
        </w:rPr>
        <w:t xml:space="preserve"> </w:t>
      </w:r>
      <w:r w:rsidRPr="00B004EE">
        <w:rPr>
          <w:rFonts w:ascii="Tahoma" w:hAnsi="Tahoma" w:cs="Tahoma"/>
          <w:bCs/>
          <w:sz w:val="20"/>
          <w:szCs w:val="20"/>
        </w:rPr>
        <w:t>et</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prendre</w:t>
      </w:r>
      <w:r w:rsidR="00DB1635" w:rsidRPr="00B004EE">
        <w:rPr>
          <w:rFonts w:ascii="Tahoma" w:hAnsi="Tahoma" w:cs="Tahoma"/>
          <w:bCs/>
          <w:sz w:val="20"/>
          <w:szCs w:val="20"/>
        </w:rPr>
        <w:t xml:space="preserve"> </w:t>
      </w:r>
      <w:r w:rsidRPr="00B004EE">
        <w:rPr>
          <w:rFonts w:ascii="Tahoma" w:hAnsi="Tahoma" w:cs="Tahoma"/>
          <w:bCs/>
          <w:sz w:val="20"/>
          <w:szCs w:val="20"/>
        </w:rPr>
        <w:t>les</w:t>
      </w:r>
      <w:r w:rsidR="00DB1635" w:rsidRPr="00B004EE">
        <w:rPr>
          <w:rFonts w:ascii="Tahoma" w:hAnsi="Tahoma" w:cs="Tahoma"/>
          <w:bCs/>
          <w:sz w:val="20"/>
          <w:szCs w:val="20"/>
        </w:rPr>
        <w:t xml:space="preserve"> </w:t>
      </w:r>
      <w:r w:rsidRPr="00B004EE">
        <w:rPr>
          <w:rFonts w:ascii="Tahoma" w:hAnsi="Tahoma" w:cs="Tahoma"/>
          <w:bCs/>
          <w:sz w:val="20"/>
          <w:szCs w:val="20"/>
        </w:rPr>
        <w:t>mesures</w:t>
      </w:r>
      <w:r w:rsidR="00DB1635" w:rsidRPr="00B004EE">
        <w:rPr>
          <w:rFonts w:ascii="Tahoma" w:hAnsi="Tahoma" w:cs="Tahoma"/>
          <w:bCs/>
          <w:sz w:val="20"/>
          <w:szCs w:val="20"/>
        </w:rPr>
        <w:t xml:space="preserve"> </w:t>
      </w:r>
      <w:r w:rsidRPr="00B004EE">
        <w:rPr>
          <w:rFonts w:ascii="Tahoma" w:hAnsi="Tahoma" w:cs="Tahoma"/>
          <w:bCs/>
          <w:sz w:val="20"/>
          <w:szCs w:val="20"/>
        </w:rPr>
        <w:t>conservatoires</w:t>
      </w:r>
      <w:r w:rsidR="00DB1635" w:rsidRPr="00B004EE">
        <w:rPr>
          <w:rFonts w:ascii="Tahoma" w:hAnsi="Tahoma" w:cs="Tahoma"/>
          <w:bCs/>
          <w:sz w:val="20"/>
          <w:szCs w:val="20"/>
        </w:rPr>
        <w:t xml:space="preserve"> </w:t>
      </w:r>
      <w:r w:rsidRPr="00B004EE">
        <w:rPr>
          <w:rFonts w:ascii="Tahoma" w:hAnsi="Tahoma" w:cs="Tahoma"/>
          <w:bCs/>
          <w:sz w:val="20"/>
          <w:szCs w:val="20"/>
        </w:rPr>
        <w:t>d’urgence</w:t>
      </w:r>
      <w:r w:rsidR="00DB1635" w:rsidRPr="00B004EE">
        <w:rPr>
          <w:rFonts w:ascii="Tahoma" w:hAnsi="Tahoma" w:cs="Tahoma"/>
          <w:bCs/>
          <w:sz w:val="20"/>
          <w:szCs w:val="20"/>
        </w:rPr>
        <w:t xml:space="preserve"> </w:t>
      </w:r>
      <w:r w:rsidRPr="00B004EE">
        <w:rPr>
          <w:rFonts w:ascii="Tahoma" w:hAnsi="Tahoma" w:cs="Tahoma"/>
          <w:bCs/>
          <w:sz w:val="20"/>
          <w:szCs w:val="20"/>
        </w:rPr>
        <w:t>et</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proposer</w:t>
      </w:r>
      <w:r w:rsidR="00DB1635" w:rsidRPr="00B004EE">
        <w:rPr>
          <w:rFonts w:ascii="Tahoma" w:hAnsi="Tahoma" w:cs="Tahoma"/>
          <w:bCs/>
          <w:sz w:val="20"/>
          <w:szCs w:val="20"/>
        </w:rPr>
        <w:t xml:space="preserve"> </w:t>
      </w:r>
      <w:r w:rsidRPr="00B004EE">
        <w:rPr>
          <w:rFonts w:ascii="Tahoma" w:hAnsi="Tahoma" w:cs="Tahoma"/>
          <w:bCs/>
          <w:sz w:val="20"/>
          <w:szCs w:val="20"/>
        </w:rPr>
        <w:t>au</w:t>
      </w:r>
      <w:r w:rsidR="00DB1635" w:rsidRPr="00B004EE">
        <w:rPr>
          <w:rFonts w:ascii="Tahoma" w:hAnsi="Tahoma" w:cs="Tahoma"/>
          <w:bCs/>
          <w:sz w:val="20"/>
          <w:szCs w:val="20"/>
        </w:rPr>
        <w:t xml:space="preserve"> </w:t>
      </w:r>
      <w:r w:rsidRPr="00B004EE">
        <w:rPr>
          <w:rFonts w:ascii="Tahoma" w:hAnsi="Tahoma" w:cs="Tahoma"/>
          <w:bCs/>
          <w:sz w:val="20"/>
          <w:szCs w:val="20"/>
        </w:rPr>
        <w:t>Département</w:t>
      </w:r>
      <w:r w:rsidR="00DB1635" w:rsidRPr="00B004EE">
        <w:rPr>
          <w:rFonts w:ascii="Tahoma" w:hAnsi="Tahoma" w:cs="Tahoma"/>
          <w:bCs/>
          <w:sz w:val="20"/>
          <w:szCs w:val="20"/>
        </w:rPr>
        <w:t xml:space="preserve"> </w:t>
      </w:r>
      <w:r w:rsidRPr="00B004EE">
        <w:rPr>
          <w:rFonts w:ascii="Tahoma" w:hAnsi="Tahoma" w:cs="Tahoma"/>
          <w:bCs/>
          <w:sz w:val="20"/>
          <w:szCs w:val="20"/>
        </w:rPr>
        <w:t>des</w:t>
      </w:r>
      <w:r w:rsidR="00DB1635" w:rsidRPr="00B004EE">
        <w:rPr>
          <w:rFonts w:ascii="Tahoma" w:hAnsi="Tahoma" w:cs="Tahoma"/>
          <w:bCs/>
          <w:sz w:val="20"/>
          <w:szCs w:val="20"/>
        </w:rPr>
        <w:t xml:space="preserve"> </w:t>
      </w:r>
      <w:r w:rsidRPr="00B004EE">
        <w:rPr>
          <w:rFonts w:ascii="Tahoma" w:hAnsi="Tahoma" w:cs="Tahoma"/>
          <w:bCs/>
          <w:sz w:val="20"/>
          <w:szCs w:val="20"/>
        </w:rPr>
        <w:t>Pêches</w:t>
      </w:r>
      <w:r w:rsidR="00DB1635" w:rsidRPr="00B004EE">
        <w:rPr>
          <w:rFonts w:ascii="Tahoma" w:hAnsi="Tahoma" w:cs="Tahoma"/>
          <w:bCs/>
          <w:sz w:val="20"/>
          <w:szCs w:val="20"/>
        </w:rPr>
        <w:t xml:space="preserve"> </w:t>
      </w:r>
      <w:r w:rsidRPr="00B004EE">
        <w:rPr>
          <w:rFonts w:ascii="Tahoma" w:hAnsi="Tahoma" w:cs="Tahoma"/>
          <w:bCs/>
          <w:sz w:val="20"/>
          <w:szCs w:val="20"/>
        </w:rPr>
        <w:t>les</w:t>
      </w:r>
      <w:r w:rsidR="00DB1635" w:rsidRPr="00B004EE">
        <w:rPr>
          <w:rFonts w:ascii="Tahoma" w:hAnsi="Tahoma" w:cs="Tahoma"/>
          <w:bCs/>
          <w:sz w:val="20"/>
          <w:szCs w:val="20"/>
        </w:rPr>
        <w:t xml:space="preserve"> </w:t>
      </w:r>
      <w:r w:rsidRPr="00B004EE">
        <w:rPr>
          <w:rFonts w:ascii="Tahoma" w:hAnsi="Tahoma" w:cs="Tahoma"/>
          <w:bCs/>
          <w:sz w:val="20"/>
          <w:szCs w:val="20"/>
        </w:rPr>
        <w:t>dispositions</w:t>
      </w:r>
      <w:r w:rsidR="00DB1635" w:rsidRPr="00B004EE">
        <w:rPr>
          <w:rFonts w:ascii="Tahoma" w:hAnsi="Tahoma" w:cs="Tahoma"/>
          <w:bCs/>
          <w:sz w:val="20"/>
          <w:szCs w:val="20"/>
        </w:rPr>
        <w:t xml:space="preserve"> </w:t>
      </w:r>
      <w:r w:rsidRPr="00B004EE">
        <w:rPr>
          <w:rFonts w:ascii="Tahoma" w:hAnsi="Tahoma" w:cs="Tahoma"/>
          <w:bCs/>
          <w:sz w:val="20"/>
          <w:szCs w:val="20"/>
        </w:rPr>
        <w:t>qui</w:t>
      </w:r>
      <w:r w:rsidR="00DB1635" w:rsidRPr="00B004EE">
        <w:rPr>
          <w:rFonts w:ascii="Tahoma" w:hAnsi="Tahoma" w:cs="Tahoma"/>
          <w:bCs/>
          <w:sz w:val="20"/>
          <w:szCs w:val="20"/>
        </w:rPr>
        <w:t xml:space="preserve"> </w:t>
      </w:r>
      <w:r w:rsidRPr="00B004EE">
        <w:rPr>
          <w:rFonts w:ascii="Tahoma" w:hAnsi="Tahoma" w:cs="Tahoma"/>
          <w:bCs/>
          <w:sz w:val="20"/>
          <w:szCs w:val="20"/>
        </w:rPr>
        <w:t>s’imposent.</w:t>
      </w:r>
      <w:r w:rsidR="00DB1635" w:rsidRPr="00B004EE">
        <w:rPr>
          <w:rFonts w:ascii="Tahoma" w:hAnsi="Tahoma" w:cs="Tahoma"/>
          <w:bCs/>
          <w:sz w:val="20"/>
          <w:szCs w:val="20"/>
        </w:rPr>
        <w:t xml:space="preserve"> </w:t>
      </w:r>
    </w:p>
    <w:p w14:paraId="136C4C55" w14:textId="571FC0AC" w:rsidR="002F24E1" w:rsidRPr="00B004EE" w:rsidRDefault="002F24E1" w:rsidP="00B004EE">
      <w:pPr>
        <w:autoSpaceDE w:val="0"/>
        <w:autoSpaceDN w:val="0"/>
        <w:adjustRightInd w:val="0"/>
        <w:jc w:val="both"/>
        <w:rPr>
          <w:rFonts w:ascii="Tahoma" w:hAnsi="Tahoma" w:cs="Tahoma"/>
          <w:bCs/>
          <w:sz w:val="20"/>
          <w:szCs w:val="20"/>
        </w:rPr>
      </w:pPr>
      <w:r w:rsidRPr="00B004EE">
        <w:rPr>
          <w:rFonts w:ascii="Tahoma" w:hAnsi="Tahoma" w:cs="Tahoma"/>
          <w:bCs/>
          <w:sz w:val="20"/>
          <w:szCs w:val="20"/>
        </w:rPr>
        <w:t>Le</w:t>
      </w:r>
      <w:r w:rsidR="00DB1635" w:rsidRPr="00B004EE">
        <w:rPr>
          <w:rFonts w:ascii="Tahoma" w:hAnsi="Tahoma" w:cs="Tahoma"/>
          <w:bCs/>
          <w:sz w:val="20"/>
          <w:szCs w:val="20"/>
        </w:rPr>
        <w:t xml:space="preserve"> </w:t>
      </w:r>
      <w:r w:rsidRPr="00B004EE">
        <w:rPr>
          <w:rFonts w:ascii="Tahoma" w:hAnsi="Tahoma" w:cs="Tahoma"/>
          <w:bCs/>
          <w:sz w:val="20"/>
          <w:szCs w:val="20"/>
        </w:rPr>
        <w:t>secrétariat</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cette</w:t>
      </w:r>
      <w:r w:rsidR="00DB1635" w:rsidRPr="00B004EE">
        <w:rPr>
          <w:rFonts w:ascii="Tahoma" w:hAnsi="Tahoma" w:cs="Tahoma"/>
          <w:bCs/>
          <w:sz w:val="20"/>
          <w:szCs w:val="20"/>
        </w:rPr>
        <w:t xml:space="preserve"> </w:t>
      </w:r>
      <w:r w:rsidRPr="00B004EE">
        <w:rPr>
          <w:rFonts w:ascii="Tahoma" w:hAnsi="Tahoma" w:cs="Tahoma"/>
          <w:bCs/>
          <w:sz w:val="20"/>
          <w:szCs w:val="20"/>
        </w:rPr>
        <w:t>commission</w:t>
      </w:r>
      <w:r w:rsidR="00DB1635" w:rsidRPr="00B004EE">
        <w:rPr>
          <w:rFonts w:ascii="Tahoma" w:hAnsi="Tahoma" w:cs="Tahoma"/>
          <w:bCs/>
          <w:sz w:val="20"/>
          <w:szCs w:val="20"/>
        </w:rPr>
        <w:t xml:space="preserve"> </w:t>
      </w:r>
      <w:r w:rsidRPr="00B004EE">
        <w:rPr>
          <w:rFonts w:ascii="Tahoma" w:hAnsi="Tahoma" w:cs="Tahoma"/>
          <w:bCs/>
          <w:sz w:val="20"/>
          <w:szCs w:val="20"/>
        </w:rPr>
        <w:t>est</w:t>
      </w:r>
      <w:r w:rsidR="00DB1635" w:rsidRPr="00B004EE">
        <w:rPr>
          <w:rFonts w:ascii="Tahoma" w:hAnsi="Tahoma" w:cs="Tahoma"/>
          <w:bCs/>
          <w:sz w:val="20"/>
          <w:szCs w:val="20"/>
        </w:rPr>
        <w:t xml:space="preserve"> </w:t>
      </w:r>
      <w:r w:rsidRPr="00B004EE">
        <w:rPr>
          <w:rFonts w:ascii="Tahoma" w:hAnsi="Tahoma" w:cs="Tahoma"/>
          <w:bCs/>
          <w:sz w:val="20"/>
          <w:szCs w:val="20"/>
        </w:rPr>
        <w:t>assuré</w:t>
      </w:r>
      <w:r w:rsidR="00DB1635" w:rsidRPr="00B004EE">
        <w:rPr>
          <w:rFonts w:ascii="Tahoma" w:hAnsi="Tahoma" w:cs="Tahoma"/>
          <w:bCs/>
          <w:sz w:val="20"/>
          <w:szCs w:val="20"/>
        </w:rPr>
        <w:t xml:space="preserve"> </w:t>
      </w:r>
      <w:r w:rsidRPr="00B004EE">
        <w:rPr>
          <w:rFonts w:ascii="Tahoma" w:hAnsi="Tahoma" w:cs="Tahoma"/>
          <w:bCs/>
          <w:sz w:val="20"/>
          <w:szCs w:val="20"/>
        </w:rPr>
        <w:t>par</w:t>
      </w:r>
      <w:r w:rsidR="00DB1635" w:rsidRPr="00B004EE">
        <w:rPr>
          <w:rFonts w:ascii="Tahoma" w:hAnsi="Tahoma" w:cs="Tahoma"/>
          <w:bCs/>
          <w:sz w:val="20"/>
          <w:szCs w:val="20"/>
        </w:rPr>
        <w:t xml:space="preserve"> </w:t>
      </w:r>
      <w:r w:rsidRPr="00B004EE">
        <w:rPr>
          <w:rFonts w:ascii="Tahoma" w:hAnsi="Tahoma" w:cs="Tahoma"/>
          <w:bCs/>
          <w:sz w:val="20"/>
          <w:szCs w:val="20"/>
        </w:rPr>
        <w:t>la</w:t>
      </w:r>
      <w:r w:rsidR="00DB1635" w:rsidRPr="00B004EE">
        <w:rPr>
          <w:rFonts w:ascii="Tahoma" w:hAnsi="Tahoma" w:cs="Tahoma"/>
          <w:bCs/>
          <w:sz w:val="20"/>
          <w:szCs w:val="20"/>
        </w:rPr>
        <w:t xml:space="preserve"> </w:t>
      </w:r>
      <w:r w:rsidRPr="00B004EE">
        <w:rPr>
          <w:rFonts w:ascii="Tahoma" w:hAnsi="Tahoma" w:cs="Tahoma"/>
          <w:bCs/>
          <w:sz w:val="20"/>
          <w:szCs w:val="20"/>
        </w:rPr>
        <w:t>DRM.</w:t>
      </w:r>
    </w:p>
    <w:p w14:paraId="3CB9095C" w14:textId="77777777" w:rsidR="002F24E1" w:rsidRPr="00B004EE" w:rsidRDefault="002F24E1" w:rsidP="00B004EE">
      <w:pPr>
        <w:autoSpaceDE w:val="0"/>
        <w:autoSpaceDN w:val="0"/>
        <w:adjustRightInd w:val="0"/>
        <w:jc w:val="both"/>
        <w:rPr>
          <w:rFonts w:ascii="Tahoma" w:hAnsi="Tahoma" w:cs="Tahoma"/>
          <w:bCs/>
          <w:sz w:val="20"/>
          <w:szCs w:val="20"/>
        </w:rPr>
      </w:pPr>
    </w:p>
    <w:p w14:paraId="21A8D5E8" w14:textId="64FDDD95" w:rsidR="002F24E1" w:rsidRPr="00B004EE" w:rsidRDefault="002F24E1" w:rsidP="00B004EE">
      <w:pPr>
        <w:autoSpaceDE w:val="0"/>
        <w:autoSpaceDN w:val="0"/>
        <w:adjustRightInd w:val="0"/>
        <w:jc w:val="both"/>
        <w:rPr>
          <w:rFonts w:ascii="Tahoma" w:eastAsia="EUAlbertina-Regular-Identity-H" w:hAnsi="Tahoma" w:cs="Tahoma"/>
          <w:sz w:val="20"/>
          <w:szCs w:val="20"/>
        </w:rPr>
      </w:pPr>
      <w:r w:rsidRPr="00A155DA">
        <w:rPr>
          <w:rFonts w:ascii="Tahoma" w:hAnsi="Tahoma" w:cs="Tahoma"/>
          <w:sz w:val="20"/>
          <w:szCs w:val="20"/>
        </w:rPr>
        <w:t>Article</w:t>
      </w:r>
      <w:r w:rsidR="00DB1635" w:rsidRPr="00A155DA">
        <w:rPr>
          <w:rFonts w:ascii="Tahoma" w:hAnsi="Tahoma" w:cs="Tahoma"/>
          <w:sz w:val="20"/>
          <w:szCs w:val="20"/>
        </w:rPr>
        <w:t xml:space="preserve"> </w:t>
      </w:r>
      <w:r w:rsidRPr="00A155DA">
        <w:rPr>
          <w:rFonts w:ascii="Tahoma" w:hAnsi="Tahoma" w:cs="Tahoma"/>
          <w:sz w:val="20"/>
          <w:szCs w:val="20"/>
        </w:rPr>
        <w:t>4</w:t>
      </w:r>
      <w:r w:rsidR="00DB1635" w:rsidRPr="00A155DA">
        <w:rPr>
          <w:rFonts w:ascii="Tahoma" w:hAnsi="Tahoma" w:cs="Tahoma"/>
          <w:sz w:val="20"/>
          <w:szCs w:val="20"/>
        </w:rPr>
        <w:t xml:space="preserve"> </w:t>
      </w:r>
      <w:r w:rsidRPr="00A155DA">
        <w:rPr>
          <w:rFonts w:ascii="Tahoma" w:hAnsi="Tahoma" w:cs="Tahoma"/>
          <w:sz w:val="20"/>
          <w:szCs w:val="20"/>
        </w:rPr>
        <w:t>:</w:t>
      </w:r>
      <w:r w:rsidR="00DB1635" w:rsidRPr="00B004EE">
        <w:rPr>
          <w:rFonts w:ascii="Tahoma" w:hAnsi="Tahoma" w:cs="Tahoma"/>
          <w:b/>
          <w:bCs/>
          <w:sz w:val="20"/>
          <w:szCs w:val="20"/>
        </w:rPr>
        <w:t xml:space="preserve"> </w:t>
      </w:r>
      <w:r w:rsidRPr="00B004EE">
        <w:rPr>
          <w:rFonts w:ascii="Tahoma" w:eastAsia="EUAlbertina-Regular-Identity-H" w:hAnsi="Tahoma" w:cs="Tahoma"/>
          <w:sz w:val="20"/>
          <w:szCs w:val="20"/>
        </w:rPr>
        <w:t>Les</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zones</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de</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production</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classées</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au</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présent</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arrêté</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seront</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soumises</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à</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des</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contrôles</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réguliers</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et</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à</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des</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contrôles</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supplémentaires</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tels</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que</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prévus</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à</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l’Annexe</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B</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de</w:t>
      </w:r>
      <w:r w:rsidR="00DB1635" w:rsidRPr="00B004EE">
        <w:rPr>
          <w:rFonts w:ascii="Tahoma" w:eastAsia="EUAlbertina-Regular-Identity-H" w:hAnsi="Tahoma" w:cs="Tahoma"/>
          <w:sz w:val="20"/>
          <w:szCs w:val="20"/>
        </w:rPr>
        <w:t xml:space="preserve"> </w:t>
      </w:r>
      <w:r w:rsidRPr="00B004EE">
        <w:rPr>
          <w:rFonts w:ascii="Tahoma" w:hAnsi="Tahoma" w:cs="Tahoma"/>
          <w:sz w:val="20"/>
          <w:szCs w:val="20"/>
        </w:rPr>
        <w:t>l’arrêté</w:t>
      </w:r>
      <w:r w:rsidR="00DB1635" w:rsidRPr="00B004EE">
        <w:rPr>
          <w:rFonts w:ascii="Tahoma" w:hAnsi="Tahoma" w:cs="Tahoma"/>
          <w:sz w:val="20"/>
          <w:szCs w:val="20"/>
        </w:rPr>
        <w:t xml:space="preserve"> </w:t>
      </w:r>
      <w:r w:rsidRPr="00B004EE">
        <w:rPr>
          <w:rFonts w:ascii="Tahoma" w:hAnsi="Tahoma" w:cs="Tahoma"/>
          <w:sz w:val="20"/>
          <w:szCs w:val="20"/>
        </w:rPr>
        <w:t>conjoint</w:t>
      </w:r>
      <w:r w:rsidR="00DB1635" w:rsidRPr="00B004EE">
        <w:rPr>
          <w:rFonts w:ascii="Tahoma" w:hAnsi="Tahoma" w:cs="Tahoma"/>
          <w:sz w:val="20"/>
          <w:szCs w:val="20"/>
        </w:rPr>
        <w:t xml:space="preserve"> </w:t>
      </w:r>
      <w:r w:rsidRPr="00B004EE">
        <w:rPr>
          <w:rFonts w:ascii="Tahoma" w:hAnsi="Tahoma" w:cs="Tahoma"/>
          <w:sz w:val="20"/>
          <w:szCs w:val="20"/>
        </w:rPr>
        <w:t>n°</w:t>
      </w:r>
      <w:r w:rsidR="00DB1635" w:rsidRPr="00B004EE">
        <w:rPr>
          <w:rFonts w:ascii="Tahoma" w:hAnsi="Tahoma" w:cs="Tahoma"/>
          <w:sz w:val="20"/>
          <w:szCs w:val="20"/>
        </w:rPr>
        <w:t xml:space="preserve"> </w:t>
      </w:r>
      <w:r w:rsidRPr="00B004EE">
        <w:rPr>
          <w:rFonts w:ascii="Tahoma" w:hAnsi="Tahoma" w:cs="Tahoma"/>
          <w:sz w:val="20"/>
          <w:szCs w:val="20"/>
        </w:rPr>
        <w:t>2860</w:t>
      </w:r>
      <w:r w:rsidR="00DB1635" w:rsidRPr="00B004EE">
        <w:rPr>
          <w:rFonts w:ascii="Tahoma" w:hAnsi="Tahoma" w:cs="Tahoma"/>
          <w:sz w:val="20"/>
          <w:szCs w:val="20"/>
        </w:rPr>
        <w:t xml:space="preserve"> </w:t>
      </w:r>
      <w:r w:rsidRPr="00B004EE">
        <w:rPr>
          <w:rFonts w:ascii="Tahoma" w:hAnsi="Tahoma" w:cs="Tahoma"/>
          <w:sz w:val="20"/>
          <w:szCs w:val="20"/>
        </w:rPr>
        <w:t>MPEM/MCAT/MSAS/SEPME</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16</w:t>
      </w:r>
      <w:r w:rsidR="00DB1635" w:rsidRPr="00B004EE">
        <w:rPr>
          <w:rFonts w:ascii="Tahoma" w:hAnsi="Tahoma" w:cs="Tahoma"/>
          <w:sz w:val="20"/>
          <w:szCs w:val="20"/>
        </w:rPr>
        <w:t xml:space="preserve"> </w:t>
      </w:r>
      <w:r w:rsidRPr="00B004EE">
        <w:rPr>
          <w:rFonts w:ascii="Tahoma" w:hAnsi="Tahoma" w:cs="Tahoma"/>
          <w:sz w:val="20"/>
          <w:szCs w:val="20"/>
        </w:rPr>
        <w:t>novembre</w:t>
      </w:r>
      <w:r w:rsidR="00DB1635" w:rsidRPr="00B004EE">
        <w:rPr>
          <w:rFonts w:ascii="Tahoma" w:hAnsi="Tahoma" w:cs="Tahoma"/>
          <w:sz w:val="20"/>
          <w:szCs w:val="20"/>
        </w:rPr>
        <w:t xml:space="preserve"> </w:t>
      </w:r>
      <w:r w:rsidRPr="00B004EE">
        <w:rPr>
          <w:rFonts w:ascii="Tahoma" w:hAnsi="Tahoma" w:cs="Tahoma"/>
          <w:sz w:val="20"/>
          <w:szCs w:val="20"/>
        </w:rPr>
        <w:t>2006</w:t>
      </w:r>
      <w:r w:rsidR="00DB1635" w:rsidRPr="00B004EE">
        <w:rPr>
          <w:rFonts w:ascii="Tahoma" w:hAnsi="Tahoma" w:cs="Tahoma"/>
          <w:sz w:val="20"/>
          <w:szCs w:val="20"/>
        </w:rPr>
        <w:t xml:space="preserve"> </w:t>
      </w:r>
      <w:r w:rsidRPr="00B004EE">
        <w:rPr>
          <w:rFonts w:ascii="Tahoma" w:hAnsi="Tahoma" w:cs="Tahoma"/>
          <w:sz w:val="20"/>
          <w:szCs w:val="20"/>
        </w:rPr>
        <w:t>relatif</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contrôles</w:t>
      </w:r>
      <w:r w:rsidR="00DB1635" w:rsidRPr="00B004EE">
        <w:rPr>
          <w:rFonts w:ascii="Tahoma" w:hAnsi="Tahoma" w:cs="Tahoma"/>
          <w:sz w:val="20"/>
          <w:szCs w:val="20"/>
        </w:rPr>
        <w:t xml:space="preserve"> </w:t>
      </w:r>
      <w:r w:rsidRPr="00B004EE">
        <w:rPr>
          <w:rFonts w:ascii="Tahoma" w:hAnsi="Tahoma" w:cs="Tahoma"/>
          <w:sz w:val="20"/>
          <w:szCs w:val="20"/>
        </w:rPr>
        <w:t>officiels</w:t>
      </w:r>
      <w:r w:rsidR="00DB1635" w:rsidRPr="00B004EE">
        <w:rPr>
          <w:rFonts w:ascii="Tahoma" w:hAnsi="Tahoma" w:cs="Tahoma"/>
          <w:sz w:val="20"/>
          <w:szCs w:val="20"/>
        </w:rPr>
        <w:t xml:space="preserve"> </w:t>
      </w:r>
      <w:r w:rsidRPr="00B004EE">
        <w:rPr>
          <w:rFonts w:ascii="Tahoma" w:hAnsi="Tahoma" w:cs="Tahoma"/>
          <w:sz w:val="20"/>
          <w:szCs w:val="20"/>
        </w:rPr>
        <w:t>applicables</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destinés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l’exportation</w:t>
      </w:r>
      <w:r w:rsidR="00DB1635" w:rsidRPr="00B004EE">
        <w:rPr>
          <w:rFonts w:ascii="Tahoma" w:hAnsi="Tahoma" w:cs="Tahoma"/>
          <w:sz w:val="20"/>
          <w:szCs w:val="20"/>
        </w:rPr>
        <w:t xml:space="preserve"> </w:t>
      </w:r>
      <w:r w:rsidRPr="00B004EE">
        <w:rPr>
          <w:rFonts w:ascii="Tahoma" w:hAnsi="Tahoma" w:cs="Tahoma"/>
          <w:sz w:val="20"/>
          <w:szCs w:val="20"/>
        </w:rPr>
        <w:t>vers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marchés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l’Union</w:t>
      </w:r>
      <w:r w:rsidR="00DB1635" w:rsidRPr="00B004EE">
        <w:rPr>
          <w:rFonts w:ascii="Tahoma" w:hAnsi="Tahoma" w:cs="Tahoma"/>
          <w:sz w:val="20"/>
          <w:szCs w:val="20"/>
        </w:rPr>
        <w:t xml:space="preserve"> </w:t>
      </w:r>
      <w:r w:rsidRPr="00B004EE">
        <w:rPr>
          <w:rFonts w:ascii="Tahoma" w:hAnsi="Tahoma" w:cs="Tahoma"/>
          <w:sz w:val="20"/>
          <w:szCs w:val="20"/>
        </w:rPr>
        <w:t>Européenne.</w:t>
      </w:r>
      <w:r w:rsidR="00DB1635" w:rsidRPr="00B004EE">
        <w:rPr>
          <w:rFonts w:ascii="Tahoma" w:hAnsi="Tahoma" w:cs="Tahoma"/>
          <w:sz w:val="20"/>
          <w:szCs w:val="20"/>
        </w:rPr>
        <w:t xml:space="preserve"> </w:t>
      </w:r>
    </w:p>
    <w:p w14:paraId="6522E3B2" w14:textId="77777777" w:rsidR="002F24E1" w:rsidRPr="00B004EE" w:rsidRDefault="002F24E1" w:rsidP="00B004EE">
      <w:pPr>
        <w:autoSpaceDE w:val="0"/>
        <w:autoSpaceDN w:val="0"/>
        <w:adjustRightInd w:val="0"/>
        <w:jc w:val="both"/>
        <w:rPr>
          <w:rFonts w:ascii="Tahoma" w:eastAsia="EUAlbertina-Regular-Identity-H" w:hAnsi="Tahoma" w:cs="Tahoma"/>
          <w:sz w:val="20"/>
          <w:szCs w:val="20"/>
        </w:rPr>
      </w:pPr>
    </w:p>
    <w:p w14:paraId="06860945" w14:textId="6881C18F" w:rsidR="002F24E1" w:rsidRPr="00B004EE" w:rsidRDefault="00475682" w:rsidP="00B004EE">
      <w:pPr>
        <w:autoSpaceDE w:val="0"/>
        <w:autoSpaceDN w:val="0"/>
        <w:adjustRightInd w:val="0"/>
        <w:jc w:val="both"/>
        <w:rPr>
          <w:rFonts w:ascii="Tahoma" w:hAnsi="Tahoma" w:cs="Tahoma"/>
          <w:sz w:val="20"/>
          <w:szCs w:val="20"/>
        </w:rPr>
      </w:pP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contrôles</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effectués,</w:t>
      </w:r>
      <w:r w:rsidR="00DB1635" w:rsidRPr="00B004EE">
        <w:rPr>
          <w:rFonts w:ascii="Tahoma" w:hAnsi="Tahoma" w:cs="Tahoma"/>
          <w:sz w:val="20"/>
          <w:szCs w:val="20"/>
        </w:rPr>
        <w:t xml:space="preserve"> </w:t>
      </w:r>
      <w:r w:rsidR="002F24E1" w:rsidRPr="00B004EE">
        <w:rPr>
          <w:rFonts w:ascii="Tahoma" w:hAnsi="Tahoma" w:cs="Tahoma"/>
          <w:sz w:val="20"/>
          <w:szCs w:val="20"/>
        </w:rPr>
        <w:t>selon</w:t>
      </w:r>
      <w:r w:rsidR="00DB1635" w:rsidRPr="00B004EE">
        <w:rPr>
          <w:rFonts w:ascii="Tahoma" w:hAnsi="Tahoma" w:cs="Tahoma"/>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2F24E1" w:rsidRPr="00B004EE">
        <w:rPr>
          <w:rFonts w:ascii="Tahoma" w:hAnsi="Tahoma" w:cs="Tahoma"/>
          <w:sz w:val="20"/>
          <w:szCs w:val="20"/>
        </w:rPr>
        <w:t>règles</w:t>
      </w:r>
      <w:r w:rsidR="00DB1635" w:rsidRPr="00B004EE">
        <w:rPr>
          <w:rFonts w:ascii="Tahoma" w:hAnsi="Tahoma" w:cs="Tahoma"/>
          <w:sz w:val="20"/>
          <w:szCs w:val="20"/>
        </w:rPr>
        <w:t xml:space="preserve"> </w:t>
      </w:r>
      <w:r w:rsidR="002F24E1" w:rsidRPr="00B004EE">
        <w:rPr>
          <w:rFonts w:ascii="Tahoma" w:hAnsi="Tahoma" w:cs="Tahoma"/>
          <w:sz w:val="20"/>
          <w:szCs w:val="20"/>
        </w:rPr>
        <w:t>propres</w:t>
      </w:r>
      <w:r w:rsidR="00DB1635" w:rsidRPr="00B004EE">
        <w:rPr>
          <w:rFonts w:ascii="Tahoma" w:hAnsi="Tahoma" w:cs="Tahoma"/>
          <w:sz w:val="20"/>
          <w:szCs w:val="20"/>
        </w:rPr>
        <w:t xml:space="preserve"> </w:t>
      </w:r>
      <w:r w:rsidR="002F24E1" w:rsidRPr="00B004EE">
        <w:rPr>
          <w:rFonts w:ascii="Tahoma" w:hAnsi="Tahoma" w:cs="Tahoma"/>
          <w:sz w:val="20"/>
          <w:szCs w:val="20"/>
        </w:rPr>
        <w:t>à</w:t>
      </w:r>
      <w:r w:rsidR="00DB1635" w:rsidRPr="00B004EE">
        <w:rPr>
          <w:rFonts w:ascii="Tahoma" w:hAnsi="Tahoma" w:cs="Tahoma"/>
          <w:sz w:val="20"/>
          <w:szCs w:val="20"/>
        </w:rPr>
        <w:t xml:space="preserve"> </w:t>
      </w:r>
      <w:r w:rsidR="002F24E1" w:rsidRPr="00B004EE">
        <w:rPr>
          <w:rFonts w:ascii="Tahoma" w:hAnsi="Tahoma" w:cs="Tahoma"/>
          <w:sz w:val="20"/>
          <w:szCs w:val="20"/>
        </w:rPr>
        <w:t>chaque</w:t>
      </w:r>
      <w:r w:rsidR="00DB1635" w:rsidRPr="00B004EE">
        <w:rPr>
          <w:rFonts w:ascii="Tahoma" w:hAnsi="Tahoma" w:cs="Tahoma"/>
          <w:sz w:val="20"/>
          <w:szCs w:val="20"/>
        </w:rPr>
        <w:t xml:space="preserve"> </w:t>
      </w:r>
      <w:r w:rsidR="002F24E1" w:rsidRPr="00B004EE">
        <w:rPr>
          <w:rFonts w:ascii="Tahoma" w:hAnsi="Tahoma" w:cs="Tahoma"/>
          <w:sz w:val="20"/>
          <w:szCs w:val="20"/>
        </w:rPr>
        <w:t>institution</w:t>
      </w:r>
      <w:r w:rsidR="00DB1635" w:rsidRPr="00B004EE">
        <w:rPr>
          <w:rFonts w:ascii="Tahoma" w:hAnsi="Tahoma" w:cs="Tahoma"/>
          <w:sz w:val="20"/>
          <w:szCs w:val="20"/>
        </w:rPr>
        <w:t xml:space="preserve"> </w:t>
      </w:r>
      <w:r w:rsidR="002F24E1" w:rsidRPr="00B004EE">
        <w:rPr>
          <w:rFonts w:ascii="Tahoma" w:hAnsi="Tahoma" w:cs="Tahoma"/>
          <w:sz w:val="20"/>
          <w:szCs w:val="20"/>
        </w:rPr>
        <w:t>ou</w:t>
      </w:r>
      <w:r w:rsidR="00DB1635" w:rsidRPr="00B004EE">
        <w:rPr>
          <w:rFonts w:ascii="Tahoma" w:hAnsi="Tahoma" w:cs="Tahoma"/>
          <w:sz w:val="20"/>
          <w:szCs w:val="20"/>
        </w:rPr>
        <w:t xml:space="preserve"> </w:t>
      </w:r>
      <w:r w:rsidR="002F24E1" w:rsidRPr="00B004EE">
        <w:rPr>
          <w:rFonts w:ascii="Tahoma" w:hAnsi="Tahoma" w:cs="Tahoma"/>
          <w:sz w:val="20"/>
          <w:szCs w:val="20"/>
        </w:rPr>
        <w:t>corps</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contrôle,</w:t>
      </w:r>
      <w:r w:rsidR="00DB1635" w:rsidRPr="00B004EE">
        <w:rPr>
          <w:rFonts w:ascii="Tahoma" w:hAnsi="Tahoma" w:cs="Tahoma"/>
          <w:sz w:val="20"/>
          <w:szCs w:val="20"/>
        </w:rPr>
        <w:t xml:space="preserve"> </w:t>
      </w:r>
      <w:r w:rsidR="002F24E1" w:rsidRPr="00B004EE">
        <w:rPr>
          <w:rFonts w:ascii="Tahoma" w:hAnsi="Tahoma" w:cs="Tahoma"/>
          <w:sz w:val="20"/>
          <w:szCs w:val="20"/>
        </w:rPr>
        <w:t>par</w:t>
      </w:r>
      <w:r w:rsidR="00DB1635" w:rsidRPr="00B004EE">
        <w:rPr>
          <w:rFonts w:ascii="Tahoma" w:hAnsi="Tahoma" w:cs="Tahoma"/>
          <w:sz w:val="20"/>
          <w:szCs w:val="20"/>
        </w:rPr>
        <w:t xml:space="preserve"> </w:t>
      </w:r>
      <w:r w:rsidR="002F24E1" w:rsidRPr="00B004EE">
        <w:rPr>
          <w:rFonts w:ascii="Tahoma" w:hAnsi="Tahoma" w:cs="Tahoma"/>
          <w:sz w:val="20"/>
          <w:szCs w:val="20"/>
        </w:rPr>
        <w:t>la</w:t>
      </w:r>
      <w:r w:rsidR="00DB1635" w:rsidRPr="00B004EE">
        <w:rPr>
          <w:rFonts w:ascii="Tahoma" w:hAnsi="Tahoma" w:cs="Tahoma"/>
          <w:sz w:val="20"/>
          <w:szCs w:val="20"/>
        </w:rPr>
        <w:t xml:space="preserve"> </w:t>
      </w:r>
      <w:r w:rsidR="002F24E1" w:rsidRPr="00B004EE">
        <w:rPr>
          <w:rFonts w:ascii="Tahoma" w:hAnsi="Tahoma" w:cs="Tahoma"/>
          <w:sz w:val="20"/>
          <w:szCs w:val="20"/>
        </w:rPr>
        <w:t>Délégation</w:t>
      </w:r>
      <w:r w:rsidR="00DB1635" w:rsidRPr="00B004EE">
        <w:rPr>
          <w:rFonts w:ascii="Tahoma" w:hAnsi="Tahoma" w:cs="Tahoma"/>
          <w:sz w:val="20"/>
          <w:szCs w:val="20"/>
        </w:rPr>
        <w:t xml:space="preserve"> </w:t>
      </w:r>
      <w:r w:rsidR="002F24E1" w:rsidRPr="00B004EE">
        <w:rPr>
          <w:rFonts w:ascii="Tahoma" w:hAnsi="Tahoma" w:cs="Tahoma"/>
          <w:sz w:val="20"/>
          <w:szCs w:val="20"/>
        </w:rPr>
        <w:t>à</w:t>
      </w:r>
      <w:r w:rsidR="00DB1635" w:rsidRPr="00B004EE">
        <w:rPr>
          <w:rFonts w:ascii="Tahoma" w:hAnsi="Tahoma" w:cs="Tahoma"/>
          <w:sz w:val="20"/>
          <w:szCs w:val="20"/>
        </w:rPr>
        <w:t xml:space="preserve"> </w:t>
      </w:r>
      <w:r w:rsidR="002F24E1" w:rsidRPr="00B004EE">
        <w:rPr>
          <w:rFonts w:ascii="Tahoma" w:hAnsi="Tahoma" w:cs="Tahoma"/>
          <w:sz w:val="20"/>
          <w:szCs w:val="20"/>
        </w:rPr>
        <w:t>la</w:t>
      </w:r>
      <w:r w:rsidR="00DB1635" w:rsidRPr="00B004EE">
        <w:rPr>
          <w:rFonts w:ascii="Tahoma" w:hAnsi="Tahoma" w:cs="Tahoma"/>
          <w:sz w:val="20"/>
          <w:szCs w:val="20"/>
        </w:rPr>
        <w:t xml:space="preserve"> </w:t>
      </w:r>
      <w:r w:rsidR="002F24E1" w:rsidRPr="00B004EE">
        <w:rPr>
          <w:rFonts w:ascii="Tahoma" w:hAnsi="Tahoma" w:cs="Tahoma"/>
          <w:sz w:val="20"/>
          <w:szCs w:val="20"/>
        </w:rPr>
        <w:t>Surveillance</w:t>
      </w:r>
      <w:r w:rsidR="00DB1635" w:rsidRPr="00B004EE">
        <w:rPr>
          <w:rFonts w:ascii="Tahoma" w:hAnsi="Tahoma" w:cs="Tahoma"/>
          <w:sz w:val="20"/>
          <w:szCs w:val="20"/>
        </w:rPr>
        <w:t xml:space="preserve"> </w:t>
      </w:r>
      <w:r w:rsidR="002F24E1" w:rsidRPr="00B004EE">
        <w:rPr>
          <w:rFonts w:ascii="Tahoma" w:hAnsi="Tahoma" w:cs="Tahoma"/>
          <w:sz w:val="20"/>
          <w:szCs w:val="20"/>
        </w:rPr>
        <w:t>des</w:t>
      </w:r>
      <w:r w:rsidR="00DB1635" w:rsidRPr="00B004EE">
        <w:rPr>
          <w:rFonts w:ascii="Tahoma" w:hAnsi="Tahoma" w:cs="Tahoma"/>
          <w:sz w:val="20"/>
          <w:szCs w:val="20"/>
        </w:rPr>
        <w:t xml:space="preserve"> </w:t>
      </w:r>
      <w:r w:rsidR="002F24E1" w:rsidRPr="00B004EE">
        <w:rPr>
          <w:rFonts w:ascii="Tahoma" w:hAnsi="Tahoma" w:cs="Tahoma"/>
          <w:sz w:val="20"/>
          <w:szCs w:val="20"/>
        </w:rPr>
        <w:t>Pêches</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au</w:t>
      </w:r>
      <w:r w:rsidR="00DB1635" w:rsidRPr="00B004EE">
        <w:rPr>
          <w:rFonts w:ascii="Tahoma" w:hAnsi="Tahoma" w:cs="Tahoma"/>
          <w:sz w:val="20"/>
          <w:szCs w:val="20"/>
        </w:rPr>
        <w:t xml:space="preserve"> </w:t>
      </w:r>
      <w:r w:rsidR="002F24E1" w:rsidRPr="00B004EE">
        <w:rPr>
          <w:rFonts w:ascii="Tahoma" w:hAnsi="Tahoma" w:cs="Tahoma"/>
          <w:sz w:val="20"/>
          <w:szCs w:val="20"/>
        </w:rPr>
        <w:t>Contrôle</w:t>
      </w:r>
      <w:r w:rsidR="00DB1635" w:rsidRPr="00B004EE">
        <w:rPr>
          <w:rFonts w:ascii="Tahoma" w:hAnsi="Tahoma" w:cs="Tahoma"/>
          <w:sz w:val="20"/>
          <w:szCs w:val="20"/>
        </w:rPr>
        <w:t xml:space="preserve"> </w:t>
      </w:r>
      <w:r w:rsidR="002F24E1" w:rsidRPr="00B004EE">
        <w:rPr>
          <w:rFonts w:ascii="Tahoma" w:hAnsi="Tahoma" w:cs="Tahoma"/>
          <w:sz w:val="20"/>
          <w:szCs w:val="20"/>
        </w:rPr>
        <w:t>en</w:t>
      </w:r>
      <w:r w:rsidR="00DB1635" w:rsidRPr="00B004EE">
        <w:rPr>
          <w:rFonts w:ascii="Tahoma" w:hAnsi="Tahoma" w:cs="Tahoma"/>
          <w:sz w:val="20"/>
          <w:szCs w:val="20"/>
        </w:rPr>
        <w:t xml:space="preserve"> </w:t>
      </w:r>
      <w:r w:rsidR="002F24E1" w:rsidRPr="00B004EE">
        <w:rPr>
          <w:rFonts w:ascii="Tahoma" w:hAnsi="Tahoma" w:cs="Tahoma"/>
          <w:sz w:val="20"/>
          <w:szCs w:val="20"/>
        </w:rPr>
        <w:t>mer</w:t>
      </w:r>
      <w:r w:rsidR="00DB1635" w:rsidRPr="00B004EE">
        <w:rPr>
          <w:rFonts w:ascii="Tahoma" w:hAnsi="Tahoma" w:cs="Tahoma"/>
          <w:sz w:val="20"/>
          <w:szCs w:val="20"/>
        </w:rPr>
        <w:t xml:space="preserve"> </w:t>
      </w:r>
      <w:r w:rsidR="002F24E1" w:rsidRPr="00B004EE">
        <w:rPr>
          <w:rFonts w:ascii="Tahoma" w:hAnsi="Tahoma" w:cs="Tahoma"/>
          <w:sz w:val="20"/>
          <w:szCs w:val="20"/>
        </w:rPr>
        <w:t>(DSPCM),</w:t>
      </w:r>
      <w:r w:rsidR="00DB1635" w:rsidRPr="00B004EE">
        <w:rPr>
          <w:rFonts w:ascii="Tahoma" w:hAnsi="Tahoma" w:cs="Tahoma"/>
          <w:sz w:val="20"/>
          <w:szCs w:val="20"/>
        </w:rPr>
        <w:t xml:space="preserve"> </w:t>
      </w:r>
      <w:r w:rsidR="002F24E1" w:rsidRPr="00B004EE">
        <w:rPr>
          <w:rFonts w:ascii="Tahoma" w:hAnsi="Tahoma" w:cs="Tahoma"/>
          <w:sz w:val="20"/>
          <w:szCs w:val="20"/>
        </w:rPr>
        <w:t>l’Office</w:t>
      </w:r>
      <w:r w:rsidR="00DB1635" w:rsidRPr="00B004EE">
        <w:rPr>
          <w:rFonts w:ascii="Tahoma" w:hAnsi="Tahoma" w:cs="Tahoma"/>
          <w:sz w:val="20"/>
          <w:szCs w:val="20"/>
        </w:rPr>
        <w:t xml:space="preserve"> </w:t>
      </w:r>
      <w:r w:rsidR="002F24E1" w:rsidRPr="00B004EE">
        <w:rPr>
          <w:rFonts w:ascii="Tahoma" w:hAnsi="Tahoma" w:cs="Tahoma"/>
          <w:sz w:val="20"/>
          <w:szCs w:val="20"/>
        </w:rPr>
        <w:t>national</w:t>
      </w:r>
      <w:r w:rsidR="00DB1635" w:rsidRPr="00B004EE">
        <w:rPr>
          <w:rFonts w:ascii="Tahoma" w:hAnsi="Tahoma" w:cs="Tahoma"/>
          <w:sz w:val="20"/>
          <w:szCs w:val="20"/>
        </w:rPr>
        <w:t xml:space="preserve"> </w:t>
      </w:r>
      <w:r w:rsidR="002F24E1" w:rsidRPr="00B004EE">
        <w:rPr>
          <w:rFonts w:ascii="Tahoma" w:hAnsi="Tahoma" w:cs="Tahoma"/>
          <w:sz w:val="20"/>
          <w:szCs w:val="20"/>
        </w:rPr>
        <w:t>d’Inspection</w:t>
      </w:r>
      <w:r w:rsidR="00DB1635" w:rsidRPr="00B004EE">
        <w:rPr>
          <w:rFonts w:ascii="Tahoma" w:hAnsi="Tahoma" w:cs="Tahoma"/>
          <w:sz w:val="20"/>
          <w:szCs w:val="20"/>
        </w:rPr>
        <w:t xml:space="preserve"> </w:t>
      </w:r>
      <w:r w:rsidR="002F24E1" w:rsidRPr="00B004EE">
        <w:rPr>
          <w:rFonts w:ascii="Tahoma" w:hAnsi="Tahoma" w:cs="Tahoma"/>
          <w:sz w:val="20"/>
          <w:szCs w:val="20"/>
        </w:rPr>
        <w:t>des</w:t>
      </w:r>
      <w:r w:rsidR="00DB1635" w:rsidRPr="00B004EE">
        <w:rPr>
          <w:rFonts w:ascii="Tahoma" w:hAnsi="Tahoma" w:cs="Tahoma"/>
          <w:sz w:val="20"/>
          <w:szCs w:val="20"/>
        </w:rPr>
        <w:t xml:space="preserve"> </w:t>
      </w:r>
      <w:r w:rsidR="002F24E1" w:rsidRPr="00B004EE">
        <w:rPr>
          <w:rFonts w:ascii="Tahoma" w:hAnsi="Tahoma" w:cs="Tahoma"/>
          <w:sz w:val="20"/>
          <w:szCs w:val="20"/>
        </w:rPr>
        <w:t>Produits</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la</w:t>
      </w:r>
      <w:r w:rsidR="00DB1635" w:rsidRPr="00B004EE">
        <w:rPr>
          <w:rFonts w:ascii="Tahoma" w:hAnsi="Tahoma" w:cs="Tahoma"/>
          <w:sz w:val="20"/>
          <w:szCs w:val="20"/>
        </w:rPr>
        <w:t xml:space="preserve"> </w:t>
      </w:r>
      <w:r w:rsidR="002F24E1" w:rsidRPr="00B004EE">
        <w:rPr>
          <w:rFonts w:ascii="Tahoma" w:hAnsi="Tahoma" w:cs="Tahoma"/>
          <w:sz w:val="20"/>
          <w:szCs w:val="20"/>
        </w:rPr>
        <w:t>Pêche</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l’Aquaculture</w:t>
      </w:r>
      <w:r w:rsidR="00DB1635" w:rsidRPr="00B004EE">
        <w:rPr>
          <w:rFonts w:ascii="Tahoma" w:hAnsi="Tahoma" w:cs="Tahoma"/>
          <w:sz w:val="20"/>
          <w:szCs w:val="20"/>
        </w:rPr>
        <w:t xml:space="preserve"> </w:t>
      </w:r>
      <w:r w:rsidR="002F24E1" w:rsidRPr="00B004EE">
        <w:rPr>
          <w:rFonts w:ascii="Tahoma" w:hAnsi="Tahoma" w:cs="Tahoma"/>
          <w:sz w:val="20"/>
          <w:szCs w:val="20"/>
        </w:rPr>
        <w:t>(ONISPA)</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2F24E1" w:rsidRPr="00B004EE">
        <w:rPr>
          <w:rFonts w:ascii="Tahoma" w:hAnsi="Tahoma" w:cs="Tahoma"/>
          <w:sz w:val="20"/>
          <w:szCs w:val="20"/>
        </w:rPr>
        <w:t>autres</w:t>
      </w:r>
      <w:r w:rsidR="00DB1635" w:rsidRPr="00B004EE">
        <w:rPr>
          <w:rFonts w:ascii="Tahoma" w:hAnsi="Tahoma" w:cs="Tahoma"/>
          <w:sz w:val="20"/>
          <w:szCs w:val="20"/>
        </w:rPr>
        <w:t xml:space="preserve"> </w:t>
      </w:r>
      <w:r w:rsidR="002F24E1" w:rsidRPr="00B004EE">
        <w:rPr>
          <w:rFonts w:ascii="Tahoma" w:hAnsi="Tahoma" w:cs="Tahoma"/>
          <w:sz w:val="20"/>
          <w:szCs w:val="20"/>
        </w:rPr>
        <w:t>agents</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contrôle</w:t>
      </w:r>
      <w:r w:rsidR="00DB1635" w:rsidRPr="00B004EE">
        <w:rPr>
          <w:rFonts w:ascii="Tahoma" w:hAnsi="Tahoma" w:cs="Tahoma"/>
          <w:sz w:val="20"/>
          <w:szCs w:val="20"/>
        </w:rPr>
        <w:t xml:space="preserve"> </w:t>
      </w:r>
      <w:r w:rsidR="002F24E1" w:rsidRPr="00B004EE">
        <w:rPr>
          <w:rFonts w:ascii="Tahoma" w:hAnsi="Tahoma" w:cs="Tahoma"/>
          <w:sz w:val="20"/>
          <w:szCs w:val="20"/>
        </w:rPr>
        <w:t>spécialement</w:t>
      </w:r>
      <w:r w:rsidR="00DB1635" w:rsidRPr="00B004EE">
        <w:rPr>
          <w:rFonts w:ascii="Tahoma" w:hAnsi="Tahoma" w:cs="Tahoma"/>
          <w:sz w:val="20"/>
          <w:szCs w:val="20"/>
        </w:rPr>
        <w:t xml:space="preserve"> </w:t>
      </w:r>
      <w:r w:rsidR="002F24E1" w:rsidRPr="00B004EE">
        <w:rPr>
          <w:rFonts w:ascii="Tahoma" w:hAnsi="Tahoma" w:cs="Tahoma"/>
          <w:sz w:val="20"/>
          <w:szCs w:val="20"/>
        </w:rPr>
        <w:t>habilités</w:t>
      </w:r>
      <w:r w:rsidR="00DB1635" w:rsidRPr="00B004EE">
        <w:rPr>
          <w:rFonts w:ascii="Tahoma" w:hAnsi="Tahoma" w:cs="Tahoma"/>
          <w:sz w:val="20"/>
          <w:szCs w:val="20"/>
        </w:rPr>
        <w:t xml:space="preserve"> </w:t>
      </w:r>
      <w:r w:rsidR="002F24E1" w:rsidRPr="00B004EE">
        <w:rPr>
          <w:rFonts w:ascii="Tahoma" w:hAnsi="Tahoma" w:cs="Tahoma"/>
          <w:sz w:val="20"/>
          <w:szCs w:val="20"/>
        </w:rPr>
        <w:t>à</w:t>
      </w:r>
      <w:r w:rsidR="00DB1635" w:rsidRPr="00B004EE">
        <w:rPr>
          <w:rFonts w:ascii="Tahoma" w:hAnsi="Tahoma" w:cs="Tahoma"/>
          <w:sz w:val="20"/>
          <w:szCs w:val="20"/>
        </w:rPr>
        <w:t xml:space="preserve"> </w:t>
      </w:r>
      <w:r w:rsidR="002F24E1" w:rsidRPr="00B004EE">
        <w:rPr>
          <w:rFonts w:ascii="Tahoma" w:hAnsi="Tahoma" w:cs="Tahoma"/>
          <w:sz w:val="20"/>
          <w:szCs w:val="20"/>
        </w:rPr>
        <w:t>cet</w:t>
      </w:r>
      <w:r w:rsidR="00DB1635" w:rsidRPr="00B004EE">
        <w:rPr>
          <w:rFonts w:ascii="Tahoma" w:hAnsi="Tahoma" w:cs="Tahoma"/>
          <w:sz w:val="20"/>
          <w:szCs w:val="20"/>
        </w:rPr>
        <w:t xml:space="preserve"> </w:t>
      </w:r>
      <w:r w:rsidR="002F24E1" w:rsidRPr="00B004EE">
        <w:rPr>
          <w:rFonts w:ascii="Tahoma" w:hAnsi="Tahoma" w:cs="Tahoma"/>
          <w:sz w:val="20"/>
          <w:szCs w:val="20"/>
        </w:rPr>
        <w:t>effet.</w:t>
      </w:r>
      <w:r w:rsidR="00DB1635" w:rsidRPr="00B004EE">
        <w:rPr>
          <w:rFonts w:ascii="Tahoma" w:hAnsi="Tahoma" w:cs="Tahoma"/>
          <w:sz w:val="20"/>
          <w:szCs w:val="20"/>
        </w:rPr>
        <w:t xml:space="preserve"> </w:t>
      </w:r>
      <w:r w:rsidR="002F24E1" w:rsidRPr="00B004EE">
        <w:rPr>
          <w:rFonts w:ascii="Tahoma" w:hAnsi="Tahoma" w:cs="Tahoma"/>
          <w:sz w:val="20"/>
          <w:szCs w:val="20"/>
        </w:rPr>
        <w:t>Ils</w:t>
      </w:r>
      <w:r w:rsidR="00DB1635" w:rsidRPr="00B004EE">
        <w:rPr>
          <w:rFonts w:ascii="Tahoma" w:hAnsi="Tahoma" w:cs="Tahoma"/>
          <w:sz w:val="20"/>
          <w:szCs w:val="20"/>
        </w:rPr>
        <w:t xml:space="preserve"> </w:t>
      </w:r>
      <w:r w:rsidR="002F24E1" w:rsidRPr="00B004EE">
        <w:rPr>
          <w:rFonts w:ascii="Tahoma" w:hAnsi="Tahoma" w:cs="Tahoma"/>
          <w:sz w:val="20"/>
          <w:szCs w:val="20"/>
        </w:rPr>
        <w:t>seront</w:t>
      </w:r>
      <w:r w:rsidR="00DB1635" w:rsidRPr="00B004EE">
        <w:rPr>
          <w:rFonts w:ascii="Tahoma" w:hAnsi="Tahoma" w:cs="Tahoma"/>
          <w:sz w:val="20"/>
          <w:szCs w:val="20"/>
        </w:rPr>
        <w:t xml:space="preserve"> </w:t>
      </w:r>
      <w:r w:rsidR="002F24E1" w:rsidRPr="00B004EE">
        <w:rPr>
          <w:rFonts w:ascii="Tahoma" w:hAnsi="Tahoma" w:cs="Tahoma"/>
          <w:sz w:val="20"/>
          <w:szCs w:val="20"/>
        </w:rPr>
        <w:t>conduits</w:t>
      </w:r>
      <w:r w:rsidR="00DB1635" w:rsidRPr="00B004EE">
        <w:rPr>
          <w:rFonts w:ascii="Tahoma" w:hAnsi="Tahoma" w:cs="Tahoma"/>
          <w:sz w:val="20"/>
          <w:szCs w:val="20"/>
        </w:rPr>
        <w:t xml:space="preserve"> </w:t>
      </w:r>
      <w:r w:rsidR="002F24E1" w:rsidRPr="00B004EE">
        <w:rPr>
          <w:rFonts w:ascii="Tahoma" w:hAnsi="Tahoma" w:cs="Tahoma"/>
          <w:sz w:val="20"/>
          <w:szCs w:val="20"/>
        </w:rPr>
        <w:t>sel</w:t>
      </w:r>
      <w:r w:rsidRPr="00B004EE">
        <w:rPr>
          <w:rFonts w:ascii="Tahoma" w:hAnsi="Tahoma" w:cs="Tahoma"/>
          <w:sz w:val="20"/>
          <w:szCs w:val="20"/>
        </w:rPr>
        <w:t>on</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normes</w:t>
      </w:r>
      <w:r w:rsidR="00DB1635" w:rsidRPr="00B004EE">
        <w:rPr>
          <w:rFonts w:ascii="Tahoma" w:hAnsi="Tahoma" w:cs="Tahoma"/>
          <w:sz w:val="20"/>
          <w:szCs w:val="20"/>
        </w:rPr>
        <w:t xml:space="preserve"> </w:t>
      </w:r>
      <w:r w:rsidRPr="00B004EE">
        <w:rPr>
          <w:rFonts w:ascii="Tahoma" w:hAnsi="Tahoma" w:cs="Tahoma"/>
          <w:sz w:val="20"/>
          <w:szCs w:val="20"/>
        </w:rPr>
        <w:t>professionnelles</w:t>
      </w:r>
      <w:r w:rsidR="00DB1635" w:rsidRPr="00B004EE">
        <w:rPr>
          <w:rFonts w:ascii="Tahoma" w:hAnsi="Tahoma" w:cs="Tahoma"/>
          <w:sz w:val="20"/>
          <w:szCs w:val="20"/>
        </w:rPr>
        <w:t xml:space="preserve"> </w:t>
      </w:r>
      <w:r w:rsidR="002F24E1" w:rsidRPr="00B004EE">
        <w:rPr>
          <w:rFonts w:ascii="Tahoma" w:hAnsi="Tahoma" w:cs="Tahoma"/>
          <w:sz w:val="20"/>
          <w:szCs w:val="20"/>
        </w:rPr>
        <w:t>et</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manière</w:t>
      </w:r>
      <w:r w:rsidR="00DB1635" w:rsidRPr="00B004EE">
        <w:rPr>
          <w:rFonts w:ascii="Tahoma" w:hAnsi="Tahoma" w:cs="Tahoma"/>
          <w:sz w:val="20"/>
          <w:szCs w:val="20"/>
        </w:rPr>
        <w:t xml:space="preserve"> </w:t>
      </w:r>
      <w:r w:rsidR="002F24E1" w:rsidRPr="00B004EE">
        <w:rPr>
          <w:rFonts w:ascii="Tahoma" w:hAnsi="Tahoma" w:cs="Tahoma"/>
          <w:sz w:val="20"/>
          <w:szCs w:val="20"/>
        </w:rPr>
        <w:t>à</w:t>
      </w:r>
      <w:r w:rsidR="00DB1635" w:rsidRPr="00B004EE">
        <w:rPr>
          <w:rFonts w:ascii="Tahoma" w:hAnsi="Tahoma" w:cs="Tahoma"/>
          <w:sz w:val="20"/>
          <w:szCs w:val="20"/>
        </w:rPr>
        <w:t xml:space="preserve"> </w:t>
      </w:r>
      <w:r w:rsidR="002F24E1" w:rsidRPr="00B004EE">
        <w:rPr>
          <w:rFonts w:ascii="Tahoma" w:hAnsi="Tahoma" w:cs="Tahoma"/>
          <w:sz w:val="20"/>
          <w:szCs w:val="20"/>
        </w:rPr>
        <w:t>ne</w:t>
      </w:r>
      <w:r w:rsidR="00DB1635" w:rsidRPr="00B004EE">
        <w:rPr>
          <w:rFonts w:ascii="Tahoma" w:hAnsi="Tahoma" w:cs="Tahoma"/>
          <w:sz w:val="20"/>
          <w:szCs w:val="20"/>
        </w:rPr>
        <w:t xml:space="preserve"> </w:t>
      </w:r>
      <w:r w:rsidR="002F24E1" w:rsidRPr="00B004EE">
        <w:rPr>
          <w:rFonts w:ascii="Tahoma" w:hAnsi="Tahoma" w:cs="Tahoma"/>
          <w:sz w:val="20"/>
          <w:szCs w:val="20"/>
        </w:rPr>
        <w:t>pas</w:t>
      </w:r>
      <w:r w:rsidR="00DB1635" w:rsidRPr="00B004EE">
        <w:rPr>
          <w:rFonts w:ascii="Tahoma" w:hAnsi="Tahoma" w:cs="Tahoma"/>
          <w:sz w:val="20"/>
          <w:szCs w:val="20"/>
        </w:rPr>
        <w:t xml:space="preserve"> </w:t>
      </w:r>
      <w:r w:rsidR="002F24E1" w:rsidRPr="00B004EE">
        <w:rPr>
          <w:rFonts w:ascii="Tahoma" w:hAnsi="Tahoma" w:cs="Tahoma"/>
          <w:sz w:val="20"/>
          <w:szCs w:val="20"/>
        </w:rPr>
        <w:t>gêner,</w:t>
      </w:r>
      <w:r w:rsidR="00DB1635" w:rsidRPr="00B004EE">
        <w:rPr>
          <w:rFonts w:ascii="Tahoma" w:hAnsi="Tahoma" w:cs="Tahoma"/>
          <w:sz w:val="20"/>
          <w:szCs w:val="20"/>
        </w:rPr>
        <w:t xml:space="preserve"> </w:t>
      </w:r>
      <w:r w:rsidR="002F24E1" w:rsidRPr="00B004EE">
        <w:rPr>
          <w:rFonts w:ascii="Tahoma" w:hAnsi="Tahoma" w:cs="Tahoma"/>
          <w:sz w:val="20"/>
          <w:szCs w:val="20"/>
        </w:rPr>
        <w:t>outre</w:t>
      </w:r>
      <w:r w:rsidR="00DB1635" w:rsidRPr="00B004EE">
        <w:rPr>
          <w:rFonts w:ascii="Tahoma" w:hAnsi="Tahoma" w:cs="Tahoma"/>
          <w:sz w:val="20"/>
          <w:szCs w:val="20"/>
        </w:rPr>
        <w:t xml:space="preserve"> </w:t>
      </w:r>
      <w:r w:rsidR="002F24E1" w:rsidRPr="00B004EE">
        <w:rPr>
          <w:rFonts w:ascii="Tahoma" w:hAnsi="Tahoma" w:cs="Tahoma"/>
          <w:sz w:val="20"/>
          <w:szCs w:val="20"/>
        </w:rPr>
        <w:t>mesure</w:t>
      </w:r>
      <w:r w:rsidR="00DB1635" w:rsidRPr="00B004EE">
        <w:rPr>
          <w:rFonts w:ascii="Tahoma" w:hAnsi="Tahoma" w:cs="Tahoma"/>
          <w:sz w:val="20"/>
          <w:szCs w:val="20"/>
        </w:rPr>
        <w:t xml:space="preserve"> </w:t>
      </w:r>
      <w:r w:rsidR="002F24E1" w:rsidRPr="00B004EE">
        <w:rPr>
          <w:rFonts w:ascii="Tahoma" w:hAnsi="Tahoma" w:cs="Tahoma"/>
          <w:sz w:val="20"/>
          <w:szCs w:val="20"/>
        </w:rPr>
        <w:t>que</w:t>
      </w:r>
      <w:r w:rsidR="00DB1635" w:rsidRPr="00B004EE">
        <w:rPr>
          <w:rFonts w:ascii="Tahoma" w:hAnsi="Tahoma" w:cs="Tahoma"/>
          <w:sz w:val="20"/>
          <w:szCs w:val="20"/>
        </w:rPr>
        <w:t xml:space="preserve"> </w:t>
      </w:r>
      <w:r w:rsidR="002F24E1" w:rsidRPr="00B004EE">
        <w:rPr>
          <w:rFonts w:ascii="Tahoma" w:hAnsi="Tahoma" w:cs="Tahoma"/>
          <w:sz w:val="20"/>
          <w:szCs w:val="20"/>
        </w:rPr>
        <w:t>nécessaire,</w:t>
      </w:r>
      <w:r w:rsidR="00DB1635" w:rsidRPr="00B004EE">
        <w:rPr>
          <w:rFonts w:ascii="Tahoma" w:hAnsi="Tahoma" w:cs="Tahoma"/>
          <w:sz w:val="20"/>
          <w:szCs w:val="20"/>
        </w:rPr>
        <w:t xml:space="preserve"> </w:t>
      </w:r>
      <w:r w:rsidR="002F24E1" w:rsidRPr="00B004EE">
        <w:rPr>
          <w:rFonts w:ascii="Tahoma" w:hAnsi="Tahoma" w:cs="Tahoma"/>
          <w:sz w:val="20"/>
          <w:szCs w:val="20"/>
        </w:rPr>
        <w:t>les</w:t>
      </w:r>
      <w:r w:rsidR="00DB1635" w:rsidRPr="00B004EE">
        <w:rPr>
          <w:rFonts w:ascii="Tahoma" w:hAnsi="Tahoma" w:cs="Tahoma"/>
          <w:sz w:val="20"/>
          <w:szCs w:val="20"/>
        </w:rPr>
        <w:t xml:space="preserve"> </w:t>
      </w:r>
      <w:r w:rsidR="002F24E1" w:rsidRPr="00B004EE">
        <w:rPr>
          <w:rFonts w:ascii="Tahoma" w:hAnsi="Tahoma" w:cs="Tahoma"/>
          <w:sz w:val="20"/>
          <w:szCs w:val="20"/>
        </w:rPr>
        <w:t>activités</w:t>
      </w:r>
      <w:r w:rsidR="00DB1635" w:rsidRPr="00B004EE">
        <w:rPr>
          <w:rFonts w:ascii="Tahoma" w:hAnsi="Tahoma" w:cs="Tahoma"/>
          <w:sz w:val="20"/>
          <w:szCs w:val="20"/>
        </w:rPr>
        <w:t xml:space="preserve"> </w:t>
      </w:r>
      <w:r w:rsidR="002F24E1" w:rsidRPr="00B004EE">
        <w:rPr>
          <w:rFonts w:ascii="Tahoma" w:hAnsi="Tahoma" w:cs="Tahoma"/>
          <w:sz w:val="20"/>
          <w:szCs w:val="20"/>
        </w:rPr>
        <w:t>de</w:t>
      </w:r>
      <w:r w:rsidR="00DB1635" w:rsidRPr="00B004EE">
        <w:rPr>
          <w:rFonts w:ascii="Tahoma" w:hAnsi="Tahoma" w:cs="Tahoma"/>
          <w:sz w:val="20"/>
          <w:szCs w:val="20"/>
        </w:rPr>
        <w:t xml:space="preserve"> </w:t>
      </w:r>
      <w:r w:rsidR="002F24E1" w:rsidRPr="00B004EE">
        <w:rPr>
          <w:rFonts w:ascii="Tahoma" w:hAnsi="Tahoma" w:cs="Tahoma"/>
          <w:sz w:val="20"/>
          <w:szCs w:val="20"/>
        </w:rPr>
        <w:t>production.</w:t>
      </w:r>
    </w:p>
    <w:p w14:paraId="06EC3889" w14:textId="77777777" w:rsidR="00475682" w:rsidRPr="00B004EE" w:rsidRDefault="00475682" w:rsidP="00B004EE">
      <w:pPr>
        <w:autoSpaceDE w:val="0"/>
        <w:autoSpaceDN w:val="0"/>
        <w:adjustRightInd w:val="0"/>
        <w:jc w:val="both"/>
        <w:rPr>
          <w:rFonts w:ascii="Tahoma" w:hAnsi="Tahoma" w:cs="Tahoma"/>
          <w:sz w:val="20"/>
          <w:szCs w:val="20"/>
        </w:rPr>
      </w:pPr>
    </w:p>
    <w:p w14:paraId="5F1E5B3B" w14:textId="433DB411" w:rsidR="002F24E1" w:rsidRPr="00B004EE" w:rsidRDefault="002F24E1" w:rsidP="00B004EE">
      <w:pPr>
        <w:autoSpaceDE w:val="0"/>
        <w:autoSpaceDN w:val="0"/>
        <w:adjustRightInd w:val="0"/>
        <w:jc w:val="both"/>
        <w:rPr>
          <w:rFonts w:ascii="Tahoma" w:eastAsia="EUAlbertina-Regular-Identity-H" w:hAnsi="Tahoma" w:cs="Tahoma"/>
          <w:sz w:val="20"/>
          <w:szCs w:val="20"/>
        </w:rPr>
      </w:pPr>
      <w:r w:rsidRPr="00A155DA">
        <w:rPr>
          <w:rFonts w:ascii="Tahoma" w:hAnsi="Tahoma" w:cs="Tahoma"/>
          <w:sz w:val="20"/>
          <w:szCs w:val="20"/>
        </w:rPr>
        <w:t>Article</w:t>
      </w:r>
      <w:r w:rsidR="00DB1635" w:rsidRPr="00A155DA">
        <w:rPr>
          <w:rFonts w:ascii="Tahoma" w:hAnsi="Tahoma" w:cs="Tahoma"/>
          <w:sz w:val="20"/>
          <w:szCs w:val="20"/>
        </w:rPr>
        <w:t xml:space="preserve"> </w:t>
      </w:r>
      <w:r w:rsidRPr="00A155DA">
        <w:rPr>
          <w:rFonts w:ascii="Tahoma" w:hAnsi="Tahoma" w:cs="Tahoma"/>
          <w:sz w:val="20"/>
          <w:szCs w:val="20"/>
        </w:rPr>
        <w:t>5</w:t>
      </w:r>
      <w:r w:rsidR="00DB1635" w:rsidRPr="00A155DA">
        <w:rPr>
          <w:rFonts w:ascii="Tahoma" w:hAnsi="Tahoma" w:cs="Tahoma"/>
          <w:sz w:val="20"/>
          <w:szCs w:val="20"/>
        </w:rPr>
        <w:t xml:space="preserve"> </w:t>
      </w:r>
      <w:r w:rsidRPr="00A155DA">
        <w:rPr>
          <w:rFonts w:ascii="Tahoma" w:hAnsi="Tahoma" w:cs="Tahoma"/>
          <w:sz w:val="20"/>
          <w:szCs w:val="20"/>
        </w:rPr>
        <w:t>:</w:t>
      </w:r>
      <w:r w:rsidR="00DB1635" w:rsidRPr="00B004EE">
        <w:rPr>
          <w:rFonts w:ascii="Tahoma" w:hAnsi="Tahoma" w:cs="Tahoma"/>
          <w:b/>
          <w:bCs/>
          <w:sz w:val="20"/>
          <w:szCs w:val="20"/>
        </w:rPr>
        <w:t xml:space="preserve"> </w:t>
      </w:r>
      <w:r w:rsidRPr="00B004EE">
        <w:rPr>
          <w:rFonts w:ascii="Tahoma" w:eastAsia="EUAlbertina-Regular-Identity-H" w:hAnsi="Tahoma" w:cs="Tahoma"/>
          <w:sz w:val="20"/>
          <w:szCs w:val="20"/>
        </w:rPr>
        <w:t>Lorsque</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les</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résultats</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de</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l’échantillonnage</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ou</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du</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contrôle</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révèlent</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que</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les</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normes</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sanitaires</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concernant</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les</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mollusques</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ne</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sont</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pas</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respectées</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ou</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que</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la</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santé</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humaine</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est</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mise</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en</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péril,</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l’Autorité</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Compétente</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est</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immédiatement</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avisée</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qui</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en</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informe</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le</w:t>
      </w:r>
      <w:r w:rsidR="00DB1635" w:rsidRPr="00B004EE">
        <w:rPr>
          <w:rFonts w:ascii="Tahoma" w:eastAsia="EUAlbertina-Regular-Identity-H" w:hAnsi="Tahoma" w:cs="Tahoma"/>
          <w:sz w:val="20"/>
          <w:szCs w:val="20"/>
        </w:rPr>
        <w:t xml:space="preserve"> </w:t>
      </w:r>
      <w:r w:rsidRPr="00B004EE">
        <w:rPr>
          <w:rFonts w:ascii="Tahoma" w:hAnsi="Tahoma" w:cs="Tahoma"/>
          <w:sz w:val="20"/>
          <w:szCs w:val="20"/>
        </w:rPr>
        <w:t>Wali</w:t>
      </w:r>
      <w:r w:rsidR="00DB1635" w:rsidRPr="00B004EE">
        <w:rPr>
          <w:rFonts w:ascii="Tahoma" w:hAnsi="Tahoma" w:cs="Tahoma"/>
          <w:sz w:val="20"/>
          <w:szCs w:val="20"/>
        </w:rPr>
        <w:t xml:space="preserve"> </w:t>
      </w:r>
      <w:r w:rsidRPr="00B004EE">
        <w:rPr>
          <w:rFonts w:ascii="Tahoma" w:hAnsi="Tahoma" w:cs="Tahoma"/>
          <w:sz w:val="20"/>
          <w:szCs w:val="20"/>
        </w:rPr>
        <w:t>territorialement</w:t>
      </w:r>
      <w:r w:rsidR="00DB1635" w:rsidRPr="00B004EE">
        <w:rPr>
          <w:rFonts w:ascii="Tahoma" w:hAnsi="Tahoma" w:cs="Tahoma"/>
          <w:sz w:val="20"/>
          <w:szCs w:val="20"/>
        </w:rPr>
        <w:t xml:space="preserve"> </w:t>
      </w:r>
      <w:r w:rsidRPr="00B004EE">
        <w:rPr>
          <w:rFonts w:ascii="Tahoma" w:hAnsi="Tahoma" w:cs="Tahoma"/>
          <w:sz w:val="20"/>
          <w:szCs w:val="20"/>
        </w:rPr>
        <w:t>compétent</w:t>
      </w:r>
      <w:r w:rsidR="00DB1635" w:rsidRPr="00B004EE">
        <w:rPr>
          <w:rFonts w:ascii="Tahoma" w:hAnsi="Tahoma" w:cs="Tahoma"/>
          <w:sz w:val="20"/>
          <w:szCs w:val="20"/>
        </w:rPr>
        <w:t xml:space="preserve"> </w:t>
      </w:r>
      <w:r w:rsidRPr="00B004EE">
        <w:rPr>
          <w:rFonts w:ascii="Tahoma" w:eastAsia="EUAlbertina-Regular-Identity-H" w:hAnsi="Tahoma" w:cs="Tahoma"/>
          <w:sz w:val="20"/>
          <w:szCs w:val="20"/>
        </w:rPr>
        <w:t>et</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la</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Commission</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suivi</w:t>
      </w:r>
      <w:r w:rsidR="00DB1635" w:rsidRPr="00B004EE">
        <w:rPr>
          <w:rFonts w:ascii="Tahoma" w:hAnsi="Tahoma" w:cs="Tahoma"/>
          <w:sz w:val="20"/>
          <w:szCs w:val="20"/>
        </w:rPr>
        <w:t xml:space="preserve"> </w:t>
      </w:r>
      <w:r w:rsidRPr="00B004EE">
        <w:rPr>
          <w:rFonts w:ascii="Tahoma" w:hAnsi="Tahoma" w:cs="Tahoma"/>
          <w:sz w:val="20"/>
          <w:szCs w:val="20"/>
        </w:rPr>
        <w:t>sanitaire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zones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production</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coquillages</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se</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réunit</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sans</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délai</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si</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nécessaire.</w:t>
      </w:r>
    </w:p>
    <w:p w14:paraId="2A9EC4FF" w14:textId="77777777" w:rsidR="002F24E1" w:rsidRPr="00B004EE" w:rsidRDefault="002F24E1" w:rsidP="00B004EE">
      <w:pPr>
        <w:autoSpaceDE w:val="0"/>
        <w:autoSpaceDN w:val="0"/>
        <w:adjustRightInd w:val="0"/>
        <w:jc w:val="both"/>
        <w:rPr>
          <w:rFonts w:ascii="Tahoma" w:eastAsia="EUAlbertina-Regular-Identity-H" w:hAnsi="Tahoma" w:cs="Tahoma"/>
          <w:sz w:val="20"/>
          <w:szCs w:val="20"/>
        </w:rPr>
      </w:pPr>
    </w:p>
    <w:p w14:paraId="27F826F5" w14:textId="75E55A4F" w:rsidR="002F24E1" w:rsidRPr="00B004EE" w:rsidRDefault="002F24E1" w:rsidP="00B004EE">
      <w:pPr>
        <w:autoSpaceDE w:val="0"/>
        <w:autoSpaceDN w:val="0"/>
        <w:adjustRightInd w:val="0"/>
        <w:jc w:val="both"/>
        <w:rPr>
          <w:rFonts w:ascii="Tahoma" w:eastAsia="EUAlbertina-Regular-Identity-H" w:hAnsi="Tahoma" w:cs="Tahoma"/>
          <w:sz w:val="20"/>
          <w:szCs w:val="20"/>
        </w:rPr>
      </w:pPr>
      <w:r w:rsidRPr="00B004EE">
        <w:rPr>
          <w:rFonts w:ascii="Tahoma" w:eastAsia="EUAlbertina-Regular-Identity-H" w:hAnsi="Tahoma" w:cs="Tahoma"/>
          <w:sz w:val="20"/>
          <w:szCs w:val="20"/>
        </w:rPr>
        <w:t>A</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l’issue</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du</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rapport</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de</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la</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commission,</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le</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Ministre</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prendra</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par</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arrêté</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la</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décision</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de</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fermeture</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de</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la</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zone</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et</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le</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cas</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échéant</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la</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mesure</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du</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retrait</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du</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marché</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ou</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toute</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autre</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mesure</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appropriée.</w:t>
      </w:r>
    </w:p>
    <w:p w14:paraId="75FB40F2" w14:textId="77777777" w:rsidR="002F24E1" w:rsidRPr="00B004EE" w:rsidRDefault="002F24E1" w:rsidP="00B004EE">
      <w:pPr>
        <w:autoSpaceDE w:val="0"/>
        <w:autoSpaceDN w:val="0"/>
        <w:adjustRightInd w:val="0"/>
        <w:jc w:val="both"/>
        <w:rPr>
          <w:rFonts w:ascii="Tahoma" w:eastAsia="EUAlbertina-Regular-Identity-H" w:hAnsi="Tahoma" w:cs="Tahoma"/>
          <w:sz w:val="20"/>
          <w:szCs w:val="20"/>
        </w:rPr>
      </w:pPr>
    </w:p>
    <w:p w14:paraId="2E48B4CA" w14:textId="4F028EAA" w:rsidR="002F24E1" w:rsidRPr="00B004EE" w:rsidRDefault="002F24E1" w:rsidP="00B004EE">
      <w:pPr>
        <w:autoSpaceDE w:val="0"/>
        <w:autoSpaceDN w:val="0"/>
        <w:adjustRightInd w:val="0"/>
        <w:jc w:val="both"/>
        <w:rPr>
          <w:rFonts w:ascii="Tahoma" w:eastAsia="EUAlbertina-Regular-Identity-H" w:hAnsi="Tahoma" w:cs="Tahoma"/>
          <w:sz w:val="20"/>
          <w:szCs w:val="20"/>
        </w:rPr>
      </w:pPr>
      <w:r w:rsidRPr="00B004EE">
        <w:rPr>
          <w:rFonts w:ascii="Tahoma" w:eastAsia="EUAlbertina-Regular-Identity-H" w:hAnsi="Tahoma" w:cs="Tahoma"/>
          <w:sz w:val="20"/>
          <w:szCs w:val="20"/>
        </w:rPr>
        <w:t>La</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réouverture</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d’une</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zone</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de</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production</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fermée</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ne</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sera</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décidée</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par</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l’Autorité</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Compétente</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que</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si</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les</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normes</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sanitaires</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concernant</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les</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mollusques</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sont</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de</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nouveau</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conformes</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à</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la</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législation.</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Si</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la</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fermeture</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d’une</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zone</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de</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production</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est</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prononcée</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en</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raison</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de</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la</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présence</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de</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plancton</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ou</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de</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teneurs</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excessives</w:t>
      </w:r>
      <w:r w:rsidR="005E4C57"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en</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toxines</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dans</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les</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mollusques,</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sa</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réouverture</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est</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conditionnée</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par</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deux</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analyses</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successives,</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pratiquées</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à</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quarante-huit</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heures</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d’intervalle</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au</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minimum,</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dont</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les</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résultats</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doivent</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se</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situer</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en</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deçà</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de</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la</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limite</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réglementaire.</w:t>
      </w:r>
    </w:p>
    <w:p w14:paraId="364C62B4" w14:textId="77777777" w:rsidR="002F24E1" w:rsidRPr="00B004EE" w:rsidRDefault="002F24E1" w:rsidP="00B004EE">
      <w:pPr>
        <w:autoSpaceDE w:val="0"/>
        <w:autoSpaceDN w:val="0"/>
        <w:adjustRightInd w:val="0"/>
        <w:jc w:val="both"/>
        <w:rPr>
          <w:rFonts w:ascii="Tahoma" w:eastAsia="EUAlbertina-Regular-Identity-H" w:hAnsi="Tahoma" w:cs="Tahoma"/>
          <w:sz w:val="20"/>
          <w:szCs w:val="20"/>
        </w:rPr>
      </w:pPr>
    </w:p>
    <w:p w14:paraId="2B736B82" w14:textId="6E3CEE4A" w:rsidR="002F24E1" w:rsidRPr="00B004EE" w:rsidRDefault="002F24E1" w:rsidP="00B004EE">
      <w:pPr>
        <w:autoSpaceDE w:val="0"/>
        <w:autoSpaceDN w:val="0"/>
        <w:adjustRightInd w:val="0"/>
        <w:jc w:val="both"/>
        <w:rPr>
          <w:rFonts w:ascii="Tahoma" w:eastAsia="EUAlbertina-Regular-Identity-H" w:hAnsi="Tahoma" w:cs="Tahoma"/>
          <w:sz w:val="20"/>
          <w:szCs w:val="20"/>
        </w:rPr>
      </w:pPr>
      <w:r w:rsidRPr="00B004EE">
        <w:rPr>
          <w:rFonts w:ascii="Tahoma" w:eastAsia="EUAlbertina-Regular-Identity-H" w:hAnsi="Tahoma" w:cs="Tahoma"/>
          <w:sz w:val="20"/>
          <w:szCs w:val="20"/>
        </w:rPr>
        <w:t>L’ONISPA</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est</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tenu</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informé</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de</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l’ensemble</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des</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mesures</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prises</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dans</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le</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cadre</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du</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présent</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article.</w:t>
      </w:r>
    </w:p>
    <w:p w14:paraId="05F02515" w14:textId="77777777" w:rsidR="002F24E1" w:rsidRPr="00B004EE" w:rsidRDefault="002F24E1" w:rsidP="00B004EE">
      <w:pPr>
        <w:autoSpaceDE w:val="0"/>
        <w:autoSpaceDN w:val="0"/>
        <w:adjustRightInd w:val="0"/>
        <w:jc w:val="both"/>
        <w:rPr>
          <w:rFonts w:ascii="Tahoma" w:eastAsia="EUAlbertina-Regular-Identity-H" w:hAnsi="Tahoma" w:cs="Tahoma"/>
          <w:sz w:val="20"/>
          <w:szCs w:val="20"/>
        </w:rPr>
      </w:pPr>
    </w:p>
    <w:p w14:paraId="68CB5BB6" w14:textId="1C98C3C8" w:rsidR="002F24E1" w:rsidRPr="00B004EE" w:rsidRDefault="002F24E1" w:rsidP="00B004EE">
      <w:pPr>
        <w:autoSpaceDE w:val="0"/>
        <w:autoSpaceDN w:val="0"/>
        <w:adjustRightInd w:val="0"/>
        <w:jc w:val="both"/>
        <w:rPr>
          <w:rFonts w:ascii="Tahoma" w:eastAsia="EUAlbertina-Regular-Identity-H" w:hAnsi="Tahoma" w:cs="Tahoma"/>
          <w:sz w:val="20"/>
          <w:szCs w:val="20"/>
        </w:rPr>
      </w:pPr>
      <w:r w:rsidRPr="00A155DA">
        <w:rPr>
          <w:rFonts w:ascii="Tahoma" w:hAnsi="Tahoma" w:cs="Tahoma"/>
          <w:sz w:val="20"/>
          <w:szCs w:val="20"/>
        </w:rPr>
        <w:t>Article</w:t>
      </w:r>
      <w:r w:rsidR="00DB1635" w:rsidRPr="00A155DA">
        <w:rPr>
          <w:rFonts w:ascii="Tahoma" w:hAnsi="Tahoma" w:cs="Tahoma"/>
          <w:sz w:val="20"/>
          <w:szCs w:val="20"/>
        </w:rPr>
        <w:t xml:space="preserve"> </w:t>
      </w:r>
      <w:r w:rsidRPr="00A155DA">
        <w:rPr>
          <w:rFonts w:ascii="Tahoma" w:hAnsi="Tahoma" w:cs="Tahoma"/>
          <w:sz w:val="20"/>
          <w:szCs w:val="20"/>
        </w:rPr>
        <w:t>6</w:t>
      </w:r>
      <w:r w:rsidR="00DB1635" w:rsidRPr="00A155DA">
        <w:rPr>
          <w:rFonts w:ascii="Tahoma" w:hAnsi="Tahoma" w:cs="Tahoma"/>
          <w:sz w:val="20"/>
          <w:szCs w:val="20"/>
        </w:rPr>
        <w:t xml:space="preserve"> </w:t>
      </w:r>
      <w:r w:rsidRPr="00A155DA">
        <w:rPr>
          <w:rFonts w:ascii="Tahoma" w:hAnsi="Tahoma" w:cs="Tahoma"/>
          <w:sz w:val="20"/>
          <w:szCs w:val="20"/>
        </w:rPr>
        <w:t>:</w:t>
      </w:r>
      <w:r w:rsidR="00DB1635" w:rsidRPr="00B004EE">
        <w:rPr>
          <w:rFonts w:ascii="Tahoma" w:hAnsi="Tahoma" w:cs="Tahoma"/>
          <w:b/>
          <w:bCs/>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dispositions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eastAsia="EUAlbertina-Regular-Identity-H" w:hAnsi="Tahoma" w:cs="Tahoma"/>
          <w:sz w:val="20"/>
          <w:szCs w:val="20"/>
        </w:rPr>
        <w:t>l’Annexe</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B</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de</w:t>
      </w:r>
      <w:r w:rsidR="00DB1635" w:rsidRPr="00B004EE">
        <w:rPr>
          <w:rFonts w:ascii="Tahoma" w:eastAsia="EUAlbertina-Regular-Identity-H" w:hAnsi="Tahoma" w:cs="Tahoma"/>
          <w:sz w:val="20"/>
          <w:szCs w:val="20"/>
        </w:rPr>
        <w:t xml:space="preserve"> </w:t>
      </w:r>
      <w:r w:rsidRPr="00B004EE">
        <w:rPr>
          <w:rFonts w:ascii="Tahoma" w:hAnsi="Tahoma" w:cs="Tahoma"/>
          <w:sz w:val="20"/>
          <w:szCs w:val="20"/>
        </w:rPr>
        <w:t>l’arrêté</w:t>
      </w:r>
      <w:r w:rsidR="00DB1635" w:rsidRPr="00B004EE">
        <w:rPr>
          <w:rFonts w:ascii="Tahoma" w:hAnsi="Tahoma" w:cs="Tahoma"/>
          <w:sz w:val="20"/>
          <w:szCs w:val="20"/>
        </w:rPr>
        <w:t xml:space="preserve"> </w:t>
      </w:r>
      <w:r w:rsidRPr="00B004EE">
        <w:rPr>
          <w:rFonts w:ascii="Tahoma" w:hAnsi="Tahoma" w:cs="Tahoma"/>
          <w:sz w:val="20"/>
          <w:szCs w:val="20"/>
        </w:rPr>
        <w:t>conjoint</w:t>
      </w:r>
      <w:r w:rsidR="00DB1635" w:rsidRPr="00B004EE">
        <w:rPr>
          <w:rFonts w:ascii="Tahoma" w:hAnsi="Tahoma" w:cs="Tahoma"/>
          <w:sz w:val="20"/>
          <w:szCs w:val="20"/>
        </w:rPr>
        <w:t xml:space="preserve"> </w:t>
      </w:r>
      <w:r w:rsidRPr="00B004EE">
        <w:rPr>
          <w:rFonts w:ascii="Tahoma" w:hAnsi="Tahoma" w:cs="Tahoma"/>
          <w:sz w:val="20"/>
          <w:szCs w:val="20"/>
        </w:rPr>
        <w:t>n°</w:t>
      </w:r>
      <w:r w:rsidR="00DB1635" w:rsidRPr="00B004EE">
        <w:rPr>
          <w:rFonts w:ascii="Tahoma" w:hAnsi="Tahoma" w:cs="Tahoma"/>
          <w:sz w:val="20"/>
          <w:szCs w:val="20"/>
        </w:rPr>
        <w:t xml:space="preserve"> </w:t>
      </w:r>
      <w:r w:rsidRPr="00B004EE">
        <w:rPr>
          <w:rFonts w:ascii="Tahoma" w:hAnsi="Tahoma" w:cs="Tahoma"/>
          <w:sz w:val="20"/>
          <w:szCs w:val="20"/>
        </w:rPr>
        <w:t>2860</w:t>
      </w:r>
      <w:r w:rsidR="00DB1635" w:rsidRPr="00B004EE">
        <w:rPr>
          <w:rFonts w:ascii="Tahoma" w:hAnsi="Tahoma" w:cs="Tahoma"/>
          <w:sz w:val="20"/>
          <w:szCs w:val="20"/>
        </w:rPr>
        <w:t xml:space="preserve"> </w:t>
      </w:r>
      <w:r w:rsidRPr="00B004EE">
        <w:rPr>
          <w:rFonts w:ascii="Tahoma" w:hAnsi="Tahoma" w:cs="Tahoma"/>
          <w:sz w:val="20"/>
          <w:szCs w:val="20"/>
        </w:rPr>
        <w:t>MPEM/MCAT/MSAS/SEPME</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16</w:t>
      </w:r>
      <w:r w:rsidR="00DB1635" w:rsidRPr="00B004EE">
        <w:rPr>
          <w:rFonts w:ascii="Tahoma" w:hAnsi="Tahoma" w:cs="Tahoma"/>
          <w:sz w:val="20"/>
          <w:szCs w:val="20"/>
        </w:rPr>
        <w:t xml:space="preserve"> </w:t>
      </w:r>
      <w:r w:rsidRPr="00B004EE">
        <w:rPr>
          <w:rFonts w:ascii="Tahoma" w:hAnsi="Tahoma" w:cs="Tahoma"/>
          <w:sz w:val="20"/>
          <w:szCs w:val="20"/>
        </w:rPr>
        <w:t>novembre</w:t>
      </w:r>
      <w:r w:rsidR="00DB1635" w:rsidRPr="00B004EE">
        <w:rPr>
          <w:rFonts w:ascii="Tahoma" w:hAnsi="Tahoma" w:cs="Tahoma"/>
          <w:sz w:val="20"/>
          <w:szCs w:val="20"/>
        </w:rPr>
        <w:t xml:space="preserve"> </w:t>
      </w:r>
      <w:r w:rsidRPr="00B004EE">
        <w:rPr>
          <w:rFonts w:ascii="Tahoma" w:hAnsi="Tahoma" w:cs="Tahoma"/>
          <w:sz w:val="20"/>
          <w:szCs w:val="20"/>
        </w:rPr>
        <w:t>2006</w:t>
      </w:r>
      <w:r w:rsidR="00DB1635" w:rsidRPr="00B004EE">
        <w:rPr>
          <w:rFonts w:ascii="Tahoma" w:hAnsi="Tahoma" w:cs="Tahoma"/>
          <w:sz w:val="20"/>
          <w:szCs w:val="20"/>
        </w:rPr>
        <w:t xml:space="preserve"> </w:t>
      </w:r>
      <w:r w:rsidRPr="00B004EE">
        <w:rPr>
          <w:rFonts w:ascii="Tahoma" w:hAnsi="Tahoma" w:cs="Tahoma"/>
          <w:sz w:val="20"/>
          <w:szCs w:val="20"/>
        </w:rPr>
        <w:t>relatif</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contrôles</w:t>
      </w:r>
      <w:r w:rsidR="00DB1635" w:rsidRPr="00B004EE">
        <w:rPr>
          <w:rFonts w:ascii="Tahoma" w:hAnsi="Tahoma" w:cs="Tahoma"/>
          <w:sz w:val="20"/>
          <w:szCs w:val="20"/>
        </w:rPr>
        <w:t xml:space="preserve"> </w:t>
      </w:r>
      <w:r w:rsidRPr="00B004EE">
        <w:rPr>
          <w:rFonts w:ascii="Tahoma" w:hAnsi="Tahoma" w:cs="Tahoma"/>
          <w:sz w:val="20"/>
          <w:szCs w:val="20"/>
        </w:rPr>
        <w:t>officiels</w:t>
      </w:r>
      <w:r w:rsidR="00DB1635" w:rsidRPr="00B004EE">
        <w:rPr>
          <w:rFonts w:ascii="Tahoma" w:hAnsi="Tahoma" w:cs="Tahoma"/>
          <w:sz w:val="20"/>
          <w:szCs w:val="20"/>
        </w:rPr>
        <w:t xml:space="preserve"> </w:t>
      </w:r>
      <w:r w:rsidRPr="00B004EE">
        <w:rPr>
          <w:rFonts w:ascii="Tahoma" w:hAnsi="Tahoma" w:cs="Tahoma"/>
          <w:sz w:val="20"/>
          <w:szCs w:val="20"/>
        </w:rPr>
        <w:t>applicables</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destinés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l’exportation</w:t>
      </w:r>
      <w:r w:rsidR="00DB1635" w:rsidRPr="00B004EE">
        <w:rPr>
          <w:rFonts w:ascii="Tahoma" w:hAnsi="Tahoma" w:cs="Tahoma"/>
          <w:sz w:val="20"/>
          <w:szCs w:val="20"/>
        </w:rPr>
        <w:t xml:space="preserve"> </w:t>
      </w:r>
      <w:r w:rsidRPr="00B004EE">
        <w:rPr>
          <w:rFonts w:ascii="Tahoma" w:hAnsi="Tahoma" w:cs="Tahoma"/>
          <w:sz w:val="20"/>
          <w:szCs w:val="20"/>
        </w:rPr>
        <w:t>vers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marchés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l’Union</w:t>
      </w:r>
      <w:r w:rsidR="00DB1635" w:rsidRPr="00B004EE">
        <w:rPr>
          <w:rFonts w:ascii="Tahoma" w:hAnsi="Tahoma" w:cs="Tahoma"/>
          <w:sz w:val="20"/>
          <w:szCs w:val="20"/>
        </w:rPr>
        <w:t xml:space="preserve"> </w:t>
      </w:r>
      <w:r w:rsidRPr="00B004EE">
        <w:rPr>
          <w:rFonts w:ascii="Tahoma" w:hAnsi="Tahoma" w:cs="Tahoma"/>
          <w:sz w:val="20"/>
          <w:szCs w:val="20"/>
        </w:rPr>
        <w:t>Européenne</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applicables.</w:t>
      </w:r>
      <w:r w:rsidR="00DB1635" w:rsidRPr="00B004EE">
        <w:rPr>
          <w:rFonts w:ascii="Tahoma" w:hAnsi="Tahoma" w:cs="Tahoma"/>
          <w:sz w:val="20"/>
          <w:szCs w:val="20"/>
        </w:rPr>
        <w:t xml:space="preserve"> </w:t>
      </w:r>
    </w:p>
    <w:p w14:paraId="5C8A4116" w14:textId="77777777" w:rsidR="002F24E1" w:rsidRPr="00B004EE" w:rsidRDefault="002F24E1" w:rsidP="00B004EE">
      <w:pPr>
        <w:autoSpaceDE w:val="0"/>
        <w:autoSpaceDN w:val="0"/>
        <w:adjustRightInd w:val="0"/>
        <w:jc w:val="both"/>
        <w:rPr>
          <w:rFonts w:ascii="Tahoma" w:hAnsi="Tahoma" w:cs="Tahoma"/>
          <w:b/>
          <w:bCs/>
          <w:sz w:val="20"/>
          <w:szCs w:val="20"/>
        </w:rPr>
      </w:pPr>
    </w:p>
    <w:p w14:paraId="3EEFDF61" w14:textId="1B011C33" w:rsidR="002F24E1" w:rsidRPr="00B004EE" w:rsidRDefault="002F24E1" w:rsidP="00B004EE">
      <w:pPr>
        <w:jc w:val="both"/>
        <w:rPr>
          <w:rFonts w:ascii="Tahoma" w:hAnsi="Tahoma" w:cs="Tahoma"/>
          <w:sz w:val="20"/>
          <w:szCs w:val="20"/>
        </w:rPr>
      </w:pPr>
      <w:r w:rsidRPr="00A155DA">
        <w:rPr>
          <w:rFonts w:ascii="Tahoma" w:hAnsi="Tahoma" w:cs="Tahoma"/>
          <w:sz w:val="20"/>
          <w:szCs w:val="20"/>
        </w:rPr>
        <w:t>Article</w:t>
      </w:r>
      <w:r w:rsidR="00DB1635" w:rsidRPr="00A155DA">
        <w:rPr>
          <w:rFonts w:ascii="Tahoma" w:hAnsi="Tahoma" w:cs="Tahoma"/>
          <w:sz w:val="20"/>
          <w:szCs w:val="20"/>
        </w:rPr>
        <w:t xml:space="preserve"> </w:t>
      </w:r>
      <w:r w:rsidRPr="00A155DA">
        <w:rPr>
          <w:rFonts w:ascii="Tahoma" w:hAnsi="Tahoma" w:cs="Tahoma"/>
          <w:sz w:val="20"/>
          <w:szCs w:val="20"/>
        </w:rPr>
        <w:t>7</w:t>
      </w:r>
      <w:r w:rsidR="00DB1635" w:rsidRPr="00A155DA">
        <w:rPr>
          <w:rFonts w:ascii="Tahoma" w:hAnsi="Tahoma" w:cs="Tahoma"/>
          <w:sz w:val="20"/>
          <w:szCs w:val="20"/>
        </w:rPr>
        <w:t xml:space="preserve"> </w:t>
      </w:r>
      <w:r w:rsidRPr="00A155DA">
        <w:rPr>
          <w:rFonts w:ascii="Tahoma" w:hAnsi="Tahoma" w:cs="Tahoma"/>
          <w:sz w:val="20"/>
          <w:szCs w:val="20"/>
        </w:rPr>
        <w:t>:</w:t>
      </w:r>
      <w:r w:rsidR="00DB1635" w:rsidRPr="00B004EE">
        <w:rPr>
          <w:rFonts w:ascii="Tahoma" w:hAnsi="Tahoma" w:cs="Tahoma"/>
          <w:b/>
          <w:bCs/>
          <w:sz w:val="20"/>
          <w:szCs w:val="20"/>
        </w:rPr>
        <w:t xml:space="preserve"> </w:t>
      </w:r>
      <w:r w:rsidRPr="00B004EE">
        <w:rPr>
          <w:rFonts w:ascii="Tahoma" w:hAnsi="Tahoma" w:cs="Tahoma"/>
          <w:bCs/>
          <w:sz w:val="20"/>
          <w:szCs w:val="20"/>
        </w:rPr>
        <w:t>Sans</w:t>
      </w:r>
      <w:r w:rsidR="00DB1635" w:rsidRPr="00B004EE">
        <w:rPr>
          <w:rFonts w:ascii="Tahoma" w:hAnsi="Tahoma" w:cs="Tahoma"/>
          <w:bCs/>
          <w:sz w:val="20"/>
          <w:szCs w:val="20"/>
        </w:rPr>
        <w:t xml:space="preserve"> </w:t>
      </w:r>
      <w:r w:rsidRPr="00B004EE">
        <w:rPr>
          <w:rFonts w:ascii="Tahoma" w:hAnsi="Tahoma" w:cs="Tahoma"/>
          <w:bCs/>
          <w:sz w:val="20"/>
          <w:szCs w:val="20"/>
        </w:rPr>
        <w:t>préjudice</w:t>
      </w:r>
      <w:r w:rsidR="00DB1635" w:rsidRPr="00B004EE">
        <w:rPr>
          <w:rFonts w:ascii="Tahoma" w:hAnsi="Tahoma" w:cs="Tahoma"/>
          <w:bCs/>
          <w:sz w:val="20"/>
          <w:szCs w:val="20"/>
        </w:rPr>
        <w:t xml:space="preserve"> </w:t>
      </w:r>
      <w:r w:rsidRPr="00B004EE">
        <w:rPr>
          <w:rFonts w:ascii="Tahoma" w:hAnsi="Tahoma" w:cs="Tahoma"/>
          <w:bCs/>
          <w:sz w:val="20"/>
          <w:szCs w:val="20"/>
        </w:rPr>
        <w:t>des</w:t>
      </w:r>
      <w:r w:rsidR="00DB1635" w:rsidRPr="00B004EE">
        <w:rPr>
          <w:rFonts w:ascii="Tahoma" w:hAnsi="Tahoma" w:cs="Tahoma"/>
          <w:bCs/>
          <w:sz w:val="20"/>
          <w:szCs w:val="20"/>
        </w:rPr>
        <w:t xml:space="preserve"> </w:t>
      </w:r>
      <w:r w:rsidRPr="00B004EE">
        <w:rPr>
          <w:rFonts w:ascii="Tahoma" w:hAnsi="Tahoma" w:cs="Tahoma"/>
          <w:bCs/>
          <w:sz w:val="20"/>
          <w:szCs w:val="20"/>
        </w:rPr>
        <w:t>infractions</w:t>
      </w:r>
      <w:r w:rsidR="00DB1635" w:rsidRPr="00B004EE">
        <w:rPr>
          <w:rFonts w:ascii="Tahoma" w:hAnsi="Tahoma" w:cs="Tahoma"/>
          <w:bCs/>
          <w:sz w:val="20"/>
          <w:szCs w:val="20"/>
        </w:rPr>
        <w:t xml:space="preserve"> </w:t>
      </w:r>
      <w:r w:rsidRPr="00B004EE">
        <w:rPr>
          <w:rFonts w:ascii="Tahoma" w:hAnsi="Tahoma" w:cs="Tahoma"/>
          <w:bCs/>
          <w:sz w:val="20"/>
          <w:szCs w:val="20"/>
        </w:rPr>
        <w:t>et</w:t>
      </w:r>
      <w:r w:rsidR="00DB1635" w:rsidRPr="00B004EE">
        <w:rPr>
          <w:rFonts w:ascii="Tahoma" w:hAnsi="Tahoma" w:cs="Tahoma"/>
          <w:bCs/>
          <w:sz w:val="20"/>
          <w:szCs w:val="20"/>
        </w:rPr>
        <w:t xml:space="preserve"> </w:t>
      </w:r>
      <w:r w:rsidRPr="00B004EE">
        <w:rPr>
          <w:rFonts w:ascii="Tahoma" w:hAnsi="Tahoma" w:cs="Tahoma"/>
          <w:bCs/>
          <w:sz w:val="20"/>
          <w:szCs w:val="20"/>
        </w:rPr>
        <w:t>sanctions</w:t>
      </w:r>
      <w:r w:rsidR="00DB1635" w:rsidRPr="00B004EE">
        <w:rPr>
          <w:rFonts w:ascii="Tahoma" w:hAnsi="Tahoma" w:cs="Tahoma"/>
          <w:bCs/>
          <w:sz w:val="20"/>
          <w:szCs w:val="20"/>
        </w:rPr>
        <w:t xml:space="preserve"> </w:t>
      </w:r>
      <w:r w:rsidRPr="00B004EE">
        <w:rPr>
          <w:rFonts w:ascii="Tahoma" w:hAnsi="Tahoma" w:cs="Tahoma"/>
          <w:bCs/>
          <w:sz w:val="20"/>
          <w:szCs w:val="20"/>
        </w:rPr>
        <w:t>prévues</w:t>
      </w:r>
      <w:r w:rsidR="00DB1635" w:rsidRPr="00B004EE">
        <w:rPr>
          <w:rFonts w:ascii="Tahoma" w:hAnsi="Tahoma" w:cs="Tahoma"/>
          <w:bCs/>
          <w:sz w:val="20"/>
          <w:szCs w:val="20"/>
        </w:rPr>
        <w:t xml:space="preserve"> </w:t>
      </w:r>
      <w:r w:rsidRPr="00B004EE">
        <w:rPr>
          <w:rFonts w:ascii="Tahoma" w:hAnsi="Tahoma" w:cs="Tahoma"/>
          <w:bCs/>
          <w:sz w:val="20"/>
          <w:szCs w:val="20"/>
        </w:rPr>
        <w:t>par</w:t>
      </w:r>
      <w:r w:rsidR="00DB1635" w:rsidRPr="00B004EE">
        <w:rPr>
          <w:rFonts w:ascii="Tahoma" w:hAnsi="Tahoma" w:cs="Tahoma"/>
          <w:bCs/>
          <w:sz w:val="20"/>
          <w:szCs w:val="20"/>
        </w:rPr>
        <w:t xml:space="preserve"> </w:t>
      </w:r>
      <w:r w:rsidRPr="00B004EE">
        <w:rPr>
          <w:rFonts w:ascii="Tahoma" w:hAnsi="Tahoma" w:cs="Tahoma"/>
          <w:bCs/>
          <w:sz w:val="20"/>
          <w:szCs w:val="20"/>
        </w:rPr>
        <w:t>les</w:t>
      </w:r>
      <w:r w:rsidR="00DB1635" w:rsidRPr="00B004EE">
        <w:rPr>
          <w:rFonts w:ascii="Tahoma" w:hAnsi="Tahoma" w:cs="Tahoma"/>
          <w:bCs/>
          <w:sz w:val="20"/>
          <w:szCs w:val="20"/>
        </w:rPr>
        <w:t xml:space="preserve"> </w:t>
      </w:r>
      <w:r w:rsidRPr="00B004EE">
        <w:rPr>
          <w:rFonts w:ascii="Tahoma" w:hAnsi="Tahoma" w:cs="Tahoma"/>
          <w:bCs/>
          <w:sz w:val="20"/>
          <w:szCs w:val="20"/>
        </w:rPr>
        <w:t>autres</w:t>
      </w:r>
      <w:r w:rsidR="00DB1635" w:rsidRPr="00B004EE">
        <w:rPr>
          <w:rFonts w:ascii="Tahoma" w:hAnsi="Tahoma" w:cs="Tahoma"/>
          <w:bCs/>
          <w:sz w:val="20"/>
          <w:szCs w:val="20"/>
        </w:rPr>
        <w:t xml:space="preserve"> </w:t>
      </w:r>
      <w:r w:rsidRPr="00B004EE">
        <w:rPr>
          <w:rFonts w:ascii="Tahoma" w:hAnsi="Tahoma" w:cs="Tahoma"/>
          <w:bCs/>
          <w:sz w:val="20"/>
          <w:szCs w:val="20"/>
        </w:rPr>
        <w:t>textes</w:t>
      </w:r>
      <w:r w:rsidR="00DB1635" w:rsidRPr="00B004EE">
        <w:rPr>
          <w:rFonts w:ascii="Tahoma" w:hAnsi="Tahoma" w:cs="Tahoma"/>
          <w:bCs/>
          <w:sz w:val="20"/>
          <w:szCs w:val="20"/>
        </w:rPr>
        <w:t xml:space="preserve"> </w:t>
      </w:r>
      <w:r w:rsidRPr="00B004EE">
        <w:rPr>
          <w:rFonts w:ascii="Tahoma" w:hAnsi="Tahoma" w:cs="Tahoma"/>
          <w:bCs/>
          <w:sz w:val="20"/>
          <w:szCs w:val="20"/>
        </w:rPr>
        <w:t>réglementaires,</w:t>
      </w:r>
      <w:r w:rsidR="00DB1635" w:rsidRPr="00B004EE">
        <w:rPr>
          <w:rFonts w:ascii="Tahoma" w:hAnsi="Tahoma" w:cs="Tahoma"/>
          <w:b/>
          <w:bCs/>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infractions</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dispositions</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présent</w:t>
      </w:r>
      <w:r w:rsidR="00DB1635" w:rsidRPr="00B004EE">
        <w:rPr>
          <w:rFonts w:ascii="Tahoma" w:hAnsi="Tahoma" w:cs="Tahoma"/>
          <w:sz w:val="20"/>
          <w:szCs w:val="20"/>
        </w:rPr>
        <w:t xml:space="preserve"> </w:t>
      </w:r>
      <w:r w:rsidRPr="00B004EE">
        <w:rPr>
          <w:rFonts w:ascii="Tahoma" w:hAnsi="Tahoma" w:cs="Tahoma"/>
          <w:sz w:val="20"/>
          <w:szCs w:val="20"/>
        </w:rPr>
        <w:t>arrêté</w:t>
      </w:r>
      <w:r w:rsidR="00DB1635" w:rsidRPr="00B004EE">
        <w:rPr>
          <w:rFonts w:ascii="Tahoma" w:hAnsi="Tahoma" w:cs="Tahoma"/>
          <w:sz w:val="20"/>
          <w:szCs w:val="20"/>
        </w:rPr>
        <w:t xml:space="preserve"> </w:t>
      </w:r>
      <w:r w:rsidRPr="00B004EE">
        <w:rPr>
          <w:rFonts w:ascii="Tahoma" w:hAnsi="Tahoma" w:cs="Tahoma"/>
          <w:sz w:val="20"/>
          <w:szCs w:val="20"/>
        </w:rPr>
        <w:t>seront</w:t>
      </w:r>
      <w:r w:rsidR="00DB1635" w:rsidRPr="00B004EE">
        <w:rPr>
          <w:rFonts w:ascii="Tahoma" w:hAnsi="Tahoma" w:cs="Tahoma"/>
          <w:sz w:val="20"/>
          <w:szCs w:val="20"/>
        </w:rPr>
        <w:t xml:space="preserve"> </w:t>
      </w:r>
      <w:r w:rsidRPr="00B004EE">
        <w:rPr>
          <w:rFonts w:ascii="Tahoma" w:hAnsi="Tahoma" w:cs="Tahoma"/>
          <w:sz w:val="20"/>
          <w:szCs w:val="20"/>
        </w:rPr>
        <w:t>punies</w:t>
      </w:r>
      <w:r w:rsidR="00DB1635" w:rsidRPr="00B004EE">
        <w:rPr>
          <w:rFonts w:ascii="Tahoma" w:hAnsi="Tahoma" w:cs="Tahoma"/>
          <w:sz w:val="20"/>
          <w:szCs w:val="20"/>
        </w:rPr>
        <w:t xml:space="preserve"> </w:t>
      </w:r>
      <w:r w:rsidRPr="00B004EE">
        <w:rPr>
          <w:rFonts w:ascii="Tahoma" w:hAnsi="Tahoma" w:cs="Tahoma"/>
          <w:sz w:val="20"/>
          <w:szCs w:val="20"/>
        </w:rPr>
        <w:t>conformément</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dispositions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l’article</w:t>
      </w:r>
      <w:r w:rsidR="00DB1635" w:rsidRPr="00B004EE">
        <w:rPr>
          <w:rFonts w:ascii="Tahoma" w:hAnsi="Tahoma" w:cs="Tahoma"/>
          <w:sz w:val="20"/>
          <w:szCs w:val="20"/>
        </w:rPr>
        <w:t xml:space="preserve"> </w:t>
      </w:r>
      <w:r w:rsidRPr="00B004EE">
        <w:rPr>
          <w:rFonts w:ascii="Tahoma" w:hAnsi="Tahoma" w:cs="Tahoma"/>
          <w:sz w:val="20"/>
          <w:szCs w:val="20"/>
        </w:rPr>
        <w:t>72</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Loi</w:t>
      </w:r>
      <w:r w:rsidR="00DB1635" w:rsidRPr="00B004EE">
        <w:rPr>
          <w:rFonts w:ascii="Tahoma" w:hAnsi="Tahoma" w:cs="Tahoma"/>
          <w:sz w:val="20"/>
          <w:szCs w:val="20"/>
        </w:rPr>
        <w:t xml:space="preserve"> </w:t>
      </w:r>
      <w:r w:rsidRPr="00B004EE">
        <w:rPr>
          <w:rFonts w:ascii="Tahoma" w:hAnsi="Tahoma" w:cs="Tahoma"/>
          <w:sz w:val="20"/>
          <w:szCs w:val="20"/>
        </w:rPr>
        <w:t>n°</w:t>
      </w:r>
      <w:r w:rsidR="00DB1635" w:rsidRPr="00B004EE">
        <w:rPr>
          <w:rFonts w:ascii="Tahoma" w:hAnsi="Tahoma" w:cs="Tahoma"/>
          <w:sz w:val="20"/>
          <w:szCs w:val="20"/>
        </w:rPr>
        <w:t xml:space="preserve"> </w:t>
      </w:r>
      <w:r w:rsidRPr="00B004EE">
        <w:rPr>
          <w:rFonts w:ascii="Tahoma" w:hAnsi="Tahoma" w:cs="Tahoma"/>
          <w:sz w:val="20"/>
          <w:szCs w:val="20"/>
        </w:rPr>
        <w:t>2000-025</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24</w:t>
      </w:r>
      <w:r w:rsidR="00DB1635" w:rsidRPr="00B004EE">
        <w:rPr>
          <w:rFonts w:ascii="Tahoma" w:hAnsi="Tahoma" w:cs="Tahoma"/>
          <w:sz w:val="20"/>
          <w:szCs w:val="20"/>
        </w:rPr>
        <w:t xml:space="preserve"> </w:t>
      </w:r>
      <w:r w:rsidRPr="00B004EE">
        <w:rPr>
          <w:rFonts w:ascii="Tahoma" w:hAnsi="Tahoma" w:cs="Tahoma"/>
          <w:sz w:val="20"/>
          <w:szCs w:val="20"/>
        </w:rPr>
        <w:t>janvier</w:t>
      </w:r>
      <w:r w:rsidR="00DB1635" w:rsidRPr="00B004EE">
        <w:rPr>
          <w:rFonts w:ascii="Tahoma" w:hAnsi="Tahoma" w:cs="Tahoma"/>
          <w:sz w:val="20"/>
          <w:szCs w:val="20"/>
        </w:rPr>
        <w:t xml:space="preserve"> </w:t>
      </w:r>
      <w:r w:rsidRPr="00B004EE">
        <w:rPr>
          <w:rFonts w:ascii="Tahoma" w:hAnsi="Tahoma" w:cs="Tahoma"/>
          <w:sz w:val="20"/>
          <w:szCs w:val="20"/>
        </w:rPr>
        <w:t>2000</w:t>
      </w:r>
      <w:r w:rsidR="00DB1635" w:rsidRPr="00B004EE">
        <w:rPr>
          <w:rFonts w:ascii="Tahoma" w:hAnsi="Tahoma" w:cs="Tahoma"/>
          <w:sz w:val="20"/>
          <w:szCs w:val="20"/>
        </w:rPr>
        <w:t xml:space="preserve"> </w:t>
      </w:r>
      <w:r w:rsidRPr="00B004EE">
        <w:rPr>
          <w:rFonts w:ascii="Tahoma" w:hAnsi="Tahoma" w:cs="Tahoma"/>
          <w:sz w:val="20"/>
          <w:szCs w:val="20"/>
        </w:rPr>
        <w:t>portant</w:t>
      </w:r>
      <w:r w:rsidR="00DB1635" w:rsidRPr="00B004EE">
        <w:rPr>
          <w:rFonts w:ascii="Tahoma" w:hAnsi="Tahoma" w:cs="Tahoma"/>
          <w:sz w:val="20"/>
          <w:szCs w:val="20"/>
        </w:rPr>
        <w:t xml:space="preserve"> </w:t>
      </w:r>
      <w:r w:rsidRPr="00B004EE">
        <w:rPr>
          <w:rFonts w:ascii="Tahoma" w:hAnsi="Tahoma" w:cs="Tahoma"/>
          <w:sz w:val="20"/>
          <w:szCs w:val="20"/>
        </w:rPr>
        <w:t>Code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sz w:val="20"/>
          <w:szCs w:val="20"/>
        </w:rPr>
        <w:t xml:space="preserve"> </w:t>
      </w:r>
      <w:r w:rsidRPr="00B004EE">
        <w:rPr>
          <w:rFonts w:ascii="Tahoma" w:hAnsi="Tahoma" w:cs="Tahoma"/>
          <w:sz w:val="20"/>
          <w:szCs w:val="20"/>
        </w:rPr>
        <w:t>Ces</w:t>
      </w:r>
      <w:r w:rsidR="00DB1635" w:rsidRPr="00B004EE">
        <w:rPr>
          <w:rFonts w:ascii="Tahoma" w:hAnsi="Tahoma" w:cs="Tahoma"/>
          <w:sz w:val="20"/>
          <w:szCs w:val="20"/>
        </w:rPr>
        <w:t xml:space="preserve"> </w:t>
      </w:r>
      <w:r w:rsidRPr="00B004EE">
        <w:rPr>
          <w:rFonts w:ascii="Tahoma" w:hAnsi="Tahoma" w:cs="Tahoma"/>
          <w:sz w:val="20"/>
          <w:szCs w:val="20"/>
        </w:rPr>
        <w:t>infractions</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constatées</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agents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contrôle</w:t>
      </w:r>
      <w:r w:rsidR="00DB1635" w:rsidRPr="00B004EE">
        <w:rPr>
          <w:rFonts w:ascii="Tahoma" w:hAnsi="Tahoma" w:cs="Tahoma"/>
          <w:sz w:val="20"/>
          <w:szCs w:val="20"/>
        </w:rPr>
        <w:t xml:space="preserve"> </w:t>
      </w:r>
      <w:r w:rsidRPr="00B004EE">
        <w:rPr>
          <w:rFonts w:ascii="Tahoma" w:hAnsi="Tahoma" w:cs="Tahoma"/>
          <w:sz w:val="20"/>
          <w:szCs w:val="20"/>
        </w:rPr>
        <w:t>prévus</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Loi</w:t>
      </w:r>
      <w:r w:rsidR="00DB1635" w:rsidRPr="00B004EE">
        <w:rPr>
          <w:rFonts w:ascii="Tahoma" w:hAnsi="Tahoma" w:cs="Tahoma"/>
          <w:sz w:val="20"/>
          <w:szCs w:val="20"/>
        </w:rPr>
        <w:t xml:space="preserve"> </w:t>
      </w:r>
      <w:r w:rsidRPr="00B004EE">
        <w:rPr>
          <w:rFonts w:ascii="Tahoma" w:hAnsi="Tahoma" w:cs="Tahoma"/>
          <w:sz w:val="20"/>
          <w:szCs w:val="20"/>
        </w:rPr>
        <w:t>2000.025</w:t>
      </w:r>
      <w:r w:rsidR="00DB1635" w:rsidRPr="00B004EE">
        <w:rPr>
          <w:rFonts w:ascii="Tahoma" w:hAnsi="Tahoma" w:cs="Tahoma"/>
          <w:sz w:val="20"/>
          <w:szCs w:val="20"/>
        </w:rPr>
        <w:t xml:space="preserve"> </w:t>
      </w:r>
      <w:r w:rsidRPr="00B004EE">
        <w:rPr>
          <w:rFonts w:ascii="Tahoma" w:hAnsi="Tahoma" w:cs="Tahoma"/>
          <w:sz w:val="20"/>
          <w:szCs w:val="20"/>
        </w:rPr>
        <w:t>portant</w:t>
      </w:r>
      <w:r w:rsidR="00DB1635" w:rsidRPr="00B004EE">
        <w:rPr>
          <w:rFonts w:ascii="Tahoma" w:hAnsi="Tahoma" w:cs="Tahoma"/>
          <w:sz w:val="20"/>
          <w:szCs w:val="20"/>
        </w:rPr>
        <w:t xml:space="preserve"> </w:t>
      </w:r>
      <w:r w:rsidRPr="00B004EE">
        <w:rPr>
          <w:rFonts w:ascii="Tahoma" w:hAnsi="Tahoma" w:cs="Tahoma"/>
          <w:sz w:val="20"/>
          <w:szCs w:val="20"/>
        </w:rPr>
        <w:t>code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agents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contrôle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l’ONISPA</w:t>
      </w:r>
      <w:r w:rsidR="00DB1635" w:rsidRPr="00B004EE">
        <w:rPr>
          <w:rFonts w:ascii="Tahoma" w:hAnsi="Tahoma" w:cs="Tahoma"/>
          <w:sz w:val="20"/>
          <w:szCs w:val="20"/>
        </w:rPr>
        <w:t xml:space="preserve"> </w:t>
      </w:r>
      <w:r w:rsidRPr="00B004EE">
        <w:rPr>
          <w:rFonts w:ascii="Tahoma" w:hAnsi="Tahoma" w:cs="Tahoma"/>
          <w:sz w:val="20"/>
          <w:szCs w:val="20"/>
        </w:rPr>
        <w:t>conformément</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dispositions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l’article</w:t>
      </w:r>
      <w:r w:rsidR="00DB1635" w:rsidRPr="00B004EE">
        <w:rPr>
          <w:rFonts w:ascii="Tahoma" w:hAnsi="Tahoma" w:cs="Tahoma"/>
          <w:sz w:val="20"/>
          <w:szCs w:val="20"/>
        </w:rPr>
        <w:t xml:space="preserve"> </w:t>
      </w:r>
      <w:r w:rsidRPr="00B004EE">
        <w:rPr>
          <w:rFonts w:ascii="Tahoma" w:hAnsi="Tahoma" w:cs="Tahoma"/>
          <w:sz w:val="20"/>
          <w:szCs w:val="20"/>
        </w:rPr>
        <w:t>10</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décret</w:t>
      </w:r>
      <w:r w:rsidR="00DB1635" w:rsidRPr="00B004EE">
        <w:rPr>
          <w:rFonts w:ascii="Tahoma" w:hAnsi="Tahoma" w:cs="Tahoma"/>
          <w:sz w:val="20"/>
          <w:szCs w:val="20"/>
        </w:rPr>
        <w:t xml:space="preserve"> </w:t>
      </w:r>
      <w:r w:rsidRPr="00B004EE">
        <w:rPr>
          <w:rFonts w:ascii="Tahoma" w:hAnsi="Tahoma" w:cs="Tahoma"/>
          <w:sz w:val="20"/>
          <w:szCs w:val="20"/>
        </w:rPr>
        <w:t>81.062</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2</w:t>
      </w:r>
      <w:r w:rsidR="00DB1635" w:rsidRPr="00B004EE">
        <w:rPr>
          <w:rFonts w:ascii="Tahoma" w:hAnsi="Tahoma" w:cs="Tahoma"/>
          <w:sz w:val="20"/>
          <w:szCs w:val="20"/>
        </w:rPr>
        <w:t xml:space="preserve"> </w:t>
      </w:r>
      <w:r w:rsidRPr="00B004EE">
        <w:rPr>
          <w:rFonts w:ascii="Tahoma" w:hAnsi="Tahoma" w:cs="Tahoma"/>
          <w:sz w:val="20"/>
          <w:szCs w:val="20"/>
        </w:rPr>
        <w:t>avril</w:t>
      </w:r>
      <w:r w:rsidR="00DB1635" w:rsidRPr="00B004EE">
        <w:rPr>
          <w:rFonts w:ascii="Tahoma" w:hAnsi="Tahoma" w:cs="Tahoma"/>
          <w:sz w:val="20"/>
          <w:szCs w:val="20"/>
        </w:rPr>
        <w:t xml:space="preserve"> </w:t>
      </w:r>
      <w:r w:rsidRPr="00B004EE">
        <w:rPr>
          <w:rFonts w:ascii="Tahoma" w:hAnsi="Tahoma" w:cs="Tahoma"/>
          <w:sz w:val="20"/>
          <w:szCs w:val="20"/>
        </w:rPr>
        <w:t>1981</w:t>
      </w:r>
      <w:r w:rsidR="00DB1635" w:rsidRPr="00B004EE">
        <w:rPr>
          <w:rFonts w:ascii="Tahoma" w:hAnsi="Tahoma" w:cs="Tahoma"/>
          <w:sz w:val="20"/>
          <w:szCs w:val="20"/>
        </w:rPr>
        <w:t xml:space="preserve"> </w:t>
      </w:r>
      <w:r w:rsidRPr="00B004EE">
        <w:rPr>
          <w:rFonts w:ascii="Tahoma" w:hAnsi="Tahoma" w:cs="Tahoma"/>
          <w:sz w:val="20"/>
          <w:szCs w:val="20"/>
        </w:rPr>
        <w:t>portant</w:t>
      </w:r>
      <w:r w:rsidR="00DB1635" w:rsidRPr="00B004EE">
        <w:rPr>
          <w:rFonts w:ascii="Tahoma" w:hAnsi="Tahoma" w:cs="Tahoma"/>
          <w:sz w:val="20"/>
          <w:szCs w:val="20"/>
        </w:rPr>
        <w:t xml:space="preserve"> </w:t>
      </w:r>
      <w:r w:rsidRPr="00B004EE">
        <w:rPr>
          <w:rFonts w:ascii="Tahoma" w:hAnsi="Tahoma" w:cs="Tahoma"/>
          <w:sz w:val="20"/>
          <w:szCs w:val="20"/>
        </w:rPr>
        <w:t>réglementation</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l’inspection</w:t>
      </w:r>
      <w:r w:rsidR="00DB1635" w:rsidRPr="00B004EE">
        <w:rPr>
          <w:rFonts w:ascii="Tahoma" w:hAnsi="Tahoma" w:cs="Tahoma"/>
          <w:sz w:val="20"/>
          <w:szCs w:val="20"/>
        </w:rPr>
        <w:t xml:space="preserve"> </w:t>
      </w:r>
      <w:r w:rsidRPr="00B004EE">
        <w:rPr>
          <w:rFonts w:ascii="Tahoma" w:hAnsi="Tahoma" w:cs="Tahoma"/>
          <w:sz w:val="20"/>
          <w:szCs w:val="20"/>
        </w:rPr>
        <w:t>sanitaire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contrôle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salubrité</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destinés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l’alimentation</w:t>
      </w:r>
      <w:r w:rsidR="00DB1635" w:rsidRPr="00B004EE">
        <w:rPr>
          <w:rFonts w:ascii="Tahoma" w:hAnsi="Tahoma" w:cs="Tahoma"/>
          <w:sz w:val="20"/>
          <w:szCs w:val="20"/>
        </w:rPr>
        <w:t xml:space="preserve"> </w:t>
      </w:r>
      <w:r w:rsidRPr="00B004EE">
        <w:rPr>
          <w:rFonts w:ascii="Tahoma" w:hAnsi="Tahoma" w:cs="Tahoma"/>
          <w:sz w:val="20"/>
          <w:szCs w:val="20"/>
        </w:rPr>
        <w:t>humaine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sanctionnées</w:t>
      </w:r>
      <w:r w:rsidR="00DB1635" w:rsidRPr="00B004EE">
        <w:rPr>
          <w:rFonts w:ascii="Tahoma" w:hAnsi="Tahoma" w:cs="Tahoma"/>
          <w:sz w:val="20"/>
          <w:szCs w:val="20"/>
        </w:rPr>
        <w:t xml:space="preserve"> </w:t>
      </w:r>
      <w:r w:rsidRPr="00B004EE">
        <w:rPr>
          <w:rFonts w:ascii="Tahoma" w:hAnsi="Tahoma" w:cs="Tahoma"/>
          <w:sz w:val="20"/>
          <w:szCs w:val="20"/>
        </w:rPr>
        <w:t>conformément</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réglementation</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vigueur.</w:t>
      </w:r>
      <w:r w:rsidR="00DB1635" w:rsidRPr="00B004EE">
        <w:rPr>
          <w:rFonts w:ascii="Tahoma" w:hAnsi="Tahoma" w:cs="Tahoma"/>
          <w:sz w:val="20"/>
          <w:szCs w:val="20"/>
        </w:rPr>
        <w:t xml:space="preserve"> </w:t>
      </w:r>
    </w:p>
    <w:p w14:paraId="135965C8" w14:textId="77777777" w:rsidR="002F24E1" w:rsidRPr="00A155DA" w:rsidRDefault="002F24E1" w:rsidP="00B004EE">
      <w:pPr>
        <w:autoSpaceDE w:val="0"/>
        <w:autoSpaceDN w:val="0"/>
        <w:adjustRightInd w:val="0"/>
        <w:jc w:val="both"/>
        <w:rPr>
          <w:rFonts w:ascii="Tahoma" w:hAnsi="Tahoma" w:cs="Tahoma"/>
          <w:sz w:val="20"/>
          <w:szCs w:val="20"/>
        </w:rPr>
      </w:pPr>
    </w:p>
    <w:p w14:paraId="67A25F74" w14:textId="5DC0E0AD" w:rsidR="002F24E1" w:rsidRPr="00B004EE" w:rsidRDefault="002F24E1" w:rsidP="00B004EE">
      <w:pPr>
        <w:jc w:val="both"/>
        <w:rPr>
          <w:rFonts w:ascii="Tahoma" w:hAnsi="Tahoma" w:cs="Tahoma"/>
          <w:sz w:val="20"/>
          <w:szCs w:val="20"/>
        </w:rPr>
      </w:pPr>
      <w:r w:rsidRPr="00A155DA">
        <w:rPr>
          <w:rFonts w:ascii="Tahoma" w:hAnsi="Tahoma" w:cs="Tahoma"/>
          <w:sz w:val="20"/>
          <w:szCs w:val="20"/>
        </w:rPr>
        <w:t>Article</w:t>
      </w:r>
      <w:r w:rsidR="00DB1635" w:rsidRPr="00A155DA">
        <w:rPr>
          <w:rFonts w:ascii="Tahoma" w:hAnsi="Tahoma" w:cs="Tahoma"/>
          <w:sz w:val="20"/>
          <w:szCs w:val="20"/>
        </w:rPr>
        <w:t xml:space="preserve"> </w:t>
      </w:r>
      <w:r w:rsidRPr="00A155DA">
        <w:rPr>
          <w:rFonts w:ascii="Tahoma" w:hAnsi="Tahoma" w:cs="Tahoma"/>
          <w:sz w:val="20"/>
          <w:szCs w:val="20"/>
        </w:rPr>
        <w:t>8</w:t>
      </w:r>
      <w:r w:rsidR="00DB1635" w:rsidRPr="00A155DA">
        <w:rPr>
          <w:rFonts w:ascii="Tahoma" w:hAnsi="Tahoma" w:cs="Tahoma"/>
          <w:sz w:val="20"/>
          <w:szCs w:val="20"/>
        </w:rPr>
        <w:t xml:space="preserve"> </w:t>
      </w:r>
      <w:r w:rsidRPr="00A155DA">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abrogées</w:t>
      </w:r>
      <w:r w:rsidR="00DB1635" w:rsidRPr="00B004EE">
        <w:rPr>
          <w:rFonts w:ascii="Tahoma" w:hAnsi="Tahoma" w:cs="Tahoma"/>
          <w:sz w:val="20"/>
          <w:szCs w:val="20"/>
        </w:rPr>
        <w:t xml:space="preserve"> </w:t>
      </w:r>
      <w:r w:rsidRPr="00B004EE">
        <w:rPr>
          <w:rFonts w:ascii="Tahoma" w:hAnsi="Tahoma" w:cs="Tahoma"/>
          <w:sz w:val="20"/>
          <w:szCs w:val="20"/>
        </w:rPr>
        <w:t>toutes</w:t>
      </w:r>
      <w:r w:rsidR="00DB1635" w:rsidRPr="00B004EE">
        <w:rPr>
          <w:rFonts w:ascii="Tahoma" w:hAnsi="Tahoma" w:cs="Tahoma"/>
          <w:sz w:val="20"/>
          <w:szCs w:val="20"/>
        </w:rPr>
        <w:t xml:space="preserve"> </w:t>
      </w:r>
      <w:r w:rsidRPr="00B004EE">
        <w:rPr>
          <w:rFonts w:ascii="Tahoma" w:hAnsi="Tahoma" w:cs="Tahoma"/>
          <w:sz w:val="20"/>
          <w:szCs w:val="20"/>
        </w:rPr>
        <w:t>dispositions</w:t>
      </w:r>
      <w:r w:rsidR="00DB1635" w:rsidRPr="00B004EE">
        <w:rPr>
          <w:rFonts w:ascii="Tahoma" w:hAnsi="Tahoma" w:cs="Tahoma"/>
          <w:sz w:val="20"/>
          <w:szCs w:val="20"/>
        </w:rPr>
        <w:t xml:space="preserve"> </w:t>
      </w:r>
      <w:r w:rsidRPr="00B004EE">
        <w:rPr>
          <w:rFonts w:ascii="Tahoma" w:hAnsi="Tahoma" w:cs="Tahoma"/>
          <w:sz w:val="20"/>
          <w:szCs w:val="20"/>
        </w:rPr>
        <w:t>antérieures</w:t>
      </w:r>
      <w:r w:rsidR="00DB1635" w:rsidRPr="00B004EE">
        <w:rPr>
          <w:rFonts w:ascii="Tahoma" w:hAnsi="Tahoma" w:cs="Tahoma"/>
          <w:sz w:val="20"/>
          <w:szCs w:val="20"/>
        </w:rPr>
        <w:t xml:space="preserve"> </w:t>
      </w:r>
      <w:r w:rsidRPr="00B004EE">
        <w:rPr>
          <w:rFonts w:ascii="Tahoma" w:hAnsi="Tahoma" w:cs="Tahoma"/>
          <w:sz w:val="20"/>
          <w:szCs w:val="20"/>
        </w:rPr>
        <w:t>contraires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celles</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présent</w:t>
      </w:r>
      <w:r w:rsidR="00DB1635" w:rsidRPr="00B004EE">
        <w:rPr>
          <w:rFonts w:ascii="Tahoma" w:hAnsi="Tahoma" w:cs="Tahoma"/>
          <w:sz w:val="20"/>
          <w:szCs w:val="20"/>
        </w:rPr>
        <w:t xml:space="preserve"> </w:t>
      </w:r>
      <w:r w:rsidRPr="00B004EE">
        <w:rPr>
          <w:rFonts w:ascii="Tahoma" w:hAnsi="Tahoma" w:cs="Tahoma"/>
          <w:sz w:val="20"/>
          <w:szCs w:val="20"/>
        </w:rPr>
        <w:t>Arrêté.</w:t>
      </w:r>
      <w:r w:rsidR="00DB1635" w:rsidRPr="00B004EE">
        <w:rPr>
          <w:rFonts w:ascii="Tahoma" w:hAnsi="Tahoma" w:cs="Tahoma"/>
          <w:sz w:val="20"/>
          <w:szCs w:val="20"/>
        </w:rPr>
        <w:t xml:space="preserve"> </w:t>
      </w:r>
    </w:p>
    <w:p w14:paraId="5B34CF03" w14:textId="77777777" w:rsidR="002F24E1" w:rsidRPr="00B004EE" w:rsidRDefault="002F24E1" w:rsidP="00B004EE">
      <w:pPr>
        <w:jc w:val="both"/>
        <w:rPr>
          <w:rFonts w:ascii="Tahoma" w:hAnsi="Tahoma" w:cs="Tahoma"/>
          <w:b/>
          <w:bCs/>
          <w:sz w:val="20"/>
          <w:szCs w:val="20"/>
          <w:u w:val="single"/>
        </w:rPr>
      </w:pPr>
    </w:p>
    <w:p w14:paraId="0FE45269" w14:textId="35875067" w:rsidR="00024507" w:rsidRPr="00B004EE" w:rsidRDefault="002F24E1" w:rsidP="00B004EE">
      <w:pPr>
        <w:jc w:val="both"/>
        <w:rPr>
          <w:rFonts w:ascii="Tahoma" w:hAnsi="Tahoma" w:cs="Tahoma"/>
          <w:bCs/>
          <w:i/>
          <w:iCs/>
          <w:sz w:val="20"/>
          <w:szCs w:val="20"/>
        </w:rPr>
      </w:pPr>
      <w:r w:rsidRPr="00A155DA">
        <w:rPr>
          <w:rFonts w:ascii="Tahoma" w:hAnsi="Tahoma" w:cs="Tahoma"/>
          <w:sz w:val="20"/>
          <w:szCs w:val="20"/>
        </w:rPr>
        <w:lastRenderedPageBreak/>
        <w:t>Article</w:t>
      </w:r>
      <w:r w:rsidR="00DB1635" w:rsidRPr="00A155DA">
        <w:rPr>
          <w:rFonts w:ascii="Tahoma" w:hAnsi="Tahoma" w:cs="Tahoma"/>
          <w:sz w:val="20"/>
          <w:szCs w:val="20"/>
        </w:rPr>
        <w:t xml:space="preserve"> </w:t>
      </w:r>
      <w:r w:rsidRPr="00A155DA">
        <w:rPr>
          <w:rFonts w:ascii="Tahoma" w:hAnsi="Tahoma" w:cs="Tahoma"/>
          <w:sz w:val="20"/>
          <w:szCs w:val="20"/>
        </w:rPr>
        <w:t>9</w:t>
      </w:r>
      <w:r w:rsidR="00DB1635" w:rsidRPr="00A155DA">
        <w:rPr>
          <w:rFonts w:ascii="Tahoma" w:hAnsi="Tahoma" w:cs="Tahoma"/>
          <w:sz w:val="20"/>
          <w:szCs w:val="20"/>
        </w:rPr>
        <w:t xml:space="preserve"> </w:t>
      </w:r>
      <w:r w:rsidRPr="00A155DA">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Secrétaire</w:t>
      </w:r>
      <w:r w:rsidR="00DB1635" w:rsidRPr="00B004EE">
        <w:rPr>
          <w:rFonts w:ascii="Tahoma" w:hAnsi="Tahoma" w:cs="Tahoma"/>
          <w:sz w:val="20"/>
          <w:szCs w:val="20"/>
        </w:rPr>
        <w:t xml:space="preserve"> </w:t>
      </w:r>
      <w:r w:rsidRPr="00B004EE">
        <w:rPr>
          <w:rFonts w:ascii="Tahoma" w:hAnsi="Tahoma" w:cs="Tahoma"/>
          <w:sz w:val="20"/>
          <w:szCs w:val="20"/>
        </w:rPr>
        <w:t>Général</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Ministère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l’Economie</w:t>
      </w:r>
      <w:r w:rsidR="00DB1635" w:rsidRPr="00B004EE">
        <w:rPr>
          <w:rFonts w:ascii="Tahoma" w:hAnsi="Tahoma" w:cs="Tahoma"/>
          <w:sz w:val="20"/>
          <w:szCs w:val="20"/>
        </w:rPr>
        <w:t xml:space="preserve"> </w:t>
      </w:r>
      <w:r w:rsidRPr="00B004EE">
        <w:rPr>
          <w:rFonts w:ascii="Tahoma" w:hAnsi="Tahoma" w:cs="Tahoma"/>
          <w:sz w:val="20"/>
          <w:szCs w:val="20"/>
        </w:rPr>
        <w:t>Maritime</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chargé</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l'exécution</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présent</w:t>
      </w:r>
      <w:r w:rsidR="00DB1635" w:rsidRPr="00B004EE">
        <w:rPr>
          <w:rFonts w:ascii="Tahoma" w:hAnsi="Tahoma" w:cs="Tahoma"/>
          <w:sz w:val="20"/>
          <w:szCs w:val="20"/>
        </w:rPr>
        <w:t xml:space="preserve"> </w:t>
      </w:r>
      <w:r w:rsidRPr="00B004EE">
        <w:rPr>
          <w:rFonts w:ascii="Tahoma" w:hAnsi="Tahoma" w:cs="Tahoma"/>
          <w:sz w:val="20"/>
          <w:szCs w:val="20"/>
        </w:rPr>
        <w:t>Arrêté</w:t>
      </w:r>
      <w:r w:rsidR="00DB1635" w:rsidRPr="00B004EE">
        <w:rPr>
          <w:rFonts w:ascii="Tahoma" w:hAnsi="Tahoma" w:cs="Tahoma"/>
          <w:sz w:val="20"/>
          <w:szCs w:val="20"/>
        </w:rPr>
        <w:t xml:space="preserve"> </w:t>
      </w:r>
      <w:r w:rsidRPr="00B004EE">
        <w:rPr>
          <w:rFonts w:ascii="Tahoma" w:hAnsi="Tahoma" w:cs="Tahoma"/>
          <w:sz w:val="20"/>
          <w:szCs w:val="20"/>
        </w:rPr>
        <w:t>qui</w:t>
      </w:r>
      <w:r w:rsidR="00DB1635" w:rsidRPr="00B004EE">
        <w:rPr>
          <w:rFonts w:ascii="Tahoma" w:hAnsi="Tahoma" w:cs="Tahoma"/>
          <w:sz w:val="20"/>
          <w:szCs w:val="20"/>
        </w:rPr>
        <w:t xml:space="preserve"> </w:t>
      </w:r>
      <w:r w:rsidRPr="00B004EE">
        <w:rPr>
          <w:rFonts w:ascii="Tahoma" w:hAnsi="Tahoma" w:cs="Tahoma"/>
          <w:sz w:val="20"/>
          <w:szCs w:val="20"/>
        </w:rPr>
        <w:t>sera</w:t>
      </w:r>
      <w:r w:rsidR="00DB1635" w:rsidRPr="00B004EE">
        <w:rPr>
          <w:rFonts w:ascii="Tahoma" w:hAnsi="Tahoma" w:cs="Tahoma"/>
          <w:sz w:val="20"/>
          <w:szCs w:val="20"/>
        </w:rPr>
        <w:t xml:space="preserve"> </w:t>
      </w:r>
      <w:r w:rsidRPr="00B004EE">
        <w:rPr>
          <w:rFonts w:ascii="Tahoma" w:hAnsi="Tahoma" w:cs="Tahoma"/>
          <w:sz w:val="20"/>
          <w:szCs w:val="20"/>
        </w:rPr>
        <w:t>publié</w:t>
      </w:r>
      <w:r w:rsidR="00DB1635" w:rsidRPr="00B004EE">
        <w:rPr>
          <w:rFonts w:ascii="Tahoma" w:hAnsi="Tahoma" w:cs="Tahoma"/>
          <w:sz w:val="20"/>
          <w:szCs w:val="20"/>
        </w:rPr>
        <w:t xml:space="preserve"> </w:t>
      </w:r>
      <w:r w:rsidRPr="00B004EE">
        <w:rPr>
          <w:rFonts w:ascii="Tahoma" w:hAnsi="Tahoma" w:cs="Tahoma"/>
          <w:sz w:val="20"/>
          <w:szCs w:val="20"/>
        </w:rPr>
        <w:t>selon</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procédure</w:t>
      </w:r>
      <w:r w:rsidR="00DB1635" w:rsidRPr="00B004EE">
        <w:rPr>
          <w:rFonts w:ascii="Tahoma" w:hAnsi="Tahoma" w:cs="Tahoma"/>
          <w:sz w:val="20"/>
          <w:szCs w:val="20"/>
        </w:rPr>
        <w:t xml:space="preserve"> </w:t>
      </w:r>
      <w:r w:rsidRPr="00B004EE">
        <w:rPr>
          <w:rFonts w:ascii="Tahoma" w:hAnsi="Tahoma" w:cs="Tahoma"/>
          <w:sz w:val="20"/>
          <w:szCs w:val="20"/>
        </w:rPr>
        <w:t>d’urgence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Journal</w:t>
      </w:r>
      <w:r w:rsidR="00DB1635" w:rsidRPr="00B004EE">
        <w:rPr>
          <w:rFonts w:ascii="Tahoma" w:hAnsi="Tahoma" w:cs="Tahoma"/>
          <w:sz w:val="20"/>
          <w:szCs w:val="20"/>
        </w:rPr>
        <w:t xml:space="preserve"> </w:t>
      </w:r>
      <w:r w:rsidRPr="00B004EE">
        <w:rPr>
          <w:rFonts w:ascii="Tahoma" w:hAnsi="Tahoma" w:cs="Tahoma"/>
          <w:sz w:val="20"/>
          <w:szCs w:val="20"/>
        </w:rPr>
        <w:t>Officiel</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République</w:t>
      </w:r>
      <w:r w:rsidR="00DB1635" w:rsidRPr="00B004EE">
        <w:rPr>
          <w:rFonts w:ascii="Tahoma" w:hAnsi="Tahoma" w:cs="Tahoma"/>
          <w:sz w:val="20"/>
          <w:szCs w:val="20"/>
        </w:rPr>
        <w:t xml:space="preserve"> </w:t>
      </w:r>
      <w:r w:rsidRPr="00B004EE">
        <w:rPr>
          <w:rFonts w:ascii="Tahoma" w:hAnsi="Tahoma" w:cs="Tahoma"/>
          <w:sz w:val="20"/>
          <w:szCs w:val="20"/>
        </w:rPr>
        <w:t>Islamique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Mauritanie.</w:t>
      </w:r>
      <w:r w:rsidR="00DB1635" w:rsidRPr="00B004EE">
        <w:rPr>
          <w:rFonts w:ascii="Tahoma" w:hAnsi="Tahoma" w:cs="Tahoma"/>
          <w:sz w:val="20"/>
          <w:szCs w:val="20"/>
        </w:rPr>
        <w:t xml:space="preserve"> </w:t>
      </w:r>
    </w:p>
    <w:p w14:paraId="568AE15F" w14:textId="3B4EE195" w:rsidR="00E63218" w:rsidRPr="00B004EE" w:rsidRDefault="002F24E1" w:rsidP="00B004EE">
      <w:pPr>
        <w:pStyle w:val="Style"/>
        <w:ind w:right="50"/>
        <w:jc w:val="right"/>
        <w:rPr>
          <w:rFonts w:ascii="Tahoma" w:hAnsi="Tahoma" w:cs="Tahoma"/>
          <w:bCs/>
          <w:sz w:val="20"/>
          <w:szCs w:val="20"/>
        </w:rPr>
      </w:pPr>
      <w:r w:rsidRPr="00B004EE">
        <w:rPr>
          <w:rFonts w:ascii="Tahoma" w:hAnsi="Tahoma" w:cs="Tahoma"/>
          <w:bCs/>
          <w:i/>
          <w:iCs/>
          <w:sz w:val="20"/>
          <w:szCs w:val="20"/>
        </w:rPr>
        <w:t>Fait</w:t>
      </w:r>
      <w:r w:rsidR="00DB1635" w:rsidRPr="00B004EE">
        <w:rPr>
          <w:rFonts w:ascii="Tahoma" w:hAnsi="Tahoma" w:cs="Tahoma"/>
          <w:bCs/>
          <w:i/>
          <w:iCs/>
          <w:sz w:val="20"/>
          <w:szCs w:val="20"/>
        </w:rPr>
        <w:t xml:space="preserve"> </w:t>
      </w:r>
      <w:r w:rsidRPr="00B004EE">
        <w:rPr>
          <w:rFonts w:ascii="Tahoma" w:hAnsi="Tahoma" w:cs="Tahoma"/>
          <w:bCs/>
          <w:i/>
          <w:iCs/>
          <w:sz w:val="20"/>
          <w:szCs w:val="20"/>
        </w:rPr>
        <w:t>à</w:t>
      </w:r>
      <w:r w:rsidR="00DB1635" w:rsidRPr="00B004EE">
        <w:rPr>
          <w:rFonts w:ascii="Tahoma" w:hAnsi="Tahoma" w:cs="Tahoma"/>
          <w:bCs/>
          <w:i/>
          <w:iCs/>
          <w:sz w:val="20"/>
          <w:szCs w:val="20"/>
        </w:rPr>
        <w:t xml:space="preserve"> </w:t>
      </w:r>
      <w:r w:rsidRPr="00B004EE">
        <w:rPr>
          <w:rFonts w:ascii="Tahoma" w:hAnsi="Tahoma" w:cs="Tahoma"/>
          <w:bCs/>
          <w:i/>
          <w:iCs/>
          <w:sz w:val="20"/>
          <w:szCs w:val="20"/>
        </w:rPr>
        <w:t>Nouakchott</w:t>
      </w:r>
      <w:r w:rsidR="00DB1635" w:rsidRPr="00B004EE">
        <w:rPr>
          <w:rFonts w:ascii="Tahoma" w:hAnsi="Tahoma" w:cs="Tahoma"/>
          <w:bCs/>
          <w:i/>
          <w:iCs/>
          <w:sz w:val="20"/>
          <w:szCs w:val="20"/>
        </w:rPr>
        <w:t xml:space="preserve"> </w:t>
      </w:r>
      <w:r w:rsidRPr="00B004EE">
        <w:rPr>
          <w:rFonts w:ascii="Tahoma" w:hAnsi="Tahoma" w:cs="Tahoma"/>
          <w:bCs/>
          <w:i/>
          <w:iCs/>
          <w:sz w:val="20"/>
          <w:szCs w:val="20"/>
        </w:rPr>
        <w:t>le</w:t>
      </w:r>
      <w:r w:rsidR="00DB1635" w:rsidRPr="00B004EE">
        <w:rPr>
          <w:rFonts w:ascii="Tahoma" w:hAnsi="Tahoma" w:cs="Tahoma"/>
          <w:bCs/>
          <w:i/>
          <w:iCs/>
          <w:sz w:val="20"/>
          <w:szCs w:val="20"/>
        </w:rPr>
        <w:t xml:space="preserve"> </w:t>
      </w:r>
      <w:r w:rsidRPr="00B004EE">
        <w:rPr>
          <w:rFonts w:ascii="Tahoma" w:hAnsi="Tahoma" w:cs="Tahoma"/>
          <w:bCs/>
          <w:sz w:val="20"/>
          <w:szCs w:val="20"/>
        </w:rPr>
        <w:t>28</w:t>
      </w:r>
      <w:r w:rsidR="00DB1635" w:rsidRPr="00B004EE">
        <w:rPr>
          <w:rFonts w:ascii="Tahoma" w:hAnsi="Tahoma" w:cs="Tahoma"/>
          <w:bCs/>
          <w:sz w:val="20"/>
          <w:szCs w:val="20"/>
        </w:rPr>
        <w:t xml:space="preserve"> </w:t>
      </w:r>
      <w:r w:rsidRPr="00B004EE">
        <w:rPr>
          <w:rFonts w:ascii="Tahoma" w:hAnsi="Tahoma" w:cs="Tahoma"/>
          <w:bCs/>
          <w:sz w:val="20"/>
          <w:szCs w:val="20"/>
        </w:rPr>
        <w:t>octobre</w:t>
      </w:r>
      <w:r w:rsidR="00DB1635" w:rsidRPr="00B004EE">
        <w:rPr>
          <w:rFonts w:ascii="Tahoma" w:hAnsi="Tahoma" w:cs="Tahoma"/>
          <w:bCs/>
          <w:sz w:val="20"/>
          <w:szCs w:val="20"/>
        </w:rPr>
        <w:t xml:space="preserve"> </w:t>
      </w:r>
      <w:r w:rsidRPr="00B004EE">
        <w:rPr>
          <w:rFonts w:ascii="Tahoma" w:hAnsi="Tahoma" w:cs="Tahoma"/>
          <w:bCs/>
          <w:sz w:val="20"/>
          <w:szCs w:val="20"/>
        </w:rPr>
        <w:t>2010</w:t>
      </w:r>
    </w:p>
    <w:p w14:paraId="5C30D3BD" w14:textId="77777777" w:rsidR="00E63218" w:rsidRPr="00B004EE" w:rsidRDefault="00E63218" w:rsidP="00B004EE">
      <w:pPr>
        <w:pStyle w:val="Style"/>
        <w:ind w:right="50"/>
        <w:jc w:val="right"/>
        <w:rPr>
          <w:rFonts w:ascii="Tahoma" w:hAnsi="Tahoma" w:cs="Tahoma"/>
          <w:bCs/>
          <w:sz w:val="20"/>
          <w:szCs w:val="20"/>
        </w:rPr>
      </w:pPr>
    </w:p>
    <w:p w14:paraId="2AB062F9" w14:textId="577C0EEB" w:rsidR="00E63218" w:rsidRPr="00B004EE" w:rsidRDefault="00E63218" w:rsidP="00B004EE">
      <w:pPr>
        <w:pStyle w:val="Pieddepage"/>
        <w:tabs>
          <w:tab w:val="clear" w:pos="4536"/>
          <w:tab w:val="clear" w:pos="9072"/>
        </w:tabs>
        <w:jc w:val="center"/>
        <w:rPr>
          <w:rFonts w:ascii="Tahoma" w:hAnsi="Tahoma" w:cs="Tahoma"/>
          <w:caps/>
        </w:rPr>
      </w:pPr>
      <w:r w:rsidRPr="00B004EE">
        <w:rPr>
          <w:rFonts w:ascii="Tahoma" w:hAnsi="Tahoma" w:cs="Tahoma"/>
        </w:rPr>
        <w:t>Le Ministre des pêches et de l’Economie Maritime</w:t>
      </w:r>
    </w:p>
    <w:p w14:paraId="64516AFC" w14:textId="4482C7D8" w:rsidR="00024507" w:rsidRPr="00B004EE" w:rsidRDefault="00E63218" w:rsidP="00B004EE">
      <w:pPr>
        <w:pStyle w:val="Pieddepage"/>
        <w:tabs>
          <w:tab w:val="clear" w:pos="4536"/>
          <w:tab w:val="clear" w:pos="9072"/>
        </w:tabs>
        <w:spacing w:line="300" w:lineRule="exact"/>
        <w:jc w:val="center"/>
        <w:rPr>
          <w:rFonts w:ascii="Tahoma" w:hAnsi="Tahoma" w:cs="Tahoma"/>
          <w:b/>
          <w:bCs/>
        </w:rPr>
        <w:sectPr w:rsidR="00024507" w:rsidRPr="00B004EE" w:rsidSect="00337E3A">
          <w:pgSz w:w="12240" w:h="15840" w:code="1"/>
          <w:pgMar w:top="1417" w:right="1417" w:bottom="1417" w:left="1417" w:header="720" w:footer="720" w:gutter="0"/>
          <w:cols w:space="720"/>
          <w:noEndnote/>
          <w:docGrid w:linePitch="326"/>
        </w:sectPr>
      </w:pPr>
      <w:r w:rsidRPr="00B004EE">
        <w:rPr>
          <w:rFonts w:ascii="Tahoma" w:hAnsi="Tahoma" w:cs="Tahoma"/>
          <w:b/>
          <w:bCs/>
        </w:rPr>
        <w:t>Aghdefna Ould EYIH</w:t>
      </w:r>
      <w:r w:rsidR="00DB1635" w:rsidRPr="00B004EE">
        <w:rPr>
          <w:rFonts w:ascii="Tahoma" w:hAnsi="Tahoma" w:cs="Tahoma"/>
          <w:b/>
          <w:bCs/>
        </w:rPr>
        <w:t xml:space="preserve"> </w:t>
      </w:r>
    </w:p>
    <w:p w14:paraId="7AF909EF" w14:textId="5A5174A7" w:rsidR="002F24E1" w:rsidRPr="00A155DA" w:rsidRDefault="002F24E1" w:rsidP="00B004EE">
      <w:pPr>
        <w:pStyle w:val="Titre1"/>
        <w:pBdr>
          <w:top w:val="thinThickMediumGap" w:sz="24" w:space="1" w:color="70AD47" w:themeColor="accent6"/>
          <w:left w:val="thinThickMediumGap" w:sz="24" w:space="4" w:color="70AD47" w:themeColor="accent6"/>
          <w:bottom w:val="thickThinMediumGap" w:sz="24" w:space="1" w:color="70AD47" w:themeColor="accent6"/>
          <w:right w:val="thickThinMediumGap" w:sz="24" w:space="4" w:color="70AD47" w:themeColor="accent6"/>
        </w:pBdr>
        <w:spacing w:line="276" w:lineRule="auto"/>
        <w:jc w:val="both"/>
        <w:rPr>
          <w:rFonts w:ascii="Tahoma" w:hAnsi="Tahoma" w:cs="Tahoma"/>
          <w:szCs w:val="22"/>
        </w:rPr>
      </w:pPr>
      <w:bookmarkStart w:id="196" w:name="_Toc16288677"/>
      <w:bookmarkStart w:id="197" w:name="_Toc17022019"/>
      <w:bookmarkStart w:id="198" w:name="_Toc202214689"/>
      <w:r w:rsidRPr="00A155DA">
        <w:rPr>
          <w:rFonts w:ascii="Tahoma" w:hAnsi="Tahoma" w:cs="Tahoma"/>
          <w:szCs w:val="22"/>
        </w:rPr>
        <w:lastRenderedPageBreak/>
        <w:t>Arrêté</w:t>
      </w:r>
      <w:r w:rsidR="00DB1635" w:rsidRPr="00A155DA">
        <w:rPr>
          <w:rFonts w:ascii="Tahoma" w:hAnsi="Tahoma" w:cs="Tahoma"/>
          <w:szCs w:val="22"/>
        </w:rPr>
        <w:t xml:space="preserve"> </w:t>
      </w:r>
      <w:r w:rsidRPr="00A155DA">
        <w:rPr>
          <w:rFonts w:ascii="Tahoma" w:hAnsi="Tahoma" w:cs="Tahoma"/>
          <w:szCs w:val="22"/>
        </w:rPr>
        <w:t>conjoint</w:t>
      </w:r>
      <w:r w:rsidR="00DB1635" w:rsidRPr="00A155DA">
        <w:rPr>
          <w:rFonts w:ascii="Tahoma" w:hAnsi="Tahoma" w:cs="Tahoma"/>
          <w:szCs w:val="22"/>
        </w:rPr>
        <w:t xml:space="preserve"> </w:t>
      </w:r>
      <w:r w:rsidRPr="00A155DA">
        <w:rPr>
          <w:rFonts w:ascii="Tahoma" w:hAnsi="Tahoma" w:cs="Tahoma"/>
          <w:szCs w:val="22"/>
        </w:rPr>
        <w:t>n°</w:t>
      </w:r>
      <w:r w:rsidR="00DB1635" w:rsidRPr="00A155DA">
        <w:rPr>
          <w:rFonts w:ascii="Tahoma" w:hAnsi="Tahoma" w:cs="Tahoma"/>
          <w:szCs w:val="22"/>
        </w:rPr>
        <w:t xml:space="preserve"> </w:t>
      </w:r>
      <w:r w:rsidRPr="00A155DA">
        <w:rPr>
          <w:rFonts w:ascii="Tahoma" w:hAnsi="Tahoma" w:cs="Tahoma"/>
          <w:szCs w:val="22"/>
        </w:rPr>
        <w:t>2503</w:t>
      </w:r>
      <w:r w:rsidR="00DB1635" w:rsidRPr="00A155DA">
        <w:rPr>
          <w:rFonts w:ascii="Tahoma" w:hAnsi="Tahoma" w:cs="Tahoma"/>
          <w:szCs w:val="22"/>
        </w:rPr>
        <w:t xml:space="preserve"> </w:t>
      </w:r>
      <w:r w:rsidR="00BC4336">
        <w:rPr>
          <w:rFonts w:ascii="Tahoma" w:hAnsi="Tahoma" w:cs="Tahoma"/>
          <w:szCs w:val="22"/>
        </w:rPr>
        <w:t xml:space="preserve">du 14 novembre 2010, </w:t>
      </w:r>
      <w:r w:rsidRPr="00A155DA">
        <w:rPr>
          <w:rFonts w:ascii="Tahoma" w:hAnsi="Tahoma" w:cs="Tahoma"/>
          <w:szCs w:val="22"/>
        </w:rPr>
        <w:t>modifiant</w:t>
      </w:r>
      <w:r w:rsidR="00DB1635" w:rsidRPr="00A155DA">
        <w:rPr>
          <w:rFonts w:ascii="Tahoma" w:hAnsi="Tahoma" w:cs="Tahoma"/>
          <w:szCs w:val="22"/>
        </w:rPr>
        <w:t xml:space="preserve"> </w:t>
      </w:r>
      <w:r w:rsidRPr="00A155DA">
        <w:rPr>
          <w:rFonts w:ascii="Tahoma" w:hAnsi="Tahoma" w:cs="Tahoma"/>
          <w:szCs w:val="22"/>
        </w:rPr>
        <w:t>certaines</w:t>
      </w:r>
      <w:r w:rsidR="00DB1635" w:rsidRPr="00A155DA">
        <w:rPr>
          <w:rFonts w:ascii="Tahoma" w:hAnsi="Tahoma" w:cs="Tahoma"/>
          <w:szCs w:val="22"/>
        </w:rPr>
        <w:t xml:space="preserve"> </w:t>
      </w:r>
      <w:r w:rsidRPr="00A155DA">
        <w:rPr>
          <w:rFonts w:ascii="Tahoma" w:hAnsi="Tahoma" w:cs="Tahoma"/>
          <w:szCs w:val="22"/>
        </w:rPr>
        <w:t>dispositions</w:t>
      </w:r>
      <w:r w:rsidR="00DB1635" w:rsidRPr="00A155DA">
        <w:rPr>
          <w:rFonts w:ascii="Tahoma" w:hAnsi="Tahoma" w:cs="Tahoma"/>
          <w:szCs w:val="22"/>
        </w:rPr>
        <w:t xml:space="preserve"> </w:t>
      </w:r>
      <w:r w:rsidRPr="00A155DA">
        <w:rPr>
          <w:rFonts w:ascii="Tahoma" w:hAnsi="Tahoma" w:cs="Tahoma"/>
          <w:szCs w:val="22"/>
        </w:rPr>
        <w:t>de</w:t>
      </w:r>
      <w:r w:rsidR="00DB1635" w:rsidRPr="00A155DA">
        <w:rPr>
          <w:rFonts w:ascii="Tahoma" w:hAnsi="Tahoma" w:cs="Tahoma"/>
          <w:szCs w:val="22"/>
        </w:rPr>
        <w:t xml:space="preserve"> </w:t>
      </w:r>
      <w:r w:rsidRPr="00A155DA">
        <w:rPr>
          <w:rFonts w:ascii="Tahoma" w:hAnsi="Tahoma" w:cs="Tahoma"/>
          <w:szCs w:val="22"/>
        </w:rPr>
        <w:t>l’arrêté</w:t>
      </w:r>
      <w:r w:rsidR="00DB1635" w:rsidRPr="00A155DA">
        <w:rPr>
          <w:rFonts w:ascii="Tahoma" w:hAnsi="Tahoma" w:cs="Tahoma"/>
          <w:szCs w:val="22"/>
        </w:rPr>
        <w:t xml:space="preserve"> </w:t>
      </w:r>
      <w:r w:rsidRPr="00A155DA">
        <w:rPr>
          <w:rFonts w:ascii="Tahoma" w:hAnsi="Tahoma" w:cs="Tahoma"/>
          <w:szCs w:val="22"/>
        </w:rPr>
        <w:t>conjoint</w:t>
      </w:r>
      <w:r w:rsidR="00DB1635" w:rsidRPr="00A155DA">
        <w:rPr>
          <w:rFonts w:ascii="Tahoma" w:hAnsi="Tahoma" w:cs="Tahoma"/>
          <w:szCs w:val="22"/>
        </w:rPr>
        <w:t xml:space="preserve"> </w:t>
      </w:r>
      <w:r w:rsidRPr="00A155DA">
        <w:rPr>
          <w:rFonts w:ascii="Tahoma" w:hAnsi="Tahoma" w:cs="Tahoma"/>
          <w:szCs w:val="22"/>
        </w:rPr>
        <w:t>n°</w:t>
      </w:r>
      <w:r w:rsidR="00DB1635" w:rsidRPr="00A155DA">
        <w:rPr>
          <w:rFonts w:ascii="Tahoma" w:hAnsi="Tahoma" w:cs="Tahoma"/>
          <w:szCs w:val="22"/>
        </w:rPr>
        <w:t xml:space="preserve"> </w:t>
      </w:r>
      <w:r w:rsidRPr="00A155DA">
        <w:rPr>
          <w:rFonts w:ascii="Tahoma" w:hAnsi="Tahoma" w:cs="Tahoma"/>
          <w:szCs w:val="22"/>
        </w:rPr>
        <w:t>2859</w:t>
      </w:r>
      <w:r w:rsidR="00DB1635" w:rsidRPr="00A155DA">
        <w:rPr>
          <w:rFonts w:ascii="Tahoma" w:hAnsi="Tahoma" w:cs="Tahoma"/>
          <w:szCs w:val="22"/>
        </w:rPr>
        <w:t xml:space="preserve"> </w:t>
      </w:r>
      <w:r w:rsidRPr="00A155DA">
        <w:rPr>
          <w:rFonts w:ascii="Tahoma" w:hAnsi="Tahoma" w:cs="Tahoma"/>
          <w:szCs w:val="22"/>
        </w:rPr>
        <w:t>du</w:t>
      </w:r>
      <w:r w:rsidR="00DB1635" w:rsidRPr="00A155DA">
        <w:rPr>
          <w:rFonts w:ascii="Tahoma" w:hAnsi="Tahoma" w:cs="Tahoma"/>
          <w:szCs w:val="22"/>
        </w:rPr>
        <w:t xml:space="preserve"> </w:t>
      </w:r>
      <w:r w:rsidRPr="00A155DA">
        <w:rPr>
          <w:rFonts w:ascii="Tahoma" w:hAnsi="Tahoma" w:cs="Tahoma"/>
          <w:szCs w:val="22"/>
        </w:rPr>
        <w:t>16</w:t>
      </w:r>
      <w:r w:rsidR="00DB1635" w:rsidRPr="00A155DA">
        <w:rPr>
          <w:rFonts w:ascii="Tahoma" w:hAnsi="Tahoma" w:cs="Tahoma"/>
          <w:szCs w:val="22"/>
        </w:rPr>
        <w:t xml:space="preserve"> </w:t>
      </w:r>
      <w:r w:rsidRPr="00A155DA">
        <w:rPr>
          <w:rFonts w:ascii="Tahoma" w:hAnsi="Tahoma" w:cs="Tahoma"/>
          <w:szCs w:val="22"/>
        </w:rPr>
        <w:t>novembre</w:t>
      </w:r>
      <w:r w:rsidR="00DB1635" w:rsidRPr="00A155DA">
        <w:rPr>
          <w:rFonts w:ascii="Tahoma" w:hAnsi="Tahoma" w:cs="Tahoma"/>
          <w:szCs w:val="22"/>
        </w:rPr>
        <w:t xml:space="preserve"> </w:t>
      </w:r>
      <w:r w:rsidRPr="00A155DA">
        <w:rPr>
          <w:rFonts w:ascii="Tahoma" w:hAnsi="Tahoma" w:cs="Tahoma"/>
          <w:szCs w:val="22"/>
        </w:rPr>
        <w:t>2006</w:t>
      </w:r>
      <w:r w:rsidR="00DB1635" w:rsidRPr="00A155DA">
        <w:rPr>
          <w:rFonts w:ascii="Tahoma" w:hAnsi="Tahoma" w:cs="Tahoma"/>
          <w:szCs w:val="22"/>
        </w:rPr>
        <w:t xml:space="preserve"> </w:t>
      </w:r>
      <w:r w:rsidRPr="00A155DA">
        <w:rPr>
          <w:rFonts w:ascii="Tahoma" w:hAnsi="Tahoma" w:cs="Tahoma"/>
          <w:szCs w:val="22"/>
        </w:rPr>
        <w:t>portant</w:t>
      </w:r>
      <w:r w:rsidR="00DB1635" w:rsidRPr="00A155DA">
        <w:rPr>
          <w:rFonts w:ascii="Tahoma" w:hAnsi="Tahoma" w:cs="Tahoma"/>
          <w:szCs w:val="22"/>
        </w:rPr>
        <w:t xml:space="preserve"> </w:t>
      </w:r>
      <w:r w:rsidRPr="00A155DA">
        <w:rPr>
          <w:rFonts w:ascii="Tahoma" w:hAnsi="Tahoma" w:cs="Tahoma"/>
          <w:szCs w:val="22"/>
        </w:rPr>
        <w:t>désignation</w:t>
      </w:r>
      <w:r w:rsidR="00DB1635" w:rsidRPr="00A155DA">
        <w:rPr>
          <w:rFonts w:ascii="Tahoma" w:hAnsi="Tahoma" w:cs="Tahoma"/>
          <w:szCs w:val="22"/>
        </w:rPr>
        <w:t xml:space="preserve"> </w:t>
      </w:r>
      <w:r w:rsidRPr="00A155DA">
        <w:rPr>
          <w:rFonts w:ascii="Tahoma" w:hAnsi="Tahoma" w:cs="Tahoma"/>
          <w:szCs w:val="22"/>
        </w:rPr>
        <w:t>du</w:t>
      </w:r>
      <w:r w:rsidR="00DB1635" w:rsidRPr="00A155DA">
        <w:rPr>
          <w:rFonts w:ascii="Tahoma" w:hAnsi="Tahoma" w:cs="Tahoma"/>
          <w:szCs w:val="22"/>
        </w:rPr>
        <w:t xml:space="preserve"> </w:t>
      </w:r>
      <w:r w:rsidRPr="00A155DA">
        <w:rPr>
          <w:rFonts w:ascii="Tahoma" w:hAnsi="Tahoma" w:cs="Tahoma"/>
          <w:szCs w:val="22"/>
        </w:rPr>
        <w:t>laboratoire</w:t>
      </w:r>
      <w:r w:rsidR="00DB1635" w:rsidRPr="00A155DA">
        <w:rPr>
          <w:rFonts w:ascii="Tahoma" w:hAnsi="Tahoma" w:cs="Tahoma"/>
          <w:szCs w:val="22"/>
        </w:rPr>
        <w:t xml:space="preserve"> </w:t>
      </w:r>
      <w:r w:rsidRPr="00A155DA">
        <w:rPr>
          <w:rFonts w:ascii="Tahoma" w:hAnsi="Tahoma" w:cs="Tahoma"/>
          <w:szCs w:val="22"/>
        </w:rPr>
        <w:t>de</w:t>
      </w:r>
      <w:r w:rsidR="00DB1635" w:rsidRPr="00A155DA">
        <w:rPr>
          <w:rFonts w:ascii="Tahoma" w:hAnsi="Tahoma" w:cs="Tahoma"/>
          <w:szCs w:val="22"/>
        </w:rPr>
        <w:t xml:space="preserve"> </w:t>
      </w:r>
      <w:r w:rsidRPr="00A155DA">
        <w:rPr>
          <w:rFonts w:ascii="Tahoma" w:hAnsi="Tahoma" w:cs="Tahoma"/>
          <w:szCs w:val="22"/>
        </w:rPr>
        <w:t>l’IMROP</w:t>
      </w:r>
      <w:r w:rsidR="00DB1635" w:rsidRPr="00A155DA">
        <w:rPr>
          <w:rFonts w:ascii="Tahoma" w:hAnsi="Tahoma" w:cs="Tahoma"/>
          <w:szCs w:val="22"/>
        </w:rPr>
        <w:t xml:space="preserve"> </w:t>
      </w:r>
      <w:r w:rsidRPr="00A155DA">
        <w:rPr>
          <w:rFonts w:ascii="Tahoma" w:hAnsi="Tahoma" w:cs="Tahoma"/>
          <w:szCs w:val="22"/>
        </w:rPr>
        <w:t>comme</w:t>
      </w:r>
      <w:r w:rsidR="00DB1635" w:rsidRPr="00A155DA">
        <w:rPr>
          <w:rFonts w:ascii="Tahoma" w:hAnsi="Tahoma" w:cs="Tahoma"/>
          <w:szCs w:val="22"/>
        </w:rPr>
        <w:t xml:space="preserve"> </w:t>
      </w:r>
      <w:r w:rsidRPr="00A155DA">
        <w:rPr>
          <w:rFonts w:ascii="Tahoma" w:hAnsi="Tahoma" w:cs="Tahoma"/>
          <w:szCs w:val="22"/>
        </w:rPr>
        <w:t>laboratoire</w:t>
      </w:r>
      <w:r w:rsidR="00DB1635" w:rsidRPr="00A155DA">
        <w:rPr>
          <w:rFonts w:ascii="Tahoma" w:hAnsi="Tahoma" w:cs="Tahoma"/>
          <w:szCs w:val="22"/>
        </w:rPr>
        <w:t xml:space="preserve"> </w:t>
      </w:r>
      <w:r w:rsidRPr="00A155DA">
        <w:rPr>
          <w:rFonts w:ascii="Tahoma" w:hAnsi="Tahoma" w:cs="Tahoma"/>
          <w:szCs w:val="22"/>
        </w:rPr>
        <w:t>national</w:t>
      </w:r>
      <w:r w:rsidR="00DB1635" w:rsidRPr="00A155DA">
        <w:rPr>
          <w:rFonts w:ascii="Tahoma" w:hAnsi="Tahoma" w:cs="Tahoma"/>
          <w:szCs w:val="22"/>
        </w:rPr>
        <w:t xml:space="preserve"> </w:t>
      </w:r>
      <w:r w:rsidRPr="00A155DA">
        <w:rPr>
          <w:rFonts w:ascii="Tahoma" w:hAnsi="Tahoma" w:cs="Tahoma"/>
          <w:szCs w:val="22"/>
        </w:rPr>
        <w:t>de</w:t>
      </w:r>
      <w:r w:rsidR="00DB1635" w:rsidRPr="00A155DA">
        <w:rPr>
          <w:rFonts w:ascii="Tahoma" w:hAnsi="Tahoma" w:cs="Tahoma"/>
          <w:szCs w:val="22"/>
        </w:rPr>
        <w:t xml:space="preserve"> </w:t>
      </w:r>
      <w:r w:rsidRPr="00A155DA">
        <w:rPr>
          <w:rFonts w:ascii="Tahoma" w:hAnsi="Tahoma" w:cs="Tahoma"/>
          <w:szCs w:val="22"/>
        </w:rPr>
        <w:t>référence</w:t>
      </w:r>
      <w:r w:rsidR="00DB1635" w:rsidRPr="00A155DA">
        <w:rPr>
          <w:rFonts w:ascii="Tahoma" w:hAnsi="Tahoma" w:cs="Tahoma"/>
          <w:szCs w:val="22"/>
        </w:rPr>
        <w:t xml:space="preserve"> </w:t>
      </w:r>
      <w:r w:rsidRPr="00A155DA">
        <w:rPr>
          <w:rFonts w:ascii="Tahoma" w:hAnsi="Tahoma" w:cs="Tahoma"/>
          <w:szCs w:val="22"/>
        </w:rPr>
        <w:t>de</w:t>
      </w:r>
      <w:r w:rsidR="00DB1635" w:rsidRPr="00A155DA">
        <w:rPr>
          <w:rFonts w:ascii="Tahoma" w:hAnsi="Tahoma" w:cs="Tahoma"/>
          <w:szCs w:val="22"/>
        </w:rPr>
        <w:t xml:space="preserve"> </w:t>
      </w:r>
      <w:r w:rsidRPr="00A155DA">
        <w:rPr>
          <w:rFonts w:ascii="Tahoma" w:hAnsi="Tahoma" w:cs="Tahoma"/>
          <w:szCs w:val="22"/>
        </w:rPr>
        <w:t>chimie</w:t>
      </w:r>
      <w:r w:rsidR="00DB1635" w:rsidRPr="00A155DA">
        <w:rPr>
          <w:rFonts w:ascii="Tahoma" w:hAnsi="Tahoma" w:cs="Tahoma"/>
          <w:szCs w:val="22"/>
        </w:rPr>
        <w:t xml:space="preserve"> </w:t>
      </w:r>
      <w:r w:rsidRPr="00A155DA">
        <w:rPr>
          <w:rFonts w:ascii="Tahoma" w:hAnsi="Tahoma" w:cs="Tahoma"/>
          <w:szCs w:val="22"/>
        </w:rPr>
        <w:t>et</w:t>
      </w:r>
      <w:r w:rsidR="00DB1635" w:rsidRPr="00A155DA">
        <w:rPr>
          <w:rFonts w:ascii="Tahoma" w:hAnsi="Tahoma" w:cs="Tahoma"/>
          <w:szCs w:val="22"/>
        </w:rPr>
        <w:t xml:space="preserve"> </w:t>
      </w:r>
      <w:r w:rsidR="00127017" w:rsidRPr="00A155DA">
        <w:rPr>
          <w:rFonts w:ascii="Tahoma" w:hAnsi="Tahoma" w:cs="Tahoma"/>
          <w:szCs w:val="22"/>
        </w:rPr>
        <w:t xml:space="preserve">de </w:t>
      </w:r>
      <w:r w:rsidRPr="00A155DA">
        <w:rPr>
          <w:rFonts w:ascii="Tahoma" w:hAnsi="Tahoma" w:cs="Tahoma"/>
          <w:szCs w:val="22"/>
        </w:rPr>
        <w:t>microbiologie</w:t>
      </w:r>
      <w:bookmarkEnd w:id="196"/>
      <w:bookmarkEnd w:id="197"/>
      <w:bookmarkEnd w:id="198"/>
    </w:p>
    <w:p w14:paraId="3EFF0D09" w14:textId="77777777" w:rsidR="002F24E1" w:rsidRPr="00B004EE" w:rsidRDefault="002F24E1" w:rsidP="00B004EE">
      <w:pPr>
        <w:tabs>
          <w:tab w:val="left" w:pos="5160"/>
        </w:tabs>
        <w:autoSpaceDE w:val="0"/>
        <w:autoSpaceDN w:val="0"/>
        <w:adjustRightInd w:val="0"/>
        <w:jc w:val="both"/>
        <w:rPr>
          <w:rFonts w:ascii="Tahoma" w:hAnsi="Tahoma" w:cs="Tahoma"/>
          <w:sz w:val="20"/>
          <w:szCs w:val="20"/>
        </w:rPr>
      </w:pPr>
    </w:p>
    <w:p w14:paraId="59A3EBCF" w14:textId="7486A1C4" w:rsidR="002F24E1" w:rsidRPr="00B004EE" w:rsidRDefault="002F24E1" w:rsidP="00B004EE">
      <w:pPr>
        <w:jc w:val="both"/>
        <w:rPr>
          <w:rFonts w:ascii="Tahoma" w:hAnsi="Tahoma" w:cs="Tahoma"/>
          <w:sz w:val="20"/>
          <w:szCs w:val="20"/>
        </w:rPr>
      </w:pPr>
      <w:r w:rsidRPr="00B004EE">
        <w:rPr>
          <w:rFonts w:ascii="Tahoma" w:hAnsi="Tahoma" w:cs="Tahoma"/>
          <w:b/>
          <w:bCs/>
          <w:sz w:val="20"/>
          <w:szCs w:val="20"/>
          <w:u w:val="single"/>
        </w:rPr>
        <w:t>Article</w:t>
      </w:r>
      <w:r w:rsidR="00DB1635" w:rsidRPr="00B004EE">
        <w:rPr>
          <w:rFonts w:ascii="Tahoma" w:hAnsi="Tahoma" w:cs="Tahoma"/>
          <w:b/>
          <w:bCs/>
          <w:sz w:val="20"/>
          <w:szCs w:val="20"/>
          <w:u w:val="single"/>
        </w:rPr>
        <w:t xml:space="preserve"> </w:t>
      </w:r>
      <w:r w:rsidRPr="00B004EE">
        <w:rPr>
          <w:rFonts w:ascii="Tahoma" w:hAnsi="Tahoma" w:cs="Tahoma"/>
          <w:b/>
          <w:bCs/>
          <w:sz w:val="20"/>
          <w:szCs w:val="20"/>
          <w:u w:val="single"/>
        </w:rPr>
        <w:t>Premier</w:t>
      </w:r>
      <w:r w:rsidR="00DB1635" w:rsidRPr="00B004EE">
        <w:rPr>
          <w:rFonts w:ascii="Tahoma" w:hAnsi="Tahoma" w:cs="Tahoma"/>
          <w:b/>
          <w:bCs/>
          <w:sz w:val="20"/>
          <w:szCs w:val="20"/>
        </w:rPr>
        <w:t xml:space="preserve"> </w:t>
      </w:r>
      <w:r w:rsidRPr="00B004EE">
        <w:rPr>
          <w:rFonts w:ascii="Tahoma" w:hAnsi="Tahoma" w:cs="Tahoma"/>
          <w:b/>
          <w:bCs/>
          <w:sz w:val="20"/>
          <w:szCs w:val="20"/>
        </w:rPr>
        <w:t>:</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délai</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obtenir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accréditations</w:t>
      </w:r>
      <w:r w:rsidR="00DB1635" w:rsidRPr="00B004EE">
        <w:rPr>
          <w:rFonts w:ascii="Tahoma" w:hAnsi="Tahoma" w:cs="Tahoma"/>
          <w:sz w:val="20"/>
          <w:szCs w:val="20"/>
        </w:rPr>
        <w:t xml:space="preserve"> </w:t>
      </w:r>
      <w:r w:rsidRPr="00B004EE">
        <w:rPr>
          <w:rFonts w:ascii="Tahoma" w:hAnsi="Tahoma" w:cs="Tahoma"/>
          <w:sz w:val="20"/>
          <w:szCs w:val="20"/>
        </w:rPr>
        <w:t>nécessaires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l’exercice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missions</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laboratoire</w:t>
      </w:r>
      <w:r w:rsidR="00DB1635" w:rsidRPr="00B004EE">
        <w:rPr>
          <w:rFonts w:ascii="Tahoma" w:hAnsi="Tahoma" w:cs="Tahoma"/>
          <w:sz w:val="20"/>
          <w:szCs w:val="20"/>
        </w:rPr>
        <w:t xml:space="preserve"> </w:t>
      </w:r>
      <w:r w:rsidRPr="00B004EE">
        <w:rPr>
          <w:rFonts w:ascii="Tahoma" w:hAnsi="Tahoma" w:cs="Tahoma"/>
          <w:sz w:val="20"/>
          <w:szCs w:val="20"/>
        </w:rPr>
        <w:t>national</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référence</w:t>
      </w:r>
      <w:r w:rsidR="00DB1635" w:rsidRPr="00B004EE">
        <w:rPr>
          <w:rFonts w:ascii="Tahoma" w:hAnsi="Tahoma" w:cs="Tahoma"/>
          <w:sz w:val="20"/>
          <w:szCs w:val="20"/>
        </w:rPr>
        <w:t xml:space="preserve"> </w:t>
      </w:r>
      <w:r w:rsidRPr="00B004EE">
        <w:rPr>
          <w:rFonts w:ascii="Tahoma" w:hAnsi="Tahoma" w:cs="Tahoma"/>
          <w:sz w:val="20"/>
          <w:szCs w:val="20"/>
        </w:rPr>
        <w:t>prévu</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l’article</w:t>
      </w:r>
      <w:r w:rsidR="00DB1635" w:rsidRPr="00B004EE">
        <w:rPr>
          <w:rFonts w:ascii="Tahoma" w:hAnsi="Tahoma" w:cs="Tahoma"/>
          <w:sz w:val="20"/>
          <w:szCs w:val="20"/>
        </w:rPr>
        <w:t xml:space="preserve"> </w:t>
      </w:r>
      <w:r w:rsidRPr="00B004EE">
        <w:rPr>
          <w:rFonts w:ascii="Tahoma" w:hAnsi="Tahoma" w:cs="Tahoma"/>
          <w:sz w:val="20"/>
          <w:szCs w:val="20"/>
        </w:rPr>
        <w:t>4</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l’Arrêté</w:t>
      </w:r>
      <w:r w:rsidR="00DB1635" w:rsidRPr="00B004EE">
        <w:rPr>
          <w:rFonts w:ascii="Tahoma" w:hAnsi="Tahoma" w:cs="Tahoma"/>
          <w:sz w:val="20"/>
          <w:szCs w:val="20"/>
        </w:rPr>
        <w:t xml:space="preserve"> </w:t>
      </w:r>
      <w:r w:rsidRPr="00B004EE">
        <w:rPr>
          <w:rFonts w:ascii="Tahoma" w:hAnsi="Tahoma" w:cs="Tahoma"/>
          <w:sz w:val="20"/>
          <w:szCs w:val="20"/>
        </w:rPr>
        <w:t>conjoint</w:t>
      </w:r>
      <w:r w:rsidR="00DB1635" w:rsidRPr="00B004EE">
        <w:rPr>
          <w:rFonts w:ascii="Tahoma" w:hAnsi="Tahoma" w:cs="Tahoma"/>
          <w:sz w:val="20"/>
          <w:szCs w:val="20"/>
        </w:rPr>
        <w:t xml:space="preserve"> </w:t>
      </w:r>
      <w:r w:rsidRPr="00B004EE">
        <w:rPr>
          <w:rFonts w:ascii="Tahoma" w:hAnsi="Tahoma" w:cs="Tahoma"/>
          <w:sz w:val="20"/>
          <w:szCs w:val="20"/>
        </w:rPr>
        <w:t>n°</w:t>
      </w:r>
      <w:r w:rsidR="00DB1635" w:rsidRPr="00B004EE">
        <w:rPr>
          <w:rFonts w:ascii="Tahoma" w:hAnsi="Tahoma" w:cs="Tahoma"/>
          <w:sz w:val="20"/>
          <w:szCs w:val="20"/>
        </w:rPr>
        <w:t xml:space="preserve"> </w:t>
      </w:r>
      <w:r w:rsidRPr="00B004EE">
        <w:rPr>
          <w:rFonts w:ascii="Tahoma" w:hAnsi="Tahoma" w:cs="Tahoma"/>
          <w:sz w:val="20"/>
          <w:szCs w:val="20"/>
        </w:rPr>
        <w:t>2859</w:t>
      </w:r>
      <w:r w:rsidR="00DB1635" w:rsidRPr="00B004EE">
        <w:rPr>
          <w:rFonts w:ascii="Tahoma" w:hAnsi="Tahoma" w:cs="Tahoma"/>
          <w:sz w:val="20"/>
          <w:szCs w:val="20"/>
        </w:rPr>
        <w:t xml:space="preserve"> </w:t>
      </w:r>
      <w:r w:rsidRPr="00B004EE">
        <w:rPr>
          <w:rFonts w:ascii="Tahoma" w:hAnsi="Tahoma" w:cs="Tahoma"/>
          <w:sz w:val="20"/>
          <w:szCs w:val="20"/>
        </w:rPr>
        <w:t>MPEM/</w:t>
      </w:r>
      <w:r w:rsidR="00DB1635" w:rsidRPr="00B004EE">
        <w:rPr>
          <w:rFonts w:ascii="Tahoma" w:hAnsi="Tahoma" w:cs="Tahoma"/>
          <w:sz w:val="20"/>
          <w:szCs w:val="20"/>
        </w:rPr>
        <w:t xml:space="preserve"> </w:t>
      </w:r>
      <w:r w:rsidRPr="00B004EE">
        <w:rPr>
          <w:rFonts w:ascii="Tahoma" w:hAnsi="Tahoma" w:cs="Tahoma"/>
          <w:sz w:val="20"/>
          <w:szCs w:val="20"/>
        </w:rPr>
        <w:t>MCAT/MSAS/SEPME</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16</w:t>
      </w:r>
      <w:r w:rsidR="00DB1635" w:rsidRPr="00B004EE">
        <w:rPr>
          <w:rFonts w:ascii="Tahoma" w:hAnsi="Tahoma" w:cs="Tahoma"/>
          <w:sz w:val="20"/>
          <w:szCs w:val="20"/>
        </w:rPr>
        <w:t xml:space="preserve"> </w:t>
      </w:r>
      <w:r w:rsidRPr="00B004EE">
        <w:rPr>
          <w:rFonts w:ascii="Tahoma" w:hAnsi="Tahoma" w:cs="Tahoma"/>
          <w:sz w:val="20"/>
          <w:szCs w:val="20"/>
        </w:rPr>
        <w:t>novembre</w:t>
      </w:r>
      <w:r w:rsidR="00DB1635" w:rsidRPr="00B004EE">
        <w:rPr>
          <w:rFonts w:ascii="Tahoma" w:hAnsi="Tahoma" w:cs="Tahoma"/>
          <w:sz w:val="20"/>
          <w:szCs w:val="20"/>
        </w:rPr>
        <w:t xml:space="preserve"> </w:t>
      </w:r>
      <w:r w:rsidRPr="00B004EE">
        <w:rPr>
          <w:rFonts w:ascii="Tahoma" w:hAnsi="Tahoma" w:cs="Tahoma"/>
          <w:sz w:val="20"/>
          <w:szCs w:val="20"/>
        </w:rPr>
        <w:t>2006</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rouvert</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durée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00127017" w:rsidRPr="00B004EE">
        <w:rPr>
          <w:rFonts w:ascii="Tahoma" w:hAnsi="Tahoma" w:cs="Tahoma"/>
          <w:sz w:val="20"/>
          <w:szCs w:val="20"/>
        </w:rPr>
        <w:t>vingt-quatre</w:t>
      </w:r>
      <w:r w:rsidR="00DB1635" w:rsidRPr="00B004EE">
        <w:rPr>
          <w:rFonts w:ascii="Tahoma" w:hAnsi="Tahoma" w:cs="Tahoma"/>
          <w:sz w:val="20"/>
          <w:szCs w:val="20"/>
        </w:rPr>
        <w:t xml:space="preserve"> </w:t>
      </w:r>
      <w:r w:rsidRPr="00B004EE">
        <w:rPr>
          <w:rFonts w:ascii="Tahoma" w:hAnsi="Tahoma" w:cs="Tahoma"/>
          <w:sz w:val="20"/>
          <w:szCs w:val="20"/>
        </w:rPr>
        <w:t>(24)</w:t>
      </w:r>
      <w:r w:rsidR="00DB1635" w:rsidRPr="00B004EE">
        <w:rPr>
          <w:rFonts w:ascii="Tahoma" w:hAnsi="Tahoma" w:cs="Tahoma"/>
          <w:sz w:val="20"/>
          <w:szCs w:val="20"/>
        </w:rPr>
        <w:t xml:space="preserve"> </w:t>
      </w:r>
      <w:r w:rsidRPr="00B004EE">
        <w:rPr>
          <w:rFonts w:ascii="Tahoma" w:hAnsi="Tahoma" w:cs="Tahoma"/>
          <w:sz w:val="20"/>
          <w:szCs w:val="20"/>
        </w:rPr>
        <w:t>mois,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compter</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date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publication</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présent</w:t>
      </w:r>
      <w:r w:rsidR="00DB1635" w:rsidRPr="00B004EE">
        <w:rPr>
          <w:rFonts w:ascii="Tahoma" w:hAnsi="Tahoma" w:cs="Tahoma"/>
          <w:sz w:val="20"/>
          <w:szCs w:val="20"/>
        </w:rPr>
        <w:t xml:space="preserve"> </w:t>
      </w:r>
      <w:r w:rsidRPr="00B004EE">
        <w:rPr>
          <w:rFonts w:ascii="Tahoma" w:hAnsi="Tahoma" w:cs="Tahoma"/>
          <w:sz w:val="20"/>
          <w:szCs w:val="20"/>
        </w:rPr>
        <w:t>arrêté.</w:t>
      </w:r>
    </w:p>
    <w:p w14:paraId="009A405D" w14:textId="77777777" w:rsidR="002F24E1" w:rsidRPr="00B004EE" w:rsidRDefault="002F24E1" w:rsidP="00B004EE">
      <w:pPr>
        <w:jc w:val="both"/>
        <w:rPr>
          <w:rFonts w:ascii="Tahoma" w:hAnsi="Tahoma" w:cs="Tahoma"/>
          <w:b/>
          <w:bCs/>
          <w:sz w:val="20"/>
          <w:szCs w:val="20"/>
          <w:u w:val="single"/>
        </w:rPr>
      </w:pPr>
    </w:p>
    <w:p w14:paraId="38A3F34C" w14:textId="06E63735" w:rsidR="002F24E1" w:rsidRPr="00B004EE" w:rsidRDefault="002F24E1" w:rsidP="00B004EE">
      <w:pPr>
        <w:jc w:val="both"/>
        <w:rPr>
          <w:rFonts w:ascii="Tahoma" w:hAnsi="Tahoma" w:cs="Tahoma"/>
          <w:sz w:val="20"/>
          <w:szCs w:val="20"/>
        </w:rPr>
      </w:pPr>
      <w:r w:rsidRPr="00B004EE">
        <w:rPr>
          <w:rFonts w:ascii="Tahoma" w:hAnsi="Tahoma" w:cs="Tahoma"/>
          <w:b/>
          <w:bCs/>
          <w:sz w:val="20"/>
          <w:szCs w:val="20"/>
          <w:u w:val="single"/>
        </w:rPr>
        <w:t>Article</w:t>
      </w:r>
      <w:r w:rsidR="00DB1635" w:rsidRPr="00B004EE">
        <w:rPr>
          <w:rFonts w:ascii="Tahoma" w:hAnsi="Tahoma" w:cs="Tahoma"/>
          <w:b/>
          <w:bCs/>
          <w:sz w:val="20"/>
          <w:szCs w:val="20"/>
          <w:u w:val="single"/>
        </w:rPr>
        <w:t xml:space="preserve"> </w:t>
      </w:r>
      <w:r w:rsidRPr="00B004EE">
        <w:rPr>
          <w:rFonts w:ascii="Tahoma" w:hAnsi="Tahoma" w:cs="Tahoma"/>
          <w:b/>
          <w:bCs/>
          <w:sz w:val="20"/>
          <w:szCs w:val="20"/>
          <w:u w:val="single"/>
        </w:rPr>
        <w:t>2</w:t>
      </w:r>
      <w:r w:rsidR="00DB1635" w:rsidRPr="00B004EE">
        <w:rPr>
          <w:rFonts w:ascii="Tahoma" w:hAnsi="Tahoma" w:cs="Tahoma"/>
          <w:b/>
          <w:bCs/>
          <w:sz w:val="20"/>
          <w:szCs w:val="20"/>
        </w:rPr>
        <w:t xml:space="preserve"> </w:t>
      </w:r>
      <w:r w:rsidRPr="00B004EE">
        <w:rPr>
          <w:rFonts w:ascii="Tahoma" w:hAnsi="Tahoma" w:cs="Tahoma"/>
          <w:b/>
          <w:bCs/>
          <w:sz w:val="20"/>
          <w:szCs w:val="20"/>
        </w:rPr>
        <w:t>:</w:t>
      </w:r>
      <w:r w:rsidR="00DB1635" w:rsidRPr="00B004EE">
        <w:rPr>
          <w:rFonts w:ascii="Tahoma" w:hAnsi="Tahoma" w:cs="Tahoma"/>
          <w:b/>
          <w:bCs/>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abrogées</w:t>
      </w:r>
      <w:r w:rsidR="00DB1635" w:rsidRPr="00B004EE">
        <w:rPr>
          <w:rFonts w:ascii="Tahoma" w:hAnsi="Tahoma" w:cs="Tahoma"/>
          <w:sz w:val="20"/>
          <w:szCs w:val="20"/>
        </w:rPr>
        <w:t xml:space="preserve"> </w:t>
      </w:r>
      <w:r w:rsidRPr="00B004EE">
        <w:rPr>
          <w:rFonts w:ascii="Tahoma" w:hAnsi="Tahoma" w:cs="Tahoma"/>
          <w:sz w:val="20"/>
          <w:szCs w:val="20"/>
        </w:rPr>
        <w:t>toutes</w:t>
      </w:r>
      <w:r w:rsidR="00DB1635" w:rsidRPr="00B004EE">
        <w:rPr>
          <w:rFonts w:ascii="Tahoma" w:hAnsi="Tahoma" w:cs="Tahoma"/>
          <w:sz w:val="20"/>
          <w:szCs w:val="20"/>
        </w:rPr>
        <w:t xml:space="preserve"> </w:t>
      </w:r>
      <w:r w:rsidRPr="00B004EE">
        <w:rPr>
          <w:rFonts w:ascii="Tahoma" w:hAnsi="Tahoma" w:cs="Tahoma"/>
          <w:sz w:val="20"/>
          <w:szCs w:val="20"/>
        </w:rPr>
        <w:t>dispositions</w:t>
      </w:r>
      <w:r w:rsidR="00DB1635" w:rsidRPr="00B004EE">
        <w:rPr>
          <w:rFonts w:ascii="Tahoma" w:hAnsi="Tahoma" w:cs="Tahoma"/>
          <w:sz w:val="20"/>
          <w:szCs w:val="20"/>
        </w:rPr>
        <w:t xml:space="preserve"> </w:t>
      </w:r>
      <w:r w:rsidRPr="00B004EE">
        <w:rPr>
          <w:rFonts w:ascii="Tahoma" w:hAnsi="Tahoma" w:cs="Tahoma"/>
          <w:sz w:val="20"/>
          <w:szCs w:val="20"/>
        </w:rPr>
        <w:t>antérieures</w:t>
      </w:r>
      <w:r w:rsidR="00DB1635" w:rsidRPr="00B004EE">
        <w:rPr>
          <w:rFonts w:ascii="Tahoma" w:hAnsi="Tahoma" w:cs="Tahoma"/>
          <w:sz w:val="20"/>
          <w:szCs w:val="20"/>
        </w:rPr>
        <w:t xml:space="preserve"> </w:t>
      </w:r>
      <w:r w:rsidRPr="00B004EE">
        <w:rPr>
          <w:rFonts w:ascii="Tahoma" w:hAnsi="Tahoma" w:cs="Tahoma"/>
          <w:sz w:val="20"/>
          <w:szCs w:val="20"/>
        </w:rPr>
        <w:t>contraires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notamment</w:t>
      </w:r>
      <w:r w:rsidR="00DB1635" w:rsidRPr="00B004EE">
        <w:rPr>
          <w:rFonts w:ascii="Tahoma" w:hAnsi="Tahoma" w:cs="Tahoma"/>
          <w:sz w:val="20"/>
          <w:szCs w:val="20"/>
        </w:rPr>
        <w:t xml:space="preserve"> </w:t>
      </w:r>
      <w:r w:rsidRPr="00B004EE">
        <w:rPr>
          <w:rFonts w:ascii="Tahoma" w:hAnsi="Tahoma" w:cs="Tahoma"/>
          <w:sz w:val="20"/>
          <w:szCs w:val="20"/>
        </w:rPr>
        <w:t>celles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l’arrêté</w:t>
      </w:r>
      <w:r w:rsidR="00DB1635" w:rsidRPr="00B004EE">
        <w:rPr>
          <w:rFonts w:ascii="Tahoma" w:hAnsi="Tahoma" w:cs="Tahoma"/>
          <w:sz w:val="20"/>
          <w:szCs w:val="20"/>
        </w:rPr>
        <w:t xml:space="preserve"> </w:t>
      </w:r>
      <w:r w:rsidRPr="00B004EE">
        <w:rPr>
          <w:rFonts w:ascii="Tahoma" w:hAnsi="Tahoma" w:cs="Tahoma"/>
          <w:sz w:val="20"/>
          <w:szCs w:val="20"/>
        </w:rPr>
        <w:t>conjoint</w:t>
      </w:r>
      <w:r w:rsidR="00DB1635" w:rsidRPr="00B004EE">
        <w:rPr>
          <w:rFonts w:ascii="Tahoma" w:hAnsi="Tahoma" w:cs="Tahoma"/>
          <w:sz w:val="20"/>
          <w:szCs w:val="20"/>
        </w:rPr>
        <w:t xml:space="preserve"> </w:t>
      </w:r>
      <w:r w:rsidRPr="00B004EE">
        <w:rPr>
          <w:rFonts w:ascii="Tahoma" w:hAnsi="Tahoma" w:cs="Tahoma"/>
          <w:sz w:val="20"/>
          <w:szCs w:val="20"/>
        </w:rPr>
        <w:t>n°</w:t>
      </w:r>
      <w:r w:rsidR="00DB1635" w:rsidRPr="00B004EE">
        <w:rPr>
          <w:rFonts w:ascii="Tahoma" w:hAnsi="Tahoma" w:cs="Tahoma"/>
          <w:sz w:val="20"/>
          <w:szCs w:val="20"/>
        </w:rPr>
        <w:t xml:space="preserve"> </w:t>
      </w:r>
      <w:r w:rsidRPr="00B004EE">
        <w:rPr>
          <w:rFonts w:ascii="Tahoma" w:hAnsi="Tahoma" w:cs="Tahoma"/>
          <w:sz w:val="20"/>
          <w:szCs w:val="20"/>
        </w:rPr>
        <w:t>2859</w:t>
      </w:r>
      <w:r w:rsidR="00DB1635" w:rsidRPr="00B004EE">
        <w:rPr>
          <w:rFonts w:ascii="Tahoma" w:hAnsi="Tahoma" w:cs="Tahoma"/>
          <w:sz w:val="20"/>
          <w:szCs w:val="20"/>
        </w:rPr>
        <w:t xml:space="preserve"> </w:t>
      </w:r>
      <w:r w:rsidRPr="00B004EE">
        <w:rPr>
          <w:rFonts w:ascii="Tahoma" w:hAnsi="Tahoma" w:cs="Tahoma"/>
          <w:sz w:val="20"/>
          <w:szCs w:val="20"/>
        </w:rPr>
        <w:t>MPEM/</w:t>
      </w:r>
      <w:r w:rsidR="00DB1635" w:rsidRPr="00B004EE">
        <w:rPr>
          <w:rFonts w:ascii="Tahoma" w:hAnsi="Tahoma" w:cs="Tahoma"/>
          <w:sz w:val="20"/>
          <w:szCs w:val="20"/>
        </w:rPr>
        <w:t xml:space="preserve"> </w:t>
      </w:r>
      <w:r w:rsidRPr="00B004EE">
        <w:rPr>
          <w:rFonts w:ascii="Tahoma" w:hAnsi="Tahoma" w:cs="Tahoma"/>
          <w:sz w:val="20"/>
          <w:szCs w:val="20"/>
        </w:rPr>
        <w:t>MCAT/MSAS/SEPME</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16</w:t>
      </w:r>
      <w:r w:rsidR="00DB1635" w:rsidRPr="00B004EE">
        <w:rPr>
          <w:rFonts w:ascii="Tahoma" w:hAnsi="Tahoma" w:cs="Tahoma"/>
          <w:sz w:val="20"/>
          <w:szCs w:val="20"/>
        </w:rPr>
        <w:t xml:space="preserve"> </w:t>
      </w:r>
      <w:r w:rsidRPr="00B004EE">
        <w:rPr>
          <w:rFonts w:ascii="Tahoma" w:hAnsi="Tahoma" w:cs="Tahoma"/>
          <w:sz w:val="20"/>
          <w:szCs w:val="20"/>
        </w:rPr>
        <w:t>novembre</w:t>
      </w:r>
      <w:r w:rsidR="00DB1635" w:rsidRPr="00B004EE">
        <w:rPr>
          <w:rFonts w:ascii="Tahoma" w:hAnsi="Tahoma" w:cs="Tahoma"/>
          <w:sz w:val="20"/>
          <w:szCs w:val="20"/>
        </w:rPr>
        <w:t xml:space="preserve"> </w:t>
      </w:r>
      <w:r w:rsidRPr="00B004EE">
        <w:rPr>
          <w:rFonts w:ascii="Tahoma" w:hAnsi="Tahoma" w:cs="Tahoma"/>
          <w:sz w:val="20"/>
          <w:szCs w:val="20"/>
        </w:rPr>
        <w:t>2006</w:t>
      </w:r>
      <w:r w:rsidR="00DB1635" w:rsidRPr="00B004EE">
        <w:rPr>
          <w:rFonts w:ascii="Tahoma" w:hAnsi="Tahoma" w:cs="Tahoma"/>
          <w:sz w:val="20"/>
          <w:szCs w:val="20"/>
        </w:rPr>
        <w:t xml:space="preserve"> </w:t>
      </w:r>
      <w:r w:rsidRPr="00B004EE">
        <w:rPr>
          <w:rFonts w:ascii="Tahoma" w:hAnsi="Tahoma" w:cs="Tahoma"/>
          <w:sz w:val="20"/>
          <w:szCs w:val="20"/>
        </w:rPr>
        <w:t>portant</w:t>
      </w:r>
      <w:r w:rsidR="00DB1635" w:rsidRPr="00B004EE">
        <w:rPr>
          <w:rFonts w:ascii="Tahoma" w:hAnsi="Tahoma" w:cs="Tahoma"/>
          <w:sz w:val="20"/>
          <w:szCs w:val="20"/>
        </w:rPr>
        <w:t xml:space="preserve"> </w:t>
      </w:r>
      <w:r w:rsidRPr="00B004EE">
        <w:rPr>
          <w:rFonts w:ascii="Tahoma" w:hAnsi="Tahoma" w:cs="Tahoma"/>
          <w:sz w:val="20"/>
          <w:szCs w:val="20"/>
        </w:rPr>
        <w:t>désignation</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laboratoire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l’IMROP</w:t>
      </w:r>
      <w:r w:rsidR="00DB1635" w:rsidRPr="00B004EE">
        <w:rPr>
          <w:rFonts w:ascii="Tahoma" w:hAnsi="Tahoma" w:cs="Tahoma"/>
          <w:sz w:val="20"/>
          <w:szCs w:val="20"/>
        </w:rPr>
        <w:t xml:space="preserve"> </w:t>
      </w:r>
      <w:r w:rsidRPr="00B004EE">
        <w:rPr>
          <w:rFonts w:ascii="Tahoma" w:hAnsi="Tahoma" w:cs="Tahoma"/>
          <w:sz w:val="20"/>
          <w:szCs w:val="20"/>
        </w:rPr>
        <w:t>comme</w:t>
      </w:r>
      <w:r w:rsidR="00DB1635" w:rsidRPr="00B004EE">
        <w:rPr>
          <w:rFonts w:ascii="Tahoma" w:hAnsi="Tahoma" w:cs="Tahoma"/>
          <w:sz w:val="20"/>
          <w:szCs w:val="20"/>
        </w:rPr>
        <w:t xml:space="preserve"> </w:t>
      </w:r>
      <w:r w:rsidRPr="00B004EE">
        <w:rPr>
          <w:rFonts w:ascii="Tahoma" w:hAnsi="Tahoma" w:cs="Tahoma"/>
          <w:sz w:val="20"/>
          <w:szCs w:val="20"/>
        </w:rPr>
        <w:t>laboratoire</w:t>
      </w:r>
      <w:r w:rsidR="00DB1635" w:rsidRPr="00B004EE">
        <w:rPr>
          <w:rFonts w:ascii="Tahoma" w:hAnsi="Tahoma" w:cs="Tahoma"/>
          <w:sz w:val="20"/>
          <w:szCs w:val="20"/>
        </w:rPr>
        <w:t xml:space="preserve"> </w:t>
      </w:r>
      <w:r w:rsidRPr="00B004EE">
        <w:rPr>
          <w:rFonts w:ascii="Tahoma" w:hAnsi="Tahoma" w:cs="Tahoma"/>
          <w:sz w:val="20"/>
          <w:szCs w:val="20"/>
        </w:rPr>
        <w:t>national</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référence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chimie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microbiologie.</w:t>
      </w:r>
    </w:p>
    <w:p w14:paraId="04B97757" w14:textId="77777777" w:rsidR="002F24E1" w:rsidRPr="00B004EE" w:rsidRDefault="002F24E1" w:rsidP="00B004EE">
      <w:pPr>
        <w:jc w:val="both"/>
        <w:rPr>
          <w:rFonts w:ascii="Tahoma" w:hAnsi="Tahoma" w:cs="Tahoma"/>
          <w:sz w:val="20"/>
          <w:szCs w:val="20"/>
        </w:rPr>
      </w:pPr>
    </w:p>
    <w:p w14:paraId="5A24038B" w14:textId="595489A9" w:rsidR="002F24E1" w:rsidRPr="00B004EE" w:rsidRDefault="002F24E1" w:rsidP="00B004EE">
      <w:pPr>
        <w:jc w:val="both"/>
        <w:rPr>
          <w:rFonts w:ascii="Tahoma" w:hAnsi="Tahoma" w:cs="Tahoma"/>
          <w:sz w:val="20"/>
          <w:szCs w:val="20"/>
        </w:rPr>
      </w:pPr>
      <w:r w:rsidRPr="00B004EE">
        <w:rPr>
          <w:rFonts w:ascii="Tahoma" w:hAnsi="Tahoma" w:cs="Tahoma"/>
          <w:b/>
          <w:bCs/>
          <w:sz w:val="20"/>
          <w:szCs w:val="20"/>
          <w:u w:val="single"/>
        </w:rPr>
        <w:t>Article</w:t>
      </w:r>
      <w:r w:rsidR="00DB1635" w:rsidRPr="00B004EE">
        <w:rPr>
          <w:rFonts w:ascii="Tahoma" w:hAnsi="Tahoma" w:cs="Tahoma"/>
          <w:b/>
          <w:bCs/>
          <w:sz w:val="20"/>
          <w:szCs w:val="20"/>
          <w:u w:val="single"/>
        </w:rPr>
        <w:t xml:space="preserve"> </w:t>
      </w:r>
      <w:r w:rsidRPr="00B004EE">
        <w:rPr>
          <w:rFonts w:ascii="Tahoma" w:hAnsi="Tahoma" w:cs="Tahoma"/>
          <w:b/>
          <w:bCs/>
          <w:sz w:val="20"/>
          <w:szCs w:val="20"/>
          <w:u w:val="single"/>
        </w:rPr>
        <w:t>3</w:t>
      </w:r>
      <w:r w:rsidR="00DB1635" w:rsidRPr="00B004EE">
        <w:rPr>
          <w:rFonts w:ascii="Tahoma" w:hAnsi="Tahoma" w:cs="Tahoma"/>
          <w:b/>
          <w:bCs/>
          <w:sz w:val="20"/>
          <w:szCs w:val="20"/>
        </w:rPr>
        <w:t xml:space="preserve"> </w:t>
      </w:r>
      <w:r w:rsidRPr="00B004EE">
        <w:rPr>
          <w:rFonts w:ascii="Tahoma" w:hAnsi="Tahoma" w:cs="Tahoma"/>
          <w:b/>
          <w:bCs/>
          <w:sz w:val="20"/>
          <w:szCs w:val="20"/>
        </w:rPr>
        <w:t>:</w:t>
      </w:r>
      <w:r w:rsidR="00DB1635" w:rsidRPr="00B004EE">
        <w:rPr>
          <w:rFonts w:ascii="Tahoma" w:hAnsi="Tahoma" w:cs="Tahoma"/>
          <w:b/>
          <w:bCs/>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Secrétaire</w:t>
      </w:r>
      <w:r w:rsidR="00DB1635" w:rsidRPr="00B004EE">
        <w:rPr>
          <w:rFonts w:ascii="Tahoma" w:hAnsi="Tahoma" w:cs="Tahoma"/>
          <w:sz w:val="20"/>
          <w:szCs w:val="20"/>
        </w:rPr>
        <w:t xml:space="preserve"> </w:t>
      </w:r>
      <w:r w:rsidRPr="00B004EE">
        <w:rPr>
          <w:rFonts w:ascii="Tahoma" w:hAnsi="Tahoma" w:cs="Tahoma"/>
          <w:sz w:val="20"/>
          <w:szCs w:val="20"/>
        </w:rPr>
        <w:t>Général</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Ministère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l'Economie</w:t>
      </w:r>
      <w:r w:rsidR="00DB1635" w:rsidRPr="00B004EE">
        <w:rPr>
          <w:rFonts w:ascii="Tahoma" w:hAnsi="Tahoma" w:cs="Tahoma"/>
          <w:sz w:val="20"/>
          <w:szCs w:val="20"/>
        </w:rPr>
        <w:t xml:space="preserve"> </w:t>
      </w:r>
      <w:r w:rsidRPr="00B004EE">
        <w:rPr>
          <w:rFonts w:ascii="Tahoma" w:hAnsi="Tahoma" w:cs="Tahoma"/>
          <w:sz w:val="20"/>
          <w:szCs w:val="20"/>
        </w:rPr>
        <w:t>Maritime,</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Secrétaire</w:t>
      </w:r>
      <w:r w:rsidR="00DB1635" w:rsidRPr="00B004EE">
        <w:rPr>
          <w:rFonts w:ascii="Tahoma" w:hAnsi="Tahoma" w:cs="Tahoma"/>
          <w:sz w:val="20"/>
          <w:szCs w:val="20"/>
        </w:rPr>
        <w:t xml:space="preserve"> </w:t>
      </w:r>
      <w:r w:rsidRPr="00B004EE">
        <w:rPr>
          <w:rFonts w:ascii="Tahoma" w:hAnsi="Tahoma" w:cs="Tahoma"/>
          <w:sz w:val="20"/>
          <w:szCs w:val="20"/>
        </w:rPr>
        <w:t>Général</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Ministère</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Commerce,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l'Artisanat</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Tourisme,</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Secrétaire</w:t>
      </w:r>
      <w:r w:rsidR="00DB1635" w:rsidRPr="00B004EE">
        <w:rPr>
          <w:rFonts w:ascii="Tahoma" w:hAnsi="Tahoma" w:cs="Tahoma"/>
          <w:sz w:val="20"/>
          <w:szCs w:val="20"/>
        </w:rPr>
        <w:t xml:space="preserve"> </w:t>
      </w:r>
      <w:r w:rsidRPr="00B004EE">
        <w:rPr>
          <w:rFonts w:ascii="Tahoma" w:hAnsi="Tahoma" w:cs="Tahoma"/>
          <w:sz w:val="20"/>
          <w:szCs w:val="20"/>
        </w:rPr>
        <w:t>Général</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Ministère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Santé,</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Secrétaire</w:t>
      </w:r>
      <w:r w:rsidR="00DB1635" w:rsidRPr="00B004EE">
        <w:rPr>
          <w:rFonts w:ascii="Tahoma" w:hAnsi="Tahoma" w:cs="Tahoma"/>
          <w:sz w:val="20"/>
          <w:szCs w:val="20"/>
        </w:rPr>
        <w:t xml:space="preserve"> </w:t>
      </w:r>
      <w:r w:rsidRPr="00B004EE">
        <w:rPr>
          <w:rFonts w:ascii="Tahoma" w:hAnsi="Tahoma" w:cs="Tahoma"/>
          <w:sz w:val="20"/>
          <w:szCs w:val="20"/>
        </w:rPr>
        <w:t>Général</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Ministère</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Développement</w:t>
      </w:r>
      <w:r w:rsidR="00DB1635" w:rsidRPr="00B004EE">
        <w:rPr>
          <w:rFonts w:ascii="Tahoma" w:hAnsi="Tahoma" w:cs="Tahoma"/>
          <w:sz w:val="20"/>
          <w:szCs w:val="20"/>
        </w:rPr>
        <w:t xml:space="preserve"> </w:t>
      </w:r>
      <w:r w:rsidRPr="00B004EE">
        <w:rPr>
          <w:rFonts w:ascii="Tahoma" w:hAnsi="Tahoma" w:cs="Tahoma"/>
          <w:sz w:val="20"/>
          <w:szCs w:val="20"/>
        </w:rPr>
        <w:t>Rural</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Secrétaire</w:t>
      </w:r>
      <w:r w:rsidR="00DB1635" w:rsidRPr="00B004EE">
        <w:rPr>
          <w:rFonts w:ascii="Tahoma" w:hAnsi="Tahoma" w:cs="Tahoma"/>
          <w:sz w:val="20"/>
          <w:szCs w:val="20"/>
        </w:rPr>
        <w:t xml:space="preserve"> </w:t>
      </w:r>
      <w:r w:rsidRPr="00B004EE">
        <w:rPr>
          <w:rFonts w:ascii="Tahoma" w:hAnsi="Tahoma" w:cs="Tahoma"/>
          <w:sz w:val="20"/>
          <w:szCs w:val="20"/>
        </w:rPr>
        <w:t>Général</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Ministère</w:t>
      </w:r>
      <w:r w:rsidR="00DB1635" w:rsidRPr="00B004EE">
        <w:rPr>
          <w:rFonts w:ascii="Tahoma" w:hAnsi="Tahoma" w:cs="Tahoma"/>
          <w:sz w:val="20"/>
          <w:szCs w:val="20"/>
        </w:rPr>
        <w:t xml:space="preserve"> </w:t>
      </w:r>
      <w:r w:rsidRPr="00B004EE">
        <w:rPr>
          <w:rFonts w:ascii="Tahoma" w:hAnsi="Tahoma" w:cs="Tahoma"/>
          <w:sz w:val="20"/>
          <w:szCs w:val="20"/>
        </w:rPr>
        <w:t>Délégué</w:t>
      </w:r>
      <w:r w:rsidR="00DB1635" w:rsidRPr="00B004EE">
        <w:rPr>
          <w:rFonts w:ascii="Tahoma" w:hAnsi="Tahoma" w:cs="Tahoma"/>
          <w:sz w:val="20"/>
          <w:szCs w:val="20"/>
        </w:rPr>
        <w:t xml:space="preserve"> </w:t>
      </w:r>
      <w:r w:rsidRPr="00B004EE">
        <w:rPr>
          <w:rFonts w:ascii="Tahoma" w:hAnsi="Tahoma" w:cs="Tahoma"/>
          <w:sz w:val="20"/>
          <w:szCs w:val="20"/>
        </w:rPr>
        <w:t>Auprès</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Premier</w:t>
      </w:r>
      <w:r w:rsidR="00DB1635" w:rsidRPr="00B004EE">
        <w:rPr>
          <w:rFonts w:ascii="Tahoma" w:hAnsi="Tahoma" w:cs="Tahoma"/>
          <w:sz w:val="20"/>
          <w:szCs w:val="20"/>
        </w:rPr>
        <w:t xml:space="preserve"> </w:t>
      </w:r>
      <w:r w:rsidRPr="00B004EE">
        <w:rPr>
          <w:rFonts w:ascii="Tahoma" w:hAnsi="Tahoma" w:cs="Tahoma"/>
          <w:sz w:val="20"/>
          <w:szCs w:val="20"/>
        </w:rPr>
        <w:t>ministre</w:t>
      </w:r>
      <w:r w:rsidR="00DB1635" w:rsidRPr="00B004EE">
        <w:rPr>
          <w:rFonts w:ascii="Tahoma" w:hAnsi="Tahoma" w:cs="Tahoma"/>
          <w:sz w:val="20"/>
          <w:szCs w:val="20"/>
        </w:rPr>
        <w:t xml:space="preserve"> </w:t>
      </w:r>
      <w:r w:rsidRPr="00B004EE">
        <w:rPr>
          <w:rFonts w:ascii="Tahoma" w:hAnsi="Tahoma" w:cs="Tahoma"/>
          <w:sz w:val="20"/>
          <w:szCs w:val="20"/>
        </w:rPr>
        <w:t>chargé</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l'Environnement</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Développement</w:t>
      </w:r>
      <w:r w:rsidR="00DB1635" w:rsidRPr="00B004EE">
        <w:rPr>
          <w:rFonts w:ascii="Tahoma" w:hAnsi="Tahoma" w:cs="Tahoma"/>
          <w:sz w:val="20"/>
          <w:szCs w:val="20"/>
        </w:rPr>
        <w:t xml:space="preserve"> </w:t>
      </w:r>
      <w:r w:rsidRPr="00B004EE">
        <w:rPr>
          <w:rFonts w:ascii="Tahoma" w:hAnsi="Tahoma" w:cs="Tahoma"/>
          <w:sz w:val="20"/>
          <w:szCs w:val="20"/>
        </w:rPr>
        <w:t>Durable</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chargés,</w:t>
      </w:r>
      <w:r w:rsidR="00DB1635" w:rsidRPr="00B004EE">
        <w:rPr>
          <w:rFonts w:ascii="Tahoma" w:hAnsi="Tahoma" w:cs="Tahoma"/>
          <w:sz w:val="20"/>
          <w:szCs w:val="20"/>
        </w:rPr>
        <w:t xml:space="preserve"> </w:t>
      </w:r>
      <w:r w:rsidRPr="00B004EE">
        <w:rPr>
          <w:rFonts w:ascii="Tahoma" w:hAnsi="Tahoma" w:cs="Tahoma"/>
          <w:sz w:val="20"/>
          <w:szCs w:val="20"/>
        </w:rPr>
        <w:t>chacun</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ce</w:t>
      </w:r>
      <w:r w:rsidR="00DB1635" w:rsidRPr="00B004EE">
        <w:rPr>
          <w:rFonts w:ascii="Tahoma" w:hAnsi="Tahoma" w:cs="Tahoma"/>
          <w:sz w:val="20"/>
          <w:szCs w:val="20"/>
        </w:rPr>
        <w:t xml:space="preserve"> </w:t>
      </w:r>
      <w:r w:rsidRPr="00B004EE">
        <w:rPr>
          <w:rFonts w:ascii="Tahoma" w:hAnsi="Tahoma" w:cs="Tahoma"/>
          <w:sz w:val="20"/>
          <w:szCs w:val="20"/>
        </w:rPr>
        <w:t>qui</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concerne,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l'exécution</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présent</w:t>
      </w:r>
      <w:r w:rsidR="00DB1635" w:rsidRPr="00B004EE">
        <w:rPr>
          <w:rFonts w:ascii="Tahoma" w:hAnsi="Tahoma" w:cs="Tahoma"/>
          <w:sz w:val="20"/>
          <w:szCs w:val="20"/>
        </w:rPr>
        <w:t xml:space="preserve"> </w:t>
      </w:r>
      <w:r w:rsidRPr="00B004EE">
        <w:rPr>
          <w:rFonts w:ascii="Tahoma" w:hAnsi="Tahoma" w:cs="Tahoma"/>
          <w:sz w:val="20"/>
          <w:szCs w:val="20"/>
        </w:rPr>
        <w:t>arrêté</w:t>
      </w:r>
      <w:r w:rsidR="00DB1635" w:rsidRPr="00B004EE">
        <w:rPr>
          <w:rFonts w:ascii="Tahoma" w:hAnsi="Tahoma" w:cs="Tahoma"/>
          <w:sz w:val="20"/>
          <w:szCs w:val="20"/>
        </w:rPr>
        <w:t xml:space="preserve"> </w:t>
      </w:r>
      <w:r w:rsidRPr="00B004EE">
        <w:rPr>
          <w:rFonts w:ascii="Tahoma" w:hAnsi="Tahoma" w:cs="Tahoma"/>
          <w:sz w:val="20"/>
          <w:szCs w:val="20"/>
        </w:rPr>
        <w:t>qui</w:t>
      </w:r>
      <w:r w:rsidR="00DB1635" w:rsidRPr="00B004EE">
        <w:rPr>
          <w:rFonts w:ascii="Tahoma" w:hAnsi="Tahoma" w:cs="Tahoma"/>
          <w:sz w:val="20"/>
          <w:szCs w:val="20"/>
        </w:rPr>
        <w:t xml:space="preserve"> </w:t>
      </w:r>
      <w:r w:rsidRPr="00B004EE">
        <w:rPr>
          <w:rFonts w:ascii="Tahoma" w:hAnsi="Tahoma" w:cs="Tahoma"/>
          <w:sz w:val="20"/>
          <w:szCs w:val="20"/>
        </w:rPr>
        <w:t>sera</w:t>
      </w:r>
      <w:r w:rsidR="00DB1635" w:rsidRPr="00B004EE">
        <w:rPr>
          <w:rFonts w:ascii="Tahoma" w:hAnsi="Tahoma" w:cs="Tahoma"/>
          <w:sz w:val="20"/>
          <w:szCs w:val="20"/>
        </w:rPr>
        <w:t xml:space="preserve"> </w:t>
      </w:r>
      <w:r w:rsidRPr="00B004EE">
        <w:rPr>
          <w:rFonts w:ascii="Tahoma" w:hAnsi="Tahoma" w:cs="Tahoma"/>
          <w:sz w:val="20"/>
          <w:szCs w:val="20"/>
        </w:rPr>
        <w:t>publié</w:t>
      </w:r>
      <w:r w:rsidR="00DB1635" w:rsidRPr="00B004EE">
        <w:rPr>
          <w:rFonts w:ascii="Tahoma" w:hAnsi="Tahoma" w:cs="Tahoma"/>
          <w:sz w:val="20"/>
          <w:szCs w:val="20"/>
        </w:rPr>
        <w:t xml:space="preserve"> </w:t>
      </w:r>
      <w:r w:rsidRPr="00B004EE">
        <w:rPr>
          <w:rFonts w:ascii="Tahoma" w:hAnsi="Tahoma" w:cs="Tahoma"/>
          <w:sz w:val="20"/>
          <w:szCs w:val="20"/>
        </w:rPr>
        <w:t>selon</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procédure</w:t>
      </w:r>
      <w:r w:rsidR="00DB1635" w:rsidRPr="00B004EE">
        <w:rPr>
          <w:rFonts w:ascii="Tahoma" w:hAnsi="Tahoma" w:cs="Tahoma"/>
          <w:sz w:val="20"/>
          <w:szCs w:val="20"/>
        </w:rPr>
        <w:t xml:space="preserve"> </w:t>
      </w:r>
      <w:r w:rsidRPr="00B004EE">
        <w:rPr>
          <w:rFonts w:ascii="Tahoma" w:hAnsi="Tahoma" w:cs="Tahoma"/>
          <w:sz w:val="20"/>
          <w:szCs w:val="20"/>
        </w:rPr>
        <w:t>d’urgence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Journal</w:t>
      </w:r>
      <w:r w:rsidR="00DB1635" w:rsidRPr="00B004EE">
        <w:rPr>
          <w:rFonts w:ascii="Tahoma" w:hAnsi="Tahoma" w:cs="Tahoma"/>
          <w:sz w:val="20"/>
          <w:szCs w:val="20"/>
        </w:rPr>
        <w:t xml:space="preserve"> </w:t>
      </w:r>
      <w:r w:rsidRPr="00B004EE">
        <w:rPr>
          <w:rFonts w:ascii="Tahoma" w:hAnsi="Tahoma" w:cs="Tahoma"/>
          <w:sz w:val="20"/>
          <w:szCs w:val="20"/>
        </w:rPr>
        <w:t>Officiel</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République</w:t>
      </w:r>
      <w:r w:rsidR="00DB1635" w:rsidRPr="00B004EE">
        <w:rPr>
          <w:rFonts w:ascii="Tahoma" w:hAnsi="Tahoma" w:cs="Tahoma"/>
          <w:sz w:val="20"/>
          <w:szCs w:val="20"/>
        </w:rPr>
        <w:t xml:space="preserve"> </w:t>
      </w:r>
      <w:r w:rsidRPr="00B004EE">
        <w:rPr>
          <w:rFonts w:ascii="Tahoma" w:hAnsi="Tahoma" w:cs="Tahoma"/>
          <w:sz w:val="20"/>
          <w:szCs w:val="20"/>
        </w:rPr>
        <w:t>Islamique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Mauritanie.</w:t>
      </w:r>
    </w:p>
    <w:p w14:paraId="32A8DB84" w14:textId="77777777" w:rsidR="002F24E1" w:rsidRPr="00B004EE" w:rsidRDefault="002F24E1" w:rsidP="00B004EE">
      <w:pPr>
        <w:jc w:val="both"/>
        <w:rPr>
          <w:rFonts w:ascii="Tahoma" w:hAnsi="Tahoma" w:cs="Tahoma"/>
          <w:sz w:val="20"/>
          <w:szCs w:val="20"/>
        </w:rPr>
      </w:pPr>
    </w:p>
    <w:p w14:paraId="43FD51EB" w14:textId="3B2D6CD1" w:rsidR="00CE0C92" w:rsidRPr="00B004EE" w:rsidRDefault="002F24E1" w:rsidP="00B004EE">
      <w:pPr>
        <w:jc w:val="right"/>
        <w:rPr>
          <w:rFonts w:ascii="Tahoma" w:hAnsi="Tahoma" w:cs="Tahoma"/>
          <w:i/>
          <w:iCs/>
          <w:sz w:val="20"/>
          <w:szCs w:val="20"/>
        </w:rPr>
      </w:pPr>
      <w:r w:rsidRPr="00B004EE">
        <w:rPr>
          <w:rFonts w:ascii="Tahoma" w:hAnsi="Tahoma" w:cs="Tahoma"/>
          <w:i/>
          <w:iCs/>
          <w:sz w:val="20"/>
          <w:szCs w:val="20"/>
        </w:rPr>
        <w:t>Nouakchott,</w:t>
      </w:r>
      <w:r w:rsidR="00DB1635" w:rsidRPr="00B004EE">
        <w:rPr>
          <w:rFonts w:ascii="Tahoma" w:hAnsi="Tahoma" w:cs="Tahoma"/>
          <w:i/>
          <w:iCs/>
          <w:sz w:val="20"/>
          <w:szCs w:val="20"/>
        </w:rPr>
        <w:t xml:space="preserve"> </w:t>
      </w:r>
      <w:r w:rsidRPr="00B004EE">
        <w:rPr>
          <w:rFonts w:ascii="Tahoma" w:hAnsi="Tahoma" w:cs="Tahoma"/>
          <w:i/>
          <w:iCs/>
          <w:sz w:val="20"/>
          <w:szCs w:val="20"/>
        </w:rPr>
        <w:t>le</w:t>
      </w:r>
      <w:r w:rsidR="00DB1635" w:rsidRPr="00B004EE">
        <w:rPr>
          <w:rFonts w:ascii="Tahoma" w:hAnsi="Tahoma" w:cs="Tahoma"/>
          <w:i/>
          <w:iCs/>
          <w:sz w:val="20"/>
          <w:szCs w:val="20"/>
        </w:rPr>
        <w:t xml:space="preserve"> </w:t>
      </w:r>
      <w:r w:rsidRPr="00B004EE">
        <w:rPr>
          <w:rFonts w:ascii="Tahoma" w:hAnsi="Tahoma" w:cs="Tahoma"/>
          <w:i/>
          <w:iCs/>
          <w:sz w:val="20"/>
          <w:szCs w:val="20"/>
        </w:rPr>
        <w:t>14</w:t>
      </w:r>
      <w:r w:rsidR="00DB1635" w:rsidRPr="00B004EE">
        <w:rPr>
          <w:rFonts w:ascii="Tahoma" w:hAnsi="Tahoma" w:cs="Tahoma"/>
          <w:i/>
          <w:iCs/>
          <w:sz w:val="20"/>
          <w:szCs w:val="20"/>
        </w:rPr>
        <w:t xml:space="preserve"> </w:t>
      </w:r>
      <w:r w:rsidRPr="00B004EE">
        <w:rPr>
          <w:rFonts w:ascii="Tahoma" w:hAnsi="Tahoma" w:cs="Tahoma"/>
          <w:i/>
          <w:iCs/>
          <w:sz w:val="20"/>
          <w:szCs w:val="20"/>
        </w:rPr>
        <w:t>novembre</w:t>
      </w:r>
      <w:r w:rsidR="00DB1635" w:rsidRPr="00B004EE">
        <w:rPr>
          <w:rFonts w:ascii="Tahoma" w:hAnsi="Tahoma" w:cs="Tahoma"/>
          <w:i/>
          <w:iCs/>
          <w:sz w:val="20"/>
          <w:szCs w:val="20"/>
        </w:rPr>
        <w:t xml:space="preserve"> </w:t>
      </w:r>
      <w:r w:rsidRPr="00B004EE">
        <w:rPr>
          <w:rFonts w:ascii="Tahoma" w:hAnsi="Tahoma" w:cs="Tahoma"/>
          <w:i/>
          <w:iCs/>
          <w:sz w:val="20"/>
          <w:szCs w:val="20"/>
        </w:rPr>
        <w:t>2010</w:t>
      </w:r>
    </w:p>
    <w:p w14:paraId="58B469A4" w14:textId="566D1050" w:rsidR="006F228E" w:rsidRPr="00B004EE" w:rsidRDefault="006F228E" w:rsidP="00B004EE">
      <w:pPr>
        <w:rPr>
          <w:rFonts w:ascii="Tahoma" w:hAnsi="Tahoma" w:cs="Tahoma"/>
          <w:i/>
          <w:iCs/>
          <w:sz w:val="20"/>
          <w:szCs w:val="20"/>
        </w:rPr>
      </w:pPr>
    </w:p>
    <w:p w14:paraId="3117AAA6" w14:textId="77777777" w:rsidR="00600DCC" w:rsidRPr="00B004EE" w:rsidRDefault="00600DCC" w:rsidP="00B004EE">
      <w:pPr>
        <w:rPr>
          <w:rFonts w:ascii="Tahoma" w:hAnsi="Tahoma" w:cs="Tahoma"/>
          <w:i/>
          <w:iCs/>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4698"/>
      </w:tblGrid>
      <w:tr w:rsidR="00600DCC" w:rsidRPr="00B004EE" w14:paraId="30051524" w14:textId="77777777" w:rsidTr="00DB2C7A">
        <w:tc>
          <w:tcPr>
            <w:tcW w:w="4698" w:type="dxa"/>
          </w:tcPr>
          <w:p w14:paraId="1B945123" w14:textId="77777777" w:rsidR="00600DCC" w:rsidRPr="00B004EE" w:rsidRDefault="00600DCC" w:rsidP="00B004EE">
            <w:pPr>
              <w:ind w:right="1197"/>
              <w:jc w:val="center"/>
              <w:rPr>
                <w:rFonts w:ascii="Tahoma" w:hAnsi="Tahoma" w:cs="Tahoma"/>
              </w:rPr>
            </w:pPr>
            <w:r w:rsidRPr="00B004EE">
              <w:rPr>
                <w:rFonts w:ascii="Tahoma" w:hAnsi="Tahoma" w:cs="Tahoma"/>
              </w:rPr>
              <w:t>Le Ministre des pêches et de l’Economie Maritime</w:t>
            </w:r>
          </w:p>
        </w:tc>
        <w:tc>
          <w:tcPr>
            <w:tcW w:w="4698" w:type="dxa"/>
          </w:tcPr>
          <w:p w14:paraId="23F95A2C" w14:textId="77777777" w:rsidR="00600DCC" w:rsidRPr="00B004EE" w:rsidRDefault="00600DCC" w:rsidP="00B004EE">
            <w:pPr>
              <w:ind w:left="857" w:right="1197"/>
              <w:jc w:val="center"/>
              <w:rPr>
                <w:rFonts w:ascii="Tahoma" w:hAnsi="Tahoma" w:cs="Tahoma"/>
              </w:rPr>
            </w:pPr>
            <w:r w:rsidRPr="00B004EE">
              <w:rPr>
                <w:rFonts w:ascii="Tahoma" w:hAnsi="Tahoma" w:cs="Tahoma"/>
              </w:rPr>
              <w:t xml:space="preserve">Le Ministre de la Sante  </w:t>
            </w:r>
          </w:p>
        </w:tc>
      </w:tr>
      <w:tr w:rsidR="00600DCC" w:rsidRPr="00B004EE" w14:paraId="2EBF5EFB" w14:textId="77777777" w:rsidTr="00DB2C7A">
        <w:tc>
          <w:tcPr>
            <w:tcW w:w="4698" w:type="dxa"/>
          </w:tcPr>
          <w:p w14:paraId="4E08C0AC" w14:textId="77777777" w:rsidR="00600DCC" w:rsidRPr="00B004EE" w:rsidRDefault="00600DCC" w:rsidP="00B004EE">
            <w:pPr>
              <w:ind w:right="1055"/>
              <w:jc w:val="center"/>
              <w:rPr>
                <w:rFonts w:ascii="Tahoma" w:hAnsi="Tahoma" w:cs="Tahoma"/>
              </w:rPr>
            </w:pPr>
            <w:r w:rsidRPr="00B004EE">
              <w:rPr>
                <w:rFonts w:ascii="Tahoma" w:hAnsi="Tahoma" w:cs="Tahoma"/>
              </w:rPr>
              <w:t>Aghdefna Ould EYIH</w:t>
            </w:r>
          </w:p>
        </w:tc>
        <w:tc>
          <w:tcPr>
            <w:tcW w:w="4698" w:type="dxa"/>
          </w:tcPr>
          <w:p w14:paraId="40D461F9" w14:textId="77777777" w:rsidR="00600DCC" w:rsidRPr="00B004EE" w:rsidRDefault="00600DCC" w:rsidP="00B004EE">
            <w:pPr>
              <w:ind w:left="574" w:right="365"/>
              <w:jc w:val="center"/>
              <w:rPr>
                <w:rFonts w:ascii="Tahoma" w:hAnsi="Tahoma" w:cs="Tahoma"/>
              </w:rPr>
            </w:pPr>
            <w:r w:rsidRPr="00B004EE">
              <w:rPr>
                <w:rFonts w:ascii="Tahoma" w:hAnsi="Tahoma" w:cs="Tahoma"/>
              </w:rPr>
              <w:t>Cheikh Elmoctar Ould HORMA</w:t>
            </w:r>
          </w:p>
        </w:tc>
      </w:tr>
      <w:tr w:rsidR="00600DCC" w:rsidRPr="00B004EE" w14:paraId="0E2AD9BB" w14:textId="77777777" w:rsidTr="00DB2C7A">
        <w:tc>
          <w:tcPr>
            <w:tcW w:w="4698" w:type="dxa"/>
          </w:tcPr>
          <w:p w14:paraId="7EAB8EA2" w14:textId="77777777" w:rsidR="00600DCC" w:rsidRPr="00B004EE" w:rsidRDefault="00600DCC" w:rsidP="00B004EE">
            <w:pPr>
              <w:pStyle w:val="Pieddepage"/>
              <w:tabs>
                <w:tab w:val="clear" w:pos="4536"/>
                <w:tab w:val="clear" w:pos="9072"/>
              </w:tabs>
              <w:spacing w:line="300" w:lineRule="exact"/>
              <w:ind w:right="3"/>
              <w:jc w:val="center"/>
              <w:rPr>
                <w:rFonts w:ascii="Tahoma" w:hAnsi="Tahoma" w:cs="Tahoma"/>
              </w:rPr>
            </w:pPr>
          </w:p>
        </w:tc>
        <w:tc>
          <w:tcPr>
            <w:tcW w:w="4698" w:type="dxa"/>
          </w:tcPr>
          <w:p w14:paraId="168BD9AF" w14:textId="77777777" w:rsidR="00600DCC" w:rsidRPr="00B004EE" w:rsidRDefault="00600DCC" w:rsidP="00B004EE">
            <w:pPr>
              <w:ind w:right="1197"/>
              <w:jc w:val="center"/>
              <w:rPr>
                <w:rFonts w:ascii="Tahoma" w:hAnsi="Tahoma" w:cs="Tahoma"/>
              </w:rPr>
            </w:pPr>
          </w:p>
        </w:tc>
      </w:tr>
      <w:tr w:rsidR="00600DCC" w:rsidRPr="00B004EE" w14:paraId="23872DEE" w14:textId="77777777" w:rsidTr="00DB2C7A">
        <w:tc>
          <w:tcPr>
            <w:tcW w:w="4698" w:type="dxa"/>
          </w:tcPr>
          <w:p w14:paraId="1CEF9588" w14:textId="77777777" w:rsidR="00600DCC" w:rsidRPr="00B004EE" w:rsidRDefault="00600DCC" w:rsidP="00B004EE">
            <w:pPr>
              <w:pStyle w:val="Pieddepage"/>
              <w:tabs>
                <w:tab w:val="clear" w:pos="4536"/>
                <w:tab w:val="clear" w:pos="9072"/>
              </w:tabs>
              <w:spacing w:line="300" w:lineRule="exact"/>
              <w:ind w:right="1055"/>
              <w:jc w:val="center"/>
              <w:rPr>
                <w:rFonts w:ascii="Tahoma" w:hAnsi="Tahoma" w:cs="Tahoma"/>
              </w:rPr>
            </w:pPr>
            <w:r w:rsidRPr="00B004EE">
              <w:rPr>
                <w:rFonts w:ascii="Tahoma" w:hAnsi="Tahoma" w:cs="Tahoma"/>
              </w:rPr>
              <w:t>Le Ministre du Commerce de L’artisanat et du Tourisme</w:t>
            </w:r>
          </w:p>
        </w:tc>
        <w:tc>
          <w:tcPr>
            <w:tcW w:w="4698" w:type="dxa"/>
          </w:tcPr>
          <w:p w14:paraId="2E483788" w14:textId="77777777" w:rsidR="00600DCC" w:rsidRPr="00B004EE" w:rsidRDefault="00600DCC" w:rsidP="00B004EE">
            <w:pPr>
              <w:pStyle w:val="Pieddepage"/>
              <w:tabs>
                <w:tab w:val="clear" w:pos="4536"/>
                <w:tab w:val="clear" w:pos="9072"/>
              </w:tabs>
              <w:spacing w:line="300" w:lineRule="exact"/>
              <w:ind w:right="3"/>
              <w:jc w:val="center"/>
              <w:rPr>
                <w:rFonts w:ascii="Tahoma" w:hAnsi="Tahoma" w:cs="Tahoma"/>
                <w:caps/>
              </w:rPr>
            </w:pPr>
            <w:r w:rsidRPr="00B004EE">
              <w:rPr>
                <w:rFonts w:ascii="Tahoma" w:hAnsi="Tahoma" w:cs="Tahoma"/>
              </w:rPr>
              <w:t>Le Ministre du Développement Rural</w:t>
            </w:r>
          </w:p>
        </w:tc>
      </w:tr>
      <w:tr w:rsidR="00600DCC" w:rsidRPr="00BC4336" w14:paraId="6608BC52" w14:textId="77777777" w:rsidTr="00DB2C7A">
        <w:tc>
          <w:tcPr>
            <w:tcW w:w="4698" w:type="dxa"/>
          </w:tcPr>
          <w:p w14:paraId="13F9CEEB" w14:textId="77777777" w:rsidR="00600DCC" w:rsidRPr="00B004EE" w:rsidRDefault="00600DCC" w:rsidP="00B004EE">
            <w:pPr>
              <w:ind w:right="1197"/>
              <w:jc w:val="center"/>
              <w:rPr>
                <w:rFonts w:ascii="Tahoma" w:hAnsi="Tahoma" w:cs="Tahoma"/>
              </w:rPr>
            </w:pPr>
            <w:r w:rsidRPr="00B004EE">
              <w:rPr>
                <w:rFonts w:ascii="Tahoma" w:hAnsi="Tahoma" w:cs="Tahoma"/>
                <w:lang w:val="en-GB"/>
              </w:rPr>
              <w:t>Bamba Ould DERMANE</w:t>
            </w:r>
          </w:p>
        </w:tc>
        <w:tc>
          <w:tcPr>
            <w:tcW w:w="4698" w:type="dxa"/>
          </w:tcPr>
          <w:p w14:paraId="7183BD79" w14:textId="77777777" w:rsidR="00600DCC" w:rsidRPr="00B004EE" w:rsidRDefault="00600DCC" w:rsidP="00B004EE">
            <w:pPr>
              <w:pStyle w:val="Pieddepage"/>
              <w:tabs>
                <w:tab w:val="clear" w:pos="4536"/>
                <w:tab w:val="clear" w:pos="9072"/>
              </w:tabs>
              <w:ind w:left="432" w:right="365"/>
              <w:jc w:val="center"/>
              <w:rPr>
                <w:rFonts w:ascii="Tahoma" w:hAnsi="Tahoma" w:cs="Tahoma"/>
                <w:caps/>
                <w:lang w:val="en-GB"/>
              </w:rPr>
            </w:pPr>
            <w:r w:rsidRPr="00B004EE">
              <w:rPr>
                <w:rFonts w:ascii="Tahoma" w:hAnsi="Tahoma" w:cs="Tahoma"/>
                <w:lang w:val="en-GB"/>
              </w:rPr>
              <w:t xml:space="preserve">Brahim Ould M'bareck Ould </w:t>
            </w:r>
            <w:r w:rsidRPr="00B004EE">
              <w:rPr>
                <w:rFonts w:ascii="Tahoma" w:hAnsi="Tahoma" w:cs="Tahoma"/>
                <w:lang w:val="en-US"/>
              </w:rPr>
              <w:t>MOHAMED EL MOCTAR</w:t>
            </w:r>
          </w:p>
        </w:tc>
      </w:tr>
    </w:tbl>
    <w:p w14:paraId="24EFCCA8" w14:textId="0528D519" w:rsidR="006F228E" w:rsidRPr="00B004EE" w:rsidRDefault="006F228E" w:rsidP="00B004EE">
      <w:pPr>
        <w:rPr>
          <w:rFonts w:ascii="Tahoma" w:hAnsi="Tahoma" w:cs="Tahoma"/>
          <w:i/>
          <w:iCs/>
          <w:sz w:val="20"/>
          <w:szCs w:val="20"/>
          <w:lang w:val="en-US"/>
        </w:rPr>
      </w:pPr>
    </w:p>
    <w:p w14:paraId="0A83C4F3" w14:textId="73DA9FDE" w:rsidR="00600DCC" w:rsidRPr="00B004EE" w:rsidRDefault="00600DCC" w:rsidP="00B004EE">
      <w:pPr>
        <w:rPr>
          <w:rFonts w:ascii="Tahoma" w:hAnsi="Tahoma" w:cs="Tahoma"/>
          <w:i/>
          <w:iCs/>
          <w:sz w:val="20"/>
          <w:szCs w:val="20"/>
          <w:lang w:val="en-US"/>
        </w:rPr>
      </w:pPr>
    </w:p>
    <w:p w14:paraId="2533F4AC" w14:textId="77777777" w:rsidR="00600DCC" w:rsidRPr="00B004EE" w:rsidRDefault="00600DCC" w:rsidP="00B004EE">
      <w:pPr>
        <w:rPr>
          <w:rFonts w:ascii="Tahoma" w:hAnsi="Tahoma" w:cs="Tahoma"/>
          <w:i/>
          <w:iCs/>
          <w:sz w:val="20"/>
          <w:szCs w:val="20"/>
          <w:lang w:val="en-US"/>
        </w:rPr>
        <w:sectPr w:rsidR="00600DCC" w:rsidRPr="00B004EE" w:rsidSect="00337E3A">
          <w:pgSz w:w="12240" w:h="15840" w:code="1"/>
          <w:pgMar w:top="1417" w:right="1417" w:bottom="1417" w:left="1417" w:header="720" w:footer="720" w:gutter="0"/>
          <w:cols w:space="720"/>
          <w:noEndnote/>
          <w:docGrid w:linePitch="326"/>
        </w:sectPr>
      </w:pPr>
    </w:p>
    <w:p w14:paraId="0E597C70" w14:textId="41B0BAD3" w:rsidR="007127C2" w:rsidRPr="00BC4336" w:rsidRDefault="007127C2" w:rsidP="00B004EE">
      <w:pPr>
        <w:pStyle w:val="Titre1"/>
        <w:pBdr>
          <w:top w:val="thinThickMediumGap" w:sz="24" w:space="1" w:color="70AD47" w:themeColor="accent6"/>
          <w:left w:val="thinThickMediumGap" w:sz="24" w:space="4" w:color="70AD47" w:themeColor="accent6"/>
          <w:bottom w:val="thickThinMediumGap" w:sz="24" w:space="1" w:color="70AD47" w:themeColor="accent6"/>
          <w:right w:val="thickThinMediumGap" w:sz="24" w:space="4" w:color="70AD47" w:themeColor="accent6"/>
        </w:pBdr>
        <w:spacing w:line="276" w:lineRule="auto"/>
        <w:jc w:val="both"/>
        <w:rPr>
          <w:rFonts w:ascii="Tahoma" w:hAnsi="Tahoma" w:cs="Tahoma"/>
          <w:szCs w:val="22"/>
        </w:rPr>
      </w:pPr>
      <w:bookmarkStart w:id="199" w:name="_Toc17022020"/>
      <w:bookmarkStart w:id="200" w:name="_Toc202214690"/>
      <w:r w:rsidRPr="00BC4336">
        <w:rPr>
          <w:rFonts w:ascii="Tahoma" w:hAnsi="Tahoma" w:cs="Tahoma"/>
          <w:szCs w:val="22"/>
        </w:rPr>
        <w:lastRenderedPageBreak/>
        <w:t>Arrêt</w:t>
      </w:r>
      <w:r w:rsidR="00127017" w:rsidRPr="00BC4336">
        <w:rPr>
          <w:rFonts w:ascii="Tahoma" w:hAnsi="Tahoma" w:cs="Tahoma"/>
          <w:szCs w:val="22"/>
        </w:rPr>
        <w:t>é</w:t>
      </w:r>
      <w:r w:rsidRPr="00BC4336">
        <w:rPr>
          <w:rFonts w:ascii="Tahoma" w:hAnsi="Tahoma" w:cs="Tahoma"/>
          <w:szCs w:val="22"/>
        </w:rPr>
        <w:t xml:space="preserve"> conjoint n° 979 </w:t>
      </w:r>
      <w:r w:rsidR="00BC4336" w:rsidRPr="00BC4336">
        <w:rPr>
          <w:rFonts w:ascii="Tahoma" w:hAnsi="Tahoma" w:cs="Tahoma"/>
          <w:szCs w:val="22"/>
        </w:rPr>
        <w:t xml:space="preserve">du </w:t>
      </w:r>
      <w:r w:rsidR="00BC4336" w:rsidRPr="00BC4336">
        <w:rPr>
          <w:rFonts w:ascii="Tahoma" w:hAnsi="Tahoma" w:cs="Tahoma"/>
          <w:szCs w:val="22"/>
        </w:rPr>
        <w:t>04 juin 2012</w:t>
      </w:r>
      <w:r w:rsidR="00BC4336" w:rsidRPr="00BC4336">
        <w:rPr>
          <w:rFonts w:ascii="Tahoma" w:hAnsi="Tahoma" w:cs="Tahoma"/>
          <w:szCs w:val="22"/>
        </w:rPr>
        <w:t xml:space="preserve">, </w:t>
      </w:r>
      <w:r w:rsidRPr="00BC4336">
        <w:rPr>
          <w:rFonts w:ascii="Tahoma" w:hAnsi="Tahoma" w:cs="Tahoma"/>
          <w:szCs w:val="22"/>
        </w:rPr>
        <w:t>portant application du décret n° 072-2012 du 12 mars 2012, portant règlementation des règles sanitaires applicables aux sous-produits de pêche et produits dériv</w:t>
      </w:r>
      <w:r w:rsidR="0019717B" w:rsidRPr="00BC4336">
        <w:rPr>
          <w:rFonts w:ascii="Tahoma" w:hAnsi="Tahoma" w:cs="Tahoma"/>
          <w:szCs w:val="22"/>
        </w:rPr>
        <w:t>é</w:t>
      </w:r>
      <w:r w:rsidRPr="00BC4336">
        <w:rPr>
          <w:rFonts w:ascii="Tahoma" w:hAnsi="Tahoma" w:cs="Tahoma"/>
          <w:szCs w:val="22"/>
        </w:rPr>
        <w:t>s non destin</w:t>
      </w:r>
      <w:r w:rsidR="0019717B" w:rsidRPr="00BC4336">
        <w:rPr>
          <w:rFonts w:ascii="Tahoma" w:hAnsi="Tahoma" w:cs="Tahoma"/>
          <w:szCs w:val="22"/>
        </w:rPr>
        <w:t>é</w:t>
      </w:r>
      <w:r w:rsidRPr="00BC4336">
        <w:rPr>
          <w:rFonts w:ascii="Tahoma" w:hAnsi="Tahoma" w:cs="Tahoma"/>
          <w:szCs w:val="22"/>
        </w:rPr>
        <w:t>s à la consommation humaine</w:t>
      </w:r>
      <w:bookmarkEnd w:id="199"/>
      <w:bookmarkEnd w:id="200"/>
    </w:p>
    <w:p w14:paraId="1A078192" w14:textId="77777777" w:rsidR="007127C2" w:rsidRPr="00B004EE" w:rsidRDefault="007127C2" w:rsidP="00B004EE">
      <w:pPr>
        <w:jc w:val="both"/>
        <w:rPr>
          <w:rFonts w:ascii="Tahoma" w:hAnsi="Tahoma" w:cs="Tahoma"/>
          <w:sz w:val="20"/>
          <w:szCs w:val="20"/>
        </w:rPr>
      </w:pPr>
    </w:p>
    <w:p w14:paraId="2D029050" w14:textId="480634C4" w:rsidR="007127C2" w:rsidRPr="00B004EE" w:rsidRDefault="007127C2" w:rsidP="00B004EE">
      <w:pPr>
        <w:jc w:val="center"/>
        <w:rPr>
          <w:rFonts w:ascii="Tahoma" w:hAnsi="Tahoma" w:cs="Tahoma"/>
          <w:b/>
          <w:bCs/>
          <w:sz w:val="20"/>
          <w:szCs w:val="20"/>
        </w:rPr>
      </w:pPr>
      <w:r w:rsidRPr="00B004EE">
        <w:rPr>
          <w:rFonts w:ascii="Tahoma" w:hAnsi="Tahoma" w:cs="Tahoma"/>
          <w:b/>
          <w:bCs/>
          <w:sz w:val="20"/>
          <w:szCs w:val="20"/>
        </w:rPr>
        <w:t>TITRE I</w:t>
      </w:r>
      <w:r w:rsidR="00A5129F" w:rsidRPr="00B004EE">
        <w:rPr>
          <w:rFonts w:ascii="Tahoma" w:hAnsi="Tahoma" w:cs="Tahoma"/>
          <w:b/>
          <w:bCs/>
          <w:sz w:val="20"/>
          <w:szCs w:val="20"/>
        </w:rPr>
        <w:t> : DISPOSITIONS GÉNÉRA</w:t>
      </w:r>
      <w:r w:rsidRPr="00B004EE">
        <w:rPr>
          <w:rFonts w:ascii="Tahoma" w:hAnsi="Tahoma" w:cs="Tahoma"/>
          <w:b/>
          <w:bCs/>
          <w:sz w:val="20"/>
          <w:szCs w:val="20"/>
        </w:rPr>
        <w:t>LES</w:t>
      </w:r>
    </w:p>
    <w:p w14:paraId="56671179" w14:textId="77777777" w:rsidR="007127C2" w:rsidRPr="00B004EE" w:rsidRDefault="007127C2" w:rsidP="00B004EE">
      <w:pPr>
        <w:jc w:val="center"/>
        <w:rPr>
          <w:rFonts w:ascii="Tahoma" w:hAnsi="Tahoma" w:cs="Tahoma"/>
          <w:b/>
          <w:bCs/>
          <w:sz w:val="20"/>
          <w:szCs w:val="20"/>
        </w:rPr>
      </w:pPr>
    </w:p>
    <w:p w14:paraId="2B395684" w14:textId="64AACEEA" w:rsidR="007127C2" w:rsidRPr="00B004EE" w:rsidRDefault="007127C2" w:rsidP="00B004EE">
      <w:pPr>
        <w:jc w:val="center"/>
        <w:rPr>
          <w:rFonts w:ascii="Tahoma" w:hAnsi="Tahoma" w:cs="Tahoma"/>
          <w:b/>
          <w:bCs/>
          <w:sz w:val="20"/>
          <w:szCs w:val="20"/>
        </w:rPr>
      </w:pPr>
      <w:r w:rsidRPr="00B004EE">
        <w:rPr>
          <w:rFonts w:ascii="Tahoma" w:hAnsi="Tahoma" w:cs="Tahoma"/>
          <w:b/>
          <w:bCs/>
          <w:sz w:val="20"/>
          <w:szCs w:val="20"/>
        </w:rPr>
        <w:t>Section 1</w:t>
      </w:r>
      <w:r w:rsidR="00A5129F" w:rsidRPr="00B004EE">
        <w:rPr>
          <w:rFonts w:ascii="Tahoma" w:hAnsi="Tahoma" w:cs="Tahoma"/>
          <w:b/>
          <w:bCs/>
          <w:sz w:val="20"/>
          <w:szCs w:val="20"/>
        </w:rPr>
        <w:t xml:space="preserve"> : </w:t>
      </w:r>
      <w:r w:rsidRPr="00B004EE">
        <w:rPr>
          <w:rFonts w:ascii="Tahoma" w:hAnsi="Tahoma" w:cs="Tahoma"/>
          <w:b/>
          <w:bCs/>
          <w:sz w:val="20"/>
          <w:szCs w:val="20"/>
        </w:rPr>
        <w:t>Objet, champ d'application et définitions</w:t>
      </w:r>
    </w:p>
    <w:p w14:paraId="51B8DC1F" w14:textId="77777777" w:rsidR="007127C2" w:rsidRPr="00B004EE" w:rsidRDefault="007127C2" w:rsidP="00B004EE">
      <w:pPr>
        <w:jc w:val="both"/>
        <w:outlineLvl w:val="0"/>
        <w:rPr>
          <w:rFonts w:ascii="Tahoma" w:hAnsi="Tahoma" w:cs="Tahoma"/>
          <w:b/>
          <w:bCs/>
          <w:sz w:val="20"/>
          <w:szCs w:val="20"/>
        </w:rPr>
      </w:pPr>
    </w:p>
    <w:p w14:paraId="3BE166C1" w14:textId="77777777" w:rsidR="007127C2" w:rsidRPr="00B004EE" w:rsidRDefault="007127C2" w:rsidP="00B004EE">
      <w:pPr>
        <w:rPr>
          <w:rFonts w:ascii="Tahoma" w:hAnsi="Tahoma" w:cs="Tahoma"/>
          <w:sz w:val="20"/>
          <w:szCs w:val="20"/>
        </w:rPr>
      </w:pPr>
      <w:r w:rsidRPr="00B004EE">
        <w:rPr>
          <w:rFonts w:ascii="Tahoma" w:hAnsi="Tahoma" w:cs="Tahoma"/>
          <w:sz w:val="20"/>
          <w:szCs w:val="20"/>
        </w:rPr>
        <w:t xml:space="preserve">Article premier : </w:t>
      </w:r>
      <w:r w:rsidRPr="00B004EE">
        <w:rPr>
          <w:rFonts w:ascii="Tahoma" w:hAnsi="Tahoma" w:cs="Tahoma"/>
          <w:b/>
          <w:bCs/>
          <w:sz w:val="20"/>
          <w:szCs w:val="20"/>
        </w:rPr>
        <w:t>Objet</w:t>
      </w:r>
    </w:p>
    <w:p w14:paraId="512FDD9E" w14:textId="77777777" w:rsidR="007127C2" w:rsidRPr="00B004EE" w:rsidRDefault="007127C2" w:rsidP="00B004EE">
      <w:pPr>
        <w:jc w:val="both"/>
        <w:rPr>
          <w:rFonts w:ascii="Tahoma" w:hAnsi="Tahoma" w:cs="Tahoma"/>
          <w:sz w:val="20"/>
          <w:szCs w:val="20"/>
        </w:rPr>
      </w:pPr>
      <w:r w:rsidRPr="00B004EE">
        <w:rPr>
          <w:rFonts w:ascii="Tahoma" w:hAnsi="Tahoma" w:cs="Tahoma"/>
          <w:sz w:val="20"/>
          <w:szCs w:val="20"/>
        </w:rPr>
        <w:t>Le présent arrêté fixe, en conformité avec le Code National d'Hygiène, les règles d'hygiène sanitaires et de police sanitaire applicables aux sous-produits de pêche et aux produits qui en sont dérivés, en vue de prévenir et de réduire au minimum les risques que ces produits comportent pour la santé publique et la santé animale, et en particulier de préserver la sécurité de la chaîne alimentaire humaine et animale.</w:t>
      </w:r>
    </w:p>
    <w:p w14:paraId="3455D8A1" w14:textId="77777777" w:rsidR="007127C2" w:rsidRPr="00B004EE" w:rsidRDefault="007127C2" w:rsidP="00B004EE">
      <w:pPr>
        <w:jc w:val="both"/>
        <w:outlineLvl w:val="0"/>
        <w:rPr>
          <w:rFonts w:ascii="Tahoma" w:hAnsi="Tahoma" w:cs="Tahoma"/>
          <w:b/>
          <w:bCs/>
          <w:sz w:val="20"/>
          <w:szCs w:val="20"/>
        </w:rPr>
      </w:pPr>
    </w:p>
    <w:p w14:paraId="5C647759" w14:textId="77777777" w:rsidR="007127C2" w:rsidRPr="00B004EE" w:rsidRDefault="007127C2" w:rsidP="00B004EE">
      <w:pPr>
        <w:rPr>
          <w:rFonts w:ascii="Tahoma" w:hAnsi="Tahoma" w:cs="Tahoma"/>
          <w:b/>
          <w:bCs/>
          <w:sz w:val="20"/>
          <w:szCs w:val="20"/>
        </w:rPr>
      </w:pPr>
      <w:r w:rsidRPr="00B004EE">
        <w:rPr>
          <w:rFonts w:ascii="Tahoma" w:hAnsi="Tahoma" w:cs="Tahoma"/>
          <w:sz w:val="20"/>
          <w:szCs w:val="20"/>
        </w:rPr>
        <w:t>Article 2 :</w:t>
      </w:r>
      <w:r w:rsidRPr="00B004EE">
        <w:rPr>
          <w:rFonts w:ascii="Tahoma" w:hAnsi="Tahoma" w:cs="Tahoma"/>
          <w:b/>
          <w:bCs/>
          <w:sz w:val="20"/>
          <w:szCs w:val="20"/>
        </w:rPr>
        <w:t xml:space="preserve"> Champ d'application</w:t>
      </w:r>
    </w:p>
    <w:p w14:paraId="15436987" w14:textId="77777777" w:rsidR="007127C2" w:rsidRPr="00B004EE" w:rsidRDefault="007127C2" w:rsidP="00B004EE">
      <w:pPr>
        <w:jc w:val="both"/>
        <w:rPr>
          <w:rFonts w:ascii="Tahoma" w:hAnsi="Tahoma" w:cs="Tahoma"/>
          <w:sz w:val="20"/>
          <w:szCs w:val="20"/>
        </w:rPr>
      </w:pPr>
      <w:r w:rsidRPr="00B004EE">
        <w:rPr>
          <w:rFonts w:ascii="Tahoma" w:hAnsi="Tahoma" w:cs="Tahoma"/>
          <w:sz w:val="20"/>
          <w:szCs w:val="20"/>
        </w:rPr>
        <w:t>Le présent arrêté s'applique aux sous-produits de pêche et aux produits dérivés qui sont exclus de la consommation humaine.</w:t>
      </w:r>
    </w:p>
    <w:p w14:paraId="56340B80" w14:textId="77777777" w:rsidR="007127C2" w:rsidRPr="00B004EE" w:rsidRDefault="007127C2" w:rsidP="00B004EE">
      <w:pPr>
        <w:jc w:val="both"/>
        <w:outlineLvl w:val="0"/>
        <w:rPr>
          <w:rFonts w:ascii="Tahoma" w:hAnsi="Tahoma" w:cs="Tahoma"/>
          <w:b/>
          <w:bCs/>
          <w:sz w:val="20"/>
          <w:szCs w:val="20"/>
          <w:u w:val="single"/>
        </w:rPr>
      </w:pPr>
    </w:p>
    <w:p w14:paraId="25AA14D4" w14:textId="77777777" w:rsidR="007127C2" w:rsidRPr="00B004EE" w:rsidRDefault="007127C2" w:rsidP="00B004EE">
      <w:pPr>
        <w:rPr>
          <w:rFonts w:ascii="Tahoma" w:hAnsi="Tahoma" w:cs="Tahoma"/>
          <w:sz w:val="20"/>
          <w:szCs w:val="20"/>
        </w:rPr>
      </w:pPr>
      <w:r w:rsidRPr="00B004EE">
        <w:rPr>
          <w:rFonts w:ascii="Tahoma" w:hAnsi="Tahoma" w:cs="Tahoma"/>
          <w:sz w:val="20"/>
          <w:szCs w:val="20"/>
          <w:u w:val="single"/>
        </w:rPr>
        <w:t>Article 3</w:t>
      </w:r>
      <w:r w:rsidRPr="00B004EE">
        <w:rPr>
          <w:rFonts w:ascii="Tahoma" w:hAnsi="Tahoma" w:cs="Tahoma"/>
          <w:b/>
          <w:bCs/>
          <w:sz w:val="20"/>
          <w:szCs w:val="20"/>
        </w:rPr>
        <w:t xml:space="preserve"> :</w:t>
      </w:r>
      <w:r w:rsidRPr="00B004EE">
        <w:rPr>
          <w:rFonts w:ascii="Tahoma" w:hAnsi="Tahoma" w:cs="Tahoma"/>
          <w:sz w:val="20"/>
          <w:szCs w:val="20"/>
        </w:rPr>
        <w:t xml:space="preserve"> </w:t>
      </w:r>
      <w:r w:rsidRPr="00B004EE">
        <w:rPr>
          <w:rFonts w:ascii="Tahoma" w:hAnsi="Tahoma" w:cs="Tahoma"/>
          <w:b/>
          <w:bCs/>
          <w:sz w:val="20"/>
          <w:szCs w:val="20"/>
        </w:rPr>
        <w:t>Définitions</w:t>
      </w:r>
    </w:p>
    <w:p w14:paraId="08EDCF01" w14:textId="77777777" w:rsidR="007127C2" w:rsidRPr="00B004EE" w:rsidRDefault="007127C2" w:rsidP="00B004EE">
      <w:pPr>
        <w:jc w:val="both"/>
        <w:rPr>
          <w:rFonts w:ascii="Tahoma" w:hAnsi="Tahoma" w:cs="Tahoma"/>
          <w:sz w:val="20"/>
          <w:szCs w:val="20"/>
        </w:rPr>
      </w:pPr>
      <w:r w:rsidRPr="00B004EE">
        <w:rPr>
          <w:rFonts w:ascii="Tahoma" w:hAnsi="Tahoma" w:cs="Tahoma"/>
          <w:sz w:val="20"/>
          <w:szCs w:val="20"/>
        </w:rPr>
        <w:t>Aux fins du présent arrêté, on entend par :</w:t>
      </w:r>
    </w:p>
    <w:p w14:paraId="262AFF81" w14:textId="573BCA2A" w:rsidR="007127C2" w:rsidRPr="00B004EE" w:rsidRDefault="0019717B" w:rsidP="00420DDA">
      <w:pPr>
        <w:pStyle w:val="Paragraphedeliste"/>
        <w:widowControl w:val="0"/>
        <w:numPr>
          <w:ilvl w:val="0"/>
          <w:numId w:val="86"/>
        </w:numPr>
        <w:ind w:left="426"/>
        <w:jc w:val="both"/>
        <w:rPr>
          <w:rFonts w:ascii="Tahoma" w:hAnsi="Tahoma" w:cs="Tahoma"/>
          <w:sz w:val="20"/>
          <w:szCs w:val="20"/>
        </w:rPr>
      </w:pPr>
      <w:r w:rsidRPr="00B004EE">
        <w:rPr>
          <w:rFonts w:ascii="Tahoma" w:hAnsi="Tahoma" w:cs="Tahoma"/>
          <w:sz w:val="20"/>
          <w:szCs w:val="20"/>
        </w:rPr>
        <w:t>« </w:t>
      </w:r>
      <w:r w:rsidR="007127C2" w:rsidRPr="00B004EE">
        <w:rPr>
          <w:rFonts w:ascii="Tahoma" w:hAnsi="Tahoma" w:cs="Tahoma"/>
          <w:sz w:val="20"/>
          <w:szCs w:val="20"/>
        </w:rPr>
        <w:t>Sous-produits de pêche</w:t>
      </w:r>
      <w:r w:rsidRPr="00B004EE">
        <w:rPr>
          <w:rFonts w:ascii="Tahoma" w:hAnsi="Tahoma" w:cs="Tahoma"/>
          <w:sz w:val="20"/>
          <w:szCs w:val="20"/>
        </w:rPr>
        <w:t> »</w:t>
      </w:r>
      <w:r w:rsidR="007127C2" w:rsidRPr="00B004EE">
        <w:rPr>
          <w:rFonts w:ascii="Tahoma" w:hAnsi="Tahoma" w:cs="Tahoma"/>
          <w:sz w:val="20"/>
          <w:szCs w:val="20"/>
        </w:rPr>
        <w:t xml:space="preserve"> les poissons entiers ou parties de poisson, les produits d'origine de pêche ou d'autres produits obtenus à partir de poisson, qui ne sont pas destinés à la consommation humaine.</w:t>
      </w:r>
    </w:p>
    <w:p w14:paraId="5A98BCCC" w14:textId="77777777" w:rsidR="007127C2" w:rsidRPr="00B004EE" w:rsidRDefault="007127C2" w:rsidP="00420DDA">
      <w:pPr>
        <w:pStyle w:val="Paragraphedeliste"/>
        <w:widowControl w:val="0"/>
        <w:numPr>
          <w:ilvl w:val="0"/>
          <w:numId w:val="86"/>
        </w:numPr>
        <w:ind w:left="426"/>
        <w:jc w:val="both"/>
        <w:rPr>
          <w:rFonts w:ascii="Tahoma" w:hAnsi="Tahoma" w:cs="Tahoma"/>
          <w:sz w:val="20"/>
          <w:szCs w:val="20"/>
        </w:rPr>
      </w:pPr>
      <w:r w:rsidRPr="00B004EE">
        <w:rPr>
          <w:rFonts w:ascii="Tahoma" w:hAnsi="Tahoma" w:cs="Tahoma"/>
          <w:sz w:val="20"/>
          <w:szCs w:val="20"/>
        </w:rPr>
        <w:t>Produits dérivés : les produits obtenus moyennant un ou plusieurs traitements, ou une ou plusieurs transformations ou étapes de transformation de sous-produits de pêche ;</w:t>
      </w:r>
    </w:p>
    <w:p w14:paraId="308FBC25" w14:textId="77777777" w:rsidR="007127C2" w:rsidRPr="00B004EE" w:rsidRDefault="007127C2" w:rsidP="00420DDA">
      <w:pPr>
        <w:pStyle w:val="Paragraphedeliste"/>
        <w:widowControl w:val="0"/>
        <w:numPr>
          <w:ilvl w:val="0"/>
          <w:numId w:val="86"/>
        </w:numPr>
        <w:ind w:left="426"/>
        <w:jc w:val="both"/>
        <w:rPr>
          <w:rFonts w:ascii="Tahoma" w:hAnsi="Tahoma" w:cs="Tahoma"/>
          <w:sz w:val="20"/>
          <w:szCs w:val="20"/>
        </w:rPr>
      </w:pPr>
      <w:r w:rsidRPr="00B004EE">
        <w:rPr>
          <w:rFonts w:ascii="Tahoma" w:hAnsi="Tahoma" w:cs="Tahoma"/>
          <w:sz w:val="20"/>
          <w:szCs w:val="20"/>
        </w:rPr>
        <w:t>Exploitant : toute personne physique ou morale, y compris le transporteur, le négociant ou l'utilisateur, qui exerce son contrôle sur un sous-produit de pêche ou un produit dérivé.</w:t>
      </w:r>
    </w:p>
    <w:p w14:paraId="1531AFB6" w14:textId="77777777" w:rsidR="007127C2" w:rsidRPr="00B004EE" w:rsidRDefault="007127C2" w:rsidP="00B004EE">
      <w:pPr>
        <w:pStyle w:val="Paragraphedeliste"/>
        <w:ind w:left="426"/>
        <w:jc w:val="both"/>
        <w:rPr>
          <w:rFonts w:ascii="Tahoma" w:hAnsi="Tahoma" w:cs="Tahoma"/>
          <w:sz w:val="20"/>
          <w:szCs w:val="20"/>
        </w:rPr>
      </w:pPr>
    </w:p>
    <w:p w14:paraId="2E2E8B8C" w14:textId="266855F5" w:rsidR="007127C2" w:rsidRPr="00B004EE" w:rsidRDefault="007127C2" w:rsidP="00B004EE">
      <w:pPr>
        <w:jc w:val="center"/>
        <w:rPr>
          <w:rFonts w:ascii="Tahoma" w:hAnsi="Tahoma" w:cs="Tahoma"/>
          <w:b/>
          <w:bCs/>
          <w:sz w:val="20"/>
          <w:szCs w:val="20"/>
        </w:rPr>
      </w:pPr>
      <w:r w:rsidRPr="00B004EE">
        <w:rPr>
          <w:rFonts w:ascii="Tahoma" w:hAnsi="Tahoma" w:cs="Tahoma"/>
          <w:b/>
          <w:bCs/>
          <w:sz w:val="20"/>
          <w:szCs w:val="20"/>
        </w:rPr>
        <w:t>Section 2</w:t>
      </w:r>
      <w:r w:rsidR="00A5129F" w:rsidRPr="00B004EE">
        <w:rPr>
          <w:rFonts w:ascii="Tahoma" w:hAnsi="Tahoma" w:cs="Tahoma"/>
          <w:b/>
          <w:bCs/>
          <w:sz w:val="20"/>
          <w:szCs w:val="20"/>
        </w:rPr>
        <w:t xml:space="preserve"> : </w:t>
      </w:r>
      <w:r w:rsidRPr="00B004EE">
        <w:rPr>
          <w:rFonts w:ascii="Tahoma" w:hAnsi="Tahoma" w:cs="Tahoma"/>
          <w:b/>
          <w:bCs/>
          <w:sz w:val="20"/>
          <w:szCs w:val="20"/>
        </w:rPr>
        <w:t>Obligations</w:t>
      </w:r>
    </w:p>
    <w:p w14:paraId="4AAC36B3" w14:textId="77777777" w:rsidR="007127C2" w:rsidRPr="00B004EE" w:rsidRDefault="007127C2" w:rsidP="00B004EE">
      <w:pPr>
        <w:jc w:val="both"/>
        <w:outlineLvl w:val="0"/>
        <w:rPr>
          <w:rFonts w:ascii="Tahoma" w:hAnsi="Tahoma" w:cs="Tahoma"/>
          <w:b/>
          <w:bCs/>
          <w:sz w:val="20"/>
          <w:szCs w:val="20"/>
          <w:u w:val="single"/>
        </w:rPr>
      </w:pPr>
    </w:p>
    <w:p w14:paraId="4BBB5DBF" w14:textId="77777777" w:rsidR="007127C2" w:rsidRPr="00B004EE" w:rsidRDefault="007127C2" w:rsidP="00B004EE">
      <w:pPr>
        <w:rPr>
          <w:rFonts w:ascii="Tahoma" w:hAnsi="Tahoma" w:cs="Tahoma"/>
          <w:sz w:val="20"/>
          <w:szCs w:val="20"/>
        </w:rPr>
      </w:pPr>
      <w:r w:rsidRPr="00B004EE">
        <w:rPr>
          <w:rFonts w:ascii="Tahoma" w:hAnsi="Tahoma" w:cs="Tahoma"/>
          <w:sz w:val="20"/>
          <w:szCs w:val="20"/>
          <w:u w:val="single"/>
        </w:rPr>
        <w:t>Article 4 :</w:t>
      </w:r>
      <w:r w:rsidRPr="00B004EE">
        <w:rPr>
          <w:rFonts w:ascii="Tahoma" w:hAnsi="Tahoma" w:cs="Tahoma"/>
          <w:sz w:val="20"/>
          <w:szCs w:val="20"/>
        </w:rPr>
        <w:t xml:space="preserve"> Point de départ de la chaîne de fabrication et obligations</w:t>
      </w:r>
    </w:p>
    <w:p w14:paraId="6E0857BA" w14:textId="77777777" w:rsidR="007127C2" w:rsidRPr="00B004EE" w:rsidRDefault="007127C2" w:rsidP="00420DDA">
      <w:pPr>
        <w:pStyle w:val="Paragraphedeliste"/>
        <w:widowControl w:val="0"/>
        <w:numPr>
          <w:ilvl w:val="0"/>
          <w:numId w:val="87"/>
        </w:numPr>
        <w:ind w:left="426"/>
        <w:jc w:val="both"/>
        <w:rPr>
          <w:rFonts w:ascii="Tahoma" w:hAnsi="Tahoma" w:cs="Tahoma"/>
          <w:sz w:val="20"/>
          <w:szCs w:val="20"/>
        </w:rPr>
      </w:pPr>
      <w:r w:rsidRPr="00B004EE">
        <w:rPr>
          <w:rFonts w:ascii="Tahoma" w:hAnsi="Tahoma" w:cs="Tahoma"/>
          <w:sz w:val="20"/>
          <w:szCs w:val="20"/>
        </w:rPr>
        <w:t>Les exploitants qui génèrent des sous-produits de pêche ou des produits dérivés qui relèvent du champ d'application du présent arrêté les identifient comme tels et veillent à ce qu'ils soient traités conformément au présent arrêté (point de départ).</w:t>
      </w:r>
    </w:p>
    <w:p w14:paraId="511A77A0" w14:textId="77777777" w:rsidR="007127C2" w:rsidRPr="00B004EE" w:rsidRDefault="007127C2" w:rsidP="00420DDA">
      <w:pPr>
        <w:pStyle w:val="Paragraphedeliste"/>
        <w:widowControl w:val="0"/>
        <w:numPr>
          <w:ilvl w:val="0"/>
          <w:numId w:val="87"/>
        </w:numPr>
        <w:ind w:left="426"/>
        <w:jc w:val="both"/>
        <w:rPr>
          <w:rFonts w:ascii="Tahoma" w:hAnsi="Tahoma" w:cs="Tahoma"/>
          <w:sz w:val="20"/>
          <w:szCs w:val="20"/>
        </w:rPr>
      </w:pPr>
      <w:r w:rsidRPr="00B004EE">
        <w:rPr>
          <w:rFonts w:ascii="Tahoma" w:hAnsi="Tahoma" w:cs="Tahoma"/>
          <w:sz w:val="20"/>
          <w:szCs w:val="20"/>
        </w:rPr>
        <w:t>À tous les stades de la collecte, du transport, de la manipulation, du traitement, de la conversion, de la transformation, de l'entreposage, de la mise sur le marché, de la distribution, de l'utilisation et de l'élimination des sous­ produits de pêche et des produits dérivés dans des entreprises sous leur contrôle, les exploitants veillent à ce que lesdits sous-produits et produits dérivés respectent les prescriptions du présent arrêté qui s'appliquent à leurs activités.</w:t>
      </w:r>
    </w:p>
    <w:p w14:paraId="7F6C151B" w14:textId="77777777" w:rsidR="007127C2" w:rsidRPr="00B004EE" w:rsidRDefault="007127C2" w:rsidP="00420DDA">
      <w:pPr>
        <w:pStyle w:val="Paragraphedeliste"/>
        <w:widowControl w:val="0"/>
        <w:numPr>
          <w:ilvl w:val="0"/>
          <w:numId w:val="87"/>
        </w:numPr>
        <w:ind w:left="426"/>
        <w:jc w:val="both"/>
        <w:rPr>
          <w:rFonts w:ascii="Tahoma" w:hAnsi="Tahoma" w:cs="Tahoma"/>
          <w:sz w:val="20"/>
          <w:szCs w:val="20"/>
        </w:rPr>
      </w:pPr>
      <w:r w:rsidRPr="00B004EE">
        <w:rPr>
          <w:rFonts w:ascii="Tahoma" w:hAnsi="Tahoma" w:cs="Tahoma"/>
          <w:sz w:val="20"/>
          <w:szCs w:val="20"/>
        </w:rPr>
        <w:t>L'Autorité Compétente contrôle et vérifie que les exploitants respectent les prescriptions du présent arrêté tout au long de la chaîne des opérations portant sur les sous-produits pêche et les produits dérivés, telle qu'elle est visée au paragraphe 2. À cet effet, ils mettent en place un système de contrôles officiels, conformément à la législation mauritanienne appropriée.</w:t>
      </w:r>
    </w:p>
    <w:p w14:paraId="7072A0CC" w14:textId="6399A74E" w:rsidR="007127C2" w:rsidRPr="00B004EE" w:rsidRDefault="007127C2" w:rsidP="00420DDA">
      <w:pPr>
        <w:pStyle w:val="Paragraphedeliste"/>
        <w:widowControl w:val="0"/>
        <w:numPr>
          <w:ilvl w:val="0"/>
          <w:numId w:val="87"/>
        </w:numPr>
        <w:ind w:left="426"/>
        <w:jc w:val="both"/>
        <w:rPr>
          <w:rFonts w:ascii="Tahoma" w:hAnsi="Tahoma" w:cs="Tahoma"/>
          <w:sz w:val="20"/>
          <w:szCs w:val="20"/>
        </w:rPr>
      </w:pPr>
      <w:r w:rsidRPr="00B004EE">
        <w:rPr>
          <w:rFonts w:ascii="Tahoma" w:hAnsi="Tahoma" w:cs="Tahoma"/>
          <w:sz w:val="20"/>
          <w:szCs w:val="20"/>
        </w:rPr>
        <w:t xml:space="preserve">L'Autorité Compétente veille à ce qu'un système adéquat soit mis en place pour garantir que les sous-produits de pêche </w:t>
      </w:r>
      <w:r w:rsidR="00382E34" w:rsidRPr="00B004EE">
        <w:rPr>
          <w:rFonts w:ascii="Tahoma" w:hAnsi="Tahoma" w:cs="Tahoma"/>
          <w:sz w:val="20"/>
          <w:szCs w:val="20"/>
        </w:rPr>
        <w:t>sont :</w:t>
      </w:r>
    </w:p>
    <w:p w14:paraId="788F92D7" w14:textId="3A06EF92" w:rsidR="007127C2" w:rsidRPr="00B004EE" w:rsidRDefault="00382E34" w:rsidP="00420DDA">
      <w:pPr>
        <w:pStyle w:val="Paragraphedeliste"/>
        <w:widowControl w:val="0"/>
        <w:numPr>
          <w:ilvl w:val="0"/>
          <w:numId w:val="88"/>
        </w:numPr>
        <w:ind w:left="851"/>
        <w:jc w:val="both"/>
        <w:rPr>
          <w:rFonts w:ascii="Tahoma" w:hAnsi="Tahoma" w:cs="Tahoma"/>
          <w:sz w:val="20"/>
          <w:szCs w:val="20"/>
        </w:rPr>
      </w:pPr>
      <w:r w:rsidRPr="00B004EE">
        <w:rPr>
          <w:rFonts w:ascii="Tahoma" w:hAnsi="Tahoma" w:cs="Tahoma"/>
          <w:sz w:val="20"/>
          <w:szCs w:val="20"/>
        </w:rPr>
        <w:t>Sont</w:t>
      </w:r>
      <w:r w:rsidR="007127C2" w:rsidRPr="00B004EE">
        <w:rPr>
          <w:rFonts w:ascii="Tahoma" w:hAnsi="Tahoma" w:cs="Tahoma"/>
          <w:sz w:val="20"/>
          <w:szCs w:val="20"/>
        </w:rPr>
        <w:t xml:space="preserve"> conformes aux normes nationales et internationales et sont l'objet d'inspection sanitaire et de qualité en tous lieux (à l'usine, avant leur expédition, durant le transport et au niveau des lieux de stockage) ;</w:t>
      </w:r>
    </w:p>
    <w:p w14:paraId="37012F21" w14:textId="4A0CE66C" w:rsidR="007127C2" w:rsidRPr="00B004EE" w:rsidRDefault="00382E34" w:rsidP="00420DDA">
      <w:pPr>
        <w:pStyle w:val="Paragraphedeliste"/>
        <w:widowControl w:val="0"/>
        <w:numPr>
          <w:ilvl w:val="0"/>
          <w:numId w:val="88"/>
        </w:numPr>
        <w:ind w:left="851"/>
        <w:jc w:val="both"/>
        <w:rPr>
          <w:rFonts w:ascii="Tahoma" w:hAnsi="Tahoma" w:cs="Tahoma"/>
          <w:sz w:val="20"/>
          <w:szCs w:val="20"/>
        </w:rPr>
      </w:pPr>
      <w:r w:rsidRPr="00B004EE">
        <w:rPr>
          <w:rFonts w:ascii="Tahoma" w:hAnsi="Tahoma" w:cs="Tahoma"/>
          <w:sz w:val="20"/>
          <w:szCs w:val="20"/>
        </w:rPr>
        <w:t>Collectés</w:t>
      </w:r>
      <w:r w:rsidR="007127C2" w:rsidRPr="00B004EE">
        <w:rPr>
          <w:rFonts w:ascii="Tahoma" w:hAnsi="Tahoma" w:cs="Tahoma"/>
          <w:sz w:val="20"/>
          <w:szCs w:val="20"/>
        </w:rPr>
        <w:t xml:space="preserve">, identifiés et transportés sans retard </w:t>
      </w:r>
      <w:r w:rsidRPr="00B004EE">
        <w:rPr>
          <w:rFonts w:ascii="Tahoma" w:hAnsi="Tahoma" w:cs="Tahoma"/>
          <w:sz w:val="20"/>
          <w:szCs w:val="20"/>
        </w:rPr>
        <w:t>injustifié ;</w:t>
      </w:r>
      <w:r w:rsidR="007127C2" w:rsidRPr="00B004EE">
        <w:rPr>
          <w:rFonts w:ascii="Tahoma" w:hAnsi="Tahoma" w:cs="Tahoma"/>
          <w:sz w:val="20"/>
          <w:szCs w:val="20"/>
        </w:rPr>
        <w:t xml:space="preserve"> et</w:t>
      </w:r>
    </w:p>
    <w:p w14:paraId="4379C38E" w14:textId="3433AF72" w:rsidR="007127C2" w:rsidRPr="00B004EE" w:rsidRDefault="00382E34" w:rsidP="00420DDA">
      <w:pPr>
        <w:pStyle w:val="Paragraphedeliste"/>
        <w:widowControl w:val="0"/>
        <w:numPr>
          <w:ilvl w:val="0"/>
          <w:numId w:val="88"/>
        </w:numPr>
        <w:ind w:left="851"/>
        <w:jc w:val="both"/>
        <w:rPr>
          <w:rFonts w:ascii="Tahoma" w:hAnsi="Tahoma" w:cs="Tahoma"/>
          <w:sz w:val="20"/>
          <w:szCs w:val="20"/>
        </w:rPr>
      </w:pPr>
      <w:r w:rsidRPr="00B004EE">
        <w:rPr>
          <w:rFonts w:ascii="Tahoma" w:hAnsi="Tahoma" w:cs="Tahoma"/>
          <w:sz w:val="20"/>
          <w:szCs w:val="20"/>
        </w:rPr>
        <w:t>Traités</w:t>
      </w:r>
      <w:r w:rsidR="007127C2" w:rsidRPr="00B004EE">
        <w:rPr>
          <w:rFonts w:ascii="Tahoma" w:hAnsi="Tahoma" w:cs="Tahoma"/>
          <w:sz w:val="20"/>
          <w:szCs w:val="20"/>
        </w:rPr>
        <w:t>, utilisés ou éliminés conformément au présent arrêté.</w:t>
      </w:r>
    </w:p>
    <w:p w14:paraId="497A3ADA" w14:textId="77777777" w:rsidR="00FA0779" w:rsidRDefault="00FA0779" w:rsidP="00B004EE">
      <w:pPr>
        <w:jc w:val="center"/>
        <w:rPr>
          <w:rFonts w:ascii="Tahoma" w:hAnsi="Tahoma" w:cs="Tahoma"/>
          <w:b/>
          <w:bCs/>
          <w:sz w:val="20"/>
          <w:szCs w:val="20"/>
        </w:rPr>
      </w:pPr>
    </w:p>
    <w:p w14:paraId="688C4CE8" w14:textId="77777777" w:rsidR="00FA0779" w:rsidRDefault="00FA0779" w:rsidP="00B004EE">
      <w:pPr>
        <w:jc w:val="center"/>
        <w:rPr>
          <w:rFonts w:ascii="Tahoma" w:hAnsi="Tahoma" w:cs="Tahoma"/>
          <w:b/>
          <w:bCs/>
          <w:sz w:val="20"/>
          <w:szCs w:val="20"/>
        </w:rPr>
      </w:pPr>
    </w:p>
    <w:p w14:paraId="77484B75" w14:textId="1825431C" w:rsidR="007127C2" w:rsidRPr="00B004EE" w:rsidRDefault="007127C2" w:rsidP="00B004EE">
      <w:pPr>
        <w:jc w:val="center"/>
        <w:rPr>
          <w:rFonts w:ascii="Tahoma" w:hAnsi="Tahoma" w:cs="Tahoma"/>
          <w:b/>
          <w:bCs/>
          <w:sz w:val="20"/>
          <w:szCs w:val="20"/>
        </w:rPr>
      </w:pPr>
      <w:r w:rsidRPr="00B004EE">
        <w:rPr>
          <w:rFonts w:ascii="Tahoma" w:hAnsi="Tahoma" w:cs="Tahoma"/>
          <w:b/>
          <w:bCs/>
          <w:sz w:val="20"/>
          <w:szCs w:val="20"/>
        </w:rPr>
        <w:lastRenderedPageBreak/>
        <w:t>TITRE II</w:t>
      </w:r>
      <w:r w:rsidR="00382E34" w:rsidRPr="00B004EE">
        <w:rPr>
          <w:rFonts w:ascii="Tahoma" w:hAnsi="Tahoma" w:cs="Tahoma"/>
          <w:b/>
          <w:bCs/>
          <w:sz w:val="20"/>
          <w:szCs w:val="20"/>
        </w:rPr>
        <w:t xml:space="preserve"> : </w:t>
      </w:r>
      <w:r w:rsidRPr="00B004EE">
        <w:rPr>
          <w:rFonts w:ascii="Tahoma" w:hAnsi="Tahoma" w:cs="Tahoma"/>
          <w:b/>
          <w:bCs/>
          <w:sz w:val="20"/>
          <w:szCs w:val="20"/>
        </w:rPr>
        <w:t>OBLIGATIONS INCOMBANT AUX EXPLOITANTS CHAPITRE I</w:t>
      </w:r>
    </w:p>
    <w:p w14:paraId="2B83CD54" w14:textId="77777777" w:rsidR="007127C2" w:rsidRPr="00B004EE" w:rsidRDefault="007127C2" w:rsidP="00B004EE">
      <w:pPr>
        <w:jc w:val="center"/>
        <w:rPr>
          <w:rFonts w:ascii="Tahoma" w:hAnsi="Tahoma" w:cs="Tahoma"/>
          <w:b/>
          <w:bCs/>
          <w:sz w:val="20"/>
          <w:szCs w:val="20"/>
        </w:rPr>
      </w:pPr>
    </w:p>
    <w:p w14:paraId="7A68D2DF" w14:textId="058BFFD7" w:rsidR="007127C2" w:rsidRPr="00B004EE" w:rsidRDefault="00382E34" w:rsidP="00B004EE">
      <w:pPr>
        <w:jc w:val="center"/>
        <w:rPr>
          <w:rFonts w:ascii="Tahoma" w:hAnsi="Tahoma" w:cs="Tahoma"/>
          <w:b/>
          <w:bCs/>
          <w:sz w:val="20"/>
          <w:szCs w:val="20"/>
        </w:rPr>
      </w:pPr>
      <w:r w:rsidRPr="00B004EE">
        <w:rPr>
          <w:rFonts w:ascii="Tahoma" w:hAnsi="Tahoma" w:cs="Tahoma"/>
          <w:b/>
          <w:bCs/>
          <w:sz w:val="20"/>
          <w:szCs w:val="20"/>
        </w:rPr>
        <w:t xml:space="preserve">Section 1 : </w:t>
      </w:r>
      <w:r w:rsidR="007127C2" w:rsidRPr="00B004EE">
        <w:rPr>
          <w:rFonts w:ascii="Tahoma" w:hAnsi="Tahoma" w:cs="Tahoma"/>
          <w:b/>
          <w:bCs/>
          <w:sz w:val="20"/>
          <w:szCs w:val="20"/>
        </w:rPr>
        <w:t xml:space="preserve">Obligations générales </w:t>
      </w:r>
    </w:p>
    <w:p w14:paraId="226EC088" w14:textId="77777777" w:rsidR="007127C2" w:rsidRPr="00B004EE" w:rsidRDefault="007127C2" w:rsidP="00B004EE">
      <w:pPr>
        <w:jc w:val="center"/>
        <w:rPr>
          <w:rFonts w:ascii="Tahoma" w:hAnsi="Tahoma" w:cs="Tahoma"/>
          <w:b/>
          <w:bCs/>
          <w:sz w:val="20"/>
          <w:szCs w:val="20"/>
        </w:rPr>
      </w:pPr>
      <w:r w:rsidRPr="00B004EE">
        <w:rPr>
          <w:rFonts w:ascii="Tahoma" w:hAnsi="Tahoma" w:cs="Tahoma"/>
          <w:b/>
          <w:bCs/>
          <w:sz w:val="20"/>
          <w:szCs w:val="20"/>
        </w:rPr>
        <w:t>Collecte, transport et traçabilité</w:t>
      </w:r>
    </w:p>
    <w:p w14:paraId="0DDCDD47" w14:textId="77777777" w:rsidR="007127C2" w:rsidRPr="00B004EE" w:rsidRDefault="007127C2" w:rsidP="00B004EE">
      <w:pPr>
        <w:jc w:val="both"/>
        <w:rPr>
          <w:rFonts w:ascii="Tahoma" w:hAnsi="Tahoma" w:cs="Tahoma"/>
          <w:b/>
          <w:bCs/>
          <w:sz w:val="20"/>
          <w:szCs w:val="20"/>
        </w:rPr>
      </w:pPr>
    </w:p>
    <w:p w14:paraId="6D21A549" w14:textId="77777777" w:rsidR="007127C2" w:rsidRPr="00B004EE" w:rsidRDefault="007127C2" w:rsidP="00B004EE">
      <w:pPr>
        <w:rPr>
          <w:rFonts w:ascii="Tahoma" w:hAnsi="Tahoma" w:cs="Tahoma"/>
          <w:sz w:val="20"/>
          <w:szCs w:val="20"/>
        </w:rPr>
      </w:pPr>
      <w:r w:rsidRPr="00B004EE">
        <w:rPr>
          <w:rFonts w:ascii="Tahoma" w:hAnsi="Tahoma" w:cs="Tahoma"/>
          <w:sz w:val="20"/>
          <w:szCs w:val="20"/>
        </w:rPr>
        <w:t>Article 5 : Collecte, identification de la catégorie et transport</w:t>
      </w:r>
    </w:p>
    <w:p w14:paraId="3ECEE013" w14:textId="77777777" w:rsidR="007127C2" w:rsidRPr="00B004EE" w:rsidRDefault="007127C2" w:rsidP="00420DDA">
      <w:pPr>
        <w:pStyle w:val="Paragraphedeliste"/>
        <w:widowControl w:val="0"/>
        <w:numPr>
          <w:ilvl w:val="0"/>
          <w:numId w:val="89"/>
        </w:numPr>
        <w:ind w:left="567"/>
        <w:jc w:val="both"/>
        <w:rPr>
          <w:rFonts w:ascii="Tahoma" w:hAnsi="Tahoma" w:cs="Tahoma"/>
          <w:sz w:val="20"/>
          <w:szCs w:val="20"/>
        </w:rPr>
      </w:pPr>
      <w:r w:rsidRPr="00B004EE">
        <w:rPr>
          <w:rFonts w:ascii="Tahoma" w:hAnsi="Tahoma" w:cs="Tahoma"/>
          <w:sz w:val="20"/>
          <w:szCs w:val="20"/>
        </w:rPr>
        <w:t>Les exploitants collectent, identifient et assurent le transport des sous­ produits pêche sans retard injustifié dans des conditions écartant les risques pour la santé publique et animale.</w:t>
      </w:r>
    </w:p>
    <w:p w14:paraId="21770ACD" w14:textId="77777777" w:rsidR="007127C2" w:rsidRPr="00B004EE" w:rsidRDefault="007127C2" w:rsidP="00420DDA">
      <w:pPr>
        <w:pStyle w:val="Paragraphedeliste"/>
        <w:widowControl w:val="0"/>
        <w:numPr>
          <w:ilvl w:val="0"/>
          <w:numId w:val="89"/>
        </w:numPr>
        <w:ind w:left="567"/>
        <w:jc w:val="both"/>
        <w:rPr>
          <w:rFonts w:ascii="Tahoma" w:hAnsi="Tahoma" w:cs="Tahoma"/>
          <w:sz w:val="20"/>
          <w:szCs w:val="20"/>
        </w:rPr>
      </w:pPr>
      <w:r w:rsidRPr="00B004EE">
        <w:rPr>
          <w:rFonts w:ascii="Tahoma" w:hAnsi="Tahoma" w:cs="Tahoma"/>
          <w:sz w:val="20"/>
          <w:szCs w:val="20"/>
        </w:rPr>
        <w:t>Les exploitants veillent à ce qu'un document commercial et un certificat sanitaire délivré par un vétérinaire officiel accompagne les sous-produits de pêche et les produits dérivés durant leur transport.</w:t>
      </w:r>
    </w:p>
    <w:p w14:paraId="6EE62267" w14:textId="77777777" w:rsidR="007127C2" w:rsidRPr="00B004EE" w:rsidRDefault="007127C2" w:rsidP="00420DDA">
      <w:pPr>
        <w:pStyle w:val="Paragraphedeliste"/>
        <w:widowControl w:val="0"/>
        <w:numPr>
          <w:ilvl w:val="0"/>
          <w:numId w:val="89"/>
        </w:numPr>
        <w:ind w:left="567"/>
        <w:jc w:val="both"/>
        <w:rPr>
          <w:rFonts w:ascii="Tahoma" w:hAnsi="Tahoma" w:cs="Tahoma"/>
          <w:sz w:val="20"/>
          <w:szCs w:val="20"/>
        </w:rPr>
      </w:pPr>
      <w:r w:rsidRPr="00B004EE">
        <w:rPr>
          <w:rFonts w:ascii="Tahoma" w:hAnsi="Tahoma" w:cs="Tahoma"/>
          <w:sz w:val="20"/>
          <w:szCs w:val="20"/>
        </w:rPr>
        <w:t>Les documents commerciaux et les certificats sanitaires accompagnant les sous-produits pêche ou les produits dérivés pendant leur transport comportent (au moins) obligatoirement des informations sur l'origine, la destination, la qualité sanitaire et la quantité de ces produits ainsi qu'une description des sous­ produits pêche ou des produits dérivés.</w:t>
      </w:r>
    </w:p>
    <w:p w14:paraId="0DC2B1A6" w14:textId="77777777" w:rsidR="007127C2" w:rsidRPr="00B004EE" w:rsidRDefault="007127C2" w:rsidP="00B004EE">
      <w:pPr>
        <w:jc w:val="both"/>
        <w:rPr>
          <w:rFonts w:ascii="Tahoma" w:hAnsi="Tahoma" w:cs="Tahoma"/>
          <w:sz w:val="20"/>
          <w:szCs w:val="20"/>
        </w:rPr>
      </w:pPr>
    </w:p>
    <w:p w14:paraId="0125D3E6" w14:textId="77777777" w:rsidR="007127C2" w:rsidRPr="00B004EE" w:rsidRDefault="007127C2" w:rsidP="00B004EE">
      <w:pPr>
        <w:rPr>
          <w:rFonts w:ascii="Tahoma" w:hAnsi="Tahoma" w:cs="Tahoma"/>
          <w:sz w:val="20"/>
          <w:szCs w:val="20"/>
        </w:rPr>
      </w:pPr>
      <w:r w:rsidRPr="00B004EE">
        <w:rPr>
          <w:rFonts w:ascii="Tahoma" w:hAnsi="Tahoma" w:cs="Tahoma"/>
          <w:sz w:val="20"/>
          <w:szCs w:val="20"/>
        </w:rPr>
        <w:t>Article 6 : Traçabilité</w:t>
      </w:r>
    </w:p>
    <w:p w14:paraId="233EC093" w14:textId="77777777" w:rsidR="007127C2" w:rsidRPr="00B004EE" w:rsidRDefault="007127C2" w:rsidP="00420DDA">
      <w:pPr>
        <w:pStyle w:val="Paragraphedeliste"/>
        <w:widowControl w:val="0"/>
        <w:numPr>
          <w:ilvl w:val="0"/>
          <w:numId w:val="90"/>
        </w:numPr>
        <w:ind w:left="567"/>
        <w:jc w:val="both"/>
        <w:rPr>
          <w:rFonts w:ascii="Tahoma" w:hAnsi="Tahoma" w:cs="Tahoma"/>
          <w:sz w:val="20"/>
          <w:szCs w:val="20"/>
        </w:rPr>
      </w:pPr>
      <w:r w:rsidRPr="00B004EE">
        <w:rPr>
          <w:rFonts w:ascii="Tahoma" w:hAnsi="Tahoma" w:cs="Tahoma"/>
          <w:sz w:val="20"/>
          <w:szCs w:val="20"/>
        </w:rPr>
        <w:t>Les exploitants qui expédient, transportent ou reçoivent des sous-produits pêche ou des produits dérivés consignent les envois et les documents commerciaux et les certificats sanitaires correspondants.</w:t>
      </w:r>
    </w:p>
    <w:p w14:paraId="396E8CB7" w14:textId="77777777" w:rsidR="007127C2" w:rsidRPr="00B004EE" w:rsidRDefault="007127C2" w:rsidP="00420DDA">
      <w:pPr>
        <w:pStyle w:val="Paragraphedeliste"/>
        <w:widowControl w:val="0"/>
        <w:numPr>
          <w:ilvl w:val="0"/>
          <w:numId w:val="90"/>
        </w:numPr>
        <w:ind w:left="567"/>
        <w:jc w:val="both"/>
        <w:rPr>
          <w:rFonts w:ascii="Tahoma" w:hAnsi="Tahoma" w:cs="Tahoma"/>
          <w:sz w:val="20"/>
          <w:szCs w:val="20"/>
        </w:rPr>
      </w:pPr>
      <w:r w:rsidRPr="00B004EE">
        <w:rPr>
          <w:rFonts w:ascii="Tahoma" w:hAnsi="Tahoma" w:cs="Tahoma"/>
          <w:sz w:val="20"/>
          <w:szCs w:val="20"/>
        </w:rPr>
        <w:t>Les exploitants visés au paragraphe 1 mettent en place des systèmes et des procédures afin d’identifier :</w:t>
      </w:r>
    </w:p>
    <w:p w14:paraId="61190821" w14:textId="77777777" w:rsidR="007127C2" w:rsidRPr="00B004EE" w:rsidRDefault="007127C2" w:rsidP="00420DDA">
      <w:pPr>
        <w:pStyle w:val="Paragraphedeliste"/>
        <w:widowControl w:val="0"/>
        <w:numPr>
          <w:ilvl w:val="0"/>
          <w:numId w:val="91"/>
        </w:numPr>
        <w:jc w:val="both"/>
        <w:rPr>
          <w:rFonts w:ascii="Tahoma" w:hAnsi="Tahoma" w:cs="Tahoma"/>
          <w:sz w:val="20"/>
          <w:szCs w:val="20"/>
        </w:rPr>
      </w:pPr>
      <w:r w:rsidRPr="00B004EE">
        <w:rPr>
          <w:rFonts w:ascii="Tahoma" w:hAnsi="Tahoma" w:cs="Tahoma"/>
          <w:sz w:val="20"/>
          <w:szCs w:val="20"/>
        </w:rPr>
        <w:t>Les autres exploitants auxquels ils ont fourni leurs sous-produits pêche ou produits dérivés ; et</w:t>
      </w:r>
    </w:p>
    <w:p w14:paraId="1859D2A0" w14:textId="77777777" w:rsidR="007127C2" w:rsidRPr="00B004EE" w:rsidRDefault="007127C2" w:rsidP="00420DDA">
      <w:pPr>
        <w:pStyle w:val="Paragraphedeliste"/>
        <w:widowControl w:val="0"/>
        <w:numPr>
          <w:ilvl w:val="0"/>
          <w:numId w:val="91"/>
        </w:numPr>
        <w:jc w:val="both"/>
        <w:rPr>
          <w:rFonts w:ascii="Tahoma" w:hAnsi="Tahoma" w:cs="Tahoma"/>
          <w:sz w:val="20"/>
          <w:szCs w:val="20"/>
        </w:rPr>
      </w:pPr>
      <w:r w:rsidRPr="00B004EE">
        <w:rPr>
          <w:rFonts w:ascii="Tahoma" w:hAnsi="Tahoma" w:cs="Tahoma"/>
          <w:sz w:val="20"/>
          <w:szCs w:val="20"/>
        </w:rPr>
        <w:t>Les exploitants auprès desquels ils se sont approvisionnés.</w:t>
      </w:r>
    </w:p>
    <w:p w14:paraId="48F20889" w14:textId="77777777" w:rsidR="007127C2" w:rsidRPr="00B004EE" w:rsidRDefault="007127C2" w:rsidP="00420DDA">
      <w:pPr>
        <w:pStyle w:val="Paragraphedeliste"/>
        <w:widowControl w:val="0"/>
        <w:numPr>
          <w:ilvl w:val="0"/>
          <w:numId w:val="91"/>
        </w:numPr>
        <w:jc w:val="both"/>
        <w:rPr>
          <w:rFonts w:ascii="Tahoma" w:hAnsi="Tahoma" w:cs="Tahoma"/>
          <w:sz w:val="20"/>
          <w:szCs w:val="20"/>
        </w:rPr>
      </w:pPr>
      <w:r w:rsidRPr="00B004EE">
        <w:rPr>
          <w:rFonts w:ascii="Tahoma" w:hAnsi="Tahoma" w:cs="Tahoma"/>
          <w:sz w:val="20"/>
          <w:szCs w:val="20"/>
        </w:rPr>
        <w:t>Les exploitants doivent enregistrer par tout moyen approprié les informations relatives à la date d'arrivée, à la nature, à la quantité et à la provenance des sous-produits reçus, ainsi qu'à leur utilisation ou leur destination ultérieure. Les documents accompagnant les produits doivent être conservés pendant une période de six mois au minimum ou de deux ans au maximum.</w:t>
      </w:r>
    </w:p>
    <w:p w14:paraId="083E4365" w14:textId="77777777" w:rsidR="007127C2" w:rsidRPr="00B004EE" w:rsidRDefault="007127C2" w:rsidP="00B004EE">
      <w:pPr>
        <w:pStyle w:val="Paragraphedeliste"/>
        <w:ind w:left="720"/>
        <w:jc w:val="both"/>
        <w:rPr>
          <w:rFonts w:ascii="Tahoma" w:hAnsi="Tahoma" w:cs="Tahoma"/>
          <w:sz w:val="20"/>
          <w:szCs w:val="20"/>
        </w:rPr>
      </w:pPr>
    </w:p>
    <w:p w14:paraId="57AC2214" w14:textId="686238E4" w:rsidR="007127C2" w:rsidRPr="00B004EE" w:rsidRDefault="007127C2" w:rsidP="00B004EE">
      <w:pPr>
        <w:jc w:val="both"/>
        <w:rPr>
          <w:rFonts w:ascii="Tahoma" w:hAnsi="Tahoma" w:cs="Tahoma"/>
          <w:sz w:val="20"/>
          <w:szCs w:val="20"/>
        </w:rPr>
      </w:pPr>
      <w:r w:rsidRPr="00B004EE">
        <w:rPr>
          <w:rFonts w:ascii="Tahoma" w:hAnsi="Tahoma" w:cs="Tahoma"/>
          <w:sz w:val="20"/>
          <w:szCs w:val="20"/>
        </w:rPr>
        <w:t>Ils mettent ces informations à la disposition des autorités compétentes à la demande de celles-</w:t>
      </w:r>
      <w:r w:rsidR="00382E34" w:rsidRPr="00B004EE">
        <w:rPr>
          <w:rFonts w:ascii="Tahoma" w:hAnsi="Tahoma" w:cs="Tahoma"/>
          <w:sz w:val="20"/>
          <w:szCs w:val="20"/>
        </w:rPr>
        <w:t>ci, et</w:t>
      </w:r>
      <w:r w:rsidRPr="00B004EE">
        <w:rPr>
          <w:rFonts w:ascii="Tahoma" w:hAnsi="Tahoma" w:cs="Tahoma"/>
          <w:sz w:val="20"/>
          <w:szCs w:val="20"/>
        </w:rPr>
        <w:t xml:space="preserve"> sont tenus d'apporter leur concours aux agents habilités pour faciliter l'exécution des contrôles.</w:t>
      </w:r>
    </w:p>
    <w:p w14:paraId="01A42F70" w14:textId="77777777" w:rsidR="007127C2" w:rsidRPr="00B004EE" w:rsidRDefault="007127C2" w:rsidP="00B004EE">
      <w:pPr>
        <w:jc w:val="center"/>
        <w:rPr>
          <w:rFonts w:ascii="Tahoma" w:hAnsi="Tahoma" w:cs="Tahoma"/>
          <w:b/>
          <w:bCs/>
          <w:sz w:val="20"/>
          <w:szCs w:val="20"/>
        </w:rPr>
      </w:pPr>
    </w:p>
    <w:p w14:paraId="12BC8AD2" w14:textId="33EF649F" w:rsidR="007127C2" w:rsidRPr="00B004EE" w:rsidRDefault="007127C2" w:rsidP="00B004EE">
      <w:pPr>
        <w:jc w:val="center"/>
        <w:rPr>
          <w:rFonts w:ascii="Tahoma" w:hAnsi="Tahoma" w:cs="Tahoma"/>
          <w:b/>
          <w:bCs/>
          <w:sz w:val="20"/>
          <w:szCs w:val="20"/>
        </w:rPr>
      </w:pPr>
      <w:r w:rsidRPr="00B004EE">
        <w:rPr>
          <w:rFonts w:ascii="Tahoma" w:hAnsi="Tahoma" w:cs="Tahoma"/>
          <w:b/>
          <w:bCs/>
          <w:sz w:val="20"/>
          <w:szCs w:val="20"/>
        </w:rPr>
        <w:t>Section 2</w:t>
      </w:r>
      <w:r w:rsidR="00382E34" w:rsidRPr="00B004EE">
        <w:rPr>
          <w:rFonts w:ascii="Tahoma" w:hAnsi="Tahoma" w:cs="Tahoma"/>
          <w:b/>
          <w:bCs/>
          <w:sz w:val="20"/>
          <w:szCs w:val="20"/>
        </w:rPr>
        <w:t xml:space="preserve"> : </w:t>
      </w:r>
      <w:r w:rsidRPr="00B004EE">
        <w:rPr>
          <w:rFonts w:ascii="Tahoma" w:hAnsi="Tahoma" w:cs="Tahoma"/>
          <w:b/>
          <w:bCs/>
          <w:sz w:val="20"/>
          <w:szCs w:val="20"/>
        </w:rPr>
        <w:t>Enregistrement et agrément</w:t>
      </w:r>
    </w:p>
    <w:p w14:paraId="6626576E" w14:textId="77777777" w:rsidR="007127C2" w:rsidRPr="00B004EE" w:rsidRDefault="007127C2" w:rsidP="00B004EE">
      <w:pPr>
        <w:jc w:val="both"/>
        <w:rPr>
          <w:rFonts w:ascii="Tahoma" w:hAnsi="Tahoma" w:cs="Tahoma"/>
          <w:b/>
          <w:bCs/>
          <w:sz w:val="20"/>
          <w:szCs w:val="20"/>
        </w:rPr>
      </w:pPr>
    </w:p>
    <w:p w14:paraId="67F504B1" w14:textId="77777777" w:rsidR="007127C2" w:rsidRPr="00B004EE" w:rsidRDefault="007127C2" w:rsidP="00B004EE">
      <w:pPr>
        <w:rPr>
          <w:rFonts w:ascii="Tahoma" w:hAnsi="Tahoma" w:cs="Tahoma"/>
          <w:sz w:val="20"/>
          <w:szCs w:val="20"/>
        </w:rPr>
      </w:pPr>
      <w:r w:rsidRPr="00B004EE">
        <w:rPr>
          <w:rFonts w:ascii="Tahoma" w:hAnsi="Tahoma" w:cs="Tahoma"/>
          <w:sz w:val="20"/>
          <w:szCs w:val="20"/>
        </w:rPr>
        <w:t>Article 7 : Enregistrement des exploitants, établissements et usines</w:t>
      </w:r>
    </w:p>
    <w:p w14:paraId="3DC1E7D9" w14:textId="77777777" w:rsidR="007127C2" w:rsidRPr="00B004EE" w:rsidRDefault="007127C2" w:rsidP="00B004EE">
      <w:pPr>
        <w:jc w:val="both"/>
        <w:rPr>
          <w:rFonts w:ascii="Tahoma" w:hAnsi="Tahoma" w:cs="Tahoma"/>
          <w:sz w:val="20"/>
          <w:szCs w:val="20"/>
        </w:rPr>
      </w:pPr>
    </w:p>
    <w:p w14:paraId="52E838BD" w14:textId="77777777" w:rsidR="007127C2" w:rsidRPr="00B004EE" w:rsidRDefault="007127C2" w:rsidP="00420DDA">
      <w:pPr>
        <w:pStyle w:val="Paragraphedeliste"/>
        <w:widowControl w:val="0"/>
        <w:numPr>
          <w:ilvl w:val="0"/>
          <w:numId w:val="92"/>
        </w:numPr>
        <w:ind w:left="284"/>
        <w:jc w:val="both"/>
        <w:rPr>
          <w:rFonts w:ascii="Tahoma" w:hAnsi="Tahoma" w:cs="Tahoma"/>
          <w:sz w:val="20"/>
          <w:szCs w:val="20"/>
        </w:rPr>
      </w:pPr>
      <w:r w:rsidRPr="00B004EE">
        <w:rPr>
          <w:rFonts w:ascii="Tahoma" w:hAnsi="Tahoma" w:cs="Tahoma"/>
          <w:sz w:val="20"/>
          <w:szCs w:val="20"/>
        </w:rPr>
        <w:t>En vue de l'enregistrement, les exploitants :</w:t>
      </w:r>
    </w:p>
    <w:p w14:paraId="31D57A63" w14:textId="77777777" w:rsidR="007127C2" w:rsidRPr="00B004EE" w:rsidRDefault="007127C2" w:rsidP="00420DDA">
      <w:pPr>
        <w:pStyle w:val="Paragraphedeliste"/>
        <w:widowControl w:val="0"/>
        <w:numPr>
          <w:ilvl w:val="0"/>
          <w:numId w:val="93"/>
        </w:numPr>
        <w:ind w:left="567"/>
        <w:jc w:val="both"/>
        <w:rPr>
          <w:rFonts w:ascii="Tahoma" w:hAnsi="Tahoma" w:cs="Tahoma"/>
          <w:sz w:val="20"/>
          <w:szCs w:val="20"/>
        </w:rPr>
      </w:pPr>
      <w:r w:rsidRPr="00B004EE">
        <w:rPr>
          <w:rFonts w:ascii="Tahoma" w:hAnsi="Tahoma" w:cs="Tahoma"/>
          <w:sz w:val="20"/>
          <w:szCs w:val="20"/>
        </w:rPr>
        <w:t>Signalent à l'autorité compétente, avant le début de leurs opérations, les établissements et usines sous leur contrôle, actifs à un stade quelconque de la production, du transport, de la manipulation, de la transformation, de l'entreposage, de la mise sur le marché, de la distribution, de l'utilisation ou de l'élimination des sous-produits pêche et des produits dérivés ;</w:t>
      </w:r>
    </w:p>
    <w:p w14:paraId="65C4E5A1" w14:textId="3A5C470D" w:rsidR="007127C2" w:rsidRPr="00B004EE" w:rsidRDefault="007127C2" w:rsidP="00420DDA">
      <w:pPr>
        <w:pStyle w:val="Paragraphedeliste"/>
        <w:widowControl w:val="0"/>
        <w:numPr>
          <w:ilvl w:val="0"/>
          <w:numId w:val="93"/>
        </w:numPr>
        <w:ind w:left="567"/>
        <w:jc w:val="both"/>
        <w:rPr>
          <w:rFonts w:ascii="Tahoma" w:hAnsi="Tahoma" w:cs="Tahoma"/>
          <w:sz w:val="20"/>
          <w:szCs w:val="20"/>
        </w:rPr>
      </w:pPr>
      <w:r w:rsidRPr="00B004EE">
        <w:rPr>
          <w:rFonts w:ascii="Tahoma" w:hAnsi="Tahoma" w:cs="Tahoma"/>
          <w:sz w:val="20"/>
          <w:szCs w:val="20"/>
        </w:rPr>
        <w:t xml:space="preserve">Fournissent des informations à l'autorité compétente </w:t>
      </w:r>
      <w:r w:rsidR="00382E34" w:rsidRPr="00B004EE">
        <w:rPr>
          <w:rFonts w:ascii="Tahoma" w:hAnsi="Tahoma" w:cs="Tahoma"/>
          <w:sz w:val="20"/>
          <w:szCs w:val="20"/>
        </w:rPr>
        <w:t>sur :</w:t>
      </w:r>
    </w:p>
    <w:p w14:paraId="4DAA3E22" w14:textId="23E32E70" w:rsidR="007127C2" w:rsidRPr="00B004EE" w:rsidRDefault="007127C2" w:rsidP="00420DDA">
      <w:pPr>
        <w:pStyle w:val="Paragraphedeliste"/>
        <w:widowControl w:val="0"/>
        <w:numPr>
          <w:ilvl w:val="0"/>
          <w:numId w:val="94"/>
        </w:numPr>
        <w:jc w:val="both"/>
        <w:rPr>
          <w:rFonts w:ascii="Tahoma" w:hAnsi="Tahoma" w:cs="Tahoma"/>
          <w:sz w:val="20"/>
          <w:szCs w:val="20"/>
        </w:rPr>
      </w:pPr>
      <w:r w:rsidRPr="00B004EE">
        <w:rPr>
          <w:rFonts w:ascii="Tahoma" w:hAnsi="Tahoma" w:cs="Tahoma"/>
          <w:sz w:val="20"/>
          <w:szCs w:val="20"/>
        </w:rPr>
        <w:t xml:space="preserve">La catégorie des sous-produits pêche ou des produits dérivés sous leur </w:t>
      </w:r>
      <w:r w:rsidR="00382E34" w:rsidRPr="00B004EE">
        <w:rPr>
          <w:rFonts w:ascii="Tahoma" w:hAnsi="Tahoma" w:cs="Tahoma"/>
          <w:sz w:val="20"/>
          <w:szCs w:val="20"/>
        </w:rPr>
        <w:t>contrôle ;</w:t>
      </w:r>
    </w:p>
    <w:p w14:paraId="171E86BB" w14:textId="77777777" w:rsidR="007127C2" w:rsidRPr="00B004EE" w:rsidRDefault="007127C2" w:rsidP="00420DDA">
      <w:pPr>
        <w:pStyle w:val="Paragraphedeliste"/>
        <w:widowControl w:val="0"/>
        <w:numPr>
          <w:ilvl w:val="0"/>
          <w:numId w:val="94"/>
        </w:numPr>
        <w:jc w:val="both"/>
        <w:rPr>
          <w:rFonts w:ascii="Tahoma" w:hAnsi="Tahoma" w:cs="Tahoma"/>
          <w:sz w:val="20"/>
          <w:szCs w:val="20"/>
        </w:rPr>
      </w:pPr>
      <w:r w:rsidRPr="00B004EE">
        <w:rPr>
          <w:rFonts w:ascii="Tahoma" w:hAnsi="Tahoma" w:cs="Tahoma"/>
          <w:sz w:val="20"/>
          <w:szCs w:val="20"/>
        </w:rPr>
        <w:t>La nature des opérations réalisées à partir de sous-produits de pêche ou de produits dérivés comme matériels de départ.</w:t>
      </w:r>
    </w:p>
    <w:p w14:paraId="09236863" w14:textId="77777777" w:rsidR="007127C2" w:rsidRPr="00B004EE" w:rsidRDefault="007127C2" w:rsidP="00420DDA">
      <w:pPr>
        <w:pStyle w:val="Paragraphedeliste"/>
        <w:widowControl w:val="0"/>
        <w:numPr>
          <w:ilvl w:val="0"/>
          <w:numId w:val="92"/>
        </w:numPr>
        <w:ind w:left="284"/>
        <w:jc w:val="both"/>
        <w:rPr>
          <w:rFonts w:ascii="Tahoma" w:hAnsi="Tahoma" w:cs="Tahoma"/>
          <w:sz w:val="20"/>
          <w:szCs w:val="20"/>
        </w:rPr>
      </w:pPr>
      <w:r w:rsidRPr="00B004EE">
        <w:rPr>
          <w:rFonts w:ascii="Tahoma" w:hAnsi="Tahoma" w:cs="Tahoma"/>
          <w:sz w:val="20"/>
          <w:szCs w:val="20"/>
        </w:rPr>
        <w:t>Les exploitants fournissent à l'autorité compétente des informations à jour sur tous les établissements ou usines sous leur contrôle visés au paragraphe 1, point a), notamment en lui notifiant toute modification significative des activités et toute fermeture d'une usine ou d'un établissement existant.</w:t>
      </w:r>
    </w:p>
    <w:p w14:paraId="2E685723" w14:textId="77777777" w:rsidR="007127C2" w:rsidRPr="00B004EE" w:rsidRDefault="007127C2" w:rsidP="00420DDA">
      <w:pPr>
        <w:pStyle w:val="Paragraphedeliste"/>
        <w:widowControl w:val="0"/>
        <w:numPr>
          <w:ilvl w:val="0"/>
          <w:numId w:val="92"/>
        </w:numPr>
        <w:ind w:left="284"/>
        <w:jc w:val="both"/>
        <w:rPr>
          <w:rFonts w:ascii="Tahoma" w:hAnsi="Tahoma" w:cs="Tahoma"/>
          <w:sz w:val="20"/>
          <w:szCs w:val="20"/>
        </w:rPr>
      </w:pPr>
      <w:r w:rsidRPr="00B004EE">
        <w:rPr>
          <w:rFonts w:ascii="Tahoma" w:hAnsi="Tahoma" w:cs="Tahoma"/>
          <w:sz w:val="20"/>
          <w:szCs w:val="20"/>
        </w:rPr>
        <w:t>Les modalités de l'enregistrement visé au paragraphe 1 peuvent être arrêtées conformément à la procédure décrite au décret 2012 - 072 du 12 mars 2012 portant réglementation des règles sanitaires applicables aux sous-produits de pêche et produits dérivés non destinés à la consommation humaine.</w:t>
      </w:r>
    </w:p>
    <w:p w14:paraId="73E3A3E4" w14:textId="77777777" w:rsidR="007127C2" w:rsidRPr="00B004EE" w:rsidRDefault="007127C2" w:rsidP="00B004EE">
      <w:pPr>
        <w:jc w:val="both"/>
        <w:rPr>
          <w:rFonts w:ascii="Tahoma" w:hAnsi="Tahoma" w:cs="Tahoma"/>
          <w:sz w:val="20"/>
          <w:szCs w:val="20"/>
        </w:rPr>
      </w:pPr>
    </w:p>
    <w:p w14:paraId="7F135B49" w14:textId="77777777" w:rsidR="007127C2" w:rsidRPr="00B004EE" w:rsidRDefault="007127C2" w:rsidP="00B004EE">
      <w:pPr>
        <w:rPr>
          <w:rFonts w:ascii="Tahoma" w:hAnsi="Tahoma" w:cs="Tahoma"/>
          <w:sz w:val="20"/>
          <w:szCs w:val="20"/>
        </w:rPr>
      </w:pPr>
      <w:r w:rsidRPr="00B004EE">
        <w:rPr>
          <w:rFonts w:ascii="Tahoma" w:hAnsi="Tahoma" w:cs="Tahoma"/>
          <w:sz w:val="20"/>
          <w:szCs w:val="20"/>
        </w:rPr>
        <w:t>Article 8 : Règles générales d'hygiène</w:t>
      </w:r>
    </w:p>
    <w:p w14:paraId="24A1EA4B" w14:textId="77777777" w:rsidR="007127C2" w:rsidRPr="00B004EE" w:rsidRDefault="007127C2" w:rsidP="00420DDA">
      <w:pPr>
        <w:pStyle w:val="Paragraphedeliste"/>
        <w:widowControl w:val="0"/>
        <w:numPr>
          <w:ilvl w:val="0"/>
          <w:numId w:val="95"/>
        </w:numPr>
        <w:ind w:left="284"/>
        <w:jc w:val="both"/>
        <w:rPr>
          <w:rFonts w:ascii="Tahoma" w:hAnsi="Tahoma" w:cs="Tahoma"/>
          <w:sz w:val="20"/>
          <w:szCs w:val="20"/>
        </w:rPr>
      </w:pPr>
      <w:r w:rsidRPr="00B004EE">
        <w:rPr>
          <w:rFonts w:ascii="Tahoma" w:hAnsi="Tahoma" w:cs="Tahoma"/>
          <w:sz w:val="20"/>
          <w:szCs w:val="20"/>
        </w:rPr>
        <w:lastRenderedPageBreak/>
        <w:t>Les exploitants veillent à ce que les établissements ou les usines sous leur contrôle :</w:t>
      </w:r>
    </w:p>
    <w:p w14:paraId="72A612F0" w14:textId="77777777" w:rsidR="007127C2" w:rsidRPr="00B004EE" w:rsidRDefault="007127C2" w:rsidP="00420DDA">
      <w:pPr>
        <w:pStyle w:val="Paragraphedeliste"/>
        <w:widowControl w:val="0"/>
        <w:numPr>
          <w:ilvl w:val="0"/>
          <w:numId w:val="96"/>
        </w:numPr>
        <w:jc w:val="both"/>
        <w:rPr>
          <w:rFonts w:ascii="Tahoma" w:hAnsi="Tahoma" w:cs="Tahoma"/>
          <w:sz w:val="20"/>
          <w:szCs w:val="20"/>
        </w:rPr>
      </w:pPr>
      <w:proofErr w:type="gramStart"/>
      <w:r w:rsidRPr="00B004EE">
        <w:rPr>
          <w:rFonts w:ascii="Tahoma" w:hAnsi="Tahoma" w:cs="Tahoma"/>
          <w:sz w:val="20"/>
          <w:szCs w:val="20"/>
        </w:rPr>
        <w:t>soient</w:t>
      </w:r>
      <w:proofErr w:type="gramEnd"/>
      <w:r w:rsidRPr="00B004EE">
        <w:rPr>
          <w:rFonts w:ascii="Tahoma" w:hAnsi="Tahoma" w:cs="Tahoma"/>
          <w:sz w:val="20"/>
          <w:szCs w:val="20"/>
        </w:rPr>
        <w:t xml:space="preserve"> aménagés de façon à permettre leur nettoyage et leur désinfection efficaces, et à ce que, le cas échéant, les sols soient conçus de façon à permettre l'évacuation aisée des liquides;</w:t>
      </w:r>
    </w:p>
    <w:p w14:paraId="68317D44" w14:textId="77777777" w:rsidR="007127C2" w:rsidRPr="00B004EE" w:rsidRDefault="007127C2" w:rsidP="00420DDA">
      <w:pPr>
        <w:pStyle w:val="Paragraphedeliste"/>
        <w:widowControl w:val="0"/>
        <w:numPr>
          <w:ilvl w:val="0"/>
          <w:numId w:val="96"/>
        </w:numPr>
        <w:jc w:val="both"/>
        <w:rPr>
          <w:rFonts w:ascii="Tahoma" w:hAnsi="Tahoma" w:cs="Tahoma"/>
          <w:sz w:val="20"/>
          <w:szCs w:val="20"/>
        </w:rPr>
      </w:pPr>
      <w:proofErr w:type="gramStart"/>
      <w:r w:rsidRPr="00B004EE">
        <w:rPr>
          <w:rFonts w:ascii="Tahoma" w:hAnsi="Tahoma" w:cs="Tahoma"/>
          <w:sz w:val="20"/>
          <w:szCs w:val="20"/>
        </w:rPr>
        <w:t>disposent</w:t>
      </w:r>
      <w:proofErr w:type="gramEnd"/>
      <w:r w:rsidRPr="00B004EE">
        <w:rPr>
          <w:rFonts w:ascii="Tahoma" w:hAnsi="Tahoma" w:cs="Tahoma"/>
          <w:sz w:val="20"/>
          <w:szCs w:val="20"/>
        </w:rPr>
        <w:t xml:space="preserve"> d'infrastructures d'hygiène adéquates pour leur personnel, notamment des toilettes, des vestiaires et des lavabos;</w:t>
      </w:r>
    </w:p>
    <w:p w14:paraId="4D9F921D" w14:textId="77777777" w:rsidR="007127C2" w:rsidRPr="00B004EE" w:rsidRDefault="007127C2" w:rsidP="00420DDA">
      <w:pPr>
        <w:pStyle w:val="Paragraphedeliste"/>
        <w:widowControl w:val="0"/>
        <w:numPr>
          <w:ilvl w:val="0"/>
          <w:numId w:val="96"/>
        </w:numPr>
        <w:jc w:val="both"/>
        <w:rPr>
          <w:rFonts w:ascii="Tahoma" w:hAnsi="Tahoma" w:cs="Tahoma"/>
          <w:sz w:val="20"/>
          <w:szCs w:val="20"/>
        </w:rPr>
      </w:pPr>
      <w:proofErr w:type="gramStart"/>
      <w:r w:rsidRPr="00B004EE">
        <w:rPr>
          <w:rFonts w:ascii="Tahoma" w:hAnsi="Tahoma" w:cs="Tahoma"/>
          <w:sz w:val="20"/>
          <w:szCs w:val="20"/>
        </w:rPr>
        <w:t>soient</w:t>
      </w:r>
      <w:proofErr w:type="gramEnd"/>
      <w:r w:rsidRPr="00B004EE">
        <w:rPr>
          <w:rFonts w:ascii="Tahoma" w:hAnsi="Tahoma" w:cs="Tahoma"/>
          <w:sz w:val="20"/>
          <w:szCs w:val="20"/>
        </w:rPr>
        <w:t xml:space="preserve"> équipés de dispositifs appropriés de protection contre les animaux nuisibles, tels que les insectes, les rongeurs et les oiseaux;</w:t>
      </w:r>
    </w:p>
    <w:p w14:paraId="7DB53866" w14:textId="77777777" w:rsidR="007127C2" w:rsidRPr="00B004EE" w:rsidRDefault="007127C2" w:rsidP="00420DDA">
      <w:pPr>
        <w:pStyle w:val="Paragraphedeliste"/>
        <w:widowControl w:val="0"/>
        <w:numPr>
          <w:ilvl w:val="0"/>
          <w:numId w:val="96"/>
        </w:numPr>
        <w:jc w:val="both"/>
        <w:rPr>
          <w:rFonts w:ascii="Tahoma" w:hAnsi="Tahoma" w:cs="Tahoma"/>
          <w:sz w:val="20"/>
          <w:szCs w:val="20"/>
        </w:rPr>
      </w:pPr>
      <w:proofErr w:type="gramStart"/>
      <w:r w:rsidRPr="00B004EE">
        <w:rPr>
          <w:rFonts w:ascii="Tahoma" w:hAnsi="Tahoma" w:cs="Tahoma"/>
          <w:sz w:val="20"/>
          <w:szCs w:val="20"/>
        </w:rPr>
        <w:t>maintiennent</w:t>
      </w:r>
      <w:proofErr w:type="gramEnd"/>
      <w:r w:rsidRPr="00B004EE">
        <w:rPr>
          <w:rFonts w:ascii="Tahoma" w:hAnsi="Tahoma" w:cs="Tahoma"/>
          <w:sz w:val="20"/>
          <w:szCs w:val="20"/>
        </w:rPr>
        <w:t xml:space="preserve"> leurs installations et leurs équipements en bon état et veillent à</w:t>
      </w:r>
    </w:p>
    <w:p w14:paraId="2C41A767" w14:textId="77777777" w:rsidR="007127C2" w:rsidRPr="00B004EE" w:rsidRDefault="007127C2" w:rsidP="00420DDA">
      <w:pPr>
        <w:pStyle w:val="Paragraphedeliste"/>
        <w:widowControl w:val="0"/>
        <w:numPr>
          <w:ilvl w:val="0"/>
          <w:numId w:val="96"/>
        </w:numPr>
        <w:jc w:val="both"/>
        <w:rPr>
          <w:rFonts w:ascii="Tahoma" w:hAnsi="Tahoma" w:cs="Tahoma"/>
          <w:sz w:val="20"/>
          <w:szCs w:val="20"/>
        </w:rPr>
      </w:pPr>
      <w:proofErr w:type="gramStart"/>
      <w:r w:rsidRPr="00B004EE">
        <w:rPr>
          <w:rFonts w:ascii="Tahoma" w:hAnsi="Tahoma" w:cs="Tahoma"/>
          <w:sz w:val="20"/>
          <w:szCs w:val="20"/>
        </w:rPr>
        <w:t>l'étalonnage</w:t>
      </w:r>
      <w:proofErr w:type="gramEnd"/>
      <w:r w:rsidRPr="00B004EE">
        <w:rPr>
          <w:rFonts w:ascii="Tahoma" w:hAnsi="Tahoma" w:cs="Tahoma"/>
          <w:sz w:val="20"/>
          <w:szCs w:val="20"/>
        </w:rPr>
        <w:t xml:space="preserve"> régulier de leurs appareils de mesure; et</w:t>
      </w:r>
    </w:p>
    <w:p w14:paraId="6DBFE81E" w14:textId="77777777" w:rsidR="007127C2" w:rsidRPr="00B004EE" w:rsidRDefault="007127C2" w:rsidP="00420DDA">
      <w:pPr>
        <w:pStyle w:val="Paragraphedeliste"/>
        <w:widowControl w:val="0"/>
        <w:numPr>
          <w:ilvl w:val="0"/>
          <w:numId w:val="96"/>
        </w:numPr>
        <w:jc w:val="both"/>
        <w:rPr>
          <w:rFonts w:ascii="Tahoma" w:hAnsi="Tahoma" w:cs="Tahoma"/>
          <w:sz w:val="20"/>
          <w:szCs w:val="20"/>
        </w:rPr>
      </w:pPr>
      <w:proofErr w:type="gramStart"/>
      <w:r w:rsidRPr="00B004EE">
        <w:rPr>
          <w:rFonts w:ascii="Tahoma" w:hAnsi="Tahoma" w:cs="Tahoma"/>
          <w:sz w:val="20"/>
          <w:szCs w:val="20"/>
        </w:rPr>
        <w:t>soient</w:t>
      </w:r>
      <w:proofErr w:type="gramEnd"/>
      <w:r w:rsidRPr="00B004EE">
        <w:rPr>
          <w:rFonts w:ascii="Tahoma" w:hAnsi="Tahoma" w:cs="Tahoma"/>
          <w:sz w:val="20"/>
          <w:szCs w:val="20"/>
        </w:rPr>
        <w:t xml:space="preserve"> pourvus de dispositifs appropriés pour le nettoyage et la désinfection des conteneurs et des véhicules, de façon à éviter les risques de contamination.</w:t>
      </w:r>
    </w:p>
    <w:p w14:paraId="7638AE99" w14:textId="77777777" w:rsidR="007127C2" w:rsidRPr="00B004EE" w:rsidRDefault="007127C2" w:rsidP="00420DDA">
      <w:pPr>
        <w:pStyle w:val="Paragraphedeliste"/>
        <w:widowControl w:val="0"/>
        <w:numPr>
          <w:ilvl w:val="0"/>
          <w:numId w:val="95"/>
        </w:numPr>
        <w:ind w:left="284"/>
        <w:jc w:val="both"/>
        <w:rPr>
          <w:rFonts w:ascii="Tahoma" w:hAnsi="Tahoma" w:cs="Tahoma"/>
          <w:sz w:val="20"/>
          <w:szCs w:val="20"/>
        </w:rPr>
      </w:pPr>
      <w:r w:rsidRPr="00B004EE">
        <w:rPr>
          <w:rFonts w:ascii="Tahoma" w:hAnsi="Tahoma" w:cs="Tahoma"/>
          <w:sz w:val="20"/>
          <w:szCs w:val="20"/>
        </w:rPr>
        <w:t>Toutes les personnes qui travaillent dans les établissements ou usines visés au paragraphe 1 doivent être en bonne santé (visite médicale régulière) et porter des vêtements appropriés, propres et, si nécessaire, des équipements de protection.</w:t>
      </w:r>
    </w:p>
    <w:p w14:paraId="778F0C67" w14:textId="5FC9D344" w:rsidR="007127C2" w:rsidRPr="00B004EE" w:rsidRDefault="007127C2" w:rsidP="00B004EE">
      <w:pPr>
        <w:pStyle w:val="Paragraphedeliste"/>
        <w:ind w:left="284"/>
        <w:jc w:val="both"/>
        <w:rPr>
          <w:rFonts w:ascii="Tahoma" w:hAnsi="Tahoma" w:cs="Tahoma"/>
          <w:sz w:val="20"/>
          <w:szCs w:val="20"/>
        </w:rPr>
      </w:pPr>
      <w:r w:rsidRPr="00B004EE">
        <w:rPr>
          <w:rFonts w:ascii="Tahoma" w:hAnsi="Tahoma" w:cs="Tahoma"/>
          <w:sz w:val="20"/>
          <w:szCs w:val="20"/>
        </w:rPr>
        <w:t xml:space="preserve">Le cas échéant, dans un établissement ou une </w:t>
      </w:r>
      <w:r w:rsidR="00382E34" w:rsidRPr="00B004EE">
        <w:rPr>
          <w:rFonts w:ascii="Tahoma" w:hAnsi="Tahoma" w:cs="Tahoma"/>
          <w:sz w:val="20"/>
          <w:szCs w:val="20"/>
        </w:rPr>
        <w:t>usine :</w:t>
      </w:r>
    </w:p>
    <w:p w14:paraId="45DBD01E" w14:textId="77777777" w:rsidR="007127C2" w:rsidRPr="00B004EE" w:rsidRDefault="007127C2" w:rsidP="00420DDA">
      <w:pPr>
        <w:pStyle w:val="Paragraphedeliste"/>
        <w:widowControl w:val="0"/>
        <w:numPr>
          <w:ilvl w:val="0"/>
          <w:numId w:val="97"/>
        </w:numPr>
        <w:jc w:val="both"/>
        <w:rPr>
          <w:rFonts w:ascii="Tahoma" w:hAnsi="Tahoma" w:cs="Tahoma"/>
          <w:sz w:val="20"/>
          <w:szCs w:val="20"/>
        </w:rPr>
      </w:pPr>
      <w:proofErr w:type="gramStart"/>
      <w:r w:rsidRPr="00B004EE">
        <w:rPr>
          <w:rFonts w:ascii="Tahoma" w:hAnsi="Tahoma" w:cs="Tahoma"/>
          <w:sz w:val="20"/>
          <w:szCs w:val="20"/>
        </w:rPr>
        <w:t>les</w:t>
      </w:r>
      <w:proofErr w:type="gramEnd"/>
      <w:r w:rsidRPr="00B004EE">
        <w:rPr>
          <w:rFonts w:ascii="Tahoma" w:hAnsi="Tahoma" w:cs="Tahoma"/>
          <w:sz w:val="20"/>
          <w:szCs w:val="20"/>
        </w:rPr>
        <w:t xml:space="preserve"> personnes travaillant dans le secteur souillé ne peuvent pas accéder au secteur propre sans avoir au préalable changé de vêtements de travail et de chaussures ou sans les avoir désinfectés;</w:t>
      </w:r>
    </w:p>
    <w:p w14:paraId="1CCBDCC0" w14:textId="77777777" w:rsidR="007127C2" w:rsidRPr="00B004EE" w:rsidRDefault="007127C2" w:rsidP="00420DDA">
      <w:pPr>
        <w:pStyle w:val="Paragraphedeliste"/>
        <w:widowControl w:val="0"/>
        <w:numPr>
          <w:ilvl w:val="0"/>
          <w:numId w:val="97"/>
        </w:numPr>
        <w:jc w:val="both"/>
        <w:rPr>
          <w:rFonts w:ascii="Tahoma" w:hAnsi="Tahoma" w:cs="Tahoma"/>
          <w:sz w:val="20"/>
          <w:szCs w:val="20"/>
        </w:rPr>
      </w:pPr>
      <w:proofErr w:type="gramStart"/>
      <w:r w:rsidRPr="00B004EE">
        <w:rPr>
          <w:rFonts w:ascii="Tahoma" w:hAnsi="Tahoma" w:cs="Tahoma"/>
          <w:sz w:val="20"/>
          <w:szCs w:val="20"/>
        </w:rPr>
        <w:t>les</w:t>
      </w:r>
      <w:proofErr w:type="gramEnd"/>
      <w:r w:rsidRPr="00B004EE">
        <w:rPr>
          <w:rFonts w:ascii="Tahoma" w:hAnsi="Tahoma" w:cs="Tahoma"/>
          <w:sz w:val="20"/>
          <w:szCs w:val="20"/>
        </w:rPr>
        <w:t xml:space="preserve"> équipements et ustensiles ne peuvent pas être transférés du secteur souillé au secteur propre sans nettoyage ou désinfection préalable; et</w:t>
      </w:r>
    </w:p>
    <w:p w14:paraId="53E08106" w14:textId="77777777" w:rsidR="007127C2" w:rsidRPr="00B004EE" w:rsidRDefault="007127C2" w:rsidP="00420DDA">
      <w:pPr>
        <w:pStyle w:val="Paragraphedeliste"/>
        <w:widowControl w:val="0"/>
        <w:numPr>
          <w:ilvl w:val="0"/>
          <w:numId w:val="97"/>
        </w:numPr>
        <w:jc w:val="both"/>
        <w:rPr>
          <w:rFonts w:ascii="Tahoma" w:hAnsi="Tahoma" w:cs="Tahoma"/>
          <w:sz w:val="20"/>
          <w:szCs w:val="20"/>
        </w:rPr>
      </w:pPr>
      <w:r w:rsidRPr="00B004EE">
        <w:rPr>
          <w:rFonts w:ascii="Tahoma" w:hAnsi="Tahoma" w:cs="Tahoma"/>
          <w:sz w:val="20"/>
          <w:szCs w:val="20"/>
        </w:rPr>
        <w:t>Dans les établissements ou les usines qui effectuent les activités visées à l'article 4, point 2 :</w:t>
      </w:r>
    </w:p>
    <w:p w14:paraId="66C2A3C3" w14:textId="77777777" w:rsidR="007127C2" w:rsidRPr="00B004EE" w:rsidRDefault="007127C2" w:rsidP="00420DDA">
      <w:pPr>
        <w:pStyle w:val="Paragraphedeliste"/>
        <w:widowControl w:val="0"/>
        <w:numPr>
          <w:ilvl w:val="0"/>
          <w:numId w:val="98"/>
        </w:numPr>
        <w:ind w:left="1134" w:hanging="357"/>
        <w:jc w:val="both"/>
        <w:rPr>
          <w:rFonts w:ascii="Tahoma" w:hAnsi="Tahoma" w:cs="Tahoma"/>
          <w:sz w:val="20"/>
          <w:szCs w:val="20"/>
        </w:rPr>
      </w:pPr>
      <w:proofErr w:type="gramStart"/>
      <w:r w:rsidRPr="00B004EE">
        <w:rPr>
          <w:rFonts w:ascii="Tahoma" w:hAnsi="Tahoma" w:cs="Tahoma"/>
          <w:sz w:val="20"/>
          <w:szCs w:val="20"/>
        </w:rPr>
        <w:t>les</w:t>
      </w:r>
      <w:proofErr w:type="gramEnd"/>
      <w:r w:rsidRPr="00B004EE">
        <w:rPr>
          <w:rFonts w:ascii="Tahoma" w:hAnsi="Tahoma" w:cs="Tahoma"/>
          <w:sz w:val="20"/>
          <w:szCs w:val="20"/>
        </w:rPr>
        <w:t xml:space="preserve"> sous-produits pêche sont traités de manière à éviter les risques de contamination;</w:t>
      </w:r>
    </w:p>
    <w:p w14:paraId="54114ED9" w14:textId="016FDFD7" w:rsidR="007127C2" w:rsidRPr="00B004EE" w:rsidRDefault="007127C2" w:rsidP="00420DDA">
      <w:pPr>
        <w:pStyle w:val="Paragraphedeliste"/>
        <w:widowControl w:val="0"/>
        <w:numPr>
          <w:ilvl w:val="0"/>
          <w:numId w:val="98"/>
        </w:numPr>
        <w:ind w:left="1134" w:hanging="357"/>
        <w:jc w:val="both"/>
        <w:rPr>
          <w:rFonts w:ascii="Tahoma" w:hAnsi="Tahoma" w:cs="Tahoma"/>
          <w:sz w:val="20"/>
          <w:szCs w:val="20"/>
        </w:rPr>
      </w:pPr>
      <w:proofErr w:type="gramStart"/>
      <w:r w:rsidRPr="00B004EE">
        <w:rPr>
          <w:rFonts w:ascii="Tahoma" w:hAnsi="Tahoma" w:cs="Tahoma"/>
          <w:sz w:val="20"/>
          <w:szCs w:val="20"/>
        </w:rPr>
        <w:t>les</w:t>
      </w:r>
      <w:proofErr w:type="gramEnd"/>
      <w:r w:rsidRPr="00B004EE">
        <w:rPr>
          <w:rFonts w:ascii="Tahoma" w:hAnsi="Tahoma" w:cs="Tahoma"/>
          <w:sz w:val="20"/>
          <w:szCs w:val="20"/>
        </w:rPr>
        <w:t xml:space="preserve"> sous-produits pêches sont transformés le plus rapidement possible. Après les opérations de transformation, les produits dérivés sont manipulés et entreposés de manière à éviter les risques de </w:t>
      </w:r>
      <w:r w:rsidR="00382E34" w:rsidRPr="00B004EE">
        <w:rPr>
          <w:rFonts w:ascii="Tahoma" w:hAnsi="Tahoma" w:cs="Tahoma"/>
          <w:sz w:val="20"/>
          <w:szCs w:val="20"/>
        </w:rPr>
        <w:t>contamination ;</w:t>
      </w:r>
    </w:p>
    <w:p w14:paraId="370AC0F6" w14:textId="064D5835" w:rsidR="007127C2" w:rsidRPr="00B004EE" w:rsidRDefault="007127C2" w:rsidP="00420DDA">
      <w:pPr>
        <w:pStyle w:val="Paragraphedeliste"/>
        <w:widowControl w:val="0"/>
        <w:numPr>
          <w:ilvl w:val="0"/>
          <w:numId w:val="98"/>
        </w:numPr>
        <w:ind w:left="1134" w:hanging="357"/>
        <w:jc w:val="both"/>
        <w:rPr>
          <w:rFonts w:ascii="Tahoma" w:hAnsi="Tahoma" w:cs="Tahoma"/>
          <w:sz w:val="20"/>
          <w:szCs w:val="20"/>
        </w:rPr>
      </w:pPr>
      <w:proofErr w:type="gramStart"/>
      <w:r w:rsidRPr="00B004EE">
        <w:rPr>
          <w:rFonts w:ascii="Tahoma" w:hAnsi="Tahoma" w:cs="Tahoma"/>
          <w:sz w:val="20"/>
          <w:szCs w:val="20"/>
        </w:rPr>
        <w:t>le</w:t>
      </w:r>
      <w:proofErr w:type="gramEnd"/>
      <w:r w:rsidRPr="00B004EE">
        <w:rPr>
          <w:rFonts w:ascii="Tahoma" w:hAnsi="Tahoma" w:cs="Tahoma"/>
          <w:sz w:val="20"/>
          <w:szCs w:val="20"/>
        </w:rPr>
        <w:t xml:space="preserve"> cas échéant, lors de toute opération de transformation appliquée à des sous-produits pêche et à des produits dérivés, les différents éléments de ces sous-produits et produits dérivés sont traités à une température adéquate pendant une période donnée, et toutes les mesures sont prises pour empêcher les risques de recontamination</w:t>
      </w:r>
      <w:r w:rsidR="00382E34" w:rsidRPr="00B004EE">
        <w:rPr>
          <w:rFonts w:ascii="Tahoma" w:hAnsi="Tahoma" w:cs="Tahoma"/>
          <w:sz w:val="20"/>
          <w:szCs w:val="20"/>
        </w:rPr>
        <w:t> ;</w:t>
      </w:r>
    </w:p>
    <w:p w14:paraId="329966F3" w14:textId="77777777" w:rsidR="007127C2" w:rsidRPr="00B004EE" w:rsidRDefault="007127C2" w:rsidP="00B004EE">
      <w:pPr>
        <w:pStyle w:val="Paragraphedeliste"/>
        <w:ind w:left="1134"/>
        <w:jc w:val="both"/>
        <w:rPr>
          <w:rFonts w:ascii="Tahoma" w:hAnsi="Tahoma" w:cs="Tahoma"/>
          <w:sz w:val="20"/>
          <w:szCs w:val="20"/>
        </w:rPr>
      </w:pPr>
    </w:p>
    <w:p w14:paraId="420F39FD" w14:textId="77777777" w:rsidR="007127C2" w:rsidRPr="00B004EE" w:rsidRDefault="007127C2" w:rsidP="00420DDA">
      <w:pPr>
        <w:pStyle w:val="Paragraphedeliste"/>
        <w:widowControl w:val="0"/>
        <w:numPr>
          <w:ilvl w:val="0"/>
          <w:numId w:val="97"/>
        </w:numPr>
        <w:jc w:val="both"/>
        <w:rPr>
          <w:rFonts w:ascii="Tahoma" w:hAnsi="Tahoma" w:cs="Tahoma"/>
          <w:sz w:val="20"/>
          <w:szCs w:val="20"/>
        </w:rPr>
      </w:pPr>
      <w:proofErr w:type="gramStart"/>
      <w:r w:rsidRPr="00B004EE">
        <w:rPr>
          <w:rFonts w:ascii="Tahoma" w:hAnsi="Tahoma" w:cs="Tahoma"/>
          <w:sz w:val="20"/>
          <w:szCs w:val="20"/>
        </w:rPr>
        <w:t>les</w:t>
      </w:r>
      <w:proofErr w:type="gramEnd"/>
      <w:r w:rsidRPr="00B004EE">
        <w:rPr>
          <w:rFonts w:ascii="Tahoma" w:hAnsi="Tahoma" w:cs="Tahoma"/>
          <w:sz w:val="20"/>
          <w:szCs w:val="20"/>
        </w:rPr>
        <w:t xml:space="preserve"> exploitants vérifient régulièrement les paramètres applicables, en particulier la température, la pression, la durée et la taille des particules, le cas échéant au moyen d'appareils automatiques;</w:t>
      </w:r>
    </w:p>
    <w:p w14:paraId="5D308436" w14:textId="77777777" w:rsidR="007127C2" w:rsidRPr="00B004EE" w:rsidRDefault="007127C2" w:rsidP="00420DDA">
      <w:pPr>
        <w:pStyle w:val="Paragraphedeliste"/>
        <w:widowControl w:val="0"/>
        <w:numPr>
          <w:ilvl w:val="0"/>
          <w:numId w:val="97"/>
        </w:numPr>
        <w:jc w:val="both"/>
        <w:rPr>
          <w:rFonts w:ascii="Tahoma" w:hAnsi="Tahoma" w:cs="Tahoma"/>
          <w:sz w:val="20"/>
          <w:szCs w:val="20"/>
        </w:rPr>
      </w:pPr>
      <w:proofErr w:type="gramStart"/>
      <w:r w:rsidRPr="00B004EE">
        <w:rPr>
          <w:rFonts w:ascii="Tahoma" w:hAnsi="Tahoma" w:cs="Tahoma"/>
          <w:sz w:val="20"/>
          <w:szCs w:val="20"/>
        </w:rPr>
        <w:t>les</w:t>
      </w:r>
      <w:proofErr w:type="gramEnd"/>
      <w:r w:rsidRPr="00B004EE">
        <w:rPr>
          <w:rFonts w:ascii="Tahoma" w:hAnsi="Tahoma" w:cs="Tahoma"/>
          <w:sz w:val="20"/>
          <w:szCs w:val="20"/>
        </w:rPr>
        <w:t xml:space="preserve"> procédures de nettoyage et les règles d'hygiène sont établies et consignées pour toutes les parties des établissements ou des usines.</w:t>
      </w:r>
    </w:p>
    <w:p w14:paraId="294CFBA3" w14:textId="77777777" w:rsidR="007127C2" w:rsidRPr="00B004EE" w:rsidRDefault="007127C2" w:rsidP="00B004EE">
      <w:pPr>
        <w:jc w:val="both"/>
        <w:rPr>
          <w:rFonts w:ascii="Tahoma" w:hAnsi="Tahoma" w:cs="Tahoma"/>
          <w:sz w:val="20"/>
          <w:szCs w:val="20"/>
        </w:rPr>
      </w:pPr>
    </w:p>
    <w:p w14:paraId="095E64E6" w14:textId="77777777" w:rsidR="007127C2" w:rsidRPr="00B004EE" w:rsidRDefault="007127C2" w:rsidP="00B004EE">
      <w:pPr>
        <w:rPr>
          <w:rFonts w:ascii="Tahoma" w:hAnsi="Tahoma" w:cs="Tahoma"/>
          <w:sz w:val="20"/>
          <w:szCs w:val="20"/>
        </w:rPr>
      </w:pPr>
      <w:r w:rsidRPr="00B004EE">
        <w:rPr>
          <w:rFonts w:ascii="Tahoma" w:hAnsi="Tahoma" w:cs="Tahoma"/>
          <w:sz w:val="20"/>
          <w:szCs w:val="20"/>
        </w:rPr>
        <w:t>Article 9 : Manipulation des sous-produits de pêche dans les entreprises du secteur alimentaire</w:t>
      </w:r>
    </w:p>
    <w:p w14:paraId="05518661" w14:textId="77777777" w:rsidR="007127C2" w:rsidRPr="00B004EE" w:rsidRDefault="007127C2" w:rsidP="00B004EE">
      <w:pPr>
        <w:jc w:val="both"/>
        <w:rPr>
          <w:rFonts w:ascii="Tahoma" w:hAnsi="Tahoma" w:cs="Tahoma"/>
          <w:sz w:val="20"/>
          <w:szCs w:val="20"/>
        </w:rPr>
      </w:pPr>
      <w:r w:rsidRPr="00B004EE">
        <w:rPr>
          <w:rFonts w:ascii="Tahoma" w:hAnsi="Tahoma" w:cs="Tahoma"/>
          <w:sz w:val="20"/>
          <w:szCs w:val="20"/>
        </w:rPr>
        <w:t>1. Le traitement, la transformation ou l'entreposage des sous-produits de pêche dans les établissements ou usines agréés ou enregistrés conformément au 2012-072, portant réglementation des règles sanitaires applicables aux sous-produits de pêche et produits dérivés non destinés à la consommation humaine.</w:t>
      </w:r>
    </w:p>
    <w:p w14:paraId="239CDAE8" w14:textId="77777777" w:rsidR="007127C2" w:rsidRPr="00B004EE" w:rsidRDefault="007127C2" w:rsidP="00B004EE">
      <w:pPr>
        <w:jc w:val="both"/>
        <w:outlineLvl w:val="0"/>
        <w:rPr>
          <w:rFonts w:ascii="Tahoma" w:hAnsi="Tahoma" w:cs="Tahoma"/>
          <w:sz w:val="20"/>
          <w:szCs w:val="20"/>
        </w:rPr>
      </w:pPr>
    </w:p>
    <w:p w14:paraId="5386BB70" w14:textId="77777777" w:rsidR="007127C2" w:rsidRPr="00B004EE" w:rsidRDefault="007127C2" w:rsidP="00B004EE">
      <w:pPr>
        <w:rPr>
          <w:rFonts w:ascii="Tahoma" w:hAnsi="Tahoma" w:cs="Tahoma"/>
          <w:sz w:val="20"/>
          <w:szCs w:val="20"/>
        </w:rPr>
      </w:pPr>
      <w:r w:rsidRPr="00B004EE">
        <w:rPr>
          <w:rFonts w:ascii="Tahoma" w:hAnsi="Tahoma" w:cs="Tahoma"/>
          <w:sz w:val="20"/>
          <w:szCs w:val="20"/>
        </w:rPr>
        <w:t>Article 10 : Mesures d'application</w:t>
      </w:r>
    </w:p>
    <w:p w14:paraId="72D1AAA0" w14:textId="77777777" w:rsidR="007127C2" w:rsidRPr="00B004EE" w:rsidRDefault="007127C2" w:rsidP="00B004EE">
      <w:pPr>
        <w:jc w:val="both"/>
        <w:rPr>
          <w:rFonts w:ascii="Tahoma" w:hAnsi="Tahoma" w:cs="Tahoma"/>
          <w:sz w:val="20"/>
          <w:szCs w:val="20"/>
        </w:rPr>
      </w:pPr>
      <w:r w:rsidRPr="00B004EE">
        <w:rPr>
          <w:rFonts w:ascii="Tahoma" w:hAnsi="Tahoma" w:cs="Tahoma"/>
          <w:sz w:val="20"/>
          <w:szCs w:val="20"/>
        </w:rPr>
        <w:t>Des mesures d'application de la présente section (section 2) et de la section 1du présent chapitre sont définies en ce qui concerne :</w:t>
      </w:r>
    </w:p>
    <w:p w14:paraId="708BAE63" w14:textId="77777777" w:rsidR="007127C2" w:rsidRPr="00B004EE" w:rsidRDefault="007127C2" w:rsidP="00420DDA">
      <w:pPr>
        <w:pStyle w:val="Paragraphedeliste"/>
        <w:widowControl w:val="0"/>
        <w:numPr>
          <w:ilvl w:val="0"/>
          <w:numId w:val="99"/>
        </w:numPr>
        <w:jc w:val="both"/>
        <w:rPr>
          <w:rFonts w:ascii="Tahoma" w:hAnsi="Tahoma" w:cs="Tahoma"/>
          <w:sz w:val="20"/>
          <w:szCs w:val="20"/>
        </w:rPr>
      </w:pPr>
      <w:proofErr w:type="gramStart"/>
      <w:r w:rsidRPr="00B004EE">
        <w:rPr>
          <w:rFonts w:ascii="Tahoma" w:hAnsi="Tahoma" w:cs="Tahoma"/>
          <w:sz w:val="20"/>
          <w:szCs w:val="20"/>
        </w:rPr>
        <w:t>les</w:t>
      </w:r>
      <w:proofErr w:type="gramEnd"/>
      <w:r w:rsidRPr="00B004EE">
        <w:rPr>
          <w:rFonts w:ascii="Tahoma" w:hAnsi="Tahoma" w:cs="Tahoma"/>
          <w:sz w:val="20"/>
          <w:szCs w:val="20"/>
        </w:rPr>
        <w:t xml:space="preserve"> prescriptions relatives aux infrastructures et aux équipements applicables à</w:t>
      </w:r>
    </w:p>
    <w:p w14:paraId="39AE0C51" w14:textId="77777777" w:rsidR="007127C2" w:rsidRPr="00B004EE" w:rsidRDefault="007127C2" w:rsidP="00420DDA">
      <w:pPr>
        <w:pStyle w:val="Paragraphedeliste"/>
        <w:widowControl w:val="0"/>
        <w:numPr>
          <w:ilvl w:val="0"/>
          <w:numId w:val="99"/>
        </w:numPr>
        <w:jc w:val="both"/>
        <w:rPr>
          <w:rFonts w:ascii="Tahoma" w:hAnsi="Tahoma" w:cs="Tahoma"/>
          <w:sz w:val="20"/>
          <w:szCs w:val="20"/>
        </w:rPr>
      </w:pPr>
      <w:proofErr w:type="gramStart"/>
      <w:r w:rsidRPr="00B004EE">
        <w:rPr>
          <w:rFonts w:ascii="Tahoma" w:hAnsi="Tahoma" w:cs="Tahoma"/>
          <w:sz w:val="20"/>
          <w:szCs w:val="20"/>
        </w:rPr>
        <w:t>l'intérieur</w:t>
      </w:r>
      <w:proofErr w:type="gramEnd"/>
      <w:r w:rsidRPr="00B004EE">
        <w:rPr>
          <w:rFonts w:ascii="Tahoma" w:hAnsi="Tahoma" w:cs="Tahoma"/>
          <w:sz w:val="20"/>
          <w:szCs w:val="20"/>
        </w:rPr>
        <w:t xml:space="preserve"> des établissements et des usines;</w:t>
      </w:r>
    </w:p>
    <w:p w14:paraId="651B5F1B" w14:textId="1B83801B" w:rsidR="007127C2" w:rsidRPr="00B004EE" w:rsidRDefault="007127C2" w:rsidP="00420DDA">
      <w:pPr>
        <w:pStyle w:val="Paragraphedeliste"/>
        <w:widowControl w:val="0"/>
        <w:numPr>
          <w:ilvl w:val="0"/>
          <w:numId w:val="99"/>
        </w:numPr>
        <w:jc w:val="both"/>
        <w:rPr>
          <w:rFonts w:ascii="Tahoma" w:hAnsi="Tahoma" w:cs="Tahoma"/>
          <w:sz w:val="20"/>
          <w:szCs w:val="20"/>
        </w:rPr>
      </w:pPr>
      <w:proofErr w:type="gramStart"/>
      <w:r w:rsidRPr="00B004EE">
        <w:rPr>
          <w:rFonts w:ascii="Tahoma" w:hAnsi="Tahoma" w:cs="Tahoma"/>
          <w:sz w:val="20"/>
          <w:szCs w:val="20"/>
        </w:rPr>
        <w:t>les</w:t>
      </w:r>
      <w:proofErr w:type="gramEnd"/>
      <w:r w:rsidRPr="00B004EE">
        <w:rPr>
          <w:rFonts w:ascii="Tahoma" w:hAnsi="Tahoma" w:cs="Tahoma"/>
          <w:sz w:val="20"/>
          <w:szCs w:val="20"/>
        </w:rPr>
        <w:t xml:space="preserve"> prescriptions d'hygiène applicables à tous les types de manipulation des sous-produits pêche et des produits dérivés, y compris les mesures modifiant ces prescriptions pour les établissements ou les usines visés à l'article 8, paragraphe</w:t>
      </w:r>
      <w:r w:rsidR="00A5129F" w:rsidRPr="00B004EE">
        <w:rPr>
          <w:rFonts w:ascii="Tahoma" w:hAnsi="Tahoma" w:cs="Tahoma"/>
          <w:sz w:val="20"/>
          <w:szCs w:val="20"/>
        </w:rPr>
        <w:t xml:space="preserve"> 1 ;</w:t>
      </w:r>
    </w:p>
    <w:p w14:paraId="661C8D49" w14:textId="77777777" w:rsidR="007127C2" w:rsidRPr="00B004EE" w:rsidRDefault="007127C2" w:rsidP="00420DDA">
      <w:pPr>
        <w:pStyle w:val="Paragraphedeliste"/>
        <w:widowControl w:val="0"/>
        <w:numPr>
          <w:ilvl w:val="0"/>
          <w:numId w:val="99"/>
        </w:numPr>
        <w:jc w:val="both"/>
        <w:rPr>
          <w:rFonts w:ascii="Tahoma" w:hAnsi="Tahoma" w:cs="Tahoma"/>
          <w:sz w:val="20"/>
          <w:szCs w:val="20"/>
        </w:rPr>
      </w:pPr>
      <w:proofErr w:type="gramStart"/>
      <w:r w:rsidRPr="00B004EE">
        <w:rPr>
          <w:rFonts w:ascii="Tahoma" w:hAnsi="Tahoma" w:cs="Tahoma"/>
          <w:sz w:val="20"/>
          <w:szCs w:val="20"/>
        </w:rPr>
        <w:t>les</w:t>
      </w:r>
      <w:proofErr w:type="gramEnd"/>
      <w:r w:rsidRPr="00B004EE">
        <w:rPr>
          <w:rFonts w:ascii="Tahoma" w:hAnsi="Tahoma" w:cs="Tahoma"/>
          <w:sz w:val="20"/>
          <w:szCs w:val="20"/>
        </w:rPr>
        <w:t xml:space="preserve"> conditions et les prescriptions techniques pour la manipulation, le traitement, la conversion, la transformation et l'entreposage des sous-produits pêche ou des produits dérivés, ainsi que les conditions applicables au traitement des eaux résiduaires.</w:t>
      </w:r>
    </w:p>
    <w:p w14:paraId="70651ABC" w14:textId="77777777" w:rsidR="007127C2" w:rsidRPr="00B004EE" w:rsidRDefault="007127C2" w:rsidP="00420DDA">
      <w:pPr>
        <w:pStyle w:val="Paragraphedeliste"/>
        <w:widowControl w:val="0"/>
        <w:numPr>
          <w:ilvl w:val="0"/>
          <w:numId w:val="99"/>
        </w:numPr>
        <w:jc w:val="both"/>
        <w:rPr>
          <w:rFonts w:ascii="Tahoma" w:hAnsi="Tahoma" w:cs="Tahoma"/>
          <w:sz w:val="20"/>
          <w:szCs w:val="20"/>
        </w:rPr>
      </w:pPr>
      <w:proofErr w:type="gramStart"/>
      <w:r w:rsidRPr="00B004EE">
        <w:rPr>
          <w:rFonts w:ascii="Tahoma" w:hAnsi="Tahoma" w:cs="Tahoma"/>
          <w:sz w:val="20"/>
          <w:szCs w:val="20"/>
        </w:rPr>
        <w:t>les</w:t>
      </w:r>
      <w:proofErr w:type="gramEnd"/>
      <w:r w:rsidRPr="00B004EE">
        <w:rPr>
          <w:rFonts w:ascii="Tahoma" w:hAnsi="Tahoma" w:cs="Tahoma"/>
          <w:sz w:val="20"/>
          <w:szCs w:val="20"/>
        </w:rPr>
        <w:t xml:space="preserve"> preuves à présenter par l'exploitant pour obtenir la validation des opérations de traitement, de conversion et de transformation des sous-produits pêche ou des produits dérivés, quant à leur capacité à prévenir les risques pour la santé publique et animale;</w:t>
      </w:r>
    </w:p>
    <w:p w14:paraId="71BF89BE" w14:textId="77777777" w:rsidR="007127C2" w:rsidRPr="00B004EE" w:rsidRDefault="007127C2" w:rsidP="00B004EE">
      <w:pPr>
        <w:pStyle w:val="Paragraphedeliste"/>
        <w:ind w:left="720"/>
        <w:jc w:val="both"/>
        <w:rPr>
          <w:rFonts w:ascii="Tahoma" w:hAnsi="Tahoma" w:cs="Tahoma"/>
          <w:sz w:val="20"/>
          <w:szCs w:val="20"/>
        </w:rPr>
      </w:pPr>
    </w:p>
    <w:p w14:paraId="313C3F96" w14:textId="459C678D" w:rsidR="007127C2" w:rsidRPr="00B004EE" w:rsidRDefault="007127C2" w:rsidP="00B004EE">
      <w:pPr>
        <w:jc w:val="center"/>
        <w:rPr>
          <w:rFonts w:ascii="Tahoma" w:hAnsi="Tahoma" w:cs="Tahoma"/>
          <w:b/>
          <w:bCs/>
          <w:sz w:val="20"/>
          <w:szCs w:val="20"/>
        </w:rPr>
      </w:pPr>
      <w:r w:rsidRPr="00B004EE">
        <w:rPr>
          <w:rFonts w:ascii="Tahoma" w:hAnsi="Tahoma" w:cs="Tahoma"/>
          <w:b/>
          <w:bCs/>
          <w:sz w:val="20"/>
          <w:szCs w:val="20"/>
        </w:rPr>
        <w:t>Section 3</w:t>
      </w:r>
      <w:r w:rsidR="00382E34" w:rsidRPr="00B004EE">
        <w:rPr>
          <w:rFonts w:ascii="Tahoma" w:hAnsi="Tahoma" w:cs="Tahoma"/>
          <w:b/>
          <w:bCs/>
          <w:sz w:val="20"/>
          <w:szCs w:val="20"/>
        </w:rPr>
        <w:t xml:space="preserve"> : </w:t>
      </w:r>
      <w:r w:rsidRPr="00B004EE">
        <w:rPr>
          <w:rFonts w:ascii="Tahoma" w:hAnsi="Tahoma" w:cs="Tahoma"/>
          <w:b/>
          <w:bCs/>
          <w:sz w:val="20"/>
          <w:szCs w:val="20"/>
        </w:rPr>
        <w:t>Autocontrôles, analyse des risques et maîtrise des points critiques</w:t>
      </w:r>
    </w:p>
    <w:p w14:paraId="6F603648" w14:textId="77777777" w:rsidR="007127C2" w:rsidRPr="00B004EE" w:rsidRDefault="007127C2" w:rsidP="00B004EE">
      <w:pPr>
        <w:jc w:val="both"/>
        <w:outlineLvl w:val="0"/>
        <w:rPr>
          <w:rFonts w:ascii="Tahoma" w:hAnsi="Tahoma" w:cs="Tahoma"/>
          <w:b/>
          <w:bCs/>
          <w:sz w:val="20"/>
          <w:szCs w:val="20"/>
        </w:rPr>
      </w:pPr>
    </w:p>
    <w:p w14:paraId="590F4B5C" w14:textId="77777777" w:rsidR="007127C2" w:rsidRPr="00B004EE" w:rsidRDefault="007127C2" w:rsidP="00B004EE">
      <w:pPr>
        <w:rPr>
          <w:rFonts w:ascii="Tahoma" w:hAnsi="Tahoma" w:cs="Tahoma"/>
          <w:sz w:val="20"/>
          <w:szCs w:val="20"/>
        </w:rPr>
      </w:pPr>
      <w:r w:rsidRPr="00B004EE">
        <w:rPr>
          <w:rFonts w:ascii="Tahoma" w:hAnsi="Tahoma" w:cs="Tahoma"/>
          <w:sz w:val="20"/>
          <w:szCs w:val="20"/>
        </w:rPr>
        <w:t>Article 11 : Autocontrôles</w:t>
      </w:r>
    </w:p>
    <w:p w14:paraId="3ACAF525" w14:textId="77777777" w:rsidR="007127C2" w:rsidRPr="00B004EE" w:rsidRDefault="007127C2" w:rsidP="00B004EE">
      <w:pPr>
        <w:jc w:val="both"/>
        <w:rPr>
          <w:rFonts w:ascii="Tahoma" w:hAnsi="Tahoma" w:cs="Tahoma"/>
          <w:sz w:val="20"/>
          <w:szCs w:val="20"/>
        </w:rPr>
      </w:pPr>
      <w:r w:rsidRPr="00B004EE">
        <w:rPr>
          <w:rFonts w:ascii="Tahoma" w:hAnsi="Tahoma" w:cs="Tahoma"/>
          <w:sz w:val="20"/>
          <w:szCs w:val="20"/>
        </w:rPr>
        <w:t>Les exploitants mettent en place, appliquent et maintiennent des autocontrôles dans leurs établissements ou leurs usines afin de surveiller le respect du présent arrêté. Ils veillent à ce qu'aucun sous-produit pêche ou produit dérivé non conforme au présent arrêté ou suspecté de non-conformité avec ce dernier ne sorte de l'établissement ou de l'usine, hormis à des fins d'élimination.</w:t>
      </w:r>
    </w:p>
    <w:p w14:paraId="172B556D" w14:textId="77777777" w:rsidR="007127C2" w:rsidRPr="00B004EE" w:rsidRDefault="007127C2" w:rsidP="00B004EE">
      <w:pPr>
        <w:jc w:val="both"/>
        <w:outlineLvl w:val="0"/>
        <w:rPr>
          <w:rFonts w:ascii="Tahoma" w:hAnsi="Tahoma" w:cs="Tahoma"/>
          <w:sz w:val="20"/>
          <w:szCs w:val="20"/>
        </w:rPr>
      </w:pPr>
    </w:p>
    <w:p w14:paraId="7478E6EC" w14:textId="77777777" w:rsidR="007127C2" w:rsidRPr="00B004EE" w:rsidRDefault="007127C2" w:rsidP="00B004EE">
      <w:pPr>
        <w:rPr>
          <w:rFonts w:ascii="Tahoma" w:hAnsi="Tahoma" w:cs="Tahoma"/>
          <w:sz w:val="20"/>
          <w:szCs w:val="20"/>
        </w:rPr>
      </w:pPr>
      <w:r w:rsidRPr="00B004EE">
        <w:rPr>
          <w:rFonts w:ascii="Tahoma" w:hAnsi="Tahoma" w:cs="Tahoma"/>
          <w:sz w:val="20"/>
          <w:szCs w:val="20"/>
        </w:rPr>
        <w:t>Article 12 : Analyse des risques et maîtrise des points critiques</w:t>
      </w:r>
    </w:p>
    <w:p w14:paraId="5D3FF201" w14:textId="090FF144" w:rsidR="007127C2" w:rsidRPr="00B004EE" w:rsidRDefault="007127C2" w:rsidP="00B004EE">
      <w:pPr>
        <w:jc w:val="both"/>
        <w:rPr>
          <w:rFonts w:ascii="Tahoma" w:hAnsi="Tahoma" w:cs="Tahoma"/>
          <w:sz w:val="20"/>
          <w:szCs w:val="20"/>
        </w:rPr>
      </w:pPr>
      <w:r w:rsidRPr="00B004EE">
        <w:rPr>
          <w:rFonts w:ascii="Tahoma" w:hAnsi="Tahoma" w:cs="Tahoma"/>
          <w:sz w:val="20"/>
          <w:szCs w:val="20"/>
        </w:rPr>
        <w:t xml:space="preserve">Les exploitants qui effectuent une ou plusieurs des activités suivantes mettent en place, appliquent et maintiennent une ou plusieurs procédures écrites permanentes sur la base des principes d'analyse des risques et de maîtrise des points critiques (HACCP) </w:t>
      </w:r>
      <w:r w:rsidR="00382E34" w:rsidRPr="00B004EE">
        <w:rPr>
          <w:rFonts w:ascii="Tahoma" w:hAnsi="Tahoma" w:cs="Tahoma"/>
          <w:sz w:val="20"/>
          <w:szCs w:val="20"/>
        </w:rPr>
        <w:t>pour :</w:t>
      </w:r>
    </w:p>
    <w:p w14:paraId="7933FD61" w14:textId="77777777" w:rsidR="007127C2" w:rsidRPr="00B004EE" w:rsidRDefault="007127C2" w:rsidP="00420DDA">
      <w:pPr>
        <w:pStyle w:val="Paragraphedeliste"/>
        <w:widowControl w:val="0"/>
        <w:numPr>
          <w:ilvl w:val="0"/>
          <w:numId w:val="100"/>
        </w:numPr>
        <w:jc w:val="both"/>
        <w:rPr>
          <w:rFonts w:ascii="Tahoma" w:hAnsi="Tahoma" w:cs="Tahoma"/>
          <w:sz w:val="20"/>
          <w:szCs w:val="20"/>
        </w:rPr>
      </w:pPr>
      <w:proofErr w:type="gramStart"/>
      <w:r w:rsidRPr="00B004EE">
        <w:rPr>
          <w:rFonts w:ascii="Tahoma" w:hAnsi="Tahoma" w:cs="Tahoma"/>
          <w:sz w:val="20"/>
          <w:szCs w:val="20"/>
        </w:rPr>
        <w:t>la</w:t>
      </w:r>
      <w:proofErr w:type="gramEnd"/>
      <w:r w:rsidRPr="00B004EE">
        <w:rPr>
          <w:rFonts w:ascii="Tahoma" w:hAnsi="Tahoma" w:cs="Tahoma"/>
          <w:sz w:val="20"/>
          <w:szCs w:val="20"/>
        </w:rPr>
        <w:t xml:space="preserve"> transformation de sous-produits pêche;</w:t>
      </w:r>
    </w:p>
    <w:p w14:paraId="5A8C7D74" w14:textId="77777777" w:rsidR="007127C2" w:rsidRPr="00B004EE" w:rsidRDefault="007127C2" w:rsidP="00420DDA">
      <w:pPr>
        <w:pStyle w:val="Paragraphedeliste"/>
        <w:widowControl w:val="0"/>
        <w:numPr>
          <w:ilvl w:val="0"/>
          <w:numId w:val="100"/>
        </w:numPr>
        <w:jc w:val="both"/>
        <w:rPr>
          <w:rFonts w:ascii="Tahoma" w:hAnsi="Tahoma" w:cs="Tahoma"/>
          <w:sz w:val="20"/>
          <w:szCs w:val="20"/>
        </w:rPr>
      </w:pPr>
      <w:proofErr w:type="gramStart"/>
      <w:r w:rsidRPr="00B004EE">
        <w:rPr>
          <w:rFonts w:ascii="Tahoma" w:hAnsi="Tahoma" w:cs="Tahoma"/>
          <w:sz w:val="20"/>
          <w:szCs w:val="20"/>
        </w:rPr>
        <w:t>la</w:t>
      </w:r>
      <w:proofErr w:type="gramEnd"/>
      <w:r w:rsidRPr="00B004EE">
        <w:rPr>
          <w:rFonts w:ascii="Tahoma" w:hAnsi="Tahoma" w:cs="Tahoma"/>
          <w:sz w:val="20"/>
          <w:szCs w:val="20"/>
        </w:rPr>
        <w:t xml:space="preserve"> manipulation et l'entreposage de plusieurs catégories de sous-produits pêche ou de produits dérivés au sein d'un même établissement ou d'une même usine;</w:t>
      </w:r>
    </w:p>
    <w:p w14:paraId="5AB5B7DC" w14:textId="77777777" w:rsidR="007127C2" w:rsidRPr="00B004EE" w:rsidRDefault="007127C2" w:rsidP="00B004EE">
      <w:pPr>
        <w:jc w:val="both"/>
        <w:outlineLvl w:val="0"/>
        <w:rPr>
          <w:rFonts w:ascii="Tahoma" w:hAnsi="Tahoma" w:cs="Tahoma"/>
          <w:sz w:val="20"/>
          <w:szCs w:val="20"/>
        </w:rPr>
      </w:pPr>
    </w:p>
    <w:p w14:paraId="085B6245" w14:textId="77777777" w:rsidR="007127C2" w:rsidRPr="00B004EE" w:rsidRDefault="007127C2" w:rsidP="00B004EE">
      <w:pPr>
        <w:rPr>
          <w:rFonts w:ascii="Tahoma" w:hAnsi="Tahoma" w:cs="Tahoma"/>
          <w:sz w:val="20"/>
          <w:szCs w:val="20"/>
        </w:rPr>
      </w:pPr>
      <w:r w:rsidRPr="00B004EE">
        <w:rPr>
          <w:rFonts w:ascii="Tahoma" w:hAnsi="Tahoma" w:cs="Tahoma"/>
          <w:sz w:val="20"/>
          <w:szCs w:val="20"/>
        </w:rPr>
        <w:t>Article 13 : Guides nationaux de bonnes pratiques</w:t>
      </w:r>
    </w:p>
    <w:p w14:paraId="34D5A165" w14:textId="77777777" w:rsidR="007127C2" w:rsidRPr="00B004EE" w:rsidRDefault="007127C2" w:rsidP="00B004EE">
      <w:pPr>
        <w:jc w:val="both"/>
        <w:rPr>
          <w:rFonts w:ascii="Tahoma" w:hAnsi="Tahoma" w:cs="Tahoma"/>
          <w:sz w:val="20"/>
          <w:szCs w:val="20"/>
        </w:rPr>
      </w:pPr>
      <w:r w:rsidRPr="00B004EE">
        <w:rPr>
          <w:rFonts w:ascii="Tahoma" w:hAnsi="Tahoma" w:cs="Tahoma"/>
          <w:sz w:val="20"/>
          <w:szCs w:val="20"/>
        </w:rPr>
        <w:t>1. Si nécessaire, les autorités compétentes encouragent l'élaboration, la diffusion et l'utilisation volontaire de guides nationaux de bonnes pratiques, en particulier en vue de la mise en œuvre des principes HACCP visés à l'article 12. Les exploitants peuvent utiliser ces guides sur une base volontaire.</w:t>
      </w:r>
    </w:p>
    <w:p w14:paraId="029D7F9B" w14:textId="437BAA62" w:rsidR="007127C2" w:rsidRPr="00B004EE" w:rsidRDefault="007127C2" w:rsidP="00B004EE">
      <w:pPr>
        <w:jc w:val="both"/>
        <w:rPr>
          <w:rFonts w:ascii="Tahoma" w:hAnsi="Tahoma" w:cs="Tahoma"/>
          <w:sz w:val="20"/>
          <w:szCs w:val="20"/>
        </w:rPr>
      </w:pPr>
      <w:r w:rsidRPr="00B004EE">
        <w:rPr>
          <w:rFonts w:ascii="Tahoma" w:hAnsi="Tahoma" w:cs="Tahoma"/>
          <w:sz w:val="20"/>
          <w:szCs w:val="20"/>
        </w:rPr>
        <w:t xml:space="preserve">2. L'autorité compétente évalue les guides nationaux de façon à </w:t>
      </w:r>
      <w:r w:rsidR="00382E34" w:rsidRPr="00B004EE">
        <w:rPr>
          <w:rFonts w:ascii="Tahoma" w:hAnsi="Tahoma" w:cs="Tahoma"/>
          <w:sz w:val="20"/>
          <w:szCs w:val="20"/>
        </w:rPr>
        <w:t>garantir :</w:t>
      </w:r>
    </w:p>
    <w:p w14:paraId="6F34FD9A" w14:textId="77777777" w:rsidR="007127C2" w:rsidRPr="00B004EE" w:rsidRDefault="007127C2" w:rsidP="00420DDA">
      <w:pPr>
        <w:pStyle w:val="Paragraphedeliste"/>
        <w:widowControl w:val="0"/>
        <w:numPr>
          <w:ilvl w:val="0"/>
          <w:numId w:val="101"/>
        </w:numPr>
        <w:jc w:val="both"/>
        <w:rPr>
          <w:rFonts w:ascii="Tahoma" w:hAnsi="Tahoma" w:cs="Tahoma"/>
          <w:sz w:val="20"/>
          <w:szCs w:val="20"/>
        </w:rPr>
      </w:pPr>
      <w:proofErr w:type="gramStart"/>
      <w:r w:rsidRPr="00B004EE">
        <w:rPr>
          <w:rFonts w:ascii="Tahoma" w:hAnsi="Tahoma" w:cs="Tahoma"/>
          <w:sz w:val="20"/>
          <w:szCs w:val="20"/>
        </w:rPr>
        <w:t>qu'ils</w:t>
      </w:r>
      <w:proofErr w:type="gramEnd"/>
      <w:r w:rsidRPr="00B004EE">
        <w:rPr>
          <w:rFonts w:ascii="Tahoma" w:hAnsi="Tahoma" w:cs="Tahoma"/>
          <w:sz w:val="20"/>
          <w:szCs w:val="20"/>
        </w:rPr>
        <w:t xml:space="preserve"> ont été rédigés en concertation avec des représentants des parties dont les intérêts peuvent être affectés substantiellement et qu'ils ont été diffusés aux exploitants par secteur; et</w:t>
      </w:r>
    </w:p>
    <w:p w14:paraId="5EF1E1CD" w14:textId="77777777" w:rsidR="007127C2" w:rsidRPr="00B004EE" w:rsidRDefault="007127C2" w:rsidP="00420DDA">
      <w:pPr>
        <w:pStyle w:val="Paragraphedeliste"/>
        <w:widowControl w:val="0"/>
        <w:numPr>
          <w:ilvl w:val="0"/>
          <w:numId w:val="101"/>
        </w:numPr>
        <w:jc w:val="both"/>
        <w:rPr>
          <w:rFonts w:ascii="Tahoma" w:hAnsi="Tahoma" w:cs="Tahoma"/>
          <w:sz w:val="20"/>
          <w:szCs w:val="20"/>
        </w:rPr>
      </w:pPr>
      <w:proofErr w:type="gramStart"/>
      <w:r w:rsidRPr="00B004EE">
        <w:rPr>
          <w:rFonts w:ascii="Tahoma" w:hAnsi="Tahoma" w:cs="Tahoma"/>
          <w:sz w:val="20"/>
          <w:szCs w:val="20"/>
        </w:rPr>
        <w:t>que</w:t>
      </w:r>
      <w:proofErr w:type="gramEnd"/>
      <w:r w:rsidRPr="00B004EE">
        <w:rPr>
          <w:rFonts w:ascii="Tahoma" w:hAnsi="Tahoma" w:cs="Tahoma"/>
          <w:sz w:val="20"/>
          <w:szCs w:val="20"/>
        </w:rPr>
        <w:t xml:space="preserve"> leur contenu peut être mis en pratique dans les secteurs auxquels ils se réfèrent.</w:t>
      </w:r>
    </w:p>
    <w:p w14:paraId="007052C3" w14:textId="77777777" w:rsidR="007127C2" w:rsidRPr="00B004EE" w:rsidRDefault="007127C2" w:rsidP="00B004EE">
      <w:pPr>
        <w:jc w:val="both"/>
        <w:outlineLvl w:val="0"/>
        <w:rPr>
          <w:rFonts w:ascii="Tahoma" w:hAnsi="Tahoma" w:cs="Tahoma"/>
          <w:sz w:val="20"/>
          <w:szCs w:val="20"/>
        </w:rPr>
      </w:pPr>
    </w:p>
    <w:p w14:paraId="7023BBC8" w14:textId="77777777" w:rsidR="007127C2" w:rsidRPr="00B004EE" w:rsidRDefault="007127C2" w:rsidP="00B004EE">
      <w:pPr>
        <w:rPr>
          <w:rFonts w:ascii="Tahoma" w:hAnsi="Tahoma" w:cs="Tahoma"/>
          <w:sz w:val="20"/>
          <w:szCs w:val="20"/>
        </w:rPr>
      </w:pPr>
      <w:r w:rsidRPr="00B004EE">
        <w:rPr>
          <w:rFonts w:ascii="Tahoma" w:hAnsi="Tahoma" w:cs="Tahoma"/>
          <w:sz w:val="20"/>
          <w:szCs w:val="20"/>
        </w:rPr>
        <w:t>Article 14 : Sûreté de l'approvisionnement</w:t>
      </w:r>
    </w:p>
    <w:p w14:paraId="25E7E9A9" w14:textId="46064F00" w:rsidR="007127C2" w:rsidRPr="00B004EE" w:rsidRDefault="007127C2" w:rsidP="00B004EE">
      <w:pPr>
        <w:jc w:val="both"/>
        <w:rPr>
          <w:rFonts w:ascii="Tahoma" w:hAnsi="Tahoma" w:cs="Tahoma"/>
          <w:sz w:val="20"/>
          <w:szCs w:val="20"/>
        </w:rPr>
      </w:pPr>
      <w:r w:rsidRPr="00B004EE">
        <w:rPr>
          <w:rFonts w:ascii="Tahoma" w:hAnsi="Tahoma" w:cs="Tahoma"/>
          <w:sz w:val="20"/>
          <w:szCs w:val="20"/>
        </w:rPr>
        <w:t xml:space="preserve">Un approvisionnement sûr implique notamment d'utiliser des </w:t>
      </w:r>
      <w:r w:rsidR="00382E34" w:rsidRPr="00B004EE">
        <w:rPr>
          <w:rFonts w:ascii="Tahoma" w:hAnsi="Tahoma" w:cs="Tahoma"/>
          <w:sz w:val="20"/>
          <w:szCs w:val="20"/>
        </w:rPr>
        <w:t>matières :</w:t>
      </w:r>
    </w:p>
    <w:p w14:paraId="4CFBBD1A" w14:textId="77777777" w:rsidR="007127C2" w:rsidRPr="00B004EE" w:rsidRDefault="007127C2" w:rsidP="00420DDA">
      <w:pPr>
        <w:pStyle w:val="Paragraphedeliste"/>
        <w:widowControl w:val="0"/>
        <w:numPr>
          <w:ilvl w:val="0"/>
          <w:numId w:val="102"/>
        </w:numPr>
        <w:jc w:val="both"/>
        <w:rPr>
          <w:rFonts w:ascii="Tahoma" w:hAnsi="Tahoma" w:cs="Tahoma"/>
          <w:sz w:val="20"/>
          <w:szCs w:val="20"/>
        </w:rPr>
      </w:pPr>
      <w:proofErr w:type="gramStart"/>
      <w:r w:rsidRPr="00B004EE">
        <w:rPr>
          <w:rFonts w:ascii="Tahoma" w:hAnsi="Tahoma" w:cs="Tahoma"/>
          <w:sz w:val="20"/>
          <w:szCs w:val="20"/>
        </w:rPr>
        <w:t>ne</w:t>
      </w:r>
      <w:proofErr w:type="gramEnd"/>
      <w:r w:rsidRPr="00B004EE">
        <w:rPr>
          <w:rFonts w:ascii="Tahoma" w:hAnsi="Tahoma" w:cs="Tahoma"/>
          <w:sz w:val="20"/>
          <w:szCs w:val="20"/>
        </w:rPr>
        <w:t xml:space="preserve"> comportant aucun risque inacceptable pour la santé publique et animale;</w:t>
      </w:r>
    </w:p>
    <w:p w14:paraId="70927DF0" w14:textId="77777777" w:rsidR="007127C2" w:rsidRPr="00B004EE" w:rsidRDefault="007127C2" w:rsidP="00420DDA">
      <w:pPr>
        <w:pStyle w:val="Paragraphedeliste"/>
        <w:widowControl w:val="0"/>
        <w:numPr>
          <w:ilvl w:val="0"/>
          <w:numId w:val="102"/>
        </w:numPr>
        <w:jc w:val="both"/>
        <w:rPr>
          <w:rFonts w:ascii="Tahoma" w:hAnsi="Tahoma" w:cs="Tahoma"/>
          <w:sz w:val="20"/>
          <w:szCs w:val="20"/>
        </w:rPr>
      </w:pPr>
      <w:proofErr w:type="gramStart"/>
      <w:r w:rsidRPr="00B004EE">
        <w:rPr>
          <w:rFonts w:ascii="Tahoma" w:hAnsi="Tahoma" w:cs="Tahoma"/>
          <w:sz w:val="20"/>
          <w:szCs w:val="20"/>
        </w:rPr>
        <w:t>qui</w:t>
      </w:r>
      <w:proofErr w:type="gramEnd"/>
      <w:r w:rsidRPr="00B004EE">
        <w:rPr>
          <w:rFonts w:ascii="Tahoma" w:hAnsi="Tahoma" w:cs="Tahoma"/>
          <w:sz w:val="20"/>
          <w:szCs w:val="20"/>
        </w:rPr>
        <w:t xml:space="preserve"> ont été collectées et transportées du point de collecte à l'établissement ou à l'usine de fabrication dans des conditions excluant les risques pour la santé publique et animale.</w:t>
      </w:r>
    </w:p>
    <w:p w14:paraId="3EF644D1" w14:textId="77777777" w:rsidR="007127C2" w:rsidRPr="00B004EE" w:rsidRDefault="007127C2" w:rsidP="00B004EE">
      <w:pPr>
        <w:jc w:val="both"/>
        <w:outlineLvl w:val="0"/>
        <w:rPr>
          <w:rFonts w:ascii="Tahoma" w:hAnsi="Tahoma" w:cs="Tahoma"/>
          <w:sz w:val="20"/>
          <w:szCs w:val="20"/>
        </w:rPr>
      </w:pPr>
    </w:p>
    <w:p w14:paraId="08BADDAC" w14:textId="77777777" w:rsidR="007127C2" w:rsidRPr="00B004EE" w:rsidRDefault="007127C2" w:rsidP="00B004EE">
      <w:pPr>
        <w:rPr>
          <w:rFonts w:ascii="Tahoma" w:hAnsi="Tahoma" w:cs="Tahoma"/>
          <w:sz w:val="20"/>
          <w:szCs w:val="20"/>
        </w:rPr>
      </w:pPr>
      <w:r w:rsidRPr="00B004EE">
        <w:rPr>
          <w:rFonts w:ascii="Tahoma" w:hAnsi="Tahoma" w:cs="Tahoma"/>
          <w:sz w:val="20"/>
          <w:szCs w:val="20"/>
        </w:rPr>
        <w:t>Article 15 : Sûreté du traitement</w:t>
      </w:r>
    </w:p>
    <w:p w14:paraId="03D6B780" w14:textId="77777777" w:rsidR="007127C2" w:rsidRPr="00B004EE" w:rsidRDefault="007127C2" w:rsidP="00B004EE">
      <w:pPr>
        <w:jc w:val="both"/>
        <w:rPr>
          <w:rFonts w:ascii="Tahoma" w:hAnsi="Tahoma" w:cs="Tahoma"/>
          <w:sz w:val="20"/>
          <w:szCs w:val="20"/>
        </w:rPr>
      </w:pPr>
      <w:r w:rsidRPr="00B004EE">
        <w:rPr>
          <w:rFonts w:ascii="Tahoma" w:hAnsi="Tahoma" w:cs="Tahoma"/>
          <w:sz w:val="20"/>
          <w:szCs w:val="20"/>
        </w:rPr>
        <w:t>Un traitement sûr implique notamment l'application, aux matières utilisées, d'un procédé de fabrication qui réduit à un niveau acceptable les risques pour la santé publique et animale émanant de ces matières ou d'autres substances résultant du procédé de fabrication.</w:t>
      </w:r>
    </w:p>
    <w:p w14:paraId="5F4A5CD3" w14:textId="77777777" w:rsidR="007127C2" w:rsidRPr="00B004EE" w:rsidRDefault="007127C2" w:rsidP="00B004EE">
      <w:pPr>
        <w:jc w:val="both"/>
        <w:rPr>
          <w:rFonts w:ascii="Tahoma" w:hAnsi="Tahoma" w:cs="Tahoma"/>
          <w:sz w:val="20"/>
          <w:szCs w:val="20"/>
        </w:rPr>
      </w:pPr>
      <w:r w:rsidRPr="00B004EE">
        <w:rPr>
          <w:rFonts w:ascii="Tahoma" w:hAnsi="Tahoma" w:cs="Tahoma"/>
          <w:sz w:val="20"/>
          <w:szCs w:val="20"/>
        </w:rPr>
        <w:t>Il convient de veiller à ce que les produits dérivés ne comportent aucun risque inacceptable pour la santé publique et animale, notamment en testant le produit final.</w:t>
      </w:r>
    </w:p>
    <w:p w14:paraId="42D7F4C0" w14:textId="77777777" w:rsidR="007127C2" w:rsidRPr="00B004EE" w:rsidRDefault="007127C2" w:rsidP="00B004EE">
      <w:pPr>
        <w:jc w:val="both"/>
        <w:rPr>
          <w:rFonts w:ascii="Tahoma" w:hAnsi="Tahoma" w:cs="Tahoma"/>
          <w:sz w:val="20"/>
          <w:szCs w:val="20"/>
        </w:rPr>
      </w:pPr>
    </w:p>
    <w:p w14:paraId="1EB9BC14" w14:textId="4B29888F" w:rsidR="007127C2" w:rsidRPr="00B004EE" w:rsidRDefault="007127C2" w:rsidP="00B004EE">
      <w:pPr>
        <w:jc w:val="center"/>
        <w:rPr>
          <w:rFonts w:ascii="Tahoma" w:hAnsi="Tahoma" w:cs="Tahoma"/>
          <w:b/>
          <w:bCs/>
          <w:sz w:val="20"/>
          <w:szCs w:val="20"/>
        </w:rPr>
      </w:pPr>
      <w:r w:rsidRPr="00B004EE">
        <w:rPr>
          <w:rFonts w:ascii="Tahoma" w:hAnsi="Tahoma" w:cs="Tahoma"/>
          <w:b/>
          <w:bCs/>
          <w:sz w:val="20"/>
          <w:szCs w:val="20"/>
        </w:rPr>
        <w:t xml:space="preserve">TITRE </w:t>
      </w:r>
      <w:r w:rsidR="00A5129F" w:rsidRPr="00B004EE">
        <w:rPr>
          <w:rFonts w:ascii="Tahoma" w:hAnsi="Tahoma" w:cs="Tahoma"/>
          <w:b/>
          <w:bCs/>
          <w:sz w:val="20"/>
          <w:szCs w:val="20"/>
        </w:rPr>
        <w:t xml:space="preserve">III : </w:t>
      </w:r>
      <w:r w:rsidRPr="00B004EE">
        <w:rPr>
          <w:rFonts w:ascii="Tahoma" w:hAnsi="Tahoma" w:cs="Tahoma"/>
          <w:b/>
          <w:bCs/>
          <w:sz w:val="20"/>
          <w:szCs w:val="20"/>
        </w:rPr>
        <w:t xml:space="preserve">CONTRÔLES OFFICIELS ET DISPOSITIONS FINALES </w:t>
      </w:r>
    </w:p>
    <w:p w14:paraId="56711E36" w14:textId="77777777" w:rsidR="007127C2" w:rsidRPr="00B004EE" w:rsidRDefault="007127C2" w:rsidP="00B004EE">
      <w:pPr>
        <w:jc w:val="center"/>
        <w:rPr>
          <w:rFonts w:ascii="Tahoma" w:hAnsi="Tahoma" w:cs="Tahoma"/>
          <w:b/>
          <w:bCs/>
          <w:sz w:val="20"/>
          <w:szCs w:val="20"/>
        </w:rPr>
      </w:pPr>
    </w:p>
    <w:p w14:paraId="51E69022" w14:textId="50188A68" w:rsidR="007127C2" w:rsidRPr="00B004EE" w:rsidRDefault="007127C2" w:rsidP="00B004EE">
      <w:pPr>
        <w:jc w:val="center"/>
        <w:rPr>
          <w:rFonts w:ascii="Tahoma" w:hAnsi="Tahoma" w:cs="Tahoma"/>
          <w:b/>
          <w:bCs/>
          <w:sz w:val="20"/>
          <w:szCs w:val="20"/>
        </w:rPr>
      </w:pPr>
      <w:r w:rsidRPr="00B004EE">
        <w:rPr>
          <w:rFonts w:ascii="Tahoma" w:hAnsi="Tahoma" w:cs="Tahoma"/>
          <w:b/>
          <w:bCs/>
          <w:sz w:val="20"/>
          <w:szCs w:val="20"/>
        </w:rPr>
        <w:t>CHAPITRE I</w:t>
      </w:r>
      <w:r w:rsidR="00A5129F" w:rsidRPr="00B004EE">
        <w:rPr>
          <w:rFonts w:ascii="Tahoma" w:hAnsi="Tahoma" w:cs="Tahoma"/>
          <w:b/>
          <w:bCs/>
          <w:sz w:val="20"/>
          <w:szCs w:val="20"/>
        </w:rPr>
        <w:t xml:space="preserve"> : </w:t>
      </w:r>
      <w:r w:rsidRPr="00B004EE">
        <w:rPr>
          <w:rFonts w:ascii="Tahoma" w:hAnsi="Tahoma" w:cs="Tahoma"/>
          <w:b/>
          <w:bCs/>
          <w:sz w:val="20"/>
          <w:szCs w:val="20"/>
        </w:rPr>
        <w:t>Contrôles officiels</w:t>
      </w:r>
    </w:p>
    <w:p w14:paraId="15343A7A" w14:textId="77777777" w:rsidR="007127C2" w:rsidRPr="00B004EE" w:rsidRDefault="007127C2" w:rsidP="00B004EE">
      <w:pPr>
        <w:jc w:val="center"/>
        <w:rPr>
          <w:rFonts w:ascii="Tahoma" w:hAnsi="Tahoma" w:cs="Tahoma"/>
          <w:b/>
          <w:bCs/>
          <w:sz w:val="20"/>
          <w:szCs w:val="20"/>
        </w:rPr>
      </w:pPr>
    </w:p>
    <w:p w14:paraId="0FB410CC" w14:textId="1685883E" w:rsidR="007127C2" w:rsidRPr="00B004EE" w:rsidRDefault="007127C2" w:rsidP="00B004EE">
      <w:pPr>
        <w:jc w:val="both"/>
        <w:rPr>
          <w:rFonts w:ascii="Tahoma" w:hAnsi="Tahoma" w:cs="Tahoma"/>
          <w:sz w:val="20"/>
          <w:szCs w:val="20"/>
        </w:rPr>
      </w:pPr>
      <w:r w:rsidRPr="00B004EE">
        <w:rPr>
          <w:rFonts w:ascii="Tahoma" w:hAnsi="Tahoma" w:cs="Tahoma"/>
          <w:sz w:val="20"/>
          <w:szCs w:val="20"/>
        </w:rPr>
        <w:t>Article 16 : Procédure d'agrément</w:t>
      </w:r>
      <w:r w:rsidR="0056239C" w:rsidRPr="00B004EE">
        <w:rPr>
          <w:rFonts w:ascii="Tahoma" w:hAnsi="Tahoma" w:cs="Tahoma"/>
          <w:sz w:val="20"/>
          <w:szCs w:val="20"/>
        </w:rPr>
        <w:t> :</w:t>
      </w:r>
    </w:p>
    <w:p w14:paraId="09F5179D" w14:textId="77777777" w:rsidR="007127C2" w:rsidRPr="00B004EE" w:rsidRDefault="007127C2" w:rsidP="00420DDA">
      <w:pPr>
        <w:pStyle w:val="Paragraphedeliste"/>
        <w:widowControl w:val="0"/>
        <w:numPr>
          <w:ilvl w:val="1"/>
          <w:numId w:val="98"/>
        </w:numPr>
        <w:ind w:left="567"/>
        <w:jc w:val="both"/>
        <w:rPr>
          <w:rFonts w:ascii="Tahoma" w:hAnsi="Tahoma" w:cs="Tahoma"/>
          <w:sz w:val="20"/>
          <w:szCs w:val="20"/>
        </w:rPr>
      </w:pPr>
      <w:r w:rsidRPr="00B004EE">
        <w:rPr>
          <w:rFonts w:ascii="Tahoma" w:hAnsi="Tahoma" w:cs="Tahoma"/>
          <w:sz w:val="20"/>
          <w:szCs w:val="20"/>
        </w:rPr>
        <w:t>L'autorité compétente n'agréé les établissements ou les usines que lorsqu'une visite sur place, préalable au démarrage de toute activité, a démontré qu'ils respectaient les prescriptions pertinentes arrêtées conformément aux articles 7 et 8.</w:t>
      </w:r>
    </w:p>
    <w:p w14:paraId="1A9789AD" w14:textId="77777777" w:rsidR="007127C2" w:rsidRPr="00B004EE" w:rsidRDefault="007127C2" w:rsidP="00420DDA">
      <w:pPr>
        <w:pStyle w:val="Paragraphedeliste"/>
        <w:widowControl w:val="0"/>
        <w:numPr>
          <w:ilvl w:val="1"/>
          <w:numId w:val="98"/>
        </w:numPr>
        <w:ind w:left="567"/>
        <w:jc w:val="both"/>
        <w:rPr>
          <w:rFonts w:ascii="Tahoma" w:hAnsi="Tahoma" w:cs="Tahoma"/>
          <w:sz w:val="20"/>
          <w:szCs w:val="20"/>
        </w:rPr>
      </w:pPr>
      <w:r w:rsidRPr="00B004EE">
        <w:rPr>
          <w:rFonts w:ascii="Tahoma" w:hAnsi="Tahoma" w:cs="Tahoma"/>
          <w:sz w:val="20"/>
          <w:szCs w:val="20"/>
        </w:rPr>
        <w:t xml:space="preserve">L'autorité compétente peut accorder un agrément provisoire s'il ressort de la visite sur place que l'établissement ou l'usine respecte toutes les prescriptions en matière d'infrastructures et d'équipements en vue de garantir la mise en œuvre des procédures opérationnelles en conformité avec le présent arrêté. Elle n'accorde l'agrément définitif que lorsqu'une nouvelle visite sur place, effectuée dans les trois mois qui suivent l'octroi de l'agrément provisoire, fait apparaître que l'établissement ou l'usine respecte les autres exigences visées à article 11. Si de nets progrès ont été </w:t>
      </w:r>
      <w:r w:rsidRPr="00B004EE">
        <w:rPr>
          <w:rFonts w:ascii="Tahoma" w:hAnsi="Tahoma" w:cs="Tahoma"/>
          <w:sz w:val="20"/>
          <w:szCs w:val="20"/>
        </w:rPr>
        <w:lastRenderedPageBreak/>
        <w:t>réalisés, mais que l'établissement ou l'usine ne respecte toujours pas toutes ces exigences au bout de trois mois (03 mois), l'autorité compétente peut prolonger l'agrément provisoire. La durée de l'agrément provisoire ne peut toutefois dépasser six mois au total.</w:t>
      </w:r>
    </w:p>
    <w:p w14:paraId="428968B2" w14:textId="77777777" w:rsidR="007127C2" w:rsidRPr="00B004EE" w:rsidRDefault="007127C2" w:rsidP="00420DDA">
      <w:pPr>
        <w:pStyle w:val="Paragraphedeliste"/>
        <w:widowControl w:val="0"/>
        <w:numPr>
          <w:ilvl w:val="1"/>
          <w:numId w:val="98"/>
        </w:numPr>
        <w:ind w:left="567"/>
        <w:jc w:val="both"/>
        <w:rPr>
          <w:rFonts w:ascii="Tahoma" w:hAnsi="Tahoma" w:cs="Tahoma"/>
          <w:sz w:val="20"/>
          <w:szCs w:val="20"/>
        </w:rPr>
      </w:pPr>
      <w:r w:rsidRPr="00B004EE">
        <w:rPr>
          <w:rFonts w:ascii="Tahoma" w:hAnsi="Tahoma" w:cs="Tahoma"/>
          <w:sz w:val="20"/>
          <w:szCs w:val="20"/>
        </w:rPr>
        <w:t>Les exploitants veillent notamment à ce qu'un établissement ou une usine cesse d'exercer son activité si l'autorité compétente retire son agrément ou, en cas d'agrément provisoire, si elle ne le prolonge pas ou si elle n'accorde pas d'agrément définitif.</w:t>
      </w:r>
    </w:p>
    <w:p w14:paraId="2C824D02" w14:textId="77777777" w:rsidR="007127C2" w:rsidRPr="00B004EE" w:rsidRDefault="007127C2" w:rsidP="00B004EE">
      <w:pPr>
        <w:jc w:val="both"/>
        <w:outlineLvl w:val="0"/>
        <w:rPr>
          <w:rFonts w:ascii="Tahoma" w:hAnsi="Tahoma" w:cs="Tahoma"/>
          <w:b/>
          <w:bCs/>
          <w:sz w:val="20"/>
          <w:szCs w:val="20"/>
        </w:rPr>
      </w:pPr>
    </w:p>
    <w:p w14:paraId="1DD0FF20" w14:textId="6E6791F1" w:rsidR="007127C2" w:rsidRPr="00B004EE" w:rsidRDefault="007127C2" w:rsidP="00B004EE">
      <w:pPr>
        <w:rPr>
          <w:rFonts w:ascii="Tahoma" w:hAnsi="Tahoma" w:cs="Tahoma"/>
          <w:sz w:val="20"/>
          <w:szCs w:val="20"/>
        </w:rPr>
      </w:pPr>
      <w:r w:rsidRPr="00B004EE">
        <w:rPr>
          <w:rFonts w:ascii="Tahoma" w:hAnsi="Tahoma" w:cs="Tahoma"/>
          <w:sz w:val="20"/>
          <w:szCs w:val="20"/>
        </w:rPr>
        <w:t>Article 17 : Contrôles officiels</w:t>
      </w:r>
      <w:r w:rsidR="0056239C" w:rsidRPr="00B004EE">
        <w:rPr>
          <w:rFonts w:ascii="Tahoma" w:hAnsi="Tahoma" w:cs="Tahoma"/>
          <w:sz w:val="20"/>
          <w:szCs w:val="20"/>
        </w:rPr>
        <w:t> :</w:t>
      </w:r>
    </w:p>
    <w:p w14:paraId="40E22ADF" w14:textId="6B92D284" w:rsidR="0056239C" w:rsidRPr="00B004EE" w:rsidRDefault="007127C2" w:rsidP="00420DDA">
      <w:pPr>
        <w:pStyle w:val="Paragraphedeliste"/>
        <w:numPr>
          <w:ilvl w:val="1"/>
          <w:numId w:val="96"/>
        </w:numPr>
        <w:ind w:left="567"/>
        <w:jc w:val="both"/>
        <w:rPr>
          <w:rFonts w:ascii="Tahoma" w:hAnsi="Tahoma" w:cs="Tahoma"/>
          <w:sz w:val="20"/>
          <w:szCs w:val="20"/>
        </w:rPr>
      </w:pPr>
      <w:r w:rsidRPr="00B004EE">
        <w:rPr>
          <w:rFonts w:ascii="Tahoma" w:hAnsi="Tahoma" w:cs="Tahoma"/>
          <w:sz w:val="20"/>
          <w:szCs w:val="20"/>
        </w:rPr>
        <w:t>L'Autorité Compétente réalise à intervalles réguliers des contrôles officiels et des opérations de surveillance de la manipulation des sous-produits pêche et des produits dérivés relevant du champ d'application du présent arrêté</w:t>
      </w:r>
      <w:r w:rsidR="0056239C" w:rsidRPr="00B004EE">
        <w:rPr>
          <w:rFonts w:ascii="Tahoma" w:hAnsi="Tahoma" w:cs="Tahoma"/>
          <w:sz w:val="20"/>
          <w:szCs w:val="20"/>
        </w:rPr>
        <w:t> ;</w:t>
      </w:r>
    </w:p>
    <w:p w14:paraId="7D73A7EC" w14:textId="14BDD6DB" w:rsidR="0056239C" w:rsidRPr="00B004EE" w:rsidRDefault="007127C2" w:rsidP="00420DDA">
      <w:pPr>
        <w:pStyle w:val="Paragraphedeliste"/>
        <w:numPr>
          <w:ilvl w:val="1"/>
          <w:numId w:val="96"/>
        </w:numPr>
        <w:ind w:left="567"/>
        <w:jc w:val="both"/>
        <w:rPr>
          <w:rFonts w:ascii="Tahoma" w:hAnsi="Tahoma" w:cs="Tahoma"/>
          <w:sz w:val="20"/>
          <w:szCs w:val="20"/>
        </w:rPr>
      </w:pPr>
      <w:r w:rsidRPr="00B004EE">
        <w:rPr>
          <w:rFonts w:ascii="Tahoma" w:hAnsi="Tahoma" w:cs="Tahoma"/>
          <w:sz w:val="20"/>
          <w:szCs w:val="20"/>
        </w:rPr>
        <w:t>Les sous-produits de pêche et des produits dérivés font l'objet, en tous lieux, de contrôles sanitaires par sondage et de nature non discriminatoire, qui peuvent comprendre le prélèvement d'échantillons. Ces contrôles peuvent comporter la consignation des produits par les agents habilités. En cas de manquements graves ou répétés à la réglementation d'un établissement ou d'un ensemble d'établissements, les contrôles peuvent être intensifiés en nombre et en nature</w:t>
      </w:r>
      <w:r w:rsidR="0056239C" w:rsidRPr="00B004EE">
        <w:rPr>
          <w:rFonts w:ascii="Tahoma" w:hAnsi="Tahoma" w:cs="Tahoma"/>
          <w:sz w:val="20"/>
          <w:szCs w:val="20"/>
        </w:rPr>
        <w:t> ;</w:t>
      </w:r>
    </w:p>
    <w:p w14:paraId="004A0256" w14:textId="3BBF51E4" w:rsidR="0056239C" w:rsidRPr="00B004EE" w:rsidRDefault="007127C2" w:rsidP="00420DDA">
      <w:pPr>
        <w:pStyle w:val="Paragraphedeliste"/>
        <w:numPr>
          <w:ilvl w:val="1"/>
          <w:numId w:val="96"/>
        </w:numPr>
        <w:ind w:left="567"/>
        <w:jc w:val="both"/>
        <w:rPr>
          <w:rFonts w:ascii="Tahoma" w:hAnsi="Tahoma" w:cs="Tahoma"/>
          <w:sz w:val="20"/>
          <w:szCs w:val="20"/>
        </w:rPr>
      </w:pPr>
      <w:r w:rsidRPr="00B004EE">
        <w:rPr>
          <w:rFonts w:ascii="Tahoma" w:hAnsi="Tahoma" w:cs="Tahoma"/>
          <w:sz w:val="20"/>
          <w:szCs w:val="20"/>
        </w:rPr>
        <w:t>Lors de ses contrôles officiels, l'autorité compétente peut prendre en considération l'observation des guides de bonnes pratiques</w:t>
      </w:r>
      <w:r w:rsidR="0056239C" w:rsidRPr="00B004EE">
        <w:rPr>
          <w:rFonts w:ascii="Tahoma" w:hAnsi="Tahoma" w:cs="Tahoma"/>
          <w:sz w:val="20"/>
          <w:szCs w:val="20"/>
        </w:rPr>
        <w:t> ;</w:t>
      </w:r>
    </w:p>
    <w:p w14:paraId="3856244E" w14:textId="20EEDF59" w:rsidR="007127C2" w:rsidRPr="00B004EE" w:rsidRDefault="007127C2" w:rsidP="00420DDA">
      <w:pPr>
        <w:pStyle w:val="Paragraphedeliste"/>
        <w:numPr>
          <w:ilvl w:val="1"/>
          <w:numId w:val="96"/>
        </w:numPr>
        <w:ind w:left="567"/>
        <w:jc w:val="both"/>
        <w:rPr>
          <w:rFonts w:ascii="Tahoma" w:hAnsi="Tahoma" w:cs="Tahoma"/>
          <w:sz w:val="20"/>
          <w:szCs w:val="20"/>
        </w:rPr>
      </w:pPr>
      <w:r w:rsidRPr="00B004EE">
        <w:rPr>
          <w:rFonts w:ascii="Tahoma" w:hAnsi="Tahoma" w:cs="Tahoma"/>
          <w:sz w:val="20"/>
          <w:szCs w:val="20"/>
        </w:rPr>
        <w:t>Des modalités détaillées d'application du présent article, notamment des règles concernant les méthodes de référence pour les analyses microbiologiques, peuvent être arrêtées.</w:t>
      </w:r>
    </w:p>
    <w:p w14:paraId="583D9138" w14:textId="77777777" w:rsidR="0056239C" w:rsidRPr="00B004EE" w:rsidRDefault="0056239C" w:rsidP="00B004EE">
      <w:pPr>
        <w:spacing w:before="75" w:after="75"/>
        <w:ind w:right="225"/>
        <w:jc w:val="both"/>
        <w:rPr>
          <w:rFonts w:ascii="Tahoma" w:hAnsi="Tahoma" w:cs="Tahoma"/>
          <w:b/>
          <w:sz w:val="20"/>
          <w:szCs w:val="20"/>
        </w:rPr>
      </w:pPr>
    </w:p>
    <w:p w14:paraId="6326DD78" w14:textId="3D0086BB" w:rsidR="00BF6AA8" w:rsidRPr="00B004EE" w:rsidRDefault="00BF6AA8" w:rsidP="00B004EE">
      <w:pPr>
        <w:spacing w:before="75" w:after="75"/>
        <w:ind w:right="225"/>
        <w:jc w:val="both"/>
        <w:rPr>
          <w:rFonts w:ascii="Tahoma" w:hAnsi="Tahoma" w:cs="Tahoma"/>
          <w:bCs/>
          <w:sz w:val="20"/>
          <w:szCs w:val="20"/>
        </w:rPr>
      </w:pPr>
      <w:r w:rsidRPr="00B004EE">
        <w:rPr>
          <w:rFonts w:ascii="Tahoma" w:hAnsi="Tahoma" w:cs="Tahoma"/>
          <w:bCs/>
          <w:sz w:val="20"/>
          <w:szCs w:val="20"/>
        </w:rPr>
        <w:t>Article 18 : Suspensions, retraits et interdictions concernant les opérations</w:t>
      </w:r>
    </w:p>
    <w:p w14:paraId="650B32BD" w14:textId="661CD15D" w:rsidR="00BF6AA8" w:rsidRPr="00B004EE" w:rsidRDefault="00BF6AA8" w:rsidP="00420DDA">
      <w:pPr>
        <w:pStyle w:val="Paragraphedeliste"/>
        <w:numPr>
          <w:ilvl w:val="0"/>
          <w:numId w:val="146"/>
        </w:numPr>
        <w:spacing w:before="75" w:after="75"/>
        <w:ind w:left="426" w:right="225" w:hanging="426"/>
        <w:jc w:val="both"/>
        <w:rPr>
          <w:rFonts w:ascii="Tahoma" w:hAnsi="Tahoma" w:cs="Tahoma"/>
          <w:sz w:val="20"/>
          <w:szCs w:val="20"/>
        </w:rPr>
      </w:pPr>
      <w:r w:rsidRPr="00B004EE">
        <w:rPr>
          <w:rFonts w:ascii="Tahoma" w:hAnsi="Tahoma" w:cs="Tahoma"/>
          <w:sz w:val="20"/>
          <w:szCs w:val="20"/>
        </w:rPr>
        <w:t>Si les contrôles officiels et les opérations de surveillance effectués par l’autorité compétente révèlent qu’une ou plusieurs des exigences du présent arrêté ne sont pas satisfaites, l’autorité compétente prend les mesures appropriées.</w:t>
      </w:r>
    </w:p>
    <w:p w14:paraId="79A656F2" w14:textId="2D74096D" w:rsidR="00BF6AA8" w:rsidRPr="00B004EE" w:rsidRDefault="00BF6AA8" w:rsidP="00B004EE">
      <w:pPr>
        <w:spacing w:before="75" w:after="75"/>
        <w:ind w:right="225"/>
        <w:jc w:val="both"/>
        <w:rPr>
          <w:rFonts w:ascii="Tahoma" w:hAnsi="Tahoma" w:cs="Tahoma"/>
          <w:sz w:val="20"/>
          <w:szCs w:val="20"/>
        </w:rPr>
      </w:pPr>
      <w:r w:rsidRPr="00B004EE">
        <w:rPr>
          <w:rFonts w:ascii="Tahoma" w:hAnsi="Tahoma" w:cs="Tahoma"/>
          <w:sz w:val="20"/>
          <w:szCs w:val="20"/>
        </w:rPr>
        <w:t>En particulier, en fonction de la nature et de la gravité des défauts constatés, ainsi que des risques potentiels pour la santé publique et animale, l’autorité compétente :</w:t>
      </w:r>
    </w:p>
    <w:p w14:paraId="7D627D64" w14:textId="766B2F08" w:rsidR="00BF6AA8" w:rsidRPr="00B004EE" w:rsidRDefault="00BF6AA8" w:rsidP="00420DDA">
      <w:pPr>
        <w:pStyle w:val="Paragraphedeliste"/>
        <w:numPr>
          <w:ilvl w:val="3"/>
          <w:numId w:val="142"/>
        </w:numPr>
        <w:spacing w:before="75" w:after="75"/>
        <w:ind w:left="567" w:right="225"/>
        <w:jc w:val="both"/>
        <w:rPr>
          <w:rFonts w:ascii="Tahoma" w:hAnsi="Tahoma" w:cs="Tahoma"/>
          <w:sz w:val="20"/>
          <w:szCs w:val="20"/>
        </w:rPr>
      </w:pPr>
      <w:r w:rsidRPr="00B004EE">
        <w:rPr>
          <w:rFonts w:ascii="Tahoma" w:hAnsi="Tahoma" w:cs="Tahoma"/>
          <w:sz w:val="20"/>
          <w:szCs w:val="20"/>
        </w:rPr>
        <w:t>Suspend l’agrément des établissements ou usines agréés conformément au présent arrêté :</w:t>
      </w:r>
    </w:p>
    <w:p w14:paraId="467172B8" w14:textId="7915B4B3" w:rsidR="00BF6AA8" w:rsidRPr="00B004EE" w:rsidRDefault="00BF6AA8" w:rsidP="00420DDA">
      <w:pPr>
        <w:pStyle w:val="Paragraphedeliste"/>
        <w:numPr>
          <w:ilvl w:val="0"/>
          <w:numId w:val="143"/>
        </w:numPr>
        <w:spacing w:before="75" w:after="75"/>
        <w:ind w:right="225"/>
        <w:jc w:val="both"/>
        <w:rPr>
          <w:rFonts w:ascii="Tahoma" w:hAnsi="Tahoma" w:cs="Tahoma"/>
          <w:sz w:val="20"/>
          <w:szCs w:val="20"/>
        </w:rPr>
      </w:pPr>
      <w:r w:rsidRPr="00B004EE">
        <w:rPr>
          <w:rFonts w:ascii="Tahoma" w:hAnsi="Tahoma" w:cs="Tahoma"/>
          <w:sz w:val="20"/>
          <w:szCs w:val="20"/>
        </w:rPr>
        <w:t>Si les conditions d’agrément ou d’exploitation de l’établissement ou de l’usine ne sont plus remplies ;</w:t>
      </w:r>
    </w:p>
    <w:p w14:paraId="094ACD65" w14:textId="7090EBED" w:rsidR="00BF6AA8" w:rsidRPr="00B004EE" w:rsidRDefault="00BF6AA8" w:rsidP="00420DDA">
      <w:pPr>
        <w:pStyle w:val="Paragraphedeliste"/>
        <w:numPr>
          <w:ilvl w:val="0"/>
          <w:numId w:val="143"/>
        </w:numPr>
        <w:spacing w:before="75" w:after="75"/>
        <w:ind w:right="225"/>
        <w:jc w:val="both"/>
        <w:rPr>
          <w:rFonts w:ascii="Tahoma" w:hAnsi="Tahoma" w:cs="Tahoma"/>
          <w:sz w:val="20"/>
          <w:szCs w:val="20"/>
        </w:rPr>
      </w:pPr>
      <w:r w:rsidRPr="00B004EE">
        <w:rPr>
          <w:rFonts w:ascii="Tahoma" w:hAnsi="Tahoma" w:cs="Tahoma"/>
          <w:sz w:val="20"/>
          <w:szCs w:val="20"/>
        </w:rPr>
        <w:t>S’il est présumé que l’exploitant remédiera aux défauts dans un délai raisonnable ; et</w:t>
      </w:r>
    </w:p>
    <w:p w14:paraId="15B65949" w14:textId="195E44AB" w:rsidR="00BF6AA8" w:rsidRPr="00B004EE" w:rsidRDefault="00BF6AA8" w:rsidP="00420DDA">
      <w:pPr>
        <w:pStyle w:val="Paragraphedeliste"/>
        <w:numPr>
          <w:ilvl w:val="0"/>
          <w:numId w:val="143"/>
        </w:numPr>
        <w:spacing w:before="75" w:after="75"/>
        <w:ind w:right="225"/>
        <w:jc w:val="both"/>
        <w:rPr>
          <w:rFonts w:ascii="Tahoma" w:hAnsi="Tahoma" w:cs="Tahoma"/>
          <w:sz w:val="20"/>
          <w:szCs w:val="20"/>
        </w:rPr>
      </w:pPr>
      <w:r w:rsidRPr="00B004EE">
        <w:rPr>
          <w:rFonts w:ascii="Tahoma" w:hAnsi="Tahoma" w:cs="Tahoma"/>
          <w:sz w:val="20"/>
          <w:szCs w:val="20"/>
        </w:rPr>
        <w:t>Si les risques potentiels pour la santé publique et animale ne requièrent pas d’agir conformément au point b) ;</w:t>
      </w:r>
    </w:p>
    <w:p w14:paraId="0F8C04D6" w14:textId="37133BCD" w:rsidR="00BF6AA8" w:rsidRPr="00B004EE" w:rsidRDefault="00BF6AA8" w:rsidP="00420DDA">
      <w:pPr>
        <w:pStyle w:val="Paragraphedeliste"/>
        <w:numPr>
          <w:ilvl w:val="3"/>
          <w:numId w:val="142"/>
        </w:numPr>
        <w:spacing w:before="75" w:after="75"/>
        <w:ind w:left="567" w:right="225"/>
        <w:jc w:val="both"/>
        <w:rPr>
          <w:rFonts w:ascii="Tahoma" w:hAnsi="Tahoma" w:cs="Tahoma"/>
          <w:sz w:val="20"/>
          <w:szCs w:val="20"/>
        </w:rPr>
      </w:pPr>
      <w:r w:rsidRPr="00B004EE">
        <w:rPr>
          <w:rFonts w:ascii="Tahoma" w:hAnsi="Tahoma" w:cs="Tahoma"/>
          <w:sz w:val="20"/>
          <w:szCs w:val="20"/>
        </w:rPr>
        <w:t>Retire l’agrément des établissements ou usines agréés conformément au présent arrêté :</w:t>
      </w:r>
    </w:p>
    <w:p w14:paraId="09A24BE1" w14:textId="6ADE82C1" w:rsidR="00BF6AA8" w:rsidRPr="00B004EE" w:rsidRDefault="00BF6AA8" w:rsidP="00420DDA">
      <w:pPr>
        <w:pStyle w:val="Paragraphedeliste"/>
        <w:numPr>
          <w:ilvl w:val="0"/>
          <w:numId w:val="144"/>
        </w:numPr>
        <w:spacing w:before="75" w:after="75"/>
        <w:ind w:right="225"/>
        <w:jc w:val="both"/>
        <w:rPr>
          <w:rFonts w:ascii="Tahoma" w:hAnsi="Tahoma" w:cs="Tahoma"/>
          <w:sz w:val="20"/>
          <w:szCs w:val="20"/>
        </w:rPr>
      </w:pPr>
      <w:r w:rsidRPr="00B004EE">
        <w:rPr>
          <w:rFonts w:ascii="Tahoma" w:hAnsi="Tahoma" w:cs="Tahoma"/>
          <w:sz w:val="20"/>
          <w:szCs w:val="20"/>
        </w:rPr>
        <w:t>Si les conditions d’agrément ou d’exploitation de l’établissement ou de l’usine ne sont plus remplies ; et</w:t>
      </w:r>
    </w:p>
    <w:p w14:paraId="3245AAD1" w14:textId="6537C3A3" w:rsidR="00BF6AA8" w:rsidRPr="00B004EE" w:rsidRDefault="00BF6AA8" w:rsidP="00420DDA">
      <w:pPr>
        <w:pStyle w:val="Paragraphedeliste"/>
        <w:numPr>
          <w:ilvl w:val="0"/>
          <w:numId w:val="144"/>
        </w:numPr>
        <w:spacing w:before="75" w:after="75"/>
        <w:ind w:right="225"/>
        <w:jc w:val="both"/>
        <w:rPr>
          <w:rFonts w:ascii="Tahoma" w:hAnsi="Tahoma" w:cs="Tahoma"/>
          <w:sz w:val="20"/>
          <w:szCs w:val="20"/>
        </w:rPr>
      </w:pPr>
      <w:r w:rsidRPr="00B004EE">
        <w:rPr>
          <w:rFonts w:ascii="Tahoma" w:hAnsi="Tahoma" w:cs="Tahoma"/>
          <w:sz w:val="20"/>
          <w:szCs w:val="20"/>
        </w:rPr>
        <w:t>S’il n’est pas présumé que l’exploitant remédiera aux défauts dans un délai raisonnable :</w:t>
      </w:r>
    </w:p>
    <w:p w14:paraId="35B6D09E" w14:textId="6EBF56D0" w:rsidR="00BF6AA8" w:rsidRPr="00B004EE" w:rsidRDefault="00BF6AA8" w:rsidP="00420DDA">
      <w:pPr>
        <w:pStyle w:val="Paragraphedeliste"/>
        <w:numPr>
          <w:ilvl w:val="0"/>
          <w:numId w:val="145"/>
        </w:numPr>
        <w:spacing w:before="75" w:after="75"/>
        <w:ind w:left="1276" w:right="225"/>
        <w:jc w:val="both"/>
        <w:rPr>
          <w:rFonts w:ascii="Tahoma" w:hAnsi="Tahoma" w:cs="Tahoma"/>
          <w:sz w:val="20"/>
          <w:szCs w:val="20"/>
        </w:rPr>
      </w:pPr>
      <w:r w:rsidRPr="00B004EE">
        <w:rPr>
          <w:rFonts w:ascii="Tahoma" w:hAnsi="Tahoma" w:cs="Tahoma"/>
          <w:sz w:val="20"/>
          <w:szCs w:val="20"/>
        </w:rPr>
        <w:t>Pour des raisons liées à l’infrastructure de l’établissement ou de l’usine,</w:t>
      </w:r>
    </w:p>
    <w:p w14:paraId="416E1C2F" w14:textId="45B8085B" w:rsidR="00BF6AA8" w:rsidRPr="00B004EE" w:rsidRDefault="00BF6AA8" w:rsidP="00420DDA">
      <w:pPr>
        <w:pStyle w:val="Paragraphedeliste"/>
        <w:numPr>
          <w:ilvl w:val="0"/>
          <w:numId w:val="145"/>
        </w:numPr>
        <w:spacing w:before="75" w:after="75"/>
        <w:ind w:left="1276" w:right="225"/>
        <w:jc w:val="both"/>
        <w:rPr>
          <w:rFonts w:ascii="Tahoma" w:hAnsi="Tahoma" w:cs="Tahoma"/>
          <w:sz w:val="20"/>
          <w:szCs w:val="20"/>
        </w:rPr>
      </w:pPr>
      <w:r w:rsidRPr="00B004EE">
        <w:rPr>
          <w:rFonts w:ascii="Tahoma" w:hAnsi="Tahoma" w:cs="Tahoma"/>
          <w:sz w:val="20"/>
          <w:szCs w:val="20"/>
        </w:rPr>
        <w:t>Pour des raisons liées à la capacité individuelle de l’exploitant ou des membres de son personnel, où</w:t>
      </w:r>
    </w:p>
    <w:p w14:paraId="383C084C" w14:textId="760799FF" w:rsidR="00BF6AA8" w:rsidRPr="00B004EE" w:rsidRDefault="00BF6AA8" w:rsidP="00420DDA">
      <w:pPr>
        <w:pStyle w:val="Paragraphedeliste"/>
        <w:numPr>
          <w:ilvl w:val="0"/>
          <w:numId w:val="145"/>
        </w:numPr>
        <w:spacing w:before="75" w:after="75"/>
        <w:ind w:left="1276" w:right="225"/>
        <w:jc w:val="both"/>
        <w:rPr>
          <w:rFonts w:ascii="Tahoma" w:hAnsi="Tahoma" w:cs="Tahoma"/>
          <w:sz w:val="20"/>
          <w:szCs w:val="20"/>
        </w:rPr>
      </w:pPr>
      <w:r w:rsidRPr="00B004EE">
        <w:rPr>
          <w:rFonts w:ascii="Tahoma" w:hAnsi="Tahoma" w:cs="Tahoma"/>
          <w:sz w:val="20"/>
          <w:szCs w:val="20"/>
        </w:rPr>
        <w:t>En raison de risques graves pour la santé publique et animale nécessitant des ajustements majeurs dans le fonctionnement de l’établissement ou de l’usine avant que l’exploitant ne puisse introduire une nouvelle demande d’agrément.</w:t>
      </w:r>
    </w:p>
    <w:p w14:paraId="7217218D" w14:textId="39888DA9" w:rsidR="00BF6AA8" w:rsidRPr="00B004EE" w:rsidRDefault="00BF6AA8" w:rsidP="00420DDA">
      <w:pPr>
        <w:pStyle w:val="Paragraphedeliste"/>
        <w:numPr>
          <w:ilvl w:val="3"/>
          <w:numId w:val="142"/>
        </w:numPr>
        <w:spacing w:before="75" w:after="75"/>
        <w:ind w:left="567" w:right="225"/>
        <w:jc w:val="both"/>
        <w:rPr>
          <w:rFonts w:ascii="Tahoma" w:hAnsi="Tahoma" w:cs="Tahoma"/>
          <w:sz w:val="20"/>
          <w:szCs w:val="20"/>
        </w:rPr>
      </w:pPr>
      <w:r w:rsidRPr="00B004EE">
        <w:rPr>
          <w:rFonts w:ascii="Tahoma" w:hAnsi="Tahoma" w:cs="Tahoma"/>
          <w:sz w:val="20"/>
          <w:szCs w:val="20"/>
        </w:rPr>
        <w:t>Consigne les sous-produits de pêche ou dérivés non-conformes aux normes nationales ou internationales et/ou jugés insalubres à la destination préconisée (la consommation animale par exemple) ;</w:t>
      </w:r>
    </w:p>
    <w:p w14:paraId="7C6F052C" w14:textId="77777777" w:rsidR="00BF6AA8" w:rsidRPr="00B004EE" w:rsidRDefault="00BF6AA8" w:rsidP="00B004EE">
      <w:pPr>
        <w:spacing w:before="75" w:after="75"/>
        <w:ind w:left="225" w:right="225"/>
        <w:jc w:val="both"/>
        <w:rPr>
          <w:rFonts w:ascii="Tahoma" w:hAnsi="Tahoma" w:cs="Tahoma"/>
          <w:sz w:val="20"/>
          <w:szCs w:val="20"/>
        </w:rPr>
      </w:pPr>
    </w:p>
    <w:p w14:paraId="4A265900" w14:textId="3CD5F7F7" w:rsidR="00BF6AA8" w:rsidRPr="00B004EE" w:rsidRDefault="00BF6AA8" w:rsidP="00420DDA">
      <w:pPr>
        <w:pStyle w:val="Paragraphedeliste"/>
        <w:numPr>
          <w:ilvl w:val="0"/>
          <w:numId w:val="146"/>
        </w:numPr>
        <w:spacing w:before="75" w:after="75"/>
        <w:ind w:left="426" w:right="225" w:hanging="426"/>
        <w:jc w:val="both"/>
        <w:rPr>
          <w:rFonts w:ascii="Tahoma" w:hAnsi="Tahoma" w:cs="Tahoma"/>
          <w:sz w:val="20"/>
          <w:szCs w:val="20"/>
        </w:rPr>
      </w:pPr>
      <w:r w:rsidRPr="00B004EE">
        <w:rPr>
          <w:rFonts w:ascii="Tahoma" w:hAnsi="Tahoma" w:cs="Tahoma"/>
          <w:sz w:val="20"/>
          <w:szCs w:val="20"/>
        </w:rPr>
        <w:lastRenderedPageBreak/>
        <w:t>Si l’Autorité Compétente en collaboration avec les services chargés du contrôle environnementale relèvent des manquements graves qui portent préjudice à la protection de l’environnement.</w:t>
      </w:r>
    </w:p>
    <w:p w14:paraId="3C31441F" w14:textId="77777777" w:rsidR="00BF6AA8" w:rsidRPr="00B004EE" w:rsidRDefault="00BF6AA8" w:rsidP="00B004EE">
      <w:pPr>
        <w:spacing w:before="75" w:after="75"/>
        <w:ind w:left="225" w:right="225"/>
        <w:jc w:val="both"/>
        <w:rPr>
          <w:rFonts w:ascii="Tahoma" w:hAnsi="Tahoma" w:cs="Tahoma"/>
          <w:sz w:val="20"/>
          <w:szCs w:val="20"/>
        </w:rPr>
      </w:pPr>
    </w:p>
    <w:p w14:paraId="47991763" w14:textId="18E39951" w:rsidR="00BF6AA8" w:rsidRPr="00B004EE" w:rsidRDefault="00BF6AA8" w:rsidP="00B004EE">
      <w:pPr>
        <w:spacing w:before="75" w:after="75"/>
        <w:ind w:left="225" w:right="225"/>
        <w:jc w:val="center"/>
        <w:rPr>
          <w:rFonts w:ascii="Tahoma" w:hAnsi="Tahoma" w:cs="Tahoma"/>
          <w:b/>
          <w:sz w:val="20"/>
          <w:szCs w:val="20"/>
        </w:rPr>
      </w:pPr>
      <w:r w:rsidRPr="00B004EE">
        <w:rPr>
          <w:rFonts w:ascii="Tahoma" w:hAnsi="Tahoma" w:cs="Tahoma"/>
          <w:b/>
          <w:sz w:val="20"/>
          <w:szCs w:val="20"/>
        </w:rPr>
        <w:t>TITRE IV : Conditions en matière de contrôle environnemental</w:t>
      </w:r>
    </w:p>
    <w:p w14:paraId="6E7D853A" w14:textId="77777777" w:rsidR="00600DCC" w:rsidRPr="00B004EE" w:rsidRDefault="00600DCC" w:rsidP="00B004EE">
      <w:pPr>
        <w:spacing w:before="75" w:after="75"/>
        <w:ind w:left="225" w:right="225"/>
        <w:jc w:val="center"/>
        <w:rPr>
          <w:rFonts w:ascii="Tahoma" w:hAnsi="Tahoma" w:cs="Tahoma"/>
          <w:b/>
          <w:sz w:val="20"/>
          <w:szCs w:val="20"/>
        </w:rPr>
      </w:pPr>
    </w:p>
    <w:p w14:paraId="3767771C" w14:textId="0BADC880" w:rsidR="00BF6AA8" w:rsidRPr="00B004EE" w:rsidRDefault="00BF6AA8" w:rsidP="00B004EE">
      <w:pPr>
        <w:spacing w:before="75" w:after="75"/>
        <w:ind w:right="225"/>
        <w:jc w:val="both"/>
        <w:rPr>
          <w:rFonts w:ascii="Tahoma" w:hAnsi="Tahoma" w:cs="Tahoma"/>
          <w:bCs/>
          <w:sz w:val="20"/>
          <w:szCs w:val="20"/>
        </w:rPr>
      </w:pPr>
      <w:r w:rsidRPr="00B004EE">
        <w:rPr>
          <w:rFonts w:ascii="Tahoma" w:hAnsi="Tahoma" w:cs="Tahoma"/>
          <w:bCs/>
          <w:sz w:val="20"/>
          <w:szCs w:val="20"/>
        </w:rPr>
        <w:t>Article 19 : Toute usine de fabrication de farine et d’huile de poisson est tenue de se soumettre à toute inspection ou contrôle environnemental de conformité éventuel effectué par les autorités compétentes concernées.</w:t>
      </w:r>
    </w:p>
    <w:p w14:paraId="3042844C" w14:textId="77777777" w:rsidR="00BF6AA8" w:rsidRPr="00B004EE" w:rsidRDefault="00BF6AA8" w:rsidP="00B004EE">
      <w:pPr>
        <w:spacing w:before="75" w:after="75"/>
        <w:ind w:right="225"/>
        <w:jc w:val="both"/>
        <w:rPr>
          <w:rFonts w:ascii="Tahoma" w:hAnsi="Tahoma" w:cs="Tahoma"/>
          <w:bCs/>
          <w:sz w:val="20"/>
          <w:szCs w:val="20"/>
        </w:rPr>
      </w:pPr>
    </w:p>
    <w:p w14:paraId="214F7018" w14:textId="3044E4E4" w:rsidR="00BF6AA8" w:rsidRPr="00B004EE" w:rsidRDefault="00BF6AA8" w:rsidP="00B004EE">
      <w:pPr>
        <w:spacing w:before="75" w:after="75"/>
        <w:ind w:right="225"/>
        <w:jc w:val="both"/>
        <w:rPr>
          <w:rFonts w:ascii="Tahoma" w:hAnsi="Tahoma" w:cs="Tahoma"/>
          <w:sz w:val="20"/>
          <w:szCs w:val="20"/>
        </w:rPr>
      </w:pPr>
      <w:r w:rsidRPr="00B004EE">
        <w:rPr>
          <w:rFonts w:ascii="Tahoma" w:hAnsi="Tahoma" w:cs="Tahoma"/>
          <w:bCs/>
          <w:sz w:val="20"/>
          <w:szCs w:val="20"/>
        </w:rPr>
        <w:t>Article 20 : Tout établissement de traitement et/ou transformation des sous-produits</w:t>
      </w:r>
      <w:r w:rsidRPr="00B004EE">
        <w:rPr>
          <w:rFonts w:ascii="Tahoma" w:hAnsi="Tahoma" w:cs="Tahoma"/>
          <w:sz w:val="20"/>
          <w:szCs w:val="20"/>
        </w:rPr>
        <w:t xml:space="preserve"> de pêche devra procéder à la mise en place d’un matériel compatible avec les nouveaux procédés de gestion de l’environnement comportant :</w:t>
      </w:r>
    </w:p>
    <w:p w14:paraId="7F8C1C8F" w14:textId="2D887F13" w:rsidR="00BF6AA8" w:rsidRPr="00B004EE" w:rsidRDefault="00BF6AA8" w:rsidP="00420DDA">
      <w:pPr>
        <w:pStyle w:val="Paragraphedeliste"/>
        <w:numPr>
          <w:ilvl w:val="0"/>
          <w:numId w:val="141"/>
        </w:numPr>
        <w:contextualSpacing/>
        <w:jc w:val="both"/>
        <w:rPr>
          <w:rFonts w:ascii="Tahoma" w:hAnsi="Tahoma" w:cs="Tahoma"/>
          <w:sz w:val="20"/>
          <w:szCs w:val="20"/>
        </w:rPr>
      </w:pPr>
      <w:r w:rsidRPr="00B004EE">
        <w:rPr>
          <w:rFonts w:ascii="Tahoma" w:hAnsi="Tahoma" w:cs="Tahoma"/>
          <w:sz w:val="20"/>
          <w:szCs w:val="20"/>
        </w:rPr>
        <w:t>Un système de traitement efficace des odeurs, approuvé conformément aux standards internationaux en la matière.</w:t>
      </w:r>
    </w:p>
    <w:p w14:paraId="3D30A3F8" w14:textId="130C99AA" w:rsidR="00BF6AA8" w:rsidRPr="00B004EE" w:rsidRDefault="00BF6AA8" w:rsidP="00420DDA">
      <w:pPr>
        <w:pStyle w:val="Paragraphedeliste"/>
        <w:numPr>
          <w:ilvl w:val="0"/>
          <w:numId w:val="141"/>
        </w:numPr>
        <w:contextualSpacing/>
        <w:jc w:val="both"/>
        <w:rPr>
          <w:rFonts w:ascii="Tahoma" w:hAnsi="Tahoma" w:cs="Tahoma"/>
          <w:sz w:val="20"/>
          <w:szCs w:val="20"/>
        </w:rPr>
      </w:pPr>
      <w:r w:rsidRPr="00B004EE">
        <w:rPr>
          <w:rFonts w:ascii="Tahoma" w:hAnsi="Tahoma" w:cs="Tahoma"/>
          <w:sz w:val="20"/>
          <w:szCs w:val="20"/>
        </w:rPr>
        <w:t xml:space="preserve">Un système de ventilation à pression négative permettant de réduire les sources d’odeurs diffusées </w:t>
      </w:r>
    </w:p>
    <w:p w14:paraId="0E0F2B0D" w14:textId="2FB3A490" w:rsidR="00BF6AA8" w:rsidRPr="00B004EE" w:rsidRDefault="00BF6AA8" w:rsidP="00420DDA">
      <w:pPr>
        <w:pStyle w:val="Paragraphedeliste"/>
        <w:numPr>
          <w:ilvl w:val="0"/>
          <w:numId w:val="141"/>
        </w:numPr>
        <w:contextualSpacing/>
        <w:jc w:val="both"/>
        <w:rPr>
          <w:rFonts w:ascii="Tahoma" w:hAnsi="Tahoma" w:cs="Tahoma"/>
          <w:sz w:val="20"/>
          <w:szCs w:val="20"/>
        </w:rPr>
      </w:pPr>
      <w:r w:rsidRPr="00B004EE">
        <w:rPr>
          <w:rFonts w:ascii="Tahoma" w:hAnsi="Tahoma" w:cs="Tahoma"/>
          <w:sz w:val="20"/>
          <w:szCs w:val="20"/>
        </w:rPr>
        <w:t>Un système rejet hydrique en mer conformes aux valeurs limites définies à l’article 21 du présent arrêté.</w:t>
      </w:r>
    </w:p>
    <w:p w14:paraId="76F34FE9" w14:textId="40B93773" w:rsidR="00BF6AA8" w:rsidRPr="00B004EE" w:rsidRDefault="00BF6AA8" w:rsidP="00420DDA">
      <w:pPr>
        <w:pStyle w:val="Paragraphedeliste"/>
        <w:numPr>
          <w:ilvl w:val="0"/>
          <w:numId w:val="141"/>
        </w:numPr>
        <w:contextualSpacing/>
        <w:jc w:val="both"/>
        <w:rPr>
          <w:rFonts w:ascii="Tahoma" w:hAnsi="Tahoma" w:cs="Tahoma"/>
          <w:sz w:val="20"/>
          <w:szCs w:val="20"/>
        </w:rPr>
      </w:pPr>
      <w:r w:rsidRPr="00B004EE">
        <w:rPr>
          <w:rFonts w:ascii="Tahoma" w:hAnsi="Tahoma" w:cs="Tahoma"/>
          <w:sz w:val="20"/>
          <w:szCs w:val="20"/>
        </w:rPr>
        <w:t>Un réseau interne d’évacuation des eaux usées prêt à être connecté sur le réseau urbain une fois disponible.</w:t>
      </w:r>
    </w:p>
    <w:p w14:paraId="7D3E059F" w14:textId="77777777" w:rsidR="00BF6AA8" w:rsidRPr="00B004EE" w:rsidRDefault="00BF6AA8" w:rsidP="00B004EE">
      <w:pPr>
        <w:jc w:val="both"/>
        <w:rPr>
          <w:rFonts w:ascii="Tahoma" w:hAnsi="Tahoma" w:cs="Tahoma"/>
          <w:b/>
          <w:sz w:val="20"/>
          <w:szCs w:val="20"/>
        </w:rPr>
      </w:pPr>
    </w:p>
    <w:p w14:paraId="47C8E9DD" w14:textId="443FC55C" w:rsidR="00BF6AA8" w:rsidRPr="00B004EE" w:rsidRDefault="00BF6AA8" w:rsidP="00B004EE">
      <w:pPr>
        <w:jc w:val="both"/>
        <w:rPr>
          <w:rFonts w:ascii="Tahoma" w:hAnsi="Tahoma" w:cs="Tahoma"/>
          <w:bCs/>
          <w:i/>
          <w:sz w:val="20"/>
          <w:szCs w:val="20"/>
        </w:rPr>
      </w:pPr>
      <w:r w:rsidRPr="00B004EE">
        <w:rPr>
          <w:rFonts w:ascii="Tahoma" w:hAnsi="Tahoma" w:cs="Tahoma"/>
          <w:bCs/>
          <w:sz w:val="20"/>
          <w:szCs w:val="20"/>
        </w:rPr>
        <w:t>Article 21 : Les émissions polluantes dans l’air issues des activités des usines de fabrication de farine et huile</w:t>
      </w:r>
      <w:r w:rsidR="0056239C" w:rsidRPr="00B004EE">
        <w:rPr>
          <w:rFonts w:ascii="Tahoma" w:hAnsi="Tahoma" w:cs="Tahoma"/>
          <w:bCs/>
          <w:sz w:val="20"/>
          <w:szCs w:val="20"/>
        </w:rPr>
        <w:t xml:space="preserve"> </w:t>
      </w:r>
      <w:r w:rsidRPr="00B004EE">
        <w:rPr>
          <w:rFonts w:ascii="Tahoma" w:hAnsi="Tahoma" w:cs="Tahoma"/>
          <w:bCs/>
          <w:sz w:val="20"/>
          <w:szCs w:val="20"/>
        </w:rPr>
        <w:t>de poisson, en particulier les fumées, poussières (particules de farine), ou gaz toxique est interdite au-</w:t>
      </w:r>
      <w:r w:rsidR="0056239C" w:rsidRPr="00B004EE">
        <w:rPr>
          <w:rFonts w:ascii="Tahoma" w:hAnsi="Tahoma" w:cs="Tahoma"/>
          <w:bCs/>
          <w:sz w:val="20"/>
          <w:szCs w:val="20"/>
        </w:rPr>
        <w:t>delà des</w:t>
      </w:r>
      <w:r w:rsidRPr="00B004EE">
        <w:rPr>
          <w:rFonts w:ascii="Tahoma" w:hAnsi="Tahoma" w:cs="Tahoma"/>
          <w:bCs/>
          <w:sz w:val="20"/>
          <w:szCs w:val="20"/>
        </w:rPr>
        <w:t xml:space="preserve"> valeurs limites pour les polluants suivants :</w:t>
      </w:r>
      <w:r w:rsidRPr="00B004EE">
        <w:rPr>
          <w:rFonts w:ascii="Tahoma" w:hAnsi="Tahoma" w:cs="Tahoma"/>
          <w:bCs/>
          <w:i/>
          <w:sz w:val="20"/>
          <w:szCs w:val="20"/>
        </w:rPr>
        <w:t xml:space="preserve"> </w:t>
      </w:r>
    </w:p>
    <w:p w14:paraId="01C092F0" w14:textId="77777777" w:rsidR="00BF6AA8" w:rsidRPr="00B004EE" w:rsidRDefault="00BF6AA8" w:rsidP="00B004EE">
      <w:pPr>
        <w:jc w:val="both"/>
        <w:rPr>
          <w:rFonts w:ascii="Tahoma" w:hAnsi="Tahoma" w:cs="Tahoma"/>
          <w:b/>
          <w:sz w:val="20"/>
          <w:szCs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70"/>
        <w:gridCol w:w="2028"/>
        <w:gridCol w:w="3090"/>
      </w:tblGrid>
      <w:tr w:rsidR="00BF6AA8" w:rsidRPr="00B004EE" w14:paraId="3FCC83F0" w14:textId="77777777" w:rsidTr="00BF6AA8">
        <w:tc>
          <w:tcPr>
            <w:tcW w:w="4742" w:type="dxa"/>
          </w:tcPr>
          <w:p w14:paraId="53D1B7E2" w14:textId="77777777" w:rsidR="00BF6AA8" w:rsidRPr="00B004EE" w:rsidRDefault="00BF6AA8" w:rsidP="00B004EE">
            <w:pPr>
              <w:jc w:val="center"/>
              <w:rPr>
                <w:rFonts w:ascii="Tahoma" w:hAnsi="Tahoma" w:cs="Tahoma"/>
                <w:b/>
                <w:sz w:val="20"/>
                <w:szCs w:val="20"/>
              </w:rPr>
            </w:pPr>
            <w:r w:rsidRPr="00B004EE">
              <w:rPr>
                <w:rFonts w:ascii="Tahoma" w:hAnsi="Tahoma" w:cs="Tahoma"/>
                <w:b/>
                <w:sz w:val="20"/>
                <w:szCs w:val="20"/>
              </w:rPr>
              <w:t>Polluant</w:t>
            </w:r>
          </w:p>
        </w:tc>
        <w:tc>
          <w:tcPr>
            <w:tcW w:w="2268" w:type="dxa"/>
          </w:tcPr>
          <w:p w14:paraId="2F8849DF" w14:textId="77777777" w:rsidR="00BF6AA8" w:rsidRPr="00B004EE" w:rsidRDefault="00BF6AA8" w:rsidP="00B004EE">
            <w:pPr>
              <w:jc w:val="center"/>
              <w:rPr>
                <w:rFonts w:ascii="Tahoma" w:hAnsi="Tahoma" w:cs="Tahoma"/>
                <w:b/>
                <w:sz w:val="20"/>
                <w:szCs w:val="20"/>
              </w:rPr>
            </w:pPr>
            <w:r w:rsidRPr="00B004EE">
              <w:rPr>
                <w:rFonts w:ascii="Tahoma" w:hAnsi="Tahoma" w:cs="Tahoma"/>
                <w:b/>
                <w:sz w:val="20"/>
                <w:szCs w:val="20"/>
              </w:rPr>
              <w:t>Unité</w:t>
            </w:r>
          </w:p>
        </w:tc>
        <w:tc>
          <w:tcPr>
            <w:tcW w:w="3480" w:type="dxa"/>
          </w:tcPr>
          <w:p w14:paraId="1A86C8A8" w14:textId="77777777" w:rsidR="00BF6AA8" w:rsidRPr="00B004EE" w:rsidRDefault="00BF6AA8" w:rsidP="00B004EE">
            <w:pPr>
              <w:jc w:val="center"/>
              <w:rPr>
                <w:rFonts w:ascii="Tahoma" w:hAnsi="Tahoma" w:cs="Tahoma"/>
                <w:b/>
                <w:sz w:val="20"/>
                <w:szCs w:val="20"/>
              </w:rPr>
            </w:pPr>
            <w:r w:rsidRPr="00B004EE">
              <w:rPr>
                <w:rFonts w:ascii="Tahoma" w:hAnsi="Tahoma" w:cs="Tahoma"/>
                <w:b/>
                <w:sz w:val="20"/>
                <w:szCs w:val="20"/>
              </w:rPr>
              <w:t>Valeur de référence</w:t>
            </w:r>
          </w:p>
        </w:tc>
      </w:tr>
      <w:tr w:rsidR="00BF6AA8" w:rsidRPr="00B004EE" w14:paraId="6E28BD52" w14:textId="77777777" w:rsidTr="00BF6AA8">
        <w:tc>
          <w:tcPr>
            <w:tcW w:w="4742" w:type="dxa"/>
          </w:tcPr>
          <w:p w14:paraId="23EE5CCA" w14:textId="77777777" w:rsidR="00BF6AA8" w:rsidRPr="00B004EE" w:rsidRDefault="00BF6AA8" w:rsidP="00B004EE">
            <w:pPr>
              <w:jc w:val="center"/>
              <w:rPr>
                <w:rFonts w:ascii="Tahoma" w:hAnsi="Tahoma" w:cs="Tahoma"/>
                <w:sz w:val="20"/>
                <w:szCs w:val="20"/>
              </w:rPr>
            </w:pPr>
            <w:r w:rsidRPr="00B004EE">
              <w:rPr>
                <w:rFonts w:ascii="Tahoma" w:hAnsi="Tahoma" w:cs="Tahoma"/>
                <w:sz w:val="20"/>
                <w:szCs w:val="20"/>
              </w:rPr>
              <w:t>Ammoniac</w:t>
            </w:r>
          </w:p>
        </w:tc>
        <w:tc>
          <w:tcPr>
            <w:tcW w:w="2268" w:type="dxa"/>
          </w:tcPr>
          <w:p w14:paraId="0A6A799E" w14:textId="77777777" w:rsidR="00BF6AA8" w:rsidRPr="00B004EE" w:rsidRDefault="00BF6AA8" w:rsidP="00B004EE">
            <w:pPr>
              <w:jc w:val="center"/>
              <w:rPr>
                <w:rFonts w:ascii="Tahoma" w:hAnsi="Tahoma" w:cs="Tahoma"/>
                <w:sz w:val="20"/>
                <w:szCs w:val="20"/>
              </w:rPr>
            </w:pPr>
            <w:r w:rsidRPr="00B004EE">
              <w:rPr>
                <w:rFonts w:ascii="Tahoma" w:hAnsi="Tahoma" w:cs="Tahoma"/>
                <w:sz w:val="20"/>
                <w:szCs w:val="20"/>
              </w:rPr>
              <w:t>mg/m3</w:t>
            </w:r>
          </w:p>
        </w:tc>
        <w:tc>
          <w:tcPr>
            <w:tcW w:w="3480" w:type="dxa"/>
          </w:tcPr>
          <w:p w14:paraId="31C859C6" w14:textId="77777777" w:rsidR="00BF6AA8" w:rsidRPr="00B004EE" w:rsidRDefault="00BF6AA8" w:rsidP="00B004EE">
            <w:pPr>
              <w:jc w:val="center"/>
              <w:rPr>
                <w:rFonts w:ascii="Tahoma" w:hAnsi="Tahoma" w:cs="Tahoma"/>
                <w:sz w:val="20"/>
                <w:szCs w:val="20"/>
              </w:rPr>
            </w:pPr>
            <w:r w:rsidRPr="00B004EE">
              <w:rPr>
                <w:rFonts w:ascii="Tahoma" w:hAnsi="Tahoma" w:cs="Tahoma"/>
                <w:sz w:val="20"/>
                <w:szCs w:val="20"/>
              </w:rPr>
              <w:t>1</w:t>
            </w:r>
          </w:p>
        </w:tc>
      </w:tr>
      <w:tr w:rsidR="00BF6AA8" w:rsidRPr="00B004EE" w14:paraId="742FF667" w14:textId="77777777" w:rsidTr="00BF6AA8">
        <w:tc>
          <w:tcPr>
            <w:tcW w:w="4742" w:type="dxa"/>
          </w:tcPr>
          <w:p w14:paraId="2BF3DC11" w14:textId="77777777" w:rsidR="00BF6AA8" w:rsidRPr="00B004EE" w:rsidRDefault="00BF6AA8" w:rsidP="00B004EE">
            <w:pPr>
              <w:jc w:val="center"/>
              <w:rPr>
                <w:rFonts w:ascii="Tahoma" w:hAnsi="Tahoma" w:cs="Tahoma"/>
                <w:sz w:val="20"/>
                <w:szCs w:val="20"/>
              </w:rPr>
            </w:pPr>
            <w:r w:rsidRPr="00B004EE">
              <w:rPr>
                <w:rFonts w:ascii="Tahoma" w:hAnsi="Tahoma" w:cs="Tahoma"/>
                <w:sz w:val="20"/>
                <w:szCs w:val="20"/>
              </w:rPr>
              <w:t>Amines et amides</w:t>
            </w:r>
          </w:p>
        </w:tc>
        <w:tc>
          <w:tcPr>
            <w:tcW w:w="2268" w:type="dxa"/>
          </w:tcPr>
          <w:p w14:paraId="454E3398" w14:textId="77777777" w:rsidR="00BF6AA8" w:rsidRPr="00B004EE" w:rsidRDefault="00BF6AA8" w:rsidP="00B004EE">
            <w:pPr>
              <w:jc w:val="center"/>
              <w:rPr>
                <w:rFonts w:ascii="Tahoma" w:hAnsi="Tahoma" w:cs="Tahoma"/>
                <w:sz w:val="20"/>
                <w:szCs w:val="20"/>
              </w:rPr>
            </w:pPr>
            <w:r w:rsidRPr="00B004EE">
              <w:rPr>
                <w:rFonts w:ascii="Tahoma" w:hAnsi="Tahoma" w:cs="Tahoma"/>
                <w:sz w:val="20"/>
                <w:szCs w:val="20"/>
              </w:rPr>
              <w:t>mg/m3</w:t>
            </w:r>
          </w:p>
        </w:tc>
        <w:tc>
          <w:tcPr>
            <w:tcW w:w="3480" w:type="dxa"/>
          </w:tcPr>
          <w:p w14:paraId="641E29A1" w14:textId="77777777" w:rsidR="00BF6AA8" w:rsidRPr="00B004EE" w:rsidRDefault="00BF6AA8" w:rsidP="00B004EE">
            <w:pPr>
              <w:jc w:val="center"/>
              <w:rPr>
                <w:rFonts w:ascii="Tahoma" w:hAnsi="Tahoma" w:cs="Tahoma"/>
                <w:sz w:val="20"/>
                <w:szCs w:val="20"/>
              </w:rPr>
            </w:pPr>
            <w:r w:rsidRPr="00B004EE">
              <w:rPr>
                <w:rFonts w:ascii="Tahoma" w:hAnsi="Tahoma" w:cs="Tahoma"/>
                <w:sz w:val="20"/>
                <w:szCs w:val="20"/>
              </w:rPr>
              <w:t>5</w:t>
            </w:r>
          </w:p>
        </w:tc>
      </w:tr>
      <w:tr w:rsidR="00BF6AA8" w:rsidRPr="00B004EE" w14:paraId="08D73F95" w14:textId="77777777" w:rsidTr="00BF6AA8">
        <w:tc>
          <w:tcPr>
            <w:tcW w:w="4742" w:type="dxa"/>
          </w:tcPr>
          <w:p w14:paraId="6F0CC35A" w14:textId="77777777" w:rsidR="00BF6AA8" w:rsidRPr="00B004EE" w:rsidRDefault="00BF6AA8" w:rsidP="00B004EE">
            <w:pPr>
              <w:jc w:val="center"/>
              <w:rPr>
                <w:rFonts w:ascii="Tahoma" w:hAnsi="Tahoma" w:cs="Tahoma"/>
                <w:sz w:val="20"/>
                <w:szCs w:val="20"/>
              </w:rPr>
            </w:pPr>
            <w:r w:rsidRPr="00B004EE">
              <w:rPr>
                <w:rFonts w:ascii="Tahoma" w:hAnsi="Tahoma" w:cs="Tahoma"/>
                <w:sz w:val="20"/>
                <w:szCs w:val="20"/>
              </w:rPr>
              <w:t>Sulfure d’hydrogène, sulfures et mercaptan</w:t>
            </w:r>
          </w:p>
        </w:tc>
        <w:tc>
          <w:tcPr>
            <w:tcW w:w="2268" w:type="dxa"/>
          </w:tcPr>
          <w:p w14:paraId="57AF504D" w14:textId="77777777" w:rsidR="00BF6AA8" w:rsidRPr="00B004EE" w:rsidRDefault="00BF6AA8" w:rsidP="00B004EE">
            <w:pPr>
              <w:jc w:val="center"/>
              <w:rPr>
                <w:rFonts w:ascii="Tahoma" w:hAnsi="Tahoma" w:cs="Tahoma"/>
                <w:sz w:val="20"/>
                <w:szCs w:val="20"/>
              </w:rPr>
            </w:pPr>
            <w:r w:rsidRPr="00B004EE">
              <w:rPr>
                <w:rFonts w:ascii="Tahoma" w:hAnsi="Tahoma" w:cs="Tahoma"/>
                <w:sz w:val="20"/>
                <w:szCs w:val="20"/>
              </w:rPr>
              <w:t>mg/m3</w:t>
            </w:r>
          </w:p>
        </w:tc>
        <w:tc>
          <w:tcPr>
            <w:tcW w:w="3480" w:type="dxa"/>
          </w:tcPr>
          <w:p w14:paraId="7BA87681" w14:textId="77777777" w:rsidR="00BF6AA8" w:rsidRPr="00B004EE" w:rsidRDefault="00BF6AA8" w:rsidP="00B004EE">
            <w:pPr>
              <w:jc w:val="center"/>
              <w:rPr>
                <w:rFonts w:ascii="Tahoma" w:hAnsi="Tahoma" w:cs="Tahoma"/>
                <w:sz w:val="20"/>
                <w:szCs w:val="20"/>
              </w:rPr>
            </w:pPr>
            <w:r w:rsidRPr="00B004EE">
              <w:rPr>
                <w:rFonts w:ascii="Tahoma" w:hAnsi="Tahoma" w:cs="Tahoma"/>
                <w:sz w:val="20"/>
                <w:szCs w:val="20"/>
              </w:rPr>
              <w:t>2</w:t>
            </w:r>
          </w:p>
        </w:tc>
      </w:tr>
    </w:tbl>
    <w:p w14:paraId="44AEEF66" w14:textId="77777777" w:rsidR="00BF6AA8" w:rsidRPr="00B004EE" w:rsidRDefault="00BF6AA8" w:rsidP="00B004EE">
      <w:pPr>
        <w:rPr>
          <w:rFonts w:ascii="Tahoma" w:hAnsi="Tahoma" w:cs="Tahoma"/>
          <w:sz w:val="20"/>
          <w:szCs w:val="20"/>
          <w:u w:val="single"/>
        </w:rPr>
      </w:pPr>
    </w:p>
    <w:p w14:paraId="18B3EAAC" w14:textId="77777777" w:rsidR="007127C2" w:rsidRPr="00B004EE" w:rsidRDefault="007127C2" w:rsidP="00B004EE">
      <w:pPr>
        <w:jc w:val="both"/>
        <w:rPr>
          <w:rFonts w:ascii="Tahoma" w:hAnsi="Tahoma" w:cs="Tahoma"/>
          <w:sz w:val="20"/>
          <w:szCs w:val="20"/>
        </w:rPr>
      </w:pPr>
    </w:p>
    <w:p w14:paraId="7E515096" w14:textId="6C4F8F1C" w:rsidR="007127C2" w:rsidRPr="00B004EE" w:rsidRDefault="007127C2" w:rsidP="00B004EE">
      <w:pPr>
        <w:rPr>
          <w:rFonts w:ascii="Tahoma" w:hAnsi="Tahoma" w:cs="Tahoma"/>
          <w:sz w:val="20"/>
          <w:szCs w:val="20"/>
        </w:rPr>
      </w:pPr>
      <w:r w:rsidRPr="00B004EE">
        <w:rPr>
          <w:rFonts w:ascii="Tahoma" w:hAnsi="Tahoma" w:cs="Tahoma"/>
          <w:sz w:val="20"/>
          <w:szCs w:val="20"/>
        </w:rPr>
        <w:t>Article 22</w:t>
      </w:r>
      <w:r w:rsidR="0056239C" w:rsidRPr="00B004EE">
        <w:rPr>
          <w:rFonts w:ascii="Tahoma" w:hAnsi="Tahoma" w:cs="Tahoma"/>
          <w:sz w:val="20"/>
          <w:szCs w:val="20"/>
        </w:rPr>
        <w:t xml:space="preserve"> : </w:t>
      </w:r>
      <w:r w:rsidRPr="00B004EE">
        <w:rPr>
          <w:rFonts w:ascii="Tahoma" w:hAnsi="Tahoma" w:cs="Tahoma"/>
          <w:sz w:val="20"/>
          <w:szCs w:val="20"/>
        </w:rPr>
        <w:t xml:space="preserve">Les normes des eaux usées issues de traitement et/ou transformation des </w:t>
      </w:r>
      <w:r w:rsidR="0056239C" w:rsidRPr="00B004EE">
        <w:rPr>
          <w:rFonts w:ascii="Tahoma" w:hAnsi="Tahoma" w:cs="Tahoma"/>
          <w:sz w:val="20"/>
          <w:szCs w:val="20"/>
        </w:rPr>
        <w:t>sous-produits</w:t>
      </w:r>
      <w:r w:rsidRPr="00B004EE">
        <w:rPr>
          <w:rFonts w:ascii="Tahoma" w:hAnsi="Tahoma" w:cs="Tahoma"/>
          <w:sz w:val="20"/>
          <w:szCs w:val="20"/>
        </w:rPr>
        <w:t xml:space="preserve"> de pêche pour les polluants suivants ne doivent pas dépasser les valeurs limites suivantes :</w:t>
      </w:r>
    </w:p>
    <w:p w14:paraId="20006C92" w14:textId="218B3AF9" w:rsidR="007127C2" w:rsidRPr="00B004EE" w:rsidRDefault="007127C2" w:rsidP="00B004EE">
      <w:pPr>
        <w:ind w:left="360"/>
        <w:jc w:val="both"/>
        <w:rPr>
          <w:rFonts w:ascii="Tahoma" w:hAnsi="Tahoma" w:cs="Tahoma"/>
          <w:sz w:val="20"/>
          <w:szCs w:val="20"/>
        </w:rPr>
      </w:pPr>
    </w:p>
    <w:tbl>
      <w:tblPr>
        <w:tblStyle w:val="Grilledutableau"/>
        <w:tblW w:w="0" w:type="auto"/>
        <w:tblLook w:val="04A0" w:firstRow="1" w:lastRow="0" w:firstColumn="1" w:lastColumn="0" w:noHBand="0" w:noVBand="1"/>
      </w:tblPr>
      <w:tblGrid>
        <w:gridCol w:w="4053"/>
        <w:gridCol w:w="2111"/>
        <w:gridCol w:w="3232"/>
      </w:tblGrid>
      <w:tr w:rsidR="00150C90" w:rsidRPr="00B004EE" w14:paraId="0A5059F6" w14:textId="77777777" w:rsidTr="005212FB">
        <w:tc>
          <w:tcPr>
            <w:tcW w:w="4053" w:type="dxa"/>
          </w:tcPr>
          <w:p w14:paraId="4B51DAC8" w14:textId="77777777" w:rsidR="007127C2" w:rsidRPr="00B004EE" w:rsidRDefault="007127C2" w:rsidP="00B004EE">
            <w:pPr>
              <w:jc w:val="both"/>
              <w:rPr>
                <w:rFonts w:ascii="Tahoma" w:hAnsi="Tahoma" w:cs="Tahoma"/>
                <w:b/>
                <w:bCs/>
              </w:rPr>
            </w:pPr>
            <w:r w:rsidRPr="00B004EE">
              <w:rPr>
                <w:rFonts w:ascii="Tahoma" w:hAnsi="Tahoma" w:cs="Tahoma"/>
                <w:b/>
                <w:bCs/>
              </w:rPr>
              <w:t>Polluant</w:t>
            </w:r>
          </w:p>
        </w:tc>
        <w:tc>
          <w:tcPr>
            <w:tcW w:w="2111" w:type="dxa"/>
          </w:tcPr>
          <w:p w14:paraId="1E42F7E9" w14:textId="77777777" w:rsidR="007127C2" w:rsidRPr="00B004EE" w:rsidRDefault="007127C2" w:rsidP="00B004EE">
            <w:pPr>
              <w:jc w:val="center"/>
              <w:rPr>
                <w:rFonts w:ascii="Tahoma" w:hAnsi="Tahoma" w:cs="Tahoma"/>
                <w:b/>
                <w:bCs/>
              </w:rPr>
            </w:pPr>
            <w:r w:rsidRPr="00B004EE">
              <w:rPr>
                <w:rFonts w:ascii="Tahoma" w:hAnsi="Tahoma" w:cs="Tahoma"/>
                <w:b/>
                <w:bCs/>
              </w:rPr>
              <w:t>Unité</w:t>
            </w:r>
          </w:p>
        </w:tc>
        <w:tc>
          <w:tcPr>
            <w:tcW w:w="3232" w:type="dxa"/>
          </w:tcPr>
          <w:p w14:paraId="0A2D638A" w14:textId="77777777" w:rsidR="007127C2" w:rsidRPr="00B004EE" w:rsidRDefault="007127C2" w:rsidP="00B004EE">
            <w:pPr>
              <w:jc w:val="center"/>
              <w:rPr>
                <w:rFonts w:ascii="Tahoma" w:hAnsi="Tahoma" w:cs="Tahoma"/>
                <w:b/>
                <w:bCs/>
              </w:rPr>
            </w:pPr>
            <w:r w:rsidRPr="00B004EE">
              <w:rPr>
                <w:rFonts w:ascii="Tahoma" w:hAnsi="Tahoma" w:cs="Tahoma"/>
                <w:b/>
                <w:bCs/>
              </w:rPr>
              <w:t>Valeur de référence</w:t>
            </w:r>
          </w:p>
        </w:tc>
      </w:tr>
      <w:tr w:rsidR="00150C90" w:rsidRPr="00B004EE" w14:paraId="58628EB3" w14:textId="77777777" w:rsidTr="005212FB">
        <w:tc>
          <w:tcPr>
            <w:tcW w:w="4053" w:type="dxa"/>
          </w:tcPr>
          <w:p w14:paraId="4797E804" w14:textId="77777777" w:rsidR="007127C2" w:rsidRPr="00B004EE" w:rsidRDefault="007127C2" w:rsidP="00B004EE">
            <w:pPr>
              <w:jc w:val="both"/>
              <w:rPr>
                <w:rFonts w:ascii="Tahoma" w:hAnsi="Tahoma" w:cs="Tahoma"/>
              </w:rPr>
            </w:pPr>
            <w:r w:rsidRPr="00B004EE">
              <w:rPr>
                <w:rFonts w:ascii="Tahoma" w:hAnsi="Tahoma" w:cs="Tahoma"/>
              </w:rPr>
              <w:t>pH</w:t>
            </w:r>
          </w:p>
        </w:tc>
        <w:tc>
          <w:tcPr>
            <w:tcW w:w="2111" w:type="dxa"/>
          </w:tcPr>
          <w:p w14:paraId="29ACBD64" w14:textId="77777777" w:rsidR="007127C2" w:rsidRPr="00B004EE" w:rsidRDefault="007127C2" w:rsidP="00B004EE">
            <w:pPr>
              <w:jc w:val="center"/>
              <w:rPr>
                <w:rFonts w:ascii="Tahoma" w:hAnsi="Tahoma" w:cs="Tahoma"/>
              </w:rPr>
            </w:pPr>
            <w:r w:rsidRPr="00B004EE">
              <w:rPr>
                <w:rFonts w:ascii="Tahoma" w:hAnsi="Tahoma" w:cs="Tahoma"/>
              </w:rPr>
              <w:t>pH</w:t>
            </w:r>
          </w:p>
        </w:tc>
        <w:tc>
          <w:tcPr>
            <w:tcW w:w="3232" w:type="dxa"/>
          </w:tcPr>
          <w:p w14:paraId="62EA7A4C" w14:textId="77777777" w:rsidR="007127C2" w:rsidRPr="00B004EE" w:rsidRDefault="007127C2" w:rsidP="00B004EE">
            <w:pPr>
              <w:jc w:val="center"/>
              <w:rPr>
                <w:rFonts w:ascii="Tahoma" w:hAnsi="Tahoma" w:cs="Tahoma"/>
              </w:rPr>
            </w:pPr>
            <w:r w:rsidRPr="00B004EE">
              <w:rPr>
                <w:rFonts w:ascii="Tahoma" w:hAnsi="Tahoma" w:cs="Tahoma"/>
              </w:rPr>
              <w:t>6 - 9</w:t>
            </w:r>
          </w:p>
        </w:tc>
      </w:tr>
      <w:tr w:rsidR="00150C90" w:rsidRPr="00B004EE" w14:paraId="1E1A470C" w14:textId="77777777" w:rsidTr="005212FB">
        <w:tc>
          <w:tcPr>
            <w:tcW w:w="4053" w:type="dxa"/>
          </w:tcPr>
          <w:p w14:paraId="580941BE" w14:textId="77777777" w:rsidR="007127C2" w:rsidRPr="00B004EE" w:rsidRDefault="007127C2" w:rsidP="00B004EE">
            <w:pPr>
              <w:jc w:val="both"/>
              <w:rPr>
                <w:rFonts w:ascii="Tahoma" w:hAnsi="Tahoma" w:cs="Tahoma"/>
              </w:rPr>
            </w:pPr>
            <w:r w:rsidRPr="00B004EE">
              <w:rPr>
                <w:rFonts w:ascii="Tahoma" w:hAnsi="Tahoma" w:cs="Tahoma"/>
              </w:rPr>
              <w:t>DBO5</w:t>
            </w:r>
          </w:p>
        </w:tc>
        <w:tc>
          <w:tcPr>
            <w:tcW w:w="2111" w:type="dxa"/>
          </w:tcPr>
          <w:p w14:paraId="762BF242" w14:textId="77777777" w:rsidR="007127C2" w:rsidRPr="00B004EE" w:rsidRDefault="007127C2" w:rsidP="00B004EE">
            <w:pPr>
              <w:jc w:val="center"/>
              <w:rPr>
                <w:rFonts w:ascii="Tahoma" w:hAnsi="Tahoma" w:cs="Tahoma"/>
              </w:rPr>
            </w:pPr>
            <w:r w:rsidRPr="00B004EE">
              <w:rPr>
                <w:rFonts w:ascii="Tahoma" w:hAnsi="Tahoma" w:cs="Tahoma"/>
              </w:rPr>
              <w:t>mq/1</w:t>
            </w:r>
          </w:p>
        </w:tc>
        <w:tc>
          <w:tcPr>
            <w:tcW w:w="3232" w:type="dxa"/>
          </w:tcPr>
          <w:p w14:paraId="0EF9BED2" w14:textId="77777777" w:rsidR="007127C2" w:rsidRPr="00B004EE" w:rsidRDefault="007127C2" w:rsidP="00B004EE">
            <w:pPr>
              <w:jc w:val="center"/>
              <w:rPr>
                <w:rFonts w:ascii="Tahoma" w:hAnsi="Tahoma" w:cs="Tahoma"/>
              </w:rPr>
            </w:pPr>
            <w:r w:rsidRPr="00B004EE">
              <w:rPr>
                <w:rFonts w:ascii="Tahoma" w:hAnsi="Tahoma" w:cs="Tahoma"/>
              </w:rPr>
              <w:t>50</w:t>
            </w:r>
          </w:p>
        </w:tc>
      </w:tr>
      <w:tr w:rsidR="00150C90" w:rsidRPr="00B004EE" w14:paraId="12AE9862" w14:textId="77777777" w:rsidTr="005212FB">
        <w:tc>
          <w:tcPr>
            <w:tcW w:w="4053" w:type="dxa"/>
          </w:tcPr>
          <w:p w14:paraId="71245925" w14:textId="77777777" w:rsidR="007127C2" w:rsidRPr="00B004EE" w:rsidRDefault="007127C2" w:rsidP="00B004EE">
            <w:pPr>
              <w:jc w:val="both"/>
              <w:rPr>
                <w:rFonts w:ascii="Tahoma" w:hAnsi="Tahoma" w:cs="Tahoma"/>
              </w:rPr>
            </w:pPr>
            <w:r w:rsidRPr="00B004EE">
              <w:rPr>
                <w:rFonts w:ascii="Tahoma" w:hAnsi="Tahoma" w:cs="Tahoma"/>
              </w:rPr>
              <w:t>Azote total</w:t>
            </w:r>
          </w:p>
        </w:tc>
        <w:tc>
          <w:tcPr>
            <w:tcW w:w="2111" w:type="dxa"/>
          </w:tcPr>
          <w:p w14:paraId="1A7CCCB7" w14:textId="77777777" w:rsidR="007127C2" w:rsidRPr="00B004EE" w:rsidRDefault="007127C2" w:rsidP="00B004EE">
            <w:pPr>
              <w:jc w:val="center"/>
              <w:rPr>
                <w:rFonts w:ascii="Tahoma" w:hAnsi="Tahoma" w:cs="Tahoma"/>
              </w:rPr>
            </w:pPr>
            <w:r w:rsidRPr="00B004EE">
              <w:rPr>
                <w:rFonts w:ascii="Tahoma" w:hAnsi="Tahoma" w:cs="Tahoma"/>
              </w:rPr>
              <w:t>mg/1</w:t>
            </w:r>
          </w:p>
        </w:tc>
        <w:tc>
          <w:tcPr>
            <w:tcW w:w="3232" w:type="dxa"/>
          </w:tcPr>
          <w:p w14:paraId="40C64E17" w14:textId="77777777" w:rsidR="007127C2" w:rsidRPr="00B004EE" w:rsidRDefault="007127C2" w:rsidP="00B004EE">
            <w:pPr>
              <w:jc w:val="center"/>
              <w:rPr>
                <w:rFonts w:ascii="Tahoma" w:hAnsi="Tahoma" w:cs="Tahoma"/>
              </w:rPr>
            </w:pPr>
            <w:r w:rsidRPr="00B004EE">
              <w:rPr>
                <w:rFonts w:ascii="Tahoma" w:hAnsi="Tahoma" w:cs="Tahoma"/>
              </w:rPr>
              <w:t>10</w:t>
            </w:r>
          </w:p>
        </w:tc>
      </w:tr>
      <w:tr w:rsidR="00150C90" w:rsidRPr="00B004EE" w14:paraId="4F1AA241" w14:textId="77777777" w:rsidTr="005212FB">
        <w:tc>
          <w:tcPr>
            <w:tcW w:w="4053" w:type="dxa"/>
          </w:tcPr>
          <w:p w14:paraId="4F189AC7" w14:textId="77777777" w:rsidR="007127C2" w:rsidRPr="00B004EE" w:rsidRDefault="007127C2" w:rsidP="00B004EE">
            <w:pPr>
              <w:jc w:val="both"/>
              <w:rPr>
                <w:rFonts w:ascii="Tahoma" w:hAnsi="Tahoma" w:cs="Tahoma"/>
              </w:rPr>
            </w:pPr>
            <w:r w:rsidRPr="00B004EE">
              <w:rPr>
                <w:rFonts w:ascii="Tahoma" w:hAnsi="Tahoma" w:cs="Tahoma"/>
              </w:rPr>
              <w:t>Phosphore total</w:t>
            </w:r>
          </w:p>
        </w:tc>
        <w:tc>
          <w:tcPr>
            <w:tcW w:w="2111" w:type="dxa"/>
          </w:tcPr>
          <w:p w14:paraId="7DF6A074" w14:textId="77777777" w:rsidR="007127C2" w:rsidRPr="00B004EE" w:rsidRDefault="007127C2" w:rsidP="00B004EE">
            <w:pPr>
              <w:jc w:val="center"/>
              <w:rPr>
                <w:rFonts w:ascii="Tahoma" w:hAnsi="Tahoma" w:cs="Tahoma"/>
              </w:rPr>
            </w:pPr>
            <w:r w:rsidRPr="00B004EE">
              <w:rPr>
                <w:rFonts w:ascii="Tahoma" w:hAnsi="Tahoma" w:cs="Tahoma"/>
              </w:rPr>
              <w:t>mq/1</w:t>
            </w:r>
          </w:p>
        </w:tc>
        <w:tc>
          <w:tcPr>
            <w:tcW w:w="3232" w:type="dxa"/>
          </w:tcPr>
          <w:p w14:paraId="79766C03" w14:textId="77777777" w:rsidR="007127C2" w:rsidRPr="00B004EE" w:rsidRDefault="007127C2" w:rsidP="00B004EE">
            <w:pPr>
              <w:jc w:val="center"/>
              <w:rPr>
                <w:rFonts w:ascii="Tahoma" w:hAnsi="Tahoma" w:cs="Tahoma"/>
              </w:rPr>
            </w:pPr>
            <w:r w:rsidRPr="00B004EE">
              <w:rPr>
                <w:rFonts w:ascii="Tahoma" w:hAnsi="Tahoma" w:cs="Tahoma"/>
              </w:rPr>
              <w:t>2</w:t>
            </w:r>
          </w:p>
        </w:tc>
      </w:tr>
      <w:tr w:rsidR="00150C90" w:rsidRPr="00B004EE" w14:paraId="0A7E8601" w14:textId="77777777" w:rsidTr="005212FB">
        <w:tc>
          <w:tcPr>
            <w:tcW w:w="4053" w:type="dxa"/>
          </w:tcPr>
          <w:p w14:paraId="4BCF787F" w14:textId="77777777" w:rsidR="007127C2" w:rsidRPr="00B004EE" w:rsidRDefault="007127C2" w:rsidP="00B004EE">
            <w:pPr>
              <w:jc w:val="both"/>
              <w:rPr>
                <w:rFonts w:ascii="Tahoma" w:hAnsi="Tahoma" w:cs="Tahoma"/>
              </w:rPr>
            </w:pPr>
            <w:r w:rsidRPr="00B004EE">
              <w:rPr>
                <w:rFonts w:ascii="Tahoma" w:hAnsi="Tahoma" w:cs="Tahoma"/>
              </w:rPr>
              <w:t>Huiles et graisses</w:t>
            </w:r>
          </w:p>
        </w:tc>
        <w:tc>
          <w:tcPr>
            <w:tcW w:w="2111" w:type="dxa"/>
          </w:tcPr>
          <w:p w14:paraId="714E74A7" w14:textId="77777777" w:rsidR="007127C2" w:rsidRPr="00B004EE" w:rsidRDefault="007127C2" w:rsidP="00B004EE">
            <w:pPr>
              <w:jc w:val="center"/>
              <w:rPr>
                <w:rFonts w:ascii="Tahoma" w:hAnsi="Tahoma" w:cs="Tahoma"/>
              </w:rPr>
            </w:pPr>
            <w:r w:rsidRPr="00B004EE">
              <w:rPr>
                <w:rFonts w:ascii="Tahoma" w:hAnsi="Tahoma" w:cs="Tahoma"/>
              </w:rPr>
              <w:t>mq/1</w:t>
            </w:r>
          </w:p>
        </w:tc>
        <w:tc>
          <w:tcPr>
            <w:tcW w:w="3232" w:type="dxa"/>
          </w:tcPr>
          <w:p w14:paraId="69DE26AC" w14:textId="77777777" w:rsidR="007127C2" w:rsidRPr="00B004EE" w:rsidRDefault="007127C2" w:rsidP="00B004EE">
            <w:pPr>
              <w:jc w:val="center"/>
              <w:rPr>
                <w:rFonts w:ascii="Tahoma" w:hAnsi="Tahoma" w:cs="Tahoma"/>
              </w:rPr>
            </w:pPr>
            <w:r w:rsidRPr="00B004EE">
              <w:rPr>
                <w:rFonts w:ascii="Tahoma" w:hAnsi="Tahoma" w:cs="Tahoma"/>
              </w:rPr>
              <w:t>10</w:t>
            </w:r>
          </w:p>
        </w:tc>
      </w:tr>
      <w:tr w:rsidR="00150C90" w:rsidRPr="00B004EE" w14:paraId="7A599E0F" w14:textId="77777777" w:rsidTr="005212FB">
        <w:tc>
          <w:tcPr>
            <w:tcW w:w="4053" w:type="dxa"/>
          </w:tcPr>
          <w:p w14:paraId="32E78EF5" w14:textId="77777777" w:rsidR="007127C2" w:rsidRPr="00B004EE" w:rsidRDefault="007127C2" w:rsidP="00B004EE">
            <w:pPr>
              <w:jc w:val="both"/>
              <w:rPr>
                <w:rFonts w:ascii="Tahoma" w:hAnsi="Tahoma" w:cs="Tahoma"/>
              </w:rPr>
            </w:pPr>
            <w:r w:rsidRPr="00B004EE">
              <w:rPr>
                <w:rFonts w:ascii="Tahoma" w:hAnsi="Tahoma" w:cs="Tahoma"/>
              </w:rPr>
              <w:t>Solides totaux en suspension</w:t>
            </w:r>
          </w:p>
        </w:tc>
        <w:tc>
          <w:tcPr>
            <w:tcW w:w="2111" w:type="dxa"/>
          </w:tcPr>
          <w:p w14:paraId="7864287D" w14:textId="77777777" w:rsidR="007127C2" w:rsidRPr="00B004EE" w:rsidRDefault="007127C2" w:rsidP="00B004EE">
            <w:pPr>
              <w:jc w:val="center"/>
              <w:rPr>
                <w:rFonts w:ascii="Tahoma" w:hAnsi="Tahoma" w:cs="Tahoma"/>
              </w:rPr>
            </w:pPr>
            <w:r w:rsidRPr="00B004EE">
              <w:rPr>
                <w:rFonts w:ascii="Tahoma" w:hAnsi="Tahoma" w:cs="Tahoma"/>
              </w:rPr>
              <w:t>mg/1</w:t>
            </w:r>
          </w:p>
        </w:tc>
        <w:tc>
          <w:tcPr>
            <w:tcW w:w="3232" w:type="dxa"/>
          </w:tcPr>
          <w:p w14:paraId="35723B4C" w14:textId="77777777" w:rsidR="007127C2" w:rsidRPr="00B004EE" w:rsidRDefault="007127C2" w:rsidP="00B004EE">
            <w:pPr>
              <w:jc w:val="center"/>
              <w:rPr>
                <w:rFonts w:ascii="Tahoma" w:hAnsi="Tahoma" w:cs="Tahoma"/>
              </w:rPr>
            </w:pPr>
            <w:r w:rsidRPr="00B004EE">
              <w:rPr>
                <w:rFonts w:ascii="Tahoma" w:hAnsi="Tahoma" w:cs="Tahoma"/>
              </w:rPr>
              <w:t>50</w:t>
            </w:r>
          </w:p>
        </w:tc>
      </w:tr>
      <w:tr w:rsidR="00150C90" w:rsidRPr="00B004EE" w14:paraId="0BB7AA86" w14:textId="77777777" w:rsidTr="005212FB">
        <w:tc>
          <w:tcPr>
            <w:tcW w:w="4053" w:type="dxa"/>
          </w:tcPr>
          <w:p w14:paraId="5B11A247" w14:textId="77777777" w:rsidR="007127C2" w:rsidRPr="00B004EE" w:rsidRDefault="007127C2" w:rsidP="00B004EE">
            <w:pPr>
              <w:jc w:val="both"/>
              <w:rPr>
                <w:rFonts w:ascii="Tahoma" w:hAnsi="Tahoma" w:cs="Tahoma"/>
              </w:rPr>
            </w:pPr>
            <w:r w:rsidRPr="00B004EE">
              <w:rPr>
                <w:rFonts w:ascii="Tahoma" w:hAnsi="Tahoma" w:cs="Tahoma"/>
              </w:rPr>
              <w:t>Augmentation de température</w:t>
            </w:r>
          </w:p>
        </w:tc>
        <w:tc>
          <w:tcPr>
            <w:tcW w:w="2111" w:type="dxa"/>
          </w:tcPr>
          <w:p w14:paraId="4E8B6F4F" w14:textId="77777777" w:rsidR="007127C2" w:rsidRPr="00B004EE" w:rsidRDefault="007127C2" w:rsidP="00B004EE">
            <w:pPr>
              <w:jc w:val="center"/>
              <w:rPr>
                <w:rFonts w:ascii="Tahoma" w:hAnsi="Tahoma" w:cs="Tahoma"/>
              </w:rPr>
            </w:pPr>
            <w:r w:rsidRPr="00B004EE">
              <w:rPr>
                <w:rFonts w:ascii="Tahoma" w:hAnsi="Tahoma" w:cs="Tahoma"/>
              </w:rPr>
              <w:t>OC</w:t>
            </w:r>
          </w:p>
        </w:tc>
        <w:tc>
          <w:tcPr>
            <w:tcW w:w="3232" w:type="dxa"/>
          </w:tcPr>
          <w:p w14:paraId="563A0AA8" w14:textId="77777777" w:rsidR="007127C2" w:rsidRPr="00B004EE" w:rsidRDefault="007127C2" w:rsidP="00B004EE">
            <w:pPr>
              <w:jc w:val="center"/>
              <w:rPr>
                <w:rFonts w:ascii="Tahoma" w:hAnsi="Tahoma" w:cs="Tahoma"/>
              </w:rPr>
            </w:pPr>
            <w:r w:rsidRPr="00B004EE">
              <w:rPr>
                <w:rFonts w:ascii="Tahoma" w:hAnsi="Tahoma" w:cs="Tahoma"/>
              </w:rPr>
              <w:t>&lt;3 a</w:t>
            </w:r>
          </w:p>
        </w:tc>
      </w:tr>
      <w:tr w:rsidR="00150C90" w:rsidRPr="00B004EE" w14:paraId="1B696807" w14:textId="77777777" w:rsidTr="005212FB">
        <w:tc>
          <w:tcPr>
            <w:tcW w:w="4053" w:type="dxa"/>
          </w:tcPr>
          <w:p w14:paraId="201581D7" w14:textId="77777777" w:rsidR="007127C2" w:rsidRPr="00B004EE" w:rsidRDefault="007127C2" w:rsidP="00B004EE">
            <w:pPr>
              <w:jc w:val="both"/>
              <w:rPr>
                <w:rFonts w:ascii="Tahoma" w:hAnsi="Tahoma" w:cs="Tahoma"/>
              </w:rPr>
            </w:pPr>
            <w:r w:rsidRPr="00B004EE">
              <w:rPr>
                <w:rFonts w:ascii="Tahoma" w:hAnsi="Tahoma" w:cs="Tahoma"/>
              </w:rPr>
              <w:t>Coliformes totaux</w:t>
            </w:r>
          </w:p>
        </w:tc>
        <w:tc>
          <w:tcPr>
            <w:tcW w:w="2111" w:type="dxa"/>
          </w:tcPr>
          <w:p w14:paraId="7422E08E" w14:textId="77777777" w:rsidR="007127C2" w:rsidRPr="00B004EE" w:rsidRDefault="007127C2" w:rsidP="00B004EE">
            <w:pPr>
              <w:jc w:val="center"/>
              <w:rPr>
                <w:rFonts w:ascii="Tahoma" w:hAnsi="Tahoma" w:cs="Tahoma"/>
              </w:rPr>
            </w:pPr>
            <w:r w:rsidRPr="00B004EE">
              <w:rPr>
                <w:rFonts w:ascii="Tahoma" w:hAnsi="Tahoma" w:cs="Tahoma"/>
              </w:rPr>
              <w:t>NPP b / 100 ml</w:t>
            </w:r>
          </w:p>
        </w:tc>
        <w:tc>
          <w:tcPr>
            <w:tcW w:w="3232" w:type="dxa"/>
          </w:tcPr>
          <w:p w14:paraId="790DA46A" w14:textId="77777777" w:rsidR="007127C2" w:rsidRPr="00B004EE" w:rsidRDefault="007127C2" w:rsidP="00B004EE">
            <w:pPr>
              <w:jc w:val="center"/>
              <w:rPr>
                <w:rFonts w:ascii="Tahoma" w:hAnsi="Tahoma" w:cs="Tahoma"/>
              </w:rPr>
            </w:pPr>
            <w:r w:rsidRPr="00B004EE">
              <w:rPr>
                <w:rFonts w:ascii="Tahoma" w:hAnsi="Tahoma" w:cs="Tahoma"/>
              </w:rPr>
              <w:t>400</w:t>
            </w:r>
          </w:p>
        </w:tc>
      </w:tr>
    </w:tbl>
    <w:p w14:paraId="6E69463A" w14:textId="77777777" w:rsidR="005212FB" w:rsidRPr="00B004EE" w:rsidRDefault="005212FB" w:rsidP="00B004EE">
      <w:pPr>
        <w:jc w:val="both"/>
        <w:rPr>
          <w:rFonts w:ascii="Tahoma" w:hAnsi="Tahoma" w:cs="Tahoma"/>
          <w:sz w:val="20"/>
          <w:szCs w:val="20"/>
        </w:rPr>
      </w:pPr>
    </w:p>
    <w:p w14:paraId="57B80F89" w14:textId="77777777" w:rsidR="005212FB" w:rsidRPr="00B004EE" w:rsidRDefault="005212FB" w:rsidP="00420DDA">
      <w:pPr>
        <w:pStyle w:val="Paragraphedeliste"/>
        <w:numPr>
          <w:ilvl w:val="0"/>
          <w:numId w:val="129"/>
        </w:numPr>
        <w:ind w:left="426"/>
        <w:jc w:val="both"/>
        <w:rPr>
          <w:rFonts w:ascii="Tahoma" w:hAnsi="Tahoma" w:cs="Tahoma"/>
          <w:sz w:val="20"/>
          <w:szCs w:val="20"/>
        </w:rPr>
      </w:pPr>
      <w:proofErr w:type="gramStart"/>
      <w:r w:rsidRPr="00B004EE">
        <w:rPr>
          <w:rFonts w:ascii="Tahoma" w:hAnsi="Tahoma" w:cs="Tahoma"/>
          <w:sz w:val="20"/>
          <w:szCs w:val="20"/>
        </w:rPr>
        <w:t>à</w:t>
      </w:r>
      <w:proofErr w:type="gramEnd"/>
      <w:r w:rsidRPr="00B004EE">
        <w:rPr>
          <w:rFonts w:ascii="Tahoma" w:hAnsi="Tahoma" w:cs="Tahoma"/>
          <w:sz w:val="20"/>
          <w:szCs w:val="20"/>
        </w:rPr>
        <w:t xml:space="preserve"> la limite d'une zone de mélange définie scientifiquement et en tenant compte de la qualité de l'eau ambiante, de l'utilisation des eaux réceptrices, des récepteurs potentiels et de la capacité d'assimilation de l'environnement.</w:t>
      </w:r>
    </w:p>
    <w:p w14:paraId="6A2AED12" w14:textId="73E71945" w:rsidR="007127C2" w:rsidRDefault="007127C2" w:rsidP="00420DDA">
      <w:pPr>
        <w:pStyle w:val="Paragraphedeliste"/>
        <w:numPr>
          <w:ilvl w:val="0"/>
          <w:numId w:val="129"/>
        </w:numPr>
        <w:ind w:left="426"/>
        <w:jc w:val="both"/>
        <w:rPr>
          <w:rFonts w:ascii="Tahoma" w:hAnsi="Tahoma" w:cs="Tahoma"/>
          <w:sz w:val="20"/>
          <w:szCs w:val="20"/>
        </w:rPr>
      </w:pPr>
      <w:r w:rsidRPr="00B004EE">
        <w:rPr>
          <w:rFonts w:ascii="Tahoma" w:hAnsi="Tahoma" w:cs="Tahoma"/>
          <w:sz w:val="20"/>
          <w:szCs w:val="20"/>
        </w:rPr>
        <w:t>NPP = nombre le plus probable</w:t>
      </w:r>
    </w:p>
    <w:p w14:paraId="03C16E39" w14:textId="414864A3" w:rsidR="00FA0779" w:rsidRDefault="00FA0779" w:rsidP="00FA0779">
      <w:pPr>
        <w:jc w:val="both"/>
        <w:rPr>
          <w:rFonts w:ascii="Tahoma" w:hAnsi="Tahoma" w:cs="Tahoma"/>
          <w:sz w:val="20"/>
          <w:szCs w:val="20"/>
        </w:rPr>
      </w:pPr>
    </w:p>
    <w:p w14:paraId="114997AF" w14:textId="400F6674" w:rsidR="00FA0779" w:rsidRDefault="00FA0779" w:rsidP="00FA0779">
      <w:pPr>
        <w:jc w:val="both"/>
        <w:rPr>
          <w:rFonts w:ascii="Tahoma" w:hAnsi="Tahoma" w:cs="Tahoma"/>
          <w:sz w:val="20"/>
          <w:szCs w:val="20"/>
        </w:rPr>
      </w:pPr>
    </w:p>
    <w:p w14:paraId="29DA3C7F" w14:textId="77777777" w:rsidR="00FA0779" w:rsidRPr="00FA0779" w:rsidRDefault="00FA0779" w:rsidP="00FA0779">
      <w:pPr>
        <w:jc w:val="both"/>
        <w:rPr>
          <w:rFonts w:ascii="Tahoma" w:hAnsi="Tahoma" w:cs="Tahoma"/>
          <w:sz w:val="20"/>
          <w:szCs w:val="20"/>
        </w:rPr>
      </w:pPr>
    </w:p>
    <w:p w14:paraId="12134152" w14:textId="59536007" w:rsidR="0056239C" w:rsidRPr="00B004EE" w:rsidRDefault="0056239C" w:rsidP="00B004EE">
      <w:pPr>
        <w:jc w:val="both"/>
        <w:rPr>
          <w:rFonts w:ascii="Tahoma" w:hAnsi="Tahoma" w:cs="Tahoma"/>
          <w:sz w:val="20"/>
          <w:szCs w:val="20"/>
        </w:rPr>
      </w:pPr>
    </w:p>
    <w:p w14:paraId="2F362134" w14:textId="155BEDDB" w:rsidR="007127C2" w:rsidRPr="00B004EE" w:rsidRDefault="007127C2" w:rsidP="00B004EE">
      <w:pPr>
        <w:jc w:val="center"/>
        <w:rPr>
          <w:rFonts w:ascii="Tahoma" w:hAnsi="Tahoma" w:cs="Tahoma"/>
          <w:b/>
          <w:bCs/>
          <w:sz w:val="20"/>
          <w:szCs w:val="20"/>
        </w:rPr>
      </w:pPr>
      <w:r w:rsidRPr="00B004EE">
        <w:rPr>
          <w:rFonts w:ascii="Tahoma" w:hAnsi="Tahoma" w:cs="Tahoma"/>
          <w:b/>
          <w:bCs/>
          <w:sz w:val="20"/>
          <w:szCs w:val="20"/>
        </w:rPr>
        <w:lastRenderedPageBreak/>
        <w:t>TITRE V</w:t>
      </w:r>
      <w:r w:rsidR="00A5129F" w:rsidRPr="00B004EE">
        <w:rPr>
          <w:rFonts w:ascii="Tahoma" w:hAnsi="Tahoma" w:cs="Tahoma"/>
          <w:b/>
          <w:bCs/>
          <w:sz w:val="20"/>
          <w:szCs w:val="20"/>
        </w:rPr>
        <w:t xml:space="preserve"> : </w:t>
      </w:r>
      <w:r w:rsidRPr="00B004EE">
        <w:rPr>
          <w:rFonts w:ascii="Tahoma" w:hAnsi="Tahoma" w:cs="Tahoma"/>
          <w:b/>
          <w:bCs/>
          <w:sz w:val="20"/>
          <w:szCs w:val="20"/>
        </w:rPr>
        <w:t>Conditions en matière de contrôle des Industries</w:t>
      </w:r>
    </w:p>
    <w:p w14:paraId="4AA4A4A7" w14:textId="77777777" w:rsidR="007127C2" w:rsidRPr="00B004EE" w:rsidRDefault="007127C2" w:rsidP="00B004EE">
      <w:pPr>
        <w:jc w:val="center"/>
        <w:rPr>
          <w:rFonts w:ascii="Tahoma" w:hAnsi="Tahoma" w:cs="Tahoma"/>
          <w:b/>
          <w:bCs/>
          <w:sz w:val="20"/>
          <w:szCs w:val="20"/>
        </w:rPr>
      </w:pPr>
    </w:p>
    <w:p w14:paraId="1ABDB970" w14:textId="1EBEEDAD" w:rsidR="007127C2" w:rsidRPr="00B004EE" w:rsidRDefault="007127C2" w:rsidP="00B004EE">
      <w:pPr>
        <w:jc w:val="both"/>
        <w:rPr>
          <w:rFonts w:ascii="Tahoma" w:hAnsi="Tahoma" w:cs="Tahoma"/>
          <w:sz w:val="20"/>
          <w:szCs w:val="20"/>
        </w:rPr>
      </w:pPr>
      <w:r w:rsidRPr="00B004EE">
        <w:rPr>
          <w:rFonts w:ascii="Tahoma" w:hAnsi="Tahoma" w:cs="Tahoma"/>
          <w:sz w:val="20"/>
          <w:szCs w:val="20"/>
        </w:rPr>
        <w:t>Article 23</w:t>
      </w:r>
      <w:r w:rsidR="0056239C" w:rsidRPr="00B004EE">
        <w:rPr>
          <w:rFonts w:ascii="Tahoma" w:hAnsi="Tahoma" w:cs="Tahoma"/>
          <w:sz w:val="20"/>
          <w:szCs w:val="20"/>
        </w:rPr>
        <w:t xml:space="preserve"> : </w:t>
      </w:r>
      <w:r w:rsidRPr="00B004EE">
        <w:rPr>
          <w:rFonts w:ascii="Tahoma" w:hAnsi="Tahoma" w:cs="Tahoma"/>
          <w:sz w:val="20"/>
          <w:szCs w:val="20"/>
        </w:rPr>
        <w:t>Les exploitants d'usines de transformation des sous -produits de pêche et produits dérivés non destinés à la consommation humaine doivent se conformer aux dispositions du décret 2009-189/PM/MF/MIM du 07 juin 2009 relatif à l'enregistrement, au suivi et à la classification des entreprises, notamment les articles 2,3 et 5 dudit texte.</w:t>
      </w:r>
    </w:p>
    <w:p w14:paraId="7B7FB428" w14:textId="77777777" w:rsidR="007127C2" w:rsidRPr="00B004EE" w:rsidRDefault="007127C2" w:rsidP="00B004EE">
      <w:pPr>
        <w:jc w:val="both"/>
        <w:rPr>
          <w:rFonts w:ascii="Tahoma" w:hAnsi="Tahoma" w:cs="Tahoma"/>
          <w:sz w:val="20"/>
          <w:szCs w:val="20"/>
        </w:rPr>
      </w:pPr>
    </w:p>
    <w:p w14:paraId="4E3934A0" w14:textId="1D07F5E1" w:rsidR="007127C2" w:rsidRPr="00B004EE" w:rsidRDefault="007127C2" w:rsidP="00B004EE">
      <w:pPr>
        <w:jc w:val="both"/>
        <w:rPr>
          <w:rFonts w:ascii="Tahoma" w:hAnsi="Tahoma" w:cs="Tahoma"/>
          <w:sz w:val="20"/>
          <w:szCs w:val="20"/>
        </w:rPr>
      </w:pPr>
      <w:r w:rsidRPr="00B004EE">
        <w:rPr>
          <w:rFonts w:ascii="Tahoma" w:hAnsi="Tahoma" w:cs="Tahoma"/>
          <w:sz w:val="20"/>
          <w:szCs w:val="20"/>
        </w:rPr>
        <w:t>Article 24</w:t>
      </w:r>
      <w:r w:rsidR="0056239C" w:rsidRPr="00B004EE">
        <w:rPr>
          <w:rFonts w:ascii="Tahoma" w:hAnsi="Tahoma" w:cs="Tahoma"/>
          <w:sz w:val="20"/>
          <w:szCs w:val="20"/>
        </w:rPr>
        <w:t xml:space="preserve"> : </w:t>
      </w:r>
      <w:r w:rsidRPr="00B004EE">
        <w:rPr>
          <w:rFonts w:ascii="Tahoma" w:hAnsi="Tahoma" w:cs="Tahoma"/>
          <w:sz w:val="20"/>
          <w:szCs w:val="20"/>
        </w:rPr>
        <w:t xml:space="preserve">Les Etablissements ou usines de transformations de </w:t>
      </w:r>
      <w:r w:rsidR="00A5129F" w:rsidRPr="00B004EE">
        <w:rPr>
          <w:rFonts w:ascii="Tahoma" w:hAnsi="Tahoma" w:cs="Tahoma"/>
          <w:sz w:val="20"/>
          <w:szCs w:val="20"/>
        </w:rPr>
        <w:t>sous-produits</w:t>
      </w:r>
      <w:r w:rsidRPr="00B004EE">
        <w:rPr>
          <w:rFonts w:ascii="Tahoma" w:hAnsi="Tahoma" w:cs="Tahoma"/>
          <w:sz w:val="20"/>
          <w:szCs w:val="20"/>
        </w:rPr>
        <w:t xml:space="preserve"> de la pêche et produits dérivés non destinés à la consommation humaine sont soumis à un contrôle périodique de leurs infrastructures, équipements et matériel de production par les services compétents des Ministères chargés de la Pêche et de l’industrie.</w:t>
      </w:r>
    </w:p>
    <w:p w14:paraId="03A4C95A" w14:textId="77777777" w:rsidR="007127C2" w:rsidRPr="00B004EE" w:rsidRDefault="007127C2" w:rsidP="00B004EE">
      <w:pPr>
        <w:jc w:val="both"/>
        <w:rPr>
          <w:rFonts w:ascii="Tahoma" w:hAnsi="Tahoma" w:cs="Tahoma"/>
          <w:sz w:val="20"/>
          <w:szCs w:val="20"/>
        </w:rPr>
      </w:pPr>
    </w:p>
    <w:p w14:paraId="52134F71" w14:textId="23720D4D" w:rsidR="007127C2" w:rsidRPr="00B004EE" w:rsidRDefault="007127C2" w:rsidP="00B004EE">
      <w:pPr>
        <w:jc w:val="both"/>
        <w:rPr>
          <w:rFonts w:ascii="Tahoma" w:hAnsi="Tahoma" w:cs="Tahoma"/>
          <w:sz w:val="20"/>
          <w:szCs w:val="20"/>
        </w:rPr>
      </w:pPr>
      <w:r w:rsidRPr="00B004EE">
        <w:rPr>
          <w:rFonts w:ascii="Tahoma" w:hAnsi="Tahoma" w:cs="Tahoma"/>
          <w:sz w:val="20"/>
          <w:szCs w:val="20"/>
        </w:rPr>
        <w:t>Article 25</w:t>
      </w:r>
      <w:r w:rsidR="0056239C" w:rsidRPr="00B004EE">
        <w:rPr>
          <w:rFonts w:ascii="Tahoma" w:hAnsi="Tahoma" w:cs="Tahoma"/>
          <w:sz w:val="20"/>
          <w:szCs w:val="20"/>
        </w:rPr>
        <w:t xml:space="preserve"> : </w:t>
      </w:r>
      <w:r w:rsidRPr="00B004EE">
        <w:rPr>
          <w:rFonts w:ascii="Tahoma" w:hAnsi="Tahoma" w:cs="Tahoma"/>
          <w:sz w:val="20"/>
          <w:szCs w:val="20"/>
        </w:rPr>
        <w:t>Les produits issus de la transformation des sous -produits de pêche et produits dérivés non destinés à la consommation humaine doivent être conformes aux normes internationales ou aux normes nationales, le cas échéant.</w:t>
      </w:r>
    </w:p>
    <w:p w14:paraId="49DB7A77" w14:textId="77777777" w:rsidR="007127C2" w:rsidRPr="00B004EE" w:rsidRDefault="007127C2" w:rsidP="00B004EE">
      <w:pPr>
        <w:jc w:val="both"/>
        <w:rPr>
          <w:rFonts w:ascii="Tahoma" w:hAnsi="Tahoma" w:cs="Tahoma"/>
          <w:sz w:val="20"/>
          <w:szCs w:val="20"/>
        </w:rPr>
      </w:pPr>
    </w:p>
    <w:p w14:paraId="11824AF8" w14:textId="523F297B" w:rsidR="007127C2" w:rsidRPr="00B004EE" w:rsidRDefault="007127C2" w:rsidP="00B004EE">
      <w:pPr>
        <w:jc w:val="both"/>
        <w:rPr>
          <w:rFonts w:ascii="Tahoma" w:hAnsi="Tahoma" w:cs="Tahoma"/>
          <w:sz w:val="20"/>
          <w:szCs w:val="20"/>
        </w:rPr>
      </w:pPr>
      <w:r w:rsidRPr="00B004EE">
        <w:rPr>
          <w:rFonts w:ascii="Tahoma" w:hAnsi="Tahoma" w:cs="Tahoma"/>
          <w:sz w:val="20"/>
          <w:szCs w:val="20"/>
        </w:rPr>
        <w:t>Article 26 :</w:t>
      </w:r>
      <w:r w:rsidR="0056239C" w:rsidRPr="00B004EE">
        <w:rPr>
          <w:rFonts w:ascii="Tahoma" w:hAnsi="Tahoma" w:cs="Tahoma"/>
          <w:sz w:val="20"/>
          <w:szCs w:val="20"/>
        </w:rPr>
        <w:t xml:space="preserve"> </w:t>
      </w:r>
      <w:r w:rsidRPr="00B004EE">
        <w:rPr>
          <w:rFonts w:ascii="Tahoma" w:hAnsi="Tahoma" w:cs="Tahoma"/>
          <w:sz w:val="20"/>
          <w:szCs w:val="20"/>
        </w:rPr>
        <w:t>Le Secrétaires Général du Ministère des Pêches et de l'Economie Maritime, le Secrétaire général du Ministère du Commerce, de l’industrie, de l'Artisanat et du Tourisme, le Secrétaire Général du Ministère du Développement Rural et le secrétaire Général du Ministère Délégué Auprès du Premier Ministre Chargé de l'Environnement et du Développement Durable sont chargés, chacun en ce qui le concerne ,de l'exécution du présent arrêté qui sera publié dans le Journal Officiel de la République Islamique de Mauritanie.</w:t>
      </w:r>
    </w:p>
    <w:p w14:paraId="4E82D333" w14:textId="77777777" w:rsidR="007127C2" w:rsidRPr="00B004EE" w:rsidRDefault="007127C2" w:rsidP="00B004EE">
      <w:pPr>
        <w:jc w:val="both"/>
        <w:rPr>
          <w:rFonts w:ascii="Tahoma" w:hAnsi="Tahoma" w:cs="Tahoma"/>
          <w:sz w:val="20"/>
          <w:szCs w:val="20"/>
        </w:rPr>
      </w:pPr>
    </w:p>
    <w:p w14:paraId="591C62BA" w14:textId="77777777" w:rsidR="00FA0779" w:rsidRDefault="00FA0779" w:rsidP="00B004EE">
      <w:pPr>
        <w:jc w:val="right"/>
        <w:rPr>
          <w:rFonts w:ascii="Tahoma" w:hAnsi="Tahoma" w:cs="Tahoma"/>
          <w:i/>
          <w:iCs/>
          <w:sz w:val="20"/>
          <w:szCs w:val="20"/>
        </w:rPr>
      </w:pPr>
    </w:p>
    <w:p w14:paraId="2A60E56A" w14:textId="1477F5C6" w:rsidR="007127C2" w:rsidRPr="00B004EE" w:rsidRDefault="007127C2" w:rsidP="00B004EE">
      <w:pPr>
        <w:jc w:val="right"/>
        <w:rPr>
          <w:rFonts w:ascii="Tahoma" w:hAnsi="Tahoma" w:cs="Tahoma"/>
          <w:sz w:val="20"/>
          <w:szCs w:val="20"/>
        </w:rPr>
      </w:pPr>
      <w:r w:rsidRPr="00B004EE">
        <w:rPr>
          <w:rFonts w:ascii="Tahoma" w:hAnsi="Tahoma" w:cs="Tahoma"/>
          <w:i/>
          <w:iCs/>
          <w:sz w:val="20"/>
          <w:szCs w:val="20"/>
        </w:rPr>
        <w:t>Fait à Nouakchott, le</w:t>
      </w:r>
      <w:r w:rsidRPr="00B004EE">
        <w:rPr>
          <w:rFonts w:ascii="Tahoma" w:hAnsi="Tahoma" w:cs="Tahoma"/>
          <w:sz w:val="20"/>
          <w:szCs w:val="20"/>
        </w:rPr>
        <w:t xml:space="preserve"> 04 </w:t>
      </w:r>
      <w:r w:rsidR="00A5129F" w:rsidRPr="00B004EE">
        <w:rPr>
          <w:rFonts w:ascii="Tahoma" w:hAnsi="Tahoma" w:cs="Tahoma"/>
          <w:sz w:val="20"/>
          <w:szCs w:val="20"/>
        </w:rPr>
        <w:t>juin</w:t>
      </w:r>
      <w:r w:rsidRPr="00B004EE">
        <w:rPr>
          <w:rFonts w:ascii="Tahoma" w:hAnsi="Tahoma" w:cs="Tahoma"/>
          <w:sz w:val="20"/>
          <w:szCs w:val="20"/>
        </w:rPr>
        <w:t xml:space="preserve"> 2012</w:t>
      </w:r>
    </w:p>
    <w:p w14:paraId="27E1DA8D" w14:textId="77C781DE" w:rsidR="00600DCC" w:rsidRDefault="00600DCC" w:rsidP="00B004EE">
      <w:pPr>
        <w:jc w:val="right"/>
        <w:rPr>
          <w:rFonts w:ascii="Tahoma" w:hAnsi="Tahoma" w:cs="Tahoma"/>
          <w:sz w:val="20"/>
          <w:szCs w:val="20"/>
        </w:rPr>
      </w:pPr>
    </w:p>
    <w:p w14:paraId="3BCE2A51" w14:textId="77777777" w:rsidR="00FA0779" w:rsidRPr="00B004EE" w:rsidRDefault="00FA0779" w:rsidP="00B004EE">
      <w:pPr>
        <w:jc w:val="right"/>
        <w:rPr>
          <w:rFonts w:ascii="Tahoma" w:hAnsi="Tahoma" w:cs="Tahoma"/>
          <w:sz w:val="20"/>
          <w:szCs w:val="20"/>
        </w:rPr>
      </w:pPr>
    </w:p>
    <w:p w14:paraId="1E025532" w14:textId="1086D121" w:rsidR="00FA0779" w:rsidRDefault="00600DCC" w:rsidP="00FA0779">
      <w:pPr>
        <w:jc w:val="center"/>
        <w:rPr>
          <w:rFonts w:ascii="Tahoma" w:hAnsi="Tahoma" w:cs="Tahoma"/>
          <w:sz w:val="20"/>
          <w:szCs w:val="20"/>
        </w:rPr>
      </w:pPr>
      <w:r w:rsidRPr="00B004EE">
        <w:rPr>
          <w:rFonts w:ascii="Tahoma" w:hAnsi="Tahoma" w:cs="Tahoma"/>
          <w:sz w:val="20"/>
          <w:szCs w:val="20"/>
        </w:rPr>
        <w:t xml:space="preserve">Le Ministre des Pêchés </w:t>
      </w:r>
      <w:r w:rsidR="00FA0779" w:rsidRPr="00B004EE">
        <w:rPr>
          <w:rFonts w:ascii="Tahoma" w:hAnsi="Tahoma" w:cs="Tahoma"/>
          <w:sz w:val="20"/>
          <w:szCs w:val="20"/>
        </w:rPr>
        <w:t>et</w:t>
      </w:r>
    </w:p>
    <w:p w14:paraId="0E8F7289" w14:textId="3E279B8A" w:rsidR="00600DCC" w:rsidRPr="00B004EE" w:rsidRDefault="00600DCC" w:rsidP="00B004EE">
      <w:pPr>
        <w:jc w:val="center"/>
        <w:rPr>
          <w:rFonts w:ascii="Tahoma" w:hAnsi="Tahoma" w:cs="Tahoma"/>
          <w:sz w:val="20"/>
          <w:szCs w:val="20"/>
        </w:rPr>
      </w:pPr>
      <w:proofErr w:type="gramStart"/>
      <w:r w:rsidRPr="00B004EE">
        <w:rPr>
          <w:rFonts w:ascii="Tahoma" w:hAnsi="Tahoma" w:cs="Tahoma"/>
          <w:sz w:val="20"/>
          <w:szCs w:val="20"/>
        </w:rPr>
        <w:t>de</w:t>
      </w:r>
      <w:proofErr w:type="gramEnd"/>
      <w:r w:rsidRPr="00B004EE">
        <w:rPr>
          <w:rFonts w:ascii="Tahoma" w:hAnsi="Tahoma" w:cs="Tahoma"/>
          <w:sz w:val="20"/>
          <w:szCs w:val="20"/>
        </w:rPr>
        <w:t xml:space="preserve"> l’Economie Maritime</w:t>
      </w:r>
    </w:p>
    <w:p w14:paraId="4BC31062" w14:textId="66EBD0BB" w:rsidR="00600DCC" w:rsidRPr="00B004EE" w:rsidRDefault="00600DCC" w:rsidP="00B004EE">
      <w:pPr>
        <w:jc w:val="center"/>
        <w:rPr>
          <w:rFonts w:ascii="Tahoma" w:hAnsi="Tahoma" w:cs="Tahoma"/>
          <w:b/>
          <w:bCs/>
          <w:sz w:val="20"/>
          <w:szCs w:val="20"/>
        </w:rPr>
      </w:pPr>
      <w:r w:rsidRPr="00B004EE">
        <w:rPr>
          <w:rFonts w:ascii="Tahoma" w:hAnsi="Tahoma" w:cs="Tahoma"/>
          <w:b/>
          <w:bCs/>
          <w:sz w:val="20"/>
          <w:szCs w:val="20"/>
        </w:rPr>
        <w:t>Aghdefna Ould EYIH</w:t>
      </w:r>
    </w:p>
    <w:p w14:paraId="56EBE18A" w14:textId="622C86FB" w:rsidR="00600DCC" w:rsidRPr="00B004EE" w:rsidRDefault="00600DCC" w:rsidP="00B004EE">
      <w:pPr>
        <w:jc w:val="both"/>
        <w:rPr>
          <w:rFonts w:ascii="Tahoma" w:hAnsi="Tahoma" w:cs="Tahoma"/>
          <w:sz w:val="20"/>
          <w:szCs w:val="20"/>
        </w:rPr>
      </w:pPr>
    </w:p>
    <w:p w14:paraId="614334D5" w14:textId="3541BF81" w:rsidR="00600DCC" w:rsidRPr="00B004EE" w:rsidRDefault="00600DCC" w:rsidP="00B004EE">
      <w:pPr>
        <w:jc w:val="right"/>
        <w:rPr>
          <w:rFonts w:ascii="Tahoma" w:hAnsi="Tahoma" w:cs="Tahoma"/>
          <w:sz w:val="20"/>
          <w:szCs w:val="20"/>
        </w:rPr>
      </w:pPr>
    </w:p>
    <w:p w14:paraId="365C7575" w14:textId="63CA97AC" w:rsidR="00600DCC" w:rsidRPr="00B004EE" w:rsidRDefault="00600DCC" w:rsidP="00B004EE">
      <w:pPr>
        <w:jc w:val="right"/>
        <w:rPr>
          <w:rFonts w:ascii="Tahoma" w:hAnsi="Tahoma" w:cs="Tahoma"/>
          <w:sz w:val="20"/>
          <w:szCs w:val="20"/>
        </w:rPr>
      </w:pPr>
    </w:p>
    <w:p w14:paraId="6E298489" w14:textId="77777777" w:rsidR="00600DCC" w:rsidRPr="00B004EE" w:rsidRDefault="00600DCC" w:rsidP="00B004EE">
      <w:pPr>
        <w:jc w:val="right"/>
        <w:rPr>
          <w:rFonts w:ascii="Tahoma" w:hAnsi="Tahoma" w:cs="Tahoma"/>
          <w:i/>
          <w:sz w:val="20"/>
          <w:szCs w:val="20"/>
        </w:rPr>
      </w:pPr>
    </w:p>
    <w:p w14:paraId="31EA7DA3" w14:textId="77777777" w:rsidR="007127C2" w:rsidRPr="00B004EE" w:rsidRDefault="007127C2" w:rsidP="00B004EE">
      <w:pPr>
        <w:jc w:val="both"/>
        <w:rPr>
          <w:rFonts w:ascii="Tahoma" w:hAnsi="Tahoma" w:cs="Tahoma"/>
          <w:i/>
          <w:sz w:val="20"/>
          <w:szCs w:val="20"/>
        </w:rPr>
        <w:sectPr w:rsidR="007127C2" w:rsidRPr="00B004EE" w:rsidSect="00204FB2">
          <w:pgSz w:w="12240" w:h="15840" w:code="1"/>
          <w:pgMar w:top="1417" w:right="1417" w:bottom="1417" w:left="1417" w:header="709" w:footer="709" w:gutter="0"/>
          <w:cols w:space="708"/>
          <w:docGrid w:linePitch="360"/>
        </w:sectPr>
      </w:pPr>
    </w:p>
    <w:p w14:paraId="1CC91127" w14:textId="5D4BBEA0" w:rsidR="00565D30" w:rsidRPr="0010310F" w:rsidRDefault="00565D30" w:rsidP="00565D30">
      <w:pPr>
        <w:pStyle w:val="Titre1"/>
        <w:pBdr>
          <w:top w:val="thinThickMediumGap" w:sz="24" w:space="1" w:color="70AD47" w:themeColor="accent6"/>
          <w:left w:val="thinThickMediumGap" w:sz="24" w:space="4" w:color="70AD47" w:themeColor="accent6"/>
          <w:bottom w:val="thickThinMediumGap" w:sz="24" w:space="1" w:color="70AD47" w:themeColor="accent6"/>
          <w:right w:val="thickThinMediumGap" w:sz="24" w:space="4" w:color="70AD47" w:themeColor="accent6"/>
        </w:pBdr>
        <w:jc w:val="both"/>
        <w:rPr>
          <w:rFonts w:ascii="Tahoma" w:hAnsi="Tahoma" w:cs="Tahoma"/>
          <w:szCs w:val="22"/>
        </w:rPr>
      </w:pPr>
      <w:bookmarkStart w:id="201" w:name="_Toc88047559"/>
      <w:bookmarkStart w:id="202" w:name="_Toc16288679"/>
      <w:bookmarkStart w:id="203" w:name="_Toc17022022"/>
      <w:bookmarkStart w:id="204" w:name="_Toc202214691"/>
      <w:r w:rsidRPr="0010310F">
        <w:rPr>
          <w:rFonts w:ascii="Tahoma" w:hAnsi="Tahoma" w:cs="Tahoma"/>
          <w:szCs w:val="22"/>
        </w:rPr>
        <w:lastRenderedPageBreak/>
        <w:t xml:space="preserve">Arrêté conjoint N° 264 </w:t>
      </w:r>
      <w:r w:rsidR="0010310F" w:rsidRPr="0010310F">
        <w:rPr>
          <w:rFonts w:ascii="Tahoma" w:hAnsi="Tahoma" w:cs="Tahoma"/>
          <w:szCs w:val="22"/>
        </w:rPr>
        <w:t xml:space="preserve">du </w:t>
      </w:r>
      <w:r w:rsidR="0010310F" w:rsidRPr="0010310F">
        <w:rPr>
          <w:rFonts w:ascii="Tahoma" w:hAnsi="Tahoma" w:cs="Tahoma"/>
          <w:szCs w:val="22"/>
        </w:rPr>
        <w:t>22 mars 2016</w:t>
      </w:r>
      <w:r w:rsidR="0010310F" w:rsidRPr="0010310F">
        <w:rPr>
          <w:rFonts w:ascii="Tahoma" w:hAnsi="Tahoma" w:cs="Tahoma"/>
          <w:szCs w:val="22"/>
        </w:rPr>
        <w:t>, r</w:t>
      </w:r>
      <w:r w:rsidRPr="0010310F">
        <w:rPr>
          <w:rFonts w:ascii="Tahoma" w:hAnsi="Tahoma" w:cs="Tahoma"/>
          <w:szCs w:val="22"/>
        </w:rPr>
        <w:t>elatif aux exigences sanitaires applicables à l’huile de poisson destinée à la consommation humaine</w:t>
      </w:r>
      <w:bookmarkEnd w:id="201"/>
      <w:bookmarkEnd w:id="204"/>
    </w:p>
    <w:p w14:paraId="68A3D185" w14:textId="77777777" w:rsidR="00565D30" w:rsidRDefault="00565D30" w:rsidP="00565D30">
      <w:pPr>
        <w:autoSpaceDE w:val="0"/>
        <w:autoSpaceDN w:val="0"/>
        <w:adjustRightInd w:val="0"/>
        <w:rPr>
          <w:rFonts w:ascii="Tahoma" w:hAnsi="Tahoma" w:cs="Tahoma"/>
          <w:b/>
          <w:bCs/>
          <w:sz w:val="20"/>
          <w:szCs w:val="20"/>
        </w:rPr>
      </w:pPr>
    </w:p>
    <w:p w14:paraId="6FA9B8AD" w14:textId="77777777" w:rsidR="00565D30" w:rsidRPr="00476AB4" w:rsidRDefault="00565D30" w:rsidP="00565D30">
      <w:pPr>
        <w:autoSpaceDE w:val="0"/>
        <w:autoSpaceDN w:val="0"/>
        <w:adjustRightInd w:val="0"/>
        <w:rPr>
          <w:rFonts w:ascii="Tahoma" w:hAnsi="Tahoma" w:cs="Tahoma"/>
          <w:sz w:val="20"/>
          <w:szCs w:val="20"/>
        </w:rPr>
      </w:pPr>
      <w:r w:rsidRPr="00476AB4">
        <w:rPr>
          <w:rFonts w:ascii="Tahoma" w:hAnsi="Tahoma" w:cs="Tahoma"/>
          <w:b/>
          <w:sz w:val="20"/>
          <w:szCs w:val="20"/>
          <w:u w:val="single"/>
        </w:rPr>
        <w:t>Article premier</w:t>
      </w:r>
      <w:r w:rsidRPr="00476AB4">
        <w:rPr>
          <w:rFonts w:ascii="Tahoma" w:hAnsi="Tahoma" w:cs="Tahoma"/>
          <w:sz w:val="20"/>
          <w:szCs w:val="20"/>
        </w:rPr>
        <w:t xml:space="preserve"> - Objet et champ d'application</w:t>
      </w:r>
    </w:p>
    <w:p w14:paraId="5D1EAB20" w14:textId="77777777" w:rsidR="00565D30" w:rsidRPr="00476AB4" w:rsidRDefault="00565D30" w:rsidP="00565D30">
      <w:pPr>
        <w:autoSpaceDE w:val="0"/>
        <w:autoSpaceDN w:val="0"/>
        <w:adjustRightInd w:val="0"/>
        <w:rPr>
          <w:rFonts w:ascii="Tahoma" w:hAnsi="Tahoma" w:cs="Tahoma"/>
          <w:sz w:val="20"/>
          <w:szCs w:val="20"/>
        </w:rPr>
      </w:pPr>
    </w:p>
    <w:p w14:paraId="7C97C236" w14:textId="77777777" w:rsidR="00565D30" w:rsidRPr="00476AB4" w:rsidRDefault="00565D30" w:rsidP="00565D30">
      <w:pPr>
        <w:jc w:val="both"/>
        <w:rPr>
          <w:rFonts w:ascii="Tahoma" w:eastAsia="EUAlbertina-Regular-Identity-H" w:hAnsi="Tahoma" w:cs="Tahoma"/>
          <w:strike/>
          <w:sz w:val="20"/>
          <w:szCs w:val="20"/>
        </w:rPr>
      </w:pPr>
      <w:r w:rsidRPr="00476AB4">
        <w:rPr>
          <w:rFonts w:ascii="Tahoma" w:hAnsi="Tahoma" w:cs="Tahoma"/>
          <w:sz w:val="20"/>
          <w:szCs w:val="20"/>
        </w:rPr>
        <w:t xml:space="preserve">En application de l’article 4 du décret n° 94.030 du 8 mars 1994 relatif aux normes d’hygiène et de salubrité et aux conditions d’inspection sanitaire et de contrôle régissant la production et la mise sur le marché des produits de la pêche, le présent arrêté a pour objet de définir les </w:t>
      </w:r>
      <w:r w:rsidRPr="00476AB4">
        <w:rPr>
          <w:rFonts w:ascii="Tahoma" w:eastAsia="EUAlbertina-Bold-Identity-H" w:hAnsi="Tahoma" w:cs="Tahoma"/>
          <w:bCs/>
          <w:sz w:val="20"/>
          <w:szCs w:val="20"/>
        </w:rPr>
        <w:t xml:space="preserve">règles d’hygiène et les critères de salubrité applicables aux huiles de poissons destinées à la consommation humaine. </w:t>
      </w:r>
    </w:p>
    <w:p w14:paraId="65029EC8" w14:textId="77777777" w:rsidR="00565D30" w:rsidRPr="00476AB4" w:rsidRDefault="00565D30" w:rsidP="00565D30">
      <w:pPr>
        <w:autoSpaceDE w:val="0"/>
        <w:autoSpaceDN w:val="0"/>
        <w:adjustRightInd w:val="0"/>
        <w:rPr>
          <w:rFonts w:ascii="Tahoma" w:eastAsia="EUAlbertina-Regular-Identity-H" w:hAnsi="Tahoma" w:cs="Tahoma"/>
          <w:sz w:val="20"/>
          <w:szCs w:val="20"/>
        </w:rPr>
      </w:pPr>
    </w:p>
    <w:p w14:paraId="30924097" w14:textId="77777777" w:rsidR="00565D30" w:rsidRPr="00476AB4" w:rsidRDefault="00565D30" w:rsidP="00565D30">
      <w:pPr>
        <w:autoSpaceDE w:val="0"/>
        <w:autoSpaceDN w:val="0"/>
        <w:adjustRightInd w:val="0"/>
        <w:rPr>
          <w:rFonts w:ascii="Tahoma" w:hAnsi="Tahoma" w:cs="Tahoma"/>
          <w:b/>
          <w:bCs/>
          <w:sz w:val="20"/>
          <w:szCs w:val="20"/>
        </w:rPr>
      </w:pPr>
      <w:r w:rsidRPr="00476AB4">
        <w:rPr>
          <w:rFonts w:ascii="Tahoma" w:hAnsi="Tahoma" w:cs="Tahoma"/>
          <w:b/>
          <w:bCs/>
          <w:sz w:val="20"/>
          <w:szCs w:val="20"/>
        </w:rPr>
        <w:t xml:space="preserve">DÉFINITIONS </w:t>
      </w:r>
    </w:p>
    <w:p w14:paraId="75C4A3D7" w14:textId="77777777" w:rsidR="00565D30" w:rsidRPr="00476AB4" w:rsidRDefault="00565D30" w:rsidP="00565D30">
      <w:pPr>
        <w:autoSpaceDE w:val="0"/>
        <w:autoSpaceDN w:val="0"/>
        <w:adjustRightInd w:val="0"/>
        <w:rPr>
          <w:rFonts w:ascii="Tahoma" w:hAnsi="Tahoma" w:cs="Tahoma"/>
          <w:sz w:val="20"/>
          <w:szCs w:val="20"/>
        </w:rPr>
      </w:pPr>
    </w:p>
    <w:p w14:paraId="13CE57C9" w14:textId="77777777" w:rsidR="00565D30" w:rsidRPr="00476AB4" w:rsidRDefault="00565D30" w:rsidP="00565D30">
      <w:pPr>
        <w:autoSpaceDE w:val="0"/>
        <w:autoSpaceDN w:val="0"/>
        <w:adjustRightInd w:val="0"/>
        <w:rPr>
          <w:rFonts w:ascii="Tahoma" w:hAnsi="Tahoma" w:cs="Tahoma"/>
          <w:sz w:val="20"/>
          <w:szCs w:val="20"/>
        </w:rPr>
      </w:pPr>
      <w:r w:rsidRPr="00476AB4">
        <w:rPr>
          <w:rFonts w:ascii="Tahoma" w:hAnsi="Tahoma" w:cs="Tahoma"/>
          <w:sz w:val="20"/>
          <w:szCs w:val="20"/>
        </w:rPr>
        <w:t>On entend par :</w:t>
      </w:r>
    </w:p>
    <w:p w14:paraId="6E0A640D" w14:textId="77777777" w:rsidR="00565D30" w:rsidRPr="00476AB4" w:rsidRDefault="00565D30" w:rsidP="00565D30">
      <w:pPr>
        <w:autoSpaceDE w:val="0"/>
        <w:autoSpaceDN w:val="0"/>
        <w:adjustRightInd w:val="0"/>
        <w:rPr>
          <w:rFonts w:ascii="Tahoma" w:hAnsi="Tahoma" w:cs="Tahoma"/>
          <w:sz w:val="20"/>
          <w:szCs w:val="20"/>
        </w:rPr>
      </w:pPr>
    </w:p>
    <w:p w14:paraId="1FAD431B" w14:textId="77777777" w:rsidR="00565D30" w:rsidRPr="00476AB4" w:rsidRDefault="00565D30" w:rsidP="00565D30">
      <w:pPr>
        <w:autoSpaceDE w:val="0"/>
        <w:autoSpaceDN w:val="0"/>
        <w:adjustRightInd w:val="0"/>
        <w:jc w:val="both"/>
        <w:rPr>
          <w:rFonts w:ascii="Tahoma" w:hAnsi="Tahoma" w:cs="Tahoma"/>
          <w:sz w:val="20"/>
          <w:szCs w:val="20"/>
        </w:rPr>
      </w:pPr>
      <w:r w:rsidRPr="00476AB4">
        <w:rPr>
          <w:rFonts w:ascii="Tahoma" w:hAnsi="Tahoma" w:cs="Tahoma"/>
          <w:sz w:val="20"/>
          <w:szCs w:val="20"/>
        </w:rPr>
        <w:t>« Huiles de poisson brutes » : les huiles provenant de la transformation d’animaux aquatiques autres que des mammifères marins.</w:t>
      </w:r>
    </w:p>
    <w:p w14:paraId="54F42A5D" w14:textId="77777777" w:rsidR="00565D30" w:rsidRPr="00476AB4" w:rsidRDefault="00565D30" w:rsidP="00565D30">
      <w:pPr>
        <w:autoSpaceDE w:val="0"/>
        <w:autoSpaceDN w:val="0"/>
        <w:adjustRightInd w:val="0"/>
        <w:jc w:val="both"/>
        <w:rPr>
          <w:rFonts w:ascii="Tahoma" w:hAnsi="Tahoma" w:cs="Tahoma"/>
          <w:sz w:val="20"/>
          <w:szCs w:val="20"/>
        </w:rPr>
      </w:pPr>
    </w:p>
    <w:p w14:paraId="360A1D88" w14:textId="77777777" w:rsidR="00565D30" w:rsidRPr="00476AB4" w:rsidRDefault="00565D30" w:rsidP="00565D30">
      <w:pPr>
        <w:autoSpaceDE w:val="0"/>
        <w:autoSpaceDN w:val="0"/>
        <w:adjustRightInd w:val="0"/>
        <w:jc w:val="both"/>
        <w:rPr>
          <w:rFonts w:ascii="Tahoma" w:hAnsi="Tahoma" w:cs="Tahoma"/>
          <w:sz w:val="20"/>
          <w:szCs w:val="20"/>
        </w:rPr>
      </w:pPr>
      <w:r w:rsidRPr="00476AB4">
        <w:rPr>
          <w:rFonts w:ascii="Tahoma" w:hAnsi="Tahoma" w:cs="Tahoma"/>
          <w:sz w:val="20"/>
          <w:szCs w:val="20"/>
        </w:rPr>
        <w:t>"Huiles de poisson raffinées" : ce sont des huiles issues de la transformation d’animaux aquatiques autres que des mammifères marins et qui ont subi un processus de raffinage permettant d'éliminer les impuretés ainsi que les phospholipides. Elles sont composées essentiellement de triglycérides relativement inodores, sans goût, limpides, légèrement colorées et possédant une durée de conservation acceptable.</w:t>
      </w:r>
    </w:p>
    <w:p w14:paraId="3D1BCBE3" w14:textId="77777777" w:rsidR="00565D30" w:rsidRPr="00476AB4" w:rsidRDefault="00565D30" w:rsidP="00565D30">
      <w:pPr>
        <w:autoSpaceDE w:val="0"/>
        <w:autoSpaceDN w:val="0"/>
        <w:adjustRightInd w:val="0"/>
        <w:jc w:val="both"/>
        <w:rPr>
          <w:rFonts w:ascii="Tahoma" w:hAnsi="Tahoma" w:cs="Tahoma"/>
          <w:sz w:val="20"/>
          <w:szCs w:val="20"/>
        </w:rPr>
      </w:pPr>
    </w:p>
    <w:p w14:paraId="6E69A95D" w14:textId="77777777" w:rsidR="00565D30" w:rsidRPr="00476AB4" w:rsidRDefault="00565D30" w:rsidP="00565D30">
      <w:pPr>
        <w:tabs>
          <w:tab w:val="left" w:pos="2190"/>
        </w:tabs>
        <w:jc w:val="both"/>
        <w:rPr>
          <w:rFonts w:ascii="Tahoma" w:hAnsi="Tahoma" w:cs="Tahoma"/>
          <w:sz w:val="20"/>
          <w:szCs w:val="20"/>
        </w:rPr>
      </w:pPr>
      <w:r w:rsidRPr="00476AB4">
        <w:rPr>
          <w:rFonts w:ascii="Tahoma" w:hAnsi="Tahoma" w:cs="Tahoma"/>
          <w:sz w:val="20"/>
          <w:szCs w:val="20"/>
        </w:rPr>
        <w:t>"Lot" : un groupe ou une série de produits identifiables obtenus par un procédé donné dans des conditions pratiquement identiques et produits dans un endroit donné et au cours d'une période de production déterminée ; par exemple un groupe ou une série de produits livrée en une seule fois et présentant des caractéristiques communes (origine, variété, type d’emballage, expéditeur ou marquage).</w:t>
      </w:r>
    </w:p>
    <w:p w14:paraId="6693562F" w14:textId="77777777" w:rsidR="00565D30" w:rsidRPr="00476AB4" w:rsidRDefault="00565D30" w:rsidP="00565D30">
      <w:pPr>
        <w:autoSpaceDE w:val="0"/>
        <w:autoSpaceDN w:val="0"/>
        <w:adjustRightInd w:val="0"/>
        <w:jc w:val="both"/>
        <w:rPr>
          <w:rFonts w:ascii="Tahoma" w:hAnsi="Tahoma" w:cs="Tahoma"/>
          <w:sz w:val="20"/>
          <w:szCs w:val="20"/>
          <w:highlight w:val="yellow"/>
        </w:rPr>
      </w:pPr>
    </w:p>
    <w:p w14:paraId="3D5E3D97" w14:textId="77777777" w:rsidR="00565D30" w:rsidRPr="00476AB4" w:rsidRDefault="00565D30" w:rsidP="00565D30">
      <w:pPr>
        <w:autoSpaceDE w:val="0"/>
        <w:autoSpaceDN w:val="0"/>
        <w:adjustRightInd w:val="0"/>
        <w:jc w:val="both"/>
        <w:rPr>
          <w:rFonts w:ascii="Tahoma" w:hAnsi="Tahoma" w:cs="Tahoma"/>
          <w:sz w:val="20"/>
          <w:szCs w:val="20"/>
        </w:rPr>
      </w:pPr>
      <w:r w:rsidRPr="00476AB4">
        <w:rPr>
          <w:rFonts w:ascii="Tahoma" w:hAnsi="Tahoma" w:cs="Tahoma"/>
          <w:b/>
          <w:sz w:val="20"/>
          <w:szCs w:val="20"/>
          <w:u w:val="single"/>
        </w:rPr>
        <w:t>Article 2</w:t>
      </w:r>
      <w:r w:rsidRPr="00476AB4">
        <w:rPr>
          <w:rFonts w:ascii="Tahoma" w:hAnsi="Tahoma" w:cs="Tahoma"/>
          <w:sz w:val="20"/>
          <w:szCs w:val="20"/>
        </w:rPr>
        <w:t xml:space="preserve"> - Exigences applicables à l’huile de poisson destinée à la consommation humaine</w:t>
      </w:r>
    </w:p>
    <w:p w14:paraId="636D8EA3" w14:textId="77777777" w:rsidR="00565D30" w:rsidRPr="00476AB4" w:rsidRDefault="00565D30" w:rsidP="00565D30">
      <w:pPr>
        <w:autoSpaceDE w:val="0"/>
        <w:autoSpaceDN w:val="0"/>
        <w:adjustRightInd w:val="0"/>
        <w:jc w:val="both"/>
        <w:rPr>
          <w:rFonts w:ascii="Tahoma" w:hAnsi="Tahoma" w:cs="Tahoma"/>
          <w:sz w:val="20"/>
          <w:szCs w:val="20"/>
        </w:rPr>
      </w:pPr>
    </w:p>
    <w:p w14:paraId="7D05F9AC" w14:textId="77777777" w:rsidR="00565D30" w:rsidRPr="00476AB4" w:rsidRDefault="00565D30" w:rsidP="00565D30">
      <w:pPr>
        <w:autoSpaceDE w:val="0"/>
        <w:autoSpaceDN w:val="0"/>
        <w:adjustRightInd w:val="0"/>
        <w:jc w:val="both"/>
        <w:rPr>
          <w:rFonts w:ascii="Tahoma" w:hAnsi="Tahoma" w:cs="Tahoma"/>
          <w:b/>
          <w:bCs/>
          <w:sz w:val="20"/>
          <w:szCs w:val="20"/>
        </w:rPr>
      </w:pPr>
      <w:r w:rsidRPr="00476AB4">
        <w:rPr>
          <w:rFonts w:ascii="Tahoma" w:hAnsi="Tahoma" w:cs="Tahoma"/>
          <w:sz w:val="20"/>
          <w:szCs w:val="20"/>
        </w:rPr>
        <w:t xml:space="preserve">Les matières premières utilisées lors de la préparation de l’huile de poisson destinée à la consommation humaine doivent </w:t>
      </w:r>
      <w:r w:rsidRPr="00476AB4">
        <w:rPr>
          <w:rFonts w:ascii="Tahoma" w:hAnsi="Tahoma" w:cs="Tahoma"/>
          <w:b/>
          <w:bCs/>
          <w:sz w:val="20"/>
          <w:szCs w:val="20"/>
        </w:rPr>
        <w:t>:</w:t>
      </w:r>
    </w:p>
    <w:p w14:paraId="6948425A" w14:textId="77777777" w:rsidR="00565D30" w:rsidRPr="00476AB4" w:rsidRDefault="00565D30" w:rsidP="00420DDA">
      <w:pPr>
        <w:numPr>
          <w:ilvl w:val="0"/>
          <w:numId w:val="191"/>
        </w:numPr>
        <w:autoSpaceDE w:val="0"/>
        <w:autoSpaceDN w:val="0"/>
        <w:adjustRightInd w:val="0"/>
        <w:ind w:left="284" w:hanging="284"/>
        <w:contextualSpacing/>
        <w:jc w:val="both"/>
        <w:rPr>
          <w:rFonts w:ascii="Tahoma" w:hAnsi="Tahoma" w:cs="Tahoma"/>
          <w:sz w:val="20"/>
          <w:szCs w:val="20"/>
        </w:rPr>
      </w:pPr>
      <w:proofErr w:type="gramStart"/>
      <w:r w:rsidRPr="00476AB4">
        <w:rPr>
          <w:rFonts w:ascii="Tahoma" w:hAnsi="Tahoma" w:cs="Tahoma"/>
          <w:sz w:val="20"/>
          <w:szCs w:val="20"/>
        </w:rPr>
        <w:t>provenir</w:t>
      </w:r>
      <w:proofErr w:type="gramEnd"/>
      <w:r w:rsidRPr="00476AB4">
        <w:rPr>
          <w:rFonts w:ascii="Tahoma" w:hAnsi="Tahoma" w:cs="Tahoma"/>
          <w:sz w:val="20"/>
          <w:szCs w:val="20"/>
        </w:rPr>
        <w:t xml:space="preserve"> d’établissements, y compris de navires, enregistrés ou agréés en vertu de l’arrêté conjoint n°2501/MPEM/MCAT/MSAS/SEPME du 16 novembre 2006 modifiant certaines dispositions de l'arrêté conjoint n°2860 /MPEM /MCAT/MSAS/SEPME et l’arrêté conjoint n° R212/MPEM/MCAT/MDRE/MSAS relatif aux contrôles officiels ;</w:t>
      </w:r>
    </w:p>
    <w:p w14:paraId="1426751A" w14:textId="77777777" w:rsidR="00565D30" w:rsidRPr="00476AB4" w:rsidRDefault="00565D30" w:rsidP="00420DDA">
      <w:pPr>
        <w:numPr>
          <w:ilvl w:val="0"/>
          <w:numId w:val="191"/>
        </w:numPr>
        <w:autoSpaceDE w:val="0"/>
        <w:autoSpaceDN w:val="0"/>
        <w:adjustRightInd w:val="0"/>
        <w:ind w:left="284" w:hanging="284"/>
        <w:contextualSpacing/>
        <w:jc w:val="both"/>
        <w:rPr>
          <w:rFonts w:ascii="Tahoma" w:hAnsi="Tahoma" w:cs="Tahoma"/>
          <w:sz w:val="20"/>
          <w:szCs w:val="20"/>
        </w:rPr>
      </w:pPr>
      <w:proofErr w:type="gramStart"/>
      <w:r w:rsidRPr="00476AB4">
        <w:rPr>
          <w:rFonts w:ascii="Tahoma" w:hAnsi="Tahoma" w:cs="Tahoma"/>
          <w:sz w:val="20"/>
          <w:szCs w:val="20"/>
        </w:rPr>
        <w:t>être</w:t>
      </w:r>
      <w:proofErr w:type="gramEnd"/>
      <w:r w:rsidRPr="00476AB4">
        <w:rPr>
          <w:rFonts w:ascii="Tahoma" w:hAnsi="Tahoma" w:cs="Tahoma"/>
          <w:sz w:val="20"/>
          <w:szCs w:val="20"/>
        </w:rPr>
        <w:t xml:space="preserve"> issues de produits de la pêche qui ont été jugés propres à la consommation humaine et qui satisfont aux dispositions de la présente section ;</w:t>
      </w:r>
    </w:p>
    <w:p w14:paraId="22672A55" w14:textId="77777777" w:rsidR="00565D30" w:rsidRPr="00476AB4" w:rsidRDefault="00565D30" w:rsidP="00420DDA">
      <w:pPr>
        <w:numPr>
          <w:ilvl w:val="0"/>
          <w:numId w:val="191"/>
        </w:numPr>
        <w:autoSpaceDE w:val="0"/>
        <w:autoSpaceDN w:val="0"/>
        <w:adjustRightInd w:val="0"/>
        <w:ind w:left="284" w:hanging="284"/>
        <w:contextualSpacing/>
        <w:jc w:val="both"/>
        <w:rPr>
          <w:rFonts w:ascii="Tahoma" w:hAnsi="Tahoma" w:cs="Tahoma"/>
          <w:sz w:val="20"/>
          <w:szCs w:val="20"/>
        </w:rPr>
      </w:pPr>
      <w:proofErr w:type="gramStart"/>
      <w:r w:rsidRPr="00476AB4">
        <w:rPr>
          <w:rFonts w:ascii="Tahoma" w:hAnsi="Tahoma" w:cs="Tahoma"/>
          <w:sz w:val="20"/>
          <w:szCs w:val="20"/>
        </w:rPr>
        <w:t>être</w:t>
      </w:r>
      <w:proofErr w:type="gramEnd"/>
      <w:r w:rsidRPr="00476AB4">
        <w:rPr>
          <w:rFonts w:ascii="Tahoma" w:hAnsi="Tahoma" w:cs="Tahoma"/>
          <w:sz w:val="20"/>
          <w:szCs w:val="20"/>
        </w:rPr>
        <w:t xml:space="preserve"> transportées et entreposées dans des conditions hygiéniques ;</w:t>
      </w:r>
    </w:p>
    <w:p w14:paraId="6ACFC815" w14:textId="77777777" w:rsidR="00565D30" w:rsidRPr="00476AB4" w:rsidRDefault="00565D30" w:rsidP="00420DDA">
      <w:pPr>
        <w:widowControl w:val="0"/>
        <w:numPr>
          <w:ilvl w:val="0"/>
          <w:numId w:val="191"/>
        </w:numPr>
        <w:autoSpaceDE w:val="0"/>
        <w:autoSpaceDN w:val="0"/>
        <w:adjustRightInd w:val="0"/>
        <w:ind w:left="284" w:hanging="284"/>
        <w:contextualSpacing/>
        <w:jc w:val="both"/>
        <w:rPr>
          <w:rFonts w:ascii="Tahoma" w:hAnsi="Tahoma" w:cs="Tahoma"/>
          <w:sz w:val="20"/>
          <w:szCs w:val="20"/>
        </w:rPr>
      </w:pPr>
      <w:proofErr w:type="gramStart"/>
      <w:r w:rsidRPr="00476AB4">
        <w:rPr>
          <w:rFonts w:ascii="Tahoma" w:hAnsi="Tahoma" w:cs="Tahoma"/>
          <w:sz w:val="20"/>
          <w:szCs w:val="20"/>
        </w:rPr>
        <w:t>être</w:t>
      </w:r>
      <w:proofErr w:type="gramEnd"/>
      <w:r w:rsidRPr="00476AB4">
        <w:rPr>
          <w:rFonts w:ascii="Tahoma" w:hAnsi="Tahoma" w:cs="Tahoma"/>
          <w:sz w:val="20"/>
          <w:szCs w:val="20"/>
        </w:rPr>
        <w:t xml:space="preserve"> réfrigérées dès que possible et maintenues à la température fixée par la réglementation en vigueur ;</w:t>
      </w:r>
    </w:p>
    <w:p w14:paraId="403BB93A" w14:textId="77777777" w:rsidR="00565D30" w:rsidRPr="00476AB4" w:rsidRDefault="00565D30" w:rsidP="00420DDA">
      <w:pPr>
        <w:numPr>
          <w:ilvl w:val="0"/>
          <w:numId w:val="191"/>
        </w:numPr>
        <w:autoSpaceDE w:val="0"/>
        <w:autoSpaceDN w:val="0"/>
        <w:adjustRightInd w:val="0"/>
        <w:ind w:left="284"/>
        <w:jc w:val="both"/>
        <w:rPr>
          <w:rFonts w:ascii="Tahoma" w:hAnsi="Tahoma" w:cs="Tahoma"/>
          <w:sz w:val="20"/>
          <w:szCs w:val="20"/>
        </w:rPr>
      </w:pPr>
      <w:proofErr w:type="gramStart"/>
      <w:r w:rsidRPr="00476AB4">
        <w:rPr>
          <w:rFonts w:ascii="Tahoma" w:hAnsi="Tahoma" w:cs="Tahoma"/>
          <w:sz w:val="20"/>
          <w:szCs w:val="20"/>
        </w:rPr>
        <w:t>la</w:t>
      </w:r>
      <w:proofErr w:type="gramEnd"/>
      <w:r w:rsidRPr="00476AB4">
        <w:rPr>
          <w:rFonts w:ascii="Tahoma" w:hAnsi="Tahoma" w:cs="Tahoma"/>
          <w:sz w:val="20"/>
          <w:szCs w:val="20"/>
        </w:rPr>
        <w:t xml:space="preserve"> valeur en Azote Basique Volatil Total (ABVT) des produits de la pêche entiers utilisés directement pour la préparation d’huile de poisson destinée à la consommation humaine ne doit pas dépasser les limites fixées à par la réglementation en vigueur (60 mg d’azote/100 g de produits de la pêche </w:t>
      </w:r>
    </w:p>
    <w:p w14:paraId="4E3DB99D" w14:textId="77777777" w:rsidR="00565D30" w:rsidRPr="00476AB4" w:rsidRDefault="00565D30" w:rsidP="00420DDA">
      <w:pPr>
        <w:widowControl w:val="0"/>
        <w:numPr>
          <w:ilvl w:val="0"/>
          <w:numId w:val="191"/>
        </w:numPr>
        <w:autoSpaceDE w:val="0"/>
        <w:autoSpaceDN w:val="0"/>
        <w:adjustRightInd w:val="0"/>
        <w:ind w:left="284" w:hanging="284"/>
        <w:jc w:val="both"/>
        <w:rPr>
          <w:rFonts w:ascii="Tahoma" w:hAnsi="Tahoma" w:cs="Tahoma"/>
          <w:sz w:val="20"/>
          <w:szCs w:val="20"/>
        </w:rPr>
      </w:pPr>
      <w:proofErr w:type="gramStart"/>
      <w:r w:rsidRPr="00476AB4">
        <w:rPr>
          <w:rFonts w:ascii="Tahoma" w:hAnsi="Tahoma" w:cs="Tahoma"/>
          <w:sz w:val="20"/>
          <w:szCs w:val="20"/>
        </w:rPr>
        <w:t>le</w:t>
      </w:r>
      <w:proofErr w:type="gramEnd"/>
      <w:r w:rsidRPr="00476AB4">
        <w:rPr>
          <w:rFonts w:ascii="Tahoma" w:hAnsi="Tahoma" w:cs="Tahoma"/>
          <w:sz w:val="20"/>
          <w:szCs w:val="20"/>
        </w:rPr>
        <w:t xml:space="preserve"> processus de production de l'huile de poisson raffinée doit être de nature à garantir que toutes les matières premières destinées à la préparation d’huile de poisson brute fassent l’objet d’un traitement comprenant, le cas échéant, des phases de cuisson, de pressurage, de séparation, de centrifugation, de transformation, de raffinage et de purification avant leur mise sur le marché à l’intention des consommateurs ; </w:t>
      </w:r>
    </w:p>
    <w:p w14:paraId="3106AA2E" w14:textId="77777777" w:rsidR="00565D30" w:rsidRPr="00476AB4" w:rsidRDefault="00565D30" w:rsidP="00420DDA">
      <w:pPr>
        <w:widowControl w:val="0"/>
        <w:numPr>
          <w:ilvl w:val="0"/>
          <w:numId w:val="191"/>
        </w:numPr>
        <w:autoSpaceDE w:val="0"/>
        <w:autoSpaceDN w:val="0"/>
        <w:adjustRightInd w:val="0"/>
        <w:ind w:left="284" w:hanging="284"/>
        <w:jc w:val="both"/>
        <w:rPr>
          <w:rFonts w:ascii="Tahoma" w:hAnsi="Tahoma" w:cs="Tahoma"/>
          <w:sz w:val="20"/>
          <w:szCs w:val="20"/>
        </w:rPr>
      </w:pPr>
      <w:proofErr w:type="gramStart"/>
      <w:r w:rsidRPr="00476AB4">
        <w:rPr>
          <w:rFonts w:ascii="Tahoma" w:hAnsi="Tahoma" w:cs="Tahoma"/>
          <w:sz w:val="20"/>
          <w:szCs w:val="20"/>
        </w:rPr>
        <w:t>les</w:t>
      </w:r>
      <w:proofErr w:type="gramEnd"/>
      <w:r w:rsidRPr="00476AB4">
        <w:rPr>
          <w:rFonts w:ascii="Tahoma" w:hAnsi="Tahoma" w:cs="Tahoma"/>
          <w:sz w:val="20"/>
          <w:szCs w:val="20"/>
        </w:rPr>
        <w:t xml:space="preserve"> exploitants du secteur alimentaire peuvent entreposer dans le même établissement de l’huile de poisson destinée à la consommation humaine et de l’huile de poisson ou de la farine de poisson non destinées à la consommation humaine dès lors que les réceptacles sont nettement séparés. </w:t>
      </w:r>
    </w:p>
    <w:p w14:paraId="67BB80FF" w14:textId="77777777" w:rsidR="00565D30" w:rsidRPr="00476AB4" w:rsidRDefault="00565D30" w:rsidP="00420DDA">
      <w:pPr>
        <w:widowControl w:val="0"/>
        <w:numPr>
          <w:ilvl w:val="0"/>
          <w:numId w:val="191"/>
        </w:numPr>
        <w:autoSpaceDE w:val="0"/>
        <w:autoSpaceDN w:val="0"/>
        <w:adjustRightInd w:val="0"/>
        <w:ind w:left="284" w:hanging="284"/>
        <w:contextualSpacing/>
        <w:jc w:val="both"/>
        <w:rPr>
          <w:rFonts w:ascii="Tahoma" w:hAnsi="Tahoma" w:cs="Tahoma"/>
          <w:sz w:val="20"/>
          <w:szCs w:val="20"/>
        </w:rPr>
      </w:pPr>
      <w:proofErr w:type="gramStart"/>
      <w:r w:rsidRPr="00476AB4">
        <w:rPr>
          <w:rFonts w:ascii="Tahoma" w:hAnsi="Tahoma" w:cs="Tahoma"/>
          <w:sz w:val="20"/>
          <w:szCs w:val="20"/>
        </w:rPr>
        <w:t>les</w:t>
      </w:r>
      <w:proofErr w:type="gramEnd"/>
      <w:r w:rsidRPr="00476AB4">
        <w:rPr>
          <w:rFonts w:ascii="Tahoma" w:hAnsi="Tahoma" w:cs="Tahoma"/>
          <w:sz w:val="20"/>
          <w:szCs w:val="20"/>
        </w:rPr>
        <w:t xml:space="preserve"> huiles de poisson destiné à la consommation humaine doivent répondre aux critères chimiques suivants : </w:t>
      </w:r>
    </w:p>
    <w:p w14:paraId="1F50B21F" w14:textId="77777777" w:rsidR="00565D30" w:rsidRPr="00476AB4" w:rsidRDefault="00565D30" w:rsidP="00565D30">
      <w:pPr>
        <w:widowControl w:val="0"/>
        <w:autoSpaceDE w:val="0"/>
        <w:autoSpaceDN w:val="0"/>
        <w:adjustRightInd w:val="0"/>
        <w:ind w:left="284"/>
        <w:jc w:val="both"/>
        <w:rPr>
          <w:rFonts w:ascii="Tahoma" w:hAnsi="Tahoma" w:cs="Tahoma"/>
          <w:sz w:val="20"/>
          <w:szCs w:val="20"/>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3569"/>
      </w:tblGrid>
      <w:tr w:rsidR="00565D30" w:rsidRPr="00476AB4" w14:paraId="79060906" w14:textId="77777777" w:rsidTr="006365F0">
        <w:tc>
          <w:tcPr>
            <w:tcW w:w="5245" w:type="dxa"/>
          </w:tcPr>
          <w:p w14:paraId="75CE0FEC" w14:textId="77777777" w:rsidR="00565D30" w:rsidRPr="00476AB4" w:rsidRDefault="00565D30" w:rsidP="006365F0">
            <w:pPr>
              <w:widowControl w:val="0"/>
              <w:autoSpaceDE w:val="0"/>
              <w:autoSpaceDN w:val="0"/>
              <w:adjustRightInd w:val="0"/>
              <w:rPr>
                <w:rFonts w:ascii="Tahoma" w:hAnsi="Tahoma" w:cs="Tahoma"/>
                <w:b/>
                <w:sz w:val="20"/>
                <w:szCs w:val="20"/>
              </w:rPr>
            </w:pPr>
            <w:r w:rsidRPr="00476AB4">
              <w:rPr>
                <w:rFonts w:ascii="Tahoma" w:hAnsi="Tahoma" w:cs="Tahoma"/>
                <w:b/>
                <w:sz w:val="20"/>
                <w:szCs w:val="20"/>
              </w:rPr>
              <w:t>Critères</w:t>
            </w:r>
          </w:p>
        </w:tc>
        <w:tc>
          <w:tcPr>
            <w:tcW w:w="3569" w:type="dxa"/>
          </w:tcPr>
          <w:p w14:paraId="7D45C791" w14:textId="77777777" w:rsidR="00565D30" w:rsidRPr="00476AB4" w:rsidRDefault="00565D30" w:rsidP="006365F0">
            <w:pPr>
              <w:widowControl w:val="0"/>
              <w:autoSpaceDE w:val="0"/>
              <w:autoSpaceDN w:val="0"/>
              <w:adjustRightInd w:val="0"/>
              <w:rPr>
                <w:rFonts w:ascii="Tahoma" w:hAnsi="Tahoma" w:cs="Tahoma"/>
                <w:b/>
                <w:sz w:val="20"/>
                <w:szCs w:val="20"/>
              </w:rPr>
            </w:pPr>
            <w:r w:rsidRPr="00476AB4">
              <w:rPr>
                <w:rFonts w:ascii="Tahoma" w:hAnsi="Tahoma" w:cs="Tahoma"/>
                <w:b/>
                <w:sz w:val="20"/>
                <w:szCs w:val="20"/>
              </w:rPr>
              <w:t>Taux</w:t>
            </w:r>
          </w:p>
        </w:tc>
      </w:tr>
      <w:tr w:rsidR="00565D30" w:rsidRPr="00476AB4" w14:paraId="45249359" w14:textId="77777777" w:rsidTr="006365F0">
        <w:tc>
          <w:tcPr>
            <w:tcW w:w="5245" w:type="dxa"/>
          </w:tcPr>
          <w:p w14:paraId="7795150D" w14:textId="77777777" w:rsidR="00565D30" w:rsidRPr="00476AB4" w:rsidRDefault="00565D30" w:rsidP="006365F0">
            <w:pPr>
              <w:widowControl w:val="0"/>
              <w:autoSpaceDE w:val="0"/>
              <w:autoSpaceDN w:val="0"/>
              <w:adjustRightInd w:val="0"/>
              <w:rPr>
                <w:rFonts w:ascii="Tahoma" w:hAnsi="Tahoma" w:cs="Tahoma"/>
                <w:sz w:val="20"/>
                <w:szCs w:val="20"/>
              </w:rPr>
            </w:pPr>
            <w:r w:rsidRPr="00476AB4">
              <w:rPr>
                <w:rFonts w:ascii="Tahoma" w:hAnsi="Tahoma" w:cs="Tahoma"/>
                <w:sz w:val="20"/>
                <w:szCs w:val="20"/>
              </w:rPr>
              <w:t>Acidité</w:t>
            </w:r>
          </w:p>
        </w:tc>
        <w:tc>
          <w:tcPr>
            <w:tcW w:w="3569" w:type="dxa"/>
          </w:tcPr>
          <w:p w14:paraId="2D5586E4" w14:textId="77777777" w:rsidR="00565D30" w:rsidRPr="00476AB4" w:rsidRDefault="00565D30" w:rsidP="006365F0">
            <w:pPr>
              <w:widowControl w:val="0"/>
              <w:autoSpaceDE w:val="0"/>
              <w:autoSpaceDN w:val="0"/>
              <w:adjustRightInd w:val="0"/>
              <w:rPr>
                <w:rFonts w:ascii="Tahoma" w:hAnsi="Tahoma" w:cs="Tahoma"/>
                <w:sz w:val="20"/>
                <w:szCs w:val="20"/>
              </w:rPr>
            </w:pPr>
            <w:r w:rsidRPr="00476AB4">
              <w:rPr>
                <w:rFonts w:ascii="Tahoma" w:hAnsi="Tahoma" w:cs="Tahoma"/>
                <w:sz w:val="20"/>
                <w:szCs w:val="20"/>
              </w:rPr>
              <w:t>5% Max</w:t>
            </w:r>
          </w:p>
        </w:tc>
      </w:tr>
      <w:tr w:rsidR="00565D30" w:rsidRPr="00476AB4" w14:paraId="3FD05C2F" w14:textId="77777777" w:rsidTr="006365F0">
        <w:tc>
          <w:tcPr>
            <w:tcW w:w="5245" w:type="dxa"/>
          </w:tcPr>
          <w:p w14:paraId="273591DA" w14:textId="77777777" w:rsidR="00565D30" w:rsidRPr="00476AB4" w:rsidRDefault="00565D30" w:rsidP="006365F0">
            <w:pPr>
              <w:widowControl w:val="0"/>
              <w:autoSpaceDE w:val="0"/>
              <w:autoSpaceDN w:val="0"/>
              <w:adjustRightInd w:val="0"/>
              <w:rPr>
                <w:rFonts w:ascii="Tahoma" w:hAnsi="Tahoma" w:cs="Tahoma"/>
                <w:sz w:val="20"/>
                <w:szCs w:val="20"/>
              </w:rPr>
            </w:pPr>
            <w:r w:rsidRPr="00476AB4">
              <w:rPr>
                <w:rFonts w:ascii="Tahoma" w:hAnsi="Tahoma" w:cs="Tahoma"/>
                <w:sz w:val="20"/>
                <w:szCs w:val="20"/>
              </w:rPr>
              <w:t>Indice de Peroxyde</w:t>
            </w:r>
          </w:p>
        </w:tc>
        <w:tc>
          <w:tcPr>
            <w:tcW w:w="3569" w:type="dxa"/>
          </w:tcPr>
          <w:p w14:paraId="4D292DD6" w14:textId="77777777" w:rsidR="00565D30" w:rsidRPr="00476AB4" w:rsidRDefault="00565D30" w:rsidP="006365F0">
            <w:pPr>
              <w:widowControl w:val="0"/>
              <w:autoSpaceDE w:val="0"/>
              <w:autoSpaceDN w:val="0"/>
              <w:adjustRightInd w:val="0"/>
              <w:rPr>
                <w:rFonts w:ascii="Tahoma" w:hAnsi="Tahoma" w:cs="Tahoma"/>
                <w:sz w:val="20"/>
                <w:szCs w:val="20"/>
              </w:rPr>
            </w:pPr>
            <w:r w:rsidRPr="00476AB4">
              <w:rPr>
                <w:rFonts w:ascii="Tahoma" w:hAnsi="Tahoma" w:cs="Tahoma"/>
                <w:sz w:val="20"/>
                <w:szCs w:val="20"/>
              </w:rPr>
              <w:t>35 Max</w:t>
            </w:r>
          </w:p>
        </w:tc>
      </w:tr>
      <w:tr w:rsidR="00565D30" w:rsidRPr="00476AB4" w14:paraId="5C88AA61" w14:textId="77777777" w:rsidTr="006365F0">
        <w:tc>
          <w:tcPr>
            <w:tcW w:w="5245" w:type="dxa"/>
          </w:tcPr>
          <w:p w14:paraId="376D5110" w14:textId="77777777" w:rsidR="00565D30" w:rsidRPr="00476AB4" w:rsidRDefault="00565D30" w:rsidP="006365F0">
            <w:pPr>
              <w:widowControl w:val="0"/>
              <w:autoSpaceDE w:val="0"/>
              <w:autoSpaceDN w:val="0"/>
              <w:adjustRightInd w:val="0"/>
              <w:rPr>
                <w:rFonts w:ascii="Tahoma" w:hAnsi="Tahoma" w:cs="Tahoma"/>
                <w:sz w:val="20"/>
                <w:szCs w:val="20"/>
              </w:rPr>
            </w:pPr>
            <w:r w:rsidRPr="00476AB4">
              <w:rPr>
                <w:rFonts w:ascii="Tahoma" w:hAnsi="Tahoma" w:cs="Tahoma"/>
                <w:sz w:val="20"/>
                <w:szCs w:val="20"/>
              </w:rPr>
              <w:t>Indice de saponification</w:t>
            </w:r>
          </w:p>
        </w:tc>
        <w:tc>
          <w:tcPr>
            <w:tcW w:w="3569" w:type="dxa"/>
          </w:tcPr>
          <w:p w14:paraId="77CBB26B" w14:textId="77777777" w:rsidR="00565D30" w:rsidRPr="00476AB4" w:rsidRDefault="00565D30" w:rsidP="006365F0">
            <w:pPr>
              <w:widowControl w:val="0"/>
              <w:autoSpaceDE w:val="0"/>
              <w:autoSpaceDN w:val="0"/>
              <w:adjustRightInd w:val="0"/>
              <w:rPr>
                <w:rFonts w:ascii="Tahoma" w:hAnsi="Tahoma" w:cs="Tahoma"/>
                <w:sz w:val="20"/>
                <w:szCs w:val="20"/>
              </w:rPr>
            </w:pPr>
            <w:r w:rsidRPr="00476AB4">
              <w:rPr>
                <w:rFonts w:ascii="Tahoma" w:hAnsi="Tahoma" w:cs="Tahoma"/>
                <w:sz w:val="20"/>
                <w:szCs w:val="20"/>
              </w:rPr>
              <w:t>200 Max</w:t>
            </w:r>
          </w:p>
        </w:tc>
      </w:tr>
      <w:tr w:rsidR="00565D30" w:rsidRPr="00476AB4" w14:paraId="5D1AA558" w14:textId="77777777" w:rsidTr="006365F0">
        <w:tc>
          <w:tcPr>
            <w:tcW w:w="5245" w:type="dxa"/>
          </w:tcPr>
          <w:p w14:paraId="01FD40A8" w14:textId="77777777" w:rsidR="00565D30" w:rsidRPr="00476AB4" w:rsidRDefault="00565D30" w:rsidP="006365F0">
            <w:pPr>
              <w:widowControl w:val="0"/>
              <w:autoSpaceDE w:val="0"/>
              <w:autoSpaceDN w:val="0"/>
              <w:adjustRightInd w:val="0"/>
              <w:rPr>
                <w:rFonts w:ascii="Tahoma" w:hAnsi="Tahoma" w:cs="Tahoma"/>
                <w:sz w:val="20"/>
                <w:szCs w:val="20"/>
              </w:rPr>
            </w:pPr>
            <w:r w:rsidRPr="00476AB4">
              <w:rPr>
                <w:rFonts w:ascii="Tahoma" w:hAnsi="Tahoma" w:cs="Tahoma"/>
                <w:sz w:val="20"/>
                <w:szCs w:val="20"/>
              </w:rPr>
              <w:t>Impuretés</w:t>
            </w:r>
          </w:p>
        </w:tc>
        <w:tc>
          <w:tcPr>
            <w:tcW w:w="3569" w:type="dxa"/>
          </w:tcPr>
          <w:p w14:paraId="6BA61258" w14:textId="77777777" w:rsidR="00565D30" w:rsidRPr="00476AB4" w:rsidRDefault="00565D30" w:rsidP="006365F0">
            <w:pPr>
              <w:widowControl w:val="0"/>
              <w:autoSpaceDE w:val="0"/>
              <w:autoSpaceDN w:val="0"/>
              <w:adjustRightInd w:val="0"/>
              <w:rPr>
                <w:rFonts w:ascii="Tahoma" w:hAnsi="Tahoma" w:cs="Tahoma"/>
                <w:sz w:val="20"/>
                <w:szCs w:val="20"/>
              </w:rPr>
            </w:pPr>
            <w:r w:rsidRPr="00476AB4">
              <w:rPr>
                <w:rFonts w:ascii="Tahoma" w:hAnsi="Tahoma" w:cs="Tahoma"/>
                <w:sz w:val="20"/>
                <w:szCs w:val="20"/>
              </w:rPr>
              <w:t>0,5 -1ppm</w:t>
            </w:r>
          </w:p>
        </w:tc>
      </w:tr>
      <w:tr w:rsidR="00565D30" w:rsidRPr="00476AB4" w14:paraId="34FB2286" w14:textId="77777777" w:rsidTr="006365F0">
        <w:tc>
          <w:tcPr>
            <w:tcW w:w="5245" w:type="dxa"/>
          </w:tcPr>
          <w:p w14:paraId="6245F69C" w14:textId="77777777" w:rsidR="00565D30" w:rsidRPr="00476AB4" w:rsidRDefault="00565D30" w:rsidP="006365F0">
            <w:pPr>
              <w:widowControl w:val="0"/>
              <w:autoSpaceDE w:val="0"/>
              <w:autoSpaceDN w:val="0"/>
              <w:adjustRightInd w:val="0"/>
              <w:rPr>
                <w:rFonts w:ascii="Tahoma" w:hAnsi="Tahoma" w:cs="Tahoma"/>
                <w:sz w:val="20"/>
                <w:szCs w:val="20"/>
              </w:rPr>
            </w:pPr>
            <w:r w:rsidRPr="00476AB4">
              <w:rPr>
                <w:rFonts w:ascii="Tahoma" w:hAnsi="Tahoma" w:cs="Tahoma"/>
                <w:sz w:val="20"/>
                <w:szCs w:val="20"/>
              </w:rPr>
              <w:t>Somme des dioxines et PCB de type dioxine (OMS-PCDD/F-PCBTEQ) (5)</w:t>
            </w:r>
          </w:p>
        </w:tc>
        <w:tc>
          <w:tcPr>
            <w:tcW w:w="3569" w:type="dxa"/>
          </w:tcPr>
          <w:p w14:paraId="3112B01D" w14:textId="77777777" w:rsidR="00565D30" w:rsidRPr="00476AB4" w:rsidRDefault="00565D30" w:rsidP="006365F0">
            <w:pPr>
              <w:widowControl w:val="0"/>
              <w:rPr>
                <w:rFonts w:ascii="Tahoma" w:hAnsi="Tahoma" w:cs="Tahoma"/>
                <w:sz w:val="20"/>
                <w:szCs w:val="20"/>
              </w:rPr>
            </w:pPr>
            <w:r w:rsidRPr="00476AB4">
              <w:rPr>
                <w:rFonts w:ascii="Tahoma" w:hAnsi="Tahoma" w:cs="Tahoma"/>
                <w:sz w:val="20"/>
                <w:szCs w:val="20"/>
              </w:rPr>
              <w:t>10,0 pg/g de graisses</w:t>
            </w:r>
          </w:p>
        </w:tc>
      </w:tr>
    </w:tbl>
    <w:p w14:paraId="21684E4A" w14:textId="77777777" w:rsidR="00565D30" w:rsidRPr="00476AB4" w:rsidRDefault="00565D30" w:rsidP="00565D30">
      <w:pPr>
        <w:autoSpaceDE w:val="0"/>
        <w:autoSpaceDN w:val="0"/>
        <w:adjustRightInd w:val="0"/>
        <w:jc w:val="both"/>
        <w:rPr>
          <w:rFonts w:ascii="Tahoma" w:hAnsi="Tahoma" w:cs="Tahoma"/>
          <w:sz w:val="20"/>
          <w:szCs w:val="20"/>
        </w:rPr>
      </w:pPr>
    </w:p>
    <w:p w14:paraId="39903E08" w14:textId="77777777" w:rsidR="00565D30" w:rsidRPr="00476AB4" w:rsidRDefault="00565D30" w:rsidP="00420DDA">
      <w:pPr>
        <w:numPr>
          <w:ilvl w:val="0"/>
          <w:numId w:val="191"/>
        </w:numPr>
        <w:autoSpaceDE w:val="0"/>
        <w:autoSpaceDN w:val="0"/>
        <w:adjustRightInd w:val="0"/>
        <w:ind w:left="284" w:hanging="284"/>
        <w:contextualSpacing/>
        <w:jc w:val="both"/>
        <w:rPr>
          <w:rFonts w:ascii="Tahoma" w:hAnsi="Tahoma" w:cs="Tahoma"/>
          <w:sz w:val="20"/>
          <w:szCs w:val="20"/>
        </w:rPr>
      </w:pPr>
      <w:r w:rsidRPr="00476AB4">
        <w:rPr>
          <w:rFonts w:ascii="Tahoma" w:hAnsi="Tahoma" w:cs="Tahoma"/>
          <w:sz w:val="20"/>
          <w:szCs w:val="20"/>
        </w:rPr>
        <w:t>sans préjudice aux dispositions des textes législatifs en vigueur les huiles de poissons destinées à la consommation humaine doivent répondre aux prescriptions de l’arrêté n° 2504</w:t>
      </w:r>
      <w:r w:rsidRPr="00476AB4" w:rsidDel="00E101B6">
        <w:rPr>
          <w:rFonts w:ascii="Tahoma" w:hAnsi="Tahoma" w:cs="Tahoma"/>
          <w:sz w:val="20"/>
          <w:szCs w:val="20"/>
        </w:rPr>
        <w:t>/MPEM/MS</w:t>
      </w:r>
      <w:r w:rsidRPr="00476AB4">
        <w:rPr>
          <w:rFonts w:ascii="Tahoma" w:hAnsi="Tahoma" w:cs="Tahoma"/>
          <w:sz w:val="20"/>
          <w:szCs w:val="20"/>
        </w:rPr>
        <w:t>/</w:t>
      </w:r>
      <w:r w:rsidRPr="00476AB4" w:rsidDel="00E101B6">
        <w:rPr>
          <w:rFonts w:ascii="Tahoma" w:hAnsi="Tahoma" w:cs="Tahoma"/>
          <w:sz w:val="20"/>
          <w:szCs w:val="20"/>
        </w:rPr>
        <w:t>MCAT/</w:t>
      </w:r>
      <w:r w:rsidRPr="00476AB4">
        <w:rPr>
          <w:rFonts w:ascii="Tahoma" w:hAnsi="Tahoma" w:cs="Tahoma"/>
          <w:sz w:val="20"/>
          <w:szCs w:val="20"/>
        </w:rPr>
        <w:t>MDR/MDPMEDD modifiant certaines dispositions de l’arrêté conjoint n°2905 MPEM/MCAT/MSAS/SEPME du 21 novembre 2006 relatif aux critères microbiologiques, chimiques et biotoxines marines applicables aux mollusques bivalves vivants et aux produits de la pêche et de l’aquaculture et les méthodes d’analyse à utiliser.</w:t>
      </w:r>
    </w:p>
    <w:p w14:paraId="6DA887E1" w14:textId="77777777" w:rsidR="00565D30" w:rsidRPr="00476AB4" w:rsidRDefault="00565D30" w:rsidP="00565D30">
      <w:pPr>
        <w:ind w:right="225"/>
        <w:rPr>
          <w:rFonts w:ascii="Tahoma" w:hAnsi="Tahoma" w:cs="Tahoma"/>
          <w:b/>
          <w:sz w:val="20"/>
          <w:szCs w:val="20"/>
        </w:rPr>
      </w:pPr>
    </w:p>
    <w:p w14:paraId="7571ADCF" w14:textId="77777777" w:rsidR="00565D30" w:rsidRPr="00476AB4" w:rsidRDefault="00565D30" w:rsidP="00565D30">
      <w:pPr>
        <w:ind w:right="225"/>
        <w:rPr>
          <w:rFonts w:ascii="Tahoma" w:hAnsi="Tahoma" w:cs="Tahoma"/>
          <w:b/>
          <w:sz w:val="20"/>
          <w:szCs w:val="20"/>
        </w:rPr>
      </w:pPr>
      <w:r w:rsidRPr="00476AB4">
        <w:rPr>
          <w:rFonts w:ascii="Tahoma" w:hAnsi="Tahoma" w:cs="Tahoma"/>
          <w:b/>
          <w:sz w:val="20"/>
          <w:szCs w:val="20"/>
        </w:rPr>
        <w:t>Article 3 </w:t>
      </w:r>
    </w:p>
    <w:p w14:paraId="2525CDC5" w14:textId="77777777" w:rsidR="00565D30" w:rsidRPr="00476AB4" w:rsidRDefault="00565D30" w:rsidP="00565D30">
      <w:pPr>
        <w:shd w:val="clear" w:color="auto" w:fill="FFFFFF"/>
        <w:jc w:val="both"/>
        <w:rPr>
          <w:rFonts w:ascii="Tahoma" w:hAnsi="Tahoma" w:cs="Tahoma"/>
          <w:sz w:val="20"/>
          <w:szCs w:val="20"/>
        </w:rPr>
      </w:pPr>
      <w:r w:rsidRPr="00476AB4">
        <w:rPr>
          <w:rFonts w:ascii="Tahoma" w:hAnsi="Tahoma" w:cs="Tahoma"/>
          <w:sz w:val="20"/>
          <w:szCs w:val="20"/>
        </w:rPr>
        <w:t>Les Etablissements ou usines de transformations de sous-produits de la pêche et produits dérivés destinés à la consommation humaine sont soumis à un contrôle périodique de leurs infrastructures, équipements et matériel de production par les services compétents du Ministère chargé de la Pêche.</w:t>
      </w:r>
    </w:p>
    <w:p w14:paraId="3653C3E0" w14:textId="77777777" w:rsidR="00565D30" w:rsidRPr="00476AB4" w:rsidRDefault="00565D30" w:rsidP="00565D30">
      <w:pPr>
        <w:shd w:val="clear" w:color="auto" w:fill="FFFFFF"/>
        <w:jc w:val="both"/>
        <w:rPr>
          <w:rFonts w:ascii="Tahoma" w:hAnsi="Tahoma" w:cs="Tahoma"/>
          <w:sz w:val="20"/>
          <w:szCs w:val="20"/>
        </w:rPr>
      </w:pPr>
    </w:p>
    <w:p w14:paraId="3E915720" w14:textId="71643A76" w:rsidR="00BB0D93" w:rsidRPr="00741A3D" w:rsidRDefault="00565D30" w:rsidP="009A3467">
      <w:pPr>
        <w:shd w:val="clear" w:color="auto" w:fill="FFFFFF"/>
        <w:jc w:val="both"/>
        <w:rPr>
          <w:rFonts w:ascii="Tahoma" w:hAnsi="Tahoma" w:cs="Tahoma"/>
          <w:bCs/>
          <w:sz w:val="20"/>
          <w:szCs w:val="20"/>
        </w:rPr>
      </w:pPr>
      <w:r w:rsidRPr="00476AB4">
        <w:rPr>
          <w:rFonts w:ascii="Tahoma" w:hAnsi="Tahoma" w:cs="Tahoma"/>
          <w:sz w:val="20"/>
          <w:szCs w:val="20"/>
        </w:rPr>
        <w:t xml:space="preserve">Les Etablissements ou usines de transformations de sous-produits de la pêche et produits dérivés destinés à la consommation humaine doivent </w:t>
      </w:r>
      <w:r w:rsidR="009A3467">
        <w:rPr>
          <w:rFonts w:ascii="Tahoma" w:hAnsi="Tahoma" w:cs="Tahoma"/>
          <w:sz w:val="20"/>
          <w:szCs w:val="20"/>
        </w:rPr>
        <w:t>satisfaire</w:t>
      </w:r>
      <w:r w:rsidRPr="00476AB4">
        <w:rPr>
          <w:rFonts w:ascii="Tahoma" w:hAnsi="Tahoma" w:cs="Tahoma"/>
          <w:sz w:val="20"/>
          <w:szCs w:val="20"/>
        </w:rPr>
        <w:t xml:space="preserve"> aux </w:t>
      </w:r>
      <w:r w:rsidRPr="00741A3D">
        <w:rPr>
          <w:rFonts w:ascii="Tahoma" w:hAnsi="Tahoma" w:cs="Tahoma"/>
          <w:sz w:val="20"/>
          <w:szCs w:val="20"/>
        </w:rPr>
        <w:t>critères de respect de l’environnement</w:t>
      </w:r>
      <w:r w:rsidR="009A3467" w:rsidRPr="00741A3D">
        <w:rPr>
          <w:rFonts w:ascii="Tahoma" w:hAnsi="Tahoma" w:cs="Tahoma"/>
          <w:sz w:val="20"/>
          <w:szCs w:val="20"/>
        </w:rPr>
        <w:t>,</w:t>
      </w:r>
      <w:r w:rsidRPr="00741A3D">
        <w:rPr>
          <w:rFonts w:ascii="Tahoma" w:hAnsi="Tahoma" w:cs="Tahoma"/>
          <w:sz w:val="20"/>
          <w:szCs w:val="20"/>
        </w:rPr>
        <w:t xml:space="preserve"> notamment ils sont soumis à une étude d’impact </w:t>
      </w:r>
      <w:r w:rsidR="009A3467" w:rsidRPr="00741A3D">
        <w:rPr>
          <w:rFonts w:ascii="Tahoma" w:hAnsi="Tahoma" w:cs="Tahoma"/>
          <w:sz w:val="20"/>
          <w:szCs w:val="20"/>
        </w:rPr>
        <w:t>e</w:t>
      </w:r>
      <w:r w:rsidRPr="00741A3D">
        <w:rPr>
          <w:rFonts w:ascii="Tahoma" w:hAnsi="Tahoma" w:cs="Tahoma"/>
          <w:sz w:val="20"/>
          <w:szCs w:val="20"/>
        </w:rPr>
        <w:t>nvironnement</w:t>
      </w:r>
      <w:r w:rsidR="009A3467" w:rsidRPr="00741A3D">
        <w:rPr>
          <w:rFonts w:ascii="Tahoma" w:hAnsi="Tahoma" w:cs="Tahoma"/>
          <w:sz w:val="20"/>
          <w:szCs w:val="20"/>
        </w:rPr>
        <w:t>al</w:t>
      </w:r>
      <w:r w:rsidRPr="00741A3D">
        <w:rPr>
          <w:rFonts w:ascii="Tahoma" w:hAnsi="Tahoma" w:cs="Tahoma"/>
          <w:sz w:val="20"/>
          <w:szCs w:val="20"/>
        </w:rPr>
        <w:t xml:space="preserve"> conformément </w:t>
      </w:r>
      <w:r w:rsidR="009A3467" w:rsidRPr="00741A3D">
        <w:rPr>
          <w:rFonts w:ascii="Tahoma" w:hAnsi="Tahoma" w:cs="Tahoma"/>
          <w:sz w:val="20"/>
          <w:szCs w:val="20"/>
        </w:rPr>
        <w:t xml:space="preserve">aux </w:t>
      </w:r>
      <w:r w:rsidR="00BB0D93" w:rsidRPr="00741A3D">
        <w:rPr>
          <w:rFonts w:ascii="Tahoma" w:hAnsi="Tahoma" w:cs="Tahoma"/>
          <w:bCs/>
          <w:sz w:val="20"/>
          <w:szCs w:val="20"/>
        </w:rPr>
        <w:t>procédures définies par le Ministère chargé de L’environnement</w:t>
      </w:r>
    </w:p>
    <w:p w14:paraId="5D6B7EAE" w14:textId="77777777" w:rsidR="00BB0D93" w:rsidRDefault="00BB0D93" w:rsidP="00BB0D93">
      <w:pPr>
        <w:shd w:val="clear" w:color="auto" w:fill="FFFFFF"/>
        <w:rPr>
          <w:rFonts w:ascii="Tahoma" w:hAnsi="Tahoma" w:cs="Tahoma"/>
          <w:b/>
          <w:sz w:val="20"/>
          <w:szCs w:val="20"/>
        </w:rPr>
      </w:pPr>
    </w:p>
    <w:p w14:paraId="7AEE9BCD" w14:textId="77777777" w:rsidR="00BB0D93" w:rsidRPr="00476AB4" w:rsidRDefault="00BB0D93" w:rsidP="00BB0D93">
      <w:pPr>
        <w:shd w:val="clear" w:color="auto" w:fill="FFFFFF"/>
        <w:rPr>
          <w:rFonts w:ascii="Tahoma" w:hAnsi="Tahoma" w:cs="Tahoma"/>
          <w:b/>
          <w:sz w:val="20"/>
          <w:szCs w:val="20"/>
        </w:rPr>
      </w:pPr>
    </w:p>
    <w:p w14:paraId="1CEBDE13" w14:textId="77777777" w:rsidR="00565D30" w:rsidRPr="00476AB4" w:rsidRDefault="00565D30" w:rsidP="00565D30">
      <w:pPr>
        <w:shd w:val="clear" w:color="auto" w:fill="FFFFFF"/>
        <w:rPr>
          <w:rFonts w:ascii="Tahoma" w:hAnsi="Tahoma" w:cs="Tahoma"/>
          <w:b/>
          <w:sz w:val="20"/>
          <w:szCs w:val="20"/>
        </w:rPr>
      </w:pPr>
      <w:r w:rsidRPr="00476AB4">
        <w:rPr>
          <w:rFonts w:ascii="Tahoma" w:hAnsi="Tahoma" w:cs="Tahoma"/>
          <w:b/>
          <w:sz w:val="20"/>
          <w:szCs w:val="20"/>
        </w:rPr>
        <w:t>Article 4</w:t>
      </w:r>
    </w:p>
    <w:p w14:paraId="1FB35080" w14:textId="77777777" w:rsidR="00565D30" w:rsidRPr="00476AB4" w:rsidRDefault="00565D30" w:rsidP="00565D30">
      <w:pPr>
        <w:shd w:val="clear" w:color="auto" w:fill="FFFFFF"/>
        <w:jc w:val="both"/>
        <w:rPr>
          <w:rFonts w:ascii="Tahoma" w:hAnsi="Tahoma" w:cs="Tahoma"/>
          <w:sz w:val="20"/>
          <w:szCs w:val="20"/>
        </w:rPr>
      </w:pPr>
      <w:r w:rsidRPr="00476AB4">
        <w:rPr>
          <w:rFonts w:ascii="Tahoma" w:hAnsi="Tahoma" w:cs="Tahoma"/>
          <w:sz w:val="20"/>
          <w:szCs w:val="20"/>
        </w:rPr>
        <w:t>Les huiles de poissons destinées à la consommation humaine issus de la transformation des sous-produits de pêche et produits dérivés destinés à la doivent être conformes aux prescriptions règlementaires nationales en vigueur, et internationales le cas échéant.</w:t>
      </w:r>
    </w:p>
    <w:p w14:paraId="3D2410EC" w14:textId="77777777" w:rsidR="00565D30" w:rsidRPr="00476AB4" w:rsidRDefault="00565D30" w:rsidP="00565D30">
      <w:pPr>
        <w:shd w:val="clear" w:color="auto" w:fill="FFFFFF"/>
        <w:jc w:val="both"/>
        <w:rPr>
          <w:rFonts w:ascii="Tahoma" w:hAnsi="Tahoma" w:cs="Tahoma"/>
          <w:sz w:val="20"/>
          <w:szCs w:val="20"/>
        </w:rPr>
      </w:pPr>
    </w:p>
    <w:p w14:paraId="2BAA0015" w14:textId="77777777" w:rsidR="00565D30" w:rsidRPr="00476AB4" w:rsidRDefault="00565D30" w:rsidP="00565D30">
      <w:pPr>
        <w:shd w:val="clear" w:color="auto" w:fill="FFFFFF"/>
        <w:rPr>
          <w:rFonts w:ascii="Tahoma" w:hAnsi="Tahoma" w:cs="Tahoma"/>
          <w:sz w:val="20"/>
          <w:szCs w:val="20"/>
        </w:rPr>
      </w:pPr>
      <w:r w:rsidRPr="00476AB4">
        <w:rPr>
          <w:rFonts w:ascii="Tahoma" w:hAnsi="Tahoma" w:cs="Tahoma"/>
          <w:b/>
          <w:sz w:val="20"/>
          <w:szCs w:val="20"/>
        </w:rPr>
        <w:t>Article 5</w:t>
      </w:r>
      <w:r w:rsidRPr="00476AB4">
        <w:rPr>
          <w:rFonts w:ascii="Tahoma" w:hAnsi="Tahoma" w:cs="Tahoma"/>
          <w:sz w:val="20"/>
          <w:szCs w:val="20"/>
        </w:rPr>
        <w:t> :</w:t>
      </w:r>
    </w:p>
    <w:p w14:paraId="33D1F102" w14:textId="77777777" w:rsidR="00565D30" w:rsidRPr="00476AB4" w:rsidRDefault="00565D30" w:rsidP="00565D30">
      <w:pPr>
        <w:shd w:val="clear" w:color="auto" w:fill="FFFFFF"/>
        <w:jc w:val="both"/>
        <w:rPr>
          <w:rFonts w:ascii="Tahoma" w:hAnsi="Tahoma" w:cs="Tahoma"/>
          <w:sz w:val="20"/>
          <w:szCs w:val="20"/>
        </w:rPr>
      </w:pPr>
      <w:r w:rsidRPr="00476AB4">
        <w:rPr>
          <w:rFonts w:ascii="Tahoma" w:hAnsi="Tahoma" w:cs="Tahoma"/>
          <w:sz w:val="20"/>
          <w:szCs w:val="20"/>
        </w:rPr>
        <w:t xml:space="preserve">Les Secrétaires Généraux du Ministère des Pêches et de l’Economie Maritime, du Ministère de la Santé, du Ministère du Commerce, de l’Industrie et du Tourisme et du Ministère de l’Elevage sont chargés, chacun en ce qui le concerne, de l’exécution du présent arrêté qui sera publié dans le Journal Officiel de la République Islamique de Mauritanie. </w:t>
      </w:r>
    </w:p>
    <w:p w14:paraId="1817A93A" w14:textId="77777777" w:rsidR="00565D30" w:rsidRPr="00476AB4" w:rsidRDefault="00565D30" w:rsidP="00565D30">
      <w:pPr>
        <w:shd w:val="clear" w:color="auto" w:fill="FFFFFF"/>
        <w:jc w:val="both"/>
        <w:rPr>
          <w:rFonts w:ascii="Tahoma" w:hAnsi="Tahoma" w:cs="Tahoma"/>
          <w:sz w:val="20"/>
          <w:szCs w:val="20"/>
        </w:rPr>
      </w:pPr>
    </w:p>
    <w:p w14:paraId="5EC3E531" w14:textId="77777777" w:rsidR="00565D30" w:rsidRPr="00476AB4" w:rsidRDefault="00565D30" w:rsidP="00565D30">
      <w:pPr>
        <w:jc w:val="right"/>
        <w:rPr>
          <w:rFonts w:ascii="Tahoma" w:hAnsi="Tahoma" w:cs="Tahoma"/>
          <w:sz w:val="20"/>
          <w:szCs w:val="20"/>
        </w:rPr>
      </w:pPr>
      <w:r w:rsidRPr="00476AB4">
        <w:rPr>
          <w:rFonts w:ascii="Tahoma" w:hAnsi="Tahoma" w:cs="Tahoma"/>
          <w:sz w:val="20"/>
          <w:szCs w:val="20"/>
        </w:rPr>
        <w:t>Nouakchott, le 22 mars 2016</w:t>
      </w:r>
    </w:p>
    <w:p w14:paraId="1C3C81D0" w14:textId="77777777" w:rsidR="00565D30" w:rsidRPr="00476AB4" w:rsidRDefault="00565D30" w:rsidP="00565D30">
      <w:pPr>
        <w:shd w:val="clear" w:color="auto" w:fill="FFFFFF"/>
        <w:jc w:val="both"/>
        <w:rPr>
          <w:rFonts w:ascii="Tahoma" w:hAnsi="Tahoma" w:cs="Tahoma"/>
          <w:sz w:val="20"/>
          <w:szCs w:val="20"/>
        </w:rPr>
      </w:pPr>
    </w:p>
    <w:tbl>
      <w:tblPr>
        <w:tblW w:w="9606" w:type="dxa"/>
        <w:tblLook w:val="04A0" w:firstRow="1" w:lastRow="0" w:firstColumn="1" w:lastColumn="0" w:noHBand="0" w:noVBand="1"/>
      </w:tblPr>
      <w:tblGrid>
        <w:gridCol w:w="4928"/>
        <w:gridCol w:w="4678"/>
      </w:tblGrid>
      <w:tr w:rsidR="00565D30" w:rsidRPr="00476AB4" w14:paraId="69999D27" w14:textId="77777777" w:rsidTr="006365F0">
        <w:tc>
          <w:tcPr>
            <w:tcW w:w="4928" w:type="dxa"/>
          </w:tcPr>
          <w:p w14:paraId="584CC973" w14:textId="77777777" w:rsidR="00565D30" w:rsidRPr="00476AB4" w:rsidRDefault="00565D30" w:rsidP="006365F0">
            <w:pPr>
              <w:shd w:val="clear" w:color="auto" w:fill="FFFFFF"/>
              <w:ind w:right="421"/>
              <w:jc w:val="center"/>
              <w:rPr>
                <w:rFonts w:ascii="Tahoma" w:hAnsi="Tahoma" w:cs="Tahoma"/>
                <w:sz w:val="20"/>
                <w:szCs w:val="20"/>
              </w:rPr>
            </w:pPr>
            <w:r w:rsidRPr="00476AB4">
              <w:rPr>
                <w:rFonts w:ascii="Tahoma" w:hAnsi="Tahoma" w:cs="Tahoma"/>
                <w:sz w:val="20"/>
                <w:szCs w:val="20"/>
              </w:rPr>
              <w:t>Le Ministre des Pêches et de l’Economie Maritime</w:t>
            </w:r>
          </w:p>
        </w:tc>
        <w:tc>
          <w:tcPr>
            <w:tcW w:w="4678" w:type="dxa"/>
          </w:tcPr>
          <w:p w14:paraId="14D92629" w14:textId="77777777" w:rsidR="00565D30" w:rsidRPr="00476AB4" w:rsidRDefault="00565D30" w:rsidP="006365F0">
            <w:pPr>
              <w:shd w:val="clear" w:color="auto" w:fill="FFFFFF"/>
              <w:ind w:right="349"/>
              <w:jc w:val="center"/>
              <w:rPr>
                <w:rFonts w:ascii="Tahoma" w:hAnsi="Tahoma" w:cs="Tahoma"/>
                <w:sz w:val="20"/>
                <w:szCs w:val="20"/>
              </w:rPr>
            </w:pPr>
            <w:r w:rsidRPr="00476AB4">
              <w:rPr>
                <w:rFonts w:ascii="Tahoma" w:hAnsi="Tahoma" w:cs="Tahoma"/>
                <w:sz w:val="20"/>
                <w:szCs w:val="20"/>
              </w:rPr>
              <w:t xml:space="preserve">Le Ministre de la Santé </w:t>
            </w:r>
          </w:p>
        </w:tc>
      </w:tr>
      <w:tr w:rsidR="00565D30" w:rsidRPr="00476AB4" w14:paraId="5CCDE0DE" w14:textId="77777777" w:rsidTr="006365F0">
        <w:tc>
          <w:tcPr>
            <w:tcW w:w="4928" w:type="dxa"/>
          </w:tcPr>
          <w:p w14:paraId="452ECC17" w14:textId="77777777" w:rsidR="00565D30" w:rsidRPr="00476AB4" w:rsidRDefault="00565D30" w:rsidP="006365F0">
            <w:pPr>
              <w:shd w:val="clear" w:color="auto" w:fill="FFFFFF"/>
              <w:jc w:val="center"/>
              <w:rPr>
                <w:rFonts w:ascii="Tahoma" w:hAnsi="Tahoma" w:cs="Tahoma"/>
                <w:sz w:val="20"/>
                <w:szCs w:val="20"/>
              </w:rPr>
            </w:pPr>
            <w:r w:rsidRPr="00476AB4">
              <w:rPr>
                <w:rFonts w:ascii="Tahoma" w:hAnsi="Tahoma" w:cs="Tahoma"/>
                <w:sz w:val="20"/>
                <w:szCs w:val="20"/>
              </w:rPr>
              <w:t>Nani Ould CHROUGHA</w:t>
            </w:r>
          </w:p>
          <w:p w14:paraId="2F586FEA" w14:textId="77777777" w:rsidR="00565D30" w:rsidRPr="00476AB4" w:rsidRDefault="00565D30" w:rsidP="006365F0">
            <w:pPr>
              <w:shd w:val="clear" w:color="auto" w:fill="FFFFFF"/>
              <w:jc w:val="center"/>
              <w:rPr>
                <w:rFonts w:ascii="Tahoma" w:hAnsi="Tahoma" w:cs="Tahoma"/>
                <w:sz w:val="20"/>
                <w:szCs w:val="20"/>
              </w:rPr>
            </w:pPr>
          </w:p>
        </w:tc>
        <w:tc>
          <w:tcPr>
            <w:tcW w:w="4678" w:type="dxa"/>
          </w:tcPr>
          <w:p w14:paraId="6ECA2A83" w14:textId="77777777" w:rsidR="00565D30" w:rsidRPr="00476AB4" w:rsidRDefault="00565D30" w:rsidP="006365F0">
            <w:pPr>
              <w:shd w:val="clear" w:color="auto" w:fill="FFFFFF"/>
              <w:ind w:left="34"/>
              <w:jc w:val="center"/>
              <w:rPr>
                <w:rFonts w:ascii="Tahoma" w:hAnsi="Tahoma" w:cs="Tahoma"/>
                <w:sz w:val="20"/>
                <w:szCs w:val="20"/>
              </w:rPr>
            </w:pPr>
            <w:r w:rsidRPr="00476AB4">
              <w:rPr>
                <w:rFonts w:ascii="Tahoma" w:hAnsi="Tahoma" w:cs="Tahoma"/>
                <w:sz w:val="20"/>
                <w:szCs w:val="20"/>
              </w:rPr>
              <w:t>Pr. KANE Boubecar</w:t>
            </w:r>
          </w:p>
        </w:tc>
      </w:tr>
      <w:tr w:rsidR="00565D30" w:rsidRPr="00476AB4" w14:paraId="52A6BA96" w14:textId="77777777" w:rsidTr="006365F0">
        <w:tc>
          <w:tcPr>
            <w:tcW w:w="4928" w:type="dxa"/>
          </w:tcPr>
          <w:p w14:paraId="61389976" w14:textId="77777777" w:rsidR="00565D30" w:rsidRPr="00476AB4" w:rsidRDefault="00565D30" w:rsidP="006365F0">
            <w:pPr>
              <w:shd w:val="clear" w:color="auto" w:fill="FFFFFF"/>
              <w:jc w:val="center"/>
              <w:rPr>
                <w:rFonts w:ascii="Tahoma" w:hAnsi="Tahoma" w:cs="Tahoma"/>
                <w:sz w:val="20"/>
                <w:szCs w:val="20"/>
              </w:rPr>
            </w:pPr>
          </w:p>
          <w:p w14:paraId="53642486" w14:textId="77777777" w:rsidR="00565D30" w:rsidRPr="00476AB4" w:rsidRDefault="00565D30" w:rsidP="006365F0">
            <w:pPr>
              <w:shd w:val="clear" w:color="auto" w:fill="FFFFFF"/>
              <w:jc w:val="center"/>
              <w:rPr>
                <w:rFonts w:ascii="Tahoma" w:hAnsi="Tahoma" w:cs="Tahoma"/>
                <w:sz w:val="20"/>
                <w:szCs w:val="20"/>
              </w:rPr>
            </w:pPr>
          </w:p>
        </w:tc>
        <w:tc>
          <w:tcPr>
            <w:tcW w:w="4678" w:type="dxa"/>
          </w:tcPr>
          <w:p w14:paraId="43DA0EA8" w14:textId="77777777" w:rsidR="00565D30" w:rsidRPr="00476AB4" w:rsidRDefault="00565D30" w:rsidP="006365F0">
            <w:pPr>
              <w:shd w:val="clear" w:color="auto" w:fill="FFFFFF"/>
              <w:jc w:val="center"/>
              <w:rPr>
                <w:rFonts w:ascii="Tahoma" w:hAnsi="Tahoma" w:cs="Tahoma"/>
                <w:sz w:val="20"/>
                <w:szCs w:val="20"/>
              </w:rPr>
            </w:pPr>
          </w:p>
          <w:p w14:paraId="1F71250A" w14:textId="77777777" w:rsidR="00565D30" w:rsidRPr="00476AB4" w:rsidRDefault="00565D30" w:rsidP="006365F0">
            <w:pPr>
              <w:shd w:val="clear" w:color="auto" w:fill="FFFFFF"/>
              <w:jc w:val="center"/>
              <w:rPr>
                <w:rFonts w:ascii="Tahoma" w:hAnsi="Tahoma" w:cs="Tahoma"/>
                <w:sz w:val="20"/>
                <w:szCs w:val="20"/>
              </w:rPr>
            </w:pPr>
          </w:p>
        </w:tc>
      </w:tr>
      <w:tr w:rsidR="00565D30" w:rsidRPr="00476AB4" w14:paraId="14264CFB" w14:textId="77777777" w:rsidTr="006365F0">
        <w:tc>
          <w:tcPr>
            <w:tcW w:w="4928" w:type="dxa"/>
          </w:tcPr>
          <w:p w14:paraId="6150F10B" w14:textId="77777777" w:rsidR="00565D30" w:rsidRPr="00476AB4" w:rsidRDefault="00565D30" w:rsidP="006365F0">
            <w:pPr>
              <w:shd w:val="clear" w:color="auto" w:fill="FFFFFF"/>
              <w:jc w:val="center"/>
              <w:rPr>
                <w:rFonts w:ascii="Tahoma" w:hAnsi="Tahoma" w:cs="Tahoma"/>
                <w:sz w:val="20"/>
                <w:szCs w:val="20"/>
              </w:rPr>
            </w:pPr>
            <w:r w:rsidRPr="00476AB4">
              <w:rPr>
                <w:rFonts w:ascii="Tahoma" w:hAnsi="Tahoma" w:cs="Tahoma"/>
                <w:sz w:val="20"/>
                <w:szCs w:val="20"/>
              </w:rPr>
              <w:t>Le Ministre de l’Elevage</w:t>
            </w:r>
          </w:p>
        </w:tc>
        <w:tc>
          <w:tcPr>
            <w:tcW w:w="4678" w:type="dxa"/>
          </w:tcPr>
          <w:p w14:paraId="793C2A0E" w14:textId="77777777" w:rsidR="00565D30" w:rsidRPr="00476AB4" w:rsidRDefault="00565D30" w:rsidP="006365F0">
            <w:pPr>
              <w:shd w:val="clear" w:color="auto" w:fill="FFFFFF"/>
              <w:ind w:right="349"/>
              <w:jc w:val="center"/>
              <w:rPr>
                <w:rFonts w:ascii="Tahoma" w:hAnsi="Tahoma" w:cs="Tahoma"/>
                <w:sz w:val="20"/>
                <w:szCs w:val="20"/>
              </w:rPr>
            </w:pPr>
            <w:r w:rsidRPr="00476AB4">
              <w:rPr>
                <w:rFonts w:ascii="Tahoma" w:hAnsi="Tahoma" w:cs="Tahoma"/>
                <w:sz w:val="20"/>
                <w:szCs w:val="20"/>
              </w:rPr>
              <w:t>Le Ministre du Commerce, de l’Industrie et du Tourisme</w:t>
            </w:r>
          </w:p>
        </w:tc>
      </w:tr>
      <w:tr w:rsidR="00565D30" w:rsidRPr="00476AB4" w14:paraId="558F7C2A" w14:textId="77777777" w:rsidTr="006365F0">
        <w:tc>
          <w:tcPr>
            <w:tcW w:w="4928" w:type="dxa"/>
          </w:tcPr>
          <w:p w14:paraId="1C63F042" w14:textId="77777777" w:rsidR="00565D30" w:rsidRPr="00476AB4" w:rsidRDefault="00565D30" w:rsidP="006365F0">
            <w:pPr>
              <w:shd w:val="clear" w:color="auto" w:fill="FFFFFF"/>
              <w:ind w:right="349"/>
              <w:jc w:val="center"/>
              <w:rPr>
                <w:rFonts w:ascii="Tahoma" w:hAnsi="Tahoma" w:cs="Tahoma"/>
                <w:sz w:val="20"/>
                <w:szCs w:val="20"/>
              </w:rPr>
            </w:pPr>
            <w:r w:rsidRPr="00476AB4">
              <w:rPr>
                <w:rFonts w:ascii="Tahoma" w:hAnsi="Tahoma" w:cs="Tahoma"/>
                <w:sz w:val="20"/>
                <w:szCs w:val="20"/>
              </w:rPr>
              <w:t>Fatima Vall Mint Souenie</w:t>
            </w:r>
          </w:p>
          <w:p w14:paraId="4104DADC" w14:textId="77777777" w:rsidR="00565D30" w:rsidRPr="00476AB4" w:rsidRDefault="00565D30" w:rsidP="006365F0">
            <w:pPr>
              <w:shd w:val="clear" w:color="auto" w:fill="FFFFFF"/>
              <w:ind w:right="349"/>
              <w:jc w:val="center"/>
              <w:rPr>
                <w:rFonts w:ascii="Tahoma" w:hAnsi="Tahoma" w:cs="Tahoma"/>
                <w:sz w:val="20"/>
                <w:szCs w:val="20"/>
              </w:rPr>
            </w:pPr>
          </w:p>
          <w:p w14:paraId="724CFD50" w14:textId="77777777" w:rsidR="00565D30" w:rsidRPr="00476AB4" w:rsidRDefault="00565D30" w:rsidP="006365F0">
            <w:pPr>
              <w:shd w:val="clear" w:color="auto" w:fill="FFFFFF"/>
              <w:ind w:right="349"/>
              <w:jc w:val="center"/>
              <w:rPr>
                <w:rFonts w:ascii="Tahoma" w:hAnsi="Tahoma" w:cs="Tahoma"/>
                <w:sz w:val="20"/>
                <w:szCs w:val="20"/>
              </w:rPr>
            </w:pPr>
          </w:p>
        </w:tc>
        <w:tc>
          <w:tcPr>
            <w:tcW w:w="4678" w:type="dxa"/>
          </w:tcPr>
          <w:p w14:paraId="0E9EECA3" w14:textId="77777777" w:rsidR="00565D30" w:rsidRPr="00476AB4" w:rsidRDefault="00565D30" w:rsidP="006365F0">
            <w:pPr>
              <w:shd w:val="clear" w:color="auto" w:fill="FFFFFF"/>
              <w:jc w:val="center"/>
              <w:rPr>
                <w:rFonts w:ascii="Tahoma" w:hAnsi="Tahoma" w:cs="Tahoma"/>
                <w:sz w:val="20"/>
                <w:szCs w:val="20"/>
                <w:lang w:val="en-US"/>
              </w:rPr>
            </w:pPr>
            <w:r w:rsidRPr="00476AB4">
              <w:rPr>
                <w:rFonts w:ascii="Tahoma" w:hAnsi="Tahoma" w:cs="Tahoma"/>
                <w:sz w:val="20"/>
                <w:szCs w:val="20"/>
                <w:lang w:val="en-US"/>
              </w:rPr>
              <w:t>Naha Mint Hamdi Ould MEKNASS</w:t>
            </w:r>
          </w:p>
          <w:p w14:paraId="01E8E563" w14:textId="77777777" w:rsidR="00565D30" w:rsidRPr="00476AB4" w:rsidRDefault="00565D30" w:rsidP="006365F0">
            <w:pPr>
              <w:shd w:val="clear" w:color="auto" w:fill="FFFFFF"/>
              <w:jc w:val="center"/>
              <w:rPr>
                <w:rFonts w:ascii="Tahoma" w:hAnsi="Tahoma" w:cs="Tahoma"/>
                <w:sz w:val="20"/>
                <w:szCs w:val="20"/>
                <w:lang w:val="en-US"/>
              </w:rPr>
            </w:pPr>
          </w:p>
          <w:p w14:paraId="5EB4B4F8" w14:textId="77777777" w:rsidR="00565D30" w:rsidRPr="00476AB4" w:rsidRDefault="00565D30" w:rsidP="006365F0">
            <w:pPr>
              <w:shd w:val="clear" w:color="auto" w:fill="FFFFFF"/>
              <w:jc w:val="center"/>
              <w:rPr>
                <w:rFonts w:ascii="Tahoma" w:hAnsi="Tahoma" w:cs="Tahoma"/>
                <w:sz w:val="20"/>
                <w:szCs w:val="20"/>
                <w:lang w:val="en-US"/>
              </w:rPr>
            </w:pPr>
          </w:p>
        </w:tc>
      </w:tr>
    </w:tbl>
    <w:p w14:paraId="7C9B4194" w14:textId="77777777" w:rsidR="00565D30" w:rsidRPr="00476AB4" w:rsidRDefault="00565D30" w:rsidP="00565D30">
      <w:pPr>
        <w:rPr>
          <w:rFonts w:ascii="Tahoma" w:hAnsi="Tahoma" w:cs="Tahoma"/>
          <w:b/>
          <w:i/>
          <w:sz w:val="20"/>
          <w:szCs w:val="20"/>
          <w:lang w:val="en-US"/>
        </w:rPr>
      </w:pPr>
    </w:p>
    <w:p w14:paraId="22178E73" w14:textId="77777777" w:rsidR="00565D30" w:rsidRPr="00476AB4" w:rsidRDefault="00565D30" w:rsidP="00565D30">
      <w:pPr>
        <w:jc w:val="right"/>
        <w:rPr>
          <w:rFonts w:ascii="Tahoma" w:hAnsi="Tahoma" w:cs="Tahoma"/>
          <w:i/>
          <w:sz w:val="20"/>
          <w:szCs w:val="20"/>
        </w:rPr>
      </w:pPr>
    </w:p>
    <w:p w14:paraId="7CC0A5C5" w14:textId="77777777" w:rsidR="00565D30" w:rsidRPr="00476AB4" w:rsidRDefault="00565D30" w:rsidP="00565D30">
      <w:pPr>
        <w:jc w:val="both"/>
        <w:rPr>
          <w:rFonts w:ascii="Tahoma" w:hAnsi="Tahoma" w:cs="Tahoma"/>
          <w:i/>
          <w:sz w:val="20"/>
          <w:szCs w:val="20"/>
        </w:rPr>
        <w:sectPr w:rsidR="00565D30" w:rsidRPr="00476AB4" w:rsidSect="00565D30">
          <w:pgSz w:w="12240" w:h="15840" w:code="1"/>
          <w:pgMar w:top="1417" w:right="1417" w:bottom="1417" w:left="1417" w:header="709" w:footer="709" w:gutter="0"/>
          <w:cols w:space="708"/>
          <w:docGrid w:linePitch="360"/>
        </w:sectPr>
      </w:pPr>
    </w:p>
    <w:p w14:paraId="61BDB4CE" w14:textId="5C41001F" w:rsidR="00676FE5" w:rsidRPr="00FA0779" w:rsidRDefault="00676FE5" w:rsidP="00BC4336">
      <w:pPr>
        <w:pStyle w:val="Titre1"/>
        <w:pBdr>
          <w:top w:val="thinThickMediumGap" w:sz="24" w:space="1" w:color="70AD47" w:themeColor="accent6"/>
          <w:left w:val="thinThickMediumGap" w:sz="24" w:space="4" w:color="70AD47" w:themeColor="accent6"/>
          <w:bottom w:val="thickThinMediumGap" w:sz="24" w:space="1" w:color="70AD47" w:themeColor="accent6"/>
          <w:right w:val="thickThinMediumGap" w:sz="24" w:space="4" w:color="70AD47" w:themeColor="accent6"/>
        </w:pBdr>
        <w:jc w:val="both"/>
        <w:rPr>
          <w:rFonts w:ascii="Tahoma" w:hAnsi="Tahoma" w:cs="Tahoma"/>
          <w:szCs w:val="22"/>
        </w:rPr>
      </w:pPr>
      <w:bookmarkStart w:id="205" w:name="_Toc202214692"/>
      <w:r w:rsidRPr="00FA0779">
        <w:rPr>
          <w:rFonts w:ascii="Tahoma" w:hAnsi="Tahoma" w:cs="Tahoma"/>
          <w:szCs w:val="22"/>
        </w:rPr>
        <w:lastRenderedPageBreak/>
        <w:t xml:space="preserve">Arrêté conjoint </w:t>
      </w:r>
      <w:r w:rsidR="00887123" w:rsidRPr="00FA0779">
        <w:rPr>
          <w:rFonts w:ascii="Tahoma" w:hAnsi="Tahoma" w:cs="Tahoma"/>
          <w:szCs w:val="22"/>
        </w:rPr>
        <w:t>n°</w:t>
      </w:r>
      <w:r w:rsidRPr="00FA0779">
        <w:rPr>
          <w:rFonts w:ascii="Tahoma" w:hAnsi="Tahoma" w:cs="Tahoma"/>
          <w:szCs w:val="22"/>
        </w:rPr>
        <w:t xml:space="preserve">511/MPEM/MEF </w:t>
      </w:r>
      <w:r w:rsidR="00BC4336">
        <w:rPr>
          <w:rFonts w:ascii="Tahoma" w:hAnsi="Tahoma" w:cs="Tahoma"/>
          <w:szCs w:val="22"/>
        </w:rPr>
        <w:t xml:space="preserve">du </w:t>
      </w:r>
      <w:r w:rsidR="00BC4336" w:rsidRPr="00BC4336">
        <w:rPr>
          <w:rFonts w:ascii="Tahoma" w:hAnsi="Tahoma" w:cs="Tahoma"/>
          <w:szCs w:val="22"/>
        </w:rPr>
        <w:t xml:space="preserve">26 </w:t>
      </w:r>
      <w:r w:rsidR="00BC4336">
        <w:rPr>
          <w:rFonts w:ascii="Tahoma" w:hAnsi="Tahoma" w:cs="Tahoma"/>
          <w:szCs w:val="22"/>
        </w:rPr>
        <w:t>j</w:t>
      </w:r>
      <w:r w:rsidR="00BC4336" w:rsidRPr="00BC4336">
        <w:rPr>
          <w:rFonts w:ascii="Tahoma" w:hAnsi="Tahoma" w:cs="Tahoma"/>
          <w:szCs w:val="22"/>
        </w:rPr>
        <w:t>uin 2018</w:t>
      </w:r>
      <w:r w:rsidR="00BC4336">
        <w:rPr>
          <w:rFonts w:ascii="Tahoma" w:hAnsi="Tahoma" w:cs="Tahoma"/>
          <w:szCs w:val="22"/>
        </w:rPr>
        <w:t>, f</w:t>
      </w:r>
      <w:r w:rsidRPr="00FA0779">
        <w:rPr>
          <w:rFonts w:ascii="Tahoma" w:hAnsi="Tahoma" w:cs="Tahoma"/>
          <w:szCs w:val="22"/>
        </w:rPr>
        <w:t>ixant la tarification des prestations de services de l’ONISPA</w:t>
      </w:r>
      <w:bookmarkEnd w:id="205"/>
    </w:p>
    <w:p w14:paraId="66B19179" w14:textId="77777777" w:rsidR="00676FE5" w:rsidRPr="00B004EE" w:rsidRDefault="00676FE5" w:rsidP="00B004EE">
      <w:pPr>
        <w:rPr>
          <w:rFonts w:ascii="Tahoma" w:hAnsi="Tahoma" w:cs="Tahoma"/>
          <w:b/>
          <w:bCs/>
          <w:sz w:val="20"/>
          <w:szCs w:val="20"/>
          <w:u w:val="single"/>
        </w:rPr>
      </w:pPr>
    </w:p>
    <w:p w14:paraId="4526C186" w14:textId="08D95C49" w:rsidR="00676FE5" w:rsidRPr="00B004EE" w:rsidRDefault="00DC5A29" w:rsidP="00B004EE">
      <w:pPr>
        <w:jc w:val="both"/>
        <w:rPr>
          <w:rFonts w:ascii="Tahoma" w:hAnsi="Tahoma" w:cs="Tahoma"/>
          <w:sz w:val="20"/>
          <w:szCs w:val="20"/>
        </w:rPr>
      </w:pPr>
      <w:r w:rsidRPr="00FA0779">
        <w:rPr>
          <w:rFonts w:ascii="Tahoma" w:hAnsi="Tahoma" w:cs="Tahoma"/>
          <w:sz w:val="20"/>
          <w:szCs w:val="20"/>
          <w:u w:val="single"/>
        </w:rPr>
        <w:t>Article premier</w:t>
      </w:r>
      <w:r w:rsidR="00676FE5" w:rsidRPr="00B004EE">
        <w:rPr>
          <w:rFonts w:ascii="Tahoma" w:hAnsi="Tahoma" w:cs="Tahoma"/>
          <w:b/>
          <w:bCs/>
          <w:sz w:val="20"/>
          <w:szCs w:val="20"/>
          <w:u w:val="single"/>
        </w:rPr>
        <w:t xml:space="preserve"> </w:t>
      </w:r>
      <w:r w:rsidR="00676FE5" w:rsidRPr="00B004EE">
        <w:rPr>
          <w:rFonts w:ascii="Tahoma" w:hAnsi="Tahoma" w:cs="Tahoma"/>
          <w:sz w:val="20"/>
          <w:szCs w:val="20"/>
        </w:rPr>
        <w:t>: les tarifs de prestation de services offerts par l’Office National d’Inspection Sanitaire des Produits de la Pêche et de l’Aquaculture (ONISPA) sont approuvés et mis en application à compter de la date de signature du présent arrêté ;</w:t>
      </w:r>
    </w:p>
    <w:p w14:paraId="7ADB011A" w14:textId="77777777" w:rsidR="00676FE5" w:rsidRPr="00B004EE" w:rsidRDefault="00676FE5" w:rsidP="00B004EE">
      <w:pPr>
        <w:jc w:val="both"/>
        <w:rPr>
          <w:rFonts w:ascii="Tahoma" w:hAnsi="Tahoma" w:cs="Tahoma"/>
          <w:sz w:val="20"/>
          <w:szCs w:val="20"/>
        </w:rPr>
      </w:pPr>
    </w:p>
    <w:p w14:paraId="3EC630F7" w14:textId="67514595" w:rsidR="00676FE5" w:rsidRPr="00B004EE" w:rsidRDefault="00DC5A29" w:rsidP="00B004EE">
      <w:pPr>
        <w:jc w:val="both"/>
        <w:rPr>
          <w:rFonts w:ascii="Tahoma" w:hAnsi="Tahoma" w:cs="Tahoma"/>
          <w:sz w:val="20"/>
          <w:szCs w:val="20"/>
        </w:rPr>
      </w:pPr>
      <w:r w:rsidRPr="00FA0779">
        <w:rPr>
          <w:rFonts w:ascii="Tahoma" w:hAnsi="Tahoma" w:cs="Tahoma"/>
          <w:sz w:val="20"/>
          <w:szCs w:val="20"/>
        </w:rPr>
        <w:t xml:space="preserve">Article </w:t>
      </w:r>
      <w:r w:rsidR="00676FE5" w:rsidRPr="00FA0779">
        <w:rPr>
          <w:rFonts w:ascii="Tahoma" w:hAnsi="Tahoma" w:cs="Tahoma"/>
          <w:sz w:val="20"/>
          <w:szCs w:val="20"/>
        </w:rPr>
        <w:t>2 :</w:t>
      </w:r>
      <w:r w:rsidR="00676FE5" w:rsidRPr="00B004EE">
        <w:rPr>
          <w:rFonts w:ascii="Tahoma" w:hAnsi="Tahoma" w:cs="Tahoma"/>
          <w:sz w:val="20"/>
          <w:szCs w:val="20"/>
        </w:rPr>
        <w:t xml:space="preserve"> La </w:t>
      </w:r>
      <w:r w:rsidR="00887123" w:rsidRPr="00B004EE">
        <w:rPr>
          <w:rFonts w:ascii="Tahoma" w:hAnsi="Tahoma" w:cs="Tahoma"/>
          <w:sz w:val="20"/>
          <w:szCs w:val="20"/>
        </w:rPr>
        <w:t xml:space="preserve">tarifs </w:t>
      </w:r>
      <w:r w:rsidR="00676FE5" w:rsidRPr="00B004EE">
        <w:rPr>
          <w:rFonts w:ascii="Tahoma" w:hAnsi="Tahoma" w:cs="Tahoma"/>
          <w:sz w:val="20"/>
          <w:szCs w:val="20"/>
        </w:rPr>
        <w:t xml:space="preserve">de </w:t>
      </w:r>
      <w:r w:rsidR="00887123" w:rsidRPr="00B004EE">
        <w:rPr>
          <w:rFonts w:ascii="Tahoma" w:hAnsi="Tahoma" w:cs="Tahoma"/>
          <w:sz w:val="20"/>
          <w:szCs w:val="20"/>
        </w:rPr>
        <w:t xml:space="preserve">prestation effectués par </w:t>
      </w:r>
      <w:r w:rsidR="00676FE5" w:rsidRPr="00B004EE">
        <w:rPr>
          <w:rFonts w:ascii="Tahoma" w:hAnsi="Tahoma" w:cs="Tahoma"/>
          <w:sz w:val="20"/>
          <w:szCs w:val="20"/>
        </w:rPr>
        <w:t>l’ONISPA</w:t>
      </w:r>
      <w:r w:rsidR="00887123" w:rsidRPr="00B004EE">
        <w:rPr>
          <w:rFonts w:ascii="Tahoma" w:hAnsi="Tahoma" w:cs="Tahoma"/>
          <w:sz w:val="20"/>
          <w:szCs w:val="20"/>
        </w:rPr>
        <w:t xml:space="preserve"> sont </w:t>
      </w:r>
      <w:r w:rsidR="00676FE5" w:rsidRPr="00B004EE">
        <w:rPr>
          <w:rFonts w:ascii="Tahoma" w:hAnsi="Tahoma" w:cs="Tahoma"/>
          <w:sz w:val="20"/>
          <w:szCs w:val="20"/>
        </w:rPr>
        <w:t>fixée dans le tableau en annexe.</w:t>
      </w:r>
    </w:p>
    <w:p w14:paraId="54514A92" w14:textId="77777777" w:rsidR="00676FE5" w:rsidRPr="00B004EE" w:rsidRDefault="00676FE5" w:rsidP="00B004EE">
      <w:pPr>
        <w:ind w:firstLine="708"/>
        <w:jc w:val="both"/>
        <w:rPr>
          <w:rFonts w:ascii="Tahoma" w:hAnsi="Tahoma" w:cs="Tahoma"/>
          <w:sz w:val="20"/>
          <w:szCs w:val="20"/>
        </w:rPr>
      </w:pPr>
    </w:p>
    <w:p w14:paraId="4DA6B0E2" w14:textId="1854342C" w:rsidR="00676FE5" w:rsidRPr="00B004EE" w:rsidRDefault="00DC5A29" w:rsidP="00B004EE">
      <w:pPr>
        <w:jc w:val="both"/>
        <w:rPr>
          <w:rFonts w:ascii="Tahoma" w:hAnsi="Tahoma" w:cs="Tahoma"/>
          <w:sz w:val="20"/>
          <w:szCs w:val="20"/>
        </w:rPr>
      </w:pPr>
      <w:r w:rsidRPr="00FA0779">
        <w:rPr>
          <w:rFonts w:ascii="Tahoma" w:hAnsi="Tahoma" w:cs="Tahoma"/>
          <w:sz w:val="20"/>
          <w:szCs w:val="20"/>
        </w:rPr>
        <w:t xml:space="preserve">Article </w:t>
      </w:r>
      <w:r w:rsidR="00676FE5" w:rsidRPr="00FA0779">
        <w:rPr>
          <w:rFonts w:ascii="Tahoma" w:hAnsi="Tahoma" w:cs="Tahoma"/>
          <w:sz w:val="20"/>
          <w:szCs w:val="20"/>
        </w:rPr>
        <w:t>3</w:t>
      </w:r>
      <w:r w:rsidR="00676FE5" w:rsidRPr="00B004EE">
        <w:rPr>
          <w:rFonts w:ascii="Tahoma" w:hAnsi="Tahoma" w:cs="Tahoma"/>
          <w:sz w:val="20"/>
          <w:szCs w:val="20"/>
        </w:rPr>
        <w:t xml:space="preserve"> : les redevances </w:t>
      </w:r>
      <w:r w:rsidR="00887123" w:rsidRPr="00B004EE">
        <w:rPr>
          <w:rFonts w:ascii="Tahoma" w:hAnsi="Tahoma" w:cs="Tahoma"/>
          <w:sz w:val="20"/>
          <w:szCs w:val="20"/>
        </w:rPr>
        <w:t xml:space="preserve">des prestations </w:t>
      </w:r>
      <w:r w:rsidR="00676FE5" w:rsidRPr="00B004EE">
        <w:rPr>
          <w:rFonts w:ascii="Tahoma" w:hAnsi="Tahoma" w:cs="Tahoma"/>
          <w:sz w:val="20"/>
          <w:szCs w:val="20"/>
        </w:rPr>
        <w:t>afférentes aux produits congelés, farines et huiles sont retenues par la Société Mauritanienne de Commercialisation du Poisson (SMCP) qui procédera mensuellement et régulièrement à leur versement au compte de l’ONISPA, chaque règlement doit être accompagné du détail des calculs qui sont à la base de sa détermination.</w:t>
      </w:r>
    </w:p>
    <w:p w14:paraId="0EDCB2E2" w14:textId="77777777" w:rsidR="00676FE5" w:rsidRPr="00B004EE" w:rsidRDefault="00676FE5" w:rsidP="00B004EE">
      <w:pPr>
        <w:jc w:val="both"/>
        <w:rPr>
          <w:rFonts w:ascii="Tahoma" w:hAnsi="Tahoma" w:cs="Tahoma"/>
          <w:sz w:val="20"/>
          <w:szCs w:val="20"/>
        </w:rPr>
      </w:pPr>
    </w:p>
    <w:p w14:paraId="1CD988EA" w14:textId="25196EA4" w:rsidR="00676FE5" w:rsidRPr="00B004EE" w:rsidRDefault="00DC5A29" w:rsidP="00B004EE">
      <w:pPr>
        <w:jc w:val="both"/>
        <w:rPr>
          <w:rFonts w:ascii="Tahoma" w:hAnsi="Tahoma" w:cs="Tahoma"/>
          <w:sz w:val="20"/>
          <w:szCs w:val="20"/>
        </w:rPr>
      </w:pPr>
      <w:r w:rsidRPr="00FA0779">
        <w:rPr>
          <w:rFonts w:ascii="Tahoma" w:hAnsi="Tahoma" w:cs="Tahoma"/>
          <w:sz w:val="20"/>
          <w:szCs w:val="20"/>
        </w:rPr>
        <w:t xml:space="preserve">Article </w:t>
      </w:r>
      <w:r w:rsidR="00676FE5" w:rsidRPr="00FA0779">
        <w:rPr>
          <w:rFonts w:ascii="Tahoma" w:hAnsi="Tahoma" w:cs="Tahoma"/>
          <w:sz w:val="20"/>
          <w:szCs w:val="20"/>
        </w:rPr>
        <w:t>4</w:t>
      </w:r>
      <w:r w:rsidR="00676FE5" w:rsidRPr="00B004EE">
        <w:rPr>
          <w:rFonts w:ascii="Tahoma" w:hAnsi="Tahoma" w:cs="Tahoma"/>
          <w:sz w:val="20"/>
          <w:szCs w:val="20"/>
        </w:rPr>
        <w:t> : le payement des redevances afférentes aux autres produits se fera au niveau de l’ONISPA contre établissement d’une quittance de payement.</w:t>
      </w:r>
      <w:r w:rsidR="00887123" w:rsidRPr="00B004EE">
        <w:rPr>
          <w:rFonts w:ascii="Tahoma" w:hAnsi="Tahoma" w:cs="Tahoma"/>
          <w:sz w:val="20"/>
          <w:szCs w:val="20"/>
        </w:rPr>
        <w:t xml:space="preserve"> </w:t>
      </w:r>
      <w:r w:rsidR="00676FE5" w:rsidRPr="00B004EE">
        <w:rPr>
          <w:rFonts w:ascii="Tahoma" w:hAnsi="Tahoma" w:cs="Tahoma"/>
          <w:sz w:val="20"/>
          <w:szCs w:val="20"/>
        </w:rPr>
        <w:t>La quittance de payement délivrée par l’ONISPA est exigible pour l’accomplissement des formalités de délivrance de certificat sanitaire, exception faite pour les produits congelés, farines et huiles.</w:t>
      </w:r>
    </w:p>
    <w:p w14:paraId="60663553" w14:textId="77777777" w:rsidR="00676FE5" w:rsidRPr="00B004EE" w:rsidRDefault="00676FE5" w:rsidP="00B004EE">
      <w:pPr>
        <w:jc w:val="both"/>
        <w:rPr>
          <w:rFonts w:ascii="Tahoma" w:hAnsi="Tahoma" w:cs="Tahoma"/>
          <w:sz w:val="20"/>
          <w:szCs w:val="20"/>
        </w:rPr>
      </w:pPr>
    </w:p>
    <w:p w14:paraId="4C189375" w14:textId="7AF60A67" w:rsidR="00676FE5" w:rsidRPr="00B004EE" w:rsidRDefault="00DC5A29" w:rsidP="00B004EE">
      <w:pPr>
        <w:jc w:val="both"/>
        <w:rPr>
          <w:rFonts w:ascii="Tahoma" w:hAnsi="Tahoma" w:cs="Tahoma"/>
          <w:sz w:val="20"/>
          <w:szCs w:val="20"/>
        </w:rPr>
      </w:pPr>
      <w:r w:rsidRPr="00FA0779">
        <w:rPr>
          <w:rFonts w:ascii="Tahoma" w:hAnsi="Tahoma" w:cs="Tahoma"/>
          <w:sz w:val="20"/>
          <w:szCs w:val="20"/>
        </w:rPr>
        <w:t xml:space="preserve">Article </w:t>
      </w:r>
      <w:r w:rsidR="00676FE5" w:rsidRPr="00FA0779">
        <w:rPr>
          <w:rFonts w:ascii="Tahoma" w:hAnsi="Tahoma" w:cs="Tahoma"/>
          <w:sz w:val="20"/>
          <w:szCs w:val="20"/>
        </w:rPr>
        <w:t>5</w:t>
      </w:r>
      <w:r w:rsidR="00676FE5" w:rsidRPr="00B004EE">
        <w:rPr>
          <w:rFonts w:ascii="Tahoma" w:hAnsi="Tahoma" w:cs="Tahoma"/>
          <w:sz w:val="20"/>
          <w:szCs w:val="20"/>
        </w:rPr>
        <w:t> : les autres éléments de tarification de services des laboratoires sont fixés selon le tableau en annexe qui fait partie intégrante du présent arrêté.</w:t>
      </w:r>
    </w:p>
    <w:p w14:paraId="65DDD554" w14:textId="77777777" w:rsidR="00676FE5" w:rsidRPr="00B004EE" w:rsidRDefault="00676FE5" w:rsidP="00B004EE">
      <w:pPr>
        <w:jc w:val="both"/>
        <w:rPr>
          <w:rFonts w:ascii="Tahoma" w:hAnsi="Tahoma" w:cs="Tahoma"/>
          <w:sz w:val="20"/>
          <w:szCs w:val="20"/>
        </w:rPr>
      </w:pPr>
    </w:p>
    <w:p w14:paraId="0A4DF1F4" w14:textId="11E0D2C4" w:rsidR="00676FE5" w:rsidRPr="00B004EE" w:rsidRDefault="00DC5A29" w:rsidP="00B004EE">
      <w:pPr>
        <w:jc w:val="both"/>
        <w:rPr>
          <w:rFonts w:ascii="Tahoma" w:hAnsi="Tahoma" w:cs="Tahoma"/>
          <w:sz w:val="20"/>
          <w:szCs w:val="20"/>
        </w:rPr>
      </w:pPr>
      <w:r w:rsidRPr="00FA0779">
        <w:rPr>
          <w:rFonts w:ascii="Tahoma" w:hAnsi="Tahoma" w:cs="Tahoma"/>
          <w:sz w:val="20"/>
          <w:szCs w:val="20"/>
        </w:rPr>
        <w:t xml:space="preserve">Article </w:t>
      </w:r>
      <w:r w:rsidR="00676FE5" w:rsidRPr="00FA0779">
        <w:rPr>
          <w:rFonts w:ascii="Tahoma" w:hAnsi="Tahoma" w:cs="Tahoma"/>
          <w:sz w:val="20"/>
          <w:szCs w:val="20"/>
        </w:rPr>
        <w:t xml:space="preserve">6 </w:t>
      </w:r>
      <w:r w:rsidR="00676FE5" w:rsidRPr="00B004EE">
        <w:rPr>
          <w:rFonts w:ascii="Tahoma" w:hAnsi="Tahoma" w:cs="Tahoma"/>
          <w:sz w:val="20"/>
          <w:szCs w:val="20"/>
        </w:rPr>
        <w:t>: Le Secrétaire Général du Ministère de l’Economie et des Finances et le Secrétaire Général du Ministère des Pêches et de l’Economie Maritime sont chargés, chacun en ce qui le concerne, de l’application du présent arrêté qui sera publié au Journal officiel.</w:t>
      </w:r>
    </w:p>
    <w:p w14:paraId="6B47C979" w14:textId="77777777" w:rsidR="00676FE5" w:rsidRPr="00B004EE" w:rsidRDefault="00676FE5" w:rsidP="00B004EE">
      <w:pPr>
        <w:tabs>
          <w:tab w:val="left" w:pos="1800"/>
        </w:tabs>
        <w:jc w:val="both"/>
        <w:rPr>
          <w:rFonts w:ascii="Tahoma" w:hAnsi="Tahoma" w:cs="Tahoma"/>
          <w:sz w:val="20"/>
          <w:szCs w:val="20"/>
        </w:rPr>
      </w:pPr>
      <w:r w:rsidRPr="00B004EE">
        <w:rPr>
          <w:rFonts w:ascii="Tahoma" w:hAnsi="Tahoma" w:cs="Tahoma"/>
          <w:sz w:val="20"/>
          <w:szCs w:val="20"/>
        </w:rPr>
        <w:tab/>
      </w:r>
    </w:p>
    <w:p w14:paraId="7D45CC80" w14:textId="63E2BAC7" w:rsidR="00676FE5" w:rsidRPr="00B004EE" w:rsidRDefault="00676FE5" w:rsidP="00B004EE">
      <w:pPr>
        <w:ind w:firstLine="708"/>
        <w:jc w:val="right"/>
        <w:rPr>
          <w:rFonts w:ascii="Tahoma" w:hAnsi="Tahoma" w:cs="Tahoma"/>
          <w:i/>
          <w:iCs/>
          <w:sz w:val="20"/>
          <w:szCs w:val="20"/>
        </w:rPr>
      </w:pPr>
      <w:r w:rsidRPr="00B004EE">
        <w:rPr>
          <w:rFonts w:ascii="Tahoma" w:hAnsi="Tahoma" w:cs="Tahoma"/>
          <w:i/>
          <w:iCs/>
          <w:sz w:val="20"/>
          <w:szCs w:val="20"/>
        </w:rPr>
        <w:t>Fait à Nouakchott, le : 26 Juin 2018</w:t>
      </w:r>
    </w:p>
    <w:p w14:paraId="2A9B56A8" w14:textId="77777777" w:rsidR="008D3B28" w:rsidRPr="00B004EE" w:rsidRDefault="008D3B28" w:rsidP="00B004EE">
      <w:pPr>
        <w:pStyle w:val="Pieddepage"/>
        <w:tabs>
          <w:tab w:val="clear" w:pos="4536"/>
          <w:tab w:val="clear" w:pos="9072"/>
        </w:tabs>
        <w:rPr>
          <w:rFonts w:ascii="Tahoma" w:hAnsi="Tahoma" w:cs="Tahoma"/>
        </w:rPr>
      </w:pPr>
    </w:p>
    <w:p w14:paraId="3E053708" w14:textId="77777777" w:rsidR="008D3B28" w:rsidRPr="00B004EE" w:rsidRDefault="008D3B28" w:rsidP="00B004EE">
      <w:pPr>
        <w:pStyle w:val="Pieddepage"/>
        <w:tabs>
          <w:tab w:val="clear" w:pos="4536"/>
          <w:tab w:val="clear" w:pos="9072"/>
        </w:tabs>
        <w:rPr>
          <w:rFonts w:ascii="Tahoma" w:hAnsi="Tahoma" w:cs="Tahoma"/>
        </w:rPr>
      </w:pPr>
    </w:p>
    <w:p w14:paraId="51F1A440" w14:textId="5BCDA751" w:rsidR="008D3B28" w:rsidRPr="00B004EE" w:rsidRDefault="008D3B28" w:rsidP="00FA0779">
      <w:pPr>
        <w:pStyle w:val="Pieddepage"/>
        <w:tabs>
          <w:tab w:val="clear" w:pos="4536"/>
          <w:tab w:val="clear" w:pos="9072"/>
        </w:tabs>
        <w:ind w:firstLine="284"/>
        <w:rPr>
          <w:rFonts w:ascii="Tahoma" w:hAnsi="Tahoma" w:cs="Tahoma"/>
          <w:caps/>
        </w:rPr>
      </w:pPr>
      <w:r w:rsidRPr="00B004EE">
        <w:rPr>
          <w:rFonts w:ascii="Tahoma" w:hAnsi="Tahoma" w:cs="Tahoma"/>
        </w:rPr>
        <w:t>Le Ministre des Pêches et de</w:t>
      </w:r>
      <w:r w:rsidRPr="00B004EE">
        <w:rPr>
          <w:rFonts w:ascii="Tahoma" w:hAnsi="Tahoma" w:cs="Tahoma"/>
        </w:rPr>
        <w:tab/>
      </w:r>
      <w:r w:rsidRPr="00B004EE">
        <w:rPr>
          <w:rFonts w:ascii="Tahoma" w:hAnsi="Tahoma" w:cs="Tahoma"/>
        </w:rPr>
        <w:tab/>
      </w:r>
      <w:r w:rsidRPr="00B004EE">
        <w:rPr>
          <w:rFonts w:ascii="Tahoma" w:hAnsi="Tahoma" w:cs="Tahoma"/>
        </w:rPr>
        <w:tab/>
      </w:r>
      <w:r w:rsidRPr="00B004EE">
        <w:rPr>
          <w:rFonts w:ascii="Tahoma" w:hAnsi="Tahoma" w:cs="Tahoma"/>
        </w:rPr>
        <w:tab/>
      </w:r>
      <w:r w:rsidRPr="00B004EE">
        <w:rPr>
          <w:rFonts w:ascii="Tahoma" w:hAnsi="Tahoma" w:cs="Tahoma"/>
        </w:rPr>
        <w:tab/>
      </w:r>
      <w:r w:rsidR="00FA0779">
        <w:rPr>
          <w:rFonts w:ascii="Tahoma" w:hAnsi="Tahoma" w:cs="Tahoma"/>
        </w:rPr>
        <w:tab/>
      </w:r>
      <w:r w:rsidRPr="00B004EE">
        <w:rPr>
          <w:rFonts w:ascii="Tahoma" w:hAnsi="Tahoma" w:cs="Tahoma"/>
        </w:rPr>
        <w:t>Le Ministre des Finances</w:t>
      </w:r>
    </w:p>
    <w:p w14:paraId="59F73D5B" w14:textId="6AC13FA7" w:rsidR="008D3B28" w:rsidRPr="00B004EE" w:rsidRDefault="00FA0779" w:rsidP="00B004EE">
      <w:pPr>
        <w:pStyle w:val="Pieddepage"/>
        <w:tabs>
          <w:tab w:val="clear" w:pos="4536"/>
          <w:tab w:val="clear" w:pos="9072"/>
        </w:tabs>
        <w:ind w:left="284"/>
        <w:rPr>
          <w:rFonts w:ascii="Tahoma" w:hAnsi="Tahoma" w:cs="Tahoma"/>
          <w:lang w:val="en-US"/>
        </w:rPr>
      </w:pPr>
      <w:r w:rsidRPr="003D69A8">
        <w:rPr>
          <w:rFonts w:ascii="Tahoma" w:hAnsi="Tahoma" w:cs="Tahoma"/>
        </w:rPr>
        <w:t xml:space="preserve">     </w:t>
      </w:r>
      <w:r w:rsidR="008D3B28" w:rsidRPr="00B004EE">
        <w:rPr>
          <w:rFonts w:ascii="Tahoma" w:hAnsi="Tahoma" w:cs="Tahoma"/>
          <w:lang w:val="en-US"/>
        </w:rPr>
        <w:t>l’Economie Maritime</w:t>
      </w:r>
    </w:p>
    <w:p w14:paraId="61A83F8F" w14:textId="65D85C25" w:rsidR="008D3B28" w:rsidRPr="00B004EE" w:rsidRDefault="008D3B28" w:rsidP="00FA0779">
      <w:pPr>
        <w:pStyle w:val="Pieddepage"/>
        <w:tabs>
          <w:tab w:val="clear" w:pos="4536"/>
          <w:tab w:val="clear" w:pos="9072"/>
        </w:tabs>
        <w:ind w:firstLine="284"/>
        <w:rPr>
          <w:rFonts w:ascii="Tahoma" w:hAnsi="Tahoma" w:cs="Tahoma"/>
          <w:b/>
          <w:caps/>
          <w:lang w:val="en-US"/>
        </w:rPr>
      </w:pPr>
      <w:r w:rsidRPr="00B004EE">
        <w:rPr>
          <w:rFonts w:ascii="Tahoma" w:hAnsi="Tahoma" w:cs="Tahoma"/>
          <w:b/>
          <w:lang w:val="en-US"/>
        </w:rPr>
        <w:t xml:space="preserve">Nani Ould </w:t>
      </w:r>
      <w:r w:rsidRPr="00B004EE">
        <w:rPr>
          <w:rFonts w:ascii="Tahoma" w:hAnsi="Tahoma" w:cs="Tahoma"/>
          <w:b/>
          <w:caps/>
          <w:lang w:val="en-US"/>
        </w:rPr>
        <w:t>CHROUGHA</w:t>
      </w:r>
      <w:r w:rsidRPr="00B004EE">
        <w:rPr>
          <w:rFonts w:ascii="Tahoma" w:hAnsi="Tahoma" w:cs="Tahoma"/>
          <w:b/>
          <w:caps/>
          <w:lang w:val="en-US"/>
        </w:rPr>
        <w:tab/>
      </w:r>
      <w:r w:rsidRPr="00B004EE">
        <w:rPr>
          <w:rFonts w:ascii="Tahoma" w:hAnsi="Tahoma" w:cs="Tahoma"/>
          <w:b/>
          <w:lang w:val="en-US"/>
        </w:rPr>
        <w:tab/>
      </w:r>
      <w:r w:rsidRPr="00B004EE">
        <w:rPr>
          <w:rFonts w:ascii="Tahoma" w:hAnsi="Tahoma" w:cs="Tahoma"/>
          <w:b/>
          <w:lang w:val="en-US"/>
        </w:rPr>
        <w:tab/>
      </w:r>
      <w:r w:rsidR="00FA0779">
        <w:rPr>
          <w:rFonts w:ascii="Tahoma" w:hAnsi="Tahoma" w:cs="Tahoma"/>
          <w:b/>
          <w:lang w:val="en-US"/>
        </w:rPr>
        <w:tab/>
      </w:r>
      <w:r w:rsidRPr="00B004EE">
        <w:rPr>
          <w:rFonts w:ascii="Tahoma" w:hAnsi="Tahoma" w:cs="Tahoma"/>
          <w:b/>
          <w:lang w:val="en-US"/>
        </w:rPr>
        <w:tab/>
      </w:r>
      <w:r w:rsidRPr="00B004EE">
        <w:rPr>
          <w:rFonts w:ascii="Tahoma" w:hAnsi="Tahoma" w:cs="Tahoma"/>
          <w:b/>
          <w:lang w:val="en-US"/>
        </w:rPr>
        <w:tab/>
        <w:t>El Moctar Ould DJAY</w:t>
      </w:r>
    </w:p>
    <w:p w14:paraId="0E9B30C9" w14:textId="77777777" w:rsidR="008D3B28" w:rsidRPr="00B004EE" w:rsidRDefault="008D3B28" w:rsidP="00B004EE">
      <w:pPr>
        <w:pStyle w:val="Pieddepage"/>
        <w:tabs>
          <w:tab w:val="clear" w:pos="4536"/>
          <w:tab w:val="clear" w:pos="9072"/>
        </w:tabs>
        <w:jc w:val="center"/>
        <w:rPr>
          <w:rFonts w:ascii="Tahoma" w:hAnsi="Tahoma" w:cs="Tahoma"/>
          <w:caps/>
          <w:lang w:val="en-US"/>
        </w:rPr>
      </w:pPr>
    </w:p>
    <w:p w14:paraId="0772FAFA" w14:textId="3A809CDE" w:rsidR="00094B74" w:rsidRPr="00B004EE" w:rsidRDefault="00094B74" w:rsidP="00B004EE">
      <w:pPr>
        <w:rPr>
          <w:rFonts w:ascii="Tahoma" w:hAnsi="Tahoma" w:cs="Tahoma"/>
          <w:sz w:val="20"/>
          <w:szCs w:val="20"/>
          <w:lang w:val="en-US"/>
        </w:rPr>
      </w:pPr>
    </w:p>
    <w:p w14:paraId="730ECC22" w14:textId="10C681CF" w:rsidR="008D3B28" w:rsidRPr="00B004EE" w:rsidRDefault="008D3B28" w:rsidP="00B004EE">
      <w:pPr>
        <w:rPr>
          <w:rFonts w:ascii="Tahoma" w:hAnsi="Tahoma" w:cs="Tahoma"/>
          <w:sz w:val="20"/>
          <w:szCs w:val="20"/>
          <w:lang w:val="en-US"/>
        </w:rPr>
      </w:pPr>
      <w:r w:rsidRPr="00B004EE">
        <w:rPr>
          <w:rFonts w:ascii="Tahoma" w:hAnsi="Tahoma" w:cs="Tahoma"/>
          <w:sz w:val="20"/>
          <w:szCs w:val="20"/>
          <w:lang w:val="en-US"/>
        </w:rPr>
        <w:br w:type="page"/>
      </w:r>
    </w:p>
    <w:p w14:paraId="1DF1264B" w14:textId="77777777" w:rsidR="00094B74" w:rsidRPr="00B004EE" w:rsidRDefault="00094B74" w:rsidP="00B004EE">
      <w:pPr>
        <w:pStyle w:val="Paragraphedeliste"/>
        <w:ind w:left="0"/>
        <w:jc w:val="center"/>
        <w:rPr>
          <w:rFonts w:ascii="Tahoma" w:hAnsi="Tahoma" w:cs="Tahoma"/>
          <w:b/>
          <w:bCs/>
          <w:sz w:val="20"/>
          <w:szCs w:val="20"/>
        </w:rPr>
      </w:pPr>
      <w:r w:rsidRPr="00B004EE">
        <w:rPr>
          <w:rFonts w:ascii="Tahoma" w:hAnsi="Tahoma" w:cs="Tahoma"/>
          <w:b/>
          <w:bCs/>
          <w:sz w:val="20"/>
          <w:szCs w:val="20"/>
        </w:rPr>
        <w:lastRenderedPageBreak/>
        <w:t>Tarification des prestations de service effectuées par l’ONISPA</w:t>
      </w:r>
    </w:p>
    <w:p w14:paraId="2DF5FD59" w14:textId="77777777" w:rsidR="00094B74" w:rsidRPr="00B004EE" w:rsidRDefault="00094B74" w:rsidP="00B004EE">
      <w:pPr>
        <w:pStyle w:val="Paragraphedeliste"/>
        <w:spacing w:line="276" w:lineRule="auto"/>
        <w:ind w:left="720"/>
        <w:contextualSpacing/>
        <w:rPr>
          <w:rFonts w:ascii="Tahoma" w:hAnsi="Tahoma" w:cs="Tahoma"/>
          <w:b/>
          <w:bCs/>
          <w:sz w:val="20"/>
          <w:szCs w:val="20"/>
        </w:rPr>
      </w:pPr>
    </w:p>
    <w:p w14:paraId="69C7E3DF" w14:textId="5E10BF53" w:rsidR="00094B74" w:rsidRPr="00B004EE" w:rsidRDefault="00094B74" w:rsidP="00420DDA">
      <w:pPr>
        <w:pStyle w:val="Paragraphedeliste"/>
        <w:numPr>
          <w:ilvl w:val="0"/>
          <w:numId w:val="127"/>
        </w:numPr>
        <w:spacing w:line="276" w:lineRule="auto"/>
        <w:contextualSpacing/>
        <w:rPr>
          <w:rFonts w:ascii="Tahoma" w:hAnsi="Tahoma" w:cs="Tahoma"/>
          <w:b/>
          <w:bCs/>
          <w:sz w:val="20"/>
          <w:szCs w:val="20"/>
        </w:rPr>
      </w:pPr>
      <w:r w:rsidRPr="00B004EE">
        <w:rPr>
          <w:rFonts w:ascii="Tahoma" w:hAnsi="Tahoma" w:cs="Tahoma"/>
          <w:b/>
          <w:bCs/>
          <w:sz w:val="20"/>
          <w:szCs w:val="20"/>
        </w:rPr>
        <w:t>Analyse des laboratoires</w:t>
      </w:r>
    </w:p>
    <w:tbl>
      <w:tblPr>
        <w:tblW w:w="9945" w:type="dxa"/>
        <w:jc w:val="center"/>
        <w:tblCellMar>
          <w:left w:w="70" w:type="dxa"/>
          <w:right w:w="70" w:type="dxa"/>
        </w:tblCellMar>
        <w:tblLook w:val="04A0" w:firstRow="1" w:lastRow="0" w:firstColumn="1" w:lastColumn="0" w:noHBand="0" w:noVBand="1"/>
      </w:tblPr>
      <w:tblGrid>
        <w:gridCol w:w="1488"/>
        <w:gridCol w:w="1624"/>
        <w:gridCol w:w="3880"/>
        <w:gridCol w:w="192"/>
        <w:gridCol w:w="1368"/>
        <w:gridCol w:w="191"/>
        <w:gridCol w:w="1084"/>
        <w:gridCol w:w="118"/>
      </w:tblGrid>
      <w:tr w:rsidR="00150C90" w:rsidRPr="00B004EE" w14:paraId="7FB7FAD1" w14:textId="77777777" w:rsidTr="00094B74">
        <w:trPr>
          <w:cantSplit/>
          <w:trHeight w:val="57"/>
          <w:jc w:val="center"/>
        </w:trPr>
        <w:tc>
          <w:tcPr>
            <w:tcW w:w="1392"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347DD314" w14:textId="77777777" w:rsidR="00094B74" w:rsidRPr="00B004EE" w:rsidRDefault="00094B74" w:rsidP="00B004EE">
            <w:pPr>
              <w:jc w:val="center"/>
              <w:rPr>
                <w:rFonts w:ascii="Tahoma" w:hAnsi="Tahoma" w:cs="Tahoma"/>
                <w:b/>
                <w:bCs/>
                <w:sz w:val="20"/>
                <w:szCs w:val="20"/>
              </w:rPr>
            </w:pPr>
            <w:r w:rsidRPr="00B004EE">
              <w:rPr>
                <w:rFonts w:ascii="Tahoma" w:hAnsi="Tahoma" w:cs="Tahoma"/>
                <w:b/>
                <w:bCs/>
                <w:sz w:val="20"/>
                <w:szCs w:val="20"/>
              </w:rPr>
              <w:t>Nature de l'échantillon</w:t>
            </w:r>
          </w:p>
        </w:tc>
        <w:tc>
          <w:tcPr>
            <w:tcW w:w="1624" w:type="dxa"/>
            <w:tcBorders>
              <w:top w:val="single" w:sz="4" w:space="0" w:color="auto"/>
              <w:left w:val="nil"/>
              <w:bottom w:val="single" w:sz="4" w:space="0" w:color="auto"/>
              <w:right w:val="single" w:sz="4" w:space="0" w:color="auto"/>
            </w:tcBorders>
            <w:shd w:val="clear" w:color="000000" w:fill="C0C0C0"/>
            <w:vAlign w:val="center"/>
            <w:hideMark/>
          </w:tcPr>
          <w:p w14:paraId="5A1783C6" w14:textId="77777777" w:rsidR="00094B74" w:rsidRPr="00B004EE" w:rsidRDefault="00094B74" w:rsidP="00B004EE">
            <w:pPr>
              <w:jc w:val="center"/>
              <w:rPr>
                <w:rFonts w:ascii="Tahoma" w:hAnsi="Tahoma" w:cs="Tahoma"/>
                <w:b/>
                <w:bCs/>
                <w:sz w:val="20"/>
                <w:szCs w:val="20"/>
              </w:rPr>
            </w:pPr>
            <w:r w:rsidRPr="00B004EE">
              <w:rPr>
                <w:rFonts w:ascii="Tahoma" w:hAnsi="Tahoma" w:cs="Tahoma"/>
                <w:b/>
                <w:bCs/>
                <w:sz w:val="20"/>
                <w:szCs w:val="20"/>
              </w:rPr>
              <w:t>Domaine d'analyse</w:t>
            </w:r>
          </w:p>
        </w:tc>
        <w:tc>
          <w:tcPr>
            <w:tcW w:w="4072" w:type="dxa"/>
            <w:gridSpan w:val="2"/>
            <w:tcBorders>
              <w:top w:val="single" w:sz="4" w:space="0" w:color="auto"/>
              <w:left w:val="nil"/>
              <w:bottom w:val="single" w:sz="4" w:space="0" w:color="auto"/>
              <w:right w:val="single" w:sz="4" w:space="0" w:color="auto"/>
            </w:tcBorders>
            <w:shd w:val="clear" w:color="000000" w:fill="C0C0C0"/>
            <w:noWrap/>
            <w:vAlign w:val="center"/>
            <w:hideMark/>
          </w:tcPr>
          <w:p w14:paraId="53273725" w14:textId="77777777" w:rsidR="00094B74" w:rsidRPr="00B004EE" w:rsidRDefault="00094B74" w:rsidP="00B004EE">
            <w:pPr>
              <w:jc w:val="center"/>
              <w:rPr>
                <w:rFonts w:ascii="Tahoma" w:hAnsi="Tahoma" w:cs="Tahoma"/>
                <w:b/>
                <w:bCs/>
                <w:sz w:val="20"/>
                <w:szCs w:val="20"/>
              </w:rPr>
            </w:pPr>
            <w:r w:rsidRPr="00B004EE">
              <w:rPr>
                <w:rFonts w:ascii="Tahoma" w:hAnsi="Tahoma" w:cs="Tahoma"/>
                <w:b/>
                <w:bCs/>
                <w:sz w:val="20"/>
                <w:szCs w:val="20"/>
              </w:rPr>
              <w:t xml:space="preserve">Analyse </w:t>
            </w:r>
          </w:p>
        </w:tc>
        <w:tc>
          <w:tcPr>
            <w:tcW w:w="1559" w:type="dxa"/>
            <w:gridSpan w:val="2"/>
            <w:tcBorders>
              <w:top w:val="single" w:sz="4" w:space="0" w:color="auto"/>
              <w:left w:val="nil"/>
              <w:bottom w:val="single" w:sz="4" w:space="0" w:color="auto"/>
              <w:right w:val="single" w:sz="4" w:space="0" w:color="auto"/>
            </w:tcBorders>
            <w:shd w:val="clear" w:color="000000" w:fill="C0C0C0"/>
            <w:vAlign w:val="center"/>
            <w:hideMark/>
          </w:tcPr>
          <w:p w14:paraId="227B55B8" w14:textId="77777777" w:rsidR="00094B74" w:rsidRPr="00B004EE" w:rsidRDefault="00094B74" w:rsidP="00B004EE">
            <w:pPr>
              <w:jc w:val="center"/>
              <w:rPr>
                <w:rFonts w:ascii="Tahoma" w:hAnsi="Tahoma" w:cs="Tahoma"/>
                <w:b/>
                <w:bCs/>
                <w:sz w:val="20"/>
                <w:szCs w:val="20"/>
              </w:rPr>
            </w:pPr>
            <w:r w:rsidRPr="00B004EE">
              <w:rPr>
                <w:rFonts w:ascii="Tahoma" w:hAnsi="Tahoma" w:cs="Tahoma"/>
                <w:b/>
                <w:bCs/>
                <w:sz w:val="20"/>
                <w:szCs w:val="20"/>
              </w:rPr>
              <w:t xml:space="preserve">Tarifs Prestation </w:t>
            </w:r>
          </w:p>
        </w:tc>
        <w:tc>
          <w:tcPr>
            <w:tcW w:w="1202" w:type="dxa"/>
            <w:gridSpan w:val="2"/>
            <w:tcBorders>
              <w:top w:val="single" w:sz="4" w:space="0" w:color="auto"/>
              <w:left w:val="nil"/>
              <w:bottom w:val="single" w:sz="4" w:space="0" w:color="auto"/>
              <w:right w:val="single" w:sz="4" w:space="0" w:color="auto"/>
            </w:tcBorders>
            <w:shd w:val="clear" w:color="000000" w:fill="C0C0C0"/>
            <w:vAlign w:val="center"/>
            <w:hideMark/>
          </w:tcPr>
          <w:p w14:paraId="70942E0F" w14:textId="77777777" w:rsidR="00094B74" w:rsidRPr="00B004EE" w:rsidRDefault="00094B74" w:rsidP="00B004EE">
            <w:pPr>
              <w:jc w:val="center"/>
              <w:rPr>
                <w:rFonts w:ascii="Tahoma" w:hAnsi="Tahoma" w:cs="Tahoma"/>
                <w:b/>
                <w:bCs/>
                <w:sz w:val="20"/>
                <w:szCs w:val="20"/>
              </w:rPr>
            </w:pPr>
            <w:r w:rsidRPr="00B004EE">
              <w:rPr>
                <w:rFonts w:ascii="Tahoma" w:hAnsi="Tahoma" w:cs="Tahoma"/>
                <w:b/>
                <w:bCs/>
                <w:sz w:val="20"/>
                <w:szCs w:val="20"/>
              </w:rPr>
              <w:t>Tarifs contrat*</w:t>
            </w:r>
          </w:p>
        </w:tc>
      </w:tr>
      <w:tr w:rsidR="00150C90" w:rsidRPr="00B004EE" w14:paraId="035D5796" w14:textId="77777777" w:rsidTr="00094B74">
        <w:trPr>
          <w:cantSplit/>
          <w:trHeight w:val="57"/>
          <w:jc w:val="center"/>
        </w:trPr>
        <w:tc>
          <w:tcPr>
            <w:tcW w:w="1392" w:type="dxa"/>
            <w:vMerge w:val="restart"/>
            <w:tcBorders>
              <w:top w:val="nil"/>
              <w:left w:val="single" w:sz="4" w:space="0" w:color="auto"/>
              <w:bottom w:val="single" w:sz="4" w:space="0" w:color="000000"/>
              <w:right w:val="single" w:sz="4" w:space="0" w:color="auto"/>
            </w:tcBorders>
            <w:shd w:val="clear" w:color="auto" w:fill="auto"/>
            <w:vAlign w:val="center"/>
            <w:hideMark/>
          </w:tcPr>
          <w:p w14:paraId="501E306A" w14:textId="77777777" w:rsidR="00094B74" w:rsidRPr="00B004EE" w:rsidRDefault="00094B74" w:rsidP="00B004EE">
            <w:pPr>
              <w:jc w:val="center"/>
              <w:rPr>
                <w:rFonts w:ascii="Tahoma" w:hAnsi="Tahoma" w:cs="Tahoma"/>
                <w:b/>
                <w:bCs/>
                <w:sz w:val="20"/>
                <w:szCs w:val="20"/>
              </w:rPr>
            </w:pPr>
            <w:r w:rsidRPr="00B004EE">
              <w:rPr>
                <w:rFonts w:ascii="Tahoma" w:hAnsi="Tahoma" w:cs="Tahoma"/>
                <w:b/>
                <w:bCs/>
                <w:sz w:val="20"/>
                <w:szCs w:val="20"/>
              </w:rPr>
              <w:t>EAU</w:t>
            </w:r>
          </w:p>
        </w:tc>
        <w:tc>
          <w:tcPr>
            <w:tcW w:w="1624"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31344287" w14:textId="77777777" w:rsidR="00094B74" w:rsidRPr="00B004EE" w:rsidRDefault="00094B74" w:rsidP="00B004EE">
            <w:pPr>
              <w:jc w:val="center"/>
              <w:rPr>
                <w:rFonts w:ascii="Tahoma" w:hAnsi="Tahoma" w:cs="Tahoma"/>
                <w:b/>
                <w:bCs/>
                <w:sz w:val="20"/>
                <w:szCs w:val="20"/>
              </w:rPr>
            </w:pPr>
            <w:r w:rsidRPr="00B004EE">
              <w:rPr>
                <w:rFonts w:ascii="Tahoma" w:hAnsi="Tahoma" w:cs="Tahoma"/>
                <w:b/>
                <w:bCs/>
                <w:sz w:val="20"/>
                <w:szCs w:val="20"/>
              </w:rPr>
              <w:t>Analyses chimiques</w:t>
            </w:r>
          </w:p>
        </w:tc>
        <w:tc>
          <w:tcPr>
            <w:tcW w:w="4072" w:type="dxa"/>
            <w:gridSpan w:val="2"/>
            <w:tcBorders>
              <w:top w:val="nil"/>
              <w:left w:val="nil"/>
              <w:bottom w:val="single" w:sz="4" w:space="0" w:color="auto"/>
              <w:right w:val="single" w:sz="4" w:space="0" w:color="auto"/>
            </w:tcBorders>
            <w:shd w:val="clear" w:color="auto" w:fill="auto"/>
            <w:noWrap/>
            <w:vAlign w:val="bottom"/>
            <w:hideMark/>
          </w:tcPr>
          <w:p w14:paraId="3CE8FDB9" w14:textId="77777777" w:rsidR="00094B74" w:rsidRPr="00B004EE" w:rsidRDefault="00094B74" w:rsidP="00B004EE">
            <w:pPr>
              <w:rPr>
                <w:rFonts w:ascii="Tahoma" w:hAnsi="Tahoma" w:cs="Tahoma"/>
                <w:sz w:val="20"/>
                <w:szCs w:val="20"/>
              </w:rPr>
            </w:pPr>
            <w:r w:rsidRPr="00B004EE">
              <w:rPr>
                <w:rFonts w:ascii="Tahoma" w:hAnsi="Tahoma" w:cs="Tahoma"/>
                <w:sz w:val="20"/>
                <w:szCs w:val="20"/>
              </w:rPr>
              <w:t>Oxygène dissous</w:t>
            </w:r>
          </w:p>
        </w:tc>
        <w:tc>
          <w:tcPr>
            <w:tcW w:w="1559" w:type="dxa"/>
            <w:gridSpan w:val="2"/>
            <w:tcBorders>
              <w:top w:val="nil"/>
              <w:left w:val="nil"/>
              <w:bottom w:val="single" w:sz="4" w:space="0" w:color="auto"/>
              <w:right w:val="single" w:sz="4" w:space="0" w:color="auto"/>
            </w:tcBorders>
            <w:shd w:val="clear" w:color="auto" w:fill="auto"/>
            <w:noWrap/>
            <w:vAlign w:val="bottom"/>
            <w:hideMark/>
          </w:tcPr>
          <w:p w14:paraId="515A8363"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450</w:t>
            </w:r>
          </w:p>
        </w:tc>
        <w:tc>
          <w:tcPr>
            <w:tcW w:w="1202" w:type="dxa"/>
            <w:gridSpan w:val="2"/>
            <w:tcBorders>
              <w:top w:val="nil"/>
              <w:left w:val="nil"/>
              <w:bottom w:val="single" w:sz="4" w:space="0" w:color="auto"/>
              <w:right w:val="single" w:sz="4" w:space="0" w:color="auto"/>
            </w:tcBorders>
            <w:shd w:val="clear" w:color="auto" w:fill="auto"/>
            <w:noWrap/>
            <w:vAlign w:val="bottom"/>
            <w:hideMark/>
          </w:tcPr>
          <w:p w14:paraId="186F5D5C"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300</w:t>
            </w:r>
          </w:p>
        </w:tc>
      </w:tr>
      <w:tr w:rsidR="00150C90" w:rsidRPr="00B004EE" w14:paraId="5858E028" w14:textId="77777777" w:rsidTr="00094B74">
        <w:trPr>
          <w:cantSplit/>
          <w:trHeight w:val="57"/>
          <w:jc w:val="center"/>
        </w:trPr>
        <w:tc>
          <w:tcPr>
            <w:tcW w:w="1392" w:type="dxa"/>
            <w:vMerge/>
            <w:tcBorders>
              <w:top w:val="nil"/>
              <w:left w:val="single" w:sz="4" w:space="0" w:color="auto"/>
              <w:bottom w:val="single" w:sz="4" w:space="0" w:color="000000"/>
              <w:right w:val="single" w:sz="4" w:space="0" w:color="auto"/>
            </w:tcBorders>
            <w:vAlign w:val="center"/>
            <w:hideMark/>
          </w:tcPr>
          <w:p w14:paraId="2EF5BBB5" w14:textId="77777777" w:rsidR="00094B74" w:rsidRPr="00B004EE" w:rsidRDefault="00094B74" w:rsidP="00B004EE">
            <w:pPr>
              <w:rPr>
                <w:rFonts w:ascii="Tahoma" w:hAnsi="Tahoma" w:cs="Tahoma"/>
                <w:b/>
                <w:bCs/>
                <w:sz w:val="20"/>
                <w:szCs w:val="20"/>
              </w:rPr>
            </w:pPr>
          </w:p>
        </w:tc>
        <w:tc>
          <w:tcPr>
            <w:tcW w:w="1624" w:type="dxa"/>
            <w:vMerge/>
            <w:tcBorders>
              <w:top w:val="nil"/>
              <w:left w:val="single" w:sz="4" w:space="0" w:color="auto"/>
              <w:bottom w:val="single" w:sz="4" w:space="0" w:color="000000"/>
              <w:right w:val="single" w:sz="4" w:space="0" w:color="auto"/>
            </w:tcBorders>
            <w:vAlign w:val="center"/>
            <w:hideMark/>
          </w:tcPr>
          <w:p w14:paraId="242EDAA9" w14:textId="77777777" w:rsidR="00094B74" w:rsidRPr="00B004EE" w:rsidRDefault="00094B74" w:rsidP="00B004EE">
            <w:pPr>
              <w:rPr>
                <w:rFonts w:ascii="Tahoma" w:hAnsi="Tahoma" w:cs="Tahoma"/>
                <w:b/>
                <w:bCs/>
                <w:sz w:val="20"/>
                <w:szCs w:val="20"/>
              </w:rPr>
            </w:pPr>
          </w:p>
        </w:tc>
        <w:tc>
          <w:tcPr>
            <w:tcW w:w="4072" w:type="dxa"/>
            <w:gridSpan w:val="2"/>
            <w:tcBorders>
              <w:top w:val="nil"/>
              <w:left w:val="nil"/>
              <w:bottom w:val="single" w:sz="4" w:space="0" w:color="auto"/>
              <w:right w:val="single" w:sz="4" w:space="0" w:color="auto"/>
            </w:tcBorders>
            <w:shd w:val="clear" w:color="auto" w:fill="auto"/>
            <w:noWrap/>
            <w:vAlign w:val="bottom"/>
            <w:hideMark/>
          </w:tcPr>
          <w:p w14:paraId="348738F2" w14:textId="77777777" w:rsidR="00094B74" w:rsidRPr="00B004EE" w:rsidRDefault="00094B74" w:rsidP="00B004EE">
            <w:pPr>
              <w:rPr>
                <w:rFonts w:ascii="Tahoma" w:hAnsi="Tahoma" w:cs="Tahoma"/>
                <w:sz w:val="20"/>
                <w:szCs w:val="20"/>
              </w:rPr>
            </w:pPr>
            <w:r w:rsidRPr="00B004EE">
              <w:rPr>
                <w:rFonts w:ascii="Tahoma" w:hAnsi="Tahoma" w:cs="Tahoma"/>
                <w:sz w:val="20"/>
                <w:szCs w:val="20"/>
              </w:rPr>
              <w:t>Température</w:t>
            </w:r>
          </w:p>
        </w:tc>
        <w:tc>
          <w:tcPr>
            <w:tcW w:w="1559" w:type="dxa"/>
            <w:gridSpan w:val="2"/>
            <w:tcBorders>
              <w:top w:val="nil"/>
              <w:left w:val="nil"/>
              <w:bottom w:val="single" w:sz="4" w:space="0" w:color="auto"/>
              <w:right w:val="single" w:sz="4" w:space="0" w:color="auto"/>
            </w:tcBorders>
            <w:shd w:val="clear" w:color="auto" w:fill="auto"/>
            <w:noWrap/>
            <w:vAlign w:val="bottom"/>
            <w:hideMark/>
          </w:tcPr>
          <w:p w14:paraId="42A0748E"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450</w:t>
            </w:r>
          </w:p>
        </w:tc>
        <w:tc>
          <w:tcPr>
            <w:tcW w:w="1202" w:type="dxa"/>
            <w:gridSpan w:val="2"/>
            <w:tcBorders>
              <w:top w:val="nil"/>
              <w:left w:val="nil"/>
              <w:bottom w:val="single" w:sz="4" w:space="0" w:color="auto"/>
              <w:right w:val="single" w:sz="4" w:space="0" w:color="auto"/>
            </w:tcBorders>
            <w:shd w:val="clear" w:color="auto" w:fill="auto"/>
            <w:noWrap/>
            <w:vAlign w:val="bottom"/>
            <w:hideMark/>
          </w:tcPr>
          <w:p w14:paraId="20A440DB"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300</w:t>
            </w:r>
          </w:p>
        </w:tc>
      </w:tr>
      <w:tr w:rsidR="00150C90" w:rsidRPr="00B004EE" w14:paraId="019A4E0B" w14:textId="77777777" w:rsidTr="00094B74">
        <w:trPr>
          <w:cantSplit/>
          <w:trHeight w:val="57"/>
          <w:jc w:val="center"/>
        </w:trPr>
        <w:tc>
          <w:tcPr>
            <w:tcW w:w="1392" w:type="dxa"/>
            <w:vMerge/>
            <w:tcBorders>
              <w:top w:val="nil"/>
              <w:left w:val="single" w:sz="4" w:space="0" w:color="auto"/>
              <w:bottom w:val="single" w:sz="4" w:space="0" w:color="000000"/>
              <w:right w:val="single" w:sz="4" w:space="0" w:color="auto"/>
            </w:tcBorders>
            <w:vAlign w:val="center"/>
            <w:hideMark/>
          </w:tcPr>
          <w:p w14:paraId="649C4D20" w14:textId="77777777" w:rsidR="00094B74" w:rsidRPr="00B004EE" w:rsidRDefault="00094B74" w:rsidP="00B004EE">
            <w:pPr>
              <w:rPr>
                <w:rFonts w:ascii="Tahoma" w:hAnsi="Tahoma" w:cs="Tahoma"/>
                <w:b/>
                <w:bCs/>
                <w:sz w:val="20"/>
                <w:szCs w:val="20"/>
              </w:rPr>
            </w:pPr>
          </w:p>
        </w:tc>
        <w:tc>
          <w:tcPr>
            <w:tcW w:w="1624" w:type="dxa"/>
            <w:vMerge/>
            <w:tcBorders>
              <w:top w:val="nil"/>
              <w:left w:val="single" w:sz="4" w:space="0" w:color="auto"/>
              <w:bottom w:val="single" w:sz="4" w:space="0" w:color="000000"/>
              <w:right w:val="single" w:sz="4" w:space="0" w:color="auto"/>
            </w:tcBorders>
            <w:vAlign w:val="center"/>
            <w:hideMark/>
          </w:tcPr>
          <w:p w14:paraId="5B47A25C" w14:textId="77777777" w:rsidR="00094B74" w:rsidRPr="00B004EE" w:rsidRDefault="00094B74" w:rsidP="00B004EE">
            <w:pPr>
              <w:rPr>
                <w:rFonts w:ascii="Tahoma" w:hAnsi="Tahoma" w:cs="Tahoma"/>
                <w:b/>
                <w:bCs/>
                <w:sz w:val="20"/>
                <w:szCs w:val="20"/>
              </w:rPr>
            </w:pPr>
          </w:p>
        </w:tc>
        <w:tc>
          <w:tcPr>
            <w:tcW w:w="4072" w:type="dxa"/>
            <w:gridSpan w:val="2"/>
            <w:tcBorders>
              <w:top w:val="nil"/>
              <w:left w:val="nil"/>
              <w:bottom w:val="single" w:sz="4" w:space="0" w:color="auto"/>
              <w:right w:val="single" w:sz="4" w:space="0" w:color="auto"/>
            </w:tcBorders>
            <w:shd w:val="clear" w:color="auto" w:fill="auto"/>
            <w:noWrap/>
            <w:vAlign w:val="bottom"/>
            <w:hideMark/>
          </w:tcPr>
          <w:p w14:paraId="662C862D" w14:textId="77777777" w:rsidR="00094B74" w:rsidRPr="00B004EE" w:rsidRDefault="00094B74" w:rsidP="00B004EE">
            <w:pPr>
              <w:rPr>
                <w:rFonts w:ascii="Tahoma" w:hAnsi="Tahoma" w:cs="Tahoma"/>
                <w:sz w:val="20"/>
                <w:szCs w:val="20"/>
              </w:rPr>
            </w:pPr>
            <w:r w:rsidRPr="00B004EE">
              <w:rPr>
                <w:rFonts w:ascii="Tahoma" w:hAnsi="Tahoma" w:cs="Tahoma"/>
                <w:sz w:val="20"/>
                <w:szCs w:val="20"/>
              </w:rPr>
              <w:t xml:space="preserve">Conductivité </w:t>
            </w:r>
          </w:p>
        </w:tc>
        <w:tc>
          <w:tcPr>
            <w:tcW w:w="1559" w:type="dxa"/>
            <w:gridSpan w:val="2"/>
            <w:tcBorders>
              <w:top w:val="nil"/>
              <w:left w:val="nil"/>
              <w:bottom w:val="single" w:sz="4" w:space="0" w:color="auto"/>
              <w:right w:val="single" w:sz="4" w:space="0" w:color="auto"/>
            </w:tcBorders>
            <w:shd w:val="clear" w:color="auto" w:fill="auto"/>
            <w:noWrap/>
            <w:vAlign w:val="bottom"/>
            <w:hideMark/>
          </w:tcPr>
          <w:p w14:paraId="5524559F"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750</w:t>
            </w:r>
          </w:p>
        </w:tc>
        <w:tc>
          <w:tcPr>
            <w:tcW w:w="1202" w:type="dxa"/>
            <w:gridSpan w:val="2"/>
            <w:tcBorders>
              <w:top w:val="nil"/>
              <w:left w:val="nil"/>
              <w:bottom w:val="single" w:sz="4" w:space="0" w:color="auto"/>
              <w:right w:val="single" w:sz="4" w:space="0" w:color="auto"/>
            </w:tcBorders>
            <w:shd w:val="clear" w:color="auto" w:fill="auto"/>
            <w:noWrap/>
            <w:vAlign w:val="bottom"/>
            <w:hideMark/>
          </w:tcPr>
          <w:p w14:paraId="6DF59677"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300</w:t>
            </w:r>
          </w:p>
        </w:tc>
      </w:tr>
      <w:tr w:rsidR="00150C90" w:rsidRPr="00B004EE" w14:paraId="0E964BD6" w14:textId="77777777" w:rsidTr="00094B74">
        <w:trPr>
          <w:cantSplit/>
          <w:trHeight w:val="57"/>
          <w:jc w:val="center"/>
        </w:trPr>
        <w:tc>
          <w:tcPr>
            <w:tcW w:w="1392" w:type="dxa"/>
            <w:vMerge/>
            <w:tcBorders>
              <w:top w:val="nil"/>
              <w:left w:val="single" w:sz="4" w:space="0" w:color="auto"/>
              <w:bottom w:val="single" w:sz="4" w:space="0" w:color="000000"/>
              <w:right w:val="single" w:sz="4" w:space="0" w:color="auto"/>
            </w:tcBorders>
            <w:vAlign w:val="center"/>
            <w:hideMark/>
          </w:tcPr>
          <w:p w14:paraId="17B0A463" w14:textId="77777777" w:rsidR="00094B74" w:rsidRPr="00B004EE" w:rsidRDefault="00094B74" w:rsidP="00B004EE">
            <w:pPr>
              <w:rPr>
                <w:rFonts w:ascii="Tahoma" w:hAnsi="Tahoma" w:cs="Tahoma"/>
                <w:b/>
                <w:bCs/>
                <w:sz w:val="20"/>
                <w:szCs w:val="20"/>
              </w:rPr>
            </w:pPr>
          </w:p>
        </w:tc>
        <w:tc>
          <w:tcPr>
            <w:tcW w:w="1624" w:type="dxa"/>
            <w:vMerge/>
            <w:tcBorders>
              <w:top w:val="nil"/>
              <w:left w:val="single" w:sz="4" w:space="0" w:color="auto"/>
              <w:bottom w:val="single" w:sz="4" w:space="0" w:color="000000"/>
              <w:right w:val="single" w:sz="4" w:space="0" w:color="auto"/>
            </w:tcBorders>
            <w:vAlign w:val="center"/>
            <w:hideMark/>
          </w:tcPr>
          <w:p w14:paraId="6E9F19C5" w14:textId="77777777" w:rsidR="00094B74" w:rsidRPr="00B004EE" w:rsidRDefault="00094B74" w:rsidP="00B004EE">
            <w:pPr>
              <w:rPr>
                <w:rFonts w:ascii="Tahoma" w:hAnsi="Tahoma" w:cs="Tahoma"/>
                <w:b/>
                <w:bCs/>
                <w:sz w:val="20"/>
                <w:szCs w:val="20"/>
              </w:rPr>
            </w:pPr>
          </w:p>
        </w:tc>
        <w:tc>
          <w:tcPr>
            <w:tcW w:w="4072" w:type="dxa"/>
            <w:gridSpan w:val="2"/>
            <w:tcBorders>
              <w:top w:val="nil"/>
              <w:left w:val="nil"/>
              <w:bottom w:val="single" w:sz="4" w:space="0" w:color="auto"/>
              <w:right w:val="single" w:sz="4" w:space="0" w:color="auto"/>
            </w:tcBorders>
            <w:shd w:val="clear" w:color="auto" w:fill="auto"/>
            <w:noWrap/>
            <w:vAlign w:val="bottom"/>
            <w:hideMark/>
          </w:tcPr>
          <w:p w14:paraId="68AC7B8F" w14:textId="77777777" w:rsidR="00094B74" w:rsidRPr="00B004EE" w:rsidRDefault="00094B74" w:rsidP="00B004EE">
            <w:pPr>
              <w:rPr>
                <w:rFonts w:ascii="Tahoma" w:hAnsi="Tahoma" w:cs="Tahoma"/>
                <w:sz w:val="20"/>
                <w:szCs w:val="20"/>
              </w:rPr>
            </w:pPr>
            <w:r w:rsidRPr="00B004EE">
              <w:rPr>
                <w:rFonts w:ascii="Tahoma" w:hAnsi="Tahoma" w:cs="Tahoma"/>
                <w:sz w:val="20"/>
                <w:szCs w:val="20"/>
              </w:rPr>
              <w:t>salinité</w:t>
            </w:r>
          </w:p>
        </w:tc>
        <w:tc>
          <w:tcPr>
            <w:tcW w:w="1559" w:type="dxa"/>
            <w:gridSpan w:val="2"/>
            <w:tcBorders>
              <w:top w:val="nil"/>
              <w:left w:val="nil"/>
              <w:bottom w:val="single" w:sz="4" w:space="0" w:color="auto"/>
              <w:right w:val="single" w:sz="4" w:space="0" w:color="auto"/>
            </w:tcBorders>
            <w:shd w:val="clear" w:color="auto" w:fill="auto"/>
            <w:noWrap/>
            <w:vAlign w:val="bottom"/>
            <w:hideMark/>
          </w:tcPr>
          <w:p w14:paraId="3C0D0F37"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450</w:t>
            </w:r>
          </w:p>
        </w:tc>
        <w:tc>
          <w:tcPr>
            <w:tcW w:w="1202" w:type="dxa"/>
            <w:gridSpan w:val="2"/>
            <w:tcBorders>
              <w:top w:val="nil"/>
              <w:left w:val="nil"/>
              <w:bottom w:val="single" w:sz="4" w:space="0" w:color="auto"/>
              <w:right w:val="single" w:sz="4" w:space="0" w:color="auto"/>
            </w:tcBorders>
            <w:shd w:val="clear" w:color="auto" w:fill="auto"/>
            <w:noWrap/>
            <w:vAlign w:val="bottom"/>
            <w:hideMark/>
          </w:tcPr>
          <w:p w14:paraId="5C0D8AE5"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300</w:t>
            </w:r>
          </w:p>
        </w:tc>
      </w:tr>
      <w:tr w:rsidR="00150C90" w:rsidRPr="00B004EE" w14:paraId="6AF30BB4" w14:textId="77777777" w:rsidTr="00094B74">
        <w:trPr>
          <w:cantSplit/>
          <w:trHeight w:val="57"/>
          <w:jc w:val="center"/>
        </w:trPr>
        <w:tc>
          <w:tcPr>
            <w:tcW w:w="1392" w:type="dxa"/>
            <w:vMerge/>
            <w:tcBorders>
              <w:top w:val="nil"/>
              <w:left w:val="single" w:sz="4" w:space="0" w:color="auto"/>
              <w:bottom w:val="single" w:sz="4" w:space="0" w:color="000000"/>
              <w:right w:val="single" w:sz="4" w:space="0" w:color="auto"/>
            </w:tcBorders>
            <w:vAlign w:val="center"/>
            <w:hideMark/>
          </w:tcPr>
          <w:p w14:paraId="36E7FFA6" w14:textId="77777777" w:rsidR="00094B74" w:rsidRPr="00B004EE" w:rsidRDefault="00094B74" w:rsidP="00B004EE">
            <w:pPr>
              <w:rPr>
                <w:rFonts w:ascii="Tahoma" w:hAnsi="Tahoma" w:cs="Tahoma"/>
                <w:b/>
                <w:bCs/>
                <w:sz w:val="20"/>
                <w:szCs w:val="20"/>
              </w:rPr>
            </w:pPr>
          </w:p>
        </w:tc>
        <w:tc>
          <w:tcPr>
            <w:tcW w:w="1624" w:type="dxa"/>
            <w:vMerge/>
            <w:tcBorders>
              <w:top w:val="nil"/>
              <w:left w:val="single" w:sz="4" w:space="0" w:color="auto"/>
              <w:bottom w:val="single" w:sz="4" w:space="0" w:color="000000"/>
              <w:right w:val="single" w:sz="4" w:space="0" w:color="auto"/>
            </w:tcBorders>
            <w:vAlign w:val="center"/>
            <w:hideMark/>
          </w:tcPr>
          <w:p w14:paraId="7D4751E7" w14:textId="77777777" w:rsidR="00094B74" w:rsidRPr="00B004EE" w:rsidRDefault="00094B74" w:rsidP="00B004EE">
            <w:pPr>
              <w:rPr>
                <w:rFonts w:ascii="Tahoma" w:hAnsi="Tahoma" w:cs="Tahoma"/>
                <w:b/>
                <w:bCs/>
                <w:sz w:val="20"/>
                <w:szCs w:val="20"/>
              </w:rPr>
            </w:pPr>
          </w:p>
        </w:tc>
        <w:tc>
          <w:tcPr>
            <w:tcW w:w="4072" w:type="dxa"/>
            <w:gridSpan w:val="2"/>
            <w:tcBorders>
              <w:top w:val="nil"/>
              <w:left w:val="nil"/>
              <w:bottom w:val="single" w:sz="4" w:space="0" w:color="auto"/>
              <w:right w:val="single" w:sz="4" w:space="0" w:color="auto"/>
            </w:tcBorders>
            <w:shd w:val="clear" w:color="auto" w:fill="auto"/>
            <w:noWrap/>
            <w:vAlign w:val="bottom"/>
            <w:hideMark/>
          </w:tcPr>
          <w:p w14:paraId="341DF983" w14:textId="77777777" w:rsidR="00094B74" w:rsidRPr="00B004EE" w:rsidRDefault="00094B74" w:rsidP="00B004EE">
            <w:pPr>
              <w:rPr>
                <w:rFonts w:ascii="Tahoma" w:hAnsi="Tahoma" w:cs="Tahoma"/>
                <w:sz w:val="20"/>
                <w:szCs w:val="20"/>
              </w:rPr>
            </w:pPr>
            <w:r w:rsidRPr="00B004EE">
              <w:rPr>
                <w:rFonts w:ascii="Tahoma" w:hAnsi="Tahoma" w:cs="Tahoma"/>
                <w:sz w:val="20"/>
                <w:szCs w:val="20"/>
              </w:rPr>
              <w:t>Turbidité</w:t>
            </w:r>
          </w:p>
        </w:tc>
        <w:tc>
          <w:tcPr>
            <w:tcW w:w="1559" w:type="dxa"/>
            <w:gridSpan w:val="2"/>
            <w:tcBorders>
              <w:top w:val="nil"/>
              <w:left w:val="nil"/>
              <w:bottom w:val="single" w:sz="4" w:space="0" w:color="auto"/>
              <w:right w:val="single" w:sz="4" w:space="0" w:color="auto"/>
            </w:tcBorders>
            <w:shd w:val="clear" w:color="auto" w:fill="auto"/>
            <w:noWrap/>
            <w:vAlign w:val="bottom"/>
            <w:hideMark/>
          </w:tcPr>
          <w:p w14:paraId="7CF9F452"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450</w:t>
            </w:r>
          </w:p>
        </w:tc>
        <w:tc>
          <w:tcPr>
            <w:tcW w:w="1202" w:type="dxa"/>
            <w:gridSpan w:val="2"/>
            <w:tcBorders>
              <w:top w:val="nil"/>
              <w:left w:val="nil"/>
              <w:bottom w:val="single" w:sz="4" w:space="0" w:color="auto"/>
              <w:right w:val="single" w:sz="4" w:space="0" w:color="auto"/>
            </w:tcBorders>
            <w:shd w:val="clear" w:color="auto" w:fill="auto"/>
            <w:noWrap/>
            <w:vAlign w:val="bottom"/>
            <w:hideMark/>
          </w:tcPr>
          <w:p w14:paraId="1C1EF6E9"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300</w:t>
            </w:r>
          </w:p>
        </w:tc>
      </w:tr>
      <w:tr w:rsidR="00150C90" w:rsidRPr="00B004EE" w14:paraId="4C121E82" w14:textId="77777777" w:rsidTr="00094B74">
        <w:trPr>
          <w:cantSplit/>
          <w:trHeight w:val="57"/>
          <w:jc w:val="center"/>
        </w:trPr>
        <w:tc>
          <w:tcPr>
            <w:tcW w:w="1392" w:type="dxa"/>
            <w:vMerge/>
            <w:tcBorders>
              <w:top w:val="nil"/>
              <w:left w:val="single" w:sz="4" w:space="0" w:color="auto"/>
              <w:bottom w:val="single" w:sz="4" w:space="0" w:color="000000"/>
              <w:right w:val="single" w:sz="4" w:space="0" w:color="auto"/>
            </w:tcBorders>
            <w:vAlign w:val="center"/>
            <w:hideMark/>
          </w:tcPr>
          <w:p w14:paraId="0914E80A" w14:textId="77777777" w:rsidR="00094B74" w:rsidRPr="00B004EE" w:rsidRDefault="00094B74" w:rsidP="00B004EE">
            <w:pPr>
              <w:rPr>
                <w:rFonts w:ascii="Tahoma" w:hAnsi="Tahoma" w:cs="Tahoma"/>
                <w:b/>
                <w:bCs/>
                <w:sz w:val="20"/>
                <w:szCs w:val="20"/>
              </w:rPr>
            </w:pPr>
          </w:p>
        </w:tc>
        <w:tc>
          <w:tcPr>
            <w:tcW w:w="1624" w:type="dxa"/>
            <w:vMerge/>
            <w:tcBorders>
              <w:top w:val="nil"/>
              <w:left w:val="single" w:sz="4" w:space="0" w:color="auto"/>
              <w:bottom w:val="single" w:sz="4" w:space="0" w:color="000000"/>
              <w:right w:val="single" w:sz="4" w:space="0" w:color="auto"/>
            </w:tcBorders>
            <w:vAlign w:val="center"/>
            <w:hideMark/>
          </w:tcPr>
          <w:p w14:paraId="02166DA0" w14:textId="77777777" w:rsidR="00094B74" w:rsidRPr="00B004EE" w:rsidRDefault="00094B74" w:rsidP="00B004EE">
            <w:pPr>
              <w:rPr>
                <w:rFonts w:ascii="Tahoma" w:hAnsi="Tahoma" w:cs="Tahoma"/>
                <w:b/>
                <w:bCs/>
                <w:sz w:val="20"/>
                <w:szCs w:val="20"/>
              </w:rPr>
            </w:pPr>
          </w:p>
        </w:tc>
        <w:tc>
          <w:tcPr>
            <w:tcW w:w="4072" w:type="dxa"/>
            <w:gridSpan w:val="2"/>
            <w:tcBorders>
              <w:top w:val="nil"/>
              <w:left w:val="nil"/>
              <w:bottom w:val="single" w:sz="4" w:space="0" w:color="auto"/>
              <w:right w:val="single" w:sz="4" w:space="0" w:color="auto"/>
            </w:tcBorders>
            <w:shd w:val="clear" w:color="auto" w:fill="auto"/>
            <w:noWrap/>
            <w:vAlign w:val="bottom"/>
            <w:hideMark/>
          </w:tcPr>
          <w:p w14:paraId="31784A20" w14:textId="77777777" w:rsidR="00094B74" w:rsidRPr="00B004EE" w:rsidRDefault="00094B74" w:rsidP="00B004EE">
            <w:pPr>
              <w:rPr>
                <w:rFonts w:ascii="Tahoma" w:hAnsi="Tahoma" w:cs="Tahoma"/>
                <w:sz w:val="20"/>
                <w:szCs w:val="20"/>
              </w:rPr>
            </w:pPr>
            <w:r w:rsidRPr="00B004EE">
              <w:rPr>
                <w:rFonts w:ascii="Tahoma" w:hAnsi="Tahoma" w:cs="Tahoma"/>
                <w:sz w:val="20"/>
                <w:szCs w:val="20"/>
              </w:rPr>
              <w:t>pH</w:t>
            </w:r>
          </w:p>
        </w:tc>
        <w:tc>
          <w:tcPr>
            <w:tcW w:w="1559" w:type="dxa"/>
            <w:gridSpan w:val="2"/>
            <w:tcBorders>
              <w:top w:val="nil"/>
              <w:left w:val="nil"/>
              <w:bottom w:val="single" w:sz="4" w:space="0" w:color="auto"/>
              <w:right w:val="single" w:sz="4" w:space="0" w:color="auto"/>
            </w:tcBorders>
            <w:shd w:val="clear" w:color="auto" w:fill="auto"/>
            <w:noWrap/>
            <w:vAlign w:val="bottom"/>
            <w:hideMark/>
          </w:tcPr>
          <w:p w14:paraId="6EC06D8A"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450</w:t>
            </w:r>
          </w:p>
        </w:tc>
        <w:tc>
          <w:tcPr>
            <w:tcW w:w="1202" w:type="dxa"/>
            <w:gridSpan w:val="2"/>
            <w:tcBorders>
              <w:top w:val="nil"/>
              <w:left w:val="nil"/>
              <w:bottom w:val="single" w:sz="4" w:space="0" w:color="auto"/>
              <w:right w:val="single" w:sz="4" w:space="0" w:color="auto"/>
            </w:tcBorders>
            <w:shd w:val="clear" w:color="auto" w:fill="auto"/>
            <w:noWrap/>
            <w:vAlign w:val="bottom"/>
            <w:hideMark/>
          </w:tcPr>
          <w:p w14:paraId="673735A6"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300</w:t>
            </w:r>
          </w:p>
        </w:tc>
      </w:tr>
      <w:tr w:rsidR="00150C90" w:rsidRPr="00B004EE" w14:paraId="1D6A37F8" w14:textId="77777777" w:rsidTr="00094B74">
        <w:trPr>
          <w:cantSplit/>
          <w:trHeight w:val="57"/>
          <w:jc w:val="center"/>
        </w:trPr>
        <w:tc>
          <w:tcPr>
            <w:tcW w:w="1392" w:type="dxa"/>
            <w:vMerge/>
            <w:tcBorders>
              <w:top w:val="nil"/>
              <w:left w:val="single" w:sz="4" w:space="0" w:color="auto"/>
              <w:bottom w:val="single" w:sz="4" w:space="0" w:color="000000"/>
              <w:right w:val="single" w:sz="4" w:space="0" w:color="auto"/>
            </w:tcBorders>
            <w:vAlign w:val="center"/>
            <w:hideMark/>
          </w:tcPr>
          <w:p w14:paraId="6E294F12" w14:textId="77777777" w:rsidR="00094B74" w:rsidRPr="00B004EE" w:rsidRDefault="00094B74" w:rsidP="00B004EE">
            <w:pPr>
              <w:rPr>
                <w:rFonts w:ascii="Tahoma" w:hAnsi="Tahoma" w:cs="Tahoma"/>
                <w:b/>
                <w:bCs/>
                <w:sz w:val="20"/>
                <w:szCs w:val="20"/>
              </w:rPr>
            </w:pPr>
          </w:p>
        </w:tc>
        <w:tc>
          <w:tcPr>
            <w:tcW w:w="1624" w:type="dxa"/>
            <w:vMerge/>
            <w:tcBorders>
              <w:top w:val="nil"/>
              <w:left w:val="single" w:sz="4" w:space="0" w:color="auto"/>
              <w:bottom w:val="single" w:sz="4" w:space="0" w:color="000000"/>
              <w:right w:val="single" w:sz="4" w:space="0" w:color="auto"/>
            </w:tcBorders>
            <w:vAlign w:val="center"/>
            <w:hideMark/>
          </w:tcPr>
          <w:p w14:paraId="41CB4A51" w14:textId="77777777" w:rsidR="00094B74" w:rsidRPr="00B004EE" w:rsidRDefault="00094B74" w:rsidP="00B004EE">
            <w:pPr>
              <w:rPr>
                <w:rFonts w:ascii="Tahoma" w:hAnsi="Tahoma" w:cs="Tahoma"/>
                <w:b/>
                <w:bCs/>
                <w:sz w:val="20"/>
                <w:szCs w:val="20"/>
              </w:rPr>
            </w:pPr>
          </w:p>
        </w:tc>
        <w:tc>
          <w:tcPr>
            <w:tcW w:w="4072" w:type="dxa"/>
            <w:gridSpan w:val="2"/>
            <w:tcBorders>
              <w:top w:val="nil"/>
              <w:left w:val="nil"/>
              <w:bottom w:val="single" w:sz="4" w:space="0" w:color="auto"/>
              <w:right w:val="single" w:sz="4" w:space="0" w:color="auto"/>
            </w:tcBorders>
            <w:shd w:val="clear" w:color="auto" w:fill="auto"/>
            <w:noWrap/>
            <w:vAlign w:val="bottom"/>
            <w:hideMark/>
          </w:tcPr>
          <w:p w14:paraId="2EEEEB1B" w14:textId="77777777" w:rsidR="00094B74" w:rsidRPr="00B004EE" w:rsidRDefault="00094B74" w:rsidP="00B004EE">
            <w:pPr>
              <w:rPr>
                <w:rFonts w:ascii="Tahoma" w:hAnsi="Tahoma" w:cs="Tahoma"/>
                <w:sz w:val="20"/>
                <w:szCs w:val="20"/>
              </w:rPr>
            </w:pPr>
            <w:r w:rsidRPr="00B004EE">
              <w:rPr>
                <w:rFonts w:ascii="Tahoma" w:hAnsi="Tahoma" w:cs="Tahoma"/>
                <w:sz w:val="20"/>
                <w:szCs w:val="20"/>
              </w:rPr>
              <w:t>Nitrites</w:t>
            </w:r>
          </w:p>
        </w:tc>
        <w:tc>
          <w:tcPr>
            <w:tcW w:w="1559" w:type="dxa"/>
            <w:gridSpan w:val="2"/>
            <w:tcBorders>
              <w:top w:val="nil"/>
              <w:left w:val="nil"/>
              <w:bottom w:val="single" w:sz="4" w:space="0" w:color="auto"/>
              <w:right w:val="single" w:sz="4" w:space="0" w:color="auto"/>
            </w:tcBorders>
            <w:shd w:val="clear" w:color="auto" w:fill="auto"/>
            <w:noWrap/>
            <w:vAlign w:val="bottom"/>
            <w:hideMark/>
          </w:tcPr>
          <w:p w14:paraId="1EBE30F2"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1012,5</w:t>
            </w:r>
          </w:p>
        </w:tc>
        <w:tc>
          <w:tcPr>
            <w:tcW w:w="1202" w:type="dxa"/>
            <w:gridSpan w:val="2"/>
            <w:tcBorders>
              <w:top w:val="nil"/>
              <w:left w:val="nil"/>
              <w:bottom w:val="single" w:sz="4" w:space="0" w:color="auto"/>
              <w:right w:val="single" w:sz="4" w:space="0" w:color="auto"/>
            </w:tcBorders>
            <w:shd w:val="clear" w:color="auto" w:fill="auto"/>
            <w:noWrap/>
            <w:vAlign w:val="bottom"/>
            <w:hideMark/>
          </w:tcPr>
          <w:p w14:paraId="016867FE"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672,5</w:t>
            </w:r>
          </w:p>
        </w:tc>
      </w:tr>
      <w:tr w:rsidR="00150C90" w:rsidRPr="00B004EE" w14:paraId="5CC38DD7" w14:textId="77777777" w:rsidTr="00094B74">
        <w:trPr>
          <w:cantSplit/>
          <w:trHeight w:val="57"/>
          <w:jc w:val="center"/>
        </w:trPr>
        <w:tc>
          <w:tcPr>
            <w:tcW w:w="1392" w:type="dxa"/>
            <w:vMerge/>
            <w:tcBorders>
              <w:top w:val="nil"/>
              <w:left w:val="single" w:sz="4" w:space="0" w:color="auto"/>
              <w:bottom w:val="single" w:sz="4" w:space="0" w:color="000000"/>
              <w:right w:val="single" w:sz="4" w:space="0" w:color="auto"/>
            </w:tcBorders>
            <w:vAlign w:val="center"/>
            <w:hideMark/>
          </w:tcPr>
          <w:p w14:paraId="0EF1DD85" w14:textId="77777777" w:rsidR="00094B74" w:rsidRPr="00B004EE" w:rsidRDefault="00094B74" w:rsidP="00B004EE">
            <w:pPr>
              <w:rPr>
                <w:rFonts w:ascii="Tahoma" w:hAnsi="Tahoma" w:cs="Tahoma"/>
                <w:b/>
                <w:bCs/>
                <w:sz w:val="20"/>
                <w:szCs w:val="20"/>
              </w:rPr>
            </w:pPr>
          </w:p>
        </w:tc>
        <w:tc>
          <w:tcPr>
            <w:tcW w:w="1624" w:type="dxa"/>
            <w:vMerge/>
            <w:tcBorders>
              <w:top w:val="nil"/>
              <w:left w:val="single" w:sz="4" w:space="0" w:color="auto"/>
              <w:bottom w:val="single" w:sz="4" w:space="0" w:color="000000"/>
              <w:right w:val="single" w:sz="4" w:space="0" w:color="auto"/>
            </w:tcBorders>
            <w:vAlign w:val="center"/>
            <w:hideMark/>
          </w:tcPr>
          <w:p w14:paraId="6FCBEDAD" w14:textId="77777777" w:rsidR="00094B74" w:rsidRPr="00B004EE" w:rsidRDefault="00094B74" w:rsidP="00B004EE">
            <w:pPr>
              <w:rPr>
                <w:rFonts w:ascii="Tahoma" w:hAnsi="Tahoma" w:cs="Tahoma"/>
                <w:b/>
                <w:bCs/>
                <w:sz w:val="20"/>
                <w:szCs w:val="20"/>
              </w:rPr>
            </w:pPr>
          </w:p>
        </w:tc>
        <w:tc>
          <w:tcPr>
            <w:tcW w:w="4072" w:type="dxa"/>
            <w:gridSpan w:val="2"/>
            <w:tcBorders>
              <w:top w:val="nil"/>
              <w:left w:val="nil"/>
              <w:bottom w:val="single" w:sz="4" w:space="0" w:color="auto"/>
              <w:right w:val="single" w:sz="4" w:space="0" w:color="auto"/>
            </w:tcBorders>
            <w:shd w:val="clear" w:color="auto" w:fill="auto"/>
            <w:noWrap/>
            <w:vAlign w:val="bottom"/>
            <w:hideMark/>
          </w:tcPr>
          <w:p w14:paraId="7D69EA6F" w14:textId="77777777" w:rsidR="00094B74" w:rsidRPr="00B004EE" w:rsidRDefault="00094B74" w:rsidP="00B004EE">
            <w:pPr>
              <w:rPr>
                <w:rFonts w:ascii="Tahoma" w:hAnsi="Tahoma" w:cs="Tahoma"/>
                <w:sz w:val="20"/>
                <w:szCs w:val="20"/>
              </w:rPr>
            </w:pPr>
            <w:r w:rsidRPr="00B004EE">
              <w:rPr>
                <w:rFonts w:ascii="Tahoma" w:hAnsi="Tahoma" w:cs="Tahoma"/>
                <w:sz w:val="20"/>
                <w:szCs w:val="20"/>
              </w:rPr>
              <w:t xml:space="preserve">Nitrates </w:t>
            </w:r>
          </w:p>
        </w:tc>
        <w:tc>
          <w:tcPr>
            <w:tcW w:w="1559" w:type="dxa"/>
            <w:gridSpan w:val="2"/>
            <w:tcBorders>
              <w:top w:val="nil"/>
              <w:left w:val="nil"/>
              <w:bottom w:val="single" w:sz="4" w:space="0" w:color="auto"/>
              <w:right w:val="single" w:sz="4" w:space="0" w:color="auto"/>
            </w:tcBorders>
            <w:shd w:val="clear" w:color="auto" w:fill="auto"/>
            <w:noWrap/>
            <w:vAlign w:val="bottom"/>
            <w:hideMark/>
          </w:tcPr>
          <w:p w14:paraId="6353B229"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1125</w:t>
            </w:r>
          </w:p>
        </w:tc>
        <w:tc>
          <w:tcPr>
            <w:tcW w:w="1202" w:type="dxa"/>
            <w:gridSpan w:val="2"/>
            <w:tcBorders>
              <w:top w:val="nil"/>
              <w:left w:val="nil"/>
              <w:bottom w:val="single" w:sz="4" w:space="0" w:color="auto"/>
              <w:right w:val="single" w:sz="4" w:space="0" w:color="auto"/>
            </w:tcBorders>
            <w:shd w:val="clear" w:color="auto" w:fill="auto"/>
            <w:noWrap/>
            <w:vAlign w:val="bottom"/>
            <w:hideMark/>
          </w:tcPr>
          <w:p w14:paraId="1CE6C941"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750</w:t>
            </w:r>
          </w:p>
        </w:tc>
      </w:tr>
      <w:tr w:rsidR="00150C90" w:rsidRPr="00B004EE" w14:paraId="21813175" w14:textId="77777777" w:rsidTr="00094B74">
        <w:trPr>
          <w:cantSplit/>
          <w:trHeight w:val="57"/>
          <w:jc w:val="center"/>
        </w:trPr>
        <w:tc>
          <w:tcPr>
            <w:tcW w:w="1392" w:type="dxa"/>
            <w:vMerge/>
            <w:tcBorders>
              <w:top w:val="nil"/>
              <w:left w:val="single" w:sz="4" w:space="0" w:color="auto"/>
              <w:bottom w:val="single" w:sz="4" w:space="0" w:color="000000"/>
              <w:right w:val="single" w:sz="4" w:space="0" w:color="auto"/>
            </w:tcBorders>
            <w:vAlign w:val="center"/>
            <w:hideMark/>
          </w:tcPr>
          <w:p w14:paraId="55255908" w14:textId="77777777" w:rsidR="00094B74" w:rsidRPr="00B004EE" w:rsidRDefault="00094B74" w:rsidP="00B004EE">
            <w:pPr>
              <w:rPr>
                <w:rFonts w:ascii="Tahoma" w:hAnsi="Tahoma" w:cs="Tahoma"/>
                <w:b/>
                <w:bCs/>
                <w:sz w:val="20"/>
                <w:szCs w:val="20"/>
              </w:rPr>
            </w:pPr>
          </w:p>
        </w:tc>
        <w:tc>
          <w:tcPr>
            <w:tcW w:w="1624" w:type="dxa"/>
            <w:vMerge/>
            <w:tcBorders>
              <w:top w:val="nil"/>
              <w:left w:val="single" w:sz="4" w:space="0" w:color="auto"/>
              <w:bottom w:val="single" w:sz="4" w:space="0" w:color="000000"/>
              <w:right w:val="single" w:sz="4" w:space="0" w:color="auto"/>
            </w:tcBorders>
            <w:vAlign w:val="center"/>
            <w:hideMark/>
          </w:tcPr>
          <w:p w14:paraId="14D55F47" w14:textId="77777777" w:rsidR="00094B74" w:rsidRPr="00B004EE" w:rsidRDefault="00094B74" w:rsidP="00B004EE">
            <w:pPr>
              <w:rPr>
                <w:rFonts w:ascii="Tahoma" w:hAnsi="Tahoma" w:cs="Tahoma"/>
                <w:b/>
                <w:bCs/>
                <w:sz w:val="20"/>
                <w:szCs w:val="20"/>
              </w:rPr>
            </w:pPr>
          </w:p>
        </w:tc>
        <w:tc>
          <w:tcPr>
            <w:tcW w:w="4072" w:type="dxa"/>
            <w:gridSpan w:val="2"/>
            <w:tcBorders>
              <w:top w:val="nil"/>
              <w:left w:val="nil"/>
              <w:bottom w:val="single" w:sz="4" w:space="0" w:color="auto"/>
              <w:right w:val="single" w:sz="4" w:space="0" w:color="auto"/>
            </w:tcBorders>
            <w:shd w:val="clear" w:color="auto" w:fill="auto"/>
            <w:noWrap/>
            <w:vAlign w:val="bottom"/>
            <w:hideMark/>
          </w:tcPr>
          <w:p w14:paraId="58B4D253" w14:textId="77777777" w:rsidR="00094B74" w:rsidRPr="00B004EE" w:rsidRDefault="00094B74" w:rsidP="00B004EE">
            <w:pPr>
              <w:rPr>
                <w:rFonts w:ascii="Tahoma" w:hAnsi="Tahoma" w:cs="Tahoma"/>
                <w:sz w:val="20"/>
                <w:szCs w:val="20"/>
              </w:rPr>
            </w:pPr>
            <w:r w:rsidRPr="00B004EE">
              <w:rPr>
                <w:rFonts w:ascii="Tahoma" w:hAnsi="Tahoma" w:cs="Tahoma"/>
                <w:sz w:val="20"/>
                <w:szCs w:val="20"/>
              </w:rPr>
              <w:t>Totale de solides en suspension (TSS)</w:t>
            </w:r>
          </w:p>
        </w:tc>
        <w:tc>
          <w:tcPr>
            <w:tcW w:w="1559" w:type="dxa"/>
            <w:gridSpan w:val="2"/>
            <w:tcBorders>
              <w:top w:val="nil"/>
              <w:left w:val="nil"/>
              <w:bottom w:val="single" w:sz="4" w:space="0" w:color="auto"/>
              <w:right w:val="single" w:sz="4" w:space="0" w:color="auto"/>
            </w:tcBorders>
            <w:shd w:val="clear" w:color="auto" w:fill="auto"/>
            <w:noWrap/>
            <w:vAlign w:val="bottom"/>
            <w:hideMark/>
          </w:tcPr>
          <w:p w14:paraId="2BF5A873"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450</w:t>
            </w:r>
          </w:p>
        </w:tc>
        <w:tc>
          <w:tcPr>
            <w:tcW w:w="1202" w:type="dxa"/>
            <w:gridSpan w:val="2"/>
            <w:tcBorders>
              <w:top w:val="nil"/>
              <w:left w:val="nil"/>
              <w:bottom w:val="single" w:sz="4" w:space="0" w:color="auto"/>
              <w:right w:val="single" w:sz="4" w:space="0" w:color="auto"/>
            </w:tcBorders>
            <w:shd w:val="clear" w:color="auto" w:fill="auto"/>
            <w:noWrap/>
            <w:vAlign w:val="bottom"/>
            <w:hideMark/>
          </w:tcPr>
          <w:p w14:paraId="0A4C05A5"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300</w:t>
            </w:r>
          </w:p>
        </w:tc>
      </w:tr>
      <w:tr w:rsidR="00150C90" w:rsidRPr="00B004EE" w14:paraId="78BA35F8" w14:textId="77777777" w:rsidTr="00094B74">
        <w:trPr>
          <w:cantSplit/>
          <w:trHeight w:val="57"/>
          <w:jc w:val="center"/>
        </w:trPr>
        <w:tc>
          <w:tcPr>
            <w:tcW w:w="1392" w:type="dxa"/>
            <w:vMerge/>
            <w:tcBorders>
              <w:top w:val="nil"/>
              <w:left w:val="single" w:sz="4" w:space="0" w:color="auto"/>
              <w:bottom w:val="single" w:sz="4" w:space="0" w:color="000000"/>
              <w:right w:val="single" w:sz="4" w:space="0" w:color="auto"/>
            </w:tcBorders>
            <w:vAlign w:val="center"/>
            <w:hideMark/>
          </w:tcPr>
          <w:p w14:paraId="745316EA" w14:textId="77777777" w:rsidR="00094B74" w:rsidRPr="00B004EE" w:rsidRDefault="00094B74" w:rsidP="00B004EE">
            <w:pPr>
              <w:rPr>
                <w:rFonts w:ascii="Tahoma" w:hAnsi="Tahoma" w:cs="Tahoma"/>
                <w:b/>
                <w:bCs/>
                <w:sz w:val="20"/>
                <w:szCs w:val="20"/>
              </w:rPr>
            </w:pPr>
          </w:p>
        </w:tc>
        <w:tc>
          <w:tcPr>
            <w:tcW w:w="1624" w:type="dxa"/>
            <w:vMerge/>
            <w:tcBorders>
              <w:top w:val="nil"/>
              <w:left w:val="single" w:sz="4" w:space="0" w:color="auto"/>
              <w:bottom w:val="single" w:sz="4" w:space="0" w:color="000000"/>
              <w:right w:val="single" w:sz="4" w:space="0" w:color="auto"/>
            </w:tcBorders>
            <w:vAlign w:val="center"/>
            <w:hideMark/>
          </w:tcPr>
          <w:p w14:paraId="32A2FECD" w14:textId="77777777" w:rsidR="00094B74" w:rsidRPr="00B004EE" w:rsidRDefault="00094B74" w:rsidP="00B004EE">
            <w:pPr>
              <w:rPr>
                <w:rFonts w:ascii="Tahoma" w:hAnsi="Tahoma" w:cs="Tahoma"/>
                <w:b/>
                <w:bCs/>
                <w:sz w:val="20"/>
                <w:szCs w:val="20"/>
              </w:rPr>
            </w:pPr>
          </w:p>
        </w:tc>
        <w:tc>
          <w:tcPr>
            <w:tcW w:w="4072" w:type="dxa"/>
            <w:gridSpan w:val="2"/>
            <w:tcBorders>
              <w:top w:val="nil"/>
              <w:left w:val="nil"/>
              <w:bottom w:val="single" w:sz="4" w:space="0" w:color="auto"/>
              <w:right w:val="single" w:sz="4" w:space="0" w:color="auto"/>
            </w:tcBorders>
            <w:shd w:val="clear" w:color="auto" w:fill="auto"/>
            <w:noWrap/>
            <w:vAlign w:val="bottom"/>
            <w:hideMark/>
          </w:tcPr>
          <w:p w14:paraId="3215D89D" w14:textId="77777777" w:rsidR="00094B74" w:rsidRPr="00B004EE" w:rsidRDefault="00094B74" w:rsidP="00B004EE">
            <w:pPr>
              <w:rPr>
                <w:rFonts w:ascii="Tahoma" w:hAnsi="Tahoma" w:cs="Tahoma"/>
                <w:sz w:val="20"/>
                <w:szCs w:val="20"/>
              </w:rPr>
            </w:pPr>
            <w:r w:rsidRPr="00B004EE">
              <w:rPr>
                <w:rFonts w:ascii="Tahoma" w:hAnsi="Tahoma" w:cs="Tahoma"/>
                <w:sz w:val="20"/>
                <w:szCs w:val="20"/>
              </w:rPr>
              <w:t>Fe</w:t>
            </w:r>
          </w:p>
        </w:tc>
        <w:tc>
          <w:tcPr>
            <w:tcW w:w="1559" w:type="dxa"/>
            <w:gridSpan w:val="2"/>
            <w:tcBorders>
              <w:top w:val="nil"/>
              <w:left w:val="nil"/>
              <w:bottom w:val="single" w:sz="4" w:space="0" w:color="auto"/>
              <w:right w:val="single" w:sz="4" w:space="0" w:color="auto"/>
            </w:tcBorders>
            <w:shd w:val="clear" w:color="auto" w:fill="auto"/>
            <w:noWrap/>
            <w:vAlign w:val="bottom"/>
            <w:hideMark/>
          </w:tcPr>
          <w:p w14:paraId="0B23C638"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1125</w:t>
            </w:r>
          </w:p>
        </w:tc>
        <w:tc>
          <w:tcPr>
            <w:tcW w:w="1202" w:type="dxa"/>
            <w:gridSpan w:val="2"/>
            <w:tcBorders>
              <w:top w:val="nil"/>
              <w:left w:val="nil"/>
              <w:bottom w:val="single" w:sz="4" w:space="0" w:color="auto"/>
              <w:right w:val="single" w:sz="4" w:space="0" w:color="auto"/>
            </w:tcBorders>
            <w:shd w:val="clear" w:color="auto" w:fill="auto"/>
            <w:noWrap/>
            <w:vAlign w:val="bottom"/>
            <w:hideMark/>
          </w:tcPr>
          <w:p w14:paraId="76781B3F"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750</w:t>
            </w:r>
          </w:p>
        </w:tc>
      </w:tr>
      <w:tr w:rsidR="00150C90" w:rsidRPr="00B004EE" w14:paraId="08B87D03" w14:textId="77777777" w:rsidTr="00094B74">
        <w:trPr>
          <w:cantSplit/>
          <w:trHeight w:val="57"/>
          <w:jc w:val="center"/>
        </w:trPr>
        <w:tc>
          <w:tcPr>
            <w:tcW w:w="1392" w:type="dxa"/>
            <w:vMerge/>
            <w:tcBorders>
              <w:top w:val="nil"/>
              <w:left w:val="single" w:sz="4" w:space="0" w:color="auto"/>
              <w:bottom w:val="single" w:sz="4" w:space="0" w:color="000000"/>
              <w:right w:val="single" w:sz="4" w:space="0" w:color="auto"/>
            </w:tcBorders>
            <w:vAlign w:val="center"/>
            <w:hideMark/>
          </w:tcPr>
          <w:p w14:paraId="1AB5757D" w14:textId="77777777" w:rsidR="00094B74" w:rsidRPr="00B004EE" w:rsidRDefault="00094B74" w:rsidP="00B004EE">
            <w:pPr>
              <w:rPr>
                <w:rFonts w:ascii="Tahoma" w:hAnsi="Tahoma" w:cs="Tahoma"/>
                <w:b/>
                <w:bCs/>
                <w:sz w:val="20"/>
                <w:szCs w:val="20"/>
              </w:rPr>
            </w:pPr>
          </w:p>
        </w:tc>
        <w:tc>
          <w:tcPr>
            <w:tcW w:w="1624" w:type="dxa"/>
            <w:vMerge/>
            <w:tcBorders>
              <w:top w:val="nil"/>
              <w:left w:val="single" w:sz="4" w:space="0" w:color="auto"/>
              <w:bottom w:val="single" w:sz="4" w:space="0" w:color="000000"/>
              <w:right w:val="single" w:sz="4" w:space="0" w:color="auto"/>
            </w:tcBorders>
            <w:vAlign w:val="center"/>
            <w:hideMark/>
          </w:tcPr>
          <w:p w14:paraId="3E6902C5" w14:textId="77777777" w:rsidR="00094B74" w:rsidRPr="00B004EE" w:rsidRDefault="00094B74" w:rsidP="00B004EE">
            <w:pPr>
              <w:rPr>
                <w:rFonts w:ascii="Tahoma" w:hAnsi="Tahoma" w:cs="Tahoma"/>
                <w:b/>
                <w:bCs/>
                <w:sz w:val="20"/>
                <w:szCs w:val="20"/>
              </w:rPr>
            </w:pPr>
          </w:p>
        </w:tc>
        <w:tc>
          <w:tcPr>
            <w:tcW w:w="4072" w:type="dxa"/>
            <w:gridSpan w:val="2"/>
            <w:tcBorders>
              <w:top w:val="nil"/>
              <w:left w:val="nil"/>
              <w:bottom w:val="single" w:sz="4" w:space="0" w:color="auto"/>
              <w:right w:val="single" w:sz="4" w:space="0" w:color="auto"/>
            </w:tcBorders>
            <w:shd w:val="clear" w:color="auto" w:fill="auto"/>
            <w:noWrap/>
            <w:vAlign w:val="bottom"/>
            <w:hideMark/>
          </w:tcPr>
          <w:p w14:paraId="5D9C088C" w14:textId="77777777" w:rsidR="00094B74" w:rsidRPr="00B004EE" w:rsidRDefault="00094B74" w:rsidP="00B004EE">
            <w:pPr>
              <w:rPr>
                <w:rFonts w:ascii="Tahoma" w:hAnsi="Tahoma" w:cs="Tahoma"/>
                <w:sz w:val="20"/>
                <w:szCs w:val="20"/>
              </w:rPr>
            </w:pPr>
            <w:r w:rsidRPr="00B004EE">
              <w:rPr>
                <w:rFonts w:ascii="Tahoma" w:hAnsi="Tahoma" w:cs="Tahoma"/>
                <w:sz w:val="20"/>
                <w:szCs w:val="20"/>
              </w:rPr>
              <w:t>Zn</w:t>
            </w:r>
          </w:p>
        </w:tc>
        <w:tc>
          <w:tcPr>
            <w:tcW w:w="1559" w:type="dxa"/>
            <w:gridSpan w:val="2"/>
            <w:tcBorders>
              <w:top w:val="nil"/>
              <w:left w:val="nil"/>
              <w:bottom w:val="single" w:sz="4" w:space="0" w:color="auto"/>
              <w:right w:val="single" w:sz="4" w:space="0" w:color="auto"/>
            </w:tcBorders>
            <w:shd w:val="clear" w:color="auto" w:fill="auto"/>
            <w:noWrap/>
            <w:vAlign w:val="bottom"/>
            <w:hideMark/>
          </w:tcPr>
          <w:p w14:paraId="4600B98D"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1125</w:t>
            </w:r>
          </w:p>
        </w:tc>
        <w:tc>
          <w:tcPr>
            <w:tcW w:w="1202" w:type="dxa"/>
            <w:gridSpan w:val="2"/>
            <w:tcBorders>
              <w:top w:val="nil"/>
              <w:left w:val="nil"/>
              <w:bottom w:val="single" w:sz="4" w:space="0" w:color="auto"/>
              <w:right w:val="single" w:sz="4" w:space="0" w:color="auto"/>
            </w:tcBorders>
            <w:shd w:val="clear" w:color="auto" w:fill="auto"/>
            <w:noWrap/>
            <w:vAlign w:val="bottom"/>
            <w:hideMark/>
          </w:tcPr>
          <w:p w14:paraId="24DB3622"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750</w:t>
            </w:r>
          </w:p>
        </w:tc>
      </w:tr>
      <w:tr w:rsidR="00150C90" w:rsidRPr="00B004EE" w14:paraId="5BB5C57D" w14:textId="77777777" w:rsidTr="00094B74">
        <w:trPr>
          <w:cantSplit/>
          <w:trHeight w:val="57"/>
          <w:jc w:val="center"/>
        </w:trPr>
        <w:tc>
          <w:tcPr>
            <w:tcW w:w="1392" w:type="dxa"/>
            <w:vMerge/>
            <w:tcBorders>
              <w:top w:val="nil"/>
              <w:left w:val="single" w:sz="4" w:space="0" w:color="auto"/>
              <w:bottom w:val="single" w:sz="4" w:space="0" w:color="000000"/>
              <w:right w:val="single" w:sz="4" w:space="0" w:color="auto"/>
            </w:tcBorders>
            <w:vAlign w:val="center"/>
            <w:hideMark/>
          </w:tcPr>
          <w:p w14:paraId="28A09A95" w14:textId="77777777" w:rsidR="00094B74" w:rsidRPr="00B004EE" w:rsidRDefault="00094B74" w:rsidP="00B004EE">
            <w:pPr>
              <w:rPr>
                <w:rFonts w:ascii="Tahoma" w:hAnsi="Tahoma" w:cs="Tahoma"/>
                <w:b/>
                <w:bCs/>
                <w:sz w:val="20"/>
                <w:szCs w:val="20"/>
              </w:rPr>
            </w:pPr>
          </w:p>
        </w:tc>
        <w:tc>
          <w:tcPr>
            <w:tcW w:w="1624" w:type="dxa"/>
            <w:vMerge/>
            <w:tcBorders>
              <w:top w:val="nil"/>
              <w:left w:val="single" w:sz="4" w:space="0" w:color="auto"/>
              <w:bottom w:val="single" w:sz="4" w:space="0" w:color="000000"/>
              <w:right w:val="single" w:sz="4" w:space="0" w:color="auto"/>
            </w:tcBorders>
            <w:vAlign w:val="center"/>
            <w:hideMark/>
          </w:tcPr>
          <w:p w14:paraId="34570C56" w14:textId="77777777" w:rsidR="00094B74" w:rsidRPr="00B004EE" w:rsidRDefault="00094B74" w:rsidP="00B004EE">
            <w:pPr>
              <w:rPr>
                <w:rFonts w:ascii="Tahoma" w:hAnsi="Tahoma" w:cs="Tahoma"/>
                <w:b/>
                <w:bCs/>
                <w:sz w:val="20"/>
                <w:szCs w:val="20"/>
              </w:rPr>
            </w:pPr>
          </w:p>
        </w:tc>
        <w:tc>
          <w:tcPr>
            <w:tcW w:w="4072" w:type="dxa"/>
            <w:gridSpan w:val="2"/>
            <w:tcBorders>
              <w:top w:val="nil"/>
              <w:left w:val="nil"/>
              <w:bottom w:val="single" w:sz="4" w:space="0" w:color="auto"/>
              <w:right w:val="single" w:sz="4" w:space="0" w:color="auto"/>
            </w:tcBorders>
            <w:shd w:val="clear" w:color="auto" w:fill="auto"/>
            <w:noWrap/>
            <w:vAlign w:val="bottom"/>
            <w:hideMark/>
          </w:tcPr>
          <w:p w14:paraId="0A8120A7" w14:textId="77777777" w:rsidR="00094B74" w:rsidRPr="00B004EE" w:rsidRDefault="00094B74" w:rsidP="00B004EE">
            <w:pPr>
              <w:rPr>
                <w:rFonts w:ascii="Tahoma" w:hAnsi="Tahoma" w:cs="Tahoma"/>
                <w:sz w:val="20"/>
                <w:szCs w:val="20"/>
              </w:rPr>
            </w:pPr>
            <w:r w:rsidRPr="00B004EE">
              <w:rPr>
                <w:rFonts w:ascii="Tahoma" w:hAnsi="Tahoma" w:cs="Tahoma"/>
                <w:sz w:val="20"/>
                <w:szCs w:val="20"/>
              </w:rPr>
              <w:t>Cr</w:t>
            </w:r>
          </w:p>
        </w:tc>
        <w:tc>
          <w:tcPr>
            <w:tcW w:w="1559" w:type="dxa"/>
            <w:gridSpan w:val="2"/>
            <w:tcBorders>
              <w:top w:val="nil"/>
              <w:left w:val="nil"/>
              <w:bottom w:val="single" w:sz="4" w:space="0" w:color="auto"/>
              <w:right w:val="single" w:sz="4" w:space="0" w:color="auto"/>
            </w:tcBorders>
            <w:shd w:val="clear" w:color="auto" w:fill="auto"/>
            <w:noWrap/>
            <w:vAlign w:val="bottom"/>
            <w:hideMark/>
          </w:tcPr>
          <w:p w14:paraId="16CE5F3E"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1125</w:t>
            </w:r>
          </w:p>
        </w:tc>
        <w:tc>
          <w:tcPr>
            <w:tcW w:w="1202" w:type="dxa"/>
            <w:gridSpan w:val="2"/>
            <w:tcBorders>
              <w:top w:val="nil"/>
              <w:left w:val="nil"/>
              <w:bottom w:val="single" w:sz="4" w:space="0" w:color="auto"/>
              <w:right w:val="single" w:sz="4" w:space="0" w:color="auto"/>
            </w:tcBorders>
            <w:shd w:val="clear" w:color="auto" w:fill="auto"/>
            <w:noWrap/>
            <w:vAlign w:val="bottom"/>
            <w:hideMark/>
          </w:tcPr>
          <w:p w14:paraId="06288653"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750</w:t>
            </w:r>
          </w:p>
        </w:tc>
      </w:tr>
      <w:tr w:rsidR="00150C90" w:rsidRPr="00B004EE" w14:paraId="2C6AB7F3" w14:textId="77777777" w:rsidTr="00094B74">
        <w:trPr>
          <w:cantSplit/>
          <w:trHeight w:val="57"/>
          <w:jc w:val="center"/>
        </w:trPr>
        <w:tc>
          <w:tcPr>
            <w:tcW w:w="1392" w:type="dxa"/>
            <w:vMerge/>
            <w:tcBorders>
              <w:top w:val="nil"/>
              <w:left w:val="single" w:sz="4" w:space="0" w:color="auto"/>
              <w:bottom w:val="single" w:sz="4" w:space="0" w:color="000000"/>
              <w:right w:val="single" w:sz="4" w:space="0" w:color="auto"/>
            </w:tcBorders>
            <w:vAlign w:val="center"/>
            <w:hideMark/>
          </w:tcPr>
          <w:p w14:paraId="6766341C" w14:textId="77777777" w:rsidR="00094B74" w:rsidRPr="00B004EE" w:rsidRDefault="00094B74" w:rsidP="00B004EE">
            <w:pPr>
              <w:rPr>
                <w:rFonts w:ascii="Tahoma" w:hAnsi="Tahoma" w:cs="Tahoma"/>
                <w:b/>
                <w:bCs/>
                <w:sz w:val="20"/>
                <w:szCs w:val="20"/>
              </w:rPr>
            </w:pPr>
          </w:p>
        </w:tc>
        <w:tc>
          <w:tcPr>
            <w:tcW w:w="1624" w:type="dxa"/>
            <w:vMerge/>
            <w:tcBorders>
              <w:top w:val="nil"/>
              <w:left w:val="single" w:sz="4" w:space="0" w:color="auto"/>
              <w:bottom w:val="single" w:sz="4" w:space="0" w:color="000000"/>
              <w:right w:val="single" w:sz="4" w:space="0" w:color="auto"/>
            </w:tcBorders>
            <w:vAlign w:val="center"/>
            <w:hideMark/>
          </w:tcPr>
          <w:p w14:paraId="56E9FEFF" w14:textId="77777777" w:rsidR="00094B74" w:rsidRPr="00B004EE" w:rsidRDefault="00094B74" w:rsidP="00B004EE">
            <w:pPr>
              <w:rPr>
                <w:rFonts w:ascii="Tahoma" w:hAnsi="Tahoma" w:cs="Tahoma"/>
                <w:b/>
                <w:bCs/>
                <w:sz w:val="20"/>
                <w:szCs w:val="20"/>
              </w:rPr>
            </w:pPr>
          </w:p>
        </w:tc>
        <w:tc>
          <w:tcPr>
            <w:tcW w:w="4072" w:type="dxa"/>
            <w:gridSpan w:val="2"/>
            <w:tcBorders>
              <w:top w:val="nil"/>
              <w:left w:val="nil"/>
              <w:bottom w:val="single" w:sz="4" w:space="0" w:color="auto"/>
              <w:right w:val="single" w:sz="4" w:space="0" w:color="auto"/>
            </w:tcBorders>
            <w:shd w:val="clear" w:color="auto" w:fill="auto"/>
            <w:noWrap/>
            <w:vAlign w:val="bottom"/>
            <w:hideMark/>
          </w:tcPr>
          <w:p w14:paraId="69E85AE5" w14:textId="77777777" w:rsidR="00094B74" w:rsidRPr="00B004EE" w:rsidRDefault="00094B74" w:rsidP="00B004EE">
            <w:pPr>
              <w:rPr>
                <w:rFonts w:ascii="Tahoma" w:hAnsi="Tahoma" w:cs="Tahoma"/>
                <w:sz w:val="20"/>
                <w:szCs w:val="20"/>
              </w:rPr>
            </w:pPr>
            <w:r w:rsidRPr="00B004EE">
              <w:rPr>
                <w:rFonts w:ascii="Tahoma" w:hAnsi="Tahoma" w:cs="Tahoma"/>
                <w:sz w:val="20"/>
                <w:szCs w:val="20"/>
              </w:rPr>
              <w:t>Cu</w:t>
            </w:r>
          </w:p>
        </w:tc>
        <w:tc>
          <w:tcPr>
            <w:tcW w:w="1559" w:type="dxa"/>
            <w:gridSpan w:val="2"/>
            <w:tcBorders>
              <w:top w:val="nil"/>
              <w:left w:val="nil"/>
              <w:bottom w:val="single" w:sz="4" w:space="0" w:color="auto"/>
              <w:right w:val="single" w:sz="4" w:space="0" w:color="auto"/>
            </w:tcBorders>
            <w:shd w:val="clear" w:color="auto" w:fill="auto"/>
            <w:noWrap/>
            <w:vAlign w:val="bottom"/>
            <w:hideMark/>
          </w:tcPr>
          <w:p w14:paraId="11F3F05D"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1125</w:t>
            </w:r>
          </w:p>
        </w:tc>
        <w:tc>
          <w:tcPr>
            <w:tcW w:w="1202" w:type="dxa"/>
            <w:gridSpan w:val="2"/>
            <w:tcBorders>
              <w:top w:val="nil"/>
              <w:left w:val="nil"/>
              <w:bottom w:val="single" w:sz="4" w:space="0" w:color="auto"/>
              <w:right w:val="single" w:sz="4" w:space="0" w:color="auto"/>
            </w:tcBorders>
            <w:shd w:val="clear" w:color="auto" w:fill="auto"/>
            <w:noWrap/>
            <w:vAlign w:val="bottom"/>
            <w:hideMark/>
          </w:tcPr>
          <w:p w14:paraId="5658EC36"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750</w:t>
            </w:r>
          </w:p>
        </w:tc>
      </w:tr>
      <w:tr w:rsidR="00150C90" w:rsidRPr="00B004EE" w14:paraId="584F1E4B" w14:textId="77777777" w:rsidTr="00094B74">
        <w:trPr>
          <w:cantSplit/>
          <w:trHeight w:val="57"/>
          <w:jc w:val="center"/>
        </w:trPr>
        <w:tc>
          <w:tcPr>
            <w:tcW w:w="1392" w:type="dxa"/>
            <w:vMerge/>
            <w:tcBorders>
              <w:top w:val="nil"/>
              <w:left w:val="single" w:sz="4" w:space="0" w:color="auto"/>
              <w:bottom w:val="single" w:sz="4" w:space="0" w:color="000000"/>
              <w:right w:val="single" w:sz="4" w:space="0" w:color="auto"/>
            </w:tcBorders>
            <w:vAlign w:val="center"/>
            <w:hideMark/>
          </w:tcPr>
          <w:p w14:paraId="151FA113" w14:textId="77777777" w:rsidR="00094B74" w:rsidRPr="00B004EE" w:rsidRDefault="00094B74" w:rsidP="00B004EE">
            <w:pPr>
              <w:rPr>
                <w:rFonts w:ascii="Tahoma" w:hAnsi="Tahoma" w:cs="Tahoma"/>
                <w:b/>
                <w:bCs/>
                <w:sz w:val="20"/>
                <w:szCs w:val="20"/>
              </w:rPr>
            </w:pPr>
          </w:p>
        </w:tc>
        <w:tc>
          <w:tcPr>
            <w:tcW w:w="1624" w:type="dxa"/>
            <w:vMerge/>
            <w:tcBorders>
              <w:top w:val="nil"/>
              <w:left w:val="single" w:sz="4" w:space="0" w:color="auto"/>
              <w:bottom w:val="single" w:sz="4" w:space="0" w:color="000000"/>
              <w:right w:val="single" w:sz="4" w:space="0" w:color="auto"/>
            </w:tcBorders>
            <w:vAlign w:val="center"/>
            <w:hideMark/>
          </w:tcPr>
          <w:p w14:paraId="7973076D" w14:textId="77777777" w:rsidR="00094B74" w:rsidRPr="00B004EE" w:rsidRDefault="00094B74" w:rsidP="00B004EE">
            <w:pPr>
              <w:rPr>
                <w:rFonts w:ascii="Tahoma" w:hAnsi="Tahoma" w:cs="Tahoma"/>
                <w:b/>
                <w:bCs/>
                <w:sz w:val="20"/>
                <w:szCs w:val="20"/>
              </w:rPr>
            </w:pPr>
          </w:p>
        </w:tc>
        <w:tc>
          <w:tcPr>
            <w:tcW w:w="4072" w:type="dxa"/>
            <w:gridSpan w:val="2"/>
            <w:tcBorders>
              <w:top w:val="nil"/>
              <w:left w:val="nil"/>
              <w:bottom w:val="single" w:sz="4" w:space="0" w:color="auto"/>
              <w:right w:val="single" w:sz="4" w:space="0" w:color="auto"/>
            </w:tcBorders>
            <w:shd w:val="clear" w:color="auto" w:fill="auto"/>
            <w:noWrap/>
            <w:vAlign w:val="bottom"/>
            <w:hideMark/>
          </w:tcPr>
          <w:p w14:paraId="4CF0E346" w14:textId="77777777" w:rsidR="00094B74" w:rsidRPr="00B004EE" w:rsidRDefault="00094B74" w:rsidP="00B004EE">
            <w:pPr>
              <w:rPr>
                <w:rFonts w:ascii="Tahoma" w:hAnsi="Tahoma" w:cs="Tahoma"/>
                <w:sz w:val="20"/>
                <w:szCs w:val="20"/>
              </w:rPr>
            </w:pPr>
            <w:r w:rsidRPr="00B004EE">
              <w:rPr>
                <w:rFonts w:ascii="Tahoma" w:hAnsi="Tahoma" w:cs="Tahoma"/>
                <w:sz w:val="20"/>
                <w:szCs w:val="20"/>
              </w:rPr>
              <w:t>Cd</w:t>
            </w:r>
          </w:p>
        </w:tc>
        <w:tc>
          <w:tcPr>
            <w:tcW w:w="1559" w:type="dxa"/>
            <w:gridSpan w:val="2"/>
            <w:tcBorders>
              <w:top w:val="nil"/>
              <w:left w:val="nil"/>
              <w:bottom w:val="single" w:sz="4" w:space="0" w:color="auto"/>
              <w:right w:val="single" w:sz="4" w:space="0" w:color="auto"/>
            </w:tcBorders>
            <w:shd w:val="clear" w:color="auto" w:fill="auto"/>
            <w:noWrap/>
            <w:vAlign w:val="bottom"/>
            <w:hideMark/>
          </w:tcPr>
          <w:p w14:paraId="504BC5E0"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1560</w:t>
            </w:r>
          </w:p>
        </w:tc>
        <w:tc>
          <w:tcPr>
            <w:tcW w:w="1202" w:type="dxa"/>
            <w:gridSpan w:val="2"/>
            <w:tcBorders>
              <w:top w:val="nil"/>
              <w:left w:val="nil"/>
              <w:bottom w:val="single" w:sz="4" w:space="0" w:color="auto"/>
              <w:right w:val="single" w:sz="4" w:space="0" w:color="auto"/>
            </w:tcBorders>
            <w:shd w:val="clear" w:color="auto" w:fill="auto"/>
            <w:noWrap/>
            <w:vAlign w:val="bottom"/>
            <w:hideMark/>
          </w:tcPr>
          <w:p w14:paraId="05F30D3A"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850</w:t>
            </w:r>
          </w:p>
        </w:tc>
      </w:tr>
      <w:tr w:rsidR="00150C90" w:rsidRPr="00B004EE" w14:paraId="4F667CAA" w14:textId="77777777" w:rsidTr="00094B74">
        <w:trPr>
          <w:cantSplit/>
          <w:trHeight w:val="57"/>
          <w:jc w:val="center"/>
        </w:trPr>
        <w:tc>
          <w:tcPr>
            <w:tcW w:w="1392" w:type="dxa"/>
            <w:vMerge/>
            <w:tcBorders>
              <w:top w:val="nil"/>
              <w:left w:val="single" w:sz="4" w:space="0" w:color="auto"/>
              <w:bottom w:val="single" w:sz="4" w:space="0" w:color="000000"/>
              <w:right w:val="single" w:sz="4" w:space="0" w:color="auto"/>
            </w:tcBorders>
            <w:vAlign w:val="center"/>
            <w:hideMark/>
          </w:tcPr>
          <w:p w14:paraId="6E4A143C" w14:textId="77777777" w:rsidR="00094B74" w:rsidRPr="00B004EE" w:rsidRDefault="00094B74" w:rsidP="00B004EE">
            <w:pPr>
              <w:rPr>
                <w:rFonts w:ascii="Tahoma" w:hAnsi="Tahoma" w:cs="Tahoma"/>
                <w:b/>
                <w:bCs/>
                <w:sz w:val="20"/>
                <w:szCs w:val="20"/>
              </w:rPr>
            </w:pPr>
          </w:p>
        </w:tc>
        <w:tc>
          <w:tcPr>
            <w:tcW w:w="1624" w:type="dxa"/>
            <w:vMerge/>
            <w:tcBorders>
              <w:top w:val="nil"/>
              <w:left w:val="single" w:sz="4" w:space="0" w:color="auto"/>
              <w:bottom w:val="single" w:sz="4" w:space="0" w:color="000000"/>
              <w:right w:val="single" w:sz="4" w:space="0" w:color="auto"/>
            </w:tcBorders>
            <w:vAlign w:val="center"/>
            <w:hideMark/>
          </w:tcPr>
          <w:p w14:paraId="2AF73EB4" w14:textId="77777777" w:rsidR="00094B74" w:rsidRPr="00B004EE" w:rsidRDefault="00094B74" w:rsidP="00B004EE">
            <w:pPr>
              <w:rPr>
                <w:rFonts w:ascii="Tahoma" w:hAnsi="Tahoma" w:cs="Tahoma"/>
                <w:b/>
                <w:bCs/>
                <w:sz w:val="20"/>
                <w:szCs w:val="20"/>
              </w:rPr>
            </w:pPr>
          </w:p>
        </w:tc>
        <w:tc>
          <w:tcPr>
            <w:tcW w:w="4072" w:type="dxa"/>
            <w:gridSpan w:val="2"/>
            <w:tcBorders>
              <w:top w:val="nil"/>
              <w:left w:val="nil"/>
              <w:bottom w:val="single" w:sz="4" w:space="0" w:color="auto"/>
              <w:right w:val="single" w:sz="4" w:space="0" w:color="auto"/>
            </w:tcBorders>
            <w:shd w:val="clear" w:color="auto" w:fill="auto"/>
            <w:noWrap/>
            <w:vAlign w:val="bottom"/>
            <w:hideMark/>
          </w:tcPr>
          <w:p w14:paraId="6A2D516F" w14:textId="77777777" w:rsidR="00094B74" w:rsidRPr="00B004EE" w:rsidRDefault="00094B74" w:rsidP="00B004EE">
            <w:pPr>
              <w:rPr>
                <w:rFonts w:ascii="Tahoma" w:hAnsi="Tahoma" w:cs="Tahoma"/>
                <w:sz w:val="20"/>
                <w:szCs w:val="20"/>
              </w:rPr>
            </w:pPr>
            <w:r w:rsidRPr="00B004EE">
              <w:rPr>
                <w:rFonts w:ascii="Tahoma" w:hAnsi="Tahoma" w:cs="Tahoma"/>
                <w:sz w:val="20"/>
                <w:szCs w:val="20"/>
              </w:rPr>
              <w:t>Pb</w:t>
            </w:r>
          </w:p>
        </w:tc>
        <w:tc>
          <w:tcPr>
            <w:tcW w:w="1559" w:type="dxa"/>
            <w:gridSpan w:val="2"/>
            <w:tcBorders>
              <w:top w:val="nil"/>
              <w:left w:val="nil"/>
              <w:bottom w:val="single" w:sz="4" w:space="0" w:color="auto"/>
              <w:right w:val="single" w:sz="4" w:space="0" w:color="auto"/>
            </w:tcBorders>
            <w:shd w:val="clear" w:color="auto" w:fill="auto"/>
            <w:noWrap/>
            <w:vAlign w:val="bottom"/>
            <w:hideMark/>
          </w:tcPr>
          <w:p w14:paraId="679A0B8E"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1560</w:t>
            </w:r>
          </w:p>
        </w:tc>
        <w:tc>
          <w:tcPr>
            <w:tcW w:w="1202" w:type="dxa"/>
            <w:gridSpan w:val="2"/>
            <w:tcBorders>
              <w:top w:val="nil"/>
              <w:left w:val="nil"/>
              <w:bottom w:val="single" w:sz="4" w:space="0" w:color="auto"/>
              <w:right w:val="single" w:sz="4" w:space="0" w:color="auto"/>
            </w:tcBorders>
            <w:shd w:val="clear" w:color="auto" w:fill="auto"/>
            <w:noWrap/>
            <w:vAlign w:val="bottom"/>
            <w:hideMark/>
          </w:tcPr>
          <w:p w14:paraId="1BBA2692"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850</w:t>
            </w:r>
          </w:p>
        </w:tc>
      </w:tr>
      <w:tr w:rsidR="00150C90" w:rsidRPr="00B004EE" w14:paraId="46BBDD0B" w14:textId="77777777" w:rsidTr="00094B74">
        <w:trPr>
          <w:cantSplit/>
          <w:trHeight w:val="57"/>
          <w:jc w:val="center"/>
        </w:trPr>
        <w:tc>
          <w:tcPr>
            <w:tcW w:w="1392" w:type="dxa"/>
            <w:vMerge/>
            <w:tcBorders>
              <w:top w:val="nil"/>
              <w:left w:val="single" w:sz="4" w:space="0" w:color="auto"/>
              <w:bottom w:val="single" w:sz="4" w:space="0" w:color="000000"/>
              <w:right w:val="single" w:sz="4" w:space="0" w:color="auto"/>
            </w:tcBorders>
            <w:vAlign w:val="center"/>
            <w:hideMark/>
          </w:tcPr>
          <w:p w14:paraId="29C9667E" w14:textId="77777777" w:rsidR="00094B74" w:rsidRPr="00B004EE" w:rsidRDefault="00094B74" w:rsidP="00B004EE">
            <w:pPr>
              <w:rPr>
                <w:rFonts w:ascii="Tahoma" w:hAnsi="Tahoma" w:cs="Tahoma"/>
                <w:b/>
                <w:bCs/>
                <w:sz w:val="20"/>
                <w:szCs w:val="20"/>
              </w:rPr>
            </w:pPr>
          </w:p>
        </w:tc>
        <w:tc>
          <w:tcPr>
            <w:tcW w:w="1624" w:type="dxa"/>
            <w:vMerge/>
            <w:tcBorders>
              <w:top w:val="nil"/>
              <w:left w:val="single" w:sz="4" w:space="0" w:color="auto"/>
              <w:bottom w:val="single" w:sz="4" w:space="0" w:color="000000"/>
              <w:right w:val="single" w:sz="4" w:space="0" w:color="auto"/>
            </w:tcBorders>
            <w:vAlign w:val="center"/>
            <w:hideMark/>
          </w:tcPr>
          <w:p w14:paraId="2E6DB65B" w14:textId="77777777" w:rsidR="00094B74" w:rsidRPr="00B004EE" w:rsidRDefault="00094B74" w:rsidP="00B004EE">
            <w:pPr>
              <w:rPr>
                <w:rFonts w:ascii="Tahoma" w:hAnsi="Tahoma" w:cs="Tahoma"/>
                <w:b/>
                <w:bCs/>
                <w:sz w:val="20"/>
                <w:szCs w:val="20"/>
              </w:rPr>
            </w:pPr>
          </w:p>
        </w:tc>
        <w:tc>
          <w:tcPr>
            <w:tcW w:w="4072" w:type="dxa"/>
            <w:gridSpan w:val="2"/>
            <w:tcBorders>
              <w:top w:val="nil"/>
              <w:left w:val="nil"/>
              <w:bottom w:val="single" w:sz="4" w:space="0" w:color="auto"/>
              <w:right w:val="single" w:sz="4" w:space="0" w:color="auto"/>
            </w:tcBorders>
            <w:shd w:val="clear" w:color="auto" w:fill="auto"/>
            <w:noWrap/>
            <w:vAlign w:val="bottom"/>
            <w:hideMark/>
          </w:tcPr>
          <w:p w14:paraId="41F99EF2" w14:textId="77777777" w:rsidR="00094B74" w:rsidRPr="00B004EE" w:rsidRDefault="00094B74" w:rsidP="00B004EE">
            <w:pPr>
              <w:rPr>
                <w:rFonts w:ascii="Tahoma" w:hAnsi="Tahoma" w:cs="Tahoma"/>
                <w:sz w:val="20"/>
                <w:szCs w:val="20"/>
              </w:rPr>
            </w:pPr>
            <w:r w:rsidRPr="00B004EE">
              <w:rPr>
                <w:rFonts w:ascii="Tahoma" w:hAnsi="Tahoma" w:cs="Tahoma"/>
                <w:sz w:val="20"/>
                <w:szCs w:val="20"/>
              </w:rPr>
              <w:t>Hg</w:t>
            </w:r>
          </w:p>
        </w:tc>
        <w:tc>
          <w:tcPr>
            <w:tcW w:w="1559" w:type="dxa"/>
            <w:gridSpan w:val="2"/>
            <w:tcBorders>
              <w:top w:val="nil"/>
              <w:left w:val="nil"/>
              <w:bottom w:val="single" w:sz="4" w:space="0" w:color="auto"/>
              <w:right w:val="single" w:sz="4" w:space="0" w:color="auto"/>
            </w:tcBorders>
            <w:shd w:val="clear" w:color="auto" w:fill="auto"/>
            <w:noWrap/>
            <w:vAlign w:val="bottom"/>
            <w:hideMark/>
          </w:tcPr>
          <w:p w14:paraId="2053743F"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1560</w:t>
            </w:r>
          </w:p>
        </w:tc>
        <w:tc>
          <w:tcPr>
            <w:tcW w:w="1202" w:type="dxa"/>
            <w:gridSpan w:val="2"/>
            <w:tcBorders>
              <w:top w:val="nil"/>
              <w:left w:val="nil"/>
              <w:bottom w:val="single" w:sz="4" w:space="0" w:color="auto"/>
              <w:right w:val="single" w:sz="4" w:space="0" w:color="auto"/>
            </w:tcBorders>
            <w:shd w:val="clear" w:color="auto" w:fill="auto"/>
            <w:noWrap/>
            <w:vAlign w:val="bottom"/>
            <w:hideMark/>
          </w:tcPr>
          <w:p w14:paraId="3C9F4F8E"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850</w:t>
            </w:r>
          </w:p>
        </w:tc>
      </w:tr>
      <w:tr w:rsidR="00150C90" w:rsidRPr="00B004EE" w14:paraId="33B6A8A7" w14:textId="77777777" w:rsidTr="00094B74">
        <w:trPr>
          <w:cantSplit/>
          <w:trHeight w:val="57"/>
          <w:jc w:val="center"/>
        </w:trPr>
        <w:tc>
          <w:tcPr>
            <w:tcW w:w="1392" w:type="dxa"/>
            <w:vMerge/>
            <w:tcBorders>
              <w:top w:val="nil"/>
              <w:left w:val="single" w:sz="4" w:space="0" w:color="auto"/>
              <w:bottom w:val="single" w:sz="4" w:space="0" w:color="000000"/>
              <w:right w:val="single" w:sz="4" w:space="0" w:color="auto"/>
            </w:tcBorders>
            <w:vAlign w:val="center"/>
            <w:hideMark/>
          </w:tcPr>
          <w:p w14:paraId="301BBC66" w14:textId="77777777" w:rsidR="00094B74" w:rsidRPr="00B004EE" w:rsidRDefault="00094B74" w:rsidP="00B004EE">
            <w:pPr>
              <w:rPr>
                <w:rFonts w:ascii="Tahoma" w:hAnsi="Tahoma" w:cs="Tahoma"/>
                <w:b/>
                <w:bCs/>
                <w:sz w:val="20"/>
                <w:szCs w:val="20"/>
              </w:rPr>
            </w:pPr>
          </w:p>
        </w:tc>
        <w:tc>
          <w:tcPr>
            <w:tcW w:w="1624" w:type="dxa"/>
            <w:vMerge/>
            <w:tcBorders>
              <w:top w:val="nil"/>
              <w:left w:val="single" w:sz="4" w:space="0" w:color="auto"/>
              <w:bottom w:val="single" w:sz="4" w:space="0" w:color="000000"/>
              <w:right w:val="single" w:sz="4" w:space="0" w:color="auto"/>
            </w:tcBorders>
            <w:vAlign w:val="center"/>
            <w:hideMark/>
          </w:tcPr>
          <w:p w14:paraId="331760E2" w14:textId="77777777" w:rsidR="00094B74" w:rsidRPr="00B004EE" w:rsidRDefault="00094B74" w:rsidP="00B004EE">
            <w:pPr>
              <w:rPr>
                <w:rFonts w:ascii="Tahoma" w:hAnsi="Tahoma" w:cs="Tahoma"/>
                <w:b/>
                <w:bCs/>
                <w:sz w:val="20"/>
                <w:szCs w:val="20"/>
              </w:rPr>
            </w:pPr>
          </w:p>
        </w:tc>
        <w:tc>
          <w:tcPr>
            <w:tcW w:w="4072" w:type="dxa"/>
            <w:gridSpan w:val="2"/>
            <w:tcBorders>
              <w:top w:val="nil"/>
              <w:left w:val="nil"/>
              <w:bottom w:val="single" w:sz="4" w:space="0" w:color="auto"/>
              <w:right w:val="single" w:sz="4" w:space="0" w:color="auto"/>
            </w:tcBorders>
            <w:shd w:val="clear" w:color="auto" w:fill="auto"/>
            <w:noWrap/>
            <w:vAlign w:val="bottom"/>
            <w:hideMark/>
          </w:tcPr>
          <w:p w14:paraId="22EC910D" w14:textId="77777777" w:rsidR="00094B74" w:rsidRPr="00B004EE" w:rsidRDefault="00094B74" w:rsidP="00B004EE">
            <w:pPr>
              <w:rPr>
                <w:rFonts w:ascii="Tahoma" w:hAnsi="Tahoma" w:cs="Tahoma"/>
                <w:sz w:val="20"/>
                <w:szCs w:val="20"/>
              </w:rPr>
            </w:pPr>
            <w:r w:rsidRPr="00B004EE">
              <w:rPr>
                <w:rFonts w:ascii="Tahoma" w:hAnsi="Tahoma" w:cs="Tahoma"/>
                <w:sz w:val="20"/>
                <w:szCs w:val="20"/>
              </w:rPr>
              <w:t>Ni</w:t>
            </w:r>
          </w:p>
        </w:tc>
        <w:tc>
          <w:tcPr>
            <w:tcW w:w="1559" w:type="dxa"/>
            <w:gridSpan w:val="2"/>
            <w:tcBorders>
              <w:top w:val="nil"/>
              <w:left w:val="nil"/>
              <w:bottom w:val="single" w:sz="4" w:space="0" w:color="auto"/>
              <w:right w:val="single" w:sz="4" w:space="0" w:color="auto"/>
            </w:tcBorders>
            <w:shd w:val="clear" w:color="auto" w:fill="auto"/>
            <w:noWrap/>
            <w:vAlign w:val="bottom"/>
            <w:hideMark/>
          </w:tcPr>
          <w:p w14:paraId="6885561E"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1125</w:t>
            </w:r>
          </w:p>
        </w:tc>
        <w:tc>
          <w:tcPr>
            <w:tcW w:w="1202" w:type="dxa"/>
            <w:gridSpan w:val="2"/>
            <w:tcBorders>
              <w:top w:val="nil"/>
              <w:left w:val="nil"/>
              <w:bottom w:val="single" w:sz="4" w:space="0" w:color="auto"/>
              <w:right w:val="single" w:sz="4" w:space="0" w:color="auto"/>
            </w:tcBorders>
            <w:shd w:val="clear" w:color="auto" w:fill="auto"/>
            <w:noWrap/>
            <w:vAlign w:val="bottom"/>
            <w:hideMark/>
          </w:tcPr>
          <w:p w14:paraId="5E45B827"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750</w:t>
            </w:r>
          </w:p>
        </w:tc>
      </w:tr>
      <w:tr w:rsidR="00150C90" w:rsidRPr="00B004EE" w14:paraId="600E6AE2" w14:textId="77777777" w:rsidTr="00094B74">
        <w:trPr>
          <w:cantSplit/>
          <w:trHeight w:val="57"/>
          <w:jc w:val="center"/>
        </w:trPr>
        <w:tc>
          <w:tcPr>
            <w:tcW w:w="1392" w:type="dxa"/>
            <w:vMerge/>
            <w:tcBorders>
              <w:top w:val="nil"/>
              <w:left w:val="single" w:sz="4" w:space="0" w:color="auto"/>
              <w:bottom w:val="single" w:sz="4" w:space="0" w:color="000000"/>
              <w:right w:val="single" w:sz="4" w:space="0" w:color="auto"/>
            </w:tcBorders>
            <w:vAlign w:val="center"/>
            <w:hideMark/>
          </w:tcPr>
          <w:p w14:paraId="0170EB82" w14:textId="77777777" w:rsidR="00094B74" w:rsidRPr="00B004EE" w:rsidRDefault="00094B74" w:rsidP="00B004EE">
            <w:pPr>
              <w:rPr>
                <w:rFonts w:ascii="Tahoma" w:hAnsi="Tahoma" w:cs="Tahoma"/>
                <w:b/>
                <w:bCs/>
                <w:sz w:val="20"/>
                <w:szCs w:val="20"/>
              </w:rPr>
            </w:pPr>
          </w:p>
        </w:tc>
        <w:tc>
          <w:tcPr>
            <w:tcW w:w="1624" w:type="dxa"/>
            <w:vMerge/>
            <w:tcBorders>
              <w:top w:val="nil"/>
              <w:left w:val="single" w:sz="4" w:space="0" w:color="auto"/>
              <w:bottom w:val="single" w:sz="4" w:space="0" w:color="000000"/>
              <w:right w:val="single" w:sz="4" w:space="0" w:color="auto"/>
            </w:tcBorders>
            <w:vAlign w:val="center"/>
            <w:hideMark/>
          </w:tcPr>
          <w:p w14:paraId="64078FB9" w14:textId="77777777" w:rsidR="00094B74" w:rsidRPr="00B004EE" w:rsidRDefault="00094B74" w:rsidP="00B004EE">
            <w:pPr>
              <w:rPr>
                <w:rFonts w:ascii="Tahoma" w:hAnsi="Tahoma" w:cs="Tahoma"/>
                <w:b/>
                <w:bCs/>
                <w:sz w:val="20"/>
                <w:szCs w:val="20"/>
              </w:rPr>
            </w:pPr>
          </w:p>
        </w:tc>
        <w:tc>
          <w:tcPr>
            <w:tcW w:w="4072" w:type="dxa"/>
            <w:gridSpan w:val="2"/>
            <w:tcBorders>
              <w:top w:val="nil"/>
              <w:left w:val="nil"/>
              <w:bottom w:val="single" w:sz="4" w:space="0" w:color="auto"/>
              <w:right w:val="single" w:sz="4" w:space="0" w:color="auto"/>
            </w:tcBorders>
            <w:shd w:val="clear" w:color="auto" w:fill="auto"/>
            <w:noWrap/>
            <w:vAlign w:val="bottom"/>
            <w:hideMark/>
          </w:tcPr>
          <w:p w14:paraId="1121A093" w14:textId="77777777" w:rsidR="00094B74" w:rsidRPr="00B004EE" w:rsidRDefault="00094B74" w:rsidP="00B004EE">
            <w:pPr>
              <w:rPr>
                <w:rFonts w:ascii="Tahoma" w:hAnsi="Tahoma" w:cs="Tahoma"/>
                <w:sz w:val="20"/>
                <w:szCs w:val="20"/>
              </w:rPr>
            </w:pPr>
            <w:r w:rsidRPr="00B004EE">
              <w:rPr>
                <w:rFonts w:ascii="Tahoma" w:hAnsi="Tahoma" w:cs="Tahoma"/>
                <w:sz w:val="20"/>
                <w:szCs w:val="20"/>
              </w:rPr>
              <w:t>Sulfure</w:t>
            </w:r>
          </w:p>
        </w:tc>
        <w:tc>
          <w:tcPr>
            <w:tcW w:w="1559" w:type="dxa"/>
            <w:gridSpan w:val="2"/>
            <w:tcBorders>
              <w:top w:val="nil"/>
              <w:left w:val="nil"/>
              <w:bottom w:val="single" w:sz="4" w:space="0" w:color="auto"/>
              <w:right w:val="single" w:sz="4" w:space="0" w:color="auto"/>
            </w:tcBorders>
            <w:shd w:val="clear" w:color="auto" w:fill="auto"/>
            <w:noWrap/>
            <w:vAlign w:val="bottom"/>
            <w:hideMark/>
          </w:tcPr>
          <w:p w14:paraId="5219E9B7"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1125</w:t>
            </w:r>
          </w:p>
        </w:tc>
        <w:tc>
          <w:tcPr>
            <w:tcW w:w="1202" w:type="dxa"/>
            <w:gridSpan w:val="2"/>
            <w:tcBorders>
              <w:top w:val="nil"/>
              <w:left w:val="nil"/>
              <w:bottom w:val="single" w:sz="4" w:space="0" w:color="auto"/>
              <w:right w:val="single" w:sz="4" w:space="0" w:color="auto"/>
            </w:tcBorders>
            <w:shd w:val="clear" w:color="auto" w:fill="auto"/>
            <w:noWrap/>
            <w:vAlign w:val="bottom"/>
            <w:hideMark/>
          </w:tcPr>
          <w:p w14:paraId="4727E1CE"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750</w:t>
            </w:r>
          </w:p>
        </w:tc>
      </w:tr>
      <w:tr w:rsidR="00150C90" w:rsidRPr="00B004EE" w14:paraId="100DFFE7" w14:textId="77777777" w:rsidTr="00094B74">
        <w:trPr>
          <w:cantSplit/>
          <w:trHeight w:val="57"/>
          <w:jc w:val="center"/>
        </w:trPr>
        <w:tc>
          <w:tcPr>
            <w:tcW w:w="1392" w:type="dxa"/>
            <w:vMerge/>
            <w:tcBorders>
              <w:top w:val="nil"/>
              <w:left w:val="single" w:sz="4" w:space="0" w:color="auto"/>
              <w:bottom w:val="single" w:sz="4" w:space="0" w:color="000000"/>
              <w:right w:val="single" w:sz="4" w:space="0" w:color="auto"/>
            </w:tcBorders>
            <w:vAlign w:val="center"/>
            <w:hideMark/>
          </w:tcPr>
          <w:p w14:paraId="24275225" w14:textId="77777777" w:rsidR="00094B74" w:rsidRPr="00B004EE" w:rsidRDefault="00094B74" w:rsidP="00B004EE">
            <w:pPr>
              <w:rPr>
                <w:rFonts w:ascii="Tahoma" w:hAnsi="Tahoma" w:cs="Tahoma"/>
                <w:b/>
                <w:bCs/>
                <w:sz w:val="20"/>
                <w:szCs w:val="20"/>
              </w:rPr>
            </w:pPr>
          </w:p>
        </w:tc>
        <w:tc>
          <w:tcPr>
            <w:tcW w:w="1624" w:type="dxa"/>
            <w:vMerge/>
            <w:tcBorders>
              <w:top w:val="nil"/>
              <w:left w:val="single" w:sz="4" w:space="0" w:color="auto"/>
              <w:bottom w:val="single" w:sz="4" w:space="0" w:color="000000"/>
              <w:right w:val="single" w:sz="4" w:space="0" w:color="auto"/>
            </w:tcBorders>
            <w:vAlign w:val="center"/>
            <w:hideMark/>
          </w:tcPr>
          <w:p w14:paraId="13871A74" w14:textId="77777777" w:rsidR="00094B74" w:rsidRPr="00B004EE" w:rsidRDefault="00094B74" w:rsidP="00B004EE">
            <w:pPr>
              <w:rPr>
                <w:rFonts w:ascii="Tahoma" w:hAnsi="Tahoma" w:cs="Tahoma"/>
                <w:b/>
                <w:bCs/>
                <w:sz w:val="20"/>
                <w:szCs w:val="20"/>
              </w:rPr>
            </w:pPr>
          </w:p>
        </w:tc>
        <w:tc>
          <w:tcPr>
            <w:tcW w:w="4072" w:type="dxa"/>
            <w:gridSpan w:val="2"/>
            <w:tcBorders>
              <w:top w:val="nil"/>
              <w:left w:val="nil"/>
              <w:bottom w:val="single" w:sz="4" w:space="0" w:color="auto"/>
              <w:right w:val="single" w:sz="4" w:space="0" w:color="auto"/>
            </w:tcBorders>
            <w:shd w:val="clear" w:color="auto" w:fill="auto"/>
            <w:noWrap/>
            <w:vAlign w:val="bottom"/>
            <w:hideMark/>
          </w:tcPr>
          <w:p w14:paraId="410E92C8" w14:textId="77777777" w:rsidR="00094B74" w:rsidRPr="00B004EE" w:rsidRDefault="00094B74" w:rsidP="00B004EE">
            <w:pPr>
              <w:rPr>
                <w:rFonts w:ascii="Tahoma" w:hAnsi="Tahoma" w:cs="Tahoma"/>
                <w:sz w:val="20"/>
                <w:szCs w:val="20"/>
              </w:rPr>
            </w:pPr>
            <w:r w:rsidRPr="00B004EE">
              <w:rPr>
                <w:rFonts w:ascii="Tahoma" w:hAnsi="Tahoma" w:cs="Tahoma"/>
                <w:sz w:val="20"/>
                <w:szCs w:val="20"/>
              </w:rPr>
              <w:t>Chlorure</w:t>
            </w:r>
          </w:p>
        </w:tc>
        <w:tc>
          <w:tcPr>
            <w:tcW w:w="1559" w:type="dxa"/>
            <w:gridSpan w:val="2"/>
            <w:tcBorders>
              <w:top w:val="nil"/>
              <w:left w:val="nil"/>
              <w:bottom w:val="single" w:sz="4" w:space="0" w:color="auto"/>
              <w:right w:val="single" w:sz="4" w:space="0" w:color="auto"/>
            </w:tcBorders>
            <w:shd w:val="clear" w:color="auto" w:fill="auto"/>
            <w:noWrap/>
            <w:vAlign w:val="bottom"/>
            <w:hideMark/>
          </w:tcPr>
          <w:p w14:paraId="6721D6CC"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675</w:t>
            </w:r>
          </w:p>
        </w:tc>
        <w:tc>
          <w:tcPr>
            <w:tcW w:w="1202" w:type="dxa"/>
            <w:gridSpan w:val="2"/>
            <w:tcBorders>
              <w:top w:val="nil"/>
              <w:left w:val="nil"/>
              <w:bottom w:val="single" w:sz="4" w:space="0" w:color="auto"/>
              <w:right w:val="single" w:sz="4" w:space="0" w:color="auto"/>
            </w:tcBorders>
            <w:shd w:val="clear" w:color="auto" w:fill="auto"/>
            <w:noWrap/>
            <w:vAlign w:val="bottom"/>
            <w:hideMark/>
          </w:tcPr>
          <w:p w14:paraId="183A4FA4"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450</w:t>
            </w:r>
          </w:p>
        </w:tc>
      </w:tr>
      <w:tr w:rsidR="00150C90" w:rsidRPr="00B004EE" w14:paraId="29F45FA9" w14:textId="77777777" w:rsidTr="00094B74">
        <w:trPr>
          <w:cantSplit/>
          <w:trHeight w:val="57"/>
          <w:jc w:val="center"/>
        </w:trPr>
        <w:tc>
          <w:tcPr>
            <w:tcW w:w="1392" w:type="dxa"/>
            <w:vMerge/>
            <w:tcBorders>
              <w:top w:val="nil"/>
              <w:left w:val="single" w:sz="4" w:space="0" w:color="auto"/>
              <w:bottom w:val="single" w:sz="4" w:space="0" w:color="000000"/>
              <w:right w:val="single" w:sz="4" w:space="0" w:color="auto"/>
            </w:tcBorders>
            <w:vAlign w:val="center"/>
            <w:hideMark/>
          </w:tcPr>
          <w:p w14:paraId="041EF2AD" w14:textId="77777777" w:rsidR="00094B74" w:rsidRPr="00B004EE" w:rsidRDefault="00094B74" w:rsidP="00B004EE">
            <w:pPr>
              <w:rPr>
                <w:rFonts w:ascii="Tahoma" w:hAnsi="Tahoma" w:cs="Tahoma"/>
                <w:b/>
                <w:bCs/>
                <w:sz w:val="20"/>
                <w:szCs w:val="20"/>
              </w:rPr>
            </w:pPr>
          </w:p>
        </w:tc>
        <w:tc>
          <w:tcPr>
            <w:tcW w:w="1624" w:type="dxa"/>
            <w:vMerge/>
            <w:tcBorders>
              <w:top w:val="nil"/>
              <w:left w:val="single" w:sz="4" w:space="0" w:color="auto"/>
              <w:bottom w:val="single" w:sz="4" w:space="0" w:color="000000"/>
              <w:right w:val="single" w:sz="4" w:space="0" w:color="auto"/>
            </w:tcBorders>
            <w:vAlign w:val="center"/>
            <w:hideMark/>
          </w:tcPr>
          <w:p w14:paraId="32507B57" w14:textId="77777777" w:rsidR="00094B74" w:rsidRPr="00B004EE" w:rsidRDefault="00094B74" w:rsidP="00B004EE">
            <w:pPr>
              <w:rPr>
                <w:rFonts w:ascii="Tahoma" w:hAnsi="Tahoma" w:cs="Tahoma"/>
                <w:b/>
                <w:bCs/>
                <w:sz w:val="20"/>
                <w:szCs w:val="20"/>
              </w:rPr>
            </w:pPr>
          </w:p>
        </w:tc>
        <w:tc>
          <w:tcPr>
            <w:tcW w:w="4072" w:type="dxa"/>
            <w:gridSpan w:val="2"/>
            <w:tcBorders>
              <w:top w:val="nil"/>
              <w:left w:val="nil"/>
              <w:bottom w:val="single" w:sz="4" w:space="0" w:color="auto"/>
              <w:right w:val="single" w:sz="4" w:space="0" w:color="auto"/>
            </w:tcBorders>
            <w:shd w:val="clear" w:color="auto" w:fill="auto"/>
            <w:noWrap/>
            <w:vAlign w:val="bottom"/>
            <w:hideMark/>
          </w:tcPr>
          <w:p w14:paraId="54987DB0" w14:textId="77777777" w:rsidR="00094B74" w:rsidRPr="00B004EE" w:rsidRDefault="00094B74" w:rsidP="00B004EE">
            <w:pPr>
              <w:rPr>
                <w:rFonts w:ascii="Tahoma" w:hAnsi="Tahoma" w:cs="Tahoma"/>
                <w:sz w:val="20"/>
                <w:szCs w:val="20"/>
              </w:rPr>
            </w:pPr>
            <w:r w:rsidRPr="00B004EE">
              <w:rPr>
                <w:rFonts w:ascii="Tahoma" w:hAnsi="Tahoma" w:cs="Tahoma"/>
                <w:sz w:val="20"/>
                <w:szCs w:val="20"/>
              </w:rPr>
              <w:t>Chlore libre total</w:t>
            </w:r>
          </w:p>
        </w:tc>
        <w:tc>
          <w:tcPr>
            <w:tcW w:w="1559" w:type="dxa"/>
            <w:gridSpan w:val="2"/>
            <w:tcBorders>
              <w:top w:val="nil"/>
              <w:left w:val="nil"/>
              <w:bottom w:val="single" w:sz="4" w:space="0" w:color="auto"/>
              <w:right w:val="single" w:sz="4" w:space="0" w:color="auto"/>
            </w:tcBorders>
            <w:shd w:val="clear" w:color="auto" w:fill="auto"/>
            <w:noWrap/>
            <w:vAlign w:val="bottom"/>
            <w:hideMark/>
          </w:tcPr>
          <w:p w14:paraId="791AB4E8"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1050</w:t>
            </w:r>
          </w:p>
        </w:tc>
        <w:tc>
          <w:tcPr>
            <w:tcW w:w="1202" w:type="dxa"/>
            <w:gridSpan w:val="2"/>
            <w:tcBorders>
              <w:top w:val="nil"/>
              <w:left w:val="nil"/>
              <w:bottom w:val="single" w:sz="4" w:space="0" w:color="auto"/>
              <w:right w:val="single" w:sz="4" w:space="0" w:color="auto"/>
            </w:tcBorders>
            <w:shd w:val="clear" w:color="auto" w:fill="auto"/>
            <w:noWrap/>
            <w:vAlign w:val="bottom"/>
            <w:hideMark/>
          </w:tcPr>
          <w:p w14:paraId="109B1EAC"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700</w:t>
            </w:r>
          </w:p>
        </w:tc>
      </w:tr>
      <w:tr w:rsidR="00150C90" w:rsidRPr="00B004EE" w14:paraId="492346A7" w14:textId="77777777" w:rsidTr="00094B74">
        <w:trPr>
          <w:cantSplit/>
          <w:trHeight w:val="57"/>
          <w:jc w:val="center"/>
        </w:trPr>
        <w:tc>
          <w:tcPr>
            <w:tcW w:w="1392" w:type="dxa"/>
            <w:vMerge/>
            <w:tcBorders>
              <w:top w:val="nil"/>
              <w:left w:val="single" w:sz="4" w:space="0" w:color="auto"/>
              <w:bottom w:val="single" w:sz="4" w:space="0" w:color="000000"/>
              <w:right w:val="single" w:sz="4" w:space="0" w:color="auto"/>
            </w:tcBorders>
            <w:vAlign w:val="center"/>
            <w:hideMark/>
          </w:tcPr>
          <w:p w14:paraId="1F06B28F" w14:textId="77777777" w:rsidR="00094B74" w:rsidRPr="00B004EE" w:rsidRDefault="00094B74" w:rsidP="00B004EE">
            <w:pPr>
              <w:rPr>
                <w:rFonts w:ascii="Tahoma" w:hAnsi="Tahoma" w:cs="Tahoma"/>
                <w:b/>
                <w:bCs/>
                <w:sz w:val="20"/>
                <w:szCs w:val="20"/>
              </w:rPr>
            </w:pPr>
          </w:p>
        </w:tc>
        <w:tc>
          <w:tcPr>
            <w:tcW w:w="1624" w:type="dxa"/>
            <w:vMerge/>
            <w:tcBorders>
              <w:top w:val="nil"/>
              <w:left w:val="single" w:sz="4" w:space="0" w:color="auto"/>
              <w:bottom w:val="single" w:sz="4" w:space="0" w:color="000000"/>
              <w:right w:val="single" w:sz="4" w:space="0" w:color="auto"/>
            </w:tcBorders>
            <w:vAlign w:val="center"/>
            <w:hideMark/>
          </w:tcPr>
          <w:p w14:paraId="5EFCDB75" w14:textId="77777777" w:rsidR="00094B74" w:rsidRPr="00B004EE" w:rsidRDefault="00094B74" w:rsidP="00B004EE">
            <w:pPr>
              <w:rPr>
                <w:rFonts w:ascii="Tahoma" w:hAnsi="Tahoma" w:cs="Tahoma"/>
                <w:b/>
                <w:bCs/>
                <w:sz w:val="20"/>
                <w:szCs w:val="20"/>
              </w:rPr>
            </w:pPr>
          </w:p>
        </w:tc>
        <w:tc>
          <w:tcPr>
            <w:tcW w:w="4072" w:type="dxa"/>
            <w:gridSpan w:val="2"/>
            <w:tcBorders>
              <w:top w:val="nil"/>
              <w:left w:val="nil"/>
              <w:bottom w:val="single" w:sz="4" w:space="0" w:color="auto"/>
              <w:right w:val="single" w:sz="4" w:space="0" w:color="auto"/>
            </w:tcBorders>
            <w:shd w:val="clear" w:color="auto" w:fill="auto"/>
            <w:noWrap/>
            <w:vAlign w:val="bottom"/>
            <w:hideMark/>
          </w:tcPr>
          <w:p w14:paraId="257C0A99" w14:textId="77777777" w:rsidR="00094B74" w:rsidRPr="00B004EE" w:rsidRDefault="00094B74" w:rsidP="00B004EE">
            <w:pPr>
              <w:rPr>
                <w:rFonts w:ascii="Tahoma" w:hAnsi="Tahoma" w:cs="Tahoma"/>
                <w:sz w:val="20"/>
                <w:szCs w:val="20"/>
              </w:rPr>
            </w:pPr>
            <w:r w:rsidRPr="00B004EE">
              <w:rPr>
                <w:rFonts w:ascii="Tahoma" w:hAnsi="Tahoma" w:cs="Tahoma"/>
                <w:sz w:val="20"/>
                <w:szCs w:val="20"/>
              </w:rPr>
              <w:t>Fluorire</w:t>
            </w:r>
          </w:p>
        </w:tc>
        <w:tc>
          <w:tcPr>
            <w:tcW w:w="1559" w:type="dxa"/>
            <w:gridSpan w:val="2"/>
            <w:tcBorders>
              <w:top w:val="nil"/>
              <w:left w:val="nil"/>
              <w:bottom w:val="single" w:sz="4" w:space="0" w:color="auto"/>
              <w:right w:val="single" w:sz="4" w:space="0" w:color="auto"/>
            </w:tcBorders>
            <w:shd w:val="clear" w:color="auto" w:fill="auto"/>
            <w:noWrap/>
            <w:vAlign w:val="bottom"/>
            <w:hideMark/>
          </w:tcPr>
          <w:p w14:paraId="22AF430F"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1050</w:t>
            </w:r>
          </w:p>
        </w:tc>
        <w:tc>
          <w:tcPr>
            <w:tcW w:w="1202" w:type="dxa"/>
            <w:gridSpan w:val="2"/>
            <w:tcBorders>
              <w:top w:val="nil"/>
              <w:left w:val="nil"/>
              <w:bottom w:val="single" w:sz="4" w:space="0" w:color="auto"/>
              <w:right w:val="single" w:sz="4" w:space="0" w:color="auto"/>
            </w:tcBorders>
            <w:shd w:val="clear" w:color="auto" w:fill="auto"/>
            <w:noWrap/>
            <w:vAlign w:val="bottom"/>
            <w:hideMark/>
          </w:tcPr>
          <w:p w14:paraId="38AC681F"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700</w:t>
            </w:r>
          </w:p>
        </w:tc>
      </w:tr>
      <w:tr w:rsidR="00150C90" w:rsidRPr="00B004EE" w14:paraId="400F98DC" w14:textId="77777777" w:rsidTr="00094B74">
        <w:trPr>
          <w:cantSplit/>
          <w:trHeight w:val="57"/>
          <w:jc w:val="center"/>
        </w:trPr>
        <w:tc>
          <w:tcPr>
            <w:tcW w:w="1392" w:type="dxa"/>
            <w:vMerge/>
            <w:tcBorders>
              <w:top w:val="nil"/>
              <w:left w:val="single" w:sz="4" w:space="0" w:color="auto"/>
              <w:bottom w:val="single" w:sz="4" w:space="0" w:color="000000"/>
              <w:right w:val="single" w:sz="4" w:space="0" w:color="auto"/>
            </w:tcBorders>
            <w:vAlign w:val="center"/>
            <w:hideMark/>
          </w:tcPr>
          <w:p w14:paraId="695A42E4" w14:textId="77777777" w:rsidR="00094B74" w:rsidRPr="00B004EE" w:rsidRDefault="00094B74" w:rsidP="00B004EE">
            <w:pPr>
              <w:rPr>
                <w:rFonts w:ascii="Tahoma" w:hAnsi="Tahoma" w:cs="Tahoma"/>
                <w:b/>
                <w:bCs/>
                <w:sz w:val="20"/>
                <w:szCs w:val="20"/>
              </w:rPr>
            </w:pPr>
          </w:p>
        </w:tc>
        <w:tc>
          <w:tcPr>
            <w:tcW w:w="1624" w:type="dxa"/>
            <w:vMerge/>
            <w:tcBorders>
              <w:top w:val="nil"/>
              <w:left w:val="single" w:sz="4" w:space="0" w:color="auto"/>
              <w:bottom w:val="single" w:sz="4" w:space="0" w:color="000000"/>
              <w:right w:val="single" w:sz="4" w:space="0" w:color="auto"/>
            </w:tcBorders>
            <w:vAlign w:val="center"/>
            <w:hideMark/>
          </w:tcPr>
          <w:p w14:paraId="46C516F2" w14:textId="77777777" w:rsidR="00094B74" w:rsidRPr="00B004EE" w:rsidRDefault="00094B74" w:rsidP="00B004EE">
            <w:pPr>
              <w:rPr>
                <w:rFonts w:ascii="Tahoma" w:hAnsi="Tahoma" w:cs="Tahoma"/>
                <w:b/>
                <w:bCs/>
                <w:sz w:val="20"/>
                <w:szCs w:val="20"/>
              </w:rPr>
            </w:pPr>
          </w:p>
        </w:tc>
        <w:tc>
          <w:tcPr>
            <w:tcW w:w="4072" w:type="dxa"/>
            <w:gridSpan w:val="2"/>
            <w:tcBorders>
              <w:top w:val="nil"/>
              <w:left w:val="nil"/>
              <w:bottom w:val="single" w:sz="4" w:space="0" w:color="auto"/>
              <w:right w:val="single" w:sz="4" w:space="0" w:color="auto"/>
            </w:tcBorders>
            <w:shd w:val="clear" w:color="auto" w:fill="auto"/>
            <w:noWrap/>
            <w:vAlign w:val="bottom"/>
            <w:hideMark/>
          </w:tcPr>
          <w:p w14:paraId="120E0DE5" w14:textId="77777777" w:rsidR="00094B74" w:rsidRPr="00B004EE" w:rsidRDefault="00094B74" w:rsidP="00B004EE">
            <w:pPr>
              <w:rPr>
                <w:rFonts w:ascii="Tahoma" w:hAnsi="Tahoma" w:cs="Tahoma"/>
                <w:sz w:val="20"/>
                <w:szCs w:val="20"/>
              </w:rPr>
            </w:pPr>
            <w:r w:rsidRPr="00B004EE">
              <w:rPr>
                <w:rFonts w:ascii="Tahoma" w:hAnsi="Tahoma" w:cs="Tahoma"/>
                <w:sz w:val="20"/>
                <w:szCs w:val="20"/>
              </w:rPr>
              <w:t>phosphates</w:t>
            </w:r>
          </w:p>
        </w:tc>
        <w:tc>
          <w:tcPr>
            <w:tcW w:w="1559" w:type="dxa"/>
            <w:gridSpan w:val="2"/>
            <w:tcBorders>
              <w:top w:val="nil"/>
              <w:left w:val="nil"/>
              <w:bottom w:val="single" w:sz="4" w:space="0" w:color="auto"/>
              <w:right w:val="single" w:sz="4" w:space="0" w:color="auto"/>
            </w:tcBorders>
            <w:shd w:val="clear" w:color="auto" w:fill="auto"/>
            <w:noWrap/>
            <w:vAlign w:val="bottom"/>
            <w:hideMark/>
          </w:tcPr>
          <w:p w14:paraId="4037C4B6"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1012,5</w:t>
            </w:r>
          </w:p>
        </w:tc>
        <w:tc>
          <w:tcPr>
            <w:tcW w:w="1202" w:type="dxa"/>
            <w:gridSpan w:val="2"/>
            <w:tcBorders>
              <w:top w:val="nil"/>
              <w:left w:val="nil"/>
              <w:bottom w:val="single" w:sz="4" w:space="0" w:color="auto"/>
              <w:right w:val="single" w:sz="4" w:space="0" w:color="auto"/>
            </w:tcBorders>
            <w:shd w:val="clear" w:color="auto" w:fill="auto"/>
            <w:noWrap/>
            <w:vAlign w:val="bottom"/>
            <w:hideMark/>
          </w:tcPr>
          <w:p w14:paraId="36824EA3"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875</w:t>
            </w:r>
          </w:p>
        </w:tc>
      </w:tr>
      <w:tr w:rsidR="00150C90" w:rsidRPr="00B004EE" w14:paraId="70B0B5F6" w14:textId="77777777" w:rsidTr="00094B74">
        <w:trPr>
          <w:cantSplit/>
          <w:trHeight w:val="57"/>
          <w:jc w:val="center"/>
        </w:trPr>
        <w:tc>
          <w:tcPr>
            <w:tcW w:w="1392" w:type="dxa"/>
            <w:vMerge/>
            <w:tcBorders>
              <w:top w:val="nil"/>
              <w:left w:val="single" w:sz="4" w:space="0" w:color="auto"/>
              <w:bottom w:val="single" w:sz="4" w:space="0" w:color="000000"/>
              <w:right w:val="single" w:sz="4" w:space="0" w:color="auto"/>
            </w:tcBorders>
            <w:vAlign w:val="center"/>
            <w:hideMark/>
          </w:tcPr>
          <w:p w14:paraId="3167FB00" w14:textId="77777777" w:rsidR="00094B74" w:rsidRPr="00B004EE" w:rsidRDefault="00094B74" w:rsidP="00B004EE">
            <w:pPr>
              <w:rPr>
                <w:rFonts w:ascii="Tahoma" w:hAnsi="Tahoma" w:cs="Tahoma"/>
                <w:b/>
                <w:bCs/>
                <w:sz w:val="20"/>
                <w:szCs w:val="20"/>
              </w:rPr>
            </w:pPr>
          </w:p>
        </w:tc>
        <w:tc>
          <w:tcPr>
            <w:tcW w:w="1624" w:type="dxa"/>
            <w:vMerge/>
            <w:tcBorders>
              <w:top w:val="nil"/>
              <w:left w:val="single" w:sz="4" w:space="0" w:color="auto"/>
              <w:bottom w:val="single" w:sz="4" w:space="0" w:color="000000"/>
              <w:right w:val="single" w:sz="4" w:space="0" w:color="auto"/>
            </w:tcBorders>
            <w:vAlign w:val="center"/>
            <w:hideMark/>
          </w:tcPr>
          <w:p w14:paraId="7D1508FC" w14:textId="77777777" w:rsidR="00094B74" w:rsidRPr="00B004EE" w:rsidRDefault="00094B74" w:rsidP="00B004EE">
            <w:pPr>
              <w:rPr>
                <w:rFonts w:ascii="Tahoma" w:hAnsi="Tahoma" w:cs="Tahoma"/>
                <w:b/>
                <w:bCs/>
                <w:sz w:val="20"/>
                <w:szCs w:val="20"/>
              </w:rPr>
            </w:pPr>
          </w:p>
        </w:tc>
        <w:tc>
          <w:tcPr>
            <w:tcW w:w="4072" w:type="dxa"/>
            <w:gridSpan w:val="2"/>
            <w:tcBorders>
              <w:top w:val="nil"/>
              <w:left w:val="nil"/>
              <w:bottom w:val="single" w:sz="4" w:space="0" w:color="auto"/>
              <w:right w:val="single" w:sz="4" w:space="0" w:color="auto"/>
            </w:tcBorders>
            <w:shd w:val="clear" w:color="auto" w:fill="auto"/>
            <w:noWrap/>
            <w:vAlign w:val="bottom"/>
            <w:hideMark/>
          </w:tcPr>
          <w:p w14:paraId="2B06B185" w14:textId="77777777" w:rsidR="00094B74" w:rsidRPr="00B004EE" w:rsidRDefault="00094B74" w:rsidP="00B004EE">
            <w:pPr>
              <w:rPr>
                <w:rFonts w:ascii="Tahoma" w:hAnsi="Tahoma" w:cs="Tahoma"/>
                <w:sz w:val="20"/>
                <w:szCs w:val="20"/>
              </w:rPr>
            </w:pPr>
            <w:r w:rsidRPr="00B004EE">
              <w:rPr>
                <w:rFonts w:ascii="Tahoma" w:hAnsi="Tahoma" w:cs="Tahoma"/>
                <w:sz w:val="20"/>
                <w:szCs w:val="20"/>
              </w:rPr>
              <w:t>Aluminium</w:t>
            </w:r>
          </w:p>
        </w:tc>
        <w:tc>
          <w:tcPr>
            <w:tcW w:w="1559" w:type="dxa"/>
            <w:gridSpan w:val="2"/>
            <w:tcBorders>
              <w:top w:val="nil"/>
              <w:left w:val="nil"/>
              <w:bottom w:val="single" w:sz="4" w:space="0" w:color="auto"/>
              <w:right w:val="single" w:sz="4" w:space="0" w:color="auto"/>
            </w:tcBorders>
            <w:shd w:val="clear" w:color="auto" w:fill="auto"/>
            <w:noWrap/>
            <w:vAlign w:val="bottom"/>
            <w:hideMark/>
          </w:tcPr>
          <w:p w14:paraId="3AD50C77"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1012,5</w:t>
            </w:r>
          </w:p>
        </w:tc>
        <w:tc>
          <w:tcPr>
            <w:tcW w:w="1202" w:type="dxa"/>
            <w:gridSpan w:val="2"/>
            <w:tcBorders>
              <w:top w:val="nil"/>
              <w:left w:val="nil"/>
              <w:bottom w:val="single" w:sz="4" w:space="0" w:color="auto"/>
              <w:right w:val="single" w:sz="4" w:space="0" w:color="auto"/>
            </w:tcBorders>
            <w:shd w:val="clear" w:color="auto" w:fill="auto"/>
            <w:noWrap/>
            <w:vAlign w:val="bottom"/>
            <w:hideMark/>
          </w:tcPr>
          <w:p w14:paraId="1A4C0035"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875</w:t>
            </w:r>
          </w:p>
        </w:tc>
      </w:tr>
      <w:tr w:rsidR="00150C90" w:rsidRPr="00B004EE" w14:paraId="60B6B208" w14:textId="77777777" w:rsidTr="00094B74">
        <w:trPr>
          <w:cantSplit/>
          <w:trHeight w:val="57"/>
          <w:jc w:val="center"/>
        </w:trPr>
        <w:tc>
          <w:tcPr>
            <w:tcW w:w="1392" w:type="dxa"/>
            <w:vMerge/>
            <w:tcBorders>
              <w:top w:val="nil"/>
              <w:left w:val="single" w:sz="4" w:space="0" w:color="auto"/>
              <w:bottom w:val="single" w:sz="4" w:space="0" w:color="000000"/>
              <w:right w:val="single" w:sz="4" w:space="0" w:color="auto"/>
            </w:tcBorders>
            <w:vAlign w:val="center"/>
            <w:hideMark/>
          </w:tcPr>
          <w:p w14:paraId="46418DDC" w14:textId="77777777" w:rsidR="00094B74" w:rsidRPr="00B004EE" w:rsidRDefault="00094B74" w:rsidP="00B004EE">
            <w:pPr>
              <w:rPr>
                <w:rFonts w:ascii="Tahoma" w:hAnsi="Tahoma" w:cs="Tahoma"/>
                <w:b/>
                <w:bCs/>
                <w:sz w:val="20"/>
                <w:szCs w:val="20"/>
              </w:rPr>
            </w:pPr>
          </w:p>
        </w:tc>
        <w:tc>
          <w:tcPr>
            <w:tcW w:w="1624" w:type="dxa"/>
            <w:vMerge/>
            <w:tcBorders>
              <w:top w:val="nil"/>
              <w:left w:val="single" w:sz="4" w:space="0" w:color="auto"/>
              <w:bottom w:val="single" w:sz="4" w:space="0" w:color="000000"/>
              <w:right w:val="single" w:sz="4" w:space="0" w:color="auto"/>
            </w:tcBorders>
            <w:vAlign w:val="center"/>
            <w:hideMark/>
          </w:tcPr>
          <w:p w14:paraId="5BEC158D" w14:textId="77777777" w:rsidR="00094B74" w:rsidRPr="00B004EE" w:rsidRDefault="00094B74" w:rsidP="00B004EE">
            <w:pPr>
              <w:rPr>
                <w:rFonts w:ascii="Tahoma" w:hAnsi="Tahoma" w:cs="Tahoma"/>
                <w:b/>
                <w:bCs/>
                <w:sz w:val="20"/>
                <w:szCs w:val="20"/>
              </w:rPr>
            </w:pPr>
          </w:p>
        </w:tc>
        <w:tc>
          <w:tcPr>
            <w:tcW w:w="4072" w:type="dxa"/>
            <w:gridSpan w:val="2"/>
            <w:tcBorders>
              <w:top w:val="nil"/>
              <w:left w:val="nil"/>
              <w:bottom w:val="single" w:sz="4" w:space="0" w:color="auto"/>
              <w:right w:val="single" w:sz="4" w:space="0" w:color="auto"/>
            </w:tcBorders>
            <w:shd w:val="clear" w:color="auto" w:fill="auto"/>
            <w:noWrap/>
            <w:vAlign w:val="bottom"/>
            <w:hideMark/>
          </w:tcPr>
          <w:p w14:paraId="0B0399E4" w14:textId="77777777" w:rsidR="00094B74" w:rsidRPr="00B004EE" w:rsidRDefault="00094B74" w:rsidP="00B004EE">
            <w:pPr>
              <w:rPr>
                <w:rFonts w:ascii="Tahoma" w:hAnsi="Tahoma" w:cs="Tahoma"/>
                <w:sz w:val="20"/>
                <w:szCs w:val="20"/>
              </w:rPr>
            </w:pPr>
            <w:r w:rsidRPr="00B004EE">
              <w:rPr>
                <w:rFonts w:ascii="Tahoma" w:hAnsi="Tahoma" w:cs="Tahoma"/>
                <w:sz w:val="20"/>
                <w:szCs w:val="20"/>
              </w:rPr>
              <w:t>Ammonium</w:t>
            </w:r>
          </w:p>
        </w:tc>
        <w:tc>
          <w:tcPr>
            <w:tcW w:w="1559" w:type="dxa"/>
            <w:gridSpan w:val="2"/>
            <w:tcBorders>
              <w:top w:val="nil"/>
              <w:left w:val="nil"/>
              <w:bottom w:val="single" w:sz="4" w:space="0" w:color="auto"/>
              <w:right w:val="single" w:sz="4" w:space="0" w:color="auto"/>
            </w:tcBorders>
            <w:shd w:val="clear" w:color="auto" w:fill="auto"/>
            <w:noWrap/>
            <w:vAlign w:val="bottom"/>
            <w:hideMark/>
          </w:tcPr>
          <w:p w14:paraId="2433873D"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1012,5</w:t>
            </w:r>
          </w:p>
        </w:tc>
        <w:tc>
          <w:tcPr>
            <w:tcW w:w="1202" w:type="dxa"/>
            <w:gridSpan w:val="2"/>
            <w:tcBorders>
              <w:top w:val="nil"/>
              <w:left w:val="nil"/>
              <w:bottom w:val="single" w:sz="4" w:space="0" w:color="auto"/>
              <w:right w:val="single" w:sz="4" w:space="0" w:color="auto"/>
            </w:tcBorders>
            <w:shd w:val="clear" w:color="auto" w:fill="auto"/>
            <w:noWrap/>
            <w:vAlign w:val="bottom"/>
            <w:hideMark/>
          </w:tcPr>
          <w:p w14:paraId="67D7E69B"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875</w:t>
            </w:r>
          </w:p>
        </w:tc>
      </w:tr>
      <w:tr w:rsidR="00150C90" w:rsidRPr="00B004EE" w14:paraId="7454DED9" w14:textId="77777777" w:rsidTr="00094B74">
        <w:trPr>
          <w:cantSplit/>
          <w:trHeight w:val="57"/>
          <w:jc w:val="center"/>
        </w:trPr>
        <w:tc>
          <w:tcPr>
            <w:tcW w:w="1392" w:type="dxa"/>
            <w:vMerge/>
            <w:tcBorders>
              <w:top w:val="nil"/>
              <w:left w:val="single" w:sz="4" w:space="0" w:color="auto"/>
              <w:bottom w:val="single" w:sz="4" w:space="0" w:color="000000"/>
              <w:right w:val="single" w:sz="4" w:space="0" w:color="auto"/>
            </w:tcBorders>
            <w:vAlign w:val="center"/>
            <w:hideMark/>
          </w:tcPr>
          <w:p w14:paraId="5BD8C20F" w14:textId="77777777" w:rsidR="00094B74" w:rsidRPr="00B004EE" w:rsidRDefault="00094B74" w:rsidP="00B004EE">
            <w:pPr>
              <w:rPr>
                <w:rFonts w:ascii="Tahoma" w:hAnsi="Tahoma" w:cs="Tahoma"/>
                <w:b/>
                <w:bCs/>
                <w:sz w:val="20"/>
                <w:szCs w:val="20"/>
              </w:rPr>
            </w:pPr>
          </w:p>
        </w:tc>
        <w:tc>
          <w:tcPr>
            <w:tcW w:w="1624" w:type="dxa"/>
            <w:vMerge/>
            <w:tcBorders>
              <w:top w:val="nil"/>
              <w:left w:val="single" w:sz="4" w:space="0" w:color="auto"/>
              <w:bottom w:val="single" w:sz="4" w:space="0" w:color="000000"/>
              <w:right w:val="single" w:sz="4" w:space="0" w:color="auto"/>
            </w:tcBorders>
            <w:vAlign w:val="center"/>
            <w:hideMark/>
          </w:tcPr>
          <w:p w14:paraId="25999B88" w14:textId="77777777" w:rsidR="00094B74" w:rsidRPr="00B004EE" w:rsidRDefault="00094B74" w:rsidP="00B004EE">
            <w:pPr>
              <w:rPr>
                <w:rFonts w:ascii="Tahoma" w:hAnsi="Tahoma" w:cs="Tahoma"/>
                <w:b/>
                <w:bCs/>
                <w:sz w:val="20"/>
                <w:szCs w:val="20"/>
              </w:rPr>
            </w:pPr>
          </w:p>
        </w:tc>
        <w:tc>
          <w:tcPr>
            <w:tcW w:w="4072" w:type="dxa"/>
            <w:gridSpan w:val="2"/>
            <w:tcBorders>
              <w:top w:val="nil"/>
              <w:left w:val="nil"/>
              <w:bottom w:val="single" w:sz="4" w:space="0" w:color="auto"/>
              <w:right w:val="single" w:sz="4" w:space="0" w:color="auto"/>
            </w:tcBorders>
            <w:shd w:val="clear" w:color="auto" w:fill="auto"/>
            <w:noWrap/>
            <w:vAlign w:val="bottom"/>
            <w:hideMark/>
          </w:tcPr>
          <w:p w14:paraId="10F08155" w14:textId="77777777" w:rsidR="00094B74" w:rsidRPr="00B004EE" w:rsidRDefault="00094B74" w:rsidP="00B004EE">
            <w:pPr>
              <w:rPr>
                <w:rFonts w:ascii="Tahoma" w:hAnsi="Tahoma" w:cs="Tahoma"/>
                <w:sz w:val="20"/>
                <w:szCs w:val="20"/>
              </w:rPr>
            </w:pPr>
            <w:r w:rsidRPr="00B004EE">
              <w:rPr>
                <w:rFonts w:ascii="Tahoma" w:hAnsi="Tahoma" w:cs="Tahoma"/>
                <w:sz w:val="20"/>
                <w:szCs w:val="20"/>
              </w:rPr>
              <w:t>Manganèse</w:t>
            </w:r>
          </w:p>
        </w:tc>
        <w:tc>
          <w:tcPr>
            <w:tcW w:w="1559" w:type="dxa"/>
            <w:gridSpan w:val="2"/>
            <w:tcBorders>
              <w:top w:val="nil"/>
              <w:left w:val="nil"/>
              <w:bottom w:val="single" w:sz="4" w:space="0" w:color="auto"/>
              <w:right w:val="single" w:sz="4" w:space="0" w:color="auto"/>
            </w:tcBorders>
            <w:shd w:val="clear" w:color="auto" w:fill="auto"/>
            <w:noWrap/>
            <w:vAlign w:val="bottom"/>
            <w:hideMark/>
          </w:tcPr>
          <w:p w14:paraId="759E53F2"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1012,5</w:t>
            </w:r>
          </w:p>
        </w:tc>
        <w:tc>
          <w:tcPr>
            <w:tcW w:w="1202" w:type="dxa"/>
            <w:gridSpan w:val="2"/>
            <w:tcBorders>
              <w:top w:val="nil"/>
              <w:left w:val="nil"/>
              <w:bottom w:val="single" w:sz="4" w:space="0" w:color="auto"/>
              <w:right w:val="single" w:sz="4" w:space="0" w:color="auto"/>
            </w:tcBorders>
            <w:shd w:val="clear" w:color="auto" w:fill="auto"/>
            <w:noWrap/>
            <w:vAlign w:val="bottom"/>
            <w:hideMark/>
          </w:tcPr>
          <w:p w14:paraId="56076259"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875</w:t>
            </w:r>
          </w:p>
        </w:tc>
      </w:tr>
      <w:tr w:rsidR="00150C90" w:rsidRPr="00B004EE" w14:paraId="4827B01D" w14:textId="77777777" w:rsidTr="00094B74">
        <w:trPr>
          <w:cantSplit/>
          <w:trHeight w:val="57"/>
          <w:jc w:val="center"/>
        </w:trPr>
        <w:tc>
          <w:tcPr>
            <w:tcW w:w="1392" w:type="dxa"/>
            <w:vMerge/>
            <w:tcBorders>
              <w:top w:val="nil"/>
              <w:left w:val="single" w:sz="4" w:space="0" w:color="auto"/>
              <w:bottom w:val="single" w:sz="4" w:space="0" w:color="000000"/>
              <w:right w:val="single" w:sz="4" w:space="0" w:color="auto"/>
            </w:tcBorders>
            <w:vAlign w:val="center"/>
            <w:hideMark/>
          </w:tcPr>
          <w:p w14:paraId="76F627F6" w14:textId="77777777" w:rsidR="00094B74" w:rsidRPr="00B004EE" w:rsidRDefault="00094B74" w:rsidP="00B004EE">
            <w:pPr>
              <w:rPr>
                <w:rFonts w:ascii="Tahoma" w:hAnsi="Tahoma" w:cs="Tahoma"/>
                <w:b/>
                <w:bCs/>
                <w:sz w:val="20"/>
                <w:szCs w:val="20"/>
              </w:rPr>
            </w:pPr>
          </w:p>
        </w:tc>
        <w:tc>
          <w:tcPr>
            <w:tcW w:w="1624" w:type="dxa"/>
            <w:vMerge/>
            <w:tcBorders>
              <w:top w:val="nil"/>
              <w:left w:val="single" w:sz="4" w:space="0" w:color="auto"/>
              <w:bottom w:val="single" w:sz="4" w:space="0" w:color="000000"/>
              <w:right w:val="single" w:sz="4" w:space="0" w:color="auto"/>
            </w:tcBorders>
            <w:vAlign w:val="center"/>
            <w:hideMark/>
          </w:tcPr>
          <w:p w14:paraId="5C67EF64" w14:textId="77777777" w:rsidR="00094B74" w:rsidRPr="00B004EE" w:rsidRDefault="00094B74" w:rsidP="00B004EE">
            <w:pPr>
              <w:rPr>
                <w:rFonts w:ascii="Tahoma" w:hAnsi="Tahoma" w:cs="Tahoma"/>
                <w:b/>
                <w:bCs/>
                <w:sz w:val="20"/>
                <w:szCs w:val="20"/>
              </w:rPr>
            </w:pPr>
          </w:p>
        </w:tc>
        <w:tc>
          <w:tcPr>
            <w:tcW w:w="4072" w:type="dxa"/>
            <w:gridSpan w:val="2"/>
            <w:tcBorders>
              <w:top w:val="nil"/>
              <w:left w:val="nil"/>
              <w:bottom w:val="single" w:sz="4" w:space="0" w:color="auto"/>
              <w:right w:val="single" w:sz="4" w:space="0" w:color="auto"/>
            </w:tcBorders>
            <w:shd w:val="clear" w:color="auto" w:fill="auto"/>
            <w:noWrap/>
            <w:vAlign w:val="bottom"/>
            <w:hideMark/>
          </w:tcPr>
          <w:p w14:paraId="1A57C63E" w14:textId="77777777" w:rsidR="00094B74" w:rsidRPr="00B004EE" w:rsidRDefault="00094B74" w:rsidP="00B004EE">
            <w:pPr>
              <w:rPr>
                <w:rFonts w:ascii="Tahoma" w:hAnsi="Tahoma" w:cs="Tahoma"/>
                <w:sz w:val="20"/>
                <w:szCs w:val="20"/>
              </w:rPr>
            </w:pPr>
            <w:r w:rsidRPr="00B004EE">
              <w:rPr>
                <w:rFonts w:ascii="Tahoma" w:hAnsi="Tahoma" w:cs="Tahoma"/>
                <w:sz w:val="20"/>
                <w:szCs w:val="20"/>
              </w:rPr>
              <w:t>Sélénium</w:t>
            </w:r>
          </w:p>
        </w:tc>
        <w:tc>
          <w:tcPr>
            <w:tcW w:w="1559" w:type="dxa"/>
            <w:gridSpan w:val="2"/>
            <w:tcBorders>
              <w:top w:val="nil"/>
              <w:left w:val="nil"/>
              <w:bottom w:val="single" w:sz="4" w:space="0" w:color="auto"/>
              <w:right w:val="single" w:sz="4" w:space="0" w:color="auto"/>
            </w:tcBorders>
            <w:shd w:val="clear" w:color="auto" w:fill="auto"/>
            <w:noWrap/>
            <w:vAlign w:val="bottom"/>
            <w:hideMark/>
          </w:tcPr>
          <w:p w14:paraId="345CF61E"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1012,5</w:t>
            </w:r>
          </w:p>
        </w:tc>
        <w:tc>
          <w:tcPr>
            <w:tcW w:w="1202" w:type="dxa"/>
            <w:gridSpan w:val="2"/>
            <w:tcBorders>
              <w:top w:val="nil"/>
              <w:left w:val="nil"/>
              <w:bottom w:val="single" w:sz="4" w:space="0" w:color="auto"/>
              <w:right w:val="single" w:sz="4" w:space="0" w:color="auto"/>
            </w:tcBorders>
            <w:shd w:val="clear" w:color="auto" w:fill="auto"/>
            <w:noWrap/>
            <w:vAlign w:val="bottom"/>
            <w:hideMark/>
          </w:tcPr>
          <w:p w14:paraId="6D5A9C36"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875</w:t>
            </w:r>
          </w:p>
        </w:tc>
      </w:tr>
      <w:tr w:rsidR="00150C90" w:rsidRPr="00B004EE" w14:paraId="28985F22" w14:textId="77777777" w:rsidTr="00094B74">
        <w:trPr>
          <w:cantSplit/>
          <w:trHeight w:val="57"/>
          <w:jc w:val="center"/>
        </w:trPr>
        <w:tc>
          <w:tcPr>
            <w:tcW w:w="1392" w:type="dxa"/>
            <w:vMerge/>
            <w:tcBorders>
              <w:top w:val="nil"/>
              <w:left w:val="single" w:sz="4" w:space="0" w:color="auto"/>
              <w:bottom w:val="single" w:sz="4" w:space="0" w:color="000000"/>
              <w:right w:val="single" w:sz="4" w:space="0" w:color="auto"/>
            </w:tcBorders>
            <w:vAlign w:val="center"/>
            <w:hideMark/>
          </w:tcPr>
          <w:p w14:paraId="359C22F9" w14:textId="77777777" w:rsidR="00094B74" w:rsidRPr="00B004EE" w:rsidRDefault="00094B74" w:rsidP="00B004EE">
            <w:pPr>
              <w:rPr>
                <w:rFonts w:ascii="Tahoma" w:hAnsi="Tahoma" w:cs="Tahoma"/>
                <w:b/>
                <w:bCs/>
                <w:sz w:val="20"/>
                <w:szCs w:val="20"/>
              </w:rPr>
            </w:pPr>
          </w:p>
        </w:tc>
        <w:tc>
          <w:tcPr>
            <w:tcW w:w="1624" w:type="dxa"/>
            <w:vMerge/>
            <w:tcBorders>
              <w:top w:val="nil"/>
              <w:left w:val="single" w:sz="4" w:space="0" w:color="auto"/>
              <w:bottom w:val="single" w:sz="4" w:space="0" w:color="000000"/>
              <w:right w:val="single" w:sz="4" w:space="0" w:color="auto"/>
            </w:tcBorders>
            <w:vAlign w:val="center"/>
            <w:hideMark/>
          </w:tcPr>
          <w:p w14:paraId="41F68D83" w14:textId="77777777" w:rsidR="00094B74" w:rsidRPr="00B004EE" w:rsidRDefault="00094B74" w:rsidP="00B004EE">
            <w:pPr>
              <w:rPr>
                <w:rFonts w:ascii="Tahoma" w:hAnsi="Tahoma" w:cs="Tahoma"/>
                <w:b/>
                <w:bCs/>
                <w:sz w:val="20"/>
                <w:szCs w:val="20"/>
              </w:rPr>
            </w:pPr>
          </w:p>
        </w:tc>
        <w:tc>
          <w:tcPr>
            <w:tcW w:w="4072" w:type="dxa"/>
            <w:gridSpan w:val="2"/>
            <w:tcBorders>
              <w:top w:val="nil"/>
              <w:left w:val="nil"/>
              <w:bottom w:val="single" w:sz="4" w:space="0" w:color="auto"/>
              <w:right w:val="single" w:sz="4" w:space="0" w:color="auto"/>
            </w:tcBorders>
            <w:shd w:val="clear" w:color="auto" w:fill="auto"/>
            <w:noWrap/>
            <w:vAlign w:val="bottom"/>
            <w:hideMark/>
          </w:tcPr>
          <w:p w14:paraId="2A9FB960" w14:textId="77777777" w:rsidR="00094B74" w:rsidRPr="00B004EE" w:rsidRDefault="00094B74" w:rsidP="00B004EE">
            <w:pPr>
              <w:rPr>
                <w:rFonts w:ascii="Tahoma" w:hAnsi="Tahoma" w:cs="Tahoma"/>
                <w:sz w:val="20"/>
                <w:szCs w:val="20"/>
              </w:rPr>
            </w:pPr>
            <w:r w:rsidRPr="00B004EE">
              <w:rPr>
                <w:rFonts w:ascii="Tahoma" w:hAnsi="Tahoma" w:cs="Tahoma"/>
                <w:sz w:val="20"/>
                <w:szCs w:val="20"/>
              </w:rPr>
              <w:t>Bore</w:t>
            </w:r>
          </w:p>
        </w:tc>
        <w:tc>
          <w:tcPr>
            <w:tcW w:w="1559" w:type="dxa"/>
            <w:gridSpan w:val="2"/>
            <w:tcBorders>
              <w:top w:val="nil"/>
              <w:left w:val="nil"/>
              <w:bottom w:val="single" w:sz="4" w:space="0" w:color="auto"/>
              <w:right w:val="single" w:sz="4" w:space="0" w:color="auto"/>
            </w:tcBorders>
            <w:shd w:val="clear" w:color="auto" w:fill="auto"/>
            <w:noWrap/>
            <w:vAlign w:val="bottom"/>
            <w:hideMark/>
          </w:tcPr>
          <w:p w14:paraId="4C976919"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1012,5</w:t>
            </w:r>
          </w:p>
        </w:tc>
        <w:tc>
          <w:tcPr>
            <w:tcW w:w="1202" w:type="dxa"/>
            <w:gridSpan w:val="2"/>
            <w:tcBorders>
              <w:top w:val="nil"/>
              <w:left w:val="nil"/>
              <w:bottom w:val="single" w:sz="4" w:space="0" w:color="auto"/>
              <w:right w:val="single" w:sz="4" w:space="0" w:color="auto"/>
            </w:tcBorders>
            <w:shd w:val="clear" w:color="auto" w:fill="auto"/>
            <w:noWrap/>
            <w:vAlign w:val="bottom"/>
            <w:hideMark/>
          </w:tcPr>
          <w:p w14:paraId="67A7BA06"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875</w:t>
            </w:r>
          </w:p>
        </w:tc>
      </w:tr>
      <w:tr w:rsidR="00150C90" w:rsidRPr="00B004EE" w14:paraId="211F75C4" w14:textId="77777777" w:rsidTr="00094B74">
        <w:trPr>
          <w:cantSplit/>
          <w:trHeight w:val="57"/>
          <w:jc w:val="center"/>
        </w:trPr>
        <w:tc>
          <w:tcPr>
            <w:tcW w:w="1392" w:type="dxa"/>
            <w:vMerge/>
            <w:tcBorders>
              <w:top w:val="nil"/>
              <w:left w:val="single" w:sz="4" w:space="0" w:color="auto"/>
              <w:bottom w:val="single" w:sz="4" w:space="0" w:color="000000"/>
              <w:right w:val="single" w:sz="4" w:space="0" w:color="auto"/>
            </w:tcBorders>
            <w:vAlign w:val="center"/>
            <w:hideMark/>
          </w:tcPr>
          <w:p w14:paraId="788664DA" w14:textId="77777777" w:rsidR="00094B74" w:rsidRPr="00B004EE" w:rsidRDefault="00094B74" w:rsidP="00B004EE">
            <w:pPr>
              <w:rPr>
                <w:rFonts w:ascii="Tahoma" w:hAnsi="Tahoma" w:cs="Tahoma"/>
                <w:b/>
                <w:bCs/>
                <w:sz w:val="20"/>
                <w:szCs w:val="20"/>
              </w:rPr>
            </w:pPr>
          </w:p>
        </w:tc>
        <w:tc>
          <w:tcPr>
            <w:tcW w:w="1624"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56D806AA" w14:textId="77777777" w:rsidR="00094B74" w:rsidRPr="00B004EE" w:rsidRDefault="00094B74" w:rsidP="00B004EE">
            <w:pPr>
              <w:jc w:val="center"/>
              <w:rPr>
                <w:rFonts w:ascii="Tahoma" w:hAnsi="Tahoma" w:cs="Tahoma"/>
                <w:b/>
                <w:bCs/>
                <w:sz w:val="20"/>
                <w:szCs w:val="20"/>
              </w:rPr>
            </w:pPr>
            <w:r w:rsidRPr="00B004EE">
              <w:rPr>
                <w:rFonts w:ascii="Tahoma" w:hAnsi="Tahoma" w:cs="Tahoma"/>
                <w:b/>
                <w:bCs/>
                <w:sz w:val="20"/>
                <w:szCs w:val="20"/>
              </w:rPr>
              <w:t>Analyses Microbiologiques</w:t>
            </w:r>
          </w:p>
        </w:tc>
        <w:tc>
          <w:tcPr>
            <w:tcW w:w="4072" w:type="dxa"/>
            <w:gridSpan w:val="2"/>
            <w:tcBorders>
              <w:top w:val="nil"/>
              <w:left w:val="nil"/>
              <w:bottom w:val="single" w:sz="4" w:space="0" w:color="auto"/>
              <w:right w:val="single" w:sz="4" w:space="0" w:color="auto"/>
            </w:tcBorders>
            <w:shd w:val="clear" w:color="auto" w:fill="auto"/>
            <w:noWrap/>
            <w:vAlign w:val="bottom"/>
            <w:hideMark/>
          </w:tcPr>
          <w:p w14:paraId="3884912F" w14:textId="77777777" w:rsidR="00094B74" w:rsidRPr="00B004EE" w:rsidRDefault="00094B74" w:rsidP="00B004EE">
            <w:pPr>
              <w:rPr>
                <w:rFonts w:ascii="Tahoma" w:hAnsi="Tahoma" w:cs="Tahoma"/>
                <w:sz w:val="20"/>
                <w:szCs w:val="20"/>
              </w:rPr>
            </w:pPr>
            <w:r w:rsidRPr="00B004EE">
              <w:rPr>
                <w:rFonts w:ascii="Tahoma" w:hAnsi="Tahoma" w:cs="Tahoma"/>
                <w:sz w:val="20"/>
                <w:szCs w:val="20"/>
              </w:rPr>
              <w:t xml:space="preserve">Microorganismes totaux </w:t>
            </w:r>
          </w:p>
        </w:tc>
        <w:tc>
          <w:tcPr>
            <w:tcW w:w="1559" w:type="dxa"/>
            <w:gridSpan w:val="2"/>
            <w:tcBorders>
              <w:top w:val="nil"/>
              <w:left w:val="nil"/>
              <w:bottom w:val="single" w:sz="4" w:space="0" w:color="auto"/>
              <w:right w:val="single" w:sz="4" w:space="0" w:color="auto"/>
            </w:tcBorders>
            <w:shd w:val="clear" w:color="auto" w:fill="auto"/>
            <w:noWrap/>
            <w:vAlign w:val="bottom"/>
            <w:hideMark/>
          </w:tcPr>
          <w:p w14:paraId="50C2815A"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750</w:t>
            </w:r>
          </w:p>
        </w:tc>
        <w:tc>
          <w:tcPr>
            <w:tcW w:w="1202" w:type="dxa"/>
            <w:gridSpan w:val="2"/>
            <w:tcBorders>
              <w:top w:val="nil"/>
              <w:left w:val="nil"/>
              <w:bottom w:val="single" w:sz="4" w:space="0" w:color="auto"/>
              <w:right w:val="single" w:sz="4" w:space="0" w:color="auto"/>
            </w:tcBorders>
            <w:shd w:val="clear" w:color="auto" w:fill="auto"/>
            <w:noWrap/>
            <w:vAlign w:val="bottom"/>
            <w:hideMark/>
          </w:tcPr>
          <w:p w14:paraId="50E94C43"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500</w:t>
            </w:r>
          </w:p>
        </w:tc>
      </w:tr>
      <w:tr w:rsidR="00150C90" w:rsidRPr="00B004EE" w14:paraId="6BAD9744" w14:textId="77777777" w:rsidTr="00094B74">
        <w:trPr>
          <w:cantSplit/>
          <w:trHeight w:val="57"/>
          <w:jc w:val="center"/>
        </w:trPr>
        <w:tc>
          <w:tcPr>
            <w:tcW w:w="1392" w:type="dxa"/>
            <w:vMerge/>
            <w:tcBorders>
              <w:top w:val="nil"/>
              <w:left w:val="single" w:sz="4" w:space="0" w:color="auto"/>
              <w:bottom w:val="single" w:sz="4" w:space="0" w:color="000000"/>
              <w:right w:val="single" w:sz="4" w:space="0" w:color="auto"/>
            </w:tcBorders>
            <w:vAlign w:val="center"/>
            <w:hideMark/>
          </w:tcPr>
          <w:p w14:paraId="4EF5A85C" w14:textId="77777777" w:rsidR="00094B74" w:rsidRPr="00B004EE" w:rsidRDefault="00094B74" w:rsidP="00B004EE">
            <w:pPr>
              <w:rPr>
                <w:rFonts w:ascii="Tahoma" w:hAnsi="Tahoma" w:cs="Tahoma"/>
                <w:b/>
                <w:bCs/>
                <w:sz w:val="20"/>
                <w:szCs w:val="20"/>
              </w:rPr>
            </w:pPr>
          </w:p>
        </w:tc>
        <w:tc>
          <w:tcPr>
            <w:tcW w:w="1624" w:type="dxa"/>
            <w:vMerge/>
            <w:tcBorders>
              <w:top w:val="nil"/>
              <w:left w:val="single" w:sz="4" w:space="0" w:color="auto"/>
              <w:bottom w:val="single" w:sz="4" w:space="0" w:color="000000"/>
              <w:right w:val="single" w:sz="4" w:space="0" w:color="auto"/>
            </w:tcBorders>
            <w:vAlign w:val="center"/>
            <w:hideMark/>
          </w:tcPr>
          <w:p w14:paraId="4148A830" w14:textId="77777777" w:rsidR="00094B74" w:rsidRPr="00B004EE" w:rsidRDefault="00094B74" w:rsidP="00B004EE">
            <w:pPr>
              <w:rPr>
                <w:rFonts w:ascii="Tahoma" w:hAnsi="Tahoma" w:cs="Tahoma"/>
                <w:b/>
                <w:bCs/>
                <w:sz w:val="20"/>
                <w:szCs w:val="20"/>
              </w:rPr>
            </w:pPr>
          </w:p>
        </w:tc>
        <w:tc>
          <w:tcPr>
            <w:tcW w:w="4072" w:type="dxa"/>
            <w:gridSpan w:val="2"/>
            <w:tcBorders>
              <w:top w:val="nil"/>
              <w:left w:val="nil"/>
              <w:bottom w:val="single" w:sz="4" w:space="0" w:color="auto"/>
              <w:right w:val="single" w:sz="4" w:space="0" w:color="auto"/>
            </w:tcBorders>
            <w:shd w:val="clear" w:color="auto" w:fill="auto"/>
            <w:noWrap/>
            <w:vAlign w:val="bottom"/>
            <w:hideMark/>
          </w:tcPr>
          <w:p w14:paraId="1B692051" w14:textId="77777777" w:rsidR="00094B74" w:rsidRPr="00B004EE" w:rsidRDefault="00094B74" w:rsidP="00B004EE">
            <w:pPr>
              <w:rPr>
                <w:rFonts w:ascii="Tahoma" w:hAnsi="Tahoma" w:cs="Tahoma"/>
                <w:sz w:val="20"/>
                <w:szCs w:val="20"/>
              </w:rPr>
            </w:pPr>
            <w:r w:rsidRPr="00B004EE">
              <w:rPr>
                <w:rFonts w:ascii="Tahoma" w:hAnsi="Tahoma" w:cs="Tahoma"/>
                <w:sz w:val="20"/>
                <w:szCs w:val="20"/>
              </w:rPr>
              <w:t xml:space="preserve">Coliformes totaux </w:t>
            </w:r>
          </w:p>
        </w:tc>
        <w:tc>
          <w:tcPr>
            <w:tcW w:w="1559" w:type="dxa"/>
            <w:gridSpan w:val="2"/>
            <w:tcBorders>
              <w:top w:val="nil"/>
              <w:left w:val="nil"/>
              <w:bottom w:val="single" w:sz="4" w:space="0" w:color="auto"/>
              <w:right w:val="single" w:sz="4" w:space="0" w:color="auto"/>
            </w:tcBorders>
            <w:shd w:val="clear" w:color="auto" w:fill="auto"/>
            <w:noWrap/>
            <w:vAlign w:val="bottom"/>
            <w:hideMark/>
          </w:tcPr>
          <w:p w14:paraId="2B0985F7"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750</w:t>
            </w:r>
          </w:p>
        </w:tc>
        <w:tc>
          <w:tcPr>
            <w:tcW w:w="1202" w:type="dxa"/>
            <w:gridSpan w:val="2"/>
            <w:tcBorders>
              <w:top w:val="nil"/>
              <w:left w:val="nil"/>
              <w:bottom w:val="single" w:sz="4" w:space="0" w:color="auto"/>
              <w:right w:val="single" w:sz="4" w:space="0" w:color="auto"/>
            </w:tcBorders>
            <w:shd w:val="clear" w:color="auto" w:fill="auto"/>
            <w:noWrap/>
            <w:vAlign w:val="bottom"/>
            <w:hideMark/>
          </w:tcPr>
          <w:p w14:paraId="27651399"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500</w:t>
            </w:r>
          </w:p>
        </w:tc>
      </w:tr>
      <w:tr w:rsidR="00150C90" w:rsidRPr="00B004EE" w14:paraId="757E08B5" w14:textId="77777777" w:rsidTr="00094B74">
        <w:trPr>
          <w:cantSplit/>
          <w:trHeight w:val="57"/>
          <w:jc w:val="center"/>
        </w:trPr>
        <w:tc>
          <w:tcPr>
            <w:tcW w:w="1392" w:type="dxa"/>
            <w:vMerge/>
            <w:tcBorders>
              <w:top w:val="nil"/>
              <w:left w:val="single" w:sz="4" w:space="0" w:color="auto"/>
              <w:bottom w:val="single" w:sz="4" w:space="0" w:color="000000"/>
              <w:right w:val="single" w:sz="4" w:space="0" w:color="auto"/>
            </w:tcBorders>
            <w:vAlign w:val="center"/>
            <w:hideMark/>
          </w:tcPr>
          <w:p w14:paraId="7D90FEDD" w14:textId="77777777" w:rsidR="00094B74" w:rsidRPr="00B004EE" w:rsidRDefault="00094B74" w:rsidP="00B004EE">
            <w:pPr>
              <w:rPr>
                <w:rFonts w:ascii="Tahoma" w:hAnsi="Tahoma" w:cs="Tahoma"/>
                <w:b/>
                <w:bCs/>
                <w:sz w:val="20"/>
                <w:szCs w:val="20"/>
              </w:rPr>
            </w:pPr>
          </w:p>
        </w:tc>
        <w:tc>
          <w:tcPr>
            <w:tcW w:w="1624" w:type="dxa"/>
            <w:vMerge/>
            <w:tcBorders>
              <w:top w:val="nil"/>
              <w:left w:val="single" w:sz="4" w:space="0" w:color="auto"/>
              <w:bottom w:val="single" w:sz="4" w:space="0" w:color="000000"/>
              <w:right w:val="single" w:sz="4" w:space="0" w:color="auto"/>
            </w:tcBorders>
            <w:vAlign w:val="center"/>
            <w:hideMark/>
          </w:tcPr>
          <w:p w14:paraId="3E8E6B88" w14:textId="77777777" w:rsidR="00094B74" w:rsidRPr="00B004EE" w:rsidRDefault="00094B74" w:rsidP="00B004EE">
            <w:pPr>
              <w:rPr>
                <w:rFonts w:ascii="Tahoma" w:hAnsi="Tahoma" w:cs="Tahoma"/>
                <w:b/>
                <w:bCs/>
                <w:sz w:val="20"/>
                <w:szCs w:val="20"/>
              </w:rPr>
            </w:pPr>
          </w:p>
        </w:tc>
        <w:tc>
          <w:tcPr>
            <w:tcW w:w="4072" w:type="dxa"/>
            <w:gridSpan w:val="2"/>
            <w:tcBorders>
              <w:top w:val="nil"/>
              <w:left w:val="nil"/>
              <w:bottom w:val="single" w:sz="4" w:space="0" w:color="auto"/>
              <w:right w:val="single" w:sz="4" w:space="0" w:color="auto"/>
            </w:tcBorders>
            <w:shd w:val="clear" w:color="auto" w:fill="auto"/>
            <w:noWrap/>
            <w:vAlign w:val="bottom"/>
            <w:hideMark/>
          </w:tcPr>
          <w:p w14:paraId="78C014FF" w14:textId="77777777" w:rsidR="00094B74" w:rsidRPr="00B004EE" w:rsidRDefault="00094B74" w:rsidP="00B004EE">
            <w:pPr>
              <w:rPr>
                <w:rFonts w:ascii="Tahoma" w:hAnsi="Tahoma" w:cs="Tahoma"/>
                <w:sz w:val="20"/>
                <w:szCs w:val="20"/>
              </w:rPr>
            </w:pPr>
            <w:r w:rsidRPr="00B004EE">
              <w:rPr>
                <w:rFonts w:ascii="Tahoma" w:hAnsi="Tahoma" w:cs="Tahoma"/>
                <w:sz w:val="20"/>
                <w:szCs w:val="20"/>
              </w:rPr>
              <w:t>Coliformes thermotolérants +CT</w:t>
            </w:r>
          </w:p>
        </w:tc>
        <w:tc>
          <w:tcPr>
            <w:tcW w:w="1559" w:type="dxa"/>
            <w:gridSpan w:val="2"/>
            <w:tcBorders>
              <w:top w:val="nil"/>
              <w:left w:val="nil"/>
              <w:bottom w:val="single" w:sz="4" w:space="0" w:color="auto"/>
              <w:right w:val="single" w:sz="4" w:space="0" w:color="auto"/>
            </w:tcBorders>
            <w:shd w:val="clear" w:color="auto" w:fill="auto"/>
            <w:noWrap/>
            <w:vAlign w:val="bottom"/>
            <w:hideMark/>
          </w:tcPr>
          <w:p w14:paraId="7BF27D9C"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1050</w:t>
            </w:r>
          </w:p>
        </w:tc>
        <w:tc>
          <w:tcPr>
            <w:tcW w:w="1202" w:type="dxa"/>
            <w:gridSpan w:val="2"/>
            <w:tcBorders>
              <w:top w:val="nil"/>
              <w:left w:val="nil"/>
              <w:bottom w:val="single" w:sz="4" w:space="0" w:color="auto"/>
              <w:right w:val="single" w:sz="4" w:space="0" w:color="auto"/>
            </w:tcBorders>
            <w:shd w:val="clear" w:color="auto" w:fill="auto"/>
            <w:noWrap/>
            <w:vAlign w:val="bottom"/>
            <w:hideMark/>
          </w:tcPr>
          <w:p w14:paraId="20C9B6FF"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700</w:t>
            </w:r>
          </w:p>
        </w:tc>
      </w:tr>
      <w:tr w:rsidR="00150C90" w:rsidRPr="00B004EE" w14:paraId="47FE6341" w14:textId="77777777" w:rsidTr="00094B74">
        <w:trPr>
          <w:cantSplit/>
          <w:trHeight w:val="57"/>
          <w:jc w:val="center"/>
        </w:trPr>
        <w:tc>
          <w:tcPr>
            <w:tcW w:w="1392" w:type="dxa"/>
            <w:vMerge/>
            <w:tcBorders>
              <w:top w:val="nil"/>
              <w:left w:val="single" w:sz="4" w:space="0" w:color="auto"/>
              <w:bottom w:val="single" w:sz="4" w:space="0" w:color="000000"/>
              <w:right w:val="single" w:sz="4" w:space="0" w:color="auto"/>
            </w:tcBorders>
            <w:vAlign w:val="center"/>
            <w:hideMark/>
          </w:tcPr>
          <w:p w14:paraId="7F21112B" w14:textId="77777777" w:rsidR="00094B74" w:rsidRPr="00B004EE" w:rsidRDefault="00094B74" w:rsidP="00B004EE">
            <w:pPr>
              <w:rPr>
                <w:rFonts w:ascii="Tahoma" w:hAnsi="Tahoma" w:cs="Tahoma"/>
                <w:b/>
                <w:bCs/>
                <w:sz w:val="20"/>
                <w:szCs w:val="20"/>
              </w:rPr>
            </w:pPr>
          </w:p>
        </w:tc>
        <w:tc>
          <w:tcPr>
            <w:tcW w:w="1624" w:type="dxa"/>
            <w:vMerge/>
            <w:tcBorders>
              <w:top w:val="nil"/>
              <w:left w:val="single" w:sz="4" w:space="0" w:color="auto"/>
              <w:bottom w:val="single" w:sz="4" w:space="0" w:color="000000"/>
              <w:right w:val="single" w:sz="4" w:space="0" w:color="auto"/>
            </w:tcBorders>
            <w:vAlign w:val="center"/>
            <w:hideMark/>
          </w:tcPr>
          <w:p w14:paraId="329CA3EB" w14:textId="77777777" w:rsidR="00094B74" w:rsidRPr="00B004EE" w:rsidRDefault="00094B74" w:rsidP="00B004EE">
            <w:pPr>
              <w:rPr>
                <w:rFonts w:ascii="Tahoma" w:hAnsi="Tahoma" w:cs="Tahoma"/>
                <w:b/>
                <w:bCs/>
                <w:sz w:val="20"/>
                <w:szCs w:val="20"/>
              </w:rPr>
            </w:pPr>
          </w:p>
        </w:tc>
        <w:tc>
          <w:tcPr>
            <w:tcW w:w="4072" w:type="dxa"/>
            <w:gridSpan w:val="2"/>
            <w:tcBorders>
              <w:top w:val="nil"/>
              <w:left w:val="nil"/>
              <w:bottom w:val="single" w:sz="4" w:space="0" w:color="auto"/>
              <w:right w:val="single" w:sz="4" w:space="0" w:color="auto"/>
            </w:tcBorders>
            <w:shd w:val="clear" w:color="auto" w:fill="auto"/>
            <w:noWrap/>
            <w:vAlign w:val="bottom"/>
            <w:hideMark/>
          </w:tcPr>
          <w:p w14:paraId="3E494D9B" w14:textId="77777777" w:rsidR="00094B74" w:rsidRPr="00B004EE" w:rsidRDefault="00094B74" w:rsidP="00B004EE">
            <w:pPr>
              <w:rPr>
                <w:rFonts w:ascii="Tahoma" w:hAnsi="Tahoma" w:cs="Tahoma"/>
                <w:sz w:val="20"/>
                <w:szCs w:val="20"/>
              </w:rPr>
            </w:pPr>
            <w:r w:rsidRPr="00B004EE">
              <w:rPr>
                <w:rFonts w:ascii="Tahoma" w:hAnsi="Tahoma" w:cs="Tahoma"/>
                <w:sz w:val="20"/>
                <w:szCs w:val="20"/>
              </w:rPr>
              <w:t>Escherichia coli + CT + CF</w:t>
            </w:r>
          </w:p>
        </w:tc>
        <w:tc>
          <w:tcPr>
            <w:tcW w:w="1559" w:type="dxa"/>
            <w:gridSpan w:val="2"/>
            <w:tcBorders>
              <w:top w:val="nil"/>
              <w:left w:val="nil"/>
              <w:bottom w:val="single" w:sz="4" w:space="0" w:color="auto"/>
              <w:right w:val="single" w:sz="4" w:space="0" w:color="auto"/>
            </w:tcBorders>
            <w:shd w:val="clear" w:color="auto" w:fill="auto"/>
            <w:noWrap/>
            <w:vAlign w:val="bottom"/>
            <w:hideMark/>
          </w:tcPr>
          <w:p w14:paraId="1D3307FB"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1387,5</w:t>
            </w:r>
          </w:p>
        </w:tc>
        <w:tc>
          <w:tcPr>
            <w:tcW w:w="1202" w:type="dxa"/>
            <w:gridSpan w:val="2"/>
            <w:tcBorders>
              <w:top w:val="nil"/>
              <w:left w:val="nil"/>
              <w:bottom w:val="single" w:sz="4" w:space="0" w:color="auto"/>
              <w:right w:val="single" w:sz="4" w:space="0" w:color="auto"/>
            </w:tcBorders>
            <w:shd w:val="clear" w:color="auto" w:fill="auto"/>
            <w:noWrap/>
            <w:vAlign w:val="bottom"/>
            <w:hideMark/>
          </w:tcPr>
          <w:p w14:paraId="49C5E566"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925</w:t>
            </w:r>
          </w:p>
        </w:tc>
      </w:tr>
      <w:tr w:rsidR="00150C90" w:rsidRPr="00B004EE" w14:paraId="67B3731B" w14:textId="77777777" w:rsidTr="00094B74">
        <w:trPr>
          <w:cantSplit/>
          <w:trHeight w:val="57"/>
          <w:jc w:val="center"/>
        </w:trPr>
        <w:tc>
          <w:tcPr>
            <w:tcW w:w="1392" w:type="dxa"/>
            <w:vMerge/>
            <w:tcBorders>
              <w:top w:val="nil"/>
              <w:left w:val="single" w:sz="4" w:space="0" w:color="auto"/>
              <w:bottom w:val="single" w:sz="4" w:space="0" w:color="000000"/>
              <w:right w:val="single" w:sz="4" w:space="0" w:color="auto"/>
            </w:tcBorders>
            <w:vAlign w:val="center"/>
            <w:hideMark/>
          </w:tcPr>
          <w:p w14:paraId="05328F5B" w14:textId="77777777" w:rsidR="00094B74" w:rsidRPr="00B004EE" w:rsidRDefault="00094B74" w:rsidP="00B004EE">
            <w:pPr>
              <w:rPr>
                <w:rFonts w:ascii="Tahoma" w:hAnsi="Tahoma" w:cs="Tahoma"/>
                <w:b/>
                <w:bCs/>
                <w:sz w:val="20"/>
                <w:szCs w:val="20"/>
              </w:rPr>
            </w:pPr>
          </w:p>
        </w:tc>
        <w:tc>
          <w:tcPr>
            <w:tcW w:w="1624" w:type="dxa"/>
            <w:vMerge/>
            <w:tcBorders>
              <w:top w:val="nil"/>
              <w:left w:val="single" w:sz="4" w:space="0" w:color="auto"/>
              <w:bottom w:val="single" w:sz="4" w:space="0" w:color="000000"/>
              <w:right w:val="single" w:sz="4" w:space="0" w:color="auto"/>
            </w:tcBorders>
            <w:vAlign w:val="center"/>
            <w:hideMark/>
          </w:tcPr>
          <w:p w14:paraId="7FB24842" w14:textId="77777777" w:rsidR="00094B74" w:rsidRPr="00B004EE" w:rsidRDefault="00094B74" w:rsidP="00B004EE">
            <w:pPr>
              <w:rPr>
                <w:rFonts w:ascii="Tahoma" w:hAnsi="Tahoma" w:cs="Tahoma"/>
                <w:b/>
                <w:bCs/>
                <w:sz w:val="20"/>
                <w:szCs w:val="20"/>
              </w:rPr>
            </w:pPr>
          </w:p>
        </w:tc>
        <w:tc>
          <w:tcPr>
            <w:tcW w:w="4072" w:type="dxa"/>
            <w:gridSpan w:val="2"/>
            <w:tcBorders>
              <w:top w:val="nil"/>
              <w:left w:val="nil"/>
              <w:bottom w:val="single" w:sz="4" w:space="0" w:color="auto"/>
              <w:right w:val="single" w:sz="4" w:space="0" w:color="auto"/>
            </w:tcBorders>
            <w:shd w:val="clear" w:color="auto" w:fill="auto"/>
            <w:noWrap/>
            <w:vAlign w:val="bottom"/>
            <w:hideMark/>
          </w:tcPr>
          <w:p w14:paraId="758B00A3" w14:textId="77777777" w:rsidR="00094B74" w:rsidRPr="00B004EE" w:rsidRDefault="00094B74" w:rsidP="00B004EE">
            <w:pPr>
              <w:rPr>
                <w:rFonts w:ascii="Tahoma" w:hAnsi="Tahoma" w:cs="Tahoma"/>
                <w:sz w:val="20"/>
                <w:szCs w:val="20"/>
              </w:rPr>
            </w:pPr>
            <w:r w:rsidRPr="00B004EE">
              <w:rPr>
                <w:rFonts w:ascii="Tahoma" w:hAnsi="Tahoma" w:cs="Tahoma"/>
                <w:sz w:val="20"/>
                <w:szCs w:val="20"/>
              </w:rPr>
              <w:t xml:space="preserve">Entérocoques (streptocoques de groupe D) </w:t>
            </w:r>
          </w:p>
        </w:tc>
        <w:tc>
          <w:tcPr>
            <w:tcW w:w="1559" w:type="dxa"/>
            <w:gridSpan w:val="2"/>
            <w:tcBorders>
              <w:top w:val="nil"/>
              <w:left w:val="nil"/>
              <w:bottom w:val="single" w:sz="4" w:space="0" w:color="auto"/>
              <w:right w:val="single" w:sz="4" w:space="0" w:color="auto"/>
            </w:tcBorders>
            <w:shd w:val="clear" w:color="auto" w:fill="auto"/>
            <w:noWrap/>
            <w:vAlign w:val="bottom"/>
            <w:hideMark/>
          </w:tcPr>
          <w:p w14:paraId="70A4665F"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1125</w:t>
            </w:r>
          </w:p>
        </w:tc>
        <w:tc>
          <w:tcPr>
            <w:tcW w:w="1202" w:type="dxa"/>
            <w:gridSpan w:val="2"/>
            <w:tcBorders>
              <w:top w:val="nil"/>
              <w:left w:val="nil"/>
              <w:bottom w:val="single" w:sz="4" w:space="0" w:color="auto"/>
              <w:right w:val="single" w:sz="4" w:space="0" w:color="auto"/>
            </w:tcBorders>
            <w:shd w:val="clear" w:color="auto" w:fill="auto"/>
            <w:noWrap/>
            <w:vAlign w:val="bottom"/>
            <w:hideMark/>
          </w:tcPr>
          <w:p w14:paraId="6DF83FC6"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750</w:t>
            </w:r>
          </w:p>
        </w:tc>
      </w:tr>
      <w:tr w:rsidR="00150C90" w:rsidRPr="00B004EE" w14:paraId="1D672BB6" w14:textId="77777777" w:rsidTr="00094B74">
        <w:trPr>
          <w:cantSplit/>
          <w:trHeight w:val="57"/>
          <w:jc w:val="center"/>
        </w:trPr>
        <w:tc>
          <w:tcPr>
            <w:tcW w:w="1392" w:type="dxa"/>
            <w:vMerge/>
            <w:tcBorders>
              <w:top w:val="nil"/>
              <w:left w:val="single" w:sz="4" w:space="0" w:color="auto"/>
              <w:bottom w:val="single" w:sz="4" w:space="0" w:color="000000"/>
              <w:right w:val="single" w:sz="4" w:space="0" w:color="auto"/>
            </w:tcBorders>
            <w:vAlign w:val="center"/>
            <w:hideMark/>
          </w:tcPr>
          <w:p w14:paraId="6A53CD77" w14:textId="77777777" w:rsidR="00094B74" w:rsidRPr="00B004EE" w:rsidRDefault="00094B74" w:rsidP="00B004EE">
            <w:pPr>
              <w:rPr>
                <w:rFonts w:ascii="Tahoma" w:hAnsi="Tahoma" w:cs="Tahoma"/>
                <w:b/>
                <w:bCs/>
                <w:sz w:val="20"/>
                <w:szCs w:val="20"/>
              </w:rPr>
            </w:pPr>
          </w:p>
        </w:tc>
        <w:tc>
          <w:tcPr>
            <w:tcW w:w="1624" w:type="dxa"/>
            <w:vMerge/>
            <w:tcBorders>
              <w:top w:val="nil"/>
              <w:left w:val="single" w:sz="4" w:space="0" w:color="auto"/>
              <w:bottom w:val="single" w:sz="4" w:space="0" w:color="000000"/>
              <w:right w:val="single" w:sz="4" w:space="0" w:color="auto"/>
            </w:tcBorders>
            <w:vAlign w:val="center"/>
            <w:hideMark/>
          </w:tcPr>
          <w:p w14:paraId="2BFE3555" w14:textId="77777777" w:rsidR="00094B74" w:rsidRPr="00B004EE" w:rsidRDefault="00094B74" w:rsidP="00B004EE">
            <w:pPr>
              <w:rPr>
                <w:rFonts w:ascii="Tahoma" w:hAnsi="Tahoma" w:cs="Tahoma"/>
                <w:b/>
                <w:bCs/>
                <w:sz w:val="20"/>
                <w:szCs w:val="20"/>
              </w:rPr>
            </w:pPr>
          </w:p>
        </w:tc>
        <w:tc>
          <w:tcPr>
            <w:tcW w:w="4072" w:type="dxa"/>
            <w:gridSpan w:val="2"/>
            <w:tcBorders>
              <w:top w:val="nil"/>
              <w:left w:val="nil"/>
              <w:bottom w:val="single" w:sz="4" w:space="0" w:color="auto"/>
              <w:right w:val="single" w:sz="4" w:space="0" w:color="auto"/>
            </w:tcBorders>
            <w:shd w:val="clear" w:color="auto" w:fill="auto"/>
            <w:noWrap/>
            <w:vAlign w:val="bottom"/>
            <w:hideMark/>
          </w:tcPr>
          <w:p w14:paraId="5250D552" w14:textId="77777777" w:rsidR="00094B74" w:rsidRPr="00B004EE" w:rsidRDefault="00094B74" w:rsidP="00B004EE">
            <w:pPr>
              <w:rPr>
                <w:rFonts w:ascii="Tahoma" w:hAnsi="Tahoma" w:cs="Tahoma"/>
                <w:sz w:val="20"/>
                <w:szCs w:val="20"/>
              </w:rPr>
            </w:pPr>
            <w:r w:rsidRPr="00B004EE">
              <w:rPr>
                <w:rFonts w:ascii="Tahoma" w:hAnsi="Tahoma" w:cs="Tahoma"/>
                <w:sz w:val="20"/>
                <w:szCs w:val="20"/>
              </w:rPr>
              <w:t>ANSR</w:t>
            </w:r>
          </w:p>
        </w:tc>
        <w:tc>
          <w:tcPr>
            <w:tcW w:w="1559" w:type="dxa"/>
            <w:gridSpan w:val="2"/>
            <w:tcBorders>
              <w:top w:val="nil"/>
              <w:left w:val="nil"/>
              <w:bottom w:val="single" w:sz="4" w:space="0" w:color="auto"/>
              <w:right w:val="single" w:sz="4" w:space="0" w:color="auto"/>
            </w:tcBorders>
            <w:shd w:val="clear" w:color="auto" w:fill="auto"/>
            <w:noWrap/>
            <w:vAlign w:val="bottom"/>
            <w:hideMark/>
          </w:tcPr>
          <w:p w14:paraId="021483A8"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1012,5</w:t>
            </w:r>
          </w:p>
        </w:tc>
        <w:tc>
          <w:tcPr>
            <w:tcW w:w="1202" w:type="dxa"/>
            <w:gridSpan w:val="2"/>
            <w:tcBorders>
              <w:top w:val="nil"/>
              <w:left w:val="nil"/>
              <w:bottom w:val="single" w:sz="4" w:space="0" w:color="auto"/>
              <w:right w:val="single" w:sz="4" w:space="0" w:color="auto"/>
            </w:tcBorders>
            <w:shd w:val="clear" w:color="auto" w:fill="auto"/>
            <w:noWrap/>
            <w:vAlign w:val="bottom"/>
            <w:hideMark/>
          </w:tcPr>
          <w:p w14:paraId="680B87D7"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675</w:t>
            </w:r>
          </w:p>
        </w:tc>
      </w:tr>
      <w:tr w:rsidR="00150C90" w:rsidRPr="00B004EE" w14:paraId="3DC07688" w14:textId="77777777" w:rsidTr="00094B74">
        <w:trPr>
          <w:cantSplit/>
          <w:trHeight w:val="57"/>
          <w:jc w:val="center"/>
        </w:trPr>
        <w:tc>
          <w:tcPr>
            <w:tcW w:w="1392" w:type="dxa"/>
            <w:vMerge/>
            <w:tcBorders>
              <w:top w:val="nil"/>
              <w:left w:val="single" w:sz="4" w:space="0" w:color="auto"/>
              <w:bottom w:val="single" w:sz="4" w:space="0" w:color="000000"/>
              <w:right w:val="single" w:sz="4" w:space="0" w:color="auto"/>
            </w:tcBorders>
            <w:vAlign w:val="center"/>
            <w:hideMark/>
          </w:tcPr>
          <w:p w14:paraId="1A049F1D" w14:textId="77777777" w:rsidR="00094B74" w:rsidRPr="00B004EE" w:rsidRDefault="00094B74" w:rsidP="00B004EE">
            <w:pPr>
              <w:rPr>
                <w:rFonts w:ascii="Tahoma" w:hAnsi="Tahoma" w:cs="Tahoma"/>
                <w:b/>
                <w:bCs/>
                <w:sz w:val="20"/>
                <w:szCs w:val="20"/>
              </w:rPr>
            </w:pPr>
          </w:p>
        </w:tc>
        <w:tc>
          <w:tcPr>
            <w:tcW w:w="1624" w:type="dxa"/>
            <w:vMerge/>
            <w:tcBorders>
              <w:top w:val="nil"/>
              <w:left w:val="single" w:sz="4" w:space="0" w:color="auto"/>
              <w:bottom w:val="single" w:sz="4" w:space="0" w:color="000000"/>
              <w:right w:val="single" w:sz="4" w:space="0" w:color="auto"/>
            </w:tcBorders>
            <w:vAlign w:val="center"/>
            <w:hideMark/>
          </w:tcPr>
          <w:p w14:paraId="3E58E5A4" w14:textId="77777777" w:rsidR="00094B74" w:rsidRPr="00B004EE" w:rsidRDefault="00094B74" w:rsidP="00B004EE">
            <w:pPr>
              <w:rPr>
                <w:rFonts w:ascii="Tahoma" w:hAnsi="Tahoma" w:cs="Tahoma"/>
                <w:b/>
                <w:bCs/>
                <w:sz w:val="20"/>
                <w:szCs w:val="20"/>
              </w:rPr>
            </w:pPr>
          </w:p>
        </w:tc>
        <w:tc>
          <w:tcPr>
            <w:tcW w:w="4072" w:type="dxa"/>
            <w:gridSpan w:val="2"/>
            <w:tcBorders>
              <w:top w:val="nil"/>
              <w:left w:val="nil"/>
              <w:bottom w:val="single" w:sz="4" w:space="0" w:color="auto"/>
              <w:right w:val="single" w:sz="4" w:space="0" w:color="auto"/>
            </w:tcBorders>
            <w:shd w:val="clear" w:color="auto" w:fill="auto"/>
            <w:noWrap/>
            <w:vAlign w:val="bottom"/>
            <w:hideMark/>
          </w:tcPr>
          <w:p w14:paraId="736E90B4" w14:textId="77777777" w:rsidR="00094B74" w:rsidRPr="00B004EE" w:rsidRDefault="00094B74" w:rsidP="00B004EE">
            <w:pPr>
              <w:rPr>
                <w:rFonts w:ascii="Tahoma" w:hAnsi="Tahoma" w:cs="Tahoma"/>
                <w:sz w:val="20"/>
                <w:szCs w:val="20"/>
              </w:rPr>
            </w:pPr>
            <w:r w:rsidRPr="00B004EE">
              <w:rPr>
                <w:rFonts w:ascii="Tahoma" w:hAnsi="Tahoma" w:cs="Tahoma"/>
                <w:sz w:val="20"/>
                <w:szCs w:val="20"/>
              </w:rPr>
              <w:t>Clostridium perfringens</w:t>
            </w:r>
          </w:p>
        </w:tc>
        <w:tc>
          <w:tcPr>
            <w:tcW w:w="1559" w:type="dxa"/>
            <w:gridSpan w:val="2"/>
            <w:tcBorders>
              <w:top w:val="nil"/>
              <w:left w:val="nil"/>
              <w:bottom w:val="single" w:sz="4" w:space="0" w:color="auto"/>
              <w:right w:val="single" w:sz="4" w:space="0" w:color="auto"/>
            </w:tcBorders>
            <w:shd w:val="clear" w:color="auto" w:fill="auto"/>
            <w:noWrap/>
            <w:vAlign w:val="bottom"/>
            <w:hideMark/>
          </w:tcPr>
          <w:p w14:paraId="73B23835"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1000</w:t>
            </w:r>
          </w:p>
        </w:tc>
        <w:tc>
          <w:tcPr>
            <w:tcW w:w="1202" w:type="dxa"/>
            <w:gridSpan w:val="2"/>
            <w:tcBorders>
              <w:top w:val="nil"/>
              <w:left w:val="nil"/>
              <w:bottom w:val="single" w:sz="4" w:space="0" w:color="auto"/>
              <w:right w:val="single" w:sz="4" w:space="0" w:color="auto"/>
            </w:tcBorders>
            <w:shd w:val="clear" w:color="auto" w:fill="auto"/>
            <w:noWrap/>
            <w:vAlign w:val="bottom"/>
            <w:hideMark/>
          </w:tcPr>
          <w:p w14:paraId="17233BF9"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800</w:t>
            </w:r>
          </w:p>
        </w:tc>
      </w:tr>
      <w:tr w:rsidR="00150C90" w:rsidRPr="00B004EE" w14:paraId="4F1258F2" w14:textId="77777777" w:rsidTr="00094B74">
        <w:trPr>
          <w:cantSplit/>
          <w:trHeight w:val="57"/>
          <w:jc w:val="center"/>
        </w:trPr>
        <w:tc>
          <w:tcPr>
            <w:tcW w:w="1392" w:type="dxa"/>
            <w:vMerge/>
            <w:tcBorders>
              <w:top w:val="nil"/>
              <w:left w:val="single" w:sz="4" w:space="0" w:color="auto"/>
              <w:bottom w:val="single" w:sz="4" w:space="0" w:color="000000"/>
              <w:right w:val="single" w:sz="4" w:space="0" w:color="auto"/>
            </w:tcBorders>
            <w:vAlign w:val="center"/>
            <w:hideMark/>
          </w:tcPr>
          <w:p w14:paraId="1B90064A" w14:textId="77777777" w:rsidR="00094B74" w:rsidRPr="00B004EE" w:rsidRDefault="00094B74" w:rsidP="00B004EE">
            <w:pPr>
              <w:rPr>
                <w:rFonts w:ascii="Tahoma" w:hAnsi="Tahoma" w:cs="Tahoma"/>
                <w:b/>
                <w:bCs/>
                <w:sz w:val="20"/>
                <w:szCs w:val="20"/>
              </w:rPr>
            </w:pPr>
          </w:p>
        </w:tc>
        <w:tc>
          <w:tcPr>
            <w:tcW w:w="1624" w:type="dxa"/>
            <w:vMerge/>
            <w:tcBorders>
              <w:top w:val="nil"/>
              <w:left w:val="single" w:sz="4" w:space="0" w:color="auto"/>
              <w:bottom w:val="single" w:sz="4" w:space="0" w:color="000000"/>
              <w:right w:val="single" w:sz="4" w:space="0" w:color="auto"/>
            </w:tcBorders>
            <w:vAlign w:val="center"/>
            <w:hideMark/>
          </w:tcPr>
          <w:p w14:paraId="7F4E1846" w14:textId="77777777" w:rsidR="00094B74" w:rsidRPr="00B004EE" w:rsidRDefault="00094B74" w:rsidP="00B004EE">
            <w:pPr>
              <w:rPr>
                <w:rFonts w:ascii="Tahoma" w:hAnsi="Tahoma" w:cs="Tahoma"/>
                <w:b/>
                <w:bCs/>
                <w:sz w:val="20"/>
                <w:szCs w:val="20"/>
              </w:rPr>
            </w:pPr>
          </w:p>
        </w:tc>
        <w:tc>
          <w:tcPr>
            <w:tcW w:w="4072" w:type="dxa"/>
            <w:gridSpan w:val="2"/>
            <w:tcBorders>
              <w:top w:val="nil"/>
              <w:left w:val="nil"/>
              <w:bottom w:val="single" w:sz="4" w:space="0" w:color="auto"/>
              <w:right w:val="single" w:sz="4" w:space="0" w:color="auto"/>
            </w:tcBorders>
            <w:shd w:val="clear" w:color="auto" w:fill="auto"/>
            <w:noWrap/>
            <w:vAlign w:val="bottom"/>
            <w:hideMark/>
          </w:tcPr>
          <w:p w14:paraId="72063C00" w14:textId="77777777" w:rsidR="00094B74" w:rsidRPr="00B004EE" w:rsidRDefault="00094B74" w:rsidP="00B004EE">
            <w:pPr>
              <w:rPr>
                <w:rFonts w:ascii="Tahoma" w:hAnsi="Tahoma" w:cs="Tahoma"/>
                <w:sz w:val="20"/>
                <w:szCs w:val="20"/>
              </w:rPr>
            </w:pPr>
            <w:r w:rsidRPr="00B004EE">
              <w:rPr>
                <w:rFonts w:ascii="Tahoma" w:hAnsi="Tahoma" w:cs="Tahoma"/>
                <w:sz w:val="20"/>
                <w:szCs w:val="20"/>
              </w:rPr>
              <w:t>Salmonella</w:t>
            </w:r>
          </w:p>
        </w:tc>
        <w:tc>
          <w:tcPr>
            <w:tcW w:w="1559" w:type="dxa"/>
            <w:gridSpan w:val="2"/>
            <w:tcBorders>
              <w:top w:val="nil"/>
              <w:left w:val="nil"/>
              <w:bottom w:val="single" w:sz="4" w:space="0" w:color="auto"/>
              <w:right w:val="single" w:sz="4" w:space="0" w:color="auto"/>
            </w:tcBorders>
            <w:shd w:val="clear" w:color="auto" w:fill="auto"/>
            <w:noWrap/>
            <w:vAlign w:val="bottom"/>
            <w:hideMark/>
          </w:tcPr>
          <w:p w14:paraId="7438AE87"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2200</w:t>
            </w:r>
          </w:p>
        </w:tc>
        <w:tc>
          <w:tcPr>
            <w:tcW w:w="1202" w:type="dxa"/>
            <w:gridSpan w:val="2"/>
            <w:tcBorders>
              <w:top w:val="nil"/>
              <w:left w:val="nil"/>
              <w:bottom w:val="single" w:sz="4" w:space="0" w:color="auto"/>
              <w:right w:val="single" w:sz="4" w:space="0" w:color="auto"/>
            </w:tcBorders>
            <w:shd w:val="clear" w:color="auto" w:fill="auto"/>
            <w:noWrap/>
            <w:vAlign w:val="bottom"/>
            <w:hideMark/>
          </w:tcPr>
          <w:p w14:paraId="3D8C6BDA"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150</w:t>
            </w:r>
          </w:p>
        </w:tc>
      </w:tr>
      <w:tr w:rsidR="00150C90" w:rsidRPr="00B004EE" w14:paraId="52940644" w14:textId="77777777" w:rsidTr="00094B74">
        <w:trPr>
          <w:cantSplit/>
          <w:trHeight w:val="57"/>
          <w:jc w:val="center"/>
        </w:trPr>
        <w:tc>
          <w:tcPr>
            <w:tcW w:w="1392" w:type="dxa"/>
            <w:vMerge/>
            <w:tcBorders>
              <w:top w:val="nil"/>
              <w:left w:val="single" w:sz="4" w:space="0" w:color="auto"/>
              <w:bottom w:val="single" w:sz="4" w:space="0" w:color="000000"/>
              <w:right w:val="single" w:sz="4" w:space="0" w:color="auto"/>
            </w:tcBorders>
            <w:vAlign w:val="center"/>
            <w:hideMark/>
          </w:tcPr>
          <w:p w14:paraId="0DEB1216" w14:textId="77777777" w:rsidR="00094B74" w:rsidRPr="00B004EE" w:rsidRDefault="00094B74" w:rsidP="00B004EE">
            <w:pPr>
              <w:rPr>
                <w:rFonts w:ascii="Tahoma" w:hAnsi="Tahoma" w:cs="Tahoma"/>
                <w:b/>
                <w:bCs/>
                <w:sz w:val="20"/>
                <w:szCs w:val="20"/>
              </w:rPr>
            </w:pPr>
          </w:p>
        </w:tc>
        <w:tc>
          <w:tcPr>
            <w:tcW w:w="1624" w:type="dxa"/>
            <w:vMerge/>
            <w:tcBorders>
              <w:top w:val="nil"/>
              <w:left w:val="single" w:sz="4" w:space="0" w:color="auto"/>
              <w:bottom w:val="single" w:sz="4" w:space="0" w:color="000000"/>
              <w:right w:val="single" w:sz="4" w:space="0" w:color="auto"/>
            </w:tcBorders>
            <w:vAlign w:val="center"/>
            <w:hideMark/>
          </w:tcPr>
          <w:p w14:paraId="0E218520" w14:textId="77777777" w:rsidR="00094B74" w:rsidRPr="00B004EE" w:rsidRDefault="00094B74" w:rsidP="00B004EE">
            <w:pPr>
              <w:rPr>
                <w:rFonts w:ascii="Tahoma" w:hAnsi="Tahoma" w:cs="Tahoma"/>
                <w:b/>
                <w:bCs/>
                <w:sz w:val="20"/>
                <w:szCs w:val="20"/>
              </w:rPr>
            </w:pPr>
          </w:p>
        </w:tc>
        <w:tc>
          <w:tcPr>
            <w:tcW w:w="4072" w:type="dxa"/>
            <w:gridSpan w:val="2"/>
            <w:tcBorders>
              <w:top w:val="nil"/>
              <w:left w:val="nil"/>
              <w:bottom w:val="single" w:sz="4" w:space="0" w:color="auto"/>
              <w:right w:val="single" w:sz="4" w:space="0" w:color="auto"/>
            </w:tcBorders>
            <w:shd w:val="clear" w:color="auto" w:fill="auto"/>
            <w:noWrap/>
            <w:vAlign w:val="bottom"/>
            <w:hideMark/>
          </w:tcPr>
          <w:p w14:paraId="36FCD9C4" w14:textId="77777777" w:rsidR="00094B74" w:rsidRPr="00B004EE" w:rsidRDefault="00094B74" w:rsidP="00B004EE">
            <w:pPr>
              <w:rPr>
                <w:rFonts w:ascii="Tahoma" w:hAnsi="Tahoma" w:cs="Tahoma"/>
                <w:sz w:val="20"/>
                <w:szCs w:val="20"/>
              </w:rPr>
            </w:pPr>
            <w:r w:rsidRPr="00B004EE">
              <w:rPr>
                <w:rFonts w:ascii="Tahoma" w:hAnsi="Tahoma" w:cs="Tahoma"/>
                <w:sz w:val="20"/>
                <w:szCs w:val="20"/>
              </w:rPr>
              <w:t>Vibrions sp</w:t>
            </w:r>
          </w:p>
        </w:tc>
        <w:tc>
          <w:tcPr>
            <w:tcW w:w="1559" w:type="dxa"/>
            <w:gridSpan w:val="2"/>
            <w:tcBorders>
              <w:top w:val="nil"/>
              <w:left w:val="nil"/>
              <w:bottom w:val="single" w:sz="4" w:space="0" w:color="auto"/>
              <w:right w:val="single" w:sz="4" w:space="0" w:color="auto"/>
            </w:tcBorders>
            <w:shd w:val="clear" w:color="auto" w:fill="auto"/>
            <w:noWrap/>
            <w:vAlign w:val="bottom"/>
            <w:hideMark/>
          </w:tcPr>
          <w:p w14:paraId="1D3B1670"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1875</w:t>
            </w:r>
          </w:p>
        </w:tc>
        <w:tc>
          <w:tcPr>
            <w:tcW w:w="1202" w:type="dxa"/>
            <w:gridSpan w:val="2"/>
            <w:tcBorders>
              <w:top w:val="nil"/>
              <w:left w:val="nil"/>
              <w:bottom w:val="single" w:sz="4" w:space="0" w:color="auto"/>
              <w:right w:val="single" w:sz="4" w:space="0" w:color="auto"/>
            </w:tcBorders>
            <w:shd w:val="clear" w:color="auto" w:fill="auto"/>
            <w:noWrap/>
            <w:vAlign w:val="bottom"/>
            <w:hideMark/>
          </w:tcPr>
          <w:p w14:paraId="7ED87F2E"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1250</w:t>
            </w:r>
          </w:p>
        </w:tc>
      </w:tr>
      <w:tr w:rsidR="00150C90" w:rsidRPr="00B004EE" w14:paraId="3A2C17A6" w14:textId="77777777" w:rsidTr="00094B74">
        <w:trPr>
          <w:cantSplit/>
          <w:trHeight w:val="57"/>
          <w:jc w:val="center"/>
        </w:trPr>
        <w:tc>
          <w:tcPr>
            <w:tcW w:w="1392" w:type="dxa"/>
            <w:vMerge/>
            <w:tcBorders>
              <w:top w:val="nil"/>
              <w:left w:val="single" w:sz="4" w:space="0" w:color="auto"/>
              <w:bottom w:val="single" w:sz="4" w:space="0" w:color="000000"/>
              <w:right w:val="single" w:sz="4" w:space="0" w:color="auto"/>
            </w:tcBorders>
            <w:vAlign w:val="center"/>
            <w:hideMark/>
          </w:tcPr>
          <w:p w14:paraId="13C1309A" w14:textId="77777777" w:rsidR="00094B74" w:rsidRPr="00B004EE" w:rsidRDefault="00094B74" w:rsidP="00B004EE">
            <w:pPr>
              <w:rPr>
                <w:rFonts w:ascii="Tahoma" w:hAnsi="Tahoma" w:cs="Tahoma"/>
                <w:b/>
                <w:bCs/>
                <w:sz w:val="20"/>
                <w:szCs w:val="20"/>
              </w:rPr>
            </w:pPr>
          </w:p>
        </w:tc>
        <w:tc>
          <w:tcPr>
            <w:tcW w:w="1624" w:type="dxa"/>
            <w:vMerge/>
            <w:tcBorders>
              <w:top w:val="nil"/>
              <w:left w:val="single" w:sz="4" w:space="0" w:color="auto"/>
              <w:bottom w:val="single" w:sz="4" w:space="0" w:color="000000"/>
              <w:right w:val="single" w:sz="4" w:space="0" w:color="auto"/>
            </w:tcBorders>
            <w:vAlign w:val="center"/>
            <w:hideMark/>
          </w:tcPr>
          <w:p w14:paraId="75724BE0" w14:textId="77777777" w:rsidR="00094B74" w:rsidRPr="00B004EE" w:rsidRDefault="00094B74" w:rsidP="00B004EE">
            <w:pPr>
              <w:rPr>
                <w:rFonts w:ascii="Tahoma" w:hAnsi="Tahoma" w:cs="Tahoma"/>
                <w:b/>
                <w:bCs/>
                <w:sz w:val="20"/>
                <w:szCs w:val="20"/>
              </w:rPr>
            </w:pPr>
          </w:p>
        </w:tc>
        <w:tc>
          <w:tcPr>
            <w:tcW w:w="4072" w:type="dxa"/>
            <w:gridSpan w:val="2"/>
            <w:tcBorders>
              <w:top w:val="nil"/>
              <w:left w:val="nil"/>
              <w:bottom w:val="single" w:sz="4" w:space="0" w:color="auto"/>
              <w:right w:val="single" w:sz="4" w:space="0" w:color="auto"/>
            </w:tcBorders>
            <w:shd w:val="clear" w:color="auto" w:fill="auto"/>
            <w:noWrap/>
            <w:vAlign w:val="bottom"/>
            <w:hideMark/>
          </w:tcPr>
          <w:p w14:paraId="3CD5B89A" w14:textId="77777777" w:rsidR="00094B74" w:rsidRPr="00B004EE" w:rsidRDefault="00094B74" w:rsidP="00B004EE">
            <w:pPr>
              <w:rPr>
                <w:rFonts w:ascii="Tahoma" w:hAnsi="Tahoma" w:cs="Tahoma"/>
                <w:sz w:val="20"/>
                <w:szCs w:val="20"/>
              </w:rPr>
            </w:pPr>
            <w:r w:rsidRPr="00B004EE">
              <w:rPr>
                <w:rFonts w:ascii="Tahoma" w:hAnsi="Tahoma" w:cs="Tahoma"/>
                <w:sz w:val="20"/>
                <w:szCs w:val="20"/>
              </w:rPr>
              <w:t>Phytoplancton</w:t>
            </w:r>
          </w:p>
        </w:tc>
        <w:tc>
          <w:tcPr>
            <w:tcW w:w="1559" w:type="dxa"/>
            <w:gridSpan w:val="2"/>
            <w:tcBorders>
              <w:top w:val="nil"/>
              <w:left w:val="nil"/>
              <w:bottom w:val="single" w:sz="4" w:space="0" w:color="auto"/>
              <w:right w:val="single" w:sz="4" w:space="0" w:color="auto"/>
            </w:tcBorders>
            <w:shd w:val="clear" w:color="auto" w:fill="auto"/>
            <w:noWrap/>
            <w:vAlign w:val="bottom"/>
            <w:hideMark/>
          </w:tcPr>
          <w:p w14:paraId="6E17B8E5"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1200</w:t>
            </w:r>
          </w:p>
        </w:tc>
        <w:tc>
          <w:tcPr>
            <w:tcW w:w="1202" w:type="dxa"/>
            <w:gridSpan w:val="2"/>
            <w:tcBorders>
              <w:top w:val="nil"/>
              <w:left w:val="nil"/>
              <w:bottom w:val="single" w:sz="4" w:space="0" w:color="auto"/>
              <w:right w:val="single" w:sz="4" w:space="0" w:color="auto"/>
            </w:tcBorders>
            <w:shd w:val="clear" w:color="auto" w:fill="auto"/>
            <w:noWrap/>
            <w:vAlign w:val="bottom"/>
            <w:hideMark/>
          </w:tcPr>
          <w:p w14:paraId="1F1D17F0"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1000</w:t>
            </w:r>
          </w:p>
        </w:tc>
      </w:tr>
      <w:tr w:rsidR="00150C90" w:rsidRPr="00B004EE" w14:paraId="6B7FDAEA" w14:textId="77777777" w:rsidTr="00094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8" w:type="dxa"/>
          <w:cantSplit/>
          <w:trHeight w:val="57"/>
          <w:jc w:val="center"/>
        </w:trPr>
        <w:tc>
          <w:tcPr>
            <w:tcW w:w="1488" w:type="dxa"/>
            <w:vAlign w:val="center"/>
          </w:tcPr>
          <w:p w14:paraId="4893FD64" w14:textId="77777777" w:rsidR="00094B74" w:rsidRPr="00B004EE" w:rsidRDefault="00094B74" w:rsidP="00B004EE">
            <w:pPr>
              <w:jc w:val="center"/>
              <w:rPr>
                <w:rFonts w:ascii="Tahoma" w:hAnsi="Tahoma" w:cs="Tahoma"/>
                <w:b/>
                <w:bCs/>
                <w:sz w:val="20"/>
                <w:szCs w:val="20"/>
              </w:rPr>
            </w:pPr>
            <w:r w:rsidRPr="00B004EE">
              <w:rPr>
                <w:rFonts w:ascii="Tahoma" w:hAnsi="Tahoma" w:cs="Tahoma"/>
                <w:b/>
                <w:bCs/>
                <w:sz w:val="20"/>
                <w:szCs w:val="20"/>
              </w:rPr>
              <w:t>Nature de l'échantillon</w:t>
            </w:r>
          </w:p>
        </w:tc>
        <w:tc>
          <w:tcPr>
            <w:tcW w:w="1624" w:type="dxa"/>
            <w:vAlign w:val="center"/>
          </w:tcPr>
          <w:p w14:paraId="706CC71B" w14:textId="77777777" w:rsidR="00094B74" w:rsidRPr="00B004EE" w:rsidRDefault="00094B74" w:rsidP="00B004EE">
            <w:pPr>
              <w:jc w:val="center"/>
              <w:rPr>
                <w:rFonts w:ascii="Tahoma" w:hAnsi="Tahoma" w:cs="Tahoma"/>
                <w:b/>
                <w:bCs/>
                <w:sz w:val="20"/>
                <w:szCs w:val="20"/>
              </w:rPr>
            </w:pPr>
            <w:r w:rsidRPr="00B004EE">
              <w:rPr>
                <w:rFonts w:ascii="Tahoma" w:hAnsi="Tahoma" w:cs="Tahoma"/>
                <w:b/>
                <w:bCs/>
                <w:sz w:val="20"/>
                <w:szCs w:val="20"/>
              </w:rPr>
              <w:t>Domaine d'analyse</w:t>
            </w:r>
          </w:p>
        </w:tc>
        <w:tc>
          <w:tcPr>
            <w:tcW w:w="3880" w:type="dxa"/>
            <w:shd w:val="clear" w:color="auto" w:fill="auto"/>
            <w:noWrap/>
            <w:vAlign w:val="center"/>
          </w:tcPr>
          <w:p w14:paraId="181F5896" w14:textId="77777777" w:rsidR="00094B74" w:rsidRPr="00B004EE" w:rsidRDefault="00094B74" w:rsidP="00B004EE">
            <w:pPr>
              <w:jc w:val="center"/>
              <w:rPr>
                <w:rFonts w:ascii="Tahoma" w:hAnsi="Tahoma" w:cs="Tahoma"/>
                <w:b/>
                <w:bCs/>
                <w:sz w:val="20"/>
                <w:szCs w:val="20"/>
              </w:rPr>
            </w:pPr>
            <w:r w:rsidRPr="00B004EE">
              <w:rPr>
                <w:rFonts w:ascii="Tahoma" w:hAnsi="Tahoma" w:cs="Tahoma"/>
                <w:b/>
                <w:bCs/>
                <w:sz w:val="20"/>
                <w:szCs w:val="20"/>
              </w:rPr>
              <w:t xml:space="preserve">Analyse </w:t>
            </w:r>
          </w:p>
        </w:tc>
        <w:tc>
          <w:tcPr>
            <w:tcW w:w="1560" w:type="dxa"/>
            <w:gridSpan w:val="2"/>
            <w:shd w:val="clear" w:color="auto" w:fill="auto"/>
            <w:noWrap/>
            <w:vAlign w:val="center"/>
          </w:tcPr>
          <w:p w14:paraId="05963D0D" w14:textId="77777777" w:rsidR="00094B74" w:rsidRPr="00B004EE" w:rsidRDefault="00094B74" w:rsidP="00B004EE">
            <w:pPr>
              <w:jc w:val="center"/>
              <w:rPr>
                <w:rFonts w:ascii="Tahoma" w:hAnsi="Tahoma" w:cs="Tahoma"/>
                <w:b/>
                <w:bCs/>
                <w:sz w:val="20"/>
                <w:szCs w:val="20"/>
              </w:rPr>
            </w:pPr>
            <w:r w:rsidRPr="00B004EE">
              <w:rPr>
                <w:rFonts w:ascii="Tahoma" w:hAnsi="Tahoma" w:cs="Tahoma"/>
                <w:b/>
                <w:bCs/>
                <w:sz w:val="20"/>
                <w:szCs w:val="20"/>
              </w:rPr>
              <w:t xml:space="preserve">Tarifs Prestation </w:t>
            </w:r>
          </w:p>
        </w:tc>
        <w:tc>
          <w:tcPr>
            <w:tcW w:w="1275" w:type="dxa"/>
            <w:gridSpan w:val="2"/>
            <w:shd w:val="clear" w:color="auto" w:fill="auto"/>
            <w:noWrap/>
            <w:vAlign w:val="center"/>
          </w:tcPr>
          <w:p w14:paraId="6FB0C4EE" w14:textId="77777777" w:rsidR="00094B74" w:rsidRPr="00B004EE" w:rsidRDefault="00094B74" w:rsidP="00B004EE">
            <w:pPr>
              <w:jc w:val="center"/>
              <w:rPr>
                <w:rFonts w:ascii="Tahoma" w:hAnsi="Tahoma" w:cs="Tahoma"/>
                <w:b/>
                <w:bCs/>
                <w:sz w:val="20"/>
                <w:szCs w:val="20"/>
              </w:rPr>
            </w:pPr>
            <w:r w:rsidRPr="00B004EE">
              <w:rPr>
                <w:rFonts w:ascii="Tahoma" w:hAnsi="Tahoma" w:cs="Tahoma"/>
                <w:b/>
                <w:bCs/>
                <w:sz w:val="20"/>
                <w:szCs w:val="20"/>
              </w:rPr>
              <w:t xml:space="preserve"> Tarifs contrat*</w:t>
            </w:r>
          </w:p>
        </w:tc>
      </w:tr>
      <w:tr w:rsidR="00150C90" w:rsidRPr="00B004EE" w14:paraId="7B857965" w14:textId="77777777" w:rsidTr="00094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8" w:type="dxa"/>
          <w:cantSplit/>
          <w:trHeight w:val="57"/>
          <w:jc w:val="center"/>
        </w:trPr>
        <w:tc>
          <w:tcPr>
            <w:tcW w:w="1488" w:type="dxa"/>
            <w:vMerge w:val="restart"/>
            <w:shd w:val="clear" w:color="auto" w:fill="auto"/>
            <w:textDirection w:val="btLr"/>
            <w:vAlign w:val="center"/>
            <w:hideMark/>
          </w:tcPr>
          <w:p w14:paraId="22FE37F9" w14:textId="77777777" w:rsidR="00094B74" w:rsidRPr="00B004EE" w:rsidRDefault="00094B74" w:rsidP="00B004EE">
            <w:pPr>
              <w:jc w:val="center"/>
              <w:rPr>
                <w:rFonts w:ascii="Tahoma" w:hAnsi="Tahoma" w:cs="Tahoma"/>
                <w:b/>
                <w:bCs/>
                <w:sz w:val="20"/>
                <w:szCs w:val="20"/>
              </w:rPr>
            </w:pPr>
            <w:r w:rsidRPr="00B004EE">
              <w:rPr>
                <w:rFonts w:ascii="Tahoma" w:hAnsi="Tahoma" w:cs="Tahoma"/>
                <w:b/>
                <w:bCs/>
                <w:sz w:val="20"/>
                <w:szCs w:val="20"/>
              </w:rPr>
              <w:t xml:space="preserve">Produit de la pêche </w:t>
            </w:r>
          </w:p>
        </w:tc>
        <w:tc>
          <w:tcPr>
            <w:tcW w:w="1624" w:type="dxa"/>
            <w:vMerge w:val="restart"/>
            <w:shd w:val="clear" w:color="auto" w:fill="auto"/>
            <w:textDirection w:val="btLr"/>
            <w:vAlign w:val="center"/>
            <w:hideMark/>
          </w:tcPr>
          <w:p w14:paraId="0DB613C4" w14:textId="77777777" w:rsidR="00094B74" w:rsidRPr="00B004EE" w:rsidRDefault="00094B74" w:rsidP="00B004EE">
            <w:pPr>
              <w:jc w:val="center"/>
              <w:rPr>
                <w:rFonts w:ascii="Tahoma" w:hAnsi="Tahoma" w:cs="Tahoma"/>
                <w:b/>
                <w:bCs/>
                <w:sz w:val="20"/>
                <w:szCs w:val="20"/>
              </w:rPr>
            </w:pPr>
            <w:r w:rsidRPr="00B004EE">
              <w:rPr>
                <w:rFonts w:ascii="Tahoma" w:hAnsi="Tahoma" w:cs="Tahoma"/>
                <w:b/>
                <w:bCs/>
                <w:sz w:val="20"/>
                <w:szCs w:val="20"/>
              </w:rPr>
              <w:t>Analyses chimiques</w:t>
            </w:r>
          </w:p>
        </w:tc>
        <w:tc>
          <w:tcPr>
            <w:tcW w:w="3880" w:type="dxa"/>
            <w:shd w:val="clear" w:color="auto" w:fill="auto"/>
            <w:noWrap/>
            <w:vAlign w:val="bottom"/>
            <w:hideMark/>
          </w:tcPr>
          <w:p w14:paraId="1D21048C" w14:textId="77777777" w:rsidR="00094B74" w:rsidRPr="00B004EE" w:rsidRDefault="00094B74" w:rsidP="00B004EE">
            <w:pPr>
              <w:rPr>
                <w:rFonts w:ascii="Tahoma" w:hAnsi="Tahoma" w:cs="Tahoma"/>
                <w:sz w:val="20"/>
                <w:szCs w:val="20"/>
              </w:rPr>
            </w:pPr>
            <w:r w:rsidRPr="00B004EE">
              <w:rPr>
                <w:rFonts w:ascii="Tahoma" w:hAnsi="Tahoma" w:cs="Tahoma"/>
                <w:sz w:val="20"/>
                <w:szCs w:val="20"/>
              </w:rPr>
              <w:t>ABVT</w:t>
            </w:r>
          </w:p>
        </w:tc>
        <w:tc>
          <w:tcPr>
            <w:tcW w:w="1560" w:type="dxa"/>
            <w:gridSpan w:val="2"/>
            <w:shd w:val="clear" w:color="auto" w:fill="auto"/>
            <w:noWrap/>
            <w:vAlign w:val="bottom"/>
            <w:hideMark/>
          </w:tcPr>
          <w:p w14:paraId="16B82722"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750</w:t>
            </w:r>
          </w:p>
        </w:tc>
        <w:tc>
          <w:tcPr>
            <w:tcW w:w="1275" w:type="dxa"/>
            <w:gridSpan w:val="2"/>
            <w:shd w:val="clear" w:color="auto" w:fill="auto"/>
            <w:noWrap/>
            <w:vAlign w:val="bottom"/>
            <w:hideMark/>
          </w:tcPr>
          <w:p w14:paraId="31C206A3"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500</w:t>
            </w:r>
          </w:p>
        </w:tc>
      </w:tr>
      <w:tr w:rsidR="00150C90" w:rsidRPr="00B004EE" w14:paraId="627D335A" w14:textId="77777777" w:rsidTr="00094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8" w:type="dxa"/>
          <w:cantSplit/>
          <w:trHeight w:val="57"/>
          <w:jc w:val="center"/>
        </w:trPr>
        <w:tc>
          <w:tcPr>
            <w:tcW w:w="1488" w:type="dxa"/>
            <w:vMerge/>
            <w:vAlign w:val="center"/>
            <w:hideMark/>
          </w:tcPr>
          <w:p w14:paraId="4A8F2442" w14:textId="77777777" w:rsidR="00094B74" w:rsidRPr="00B004EE" w:rsidRDefault="00094B74" w:rsidP="00B004EE">
            <w:pPr>
              <w:rPr>
                <w:rFonts w:ascii="Tahoma" w:hAnsi="Tahoma" w:cs="Tahoma"/>
                <w:b/>
                <w:bCs/>
                <w:sz w:val="20"/>
                <w:szCs w:val="20"/>
              </w:rPr>
            </w:pPr>
          </w:p>
        </w:tc>
        <w:tc>
          <w:tcPr>
            <w:tcW w:w="1624" w:type="dxa"/>
            <w:vMerge/>
            <w:vAlign w:val="center"/>
            <w:hideMark/>
          </w:tcPr>
          <w:p w14:paraId="706EC886" w14:textId="77777777" w:rsidR="00094B74" w:rsidRPr="00B004EE" w:rsidRDefault="00094B74" w:rsidP="00B004EE">
            <w:pPr>
              <w:rPr>
                <w:rFonts w:ascii="Tahoma" w:hAnsi="Tahoma" w:cs="Tahoma"/>
                <w:b/>
                <w:bCs/>
                <w:sz w:val="20"/>
                <w:szCs w:val="20"/>
              </w:rPr>
            </w:pPr>
          </w:p>
        </w:tc>
        <w:tc>
          <w:tcPr>
            <w:tcW w:w="3880" w:type="dxa"/>
            <w:shd w:val="clear" w:color="auto" w:fill="auto"/>
            <w:noWrap/>
            <w:vAlign w:val="bottom"/>
            <w:hideMark/>
          </w:tcPr>
          <w:p w14:paraId="650FA0A2" w14:textId="77777777" w:rsidR="00094B74" w:rsidRPr="00B004EE" w:rsidRDefault="00094B74" w:rsidP="00B004EE">
            <w:pPr>
              <w:rPr>
                <w:rFonts w:ascii="Tahoma" w:hAnsi="Tahoma" w:cs="Tahoma"/>
                <w:sz w:val="20"/>
                <w:szCs w:val="20"/>
              </w:rPr>
            </w:pPr>
            <w:r w:rsidRPr="00B004EE">
              <w:rPr>
                <w:rFonts w:ascii="Tahoma" w:hAnsi="Tahoma" w:cs="Tahoma"/>
                <w:sz w:val="20"/>
                <w:szCs w:val="20"/>
              </w:rPr>
              <w:t>TMA</w:t>
            </w:r>
          </w:p>
        </w:tc>
        <w:tc>
          <w:tcPr>
            <w:tcW w:w="1560" w:type="dxa"/>
            <w:gridSpan w:val="2"/>
            <w:shd w:val="clear" w:color="auto" w:fill="auto"/>
            <w:noWrap/>
            <w:vAlign w:val="bottom"/>
            <w:hideMark/>
          </w:tcPr>
          <w:p w14:paraId="23924CAE"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787,5</w:t>
            </w:r>
          </w:p>
        </w:tc>
        <w:tc>
          <w:tcPr>
            <w:tcW w:w="1275" w:type="dxa"/>
            <w:gridSpan w:val="2"/>
            <w:shd w:val="clear" w:color="auto" w:fill="auto"/>
            <w:noWrap/>
            <w:vAlign w:val="bottom"/>
            <w:hideMark/>
          </w:tcPr>
          <w:p w14:paraId="3E948348"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525</w:t>
            </w:r>
          </w:p>
        </w:tc>
      </w:tr>
      <w:tr w:rsidR="00150C90" w:rsidRPr="00B004EE" w14:paraId="5D7FBB98" w14:textId="77777777" w:rsidTr="00094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8" w:type="dxa"/>
          <w:cantSplit/>
          <w:trHeight w:val="57"/>
          <w:jc w:val="center"/>
        </w:trPr>
        <w:tc>
          <w:tcPr>
            <w:tcW w:w="1488" w:type="dxa"/>
            <w:vMerge/>
            <w:vAlign w:val="center"/>
            <w:hideMark/>
          </w:tcPr>
          <w:p w14:paraId="7827E77F" w14:textId="77777777" w:rsidR="00094B74" w:rsidRPr="00B004EE" w:rsidRDefault="00094B74" w:rsidP="00B004EE">
            <w:pPr>
              <w:rPr>
                <w:rFonts w:ascii="Tahoma" w:hAnsi="Tahoma" w:cs="Tahoma"/>
                <w:b/>
                <w:bCs/>
                <w:sz w:val="20"/>
                <w:szCs w:val="20"/>
              </w:rPr>
            </w:pPr>
          </w:p>
        </w:tc>
        <w:tc>
          <w:tcPr>
            <w:tcW w:w="1624" w:type="dxa"/>
            <w:vMerge/>
            <w:vAlign w:val="center"/>
            <w:hideMark/>
          </w:tcPr>
          <w:p w14:paraId="2DE8F13E" w14:textId="77777777" w:rsidR="00094B74" w:rsidRPr="00B004EE" w:rsidRDefault="00094B74" w:rsidP="00B004EE">
            <w:pPr>
              <w:rPr>
                <w:rFonts w:ascii="Tahoma" w:hAnsi="Tahoma" w:cs="Tahoma"/>
                <w:b/>
                <w:bCs/>
                <w:sz w:val="20"/>
                <w:szCs w:val="20"/>
              </w:rPr>
            </w:pPr>
          </w:p>
        </w:tc>
        <w:tc>
          <w:tcPr>
            <w:tcW w:w="3880" w:type="dxa"/>
            <w:shd w:val="clear" w:color="auto" w:fill="auto"/>
            <w:noWrap/>
            <w:vAlign w:val="bottom"/>
            <w:hideMark/>
          </w:tcPr>
          <w:p w14:paraId="5C7BA5F9" w14:textId="77777777" w:rsidR="00094B74" w:rsidRPr="00B004EE" w:rsidRDefault="00094B74" w:rsidP="00B004EE">
            <w:pPr>
              <w:rPr>
                <w:rFonts w:ascii="Tahoma" w:hAnsi="Tahoma" w:cs="Tahoma"/>
                <w:sz w:val="20"/>
                <w:szCs w:val="20"/>
              </w:rPr>
            </w:pPr>
            <w:r w:rsidRPr="00B004EE">
              <w:rPr>
                <w:rFonts w:ascii="Tahoma" w:hAnsi="Tahoma" w:cs="Tahoma"/>
                <w:sz w:val="20"/>
                <w:szCs w:val="20"/>
              </w:rPr>
              <w:t>Histamine (HPLC ou Fluorimètre)</w:t>
            </w:r>
          </w:p>
        </w:tc>
        <w:tc>
          <w:tcPr>
            <w:tcW w:w="1560" w:type="dxa"/>
            <w:gridSpan w:val="2"/>
            <w:shd w:val="clear" w:color="auto" w:fill="auto"/>
            <w:noWrap/>
            <w:vAlign w:val="bottom"/>
            <w:hideMark/>
          </w:tcPr>
          <w:p w14:paraId="0E9B221E"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1125</w:t>
            </w:r>
          </w:p>
        </w:tc>
        <w:tc>
          <w:tcPr>
            <w:tcW w:w="1275" w:type="dxa"/>
            <w:gridSpan w:val="2"/>
            <w:shd w:val="clear" w:color="auto" w:fill="auto"/>
            <w:noWrap/>
            <w:vAlign w:val="bottom"/>
            <w:hideMark/>
          </w:tcPr>
          <w:p w14:paraId="70789883"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500</w:t>
            </w:r>
          </w:p>
        </w:tc>
      </w:tr>
      <w:tr w:rsidR="00150C90" w:rsidRPr="00B004EE" w14:paraId="455728B7" w14:textId="77777777" w:rsidTr="00094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8" w:type="dxa"/>
          <w:cantSplit/>
          <w:trHeight w:val="57"/>
          <w:jc w:val="center"/>
        </w:trPr>
        <w:tc>
          <w:tcPr>
            <w:tcW w:w="1488" w:type="dxa"/>
            <w:vMerge/>
            <w:vAlign w:val="center"/>
            <w:hideMark/>
          </w:tcPr>
          <w:p w14:paraId="084CA68A" w14:textId="77777777" w:rsidR="00094B74" w:rsidRPr="00B004EE" w:rsidRDefault="00094B74" w:rsidP="00B004EE">
            <w:pPr>
              <w:rPr>
                <w:rFonts w:ascii="Tahoma" w:hAnsi="Tahoma" w:cs="Tahoma"/>
                <w:b/>
                <w:bCs/>
                <w:sz w:val="20"/>
                <w:szCs w:val="20"/>
              </w:rPr>
            </w:pPr>
          </w:p>
        </w:tc>
        <w:tc>
          <w:tcPr>
            <w:tcW w:w="1624" w:type="dxa"/>
            <w:vMerge/>
            <w:vAlign w:val="center"/>
            <w:hideMark/>
          </w:tcPr>
          <w:p w14:paraId="7F9DBA52" w14:textId="77777777" w:rsidR="00094B74" w:rsidRPr="00B004EE" w:rsidRDefault="00094B74" w:rsidP="00B004EE">
            <w:pPr>
              <w:rPr>
                <w:rFonts w:ascii="Tahoma" w:hAnsi="Tahoma" w:cs="Tahoma"/>
                <w:b/>
                <w:bCs/>
                <w:sz w:val="20"/>
                <w:szCs w:val="20"/>
              </w:rPr>
            </w:pPr>
          </w:p>
        </w:tc>
        <w:tc>
          <w:tcPr>
            <w:tcW w:w="3880" w:type="dxa"/>
            <w:shd w:val="clear" w:color="auto" w:fill="auto"/>
            <w:noWrap/>
            <w:vAlign w:val="bottom"/>
            <w:hideMark/>
          </w:tcPr>
          <w:p w14:paraId="6101D2D9" w14:textId="77777777" w:rsidR="00094B74" w:rsidRPr="00B004EE" w:rsidRDefault="00094B74" w:rsidP="00B004EE">
            <w:pPr>
              <w:rPr>
                <w:rFonts w:ascii="Tahoma" w:hAnsi="Tahoma" w:cs="Tahoma"/>
                <w:sz w:val="20"/>
                <w:szCs w:val="20"/>
              </w:rPr>
            </w:pPr>
            <w:r w:rsidRPr="00B004EE">
              <w:rPr>
                <w:rFonts w:ascii="Tahoma" w:hAnsi="Tahoma" w:cs="Tahoma"/>
                <w:sz w:val="20"/>
                <w:szCs w:val="20"/>
              </w:rPr>
              <w:t>Histamine par test rapide</w:t>
            </w:r>
          </w:p>
        </w:tc>
        <w:tc>
          <w:tcPr>
            <w:tcW w:w="1560" w:type="dxa"/>
            <w:gridSpan w:val="2"/>
            <w:shd w:val="clear" w:color="auto" w:fill="auto"/>
            <w:noWrap/>
            <w:vAlign w:val="bottom"/>
            <w:hideMark/>
          </w:tcPr>
          <w:p w14:paraId="1E02C0CD"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500</w:t>
            </w:r>
          </w:p>
        </w:tc>
        <w:tc>
          <w:tcPr>
            <w:tcW w:w="1275" w:type="dxa"/>
            <w:gridSpan w:val="2"/>
            <w:shd w:val="clear" w:color="auto" w:fill="auto"/>
            <w:noWrap/>
            <w:vAlign w:val="bottom"/>
            <w:hideMark/>
          </w:tcPr>
          <w:p w14:paraId="6AAB3683"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300</w:t>
            </w:r>
          </w:p>
        </w:tc>
      </w:tr>
      <w:tr w:rsidR="00150C90" w:rsidRPr="00B004EE" w14:paraId="28AFE35F" w14:textId="77777777" w:rsidTr="00094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8" w:type="dxa"/>
          <w:cantSplit/>
          <w:trHeight w:val="57"/>
          <w:jc w:val="center"/>
        </w:trPr>
        <w:tc>
          <w:tcPr>
            <w:tcW w:w="1488" w:type="dxa"/>
            <w:vMerge/>
            <w:vAlign w:val="center"/>
            <w:hideMark/>
          </w:tcPr>
          <w:p w14:paraId="3BC1C840" w14:textId="77777777" w:rsidR="00094B74" w:rsidRPr="00B004EE" w:rsidRDefault="00094B74" w:rsidP="00B004EE">
            <w:pPr>
              <w:rPr>
                <w:rFonts w:ascii="Tahoma" w:hAnsi="Tahoma" w:cs="Tahoma"/>
                <w:b/>
                <w:bCs/>
                <w:sz w:val="20"/>
                <w:szCs w:val="20"/>
              </w:rPr>
            </w:pPr>
          </w:p>
        </w:tc>
        <w:tc>
          <w:tcPr>
            <w:tcW w:w="1624" w:type="dxa"/>
            <w:vMerge/>
            <w:vAlign w:val="center"/>
            <w:hideMark/>
          </w:tcPr>
          <w:p w14:paraId="142C1BF0" w14:textId="77777777" w:rsidR="00094B74" w:rsidRPr="00B004EE" w:rsidRDefault="00094B74" w:rsidP="00B004EE">
            <w:pPr>
              <w:rPr>
                <w:rFonts w:ascii="Tahoma" w:hAnsi="Tahoma" w:cs="Tahoma"/>
                <w:b/>
                <w:bCs/>
                <w:sz w:val="20"/>
                <w:szCs w:val="20"/>
              </w:rPr>
            </w:pPr>
          </w:p>
        </w:tc>
        <w:tc>
          <w:tcPr>
            <w:tcW w:w="3880" w:type="dxa"/>
            <w:shd w:val="clear" w:color="auto" w:fill="auto"/>
            <w:noWrap/>
            <w:vAlign w:val="bottom"/>
            <w:hideMark/>
          </w:tcPr>
          <w:p w14:paraId="7B38941C" w14:textId="77777777" w:rsidR="00094B74" w:rsidRPr="00B004EE" w:rsidRDefault="00094B74" w:rsidP="00B004EE">
            <w:pPr>
              <w:rPr>
                <w:rFonts w:ascii="Tahoma" w:hAnsi="Tahoma" w:cs="Tahoma"/>
                <w:sz w:val="20"/>
                <w:szCs w:val="20"/>
              </w:rPr>
            </w:pPr>
            <w:r w:rsidRPr="00B004EE">
              <w:rPr>
                <w:rFonts w:ascii="Tahoma" w:hAnsi="Tahoma" w:cs="Tahoma"/>
                <w:sz w:val="20"/>
                <w:szCs w:val="20"/>
              </w:rPr>
              <w:t>protéines</w:t>
            </w:r>
          </w:p>
        </w:tc>
        <w:tc>
          <w:tcPr>
            <w:tcW w:w="1560" w:type="dxa"/>
            <w:gridSpan w:val="2"/>
            <w:shd w:val="clear" w:color="auto" w:fill="auto"/>
            <w:noWrap/>
            <w:vAlign w:val="bottom"/>
            <w:hideMark/>
          </w:tcPr>
          <w:p w14:paraId="4496F2C7"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1500</w:t>
            </w:r>
          </w:p>
        </w:tc>
        <w:tc>
          <w:tcPr>
            <w:tcW w:w="1275" w:type="dxa"/>
            <w:gridSpan w:val="2"/>
            <w:shd w:val="clear" w:color="auto" w:fill="auto"/>
            <w:noWrap/>
            <w:vAlign w:val="bottom"/>
            <w:hideMark/>
          </w:tcPr>
          <w:p w14:paraId="6DEC98D4"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1000</w:t>
            </w:r>
          </w:p>
        </w:tc>
      </w:tr>
      <w:tr w:rsidR="00150C90" w:rsidRPr="00B004EE" w14:paraId="094673A6" w14:textId="77777777" w:rsidTr="00094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8" w:type="dxa"/>
          <w:cantSplit/>
          <w:trHeight w:val="57"/>
          <w:jc w:val="center"/>
        </w:trPr>
        <w:tc>
          <w:tcPr>
            <w:tcW w:w="1488" w:type="dxa"/>
            <w:vMerge/>
            <w:vAlign w:val="center"/>
            <w:hideMark/>
          </w:tcPr>
          <w:p w14:paraId="7EB26BC8" w14:textId="77777777" w:rsidR="00094B74" w:rsidRPr="00B004EE" w:rsidRDefault="00094B74" w:rsidP="00B004EE">
            <w:pPr>
              <w:rPr>
                <w:rFonts w:ascii="Tahoma" w:hAnsi="Tahoma" w:cs="Tahoma"/>
                <w:b/>
                <w:bCs/>
                <w:sz w:val="20"/>
                <w:szCs w:val="20"/>
              </w:rPr>
            </w:pPr>
          </w:p>
        </w:tc>
        <w:tc>
          <w:tcPr>
            <w:tcW w:w="1624" w:type="dxa"/>
            <w:vMerge/>
            <w:vAlign w:val="center"/>
            <w:hideMark/>
          </w:tcPr>
          <w:p w14:paraId="1DDDC14F" w14:textId="77777777" w:rsidR="00094B74" w:rsidRPr="00B004EE" w:rsidRDefault="00094B74" w:rsidP="00B004EE">
            <w:pPr>
              <w:rPr>
                <w:rFonts w:ascii="Tahoma" w:hAnsi="Tahoma" w:cs="Tahoma"/>
                <w:b/>
                <w:bCs/>
                <w:sz w:val="20"/>
                <w:szCs w:val="20"/>
              </w:rPr>
            </w:pPr>
          </w:p>
        </w:tc>
        <w:tc>
          <w:tcPr>
            <w:tcW w:w="3880" w:type="dxa"/>
            <w:shd w:val="clear" w:color="auto" w:fill="auto"/>
            <w:noWrap/>
            <w:vAlign w:val="bottom"/>
            <w:hideMark/>
          </w:tcPr>
          <w:p w14:paraId="5F4DABAB" w14:textId="77777777" w:rsidR="00094B74" w:rsidRPr="00B004EE" w:rsidRDefault="00094B74" w:rsidP="00B004EE">
            <w:pPr>
              <w:rPr>
                <w:rFonts w:ascii="Tahoma" w:hAnsi="Tahoma" w:cs="Tahoma"/>
                <w:sz w:val="20"/>
                <w:szCs w:val="20"/>
              </w:rPr>
            </w:pPr>
            <w:r w:rsidRPr="00B004EE">
              <w:rPr>
                <w:rFonts w:ascii="Tahoma" w:hAnsi="Tahoma" w:cs="Tahoma"/>
                <w:sz w:val="20"/>
                <w:szCs w:val="20"/>
              </w:rPr>
              <w:t xml:space="preserve">Cendre </w:t>
            </w:r>
          </w:p>
        </w:tc>
        <w:tc>
          <w:tcPr>
            <w:tcW w:w="1560" w:type="dxa"/>
            <w:gridSpan w:val="2"/>
            <w:shd w:val="clear" w:color="auto" w:fill="auto"/>
            <w:noWrap/>
            <w:vAlign w:val="bottom"/>
            <w:hideMark/>
          </w:tcPr>
          <w:p w14:paraId="41BFB343"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787,5</w:t>
            </w:r>
          </w:p>
        </w:tc>
        <w:tc>
          <w:tcPr>
            <w:tcW w:w="1275" w:type="dxa"/>
            <w:gridSpan w:val="2"/>
            <w:shd w:val="clear" w:color="auto" w:fill="auto"/>
            <w:noWrap/>
            <w:vAlign w:val="bottom"/>
            <w:hideMark/>
          </w:tcPr>
          <w:p w14:paraId="724CD9A5"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525</w:t>
            </w:r>
          </w:p>
        </w:tc>
      </w:tr>
      <w:tr w:rsidR="00150C90" w:rsidRPr="00B004EE" w14:paraId="56173A94" w14:textId="77777777" w:rsidTr="00094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8" w:type="dxa"/>
          <w:cantSplit/>
          <w:trHeight w:val="57"/>
          <w:jc w:val="center"/>
        </w:trPr>
        <w:tc>
          <w:tcPr>
            <w:tcW w:w="1488" w:type="dxa"/>
            <w:vMerge/>
            <w:vAlign w:val="center"/>
            <w:hideMark/>
          </w:tcPr>
          <w:p w14:paraId="6ECF5F93" w14:textId="77777777" w:rsidR="00094B74" w:rsidRPr="00B004EE" w:rsidRDefault="00094B74" w:rsidP="00B004EE">
            <w:pPr>
              <w:rPr>
                <w:rFonts w:ascii="Tahoma" w:hAnsi="Tahoma" w:cs="Tahoma"/>
                <w:b/>
                <w:bCs/>
                <w:sz w:val="20"/>
                <w:szCs w:val="20"/>
              </w:rPr>
            </w:pPr>
          </w:p>
        </w:tc>
        <w:tc>
          <w:tcPr>
            <w:tcW w:w="1624" w:type="dxa"/>
            <w:vMerge/>
            <w:vAlign w:val="center"/>
            <w:hideMark/>
          </w:tcPr>
          <w:p w14:paraId="2492740E" w14:textId="77777777" w:rsidR="00094B74" w:rsidRPr="00B004EE" w:rsidRDefault="00094B74" w:rsidP="00B004EE">
            <w:pPr>
              <w:rPr>
                <w:rFonts w:ascii="Tahoma" w:hAnsi="Tahoma" w:cs="Tahoma"/>
                <w:b/>
                <w:bCs/>
                <w:sz w:val="20"/>
                <w:szCs w:val="20"/>
              </w:rPr>
            </w:pPr>
          </w:p>
        </w:tc>
        <w:tc>
          <w:tcPr>
            <w:tcW w:w="3880" w:type="dxa"/>
            <w:shd w:val="clear" w:color="auto" w:fill="auto"/>
            <w:noWrap/>
            <w:vAlign w:val="bottom"/>
            <w:hideMark/>
          </w:tcPr>
          <w:p w14:paraId="217AF50F" w14:textId="77777777" w:rsidR="00094B74" w:rsidRPr="00B004EE" w:rsidRDefault="00094B74" w:rsidP="00B004EE">
            <w:pPr>
              <w:rPr>
                <w:rFonts w:ascii="Tahoma" w:hAnsi="Tahoma" w:cs="Tahoma"/>
                <w:sz w:val="20"/>
                <w:szCs w:val="20"/>
              </w:rPr>
            </w:pPr>
            <w:r w:rsidRPr="00B004EE">
              <w:rPr>
                <w:rFonts w:ascii="Tahoma" w:hAnsi="Tahoma" w:cs="Tahoma"/>
                <w:sz w:val="20"/>
                <w:szCs w:val="20"/>
              </w:rPr>
              <w:t>Graisse</w:t>
            </w:r>
          </w:p>
        </w:tc>
        <w:tc>
          <w:tcPr>
            <w:tcW w:w="1560" w:type="dxa"/>
            <w:gridSpan w:val="2"/>
            <w:shd w:val="clear" w:color="auto" w:fill="auto"/>
            <w:noWrap/>
            <w:vAlign w:val="bottom"/>
            <w:hideMark/>
          </w:tcPr>
          <w:p w14:paraId="05180E3B"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1275</w:t>
            </w:r>
          </w:p>
        </w:tc>
        <w:tc>
          <w:tcPr>
            <w:tcW w:w="1275" w:type="dxa"/>
            <w:gridSpan w:val="2"/>
            <w:shd w:val="clear" w:color="auto" w:fill="auto"/>
            <w:noWrap/>
            <w:vAlign w:val="bottom"/>
            <w:hideMark/>
          </w:tcPr>
          <w:p w14:paraId="06E68F61"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850</w:t>
            </w:r>
          </w:p>
        </w:tc>
      </w:tr>
      <w:tr w:rsidR="00150C90" w:rsidRPr="00B004EE" w14:paraId="3FAF3797" w14:textId="77777777" w:rsidTr="00094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8" w:type="dxa"/>
          <w:cantSplit/>
          <w:trHeight w:val="57"/>
          <w:jc w:val="center"/>
        </w:trPr>
        <w:tc>
          <w:tcPr>
            <w:tcW w:w="1488" w:type="dxa"/>
            <w:vMerge/>
            <w:vAlign w:val="center"/>
            <w:hideMark/>
          </w:tcPr>
          <w:p w14:paraId="542F1E66" w14:textId="77777777" w:rsidR="00094B74" w:rsidRPr="00B004EE" w:rsidRDefault="00094B74" w:rsidP="00B004EE">
            <w:pPr>
              <w:rPr>
                <w:rFonts w:ascii="Tahoma" w:hAnsi="Tahoma" w:cs="Tahoma"/>
                <w:b/>
                <w:bCs/>
                <w:sz w:val="20"/>
                <w:szCs w:val="20"/>
              </w:rPr>
            </w:pPr>
          </w:p>
        </w:tc>
        <w:tc>
          <w:tcPr>
            <w:tcW w:w="1624" w:type="dxa"/>
            <w:vMerge/>
            <w:vAlign w:val="center"/>
            <w:hideMark/>
          </w:tcPr>
          <w:p w14:paraId="2EAE18B4" w14:textId="77777777" w:rsidR="00094B74" w:rsidRPr="00B004EE" w:rsidRDefault="00094B74" w:rsidP="00B004EE">
            <w:pPr>
              <w:rPr>
                <w:rFonts w:ascii="Tahoma" w:hAnsi="Tahoma" w:cs="Tahoma"/>
                <w:b/>
                <w:bCs/>
                <w:sz w:val="20"/>
                <w:szCs w:val="20"/>
              </w:rPr>
            </w:pPr>
          </w:p>
        </w:tc>
        <w:tc>
          <w:tcPr>
            <w:tcW w:w="3880" w:type="dxa"/>
            <w:shd w:val="clear" w:color="auto" w:fill="auto"/>
            <w:noWrap/>
            <w:vAlign w:val="bottom"/>
            <w:hideMark/>
          </w:tcPr>
          <w:p w14:paraId="67F68F93" w14:textId="77777777" w:rsidR="00094B74" w:rsidRPr="00B004EE" w:rsidRDefault="00094B74" w:rsidP="00B004EE">
            <w:pPr>
              <w:rPr>
                <w:rFonts w:ascii="Tahoma" w:hAnsi="Tahoma" w:cs="Tahoma"/>
                <w:sz w:val="20"/>
                <w:szCs w:val="20"/>
              </w:rPr>
            </w:pPr>
            <w:r w:rsidRPr="00B004EE">
              <w:rPr>
                <w:rFonts w:ascii="Tahoma" w:hAnsi="Tahoma" w:cs="Tahoma"/>
                <w:sz w:val="20"/>
                <w:szCs w:val="20"/>
              </w:rPr>
              <w:t xml:space="preserve">Humidité </w:t>
            </w:r>
          </w:p>
        </w:tc>
        <w:tc>
          <w:tcPr>
            <w:tcW w:w="1560" w:type="dxa"/>
            <w:gridSpan w:val="2"/>
            <w:shd w:val="clear" w:color="auto" w:fill="auto"/>
            <w:noWrap/>
            <w:vAlign w:val="bottom"/>
            <w:hideMark/>
          </w:tcPr>
          <w:p w14:paraId="78EEE09A"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487,5</w:t>
            </w:r>
          </w:p>
        </w:tc>
        <w:tc>
          <w:tcPr>
            <w:tcW w:w="1275" w:type="dxa"/>
            <w:gridSpan w:val="2"/>
            <w:shd w:val="clear" w:color="auto" w:fill="auto"/>
            <w:noWrap/>
            <w:vAlign w:val="bottom"/>
            <w:hideMark/>
          </w:tcPr>
          <w:p w14:paraId="7F2B6ADA"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325</w:t>
            </w:r>
          </w:p>
        </w:tc>
      </w:tr>
      <w:tr w:rsidR="00150C90" w:rsidRPr="00B004EE" w14:paraId="423BAF1F" w14:textId="77777777" w:rsidTr="00094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8" w:type="dxa"/>
          <w:cantSplit/>
          <w:trHeight w:val="57"/>
          <w:jc w:val="center"/>
        </w:trPr>
        <w:tc>
          <w:tcPr>
            <w:tcW w:w="1488" w:type="dxa"/>
            <w:vMerge/>
            <w:vAlign w:val="center"/>
            <w:hideMark/>
          </w:tcPr>
          <w:p w14:paraId="3FF46237" w14:textId="77777777" w:rsidR="00094B74" w:rsidRPr="00B004EE" w:rsidRDefault="00094B74" w:rsidP="00B004EE">
            <w:pPr>
              <w:rPr>
                <w:rFonts w:ascii="Tahoma" w:hAnsi="Tahoma" w:cs="Tahoma"/>
                <w:b/>
                <w:bCs/>
                <w:sz w:val="20"/>
                <w:szCs w:val="20"/>
              </w:rPr>
            </w:pPr>
          </w:p>
        </w:tc>
        <w:tc>
          <w:tcPr>
            <w:tcW w:w="1624" w:type="dxa"/>
            <w:vMerge/>
            <w:vAlign w:val="center"/>
            <w:hideMark/>
          </w:tcPr>
          <w:p w14:paraId="1D68A0F7" w14:textId="77777777" w:rsidR="00094B74" w:rsidRPr="00B004EE" w:rsidRDefault="00094B74" w:rsidP="00B004EE">
            <w:pPr>
              <w:rPr>
                <w:rFonts w:ascii="Tahoma" w:hAnsi="Tahoma" w:cs="Tahoma"/>
                <w:b/>
                <w:bCs/>
                <w:sz w:val="20"/>
                <w:szCs w:val="20"/>
              </w:rPr>
            </w:pPr>
          </w:p>
        </w:tc>
        <w:tc>
          <w:tcPr>
            <w:tcW w:w="3880" w:type="dxa"/>
            <w:shd w:val="clear" w:color="auto" w:fill="auto"/>
            <w:noWrap/>
            <w:vAlign w:val="bottom"/>
            <w:hideMark/>
          </w:tcPr>
          <w:p w14:paraId="51F3D40F" w14:textId="77777777" w:rsidR="00094B74" w:rsidRPr="00B004EE" w:rsidRDefault="00094B74" w:rsidP="00B004EE">
            <w:pPr>
              <w:rPr>
                <w:rFonts w:ascii="Tahoma" w:hAnsi="Tahoma" w:cs="Tahoma"/>
                <w:sz w:val="20"/>
                <w:szCs w:val="20"/>
              </w:rPr>
            </w:pPr>
            <w:r w:rsidRPr="00B004EE">
              <w:rPr>
                <w:rFonts w:ascii="Tahoma" w:hAnsi="Tahoma" w:cs="Tahoma"/>
                <w:sz w:val="20"/>
                <w:szCs w:val="20"/>
              </w:rPr>
              <w:t>Dioxyde de souffre</w:t>
            </w:r>
          </w:p>
        </w:tc>
        <w:tc>
          <w:tcPr>
            <w:tcW w:w="1560" w:type="dxa"/>
            <w:gridSpan w:val="2"/>
            <w:shd w:val="clear" w:color="auto" w:fill="auto"/>
            <w:noWrap/>
            <w:vAlign w:val="bottom"/>
            <w:hideMark/>
          </w:tcPr>
          <w:p w14:paraId="121B235C"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1200</w:t>
            </w:r>
          </w:p>
        </w:tc>
        <w:tc>
          <w:tcPr>
            <w:tcW w:w="1275" w:type="dxa"/>
            <w:gridSpan w:val="2"/>
            <w:shd w:val="clear" w:color="auto" w:fill="auto"/>
            <w:noWrap/>
            <w:vAlign w:val="bottom"/>
            <w:hideMark/>
          </w:tcPr>
          <w:p w14:paraId="36284715"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800</w:t>
            </w:r>
          </w:p>
        </w:tc>
      </w:tr>
      <w:tr w:rsidR="00150C90" w:rsidRPr="00B004EE" w14:paraId="0BED5597" w14:textId="77777777" w:rsidTr="00094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8" w:type="dxa"/>
          <w:cantSplit/>
          <w:trHeight w:val="57"/>
          <w:jc w:val="center"/>
        </w:trPr>
        <w:tc>
          <w:tcPr>
            <w:tcW w:w="1488" w:type="dxa"/>
            <w:vMerge/>
            <w:vAlign w:val="center"/>
            <w:hideMark/>
          </w:tcPr>
          <w:p w14:paraId="06B9FE79" w14:textId="77777777" w:rsidR="00094B74" w:rsidRPr="00B004EE" w:rsidRDefault="00094B74" w:rsidP="00B004EE">
            <w:pPr>
              <w:rPr>
                <w:rFonts w:ascii="Tahoma" w:hAnsi="Tahoma" w:cs="Tahoma"/>
                <w:b/>
                <w:bCs/>
                <w:sz w:val="20"/>
                <w:szCs w:val="20"/>
              </w:rPr>
            </w:pPr>
          </w:p>
        </w:tc>
        <w:tc>
          <w:tcPr>
            <w:tcW w:w="1624" w:type="dxa"/>
            <w:vMerge/>
            <w:vAlign w:val="center"/>
            <w:hideMark/>
          </w:tcPr>
          <w:p w14:paraId="28642301" w14:textId="77777777" w:rsidR="00094B74" w:rsidRPr="00B004EE" w:rsidRDefault="00094B74" w:rsidP="00B004EE">
            <w:pPr>
              <w:rPr>
                <w:rFonts w:ascii="Tahoma" w:hAnsi="Tahoma" w:cs="Tahoma"/>
                <w:b/>
                <w:bCs/>
                <w:sz w:val="20"/>
                <w:szCs w:val="20"/>
              </w:rPr>
            </w:pPr>
          </w:p>
        </w:tc>
        <w:tc>
          <w:tcPr>
            <w:tcW w:w="3880" w:type="dxa"/>
            <w:shd w:val="clear" w:color="auto" w:fill="auto"/>
            <w:noWrap/>
            <w:vAlign w:val="bottom"/>
            <w:hideMark/>
          </w:tcPr>
          <w:p w14:paraId="249F95F0" w14:textId="77777777" w:rsidR="00094B74" w:rsidRPr="00B004EE" w:rsidRDefault="00094B74" w:rsidP="00B004EE">
            <w:pPr>
              <w:rPr>
                <w:rFonts w:ascii="Tahoma" w:hAnsi="Tahoma" w:cs="Tahoma"/>
                <w:sz w:val="20"/>
                <w:szCs w:val="20"/>
              </w:rPr>
            </w:pPr>
            <w:r w:rsidRPr="00B004EE">
              <w:rPr>
                <w:rFonts w:ascii="Tahoma" w:hAnsi="Tahoma" w:cs="Tahoma"/>
                <w:sz w:val="20"/>
                <w:szCs w:val="20"/>
              </w:rPr>
              <w:t>Cadmium</w:t>
            </w:r>
          </w:p>
        </w:tc>
        <w:tc>
          <w:tcPr>
            <w:tcW w:w="1560" w:type="dxa"/>
            <w:gridSpan w:val="2"/>
            <w:shd w:val="clear" w:color="auto" w:fill="auto"/>
            <w:noWrap/>
            <w:vAlign w:val="bottom"/>
            <w:hideMark/>
          </w:tcPr>
          <w:p w14:paraId="1947D0FC"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1012,5</w:t>
            </w:r>
          </w:p>
        </w:tc>
        <w:tc>
          <w:tcPr>
            <w:tcW w:w="1275" w:type="dxa"/>
            <w:gridSpan w:val="2"/>
            <w:shd w:val="clear" w:color="auto" w:fill="auto"/>
            <w:noWrap/>
            <w:vAlign w:val="bottom"/>
            <w:hideMark/>
          </w:tcPr>
          <w:p w14:paraId="7329213F"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675</w:t>
            </w:r>
          </w:p>
        </w:tc>
      </w:tr>
      <w:tr w:rsidR="00150C90" w:rsidRPr="00B004EE" w14:paraId="0DE705FD" w14:textId="77777777" w:rsidTr="00094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8" w:type="dxa"/>
          <w:cantSplit/>
          <w:trHeight w:val="57"/>
          <w:jc w:val="center"/>
        </w:trPr>
        <w:tc>
          <w:tcPr>
            <w:tcW w:w="1488" w:type="dxa"/>
            <w:vMerge/>
            <w:vAlign w:val="center"/>
            <w:hideMark/>
          </w:tcPr>
          <w:p w14:paraId="2AF94452" w14:textId="77777777" w:rsidR="00094B74" w:rsidRPr="00B004EE" w:rsidRDefault="00094B74" w:rsidP="00B004EE">
            <w:pPr>
              <w:rPr>
                <w:rFonts w:ascii="Tahoma" w:hAnsi="Tahoma" w:cs="Tahoma"/>
                <w:b/>
                <w:bCs/>
                <w:sz w:val="20"/>
                <w:szCs w:val="20"/>
              </w:rPr>
            </w:pPr>
          </w:p>
        </w:tc>
        <w:tc>
          <w:tcPr>
            <w:tcW w:w="1624" w:type="dxa"/>
            <w:vMerge/>
            <w:vAlign w:val="center"/>
            <w:hideMark/>
          </w:tcPr>
          <w:p w14:paraId="37BEB5B0" w14:textId="77777777" w:rsidR="00094B74" w:rsidRPr="00B004EE" w:rsidRDefault="00094B74" w:rsidP="00B004EE">
            <w:pPr>
              <w:rPr>
                <w:rFonts w:ascii="Tahoma" w:hAnsi="Tahoma" w:cs="Tahoma"/>
                <w:b/>
                <w:bCs/>
                <w:sz w:val="20"/>
                <w:szCs w:val="20"/>
              </w:rPr>
            </w:pPr>
          </w:p>
        </w:tc>
        <w:tc>
          <w:tcPr>
            <w:tcW w:w="3880" w:type="dxa"/>
            <w:shd w:val="clear" w:color="auto" w:fill="auto"/>
            <w:noWrap/>
            <w:vAlign w:val="bottom"/>
            <w:hideMark/>
          </w:tcPr>
          <w:p w14:paraId="2A4CE7BF" w14:textId="77777777" w:rsidR="00094B74" w:rsidRPr="00B004EE" w:rsidRDefault="00094B74" w:rsidP="00B004EE">
            <w:pPr>
              <w:rPr>
                <w:rFonts w:ascii="Tahoma" w:hAnsi="Tahoma" w:cs="Tahoma"/>
                <w:sz w:val="20"/>
                <w:szCs w:val="20"/>
              </w:rPr>
            </w:pPr>
            <w:r w:rsidRPr="00B004EE">
              <w:rPr>
                <w:rFonts w:ascii="Tahoma" w:hAnsi="Tahoma" w:cs="Tahoma"/>
                <w:sz w:val="20"/>
                <w:szCs w:val="20"/>
              </w:rPr>
              <w:t>Plomb</w:t>
            </w:r>
          </w:p>
        </w:tc>
        <w:tc>
          <w:tcPr>
            <w:tcW w:w="1560" w:type="dxa"/>
            <w:gridSpan w:val="2"/>
            <w:shd w:val="clear" w:color="auto" w:fill="auto"/>
            <w:noWrap/>
            <w:vAlign w:val="bottom"/>
            <w:hideMark/>
          </w:tcPr>
          <w:p w14:paraId="636356D0"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1012,5</w:t>
            </w:r>
          </w:p>
        </w:tc>
        <w:tc>
          <w:tcPr>
            <w:tcW w:w="1275" w:type="dxa"/>
            <w:gridSpan w:val="2"/>
            <w:shd w:val="clear" w:color="auto" w:fill="auto"/>
            <w:noWrap/>
            <w:vAlign w:val="bottom"/>
            <w:hideMark/>
          </w:tcPr>
          <w:p w14:paraId="75064DE3"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675</w:t>
            </w:r>
          </w:p>
        </w:tc>
      </w:tr>
      <w:tr w:rsidR="00150C90" w:rsidRPr="00B004EE" w14:paraId="38BDF50D" w14:textId="77777777" w:rsidTr="00094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8" w:type="dxa"/>
          <w:cantSplit/>
          <w:trHeight w:val="57"/>
          <w:jc w:val="center"/>
        </w:trPr>
        <w:tc>
          <w:tcPr>
            <w:tcW w:w="1488" w:type="dxa"/>
            <w:vMerge/>
            <w:vAlign w:val="center"/>
            <w:hideMark/>
          </w:tcPr>
          <w:p w14:paraId="72DD6C96" w14:textId="77777777" w:rsidR="00094B74" w:rsidRPr="00B004EE" w:rsidRDefault="00094B74" w:rsidP="00B004EE">
            <w:pPr>
              <w:rPr>
                <w:rFonts w:ascii="Tahoma" w:hAnsi="Tahoma" w:cs="Tahoma"/>
                <w:b/>
                <w:bCs/>
                <w:sz w:val="20"/>
                <w:szCs w:val="20"/>
              </w:rPr>
            </w:pPr>
          </w:p>
        </w:tc>
        <w:tc>
          <w:tcPr>
            <w:tcW w:w="1624" w:type="dxa"/>
            <w:vMerge/>
            <w:vAlign w:val="center"/>
            <w:hideMark/>
          </w:tcPr>
          <w:p w14:paraId="339BA0BE" w14:textId="77777777" w:rsidR="00094B74" w:rsidRPr="00B004EE" w:rsidRDefault="00094B74" w:rsidP="00B004EE">
            <w:pPr>
              <w:rPr>
                <w:rFonts w:ascii="Tahoma" w:hAnsi="Tahoma" w:cs="Tahoma"/>
                <w:b/>
                <w:bCs/>
                <w:sz w:val="20"/>
                <w:szCs w:val="20"/>
              </w:rPr>
            </w:pPr>
          </w:p>
        </w:tc>
        <w:tc>
          <w:tcPr>
            <w:tcW w:w="3880" w:type="dxa"/>
            <w:shd w:val="clear" w:color="auto" w:fill="auto"/>
            <w:noWrap/>
            <w:vAlign w:val="bottom"/>
            <w:hideMark/>
          </w:tcPr>
          <w:p w14:paraId="74726260" w14:textId="77777777" w:rsidR="00094B74" w:rsidRPr="00B004EE" w:rsidRDefault="00094B74" w:rsidP="00B004EE">
            <w:pPr>
              <w:rPr>
                <w:rFonts w:ascii="Tahoma" w:hAnsi="Tahoma" w:cs="Tahoma"/>
                <w:sz w:val="20"/>
                <w:szCs w:val="20"/>
              </w:rPr>
            </w:pPr>
            <w:r w:rsidRPr="00B004EE">
              <w:rPr>
                <w:rFonts w:ascii="Tahoma" w:hAnsi="Tahoma" w:cs="Tahoma"/>
                <w:sz w:val="20"/>
                <w:szCs w:val="20"/>
              </w:rPr>
              <w:t>Fer</w:t>
            </w:r>
          </w:p>
        </w:tc>
        <w:tc>
          <w:tcPr>
            <w:tcW w:w="1560" w:type="dxa"/>
            <w:gridSpan w:val="2"/>
            <w:shd w:val="clear" w:color="auto" w:fill="auto"/>
            <w:noWrap/>
            <w:vAlign w:val="bottom"/>
            <w:hideMark/>
          </w:tcPr>
          <w:p w14:paraId="6334F668"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1012,5</w:t>
            </w:r>
          </w:p>
        </w:tc>
        <w:tc>
          <w:tcPr>
            <w:tcW w:w="1275" w:type="dxa"/>
            <w:gridSpan w:val="2"/>
            <w:shd w:val="clear" w:color="auto" w:fill="auto"/>
            <w:noWrap/>
            <w:vAlign w:val="bottom"/>
            <w:hideMark/>
          </w:tcPr>
          <w:p w14:paraId="01DDE59A"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675</w:t>
            </w:r>
          </w:p>
        </w:tc>
      </w:tr>
      <w:tr w:rsidR="00150C90" w:rsidRPr="00B004EE" w14:paraId="00908A21" w14:textId="77777777" w:rsidTr="00094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8" w:type="dxa"/>
          <w:cantSplit/>
          <w:trHeight w:val="57"/>
          <w:jc w:val="center"/>
        </w:trPr>
        <w:tc>
          <w:tcPr>
            <w:tcW w:w="1488" w:type="dxa"/>
            <w:vMerge/>
            <w:vAlign w:val="center"/>
            <w:hideMark/>
          </w:tcPr>
          <w:p w14:paraId="6A6EBEBA" w14:textId="77777777" w:rsidR="00094B74" w:rsidRPr="00B004EE" w:rsidRDefault="00094B74" w:rsidP="00B004EE">
            <w:pPr>
              <w:rPr>
                <w:rFonts w:ascii="Tahoma" w:hAnsi="Tahoma" w:cs="Tahoma"/>
                <w:b/>
                <w:bCs/>
                <w:sz w:val="20"/>
                <w:szCs w:val="20"/>
              </w:rPr>
            </w:pPr>
          </w:p>
        </w:tc>
        <w:tc>
          <w:tcPr>
            <w:tcW w:w="1624" w:type="dxa"/>
            <w:vMerge/>
            <w:vAlign w:val="center"/>
            <w:hideMark/>
          </w:tcPr>
          <w:p w14:paraId="3597CF98" w14:textId="77777777" w:rsidR="00094B74" w:rsidRPr="00B004EE" w:rsidRDefault="00094B74" w:rsidP="00B004EE">
            <w:pPr>
              <w:rPr>
                <w:rFonts w:ascii="Tahoma" w:hAnsi="Tahoma" w:cs="Tahoma"/>
                <w:b/>
                <w:bCs/>
                <w:sz w:val="20"/>
                <w:szCs w:val="20"/>
              </w:rPr>
            </w:pPr>
          </w:p>
        </w:tc>
        <w:tc>
          <w:tcPr>
            <w:tcW w:w="3880" w:type="dxa"/>
            <w:shd w:val="clear" w:color="auto" w:fill="auto"/>
            <w:noWrap/>
            <w:vAlign w:val="bottom"/>
            <w:hideMark/>
          </w:tcPr>
          <w:p w14:paraId="1C03D4E2" w14:textId="77777777" w:rsidR="00094B74" w:rsidRPr="00B004EE" w:rsidRDefault="00094B74" w:rsidP="00B004EE">
            <w:pPr>
              <w:rPr>
                <w:rFonts w:ascii="Tahoma" w:hAnsi="Tahoma" w:cs="Tahoma"/>
                <w:sz w:val="20"/>
                <w:szCs w:val="20"/>
              </w:rPr>
            </w:pPr>
            <w:r w:rsidRPr="00B004EE">
              <w:rPr>
                <w:rFonts w:ascii="Tahoma" w:hAnsi="Tahoma" w:cs="Tahoma"/>
                <w:sz w:val="20"/>
                <w:szCs w:val="20"/>
              </w:rPr>
              <w:t>Zinc</w:t>
            </w:r>
          </w:p>
        </w:tc>
        <w:tc>
          <w:tcPr>
            <w:tcW w:w="1560" w:type="dxa"/>
            <w:gridSpan w:val="2"/>
            <w:shd w:val="clear" w:color="auto" w:fill="auto"/>
            <w:noWrap/>
            <w:vAlign w:val="bottom"/>
            <w:hideMark/>
          </w:tcPr>
          <w:p w14:paraId="5A0AB3B2"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1012,5</w:t>
            </w:r>
          </w:p>
        </w:tc>
        <w:tc>
          <w:tcPr>
            <w:tcW w:w="1275" w:type="dxa"/>
            <w:gridSpan w:val="2"/>
            <w:shd w:val="clear" w:color="auto" w:fill="auto"/>
            <w:noWrap/>
            <w:vAlign w:val="bottom"/>
            <w:hideMark/>
          </w:tcPr>
          <w:p w14:paraId="679CAC72"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675</w:t>
            </w:r>
          </w:p>
        </w:tc>
      </w:tr>
      <w:tr w:rsidR="00150C90" w:rsidRPr="00B004EE" w14:paraId="23D88054" w14:textId="77777777" w:rsidTr="00094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8" w:type="dxa"/>
          <w:cantSplit/>
          <w:trHeight w:val="57"/>
          <w:jc w:val="center"/>
        </w:trPr>
        <w:tc>
          <w:tcPr>
            <w:tcW w:w="1488" w:type="dxa"/>
            <w:vMerge/>
            <w:vAlign w:val="center"/>
            <w:hideMark/>
          </w:tcPr>
          <w:p w14:paraId="440FB901" w14:textId="77777777" w:rsidR="00094B74" w:rsidRPr="00B004EE" w:rsidRDefault="00094B74" w:rsidP="00B004EE">
            <w:pPr>
              <w:rPr>
                <w:rFonts w:ascii="Tahoma" w:hAnsi="Tahoma" w:cs="Tahoma"/>
                <w:b/>
                <w:bCs/>
                <w:sz w:val="20"/>
                <w:szCs w:val="20"/>
              </w:rPr>
            </w:pPr>
          </w:p>
        </w:tc>
        <w:tc>
          <w:tcPr>
            <w:tcW w:w="1624" w:type="dxa"/>
            <w:vMerge/>
            <w:vAlign w:val="center"/>
            <w:hideMark/>
          </w:tcPr>
          <w:p w14:paraId="2A392ADD" w14:textId="77777777" w:rsidR="00094B74" w:rsidRPr="00B004EE" w:rsidRDefault="00094B74" w:rsidP="00B004EE">
            <w:pPr>
              <w:rPr>
                <w:rFonts w:ascii="Tahoma" w:hAnsi="Tahoma" w:cs="Tahoma"/>
                <w:b/>
                <w:bCs/>
                <w:sz w:val="20"/>
                <w:szCs w:val="20"/>
              </w:rPr>
            </w:pPr>
          </w:p>
        </w:tc>
        <w:tc>
          <w:tcPr>
            <w:tcW w:w="3880" w:type="dxa"/>
            <w:shd w:val="clear" w:color="auto" w:fill="auto"/>
            <w:noWrap/>
            <w:vAlign w:val="bottom"/>
            <w:hideMark/>
          </w:tcPr>
          <w:p w14:paraId="6E2E3ADF" w14:textId="77777777" w:rsidR="00094B74" w:rsidRPr="00B004EE" w:rsidRDefault="00094B74" w:rsidP="00B004EE">
            <w:pPr>
              <w:rPr>
                <w:rFonts w:ascii="Tahoma" w:hAnsi="Tahoma" w:cs="Tahoma"/>
                <w:sz w:val="20"/>
                <w:szCs w:val="20"/>
              </w:rPr>
            </w:pPr>
            <w:r w:rsidRPr="00B004EE">
              <w:rPr>
                <w:rFonts w:ascii="Tahoma" w:hAnsi="Tahoma" w:cs="Tahoma"/>
                <w:sz w:val="20"/>
                <w:szCs w:val="20"/>
              </w:rPr>
              <w:t>Aluminium</w:t>
            </w:r>
          </w:p>
        </w:tc>
        <w:tc>
          <w:tcPr>
            <w:tcW w:w="1560" w:type="dxa"/>
            <w:gridSpan w:val="2"/>
            <w:shd w:val="clear" w:color="auto" w:fill="auto"/>
            <w:noWrap/>
            <w:vAlign w:val="bottom"/>
            <w:hideMark/>
          </w:tcPr>
          <w:p w14:paraId="7E956E00"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1200</w:t>
            </w:r>
          </w:p>
        </w:tc>
        <w:tc>
          <w:tcPr>
            <w:tcW w:w="1275" w:type="dxa"/>
            <w:gridSpan w:val="2"/>
            <w:shd w:val="clear" w:color="auto" w:fill="auto"/>
            <w:noWrap/>
            <w:vAlign w:val="bottom"/>
            <w:hideMark/>
          </w:tcPr>
          <w:p w14:paraId="45A9F2E8"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800</w:t>
            </w:r>
          </w:p>
        </w:tc>
      </w:tr>
      <w:tr w:rsidR="00150C90" w:rsidRPr="00B004EE" w14:paraId="063E8A37" w14:textId="77777777" w:rsidTr="00094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8" w:type="dxa"/>
          <w:cantSplit/>
          <w:trHeight w:val="57"/>
          <w:jc w:val="center"/>
        </w:trPr>
        <w:tc>
          <w:tcPr>
            <w:tcW w:w="1488" w:type="dxa"/>
            <w:vMerge/>
            <w:vAlign w:val="center"/>
            <w:hideMark/>
          </w:tcPr>
          <w:p w14:paraId="43BFEC62" w14:textId="77777777" w:rsidR="00094B74" w:rsidRPr="00B004EE" w:rsidRDefault="00094B74" w:rsidP="00B004EE">
            <w:pPr>
              <w:rPr>
                <w:rFonts w:ascii="Tahoma" w:hAnsi="Tahoma" w:cs="Tahoma"/>
                <w:b/>
                <w:bCs/>
                <w:sz w:val="20"/>
                <w:szCs w:val="20"/>
              </w:rPr>
            </w:pPr>
          </w:p>
        </w:tc>
        <w:tc>
          <w:tcPr>
            <w:tcW w:w="1624" w:type="dxa"/>
            <w:vMerge/>
            <w:vAlign w:val="center"/>
            <w:hideMark/>
          </w:tcPr>
          <w:p w14:paraId="34DC4B96" w14:textId="77777777" w:rsidR="00094B74" w:rsidRPr="00B004EE" w:rsidRDefault="00094B74" w:rsidP="00B004EE">
            <w:pPr>
              <w:rPr>
                <w:rFonts w:ascii="Tahoma" w:hAnsi="Tahoma" w:cs="Tahoma"/>
                <w:b/>
                <w:bCs/>
                <w:sz w:val="20"/>
                <w:szCs w:val="20"/>
              </w:rPr>
            </w:pPr>
          </w:p>
        </w:tc>
        <w:tc>
          <w:tcPr>
            <w:tcW w:w="3880" w:type="dxa"/>
            <w:shd w:val="clear" w:color="auto" w:fill="auto"/>
            <w:noWrap/>
            <w:vAlign w:val="bottom"/>
            <w:hideMark/>
          </w:tcPr>
          <w:p w14:paraId="024C871F" w14:textId="77777777" w:rsidR="00094B74" w:rsidRPr="00B004EE" w:rsidRDefault="00094B74" w:rsidP="00B004EE">
            <w:pPr>
              <w:rPr>
                <w:rFonts w:ascii="Tahoma" w:hAnsi="Tahoma" w:cs="Tahoma"/>
                <w:sz w:val="20"/>
                <w:szCs w:val="20"/>
              </w:rPr>
            </w:pPr>
            <w:r w:rsidRPr="00B004EE">
              <w:rPr>
                <w:rFonts w:ascii="Tahoma" w:hAnsi="Tahoma" w:cs="Tahoma"/>
                <w:sz w:val="20"/>
                <w:szCs w:val="20"/>
              </w:rPr>
              <w:t>Mercure</w:t>
            </w:r>
          </w:p>
        </w:tc>
        <w:tc>
          <w:tcPr>
            <w:tcW w:w="1560" w:type="dxa"/>
            <w:gridSpan w:val="2"/>
            <w:shd w:val="clear" w:color="auto" w:fill="auto"/>
            <w:noWrap/>
            <w:vAlign w:val="bottom"/>
            <w:hideMark/>
          </w:tcPr>
          <w:p w14:paraId="4CE86AA1"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1200</w:t>
            </w:r>
          </w:p>
        </w:tc>
        <w:tc>
          <w:tcPr>
            <w:tcW w:w="1275" w:type="dxa"/>
            <w:gridSpan w:val="2"/>
            <w:shd w:val="clear" w:color="auto" w:fill="auto"/>
            <w:noWrap/>
            <w:vAlign w:val="bottom"/>
            <w:hideMark/>
          </w:tcPr>
          <w:p w14:paraId="0B4F8F71"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800</w:t>
            </w:r>
          </w:p>
        </w:tc>
      </w:tr>
      <w:tr w:rsidR="00150C90" w:rsidRPr="00B004EE" w14:paraId="4B52FB1B" w14:textId="77777777" w:rsidTr="00094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8" w:type="dxa"/>
          <w:cantSplit/>
          <w:trHeight w:val="57"/>
          <w:jc w:val="center"/>
        </w:trPr>
        <w:tc>
          <w:tcPr>
            <w:tcW w:w="1488" w:type="dxa"/>
            <w:vMerge/>
            <w:vAlign w:val="center"/>
            <w:hideMark/>
          </w:tcPr>
          <w:p w14:paraId="2849213F" w14:textId="77777777" w:rsidR="00094B74" w:rsidRPr="00B004EE" w:rsidRDefault="00094B74" w:rsidP="00B004EE">
            <w:pPr>
              <w:rPr>
                <w:rFonts w:ascii="Tahoma" w:hAnsi="Tahoma" w:cs="Tahoma"/>
                <w:b/>
                <w:bCs/>
                <w:sz w:val="20"/>
                <w:szCs w:val="20"/>
              </w:rPr>
            </w:pPr>
          </w:p>
        </w:tc>
        <w:tc>
          <w:tcPr>
            <w:tcW w:w="1624" w:type="dxa"/>
            <w:vMerge/>
            <w:vAlign w:val="center"/>
            <w:hideMark/>
          </w:tcPr>
          <w:p w14:paraId="188D2962" w14:textId="77777777" w:rsidR="00094B74" w:rsidRPr="00B004EE" w:rsidRDefault="00094B74" w:rsidP="00B004EE">
            <w:pPr>
              <w:rPr>
                <w:rFonts w:ascii="Tahoma" w:hAnsi="Tahoma" w:cs="Tahoma"/>
                <w:b/>
                <w:bCs/>
                <w:sz w:val="20"/>
                <w:szCs w:val="20"/>
              </w:rPr>
            </w:pPr>
          </w:p>
        </w:tc>
        <w:tc>
          <w:tcPr>
            <w:tcW w:w="3880" w:type="dxa"/>
            <w:shd w:val="clear" w:color="auto" w:fill="auto"/>
            <w:noWrap/>
            <w:vAlign w:val="bottom"/>
            <w:hideMark/>
          </w:tcPr>
          <w:p w14:paraId="7A79509E" w14:textId="77777777" w:rsidR="00094B74" w:rsidRPr="00B004EE" w:rsidRDefault="00094B74" w:rsidP="00B004EE">
            <w:pPr>
              <w:rPr>
                <w:rFonts w:ascii="Tahoma" w:hAnsi="Tahoma" w:cs="Tahoma"/>
                <w:sz w:val="20"/>
                <w:szCs w:val="20"/>
              </w:rPr>
            </w:pPr>
            <w:r w:rsidRPr="00B004EE">
              <w:rPr>
                <w:rFonts w:ascii="Tahoma" w:hAnsi="Tahoma" w:cs="Tahoma"/>
                <w:sz w:val="20"/>
                <w:szCs w:val="20"/>
              </w:rPr>
              <w:t>ASP</w:t>
            </w:r>
          </w:p>
        </w:tc>
        <w:tc>
          <w:tcPr>
            <w:tcW w:w="1560" w:type="dxa"/>
            <w:gridSpan w:val="2"/>
            <w:shd w:val="clear" w:color="auto" w:fill="auto"/>
            <w:noWrap/>
            <w:vAlign w:val="bottom"/>
            <w:hideMark/>
          </w:tcPr>
          <w:p w14:paraId="1B16AA32"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1200</w:t>
            </w:r>
          </w:p>
        </w:tc>
        <w:tc>
          <w:tcPr>
            <w:tcW w:w="1275" w:type="dxa"/>
            <w:gridSpan w:val="2"/>
            <w:shd w:val="clear" w:color="auto" w:fill="auto"/>
            <w:noWrap/>
            <w:vAlign w:val="bottom"/>
            <w:hideMark/>
          </w:tcPr>
          <w:p w14:paraId="4F8C101D"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800</w:t>
            </w:r>
          </w:p>
        </w:tc>
      </w:tr>
      <w:tr w:rsidR="00150C90" w:rsidRPr="00B004EE" w14:paraId="11DF74B7" w14:textId="77777777" w:rsidTr="00094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8" w:type="dxa"/>
          <w:cantSplit/>
          <w:trHeight w:val="57"/>
          <w:jc w:val="center"/>
        </w:trPr>
        <w:tc>
          <w:tcPr>
            <w:tcW w:w="1488" w:type="dxa"/>
            <w:vMerge/>
            <w:vAlign w:val="center"/>
            <w:hideMark/>
          </w:tcPr>
          <w:p w14:paraId="49781B17" w14:textId="77777777" w:rsidR="00094B74" w:rsidRPr="00B004EE" w:rsidRDefault="00094B74" w:rsidP="00B004EE">
            <w:pPr>
              <w:rPr>
                <w:rFonts w:ascii="Tahoma" w:hAnsi="Tahoma" w:cs="Tahoma"/>
                <w:b/>
                <w:bCs/>
                <w:sz w:val="20"/>
                <w:szCs w:val="20"/>
              </w:rPr>
            </w:pPr>
          </w:p>
        </w:tc>
        <w:tc>
          <w:tcPr>
            <w:tcW w:w="1624" w:type="dxa"/>
            <w:vMerge/>
            <w:vAlign w:val="center"/>
            <w:hideMark/>
          </w:tcPr>
          <w:p w14:paraId="1FB42ADB" w14:textId="77777777" w:rsidR="00094B74" w:rsidRPr="00B004EE" w:rsidRDefault="00094B74" w:rsidP="00B004EE">
            <w:pPr>
              <w:rPr>
                <w:rFonts w:ascii="Tahoma" w:hAnsi="Tahoma" w:cs="Tahoma"/>
                <w:b/>
                <w:bCs/>
                <w:sz w:val="20"/>
                <w:szCs w:val="20"/>
              </w:rPr>
            </w:pPr>
          </w:p>
        </w:tc>
        <w:tc>
          <w:tcPr>
            <w:tcW w:w="3880" w:type="dxa"/>
            <w:shd w:val="clear" w:color="auto" w:fill="auto"/>
            <w:noWrap/>
            <w:vAlign w:val="bottom"/>
            <w:hideMark/>
          </w:tcPr>
          <w:p w14:paraId="5DDCE3CE" w14:textId="77777777" w:rsidR="00094B74" w:rsidRPr="00B004EE" w:rsidRDefault="00094B74" w:rsidP="00B004EE">
            <w:pPr>
              <w:rPr>
                <w:rFonts w:ascii="Tahoma" w:hAnsi="Tahoma" w:cs="Tahoma"/>
                <w:sz w:val="20"/>
                <w:szCs w:val="20"/>
              </w:rPr>
            </w:pPr>
            <w:r w:rsidRPr="00B004EE">
              <w:rPr>
                <w:rFonts w:ascii="Tahoma" w:hAnsi="Tahoma" w:cs="Tahoma"/>
                <w:sz w:val="20"/>
                <w:szCs w:val="20"/>
              </w:rPr>
              <w:t>PSP</w:t>
            </w:r>
          </w:p>
        </w:tc>
        <w:tc>
          <w:tcPr>
            <w:tcW w:w="1560" w:type="dxa"/>
            <w:gridSpan w:val="2"/>
            <w:shd w:val="clear" w:color="auto" w:fill="auto"/>
            <w:noWrap/>
            <w:vAlign w:val="bottom"/>
            <w:hideMark/>
          </w:tcPr>
          <w:p w14:paraId="7E1C4447"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1100</w:t>
            </w:r>
          </w:p>
        </w:tc>
        <w:tc>
          <w:tcPr>
            <w:tcW w:w="1275" w:type="dxa"/>
            <w:gridSpan w:val="2"/>
            <w:shd w:val="clear" w:color="auto" w:fill="auto"/>
            <w:noWrap/>
            <w:vAlign w:val="bottom"/>
            <w:hideMark/>
          </w:tcPr>
          <w:p w14:paraId="1D744DF5"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700</w:t>
            </w:r>
          </w:p>
        </w:tc>
      </w:tr>
      <w:tr w:rsidR="00150C90" w:rsidRPr="00B004EE" w14:paraId="0F930670" w14:textId="77777777" w:rsidTr="00094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8" w:type="dxa"/>
          <w:cantSplit/>
          <w:trHeight w:val="57"/>
          <w:jc w:val="center"/>
        </w:trPr>
        <w:tc>
          <w:tcPr>
            <w:tcW w:w="1488" w:type="dxa"/>
            <w:vMerge/>
            <w:vAlign w:val="center"/>
            <w:hideMark/>
          </w:tcPr>
          <w:p w14:paraId="448D599C" w14:textId="77777777" w:rsidR="00094B74" w:rsidRPr="00B004EE" w:rsidRDefault="00094B74" w:rsidP="00B004EE">
            <w:pPr>
              <w:rPr>
                <w:rFonts w:ascii="Tahoma" w:hAnsi="Tahoma" w:cs="Tahoma"/>
                <w:b/>
                <w:bCs/>
                <w:sz w:val="20"/>
                <w:szCs w:val="20"/>
              </w:rPr>
            </w:pPr>
          </w:p>
        </w:tc>
        <w:tc>
          <w:tcPr>
            <w:tcW w:w="1624" w:type="dxa"/>
            <w:vMerge/>
            <w:vAlign w:val="center"/>
            <w:hideMark/>
          </w:tcPr>
          <w:p w14:paraId="7DB39A4C" w14:textId="77777777" w:rsidR="00094B74" w:rsidRPr="00B004EE" w:rsidRDefault="00094B74" w:rsidP="00B004EE">
            <w:pPr>
              <w:rPr>
                <w:rFonts w:ascii="Tahoma" w:hAnsi="Tahoma" w:cs="Tahoma"/>
                <w:b/>
                <w:bCs/>
                <w:sz w:val="20"/>
                <w:szCs w:val="20"/>
              </w:rPr>
            </w:pPr>
          </w:p>
        </w:tc>
        <w:tc>
          <w:tcPr>
            <w:tcW w:w="3880" w:type="dxa"/>
            <w:shd w:val="clear" w:color="auto" w:fill="auto"/>
            <w:noWrap/>
            <w:vAlign w:val="bottom"/>
            <w:hideMark/>
          </w:tcPr>
          <w:p w14:paraId="6E3353A3" w14:textId="77777777" w:rsidR="00094B74" w:rsidRPr="00B004EE" w:rsidRDefault="00094B74" w:rsidP="00B004EE">
            <w:pPr>
              <w:rPr>
                <w:rFonts w:ascii="Tahoma" w:hAnsi="Tahoma" w:cs="Tahoma"/>
                <w:sz w:val="20"/>
                <w:szCs w:val="20"/>
              </w:rPr>
            </w:pPr>
            <w:r w:rsidRPr="00B004EE">
              <w:rPr>
                <w:rFonts w:ascii="Tahoma" w:hAnsi="Tahoma" w:cs="Tahoma"/>
                <w:sz w:val="20"/>
                <w:szCs w:val="20"/>
              </w:rPr>
              <w:t>DSP</w:t>
            </w:r>
          </w:p>
        </w:tc>
        <w:tc>
          <w:tcPr>
            <w:tcW w:w="1560" w:type="dxa"/>
            <w:gridSpan w:val="2"/>
            <w:shd w:val="clear" w:color="auto" w:fill="auto"/>
            <w:noWrap/>
            <w:vAlign w:val="bottom"/>
            <w:hideMark/>
          </w:tcPr>
          <w:p w14:paraId="421C8223"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1100</w:t>
            </w:r>
          </w:p>
        </w:tc>
        <w:tc>
          <w:tcPr>
            <w:tcW w:w="1275" w:type="dxa"/>
            <w:gridSpan w:val="2"/>
            <w:shd w:val="clear" w:color="auto" w:fill="auto"/>
            <w:noWrap/>
            <w:vAlign w:val="bottom"/>
            <w:hideMark/>
          </w:tcPr>
          <w:p w14:paraId="5AB93E2C"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700</w:t>
            </w:r>
          </w:p>
        </w:tc>
      </w:tr>
      <w:tr w:rsidR="00150C90" w:rsidRPr="00B004EE" w14:paraId="3FF609F8" w14:textId="77777777" w:rsidTr="00094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8" w:type="dxa"/>
          <w:cantSplit/>
          <w:trHeight w:val="57"/>
          <w:jc w:val="center"/>
        </w:trPr>
        <w:tc>
          <w:tcPr>
            <w:tcW w:w="1488" w:type="dxa"/>
            <w:vMerge/>
            <w:vAlign w:val="center"/>
            <w:hideMark/>
          </w:tcPr>
          <w:p w14:paraId="166AB21C" w14:textId="77777777" w:rsidR="00094B74" w:rsidRPr="00B004EE" w:rsidRDefault="00094B74" w:rsidP="00B004EE">
            <w:pPr>
              <w:rPr>
                <w:rFonts w:ascii="Tahoma" w:hAnsi="Tahoma" w:cs="Tahoma"/>
                <w:b/>
                <w:bCs/>
                <w:sz w:val="20"/>
                <w:szCs w:val="20"/>
              </w:rPr>
            </w:pPr>
          </w:p>
        </w:tc>
        <w:tc>
          <w:tcPr>
            <w:tcW w:w="1624" w:type="dxa"/>
            <w:vMerge/>
            <w:vAlign w:val="center"/>
            <w:hideMark/>
          </w:tcPr>
          <w:p w14:paraId="163F9139" w14:textId="77777777" w:rsidR="00094B74" w:rsidRPr="00B004EE" w:rsidRDefault="00094B74" w:rsidP="00B004EE">
            <w:pPr>
              <w:rPr>
                <w:rFonts w:ascii="Tahoma" w:hAnsi="Tahoma" w:cs="Tahoma"/>
                <w:b/>
                <w:bCs/>
                <w:sz w:val="20"/>
                <w:szCs w:val="20"/>
              </w:rPr>
            </w:pPr>
          </w:p>
        </w:tc>
        <w:tc>
          <w:tcPr>
            <w:tcW w:w="3880" w:type="dxa"/>
            <w:shd w:val="clear" w:color="auto" w:fill="auto"/>
            <w:noWrap/>
            <w:vAlign w:val="bottom"/>
            <w:hideMark/>
          </w:tcPr>
          <w:p w14:paraId="1FB30243" w14:textId="77777777" w:rsidR="00094B74" w:rsidRPr="00B004EE" w:rsidRDefault="00094B74" w:rsidP="00B004EE">
            <w:pPr>
              <w:rPr>
                <w:rFonts w:ascii="Tahoma" w:hAnsi="Tahoma" w:cs="Tahoma"/>
                <w:sz w:val="20"/>
                <w:szCs w:val="20"/>
              </w:rPr>
            </w:pPr>
            <w:r w:rsidRPr="00B004EE">
              <w:rPr>
                <w:rFonts w:ascii="Tahoma" w:hAnsi="Tahoma" w:cs="Tahoma"/>
                <w:sz w:val="20"/>
                <w:szCs w:val="20"/>
              </w:rPr>
              <w:t>HPA</w:t>
            </w:r>
          </w:p>
        </w:tc>
        <w:tc>
          <w:tcPr>
            <w:tcW w:w="1560" w:type="dxa"/>
            <w:gridSpan w:val="2"/>
            <w:shd w:val="clear" w:color="auto" w:fill="auto"/>
            <w:noWrap/>
            <w:vAlign w:val="bottom"/>
            <w:hideMark/>
          </w:tcPr>
          <w:p w14:paraId="316A93EA"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3000</w:t>
            </w:r>
          </w:p>
        </w:tc>
        <w:tc>
          <w:tcPr>
            <w:tcW w:w="1275" w:type="dxa"/>
            <w:gridSpan w:val="2"/>
            <w:shd w:val="clear" w:color="auto" w:fill="auto"/>
            <w:noWrap/>
            <w:vAlign w:val="bottom"/>
            <w:hideMark/>
          </w:tcPr>
          <w:p w14:paraId="60B94E19"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2500</w:t>
            </w:r>
          </w:p>
        </w:tc>
      </w:tr>
      <w:tr w:rsidR="00150C90" w:rsidRPr="00B004EE" w14:paraId="6C1C7EF1" w14:textId="77777777" w:rsidTr="00094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8" w:type="dxa"/>
          <w:cantSplit/>
          <w:trHeight w:val="57"/>
          <w:jc w:val="center"/>
        </w:trPr>
        <w:tc>
          <w:tcPr>
            <w:tcW w:w="1488" w:type="dxa"/>
            <w:vMerge/>
            <w:vAlign w:val="center"/>
            <w:hideMark/>
          </w:tcPr>
          <w:p w14:paraId="5CE956B8" w14:textId="77777777" w:rsidR="00094B74" w:rsidRPr="00B004EE" w:rsidRDefault="00094B74" w:rsidP="00B004EE">
            <w:pPr>
              <w:rPr>
                <w:rFonts w:ascii="Tahoma" w:hAnsi="Tahoma" w:cs="Tahoma"/>
                <w:b/>
                <w:bCs/>
                <w:sz w:val="20"/>
                <w:szCs w:val="20"/>
              </w:rPr>
            </w:pPr>
          </w:p>
        </w:tc>
        <w:tc>
          <w:tcPr>
            <w:tcW w:w="1624" w:type="dxa"/>
            <w:vMerge/>
            <w:vAlign w:val="center"/>
            <w:hideMark/>
          </w:tcPr>
          <w:p w14:paraId="7EB0B2B2" w14:textId="77777777" w:rsidR="00094B74" w:rsidRPr="00B004EE" w:rsidRDefault="00094B74" w:rsidP="00B004EE">
            <w:pPr>
              <w:rPr>
                <w:rFonts w:ascii="Tahoma" w:hAnsi="Tahoma" w:cs="Tahoma"/>
                <w:b/>
                <w:bCs/>
                <w:sz w:val="20"/>
                <w:szCs w:val="20"/>
              </w:rPr>
            </w:pPr>
          </w:p>
        </w:tc>
        <w:tc>
          <w:tcPr>
            <w:tcW w:w="3880" w:type="dxa"/>
            <w:shd w:val="clear" w:color="auto" w:fill="auto"/>
            <w:noWrap/>
            <w:vAlign w:val="bottom"/>
            <w:hideMark/>
          </w:tcPr>
          <w:p w14:paraId="5BC45F68" w14:textId="77777777" w:rsidR="00094B74" w:rsidRPr="00B004EE" w:rsidRDefault="00094B74" w:rsidP="00B004EE">
            <w:pPr>
              <w:rPr>
                <w:rFonts w:ascii="Tahoma" w:hAnsi="Tahoma" w:cs="Tahoma"/>
                <w:sz w:val="20"/>
                <w:szCs w:val="20"/>
              </w:rPr>
            </w:pPr>
            <w:r w:rsidRPr="00B004EE">
              <w:rPr>
                <w:rFonts w:ascii="Tahoma" w:hAnsi="Tahoma" w:cs="Tahoma"/>
                <w:sz w:val="20"/>
                <w:szCs w:val="20"/>
              </w:rPr>
              <w:t>OC</w:t>
            </w:r>
          </w:p>
        </w:tc>
        <w:tc>
          <w:tcPr>
            <w:tcW w:w="1560" w:type="dxa"/>
            <w:gridSpan w:val="2"/>
            <w:shd w:val="clear" w:color="auto" w:fill="auto"/>
            <w:noWrap/>
            <w:vAlign w:val="bottom"/>
            <w:hideMark/>
          </w:tcPr>
          <w:p w14:paraId="178D05A8"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3000</w:t>
            </w:r>
          </w:p>
        </w:tc>
        <w:tc>
          <w:tcPr>
            <w:tcW w:w="1275" w:type="dxa"/>
            <w:gridSpan w:val="2"/>
            <w:shd w:val="clear" w:color="auto" w:fill="auto"/>
            <w:noWrap/>
            <w:vAlign w:val="bottom"/>
            <w:hideMark/>
          </w:tcPr>
          <w:p w14:paraId="181EAE96"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2500</w:t>
            </w:r>
          </w:p>
        </w:tc>
      </w:tr>
      <w:tr w:rsidR="00150C90" w:rsidRPr="00B004EE" w14:paraId="7E1A31CE" w14:textId="77777777" w:rsidTr="00094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8" w:type="dxa"/>
          <w:cantSplit/>
          <w:trHeight w:val="57"/>
          <w:jc w:val="center"/>
        </w:trPr>
        <w:tc>
          <w:tcPr>
            <w:tcW w:w="1488" w:type="dxa"/>
            <w:vMerge/>
            <w:vAlign w:val="center"/>
            <w:hideMark/>
          </w:tcPr>
          <w:p w14:paraId="1C3EC436" w14:textId="77777777" w:rsidR="00094B74" w:rsidRPr="00B004EE" w:rsidRDefault="00094B74" w:rsidP="00B004EE">
            <w:pPr>
              <w:rPr>
                <w:rFonts w:ascii="Tahoma" w:hAnsi="Tahoma" w:cs="Tahoma"/>
                <w:b/>
                <w:bCs/>
                <w:sz w:val="20"/>
                <w:szCs w:val="20"/>
              </w:rPr>
            </w:pPr>
          </w:p>
        </w:tc>
        <w:tc>
          <w:tcPr>
            <w:tcW w:w="1624" w:type="dxa"/>
            <w:vMerge/>
            <w:vAlign w:val="center"/>
            <w:hideMark/>
          </w:tcPr>
          <w:p w14:paraId="2EFA0B62" w14:textId="77777777" w:rsidR="00094B74" w:rsidRPr="00B004EE" w:rsidRDefault="00094B74" w:rsidP="00B004EE">
            <w:pPr>
              <w:rPr>
                <w:rFonts w:ascii="Tahoma" w:hAnsi="Tahoma" w:cs="Tahoma"/>
                <w:b/>
                <w:bCs/>
                <w:sz w:val="20"/>
                <w:szCs w:val="20"/>
              </w:rPr>
            </w:pPr>
          </w:p>
        </w:tc>
        <w:tc>
          <w:tcPr>
            <w:tcW w:w="3880" w:type="dxa"/>
            <w:shd w:val="clear" w:color="auto" w:fill="auto"/>
            <w:noWrap/>
            <w:vAlign w:val="bottom"/>
            <w:hideMark/>
          </w:tcPr>
          <w:p w14:paraId="4993782E" w14:textId="77777777" w:rsidR="00094B74" w:rsidRPr="00B004EE" w:rsidRDefault="00094B74" w:rsidP="00B004EE">
            <w:pPr>
              <w:rPr>
                <w:rFonts w:ascii="Tahoma" w:hAnsi="Tahoma" w:cs="Tahoma"/>
                <w:sz w:val="20"/>
                <w:szCs w:val="20"/>
              </w:rPr>
            </w:pPr>
            <w:r w:rsidRPr="00B004EE">
              <w:rPr>
                <w:rFonts w:ascii="Tahoma" w:hAnsi="Tahoma" w:cs="Tahoma"/>
                <w:sz w:val="20"/>
                <w:szCs w:val="20"/>
              </w:rPr>
              <w:t>PCB</w:t>
            </w:r>
          </w:p>
        </w:tc>
        <w:tc>
          <w:tcPr>
            <w:tcW w:w="1560" w:type="dxa"/>
            <w:gridSpan w:val="2"/>
            <w:shd w:val="clear" w:color="auto" w:fill="auto"/>
            <w:noWrap/>
            <w:vAlign w:val="bottom"/>
            <w:hideMark/>
          </w:tcPr>
          <w:p w14:paraId="397664C9"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3000</w:t>
            </w:r>
          </w:p>
        </w:tc>
        <w:tc>
          <w:tcPr>
            <w:tcW w:w="1275" w:type="dxa"/>
            <w:gridSpan w:val="2"/>
            <w:shd w:val="clear" w:color="auto" w:fill="auto"/>
            <w:noWrap/>
            <w:vAlign w:val="bottom"/>
            <w:hideMark/>
          </w:tcPr>
          <w:p w14:paraId="0E055853"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2500</w:t>
            </w:r>
          </w:p>
        </w:tc>
      </w:tr>
      <w:tr w:rsidR="00150C90" w:rsidRPr="00B004EE" w14:paraId="36B7676D" w14:textId="77777777" w:rsidTr="00094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8" w:type="dxa"/>
          <w:cantSplit/>
          <w:trHeight w:val="57"/>
          <w:jc w:val="center"/>
        </w:trPr>
        <w:tc>
          <w:tcPr>
            <w:tcW w:w="1488" w:type="dxa"/>
            <w:vMerge/>
            <w:vAlign w:val="center"/>
            <w:hideMark/>
          </w:tcPr>
          <w:p w14:paraId="4DF59AE1" w14:textId="77777777" w:rsidR="00094B74" w:rsidRPr="00B004EE" w:rsidRDefault="00094B74" w:rsidP="00B004EE">
            <w:pPr>
              <w:rPr>
                <w:rFonts w:ascii="Tahoma" w:hAnsi="Tahoma" w:cs="Tahoma"/>
                <w:b/>
                <w:bCs/>
                <w:sz w:val="20"/>
                <w:szCs w:val="20"/>
              </w:rPr>
            </w:pPr>
          </w:p>
        </w:tc>
        <w:tc>
          <w:tcPr>
            <w:tcW w:w="1624" w:type="dxa"/>
            <w:vMerge/>
            <w:vAlign w:val="center"/>
            <w:hideMark/>
          </w:tcPr>
          <w:p w14:paraId="62438B12" w14:textId="77777777" w:rsidR="00094B74" w:rsidRPr="00B004EE" w:rsidRDefault="00094B74" w:rsidP="00B004EE">
            <w:pPr>
              <w:rPr>
                <w:rFonts w:ascii="Tahoma" w:hAnsi="Tahoma" w:cs="Tahoma"/>
                <w:b/>
                <w:bCs/>
                <w:sz w:val="20"/>
                <w:szCs w:val="20"/>
              </w:rPr>
            </w:pPr>
          </w:p>
        </w:tc>
        <w:tc>
          <w:tcPr>
            <w:tcW w:w="3880" w:type="dxa"/>
            <w:shd w:val="clear" w:color="auto" w:fill="auto"/>
            <w:noWrap/>
            <w:vAlign w:val="bottom"/>
            <w:hideMark/>
          </w:tcPr>
          <w:p w14:paraId="543B0981" w14:textId="77777777" w:rsidR="00094B74" w:rsidRPr="00B004EE" w:rsidRDefault="00094B74" w:rsidP="00B004EE">
            <w:pPr>
              <w:rPr>
                <w:rFonts w:ascii="Tahoma" w:hAnsi="Tahoma" w:cs="Tahoma"/>
                <w:sz w:val="20"/>
                <w:szCs w:val="20"/>
              </w:rPr>
            </w:pPr>
            <w:r w:rsidRPr="00B004EE">
              <w:rPr>
                <w:rFonts w:ascii="Tahoma" w:hAnsi="Tahoma" w:cs="Tahoma"/>
                <w:sz w:val="20"/>
                <w:szCs w:val="20"/>
              </w:rPr>
              <w:t>ANTIOXYDANTS</w:t>
            </w:r>
          </w:p>
        </w:tc>
        <w:tc>
          <w:tcPr>
            <w:tcW w:w="1560" w:type="dxa"/>
            <w:gridSpan w:val="2"/>
            <w:shd w:val="clear" w:color="auto" w:fill="auto"/>
            <w:noWrap/>
            <w:vAlign w:val="bottom"/>
            <w:hideMark/>
          </w:tcPr>
          <w:p w14:paraId="77E87D24"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2200</w:t>
            </w:r>
          </w:p>
        </w:tc>
        <w:tc>
          <w:tcPr>
            <w:tcW w:w="1275" w:type="dxa"/>
            <w:gridSpan w:val="2"/>
            <w:shd w:val="clear" w:color="auto" w:fill="auto"/>
            <w:noWrap/>
            <w:vAlign w:val="bottom"/>
            <w:hideMark/>
          </w:tcPr>
          <w:p w14:paraId="2D15C1C5"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1500</w:t>
            </w:r>
          </w:p>
        </w:tc>
      </w:tr>
      <w:tr w:rsidR="00150C90" w:rsidRPr="00B004EE" w14:paraId="7C288327" w14:textId="77777777" w:rsidTr="00094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8" w:type="dxa"/>
          <w:cantSplit/>
          <w:trHeight w:val="57"/>
          <w:jc w:val="center"/>
        </w:trPr>
        <w:tc>
          <w:tcPr>
            <w:tcW w:w="1488" w:type="dxa"/>
            <w:vMerge/>
            <w:vAlign w:val="center"/>
            <w:hideMark/>
          </w:tcPr>
          <w:p w14:paraId="350797AA" w14:textId="77777777" w:rsidR="00094B74" w:rsidRPr="00B004EE" w:rsidRDefault="00094B74" w:rsidP="00B004EE">
            <w:pPr>
              <w:rPr>
                <w:rFonts w:ascii="Tahoma" w:hAnsi="Tahoma" w:cs="Tahoma"/>
                <w:b/>
                <w:bCs/>
                <w:sz w:val="20"/>
                <w:szCs w:val="20"/>
              </w:rPr>
            </w:pPr>
          </w:p>
        </w:tc>
        <w:tc>
          <w:tcPr>
            <w:tcW w:w="1624" w:type="dxa"/>
            <w:vMerge/>
            <w:vAlign w:val="center"/>
            <w:hideMark/>
          </w:tcPr>
          <w:p w14:paraId="7F523124" w14:textId="77777777" w:rsidR="00094B74" w:rsidRPr="00B004EE" w:rsidRDefault="00094B74" w:rsidP="00B004EE">
            <w:pPr>
              <w:rPr>
                <w:rFonts w:ascii="Tahoma" w:hAnsi="Tahoma" w:cs="Tahoma"/>
                <w:b/>
                <w:bCs/>
                <w:sz w:val="20"/>
                <w:szCs w:val="20"/>
              </w:rPr>
            </w:pPr>
          </w:p>
        </w:tc>
        <w:tc>
          <w:tcPr>
            <w:tcW w:w="3880" w:type="dxa"/>
            <w:shd w:val="clear" w:color="auto" w:fill="auto"/>
            <w:noWrap/>
            <w:vAlign w:val="bottom"/>
            <w:hideMark/>
          </w:tcPr>
          <w:p w14:paraId="0F3430DC" w14:textId="77777777" w:rsidR="00094B74" w:rsidRPr="00B004EE" w:rsidRDefault="00094B74" w:rsidP="00B004EE">
            <w:pPr>
              <w:rPr>
                <w:rFonts w:ascii="Tahoma" w:hAnsi="Tahoma" w:cs="Tahoma"/>
                <w:sz w:val="20"/>
                <w:szCs w:val="20"/>
              </w:rPr>
            </w:pPr>
            <w:r w:rsidRPr="00B004EE">
              <w:rPr>
                <w:rFonts w:ascii="Tahoma" w:hAnsi="Tahoma" w:cs="Tahoma"/>
                <w:sz w:val="20"/>
                <w:szCs w:val="20"/>
              </w:rPr>
              <w:t>Acidité</w:t>
            </w:r>
          </w:p>
        </w:tc>
        <w:tc>
          <w:tcPr>
            <w:tcW w:w="1560" w:type="dxa"/>
            <w:gridSpan w:val="2"/>
            <w:shd w:val="clear" w:color="auto" w:fill="auto"/>
            <w:noWrap/>
            <w:vAlign w:val="bottom"/>
            <w:hideMark/>
          </w:tcPr>
          <w:p w14:paraId="60432849"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1125</w:t>
            </w:r>
          </w:p>
        </w:tc>
        <w:tc>
          <w:tcPr>
            <w:tcW w:w="1275" w:type="dxa"/>
            <w:gridSpan w:val="2"/>
            <w:shd w:val="clear" w:color="auto" w:fill="auto"/>
            <w:noWrap/>
            <w:vAlign w:val="bottom"/>
            <w:hideMark/>
          </w:tcPr>
          <w:p w14:paraId="0B6D537C"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750</w:t>
            </w:r>
          </w:p>
        </w:tc>
      </w:tr>
      <w:tr w:rsidR="00150C90" w:rsidRPr="00B004EE" w14:paraId="564054AB" w14:textId="77777777" w:rsidTr="00094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8" w:type="dxa"/>
          <w:cantSplit/>
          <w:trHeight w:val="57"/>
          <w:jc w:val="center"/>
        </w:trPr>
        <w:tc>
          <w:tcPr>
            <w:tcW w:w="1488" w:type="dxa"/>
            <w:vMerge/>
            <w:vAlign w:val="center"/>
            <w:hideMark/>
          </w:tcPr>
          <w:p w14:paraId="393C5778" w14:textId="77777777" w:rsidR="00094B74" w:rsidRPr="00B004EE" w:rsidRDefault="00094B74" w:rsidP="00B004EE">
            <w:pPr>
              <w:rPr>
                <w:rFonts w:ascii="Tahoma" w:hAnsi="Tahoma" w:cs="Tahoma"/>
                <w:b/>
                <w:bCs/>
                <w:sz w:val="20"/>
                <w:szCs w:val="20"/>
              </w:rPr>
            </w:pPr>
          </w:p>
        </w:tc>
        <w:tc>
          <w:tcPr>
            <w:tcW w:w="1624" w:type="dxa"/>
            <w:vMerge/>
            <w:vAlign w:val="center"/>
            <w:hideMark/>
          </w:tcPr>
          <w:p w14:paraId="5AF46A70" w14:textId="77777777" w:rsidR="00094B74" w:rsidRPr="00B004EE" w:rsidRDefault="00094B74" w:rsidP="00B004EE">
            <w:pPr>
              <w:rPr>
                <w:rFonts w:ascii="Tahoma" w:hAnsi="Tahoma" w:cs="Tahoma"/>
                <w:b/>
                <w:bCs/>
                <w:sz w:val="20"/>
                <w:szCs w:val="20"/>
              </w:rPr>
            </w:pPr>
          </w:p>
        </w:tc>
        <w:tc>
          <w:tcPr>
            <w:tcW w:w="3880" w:type="dxa"/>
            <w:shd w:val="clear" w:color="auto" w:fill="auto"/>
            <w:noWrap/>
            <w:vAlign w:val="bottom"/>
            <w:hideMark/>
          </w:tcPr>
          <w:p w14:paraId="6DA42E57" w14:textId="77777777" w:rsidR="00094B74" w:rsidRPr="00B004EE" w:rsidRDefault="00094B74" w:rsidP="00B004EE">
            <w:pPr>
              <w:rPr>
                <w:rFonts w:ascii="Tahoma" w:hAnsi="Tahoma" w:cs="Tahoma"/>
                <w:sz w:val="20"/>
                <w:szCs w:val="20"/>
              </w:rPr>
            </w:pPr>
            <w:r w:rsidRPr="00B004EE">
              <w:rPr>
                <w:rFonts w:ascii="Tahoma" w:hAnsi="Tahoma" w:cs="Tahoma"/>
                <w:sz w:val="20"/>
                <w:szCs w:val="20"/>
              </w:rPr>
              <w:t>Indice de peroxyde</w:t>
            </w:r>
          </w:p>
        </w:tc>
        <w:tc>
          <w:tcPr>
            <w:tcW w:w="1560" w:type="dxa"/>
            <w:gridSpan w:val="2"/>
            <w:shd w:val="clear" w:color="auto" w:fill="auto"/>
            <w:noWrap/>
            <w:vAlign w:val="bottom"/>
            <w:hideMark/>
          </w:tcPr>
          <w:p w14:paraId="4E92AFC6"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1050</w:t>
            </w:r>
          </w:p>
        </w:tc>
        <w:tc>
          <w:tcPr>
            <w:tcW w:w="1275" w:type="dxa"/>
            <w:gridSpan w:val="2"/>
            <w:shd w:val="clear" w:color="auto" w:fill="auto"/>
            <w:noWrap/>
            <w:vAlign w:val="bottom"/>
            <w:hideMark/>
          </w:tcPr>
          <w:p w14:paraId="6C6E159F"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700</w:t>
            </w:r>
          </w:p>
        </w:tc>
      </w:tr>
      <w:tr w:rsidR="00150C90" w:rsidRPr="00B004EE" w14:paraId="5E234233" w14:textId="77777777" w:rsidTr="00094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8" w:type="dxa"/>
          <w:cantSplit/>
          <w:trHeight w:val="57"/>
          <w:jc w:val="center"/>
        </w:trPr>
        <w:tc>
          <w:tcPr>
            <w:tcW w:w="1488" w:type="dxa"/>
            <w:vMerge/>
            <w:vAlign w:val="center"/>
            <w:hideMark/>
          </w:tcPr>
          <w:p w14:paraId="7CFD1123" w14:textId="77777777" w:rsidR="00094B74" w:rsidRPr="00B004EE" w:rsidRDefault="00094B74" w:rsidP="00B004EE">
            <w:pPr>
              <w:rPr>
                <w:rFonts w:ascii="Tahoma" w:hAnsi="Tahoma" w:cs="Tahoma"/>
                <w:b/>
                <w:bCs/>
                <w:sz w:val="20"/>
                <w:szCs w:val="20"/>
              </w:rPr>
            </w:pPr>
          </w:p>
        </w:tc>
        <w:tc>
          <w:tcPr>
            <w:tcW w:w="1624" w:type="dxa"/>
            <w:vMerge/>
            <w:vAlign w:val="center"/>
            <w:hideMark/>
          </w:tcPr>
          <w:p w14:paraId="138776EF" w14:textId="77777777" w:rsidR="00094B74" w:rsidRPr="00B004EE" w:rsidRDefault="00094B74" w:rsidP="00B004EE">
            <w:pPr>
              <w:rPr>
                <w:rFonts w:ascii="Tahoma" w:hAnsi="Tahoma" w:cs="Tahoma"/>
                <w:b/>
                <w:bCs/>
                <w:sz w:val="20"/>
                <w:szCs w:val="20"/>
              </w:rPr>
            </w:pPr>
          </w:p>
        </w:tc>
        <w:tc>
          <w:tcPr>
            <w:tcW w:w="3880" w:type="dxa"/>
            <w:shd w:val="clear" w:color="auto" w:fill="auto"/>
            <w:noWrap/>
            <w:vAlign w:val="bottom"/>
            <w:hideMark/>
          </w:tcPr>
          <w:p w14:paraId="4EEA752E" w14:textId="77777777" w:rsidR="00094B74" w:rsidRPr="00B004EE" w:rsidRDefault="00094B74" w:rsidP="00B004EE">
            <w:pPr>
              <w:rPr>
                <w:rFonts w:ascii="Tahoma" w:hAnsi="Tahoma" w:cs="Tahoma"/>
                <w:sz w:val="20"/>
                <w:szCs w:val="20"/>
              </w:rPr>
            </w:pPr>
            <w:r w:rsidRPr="00B004EE">
              <w:rPr>
                <w:rFonts w:ascii="Tahoma" w:hAnsi="Tahoma" w:cs="Tahoma"/>
                <w:sz w:val="20"/>
                <w:szCs w:val="20"/>
              </w:rPr>
              <w:t>NaCl</w:t>
            </w:r>
          </w:p>
        </w:tc>
        <w:tc>
          <w:tcPr>
            <w:tcW w:w="1560" w:type="dxa"/>
            <w:gridSpan w:val="2"/>
            <w:shd w:val="clear" w:color="auto" w:fill="auto"/>
            <w:noWrap/>
            <w:vAlign w:val="bottom"/>
            <w:hideMark/>
          </w:tcPr>
          <w:p w14:paraId="139E550F"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975</w:t>
            </w:r>
          </w:p>
        </w:tc>
        <w:tc>
          <w:tcPr>
            <w:tcW w:w="1275" w:type="dxa"/>
            <w:gridSpan w:val="2"/>
            <w:shd w:val="clear" w:color="auto" w:fill="auto"/>
            <w:noWrap/>
            <w:vAlign w:val="bottom"/>
            <w:hideMark/>
          </w:tcPr>
          <w:p w14:paraId="3C31D0C7"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650</w:t>
            </w:r>
          </w:p>
        </w:tc>
      </w:tr>
      <w:tr w:rsidR="00150C90" w:rsidRPr="00B004EE" w14:paraId="455A5414" w14:textId="77777777" w:rsidTr="00094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8" w:type="dxa"/>
          <w:cantSplit/>
          <w:trHeight w:val="57"/>
          <w:jc w:val="center"/>
        </w:trPr>
        <w:tc>
          <w:tcPr>
            <w:tcW w:w="1488" w:type="dxa"/>
            <w:vMerge/>
            <w:vAlign w:val="center"/>
            <w:hideMark/>
          </w:tcPr>
          <w:p w14:paraId="09AF8B8D" w14:textId="77777777" w:rsidR="00094B74" w:rsidRPr="00B004EE" w:rsidRDefault="00094B74" w:rsidP="00B004EE">
            <w:pPr>
              <w:rPr>
                <w:rFonts w:ascii="Tahoma" w:hAnsi="Tahoma" w:cs="Tahoma"/>
                <w:b/>
                <w:bCs/>
                <w:sz w:val="20"/>
                <w:szCs w:val="20"/>
              </w:rPr>
            </w:pPr>
          </w:p>
        </w:tc>
        <w:tc>
          <w:tcPr>
            <w:tcW w:w="1624" w:type="dxa"/>
            <w:vMerge w:val="restart"/>
            <w:shd w:val="clear" w:color="auto" w:fill="auto"/>
            <w:noWrap/>
            <w:textDirection w:val="btLr"/>
            <w:vAlign w:val="center"/>
            <w:hideMark/>
          </w:tcPr>
          <w:p w14:paraId="2E895EB7" w14:textId="77777777" w:rsidR="00094B74" w:rsidRPr="00B004EE" w:rsidRDefault="00094B74" w:rsidP="00B004EE">
            <w:pPr>
              <w:jc w:val="center"/>
              <w:rPr>
                <w:rFonts w:ascii="Tahoma" w:hAnsi="Tahoma" w:cs="Tahoma"/>
                <w:b/>
                <w:bCs/>
                <w:sz w:val="20"/>
                <w:szCs w:val="20"/>
              </w:rPr>
            </w:pPr>
            <w:r w:rsidRPr="00B004EE">
              <w:rPr>
                <w:rFonts w:ascii="Tahoma" w:hAnsi="Tahoma" w:cs="Tahoma"/>
                <w:b/>
                <w:bCs/>
                <w:sz w:val="20"/>
                <w:szCs w:val="20"/>
              </w:rPr>
              <w:t>Analyses Microbiologiques</w:t>
            </w:r>
          </w:p>
        </w:tc>
        <w:tc>
          <w:tcPr>
            <w:tcW w:w="3880" w:type="dxa"/>
            <w:shd w:val="clear" w:color="auto" w:fill="auto"/>
            <w:noWrap/>
            <w:vAlign w:val="bottom"/>
            <w:hideMark/>
          </w:tcPr>
          <w:p w14:paraId="670358B0" w14:textId="77777777" w:rsidR="00094B74" w:rsidRPr="00B004EE" w:rsidRDefault="00094B74" w:rsidP="00B004EE">
            <w:pPr>
              <w:rPr>
                <w:rFonts w:ascii="Tahoma" w:hAnsi="Tahoma" w:cs="Tahoma"/>
                <w:sz w:val="20"/>
                <w:szCs w:val="20"/>
              </w:rPr>
            </w:pPr>
            <w:r w:rsidRPr="00B004EE">
              <w:rPr>
                <w:rFonts w:ascii="Tahoma" w:hAnsi="Tahoma" w:cs="Tahoma"/>
                <w:sz w:val="20"/>
                <w:szCs w:val="20"/>
              </w:rPr>
              <w:t>Microorganisme (FMAT)</w:t>
            </w:r>
          </w:p>
        </w:tc>
        <w:tc>
          <w:tcPr>
            <w:tcW w:w="1560" w:type="dxa"/>
            <w:gridSpan w:val="2"/>
            <w:shd w:val="clear" w:color="auto" w:fill="auto"/>
            <w:noWrap/>
            <w:vAlign w:val="bottom"/>
            <w:hideMark/>
          </w:tcPr>
          <w:p w14:paraId="066E3959"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750</w:t>
            </w:r>
          </w:p>
        </w:tc>
        <w:tc>
          <w:tcPr>
            <w:tcW w:w="1275" w:type="dxa"/>
            <w:gridSpan w:val="2"/>
            <w:shd w:val="clear" w:color="auto" w:fill="auto"/>
            <w:noWrap/>
            <w:vAlign w:val="bottom"/>
            <w:hideMark/>
          </w:tcPr>
          <w:p w14:paraId="4D9AC3E7"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500</w:t>
            </w:r>
          </w:p>
        </w:tc>
      </w:tr>
      <w:tr w:rsidR="00150C90" w:rsidRPr="00B004EE" w14:paraId="772DA427" w14:textId="77777777" w:rsidTr="00094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8" w:type="dxa"/>
          <w:cantSplit/>
          <w:trHeight w:val="57"/>
          <w:jc w:val="center"/>
        </w:trPr>
        <w:tc>
          <w:tcPr>
            <w:tcW w:w="1488" w:type="dxa"/>
            <w:vMerge/>
            <w:vAlign w:val="center"/>
            <w:hideMark/>
          </w:tcPr>
          <w:p w14:paraId="355850F8" w14:textId="77777777" w:rsidR="00094B74" w:rsidRPr="00B004EE" w:rsidRDefault="00094B74" w:rsidP="00B004EE">
            <w:pPr>
              <w:rPr>
                <w:rFonts w:ascii="Tahoma" w:hAnsi="Tahoma" w:cs="Tahoma"/>
                <w:b/>
                <w:bCs/>
                <w:sz w:val="20"/>
                <w:szCs w:val="20"/>
              </w:rPr>
            </w:pPr>
          </w:p>
        </w:tc>
        <w:tc>
          <w:tcPr>
            <w:tcW w:w="1624" w:type="dxa"/>
            <w:vMerge/>
            <w:vAlign w:val="center"/>
            <w:hideMark/>
          </w:tcPr>
          <w:p w14:paraId="1826FB6F" w14:textId="77777777" w:rsidR="00094B74" w:rsidRPr="00B004EE" w:rsidRDefault="00094B74" w:rsidP="00B004EE">
            <w:pPr>
              <w:rPr>
                <w:rFonts w:ascii="Tahoma" w:hAnsi="Tahoma" w:cs="Tahoma"/>
                <w:b/>
                <w:bCs/>
                <w:sz w:val="20"/>
                <w:szCs w:val="20"/>
              </w:rPr>
            </w:pPr>
          </w:p>
        </w:tc>
        <w:tc>
          <w:tcPr>
            <w:tcW w:w="3880" w:type="dxa"/>
            <w:shd w:val="clear" w:color="auto" w:fill="auto"/>
            <w:noWrap/>
            <w:vAlign w:val="bottom"/>
            <w:hideMark/>
          </w:tcPr>
          <w:p w14:paraId="2A8893CA" w14:textId="77777777" w:rsidR="00094B74" w:rsidRPr="00B004EE" w:rsidRDefault="00094B74" w:rsidP="00B004EE">
            <w:pPr>
              <w:rPr>
                <w:rFonts w:ascii="Tahoma" w:hAnsi="Tahoma" w:cs="Tahoma"/>
                <w:sz w:val="20"/>
                <w:szCs w:val="20"/>
              </w:rPr>
            </w:pPr>
            <w:r w:rsidRPr="00B004EE">
              <w:rPr>
                <w:rFonts w:ascii="Tahoma" w:hAnsi="Tahoma" w:cs="Tahoma"/>
                <w:sz w:val="20"/>
                <w:szCs w:val="20"/>
              </w:rPr>
              <w:t xml:space="preserve">Coliformes totaux </w:t>
            </w:r>
          </w:p>
        </w:tc>
        <w:tc>
          <w:tcPr>
            <w:tcW w:w="1560" w:type="dxa"/>
            <w:gridSpan w:val="2"/>
            <w:shd w:val="clear" w:color="auto" w:fill="auto"/>
            <w:noWrap/>
            <w:vAlign w:val="bottom"/>
            <w:hideMark/>
          </w:tcPr>
          <w:p w14:paraId="549A6447"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700</w:t>
            </w:r>
          </w:p>
        </w:tc>
        <w:tc>
          <w:tcPr>
            <w:tcW w:w="1275" w:type="dxa"/>
            <w:gridSpan w:val="2"/>
            <w:shd w:val="clear" w:color="auto" w:fill="auto"/>
            <w:noWrap/>
            <w:vAlign w:val="bottom"/>
            <w:hideMark/>
          </w:tcPr>
          <w:p w14:paraId="4205E4F7"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500</w:t>
            </w:r>
          </w:p>
        </w:tc>
      </w:tr>
      <w:tr w:rsidR="00150C90" w:rsidRPr="00B004EE" w14:paraId="7F887B39" w14:textId="77777777" w:rsidTr="00094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8" w:type="dxa"/>
          <w:cantSplit/>
          <w:trHeight w:val="57"/>
          <w:jc w:val="center"/>
        </w:trPr>
        <w:tc>
          <w:tcPr>
            <w:tcW w:w="1488" w:type="dxa"/>
            <w:vMerge/>
            <w:vAlign w:val="center"/>
            <w:hideMark/>
          </w:tcPr>
          <w:p w14:paraId="2CFF76DD" w14:textId="77777777" w:rsidR="00094B74" w:rsidRPr="00B004EE" w:rsidRDefault="00094B74" w:rsidP="00B004EE">
            <w:pPr>
              <w:rPr>
                <w:rFonts w:ascii="Tahoma" w:hAnsi="Tahoma" w:cs="Tahoma"/>
                <w:b/>
                <w:bCs/>
                <w:sz w:val="20"/>
                <w:szCs w:val="20"/>
              </w:rPr>
            </w:pPr>
          </w:p>
        </w:tc>
        <w:tc>
          <w:tcPr>
            <w:tcW w:w="1624" w:type="dxa"/>
            <w:vMerge/>
            <w:vAlign w:val="center"/>
            <w:hideMark/>
          </w:tcPr>
          <w:p w14:paraId="5F7FB827" w14:textId="77777777" w:rsidR="00094B74" w:rsidRPr="00B004EE" w:rsidRDefault="00094B74" w:rsidP="00B004EE">
            <w:pPr>
              <w:rPr>
                <w:rFonts w:ascii="Tahoma" w:hAnsi="Tahoma" w:cs="Tahoma"/>
                <w:b/>
                <w:bCs/>
                <w:sz w:val="20"/>
                <w:szCs w:val="20"/>
              </w:rPr>
            </w:pPr>
          </w:p>
        </w:tc>
        <w:tc>
          <w:tcPr>
            <w:tcW w:w="3880" w:type="dxa"/>
            <w:shd w:val="clear" w:color="auto" w:fill="auto"/>
            <w:noWrap/>
            <w:vAlign w:val="bottom"/>
            <w:hideMark/>
          </w:tcPr>
          <w:p w14:paraId="41C88F07" w14:textId="77777777" w:rsidR="00094B74" w:rsidRPr="00B004EE" w:rsidRDefault="00094B74" w:rsidP="00B004EE">
            <w:pPr>
              <w:rPr>
                <w:rFonts w:ascii="Tahoma" w:hAnsi="Tahoma" w:cs="Tahoma"/>
                <w:sz w:val="20"/>
                <w:szCs w:val="20"/>
              </w:rPr>
            </w:pPr>
            <w:r w:rsidRPr="00B004EE">
              <w:rPr>
                <w:rFonts w:ascii="Tahoma" w:hAnsi="Tahoma" w:cs="Tahoma"/>
                <w:sz w:val="20"/>
                <w:szCs w:val="20"/>
              </w:rPr>
              <w:t>Coliformes thermotolérants</w:t>
            </w:r>
          </w:p>
        </w:tc>
        <w:tc>
          <w:tcPr>
            <w:tcW w:w="1560" w:type="dxa"/>
            <w:gridSpan w:val="2"/>
            <w:shd w:val="clear" w:color="auto" w:fill="auto"/>
            <w:noWrap/>
            <w:vAlign w:val="bottom"/>
            <w:hideMark/>
          </w:tcPr>
          <w:p w14:paraId="4623D7BC"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850</w:t>
            </w:r>
          </w:p>
        </w:tc>
        <w:tc>
          <w:tcPr>
            <w:tcW w:w="1275" w:type="dxa"/>
            <w:gridSpan w:val="2"/>
            <w:shd w:val="clear" w:color="auto" w:fill="auto"/>
            <w:noWrap/>
            <w:vAlign w:val="bottom"/>
            <w:hideMark/>
          </w:tcPr>
          <w:p w14:paraId="6818191E"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700</w:t>
            </w:r>
          </w:p>
        </w:tc>
      </w:tr>
      <w:tr w:rsidR="00150C90" w:rsidRPr="00B004EE" w14:paraId="30591A3F" w14:textId="77777777" w:rsidTr="00094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8" w:type="dxa"/>
          <w:cantSplit/>
          <w:trHeight w:val="57"/>
          <w:jc w:val="center"/>
        </w:trPr>
        <w:tc>
          <w:tcPr>
            <w:tcW w:w="1488" w:type="dxa"/>
            <w:vMerge/>
            <w:vAlign w:val="center"/>
            <w:hideMark/>
          </w:tcPr>
          <w:p w14:paraId="31EC260E" w14:textId="77777777" w:rsidR="00094B74" w:rsidRPr="00B004EE" w:rsidRDefault="00094B74" w:rsidP="00B004EE">
            <w:pPr>
              <w:rPr>
                <w:rFonts w:ascii="Tahoma" w:hAnsi="Tahoma" w:cs="Tahoma"/>
                <w:b/>
                <w:bCs/>
                <w:sz w:val="20"/>
                <w:szCs w:val="20"/>
              </w:rPr>
            </w:pPr>
          </w:p>
        </w:tc>
        <w:tc>
          <w:tcPr>
            <w:tcW w:w="1624" w:type="dxa"/>
            <w:vMerge/>
            <w:vAlign w:val="center"/>
            <w:hideMark/>
          </w:tcPr>
          <w:p w14:paraId="4B7CB3BD" w14:textId="77777777" w:rsidR="00094B74" w:rsidRPr="00B004EE" w:rsidRDefault="00094B74" w:rsidP="00B004EE">
            <w:pPr>
              <w:rPr>
                <w:rFonts w:ascii="Tahoma" w:hAnsi="Tahoma" w:cs="Tahoma"/>
                <w:b/>
                <w:bCs/>
                <w:sz w:val="20"/>
                <w:szCs w:val="20"/>
              </w:rPr>
            </w:pPr>
          </w:p>
        </w:tc>
        <w:tc>
          <w:tcPr>
            <w:tcW w:w="3880" w:type="dxa"/>
            <w:shd w:val="clear" w:color="auto" w:fill="auto"/>
            <w:noWrap/>
            <w:vAlign w:val="bottom"/>
            <w:hideMark/>
          </w:tcPr>
          <w:p w14:paraId="0A082C89" w14:textId="77777777" w:rsidR="00094B74" w:rsidRPr="00B004EE" w:rsidRDefault="00094B74" w:rsidP="00B004EE">
            <w:pPr>
              <w:rPr>
                <w:rFonts w:ascii="Tahoma" w:hAnsi="Tahoma" w:cs="Tahoma"/>
                <w:sz w:val="20"/>
                <w:szCs w:val="20"/>
              </w:rPr>
            </w:pPr>
            <w:r w:rsidRPr="00B004EE">
              <w:rPr>
                <w:rFonts w:ascii="Tahoma" w:hAnsi="Tahoma" w:cs="Tahoma"/>
                <w:sz w:val="20"/>
                <w:szCs w:val="20"/>
              </w:rPr>
              <w:t>Escherichia coli</w:t>
            </w:r>
          </w:p>
        </w:tc>
        <w:tc>
          <w:tcPr>
            <w:tcW w:w="1560" w:type="dxa"/>
            <w:gridSpan w:val="2"/>
            <w:shd w:val="clear" w:color="auto" w:fill="auto"/>
            <w:noWrap/>
            <w:vAlign w:val="bottom"/>
            <w:hideMark/>
          </w:tcPr>
          <w:p w14:paraId="76A13332"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850</w:t>
            </w:r>
          </w:p>
        </w:tc>
        <w:tc>
          <w:tcPr>
            <w:tcW w:w="1275" w:type="dxa"/>
            <w:gridSpan w:val="2"/>
            <w:shd w:val="clear" w:color="auto" w:fill="auto"/>
            <w:noWrap/>
            <w:vAlign w:val="bottom"/>
            <w:hideMark/>
          </w:tcPr>
          <w:p w14:paraId="2136048B"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700</w:t>
            </w:r>
          </w:p>
        </w:tc>
      </w:tr>
      <w:tr w:rsidR="00150C90" w:rsidRPr="00B004EE" w14:paraId="425A31F6" w14:textId="77777777" w:rsidTr="00094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8" w:type="dxa"/>
          <w:cantSplit/>
          <w:trHeight w:val="57"/>
          <w:jc w:val="center"/>
        </w:trPr>
        <w:tc>
          <w:tcPr>
            <w:tcW w:w="1488" w:type="dxa"/>
            <w:vMerge/>
            <w:vAlign w:val="center"/>
            <w:hideMark/>
          </w:tcPr>
          <w:p w14:paraId="65509CE1" w14:textId="77777777" w:rsidR="00094B74" w:rsidRPr="00B004EE" w:rsidRDefault="00094B74" w:rsidP="00B004EE">
            <w:pPr>
              <w:rPr>
                <w:rFonts w:ascii="Tahoma" w:hAnsi="Tahoma" w:cs="Tahoma"/>
                <w:b/>
                <w:bCs/>
                <w:sz w:val="20"/>
                <w:szCs w:val="20"/>
              </w:rPr>
            </w:pPr>
          </w:p>
        </w:tc>
        <w:tc>
          <w:tcPr>
            <w:tcW w:w="1624" w:type="dxa"/>
            <w:vMerge/>
            <w:vAlign w:val="center"/>
            <w:hideMark/>
          </w:tcPr>
          <w:p w14:paraId="609F5434" w14:textId="77777777" w:rsidR="00094B74" w:rsidRPr="00B004EE" w:rsidRDefault="00094B74" w:rsidP="00B004EE">
            <w:pPr>
              <w:rPr>
                <w:rFonts w:ascii="Tahoma" w:hAnsi="Tahoma" w:cs="Tahoma"/>
                <w:b/>
                <w:bCs/>
                <w:sz w:val="20"/>
                <w:szCs w:val="20"/>
              </w:rPr>
            </w:pPr>
          </w:p>
        </w:tc>
        <w:tc>
          <w:tcPr>
            <w:tcW w:w="3880" w:type="dxa"/>
            <w:shd w:val="clear" w:color="auto" w:fill="auto"/>
            <w:noWrap/>
            <w:vAlign w:val="bottom"/>
            <w:hideMark/>
          </w:tcPr>
          <w:p w14:paraId="5B6E4161" w14:textId="77777777" w:rsidR="00094B74" w:rsidRPr="00B004EE" w:rsidRDefault="00094B74" w:rsidP="00B004EE">
            <w:pPr>
              <w:rPr>
                <w:rFonts w:ascii="Tahoma" w:hAnsi="Tahoma" w:cs="Tahoma"/>
                <w:sz w:val="20"/>
                <w:szCs w:val="20"/>
              </w:rPr>
            </w:pPr>
            <w:r w:rsidRPr="00B004EE">
              <w:rPr>
                <w:rFonts w:ascii="Tahoma" w:hAnsi="Tahoma" w:cs="Tahoma"/>
                <w:sz w:val="20"/>
                <w:szCs w:val="20"/>
              </w:rPr>
              <w:t xml:space="preserve">Entérocoques (streptocoques de groupe D) </w:t>
            </w:r>
          </w:p>
        </w:tc>
        <w:tc>
          <w:tcPr>
            <w:tcW w:w="1560" w:type="dxa"/>
            <w:gridSpan w:val="2"/>
            <w:shd w:val="clear" w:color="auto" w:fill="auto"/>
            <w:noWrap/>
            <w:vAlign w:val="bottom"/>
            <w:hideMark/>
          </w:tcPr>
          <w:p w14:paraId="2FCF150F"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1125</w:t>
            </w:r>
          </w:p>
        </w:tc>
        <w:tc>
          <w:tcPr>
            <w:tcW w:w="1275" w:type="dxa"/>
            <w:gridSpan w:val="2"/>
            <w:shd w:val="clear" w:color="auto" w:fill="auto"/>
            <w:noWrap/>
            <w:vAlign w:val="bottom"/>
            <w:hideMark/>
          </w:tcPr>
          <w:p w14:paraId="3667ACBA"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750</w:t>
            </w:r>
          </w:p>
        </w:tc>
      </w:tr>
      <w:tr w:rsidR="00150C90" w:rsidRPr="00B004EE" w14:paraId="3FDCE844" w14:textId="77777777" w:rsidTr="00094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8" w:type="dxa"/>
          <w:cantSplit/>
          <w:trHeight w:val="57"/>
          <w:jc w:val="center"/>
        </w:trPr>
        <w:tc>
          <w:tcPr>
            <w:tcW w:w="1488" w:type="dxa"/>
            <w:vMerge/>
            <w:vAlign w:val="center"/>
            <w:hideMark/>
          </w:tcPr>
          <w:p w14:paraId="193B94C5" w14:textId="77777777" w:rsidR="00094B74" w:rsidRPr="00B004EE" w:rsidRDefault="00094B74" w:rsidP="00B004EE">
            <w:pPr>
              <w:rPr>
                <w:rFonts w:ascii="Tahoma" w:hAnsi="Tahoma" w:cs="Tahoma"/>
                <w:b/>
                <w:bCs/>
                <w:sz w:val="20"/>
                <w:szCs w:val="20"/>
              </w:rPr>
            </w:pPr>
          </w:p>
        </w:tc>
        <w:tc>
          <w:tcPr>
            <w:tcW w:w="1624" w:type="dxa"/>
            <w:vMerge/>
            <w:vAlign w:val="center"/>
            <w:hideMark/>
          </w:tcPr>
          <w:p w14:paraId="1DC6FA59" w14:textId="77777777" w:rsidR="00094B74" w:rsidRPr="00B004EE" w:rsidRDefault="00094B74" w:rsidP="00B004EE">
            <w:pPr>
              <w:rPr>
                <w:rFonts w:ascii="Tahoma" w:hAnsi="Tahoma" w:cs="Tahoma"/>
                <w:b/>
                <w:bCs/>
                <w:sz w:val="20"/>
                <w:szCs w:val="20"/>
              </w:rPr>
            </w:pPr>
          </w:p>
        </w:tc>
        <w:tc>
          <w:tcPr>
            <w:tcW w:w="3880" w:type="dxa"/>
            <w:shd w:val="clear" w:color="auto" w:fill="auto"/>
            <w:noWrap/>
            <w:vAlign w:val="bottom"/>
            <w:hideMark/>
          </w:tcPr>
          <w:p w14:paraId="757EE552" w14:textId="77777777" w:rsidR="00094B74" w:rsidRPr="00B004EE" w:rsidRDefault="00094B74" w:rsidP="00B004EE">
            <w:pPr>
              <w:rPr>
                <w:rFonts w:ascii="Tahoma" w:hAnsi="Tahoma" w:cs="Tahoma"/>
                <w:sz w:val="20"/>
                <w:szCs w:val="20"/>
              </w:rPr>
            </w:pPr>
            <w:r w:rsidRPr="00B004EE">
              <w:rPr>
                <w:rFonts w:ascii="Tahoma" w:hAnsi="Tahoma" w:cs="Tahoma"/>
                <w:sz w:val="20"/>
                <w:szCs w:val="20"/>
              </w:rPr>
              <w:t>ANSR</w:t>
            </w:r>
          </w:p>
        </w:tc>
        <w:tc>
          <w:tcPr>
            <w:tcW w:w="1560" w:type="dxa"/>
            <w:gridSpan w:val="2"/>
            <w:shd w:val="clear" w:color="auto" w:fill="auto"/>
            <w:noWrap/>
            <w:vAlign w:val="bottom"/>
            <w:hideMark/>
          </w:tcPr>
          <w:p w14:paraId="20307573"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1012,5</w:t>
            </w:r>
          </w:p>
        </w:tc>
        <w:tc>
          <w:tcPr>
            <w:tcW w:w="1275" w:type="dxa"/>
            <w:gridSpan w:val="2"/>
            <w:shd w:val="clear" w:color="auto" w:fill="auto"/>
            <w:noWrap/>
            <w:vAlign w:val="bottom"/>
            <w:hideMark/>
          </w:tcPr>
          <w:p w14:paraId="7E167D96"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675</w:t>
            </w:r>
          </w:p>
        </w:tc>
      </w:tr>
      <w:tr w:rsidR="00150C90" w:rsidRPr="00B004EE" w14:paraId="58D1AE0D" w14:textId="77777777" w:rsidTr="00094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8" w:type="dxa"/>
          <w:cantSplit/>
          <w:trHeight w:val="57"/>
          <w:jc w:val="center"/>
        </w:trPr>
        <w:tc>
          <w:tcPr>
            <w:tcW w:w="1488" w:type="dxa"/>
            <w:vMerge/>
            <w:vAlign w:val="center"/>
            <w:hideMark/>
          </w:tcPr>
          <w:p w14:paraId="18C74D73" w14:textId="77777777" w:rsidR="00094B74" w:rsidRPr="00B004EE" w:rsidRDefault="00094B74" w:rsidP="00B004EE">
            <w:pPr>
              <w:rPr>
                <w:rFonts w:ascii="Tahoma" w:hAnsi="Tahoma" w:cs="Tahoma"/>
                <w:b/>
                <w:bCs/>
                <w:sz w:val="20"/>
                <w:szCs w:val="20"/>
              </w:rPr>
            </w:pPr>
          </w:p>
        </w:tc>
        <w:tc>
          <w:tcPr>
            <w:tcW w:w="1624" w:type="dxa"/>
            <w:vMerge/>
            <w:vAlign w:val="center"/>
            <w:hideMark/>
          </w:tcPr>
          <w:p w14:paraId="30F2F8F7" w14:textId="77777777" w:rsidR="00094B74" w:rsidRPr="00B004EE" w:rsidRDefault="00094B74" w:rsidP="00B004EE">
            <w:pPr>
              <w:rPr>
                <w:rFonts w:ascii="Tahoma" w:hAnsi="Tahoma" w:cs="Tahoma"/>
                <w:b/>
                <w:bCs/>
                <w:sz w:val="20"/>
                <w:szCs w:val="20"/>
              </w:rPr>
            </w:pPr>
          </w:p>
        </w:tc>
        <w:tc>
          <w:tcPr>
            <w:tcW w:w="3880" w:type="dxa"/>
            <w:shd w:val="clear" w:color="auto" w:fill="auto"/>
            <w:noWrap/>
            <w:vAlign w:val="bottom"/>
            <w:hideMark/>
          </w:tcPr>
          <w:p w14:paraId="7445DA71" w14:textId="77777777" w:rsidR="00094B74" w:rsidRPr="00B004EE" w:rsidRDefault="00094B74" w:rsidP="00B004EE">
            <w:pPr>
              <w:rPr>
                <w:rFonts w:ascii="Tahoma" w:hAnsi="Tahoma" w:cs="Tahoma"/>
                <w:sz w:val="20"/>
                <w:szCs w:val="20"/>
              </w:rPr>
            </w:pPr>
            <w:r w:rsidRPr="00B004EE">
              <w:rPr>
                <w:rFonts w:ascii="Tahoma" w:hAnsi="Tahoma" w:cs="Tahoma"/>
                <w:sz w:val="20"/>
                <w:szCs w:val="20"/>
              </w:rPr>
              <w:t>Salmonella</w:t>
            </w:r>
          </w:p>
        </w:tc>
        <w:tc>
          <w:tcPr>
            <w:tcW w:w="1560" w:type="dxa"/>
            <w:gridSpan w:val="2"/>
            <w:shd w:val="clear" w:color="auto" w:fill="auto"/>
            <w:noWrap/>
            <w:vAlign w:val="bottom"/>
            <w:hideMark/>
          </w:tcPr>
          <w:p w14:paraId="36DA2287"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2200</w:t>
            </w:r>
          </w:p>
        </w:tc>
        <w:tc>
          <w:tcPr>
            <w:tcW w:w="1275" w:type="dxa"/>
            <w:gridSpan w:val="2"/>
            <w:shd w:val="clear" w:color="auto" w:fill="auto"/>
            <w:noWrap/>
            <w:vAlign w:val="bottom"/>
            <w:hideMark/>
          </w:tcPr>
          <w:p w14:paraId="696B6A16"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1500</w:t>
            </w:r>
          </w:p>
        </w:tc>
      </w:tr>
      <w:tr w:rsidR="00150C90" w:rsidRPr="00B004EE" w14:paraId="745332C1" w14:textId="77777777" w:rsidTr="00094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8" w:type="dxa"/>
          <w:cantSplit/>
          <w:trHeight w:val="57"/>
          <w:jc w:val="center"/>
        </w:trPr>
        <w:tc>
          <w:tcPr>
            <w:tcW w:w="1488" w:type="dxa"/>
            <w:vMerge/>
            <w:vAlign w:val="center"/>
            <w:hideMark/>
          </w:tcPr>
          <w:p w14:paraId="7F0EFD50" w14:textId="77777777" w:rsidR="00094B74" w:rsidRPr="00B004EE" w:rsidRDefault="00094B74" w:rsidP="00B004EE">
            <w:pPr>
              <w:rPr>
                <w:rFonts w:ascii="Tahoma" w:hAnsi="Tahoma" w:cs="Tahoma"/>
                <w:b/>
                <w:bCs/>
                <w:sz w:val="20"/>
                <w:szCs w:val="20"/>
              </w:rPr>
            </w:pPr>
          </w:p>
        </w:tc>
        <w:tc>
          <w:tcPr>
            <w:tcW w:w="1624" w:type="dxa"/>
            <w:vMerge/>
            <w:vAlign w:val="center"/>
            <w:hideMark/>
          </w:tcPr>
          <w:p w14:paraId="7D18E909" w14:textId="77777777" w:rsidR="00094B74" w:rsidRPr="00B004EE" w:rsidRDefault="00094B74" w:rsidP="00B004EE">
            <w:pPr>
              <w:rPr>
                <w:rFonts w:ascii="Tahoma" w:hAnsi="Tahoma" w:cs="Tahoma"/>
                <w:b/>
                <w:bCs/>
                <w:sz w:val="20"/>
                <w:szCs w:val="20"/>
              </w:rPr>
            </w:pPr>
          </w:p>
        </w:tc>
        <w:tc>
          <w:tcPr>
            <w:tcW w:w="3880" w:type="dxa"/>
            <w:shd w:val="clear" w:color="auto" w:fill="auto"/>
            <w:noWrap/>
            <w:vAlign w:val="bottom"/>
            <w:hideMark/>
          </w:tcPr>
          <w:p w14:paraId="3FB0EB97" w14:textId="77777777" w:rsidR="00094B74" w:rsidRPr="00B004EE" w:rsidRDefault="00094B74" w:rsidP="00B004EE">
            <w:pPr>
              <w:rPr>
                <w:rFonts w:ascii="Tahoma" w:hAnsi="Tahoma" w:cs="Tahoma"/>
                <w:sz w:val="20"/>
                <w:szCs w:val="20"/>
              </w:rPr>
            </w:pPr>
            <w:r w:rsidRPr="00B004EE">
              <w:rPr>
                <w:rFonts w:ascii="Tahoma" w:hAnsi="Tahoma" w:cs="Tahoma"/>
                <w:sz w:val="20"/>
                <w:szCs w:val="20"/>
              </w:rPr>
              <w:t>Staphylocoques à coagluase positive</w:t>
            </w:r>
          </w:p>
        </w:tc>
        <w:tc>
          <w:tcPr>
            <w:tcW w:w="1560" w:type="dxa"/>
            <w:gridSpan w:val="2"/>
            <w:shd w:val="clear" w:color="auto" w:fill="auto"/>
            <w:noWrap/>
            <w:vAlign w:val="bottom"/>
            <w:hideMark/>
          </w:tcPr>
          <w:p w14:paraId="014ADA4C"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1837,5</w:t>
            </w:r>
          </w:p>
        </w:tc>
        <w:tc>
          <w:tcPr>
            <w:tcW w:w="1275" w:type="dxa"/>
            <w:gridSpan w:val="2"/>
            <w:shd w:val="clear" w:color="auto" w:fill="auto"/>
            <w:noWrap/>
            <w:vAlign w:val="bottom"/>
            <w:hideMark/>
          </w:tcPr>
          <w:p w14:paraId="2FA5524D"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1225</w:t>
            </w:r>
          </w:p>
        </w:tc>
      </w:tr>
      <w:tr w:rsidR="00150C90" w:rsidRPr="00B004EE" w14:paraId="52369593" w14:textId="77777777" w:rsidTr="00094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8" w:type="dxa"/>
          <w:cantSplit/>
          <w:trHeight w:val="57"/>
          <w:jc w:val="center"/>
        </w:trPr>
        <w:tc>
          <w:tcPr>
            <w:tcW w:w="1488" w:type="dxa"/>
            <w:vMerge/>
            <w:vAlign w:val="center"/>
            <w:hideMark/>
          </w:tcPr>
          <w:p w14:paraId="36CF1934" w14:textId="77777777" w:rsidR="00094B74" w:rsidRPr="00B004EE" w:rsidRDefault="00094B74" w:rsidP="00B004EE">
            <w:pPr>
              <w:rPr>
                <w:rFonts w:ascii="Tahoma" w:hAnsi="Tahoma" w:cs="Tahoma"/>
                <w:b/>
                <w:bCs/>
                <w:sz w:val="20"/>
                <w:szCs w:val="20"/>
              </w:rPr>
            </w:pPr>
          </w:p>
        </w:tc>
        <w:tc>
          <w:tcPr>
            <w:tcW w:w="1624" w:type="dxa"/>
            <w:vMerge/>
            <w:vAlign w:val="center"/>
            <w:hideMark/>
          </w:tcPr>
          <w:p w14:paraId="42069E28" w14:textId="77777777" w:rsidR="00094B74" w:rsidRPr="00B004EE" w:rsidRDefault="00094B74" w:rsidP="00B004EE">
            <w:pPr>
              <w:rPr>
                <w:rFonts w:ascii="Tahoma" w:hAnsi="Tahoma" w:cs="Tahoma"/>
                <w:b/>
                <w:bCs/>
                <w:sz w:val="20"/>
                <w:szCs w:val="20"/>
              </w:rPr>
            </w:pPr>
          </w:p>
        </w:tc>
        <w:tc>
          <w:tcPr>
            <w:tcW w:w="3880" w:type="dxa"/>
            <w:shd w:val="clear" w:color="auto" w:fill="auto"/>
            <w:noWrap/>
            <w:vAlign w:val="bottom"/>
            <w:hideMark/>
          </w:tcPr>
          <w:p w14:paraId="12EE3C33" w14:textId="77777777" w:rsidR="00094B74" w:rsidRPr="00B004EE" w:rsidRDefault="00094B74" w:rsidP="00B004EE">
            <w:pPr>
              <w:rPr>
                <w:rFonts w:ascii="Tahoma" w:hAnsi="Tahoma" w:cs="Tahoma"/>
                <w:sz w:val="20"/>
                <w:szCs w:val="20"/>
              </w:rPr>
            </w:pPr>
            <w:r w:rsidRPr="00B004EE">
              <w:rPr>
                <w:rFonts w:ascii="Tahoma" w:hAnsi="Tahoma" w:cs="Tahoma"/>
                <w:sz w:val="20"/>
                <w:szCs w:val="20"/>
              </w:rPr>
              <w:t>Entérobactéries</w:t>
            </w:r>
          </w:p>
        </w:tc>
        <w:tc>
          <w:tcPr>
            <w:tcW w:w="1560" w:type="dxa"/>
            <w:gridSpan w:val="2"/>
            <w:shd w:val="clear" w:color="auto" w:fill="auto"/>
            <w:noWrap/>
            <w:vAlign w:val="bottom"/>
            <w:hideMark/>
          </w:tcPr>
          <w:p w14:paraId="588837EF"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2250</w:t>
            </w:r>
          </w:p>
        </w:tc>
        <w:tc>
          <w:tcPr>
            <w:tcW w:w="1275" w:type="dxa"/>
            <w:gridSpan w:val="2"/>
            <w:shd w:val="clear" w:color="auto" w:fill="auto"/>
            <w:noWrap/>
            <w:vAlign w:val="bottom"/>
            <w:hideMark/>
          </w:tcPr>
          <w:p w14:paraId="7CD6A9A2"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1500</w:t>
            </w:r>
          </w:p>
        </w:tc>
      </w:tr>
      <w:tr w:rsidR="00150C90" w:rsidRPr="00B004EE" w14:paraId="36504A2F" w14:textId="77777777" w:rsidTr="00094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8" w:type="dxa"/>
          <w:cantSplit/>
          <w:trHeight w:val="57"/>
          <w:jc w:val="center"/>
        </w:trPr>
        <w:tc>
          <w:tcPr>
            <w:tcW w:w="1488" w:type="dxa"/>
            <w:vMerge/>
            <w:vAlign w:val="center"/>
            <w:hideMark/>
          </w:tcPr>
          <w:p w14:paraId="13150DA2" w14:textId="77777777" w:rsidR="00094B74" w:rsidRPr="00B004EE" w:rsidRDefault="00094B74" w:rsidP="00B004EE">
            <w:pPr>
              <w:rPr>
                <w:rFonts w:ascii="Tahoma" w:hAnsi="Tahoma" w:cs="Tahoma"/>
                <w:b/>
                <w:bCs/>
                <w:sz w:val="20"/>
                <w:szCs w:val="20"/>
              </w:rPr>
            </w:pPr>
          </w:p>
        </w:tc>
        <w:tc>
          <w:tcPr>
            <w:tcW w:w="1624" w:type="dxa"/>
            <w:vMerge/>
            <w:vAlign w:val="center"/>
            <w:hideMark/>
          </w:tcPr>
          <w:p w14:paraId="29B8C28A" w14:textId="77777777" w:rsidR="00094B74" w:rsidRPr="00B004EE" w:rsidRDefault="00094B74" w:rsidP="00B004EE">
            <w:pPr>
              <w:rPr>
                <w:rFonts w:ascii="Tahoma" w:hAnsi="Tahoma" w:cs="Tahoma"/>
                <w:b/>
                <w:bCs/>
                <w:sz w:val="20"/>
                <w:szCs w:val="20"/>
              </w:rPr>
            </w:pPr>
          </w:p>
        </w:tc>
        <w:tc>
          <w:tcPr>
            <w:tcW w:w="3880" w:type="dxa"/>
            <w:shd w:val="clear" w:color="auto" w:fill="auto"/>
            <w:noWrap/>
            <w:vAlign w:val="bottom"/>
            <w:hideMark/>
          </w:tcPr>
          <w:p w14:paraId="300BF4F0" w14:textId="77777777" w:rsidR="00094B74" w:rsidRPr="00B004EE" w:rsidRDefault="00094B74" w:rsidP="00B004EE">
            <w:pPr>
              <w:rPr>
                <w:rFonts w:ascii="Tahoma" w:hAnsi="Tahoma" w:cs="Tahoma"/>
                <w:sz w:val="20"/>
                <w:szCs w:val="20"/>
              </w:rPr>
            </w:pPr>
            <w:r w:rsidRPr="00B004EE">
              <w:rPr>
                <w:rFonts w:ascii="Tahoma" w:hAnsi="Tahoma" w:cs="Tahoma"/>
                <w:sz w:val="20"/>
                <w:szCs w:val="20"/>
              </w:rPr>
              <w:t>Vibrions sp</w:t>
            </w:r>
          </w:p>
        </w:tc>
        <w:tc>
          <w:tcPr>
            <w:tcW w:w="1560" w:type="dxa"/>
            <w:gridSpan w:val="2"/>
            <w:shd w:val="clear" w:color="auto" w:fill="auto"/>
            <w:noWrap/>
            <w:vAlign w:val="bottom"/>
            <w:hideMark/>
          </w:tcPr>
          <w:p w14:paraId="55C055A1"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1875</w:t>
            </w:r>
          </w:p>
        </w:tc>
        <w:tc>
          <w:tcPr>
            <w:tcW w:w="1275" w:type="dxa"/>
            <w:gridSpan w:val="2"/>
            <w:shd w:val="clear" w:color="auto" w:fill="auto"/>
            <w:noWrap/>
            <w:vAlign w:val="bottom"/>
            <w:hideMark/>
          </w:tcPr>
          <w:p w14:paraId="4EA1F567"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1250</w:t>
            </w:r>
          </w:p>
        </w:tc>
      </w:tr>
      <w:tr w:rsidR="00150C90" w:rsidRPr="00B004EE" w14:paraId="67352889" w14:textId="77777777" w:rsidTr="00094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8" w:type="dxa"/>
          <w:cantSplit/>
          <w:trHeight w:val="57"/>
          <w:jc w:val="center"/>
        </w:trPr>
        <w:tc>
          <w:tcPr>
            <w:tcW w:w="1488" w:type="dxa"/>
            <w:vMerge/>
            <w:vAlign w:val="center"/>
            <w:hideMark/>
          </w:tcPr>
          <w:p w14:paraId="413AB7C7" w14:textId="77777777" w:rsidR="00094B74" w:rsidRPr="00B004EE" w:rsidRDefault="00094B74" w:rsidP="00B004EE">
            <w:pPr>
              <w:rPr>
                <w:rFonts w:ascii="Tahoma" w:hAnsi="Tahoma" w:cs="Tahoma"/>
                <w:b/>
                <w:bCs/>
                <w:sz w:val="20"/>
                <w:szCs w:val="20"/>
              </w:rPr>
            </w:pPr>
          </w:p>
        </w:tc>
        <w:tc>
          <w:tcPr>
            <w:tcW w:w="1624" w:type="dxa"/>
            <w:vMerge/>
            <w:vAlign w:val="center"/>
            <w:hideMark/>
          </w:tcPr>
          <w:p w14:paraId="04A92ACF" w14:textId="77777777" w:rsidR="00094B74" w:rsidRPr="00B004EE" w:rsidRDefault="00094B74" w:rsidP="00B004EE">
            <w:pPr>
              <w:rPr>
                <w:rFonts w:ascii="Tahoma" w:hAnsi="Tahoma" w:cs="Tahoma"/>
                <w:b/>
                <w:bCs/>
                <w:sz w:val="20"/>
                <w:szCs w:val="20"/>
              </w:rPr>
            </w:pPr>
          </w:p>
        </w:tc>
        <w:tc>
          <w:tcPr>
            <w:tcW w:w="3880" w:type="dxa"/>
            <w:shd w:val="clear" w:color="auto" w:fill="auto"/>
            <w:noWrap/>
            <w:vAlign w:val="bottom"/>
            <w:hideMark/>
          </w:tcPr>
          <w:p w14:paraId="68DBEEAF" w14:textId="77777777" w:rsidR="00094B74" w:rsidRPr="00B004EE" w:rsidRDefault="00094B74" w:rsidP="00B004EE">
            <w:pPr>
              <w:rPr>
                <w:rFonts w:ascii="Tahoma" w:hAnsi="Tahoma" w:cs="Tahoma"/>
                <w:sz w:val="20"/>
                <w:szCs w:val="20"/>
              </w:rPr>
            </w:pPr>
            <w:r w:rsidRPr="00B004EE">
              <w:rPr>
                <w:rFonts w:ascii="Tahoma" w:hAnsi="Tahoma" w:cs="Tahoma"/>
                <w:sz w:val="20"/>
                <w:szCs w:val="20"/>
              </w:rPr>
              <w:t>Listeria</w:t>
            </w:r>
          </w:p>
        </w:tc>
        <w:tc>
          <w:tcPr>
            <w:tcW w:w="1560" w:type="dxa"/>
            <w:gridSpan w:val="2"/>
            <w:shd w:val="clear" w:color="auto" w:fill="auto"/>
            <w:noWrap/>
            <w:vAlign w:val="bottom"/>
            <w:hideMark/>
          </w:tcPr>
          <w:p w14:paraId="5860A536"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2200</w:t>
            </w:r>
          </w:p>
        </w:tc>
        <w:tc>
          <w:tcPr>
            <w:tcW w:w="1275" w:type="dxa"/>
            <w:gridSpan w:val="2"/>
            <w:shd w:val="clear" w:color="auto" w:fill="auto"/>
            <w:noWrap/>
            <w:vAlign w:val="bottom"/>
            <w:hideMark/>
          </w:tcPr>
          <w:p w14:paraId="0EAEE934"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1500</w:t>
            </w:r>
          </w:p>
        </w:tc>
      </w:tr>
      <w:tr w:rsidR="00150C90" w:rsidRPr="00B004EE" w14:paraId="67C64790" w14:textId="77777777" w:rsidTr="00094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8" w:type="dxa"/>
          <w:cantSplit/>
          <w:trHeight w:val="57"/>
          <w:jc w:val="center"/>
        </w:trPr>
        <w:tc>
          <w:tcPr>
            <w:tcW w:w="1488" w:type="dxa"/>
            <w:vMerge/>
            <w:vAlign w:val="center"/>
            <w:hideMark/>
          </w:tcPr>
          <w:p w14:paraId="7D60F5E5" w14:textId="77777777" w:rsidR="00094B74" w:rsidRPr="00B004EE" w:rsidRDefault="00094B74" w:rsidP="00B004EE">
            <w:pPr>
              <w:rPr>
                <w:rFonts w:ascii="Tahoma" w:hAnsi="Tahoma" w:cs="Tahoma"/>
                <w:b/>
                <w:bCs/>
                <w:sz w:val="20"/>
                <w:szCs w:val="20"/>
              </w:rPr>
            </w:pPr>
          </w:p>
        </w:tc>
        <w:tc>
          <w:tcPr>
            <w:tcW w:w="1624" w:type="dxa"/>
            <w:vMerge/>
            <w:vAlign w:val="center"/>
            <w:hideMark/>
          </w:tcPr>
          <w:p w14:paraId="0BC64223" w14:textId="77777777" w:rsidR="00094B74" w:rsidRPr="00B004EE" w:rsidRDefault="00094B74" w:rsidP="00B004EE">
            <w:pPr>
              <w:rPr>
                <w:rFonts w:ascii="Tahoma" w:hAnsi="Tahoma" w:cs="Tahoma"/>
                <w:b/>
                <w:bCs/>
                <w:sz w:val="20"/>
                <w:szCs w:val="20"/>
              </w:rPr>
            </w:pPr>
          </w:p>
        </w:tc>
        <w:tc>
          <w:tcPr>
            <w:tcW w:w="3880" w:type="dxa"/>
            <w:shd w:val="clear" w:color="auto" w:fill="auto"/>
            <w:noWrap/>
            <w:vAlign w:val="bottom"/>
            <w:hideMark/>
          </w:tcPr>
          <w:p w14:paraId="4FE3FA93" w14:textId="77777777" w:rsidR="00094B74" w:rsidRPr="00B004EE" w:rsidRDefault="00094B74" w:rsidP="00B004EE">
            <w:pPr>
              <w:rPr>
                <w:rFonts w:ascii="Tahoma" w:hAnsi="Tahoma" w:cs="Tahoma"/>
                <w:sz w:val="20"/>
                <w:szCs w:val="20"/>
              </w:rPr>
            </w:pPr>
            <w:r w:rsidRPr="00B004EE">
              <w:rPr>
                <w:rFonts w:ascii="Tahoma" w:hAnsi="Tahoma" w:cs="Tahoma"/>
                <w:sz w:val="20"/>
                <w:szCs w:val="20"/>
              </w:rPr>
              <w:t>Levures &amp; moisissures</w:t>
            </w:r>
          </w:p>
        </w:tc>
        <w:tc>
          <w:tcPr>
            <w:tcW w:w="1560" w:type="dxa"/>
            <w:gridSpan w:val="2"/>
            <w:shd w:val="clear" w:color="auto" w:fill="auto"/>
            <w:noWrap/>
            <w:vAlign w:val="bottom"/>
            <w:hideMark/>
          </w:tcPr>
          <w:p w14:paraId="7810CCA4"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750</w:t>
            </w:r>
          </w:p>
        </w:tc>
        <w:tc>
          <w:tcPr>
            <w:tcW w:w="1275" w:type="dxa"/>
            <w:gridSpan w:val="2"/>
            <w:shd w:val="clear" w:color="auto" w:fill="auto"/>
            <w:noWrap/>
            <w:vAlign w:val="bottom"/>
            <w:hideMark/>
          </w:tcPr>
          <w:p w14:paraId="3787975B" w14:textId="77777777" w:rsidR="00094B74" w:rsidRPr="00B004EE" w:rsidRDefault="00094B74" w:rsidP="00B004EE">
            <w:pPr>
              <w:jc w:val="right"/>
              <w:rPr>
                <w:rFonts w:ascii="Tahoma" w:hAnsi="Tahoma" w:cs="Tahoma"/>
                <w:sz w:val="20"/>
                <w:szCs w:val="20"/>
              </w:rPr>
            </w:pPr>
            <w:r w:rsidRPr="00B004EE">
              <w:rPr>
                <w:rFonts w:ascii="Tahoma" w:hAnsi="Tahoma" w:cs="Tahoma"/>
                <w:sz w:val="20"/>
                <w:szCs w:val="20"/>
              </w:rPr>
              <w:t>500</w:t>
            </w:r>
          </w:p>
        </w:tc>
      </w:tr>
      <w:tr w:rsidR="00150C90" w:rsidRPr="00B004EE" w14:paraId="6A18324B" w14:textId="77777777" w:rsidTr="00094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8" w:type="dxa"/>
          <w:cantSplit/>
          <w:trHeight w:val="57"/>
          <w:jc w:val="center"/>
        </w:trPr>
        <w:tc>
          <w:tcPr>
            <w:tcW w:w="9827" w:type="dxa"/>
            <w:gridSpan w:val="7"/>
            <w:shd w:val="clear" w:color="auto" w:fill="auto"/>
            <w:vAlign w:val="bottom"/>
            <w:hideMark/>
          </w:tcPr>
          <w:p w14:paraId="3CB4406C" w14:textId="77777777" w:rsidR="00094B74" w:rsidRPr="00B004EE" w:rsidRDefault="00094B74" w:rsidP="00B004EE">
            <w:pPr>
              <w:jc w:val="center"/>
              <w:rPr>
                <w:rFonts w:ascii="Tahoma" w:hAnsi="Tahoma" w:cs="Tahoma"/>
                <w:b/>
                <w:bCs/>
                <w:sz w:val="20"/>
                <w:szCs w:val="20"/>
              </w:rPr>
            </w:pPr>
            <w:r w:rsidRPr="00B004EE">
              <w:rPr>
                <w:rFonts w:ascii="Tahoma" w:hAnsi="Tahoma" w:cs="Tahoma"/>
                <w:b/>
                <w:bCs/>
                <w:sz w:val="20"/>
                <w:szCs w:val="20"/>
              </w:rPr>
              <w:t>Contrôle de surfaces</w:t>
            </w:r>
          </w:p>
        </w:tc>
      </w:tr>
      <w:tr w:rsidR="00150C90" w:rsidRPr="00B004EE" w14:paraId="6FFC2789" w14:textId="77777777" w:rsidTr="00094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8" w:type="dxa"/>
          <w:cantSplit/>
          <w:trHeight w:val="57"/>
          <w:jc w:val="center"/>
        </w:trPr>
        <w:tc>
          <w:tcPr>
            <w:tcW w:w="3112" w:type="dxa"/>
            <w:gridSpan w:val="2"/>
            <w:vMerge w:val="restart"/>
            <w:shd w:val="clear" w:color="auto" w:fill="auto"/>
            <w:vAlign w:val="center"/>
            <w:hideMark/>
          </w:tcPr>
          <w:p w14:paraId="3D4E56E4" w14:textId="77777777" w:rsidR="00094B74" w:rsidRPr="00B004EE" w:rsidRDefault="00094B74" w:rsidP="00B004EE">
            <w:pPr>
              <w:jc w:val="center"/>
              <w:rPr>
                <w:rFonts w:ascii="Tahoma" w:hAnsi="Tahoma" w:cs="Tahoma"/>
                <w:b/>
                <w:bCs/>
                <w:sz w:val="20"/>
                <w:szCs w:val="20"/>
              </w:rPr>
            </w:pPr>
            <w:r w:rsidRPr="00B004EE">
              <w:rPr>
                <w:rFonts w:ascii="Tahoma" w:hAnsi="Tahoma" w:cs="Tahoma"/>
                <w:b/>
                <w:bCs/>
                <w:sz w:val="20"/>
                <w:szCs w:val="20"/>
              </w:rPr>
              <w:t>Analyses Microbiologiques</w:t>
            </w:r>
          </w:p>
        </w:tc>
        <w:tc>
          <w:tcPr>
            <w:tcW w:w="3880" w:type="dxa"/>
            <w:shd w:val="clear" w:color="auto" w:fill="auto"/>
            <w:noWrap/>
            <w:vAlign w:val="bottom"/>
            <w:hideMark/>
          </w:tcPr>
          <w:p w14:paraId="01683509" w14:textId="77777777" w:rsidR="00094B74" w:rsidRPr="00B004EE" w:rsidRDefault="00094B74" w:rsidP="00B004EE">
            <w:pPr>
              <w:rPr>
                <w:rFonts w:ascii="Tahoma" w:hAnsi="Tahoma" w:cs="Tahoma"/>
                <w:sz w:val="20"/>
                <w:szCs w:val="20"/>
              </w:rPr>
            </w:pPr>
            <w:r w:rsidRPr="00B004EE">
              <w:rPr>
                <w:rFonts w:ascii="Tahoma" w:hAnsi="Tahoma" w:cs="Tahoma"/>
                <w:sz w:val="20"/>
                <w:szCs w:val="20"/>
              </w:rPr>
              <w:t>FMAT</w:t>
            </w:r>
          </w:p>
        </w:tc>
        <w:tc>
          <w:tcPr>
            <w:tcW w:w="1560" w:type="dxa"/>
            <w:gridSpan w:val="2"/>
            <w:shd w:val="clear" w:color="auto" w:fill="auto"/>
            <w:vAlign w:val="bottom"/>
            <w:hideMark/>
          </w:tcPr>
          <w:p w14:paraId="15C74355" w14:textId="77777777" w:rsidR="00094B74" w:rsidRPr="00B004EE" w:rsidRDefault="00094B74" w:rsidP="00B004EE">
            <w:pPr>
              <w:jc w:val="center"/>
              <w:rPr>
                <w:rFonts w:ascii="Tahoma" w:hAnsi="Tahoma" w:cs="Tahoma"/>
                <w:sz w:val="20"/>
                <w:szCs w:val="20"/>
              </w:rPr>
            </w:pPr>
            <w:r w:rsidRPr="00B004EE">
              <w:rPr>
                <w:rFonts w:ascii="Tahoma" w:hAnsi="Tahoma" w:cs="Tahoma"/>
                <w:sz w:val="20"/>
                <w:szCs w:val="20"/>
              </w:rPr>
              <w:t>712,5</w:t>
            </w:r>
          </w:p>
        </w:tc>
        <w:tc>
          <w:tcPr>
            <w:tcW w:w="1275" w:type="dxa"/>
            <w:gridSpan w:val="2"/>
            <w:shd w:val="clear" w:color="auto" w:fill="auto"/>
            <w:vAlign w:val="bottom"/>
            <w:hideMark/>
          </w:tcPr>
          <w:p w14:paraId="186EDC0A" w14:textId="77777777" w:rsidR="00094B74" w:rsidRPr="00B004EE" w:rsidRDefault="00094B74" w:rsidP="00B004EE">
            <w:pPr>
              <w:jc w:val="center"/>
              <w:rPr>
                <w:rFonts w:ascii="Tahoma" w:hAnsi="Tahoma" w:cs="Tahoma"/>
                <w:sz w:val="20"/>
                <w:szCs w:val="20"/>
              </w:rPr>
            </w:pPr>
            <w:r w:rsidRPr="00B004EE">
              <w:rPr>
                <w:rFonts w:ascii="Tahoma" w:hAnsi="Tahoma" w:cs="Tahoma"/>
                <w:sz w:val="20"/>
                <w:szCs w:val="20"/>
              </w:rPr>
              <w:t>475</w:t>
            </w:r>
          </w:p>
        </w:tc>
      </w:tr>
      <w:tr w:rsidR="00150C90" w:rsidRPr="00B004EE" w14:paraId="07883136" w14:textId="77777777" w:rsidTr="00094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8" w:type="dxa"/>
          <w:cantSplit/>
          <w:trHeight w:val="57"/>
          <w:jc w:val="center"/>
        </w:trPr>
        <w:tc>
          <w:tcPr>
            <w:tcW w:w="3112" w:type="dxa"/>
            <w:gridSpan w:val="2"/>
            <w:vMerge/>
            <w:vAlign w:val="center"/>
            <w:hideMark/>
          </w:tcPr>
          <w:p w14:paraId="3785A84C" w14:textId="77777777" w:rsidR="00094B74" w:rsidRPr="00B004EE" w:rsidRDefault="00094B74" w:rsidP="00B004EE">
            <w:pPr>
              <w:rPr>
                <w:rFonts w:ascii="Tahoma" w:hAnsi="Tahoma" w:cs="Tahoma"/>
                <w:b/>
                <w:bCs/>
                <w:sz w:val="20"/>
                <w:szCs w:val="20"/>
              </w:rPr>
            </w:pPr>
          </w:p>
        </w:tc>
        <w:tc>
          <w:tcPr>
            <w:tcW w:w="3880" w:type="dxa"/>
            <w:shd w:val="clear" w:color="auto" w:fill="auto"/>
            <w:noWrap/>
            <w:vAlign w:val="bottom"/>
            <w:hideMark/>
          </w:tcPr>
          <w:p w14:paraId="1D962EAC" w14:textId="77777777" w:rsidR="00094B74" w:rsidRPr="00B004EE" w:rsidRDefault="00094B74" w:rsidP="00B004EE">
            <w:pPr>
              <w:rPr>
                <w:rFonts w:ascii="Tahoma" w:hAnsi="Tahoma" w:cs="Tahoma"/>
                <w:sz w:val="20"/>
                <w:szCs w:val="20"/>
              </w:rPr>
            </w:pPr>
            <w:r w:rsidRPr="00B004EE">
              <w:rPr>
                <w:rFonts w:ascii="Tahoma" w:hAnsi="Tahoma" w:cs="Tahoma"/>
                <w:sz w:val="20"/>
                <w:szCs w:val="20"/>
              </w:rPr>
              <w:t>Levures &amp; moisissures</w:t>
            </w:r>
          </w:p>
        </w:tc>
        <w:tc>
          <w:tcPr>
            <w:tcW w:w="1560" w:type="dxa"/>
            <w:gridSpan w:val="2"/>
            <w:shd w:val="clear" w:color="auto" w:fill="auto"/>
            <w:vAlign w:val="bottom"/>
            <w:hideMark/>
          </w:tcPr>
          <w:p w14:paraId="258945C4" w14:textId="77777777" w:rsidR="00094B74" w:rsidRPr="00B004EE" w:rsidRDefault="00094B74" w:rsidP="00B004EE">
            <w:pPr>
              <w:jc w:val="center"/>
              <w:rPr>
                <w:rFonts w:ascii="Tahoma" w:hAnsi="Tahoma" w:cs="Tahoma"/>
                <w:sz w:val="20"/>
                <w:szCs w:val="20"/>
              </w:rPr>
            </w:pPr>
            <w:r w:rsidRPr="00B004EE">
              <w:rPr>
                <w:rFonts w:ascii="Tahoma" w:hAnsi="Tahoma" w:cs="Tahoma"/>
                <w:sz w:val="20"/>
                <w:szCs w:val="20"/>
              </w:rPr>
              <w:t>750</w:t>
            </w:r>
          </w:p>
        </w:tc>
        <w:tc>
          <w:tcPr>
            <w:tcW w:w="1275" w:type="dxa"/>
            <w:gridSpan w:val="2"/>
            <w:shd w:val="clear" w:color="auto" w:fill="auto"/>
            <w:vAlign w:val="bottom"/>
            <w:hideMark/>
          </w:tcPr>
          <w:p w14:paraId="1E463C68" w14:textId="77777777" w:rsidR="00094B74" w:rsidRPr="00B004EE" w:rsidRDefault="00094B74" w:rsidP="00B004EE">
            <w:pPr>
              <w:jc w:val="center"/>
              <w:rPr>
                <w:rFonts w:ascii="Tahoma" w:hAnsi="Tahoma" w:cs="Tahoma"/>
                <w:sz w:val="20"/>
                <w:szCs w:val="20"/>
              </w:rPr>
            </w:pPr>
            <w:r w:rsidRPr="00B004EE">
              <w:rPr>
                <w:rFonts w:ascii="Tahoma" w:hAnsi="Tahoma" w:cs="Tahoma"/>
                <w:sz w:val="20"/>
                <w:szCs w:val="20"/>
              </w:rPr>
              <w:t>500</w:t>
            </w:r>
          </w:p>
        </w:tc>
      </w:tr>
      <w:tr w:rsidR="00094B74" w:rsidRPr="00B004EE" w14:paraId="77CF9735" w14:textId="77777777" w:rsidTr="00094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8" w:type="dxa"/>
          <w:cantSplit/>
          <w:trHeight w:val="57"/>
          <w:jc w:val="center"/>
        </w:trPr>
        <w:tc>
          <w:tcPr>
            <w:tcW w:w="3112" w:type="dxa"/>
            <w:gridSpan w:val="2"/>
            <w:vMerge/>
            <w:vAlign w:val="center"/>
            <w:hideMark/>
          </w:tcPr>
          <w:p w14:paraId="0ED4866A" w14:textId="77777777" w:rsidR="00094B74" w:rsidRPr="00B004EE" w:rsidRDefault="00094B74" w:rsidP="00B004EE">
            <w:pPr>
              <w:rPr>
                <w:rFonts w:ascii="Tahoma" w:hAnsi="Tahoma" w:cs="Tahoma"/>
                <w:b/>
                <w:bCs/>
                <w:sz w:val="20"/>
                <w:szCs w:val="20"/>
              </w:rPr>
            </w:pPr>
          </w:p>
        </w:tc>
        <w:tc>
          <w:tcPr>
            <w:tcW w:w="3880" w:type="dxa"/>
            <w:shd w:val="clear" w:color="auto" w:fill="auto"/>
            <w:noWrap/>
            <w:vAlign w:val="bottom"/>
            <w:hideMark/>
          </w:tcPr>
          <w:p w14:paraId="0A3540EA" w14:textId="77777777" w:rsidR="00094B74" w:rsidRPr="00B004EE" w:rsidRDefault="00094B74" w:rsidP="00B004EE">
            <w:pPr>
              <w:rPr>
                <w:rFonts w:ascii="Tahoma" w:hAnsi="Tahoma" w:cs="Tahoma"/>
                <w:sz w:val="20"/>
                <w:szCs w:val="20"/>
              </w:rPr>
            </w:pPr>
            <w:r w:rsidRPr="00B004EE">
              <w:rPr>
                <w:rFonts w:ascii="Tahoma" w:hAnsi="Tahoma" w:cs="Tahoma"/>
                <w:sz w:val="20"/>
                <w:szCs w:val="20"/>
              </w:rPr>
              <w:t xml:space="preserve">Coliformes  </w:t>
            </w:r>
          </w:p>
        </w:tc>
        <w:tc>
          <w:tcPr>
            <w:tcW w:w="1560" w:type="dxa"/>
            <w:gridSpan w:val="2"/>
            <w:shd w:val="clear" w:color="auto" w:fill="auto"/>
            <w:vAlign w:val="bottom"/>
            <w:hideMark/>
          </w:tcPr>
          <w:p w14:paraId="38081186" w14:textId="77777777" w:rsidR="00094B74" w:rsidRPr="00B004EE" w:rsidRDefault="00094B74" w:rsidP="00B004EE">
            <w:pPr>
              <w:jc w:val="center"/>
              <w:rPr>
                <w:rFonts w:ascii="Tahoma" w:hAnsi="Tahoma" w:cs="Tahoma"/>
                <w:sz w:val="20"/>
                <w:szCs w:val="20"/>
              </w:rPr>
            </w:pPr>
            <w:r w:rsidRPr="00B004EE">
              <w:rPr>
                <w:rFonts w:ascii="Tahoma" w:hAnsi="Tahoma" w:cs="Tahoma"/>
                <w:sz w:val="20"/>
                <w:szCs w:val="20"/>
              </w:rPr>
              <w:t>750</w:t>
            </w:r>
          </w:p>
        </w:tc>
        <w:tc>
          <w:tcPr>
            <w:tcW w:w="1275" w:type="dxa"/>
            <w:gridSpan w:val="2"/>
            <w:shd w:val="clear" w:color="auto" w:fill="auto"/>
            <w:vAlign w:val="bottom"/>
            <w:hideMark/>
          </w:tcPr>
          <w:p w14:paraId="28950438" w14:textId="77777777" w:rsidR="00094B74" w:rsidRPr="00B004EE" w:rsidRDefault="00094B74" w:rsidP="00B004EE">
            <w:pPr>
              <w:jc w:val="center"/>
              <w:rPr>
                <w:rFonts w:ascii="Tahoma" w:hAnsi="Tahoma" w:cs="Tahoma"/>
                <w:sz w:val="20"/>
                <w:szCs w:val="20"/>
              </w:rPr>
            </w:pPr>
            <w:r w:rsidRPr="00B004EE">
              <w:rPr>
                <w:rFonts w:ascii="Tahoma" w:hAnsi="Tahoma" w:cs="Tahoma"/>
                <w:sz w:val="20"/>
                <w:szCs w:val="20"/>
              </w:rPr>
              <w:t>500</w:t>
            </w:r>
          </w:p>
        </w:tc>
      </w:tr>
    </w:tbl>
    <w:p w14:paraId="6112EC09" w14:textId="77777777" w:rsidR="00094B74" w:rsidRPr="00B004EE" w:rsidRDefault="00094B74" w:rsidP="00B004EE">
      <w:pPr>
        <w:rPr>
          <w:rFonts w:ascii="Tahoma" w:hAnsi="Tahoma" w:cs="Tahoma"/>
          <w:b/>
          <w:bCs/>
          <w:sz w:val="20"/>
          <w:szCs w:val="20"/>
          <w:u w:val="single"/>
        </w:rPr>
      </w:pPr>
    </w:p>
    <w:p w14:paraId="71E8B54D" w14:textId="77777777" w:rsidR="00094B74" w:rsidRPr="00B004EE" w:rsidRDefault="00094B74" w:rsidP="00B004EE">
      <w:pPr>
        <w:rPr>
          <w:rFonts w:ascii="Tahoma" w:hAnsi="Tahoma" w:cs="Tahoma"/>
          <w:sz w:val="20"/>
          <w:szCs w:val="20"/>
          <w:u w:val="single"/>
        </w:rPr>
      </w:pPr>
      <w:r w:rsidRPr="00B004EE">
        <w:rPr>
          <w:rFonts w:ascii="Tahoma" w:hAnsi="Tahoma" w:cs="Tahoma"/>
          <w:b/>
          <w:bCs/>
          <w:sz w:val="20"/>
          <w:szCs w:val="20"/>
          <w:u w:val="single"/>
        </w:rPr>
        <w:t>NB </w:t>
      </w:r>
      <w:r w:rsidRPr="00B004EE">
        <w:rPr>
          <w:rFonts w:ascii="Tahoma" w:hAnsi="Tahoma" w:cs="Tahoma"/>
          <w:sz w:val="20"/>
          <w:szCs w:val="20"/>
          <w:u w:val="single"/>
        </w:rPr>
        <w:t>: les montants sont en N-UM</w:t>
      </w:r>
    </w:p>
    <w:p w14:paraId="5DE26556" w14:textId="77777777" w:rsidR="00094B74" w:rsidRPr="00B004EE" w:rsidRDefault="00094B74" w:rsidP="00B004EE">
      <w:pPr>
        <w:rPr>
          <w:rFonts w:ascii="Tahoma" w:hAnsi="Tahoma" w:cs="Tahoma"/>
          <w:sz w:val="20"/>
          <w:szCs w:val="20"/>
        </w:rPr>
      </w:pPr>
      <w:r w:rsidRPr="00B004EE">
        <w:rPr>
          <w:rFonts w:ascii="Tahoma" w:hAnsi="Tahoma" w:cs="Tahoma"/>
          <w:sz w:val="20"/>
          <w:szCs w:val="20"/>
        </w:rPr>
        <w:t>*: A partir de 5 échantillons nous appliquons le tarif contrat</w:t>
      </w:r>
    </w:p>
    <w:p w14:paraId="7F81627E" w14:textId="77777777" w:rsidR="00094B74" w:rsidRPr="00B004EE" w:rsidRDefault="00094B74" w:rsidP="00B004EE">
      <w:pPr>
        <w:rPr>
          <w:rFonts w:ascii="Tahoma" w:hAnsi="Tahoma" w:cs="Tahoma"/>
          <w:sz w:val="20"/>
          <w:szCs w:val="20"/>
        </w:rPr>
      </w:pPr>
      <w:r w:rsidRPr="00B004EE">
        <w:rPr>
          <w:rFonts w:ascii="Tahoma" w:hAnsi="Tahoma" w:cs="Tahoma"/>
          <w:sz w:val="20"/>
          <w:szCs w:val="20"/>
        </w:rPr>
        <w:t>*: Pour l'analyse de l'histamine il faut multiplier le coût par 9 pour statuer sur un lot</w:t>
      </w:r>
    </w:p>
    <w:p w14:paraId="6DD87D20" w14:textId="77777777" w:rsidR="00094B74" w:rsidRPr="00B004EE" w:rsidRDefault="00094B74" w:rsidP="00B004EE">
      <w:pPr>
        <w:rPr>
          <w:rFonts w:ascii="Tahoma" w:hAnsi="Tahoma" w:cs="Tahoma"/>
          <w:b/>
          <w:bCs/>
          <w:sz w:val="20"/>
          <w:szCs w:val="20"/>
        </w:rPr>
      </w:pPr>
    </w:p>
    <w:p w14:paraId="66B5CCA0" w14:textId="77777777" w:rsidR="00094B74" w:rsidRPr="00B004EE" w:rsidRDefault="00094B74" w:rsidP="00420DDA">
      <w:pPr>
        <w:numPr>
          <w:ilvl w:val="0"/>
          <w:numId w:val="127"/>
        </w:numPr>
        <w:rPr>
          <w:rFonts w:ascii="Tahoma" w:hAnsi="Tahoma" w:cs="Tahoma"/>
          <w:b/>
          <w:bCs/>
          <w:sz w:val="20"/>
          <w:szCs w:val="20"/>
        </w:rPr>
      </w:pPr>
      <w:r w:rsidRPr="00B004EE">
        <w:rPr>
          <w:rFonts w:ascii="Tahoma" w:hAnsi="Tahoma" w:cs="Tahoma"/>
          <w:b/>
          <w:bCs/>
          <w:sz w:val="20"/>
          <w:szCs w:val="20"/>
        </w:rPr>
        <w:t>Inspection Sanitaire</w:t>
      </w:r>
    </w:p>
    <w:p w14:paraId="67780B29" w14:textId="77777777" w:rsidR="00094B74" w:rsidRPr="00B004EE" w:rsidRDefault="00094B74" w:rsidP="00B004EE">
      <w:pPr>
        <w:rPr>
          <w:rFonts w:ascii="Tahoma" w:hAnsi="Tahoma" w:cs="Tahoma"/>
          <w:b/>
          <w:bCs/>
          <w:sz w:val="20"/>
          <w:szCs w:val="20"/>
        </w:rPr>
      </w:pPr>
    </w:p>
    <w:tbl>
      <w:tblPr>
        <w:tblW w:w="98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1"/>
        <w:gridCol w:w="2353"/>
      </w:tblGrid>
      <w:tr w:rsidR="00150C90" w:rsidRPr="00B004EE" w14:paraId="633D124C" w14:textId="77777777" w:rsidTr="00887123">
        <w:trPr>
          <w:jc w:val="center"/>
        </w:trPr>
        <w:tc>
          <w:tcPr>
            <w:tcW w:w="7511" w:type="dxa"/>
            <w:shd w:val="clear" w:color="auto" w:fill="auto"/>
          </w:tcPr>
          <w:p w14:paraId="03511976" w14:textId="77777777" w:rsidR="00094B74" w:rsidRPr="00B004EE" w:rsidRDefault="00094B74" w:rsidP="00B004EE">
            <w:pPr>
              <w:jc w:val="center"/>
              <w:rPr>
                <w:rFonts w:ascii="Tahoma" w:hAnsi="Tahoma" w:cs="Tahoma"/>
                <w:b/>
                <w:bCs/>
                <w:sz w:val="20"/>
                <w:szCs w:val="20"/>
              </w:rPr>
            </w:pPr>
            <w:r w:rsidRPr="00B004EE">
              <w:rPr>
                <w:rFonts w:ascii="Tahoma" w:hAnsi="Tahoma" w:cs="Tahoma"/>
                <w:b/>
                <w:bCs/>
                <w:sz w:val="20"/>
                <w:szCs w:val="20"/>
              </w:rPr>
              <w:t>Désignation</w:t>
            </w:r>
          </w:p>
        </w:tc>
        <w:tc>
          <w:tcPr>
            <w:tcW w:w="2353" w:type="dxa"/>
            <w:shd w:val="clear" w:color="auto" w:fill="auto"/>
          </w:tcPr>
          <w:p w14:paraId="594A771E" w14:textId="198277AE" w:rsidR="00094B74" w:rsidRPr="00B004EE" w:rsidRDefault="00094B74" w:rsidP="00B004EE">
            <w:pPr>
              <w:jc w:val="center"/>
              <w:rPr>
                <w:rFonts w:ascii="Tahoma" w:hAnsi="Tahoma" w:cs="Tahoma"/>
                <w:b/>
                <w:bCs/>
                <w:sz w:val="20"/>
                <w:szCs w:val="20"/>
              </w:rPr>
            </w:pPr>
            <w:r w:rsidRPr="00B004EE">
              <w:rPr>
                <w:rFonts w:ascii="Tahoma" w:hAnsi="Tahoma" w:cs="Tahoma"/>
                <w:b/>
                <w:bCs/>
                <w:sz w:val="20"/>
                <w:szCs w:val="20"/>
              </w:rPr>
              <w:t>Prix unitaire</w:t>
            </w:r>
          </w:p>
          <w:p w14:paraId="18C89D09" w14:textId="77777777" w:rsidR="00094B74" w:rsidRPr="00B004EE" w:rsidRDefault="00094B74" w:rsidP="00B004EE">
            <w:pPr>
              <w:jc w:val="center"/>
              <w:rPr>
                <w:rFonts w:ascii="Tahoma" w:hAnsi="Tahoma" w:cs="Tahoma"/>
                <w:b/>
                <w:bCs/>
                <w:sz w:val="20"/>
                <w:szCs w:val="20"/>
              </w:rPr>
            </w:pPr>
            <w:r w:rsidRPr="00B004EE">
              <w:rPr>
                <w:rFonts w:ascii="Tahoma" w:hAnsi="Tahoma" w:cs="Tahoma"/>
                <w:b/>
                <w:bCs/>
                <w:sz w:val="20"/>
                <w:szCs w:val="20"/>
              </w:rPr>
              <w:t>N-UM</w:t>
            </w:r>
          </w:p>
        </w:tc>
      </w:tr>
      <w:tr w:rsidR="00150C90" w:rsidRPr="00B004EE" w14:paraId="48127701" w14:textId="77777777" w:rsidTr="00887123">
        <w:trPr>
          <w:jc w:val="center"/>
        </w:trPr>
        <w:tc>
          <w:tcPr>
            <w:tcW w:w="7511" w:type="dxa"/>
            <w:shd w:val="clear" w:color="auto" w:fill="auto"/>
            <w:vAlign w:val="bottom"/>
          </w:tcPr>
          <w:p w14:paraId="38F3D802" w14:textId="77777777" w:rsidR="00094B74" w:rsidRPr="00B004EE" w:rsidRDefault="00094B74" w:rsidP="00B004EE">
            <w:pPr>
              <w:rPr>
                <w:rFonts w:ascii="Tahoma" w:hAnsi="Tahoma" w:cs="Tahoma"/>
                <w:sz w:val="20"/>
                <w:szCs w:val="20"/>
              </w:rPr>
            </w:pPr>
            <w:r w:rsidRPr="00B004EE">
              <w:rPr>
                <w:rFonts w:ascii="Tahoma" w:hAnsi="Tahoma" w:cs="Tahoma"/>
                <w:sz w:val="20"/>
                <w:szCs w:val="20"/>
              </w:rPr>
              <w:t>Avis technique pour agrément d’usine</w:t>
            </w:r>
          </w:p>
        </w:tc>
        <w:tc>
          <w:tcPr>
            <w:tcW w:w="2353" w:type="dxa"/>
            <w:shd w:val="clear" w:color="auto" w:fill="auto"/>
            <w:vAlign w:val="bottom"/>
          </w:tcPr>
          <w:p w14:paraId="7DB29BDD" w14:textId="77777777" w:rsidR="00094B74" w:rsidRPr="00B004EE" w:rsidRDefault="00094B74" w:rsidP="00B004EE">
            <w:pPr>
              <w:rPr>
                <w:rFonts w:ascii="Tahoma" w:hAnsi="Tahoma" w:cs="Tahoma"/>
                <w:sz w:val="20"/>
                <w:szCs w:val="20"/>
              </w:rPr>
            </w:pPr>
            <w:r w:rsidRPr="00B004EE">
              <w:rPr>
                <w:rFonts w:ascii="Tahoma" w:hAnsi="Tahoma" w:cs="Tahoma"/>
                <w:sz w:val="20"/>
                <w:szCs w:val="20"/>
              </w:rPr>
              <w:t>25 000</w:t>
            </w:r>
          </w:p>
        </w:tc>
      </w:tr>
      <w:tr w:rsidR="00150C90" w:rsidRPr="00B004EE" w14:paraId="3D82A493" w14:textId="77777777" w:rsidTr="00887123">
        <w:trPr>
          <w:jc w:val="center"/>
        </w:trPr>
        <w:tc>
          <w:tcPr>
            <w:tcW w:w="7511" w:type="dxa"/>
            <w:shd w:val="clear" w:color="auto" w:fill="auto"/>
            <w:vAlign w:val="bottom"/>
          </w:tcPr>
          <w:p w14:paraId="076C35D0" w14:textId="77777777" w:rsidR="00094B74" w:rsidRPr="00B004EE" w:rsidRDefault="00094B74" w:rsidP="00B004EE">
            <w:pPr>
              <w:rPr>
                <w:rFonts w:ascii="Tahoma" w:hAnsi="Tahoma" w:cs="Tahoma"/>
                <w:sz w:val="20"/>
                <w:szCs w:val="20"/>
              </w:rPr>
            </w:pPr>
            <w:r w:rsidRPr="00B004EE">
              <w:rPr>
                <w:rFonts w:ascii="Tahoma" w:hAnsi="Tahoma" w:cs="Tahoma"/>
                <w:sz w:val="20"/>
                <w:szCs w:val="20"/>
              </w:rPr>
              <w:t>Avis technique pour agrément de bateau</w:t>
            </w:r>
          </w:p>
        </w:tc>
        <w:tc>
          <w:tcPr>
            <w:tcW w:w="2353" w:type="dxa"/>
            <w:shd w:val="clear" w:color="auto" w:fill="auto"/>
            <w:vAlign w:val="bottom"/>
          </w:tcPr>
          <w:p w14:paraId="5D5914DF" w14:textId="77777777" w:rsidR="00094B74" w:rsidRPr="00B004EE" w:rsidRDefault="00094B74" w:rsidP="00B004EE">
            <w:pPr>
              <w:rPr>
                <w:rFonts w:ascii="Tahoma" w:hAnsi="Tahoma" w:cs="Tahoma"/>
                <w:sz w:val="20"/>
                <w:szCs w:val="20"/>
              </w:rPr>
            </w:pPr>
            <w:r w:rsidRPr="00B004EE">
              <w:rPr>
                <w:rFonts w:ascii="Tahoma" w:hAnsi="Tahoma" w:cs="Tahoma"/>
                <w:sz w:val="20"/>
                <w:szCs w:val="20"/>
              </w:rPr>
              <w:t>15 000</w:t>
            </w:r>
          </w:p>
        </w:tc>
      </w:tr>
      <w:tr w:rsidR="00150C90" w:rsidRPr="00B004EE" w14:paraId="4C9E22E2" w14:textId="77777777" w:rsidTr="00887123">
        <w:trPr>
          <w:jc w:val="center"/>
        </w:trPr>
        <w:tc>
          <w:tcPr>
            <w:tcW w:w="7511" w:type="dxa"/>
            <w:shd w:val="clear" w:color="auto" w:fill="auto"/>
          </w:tcPr>
          <w:p w14:paraId="57F07504" w14:textId="77777777" w:rsidR="00094B74" w:rsidRPr="00B004EE" w:rsidRDefault="00094B74" w:rsidP="00B004EE">
            <w:pPr>
              <w:rPr>
                <w:rFonts w:ascii="Tahoma" w:hAnsi="Tahoma" w:cs="Tahoma"/>
                <w:sz w:val="20"/>
                <w:szCs w:val="20"/>
              </w:rPr>
            </w:pPr>
            <w:r w:rsidRPr="00B004EE">
              <w:rPr>
                <w:rFonts w:ascii="Tahoma" w:hAnsi="Tahoma" w:cs="Tahoma"/>
                <w:sz w:val="20"/>
                <w:szCs w:val="20"/>
              </w:rPr>
              <w:t>Visite Evaluation pour reprise d’activités d’usine après suspension d’activités</w:t>
            </w:r>
          </w:p>
        </w:tc>
        <w:tc>
          <w:tcPr>
            <w:tcW w:w="2353" w:type="dxa"/>
            <w:shd w:val="clear" w:color="auto" w:fill="auto"/>
            <w:vAlign w:val="bottom"/>
          </w:tcPr>
          <w:p w14:paraId="3EC5FD95" w14:textId="77777777" w:rsidR="00094B74" w:rsidRPr="00B004EE" w:rsidRDefault="00094B74" w:rsidP="00B004EE">
            <w:pPr>
              <w:rPr>
                <w:rFonts w:ascii="Tahoma" w:hAnsi="Tahoma" w:cs="Tahoma"/>
                <w:sz w:val="20"/>
                <w:szCs w:val="20"/>
              </w:rPr>
            </w:pPr>
            <w:r w:rsidRPr="00B004EE">
              <w:rPr>
                <w:rFonts w:ascii="Tahoma" w:hAnsi="Tahoma" w:cs="Tahoma"/>
                <w:sz w:val="20"/>
                <w:szCs w:val="20"/>
              </w:rPr>
              <w:t>30 000</w:t>
            </w:r>
          </w:p>
        </w:tc>
      </w:tr>
      <w:tr w:rsidR="00150C90" w:rsidRPr="00B004EE" w14:paraId="72033EAE" w14:textId="77777777" w:rsidTr="00887123">
        <w:trPr>
          <w:jc w:val="center"/>
        </w:trPr>
        <w:tc>
          <w:tcPr>
            <w:tcW w:w="7511" w:type="dxa"/>
            <w:shd w:val="clear" w:color="auto" w:fill="auto"/>
            <w:vAlign w:val="bottom"/>
          </w:tcPr>
          <w:p w14:paraId="69AD0533" w14:textId="77777777" w:rsidR="00094B74" w:rsidRPr="00B004EE" w:rsidRDefault="00094B74" w:rsidP="00B004EE">
            <w:pPr>
              <w:rPr>
                <w:rFonts w:ascii="Tahoma" w:hAnsi="Tahoma" w:cs="Tahoma"/>
                <w:sz w:val="20"/>
                <w:szCs w:val="20"/>
              </w:rPr>
            </w:pPr>
            <w:r w:rsidRPr="00B004EE">
              <w:rPr>
                <w:rFonts w:ascii="Tahoma" w:hAnsi="Tahoma" w:cs="Tahoma"/>
                <w:sz w:val="20"/>
                <w:szCs w:val="20"/>
              </w:rPr>
              <w:t>Visite inspection des navires après suspension d’activités</w:t>
            </w:r>
          </w:p>
        </w:tc>
        <w:tc>
          <w:tcPr>
            <w:tcW w:w="2353" w:type="dxa"/>
            <w:shd w:val="clear" w:color="auto" w:fill="auto"/>
            <w:vAlign w:val="bottom"/>
          </w:tcPr>
          <w:p w14:paraId="2DAD7236" w14:textId="77777777" w:rsidR="00094B74" w:rsidRPr="00B004EE" w:rsidRDefault="00094B74" w:rsidP="00B004EE">
            <w:pPr>
              <w:rPr>
                <w:rFonts w:ascii="Tahoma" w:hAnsi="Tahoma" w:cs="Tahoma"/>
                <w:sz w:val="20"/>
                <w:szCs w:val="20"/>
              </w:rPr>
            </w:pPr>
            <w:r w:rsidRPr="00B004EE">
              <w:rPr>
                <w:rFonts w:ascii="Tahoma" w:hAnsi="Tahoma" w:cs="Tahoma"/>
                <w:sz w:val="20"/>
                <w:szCs w:val="20"/>
              </w:rPr>
              <w:t>20 000</w:t>
            </w:r>
          </w:p>
        </w:tc>
      </w:tr>
      <w:tr w:rsidR="00150C90" w:rsidRPr="00B004EE" w14:paraId="1AADDEC5" w14:textId="77777777" w:rsidTr="00887123">
        <w:trPr>
          <w:jc w:val="center"/>
        </w:trPr>
        <w:tc>
          <w:tcPr>
            <w:tcW w:w="7511" w:type="dxa"/>
            <w:shd w:val="clear" w:color="auto" w:fill="auto"/>
          </w:tcPr>
          <w:p w14:paraId="01889AD7" w14:textId="77777777" w:rsidR="00094B74" w:rsidRPr="00B004EE" w:rsidRDefault="00094B74" w:rsidP="00B004EE">
            <w:pPr>
              <w:rPr>
                <w:rFonts w:ascii="Tahoma" w:hAnsi="Tahoma" w:cs="Tahoma"/>
                <w:sz w:val="20"/>
                <w:szCs w:val="20"/>
              </w:rPr>
            </w:pPr>
            <w:r w:rsidRPr="00B004EE">
              <w:rPr>
                <w:rFonts w:ascii="Tahoma" w:hAnsi="Tahoma" w:cs="Tahoma"/>
                <w:sz w:val="20"/>
                <w:szCs w:val="20"/>
              </w:rPr>
              <w:t>Certification poissons frais pélagiques, salé séché et fermentés séchés</w:t>
            </w:r>
          </w:p>
        </w:tc>
        <w:tc>
          <w:tcPr>
            <w:tcW w:w="2353" w:type="dxa"/>
            <w:shd w:val="clear" w:color="auto" w:fill="auto"/>
            <w:vAlign w:val="bottom"/>
          </w:tcPr>
          <w:p w14:paraId="70A8E6DF" w14:textId="77777777" w:rsidR="00094B74" w:rsidRPr="00B004EE" w:rsidRDefault="00094B74" w:rsidP="00B004EE">
            <w:pPr>
              <w:rPr>
                <w:rFonts w:ascii="Tahoma" w:hAnsi="Tahoma" w:cs="Tahoma"/>
                <w:sz w:val="20"/>
                <w:szCs w:val="20"/>
              </w:rPr>
            </w:pPr>
            <w:r w:rsidRPr="00B004EE">
              <w:rPr>
                <w:rFonts w:ascii="Tahoma" w:hAnsi="Tahoma" w:cs="Tahoma"/>
                <w:sz w:val="20"/>
                <w:szCs w:val="20"/>
              </w:rPr>
              <w:t>200</w:t>
            </w:r>
          </w:p>
        </w:tc>
      </w:tr>
      <w:tr w:rsidR="00150C90" w:rsidRPr="00B004EE" w14:paraId="55915DC6" w14:textId="77777777" w:rsidTr="00887123">
        <w:trPr>
          <w:jc w:val="center"/>
        </w:trPr>
        <w:tc>
          <w:tcPr>
            <w:tcW w:w="7511" w:type="dxa"/>
            <w:shd w:val="clear" w:color="auto" w:fill="auto"/>
          </w:tcPr>
          <w:p w14:paraId="1B47DDD9" w14:textId="77777777" w:rsidR="00094B74" w:rsidRPr="00B004EE" w:rsidRDefault="00094B74" w:rsidP="00B004EE">
            <w:pPr>
              <w:rPr>
                <w:rFonts w:ascii="Tahoma" w:hAnsi="Tahoma" w:cs="Tahoma"/>
                <w:sz w:val="20"/>
                <w:szCs w:val="20"/>
              </w:rPr>
            </w:pPr>
            <w:r w:rsidRPr="00B004EE">
              <w:rPr>
                <w:rFonts w:ascii="Tahoma" w:hAnsi="Tahoma" w:cs="Tahoma"/>
                <w:sz w:val="20"/>
                <w:szCs w:val="20"/>
              </w:rPr>
              <w:t>Certification poisson frais démersaux</w:t>
            </w:r>
          </w:p>
        </w:tc>
        <w:tc>
          <w:tcPr>
            <w:tcW w:w="2353" w:type="dxa"/>
            <w:shd w:val="clear" w:color="auto" w:fill="auto"/>
            <w:vAlign w:val="bottom"/>
          </w:tcPr>
          <w:p w14:paraId="2F167CBD" w14:textId="77777777" w:rsidR="00094B74" w:rsidRPr="00B004EE" w:rsidRDefault="00094B74" w:rsidP="00B004EE">
            <w:pPr>
              <w:rPr>
                <w:rFonts w:ascii="Tahoma" w:hAnsi="Tahoma" w:cs="Tahoma"/>
                <w:sz w:val="20"/>
                <w:szCs w:val="20"/>
              </w:rPr>
            </w:pPr>
            <w:r w:rsidRPr="00B004EE">
              <w:rPr>
                <w:rFonts w:ascii="Tahoma" w:hAnsi="Tahoma" w:cs="Tahoma"/>
                <w:sz w:val="20"/>
                <w:szCs w:val="20"/>
              </w:rPr>
              <w:t>≤ à 1T 500</w:t>
            </w:r>
          </w:p>
          <w:p w14:paraId="0CBC2D43" w14:textId="77777777" w:rsidR="00094B74" w:rsidRPr="00B004EE" w:rsidRDefault="00094B74" w:rsidP="00B004EE">
            <w:pPr>
              <w:rPr>
                <w:rFonts w:ascii="Tahoma" w:hAnsi="Tahoma" w:cs="Tahoma"/>
                <w:sz w:val="20"/>
                <w:szCs w:val="20"/>
              </w:rPr>
            </w:pPr>
            <w:r w:rsidRPr="00B004EE">
              <w:rPr>
                <w:rFonts w:ascii="Tahoma" w:hAnsi="Tahoma" w:cs="Tahoma"/>
                <w:sz w:val="20"/>
                <w:szCs w:val="20"/>
              </w:rPr>
              <w:t>&gt;1T et ≤ à 5T 1 000</w:t>
            </w:r>
          </w:p>
          <w:p w14:paraId="2A212B93" w14:textId="77777777" w:rsidR="00094B74" w:rsidRPr="00B004EE" w:rsidRDefault="00094B74" w:rsidP="00B004EE">
            <w:pPr>
              <w:rPr>
                <w:rFonts w:ascii="Tahoma" w:hAnsi="Tahoma" w:cs="Tahoma"/>
                <w:sz w:val="20"/>
                <w:szCs w:val="20"/>
              </w:rPr>
            </w:pPr>
            <w:r w:rsidRPr="00B004EE">
              <w:rPr>
                <w:rFonts w:ascii="Tahoma" w:hAnsi="Tahoma" w:cs="Tahoma"/>
                <w:sz w:val="20"/>
                <w:szCs w:val="20"/>
              </w:rPr>
              <w:t>&gt;à 5 T  1 500</w:t>
            </w:r>
          </w:p>
        </w:tc>
      </w:tr>
      <w:tr w:rsidR="00150C90" w:rsidRPr="00B004EE" w14:paraId="1473F594" w14:textId="77777777" w:rsidTr="00887123">
        <w:trPr>
          <w:jc w:val="center"/>
        </w:trPr>
        <w:tc>
          <w:tcPr>
            <w:tcW w:w="7511" w:type="dxa"/>
            <w:shd w:val="clear" w:color="auto" w:fill="auto"/>
          </w:tcPr>
          <w:p w14:paraId="44C757AF" w14:textId="77777777" w:rsidR="00094B74" w:rsidRPr="00B004EE" w:rsidRDefault="00094B74" w:rsidP="00B004EE">
            <w:pPr>
              <w:rPr>
                <w:rFonts w:ascii="Tahoma" w:hAnsi="Tahoma" w:cs="Tahoma"/>
                <w:sz w:val="20"/>
                <w:szCs w:val="20"/>
              </w:rPr>
            </w:pPr>
            <w:r w:rsidRPr="00B004EE">
              <w:rPr>
                <w:rFonts w:ascii="Tahoma" w:hAnsi="Tahoma" w:cs="Tahoma"/>
                <w:sz w:val="20"/>
                <w:szCs w:val="20"/>
              </w:rPr>
              <w:lastRenderedPageBreak/>
              <w:t>Certification du poisson vivant (langoustes, bivalves, etc.) + poutargues et produits élaborés</w:t>
            </w:r>
          </w:p>
        </w:tc>
        <w:tc>
          <w:tcPr>
            <w:tcW w:w="2353" w:type="dxa"/>
            <w:shd w:val="clear" w:color="auto" w:fill="auto"/>
            <w:vAlign w:val="bottom"/>
          </w:tcPr>
          <w:p w14:paraId="2E7BBDDA" w14:textId="77777777" w:rsidR="00094B74" w:rsidRPr="00B004EE" w:rsidRDefault="00094B74" w:rsidP="00B004EE">
            <w:pPr>
              <w:rPr>
                <w:rFonts w:ascii="Tahoma" w:hAnsi="Tahoma" w:cs="Tahoma"/>
                <w:sz w:val="20"/>
                <w:szCs w:val="20"/>
              </w:rPr>
            </w:pPr>
            <w:r w:rsidRPr="00B004EE">
              <w:rPr>
                <w:rFonts w:ascii="Tahoma" w:hAnsi="Tahoma" w:cs="Tahoma"/>
                <w:sz w:val="20"/>
                <w:szCs w:val="20"/>
              </w:rPr>
              <w:t>≤ 1T 1 000</w:t>
            </w:r>
          </w:p>
          <w:p w14:paraId="5C2F0F8A" w14:textId="77777777" w:rsidR="00094B74" w:rsidRPr="00B004EE" w:rsidRDefault="00094B74" w:rsidP="00B004EE">
            <w:pPr>
              <w:rPr>
                <w:rFonts w:ascii="Tahoma" w:hAnsi="Tahoma" w:cs="Tahoma"/>
                <w:sz w:val="20"/>
                <w:szCs w:val="20"/>
              </w:rPr>
            </w:pPr>
            <w:r w:rsidRPr="00B004EE">
              <w:rPr>
                <w:rFonts w:ascii="Tahoma" w:hAnsi="Tahoma" w:cs="Tahoma"/>
                <w:sz w:val="20"/>
                <w:szCs w:val="20"/>
              </w:rPr>
              <w:t>&gt;1T 1 500</w:t>
            </w:r>
          </w:p>
        </w:tc>
      </w:tr>
      <w:tr w:rsidR="00150C90" w:rsidRPr="00B004EE" w14:paraId="6A855855" w14:textId="77777777" w:rsidTr="00887123">
        <w:trPr>
          <w:jc w:val="center"/>
        </w:trPr>
        <w:tc>
          <w:tcPr>
            <w:tcW w:w="7511" w:type="dxa"/>
            <w:shd w:val="clear" w:color="auto" w:fill="auto"/>
          </w:tcPr>
          <w:p w14:paraId="3FA0FD71" w14:textId="77777777" w:rsidR="00094B74" w:rsidRPr="00B004EE" w:rsidRDefault="00094B74" w:rsidP="00B004EE">
            <w:pPr>
              <w:rPr>
                <w:rFonts w:ascii="Tahoma" w:hAnsi="Tahoma" w:cs="Tahoma"/>
                <w:sz w:val="20"/>
                <w:szCs w:val="20"/>
              </w:rPr>
            </w:pPr>
            <w:r w:rsidRPr="00B004EE">
              <w:rPr>
                <w:rFonts w:ascii="Tahoma" w:hAnsi="Tahoma" w:cs="Tahoma"/>
                <w:sz w:val="20"/>
                <w:szCs w:val="20"/>
              </w:rPr>
              <w:t xml:space="preserve">Certification des poissons et œufs congelés et salé vert </w:t>
            </w:r>
          </w:p>
        </w:tc>
        <w:tc>
          <w:tcPr>
            <w:tcW w:w="2353" w:type="dxa"/>
            <w:shd w:val="clear" w:color="auto" w:fill="auto"/>
            <w:vAlign w:val="bottom"/>
          </w:tcPr>
          <w:p w14:paraId="1E27A741" w14:textId="77777777" w:rsidR="00094B74" w:rsidRPr="00B004EE" w:rsidRDefault="00094B74" w:rsidP="00B004EE">
            <w:pPr>
              <w:rPr>
                <w:rFonts w:ascii="Tahoma" w:hAnsi="Tahoma" w:cs="Tahoma"/>
                <w:sz w:val="20"/>
                <w:szCs w:val="20"/>
              </w:rPr>
            </w:pPr>
            <w:r w:rsidRPr="00B004EE">
              <w:rPr>
                <w:rFonts w:ascii="Tahoma" w:hAnsi="Tahoma" w:cs="Tahoma"/>
                <w:sz w:val="20"/>
                <w:szCs w:val="20"/>
              </w:rPr>
              <w:t>≤ à 10T 500</w:t>
            </w:r>
          </w:p>
          <w:p w14:paraId="72481BDD" w14:textId="77777777" w:rsidR="00094B74" w:rsidRPr="00B004EE" w:rsidRDefault="00094B74" w:rsidP="00B004EE">
            <w:pPr>
              <w:rPr>
                <w:rFonts w:ascii="Tahoma" w:hAnsi="Tahoma" w:cs="Tahoma"/>
                <w:sz w:val="20"/>
                <w:szCs w:val="20"/>
              </w:rPr>
            </w:pPr>
            <w:r w:rsidRPr="00B004EE">
              <w:rPr>
                <w:rFonts w:ascii="Tahoma" w:hAnsi="Tahoma" w:cs="Tahoma"/>
                <w:sz w:val="20"/>
                <w:szCs w:val="20"/>
              </w:rPr>
              <w:t>&gt;10T et ≤ à 20T 1 000</w:t>
            </w:r>
          </w:p>
          <w:p w14:paraId="5361D06A" w14:textId="77777777" w:rsidR="00094B74" w:rsidRPr="00B004EE" w:rsidRDefault="00094B74" w:rsidP="00B004EE">
            <w:pPr>
              <w:rPr>
                <w:rFonts w:ascii="Tahoma" w:hAnsi="Tahoma" w:cs="Tahoma"/>
                <w:sz w:val="20"/>
                <w:szCs w:val="20"/>
              </w:rPr>
            </w:pPr>
            <w:r w:rsidRPr="00B004EE">
              <w:rPr>
                <w:rFonts w:ascii="Tahoma" w:hAnsi="Tahoma" w:cs="Tahoma"/>
                <w:sz w:val="20"/>
                <w:szCs w:val="20"/>
              </w:rPr>
              <w:t>&gt;à 20 T  1 500</w:t>
            </w:r>
          </w:p>
        </w:tc>
      </w:tr>
      <w:tr w:rsidR="00150C90" w:rsidRPr="00B004EE" w14:paraId="377A61C8" w14:textId="77777777" w:rsidTr="00887123">
        <w:trPr>
          <w:jc w:val="center"/>
        </w:trPr>
        <w:tc>
          <w:tcPr>
            <w:tcW w:w="7511" w:type="dxa"/>
            <w:shd w:val="clear" w:color="auto" w:fill="auto"/>
            <w:vAlign w:val="bottom"/>
          </w:tcPr>
          <w:p w14:paraId="189AAF51" w14:textId="77777777" w:rsidR="00094B74" w:rsidRPr="00B004EE" w:rsidRDefault="00094B74" w:rsidP="00B004EE">
            <w:pPr>
              <w:rPr>
                <w:rFonts w:ascii="Tahoma" w:hAnsi="Tahoma" w:cs="Tahoma"/>
                <w:sz w:val="20"/>
                <w:szCs w:val="20"/>
              </w:rPr>
            </w:pPr>
            <w:r w:rsidRPr="00B004EE">
              <w:rPr>
                <w:rFonts w:ascii="Tahoma" w:hAnsi="Tahoma" w:cs="Tahoma"/>
                <w:sz w:val="20"/>
                <w:szCs w:val="20"/>
              </w:rPr>
              <w:t xml:space="preserve">Certification de la farine </w:t>
            </w:r>
          </w:p>
        </w:tc>
        <w:tc>
          <w:tcPr>
            <w:tcW w:w="2353" w:type="dxa"/>
            <w:shd w:val="clear" w:color="auto" w:fill="auto"/>
            <w:vAlign w:val="bottom"/>
          </w:tcPr>
          <w:p w14:paraId="01446243" w14:textId="77777777" w:rsidR="00094B74" w:rsidRPr="00B004EE" w:rsidRDefault="00094B74" w:rsidP="00B004EE">
            <w:pPr>
              <w:rPr>
                <w:rFonts w:ascii="Tahoma" w:hAnsi="Tahoma" w:cs="Tahoma"/>
                <w:sz w:val="20"/>
                <w:szCs w:val="20"/>
              </w:rPr>
            </w:pPr>
            <w:r w:rsidRPr="00B004EE">
              <w:rPr>
                <w:rFonts w:ascii="Tahoma" w:hAnsi="Tahoma" w:cs="Tahoma"/>
                <w:sz w:val="20"/>
                <w:szCs w:val="20"/>
              </w:rPr>
              <w:t>25 par tonne</w:t>
            </w:r>
          </w:p>
        </w:tc>
      </w:tr>
      <w:tr w:rsidR="00150C90" w:rsidRPr="00B004EE" w14:paraId="65CCB1F0" w14:textId="77777777" w:rsidTr="00887123">
        <w:trPr>
          <w:jc w:val="center"/>
        </w:trPr>
        <w:tc>
          <w:tcPr>
            <w:tcW w:w="7511" w:type="dxa"/>
            <w:shd w:val="clear" w:color="auto" w:fill="auto"/>
            <w:vAlign w:val="bottom"/>
          </w:tcPr>
          <w:p w14:paraId="6D060D65" w14:textId="77777777" w:rsidR="00094B74" w:rsidRPr="00B004EE" w:rsidRDefault="00094B74" w:rsidP="00B004EE">
            <w:pPr>
              <w:rPr>
                <w:rFonts w:ascii="Tahoma" w:hAnsi="Tahoma" w:cs="Tahoma"/>
                <w:sz w:val="20"/>
                <w:szCs w:val="20"/>
              </w:rPr>
            </w:pPr>
            <w:r w:rsidRPr="00B004EE">
              <w:rPr>
                <w:rFonts w:ascii="Tahoma" w:hAnsi="Tahoma" w:cs="Tahoma"/>
                <w:sz w:val="20"/>
                <w:szCs w:val="20"/>
              </w:rPr>
              <w:t>Certificat huile poisson</w:t>
            </w:r>
          </w:p>
        </w:tc>
        <w:tc>
          <w:tcPr>
            <w:tcW w:w="2353" w:type="dxa"/>
            <w:shd w:val="clear" w:color="auto" w:fill="auto"/>
            <w:vAlign w:val="bottom"/>
          </w:tcPr>
          <w:p w14:paraId="1C3CDBE5" w14:textId="77777777" w:rsidR="00094B74" w:rsidRPr="00B004EE" w:rsidRDefault="00094B74" w:rsidP="00B004EE">
            <w:pPr>
              <w:rPr>
                <w:rFonts w:ascii="Tahoma" w:hAnsi="Tahoma" w:cs="Tahoma"/>
                <w:sz w:val="20"/>
                <w:szCs w:val="20"/>
              </w:rPr>
            </w:pPr>
            <w:r w:rsidRPr="00B004EE">
              <w:rPr>
                <w:rFonts w:ascii="Tahoma" w:hAnsi="Tahoma" w:cs="Tahoma"/>
                <w:sz w:val="20"/>
                <w:szCs w:val="20"/>
              </w:rPr>
              <w:t>25 par tonne</w:t>
            </w:r>
          </w:p>
        </w:tc>
      </w:tr>
      <w:tr w:rsidR="00150C90" w:rsidRPr="00B004EE" w14:paraId="14E947EF" w14:textId="77777777" w:rsidTr="00887123">
        <w:trPr>
          <w:jc w:val="center"/>
        </w:trPr>
        <w:tc>
          <w:tcPr>
            <w:tcW w:w="7511" w:type="dxa"/>
            <w:shd w:val="clear" w:color="auto" w:fill="auto"/>
            <w:vAlign w:val="bottom"/>
          </w:tcPr>
          <w:p w14:paraId="78D3248B" w14:textId="77777777" w:rsidR="00094B74" w:rsidRPr="00B004EE" w:rsidRDefault="00094B74" w:rsidP="00B004EE">
            <w:pPr>
              <w:rPr>
                <w:rFonts w:ascii="Tahoma" w:hAnsi="Tahoma" w:cs="Tahoma"/>
                <w:sz w:val="20"/>
                <w:szCs w:val="20"/>
              </w:rPr>
            </w:pPr>
            <w:r w:rsidRPr="00B004EE">
              <w:rPr>
                <w:rFonts w:ascii="Tahoma" w:hAnsi="Tahoma" w:cs="Tahoma"/>
                <w:sz w:val="20"/>
                <w:szCs w:val="20"/>
              </w:rPr>
              <w:t>Attestation de conformité sanitaire</w:t>
            </w:r>
          </w:p>
        </w:tc>
        <w:tc>
          <w:tcPr>
            <w:tcW w:w="2353" w:type="dxa"/>
            <w:shd w:val="clear" w:color="auto" w:fill="auto"/>
            <w:vAlign w:val="bottom"/>
          </w:tcPr>
          <w:p w14:paraId="572DD8F6" w14:textId="77777777" w:rsidR="00094B74" w:rsidRPr="00B004EE" w:rsidRDefault="00094B74" w:rsidP="00B004EE">
            <w:pPr>
              <w:rPr>
                <w:rFonts w:ascii="Tahoma" w:hAnsi="Tahoma" w:cs="Tahoma"/>
                <w:sz w:val="20"/>
                <w:szCs w:val="20"/>
              </w:rPr>
            </w:pPr>
            <w:r w:rsidRPr="00B004EE">
              <w:rPr>
                <w:rFonts w:ascii="Tahoma" w:hAnsi="Tahoma" w:cs="Tahoma"/>
                <w:sz w:val="20"/>
                <w:szCs w:val="20"/>
              </w:rPr>
              <w:t>2 000</w:t>
            </w:r>
          </w:p>
        </w:tc>
      </w:tr>
      <w:tr w:rsidR="00150C90" w:rsidRPr="00B004EE" w14:paraId="10AAF28D" w14:textId="77777777" w:rsidTr="00887123">
        <w:trPr>
          <w:jc w:val="center"/>
        </w:trPr>
        <w:tc>
          <w:tcPr>
            <w:tcW w:w="7511" w:type="dxa"/>
            <w:shd w:val="clear" w:color="auto" w:fill="auto"/>
            <w:vAlign w:val="bottom"/>
          </w:tcPr>
          <w:p w14:paraId="54796B3F" w14:textId="77777777" w:rsidR="00094B74" w:rsidRPr="00B004EE" w:rsidRDefault="00094B74" w:rsidP="00B004EE">
            <w:pPr>
              <w:rPr>
                <w:rFonts w:ascii="Tahoma" w:hAnsi="Tahoma" w:cs="Tahoma"/>
                <w:sz w:val="20"/>
                <w:szCs w:val="20"/>
              </w:rPr>
            </w:pPr>
            <w:r w:rsidRPr="00B004EE">
              <w:rPr>
                <w:rFonts w:ascii="Tahoma" w:hAnsi="Tahoma" w:cs="Tahoma"/>
                <w:sz w:val="20"/>
                <w:szCs w:val="20"/>
              </w:rPr>
              <w:t>Attestation antioxydant</w:t>
            </w:r>
          </w:p>
        </w:tc>
        <w:tc>
          <w:tcPr>
            <w:tcW w:w="2353" w:type="dxa"/>
            <w:shd w:val="clear" w:color="auto" w:fill="auto"/>
            <w:vAlign w:val="bottom"/>
          </w:tcPr>
          <w:p w14:paraId="51143E68" w14:textId="77777777" w:rsidR="00094B74" w:rsidRPr="00B004EE" w:rsidRDefault="00094B74" w:rsidP="00B004EE">
            <w:pPr>
              <w:rPr>
                <w:rFonts w:ascii="Tahoma" w:hAnsi="Tahoma" w:cs="Tahoma"/>
                <w:sz w:val="20"/>
                <w:szCs w:val="20"/>
              </w:rPr>
            </w:pPr>
            <w:r w:rsidRPr="00B004EE">
              <w:rPr>
                <w:rFonts w:ascii="Tahoma" w:hAnsi="Tahoma" w:cs="Tahoma"/>
                <w:sz w:val="20"/>
                <w:szCs w:val="20"/>
              </w:rPr>
              <w:t>1 000</w:t>
            </w:r>
          </w:p>
        </w:tc>
      </w:tr>
      <w:tr w:rsidR="00150C90" w:rsidRPr="00B004EE" w14:paraId="183C6765" w14:textId="77777777" w:rsidTr="00887123">
        <w:trPr>
          <w:jc w:val="center"/>
        </w:trPr>
        <w:tc>
          <w:tcPr>
            <w:tcW w:w="7511" w:type="dxa"/>
            <w:shd w:val="clear" w:color="auto" w:fill="auto"/>
            <w:vAlign w:val="bottom"/>
          </w:tcPr>
          <w:p w14:paraId="0927CBBD" w14:textId="77777777" w:rsidR="00094B74" w:rsidRPr="00B004EE" w:rsidRDefault="00094B74" w:rsidP="00B004EE">
            <w:pPr>
              <w:rPr>
                <w:rFonts w:ascii="Tahoma" w:hAnsi="Tahoma" w:cs="Tahoma"/>
                <w:sz w:val="20"/>
                <w:szCs w:val="20"/>
              </w:rPr>
            </w:pPr>
            <w:r w:rsidRPr="00B004EE">
              <w:rPr>
                <w:rFonts w:ascii="Tahoma" w:hAnsi="Tahoma" w:cs="Tahoma"/>
                <w:sz w:val="20"/>
                <w:szCs w:val="20"/>
              </w:rPr>
              <w:t>expertises/consultation</w:t>
            </w:r>
          </w:p>
        </w:tc>
        <w:tc>
          <w:tcPr>
            <w:tcW w:w="2353" w:type="dxa"/>
            <w:shd w:val="clear" w:color="auto" w:fill="auto"/>
            <w:vAlign w:val="bottom"/>
          </w:tcPr>
          <w:p w14:paraId="56BFD432" w14:textId="77777777" w:rsidR="00094B74" w:rsidRPr="00B004EE" w:rsidRDefault="00094B74" w:rsidP="00B004EE">
            <w:pPr>
              <w:rPr>
                <w:rFonts w:ascii="Tahoma" w:hAnsi="Tahoma" w:cs="Tahoma"/>
                <w:sz w:val="20"/>
                <w:szCs w:val="20"/>
              </w:rPr>
            </w:pPr>
            <w:r w:rsidRPr="00B004EE">
              <w:rPr>
                <w:rFonts w:ascii="Tahoma" w:hAnsi="Tahoma" w:cs="Tahoma"/>
                <w:sz w:val="20"/>
                <w:szCs w:val="20"/>
              </w:rPr>
              <w:t>à la demande</w:t>
            </w:r>
          </w:p>
        </w:tc>
      </w:tr>
      <w:tr w:rsidR="00150C90" w:rsidRPr="00B004EE" w14:paraId="4D5E6E71" w14:textId="77777777" w:rsidTr="00887123">
        <w:trPr>
          <w:jc w:val="center"/>
        </w:trPr>
        <w:tc>
          <w:tcPr>
            <w:tcW w:w="7511" w:type="dxa"/>
            <w:shd w:val="clear" w:color="auto" w:fill="auto"/>
            <w:vAlign w:val="bottom"/>
          </w:tcPr>
          <w:p w14:paraId="60575060" w14:textId="77777777" w:rsidR="00094B74" w:rsidRPr="00B004EE" w:rsidRDefault="00094B74" w:rsidP="00B004EE">
            <w:pPr>
              <w:rPr>
                <w:rFonts w:ascii="Tahoma" w:hAnsi="Tahoma" w:cs="Tahoma"/>
                <w:sz w:val="20"/>
                <w:szCs w:val="20"/>
              </w:rPr>
            </w:pPr>
            <w:r w:rsidRPr="00B004EE">
              <w:rPr>
                <w:rFonts w:ascii="Tahoma" w:hAnsi="Tahoma" w:cs="Tahoma"/>
                <w:sz w:val="20"/>
                <w:szCs w:val="20"/>
              </w:rPr>
              <w:t>Accueil stagiaire</w:t>
            </w:r>
          </w:p>
        </w:tc>
        <w:tc>
          <w:tcPr>
            <w:tcW w:w="2353" w:type="dxa"/>
            <w:shd w:val="clear" w:color="auto" w:fill="auto"/>
            <w:vAlign w:val="bottom"/>
          </w:tcPr>
          <w:p w14:paraId="10B3660B" w14:textId="77777777" w:rsidR="00094B74" w:rsidRPr="00B004EE" w:rsidRDefault="00094B74" w:rsidP="00B004EE">
            <w:pPr>
              <w:rPr>
                <w:rFonts w:ascii="Tahoma" w:hAnsi="Tahoma" w:cs="Tahoma"/>
                <w:sz w:val="20"/>
                <w:szCs w:val="20"/>
              </w:rPr>
            </w:pPr>
            <w:r w:rsidRPr="00B004EE">
              <w:rPr>
                <w:rFonts w:ascii="Tahoma" w:hAnsi="Tahoma" w:cs="Tahoma"/>
                <w:sz w:val="20"/>
                <w:szCs w:val="20"/>
              </w:rPr>
              <w:t>à la demande</w:t>
            </w:r>
          </w:p>
        </w:tc>
      </w:tr>
      <w:tr w:rsidR="00150C90" w:rsidRPr="00B004EE" w14:paraId="414FEBD2" w14:textId="77777777" w:rsidTr="00887123">
        <w:trPr>
          <w:jc w:val="center"/>
        </w:trPr>
        <w:tc>
          <w:tcPr>
            <w:tcW w:w="7511" w:type="dxa"/>
            <w:shd w:val="clear" w:color="auto" w:fill="auto"/>
            <w:vAlign w:val="bottom"/>
          </w:tcPr>
          <w:p w14:paraId="3ABFB29A" w14:textId="77777777" w:rsidR="00094B74" w:rsidRPr="00B004EE" w:rsidRDefault="00094B74" w:rsidP="00B004EE">
            <w:pPr>
              <w:rPr>
                <w:rFonts w:ascii="Tahoma" w:hAnsi="Tahoma" w:cs="Tahoma"/>
                <w:sz w:val="20"/>
                <w:szCs w:val="20"/>
              </w:rPr>
            </w:pPr>
            <w:r w:rsidRPr="00B004EE">
              <w:rPr>
                <w:rFonts w:ascii="Tahoma" w:hAnsi="Tahoma" w:cs="Tahoma"/>
                <w:sz w:val="20"/>
                <w:szCs w:val="20"/>
              </w:rPr>
              <w:t>Encadrement</w:t>
            </w:r>
          </w:p>
        </w:tc>
        <w:tc>
          <w:tcPr>
            <w:tcW w:w="2353" w:type="dxa"/>
            <w:shd w:val="clear" w:color="auto" w:fill="auto"/>
            <w:vAlign w:val="bottom"/>
          </w:tcPr>
          <w:p w14:paraId="673397B5" w14:textId="77777777" w:rsidR="00094B74" w:rsidRPr="00B004EE" w:rsidRDefault="00094B74" w:rsidP="00B004EE">
            <w:pPr>
              <w:rPr>
                <w:rFonts w:ascii="Tahoma" w:hAnsi="Tahoma" w:cs="Tahoma"/>
                <w:sz w:val="20"/>
                <w:szCs w:val="20"/>
              </w:rPr>
            </w:pPr>
            <w:r w:rsidRPr="00B004EE">
              <w:rPr>
                <w:rFonts w:ascii="Tahoma" w:hAnsi="Tahoma" w:cs="Tahoma"/>
                <w:sz w:val="20"/>
                <w:szCs w:val="20"/>
              </w:rPr>
              <w:t>à la demande</w:t>
            </w:r>
          </w:p>
        </w:tc>
      </w:tr>
      <w:tr w:rsidR="00887123" w:rsidRPr="00B004EE" w14:paraId="5284416D" w14:textId="77777777" w:rsidTr="00887123">
        <w:trPr>
          <w:jc w:val="center"/>
        </w:trPr>
        <w:tc>
          <w:tcPr>
            <w:tcW w:w="7511" w:type="dxa"/>
            <w:shd w:val="clear" w:color="auto" w:fill="auto"/>
            <w:vAlign w:val="bottom"/>
          </w:tcPr>
          <w:p w14:paraId="3216B4CD" w14:textId="77777777" w:rsidR="00094B74" w:rsidRPr="00B004EE" w:rsidRDefault="00094B74" w:rsidP="00B004EE">
            <w:pPr>
              <w:rPr>
                <w:rFonts w:ascii="Tahoma" w:hAnsi="Tahoma" w:cs="Tahoma"/>
                <w:sz w:val="20"/>
                <w:szCs w:val="20"/>
              </w:rPr>
            </w:pPr>
            <w:r w:rsidRPr="00B004EE">
              <w:rPr>
                <w:rFonts w:ascii="Tahoma" w:hAnsi="Tahoma" w:cs="Tahoma"/>
                <w:sz w:val="20"/>
                <w:szCs w:val="20"/>
              </w:rPr>
              <w:t>Documents technique et étude</w:t>
            </w:r>
          </w:p>
        </w:tc>
        <w:tc>
          <w:tcPr>
            <w:tcW w:w="2353" w:type="dxa"/>
            <w:shd w:val="clear" w:color="auto" w:fill="auto"/>
            <w:vAlign w:val="bottom"/>
          </w:tcPr>
          <w:p w14:paraId="2C22EA53" w14:textId="77777777" w:rsidR="00094B74" w:rsidRPr="00B004EE" w:rsidRDefault="00094B74" w:rsidP="00B004EE">
            <w:pPr>
              <w:rPr>
                <w:rFonts w:ascii="Tahoma" w:hAnsi="Tahoma" w:cs="Tahoma"/>
                <w:sz w:val="20"/>
                <w:szCs w:val="20"/>
              </w:rPr>
            </w:pPr>
            <w:r w:rsidRPr="00B004EE">
              <w:rPr>
                <w:rFonts w:ascii="Tahoma" w:hAnsi="Tahoma" w:cs="Tahoma"/>
                <w:sz w:val="20"/>
                <w:szCs w:val="20"/>
              </w:rPr>
              <w:t>à la demande</w:t>
            </w:r>
          </w:p>
        </w:tc>
      </w:tr>
    </w:tbl>
    <w:p w14:paraId="36CED32E" w14:textId="77777777" w:rsidR="00094B74" w:rsidRPr="00B004EE" w:rsidRDefault="00094B74" w:rsidP="00B004EE">
      <w:pPr>
        <w:rPr>
          <w:rFonts w:ascii="Tahoma" w:hAnsi="Tahoma" w:cs="Tahoma"/>
          <w:b/>
          <w:bCs/>
          <w:sz w:val="20"/>
          <w:szCs w:val="20"/>
        </w:rPr>
      </w:pPr>
    </w:p>
    <w:p w14:paraId="77449ABC" w14:textId="77777777" w:rsidR="00094B74" w:rsidRPr="00B004EE" w:rsidRDefault="00094B74" w:rsidP="00B004EE">
      <w:pPr>
        <w:rPr>
          <w:rFonts w:ascii="Tahoma" w:hAnsi="Tahoma" w:cs="Tahoma"/>
          <w:sz w:val="20"/>
          <w:szCs w:val="20"/>
        </w:rPr>
      </w:pPr>
    </w:p>
    <w:p w14:paraId="09B7C75D" w14:textId="77777777" w:rsidR="00920598" w:rsidRPr="00B004EE" w:rsidRDefault="00920598" w:rsidP="00B004EE">
      <w:pPr>
        <w:rPr>
          <w:rFonts w:ascii="Tahoma" w:hAnsi="Tahoma" w:cs="Tahoma"/>
          <w:sz w:val="20"/>
          <w:szCs w:val="20"/>
        </w:rPr>
      </w:pPr>
    </w:p>
    <w:p w14:paraId="79E819EF" w14:textId="77777777" w:rsidR="00920598" w:rsidRPr="00B004EE" w:rsidRDefault="00920598" w:rsidP="00B004EE">
      <w:pPr>
        <w:rPr>
          <w:rFonts w:ascii="Tahoma" w:hAnsi="Tahoma" w:cs="Tahoma"/>
          <w:sz w:val="20"/>
          <w:szCs w:val="20"/>
        </w:rPr>
        <w:sectPr w:rsidR="00920598" w:rsidRPr="00B004EE" w:rsidSect="00204FB2">
          <w:pgSz w:w="12240" w:h="15840" w:code="1"/>
          <w:pgMar w:top="1417" w:right="1417" w:bottom="1417" w:left="1417" w:header="709" w:footer="709" w:gutter="0"/>
          <w:cols w:space="708"/>
          <w:docGrid w:linePitch="360"/>
        </w:sectPr>
      </w:pPr>
    </w:p>
    <w:p w14:paraId="05FDF9D9" w14:textId="7CBC9CF0" w:rsidR="002F24E1" w:rsidRPr="00576B08" w:rsidRDefault="002F24E1" w:rsidP="00B004EE">
      <w:pPr>
        <w:pStyle w:val="Titre1"/>
        <w:pBdr>
          <w:top w:val="thinThickMediumGap" w:sz="24" w:space="1" w:color="70AD47" w:themeColor="accent6"/>
          <w:left w:val="thinThickMediumGap" w:sz="24" w:space="4" w:color="70AD47" w:themeColor="accent6"/>
          <w:bottom w:val="thickThinMediumGap" w:sz="24" w:space="1" w:color="70AD47" w:themeColor="accent6"/>
          <w:right w:val="thickThinMediumGap" w:sz="24" w:space="4" w:color="70AD47" w:themeColor="accent6"/>
        </w:pBdr>
        <w:jc w:val="both"/>
        <w:rPr>
          <w:rFonts w:ascii="Tahoma" w:hAnsi="Tahoma" w:cs="Tahoma"/>
          <w:szCs w:val="22"/>
        </w:rPr>
      </w:pPr>
      <w:bookmarkStart w:id="206" w:name="_Toc202214693"/>
      <w:r w:rsidRPr="00576B08">
        <w:rPr>
          <w:rFonts w:ascii="Tahoma" w:hAnsi="Tahoma" w:cs="Tahoma"/>
          <w:szCs w:val="22"/>
        </w:rPr>
        <w:lastRenderedPageBreak/>
        <w:t>Arr</w:t>
      </w:r>
      <w:r w:rsidR="00204FB2" w:rsidRPr="00576B08">
        <w:rPr>
          <w:rFonts w:ascii="Tahoma" w:hAnsi="Tahoma" w:cs="Tahoma"/>
          <w:szCs w:val="22"/>
        </w:rPr>
        <w:t>êté</w:t>
      </w:r>
      <w:r w:rsidR="00DB1635" w:rsidRPr="00576B08">
        <w:rPr>
          <w:rFonts w:ascii="Tahoma" w:hAnsi="Tahoma" w:cs="Tahoma"/>
          <w:szCs w:val="22"/>
        </w:rPr>
        <w:t xml:space="preserve"> </w:t>
      </w:r>
      <w:r w:rsidRPr="00576B08">
        <w:rPr>
          <w:rFonts w:ascii="Tahoma" w:hAnsi="Tahoma" w:cs="Tahoma"/>
          <w:szCs w:val="22"/>
        </w:rPr>
        <w:t>n°</w:t>
      </w:r>
      <w:r w:rsidR="00DB1635" w:rsidRPr="00576B08">
        <w:rPr>
          <w:rFonts w:ascii="Tahoma" w:hAnsi="Tahoma" w:cs="Tahoma"/>
          <w:szCs w:val="22"/>
        </w:rPr>
        <w:t xml:space="preserve"> </w:t>
      </w:r>
      <w:r w:rsidRPr="00576B08">
        <w:rPr>
          <w:rFonts w:ascii="Tahoma" w:hAnsi="Tahoma" w:cs="Tahoma"/>
          <w:szCs w:val="22"/>
        </w:rPr>
        <w:t>0913</w:t>
      </w:r>
      <w:r w:rsidR="00DB1635" w:rsidRPr="00576B08">
        <w:rPr>
          <w:rFonts w:ascii="Tahoma" w:hAnsi="Tahoma" w:cs="Tahoma"/>
          <w:szCs w:val="22"/>
        </w:rPr>
        <w:t xml:space="preserve"> </w:t>
      </w:r>
      <w:r w:rsidR="00576B08" w:rsidRPr="00576B08">
        <w:rPr>
          <w:rFonts w:ascii="Tahoma" w:hAnsi="Tahoma" w:cs="Tahoma"/>
          <w:szCs w:val="22"/>
        </w:rPr>
        <w:t xml:space="preserve">du </w:t>
      </w:r>
      <w:r w:rsidR="00576B08" w:rsidRPr="00576B08">
        <w:rPr>
          <w:rFonts w:ascii="Tahoma" w:hAnsi="Tahoma" w:cs="Tahoma"/>
          <w:szCs w:val="22"/>
        </w:rPr>
        <w:t>27 décembre 2018</w:t>
      </w:r>
      <w:r w:rsidR="00576B08" w:rsidRPr="00576B08">
        <w:rPr>
          <w:rFonts w:ascii="Tahoma" w:hAnsi="Tahoma" w:cs="Tahoma"/>
          <w:szCs w:val="22"/>
        </w:rPr>
        <w:t xml:space="preserve">, </w:t>
      </w:r>
      <w:r w:rsidRPr="00576B08">
        <w:rPr>
          <w:rFonts w:ascii="Tahoma" w:hAnsi="Tahoma" w:cs="Tahoma"/>
          <w:szCs w:val="22"/>
        </w:rPr>
        <w:t>portant</w:t>
      </w:r>
      <w:r w:rsidR="00DB1635" w:rsidRPr="00576B08">
        <w:rPr>
          <w:rFonts w:ascii="Tahoma" w:hAnsi="Tahoma" w:cs="Tahoma"/>
          <w:szCs w:val="22"/>
        </w:rPr>
        <w:t xml:space="preserve"> </w:t>
      </w:r>
      <w:r w:rsidRPr="00576B08">
        <w:rPr>
          <w:rFonts w:ascii="Tahoma" w:hAnsi="Tahoma" w:cs="Tahoma"/>
          <w:szCs w:val="22"/>
        </w:rPr>
        <w:t>modification</w:t>
      </w:r>
      <w:r w:rsidR="00DB1635" w:rsidRPr="00576B08">
        <w:rPr>
          <w:rFonts w:ascii="Tahoma" w:hAnsi="Tahoma" w:cs="Tahoma"/>
          <w:szCs w:val="22"/>
        </w:rPr>
        <w:t xml:space="preserve"> </w:t>
      </w:r>
      <w:r w:rsidRPr="00576B08">
        <w:rPr>
          <w:rFonts w:ascii="Tahoma" w:hAnsi="Tahoma" w:cs="Tahoma"/>
          <w:szCs w:val="22"/>
        </w:rPr>
        <w:t>de</w:t>
      </w:r>
      <w:r w:rsidR="00DB1635" w:rsidRPr="00576B08">
        <w:rPr>
          <w:rFonts w:ascii="Tahoma" w:hAnsi="Tahoma" w:cs="Tahoma"/>
          <w:szCs w:val="22"/>
        </w:rPr>
        <w:t xml:space="preserve"> </w:t>
      </w:r>
      <w:r w:rsidRPr="00576B08">
        <w:rPr>
          <w:rFonts w:ascii="Tahoma" w:hAnsi="Tahoma" w:cs="Tahoma"/>
          <w:szCs w:val="22"/>
        </w:rPr>
        <w:t>certaines</w:t>
      </w:r>
      <w:r w:rsidR="00DB1635" w:rsidRPr="00576B08">
        <w:rPr>
          <w:rFonts w:ascii="Tahoma" w:hAnsi="Tahoma" w:cs="Tahoma"/>
          <w:szCs w:val="22"/>
        </w:rPr>
        <w:t xml:space="preserve"> </w:t>
      </w:r>
      <w:r w:rsidRPr="00576B08">
        <w:rPr>
          <w:rFonts w:ascii="Tahoma" w:hAnsi="Tahoma" w:cs="Tahoma"/>
          <w:szCs w:val="22"/>
        </w:rPr>
        <w:t>dispositions</w:t>
      </w:r>
      <w:r w:rsidR="00DB1635" w:rsidRPr="00576B08">
        <w:rPr>
          <w:rFonts w:ascii="Tahoma" w:hAnsi="Tahoma" w:cs="Tahoma"/>
          <w:szCs w:val="22"/>
        </w:rPr>
        <w:t xml:space="preserve"> </w:t>
      </w:r>
      <w:r w:rsidRPr="00576B08">
        <w:rPr>
          <w:rFonts w:ascii="Tahoma" w:hAnsi="Tahoma" w:cs="Tahoma"/>
          <w:szCs w:val="22"/>
        </w:rPr>
        <w:t>de</w:t>
      </w:r>
      <w:r w:rsidR="00DB1635" w:rsidRPr="00576B08">
        <w:rPr>
          <w:rFonts w:ascii="Tahoma" w:hAnsi="Tahoma" w:cs="Tahoma"/>
          <w:szCs w:val="22"/>
        </w:rPr>
        <w:t xml:space="preserve"> </w:t>
      </w:r>
      <w:r w:rsidRPr="00576B08">
        <w:rPr>
          <w:rFonts w:ascii="Tahoma" w:hAnsi="Tahoma" w:cs="Tahoma"/>
          <w:szCs w:val="22"/>
        </w:rPr>
        <w:t>l’arrêté</w:t>
      </w:r>
      <w:r w:rsidR="00DB1635" w:rsidRPr="00576B08">
        <w:rPr>
          <w:rFonts w:ascii="Tahoma" w:hAnsi="Tahoma" w:cs="Tahoma"/>
          <w:szCs w:val="22"/>
        </w:rPr>
        <w:t xml:space="preserve"> </w:t>
      </w:r>
      <w:r w:rsidRPr="00576B08">
        <w:rPr>
          <w:rFonts w:ascii="Tahoma" w:hAnsi="Tahoma" w:cs="Tahoma"/>
          <w:szCs w:val="22"/>
        </w:rPr>
        <w:t>n°</w:t>
      </w:r>
      <w:r w:rsidR="00DB1635" w:rsidRPr="00576B08">
        <w:rPr>
          <w:rFonts w:ascii="Tahoma" w:hAnsi="Tahoma" w:cs="Tahoma"/>
          <w:szCs w:val="22"/>
        </w:rPr>
        <w:t xml:space="preserve"> </w:t>
      </w:r>
      <w:r w:rsidRPr="00576B08">
        <w:rPr>
          <w:rFonts w:ascii="Tahoma" w:hAnsi="Tahoma" w:cs="Tahoma"/>
          <w:szCs w:val="22"/>
        </w:rPr>
        <w:t>2466</w:t>
      </w:r>
      <w:r w:rsidR="00DB1635" w:rsidRPr="00576B08">
        <w:rPr>
          <w:rFonts w:ascii="Tahoma" w:hAnsi="Tahoma" w:cs="Tahoma"/>
          <w:szCs w:val="22"/>
        </w:rPr>
        <w:t xml:space="preserve"> </w:t>
      </w:r>
      <w:r w:rsidRPr="00576B08">
        <w:rPr>
          <w:rFonts w:ascii="Tahoma" w:hAnsi="Tahoma" w:cs="Tahoma"/>
          <w:szCs w:val="22"/>
        </w:rPr>
        <w:t>du</w:t>
      </w:r>
      <w:r w:rsidR="00DB1635" w:rsidRPr="00576B08">
        <w:rPr>
          <w:rFonts w:ascii="Tahoma" w:hAnsi="Tahoma" w:cs="Tahoma"/>
          <w:szCs w:val="22"/>
        </w:rPr>
        <w:t xml:space="preserve"> </w:t>
      </w:r>
      <w:r w:rsidRPr="00576B08">
        <w:rPr>
          <w:rFonts w:ascii="Tahoma" w:hAnsi="Tahoma" w:cs="Tahoma"/>
          <w:szCs w:val="22"/>
        </w:rPr>
        <w:t>28</w:t>
      </w:r>
      <w:r w:rsidR="00DB1635" w:rsidRPr="00576B08">
        <w:rPr>
          <w:rFonts w:ascii="Tahoma" w:hAnsi="Tahoma" w:cs="Tahoma"/>
          <w:szCs w:val="22"/>
        </w:rPr>
        <w:t xml:space="preserve"> </w:t>
      </w:r>
      <w:r w:rsidRPr="00576B08">
        <w:rPr>
          <w:rFonts w:ascii="Tahoma" w:hAnsi="Tahoma" w:cs="Tahoma"/>
          <w:szCs w:val="22"/>
        </w:rPr>
        <w:t>octobre</w:t>
      </w:r>
      <w:r w:rsidR="00DB1635" w:rsidRPr="00576B08">
        <w:rPr>
          <w:rFonts w:ascii="Tahoma" w:hAnsi="Tahoma" w:cs="Tahoma"/>
          <w:szCs w:val="22"/>
        </w:rPr>
        <w:t xml:space="preserve"> </w:t>
      </w:r>
      <w:r w:rsidRPr="00576B08">
        <w:rPr>
          <w:rFonts w:ascii="Tahoma" w:hAnsi="Tahoma" w:cs="Tahoma"/>
          <w:szCs w:val="22"/>
        </w:rPr>
        <w:t>2010</w:t>
      </w:r>
      <w:r w:rsidR="00DB1635" w:rsidRPr="00576B08">
        <w:rPr>
          <w:rFonts w:ascii="Tahoma" w:hAnsi="Tahoma" w:cs="Tahoma"/>
          <w:szCs w:val="22"/>
        </w:rPr>
        <w:t xml:space="preserve"> </w:t>
      </w:r>
      <w:r w:rsidRPr="00576B08">
        <w:rPr>
          <w:rFonts w:ascii="Tahoma" w:hAnsi="Tahoma" w:cs="Tahoma"/>
          <w:szCs w:val="22"/>
        </w:rPr>
        <w:t>portant</w:t>
      </w:r>
      <w:r w:rsidR="00DB1635" w:rsidRPr="00576B08">
        <w:rPr>
          <w:rFonts w:ascii="Tahoma" w:hAnsi="Tahoma" w:cs="Tahoma"/>
          <w:szCs w:val="22"/>
        </w:rPr>
        <w:t xml:space="preserve"> </w:t>
      </w:r>
      <w:r w:rsidRPr="00576B08">
        <w:rPr>
          <w:rFonts w:ascii="Tahoma" w:hAnsi="Tahoma" w:cs="Tahoma"/>
          <w:szCs w:val="22"/>
        </w:rPr>
        <w:t>classement</w:t>
      </w:r>
      <w:r w:rsidR="00DB1635" w:rsidRPr="00576B08">
        <w:rPr>
          <w:rFonts w:ascii="Tahoma" w:hAnsi="Tahoma" w:cs="Tahoma"/>
          <w:szCs w:val="22"/>
        </w:rPr>
        <w:t xml:space="preserve"> </w:t>
      </w:r>
      <w:r w:rsidRPr="00576B08">
        <w:rPr>
          <w:rFonts w:ascii="Tahoma" w:hAnsi="Tahoma" w:cs="Tahoma"/>
          <w:szCs w:val="22"/>
        </w:rPr>
        <w:t>de</w:t>
      </w:r>
      <w:r w:rsidR="00DB1635" w:rsidRPr="00576B08">
        <w:rPr>
          <w:rFonts w:ascii="Tahoma" w:hAnsi="Tahoma" w:cs="Tahoma"/>
          <w:szCs w:val="22"/>
        </w:rPr>
        <w:t xml:space="preserve"> </w:t>
      </w:r>
      <w:r w:rsidRPr="00576B08">
        <w:rPr>
          <w:rFonts w:ascii="Tahoma" w:hAnsi="Tahoma" w:cs="Tahoma"/>
          <w:szCs w:val="22"/>
        </w:rPr>
        <w:t>salubrité</w:t>
      </w:r>
      <w:r w:rsidR="00DB1635" w:rsidRPr="00576B08">
        <w:rPr>
          <w:rFonts w:ascii="Tahoma" w:hAnsi="Tahoma" w:cs="Tahoma"/>
          <w:szCs w:val="22"/>
        </w:rPr>
        <w:t xml:space="preserve"> </w:t>
      </w:r>
      <w:r w:rsidRPr="00576B08">
        <w:rPr>
          <w:rFonts w:ascii="Tahoma" w:hAnsi="Tahoma" w:cs="Tahoma"/>
          <w:szCs w:val="22"/>
        </w:rPr>
        <w:t>des</w:t>
      </w:r>
      <w:r w:rsidR="00DB1635" w:rsidRPr="00576B08">
        <w:rPr>
          <w:rFonts w:ascii="Tahoma" w:hAnsi="Tahoma" w:cs="Tahoma"/>
          <w:szCs w:val="22"/>
        </w:rPr>
        <w:t xml:space="preserve"> </w:t>
      </w:r>
      <w:r w:rsidRPr="00576B08">
        <w:rPr>
          <w:rFonts w:ascii="Tahoma" w:hAnsi="Tahoma" w:cs="Tahoma"/>
          <w:szCs w:val="22"/>
        </w:rPr>
        <w:t>zones</w:t>
      </w:r>
      <w:r w:rsidR="00DB1635" w:rsidRPr="00576B08">
        <w:rPr>
          <w:rFonts w:ascii="Tahoma" w:hAnsi="Tahoma" w:cs="Tahoma"/>
          <w:szCs w:val="22"/>
        </w:rPr>
        <w:t xml:space="preserve"> </w:t>
      </w:r>
      <w:r w:rsidRPr="00576B08">
        <w:rPr>
          <w:rFonts w:ascii="Tahoma" w:hAnsi="Tahoma" w:cs="Tahoma"/>
          <w:szCs w:val="22"/>
        </w:rPr>
        <w:t>de</w:t>
      </w:r>
      <w:r w:rsidR="00DB1635" w:rsidRPr="00576B08">
        <w:rPr>
          <w:rFonts w:ascii="Tahoma" w:hAnsi="Tahoma" w:cs="Tahoma"/>
          <w:szCs w:val="22"/>
        </w:rPr>
        <w:t xml:space="preserve"> </w:t>
      </w:r>
      <w:r w:rsidRPr="00576B08">
        <w:rPr>
          <w:rFonts w:ascii="Tahoma" w:hAnsi="Tahoma" w:cs="Tahoma"/>
          <w:szCs w:val="22"/>
        </w:rPr>
        <w:t>production</w:t>
      </w:r>
      <w:r w:rsidR="00DB1635" w:rsidRPr="00576B08">
        <w:rPr>
          <w:rFonts w:ascii="Tahoma" w:hAnsi="Tahoma" w:cs="Tahoma"/>
          <w:szCs w:val="22"/>
        </w:rPr>
        <w:t xml:space="preserve"> </w:t>
      </w:r>
      <w:r w:rsidRPr="00576B08">
        <w:rPr>
          <w:rFonts w:ascii="Tahoma" w:hAnsi="Tahoma" w:cs="Tahoma"/>
          <w:szCs w:val="22"/>
        </w:rPr>
        <w:t>de</w:t>
      </w:r>
      <w:r w:rsidR="00DB1635" w:rsidRPr="00576B08">
        <w:rPr>
          <w:rFonts w:ascii="Tahoma" w:hAnsi="Tahoma" w:cs="Tahoma"/>
          <w:szCs w:val="22"/>
        </w:rPr>
        <w:t xml:space="preserve"> </w:t>
      </w:r>
      <w:r w:rsidRPr="00576B08">
        <w:rPr>
          <w:rFonts w:ascii="Tahoma" w:hAnsi="Tahoma" w:cs="Tahoma"/>
          <w:szCs w:val="22"/>
        </w:rPr>
        <w:t>coquillage</w:t>
      </w:r>
      <w:r w:rsidR="0019717B" w:rsidRPr="00576B08">
        <w:rPr>
          <w:rFonts w:ascii="Tahoma" w:hAnsi="Tahoma" w:cs="Tahoma"/>
          <w:szCs w:val="22"/>
        </w:rPr>
        <w:t>s</w:t>
      </w:r>
      <w:r w:rsidR="00DB1635" w:rsidRPr="00576B08">
        <w:rPr>
          <w:rFonts w:ascii="Tahoma" w:hAnsi="Tahoma" w:cs="Tahoma"/>
          <w:szCs w:val="22"/>
        </w:rPr>
        <w:t xml:space="preserve"> </w:t>
      </w:r>
      <w:r w:rsidRPr="00576B08">
        <w:rPr>
          <w:rFonts w:ascii="Tahoma" w:hAnsi="Tahoma" w:cs="Tahoma"/>
          <w:szCs w:val="22"/>
        </w:rPr>
        <w:t>de</w:t>
      </w:r>
      <w:r w:rsidR="00DB1635" w:rsidRPr="00576B08">
        <w:rPr>
          <w:rFonts w:ascii="Tahoma" w:hAnsi="Tahoma" w:cs="Tahoma"/>
          <w:szCs w:val="22"/>
        </w:rPr>
        <w:t xml:space="preserve"> </w:t>
      </w:r>
      <w:r w:rsidRPr="00576B08">
        <w:rPr>
          <w:rFonts w:ascii="Tahoma" w:hAnsi="Tahoma" w:cs="Tahoma"/>
          <w:szCs w:val="22"/>
        </w:rPr>
        <w:t>Dakhlet</w:t>
      </w:r>
      <w:r w:rsidR="00DB1635" w:rsidRPr="00576B08">
        <w:rPr>
          <w:rFonts w:ascii="Tahoma" w:hAnsi="Tahoma" w:cs="Tahoma"/>
          <w:szCs w:val="22"/>
        </w:rPr>
        <w:t xml:space="preserve"> </w:t>
      </w:r>
      <w:r w:rsidRPr="00576B08">
        <w:rPr>
          <w:rFonts w:ascii="Tahoma" w:hAnsi="Tahoma" w:cs="Tahoma"/>
          <w:szCs w:val="22"/>
        </w:rPr>
        <w:t>Nouadhibou</w:t>
      </w:r>
      <w:bookmarkEnd w:id="202"/>
      <w:bookmarkEnd w:id="203"/>
      <w:bookmarkEnd w:id="206"/>
    </w:p>
    <w:p w14:paraId="7B66B1CD" w14:textId="77777777" w:rsidR="002F24E1" w:rsidRPr="00B004EE" w:rsidRDefault="002F24E1" w:rsidP="00B004EE">
      <w:pPr>
        <w:ind w:left="4500" w:hanging="360"/>
        <w:jc w:val="both"/>
        <w:rPr>
          <w:rFonts w:ascii="Tahoma" w:hAnsi="Tahoma" w:cs="Tahoma"/>
          <w:sz w:val="20"/>
          <w:szCs w:val="20"/>
        </w:rPr>
      </w:pPr>
    </w:p>
    <w:p w14:paraId="2DBFF99D" w14:textId="2C1E1E4B" w:rsidR="002F24E1" w:rsidRPr="00B004EE" w:rsidRDefault="002F24E1" w:rsidP="00B004EE">
      <w:pPr>
        <w:jc w:val="both"/>
        <w:rPr>
          <w:rFonts w:ascii="Tahoma" w:hAnsi="Tahoma" w:cs="Tahoma"/>
          <w:sz w:val="20"/>
          <w:szCs w:val="20"/>
        </w:rPr>
      </w:pPr>
      <w:r w:rsidRPr="00B004EE">
        <w:rPr>
          <w:rFonts w:ascii="Tahoma" w:hAnsi="Tahoma" w:cs="Tahoma"/>
          <w:b/>
          <w:bCs/>
          <w:sz w:val="20"/>
          <w:szCs w:val="20"/>
          <w:u w:val="single"/>
        </w:rPr>
        <w:t>Article</w:t>
      </w:r>
      <w:r w:rsidR="00DB1635" w:rsidRPr="00B004EE">
        <w:rPr>
          <w:rFonts w:ascii="Tahoma" w:hAnsi="Tahoma" w:cs="Tahoma"/>
          <w:b/>
          <w:bCs/>
          <w:sz w:val="20"/>
          <w:szCs w:val="20"/>
          <w:u w:val="single"/>
        </w:rPr>
        <w:t xml:space="preserve"> </w:t>
      </w:r>
      <w:r w:rsidRPr="00B004EE">
        <w:rPr>
          <w:rFonts w:ascii="Tahoma" w:hAnsi="Tahoma" w:cs="Tahoma"/>
          <w:b/>
          <w:bCs/>
          <w:sz w:val="20"/>
          <w:szCs w:val="20"/>
          <w:u w:val="single"/>
        </w:rPr>
        <w:t>Premier</w:t>
      </w:r>
      <w:r w:rsidR="00DB1635" w:rsidRPr="00B004EE">
        <w:rPr>
          <w:rFonts w:ascii="Tahoma" w:hAnsi="Tahoma" w:cs="Tahoma"/>
          <w:b/>
          <w:bCs/>
          <w:sz w:val="20"/>
          <w:szCs w:val="20"/>
        </w:rPr>
        <w:t xml:space="preserve"> </w:t>
      </w:r>
      <w:r w:rsidRPr="00B004EE">
        <w:rPr>
          <w:rFonts w:ascii="Tahoma" w:hAnsi="Tahoma" w:cs="Tahoma"/>
          <w:b/>
          <w:bCs/>
          <w:sz w:val="20"/>
          <w:szCs w:val="20"/>
        </w:rPr>
        <w: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dispositions</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articles</w:t>
      </w:r>
      <w:r w:rsidR="00DB1635" w:rsidRPr="00B004EE">
        <w:rPr>
          <w:rFonts w:ascii="Tahoma" w:hAnsi="Tahoma" w:cs="Tahoma"/>
          <w:sz w:val="20"/>
          <w:szCs w:val="20"/>
        </w:rPr>
        <w:t xml:space="preserve"> </w:t>
      </w:r>
      <w:r w:rsidRPr="00B004EE">
        <w:rPr>
          <w:rFonts w:ascii="Tahoma" w:hAnsi="Tahoma" w:cs="Tahoma"/>
          <w:sz w:val="20"/>
          <w:szCs w:val="20"/>
        </w:rPr>
        <w:t>1,3,</w:t>
      </w:r>
      <w:r w:rsidR="00DB1635" w:rsidRPr="00B004EE">
        <w:rPr>
          <w:rFonts w:ascii="Tahoma" w:hAnsi="Tahoma" w:cs="Tahoma"/>
          <w:sz w:val="20"/>
          <w:szCs w:val="20"/>
        </w:rPr>
        <w:t xml:space="preserve"> </w:t>
      </w:r>
      <w:r w:rsidRPr="00B004EE">
        <w:rPr>
          <w:rFonts w:ascii="Tahoma" w:hAnsi="Tahoma" w:cs="Tahoma"/>
          <w:sz w:val="20"/>
          <w:szCs w:val="20"/>
        </w:rPr>
        <w:t>4</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7</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l’arrêté</w:t>
      </w:r>
      <w:r w:rsidR="00DB1635" w:rsidRPr="00B004EE">
        <w:rPr>
          <w:rFonts w:ascii="Tahoma" w:hAnsi="Tahoma" w:cs="Tahoma"/>
          <w:sz w:val="20"/>
          <w:szCs w:val="20"/>
        </w:rPr>
        <w:t xml:space="preserve"> </w:t>
      </w:r>
      <w:r w:rsidRPr="00B004EE">
        <w:rPr>
          <w:rFonts w:ascii="Tahoma" w:hAnsi="Tahoma" w:cs="Tahoma"/>
          <w:sz w:val="20"/>
          <w:szCs w:val="20"/>
        </w:rPr>
        <w:t>n°</w:t>
      </w:r>
      <w:r w:rsidR="00DB1635" w:rsidRPr="00B004EE">
        <w:rPr>
          <w:rFonts w:ascii="Tahoma" w:hAnsi="Tahoma" w:cs="Tahoma"/>
          <w:sz w:val="20"/>
          <w:szCs w:val="20"/>
        </w:rPr>
        <w:t xml:space="preserve"> </w:t>
      </w:r>
      <w:r w:rsidRPr="00B004EE">
        <w:rPr>
          <w:rFonts w:ascii="Tahoma" w:hAnsi="Tahoma" w:cs="Tahoma"/>
          <w:sz w:val="20"/>
          <w:szCs w:val="20"/>
        </w:rPr>
        <w:t>2466/</w:t>
      </w:r>
      <w:r w:rsidR="00DB1635" w:rsidRPr="00B004EE">
        <w:rPr>
          <w:rFonts w:ascii="Tahoma" w:hAnsi="Tahoma" w:cs="Tahoma"/>
          <w:sz w:val="20"/>
          <w:szCs w:val="20"/>
        </w:rPr>
        <w:t xml:space="preserve"> </w:t>
      </w:r>
      <w:r w:rsidRPr="00B004EE">
        <w:rPr>
          <w:rFonts w:ascii="Tahoma" w:hAnsi="Tahoma" w:cs="Tahoma"/>
          <w:sz w:val="20"/>
          <w:szCs w:val="20"/>
        </w:rPr>
        <w:t>MPEM</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28</w:t>
      </w:r>
      <w:r w:rsidR="00DB1635" w:rsidRPr="00B004EE">
        <w:rPr>
          <w:rFonts w:ascii="Tahoma" w:hAnsi="Tahoma" w:cs="Tahoma"/>
          <w:sz w:val="20"/>
          <w:szCs w:val="20"/>
        </w:rPr>
        <w:t xml:space="preserve"> </w:t>
      </w:r>
      <w:r w:rsidRPr="00B004EE">
        <w:rPr>
          <w:rFonts w:ascii="Tahoma" w:hAnsi="Tahoma" w:cs="Tahoma"/>
          <w:sz w:val="20"/>
          <w:szCs w:val="20"/>
        </w:rPr>
        <w:t>octobre</w:t>
      </w:r>
      <w:r w:rsidR="00DB1635" w:rsidRPr="00B004EE">
        <w:rPr>
          <w:rFonts w:ascii="Tahoma" w:hAnsi="Tahoma" w:cs="Tahoma"/>
          <w:sz w:val="20"/>
          <w:szCs w:val="20"/>
        </w:rPr>
        <w:t xml:space="preserve"> </w:t>
      </w:r>
      <w:r w:rsidRPr="00B004EE">
        <w:rPr>
          <w:rFonts w:ascii="Tahoma" w:hAnsi="Tahoma" w:cs="Tahoma"/>
          <w:sz w:val="20"/>
          <w:szCs w:val="20"/>
        </w:rPr>
        <w:t>2010</w:t>
      </w:r>
      <w:r w:rsidR="00DB1635" w:rsidRPr="00B004EE">
        <w:rPr>
          <w:rFonts w:ascii="Tahoma" w:hAnsi="Tahoma" w:cs="Tahoma"/>
          <w:sz w:val="20"/>
          <w:szCs w:val="20"/>
        </w:rPr>
        <w:t xml:space="preserve"> </w:t>
      </w:r>
      <w:r w:rsidRPr="00B004EE">
        <w:rPr>
          <w:rFonts w:ascii="Tahoma" w:hAnsi="Tahoma" w:cs="Tahoma"/>
          <w:sz w:val="20"/>
          <w:szCs w:val="20"/>
        </w:rPr>
        <w:t>portant</w:t>
      </w:r>
      <w:r w:rsidR="00DB1635" w:rsidRPr="00B004EE">
        <w:rPr>
          <w:rFonts w:ascii="Tahoma" w:hAnsi="Tahoma" w:cs="Tahoma"/>
          <w:sz w:val="20"/>
          <w:szCs w:val="20"/>
        </w:rPr>
        <w:t xml:space="preserve"> </w:t>
      </w:r>
      <w:r w:rsidRPr="00B004EE">
        <w:rPr>
          <w:rFonts w:ascii="Tahoma" w:hAnsi="Tahoma" w:cs="Tahoma"/>
          <w:sz w:val="20"/>
          <w:szCs w:val="20"/>
        </w:rPr>
        <w:t>classement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salubrité</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zones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production</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coquillage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Dakhlet</w:t>
      </w:r>
      <w:r w:rsidR="00DB1635" w:rsidRPr="00B004EE">
        <w:rPr>
          <w:rFonts w:ascii="Tahoma" w:hAnsi="Tahoma" w:cs="Tahoma"/>
          <w:sz w:val="20"/>
          <w:szCs w:val="20"/>
        </w:rPr>
        <w:t xml:space="preserve"> </w:t>
      </w:r>
      <w:r w:rsidRPr="00B004EE">
        <w:rPr>
          <w:rFonts w:ascii="Tahoma" w:hAnsi="Tahoma" w:cs="Tahoma"/>
          <w:sz w:val="20"/>
          <w:szCs w:val="20"/>
        </w:rPr>
        <w:t>Nouadhibou,</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modifiées</w:t>
      </w:r>
      <w:r w:rsidR="00DB1635" w:rsidRPr="00B004EE">
        <w:rPr>
          <w:rFonts w:ascii="Tahoma" w:hAnsi="Tahoma" w:cs="Tahoma"/>
          <w:sz w:val="20"/>
          <w:szCs w:val="20"/>
        </w:rPr>
        <w:t xml:space="preserve"> </w:t>
      </w:r>
      <w:r w:rsidRPr="00B004EE">
        <w:rPr>
          <w:rFonts w:ascii="Tahoma" w:hAnsi="Tahoma" w:cs="Tahoma"/>
          <w:sz w:val="20"/>
          <w:szCs w:val="20"/>
        </w:rPr>
        <w:t>ainsi</w:t>
      </w:r>
      <w:r w:rsidR="00DB1635" w:rsidRPr="00B004EE">
        <w:rPr>
          <w:rFonts w:ascii="Tahoma" w:hAnsi="Tahoma" w:cs="Tahoma"/>
          <w:sz w:val="20"/>
          <w:szCs w:val="20"/>
        </w:rPr>
        <w:t xml:space="preserve"> </w:t>
      </w:r>
      <w:r w:rsidRPr="00B004EE">
        <w:rPr>
          <w:rFonts w:ascii="Tahoma" w:hAnsi="Tahoma" w:cs="Tahoma"/>
          <w:sz w:val="20"/>
          <w:szCs w:val="20"/>
        </w:rPr>
        <w:t>qu’il</w:t>
      </w:r>
      <w:r w:rsidR="00DB1635" w:rsidRPr="00B004EE">
        <w:rPr>
          <w:rFonts w:ascii="Tahoma" w:hAnsi="Tahoma" w:cs="Tahoma"/>
          <w:sz w:val="20"/>
          <w:szCs w:val="20"/>
        </w:rPr>
        <w:t xml:space="preserve"> </w:t>
      </w:r>
      <w:r w:rsidRPr="00B004EE">
        <w:rPr>
          <w:rFonts w:ascii="Tahoma" w:hAnsi="Tahoma" w:cs="Tahoma"/>
          <w:sz w:val="20"/>
          <w:szCs w:val="20"/>
        </w:rPr>
        <w:t>suit</w:t>
      </w:r>
      <w:r w:rsidR="00DB1635" w:rsidRPr="00B004EE">
        <w:rPr>
          <w:rFonts w:ascii="Tahoma" w:hAnsi="Tahoma" w:cs="Tahoma"/>
          <w:sz w:val="20"/>
          <w:szCs w:val="20"/>
        </w:rPr>
        <w:t xml:space="preserve"> </w:t>
      </w:r>
      <w:r w:rsidRPr="00B004EE">
        <w:rPr>
          <w:rFonts w:ascii="Tahoma" w:hAnsi="Tahoma" w:cs="Tahoma"/>
          <w:sz w:val="20"/>
          <w:szCs w:val="20"/>
        </w:rPr>
        <w:t>:</w:t>
      </w:r>
    </w:p>
    <w:p w14:paraId="38D7C47E" w14:textId="77777777" w:rsidR="002F24E1" w:rsidRPr="00B004EE" w:rsidRDefault="002F24E1" w:rsidP="00B004EE">
      <w:pPr>
        <w:jc w:val="both"/>
        <w:rPr>
          <w:rFonts w:ascii="Tahoma" w:hAnsi="Tahoma" w:cs="Tahoma"/>
          <w:sz w:val="20"/>
          <w:szCs w:val="20"/>
        </w:rPr>
      </w:pPr>
    </w:p>
    <w:p w14:paraId="4899E20D" w14:textId="1DC0484E" w:rsidR="002F24E1" w:rsidRPr="00B004EE" w:rsidRDefault="002F24E1" w:rsidP="00B004EE">
      <w:pPr>
        <w:jc w:val="both"/>
        <w:rPr>
          <w:rFonts w:ascii="Tahoma" w:hAnsi="Tahoma" w:cs="Tahoma"/>
          <w:sz w:val="20"/>
          <w:szCs w:val="20"/>
        </w:rPr>
      </w:pPr>
      <w:r w:rsidRPr="00B004EE">
        <w:rPr>
          <w:rFonts w:ascii="Tahoma" w:hAnsi="Tahoma" w:cs="Tahoma"/>
          <w:b/>
          <w:bCs/>
          <w:sz w:val="20"/>
          <w:szCs w:val="20"/>
          <w:u w:val="single"/>
        </w:rPr>
        <w:t>Article</w:t>
      </w:r>
      <w:r w:rsidR="00DB1635" w:rsidRPr="00B004EE">
        <w:rPr>
          <w:rFonts w:ascii="Tahoma" w:hAnsi="Tahoma" w:cs="Tahoma"/>
          <w:b/>
          <w:bCs/>
          <w:sz w:val="20"/>
          <w:szCs w:val="20"/>
          <w:u w:val="single"/>
        </w:rPr>
        <w:t xml:space="preserve"> </w:t>
      </w:r>
      <w:r w:rsidRPr="00B004EE">
        <w:rPr>
          <w:rFonts w:ascii="Tahoma" w:hAnsi="Tahoma" w:cs="Tahoma"/>
          <w:b/>
          <w:bCs/>
          <w:sz w:val="20"/>
          <w:szCs w:val="20"/>
          <w:u w:val="single"/>
        </w:rPr>
        <w:t>1</w:t>
      </w:r>
      <w:r w:rsidR="00DB1635" w:rsidRPr="00B004EE">
        <w:rPr>
          <w:rFonts w:ascii="Tahoma" w:hAnsi="Tahoma" w:cs="Tahoma"/>
          <w:b/>
          <w:bCs/>
          <w:sz w:val="20"/>
          <w:szCs w:val="20"/>
          <w:u w:val="single"/>
        </w:rPr>
        <w:t xml:space="preserve"> </w:t>
      </w:r>
      <w:r w:rsidRPr="00B004EE">
        <w:rPr>
          <w:rFonts w:ascii="Tahoma" w:hAnsi="Tahoma" w:cs="Tahoma"/>
          <w:b/>
          <w:bCs/>
          <w:sz w:val="20"/>
          <w:szCs w:val="20"/>
          <w:u w:val="single"/>
        </w:rPr>
        <w:t>«</w:t>
      </w:r>
      <w:r w:rsidR="00DB1635" w:rsidRPr="00B004EE">
        <w:rPr>
          <w:rFonts w:ascii="Tahoma" w:hAnsi="Tahoma" w:cs="Tahoma"/>
          <w:b/>
          <w:bCs/>
          <w:sz w:val="20"/>
          <w:szCs w:val="20"/>
          <w:u w:val="single"/>
        </w:rPr>
        <w:t xml:space="preserve"> </w:t>
      </w:r>
      <w:r w:rsidRPr="00B004EE">
        <w:rPr>
          <w:rFonts w:ascii="Tahoma" w:hAnsi="Tahoma" w:cs="Tahoma"/>
          <w:b/>
          <w:bCs/>
          <w:sz w:val="20"/>
          <w:szCs w:val="20"/>
          <w:u w:val="single"/>
        </w:rPr>
        <w:t>nouveau</w:t>
      </w:r>
      <w:r w:rsidR="00DB1635" w:rsidRPr="00B004EE">
        <w:rPr>
          <w:rFonts w:ascii="Tahoma" w:hAnsi="Tahoma" w:cs="Tahoma"/>
          <w:b/>
          <w:bCs/>
          <w:sz w:val="20"/>
          <w:szCs w:val="20"/>
          <w:u w:val="single"/>
        </w:rPr>
        <w:t xml:space="preserve"> </w:t>
      </w:r>
      <w:proofErr w:type="gramStart"/>
      <w:r w:rsidRPr="00B004EE">
        <w:rPr>
          <w:rFonts w:ascii="Tahoma" w:hAnsi="Tahoma" w:cs="Tahoma"/>
          <w:b/>
          <w:bCs/>
          <w:sz w:val="20"/>
          <w:szCs w:val="20"/>
          <w:u w:val="single"/>
        </w:rPr>
        <w:t>»</w:t>
      </w:r>
      <w:r w:rsidRPr="00B004EE">
        <w:rPr>
          <w:rFonts w:ascii="Tahoma" w:hAnsi="Tahoma" w:cs="Tahoma"/>
          <w:b/>
          <w:bCs/>
          <w:sz w:val="20"/>
          <w:szCs w:val="20"/>
        </w:rPr>
        <w:t>:</w:t>
      </w:r>
      <w:proofErr w:type="gramEnd"/>
      <w:r w:rsidR="00DB1635" w:rsidRPr="00B004EE">
        <w:rPr>
          <w:rFonts w:ascii="Tahoma" w:hAnsi="Tahoma" w:cs="Tahoma"/>
          <w:b/>
          <w:bCs/>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application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dispositions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l’arrêté</w:t>
      </w:r>
      <w:r w:rsidR="00DB1635" w:rsidRPr="00B004EE">
        <w:rPr>
          <w:rFonts w:ascii="Tahoma" w:hAnsi="Tahoma" w:cs="Tahoma"/>
          <w:sz w:val="20"/>
          <w:szCs w:val="20"/>
        </w:rPr>
        <w:t xml:space="preserve"> </w:t>
      </w:r>
      <w:r w:rsidRPr="00B004EE">
        <w:rPr>
          <w:rFonts w:ascii="Tahoma" w:hAnsi="Tahoma" w:cs="Tahoma"/>
          <w:sz w:val="20"/>
          <w:szCs w:val="20"/>
        </w:rPr>
        <w:t>conjoint</w:t>
      </w:r>
      <w:r w:rsidR="00DB1635" w:rsidRPr="00B004EE">
        <w:rPr>
          <w:rFonts w:ascii="Tahoma" w:hAnsi="Tahoma" w:cs="Tahoma"/>
          <w:sz w:val="20"/>
          <w:szCs w:val="20"/>
        </w:rPr>
        <w:t xml:space="preserve"> </w:t>
      </w:r>
      <w:r w:rsidRPr="00B004EE">
        <w:rPr>
          <w:rFonts w:ascii="Tahoma" w:hAnsi="Tahoma" w:cs="Tahoma"/>
          <w:sz w:val="20"/>
          <w:szCs w:val="20"/>
        </w:rPr>
        <w:t>n°</w:t>
      </w:r>
      <w:r w:rsidR="00DB1635" w:rsidRPr="00B004EE">
        <w:rPr>
          <w:rFonts w:ascii="Tahoma" w:hAnsi="Tahoma" w:cs="Tahoma"/>
          <w:sz w:val="20"/>
          <w:szCs w:val="20"/>
        </w:rPr>
        <w:t xml:space="preserve"> </w:t>
      </w:r>
      <w:r w:rsidRPr="00B004EE">
        <w:rPr>
          <w:rFonts w:ascii="Tahoma" w:hAnsi="Tahoma" w:cs="Tahoma"/>
          <w:sz w:val="20"/>
          <w:szCs w:val="20"/>
        </w:rPr>
        <w:t>2860</w:t>
      </w:r>
      <w:r w:rsidR="00DB1635" w:rsidRPr="00B004EE">
        <w:rPr>
          <w:rFonts w:ascii="Tahoma" w:hAnsi="Tahoma" w:cs="Tahoma"/>
          <w:sz w:val="20"/>
          <w:szCs w:val="20"/>
        </w:rPr>
        <w:t xml:space="preserve"> </w:t>
      </w:r>
      <w:r w:rsidRPr="00B004EE">
        <w:rPr>
          <w:rFonts w:ascii="Tahoma" w:hAnsi="Tahoma" w:cs="Tahoma"/>
          <w:sz w:val="20"/>
          <w:szCs w:val="20"/>
        </w:rPr>
        <w:t>MPEM/MCAT/MSAS/SEPME</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16</w:t>
      </w:r>
      <w:r w:rsidR="00DB1635" w:rsidRPr="00B004EE">
        <w:rPr>
          <w:rFonts w:ascii="Tahoma" w:hAnsi="Tahoma" w:cs="Tahoma"/>
          <w:sz w:val="20"/>
          <w:szCs w:val="20"/>
        </w:rPr>
        <w:t xml:space="preserve"> </w:t>
      </w:r>
      <w:r w:rsidRPr="00B004EE">
        <w:rPr>
          <w:rFonts w:ascii="Tahoma" w:hAnsi="Tahoma" w:cs="Tahoma"/>
          <w:sz w:val="20"/>
          <w:szCs w:val="20"/>
        </w:rPr>
        <w:t>novembre</w:t>
      </w:r>
      <w:r w:rsidR="00DB1635" w:rsidRPr="00B004EE">
        <w:rPr>
          <w:rFonts w:ascii="Tahoma" w:hAnsi="Tahoma" w:cs="Tahoma"/>
          <w:sz w:val="20"/>
          <w:szCs w:val="20"/>
        </w:rPr>
        <w:t xml:space="preserve"> </w:t>
      </w:r>
      <w:r w:rsidRPr="00B004EE">
        <w:rPr>
          <w:rFonts w:ascii="Tahoma" w:hAnsi="Tahoma" w:cs="Tahoma"/>
          <w:sz w:val="20"/>
          <w:szCs w:val="20"/>
        </w:rPr>
        <w:t>2006</w:t>
      </w:r>
      <w:r w:rsidR="00DB1635" w:rsidRPr="00B004EE">
        <w:rPr>
          <w:rFonts w:ascii="Tahoma" w:hAnsi="Tahoma" w:cs="Tahoma"/>
          <w:sz w:val="20"/>
          <w:szCs w:val="20"/>
        </w:rPr>
        <w:t xml:space="preserve"> </w:t>
      </w:r>
      <w:r w:rsidRPr="00B004EE">
        <w:rPr>
          <w:rFonts w:ascii="Tahoma" w:hAnsi="Tahoma" w:cs="Tahoma"/>
          <w:sz w:val="20"/>
          <w:szCs w:val="20"/>
        </w:rPr>
        <w:t>susvisé,</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zones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coquillages</w:t>
      </w:r>
      <w:r w:rsidR="00DB1635" w:rsidRPr="00B004EE">
        <w:rPr>
          <w:rFonts w:ascii="Tahoma" w:hAnsi="Tahoma" w:cs="Tahoma"/>
          <w:sz w:val="20"/>
          <w:szCs w:val="20"/>
        </w:rPr>
        <w:t xml:space="preserve"> </w:t>
      </w:r>
      <w:r w:rsidRPr="00B004EE">
        <w:rPr>
          <w:rFonts w:ascii="Tahoma" w:hAnsi="Tahoma" w:cs="Tahoma"/>
          <w:sz w:val="20"/>
          <w:szCs w:val="20"/>
        </w:rPr>
        <w:t>situées</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mer</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sur</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littoral,</w:t>
      </w:r>
      <w:r w:rsidR="00DB1635" w:rsidRPr="00B004EE">
        <w:rPr>
          <w:rFonts w:ascii="Tahoma" w:hAnsi="Tahoma" w:cs="Tahoma"/>
          <w:sz w:val="20"/>
          <w:szCs w:val="20"/>
        </w:rPr>
        <w:t xml:space="preserve"> </w:t>
      </w:r>
      <w:r w:rsidRPr="00B004EE">
        <w:rPr>
          <w:rFonts w:ascii="Tahoma" w:hAnsi="Tahoma" w:cs="Tahoma"/>
          <w:sz w:val="20"/>
          <w:szCs w:val="20"/>
        </w:rPr>
        <w:t>définies</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noms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coordonnées</w:t>
      </w:r>
      <w:r w:rsidR="00DB1635" w:rsidRPr="00B004EE">
        <w:rPr>
          <w:rFonts w:ascii="Tahoma" w:hAnsi="Tahoma" w:cs="Tahoma"/>
          <w:sz w:val="20"/>
          <w:szCs w:val="20"/>
        </w:rPr>
        <w:t xml:space="preserve"> </w:t>
      </w:r>
      <w:r w:rsidRPr="00B004EE">
        <w:rPr>
          <w:rFonts w:ascii="Tahoma" w:hAnsi="Tahoma" w:cs="Tahoma"/>
          <w:sz w:val="20"/>
          <w:szCs w:val="20"/>
        </w:rPr>
        <w:t>géographiques</w:t>
      </w:r>
      <w:r w:rsidR="00DB1635" w:rsidRPr="00B004EE">
        <w:rPr>
          <w:rFonts w:ascii="Tahoma" w:hAnsi="Tahoma" w:cs="Tahoma"/>
          <w:sz w:val="20"/>
          <w:szCs w:val="20"/>
        </w:rPr>
        <w:t xml:space="preserve"> </w:t>
      </w:r>
      <w:r w:rsidRPr="00B004EE">
        <w:rPr>
          <w:rFonts w:ascii="Tahoma" w:hAnsi="Tahoma" w:cs="Tahoma"/>
          <w:sz w:val="20"/>
          <w:szCs w:val="20"/>
        </w:rPr>
        <w:t>suivantes,</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désignées</w:t>
      </w:r>
      <w:r w:rsidR="00DB1635" w:rsidRPr="00B004EE">
        <w:rPr>
          <w:rFonts w:ascii="Tahoma" w:hAnsi="Tahoma" w:cs="Tahoma"/>
          <w:sz w:val="20"/>
          <w:szCs w:val="20"/>
        </w:rPr>
        <w:t xml:space="preserve"> </w:t>
      </w:r>
      <w:r w:rsidRPr="00B004EE">
        <w:rPr>
          <w:rFonts w:ascii="Tahoma" w:hAnsi="Tahoma" w:cs="Tahoma"/>
          <w:sz w:val="20"/>
          <w:szCs w:val="20"/>
        </w:rPr>
        <w:t>zones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production</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classées,</w:t>
      </w:r>
      <w:r w:rsidR="00DB1635" w:rsidRPr="00B004EE">
        <w:rPr>
          <w:rFonts w:ascii="Tahoma" w:hAnsi="Tahoma" w:cs="Tahoma"/>
          <w:sz w:val="20"/>
          <w:szCs w:val="20"/>
        </w:rPr>
        <w:t xml:space="preserve"> </w:t>
      </w:r>
      <w:r w:rsidRPr="00B004EE">
        <w:rPr>
          <w:rFonts w:ascii="Tahoma" w:hAnsi="Tahoma" w:cs="Tahoma"/>
          <w:sz w:val="20"/>
          <w:szCs w:val="20"/>
        </w:rPr>
        <w:t>conformément</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indications</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Tableau</w:t>
      </w:r>
      <w:r w:rsidR="00DB1635" w:rsidRPr="00B004EE">
        <w:rPr>
          <w:rFonts w:ascii="Tahoma" w:hAnsi="Tahoma" w:cs="Tahoma"/>
          <w:sz w:val="20"/>
          <w:szCs w:val="20"/>
        </w:rPr>
        <w:t xml:space="preserve"> </w:t>
      </w:r>
      <w:r w:rsidRPr="00B004EE">
        <w:rPr>
          <w:rFonts w:ascii="Tahoma" w:hAnsi="Tahoma" w:cs="Tahoma"/>
          <w:sz w:val="20"/>
          <w:szCs w:val="20"/>
        </w:rPr>
        <w:t>ci-après</w:t>
      </w:r>
      <w:r w:rsidR="00DB1635" w:rsidRPr="00B004EE">
        <w:rPr>
          <w:rFonts w:ascii="Tahoma" w:hAnsi="Tahoma" w:cs="Tahoma"/>
          <w:sz w:val="20"/>
          <w:szCs w:val="20"/>
        </w:rPr>
        <w:t xml:space="preserve"> </w:t>
      </w:r>
      <w:r w:rsidRPr="00B004EE">
        <w:rPr>
          <w:rFonts w:ascii="Tahoma" w:hAnsi="Tahoma" w:cs="Tahoma"/>
          <w:sz w:val="20"/>
          <w:szCs w:val="20"/>
        </w:rPr>
        <w:t>:</w:t>
      </w: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36"/>
        <w:gridCol w:w="4265"/>
        <w:gridCol w:w="1498"/>
        <w:gridCol w:w="1531"/>
      </w:tblGrid>
      <w:tr w:rsidR="00150C90" w:rsidRPr="00B004EE" w14:paraId="6870229E" w14:textId="77777777" w:rsidTr="008D3B28">
        <w:tc>
          <w:tcPr>
            <w:tcW w:w="2136" w:type="dxa"/>
          </w:tcPr>
          <w:p w14:paraId="5BF2B9EF" w14:textId="1C0BF5AB" w:rsidR="002F24E1" w:rsidRPr="00B004EE" w:rsidRDefault="002F24E1" w:rsidP="00B004EE">
            <w:pPr>
              <w:pStyle w:val="Titre5"/>
              <w:rPr>
                <w:rFonts w:ascii="Tahoma" w:hAnsi="Tahoma" w:cs="Tahoma"/>
                <w:sz w:val="20"/>
                <w:szCs w:val="20"/>
              </w:rPr>
            </w:pPr>
            <w:r w:rsidRPr="00B004EE">
              <w:rPr>
                <w:rFonts w:ascii="Tahoma" w:hAnsi="Tahoma" w:cs="Tahoma"/>
                <w:sz w:val="20"/>
                <w:szCs w:val="20"/>
              </w:rPr>
              <w:t>Zone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production</w:t>
            </w:r>
          </w:p>
        </w:tc>
        <w:tc>
          <w:tcPr>
            <w:tcW w:w="4265" w:type="dxa"/>
          </w:tcPr>
          <w:p w14:paraId="09D3DCF8" w14:textId="511E4FC8" w:rsidR="002F24E1" w:rsidRPr="00B004EE" w:rsidRDefault="002F24E1" w:rsidP="00B004EE">
            <w:pPr>
              <w:pStyle w:val="Titre5"/>
              <w:rPr>
                <w:rFonts w:ascii="Tahoma" w:hAnsi="Tahoma" w:cs="Tahoma"/>
                <w:sz w:val="20"/>
                <w:szCs w:val="20"/>
              </w:rPr>
            </w:pPr>
            <w:r w:rsidRPr="00B004EE">
              <w:rPr>
                <w:rFonts w:ascii="Tahoma" w:hAnsi="Tahoma" w:cs="Tahoma"/>
                <w:sz w:val="20"/>
                <w:szCs w:val="20"/>
              </w:rPr>
              <w:t>Limites</w:t>
            </w:r>
            <w:r w:rsidR="00DB1635" w:rsidRPr="00B004EE">
              <w:rPr>
                <w:rFonts w:ascii="Tahoma" w:hAnsi="Tahoma" w:cs="Tahoma"/>
                <w:sz w:val="20"/>
                <w:szCs w:val="20"/>
              </w:rPr>
              <w:t xml:space="preserve"> </w:t>
            </w:r>
            <w:r w:rsidRPr="00B004EE">
              <w:rPr>
                <w:rFonts w:ascii="Tahoma" w:hAnsi="Tahoma" w:cs="Tahoma"/>
                <w:sz w:val="20"/>
                <w:szCs w:val="20"/>
              </w:rPr>
              <w:t>géographiques</w:t>
            </w:r>
          </w:p>
        </w:tc>
        <w:tc>
          <w:tcPr>
            <w:tcW w:w="1498" w:type="dxa"/>
          </w:tcPr>
          <w:p w14:paraId="1FD0D316" w14:textId="1C70A76A" w:rsidR="002F24E1" w:rsidRPr="00B004EE" w:rsidRDefault="002F24E1" w:rsidP="00B004EE">
            <w:pPr>
              <w:pStyle w:val="Titre5"/>
              <w:rPr>
                <w:rFonts w:ascii="Tahoma" w:hAnsi="Tahoma" w:cs="Tahoma"/>
                <w:sz w:val="20"/>
                <w:szCs w:val="20"/>
              </w:rPr>
            </w:pPr>
            <w:r w:rsidRPr="00B004EE">
              <w:rPr>
                <w:rFonts w:ascii="Tahoma" w:hAnsi="Tahoma" w:cs="Tahoma"/>
                <w:sz w:val="20"/>
                <w:szCs w:val="20"/>
              </w:rPr>
              <w:t>Espèces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coquillages</w:t>
            </w:r>
          </w:p>
        </w:tc>
        <w:tc>
          <w:tcPr>
            <w:tcW w:w="1531" w:type="dxa"/>
          </w:tcPr>
          <w:p w14:paraId="293EC74A" w14:textId="77777777" w:rsidR="002F24E1" w:rsidRPr="00B004EE" w:rsidRDefault="002F24E1" w:rsidP="00B004EE">
            <w:pPr>
              <w:pStyle w:val="Titre5"/>
              <w:rPr>
                <w:rFonts w:ascii="Tahoma" w:hAnsi="Tahoma" w:cs="Tahoma"/>
                <w:sz w:val="20"/>
                <w:szCs w:val="20"/>
              </w:rPr>
            </w:pPr>
            <w:r w:rsidRPr="00B004EE">
              <w:rPr>
                <w:rFonts w:ascii="Tahoma" w:hAnsi="Tahoma" w:cs="Tahoma"/>
                <w:sz w:val="20"/>
                <w:szCs w:val="20"/>
              </w:rPr>
              <w:t>Classement</w:t>
            </w:r>
          </w:p>
        </w:tc>
      </w:tr>
      <w:tr w:rsidR="00150C90" w:rsidRPr="00B004EE" w14:paraId="518FE157" w14:textId="77777777" w:rsidTr="008D3B28">
        <w:tc>
          <w:tcPr>
            <w:tcW w:w="2136" w:type="dxa"/>
            <w:vAlign w:val="center"/>
          </w:tcPr>
          <w:p w14:paraId="30ED0534" w14:textId="65ABB9C7" w:rsidR="002F24E1" w:rsidRPr="00B004EE" w:rsidRDefault="002F24E1" w:rsidP="00B004EE">
            <w:pPr>
              <w:autoSpaceDE w:val="0"/>
              <w:autoSpaceDN w:val="0"/>
              <w:adjustRightInd w:val="0"/>
              <w:jc w:val="both"/>
              <w:rPr>
                <w:rFonts w:ascii="Tahoma" w:hAnsi="Tahoma" w:cs="Tahoma"/>
                <w:sz w:val="20"/>
                <w:szCs w:val="20"/>
              </w:rPr>
            </w:pPr>
            <w:r w:rsidRPr="00B004EE">
              <w:rPr>
                <w:rFonts w:ascii="Tahoma" w:hAnsi="Tahoma" w:cs="Tahoma"/>
                <w:sz w:val="20"/>
                <w:szCs w:val="20"/>
              </w:rPr>
              <w:t>Zone</w:t>
            </w:r>
            <w:r w:rsidR="00DB1635" w:rsidRPr="00B004EE">
              <w:rPr>
                <w:rFonts w:ascii="Tahoma" w:hAnsi="Tahoma" w:cs="Tahoma"/>
                <w:sz w:val="20"/>
                <w:szCs w:val="20"/>
              </w:rPr>
              <w:t xml:space="preserve"> </w:t>
            </w:r>
            <w:r w:rsidRPr="00B004EE">
              <w:rPr>
                <w:rFonts w:ascii="Tahoma" w:hAnsi="Tahoma" w:cs="Tahoma"/>
                <w:sz w:val="20"/>
                <w:szCs w:val="20"/>
              </w:rPr>
              <w:t>baie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l’Etoile</w:t>
            </w:r>
            <w:r w:rsidR="00DB1635" w:rsidRPr="00B004EE">
              <w:rPr>
                <w:rFonts w:ascii="Tahoma" w:hAnsi="Tahoma" w:cs="Tahoma"/>
                <w:sz w:val="20"/>
                <w:szCs w:val="20"/>
              </w:rPr>
              <w:t xml:space="preserve"> </w:t>
            </w:r>
          </w:p>
        </w:tc>
        <w:tc>
          <w:tcPr>
            <w:tcW w:w="4265" w:type="dxa"/>
          </w:tcPr>
          <w:p w14:paraId="0FED74C2" w14:textId="2D99945A" w:rsidR="002F24E1" w:rsidRPr="00B004EE" w:rsidRDefault="002F24E1" w:rsidP="00B004EE">
            <w:pPr>
              <w:autoSpaceDE w:val="0"/>
              <w:autoSpaceDN w:val="0"/>
              <w:adjustRightInd w:val="0"/>
              <w:jc w:val="both"/>
              <w:rPr>
                <w:rFonts w:ascii="Tahoma" w:hAnsi="Tahoma" w:cs="Tahoma"/>
                <w:sz w:val="20"/>
                <w:szCs w:val="20"/>
              </w:rPr>
            </w:pPr>
            <w:r w:rsidRPr="00B004EE">
              <w:rPr>
                <w:rFonts w:ascii="Tahoma" w:hAnsi="Tahoma" w:cs="Tahoma"/>
                <w:sz w:val="20"/>
                <w:szCs w:val="20"/>
              </w:rPr>
              <w:t>Zone</w:t>
            </w:r>
            <w:r w:rsidR="00DB1635" w:rsidRPr="00B004EE">
              <w:rPr>
                <w:rFonts w:ascii="Tahoma" w:hAnsi="Tahoma" w:cs="Tahoma"/>
                <w:sz w:val="20"/>
                <w:szCs w:val="20"/>
              </w:rPr>
              <w:t xml:space="preserve"> </w:t>
            </w:r>
            <w:r w:rsidRPr="00B004EE">
              <w:rPr>
                <w:rFonts w:ascii="Tahoma" w:hAnsi="Tahoma" w:cs="Tahoma"/>
                <w:sz w:val="20"/>
                <w:szCs w:val="20"/>
              </w:rPr>
              <w:t>délimitée</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nord</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rivage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Baie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l’Etoile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sud</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ligne</w:t>
            </w:r>
            <w:r w:rsidR="00DB1635" w:rsidRPr="00B004EE">
              <w:rPr>
                <w:rFonts w:ascii="Tahoma" w:hAnsi="Tahoma" w:cs="Tahoma"/>
                <w:sz w:val="20"/>
                <w:szCs w:val="20"/>
              </w:rPr>
              <w:t xml:space="preserve"> </w:t>
            </w:r>
            <w:r w:rsidRPr="00B004EE">
              <w:rPr>
                <w:rFonts w:ascii="Tahoma" w:hAnsi="Tahoma" w:cs="Tahoma"/>
                <w:sz w:val="20"/>
                <w:szCs w:val="20"/>
              </w:rPr>
              <w:t>transversale</w:t>
            </w:r>
            <w:r w:rsidR="00DB1635" w:rsidRPr="00B004EE">
              <w:rPr>
                <w:rFonts w:ascii="Tahoma" w:hAnsi="Tahoma" w:cs="Tahoma"/>
                <w:sz w:val="20"/>
                <w:szCs w:val="20"/>
              </w:rPr>
              <w:t xml:space="preserve"> </w:t>
            </w:r>
            <w:r w:rsidRPr="00B004EE">
              <w:rPr>
                <w:rFonts w:ascii="Tahoma" w:hAnsi="Tahoma" w:cs="Tahoma"/>
                <w:sz w:val="20"/>
                <w:szCs w:val="20"/>
              </w:rPr>
              <w:t>dont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coordonnées</w:t>
            </w:r>
            <w:r w:rsidR="00DB1635" w:rsidRPr="00B004EE">
              <w:rPr>
                <w:rFonts w:ascii="Tahoma" w:hAnsi="Tahoma" w:cs="Tahoma"/>
                <w:sz w:val="20"/>
                <w:szCs w:val="20"/>
              </w:rPr>
              <w:t xml:space="preserve"> </w:t>
            </w:r>
            <w:r w:rsidRPr="00B004EE">
              <w:rPr>
                <w:rFonts w:ascii="Tahoma" w:hAnsi="Tahoma" w:cs="Tahoma"/>
                <w:sz w:val="20"/>
                <w:szCs w:val="20"/>
              </w:rPr>
              <w:t>géographiques</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suivantes</w:t>
            </w:r>
            <w:r w:rsidR="00DB1635" w:rsidRPr="00B004EE">
              <w:rPr>
                <w:rFonts w:ascii="Tahoma" w:hAnsi="Tahoma" w:cs="Tahoma"/>
                <w:sz w:val="20"/>
                <w:szCs w:val="20"/>
              </w:rPr>
              <w:t xml:space="preserve"> </w:t>
            </w:r>
            <w:r w:rsidRPr="00B004EE">
              <w:rPr>
                <w:rFonts w:ascii="Tahoma" w:hAnsi="Tahoma" w:cs="Tahoma"/>
                <w:sz w:val="20"/>
                <w:szCs w:val="20"/>
              </w:rPr>
              <w:t>:</w:t>
            </w:r>
          </w:p>
          <w:p w14:paraId="23A4FA4A" w14:textId="279DB885" w:rsidR="002F24E1" w:rsidRPr="00B004EE" w:rsidRDefault="002F24E1" w:rsidP="00B004EE">
            <w:pPr>
              <w:autoSpaceDE w:val="0"/>
              <w:autoSpaceDN w:val="0"/>
              <w:adjustRightInd w:val="0"/>
              <w:jc w:val="both"/>
              <w:rPr>
                <w:rFonts w:ascii="Tahoma" w:hAnsi="Tahoma" w:cs="Tahoma"/>
                <w:sz w:val="20"/>
                <w:szCs w:val="20"/>
                <w:lang w:val="en-US"/>
              </w:rPr>
            </w:pPr>
            <w:r w:rsidRPr="00B004EE">
              <w:rPr>
                <w:rFonts w:ascii="Tahoma" w:hAnsi="Tahoma" w:cs="Tahoma"/>
                <w:sz w:val="20"/>
                <w:szCs w:val="20"/>
                <w:lang w:val="en-US"/>
              </w:rPr>
              <w:t>Point</w:t>
            </w:r>
            <w:r w:rsidR="00DB1635" w:rsidRPr="00B004EE">
              <w:rPr>
                <w:rFonts w:ascii="Tahoma" w:hAnsi="Tahoma" w:cs="Tahoma"/>
                <w:sz w:val="20"/>
                <w:szCs w:val="20"/>
                <w:lang w:val="en-US"/>
              </w:rPr>
              <w:t xml:space="preserve"> </w:t>
            </w:r>
            <w:r w:rsidR="00A5129F" w:rsidRPr="00B004EE">
              <w:rPr>
                <w:rFonts w:ascii="Tahoma" w:hAnsi="Tahoma" w:cs="Tahoma"/>
                <w:sz w:val="20"/>
                <w:szCs w:val="20"/>
                <w:lang w:val="en-US"/>
              </w:rPr>
              <w:t>A:</w:t>
            </w:r>
            <w:r w:rsidR="00DB1635" w:rsidRPr="00B004EE">
              <w:rPr>
                <w:rFonts w:ascii="Tahoma" w:hAnsi="Tahoma" w:cs="Tahoma"/>
                <w:sz w:val="20"/>
                <w:szCs w:val="20"/>
                <w:lang w:val="en-US"/>
              </w:rPr>
              <w:t xml:space="preserve"> </w:t>
            </w:r>
            <w:r w:rsidRPr="00B004EE">
              <w:rPr>
                <w:rFonts w:ascii="Tahoma" w:hAnsi="Tahoma" w:cs="Tahoma"/>
                <w:sz w:val="20"/>
                <w:szCs w:val="20"/>
                <w:lang w:val="en-US"/>
              </w:rPr>
              <w:t>21°01’,35N</w:t>
            </w:r>
            <w:r w:rsidR="00DB1635" w:rsidRPr="00B004EE">
              <w:rPr>
                <w:rFonts w:ascii="Tahoma" w:hAnsi="Tahoma" w:cs="Tahoma"/>
                <w:sz w:val="20"/>
                <w:szCs w:val="20"/>
                <w:lang w:val="en-US"/>
              </w:rPr>
              <w:t xml:space="preserve"> </w:t>
            </w:r>
            <w:r w:rsidRPr="00B004EE">
              <w:rPr>
                <w:rFonts w:ascii="Tahoma" w:hAnsi="Tahoma" w:cs="Tahoma"/>
                <w:sz w:val="20"/>
                <w:szCs w:val="20"/>
                <w:lang w:val="en-US"/>
              </w:rPr>
              <w:t>-</w:t>
            </w:r>
            <w:r w:rsidR="00DB1635" w:rsidRPr="00B004EE">
              <w:rPr>
                <w:rFonts w:ascii="Tahoma" w:hAnsi="Tahoma" w:cs="Tahoma"/>
                <w:sz w:val="20"/>
                <w:szCs w:val="20"/>
                <w:lang w:val="en-US"/>
              </w:rPr>
              <w:t xml:space="preserve"> </w:t>
            </w:r>
            <w:r w:rsidRPr="00B004EE">
              <w:rPr>
                <w:rFonts w:ascii="Tahoma" w:hAnsi="Tahoma" w:cs="Tahoma"/>
                <w:sz w:val="20"/>
                <w:szCs w:val="20"/>
                <w:lang w:val="en-US"/>
              </w:rPr>
              <w:t>17°01’,28W</w:t>
            </w:r>
          </w:p>
          <w:p w14:paraId="0B22AB1F" w14:textId="60F02D16" w:rsidR="002F24E1" w:rsidRPr="00B004EE" w:rsidRDefault="002F24E1" w:rsidP="00B004EE">
            <w:pPr>
              <w:autoSpaceDE w:val="0"/>
              <w:autoSpaceDN w:val="0"/>
              <w:adjustRightInd w:val="0"/>
              <w:jc w:val="both"/>
              <w:rPr>
                <w:rFonts w:ascii="Tahoma" w:hAnsi="Tahoma" w:cs="Tahoma"/>
                <w:sz w:val="20"/>
                <w:szCs w:val="20"/>
                <w:lang w:val="en-US"/>
              </w:rPr>
            </w:pPr>
            <w:r w:rsidRPr="00B004EE">
              <w:rPr>
                <w:rFonts w:ascii="Tahoma" w:hAnsi="Tahoma" w:cs="Tahoma"/>
                <w:sz w:val="20"/>
                <w:szCs w:val="20"/>
                <w:lang w:val="en-US"/>
              </w:rPr>
              <w:t>Point</w:t>
            </w:r>
            <w:r w:rsidR="00DB1635" w:rsidRPr="00B004EE">
              <w:rPr>
                <w:rFonts w:ascii="Tahoma" w:hAnsi="Tahoma" w:cs="Tahoma"/>
                <w:sz w:val="20"/>
                <w:szCs w:val="20"/>
                <w:lang w:val="en-US"/>
              </w:rPr>
              <w:t xml:space="preserve"> </w:t>
            </w:r>
            <w:r w:rsidRPr="00B004EE">
              <w:rPr>
                <w:rFonts w:ascii="Tahoma" w:hAnsi="Tahoma" w:cs="Tahoma"/>
                <w:sz w:val="20"/>
                <w:szCs w:val="20"/>
                <w:lang w:val="en-US"/>
              </w:rPr>
              <w:t>B</w:t>
            </w:r>
            <w:r w:rsidR="00DB1635" w:rsidRPr="00B004EE">
              <w:rPr>
                <w:rFonts w:ascii="Tahoma" w:hAnsi="Tahoma" w:cs="Tahoma"/>
                <w:sz w:val="20"/>
                <w:szCs w:val="20"/>
                <w:lang w:val="en-US"/>
              </w:rPr>
              <w:t xml:space="preserve"> </w:t>
            </w:r>
            <w:r w:rsidRPr="00B004EE">
              <w:rPr>
                <w:rFonts w:ascii="Tahoma" w:hAnsi="Tahoma" w:cs="Tahoma"/>
                <w:sz w:val="20"/>
                <w:szCs w:val="20"/>
                <w:lang w:val="en-US"/>
              </w:rPr>
              <w:t>:</w:t>
            </w:r>
            <w:r w:rsidR="00DB1635" w:rsidRPr="00B004EE">
              <w:rPr>
                <w:rFonts w:ascii="Tahoma" w:hAnsi="Tahoma" w:cs="Tahoma"/>
                <w:sz w:val="20"/>
                <w:szCs w:val="20"/>
                <w:lang w:val="en-US"/>
              </w:rPr>
              <w:t xml:space="preserve"> </w:t>
            </w:r>
            <w:r w:rsidRPr="00B004EE">
              <w:rPr>
                <w:rFonts w:ascii="Tahoma" w:hAnsi="Tahoma" w:cs="Tahoma"/>
                <w:sz w:val="20"/>
                <w:szCs w:val="20"/>
                <w:lang w:val="en-US"/>
              </w:rPr>
              <w:t>21°01’,35N</w:t>
            </w:r>
            <w:r w:rsidR="00DB1635" w:rsidRPr="00B004EE">
              <w:rPr>
                <w:rFonts w:ascii="Tahoma" w:hAnsi="Tahoma" w:cs="Tahoma"/>
                <w:sz w:val="20"/>
                <w:szCs w:val="20"/>
                <w:lang w:val="en-US"/>
              </w:rPr>
              <w:t xml:space="preserve"> </w:t>
            </w:r>
            <w:r w:rsidRPr="00B004EE">
              <w:rPr>
                <w:rFonts w:ascii="Tahoma" w:hAnsi="Tahoma" w:cs="Tahoma"/>
                <w:sz w:val="20"/>
                <w:szCs w:val="20"/>
                <w:lang w:val="en-US"/>
              </w:rPr>
              <w:t>-</w:t>
            </w:r>
            <w:r w:rsidR="00DB1635" w:rsidRPr="00B004EE">
              <w:rPr>
                <w:rFonts w:ascii="Tahoma" w:hAnsi="Tahoma" w:cs="Tahoma"/>
                <w:sz w:val="20"/>
                <w:szCs w:val="20"/>
                <w:lang w:val="en-US"/>
              </w:rPr>
              <w:t xml:space="preserve"> </w:t>
            </w:r>
            <w:r w:rsidRPr="00B004EE">
              <w:rPr>
                <w:rFonts w:ascii="Tahoma" w:hAnsi="Tahoma" w:cs="Tahoma"/>
                <w:sz w:val="20"/>
                <w:szCs w:val="20"/>
                <w:lang w:val="en-US"/>
              </w:rPr>
              <w:t>17°00’,10W</w:t>
            </w:r>
          </w:p>
        </w:tc>
        <w:tc>
          <w:tcPr>
            <w:tcW w:w="1498" w:type="dxa"/>
            <w:vAlign w:val="center"/>
          </w:tcPr>
          <w:p w14:paraId="4C0B8D9E" w14:textId="35E57F91" w:rsidR="002F24E1" w:rsidRPr="00B004EE" w:rsidRDefault="002F24E1" w:rsidP="00B004EE">
            <w:pPr>
              <w:autoSpaceDE w:val="0"/>
              <w:autoSpaceDN w:val="0"/>
              <w:adjustRightInd w:val="0"/>
              <w:jc w:val="both"/>
              <w:rPr>
                <w:rFonts w:ascii="Tahoma" w:hAnsi="Tahoma" w:cs="Tahoma"/>
                <w:sz w:val="20"/>
                <w:szCs w:val="20"/>
                <w:lang w:val="en-US"/>
              </w:rPr>
            </w:pPr>
            <w:r w:rsidRPr="00B004EE">
              <w:rPr>
                <w:rFonts w:ascii="Tahoma" w:hAnsi="Tahoma" w:cs="Tahoma"/>
                <w:sz w:val="20"/>
                <w:szCs w:val="20"/>
                <w:lang w:val="en-US"/>
              </w:rPr>
              <w:t>Crassostrea</w:t>
            </w:r>
            <w:r w:rsidR="00DB1635" w:rsidRPr="00B004EE">
              <w:rPr>
                <w:rFonts w:ascii="Tahoma" w:hAnsi="Tahoma" w:cs="Tahoma"/>
                <w:sz w:val="20"/>
                <w:szCs w:val="20"/>
                <w:lang w:val="en-US"/>
              </w:rPr>
              <w:t xml:space="preserve"> </w:t>
            </w:r>
            <w:r w:rsidRPr="00B004EE">
              <w:rPr>
                <w:rFonts w:ascii="Tahoma" w:hAnsi="Tahoma" w:cs="Tahoma"/>
                <w:sz w:val="20"/>
                <w:szCs w:val="20"/>
                <w:lang w:val="en-US"/>
              </w:rPr>
              <w:t>gigas</w:t>
            </w:r>
            <w:r w:rsidR="00DB1635" w:rsidRPr="00B004EE">
              <w:rPr>
                <w:rFonts w:ascii="Tahoma" w:hAnsi="Tahoma" w:cs="Tahoma"/>
                <w:sz w:val="20"/>
                <w:szCs w:val="20"/>
                <w:lang w:val="en-US"/>
              </w:rPr>
              <w:t xml:space="preserve"> </w:t>
            </w:r>
          </w:p>
        </w:tc>
        <w:tc>
          <w:tcPr>
            <w:tcW w:w="1531" w:type="dxa"/>
            <w:vAlign w:val="center"/>
          </w:tcPr>
          <w:p w14:paraId="7244B991" w14:textId="199654E3" w:rsidR="002F24E1" w:rsidRPr="00B004EE" w:rsidRDefault="002F24E1" w:rsidP="00B004EE">
            <w:pPr>
              <w:autoSpaceDE w:val="0"/>
              <w:autoSpaceDN w:val="0"/>
              <w:adjustRightInd w:val="0"/>
              <w:jc w:val="center"/>
              <w:rPr>
                <w:rFonts w:ascii="Tahoma" w:hAnsi="Tahoma" w:cs="Tahoma"/>
                <w:sz w:val="20"/>
                <w:szCs w:val="20"/>
              </w:rPr>
            </w:pPr>
            <w:r w:rsidRPr="00B004EE">
              <w:rPr>
                <w:rFonts w:ascii="Tahoma" w:hAnsi="Tahoma" w:cs="Tahoma"/>
                <w:sz w:val="20"/>
                <w:szCs w:val="20"/>
              </w:rPr>
              <w:t>A</w:t>
            </w:r>
            <w:r w:rsidR="00DB1635" w:rsidRPr="00B004EE">
              <w:rPr>
                <w:rFonts w:ascii="Tahoma" w:hAnsi="Tahoma" w:cs="Tahoma"/>
                <w:sz w:val="20"/>
                <w:szCs w:val="20"/>
              </w:rPr>
              <w:t xml:space="preserve"> </w:t>
            </w:r>
          </w:p>
        </w:tc>
      </w:tr>
      <w:tr w:rsidR="00150C90" w:rsidRPr="00B004EE" w14:paraId="0BC54F24" w14:textId="77777777" w:rsidTr="008D3B28">
        <w:tc>
          <w:tcPr>
            <w:tcW w:w="2136" w:type="dxa"/>
            <w:tcBorders>
              <w:top w:val="single" w:sz="4" w:space="0" w:color="auto"/>
              <w:left w:val="single" w:sz="4" w:space="0" w:color="auto"/>
              <w:bottom w:val="single" w:sz="4" w:space="0" w:color="auto"/>
              <w:right w:val="single" w:sz="4" w:space="0" w:color="auto"/>
            </w:tcBorders>
            <w:vAlign w:val="center"/>
          </w:tcPr>
          <w:p w14:paraId="17C4B594" w14:textId="7BF54464" w:rsidR="002F24E1" w:rsidRPr="00B004EE" w:rsidRDefault="002F24E1" w:rsidP="00B004EE">
            <w:pPr>
              <w:autoSpaceDE w:val="0"/>
              <w:autoSpaceDN w:val="0"/>
              <w:adjustRightInd w:val="0"/>
              <w:jc w:val="both"/>
              <w:rPr>
                <w:rFonts w:ascii="Tahoma" w:hAnsi="Tahoma" w:cs="Tahoma"/>
                <w:sz w:val="20"/>
                <w:szCs w:val="20"/>
              </w:rPr>
            </w:pPr>
            <w:r w:rsidRPr="00B004EE">
              <w:rPr>
                <w:rFonts w:ascii="Tahoma" w:hAnsi="Tahoma" w:cs="Tahoma"/>
                <w:sz w:val="20"/>
                <w:szCs w:val="20"/>
              </w:rPr>
              <w:t>Zone</w:t>
            </w:r>
            <w:r w:rsidR="00DB1635" w:rsidRPr="00B004EE">
              <w:rPr>
                <w:rFonts w:ascii="Tahoma" w:hAnsi="Tahoma" w:cs="Tahoma"/>
                <w:sz w:val="20"/>
                <w:szCs w:val="20"/>
              </w:rPr>
              <w:t xml:space="preserve"> </w:t>
            </w:r>
            <w:r w:rsidRPr="00B004EE">
              <w:rPr>
                <w:rFonts w:ascii="Tahoma" w:hAnsi="Tahoma" w:cs="Tahoma"/>
                <w:sz w:val="20"/>
                <w:szCs w:val="20"/>
              </w:rPr>
              <w:t>Archimède</w:t>
            </w:r>
            <w:r w:rsidR="00DB1635" w:rsidRPr="00B004EE">
              <w:rPr>
                <w:rFonts w:ascii="Tahoma" w:hAnsi="Tahoma" w:cs="Tahoma"/>
                <w:sz w:val="20"/>
                <w:szCs w:val="20"/>
              </w:rPr>
              <w:t xml:space="preserve"> </w:t>
            </w:r>
          </w:p>
        </w:tc>
        <w:tc>
          <w:tcPr>
            <w:tcW w:w="4265" w:type="dxa"/>
            <w:tcBorders>
              <w:top w:val="single" w:sz="4" w:space="0" w:color="auto"/>
              <w:left w:val="single" w:sz="4" w:space="0" w:color="auto"/>
              <w:bottom w:val="single" w:sz="4" w:space="0" w:color="auto"/>
              <w:right w:val="single" w:sz="4" w:space="0" w:color="auto"/>
            </w:tcBorders>
          </w:tcPr>
          <w:p w14:paraId="7076A29D" w14:textId="653DA0F6" w:rsidR="002F24E1" w:rsidRPr="00B004EE" w:rsidRDefault="002F24E1" w:rsidP="00B004EE">
            <w:pPr>
              <w:autoSpaceDE w:val="0"/>
              <w:autoSpaceDN w:val="0"/>
              <w:adjustRightInd w:val="0"/>
              <w:jc w:val="both"/>
              <w:rPr>
                <w:rFonts w:ascii="Tahoma" w:hAnsi="Tahoma" w:cs="Tahoma"/>
                <w:sz w:val="20"/>
                <w:szCs w:val="20"/>
              </w:rPr>
            </w:pPr>
            <w:r w:rsidRPr="00B004EE">
              <w:rPr>
                <w:rFonts w:ascii="Tahoma" w:hAnsi="Tahoma" w:cs="Tahoma"/>
                <w:sz w:val="20"/>
                <w:szCs w:val="20"/>
              </w:rPr>
              <w:t>Zone</w:t>
            </w:r>
            <w:r w:rsidR="00DB1635" w:rsidRPr="00B004EE">
              <w:rPr>
                <w:rFonts w:ascii="Tahoma" w:hAnsi="Tahoma" w:cs="Tahoma"/>
                <w:sz w:val="20"/>
                <w:szCs w:val="20"/>
              </w:rPr>
              <w:t xml:space="preserve"> </w:t>
            </w:r>
            <w:r w:rsidRPr="00B004EE">
              <w:rPr>
                <w:rFonts w:ascii="Tahoma" w:hAnsi="Tahoma" w:cs="Tahoma"/>
                <w:sz w:val="20"/>
                <w:szCs w:val="20"/>
              </w:rPr>
              <w:t>délimitée</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nord</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rivage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pointe</w:t>
            </w:r>
            <w:r w:rsidR="00DB1635" w:rsidRPr="00B004EE">
              <w:rPr>
                <w:rFonts w:ascii="Tahoma" w:hAnsi="Tahoma" w:cs="Tahoma"/>
                <w:sz w:val="20"/>
                <w:szCs w:val="20"/>
              </w:rPr>
              <w:t xml:space="preserve"> </w:t>
            </w:r>
            <w:r w:rsidRPr="00B004EE">
              <w:rPr>
                <w:rFonts w:ascii="Tahoma" w:hAnsi="Tahoma" w:cs="Tahoma"/>
                <w:sz w:val="20"/>
                <w:szCs w:val="20"/>
              </w:rPr>
              <w:t>d’Archimède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sud</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ligne</w:t>
            </w:r>
            <w:r w:rsidR="00DB1635" w:rsidRPr="00B004EE">
              <w:rPr>
                <w:rFonts w:ascii="Tahoma" w:hAnsi="Tahoma" w:cs="Tahoma"/>
                <w:sz w:val="20"/>
                <w:szCs w:val="20"/>
              </w:rPr>
              <w:t xml:space="preserve"> </w:t>
            </w:r>
            <w:r w:rsidRPr="00B004EE">
              <w:rPr>
                <w:rFonts w:ascii="Tahoma" w:hAnsi="Tahoma" w:cs="Tahoma"/>
                <w:sz w:val="20"/>
                <w:szCs w:val="20"/>
              </w:rPr>
              <w:t>transversale</w:t>
            </w:r>
            <w:r w:rsidR="00DB1635" w:rsidRPr="00B004EE">
              <w:rPr>
                <w:rFonts w:ascii="Tahoma" w:hAnsi="Tahoma" w:cs="Tahoma"/>
                <w:sz w:val="20"/>
                <w:szCs w:val="20"/>
              </w:rPr>
              <w:t xml:space="preserve"> </w:t>
            </w:r>
            <w:r w:rsidRPr="00B004EE">
              <w:rPr>
                <w:rFonts w:ascii="Tahoma" w:hAnsi="Tahoma" w:cs="Tahoma"/>
                <w:sz w:val="20"/>
                <w:szCs w:val="20"/>
              </w:rPr>
              <w:t>dont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coordonnées</w:t>
            </w:r>
            <w:r w:rsidR="00DB1635" w:rsidRPr="00B004EE">
              <w:rPr>
                <w:rFonts w:ascii="Tahoma" w:hAnsi="Tahoma" w:cs="Tahoma"/>
                <w:sz w:val="20"/>
                <w:szCs w:val="20"/>
              </w:rPr>
              <w:t xml:space="preserve"> </w:t>
            </w:r>
            <w:r w:rsidRPr="00B004EE">
              <w:rPr>
                <w:rFonts w:ascii="Tahoma" w:hAnsi="Tahoma" w:cs="Tahoma"/>
                <w:sz w:val="20"/>
                <w:szCs w:val="20"/>
              </w:rPr>
              <w:t>géographiques</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suivantes</w:t>
            </w:r>
            <w:r w:rsidR="00DB1635" w:rsidRPr="00B004EE">
              <w:rPr>
                <w:rFonts w:ascii="Tahoma" w:hAnsi="Tahoma" w:cs="Tahoma"/>
                <w:sz w:val="20"/>
                <w:szCs w:val="20"/>
              </w:rPr>
              <w:t xml:space="preserve"> </w:t>
            </w:r>
            <w:r w:rsidRPr="00B004EE">
              <w:rPr>
                <w:rFonts w:ascii="Tahoma" w:hAnsi="Tahoma" w:cs="Tahoma"/>
                <w:sz w:val="20"/>
                <w:szCs w:val="20"/>
              </w:rPr>
              <w:t>:</w:t>
            </w:r>
          </w:p>
          <w:p w14:paraId="1249558D" w14:textId="54B43112" w:rsidR="002F24E1" w:rsidRPr="00B004EE" w:rsidRDefault="002F24E1" w:rsidP="00B004EE">
            <w:pPr>
              <w:suppressLineNumbers/>
              <w:tabs>
                <w:tab w:val="left" w:pos="567"/>
              </w:tabs>
              <w:rPr>
                <w:rFonts w:ascii="Tahoma" w:hAnsi="Tahoma" w:cs="Tahoma"/>
                <w:sz w:val="20"/>
                <w:szCs w:val="20"/>
                <w:lang w:val="en-US"/>
              </w:rPr>
            </w:pPr>
            <w:r w:rsidRPr="00B004EE">
              <w:rPr>
                <w:rFonts w:ascii="Tahoma" w:hAnsi="Tahoma" w:cs="Tahoma"/>
                <w:sz w:val="20"/>
                <w:szCs w:val="20"/>
                <w:lang w:val="en-US"/>
              </w:rPr>
              <w:t>Point</w:t>
            </w:r>
            <w:r w:rsidR="00DB1635" w:rsidRPr="00B004EE">
              <w:rPr>
                <w:rFonts w:ascii="Tahoma" w:hAnsi="Tahoma" w:cs="Tahoma"/>
                <w:sz w:val="20"/>
                <w:szCs w:val="20"/>
                <w:lang w:val="en-US"/>
              </w:rPr>
              <w:t xml:space="preserve"> </w:t>
            </w:r>
            <w:r w:rsidR="00A5129F" w:rsidRPr="00B004EE">
              <w:rPr>
                <w:rFonts w:ascii="Tahoma" w:hAnsi="Tahoma" w:cs="Tahoma"/>
                <w:sz w:val="20"/>
                <w:szCs w:val="20"/>
                <w:lang w:val="en-US"/>
              </w:rPr>
              <w:t>A:</w:t>
            </w:r>
            <w:r w:rsidR="00DB1635" w:rsidRPr="00B004EE">
              <w:rPr>
                <w:rFonts w:ascii="Tahoma" w:hAnsi="Tahoma" w:cs="Tahoma"/>
                <w:sz w:val="20"/>
                <w:szCs w:val="20"/>
                <w:lang w:val="en-US"/>
              </w:rPr>
              <w:t xml:space="preserve"> </w:t>
            </w:r>
            <w:r w:rsidRPr="00B004EE">
              <w:rPr>
                <w:rFonts w:ascii="Tahoma" w:hAnsi="Tahoma" w:cs="Tahoma"/>
                <w:sz w:val="20"/>
                <w:szCs w:val="20"/>
                <w:lang w:val="en-US"/>
              </w:rPr>
              <w:t>21°01’,30N</w:t>
            </w:r>
            <w:r w:rsidR="00DB1635" w:rsidRPr="00B004EE">
              <w:rPr>
                <w:rFonts w:ascii="Tahoma" w:hAnsi="Tahoma" w:cs="Tahoma"/>
                <w:sz w:val="20"/>
                <w:szCs w:val="20"/>
                <w:lang w:val="en-US"/>
              </w:rPr>
              <w:t xml:space="preserve"> </w:t>
            </w:r>
            <w:r w:rsidRPr="00B004EE">
              <w:rPr>
                <w:rFonts w:ascii="Tahoma" w:hAnsi="Tahoma" w:cs="Tahoma"/>
                <w:sz w:val="20"/>
                <w:szCs w:val="20"/>
                <w:lang w:val="en-US"/>
              </w:rPr>
              <w:t>-16°59’,50W</w:t>
            </w:r>
          </w:p>
          <w:p w14:paraId="2263C715" w14:textId="655ED1F4" w:rsidR="002F24E1" w:rsidRPr="00B004EE" w:rsidRDefault="002F24E1" w:rsidP="00B004EE">
            <w:pPr>
              <w:autoSpaceDE w:val="0"/>
              <w:autoSpaceDN w:val="0"/>
              <w:adjustRightInd w:val="0"/>
              <w:jc w:val="both"/>
              <w:rPr>
                <w:rFonts w:ascii="Tahoma" w:hAnsi="Tahoma" w:cs="Tahoma"/>
                <w:sz w:val="20"/>
                <w:szCs w:val="20"/>
                <w:lang w:val="en-US"/>
              </w:rPr>
            </w:pPr>
            <w:r w:rsidRPr="00B004EE">
              <w:rPr>
                <w:rFonts w:ascii="Tahoma" w:hAnsi="Tahoma" w:cs="Tahoma"/>
                <w:sz w:val="20"/>
                <w:szCs w:val="20"/>
                <w:lang w:val="en-US"/>
              </w:rPr>
              <w:t>Point</w:t>
            </w:r>
            <w:r w:rsidR="00DB1635" w:rsidRPr="00B004EE">
              <w:rPr>
                <w:rFonts w:ascii="Tahoma" w:hAnsi="Tahoma" w:cs="Tahoma"/>
                <w:sz w:val="20"/>
                <w:szCs w:val="20"/>
                <w:lang w:val="en-US"/>
              </w:rPr>
              <w:t xml:space="preserve"> </w:t>
            </w:r>
            <w:r w:rsidRPr="00B004EE">
              <w:rPr>
                <w:rFonts w:ascii="Tahoma" w:hAnsi="Tahoma" w:cs="Tahoma"/>
                <w:sz w:val="20"/>
                <w:szCs w:val="20"/>
                <w:lang w:val="en-US"/>
              </w:rPr>
              <w:t>B</w:t>
            </w:r>
            <w:r w:rsidR="00DB1635" w:rsidRPr="00B004EE">
              <w:rPr>
                <w:rFonts w:ascii="Tahoma" w:hAnsi="Tahoma" w:cs="Tahoma"/>
                <w:sz w:val="20"/>
                <w:szCs w:val="20"/>
                <w:lang w:val="en-US"/>
              </w:rPr>
              <w:t xml:space="preserve"> </w:t>
            </w:r>
            <w:r w:rsidRPr="00B004EE">
              <w:rPr>
                <w:rFonts w:ascii="Tahoma" w:hAnsi="Tahoma" w:cs="Tahoma"/>
                <w:sz w:val="20"/>
                <w:szCs w:val="20"/>
                <w:lang w:val="en-US"/>
              </w:rPr>
              <w:t>:</w:t>
            </w:r>
            <w:r w:rsidR="00DB1635" w:rsidRPr="00B004EE">
              <w:rPr>
                <w:rFonts w:ascii="Tahoma" w:hAnsi="Tahoma" w:cs="Tahoma"/>
                <w:sz w:val="20"/>
                <w:szCs w:val="20"/>
                <w:lang w:val="en-US"/>
              </w:rPr>
              <w:t xml:space="preserve"> </w:t>
            </w:r>
            <w:r w:rsidRPr="00B004EE">
              <w:rPr>
                <w:rFonts w:ascii="Tahoma" w:hAnsi="Tahoma" w:cs="Tahoma"/>
                <w:sz w:val="20"/>
                <w:szCs w:val="20"/>
                <w:lang w:val="en-US"/>
              </w:rPr>
              <w:t>21°01’,30N</w:t>
            </w:r>
            <w:r w:rsidR="00DB1635" w:rsidRPr="00B004EE">
              <w:rPr>
                <w:rFonts w:ascii="Tahoma" w:hAnsi="Tahoma" w:cs="Tahoma"/>
                <w:sz w:val="20"/>
                <w:szCs w:val="20"/>
                <w:lang w:val="en-US"/>
              </w:rPr>
              <w:t xml:space="preserve"> </w:t>
            </w:r>
            <w:r w:rsidRPr="00B004EE">
              <w:rPr>
                <w:rFonts w:ascii="Tahoma" w:hAnsi="Tahoma" w:cs="Tahoma"/>
                <w:sz w:val="20"/>
                <w:szCs w:val="20"/>
                <w:lang w:val="en-US"/>
              </w:rPr>
              <w:t>-</w:t>
            </w:r>
            <w:r w:rsidR="00DB1635" w:rsidRPr="00B004EE">
              <w:rPr>
                <w:rFonts w:ascii="Tahoma" w:hAnsi="Tahoma" w:cs="Tahoma"/>
                <w:sz w:val="20"/>
                <w:szCs w:val="20"/>
                <w:lang w:val="en-US"/>
              </w:rPr>
              <w:t xml:space="preserve"> </w:t>
            </w:r>
            <w:r w:rsidRPr="00B004EE">
              <w:rPr>
                <w:rFonts w:ascii="Tahoma" w:hAnsi="Tahoma" w:cs="Tahoma"/>
                <w:sz w:val="20"/>
                <w:szCs w:val="20"/>
                <w:lang w:val="en-US"/>
              </w:rPr>
              <w:t>16°51’,42W</w:t>
            </w:r>
          </w:p>
        </w:tc>
        <w:tc>
          <w:tcPr>
            <w:tcW w:w="1498" w:type="dxa"/>
            <w:tcBorders>
              <w:top w:val="single" w:sz="4" w:space="0" w:color="auto"/>
              <w:left w:val="single" w:sz="4" w:space="0" w:color="auto"/>
              <w:bottom w:val="single" w:sz="4" w:space="0" w:color="auto"/>
              <w:right w:val="single" w:sz="4" w:space="0" w:color="auto"/>
            </w:tcBorders>
            <w:vAlign w:val="center"/>
          </w:tcPr>
          <w:p w14:paraId="68D947B2" w14:textId="0772FAAA" w:rsidR="002F24E1" w:rsidRPr="00B004EE" w:rsidRDefault="002F24E1" w:rsidP="00B004EE">
            <w:pPr>
              <w:autoSpaceDE w:val="0"/>
              <w:autoSpaceDN w:val="0"/>
              <w:adjustRightInd w:val="0"/>
              <w:jc w:val="both"/>
              <w:rPr>
                <w:rFonts w:ascii="Tahoma" w:hAnsi="Tahoma" w:cs="Tahoma"/>
                <w:sz w:val="20"/>
                <w:szCs w:val="20"/>
                <w:lang w:val="en-US"/>
              </w:rPr>
            </w:pPr>
            <w:r w:rsidRPr="00B004EE">
              <w:rPr>
                <w:rFonts w:ascii="Tahoma" w:hAnsi="Tahoma" w:cs="Tahoma"/>
                <w:sz w:val="20"/>
                <w:szCs w:val="20"/>
                <w:lang w:val="en-US"/>
              </w:rPr>
              <w:t>Crassostrea</w:t>
            </w:r>
            <w:r w:rsidR="00DB1635" w:rsidRPr="00B004EE">
              <w:rPr>
                <w:rFonts w:ascii="Tahoma" w:hAnsi="Tahoma" w:cs="Tahoma"/>
                <w:sz w:val="20"/>
                <w:szCs w:val="20"/>
                <w:lang w:val="en-US"/>
              </w:rPr>
              <w:t xml:space="preserve"> </w:t>
            </w:r>
            <w:r w:rsidRPr="00B004EE">
              <w:rPr>
                <w:rFonts w:ascii="Tahoma" w:hAnsi="Tahoma" w:cs="Tahoma"/>
                <w:sz w:val="20"/>
                <w:szCs w:val="20"/>
                <w:lang w:val="en-US"/>
              </w:rPr>
              <w:t>gigas</w:t>
            </w:r>
            <w:r w:rsidR="00DB1635" w:rsidRPr="00B004EE">
              <w:rPr>
                <w:rFonts w:ascii="Tahoma" w:hAnsi="Tahoma" w:cs="Tahoma"/>
                <w:sz w:val="20"/>
                <w:szCs w:val="20"/>
                <w:lang w:val="en-US"/>
              </w:rPr>
              <w:t xml:space="preserve"> </w:t>
            </w:r>
          </w:p>
        </w:tc>
        <w:tc>
          <w:tcPr>
            <w:tcW w:w="1531" w:type="dxa"/>
            <w:tcBorders>
              <w:top w:val="single" w:sz="4" w:space="0" w:color="auto"/>
              <w:left w:val="single" w:sz="4" w:space="0" w:color="auto"/>
              <w:bottom w:val="single" w:sz="4" w:space="0" w:color="auto"/>
              <w:right w:val="single" w:sz="4" w:space="0" w:color="auto"/>
            </w:tcBorders>
            <w:vAlign w:val="center"/>
          </w:tcPr>
          <w:p w14:paraId="72A0540C" w14:textId="656627DD" w:rsidR="002F24E1" w:rsidRPr="00B004EE" w:rsidRDefault="002F24E1" w:rsidP="00B004EE">
            <w:pPr>
              <w:autoSpaceDE w:val="0"/>
              <w:autoSpaceDN w:val="0"/>
              <w:adjustRightInd w:val="0"/>
              <w:jc w:val="center"/>
              <w:rPr>
                <w:rFonts w:ascii="Tahoma" w:hAnsi="Tahoma" w:cs="Tahoma"/>
                <w:sz w:val="20"/>
                <w:szCs w:val="20"/>
                <w:lang w:val="en-US"/>
              </w:rPr>
            </w:pPr>
            <w:r w:rsidRPr="00B004EE">
              <w:rPr>
                <w:rFonts w:ascii="Tahoma" w:hAnsi="Tahoma" w:cs="Tahoma"/>
                <w:sz w:val="20"/>
                <w:szCs w:val="20"/>
                <w:lang w:val="en-US"/>
              </w:rPr>
              <w:t>A</w:t>
            </w:r>
            <w:r w:rsidR="00DB1635" w:rsidRPr="00B004EE">
              <w:rPr>
                <w:rFonts w:ascii="Tahoma" w:hAnsi="Tahoma" w:cs="Tahoma"/>
                <w:sz w:val="20"/>
                <w:szCs w:val="20"/>
                <w:lang w:val="en-US"/>
              </w:rPr>
              <w:t xml:space="preserve"> </w:t>
            </w:r>
          </w:p>
        </w:tc>
      </w:tr>
      <w:tr w:rsidR="00150C90" w:rsidRPr="00B004EE" w14:paraId="7E1EB3E1" w14:textId="77777777" w:rsidTr="008D3B28">
        <w:tc>
          <w:tcPr>
            <w:tcW w:w="2136" w:type="dxa"/>
            <w:tcBorders>
              <w:top w:val="single" w:sz="4" w:space="0" w:color="auto"/>
              <w:left w:val="single" w:sz="4" w:space="0" w:color="auto"/>
              <w:bottom w:val="single" w:sz="4" w:space="0" w:color="auto"/>
              <w:right w:val="single" w:sz="4" w:space="0" w:color="auto"/>
            </w:tcBorders>
            <w:vAlign w:val="center"/>
          </w:tcPr>
          <w:p w14:paraId="2B79D871" w14:textId="2B954EC9" w:rsidR="002F24E1" w:rsidRPr="00B004EE" w:rsidRDefault="002F24E1" w:rsidP="00B004EE">
            <w:pPr>
              <w:autoSpaceDE w:val="0"/>
              <w:autoSpaceDN w:val="0"/>
              <w:adjustRightInd w:val="0"/>
              <w:jc w:val="both"/>
              <w:rPr>
                <w:rFonts w:ascii="Tahoma" w:hAnsi="Tahoma" w:cs="Tahoma"/>
                <w:sz w:val="20"/>
                <w:szCs w:val="20"/>
              </w:rPr>
            </w:pPr>
            <w:r w:rsidRPr="00B004EE">
              <w:rPr>
                <w:rFonts w:ascii="Tahoma" w:hAnsi="Tahoma" w:cs="Tahoma"/>
                <w:sz w:val="20"/>
                <w:szCs w:val="20"/>
              </w:rPr>
              <w:t>Zone</w:t>
            </w:r>
            <w:r w:rsidR="00DB1635" w:rsidRPr="00B004EE">
              <w:rPr>
                <w:rFonts w:ascii="Tahoma" w:hAnsi="Tahoma" w:cs="Tahoma"/>
                <w:sz w:val="20"/>
                <w:szCs w:val="20"/>
              </w:rPr>
              <w:t xml:space="preserve"> </w:t>
            </w:r>
            <w:r w:rsidRPr="00B004EE">
              <w:rPr>
                <w:rFonts w:ascii="Tahoma" w:hAnsi="Tahoma" w:cs="Tahoma"/>
                <w:sz w:val="20"/>
                <w:szCs w:val="20"/>
              </w:rPr>
              <w:t>Maritime</w:t>
            </w:r>
            <w:r w:rsidR="00DB1635" w:rsidRPr="00B004EE">
              <w:rPr>
                <w:rFonts w:ascii="Tahoma" w:hAnsi="Tahoma" w:cs="Tahoma"/>
                <w:sz w:val="20"/>
                <w:szCs w:val="20"/>
              </w:rPr>
              <w:t xml:space="preserve"> </w:t>
            </w:r>
            <w:r w:rsidRPr="00B004EE">
              <w:rPr>
                <w:rFonts w:ascii="Tahoma" w:hAnsi="Tahoma" w:cs="Tahoma"/>
                <w:sz w:val="20"/>
                <w:szCs w:val="20"/>
              </w:rPr>
              <w:t>Vérrucosa</w:t>
            </w:r>
            <w:r w:rsidR="00DB1635" w:rsidRPr="00B004EE">
              <w:rPr>
                <w:rFonts w:ascii="Tahoma" w:hAnsi="Tahoma" w:cs="Tahoma"/>
                <w:sz w:val="20"/>
                <w:szCs w:val="20"/>
              </w:rPr>
              <w:t xml:space="preserve"> </w:t>
            </w:r>
          </w:p>
        </w:tc>
        <w:tc>
          <w:tcPr>
            <w:tcW w:w="4265" w:type="dxa"/>
            <w:tcBorders>
              <w:top w:val="single" w:sz="4" w:space="0" w:color="auto"/>
              <w:left w:val="single" w:sz="4" w:space="0" w:color="auto"/>
              <w:bottom w:val="single" w:sz="4" w:space="0" w:color="auto"/>
              <w:right w:val="single" w:sz="4" w:space="0" w:color="auto"/>
            </w:tcBorders>
          </w:tcPr>
          <w:p w14:paraId="7C714203" w14:textId="465A3D5B" w:rsidR="002F24E1" w:rsidRPr="00B004EE" w:rsidRDefault="002F24E1" w:rsidP="00B004EE">
            <w:pPr>
              <w:autoSpaceDE w:val="0"/>
              <w:autoSpaceDN w:val="0"/>
              <w:adjustRightInd w:val="0"/>
              <w:jc w:val="both"/>
              <w:rPr>
                <w:rFonts w:ascii="Tahoma" w:hAnsi="Tahoma" w:cs="Tahoma"/>
                <w:sz w:val="20"/>
                <w:szCs w:val="20"/>
              </w:rPr>
            </w:pPr>
            <w:r w:rsidRPr="00B004EE">
              <w:rPr>
                <w:rFonts w:ascii="Tahoma" w:hAnsi="Tahoma" w:cs="Tahoma"/>
                <w:sz w:val="20"/>
                <w:szCs w:val="20"/>
              </w:rPr>
              <w:t>Zone</w:t>
            </w:r>
            <w:r w:rsidR="00DB1635" w:rsidRPr="00B004EE">
              <w:rPr>
                <w:rFonts w:ascii="Tahoma" w:hAnsi="Tahoma" w:cs="Tahoma"/>
                <w:sz w:val="20"/>
                <w:szCs w:val="20"/>
              </w:rPr>
              <w:t xml:space="preserve"> </w:t>
            </w:r>
            <w:r w:rsidRPr="00B004EE">
              <w:rPr>
                <w:rFonts w:ascii="Tahoma" w:hAnsi="Tahoma" w:cs="Tahoma"/>
                <w:sz w:val="20"/>
                <w:szCs w:val="20"/>
              </w:rPr>
              <w:t>délimitée</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coordonnées</w:t>
            </w:r>
            <w:r w:rsidR="00DB1635" w:rsidRPr="00B004EE">
              <w:rPr>
                <w:rFonts w:ascii="Tahoma" w:hAnsi="Tahoma" w:cs="Tahoma"/>
                <w:sz w:val="20"/>
                <w:szCs w:val="20"/>
              </w:rPr>
              <w:t xml:space="preserve"> </w:t>
            </w:r>
            <w:r w:rsidRPr="00B004EE">
              <w:rPr>
                <w:rFonts w:ascii="Tahoma" w:hAnsi="Tahoma" w:cs="Tahoma"/>
                <w:sz w:val="20"/>
                <w:szCs w:val="20"/>
              </w:rPr>
              <w:t>géographiques</w:t>
            </w:r>
            <w:r w:rsidR="00DB1635" w:rsidRPr="00B004EE">
              <w:rPr>
                <w:rFonts w:ascii="Tahoma" w:hAnsi="Tahoma" w:cs="Tahoma"/>
                <w:sz w:val="20"/>
                <w:szCs w:val="20"/>
              </w:rPr>
              <w:t xml:space="preserve"> </w:t>
            </w:r>
            <w:r w:rsidRPr="00B004EE">
              <w:rPr>
                <w:rFonts w:ascii="Tahoma" w:hAnsi="Tahoma" w:cs="Tahoma"/>
                <w:sz w:val="20"/>
                <w:szCs w:val="20"/>
              </w:rPr>
              <w:t>suivantes</w:t>
            </w:r>
            <w:r w:rsidR="00DB1635" w:rsidRPr="00B004EE">
              <w:rPr>
                <w:rFonts w:ascii="Tahoma" w:hAnsi="Tahoma" w:cs="Tahoma"/>
                <w:sz w:val="20"/>
                <w:szCs w:val="20"/>
              </w:rPr>
              <w:t xml:space="preserve"> </w:t>
            </w:r>
            <w:r w:rsidRPr="00B004EE">
              <w:rPr>
                <w:rFonts w:ascii="Tahoma" w:hAnsi="Tahoma" w:cs="Tahoma"/>
                <w:sz w:val="20"/>
                <w:szCs w:val="20"/>
              </w:rPr>
              <w:t>:</w:t>
            </w:r>
          </w:p>
          <w:p w14:paraId="1FFE5A90" w14:textId="35B00460" w:rsidR="002F24E1" w:rsidRPr="00B004EE" w:rsidRDefault="002F24E1" w:rsidP="00B004EE">
            <w:pPr>
              <w:suppressLineNumbers/>
              <w:tabs>
                <w:tab w:val="left" w:pos="567"/>
              </w:tabs>
              <w:rPr>
                <w:rFonts w:ascii="Tahoma" w:hAnsi="Tahoma" w:cs="Tahoma"/>
                <w:sz w:val="20"/>
                <w:szCs w:val="20"/>
                <w:lang w:val="en-US"/>
              </w:rPr>
            </w:pPr>
            <w:r w:rsidRPr="00B004EE">
              <w:rPr>
                <w:rFonts w:ascii="Tahoma" w:hAnsi="Tahoma" w:cs="Tahoma"/>
                <w:sz w:val="20"/>
                <w:szCs w:val="20"/>
                <w:lang w:val="en-US"/>
              </w:rPr>
              <w:t>Point</w:t>
            </w:r>
            <w:r w:rsidR="00DB1635" w:rsidRPr="00B004EE">
              <w:rPr>
                <w:rFonts w:ascii="Tahoma" w:hAnsi="Tahoma" w:cs="Tahoma"/>
                <w:sz w:val="20"/>
                <w:szCs w:val="20"/>
                <w:lang w:val="en-US"/>
              </w:rPr>
              <w:t xml:space="preserve"> </w:t>
            </w:r>
            <w:r w:rsidR="00A5129F" w:rsidRPr="00B004EE">
              <w:rPr>
                <w:rFonts w:ascii="Tahoma" w:hAnsi="Tahoma" w:cs="Tahoma"/>
                <w:sz w:val="20"/>
                <w:szCs w:val="20"/>
                <w:lang w:val="en-US"/>
              </w:rPr>
              <w:t>A:</w:t>
            </w:r>
            <w:r w:rsidR="00DB1635" w:rsidRPr="00B004EE">
              <w:rPr>
                <w:rFonts w:ascii="Tahoma" w:hAnsi="Tahoma" w:cs="Tahoma"/>
                <w:sz w:val="20"/>
                <w:szCs w:val="20"/>
                <w:lang w:val="en-US"/>
              </w:rPr>
              <w:t xml:space="preserve"> </w:t>
            </w:r>
            <w:r w:rsidRPr="00B004EE">
              <w:rPr>
                <w:rFonts w:ascii="Tahoma" w:hAnsi="Tahoma" w:cs="Tahoma"/>
                <w:sz w:val="20"/>
                <w:szCs w:val="20"/>
                <w:lang w:val="en-US"/>
              </w:rPr>
              <w:t>20°48´N</w:t>
            </w:r>
            <w:r w:rsidR="00DB1635" w:rsidRPr="00B004EE">
              <w:rPr>
                <w:rFonts w:ascii="Tahoma" w:hAnsi="Tahoma" w:cs="Tahoma"/>
                <w:sz w:val="20"/>
                <w:szCs w:val="20"/>
                <w:lang w:val="en-US"/>
              </w:rPr>
              <w:t xml:space="preserve"> </w:t>
            </w:r>
            <w:r w:rsidRPr="00B004EE">
              <w:rPr>
                <w:rFonts w:ascii="Tahoma" w:hAnsi="Tahoma" w:cs="Tahoma"/>
                <w:sz w:val="20"/>
                <w:szCs w:val="20"/>
                <w:lang w:val="en-US"/>
              </w:rPr>
              <w:t>-</w:t>
            </w:r>
            <w:r w:rsidR="00DB1635" w:rsidRPr="00B004EE">
              <w:rPr>
                <w:rFonts w:ascii="Tahoma" w:hAnsi="Tahoma" w:cs="Tahoma"/>
                <w:sz w:val="20"/>
                <w:szCs w:val="20"/>
                <w:lang w:val="en-US"/>
              </w:rPr>
              <w:t xml:space="preserve"> </w:t>
            </w:r>
            <w:r w:rsidRPr="00B004EE">
              <w:rPr>
                <w:rFonts w:ascii="Tahoma" w:hAnsi="Tahoma" w:cs="Tahoma"/>
                <w:sz w:val="20"/>
                <w:szCs w:val="20"/>
                <w:lang w:val="en-US"/>
              </w:rPr>
              <w:t>17°02’W</w:t>
            </w:r>
          </w:p>
          <w:p w14:paraId="7BE50852" w14:textId="4D44BF78" w:rsidR="002F24E1" w:rsidRPr="00B004EE" w:rsidRDefault="002F24E1" w:rsidP="00B004EE">
            <w:pPr>
              <w:suppressLineNumbers/>
              <w:tabs>
                <w:tab w:val="left" w:pos="567"/>
              </w:tabs>
              <w:rPr>
                <w:rFonts w:ascii="Tahoma" w:hAnsi="Tahoma" w:cs="Tahoma"/>
                <w:sz w:val="20"/>
                <w:szCs w:val="20"/>
                <w:lang w:val="en-US"/>
              </w:rPr>
            </w:pPr>
            <w:r w:rsidRPr="00B004EE">
              <w:rPr>
                <w:rFonts w:ascii="Tahoma" w:hAnsi="Tahoma" w:cs="Tahoma"/>
                <w:sz w:val="20"/>
                <w:szCs w:val="20"/>
                <w:lang w:val="en-US"/>
              </w:rPr>
              <w:t>Point</w:t>
            </w:r>
            <w:r w:rsidR="00DB1635" w:rsidRPr="00B004EE">
              <w:rPr>
                <w:rFonts w:ascii="Tahoma" w:hAnsi="Tahoma" w:cs="Tahoma"/>
                <w:sz w:val="20"/>
                <w:szCs w:val="20"/>
                <w:lang w:val="en-US"/>
              </w:rPr>
              <w:t xml:space="preserve"> </w:t>
            </w:r>
            <w:r w:rsidRPr="00B004EE">
              <w:rPr>
                <w:rFonts w:ascii="Tahoma" w:hAnsi="Tahoma" w:cs="Tahoma"/>
                <w:sz w:val="20"/>
                <w:szCs w:val="20"/>
                <w:lang w:val="en-US"/>
              </w:rPr>
              <w:t>B</w:t>
            </w:r>
            <w:r w:rsidR="00DB1635" w:rsidRPr="00B004EE">
              <w:rPr>
                <w:rFonts w:ascii="Tahoma" w:hAnsi="Tahoma" w:cs="Tahoma"/>
                <w:sz w:val="20"/>
                <w:szCs w:val="20"/>
                <w:lang w:val="en-US"/>
              </w:rPr>
              <w:t xml:space="preserve"> </w:t>
            </w:r>
            <w:r w:rsidRPr="00B004EE">
              <w:rPr>
                <w:rFonts w:ascii="Tahoma" w:hAnsi="Tahoma" w:cs="Tahoma"/>
                <w:sz w:val="20"/>
                <w:szCs w:val="20"/>
                <w:lang w:val="en-US"/>
              </w:rPr>
              <w:t>:</w:t>
            </w:r>
            <w:r w:rsidR="00DB1635" w:rsidRPr="00B004EE">
              <w:rPr>
                <w:rFonts w:ascii="Tahoma" w:hAnsi="Tahoma" w:cs="Tahoma"/>
                <w:sz w:val="20"/>
                <w:szCs w:val="20"/>
                <w:lang w:val="en-US"/>
              </w:rPr>
              <w:t xml:space="preserve"> </w:t>
            </w:r>
            <w:r w:rsidRPr="00B004EE">
              <w:rPr>
                <w:rFonts w:ascii="Tahoma" w:hAnsi="Tahoma" w:cs="Tahoma"/>
                <w:sz w:val="20"/>
                <w:szCs w:val="20"/>
                <w:lang w:val="en-US"/>
              </w:rPr>
              <w:t>20°54’N</w:t>
            </w:r>
            <w:r w:rsidR="00DB1635" w:rsidRPr="00B004EE">
              <w:rPr>
                <w:rFonts w:ascii="Tahoma" w:hAnsi="Tahoma" w:cs="Tahoma"/>
                <w:sz w:val="20"/>
                <w:szCs w:val="20"/>
                <w:lang w:val="en-US"/>
              </w:rPr>
              <w:t xml:space="preserve"> </w:t>
            </w:r>
            <w:r w:rsidRPr="00B004EE">
              <w:rPr>
                <w:rFonts w:ascii="Tahoma" w:hAnsi="Tahoma" w:cs="Tahoma"/>
                <w:sz w:val="20"/>
                <w:szCs w:val="20"/>
                <w:lang w:val="en-US"/>
              </w:rPr>
              <w:t>-</w:t>
            </w:r>
            <w:r w:rsidR="00DB1635" w:rsidRPr="00B004EE">
              <w:rPr>
                <w:rFonts w:ascii="Tahoma" w:hAnsi="Tahoma" w:cs="Tahoma"/>
                <w:sz w:val="20"/>
                <w:szCs w:val="20"/>
                <w:lang w:val="en-US"/>
              </w:rPr>
              <w:t xml:space="preserve"> </w:t>
            </w:r>
            <w:r w:rsidRPr="00B004EE">
              <w:rPr>
                <w:rFonts w:ascii="Tahoma" w:hAnsi="Tahoma" w:cs="Tahoma"/>
                <w:sz w:val="20"/>
                <w:szCs w:val="20"/>
                <w:lang w:val="en-US"/>
              </w:rPr>
              <w:t>17°48’</w:t>
            </w:r>
            <w:r w:rsidR="00DB1635" w:rsidRPr="00B004EE">
              <w:rPr>
                <w:rFonts w:ascii="Tahoma" w:hAnsi="Tahoma" w:cs="Tahoma"/>
                <w:sz w:val="20"/>
                <w:szCs w:val="20"/>
                <w:lang w:val="en-US"/>
              </w:rPr>
              <w:t xml:space="preserve"> </w:t>
            </w:r>
            <w:r w:rsidRPr="00B004EE">
              <w:rPr>
                <w:rFonts w:ascii="Tahoma" w:hAnsi="Tahoma" w:cs="Tahoma"/>
                <w:sz w:val="20"/>
                <w:szCs w:val="20"/>
                <w:lang w:val="en-US"/>
              </w:rPr>
              <w:t>W</w:t>
            </w:r>
          </w:p>
        </w:tc>
        <w:tc>
          <w:tcPr>
            <w:tcW w:w="1498" w:type="dxa"/>
            <w:tcBorders>
              <w:top w:val="single" w:sz="4" w:space="0" w:color="auto"/>
              <w:left w:val="single" w:sz="4" w:space="0" w:color="auto"/>
              <w:bottom w:val="single" w:sz="4" w:space="0" w:color="auto"/>
              <w:right w:val="single" w:sz="4" w:space="0" w:color="auto"/>
            </w:tcBorders>
            <w:vAlign w:val="center"/>
          </w:tcPr>
          <w:p w14:paraId="1C7D32F8" w14:textId="77960520" w:rsidR="002F24E1" w:rsidRPr="00B004EE" w:rsidRDefault="002F24E1" w:rsidP="00B004EE">
            <w:pPr>
              <w:autoSpaceDE w:val="0"/>
              <w:autoSpaceDN w:val="0"/>
              <w:adjustRightInd w:val="0"/>
              <w:jc w:val="both"/>
              <w:rPr>
                <w:rFonts w:ascii="Tahoma" w:hAnsi="Tahoma" w:cs="Tahoma"/>
                <w:sz w:val="20"/>
                <w:szCs w:val="20"/>
                <w:lang w:val="en-US"/>
              </w:rPr>
            </w:pPr>
            <w:r w:rsidRPr="00B004EE">
              <w:rPr>
                <w:rFonts w:ascii="Tahoma" w:hAnsi="Tahoma" w:cs="Tahoma"/>
                <w:sz w:val="20"/>
                <w:szCs w:val="20"/>
                <w:lang w:val="en-US"/>
              </w:rPr>
              <w:t>Venus</w:t>
            </w:r>
            <w:r w:rsidR="00A5129F" w:rsidRPr="00B004EE">
              <w:rPr>
                <w:rFonts w:ascii="Tahoma" w:hAnsi="Tahoma" w:cs="Tahoma"/>
                <w:sz w:val="20"/>
                <w:szCs w:val="20"/>
                <w:lang w:val="en-US"/>
              </w:rPr>
              <w:t xml:space="preserve"> </w:t>
            </w:r>
            <w:r w:rsidRPr="00B004EE">
              <w:rPr>
                <w:rFonts w:ascii="Tahoma" w:hAnsi="Tahoma" w:cs="Tahoma"/>
                <w:sz w:val="20"/>
                <w:szCs w:val="20"/>
                <w:lang w:val="en-US"/>
              </w:rPr>
              <w:t>verrucosa</w:t>
            </w:r>
            <w:r w:rsidR="00DB1635" w:rsidRPr="00B004EE">
              <w:rPr>
                <w:rFonts w:ascii="Tahoma" w:hAnsi="Tahoma" w:cs="Tahoma"/>
                <w:sz w:val="20"/>
                <w:szCs w:val="20"/>
                <w:lang w:val="en-US"/>
              </w:rPr>
              <w:t xml:space="preserve"> </w:t>
            </w:r>
          </w:p>
        </w:tc>
        <w:tc>
          <w:tcPr>
            <w:tcW w:w="1531" w:type="dxa"/>
            <w:tcBorders>
              <w:top w:val="single" w:sz="4" w:space="0" w:color="auto"/>
              <w:left w:val="single" w:sz="4" w:space="0" w:color="auto"/>
              <w:bottom w:val="single" w:sz="4" w:space="0" w:color="auto"/>
              <w:right w:val="single" w:sz="4" w:space="0" w:color="auto"/>
            </w:tcBorders>
            <w:vAlign w:val="center"/>
          </w:tcPr>
          <w:p w14:paraId="0A190D45" w14:textId="31B92B76" w:rsidR="002F24E1" w:rsidRPr="00B004EE" w:rsidRDefault="002F24E1" w:rsidP="00B004EE">
            <w:pPr>
              <w:autoSpaceDE w:val="0"/>
              <w:autoSpaceDN w:val="0"/>
              <w:adjustRightInd w:val="0"/>
              <w:jc w:val="center"/>
              <w:rPr>
                <w:rFonts w:ascii="Tahoma" w:hAnsi="Tahoma" w:cs="Tahoma"/>
                <w:sz w:val="20"/>
                <w:szCs w:val="20"/>
                <w:lang w:val="en-US"/>
              </w:rPr>
            </w:pPr>
            <w:r w:rsidRPr="00B004EE">
              <w:rPr>
                <w:rFonts w:ascii="Tahoma" w:hAnsi="Tahoma" w:cs="Tahoma"/>
                <w:sz w:val="20"/>
                <w:szCs w:val="20"/>
              </w:rPr>
              <w:t>Interdite</w:t>
            </w:r>
            <w:r w:rsidR="00DB1635" w:rsidRPr="00B004EE">
              <w:rPr>
                <w:rFonts w:ascii="Tahoma" w:hAnsi="Tahoma" w:cs="Tahoma"/>
                <w:sz w:val="20"/>
                <w:szCs w:val="20"/>
                <w:lang w:val="en-US"/>
              </w:rPr>
              <w:t xml:space="preserve"> </w:t>
            </w:r>
          </w:p>
        </w:tc>
      </w:tr>
      <w:tr w:rsidR="00150C90" w:rsidRPr="00B004EE" w14:paraId="40890A28" w14:textId="77777777" w:rsidTr="008D3B28">
        <w:tc>
          <w:tcPr>
            <w:tcW w:w="2136" w:type="dxa"/>
            <w:tcBorders>
              <w:top w:val="single" w:sz="4" w:space="0" w:color="auto"/>
              <w:left w:val="single" w:sz="4" w:space="0" w:color="auto"/>
              <w:bottom w:val="single" w:sz="4" w:space="0" w:color="auto"/>
              <w:right w:val="single" w:sz="4" w:space="0" w:color="auto"/>
            </w:tcBorders>
            <w:vAlign w:val="center"/>
          </w:tcPr>
          <w:p w14:paraId="7AE7B832" w14:textId="0C1DCF76" w:rsidR="002F24E1" w:rsidRPr="00B004EE" w:rsidRDefault="002F24E1" w:rsidP="00B004EE">
            <w:pPr>
              <w:autoSpaceDE w:val="0"/>
              <w:autoSpaceDN w:val="0"/>
              <w:adjustRightInd w:val="0"/>
              <w:jc w:val="both"/>
              <w:rPr>
                <w:rFonts w:ascii="Tahoma" w:hAnsi="Tahoma" w:cs="Tahoma"/>
                <w:sz w:val="20"/>
                <w:szCs w:val="20"/>
              </w:rPr>
            </w:pPr>
            <w:r w:rsidRPr="00B004EE">
              <w:rPr>
                <w:rFonts w:ascii="Tahoma" w:hAnsi="Tahoma" w:cs="Tahoma"/>
                <w:sz w:val="20"/>
                <w:szCs w:val="20"/>
              </w:rPr>
              <w:t>Zone</w:t>
            </w:r>
            <w:r w:rsidR="00DB1635" w:rsidRPr="00B004EE">
              <w:rPr>
                <w:rFonts w:ascii="Tahoma" w:hAnsi="Tahoma" w:cs="Tahoma"/>
                <w:sz w:val="20"/>
                <w:szCs w:val="20"/>
              </w:rPr>
              <w:t xml:space="preserve"> </w:t>
            </w:r>
            <w:r w:rsidRPr="00B004EE">
              <w:rPr>
                <w:rFonts w:ascii="Tahoma" w:hAnsi="Tahoma" w:cs="Tahoma"/>
                <w:sz w:val="20"/>
                <w:szCs w:val="20"/>
              </w:rPr>
              <w:t>Maritime</w:t>
            </w:r>
            <w:r w:rsidR="00DB1635" w:rsidRPr="00B004EE">
              <w:rPr>
                <w:rFonts w:ascii="Tahoma" w:hAnsi="Tahoma" w:cs="Tahoma"/>
                <w:sz w:val="20"/>
                <w:szCs w:val="20"/>
              </w:rPr>
              <w:t xml:space="preserve"> </w:t>
            </w:r>
            <w:r w:rsidRPr="00B004EE">
              <w:rPr>
                <w:rFonts w:ascii="Tahoma" w:hAnsi="Tahoma" w:cs="Tahoma"/>
                <w:sz w:val="20"/>
                <w:szCs w:val="20"/>
              </w:rPr>
              <w:t>Rosalina</w:t>
            </w:r>
            <w:r w:rsidR="00DB1635" w:rsidRPr="00B004EE">
              <w:rPr>
                <w:rFonts w:ascii="Tahoma" w:hAnsi="Tahoma" w:cs="Tahoma"/>
                <w:sz w:val="20"/>
                <w:szCs w:val="20"/>
              </w:rPr>
              <w:t xml:space="preserve"> </w:t>
            </w:r>
          </w:p>
        </w:tc>
        <w:tc>
          <w:tcPr>
            <w:tcW w:w="4265" w:type="dxa"/>
            <w:tcBorders>
              <w:top w:val="single" w:sz="4" w:space="0" w:color="auto"/>
              <w:left w:val="single" w:sz="4" w:space="0" w:color="auto"/>
              <w:bottom w:val="single" w:sz="4" w:space="0" w:color="auto"/>
              <w:right w:val="single" w:sz="4" w:space="0" w:color="auto"/>
            </w:tcBorders>
          </w:tcPr>
          <w:p w14:paraId="269240F0" w14:textId="31C6A234" w:rsidR="002F24E1" w:rsidRPr="00B004EE" w:rsidRDefault="002F24E1" w:rsidP="00B004EE">
            <w:pPr>
              <w:autoSpaceDE w:val="0"/>
              <w:autoSpaceDN w:val="0"/>
              <w:adjustRightInd w:val="0"/>
              <w:jc w:val="both"/>
              <w:rPr>
                <w:rFonts w:ascii="Tahoma" w:hAnsi="Tahoma" w:cs="Tahoma"/>
                <w:sz w:val="20"/>
                <w:szCs w:val="20"/>
              </w:rPr>
            </w:pPr>
            <w:r w:rsidRPr="00B004EE">
              <w:rPr>
                <w:rFonts w:ascii="Tahoma" w:hAnsi="Tahoma" w:cs="Tahoma"/>
                <w:sz w:val="20"/>
                <w:szCs w:val="20"/>
              </w:rPr>
              <w:t>Zone</w:t>
            </w:r>
            <w:r w:rsidR="00DB1635" w:rsidRPr="00B004EE">
              <w:rPr>
                <w:rFonts w:ascii="Tahoma" w:hAnsi="Tahoma" w:cs="Tahoma"/>
                <w:sz w:val="20"/>
                <w:szCs w:val="20"/>
              </w:rPr>
              <w:t xml:space="preserve"> </w:t>
            </w:r>
            <w:r w:rsidRPr="00B004EE">
              <w:rPr>
                <w:rFonts w:ascii="Tahoma" w:hAnsi="Tahoma" w:cs="Tahoma"/>
                <w:sz w:val="20"/>
                <w:szCs w:val="20"/>
              </w:rPr>
              <w:t>délimitée</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coordonnées</w:t>
            </w:r>
            <w:r w:rsidR="00DB1635" w:rsidRPr="00B004EE">
              <w:rPr>
                <w:rFonts w:ascii="Tahoma" w:hAnsi="Tahoma" w:cs="Tahoma"/>
                <w:sz w:val="20"/>
                <w:szCs w:val="20"/>
              </w:rPr>
              <w:t xml:space="preserve"> </w:t>
            </w:r>
            <w:r w:rsidRPr="00B004EE">
              <w:rPr>
                <w:rFonts w:ascii="Tahoma" w:hAnsi="Tahoma" w:cs="Tahoma"/>
                <w:sz w:val="20"/>
                <w:szCs w:val="20"/>
              </w:rPr>
              <w:t>géographiques</w:t>
            </w:r>
            <w:r w:rsidR="00DB1635" w:rsidRPr="00B004EE">
              <w:rPr>
                <w:rFonts w:ascii="Tahoma" w:hAnsi="Tahoma" w:cs="Tahoma"/>
                <w:sz w:val="20"/>
                <w:szCs w:val="20"/>
              </w:rPr>
              <w:t xml:space="preserve"> </w:t>
            </w:r>
            <w:r w:rsidRPr="00B004EE">
              <w:rPr>
                <w:rFonts w:ascii="Tahoma" w:hAnsi="Tahoma" w:cs="Tahoma"/>
                <w:sz w:val="20"/>
                <w:szCs w:val="20"/>
              </w:rPr>
              <w:t>suivantes</w:t>
            </w:r>
            <w:r w:rsidR="00DB1635" w:rsidRPr="00B004EE">
              <w:rPr>
                <w:rFonts w:ascii="Tahoma" w:hAnsi="Tahoma" w:cs="Tahoma"/>
                <w:sz w:val="20"/>
                <w:szCs w:val="20"/>
              </w:rPr>
              <w:t xml:space="preserve"> </w:t>
            </w:r>
            <w:r w:rsidRPr="00B004EE">
              <w:rPr>
                <w:rFonts w:ascii="Tahoma" w:hAnsi="Tahoma" w:cs="Tahoma"/>
                <w:sz w:val="20"/>
                <w:szCs w:val="20"/>
              </w:rPr>
              <w:t>:</w:t>
            </w:r>
          </w:p>
          <w:p w14:paraId="53D20AE2" w14:textId="3B7364A1" w:rsidR="002F24E1" w:rsidRPr="00B004EE" w:rsidRDefault="002F24E1" w:rsidP="00B004EE">
            <w:pPr>
              <w:autoSpaceDE w:val="0"/>
              <w:autoSpaceDN w:val="0"/>
              <w:adjustRightInd w:val="0"/>
              <w:jc w:val="both"/>
              <w:rPr>
                <w:rFonts w:ascii="Tahoma" w:hAnsi="Tahoma" w:cs="Tahoma"/>
                <w:sz w:val="20"/>
                <w:szCs w:val="20"/>
                <w:lang w:val="en-US"/>
              </w:rPr>
            </w:pPr>
            <w:r w:rsidRPr="00B004EE">
              <w:rPr>
                <w:rFonts w:ascii="Tahoma" w:hAnsi="Tahoma" w:cs="Tahoma"/>
                <w:sz w:val="20"/>
                <w:szCs w:val="20"/>
                <w:lang w:val="en-US"/>
              </w:rPr>
              <w:t>Point</w:t>
            </w:r>
            <w:r w:rsidR="00DB1635" w:rsidRPr="00B004EE">
              <w:rPr>
                <w:rFonts w:ascii="Tahoma" w:hAnsi="Tahoma" w:cs="Tahoma"/>
                <w:sz w:val="20"/>
                <w:szCs w:val="20"/>
                <w:lang w:val="en-US"/>
              </w:rPr>
              <w:t xml:space="preserve"> </w:t>
            </w:r>
            <w:proofErr w:type="gramStart"/>
            <w:r w:rsidRPr="00B004EE">
              <w:rPr>
                <w:rFonts w:ascii="Tahoma" w:hAnsi="Tahoma" w:cs="Tahoma"/>
                <w:sz w:val="20"/>
                <w:szCs w:val="20"/>
                <w:lang w:val="en-US"/>
              </w:rPr>
              <w:t>A</w:t>
            </w:r>
            <w:r w:rsidR="00DB1635" w:rsidRPr="00B004EE">
              <w:rPr>
                <w:rFonts w:ascii="Tahoma" w:hAnsi="Tahoma" w:cs="Tahoma"/>
                <w:sz w:val="20"/>
                <w:szCs w:val="20"/>
                <w:lang w:val="en-US"/>
              </w:rPr>
              <w:t xml:space="preserve"> </w:t>
            </w:r>
            <w:r w:rsidRPr="00B004EE">
              <w:rPr>
                <w:rFonts w:ascii="Tahoma" w:hAnsi="Tahoma" w:cs="Tahoma"/>
                <w:sz w:val="20"/>
                <w:szCs w:val="20"/>
                <w:lang w:val="en-US"/>
              </w:rPr>
              <w:t>:</w:t>
            </w:r>
            <w:proofErr w:type="gramEnd"/>
            <w:r w:rsidR="00DB1635" w:rsidRPr="00B004EE">
              <w:rPr>
                <w:rFonts w:ascii="Tahoma" w:hAnsi="Tahoma" w:cs="Tahoma"/>
                <w:sz w:val="20"/>
                <w:szCs w:val="20"/>
                <w:lang w:val="en-US"/>
              </w:rPr>
              <w:t xml:space="preserve"> </w:t>
            </w:r>
            <w:r w:rsidRPr="00B004EE">
              <w:rPr>
                <w:rFonts w:ascii="Tahoma" w:hAnsi="Tahoma" w:cs="Tahoma"/>
                <w:sz w:val="20"/>
                <w:szCs w:val="20"/>
                <w:lang w:val="en-US"/>
              </w:rPr>
              <w:t>20°12´N</w:t>
            </w:r>
            <w:r w:rsidR="00DB1635" w:rsidRPr="00B004EE">
              <w:rPr>
                <w:rFonts w:ascii="Tahoma" w:hAnsi="Tahoma" w:cs="Tahoma"/>
                <w:sz w:val="20"/>
                <w:szCs w:val="20"/>
                <w:lang w:val="en-US"/>
              </w:rPr>
              <w:t xml:space="preserve"> </w:t>
            </w:r>
            <w:r w:rsidRPr="00B004EE">
              <w:rPr>
                <w:rFonts w:ascii="Tahoma" w:hAnsi="Tahoma" w:cs="Tahoma"/>
                <w:sz w:val="20"/>
                <w:szCs w:val="20"/>
                <w:lang w:val="en-US"/>
              </w:rPr>
              <w:t>-</w:t>
            </w:r>
            <w:r w:rsidR="00DB1635" w:rsidRPr="00B004EE">
              <w:rPr>
                <w:rFonts w:ascii="Tahoma" w:hAnsi="Tahoma" w:cs="Tahoma"/>
                <w:sz w:val="20"/>
                <w:szCs w:val="20"/>
                <w:lang w:val="en-US"/>
              </w:rPr>
              <w:t xml:space="preserve"> </w:t>
            </w:r>
            <w:r w:rsidRPr="00B004EE">
              <w:rPr>
                <w:rFonts w:ascii="Tahoma" w:hAnsi="Tahoma" w:cs="Tahoma"/>
                <w:sz w:val="20"/>
                <w:szCs w:val="20"/>
                <w:lang w:val="en-US"/>
              </w:rPr>
              <w:t>17°08´W</w:t>
            </w:r>
          </w:p>
          <w:p w14:paraId="3BF855D2" w14:textId="737DCE79" w:rsidR="002F24E1" w:rsidRPr="00B004EE" w:rsidRDefault="002F24E1" w:rsidP="00B004EE">
            <w:pPr>
              <w:autoSpaceDE w:val="0"/>
              <w:autoSpaceDN w:val="0"/>
              <w:adjustRightInd w:val="0"/>
              <w:jc w:val="both"/>
              <w:rPr>
                <w:rFonts w:ascii="Tahoma" w:hAnsi="Tahoma" w:cs="Tahoma"/>
                <w:sz w:val="20"/>
                <w:szCs w:val="20"/>
                <w:lang w:val="en-US"/>
              </w:rPr>
            </w:pPr>
            <w:r w:rsidRPr="00B004EE">
              <w:rPr>
                <w:rFonts w:ascii="Tahoma" w:hAnsi="Tahoma" w:cs="Tahoma"/>
                <w:sz w:val="20"/>
                <w:szCs w:val="20"/>
                <w:lang w:val="en-US"/>
              </w:rPr>
              <w:t>Point</w:t>
            </w:r>
            <w:r w:rsidR="00DB1635" w:rsidRPr="00B004EE">
              <w:rPr>
                <w:rFonts w:ascii="Tahoma" w:hAnsi="Tahoma" w:cs="Tahoma"/>
                <w:sz w:val="20"/>
                <w:szCs w:val="20"/>
                <w:lang w:val="en-US"/>
              </w:rPr>
              <w:t xml:space="preserve"> </w:t>
            </w:r>
            <w:r w:rsidRPr="00B004EE">
              <w:rPr>
                <w:rFonts w:ascii="Tahoma" w:hAnsi="Tahoma" w:cs="Tahoma"/>
                <w:sz w:val="20"/>
                <w:szCs w:val="20"/>
                <w:lang w:val="en-US"/>
              </w:rPr>
              <w:t>B</w:t>
            </w:r>
            <w:r w:rsidR="00DB1635" w:rsidRPr="00B004EE">
              <w:rPr>
                <w:rFonts w:ascii="Tahoma" w:hAnsi="Tahoma" w:cs="Tahoma"/>
                <w:sz w:val="20"/>
                <w:szCs w:val="20"/>
                <w:lang w:val="en-US"/>
              </w:rPr>
              <w:t xml:space="preserve"> </w:t>
            </w:r>
            <w:r w:rsidRPr="00B004EE">
              <w:rPr>
                <w:rFonts w:ascii="Tahoma" w:hAnsi="Tahoma" w:cs="Tahoma"/>
                <w:sz w:val="20"/>
                <w:szCs w:val="20"/>
                <w:lang w:val="en-US"/>
              </w:rPr>
              <w:t>:</w:t>
            </w:r>
            <w:r w:rsidR="00DB1635" w:rsidRPr="00B004EE">
              <w:rPr>
                <w:rFonts w:ascii="Tahoma" w:hAnsi="Tahoma" w:cs="Tahoma"/>
                <w:sz w:val="20"/>
                <w:szCs w:val="20"/>
                <w:lang w:val="en-US"/>
              </w:rPr>
              <w:t xml:space="preserve"> </w:t>
            </w:r>
            <w:r w:rsidRPr="00B004EE">
              <w:rPr>
                <w:rFonts w:ascii="Tahoma" w:hAnsi="Tahoma" w:cs="Tahoma"/>
                <w:sz w:val="20"/>
                <w:szCs w:val="20"/>
                <w:lang w:val="en-US"/>
              </w:rPr>
              <w:t>20°19’N</w:t>
            </w:r>
            <w:r w:rsidR="00DB1635" w:rsidRPr="00B004EE">
              <w:rPr>
                <w:rFonts w:ascii="Tahoma" w:hAnsi="Tahoma" w:cs="Tahoma"/>
                <w:sz w:val="20"/>
                <w:szCs w:val="20"/>
                <w:lang w:val="en-US"/>
              </w:rPr>
              <w:t xml:space="preserve"> </w:t>
            </w:r>
            <w:r w:rsidRPr="00B004EE">
              <w:rPr>
                <w:rFonts w:ascii="Tahoma" w:hAnsi="Tahoma" w:cs="Tahoma"/>
                <w:sz w:val="20"/>
                <w:szCs w:val="20"/>
                <w:lang w:val="en-US"/>
              </w:rPr>
              <w:t>-</w:t>
            </w:r>
            <w:r w:rsidR="00DB1635" w:rsidRPr="00B004EE">
              <w:rPr>
                <w:rFonts w:ascii="Tahoma" w:hAnsi="Tahoma" w:cs="Tahoma"/>
                <w:sz w:val="20"/>
                <w:szCs w:val="20"/>
                <w:lang w:val="en-US"/>
              </w:rPr>
              <w:t xml:space="preserve"> </w:t>
            </w:r>
            <w:r w:rsidRPr="00B004EE">
              <w:rPr>
                <w:rFonts w:ascii="Tahoma" w:hAnsi="Tahoma" w:cs="Tahoma"/>
                <w:sz w:val="20"/>
                <w:szCs w:val="20"/>
                <w:lang w:val="en-US"/>
              </w:rPr>
              <w:t>17°12´W</w:t>
            </w:r>
          </w:p>
        </w:tc>
        <w:tc>
          <w:tcPr>
            <w:tcW w:w="1498" w:type="dxa"/>
            <w:tcBorders>
              <w:top w:val="single" w:sz="4" w:space="0" w:color="auto"/>
              <w:left w:val="single" w:sz="4" w:space="0" w:color="auto"/>
              <w:bottom w:val="single" w:sz="4" w:space="0" w:color="auto"/>
              <w:right w:val="single" w:sz="4" w:space="0" w:color="auto"/>
            </w:tcBorders>
            <w:vAlign w:val="center"/>
          </w:tcPr>
          <w:p w14:paraId="41012B56" w14:textId="317CF76D" w:rsidR="002F24E1" w:rsidRPr="00B004EE" w:rsidRDefault="002F24E1" w:rsidP="00B004EE">
            <w:pPr>
              <w:autoSpaceDE w:val="0"/>
              <w:autoSpaceDN w:val="0"/>
              <w:adjustRightInd w:val="0"/>
              <w:jc w:val="both"/>
              <w:rPr>
                <w:rFonts w:ascii="Tahoma" w:hAnsi="Tahoma" w:cs="Tahoma"/>
                <w:sz w:val="20"/>
                <w:szCs w:val="20"/>
                <w:lang w:val="en-US"/>
              </w:rPr>
            </w:pPr>
            <w:r w:rsidRPr="00B004EE">
              <w:rPr>
                <w:rFonts w:ascii="Tahoma" w:hAnsi="Tahoma" w:cs="Tahoma"/>
                <w:sz w:val="20"/>
                <w:szCs w:val="20"/>
                <w:lang w:val="en-US"/>
              </w:rPr>
              <w:t>Venus</w:t>
            </w:r>
            <w:r w:rsidR="00DB1635" w:rsidRPr="00B004EE">
              <w:rPr>
                <w:rFonts w:ascii="Tahoma" w:hAnsi="Tahoma" w:cs="Tahoma"/>
                <w:sz w:val="20"/>
                <w:szCs w:val="20"/>
                <w:lang w:val="en-US"/>
              </w:rPr>
              <w:t xml:space="preserve"> </w:t>
            </w:r>
            <w:r w:rsidRPr="00B004EE">
              <w:rPr>
                <w:rFonts w:ascii="Tahoma" w:hAnsi="Tahoma" w:cs="Tahoma"/>
                <w:sz w:val="20"/>
                <w:szCs w:val="20"/>
                <w:lang w:val="en-US"/>
              </w:rPr>
              <w:t>rosalina</w:t>
            </w:r>
            <w:r w:rsidR="00DB1635" w:rsidRPr="00B004EE">
              <w:rPr>
                <w:rFonts w:ascii="Tahoma" w:hAnsi="Tahoma" w:cs="Tahoma"/>
                <w:sz w:val="20"/>
                <w:szCs w:val="20"/>
                <w:lang w:val="en-US"/>
              </w:rPr>
              <w:t xml:space="preserve"> </w:t>
            </w:r>
          </w:p>
        </w:tc>
        <w:tc>
          <w:tcPr>
            <w:tcW w:w="1531" w:type="dxa"/>
            <w:tcBorders>
              <w:top w:val="single" w:sz="4" w:space="0" w:color="auto"/>
              <w:left w:val="single" w:sz="4" w:space="0" w:color="auto"/>
              <w:bottom w:val="single" w:sz="4" w:space="0" w:color="auto"/>
              <w:right w:val="single" w:sz="4" w:space="0" w:color="auto"/>
            </w:tcBorders>
            <w:vAlign w:val="center"/>
          </w:tcPr>
          <w:p w14:paraId="64E8581C" w14:textId="30C2F582" w:rsidR="002F24E1" w:rsidRPr="00B004EE" w:rsidRDefault="002F24E1" w:rsidP="00B004EE">
            <w:pPr>
              <w:autoSpaceDE w:val="0"/>
              <w:autoSpaceDN w:val="0"/>
              <w:adjustRightInd w:val="0"/>
              <w:jc w:val="center"/>
              <w:rPr>
                <w:rFonts w:ascii="Tahoma" w:hAnsi="Tahoma" w:cs="Tahoma"/>
                <w:sz w:val="20"/>
                <w:szCs w:val="20"/>
                <w:lang w:val="en-US"/>
              </w:rPr>
            </w:pPr>
            <w:r w:rsidRPr="00B004EE">
              <w:rPr>
                <w:rFonts w:ascii="Tahoma" w:hAnsi="Tahoma" w:cs="Tahoma"/>
                <w:sz w:val="20"/>
                <w:szCs w:val="20"/>
              </w:rPr>
              <w:t>Interdite</w:t>
            </w:r>
            <w:r w:rsidR="00DB1635" w:rsidRPr="00B004EE">
              <w:rPr>
                <w:rFonts w:ascii="Tahoma" w:hAnsi="Tahoma" w:cs="Tahoma"/>
                <w:sz w:val="20"/>
                <w:szCs w:val="20"/>
                <w:lang w:val="en-US"/>
              </w:rPr>
              <w:t xml:space="preserve"> </w:t>
            </w:r>
          </w:p>
        </w:tc>
      </w:tr>
      <w:tr w:rsidR="002F24E1" w:rsidRPr="00B004EE" w14:paraId="74EFD258" w14:textId="77777777" w:rsidTr="008D3B28">
        <w:tc>
          <w:tcPr>
            <w:tcW w:w="2136" w:type="dxa"/>
            <w:tcBorders>
              <w:top w:val="single" w:sz="4" w:space="0" w:color="auto"/>
              <w:left w:val="single" w:sz="4" w:space="0" w:color="auto"/>
              <w:bottom w:val="single" w:sz="4" w:space="0" w:color="auto"/>
              <w:right w:val="single" w:sz="4" w:space="0" w:color="auto"/>
            </w:tcBorders>
            <w:vAlign w:val="center"/>
          </w:tcPr>
          <w:p w14:paraId="64576E28" w14:textId="4151EA89" w:rsidR="002F24E1" w:rsidRPr="00B004EE" w:rsidRDefault="002F24E1" w:rsidP="00B004EE">
            <w:pPr>
              <w:autoSpaceDE w:val="0"/>
              <w:autoSpaceDN w:val="0"/>
              <w:adjustRightInd w:val="0"/>
              <w:jc w:val="both"/>
              <w:rPr>
                <w:rFonts w:ascii="Tahoma" w:hAnsi="Tahoma" w:cs="Tahoma"/>
                <w:sz w:val="20"/>
                <w:szCs w:val="20"/>
              </w:rPr>
            </w:pPr>
            <w:r w:rsidRPr="00B004EE">
              <w:rPr>
                <w:rFonts w:ascii="Tahoma" w:hAnsi="Tahoma" w:cs="Tahoma"/>
                <w:sz w:val="20"/>
                <w:szCs w:val="20"/>
              </w:rPr>
              <w:t>Zone</w:t>
            </w:r>
            <w:r w:rsidR="00DB1635" w:rsidRPr="00B004EE">
              <w:rPr>
                <w:rFonts w:ascii="Tahoma" w:hAnsi="Tahoma" w:cs="Tahoma"/>
                <w:sz w:val="20"/>
                <w:szCs w:val="20"/>
              </w:rPr>
              <w:t xml:space="preserve"> </w:t>
            </w:r>
            <w:r w:rsidRPr="00B004EE">
              <w:rPr>
                <w:rFonts w:ascii="Tahoma" w:hAnsi="Tahoma" w:cs="Tahoma"/>
                <w:sz w:val="20"/>
                <w:szCs w:val="20"/>
              </w:rPr>
              <w:t>littorale</w:t>
            </w:r>
          </w:p>
        </w:tc>
        <w:tc>
          <w:tcPr>
            <w:tcW w:w="4265" w:type="dxa"/>
            <w:tcBorders>
              <w:top w:val="single" w:sz="4" w:space="0" w:color="auto"/>
              <w:left w:val="single" w:sz="4" w:space="0" w:color="auto"/>
              <w:bottom w:val="single" w:sz="4" w:space="0" w:color="auto"/>
              <w:right w:val="single" w:sz="4" w:space="0" w:color="auto"/>
            </w:tcBorders>
          </w:tcPr>
          <w:p w14:paraId="0929D544" w14:textId="3DBFED80" w:rsidR="002F24E1" w:rsidRPr="00B004EE" w:rsidRDefault="002F24E1" w:rsidP="00B004EE">
            <w:pPr>
              <w:autoSpaceDE w:val="0"/>
              <w:autoSpaceDN w:val="0"/>
              <w:adjustRightInd w:val="0"/>
              <w:jc w:val="both"/>
              <w:rPr>
                <w:rFonts w:ascii="Tahoma" w:hAnsi="Tahoma" w:cs="Tahoma"/>
                <w:sz w:val="20"/>
                <w:szCs w:val="20"/>
              </w:rPr>
            </w:pPr>
            <w:r w:rsidRPr="00B004EE">
              <w:rPr>
                <w:rFonts w:ascii="Tahoma" w:hAnsi="Tahoma" w:cs="Tahoma"/>
                <w:sz w:val="20"/>
                <w:szCs w:val="20"/>
              </w:rPr>
              <w:t>Zone</w:t>
            </w:r>
            <w:r w:rsidR="00DB1635" w:rsidRPr="00B004EE">
              <w:rPr>
                <w:rFonts w:ascii="Tahoma" w:hAnsi="Tahoma" w:cs="Tahoma"/>
                <w:sz w:val="20"/>
                <w:szCs w:val="20"/>
              </w:rPr>
              <w:t xml:space="preserve"> </w:t>
            </w:r>
            <w:r w:rsidRPr="00B004EE">
              <w:rPr>
                <w:rFonts w:ascii="Tahoma" w:hAnsi="Tahoma" w:cs="Tahoma"/>
                <w:sz w:val="20"/>
                <w:szCs w:val="20"/>
              </w:rPr>
              <w:t>littoral</w:t>
            </w:r>
            <w:r w:rsidR="00DB1635" w:rsidRPr="00B004EE">
              <w:rPr>
                <w:rFonts w:ascii="Tahoma" w:hAnsi="Tahoma" w:cs="Tahoma"/>
                <w:sz w:val="20"/>
                <w:szCs w:val="20"/>
              </w:rPr>
              <w:t xml:space="preserve"> </w:t>
            </w:r>
            <w:r w:rsidRPr="00B004EE">
              <w:rPr>
                <w:rFonts w:ascii="Tahoma" w:hAnsi="Tahoma" w:cs="Tahoma"/>
                <w:sz w:val="20"/>
                <w:szCs w:val="20"/>
              </w:rPr>
              <w:t>délimitée</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nord</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centre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sud</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cap</w:t>
            </w:r>
            <w:r w:rsidR="00DB1635" w:rsidRPr="00B004EE">
              <w:rPr>
                <w:rFonts w:ascii="Tahoma" w:hAnsi="Tahoma" w:cs="Tahoma"/>
                <w:sz w:val="20"/>
                <w:szCs w:val="20"/>
              </w:rPr>
              <w:t xml:space="preserve"> </w:t>
            </w:r>
            <w:r w:rsidRPr="00B004EE">
              <w:rPr>
                <w:rFonts w:ascii="Tahoma" w:hAnsi="Tahoma" w:cs="Tahoma"/>
                <w:sz w:val="20"/>
                <w:szCs w:val="20"/>
              </w:rPr>
              <w:t>blanc</w:t>
            </w:r>
            <w:r w:rsidR="00DB1635" w:rsidRPr="00B004EE">
              <w:rPr>
                <w:rFonts w:ascii="Tahoma" w:hAnsi="Tahoma" w:cs="Tahoma"/>
                <w:sz w:val="20"/>
                <w:szCs w:val="20"/>
              </w:rPr>
              <w:t xml:space="preserve"> </w:t>
            </w:r>
            <w:r w:rsidRPr="00B004EE">
              <w:rPr>
                <w:rFonts w:ascii="Tahoma" w:hAnsi="Tahoma" w:cs="Tahoma"/>
                <w:sz w:val="20"/>
                <w:szCs w:val="20"/>
              </w:rPr>
              <w:t>:</w:t>
            </w:r>
          </w:p>
          <w:p w14:paraId="24E7584A" w14:textId="4C6B53D8" w:rsidR="002F24E1" w:rsidRPr="00B004EE" w:rsidRDefault="002F24E1" w:rsidP="00B004EE">
            <w:pPr>
              <w:suppressLineNumbers/>
              <w:tabs>
                <w:tab w:val="left" w:pos="567"/>
              </w:tabs>
              <w:rPr>
                <w:rFonts w:ascii="Tahoma" w:hAnsi="Tahoma" w:cs="Tahoma"/>
                <w:sz w:val="20"/>
                <w:szCs w:val="20"/>
              </w:rPr>
            </w:pPr>
            <w:r w:rsidRPr="00B004EE">
              <w:rPr>
                <w:rFonts w:ascii="Tahoma" w:hAnsi="Tahoma" w:cs="Tahoma"/>
                <w:sz w:val="20"/>
                <w:szCs w:val="20"/>
              </w:rPr>
              <w:t>20°58’,19N</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17°00’,29</w:t>
            </w:r>
            <w:r w:rsidR="00DB1635" w:rsidRPr="00B004EE">
              <w:rPr>
                <w:rFonts w:ascii="Tahoma" w:hAnsi="Tahoma" w:cs="Tahoma"/>
                <w:sz w:val="20"/>
                <w:szCs w:val="20"/>
              </w:rPr>
              <w:t xml:space="preserve"> </w:t>
            </w:r>
            <w:r w:rsidRPr="00B004EE">
              <w:rPr>
                <w:rFonts w:ascii="Tahoma" w:hAnsi="Tahoma" w:cs="Tahoma"/>
                <w:sz w:val="20"/>
                <w:szCs w:val="20"/>
              </w:rPr>
              <w:t>W</w:t>
            </w:r>
          </w:p>
          <w:p w14:paraId="5A32C667" w14:textId="25E2632E" w:rsidR="002F24E1" w:rsidRPr="00B004EE" w:rsidRDefault="002F24E1" w:rsidP="00B004EE">
            <w:pPr>
              <w:autoSpaceDE w:val="0"/>
              <w:autoSpaceDN w:val="0"/>
              <w:adjustRightInd w:val="0"/>
              <w:jc w:val="both"/>
              <w:rPr>
                <w:rFonts w:ascii="Tahoma" w:hAnsi="Tahoma" w:cs="Tahoma"/>
                <w:sz w:val="20"/>
                <w:szCs w:val="20"/>
              </w:rPr>
            </w:pPr>
            <w:r w:rsidRPr="00B004EE">
              <w:rPr>
                <w:rFonts w:ascii="Tahoma" w:hAnsi="Tahoma" w:cs="Tahoma"/>
                <w:sz w:val="20"/>
                <w:szCs w:val="20"/>
              </w:rPr>
              <w:t>20°46’,27N</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17°02’,58</w:t>
            </w:r>
            <w:r w:rsidR="00DB1635" w:rsidRPr="00B004EE">
              <w:rPr>
                <w:rFonts w:ascii="Tahoma" w:hAnsi="Tahoma" w:cs="Tahoma"/>
                <w:sz w:val="20"/>
                <w:szCs w:val="20"/>
              </w:rPr>
              <w:t xml:space="preserve"> </w:t>
            </w:r>
            <w:r w:rsidRPr="00B004EE">
              <w:rPr>
                <w:rFonts w:ascii="Tahoma" w:hAnsi="Tahoma" w:cs="Tahoma"/>
                <w:sz w:val="20"/>
                <w:szCs w:val="20"/>
              </w:rPr>
              <w:t>W</w:t>
            </w:r>
          </w:p>
        </w:tc>
        <w:tc>
          <w:tcPr>
            <w:tcW w:w="1498" w:type="dxa"/>
            <w:tcBorders>
              <w:top w:val="single" w:sz="4" w:space="0" w:color="auto"/>
              <w:left w:val="single" w:sz="4" w:space="0" w:color="auto"/>
              <w:bottom w:val="single" w:sz="4" w:space="0" w:color="auto"/>
              <w:right w:val="single" w:sz="4" w:space="0" w:color="auto"/>
            </w:tcBorders>
            <w:vAlign w:val="center"/>
          </w:tcPr>
          <w:p w14:paraId="68F24E1C" w14:textId="6EEE2187" w:rsidR="002F24E1" w:rsidRPr="00B004EE" w:rsidRDefault="002F24E1" w:rsidP="00B004EE">
            <w:pPr>
              <w:autoSpaceDE w:val="0"/>
              <w:autoSpaceDN w:val="0"/>
              <w:adjustRightInd w:val="0"/>
              <w:jc w:val="both"/>
              <w:rPr>
                <w:rFonts w:ascii="Tahoma" w:hAnsi="Tahoma" w:cs="Tahoma"/>
                <w:sz w:val="20"/>
                <w:szCs w:val="20"/>
                <w:lang w:val="en-US"/>
              </w:rPr>
            </w:pPr>
            <w:r w:rsidRPr="00B004EE">
              <w:rPr>
                <w:rFonts w:ascii="Tahoma" w:hAnsi="Tahoma" w:cs="Tahoma"/>
                <w:sz w:val="20"/>
                <w:szCs w:val="20"/>
                <w:lang w:val="en-US"/>
              </w:rPr>
              <w:t>Perna</w:t>
            </w:r>
            <w:r w:rsidR="00DB1635" w:rsidRPr="00B004EE">
              <w:rPr>
                <w:rFonts w:ascii="Tahoma" w:hAnsi="Tahoma" w:cs="Tahoma"/>
                <w:sz w:val="20"/>
                <w:szCs w:val="20"/>
                <w:lang w:val="en-US"/>
              </w:rPr>
              <w:t xml:space="preserve"> </w:t>
            </w:r>
            <w:r w:rsidRPr="00B004EE">
              <w:rPr>
                <w:rFonts w:ascii="Tahoma" w:hAnsi="Tahoma" w:cs="Tahoma"/>
                <w:sz w:val="20"/>
                <w:szCs w:val="20"/>
                <w:lang w:val="en-US"/>
              </w:rPr>
              <w:t>perna</w:t>
            </w:r>
            <w:r w:rsidR="00DB1635" w:rsidRPr="00B004EE">
              <w:rPr>
                <w:rFonts w:ascii="Tahoma" w:hAnsi="Tahoma" w:cs="Tahoma"/>
                <w:sz w:val="20"/>
                <w:szCs w:val="20"/>
                <w:lang w:val="en-US"/>
              </w:rPr>
              <w:t xml:space="preserve"> </w:t>
            </w:r>
          </w:p>
        </w:tc>
        <w:tc>
          <w:tcPr>
            <w:tcW w:w="1531" w:type="dxa"/>
            <w:tcBorders>
              <w:top w:val="single" w:sz="4" w:space="0" w:color="auto"/>
              <w:left w:val="single" w:sz="4" w:space="0" w:color="auto"/>
              <w:bottom w:val="single" w:sz="4" w:space="0" w:color="auto"/>
              <w:right w:val="single" w:sz="4" w:space="0" w:color="auto"/>
            </w:tcBorders>
            <w:vAlign w:val="center"/>
          </w:tcPr>
          <w:p w14:paraId="32AB6935" w14:textId="67B34380" w:rsidR="002F24E1" w:rsidRPr="00B004EE" w:rsidRDefault="002F24E1" w:rsidP="00B004EE">
            <w:pPr>
              <w:autoSpaceDE w:val="0"/>
              <w:autoSpaceDN w:val="0"/>
              <w:adjustRightInd w:val="0"/>
              <w:jc w:val="center"/>
              <w:rPr>
                <w:rFonts w:ascii="Tahoma" w:hAnsi="Tahoma" w:cs="Tahoma"/>
                <w:sz w:val="20"/>
                <w:szCs w:val="20"/>
                <w:lang w:val="en-US"/>
              </w:rPr>
            </w:pPr>
            <w:r w:rsidRPr="00B004EE">
              <w:rPr>
                <w:rFonts w:ascii="Tahoma" w:hAnsi="Tahoma" w:cs="Tahoma"/>
                <w:sz w:val="20"/>
                <w:szCs w:val="20"/>
              </w:rPr>
              <w:t>Interdite</w:t>
            </w:r>
            <w:r w:rsidR="00DB1635" w:rsidRPr="00B004EE">
              <w:rPr>
                <w:rFonts w:ascii="Tahoma" w:hAnsi="Tahoma" w:cs="Tahoma"/>
                <w:sz w:val="20"/>
                <w:szCs w:val="20"/>
                <w:lang w:val="en-US"/>
              </w:rPr>
              <w:t xml:space="preserve"> </w:t>
            </w:r>
          </w:p>
        </w:tc>
      </w:tr>
    </w:tbl>
    <w:p w14:paraId="2F656DBC" w14:textId="77777777" w:rsidR="002F24E1" w:rsidRPr="00B004EE" w:rsidRDefault="002F24E1" w:rsidP="00B004EE">
      <w:pPr>
        <w:jc w:val="both"/>
        <w:rPr>
          <w:rFonts w:ascii="Tahoma" w:hAnsi="Tahoma" w:cs="Tahoma"/>
          <w:sz w:val="20"/>
          <w:szCs w:val="20"/>
        </w:rPr>
      </w:pPr>
    </w:p>
    <w:p w14:paraId="612F9133" w14:textId="453D719C" w:rsidR="002F24E1" w:rsidRPr="00B004EE" w:rsidRDefault="002F24E1" w:rsidP="00B004EE">
      <w:pPr>
        <w:autoSpaceDE w:val="0"/>
        <w:autoSpaceDN w:val="0"/>
        <w:adjustRightInd w:val="0"/>
        <w:jc w:val="both"/>
        <w:rPr>
          <w:rFonts w:ascii="Tahoma" w:hAnsi="Tahoma" w:cs="Tahoma"/>
          <w:sz w:val="20"/>
          <w:szCs w:val="20"/>
        </w:rPr>
      </w:pPr>
      <w:r w:rsidRPr="00B004EE">
        <w:rPr>
          <w:rFonts w:ascii="Tahoma" w:hAnsi="Tahoma" w:cs="Tahoma"/>
          <w:b/>
          <w:bCs/>
          <w:sz w:val="20"/>
          <w:szCs w:val="20"/>
        </w:rPr>
        <w:t>«</w:t>
      </w:r>
      <w:r w:rsidR="00DB1635" w:rsidRPr="00B004EE">
        <w:rPr>
          <w:rFonts w:ascii="Tahoma" w:hAnsi="Tahoma" w:cs="Tahoma"/>
          <w:b/>
          <w:bCs/>
          <w:sz w:val="20"/>
          <w:szCs w:val="20"/>
        </w:rPr>
        <w:t xml:space="preserve"> </w:t>
      </w:r>
      <w:r w:rsidRPr="00B004EE">
        <w:rPr>
          <w:rFonts w:ascii="Tahoma" w:hAnsi="Tahoma" w:cs="Tahoma"/>
          <w:b/>
          <w:bCs/>
          <w:sz w:val="20"/>
          <w:szCs w:val="20"/>
          <w:u w:val="single"/>
        </w:rPr>
        <w:t>Article</w:t>
      </w:r>
      <w:r w:rsidR="00DB1635" w:rsidRPr="00B004EE">
        <w:rPr>
          <w:rFonts w:ascii="Tahoma" w:hAnsi="Tahoma" w:cs="Tahoma"/>
          <w:b/>
          <w:bCs/>
          <w:sz w:val="20"/>
          <w:szCs w:val="20"/>
          <w:u w:val="single"/>
        </w:rPr>
        <w:t xml:space="preserve"> </w:t>
      </w:r>
      <w:r w:rsidRPr="00B004EE">
        <w:rPr>
          <w:rFonts w:ascii="Tahoma" w:hAnsi="Tahoma" w:cs="Tahoma"/>
          <w:b/>
          <w:bCs/>
          <w:sz w:val="20"/>
          <w:szCs w:val="20"/>
          <w:u w:val="single"/>
        </w:rPr>
        <w:t>3</w:t>
      </w:r>
      <w:r w:rsidR="00DB1635" w:rsidRPr="00B004EE">
        <w:rPr>
          <w:rFonts w:ascii="Tahoma" w:hAnsi="Tahoma" w:cs="Tahoma"/>
          <w:b/>
          <w:bCs/>
          <w:sz w:val="20"/>
          <w:szCs w:val="20"/>
        </w:rPr>
        <w:t xml:space="preserve"> </w:t>
      </w:r>
      <w:r w:rsidRPr="00B004EE">
        <w:rPr>
          <w:rFonts w:ascii="Tahoma" w:hAnsi="Tahoma" w:cs="Tahoma"/>
          <w:b/>
          <w:bCs/>
          <w:sz w:val="20"/>
          <w:szCs w:val="20"/>
        </w:rPr>
        <w:t>(nouveau)</w:t>
      </w:r>
      <w:r w:rsidR="00DB1635" w:rsidRPr="00B004EE">
        <w:rPr>
          <w:rFonts w:ascii="Tahoma" w:hAnsi="Tahoma" w:cs="Tahoma"/>
          <w:b/>
          <w:bCs/>
          <w:sz w:val="20"/>
          <w:szCs w:val="20"/>
        </w:rPr>
        <w:t xml:space="preserve"> </w:t>
      </w:r>
      <w:r w:rsidRPr="00B004EE">
        <w:rPr>
          <w:rFonts w:ascii="Tahoma" w:hAnsi="Tahoma" w:cs="Tahoma"/>
          <w:b/>
          <w:bCs/>
          <w:sz w:val="20"/>
          <w:szCs w:val="20"/>
        </w:rPr>
        <w:t>:</w:t>
      </w:r>
      <w:r w:rsidR="00DB1635" w:rsidRPr="00B004EE">
        <w:rPr>
          <w:rFonts w:ascii="Tahoma" w:hAnsi="Tahoma" w:cs="Tahoma"/>
          <w:b/>
          <w:bCs/>
          <w:sz w:val="20"/>
          <w:szCs w:val="20"/>
        </w:rPr>
        <w:t xml:space="preserve"> </w:t>
      </w:r>
      <w:r w:rsidRPr="00B004EE">
        <w:rPr>
          <w:rFonts w:ascii="Tahoma" w:hAnsi="Tahoma" w:cs="Tahoma"/>
          <w:sz w:val="20"/>
          <w:szCs w:val="20"/>
        </w:rPr>
        <w:t>Il</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institué</w:t>
      </w:r>
      <w:r w:rsidR="00DB1635" w:rsidRPr="00B004EE">
        <w:rPr>
          <w:rFonts w:ascii="Tahoma" w:hAnsi="Tahoma" w:cs="Tahoma"/>
          <w:sz w:val="20"/>
          <w:szCs w:val="20"/>
        </w:rPr>
        <w:t xml:space="preserve"> </w:t>
      </w:r>
      <w:r w:rsidRPr="00B004EE">
        <w:rPr>
          <w:rFonts w:ascii="Tahoma" w:hAnsi="Tahoma" w:cs="Tahoma"/>
          <w:sz w:val="20"/>
          <w:szCs w:val="20"/>
        </w:rPr>
        <w:t>une</w:t>
      </w:r>
      <w:r w:rsidR="00DB1635" w:rsidRPr="00B004EE">
        <w:rPr>
          <w:rFonts w:ascii="Tahoma" w:hAnsi="Tahoma" w:cs="Tahoma"/>
          <w:sz w:val="20"/>
          <w:szCs w:val="20"/>
        </w:rPr>
        <w:t xml:space="preserve"> </w:t>
      </w:r>
      <w:r w:rsidRPr="00B004EE">
        <w:rPr>
          <w:rFonts w:ascii="Tahoma" w:hAnsi="Tahoma" w:cs="Tahoma"/>
          <w:sz w:val="20"/>
          <w:szCs w:val="20"/>
        </w:rPr>
        <w:t>Commission</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suivi</w:t>
      </w:r>
      <w:r w:rsidR="00DB1635" w:rsidRPr="00B004EE">
        <w:rPr>
          <w:rFonts w:ascii="Tahoma" w:hAnsi="Tahoma" w:cs="Tahoma"/>
          <w:sz w:val="20"/>
          <w:szCs w:val="20"/>
        </w:rPr>
        <w:t xml:space="preserve"> </w:t>
      </w:r>
      <w:r w:rsidRPr="00B004EE">
        <w:rPr>
          <w:rFonts w:ascii="Tahoma" w:hAnsi="Tahoma" w:cs="Tahoma"/>
          <w:sz w:val="20"/>
          <w:szCs w:val="20"/>
        </w:rPr>
        <w:t>sanitaire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zones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production</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coquillage.</w:t>
      </w:r>
    </w:p>
    <w:p w14:paraId="17A966B2" w14:textId="65DB0230" w:rsidR="002F24E1" w:rsidRPr="00B004EE" w:rsidRDefault="002F24E1" w:rsidP="00B004EE">
      <w:pPr>
        <w:autoSpaceDE w:val="0"/>
        <w:autoSpaceDN w:val="0"/>
        <w:adjustRightInd w:val="0"/>
        <w:jc w:val="both"/>
        <w:rPr>
          <w:rFonts w:ascii="Tahoma" w:hAnsi="Tahoma" w:cs="Tahoma"/>
          <w:sz w:val="20"/>
          <w:szCs w:val="20"/>
        </w:rPr>
      </w:pP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Commission</w:t>
      </w:r>
      <w:r w:rsidR="00DB1635" w:rsidRPr="00B004EE">
        <w:rPr>
          <w:rFonts w:ascii="Tahoma" w:hAnsi="Tahoma" w:cs="Tahoma"/>
          <w:b/>
          <w:bCs/>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suivi</w:t>
      </w:r>
      <w:r w:rsidR="00DB1635" w:rsidRPr="00B004EE">
        <w:rPr>
          <w:rFonts w:ascii="Tahoma" w:hAnsi="Tahoma" w:cs="Tahoma"/>
          <w:sz w:val="20"/>
          <w:szCs w:val="20"/>
        </w:rPr>
        <w:t xml:space="preserve"> </w:t>
      </w:r>
      <w:r w:rsidRPr="00B004EE">
        <w:rPr>
          <w:rFonts w:ascii="Tahoma" w:hAnsi="Tahoma" w:cs="Tahoma"/>
          <w:sz w:val="20"/>
          <w:szCs w:val="20"/>
        </w:rPr>
        <w:t>sanitaire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zones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production</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coquillage</w:t>
      </w:r>
      <w:r w:rsidR="00DB1635" w:rsidRPr="00B004EE">
        <w:rPr>
          <w:rFonts w:ascii="Tahoma" w:hAnsi="Tahoma" w:cs="Tahoma"/>
          <w:sz w:val="20"/>
          <w:szCs w:val="20"/>
        </w:rPr>
        <w:t xml:space="preserve"> </w:t>
      </w:r>
      <w:r w:rsidRPr="00B004EE">
        <w:rPr>
          <w:rFonts w:ascii="Tahoma" w:hAnsi="Tahoma" w:cs="Tahoma"/>
          <w:bCs/>
          <w:sz w:val="20"/>
          <w:szCs w:val="20"/>
        </w:rPr>
        <w:t>est</w:t>
      </w:r>
      <w:r w:rsidR="00DB1635" w:rsidRPr="00B004EE">
        <w:rPr>
          <w:rFonts w:ascii="Tahoma" w:hAnsi="Tahoma" w:cs="Tahoma"/>
          <w:bCs/>
          <w:sz w:val="20"/>
          <w:szCs w:val="20"/>
        </w:rPr>
        <w:t xml:space="preserve"> </w:t>
      </w:r>
      <w:r w:rsidRPr="00B004EE">
        <w:rPr>
          <w:rFonts w:ascii="Tahoma" w:hAnsi="Tahoma" w:cs="Tahoma"/>
          <w:bCs/>
          <w:sz w:val="20"/>
          <w:szCs w:val="20"/>
        </w:rPr>
        <w:t>investie</w:t>
      </w:r>
      <w:r w:rsidR="00DB1635" w:rsidRPr="00B004EE">
        <w:rPr>
          <w:rFonts w:ascii="Tahoma" w:hAnsi="Tahoma" w:cs="Tahoma"/>
          <w:bCs/>
          <w:sz w:val="20"/>
          <w:szCs w:val="20"/>
        </w:rPr>
        <w:t xml:space="preserve"> </w:t>
      </w:r>
      <w:r w:rsidRPr="00B004EE">
        <w:rPr>
          <w:rFonts w:ascii="Tahoma" w:hAnsi="Tahoma" w:cs="Tahoma"/>
          <w:bCs/>
          <w:sz w:val="20"/>
          <w:szCs w:val="20"/>
        </w:rPr>
        <w:t>d’une</w:t>
      </w:r>
      <w:r w:rsidR="00DB1635" w:rsidRPr="00B004EE">
        <w:rPr>
          <w:rFonts w:ascii="Tahoma" w:hAnsi="Tahoma" w:cs="Tahoma"/>
          <w:bCs/>
          <w:sz w:val="20"/>
          <w:szCs w:val="20"/>
        </w:rPr>
        <w:t xml:space="preserve"> </w:t>
      </w:r>
      <w:r w:rsidRPr="00B004EE">
        <w:rPr>
          <w:rFonts w:ascii="Tahoma" w:hAnsi="Tahoma" w:cs="Tahoma"/>
          <w:bCs/>
          <w:sz w:val="20"/>
          <w:szCs w:val="20"/>
        </w:rPr>
        <w:t>mission</w:t>
      </w:r>
      <w:r w:rsidR="00DB1635" w:rsidRPr="00B004EE">
        <w:rPr>
          <w:rFonts w:ascii="Tahoma" w:hAnsi="Tahoma" w:cs="Tahoma"/>
          <w:bCs/>
          <w:sz w:val="20"/>
          <w:szCs w:val="20"/>
        </w:rPr>
        <w:t xml:space="preserve"> </w:t>
      </w:r>
      <w:r w:rsidRPr="00B004EE">
        <w:rPr>
          <w:rFonts w:ascii="Tahoma" w:hAnsi="Tahoma" w:cs="Tahoma"/>
          <w:bCs/>
          <w:sz w:val="20"/>
          <w:szCs w:val="20"/>
        </w:rPr>
        <w:t>générale</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suivi</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l’application</w:t>
      </w:r>
      <w:r w:rsidR="00DB1635" w:rsidRPr="00B004EE">
        <w:rPr>
          <w:rFonts w:ascii="Tahoma" w:hAnsi="Tahoma" w:cs="Tahoma"/>
          <w:bCs/>
          <w:sz w:val="20"/>
          <w:szCs w:val="20"/>
        </w:rPr>
        <w:t xml:space="preserve"> </w:t>
      </w:r>
      <w:r w:rsidRPr="00B004EE">
        <w:rPr>
          <w:rFonts w:ascii="Tahoma" w:hAnsi="Tahoma" w:cs="Tahoma"/>
          <w:bCs/>
          <w:sz w:val="20"/>
          <w:szCs w:val="20"/>
        </w:rPr>
        <w:t>des</w:t>
      </w:r>
      <w:r w:rsidR="00DB1635" w:rsidRPr="00B004EE">
        <w:rPr>
          <w:rFonts w:ascii="Tahoma" w:hAnsi="Tahoma" w:cs="Tahoma"/>
          <w:bCs/>
          <w:sz w:val="20"/>
          <w:szCs w:val="20"/>
        </w:rPr>
        <w:t xml:space="preserve"> </w:t>
      </w:r>
      <w:r w:rsidRPr="00B004EE">
        <w:rPr>
          <w:rFonts w:ascii="Tahoma" w:hAnsi="Tahoma" w:cs="Tahoma"/>
          <w:bCs/>
          <w:sz w:val="20"/>
          <w:szCs w:val="20"/>
        </w:rPr>
        <w:t>normes</w:t>
      </w:r>
      <w:r w:rsidR="00DB1635" w:rsidRPr="00B004EE">
        <w:rPr>
          <w:rFonts w:ascii="Tahoma" w:hAnsi="Tahoma" w:cs="Tahoma"/>
          <w:bCs/>
          <w:sz w:val="20"/>
          <w:szCs w:val="20"/>
        </w:rPr>
        <w:t xml:space="preserve"> </w:t>
      </w:r>
      <w:r w:rsidRPr="00B004EE">
        <w:rPr>
          <w:rFonts w:ascii="Tahoma" w:hAnsi="Tahoma" w:cs="Tahoma"/>
          <w:bCs/>
          <w:sz w:val="20"/>
          <w:szCs w:val="20"/>
        </w:rPr>
        <w:t>relatives</w:t>
      </w:r>
      <w:r w:rsidR="00DB1635" w:rsidRPr="00B004EE">
        <w:rPr>
          <w:rFonts w:ascii="Tahoma" w:hAnsi="Tahoma" w:cs="Tahoma"/>
          <w:bCs/>
          <w:sz w:val="20"/>
          <w:szCs w:val="20"/>
        </w:rPr>
        <w:t xml:space="preserve"> </w:t>
      </w:r>
      <w:r w:rsidRPr="00B004EE">
        <w:rPr>
          <w:rFonts w:ascii="Tahoma" w:hAnsi="Tahoma" w:cs="Tahoma"/>
          <w:bCs/>
          <w:sz w:val="20"/>
          <w:szCs w:val="20"/>
        </w:rPr>
        <w:t>à</w:t>
      </w:r>
      <w:r w:rsidR="00DB1635" w:rsidRPr="00B004EE">
        <w:rPr>
          <w:rFonts w:ascii="Tahoma" w:hAnsi="Tahoma" w:cs="Tahoma"/>
          <w:bCs/>
          <w:sz w:val="20"/>
          <w:szCs w:val="20"/>
        </w:rPr>
        <w:t xml:space="preserve"> </w:t>
      </w:r>
      <w:r w:rsidRPr="00B004EE">
        <w:rPr>
          <w:rFonts w:ascii="Tahoma" w:hAnsi="Tahoma" w:cs="Tahoma"/>
          <w:bCs/>
          <w:sz w:val="20"/>
          <w:szCs w:val="20"/>
        </w:rPr>
        <w:t>la</w:t>
      </w:r>
      <w:r w:rsidR="00DB1635" w:rsidRPr="00B004EE">
        <w:rPr>
          <w:rFonts w:ascii="Tahoma" w:hAnsi="Tahoma" w:cs="Tahoma"/>
          <w:bCs/>
          <w:sz w:val="20"/>
          <w:szCs w:val="20"/>
        </w:rPr>
        <w:t xml:space="preserve"> </w:t>
      </w:r>
      <w:r w:rsidRPr="00B004EE">
        <w:rPr>
          <w:rFonts w:ascii="Tahoma" w:hAnsi="Tahoma" w:cs="Tahoma"/>
          <w:bCs/>
          <w:sz w:val="20"/>
          <w:szCs w:val="20"/>
        </w:rPr>
        <w:t>production</w:t>
      </w:r>
      <w:r w:rsidR="00DB1635" w:rsidRPr="00B004EE">
        <w:rPr>
          <w:rFonts w:ascii="Tahoma" w:hAnsi="Tahoma" w:cs="Tahoma"/>
          <w:bCs/>
          <w:sz w:val="20"/>
          <w:szCs w:val="20"/>
        </w:rPr>
        <w:t xml:space="preserve"> </w:t>
      </w:r>
      <w:r w:rsidRPr="00B004EE">
        <w:rPr>
          <w:rFonts w:ascii="Tahoma" w:hAnsi="Tahoma" w:cs="Tahoma"/>
          <w:bCs/>
          <w:sz w:val="20"/>
          <w:szCs w:val="20"/>
        </w:rPr>
        <w:t>et</w:t>
      </w:r>
      <w:r w:rsidR="00DB1635" w:rsidRPr="00B004EE">
        <w:rPr>
          <w:rFonts w:ascii="Tahoma" w:hAnsi="Tahoma" w:cs="Tahoma"/>
          <w:bCs/>
          <w:sz w:val="20"/>
          <w:szCs w:val="20"/>
        </w:rPr>
        <w:t xml:space="preserve"> </w:t>
      </w:r>
      <w:r w:rsidRPr="00B004EE">
        <w:rPr>
          <w:rFonts w:ascii="Tahoma" w:hAnsi="Tahoma" w:cs="Tahoma"/>
          <w:bCs/>
          <w:sz w:val="20"/>
          <w:szCs w:val="20"/>
        </w:rPr>
        <w:t>à</w:t>
      </w:r>
      <w:r w:rsidR="00DB1635" w:rsidRPr="00B004EE">
        <w:rPr>
          <w:rFonts w:ascii="Tahoma" w:hAnsi="Tahoma" w:cs="Tahoma"/>
          <w:bCs/>
          <w:sz w:val="20"/>
          <w:szCs w:val="20"/>
        </w:rPr>
        <w:t xml:space="preserve"> </w:t>
      </w:r>
      <w:r w:rsidRPr="00B004EE">
        <w:rPr>
          <w:rFonts w:ascii="Tahoma" w:hAnsi="Tahoma" w:cs="Tahoma"/>
          <w:bCs/>
          <w:sz w:val="20"/>
          <w:szCs w:val="20"/>
        </w:rPr>
        <w:t>la</w:t>
      </w:r>
      <w:r w:rsidR="00DB1635" w:rsidRPr="00B004EE">
        <w:rPr>
          <w:rFonts w:ascii="Tahoma" w:hAnsi="Tahoma" w:cs="Tahoma"/>
          <w:bCs/>
          <w:sz w:val="20"/>
          <w:szCs w:val="20"/>
        </w:rPr>
        <w:t xml:space="preserve"> </w:t>
      </w:r>
      <w:r w:rsidRPr="00B004EE">
        <w:rPr>
          <w:rFonts w:ascii="Tahoma" w:hAnsi="Tahoma" w:cs="Tahoma"/>
          <w:bCs/>
          <w:sz w:val="20"/>
          <w:szCs w:val="20"/>
        </w:rPr>
        <w:t>mise</w:t>
      </w:r>
      <w:r w:rsidR="00DB1635" w:rsidRPr="00B004EE">
        <w:rPr>
          <w:rFonts w:ascii="Tahoma" w:hAnsi="Tahoma" w:cs="Tahoma"/>
          <w:bCs/>
          <w:sz w:val="20"/>
          <w:szCs w:val="20"/>
        </w:rPr>
        <w:t xml:space="preserve"> </w:t>
      </w:r>
      <w:r w:rsidRPr="00B004EE">
        <w:rPr>
          <w:rFonts w:ascii="Tahoma" w:hAnsi="Tahoma" w:cs="Tahoma"/>
          <w:bCs/>
          <w:sz w:val="20"/>
          <w:szCs w:val="20"/>
        </w:rPr>
        <w:t>sur</w:t>
      </w:r>
      <w:r w:rsidR="00DB1635" w:rsidRPr="00B004EE">
        <w:rPr>
          <w:rFonts w:ascii="Tahoma" w:hAnsi="Tahoma" w:cs="Tahoma"/>
          <w:bCs/>
          <w:sz w:val="20"/>
          <w:szCs w:val="20"/>
        </w:rPr>
        <w:t xml:space="preserve"> </w:t>
      </w:r>
      <w:r w:rsidRPr="00B004EE">
        <w:rPr>
          <w:rFonts w:ascii="Tahoma" w:hAnsi="Tahoma" w:cs="Tahoma"/>
          <w:bCs/>
          <w:sz w:val="20"/>
          <w:szCs w:val="20"/>
        </w:rPr>
        <w:t>le</w:t>
      </w:r>
      <w:r w:rsidR="00DB1635" w:rsidRPr="00B004EE">
        <w:rPr>
          <w:rFonts w:ascii="Tahoma" w:hAnsi="Tahoma" w:cs="Tahoma"/>
          <w:bCs/>
          <w:sz w:val="20"/>
          <w:szCs w:val="20"/>
        </w:rPr>
        <w:t xml:space="preserve"> </w:t>
      </w:r>
      <w:r w:rsidRPr="00B004EE">
        <w:rPr>
          <w:rFonts w:ascii="Tahoma" w:hAnsi="Tahoma" w:cs="Tahoma"/>
          <w:bCs/>
          <w:sz w:val="20"/>
          <w:szCs w:val="20"/>
        </w:rPr>
        <w:t>marché</w:t>
      </w:r>
      <w:r w:rsidR="00DB1635" w:rsidRPr="00B004EE">
        <w:rPr>
          <w:rFonts w:ascii="Tahoma" w:hAnsi="Tahoma" w:cs="Tahoma"/>
          <w:bCs/>
          <w:sz w:val="20"/>
          <w:szCs w:val="20"/>
        </w:rPr>
        <w:t xml:space="preserve"> </w:t>
      </w:r>
      <w:r w:rsidRPr="00B004EE">
        <w:rPr>
          <w:rFonts w:ascii="Tahoma" w:hAnsi="Tahoma" w:cs="Tahoma"/>
          <w:bCs/>
          <w:sz w:val="20"/>
          <w:szCs w:val="20"/>
        </w:rPr>
        <w:t>des</w:t>
      </w:r>
      <w:r w:rsidR="00DB1635" w:rsidRPr="00B004EE">
        <w:rPr>
          <w:rFonts w:ascii="Tahoma" w:hAnsi="Tahoma" w:cs="Tahoma"/>
          <w:bCs/>
          <w:sz w:val="20"/>
          <w:szCs w:val="20"/>
        </w:rPr>
        <w:t xml:space="preserve"> </w:t>
      </w:r>
      <w:r w:rsidRPr="00B004EE">
        <w:rPr>
          <w:rFonts w:ascii="Tahoma" w:hAnsi="Tahoma" w:cs="Tahoma"/>
          <w:bCs/>
          <w:sz w:val="20"/>
          <w:szCs w:val="20"/>
        </w:rPr>
        <w:t>coquillages.</w:t>
      </w:r>
      <w:r w:rsidR="00DB1635" w:rsidRPr="00B004EE">
        <w:rPr>
          <w:rFonts w:ascii="Tahoma" w:hAnsi="Tahoma" w:cs="Tahoma"/>
          <w:bCs/>
          <w:sz w:val="20"/>
          <w:szCs w:val="20"/>
        </w:rPr>
        <w:t xml:space="preserve"> </w:t>
      </w:r>
      <w:r w:rsidRPr="00B004EE">
        <w:rPr>
          <w:rFonts w:ascii="Tahoma" w:hAnsi="Tahoma" w:cs="Tahoma"/>
          <w:bCs/>
          <w:sz w:val="20"/>
          <w:szCs w:val="20"/>
        </w:rPr>
        <w:t>A</w:t>
      </w:r>
      <w:r w:rsidR="00DB1635" w:rsidRPr="00B004EE">
        <w:rPr>
          <w:rFonts w:ascii="Tahoma" w:hAnsi="Tahoma" w:cs="Tahoma"/>
          <w:bCs/>
          <w:sz w:val="20"/>
          <w:szCs w:val="20"/>
        </w:rPr>
        <w:t xml:space="preserve"> </w:t>
      </w:r>
      <w:r w:rsidRPr="00B004EE">
        <w:rPr>
          <w:rFonts w:ascii="Tahoma" w:hAnsi="Tahoma" w:cs="Tahoma"/>
          <w:bCs/>
          <w:sz w:val="20"/>
          <w:szCs w:val="20"/>
        </w:rPr>
        <w:t>ce</w:t>
      </w:r>
      <w:r w:rsidR="00DB1635" w:rsidRPr="00B004EE">
        <w:rPr>
          <w:rFonts w:ascii="Tahoma" w:hAnsi="Tahoma" w:cs="Tahoma"/>
          <w:bCs/>
          <w:sz w:val="20"/>
          <w:szCs w:val="20"/>
        </w:rPr>
        <w:t xml:space="preserve"> </w:t>
      </w:r>
      <w:r w:rsidRPr="00B004EE">
        <w:rPr>
          <w:rFonts w:ascii="Tahoma" w:hAnsi="Tahoma" w:cs="Tahoma"/>
          <w:bCs/>
          <w:sz w:val="20"/>
          <w:szCs w:val="20"/>
        </w:rPr>
        <w:t>titre,</w:t>
      </w:r>
      <w:r w:rsidR="00DB1635" w:rsidRPr="00B004EE">
        <w:rPr>
          <w:rFonts w:ascii="Tahoma" w:hAnsi="Tahoma" w:cs="Tahoma"/>
          <w:bCs/>
          <w:sz w:val="20"/>
          <w:szCs w:val="20"/>
        </w:rPr>
        <w:t xml:space="preserve"> </w:t>
      </w:r>
      <w:r w:rsidRPr="00B004EE">
        <w:rPr>
          <w:rFonts w:ascii="Tahoma" w:hAnsi="Tahoma" w:cs="Tahoma"/>
          <w:bCs/>
          <w:sz w:val="20"/>
          <w:szCs w:val="20"/>
        </w:rPr>
        <w:t>elle</w:t>
      </w:r>
      <w:r w:rsidR="00DB1635" w:rsidRPr="00B004EE">
        <w:rPr>
          <w:rFonts w:ascii="Tahoma" w:hAnsi="Tahoma" w:cs="Tahoma"/>
          <w:bCs/>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chargée</w:t>
      </w:r>
      <w:r w:rsidR="00DB1635" w:rsidRPr="00B004EE">
        <w:rPr>
          <w:rFonts w:ascii="Tahoma" w:hAnsi="Tahoma" w:cs="Tahoma"/>
          <w:sz w:val="20"/>
          <w:szCs w:val="20"/>
        </w:rPr>
        <w:t xml:space="preserve"> </w:t>
      </w:r>
      <w:r w:rsidRPr="00B004EE">
        <w:rPr>
          <w:rFonts w:ascii="Tahoma" w:hAnsi="Tahoma" w:cs="Tahoma"/>
          <w:sz w:val="20"/>
          <w:szCs w:val="20"/>
        </w:rPr>
        <w:t>notamment</w:t>
      </w:r>
      <w:r w:rsidR="00DB1635" w:rsidRPr="00B004EE">
        <w:rPr>
          <w:rFonts w:ascii="Tahoma" w:hAnsi="Tahoma" w:cs="Tahoma"/>
          <w:sz w:val="20"/>
          <w:szCs w:val="20"/>
        </w:rPr>
        <w:t xml:space="preserve"> </w:t>
      </w:r>
      <w:r w:rsidRPr="00B004EE">
        <w:rPr>
          <w:rFonts w:ascii="Tahoma" w:hAnsi="Tahoma" w:cs="Tahoma"/>
          <w:sz w:val="20"/>
          <w:szCs w:val="20"/>
        </w:rPr>
        <w:t>d’évaluer</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situation</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prendre</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mesures</w:t>
      </w:r>
      <w:r w:rsidR="00DB1635" w:rsidRPr="00B004EE">
        <w:rPr>
          <w:rFonts w:ascii="Tahoma" w:hAnsi="Tahoma" w:cs="Tahoma"/>
          <w:sz w:val="20"/>
          <w:szCs w:val="20"/>
        </w:rPr>
        <w:t xml:space="preserve"> </w:t>
      </w:r>
      <w:r w:rsidRPr="00B004EE">
        <w:rPr>
          <w:rFonts w:ascii="Tahoma" w:hAnsi="Tahoma" w:cs="Tahoma"/>
          <w:sz w:val="20"/>
          <w:szCs w:val="20"/>
        </w:rPr>
        <w:t>conservatoires</w:t>
      </w:r>
      <w:r w:rsidR="00DB1635" w:rsidRPr="00B004EE">
        <w:rPr>
          <w:rFonts w:ascii="Tahoma" w:hAnsi="Tahoma" w:cs="Tahoma"/>
          <w:sz w:val="20"/>
          <w:szCs w:val="20"/>
        </w:rPr>
        <w:t xml:space="preserve"> </w:t>
      </w:r>
      <w:r w:rsidRPr="00B004EE">
        <w:rPr>
          <w:rFonts w:ascii="Tahoma" w:hAnsi="Tahoma" w:cs="Tahoma"/>
          <w:sz w:val="20"/>
          <w:szCs w:val="20"/>
        </w:rPr>
        <w:t>d’urgence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proposer</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ministère</w:t>
      </w:r>
      <w:r w:rsidR="00DB1635" w:rsidRPr="00B004EE">
        <w:rPr>
          <w:rFonts w:ascii="Tahoma" w:hAnsi="Tahoma" w:cs="Tahoma"/>
          <w:sz w:val="20"/>
          <w:szCs w:val="20"/>
        </w:rPr>
        <w:t xml:space="preserve"> </w:t>
      </w:r>
      <w:r w:rsidRPr="00B004EE">
        <w:rPr>
          <w:rFonts w:ascii="Tahoma" w:hAnsi="Tahoma" w:cs="Tahoma"/>
          <w:sz w:val="20"/>
          <w:szCs w:val="20"/>
        </w:rPr>
        <w:t>chargé</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dispositions</w:t>
      </w:r>
      <w:r w:rsidR="00DB1635" w:rsidRPr="00B004EE">
        <w:rPr>
          <w:rFonts w:ascii="Tahoma" w:hAnsi="Tahoma" w:cs="Tahoma"/>
          <w:sz w:val="20"/>
          <w:szCs w:val="20"/>
        </w:rPr>
        <w:t xml:space="preserve"> </w:t>
      </w:r>
      <w:r w:rsidRPr="00B004EE">
        <w:rPr>
          <w:rFonts w:ascii="Tahoma" w:hAnsi="Tahoma" w:cs="Tahoma"/>
          <w:sz w:val="20"/>
          <w:szCs w:val="20"/>
        </w:rPr>
        <w:t>qui</w:t>
      </w:r>
      <w:r w:rsidR="00DB1635" w:rsidRPr="00B004EE">
        <w:rPr>
          <w:rFonts w:ascii="Tahoma" w:hAnsi="Tahoma" w:cs="Tahoma"/>
          <w:sz w:val="20"/>
          <w:szCs w:val="20"/>
        </w:rPr>
        <w:t xml:space="preserve"> </w:t>
      </w:r>
      <w:r w:rsidRPr="00B004EE">
        <w:rPr>
          <w:rFonts w:ascii="Tahoma" w:hAnsi="Tahoma" w:cs="Tahoma"/>
          <w:sz w:val="20"/>
          <w:szCs w:val="20"/>
        </w:rPr>
        <w:t>s’imposent.</w:t>
      </w:r>
    </w:p>
    <w:p w14:paraId="0E42B483" w14:textId="66278D37" w:rsidR="002F24E1" w:rsidRPr="00B004EE" w:rsidRDefault="002F24E1" w:rsidP="00B004EE">
      <w:pPr>
        <w:autoSpaceDE w:val="0"/>
        <w:autoSpaceDN w:val="0"/>
        <w:adjustRightInd w:val="0"/>
        <w:ind w:firstLine="15"/>
        <w:jc w:val="both"/>
        <w:rPr>
          <w:rFonts w:ascii="Tahoma" w:hAnsi="Tahoma" w:cs="Tahoma"/>
          <w:sz w:val="20"/>
          <w:szCs w:val="20"/>
        </w:rPr>
      </w:pP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Commission</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présidée</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wali</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Dakhlet</w:t>
      </w:r>
      <w:r w:rsidR="00DB1635" w:rsidRPr="00B004EE">
        <w:rPr>
          <w:rFonts w:ascii="Tahoma" w:hAnsi="Tahoma" w:cs="Tahoma"/>
          <w:sz w:val="20"/>
          <w:szCs w:val="20"/>
        </w:rPr>
        <w:t xml:space="preserve"> </w:t>
      </w:r>
      <w:r w:rsidRPr="00B004EE">
        <w:rPr>
          <w:rFonts w:ascii="Tahoma" w:hAnsi="Tahoma" w:cs="Tahoma"/>
          <w:sz w:val="20"/>
          <w:szCs w:val="20"/>
        </w:rPr>
        <w:t>Noua</w:t>
      </w:r>
      <w:r w:rsidR="00A5129F" w:rsidRPr="00B004EE">
        <w:rPr>
          <w:rFonts w:ascii="Tahoma" w:hAnsi="Tahoma" w:cs="Tahoma"/>
          <w:sz w:val="20"/>
          <w:szCs w:val="20"/>
        </w:rPr>
        <w:t>d</w:t>
      </w:r>
      <w:r w:rsidRPr="00B004EE">
        <w:rPr>
          <w:rFonts w:ascii="Tahoma" w:hAnsi="Tahoma" w:cs="Tahoma"/>
          <w:sz w:val="20"/>
          <w:szCs w:val="20"/>
        </w:rPr>
        <w:t>hibou</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son</w:t>
      </w:r>
      <w:r w:rsidR="00DB1635" w:rsidRPr="00B004EE">
        <w:rPr>
          <w:rFonts w:ascii="Tahoma" w:hAnsi="Tahoma" w:cs="Tahoma"/>
          <w:sz w:val="20"/>
          <w:szCs w:val="20"/>
        </w:rPr>
        <w:t xml:space="preserve"> </w:t>
      </w:r>
      <w:r w:rsidRPr="00B004EE">
        <w:rPr>
          <w:rFonts w:ascii="Tahoma" w:hAnsi="Tahoma" w:cs="Tahoma"/>
          <w:sz w:val="20"/>
          <w:szCs w:val="20"/>
        </w:rPr>
        <w:t>représentant</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comprend</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membres</w:t>
      </w:r>
      <w:r w:rsidR="00DB1635" w:rsidRPr="00B004EE">
        <w:rPr>
          <w:rFonts w:ascii="Tahoma" w:hAnsi="Tahoma" w:cs="Tahoma"/>
          <w:sz w:val="20"/>
          <w:szCs w:val="20"/>
        </w:rPr>
        <w:t xml:space="preserve"> </w:t>
      </w:r>
      <w:r w:rsidRPr="00B004EE">
        <w:rPr>
          <w:rFonts w:ascii="Tahoma" w:hAnsi="Tahoma" w:cs="Tahoma"/>
          <w:sz w:val="20"/>
          <w:szCs w:val="20"/>
        </w:rPr>
        <w:t>ci-après</w:t>
      </w:r>
      <w:r w:rsidR="00DB1635" w:rsidRPr="00B004EE">
        <w:rPr>
          <w:rFonts w:ascii="Tahoma" w:hAnsi="Tahoma" w:cs="Tahoma"/>
          <w:sz w:val="20"/>
          <w:szCs w:val="20"/>
        </w:rPr>
        <w:t xml:space="preserve"> </w:t>
      </w:r>
      <w:r w:rsidRPr="00B004EE">
        <w:rPr>
          <w:rFonts w:ascii="Tahoma" w:hAnsi="Tahoma" w:cs="Tahoma"/>
          <w:sz w:val="20"/>
          <w:szCs w:val="20"/>
        </w:rPr>
        <w:t>:</w:t>
      </w:r>
    </w:p>
    <w:p w14:paraId="022DB624" w14:textId="6A5D0DA4" w:rsidR="002F24E1" w:rsidRPr="00B004EE" w:rsidRDefault="002F24E1" w:rsidP="00B004EE">
      <w:pPr>
        <w:pStyle w:val="Paragraphedeliste"/>
        <w:numPr>
          <w:ilvl w:val="0"/>
          <w:numId w:val="1"/>
        </w:numPr>
        <w:tabs>
          <w:tab w:val="clear" w:pos="720"/>
          <w:tab w:val="num" w:pos="567"/>
        </w:tabs>
        <w:autoSpaceDE w:val="0"/>
        <w:autoSpaceDN w:val="0"/>
        <w:adjustRightInd w:val="0"/>
        <w:ind w:left="567"/>
        <w:contextualSpacing/>
        <w:jc w:val="both"/>
        <w:rPr>
          <w:rFonts w:ascii="Tahoma" w:hAnsi="Tahoma" w:cs="Tahoma"/>
          <w:sz w:val="20"/>
          <w:szCs w:val="20"/>
        </w:rPr>
      </w:pPr>
      <w:proofErr w:type="gramStart"/>
      <w:r w:rsidRPr="00B004EE">
        <w:rPr>
          <w:rFonts w:ascii="Tahoma" w:hAnsi="Tahoma" w:cs="Tahoma"/>
          <w:sz w:val="20"/>
          <w:szCs w:val="20"/>
        </w:rPr>
        <w:t>le</w:t>
      </w:r>
      <w:proofErr w:type="gramEnd"/>
      <w:r w:rsidR="00DB1635" w:rsidRPr="00B004EE">
        <w:rPr>
          <w:rFonts w:ascii="Tahoma" w:hAnsi="Tahoma" w:cs="Tahoma"/>
          <w:sz w:val="20"/>
          <w:szCs w:val="20"/>
        </w:rPr>
        <w:t xml:space="preserve"> </w:t>
      </w:r>
      <w:r w:rsidRPr="00B004EE">
        <w:rPr>
          <w:rFonts w:ascii="Tahoma" w:hAnsi="Tahoma" w:cs="Tahoma"/>
          <w:sz w:val="20"/>
          <w:szCs w:val="20"/>
        </w:rPr>
        <w:t>Président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Zone</w:t>
      </w:r>
      <w:r w:rsidR="00DB1635" w:rsidRPr="00B004EE">
        <w:rPr>
          <w:rFonts w:ascii="Tahoma" w:hAnsi="Tahoma" w:cs="Tahoma"/>
          <w:sz w:val="20"/>
          <w:szCs w:val="20"/>
        </w:rPr>
        <w:t xml:space="preserve"> </w:t>
      </w:r>
      <w:r w:rsidRPr="00B004EE">
        <w:rPr>
          <w:rFonts w:ascii="Tahoma" w:hAnsi="Tahoma" w:cs="Tahoma"/>
          <w:sz w:val="20"/>
          <w:szCs w:val="20"/>
        </w:rPr>
        <w:t>Franche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Nouadhibou</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son</w:t>
      </w:r>
      <w:r w:rsidR="00DB1635" w:rsidRPr="00B004EE">
        <w:rPr>
          <w:rFonts w:ascii="Tahoma" w:hAnsi="Tahoma" w:cs="Tahoma"/>
          <w:sz w:val="20"/>
          <w:szCs w:val="20"/>
        </w:rPr>
        <w:t xml:space="preserve"> </w:t>
      </w:r>
      <w:r w:rsidRPr="00B004EE">
        <w:rPr>
          <w:rFonts w:ascii="Tahoma" w:hAnsi="Tahoma" w:cs="Tahoma"/>
          <w:sz w:val="20"/>
          <w:szCs w:val="20"/>
        </w:rPr>
        <w:t>représentant</w:t>
      </w:r>
      <w:r w:rsidR="00DB1635" w:rsidRPr="00B004EE">
        <w:rPr>
          <w:rFonts w:ascii="Tahoma" w:hAnsi="Tahoma" w:cs="Tahoma"/>
          <w:sz w:val="20"/>
          <w:szCs w:val="20"/>
        </w:rPr>
        <w:t xml:space="preserve"> </w:t>
      </w:r>
      <w:r w:rsidRPr="00B004EE">
        <w:rPr>
          <w:rFonts w:ascii="Tahoma" w:hAnsi="Tahoma" w:cs="Tahoma"/>
          <w:sz w:val="20"/>
          <w:szCs w:val="20"/>
        </w:rPr>
        <w:t>;</w:t>
      </w:r>
    </w:p>
    <w:p w14:paraId="2EB13BF3" w14:textId="57866D53" w:rsidR="002F24E1" w:rsidRPr="00B004EE" w:rsidRDefault="002F24E1" w:rsidP="00B004EE">
      <w:pPr>
        <w:pStyle w:val="Paragraphedeliste"/>
        <w:numPr>
          <w:ilvl w:val="0"/>
          <w:numId w:val="1"/>
        </w:numPr>
        <w:tabs>
          <w:tab w:val="clear" w:pos="720"/>
          <w:tab w:val="num" w:pos="567"/>
        </w:tabs>
        <w:autoSpaceDE w:val="0"/>
        <w:autoSpaceDN w:val="0"/>
        <w:adjustRightInd w:val="0"/>
        <w:ind w:left="567"/>
        <w:contextualSpacing/>
        <w:jc w:val="both"/>
        <w:rPr>
          <w:rFonts w:ascii="Tahoma" w:hAnsi="Tahoma" w:cs="Tahoma"/>
          <w:sz w:val="20"/>
          <w:szCs w:val="20"/>
        </w:rPr>
      </w:pPr>
      <w:proofErr w:type="gramStart"/>
      <w:r w:rsidRPr="00B004EE">
        <w:rPr>
          <w:rFonts w:ascii="Tahoma" w:hAnsi="Tahoma" w:cs="Tahoma"/>
          <w:sz w:val="20"/>
          <w:szCs w:val="20"/>
        </w:rPr>
        <w:t>le</w:t>
      </w:r>
      <w:proofErr w:type="gramEnd"/>
      <w:r w:rsidR="00DB1635" w:rsidRPr="00B004EE">
        <w:rPr>
          <w:rFonts w:ascii="Tahoma" w:hAnsi="Tahoma" w:cs="Tahoma"/>
          <w:sz w:val="20"/>
          <w:szCs w:val="20"/>
        </w:rPr>
        <w:t xml:space="preserve"> </w:t>
      </w:r>
      <w:r w:rsidRPr="00B004EE">
        <w:rPr>
          <w:rFonts w:ascii="Tahoma" w:hAnsi="Tahoma" w:cs="Tahoma"/>
          <w:sz w:val="20"/>
          <w:szCs w:val="20"/>
        </w:rPr>
        <w:t>Commandant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Garde-côte</w:t>
      </w:r>
      <w:r w:rsidR="00DB1635" w:rsidRPr="00B004EE">
        <w:rPr>
          <w:rFonts w:ascii="Tahoma" w:hAnsi="Tahoma" w:cs="Tahoma"/>
          <w:sz w:val="20"/>
          <w:szCs w:val="20"/>
        </w:rPr>
        <w:t xml:space="preserve"> </w:t>
      </w:r>
      <w:r w:rsidRPr="00B004EE">
        <w:rPr>
          <w:rFonts w:ascii="Tahoma" w:hAnsi="Tahoma" w:cs="Tahoma"/>
          <w:sz w:val="20"/>
          <w:szCs w:val="20"/>
        </w:rPr>
        <w:t>Mauritanienne</w:t>
      </w:r>
      <w:r w:rsidR="00DB1635" w:rsidRPr="00B004EE">
        <w:rPr>
          <w:rFonts w:ascii="Tahoma" w:hAnsi="Tahoma" w:cs="Tahoma"/>
          <w:sz w:val="20"/>
          <w:szCs w:val="20"/>
        </w:rPr>
        <w:t xml:space="preserve"> </w:t>
      </w:r>
      <w:r w:rsidRPr="00B004EE">
        <w:rPr>
          <w:rFonts w:ascii="Tahoma" w:hAnsi="Tahoma" w:cs="Tahoma"/>
          <w:sz w:val="20"/>
          <w:szCs w:val="20"/>
        </w:rPr>
        <w:t>(GCM)</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p>
    <w:p w14:paraId="6055ADF2" w14:textId="1188A715" w:rsidR="002F24E1" w:rsidRPr="00B004EE" w:rsidRDefault="002F24E1" w:rsidP="00B004EE">
      <w:pPr>
        <w:numPr>
          <w:ilvl w:val="0"/>
          <w:numId w:val="1"/>
        </w:numPr>
        <w:tabs>
          <w:tab w:val="clear" w:pos="720"/>
          <w:tab w:val="num" w:pos="567"/>
        </w:tabs>
        <w:autoSpaceDE w:val="0"/>
        <w:autoSpaceDN w:val="0"/>
        <w:adjustRightInd w:val="0"/>
        <w:ind w:left="567"/>
        <w:jc w:val="both"/>
        <w:rPr>
          <w:rFonts w:ascii="Tahoma" w:hAnsi="Tahoma" w:cs="Tahoma"/>
          <w:sz w:val="20"/>
          <w:szCs w:val="20"/>
        </w:rPr>
      </w:pPr>
      <w:proofErr w:type="gramStart"/>
      <w:r w:rsidRPr="00B004EE">
        <w:rPr>
          <w:rFonts w:ascii="Tahoma" w:hAnsi="Tahoma" w:cs="Tahoma"/>
          <w:sz w:val="20"/>
          <w:szCs w:val="20"/>
        </w:rPr>
        <w:t>le</w:t>
      </w:r>
      <w:proofErr w:type="gramEnd"/>
      <w:r w:rsidR="00DB1635" w:rsidRPr="00B004EE">
        <w:rPr>
          <w:rFonts w:ascii="Tahoma" w:hAnsi="Tahoma" w:cs="Tahoma"/>
          <w:sz w:val="20"/>
          <w:szCs w:val="20"/>
        </w:rPr>
        <w:t xml:space="preserve"> </w:t>
      </w:r>
      <w:r w:rsidRPr="00B004EE">
        <w:rPr>
          <w:rFonts w:ascii="Tahoma" w:hAnsi="Tahoma" w:cs="Tahoma"/>
          <w:sz w:val="20"/>
          <w:szCs w:val="20"/>
        </w:rPr>
        <w:t>Directeur</w:t>
      </w:r>
      <w:r w:rsidR="00DB1635" w:rsidRPr="00B004EE">
        <w:rPr>
          <w:rFonts w:ascii="Tahoma" w:hAnsi="Tahoma" w:cs="Tahoma"/>
          <w:sz w:val="20"/>
          <w:szCs w:val="20"/>
        </w:rPr>
        <w:t xml:space="preserve"> </w:t>
      </w:r>
      <w:r w:rsidRPr="00B004EE">
        <w:rPr>
          <w:rFonts w:ascii="Tahoma" w:hAnsi="Tahoma" w:cs="Tahoma"/>
          <w:sz w:val="20"/>
          <w:szCs w:val="20"/>
        </w:rPr>
        <w:t>Régional</w:t>
      </w:r>
      <w:r w:rsidR="00DB1635" w:rsidRPr="00B004EE">
        <w:rPr>
          <w:rFonts w:ascii="Tahoma" w:hAnsi="Tahoma" w:cs="Tahoma"/>
          <w:sz w:val="20"/>
          <w:szCs w:val="20"/>
        </w:rPr>
        <w:t xml:space="preserve"> </w:t>
      </w:r>
      <w:r w:rsidRPr="00B004EE">
        <w:rPr>
          <w:rFonts w:ascii="Tahoma" w:hAnsi="Tahoma" w:cs="Tahoma"/>
          <w:sz w:val="20"/>
          <w:szCs w:val="20"/>
        </w:rPr>
        <w:t>maritime</w:t>
      </w:r>
      <w:r w:rsidR="00DB1635" w:rsidRPr="00B004EE">
        <w:rPr>
          <w:rFonts w:ascii="Tahoma" w:hAnsi="Tahoma" w:cs="Tahoma"/>
          <w:sz w:val="20"/>
          <w:szCs w:val="20"/>
        </w:rPr>
        <w:t xml:space="preserve"> </w:t>
      </w:r>
      <w:r w:rsidRPr="00B004EE">
        <w:rPr>
          <w:rFonts w:ascii="Tahoma" w:hAnsi="Tahoma" w:cs="Tahoma"/>
          <w:sz w:val="20"/>
          <w:szCs w:val="20"/>
        </w:rPr>
        <w:t>;</w:t>
      </w:r>
    </w:p>
    <w:p w14:paraId="51FF177F" w14:textId="4A8A1E5E" w:rsidR="002F24E1" w:rsidRPr="00B004EE" w:rsidRDefault="002F24E1" w:rsidP="00B004EE">
      <w:pPr>
        <w:numPr>
          <w:ilvl w:val="0"/>
          <w:numId w:val="1"/>
        </w:numPr>
        <w:tabs>
          <w:tab w:val="clear" w:pos="720"/>
          <w:tab w:val="num" w:pos="567"/>
        </w:tabs>
        <w:autoSpaceDE w:val="0"/>
        <w:autoSpaceDN w:val="0"/>
        <w:adjustRightInd w:val="0"/>
        <w:ind w:left="567"/>
        <w:jc w:val="both"/>
        <w:rPr>
          <w:rFonts w:ascii="Tahoma" w:hAnsi="Tahoma" w:cs="Tahoma"/>
          <w:sz w:val="20"/>
          <w:szCs w:val="20"/>
        </w:rPr>
      </w:pPr>
      <w:proofErr w:type="gramStart"/>
      <w:r w:rsidRPr="00B004EE">
        <w:rPr>
          <w:rFonts w:ascii="Tahoma" w:hAnsi="Tahoma" w:cs="Tahoma"/>
          <w:sz w:val="20"/>
          <w:szCs w:val="20"/>
        </w:rPr>
        <w:t>le</w:t>
      </w:r>
      <w:proofErr w:type="gramEnd"/>
      <w:r w:rsidR="00DB1635" w:rsidRPr="00B004EE">
        <w:rPr>
          <w:rFonts w:ascii="Tahoma" w:hAnsi="Tahoma" w:cs="Tahoma"/>
          <w:sz w:val="20"/>
          <w:szCs w:val="20"/>
        </w:rPr>
        <w:t xml:space="preserve"> </w:t>
      </w:r>
      <w:r w:rsidRPr="00B004EE">
        <w:rPr>
          <w:rFonts w:ascii="Tahoma" w:hAnsi="Tahoma" w:cs="Tahoma"/>
          <w:sz w:val="20"/>
          <w:szCs w:val="20"/>
        </w:rPr>
        <w:t>Directeur</w:t>
      </w:r>
      <w:r w:rsidR="00DB1635" w:rsidRPr="00B004EE">
        <w:rPr>
          <w:rFonts w:ascii="Tahoma" w:hAnsi="Tahoma" w:cs="Tahoma"/>
          <w:sz w:val="20"/>
          <w:szCs w:val="20"/>
        </w:rPr>
        <w:t xml:space="preserve"> </w:t>
      </w:r>
      <w:r w:rsidRPr="00B004EE">
        <w:rPr>
          <w:rFonts w:ascii="Tahoma" w:hAnsi="Tahoma" w:cs="Tahoma"/>
          <w:sz w:val="20"/>
          <w:szCs w:val="20"/>
        </w:rPr>
        <w:t>Régional</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Commerce</w:t>
      </w:r>
      <w:r w:rsidR="00DB1635" w:rsidRPr="00B004EE">
        <w:rPr>
          <w:rFonts w:ascii="Tahoma" w:hAnsi="Tahoma" w:cs="Tahoma"/>
          <w:sz w:val="20"/>
          <w:szCs w:val="20"/>
        </w:rPr>
        <w:t xml:space="preserve"> </w:t>
      </w:r>
      <w:r w:rsidRPr="00B004EE">
        <w:rPr>
          <w:rFonts w:ascii="Tahoma" w:hAnsi="Tahoma" w:cs="Tahoma"/>
          <w:sz w:val="20"/>
          <w:szCs w:val="20"/>
        </w:rPr>
        <w:t>;</w:t>
      </w:r>
    </w:p>
    <w:p w14:paraId="42354345" w14:textId="77758876" w:rsidR="002F24E1" w:rsidRPr="00B004EE" w:rsidRDefault="002F24E1" w:rsidP="00B004EE">
      <w:pPr>
        <w:numPr>
          <w:ilvl w:val="0"/>
          <w:numId w:val="1"/>
        </w:numPr>
        <w:tabs>
          <w:tab w:val="clear" w:pos="720"/>
          <w:tab w:val="num" w:pos="567"/>
        </w:tabs>
        <w:autoSpaceDE w:val="0"/>
        <w:autoSpaceDN w:val="0"/>
        <w:adjustRightInd w:val="0"/>
        <w:ind w:left="567"/>
        <w:jc w:val="both"/>
        <w:rPr>
          <w:rFonts w:ascii="Tahoma" w:hAnsi="Tahoma" w:cs="Tahoma"/>
          <w:sz w:val="20"/>
          <w:szCs w:val="20"/>
        </w:rPr>
      </w:pPr>
      <w:proofErr w:type="gramStart"/>
      <w:r w:rsidRPr="00B004EE">
        <w:rPr>
          <w:rFonts w:ascii="Tahoma" w:hAnsi="Tahoma" w:cs="Tahoma"/>
          <w:sz w:val="20"/>
          <w:szCs w:val="20"/>
        </w:rPr>
        <w:t>le</w:t>
      </w:r>
      <w:proofErr w:type="gramEnd"/>
      <w:r w:rsidR="00DB1635" w:rsidRPr="00B004EE">
        <w:rPr>
          <w:rFonts w:ascii="Tahoma" w:hAnsi="Tahoma" w:cs="Tahoma"/>
          <w:sz w:val="20"/>
          <w:szCs w:val="20"/>
        </w:rPr>
        <w:t xml:space="preserve"> </w:t>
      </w:r>
      <w:r w:rsidRPr="00B004EE">
        <w:rPr>
          <w:rFonts w:ascii="Tahoma" w:hAnsi="Tahoma" w:cs="Tahoma"/>
          <w:sz w:val="20"/>
          <w:szCs w:val="20"/>
        </w:rPr>
        <w:t>Directeur</w:t>
      </w:r>
      <w:r w:rsidR="00DB1635" w:rsidRPr="00B004EE">
        <w:rPr>
          <w:rFonts w:ascii="Tahoma" w:hAnsi="Tahoma" w:cs="Tahoma"/>
          <w:sz w:val="20"/>
          <w:szCs w:val="20"/>
        </w:rPr>
        <w:t xml:space="preserve"> </w:t>
      </w:r>
      <w:r w:rsidRPr="00B004EE">
        <w:rPr>
          <w:rFonts w:ascii="Tahoma" w:hAnsi="Tahoma" w:cs="Tahoma"/>
          <w:sz w:val="20"/>
          <w:szCs w:val="20"/>
        </w:rPr>
        <w:t>Régional</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Santé</w:t>
      </w:r>
      <w:r w:rsidR="00DB1635" w:rsidRPr="00B004EE">
        <w:rPr>
          <w:rFonts w:ascii="Tahoma" w:hAnsi="Tahoma" w:cs="Tahoma"/>
          <w:sz w:val="20"/>
          <w:szCs w:val="20"/>
        </w:rPr>
        <w:t xml:space="preserve"> </w:t>
      </w:r>
      <w:r w:rsidRPr="00B004EE">
        <w:rPr>
          <w:rFonts w:ascii="Tahoma" w:hAnsi="Tahoma" w:cs="Tahoma"/>
          <w:sz w:val="20"/>
          <w:szCs w:val="20"/>
        </w:rPr>
        <w:t>;</w:t>
      </w:r>
    </w:p>
    <w:p w14:paraId="106289A2" w14:textId="05856D28" w:rsidR="002F24E1" w:rsidRPr="00B004EE" w:rsidRDefault="002F24E1" w:rsidP="00B004EE">
      <w:pPr>
        <w:numPr>
          <w:ilvl w:val="0"/>
          <w:numId w:val="1"/>
        </w:numPr>
        <w:tabs>
          <w:tab w:val="clear" w:pos="720"/>
          <w:tab w:val="num" w:pos="567"/>
        </w:tabs>
        <w:autoSpaceDE w:val="0"/>
        <w:autoSpaceDN w:val="0"/>
        <w:adjustRightInd w:val="0"/>
        <w:ind w:left="567"/>
        <w:jc w:val="both"/>
        <w:rPr>
          <w:rFonts w:ascii="Tahoma" w:hAnsi="Tahoma" w:cs="Tahoma"/>
          <w:sz w:val="20"/>
          <w:szCs w:val="20"/>
        </w:rPr>
      </w:pPr>
      <w:proofErr w:type="gramStart"/>
      <w:r w:rsidRPr="00B004EE">
        <w:rPr>
          <w:rFonts w:ascii="Tahoma" w:hAnsi="Tahoma" w:cs="Tahoma"/>
          <w:sz w:val="20"/>
          <w:szCs w:val="20"/>
        </w:rPr>
        <w:lastRenderedPageBreak/>
        <w:t>le</w:t>
      </w:r>
      <w:proofErr w:type="gramEnd"/>
      <w:r w:rsidR="00DB1635" w:rsidRPr="00B004EE">
        <w:rPr>
          <w:rFonts w:ascii="Tahoma" w:hAnsi="Tahoma" w:cs="Tahoma"/>
          <w:sz w:val="20"/>
          <w:szCs w:val="20"/>
        </w:rPr>
        <w:t xml:space="preserve"> </w:t>
      </w:r>
      <w:r w:rsidRPr="00B004EE">
        <w:rPr>
          <w:rFonts w:ascii="Tahoma" w:hAnsi="Tahoma" w:cs="Tahoma"/>
          <w:sz w:val="20"/>
          <w:szCs w:val="20"/>
        </w:rPr>
        <w:t>Directeur</w:t>
      </w:r>
      <w:r w:rsidR="00DB1635" w:rsidRPr="00B004EE">
        <w:rPr>
          <w:rFonts w:ascii="Tahoma" w:hAnsi="Tahoma" w:cs="Tahoma"/>
          <w:sz w:val="20"/>
          <w:szCs w:val="20"/>
        </w:rPr>
        <w:t xml:space="preserve"> </w:t>
      </w:r>
      <w:r w:rsidRPr="00B004EE">
        <w:rPr>
          <w:rFonts w:ascii="Tahoma" w:hAnsi="Tahoma" w:cs="Tahoma"/>
          <w:sz w:val="20"/>
          <w:szCs w:val="20"/>
        </w:rPr>
        <w:t>Régional</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l’Environnement</w:t>
      </w:r>
      <w:r w:rsidR="00DB1635" w:rsidRPr="00B004EE">
        <w:rPr>
          <w:rFonts w:ascii="Tahoma" w:hAnsi="Tahoma" w:cs="Tahoma"/>
          <w:sz w:val="20"/>
          <w:szCs w:val="20"/>
        </w:rPr>
        <w:t xml:space="preserve"> </w:t>
      </w:r>
      <w:r w:rsidRPr="00B004EE">
        <w:rPr>
          <w:rFonts w:ascii="Tahoma" w:hAnsi="Tahoma" w:cs="Tahoma"/>
          <w:sz w:val="20"/>
          <w:szCs w:val="20"/>
        </w:rPr>
        <w:t>;</w:t>
      </w:r>
    </w:p>
    <w:p w14:paraId="2F46BDFB" w14:textId="3BFC68E6" w:rsidR="002F24E1" w:rsidRPr="00B004EE" w:rsidRDefault="002F24E1" w:rsidP="00B004EE">
      <w:pPr>
        <w:numPr>
          <w:ilvl w:val="0"/>
          <w:numId w:val="1"/>
        </w:numPr>
        <w:tabs>
          <w:tab w:val="clear" w:pos="720"/>
          <w:tab w:val="num" w:pos="567"/>
        </w:tabs>
        <w:autoSpaceDE w:val="0"/>
        <w:autoSpaceDN w:val="0"/>
        <w:adjustRightInd w:val="0"/>
        <w:ind w:left="567"/>
        <w:jc w:val="both"/>
        <w:rPr>
          <w:rFonts w:ascii="Tahoma" w:hAnsi="Tahoma" w:cs="Tahoma"/>
          <w:sz w:val="20"/>
          <w:szCs w:val="20"/>
        </w:rPr>
      </w:pPr>
      <w:proofErr w:type="gramStart"/>
      <w:r w:rsidRPr="00B004EE">
        <w:rPr>
          <w:rFonts w:ascii="Tahoma" w:hAnsi="Tahoma" w:cs="Tahoma"/>
          <w:sz w:val="20"/>
          <w:szCs w:val="20"/>
        </w:rPr>
        <w:t>le</w:t>
      </w:r>
      <w:proofErr w:type="gramEnd"/>
      <w:r w:rsidR="00DB1635" w:rsidRPr="00B004EE">
        <w:rPr>
          <w:rFonts w:ascii="Tahoma" w:hAnsi="Tahoma" w:cs="Tahoma"/>
          <w:sz w:val="20"/>
          <w:szCs w:val="20"/>
        </w:rPr>
        <w:t xml:space="preserve"> </w:t>
      </w:r>
      <w:r w:rsidRPr="00B004EE">
        <w:rPr>
          <w:rFonts w:ascii="Tahoma" w:hAnsi="Tahoma" w:cs="Tahoma"/>
          <w:sz w:val="20"/>
          <w:szCs w:val="20"/>
        </w:rPr>
        <w:t>Directeur</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l’Office</w:t>
      </w:r>
      <w:r w:rsidR="00DB1635" w:rsidRPr="00B004EE">
        <w:rPr>
          <w:rFonts w:ascii="Tahoma" w:hAnsi="Tahoma" w:cs="Tahoma"/>
          <w:sz w:val="20"/>
          <w:szCs w:val="20"/>
        </w:rPr>
        <w:t xml:space="preserve"> </w:t>
      </w:r>
      <w:r w:rsidRPr="00B004EE">
        <w:rPr>
          <w:rFonts w:ascii="Tahoma" w:hAnsi="Tahoma" w:cs="Tahoma"/>
          <w:sz w:val="20"/>
          <w:szCs w:val="20"/>
        </w:rPr>
        <w:t>national</w:t>
      </w:r>
      <w:r w:rsidR="00DB1635" w:rsidRPr="00B004EE">
        <w:rPr>
          <w:rFonts w:ascii="Tahoma" w:hAnsi="Tahoma" w:cs="Tahoma"/>
          <w:sz w:val="20"/>
          <w:szCs w:val="20"/>
        </w:rPr>
        <w:t xml:space="preserve"> </w:t>
      </w:r>
      <w:r w:rsidRPr="00B004EE">
        <w:rPr>
          <w:rFonts w:ascii="Tahoma" w:hAnsi="Tahoma" w:cs="Tahoma"/>
          <w:sz w:val="20"/>
          <w:szCs w:val="20"/>
        </w:rPr>
        <w:t>d’Inspection</w:t>
      </w:r>
      <w:r w:rsidR="00DB1635" w:rsidRPr="00B004EE">
        <w:rPr>
          <w:rFonts w:ascii="Tahoma" w:hAnsi="Tahoma" w:cs="Tahoma"/>
          <w:sz w:val="20"/>
          <w:szCs w:val="20"/>
        </w:rPr>
        <w:t xml:space="preserve"> </w:t>
      </w:r>
      <w:r w:rsidRPr="00B004EE">
        <w:rPr>
          <w:rFonts w:ascii="Tahoma" w:hAnsi="Tahoma" w:cs="Tahoma"/>
          <w:sz w:val="20"/>
          <w:szCs w:val="20"/>
        </w:rPr>
        <w:t>Sanitaire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l’Aquaculture</w:t>
      </w:r>
      <w:r w:rsidR="00DB1635" w:rsidRPr="00B004EE">
        <w:rPr>
          <w:rFonts w:ascii="Tahoma" w:hAnsi="Tahoma" w:cs="Tahoma"/>
          <w:sz w:val="20"/>
          <w:szCs w:val="20"/>
        </w:rPr>
        <w:t xml:space="preserve"> </w:t>
      </w:r>
      <w:r w:rsidRPr="00B004EE">
        <w:rPr>
          <w:rFonts w:ascii="Tahoma" w:hAnsi="Tahoma" w:cs="Tahoma"/>
          <w:sz w:val="20"/>
          <w:szCs w:val="20"/>
        </w:rPr>
        <w:t>(ONISPA)</w:t>
      </w:r>
      <w:r w:rsidR="00DB1635" w:rsidRPr="00B004EE">
        <w:rPr>
          <w:rFonts w:ascii="Tahoma" w:hAnsi="Tahoma" w:cs="Tahoma"/>
          <w:sz w:val="20"/>
          <w:szCs w:val="20"/>
        </w:rPr>
        <w:t xml:space="preserve"> </w:t>
      </w:r>
      <w:r w:rsidRPr="00B004EE">
        <w:rPr>
          <w:rFonts w:ascii="Tahoma" w:hAnsi="Tahoma" w:cs="Tahoma"/>
          <w:sz w:val="20"/>
          <w:szCs w:val="20"/>
        </w:rPr>
        <w:t>;</w:t>
      </w:r>
    </w:p>
    <w:p w14:paraId="47F30D84" w14:textId="3208E3B3" w:rsidR="002F24E1" w:rsidRPr="00B004EE" w:rsidRDefault="002F24E1" w:rsidP="00B004EE">
      <w:pPr>
        <w:numPr>
          <w:ilvl w:val="0"/>
          <w:numId w:val="1"/>
        </w:numPr>
        <w:tabs>
          <w:tab w:val="clear" w:pos="720"/>
          <w:tab w:val="num" w:pos="567"/>
        </w:tabs>
        <w:autoSpaceDE w:val="0"/>
        <w:autoSpaceDN w:val="0"/>
        <w:adjustRightInd w:val="0"/>
        <w:ind w:left="567"/>
        <w:jc w:val="both"/>
        <w:rPr>
          <w:rFonts w:ascii="Tahoma" w:hAnsi="Tahoma" w:cs="Tahoma"/>
          <w:sz w:val="20"/>
          <w:szCs w:val="20"/>
        </w:rPr>
      </w:pPr>
      <w:proofErr w:type="gramStart"/>
      <w:r w:rsidRPr="00B004EE">
        <w:rPr>
          <w:rFonts w:ascii="Tahoma" w:hAnsi="Tahoma" w:cs="Tahoma"/>
          <w:sz w:val="20"/>
          <w:szCs w:val="20"/>
        </w:rPr>
        <w:t>un</w:t>
      </w:r>
      <w:proofErr w:type="gramEnd"/>
      <w:r w:rsidR="00DB1635" w:rsidRPr="00B004EE">
        <w:rPr>
          <w:rFonts w:ascii="Tahoma" w:hAnsi="Tahoma" w:cs="Tahoma"/>
          <w:sz w:val="20"/>
          <w:szCs w:val="20"/>
        </w:rPr>
        <w:t xml:space="preserve"> </w:t>
      </w:r>
      <w:r w:rsidRPr="00B004EE">
        <w:rPr>
          <w:rFonts w:ascii="Tahoma" w:hAnsi="Tahoma" w:cs="Tahoma"/>
          <w:sz w:val="20"/>
          <w:szCs w:val="20"/>
        </w:rPr>
        <w:t>représentant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l’Institut</w:t>
      </w:r>
      <w:r w:rsidR="00DB1635" w:rsidRPr="00B004EE">
        <w:rPr>
          <w:rFonts w:ascii="Tahoma" w:hAnsi="Tahoma" w:cs="Tahoma"/>
          <w:sz w:val="20"/>
          <w:szCs w:val="20"/>
        </w:rPr>
        <w:t xml:space="preserve"> </w:t>
      </w:r>
      <w:r w:rsidRPr="00B004EE">
        <w:rPr>
          <w:rFonts w:ascii="Tahoma" w:hAnsi="Tahoma" w:cs="Tahoma"/>
          <w:sz w:val="20"/>
          <w:szCs w:val="20"/>
        </w:rPr>
        <w:t>Mauritanien</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Recherche</w:t>
      </w:r>
      <w:r w:rsidR="00DB1635" w:rsidRPr="00B004EE">
        <w:rPr>
          <w:rFonts w:ascii="Tahoma" w:hAnsi="Tahoma" w:cs="Tahoma"/>
          <w:sz w:val="20"/>
          <w:szCs w:val="20"/>
        </w:rPr>
        <w:t xml:space="preserve"> </w:t>
      </w:r>
      <w:r w:rsidRPr="00B004EE">
        <w:rPr>
          <w:rFonts w:ascii="Tahoma" w:hAnsi="Tahoma" w:cs="Tahoma"/>
          <w:sz w:val="20"/>
          <w:szCs w:val="20"/>
        </w:rPr>
        <w:t>Océanographique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sz w:val="20"/>
          <w:szCs w:val="20"/>
        </w:rPr>
        <w:t xml:space="preserve"> </w:t>
      </w:r>
      <w:r w:rsidRPr="00B004EE">
        <w:rPr>
          <w:rFonts w:ascii="Tahoma" w:hAnsi="Tahoma" w:cs="Tahoma"/>
          <w:sz w:val="20"/>
          <w:szCs w:val="20"/>
        </w:rPr>
        <w:t>(IMROP).</w:t>
      </w:r>
    </w:p>
    <w:p w14:paraId="6EE6F497" w14:textId="6C7DBAD3" w:rsidR="002F24E1" w:rsidRPr="00B004EE" w:rsidRDefault="002F24E1" w:rsidP="00B004EE">
      <w:pPr>
        <w:autoSpaceDE w:val="0"/>
        <w:autoSpaceDN w:val="0"/>
        <w:adjustRightInd w:val="0"/>
        <w:jc w:val="both"/>
        <w:rPr>
          <w:rFonts w:ascii="Tahoma" w:hAnsi="Tahoma" w:cs="Tahoma"/>
          <w:sz w:val="20"/>
          <w:szCs w:val="20"/>
        </w:rPr>
      </w:pP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secrétariat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Commission</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assuré</w:t>
      </w:r>
      <w:r w:rsidR="00DB1635" w:rsidRPr="00B004EE">
        <w:rPr>
          <w:rFonts w:ascii="Tahoma" w:hAnsi="Tahoma" w:cs="Tahoma"/>
          <w:sz w:val="20"/>
          <w:szCs w:val="20"/>
        </w:rPr>
        <w:t xml:space="preserve"> </w:t>
      </w:r>
      <w:r w:rsidRPr="00B004EE">
        <w:rPr>
          <w:rFonts w:ascii="Tahoma" w:hAnsi="Tahoma" w:cs="Tahoma"/>
          <w:sz w:val="20"/>
          <w:szCs w:val="20"/>
        </w:rPr>
        <w:t>par</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Directeur</w:t>
      </w:r>
      <w:r w:rsidR="00DB1635" w:rsidRPr="00B004EE">
        <w:rPr>
          <w:rFonts w:ascii="Tahoma" w:hAnsi="Tahoma" w:cs="Tahoma"/>
          <w:sz w:val="20"/>
          <w:szCs w:val="20"/>
        </w:rPr>
        <w:t xml:space="preserve"> </w:t>
      </w:r>
      <w:r w:rsidRPr="00B004EE">
        <w:rPr>
          <w:rFonts w:ascii="Tahoma" w:hAnsi="Tahoma" w:cs="Tahoma"/>
          <w:sz w:val="20"/>
          <w:szCs w:val="20"/>
        </w:rPr>
        <w:t>Régional</w:t>
      </w:r>
      <w:r w:rsidR="00DB1635" w:rsidRPr="00B004EE">
        <w:rPr>
          <w:rFonts w:ascii="Tahoma" w:hAnsi="Tahoma" w:cs="Tahoma"/>
          <w:sz w:val="20"/>
          <w:szCs w:val="20"/>
        </w:rPr>
        <w:t xml:space="preserve"> </w:t>
      </w:r>
      <w:r w:rsidRPr="00B004EE">
        <w:rPr>
          <w:rFonts w:ascii="Tahoma" w:hAnsi="Tahoma" w:cs="Tahoma"/>
          <w:sz w:val="20"/>
          <w:szCs w:val="20"/>
        </w:rPr>
        <w:t>maritime.</w:t>
      </w:r>
      <w:r w:rsidR="00DB1635" w:rsidRPr="00B004EE">
        <w:rPr>
          <w:rFonts w:ascii="Tahoma" w:hAnsi="Tahoma" w:cs="Tahoma"/>
          <w:sz w:val="20"/>
          <w:szCs w:val="20"/>
        </w:rPr>
        <w:t xml:space="preserve"> </w:t>
      </w:r>
    </w:p>
    <w:p w14:paraId="2E752C83" w14:textId="77777777" w:rsidR="008D3B28" w:rsidRPr="00B004EE" w:rsidRDefault="008D3B28" w:rsidP="00B004EE">
      <w:pPr>
        <w:autoSpaceDE w:val="0"/>
        <w:autoSpaceDN w:val="0"/>
        <w:adjustRightInd w:val="0"/>
        <w:jc w:val="both"/>
        <w:rPr>
          <w:rFonts w:ascii="Tahoma" w:hAnsi="Tahoma" w:cs="Tahoma"/>
          <w:bCs/>
          <w:sz w:val="20"/>
          <w:szCs w:val="20"/>
        </w:rPr>
      </w:pPr>
    </w:p>
    <w:p w14:paraId="5E441187" w14:textId="2A4902A1" w:rsidR="002F24E1" w:rsidRPr="00B004EE" w:rsidRDefault="002F24E1" w:rsidP="00B004EE">
      <w:pPr>
        <w:autoSpaceDE w:val="0"/>
        <w:autoSpaceDN w:val="0"/>
        <w:adjustRightInd w:val="0"/>
        <w:jc w:val="both"/>
        <w:rPr>
          <w:rFonts w:ascii="Tahoma" w:eastAsia="EUAlbertina-Regular-Identity-H" w:hAnsi="Tahoma" w:cs="Tahoma"/>
          <w:sz w:val="20"/>
          <w:szCs w:val="20"/>
        </w:rPr>
      </w:pPr>
      <w:r w:rsidRPr="00B004EE">
        <w:rPr>
          <w:rFonts w:ascii="Tahoma" w:hAnsi="Tahoma" w:cs="Tahoma"/>
          <w:b/>
          <w:bCs/>
          <w:sz w:val="20"/>
          <w:szCs w:val="20"/>
        </w:rPr>
        <w:t>«</w:t>
      </w:r>
      <w:r w:rsidR="00DB1635" w:rsidRPr="00B004EE">
        <w:rPr>
          <w:rFonts w:ascii="Tahoma" w:hAnsi="Tahoma" w:cs="Tahoma"/>
          <w:b/>
          <w:bCs/>
          <w:sz w:val="20"/>
          <w:szCs w:val="20"/>
        </w:rPr>
        <w:t xml:space="preserve"> </w:t>
      </w:r>
      <w:r w:rsidRPr="00B004EE">
        <w:rPr>
          <w:rFonts w:ascii="Tahoma" w:hAnsi="Tahoma" w:cs="Tahoma"/>
          <w:b/>
          <w:bCs/>
          <w:sz w:val="20"/>
          <w:szCs w:val="20"/>
          <w:u w:val="single"/>
        </w:rPr>
        <w:t>Article</w:t>
      </w:r>
      <w:r w:rsidR="00DB1635" w:rsidRPr="00B004EE">
        <w:rPr>
          <w:rFonts w:ascii="Tahoma" w:hAnsi="Tahoma" w:cs="Tahoma"/>
          <w:b/>
          <w:bCs/>
          <w:sz w:val="20"/>
          <w:szCs w:val="20"/>
          <w:u w:val="single"/>
        </w:rPr>
        <w:t xml:space="preserve"> </w:t>
      </w:r>
      <w:r w:rsidRPr="00B004EE">
        <w:rPr>
          <w:rFonts w:ascii="Tahoma" w:hAnsi="Tahoma" w:cs="Tahoma"/>
          <w:b/>
          <w:bCs/>
          <w:sz w:val="20"/>
          <w:szCs w:val="20"/>
          <w:u w:val="single"/>
        </w:rPr>
        <w:t>4</w:t>
      </w:r>
      <w:r w:rsidR="00DB1635" w:rsidRPr="00B004EE">
        <w:rPr>
          <w:rFonts w:ascii="Tahoma" w:hAnsi="Tahoma" w:cs="Tahoma"/>
          <w:b/>
          <w:bCs/>
          <w:sz w:val="20"/>
          <w:szCs w:val="20"/>
        </w:rPr>
        <w:t xml:space="preserve"> </w:t>
      </w:r>
      <w:r w:rsidRPr="00B004EE">
        <w:rPr>
          <w:rFonts w:ascii="Tahoma" w:hAnsi="Tahoma" w:cs="Tahoma"/>
          <w:b/>
          <w:bCs/>
          <w:sz w:val="20"/>
          <w:szCs w:val="20"/>
        </w:rPr>
        <w:t>(nouveau)</w:t>
      </w:r>
      <w:r w:rsidR="00DB1635" w:rsidRPr="00B004EE">
        <w:rPr>
          <w:rFonts w:ascii="Tahoma" w:hAnsi="Tahoma" w:cs="Tahoma"/>
          <w:b/>
          <w:bCs/>
          <w:sz w:val="20"/>
          <w:szCs w:val="20"/>
        </w:rPr>
        <w:t xml:space="preserve"> </w:t>
      </w:r>
      <w:r w:rsidRPr="00B004EE">
        <w:rPr>
          <w:rFonts w:ascii="Tahoma" w:hAnsi="Tahoma" w:cs="Tahoma"/>
          <w:b/>
          <w:bCs/>
          <w:sz w:val="20"/>
          <w:szCs w:val="20"/>
        </w:rPr>
        <w:t>:</w:t>
      </w:r>
      <w:r w:rsidR="00DB1635" w:rsidRPr="00B004EE">
        <w:rPr>
          <w:rFonts w:ascii="Tahoma" w:hAnsi="Tahoma" w:cs="Tahoma"/>
          <w:b/>
          <w:bCs/>
          <w:sz w:val="20"/>
          <w:szCs w:val="20"/>
        </w:rPr>
        <w:t xml:space="preserve"> </w:t>
      </w:r>
      <w:r w:rsidRPr="00B004EE">
        <w:rPr>
          <w:rFonts w:ascii="Tahoma" w:eastAsia="EUAlbertina-Regular-Identity-H" w:hAnsi="Tahoma" w:cs="Tahoma"/>
          <w:sz w:val="20"/>
          <w:szCs w:val="20"/>
        </w:rPr>
        <w:t>Les</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zones</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de</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production</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classées</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au</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présent</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arrêté</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seront</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soumises</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aux</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contrôles</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à</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intervalles</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réguliers</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et</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aux</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contrôles</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supplémentaires</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tels</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que</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prévus</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à</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l’Annexe</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B</w:t>
      </w:r>
      <w:r w:rsidR="00DB1635" w:rsidRPr="00B004EE">
        <w:rPr>
          <w:rFonts w:ascii="Tahoma" w:eastAsia="EUAlbertina-Regular-Identity-H" w:hAnsi="Tahoma" w:cs="Tahoma"/>
          <w:sz w:val="20"/>
          <w:szCs w:val="20"/>
        </w:rPr>
        <w:t xml:space="preserve"> </w:t>
      </w:r>
      <w:r w:rsidRPr="00B004EE">
        <w:rPr>
          <w:rFonts w:ascii="Tahoma" w:eastAsia="EUAlbertina-Regular-Identity-H" w:hAnsi="Tahoma" w:cs="Tahoma"/>
          <w:sz w:val="20"/>
          <w:szCs w:val="20"/>
        </w:rPr>
        <w:t>de</w:t>
      </w:r>
      <w:r w:rsidR="00DB1635" w:rsidRPr="00B004EE">
        <w:rPr>
          <w:rFonts w:ascii="Tahoma" w:eastAsia="EUAlbertina-Regular-Identity-H" w:hAnsi="Tahoma" w:cs="Tahoma"/>
          <w:sz w:val="20"/>
          <w:szCs w:val="20"/>
        </w:rPr>
        <w:t xml:space="preserve"> </w:t>
      </w:r>
      <w:r w:rsidRPr="00B004EE">
        <w:rPr>
          <w:rFonts w:ascii="Tahoma" w:hAnsi="Tahoma" w:cs="Tahoma"/>
          <w:sz w:val="20"/>
          <w:szCs w:val="20"/>
        </w:rPr>
        <w:t>l’arrêté</w:t>
      </w:r>
      <w:r w:rsidR="00DB1635" w:rsidRPr="00B004EE">
        <w:rPr>
          <w:rFonts w:ascii="Tahoma" w:hAnsi="Tahoma" w:cs="Tahoma"/>
          <w:sz w:val="20"/>
          <w:szCs w:val="20"/>
        </w:rPr>
        <w:t xml:space="preserve"> </w:t>
      </w:r>
      <w:r w:rsidRPr="00B004EE">
        <w:rPr>
          <w:rFonts w:ascii="Tahoma" w:hAnsi="Tahoma" w:cs="Tahoma"/>
          <w:sz w:val="20"/>
          <w:szCs w:val="20"/>
        </w:rPr>
        <w:t>conjoint</w:t>
      </w:r>
      <w:r w:rsidR="00DB1635" w:rsidRPr="00B004EE">
        <w:rPr>
          <w:rFonts w:ascii="Tahoma" w:hAnsi="Tahoma" w:cs="Tahoma"/>
          <w:sz w:val="20"/>
          <w:szCs w:val="20"/>
        </w:rPr>
        <w:t xml:space="preserve"> </w:t>
      </w:r>
      <w:r w:rsidRPr="00B004EE">
        <w:rPr>
          <w:rFonts w:ascii="Tahoma" w:hAnsi="Tahoma" w:cs="Tahoma"/>
          <w:sz w:val="20"/>
          <w:szCs w:val="20"/>
        </w:rPr>
        <w:t>n°</w:t>
      </w:r>
      <w:r w:rsidR="00DB1635" w:rsidRPr="00B004EE">
        <w:rPr>
          <w:rFonts w:ascii="Tahoma" w:hAnsi="Tahoma" w:cs="Tahoma"/>
          <w:sz w:val="20"/>
          <w:szCs w:val="20"/>
        </w:rPr>
        <w:t xml:space="preserve"> </w:t>
      </w:r>
      <w:r w:rsidRPr="00B004EE">
        <w:rPr>
          <w:rFonts w:ascii="Tahoma" w:hAnsi="Tahoma" w:cs="Tahoma"/>
          <w:sz w:val="20"/>
          <w:szCs w:val="20"/>
        </w:rPr>
        <w:t>2860</w:t>
      </w:r>
      <w:r w:rsidR="00DB1635" w:rsidRPr="00B004EE">
        <w:rPr>
          <w:rFonts w:ascii="Tahoma" w:hAnsi="Tahoma" w:cs="Tahoma"/>
          <w:sz w:val="20"/>
          <w:szCs w:val="20"/>
        </w:rPr>
        <w:t xml:space="preserve"> </w:t>
      </w:r>
      <w:r w:rsidRPr="00B004EE">
        <w:rPr>
          <w:rFonts w:ascii="Tahoma" w:hAnsi="Tahoma" w:cs="Tahoma"/>
          <w:sz w:val="20"/>
          <w:szCs w:val="20"/>
        </w:rPr>
        <w:t>MPEM/MCAT/MSAS/SEPME</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16</w:t>
      </w:r>
      <w:r w:rsidR="00DB1635" w:rsidRPr="00B004EE">
        <w:rPr>
          <w:rFonts w:ascii="Tahoma" w:hAnsi="Tahoma" w:cs="Tahoma"/>
          <w:sz w:val="20"/>
          <w:szCs w:val="20"/>
        </w:rPr>
        <w:t xml:space="preserve"> </w:t>
      </w:r>
      <w:r w:rsidRPr="00B004EE">
        <w:rPr>
          <w:rFonts w:ascii="Tahoma" w:hAnsi="Tahoma" w:cs="Tahoma"/>
          <w:sz w:val="20"/>
          <w:szCs w:val="20"/>
        </w:rPr>
        <w:t>novembre</w:t>
      </w:r>
      <w:r w:rsidR="00DB1635" w:rsidRPr="00B004EE">
        <w:rPr>
          <w:rFonts w:ascii="Tahoma" w:hAnsi="Tahoma" w:cs="Tahoma"/>
          <w:sz w:val="20"/>
          <w:szCs w:val="20"/>
        </w:rPr>
        <w:t xml:space="preserve"> </w:t>
      </w:r>
      <w:r w:rsidRPr="00B004EE">
        <w:rPr>
          <w:rFonts w:ascii="Tahoma" w:hAnsi="Tahoma" w:cs="Tahoma"/>
          <w:sz w:val="20"/>
          <w:szCs w:val="20"/>
        </w:rPr>
        <w:t>2006</w:t>
      </w:r>
      <w:r w:rsidR="00DB1635" w:rsidRPr="00B004EE">
        <w:rPr>
          <w:rFonts w:ascii="Tahoma" w:hAnsi="Tahoma" w:cs="Tahoma"/>
          <w:sz w:val="20"/>
          <w:szCs w:val="20"/>
        </w:rPr>
        <w:t xml:space="preserve"> </w:t>
      </w:r>
      <w:r w:rsidRPr="00B004EE">
        <w:rPr>
          <w:rFonts w:ascii="Tahoma" w:hAnsi="Tahoma" w:cs="Tahoma"/>
          <w:sz w:val="20"/>
          <w:szCs w:val="20"/>
        </w:rPr>
        <w:t>relatif</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contrôles</w:t>
      </w:r>
      <w:r w:rsidR="00DB1635" w:rsidRPr="00B004EE">
        <w:rPr>
          <w:rFonts w:ascii="Tahoma" w:hAnsi="Tahoma" w:cs="Tahoma"/>
          <w:sz w:val="20"/>
          <w:szCs w:val="20"/>
        </w:rPr>
        <w:t xml:space="preserve"> </w:t>
      </w:r>
      <w:r w:rsidRPr="00B004EE">
        <w:rPr>
          <w:rFonts w:ascii="Tahoma" w:hAnsi="Tahoma" w:cs="Tahoma"/>
          <w:sz w:val="20"/>
          <w:szCs w:val="20"/>
        </w:rPr>
        <w:t>officiels</w:t>
      </w:r>
      <w:r w:rsidR="00DB1635" w:rsidRPr="00B004EE">
        <w:rPr>
          <w:rFonts w:ascii="Tahoma" w:hAnsi="Tahoma" w:cs="Tahoma"/>
          <w:sz w:val="20"/>
          <w:szCs w:val="20"/>
        </w:rPr>
        <w:t xml:space="preserve"> </w:t>
      </w:r>
      <w:r w:rsidRPr="00B004EE">
        <w:rPr>
          <w:rFonts w:ascii="Tahoma" w:hAnsi="Tahoma" w:cs="Tahoma"/>
          <w:sz w:val="20"/>
          <w:szCs w:val="20"/>
        </w:rPr>
        <w:t>applicables</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destinés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l’exportation</w:t>
      </w:r>
      <w:r w:rsidR="00DB1635" w:rsidRPr="00B004EE">
        <w:rPr>
          <w:rFonts w:ascii="Tahoma" w:hAnsi="Tahoma" w:cs="Tahoma"/>
          <w:sz w:val="20"/>
          <w:szCs w:val="20"/>
        </w:rPr>
        <w:t xml:space="preserve"> </w:t>
      </w:r>
      <w:r w:rsidRPr="00B004EE">
        <w:rPr>
          <w:rFonts w:ascii="Tahoma" w:hAnsi="Tahoma" w:cs="Tahoma"/>
          <w:sz w:val="20"/>
          <w:szCs w:val="20"/>
        </w:rPr>
        <w:t>vers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marchés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l’Union</w:t>
      </w:r>
      <w:r w:rsidR="00DB1635" w:rsidRPr="00B004EE">
        <w:rPr>
          <w:rFonts w:ascii="Tahoma" w:hAnsi="Tahoma" w:cs="Tahoma"/>
          <w:sz w:val="20"/>
          <w:szCs w:val="20"/>
        </w:rPr>
        <w:t xml:space="preserve"> </w:t>
      </w:r>
      <w:r w:rsidRPr="00B004EE">
        <w:rPr>
          <w:rFonts w:ascii="Tahoma" w:hAnsi="Tahoma" w:cs="Tahoma"/>
          <w:sz w:val="20"/>
          <w:szCs w:val="20"/>
        </w:rPr>
        <w:t>Européenne.</w:t>
      </w:r>
      <w:r w:rsidR="00DB1635" w:rsidRPr="00B004EE">
        <w:rPr>
          <w:rFonts w:ascii="Tahoma" w:hAnsi="Tahoma" w:cs="Tahoma"/>
          <w:sz w:val="20"/>
          <w:szCs w:val="20"/>
        </w:rPr>
        <w:t xml:space="preserve"> </w:t>
      </w:r>
    </w:p>
    <w:p w14:paraId="54F50C92" w14:textId="77777777" w:rsidR="002F24E1" w:rsidRPr="00B004EE" w:rsidRDefault="002F24E1" w:rsidP="00B004EE">
      <w:pPr>
        <w:jc w:val="both"/>
        <w:rPr>
          <w:rFonts w:ascii="Tahoma" w:hAnsi="Tahoma" w:cs="Tahoma"/>
          <w:sz w:val="20"/>
          <w:szCs w:val="20"/>
        </w:rPr>
      </w:pPr>
    </w:p>
    <w:p w14:paraId="57F0202B" w14:textId="638916A1" w:rsidR="002F24E1" w:rsidRPr="00B004EE" w:rsidRDefault="002F24E1" w:rsidP="00B004EE">
      <w:pPr>
        <w:jc w:val="both"/>
        <w:rPr>
          <w:rFonts w:ascii="Tahoma" w:hAnsi="Tahoma" w:cs="Tahoma"/>
          <w:sz w:val="20"/>
          <w:szCs w:val="20"/>
        </w:rPr>
      </w:pP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b/>
          <w:bCs/>
          <w:sz w:val="20"/>
          <w:szCs w:val="20"/>
          <w:u w:val="single"/>
        </w:rPr>
        <w:t>Article</w:t>
      </w:r>
      <w:r w:rsidR="00DB1635" w:rsidRPr="00B004EE">
        <w:rPr>
          <w:rFonts w:ascii="Tahoma" w:hAnsi="Tahoma" w:cs="Tahoma"/>
          <w:b/>
          <w:bCs/>
          <w:sz w:val="20"/>
          <w:szCs w:val="20"/>
          <w:u w:val="single"/>
        </w:rPr>
        <w:t xml:space="preserve"> </w:t>
      </w:r>
      <w:r w:rsidRPr="00B004EE">
        <w:rPr>
          <w:rFonts w:ascii="Tahoma" w:hAnsi="Tahoma" w:cs="Tahoma"/>
          <w:b/>
          <w:bCs/>
          <w:sz w:val="20"/>
          <w:szCs w:val="20"/>
          <w:u w:val="single"/>
        </w:rPr>
        <w:t>7</w:t>
      </w:r>
      <w:r w:rsidR="00DB1635" w:rsidRPr="00B004EE">
        <w:rPr>
          <w:rFonts w:ascii="Tahoma" w:hAnsi="Tahoma" w:cs="Tahoma"/>
          <w:b/>
          <w:bCs/>
          <w:sz w:val="20"/>
          <w:szCs w:val="20"/>
        </w:rPr>
        <w:t xml:space="preserve"> </w:t>
      </w:r>
      <w:r w:rsidRPr="00B004EE">
        <w:rPr>
          <w:rFonts w:ascii="Tahoma" w:hAnsi="Tahoma" w:cs="Tahoma"/>
          <w:b/>
          <w:bCs/>
          <w:sz w:val="20"/>
          <w:szCs w:val="20"/>
        </w:rPr>
        <w:t>(nouveau)</w:t>
      </w:r>
      <w:r w:rsidR="00DB1635" w:rsidRPr="00B004EE">
        <w:rPr>
          <w:rFonts w:ascii="Tahoma" w:hAnsi="Tahoma" w:cs="Tahoma"/>
          <w:b/>
          <w:bCs/>
          <w:sz w:val="20"/>
          <w:szCs w:val="20"/>
        </w:rPr>
        <w:t xml:space="preserve"> </w:t>
      </w:r>
      <w:r w:rsidRPr="00B004EE">
        <w:rPr>
          <w:rFonts w:ascii="Tahoma" w:hAnsi="Tahoma" w:cs="Tahoma"/>
          <w:b/>
          <w:bCs/>
          <w:sz w:val="20"/>
          <w:szCs w:val="20"/>
        </w:rPr>
        <w:t>:</w:t>
      </w:r>
      <w:r w:rsidR="00DB1635" w:rsidRPr="00B004EE">
        <w:rPr>
          <w:rFonts w:ascii="Tahoma" w:hAnsi="Tahoma" w:cs="Tahoma"/>
          <w:b/>
          <w:bCs/>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infractions</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dispositions</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présent</w:t>
      </w:r>
      <w:r w:rsidR="00DB1635" w:rsidRPr="00B004EE">
        <w:rPr>
          <w:rFonts w:ascii="Tahoma" w:hAnsi="Tahoma" w:cs="Tahoma"/>
          <w:sz w:val="20"/>
          <w:szCs w:val="20"/>
        </w:rPr>
        <w:t xml:space="preserve"> </w:t>
      </w:r>
      <w:r w:rsidRPr="00B004EE">
        <w:rPr>
          <w:rFonts w:ascii="Tahoma" w:hAnsi="Tahoma" w:cs="Tahoma"/>
          <w:sz w:val="20"/>
          <w:szCs w:val="20"/>
        </w:rPr>
        <w:t>arrêté</w:t>
      </w:r>
      <w:r w:rsidR="00DB1635" w:rsidRPr="00B004EE">
        <w:rPr>
          <w:rFonts w:ascii="Tahoma" w:hAnsi="Tahoma" w:cs="Tahoma"/>
          <w:sz w:val="20"/>
          <w:szCs w:val="20"/>
        </w:rPr>
        <w:t xml:space="preserve"> </w:t>
      </w:r>
      <w:r w:rsidRPr="00B004EE">
        <w:rPr>
          <w:rFonts w:ascii="Tahoma" w:hAnsi="Tahoma" w:cs="Tahoma"/>
          <w:sz w:val="20"/>
          <w:szCs w:val="20"/>
        </w:rPr>
        <w:t>seront</w:t>
      </w:r>
      <w:r w:rsidR="00DB1635" w:rsidRPr="00B004EE">
        <w:rPr>
          <w:rFonts w:ascii="Tahoma" w:hAnsi="Tahoma" w:cs="Tahoma"/>
          <w:sz w:val="20"/>
          <w:szCs w:val="20"/>
        </w:rPr>
        <w:t xml:space="preserve"> </w:t>
      </w:r>
      <w:r w:rsidRPr="00B004EE">
        <w:rPr>
          <w:rFonts w:ascii="Tahoma" w:hAnsi="Tahoma" w:cs="Tahoma"/>
          <w:sz w:val="20"/>
          <w:szCs w:val="20"/>
        </w:rPr>
        <w:t>punies</w:t>
      </w:r>
      <w:r w:rsidR="00DB1635" w:rsidRPr="00B004EE">
        <w:rPr>
          <w:rFonts w:ascii="Tahoma" w:hAnsi="Tahoma" w:cs="Tahoma"/>
          <w:sz w:val="20"/>
          <w:szCs w:val="20"/>
        </w:rPr>
        <w:t xml:space="preserve"> </w:t>
      </w:r>
      <w:r w:rsidRPr="00B004EE">
        <w:rPr>
          <w:rFonts w:ascii="Tahoma" w:hAnsi="Tahoma" w:cs="Tahoma"/>
          <w:sz w:val="20"/>
          <w:szCs w:val="20"/>
        </w:rPr>
        <w:t>conformément</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dispositions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l’article</w:t>
      </w:r>
      <w:r w:rsidR="00DB1635" w:rsidRPr="00B004EE">
        <w:rPr>
          <w:rFonts w:ascii="Tahoma" w:hAnsi="Tahoma" w:cs="Tahoma"/>
          <w:sz w:val="20"/>
          <w:szCs w:val="20"/>
        </w:rPr>
        <w:t xml:space="preserve"> </w:t>
      </w:r>
      <w:r w:rsidRPr="00B004EE">
        <w:rPr>
          <w:rFonts w:ascii="Tahoma" w:hAnsi="Tahoma" w:cs="Tahoma"/>
          <w:sz w:val="20"/>
          <w:szCs w:val="20"/>
        </w:rPr>
        <w:t>91</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loi</w:t>
      </w:r>
      <w:r w:rsidR="00DB1635" w:rsidRPr="00B004EE">
        <w:rPr>
          <w:rFonts w:ascii="Tahoma" w:hAnsi="Tahoma" w:cs="Tahoma"/>
          <w:sz w:val="20"/>
          <w:szCs w:val="20"/>
        </w:rPr>
        <w:t xml:space="preserve"> </w:t>
      </w:r>
      <w:r w:rsidRPr="00B004EE">
        <w:rPr>
          <w:rFonts w:ascii="Tahoma" w:hAnsi="Tahoma" w:cs="Tahoma"/>
          <w:spacing w:val="-5"/>
          <w:position w:val="-1"/>
          <w:sz w:val="20"/>
          <w:szCs w:val="20"/>
        </w:rPr>
        <w:t>n°</w:t>
      </w:r>
      <w:r w:rsidRPr="00B004EE">
        <w:rPr>
          <w:rStyle w:val="st1"/>
          <w:rFonts w:ascii="Tahoma" w:hAnsi="Tahoma" w:cs="Tahoma"/>
          <w:sz w:val="20"/>
          <w:szCs w:val="20"/>
        </w:rPr>
        <w:t>2015-017</w:t>
      </w:r>
      <w:r w:rsidR="00DB1635" w:rsidRPr="00B004EE">
        <w:rPr>
          <w:rStyle w:val="st1"/>
          <w:rFonts w:ascii="Tahoma" w:hAnsi="Tahoma" w:cs="Tahoma"/>
          <w:sz w:val="20"/>
          <w:szCs w:val="20"/>
        </w:rPr>
        <w:t xml:space="preserve"> </w:t>
      </w:r>
      <w:r w:rsidRPr="00B004EE">
        <w:rPr>
          <w:rStyle w:val="st1"/>
          <w:rFonts w:ascii="Tahoma" w:hAnsi="Tahoma" w:cs="Tahoma"/>
          <w:sz w:val="20"/>
          <w:szCs w:val="20"/>
        </w:rPr>
        <w:t>du</w:t>
      </w:r>
      <w:r w:rsidR="00DB1635" w:rsidRPr="00B004EE">
        <w:rPr>
          <w:rStyle w:val="st1"/>
          <w:rFonts w:ascii="Tahoma" w:hAnsi="Tahoma" w:cs="Tahoma"/>
          <w:sz w:val="20"/>
          <w:szCs w:val="20"/>
        </w:rPr>
        <w:t xml:space="preserve"> </w:t>
      </w:r>
      <w:r w:rsidRPr="00B004EE">
        <w:rPr>
          <w:rStyle w:val="st1"/>
          <w:rFonts w:ascii="Tahoma" w:hAnsi="Tahoma" w:cs="Tahoma"/>
          <w:sz w:val="20"/>
          <w:szCs w:val="20"/>
        </w:rPr>
        <w:t>29</w:t>
      </w:r>
      <w:r w:rsidR="00DB1635" w:rsidRPr="00B004EE">
        <w:rPr>
          <w:rStyle w:val="st1"/>
          <w:rFonts w:ascii="Tahoma" w:hAnsi="Tahoma" w:cs="Tahoma"/>
          <w:sz w:val="20"/>
          <w:szCs w:val="20"/>
        </w:rPr>
        <w:t xml:space="preserve"> </w:t>
      </w:r>
      <w:r w:rsidRPr="00B004EE">
        <w:rPr>
          <w:rStyle w:val="st1"/>
          <w:rFonts w:ascii="Tahoma" w:hAnsi="Tahoma" w:cs="Tahoma"/>
          <w:sz w:val="20"/>
          <w:szCs w:val="20"/>
        </w:rPr>
        <w:t>juillet</w:t>
      </w:r>
      <w:r w:rsidR="00DB1635" w:rsidRPr="00B004EE">
        <w:rPr>
          <w:rStyle w:val="st1"/>
          <w:rFonts w:ascii="Tahoma" w:hAnsi="Tahoma" w:cs="Tahoma"/>
          <w:sz w:val="20"/>
          <w:szCs w:val="20"/>
        </w:rPr>
        <w:t xml:space="preserve"> </w:t>
      </w:r>
      <w:r w:rsidRPr="00B004EE">
        <w:rPr>
          <w:rStyle w:val="st1"/>
          <w:rFonts w:ascii="Tahoma" w:hAnsi="Tahoma" w:cs="Tahoma"/>
          <w:sz w:val="20"/>
          <w:szCs w:val="20"/>
        </w:rPr>
        <w:t>2015</w:t>
      </w:r>
      <w:r w:rsidR="00DB1635" w:rsidRPr="00B004EE">
        <w:rPr>
          <w:rStyle w:val="st1"/>
          <w:rFonts w:ascii="Tahoma" w:hAnsi="Tahoma" w:cs="Tahoma"/>
          <w:sz w:val="20"/>
          <w:szCs w:val="20"/>
        </w:rPr>
        <w:t xml:space="preserve"> </w:t>
      </w:r>
      <w:r w:rsidRPr="00B004EE">
        <w:rPr>
          <w:rStyle w:val="st1"/>
          <w:rFonts w:ascii="Tahoma" w:hAnsi="Tahoma" w:cs="Tahoma"/>
          <w:sz w:val="20"/>
          <w:szCs w:val="20"/>
        </w:rPr>
        <w:t>portant</w:t>
      </w:r>
      <w:r w:rsidR="00DB1635" w:rsidRPr="00B004EE">
        <w:rPr>
          <w:rStyle w:val="st1"/>
          <w:rFonts w:ascii="Tahoma" w:hAnsi="Tahoma" w:cs="Tahoma"/>
          <w:sz w:val="20"/>
          <w:szCs w:val="20"/>
        </w:rPr>
        <w:t xml:space="preserve"> </w:t>
      </w:r>
      <w:r w:rsidRPr="00B004EE">
        <w:rPr>
          <w:rStyle w:val="st1"/>
          <w:rFonts w:ascii="Tahoma" w:hAnsi="Tahoma" w:cs="Tahoma"/>
          <w:sz w:val="20"/>
          <w:szCs w:val="20"/>
        </w:rPr>
        <w:t>Code</w:t>
      </w:r>
      <w:r w:rsidR="00DB1635" w:rsidRPr="00B004EE">
        <w:rPr>
          <w:rStyle w:val="st1"/>
          <w:rFonts w:ascii="Tahoma" w:hAnsi="Tahoma" w:cs="Tahoma"/>
          <w:sz w:val="20"/>
          <w:szCs w:val="20"/>
        </w:rPr>
        <w:t xml:space="preserve"> </w:t>
      </w:r>
      <w:r w:rsidRPr="00B004EE">
        <w:rPr>
          <w:rStyle w:val="st1"/>
          <w:rFonts w:ascii="Tahoma" w:hAnsi="Tahoma" w:cs="Tahoma"/>
          <w:sz w:val="20"/>
          <w:szCs w:val="20"/>
        </w:rPr>
        <w:t>des</w:t>
      </w:r>
      <w:r w:rsidR="00DB1635" w:rsidRPr="00B004EE">
        <w:rPr>
          <w:rStyle w:val="st1"/>
          <w:rFonts w:ascii="Tahoma" w:hAnsi="Tahoma" w:cs="Tahoma"/>
          <w:sz w:val="20"/>
          <w:szCs w:val="20"/>
        </w:rPr>
        <w:t xml:space="preserve"> </w:t>
      </w:r>
      <w:r w:rsidRPr="00B004EE">
        <w:rPr>
          <w:rStyle w:val="st1"/>
          <w:rFonts w:ascii="Tahoma" w:hAnsi="Tahoma" w:cs="Tahoma"/>
          <w:sz w:val="20"/>
          <w:szCs w:val="20"/>
        </w:rPr>
        <w:t>Pêches</w:t>
      </w:r>
      <w:r w:rsidR="00DB1635" w:rsidRPr="00B004EE">
        <w:rPr>
          <w:rStyle w:val="st1"/>
          <w:rFonts w:ascii="Tahoma" w:hAnsi="Tahoma" w:cs="Tahoma"/>
          <w:sz w:val="20"/>
          <w:szCs w:val="20"/>
        </w:rPr>
        <w:t xml:space="preserve"> </w:t>
      </w:r>
      <w:r w:rsidRPr="00B004EE">
        <w:rPr>
          <w:rFonts w:ascii="Tahoma" w:hAnsi="Tahoma" w:cs="Tahoma"/>
          <w:sz w:val="20"/>
          <w:szCs w:val="20"/>
        </w:rPr>
        <w:t>».</w:t>
      </w:r>
    </w:p>
    <w:p w14:paraId="320EF760" w14:textId="77777777" w:rsidR="002F24E1" w:rsidRPr="00B004EE" w:rsidRDefault="002F24E1" w:rsidP="00B004EE">
      <w:pPr>
        <w:autoSpaceDE w:val="0"/>
        <w:autoSpaceDN w:val="0"/>
        <w:adjustRightInd w:val="0"/>
        <w:jc w:val="both"/>
        <w:rPr>
          <w:rFonts w:ascii="Tahoma" w:hAnsi="Tahoma" w:cs="Tahoma"/>
          <w:sz w:val="20"/>
          <w:szCs w:val="20"/>
        </w:rPr>
      </w:pPr>
    </w:p>
    <w:p w14:paraId="0334EAFB" w14:textId="77CB5399" w:rsidR="002F24E1" w:rsidRPr="00B004EE" w:rsidRDefault="002F24E1" w:rsidP="00B004EE">
      <w:pPr>
        <w:jc w:val="both"/>
        <w:rPr>
          <w:rFonts w:ascii="Tahoma" w:hAnsi="Tahoma" w:cs="Tahoma"/>
          <w:sz w:val="20"/>
          <w:szCs w:val="20"/>
        </w:rPr>
      </w:pPr>
      <w:r w:rsidRPr="00B004EE">
        <w:rPr>
          <w:rFonts w:ascii="Tahoma" w:hAnsi="Tahoma" w:cs="Tahoma"/>
          <w:b/>
          <w:bCs/>
          <w:sz w:val="20"/>
          <w:szCs w:val="20"/>
          <w:u w:val="single"/>
        </w:rPr>
        <w:t>Article</w:t>
      </w:r>
      <w:r w:rsidR="00DB1635" w:rsidRPr="00B004EE">
        <w:rPr>
          <w:rFonts w:ascii="Tahoma" w:hAnsi="Tahoma" w:cs="Tahoma"/>
          <w:b/>
          <w:bCs/>
          <w:sz w:val="20"/>
          <w:szCs w:val="20"/>
          <w:u w:val="single"/>
        </w:rPr>
        <w:t xml:space="preserve"> </w:t>
      </w:r>
      <w:r w:rsidRPr="00B004EE">
        <w:rPr>
          <w:rFonts w:ascii="Tahoma" w:hAnsi="Tahoma" w:cs="Tahoma"/>
          <w:b/>
          <w:bCs/>
          <w:sz w:val="20"/>
          <w:szCs w:val="20"/>
          <w:u w:val="single"/>
        </w:rPr>
        <w:t>2</w:t>
      </w:r>
      <w:r w:rsidR="00DB1635" w:rsidRPr="00B004EE">
        <w:rPr>
          <w:rFonts w:ascii="Tahoma" w:hAnsi="Tahoma" w:cs="Tahoma"/>
          <w:b/>
          <w:bCs/>
          <w:sz w:val="20"/>
          <w:szCs w:val="20"/>
        </w:rPr>
        <w:t xml:space="preserve"> </w:t>
      </w:r>
      <w:r w:rsidRPr="00B004EE">
        <w:rPr>
          <w:rFonts w:ascii="Tahoma" w:hAnsi="Tahoma" w:cs="Tahoma"/>
          <w:b/>
          <w:bCs/>
          <w:sz w:val="20"/>
          <w:szCs w:val="20"/>
        </w:rPr>
        <w:t>:</w:t>
      </w:r>
      <w:r w:rsidR="00DB1635" w:rsidRPr="00B004EE">
        <w:rPr>
          <w:rFonts w:ascii="Tahoma" w:hAnsi="Tahoma" w:cs="Tahoma"/>
          <w:b/>
          <w:bCs/>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abrogées</w:t>
      </w:r>
      <w:r w:rsidR="00DB1635" w:rsidRPr="00B004EE">
        <w:rPr>
          <w:rFonts w:ascii="Tahoma" w:hAnsi="Tahoma" w:cs="Tahoma"/>
          <w:sz w:val="20"/>
          <w:szCs w:val="20"/>
        </w:rPr>
        <w:t xml:space="preserve"> </w:t>
      </w:r>
      <w:r w:rsidRPr="00B004EE">
        <w:rPr>
          <w:rFonts w:ascii="Tahoma" w:hAnsi="Tahoma" w:cs="Tahoma"/>
          <w:sz w:val="20"/>
          <w:szCs w:val="20"/>
        </w:rPr>
        <w:t>toutes</w:t>
      </w:r>
      <w:r w:rsidR="00DB1635" w:rsidRPr="00B004EE">
        <w:rPr>
          <w:rFonts w:ascii="Tahoma" w:hAnsi="Tahoma" w:cs="Tahoma"/>
          <w:sz w:val="20"/>
          <w:szCs w:val="20"/>
        </w:rPr>
        <w:t xml:space="preserve"> </w:t>
      </w:r>
      <w:r w:rsidRPr="00B004EE">
        <w:rPr>
          <w:rFonts w:ascii="Tahoma" w:hAnsi="Tahoma" w:cs="Tahoma"/>
          <w:sz w:val="20"/>
          <w:szCs w:val="20"/>
        </w:rPr>
        <w:t>dispositions</w:t>
      </w:r>
      <w:r w:rsidR="00DB1635" w:rsidRPr="00B004EE">
        <w:rPr>
          <w:rFonts w:ascii="Tahoma" w:hAnsi="Tahoma" w:cs="Tahoma"/>
          <w:sz w:val="20"/>
          <w:szCs w:val="20"/>
        </w:rPr>
        <w:t xml:space="preserve"> </w:t>
      </w:r>
      <w:r w:rsidRPr="00B004EE">
        <w:rPr>
          <w:rFonts w:ascii="Tahoma" w:hAnsi="Tahoma" w:cs="Tahoma"/>
          <w:sz w:val="20"/>
          <w:szCs w:val="20"/>
        </w:rPr>
        <w:t>antérieures</w:t>
      </w:r>
      <w:r w:rsidR="00DB1635" w:rsidRPr="00B004EE">
        <w:rPr>
          <w:rFonts w:ascii="Tahoma" w:hAnsi="Tahoma" w:cs="Tahoma"/>
          <w:sz w:val="20"/>
          <w:szCs w:val="20"/>
        </w:rPr>
        <w:t xml:space="preserve"> </w:t>
      </w:r>
      <w:r w:rsidRPr="00B004EE">
        <w:rPr>
          <w:rFonts w:ascii="Tahoma" w:hAnsi="Tahoma" w:cs="Tahoma"/>
          <w:sz w:val="20"/>
          <w:szCs w:val="20"/>
        </w:rPr>
        <w:t>contraires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notamment</w:t>
      </w:r>
      <w:r w:rsidR="00DB1635" w:rsidRPr="00B004EE">
        <w:rPr>
          <w:rFonts w:ascii="Tahoma" w:hAnsi="Tahoma" w:cs="Tahoma"/>
          <w:sz w:val="20"/>
          <w:szCs w:val="20"/>
        </w:rPr>
        <w:t xml:space="preserve"> </w:t>
      </w:r>
      <w:r w:rsidRPr="00B004EE">
        <w:rPr>
          <w:rFonts w:ascii="Tahoma" w:hAnsi="Tahoma" w:cs="Tahoma"/>
          <w:sz w:val="20"/>
          <w:szCs w:val="20"/>
        </w:rPr>
        <w:t>celles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l’arrêté</w:t>
      </w:r>
      <w:r w:rsidR="00DB1635" w:rsidRPr="00B004EE">
        <w:rPr>
          <w:rFonts w:ascii="Tahoma" w:hAnsi="Tahoma" w:cs="Tahoma"/>
          <w:sz w:val="20"/>
          <w:szCs w:val="20"/>
        </w:rPr>
        <w:t xml:space="preserve"> </w:t>
      </w:r>
      <w:r w:rsidRPr="00B004EE">
        <w:rPr>
          <w:rFonts w:ascii="Tahoma" w:hAnsi="Tahoma" w:cs="Tahoma"/>
          <w:sz w:val="20"/>
          <w:szCs w:val="20"/>
        </w:rPr>
        <w:t>n°</w:t>
      </w:r>
      <w:r w:rsidR="00DB1635" w:rsidRPr="00B004EE">
        <w:rPr>
          <w:rFonts w:ascii="Tahoma" w:hAnsi="Tahoma" w:cs="Tahoma"/>
          <w:sz w:val="20"/>
          <w:szCs w:val="20"/>
        </w:rPr>
        <w:t xml:space="preserve"> </w:t>
      </w:r>
      <w:r w:rsidRPr="00B004EE">
        <w:rPr>
          <w:rFonts w:ascii="Tahoma" w:hAnsi="Tahoma" w:cs="Tahoma"/>
          <w:sz w:val="20"/>
          <w:szCs w:val="20"/>
        </w:rPr>
        <w:t>2466/</w:t>
      </w:r>
      <w:r w:rsidR="00DB1635" w:rsidRPr="00B004EE">
        <w:rPr>
          <w:rFonts w:ascii="Tahoma" w:hAnsi="Tahoma" w:cs="Tahoma"/>
          <w:sz w:val="20"/>
          <w:szCs w:val="20"/>
        </w:rPr>
        <w:t xml:space="preserve"> </w:t>
      </w:r>
      <w:r w:rsidRPr="00B004EE">
        <w:rPr>
          <w:rFonts w:ascii="Tahoma" w:hAnsi="Tahoma" w:cs="Tahoma"/>
          <w:sz w:val="20"/>
          <w:szCs w:val="20"/>
        </w:rPr>
        <w:t>MPEM</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28</w:t>
      </w:r>
      <w:r w:rsidR="00DB1635" w:rsidRPr="00B004EE">
        <w:rPr>
          <w:rFonts w:ascii="Tahoma" w:hAnsi="Tahoma" w:cs="Tahoma"/>
          <w:sz w:val="20"/>
          <w:szCs w:val="20"/>
        </w:rPr>
        <w:t xml:space="preserve"> </w:t>
      </w:r>
      <w:r w:rsidRPr="00B004EE">
        <w:rPr>
          <w:rFonts w:ascii="Tahoma" w:hAnsi="Tahoma" w:cs="Tahoma"/>
          <w:sz w:val="20"/>
          <w:szCs w:val="20"/>
        </w:rPr>
        <w:t>octobre</w:t>
      </w:r>
      <w:r w:rsidR="00DB1635" w:rsidRPr="00B004EE">
        <w:rPr>
          <w:rFonts w:ascii="Tahoma" w:hAnsi="Tahoma" w:cs="Tahoma"/>
          <w:sz w:val="20"/>
          <w:szCs w:val="20"/>
        </w:rPr>
        <w:t xml:space="preserve"> </w:t>
      </w:r>
      <w:r w:rsidRPr="00B004EE">
        <w:rPr>
          <w:rFonts w:ascii="Tahoma" w:hAnsi="Tahoma" w:cs="Tahoma"/>
          <w:sz w:val="20"/>
          <w:szCs w:val="20"/>
        </w:rPr>
        <w:t>2010</w:t>
      </w:r>
      <w:r w:rsidR="00DB1635" w:rsidRPr="00B004EE">
        <w:rPr>
          <w:rFonts w:ascii="Tahoma" w:hAnsi="Tahoma" w:cs="Tahoma"/>
          <w:sz w:val="20"/>
          <w:szCs w:val="20"/>
        </w:rPr>
        <w:t xml:space="preserve"> </w:t>
      </w:r>
      <w:r w:rsidRPr="00B004EE">
        <w:rPr>
          <w:rFonts w:ascii="Tahoma" w:hAnsi="Tahoma" w:cs="Tahoma"/>
          <w:sz w:val="20"/>
          <w:szCs w:val="20"/>
        </w:rPr>
        <w:t>portant</w:t>
      </w:r>
      <w:r w:rsidR="00DB1635" w:rsidRPr="00B004EE">
        <w:rPr>
          <w:rFonts w:ascii="Tahoma" w:hAnsi="Tahoma" w:cs="Tahoma"/>
          <w:sz w:val="20"/>
          <w:szCs w:val="20"/>
        </w:rPr>
        <w:t xml:space="preserve"> </w:t>
      </w:r>
      <w:r w:rsidRPr="00B004EE">
        <w:rPr>
          <w:rFonts w:ascii="Tahoma" w:hAnsi="Tahoma" w:cs="Tahoma"/>
          <w:sz w:val="20"/>
          <w:szCs w:val="20"/>
        </w:rPr>
        <w:t>classement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salubrité</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zones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production</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coquillage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Dakhlet</w:t>
      </w:r>
      <w:r w:rsidR="00DB1635" w:rsidRPr="00B004EE">
        <w:rPr>
          <w:rFonts w:ascii="Tahoma" w:hAnsi="Tahoma" w:cs="Tahoma"/>
          <w:sz w:val="20"/>
          <w:szCs w:val="20"/>
        </w:rPr>
        <w:t xml:space="preserve"> </w:t>
      </w:r>
      <w:r w:rsidRPr="00B004EE">
        <w:rPr>
          <w:rFonts w:ascii="Tahoma" w:hAnsi="Tahoma" w:cs="Tahoma"/>
          <w:sz w:val="20"/>
          <w:szCs w:val="20"/>
        </w:rPr>
        <w:t>Nouadhibou.</w:t>
      </w:r>
    </w:p>
    <w:p w14:paraId="4E53123C" w14:textId="77777777" w:rsidR="008D3B28" w:rsidRPr="00B004EE" w:rsidRDefault="008D3B28" w:rsidP="00B004EE">
      <w:pPr>
        <w:jc w:val="both"/>
        <w:rPr>
          <w:rFonts w:ascii="Tahoma" w:hAnsi="Tahoma" w:cs="Tahoma"/>
          <w:sz w:val="20"/>
          <w:szCs w:val="20"/>
        </w:rPr>
      </w:pPr>
    </w:p>
    <w:p w14:paraId="0281728F" w14:textId="5375087B" w:rsidR="006F228E" w:rsidRPr="00B004EE" w:rsidRDefault="002F24E1" w:rsidP="00B004EE">
      <w:pPr>
        <w:jc w:val="both"/>
        <w:rPr>
          <w:rFonts w:ascii="Tahoma" w:hAnsi="Tahoma" w:cs="Tahoma"/>
          <w:sz w:val="20"/>
          <w:szCs w:val="20"/>
        </w:rPr>
      </w:pPr>
      <w:r w:rsidRPr="00B004EE">
        <w:rPr>
          <w:rFonts w:ascii="Tahoma" w:hAnsi="Tahoma" w:cs="Tahoma"/>
          <w:b/>
          <w:bCs/>
          <w:sz w:val="20"/>
          <w:szCs w:val="20"/>
          <w:u w:val="single"/>
        </w:rPr>
        <w:t>Article</w:t>
      </w:r>
      <w:r w:rsidR="00DB1635" w:rsidRPr="00B004EE">
        <w:rPr>
          <w:rFonts w:ascii="Tahoma" w:hAnsi="Tahoma" w:cs="Tahoma"/>
          <w:b/>
          <w:bCs/>
          <w:sz w:val="20"/>
          <w:szCs w:val="20"/>
          <w:u w:val="single"/>
        </w:rPr>
        <w:t xml:space="preserve"> </w:t>
      </w:r>
      <w:r w:rsidRPr="00B004EE">
        <w:rPr>
          <w:rFonts w:ascii="Tahoma" w:hAnsi="Tahoma" w:cs="Tahoma"/>
          <w:b/>
          <w:bCs/>
          <w:sz w:val="20"/>
          <w:szCs w:val="20"/>
          <w:u w:val="single"/>
        </w:rPr>
        <w:t>3</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Secrétaire</w:t>
      </w:r>
      <w:r w:rsidR="00DB1635" w:rsidRPr="00B004EE">
        <w:rPr>
          <w:rFonts w:ascii="Tahoma" w:hAnsi="Tahoma" w:cs="Tahoma"/>
          <w:sz w:val="20"/>
          <w:szCs w:val="20"/>
        </w:rPr>
        <w:t xml:space="preserve"> </w:t>
      </w:r>
      <w:r w:rsidRPr="00B004EE">
        <w:rPr>
          <w:rFonts w:ascii="Tahoma" w:hAnsi="Tahoma" w:cs="Tahoma"/>
          <w:sz w:val="20"/>
          <w:szCs w:val="20"/>
        </w:rPr>
        <w:t>Général</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Ministère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l'Economie</w:t>
      </w:r>
      <w:r w:rsidR="00DB1635" w:rsidRPr="00B004EE">
        <w:rPr>
          <w:rFonts w:ascii="Tahoma" w:hAnsi="Tahoma" w:cs="Tahoma"/>
          <w:sz w:val="20"/>
          <w:szCs w:val="20"/>
        </w:rPr>
        <w:t xml:space="preserve"> </w:t>
      </w:r>
      <w:r w:rsidRPr="00B004EE">
        <w:rPr>
          <w:rFonts w:ascii="Tahoma" w:hAnsi="Tahoma" w:cs="Tahoma"/>
          <w:sz w:val="20"/>
          <w:szCs w:val="20"/>
        </w:rPr>
        <w:t>Maritime,</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Secrétaire</w:t>
      </w:r>
      <w:r w:rsidR="00DB1635" w:rsidRPr="00B004EE">
        <w:rPr>
          <w:rFonts w:ascii="Tahoma" w:hAnsi="Tahoma" w:cs="Tahoma"/>
          <w:sz w:val="20"/>
          <w:szCs w:val="20"/>
        </w:rPr>
        <w:t xml:space="preserve"> </w:t>
      </w:r>
      <w:r w:rsidRPr="00B004EE">
        <w:rPr>
          <w:rFonts w:ascii="Tahoma" w:hAnsi="Tahoma" w:cs="Tahoma"/>
          <w:sz w:val="20"/>
          <w:szCs w:val="20"/>
        </w:rPr>
        <w:t>Général</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Ministère</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Commerce,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l'Industrie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Tourisme,</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Secrétaire</w:t>
      </w:r>
      <w:r w:rsidR="00DB1635" w:rsidRPr="00B004EE">
        <w:rPr>
          <w:rFonts w:ascii="Tahoma" w:hAnsi="Tahoma" w:cs="Tahoma"/>
          <w:sz w:val="20"/>
          <w:szCs w:val="20"/>
        </w:rPr>
        <w:t xml:space="preserve"> </w:t>
      </w:r>
      <w:r w:rsidRPr="00B004EE">
        <w:rPr>
          <w:rFonts w:ascii="Tahoma" w:hAnsi="Tahoma" w:cs="Tahoma"/>
          <w:sz w:val="20"/>
          <w:szCs w:val="20"/>
        </w:rPr>
        <w:t>Général</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Ministère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Santé</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Secrétaire</w:t>
      </w:r>
      <w:r w:rsidR="00DB1635" w:rsidRPr="00B004EE">
        <w:rPr>
          <w:rFonts w:ascii="Tahoma" w:hAnsi="Tahoma" w:cs="Tahoma"/>
          <w:sz w:val="20"/>
          <w:szCs w:val="20"/>
        </w:rPr>
        <w:t xml:space="preserve"> </w:t>
      </w:r>
      <w:r w:rsidRPr="00B004EE">
        <w:rPr>
          <w:rFonts w:ascii="Tahoma" w:hAnsi="Tahoma" w:cs="Tahoma"/>
          <w:sz w:val="20"/>
          <w:szCs w:val="20"/>
        </w:rPr>
        <w:t>Général</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Ministère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l'Environnement</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Développement</w:t>
      </w:r>
      <w:r w:rsidR="00DB1635" w:rsidRPr="00B004EE">
        <w:rPr>
          <w:rFonts w:ascii="Tahoma" w:hAnsi="Tahoma" w:cs="Tahoma"/>
          <w:sz w:val="20"/>
          <w:szCs w:val="20"/>
        </w:rPr>
        <w:t xml:space="preserve"> </w:t>
      </w:r>
      <w:r w:rsidRPr="00B004EE">
        <w:rPr>
          <w:rFonts w:ascii="Tahoma" w:hAnsi="Tahoma" w:cs="Tahoma"/>
          <w:sz w:val="20"/>
          <w:szCs w:val="20"/>
        </w:rPr>
        <w:t>Durable</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chargés,</w:t>
      </w:r>
      <w:r w:rsidR="00DB1635" w:rsidRPr="00B004EE">
        <w:rPr>
          <w:rFonts w:ascii="Tahoma" w:hAnsi="Tahoma" w:cs="Tahoma"/>
          <w:sz w:val="20"/>
          <w:szCs w:val="20"/>
        </w:rPr>
        <w:t xml:space="preserve"> </w:t>
      </w:r>
      <w:r w:rsidRPr="00B004EE">
        <w:rPr>
          <w:rFonts w:ascii="Tahoma" w:hAnsi="Tahoma" w:cs="Tahoma"/>
          <w:sz w:val="20"/>
          <w:szCs w:val="20"/>
        </w:rPr>
        <w:t>chacun</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ce</w:t>
      </w:r>
      <w:r w:rsidR="00DB1635" w:rsidRPr="00B004EE">
        <w:rPr>
          <w:rFonts w:ascii="Tahoma" w:hAnsi="Tahoma" w:cs="Tahoma"/>
          <w:sz w:val="20"/>
          <w:szCs w:val="20"/>
        </w:rPr>
        <w:t xml:space="preserve"> </w:t>
      </w:r>
      <w:r w:rsidRPr="00B004EE">
        <w:rPr>
          <w:rFonts w:ascii="Tahoma" w:hAnsi="Tahoma" w:cs="Tahoma"/>
          <w:sz w:val="20"/>
          <w:szCs w:val="20"/>
        </w:rPr>
        <w:t>qui</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concerne,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l'exécution</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présent</w:t>
      </w:r>
      <w:r w:rsidR="00DB1635" w:rsidRPr="00B004EE">
        <w:rPr>
          <w:rFonts w:ascii="Tahoma" w:hAnsi="Tahoma" w:cs="Tahoma"/>
          <w:sz w:val="20"/>
          <w:szCs w:val="20"/>
        </w:rPr>
        <w:t xml:space="preserve"> </w:t>
      </w:r>
      <w:r w:rsidRPr="00B004EE">
        <w:rPr>
          <w:rFonts w:ascii="Tahoma" w:hAnsi="Tahoma" w:cs="Tahoma"/>
          <w:sz w:val="20"/>
          <w:szCs w:val="20"/>
        </w:rPr>
        <w:t>arrêté</w:t>
      </w:r>
      <w:r w:rsidR="00DB1635" w:rsidRPr="00B004EE">
        <w:rPr>
          <w:rFonts w:ascii="Tahoma" w:hAnsi="Tahoma" w:cs="Tahoma"/>
          <w:sz w:val="20"/>
          <w:szCs w:val="20"/>
        </w:rPr>
        <w:t xml:space="preserve"> </w:t>
      </w:r>
      <w:r w:rsidRPr="00B004EE">
        <w:rPr>
          <w:rFonts w:ascii="Tahoma" w:hAnsi="Tahoma" w:cs="Tahoma"/>
          <w:sz w:val="20"/>
          <w:szCs w:val="20"/>
        </w:rPr>
        <w:t>qui</w:t>
      </w:r>
      <w:r w:rsidR="00DB1635" w:rsidRPr="00B004EE">
        <w:rPr>
          <w:rFonts w:ascii="Tahoma" w:hAnsi="Tahoma" w:cs="Tahoma"/>
          <w:sz w:val="20"/>
          <w:szCs w:val="20"/>
        </w:rPr>
        <w:t xml:space="preserve"> </w:t>
      </w:r>
      <w:r w:rsidRPr="00B004EE">
        <w:rPr>
          <w:rFonts w:ascii="Tahoma" w:hAnsi="Tahoma" w:cs="Tahoma"/>
          <w:sz w:val="20"/>
          <w:szCs w:val="20"/>
        </w:rPr>
        <w:t>sera</w:t>
      </w:r>
      <w:r w:rsidR="00DB1635" w:rsidRPr="00B004EE">
        <w:rPr>
          <w:rFonts w:ascii="Tahoma" w:hAnsi="Tahoma" w:cs="Tahoma"/>
          <w:sz w:val="20"/>
          <w:szCs w:val="20"/>
        </w:rPr>
        <w:t xml:space="preserve"> </w:t>
      </w:r>
      <w:r w:rsidRPr="00B004EE">
        <w:rPr>
          <w:rFonts w:ascii="Tahoma" w:hAnsi="Tahoma" w:cs="Tahoma"/>
          <w:sz w:val="20"/>
          <w:szCs w:val="20"/>
        </w:rPr>
        <w:t>publié</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Journal</w:t>
      </w:r>
      <w:r w:rsidR="00DB1635" w:rsidRPr="00B004EE">
        <w:rPr>
          <w:rFonts w:ascii="Tahoma" w:hAnsi="Tahoma" w:cs="Tahoma"/>
          <w:sz w:val="20"/>
          <w:szCs w:val="20"/>
        </w:rPr>
        <w:t xml:space="preserve"> </w:t>
      </w:r>
      <w:r w:rsidRPr="00B004EE">
        <w:rPr>
          <w:rFonts w:ascii="Tahoma" w:hAnsi="Tahoma" w:cs="Tahoma"/>
          <w:sz w:val="20"/>
          <w:szCs w:val="20"/>
        </w:rPr>
        <w:t>Officiel.</w:t>
      </w:r>
    </w:p>
    <w:p w14:paraId="6B2A5481" w14:textId="77777777" w:rsidR="006F228E" w:rsidRPr="00B004EE" w:rsidRDefault="006F228E" w:rsidP="00B004EE">
      <w:pPr>
        <w:jc w:val="both"/>
        <w:rPr>
          <w:rFonts w:ascii="Tahoma" w:hAnsi="Tahoma" w:cs="Tahoma"/>
          <w:sz w:val="20"/>
          <w:szCs w:val="20"/>
        </w:rPr>
      </w:pPr>
    </w:p>
    <w:p w14:paraId="3B3A3BC3" w14:textId="6A63A358" w:rsidR="002F24E1" w:rsidRPr="00B004EE" w:rsidRDefault="00204FB2" w:rsidP="00B004EE">
      <w:pPr>
        <w:jc w:val="right"/>
        <w:rPr>
          <w:rFonts w:ascii="Tahoma" w:hAnsi="Tahoma" w:cs="Tahoma"/>
          <w:sz w:val="20"/>
          <w:szCs w:val="20"/>
        </w:rPr>
      </w:pPr>
      <w:r w:rsidRPr="00B004EE">
        <w:rPr>
          <w:rFonts w:ascii="Tahoma" w:hAnsi="Tahoma" w:cs="Tahoma"/>
          <w:i/>
          <w:iCs/>
          <w:sz w:val="20"/>
          <w:szCs w:val="20"/>
        </w:rPr>
        <w:t>Fait</w:t>
      </w:r>
      <w:r w:rsidR="00DB1635" w:rsidRPr="00B004EE">
        <w:rPr>
          <w:rFonts w:ascii="Tahoma" w:hAnsi="Tahoma" w:cs="Tahoma"/>
          <w:i/>
          <w:iCs/>
          <w:sz w:val="20"/>
          <w:szCs w:val="20"/>
        </w:rPr>
        <w:t xml:space="preserve"> </w:t>
      </w:r>
      <w:r w:rsidRPr="00B004EE">
        <w:rPr>
          <w:rFonts w:ascii="Tahoma" w:hAnsi="Tahoma" w:cs="Tahoma"/>
          <w:i/>
          <w:iCs/>
          <w:sz w:val="20"/>
          <w:szCs w:val="20"/>
        </w:rPr>
        <w:t>à</w:t>
      </w:r>
      <w:r w:rsidR="00DB1635" w:rsidRPr="00B004EE">
        <w:rPr>
          <w:rFonts w:ascii="Tahoma" w:hAnsi="Tahoma" w:cs="Tahoma"/>
          <w:i/>
          <w:iCs/>
          <w:sz w:val="20"/>
          <w:szCs w:val="20"/>
        </w:rPr>
        <w:t xml:space="preserve"> </w:t>
      </w:r>
      <w:r w:rsidR="002F24E1" w:rsidRPr="00B004EE">
        <w:rPr>
          <w:rFonts w:ascii="Tahoma" w:hAnsi="Tahoma" w:cs="Tahoma"/>
          <w:i/>
          <w:iCs/>
          <w:sz w:val="20"/>
          <w:szCs w:val="20"/>
        </w:rPr>
        <w:t>Nouakchott,</w:t>
      </w:r>
      <w:r w:rsidR="00DB1635" w:rsidRPr="00B004EE">
        <w:rPr>
          <w:rFonts w:ascii="Tahoma" w:hAnsi="Tahoma" w:cs="Tahoma"/>
          <w:i/>
          <w:iCs/>
          <w:sz w:val="20"/>
          <w:szCs w:val="20"/>
        </w:rPr>
        <w:t xml:space="preserve"> </w:t>
      </w:r>
      <w:r w:rsidR="002F24E1" w:rsidRPr="00B004EE">
        <w:rPr>
          <w:rFonts w:ascii="Tahoma" w:hAnsi="Tahoma" w:cs="Tahoma"/>
          <w:i/>
          <w:iCs/>
          <w:sz w:val="20"/>
          <w:szCs w:val="20"/>
        </w:rPr>
        <w:t>le</w:t>
      </w:r>
      <w:r w:rsidR="00DB1635" w:rsidRPr="00B004EE">
        <w:rPr>
          <w:rFonts w:ascii="Tahoma" w:hAnsi="Tahoma" w:cs="Tahoma"/>
          <w:i/>
          <w:iCs/>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002F24E1" w:rsidRPr="00B004EE">
        <w:rPr>
          <w:rFonts w:ascii="Tahoma" w:hAnsi="Tahoma" w:cs="Tahoma"/>
          <w:sz w:val="20"/>
          <w:szCs w:val="20"/>
        </w:rPr>
        <w:t>27</w:t>
      </w:r>
      <w:r w:rsidR="00DB1635" w:rsidRPr="00B004EE">
        <w:rPr>
          <w:rFonts w:ascii="Tahoma" w:hAnsi="Tahoma" w:cs="Tahoma"/>
          <w:sz w:val="20"/>
          <w:szCs w:val="20"/>
        </w:rPr>
        <w:t xml:space="preserve"> </w:t>
      </w:r>
      <w:r w:rsidR="002F24E1" w:rsidRPr="00B004EE">
        <w:rPr>
          <w:rFonts w:ascii="Tahoma" w:hAnsi="Tahoma" w:cs="Tahoma"/>
          <w:sz w:val="20"/>
          <w:szCs w:val="20"/>
        </w:rPr>
        <w:t>décembre</w:t>
      </w:r>
      <w:r w:rsidR="00DB1635" w:rsidRPr="00B004EE">
        <w:rPr>
          <w:rFonts w:ascii="Tahoma" w:hAnsi="Tahoma" w:cs="Tahoma"/>
          <w:sz w:val="20"/>
          <w:szCs w:val="20"/>
        </w:rPr>
        <w:t xml:space="preserve"> </w:t>
      </w:r>
      <w:r w:rsidR="002F24E1" w:rsidRPr="00B004EE">
        <w:rPr>
          <w:rFonts w:ascii="Tahoma" w:hAnsi="Tahoma" w:cs="Tahoma"/>
          <w:sz w:val="20"/>
          <w:szCs w:val="20"/>
        </w:rPr>
        <w:t>201</w:t>
      </w:r>
      <w:r w:rsidR="00A5129F" w:rsidRPr="00B004EE">
        <w:rPr>
          <w:rFonts w:ascii="Tahoma" w:hAnsi="Tahoma" w:cs="Tahoma"/>
          <w:sz w:val="20"/>
          <w:szCs w:val="20"/>
        </w:rPr>
        <w:t>8</w:t>
      </w:r>
    </w:p>
    <w:p w14:paraId="03884E9A" w14:textId="7F96D88A" w:rsidR="008D3B28" w:rsidRDefault="008D3B28" w:rsidP="00B004EE">
      <w:pPr>
        <w:jc w:val="center"/>
        <w:rPr>
          <w:rFonts w:ascii="Arial" w:eastAsiaTheme="minorHAnsi" w:hAnsi="Arial" w:cs="Arial"/>
          <w:b/>
          <w:bCs/>
          <w:sz w:val="20"/>
          <w:szCs w:val="20"/>
          <w:lang w:eastAsia="en-US"/>
        </w:rPr>
      </w:pPr>
    </w:p>
    <w:p w14:paraId="58FE2369" w14:textId="77777777" w:rsidR="00FA0779" w:rsidRPr="00B004EE" w:rsidRDefault="00FA0779" w:rsidP="00B004EE">
      <w:pPr>
        <w:jc w:val="center"/>
        <w:rPr>
          <w:rFonts w:ascii="Arial" w:eastAsiaTheme="minorHAnsi" w:hAnsi="Arial" w:cs="Arial"/>
          <w:b/>
          <w:bCs/>
          <w:sz w:val="20"/>
          <w:szCs w:val="20"/>
          <w:lang w:eastAsia="en-US"/>
        </w:rPr>
      </w:pPr>
    </w:p>
    <w:p w14:paraId="45B0D638" w14:textId="77777777" w:rsidR="00FA0779" w:rsidRPr="00B004EE" w:rsidRDefault="00FA0779" w:rsidP="00FA0779">
      <w:pPr>
        <w:pStyle w:val="Pieddepage"/>
        <w:tabs>
          <w:tab w:val="clear" w:pos="4536"/>
          <w:tab w:val="clear" w:pos="9072"/>
        </w:tabs>
        <w:rPr>
          <w:rFonts w:ascii="Tahoma" w:hAnsi="Tahoma" w:cs="Tahoma"/>
        </w:rPr>
      </w:pPr>
    </w:p>
    <w:p w14:paraId="2C16ED46" w14:textId="51A8B24B" w:rsidR="00FA0779" w:rsidRPr="00B004EE" w:rsidRDefault="00FA0779" w:rsidP="00FA0779">
      <w:pPr>
        <w:pStyle w:val="Pieddepage"/>
        <w:tabs>
          <w:tab w:val="clear" w:pos="4536"/>
          <w:tab w:val="clear" w:pos="9072"/>
        </w:tabs>
        <w:ind w:firstLine="284"/>
        <w:jc w:val="center"/>
        <w:rPr>
          <w:rFonts w:ascii="Tahoma" w:hAnsi="Tahoma" w:cs="Tahoma"/>
          <w:caps/>
        </w:rPr>
      </w:pPr>
      <w:r w:rsidRPr="00B004EE">
        <w:rPr>
          <w:rFonts w:ascii="Tahoma" w:hAnsi="Tahoma" w:cs="Tahoma"/>
        </w:rPr>
        <w:t>Le Ministre des Pêches et de</w:t>
      </w:r>
    </w:p>
    <w:p w14:paraId="0699627C" w14:textId="5357B182" w:rsidR="00FA0779" w:rsidRDefault="00FA0779" w:rsidP="00FA0779">
      <w:pPr>
        <w:pStyle w:val="Pieddepage"/>
        <w:tabs>
          <w:tab w:val="clear" w:pos="4536"/>
          <w:tab w:val="clear" w:pos="9072"/>
        </w:tabs>
        <w:ind w:left="284"/>
        <w:jc w:val="center"/>
        <w:rPr>
          <w:rFonts w:ascii="Tahoma" w:hAnsi="Tahoma" w:cs="Tahoma"/>
        </w:rPr>
      </w:pPr>
      <w:proofErr w:type="gramStart"/>
      <w:r w:rsidRPr="00FA0779">
        <w:rPr>
          <w:rFonts w:ascii="Tahoma" w:hAnsi="Tahoma" w:cs="Tahoma"/>
        </w:rPr>
        <w:t>l’Economie</w:t>
      </w:r>
      <w:proofErr w:type="gramEnd"/>
      <w:r w:rsidRPr="00FA0779">
        <w:rPr>
          <w:rFonts w:ascii="Tahoma" w:hAnsi="Tahoma" w:cs="Tahoma"/>
        </w:rPr>
        <w:t xml:space="preserve"> Maritime</w:t>
      </w:r>
    </w:p>
    <w:p w14:paraId="6641B65E" w14:textId="77777777" w:rsidR="00FA0779" w:rsidRPr="00FA0779" w:rsidRDefault="00FA0779" w:rsidP="00FA0779">
      <w:pPr>
        <w:pStyle w:val="Pieddepage"/>
        <w:tabs>
          <w:tab w:val="clear" w:pos="4536"/>
          <w:tab w:val="clear" w:pos="9072"/>
        </w:tabs>
        <w:ind w:left="284"/>
        <w:jc w:val="center"/>
        <w:rPr>
          <w:rFonts w:ascii="Tahoma" w:hAnsi="Tahoma" w:cs="Tahoma"/>
        </w:rPr>
      </w:pPr>
    </w:p>
    <w:p w14:paraId="351B2BE1" w14:textId="6922B3F7" w:rsidR="006F228E" w:rsidRDefault="008D3B28" w:rsidP="00B004EE">
      <w:pPr>
        <w:jc w:val="center"/>
        <w:rPr>
          <w:rFonts w:ascii="Arial" w:eastAsiaTheme="minorHAnsi" w:hAnsi="Arial" w:cs="Arial"/>
          <w:b/>
          <w:bCs/>
          <w:sz w:val="20"/>
          <w:szCs w:val="20"/>
          <w:lang w:eastAsia="en-US"/>
        </w:rPr>
      </w:pPr>
      <w:r w:rsidRPr="00B004EE">
        <w:rPr>
          <w:rFonts w:ascii="Arial" w:eastAsiaTheme="minorHAnsi" w:hAnsi="Arial" w:cs="Arial"/>
          <w:b/>
          <w:bCs/>
          <w:sz w:val="20"/>
          <w:szCs w:val="20"/>
          <w:lang w:eastAsia="en-US"/>
        </w:rPr>
        <w:t>Yahya Oud ABDEDAYEM</w:t>
      </w:r>
    </w:p>
    <w:p w14:paraId="735F07DC" w14:textId="267F6513" w:rsidR="00FA0779" w:rsidRDefault="00FA0779" w:rsidP="00B004EE">
      <w:pPr>
        <w:jc w:val="center"/>
        <w:rPr>
          <w:rFonts w:ascii="Arial" w:eastAsiaTheme="minorHAnsi" w:hAnsi="Arial" w:cs="Arial"/>
          <w:b/>
          <w:bCs/>
          <w:sz w:val="20"/>
          <w:szCs w:val="20"/>
          <w:lang w:eastAsia="en-US"/>
        </w:rPr>
      </w:pPr>
    </w:p>
    <w:p w14:paraId="00554AAF" w14:textId="77777777" w:rsidR="00FA0779" w:rsidRPr="00B004EE" w:rsidRDefault="00FA0779" w:rsidP="00B004EE">
      <w:pPr>
        <w:jc w:val="center"/>
        <w:rPr>
          <w:rFonts w:ascii="Tahoma" w:hAnsi="Tahoma" w:cs="Tahoma"/>
          <w:b/>
          <w:bCs/>
          <w:sz w:val="20"/>
          <w:szCs w:val="20"/>
        </w:rPr>
      </w:pPr>
    </w:p>
    <w:p w14:paraId="4AE17A2C" w14:textId="44E7D0CD" w:rsidR="006F228E" w:rsidRPr="00B004EE" w:rsidRDefault="006F228E" w:rsidP="00B004EE">
      <w:pPr>
        <w:jc w:val="both"/>
        <w:rPr>
          <w:rFonts w:ascii="Tahoma" w:hAnsi="Tahoma" w:cs="Tahoma"/>
          <w:sz w:val="20"/>
          <w:szCs w:val="20"/>
        </w:rPr>
      </w:pPr>
    </w:p>
    <w:p w14:paraId="0C421CEC" w14:textId="77777777" w:rsidR="008D3B28" w:rsidRPr="00B004EE" w:rsidRDefault="008D3B28" w:rsidP="00B004EE">
      <w:pPr>
        <w:jc w:val="both"/>
        <w:rPr>
          <w:rFonts w:ascii="Tahoma" w:hAnsi="Tahoma" w:cs="Tahoma"/>
          <w:sz w:val="20"/>
          <w:szCs w:val="20"/>
        </w:rPr>
        <w:sectPr w:rsidR="008D3B28" w:rsidRPr="00B004EE" w:rsidSect="00204FB2">
          <w:pgSz w:w="12240" w:h="15840" w:code="1"/>
          <w:pgMar w:top="1417" w:right="1417" w:bottom="1417" w:left="1417" w:header="709" w:footer="709" w:gutter="0"/>
          <w:cols w:space="708"/>
          <w:docGrid w:linePitch="360"/>
        </w:sectPr>
      </w:pPr>
    </w:p>
    <w:p w14:paraId="280F028A" w14:textId="3A833BA0" w:rsidR="002F24E1" w:rsidRPr="00FA0779" w:rsidRDefault="002F24E1" w:rsidP="00B004EE">
      <w:pPr>
        <w:pStyle w:val="Titre1"/>
        <w:pBdr>
          <w:top w:val="thinThickMediumGap" w:sz="24" w:space="1" w:color="70AD47" w:themeColor="accent6"/>
          <w:left w:val="thinThickMediumGap" w:sz="24" w:space="4" w:color="70AD47" w:themeColor="accent6"/>
          <w:bottom w:val="thickThinMediumGap" w:sz="24" w:space="1" w:color="70AD47" w:themeColor="accent6"/>
          <w:right w:val="thickThinMediumGap" w:sz="24" w:space="4" w:color="70AD47" w:themeColor="accent6"/>
        </w:pBdr>
        <w:jc w:val="both"/>
        <w:rPr>
          <w:rFonts w:ascii="Tahoma" w:hAnsi="Tahoma" w:cs="Tahoma"/>
          <w:szCs w:val="22"/>
        </w:rPr>
      </w:pPr>
      <w:bookmarkStart w:id="207" w:name="_Toc16288682"/>
      <w:bookmarkStart w:id="208" w:name="_Toc17022025"/>
      <w:bookmarkStart w:id="209" w:name="_Toc202214694"/>
      <w:r w:rsidRPr="00FA0779">
        <w:rPr>
          <w:rFonts w:ascii="Tahoma" w:hAnsi="Tahoma" w:cs="Tahoma"/>
          <w:szCs w:val="22"/>
        </w:rPr>
        <w:lastRenderedPageBreak/>
        <w:t>Arrêt</w:t>
      </w:r>
      <w:r w:rsidR="00127017" w:rsidRPr="00FA0779">
        <w:rPr>
          <w:rFonts w:ascii="Tahoma" w:hAnsi="Tahoma" w:cs="Tahoma"/>
          <w:szCs w:val="22"/>
        </w:rPr>
        <w:t>é</w:t>
      </w:r>
      <w:r w:rsidR="00DB1635" w:rsidRPr="00FA0779">
        <w:rPr>
          <w:rFonts w:ascii="Tahoma" w:hAnsi="Tahoma" w:cs="Tahoma"/>
          <w:szCs w:val="22"/>
        </w:rPr>
        <w:t xml:space="preserve"> </w:t>
      </w:r>
      <w:r w:rsidRPr="00FA0779">
        <w:rPr>
          <w:rFonts w:ascii="Tahoma" w:hAnsi="Tahoma" w:cs="Tahoma"/>
          <w:szCs w:val="22"/>
        </w:rPr>
        <w:t>conjoint</w:t>
      </w:r>
      <w:r w:rsidR="00DB1635" w:rsidRPr="00FA0779">
        <w:rPr>
          <w:rFonts w:ascii="Tahoma" w:hAnsi="Tahoma" w:cs="Tahoma"/>
          <w:szCs w:val="22"/>
        </w:rPr>
        <w:t xml:space="preserve"> </w:t>
      </w:r>
      <w:r w:rsidRPr="00FA0779">
        <w:rPr>
          <w:rFonts w:ascii="Tahoma" w:hAnsi="Tahoma" w:cs="Tahoma"/>
          <w:szCs w:val="22"/>
        </w:rPr>
        <w:t>n°</w:t>
      </w:r>
      <w:r w:rsidR="00DB1635" w:rsidRPr="00FA0779">
        <w:rPr>
          <w:rFonts w:ascii="Tahoma" w:hAnsi="Tahoma" w:cs="Tahoma"/>
          <w:szCs w:val="22"/>
        </w:rPr>
        <w:t xml:space="preserve"> </w:t>
      </w:r>
      <w:r w:rsidRPr="00FA0779">
        <w:rPr>
          <w:rFonts w:ascii="Tahoma" w:hAnsi="Tahoma" w:cs="Tahoma"/>
          <w:szCs w:val="22"/>
        </w:rPr>
        <w:t>01</w:t>
      </w:r>
      <w:r w:rsidR="00387E48" w:rsidRPr="00FA0779">
        <w:rPr>
          <w:rFonts w:ascii="Tahoma" w:hAnsi="Tahoma" w:cs="Tahoma"/>
          <w:szCs w:val="22"/>
        </w:rPr>
        <w:t>6</w:t>
      </w:r>
      <w:r w:rsidR="00DB1635" w:rsidRPr="00FA0779">
        <w:rPr>
          <w:rFonts w:ascii="Tahoma" w:hAnsi="Tahoma" w:cs="Tahoma"/>
          <w:szCs w:val="22"/>
        </w:rPr>
        <w:t xml:space="preserve"> </w:t>
      </w:r>
      <w:r w:rsidR="00576B08">
        <w:rPr>
          <w:rFonts w:ascii="Tahoma" w:hAnsi="Tahoma" w:cs="Tahoma"/>
          <w:szCs w:val="22"/>
        </w:rPr>
        <w:t xml:space="preserve">du </w:t>
      </w:r>
      <w:r w:rsidR="00576B08" w:rsidRPr="00576B08">
        <w:rPr>
          <w:rFonts w:ascii="Tahoma" w:hAnsi="Tahoma" w:cs="Tahoma"/>
          <w:szCs w:val="22"/>
        </w:rPr>
        <w:t>14 janvier 2019</w:t>
      </w:r>
      <w:r w:rsidR="00576B08" w:rsidRPr="00576B08">
        <w:rPr>
          <w:rFonts w:ascii="Tahoma" w:hAnsi="Tahoma" w:cs="Tahoma"/>
          <w:szCs w:val="22"/>
        </w:rPr>
        <w:t xml:space="preserve">, </w:t>
      </w:r>
      <w:r w:rsidRPr="00FA0779">
        <w:rPr>
          <w:rFonts w:ascii="Tahoma" w:hAnsi="Tahoma" w:cs="Tahoma"/>
          <w:szCs w:val="22"/>
        </w:rPr>
        <w:t>modifiant</w:t>
      </w:r>
      <w:r w:rsidR="00DB1635" w:rsidRPr="00FA0779">
        <w:rPr>
          <w:rFonts w:ascii="Tahoma" w:hAnsi="Tahoma" w:cs="Tahoma"/>
          <w:szCs w:val="22"/>
        </w:rPr>
        <w:t xml:space="preserve"> </w:t>
      </w:r>
      <w:r w:rsidRPr="00FA0779">
        <w:rPr>
          <w:rFonts w:ascii="Tahoma" w:hAnsi="Tahoma" w:cs="Tahoma"/>
          <w:szCs w:val="22"/>
        </w:rPr>
        <w:t>et</w:t>
      </w:r>
      <w:r w:rsidR="00DB1635" w:rsidRPr="00FA0779">
        <w:rPr>
          <w:rFonts w:ascii="Tahoma" w:hAnsi="Tahoma" w:cs="Tahoma"/>
          <w:szCs w:val="22"/>
        </w:rPr>
        <w:t xml:space="preserve"> </w:t>
      </w:r>
      <w:r w:rsidRPr="00FA0779">
        <w:rPr>
          <w:rFonts w:ascii="Tahoma" w:hAnsi="Tahoma" w:cs="Tahoma"/>
          <w:szCs w:val="22"/>
        </w:rPr>
        <w:t>complétant</w:t>
      </w:r>
      <w:r w:rsidR="00DB1635" w:rsidRPr="00FA0779">
        <w:rPr>
          <w:rFonts w:ascii="Tahoma" w:hAnsi="Tahoma" w:cs="Tahoma"/>
          <w:szCs w:val="22"/>
        </w:rPr>
        <w:t xml:space="preserve"> </w:t>
      </w:r>
      <w:r w:rsidRPr="00FA0779">
        <w:rPr>
          <w:rFonts w:ascii="Tahoma" w:hAnsi="Tahoma" w:cs="Tahoma"/>
          <w:szCs w:val="22"/>
        </w:rPr>
        <w:t>certaines</w:t>
      </w:r>
      <w:r w:rsidR="00DB1635" w:rsidRPr="00FA0779">
        <w:rPr>
          <w:rFonts w:ascii="Tahoma" w:hAnsi="Tahoma" w:cs="Tahoma"/>
          <w:szCs w:val="22"/>
        </w:rPr>
        <w:t xml:space="preserve"> </w:t>
      </w:r>
      <w:r w:rsidRPr="00FA0779">
        <w:rPr>
          <w:rFonts w:ascii="Tahoma" w:hAnsi="Tahoma" w:cs="Tahoma"/>
          <w:szCs w:val="22"/>
        </w:rPr>
        <w:t>dispositions</w:t>
      </w:r>
      <w:r w:rsidR="00DB1635" w:rsidRPr="00FA0779">
        <w:rPr>
          <w:rFonts w:ascii="Tahoma" w:hAnsi="Tahoma" w:cs="Tahoma"/>
          <w:szCs w:val="22"/>
        </w:rPr>
        <w:t xml:space="preserve"> </w:t>
      </w:r>
      <w:r w:rsidRPr="00FA0779">
        <w:rPr>
          <w:rFonts w:ascii="Tahoma" w:hAnsi="Tahoma" w:cs="Tahoma"/>
          <w:szCs w:val="22"/>
        </w:rPr>
        <w:t>de</w:t>
      </w:r>
      <w:r w:rsidR="00DB1635" w:rsidRPr="00FA0779">
        <w:rPr>
          <w:rFonts w:ascii="Tahoma" w:hAnsi="Tahoma" w:cs="Tahoma"/>
          <w:szCs w:val="22"/>
        </w:rPr>
        <w:t xml:space="preserve"> </w:t>
      </w:r>
      <w:r w:rsidRPr="00FA0779">
        <w:rPr>
          <w:rFonts w:ascii="Tahoma" w:hAnsi="Tahoma" w:cs="Tahoma"/>
          <w:szCs w:val="22"/>
        </w:rPr>
        <w:t>l’arrêt</w:t>
      </w:r>
      <w:r w:rsidR="00127017" w:rsidRPr="00FA0779">
        <w:rPr>
          <w:rFonts w:ascii="Tahoma" w:hAnsi="Tahoma" w:cs="Tahoma"/>
          <w:szCs w:val="22"/>
        </w:rPr>
        <w:t>é</w:t>
      </w:r>
      <w:r w:rsidR="00DB1635" w:rsidRPr="00FA0779">
        <w:rPr>
          <w:rFonts w:ascii="Tahoma" w:hAnsi="Tahoma" w:cs="Tahoma"/>
          <w:szCs w:val="22"/>
        </w:rPr>
        <w:t xml:space="preserve"> </w:t>
      </w:r>
      <w:r w:rsidRPr="00FA0779">
        <w:rPr>
          <w:rFonts w:ascii="Tahoma" w:hAnsi="Tahoma" w:cs="Tahoma"/>
          <w:szCs w:val="22"/>
        </w:rPr>
        <w:t>979-</w:t>
      </w:r>
      <w:r w:rsidR="00DB1635" w:rsidRPr="00FA0779">
        <w:rPr>
          <w:rFonts w:ascii="Tahoma" w:hAnsi="Tahoma" w:cs="Tahoma"/>
          <w:szCs w:val="22"/>
        </w:rPr>
        <w:t xml:space="preserve"> </w:t>
      </w:r>
      <w:r w:rsidRPr="00FA0779">
        <w:rPr>
          <w:rFonts w:ascii="Tahoma" w:hAnsi="Tahoma" w:cs="Tahoma"/>
          <w:szCs w:val="22"/>
        </w:rPr>
        <w:t>2012</w:t>
      </w:r>
      <w:r w:rsidR="00DB1635" w:rsidRPr="00FA0779">
        <w:rPr>
          <w:rFonts w:ascii="Tahoma" w:hAnsi="Tahoma" w:cs="Tahoma"/>
          <w:szCs w:val="22"/>
        </w:rPr>
        <w:t xml:space="preserve"> </w:t>
      </w:r>
      <w:r w:rsidRPr="00FA0779">
        <w:rPr>
          <w:rFonts w:ascii="Tahoma" w:hAnsi="Tahoma" w:cs="Tahoma"/>
          <w:szCs w:val="22"/>
        </w:rPr>
        <w:t>portant</w:t>
      </w:r>
      <w:r w:rsidR="00DB1635" w:rsidRPr="00FA0779">
        <w:rPr>
          <w:rFonts w:ascii="Tahoma" w:hAnsi="Tahoma" w:cs="Tahoma"/>
          <w:szCs w:val="22"/>
        </w:rPr>
        <w:t xml:space="preserve"> </w:t>
      </w:r>
      <w:r w:rsidRPr="00FA0779">
        <w:rPr>
          <w:rFonts w:ascii="Tahoma" w:hAnsi="Tahoma" w:cs="Tahoma"/>
          <w:szCs w:val="22"/>
        </w:rPr>
        <w:t>règlementation</w:t>
      </w:r>
      <w:r w:rsidR="00DB1635" w:rsidRPr="00FA0779">
        <w:rPr>
          <w:rFonts w:ascii="Tahoma" w:hAnsi="Tahoma" w:cs="Tahoma"/>
          <w:szCs w:val="22"/>
        </w:rPr>
        <w:t xml:space="preserve"> </w:t>
      </w:r>
      <w:r w:rsidRPr="00FA0779">
        <w:rPr>
          <w:rFonts w:ascii="Tahoma" w:hAnsi="Tahoma" w:cs="Tahoma"/>
          <w:szCs w:val="22"/>
        </w:rPr>
        <w:t>des</w:t>
      </w:r>
      <w:r w:rsidR="00DB1635" w:rsidRPr="00FA0779">
        <w:rPr>
          <w:rFonts w:ascii="Tahoma" w:hAnsi="Tahoma" w:cs="Tahoma"/>
          <w:szCs w:val="22"/>
        </w:rPr>
        <w:t xml:space="preserve"> </w:t>
      </w:r>
      <w:r w:rsidRPr="00FA0779">
        <w:rPr>
          <w:rFonts w:ascii="Tahoma" w:hAnsi="Tahoma" w:cs="Tahoma"/>
          <w:szCs w:val="22"/>
        </w:rPr>
        <w:t>règles</w:t>
      </w:r>
      <w:r w:rsidR="00DB1635" w:rsidRPr="00FA0779">
        <w:rPr>
          <w:rFonts w:ascii="Tahoma" w:hAnsi="Tahoma" w:cs="Tahoma"/>
          <w:szCs w:val="22"/>
        </w:rPr>
        <w:t xml:space="preserve"> </w:t>
      </w:r>
      <w:r w:rsidRPr="00FA0779">
        <w:rPr>
          <w:rFonts w:ascii="Tahoma" w:hAnsi="Tahoma" w:cs="Tahoma"/>
          <w:szCs w:val="22"/>
        </w:rPr>
        <w:t>sanitaires</w:t>
      </w:r>
      <w:r w:rsidR="00DB1635" w:rsidRPr="00FA0779">
        <w:rPr>
          <w:rFonts w:ascii="Tahoma" w:hAnsi="Tahoma" w:cs="Tahoma"/>
          <w:szCs w:val="22"/>
        </w:rPr>
        <w:t xml:space="preserve"> </w:t>
      </w:r>
      <w:r w:rsidRPr="00FA0779">
        <w:rPr>
          <w:rFonts w:ascii="Tahoma" w:hAnsi="Tahoma" w:cs="Tahoma"/>
          <w:szCs w:val="22"/>
        </w:rPr>
        <w:t>applicables</w:t>
      </w:r>
      <w:r w:rsidR="00DB1635" w:rsidRPr="00FA0779">
        <w:rPr>
          <w:rFonts w:ascii="Tahoma" w:hAnsi="Tahoma" w:cs="Tahoma"/>
          <w:szCs w:val="22"/>
        </w:rPr>
        <w:t xml:space="preserve"> </w:t>
      </w:r>
      <w:r w:rsidRPr="00FA0779">
        <w:rPr>
          <w:rFonts w:ascii="Tahoma" w:hAnsi="Tahoma" w:cs="Tahoma"/>
          <w:szCs w:val="22"/>
        </w:rPr>
        <w:t>aux</w:t>
      </w:r>
      <w:r w:rsidR="00DB1635" w:rsidRPr="00FA0779">
        <w:rPr>
          <w:rFonts w:ascii="Tahoma" w:hAnsi="Tahoma" w:cs="Tahoma"/>
          <w:szCs w:val="22"/>
        </w:rPr>
        <w:t xml:space="preserve"> </w:t>
      </w:r>
      <w:r w:rsidRPr="00FA0779">
        <w:rPr>
          <w:rFonts w:ascii="Tahoma" w:hAnsi="Tahoma" w:cs="Tahoma"/>
          <w:szCs w:val="22"/>
        </w:rPr>
        <w:t>sous-produits</w:t>
      </w:r>
      <w:r w:rsidR="00DB1635" w:rsidRPr="00FA0779">
        <w:rPr>
          <w:rFonts w:ascii="Tahoma" w:hAnsi="Tahoma" w:cs="Tahoma"/>
          <w:szCs w:val="22"/>
        </w:rPr>
        <w:t xml:space="preserve"> </w:t>
      </w:r>
      <w:r w:rsidRPr="00FA0779">
        <w:rPr>
          <w:rFonts w:ascii="Tahoma" w:hAnsi="Tahoma" w:cs="Tahoma"/>
          <w:szCs w:val="22"/>
        </w:rPr>
        <w:t>de</w:t>
      </w:r>
      <w:r w:rsidR="00DB1635" w:rsidRPr="00FA0779">
        <w:rPr>
          <w:rFonts w:ascii="Tahoma" w:hAnsi="Tahoma" w:cs="Tahoma"/>
          <w:szCs w:val="22"/>
        </w:rPr>
        <w:t xml:space="preserve"> </w:t>
      </w:r>
      <w:r w:rsidRPr="00FA0779">
        <w:rPr>
          <w:rFonts w:ascii="Tahoma" w:hAnsi="Tahoma" w:cs="Tahoma"/>
          <w:szCs w:val="22"/>
        </w:rPr>
        <w:t>pêche</w:t>
      </w:r>
      <w:r w:rsidR="00DB1635" w:rsidRPr="00FA0779">
        <w:rPr>
          <w:rFonts w:ascii="Tahoma" w:hAnsi="Tahoma" w:cs="Tahoma"/>
          <w:szCs w:val="22"/>
        </w:rPr>
        <w:t xml:space="preserve"> </w:t>
      </w:r>
      <w:r w:rsidRPr="00FA0779">
        <w:rPr>
          <w:rFonts w:ascii="Tahoma" w:hAnsi="Tahoma" w:cs="Tahoma"/>
          <w:szCs w:val="22"/>
        </w:rPr>
        <w:t>et</w:t>
      </w:r>
      <w:r w:rsidR="00DB1635" w:rsidRPr="00FA0779">
        <w:rPr>
          <w:rFonts w:ascii="Tahoma" w:hAnsi="Tahoma" w:cs="Tahoma"/>
          <w:szCs w:val="22"/>
        </w:rPr>
        <w:t xml:space="preserve"> </w:t>
      </w:r>
      <w:r w:rsidRPr="00FA0779">
        <w:rPr>
          <w:rFonts w:ascii="Tahoma" w:hAnsi="Tahoma" w:cs="Tahoma"/>
          <w:szCs w:val="22"/>
        </w:rPr>
        <w:t>produits</w:t>
      </w:r>
      <w:r w:rsidR="00DB1635" w:rsidRPr="00FA0779">
        <w:rPr>
          <w:rFonts w:ascii="Tahoma" w:hAnsi="Tahoma" w:cs="Tahoma"/>
          <w:szCs w:val="22"/>
        </w:rPr>
        <w:t xml:space="preserve"> </w:t>
      </w:r>
      <w:r w:rsidRPr="00FA0779">
        <w:rPr>
          <w:rFonts w:ascii="Tahoma" w:hAnsi="Tahoma" w:cs="Tahoma"/>
          <w:szCs w:val="22"/>
        </w:rPr>
        <w:t>dériv</w:t>
      </w:r>
      <w:r w:rsidR="00AF382F" w:rsidRPr="00FA0779">
        <w:rPr>
          <w:rFonts w:ascii="Tahoma" w:hAnsi="Tahoma" w:cs="Tahoma"/>
          <w:szCs w:val="22"/>
        </w:rPr>
        <w:t>é</w:t>
      </w:r>
      <w:r w:rsidRPr="00FA0779">
        <w:rPr>
          <w:rFonts w:ascii="Tahoma" w:hAnsi="Tahoma" w:cs="Tahoma"/>
          <w:szCs w:val="22"/>
        </w:rPr>
        <w:t>s</w:t>
      </w:r>
      <w:r w:rsidR="00DB1635" w:rsidRPr="00FA0779">
        <w:rPr>
          <w:rFonts w:ascii="Tahoma" w:hAnsi="Tahoma" w:cs="Tahoma"/>
          <w:szCs w:val="22"/>
        </w:rPr>
        <w:t xml:space="preserve"> </w:t>
      </w:r>
      <w:r w:rsidRPr="00FA0779">
        <w:rPr>
          <w:rFonts w:ascii="Tahoma" w:hAnsi="Tahoma" w:cs="Tahoma"/>
          <w:szCs w:val="22"/>
        </w:rPr>
        <w:t>non</w:t>
      </w:r>
      <w:r w:rsidR="00DB1635" w:rsidRPr="00FA0779">
        <w:rPr>
          <w:rFonts w:ascii="Tahoma" w:hAnsi="Tahoma" w:cs="Tahoma"/>
          <w:szCs w:val="22"/>
        </w:rPr>
        <w:t xml:space="preserve"> </w:t>
      </w:r>
      <w:r w:rsidRPr="00FA0779">
        <w:rPr>
          <w:rFonts w:ascii="Tahoma" w:hAnsi="Tahoma" w:cs="Tahoma"/>
          <w:szCs w:val="22"/>
        </w:rPr>
        <w:t>destin</w:t>
      </w:r>
      <w:r w:rsidR="00AF382F" w:rsidRPr="00FA0779">
        <w:rPr>
          <w:rFonts w:ascii="Tahoma" w:hAnsi="Tahoma" w:cs="Tahoma"/>
          <w:szCs w:val="22"/>
        </w:rPr>
        <w:t>é</w:t>
      </w:r>
      <w:r w:rsidRPr="00FA0779">
        <w:rPr>
          <w:rFonts w:ascii="Tahoma" w:hAnsi="Tahoma" w:cs="Tahoma"/>
          <w:szCs w:val="22"/>
        </w:rPr>
        <w:t>s</w:t>
      </w:r>
      <w:r w:rsidR="00DB1635" w:rsidRPr="00FA0779">
        <w:rPr>
          <w:rFonts w:ascii="Tahoma" w:hAnsi="Tahoma" w:cs="Tahoma"/>
          <w:szCs w:val="22"/>
        </w:rPr>
        <w:t xml:space="preserve"> </w:t>
      </w:r>
      <w:r w:rsidR="00A832F6" w:rsidRPr="00FA0779">
        <w:rPr>
          <w:rFonts w:ascii="Tahoma" w:hAnsi="Tahoma" w:cs="Tahoma"/>
          <w:szCs w:val="22"/>
        </w:rPr>
        <w:t>à</w:t>
      </w:r>
      <w:r w:rsidR="00DB1635" w:rsidRPr="00FA0779">
        <w:rPr>
          <w:rFonts w:ascii="Tahoma" w:hAnsi="Tahoma" w:cs="Tahoma"/>
          <w:szCs w:val="22"/>
        </w:rPr>
        <w:t xml:space="preserve"> </w:t>
      </w:r>
      <w:r w:rsidRPr="00FA0779">
        <w:rPr>
          <w:rFonts w:ascii="Tahoma" w:hAnsi="Tahoma" w:cs="Tahoma"/>
          <w:szCs w:val="22"/>
        </w:rPr>
        <w:t>la</w:t>
      </w:r>
      <w:r w:rsidR="00DB1635" w:rsidRPr="00FA0779">
        <w:rPr>
          <w:rFonts w:ascii="Tahoma" w:hAnsi="Tahoma" w:cs="Tahoma"/>
          <w:szCs w:val="22"/>
        </w:rPr>
        <w:t xml:space="preserve"> </w:t>
      </w:r>
      <w:r w:rsidRPr="00FA0779">
        <w:rPr>
          <w:rFonts w:ascii="Tahoma" w:hAnsi="Tahoma" w:cs="Tahoma"/>
          <w:szCs w:val="22"/>
        </w:rPr>
        <w:t>consommation</w:t>
      </w:r>
      <w:r w:rsidR="00DB1635" w:rsidRPr="00FA0779">
        <w:rPr>
          <w:rFonts w:ascii="Tahoma" w:hAnsi="Tahoma" w:cs="Tahoma"/>
          <w:szCs w:val="22"/>
        </w:rPr>
        <w:t xml:space="preserve"> </w:t>
      </w:r>
      <w:r w:rsidRPr="00FA0779">
        <w:rPr>
          <w:rFonts w:ascii="Tahoma" w:hAnsi="Tahoma" w:cs="Tahoma"/>
          <w:szCs w:val="22"/>
        </w:rPr>
        <w:t>humaine</w:t>
      </w:r>
      <w:bookmarkEnd w:id="207"/>
      <w:bookmarkEnd w:id="208"/>
      <w:bookmarkEnd w:id="209"/>
    </w:p>
    <w:p w14:paraId="741A7CBE" w14:textId="77777777" w:rsidR="002F24E1" w:rsidRPr="00B004EE" w:rsidRDefault="002F24E1" w:rsidP="00B004EE">
      <w:pPr>
        <w:ind w:right="225"/>
        <w:jc w:val="both"/>
        <w:rPr>
          <w:rFonts w:ascii="Tahoma" w:hAnsi="Tahoma" w:cs="Tahoma"/>
          <w:sz w:val="20"/>
          <w:szCs w:val="20"/>
        </w:rPr>
      </w:pPr>
    </w:p>
    <w:p w14:paraId="3730756B" w14:textId="7C4A5999" w:rsidR="002F24E1" w:rsidRPr="00B004EE" w:rsidRDefault="002F24E1" w:rsidP="00B004EE">
      <w:pPr>
        <w:ind w:right="225"/>
        <w:jc w:val="both"/>
        <w:rPr>
          <w:rFonts w:ascii="Tahoma" w:hAnsi="Tahoma" w:cs="Tahoma"/>
          <w:bCs/>
          <w:sz w:val="20"/>
          <w:szCs w:val="20"/>
        </w:rPr>
      </w:pPr>
      <w:r w:rsidRPr="00B004EE">
        <w:rPr>
          <w:rFonts w:ascii="Tahoma" w:hAnsi="Tahoma" w:cs="Tahoma"/>
          <w:sz w:val="20"/>
          <w:szCs w:val="20"/>
        </w:rPr>
        <w:t>Article</w:t>
      </w:r>
      <w:r w:rsidR="00DB1635" w:rsidRPr="00B004EE">
        <w:rPr>
          <w:rFonts w:ascii="Tahoma" w:hAnsi="Tahoma" w:cs="Tahoma"/>
          <w:sz w:val="20"/>
          <w:szCs w:val="20"/>
        </w:rPr>
        <w:t xml:space="preserve"> </w:t>
      </w:r>
      <w:r w:rsidRPr="00B004EE">
        <w:rPr>
          <w:rFonts w:ascii="Tahoma" w:hAnsi="Tahoma" w:cs="Tahoma"/>
          <w:sz w:val="20"/>
          <w:szCs w:val="20"/>
        </w:rPr>
        <w:t>Premier</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dispositions</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articles</w:t>
      </w:r>
      <w:r w:rsidR="00DB1635" w:rsidRPr="00B004EE">
        <w:rPr>
          <w:rFonts w:ascii="Tahoma" w:hAnsi="Tahoma" w:cs="Tahoma"/>
          <w:sz w:val="20"/>
          <w:szCs w:val="20"/>
        </w:rPr>
        <w:t xml:space="preserve"> </w:t>
      </w:r>
      <w:r w:rsidRPr="00B004EE">
        <w:rPr>
          <w:rFonts w:ascii="Tahoma" w:hAnsi="Tahoma" w:cs="Tahoma"/>
          <w:sz w:val="20"/>
          <w:szCs w:val="20"/>
        </w:rPr>
        <w:t>25</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bCs/>
          <w:sz w:val="20"/>
          <w:szCs w:val="20"/>
        </w:rPr>
        <w:t>l’arrête</w:t>
      </w:r>
      <w:r w:rsidR="00DB1635" w:rsidRPr="00B004EE">
        <w:rPr>
          <w:rFonts w:ascii="Tahoma" w:hAnsi="Tahoma" w:cs="Tahoma"/>
          <w:bCs/>
          <w:sz w:val="20"/>
          <w:szCs w:val="20"/>
        </w:rPr>
        <w:t xml:space="preserve"> </w:t>
      </w:r>
      <w:r w:rsidRPr="00B004EE">
        <w:rPr>
          <w:rFonts w:ascii="Tahoma" w:hAnsi="Tahoma" w:cs="Tahoma"/>
          <w:bCs/>
          <w:sz w:val="20"/>
          <w:szCs w:val="20"/>
        </w:rPr>
        <w:t>979-</w:t>
      </w:r>
      <w:r w:rsidR="00DB1635" w:rsidRPr="00B004EE">
        <w:rPr>
          <w:rFonts w:ascii="Tahoma" w:hAnsi="Tahoma" w:cs="Tahoma"/>
          <w:bCs/>
          <w:sz w:val="20"/>
          <w:szCs w:val="20"/>
        </w:rPr>
        <w:t xml:space="preserve"> </w:t>
      </w:r>
      <w:r w:rsidRPr="00B004EE">
        <w:rPr>
          <w:rFonts w:ascii="Tahoma" w:hAnsi="Tahoma" w:cs="Tahoma"/>
          <w:bCs/>
          <w:sz w:val="20"/>
          <w:szCs w:val="20"/>
        </w:rPr>
        <w:t>2012</w:t>
      </w:r>
      <w:r w:rsidR="00DB1635" w:rsidRPr="00B004EE">
        <w:rPr>
          <w:rFonts w:ascii="Tahoma" w:hAnsi="Tahoma" w:cs="Tahoma"/>
          <w:bCs/>
          <w:sz w:val="20"/>
          <w:szCs w:val="20"/>
        </w:rPr>
        <w:t xml:space="preserve"> </w:t>
      </w:r>
      <w:r w:rsidRPr="00B004EE">
        <w:rPr>
          <w:rFonts w:ascii="Tahoma" w:hAnsi="Tahoma" w:cs="Tahoma"/>
          <w:bCs/>
          <w:sz w:val="20"/>
          <w:szCs w:val="20"/>
        </w:rPr>
        <w:t>portant</w:t>
      </w:r>
      <w:r w:rsidR="00DB1635" w:rsidRPr="00B004EE">
        <w:rPr>
          <w:rFonts w:ascii="Tahoma" w:hAnsi="Tahoma" w:cs="Tahoma"/>
          <w:bCs/>
          <w:sz w:val="20"/>
          <w:szCs w:val="20"/>
        </w:rPr>
        <w:t xml:space="preserve"> </w:t>
      </w:r>
      <w:r w:rsidRPr="00B004EE">
        <w:rPr>
          <w:rFonts w:ascii="Tahoma" w:hAnsi="Tahoma" w:cs="Tahoma"/>
          <w:bCs/>
          <w:sz w:val="20"/>
          <w:szCs w:val="20"/>
        </w:rPr>
        <w:t>l’application</w:t>
      </w:r>
      <w:r w:rsidR="00DB1635" w:rsidRPr="00B004EE">
        <w:rPr>
          <w:rFonts w:ascii="Tahoma" w:hAnsi="Tahoma" w:cs="Tahoma"/>
          <w:bCs/>
          <w:sz w:val="20"/>
          <w:szCs w:val="20"/>
        </w:rPr>
        <w:t xml:space="preserve"> </w:t>
      </w:r>
      <w:r w:rsidRPr="00B004EE">
        <w:rPr>
          <w:rFonts w:ascii="Tahoma" w:hAnsi="Tahoma" w:cs="Tahoma"/>
          <w:bCs/>
          <w:sz w:val="20"/>
          <w:szCs w:val="20"/>
        </w:rPr>
        <w:t>du</w:t>
      </w:r>
      <w:r w:rsidR="00DB1635" w:rsidRPr="00B004EE">
        <w:rPr>
          <w:rFonts w:ascii="Tahoma" w:hAnsi="Tahoma" w:cs="Tahoma"/>
          <w:bCs/>
          <w:sz w:val="20"/>
          <w:szCs w:val="20"/>
        </w:rPr>
        <w:t xml:space="preserve"> </w:t>
      </w:r>
      <w:r w:rsidRPr="00B004EE">
        <w:rPr>
          <w:rFonts w:ascii="Tahoma" w:hAnsi="Tahoma" w:cs="Tahoma"/>
          <w:bCs/>
          <w:sz w:val="20"/>
          <w:szCs w:val="20"/>
        </w:rPr>
        <w:t>décret</w:t>
      </w:r>
      <w:r w:rsidR="00DB1635" w:rsidRPr="00B004EE">
        <w:rPr>
          <w:rFonts w:ascii="Tahoma" w:hAnsi="Tahoma" w:cs="Tahoma"/>
          <w:bCs/>
          <w:sz w:val="20"/>
          <w:szCs w:val="20"/>
        </w:rPr>
        <w:t xml:space="preserve"> </w:t>
      </w:r>
      <w:r w:rsidRPr="00B004EE">
        <w:rPr>
          <w:rFonts w:ascii="Tahoma" w:hAnsi="Tahoma" w:cs="Tahoma"/>
          <w:bCs/>
          <w:sz w:val="20"/>
          <w:szCs w:val="20"/>
        </w:rPr>
        <w:t>n°</w:t>
      </w:r>
      <w:r w:rsidR="00DB1635" w:rsidRPr="00B004EE">
        <w:rPr>
          <w:rFonts w:ascii="Tahoma" w:hAnsi="Tahoma" w:cs="Tahoma"/>
          <w:bCs/>
          <w:sz w:val="20"/>
          <w:szCs w:val="20"/>
        </w:rPr>
        <w:t xml:space="preserve"> </w:t>
      </w:r>
      <w:r w:rsidRPr="00B004EE">
        <w:rPr>
          <w:rFonts w:ascii="Tahoma" w:hAnsi="Tahoma" w:cs="Tahoma"/>
          <w:bCs/>
          <w:sz w:val="20"/>
          <w:szCs w:val="20"/>
        </w:rPr>
        <w:t>072-2012</w:t>
      </w:r>
      <w:r w:rsidR="00DB1635" w:rsidRPr="00B004EE">
        <w:rPr>
          <w:rFonts w:ascii="Tahoma" w:hAnsi="Tahoma" w:cs="Tahoma"/>
          <w:bCs/>
          <w:sz w:val="20"/>
          <w:szCs w:val="20"/>
        </w:rPr>
        <w:t xml:space="preserve"> </w:t>
      </w:r>
      <w:r w:rsidRPr="00B004EE">
        <w:rPr>
          <w:rFonts w:ascii="Tahoma" w:hAnsi="Tahoma" w:cs="Tahoma"/>
          <w:bCs/>
          <w:sz w:val="20"/>
          <w:szCs w:val="20"/>
        </w:rPr>
        <w:t>du</w:t>
      </w:r>
      <w:r w:rsidR="00DB1635" w:rsidRPr="00B004EE">
        <w:rPr>
          <w:rFonts w:ascii="Tahoma" w:hAnsi="Tahoma" w:cs="Tahoma"/>
          <w:bCs/>
          <w:sz w:val="20"/>
          <w:szCs w:val="20"/>
        </w:rPr>
        <w:t xml:space="preserve"> </w:t>
      </w:r>
      <w:r w:rsidRPr="00B004EE">
        <w:rPr>
          <w:rFonts w:ascii="Tahoma" w:hAnsi="Tahoma" w:cs="Tahoma"/>
          <w:bCs/>
          <w:sz w:val="20"/>
          <w:szCs w:val="20"/>
        </w:rPr>
        <w:t>12</w:t>
      </w:r>
      <w:r w:rsidR="00DB1635" w:rsidRPr="00B004EE">
        <w:rPr>
          <w:rFonts w:ascii="Tahoma" w:hAnsi="Tahoma" w:cs="Tahoma"/>
          <w:bCs/>
          <w:sz w:val="20"/>
          <w:szCs w:val="20"/>
        </w:rPr>
        <w:t xml:space="preserve"> </w:t>
      </w:r>
      <w:r w:rsidRPr="00B004EE">
        <w:rPr>
          <w:rFonts w:ascii="Tahoma" w:hAnsi="Tahoma" w:cs="Tahoma"/>
          <w:bCs/>
          <w:sz w:val="20"/>
          <w:szCs w:val="20"/>
        </w:rPr>
        <w:t>mars</w:t>
      </w:r>
      <w:r w:rsidR="00DB1635" w:rsidRPr="00B004EE">
        <w:rPr>
          <w:rFonts w:ascii="Tahoma" w:hAnsi="Tahoma" w:cs="Tahoma"/>
          <w:bCs/>
          <w:sz w:val="20"/>
          <w:szCs w:val="20"/>
        </w:rPr>
        <w:t xml:space="preserve"> </w:t>
      </w:r>
      <w:r w:rsidRPr="00B004EE">
        <w:rPr>
          <w:rFonts w:ascii="Tahoma" w:hAnsi="Tahoma" w:cs="Tahoma"/>
          <w:bCs/>
          <w:sz w:val="20"/>
          <w:szCs w:val="20"/>
        </w:rPr>
        <w:t>2012,</w:t>
      </w:r>
      <w:r w:rsidR="00DB1635" w:rsidRPr="00B004EE">
        <w:rPr>
          <w:rFonts w:ascii="Tahoma" w:hAnsi="Tahoma" w:cs="Tahoma"/>
          <w:bCs/>
          <w:sz w:val="20"/>
          <w:szCs w:val="20"/>
        </w:rPr>
        <w:t xml:space="preserve"> </w:t>
      </w:r>
      <w:r w:rsidRPr="00B004EE">
        <w:rPr>
          <w:rFonts w:ascii="Tahoma" w:hAnsi="Tahoma" w:cs="Tahoma"/>
          <w:bCs/>
          <w:sz w:val="20"/>
          <w:szCs w:val="20"/>
        </w:rPr>
        <w:t>portant</w:t>
      </w:r>
      <w:r w:rsidR="00DB1635" w:rsidRPr="00B004EE">
        <w:rPr>
          <w:rFonts w:ascii="Tahoma" w:hAnsi="Tahoma" w:cs="Tahoma"/>
          <w:bCs/>
          <w:sz w:val="20"/>
          <w:szCs w:val="20"/>
        </w:rPr>
        <w:t xml:space="preserve"> </w:t>
      </w:r>
      <w:r w:rsidRPr="00B004EE">
        <w:rPr>
          <w:rFonts w:ascii="Tahoma" w:hAnsi="Tahoma" w:cs="Tahoma"/>
          <w:bCs/>
          <w:sz w:val="20"/>
          <w:szCs w:val="20"/>
        </w:rPr>
        <w:t>règlementation</w:t>
      </w:r>
      <w:r w:rsidR="00DB1635" w:rsidRPr="00B004EE">
        <w:rPr>
          <w:rFonts w:ascii="Tahoma" w:hAnsi="Tahoma" w:cs="Tahoma"/>
          <w:bCs/>
          <w:sz w:val="20"/>
          <w:szCs w:val="20"/>
        </w:rPr>
        <w:t xml:space="preserve"> </w:t>
      </w:r>
      <w:r w:rsidRPr="00B004EE">
        <w:rPr>
          <w:rFonts w:ascii="Tahoma" w:hAnsi="Tahoma" w:cs="Tahoma"/>
          <w:bCs/>
          <w:sz w:val="20"/>
          <w:szCs w:val="20"/>
        </w:rPr>
        <w:t>des</w:t>
      </w:r>
      <w:r w:rsidR="00DB1635" w:rsidRPr="00B004EE">
        <w:rPr>
          <w:rFonts w:ascii="Tahoma" w:hAnsi="Tahoma" w:cs="Tahoma"/>
          <w:bCs/>
          <w:sz w:val="20"/>
          <w:szCs w:val="20"/>
        </w:rPr>
        <w:t xml:space="preserve"> </w:t>
      </w:r>
      <w:r w:rsidRPr="00B004EE">
        <w:rPr>
          <w:rFonts w:ascii="Tahoma" w:hAnsi="Tahoma" w:cs="Tahoma"/>
          <w:bCs/>
          <w:sz w:val="20"/>
          <w:szCs w:val="20"/>
        </w:rPr>
        <w:t>règles</w:t>
      </w:r>
      <w:r w:rsidR="00DB1635" w:rsidRPr="00B004EE">
        <w:rPr>
          <w:rFonts w:ascii="Tahoma" w:hAnsi="Tahoma" w:cs="Tahoma"/>
          <w:bCs/>
          <w:sz w:val="20"/>
          <w:szCs w:val="20"/>
        </w:rPr>
        <w:t xml:space="preserve"> </w:t>
      </w:r>
      <w:r w:rsidRPr="00B004EE">
        <w:rPr>
          <w:rFonts w:ascii="Tahoma" w:hAnsi="Tahoma" w:cs="Tahoma"/>
          <w:bCs/>
          <w:sz w:val="20"/>
          <w:szCs w:val="20"/>
        </w:rPr>
        <w:t>sanitaires</w:t>
      </w:r>
      <w:r w:rsidR="00DB1635" w:rsidRPr="00B004EE">
        <w:rPr>
          <w:rFonts w:ascii="Tahoma" w:hAnsi="Tahoma" w:cs="Tahoma"/>
          <w:bCs/>
          <w:sz w:val="20"/>
          <w:szCs w:val="20"/>
        </w:rPr>
        <w:t xml:space="preserve"> </w:t>
      </w:r>
      <w:r w:rsidRPr="00B004EE">
        <w:rPr>
          <w:rFonts w:ascii="Tahoma" w:hAnsi="Tahoma" w:cs="Tahoma"/>
          <w:bCs/>
          <w:sz w:val="20"/>
          <w:szCs w:val="20"/>
        </w:rPr>
        <w:t>applicables</w:t>
      </w:r>
      <w:r w:rsidR="00DB1635" w:rsidRPr="00B004EE">
        <w:rPr>
          <w:rFonts w:ascii="Tahoma" w:hAnsi="Tahoma" w:cs="Tahoma"/>
          <w:bCs/>
          <w:sz w:val="20"/>
          <w:szCs w:val="20"/>
        </w:rPr>
        <w:t xml:space="preserve"> </w:t>
      </w:r>
      <w:r w:rsidRPr="00B004EE">
        <w:rPr>
          <w:rFonts w:ascii="Tahoma" w:hAnsi="Tahoma" w:cs="Tahoma"/>
          <w:bCs/>
          <w:sz w:val="20"/>
          <w:szCs w:val="20"/>
        </w:rPr>
        <w:t>aux</w:t>
      </w:r>
      <w:r w:rsidR="00DB1635" w:rsidRPr="00B004EE">
        <w:rPr>
          <w:rFonts w:ascii="Tahoma" w:hAnsi="Tahoma" w:cs="Tahoma"/>
          <w:bCs/>
          <w:sz w:val="20"/>
          <w:szCs w:val="20"/>
        </w:rPr>
        <w:t xml:space="preserve"> </w:t>
      </w:r>
      <w:r w:rsidRPr="00B004EE">
        <w:rPr>
          <w:rFonts w:ascii="Tahoma" w:hAnsi="Tahoma" w:cs="Tahoma"/>
          <w:bCs/>
          <w:sz w:val="20"/>
          <w:szCs w:val="20"/>
        </w:rPr>
        <w:t>sous-produits</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pêche</w:t>
      </w:r>
      <w:r w:rsidR="00DB1635" w:rsidRPr="00B004EE">
        <w:rPr>
          <w:rFonts w:ascii="Tahoma" w:hAnsi="Tahoma" w:cs="Tahoma"/>
          <w:bCs/>
          <w:sz w:val="20"/>
          <w:szCs w:val="20"/>
        </w:rPr>
        <w:t xml:space="preserve"> </w:t>
      </w:r>
      <w:r w:rsidRPr="00B004EE">
        <w:rPr>
          <w:rFonts w:ascii="Tahoma" w:hAnsi="Tahoma" w:cs="Tahoma"/>
          <w:bCs/>
          <w:sz w:val="20"/>
          <w:szCs w:val="20"/>
        </w:rPr>
        <w:t>et</w:t>
      </w:r>
      <w:r w:rsidR="00DB1635" w:rsidRPr="00B004EE">
        <w:rPr>
          <w:rFonts w:ascii="Tahoma" w:hAnsi="Tahoma" w:cs="Tahoma"/>
          <w:bCs/>
          <w:sz w:val="20"/>
          <w:szCs w:val="20"/>
        </w:rPr>
        <w:t xml:space="preserve"> </w:t>
      </w:r>
      <w:r w:rsidRPr="00B004EE">
        <w:rPr>
          <w:rFonts w:ascii="Tahoma" w:hAnsi="Tahoma" w:cs="Tahoma"/>
          <w:bCs/>
          <w:sz w:val="20"/>
          <w:szCs w:val="20"/>
        </w:rPr>
        <w:t>produits</w:t>
      </w:r>
      <w:r w:rsidR="00DB1635" w:rsidRPr="00B004EE">
        <w:rPr>
          <w:rFonts w:ascii="Tahoma" w:hAnsi="Tahoma" w:cs="Tahoma"/>
          <w:bCs/>
          <w:sz w:val="20"/>
          <w:szCs w:val="20"/>
        </w:rPr>
        <w:t xml:space="preserve"> </w:t>
      </w:r>
      <w:r w:rsidRPr="00B004EE">
        <w:rPr>
          <w:rFonts w:ascii="Tahoma" w:hAnsi="Tahoma" w:cs="Tahoma"/>
          <w:bCs/>
          <w:sz w:val="20"/>
          <w:szCs w:val="20"/>
        </w:rPr>
        <w:t>dérives</w:t>
      </w:r>
      <w:r w:rsidR="00DB1635" w:rsidRPr="00B004EE">
        <w:rPr>
          <w:rFonts w:ascii="Tahoma" w:hAnsi="Tahoma" w:cs="Tahoma"/>
          <w:bCs/>
          <w:sz w:val="20"/>
          <w:szCs w:val="20"/>
        </w:rPr>
        <w:t xml:space="preserve"> </w:t>
      </w:r>
      <w:r w:rsidRPr="00B004EE">
        <w:rPr>
          <w:rFonts w:ascii="Tahoma" w:hAnsi="Tahoma" w:cs="Tahoma"/>
          <w:bCs/>
          <w:sz w:val="20"/>
          <w:szCs w:val="20"/>
        </w:rPr>
        <w:t>non</w:t>
      </w:r>
      <w:r w:rsidR="00DB1635" w:rsidRPr="00B004EE">
        <w:rPr>
          <w:rFonts w:ascii="Tahoma" w:hAnsi="Tahoma" w:cs="Tahoma"/>
          <w:bCs/>
          <w:sz w:val="20"/>
          <w:szCs w:val="20"/>
        </w:rPr>
        <w:t xml:space="preserve"> </w:t>
      </w:r>
      <w:r w:rsidRPr="00B004EE">
        <w:rPr>
          <w:rFonts w:ascii="Tahoma" w:hAnsi="Tahoma" w:cs="Tahoma"/>
          <w:bCs/>
          <w:sz w:val="20"/>
          <w:szCs w:val="20"/>
        </w:rPr>
        <w:t>destines</w:t>
      </w:r>
      <w:r w:rsidR="00DB1635" w:rsidRPr="00B004EE">
        <w:rPr>
          <w:rFonts w:ascii="Tahoma" w:hAnsi="Tahoma" w:cs="Tahoma"/>
          <w:bCs/>
          <w:sz w:val="20"/>
          <w:szCs w:val="20"/>
        </w:rPr>
        <w:t xml:space="preserve"> </w:t>
      </w:r>
      <w:r w:rsidRPr="00B004EE">
        <w:rPr>
          <w:rFonts w:ascii="Tahoma" w:hAnsi="Tahoma" w:cs="Tahoma"/>
          <w:bCs/>
          <w:sz w:val="20"/>
          <w:szCs w:val="20"/>
        </w:rPr>
        <w:t>à</w:t>
      </w:r>
      <w:r w:rsidR="00DB1635" w:rsidRPr="00B004EE">
        <w:rPr>
          <w:rFonts w:ascii="Tahoma" w:hAnsi="Tahoma" w:cs="Tahoma"/>
          <w:bCs/>
          <w:sz w:val="20"/>
          <w:szCs w:val="20"/>
        </w:rPr>
        <w:t xml:space="preserve"> </w:t>
      </w:r>
      <w:r w:rsidRPr="00B004EE">
        <w:rPr>
          <w:rFonts w:ascii="Tahoma" w:hAnsi="Tahoma" w:cs="Tahoma"/>
          <w:bCs/>
          <w:sz w:val="20"/>
          <w:szCs w:val="20"/>
        </w:rPr>
        <w:t>la</w:t>
      </w:r>
      <w:r w:rsidR="00DB1635" w:rsidRPr="00B004EE">
        <w:rPr>
          <w:rFonts w:ascii="Tahoma" w:hAnsi="Tahoma" w:cs="Tahoma"/>
          <w:bCs/>
          <w:sz w:val="20"/>
          <w:szCs w:val="20"/>
        </w:rPr>
        <w:t xml:space="preserve"> </w:t>
      </w:r>
      <w:r w:rsidRPr="00B004EE">
        <w:rPr>
          <w:rFonts w:ascii="Tahoma" w:hAnsi="Tahoma" w:cs="Tahoma"/>
          <w:bCs/>
          <w:sz w:val="20"/>
          <w:szCs w:val="20"/>
        </w:rPr>
        <w:t>consommation</w:t>
      </w:r>
      <w:r w:rsidR="00DB1635" w:rsidRPr="00B004EE">
        <w:rPr>
          <w:rFonts w:ascii="Tahoma" w:hAnsi="Tahoma" w:cs="Tahoma"/>
          <w:bCs/>
          <w:sz w:val="20"/>
          <w:szCs w:val="20"/>
        </w:rPr>
        <w:t xml:space="preserve"> </w:t>
      </w:r>
      <w:r w:rsidRPr="00B004EE">
        <w:rPr>
          <w:rFonts w:ascii="Tahoma" w:hAnsi="Tahoma" w:cs="Tahoma"/>
          <w:bCs/>
          <w:sz w:val="20"/>
          <w:szCs w:val="20"/>
        </w:rPr>
        <w:t>humaine,</w:t>
      </w:r>
      <w:r w:rsidR="00DB1635" w:rsidRPr="00B004EE">
        <w:rPr>
          <w:rFonts w:ascii="Tahoma" w:hAnsi="Tahoma" w:cs="Tahoma"/>
          <w:bCs/>
          <w:sz w:val="20"/>
          <w:szCs w:val="20"/>
        </w:rPr>
        <w:t xml:space="preserve"> </w:t>
      </w:r>
      <w:r w:rsidRPr="00B004EE">
        <w:rPr>
          <w:rFonts w:ascii="Tahoma" w:hAnsi="Tahoma" w:cs="Tahoma"/>
          <w:bCs/>
          <w:sz w:val="20"/>
          <w:szCs w:val="20"/>
        </w:rPr>
        <w:t>sont</w:t>
      </w:r>
      <w:r w:rsidR="00DB1635" w:rsidRPr="00B004EE">
        <w:rPr>
          <w:rFonts w:ascii="Tahoma" w:hAnsi="Tahoma" w:cs="Tahoma"/>
          <w:bCs/>
          <w:sz w:val="20"/>
          <w:szCs w:val="20"/>
        </w:rPr>
        <w:t xml:space="preserve"> </w:t>
      </w:r>
      <w:r w:rsidRPr="00B004EE">
        <w:rPr>
          <w:rFonts w:ascii="Tahoma" w:hAnsi="Tahoma" w:cs="Tahoma"/>
          <w:bCs/>
          <w:sz w:val="20"/>
          <w:szCs w:val="20"/>
        </w:rPr>
        <w:t>modifiées</w:t>
      </w:r>
      <w:r w:rsidR="00DB1635" w:rsidRPr="00B004EE">
        <w:rPr>
          <w:rFonts w:ascii="Tahoma" w:hAnsi="Tahoma" w:cs="Tahoma"/>
          <w:bCs/>
          <w:sz w:val="20"/>
          <w:szCs w:val="20"/>
        </w:rPr>
        <w:t xml:space="preserve"> </w:t>
      </w:r>
      <w:r w:rsidRPr="00B004EE">
        <w:rPr>
          <w:rFonts w:ascii="Tahoma" w:hAnsi="Tahoma" w:cs="Tahoma"/>
          <w:bCs/>
          <w:sz w:val="20"/>
          <w:szCs w:val="20"/>
        </w:rPr>
        <w:t>ainsi</w:t>
      </w:r>
      <w:r w:rsidR="00DB1635" w:rsidRPr="00B004EE">
        <w:rPr>
          <w:rFonts w:ascii="Tahoma" w:hAnsi="Tahoma" w:cs="Tahoma"/>
          <w:bCs/>
          <w:sz w:val="20"/>
          <w:szCs w:val="20"/>
        </w:rPr>
        <w:t xml:space="preserve"> </w:t>
      </w:r>
      <w:r w:rsidRPr="00B004EE">
        <w:rPr>
          <w:rFonts w:ascii="Tahoma" w:hAnsi="Tahoma" w:cs="Tahoma"/>
          <w:bCs/>
          <w:sz w:val="20"/>
          <w:szCs w:val="20"/>
        </w:rPr>
        <w:t>qu’il</w:t>
      </w:r>
      <w:r w:rsidR="00DB1635" w:rsidRPr="00B004EE">
        <w:rPr>
          <w:rFonts w:ascii="Tahoma" w:hAnsi="Tahoma" w:cs="Tahoma"/>
          <w:bCs/>
          <w:sz w:val="20"/>
          <w:szCs w:val="20"/>
        </w:rPr>
        <w:t xml:space="preserve"> </w:t>
      </w:r>
      <w:r w:rsidRPr="00B004EE">
        <w:rPr>
          <w:rFonts w:ascii="Tahoma" w:hAnsi="Tahoma" w:cs="Tahoma"/>
          <w:bCs/>
          <w:sz w:val="20"/>
          <w:szCs w:val="20"/>
        </w:rPr>
        <w:t>suit</w:t>
      </w:r>
      <w:r w:rsidR="00DB1635" w:rsidRPr="00B004EE">
        <w:rPr>
          <w:rFonts w:ascii="Tahoma" w:hAnsi="Tahoma" w:cs="Tahoma"/>
          <w:bCs/>
          <w:sz w:val="20"/>
          <w:szCs w:val="20"/>
        </w:rPr>
        <w:t xml:space="preserve"> </w:t>
      </w:r>
      <w:r w:rsidRPr="00B004EE">
        <w:rPr>
          <w:rFonts w:ascii="Tahoma" w:hAnsi="Tahoma" w:cs="Tahoma"/>
          <w:bCs/>
          <w:sz w:val="20"/>
          <w:szCs w:val="20"/>
        </w:rPr>
        <w:t>:</w:t>
      </w:r>
    </w:p>
    <w:p w14:paraId="59154F07" w14:textId="77777777" w:rsidR="002F24E1" w:rsidRPr="00B004EE" w:rsidRDefault="002F24E1" w:rsidP="00B004EE">
      <w:pPr>
        <w:ind w:right="225"/>
        <w:jc w:val="both"/>
        <w:rPr>
          <w:rFonts w:ascii="Tahoma" w:hAnsi="Tahoma" w:cs="Tahoma"/>
          <w:sz w:val="20"/>
          <w:szCs w:val="20"/>
        </w:rPr>
      </w:pPr>
    </w:p>
    <w:p w14:paraId="2185B27C" w14:textId="1207B3AA" w:rsidR="002F24E1" w:rsidRPr="00B004EE" w:rsidRDefault="002F24E1" w:rsidP="00B004EE">
      <w:pPr>
        <w:pStyle w:val="CM4"/>
        <w:spacing w:line="240" w:lineRule="auto"/>
        <w:jc w:val="both"/>
        <w:rPr>
          <w:rFonts w:ascii="Tahoma" w:hAnsi="Tahoma" w:cs="Tahoma"/>
          <w:sz w:val="20"/>
          <w:szCs w:val="20"/>
        </w:rPr>
      </w:pPr>
      <w:r w:rsidRPr="00B004EE">
        <w:rPr>
          <w:rFonts w:ascii="Tahoma" w:hAnsi="Tahoma" w:cs="Tahoma"/>
          <w:bCs/>
          <w:sz w:val="20"/>
          <w:szCs w:val="20"/>
        </w:rPr>
        <w:t>Article</w:t>
      </w:r>
      <w:r w:rsidR="00DB1635" w:rsidRPr="00B004EE">
        <w:rPr>
          <w:rFonts w:ascii="Tahoma" w:hAnsi="Tahoma" w:cs="Tahoma"/>
          <w:bCs/>
          <w:sz w:val="20"/>
          <w:szCs w:val="20"/>
        </w:rPr>
        <w:t xml:space="preserve"> </w:t>
      </w:r>
      <w:r w:rsidRPr="00B004EE">
        <w:rPr>
          <w:rFonts w:ascii="Tahoma" w:hAnsi="Tahoma" w:cs="Tahoma"/>
          <w:bCs/>
          <w:sz w:val="20"/>
          <w:szCs w:val="20"/>
        </w:rPr>
        <w:t>25</w:t>
      </w:r>
      <w:r w:rsidR="00DB1635" w:rsidRPr="00B004EE">
        <w:rPr>
          <w:rFonts w:ascii="Tahoma" w:hAnsi="Tahoma" w:cs="Tahoma"/>
          <w:bCs/>
          <w:sz w:val="20"/>
          <w:szCs w:val="20"/>
        </w:rPr>
        <w:t xml:space="preserve"> </w:t>
      </w:r>
      <w:r w:rsidRPr="00B004EE">
        <w:rPr>
          <w:rFonts w:ascii="Tahoma" w:hAnsi="Tahoma" w:cs="Tahoma"/>
          <w:bCs/>
          <w:sz w:val="20"/>
          <w:szCs w:val="20"/>
        </w:rPr>
        <w:t>(nouveau)</w:t>
      </w:r>
      <w:r w:rsidR="00DB1635" w:rsidRPr="00B004EE">
        <w:rPr>
          <w:rFonts w:ascii="Tahoma" w:hAnsi="Tahoma" w:cs="Tahoma"/>
          <w:b/>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issus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transformation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bCs/>
          <w:sz w:val="20"/>
          <w:szCs w:val="20"/>
        </w:rPr>
        <w:t>sous-produits</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pêche</w:t>
      </w:r>
      <w:r w:rsidR="00DB1635" w:rsidRPr="00B004EE">
        <w:rPr>
          <w:rFonts w:ascii="Tahoma" w:hAnsi="Tahoma" w:cs="Tahoma"/>
          <w:bCs/>
          <w:sz w:val="20"/>
          <w:szCs w:val="20"/>
        </w:rPr>
        <w:t xml:space="preserve"> </w:t>
      </w:r>
      <w:r w:rsidRPr="00B004EE">
        <w:rPr>
          <w:rFonts w:ascii="Tahoma" w:hAnsi="Tahoma" w:cs="Tahoma"/>
          <w:bCs/>
          <w:sz w:val="20"/>
          <w:szCs w:val="20"/>
        </w:rPr>
        <w:t>et</w:t>
      </w:r>
      <w:r w:rsidR="00DB1635" w:rsidRPr="00B004EE">
        <w:rPr>
          <w:rFonts w:ascii="Tahoma" w:hAnsi="Tahoma" w:cs="Tahoma"/>
          <w:bCs/>
          <w:sz w:val="20"/>
          <w:szCs w:val="20"/>
        </w:rPr>
        <w:t xml:space="preserve"> </w:t>
      </w:r>
      <w:r w:rsidRPr="00B004EE">
        <w:rPr>
          <w:rFonts w:ascii="Tahoma" w:hAnsi="Tahoma" w:cs="Tahoma"/>
          <w:bCs/>
          <w:sz w:val="20"/>
          <w:szCs w:val="20"/>
        </w:rPr>
        <w:t>produits</w:t>
      </w:r>
      <w:r w:rsidR="00DB1635" w:rsidRPr="00B004EE">
        <w:rPr>
          <w:rFonts w:ascii="Tahoma" w:hAnsi="Tahoma" w:cs="Tahoma"/>
          <w:bCs/>
          <w:sz w:val="20"/>
          <w:szCs w:val="20"/>
        </w:rPr>
        <w:t xml:space="preserve"> </w:t>
      </w:r>
      <w:r w:rsidRPr="00B004EE">
        <w:rPr>
          <w:rFonts w:ascii="Tahoma" w:hAnsi="Tahoma" w:cs="Tahoma"/>
          <w:bCs/>
          <w:sz w:val="20"/>
          <w:szCs w:val="20"/>
        </w:rPr>
        <w:t>dérives</w:t>
      </w:r>
      <w:r w:rsidR="00DB1635" w:rsidRPr="00B004EE">
        <w:rPr>
          <w:rFonts w:ascii="Tahoma" w:hAnsi="Tahoma" w:cs="Tahoma"/>
          <w:bCs/>
          <w:sz w:val="20"/>
          <w:szCs w:val="20"/>
        </w:rPr>
        <w:t xml:space="preserve"> </w:t>
      </w:r>
      <w:r w:rsidRPr="00B004EE">
        <w:rPr>
          <w:rFonts w:ascii="Tahoma" w:hAnsi="Tahoma" w:cs="Tahoma"/>
          <w:bCs/>
          <w:sz w:val="20"/>
          <w:szCs w:val="20"/>
        </w:rPr>
        <w:t>non</w:t>
      </w:r>
      <w:r w:rsidR="00DB1635" w:rsidRPr="00B004EE">
        <w:rPr>
          <w:rFonts w:ascii="Tahoma" w:hAnsi="Tahoma" w:cs="Tahoma"/>
          <w:bCs/>
          <w:sz w:val="20"/>
          <w:szCs w:val="20"/>
        </w:rPr>
        <w:t xml:space="preserve"> </w:t>
      </w:r>
      <w:r w:rsidRPr="00B004EE">
        <w:rPr>
          <w:rFonts w:ascii="Tahoma" w:hAnsi="Tahoma" w:cs="Tahoma"/>
          <w:bCs/>
          <w:sz w:val="20"/>
          <w:szCs w:val="20"/>
        </w:rPr>
        <w:t>destines</w:t>
      </w:r>
      <w:r w:rsidR="00DB1635" w:rsidRPr="00B004EE">
        <w:rPr>
          <w:rFonts w:ascii="Tahoma" w:hAnsi="Tahoma" w:cs="Tahoma"/>
          <w:bCs/>
          <w:sz w:val="20"/>
          <w:szCs w:val="20"/>
        </w:rPr>
        <w:t xml:space="preserve"> </w:t>
      </w:r>
      <w:r w:rsidRPr="00B004EE">
        <w:rPr>
          <w:rFonts w:ascii="Tahoma" w:hAnsi="Tahoma" w:cs="Tahoma"/>
          <w:bCs/>
          <w:sz w:val="20"/>
          <w:szCs w:val="20"/>
        </w:rPr>
        <w:t>à</w:t>
      </w:r>
      <w:r w:rsidR="00DB1635" w:rsidRPr="00B004EE">
        <w:rPr>
          <w:rFonts w:ascii="Tahoma" w:hAnsi="Tahoma" w:cs="Tahoma"/>
          <w:bCs/>
          <w:sz w:val="20"/>
          <w:szCs w:val="20"/>
        </w:rPr>
        <w:t xml:space="preserve"> </w:t>
      </w:r>
      <w:r w:rsidRPr="00B004EE">
        <w:rPr>
          <w:rFonts w:ascii="Tahoma" w:hAnsi="Tahoma" w:cs="Tahoma"/>
          <w:bCs/>
          <w:sz w:val="20"/>
          <w:szCs w:val="20"/>
        </w:rPr>
        <w:t>la</w:t>
      </w:r>
      <w:r w:rsidR="00DB1635" w:rsidRPr="00B004EE">
        <w:rPr>
          <w:rFonts w:ascii="Tahoma" w:hAnsi="Tahoma" w:cs="Tahoma"/>
          <w:bCs/>
          <w:sz w:val="20"/>
          <w:szCs w:val="20"/>
        </w:rPr>
        <w:t xml:space="preserve"> </w:t>
      </w:r>
      <w:r w:rsidRPr="00B004EE">
        <w:rPr>
          <w:rFonts w:ascii="Tahoma" w:hAnsi="Tahoma" w:cs="Tahoma"/>
          <w:bCs/>
          <w:sz w:val="20"/>
          <w:szCs w:val="20"/>
        </w:rPr>
        <w:t>consommation</w:t>
      </w:r>
      <w:r w:rsidR="00DB1635" w:rsidRPr="00B004EE">
        <w:rPr>
          <w:rFonts w:ascii="Tahoma" w:hAnsi="Tahoma" w:cs="Tahoma"/>
          <w:bCs/>
          <w:sz w:val="20"/>
          <w:szCs w:val="20"/>
        </w:rPr>
        <w:t xml:space="preserve"> </w:t>
      </w:r>
      <w:r w:rsidRPr="00B004EE">
        <w:rPr>
          <w:rFonts w:ascii="Tahoma" w:hAnsi="Tahoma" w:cs="Tahoma"/>
          <w:bCs/>
          <w:sz w:val="20"/>
          <w:szCs w:val="20"/>
        </w:rPr>
        <w:t>humaine</w:t>
      </w:r>
      <w:r w:rsidR="00DB1635" w:rsidRPr="00B004EE">
        <w:rPr>
          <w:rFonts w:ascii="Tahoma" w:hAnsi="Tahoma" w:cs="Tahoma"/>
          <w:sz w:val="20"/>
          <w:szCs w:val="20"/>
        </w:rPr>
        <w:t xml:space="preserve"> </w:t>
      </w:r>
      <w:r w:rsidRPr="00B004EE">
        <w:rPr>
          <w:rFonts w:ascii="Tahoma" w:hAnsi="Tahoma" w:cs="Tahoma"/>
          <w:sz w:val="20"/>
          <w:szCs w:val="20"/>
        </w:rPr>
        <w:t>doivent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conformes</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normes</w:t>
      </w:r>
      <w:r w:rsidR="00DB1635" w:rsidRPr="00B004EE">
        <w:rPr>
          <w:rFonts w:ascii="Tahoma" w:hAnsi="Tahoma" w:cs="Tahoma"/>
          <w:sz w:val="20"/>
          <w:szCs w:val="20"/>
        </w:rPr>
        <w:t xml:space="preserve"> </w:t>
      </w:r>
      <w:r w:rsidRPr="00B004EE">
        <w:rPr>
          <w:rFonts w:ascii="Tahoma" w:hAnsi="Tahoma" w:cs="Tahoma"/>
          <w:sz w:val="20"/>
          <w:szCs w:val="20"/>
        </w:rPr>
        <w:t>internationales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normes</w:t>
      </w:r>
      <w:r w:rsidR="00DB1635" w:rsidRPr="00B004EE">
        <w:rPr>
          <w:rFonts w:ascii="Tahoma" w:hAnsi="Tahoma" w:cs="Tahoma"/>
          <w:sz w:val="20"/>
          <w:szCs w:val="20"/>
        </w:rPr>
        <w:t xml:space="preserve"> </w:t>
      </w:r>
      <w:r w:rsidRPr="00B004EE">
        <w:rPr>
          <w:rFonts w:ascii="Tahoma" w:hAnsi="Tahoma" w:cs="Tahoma"/>
          <w:sz w:val="20"/>
          <w:szCs w:val="20"/>
        </w:rPr>
        <w:t>nationales,</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cas</w:t>
      </w:r>
      <w:r w:rsidR="00DB1635" w:rsidRPr="00B004EE">
        <w:rPr>
          <w:rFonts w:ascii="Tahoma" w:hAnsi="Tahoma" w:cs="Tahoma"/>
          <w:sz w:val="20"/>
          <w:szCs w:val="20"/>
        </w:rPr>
        <w:t xml:space="preserve"> </w:t>
      </w:r>
      <w:r w:rsidRPr="00B004EE">
        <w:rPr>
          <w:rFonts w:ascii="Tahoma" w:hAnsi="Tahoma" w:cs="Tahoma"/>
          <w:sz w:val="20"/>
          <w:szCs w:val="20"/>
        </w:rPr>
        <w:t>échéant.</w:t>
      </w:r>
    </w:p>
    <w:p w14:paraId="211D0AF4" w14:textId="77777777" w:rsidR="002F24E1" w:rsidRPr="00B004EE" w:rsidRDefault="002F24E1" w:rsidP="00B004EE">
      <w:pPr>
        <w:rPr>
          <w:rFonts w:ascii="Tahoma" w:hAnsi="Tahoma" w:cs="Tahoma"/>
          <w:sz w:val="20"/>
          <w:szCs w:val="20"/>
        </w:rPr>
      </w:pPr>
    </w:p>
    <w:p w14:paraId="7239E630" w14:textId="3D07C98E" w:rsidR="002F24E1" w:rsidRPr="00B004EE" w:rsidRDefault="002F24E1" w:rsidP="00420DDA">
      <w:pPr>
        <w:numPr>
          <w:ilvl w:val="0"/>
          <w:numId w:val="25"/>
        </w:numPr>
        <w:ind w:left="284" w:hanging="284"/>
        <w:jc w:val="both"/>
        <w:rPr>
          <w:rFonts w:ascii="Tahoma" w:hAnsi="Tahoma" w:cs="Tahoma"/>
          <w:sz w:val="20"/>
          <w:szCs w:val="20"/>
        </w:rPr>
      </w:pP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bCs/>
          <w:sz w:val="20"/>
          <w:szCs w:val="20"/>
        </w:rPr>
        <w:t>sous-produits</w:t>
      </w:r>
      <w:r w:rsidR="00DB1635" w:rsidRPr="00B004EE">
        <w:rPr>
          <w:rFonts w:ascii="Tahoma" w:hAnsi="Tahoma" w:cs="Tahoma"/>
          <w:bCs/>
          <w:sz w:val="20"/>
          <w:szCs w:val="20"/>
        </w:rPr>
        <w:t xml:space="preserve"> </w:t>
      </w:r>
      <w:r w:rsidRPr="00B004EE">
        <w:rPr>
          <w:rFonts w:ascii="Tahoma" w:hAnsi="Tahoma" w:cs="Tahoma"/>
          <w:bCs/>
          <w:sz w:val="20"/>
          <w:szCs w:val="20"/>
        </w:rPr>
        <w:t>de</w:t>
      </w:r>
      <w:r w:rsidR="00DB1635" w:rsidRPr="00B004EE">
        <w:rPr>
          <w:rFonts w:ascii="Tahoma" w:hAnsi="Tahoma" w:cs="Tahoma"/>
          <w:bCs/>
          <w:sz w:val="20"/>
          <w:szCs w:val="20"/>
        </w:rPr>
        <w:t xml:space="preserve"> </w:t>
      </w:r>
      <w:r w:rsidRPr="00B004EE">
        <w:rPr>
          <w:rFonts w:ascii="Tahoma" w:hAnsi="Tahoma" w:cs="Tahoma"/>
          <w:bCs/>
          <w:sz w:val="20"/>
          <w:szCs w:val="20"/>
        </w:rPr>
        <w:t>pêche</w:t>
      </w:r>
      <w:r w:rsidR="00DB1635" w:rsidRPr="00B004EE">
        <w:rPr>
          <w:rFonts w:ascii="Tahoma" w:hAnsi="Tahoma" w:cs="Tahoma"/>
          <w:bCs/>
          <w:sz w:val="20"/>
          <w:szCs w:val="20"/>
        </w:rPr>
        <w:t xml:space="preserve"> </w:t>
      </w:r>
      <w:r w:rsidRPr="00B004EE">
        <w:rPr>
          <w:rFonts w:ascii="Tahoma" w:hAnsi="Tahoma" w:cs="Tahoma"/>
          <w:bCs/>
          <w:sz w:val="20"/>
          <w:szCs w:val="20"/>
        </w:rPr>
        <w:t>et</w:t>
      </w:r>
      <w:r w:rsidR="00DB1635" w:rsidRPr="00B004EE">
        <w:rPr>
          <w:rFonts w:ascii="Tahoma" w:hAnsi="Tahoma" w:cs="Tahoma"/>
          <w:bCs/>
          <w:sz w:val="20"/>
          <w:szCs w:val="20"/>
        </w:rPr>
        <w:t xml:space="preserve"> </w:t>
      </w:r>
      <w:r w:rsidRPr="00B004EE">
        <w:rPr>
          <w:rFonts w:ascii="Tahoma" w:hAnsi="Tahoma" w:cs="Tahoma"/>
          <w:bCs/>
          <w:sz w:val="20"/>
          <w:szCs w:val="20"/>
        </w:rPr>
        <w:t>produits</w:t>
      </w:r>
      <w:r w:rsidR="00DB1635" w:rsidRPr="00B004EE">
        <w:rPr>
          <w:rFonts w:ascii="Tahoma" w:hAnsi="Tahoma" w:cs="Tahoma"/>
          <w:bCs/>
          <w:sz w:val="20"/>
          <w:szCs w:val="20"/>
        </w:rPr>
        <w:t xml:space="preserve"> </w:t>
      </w:r>
      <w:r w:rsidRPr="00B004EE">
        <w:rPr>
          <w:rFonts w:ascii="Tahoma" w:hAnsi="Tahoma" w:cs="Tahoma"/>
          <w:bCs/>
          <w:sz w:val="20"/>
          <w:szCs w:val="20"/>
        </w:rPr>
        <w:t>dérives</w:t>
      </w:r>
      <w:r w:rsidR="00DB1635" w:rsidRPr="00B004EE">
        <w:rPr>
          <w:rFonts w:ascii="Tahoma" w:hAnsi="Tahoma" w:cs="Tahoma"/>
          <w:bCs/>
          <w:sz w:val="20"/>
          <w:szCs w:val="20"/>
        </w:rPr>
        <w:t xml:space="preserve"> </w:t>
      </w:r>
      <w:r w:rsidRPr="00B004EE">
        <w:rPr>
          <w:rFonts w:ascii="Tahoma" w:hAnsi="Tahoma" w:cs="Tahoma"/>
          <w:sz w:val="20"/>
          <w:szCs w:val="20"/>
        </w:rPr>
        <w:t>doivent</w:t>
      </w:r>
      <w:r w:rsidR="00DB1635" w:rsidRPr="00B004EE">
        <w:rPr>
          <w:rFonts w:ascii="Tahoma" w:hAnsi="Tahoma" w:cs="Tahoma"/>
          <w:sz w:val="20"/>
          <w:szCs w:val="20"/>
        </w:rPr>
        <w:t xml:space="preserve"> </w:t>
      </w:r>
      <w:r w:rsidRPr="00B004EE">
        <w:rPr>
          <w:rFonts w:ascii="Tahoma" w:hAnsi="Tahoma" w:cs="Tahoma"/>
          <w:sz w:val="20"/>
          <w:szCs w:val="20"/>
        </w:rPr>
        <w:t>satisfaire</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normes</w:t>
      </w:r>
      <w:r w:rsidR="00DB1635" w:rsidRPr="00B004EE">
        <w:rPr>
          <w:rFonts w:ascii="Tahoma" w:hAnsi="Tahoma" w:cs="Tahoma"/>
          <w:sz w:val="20"/>
          <w:szCs w:val="20"/>
        </w:rPr>
        <w:t xml:space="preserve"> </w:t>
      </w:r>
      <w:r w:rsidRPr="00B004EE">
        <w:rPr>
          <w:rFonts w:ascii="Tahoma" w:hAnsi="Tahoma" w:cs="Tahoma"/>
          <w:sz w:val="20"/>
          <w:szCs w:val="20"/>
        </w:rPr>
        <w:t>microbiologiques</w:t>
      </w:r>
      <w:r w:rsidR="00DB1635" w:rsidRPr="00B004EE">
        <w:rPr>
          <w:rFonts w:ascii="Tahoma" w:hAnsi="Tahoma" w:cs="Tahoma"/>
          <w:sz w:val="20"/>
          <w:szCs w:val="20"/>
        </w:rPr>
        <w:t xml:space="preserve"> </w:t>
      </w:r>
      <w:r w:rsidRPr="00B004EE">
        <w:rPr>
          <w:rFonts w:ascii="Tahoma" w:hAnsi="Tahoma" w:cs="Tahoma"/>
          <w:sz w:val="20"/>
          <w:szCs w:val="20"/>
        </w:rPr>
        <w:t>suivantes</w:t>
      </w:r>
      <w:r w:rsidR="00DB1635" w:rsidRPr="00B004EE">
        <w:rPr>
          <w:rFonts w:ascii="Tahoma" w:hAnsi="Tahoma" w:cs="Tahoma"/>
          <w:sz w:val="20"/>
          <w:szCs w:val="20"/>
        </w:rPr>
        <w:t xml:space="preserve"> </w:t>
      </w:r>
      <w:r w:rsidRPr="00B004EE">
        <w:rPr>
          <w:rFonts w:ascii="Tahoma" w:hAnsi="Tahoma" w:cs="Tahoma"/>
          <w:sz w:val="20"/>
          <w:szCs w:val="20"/>
        </w:rPr>
        <w:t>:</w:t>
      </w:r>
    </w:p>
    <w:p w14:paraId="3240BE71" w14:textId="7509E7E7" w:rsidR="002F24E1" w:rsidRPr="00B004EE" w:rsidRDefault="002F24E1" w:rsidP="00420DDA">
      <w:pPr>
        <w:pStyle w:val="CM4"/>
        <w:widowControl/>
        <w:numPr>
          <w:ilvl w:val="0"/>
          <w:numId w:val="22"/>
        </w:numPr>
        <w:spacing w:line="240" w:lineRule="auto"/>
        <w:ind w:left="1133" w:hanging="425"/>
        <w:jc w:val="both"/>
        <w:rPr>
          <w:rFonts w:ascii="Tahoma" w:hAnsi="Tahoma" w:cs="Tahoma"/>
          <w:sz w:val="20"/>
          <w:szCs w:val="20"/>
        </w:rPr>
      </w:pP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échantillons</w:t>
      </w:r>
      <w:r w:rsidR="00DB1635" w:rsidRPr="00B004EE">
        <w:rPr>
          <w:rFonts w:ascii="Tahoma" w:hAnsi="Tahoma" w:cs="Tahoma"/>
          <w:sz w:val="20"/>
          <w:szCs w:val="20"/>
        </w:rPr>
        <w:t xml:space="preserve"> </w:t>
      </w:r>
      <w:r w:rsidRPr="00B004EE">
        <w:rPr>
          <w:rFonts w:ascii="Tahoma" w:hAnsi="Tahoma" w:cs="Tahoma"/>
          <w:sz w:val="20"/>
          <w:szCs w:val="20"/>
        </w:rPr>
        <w:t>prélevés</w:t>
      </w:r>
      <w:r w:rsidR="00DB1635" w:rsidRPr="00B004EE">
        <w:rPr>
          <w:rFonts w:ascii="Tahoma" w:hAnsi="Tahoma" w:cs="Tahoma"/>
          <w:sz w:val="20"/>
          <w:szCs w:val="20"/>
        </w:rPr>
        <w:t xml:space="preserve"> </w:t>
      </w:r>
      <w:r w:rsidRPr="00B004EE">
        <w:rPr>
          <w:rFonts w:ascii="Tahoma" w:hAnsi="Tahoma" w:cs="Tahoma"/>
          <w:sz w:val="20"/>
          <w:szCs w:val="20"/>
        </w:rPr>
        <w:t>directement</w:t>
      </w:r>
      <w:r w:rsidR="00DB1635" w:rsidRPr="00B004EE">
        <w:rPr>
          <w:rFonts w:ascii="Tahoma" w:hAnsi="Tahoma" w:cs="Tahoma"/>
          <w:sz w:val="20"/>
          <w:szCs w:val="20"/>
        </w:rPr>
        <w:t xml:space="preserve"> </w:t>
      </w:r>
      <w:r w:rsidRPr="00B004EE">
        <w:rPr>
          <w:rFonts w:ascii="Tahoma" w:hAnsi="Tahoma" w:cs="Tahoma"/>
          <w:sz w:val="20"/>
          <w:szCs w:val="20"/>
        </w:rPr>
        <w:t>après</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traitement</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p>
    <w:p w14:paraId="78D6CA64" w14:textId="0474A6B7" w:rsidR="002F24E1" w:rsidRPr="00B004EE" w:rsidRDefault="002F24E1" w:rsidP="00420DDA">
      <w:pPr>
        <w:pStyle w:val="CM4"/>
        <w:widowControl/>
        <w:numPr>
          <w:ilvl w:val="1"/>
          <w:numId w:val="23"/>
        </w:numPr>
        <w:spacing w:line="240" w:lineRule="auto"/>
        <w:ind w:left="1558"/>
        <w:jc w:val="both"/>
        <w:rPr>
          <w:rFonts w:ascii="Tahoma" w:hAnsi="Tahoma" w:cs="Tahoma"/>
          <w:sz w:val="20"/>
          <w:szCs w:val="20"/>
        </w:rPr>
      </w:pPr>
      <w:r w:rsidRPr="00B004EE">
        <w:rPr>
          <w:rFonts w:ascii="Tahoma" w:hAnsi="Tahoma" w:cs="Tahoma"/>
          <w:sz w:val="20"/>
          <w:szCs w:val="20"/>
        </w:rPr>
        <w:t>Clostridium</w:t>
      </w:r>
      <w:r w:rsidR="00DB1635" w:rsidRPr="00B004EE">
        <w:rPr>
          <w:rFonts w:ascii="Tahoma" w:hAnsi="Tahoma" w:cs="Tahoma"/>
          <w:sz w:val="20"/>
          <w:szCs w:val="20"/>
        </w:rPr>
        <w:t xml:space="preserve"> </w:t>
      </w:r>
      <w:r w:rsidRPr="00B004EE">
        <w:rPr>
          <w:rFonts w:ascii="Tahoma" w:hAnsi="Tahoma" w:cs="Tahoma"/>
          <w:sz w:val="20"/>
          <w:szCs w:val="20"/>
        </w:rPr>
        <w:t>perfringens</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absence</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1</w:t>
      </w:r>
      <w:r w:rsidR="00DB1635" w:rsidRPr="00B004EE">
        <w:rPr>
          <w:rFonts w:ascii="Tahoma" w:hAnsi="Tahoma" w:cs="Tahoma"/>
          <w:sz w:val="20"/>
          <w:szCs w:val="20"/>
        </w:rPr>
        <w:t xml:space="preserve"> </w:t>
      </w:r>
      <w:r w:rsidRPr="00B004EE">
        <w:rPr>
          <w:rFonts w:ascii="Tahoma" w:hAnsi="Tahoma" w:cs="Tahoma"/>
          <w:sz w:val="20"/>
          <w:szCs w:val="20"/>
        </w:rPr>
        <w:t>g</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produits,</w:t>
      </w:r>
    </w:p>
    <w:p w14:paraId="631F5A42" w14:textId="77777777" w:rsidR="002F24E1" w:rsidRPr="00B004EE" w:rsidRDefault="002F24E1" w:rsidP="00B004EE">
      <w:pPr>
        <w:pStyle w:val="CM4"/>
        <w:spacing w:line="240" w:lineRule="auto"/>
        <w:ind w:left="424"/>
        <w:jc w:val="both"/>
        <w:rPr>
          <w:rFonts w:ascii="Tahoma" w:hAnsi="Tahoma" w:cs="Tahoma"/>
          <w:sz w:val="20"/>
          <w:szCs w:val="20"/>
        </w:rPr>
      </w:pPr>
    </w:p>
    <w:p w14:paraId="44D68099" w14:textId="0F6DFC94" w:rsidR="002F24E1" w:rsidRPr="00B004EE" w:rsidRDefault="002F24E1" w:rsidP="00420DDA">
      <w:pPr>
        <w:pStyle w:val="CM4"/>
        <w:widowControl/>
        <w:numPr>
          <w:ilvl w:val="0"/>
          <w:numId w:val="22"/>
        </w:numPr>
        <w:spacing w:line="240" w:lineRule="auto"/>
        <w:ind w:left="1133" w:hanging="425"/>
        <w:jc w:val="both"/>
        <w:rPr>
          <w:rFonts w:ascii="Tahoma" w:hAnsi="Tahoma" w:cs="Tahoma"/>
          <w:sz w:val="20"/>
          <w:szCs w:val="20"/>
        </w:rPr>
      </w:pP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échantillons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sous-produits</w:t>
      </w:r>
      <w:r w:rsidR="00DB1635" w:rsidRPr="00B004EE">
        <w:rPr>
          <w:rFonts w:ascii="Tahoma" w:hAnsi="Tahoma" w:cs="Tahoma"/>
          <w:sz w:val="20"/>
          <w:szCs w:val="20"/>
        </w:rPr>
        <w:t xml:space="preserve"> </w:t>
      </w:r>
      <w:r w:rsidRPr="00B004EE">
        <w:rPr>
          <w:rFonts w:ascii="Tahoma" w:hAnsi="Tahoma" w:cs="Tahoma"/>
          <w:sz w:val="20"/>
          <w:szCs w:val="20"/>
        </w:rPr>
        <w:t>finaux</w:t>
      </w:r>
      <w:r w:rsidR="00DB1635" w:rsidRPr="00B004EE">
        <w:rPr>
          <w:rFonts w:ascii="Tahoma" w:hAnsi="Tahoma" w:cs="Tahoma"/>
          <w:sz w:val="20"/>
          <w:szCs w:val="20"/>
        </w:rPr>
        <w:t xml:space="preserve"> </w:t>
      </w:r>
      <w:r w:rsidRPr="00B004EE">
        <w:rPr>
          <w:rFonts w:ascii="Tahoma" w:hAnsi="Tahoma" w:cs="Tahoma"/>
          <w:sz w:val="20"/>
          <w:szCs w:val="20"/>
        </w:rPr>
        <w:t>prélevés</w:t>
      </w:r>
      <w:r w:rsidR="00DB1635" w:rsidRPr="00B004EE">
        <w:rPr>
          <w:rFonts w:ascii="Tahoma" w:hAnsi="Tahoma" w:cs="Tahoma"/>
          <w:sz w:val="20"/>
          <w:szCs w:val="20"/>
        </w:rPr>
        <w:t xml:space="preserve"> </w:t>
      </w:r>
      <w:r w:rsidRPr="00B004EE">
        <w:rPr>
          <w:rFonts w:ascii="Tahoma" w:hAnsi="Tahoma" w:cs="Tahoma"/>
          <w:sz w:val="20"/>
          <w:szCs w:val="20"/>
        </w:rPr>
        <w:t>pendant</w:t>
      </w:r>
      <w:r w:rsidR="00DB1635" w:rsidRPr="00B004EE">
        <w:rPr>
          <w:rFonts w:ascii="Tahoma" w:hAnsi="Tahoma" w:cs="Tahoma"/>
          <w:sz w:val="20"/>
          <w:szCs w:val="20"/>
        </w:rPr>
        <w:t xml:space="preserve"> </w:t>
      </w:r>
      <w:r w:rsidRPr="00B004EE">
        <w:rPr>
          <w:rFonts w:ascii="Tahoma" w:hAnsi="Tahoma" w:cs="Tahoma"/>
          <w:sz w:val="20"/>
          <w:szCs w:val="20"/>
        </w:rPr>
        <w:t>l’entreposage</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terme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celui-ci</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l’usine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transformation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sous-produits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bCs/>
          <w:sz w:val="20"/>
          <w:szCs w:val="20"/>
        </w:rPr>
        <w:t>et</w:t>
      </w:r>
      <w:r w:rsidR="00DB1635" w:rsidRPr="00B004EE">
        <w:rPr>
          <w:rFonts w:ascii="Tahoma" w:hAnsi="Tahoma" w:cs="Tahoma"/>
          <w:bCs/>
          <w:sz w:val="20"/>
          <w:szCs w:val="20"/>
        </w:rPr>
        <w:t xml:space="preserve"> </w:t>
      </w:r>
      <w:r w:rsidRPr="00B004EE">
        <w:rPr>
          <w:rFonts w:ascii="Tahoma" w:hAnsi="Tahoma" w:cs="Tahoma"/>
          <w:bCs/>
          <w:sz w:val="20"/>
          <w:szCs w:val="20"/>
        </w:rPr>
        <w:t>produits</w:t>
      </w:r>
      <w:r w:rsidR="00DB1635" w:rsidRPr="00B004EE">
        <w:rPr>
          <w:rFonts w:ascii="Tahoma" w:hAnsi="Tahoma" w:cs="Tahoma"/>
          <w:bCs/>
          <w:sz w:val="20"/>
          <w:szCs w:val="20"/>
        </w:rPr>
        <w:t xml:space="preserve"> </w:t>
      </w:r>
      <w:r w:rsidRPr="00B004EE">
        <w:rPr>
          <w:rFonts w:ascii="Tahoma" w:hAnsi="Tahoma" w:cs="Tahoma"/>
          <w:bCs/>
          <w:sz w:val="20"/>
          <w:szCs w:val="20"/>
        </w:rPr>
        <w:t>dérivés</w:t>
      </w:r>
      <w:r w:rsidR="00DB1635" w:rsidRPr="00B004EE">
        <w:rPr>
          <w:rFonts w:ascii="Tahoma" w:hAnsi="Tahoma" w:cs="Tahoma"/>
          <w:sz w:val="20"/>
          <w:szCs w:val="20"/>
        </w:rPr>
        <w:t xml:space="preserve"> </w:t>
      </w:r>
      <w:r w:rsidRPr="00B004EE">
        <w:rPr>
          <w:rFonts w:ascii="Tahoma" w:hAnsi="Tahoma" w:cs="Tahoma"/>
          <w:sz w:val="20"/>
          <w:szCs w:val="20"/>
        </w:rPr>
        <w:t>:</w:t>
      </w:r>
    </w:p>
    <w:p w14:paraId="741059A0" w14:textId="4702FB04" w:rsidR="002F24E1" w:rsidRPr="00B004EE" w:rsidRDefault="002F24E1" w:rsidP="00420DDA">
      <w:pPr>
        <w:pStyle w:val="CM4"/>
        <w:widowControl/>
        <w:numPr>
          <w:ilvl w:val="1"/>
          <w:numId w:val="23"/>
        </w:numPr>
        <w:spacing w:line="240" w:lineRule="auto"/>
        <w:ind w:left="1134"/>
        <w:jc w:val="both"/>
        <w:rPr>
          <w:rFonts w:ascii="Tahoma" w:hAnsi="Tahoma" w:cs="Tahoma"/>
          <w:sz w:val="20"/>
          <w:szCs w:val="20"/>
        </w:rPr>
      </w:pPr>
      <w:r w:rsidRPr="00B004EE">
        <w:rPr>
          <w:rFonts w:ascii="Tahoma" w:hAnsi="Tahoma" w:cs="Tahoma"/>
          <w:sz w:val="20"/>
          <w:szCs w:val="20"/>
        </w:rPr>
        <w:t>Salmonella</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absence</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25</w:t>
      </w:r>
      <w:r w:rsidR="00DB1635" w:rsidRPr="00B004EE">
        <w:rPr>
          <w:rFonts w:ascii="Tahoma" w:hAnsi="Tahoma" w:cs="Tahoma"/>
          <w:sz w:val="20"/>
          <w:szCs w:val="20"/>
        </w:rPr>
        <w:t xml:space="preserve"> </w:t>
      </w:r>
      <w:r w:rsidR="00127017" w:rsidRPr="00B004EE">
        <w:rPr>
          <w:rFonts w:ascii="Tahoma" w:hAnsi="Tahoma" w:cs="Tahoma"/>
          <w:sz w:val="20"/>
          <w:szCs w:val="20"/>
        </w:rPr>
        <w:t>g :</w:t>
      </w:r>
      <w:r w:rsidR="00DB1635" w:rsidRPr="00B004EE">
        <w:rPr>
          <w:rFonts w:ascii="Tahoma" w:hAnsi="Tahoma" w:cs="Tahoma"/>
          <w:sz w:val="20"/>
          <w:szCs w:val="20"/>
        </w:rPr>
        <w:t xml:space="preserve"> </w:t>
      </w:r>
      <w:r w:rsidRPr="00B004EE">
        <w:rPr>
          <w:rFonts w:ascii="Tahoma" w:hAnsi="Tahoma" w:cs="Tahoma"/>
          <w:sz w:val="20"/>
          <w:szCs w:val="20"/>
        </w:rPr>
        <w:t>n</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5,</w:t>
      </w:r>
      <w:r w:rsidR="00DB1635" w:rsidRPr="00B004EE">
        <w:rPr>
          <w:rFonts w:ascii="Tahoma" w:hAnsi="Tahoma" w:cs="Tahoma"/>
          <w:sz w:val="20"/>
          <w:szCs w:val="20"/>
        </w:rPr>
        <w:t xml:space="preserve"> </w:t>
      </w:r>
      <w:r w:rsidRPr="00B004EE">
        <w:rPr>
          <w:rFonts w:ascii="Tahoma" w:hAnsi="Tahoma" w:cs="Tahoma"/>
          <w:sz w:val="20"/>
          <w:szCs w:val="20"/>
        </w:rPr>
        <w:t>c</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0,</w:t>
      </w:r>
      <w:r w:rsidR="00DB1635" w:rsidRPr="00B004EE">
        <w:rPr>
          <w:rFonts w:ascii="Tahoma" w:hAnsi="Tahoma" w:cs="Tahoma"/>
          <w:sz w:val="20"/>
          <w:szCs w:val="20"/>
        </w:rPr>
        <w:t xml:space="preserve"> </w:t>
      </w:r>
      <w:r w:rsidRPr="00B004EE">
        <w:rPr>
          <w:rFonts w:ascii="Tahoma" w:hAnsi="Tahoma" w:cs="Tahoma"/>
          <w:sz w:val="20"/>
          <w:szCs w:val="20"/>
        </w:rPr>
        <w:t>m</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0,</w:t>
      </w:r>
      <w:r w:rsidR="00DB1635" w:rsidRPr="00B004EE">
        <w:rPr>
          <w:rFonts w:ascii="Tahoma" w:hAnsi="Tahoma" w:cs="Tahoma"/>
          <w:sz w:val="20"/>
          <w:szCs w:val="20"/>
        </w:rPr>
        <w:t xml:space="preserve"> </w:t>
      </w:r>
      <w:r w:rsidRPr="00B004EE">
        <w:rPr>
          <w:rFonts w:ascii="Tahoma" w:hAnsi="Tahoma" w:cs="Tahoma"/>
          <w:sz w:val="20"/>
          <w:szCs w:val="20"/>
        </w:rPr>
        <w:t>M</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0</w:t>
      </w:r>
      <w:r w:rsidR="00DB1635" w:rsidRPr="00B004EE">
        <w:rPr>
          <w:rFonts w:ascii="Tahoma" w:hAnsi="Tahoma" w:cs="Tahoma"/>
          <w:sz w:val="20"/>
          <w:szCs w:val="20"/>
        </w:rPr>
        <w:t xml:space="preserve"> </w:t>
      </w:r>
      <w:r w:rsidRPr="00B004EE">
        <w:rPr>
          <w:rFonts w:ascii="Tahoma" w:hAnsi="Tahoma" w:cs="Tahoma"/>
          <w:sz w:val="20"/>
          <w:szCs w:val="20"/>
        </w:rPr>
        <w:t>;</w:t>
      </w:r>
    </w:p>
    <w:p w14:paraId="324B4C7B" w14:textId="04E52D09" w:rsidR="002F24E1" w:rsidRPr="00B004EE" w:rsidRDefault="002F24E1" w:rsidP="00420DDA">
      <w:pPr>
        <w:pStyle w:val="CM4"/>
        <w:widowControl/>
        <w:numPr>
          <w:ilvl w:val="1"/>
          <w:numId w:val="23"/>
        </w:numPr>
        <w:spacing w:line="240" w:lineRule="auto"/>
        <w:ind w:left="1134"/>
        <w:jc w:val="both"/>
        <w:rPr>
          <w:rFonts w:ascii="Tahoma" w:hAnsi="Tahoma" w:cs="Tahoma"/>
          <w:sz w:val="20"/>
          <w:szCs w:val="20"/>
        </w:rPr>
      </w:pPr>
      <w:r w:rsidRPr="00B004EE">
        <w:rPr>
          <w:rFonts w:ascii="Tahoma" w:hAnsi="Tahoma" w:cs="Tahoma"/>
          <w:sz w:val="20"/>
          <w:szCs w:val="20"/>
        </w:rPr>
        <w:t>Enterobacteriaceae</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n</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5,</w:t>
      </w:r>
      <w:r w:rsidR="00DB1635" w:rsidRPr="00B004EE">
        <w:rPr>
          <w:rFonts w:ascii="Tahoma" w:hAnsi="Tahoma" w:cs="Tahoma"/>
          <w:sz w:val="20"/>
          <w:szCs w:val="20"/>
        </w:rPr>
        <w:t xml:space="preserve"> </w:t>
      </w:r>
      <w:r w:rsidRPr="00B004EE">
        <w:rPr>
          <w:rFonts w:ascii="Tahoma" w:hAnsi="Tahoma" w:cs="Tahoma"/>
          <w:sz w:val="20"/>
          <w:szCs w:val="20"/>
        </w:rPr>
        <w:t>c</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2,</w:t>
      </w:r>
      <w:r w:rsidR="00DB1635" w:rsidRPr="00B004EE">
        <w:rPr>
          <w:rFonts w:ascii="Tahoma" w:hAnsi="Tahoma" w:cs="Tahoma"/>
          <w:sz w:val="20"/>
          <w:szCs w:val="20"/>
        </w:rPr>
        <w:t xml:space="preserve"> </w:t>
      </w:r>
      <w:r w:rsidRPr="00B004EE">
        <w:rPr>
          <w:rFonts w:ascii="Tahoma" w:hAnsi="Tahoma" w:cs="Tahoma"/>
          <w:sz w:val="20"/>
          <w:szCs w:val="20"/>
        </w:rPr>
        <w:t>m</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10,</w:t>
      </w:r>
      <w:r w:rsidR="00DB1635" w:rsidRPr="00B004EE">
        <w:rPr>
          <w:rFonts w:ascii="Tahoma" w:hAnsi="Tahoma" w:cs="Tahoma"/>
          <w:sz w:val="20"/>
          <w:szCs w:val="20"/>
        </w:rPr>
        <w:t xml:space="preserve"> </w:t>
      </w:r>
      <w:r w:rsidRPr="00B004EE">
        <w:rPr>
          <w:rFonts w:ascii="Tahoma" w:hAnsi="Tahoma" w:cs="Tahoma"/>
          <w:sz w:val="20"/>
          <w:szCs w:val="20"/>
        </w:rPr>
        <w:t>M</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300</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1</w:t>
      </w:r>
      <w:r w:rsidR="00DB1635" w:rsidRPr="00B004EE">
        <w:rPr>
          <w:rFonts w:ascii="Tahoma" w:hAnsi="Tahoma" w:cs="Tahoma"/>
          <w:sz w:val="20"/>
          <w:szCs w:val="20"/>
        </w:rPr>
        <w:t xml:space="preserve"> </w:t>
      </w:r>
      <w:r w:rsidRPr="00B004EE">
        <w:rPr>
          <w:rFonts w:ascii="Tahoma" w:hAnsi="Tahoma" w:cs="Tahoma"/>
          <w:sz w:val="20"/>
          <w:szCs w:val="20"/>
        </w:rPr>
        <w:t>g.</w:t>
      </w:r>
    </w:p>
    <w:p w14:paraId="0DC1E02E" w14:textId="2112CF1F" w:rsidR="002F24E1" w:rsidRPr="00B004EE" w:rsidRDefault="002F24E1" w:rsidP="00B004EE">
      <w:pPr>
        <w:pStyle w:val="CM4"/>
        <w:spacing w:line="240" w:lineRule="auto"/>
        <w:jc w:val="both"/>
        <w:rPr>
          <w:rFonts w:ascii="Tahoma" w:hAnsi="Tahoma" w:cs="Tahoma"/>
          <w:sz w:val="20"/>
          <w:szCs w:val="20"/>
        </w:rPr>
      </w:pPr>
      <w:r w:rsidRPr="00B004EE">
        <w:rPr>
          <w:rFonts w:ascii="Tahoma" w:hAnsi="Tahoma" w:cs="Tahoma"/>
          <w:sz w:val="20"/>
          <w:szCs w:val="20"/>
        </w:rPr>
        <w:t>Où</w:t>
      </w:r>
      <w:r w:rsidR="00DB1635" w:rsidRPr="00B004EE">
        <w:rPr>
          <w:rFonts w:ascii="Tahoma" w:hAnsi="Tahoma" w:cs="Tahoma"/>
          <w:sz w:val="20"/>
          <w:szCs w:val="20"/>
        </w:rPr>
        <w:t xml:space="preserve"> </w:t>
      </w:r>
      <w:r w:rsidRPr="00B004EE">
        <w:rPr>
          <w:rFonts w:ascii="Tahoma" w:hAnsi="Tahoma" w:cs="Tahoma"/>
          <w:sz w:val="20"/>
          <w:szCs w:val="20"/>
        </w:rPr>
        <w:t>:</w:t>
      </w:r>
    </w:p>
    <w:p w14:paraId="61C201DA" w14:textId="6454F31A" w:rsidR="002F24E1" w:rsidRPr="00B004EE" w:rsidRDefault="002F24E1" w:rsidP="00420DDA">
      <w:pPr>
        <w:pStyle w:val="CM4"/>
        <w:widowControl/>
        <w:numPr>
          <w:ilvl w:val="0"/>
          <w:numId w:val="24"/>
        </w:numPr>
        <w:spacing w:line="240" w:lineRule="auto"/>
        <w:ind w:left="426" w:hanging="142"/>
        <w:jc w:val="both"/>
        <w:rPr>
          <w:rFonts w:ascii="Tahoma" w:hAnsi="Tahoma" w:cs="Tahoma"/>
          <w:sz w:val="20"/>
          <w:szCs w:val="20"/>
        </w:rPr>
      </w:pPr>
      <w:proofErr w:type="gramStart"/>
      <w:r w:rsidRPr="00B004EE">
        <w:rPr>
          <w:rFonts w:ascii="Tahoma" w:hAnsi="Tahoma" w:cs="Tahoma"/>
          <w:sz w:val="20"/>
          <w:szCs w:val="20"/>
        </w:rPr>
        <w:t>n</w:t>
      </w:r>
      <w:proofErr w:type="gramEnd"/>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nombre</w:t>
      </w:r>
      <w:r w:rsidR="00DB1635" w:rsidRPr="00B004EE">
        <w:rPr>
          <w:rFonts w:ascii="Tahoma" w:hAnsi="Tahoma" w:cs="Tahoma"/>
          <w:sz w:val="20"/>
          <w:szCs w:val="20"/>
        </w:rPr>
        <w:t xml:space="preserve"> </w:t>
      </w:r>
      <w:r w:rsidRPr="00B004EE">
        <w:rPr>
          <w:rFonts w:ascii="Tahoma" w:hAnsi="Tahoma" w:cs="Tahoma"/>
          <w:sz w:val="20"/>
          <w:szCs w:val="20"/>
        </w:rPr>
        <w:t>d’échantillons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tester,</w:t>
      </w:r>
      <w:r w:rsidR="00DB1635" w:rsidRPr="00B004EE">
        <w:rPr>
          <w:rFonts w:ascii="Tahoma" w:hAnsi="Tahoma" w:cs="Tahoma"/>
          <w:sz w:val="20"/>
          <w:szCs w:val="20"/>
        </w:rPr>
        <w:t xml:space="preserve"> </w:t>
      </w:r>
    </w:p>
    <w:p w14:paraId="6ACDEA6D" w14:textId="34C59928" w:rsidR="002F24E1" w:rsidRPr="00B004EE" w:rsidRDefault="002F24E1" w:rsidP="00420DDA">
      <w:pPr>
        <w:pStyle w:val="CM4"/>
        <w:widowControl/>
        <w:numPr>
          <w:ilvl w:val="0"/>
          <w:numId w:val="24"/>
        </w:numPr>
        <w:spacing w:line="240" w:lineRule="auto"/>
        <w:ind w:left="426" w:hanging="142"/>
        <w:jc w:val="both"/>
        <w:rPr>
          <w:rFonts w:ascii="Tahoma" w:hAnsi="Tahoma" w:cs="Tahoma"/>
          <w:sz w:val="20"/>
          <w:szCs w:val="20"/>
        </w:rPr>
      </w:pPr>
      <w:proofErr w:type="gramStart"/>
      <w:r w:rsidRPr="00B004EE">
        <w:rPr>
          <w:rFonts w:ascii="Tahoma" w:hAnsi="Tahoma" w:cs="Tahoma"/>
          <w:sz w:val="20"/>
          <w:szCs w:val="20"/>
        </w:rPr>
        <w:t>m</w:t>
      </w:r>
      <w:proofErr w:type="gramEnd"/>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valeur-seuil</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nombre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bactéries.</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résultat</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considéré</w:t>
      </w:r>
      <w:r w:rsidR="00DB1635" w:rsidRPr="00B004EE">
        <w:rPr>
          <w:rFonts w:ascii="Tahoma" w:hAnsi="Tahoma" w:cs="Tahoma"/>
          <w:sz w:val="20"/>
          <w:szCs w:val="20"/>
        </w:rPr>
        <w:t xml:space="preserve"> </w:t>
      </w:r>
      <w:r w:rsidRPr="00B004EE">
        <w:rPr>
          <w:rFonts w:ascii="Tahoma" w:hAnsi="Tahoma" w:cs="Tahoma"/>
          <w:sz w:val="20"/>
          <w:szCs w:val="20"/>
        </w:rPr>
        <w:t>comme</w:t>
      </w:r>
      <w:r w:rsidR="00DB1635" w:rsidRPr="00B004EE">
        <w:rPr>
          <w:rFonts w:ascii="Tahoma" w:hAnsi="Tahoma" w:cs="Tahoma"/>
          <w:sz w:val="20"/>
          <w:szCs w:val="20"/>
        </w:rPr>
        <w:t xml:space="preserve"> </w:t>
      </w:r>
      <w:r w:rsidRPr="00B004EE">
        <w:rPr>
          <w:rFonts w:ascii="Tahoma" w:hAnsi="Tahoma" w:cs="Tahoma"/>
          <w:sz w:val="20"/>
          <w:szCs w:val="20"/>
        </w:rPr>
        <w:t>satisfaisant</w:t>
      </w:r>
      <w:r w:rsidR="00DB1635" w:rsidRPr="00B004EE">
        <w:rPr>
          <w:rFonts w:ascii="Tahoma" w:hAnsi="Tahoma" w:cs="Tahoma"/>
          <w:sz w:val="20"/>
          <w:szCs w:val="20"/>
        </w:rPr>
        <w:t xml:space="preserve"> </w:t>
      </w:r>
      <w:r w:rsidRPr="00B004EE">
        <w:rPr>
          <w:rFonts w:ascii="Tahoma" w:hAnsi="Tahoma" w:cs="Tahoma"/>
          <w:sz w:val="20"/>
          <w:szCs w:val="20"/>
        </w:rPr>
        <w:t>si</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nombre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bactéries</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totalité</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échantillons</w:t>
      </w:r>
      <w:r w:rsidR="00DB1635" w:rsidRPr="00B004EE">
        <w:rPr>
          <w:rFonts w:ascii="Tahoma" w:hAnsi="Tahoma" w:cs="Tahoma"/>
          <w:sz w:val="20"/>
          <w:szCs w:val="20"/>
        </w:rPr>
        <w:t xml:space="preserve"> </w:t>
      </w:r>
      <w:r w:rsidRPr="00B004EE">
        <w:rPr>
          <w:rFonts w:ascii="Tahoma" w:hAnsi="Tahoma" w:cs="Tahoma"/>
          <w:sz w:val="20"/>
          <w:szCs w:val="20"/>
        </w:rPr>
        <w:t>n’excède</w:t>
      </w:r>
      <w:r w:rsidR="00DB1635" w:rsidRPr="00B004EE">
        <w:rPr>
          <w:rFonts w:ascii="Tahoma" w:hAnsi="Tahoma" w:cs="Tahoma"/>
          <w:sz w:val="20"/>
          <w:szCs w:val="20"/>
        </w:rPr>
        <w:t xml:space="preserve"> </w:t>
      </w:r>
      <w:r w:rsidRPr="00B004EE">
        <w:rPr>
          <w:rFonts w:ascii="Tahoma" w:hAnsi="Tahoma" w:cs="Tahoma"/>
          <w:sz w:val="20"/>
          <w:szCs w:val="20"/>
        </w:rPr>
        <w:t>pas</w:t>
      </w:r>
      <w:r w:rsidR="00DB1635" w:rsidRPr="00B004EE">
        <w:rPr>
          <w:rFonts w:ascii="Tahoma" w:hAnsi="Tahoma" w:cs="Tahoma"/>
          <w:sz w:val="20"/>
          <w:szCs w:val="20"/>
        </w:rPr>
        <w:t xml:space="preserve"> </w:t>
      </w:r>
      <w:r w:rsidRPr="00B004EE">
        <w:rPr>
          <w:rFonts w:ascii="Tahoma" w:hAnsi="Tahoma" w:cs="Tahoma"/>
          <w:sz w:val="20"/>
          <w:szCs w:val="20"/>
        </w:rPr>
        <w:t>m,</w:t>
      </w:r>
      <w:r w:rsidR="00DB1635" w:rsidRPr="00B004EE">
        <w:rPr>
          <w:rFonts w:ascii="Tahoma" w:hAnsi="Tahoma" w:cs="Tahoma"/>
          <w:sz w:val="20"/>
          <w:szCs w:val="20"/>
        </w:rPr>
        <w:t xml:space="preserve"> </w:t>
      </w:r>
    </w:p>
    <w:p w14:paraId="78A73674" w14:textId="1C58ECF6" w:rsidR="002F24E1" w:rsidRPr="00B004EE" w:rsidRDefault="002F24E1" w:rsidP="00420DDA">
      <w:pPr>
        <w:pStyle w:val="CM4"/>
        <w:widowControl/>
        <w:numPr>
          <w:ilvl w:val="0"/>
          <w:numId w:val="24"/>
        </w:numPr>
        <w:spacing w:line="240" w:lineRule="auto"/>
        <w:ind w:left="426" w:hanging="142"/>
        <w:jc w:val="both"/>
        <w:rPr>
          <w:rFonts w:ascii="Tahoma" w:hAnsi="Tahoma" w:cs="Tahoma"/>
          <w:sz w:val="20"/>
          <w:szCs w:val="20"/>
        </w:rPr>
      </w:pPr>
      <w:r w:rsidRPr="00B004EE">
        <w:rPr>
          <w:rFonts w:ascii="Tahoma" w:hAnsi="Tahoma" w:cs="Tahoma"/>
          <w:sz w:val="20"/>
          <w:szCs w:val="20"/>
        </w:rPr>
        <w:t>M</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valeur</w:t>
      </w:r>
      <w:r w:rsidR="00DB1635" w:rsidRPr="00B004EE">
        <w:rPr>
          <w:rFonts w:ascii="Tahoma" w:hAnsi="Tahoma" w:cs="Tahoma"/>
          <w:sz w:val="20"/>
          <w:szCs w:val="20"/>
        </w:rPr>
        <w:t xml:space="preserve"> </w:t>
      </w:r>
      <w:r w:rsidRPr="00B004EE">
        <w:rPr>
          <w:rFonts w:ascii="Tahoma" w:hAnsi="Tahoma" w:cs="Tahoma"/>
          <w:sz w:val="20"/>
          <w:szCs w:val="20"/>
        </w:rPr>
        <w:t>maximale</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nombre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bactéries.</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résultat</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considéré</w:t>
      </w:r>
      <w:r w:rsidR="00DB1635" w:rsidRPr="00B004EE">
        <w:rPr>
          <w:rFonts w:ascii="Tahoma" w:hAnsi="Tahoma" w:cs="Tahoma"/>
          <w:sz w:val="20"/>
          <w:szCs w:val="20"/>
        </w:rPr>
        <w:t xml:space="preserve"> </w:t>
      </w:r>
      <w:r w:rsidRPr="00B004EE">
        <w:rPr>
          <w:rFonts w:ascii="Tahoma" w:hAnsi="Tahoma" w:cs="Tahoma"/>
          <w:sz w:val="20"/>
          <w:szCs w:val="20"/>
        </w:rPr>
        <w:t>comme</w:t>
      </w:r>
      <w:r w:rsidR="00DB1635" w:rsidRPr="00B004EE">
        <w:rPr>
          <w:rFonts w:ascii="Tahoma" w:hAnsi="Tahoma" w:cs="Tahoma"/>
          <w:sz w:val="20"/>
          <w:szCs w:val="20"/>
        </w:rPr>
        <w:t xml:space="preserve"> </w:t>
      </w:r>
      <w:r w:rsidRPr="00B004EE">
        <w:rPr>
          <w:rFonts w:ascii="Tahoma" w:hAnsi="Tahoma" w:cs="Tahoma"/>
          <w:sz w:val="20"/>
          <w:szCs w:val="20"/>
        </w:rPr>
        <w:t>non</w:t>
      </w:r>
      <w:r w:rsidR="00DB1635" w:rsidRPr="00B004EE">
        <w:rPr>
          <w:rFonts w:ascii="Tahoma" w:hAnsi="Tahoma" w:cs="Tahoma"/>
          <w:sz w:val="20"/>
          <w:szCs w:val="20"/>
        </w:rPr>
        <w:t xml:space="preserve"> </w:t>
      </w:r>
      <w:r w:rsidRPr="00B004EE">
        <w:rPr>
          <w:rFonts w:ascii="Tahoma" w:hAnsi="Tahoma" w:cs="Tahoma"/>
          <w:sz w:val="20"/>
          <w:szCs w:val="20"/>
        </w:rPr>
        <w:t>satisfaisant</w:t>
      </w:r>
      <w:r w:rsidR="00DB1635" w:rsidRPr="00B004EE">
        <w:rPr>
          <w:rFonts w:ascii="Tahoma" w:hAnsi="Tahoma" w:cs="Tahoma"/>
          <w:sz w:val="20"/>
          <w:szCs w:val="20"/>
        </w:rPr>
        <w:t xml:space="preserve"> </w:t>
      </w:r>
      <w:r w:rsidRPr="00B004EE">
        <w:rPr>
          <w:rFonts w:ascii="Tahoma" w:hAnsi="Tahoma" w:cs="Tahoma"/>
          <w:sz w:val="20"/>
          <w:szCs w:val="20"/>
        </w:rPr>
        <w:t>si</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nombre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bactéries</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plusieurs</w:t>
      </w:r>
      <w:r w:rsidR="00DB1635" w:rsidRPr="00B004EE">
        <w:rPr>
          <w:rFonts w:ascii="Tahoma" w:hAnsi="Tahoma" w:cs="Tahoma"/>
          <w:sz w:val="20"/>
          <w:szCs w:val="20"/>
        </w:rPr>
        <w:t xml:space="preserve"> </w:t>
      </w:r>
      <w:r w:rsidRPr="00B004EE">
        <w:rPr>
          <w:rFonts w:ascii="Tahoma" w:hAnsi="Tahoma" w:cs="Tahoma"/>
          <w:sz w:val="20"/>
          <w:szCs w:val="20"/>
        </w:rPr>
        <w:t>échantillons</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supérieur</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égal</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M,</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p>
    <w:p w14:paraId="41E0FED8" w14:textId="2D5F41AC" w:rsidR="002F24E1" w:rsidRPr="00B004EE" w:rsidRDefault="002F24E1" w:rsidP="00420DDA">
      <w:pPr>
        <w:pStyle w:val="CM4"/>
        <w:widowControl/>
        <w:numPr>
          <w:ilvl w:val="0"/>
          <w:numId w:val="24"/>
        </w:numPr>
        <w:spacing w:line="240" w:lineRule="auto"/>
        <w:ind w:left="426" w:hanging="142"/>
        <w:jc w:val="both"/>
        <w:rPr>
          <w:rFonts w:ascii="Tahoma" w:hAnsi="Tahoma" w:cs="Tahoma"/>
          <w:sz w:val="20"/>
          <w:szCs w:val="20"/>
        </w:rPr>
      </w:pPr>
      <w:proofErr w:type="gramStart"/>
      <w:r w:rsidRPr="00B004EE">
        <w:rPr>
          <w:rFonts w:ascii="Tahoma" w:hAnsi="Tahoma" w:cs="Tahoma"/>
          <w:sz w:val="20"/>
          <w:szCs w:val="20"/>
        </w:rPr>
        <w:t>c</w:t>
      </w:r>
      <w:proofErr w:type="gramEnd"/>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nombre</w:t>
      </w:r>
      <w:r w:rsidR="00DB1635" w:rsidRPr="00B004EE">
        <w:rPr>
          <w:rFonts w:ascii="Tahoma" w:hAnsi="Tahoma" w:cs="Tahoma"/>
          <w:sz w:val="20"/>
          <w:szCs w:val="20"/>
        </w:rPr>
        <w:t xml:space="preserve"> </w:t>
      </w:r>
      <w:r w:rsidRPr="00B004EE">
        <w:rPr>
          <w:rFonts w:ascii="Tahoma" w:hAnsi="Tahoma" w:cs="Tahoma"/>
          <w:sz w:val="20"/>
          <w:szCs w:val="20"/>
        </w:rPr>
        <w:t>d’échantillons</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lesquels</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nombre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bactéries</w:t>
      </w:r>
      <w:r w:rsidR="00DB1635" w:rsidRPr="00B004EE">
        <w:rPr>
          <w:rFonts w:ascii="Tahoma" w:hAnsi="Tahoma" w:cs="Tahoma"/>
          <w:sz w:val="20"/>
          <w:szCs w:val="20"/>
        </w:rPr>
        <w:t xml:space="preserve"> </w:t>
      </w:r>
      <w:r w:rsidRPr="00B004EE">
        <w:rPr>
          <w:rFonts w:ascii="Tahoma" w:hAnsi="Tahoma" w:cs="Tahoma"/>
          <w:sz w:val="20"/>
          <w:szCs w:val="20"/>
        </w:rPr>
        <w:t>peut</w:t>
      </w:r>
      <w:r w:rsidR="00DB1635" w:rsidRPr="00B004EE">
        <w:rPr>
          <w:rFonts w:ascii="Tahoma" w:hAnsi="Tahoma" w:cs="Tahoma"/>
          <w:sz w:val="20"/>
          <w:szCs w:val="20"/>
        </w:rPr>
        <w:t xml:space="preserve"> </w:t>
      </w:r>
      <w:r w:rsidRPr="00B004EE">
        <w:rPr>
          <w:rFonts w:ascii="Tahoma" w:hAnsi="Tahoma" w:cs="Tahoma"/>
          <w:sz w:val="20"/>
          <w:szCs w:val="20"/>
        </w:rPr>
        <w:t>se</w:t>
      </w:r>
      <w:r w:rsidR="00DB1635" w:rsidRPr="00B004EE">
        <w:rPr>
          <w:rFonts w:ascii="Tahoma" w:hAnsi="Tahoma" w:cs="Tahoma"/>
          <w:sz w:val="20"/>
          <w:szCs w:val="20"/>
        </w:rPr>
        <w:t xml:space="preserve"> </w:t>
      </w:r>
      <w:r w:rsidRPr="00B004EE">
        <w:rPr>
          <w:rFonts w:ascii="Tahoma" w:hAnsi="Tahoma" w:cs="Tahoma"/>
          <w:sz w:val="20"/>
          <w:szCs w:val="20"/>
        </w:rPr>
        <w:t>situer</w:t>
      </w:r>
      <w:r w:rsidR="00DB1635" w:rsidRPr="00B004EE">
        <w:rPr>
          <w:rFonts w:ascii="Tahoma" w:hAnsi="Tahoma" w:cs="Tahoma"/>
          <w:sz w:val="20"/>
          <w:szCs w:val="20"/>
        </w:rPr>
        <w:t xml:space="preserve"> </w:t>
      </w:r>
      <w:r w:rsidRPr="00B004EE">
        <w:rPr>
          <w:rFonts w:ascii="Tahoma" w:hAnsi="Tahoma" w:cs="Tahoma"/>
          <w:sz w:val="20"/>
          <w:szCs w:val="20"/>
        </w:rPr>
        <w:t>entre</w:t>
      </w:r>
      <w:r w:rsidR="00DB1635" w:rsidRPr="00B004EE">
        <w:rPr>
          <w:rFonts w:ascii="Tahoma" w:hAnsi="Tahoma" w:cs="Tahoma"/>
          <w:sz w:val="20"/>
          <w:szCs w:val="20"/>
        </w:rPr>
        <w:t xml:space="preserve"> </w:t>
      </w:r>
      <w:r w:rsidRPr="00B004EE">
        <w:rPr>
          <w:rFonts w:ascii="Tahoma" w:hAnsi="Tahoma" w:cs="Tahoma"/>
          <w:sz w:val="20"/>
          <w:szCs w:val="20"/>
        </w:rPr>
        <w:t>m</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M,</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échantillons</w:t>
      </w:r>
      <w:r w:rsidR="00DB1635" w:rsidRPr="00B004EE">
        <w:rPr>
          <w:rFonts w:ascii="Tahoma" w:hAnsi="Tahoma" w:cs="Tahoma"/>
          <w:sz w:val="20"/>
          <w:szCs w:val="20"/>
        </w:rPr>
        <w:t xml:space="preserve"> </w:t>
      </w:r>
      <w:r w:rsidRPr="00B004EE">
        <w:rPr>
          <w:rFonts w:ascii="Tahoma" w:hAnsi="Tahoma" w:cs="Tahoma"/>
          <w:sz w:val="20"/>
          <w:szCs w:val="20"/>
        </w:rPr>
        <w:t>étant</w:t>
      </w:r>
      <w:r w:rsidR="00DB1635" w:rsidRPr="00B004EE">
        <w:rPr>
          <w:rFonts w:ascii="Tahoma" w:hAnsi="Tahoma" w:cs="Tahoma"/>
          <w:sz w:val="20"/>
          <w:szCs w:val="20"/>
        </w:rPr>
        <w:t xml:space="preserve"> </w:t>
      </w:r>
      <w:r w:rsidRPr="00B004EE">
        <w:rPr>
          <w:rFonts w:ascii="Tahoma" w:hAnsi="Tahoma" w:cs="Tahoma"/>
          <w:sz w:val="20"/>
          <w:szCs w:val="20"/>
        </w:rPr>
        <w:t>toujours</w:t>
      </w:r>
      <w:r w:rsidR="00DB1635" w:rsidRPr="00B004EE">
        <w:rPr>
          <w:rFonts w:ascii="Tahoma" w:hAnsi="Tahoma" w:cs="Tahoma"/>
          <w:sz w:val="20"/>
          <w:szCs w:val="20"/>
        </w:rPr>
        <w:t xml:space="preserve"> </w:t>
      </w:r>
      <w:r w:rsidRPr="00B004EE">
        <w:rPr>
          <w:rFonts w:ascii="Tahoma" w:hAnsi="Tahoma" w:cs="Tahoma"/>
          <w:sz w:val="20"/>
          <w:szCs w:val="20"/>
        </w:rPr>
        <w:t>considérés</w:t>
      </w:r>
      <w:r w:rsidR="00DB1635" w:rsidRPr="00B004EE">
        <w:rPr>
          <w:rFonts w:ascii="Tahoma" w:hAnsi="Tahoma" w:cs="Tahoma"/>
          <w:sz w:val="20"/>
          <w:szCs w:val="20"/>
        </w:rPr>
        <w:t xml:space="preserve"> </w:t>
      </w:r>
      <w:r w:rsidRPr="00B004EE">
        <w:rPr>
          <w:rFonts w:ascii="Tahoma" w:hAnsi="Tahoma" w:cs="Tahoma"/>
          <w:sz w:val="20"/>
          <w:szCs w:val="20"/>
        </w:rPr>
        <w:t>comme</w:t>
      </w:r>
      <w:r w:rsidR="00DB1635" w:rsidRPr="00B004EE">
        <w:rPr>
          <w:rFonts w:ascii="Tahoma" w:hAnsi="Tahoma" w:cs="Tahoma"/>
          <w:sz w:val="20"/>
          <w:szCs w:val="20"/>
        </w:rPr>
        <w:t xml:space="preserve"> </w:t>
      </w:r>
      <w:r w:rsidRPr="00B004EE">
        <w:rPr>
          <w:rFonts w:ascii="Tahoma" w:hAnsi="Tahoma" w:cs="Tahoma"/>
          <w:sz w:val="20"/>
          <w:szCs w:val="20"/>
        </w:rPr>
        <w:t>acceptables</w:t>
      </w:r>
      <w:r w:rsidR="00DB1635" w:rsidRPr="00B004EE">
        <w:rPr>
          <w:rFonts w:ascii="Tahoma" w:hAnsi="Tahoma" w:cs="Tahoma"/>
          <w:sz w:val="20"/>
          <w:szCs w:val="20"/>
        </w:rPr>
        <w:t xml:space="preserve"> </w:t>
      </w:r>
      <w:r w:rsidRPr="00B004EE">
        <w:rPr>
          <w:rFonts w:ascii="Tahoma" w:hAnsi="Tahoma" w:cs="Tahoma"/>
          <w:sz w:val="20"/>
          <w:szCs w:val="20"/>
        </w:rPr>
        <w:t>si</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nombre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bactéries</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autres</w:t>
      </w:r>
      <w:r w:rsidR="00DB1635" w:rsidRPr="00B004EE">
        <w:rPr>
          <w:rFonts w:ascii="Tahoma" w:hAnsi="Tahoma" w:cs="Tahoma"/>
          <w:sz w:val="20"/>
          <w:szCs w:val="20"/>
        </w:rPr>
        <w:t xml:space="preserve"> </w:t>
      </w:r>
      <w:r w:rsidRPr="00B004EE">
        <w:rPr>
          <w:rFonts w:ascii="Tahoma" w:hAnsi="Tahoma" w:cs="Tahoma"/>
          <w:sz w:val="20"/>
          <w:szCs w:val="20"/>
        </w:rPr>
        <w:t>échantillons</w:t>
      </w:r>
      <w:r w:rsidR="00DB1635" w:rsidRPr="00B004EE">
        <w:rPr>
          <w:rFonts w:ascii="Tahoma" w:hAnsi="Tahoma" w:cs="Tahoma"/>
          <w:sz w:val="20"/>
          <w:szCs w:val="20"/>
        </w:rPr>
        <w:t xml:space="preserve"> </w:t>
      </w:r>
      <w:r w:rsidRPr="00B004EE">
        <w:rPr>
          <w:rFonts w:ascii="Tahoma" w:hAnsi="Tahoma" w:cs="Tahoma"/>
          <w:sz w:val="20"/>
          <w:szCs w:val="20"/>
        </w:rPr>
        <w:t>est</w:t>
      </w:r>
      <w:r w:rsidR="00DB1635" w:rsidRPr="00B004EE">
        <w:rPr>
          <w:rFonts w:ascii="Tahoma" w:hAnsi="Tahoma" w:cs="Tahoma"/>
          <w:sz w:val="20"/>
          <w:szCs w:val="20"/>
        </w:rPr>
        <w:t xml:space="preserve"> </w:t>
      </w:r>
      <w:r w:rsidRPr="00B004EE">
        <w:rPr>
          <w:rFonts w:ascii="Tahoma" w:hAnsi="Tahoma" w:cs="Tahoma"/>
          <w:sz w:val="20"/>
          <w:szCs w:val="20"/>
        </w:rPr>
        <w:t>inférieur</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égal</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m.</w:t>
      </w:r>
      <w:r w:rsidR="00DB1635" w:rsidRPr="00B004EE">
        <w:rPr>
          <w:rFonts w:ascii="Tahoma" w:hAnsi="Tahoma" w:cs="Tahoma"/>
          <w:sz w:val="20"/>
          <w:szCs w:val="20"/>
        </w:rPr>
        <w:t xml:space="preserve"> </w:t>
      </w:r>
    </w:p>
    <w:p w14:paraId="6F9D844D" w14:textId="77777777" w:rsidR="002F24E1" w:rsidRPr="00B004EE" w:rsidRDefault="002F24E1" w:rsidP="00B004EE">
      <w:pPr>
        <w:rPr>
          <w:rFonts w:ascii="Tahoma" w:hAnsi="Tahoma" w:cs="Tahoma"/>
          <w:sz w:val="20"/>
          <w:szCs w:val="20"/>
        </w:rPr>
      </w:pPr>
    </w:p>
    <w:p w14:paraId="08E96407" w14:textId="1E888128" w:rsidR="002F24E1" w:rsidRPr="00B004EE" w:rsidRDefault="002F24E1" w:rsidP="00420DDA">
      <w:pPr>
        <w:numPr>
          <w:ilvl w:val="0"/>
          <w:numId w:val="21"/>
        </w:numPr>
        <w:ind w:left="426"/>
        <w:jc w:val="both"/>
        <w:rPr>
          <w:rFonts w:ascii="Tahoma" w:hAnsi="Tahoma" w:cs="Tahoma"/>
          <w:sz w:val="20"/>
          <w:szCs w:val="20"/>
        </w:rPr>
      </w:pPr>
      <w:r w:rsidRPr="00B004EE">
        <w:rPr>
          <w:rFonts w:ascii="Tahoma" w:hAnsi="Tahoma" w:cs="Tahoma"/>
          <w:sz w:val="20"/>
          <w:szCs w:val="20"/>
        </w:rPr>
        <w:t>Néanmoins,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normes</w:t>
      </w:r>
      <w:r w:rsidR="00DB1635" w:rsidRPr="00B004EE">
        <w:rPr>
          <w:rFonts w:ascii="Tahoma" w:hAnsi="Tahoma" w:cs="Tahoma"/>
          <w:sz w:val="20"/>
          <w:szCs w:val="20"/>
        </w:rPr>
        <w:t xml:space="preserve"> </w:t>
      </w:r>
      <w:r w:rsidRPr="00B004EE">
        <w:rPr>
          <w:rFonts w:ascii="Tahoma" w:hAnsi="Tahoma" w:cs="Tahoma"/>
          <w:sz w:val="20"/>
          <w:szCs w:val="20"/>
        </w:rPr>
        <w:t>microbiologiques</w:t>
      </w:r>
      <w:r w:rsidR="00DB1635" w:rsidRPr="00B004EE">
        <w:rPr>
          <w:rFonts w:ascii="Tahoma" w:hAnsi="Tahoma" w:cs="Tahoma"/>
          <w:sz w:val="20"/>
          <w:szCs w:val="20"/>
        </w:rPr>
        <w:t xml:space="preserve"> </w:t>
      </w:r>
      <w:r w:rsidRPr="00B004EE">
        <w:rPr>
          <w:rFonts w:ascii="Tahoma" w:hAnsi="Tahoma" w:cs="Tahoma"/>
          <w:sz w:val="20"/>
          <w:szCs w:val="20"/>
        </w:rPr>
        <w:t>énoncées</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présent</w:t>
      </w:r>
      <w:r w:rsidR="00DB1635" w:rsidRPr="00B004EE">
        <w:rPr>
          <w:rFonts w:ascii="Tahoma" w:hAnsi="Tahoma" w:cs="Tahoma"/>
          <w:sz w:val="20"/>
          <w:szCs w:val="20"/>
        </w:rPr>
        <w:t xml:space="preserve"> </w:t>
      </w:r>
      <w:r w:rsidRPr="00B004EE">
        <w:rPr>
          <w:rFonts w:ascii="Tahoma" w:hAnsi="Tahoma" w:cs="Tahoma"/>
          <w:sz w:val="20"/>
          <w:szCs w:val="20"/>
        </w:rPr>
        <w:t>article</w:t>
      </w:r>
      <w:r w:rsidR="00DB1635" w:rsidRPr="00B004EE">
        <w:rPr>
          <w:rFonts w:ascii="Tahoma" w:hAnsi="Tahoma" w:cs="Tahoma"/>
          <w:sz w:val="20"/>
          <w:szCs w:val="20"/>
        </w:rPr>
        <w:t xml:space="preserve"> </w:t>
      </w:r>
      <w:r w:rsidRPr="00B004EE">
        <w:rPr>
          <w:rFonts w:ascii="Tahoma" w:hAnsi="Tahoma" w:cs="Tahoma"/>
          <w:sz w:val="20"/>
          <w:szCs w:val="20"/>
        </w:rPr>
        <w:t>ne</w:t>
      </w:r>
      <w:r w:rsidR="00DB1635" w:rsidRPr="00B004EE">
        <w:rPr>
          <w:rFonts w:ascii="Tahoma" w:hAnsi="Tahoma" w:cs="Tahoma"/>
          <w:sz w:val="20"/>
          <w:szCs w:val="20"/>
        </w:rPr>
        <w:t xml:space="preserve"> </w:t>
      </w:r>
      <w:r w:rsidRPr="00B004EE">
        <w:rPr>
          <w:rFonts w:ascii="Tahoma" w:hAnsi="Tahoma" w:cs="Tahoma"/>
          <w:sz w:val="20"/>
          <w:szCs w:val="20"/>
        </w:rPr>
        <w:t>s’appliquent</w:t>
      </w:r>
      <w:r w:rsidR="00DB1635" w:rsidRPr="00B004EE">
        <w:rPr>
          <w:rFonts w:ascii="Tahoma" w:hAnsi="Tahoma" w:cs="Tahoma"/>
          <w:sz w:val="20"/>
          <w:szCs w:val="20"/>
        </w:rPr>
        <w:t xml:space="preserve"> </w:t>
      </w:r>
      <w:r w:rsidRPr="00B004EE">
        <w:rPr>
          <w:rFonts w:ascii="Tahoma" w:hAnsi="Tahoma" w:cs="Tahoma"/>
          <w:sz w:val="20"/>
          <w:szCs w:val="20"/>
        </w:rPr>
        <w:t>pas</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huiles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poisson</w:t>
      </w:r>
      <w:r w:rsidR="00DB1635" w:rsidRPr="00B004EE">
        <w:rPr>
          <w:rFonts w:ascii="Tahoma" w:hAnsi="Tahoma" w:cs="Tahoma"/>
          <w:sz w:val="20"/>
          <w:szCs w:val="20"/>
        </w:rPr>
        <w:t xml:space="preserve"> </w:t>
      </w:r>
      <w:r w:rsidRPr="00B004EE">
        <w:rPr>
          <w:rFonts w:ascii="Tahoma" w:hAnsi="Tahoma" w:cs="Tahoma"/>
          <w:sz w:val="20"/>
          <w:szCs w:val="20"/>
        </w:rPr>
        <w:t>provenant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transformation</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sous-produits</w:t>
      </w:r>
      <w:r w:rsidR="00DB1635" w:rsidRPr="00B004EE">
        <w:rPr>
          <w:rFonts w:ascii="Tahoma" w:hAnsi="Tahoma" w:cs="Tahoma"/>
          <w:sz w:val="20"/>
          <w:szCs w:val="20"/>
        </w:rPr>
        <w:t xml:space="preserve"> </w:t>
      </w:r>
      <w:r w:rsidRPr="00B004EE">
        <w:rPr>
          <w:rFonts w:ascii="Tahoma" w:hAnsi="Tahoma" w:cs="Tahoma"/>
          <w:sz w:val="20"/>
          <w:szCs w:val="20"/>
        </w:rPr>
        <w:t>animaux,</w:t>
      </w:r>
      <w:r w:rsidR="00DB1635" w:rsidRPr="00B004EE">
        <w:rPr>
          <w:rFonts w:ascii="Tahoma" w:hAnsi="Tahoma" w:cs="Tahoma"/>
          <w:sz w:val="20"/>
          <w:szCs w:val="20"/>
        </w:rPr>
        <w:t xml:space="preserve"> </w:t>
      </w:r>
      <w:r w:rsidRPr="00B004EE">
        <w:rPr>
          <w:rFonts w:ascii="Tahoma" w:hAnsi="Tahoma" w:cs="Tahoma"/>
          <w:sz w:val="20"/>
          <w:szCs w:val="20"/>
        </w:rPr>
        <w:t>lorsque</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protéines</w:t>
      </w:r>
      <w:r w:rsidR="00DB1635" w:rsidRPr="00B004EE">
        <w:rPr>
          <w:rFonts w:ascii="Tahoma" w:hAnsi="Tahoma" w:cs="Tahoma"/>
          <w:sz w:val="20"/>
          <w:szCs w:val="20"/>
        </w:rPr>
        <w:t xml:space="preserve"> </w:t>
      </w:r>
      <w:r w:rsidRPr="00B004EE">
        <w:rPr>
          <w:rFonts w:ascii="Tahoma" w:hAnsi="Tahoma" w:cs="Tahoma"/>
          <w:sz w:val="20"/>
          <w:szCs w:val="20"/>
        </w:rPr>
        <w:t>animales</w:t>
      </w:r>
      <w:r w:rsidR="00DB1635" w:rsidRPr="00B004EE">
        <w:rPr>
          <w:rFonts w:ascii="Tahoma" w:hAnsi="Tahoma" w:cs="Tahoma"/>
          <w:sz w:val="20"/>
          <w:szCs w:val="20"/>
        </w:rPr>
        <w:t xml:space="preserve"> </w:t>
      </w:r>
      <w:r w:rsidRPr="00B004EE">
        <w:rPr>
          <w:rFonts w:ascii="Tahoma" w:hAnsi="Tahoma" w:cs="Tahoma"/>
          <w:sz w:val="20"/>
          <w:szCs w:val="20"/>
        </w:rPr>
        <w:t>transformées,</w:t>
      </w:r>
      <w:r w:rsidR="00DB1635" w:rsidRPr="00B004EE">
        <w:rPr>
          <w:rFonts w:ascii="Tahoma" w:hAnsi="Tahoma" w:cs="Tahoma"/>
          <w:sz w:val="20"/>
          <w:szCs w:val="20"/>
        </w:rPr>
        <w:t xml:space="preserve"> </w:t>
      </w:r>
      <w:r w:rsidRPr="00B004EE">
        <w:rPr>
          <w:rFonts w:ascii="Tahoma" w:hAnsi="Tahoma" w:cs="Tahoma"/>
          <w:sz w:val="20"/>
          <w:szCs w:val="20"/>
        </w:rPr>
        <w:t>obtenues</w:t>
      </w:r>
      <w:r w:rsidR="00DB1635" w:rsidRPr="00B004EE">
        <w:rPr>
          <w:rFonts w:ascii="Tahoma" w:hAnsi="Tahoma" w:cs="Tahoma"/>
          <w:sz w:val="20"/>
          <w:szCs w:val="20"/>
        </w:rPr>
        <w:t xml:space="preserve"> </w:t>
      </w:r>
      <w:r w:rsidRPr="00B004EE">
        <w:rPr>
          <w:rFonts w:ascii="Tahoma" w:hAnsi="Tahoma" w:cs="Tahoma"/>
          <w:sz w:val="20"/>
          <w:szCs w:val="20"/>
        </w:rPr>
        <w:t>au</w:t>
      </w:r>
      <w:r w:rsidR="00DB1635" w:rsidRPr="00B004EE">
        <w:rPr>
          <w:rFonts w:ascii="Tahoma" w:hAnsi="Tahoma" w:cs="Tahoma"/>
          <w:sz w:val="20"/>
          <w:szCs w:val="20"/>
        </w:rPr>
        <w:t xml:space="preserve"> </w:t>
      </w:r>
      <w:r w:rsidRPr="00B004EE">
        <w:rPr>
          <w:rFonts w:ascii="Tahoma" w:hAnsi="Tahoma" w:cs="Tahoma"/>
          <w:sz w:val="20"/>
          <w:szCs w:val="20"/>
        </w:rPr>
        <w:t>cours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même</w:t>
      </w:r>
      <w:r w:rsidR="00DB1635" w:rsidRPr="00B004EE">
        <w:rPr>
          <w:rFonts w:ascii="Tahoma" w:hAnsi="Tahoma" w:cs="Tahoma"/>
          <w:sz w:val="20"/>
          <w:szCs w:val="20"/>
        </w:rPr>
        <w:t xml:space="preserve"> </w:t>
      </w:r>
      <w:r w:rsidRPr="00B004EE">
        <w:rPr>
          <w:rFonts w:ascii="Tahoma" w:hAnsi="Tahoma" w:cs="Tahoma"/>
          <w:sz w:val="20"/>
          <w:szCs w:val="20"/>
        </w:rPr>
        <w:t>transformation,</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soumises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un</w:t>
      </w:r>
      <w:r w:rsidR="00DB1635" w:rsidRPr="00B004EE">
        <w:rPr>
          <w:rFonts w:ascii="Tahoma" w:hAnsi="Tahoma" w:cs="Tahoma"/>
          <w:sz w:val="20"/>
          <w:szCs w:val="20"/>
        </w:rPr>
        <w:t xml:space="preserve"> </w:t>
      </w:r>
      <w:r w:rsidRPr="00B004EE">
        <w:rPr>
          <w:rFonts w:ascii="Tahoma" w:hAnsi="Tahoma" w:cs="Tahoma"/>
          <w:sz w:val="20"/>
          <w:szCs w:val="20"/>
        </w:rPr>
        <w:t>échantillonnage</w:t>
      </w:r>
      <w:r w:rsidR="00DB1635" w:rsidRPr="00B004EE">
        <w:rPr>
          <w:rFonts w:ascii="Tahoma" w:hAnsi="Tahoma" w:cs="Tahoma"/>
          <w:sz w:val="20"/>
          <w:szCs w:val="20"/>
        </w:rPr>
        <w:t xml:space="preserve"> </w:t>
      </w:r>
      <w:r w:rsidRPr="00B004EE">
        <w:rPr>
          <w:rFonts w:ascii="Tahoma" w:hAnsi="Tahoma" w:cs="Tahoma"/>
          <w:sz w:val="20"/>
          <w:szCs w:val="20"/>
        </w:rPr>
        <w:t>visant</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garantir</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respect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ces</w:t>
      </w:r>
      <w:r w:rsidR="00DB1635" w:rsidRPr="00B004EE">
        <w:rPr>
          <w:rFonts w:ascii="Tahoma" w:hAnsi="Tahoma" w:cs="Tahoma"/>
          <w:sz w:val="20"/>
          <w:szCs w:val="20"/>
        </w:rPr>
        <w:t xml:space="preserve"> </w:t>
      </w:r>
      <w:r w:rsidRPr="00B004EE">
        <w:rPr>
          <w:rFonts w:ascii="Tahoma" w:hAnsi="Tahoma" w:cs="Tahoma"/>
          <w:sz w:val="20"/>
          <w:szCs w:val="20"/>
        </w:rPr>
        <w:t>normes.</w:t>
      </w:r>
    </w:p>
    <w:p w14:paraId="7CAF234D" w14:textId="77777777" w:rsidR="002F24E1" w:rsidRPr="00B004EE" w:rsidRDefault="002F24E1" w:rsidP="00B004EE">
      <w:pPr>
        <w:ind w:left="426"/>
        <w:jc w:val="both"/>
        <w:rPr>
          <w:rFonts w:ascii="Tahoma" w:hAnsi="Tahoma" w:cs="Tahoma"/>
          <w:sz w:val="20"/>
          <w:szCs w:val="20"/>
        </w:rPr>
      </w:pPr>
    </w:p>
    <w:p w14:paraId="65EA3B1B" w14:textId="0A1A817B" w:rsidR="002F24E1" w:rsidRPr="00B004EE" w:rsidRDefault="002F24E1" w:rsidP="00420DDA">
      <w:pPr>
        <w:numPr>
          <w:ilvl w:val="0"/>
          <w:numId w:val="25"/>
        </w:numPr>
        <w:ind w:left="284" w:hanging="284"/>
        <w:jc w:val="both"/>
        <w:rPr>
          <w:rFonts w:ascii="Tahoma" w:hAnsi="Tahoma" w:cs="Tahoma"/>
          <w:sz w:val="20"/>
          <w:szCs w:val="20"/>
        </w:rPr>
      </w:pPr>
      <w:r w:rsidRPr="00B004EE">
        <w:rPr>
          <w:rFonts w:ascii="Tahoma" w:hAnsi="Tahoma" w:cs="Tahoma"/>
          <w:sz w:val="20"/>
          <w:szCs w:val="20"/>
        </w:rPr>
        <w:t>L'utilisation</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l’antioxydant</w:t>
      </w:r>
      <w:r w:rsidR="00DB1635" w:rsidRPr="00B004EE">
        <w:rPr>
          <w:rFonts w:ascii="Tahoma" w:hAnsi="Tahoma" w:cs="Tahoma"/>
          <w:sz w:val="20"/>
          <w:szCs w:val="20"/>
        </w:rPr>
        <w:t xml:space="preserve"> </w:t>
      </w:r>
      <w:r w:rsidRPr="00B004EE">
        <w:rPr>
          <w:rFonts w:ascii="Tahoma" w:hAnsi="Tahoma" w:cs="Tahoma"/>
          <w:sz w:val="20"/>
          <w:szCs w:val="20"/>
        </w:rPr>
        <w:t>éthoxyquine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prémélanges</w:t>
      </w:r>
      <w:r w:rsidR="00DB1635" w:rsidRPr="00B004EE">
        <w:rPr>
          <w:rFonts w:ascii="Tahoma" w:hAnsi="Tahoma" w:cs="Tahoma"/>
          <w:sz w:val="20"/>
          <w:szCs w:val="20"/>
        </w:rPr>
        <w:t xml:space="preserve"> </w:t>
      </w:r>
      <w:r w:rsidRPr="00B004EE">
        <w:rPr>
          <w:rFonts w:ascii="Tahoma" w:hAnsi="Tahoma" w:cs="Tahoma"/>
          <w:sz w:val="20"/>
          <w:szCs w:val="20"/>
        </w:rPr>
        <w:t>contenant</w:t>
      </w:r>
      <w:r w:rsidR="00DB1635" w:rsidRPr="00B004EE">
        <w:rPr>
          <w:rFonts w:ascii="Tahoma" w:hAnsi="Tahoma" w:cs="Tahoma"/>
          <w:sz w:val="20"/>
          <w:szCs w:val="20"/>
        </w:rPr>
        <w:t xml:space="preserve"> </w:t>
      </w:r>
      <w:r w:rsidRPr="00B004EE">
        <w:rPr>
          <w:rFonts w:ascii="Tahoma" w:hAnsi="Tahoma" w:cs="Tahoma"/>
          <w:sz w:val="20"/>
          <w:szCs w:val="20"/>
        </w:rPr>
        <w:t>cet</w:t>
      </w:r>
      <w:r w:rsidR="00DB1635" w:rsidRPr="00B004EE">
        <w:rPr>
          <w:rFonts w:ascii="Tahoma" w:hAnsi="Tahoma" w:cs="Tahoma"/>
          <w:sz w:val="20"/>
          <w:szCs w:val="20"/>
        </w:rPr>
        <w:t xml:space="preserve"> </w:t>
      </w:r>
      <w:r w:rsidRPr="00B004EE">
        <w:rPr>
          <w:rFonts w:ascii="Tahoma" w:hAnsi="Tahoma" w:cs="Tahoma"/>
          <w:sz w:val="20"/>
          <w:szCs w:val="20"/>
        </w:rPr>
        <w:t>antioxydant</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sous-produits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dérivés</w:t>
      </w:r>
      <w:r w:rsidR="00DB1635" w:rsidRPr="00B004EE">
        <w:rPr>
          <w:rFonts w:ascii="Tahoma" w:hAnsi="Tahoma" w:cs="Tahoma"/>
          <w:sz w:val="20"/>
          <w:szCs w:val="20"/>
        </w:rPr>
        <w:t xml:space="preserve"> </w:t>
      </w:r>
      <w:r w:rsidRPr="00B004EE">
        <w:rPr>
          <w:rFonts w:ascii="Tahoma" w:hAnsi="Tahoma" w:cs="Tahoma"/>
          <w:sz w:val="20"/>
          <w:szCs w:val="20"/>
        </w:rPr>
        <w:t>qui</w:t>
      </w:r>
      <w:r w:rsidR="00DB1635" w:rsidRPr="00B004EE">
        <w:rPr>
          <w:rFonts w:ascii="Tahoma" w:hAnsi="Tahoma" w:cs="Tahoma"/>
          <w:sz w:val="20"/>
          <w:szCs w:val="20"/>
        </w:rPr>
        <w:t xml:space="preserve"> </w:t>
      </w:r>
      <w:r w:rsidRPr="00B004EE">
        <w:rPr>
          <w:rFonts w:ascii="Tahoma" w:hAnsi="Tahoma" w:cs="Tahoma"/>
          <w:sz w:val="20"/>
          <w:szCs w:val="20"/>
        </w:rPr>
        <w:t>seront</w:t>
      </w:r>
      <w:r w:rsidR="00DB1635" w:rsidRPr="00B004EE">
        <w:rPr>
          <w:rFonts w:ascii="Tahoma" w:hAnsi="Tahoma" w:cs="Tahoma"/>
          <w:sz w:val="20"/>
          <w:szCs w:val="20"/>
        </w:rPr>
        <w:t xml:space="preserve"> </w:t>
      </w:r>
      <w:r w:rsidRPr="00B004EE">
        <w:rPr>
          <w:rFonts w:ascii="Tahoma" w:hAnsi="Tahoma" w:cs="Tahoma"/>
          <w:sz w:val="20"/>
          <w:szCs w:val="20"/>
        </w:rPr>
        <w:t>utilisés</w:t>
      </w:r>
      <w:r w:rsidR="00DB1635" w:rsidRPr="00B004EE">
        <w:rPr>
          <w:rFonts w:ascii="Tahoma" w:hAnsi="Tahoma" w:cs="Tahoma"/>
          <w:sz w:val="20"/>
          <w:szCs w:val="20"/>
        </w:rPr>
        <w:t xml:space="preserve"> </w:t>
      </w:r>
      <w:r w:rsidRPr="00B004EE">
        <w:rPr>
          <w:rFonts w:ascii="Tahoma" w:hAnsi="Tahoma" w:cs="Tahoma"/>
          <w:sz w:val="20"/>
          <w:szCs w:val="20"/>
        </w:rPr>
        <w:t>comme</w:t>
      </w:r>
      <w:r w:rsidR="00DB1635" w:rsidRPr="00B004EE">
        <w:rPr>
          <w:rFonts w:ascii="Tahoma" w:hAnsi="Tahoma" w:cs="Tahoma"/>
          <w:sz w:val="20"/>
          <w:szCs w:val="20"/>
        </w:rPr>
        <w:t xml:space="preserve"> </w:t>
      </w:r>
      <w:r w:rsidRPr="00B004EE">
        <w:rPr>
          <w:rFonts w:ascii="Tahoma" w:hAnsi="Tahoma" w:cs="Tahoma"/>
          <w:sz w:val="20"/>
          <w:szCs w:val="20"/>
        </w:rPr>
        <w:t>matières</w:t>
      </w:r>
      <w:r w:rsidR="00DB1635" w:rsidRPr="00B004EE">
        <w:rPr>
          <w:rFonts w:ascii="Tahoma" w:hAnsi="Tahoma" w:cs="Tahoma"/>
          <w:sz w:val="20"/>
          <w:szCs w:val="20"/>
        </w:rPr>
        <w:t xml:space="preserve"> </w:t>
      </w:r>
      <w:r w:rsidRPr="00B004EE">
        <w:rPr>
          <w:rFonts w:ascii="Tahoma" w:hAnsi="Tahoma" w:cs="Tahoma"/>
          <w:sz w:val="20"/>
          <w:szCs w:val="20"/>
        </w:rPr>
        <w:t>premières</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aliments</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animaux</w:t>
      </w:r>
      <w:r w:rsidR="00DB1635" w:rsidRPr="00B004EE">
        <w:rPr>
          <w:rFonts w:ascii="Tahoma" w:hAnsi="Tahoma" w:cs="Tahoma"/>
          <w:sz w:val="20"/>
          <w:szCs w:val="20"/>
        </w:rPr>
        <w:t xml:space="preserve"> </w:t>
      </w:r>
      <w:r w:rsidRPr="00B004EE">
        <w:rPr>
          <w:rFonts w:ascii="Tahoma" w:hAnsi="Tahoma" w:cs="Tahoma"/>
          <w:sz w:val="20"/>
          <w:szCs w:val="20"/>
        </w:rPr>
        <w:t>ne</w:t>
      </w:r>
      <w:r w:rsidR="00DB1635" w:rsidRPr="00B004EE">
        <w:rPr>
          <w:rFonts w:ascii="Tahoma" w:hAnsi="Tahoma" w:cs="Tahoma"/>
          <w:sz w:val="20"/>
          <w:szCs w:val="20"/>
        </w:rPr>
        <w:t xml:space="preserve"> </w:t>
      </w:r>
      <w:r w:rsidRPr="00B004EE">
        <w:rPr>
          <w:rFonts w:ascii="Tahoma" w:hAnsi="Tahoma" w:cs="Tahoma"/>
          <w:sz w:val="20"/>
          <w:szCs w:val="20"/>
        </w:rPr>
        <w:t>peut</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autorisé</w:t>
      </w:r>
      <w:r w:rsidR="00DB1635" w:rsidRPr="00B004EE">
        <w:rPr>
          <w:rFonts w:ascii="Tahoma" w:hAnsi="Tahoma" w:cs="Tahoma"/>
          <w:sz w:val="20"/>
          <w:szCs w:val="20"/>
        </w:rPr>
        <w:t xml:space="preserve"> </w:t>
      </w:r>
      <w:r w:rsidRPr="00B004EE">
        <w:rPr>
          <w:rFonts w:ascii="Tahoma" w:hAnsi="Tahoma" w:cs="Tahoma"/>
          <w:sz w:val="20"/>
          <w:szCs w:val="20"/>
        </w:rPr>
        <w:t>après</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30</w:t>
      </w:r>
      <w:r w:rsidR="00DB1635" w:rsidRPr="00B004EE">
        <w:rPr>
          <w:rFonts w:ascii="Tahoma" w:hAnsi="Tahoma" w:cs="Tahoma"/>
          <w:sz w:val="20"/>
          <w:szCs w:val="20"/>
        </w:rPr>
        <w:t xml:space="preserve"> </w:t>
      </w:r>
      <w:r w:rsidRPr="00B004EE">
        <w:rPr>
          <w:rFonts w:ascii="Tahoma" w:hAnsi="Tahoma" w:cs="Tahoma"/>
          <w:sz w:val="20"/>
          <w:szCs w:val="20"/>
        </w:rPr>
        <w:t>septembre</w:t>
      </w:r>
      <w:r w:rsidR="00DB1635" w:rsidRPr="00B004EE">
        <w:rPr>
          <w:rFonts w:ascii="Tahoma" w:hAnsi="Tahoma" w:cs="Tahoma"/>
          <w:sz w:val="20"/>
          <w:szCs w:val="20"/>
        </w:rPr>
        <w:t xml:space="preserve"> </w:t>
      </w:r>
      <w:r w:rsidRPr="00B004EE">
        <w:rPr>
          <w:rFonts w:ascii="Tahoma" w:hAnsi="Tahoma" w:cs="Tahoma"/>
          <w:sz w:val="20"/>
          <w:szCs w:val="20"/>
        </w:rPr>
        <w:t>2019</w:t>
      </w:r>
      <w:r w:rsidR="00DB1635" w:rsidRPr="00B004EE">
        <w:rPr>
          <w:rFonts w:ascii="Tahoma" w:hAnsi="Tahoma" w:cs="Tahoma"/>
          <w:sz w:val="20"/>
          <w:szCs w:val="20"/>
        </w:rPr>
        <w:t xml:space="preserve"> </w:t>
      </w:r>
      <w:r w:rsidRPr="00B004EE">
        <w:rPr>
          <w:rFonts w:ascii="Tahoma" w:hAnsi="Tahoma" w:cs="Tahoma"/>
          <w:sz w:val="20"/>
          <w:szCs w:val="20"/>
        </w:rPr>
        <w:t>;</w:t>
      </w:r>
    </w:p>
    <w:p w14:paraId="65EA57A5" w14:textId="77777777" w:rsidR="002F24E1" w:rsidRPr="00B004EE" w:rsidRDefault="002F24E1" w:rsidP="00B004EE">
      <w:pPr>
        <w:jc w:val="both"/>
        <w:rPr>
          <w:rFonts w:ascii="Tahoma" w:hAnsi="Tahoma" w:cs="Tahoma"/>
          <w:sz w:val="20"/>
          <w:szCs w:val="20"/>
        </w:rPr>
      </w:pPr>
    </w:p>
    <w:p w14:paraId="6A3130CD" w14:textId="1928041A" w:rsidR="002F24E1" w:rsidRPr="00B004EE" w:rsidRDefault="002F24E1" w:rsidP="00420DDA">
      <w:pPr>
        <w:numPr>
          <w:ilvl w:val="0"/>
          <w:numId w:val="25"/>
        </w:numPr>
        <w:ind w:left="284" w:hanging="284"/>
        <w:jc w:val="both"/>
        <w:rPr>
          <w:rFonts w:ascii="Tahoma" w:hAnsi="Tahoma" w:cs="Tahoma"/>
          <w:sz w:val="20"/>
          <w:szCs w:val="20"/>
        </w:rPr>
      </w:pP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sous-produits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les</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dérivés</w:t>
      </w:r>
      <w:r w:rsidR="00DB1635" w:rsidRPr="00B004EE">
        <w:rPr>
          <w:rFonts w:ascii="Tahoma" w:hAnsi="Tahoma" w:cs="Tahoma"/>
          <w:sz w:val="20"/>
          <w:szCs w:val="20"/>
        </w:rPr>
        <w:t xml:space="preserve"> </w:t>
      </w:r>
      <w:r w:rsidRPr="00B004EE">
        <w:rPr>
          <w:rFonts w:ascii="Tahoma" w:hAnsi="Tahoma" w:cs="Tahoma"/>
          <w:sz w:val="20"/>
          <w:szCs w:val="20"/>
        </w:rPr>
        <w:t>destinées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utilisés</w:t>
      </w:r>
      <w:r w:rsidR="00DB1635" w:rsidRPr="00B004EE">
        <w:rPr>
          <w:rFonts w:ascii="Tahoma" w:hAnsi="Tahoma" w:cs="Tahoma"/>
          <w:sz w:val="20"/>
          <w:szCs w:val="20"/>
        </w:rPr>
        <w:t xml:space="preserve"> </w:t>
      </w:r>
      <w:r w:rsidRPr="00B004EE">
        <w:rPr>
          <w:rFonts w:ascii="Tahoma" w:hAnsi="Tahoma" w:cs="Tahoma"/>
          <w:sz w:val="20"/>
          <w:szCs w:val="20"/>
        </w:rPr>
        <w:t>comme</w:t>
      </w:r>
      <w:r w:rsidR="00DB1635" w:rsidRPr="00B004EE">
        <w:rPr>
          <w:rFonts w:ascii="Tahoma" w:hAnsi="Tahoma" w:cs="Tahoma"/>
          <w:sz w:val="20"/>
          <w:szCs w:val="20"/>
        </w:rPr>
        <w:t xml:space="preserve"> </w:t>
      </w:r>
      <w:r w:rsidRPr="00B004EE">
        <w:rPr>
          <w:rFonts w:ascii="Tahoma" w:hAnsi="Tahoma" w:cs="Tahoma"/>
          <w:sz w:val="20"/>
          <w:szCs w:val="20"/>
        </w:rPr>
        <w:t>matières</w:t>
      </w:r>
      <w:r w:rsidR="00DB1635" w:rsidRPr="00B004EE">
        <w:rPr>
          <w:rFonts w:ascii="Tahoma" w:hAnsi="Tahoma" w:cs="Tahoma"/>
          <w:sz w:val="20"/>
          <w:szCs w:val="20"/>
        </w:rPr>
        <w:t xml:space="preserve"> </w:t>
      </w:r>
      <w:r w:rsidRPr="00B004EE">
        <w:rPr>
          <w:rFonts w:ascii="Tahoma" w:hAnsi="Tahoma" w:cs="Tahoma"/>
          <w:sz w:val="20"/>
          <w:szCs w:val="20"/>
        </w:rPr>
        <w:t>premières</w:t>
      </w:r>
      <w:r w:rsidR="00DB1635" w:rsidRPr="00B004EE">
        <w:rPr>
          <w:rFonts w:ascii="Tahoma" w:hAnsi="Tahoma" w:cs="Tahoma"/>
          <w:sz w:val="20"/>
          <w:szCs w:val="20"/>
        </w:rPr>
        <w:t xml:space="preserve"> </w:t>
      </w:r>
      <w:r w:rsidRPr="00B004EE">
        <w:rPr>
          <w:rFonts w:ascii="Tahoma" w:hAnsi="Tahoma" w:cs="Tahoma"/>
          <w:sz w:val="20"/>
          <w:szCs w:val="20"/>
        </w:rPr>
        <w:t>pour</w:t>
      </w:r>
      <w:r w:rsidR="00DB1635" w:rsidRPr="00B004EE">
        <w:rPr>
          <w:rFonts w:ascii="Tahoma" w:hAnsi="Tahoma" w:cs="Tahoma"/>
          <w:sz w:val="20"/>
          <w:szCs w:val="20"/>
        </w:rPr>
        <w:t xml:space="preserve"> </w:t>
      </w:r>
      <w:r w:rsidRPr="00B004EE">
        <w:rPr>
          <w:rFonts w:ascii="Tahoma" w:hAnsi="Tahoma" w:cs="Tahoma"/>
          <w:sz w:val="20"/>
          <w:szCs w:val="20"/>
        </w:rPr>
        <w:t>aliments</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animaux</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avec</w:t>
      </w:r>
      <w:r w:rsidR="00DB1635" w:rsidRPr="00B004EE">
        <w:rPr>
          <w:rFonts w:ascii="Tahoma" w:hAnsi="Tahoma" w:cs="Tahoma"/>
          <w:sz w:val="20"/>
          <w:szCs w:val="20"/>
        </w:rPr>
        <w:t xml:space="preserve"> </w:t>
      </w:r>
      <w:r w:rsidRPr="00B004EE">
        <w:rPr>
          <w:rFonts w:ascii="Tahoma" w:hAnsi="Tahoma" w:cs="Tahoma"/>
          <w:sz w:val="20"/>
          <w:szCs w:val="20"/>
        </w:rPr>
        <w:t>l’antioxydant</w:t>
      </w:r>
      <w:r w:rsidR="00DB1635" w:rsidRPr="00B004EE">
        <w:rPr>
          <w:rFonts w:ascii="Tahoma" w:hAnsi="Tahoma" w:cs="Tahoma"/>
          <w:sz w:val="20"/>
          <w:szCs w:val="20"/>
        </w:rPr>
        <w:t xml:space="preserve"> </w:t>
      </w:r>
      <w:r w:rsidRPr="00B004EE">
        <w:rPr>
          <w:rFonts w:ascii="Tahoma" w:hAnsi="Tahoma" w:cs="Tahoma"/>
          <w:sz w:val="20"/>
          <w:szCs w:val="20"/>
        </w:rPr>
        <w:t>éthoxyquine</w:t>
      </w:r>
      <w:r w:rsidR="00DB1635" w:rsidRPr="00B004EE">
        <w:rPr>
          <w:rFonts w:ascii="Tahoma" w:hAnsi="Tahoma" w:cs="Tahoma"/>
          <w:sz w:val="20"/>
          <w:szCs w:val="20"/>
        </w:rPr>
        <w:t xml:space="preserve"> </w:t>
      </w:r>
      <w:r w:rsidRPr="00B004EE">
        <w:rPr>
          <w:rFonts w:ascii="Tahoma" w:hAnsi="Tahoma" w:cs="Tahoma"/>
          <w:sz w:val="20"/>
          <w:szCs w:val="20"/>
        </w:rPr>
        <w:t>ou</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prémélanges</w:t>
      </w:r>
      <w:r w:rsidR="00DB1635" w:rsidRPr="00B004EE">
        <w:rPr>
          <w:rFonts w:ascii="Tahoma" w:hAnsi="Tahoma" w:cs="Tahoma"/>
          <w:sz w:val="20"/>
          <w:szCs w:val="20"/>
        </w:rPr>
        <w:t xml:space="preserve"> </w:t>
      </w:r>
      <w:r w:rsidRPr="00B004EE">
        <w:rPr>
          <w:rFonts w:ascii="Tahoma" w:hAnsi="Tahoma" w:cs="Tahoma"/>
          <w:sz w:val="20"/>
          <w:szCs w:val="20"/>
        </w:rPr>
        <w:t>contenant</w:t>
      </w:r>
      <w:r w:rsidR="00DB1635" w:rsidRPr="00B004EE">
        <w:rPr>
          <w:rFonts w:ascii="Tahoma" w:hAnsi="Tahoma" w:cs="Tahoma"/>
          <w:sz w:val="20"/>
          <w:szCs w:val="20"/>
        </w:rPr>
        <w:t xml:space="preserve"> </w:t>
      </w:r>
      <w:r w:rsidRPr="00B004EE">
        <w:rPr>
          <w:rFonts w:ascii="Tahoma" w:hAnsi="Tahoma" w:cs="Tahoma"/>
          <w:sz w:val="20"/>
          <w:szCs w:val="20"/>
        </w:rPr>
        <w:t>cet</w:t>
      </w:r>
      <w:r w:rsidR="00DB1635" w:rsidRPr="00B004EE">
        <w:rPr>
          <w:rFonts w:ascii="Tahoma" w:hAnsi="Tahoma" w:cs="Tahoma"/>
          <w:sz w:val="20"/>
          <w:szCs w:val="20"/>
        </w:rPr>
        <w:t xml:space="preserve"> </w:t>
      </w:r>
      <w:r w:rsidRPr="00B004EE">
        <w:rPr>
          <w:rFonts w:ascii="Tahoma" w:hAnsi="Tahoma" w:cs="Tahoma"/>
          <w:sz w:val="20"/>
          <w:szCs w:val="20"/>
        </w:rPr>
        <w:t>antioxydant</w:t>
      </w:r>
      <w:r w:rsidR="00DB1635" w:rsidRPr="00B004EE">
        <w:rPr>
          <w:rFonts w:ascii="Tahoma" w:hAnsi="Tahoma" w:cs="Tahoma"/>
          <w:sz w:val="20"/>
          <w:szCs w:val="20"/>
        </w:rPr>
        <w:t xml:space="preserve"> </w:t>
      </w:r>
      <w:r w:rsidRPr="00B004EE">
        <w:rPr>
          <w:rFonts w:ascii="Tahoma" w:hAnsi="Tahoma" w:cs="Tahoma"/>
          <w:sz w:val="20"/>
          <w:szCs w:val="20"/>
        </w:rPr>
        <w:t>peuvent</w:t>
      </w:r>
      <w:r w:rsidR="00DB1635" w:rsidRPr="00B004EE">
        <w:rPr>
          <w:rFonts w:ascii="Tahoma" w:hAnsi="Tahoma" w:cs="Tahoma"/>
          <w:sz w:val="20"/>
          <w:szCs w:val="20"/>
        </w:rPr>
        <w:t xml:space="preserve"> </w:t>
      </w:r>
      <w:r w:rsidRPr="00B004EE">
        <w:rPr>
          <w:rFonts w:ascii="Tahoma" w:hAnsi="Tahoma" w:cs="Tahoma"/>
          <w:sz w:val="20"/>
          <w:szCs w:val="20"/>
        </w:rPr>
        <w:t>continuer</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être</w:t>
      </w:r>
      <w:r w:rsidR="00DB1635" w:rsidRPr="00B004EE">
        <w:rPr>
          <w:rFonts w:ascii="Tahoma" w:hAnsi="Tahoma" w:cs="Tahoma"/>
          <w:sz w:val="20"/>
          <w:szCs w:val="20"/>
        </w:rPr>
        <w:t xml:space="preserve"> </w:t>
      </w:r>
      <w:r w:rsidRPr="00B004EE">
        <w:rPr>
          <w:rFonts w:ascii="Tahoma" w:hAnsi="Tahoma" w:cs="Tahoma"/>
          <w:sz w:val="20"/>
          <w:szCs w:val="20"/>
        </w:rPr>
        <w:t>mises</w:t>
      </w:r>
      <w:r w:rsidR="00DB1635" w:rsidRPr="00B004EE">
        <w:rPr>
          <w:rFonts w:ascii="Tahoma" w:hAnsi="Tahoma" w:cs="Tahoma"/>
          <w:sz w:val="20"/>
          <w:szCs w:val="20"/>
        </w:rPr>
        <w:t xml:space="preserve"> </w:t>
      </w:r>
      <w:r w:rsidRPr="00B004EE">
        <w:rPr>
          <w:rFonts w:ascii="Tahoma" w:hAnsi="Tahoma" w:cs="Tahoma"/>
          <w:sz w:val="20"/>
          <w:szCs w:val="20"/>
        </w:rPr>
        <w:t>sur</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marché</w:t>
      </w:r>
      <w:r w:rsidR="00DB1635" w:rsidRPr="00B004EE">
        <w:rPr>
          <w:rFonts w:ascii="Tahoma" w:hAnsi="Tahoma" w:cs="Tahoma"/>
          <w:sz w:val="20"/>
          <w:szCs w:val="20"/>
        </w:rPr>
        <w:t xml:space="preserve"> </w:t>
      </w:r>
      <w:r w:rsidRPr="00B004EE">
        <w:rPr>
          <w:rFonts w:ascii="Tahoma" w:hAnsi="Tahoma" w:cs="Tahoma"/>
          <w:sz w:val="20"/>
          <w:szCs w:val="20"/>
        </w:rPr>
        <w:t>jusqu'au</w:t>
      </w:r>
      <w:r w:rsidR="00DB1635" w:rsidRPr="00B004EE">
        <w:rPr>
          <w:rFonts w:ascii="Tahoma" w:hAnsi="Tahoma" w:cs="Tahoma"/>
          <w:sz w:val="20"/>
          <w:szCs w:val="20"/>
        </w:rPr>
        <w:t xml:space="preserve"> </w:t>
      </w:r>
      <w:r w:rsidRPr="00B004EE">
        <w:rPr>
          <w:rFonts w:ascii="Tahoma" w:hAnsi="Tahoma" w:cs="Tahoma"/>
          <w:sz w:val="20"/>
          <w:szCs w:val="20"/>
        </w:rPr>
        <w:t>31</w:t>
      </w:r>
      <w:r w:rsidR="00DB1635" w:rsidRPr="00B004EE">
        <w:rPr>
          <w:rFonts w:ascii="Tahoma" w:hAnsi="Tahoma" w:cs="Tahoma"/>
          <w:sz w:val="20"/>
          <w:szCs w:val="20"/>
        </w:rPr>
        <w:t xml:space="preserve"> </w:t>
      </w:r>
      <w:r w:rsidRPr="00B004EE">
        <w:rPr>
          <w:rFonts w:ascii="Tahoma" w:hAnsi="Tahoma" w:cs="Tahoma"/>
          <w:sz w:val="20"/>
          <w:szCs w:val="20"/>
        </w:rPr>
        <w:t>décembre</w:t>
      </w:r>
      <w:r w:rsidR="00DB1635" w:rsidRPr="00B004EE">
        <w:rPr>
          <w:rFonts w:ascii="Tahoma" w:hAnsi="Tahoma" w:cs="Tahoma"/>
          <w:sz w:val="20"/>
          <w:szCs w:val="20"/>
        </w:rPr>
        <w:t xml:space="preserve"> </w:t>
      </w:r>
      <w:r w:rsidRPr="00B004EE">
        <w:rPr>
          <w:rFonts w:ascii="Tahoma" w:hAnsi="Tahoma" w:cs="Tahoma"/>
          <w:sz w:val="20"/>
          <w:szCs w:val="20"/>
        </w:rPr>
        <w:t>2019.</w:t>
      </w:r>
      <w:r w:rsidR="00DB1635" w:rsidRPr="00B004EE">
        <w:rPr>
          <w:rFonts w:ascii="Tahoma" w:hAnsi="Tahoma" w:cs="Tahoma"/>
          <w:sz w:val="20"/>
          <w:szCs w:val="20"/>
        </w:rPr>
        <w:t xml:space="preserve"> </w:t>
      </w:r>
    </w:p>
    <w:p w14:paraId="7C2A1CD5" w14:textId="77777777" w:rsidR="002F24E1" w:rsidRPr="00B004EE" w:rsidRDefault="002F24E1" w:rsidP="00B004EE">
      <w:pPr>
        <w:ind w:left="225" w:right="225"/>
        <w:jc w:val="both"/>
        <w:rPr>
          <w:rFonts w:ascii="Tahoma" w:hAnsi="Tahoma" w:cs="Tahoma"/>
          <w:sz w:val="20"/>
          <w:szCs w:val="20"/>
        </w:rPr>
      </w:pPr>
    </w:p>
    <w:p w14:paraId="76A11AF3" w14:textId="11F3DC74" w:rsidR="002F24E1" w:rsidRPr="00B004EE" w:rsidRDefault="002F24E1" w:rsidP="00B004EE">
      <w:pPr>
        <w:jc w:val="both"/>
        <w:rPr>
          <w:rFonts w:ascii="Tahoma" w:hAnsi="Tahoma" w:cs="Tahoma"/>
          <w:sz w:val="20"/>
          <w:szCs w:val="20"/>
        </w:rPr>
      </w:pPr>
      <w:r w:rsidRPr="00B004EE">
        <w:rPr>
          <w:rFonts w:ascii="Tahoma" w:hAnsi="Tahoma" w:cs="Tahoma"/>
          <w:sz w:val="20"/>
          <w:szCs w:val="20"/>
        </w:rPr>
        <w:t>Article</w:t>
      </w:r>
      <w:r w:rsidR="00DB1635" w:rsidRPr="00B004EE">
        <w:rPr>
          <w:rFonts w:ascii="Tahoma" w:hAnsi="Tahoma" w:cs="Tahoma"/>
          <w:sz w:val="20"/>
          <w:szCs w:val="20"/>
        </w:rPr>
        <w:t xml:space="preserve"> </w:t>
      </w:r>
      <w:r w:rsidRPr="00B004EE">
        <w:rPr>
          <w:rFonts w:ascii="Tahoma" w:hAnsi="Tahoma" w:cs="Tahoma"/>
          <w:sz w:val="20"/>
          <w:szCs w:val="20"/>
        </w:rPr>
        <w:t>2</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abrogées</w:t>
      </w:r>
      <w:r w:rsidR="00DB1635" w:rsidRPr="00B004EE">
        <w:rPr>
          <w:rFonts w:ascii="Tahoma" w:hAnsi="Tahoma" w:cs="Tahoma"/>
          <w:sz w:val="20"/>
          <w:szCs w:val="20"/>
        </w:rPr>
        <w:t xml:space="preserve"> </w:t>
      </w:r>
      <w:r w:rsidRPr="00B004EE">
        <w:rPr>
          <w:rFonts w:ascii="Tahoma" w:hAnsi="Tahoma" w:cs="Tahoma"/>
          <w:sz w:val="20"/>
          <w:szCs w:val="20"/>
        </w:rPr>
        <w:t>toutes</w:t>
      </w:r>
      <w:r w:rsidR="00DB1635" w:rsidRPr="00B004EE">
        <w:rPr>
          <w:rFonts w:ascii="Tahoma" w:hAnsi="Tahoma" w:cs="Tahoma"/>
          <w:sz w:val="20"/>
          <w:szCs w:val="20"/>
        </w:rPr>
        <w:t xml:space="preserve"> </w:t>
      </w:r>
      <w:r w:rsidRPr="00B004EE">
        <w:rPr>
          <w:rFonts w:ascii="Tahoma" w:hAnsi="Tahoma" w:cs="Tahoma"/>
          <w:sz w:val="20"/>
          <w:szCs w:val="20"/>
        </w:rPr>
        <w:t>dispositions</w:t>
      </w:r>
      <w:r w:rsidR="00DB1635" w:rsidRPr="00B004EE">
        <w:rPr>
          <w:rFonts w:ascii="Tahoma" w:hAnsi="Tahoma" w:cs="Tahoma"/>
          <w:sz w:val="20"/>
          <w:szCs w:val="20"/>
        </w:rPr>
        <w:t xml:space="preserve"> </w:t>
      </w:r>
      <w:r w:rsidRPr="00B004EE">
        <w:rPr>
          <w:rFonts w:ascii="Tahoma" w:hAnsi="Tahoma" w:cs="Tahoma"/>
          <w:sz w:val="20"/>
          <w:szCs w:val="20"/>
        </w:rPr>
        <w:t>antérieures</w:t>
      </w:r>
      <w:r w:rsidR="00DB1635" w:rsidRPr="00B004EE">
        <w:rPr>
          <w:rFonts w:ascii="Tahoma" w:hAnsi="Tahoma" w:cs="Tahoma"/>
          <w:sz w:val="20"/>
          <w:szCs w:val="20"/>
        </w:rPr>
        <w:t xml:space="preserve"> </w:t>
      </w:r>
      <w:r w:rsidRPr="00B004EE">
        <w:rPr>
          <w:rFonts w:ascii="Tahoma" w:hAnsi="Tahoma" w:cs="Tahoma"/>
          <w:sz w:val="20"/>
          <w:szCs w:val="20"/>
        </w:rPr>
        <w:t>contraires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notamment</w:t>
      </w:r>
      <w:r w:rsidR="00DB1635" w:rsidRPr="00B004EE">
        <w:rPr>
          <w:rFonts w:ascii="Tahoma" w:hAnsi="Tahoma" w:cs="Tahoma"/>
          <w:sz w:val="20"/>
          <w:szCs w:val="20"/>
        </w:rPr>
        <w:t xml:space="preserve"> </w:t>
      </w:r>
      <w:r w:rsidRPr="00B004EE">
        <w:rPr>
          <w:rFonts w:ascii="Tahoma" w:hAnsi="Tahoma" w:cs="Tahoma"/>
          <w:sz w:val="20"/>
          <w:szCs w:val="20"/>
        </w:rPr>
        <w:t>celles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l’arrête</w:t>
      </w:r>
      <w:r w:rsidR="00DB1635" w:rsidRPr="00B004EE">
        <w:rPr>
          <w:rFonts w:ascii="Tahoma" w:hAnsi="Tahoma" w:cs="Tahoma"/>
          <w:sz w:val="20"/>
          <w:szCs w:val="20"/>
        </w:rPr>
        <w:t xml:space="preserve"> </w:t>
      </w:r>
      <w:r w:rsidRPr="00B004EE">
        <w:rPr>
          <w:rFonts w:ascii="Tahoma" w:hAnsi="Tahoma" w:cs="Tahoma"/>
          <w:sz w:val="20"/>
          <w:szCs w:val="20"/>
        </w:rPr>
        <w:t>979-</w:t>
      </w:r>
      <w:r w:rsidR="00DB1635" w:rsidRPr="00B004EE">
        <w:rPr>
          <w:rFonts w:ascii="Tahoma" w:hAnsi="Tahoma" w:cs="Tahoma"/>
          <w:sz w:val="20"/>
          <w:szCs w:val="20"/>
        </w:rPr>
        <w:t xml:space="preserve"> </w:t>
      </w:r>
      <w:r w:rsidRPr="00B004EE">
        <w:rPr>
          <w:rFonts w:ascii="Tahoma" w:hAnsi="Tahoma" w:cs="Tahoma"/>
          <w:sz w:val="20"/>
          <w:szCs w:val="20"/>
        </w:rPr>
        <w:t>2012</w:t>
      </w:r>
      <w:r w:rsidR="00DB1635" w:rsidRPr="00B004EE">
        <w:rPr>
          <w:rFonts w:ascii="Tahoma" w:hAnsi="Tahoma" w:cs="Tahoma"/>
          <w:sz w:val="20"/>
          <w:szCs w:val="20"/>
        </w:rPr>
        <w:t xml:space="preserve"> </w:t>
      </w:r>
      <w:r w:rsidRPr="00B004EE">
        <w:rPr>
          <w:rFonts w:ascii="Tahoma" w:hAnsi="Tahoma" w:cs="Tahoma"/>
          <w:sz w:val="20"/>
          <w:szCs w:val="20"/>
        </w:rPr>
        <w:t>portant</w:t>
      </w:r>
      <w:r w:rsidR="00DB1635" w:rsidRPr="00B004EE">
        <w:rPr>
          <w:rFonts w:ascii="Tahoma" w:hAnsi="Tahoma" w:cs="Tahoma"/>
          <w:sz w:val="20"/>
          <w:szCs w:val="20"/>
        </w:rPr>
        <w:t xml:space="preserve"> </w:t>
      </w:r>
      <w:r w:rsidRPr="00B004EE">
        <w:rPr>
          <w:rFonts w:ascii="Tahoma" w:hAnsi="Tahoma" w:cs="Tahoma"/>
          <w:sz w:val="20"/>
          <w:szCs w:val="20"/>
        </w:rPr>
        <w:t>l’application</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décret</w:t>
      </w:r>
      <w:r w:rsidR="00DB1635" w:rsidRPr="00B004EE">
        <w:rPr>
          <w:rFonts w:ascii="Tahoma" w:hAnsi="Tahoma" w:cs="Tahoma"/>
          <w:sz w:val="20"/>
          <w:szCs w:val="20"/>
        </w:rPr>
        <w:t xml:space="preserve"> </w:t>
      </w:r>
      <w:r w:rsidRPr="00B004EE">
        <w:rPr>
          <w:rFonts w:ascii="Tahoma" w:hAnsi="Tahoma" w:cs="Tahoma"/>
          <w:sz w:val="20"/>
          <w:szCs w:val="20"/>
        </w:rPr>
        <w:t>n°</w:t>
      </w:r>
      <w:r w:rsidR="00DB1635" w:rsidRPr="00B004EE">
        <w:rPr>
          <w:rFonts w:ascii="Tahoma" w:hAnsi="Tahoma" w:cs="Tahoma"/>
          <w:sz w:val="20"/>
          <w:szCs w:val="20"/>
        </w:rPr>
        <w:t xml:space="preserve"> </w:t>
      </w:r>
      <w:r w:rsidRPr="00B004EE">
        <w:rPr>
          <w:rFonts w:ascii="Tahoma" w:hAnsi="Tahoma" w:cs="Tahoma"/>
          <w:sz w:val="20"/>
          <w:szCs w:val="20"/>
        </w:rPr>
        <w:t>072-2012</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12</w:t>
      </w:r>
      <w:r w:rsidR="00DB1635" w:rsidRPr="00B004EE">
        <w:rPr>
          <w:rFonts w:ascii="Tahoma" w:hAnsi="Tahoma" w:cs="Tahoma"/>
          <w:sz w:val="20"/>
          <w:szCs w:val="20"/>
        </w:rPr>
        <w:t xml:space="preserve"> </w:t>
      </w:r>
      <w:r w:rsidRPr="00B004EE">
        <w:rPr>
          <w:rFonts w:ascii="Tahoma" w:hAnsi="Tahoma" w:cs="Tahoma"/>
          <w:sz w:val="20"/>
          <w:szCs w:val="20"/>
        </w:rPr>
        <w:t>mars</w:t>
      </w:r>
      <w:r w:rsidR="00DB1635" w:rsidRPr="00B004EE">
        <w:rPr>
          <w:rFonts w:ascii="Tahoma" w:hAnsi="Tahoma" w:cs="Tahoma"/>
          <w:sz w:val="20"/>
          <w:szCs w:val="20"/>
        </w:rPr>
        <w:t xml:space="preserve"> </w:t>
      </w:r>
      <w:r w:rsidRPr="00B004EE">
        <w:rPr>
          <w:rFonts w:ascii="Tahoma" w:hAnsi="Tahoma" w:cs="Tahoma"/>
          <w:sz w:val="20"/>
          <w:szCs w:val="20"/>
        </w:rPr>
        <w:t>2012,</w:t>
      </w:r>
      <w:r w:rsidR="00DB1635" w:rsidRPr="00B004EE">
        <w:rPr>
          <w:rFonts w:ascii="Tahoma" w:hAnsi="Tahoma" w:cs="Tahoma"/>
          <w:sz w:val="20"/>
          <w:szCs w:val="20"/>
        </w:rPr>
        <w:t xml:space="preserve"> </w:t>
      </w:r>
      <w:r w:rsidRPr="00B004EE">
        <w:rPr>
          <w:rFonts w:ascii="Tahoma" w:hAnsi="Tahoma" w:cs="Tahoma"/>
          <w:sz w:val="20"/>
          <w:szCs w:val="20"/>
        </w:rPr>
        <w:t>portant</w:t>
      </w:r>
      <w:r w:rsidR="00DB1635" w:rsidRPr="00B004EE">
        <w:rPr>
          <w:rFonts w:ascii="Tahoma" w:hAnsi="Tahoma" w:cs="Tahoma"/>
          <w:sz w:val="20"/>
          <w:szCs w:val="20"/>
        </w:rPr>
        <w:t xml:space="preserve"> </w:t>
      </w:r>
      <w:r w:rsidRPr="00B004EE">
        <w:rPr>
          <w:rFonts w:ascii="Tahoma" w:hAnsi="Tahoma" w:cs="Tahoma"/>
          <w:sz w:val="20"/>
          <w:szCs w:val="20"/>
        </w:rPr>
        <w:t>règlementation</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règles</w:t>
      </w:r>
      <w:r w:rsidR="00DB1635" w:rsidRPr="00B004EE">
        <w:rPr>
          <w:rFonts w:ascii="Tahoma" w:hAnsi="Tahoma" w:cs="Tahoma"/>
          <w:sz w:val="20"/>
          <w:szCs w:val="20"/>
        </w:rPr>
        <w:t xml:space="preserve"> </w:t>
      </w:r>
      <w:r w:rsidRPr="00B004EE">
        <w:rPr>
          <w:rFonts w:ascii="Tahoma" w:hAnsi="Tahoma" w:cs="Tahoma"/>
          <w:sz w:val="20"/>
          <w:szCs w:val="20"/>
        </w:rPr>
        <w:t>sanitaires</w:t>
      </w:r>
      <w:r w:rsidR="00DB1635" w:rsidRPr="00B004EE">
        <w:rPr>
          <w:rFonts w:ascii="Tahoma" w:hAnsi="Tahoma" w:cs="Tahoma"/>
          <w:sz w:val="20"/>
          <w:szCs w:val="20"/>
        </w:rPr>
        <w:t xml:space="preserve"> </w:t>
      </w:r>
      <w:r w:rsidRPr="00B004EE">
        <w:rPr>
          <w:rFonts w:ascii="Tahoma" w:hAnsi="Tahoma" w:cs="Tahoma"/>
          <w:sz w:val="20"/>
          <w:szCs w:val="20"/>
        </w:rPr>
        <w:t>applicables</w:t>
      </w:r>
      <w:r w:rsidR="00DB1635" w:rsidRPr="00B004EE">
        <w:rPr>
          <w:rFonts w:ascii="Tahoma" w:hAnsi="Tahoma" w:cs="Tahoma"/>
          <w:sz w:val="20"/>
          <w:szCs w:val="20"/>
        </w:rPr>
        <w:t xml:space="preserve"> </w:t>
      </w:r>
      <w:r w:rsidRPr="00B004EE">
        <w:rPr>
          <w:rFonts w:ascii="Tahoma" w:hAnsi="Tahoma" w:cs="Tahoma"/>
          <w:sz w:val="20"/>
          <w:szCs w:val="20"/>
        </w:rPr>
        <w:t>aux</w:t>
      </w:r>
      <w:r w:rsidR="00DB1635" w:rsidRPr="00B004EE">
        <w:rPr>
          <w:rFonts w:ascii="Tahoma" w:hAnsi="Tahoma" w:cs="Tahoma"/>
          <w:sz w:val="20"/>
          <w:szCs w:val="20"/>
        </w:rPr>
        <w:t xml:space="preserve"> </w:t>
      </w:r>
      <w:r w:rsidRPr="00B004EE">
        <w:rPr>
          <w:rFonts w:ascii="Tahoma" w:hAnsi="Tahoma" w:cs="Tahoma"/>
          <w:sz w:val="20"/>
          <w:szCs w:val="20"/>
        </w:rPr>
        <w:t>sous-produits</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pêche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produits</w:t>
      </w:r>
      <w:r w:rsidR="00DB1635" w:rsidRPr="00B004EE">
        <w:rPr>
          <w:rFonts w:ascii="Tahoma" w:hAnsi="Tahoma" w:cs="Tahoma"/>
          <w:sz w:val="20"/>
          <w:szCs w:val="20"/>
        </w:rPr>
        <w:t xml:space="preserve"> </w:t>
      </w:r>
      <w:r w:rsidRPr="00B004EE">
        <w:rPr>
          <w:rFonts w:ascii="Tahoma" w:hAnsi="Tahoma" w:cs="Tahoma"/>
          <w:sz w:val="20"/>
          <w:szCs w:val="20"/>
        </w:rPr>
        <w:t>dérives</w:t>
      </w:r>
      <w:r w:rsidR="00DB1635" w:rsidRPr="00B004EE">
        <w:rPr>
          <w:rFonts w:ascii="Tahoma" w:hAnsi="Tahoma" w:cs="Tahoma"/>
          <w:sz w:val="20"/>
          <w:szCs w:val="20"/>
        </w:rPr>
        <w:t xml:space="preserve"> </w:t>
      </w:r>
      <w:r w:rsidRPr="00B004EE">
        <w:rPr>
          <w:rFonts w:ascii="Tahoma" w:hAnsi="Tahoma" w:cs="Tahoma"/>
          <w:sz w:val="20"/>
          <w:szCs w:val="20"/>
        </w:rPr>
        <w:t>non</w:t>
      </w:r>
      <w:r w:rsidR="00DB1635" w:rsidRPr="00B004EE">
        <w:rPr>
          <w:rFonts w:ascii="Tahoma" w:hAnsi="Tahoma" w:cs="Tahoma"/>
          <w:sz w:val="20"/>
          <w:szCs w:val="20"/>
        </w:rPr>
        <w:t xml:space="preserve"> </w:t>
      </w:r>
      <w:r w:rsidRPr="00B004EE">
        <w:rPr>
          <w:rFonts w:ascii="Tahoma" w:hAnsi="Tahoma" w:cs="Tahoma"/>
          <w:sz w:val="20"/>
          <w:szCs w:val="20"/>
        </w:rPr>
        <w:t>destines</w:t>
      </w:r>
      <w:r w:rsidR="00DB1635" w:rsidRPr="00B004EE">
        <w:rPr>
          <w:rFonts w:ascii="Tahoma" w:hAnsi="Tahoma" w:cs="Tahoma"/>
          <w:sz w:val="20"/>
          <w:szCs w:val="20"/>
        </w:rPr>
        <w:t xml:space="preserve"> </w:t>
      </w:r>
      <w:r w:rsidRPr="00B004EE">
        <w:rPr>
          <w:rFonts w:ascii="Tahoma" w:hAnsi="Tahoma" w:cs="Tahoma"/>
          <w:sz w:val="20"/>
          <w:szCs w:val="20"/>
        </w:rPr>
        <w:t>à</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consommation</w:t>
      </w:r>
      <w:r w:rsidR="00DB1635" w:rsidRPr="00B004EE">
        <w:rPr>
          <w:rFonts w:ascii="Tahoma" w:hAnsi="Tahoma" w:cs="Tahoma"/>
          <w:sz w:val="20"/>
          <w:szCs w:val="20"/>
        </w:rPr>
        <w:t xml:space="preserve"> </w:t>
      </w:r>
      <w:r w:rsidRPr="00B004EE">
        <w:rPr>
          <w:rFonts w:ascii="Tahoma" w:hAnsi="Tahoma" w:cs="Tahoma"/>
          <w:sz w:val="20"/>
          <w:szCs w:val="20"/>
        </w:rPr>
        <w:t>humaine.</w:t>
      </w:r>
    </w:p>
    <w:p w14:paraId="1D93DAFC" w14:textId="77777777" w:rsidR="002F24E1" w:rsidRPr="00B004EE" w:rsidRDefault="002F24E1" w:rsidP="00B004EE">
      <w:pPr>
        <w:jc w:val="both"/>
        <w:rPr>
          <w:rFonts w:ascii="Tahoma" w:hAnsi="Tahoma" w:cs="Tahoma"/>
          <w:sz w:val="20"/>
          <w:szCs w:val="20"/>
        </w:rPr>
      </w:pPr>
    </w:p>
    <w:p w14:paraId="4C44AF04" w14:textId="27703068" w:rsidR="002F24E1" w:rsidRPr="00B004EE" w:rsidRDefault="002F24E1" w:rsidP="00B004EE">
      <w:pPr>
        <w:jc w:val="both"/>
        <w:rPr>
          <w:rFonts w:ascii="Tahoma" w:hAnsi="Tahoma" w:cs="Tahoma"/>
          <w:sz w:val="20"/>
          <w:szCs w:val="20"/>
        </w:rPr>
      </w:pPr>
      <w:r w:rsidRPr="00B004EE">
        <w:rPr>
          <w:rFonts w:ascii="Tahoma" w:hAnsi="Tahoma" w:cs="Tahoma"/>
          <w:sz w:val="20"/>
          <w:szCs w:val="20"/>
        </w:rPr>
        <w:t>Article</w:t>
      </w:r>
      <w:r w:rsidR="00DB1635" w:rsidRPr="00B004EE">
        <w:rPr>
          <w:rFonts w:ascii="Tahoma" w:hAnsi="Tahoma" w:cs="Tahoma"/>
          <w:sz w:val="20"/>
          <w:szCs w:val="20"/>
        </w:rPr>
        <w:t xml:space="preserve"> </w:t>
      </w:r>
      <w:r w:rsidRPr="00B004EE">
        <w:rPr>
          <w:rFonts w:ascii="Tahoma" w:hAnsi="Tahoma" w:cs="Tahoma"/>
          <w:sz w:val="20"/>
          <w:szCs w:val="20"/>
        </w:rPr>
        <w:t>3</w:t>
      </w:r>
      <w:r w:rsidR="00DB1635" w:rsidRPr="00B004EE">
        <w:rPr>
          <w:rFonts w:ascii="Tahoma" w:hAnsi="Tahoma" w:cs="Tahoma"/>
          <w:sz w:val="20"/>
          <w:szCs w:val="20"/>
        </w:rPr>
        <w:t xml:space="preserve"> </w:t>
      </w:r>
      <w:r w:rsidRPr="00B004EE">
        <w:rPr>
          <w:rFonts w:ascii="Tahoma" w:hAnsi="Tahoma" w:cs="Tahoma"/>
          <w:sz w:val="20"/>
          <w:szCs w:val="20"/>
        </w:rPr>
        <w:t>:</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Secrétaires</w:t>
      </w:r>
      <w:r w:rsidR="00DB1635" w:rsidRPr="00B004EE">
        <w:rPr>
          <w:rFonts w:ascii="Tahoma" w:hAnsi="Tahoma" w:cs="Tahoma"/>
          <w:sz w:val="20"/>
          <w:szCs w:val="20"/>
        </w:rPr>
        <w:t xml:space="preserve"> </w:t>
      </w:r>
      <w:r w:rsidRPr="00B004EE">
        <w:rPr>
          <w:rFonts w:ascii="Tahoma" w:hAnsi="Tahoma" w:cs="Tahoma"/>
          <w:sz w:val="20"/>
          <w:szCs w:val="20"/>
        </w:rPr>
        <w:t>Général</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Ministère</w:t>
      </w:r>
      <w:r w:rsidR="00DB1635" w:rsidRPr="00B004EE">
        <w:rPr>
          <w:rFonts w:ascii="Tahoma" w:hAnsi="Tahoma" w:cs="Tahoma"/>
          <w:sz w:val="20"/>
          <w:szCs w:val="20"/>
        </w:rPr>
        <w:t xml:space="preserve"> </w:t>
      </w:r>
      <w:r w:rsidRPr="00B004EE">
        <w:rPr>
          <w:rFonts w:ascii="Tahoma" w:hAnsi="Tahoma" w:cs="Tahoma"/>
          <w:sz w:val="20"/>
          <w:szCs w:val="20"/>
        </w:rPr>
        <w:t>des</w:t>
      </w:r>
      <w:r w:rsidR="00DB1635" w:rsidRPr="00B004EE">
        <w:rPr>
          <w:rFonts w:ascii="Tahoma" w:hAnsi="Tahoma" w:cs="Tahoma"/>
          <w:sz w:val="20"/>
          <w:szCs w:val="20"/>
        </w:rPr>
        <w:t xml:space="preserve"> </w:t>
      </w:r>
      <w:r w:rsidRPr="00B004EE">
        <w:rPr>
          <w:rFonts w:ascii="Tahoma" w:hAnsi="Tahoma" w:cs="Tahoma"/>
          <w:sz w:val="20"/>
          <w:szCs w:val="20"/>
        </w:rPr>
        <w:t>Pêches</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l’Economie</w:t>
      </w:r>
      <w:r w:rsidR="00DB1635" w:rsidRPr="00B004EE">
        <w:rPr>
          <w:rFonts w:ascii="Tahoma" w:hAnsi="Tahoma" w:cs="Tahoma"/>
          <w:sz w:val="20"/>
          <w:szCs w:val="20"/>
        </w:rPr>
        <w:t xml:space="preserve"> </w:t>
      </w:r>
      <w:r w:rsidRPr="00B004EE">
        <w:rPr>
          <w:rFonts w:ascii="Tahoma" w:hAnsi="Tahoma" w:cs="Tahoma"/>
          <w:sz w:val="20"/>
          <w:szCs w:val="20"/>
        </w:rPr>
        <w:t>Maritime,</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Secrétaire</w:t>
      </w:r>
      <w:r w:rsidR="00DB1635" w:rsidRPr="00B004EE">
        <w:rPr>
          <w:rFonts w:ascii="Tahoma" w:hAnsi="Tahoma" w:cs="Tahoma"/>
          <w:sz w:val="20"/>
          <w:szCs w:val="20"/>
        </w:rPr>
        <w:t xml:space="preserve"> </w:t>
      </w:r>
      <w:r w:rsidRPr="00B004EE">
        <w:rPr>
          <w:rFonts w:ascii="Tahoma" w:hAnsi="Tahoma" w:cs="Tahoma"/>
          <w:sz w:val="20"/>
          <w:szCs w:val="20"/>
        </w:rPr>
        <w:t>général</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Ministère</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Commerce,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l’Industrie,</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Tourisme,</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Secrétaire</w:t>
      </w:r>
      <w:r w:rsidR="00DB1635" w:rsidRPr="00B004EE">
        <w:rPr>
          <w:rFonts w:ascii="Tahoma" w:hAnsi="Tahoma" w:cs="Tahoma"/>
          <w:sz w:val="20"/>
          <w:szCs w:val="20"/>
        </w:rPr>
        <w:t xml:space="preserve"> </w:t>
      </w:r>
      <w:r w:rsidRPr="00B004EE">
        <w:rPr>
          <w:rFonts w:ascii="Tahoma" w:hAnsi="Tahoma" w:cs="Tahoma"/>
          <w:sz w:val="20"/>
          <w:szCs w:val="20"/>
        </w:rPr>
        <w:t>Général</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Ministère</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lastRenderedPageBreak/>
        <w:t>Développement</w:t>
      </w:r>
      <w:r w:rsidR="00DB1635" w:rsidRPr="00B004EE">
        <w:rPr>
          <w:rFonts w:ascii="Tahoma" w:hAnsi="Tahoma" w:cs="Tahoma"/>
          <w:sz w:val="20"/>
          <w:szCs w:val="20"/>
        </w:rPr>
        <w:t xml:space="preserve"> </w:t>
      </w:r>
      <w:r w:rsidRPr="00B004EE">
        <w:rPr>
          <w:rFonts w:ascii="Tahoma" w:hAnsi="Tahoma" w:cs="Tahoma"/>
          <w:sz w:val="20"/>
          <w:szCs w:val="20"/>
        </w:rPr>
        <w:t>Rural</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secrétaire</w:t>
      </w:r>
      <w:r w:rsidR="00DB1635" w:rsidRPr="00B004EE">
        <w:rPr>
          <w:rFonts w:ascii="Tahoma" w:hAnsi="Tahoma" w:cs="Tahoma"/>
          <w:sz w:val="20"/>
          <w:szCs w:val="20"/>
        </w:rPr>
        <w:t xml:space="preserve"> </w:t>
      </w:r>
      <w:r w:rsidRPr="00B004EE">
        <w:rPr>
          <w:rFonts w:ascii="Tahoma" w:hAnsi="Tahoma" w:cs="Tahoma"/>
          <w:sz w:val="20"/>
          <w:szCs w:val="20"/>
        </w:rPr>
        <w:t>Général</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Ministère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l’Environnement</w:t>
      </w:r>
      <w:r w:rsidR="00DB1635" w:rsidRPr="00B004EE">
        <w:rPr>
          <w:rFonts w:ascii="Tahoma" w:hAnsi="Tahoma" w:cs="Tahoma"/>
          <w:sz w:val="20"/>
          <w:szCs w:val="20"/>
        </w:rPr>
        <w:t xml:space="preserve"> </w:t>
      </w:r>
      <w:r w:rsidRPr="00B004EE">
        <w:rPr>
          <w:rFonts w:ascii="Tahoma" w:hAnsi="Tahoma" w:cs="Tahoma"/>
          <w:sz w:val="20"/>
          <w:szCs w:val="20"/>
        </w:rPr>
        <w:t>et</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Développement</w:t>
      </w:r>
      <w:r w:rsidR="00DB1635" w:rsidRPr="00B004EE">
        <w:rPr>
          <w:rFonts w:ascii="Tahoma" w:hAnsi="Tahoma" w:cs="Tahoma"/>
          <w:sz w:val="20"/>
          <w:szCs w:val="20"/>
        </w:rPr>
        <w:t xml:space="preserve"> </w:t>
      </w:r>
      <w:r w:rsidRPr="00B004EE">
        <w:rPr>
          <w:rFonts w:ascii="Tahoma" w:hAnsi="Tahoma" w:cs="Tahoma"/>
          <w:sz w:val="20"/>
          <w:szCs w:val="20"/>
        </w:rPr>
        <w:t>Durable</w:t>
      </w:r>
      <w:r w:rsidR="00DB1635" w:rsidRPr="00B004EE">
        <w:rPr>
          <w:rFonts w:ascii="Tahoma" w:hAnsi="Tahoma" w:cs="Tahoma"/>
          <w:sz w:val="20"/>
          <w:szCs w:val="20"/>
        </w:rPr>
        <w:t xml:space="preserve"> </w:t>
      </w:r>
      <w:r w:rsidRPr="00B004EE">
        <w:rPr>
          <w:rFonts w:ascii="Tahoma" w:hAnsi="Tahoma" w:cs="Tahoma"/>
          <w:sz w:val="20"/>
          <w:szCs w:val="20"/>
        </w:rPr>
        <w:t>sont</w:t>
      </w:r>
      <w:r w:rsidR="00DB1635" w:rsidRPr="00B004EE">
        <w:rPr>
          <w:rFonts w:ascii="Tahoma" w:hAnsi="Tahoma" w:cs="Tahoma"/>
          <w:sz w:val="20"/>
          <w:szCs w:val="20"/>
        </w:rPr>
        <w:t xml:space="preserve"> </w:t>
      </w:r>
      <w:r w:rsidRPr="00B004EE">
        <w:rPr>
          <w:rFonts w:ascii="Tahoma" w:hAnsi="Tahoma" w:cs="Tahoma"/>
          <w:sz w:val="20"/>
          <w:szCs w:val="20"/>
        </w:rPr>
        <w:t>chargés,</w:t>
      </w:r>
      <w:r w:rsidR="00DB1635" w:rsidRPr="00B004EE">
        <w:rPr>
          <w:rFonts w:ascii="Tahoma" w:hAnsi="Tahoma" w:cs="Tahoma"/>
          <w:sz w:val="20"/>
          <w:szCs w:val="20"/>
        </w:rPr>
        <w:t xml:space="preserve"> </w:t>
      </w:r>
      <w:r w:rsidRPr="00B004EE">
        <w:rPr>
          <w:rFonts w:ascii="Tahoma" w:hAnsi="Tahoma" w:cs="Tahoma"/>
          <w:sz w:val="20"/>
          <w:szCs w:val="20"/>
        </w:rPr>
        <w:t>chacun</w:t>
      </w:r>
      <w:r w:rsidR="00DB1635" w:rsidRPr="00B004EE">
        <w:rPr>
          <w:rFonts w:ascii="Tahoma" w:hAnsi="Tahoma" w:cs="Tahoma"/>
          <w:sz w:val="20"/>
          <w:szCs w:val="20"/>
        </w:rPr>
        <w:t xml:space="preserve"> </w:t>
      </w:r>
      <w:r w:rsidRPr="00B004EE">
        <w:rPr>
          <w:rFonts w:ascii="Tahoma" w:hAnsi="Tahoma" w:cs="Tahoma"/>
          <w:sz w:val="20"/>
          <w:szCs w:val="20"/>
        </w:rPr>
        <w:t>en</w:t>
      </w:r>
      <w:r w:rsidR="00DB1635" w:rsidRPr="00B004EE">
        <w:rPr>
          <w:rFonts w:ascii="Tahoma" w:hAnsi="Tahoma" w:cs="Tahoma"/>
          <w:sz w:val="20"/>
          <w:szCs w:val="20"/>
        </w:rPr>
        <w:t xml:space="preserve"> </w:t>
      </w:r>
      <w:r w:rsidRPr="00B004EE">
        <w:rPr>
          <w:rFonts w:ascii="Tahoma" w:hAnsi="Tahoma" w:cs="Tahoma"/>
          <w:sz w:val="20"/>
          <w:szCs w:val="20"/>
        </w:rPr>
        <w:t>ce</w:t>
      </w:r>
      <w:r w:rsidR="00DB1635" w:rsidRPr="00B004EE">
        <w:rPr>
          <w:rFonts w:ascii="Tahoma" w:hAnsi="Tahoma" w:cs="Tahoma"/>
          <w:sz w:val="20"/>
          <w:szCs w:val="20"/>
        </w:rPr>
        <w:t xml:space="preserve"> </w:t>
      </w:r>
      <w:r w:rsidRPr="00B004EE">
        <w:rPr>
          <w:rFonts w:ascii="Tahoma" w:hAnsi="Tahoma" w:cs="Tahoma"/>
          <w:sz w:val="20"/>
          <w:szCs w:val="20"/>
        </w:rPr>
        <w:t>qui</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concerne,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l’exécution</w:t>
      </w:r>
      <w:r w:rsidR="00DB1635" w:rsidRPr="00B004EE">
        <w:rPr>
          <w:rFonts w:ascii="Tahoma" w:hAnsi="Tahoma" w:cs="Tahoma"/>
          <w:sz w:val="20"/>
          <w:szCs w:val="20"/>
        </w:rPr>
        <w:t xml:space="preserve"> </w:t>
      </w:r>
      <w:r w:rsidRPr="00B004EE">
        <w:rPr>
          <w:rFonts w:ascii="Tahoma" w:hAnsi="Tahoma" w:cs="Tahoma"/>
          <w:sz w:val="20"/>
          <w:szCs w:val="20"/>
        </w:rPr>
        <w:t>du</w:t>
      </w:r>
      <w:r w:rsidR="00DB1635" w:rsidRPr="00B004EE">
        <w:rPr>
          <w:rFonts w:ascii="Tahoma" w:hAnsi="Tahoma" w:cs="Tahoma"/>
          <w:sz w:val="20"/>
          <w:szCs w:val="20"/>
        </w:rPr>
        <w:t xml:space="preserve"> </w:t>
      </w:r>
      <w:r w:rsidRPr="00B004EE">
        <w:rPr>
          <w:rFonts w:ascii="Tahoma" w:hAnsi="Tahoma" w:cs="Tahoma"/>
          <w:sz w:val="20"/>
          <w:szCs w:val="20"/>
        </w:rPr>
        <w:t>présent</w:t>
      </w:r>
      <w:r w:rsidR="00DB1635" w:rsidRPr="00B004EE">
        <w:rPr>
          <w:rFonts w:ascii="Tahoma" w:hAnsi="Tahoma" w:cs="Tahoma"/>
          <w:sz w:val="20"/>
          <w:szCs w:val="20"/>
        </w:rPr>
        <w:t xml:space="preserve"> </w:t>
      </w:r>
      <w:r w:rsidRPr="00B004EE">
        <w:rPr>
          <w:rFonts w:ascii="Tahoma" w:hAnsi="Tahoma" w:cs="Tahoma"/>
          <w:sz w:val="20"/>
          <w:szCs w:val="20"/>
        </w:rPr>
        <w:t>arrêté</w:t>
      </w:r>
      <w:r w:rsidR="00DB1635" w:rsidRPr="00B004EE">
        <w:rPr>
          <w:rFonts w:ascii="Tahoma" w:hAnsi="Tahoma" w:cs="Tahoma"/>
          <w:sz w:val="20"/>
          <w:szCs w:val="20"/>
        </w:rPr>
        <w:t xml:space="preserve"> </w:t>
      </w:r>
      <w:r w:rsidRPr="00B004EE">
        <w:rPr>
          <w:rFonts w:ascii="Tahoma" w:hAnsi="Tahoma" w:cs="Tahoma"/>
          <w:sz w:val="20"/>
          <w:szCs w:val="20"/>
        </w:rPr>
        <w:t>qui</w:t>
      </w:r>
      <w:r w:rsidR="00DB1635" w:rsidRPr="00B004EE">
        <w:rPr>
          <w:rFonts w:ascii="Tahoma" w:hAnsi="Tahoma" w:cs="Tahoma"/>
          <w:sz w:val="20"/>
          <w:szCs w:val="20"/>
        </w:rPr>
        <w:t xml:space="preserve"> </w:t>
      </w:r>
      <w:r w:rsidRPr="00B004EE">
        <w:rPr>
          <w:rFonts w:ascii="Tahoma" w:hAnsi="Tahoma" w:cs="Tahoma"/>
          <w:sz w:val="20"/>
          <w:szCs w:val="20"/>
        </w:rPr>
        <w:t>sera</w:t>
      </w:r>
      <w:r w:rsidR="00DB1635" w:rsidRPr="00B004EE">
        <w:rPr>
          <w:rFonts w:ascii="Tahoma" w:hAnsi="Tahoma" w:cs="Tahoma"/>
          <w:sz w:val="20"/>
          <w:szCs w:val="20"/>
        </w:rPr>
        <w:t xml:space="preserve"> </w:t>
      </w:r>
      <w:r w:rsidRPr="00B004EE">
        <w:rPr>
          <w:rFonts w:ascii="Tahoma" w:hAnsi="Tahoma" w:cs="Tahoma"/>
          <w:sz w:val="20"/>
          <w:szCs w:val="20"/>
        </w:rPr>
        <w:t>publié</w:t>
      </w:r>
      <w:r w:rsidR="00DB1635" w:rsidRPr="00B004EE">
        <w:rPr>
          <w:rFonts w:ascii="Tahoma" w:hAnsi="Tahoma" w:cs="Tahoma"/>
          <w:sz w:val="20"/>
          <w:szCs w:val="20"/>
        </w:rPr>
        <w:t xml:space="preserve"> </w:t>
      </w:r>
      <w:r w:rsidRPr="00B004EE">
        <w:rPr>
          <w:rFonts w:ascii="Tahoma" w:hAnsi="Tahoma" w:cs="Tahoma"/>
          <w:sz w:val="20"/>
          <w:szCs w:val="20"/>
        </w:rPr>
        <w:t>dans</w:t>
      </w:r>
      <w:r w:rsidR="00DB1635" w:rsidRPr="00B004EE">
        <w:rPr>
          <w:rFonts w:ascii="Tahoma" w:hAnsi="Tahoma" w:cs="Tahoma"/>
          <w:sz w:val="20"/>
          <w:szCs w:val="20"/>
        </w:rPr>
        <w:t xml:space="preserve"> </w:t>
      </w:r>
      <w:r w:rsidRPr="00B004EE">
        <w:rPr>
          <w:rFonts w:ascii="Tahoma" w:hAnsi="Tahoma" w:cs="Tahoma"/>
          <w:sz w:val="20"/>
          <w:szCs w:val="20"/>
        </w:rPr>
        <w:t>le</w:t>
      </w:r>
      <w:r w:rsidR="00DB1635" w:rsidRPr="00B004EE">
        <w:rPr>
          <w:rFonts w:ascii="Tahoma" w:hAnsi="Tahoma" w:cs="Tahoma"/>
          <w:sz w:val="20"/>
          <w:szCs w:val="20"/>
        </w:rPr>
        <w:t xml:space="preserve"> </w:t>
      </w:r>
      <w:r w:rsidRPr="00B004EE">
        <w:rPr>
          <w:rFonts w:ascii="Tahoma" w:hAnsi="Tahoma" w:cs="Tahoma"/>
          <w:sz w:val="20"/>
          <w:szCs w:val="20"/>
        </w:rPr>
        <w:t>Journal</w:t>
      </w:r>
      <w:r w:rsidR="00DB1635" w:rsidRPr="00B004EE">
        <w:rPr>
          <w:rFonts w:ascii="Tahoma" w:hAnsi="Tahoma" w:cs="Tahoma"/>
          <w:sz w:val="20"/>
          <w:szCs w:val="20"/>
        </w:rPr>
        <w:t xml:space="preserve"> </w:t>
      </w:r>
      <w:r w:rsidRPr="00B004EE">
        <w:rPr>
          <w:rFonts w:ascii="Tahoma" w:hAnsi="Tahoma" w:cs="Tahoma"/>
          <w:sz w:val="20"/>
          <w:szCs w:val="20"/>
        </w:rPr>
        <w:t>Officiel</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la</w:t>
      </w:r>
      <w:r w:rsidR="00DB1635" w:rsidRPr="00B004EE">
        <w:rPr>
          <w:rFonts w:ascii="Tahoma" w:hAnsi="Tahoma" w:cs="Tahoma"/>
          <w:sz w:val="20"/>
          <w:szCs w:val="20"/>
        </w:rPr>
        <w:t xml:space="preserve"> </w:t>
      </w:r>
      <w:r w:rsidRPr="00B004EE">
        <w:rPr>
          <w:rFonts w:ascii="Tahoma" w:hAnsi="Tahoma" w:cs="Tahoma"/>
          <w:sz w:val="20"/>
          <w:szCs w:val="20"/>
        </w:rPr>
        <w:t>République</w:t>
      </w:r>
      <w:r w:rsidR="00DB1635" w:rsidRPr="00B004EE">
        <w:rPr>
          <w:rFonts w:ascii="Tahoma" w:hAnsi="Tahoma" w:cs="Tahoma"/>
          <w:sz w:val="20"/>
          <w:szCs w:val="20"/>
        </w:rPr>
        <w:t xml:space="preserve"> </w:t>
      </w:r>
      <w:r w:rsidRPr="00B004EE">
        <w:rPr>
          <w:rFonts w:ascii="Tahoma" w:hAnsi="Tahoma" w:cs="Tahoma"/>
          <w:sz w:val="20"/>
          <w:szCs w:val="20"/>
        </w:rPr>
        <w:t>Islamique</w:t>
      </w:r>
      <w:r w:rsidR="00DB1635" w:rsidRPr="00B004EE">
        <w:rPr>
          <w:rFonts w:ascii="Tahoma" w:hAnsi="Tahoma" w:cs="Tahoma"/>
          <w:sz w:val="20"/>
          <w:szCs w:val="20"/>
        </w:rPr>
        <w:t xml:space="preserve"> </w:t>
      </w:r>
      <w:r w:rsidRPr="00B004EE">
        <w:rPr>
          <w:rFonts w:ascii="Tahoma" w:hAnsi="Tahoma" w:cs="Tahoma"/>
          <w:sz w:val="20"/>
          <w:szCs w:val="20"/>
        </w:rPr>
        <w:t>de</w:t>
      </w:r>
      <w:r w:rsidR="00DB1635" w:rsidRPr="00B004EE">
        <w:rPr>
          <w:rFonts w:ascii="Tahoma" w:hAnsi="Tahoma" w:cs="Tahoma"/>
          <w:sz w:val="20"/>
          <w:szCs w:val="20"/>
        </w:rPr>
        <w:t xml:space="preserve"> </w:t>
      </w:r>
      <w:r w:rsidRPr="00B004EE">
        <w:rPr>
          <w:rFonts w:ascii="Tahoma" w:hAnsi="Tahoma" w:cs="Tahoma"/>
          <w:sz w:val="20"/>
          <w:szCs w:val="20"/>
        </w:rPr>
        <w:t>Mauritanie.</w:t>
      </w:r>
    </w:p>
    <w:p w14:paraId="01FB1282" w14:textId="77777777" w:rsidR="002F24E1" w:rsidRPr="00B004EE" w:rsidRDefault="002F24E1" w:rsidP="00B004EE">
      <w:pPr>
        <w:jc w:val="both"/>
        <w:rPr>
          <w:rFonts w:ascii="Tahoma" w:hAnsi="Tahoma" w:cs="Tahoma"/>
          <w:sz w:val="20"/>
          <w:szCs w:val="20"/>
        </w:rPr>
      </w:pPr>
    </w:p>
    <w:p w14:paraId="1801C7D7" w14:textId="580BE5D4" w:rsidR="00461EC9" w:rsidRPr="00B004EE" w:rsidRDefault="002F24E1" w:rsidP="00B004EE">
      <w:pPr>
        <w:jc w:val="right"/>
        <w:rPr>
          <w:rFonts w:ascii="Tahoma" w:hAnsi="Tahoma" w:cs="Tahoma"/>
          <w:i/>
          <w:iCs/>
          <w:sz w:val="20"/>
          <w:szCs w:val="20"/>
        </w:rPr>
      </w:pPr>
      <w:r w:rsidRPr="00B004EE">
        <w:rPr>
          <w:rFonts w:ascii="Tahoma" w:hAnsi="Tahoma" w:cs="Tahoma"/>
          <w:i/>
          <w:iCs/>
          <w:sz w:val="20"/>
          <w:szCs w:val="20"/>
        </w:rPr>
        <w:t>Fait</w:t>
      </w:r>
      <w:r w:rsidR="00DB1635" w:rsidRPr="00B004EE">
        <w:rPr>
          <w:rFonts w:ascii="Tahoma" w:hAnsi="Tahoma" w:cs="Tahoma"/>
          <w:i/>
          <w:iCs/>
          <w:sz w:val="20"/>
          <w:szCs w:val="20"/>
        </w:rPr>
        <w:t xml:space="preserve"> </w:t>
      </w:r>
      <w:r w:rsidRPr="00B004EE">
        <w:rPr>
          <w:rFonts w:ascii="Tahoma" w:hAnsi="Tahoma" w:cs="Tahoma"/>
          <w:i/>
          <w:iCs/>
          <w:sz w:val="20"/>
          <w:szCs w:val="20"/>
        </w:rPr>
        <w:t>à</w:t>
      </w:r>
      <w:r w:rsidR="00DB1635" w:rsidRPr="00B004EE">
        <w:rPr>
          <w:rFonts w:ascii="Tahoma" w:hAnsi="Tahoma" w:cs="Tahoma"/>
          <w:i/>
          <w:iCs/>
          <w:sz w:val="20"/>
          <w:szCs w:val="20"/>
        </w:rPr>
        <w:t xml:space="preserve"> </w:t>
      </w:r>
      <w:r w:rsidRPr="00B004EE">
        <w:rPr>
          <w:rFonts w:ascii="Tahoma" w:hAnsi="Tahoma" w:cs="Tahoma"/>
          <w:i/>
          <w:iCs/>
          <w:sz w:val="20"/>
          <w:szCs w:val="20"/>
        </w:rPr>
        <w:t>Nouakchott,</w:t>
      </w:r>
      <w:r w:rsidR="00DB1635" w:rsidRPr="00B004EE">
        <w:rPr>
          <w:rFonts w:ascii="Tahoma" w:hAnsi="Tahoma" w:cs="Tahoma"/>
          <w:i/>
          <w:iCs/>
          <w:sz w:val="20"/>
          <w:szCs w:val="20"/>
        </w:rPr>
        <w:t xml:space="preserve"> </w:t>
      </w:r>
      <w:r w:rsidRPr="00B004EE">
        <w:rPr>
          <w:rFonts w:ascii="Tahoma" w:hAnsi="Tahoma" w:cs="Tahoma"/>
          <w:i/>
          <w:iCs/>
          <w:sz w:val="20"/>
          <w:szCs w:val="20"/>
        </w:rPr>
        <w:t>le</w:t>
      </w:r>
      <w:r w:rsidR="00DB1635" w:rsidRPr="00B004EE">
        <w:rPr>
          <w:rFonts w:ascii="Tahoma" w:hAnsi="Tahoma" w:cs="Tahoma"/>
          <w:i/>
          <w:iCs/>
          <w:sz w:val="20"/>
          <w:szCs w:val="20"/>
        </w:rPr>
        <w:t xml:space="preserve"> </w:t>
      </w:r>
      <w:r w:rsidRPr="00B004EE">
        <w:rPr>
          <w:rFonts w:ascii="Tahoma" w:hAnsi="Tahoma" w:cs="Tahoma"/>
          <w:i/>
          <w:iCs/>
          <w:sz w:val="20"/>
          <w:szCs w:val="20"/>
        </w:rPr>
        <w:t>:</w:t>
      </w:r>
      <w:r w:rsidR="00DB1635" w:rsidRPr="00B004EE">
        <w:rPr>
          <w:rFonts w:ascii="Tahoma" w:hAnsi="Tahoma" w:cs="Tahoma"/>
          <w:i/>
          <w:iCs/>
          <w:sz w:val="20"/>
          <w:szCs w:val="20"/>
        </w:rPr>
        <w:t xml:space="preserve"> </w:t>
      </w:r>
      <w:r w:rsidRPr="00B004EE">
        <w:rPr>
          <w:rFonts w:ascii="Tahoma" w:hAnsi="Tahoma" w:cs="Tahoma"/>
          <w:i/>
          <w:iCs/>
          <w:sz w:val="20"/>
          <w:szCs w:val="20"/>
        </w:rPr>
        <w:t>14</w:t>
      </w:r>
      <w:r w:rsidR="00DB1635" w:rsidRPr="00B004EE">
        <w:rPr>
          <w:rFonts w:ascii="Tahoma" w:hAnsi="Tahoma" w:cs="Tahoma"/>
          <w:i/>
          <w:iCs/>
          <w:sz w:val="20"/>
          <w:szCs w:val="20"/>
        </w:rPr>
        <w:t xml:space="preserve"> </w:t>
      </w:r>
      <w:r w:rsidRPr="00B004EE">
        <w:rPr>
          <w:rFonts w:ascii="Tahoma" w:hAnsi="Tahoma" w:cs="Tahoma"/>
          <w:i/>
          <w:iCs/>
          <w:sz w:val="20"/>
          <w:szCs w:val="20"/>
        </w:rPr>
        <w:t>janvier</w:t>
      </w:r>
      <w:r w:rsidR="00DB1635" w:rsidRPr="00B004EE">
        <w:rPr>
          <w:rFonts w:ascii="Tahoma" w:hAnsi="Tahoma" w:cs="Tahoma"/>
          <w:i/>
          <w:iCs/>
          <w:sz w:val="20"/>
          <w:szCs w:val="20"/>
        </w:rPr>
        <w:t xml:space="preserve"> </w:t>
      </w:r>
      <w:r w:rsidRPr="00B004EE">
        <w:rPr>
          <w:rFonts w:ascii="Tahoma" w:hAnsi="Tahoma" w:cs="Tahoma"/>
          <w:i/>
          <w:iCs/>
          <w:sz w:val="20"/>
          <w:szCs w:val="20"/>
        </w:rPr>
        <w:t>2019</w:t>
      </w:r>
    </w:p>
    <w:p w14:paraId="64E422D0" w14:textId="4EFE8A1E" w:rsidR="00DB2C7A" w:rsidRPr="00B004EE" w:rsidRDefault="00DB2C7A" w:rsidP="00B004EE">
      <w:pPr>
        <w:jc w:val="right"/>
        <w:rPr>
          <w:rFonts w:ascii="Tahoma" w:hAnsi="Tahoma" w:cs="Tahoma"/>
          <w:i/>
          <w:iCs/>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4298"/>
      </w:tblGrid>
      <w:tr w:rsidR="00DB2C7A" w:rsidRPr="00FA0779" w14:paraId="598D4641" w14:textId="77777777" w:rsidTr="00765E15">
        <w:tc>
          <w:tcPr>
            <w:tcW w:w="5098" w:type="dxa"/>
          </w:tcPr>
          <w:p w14:paraId="031DF977" w14:textId="77777777" w:rsidR="00DB2C7A" w:rsidRPr="00FA0779" w:rsidRDefault="00DB2C7A" w:rsidP="00B004EE">
            <w:pPr>
              <w:pStyle w:val="Pieddepage"/>
              <w:tabs>
                <w:tab w:val="clear" w:pos="4536"/>
                <w:tab w:val="clear" w:pos="9072"/>
              </w:tabs>
              <w:spacing w:line="300" w:lineRule="exact"/>
              <w:ind w:right="904"/>
              <w:jc w:val="center"/>
              <w:rPr>
                <w:rFonts w:ascii="Tahoma" w:hAnsi="Tahoma" w:cs="Tahoma"/>
                <w:caps/>
              </w:rPr>
            </w:pPr>
            <w:r w:rsidRPr="00FA0779">
              <w:rPr>
                <w:rFonts w:ascii="Tahoma" w:hAnsi="Tahoma" w:cs="Tahoma"/>
              </w:rPr>
              <w:t>Le Ministre des Pêches et de l’Economie Maritime</w:t>
            </w:r>
          </w:p>
        </w:tc>
        <w:tc>
          <w:tcPr>
            <w:tcW w:w="4298" w:type="dxa"/>
          </w:tcPr>
          <w:p w14:paraId="2FF80965" w14:textId="77777777" w:rsidR="00DB2C7A" w:rsidRPr="00FA0779" w:rsidRDefault="00DB2C7A" w:rsidP="00B004EE">
            <w:pPr>
              <w:spacing w:line="240" w:lineRule="atLeast"/>
              <w:jc w:val="center"/>
              <w:rPr>
                <w:rFonts w:ascii="Tahoma" w:hAnsi="Tahoma" w:cs="Tahoma"/>
              </w:rPr>
            </w:pPr>
            <w:r w:rsidRPr="00FA0779">
              <w:rPr>
                <w:rFonts w:ascii="Tahoma" w:hAnsi="Tahoma" w:cs="Tahoma"/>
              </w:rPr>
              <w:t>Le Ministre de la Sante</w:t>
            </w:r>
          </w:p>
        </w:tc>
      </w:tr>
      <w:tr w:rsidR="00DB2C7A" w:rsidRPr="00FA0779" w14:paraId="62727C76" w14:textId="77777777" w:rsidTr="00765E15">
        <w:tc>
          <w:tcPr>
            <w:tcW w:w="5098" w:type="dxa"/>
          </w:tcPr>
          <w:p w14:paraId="1BCCFEF0" w14:textId="77777777" w:rsidR="00DB2C7A" w:rsidRPr="00FA0779" w:rsidRDefault="00DB2C7A" w:rsidP="00B004EE">
            <w:pPr>
              <w:ind w:right="1046"/>
              <w:jc w:val="center"/>
              <w:rPr>
                <w:rFonts w:ascii="Tahoma" w:hAnsi="Tahoma" w:cs="Tahoma"/>
              </w:rPr>
            </w:pPr>
            <w:r w:rsidRPr="00FA0779">
              <w:rPr>
                <w:rFonts w:ascii="Arial" w:eastAsiaTheme="minorHAnsi" w:hAnsi="Arial" w:cs="Arial"/>
                <w:lang w:eastAsia="en-US"/>
              </w:rPr>
              <w:t>Yahya Oud ABDEDAYEM</w:t>
            </w:r>
          </w:p>
        </w:tc>
        <w:tc>
          <w:tcPr>
            <w:tcW w:w="4298" w:type="dxa"/>
          </w:tcPr>
          <w:p w14:paraId="225CF011" w14:textId="77777777" w:rsidR="00DB2C7A" w:rsidRPr="00FA0779" w:rsidRDefault="00DB2C7A" w:rsidP="00B004EE">
            <w:pPr>
              <w:spacing w:line="240" w:lineRule="atLeast"/>
              <w:jc w:val="center"/>
              <w:rPr>
                <w:rFonts w:ascii="Tahoma" w:hAnsi="Tahoma" w:cs="Tahoma"/>
              </w:rPr>
            </w:pPr>
            <w:r w:rsidRPr="00FA0779">
              <w:rPr>
                <w:rFonts w:ascii="Tahoma" w:hAnsi="Tahoma" w:cs="Tahoma"/>
              </w:rPr>
              <w:t xml:space="preserve">Pr Kane </w:t>
            </w:r>
            <w:r w:rsidRPr="00FA0779">
              <w:rPr>
                <w:rFonts w:ascii="Tahoma" w:hAnsi="Tahoma" w:cs="Tahoma"/>
                <w:caps/>
              </w:rPr>
              <w:t>BOUBACAR</w:t>
            </w:r>
          </w:p>
        </w:tc>
      </w:tr>
      <w:tr w:rsidR="00DB2C7A" w:rsidRPr="00FA0779" w14:paraId="687D8322" w14:textId="77777777" w:rsidTr="00765E15">
        <w:tc>
          <w:tcPr>
            <w:tcW w:w="5098" w:type="dxa"/>
          </w:tcPr>
          <w:p w14:paraId="5D1DB539" w14:textId="77777777" w:rsidR="00DB2C7A" w:rsidRPr="00FA0779" w:rsidRDefault="00DB2C7A" w:rsidP="00B004EE">
            <w:pPr>
              <w:spacing w:line="240" w:lineRule="atLeast"/>
              <w:jc w:val="center"/>
              <w:rPr>
                <w:rFonts w:ascii="Tahoma" w:hAnsi="Tahoma" w:cs="Tahoma"/>
              </w:rPr>
            </w:pPr>
          </w:p>
          <w:p w14:paraId="57BE3D4C" w14:textId="77777777" w:rsidR="00DB2C7A" w:rsidRPr="00FA0779" w:rsidRDefault="00DB2C7A" w:rsidP="00B004EE">
            <w:pPr>
              <w:spacing w:line="240" w:lineRule="atLeast"/>
              <w:jc w:val="center"/>
              <w:rPr>
                <w:rFonts w:ascii="Tahoma" w:hAnsi="Tahoma" w:cs="Tahoma"/>
              </w:rPr>
            </w:pPr>
          </w:p>
        </w:tc>
        <w:tc>
          <w:tcPr>
            <w:tcW w:w="4298" w:type="dxa"/>
          </w:tcPr>
          <w:p w14:paraId="38427489" w14:textId="77777777" w:rsidR="00DB2C7A" w:rsidRPr="00FA0779" w:rsidRDefault="00DB2C7A" w:rsidP="00B004EE">
            <w:pPr>
              <w:spacing w:line="240" w:lineRule="atLeast"/>
              <w:jc w:val="center"/>
              <w:rPr>
                <w:rFonts w:ascii="Tahoma" w:hAnsi="Tahoma" w:cs="Tahoma"/>
              </w:rPr>
            </w:pPr>
          </w:p>
        </w:tc>
      </w:tr>
      <w:tr w:rsidR="00DB2C7A" w:rsidRPr="00FA0779" w14:paraId="73C060F4" w14:textId="77777777" w:rsidTr="00765E15">
        <w:tc>
          <w:tcPr>
            <w:tcW w:w="5098" w:type="dxa"/>
          </w:tcPr>
          <w:p w14:paraId="321CA79D" w14:textId="77777777" w:rsidR="00DB2C7A" w:rsidRPr="00FA0779" w:rsidRDefault="00DB2C7A" w:rsidP="00B004EE">
            <w:pPr>
              <w:pStyle w:val="Pieddepage"/>
              <w:tabs>
                <w:tab w:val="clear" w:pos="4536"/>
                <w:tab w:val="clear" w:pos="9072"/>
              </w:tabs>
              <w:spacing w:line="300" w:lineRule="exact"/>
              <w:ind w:right="904"/>
              <w:jc w:val="center"/>
              <w:rPr>
                <w:rFonts w:ascii="Tahoma" w:hAnsi="Tahoma" w:cs="Tahoma"/>
              </w:rPr>
            </w:pPr>
            <w:r w:rsidRPr="00FA0779">
              <w:rPr>
                <w:rFonts w:ascii="Tahoma" w:hAnsi="Tahoma" w:cs="Tahoma"/>
              </w:rPr>
              <w:t>La Ministre du Commerce de l’Industrie et du Tourisme</w:t>
            </w:r>
          </w:p>
        </w:tc>
        <w:tc>
          <w:tcPr>
            <w:tcW w:w="4298" w:type="dxa"/>
          </w:tcPr>
          <w:p w14:paraId="1056F9F8" w14:textId="77777777" w:rsidR="00DB2C7A" w:rsidRPr="00FA0779" w:rsidRDefault="00DB2C7A" w:rsidP="00B004EE">
            <w:pPr>
              <w:pStyle w:val="Pieddepage"/>
              <w:tabs>
                <w:tab w:val="clear" w:pos="4536"/>
                <w:tab w:val="clear" w:pos="9072"/>
              </w:tabs>
              <w:jc w:val="center"/>
              <w:rPr>
                <w:rFonts w:ascii="Tahoma" w:hAnsi="Tahoma" w:cs="Tahoma"/>
                <w:caps/>
              </w:rPr>
            </w:pPr>
            <w:r w:rsidRPr="00FA0779">
              <w:rPr>
                <w:rFonts w:ascii="Tahoma" w:hAnsi="Tahoma" w:cs="Tahoma"/>
              </w:rPr>
              <w:t>Ministre de L’environnement et Développement Durable</w:t>
            </w:r>
          </w:p>
        </w:tc>
      </w:tr>
      <w:tr w:rsidR="00DB2C7A" w:rsidRPr="00FA0779" w14:paraId="3908CF20" w14:textId="77777777" w:rsidTr="00765E15">
        <w:tc>
          <w:tcPr>
            <w:tcW w:w="5098" w:type="dxa"/>
          </w:tcPr>
          <w:p w14:paraId="365463E2" w14:textId="77777777" w:rsidR="00DB2C7A" w:rsidRPr="00FA0779" w:rsidRDefault="00DB2C7A" w:rsidP="00B004EE">
            <w:pPr>
              <w:pStyle w:val="Pieddepage"/>
              <w:tabs>
                <w:tab w:val="clear" w:pos="4536"/>
                <w:tab w:val="clear" w:pos="9072"/>
              </w:tabs>
              <w:spacing w:line="300" w:lineRule="exact"/>
              <w:ind w:right="904"/>
              <w:jc w:val="center"/>
              <w:rPr>
                <w:rFonts w:ascii="Tahoma" w:hAnsi="Tahoma" w:cs="Tahoma"/>
              </w:rPr>
            </w:pPr>
            <w:r w:rsidRPr="00FA0779">
              <w:rPr>
                <w:rFonts w:ascii="Tahoma" w:hAnsi="Tahoma" w:cs="Tahoma"/>
              </w:rPr>
              <w:t>Khadjetou Mint MBARECK FALL</w:t>
            </w:r>
          </w:p>
        </w:tc>
        <w:tc>
          <w:tcPr>
            <w:tcW w:w="4298" w:type="dxa"/>
          </w:tcPr>
          <w:p w14:paraId="5E8896AA" w14:textId="77777777" w:rsidR="00DB2C7A" w:rsidRPr="00FA0779" w:rsidRDefault="00DB2C7A" w:rsidP="00B004EE">
            <w:pPr>
              <w:pStyle w:val="Pieddepage"/>
              <w:tabs>
                <w:tab w:val="clear" w:pos="4536"/>
                <w:tab w:val="clear" w:pos="9072"/>
              </w:tabs>
              <w:jc w:val="center"/>
              <w:rPr>
                <w:rFonts w:ascii="Tahoma" w:hAnsi="Tahoma" w:cs="Tahoma"/>
              </w:rPr>
            </w:pPr>
            <w:r w:rsidRPr="00FA0779">
              <w:rPr>
                <w:rFonts w:ascii="Tahoma" w:hAnsi="Tahoma" w:cs="Tahoma"/>
                <w:caps/>
              </w:rPr>
              <w:t>AmedI CAMARA</w:t>
            </w:r>
          </w:p>
        </w:tc>
      </w:tr>
    </w:tbl>
    <w:p w14:paraId="16059185" w14:textId="77777777" w:rsidR="00DB2C7A" w:rsidRPr="00B004EE" w:rsidRDefault="00DB2C7A" w:rsidP="00B004EE">
      <w:pPr>
        <w:jc w:val="right"/>
        <w:rPr>
          <w:rFonts w:ascii="Tahoma" w:hAnsi="Tahoma" w:cs="Tahoma"/>
          <w:i/>
          <w:iCs/>
          <w:sz w:val="20"/>
          <w:szCs w:val="20"/>
        </w:rPr>
      </w:pPr>
    </w:p>
    <w:p w14:paraId="3C957F96" w14:textId="67CAA598" w:rsidR="00190FDD" w:rsidRPr="00B004EE" w:rsidRDefault="00190FDD" w:rsidP="00B004EE">
      <w:pPr>
        <w:rPr>
          <w:rFonts w:ascii="Tahoma" w:hAnsi="Tahoma" w:cs="Tahoma"/>
          <w:i/>
          <w:iCs/>
          <w:sz w:val="20"/>
          <w:szCs w:val="20"/>
        </w:rPr>
      </w:pPr>
    </w:p>
    <w:p w14:paraId="403F344A" w14:textId="77777777" w:rsidR="00190FDD" w:rsidRPr="00B004EE" w:rsidRDefault="00190FDD" w:rsidP="00B004EE">
      <w:pPr>
        <w:jc w:val="right"/>
        <w:rPr>
          <w:rFonts w:ascii="Tahoma" w:hAnsi="Tahoma" w:cs="Tahoma"/>
          <w:i/>
          <w:iCs/>
          <w:sz w:val="20"/>
          <w:szCs w:val="20"/>
        </w:rPr>
        <w:sectPr w:rsidR="00190FDD" w:rsidRPr="00B004EE" w:rsidSect="00991798">
          <w:pgSz w:w="12240" w:h="15840" w:code="1"/>
          <w:pgMar w:top="1417" w:right="1417" w:bottom="1417" w:left="1417" w:header="709" w:footer="709" w:gutter="0"/>
          <w:cols w:space="708"/>
          <w:docGrid w:linePitch="360"/>
        </w:sectPr>
      </w:pPr>
    </w:p>
    <w:p w14:paraId="118E183C" w14:textId="6BB3D9DD" w:rsidR="00190FDD" w:rsidRPr="0083718B" w:rsidRDefault="00190FDD" w:rsidP="00B004EE">
      <w:pPr>
        <w:pStyle w:val="Titre1"/>
        <w:pBdr>
          <w:top w:val="thinThickMediumGap" w:sz="24" w:space="1" w:color="70AD47" w:themeColor="accent6"/>
          <w:left w:val="thinThickMediumGap" w:sz="24" w:space="4" w:color="70AD47" w:themeColor="accent6"/>
          <w:bottom w:val="thickThinMediumGap" w:sz="24" w:space="1" w:color="70AD47" w:themeColor="accent6"/>
          <w:right w:val="thickThinMediumGap" w:sz="24" w:space="4" w:color="70AD47" w:themeColor="accent6"/>
        </w:pBdr>
        <w:jc w:val="both"/>
        <w:rPr>
          <w:rFonts w:ascii="Tahoma" w:hAnsi="Tahoma" w:cs="Tahoma"/>
          <w:color w:val="000000" w:themeColor="text1"/>
          <w:szCs w:val="22"/>
        </w:rPr>
      </w:pPr>
      <w:bookmarkStart w:id="210" w:name="_Toc202214695"/>
      <w:r w:rsidRPr="0083718B">
        <w:rPr>
          <w:rFonts w:ascii="Tahoma" w:hAnsi="Tahoma" w:cs="Tahoma"/>
          <w:color w:val="000000" w:themeColor="text1"/>
          <w:szCs w:val="22"/>
        </w:rPr>
        <w:lastRenderedPageBreak/>
        <w:t>Arrêté N</w:t>
      </w:r>
      <w:r w:rsidR="00F13F4B">
        <w:rPr>
          <w:rFonts w:ascii="Tahoma" w:hAnsi="Tahoma" w:cs="Tahoma"/>
          <w:color w:val="000000" w:themeColor="text1"/>
          <w:szCs w:val="22"/>
        </w:rPr>
        <w:t>° 293/</w:t>
      </w:r>
      <w:r w:rsidRPr="0083718B">
        <w:rPr>
          <w:rFonts w:ascii="Tahoma" w:hAnsi="Tahoma" w:cs="Tahoma"/>
          <w:color w:val="000000" w:themeColor="text1"/>
          <w:szCs w:val="22"/>
        </w:rPr>
        <w:t>MPEM</w:t>
      </w:r>
      <w:r w:rsidR="00BC4336">
        <w:rPr>
          <w:rFonts w:ascii="Tahoma" w:hAnsi="Tahoma" w:cs="Tahoma"/>
          <w:color w:val="000000" w:themeColor="text1"/>
          <w:szCs w:val="22"/>
        </w:rPr>
        <w:t xml:space="preserve"> du</w:t>
      </w:r>
      <w:r w:rsidR="00BC4336" w:rsidRPr="00BC4336">
        <w:rPr>
          <w:rFonts w:ascii="Tahoma" w:hAnsi="Tahoma" w:cs="Tahoma"/>
          <w:color w:val="000000" w:themeColor="text1"/>
          <w:szCs w:val="22"/>
        </w:rPr>
        <w:t xml:space="preserve"> 19 mars 2021</w:t>
      </w:r>
      <w:r w:rsidR="00BC4336">
        <w:rPr>
          <w:rFonts w:ascii="Tahoma" w:hAnsi="Tahoma" w:cs="Tahoma"/>
          <w:color w:val="000000" w:themeColor="text1"/>
          <w:szCs w:val="22"/>
        </w:rPr>
        <w:t>,</w:t>
      </w:r>
      <w:r w:rsidRPr="0083718B">
        <w:rPr>
          <w:rFonts w:ascii="Tahoma" w:hAnsi="Tahoma" w:cs="Tahoma"/>
          <w:color w:val="000000" w:themeColor="text1"/>
          <w:szCs w:val="22"/>
        </w:rPr>
        <w:t xml:space="preserve"> portant réglementation des conditions de transport des produits de la pêche et de l’aquaculture</w:t>
      </w:r>
      <w:bookmarkEnd w:id="210"/>
      <w:r w:rsidRPr="0083718B">
        <w:rPr>
          <w:rFonts w:ascii="Tahoma" w:hAnsi="Tahoma" w:cs="Tahoma"/>
          <w:color w:val="000000" w:themeColor="text1"/>
          <w:szCs w:val="22"/>
        </w:rPr>
        <w:t> </w:t>
      </w:r>
    </w:p>
    <w:p w14:paraId="48401D96" w14:textId="77777777" w:rsidR="00190FDD" w:rsidRPr="00B004EE" w:rsidRDefault="00190FDD" w:rsidP="00B004EE">
      <w:pPr>
        <w:jc w:val="both"/>
        <w:rPr>
          <w:rFonts w:ascii="Tahoma" w:hAnsi="Tahoma" w:cs="Tahoma"/>
          <w:b/>
          <w:sz w:val="20"/>
          <w:szCs w:val="20"/>
          <w:u w:val="single"/>
        </w:rPr>
      </w:pPr>
    </w:p>
    <w:p w14:paraId="4C1F28A8" w14:textId="7848EF3B" w:rsidR="00190FDD" w:rsidRPr="00B004EE" w:rsidRDefault="00190FDD" w:rsidP="00B004EE">
      <w:pPr>
        <w:jc w:val="both"/>
        <w:rPr>
          <w:rFonts w:ascii="Tahoma" w:hAnsi="Tahoma" w:cs="Tahoma"/>
          <w:sz w:val="20"/>
          <w:szCs w:val="20"/>
        </w:rPr>
      </w:pPr>
      <w:r w:rsidRPr="00B004EE">
        <w:rPr>
          <w:rFonts w:ascii="Tahoma" w:hAnsi="Tahoma" w:cs="Tahoma"/>
          <w:sz w:val="20"/>
          <w:szCs w:val="20"/>
        </w:rPr>
        <w:t>Article Premier : le présent arrêté vise à définir les conditions d'attribution de l’agrément des engins de transport des produits de la pêche et de l’aquaculture notamment la qualité, l’hygiène et la salubrité des produits (vivants, frais, congelés, surgelés et ou transformés).</w:t>
      </w:r>
    </w:p>
    <w:p w14:paraId="62679516" w14:textId="77777777" w:rsidR="00190FDD" w:rsidRPr="00B004EE" w:rsidRDefault="00190FDD" w:rsidP="00B004EE">
      <w:pPr>
        <w:jc w:val="center"/>
        <w:outlineLvl w:val="0"/>
        <w:rPr>
          <w:rFonts w:ascii="Tahoma" w:hAnsi="Tahoma" w:cs="Tahoma"/>
          <w:b/>
          <w:bCs/>
          <w:sz w:val="20"/>
          <w:szCs w:val="20"/>
        </w:rPr>
      </w:pPr>
    </w:p>
    <w:p w14:paraId="41D3B1E4" w14:textId="3781AF2F" w:rsidR="00190FDD" w:rsidRPr="00B004EE" w:rsidRDefault="00190FDD" w:rsidP="00B004EE">
      <w:pPr>
        <w:jc w:val="center"/>
        <w:rPr>
          <w:rFonts w:ascii="Tahoma" w:hAnsi="Tahoma" w:cs="Tahoma"/>
          <w:b/>
          <w:bCs/>
          <w:sz w:val="20"/>
          <w:szCs w:val="20"/>
        </w:rPr>
      </w:pPr>
      <w:r w:rsidRPr="00B004EE">
        <w:rPr>
          <w:rFonts w:ascii="Tahoma" w:hAnsi="Tahoma" w:cs="Tahoma"/>
          <w:b/>
          <w:bCs/>
          <w:sz w:val="20"/>
          <w:szCs w:val="20"/>
        </w:rPr>
        <w:t>TITRE PREMIER</w:t>
      </w:r>
      <w:r w:rsidR="00E92F7C" w:rsidRPr="00B004EE">
        <w:rPr>
          <w:rFonts w:ascii="Tahoma" w:hAnsi="Tahoma" w:cs="Tahoma"/>
          <w:b/>
          <w:bCs/>
          <w:sz w:val="20"/>
          <w:szCs w:val="20"/>
        </w:rPr>
        <w:t xml:space="preserve"> : </w:t>
      </w:r>
      <w:r w:rsidRPr="00B004EE">
        <w:rPr>
          <w:rFonts w:ascii="Tahoma" w:hAnsi="Tahoma" w:cs="Tahoma"/>
          <w:b/>
          <w:bCs/>
          <w:sz w:val="20"/>
          <w:szCs w:val="20"/>
        </w:rPr>
        <w:t>DISPOSITION PRELIMINAIRES</w:t>
      </w:r>
    </w:p>
    <w:p w14:paraId="715C3EC8" w14:textId="77777777" w:rsidR="00190FDD" w:rsidRPr="00B004EE" w:rsidRDefault="00190FDD" w:rsidP="00B004EE">
      <w:pPr>
        <w:jc w:val="center"/>
        <w:rPr>
          <w:rFonts w:ascii="Tahoma" w:hAnsi="Tahoma" w:cs="Tahoma"/>
          <w:b/>
          <w:bCs/>
          <w:sz w:val="20"/>
          <w:szCs w:val="20"/>
        </w:rPr>
      </w:pPr>
    </w:p>
    <w:p w14:paraId="7AE17F61" w14:textId="77777777" w:rsidR="00190FDD" w:rsidRPr="00B004EE" w:rsidRDefault="00190FDD" w:rsidP="00B004EE">
      <w:pPr>
        <w:jc w:val="both"/>
        <w:rPr>
          <w:rFonts w:ascii="Tahoma" w:hAnsi="Tahoma" w:cs="Tahoma"/>
          <w:sz w:val="20"/>
          <w:szCs w:val="20"/>
        </w:rPr>
      </w:pPr>
      <w:r w:rsidRPr="00B004EE">
        <w:rPr>
          <w:rFonts w:ascii="Tahoma" w:hAnsi="Tahoma" w:cs="Tahoma"/>
          <w:sz w:val="20"/>
          <w:szCs w:val="20"/>
        </w:rPr>
        <w:t>Article 2 :</w:t>
      </w:r>
      <w:r w:rsidRPr="00B004EE">
        <w:rPr>
          <w:rFonts w:ascii="Tahoma" w:hAnsi="Tahoma" w:cs="Tahoma"/>
          <w:b/>
          <w:bCs/>
          <w:sz w:val="20"/>
          <w:szCs w:val="20"/>
        </w:rPr>
        <w:t xml:space="preserve"> </w:t>
      </w:r>
      <w:r w:rsidRPr="00B004EE">
        <w:rPr>
          <w:rFonts w:ascii="Tahoma" w:hAnsi="Tahoma" w:cs="Tahoma"/>
          <w:sz w:val="20"/>
          <w:szCs w:val="20"/>
        </w:rPr>
        <w:t>Au sens du présent arrêté, on entend par :</w:t>
      </w:r>
    </w:p>
    <w:p w14:paraId="41A038A9" w14:textId="77777777" w:rsidR="00190FDD" w:rsidRPr="00B004EE" w:rsidRDefault="00190FDD" w:rsidP="00420DDA">
      <w:pPr>
        <w:pStyle w:val="Paragraphedeliste"/>
        <w:numPr>
          <w:ilvl w:val="0"/>
          <w:numId w:val="114"/>
        </w:numPr>
        <w:ind w:left="426" w:hanging="425"/>
        <w:contextualSpacing/>
        <w:jc w:val="both"/>
        <w:rPr>
          <w:rFonts w:ascii="Tahoma" w:hAnsi="Tahoma" w:cs="Tahoma"/>
          <w:b/>
          <w:bCs/>
          <w:i/>
          <w:iCs/>
          <w:sz w:val="20"/>
          <w:szCs w:val="20"/>
        </w:rPr>
      </w:pPr>
      <w:r w:rsidRPr="00B004EE">
        <w:rPr>
          <w:rFonts w:ascii="Tahoma" w:hAnsi="Tahoma" w:cs="Tahoma"/>
          <w:b/>
          <w:bCs/>
          <w:sz w:val="20"/>
          <w:szCs w:val="20"/>
        </w:rPr>
        <w:t>Produits </w:t>
      </w:r>
      <w:r w:rsidRPr="00B004EE">
        <w:rPr>
          <w:rFonts w:ascii="Tahoma" w:hAnsi="Tahoma" w:cs="Tahoma"/>
          <w:sz w:val="20"/>
          <w:szCs w:val="20"/>
        </w:rPr>
        <w:t xml:space="preserve">: "produits de la pêche" : </w:t>
      </w:r>
      <w:r w:rsidRPr="00B004EE">
        <w:rPr>
          <w:rFonts w:ascii="Tahoma" w:eastAsia="EUAlbertina-Regular-Identity-H" w:hAnsi="Tahoma" w:cs="Tahoma"/>
          <w:sz w:val="20"/>
          <w:szCs w:val="20"/>
        </w:rPr>
        <w:t>tous les animaux marins ou fluviaux (à l’exception de tous les produits interdits par la réglementation en vigueur), sauvages ou d’élevage, y compris les mollusques bivalves, ainsi que toutes les formes et parties comestibles de ces animaux.</w:t>
      </w:r>
    </w:p>
    <w:p w14:paraId="3AAA7AF8" w14:textId="77777777" w:rsidR="00190FDD" w:rsidRPr="00B004EE" w:rsidRDefault="00190FDD" w:rsidP="00420DDA">
      <w:pPr>
        <w:pStyle w:val="Commentaire"/>
        <w:numPr>
          <w:ilvl w:val="0"/>
          <w:numId w:val="114"/>
        </w:numPr>
        <w:ind w:left="426" w:hanging="425"/>
        <w:jc w:val="both"/>
        <w:rPr>
          <w:rFonts w:ascii="Tahoma" w:hAnsi="Tahoma" w:cs="Tahoma"/>
        </w:rPr>
      </w:pPr>
      <w:r w:rsidRPr="00B004EE">
        <w:rPr>
          <w:rFonts w:ascii="Tahoma" w:hAnsi="Tahoma" w:cs="Tahoma"/>
          <w:b/>
          <w:bCs/>
        </w:rPr>
        <w:t>Conteneurs </w:t>
      </w:r>
      <w:r w:rsidRPr="00B004EE">
        <w:rPr>
          <w:rFonts w:ascii="Tahoma" w:hAnsi="Tahoma" w:cs="Tahoma"/>
        </w:rPr>
        <w:t>: Caisses amovibles ou fixes, d'un volume inférieur à deux mètres cubes, conçues pour le transport de produits de la pêche selon leur état.</w:t>
      </w:r>
    </w:p>
    <w:p w14:paraId="393C5230" w14:textId="77777777" w:rsidR="00190FDD" w:rsidRPr="00B004EE" w:rsidRDefault="00190FDD" w:rsidP="00420DDA">
      <w:pPr>
        <w:pStyle w:val="Paragraphedeliste"/>
        <w:numPr>
          <w:ilvl w:val="0"/>
          <w:numId w:val="115"/>
        </w:numPr>
        <w:tabs>
          <w:tab w:val="left" w:pos="612"/>
        </w:tabs>
        <w:ind w:left="426" w:hanging="425"/>
        <w:contextualSpacing/>
        <w:jc w:val="both"/>
        <w:rPr>
          <w:rFonts w:ascii="Tahoma" w:hAnsi="Tahoma" w:cs="Tahoma"/>
          <w:sz w:val="20"/>
          <w:szCs w:val="20"/>
        </w:rPr>
      </w:pPr>
      <w:r w:rsidRPr="00B004EE">
        <w:rPr>
          <w:rFonts w:ascii="Tahoma" w:hAnsi="Tahoma" w:cs="Tahoma"/>
          <w:b/>
          <w:bCs/>
          <w:sz w:val="20"/>
          <w:szCs w:val="20"/>
        </w:rPr>
        <w:t>Moyen de transport </w:t>
      </w:r>
      <w:r w:rsidRPr="00B004EE">
        <w:rPr>
          <w:rFonts w:ascii="Tahoma" w:hAnsi="Tahoma" w:cs="Tahoma"/>
          <w:sz w:val="20"/>
          <w:szCs w:val="20"/>
        </w:rPr>
        <w:t>: wagons, camions, fourgons, fourgonnettes, véhicules à usage professionnel, remorques, semi-remorques, citernes, ou conteneurs ainsi que tout contenant transporté par voie terrestre maritime ou aérienne.</w:t>
      </w:r>
    </w:p>
    <w:p w14:paraId="5A29C9F6" w14:textId="77777777" w:rsidR="00190FDD" w:rsidRPr="00B004EE" w:rsidRDefault="00190FDD" w:rsidP="00420DDA">
      <w:pPr>
        <w:pStyle w:val="Paragraphedeliste"/>
        <w:numPr>
          <w:ilvl w:val="0"/>
          <w:numId w:val="115"/>
        </w:numPr>
        <w:ind w:left="426" w:hanging="425"/>
        <w:contextualSpacing/>
        <w:jc w:val="both"/>
        <w:rPr>
          <w:rFonts w:ascii="Tahoma" w:hAnsi="Tahoma" w:cs="Tahoma"/>
          <w:sz w:val="20"/>
          <w:szCs w:val="20"/>
        </w:rPr>
      </w:pPr>
      <w:r w:rsidRPr="00B004EE">
        <w:rPr>
          <w:rFonts w:ascii="Tahoma" w:hAnsi="Tahoma" w:cs="Tahoma"/>
          <w:b/>
          <w:bCs/>
          <w:sz w:val="20"/>
          <w:szCs w:val="20"/>
        </w:rPr>
        <w:t>Engin isotherme </w:t>
      </w:r>
      <w:r w:rsidRPr="00B004EE">
        <w:rPr>
          <w:rFonts w:ascii="Tahoma" w:hAnsi="Tahoma" w:cs="Tahoma"/>
          <w:sz w:val="20"/>
          <w:szCs w:val="20"/>
        </w:rPr>
        <w:t>: engin dont la caisse est construite avec des parois isolantes rigides y compris les portes, le plancher et la toiture, permettant de limiter les échanges de chaleur entre l'intérieur et l'extérieur de la caisse sans utilisation d'une source de froid ou de chaleur ;</w:t>
      </w:r>
    </w:p>
    <w:p w14:paraId="1035C9FF" w14:textId="77777777" w:rsidR="00190FDD" w:rsidRPr="00B004EE" w:rsidRDefault="00190FDD" w:rsidP="00420DDA">
      <w:pPr>
        <w:pStyle w:val="Paragraphedeliste"/>
        <w:numPr>
          <w:ilvl w:val="0"/>
          <w:numId w:val="115"/>
        </w:numPr>
        <w:ind w:left="426" w:hanging="425"/>
        <w:contextualSpacing/>
        <w:jc w:val="both"/>
        <w:rPr>
          <w:rFonts w:ascii="Tahoma" w:hAnsi="Tahoma" w:cs="Tahoma"/>
          <w:sz w:val="20"/>
          <w:szCs w:val="20"/>
        </w:rPr>
      </w:pPr>
      <w:r w:rsidRPr="00B004EE">
        <w:rPr>
          <w:rFonts w:ascii="Tahoma" w:hAnsi="Tahoma" w:cs="Tahoma"/>
          <w:b/>
          <w:bCs/>
          <w:sz w:val="20"/>
          <w:szCs w:val="20"/>
        </w:rPr>
        <w:t>Engin réfrigérant</w:t>
      </w:r>
      <w:r w:rsidRPr="00B004EE">
        <w:rPr>
          <w:rFonts w:ascii="Tahoma" w:hAnsi="Tahoma" w:cs="Tahoma"/>
          <w:sz w:val="20"/>
          <w:szCs w:val="20"/>
        </w:rPr>
        <w:t xml:space="preserve"> : engin isotherme qui, à l'aide d'une source de froid autre qu'un équipement mécanique ou à absorption, permet d'abaisser la température à l'intérieur de la caisse et de l'y maintenir conformément aux conditions imposées ; </w:t>
      </w:r>
    </w:p>
    <w:p w14:paraId="7A92F720" w14:textId="77777777" w:rsidR="00190FDD" w:rsidRPr="00B004EE" w:rsidRDefault="00190FDD" w:rsidP="00420DDA">
      <w:pPr>
        <w:pStyle w:val="Paragraphedeliste"/>
        <w:numPr>
          <w:ilvl w:val="0"/>
          <w:numId w:val="115"/>
        </w:numPr>
        <w:ind w:left="426" w:hanging="425"/>
        <w:contextualSpacing/>
        <w:jc w:val="both"/>
        <w:rPr>
          <w:rFonts w:ascii="Tahoma" w:hAnsi="Tahoma" w:cs="Tahoma"/>
          <w:sz w:val="20"/>
          <w:szCs w:val="20"/>
        </w:rPr>
      </w:pPr>
      <w:r w:rsidRPr="00B004EE">
        <w:rPr>
          <w:rFonts w:ascii="Tahoma" w:hAnsi="Tahoma" w:cs="Tahoma"/>
          <w:b/>
          <w:bCs/>
          <w:sz w:val="20"/>
          <w:szCs w:val="20"/>
        </w:rPr>
        <w:t>Engin frigorifique</w:t>
      </w:r>
      <w:r w:rsidRPr="00B004EE">
        <w:rPr>
          <w:rFonts w:ascii="Tahoma" w:hAnsi="Tahoma" w:cs="Tahoma"/>
          <w:sz w:val="20"/>
          <w:szCs w:val="20"/>
        </w:rPr>
        <w:t> : engin isotherme muni d'un dispositif de production de froid (équipement mécanique ou à absorption), individuel ou collectif pour plusieurs engins de transport, qui permet d'abaisser la température à l'intérieur de la caisse vide et de l'y maintenir conformément aux conditions imposées ;</w:t>
      </w:r>
    </w:p>
    <w:p w14:paraId="731F8F5E" w14:textId="77777777" w:rsidR="00190FDD" w:rsidRPr="00B004EE" w:rsidRDefault="00190FDD" w:rsidP="00420DDA">
      <w:pPr>
        <w:pStyle w:val="Paragraphedeliste"/>
        <w:numPr>
          <w:ilvl w:val="0"/>
          <w:numId w:val="115"/>
        </w:numPr>
        <w:ind w:left="426" w:hanging="425"/>
        <w:contextualSpacing/>
        <w:jc w:val="both"/>
        <w:rPr>
          <w:rFonts w:ascii="Tahoma" w:hAnsi="Tahoma" w:cs="Tahoma"/>
          <w:b/>
          <w:bCs/>
          <w:i/>
          <w:iCs/>
          <w:sz w:val="20"/>
          <w:szCs w:val="20"/>
        </w:rPr>
      </w:pPr>
      <w:r w:rsidRPr="00B004EE">
        <w:rPr>
          <w:rFonts w:ascii="Tahoma" w:hAnsi="Tahoma" w:cs="Tahoma"/>
          <w:b/>
          <w:bCs/>
          <w:sz w:val="20"/>
          <w:szCs w:val="20"/>
        </w:rPr>
        <w:t xml:space="preserve">Réceptacles : </w:t>
      </w:r>
      <w:r w:rsidRPr="00B004EE">
        <w:rPr>
          <w:rFonts w:ascii="Tahoma" w:hAnsi="Tahoma" w:cs="Tahoma"/>
          <w:sz w:val="20"/>
          <w:szCs w:val="20"/>
        </w:rPr>
        <w:t>Lieu, milieu ou contenant recevant des contenus de diverses natures provenances</w:t>
      </w:r>
    </w:p>
    <w:p w14:paraId="1CCBF606" w14:textId="77777777" w:rsidR="00190FDD" w:rsidRPr="00B004EE" w:rsidRDefault="00190FDD" w:rsidP="00420DDA">
      <w:pPr>
        <w:pStyle w:val="Paragraphedeliste"/>
        <w:numPr>
          <w:ilvl w:val="0"/>
          <w:numId w:val="115"/>
        </w:numPr>
        <w:ind w:left="426" w:hanging="425"/>
        <w:contextualSpacing/>
        <w:jc w:val="both"/>
        <w:rPr>
          <w:rFonts w:ascii="Tahoma" w:hAnsi="Tahoma" w:cs="Tahoma"/>
          <w:b/>
          <w:bCs/>
          <w:sz w:val="20"/>
          <w:szCs w:val="20"/>
        </w:rPr>
      </w:pPr>
      <w:r w:rsidRPr="00B004EE">
        <w:rPr>
          <w:rFonts w:ascii="Tahoma" w:hAnsi="Tahoma" w:cs="Tahoma"/>
          <w:b/>
          <w:bCs/>
          <w:sz w:val="20"/>
          <w:szCs w:val="20"/>
        </w:rPr>
        <w:t>Transporteur/convoyeur/responsable du transport :</w:t>
      </w:r>
    </w:p>
    <w:p w14:paraId="57A9F4CF" w14:textId="77777777" w:rsidR="00190FDD" w:rsidRPr="00B004EE" w:rsidRDefault="00190FDD" w:rsidP="00420DDA">
      <w:pPr>
        <w:pStyle w:val="Paragraphedeliste"/>
        <w:numPr>
          <w:ilvl w:val="0"/>
          <w:numId w:val="119"/>
        </w:numPr>
        <w:ind w:left="851"/>
        <w:contextualSpacing/>
        <w:rPr>
          <w:rFonts w:ascii="Tahoma" w:hAnsi="Tahoma" w:cs="Tahoma"/>
          <w:sz w:val="20"/>
          <w:szCs w:val="20"/>
        </w:rPr>
      </w:pPr>
      <w:r w:rsidRPr="00B004EE">
        <w:rPr>
          <w:rFonts w:ascii="Tahoma" w:hAnsi="Tahoma" w:cs="Tahoma"/>
          <w:sz w:val="20"/>
          <w:szCs w:val="20"/>
        </w:rPr>
        <w:t>Toute personne physique ou morale qui déplace des produits de la pêche soit pour son propre compte soit pour le compte d'autrui ;</w:t>
      </w:r>
    </w:p>
    <w:p w14:paraId="2E217E9E" w14:textId="77777777" w:rsidR="00190FDD" w:rsidRPr="00B004EE" w:rsidRDefault="00190FDD" w:rsidP="00420DDA">
      <w:pPr>
        <w:pStyle w:val="Paragraphedeliste"/>
        <w:numPr>
          <w:ilvl w:val="0"/>
          <w:numId w:val="119"/>
        </w:numPr>
        <w:ind w:left="851"/>
        <w:contextualSpacing/>
        <w:rPr>
          <w:rFonts w:ascii="Tahoma" w:hAnsi="Tahoma" w:cs="Tahoma"/>
          <w:sz w:val="20"/>
          <w:szCs w:val="20"/>
        </w:rPr>
      </w:pPr>
      <w:r w:rsidRPr="00B004EE">
        <w:rPr>
          <w:rFonts w:ascii="Tahoma" w:hAnsi="Tahoma" w:cs="Tahoma"/>
          <w:sz w:val="20"/>
          <w:szCs w:val="20"/>
        </w:rPr>
        <w:t xml:space="preserve"> Est exclue de cette considération, toute personne physique transportant des produits de la pêche pour sa consommation personnelle.</w:t>
      </w:r>
    </w:p>
    <w:p w14:paraId="56034FEF" w14:textId="77777777" w:rsidR="00190FDD" w:rsidRPr="00B004EE" w:rsidRDefault="00190FDD" w:rsidP="00B004EE">
      <w:pPr>
        <w:pStyle w:val="Paragraphedeliste"/>
        <w:jc w:val="both"/>
        <w:rPr>
          <w:rFonts w:ascii="Tahoma" w:hAnsi="Tahoma" w:cs="Tahoma"/>
          <w:b/>
          <w:sz w:val="20"/>
          <w:szCs w:val="20"/>
          <w:u w:val="single"/>
        </w:rPr>
      </w:pPr>
    </w:p>
    <w:p w14:paraId="21DC1ED6" w14:textId="1055477B" w:rsidR="00190FDD" w:rsidRPr="00B004EE" w:rsidRDefault="00190FDD" w:rsidP="00B004EE">
      <w:pPr>
        <w:jc w:val="center"/>
        <w:rPr>
          <w:rFonts w:ascii="Tahoma" w:hAnsi="Tahoma" w:cs="Tahoma"/>
          <w:b/>
          <w:bCs/>
          <w:sz w:val="20"/>
          <w:szCs w:val="20"/>
        </w:rPr>
      </w:pPr>
      <w:r w:rsidRPr="00B004EE">
        <w:rPr>
          <w:rFonts w:ascii="Tahoma" w:hAnsi="Tahoma" w:cs="Tahoma"/>
          <w:b/>
          <w:bCs/>
          <w:sz w:val="20"/>
          <w:szCs w:val="20"/>
        </w:rPr>
        <w:t>TITRE II</w:t>
      </w:r>
      <w:r w:rsidR="00E92F7C" w:rsidRPr="00B004EE">
        <w:rPr>
          <w:rFonts w:ascii="Tahoma" w:hAnsi="Tahoma" w:cs="Tahoma"/>
          <w:b/>
          <w:bCs/>
          <w:sz w:val="20"/>
          <w:szCs w:val="20"/>
        </w:rPr>
        <w:t xml:space="preserve"> : </w:t>
      </w:r>
      <w:r w:rsidRPr="00B004EE">
        <w:rPr>
          <w:rFonts w:ascii="Tahoma" w:hAnsi="Tahoma" w:cs="Tahoma"/>
          <w:b/>
          <w:bCs/>
          <w:sz w:val="20"/>
          <w:szCs w:val="20"/>
        </w:rPr>
        <w:t>DISPOSITIONS RELATIVES A L’INSTALLATION ET A L’HYGIENE DES ENGINS DE TRANSPORT DES PRODUITS DE LA PECHE</w:t>
      </w:r>
    </w:p>
    <w:p w14:paraId="1497AD18" w14:textId="77777777" w:rsidR="00190FDD" w:rsidRPr="00B004EE" w:rsidRDefault="00190FDD" w:rsidP="00B004EE">
      <w:pPr>
        <w:jc w:val="center"/>
        <w:rPr>
          <w:rFonts w:ascii="Tahoma" w:hAnsi="Tahoma" w:cs="Tahoma"/>
          <w:b/>
          <w:bCs/>
          <w:sz w:val="20"/>
          <w:szCs w:val="20"/>
        </w:rPr>
      </w:pPr>
    </w:p>
    <w:p w14:paraId="19D831C9" w14:textId="3105FE7E" w:rsidR="00190FDD" w:rsidRPr="00B004EE" w:rsidRDefault="00190FDD" w:rsidP="00B004EE">
      <w:pPr>
        <w:jc w:val="center"/>
        <w:rPr>
          <w:rFonts w:ascii="Tahoma" w:hAnsi="Tahoma" w:cs="Tahoma"/>
          <w:b/>
          <w:bCs/>
          <w:sz w:val="20"/>
          <w:szCs w:val="20"/>
        </w:rPr>
      </w:pPr>
      <w:r w:rsidRPr="00B004EE">
        <w:rPr>
          <w:rFonts w:ascii="Tahoma" w:hAnsi="Tahoma" w:cs="Tahoma"/>
          <w:b/>
          <w:bCs/>
          <w:sz w:val="20"/>
          <w:szCs w:val="20"/>
        </w:rPr>
        <w:t>SECTION 1</w:t>
      </w:r>
      <w:r w:rsidR="00860E73" w:rsidRPr="00B004EE">
        <w:rPr>
          <w:rFonts w:ascii="Tahoma" w:hAnsi="Tahoma" w:cs="Tahoma"/>
          <w:b/>
          <w:bCs/>
          <w:sz w:val="20"/>
          <w:szCs w:val="20"/>
        </w:rPr>
        <w:t xml:space="preserve"> : </w:t>
      </w:r>
      <w:r w:rsidRPr="00B004EE">
        <w:rPr>
          <w:rFonts w:ascii="Tahoma" w:hAnsi="Tahoma" w:cs="Tahoma"/>
          <w:b/>
          <w:bCs/>
          <w:sz w:val="20"/>
          <w:szCs w:val="20"/>
        </w:rPr>
        <w:t>CONCEPTION ET EQUIPEMENT DES ENGINS DE TRANSPORT</w:t>
      </w:r>
    </w:p>
    <w:p w14:paraId="4E00E537" w14:textId="77777777" w:rsidR="00AC0E67" w:rsidRPr="00B004EE" w:rsidRDefault="00AC0E67" w:rsidP="00B004EE">
      <w:pPr>
        <w:jc w:val="center"/>
        <w:rPr>
          <w:rFonts w:ascii="Tahoma" w:hAnsi="Tahoma" w:cs="Tahoma"/>
          <w:b/>
          <w:bCs/>
          <w:sz w:val="20"/>
          <w:szCs w:val="20"/>
        </w:rPr>
      </w:pPr>
    </w:p>
    <w:p w14:paraId="4C8328C3" w14:textId="77777777" w:rsidR="00190FDD" w:rsidRPr="00B004EE" w:rsidRDefault="00190FDD" w:rsidP="00B004EE">
      <w:pPr>
        <w:widowControl w:val="0"/>
        <w:autoSpaceDE w:val="0"/>
        <w:autoSpaceDN w:val="0"/>
        <w:adjustRightInd w:val="0"/>
        <w:jc w:val="both"/>
        <w:rPr>
          <w:rFonts w:ascii="Tahoma" w:hAnsi="Tahoma" w:cs="Tahoma"/>
          <w:sz w:val="20"/>
          <w:szCs w:val="20"/>
        </w:rPr>
      </w:pPr>
      <w:r w:rsidRPr="00B004EE">
        <w:rPr>
          <w:rFonts w:ascii="Tahoma" w:hAnsi="Tahoma" w:cs="Tahoma"/>
          <w:sz w:val="20"/>
          <w:szCs w:val="20"/>
        </w:rPr>
        <w:t xml:space="preserve">Article 3 : Les moyens de transport doivent, selon le type de transport envisagé, être conçus de telle sorte qu'ils permettent de protéger pendant toute la durée du </w:t>
      </w:r>
      <w:r w:rsidRPr="00B004EE">
        <w:rPr>
          <w:rFonts w:ascii="Tahoma" w:hAnsi="Tahoma" w:cs="Tahoma"/>
          <w:sz w:val="20"/>
          <w:szCs w:val="20"/>
        </w:rPr>
        <w:lastRenderedPageBreak/>
        <w:t>transport les produits de la pêche des causes susceptibles de les contaminer ou de les altérer et être faciles à nettoyer et à désinfecter.</w:t>
      </w:r>
    </w:p>
    <w:p w14:paraId="471B61DA" w14:textId="77777777" w:rsidR="00DB2C7A" w:rsidRPr="00B004EE" w:rsidRDefault="00DB2C7A" w:rsidP="00B004EE">
      <w:pPr>
        <w:jc w:val="both"/>
        <w:rPr>
          <w:rFonts w:ascii="Tahoma" w:hAnsi="Tahoma" w:cs="Tahoma"/>
          <w:sz w:val="20"/>
          <w:szCs w:val="20"/>
        </w:rPr>
      </w:pPr>
    </w:p>
    <w:p w14:paraId="798F2082" w14:textId="3D06C0B3" w:rsidR="00190FDD" w:rsidRPr="00B004EE" w:rsidRDefault="00190FDD" w:rsidP="00B004EE">
      <w:pPr>
        <w:jc w:val="both"/>
        <w:rPr>
          <w:rFonts w:ascii="Tahoma" w:hAnsi="Tahoma" w:cs="Tahoma"/>
          <w:sz w:val="20"/>
          <w:szCs w:val="20"/>
        </w:rPr>
      </w:pPr>
      <w:r w:rsidRPr="00B004EE">
        <w:rPr>
          <w:rFonts w:ascii="Tahoma" w:hAnsi="Tahoma" w:cs="Tahoma"/>
          <w:sz w:val="20"/>
          <w:szCs w:val="20"/>
        </w:rPr>
        <w:t>Article 4 :</w:t>
      </w:r>
      <w:r w:rsidRPr="00B004EE">
        <w:rPr>
          <w:rFonts w:ascii="Tahoma" w:hAnsi="Tahoma" w:cs="Tahoma"/>
          <w:b/>
          <w:bCs/>
          <w:sz w:val="20"/>
          <w:szCs w:val="20"/>
        </w:rPr>
        <w:t xml:space="preserve"> </w:t>
      </w:r>
      <w:r w:rsidRPr="00B004EE">
        <w:rPr>
          <w:rFonts w:ascii="Tahoma" w:hAnsi="Tahoma" w:cs="Tahoma"/>
          <w:sz w:val="20"/>
          <w:szCs w:val="20"/>
        </w:rPr>
        <w:t>La partie des engins de transport destinée à recevoir les produits de la pêche et de l'aquaculture, doit être libre d’aménagements et d’accessoires, sans rapport avec le chargement des produits visés au présent arrêté et doit satisfaire aux conditions suivantes</w:t>
      </w:r>
    </w:p>
    <w:p w14:paraId="40BF643A" w14:textId="77777777" w:rsidR="00190FDD" w:rsidRPr="00B004EE" w:rsidRDefault="00190FDD" w:rsidP="00420DDA">
      <w:pPr>
        <w:numPr>
          <w:ilvl w:val="0"/>
          <w:numId w:val="118"/>
        </w:numPr>
        <w:ind w:left="426"/>
        <w:jc w:val="both"/>
        <w:rPr>
          <w:rFonts w:ascii="Tahoma" w:hAnsi="Tahoma" w:cs="Tahoma"/>
          <w:sz w:val="20"/>
          <w:szCs w:val="20"/>
        </w:rPr>
      </w:pPr>
      <w:r w:rsidRPr="00B004EE">
        <w:rPr>
          <w:rFonts w:ascii="Tahoma" w:hAnsi="Tahoma" w:cs="Tahoma"/>
          <w:sz w:val="20"/>
          <w:szCs w:val="20"/>
        </w:rPr>
        <w:t>Les parois intérieures (le plancher et le plafond, portes, parois de compartimentation amovibles) doivent être fabriquées à l’aide de matériaux résistant à la corrosion, imperméables, imputrescibles, lisses, faciles à nettoyer et à désinfecter et ne doivent pas altérer les caractères organoleptiques des produits de la pêche ou les rendre nocifs pour la santé humaine ;</w:t>
      </w:r>
    </w:p>
    <w:p w14:paraId="0974E356" w14:textId="77777777" w:rsidR="00190FDD" w:rsidRPr="00B004EE" w:rsidRDefault="00190FDD" w:rsidP="00420DDA">
      <w:pPr>
        <w:numPr>
          <w:ilvl w:val="0"/>
          <w:numId w:val="118"/>
        </w:numPr>
        <w:ind w:left="426"/>
        <w:jc w:val="both"/>
        <w:rPr>
          <w:rFonts w:ascii="Tahoma" w:hAnsi="Tahoma" w:cs="Tahoma"/>
          <w:sz w:val="20"/>
          <w:szCs w:val="20"/>
        </w:rPr>
      </w:pPr>
      <w:r w:rsidRPr="00B004EE">
        <w:rPr>
          <w:rFonts w:ascii="Tahoma" w:hAnsi="Tahoma" w:cs="Tahoma"/>
          <w:sz w:val="20"/>
          <w:szCs w:val="20"/>
        </w:rPr>
        <w:t>Les réceptacles de véhicules et/ou conteneurs servant au transport des produits de la pêche et de l’aquaculture doivent être aptes à maintenir ces produits à des températures appropriées et des appareils placés de façon apparente doivent permettre d’apprécier la température à laquelle sont soumises les produits surgelés, congelés ou réfrigérés (la partie sensible de l’appareil doit être placée dans la zone la plus chaude du réceptacle) ;</w:t>
      </w:r>
    </w:p>
    <w:p w14:paraId="644211B0" w14:textId="77777777" w:rsidR="00190FDD" w:rsidRPr="00B004EE" w:rsidRDefault="00190FDD" w:rsidP="00420DDA">
      <w:pPr>
        <w:numPr>
          <w:ilvl w:val="0"/>
          <w:numId w:val="118"/>
        </w:numPr>
        <w:ind w:left="426"/>
        <w:jc w:val="both"/>
        <w:rPr>
          <w:rFonts w:ascii="Tahoma" w:hAnsi="Tahoma" w:cs="Tahoma"/>
          <w:sz w:val="20"/>
          <w:szCs w:val="20"/>
        </w:rPr>
      </w:pPr>
      <w:r w:rsidRPr="00B004EE">
        <w:rPr>
          <w:rFonts w:ascii="Tahoma" w:hAnsi="Tahoma" w:cs="Tahoma"/>
          <w:sz w:val="20"/>
          <w:szCs w:val="20"/>
        </w:rPr>
        <w:t>Les équipements et matériels de tous ordres susceptibles d’entrer en contact avec les produits de la pêche transportés doivent être conformes aux dispositions légales et réglementaires et incapables d’altérer les produits ;</w:t>
      </w:r>
    </w:p>
    <w:p w14:paraId="55AD76A9" w14:textId="77777777" w:rsidR="00190FDD" w:rsidRPr="00B004EE" w:rsidRDefault="00190FDD" w:rsidP="00420DDA">
      <w:pPr>
        <w:numPr>
          <w:ilvl w:val="0"/>
          <w:numId w:val="118"/>
        </w:numPr>
        <w:ind w:left="426"/>
        <w:jc w:val="both"/>
        <w:rPr>
          <w:rFonts w:ascii="Tahoma" w:hAnsi="Tahoma" w:cs="Tahoma"/>
          <w:sz w:val="20"/>
          <w:szCs w:val="20"/>
        </w:rPr>
      </w:pPr>
      <w:r w:rsidRPr="00B004EE">
        <w:rPr>
          <w:rFonts w:ascii="Tahoma" w:hAnsi="Tahoma" w:cs="Tahoma"/>
          <w:sz w:val="20"/>
          <w:szCs w:val="20"/>
        </w:rPr>
        <w:t>Les systèmes de fermeture des moyens de transport, de ventilation et d'aération, lorsque celle-ci est nécessaire, doivent permettre le transport des produits de la pêche à l'abri de toute souillure, poussière, insectes ou autres animaux ;</w:t>
      </w:r>
    </w:p>
    <w:p w14:paraId="7AAE168B" w14:textId="77777777" w:rsidR="00190FDD" w:rsidRPr="00B004EE" w:rsidRDefault="00190FDD" w:rsidP="00420DDA">
      <w:pPr>
        <w:numPr>
          <w:ilvl w:val="0"/>
          <w:numId w:val="118"/>
        </w:numPr>
        <w:ind w:left="426"/>
        <w:jc w:val="both"/>
        <w:rPr>
          <w:rFonts w:ascii="Tahoma" w:hAnsi="Tahoma" w:cs="Tahoma"/>
          <w:sz w:val="20"/>
          <w:szCs w:val="20"/>
        </w:rPr>
      </w:pPr>
      <w:r w:rsidRPr="00B004EE">
        <w:rPr>
          <w:rFonts w:ascii="Tahoma" w:hAnsi="Tahoma" w:cs="Tahoma"/>
          <w:sz w:val="20"/>
          <w:szCs w:val="20"/>
        </w:rPr>
        <w:t>Le responsable du transport s'assure que, dans le cadre de son activité et de la responsabilité qui s'y attache, les personnes qui manutentionnent les produits de la pêche au cours du transport et, le cas échéant, au cours des opérations de chargement et de déchargement, suivent des instructions précises leur permettant d'appliquer les dispositions du présent arrêté.</w:t>
      </w:r>
    </w:p>
    <w:p w14:paraId="03A3DAF2" w14:textId="77777777" w:rsidR="00190FDD" w:rsidRPr="00B004EE" w:rsidRDefault="00190FDD" w:rsidP="00B004EE">
      <w:pPr>
        <w:ind w:left="66"/>
        <w:jc w:val="both"/>
        <w:rPr>
          <w:rFonts w:ascii="Tahoma" w:hAnsi="Tahoma" w:cs="Tahoma"/>
          <w:sz w:val="20"/>
          <w:szCs w:val="20"/>
        </w:rPr>
      </w:pPr>
    </w:p>
    <w:p w14:paraId="4013208C" w14:textId="77777777" w:rsidR="00190FDD" w:rsidRPr="00B004EE" w:rsidRDefault="00190FDD" w:rsidP="00B004EE">
      <w:pPr>
        <w:jc w:val="center"/>
        <w:rPr>
          <w:rFonts w:ascii="Tahoma" w:hAnsi="Tahoma" w:cs="Tahoma"/>
          <w:b/>
          <w:bCs/>
          <w:sz w:val="20"/>
          <w:szCs w:val="20"/>
        </w:rPr>
      </w:pPr>
      <w:r w:rsidRPr="00B004EE">
        <w:rPr>
          <w:rFonts w:ascii="Tahoma" w:hAnsi="Tahoma" w:cs="Tahoma"/>
          <w:b/>
          <w:bCs/>
          <w:sz w:val="20"/>
          <w:szCs w:val="20"/>
        </w:rPr>
        <w:t>SECTION 2 : HYGIENE DES ENGINS DE TRANSPORT</w:t>
      </w:r>
    </w:p>
    <w:p w14:paraId="38D48243" w14:textId="77777777" w:rsidR="00190FDD" w:rsidRPr="00B004EE" w:rsidRDefault="00190FDD" w:rsidP="00B004EE">
      <w:pPr>
        <w:autoSpaceDE w:val="0"/>
        <w:autoSpaceDN w:val="0"/>
        <w:adjustRightInd w:val="0"/>
        <w:jc w:val="center"/>
        <w:rPr>
          <w:rFonts w:ascii="Tahoma" w:hAnsi="Tahoma" w:cs="Tahoma"/>
          <w:b/>
          <w:bCs/>
          <w:sz w:val="20"/>
          <w:szCs w:val="20"/>
          <w:shd w:val="clear" w:color="auto" w:fill="FFFFFF"/>
        </w:rPr>
      </w:pPr>
    </w:p>
    <w:p w14:paraId="4B96114A" w14:textId="77777777" w:rsidR="00190FDD" w:rsidRPr="00B004EE" w:rsidRDefault="00190FDD" w:rsidP="00B004EE">
      <w:pPr>
        <w:widowControl w:val="0"/>
        <w:autoSpaceDE w:val="0"/>
        <w:autoSpaceDN w:val="0"/>
        <w:adjustRightInd w:val="0"/>
        <w:jc w:val="both"/>
        <w:rPr>
          <w:rFonts w:ascii="Tahoma" w:hAnsi="Tahoma" w:cs="Tahoma"/>
          <w:sz w:val="20"/>
          <w:szCs w:val="20"/>
        </w:rPr>
      </w:pPr>
      <w:r w:rsidRPr="00B004EE">
        <w:rPr>
          <w:rFonts w:ascii="Tahoma" w:hAnsi="Tahoma" w:cs="Tahoma"/>
          <w:sz w:val="20"/>
          <w:szCs w:val="20"/>
        </w:rPr>
        <w:t xml:space="preserve">Article 5 </w:t>
      </w:r>
      <w:r w:rsidRPr="00B004EE">
        <w:rPr>
          <w:rFonts w:ascii="Tahoma" w:hAnsi="Tahoma" w:cs="Tahoma"/>
          <w:bCs/>
          <w:sz w:val="20"/>
          <w:szCs w:val="20"/>
        </w:rPr>
        <w:t>: Les engins de transport des produits de la pêche et de l’aquaculture doivent être</w:t>
      </w:r>
      <w:r w:rsidRPr="00B004EE">
        <w:rPr>
          <w:rFonts w:ascii="Tahoma" w:hAnsi="Tahoma" w:cs="Tahoma"/>
          <w:sz w:val="20"/>
          <w:szCs w:val="20"/>
        </w:rPr>
        <w:t xml:space="preserve"> propres et maintenus en bon état d'entretien, en toute circonstance, de manière à protéger les produits de la pêche contre toute dégradation, contamination ou altération de leur qualité, quelle qu’en soit la source. </w:t>
      </w:r>
    </w:p>
    <w:p w14:paraId="3665C0FF" w14:textId="77777777" w:rsidR="00DB2C7A" w:rsidRPr="00B004EE" w:rsidRDefault="00DB2C7A" w:rsidP="00B004EE">
      <w:pPr>
        <w:widowControl w:val="0"/>
        <w:autoSpaceDE w:val="0"/>
        <w:autoSpaceDN w:val="0"/>
        <w:adjustRightInd w:val="0"/>
        <w:jc w:val="both"/>
        <w:rPr>
          <w:rFonts w:ascii="Tahoma" w:hAnsi="Tahoma" w:cs="Tahoma"/>
          <w:bCs/>
          <w:sz w:val="20"/>
          <w:szCs w:val="20"/>
        </w:rPr>
      </w:pPr>
    </w:p>
    <w:p w14:paraId="55FD0FCC" w14:textId="3AFDD1C8" w:rsidR="00190FDD" w:rsidRPr="00B004EE" w:rsidRDefault="00190FDD" w:rsidP="00B004EE">
      <w:pPr>
        <w:widowControl w:val="0"/>
        <w:autoSpaceDE w:val="0"/>
        <w:autoSpaceDN w:val="0"/>
        <w:adjustRightInd w:val="0"/>
        <w:jc w:val="both"/>
        <w:rPr>
          <w:rFonts w:ascii="Tahoma" w:hAnsi="Tahoma" w:cs="Tahoma"/>
          <w:sz w:val="20"/>
          <w:szCs w:val="20"/>
        </w:rPr>
      </w:pPr>
      <w:r w:rsidRPr="00B004EE">
        <w:rPr>
          <w:rFonts w:ascii="Tahoma" w:hAnsi="Tahoma" w:cs="Tahoma"/>
          <w:bCs/>
          <w:sz w:val="20"/>
          <w:szCs w:val="20"/>
        </w:rPr>
        <w:t>Article 6 :</w:t>
      </w:r>
      <w:r w:rsidRPr="00B004EE">
        <w:rPr>
          <w:rFonts w:ascii="Tahoma" w:hAnsi="Tahoma" w:cs="Tahoma"/>
          <w:sz w:val="20"/>
          <w:szCs w:val="20"/>
        </w:rPr>
        <w:t xml:space="preserve"> Les produits de la pêche et de l’aquaculture doivent être transportés dans des engins de transport réservés exclusivement à cet effet. Toutefois :</w:t>
      </w:r>
    </w:p>
    <w:p w14:paraId="6853DF9F" w14:textId="77777777" w:rsidR="00190FDD" w:rsidRPr="00B004EE" w:rsidRDefault="00190FDD" w:rsidP="00420DDA">
      <w:pPr>
        <w:numPr>
          <w:ilvl w:val="0"/>
          <w:numId w:val="117"/>
        </w:numPr>
        <w:autoSpaceDE w:val="0"/>
        <w:autoSpaceDN w:val="0"/>
        <w:adjustRightInd w:val="0"/>
        <w:jc w:val="both"/>
        <w:rPr>
          <w:rFonts w:ascii="Tahoma" w:hAnsi="Tahoma" w:cs="Tahoma"/>
          <w:sz w:val="20"/>
          <w:szCs w:val="20"/>
        </w:rPr>
      </w:pPr>
      <w:r w:rsidRPr="00B004EE">
        <w:rPr>
          <w:rFonts w:ascii="Tahoma" w:hAnsi="Tahoma" w:cs="Tahoma"/>
          <w:sz w:val="20"/>
          <w:szCs w:val="20"/>
        </w:rPr>
        <w:t>Après ou avant l’acheminement des produits de la pêche et de l'aquaculture, le transport d’un autre fret est autorisé, sous réserve qu’il ne s’agisse ni de personnes, ni d’animaux vivants ou morts, ni de produits susceptibles d’altérer, d’une part, les produits de la pêche et de l'aquaculture, notamment par émanations, pollutions ou apports toxiques et, d’autre part, les revêtements intérieurs des engins ;</w:t>
      </w:r>
    </w:p>
    <w:p w14:paraId="74B6C0C8" w14:textId="77777777" w:rsidR="00190FDD" w:rsidRPr="00B004EE" w:rsidRDefault="00190FDD" w:rsidP="00420DDA">
      <w:pPr>
        <w:numPr>
          <w:ilvl w:val="0"/>
          <w:numId w:val="117"/>
        </w:numPr>
        <w:autoSpaceDE w:val="0"/>
        <w:autoSpaceDN w:val="0"/>
        <w:adjustRightInd w:val="0"/>
        <w:jc w:val="both"/>
        <w:rPr>
          <w:rFonts w:ascii="Tahoma" w:hAnsi="Tahoma" w:cs="Tahoma"/>
          <w:sz w:val="20"/>
          <w:szCs w:val="20"/>
        </w:rPr>
      </w:pPr>
      <w:r w:rsidRPr="00B004EE">
        <w:rPr>
          <w:rFonts w:ascii="Tahoma" w:hAnsi="Tahoma" w:cs="Tahoma"/>
          <w:sz w:val="20"/>
          <w:szCs w:val="20"/>
        </w:rPr>
        <w:t xml:space="preserve">Des denrées alimentaires peuvent être transportées simultanément avec les produits de la pêche et de l'aquaculture sous réserve que les températures de transport des produits et des denrées soient compatibles entre elles et que </w:t>
      </w:r>
      <w:r w:rsidRPr="00B004EE">
        <w:rPr>
          <w:rFonts w:ascii="Tahoma" w:hAnsi="Tahoma" w:cs="Tahoma"/>
          <w:sz w:val="20"/>
          <w:szCs w:val="20"/>
        </w:rPr>
        <w:lastRenderedPageBreak/>
        <w:t>ni l'un ou l'autre ne puisse être la cause de modification ou d’altération de l'autre, en particulier par des odeurs, poussières, souillures, débris organiques ou autres minéraux. Au cas où les effets précités risquent de se produire, les denrées doivent être isolées ;</w:t>
      </w:r>
    </w:p>
    <w:p w14:paraId="220EB9AF" w14:textId="77777777" w:rsidR="00190FDD" w:rsidRPr="00B004EE" w:rsidRDefault="00190FDD" w:rsidP="00420DDA">
      <w:pPr>
        <w:numPr>
          <w:ilvl w:val="0"/>
          <w:numId w:val="117"/>
        </w:numPr>
        <w:autoSpaceDE w:val="0"/>
        <w:autoSpaceDN w:val="0"/>
        <w:adjustRightInd w:val="0"/>
        <w:jc w:val="both"/>
        <w:rPr>
          <w:rFonts w:ascii="Tahoma" w:hAnsi="Tahoma" w:cs="Tahoma"/>
          <w:sz w:val="20"/>
          <w:szCs w:val="20"/>
        </w:rPr>
      </w:pPr>
      <w:r w:rsidRPr="00B004EE">
        <w:rPr>
          <w:rFonts w:ascii="Tahoma" w:hAnsi="Tahoma" w:cs="Tahoma"/>
          <w:sz w:val="20"/>
          <w:szCs w:val="20"/>
        </w:rPr>
        <w:t>S’il s’agit d'un transport de marchandises effectué avant le transport de produits de la pêche et l’aquaculture, les moyens de transport et le matériel utilisés doivent être nettoyés et désinfectés avant le chargement desdits produits.</w:t>
      </w:r>
    </w:p>
    <w:p w14:paraId="004C942E" w14:textId="77777777" w:rsidR="00DB2C7A" w:rsidRPr="00B004EE" w:rsidRDefault="00DB2C7A" w:rsidP="00B004EE">
      <w:pPr>
        <w:jc w:val="both"/>
        <w:rPr>
          <w:rFonts w:ascii="Tahoma" w:hAnsi="Tahoma" w:cs="Tahoma"/>
          <w:bCs/>
          <w:sz w:val="20"/>
          <w:szCs w:val="20"/>
        </w:rPr>
      </w:pPr>
    </w:p>
    <w:p w14:paraId="670E6A25" w14:textId="57DACF39" w:rsidR="00190FDD" w:rsidRPr="00B004EE" w:rsidRDefault="00190FDD" w:rsidP="00B004EE">
      <w:pPr>
        <w:jc w:val="both"/>
        <w:rPr>
          <w:rFonts w:ascii="Tahoma" w:hAnsi="Tahoma" w:cs="Tahoma"/>
          <w:sz w:val="20"/>
          <w:szCs w:val="20"/>
        </w:rPr>
      </w:pPr>
      <w:r w:rsidRPr="00B004EE">
        <w:rPr>
          <w:rFonts w:ascii="Tahoma" w:hAnsi="Tahoma" w:cs="Tahoma"/>
          <w:bCs/>
          <w:sz w:val="20"/>
          <w:szCs w:val="20"/>
        </w:rPr>
        <w:t>Article 7 :</w:t>
      </w:r>
      <w:r w:rsidRPr="00B004EE">
        <w:rPr>
          <w:rFonts w:ascii="Tahoma" w:hAnsi="Tahoma" w:cs="Tahoma"/>
          <w:b/>
          <w:sz w:val="20"/>
          <w:szCs w:val="20"/>
        </w:rPr>
        <w:t xml:space="preserve"> </w:t>
      </w:r>
      <w:r w:rsidRPr="00B004EE">
        <w:rPr>
          <w:rFonts w:ascii="Tahoma" w:hAnsi="Tahoma" w:cs="Tahoma"/>
          <w:sz w:val="20"/>
          <w:szCs w:val="20"/>
        </w:rPr>
        <w:t xml:space="preserve">Les produits de la pêche et de l’aquaculture non conditionnés et les produits conditionnés doivent être transportés dans des engins de transport distincts, sauf dans le cas où, l’engin de transport utilisé, dispose d’une séparation physique adéquate permettant de protéger les produits de la pêche et l’aquaculture non conditionnés. </w:t>
      </w:r>
    </w:p>
    <w:p w14:paraId="562069A5" w14:textId="77777777" w:rsidR="00DB2C7A" w:rsidRPr="00B004EE" w:rsidRDefault="00DB2C7A" w:rsidP="00B004EE">
      <w:pPr>
        <w:jc w:val="both"/>
        <w:rPr>
          <w:rFonts w:ascii="Tahoma" w:hAnsi="Tahoma" w:cs="Tahoma"/>
          <w:bCs/>
          <w:sz w:val="20"/>
          <w:szCs w:val="20"/>
        </w:rPr>
      </w:pPr>
    </w:p>
    <w:p w14:paraId="53BB9FC5" w14:textId="764F2A8D" w:rsidR="00190FDD" w:rsidRPr="00B004EE" w:rsidRDefault="00190FDD" w:rsidP="00B004EE">
      <w:pPr>
        <w:jc w:val="both"/>
        <w:rPr>
          <w:rFonts w:ascii="Tahoma" w:hAnsi="Tahoma" w:cs="Tahoma"/>
          <w:sz w:val="20"/>
          <w:szCs w:val="20"/>
        </w:rPr>
      </w:pPr>
      <w:r w:rsidRPr="00B004EE">
        <w:rPr>
          <w:rFonts w:ascii="Tahoma" w:hAnsi="Tahoma" w:cs="Tahoma"/>
          <w:bCs/>
          <w:sz w:val="20"/>
          <w:szCs w:val="20"/>
        </w:rPr>
        <w:t>Article 8 :</w:t>
      </w:r>
      <w:r w:rsidRPr="00B004EE">
        <w:rPr>
          <w:rFonts w:ascii="Tahoma" w:hAnsi="Tahoma" w:cs="Tahoma"/>
          <w:sz w:val="20"/>
          <w:szCs w:val="20"/>
        </w:rPr>
        <w:t xml:space="preserve"> Toutes les précautions doivent être prises pour que les opérations de chargement et de déchargement des engins de transport se déroulent avec le maximum de célérité et sans variation de température nuisible à la qualité des denrées.</w:t>
      </w:r>
    </w:p>
    <w:p w14:paraId="5FED3762" w14:textId="77777777" w:rsidR="00190FDD" w:rsidRPr="00B004EE" w:rsidRDefault="00190FDD" w:rsidP="00B004EE">
      <w:pPr>
        <w:autoSpaceDE w:val="0"/>
        <w:autoSpaceDN w:val="0"/>
        <w:adjustRightInd w:val="0"/>
        <w:jc w:val="both"/>
        <w:rPr>
          <w:rFonts w:ascii="Tahoma" w:hAnsi="Tahoma" w:cs="Tahoma"/>
          <w:b/>
          <w:bCs/>
          <w:sz w:val="20"/>
          <w:szCs w:val="20"/>
          <w:shd w:val="clear" w:color="auto" w:fill="FFFFFF"/>
        </w:rPr>
      </w:pPr>
    </w:p>
    <w:p w14:paraId="0A0729EB" w14:textId="16786253" w:rsidR="00190FDD" w:rsidRPr="00B004EE" w:rsidRDefault="00190FDD" w:rsidP="00B004EE">
      <w:pPr>
        <w:autoSpaceDE w:val="0"/>
        <w:autoSpaceDN w:val="0"/>
        <w:adjustRightInd w:val="0"/>
        <w:jc w:val="center"/>
        <w:rPr>
          <w:rFonts w:ascii="Tahoma" w:hAnsi="Tahoma" w:cs="Tahoma"/>
          <w:b/>
          <w:bCs/>
          <w:sz w:val="20"/>
          <w:szCs w:val="20"/>
        </w:rPr>
      </w:pPr>
      <w:r w:rsidRPr="00B004EE">
        <w:rPr>
          <w:rFonts w:ascii="Tahoma" w:hAnsi="Tahoma" w:cs="Tahoma"/>
          <w:b/>
          <w:bCs/>
          <w:sz w:val="20"/>
          <w:szCs w:val="20"/>
        </w:rPr>
        <w:t>SECTION 3 : CONDITIONS DU TRANSPORT DES PRODUITS DE LA PECHE ET DE L’AQUACULTURE</w:t>
      </w:r>
    </w:p>
    <w:p w14:paraId="2360B696" w14:textId="77777777" w:rsidR="00AC0E67" w:rsidRPr="00B004EE" w:rsidRDefault="00AC0E67" w:rsidP="00B004EE">
      <w:pPr>
        <w:autoSpaceDE w:val="0"/>
        <w:autoSpaceDN w:val="0"/>
        <w:adjustRightInd w:val="0"/>
        <w:jc w:val="center"/>
        <w:rPr>
          <w:rFonts w:ascii="Tahoma" w:hAnsi="Tahoma" w:cs="Tahoma"/>
          <w:b/>
          <w:bCs/>
          <w:sz w:val="20"/>
          <w:szCs w:val="20"/>
        </w:rPr>
      </w:pPr>
    </w:p>
    <w:p w14:paraId="5AB0CCEC" w14:textId="77777777" w:rsidR="00190FDD" w:rsidRPr="00B004EE" w:rsidRDefault="00190FDD" w:rsidP="00B004EE">
      <w:pPr>
        <w:jc w:val="both"/>
        <w:rPr>
          <w:rFonts w:ascii="Tahoma" w:hAnsi="Tahoma" w:cs="Tahoma"/>
          <w:sz w:val="20"/>
          <w:szCs w:val="20"/>
        </w:rPr>
      </w:pPr>
      <w:r w:rsidRPr="00B004EE">
        <w:rPr>
          <w:rFonts w:ascii="Tahoma" w:hAnsi="Tahoma" w:cs="Tahoma"/>
          <w:bCs/>
          <w:sz w:val="20"/>
          <w:szCs w:val="20"/>
        </w:rPr>
        <w:t>Article 9 :</w:t>
      </w:r>
      <w:r w:rsidRPr="00B004EE">
        <w:rPr>
          <w:rFonts w:ascii="Tahoma" w:hAnsi="Tahoma" w:cs="Tahoma"/>
          <w:sz w:val="20"/>
          <w:szCs w:val="20"/>
        </w:rPr>
        <w:t xml:space="preserve"> </w:t>
      </w:r>
      <w:r w:rsidRPr="00B004EE">
        <w:rPr>
          <w:rFonts w:ascii="Tahoma" w:hAnsi="Tahoma" w:cs="Tahoma"/>
          <w:bCs/>
          <w:sz w:val="20"/>
          <w:szCs w:val="20"/>
        </w:rPr>
        <w:t>l</w:t>
      </w:r>
      <w:r w:rsidRPr="00B004EE">
        <w:rPr>
          <w:rFonts w:ascii="Tahoma" w:hAnsi="Tahoma" w:cs="Tahoma"/>
          <w:sz w:val="20"/>
          <w:szCs w:val="20"/>
        </w:rPr>
        <w:t>es produits de la pêche et de l’aquaculture doivent être présentés en vue de leur transport, dans les états et conditions de température maximale ci-après :</w:t>
      </w:r>
    </w:p>
    <w:p w14:paraId="14AA0FA7" w14:textId="77777777" w:rsidR="00190FDD" w:rsidRPr="00B004EE" w:rsidRDefault="00190FDD" w:rsidP="00420DDA">
      <w:pPr>
        <w:numPr>
          <w:ilvl w:val="0"/>
          <w:numId w:val="116"/>
        </w:numPr>
        <w:jc w:val="both"/>
        <w:rPr>
          <w:rFonts w:ascii="Tahoma" w:hAnsi="Tahoma" w:cs="Tahoma"/>
          <w:sz w:val="20"/>
          <w:szCs w:val="20"/>
        </w:rPr>
      </w:pPr>
      <w:r w:rsidRPr="00B004EE">
        <w:rPr>
          <w:rFonts w:ascii="Tahoma" w:hAnsi="Tahoma" w:cs="Tahoma"/>
          <w:b/>
          <w:bCs/>
          <w:iCs/>
          <w:sz w:val="20"/>
          <w:szCs w:val="20"/>
        </w:rPr>
        <w:t>à l’état congelé ou surgelé</w:t>
      </w:r>
      <w:r w:rsidRPr="00B004EE">
        <w:rPr>
          <w:rFonts w:ascii="Tahoma" w:hAnsi="Tahoma" w:cs="Tahoma"/>
          <w:sz w:val="20"/>
          <w:szCs w:val="20"/>
        </w:rPr>
        <w:t>, la température maximale requise des denrées est de</w:t>
      </w:r>
      <w:r w:rsidRPr="00B004EE">
        <w:rPr>
          <w:rFonts w:ascii="Tahoma" w:hAnsi="Tahoma" w:cs="Tahoma"/>
          <w:i/>
          <w:iCs/>
          <w:sz w:val="20"/>
          <w:szCs w:val="20"/>
        </w:rPr>
        <w:t xml:space="preserve"> </w:t>
      </w:r>
      <w:r w:rsidRPr="00B004EE">
        <w:rPr>
          <w:rFonts w:ascii="Tahoma" w:hAnsi="Tahoma" w:cs="Tahoma"/>
          <w:sz w:val="20"/>
          <w:szCs w:val="20"/>
        </w:rPr>
        <w:t xml:space="preserve">-18°C </w:t>
      </w:r>
      <w:r w:rsidRPr="00B004EE">
        <w:rPr>
          <w:rFonts w:ascii="Tahoma" w:hAnsi="Tahoma" w:cs="Tahoma"/>
          <w:sz w:val="20"/>
          <w:szCs w:val="20"/>
        </w:rPr>
        <w:sym w:font="Symbol" w:char="F0B1"/>
      </w:r>
      <w:r w:rsidRPr="00B004EE">
        <w:rPr>
          <w:rFonts w:ascii="Tahoma" w:hAnsi="Tahoma" w:cs="Tahoma"/>
          <w:sz w:val="20"/>
          <w:szCs w:val="20"/>
        </w:rPr>
        <w:t xml:space="preserve"> 2°C et le moyen de transport adéquat est l’engin frigorifique ou l’engin réfrigérant;</w:t>
      </w:r>
    </w:p>
    <w:p w14:paraId="5B273A68" w14:textId="77777777" w:rsidR="00190FDD" w:rsidRPr="00B004EE" w:rsidRDefault="00190FDD" w:rsidP="00420DDA">
      <w:pPr>
        <w:numPr>
          <w:ilvl w:val="0"/>
          <w:numId w:val="116"/>
        </w:numPr>
        <w:jc w:val="both"/>
        <w:rPr>
          <w:rFonts w:ascii="Tahoma" w:hAnsi="Tahoma" w:cs="Tahoma"/>
          <w:sz w:val="20"/>
          <w:szCs w:val="20"/>
        </w:rPr>
      </w:pPr>
      <w:proofErr w:type="gramStart"/>
      <w:r w:rsidRPr="00B004EE">
        <w:rPr>
          <w:rFonts w:ascii="Tahoma" w:hAnsi="Tahoma" w:cs="Tahoma"/>
          <w:b/>
          <w:bCs/>
          <w:iCs/>
          <w:sz w:val="20"/>
          <w:szCs w:val="20"/>
        </w:rPr>
        <w:t>à</w:t>
      </w:r>
      <w:proofErr w:type="gramEnd"/>
      <w:r w:rsidRPr="00B004EE">
        <w:rPr>
          <w:rFonts w:ascii="Tahoma" w:hAnsi="Tahoma" w:cs="Tahoma"/>
          <w:b/>
          <w:bCs/>
          <w:iCs/>
          <w:sz w:val="20"/>
          <w:szCs w:val="20"/>
        </w:rPr>
        <w:t xml:space="preserve"> l’état réfrigéré</w:t>
      </w:r>
      <w:r w:rsidRPr="00B004EE">
        <w:rPr>
          <w:rFonts w:ascii="Tahoma" w:hAnsi="Tahoma" w:cs="Tahoma"/>
          <w:sz w:val="20"/>
          <w:szCs w:val="20"/>
        </w:rPr>
        <w:t xml:space="preserve"> (sous glace), les poissons, crustacés et mollusques (autres que vivants), </w:t>
      </w:r>
      <w:r w:rsidRPr="00B004EE">
        <w:rPr>
          <w:rFonts w:ascii="Tahoma" w:eastAsia="EUAlbertina-Regular-Identity-H" w:hAnsi="Tahoma" w:cs="Tahoma"/>
          <w:sz w:val="20"/>
          <w:szCs w:val="20"/>
        </w:rPr>
        <w:t>doivent être conservés à une température approchant celle de la glace fondante</w:t>
      </w:r>
      <w:r w:rsidRPr="00B004EE">
        <w:rPr>
          <w:rFonts w:ascii="Tahoma" w:hAnsi="Tahoma" w:cs="Tahoma"/>
          <w:b/>
          <w:bCs/>
          <w:i/>
          <w:iCs/>
          <w:sz w:val="20"/>
          <w:szCs w:val="20"/>
        </w:rPr>
        <w:t>,</w:t>
      </w:r>
      <w:r w:rsidRPr="00B004EE">
        <w:rPr>
          <w:rFonts w:ascii="Tahoma" w:hAnsi="Tahoma" w:cs="Tahoma"/>
          <w:sz w:val="20"/>
          <w:szCs w:val="20"/>
        </w:rPr>
        <w:t xml:space="preserve"> le moyen de transport indiqué est l’engin isotherme, l’engin réfrigérant  ou l’engin frigorifique;</w:t>
      </w:r>
    </w:p>
    <w:p w14:paraId="0AF87F3A" w14:textId="77777777" w:rsidR="00190FDD" w:rsidRPr="00B004EE" w:rsidRDefault="00190FDD" w:rsidP="00420DDA">
      <w:pPr>
        <w:numPr>
          <w:ilvl w:val="0"/>
          <w:numId w:val="116"/>
        </w:numPr>
        <w:jc w:val="both"/>
        <w:rPr>
          <w:rFonts w:ascii="Tahoma" w:hAnsi="Tahoma" w:cs="Tahoma"/>
          <w:sz w:val="20"/>
          <w:szCs w:val="20"/>
        </w:rPr>
      </w:pPr>
      <w:proofErr w:type="gramStart"/>
      <w:r w:rsidRPr="00B004EE">
        <w:rPr>
          <w:rFonts w:ascii="Tahoma" w:hAnsi="Tahoma" w:cs="Tahoma"/>
          <w:b/>
          <w:bCs/>
          <w:iCs/>
          <w:sz w:val="20"/>
          <w:szCs w:val="20"/>
        </w:rPr>
        <w:t>en</w:t>
      </w:r>
      <w:proofErr w:type="gramEnd"/>
      <w:r w:rsidRPr="00B004EE">
        <w:rPr>
          <w:rFonts w:ascii="Tahoma" w:hAnsi="Tahoma" w:cs="Tahoma"/>
          <w:b/>
          <w:bCs/>
          <w:iCs/>
          <w:sz w:val="20"/>
          <w:szCs w:val="20"/>
        </w:rPr>
        <w:t xml:space="preserve"> conserve</w:t>
      </w:r>
      <w:r w:rsidRPr="00B004EE">
        <w:rPr>
          <w:rFonts w:ascii="Tahoma" w:hAnsi="Tahoma" w:cs="Tahoma"/>
          <w:b/>
          <w:bCs/>
          <w:i/>
          <w:iCs/>
          <w:sz w:val="20"/>
          <w:szCs w:val="20"/>
        </w:rPr>
        <w:t>,</w:t>
      </w:r>
      <w:r w:rsidRPr="00B004EE">
        <w:rPr>
          <w:rFonts w:ascii="Tahoma" w:hAnsi="Tahoma" w:cs="Tahoma"/>
          <w:sz w:val="20"/>
          <w:szCs w:val="20"/>
        </w:rPr>
        <w:t xml:space="preserve"> les produits peuvent être maintenus à la température ambiante dans les moyens de transport</w:t>
      </w:r>
      <w:r w:rsidRPr="00B004EE">
        <w:rPr>
          <w:rFonts w:ascii="Tahoma" w:hAnsi="Tahoma" w:cs="Tahoma"/>
          <w:b/>
          <w:bCs/>
          <w:sz w:val="20"/>
          <w:szCs w:val="20"/>
        </w:rPr>
        <w:t>,</w:t>
      </w:r>
      <w:r w:rsidRPr="00B004EE">
        <w:rPr>
          <w:rFonts w:ascii="Tahoma" w:hAnsi="Tahoma" w:cs="Tahoma"/>
          <w:sz w:val="20"/>
          <w:szCs w:val="20"/>
        </w:rPr>
        <w:t xml:space="preserve"> le recours à l’engin frigorifique ou réfrigérant n’est pas nécessaire ; </w:t>
      </w:r>
    </w:p>
    <w:p w14:paraId="7A358692" w14:textId="77777777" w:rsidR="00190FDD" w:rsidRPr="00B004EE" w:rsidRDefault="00190FDD" w:rsidP="00420DDA">
      <w:pPr>
        <w:numPr>
          <w:ilvl w:val="0"/>
          <w:numId w:val="116"/>
        </w:numPr>
        <w:jc w:val="both"/>
        <w:rPr>
          <w:rFonts w:ascii="Tahoma" w:hAnsi="Tahoma" w:cs="Tahoma"/>
          <w:sz w:val="20"/>
          <w:szCs w:val="20"/>
        </w:rPr>
      </w:pPr>
      <w:proofErr w:type="gramStart"/>
      <w:r w:rsidRPr="00B004EE">
        <w:rPr>
          <w:rFonts w:ascii="Tahoma" w:hAnsi="Tahoma" w:cs="Tahoma"/>
          <w:b/>
          <w:bCs/>
          <w:iCs/>
          <w:sz w:val="20"/>
          <w:szCs w:val="20"/>
        </w:rPr>
        <w:t>à</w:t>
      </w:r>
      <w:proofErr w:type="gramEnd"/>
      <w:r w:rsidRPr="00B004EE">
        <w:rPr>
          <w:rFonts w:ascii="Tahoma" w:hAnsi="Tahoma" w:cs="Tahoma"/>
          <w:b/>
          <w:bCs/>
          <w:iCs/>
          <w:sz w:val="20"/>
          <w:szCs w:val="20"/>
        </w:rPr>
        <w:t xml:space="preserve"> l’état transformé</w:t>
      </w:r>
      <w:r w:rsidRPr="00B004EE">
        <w:rPr>
          <w:rFonts w:ascii="Tahoma" w:hAnsi="Tahoma" w:cs="Tahoma"/>
          <w:sz w:val="20"/>
          <w:szCs w:val="20"/>
        </w:rPr>
        <w:t>, les produits, salés -séchés, braisés ou fumés à chaud, mis dans des emballages adéquats, sont conservés à une température ne dépassant pas + 15°C.</w:t>
      </w:r>
    </w:p>
    <w:p w14:paraId="72787936" w14:textId="77777777" w:rsidR="00190FDD" w:rsidRPr="00B004EE" w:rsidRDefault="00190FDD" w:rsidP="00420DDA">
      <w:pPr>
        <w:numPr>
          <w:ilvl w:val="0"/>
          <w:numId w:val="116"/>
        </w:numPr>
        <w:jc w:val="both"/>
        <w:rPr>
          <w:rFonts w:ascii="Tahoma" w:hAnsi="Tahoma" w:cs="Tahoma"/>
          <w:sz w:val="20"/>
          <w:szCs w:val="20"/>
        </w:rPr>
      </w:pPr>
      <w:proofErr w:type="gramStart"/>
      <w:r w:rsidRPr="00B004EE">
        <w:rPr>
          <w:rFonts w:ascii="Tahoma" w:hAnsi="Tahoma" w:cs="Tahoma"/>
          <w:b/>
          <w:bCs/>
          <w:iCs/>
          <w:sz w:val="20"/>
          <w:szCs w:val="20"/>
        </w:rPr>
        <w:t>à</w:t>
      </w:r>
      <w:proofErr w:type="gramEnd"/>
      <w:r w:rsidRPr="00B004EE">
        <w:rPr>
          <w:rFonts w:ascii="Tahoma" w:hAnsi="Tahoma" w:cs="Tahoma"/>
          <w:b/>
          <w:bCs/>
          <w:iCs/>
          <w:sz w:val="20"/>
          <w:szCs w:val="20"/>
        </w:rPr>
        <w:t xml:space="preserve"> l’état frais, </w:t>
      </w:r>
      <w:r w:rsidRPr="00B004EE">
        <w:rPr>
          <w:rFonts w:ascii="Tahoma" w:hAnsi="Tahoma" w:cs="Tahoma"/>
          <w:iCs/>
          <w:sz w:val="20"/>
          <w:szCs w:val="20"/>
        </w:rPr>
        <w:t>les huîtres ,moules et autres coquillages vivants la température de conservation requise est de 4 à 10°C.</w:t>
      </w:r>
    </w:p>
    <w:p w14:paraId="12CEF54C" w14:textId="77777777" w:rsidR="00190FDD" w:rsidRPr="00B004EE" w:rsidRDefault="00190FDD" w:rsidP="00B004EE">
      <w:pPr>
        <w:jc w:val="both"/>
        <w:rPr>
          <w:rFonts w:ascii="Tahoma" w:hAnsi="Tahoma" w:cs="Tahoma"/>
          <w:sz w:val="20"/>
          <w:szCs w:val="20"/>
        </w:rPr>
      </w:pPr>
      <w:r w:rsidRPr="00B004EE">
        <w:rPr>
          <w:rFonts w:ascii="Tahoma" w:hAnsi="Tahoma" w:cs="Tahoma"/>
          <w:sz w:val="20"/>
          <w:szCs w:val="20"/>
        </w:rPr>
        <w:t xml:space="preserve">Toutefois, le produit fumé à froid </w:t>
      </w:r>
      <w:r w:rsidRPr="00B004EE">
        <w:rPr>
          <w:rFonts w:ascii="Tahoma" w:hAnsi="Tahoma" w:cs="Tahoma"/>
          <w:bCs/>
          <w:sz w:val="20"/>
          <w:szCs w:val="20"/>
        </w:rPr>
        <w:t>y compris les semi-conserves</w:t>
      </w:r>
      <w:r w:rsidRPr="00B004EE">
        <w:rPr>
          <w:rFonts w:ascii="Tahoma" w:hAnsi="Tahoma" w:cs="Tahoma"/>
          <w:sz w:val="20"/>
          <w:szCs w:val="20"/>
        </w:rPr>
        <w:t>, doit être conservé au plus à 2°C, et s’il est congelé, il doit être maintenu à la température requise de -18°C.</w:t>
      </w:r>
    </w:p>
    <w:p w14:paraId="46FE17ED" w14:textId="77777777" w:rsidR="00DB2C7A" w:rsidRPr="00B004EE" w:rsidRDefault="00DB2C7A" w:rsidP="00B004EE">
      <w:pPr>
        <w:autoSpaceDE w:val="0"/>
        <w:autoSpaceDN w:val="0"/>
        <w:adjustRightInd w:val="0"/>
        <w:jc w:val="both"/>
        <w:rPr>
          <w:rFonts w:ascii="Tahoma" w:hAnsi="Tahoma" w:cs="Tahoma"/>
          <w:bCs/>
          <w:sz w:val="20"/>
          <w:szCs w:val="20"/>
        </w:rPr>
      </w:pPr>
    </w:p>
    <w:p w14:paraId="5F2FA5F5" w14:textId="45E395FE" w:rsidR="00190FDD" w:rsidRPr="00B004EE" w:rsidRDefault="00190FDD" w:rsidP="00B004EE">
      <w:pPr>
        <w:autoSpaceDE w:val="0"/>
        <w:autoSpaceDN w:val="0"/>
        <w:adjustRightInd w:val="0"/>
        <w:jc w:val="both"/>
        <w:rPr>
          <w:rFonts w:ascii="Tahoma" w:hAnsi="Tahoma" w:cs="Tahoma"/>
          <w:sz w:val="20"/>
          <w:szCs w:val="20"/>
        </w:rPr>
      </w:pPr>
      <w:r w:rsidRPr="00B004EE">
        <w:rPr>
          <w:rFonts w:ascii="Tahoma" w:hAnsi="Tahoma" w:cs="Tahoma"/>
          <w:bCs/>
          <w:sz w:val="20"/>
          <w:szCs w:val="20"/>
        </w:rPr>
        <w:t>Article 10 :</w:t>
      </w:r>
      <w:r w:rsidRPr="00B004EE">
        <w:rPr>
          <w:rFonts w:ascii="Tahoma" w:hAnsi="Tahoma" w:cs="Tahoma"/>
          <w:sz w:val="20"/>
          <w:szCs w:val="20"/>
          <w:shd w:val="clear" w:color="auto" w:fill="FFFFFF"/>
        </w:rPr>
        <w:t xml:space="preserve"> Les poissons, les crustacés et mollusques frais, à l’exception de ceux qui sont présentés à l’état vivant ou congelé, sont transportés sous glace fondante de qualité alimentaire en vrac ou dans des contenants ou emballages imperméables, résistants, faciles à nettoyer et à désinfecter</w:t>
      </w:r>
      <w:r w:rsidRPr="00B004EE">
        <w:rPr>
          <w:rFonts w:ascii="Tahoma" w:hAnsi="Tahoma" w:cs="Tahoma"/>
          <w:sz w:val="20"/>
          <w:szCs w:val="20"/>
        </w:rPr>
        <w:t>, l'écoulement de l'eau de fusion doit être assurée afin d'éviter que cette eau ne séjourne au contact desdits produits</w:t>
      </w:r>
    </w:p>
    <w:p w14:paraId="5ECA6A7B" w14:textId="77777777" w:rsidR="00190FDD" w:rsidRPr="00B004EE" w:rsidRDefault="00190FDD" w:rsidP="00B004EE">
      <w:pPr>
        <w:autoSpaceDE w:val="0"/>
        <w:autoSpaceDN w:val="0"/>
        <w:adjustRightInd w:val="0"/>
        <w:jc w:val="both"/>
        <w:rPr>
          <w:rFonts w:ascii="Tahoma" w:hAnsi="Tahoma" w:cs="Tahoma"/>
          <w:sz w:val="20"/>
          <w:szCs w:val="20"/>
          <w:shd w:val="clear" w:color="auto" w:fill="FFFFFF"/>
        </w:rPr>
      </w:pPr>
      <w:r w:rsidRPr="00B004EE">
        <w:rPr>
          <w:rFonts w:ascii="Tahoma" w:hAnsi="Tahoma" w:cs="Tahoma"/>
          <w:sz w:val="20"/>
          <w:szCs w:val="20"/>
          <w:shd w:val="clear" w:color="auto" w:fill="FFFFFF"/>
        </w:rPr>
        <w:lastRenderedPageBreak/>
        <w:t>Les poissons vivants, faisant l’objet d’un transport, doivent être protégés contre tous les risques de souillure ou d’infection, notamment contre ceux qui sont susceptibles de provenir de l’eau ou des contenants.</w:t>
      </w:r>
    </w:p>
    <w:p w14:paraId="0E827B2A" w14:textId="77777777" w:rsidR="00190FDD" w:rsidRPr="00B004EE" w:rsidRDefault="00190FDD" w:rsidP="00B004EE">
      <w:pPr>
        <w:autoSpaceDE w:val="0"/>
        <w:autoSpaceDN w:val="0"/>
        <w:adjustRightInd w:val="0"/>
        <w:jc w:val="both"/>
        <w:rPr>
          <w:rFonts w:ascii="Tahoma" w:hAnsi="Tahoma" w:cs="Tahoma"/>
          <w:sz w:val="20"/>
          <w:szCs w:val="20"/>
          <w:shd w:val="clear" w:color="auto" w:fill="FFFFFF"/>
        </w:rPr>
      </w:pPr>
      <w:r w:rsidRPr="00B004EE">
        <w:rPr>
          <w:rFonts w:ascii="Tahoma" w:hAnsi="Tahoma" w:cs="Tahoma"/>
          <w:sz w:val="20"/>
          <w:szCs w:val="20"/>
          <w:shd w:val="clear" w:color="auto" w:fill="FFFFFF"/>
        </w:rPr>
        <w:t>Les crustacés vivants transportés à l’air libre sont placés dans des emballages assurant une aération suffisante.</w:t>
      </w:r>
    </w:p>
    <w:p w14:paraId="4132D4E6" w14:textId="77777777" w:rsidR="00190FDD" w:rsidRPr="00B004EE" w:rsidRDefault="00190FDD" w:rsidP="00B004EE">
      <w:pPr>
        <w:autoSpaceDE w:val="0"/>
        <w:autoSpaceDN w:val="0"/>
        <w:adjustRightInd w:val="0"/>
        <w:jc w:val="both"/>
        <w:rPr>
          <w:rFonts w:ascii="Tahoma" w:hAnsi="Tahoma" w:cs="Tahoma"/>
          <w:sz w:val="20"/>
          <w:szCs w:val="20"/>
          <w:shd w:val="clear" w:color="auto" w:fill="FFFFFF"/>
        </w:rPr>
      </w:pPr>
      <w:r w:rsidRPr="00B004EE">
        <w:rPr>
          <w:rFonts w:ascii="Tahoma" w:hAnsi="Tahoma" w:cs="Tahoma"/>
          <w:sz w:val="20"/>
          <w:szCs w:val="20"/>
          <w:shd w:val="clear" w:color="auto" w:fill="FFFFFF"/>
        </w:rPr>
        <w:t>Les huîtres, moules et autres coquillages transportés à l’état vivant, doivent être disposés dans des emballages résistants, imperméables, imputrescibles et conçus de façon à assurer leur bonne conservation.</w:t>
      </w:r>
    </w:p>
    <w:p w14:paraId="1CA931D3" w14:textId="77777777" w:rsidR="00DB2C7A" w:rsidRPr="00B004EE" w:rsidRDefault="00DB2C7A" w:rsidP="00B004EE">
      <w:pPr>
        <w:widowControl w:val="0"/>
        <w:autoSpaceDE w:val="0"/>
        <w:autoSpaceDN w:val="0"/>
        <w:adjustRightInd w:val="0"/>
        <w:jc w:val="both"/>
        <w:rPr>
          <w:rFonts w:ascii="Tahoma" w:hAnsi="Tahoma" w:cs="Tahoma"/>
          <w:bCs/>
          <w:sz w:val="20"/>
          <w:szCs w:val="20"/>
        </w:rPr>
      </w:pPr>
    </w:p>
    <w:p w14:paraId="664B8384" w14:textId="3C9AE0A7" w:rsidR="00190FDD" w:rsidRPr="00B004EE" w:rsidRDefault="00190FDD" w:rsidP="00B004EE">
      <w:pPr>
        <w:widowControl w:val="0"/>
        <w:autoSpaceDE w:val="0"/>
        <w:autoSpaceDN w:val="0"/>
        <w:adjustRightInd w:val="0"/>
        <w:jc w:val="both"/>
        <w:rPr>
          <w:rFonts w:ascii="Tahoma" w:hAnsi="Tahoma" w:cs="Tahoma"/>
          <w:sz w:val="20"/>
          <w:szCs w:val="20"/>
        </w:rPr>
      </w:pPr>
      <w:r w:rsidRPr="00B004EE">
        <w:rPr>
          <w:rFonts w:ascii="Tahoma" w:hAnsi="Tahoma" w:cs="Tahoma"/>
          <w:bCs/>
          <w:sz w:val="20"/>
          <w:szCs w:val="20"/>
        </w:rPr>
        <w:t>Article 11 :</w:t>
      </w:r>
      <w:r w:rsidRPr="00B004EE">
        <w:rPr>
          <w:rFonts w:ascii="Tahoma" w:hAnsi="Tahoma" w:cs="Tahoma"/>
          <w:sz w:val="20"/>
          <w:szCs w:val="20"/>
        </w:rPr>
        <w:t xml:space="preserve"> Tout engin de transport doit disposer d’un ou de plusieurs thermomètres permettant de mesurer pendant toute la durée du transport la température de l'air dans l’engin de transport.</w:t>
      </w:r>
    </w:p>
    <w:p w14:paraId="1CDE0A8F" w14:textId="77777777" w:rsidR="00190FDD" w:rsidRPr="00B004EE" w:rsidRDefault="00190FDD" w:rsidP="00B004EE">
      <w:pPr>
        <w:widowControl w:val="0"/>
        <w:autoSpaceDE w:val="0"/>
        <w:autoSpaceDN w:val="0"/>
        <w:adjustRightInd w:val="0"/>
        <w:jc w:val="both"/>
        <w:rPr>
          <w:rFonts w:ascii="Tahoma" w:hAnsi="Tahoma" w:cs="Tahoma"/>
          <w:sz w:val="20"/>
          <w:szCs w:val="20"/>
        </w:rPr>
      </w:pPr>
      <w:r w:rsidRPr="00B004EE">
        <w:rPr>
          <w:rFonts w:ascii="Tahoma" w:hAnsi="Tahoma" w:cs="Tahoma"/>
          <w:sz w:val="20"/>
          <w:szCs w:val="20"/>
        </w:rPr>
        <w:t>La ou les sonde(s) de(s) thermomètre(s) doit(vent) être convenablement placée(s) dans le point le plus chaud de l’engin de transport pour permettre de mesurer de manière adéquate la température dans l’engin de transport. Dans le cas des caisses compartimentées, la température propre à chaque compartiment doit être mesurée.</w:t>
      </w:r>
    </w:p>
    <w:p w14:paraId="0D47C23B" w14:textId="77777777" w:rsidR="00190FDD" w:rsidRPr="00B004EE" w:rsidRDefault="00190FDD" w:rsidP="00B004EE">
      <w:pPr>
        <w:autoSpaceDE w:val="0"/>
        <w:autoSpaceDN w:val="0"/>
        <w:adjustRightInd w:val="0"/>
        <w:jc w:val="both"/>
        <w:rPr>
          <w:rFonts w:ascii="Tahoma" w:hAnsi="Tahoma" w:cs="Tahoma"/>
          <w:sz w:val="20"/>
          <w:szCs w:val="20"/>
        </w:rPr>
      </w:pPr>
      <w:r w:rsidRPr="00B004EE">
        <w:rPr>
          <w:rFonts w:ascii="Tahoma" w:hAnsi="Tahoma" w:cs="Tahoma"/>
          <w:sz w:val="20"/>
          <w:szCs w:val="20"/>
        </w:rPr>
        <w:t>Dans tous les cas, le(s) lecteur(s) synoptique(s) de la température doit(vent) être clairement lisible et facilement accessible.</w:t>
      </w:r>
    </w:p>
    <w:p w14:paraId="14F30057" w14:textId="77777777" w:rsidR="00190FDD" w:rsidRPr="00B004EE" w:rsidRDefault="00190FDD" w:rsidP="00B004EE">
      <w:pPr>
        <w:autoSpaceDE w:val="0"/>
        <w:autoSpaceDN w:val="0"/>
        <w:adjustRightInd w:val="0"/>
        <w:jc w:val="both"/>
        <w:rPr>
          <w:rFonts w:ascii="Tahoma" w:hAnsi="Tahoma" w:cs="Tahoma"/>
          <w:sz w:val="20"/>
          <w:szCs w:val="20"/>
          <w:shd w:val="clear" w:color="auto" w:fill="FFFFFF"/>
        </w:rPr>
      </w:pPr>
    </w:p>
    <w:p w14:paraId="4960D834" w14:textId="77777777" w:rsidR="00190FDD" w:rsidRPr="00B004EE" w:rsidRDefault="00190FDD" w:rsidP="00B004EE">
      <w:pPr>
        <w:autoSpaceDE w:val="0"/>
        <w:autoSpaceDN w:val="0"/>
        <w:adjustRightInd w:val="0"/>
        <w:jc w:val="center"/>
        <w:rPr>
          <w:rFonts w:ascii="Tahoma" w:hAnsi="Tahoma" w:cs="Tahoma"/>
          <w:b/>
          <w:bCs/>
          <w:sz w:val="20"/>
          <w:szCs w:val="20"/>
        </w:rPr>
      </w:pPr>
      <w:r w:rsidRPr="00B004EE">
        <w:rPr>
          <w:rFonts w:ascii="Tahoma" w:hAnsi="Tahoma" w:cs="Tahoma"/>
          <w:b/>
          <w:bCs/>
          <w:sz w:val="20"/>
          <w:szCs w:val="20"/>
        </w:rPr>
        <w:t>SECTION 4 : DISPOSITIONS PARTICULIERES AU TRANSPORT DES ALIMENTS POUR ANIMAUX</w:t>
      </w:r>
    </w:p>
    <w:p w14:paraId="2353317D" w14:textId="77777777" w:rsidR="00190FDD" w:rsidRPr="00B004EE" w:rsidRDefault="00190FDD" w:rsidP="00B004EE">
      <w:pPr>
        <w:autoSpaceDE w:val="0"/>
        <w:autoSpaceDN w:val="0"/>
        <w:adjustRightInd w:val="0"/>
        <w:jc w:val="center"/>
        <w:rPr>
          <w:rFonts w:ascii="Tahoma" w:hAnsi="Tahoma" w:cs="Tahoma"/>
          <w:sz w:val="20"/>
          <w:szCs w:val="20"/>
        </w:rPr>
      </w:pPr>
    </w:p>
    <w:p w14:paraId="499E3FC8" w14:textId="77777777" w:rsidR="00190FDD" w:rsidRPr="00B004EE" w:rsidRDefault="00190FDD" w:rsidP="00B004EE">
      <w:pPr>
        <w:widowControl w:val="0"/>
        <w:autoSpaceDE w:val="0"/>
        <w:autoSpaceDN w:val="0"/>
        <w:adjustRightInd w:val="0"/>
        <w:jc w:val="both"/>
        <w:rPr>
          <w:rFonts w:ascii="Tahoma" w:hAnsi="Tahoma" w:cs="Tahoma"/>
          <w:sz w:val="20"/>
          <w:szCs w:val="20"/>
        </w:rPr>
      </w:pPr>
      <w:r w:rsidRPr="00B004EE">
        <w:rPr>
          <w:rFonts w:ascii="Tahoma" w:hAnsi="Tahoma" w:cs="Tahoma"/>
          <w:bCs/>
          <w:sz w:val="20"/>
          <w:szCs w:val="20"/>
        </w:rPr>
        <w:t>Article 12 :</w:t>
      </w:r>
      <w:r w:rsidRPr="00B004EE">
        <w:rPr>
          <w:rFonts w:ascii="Tahoma" w:hAnsi="Tahoma" w:cs="Tahoma"/>
          <w:sz w:val="20"/>
          <w:szCs w:val="20"/>
        </w:rPr>
        <w:t xml:space="preserve"> Les contenants utilisés pour le transport des produits de la pêche destinés à la production des aliments pour animaux doivent être propres et maintenus en bon état d’entretien. Ils doivent notamment être nettoyés après chaque transport et désinfectés, si nécessaire, et traités régulièrement contre les organismes nuisibles.</w:t>
      </w:r>
    </w:p>
    <w:p w14:paraId="78F2AB6A" w14:textId="77777777" w:rsidR="00190FDD" w:rsidRPr="00B004EE" w:rsidRDefault="00190FDD" w:rsidP="00B004EE">
      <w:pPr>
        <w:widowControl w:val="0"/>
        <w:autoSpaceDE w:val="0"/>
        <w:autoSpaceDN w:val="0"/>
        <w:adjustRightInd w:val="0"/>
        <w:jc w:val="both"/>
        <w:rPr>
          <w:rFonts w:ascii="Tahoma" w:hAnsi="Tahoma" w:cs="Tahoma"/>
          <w:sz w:val="20"/>
          <w:szCs w:val="20"/>
        </w:rPr>
      </w:pPr>
      <w:r w:rsidRPr="00B004EE">
        <w:rPr>
          <w:rFonts w:ascii="Tahoma" w:hAnsi="Tahoma" w:cs="Tahoma"/>
          <w:sz w:val="20"/>
          <w:szCs w:val="20"/>
        </w:rPr>
        <w:t>L’exploitant des contenants doit mettre en place un programme de nettoyage et de désinfection en vue d’éviter la présence de traces de détergents et de désinfectants.</w:t>
      </w:r>
    </w:p>
    <w:p w14:paraId="7A565D0E" w14:textId="77777777" w:rsidR="00DB2C7A" w:rsidRPr="00B004EE" w:rsidRDefault="00DB2C7A" w:rsidP="00B004EE">
      <w:pPr>
        <w:widowControl w:val="0"/>
        <w:autoSpaceDE w:val="0"/>
        <w:autoSpaceDN w:val="0"/>
        <w:adjustRightInd w:val="0"/>
        <w:jc w:val="both"/>
        <w:rPr>
          <w:rFonts w:ascii="Tahoma" w:hAnsi="Tahoma" w:cs="Tahoma"/>
          <w:bCs/>
          <w:sz w:val="20"/>
          <w:szCs w:val="20"/>
        </w:rPr>
      </w:pPr>
    </w:p>
    <w:p w14:paraId="73274735" w14:textId="7D9C903D" w:rsidR="00190FDD" w:rsidRPr="00B004EE" w:rsidRDefault="00190FDD" w:rsidP="00B004EE">
      <w:pPr>
        <w:widowControl w:val="0"/>
        <w:autoSpaceDE w:val="0"/>
        <w:autoSpaceDN w:val="0"/>
        <w:adjustRightInd w:val="0"/>
        <w:jc w:val="both"/>
        <w:rPr>
          <w:rFonts w:ascii="Tahoma" w:hAnsi="Tahoma" w:cs="Tahoma"/>
          <w:sz w:val="20"/>
          <w:szCs w:val="20"/>
        </w:rPr>
      </w:pPr>
      <w:r w:rsidRPr="00B004EE">
        <w:rPr>
          <w:rFonts w:ascii="Tahoma" w:hAnsi="Tahoma" w:cs="Tahoma"/>
          <w:bCs/>
          <w:sz w:val="20"/>
          <w:szCs w:val="20"/>
        </w:rPr>
        <w:t>Article 13 :</w:t>
      </w:r>
      <w:r w:rsidRPr="00B004EE">
        <w:rPr>
          <w:rFonts w:ascii="Tahoma" w:hAnsi="Tahoma" w:cs="Tahoma"/>
          <w:sz w:val="20"/>
          <w:szCs w:val="20"/>
        </w:rPr>
        <w:t xml:space="preserve"> Les engins de transport des produits de la pêche destinée à la production des aliments pour animaux doivent satisfait aux conditions ci-après :</w:t>
      </w:r>
    </w:p>
    <w:p w14:paraId="44E3B14B" w14:textId="77777777" w:rsidR="00190FDD" w:rsidRPr="00B004EE" w:rsidRDefault="00190FDD" w:rsidP="00420DDA">
      <w:pPr>
        <w:numPr>
          <w:ilvl w:val="0"/>
          <w:numId w:val="120"/>
        </w:numPr>
        <w:jc w:val="both"/>
        <w:rPr>
          <w:rFonts w:ascii="Tahoma" w:hAnsi="Tahoma" w:cs="Tahoma"/>
          <w:sz w:val="20"/>
          <w:szCs w:val="20"/>
        </w:rPr>
      </w:pPr>
      <w:r w:rsidRPr="00B004EE">
        <w:rPr>
          <w:rFonts w:ascii="Tahoma" w:hAnsi="Tahoma" w:cs="Tahoma"/>
          <w:sz w:val="20"/>
          <w:szCs w:val="20"/>
        </w:rPr>
        <w:t xml:space="preserve">Les revêtements intérieurs sont conçus et construits avec des matériaux résistant à la corrosion, imperméables, imputrescibles, </w:t>
      </w:r>
    </w:p>
    <w:p w14:paraId="6E155998" w14:textId="77777777" w:rsidR="00190FDD" w:rsidRPr="00B004EE" w:rsidRDefault="00190FDD" w:rsidP="00420DDA">
      <w:pPr>
        <w:numPr>
          <w:ilvl w:val="0"/>
          <w:numId w:val="120"/>
        </w:numPr>
        <w:jc w:val="both"/>
        <w:rPr>
          <w:rFonts w:ascii="Tahoma" w:hAnsi="Tahoma" w:cs="Tahoma"/>
          <w:sz w:val="20"/>
          <w:szCs w:val="20"/>
        </w:rPr>
      </w:pPr>
      <w:r w:rsidRPr="00B004EE">
        <w:rPr>
          <w:rFonts w:ascii="Tahoma" w:hAnsi="Tahoma" w:cs="Tahoma"/>
          <w:sz w:val="20"/>
          <w:szCs w:val="20"/>
        </w:rPr>
        <w:t>Les revêtements intérieurs sont lisses, facile à laver et à désinfecter ;</w:t>
      </w:r>
    </w:p>
    <w:p w14:paraId="441B03C5" w14:textId="77777777" w:rsidR="00190FDD" w:rsidRPr="00B004EE" w:rsidRDefault="00190FDD" w:rsidP="00420DDA">
      <w:pPr>
        <w:numPr>
          <w:ilvl w:val="0"/>
          <w:numId w:val="120"/>
        </w:numPr>
        <w:jc w:val="both"/>
        <w:rPr>
          <w:rFonts w:ascii="Tahoma" w:hAnsi="Tahoma" w:cs="Tahoma"/>
          <w:sz w:val="20"/>
          <w:szCs w:val="20"/>
        </w:rPr>
      </w:pPr>
      <w:r w:rsidRPr="00B004EE">
        <w:rPr>
          <w:rFonts w:ascii="Tahoma" w:hAnsi="Tahoma" w:cs="Tahoma"/>
          <w:sz w:val="20"/>
          <w:szCs w:val="20"/>
        </w:rPr>
        <w:t>Le réceptacle de l’engin doit être hermétiquement fermé afin de protégé les produits de la pêche contre les rayons solaires et les contaminations aéroportées croisée et d’éviter l’altération de la qualité des produits transportés ;</w:t>
      </w:r>
    </w:p>
    <w:p w14:paraId="5B6C779A" w14:textId="77777777" w:rsidR="00190FDD" w:rsidRPr="00B004EE" w:rsidRDefault="00190FDD" w:rsidP="00420DDA">
      <w:pPr>
        <w:numPr>
          <w:ilvl w:val="0"/>
          <w:numId w:val="120"/>
        </w:numPr>
        <w:jc w:val="both"/>
        <w:rPr>
          <w:rFonts w:ascii="Tahoma" w:hAnsi="Tahoma" w:cs="Tahoma"/>
          <w:sz w:val="20"/>
          <w:szCs w:val="20"/>
        </w:rPr>
      </w:pPr>
      <w:r w:rsidRPr="00B004EE">
        <w:rPr>
          <w:rFonts w:ascii="Tahoma" w:hAnsi="Tahoma" w:cs="Tahoma"/>
          <w:sz w:val="20"/>
          <w:szCs w:val="20"/>
        </w:rPr>
        <w:t>L’engin de transport doit être étanche pour éviter l’écoulement de l’eau de fusion durant le transport du produit.</w:t>
      </w:r>
    </w:p>
    <w:p w14:paraId="6B354362" w14:textId="77777777" w:rsidR="00190FDD" w:rsidRPr="00B004EE" w:rsidRDefault="00190FDD" w:rsidP="00B004EE">
      <w:pPr>
        <w:autoSpaceDE w:val="0"/>
        <w:autoSpaceDN w:val="0"/>
        <w:adjustRightInd w:val="0"/>
        <w:jc w:val="center"/>
        <w:rPr>
          <w:rFonts w:ascii="Tahoma" w:hAnsi="Tahoma" w:cs="Tahoma"/>
          <w:sz w:val="20"/>
          <w:szCs w:val="20"/>
        </w:rPr>
      </w:pPr>
    </w:p>
    <w:p w14:paraId="0849CEF4" w14:textId="17D3CF34" w:rsidR="00190FDD" w:rsidRPr="00B004EE" w:rsidRDefault="00190FDD" w:rsidP="00B004EE">
      <w:pPr>
        <w:autoSpaceDE w:val="0"/>
        <w:autoSpaceDN w:val="0"/>
        <w:adjustRightInd w:val="0"/>
        <w:jc w:val="center"/>
        <w:rPr>
          <w:rFonts w:ascii="Tahoma" w:hAnsi="Tahoma" w:cs="Tahoma"/>
          <w:b/>
          <w:bCs/>
          <w:sz w:val="20"/>
          <w:szCs w:val="20"/>
        </w:rPr>
      </w:pPr>
      <w:r w:rsidRPr="00B004EE">
        <w:rPr>
          <w:rFonts w:ascii="Tahoma" w:hAnsi="Tahoma" w:cs="Tahoma"/>
          <w:b/>
          <w:bCs/>
          <w:sz w:val="20"/>
          <w:szCs w:val="20"/>
        </w:rPr>
        <w:t>TITRE III</w:t>
      </w:r>
      <w:r w:rsidR="00E92F7C" w:rsidRPr="00B004EE">
        <w:rPr>
          <w:rFonts w:ascii="Tahoma" w:hAnsi="Tahoma" w:cs="Tahoma"/>
          <w:b/>
          <w:bCs/>
          <w:sz w:val="20"/>
          <w:szCs w:val="20"/>
        </w:rPr>
        <w:t xml:space="preserve"> : </w:t>
      </w:r>
      <w:r w:rsidRPr="00B004EE">
        <w:rPr>
          <w:rFonts w:ascii="Tahoma" w:hAnsi="Tahoma" w:cs="Tahoma"/>
          <w:b/>
          <w:bCs/>
          <w:sz w:val="20"/>
          <w:szCs w:val="20"/>
        </w:rPr>
        <w:t>VERIFICATION DE CONFORMITE DES ENGINS DE TRANSPORT</w:t>
      </w:r>
    </w:p>
    <w:p w14:paraId="12952775" w14:textId="77777777" w:rsidR="00190FDD" w:rsidRPr="00B004EE" w:rsidRDefault="00190FDD" w:rsidP="00B004EE">
      <w:pPr>
        <w:jc w:val="center"/>
        <w:rPr>
          <w:rFonts w:ascii="Tahoma" w:hAnsi="Tahoma" w:cs="Tahoma"/>
          <w:sz w:val="20"/>
          <w:szCs w:val="20"/>
        </w:rPr>
      </w:pPr>
    </w:p>
    <w:p w14:paraId="5F3D5093" w14:textId="77777777" w:rsidR="00AC0E67" w:rsidRPr="00B004EE" w:rsidRDefault="00190FDD" w:rsidP="00B004EE">
      <w:pPr>
        <w:jc w:val="both"/>
        <w:rPr>
          <w:rFonts w:ascii="Tahoma" w:hAnsi="Tahoma" w:cs="Tahoma"/>
          <w:sz w:val="20"/>
          <w:szCs w:val="20"/>
          <w:shd w:val="clear" w:color="auto" w:fill="FFFFFF"/>
        </w:rPr>
      </w:pPr>
      <w:r w:rsidRPr="00B004EE">
        <w:rPr>
          <w:rFonts w:ascii="Tahoma" w:hAnsi="Tahoma" w:cs="Tahoma"/>
          <w:bCs/>
          <w:sz w:val="20"/>
          <w:szCs w:val="20"/>
        </w:rPr>
        <w:t>Article 14 :</w:t>
      </w:r>
      <w:r w:rsidRPr="00B004EE">
        <w:rPr>
          <w:rFonts w:ascii="Tahoma" w:hAnsi="Tahoma" w:cs="Tahoma"/>
          <w:sz w:val="20"/>
          <w:szCs w:val="20"/>
        </w:rPr>
        <w:t xml:space="preserve"> </w:t>
      </w:r>
      <w:r w:rsidRPr="00B004EE">
        <w:rPr>
          <w:rFonts w:ascii="Tahoma" w:hAnsi="Tahoma" w:cs="Tahoma"/>
          <w:sz w:val="20"/>
          <w:szCs w:val="20"/>
          <w:shd w:val="clear" w:color="auto" w:fill="FFFFFF"/>
        </w:rPr>
        <w:t>Les engins de transport définis à l'article 2 doivent être soumis à une visite techniques des services d’inspection de l’ONISPA en vue d’obtenir un agrément.</w:t>
      </w:r>
    </w:p>
    <w:p w14:paraId="6947F25A" w14:textId="53DCF8B0" w:rsidR="00190FDD" w:rsidRPr="00B004EE" w:rsidRDefault="00190FDD" w:rsidP="00B004EE">
      <w:pPr>
        <w:jc w:val="both"/>
        <w:rPr>
          <w:rFonts w:ascii="Tahoma" w:hAnsi="Tahoma" w:cs="Tahoma"/>
          <w:sz w:val="20"/>
          <w:szCs w:val="20"/>
          <w:shd w:val="clear" w:color="auto" w:fill="FFFFFF"/>
        </w:rPr>
      </w:pPr>
      <w:r w:rsidRPr="00B004EE">
        <w:rPr>
          <w:rFonts w:ascii="Tahoma" w:hAnsi="Tahoma" w:cs="Tahoma"/>
          <w:sz w:val="20"/>
          <w:szCs w:val="20"/>
          <w:shd w:val="clear" w:color="auto" w:fill="FFFFFF"/>
        </w:rPr>
        <w:t>Dans ce but, un dossier de demande d’agrément de l’engin de transport doit être adressé au Ministre des pêches et de l’Economie Maritime. La demande d'agrément doit être accompagnée des documents suivants :</w:t>
      </w:r>
    </w:p>
    <w:p w14:paraId="082952BF" w14:textId="77777777" w:rsidR="00190FDD" w:rsidRPr="00B004EE" w:rsidRDefault="00190FDD" w:rsidP="00420DDA">
      <w:pPr>
        <w:pStyle w:val="Paragraphedeliste"/>
        <w:numPr>
          <w:ilvl w:val="0"/>
          <w:numId w:val="120"/>
        </w:numPr>
        <w:contextualSpacing/>
        <w:jc w:val="both"/>
        <w:rPr>
          <w:rFonts w:ascii="Tahoma" w:hAnsi="Tahoma" w:cs="Tahoma"/>
          <w:sz w:val="20"/>
          <w:szCs w:val="20"/>
          <w:shd w:val="clear" w:color="auto" w:fill="FFFFFF"/>
        </w:rPr>
      </w:pPr>
      <w:r w:rsidRPr="00B004EE">
        <w:rPr>
          <w:rFonts w:ascii="Tahoma" w:hAnsi="Tahoma" w:cs="Tahoma"/>
          <w:sz w:val="20"/>
          <w:szCs w:val="20"/>
          <w:shd w:val="clear" w:color="auto" w:fill="FFFFFF"/>
        </w:rPr>
        <w:lastRenderedPageBreak/>
        <w:t xml:space="preserve">Pour les particuliers, l’identité et le domicile du demandeur </w:t>
      </w:r>
    </w:p>
    <w:p w14:paraId="34581A04" w14:textId="77777777" w:rsidR="00190FDD" w:rsidRPr="00B004EE" w:rsidRDefault="00190FDD" w:rsidP="00420DDA">
      <w:pPr>
        <w:pStyle w:val="Paragraphedeliste"/>
        <w:numPr>
          <w:ilvl w:val="0"/>
          <w:numId w:val="120"/>
        </w:numPr>
        <w:contextualSpacing/>
        <w:jc w:val="both"/>
        <w:rPr>
          <w:rFonts w:ascii="Tahoma" w:hAnsi="Tahoma" w:cs="Tahoma"/>
          <w:sz w:val="20"/>
          <w:szCs w:val="20"/>
          <w:shd w:val="clear" w:color="auto" w:fill="FFFFFF"/>
        </w:rPr>
      </w:pPr>
      <w:r w:rsidRPr="00B004EE">
        <w:rPr>
          <w:rFonts w:ascii="Tahoma" w:hAnsi="Tahoma" w:cs="Tahoma"/>
          <w:sz w:val="20"/>
          <w:szCs w:val="20"/>
          <w:shd w:val="clear" w:color="auto" w:fill="FFFFFF"/>
        </w:rPr>
        <w:t xml:space="preserve">Pour les sociétés ou groupements de particuliers, la raison sociale, le siège social, la qualité et l’identité du responsable de la société ou du groupement </w:t>
      </w:r>
    </w:p>
    <w:p w14:paraId="32EAE0DF" w14:textId="77777777" w:rsidR="00190FDD" w:rsidRPr="00B004EE" w:rsidRDefault="00190FDD" w:rsidP="00420DDA">
      <w:pPr>
        <w:pStyle w:val="Paragraphedeliste"/>
        <w:numPr>
          <w:ilvl w:val="0"/>
          <w:numId w:val="120"/>
        </w:numPr>
        <w:contextualSpacing/>
        <w:jc w:val="both"/>
        <w:rPr>
          <w:rFonts w:ascii="Tahoma" w:hAnsi="Tahoma" w:cs="Tahoma"/>
          <w:sz w:val="20"/>
          <w:szCs w:val="20"/>
          <w:shd w:val="clear" w:color="auto" w:fill="FFFFFF"/>
        </w:rPr>
      </w:pPr>
      <w:r w:rsidRPr="00B004EE">
        <w:rPr>
          <w:rFonts w:ascii="Tahoma" w:hAnsi="Tahoma" w:cs="Tahoma"/>
          <w:sz w:val="20"/>
          <w:szCs w:val="20"/>
          <w:shd w:val="clear" w:color="auto" w:fill="FFFFFF"/>
        </w:rPr>
        <w:t>Une copie du certificat d'immatriculation (carte grise) de l’engin de transport ;</w:t>
      </w:r>
    </w:p>
    <w:p w14:paraId="77C1A78C" w14:textId="77777777" w:rsidR="00190FDD" w:rsidRPr="00B004EE" w:rsidRDefault="00190FDD" w:rsidP="00420DDA">
      <w:pPr>
        <w:pStyle w:val="Paragraphedeliste"/>
        <w:numPr>
          <w:ilvl w:val="0"/>
          <w:numId w:val="120"/>
        </w:numPr>
        <w:contextualSpacing/>
        <w:jc w:val="both"/>
        <w:rPr>
          <w:rFonts w:ascii="Tahoma" w:hAnsi="Tahoma" w:cs="Tahoma"/>
          <w:sz w:val="20"/>
          <w:szCs w:val="20"/>
          <w:shd w:val="clear" w:color="auto" w:fill="FFFFFF"/>
        </w:rPr>
      </w:pPr>
      <w:r w:rsidRPr="00B004EE">
        <w:rPr>
          <w:rFonts w:ascii="Tahoma" w:hAnsi="Tahoma" w:cs="Tahoma"/>
          <w:sz w:val="20"/>
          <w:szCs w:val="20"/>
          <w:shd w:val="clear" w:color="auto" w:fill="FFFFFF"/>
        </w:rPr>
        <w:t>Une fiche de renseignements caractéristiques relative à l’engin dûment remplie et signée par le propriétaire.</w:t>
      </w:r>
    </w:p>
    <w:p w14:paraId="5B458C36" w14:textId="77777777" w:rsidR="00190FDD" w:rsidRPr="00B004EE" w:rsidRDefault="00190FDD" w:rsidP="00420DDA">
      <w:pPr>
        <w:pStyle w:val="Paragraphedeliste"/>
        <w:numPr>
          <w:ilvl w:val="0"/>
          <w:numId w:val="120"/>
        </w:numPr>
        <w:contextualSpacing/>
        <w:jc w:val="both"/>
        <w:rPr>
          <w:rFonts w:ascii="Tahoma" w:hAnsi="Tahoma" w:cs="Tahoma"/>
          <w:sz w:val="20"/>
          <w:szCs w:val="20"/>
          <w:shd w:val="clear" w:color="auto" w:fill="FFFFFF"/>
        </w:rPr>
      </w:pPr>
      <w:r w:rsidRPr="00B004EE">
        <w:rPr>
          <w:rFonts w:ascii="Tahoma" w:hAnsi="Tahoma" w:cs="Tahoma"/>
          <w:sz w:val="20"/>
          <w:szCs w:val="20"/>
          <w:shd w:val="clear" w:color="auto" w:fill="FFFFFF"/>
        </w:rPr>
        <w:t>La visite technique et tout autre document délivré par l’administration en relation avec la conformité de l’engin.</w:t>
      </w:r>
    </w:p>
    <w:p w14:paraId="5C434AAF" w14:textId="77777777" w:rsidR="00DB2C7A" w:rsidRPr="00B004EE" w:rsidRDefault="00DB2C7A" w:rsidP="00B004EE">
      <w:pPr>
        <w:widowControl w:val="0"/>
        <w:kinsoku w:val="0"/>
        <w:overflowPunct w:val="0"/>
        <w:autoSpaceDE w:val="0"/>
        <w:autoSpaceDN w:val="0"/>
        <w:adjustRightInd w:val="0"/>
        <w:spacing w:line="266" w:lineRule="exact"/>
        <w:jc w:val="both"/>
        <w:rPr>
          <w:rFonts w:ascii="Tahoma" w:hAnsi="Tahoma" w:cs="Tahoma"/>
          <w:bCs/>
          <w:sz w:val="20"/>
          <w:szCs w:val="20"/>
        </w:rPr>
      </w:pPr>
    </w:p>
    <w:p w14:paraId="042ECAE7" w14:textId="750BAEF1" w:rsidR="00190FDD" w:rsidRPr="00B004EE" w:rsidRDefault="00190FDD" w:rsidP="00B004EE">
      <w:pPr>
        <w:widowControl w:val="0"/>
        <w:kinsoku w:val="0"/>
        <w:overflowPunct w:val="0"/>
        <w:autoSpaceDE w:val="0"/>
        <w:autoSpaceDN w:val="0"/>
        <w:adjustRightInd w:val="0"/>
        <w:spacing w:line="266" w:lineRule="exact"/>
        <w:jc w:val="both"/>
        <w:rPr>
          <w:rFonts w:ascii="Tahoma" w:hAnsi="Tahoma" w:cs="Tahoma"/>
          <w:sz w:val="20"/>
          <w:szCs w:val="20"/>
          <w:shd w:val="clear" w:color="auto" w:fill="FFFFFF"/>
        </w:rPr>
      </w:pPr>
      <w:r w:rsidRPr="00B004EE">
        <w:rPr>
          <w:rFonts w:ascii="Tahoma" w:hAnsi="Tahoma" w:cs="Tahoma"/>
          <w:bCs/>
          <w:sz w:val="20"/>
          <w:szCs w:val="20"/>
        </w:rPr>
        <w:t>Article 15 :</w:t>
      </w:r>
      <w:r w:rsidRPr="00B004EE">
        <w:rPr>
          <w:rFonts w:ascii="Tahoma" w:hAnsi="Tahoma" w:cs="Tahoma"/>
          <w:sz w:val="20"/>
          <w:szCs w:val="20"/>
          <w:shd w:val="clear" w:color="auto" w:fill="FFFFFF"/>
        </w:rPr>
        <w:t xml:space="preserve"> En réponse à cette demande, un avis technique est demandé à l’ONISPA. L’ONISPA, conformément aux procédures d’inspection en vigueur, programme une visite d’inspection de l’engin.</w:t>
      </w:r>
    </w:p>
    <w:p w14:paraId="0BD7B3DE" w14:textId="77777777" w:rsidR="00190FDD" w:rsidRPr="00B004EE" w:rsidRDefault="00190FDD" w:rsidP="00B004EE">
      <w:pPr>
        <w:jc w:val="both"/>
        <w:rPr>
          <w:rFonts w:ascii="Tahoma" w:hAnsi="Tahoma" w:cs="Tahoma"/>
          <w:sz w:val="20"/>
          <w:szCs w:val="20"/>
          <w:shd w:val="clear" w:color="auto" w:fill="FFFFFF"/>
        </w:rPr>
      </w:pPr>
      <w:r w:rsidRPr="00B004EE">
        <w:rPr>
          <w:rFonts w:ascii="Tahoma" w:hAnsi="Tahoma" w:cs="Tahoma"/>
          <w:sz w:val="20"/>
          <w:szCs w:val="20"/>
          <w:shd w:val="clear" w:color="auto" w:fill="FFFFFF"/>
        </w:rPr>
        <w:t>Le Ministre chargé des pêches délivre, sur avis technique des services de l'ONISPA, un agrément pour l’engin de transport. Une carte de mareyeur transporteur au propriétaire de l’engin de transport est délivrée par la Direction de Développement et de Valorisation des Produits.</w:t>
      </w:r>
    </w:p>
    <w:p w14:paraId="297403D7" w14:textId="77777777" w:rsidR="00DB2C7A" w:rsidRPr="00B004EE" w:rsidRDefault="00DB2C7A" w:rsidP="00B004EE">
      <w:pPr>
        <w:pStyle w:val="Corpsdetexte"/>
        <w:kinsoku w:val="0"/>
        <w:overflowPunct w:val="0"/>
        <w:spacing w:line="246" w:lineRule="exact"/>
        <w:rPr>
          <w:rFonts w:ascii="Tahoma" w:hAnsi="Tahoma" w:cs="Tahoma"/>
          <w:bCs/>
          <w:sz w:val="20"/>
          <w:szCs w:val="20"/>
        </w:rPr>
      </w:pPr>
    </w:p>
    <w:p w14:paraId="64B2D055" w14:textId="44B33138" w:rsidR="00190FDD" w:rsidRPr="00B004EE" w:rsidRDefault="00190FDD" w:rsidP="00B004EE">
      <w:pPr>
        <w:pStyle w:val="Corpsdetexte"/>
        <w:kinsoku w:val="0"/>
        <w:overflowPunct w:val="0"/>
        <w:spacing w:line="246" w:lineRule="exact"/>
        <w:rPr>
          <w:rFonts w:ascii="Tahoma" w:hAnsi="Tahoma" w:cs="Tahoma"/>
          <w:sz w:val="20"/>
          <w:szCs w:val="20"/>
        </w:rPr>
      </w:pPr>
      <w:r w:rsidRPr="00B004EE">
        <w:rPr>
          <w:rFonts w:ascii="Tahoma" w:hAnsi="Tahoma" w:cs="Tahoma"/>
          <w:bCs/>
          <w:sz w:val="20"/>
          <w:szCs w:val="20"/>
        </w:rPr>
        <w:t>Article 16 :</w:t>
      </w:r>
      <w:r w:rsidRPr="00B004EE">
        <w:rPr>
          <w:rFonts w:ascii="Tahoma" w:hAnsi="Tahoma" w:cs="Tahoma"/>
          <w:b/>
          <w:bCs/>
          <w:sz w:val="20"/>
          <w:szCs w:val="20"/>
        </w:rPr>
        <w:t xml:space="preserve"> </w:t>
      </w:r>
      <w:r w:rsidRPr="00B004EE">
        <w:rPr>
          <w:rFonts w:ascii="Tahoma" w:hAnsi="Tahoma" w:cs="Tahoma"/>
          <w:sz w:val="20"/>
          <w:szCs w:val="20"/>
          <w:shd w:val="clear" w:color="auto" w:fill="FFFFFF"/>
        </w:rPr>
        <w:t xml:space="preserve">Les agréments des engins de transport est valable pour trois ans. </w:t>
      </w:r>
      <w:r w:rsidRPr="00B004EE">
        <w:rPr>
          <w:rFonts w:ascii="Tahoma" w:hAnsi="Tahoma" w:cs="Tahoma"/>
          <w:sz w:val="20"/>
          <w:szCs w:val="20"/>
        </w:rPr>
        <w:t xml:space="preserve">Chaque année l’ONISPA procédera à une évaluation. Le propriétaire ou l'exploitant de l’engin doit solliciter, par une demande, les services de l’ONISPA pour une visite d'inspection de renouvellement. </w:t>
      </w:r>
    </w:p>
    <w:p w14:paraId="05791DD4" w14:textId="77777777" w:rsidR="00190FDD" w:rsidRPr="00B004EE" w:rsidRDefault="00190FDD" w:rsidP="00B004EE">
      <w:pPr>
        <w:jc w:val="both"/>
        <w:rPr>
          <w:rFonts w:ascii="Tahoma" w:hAnsi="Tahoma" w:cs="Tahoma"/>
          <w:sz w:val="20"/>
          <w:szCs w:val="20"/>
        </w:rPr>
      </w:pPr>
      <w:r w:rsidRPr="00B004EE">
        <w:rPr>
          <w:rFonts w:ascii="Tahoma" w:hAnsi="Tahoma" w:cs="Tahoma"/>
          <w:sz w:val="20"/>
          <w:szCs w:val="20"/>
        </w:rPr>
        <w:t>Lorsque les conditions de délivrance d’agrément de l’engin de transport ne sont plus réunies, l’agrément peut être suspendu par les services d’inspection de l’ONISPA ou retiré par le Ministre chargé des pêches sur proposition des services de l’ONISPA.</w:t>
      </w:r>
    </w:p>
    <w:p w14:paraId="6C72DDA2" w14:textId="77777777" w:rsidR="00190FDD" w:rsidRPr="00B004EE" w:rsidRDefault="00190FDD" w:rsidP="00B004EE">
      <w:pPr>
        <w:jc w:val="both"/>
        <w:rPr>
          <w:rFonts w:ascii="Tahoma" w:hAnsi="Tahoma" w:cs="Tahoma"/>
          <w:sz w:val="20"/>
          <w:szCs w:val="20"/>
          <w:shd w:val="clear" w:color="auto" w:fill="FFFFFF"/>
        </w:rPr>
      </w:pPr>
      <w:r w:rsidRPr="00B004EE">
        <w:rPr>
          <w:rFonts w:ascii="Tahoma" w:hAnsi="Tahoma" w:cs="Tahoma"/>
          <w:sz w:val="20"/>
          <w:szCs w:val="20"/>
          <w:shd w:val="clear" w:color="auto" w:fill="FFFFFF"/>
        </w:rPr>
        <w:t xml:space="preserve">Le renouvellement d’agrément doit être effectué à chaque fois si nécessaire, lors d’un changement de propriétaire ou une modification importante de l'engin, ou dès lors que l'autorité compétente le requiert. </w:t>
      </w:r>
    </w:p>
    <w:p w14:paraId="48E7D1CC" w14:textId="77777777" w:rsidR="00CB4C39" w:rsidRPr="00B004EE" w:rsidRDefault="00CB4C39" w:rsidP="00B004EE">
      <w:pPr>
        <w:jc w:val="center"/>
        <w:rPr>
          <w:rFonts w:ascii="Tahoma" w:hAnsi="Tahoma" w:cs="Tahoma"/>
          <w:b/>
          <w:bCs/>
          <w:sz w:val="20"/>
          <w:szCs w:val="20"/>
        </w:rPr>
      </w:pPr>
    </w:p>
    <w:p w14:paraId="562BBE74" w14:textId="164616BC" w:rsidR="00190FDD" w:rsidRPr="00B004EE" w:rsidRDefault="00190FDD" w:rsidP="00B004EE">
      <w:pPr>
        <w:jc w:val="center"/>
        <w:rPr>
          <w:rFonts w:ascii="Tahoma" w:hAnsi="Tahoma" w:cs="Tahoma"/>
          <w:b/>
          <w:bCs/>
          <w:sz w:val="20"/>
          <w:szCs w:val="20"/>
        </w:rPr>
      </w:pPr>
      <w:r w:rsidRPr="00B004EE">
        <w:rPr>
          <w:rFonts w:ascii="Tahoma" w:hAnsi="Tahoma" w:cs="Tahoma"/>
          <w:b/>
          <w:bCs/>
          <w:sz w:val="20"/>
          <w:szCs w:val="20"/>
        </w:rPr>
        <w:t>TITRE IV</w:t>
      </w:r>
      <w:r w:rsidR="00E92F7C" w:rsidRPr="00B004EE">
        <w:rPr>
          <w:rFonts w:ascii="Tahoma" w:hAnsi="Tahoma" w:cs="Tahoma"/>
          <w:b/>
          <w:bCs/>
          <w:sz w:val="20"/>
          <w:szCs w:val="20"/>
        </w:rPr>
        <w:t xml:space="preserve"> : </w:t>
      </w:r>
      <w:r w:rsidRPr="00B004EE">
        <w:rPr>
          <w:rFonts w:ascii="Tahoma" w:hAnsi="Tahoma" w:cs="Tahoma"/>
          <w:b/>
          <w:bCs/>
          <w:sz w:val="20"/>
          <w:szCs w:val="20"/>
        </w:rPr>
        <w:t>DISPOSITIONS DIVERSES</w:t>
      </w:r>
    </w:p>
    <w:p w14:paraId="673648CC" w14:textId="77777777" w:rsidR="00190FDD" w:rsidRPr="00B004EE" w:rsidRDefault="00190FDD" w:rsidP="00B004EE">
      <w:pPr>
        <w:jc w:val="center"/>
        <w:rPr>
          <w:rFonts w:ascii="Tahoma" w:hAnsi="Tahoma" w:cs="Tahoma"/>
          <w:bCs/>
          <w:sz w:val="20"/>
          <w:szCs w:val="20"/>
        </w:rPr>
      </w:pPr>
    </w:p>
    <w:p w14:paraId="2893A017" w14:textId="622E6A92" w:rsidR="00190FDD" w:rsidRPr="00B004EE" w:rsidRDefault="00DB2C7A" w:rsidP="00B004EE">
      <w:pPr>
        <w:jc w:val="both"/>
        <w:rPr>
          <w:rFonts w:ascii="Tahoma" w:hAnsi="Tahoma" w:cs="Tahoma"/>
          <w:sz w:val="20"/>
          <w:szCs w:val="20"/>
        </w:rPr>
      </w:pPr>
      <w:r w:rsidRPr="00B004EE">
        <w:rPr>
          <w:rFonts w:ascii="Tahoma" w:hAnsi="Tahoma" w:cs="Tahoma"/>
          <w:bCs/>
          <w:sz w:val="20"/>
          <w:szCs w:val="20"/>
        </w:rPr>
        <w:t xml:space="preserve">Article 17 : </w:t>
      </w:r>
      <w:r w:rsidR="00190FDD" w:rsidRPr="00B004EE">
        <w:rPr>
          <w:rFonts w:ascii="Tahoma" w:hAnsi="Tahoma" w:cs="Tahoma"/>
          <w:sz w:val="20"/>
          <w:szCs w:val="20"/>
        </w:rPr>
        <w:t>Le transporteur des produits de la pêche et de l’aquaculture doit être muni d’une autorisation d’exercer le transport des produits de la pêche et de l’aquaculture matérialisée par la carte de mareyeur transporteur et l’agrément de l’engin de transport, il doit les présenter sur réquisition des agents de contrôle de l’ONISPA.</w:t>
      </w:r>
    </w:p>
    <w:p w14:paraId="0FCA1FF5" w14:textId="1E7FE0B8" w:rsidR="00190FDD" w:rsidRPr="00B004EE" w:rsidRDefault="00190FDD" w:rsidP="00B004EE">
      <w:pPr>
        <w:jc w:val="both"/>
        <w:rPr>
          <w:rFonts w:ascii="Tahoma" w:hAnsi="Tahoma" w:cs="Tahoma"/>
          <w:sz w:val="20"/>
          <w:szCs w:val="20"/>
        </w:rPr>
      </w:pPr>
      <w:r w:rsidRPr="00B004EE">
        <w:rPr>
          <w:rFonts w:ascii="Tahoma" w:hAnsi="Tahoma" w:cs="Tahoma"/>
          <w:sz w:val="20"/>
          <w:szCs w:val="20"/>
        </w:rPr>
        <w:t>Les produits transportés dans un engin de transport non agréé ou agrées mais sans l’un des certificats (i)de contrôle d’origine (certificat de capture et de première vente) et (ii) de salubrité font l’objet d’une saisie.</w:t>
      </w:r>
    </w:p>
    <w:p w14:paraId="6F55D4D0" w14:textId="77777777" w:rsidR="00DB2C7A" w:rsidRPr="00B004EE" w:rsidRDefault="00DB2C7A" w:rsidP="00B004EE">
      <w:pPr>
        <w:jc w:val="both"/>
        <w:rPr>
          <w:rFonts w:ascii="Tahoma" w:hAnsi="Tahoma" w:cs="Tahoma"/>
          <w:bCs/>
          <w:sz w:val="20"/>
          <w:szCs w:val="20"/>
        </w:rPr>
      </w:pPr>
    </w:p>
    <w:p w14:paraId="12FF26DD" w14:textId="4C3383D8" w:rsidR="00190FDD" w:rsidRPr="00B004EE" w:rsidRDefault="00190FDD" w:rsidP="00B004EE">
      <w:pPr>
        <w:jc w:val="both"/>
        <w:rPr>
          <w:rFonts w:ascii="Tahoma" w:hAnsi="Tahoma" w:cs="Tahoma"/>
          <w:bCs/>
          <w:sz w:val="20"/>
          <w:szCs w:val="20"/>
        </w:rPr>
      </w:pPr>
      <w:r w:rsidRPr="00B004EE">
        <w:rPr>
          <w:rFonts w:ascii="Tahoma" w:hAnsi="Tahoma" w:cs="Tahoma"/>
          <w:bCs/>
          <w:sz w:val="20"/>
          <w:szCs w:val="20"/>
        </w:rPr>
        <w:t>Article 18 :</w:t>
      </w:r>
      <w:r w:rsidRPr="00B004EE">
        <w:rPr>
          <w:rFonts w:ascii="Tahoma" w:hAnsi="Tahoma" w:cs="Tahoma"/>
          <w:bCs/>
          <w:sz w:val="20"/>
          <w:szCs w:val="20"/>
          <w:u w:val="single"/>
        </w:rPr>
        <w:t xml:space="preserve"> </w:t>
      </w:r>
      <w:r w:rsidRPr="00B004EE">
        <w:rPr>
          <w:rFonts w:ascii="Tahoma" w:hAnsi="Tahoma" w:cs="Tahoma"/>
          <w:bCs/>
          <w:sz w:val="20"/>
          <w:szCs w:val="20"/>
        </w:rPr>
        <w:t xml:space="preserve">Les produits saisis visés à l'article 17, sont traités conformément </w:t>
      </w:r>
      <w:proofErr w:type="gramStart"/>
      <w:r w:rsidRPr="00B004EE">
        <w:rPr>
          <w:rFonts w:ascii="Tahoma" w:hAnsi="Tahoma" w:cs="Tahoma"/>
          <w:bCs/>
          <w:sz w:val="20"/>
          <w:szCs w:val="20"/>
        </w:rPr>
        <w:t>aux disposition</w:t>
      </w:r>
      <w:proofErr w:type="gramEnd"/>
      <w:r w:rsidRPr="00B004EE">
        <w:rPr>
          <w:rFonts w:ascii="Tahoma" w:hAnsi="Tahoma" w:cs="Tahoma"/>
          <w:bCs/>
          <w:sz w:val="20"/>
          <w:szCs w:val="20"/>
        </w:rPr>
        <w:t xml:space="preserve"> de l’article 15 du décret 81-062 du 02 avril 1981 Portant règlementation de l'inspection sanitaire et du contrôle de salubrité des produits de la pêche destinés à l'alimentation humaine.</w:t>
      </w:r>
    </w:p>
    <w:p w14:paraId="6ED283FF" w14:textId="77777777" w:rsidR="00190FDD" w:rsidRPr="00B004EE" w:rsidRDefault="00190FDD" w:rsidP="00B004EE">
      <w:pPr>
        <w:jc w:val="both"/>
        <w:rPr>
          <w:rFonts w:ascii="Tahoma" w:hAnsi="Tahoma" w:cs="Tahoma"/>
          <w:sz w:val="20"/>
          <w:szCs w:val="20"/>
        </w:rPr>
      </w:pPr>
      <w:r w:rsidRPr="00B004EE">
        <w:rPr>
          <w:rFonts w:ascii="Tahoma" w:hAnsi="Tahoma" w:cs="Tahoma"/>
          <w:bCs/>
          <w:sz w:val="20"/>
          <w:szCs w:val="20"/>
        </w:rPr>
        <w:t>Article 19 :</w:t>
      </w:r>
      <w:r w:rsidRPr="00B004EE">
        <w:rPr>
          <w:rFonts w:ascii="Tahoma" w:hAnsi="Tahoma" w:cs="Tahoma"/>
          <w:b/>
          <w:bCs/>
          <w:sz w:val="20"/>
          <w:szCs w:val="20"/>
        </w:rPr>
        <w:t xml:space="preserve"> </w:t>
      </w:r>
      <w:r w:rsidRPr="00B004EE">
        <w:rPr>
          <w:rFonts w:ascii="Tahoma" w:hAnsi="Tahoma" w:cs="Tahoma"/>
          <w:sz w:val="20"/>
          <w:szCs w:val="20"/>
        </w:rPr>
        <w:t>Les engins en service disposeront d'une période de six (06) mois à compter de la date de la publication du présent arrêté au Journal Officiel pour se conformer à ses dispositions.</w:t>
      </w:r>
    </w:p>
    <w:p w14:paraId="43928636" w14:textId="77777777" w:rsidR="00DB2C7A" w:rsidRPr="00B004EE" w:rsidRDefault="00DB2C7A" w:rsidP="00B004EE">
      <w:pPr>
        <w:jc w:val="both"/>
        <w:rPr>
          <w:rFonts w:ascii="Tahoma" w:hAnsi="Tahoma" w:cs="Tahoma"/>
          <w:bCs/>
          <w:sz w:val="20"/>
          <w:szCs w:val="20"/>
        </w:rPr>
      </w:pPr>
    </w:p>
    <w:p w14:paraId="3EF443A6" w14:textId="25CCF9A9" w:rsidR="00190FDD" w:rsidRPr="00B004EE" w:rsidRDefault="00190FDD" w:rsidP="00B004EE">
      <w:pPr>
        <w:jc w:val="both"/>
        <w:rPr>
          <w:rFonts w:ascii="Tahoma" w:hAnsi="Tahoma" w:cs="Tahoma"/>
          <w:sz w:val="20"/>
          <w:szCs w:val="20"/>
        </w:rPr>
      </w:pPr>
      <w:r w:rsidRPr="00B004EE">
        <w:rPr>
          <w:rFonts w:ascii="Tahoma" w:hAnsi="Tahoma" w:cs="Tahoma"/>
          <w:bCs/>
          <w:sz w:val="20"/>
          <w:szCs w:val="20"/>
        </w:rPr>
        <w:lastRenderedPageBreak/>
        <w:t>Article 20 :</w:t>
      </w:r>
      <w:r w:rsidRPr="00B004EE">
        <w:rPr>
          <w:rFonts w:ascii="Tahoma" w:hAnsi="Tahoma" w:cs="Tahoma"/>
          <w:sz w:val="20"/>
          <w:szCs w:val="20"/>
        </w:rPr>
        <w:t xml:space="preserve"> Sans préjudice d’autres dispositions applicables en la matière, les infractions aux règles prescrites par le présent arrêté sont punies des sanctions prévues par la loi 2015-017 du 29 juillet 2015 portant Code des Pêches.</w:t>
      </w:r>
    </w:p>
    <w:p w14:paraId="5947E2C5" w14:textId="77777777" w:rsidR="00DB2C7A" w:rsidRPr="00B004EE" w:rsidRDefault="00DB2C7A" w:rsidP="00B004EE">
      <w:pPr>
        <w:jc w:val="both"/>
        <w:rPr>
          <w:rFonts w:ascii="Tahoma" w:hAnsi="Tahoma" w:cs="Tahoma"/>
          <w:sz w:val="20"/>
          <w:szCs w:val="20"/>
        </w:rPr>
      </w:pPr>
    </w:p>
    <w:p w14:paraId="4EEDC948" w14:textId="77777777" w:rsidR="00190FDD" w:rsidRPr="00B004EE" w:rsidRDefault="00190FDD" w:rsidP="00B004EE">
      <w:pPr>
        <w:jc w:val="both"/>
        <w:rPr>
          <w:rFonts w:ascii="Tahoma" w:hAnsi="Tahoma" w:cs="Tahoma"/>
          <w:sz w:val="20"/>
          <w:szCs w:val="20"/>
        </w:rPr>
      </w:pPr>
      <w:r w:rsidRPr="00B004EE">
        <w:rPr>
          <w:rFonts w:ascii="Tahoma" w:hAnsi="Tahoma" w:cs="Tahoma"/>
          <w:bCs/>
          <w:sz w:val="20"/>
          <w:szCs w:val="20"/>
        </w:rPr>
        <w:t>Article 21</w:t>
      </w:r>
      <w:r w:rsidRPr="00B004EE">
        <w:rPr>
          <w:rFonts w:ascii="Tahoma" w:hAnsi="Tahoma" w:cs="Tahoma"/>
          <w:b/>
          <w:sz w:val="20"/>
          <w:szCs w:val="20"/>
        </w:rPr>
        <w:t> :</w:t>
      </w:r>
      <w:r w:rsidRPr="00B004EE">
        <w:rPr>
          <w:rFonts w:ascii="Tahoma" w:hAnsi="Tahoma" w:cs="Tahoma"/>
          <w:sz w:val="20"/>
          <w:szCs w:val="20"/>
        </w:rPr>
        <w:t xml:space="preserve"> Le Secrétaire Général du Ministère des pêches et de l’Economie Maritime, Le Commandant de la Garde Côtes Mauritaniennes, le Directeur du Développement et de la Valorisation des Produits et le Directeur de l’Office National d’Inspection sanitaire des Produits de la Pêche et de l’Aquaculture sont chargés, chacun en ce qui le concerne, de l'exécution du présent arrêté, qui sera publié au Journal Officiel.</w:t>
      </w:r>
    </w:p>
    <w:p w14:paraId="134FA447" w14:textId="77777777" w:rsidR="00190FDD" w:rsidRPr="00B004EE" w:rsidRDefault="00190FDD" w:rsidP="00B004EE">
      <w:pPr>
        <w:jc w:val="both"/>
        <w:rPr>
          <w:rFonts w:ascii="Tahoma" w:hAnsi="Tahoma" w:cs="Tahoma"/>
          <w:sz w:val="20"/>
          <w:szCs w:val="20"/>
        </w:rPr>
      </w:pPr>
    </w:p>
    <w:p w14:paraId="15606446" w14:textId="67A566C8" w:rsidR="003D69A8" w:rsidRPr="001F007B" w:rsidRDefault="00B30305" w:rsidP="00B004EE">
      <w:pPr>
        <w:autoSpaceDE w:val="0"/>
        <w:autoSpaceDN w:val="0"/>
        <w:adjustRightInd w:val="0"/>
        <w:jc w:val="right"/>
        <w:rPr>
          <w:rFonts w:ascii="Tahoma" w:hAnsi="Tahoma" w:cs="Tahoma"/>
          <w:i/>
          <w:iCs/>
          <w:color w:val="000000" w:themeColor="text1"/>
          <w:sz w:val="20"/>
          <w:szCs w:val="20"/>
        </w:rPr>
        <w:sectPr w:rsidR="003D69A8" w:rsidRPr="001F007B" w:rsidSect="000839CB">
          <w:pgSz w:w="10319" w:h="14572" w:code="13"/>
          <w:pgMar w:top="1418" w:right="1418" w:bottom="1418" w:left="1418" w:header="709" w:footer="709" w:gutter="0"/>
          <w:cols w:space="708"/>
          <w:docGrid w:linePitch="360"/>
        </w:sectPr>
      </w:pPr>
      <w:r w:rsidRPr="001F007B">
        <w:rPr>
          <w:rFonts w:ascii="Tahoma" w:hAnsi="Tahoma" w:cs="Tahoma"/>
          <w:i/>
          <w:iCs/>
          <w:color w:val="000000" w:themeColor="text1"/>
          <w:sz w:val="20"/>
          <w:szCs w:val="20"/>
        </w:rPr>
        <w:t xml:space="preserve">Fait à </w:t>
      </w:r>
      <w:r w:rsidR="00190FDD" w:rsidRPr="001F007B">
        <w:rPr>
          <w:rFonts w:ascii="Tahoma" w:hAnsi="Tahoma" w:cs="Tahoma"/>
          <w:i/>
          <w:iCs/>
          <w:color w:val="000000" w:themeColor="text1"/>
          <w:sz w:val="20"/>
          <w:szCs w:val="20"/>
        </w:rPr>
        <w:t xml:space="preserve">Nouakchott, le </w:t>
      </w:r>
      <w:r w:rsidR="001F007B">
        <w:rPr>
          <w:rFonts w:ascii="Tahoma" w:hAnsi="Tahoma" w:cs="Tahoma"/>
          <w:i/>
          <w:iCs/>
          <w:color w:val="000000" w:themeColor="text1"/>
          <w:sz w:val="20"/>
          <w:szCs w:val="20"/>
        </w:rPr>
        <w:t>19 mars 2021</w:t>
      </w:r>
    </w:p>
    <w:p w14:paraId="0FFFDF1F" w14:textId="1B389DB6" w:rsidR="003D69A8" w:rsidRPr="001D02B9" w:rsidRDefault="003D69A8" w:rsidP="00523732">
      <w:pPr>
        <w:pStyle w:val="Titre1"/>
        <w:pBdr>
          <w:top w:val="thinThickMediumGap" w:sz="24" w:space="1" w:color="70AD47" w:themeColor="accent6"/>
          <w:left w:val="thinThickMediumGap" w:sz="24" w:space="4" w:color="70AD47" w:themeColor="accent6"/>
          <w:bottom w:val="thickThinMediumGap" w:sz="24" w:space="1" w:color="70AD47" w:themeColor="accent6"/>
          <w:right w:val="thickThinMediumGap" w:sz="24" w:space="4" w:color="70AD47" w:themeColor="accent6"/>
        </w:pBdr>
        <w:jc w:val="both"/>
        <w:rPr>
          <w:rFonts w:ascii="Tahoma" w:hAnsi="Tahoma" w:cs="Tahoma"/>
          <w:color w:val="000000" w:themeColor="text1"/>
          <w:szCs w:val="22"/>
        </w:rPr>
      </w:pPr>
      <w:bookmarkStart w:id="211" w:name="_Toc202214696"/>
      <w:r w:rsidRPr="001D02B9">
        <w:rPr>
          <w:rFonts w:ascii="Tahoma" w:hAnsi="Tahoma" w:cs="Tahoma"/>
          <w:color w:val="000000" w:themeColor="text1"/>
          <w:szCs w:val="22"/>
        </w:rPr>
        <w:lastRenderedPageBreak/>
        <w:t xml:space="preserve">Arrêté conjoint </w:t>
      </w:r>
      <w:r w:rsidR="000C7952" w:rsidRPr="001D02B9">
        <w:rPr>
          <w:rFonts w:ascii="Tahoma" w:hAnsi="Tahoma" w:cs="Tahoma"/>
          <w:color w:val="000000" w:themeColor="text1"/>
          <w:szCs w:val="22"/>
        </w:rPr>
        <w:t>n°</w:t>
      </w:r>
      <w:r w:rsidR="001D02B9" w:rsidRPr="001D02B9">
        <w:rPr>
          <w:rFonts w:ascii="Tahoma" w:hAnsi="Tahoma" w:cs="Tahoma"/>
          <w:color w:val="000000" w:themeColor="text1"/>
          <w:szCs w:val="22"/>
        </w:rPr>
        <w:t xml:space="preserve"> 000734</w:t>
      </w:r>
      <w:r w:rsidR="000C7952" w:rsidRPr="001D02B9">
        <w:rPr>
          <w:rFonts w:ascii="Tahoma" w:hAnsi="Tahoma" w:cs="Tahoma"/>
          <w:color w:val="000000" w:themeColor="text1"/>
          <w:szCs w:val="22"/>
        </w:rPr>
        <w:t xml:space="preserve"> du </w:t>
      </w:r>
      <w:r w:rsidR="001D02B9" w:rsidRPr="001D02B9">
        <w:rPr>
          <w:rFonts w:ascii="Tahoma" w:hAnsi="Tahoma" w:cs="Tahoma"/>
          <w:color w:val="000000" w:themeColor="text1"/>
          <w:szCs w:val="22"/>
        </w:rPr>
        <w:t xml:space="preserve">30 juin 2025, </w:t>
      </w:r>
      <w:r w:rsidRPr="001D02B9">
        <w:rPr>
          <w:rFonts w:ascii="Tahoma" w:hAnsi="Tahoma" w:cs="Tahoma"/>
          <w:color w:val="000000" w:themeColor="text1"/>
          <w:szCs w:val="22"/>
        </w:rPr>
        <w:t>relatif aux règles d’hygiène applicables aux mollusques bivalves vivants, aux produits de la pêche et aux exploitants du secteur halieutique</w:t>
      </w:r>
      <w:bookmarkEnd w:id="211"/>
    </w:p>
    <w:p w14:paraId="5F6D8C88" w14:textId="77777777" w:rsidR="003D69A8" w:rsidRPr="005E1EA7" w:rsidRDefault="003D69A8" w:rsidP="005E1EA7">
      <w:pPr>
        <w:jc w:val="both"/>
        <w:rPr>
          <w:rFonts w:ascii="Tahoma" w:hAnsi="Tahoma" w:cs="Tahoma"/>
          <w:sz w:val="20"/>
          <w:szCs w:val="20"/>
        </w:rPr>
      </w:pPr>
    </w:p>
    <w:p w14:paraId="0CC9FE9C" w14:textId="77777777" w:rsidR="003D69A8" w:rsidRPr="005E1EA7" w:rsidRDefault="003D69A8" w:rsidP="003D69A8">
      <w:pPr>
        <w:autoSpaceDE w:val="0"/>
        <w:autoSpaceDN w:val="0"/>
        <w:adjustRightInd w:val="0"/>
        <w:jc w:val="center"/>
        <w:rPr>
          <w:rFonts w:ascii="Tahoma" w:eastAsia="EUAlbertina-Italic-Identity-H" w:hAnsi="Tahoma" w:cs="Tahoma"/>
          <w:i/>
          <w:iCs/>
          <w:sz w:val="20"/>
          <w:szCs w:val="20"/>
        </w:rPr>
      </w:pPr>
      <w:r w:rsidRPr="005E1EA7">
        <w:rPr>
          <w:rFonts w:ascii="Tahoma" w:eastAsia="EUAlbertina-Regular-Identity-H" w:hAnsi="Tahoma" w:cs="Tahoma"/>
          <w:b/>
          <w:bCs/>
          <w:sz w:val="20"/>
          <w:szCs w:val="20"/>
        </w:rPr>
        <w:t>CHAPITRE PREMIER – DISPOSITIONS GENERALES</w:t>
      </w:r>
    </w:p>
    <w:p w14:paraId="0001ECF2"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64EBAF7E" w14:textId="77777777" w:rsidR="003D69A8" w:rsidRPr="005E1EA7" w:rsidRDefault="003D69A8" w:rsidP="003D69A8">
      <w:pPr>
        <w:autoSpaceDE w:val="0"/>
        <w:autoSpaceDN w:val="0"/>
        <w:adjustRightInd w:val="0"/>
        <w:rPr>
          <w:rFonts w:ascii="Tahoma" w:hAnsi="Tahoma" w:cs="Tahoma"/>
          <w:sz w:val="20"/>
          <w:szCs w:val="20"/>
        </w:rPr>
      </w:pPr>
      <w:r w:rsidRPr="005E1EA7">
        <w:rPr>
          <w:rFonts w:ascii="Tahoma" w:hAnsi="Tahoma" w:cs="Tahoma"/>
          <w:b/>
          <w:sz w:val="20"/>
          <w:szCs w:val="20"/>
          <w:u w:val="single"/>
        </w:rPr>
        <w:t>Article premier</w:t>
      </w:r>
      <w:r w:rsidRPr="005E1EA7">
        <w:rPr>
          <w:rFonts w:ascii="Tahoma" w:hAnsi="Tahoma" w:cs="Tahoma"/>
          <w:sz w:val="20"/>
          <w:szCs w:val="20"/>
        </w:rPr>
        <w:t> : Objet et champ d'application</w:t>
      </w:r>
    </w:p>
    <w:p w14:paraId="40B85BBA" w14:textId="77777777" w:rsidR="003D69A8" w:rsidRPr="005E1EA7" w:rsidRDefault="003D69A8" w:rsidP="003D69A8">
      <w:pPr>
        <w:jc w:val="both"/>
        <w:rPr>
          <w:rFonts w:ascii="Tahoma" w:hAnsi="Tahoma" w:cs="Tahoma"/>
          <w:sz w:val="20"/>
          <w:szCs w:val="20"/>
        </w:rPr>
      </w:pPr>
    </w:p>
    <w:p w14:paraId="7BA3C5EF" w14:textId="77777777" w:rsidR="003D69A8" w:rsidRPr="005E1EA7" w:rsidRDefault="003D69A8" w:rsidP="003D69A8">
      <w:pPr>
        <w:jc w:val="both"/>
        <w:rPr>
          <w:rFonts w:ascii="Tahoma" w:hAnsi="Tahoma" w:cs="Tahoma"/>
          <w:bCs/>
          <w:sz w:val="20"/>
          <w:szCs w:val="20"/>
        </w:rPr>
      </w:pPr>
      <w:r w:rsidRPr="005E1EA7">
        <w:rPr>
          <w:rFonts w:ascii="Tahoma" w:hAnsi="Tahoma" w:cs="Tahoma"/>
          <w:sz w:val="20"/>
          <w:szCs w:val="20"/>
        </w:rPr>
        <w:t xml:space="preserve">En application de l’article 4 du décret n° 94.030 du 8 mars 1994 relatif aux normes d’hygiène et de salubrité et aux conditions d’inspection sanitaire et de contrôle régissant la production et la mise sur le marché des produits de la pêche, le présent Arrêté a pour objet de définir les </w:t>
      </w:r>
      <w:r w:rsidRPr="005E1EA7">
        <w:rPr>
          <w:rFonts w:ascii="Tahoma" w:eastAsia="EUAlbertina-Bold-Identity-H" w:hAnsi="Tahoma" w:cs="Tahoma"/>
          <w:bCs/>
          <w:sz w:val="20"/>
          <w:szCs w:val="20"/>
        </w:rPr>
        <w:t xml:space="preserve">règles d’hygiène applicables aux </w:t>
      </w:r>
      <w:r w:rsidRPr="005E1EA7">
        <w:rPr>
          <w:rFonts w:ascii="Tahoma" w:eastAsia="EUAlbertina-Regular-Identity-H" w:hAnsi="Tahoma" w:cs="Tahoma"/>
          <w:bCs/>
          <w:sz w:val="20"/>
          <w:szCs w:val="20"/>
        </w:rPr>
        <w:t>mollusques bivalves vivants et aux produits de la pêche</w:t>
      </w:r>
      <w:r w:rsidRPr="005E1EA7">
        <w:rPr>
          <w:rFonts w:ascii="Tahoma" w:hAnsi="Tahoma" w:cs="Tahoma"/>
          <w:bCs/>
          <w:sz w:val="20"/>
          <w:szCs w:val="20"/>
        </w:rPr>
        <w:t xml:space="preserve"> ainsi que</w:t>
      </w:r>
      <w:r w:rsidRPr="005E1EA7">
        <w:rPr>
          <w:rFonts w:ascii="Tahoma" w:eastAsia="EUAlbertina-Regular-Identity-H" w:hAnsi="Tahoma" w:cs="Tahoma"/>
          <w:bCs/>
          <w:sz w:val="20"/>
          <w:szCs w:val="20"/>
        </w:rPr>
        <w:t xml:space="preserve"> les règles applicables aux exploitants du secteur </w:t>
      </w:r>
      <w:r w:rsidRPr="005E1EA7">
        <w:rPr>
          <w:rFonts w:ascii="Tahoma" w:eastAsia="EUAlbertina-Regular-Identity-H" w:hAnsi="Tahoma" w:cs="Tahoma"/>
          <w:sz w:val="20"/>
          <w:szCs w:val="20"/>
        </w:rPr>
        <w:t>halieutique</w:t>
      </w:r>
      <w:r w:rsidRPr="005E1EA7">
        <w:rPr>
          <w:rFonts w:ascii="Tahoma" w:eastAsia="EUAlbertina-Regular-Identity-H" w:hAnsi="Tahoma" w:cs="Tahoma"/>
          <w:bCs/>
          <w:sz w:val="20"/>
          <w:szCs w:val="20"/>
        </w:rPr>
        <w:t>.</w:t>
      </w:r>
    </w:p>
    <w:p w14:paraId="54ED5A15" w14:textId="77777777" w:rsidR="003D69A8" w:rsidRPr="005E1EA7" w:rsidRDefault="003D69A8" w:rsidP="003D69A8">
      <w:pPr>
        <w:autoSpaceDE w:val="0"/>
        <w:autoSpaceDN w:val="0"/>
        <w:adjustRightInd w:val="0"/>
        <w:jc w:val="both"/>
        <w:rPr>
          <w:rFonts w:ascii="Tahoma" w:eastAsia="EUAlbertina-Italic-Identity-H" w:hAnsi="Tahoma" w:cs="Tahoma"/>
          <w:i/>
          <w:iCs/>
          <w:sz w:val="20"/>
          <w:szCs w:val="20"/>
        </w:rPr>
      </w:pPr>
    </w:p>
    <w:p w14:paraId="30A5C600"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1. Le présent arrêté établit les règles en matière d’hygiène des mollusques bivalves vivants et des produits de la pêche à l’intention des exploitants du secteur halieutique tenant particulièrement compte des principes suivants :</w:t>
      </w:r>
    </w:p>
    <w:p w14:paraId="62A9B6D4"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23D7D223" w14:textId="77777777" w:rsidR="003D69A8" w:rsidRPr="005E1EA7" w:rsidRDefault="003D69A8" w:rsidP="003D69A8">
      <w:pPr>
        <w:numPr>
          <w:ilvl w:val="0"/>
          <w:numId w:val="7"/>
        </w:numPr>
        <w:autoSpaceDE w:val="0"/>
        <w:autoSpaceDN w:val="0"/>
        <w:adjustRightInd w:val="0"/>
        <w:jc w:val="both"/>
        <w:rPr>
          <w:rFonts w:ascii="Tahoma" w:eastAsia="EUAlbertina-Regular-Identity-H" w:hAnsi="Tahoma" w:cs="Tahoma"/>
          <w:sz w:val="20"/>
          <w:szCs w:val="20"/>
        </w:rPr>
      </w:pPr>
      <w:proofErr w:type="gramStart"/>
      <w:r w:rsidRPr="005E1EA7">
        <w:rPr>
          <w:rFonts w:ascii="Tahoma" w:eastAsia="EUAlbertina-Regular-Identity-H" w:hAnsi="Tahoma" w:cs="Tahoma"/>
          <w:sz w:val="20"/>
          <w:szCs w:val="20"/>
        </w:rPr>
        <w:t>la</w:t>
      </w:r>
      <w:proofErr w:type="gramEnd"/>
      <w:r w:rsidRPr="005E1EA7">
        <w:rPr>
          <w:rFonts w:ascii="Tahoma" w:eastAsia="EUAlbertina-Regular-Identity-H" w:hAnsi="Tahoma" w:cs="Tahoma"/>
          <w:sz w:val="20"/>
          <w:szCs w:val="20"/>
        </w:rPr>
        <w:t xml:space="preserve"> responsabilité première en matière de sécurité sanitaire des aliments incombe à l’exploitant du secteur halieutique ;</w:t>
      </w:r>
    </w:p>
    <w:p w14:paraId="29A54A81" w14:textId="77777777" w:rsidR="003D69A8" w:rsidRPr="005E1EA7" w:rsidRDefault="003D69A8" w:rsidP="003D69A8">
      <w:pPr>
        <w:autoSpaceDE w:val="0"/>
        <w:autoSpaceDN w:val="0"/>
        <w:adjustRightInd w:val="0"/>
        <w:ind w:left="360"/>
        <w:jc w:val="both"/>
        <w:rPr>
          <w:rFonts w:ascii="Tahoma" w:eastAsia="EUAlbertina-Regular-Identity-H" w:hAnsi="Tahoma" w:cs="Tahoma"/>
          <w:sz w:val="20"/>
          <w:szCs w:val="20"/>
        </w:rPr>
      </w:pPr>
    </w:p>
    <w:p w14:paraId="4527FCC5" w14:textId="77777777" w:rsidR="003D69A8" w:rsidRPr="005E1EA7" w:rsidRDefault="003D69A8" w:rsidP="003D69A8">
      <w:pPr>
        <w:numPr>
          <w:ilvl w:val="0"/>
          <w:numId w:val="7"/>
        </w:numPr>
        <w:autoSpaceDE w:val="0"/>
        <w:autoSpaceDN w:val="0"/>
        <w:adjustRightInd w:val="0"/>
        <w:jc w:val="both"/>
        <w:rPr>
          <w:rFonts w:ascii="Tahoma" w:eastAsia="EUAlbertina-Regular-Identity-H" w:hAnsi="Tahoma" w:cs="Tahoma"/>
          <w:sz w:val="20"/>
          <w:szCs w:val="20"/>
        </w:rPr>
      </w:pPr>
      <w:proofErr w:type="gramStart"/>
      <w:r w:rsidRPr="005E1EA7">
        <w:rPr>
          <w:rFonts w:ascii="Tahoma" w:eastAsia="EUAlbertina-Regular-Identity-H" w:hAnsi="Tahoma" w:cs="Tahoma"/>
          <w:sz w:val="20"/>
          <w:szCs w:val="20"/>
        </w:rPr>
        <w:t>il</w:t>
      </w:r>
      <w:proofErr w:type="gramEnd"/>
      <w:r w:rsidRPr="005E1EA7">
        <w:rPr>
          <w:rFonts w:ascii="Tahoma" w:eastAsia="EUAlbertina-Regular-Identity-H" w:hAnsi="Tahoma" w:cs="Tahoma"/>
          <w:sz w:val="20"/>
          <w:szCs w:val="20"/>
        </w:rPr>
        <w:t xml:space="preserve"> est nécessaire de garantir la sécurité sanitaire des aliments à toutes les étapes de la chaîne alimentaire depuis la production primaire et de maintenir la chaîne du froid pour les produits qui ne peuvent pas être entreposés à température ambiante de manière sûre ;</w:t>
      </w:r>
    </w:p>
    <w:p w14:paraId="2A18FD77"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1BC0874A" w14:textId="77777777" w:rsidR="003D69A8" w:rsidRPr="005E1EA7" w:rsidRDefault="003D69A8" w:rsidP="003D69A8">
      <w:pPr>
        <w:numPr>
          <w:ilvl w:val="0"/>
          <w:numId w:val="7"/>
        </w:numPr>
        <w:autoSpaceDE w:val="0"/>
        <w:autoSpaceDN w:val="0"/>
        <w:adjustRightInd w:val="0"/>
        <w:jc w:val="both"/>
        <w:rPr>
          <w:rFonts w:ascii="Tahoma" w:eastAsia="EUAlbertina-Regular-Identity-H" w:hAnsi="Tahoma" w:cs="Tahoma"/>
          <w:sz w:val="20"/>
          <w:szCs w:val="20"/>
        </w:rPr>
      </w:pPr>
      <w:proofErr w:type="gramStart"/>
      <w:r w:rsidRPr="005E1EA7">
        <w:rPr>
          <w:rFonts w:ascii="Tahoma" w:eastAsia="EUAlbertina-Regular-Identity-H" w:hAnsi="Tahoma" w:cs="Tahoma"/>
          <w:sz w:val="20"/>
          <w:szCs w:val="20"/>
        </w:rPr>
        <w:t>l’application</w:t>
      </w:r>
      <w:proofErr w:type="gramEnd"/>
      <w:r w:rsidRPr="005E1EA7">
        <w:rPr>
          <w:rFonts w:ascii="Tahoma" w:eastAsia="EUAlbertina-Regular-Identity-H" w:hAnsi="Tahoma" w:cs="Tahoma"/>
          <w:sz w:val="20"/>
          <w:szCs w:val="20"/>
        </w:rPr>
        <w:t xml:space="preserve"> de procédures fondées sur les principes HACCP, associée à la mise en œuvre de bonnes pratiques d’hygiène, doit renforcer la responsabilité des exploitants du secteur halieutique.</w:t>
      </w:r>
    </w:p>
    <w:p w14:paraId="4412D92E"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22229580"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2. Le présent arrêté s’applique à toutes les étapes de la production, de la transformation et de la distribution des mollusques bivalves vivants et des produits de la pêche.</w:t>
      </w:r>
    </w:p>
    <w:p w14:paraId="23CE1689"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344340BD"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 xml:space="preserve">3. Le présent arrêté ne s’applique pas : </w:t>
      </w:r>
    </w:p>
    <w:p w14:paraId="13176AA1"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04625F69" w14:textId="77777777" w:rsidR="003D69A8" w:rsidRPr="005E1EA7" w:rsidRDefault="003D69A8" w:rsidP="003D69A8">
      <w:pPr>
        <w:numPr>
          <w:ilvl w:val="0"/>
          <w:numId w:val="8"/>
        </w:numPr>
        <w:autoSpaceDE w:val="0"/>
        <w:autoSpaceDN w:val="0"/>
        <w:adjustRightInd w:val="0"/>
        <w:jc w:val="both"/>
        <w:rPr>
          <w:rFonts w:ascii="Tahoma" w:eastAsia="EUAlbertina-Regular-Identity-H" w:hAnsi="Tahoma" w:cs="Tahoma"/>
          <w:sz w:val="20"/>
          <w:szCs w:val="20"/>
        </w:rPr>
      </w:pPr>
      <w:proofErr w:type="gramStart"/>
      <w:r w:rsidRPr="005E1EA7">
        <w:rPr>
          <w:rFonts w:ascii="Tahoma" w:eastAsia="EUAlbertina-Regular-Identity-H" w:hAnsi="Tahoma" w:cs="Tahoma"/>
          <w:sz w:val="20"/>
          <w:szCs w:val="20"/>
        </w:rPr>
        <w:t>à</w:t>
      </w:r>
      <w:proofErr w:type="gramEnd"/>
      <w:r w:rsidRPr="005E1EA7">
        <w:rPr>
          <w:rFonts w:ascii="Tahoma" w:eastAsia="EUAlbertina-Regular-Identity-H" w:hAnsi="Tahoma" w:cs="Tahoma"/>
          <w:sz w:val="20"/>
          <w:szCs w:val="20"/>
        </w:rPr>
        <w:t xml:space="preserve"> la production primaire destinée à un usage domestique privé ;</w:t>
      </w:r>
    </w:p>
    <w:p w14:paraId="4CF2E61B" w14:textId="77777777" w:rsidR="003D69A8" w:rsidRPr="005E1EA7" w:rsidRDefault="003D69A8" w:rsidP="003D69A8">
      <w:pPr>
        <w:autoSpaceDE w:val="0"/>
        <w:autoSpaceDN w:val="0"/>
        <w:adjustRightInd w:val="0"/>
        <w:ind w:left="360"/>
        <w:jc w:val="both"/>
        <w:rPr>
          <w:rFonts w:ascii="Tahoma" w:eastAsia="EUAlbertina-Regular-Identity-H" w:hAnsi="Tahoma" w:cs="Tahoma"/>
          <w:sz w:val="20"/>
          <w:szCs w:val="20"/>
        </w:rPr>
      </w:pPr>
    </w:p>
    <w:p w14:paraId="1D728509" w14:textId="77777777" w:rsidR="003D69A8" w:rsidRPr="005E1EA7" w:rsidRDefault="003D69A8" w:rsidP="003D69A8">
      <w:pPr>
        <w:numPr>
          <w:ilvl w:val="0"/>
          <w:numId w:val="8"/>
        </w:numPr>
        <w:autoSpaceDE w:val="0"/>
        <w:autoSpaceDN w:val="0"/>
        <w:adjustRightInd w:val="0"/>
        <w:jc w:val="both"/>
        <w:rPr>
          <w:rFonts w:ascii="Tahoma" w:eastAsia="EUAlbertina-Regular-Identity-H" w:hAnsi="Tahoma" w:cs="Tahoma"/>
          <w:sz w:val="20"/>
          <w:szCs w:val="20"/>
        </w:rPr>
      </w:pPr>
      <w:proofErr w:type="gramStart"/>
      <w:r w:rsidRPr="005E1EA7">
        <w:rPr>
          <w:rFonts w:ascii="Tahoma" w:eastAsia="EUAlbertina-Regular-Identity-H" w:hAnsi="Tahoma" w:cs="Tahoma"/>
          <w:sz w:val="20"/>
          <w:szCs w:val="20"/>
        </w:rPr>
        <w:t>à</w:t>
      </w:r>
      <w:proofErr w:type="gramEnd"/>
      <w:r w:rsidRPr="005E1EA7">
        <w:rPr>
          <w:rFonts w:ascii="Tahoma" w:eastAsia="EUAlbertina-Regular-Identity-H" w:hAnsi="Tahoma" w:cs="Tahoma"/>
          <w:sz w:val="20"/>
          <w:szCs w:val="20"/>
        </w:rPr>
        <w:t xml:space="preserve"> la préparation, la manipulation et l’entreposage domestiques de </w:t>
      </w:r>
      <w:r w:rsidRPr="005E1EA7">
        <w:rPr>
          <w:rFonts w:ascii="Tahoma" w:eastAsia="EUAlbertina-Bold-Identity-H" w:hAnsi="Tahoma" w:cs="Tahoma"/>
          <w:sz w:val="20"/>
          <w:szCs w:val="20"/>
        </w:rPr>
        <w:t>mollusques bivalves vivants</w:t>
      </w:r>
      <w:r w:rsidRPr="005E1EA7">
        <w:rPr>
          <w:rFonts w:ascii="Tahoma" w:eastAsia="EUAlbertina-Regular-Identity-H" w:hAnsi="Tahoma" w:cs="Tahoma"/>
          <w:sz w:val="20"/>
          <w:szCs w:val="20"/>
        </w:rPr>
        <w:t xml:space="preserve"> et des produits de la pêche</w:t>
      </w:r>
      <w:r w:rsidRPr="005E1EA7">
        <w:rPr>
          <w:rFonts w:ascii="Tahoma" w:eastAsia="EUAlbertina-Bold-Identity-H" w:hAnsi="Tahoma" w:cs="Tahoma"/>
          <w:sz w:val="20"/>
          <w:szCs w:val="20"/>
        </w:rPr>
        <w:t xml:space="preserve"> </w:t>
      </w:r>
      <w:r w:rsidRPr="005E1EA7">
        <w:rPr>
          <w:rFonts w:ascii="Tahoma" w:eastAsia="EUAlbertina-Regular-Identity-H" w:hAnsi="Tahoma" w:cs="Tahoma"/>
          <w:sz w:val="20"/>
          <w:szCs w:val="20"/>
        </w:rPr>
        <w:t>à des fins de consommation domestique privée ;</w:t>
      </w:r>
    </w:p>
    <w:p w14:paraId="4D665AF9"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6ABCDED7" w14:textId="77777777" w:rsidR="003D69A8" w:rsidRPr="005E1EA7" w:rsidRDefault="003D69A8" w:rsidP="003D69A8">
      <w:pPr>
        <w:numPr>
          <w:ilvl w:val="0"/>
          <w:numId w:val="8"/>
        </w:numPr>
        <w:autoSpaceDE w:val="0"/>
        <w:autoSpaceDN w:val="0"/>
        <w:adjustRightInd w:val="0"/>
        <w:jc w:val="both"/>
        <w:rPr>
          <w:rFonts w:ascii="Tahoma" w:eastAsia="EUAlbertina-Regular-Identity-H" w:hAnsi="Tahoma" w:cs="Tahoma"/>
          <w:sz w:val="20"/>
          <w:szCs w:val="20"/>
        </w:rPr>
      </w:pPr>
      <w:proofErr w:type="gramStart"/>
      <w:r w:rsidRPr="005E1EA7">
        <w:rPr>
          <w:rFonts w:ascii="Tahoma" w:eastAsia="EUAlbertina-Regular-Identity-H" w:hAnsi="Tahoma" w:cs="Tahoma"/>
          <w:sz w:val="20"/>
          <w:szCs w:val="20"/>
        </w:rPr>
        <w:t>à</w:t>
      </w:r>
      <w:proofErr w:type="gramEnd"/>
      <w:r w:rsidRPr="005E1EA7">
        <w:rPr>
          <w:rFonts w:ascii="Tahoma" w:eastAsia="EUAlbertina-Regular-Identity-H" w:hAnsi="Tahoma" w:cs="Tahoma"/>
          <w:sz w:val="20"/>
          <w:szCs w:val="20"/>
        </w:rPr>
        <w:t xml:space="preserve"> l’approvisionnement direct par le producteur, du consommateur final ou du commerce de détail local fournissant directement le consommateur final, en petites quantités de produits primaires.</w:t>
      </w:r>
    </w:p>
    <w:p w14:paraId="6ABDDCE2"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10CFB0D5" w14:textId="77777777" w:rsidR="003D69A8" w:rsidRPr="005E1EA7" w:rsidRDefault="003D69A8" w:rsidP="003D69A8">
      <w:pPr>
        <w:autoSpaceDE w:val="0"/>
        <w:autoSpaceDN w:val="0"/>
        <w:adjustRightInd w:val="0"/>
        <w:jc w:val="both"/>
        <w:rPr>
          <w:rFonts w:ascii="Tahoma" w:eastAsia="EUAlbertina-Bold-Identity-H" w:hAnsi="Tahoma" w:cs="Tahoma"/>
          <w:sz w:val="20"/>
          <w:szCs w:val="20"/>
        </w:rPr>
      </w:pPr>
      <w:r w:rsidRPr="005E1EA7">
        <w:rPr>
          <w:rFonts w:ascii="Tahoma" w:eastAsia="EUAlbertina-Italic-Identity-H" w:hAnsi="Tahoma" w:cs="Tahoma"/>
          <w:b/>
          <w:sz w:val="20"/>
          <w:szCs w:val="20"/>
          <w:u w:val="single"/>
        </w:rPr>
        <w:t>Article 2</w:t>
      </w:r>
      <w:r w:rsidRPr="005E1EA7">
        <w:rPr>
          <w:rFonts w:ascii="Tahoma" w:eastAsia="EUAlbertina-Italic-Identity-H" w:hAnsi="Tahoma" w:cs="Tahoma"/>
          <w:b/>
          <w:sz w:val="20"/>
          <w:szCs w:val="20"/>
        </w:rPr>
        <w:t> </w:t>
      </w:r>
      <w:r w:rsidRPr="005E1EA7">
        <w:rPr>
          <w:rFonts w:ascii="Tahoma" w:eastAsia="EUAlbertina-Italic-Identity-H" w:hAnsi="Tahoma" w:cs="Tahoma"/>
          <w:sz w:val="20"/>
          <w:szCs w:val="20"/>
        </w:rPr>
        <w:t xml:space="preserve">: </w:t>
      </w:r>
      <w:r w:rsidRPr="005E1EA7">
        <w:rPr>
          <w:rFonts w:ascii="Tahoma" w:eastAsia="EUAlbertina-Regular-Identity-H" w:hAnsi="Tahoma" w:cs="Tahoma"/>
          <w:b/>
          <w:bCs/>
          <w:sz w:val="20"/>
          <w:szCs w:val="20"/>
        </w:rPr>
        <w:t>Définitions :</w:t>
      </w:r>
    </w:p>
    <w:p w14:paraId="0ABF8FFB" w14:textId="77777777" w:rsidR="003D69A8" w:rsidRPr="005E1EA7" w:rsidRDefault="003D69A8" w:rsidP="003D69A8">
      <w:pPr>
        <w:autoSpaceDE w:val="0"/>
        <w:autoSpaceDN w:val="0"/>
        <w:adjustRightInd w:val="0"/>
        <w:jc w:val="both"/>
        <w:rPr>
          <w:rFonts w:ascii="Tahoma" w:eastAsia="EUAlbertina-Bold-Identity-H" w:hAnsi="Tahoma" w:cs="Tahoma"/>
          <w:sz w:val="20"/>
          <w:szCs w:val="20"/>
        </w:rPr>
      </w:pPr>
    </w:p>
    <w:p w14:paraId="7203574A"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Aux fins du présent arrêté, on entend par :</w:t>
      </w:r>
    </w:p>
    <w:p w14:paraId="05389A30"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677FD0EB" w14:textId="77777777" w:rsidR="003D69A8" w:rsidRPr="005E1EA7" w:rsidRDefault="003D69A8" w:rsidP="003D69A8">
      <w:pPr>
        <w:autoSpaceDE w:val="0"/>
        <w:autoSpaceDN w:val="0"/>
        <w:adjustRightInd w:val="0"/>
        <w:jc w:val="both"/>
        <w:rPr>
          <w:rFonts w:ascii="Tahoma" w:eastAsia="EUAlbertina-Regular-Identity-H" w:hAnsi="Tahoma" w:cs="Tahoma"/>
          <w:b/>
          <w:bCs/>
          <w:sz w:val="20"/>
          <w:szCs w:val="20"/>
        </w:rPr>
      </w:pPr>
      <w:r w:rsidRPr="005E1EA7">
        <w:rPr>
          <w:rFonts w:ascii="Tahoma" w:eastAsia="EUAlbertina-Regular-Identity-H" w:hAnsi="Tahoma" w:cs="Tahoma"/>
          <w:b/>
          <w:bCs/>
          <w:sz w:val="20"/>
          <w:szCs w:val="20"/>
        </w:rPr>
        <w:t>1. Définitions générales :</w:t>
      </w:r>
    </w:p>
    <w:p w14:paraId="2D7EAB07"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6F73F558"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 xml:space="preserve">1.1. </w:t>
      </w:r>
      <w:proofErr w:type="gramStart"/>
      <w:r w:rsidRPr="005E1EA7">
        <w:rPr>
          <w:rFonts w:ascii="Tahoma" w:eastAsia="EUAlbertina-Regular-Identity-H" w:hAnsi="Tahoma" w:cs="Tahoma"/>
          <w:sz w:val="20"/>
          <w:szCs w:val="20"/>
        </w:rPr>
        <w:t>«hygiène</w:t>
      </w:r>
      <w:proofErr w:type="gramEnd"/>
      <w:r w:rsidRPr="005E1EA7">
        <w:rPr>
          <w:rFonts w:ascii="Tahoma" w:eastAsia="EUAlbertina-Regular-Identity-H" w:hAnsi="Tahoma" w:cs="Tahoma"/>
          <w:sz w:val="20"/>
          <w:szCs w:val="20"/>
        </w:rPr>
        <w:t xml:space="preserve"> des </w:t>
      </w:r>
      <w:r w:rsidRPr="005E1EA7">
        <w:rPr>
          <w:rFonts w:ascii="Tahoma" w:eastAsia="EUAlbertina-Bold-Identity-H" w:hAnsi="Tahoma" w:cs="Tahoma"/>
          <w:sz w:val="20"/>
          <w:szCs w:val="20"/>
        </w:rPr>
        <w:t>denrées alimentaires</w:t>
      </w:r>
      <w:r w:rsidRPr="005E1EA7">
        <w:rPr>
          <w:rFonts w:ascii="Tahoma" w:eastAsia="EUAlbertina-Regular-Identity-H" w:hAnsi="Tahoma" w:cs="Tahoma"/>
          <w:sz w:val="20"/>
          <w:szCs w:val="20"/>
        </w:rPr>
        <w:t>», ci-après dénommée «hygiène» : les mesures et conditions nécessaires pour maîtriser les dangers et garantir le caractère propre à la consommation humaine d’une denrée alimentaire compte tenu de l’utilisation prévue ;</w:t>
      </w:r>
    </w:p>
    <w:p w14:paraId="4E982DF3"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3F279C38"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 xml:space="preserve">1.2. </w:t>
      </w:r>
      <w:proofErr w:type="gramStart"/>
      <w:r w:rsidRPr="005E1EA7">
        <w:rPr>
          <w:rFonts w:ascii="Tahoma" w:eastAsia="EUAlbertina-Regular-Identity-H" w:hAnsi="Tahoma" w:cs="Tahoma"/>
          <w:sz w:val="20"/>
          <w:szCs w:val="20"/>
        </w:rPr>
        <w:t>«produits</w:t>
      </w:r>
      <w:proofErr w:type="gramEnd"/>
      <w:r w:rsidRPr="005E1EA7">
        <w:rPr>
          <w:rFonts w:ascii="Tahoma" w:eastAsia="EUAlbertina-Regular-Identity-H" w:hAnsi="Tahoma" w:cs="Tahoma"/>
          <w:sz w:val="20"/>
          <w:szCs w:val="20"/>
        </w:rPr>
        <w:t xml:space="preserve"> primaires» : les produits marins issus de l’élevage et de la pêche ;</w:t>
      </w:r>
    </w:p>
    <w:p w14:paraId="6DA0DB1F"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4F0318BD"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 xml:space="preserve">1.3. </w:t>
      </w:r>
      <w:proofErr w:type="gramStart"/>
      <w:r w:rsidRPr="005E1EA7">
        <w:rPr>
          <w:rFonts w:ascii="Tahoma" w:eastAsia="EUAlbertina-Regular-Identity-H" w:hAnsi="Tahoma" w:cs="Tahoma"/>
          <w:sz w:val="20"/>
          <w:szCs w:val="20"/>
        </w:rPr>
        <w:t>«établissement</w:t>
      </w:r>
      <w:proofErr w:type="gramEnd"/>
      <w:r w:rsidRPr="005E1EA7">
        <w:rPr>
          <w:rFonts w:ascii="Tahoma" w:eastAsia="EUAlbertina-Regular-Identity-H" w:hAnsi="Tahoma" w:cs="Tahoma"/>
          <w:sz w:val="20"/>
          <w:szCs w:val="20"/>
        </w:rPr>
        <w:t>» : toute unité d’une entreprise du secteur halieutique;</w:t>
      </w:r>
    </w:p>
    <w:p w14:paraId="44D8FAD4"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531B6DA2"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1.4</w:t>
      </w:r>
      <w:proofErr w:type="gramStart"/>
      <w:r w:rsidRPr="005E1EA7">
        <w:rPr>
          <w:rFonts w:ascii="Tahoma" w:eastAsia="EUAlbertina-Regular-Identity-H" w:hAnsi="Tahoma" w:cs="Tahoma"/>
          <w:sz w:val="20"/>
          <w:szCs w:val="20"/>
        </w:rPr>
        <w:t xml:space="preserve"> «Autorité</w:t>
      </w:r>
      <w:proofErr w:type="gramEnd"/>
      <w:r w:rsidRPr="005E1EA7">
        <w:rPr>
          <w:rFonts w:ascii="Tahoma" w:eastAsia="EUAlbertina-Regular-Identity-H" w:hAnsi="Tahoma" w:cs="Tahoma"/>
          <w:sz w:val="20"/>
          <w:szCs w:val="20"/>
        </w:rPr>
        <w:t xml:space="preserve"> compétente» : l’Autorité centrale de l’Etat chargée de garantir le respect des exigences du présent arrêté, ou toute autre autorité à laquelle ladite Autorité centrale a délégué cette tâche ;</w:t>
      </w:r>
    </w:p>
    <w:p w14:paraId="5E49B8CA"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4D430E86"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 xml:space="preserve">1.5. </w:t>
      </w:r>
      <w:proofErr w:type="gramStart"/>
      <w:r w:rsidRPr="005E1EA7">
        <w:rPr>
          <w:rFonts w:ascii="Tahoma" w:eastAsia="EUAlbertina-Regular-Identity-H" w:hAnsi="Tahoma" w:cs="Tahoma"/>
          <w:sz w:val="20"/>
          <w:szCs w:val="20"/>
        </w:rPr>
        <w:t>«contamination</w:t>
      </w:r>
      <w:proofErr w:type="gramEnd"/>
      <w:r w:rsidRPr="005E1EA7">
        <w:rPr>
          <w:rFonts w:ascii="Tahoma" w:eastAsia="EUAlbertina-Regular-Identity-H" w:hAnsi="Tahoma" w:cs="Tahoma"/>
          <w:sz w:val="20"/>
          <w:szCs w:val="20"/>
        </w:rPr>
        <w:t>» : la présence ou l’introduction d’un danger de nature physique, chimique ou microbiologique ;</w:t>
      </w:r>
    </w:p>
    <w:p w14:paraId="20910F29"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77FF619F"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 xml:space="preserve">1.6. </w:t>
      </w:r>
      <w:proofErr w:type="gramStart"/>
      <w:r w:rsidRPr="005E1EA7">
        <w:rPr>
          <w:rFonts w:ascii="Tahoma" w:eastAsia="EUAlbertina-Regular-Identity-H" w:hAnsi="Tahoma" w:cs="Tahoma"/>
          <w:sz w:val="20"/>
          <w:szCs w:val="20"/>
        </w:rPr>
        <w:t>«eau</w:t>
      </w:r>
      <w:proofErr w:type="gramEnd"/>
      <w:r w:rsidRPr="005E1EA7">
        <w:rPr>
          <w:rFonts w:ascii="Tahoma" w:eastAsia="EUAlbertina-Regular-Identity-H" w:hAnsi="Tahoma" w:cs="Tahoma"/>
          <w:sz w:val="20"/>
          <w:szCs w:val="20"/>
        </w:rPr>
        <w:t xml:space="preserve"> potable» : l’eau satisfaisant aux exigences minimales fixées pour la qualité des eaux destinées à la consommation humaine ;</w:t>
      </w:r>
    </w:p>
    <w:p w14:paraId="1B5106C7"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0E7DB712"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 xml:space="preserve">1.7. </w:t>
      </w:r>
      <w:proofErr w:type="gramStart"/>
      <w:r w:rsidRPr="005E1EA7">
        <w:rPr>
          <w:rFonts w:ascii="Tahoma" w:eastAsia="EUAlbertina-Regular-Identity-H" w:hAnsi="Tahoma" w:cs="Tahoma"/>
          <w:sz w:val="20"/>
          <w:szCs w:val="20"/>
        </w:rPr>
        <w:t>«eau</w:t>
      </w:r>
      <w:proofErr w:type="gramEnd"/>
      <w:r w:rsidRPr="005E1EA7">
        <w:rPr>
          <w:rFonts w:ascii="Tahoma" w:eastAsia="EUAlbertina-Regular-Identity-H" w:hAnsi="Tahoma" w:cs="Tahoma"/>
          <w:sz w:val="20"/>
          <w:szCs w:val="20"/>
        </w:rPr>
        <w:t xml:space="preserve"> de mer propre» : l’eau de mer ou saumâtre naturelle, artificielle ou purifiée ne contenant pas de micro-organismes, de substances nocives ou de plancton marin toxique en quantités susceptibles d’avoir une incidence directe ou indirecte sur la qualité sanitaire des </w:t>
      </w:r>
      <w:r w:rsidRPr="005E1EA7">
        <w:rPr>
          <w:rFonts w:ascii="Tahoma" w:eastAsia="EUAlbertina-Bold-Identity-H" w:hAnsi="Tahoma" w:cs="Tahoma"/>
          <w:sz w:val="20"/>
          <w:szCs w:val="20"/>
        </w:rPr>
        <w:t xml:space="preserve">mollusques bivalves vivants et </w:t>
      </w:r>
      <w:r w:rsidRPr="005E1EA7">
        <w:rPr>
          <w:rFonts w:ascii="Tahoma" w:eastAsia="EUAlbertina-Regular-Identity-H" w:hAnsi="Tahoma" w:cs="Tahoma"/>
          <w:sz w:val="20"/>
          <w:szCs w:val="20"/>
        </w:rPr>
        <w:t>produits de la pêche ;</w:t>
      </w:r>
    </w:p>
    <w:p w14:paraId="07E4D88D"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715456BC"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 xml:space="preserve">1.8. </w:t>
      </w:r>
      <w:proofErr w:type="gramStart"/>
      <w:r w:rsidRPr="005E1EA7">
        <w:rPr>
          <w:rFonts w:ascii="Tahoma" w:eastAsia="EUAlbertina-Regular-Identity-H" w:hAnsi="Tahoma" w:cs="Tahoma"/>
          <w:sz w:val="20"/>
          <w:szCs w:val="20"/>
        </w:rPr>
        <w:t>«eau</w:t>
      </w:r>
      <w:proofErr w:type="gramEnd"/>
      <w:r w:rsidRPr="005E1EA7">
        <w:rPr>
          <w:rFonts w:ascii="Tahoma" w:eastAsia="EUAlbertina-Regular-Identity-H" w:hAnsi="Tahoma" w:cs="Tahoma"/>
          <w:sz w:val="20"/>
          <w:szCs w:val="20"/>
        </w:rPr>
        <w:t xml:space="preserve"> propre» : eau de mer propre et eau douce d’une qualité similaire ;</w:t>
      </w:r>
    </w:p>
    <w:p w14:paraId="4B906F5E"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7F0D59C3"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 xml:space="preserve">1.9. </w:t>
      </w:r>
      <w:proofErr w:type="gramStart"/>
      <w:r w:rsidRPr="005E1EA7">
        <w:rPr>
          <w:rFonts w:ascii="Tahoma" w:eastAsia="EUAlbertina-Regular-Identity-H" w:hAnsi="Tahoma" w:cs="Tahoma"/>
          <w:sz w:val="20"/>
          <w:szCs w:val="20"/>
        </w:rPr>
        <w:t>«conditionnement</w:t>
      </w:r>
      <w:proofErr w:type="gramEnd"/>
      <w:r w:rsidRPr="005E1EA7">
        <w:rPr>
          <w:rFonts w:ascii="Tahoma" w:eastAsia="EUAlbertina-Regular-Identity-H" w:hAnsi="Tahoma" w:cs="Tahoma"/>
          <w:sz w:val="20"/>
          <w:szCs w:val="20"/>
        </w:rPr>
        <w:t>»: l’action de placer</w:t>
      </w:r>
      <w:r w:rsidRPr="005E1EA7">
        <w:rPr>
          <w:rFonts w:ascii="Tahoma" w:eastAsia="EUAlbertina-Bold-Identity-H" w:hAnsi="Tahoma" w:cs="Tahoma"/>
          <w:sz w:val="20"/>
          <w:szCs w:val="20"/>
        </w:rPr>
        <w:t xml:space="preserve"> une denrée alimentaire </w:t>
      </w:r>
      <w:r w:rsidRPr="005E1EA7">
        <w:rPr>
          <w:rFonts w:ascii="Tahoma" w:eastAsia="EUAlbertina-Regular-Identity-H" w:hAnsi="Tahoma" w:cs="Tahoma"/>
          <w:sz w:val="20"/>
          <w:szCs w:val="20"/>
        </w:rPr>
        <w:t>dans une enveloppe ou dans un contenant en contact direct avec la denrée alimentaire ; cette enveloppe ou ce contenant ;</w:t>
      </w:r>
    </w:p>
    <w:p w14:paraId="3E398E44"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4113AD48"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 xml:space="preserve">1.10. </w:t>
      </w:r>
      <w:proofErr w:type="gramStart"/>
      <w:r w:rsidRPr="005E1EA7">
        <w:rPr>
          <w:rFonts w:ascii="Tahoma" w:eastAsia="EUAlbertina-Regular-Identity-H" w:hAnsi="Tahoma" w:cs="Tahoma"/>
          <w:sz w:val="20"/>
          <w:szCs w:val="20"/>
        </w:rPr>
        <w:t>«emballage</w:t>
      </w:r>
      <w:proofErr w:type="gramEnd"/>
      <w:r w:rsidRPr="005E1EA7">
        <w:rPr>
          <w:rFonts w:ascii="Tahoma" w:eastAsia="EUAlbertina-Regular-Identity-H" w:hAnsi="Tahoma" w:cs="Tahoma"/>
          <w:sz w:val="20"/>
          <w:szCs w:val="20"/>
        </w:rPr>
        <w:t xml:space="preserve">» : l’action de placer des </w:t>
      </w:r>
      <w:r w:rsidRPr="005E1EA7">
        <w:rPr>
          <w:rFonts w:ascii="Tahoma" w:eastAsia="EUAlbertina-Bold-Identity-H" w:hAnsi="Tahoma" w:cs="Tahoma"/>
          <w:sz w:val="20"/>
          <w:szCs w:val="20"/>
        </w:rPr>
        <w:t xml:space="preserve">mollusques bivalves et des </w:t>
      </w:r>
      <w:r w:rsidRPr="005E1EA7">
        <w:rPr>
          <w:rFonts w:ascii="Tahoma" w:eastAsia="EUAlbertina-Regular-Identity-H" w:hAnsi="Tahoma" w:cs="Tahoma"/>
          <w:sz w:val="20"/>
          <w:szCs w:val="20"/>
        </w:rPr>
        <w:t xml:space="preserve">produits de la pêche conditionnés dans un deuxième contenant, le contenant lui-même ; </w:t>
      </w:r>
    </w:p>
    <w:p w14:paraId="2AEB702F"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253B8A6D"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 xml:space="preserve">1.11. </w:t>
      </w:r>
      <w:proofErr w:type="gramStart"/>
      <w:r w:rsidRPr="005E1EA7">
        <w:rPr>
          <w:rFonts w:ascii="Tahoma" w:eastAsia="EUAlbertina-Regular-Identity-H" w:hAnsi="Tahoma" w:cs="Tahoma"/>
          <w:sz w:val="20"/>
          <w:szCs w:val="20"/>
        </w:rPr>
        <w:t>«conteneur</w:t>
      </w:r>
      <w:proofErr w:type="gramEnd"/>
      <w:r w:rsidRPr="005E1EA7">
        <w:rPr>
          <w:rFonts w:ascii="Tahoma" w:eastAsia="EUAlbertina-Regular-Identity-H" w:hAnsi="Tahoma" w:cs="Tahoma"/>
          <w:sz w:val="20"/>
          <w:szCs w:val="20"/>
        </w:rPr>
        <w:t xml:space="preserve"> hermétiquement clos» : conteneur conçu et prévu pour offrir une barrière à l’intrusion de dangers ; </w:t>
      </w:r>
    </w:p>
    <w:p w14:paraId="783A38C8"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6CA151E8"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 xml:space="preserve">1.12. </w:t>
      </w:r>
      <w:proofErr w:type="gramStart"/>
      <w:r w:rsidRPr="005E1EA7">
        <w:rPr>
          <w:rFonts w:ascii="Tahoma" w:eastAsia="EUAlbertina-Regular-Identity-H" w:hAnsi="Tahoma" w:cs="Tahoma"/>
          <w:sz w:val="20"/>
          <w:szCs w:val="20"/>
        </w:rPr>
        <w:t>«transformation</w:t>
      </w:r>
      <w:proofErr w:type="gramEnd"/>
      <w:r w:rsidRPr="005E1EA7">
        <w:rPr>
          <w:rFonts w:ascii="Tahoma" w:eastAsia="EUAlbertina-Regular-Identity-H" w:hAnsi="Tahoma" w:cs="Tahoma"/>
          <w:sz w:val="20"/>
          <w:szCs w:val="20"/>
        </w:rPr>
        <w:t>» : toute action entraînant une modification importante du produit initial, par exemple par chauffage, fumaison, salaison, maturation, dessiccation, marinage, extraction, extrusion, ou une combinaison de ces procédés ;</w:t>
      </w:r>
    </w:p>
    <w:p w14:paraId="03D017DD"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61302005"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 xml:space="preserve">1.13. </w:t>
      </w:r>
      <w:proofErr w:type="gramStart"/>
      <w:r w:rsidRPr="005E1EA7">
        <w:rPr>
          <w:rFonts w:ascii="Tahoma" w:eastAsia="EUAlbertina-Regular-Identity-H" w:hAnsi="Tahoma" w:cs="Tahoma"/>
          <w:sz w:val="20"/>
          <w:szCs w:val="20"/>
        </w:rPr>
        <w:t>«produits</w:t>
      </w:r>
      <w:proofErr w:type="gramEnd"/>
      <w:r w:rsidRPr="005E1EA7">
        <w:rPr>
          <w:rFonts w:ascii="Tahoma" w:eastAsia="EUAlbertina-Regular-Identity-H" w:hAnsi="Tahoma" w:cs="Tahoma"/>
          <w:sz w:val="20"/>
          <w:szCs w:val="20"/>
        </w:rPr>
        <w:t xml:space="preserve"> non transformés» : les </w:t>
      </w:r>
      <w:r w:rsidRPr="005E1EA7">
        <w:rPr>
          <w:rFonts w:ascii="Tahoma" w:eastAsia="EUAlbertina-Bold-Identity-H" w:hAnsi="Tahoma" w:cs="Tahoma"/>
          <w:sz w:val="20"/>
          <w:szCs w:val="20"/>
        </w:rPr>
        <w:t xml:space="preserve">mollusques bivalves et </w:t>
      </w:r>
      <w:r w:rsidRPr="005E1EA7">
        <w:rPr>
          <w:rFonts w:ascii="Tahoma" w:eastAsia="EUAlbertina-Regular-Identity-H" w:hAnsi="Tahoma" w:cs="Tahoma"/>
          <w:sz w:val="20"/>
          <w:szCs w:val="20"/>
        </w:rPr>
        <w:t xml:space="preserve">les produits de la pêche, n’ayant pas subi de transformation et qui comprennent, par exemple, les produits nettoyés, décortiqués, découpés , réfrigérés, congelés, surgelés ou décongelés ; </w:t>
      </w:r>
    </w:p>
    <w:p w14:paraId="0E495C80"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2F6E5791"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 xml:space="preserve">1.14. </w:t>
      </w:r>
      <w:proofErr w:type="gramStart"/>
      <w:r w:rsidRPr="005E1EA7">
        <w:rPr>
          <w:rFonts w:ascii="Tahoma" w:eastAsia="EUAlbertina-Regular-Identity-H" w:hAnsi="Tahoma" w:cs="Tahoma"/>
          <w:sz w:val="20"/>
          <w:szCs w:val="20"/>
        </w:rPr>
        <w:t>«produits</w:t>
      </w:r>
      <w:proofErr w:type="gramEnd"/>
      <w:r w:rsidRPr="005E1EA7">
        <w:rPr>
          <w:rFonts w:ascii="Tahoma" w:eastAsia="EUAlbertina-Regular-Identity-H" w:hAnsi="Tahoma" w:cs="Tahoma"/>
          <w:sz w:val="20"/>
          <w:szCs w:val="20"/>
        </w:rPr>
        <w:t xml:space="preserve"> transformés» : les </w:t>
      </w:r>
      <w:r w:rsidRPr="005E1EA7">
        <w:rPr>
          <w:rFonts w:ascii="Tahoma" w:eastAsia="EUAlbertina-Bold-Identity-H" w:hAnsi="Tahoma" w:cs="Tahoma"/>
          <w:sz w:val="20"/>
          <w:szCs w:val="20"/>
        </w:rPr>
        <w:t xml:space="preserve">mollusques bivalves et les </w:t>
      </w:r>
      <w:r w:rsidRPr="005E1EA7">
        <w:rPr>
          <w:rFonts w:ascii="Tahoma" w:eastAsia="EUAlbertina-Regular-Identity-H" w:hAnsi="Tahoma" w:cs="Tahoma"/>
          <w:sz w:val="20"/>
          <w:szCs w:val="20"/>
        </w:rPr>
        <w:t xml:space="preserve">produits de la pêche résultant de la transformation de produits non transformés. </w:t>
      </w:r>
    </w:p>
    <w:p w14:paraId="372230F0"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35BC4A2B"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 xml:space="preserve">1.15. </w:t>
      </w:r>
      <w:proofErr w:type="gramStart"/>
      <w:r w:rsidRPr="005E1EA7">
        <w:rPr>
          <w:rFonts w:ascii="Tahoma" w:eastAsia="EUAlbertina-Regular-Identity-H" w:hAnsi="Tahoma" w:cs="Tahoma"/>
          <w:sz w:val="20"/>
          <w:szCs w:val="20"/>
        </w:rPr>
        <w:t>«opérations</w:t>
      </w:r>
      <w:proofErr w:type="gramEnd"/>
      <w:r w:rsidRPr="005E1EA7">
        <w:rPr>
          <w:rFonts w:ascii="Tahoma" w:eastAsia="EUAlbertina-Regular-Identity-H" w:hAnsi="Tahoma" w:cs="Tahoma"/>
          <w:sz w:val="20"/>
          <w:szCs w:val="20"/>
        </w:rPr>
        <w:t xml:space="preserve"> connexes» : opérations effectuées à bord du navire de pêche (abattage, saignée, étêtage, éviscération, enlèvement des nageoires, réfrigération et conditionnement) ainsi que le transport et le stockage des produits de la pêche, dont la nature n’a pas été modifiée, du lieu de production jusqu’au premier établissement de destination.</w:t>
      </w:r>
    </w:p>
    <w:p w14:paraId="13762B71"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376D3D08" w14:textId="77777777" w:rsidR="003D69A8" w:rsidRPr="005E1EA7" w:rsidRDefault="003D69A8" w:rsidP="003D69A8">
      <w:pPr>
        <w:autoSpaceDE w:val="0"/>
        <w:autoSpaceDN w:val="0"/>
        <w:adjustRightInd w:val="0"/>
        <w:jc w:val="both"/>
        <w:rPr>
          <w:rFonts w:ascii="Tahoma" w:hAnsi="Tahoma" w:cs="Tahoma"/>
          <w:sz w:val="20"/>
          <w:szCs w:val="20"/>
        </w:rPr>
      </w:pPr>
      <w:r w:rsidRPr="005E1EA7">
        <w:rPr>
          <w:rFonts w:ascii="Tahoma" w:hAnsi="Tahoma" w:cs="Tahoma"/>
          <w:sz w:val="20"/>
          <w:szCs w:val="20"/>
        </w:rPr>
        <w:t>1.16</w:t>
      </w:r>
      <w:proofErr w:type="gramStart"/>
      <w:r w:rsidRPr="005E1EA7">
        <w:rPr>
          <w:rFonts w:ascii="Tahoma" w:hAnsi="Tahoma" w:cs="Tahoma"/>
          <w:sz w:val="20"/>
          <w:szCs w:val="20"/>
        </w:rPr>
        <w:t xml:space="preserve"> «HACCP</w:t>
      </w:r>
      <w:proofErr w:type="gramEnd"/>
      <w:r w:rsidRPr="005E1EA7">
        <w:rPr>
          <w:rFonts w:ascii="Tahoma" w:hAnsi="Tahoma" w:cs="Tahoma"/>
          <w:sz w:val="20"/>
          <w:szCs w:val="20"/>
        </w:rPr>
        <w:t xml:space="preserve"> - Hazard Analysis and Critical Control Point» : Analyse des risques et maîtrise des points critiques.</w:t>
      </w:r>
    </w:p>
    <w:p w14:paraId="74CB3179"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3235D96E" w14:textId="77777777" w:rsidR="003D69A8" w:rsidRPr="005E1EA7" w:rsidRDefault="003D69A8" w:rsidP="003D69A8">
      <w:pPr>
        <w:autoSpaceDE w:val="0"/>
        <w:autoSpaceDN w:val="0"/>
        <w:adjustRightInd w:val="0"/>
        <w:jc w:val="both"/>
        <w:rPr>
          <w:rFonts w:ascii="Tahoma" w:eastAsia="EUAlbertina-Regular-Identity-H" w:hAnsi="Tahoma" w:cs="Tahoma"/>
          <w:b/>
          <w:bCs/>
          <w:sz w:val="20"/>
          <w:szCs w:val="20"/>
        </w:rPr>
      </w:pPr>
      <w:r w:rsidRPr="005E1EA7">
        <w:rPr>
          <w:rFonts w:ascii="Tahoma" w:eastAsia="EUAlbertina-Regular-Identity-H" w:hAnsi="Tahoma" w:cs="Tahoma"/>
          <w:b/>
          <w:bCs/>
          <w:sz w:val="20"/>
          <w:szCs w:val="20"/>
        </w:rPr>
        <w:t>2. Mollusques bivalves vivants</w:t>
      </w:r>
    </w:p>
    <w:p w14:paraId="56E32F25"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649484A4"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 xml:space="preserve">2.1. </w:t>
      </w:r>
      <w:proofErr w:type="gramStart"/>
      <w:r w:rsidRPr="005E1EA7">
        <w:rPr>
          <w:rFonts w:ascii="Tahoma" w:eastAsia="EUAlbertina-Regular-Identity-H" w:hAnsi="Tahoma" w:cs="Tahoma"/>
          <w:sz w:val="20"/>
          <w:szCs w:val="20"/>
        </w:rPr>
        <w:t>«mollusques</w:t>
      </w:r>
      <w:proofErr w:type="gramEnd"/>
      <w:r w:rsidRPr="005E1EA7">
        <w:rPr>
          <w:rFonts w:ascii="Tahoma" w:eastAsia="EUAlbertina-Regular-Identity-H" w:hAnsi="Tahoma" w:cs="Tahoma"/>
          <w:sz w:val="20"/>
          <w:szCs w:val="20"/>
        </w:rPr>
        <w:t xml:space="preserve"> bivalves»: les mollusques lamellibranches filtreurs ;</w:t>
      </w:r>
    </w:p>
    <w:p w14:paraId="30B17E7E"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244E655E"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 xml:space="preserve">2.2. </w:t>
      </w:r>
      <w:proofErr w:type="gramStart"/>
      <w:r w:rsidRPr="005E1EA7">
        <w:rPr>
          <w:rFonts w:ascii="Tahoma" w:eastAsia="EUAlbertina-Regular-Identity-H" w:hAnsi="Tahoma" w:cs="Tahoma"/>
          <w:sz w:val="20"/>
          <w:szCs w:val="20"/>
        </w:rPr>
        <w:t>«biotoxines</w:t>
      </w:r>
      <w:proofErr w:type="gramEnd"/>
      <w:r w:rsidRPr="005E1EA7">
        <w:rPr>
          <w:rFonts w:ascii="Tahoma" w:eastAsia="EUAlbertina-Regular-Identity-H" w:hAnsi="Tahoma" w:cs="Tahoma"/>
          <w:sz w:val="20"/>
          <w:szCs w:val="20"/>
        </w:rPr>
        <w:t xml:space="preserve"> marines»: les substances toxiques accumulées par les mollusques bivalves, en particulier lorsqu’ils se nourrissent de plancton contenant des toxines ;</w:t>
      </w:r>
    </w:p>
    <w:p w14:paraId="6E938676"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2C9A495D"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 xml:space="preserve">2.3. </w:t>
      </w:r>
      <w:proofErr w:type="gramStart"/>
      <w:r w:rsidRPr="005E1EA7">
        <w:rPr>
          <w:rFonts w:ascii="Tahoma" w:eastAsia="EUAlbertina-Regular-Identity-H" w:hAnsi="Tahoma" w:cs="Tahoma"/>
          <w:sz w:val="20"/>
          <w:szCs w:val="20"/>
        </w:rPr>
        <w:t>«finition</w:t>
      </w:r>
      <w:proofErr w:type="gramEnd"/>
      <w:r w:rsidRPr="005E1EA7">
        <w:rPr>
          <w:rFonts w:ascii="Tahoma" w:eastAsia="EUAlbertina-Regular-Identity-H" w:hAnsi="Tahoma" w:cs="Tahoma"/>
          <w:sz w:val="20"/>
          <w:szCs w:val="20"/>
        </w:rPr>
        <w:t>»: l’entreposage des mollusques bivalves vivants provenant des zones de production de classe A, de centres de purification ou de centres d’expédition dans des bassins ou dans toute autre installation contenant de l’eau de mer propre ou dans des sites naturels pour les débarrasser du sable, de la vase ou du mucus, préserver ou améliorer leurs qualités organoleptiques et assurer avant leur conditionnement ou emballage un bon état de vitalité ;</w:t>
      </w:r>
    </w:p>
    <w:p w14:paraId="35FD4F39"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51D520C3"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lastRenderedPageBreak/>
        <w:t xml:space="preserve">2.4. </w:t>
      </w:r>
      <w:proofErr w:type="gramStart"/>
      <w:r w:rsidRPr="005E1EA7">
        <w:rPr>
          <w:rFonts w:ascii="Tahoma" w:eastAsia="EUAlbertina-Regular-Identity-H" w:hAnsi="Tahoma" w:cs="Tahoma"/>
          <w:sz w:val="20"/>
          <w:szCs w:val="20"/>
        </w:rPr>
        <w:t>«producteur</w:t>
      </w:r>
      <w:proofErr w:type="gramEnd"/>
      <w:r w:rsidRPr="005E1EA7">
        <w:rPr>
          <w:rFonts w:ascii="Tahoma" w:eastAsia="EUAlbertina-Regular-Identity-H" w:hAnsi="Tahoma" w:cs="Tahoma"/>
          <w:sz w:val="20"/>
          <w:szCs w:val="20"/>
        </w:rPr>
        <w:t>»: toute personne physique ou morale qui collecte des mollusques bivalves vivants par tous les moyens dans une zone de récolte, en vue d’une manipulation et d’une mise sur le marché ;</w:t>
      </w:r>
    </w:p>
    <w:p w14:paraId="7856B79F"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31CF4659"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 xml:space="preserve">2.5. </w:t>
      </w:r>
      <w:proofErr w:type="gramStart"/>
      <w:r w:rsidRPr="005E1EA7">
        <w:rPr>
          <w:rFonts w:ascii="Tahoma" w:eastAsia="EUAlbertina-Regular-Identity-H" w:hAnsi="Tahoma" w:cs="Tahoma"/>
          <w:sz w:val="20"/>
          <w:szCs w:val="20"/>
        </w:rPr>
        <w:t>«zone</w:t>
      </w:r>
      <w:proofErr w:type="gramEnd"/>
      <w:r w:rsidRPr="005E1EA7">
        <w:rPr>
          <w:rFonts w:ascii="Tahoma" w:eastAsia="EUAlbertina-Regular-Identity-H" w:hAnsi="Tahoma" w:cs="Tahoma"/>
          <w:sz w:val="20"/>
          <w:szCs w:val="20"/>
        </w:rPr>
        <w:t xml:space="preserve"> de production»: toute zone maritime, estuarienne ou lagunaire comportant des bancs naturels de mollusques bivalves ou des sites utilisés pour la culture des mollusques bivalves, dans lesquels des mollusques bivalves vivants sont récoltés ;</w:t>
      </w:r>
    </w:p>
    <w:p w14:paraId="77CA9A46"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328D5662"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 xml:space="preserve">2.6. </w:t>
      </w:r>
      <w:proofErr w:type="gramStart"/>
      <w:r w:rsidRPr="005E1EA7">
        <w:rPr>
          <w:rFonts w:ascii="Tahoma" w:eastAsia="EUAlbertina-Regular-Identity-H" w:hAnsi="Tahoma" w:cs="Tahoma"/>
          <w:sz w:val="20"/>
          <w:szCs w:val="20"/>
        </w:rPr>
        <w:t>«centre</w:t>
      </w:r>
      <w:proofErr w:type="gramEnd"/>
      <w:r w:rsidRPr="005E1EA7">
        <w:rPr>
          <w:rFonts w:ascii="Tahoma" w:eastAsia="EUAlbertina-Regular-Identity-H" w:hAnsi="Tahoma" w:cs="Tahoma"/>
          <w:sz w:val="20"/>
          <w:szCs w:val="20"/>
        </w:rPr>
        <w:t xml:space="preserve"> d’expédition»: tout établissement terrestre ou flottant, réservé à la réception, à la finition, au lavage, au nettoyage, au calibrage, au conditionnement et à l’emballage des mollusques bivalves vivants propres à la consommation humaine ;</w:t>
      </w:r>
    </w:p>
    <w:p w14:paraId="7337B71A"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3B7867EB"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 xml:space="preserve">2.7. </w:t>
      </w:r>
      <w:proofErr w:type="gramStart"/>
      <w:r w:rsidRPr="005E1EA7">
        <w:rPr>
          <w:rFonts w:ascii="Tahoma" w:eastAsia="EUAlbertina-Regular-Identity-H" w:hAnsi="Tahoma" w:cs="Tahoma"/>
          <w:sz w:val="20"/>
          <w:szCs w:val="20"/>
        </w:rPr>
        <w:t>«centre</w:t>
      </w:r>
      <w:proofErr w:type="gramEnd"/>
      <w:r w:rsidRPr="005E1EA7">
        <w:rPr>
          <w:rFonts w:ascii="Tahoma" w:eastAsia="EUAlbertina-Regular-Identity-H" w:hAnsi="Tahoma" w:cs="Tahoma"/>
          <w:sz w:val="20"/>
          <w:szCs w:val="20"/>
        </w:rPr>
        <w:t xml:space="preserve"> de purification»: un établissement disposant de bassins alimentés en eau de mer propre, dans lesquels les mollusques bivalves vivants sont placés pour toute la durée nécessaire à l’élimination des contaminants microbiologiques pour réduire la contamination afin de les rendre propres à la consommation humaine ;</w:t>
      </w:r>
    </w:p>
    <w:p w14:paraId="1537656F"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093B1C9C" w14:textId="77777777" w:rsidR="003D69A8" w:rsidRPr="005E1EA7" w:rsidRDefault="003D69A8" w:rsidP="003D69A8">
      <w:pPr>
        <w:autoSpaceDE w:val="0"/>
        <w:autoSpaceDN w:val="0"/>
        <w:adjustRightInd w:val="0"/>
        <w:jc w:val="both"/>
        <w:rPr>
          <w:rFonts w:ascii="Tahoma" w:eastAsia="EUAlbertina-Regular-Identity-H" w:hAnsi="Tahoma" w:cs="Tahoma"/>
          <w:b/>
          <w:bCs/>
          <w:sz w:val="20"/>
          <w:szCs w:val="20"/>
        </w:rPr>
      </w:pPr>
      <w:r w:rsidRPr="005E1EA7">
        <w:rPr>
          <w:rFonts w:ascii="Tahoma" w:eastAsia="EUAlbertina-Regular-Identity-H" w:hAnsi="Tahoma" w:cs="Tahoma"/>
          <w:b/>
          <w:bCs/>
          <w:sz w:val="20"/>
          <w:szCs w:val="20"/>
        </w:rPr>
        <w:t>3. Produits de la pêche</w:t>
      </w:r>
    </w:p>
    <w:p w14:paraId="3BC53283"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172F9B04"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 xml:space="preserve">3.1. </w:t>
      </w:r>
      <w:proofErr w:type="gramStart"/>
      <w:r w:rsidRPr="005E1EA7">
        <w:rPr>
          <w:rFonts w:ascii="Tahoma" w:eastAsia="EUAlbertina-Regular-Identity-H" w:hAnsi="Tahoma" w:cs="Tahoma"/>
          <w:sz w:val="20"/>
          <w:szCs w:val="20"/>
        </w:rPr>
        <w:t>«produits</w:t>
      </w:r>
      <w:proofErr w:type="gramEnd"/>
      <w:r w:rsidRPr="005E1EA7">
        <w:rPr>
          <w:rFonts w:ascii="Tahoma" w:eastAsia="EUAlbertina-Regular-Identity-H" w:hAnsi="Tahoma" w:cs="Tahoma"/>
          <w:sz w:val="20"/>
          <w:szCs w:val="20"/>
        </w:rPr>
        <w:t xml:space="preserve"> de la pêche»: tous les animaux marins (à l’exception des mollusques bivalves vivants et autres coquillages vivants et de tous les mammifères marins), sauvages ou d’élevage, y compris toutes les formes et parties comestibles de ces animaux ;</w:t>
      </w:r>
    </w:p>
    <w:p w14:paraId="185AB09D"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6A362770"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 xml:space="preserve">3.2. </w:t>
      </w:r>
      <w:proofErr w:type="gramStart"/>
      <w:r w:rsidRPr="005E1EA7">
        <w:rPr>
          <w:rFonts w:ascii="Tahoma" w:eastAsia="EUAlbertina-Regular-Identity-H" w:hAnsi="Tahoma" w:cs="Tahoma"/>
          <w:sz w:val="20"/>
          <w:szCs w:val="20"/>
        </w:rPr>
        <w:t>«navire</w:t>
      </w:r>
      <w:proofErr w:type="gramEnd"/>
      <w:r w:rsidRPr="005E1EA7">
        <w:rPr>
          <w:rFonts w:ascii="Tahoma" w:eastAsia="EUAlbertina-Regular-Identity-H" w:hAnsi="Tahoma" w:cs="Tahoma"/>
          <w:sz w:val="20"/>
          <w:szCs w:val="20"/>
        </w:rPr>
        <w:t>-usine»: tout navire à bord duquel des produits de la pêche subissent une ou plusieurs des opérations suivantes avant d’être conditionnés ou emballés et, si nécessaire, réfrigérés ou congelés : filetage, tranchage, pelage, décorticage, hachage ou transformation ;</w:t>
      </w:r>
    </w:p>
    <w:p w14:paraId="3A93DA91"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5534AF36"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 xml:space="preserve">3.3. </w:t>
      </w:r>
      <w:proofErr w:type="gramStart"/>
      <w:r w:rsidRPr="005E1EA7">
        <w:rPr>
          <w:rFonts w:ascii="Tahoma" w:eastAsia="EUAlbertina-Regular-Identity-H" w:hAnsi="Tahoma" w:cs="Tahoma"/>
          <w:sz w:val="20"/>
          <w:szCs w:val="20"/>
        </w:rPr>
        <w:t>«bateau</w:t>
      </w:r>
      <w:proofErr w:type="gramEnd"/>
      <w:r w:rsidRPr="005E1EA7">
        <w:rPr>
          <w:rFonts w:ascii="Tahoma" w:eastAsia="EUAlbertina-Regular-Identity-H" w:hAnsi="Tahoma" w:cs="Tahoma"/>
          <w:sz w:val="20"/>
          <w:szCs w:val="20"/>
        </w:rPr>
        <w:t xml:space="preserve"> congélateur»: tout bateau, de pêche ou non, à bord duquel sont congelés les produits de la pêche, le cas échéant après les premières étapes de préparation (saignée, étêtage, éviscération, enlèvement des nageoires et, si nécessaire, conditionnement et/ou emballage) ;</w:t>
      </w:r>
    </w:p>
    <w:p w14:paraId="61328FD8"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6BC53A84"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 xml:space="preserve">3.4. </w:t>
      </w:r>
      <w:proofErr w:type="gramStart"/>
      <w:r w:rsidRPr="005E1EA7">
        <w:rPr>
          <w:rFonts w:ascii="Tahoma" w:eastAsia="EUAlbertina-Regular-Identity-H" w:hAnsi="Tahoma" w:cs="Tahoma"/>
          <w:sz w:val="20"/>
          <w:szCs w:val="20"/>
        </w:rPr>
        <w:t>«produit</w:t>
      </w:r>
      <w:proofErr w:type="gramEnd"/>
      <w:r w:rsidRPr="005E1EA7">
        <w:rPr>
          <w:rFonts w:ascii="Tahoma" w:eastAsia="EUAlbertina-Regular-Identity-H" w:hAnsi="Tahoma" w:cs="Tahoma"/>
          <w:sz w:val="20"/>
          <w:szCs w:val="20"/>
        </w:rPr>
        <w:t xml:space="preserve"> de la pêche séparé mécaniquement»: tout produit obtenu par enlèvement de la chair des produits de la pêche par des moyens mécaniques qui entraînent la destruction ou la modification de la structure de la chair ;</w:t>
      </w:r>
    </w:p>
    <w:p w14:paraId="0862CD1F"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5163D8C8"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 xml:space="preserve">3.5. </w:t>
      </w:r>
      <w:proofErr w:type="gramStart"/>
      <w:r w:rsidRPr="005E1EA7">
        <w:rPr>
          <w:rFonts w:ascii="Tahoma" w:eastAsia="EUAlbertina-Regular-Identity-H" w:hAnsi="Tahoma" w:cs="Tahoma"/>
          <w:sz w:val="20"/>
          <w:szCs w:val="20"/>
        </w:rPr>
        <w:t>«produit</w:t>
      </w:r>
      <w:proofErr w:type="gramEnd"/>
      <w:r w:rsidRPr="005E1EA7">
        <w:rPr>
          <w:rFonts w:ascii="Tahoma" w:eastAsia="EUAlbertina-Regular-Identity-H" w:hAnsi="Tahoma" w:cs="Tahoma"/>
          <w:sz w:val="20"/>
          <w:szCs w:val="20"/>
        </w:rPr>
        <w:t xml:space="preserve"> frais de la pêche»: tout produit de la pêche non transformé, entier ou préparé, y compris les produits conditionnés sous vide ou en atmosphère modifiée, qui n’a subi aucun traitement autre que la réfrigération en vue de sa conservation ;</w:t>
      </w:r>
    </w:p>
    <w:p w14:paraId="7E80452C"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19EAA4FE"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 xml:space="preserve">3.6. </w:t>
      </w:r>
      <w:proofErr w:type="gramStart"/>
      <w:r w:rsidRPr="005E1EA7">
        <w:rPr>
          <w:rFonts w:ascii="Tahoma" w:eastAsia="EUAlbertina-Regular-Identity-H" w:hAnsi="Tahoma" w:cs="Tahoma"/>
          <w:sz w:val="20"/>
          <w:szCs w:val="20"/>
        </w:rPr>
        <w:t>«produit</w:t>
      </w:r>
      <w:proofErr w:type="gramEnd"/>
      <w:r w:rsidRPr="005E1EA7">
        <w:rPr>
          <w:rFonts w:ascii="Tahoma" w:eastAsia="EUAlbertina-Regular-Identity-H" w:hAnsi="Tahoma" w:cs="Tahoma"/>
          <w:sz w:val="20"/>
          <w:szCs w:val="20"/>
        </w:rPr>
        <w:t xml:space="preserve"> préparé de la pêche»: tout produit de la pêche non transformé qui a subi une opération modifiant son intégrité anatomique, telle que l’éviscération, l’étêtage, le tranchage, le filetage et le hachage ;</w:t>
      </w:r>
    </w:p>
    <w:p w14:paraId="59C86F6D"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7967898D"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 xml:space="preserve">3.7. </w:t>
      </w:r>
      <w:proofErr w:type="gramStart"/>
      <w:r w:rsidRPr="005E1EA7">
        <w:rPr>
          <w:rFonts w:ascii="Tahoma" w:eastAsia="EUAlbertina-Regular-Identity-H" w:hAnsi="Tahoma" w:cs="Tahoma"/>
          <w:sz w:val="20"/>
          <w:szCs w:val="20"/>
        </w:rPr>
        <w:t>«produit</w:t>
      </w:r>
      <w:proofErr w:type="gramEnd"/>
      <w:r w:rsidRPr="005E1EA7">
        <w:rPr>
          <w:rFonts w:ascii="Tahoma" w:eastAsia="EUAlbertina-Regular-Identity-H" w:hAnsi="Tahoma" w:cs="Tahoma"/>
          <w:sz w:val="20"/>
          <w:szCs w:val="20"/>
        </w:rPr>
        <w:t xml:space="preserve"> transformé de la pêche»: les produits transformés résultant de la transformation de produits de la pêche ou d’une nouvelle transformation de ces produits transformés ;</w:t>
      </w:r>
    </w:p>
    <w:p w14:paraId="1414E814"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0117F281"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 xml:space="preserve">3.8. </w:t>
      </w:r>
      <w:proofErr w:type="gramStart"/>
      <w:r w:rsidRPr="005E1EA7">
        <w:rPr>
          <w:rFonts w:ascii="Tahoma" w:eastAsia="EUAlbertina-Regular-Identity-H" w:hAnsi="Tahoma" w:cs="Tahoma"/>
          <w:sz w:val="20"/>
          <w:szCs w:val="20"/>
        </w:rPr>
        <w:t>«marché</w:t>
      </w:r>
      <w:proofErr w:type="gramEnd"/>
      <w:r w:rsidRPr="005E1EA7">
        <w:rPr>
          <w:rFonts w:ascii="Tahoma" w:eastAsia="EUAlbertina-Regular-Identity-H" w:hAnsi="Tahoma" w:cs="Tahoma"/>
          <w:sz w:val="20"/>
          <w:szCs w:val="20"/>
        </w:rPr>
        <w:t xml:space="preserve"> de gros»: entreprise du secteur des produits de la pêche comprenant plusieurs unités séparées ayant en commun des installations et des sections où les produits de la pêche sont vendues à des exploitants de ce secteur.</w:t>
      </w:r>
    </w:p>
    <w:p w14:paraId="0EBEEAED" w14:textId="77777777" w:rsidR="003D69A8" w:rsidRPr="005E1EA7" w:rsidRDefault="003D69A8" w:rsidP="003D69A8">
      <w:pPr>
        <w:autoSpaceDE w:val="0"/>
        <w:autoSpaceDN w:val="0"/>
        <w:adjustRightInd w:val="0"/>
        <w:jc w:val="center"/>
        <w:rPr>
          <w:rFonts w:ascii="Tahoma" w:eastAsia="EUAlbertina-Regular-Identity-H" w:hAnsi="Tahoma" w:cs="Tahoma"/>
          <w:b/>
          <w:bCs/>
          <w:sz w:val="20"/>
          <w:szCs w:val="20"/>
        </w:rPr>
      </w:pPr>
    </w:p>
    <w:p w14:paraId="4D473215" w14:textId="77777777" w:rsidR="003D69A8" w:rsidRPr="005E1EA7" w:rsidRDefault="003D69A8" w:rsidP="003D69A8">
      <w:pPr>
        <w:autoSpaceDE w:val="0"/>
        <w:autoSpaceDN w:val="0"/>
        <w:adjustRightInd w:val="0"/>
        <w:jc w:val="center"/>
        <w:rPr>
          <w:rFonts w:ascii="Tahoma" w:eastAsia="EUAlbertina-Bold-Identity-H" w:hAnsi="Tahoma" w:cs="Tahoma"/>
          <w:b/>
          <w:bCs/>
          <w:sz w:val="20"/>
          <w:szCs w:val="20"/>
        </w:rPr>
      </w:pPr>
      <w:r w:rsidRPr="005E1EA7">
        <w:rPr>
          <w:rFonts w:ascii="Tahoma" w:eastAsia="EUAlbertina-Regular-Identity-H" w:hAnsi="Tahoma" w:cs="Tahoma"/>
          <w:b/>
          <w:bCs/>
          <w:sz w:val="20"/>
          <w:szCs w:val="20"/>
        </w:rPr>
        <w:t xml:space="preserve">CHAPITRE II </w:t>
      </w:r>
      <w:r w:rsidRPr="005E1EA7">
        <w:rPr>
          <w:rFonts w:ascii="Tahoma" w:eastAsia="EUAlbertina-Bold-Identity-H" w:hAnsi="Tahoma" w:cs="Tahoma"/>
          <w:b/>
          <w:bCs/>
          <w:sz w:val="20"/>
          <w:szCs w:val="20"/>
        </w:rPr>
        <w:t>OBLIGATIONS DES EXPLOITANTS DU SECTEUR DES PRODUITS DE LA PECHE</w:t>
      </w:r>
    </w:p>
    <w:p w14:paraId="3F592682" w14:textId="77777777" w:rsidR="003D69A8" w:rsidRPr="005E1EA7" w:rsidRDefault="003D69A8" w:rsidP="003D69A8">
      <w:pPr>
        <w:autoSpaceDE w:val="0"/>
        <w:autoSpaceDN w:val="0"/>
        <w:adjustRightInd w:val="0"/>
        <w:jc w:val="center"/>
        <w:rPr>
          <w:rFonts w:ascii="Tahoma" w:eastAsia="EUAlbertina-Italic-Identity-H" w:hAnsi="Tahoma" w:cs="Tahoma"/>
          <w:i/>
          <w:iCs/>
          <w:sz w:val="20"/>
          <w:szCs w:val="20"/>
        </w:rPr>
      </w:pPr>
    </w:p>
    <w:p w14:paraId="5A272769" w14:textId="77777777" w:rsidR="003D69A8" w:rsidRPr="005E1EA7" w:rsidRDefault="003D69A8" w:rsidP="003D69A8">
      <w:pPr>
        <w:autoSpaceDE w:val="0"/>
        <w:autoSpaceDN w:val="0"/>
        <w:adjustRightInd w:val="0"/>
        <w:jc w:val="both"/>
        <w:rPr>
          <w:rFonts w:ascii="Tahoma" w:eastAsia="EUAlbertina-Bold-Identity-H" w:hAnsi="Tahoma" w:cs="Tahoma"/>
          <w:sz w:val="20"/>
          <w:szCs w:val="20"/>
        </w:rPr>
      </w:pPr>
      <w:r w:rsidRPr="005E1EA7">
        <w:rPr>
          <w:rFonts w:ascii="Tahoma" w:eastAsia="EUAlbertina-Italic-Identity-H" w:hAnsi="Tahoma" w:cs="Tahoma"/>
          <w:b/>
          <w:sz w:val="20"/>
          <w:szCs w:val="20"/>
          <w:u w:val="single"/>
        </w:rPr>
        <w:t>Article 3</w:t>
      </w:r>
      <w:r w:rsidRPr="005E1EA7">
        <w:rPr>
          <w:rFonts w:ascii="Tahoma" w:eastAsia="EUAlbertina-Italic-Identity-H" w:hAnsi="Tahoma" w:cs="Tahoma"/>
          <w:sz w:val="20"/>
          <w:szCs w:val="20"/>
        </w:rPr>
        <w:t xml:space="preserve"> : </w:t>
      </w:r>
      <w:r w:rsidRPr="005E1EA7">
        <w:rPr>
          <w:rFonts w:ascii="Tahoma" w:eastAsia="EUAlbertina-Bold-Identity-H" w:hAnsi="Tahoma" w:cs="Tahoma"/>
          <w:sz w:val="20"/>
          <w:szCs w:val="20"/>
        </w:rPr>
        <w:t>Obligation générale</w:t>
      </w:r>
    </w:p>
    <w:p w14:paraId="2B1FCD59" w14:textId="77777777" w:rsidR="003D69A8" w:rsidRPr="005E1EA7" w:rsidRDefault="003D69A8" w:rsidP="003D69A8">
      <w:pPr>
        <w:autoSpaceDE w:val="0"/>
        <w:autoSpaceDN w:val="0"/>
        <w:adjustRightInd w:val="0"/>
        <w:jc w:val="both"/>
        <w:rPr>
          <w:rFonts w:ascii="Tahoma" w:eastAsia="EUAlbertina-Bold-Identity-H" w:hAnsi="Tahoma" w:cs="Tahoma"/>
          <w:sz w:val="20"/>
          <w:szCs w:val="20"/>
        </w:rPr>
      </w:pPr>
    </w:p>
    <w:p w14:paraId="7E159FE0"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Les exploitants du secteur halieutique veillent à ce que toutes les étapes de la production, de la transformation et de la distribution des mollusques bivalves vivants et des produits de la pêche sous leur responsabilité soient conformes aux exigences pertinentes en matière d’hygiène fixées par le présent arrêté.</w:t>
      </w:r>
    </w:p>
    <w:p w14:paraId="1EA35EB2"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7C7491FA"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1F111052" w14:textId="77777777" w:rsidR="003D69A8" w:rsidRPr="005E1EA7" w:rsidRDefault="003D69A8" w:rsidP="003D69A8">
      <w:pPr>
        <w:autoSpaceDE w:val="0"/>
        <w:autoSpaceDN w:val="0"/>
        <w:adjustRightInd w:val="0"/>
        <w:jc w:val="both"/>
        <w:rPr>
          <w:rFonts w:ascii="Tahoma" w:eastAsia="EUAlbertina-Bold-Identity-H" w:hAnsi="Tahoma" w:cs="Tahoma"/>
          <w:sz w:val="20"/>
          <w:szCs w:val="20"/>
        </w:rPr>
      </w:pPr>
      <w:r w:rsidRPr="005E1EA7">
        <w:rPr>
          <w:rFonts w:ascii="Tahoma" w:eastAsia="EUAlbertina-Italic-Identity-H" w:hAnsi="Tahoma" w:cs="Tahoma"/>
          <w:b/>
          <w:sz w:val="20"/>
          <w:szCs w:val="20"/>
          <w:u w:val="single"/>
        </w:rPr>
        <w:t>Article 4</w:t>
      </w:r>
      <w:r w:rsidRPr="005E1EA7">
        <w:rPr>
          <w:rFonts w:ascii="Tahoma" w:eastAsia="EUAlbertina-Italic-Identity-H" w:hAnsi="Tahoma" w:cs="Tahoma"/>
          <w:sz w:val="20"/>
          <w:szCs w:val="20"/>
        </w:rPr>
        <w:t xml:space="preserve"> : </w:t>
      </w:r>
      <w:r w:rsidRPr="005E1EA7">
        <w:rPr>
          <w:rFonts w:ascii="Tahoma" w:eastAsia="EUAlbertina-Bold-Identity-H" w:hAnsi="Tahoma" w:cs="Tahoma"/>
          <w:sz w:val="20"/>
          <w:szCs w:val="20"/>
        </w:rPr>
        <w:t>Exigences générales et spécifiques d’hygiène, et en matière de normes de commercialisation pour certains produits de la pêche, d’additifs et d’auxiliaires technologiques</w:t>
      </w:r>
    </w:p>
    <w:p w14:paraId="6CABCDDD" w14:textId="77777777" w:rsidR="003D69A8" w:rsidRPr="005E1EA7" w:rsidRDefault="003D69A8" w:rsidP="003D69A8">
      <w:pPr>
        <w:autoSpaceDE w:val="0"/>
        <w:autoSpaceDN w:val="0"/>
        <w:adjustRightInd w:val="0"/>
        <w:jc w:val="both"/>
        <w:rPr>
          <w:rFonts w:ascii="Tahoma" w:eastAsia="EUAlbertina-Bold-Identity-H" w:hAnsi="Tahoma" w:cs="Tahoma"/>
          <w:sz w:val="20"/>
          <w:szCs w:val="20"/>
        </w:rPr>
      </w:pPr>
    </w:p>
    <w:p w14:paraId="16057A58"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1. Les exploitants du secteur halieutique prennent, le cas échéant, les mesures spécifiques suivantes :</w:t>
      </w:r>
    </w:p>
    <w:p w14:paraId="6B333A63"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2753DF8D" w14:textId="77777777" w:rsidR="003D69A8" w:rsidRPr="005E1EA7" w:rsidRDefault="003D69A8" w:rsidP="003D69A8">
      <w:pPr>
        <w:numPr>
          <w:ilvl w:val="0"/>
          <w:numId w:val="9"/>
        </w:numPr>
        <w:autoSpaceDE w:val="0"/>
        <w:autoSpaceDN w:val="0"/>
        <w:adjustRightInd w:val="0"/>
        <w:jc w:val="both"/>
        <w:rPr>
          <w:rFonts w:ascii="Tahoma" w:eastAsia="EUAlbertina-Regular-Identity-H" w:hAnsi="Tahoma" w:cs="Tahoma"/>
          <w:sz w:val="20"/>
          <w:szCs w:val="20"/>
        </w:rPr>
      </w:pPr>
      <w:proofErr w:type="gramStart"/>
      <w:r w:rsidRPr="005E1EA7">
        <w:rPr>
          <w:rFonts w:ascii="Tahoma" w:eastAsia="EUAlbertina-Regular-Identity-H" w:hAnsi="Tahoma" w:cs="Tahoma"/>
          <w:sz w:val="20"/>
          <w:szCs w:val="20"/>
        </w:rPr>
        <w:t>respect</w:t>
      </w:r>
      <w:proofErr w:type="gramEnd"/>
      <w:r w:rsidRPr="005E1EA7">
        <w:rPr>
          <w:rFonts w:ascii="Tahoma" w:eastAsia="EUAlbertina-Regular-Identity-H" w:hAnsi="Tahoma" w:cs="Tahoma"/>
          <w:sz w:val="20"/>
          <w:szCs w:val="20"/>
        </w:rPr>
        <w:t xml:space="preserve"> des critères microbiologiques, biotoxines marines et chimiques applicables aux mollusques bivalves et aux produits de la pêche tels que fixés par la réglementation en vigueur ; </w:t>
      </w:r>
    </w:p>
    <w:p w14:paraId="57B3FA2A" w14:textId="77777777" w:rsidR="003D69A8" w:rsidRPr="005E1EA7" w:rsidRDefault="003D69A8" w:rsidP="003D69A8">
      <w:pPr>
        <w:numPr>
          <w:ilvl w:val="0"/>
          <w:numId w:val="9"/>
        </w:numPr>
        <w:autoSpaceDE w:val="0"/>
        <w:autoSpaceDN w:val="0"/>
        <w:adjustRightInd w:val="0"/>
        <w:jc w:val="both"/>
        <w:rPr>
          <w:rFonts w:ascii="Tahoma" w:hAnsi="Tahoma" w:cs="Tahoma"/>
          <w:sz w:val="20"/>
          <w:szCs w:val="20"/>
        </w:rPr>
      </w:pPr>
      <w:proofErr w:type="gramStart"/>
      <w:r w:rsidRPr="005E1EA7">
        <w:rPr>
          <w:rFonts w:ascii="Tahoma" w:hAnsi="Tahoma" w:cs="Tahoma"/>
          <w:sz w:val="20"/>
          <w:szCs w:val="20"/>
        </w:rPr>
        <w:t>respect</w:t>
      </w:r>
      <w:proofErr w:type="gramEnd"/>
      <w:r w:rsidRPr="005E1EA7">
        <w:rPr>
          <w:rFonts w:ascii="Tahoma" w:hAnsi="Tahoma" w:cs="Tahoma"/>
          <w:sz w:val="20"/>
          <w:szCs w:val="20"/>
        </w:rPr>
        <w:t xml:space="preserve"> des normes de commercialisation : catégories de fraîcheur et catégories de calibrage des produits de la pêche fixés dans les annexes IV de l’arrêté relatif aux critères microbiologiques, chimiques et biotoxines marines applicables aux produits de la pêche et de l’aquaculture et les méthodes d’analyse à utiliser ;</w:t>
      </w:r>
    </w:p>
    <w:p w14:paraId="2E910436"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0C5B5520" w14:textId="77777777" w:rsidR="003D69A8" w:rsidRPr="005E1EA7" w:rsidRDefault="003D69A8" w:rsidP="003D69A8">
      <w:pPr>
        <w:numPr>
          <w:ilvl w:val="0"/>
          <w:numId w:val="9"/>
        </w:numPr>
        <w:autoSpaceDE w:val="0"/>
        <w:autoSpaceDN w:val="0"/>
        <w:adjustRightInd w:val="0"/>
        <w:jc w:val="both"/>
        <w:rPr>
          <w:rFonts w:ascii="Tahoma" w:eastAsia="EUAlbertina-Regular-Identity-H" w:hAnsi="Tahoma" w:cs="Tahoma"/>
          <w:sz w:val="20"/>
          <w:szCs w:val="20"/>
        </w:rPr>
      </w:pPr>
      <w:proofErr w:type="gramStart"/>
      <w:r w:rsidRPr="005E1EA7">
        <w:rPr>
          <w:rFonts w:ascii="Tahoma" w:hAnsi="Tahoma" w:cs="Tahoma"/>
          <w:sz w:val="20"/>
          <w:szCs w:val="20"/>
        </w:rPr>
        <w:t>respect</w:t>
      </w:r>
      <w:proofErr w:type="gramEnd"/>
      <w:r w:rsidRPr="005E1EA7">
        <w:rPr>
          <w:rFonts w:ascii="Tahoma" w:hAnsi="Tahoma" w:cs="Tahoma"/>
          <w:sz w:val="20"/>
          <w:szCs w:val="20"/>
        </w:rPr>
        <w:t xml:space="preserve"> des additifs et auxiliaires technologiques autorisés dans les poissons, crustacés, autres animaux marins et dans les préparations dérivées de ces produits fixés dans l’annexe VI</w:t>
      </w:r>
      <w:r w:rsidRPr="005E1EA7">
        <w:rPr>
          <w:rFonts w:ascii="Tahoma" w:eastAsia="EUAlbertina-Regular-Identity-H" w:hAnsi="Tahoma" w:cs="Tahoma"/>
          <w:sz w:val="20"/>
          <w:szCs w:val="20"/>
        </w:rPr>
        <w:t xml:space="preserve"> de l’arrêté relatif aux critères microbiologiques, chimiques et biotoxines marines applicables aux produits de la pêche et de l’aquaculture et les méthodes d’analyse à utiliser </w:t>
      </w:r>
      <w:r w:rsidRPr="005E1EA7">
        <w:rPr>
          <w:rFonts w:ascii="Tahoma" w:hAnsi="Tahoma" w:cs="Tahoma"/>
          <w:sz w:val="20"/>
          <w:szCs w:val="20"/>
        </w:rPr>
        <w:t>;</w:t>
      </w:r>
    </w:p>
    <w:p w14:paraId="26DD675F" w14:textId="77777777" w:rsidR="003D69A8" w:rsidRPr="005E1EA7" w:rsidRDefault="003D69A8" w:rsidP="003D69A8">
      <w:pPr>
        <w:autoSpaceDE w:val="0"/>
        <w:autoSpaceDN w:val="0"/>
        <w:adjustRightInd w:val="0"/>
        <w:ind w:left="360"/>
        <w:jc w:val="both"/>
        <w:rPr>
          <w:rFonts w:ascii="Tahoma" w:eastAsia="EUAlbertina-Regular-Identity-H" w:hAnsi="Tahoma" w:cs="Tahoma"/>
          <w:sz w:val="20"/>
          <w:szCs w:val="20"/>
        </w:rPr>
      </w:pPr>
    </w:p>
    <w:p w14:paraId="16D36A93" w14:textId="77777777" w:rsidR="003D69A8" w:rsidRPr="005E1EA7" w:rsidRDefault="003D69A8" w:rsidP="003D69A8">
      <w:pPr>
        <w:numPr>
          <w:ilvl w:val="0"/>
          <w:numId w:val="9"/>
        </w:numPr>
        <w:autoSpaceDE w:val="0"/>
        <w:autoSpaceDN w:val="0"/>
        <w:adjustRightInd w:val="0"/>
        <w:jc w:val="both"/>
        <w:rPr>
          <w:rFonts w:ascii="Tahoma" w:eastAsia="EUAlbertina-Regular-Identity-H" w:hAnsi="Tahoma" w:cs="Tahoma"/>
          <w:sz w:val="20"/>
          <w:szCs w:val="20"/>
        </w:rPr>
      </w:pPr>
      <w:proofErr w:type="gramStart"/>
      <w:r w:rsidRPr="005E1EA7">
        <w:rPr>
          <w:rFonts w:ascii="Tahoma" w:eastAsia="EUAlbertina-Regular-Identity-H" w:hAnsi="Tahoma" w:cs="Tahoma"/>
          <w:sz w:val="20"/>
          <w:szCs w:val="20"/>
        </w:rPr>
        <w:t>procédures</w:t>
      </w:r>
      <w:proofErr w:type="gramEnd"/>
      <w:r w:rsidRPr="005E1EA7">
        <w:rPr>
          <w:rFonts w:ascii="Tahoma" w:eastAsia="EUAlbertina-Regular-Identity-H" w:hAnsi="Tahoma" w:cs="Tahoma"/>
          <w:sz w:val="20"/>
          <w:szCs w:val="20"/>
        </w:rPr>
        <w:t xml:space="preserve"> nécessaires pour atteindre les objectifs fixés afin que le présent arrêté atteigne son but ;</w:t>
      </w:r>
    </w:p>
    <w:p w14:paraId="47AC52AF" w14:textId="77777777" w:rsidR="003D69A8" w:rsidRPr="005E1EA7" w:rsidRDefault="003D69A8" w:rsidP="003D69A8">
      <w:pPr>
        <w:autoSpaceDE w:val="0"/>
        <w:autoSpaceDN w:val="0"/>
        <w:adjustRightInd w:val="0"/>
        <w:ind w:left="360"/>
        <w:jc w:val="both"/>
        <w:rPr>
          <w:rFonts w:ascii="Tahoma" w:eastAsia="EUAlbertina-Regular-Identity-H" w:hAnsi="Tahoma" w:cs="Tahoma"/>
          <w:sz w:val="20"/>
          <w:szCs w:val="20"/>
        </w:rPr>
      </w:pPr>
    </w:p>
    <w:p w14:paraId="38ECCFC7" w14:textId="77777777" w:rsidR="003D69A8" w:rsidRPr="005E1EA7" w:rsidRDefault="003D69A8" w:rsidP="003D69A8">
      <w:pPr>
        <w:numPr>
          <w:ilvl w:val="0"/>
          <w:numId w:val="9"/>
        </w:numPr>
        <w:autoSpaceDE w:val="0"/>
        <w:autoSpaceDN w:val="0"/>
        <w:adjustRightInd w:val="0"/>
        <w:jc w:val="both"/>
        <w:rPr>
          <w:rFonts w:ascii="Tahoma" w:eastAsia="EUAlbertina-Regular-Identity-H" w:hAnsi="Tahoma" w:cs="Tahoma"/>
          <w:sz w:val="20"/>
          <w:szCs w:val="20"/>
        </w:rPr>
      </w:pPr>
      <w:proofErr w:type="gramStart"/>
      <w:r w:rsidRPr="005E1EA7">
        <w:rPr>
          <w:rFonts w:ascii="Tahoma" w:eastAsia="EUAlbertina-Regular-Identity-H" w:hAnsi="Tahoma" w:cs="Tahoma"/>
          <w:sz w:val="20"/>
          <w:szCs w:val="20"/>
        </w:rPr>
        <w:t>respect</w:t>
      </w:r>
      <w:proofErr w:type="gramEnd"/>
      <w:r w:rsidRPr="005E1EA7">
        <w:rPr>
          <w:rFonts w:ascii="Tahoma" w:eastAsia="EUAlbertina-Regular-Identity-H" w:hAnsi="Tahoma" w:cs="Tahoma"/>
          <w:sz w:val="20"/>
          <w:szCs w:val="20"/>
        </w:rPr>
        <w:t xml:space="preserve"> des exigences en matière de contrôle de la température applicables aux mollusques bivalves vivants, et maintien de la chaîne du froid pour les produits de la pêche ;</w:t>
      </w:r>
    </w:p>
    <w:p w14:paraId="6FEBD4B7" w14:textId="77777777" w:rsidR="003D69A8" w:rsidRPr="005E1EA7" w:rsidRDefault="003D69A8" w:rsidP="003D69A8">
      <w:pPr>
        <w:autoSpaceDE w:val="0"/>
        <w:autoSpaceDN w:val="0"/>
        <w:adjustRightInd w:val="0"/>
        <w:ind w:left="360"/>
        <w:jc w:val="both"/>
        <w:rPr>
          <w:rFonts w:ascii="Tahoma" w:eastAsia="EUAlbertina-Regular-Identity-H" w:hAnsi="Tahoma" w:cs="Tahoma"/>
          <w:sz w:val="20"/>
          <w:szCs w:val="20"/>
        </w:rPr>
      </w:pPr>
    </w:p>
    <w:p w14:paraId="454C5F00" w14:textId="77777777" w:rsidR="003D69A8" w:rsidRPr="005E1EA7" w:rsidRDefault="003D69A8" w:rsidP="003D69A8">
      <w:pPr>
        <w:numPr>
          <w:ilvl w:val="0"/>
          <w:numId w:val="9"/>
        </w:numPr>
        <w:autoSpaceDE w:val="0"/>
        <w:autoSpaceDN w:val="0"/>
        <w:adjustRightInd w:val="0"/>
        <w:jc w:val="both"/>
        <w:rPr>
          <w:rFonts w:ascii="Tahoma" w:eastAsia="EUAlbertina-Regular-Identity-H" w:hAnsi="Tahoma" w:cs="Tahoma"/>
          <w:sz w:val="20"/>
          <w:szCs w:val="20"/>
        </w:rPr>
      </w:pPr>
      <w:proofErr w:type="gramStart"/>
      <w:r w:rsidRPr="005E1EA7">
        <w:rPr>
          <w:rFonts w:ascii="Tahoma" w:eastAsia="EUAlbertina-Regular-Identity-H" w:hAnsi="Tahoma" w:cs="Tahoma"/>
          <w:sz w:val="20"/>
          <w:szCs w:val="20"/>
        </w:rPr>
        <w:t>prélèvement</w:t>
      </w:r>
      <w:proofErr w:type="gramEnd"/>
      <w:r w:rsidRPr="005E1EA7">
        <w:rPr>
          <w:rFonts w:ascii="Tahoma" w:eastAsia="EUAlbertina-Regular-Identity-H" w:hAnsi="Tahoma" w:cs="Tahoma"/>
          <w:sz w:val="20"/>
          <w:szCs w:val="20"/>
        </w:rPr>
        <w:t xml:space="preserve"> d’échantillons et analyses. </w:t>
      </w:r>
    </w:p>
    <w:p w14:paraId="1DE559D8"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02B47AF4"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2. Lorsque cela est exigé, les exploitants veillent à ce que des certificats sanitaires ou autres documents accompagnent les lots de produits de la pêche. Des documents types peuvent être établis, y compris de type électronique.</w:t>
      </w:r>
    </w:p>
    <w:p w14:paraId="60DDA10E"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31787BB1" w14:textId="77777777" w:rsidR="003D69A8" w:rsidRPr="005E1EA7" w:rsidRDefault="003D69A8" w:rsidP="003D69A8">
      <w:pPr>
        <w:spacing w:after="240"/>
        <w:jc w:val="both"/>
        <w:rPr>
          <w:rFonts w:ascii="Tahoma" w:hAnsi="Tahoma" w:cs="Tahoma"/>
          <w:iCs/>
          <w:sz w:val="20"/>
          <w:szCs w:val="20"/>
        </w:rPr>
      </w:pPr>
      <w:r w:rsidRPr="005E1EA7">
        <w:rPr>
          <w:rFonts w:ascii="Tahoma" w:hAnsi="Tahoma" w:cs="Tahoma"/>
          <w:iCs/>
          <w:sz w:val="20"/>
          <w:szCs w:val="20"/>
        </w:rPr>
        <w:t>3. Si un exploitant du secteur de la pêche considère ou a des raisons de penser que le produit, transformé, fabriqué ou distribué par son entreprise présente un risque sanitaire pour la consommation humaine, il engage immédiatement les procédures de retrait du marché du produit en question. Lorsque le produit ne se trouve plus sous le contrôle direct du premier client, il en informe l’Autorité compétente ou l’organisme chargé du contrôle officiel.</w:t>
      </w:r>
    </w:p>
    <w:p w14:paraId="762E0B77" w14:textId="77777777" w:rsidR="003D69A8" w:rsidRPr="005E1EA7" w:rsidRDefault="003D69A8" w:rsidP="003D69A8">
      <w:pPr>
        <w:spacing w:after="240"/>
        <w:jc w:val="both"/>
        <w:rPr>
          <w:rFonts w:ascii="Tahoma" w:hAnsi="Tahoma" w:cs="Tahoma"/>
          <w:iCs/>
          <w:sz w:val="20"/>
          <w:szCs w:val="20"/>
        </w:rPr>
      </w:pPr>
      <w:r w:rsidRPr="005E1EA7">
        <w:rPr>
          <w:rFonts w:ascii="Tahoma" w:hAnsi="Tahoma" w:cs="Tahoma"/>
          <w:iCs/>
          <w:sz w:val="20"/>
          <w:szCs w:val="20"/>
        </w:rPr>
        <w:t>4. Si toutefois, le produit peut avoir atteint le consommateur, l'exploitant informe les consommateurs de façon effective et précise les raisons du retrait et, au besoin, rappelle les produits déjà fournis aux consommateurs lorsque les autres mesures sont insuffisantes pour atteindre un niveau élevé de protection de la santé des consommateurs.</w:t>
      </w:r>
    </w:p>
    <w:p w14:paraId="5F7AD016" w14:textId="77777777" w:rsidR="003D69A8" w:rsidRPr="005E1EA7" w:rsidRDefault="003D69A8" w:rsidP="003D69A8">
      <w:pPr>
        <w:spacing w:after="240"/>
        <w:jc w:val="both"/>
        <w:rPr>
          <w:rFonts w:ascii="Tahoma" w:hAnsi="Tahoma" w:cs="Tahoma"/>
          <w:iCs/>
          <w:sz w:val="20"/>
          <w:szCs w:val="20"/>
        </w:rPr>
      </w:pPr>
      <w:r w:rsidRPr="005E1EA7">
        <w:rPr>
          <w:rFonts w:ascii="Tahoma" w:hAnsi="Tahoma" w:cs="Tahoma"/>
          <w:iCs/>
          <w:sz w:val="20"/>
          <w:szCs w:val="20"/>
        </w:rPr>
        <w:t>5. Les exploitants du secteur de la pêche sont tenus de collaborer avec les autorités compétentes ou l’organisme chargé du contrôle officiel en ce qui concerne les actions engagées pour éviter ou réduire les risques présentés par un produit qu’ils ont mis sur le marché. »</w:t>
      </w:r>
    </w:p>
    <w:p w14:paraId="058DBF93" w14:textId="77777777" w:rsidR="003D69A8" w:rsidRPr="005E1EA7" w:rsidRDefault="003D69A8" w:rsidP="003D69A8">
      <w:pPr>
        <w:spacing w:after="120" w:line="240" w:lineRule="atLeast"/>
        <w:jc w:val="both"/>
        <w:rPr>
          <w:rFonts w:ascii="Tahoma" w:hAnsi="Tahoma" w:cs="Tahoma"/>
          <w:b/>
          <w:iCs/>
          <w:sz w:val="20"/>
          <w:szCs w:val="20"/>
        </w:rPr>
      </w:pPr>
      <w:r w:rsidRPr="005E1EA7">
        <w:rPr>
          <w:rFonts w:ascii="Tahoma" w:hAnsi="Tahoma" w:cs="Tahoma"/>
          <w:b/>
          <w:bCs/>
          <w:iCs/>
          <w:sz w:val="20"/>
          <w:szCs w:val="20"/>
          <w:u w:val="single"/>
        </w:rPr>
        <w:t>Article 5</w:t>
      </w:r>
      <w:r w:rsidRPr="005E1EA7">
        <w:rPr>
          <w:rFonts w:ascii="Tahoma" w:hAnsi="Tahoma" w:cs="Tahoma"/>
          <w:iCs/>
          <w:sz w:val="20"/>
          <w:szCs w:val="20"/>
        </w:rPr>
        <w:t> :</w:t>
      </w:r>
      <w:r w:rsidRPr="005E1EA7">
        <w:rPr>
          <w:rFonts w:ascii="Tahoma" w:hAnsi="Tahoma" w:cs="Tahoma"/>
          <w:b/>
          <w:bCs/>
          <w:iCs/>
          <w:sz w:val="20"/>
          <w:szCs w:val="20"/>
        </w:rPr>
        <w:t xml:space="preserve"> </w:t>
      </w:r>
      <w:r w:rsidRPr="005E1EA7">
        <w:rPr>
          <w:rFonts w:ascii="Tahoma" w:eastAsia="EUAlbertina-Bold-Identity-H" w:hAnsi="Tahoma" w:cs="Tahoma"/>
          <w:iCs/>
          <w:sz w:val="20"/>
          <w:szCs w:val="20"/>
        </w:rPr>
        <w:t>Exigences générales en matière de t</w:t>
      </w:r>
      <w:r w:rsidRPr="005E1EA7">
        <w:rPr>
          <w:rFonts w:ascii="Tahoma" w:hAnsi="Tahoma" w:cs="Tahoma"/>
          <w:iCs/>
          <w:sz w:val="20"/>
          <w:szCs w:val="20"/>
        </w:rPr>
        <w:t>raçabilité</w:t>
      </w:r>
    </w:p>
    <w:p w14:paraId="29FB2D3D" w14:textId="77777777" w:rsidR="003D69A8" w:rsidRPr="005E1EA7" w:rsidRDefault="003D69A8" w:rsidP="003D69A8">
      <w:pPr>
        <w:spacing w:after="120"/>
        <w:jc w:val="both"/>
        <w:rPr>
          <w:rFonts w:ascii="Tahoma" w:hAnsi="Tahoma" w:cs="Tahoma"/>
          <w:iCs/>
          <w:sz w:val="20"/>
          <w:szCs w:val="20"/>
        </w:rPr>
      </w:pPr>
      <w:r w:rsidRPr="005E1EA7">
        <w:rPr>
          <w:rFonts w:ascii="Tahoma" w:hAnsi="Tahoma" w:cs="Tahoma"/>
          <w:iCs/>
          <w:sz w:val="20"/>
          <w:szCs w:val="20"/>
        </w:rPr>
        <w:t>1. Les exploitants du secteur de la pêche sont tenus à établir la traçabilité de leurs produits à toutes les étapes de la production, de la transformation et de la distribution.</w:t>
      </w:r>
    </w:p>
    <w:p w14:paraId="240357E6" w14:textId="77777777" w:rsidR="003D69A8" w:rsidRPr="005E1EA7" w:rsidRDefault="003D69A8" w:rsidP="003D69A8">
      <w:pPr>
        <w:spacing w:after="120"/>
        <w:jc w:val="both"/>
        <w:rPr>
          <w:rFonts w:ascii="Tahoma" w:hAnsi="Tahoma" w:cs="Tahoma"/>
          <w:iCs/>
          <w:sz w:val="20"/>
          <w:szCs w:val="20"/>
        </w:rPr>
      </w:pPr>
      <w:r w:rsidRPr="005E1EA7">
        <w:rPr>
          <w:rFonts w:ascii="Tahoma" w:hAnsi="Tahoma" w:cs="Tahoma"/>
          <w:iCs/>
          <w:sz w:val="20"/>
          <w:szCs w:val="20"/>
        </w:rPr>
        <w:t>2. Les exploitants du secteur de la pêche doivent être en mesure d'identifier toute personne leur ayant fourni des produits halieutiques, ou toute substance destinée à être incorporée ou susceptible d'être incorporée dans les produits de la pêche. À cet effet, ces exploitants disposent de systèmes et de procédures permettant de mettre l'information en question à la disposition de l’autorité compétente, à la demande de celle-ci.</w:t>
      </w:r>
    </w:p>
    <w:p w14:paraId="2F4FEB1F" w14:textId="77777777" w:rsidR="003D69A8" w:rsidRPr="005E1EA7" w:rsidRDefault="003D69A8" w:rsidP="003D69A8">
      <w:pPr>
        <w:spacing w:after="120"/>
        <w:jc w:val="both"/>
        <w:rPr>
          <w:rFonts w:ascii="Tahoma" w:hAnsi="Tahoma" w:cs="Tahoma"/>
          <w:iCs/>
          <w:sz w:val="20"/>
          <w:szCs w:val="20"/>
        </w:rPr>
      </w:pPr>
      <w:r w:rsidRPr="005E1EA7">
        <w:rPr>
          <w:rFonts w:ascii="Tahoma" w:hAnsi="Tahoma" w:cs="Tahoma"/>
          <w:iCs/>
          <w:sz w:val="20"/>
          <w:szCs w:val="20"/>
        </w:rPr>
        <w:lastRenderedPageBreak/>
        <w:t>3. Les exploitants du secteur de la pêche disposent de systèmes et de procédures permettant d'identifier les entreprises auxquelles leurs produits ont été fournis. Cette information est mise à la disposition de l’autorité compétente à la demande de celle-ci.</w:t>
      </w:r>
    </w:p>
    <w:p w14:paraId="27FBD290" w14:textId="77777777" w:rsidR="003D69A8" w:rsidRPr="005E1EA7" w:rsidRDefault="003D69A8" w:rsidP="003D69A8">
      <w:pPr>
        <w:spacing w:after="120"/>
        <w:jc w:val="both"/>
        <w:rPr>
          <w:rFonts w:ascii="Tahoma" w:hAnsi="Tahoma" w:cs="Tahoma"/>
          <w:iCs/>
          <w:sz w:val="20"/>
          <w:szCs w:val="20"/>
        </w:rPr>
      </w:pPr>
      <w:r w:rsidRPr="005E1EA7">
        <w:rPr>
          <w:rFonts w:ascii="Tahoma" w:hAnsi="Tahoma" w:cs="Tahoma"/>
          <w:iCs/>
          <w:sz w:val="20"/>
          <w:szCs w:val="20"/>
        </w:rPr>
        <w:t>4. Les produits de la pêche qui sont mis sur le marché ou susceptibles de l'être sont étiquetés ou identifiés de façon adéquate pour faciliter leur traçabilité, à l'aide des documents ou informations pertinents conformément aux prescriptions applicables prévues par des dispositions plus spécifiques ».</w:t>
      </w:r>
    </w:p>
    <w:p w14:paraId="02C9B10A"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0E996E21" w14:textId="77777777" w:rsidR="003D69A8" w:rsidRPr="005E1EA7" w:rsidRDefault="003D69A8" w:rsidP="003D69A8">
      <w:pPr>
        <w:autoSpaceDE w:val="0"/>
        <w:autoSpaceDN w:val="0"/>
        <w:adjustRightInd w:val="0"/>
        <w:jc w:val="both"/>
        <w:rPr>
          <w:rFonts w:ascii="Tahoma" w:eastAsia="EUAlbertina-Bold-Identity-H" w:hAnsi="Tahoma" w:cs="Tahoma"/>
          <w:b/>
          <w:sz w:val="20"/>
          <w:szCs w:val="20"/>
        </w:rPr>
      </w:pPr>
      <w:r w:rsidRPr="005E1EA7">
        <w:rPr>
          <w:rFonts w:ascii="Tahoma" w:eastAsia="EUAlbertina-Italic-Identity-H" w:hAnsi="Tahoma" w:cs="Tahoma"/>
          <w:b/>
          <w:sz w:val="20"/>
          <w:szCs w:val="20"/>
          <w:u w:val="single"/>
        </w:rPr>
        <w:t>Article 6</w:t>
      </w:r>
      <w:r w:rsidRPr="005E1EA7">
        <w:rPr>
          <w:rFonts w:ascii="Tahoma" w:eastAsia="EUAlbertina-Italic-Identity-H" w:hAnsi="Tahoma" w:cs="Tahoma"/>
          <w:sz w:val="20"/>
          <w:szCs w:val="20"/>
        </w:rPr>
        <w:t> </w:t>
      </w:r>
      <w:r w:rsidRPr="005E1EA7">
        <w:rPr>
          <w:rFonts w:ascii="Tahoma" w:hAnsi="Tahoma" w:cs="Tahoma"/>
          <w:iCs/>
          <w:sz w:val="20"/>
          <w:szCs w:val="20"/>
        </w:rPr>
        <w:t>:</w:t>
      </w:r>
      <w:r w:rsidRPr="005E1EA7">
        <w:rPr>
          <w:rFonts w:ascii="Tahoma" w:eastAsia="EUAlbertina-Italic-Identity-H" w:hAnsi="Tahoma" w:cs="Tahoma"/>
          <w:sz w:val="20"/>
          <w:szCs w:val="20"/>
        </w:rPr>
        <w:t xml:space="preserve"> </w:t>
      </w:r>
      <w:r w:rsidRPr="005E1EA7">
        <w:rPr>
          <w:rFonts w:ascii="Tahoma" w:hAnsi="Tahoma" w:cs="Tahoma"/>
          <w:bCs/>
          <w:sz w:val="20"/>
          <w:szCs w:val="20"/>
        </w:rPr>
        <w:t>Modalités de mise en œuvre de l’a</w:t>
      </w:r>
      <w:r w:rsidRPr="005E1EA7">
        <w:rPr>
          <w:rFonts w:ascii="Tahoma" w:eastAsia="EUAlbertina-Bold-Identity-H" w:hAnsi="Tahoma" w:cs="Tahoma"/>
          <w:bCs/>
          <w:sz w:val="20"/>
          <w:szCs w:val="20"/>
        </w:rPr>
        <w:t>nalyse des dangers et maîtrise des points critiques</w:t>
      </w:r>
    </w:p>
    <w:p w14:paraId="2F22A2E3" w14:textId="77777777" w:rsidR="003D69A8" w:rsidRPr="005E1EA7" w:rsidRDefault="003D69A8" w:rsidP="003D69A8">
      <w:pPr>
        <w:autoSpaceDE w:val="0"/>
        <w:autoSpaceDN w:val="0"/>
        <w:adjustRightInd w:val="0"/>
        <w:jc w:val="both"/>
        <w:rPr>
          <w:rFonts w:ascii="Tahoma" w:eastAsia="EUAlbertina-Bold-Identity-H" w:hAnsi="Tahoma" w:cs="Tahoma"/>
          <w:sz w:val="20"/>
          <w:szCs w:val="20"/>
        </w:rPr>
      </w:pPr>
    </w:p>
    <w:p w14:paraId="5ECFA01A"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1. Les exploitants du secteur alimentaire, qui exercent des activités se rapportant à une étape de la production, de la transformation et de la distribution des mollusques bivalves vivants et des produits de la pêche après la production primaire et les opérations connexes énumérées à l’annexe I : mettent en place, appliquent et maintiennent une ou plusieurs procédures permanentes fondées sur les principes HACCP.</w:t>
      </w:r>
    </w:p>
    <w:p w14:paraId="5E3DE3C7" w14:textId="77777777" w:rsidR="003D69A8" w:rsidRPr="005E1EA7" w:rsidRDefault="003D69A8" w:rsidP="003D69A8">
      <w:pPr>
        <w:spacing w:line="276" w:lineRule="auto"/>
        <w:jc w:val="both"/>
        <w:rPr>
          <w:rFonts w:ascii="Tahoma" w:eastAsia="EUAlbertina-Regular-Identity-H" w:hAnsi="Tahoma" w:cs="Tahoma"/>
          <w:sz w:val="20"/>
          <w:szCs w:val="20"/>
        </w:rPr>
      </w:pPr>
    </w:p>
    <w:p w14:paraId="07583D70" w14:textId="77777777" w:rsidR="003D69A8" w:rsidRPr="005E1EA7" w:rsidRDefault="003D69A8" w:rsidP="003D69A8">
      <w:pPr>
        <w:spacing w:line="276" w:lineRule="auto"/>
        <w:jc w:val="both"/>
        <w:rPr>
          <w:rFonts w:ascii="Tahoma" w:hAnsi="Tahoma" w:cs="Tahoma"/>
          <w:sz w:val="20"/>
          <w:szCs w:val="20"/>
        </w:rPr>
      </w:pPr>
      <w:r w:rsidRPr="005E1EA7">
        <w:rPr>
          <w:rFonts w:ascii="Tahoma" w:hAnsi="Tahoma" w:cs="Tahoma"/>
          <w:b/>
          <w:bCs/>
          <w:iCs/>
          <w:sz w:val="20"/>
          <w:szCs w:val="20"/>
          <w:u w:val="single"/>
        </w:rPr>
        <w:t>Article 7 </w:t>
      </w:r>
      <w:r w:rsidRPr="005E1EA7">
        <w:rPr>
          <w:rFonts w:ascii="Tahoma" w:hAnsi="Tahoma" w:cs="Tahoma"/>
          <w:iCs/>
          <w:sz w:val="20"/>
          <w:szCs w:val="20"/>
        </w:rPr>
        <w:t>:</w:t>
      </w:r>
      <w:r w:rsidRPr="005E1EA7">
        <w:rPr>
          <w:rFonts w:ascii="Tahoma" w:hAnsi="Tahoma" w:cs="Tahoma"/>
          <w:b/>
          <w:bCs/>
          <w:iCs/>
          <w:sz w:val="20"/>
          <w:szCs w:val="20"/>
        </w:rPr>
        <w:t xml:space="preserve"> </w:t>
      </w:r>
      <w:r w:rsidRPr="005E1EA7">
        <w:rPr>
          <w:rFonts w:ascii="Tahoma" w:hAnsi="Tahoma" w:cs="Tahoma"/>
          <w:sz w:val="20"/>
          <w:szCs w:val="20"/>
        </w:rPr>
        <w:t xml:space="preserve">Les conditions d’agrément à l’exportation des unités de traitement, doivent comporter, outre l’aménagement des locaux et l’installation des équipements de travail, la mise en œuvre d’un système d’autocontrôles sanitaires, conforme à la démarche HACCP. </w:t>
      </w:r>
    </w:p>
    <w:p w14:paraId="5F3993A1" w14:textId="77777777" w:rsidR="003D69A8" w:rsidRPr="005E1EA7" w:rsidRDefault="003D69A8" w:rsidP="003D69A8">
      <w:pPr>
        <w:spacing w:line="276" w:lineRule="auto"/>
        <w:jc w:val="both"/>
        <w:rPr>
          <w:rFonts w:ascii="Tahoma" w:hAnsi="Tahoma" w:cs="Tahoma"/>
          <w:sz w:val="20"/>
          <w:szCs w:val="20"/>
        </w:rPr>
      </w:pPr>
    </w:p>
    <w:p w14:paraId="3EE16C31" w14:textId="77777777" w:rsidR="003D69A8" w:rsidRPr="005E1EA7" w:rsidRDefault="003D69A8" w:rsidP="003D69A8">
      <w:pPr>
        <w:spacing w:line="276" w:lineRule="auto"/>
        <w:jc w:val="both"/>
        <w:rPr>
          <w:rFonts w:ascii="Tahoma" w:hAnsi="Tahoma" w:cs="Tahoma"/>
          <w:sz w:val="20"/>
          <w:szCs w:val="20"/>
        </w:rPr>
      </w:pPr>
      <w:r w:rsidRPr="005E1EA7">
        <w:rPr>
          <w:rFonts w:ascii="Tahoma" w:hAnsi="Tahoma" w:cs="Tahoma"/>
          <w:b/>
          <w:bCs/>
          <w:iCs/>
          <w:sz w:val="20"/>
          <w:szCs w:val="20"/>
          <w:u w:val="single"/>
        </w:rPr>
        <w:t>Article 8 </w:t>
      </w:r>
      <w:r w:rsidRPr="005E1EA7">
        <w:rPr>
          <w:rFonts w:ascii="Tahoma" w:hAnsi="Tahoma" w:cs="Tahoma"/>
          <w:iCs/>
          <w:sz w:val="20"/>
          <w:szCs w:val="20"/>
        </w:rPr>
        <w:t>:</w:t>
      </w:r>
      <w:r w:rsidRPr="005E1EA7">
        <w:rPr>
          <w:rFonts w:ascii="Tahoma" w:hAnsi="Tahoma" w:cs="Tahoma"/>
          <w:b/>
          <w:bCs/>
          <w:iCs/>
          <w:sz w:val="20"/>
          <w:szCs w:val="20"/>
        </w:rPr>
        <w:t xml:space="preserve"> </w:t>
      </w:r>
      <w:r w:rsidRPr="005E1EA7">
        <w:rPr>
          <w:rFonts w:ascii="Tahoma" w:hAnsi="Tahoma" w:cs="Tahoma"/>
          <w:sz w:val="20"/>
          <w:szCs w:val="20"/>
        </w:rPr>
        <w:t xml:space="preserve">Il est fait obligation aux responsables des unités de traitement sollicitant un agrément, de recruter au moins un Responsable Hygiène et Qualité chargé d’élaborer un manuel HACCP et de coordonner sa mise en œuvre. Dans ce cadre, il peut faire recours aux guides de bonnes pratiques établis par des organismes professionnels appropriés et approuvés par l’Autorité compétente. </w:t>
      </w:r>
    </w:p>
    <w:p w14:paraId="6900726F" w14:textId="77777777" w:rsidR="003D69A8" w:rsidRPr="005E1EA7" w:rsidRDefault="003D69A8" w:rsidP="003D69A8">
      <w:pPr>
        <w:spacing w:line="276" w:lineRule="auto"/>
        <w:jc w:val="both"/>
        <w:rPr>
          <w:rFonts w:ascii="Tahoma" w:hAnsi="Tahoma" w:cs="Tahoma"/>
          <w:sz w:val="20"/>
          <w:szCs w:val="20"/>
        </w:rPr>
      </w:pPr>
    </w:p>
    <w:p w14:paraId="5132F5F9" w14:textId="77777777" w:rsidR="003D69A8" w:rsidRPr="005E1EA7" w:rsidRDefault="003D69A8" w:rsidP="003D69A8">
      <w:pPr>
        <w:spacing w:line="276" w:lineRule="auto"/>
        <w:jc w:val="both"/>
        <w:rPr>
          <w:rFonts w:ascii="Tahoma" w:hAnsi="Tahoma" w:cs="Tahoma"/>
          <w:sz w:val="20"/>
          <w:szCs w:val="20"/>
        </w:rPr>
      </w:pPr>
      <w:r w:rsidRPr="005E1EA7">
        <w:rPr>
          <w:rFonts w:ascii="Tahoma" w:hAnsi="Tahoma" w:cs="Tahoma"/>
          <w:b/>
          <w:sz w:val="20"/>
          <w:szCs w:val="20"/>
          <w:u w:val="single"/>
        </w:rPr>
        <w:t>Article 9</w:t>
      </w:r>
      <w:r w:rsidRPr="005E1EA7">
        <w:rPr>
          <w:rFonts w:ascii="Tahoma" w:hAnsi="Tahoma" w:cs="Tahoma"/>
          <w:sz w:val="20"/>
          <w:szCs w:val="20"/>
        </w:rPr>
        <w:t xml:space="preserve"> : La mise en œuvre du système HACCP requiert l’engagement de la Direction, au plus haut niveau. </w:t>
      </w:r>
    </w:p>
    <w:p w14:paraId="2B132FA5" w14:textId="77777777" w:rsidR="003D69A8" w:rsidRPr="005E1EA7" w:rsidRDefault="003D69A8" w:rsidP="003D69A8">
      <w:pPr>
        <w:spacing w:line="276" w:lineRule="auto"/>
        <w:jc w:val="both"/>
        <w:rPr>
          <w:rFonts w:ascii="Tahoma" w:hAnsi="Tahoma" w:cs="Tahoma"/>
          <w:sz w:val="20"/>
          <w:szCs w:val="20"/>
        </w:rPr>
      </w:pPr>
      <w:r w:rsidRPr="005E1EA7">
        <w:rPr>
          <w:rFonts w:ascii="Tahoma" w:hAnsi="Tahoma" w:cs="Tahoma"/>
          <w:sz w:val="20"/>
          <w:szCs w:val="20"/>
        </w:rPr>
        <w:t>Elle doit être déclinée en douze (12) étapes, conformément aux recommandations du Codex Alimentarius : Cinq (05) étapes préliminaires et sept (07) principes :</w:t>
      </w:r>
    </w:p>
    <w:p w14:paraId="1A178CC8" w14:textId="77777777" w:rsidR="003D69A8" w:rsidRPr="005E1EA7" w:rsidRDefault="003D69A8" w:rsidP="00420DDA">
      <w:pPr>
        <w:numPr>
          <w:ilvl w:val="0"/>
          <w:numId w:val="162"/>
        </w:numPr>
        <w:spacing w:line="276" w:lineRule="auto"/>
        <w:jc w:val="both"/>
        <w:rPr>
          <w:rFonts w:ascii="Tahoma" w:hAnsi="Tahoma" w:cs="Tahoma"/>
          <w:sz w:val="20"/>
          <w:szCs w:val="20"/>
        </w:rPr>
      </w:pPr>
      <w:r w:rsidRPr="005E1EA7">
        <w:rPr>
          <w:rFonts w:ascii="Tahoma" w:hAnsi="Tahoma" w:cs="Tahoma"/>
          <w:sz w:val="20"/>
          <w:szCs w:val="20"/>
        </w:rPr>
        <w:t xml:space="preserve">Étapes préliminaires </w:t>
      </w:r>
    </w:p>
    <w:p w14:paraId="1480A535" w14:textId="77777777" w:rsidR="003D69A8" w:rsidRPr="005E1EA7" w:rsidRDefault="003D69A8" w:rsidP="003D69A8">
      <w:pPr>
        <w:spacing w:line="276" w:lineRule="auto"/>
        <w:jc w:val="both"/>
        <w:rPr>
          <w:rFonts w:ascii="Tahoma" w:hAnsi="Tahoma" w:cs="Tahoma"/>
          <w:sz w:val="20"/>
          <w:szCs w:val="20"/>
        </w:rPr>
      </w:pPr>
      <w:r w:rsidRPr="005E1EA7">
        <w:rPr>
          <w:rFonts w:ascii="Tahoma" w:hAnsi="Tahoma" w:cs="Tahoma"/>
          <w:sz w:val="20"/>
          <w:szCs w:val="20"/>
        </w:rPr>
        <w:t xml:space="preserve">Il est exigé de procéder successivement aux activités suivantes : </w:t>
      </w:r>
    </w:p>
    <w:p w14:paraId="264E9FD9" w14:textId="77777777" w:rsidR="003D69A8" w:rsidRPr="005E1EA7" w:rsidRDefault="003D69A8" w:rsidP="00420DDA">
      <w:pPr>
        <w:numPr>
          <w:ilvl w:val="0"/>
          <w:numId w:val="163"/>
        </w:numPr>
        <w:spacing w:line="276" w:lineRule="auto"/>
        <w:jc w:val="both"/>
        <w:rPr>
          <w:rFonts w:ascii="Tahoma" w:hAnsi="Tahoma" w:cs="Tahoma"/>
          <w:sz w:val="20"/>
          <w:szCs w:val="20"/>
        </w:rPr>
      </w:pPr>
      <w:proofErr w:type="gramStart"/>
      <w:r w:rsidRPr="005E1EA7">
        <w:rPr>
          <w:rFonts w:ascii="Tahoma" w:hAnsi="Tahoma" w:cs="Tahoma"/>
          <w:sz w:val="20"/>
          <w:szCs w:val="20"/>
        </w:rPr>
        <w:t>constitution</w:t>
      </w:r>
      <w:proofErr w:type="gramEnd"/>
      <w:r w:rsidRPr="005E1EA7">
        <w:rPr>
          <w:rFonts w:ascii="Tahoma" w:hAnsi="Tahoma" w:cs="Tahoma"/>
          <w:sz w:val="20"/>
          <w:szCs w:val="20"/>
        </w:rPr>
        <w:t xml:space="preserve"> d'une équipe pluridisciplinaire, comprenant, entre autres, le chef d’entreprise et à défaut, un haut responsable capable de prendre des décisions ; </w:t>
      </w:r>
    </w:p>
    <w:p w14:paraId="31570726" w14:textId="77777777" w:rsidR="003D69A8" w:rsidRPr="005E1EA7" w:rsidRDefault="003D69A8" w:rsidP="00420DDA">
      <w:pPr>
        <w:numPr>
          <w:ilvl w:val="0"/>
          <w:numId w:val="163"/>
        </w:numPr>
        <w:spacing w:line="276" w:lineRule="auto"/>
        <w:jc w:val="both"/>
        <w:rPr>
          <w:rFonts w:ascii="Tahoma" w:hAnsi="Tahoma" w:cs="Tahoma"/>
          <w:sz w:val="20"/>
          <w:szCs w:val="20"/>
        </w:rPr>
      </w:pPr>
      <w:proofErr w:type="gramStart"/>
      <w:r w:rsidRPr="005E1EA7">
        <w:rPr>
          <w:rFonts w:ascii="Tahoma" w:hAnsi="Tahoma" w:cs="Tahoma"/>
          <w:sz w:val="20"/>
          <w:szCs w:val="20"/>
        </w:rPr>
        <w:t>description</w:t>
      </w:r>
      <w:proofErr w:type="gramEnd"/>
      <w:r w:rsidRPr="005E1EA7">
        <w:rPr>
          <w:rFonts w:ascii="Tahoma" w:hAnsi="Tahoma" w:cs="Tahoma"/>
          <w:sz w:val="20"/>
          <w:szCs w:val="20"/>
        </w:rPr>
        <w:t xml:space="preserve"> du produit ; </w:t>
      </w:r>
    </w:p>
    <w:p w14:paraId="72BA02EF" w14:textId="77777777" w:rsidR="003D69A8" w:rsidRPr="005E1EA7" w:rsidRDefault="003D69A8" w:rsidP="00420DDA">
      <w:pPr>
        <w:numPr>
          <w:ilvl w:val="0"/>
          <w:numId w:val="163"/>
        </w:numPr>
        <w:spacing w:line="276" w:lineRule="auto"/>
        <w:jc w:val="both"/>
        <w:rPr>
          <w:rFonts w:ascii="Tahoma" w:hAnsi="Tahoma" w:cs="Tahoma"/>
          <w:sz w:val="20"/>
          <w:szCs w:val="20"/>
        </w:rPr>
      </w:pPr>
      <w:proofErr w:type="gramStart"/>
      <w:r w:rsidRPr="005E1EA7">
        <w:rPr>
          <w:rFonts w:ascii="Tahoma" w:hAnsi="Tahoma" w:cs="Tahoma"/>
          <w:sz w:val="20"/>
          <w:szCs w:val="20"/>
        </w:rPr>
        <w:t>identification</w:t>
      </w:r>
      <w:proofErr w:type="gramEnd"/>
      <w:r w:rsidRPr="005E1EA7">
        <w:rPr>
          <w:rFonts w:ascii="Tahoma" w:hAnsi="Tahoma" w:cs="Tahoma"/>
          <w:sz w:val="20"/>
          <w:szCs w:val="20"/>
        </w:rPr>
        <w:t xml:space="preserve"> de l'utilisation attendue ; </w:t>
      </w:r>
    </w:p>
    <w:p w14:paraId="650F8BA0" w14:textId="77777777" w:rsidR="003D69A8" w:rsidRPr="005E1EA7" w:rsidRDefault="003D69A8" w:rsidP="00420DDA">
      <w:pPr>
        <w:numPr>
          <w:ilvl w:val="0"/>
          <w:numId w:val="163"/>
        </w:numPr>
        <w:spacing w:line="276" w:lineRule="auto"/>
        <w:jc w:val="both"/>
        <w:rPr>
          <w:rFonts w:ascii="Tahoma" w:hAnsi="Tahoma" w:cs="Tahoma"/>
          <w:sz w:val="20"/>
          <w:szCs w:val="20"/>
        </w:rPr>
      </w:pPr>
      <w:proofErr w:type="gramStart"/>
      <w:r w:rsidRPr="005E1EA7">
        <w:rPr>
          <w:rFonts w:ascii="Tahoma" w:hAnsi="Tahoma" w:cs="Tahoma"/>
          <w:sz w:val="20"/>
          <w:szCs w:val="20"/>
        </w:rPr>
        <w:t>construction</w:t>
      </w:r>
      <w:proofErr w:type="gramEnd"/>
      <w:r w:rsidRPr="005E1EA7">
        <w:rPr>
          <w:rFonts w:ascii="Tahoma" w:hAnsi="Tahoma" w:cs="Tahoma"/>
          <w:sz w:val="20"/>
          <w:szCs w:val="20"/>
        </w:rPr>
        <w:t xml:space="preserve"> d'un diagramme de fabrication ;</w:t>
      </w:r>
    </w:p>
    <w:p w14:paraId="206C5C42" w14:textId="77777777" w:rsidR="003D69A8" w:rsidRPr="005E1EA7" w:rsidRDefault="003D69A8" w:rsidP="00420DDA">
      <w:pPr>
        <w:numPr>
          <w:ilvl w:val="0"/>
          <w:numId w:val="163"/>
        </w:numPr>
        <w:spacing w:line="276" w:lineRule="auto"/>
        <w:jc w:val="both"/>
        <w:rPr>
          <w:rFonts w:ascii="Tahoma" w:hAnsi="Tahoma" w:cs="Tahoma"/>
          <w:sz w:val="20"/>
          <w:szCs w:val="20"/>
        </w:rPr>
      </w:pPr>
      <w:proofErr w:type="gramStart"/>
      <w:r w:rsidRPr="005E1EA7">
        <w:rPr>
          <w:rFonts w:ascii="Tahoma" w:hAnsi="Tahoma" w:cs="Tahoma"/>
          <w:sz w:val="20"/>
          <w:szCs w:val="20"/>
        </w:rPr>
        <w:t>confirmation</w:t>
      </w:r>
      <w:proofErr w:type="gramEnd"/>
      <w:r w:rsidRPr="005E1EA7">
        <w:rPr>
          <w:rFonts w:ascii="Tahoma" w:hAnsi="Tahoma" w:cs="Tahoma"/>
          <w:sz w:val="20"/>
          <w:szCs w:val="20"/>
        </w:rPr>
        <w:t xml:space="preserve"> sur site du diagramme de fabrication ;</w:t>
      </w:r>
    </w:p>
    <w:p w14:paraId="781C0F5D"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6786563F"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2. Les principes HACCP sont les suivants :</w:t>
      </w:r>
    </w:p>
    <w:p w14:paraId="27A7ABA5"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66709CF9" w14:textId="77777777" w:rsidR="003D69A8" w:rsidRPr="005E1EA7" w:rsidRDefault="003D69A8" w:rsidP="003D69A8">
      <w:pPr>
        <w:numPr>
          <w:ilvl w:val="0"/>
          <w:numId w:val="10"/>
        </w:numPr>
        <w:autoSpaceDE w:val="0"/>
        <w:autoSpaceDN w:val="0"/>
        <w:adjustRightInd w:val="0"/>
        <w:jc w:val="both"/>
        <w:rPr>
          <w:rFonts w:ascii="Tahoma" w:eastAsia="EUAlbertina-Regular-Identity-H" w:hAnsi="Tahoma" w:cs="Tahoma"/>
          <w:sz w:val="20"/>
          <w:szCs w:val="20"/>
        </w:rPr>
      </w:pPr>
      <w:proofErr w:type="gramStart"/>
      <w:r w:rsidRPr="005E1EA7">
        <w:rPr>
          <w:rFonts w:ascii="Tahoma" w:eastAsia="EUAlbertina-Regular-Identity-H" w:hAnsi="Tahoma" w:cs="Tahoma"/>
          <w:sz w:val="20"/>
          <w:szCs w:val="20"/>
        </w:rPr>
        <w:t>identifier</w:t>
      </w:r>
      <w:proofErr w:type="gramEnd"/>
      <w:r w:rsidRPr="005E1EA7">
        <w:rPr>
          <w:rFonts w:ascii="Tahoma" w:eastAsia="EUAlbertina-Regular-Identity-H" w:hAnsi="Tahoma" w:cs="Tahoma"/>
          <w:sz w:val="20"/>
          <w:szCs w:val="20"/>
        </w:rPr>
        <w:t xml:space="preserve"> tout danger qu’il y a lieu de prévenir, d’éliminer ou de ramener à un niveau acceptable ;</w:t>
      </w:r>
    </w:p>
    <w:p w14:paraId="0942F9F7" w14:textId="77777777" w:rsidR="003D69A8" w:rsidRPr="005E1EA7" w:rsidRDefault="003D69A8" w:rsidP="003D69A8">
      <w:pPr>
        <w:autoSpaceDE w:val="0"/>
        <w:autoSpaceDN w:val="0"/>
        <w:adjustRightInd w:val="0"/>
        <w:ind w:left="360"/>
        <w:jc w:val="both"/>
        <w:rPr>
          <w:rFonts w:ascii="Tahoma" w:eastAsia="EUAlbertina-Regular-Identity-H" w:hAnsi="Tahoma" w:cs="Tahoma"/>
          <w:sz w:val="20"/>
          <w:szCs w:val="20"/>
        </w:rPr>
      </w:pPr>
    </w:p>
    <w:p w14:paraId="697C35B8" w14:textId="77777777" w:rsidR="003D69A8" w:rsidRPr="005E1EA7" w:rsidRDefault="003D69A8" w:rsidP="003D69A8">
      <w:pPr>
        <w:numPr>
          <w:ilvl w:val="0"/>
          <w:numId w:val="10"/>
        </w:numPr>
        <w:autoSpaceDE w:val="0"/>
        <w:autoSpaceDN w:val="0"/>
        <w:adjustRightInd w:val="0"/>
        <w:jc w:val="both"/>
        <w:rPr>
          <w:rFonts w:ascii="Tahoma" w:eastAsia="EUAlbertina-Regular-Identity-H" w:hAnsi="Tahoma" w:cs="Tahoma"/>
          <w:sz w:val="20"/>
          <w:szCs w:val="20"/>
        </w:rPr>
      </w:pPr>
      <w:proofErr w:type="gramStart"/>
      <w:r w:rsidRPr="005E1EA7">
        <w:rPr>
          <w:rFonts w:ascii="Tahoma" w:eastAsia="EUAlbertina-Regular-Identity-H" w:hAnsi="Tahoma" w:cs="Tahoma"/>
          <w:sz w:val="20"/>
          <w:szCs w:val="20"/>
        </w:rPr>
        <w:t>identifier</w:t>
      </w:r>
      <w:proofErr w:type="gramEnd"/>
      <w:r w:rsidRPr="005E1EA7">
        <w:rPr>
          <w:rFonts w:ascii="Tahoma" w:eastAsia="EUAlbertina-Regular-Identity-H" w:hAnsi="Tahoma" w:cs="Tahoma"/>
          <w:sz w:val="20"/>
          <w:szCs w:val="20"/>
        </w:rPr>
        <w:t xml:space="preserve"> les points critiques au niveau desquels un contrôle est indispensable pour prévenir ou éliminer un danger ou pour le ramener à un niveau acceptable ;</w:t>
      </w:r>
    </w:p>
    <w:p w14:paraId="5D25CE80" w14:textId="77777777" w:rsidR="003D69A8" w:rsidRPr="005E1EA7" w:rsidRDefault="003D69A8" w:rsidP="003D69A8">
      <w:pPr>
        <w:autoSpaceDE w:val="0"/>
        <w:autoSpaceDN w:val="0"/>
        <w:adjustRightInd w:val="0"/>
        <w:ind w:left="360"/>
        <w:jc w:val="both"/>
        <w:rPr>
          <w:rFonts w:ascii="Tahoma" w:eastAsia="EUAlbertina-Regular-Identity-H" w:hAnsi="Tahoma" w:cs="Tahoma"/>
          <w:sz w:val="20"/>
          <w:szCs w:val="20"/>
        </w:rPr>
      </w:pPr>
    </w:p>
    <w:p w14:paraId="0E6FEB9B" w14:textId="77777777" w:rsidR="003D69A8" w:rsidRPr="005E1EA7" w:rsidRDefault="003D69A8" w:rsidP="003D69A8">
      <w:pPr>
        <w:numPr>
          <w:ilvl w:val="0"/>
          <w:numId w:val="10"/>
        </w:numPr>
        <w:autoSpaceDE w:val="0"/>
        <w:autoSpaceDN w:val="0"/>
        <w:adjustRightInd w:val="0"/>
        <w:jc w:val="both"/>
        <w:rPr>
          <w:rFonts w:ascii="Tahoma" w:eastAsia="EUAlbertina-Regular-Identity-H" w:hAnsi="Tahoma" w:cs="Tahoma"/>
          <w:sz w:val="20"/>
          <w:szCs w:val="20"/>
        </w:rPr>
      </w:pPr>
      <w:proofErr w:type="gramStart"/>
      <w:r w:rsidRPr="005E1EA7">
        <w:rPr>
          <w:rFonts w:ascii="Tahoma" w:eastAsia="EUAlbertina-Regular-Identity-H" w:hAnsi="Tahoma" w:cs="Tahoma"/>
          <w:sz w:val="20"/>
          <w:szCs w:val="20"/>
        </w:rPr>
        <w:t>établir</w:t>
      </w:r>
      <w:proofErr w:type="gramEnd"/>
      <w:r w:rsidRPr="005E1EA7">
        <w:rPr>
          <w:rFonts w:ascii="Tahoma" w:eastAsia="EUAlbertina-Regular-Identity-H" w:hAnsi="Tahoma" w:cs="Tahoma"/>
          <w:sz w:val="20"/>
          <w:szCs w:val="20"/>
        </w:rPr>
        <w:t xml:space="preserve"> aux points critiques de contrôle les limites critiques qui différencient l’acceptabilité de l’inacceptabilité pour la prévention, l’élimination ou la réduction des dangers identifiés ;</w:t>
      </w:r>
    </w:p>
    <w:p w14:paraId="76AE4A62" w14:textId="77777777" w:rsidR="003D69A8" w:rsidRPr="005E1EA7" w:rsidRDefault="003D69A8" w:rsidP="003D69A8">
      <w:pPr>
        <w:autoSpaceDE w:val="0"/>
        <w:autoSpaceDN w:val="0"/>
        <w:adjustRightInd w:val="0"/>
        <w:ind w:left="360"/>
        <w:jc w:val="both"/>
        <w:rPr>
          <w:rFonts w:ascii="Tahoma" w:eastAsia="EUAlbertina-Regular-Identity-H" w:hAnsi="Tahoma" w:cs="Tahoma"/>
          <w:sz w:val="20"/>
          <w:szCs w:val="20"/>
        </w:rPr>
      </w:pPr>
    </w:p>
    <w:p w14:paraId="176890D5" w14:textId="77777777" w:rsidR="003D69A8" w:rsidRPr="005E1EA7" w:rsidRDefault="003D69A8" w:rsidP="003D69A8">
      <w:pPr>
        <w:numPr>
          <w:ilvl w:val="0"/>
          <w:numId w:val="10"/>
        </w:numPr>
        <w:autoSpaceDE w:val="0"/>
        <w:autoSpaceDN w:val="0"/>
        <w:adjustRightInd w:val="0"/>
        <w:jc w:val="both"/>
        <w:rPr>
          <w:rFonts w:ascii="Tahoma" w:eastAsia="EUAlbertina-Regular-Identity-H" w:hAnsi="Tahoma" w:cs="Tahoma"/>
          <w:sz w:val="20"/>
          <w:szCs w:val="20"/>
        </w:rPr>
      </w:pPr>
      <w:proofErr w:type="gramStart"/>
      <w:r w:rsidRPr="005E1EA7">
        <w:rPr>
          <w:rFonts w:ascii="Tahoma" w:eastAsia="EUAlbertina-Regular-Identity-H" w:hAnsi="Tahoma" w:cs="Tahoma"/>
          <w:sz w:val="20"/>
          <w:szCs w:val="20"/>
        </w:rPr>
        <w:t>établir</w:t>
      </w:r>
      <w:proofErr w:type="gramEnd"/>
      <w:r w:rsidRPr="005E1EA7">
        <w:rPr>
          <w:rFonts w:ascii="Tahoma" w:eastAsia="EUAlbertina-Regular-Identity-H" w:hAnsi="Tahoma" w:cs="Tahoma"/>
          <w:sz w:val="20"/>
          <w:szCs w:val="20"/>
        </w:rPr>
        <w:t xml:space="preserve"> et appliquer des procédures de surveillance efficace des points critiques de contrôle ;</w:t>
      </w:r>
    </w:p>
    <w:p w14:paraId="2188FF31"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1FB2BD0A" w14:textId="77777777" w:rsidR="003D69A8" w:rsidRPr="005E1EA7" w:rsidRDefault="003D69A8" w:rsidP="003D69A8">
      <w:pPr>
        <w:numPr>
          <w:ilvl w:val="0"/>
          <w:numId w:val="10"/>
        </w:numPr>
        <w:autoSpaceDE w:val="0"/>
        <w:autoSpaceDN w:val="0"/>
        <w:adjustRightInd w:val="0"/>
        <w:jc w:val="both"/>
        <w:rPr>
          <w:rFonts w:ascii="Tahoma" w:eastAsia="EUAlbertina-Regular-Identity-H" w:hAnsi="Tahoma" w:cs="Tahoma"/>
          <w:sz w:val="20"/>
          <w:szCs w:val="20"/>
        </w:rPr>
      </w:pPr>
      <w:proofErr w:type="gramStart"/>
      <w:r w:rsidRPr="005E1EA7">
        <w:rPr>
          <w:rFonts w:ascii="Tahoma" w:eastAsia="EUAlbertina-Regular-Identity-H" w:hAnsi="Tahoma" w:cs="Tahoma"/>
          <w:sz w:val="20"/>
          <w:szCs w:val="20"/>
        </w:rPr>
        <w:t>établir</w:t>
      </w:r>
      <w:proofErr w:type="gramEnd"/>
      <w:r w:rsidRPr="005E1EA7">
        <w:rPr>
          <w:rFonts w:ascii="Tahoma" w:eastAsia="EUAlbertina-Regular-Identity-H" w:hAnsi="Tahoma" w:cs="Tahoma"/>
          <w:sz w:val="20"/>
          <w:szCs w:val="20"/>
        </w:rPr>
        <w:t xml:space="preserve"> les actions correctives à mettre en œuvre lorsque la surveillance révèle qu’un point critique de contrôle n’est pas maîtrisé ;</w:t>
      </w:r>
    </w:p>
    <w:p w14:paraId="270AF1FD"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69F24A14" w14:textId="77777777" w:rsidR="003D69A8" w:rsidRPr="005E1EA7" w:rsidRDefault="003D69A8" w:rsidP="003D69A8">
      <w:pPr>
        <w:numPr>
          <w:ilvl w:val="0"/>
          <w:numId w:val="10"/>
        </w:numPr>
        <w:autoSpaceDE w:val="0"/>
        <w:autoSpaceDN w:val="0"/>
        <w:adjustRightInd w:val="0"/>
        <w:jc w:val="both"/>
        <w:rPr>
          <w:rFonts w:ascii="Tahoma" w:eastAsia="EUAlbertina-Regular-Identity-H" w:hAnsi="Tahoma" w:cs="Tahoma"/>
          <w:sz w:val="20"/>
          <w:szCs w:val="20"/>
        </w:rPr>
      </w:pPr>
      <w:proofErr w:type="gramStart"/>
      <w:r w:rsidRPr="005E1EA7">
        <w:rPr>
          <w:rFonts w:ascii="Tahoma" w:eastAsia="EUAlbertina-Regular-Identity-H" w:hAnsi="Tahoma" w:cs="Tahoma"/>
          <w:sz w:val="20"/>
          <w:szCs w:val="20"/>
        </w:rPr>
        <w:lastRenderedPageBreak/>
        <w:t>établir</w:t>
      </w:r>
      <w:proofErr w:type="gramEnd"/>
      <w:r w:rsidRPr="005E1EA7">
        <w:rPr>
          <w:rFonts w:ascii="Tahoma" w:eastAsia="EUAlbertina-Regular-Identity-H" w:hAnsi="Tahoma" w:cs="Tahoma"/>
          <w:sz w:val="20"/>
          <w:szCs w:val="20"/>
        </w:rPr>
        <w:t xml:space="preserve"> des procédures exécutées périodiquement pour vérifier l’efficacité des mesures visées aux points a) à e) ; </w:t>
      </w:r>
    </w:p>
    <w:p w14:paraId="0F10D2EF" w14:textId="77777777" w:rsidR="003D69A8" w:rsidRPr="005E1EA7" w:rsidRDefault="003D69A8" w:rsidP="003D69A8">
      <w:pPr>
        <w:autoSpaceDE w:val="0"/>
        <w:autoSpaceDN w:val="0"/>
        <w:adjustRightInd w:val="0"/>
        <w:ind w:left="360"/>
        <w:jc w:val="both"/>
        <w:rPr>
          <w:rFonts w:ascii="Tahoma" w:eastAsia="EUAlbertina-Regular-Identity-H" w:hAnsi="Tahoma" w:cs="Tahoma"/>
          <w:sz w:val="20"/>
          <w:szCs w:val="20"/>
        </w:rPr>
      </w:pPr>
    </w:p>
    <w:p w14:paraId="1378E35C" w14:textId="77777777" w:rsidR="003D69A8" w:rsidRPr="005E1EA7" w:rsidRDefault="003D69A8" w:rsidP="003D69A8">
      <w:pPr>
        <w:numPr>
          <w:ilvl w:val="0"/>
          <w:numId w:val="10"/>
        </w:numPr>
        <w:autoSpaceDE w:val="0"/>
        <w:autoSpaceDN w:val="0"/>
        <w:adjustRightInd w:val="0"/>
        <w:jc w:val="both"/>
        <w:rPr>
          <w:rFonts w:ascii="Tahoma" w:eastAsia="EUAlbertina-Regular-Identity-H" w:hAnsi="Tahoma" w:cs="Tahoma"/>
          <w:sz w:val="20"/>
          <w:szCs w:val="20"/>
        </w:rPr>
      </w:pPr>
      <w:proofErr w:type="gramStart"/>
      <w:r w:rsidRPr="005E1EA7">
        <w:rPr>
          <w:rFonts w:ascii="Tahoma" w:eastAsia="EUAlbertina-Regular-Identity-H" w:hAnsi="Tahoma" w:cs="Tahoma"/>
          <w:sz w:val="20"/>
          <w:szCs w:val="20"/>
        </w:rPr>
        <w:t>établir</w:t>
      </w:r>
      <w:proofErr w:type="gramEnd"/>
      <w:r w:rsidRPr="005E1EA7">
        <w:rPr>
          <w:rFonts w:ascii="Tahoma" w:eastAsia="EUAlbertina-Regular-Identity-H" w:hAnsi="Tahoma" w:cs="Tahoma"/>
          <w:sz w:val="20"/>
          <w:szCs w:val="20"/>
        </w:rPr>
        <w:t xml:space="preserve"> des documents et des dossiers en fonction de la nature et de la taille de l’entreprise pour prouver l’application effective des mesures visées aux points a) à f).</w:t>
      </w:r>
    </w:p>
    <w:p w14:paraId="1FB6ED4E"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47BA9B9B"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3. Les exploitants du secteur halieutique :</w:t>
      </w:r>
    </w:p>
    <w:p w14:paraId="5CF07414"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0FA21D41" w14:textId="77777777" w:rsidR="003D69A8" w:rsidRPr="005E1EA7" w:rsidRDefault="003D69A8" w:rsidP="003D69A8">
      <w:pPr>
        <w:numPr>
          <w:ilvl w:val="0"/>
          <w:numId w:val="16"/>
        </w:numPr>
        <w:autoSpaceDE w:val="0"/>
        <w:autoSpaceDN w:val="0"/>
        <w:adjustRightInd w:val="0"/>
        <w:jc w:val="both"/>
        <w:rPr>
          <w:rFonts w:ascii="Tahoma" w:eastAsia="EUAlbertina-Regular-Identity-H" w:hAnsi="Tahoma" w:cs="Tahoma"/>
          <w:sz w:val="20"/>
          <w:szCs w:val="20"/>
        </w:rPr>
      </w:pPr>
      <w:proofErr w:type="gramStart"/>
      <w:r w:rsidRPr="005E1EA7">
        <w:rPr>
          <w:rFonts w:ascii="Tahoma" w:eastAsia="EUAlbertina-Regular-Identity-H" w:hAnsi="Tahoma" w:cs="Tahoma"/>
          <w:sz w:val="20"/>
          <w:szCs w:val="20"/>
        </w:rPr>
        <w:t>utilisent</w:t>
      </w:r>
      <w:proofErr w:type="gramEnd"/>
      <w:r w:rsidRPr="005E1EA7">
        <w:rPr>
          <w:rFonts w:ascii="Tahoma" w:eastAsia="EUAlbertina-Regular-Identity-H" w:hAnsi="Tahoma" w:cs="Tahoma"/>
          <w:sz w:val="20"/>
          <w:szCs w:val="20"/>
        </w:rPr>
        <w:t xml:space="preserve"> les guides de bonnes pratiques, élaborés en collaboration avec l’autorité compétente (ou son délégataire) en se référant aux codes d’usage pertinents du Codex Alimentarius, en tenant compte des recommandations figurant dans la partie B de l’annexe 1 ;</w:t>
      </w:r>
    </w:p>
    <w:p w14:paraId="5948EF00" w14:textId="77777777" w:rsidR="003D69A8" w:rsidRPr="005E1EA7" w:rsidRDefault="003D69A8" w:rsidP="003D69A8">
      <w:pPr>
        <w:autoSpaceDE w:val="0"/>
        <w:autoSpaceDN w:val="0"/>
        <w:adjustRightInd w:val="0"/>
        <w:ind w:left="360"/>
        <w:jc w:val="both"/>
        <w:rPr>
          <w:rFonts w:ascii="Tahoma" w:eastAsia="EUAlbertina-Regular-Identity-H" w:hAnsi="Tahoma" w:cs="Tahoma"/>
          <w:sz w:val="20"/>
          <w:szCs w:val="20"/>
        </w:rPr>
      </w:pPr>
    </w:p>
    <w:p w14:paraId="5E05A92B" w14:textId="77777777" w:rsidR="003D69A8" w:rsidRPr="005E1EA7" w:rsidRDefault="003D69A8" w:rsidP="003D69A8">
      <w:pPr>
        <w:numPr>
          <w:ilvl w:val="0"/>
          <w:numId w:val="16"/>
        </w:numPr>
        <w:autoSpaceDE w:val="0"/>
        <w:autoSpaceDN w:val="0"/>
        <w:adjustRightInd w:val="0"/>
        <w:jc w:val="both"/>
        <w:rPr>
          <w:rFonts w:ascii="Tahoma" w:eastAsia="EUAlbertina-Regular-Identity-H" w:hAnsi="Tahoma" w:cs="Tahoma"/>
          <w:sz w:val="20"/>
          <w:szCs w:val="20"/>
        </w:rPr>
      </w:pPr>
      <w:proofErr w:type="gramStart"/>
      <w:r w:rsidRPr="005E1EA7">
        <w:rPr>
          <w:rFonts w:ascii="Tahoma" w:eastAsia="EUAlbertina-Regular-Identity-H" w:hAnsi="Tahoma" w:cs="Tahoma"/>
          <w:sz w:val="20"/>
          <w:szCs w:val="20"/>
        </w:rPr>
        <w:t>consultent</w:t>
      </w:r>
      <w:proofErr w:type="gramEnd"/>
      <w:r w:rsidRPr="005E1EA7">
        <w:rPr>
          <w:rFonts w:ascii="Tahoma" w:eastAsia="EUAlbertina-Regular-Identity-H" w:hAnsi="Tahoma" w:cs="Tahoma"/>
          <w:sz w:val="20"/>
          <w:szCs w:val="20"/>
        </w:rPr>
        <w:t xml:space="preserve"> l’autorité compétente pour s'assurer que les procédures, basées sur ces guides, qu’ils mettent en place, sont applicables au respect des articles 3, 4 et 5 pour les mollusques bivalves vivants et les produits de la pêche.</w:t>
      </w:r>
    </w:p>
    <w:p w14:paraId="1A37AC1E"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64D2B80A"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4. Les exploitants du secteur halieutique :</w:t>
      </w:r>
    </w:p>
    <w:p w14:paraId="02EB39DE"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1517B226" w14:textId="77777777" w:rsidR="003D69A8" w:rsidRPr="005E1EA7" w:rsidRDefault="003D69A8" w:rsidP="003D69A8">
      <w:pPr>
        <w:numPr>
          <w:ilvl w:val="0"/>
          <w:numId w:val="11"/>
        </w:numPr>
        <w:autoSpaceDE w:val="0"/>
        <w:autoSpaceDN w:val="0"/>
        <w:adjustRightInd w:val="0"/>
        <w:jc w:val="both"/>
        <w:rPr>
          <w:rFonts w:ascii="Tahoma" w:eastAsia="EUAlbertina-Regular-Identity-H" w:hAnsi="Tahoma" w:cs="Tahoma"/>
          <w:sz w:val="20"/>
          <w:szCs w:val="20"/>
        </w:rPr>
      </w:pPr>
      <w:proofErr w:type="gramStart"/>
      <w:r w:rsidRPr="005E1EA7">
        <w:rPr>
          <w:rFonts w:ascii="Tahoma" w:eastAsia="EUAlbertina-Regular-Identity-H" w:hAnsi="Tahoma" w:cs="Tahoma"/>
          <w:sz w:val="20"/>
          <w:szCs w:val="20"/>
        </w:rPr>
        <w:t>démontrent</w:t>
      </w:r>
      <w:proofErr w:type="gramEnd"/>
      <w:r w:rsidRPr="005E1EA7">
        <w:rPr>
          <w:rFonts w:ascii="Tahoma" w:eastAsia="EUAlbertina-Regular-Identity-H" w:hAnsi="Tahoma" w:cs="Tahoma"/>
          <w:sz w:val="20"/>
          <w:szCs w:val="20"/>
        </w:rPr>
        <w:t xml:space="preserve"> aux autorités compétentes qu’ils se conforment au paragraphe 1 en respectant les exigences de l’autorité compétente, en fonction de la nature et de la taille de l’entreprise ;</w:t>
      </w:r>
    </w:p>
    <w:p w14:paraId="491A0DA2" w14:textId="77777777" w:rsidR="003D69A8" w:rsidRPr="005E1EA7" w:rsidRDefault="003D69A8" w:rsidP="003D69A8">
      <w:pPr>
        <w:autoSpaceDE w:val="0"/>
        <w:autoSpaceDN w:val="0"/>
        <w:adjustRightInd w:val="0"/>
        <w:ind w:left="360"/>
        <w:jc w:val="both"/>
        <w:rPr>
          <w:rFonts w:ascii="Tahoma" w:eastAsia="EUAlbertina-Regular-Identity-H" w:hAnsi="Tahoma" w:cs="Tahoma"/>
          <w:sz w:val="20"/>
          <w:szCs w:val="20"/>
        </w:rPr>
      </w:pPr>
      <w:r w:rsidRPr="005E1EA7">
        <w:rPr>
          <w:rFonts w:ascii="Tahoma" w:eastAsia="EUAlbertina-Regular-Identity-H" w:hAnsi="Tahoma" w:cs="Tahoma"/>
          <w:sz w:val="20"/>
          <w:szCs w:val="20"/>
        </w:rPr>
        <w:t>b)</w:t>
      </w:r>
      <w:r w:rsidRPr="005E1EA7">
        <w:rPr>
          <w:rFonts w:ascii="Tahoma" w:eastAsia="EUAlbertina-Regular-Identity-H" w:hAnsi="Tahoma" w:cs="Tahoma"/>
          <w:sz w:val="20"/>
          <w:szCs w:val="20"/>
        </w:rPr>
        <w:tab/>
        <w:t>veillent à ce que tout document décrivant les procédures élaborées conformément au présent arrêté soit à jour à tout moment ;</w:t>
      </w:r>
    </w:p>
    <w:p w14:paraId="0789E8AE"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50B0131B" w14:textId="77777777" w:rsidR="003D69A8" w:rsidRPr="005E1EA7" w:rsidRDefault="003D69A8" w:rsidP="003D69A8">
      <w:pPr>
        <w:autoSpaceDE w:val="0"/>
        <w:autoSpaceDN w:val="0"/>
        <w:adjustRightInd w:val="0"/>
        <w:ind w:left="360"/>
        <w:jc w:val="both"/>
        <w:rPr>
          <w:rFonts w:ascii="Tahoma" w:eastAsia="EUAlbertina-Regular-Identity-H" w:hAnsi="Tahoma" w:cs="Tahoma"/>
          <w:sz w:val="20"/>
          <w:szCs w:val="20"/>
        </w:rPr>
      </w:pPr>
      <w:r w:rsidRPr="005E1EA7">
        <w:rPr>
          <w:rFonts w:ascii="Tahoma" w:eastAsia="EUAlbertina-Regular-Identity-H" w:hAnsi="Tahoma" w:cs="Tahoma"/>
          <w:sz w:val="20"/>
          <w:szCs w:val="20"/>
        </w:rPr>
        <w:t>c)</w:t>
      </w:r>
      <w:r w:rsidRPr="005E1EA7">
        <w:rPr>
          <w:rFonts w:ascii="Tahoma" w:eastAsia="EUAlbertina-Regular-Identity-H" w:hAnsi="Tahoma" w:cs="Tahoma"/>
          <w:sz w:val="20"/>
          <w:szCs w:val="20"/>
        </w:rPr>
        <w:tab/>
        <w:t xml:space="preserve">conservent tout autre document et dossier pendant une période appropriée. </w:t>
      </w:r>
    </w:p>
    <w:p w14:paraId="0DD9DFFC"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7A726C9B" w14:textId="77777777" w:rsidR="003D69A8" w:rsidRPr="005E1EA7" w:rsidRDefault="003D69A8" w:rsidP="003D69A8">
      <w:pPr>
        <w:spacing w:line="276" w:lineRule="auto"/>
        <w:jc w:val="both"/>
        <w:rPr>
          <w:rFonts w:ascii="Tahoma" w:hAnsi="Tahoma" w:cs="Tahoma"/>
          <w:sz w:val="20"/>
          <w:szCs w:val="20"/>
        </w:rPr>
      </w:pPr>
      <w:r w:rsidRPr="005E1EA7">
        <w:rPr>
          <w:rFonts w:ascii="Tahoma" w:hAnsi="Tahoma" w:cs="Tahoma"/>
          <w:b/>
          <w:bCs/>
          <w:sz w:val="20"/>
          <w:szCs w:val="20"/>
          <w:u w:val="single"/>
        </w:rPr>
        <w:t>Article 10</w:t>
      </w:r>
      <w:r w:rsidRPr="005E1EA7">
        <w:rPr>
          <w:rFonts w:ascii="Tahoma" w:hAnsi="Tahoma" w:cs="Tahoma"/>
          <w:sz w:val="20"/>
          <w:szCs w:val="20"/>
        </w:rPr>
        <w:t xml:space="preserve"> : Les responsables des unités de traitement doivent veiller à ce que l'ensemble du personnel concerné par les autocontrôles reçoive une formation adaptée lui permettant de participer activement à leur mise en œuvre, conformément aux dispositions de l’arrêté relatif aux contrôles officiels.</w:t>
      </w:r>
    </w:p>
    <w:p w14:paraId="12BD8101" w14:textId="77777777" w:rsidR="003D69A8" w:rsidRPr="005E1EA7" w:rsidRDefault="003D69A8" w:rsidP="003D69A8">
      <w:pPr>
        <w:spacing w:line="276" w:lineRule="auto"/>
        <w:jc w:val="both"/>
        <w:rPr>
          <w:rFonts w:ascii="Tahoma" w:hAnsi="Tahoma" w:cs="Tahoma"/>
          <w:sz w:val="20"/>
          <w:szCs w:val="20"/>
        </w:rPr>
      </w:pPr>
    </w:p>
    <w:p w14:paraId="0B0ABF3C" w14:textId="77777777" w:rsidR="003D69A8" w:rsidRPr="005E1EA7" w:rsidRDefault="003D69A8" w:rsidP="003D69A8">
      <w:pPr>
        <w:spacing w:line="276" w:lineRule="auto"/>
        <w:jc w:val="both"/>
        <w:rPr>
          <w:rFonts w:ascii="Tahoma" w:hAnsi="Tahoma" w:cs="Tahoma"/>
          <w:sz w:val="20"/>
          <w:szCs w:val="20"/>
        </w:rPr>
      </w:pPr>
      <w:r w:rsidRPr="005E1EA7">
        <w:rPr>
          <w:rFonts w:ascii="Tahoma" w:hAnsi="Tahoma" w:cs="Tahoma"/>
          <w:b/>
          <w:sz w:val="20"/>
          <w:szCs w:val="20"/>
          <w:u w:val="single"/>
        </w:rPr>
        <w:t>Article 11</w:t>
      </w:r>
      <w:r w:rsidRPr="005E1EA7">
        <w:rPr>
          <w:rFonts w:ascii="Tahoma" w:hAnsi="Tahoma" w:cs="Tahoma"/>
          <w:sz w:val="20"/>
          <w:szCs w:val="20"/>
        </w:rPr>
        <w:t xml:space="preserve"> : Le manuel HACCP des unités de traitement est systématiquement approuvé par l’Autorité compétente, avant sa mise en œuvre. </w:t>
      </w:r>
    </w:p>
    <w:p w14:paraId="3657194B" w14:textId="77777777" w:rsidR="003D69A8" w:rsidRPr="005E1EA7" w:rsidRDefault="003D69A8" w:rsidP="003D69A8">
      <w:pPr>
        <w:spacing w:line="276" w:lineRule="auto"/>
        <w:jc w:val="both"/>
        <w:rPr>
          <w:rFonts w:ascii="Tahoma" w:hAnsi="Tahoma" w:cs="Tahoma"/>
          <w:sz w:val="20"/>
          <w:szCs w:val="20"/>
        </w:rPr>
      </w:pPr>
      <w:r w:rsidRPr="005E1EA7">
        <w:rPr>
          <w:rFonts w:ascii="Tahoma" w:hAnsi="Tahoma" w:cs="Tahoma"/>
          <w:sz w:val="20"/>
          <w:szCs w:val="20"/>
        </w:rPr>
        <w:t>Cette approbation prend en compte des critères pertinents, tels que :</w:t>
      </w:r>
    </w:p>
    <w:p w14:paraId="46722A70" w14:textId="77777777" w:rsidR="003D69A8" w:rsidRPr="005E1EA7" w:rsidRDefault="003D69A8" w:rsidP="00420DDA">
      <w:pPr>
        <w:pStyle w:val="Paragraphedeliste"/>
        <w:numPr>
          <w:ilvl w:val="1"/>
          <w:numId w:val="165"/>
        </w:numPr>
        <w:spacing w:line="276" w:lineRule="auto"/>
        <w:ind w:left="567"/>
        <w:contextualSpacing/>
        <w:jc w:val="both"/>
        <w:rPr>
          <w:rFonts w:ascii="Tahoma" w:hAnsi="Tahoma" w:cs="Tahoma"/>
          <w:sz w:val="20"/>
          <w:szCs w:val="20"/>
        </w:rPr>
      </w:pPr>
      <w:proofErr w:type="gramStart"/>
      <w:r w:rsidRPr="005E1EA7">
        <w:rPr>
          <w:rFonts w:ascii="Tahoma" w:hAnsi="Tahoma" w:cs="Tahoma"/>
          <w:sz w:val="20"/>
          <w:szCs w:val="20"/>
        </w:rPr>
        <w:t>la</w:t>
      </w:r>
      <w:proofErr w:type="gramEnd"/>
      <w:r w:rsidRPr="005E1EA7">
        <w:rPr>
          <w:rFonts w:ascii="Tahoma" w:hAnsi="Tahoma" w:cs="Tahoma"/>
          <w:sz w:val="20"/>
          <w:szCs w:val="20"/>
        </w:rPr>
        <w:t xml:space="preserve"> structuration du manuel HACCP, qui doit comprendre l’engagement de la direction de l’entreprise, la présentation des structures de l’entreprise, les programmes préalables, les douze (12) étapes de la mise en œuvre du système, avec comme finalité le plan HACCP ; </w:t>
      </w:r>
    </w:p>
    <w:p w14:paraId="24D2DC83" w14:textId="77777777" w:rsidR="003D69A8" w:rsidRPr="005E1EA7" w:rsidRDefault="003D69A8" w:rsidP="00420DDA">
      <w:pPr>
        <w:pStyle w:val="Paragraphedeliste"/>
        <w:numPr>
          <w:ilvl w:val="1"/>
          <w:numId w:val="165"/>
        </w:numPr>
        <w:spacing w:line="276" w:lineRule="auto"/>
        <w:ind w:left="567"/>
        <w:contextualSpacing/>
        <w:jc w:val="both"/>
        <w:rPr>
          <w:rFonts w:ascii="Tahoma" w:hAnsi="Tahoma" w:cs="Tahoma"/>
          <w:sz w:val="20"/>
          <w:szCs w:val="20"/>
        </w:rPr>
      </w:pPr>
      <w:proofErr w:type="gramStart"/>
      <w:r w:rsidRPr="005E1EA7">
        <w:rPr>
          <w:rFonts w:ascii="Tahoma" w:hAnsi="Tahoma" w:cs="Tahoma"/>
          <w:sz w:val="20"/>
          <w:szCs w:val="20"/>
        </w:rPr>
        <w:t>le</w:t>
      </w:r>
      <w:proofErr w:type="gramEnd"/>
      <w:r w:rsidRPr="005E1EA7">
        <w:rPr>
          <w:rFonts w:ascii="Tahoma" w:hAnsi="Tahoma" w:cs="Tahoma"/>
          <w:sz w:val="20"/>
          <w:szCs w:val="20"/>
        </w:rPr>
        <w:t xml:space="preserve"> contenu et les modalités d’application des programmes préalables ; </w:t>
      </w:r>
    </w:p>
    <w:p w14:paraId="48624E8D" w14:textId="77777777" w:rsidR="003D69A8" w:rsidRPr="005E1EA7" w:rsidRDefault="003D69A8" w:rsidP="00420DDA">
      <w:pPr>
        <w:pStyle w:val="Paragraphedeliste"/>
        <w:numPr>
          <w:ilvl w:val="1"/>
          <w:numId w:val="165"/>
        </w:numPr>
        <w:spacing w:line="276" w:lineRule="auto"/>
        <w:ind w:left="567"/>
        <w:contextualSpacing/>
        <w:jc w:val="both"/>
        <w:rPr>
          <w:rFonts w:ascii="Tahoma" w:hAnsi="Tahoma" w:cs="Tahoma"/>
          <w:sz w:val="20"/>
          <w:szCs w:val="20"/>
        </w:rPr>
      </w:pPr>
      <w:proofErr w:type="gramStart"/>
      <w:r w:rsidRPr="005E1EA7">
        <w:rPr>
          <w:rFonts w:ascii="Tahoma" w:hAnsi="Tahoma" w:cs="Tahoma"/>
          <w:sz w:val="20"/>
          <w:szCs w:val="20"/>
        </w:rPr>
        <w:t>le</w:t>
      </w:r>
      <w:proofErr w:type="gramEnd"/>
      <w:r w:rsidRPr="005E1EA7">
        <w:rPr>
          <w:rFonts w:ascii="Tahoma" w:hAnsi="Tahoma" w:cs="Tahoma"/>
          <w:sz w:val="20"/>
          <w:szCs w:val="20"/>
        </w:rPr>
        <w:t xml:space="preserve"> contenu du plan HACCP et les modalités de son application ; </w:t>
      </w:r>
    </w:p>
    <w:p w14:paraId="7E6C6391" w14:textId="77777777" w:rsidR="003D69A8" w:rsidRPr="005E1EA7" w:rsidRDefault="003D69A8" w:rsidP="00420DDA">
      <w:pPr>
        <w:pStyle w:val="Paragraphedeliste"/>
        <w:numPr>
          <w:ilvl w:val="1"/>
          <w:numId w:val="165"/>
        </w:numPr>
        <w:spacing w:line="276" w:lineRule="auto"/>
        <w:ind w:left="567"/>
        <w:contextualSpacing/>
        <w:jc w:val="both"/>
        <w:rPr>
          <w:rFonts w:ascii="Tahoma" w:hAnsi="Tahoma" w:cs="Tahoma"/>
          <w:sz w:val="20"/>
          <w:szCs w:val="20"/>
        </w:rPr>
      </w:pPr>
      <w:proofErr w:type="gramStart"/>
      <w:r w:rsidRPr="005E1EA7">
        <w:rPr>
          <w:rFonts w:ascii="Tahoma" w:hAnsi="Tahoma" w:cs="Tahoma"/>
          <w:sz w:val="20"/>
          <w:szCs w:val="20"/>
        </w:rPr>
        <w:t>la</w:t>
      </w:r>
      <w:proofErr w:type="gramEnd"/>
      <w:r w:rsidRPr="005E1EA7">
        <w:rPr>
          <w:rFonts w:ascii="Tahoma" w:hAnsi="Tahoma" w:cs="Tahoma"/>
          <w:sz w:val="20"/>
          <w:szCs w:val="20"/>
        </w:rPr>
        <w:t xml:space="preserve"> vérification sur site du système HACCP.</w:t>
      </w:r>
    </w:p>
    <w:p w14:paraId="41992D81" w14:textId="77777777" w:rsidR="003D69A8" w:rsidRPr="005E1EA7" w:rsidRDefault="003D69A8" w:rsidP="003D69A8">
      <w:pPr>
        <w:spacing w:line="276" w:lineRule="auto"/>
        <w:jc w:val="both"/>
        <w:rPr>
          <w:rFonts w:ascii="Tahoma" w:hAnsi="Tahoma" w:cs="Tahoma"/>
          <w:sz w:val="20"/>
          <w:szCs w:val="20"/>
        </w:rPr>
      </w:pPr>
      <w:r w:rsidRPr="005E1EA7">
        <w:rPr>
          <w:rFonts w:ascii="Tahoma" w:hAnsi="Tahoma" w:cs="Tahoma"/>
          <w:b/>
          <w:sz w:val="20"/>
          <w:szCs w:val="20"/>
          <w:u w:val="single"/>
        </w:rPr>
        <w:t>Article 12 </w:t>
      </w:r>
      <w:r w:rsidRPr="005E1EA7">
        <w:rPr>
          <w:rFonts w:ascii="Tahoma" w:hAnsi="Tahoma" w:cs="Tahoma"/>
          <w:bCs/>
          <w:sz w:val="20"/>
          <w:szCs w:val="20"/>
        </w:rPr>
        <w:t>:</w:t>
      </w:r>
      <w:r w:rsidRPr="005E1EA7">
        <w:rPr>
          <w:rFonts w:ascii="Tahoma" w:hAnsi="Tahoma" w:cs="Tahoma"/>
          <w:b/>
          <w:sz w:val="20"/>
          <w:szCs w:val="20"/>
        </w:rPr>
        <w:t xml:space="preserve"> </w:t>
      </w:r>
      <w:r w:rsidRPr="005E1EA7">
        <w:rPr>
          <w:rFonts w:ascii="Tahoma" w:hAnsi="Tahoma" w:cs="Tahoma"/>
          <w:sz w:val="20"/>
          <w:szCs w:val="20"/>
        </w:rPr>
        <w:t xml:space="preserve">Les responsables des unités de traitement, doivent prévoir un programme de prélèvements d'échantillons qui, sans être systématique pour chaque lot de fabrication, doit permettre : </w:t>
      </w:r>
    </w:p>
    <w:p w14:paraId="2C7392DE" w14:textId="77777777" w:rsidR="003D69A8" w:rsidRPr="005E1EA7" w:rsidRDefault="003D69A8" w:rsidP="003D69A8">
      <w:pPr>
        <w:spacing w:line="276" w:lineRule="auto"/>
        <w:jc w:val="both"/>
        <w:rPr>
          <w:rFonts w:ascii="Tahoma" w:hAnsi="Tahoma" w:cs="Tahoma"/>
          <w:sz w:val="20"/>
          <w:szCs w:val="20"/>
        </w:rPr>
      </w:pPr>
      <w:r w:rsidRPr="005E1EA7">
        <w:rPr>
          <w:rFonts w:ascii="Tahoma" w:hAnsi="Tahoma" w:cs="Tahoma"/>
          <w:sz w:val="20"/>
          <w:szCs w:val="20"/>
        </w:rPr>
        <w:t>- de mettre en œuvre le système d'autocontrôles ;</w:t>
      </w:r>
    </w:p>
    <w:p w14:paraId="68D622CA" w14:textId="77777777" w:rsidR="003D69A8" w:rsidRPr="005E1EA7" w:rsidRDefault="003D69A8" w:rsidP="003D69A8">
      <w:pPr>
        <w:spacing w:line="276" w:lineRule="auto"/>
        <w:jc w:val="both"/>
        <w:rPr>
          <w:rFonts w:ascii="Tahoma" w:hAnsi="Tahoma" w:cs="Tahoma"/>
          <w:sz w:val="20"/>
          <w:szCs w:val="20"/>
        </w:rPr>
      </w:pPr>
      <w:r w:rsidRPr="005E1EA7">
        <w:rPr>
          <w:rFonts w:ascii="Tahoma" w:hAnsi="Tahoma" w:cs="Tahoma"/>
          <w:sz w:val="20"/>
          <w:szCs w:val="20"/>
        </w:rPr>
        <w:t xml:space="preserve">- de s'assurer selon une périodicité déterminée que les dispositions mises en place sont toujours valables et correctement appliquées. </w:t>
      </w:r>
    </w:p>
    <w:p w14:paraId="7A019EE8" w14:textId="77777777" w:rsidR="003D69A8" w:rsidRPr="005E1EA7" w:rsidRDefault="003D69A8" w:rsidP="003D69A8">
      <w:pPr>
        <w:spacing w:line="276" w:lineRule="auto"/>
        <w:jc w:val="both"/>
        <w:rPr>
          <w:rFonts w:ascii="Tahoma" w:hAnsi="Tahoma" w:cs="Tahoma"/>
          <w:sz w:val="20"/>
          <w:szCs w:val="20"/>
        </w:rPr>
      </w:pPr>
    </w:p>
    <w:p w14:paraId="2B3A3054" w14:textId="77777777" w:rsidR="003D69A8" w:rsidRPr="005E1EA7" w:rsidRDefault="003D69A8" w:rsidP="003D69A8">
      <w:pPr>
        <w:spacing w:line="276" w:lineRule="auto"/>
        <w:jc w:val="both"/>
        <w:rPr>
          <w:rFonts w:ascii="Tahoma" w:hAnsi="Tahoma" w:cs="Tahoma"/>
          <w:sz w:val="20"/>
          <w:szCs w:val="20"/>
        </w:rPr>
      </w:pPr>
      <w:r w:rsidRPr="005E1EA7">
        <w:rPr>
          <w:rFonts w:ascii="Tahoma" w:hAnsi="Tahoma" w:cs="Tahoma"/>
          <w:b/>
          <w:sz w:val="20"/>
          <w:szCs w:val="20"/>
          <w:u w:val="single"/>
        </w:rPr>
        <w:t>Article 13 </w:t>
      </w:r>
      <w:r w:rsidRPr="005E1EA7">
        <w:rPr>
          <w:rFonts w:ascii="Tahoma" w:hAnsi="Tahoma" w:cs="Tahoma"/>
          <w:sz w:val="20"/>
          <w:szCs w:val="20"/>
        </w:rPr>
        <w:t xml:space="preserve">: Les autocontrôles doivent porter sur des paramètres organoleptiques, chimiques et biologiques, conformément aux dispositions réglementaires en vigueur, en l’absence de texte réglementaire, il est fait référence aux normes internationales pertinentes ou à celles des pays importateurs. </w:t>
      </w:r>
    </w:p>
    <w:p w14:paraId="725CDEB4" w14:textId="77777777" w:rsidR="003D69A8" w:rsidRPr="005E1EA7" w:rsidRDefault="003D69A8" w:rsidP="003D69A8">
      <w:pPr>
        <w:spacing w:line="276" w:lineRule="auto"/>
        <w:jc w:val="both"/>
        <w:rPr>
          <w:rFonts w:ascii="Tahoma" w:hAnsi="Tahoma" w:cs="Tahoma"/>
          <w:sz w:val="20"/>
          <w:szCs w:val="20"/>
        </w:rPr>
      </w:pPr>
    </w:p>
    <w:p w14:paraId="6FD89793" w14:textId="77777777" w:rsidR="003D69A8" w:rsidRPr="005E1EA7" w:rsidRDefault="003D69A8" w:rsidP="003D69A8">
      <w:pPr>
        <w:spacing w:line="276" w:lineRule="auto"/>
        <w:jc w:val="both"/>
        <w:rPr>
          <w:rFonts w:ascii="Tahoma" w:hAnsi="Tahoma" w:cs="Tahoma"/>
          <w:sz w:val="20"/>
          <w:szCs w:val="20"/>
        </w:rPr>
      </w:pPr>
      <w:r w:rsidRPr="005E1EA7">
        <w:rPr>
          <w:rFonts w:ascii="Tahoma" w:hAnsi="Tahoma" w:cs="Tahoma"/>
          <w:b/>
          <w:sz w:val="20"/>
          <w:szCs w:val="20"/>
          <w:u w:val="single"/>
        </w:rPr>
        <w:t>Article 14</w:t>
      </w:r>
      <w:r w:rsidRPr="005E1EA7">
        <w:rPr>
          <w:rFonts w:ascii="Tahoma" w:hAnsi="Tahoma" w:cs="Tahoma"/>
          <w:b/>
          <w:sz w:val="20"/>
          <w:szCs w:val="20"/>
        </w:rPr>
        <w:t> </w:t>
      </w:r>
      <w:r w:rsidRPr="005E1EA7">
        <w:rPr>
          <w:rFonts w:ascii="Tahoma" w:hAnsi="Tahoma" w:cs="Tahoma"/>
          <w:sz w:val="20"/>
          <w:szCs w:val="20"/>
        </w:rPr>
        <w:t xml:space="preserve">: des contrôles visuels des produits halieutiques doivent être instaurés afin de constater la présence ou l’absence des parasites. La détection des parasites par mirage est idéale. Les produits manifestement infestés de parasites ne doivent pas être mis sur le marché, conformément aux dispositions de l’arrêté relatif aux contrôles officiels. </w:t>
      </w:r>
    </w:p>
    <w:p w14:paraId="633BC9BA" w14:textId="77777777" w:rsidR="003D69A8" w:rsidRPr="005E1EA7" w:rsidRDefault="003D69A8" w:rsidP="003D69A8">
      <w:pPr>
        <w:spacing w:line="276" w:lineRule="auto"/>
        <w:jc w:val="both"/>
        <w:rPr>
          <w:rFonts w:ascii="Tahoma" w:hAnsi="Tahoma" w:cs="Tahoma"/>
          <w:sz w:val="20"/>
          <w:szCs w:val="20"/>
        </w:rPr>
      </w:pPr>
    </w:p>
    <w:p w14:paraId="07B6D0FF" w14:textId="77777777" w:rsidR="003D69A8" w:rsidRPr="005E1EA7" w:rsidRDefault="003D69A8" w:rsidP="003D69A8">
      <w:pPr>
        <w:spacing w:line="276" w:lineRule="auto"/>
        <w:jc w:val="both"/>
        <w:rPr>
          <w:rFonts w:ascii="Tahoma" w:hAnsi="Tahoma" w:cs="Tahoma"/>
          <w:sz w:val="20"/>
          <w:szCs w:val="20"/>
        </w:rPr>
      </w:pPr>
      <w:r w:rsidRPr="005E1EA7">
        <w:rPr>
          <w:rFonts w:ascii="Tahoma" w:hAnsi="Tahoma" w:cs="Tahoma"/>
          <w:b/>
          <w:sz w:val="20"/>
          <w:szCs w:val="20"/>
          <w:u w:val="single"/>
        </w:rPr>
        <w:t>Article 15</w:t>
      </w:r>
      <w:r w:rsidRPr="005E1EA7">
        <w:rPr>
          <w:rFonts w:ascii="Tahoma" w:hAnsi="Tahoma" w:cs="Tahoma"/>
          <w:b/>
          <w:sz w:val="20"/>
          <w:szCs w:val="20"/>
        </w:rPr>
        <w:t> </w:t>
      </w:r>
      <w:r w:rsidRPr="005E1EA7">
        <w:rPr>
          <w:rFonts w:ascii="Tahoma" w:hAnsi="Tahoma" w:cs="Tahoma"/>
          <w:sz w:val="20"/>
          <w:szCs w:val="20"/>
        </w:rPr>
        <w:t xml:space="preserve">: Le système d’autocontrôle mis en place doit permettre de déceler les espèces halieutiques toxiques appartenant aux familles suivantes : tétraodontidae, molidae, diodontidae, canthigasteridae. </w:t>
      </w:r>
    </w:p>
    <w:p w14:paraId="0B7C73BF" w14:textId="77777777" w:rsidR="003D69A8" w:rsidRPr="005E1EA7" w:rsidRDefault="003D69A8" w:rsidP="003D69A8">
      <w:pPr>
        <w:spacing w:line="276" w:lineRule="auto"/>
        <w:jc w:val="both"/>
        <w:rPr>
          <w:rFonts w:ascii="Tahoma" w:hAnsi="Tahoma" w:cs="Tahoma"/>
          <w:sz w:val="20"/>
          <w:szCs w:val="20"/>
        </w:rPr>
      </w:pPr>
      <w:r w:rsidRPr="005E1EA7">
        <w:rPr>
          <w:rFonts w:ascii="Tahoma" w:hAnsi="Tahoma" w:cs="Tahoma"/>
          <w:sz w:val="20"/>
          <w:szCs w:val="20"/>
        </w:rPr>
        <w:t>La mise sur le marché des produits dérivés de ces espèces est formellement interdite.</w:t>
      </w:r>
    </w:p>
    <w:p w14:paraId="40712733" w14:textId="77777777" w:rsidR="003D69A8" w:rsidRPr="005E1EA7" w:rsidRDefault="003D69A8" w:rsidP="003D69A8">
      <w:pPr>
        <w:spacing w:line="276" w:lineRule="auto"/>
        <w:jc w:val="both"/>
        <w:rPr>
          <w:rFonts w:ascii="Tahoma" w:hAnsi="Tahoma" w:cs="Tahoma"/>
          <w:sz w:val="20"/>
          <w:szCs w:val="20"/>
        </w:rPr>
      </w:pPr>
    </w:p>
    <w:p w14:paraId="4FF9ADF0" w14:textId="77777777" w:rsidR="003D69A8" w:rsidRPr="005E1EA7" w:rsidRDefault="003D69A8" w:rsidP="003D69A8">
      <w:pPr>
        <w:spacing w:line="276" w:lineRule="auto"/>
        <w:jc w:val="both"/>
        <w:rPr>
          <w:rFonts w:ascii="Tahoma" w:hAnsi="Tahoma" w:cs="Tahoma"/>
          <w:sz w:val="20"/>
          <w:szCs w:val="20"/>
        </w:rPr>
      </w:pPr>
      <w:r w:rsidRPr="005E1EA7">
        <w:rPr>
          <w:rFonts w:ascii="Tahoma" w:hAnsi="Tahoma" w:cs="Tahoma"/>
          <w:b/>
          <w:sz w:val="20"/>
          <w:szCs w:val="20"/>
          <w:u w:val="single"/>
        </w:rPr>
        <w:t>Article 16</w:t>
      </w:r>
      <w:r w:rsidRPr="005E1EA7">
        <w:rPr>
          <w:rFonts w:ascii="Tahoma" w:hAnsi="Tahoma" w:cs="Tahoma"/>
          <w:b/>
          <w:sz w:val="20"/>
          <w:szCs w:val="20"/>
        </w:rPr>
        <w:t> </w:t>
      </w:r>
      <w:r w:rsidRPr="005E1EA7">
        <w:rPr>
          <w:rFonts w:ascii="Tahoma" w:hAnsi="Tahoma" w:cs="Tahoma"/>
          <w:sz w:val="20"/>
          <w:szCs w:val="20"/>
        </w:rPr>
        <w:t xml:space="preserve">: Une surveillance et un contrôle appropriés doivent être établis pour s’assurer de la maîtrise effective des points critiques. Les méthodes utilisables peuvent inclure en particulier, des prélèvements d'échantillons pour analyses ou des tests renforcés à certains points critiques. Il peut s’agir également d’analyses intensifiées sur les produits intermédiaires ou les produits finis, des enquêtes le long de la chaine de fabrication et de distribution. </w:t>
      </w:r>
    </w:p>
    <w:p w14:paraId="3892A4EF" w14:textId="77777777" w:rsidR="003D69A8" w:rsidRPr="005E1EA7" w:rsidRDefault="003D69A8" w:rsidP="003D69A8">
      <w:pPr>
        <w:spacing w:line="276" w:lineRule="auto"/>
        <w:rPr>
          <w:rFonts w:ascii="Tahoma" w:hAnsi="Tahoma" w:cs="Tahoma"/>
          <w:sz w:val="20"/>
          <w:szCs w:val="20"/>
        </w:rPr>
      </w:pPr>
    </w:p>
    <w:p w14:paraId="6CCE2902" w14:textId="77777777" w:rsidR="003D69A8" w:rsidRPr="005E1EA7" w:rsidRDefault="003D69A8" w:rsidP="003D69A8">
      <w:pPr>
        <w:spacing w:line="276" w:lineRule="auto"/>
        <w:jc w:val="both"/>
        <w:rPr>
          <w:rFonts w:ascii="Tahoma" w:hAnsi="Tahoma" w:cs="Tahoma"/>
          <w:sz w:val="20"/>
          <w:szCs w:val="20"/>
        </w:rPr>
      </w:pPr>
      <w:r w:rsidRPr="005E1EA7">
        <w:rPr>
          <w:rFonts w:ascii="Tahoma" w:hAnsi="Tahoma" w:cs="Tahoma"/>
          <w:b/>
          <w:sz w:val="20"/>
          <w:szCs w:val="20"/>
          <w:u w:val="single"/>
        </w:rPr>
        <w:t>Article 17</w:t>
      </w:r>
      <w:r w:rsidRPr="005E1EA7">
        <w:rPr>
          <w:rFonts w:ascii="Tahoma" w:hAnsi="Tahoma" w:cs="Tahoma"/>
          <w:sz w:val="20"/>
          <w:szCs w:val="20"/>
        </w:rPr>
        <w:t xml:space="preserve"> : Les procédures de vérification de la maîtrise des points critiques, doivent prendre en compte : </w:t>
      </w:r>
    </w:p>
    <w:p w14:paraId="3C0816CE" w14:textId="77777777" w:rsidR="003D69A8" w:rsidRPr="005E1EA7" w:rsidRDefault="003D69A8" w:rsidP="00420DDA">
      <w:pPr>
        <w:pStyle w:val="Paragraphedeliste"/>
        <w:numPr>
          <w:ilvl w:val="1"/>
          <w:numId w:val="165"/>
        </w:numPr>
        <w:spacing w:line="276" w:lineRule="auto"/>
        <w:ind w:left="426"/>
        <w:contextualSpacing/>
        <w:jc w:val="both"/>
        <w:rPr>
          <w:rFonts w:ascii="Tahoma" w:hAnsi="Tahoma" w:cs="Tahoma"/>
          <w:sz w:val="20"/>
          <w:szCs w:val="20"/>
        </w:rPr>
      </w:pPr>
      <w:proofErr w:type="gramStart"/>
      <w:r w:rsidRPr="005E1EA7">
        <w:rPr>
          <w:rFonts w:ascii="Tahoma" w:hAnsi="Tahoma" w:cs="Tahoma"/>
          <w:sz w:val="20"/>
          <w:szCs w:val="20"/>
        </w:rPr>
        <w:t>les</w:t>
      </w:r>
      <w:proofErr w:type="gramEnd"/>
      <w:r w:rsidRPr="005E1EA7">
        <w:rPr>
          <w:rFonts w:ascii="Tahoma" w:hAnsi="Tahoma" w:cs="Tahoma"/>
          <w:sz w:val="20"/>
          <w:szCs w:val="20"/>
        </w:rPr>
        <w:t xml:space="preserve"> rapports des inspections officielles ; </w:t>
      </w:r>
    </w:p>
    <w:p w14:paraId="1D5FB807" w14:textId="77777777" w:rsidR="003D69A8" w:rsidRPr="005E1EA7" w:rsidRDefault="003D69A8" w:rsidP="00420DDA">
      <w:pPr>
        <w:pStyle w:val="Paragraphedeliste"/>
        <w:numPr>
          <w:ilvl w:val="1"/>
          <w:numId w:val="165"/>
        </w:numPr>
        <w:spacing w:line="276" w:lineRule="auto"/>
        <w:ind w:left="426"/>
        <w:contextualSpacing/>
        <w:jc w:val="both"/>
        <w:rPr>
          <w:rFonts w:ascii="Tahoma" w:hAnsi="Tahoma" w:cs="Tahoma"/>
          <w:sz w:val="20"/>
          <w:szCs w:val="20"/>
        </w:rPr>
      </w:pPr>
      <w:proofErr w:type="gramStart"/>
      <w:r w:rsidRPr="005E1EA7">
        <w:rPr>
          <w:rFonts w:ascii="Tahoma" w:hAnsi="Tahoma" w:cs="Tahoma"/>
          <w:sz w:val="20"/>
          <w:szCs w:val="20"/>
        </w:rPr>
        <w:t>les</w:t>
      </w:r>
      <w:proofErr w:type="gramEnd"/>
      <w:r w:rsidRPr="005E1EA7">
        <w:rPr>
          <w:rFonts w:ascii="Tahoma" w:hAnsi="Tahoma" w:cs="Tahoma"/>
          <w:sz w:val="20"/>
          <w:szCs w:val="20"/>
        </w:rPr>
        <w:t xml:space="preserve"> résultats des autocontrôles, notamment l’analyse des déviations, des actions correctives mises en œuvre et des dispositions prises à l’égard des produits affectés ; </w:t>
      </w:r>
    </w:p>
    <w:p w14:paraId="7C239A30" w14:textId="77777777" w:rsidR="003D69A8" w:rsidRPr="005E1EA7" w:rsidRDefault="003D69A8" w:rsidP="00420DDA">
      <w:pPr>
        <w:pStyle w:val="Paragraphedeliste"/>
        <w:numPr>
          <w:ilvl w:val="1"/>
          <w:numId w:val="165"/>
        </w:numPr>
        <w:spacing w:line="276" w:lineRule="auto"/>
        <w:ind w:left="426"/>
        <w:contextualSpacing/>
        <w:jc w:val="both"/>
        <w:rPr>
          <w:rFonts w:ascii="Tahoma" w:hAnsi="Tahoma" w:cs="Tahoma"/>
          <w:sz w:val="20"/>
          <w:szCs w:val="20"/>
        </w:rPr>
      </w:pPr>
      <w:proofErr w:type="gramStart"/>
      <w:r w:rsidRPr="005E1EA7">
        <w:rPr>
          <w:rFonts w:ascii="Tahoma" w:hAnsi="Tahoma" w:cs="Tahoma"/>
          <w:sz w:val="20"/>
          <w:szCs w:val="20"/>
        </w:rPr>
        <w:t>les</w:t>
      </w:r>
      <w:proofErr w:type="gramEnd"/>
      <w:r w:rsidRPr="005E1EA7">
        <w:rPr>
          <w:rFonts w:ascii="Tahoma" w:hAnsi="Tahoma" w:cs="Tahoma"/>
          <w:sz w:val="20"/>
          <w:szCs w:val="20"/>
        </w:rPr>
        <w:t xml:space="preserve"> audits du système ; </w:t>
      </w:r>
    </w:p>
    <w:p w14:paraId="7CDF25BC" w14:textId="77777777" w:rsidR="003D69A8" w:rsidRPr="005E1EA7" w:rsidRDefault="003D69A8" w:rsidP="00420DDA">
      <w:pPr>
        <w:pStyle w:val="Paragraphedeliste"/>
        <w:numPr>
          <w:ilvl w:val="1"/>
          <w:numId w:val="165"/>
        </w:numPr>
        <w:spacing w:line="276" w:lineRule="auto"/>
        <w:ind w:left="426"/>
        <w:contextualSpacing/>
        <w:jc w:val="both"/>
        <w:rPr>
          <w:rFonts w:ascii="Tahoma" w:hAnsi="Tahoma" w:cs="Tahoma"/>
          <w:sz w:val="20"/>
          <w:szCs w:val="20"/>
        </w:rPr>
      </w:pPr>
      <w:proofErr w:type="gramStart"/>
      <w:r w:rsidRPr="005E1EA7">
        <w:rPr>
          <w:rFonts w:ascii="Tahoma" w:hAnsi="Tahoma" w:cs="Tahoma"/>
          <w:sz w:val="20"/>
          <w:szCs w:val="20"/>
        </w:rPr>
        <w:t>le</w:t>
      </w:r>
      <w:proofErr w:type="gramEnd"/>
      <w:r w:rsidRPr="005E1EA7">
        <w:rPr>
          <w:rFonts w:ascii="Tahoma" w:hAnsi="Tahoma" w:cs="Tahoma"/>
          <w:sz w:val="20"/>
          <w:szCs w:val="20"/>
        </w:rPr>
        <w:t xml:space="preserve"> dispositif documentaire (Traçabilité).</w:t>
      </w:r>
    </w:p>
    <w:p w14:paraId="17B798B5" w14:textId="77777777" w:rsidR="003D69A8" w:rsidRPr="005E1EA7" w:rsidRDefault="003D69A8" w:rsidP="003D69A8">
      <w:pPr>
        <w:spacing w:line="276" w:lineRule="auto"/>
        <w:ind w:left="426"/>
        <w:jc w:val="both"/>
        <w:rPr>
          <w:rFonts w:ascii="Tahoma" w:hAnsi="Tahoma" w:cs="Tahoma"/>
          <w:sz w:val="20"/>
          <w:szCs w:val="20"/>
        </w:rPr>
      </w:pPr>
    </w:p>
    <w:p w14:paraId="796A1185" w14:textId="77777777" w:rsidR="003D69A8" w:rsidRPr="005E1EA7" w:rsidRDefault="003D69A8" w:rsidP="003D69A8">
      <w:pPr>
        <w:spacing w:line="276" w:lineRule="auto"/>
        <w:jc w:val="both"/>
        <w:rPr>
          <w:rFonts w:ascii="Tahoma" w:hAnsi="Tahoma" w:cs="Tahoma"/>
          <w:sz w:val="20"/>
          <w:szCs w:val="20"/>
        </w:rPr>
      </w:pPr>
      <w:r w:rsidRPr="005E1EA7">
        <w:rPr>
          <w:rFonts w:ascii="Tahoma" w:hAnsi="Tahoma" w:cs="Tahoma"/>
          <w:b/>
          <w:sz w:val="20"/>
          <w:szCs w:val="20"/>
          <w:u w:val="single"/>
        </w:rPr>
        <w:t>Article 18</w:t>
      </w:r>
      <w:r w:rsidRPr="005E1EA7">
        <w:rPr>
          <w:rFonts w:ascii="Tahoma" w:hAnsi="Tahoma" w:cs="Tahoma"/>
          <w:b/>
          <w:sz w:val="20"/>
          <w:szCs w:val="20"/>
        </w:rPr>
        <w:t> </w:t>
      </w:r>
      <w:r w:rsidRPr="005E1EA7">
        <w:rPr>
          <w:rFonts w:ascii="Tahoma" w:hAnsi="Tahoma" w:cs="Tahoma"/>
          <w:sz w:val="20"/>
          <w:szCs w:val="20"/>
        </w:rPr>
        <w:t xml:space="preserve">: Si les résultats des autocontrôles ou toute information dont dispose l’exploitant du secteur </w:t>
      </w:r>
      <w:r w:rsidRPr="005E1EA7">
        <w:rPr>
          <w:rFonts w:ascii="Tahoma" w:eastAsia="EUAlbertina-Regular-Identity-H" w:hAnsi="Tahoma" w:cs="Tahoma"/>
          <w:sz w:val="20"/>
          <w:szCs w:val="20"/>
        </w:rPr>
        <w:t>halieutique</w:t>
      </w:r>
      <w:r w:rsidRPr="005E1EA7">
        <w:rPr>
          <w:rFonts w:ascii="Tahoma" w:hAnsi="Tahoma" w:cs="Tahoma"/>
          <w:sz w:val="20"/>
          <w:szCs w:val="20"/>
        </w:rPr>
        <w:t xml:space="preserve">, laissent soupçonner l’existence d’un risque sanitaire, il doit en informer, sans délai, l’Autorité compétente. </w:t>
      </w:r>
    </w:p>
    <w:p w14:paraId="752F1D3D" w14:textId="77777777" w:rsidR="003D69A8" w:rsidRPr="005E1EA7" w:rsidRDefault="003D69A8" w:rsidP="003D69A8">
      <w:pPr>
        <w:spacing w:line="276" w:lineRule="auto"/>
        <w:jc w:val="both"/>
        <w:rPr>
          <w:rFonts w:ascii="Tahoma" w:hAnsi="Tahoma" w:cs="Tahoma"/>
          <w:sz w:val="20"/>
          <w:szCs w:val="20"/>
        </w:rPr>
      </w:pPr>
    </w:p>
    <w:p w14:paraId="2B81AC04" w14:textId="77777777" w:rsidR="003D69A8" w:rsidRPr="005E1EA7" w:rsidRDefault="003D69A8" w:rsidP="003D69A8">
      <w:pPr>
        <w:spacing w:line="276" w:lineRule="auto"/>
        <w:jc w:val="both"/>
        <w:rPr>
          <w:rFonts w:ascii="Tahoma" w:hAnsi="Tahoma" w:cs="Tahoma"/>
          <w:sz w:val="20"/>
          <w:szCs w:val="20"/>
        </w:rPr>
      </w:pPr>
      <w:r w:rsidRPr="005E1EA7">
        <w:rPr>
          <w:rFonts w:ascii="Tahoma" w:hAnsi="Tahoma" w:cs="Tahoma"/>
          <w:b/>
          <w:sz w:val="20"/>
          <w:szCs w:val="20"/>
          <w:u w:val="single"/>
        </w:rPr>
        <w:t>Article 19</w:t>
      </w:r>
      <w:r w:rsidRPr="005E1EA7">
        <w:rPr>
          <w:rFonts w:ascii="Tahoma" w:hAnsi="Tahoma" w:cs="Tahoma"/>
          <w:b/>
          <w:sz w:val="20"/>
          <w:szCs w:val="20"/>
        </w:rPr>
        <w:t> </w:t>
      </w:r>
      <w:r w:rsidRPr="005E1EA7">
        <w:rPr>
          <w:rFonts w:ascii="Tahoma" w:hAnsi="Tahoma" w:cs="Tahoma"/>
          <w:sz w:val="20"/>
          <w:szCs w:val="20"/>
        </w:rPr>
        <w:t xml:space="preserve">: Tous les documents se rapportant à l’autocontrôle doivent être conservés durant les deux années suivant la date de péremption du produit fini concerné. Ils doivent être présentés aux personnes chargées du contrôle officiel à leur demande. </w:t>
      </w:r>
    </w:p>
    <w:p w14:paraId="28B0DCDD" w14:textId="77777777" w:rsidR="003D69A8" w:rsidRPr="005E1EA7" w:rsidRDefault="003D69A8" w:rsidP="003D69A8">
      <w:pPr>
        <w:spacing w:line="276" w:lineRule="auto"/>
        <w:jc w:val="both"/>
        <w:rPr>
          <w:rFonts w:ascii="Tahoma" w:hAnsi="Tahoma" w:cs="Tahoma"/>
          <w:sz w:val="20"/>
          <w:szCs w:val="20"/>
        </w:rPr>
      </w:pPr>
    </w:p>
    <w:p w14:paraId="2415C1BC" w14:textId="77777777" w:rsidR="003D69A8" w:rsidRPr="005E1EA7" w:rsidRDefault="003D69A8" w:rsidP="003D69A8">
      <w:pPr>
        <w:spacing w:line="276" w:lineRule="auto"/>
        <w:jc w:val="both"/>
        <w:rPr>
          <w:rFonts w:ascii="Tahoma" w:hAnsi="Tahoma" w:cs="Tahoma"/>
          <w:sz w:val="20"/>
          <w:szCs w:val="20"/>
        </w:rPr>
      </w:pPr>
      <w:r w:rsidRPr="005E1EA7">
        <w:rPr>
          <w:rFonts w:ascii="Tahoma" w:hAnsi="Tahoma" w:cs="Tahoma"/>
          <w:b/>
          <w:sz w:val="20"/>
          <w:szCs w:val="20"/>
        </w:rPr>
        <w:t>Article 20 </w:t>
      </w:r>
      <w:r w:rsidRPr="005E1EA7">
        <w:rPr>
          <w:rFonts w:ascii="Tahoma" w:hAnsi="Tahoma" w:cs="Tahoma"/>
          <w:sz w:val="20"/>
          <w:szCs w:val="20"/>
        </w:rPr>
        <w:t>: L’Autorité compétente est chargée de la vérification du respect des prescriptions du présent arrêté. A cet effet, elle procède à une approbation annuelle du système HACCP des unités de traitement, lors des inspections de renouvellement d’agrément. L'approbation est effectuée à chaque fois que de besoin (modification de la version, intégration de nouvelles lignes de production, de nouveaux produits ou des nouveaux règlements).</w:t>
      </w:r>
    </w:p>
    <w:p w14:paraId="71B60CA8"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70106E2F" w14:textId="77777777" w:rsidR="003D69A8" w:rsidRPr="005E1EA7" w:rsidRDefault="003D69A8" w:rsidP="003D69A8">
      <w:pPr>
        <w:autoSpaceDE w:val="0"/>
        <w:autoSpaceDN w:val="0"/>
        <w:adjustRightInd w:val="0"/>
        <w:jc w:val="both"/>
        <w:rPr>
          <w:rFonts w:ascii="Tahoma" w:eastAsia="EUAlbertina-Bold-Identity-H" w:hAnsi="Tahoma" w:cs="Tahoma"/>
          <w:sz w:val="20"/>
          <w:szCs w:val="20"/>
        </w:rPr>
      </w:pPr>
      <w:r w:rsidRPr="005E1EA7">
        <w:rPr>
          <w:rFonts w:ascii="Tahoma" w:eastAsia="EUAlbertina-Italic-Identity-H" w:hAnsi="Tahoma" w:cs="Tahoma"/>
          <w:b/>
          <w:sz w:val="20"/>
          <w:szCs w:val="20"/>
          <w:u w:val="single"/>
        </w:rPr>
        <w:t>Article 21 </w:t>
      </w:r>
      <w:r w:rsidRPr="005E1EA7">
        <w:rPr>
          <w:rFonts w:ascii="Tahoma" w:eastAsia="EUAlbertina-Italic-Identity-H" w:hAnsi="Tahoma" w:cs="Tahoma"/>
          <w:sz w:val="20"/>
          <w:szCs w:val="20"/>
        </w:rPr>
        <w:t xml:space="preserve">: </w:t>
      </w:r>
      <w:r w:rsidRPr="005E1EA7">
        <w:rPr>
          <w:rFonts w:ascii="Tahoma" w:eastAsia="EUAlbertina-Bold-Identity-H" w:hAnsi="Tahoma" w:cs="Tahoma"/>
          <w:sz w:val="20"/>
          <w:szCs w:val="20"/>
        </w:rPr>
        <w:t>Contrôles Officiels, enregistrement et agrément</w:t>
      </w:r>
    </w:p>
    <w:p w14:paraId="415FE328"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169A4688"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1. Les exploitants du secteur halieutique coopèrent avec les services de l'Autorité compétente conformément aux dispositions de la réglementation nationale.</w:t>
      </w:r>
    </w:p>
    <w:p w14:paraId="37909072"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4002325E"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2. Tout exploitant du secteur halieutique notifie à l’Autorité compétente appropriée, en respectant les exigences de celle-ci, chacun des établissements dont il a la responsabilité et qui met en œuvre l’une des étapes de la production, de la transformation et de la distribution des mollusques bivalves vivants et des produits de la pêche, en vue de l’enregistrement d’un tel établissement.</w:t>
      </w:r>
    </w:p>
    <w:p w14:paraId="2F530888"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1F7B0EB8"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Les exploitants du secteur halieutique veillent à informer l'Autorité compétente sur les établissements en signalant toute modification significative de leurs activités et/ou toute fermeture d’un établissement existant.</w:t>
      </w:r>
    </w:p>
    <w:p w14:paraId="4EF05CFE"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762C664B"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3. Les exploitants du secteur halieutique veillent à ce que les établissements soient agréés par l'Autorité compétente, à la suite d’au moins une inspection sur place.</w:t>
      </w:r>
    </w:p>
    <w:p w14:paraId="205D4C46"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3643EB07"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 xml:space="preserve">4. Les exploitants ne mettent sur le marché des mollusques bivalves et des produits de la pêche que s’ils ont été préparés et manipulés exclusivement dans des établissements qui répondent aux exigences </w:t>
      </w:r>
      <w:r w:rsidRPr="005E1EA7">
        <w:rPr>
          <w:rFonts w:ascii="Tahoma" w:eastAsia="EUAlbertina-Regular-Identity-H" w:hAnsi="Tahoma" w:cs="Tahoma"/>
          <w:sz w:val="20"/>
          <w:szCs w:val="20"/>
        </w:rPr>
        <w:lastRenderedPageBreak/>
        <w:t>correspondantes du présent Arrêté, de ses annexes III et IV et qui ont été enregistrés et agréés par l’Autorité compétente.</w:t>
      </w:r>
    </w:p>
    <w:p w14:paraId="669C3DF6"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1301FF14"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5. Les exploitants du secteur halieutique veillent notamment à ce qu’un établissement cesse d’exercer son activité si l’Autorité compétente retire son agrément ou, en cas d’agrément conditionnel, si elle ne le prolonge pas ou si elle n’accorde pas d’agrément définitif.</w:t>
      </w:r>
    </w:p>
    <w:p w14:paraId="4EA36DA5"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6EB22270" w14:textId="77777777" w:rsidR="003D69A8" w:rsidRPr="005E1EA7" w:rsidRDefault="003D69A8" w:rsidP="003D69A8">
      <w:pPr>
        <w:autoSpaceDE w:val="0"/>
        <w:autoSpaceDN w:val="0"/>
        <w:adjustRightInd w:val="0"/>
        <w:jc w:val="both"/>
        <w:rPr>
          <w:rFonts w:ascii="Tahoma" w:eastAsia="EUAlbertina-Bold-Identity-H" w:hAnsi="Tahoma" w:cs="Tahoma"/>
          <w:sz w:val="20"/>
          <w:szCs w:val="20"/>
        </w:rPr>
      </w:pPr>
      <w:r w:rsidRPr="005E1EA7">
        <w:rPr>
          <w:rFonts w:ascii="Tahoma" w:eastAsia="EUAlbertina-Italic-Identity-H" w:hAnsi="Tahoma" w:cs="Tahoma"/>
          <w:b/>
          <w:sz w:val="20"/>
          <w:szCs w:val="20"/>
          <w:u w:val="single"/>
        </w:rPr>
        <w:t>Article 22 </w:t>
      </w:r>
      <w:r w:rsidRPr="005E1EA7">
        <w:rPr>
          <w:rFonts w:ascii="Tahoma" w:eastAsia="EUAlbertina-Italic-Identity-H" w:hAnsi="Tahoma" w:cs="Tahoma"/>
          <w:sz w:val="20"/>
          <w:szCs w:val="20"/>
        </w:rPr>
        <w:t xml:space="preserve">: </w:t>
      </w:r>
      <w:r w:rsidRPr="005E1EA7">
        <w:rPr>
          <w:rFonts w:ascii="Tahoma" w:eastAsia="EUAlbertina-Bold-Identity-H" w:hAnsi="Tahoma" w:cs="Tahoma"/>
          <w:sz w:val="20"/>
          <w:szCs w:val="20"/>
        </w:rPr>
        <w:t>Marquage de salubrité et d’identification</w:t>
      </w:r>
    </w:p>
    <w:p w14:paraId="42E0182D" w14:textId="77777777" w:rsidR="003D69A8" w:rsidRPr="005E1EA7" w:rsidRDefault="003D69A8" w:rsidP="003D69A8">
      <w:pPr>
        <w:autoSpaceDE w:val="0"/>
        <w:autoSpaceDN w:val="0"/>
        <w:adjustRightInd w:val="0"/>
        <w:jc w:val="both"/>
        <w:rPr>
          <w:rFonts w:ascii="Tahoma" w:eastAsia="EUAlbertina-Bold-Identity-H" w:hAnsi="Tahoma" w:cs="Tahoma"/>
          <w:sz w:val="20"/>
          <w:szCs w:val="20"/>
        </w:rPr>
      </w:pPr>
    </w:p>
    <w:p w14:paraId="2A0C48FF"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1. Les exploitants du secteur halieutique ne procèdent à la mise sur le marché de produit traité dans un établissement soumis à agrément que s’il porte une marque d’identification apposée conformément aux dispositions de l’Annexe III, et IV du présent arrêté.</w:t>
      </w:r>
    </w:p>
    <w:p w14:paraId="34591F87"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5A1B3D0E"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2. Les exploitants du secteur halieutique ne peuvent apposer une marque d’identification sur un produit que s’il a été produit conformément aux dispositions du présent arrêté dans des établissements qui répondent aux exigences de l’article 4.</w:t>
      </w:r>
    </w:p>
    <w:p w14:paraId="62023912"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0A545277" w14:textId="77777777" w:rsidR="003D69A8" w:rsidRPr="005E1EA7" w:rsidRDefault="003D69A8" w:rsidP="003D69A8">
      <w:pPr>
        <w:autoSpaceDE w:val="0"/>
        <w:autoSpaceDN w:val="0"/>
        <w:adjustRightInd w:val="0"/>
        <w:jc w:val="center"/>
        <w:rPr>
          <w:rFonts w:ascii="Tahoma" w:eastAsia="EUAlbertina-Bold-Identity-H" w:hAnsi="Tahoma" w:cs="Tahoma"/>
          <w:b/>
          <w:bCs/>
          <w:sz w:val="20"/>
          <w:szCs w:val="20"/>
        </w:rPr>
      </w:pPr>
      <w:r w:rsidRPr="005E1EA7">
        <w:rPr>
          <w:rFonts w:ascii="Tahoma" w:eastAsia="EUAlbertina-Regular-Identity-H" w:hAnsi="Tahoma" w:cs="Tahoma"/>
          <w:b/>
          <w:bCs/>
          <w:sz w:val="20"/>
          <w:szCs w:val="20"/>
        </w:rPr>
        <w:t xml:space="preserve">CHAPITRE III - </w:t>
      </w:r>
      <w:r w:rsidRPr="005E1EA7">
        <w:rPr>
          <w:rFonts w:ascii="Tahoma" w:eastAsia="EUAlbertina-Bold-Identity-H" w:hAnsi="Tahoma" w:cs="Tahoma"/>
          <w:b/>
          <w:bCs/>
          <w:sz w:val="20"/>
          <w:szCs w:val="20"/>
        </w:rPr>
        <w:t>DISPOSITIONS FINALES</w:t>
      </w:r>
    </w:p>
    <w:p w14:paraId="5FEC5A6C" w14:textId="77777777" w:rsidR="003D69A8" w:rsidRPr="005E1EA7" w:rsidRDefault="003D69A8" w:rsidP="003D69A8">
      <w:pPr>
        <w:autoSpaceDE w:val="0"/>
        <w:autoSpaceDN w:val="0"/>
        <w:adjustRightInd w:val="0"/>
        <w:jc w:val="both"/>
        <w:rPr>
          <w:rFonts w:ascii="Tahoma" w:eastAsia="EUAlbertina-Italic-Identity-H" w:hAnsi="Tahoma" w:cs="Tahoma"/>
          <w:sz w:val="20"/>
          <w:szCs w:val="20"/>
        </w:rPr>
      </w:pPr>
    </w:p>
    <w:p w14:paraId="0955CE1C" w14:textId="77777777" w:rsidR="003D69A8" w:rsidRPr="005E1EA7" w:rsidRDefault="003D69A8" w:rsidP="003D69A8">
      <w:pPr>
        <w:autoSpaceDE w:val="0"/>
        <w:autoSpaceDN w:val="0"/>
        <w:adjustRightInd w:val="0"/>
        <w:jc w:val="both"/>
        <w:rPr>
          <w:rFonts w:ascii="Tahoma" w:eastAsia="EUAlbertina-Bold-Identity-H" w:hAnsi="Tahoma" w:cs="Tahoma"/>
          <w:sz w:val="20"/>
          <w:szCs w:val="20"/>
        </w:rPr>
      </w:pPr>
      <w:r w:rsidRPr="005E1EA7">
        <w:rPr>
          <w:rFonts w:ascii="Tahoma" w:eastAsia="EUAlbertina-Italic-Identity-H" w:hAnsi="Tahoma" w:cs="Tahoma"/>
          <w:b/>
          <w:sz w:val="20"/>
          <w:szCs w:val="20"/>
          <w:u w:val="single"/>
        </w:rPr>
        <w:t>Article 23 </w:t>
      </w:r>
      <w:r w:rsidRPr="005E1EA7">
        <w:rPr>
          <w:rFonts w:ascii="Tahoma" w:eastAsia="EUAlbertina-Italic-Identity-H" w:hAnsi="Tahoma" w:cs="Tahoma"/>
          <w:sz w:val="20"/>
          <w:szCs w:val="20"/>
        </w:rPr>
        <w:t xml:space="preserve">: </w:t>
      </w:r>
      <w:r w:rsidRPr="005E1EA7">
        <w:rPr>
          <w:rFonts w:ascii="Tahoma" w:eastAsia="EUAlbertina-Bold-Identity-H" w:hAnsi="Tahoma" w:cs="Tahoma"/>
          <w:sz w:val="20"/>
          <w:szCs w:val="20"/>
        </w:rPr>
        <w:t>Modification et adaptation des annexes III à IV.</w:t>
      </w:r>
    </w:p>
    <w:p w14:paraId="3BD0B8BA" w14:textId="77777777" w:rsidR="003D69A8" w:rsidRPr="005E1EA7" w:rsidRDefault="003D69A8" w:rsidP="003D69A8">
      <w:pPr>
        <w:autoSpaceDE w:val="0"/>
        <w:autoSpaceDN w:val="0"/>
        <w:adjustRightInd w:val="0"/>
        <w:jc w:val="both"/>
        <w:rPr>
          <w:rFonts w:ascii="Tahoma" w:eastAsia="EUAlbertina-Bold-Identity-H" w:hAnsi="Tahoma" w:cs="Tahoma"/>
          <w:sz w:val="20"/>
          <w:szCs w:val="20"/>
        </w:rPr>
      </w:pPr>
    </w:p>
    <w:p w14:paraId="514B8605"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 xml:space="preserve">1. Les annexes III </w:t>
      </w:r>
      <w:r w:rsidRPr="005E1EA7">
        <w:rPr>
          <w:rFonts w:ascii="Tahoma" w:eastAsia="EUAlbertina-Bold-Identity-H" w:hAnsi="Tahoma" w:cs="Tahoma"/>
          <w:sz w:val="20"/>
          <w:szCs w:val="20"/>
        </w:rPr>
        <w:t xml:space="preserve">à IV </w:t>
      </w:r>
      <w:r w:rsidRPr="005E1EA7">
        <w:rPr>
          <w:rFonts w:ascii="Tahoma" w:eastAsia="EUAlbertina-Regular-Identity-H" w:hAnsi="Tahoma" w:cs="Tahoma"/>
          <w:sz w:val="20"/>
          <w:szCs w:val="20"/>
        </w:rPr>
        <w:t>peuvent être adaptées ou mises à jour compte tenu :</w:t>
      </w:r>
    </w:p>
    <w:p w14:paraId="59614E79"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050C5DF0" w14:textId="77777777" w:rsidR="003D69A8" w:rsidRPr="005E1EA7" w:rsidRDefault="003D69A8" w:rsidP="003D69A8">
      <w:pPr>
        <w:autoSpaceDE w:val="0"/>
        <w:autoSpaceDN w:val="0"/>
        <w:adjustRightInd w:val="0"/>
        <w:ind w:left="720" w:hanging="360"/>
        <w:jc w:val="both"/>
        <w:rPr>
          <w:rFonts w:ascii="Tahoma" w:eastAsia="EUAlbertina-Regular-Identity-H" w:hAnsi="Tahoma" w:cs="Tahoma"/>
          <w:sz w:val="20"/>
          <w:szCs w:val="20"/>
        </w:rPr>
      </w:pPr>
      <w:r w:rsidRPr="005E1EA7">
        <w:rPr>
          <w:rFonts w:ascii="Tahoma" w:eastAsia="EUAlbertina-Regular-Identity-H" w:hAnsi="Tahoma" w:cs="Tahoma"/>
          <w:sz w:val="20"/>
          <w:szCs w:val="20"/>
        </w:rPr>
        <w:t>a) de l’évolution des guides de bonnes pratiques ;</w:t>
      </w:r>
    </w:p>
    <w:p w14:paraId="467C7BD5" w14:textId="77777777" w:rsidR="003D69A8" w:rsidRPr="005E1EA7" w:rsidRDefault="003D69A8" w:rsidP="003D69A8">
      <w:pPr>
        <w:autoSpaceDE w:val="0"/>
        <w:autoSpaceDN w:val="0"/>
        <w:adjustRightInd w:val="0"/>
        <w:ind w:left="720" w:hanging="360"/>
        <w:jc w:val="both"/>
        <w:rPr>
          <w:rFonts w:ascii="Tahoma" w:eastAsia="EUAlbertina-Regular-Identity-H" w:hAnsi="Tahoma" w:cs="Tahoma"/>
          <w:sz w:val="20"/>
          <w:szCs w:val="20"/>
        </w:rPr>
      </w:pPr>
      <w:r w:rsidRPr="005E1EA7">
        <w:rPr>
          <w:rFonts w:ascii="Tahoma" w:eastAsia="EUAlbertina-Regular-Identity-H" w:hAnsi="Tahoma" w:cs="Tahoma"/>
          <w:sz w:val="20"/>
          <w:szCs w:val="20"/>
        </w:rPr>
        <w:t>b) de l’expérience acquise dans le cadre de l’application de systèmes fondés sur les principes HACCP ;</w:t>
      </w:r>
    </w:p>
    <w:p w14:paraId="30A76456" w14:textId="77777777" w:rsidR="003D69A8" w:rsidRPr="005E1EA7" w:rsidRDefault="003D69A8" w:rsidP="003D69A8">
      <w:pPr>
        <w:autoSpaceDE w:val="0"/>
        <w:autoSpaceDN w:val="0"/>
        <w:adjustRightInd w:val="0"/>
        <w:ind w:left="720" w:hanging="360"/>
        <w:jc w:val="both"/>
        <w:rPr>
          <w:rFonts w:ascii="Tahoma" w:eastAsia="EUAlbertina-Regular-Identity-H" w:hAnsi="Tahoma" w:cs="Tahoma"/>
          <w:sz w:val="20"/>
          <w:szCs w:val="20"/>
        </w:rPr>
      </w:pPr>
      <w:r w:rsidRPr="005E1EA7">
        <w:rPr>
          <w:rFonts w:ascii="Tahoma" w:eastAsia="EUAlbertina-Regular-Identity-H" w:hAnsi="Tahoma" w:cs="Tahoma"/>
          <w:sz w:val="20"/>
          <w:szCs w:val="20"/>
        </w:rPr>
        <w:t>c) des avis scientifiques, notamment relatives aux nouvelles analyses des risques ;</w:t>
      </w:r>
    </w:p>
    <w:p w14:paraId="20C0F56F" w14:textId="77777777" w:rsidR="003D69A8" w:rsidRPr="005E1EA7" w:rsidRDefault="003D69A8" w:rsidP="003D69A8">
      <w:pPr>
        <w:autoSpaceDE w:val="0"/>
        <w:autoSpaceDN w:val="0"/>
        <w:adjustRightInd w:val="0"/>
        <w:ind w:left="720" w:hanging="360"/>
        <w:jc w:val="both"/>
        <w:rPr>
          <w:rFonts w:ascii="Tahoma" w:eastAsia="EUAlbertina-Regular-Identity-H" w:hAnsi="Tahoma" w:cs="Tahoma"/>
          <w:sz w:val="20"/>
          <w:szCs w:val="20"/>
        </w:rPr>
      </w:pPr>
      <w:r w:rsidRPr="005E1EA7">
        <w:rPr>
          <w:rFonts w:ascii="Tahoma" w:eastAsia="EUAlbertina-Regular-Identity-H" w:hAnsi="Tahoma" w:cs="Tahoma"/>
          <w:sz w:val="20"/>
          <w:szCs w:val="20"/>
        </w:rPr>
        <w:t>d) des nécessités réglementaires concernant les critères applicables aux mollusques bivalves vivants et aux produits de la pêche.</w:t>
      </w:r>
    </w:p>
    <w:p w14:paraId="25947406" w14:textId="77777777" w:rsidR="003D69A8" w:rsidRPr="005E1EA7" w:rsidRDefault="003D69A8" w:rsidP="003D69A8">
      <w:pPr>
        <w:autoSpaceDE w:val="0"/>
        <w:autoSpaceDN w:val="0"/>
        <w:adjustRightInd w:val="0"/>
        <w:jc w:val="both"/>
        <w:rPr>
          <w:rFonts w:ascii="Tahoma" w:eastAsia="EUAlbertina-Italic-Identity-H" w:hAnsi="Tahoma" w:cs="Tahoma"/>
          <w:b/>
          <w:sz w:val="20"/>
          <w:szCs w:val="20"/>
          <w:u w:val="single"/>
        </w:rPr>
      </w:pPr>
    </w:p>
    <w:p w14:paraId="4B33D5B5" w14:textId="77777777" w:rsidR="003D69A8" w:rsidRPr="005E1EA7" w:rsidRDefault="003D69A8" w:rsidP="003D69A8">
      <w:pPr>
        <w:autoSpaceDE w:val="0"/>
        <w:autoSpaceDN w:val="0"/>
        <w:adjustRightInd w:val="0"/>
        <w:jc w:val="both"/>
        <w:rPr>
          <w:rFonts w:ascii="Tahoma" w:eastAsia="EUAlbertina-Bold-Identity-H" w:hAnsi="Tahoma" w:cs="Tahoma"/>
          <w:sz w:val="20"/>
          <w:szCs w:val="20"/>
        </w:rPr>
      </w:pPr>
      <w:r w:rsidRPr="005E1EA7">
        <w:rPr>
          <w:rFonts w:ascii="Tahoma" w:eastAsia="EUAlbertina-Italic-Identity-H" w:hAnsi="Tahoma" w:cs="Tahoma"/>
          <w:b/>
          <w:sz w:val="20"/>
          <w:szCs w:val="20"/>
          <w:u w:val="single"/>
        </w:rPr>
        <w:t>Article 24 </w:t>
      </w:r>
      <w:r w:rsidRPr="005E1EA7">
        <w:rPr>
          <w:rFonts w:ascii="Tahoma" w:eastAsia="EUAlbertina-Italic-Identity-H" w:hAnsi="Tahoma" w:cs="Tahoma"/>
          <w:sz w:val="20"/>
          <w:szCs w:val="20"/>
        </w:rPr>
        <w:t xml:space="preserve">: </w:t>
      </w:r>
      <w:r w:rsidRPr="005E1EA7">
        <w:rPr>
          <w:rFonts w:ascii="Tahoma" w:eastAsia="EUAlbertina-Bold-Identity-H" w:hAnsi="Tahoma" w:cs="Tahoma"/>
          <w:sz w:val="20"/>
          <w:szCs w:val="20"/>
        </w:rPr>
        <w:t>Décisions spécifiques</w:t>
      </w:r>
    </w:p>
    <w:p w14:paraId="1E9A5E31" w14:textId="77777777" w:rsidR="003D69A8" w:rsidRPr="005E1EA7" w:rsidRDefault="003D69A8" w:rsidP="003D69A8">
      <w:pPr>
        <w:autoSpaceDE w:val="0"/>
        <w:autoSpaceDN w:val="0"/>
        <w:adjustRightInd w:val="0"/>
        <w:jc w:val="both"/>
        <w:rPr>
          <w:rFonts w:ascii="Tahoma" w:eastAsia="EUAlbertina-Bold-Identity-H" w:hAnsi="Tahoma" w:cs="Tahoma"/>
          <w:sz w:val="20"/>
          <w:szCs w:val="20"/>
        </w:rPr>
      </w:pPr>
    </w:p>
    <w:p w14:paraId="231C44AF"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Des mesures d’application peuvent être arrêtées ou des modifications de l’Annexe III peuvent être adoptées pour :</w:t>
      </w:r>
    </w:p>
    <w:p w14:paraId="0E83C0F9"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6F8ECA4D"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1) prévoir d’autres traitements pouvant être appliqués dans un établissement de transformation aux mollusques bivalves vivants issus des zones de production de classe B ou C qui n’ont pas été soumis à un traitement de purification ;</w:t>
      </w:r>
    </w:p>
    <w:p w14:paraId="53F3CE81"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4B45FF4F"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2) spécifier des critères permettant de déterminer le moment où les données épidémiologiques indiquent qu’un lieu de pêche ne présente pas un risque pour la santé eu égard à la présence de parasites et, dès lors, où l’Autorité compétente peut autoriser les exploitants du secteur halieutique à ne pas congeler les produits de la pêche conformément à l’Annexe IV, chapitre IV, partie D ;</w:t>
      </w:r>
    </w:p>
    <w:p w14:paraId="5760485F"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23C55A14"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3) établir des critères de fraîcheur et des limites d’histamine et d’azote volatil total pour les produits de la pêche.</w:t>
      </w:r>
    </w:p>
    <w:p w14:paraId="651D6484"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33A5FF16" w14:textId="77777777" w:rsidR="003D69A8" w:rsidRPr="005E1EA7" w:rsidRDefault="003D69A8" w:rsidP="003D69A8">
      <w:pPr>
        <w:autoSpaceDE w:val="0"/>
        <w:autoSpaceDN w:val="0"/>
        <w:adjustRightInd w:val="0"/>
        <w:jc w:val="both"/>
        <w:rPr>
          <w:rFonts w:ascii="Tahoma" w:hAnsi="Tahoma" w:cs="Tahoma"/>
          <w:sz w:val="20"/>
          <w:szCs w:val="20"/>
        </w:rPr>
      </w:pPr>
      <w:r w:rsidRPr="005E1EA7">
        <w:rPr>
          <w:rFonts w:ascii="Tahoma" w:hAnsi="Tahoma" w:cs="Tahoma"/>
          <w:b/>
          <w:sz w:val="20"/>
          <w:szCs w:val="20"/>
          <w:u w:val="single"/>
        </w:rPr>
        <w:t>Article 25 </w:t>
      </w:r>
      <w:r w:rsidRPr="005E1EA7">
        <w:rPr>
          <w:rFonts w:ascii="Tahoma" w:hAnsi="Tahoma" w:cs="Tahoma"/>
          <w:sz w:val="20"/>
          <w:szCs w:val="20"/>
        </w:rPr>
        <w:t>: Sanctions</w:t>
      </w:r>
    </w:p>
    <w:p w14:paraId="0237AE63" w14:textId="77777777" w:rsidR="003D69A8" w:rsidRPr="005E1EA7" w:rsidRDefault="003D69A8" w:rsidP="003D69A8">
      <w:pPr>
        <w:autoSpaceDE w:val="0"/>
        <w:autoSpaceDN w:val="0"/>
        <w:adjustRightInd w:val="0"/>
        <w:jc w:val="both"/>
        <w:rPr>
          <w:rFonts w:ascii="Tahoma" w:hAnsi="Tahoma" w:cs="Tahoma"/>
          <w:sz w:val="20"/>
          <w:szCs w:val="20"/>
        </w:rPr>
      </w:pPr>
    </w:p>
    <w:p w14:paraId="2D29B2B4" w14:textId="77777777" w:rsidR="003D69A8" w:rsidRPr="005E1EA7" w:rsidRDefault="003D69A8" w:rsidP="003D69A8">
      <w:pPr>
        <w:jc w:val="both"/>
        <w:rPr>
          <w:rFonts w:ascii="Tahoma" w:hAnsi="Tahoma" w:cs="Tahoma"/>
          <w:sz w:val="20"/>
          <w:szCs w:val="20"/>
        </w:rPr>
      </w:pPr>
      <w:r w:rsidRPr="005E1EA7">
        <w:rPr>
          <w:rFonts w:ascii="Tahoma" w:hAnsi="Tahoma" w:cs="Tahoma"/>
          <w:sz w:val="20"/>
          <w:szCs w:val="20"/>
        </w:rPr>
        <w:t>Les infractions au présent Arrêté seront punies conformément aux dispositions de la Loi portant Code des Pêches en vigueur.</w:t>
      </w:r>
    </w:p>
    <w:p w14:paraId="33B979B6" w14:textId="77777777" w:rsidR="003D69A8" w:rsidRPr="005E1EA7" w:rsidRDefault="003D69A8" w:rsidP="003D69A8">
      <w:pPr>
        <w:spacing w:line="240" w:lineRule="atLeast"/>
        <w:jc w:val="both"/>
        <w:rPr>
          <w:rFonts w:ascii="Tahoma" w:hAnsi="Tahoma" w:cs="Tahoma"/>
          <w:sz w:val="20"/>
          <w:szCs w:val="20"/>
        </w:rPr>
      </w:pPr>
    </w:p>
    <w:p w14:paraId="6D7F0F2F" w14:textId="77777777" w:rsidR="003D69A8" w:rsidRPr="005E1EA7" w:rsidRDefault="003D69A8" w:rsidP="003D69A8">
      <w:pPr>
        <w:spacing w:line="276" w:lineRule="auto"/>
        <w:jc w:val="both"/>
        <w:rPr>
          <w:rFonts w:ascii="Tahoma" w:hAnsi="Tahoma" w:cs="Tahoma"/>
          <w:iCs/>
          <w:sz w:val="20"/>
          <w:szCs w:val="20"/>
        </w:rPr>
      </w:pPr>
      <w:r w:rsidRPr="005E1EA7">
        <w:rPr>
          <w:rFonts w:ascii="Tahoma" w:hAnsi="Tahoma" w:cs="Tahoma"/>
          <w:iCs/>
          <w:sz w:val="20"/>
          <w:szCs w:val="20"/>
        </w:rPr>
        <w:t>Ces infractions sont constatées par les agents de contrôle prévus par la loi portant code des pêches en vigueur et par les agents de contrôle de l’ONISPA conformément aux dispositions de l’article 10 du décret 81.062 du 2 avril 1981 portant réglementation de l’inspection sanitaire et du contrôle de salubrité des produits de la pêche destinés à l’alimentation humaine et sanctionnées conformément aux dispositions de la réglementation en vigueur.</w:t>
      </w:r>
    </w:p>
    <w:p w14:paraId="3E7676A2" w14:textId="77777777" w:rsidR="003D69A8" w:rsidRPr="005E1EA7" w:rsidRDefault="003D69A8" w:rsidP="003D69A8">
      <w:pPr>
        <w:jc w:val="both"/>
        <w:rPr>
          <w:rFonts w:ascii="Tahoma" w:hAnsi="Tahoma" w:cs="Tahoma"/>
          <w:sz w:val="20"/>
          <w:szCs w:val="20"/>
        </w:rPr>
      </w:pPr>
    </w:p>
    <w:p w14:paraId="61B208BB" w14:textId="77777777" w:rsidR="003D69A8" w:rsidRPr="005E1EA7" w:rsidRDefault="003D69A8" w:rsidP="003D69A8">
      <w:pPr>
        <w:spacing w:line="276" w:lineRule="auto"/>
        <w:jc w:val="both"/>
        <w:rPr>
          <w:rFonts w:ascii="Tahoma" w:hAnsi="Tahoma" w:cs="Tahoma"/>
          <w:sz w:val="20"/>
          <w:szCs w:val="20"/>
        </w:rPr>
      </w:pPr>
      <w:r w:rsidRPr="005E1EA7">
        <w:rPr>
          <w:rFonts w:ascii="Tahoma" w:hAnsi="Tahoma" w:cs="Tahoma"/>
          <w:b/>
          <w:sz w:val="20"/>
          <w:szCs w:val="20"/>
          <w:u w:val="single"/>
        </w:rPr>
        <w:t>Article 26 </w:t>
      </w:r>
      <w:r w:rsidRPr="005E1EA7">
        <w:rPr>
          <w:rFonts w:ascii="Tahoma" w:hAnsi="Tahoma" w:cs="Tahoma"/>
          <w:sz w:val="20"/>
          <w:szCs w:val="20"/>
        </w:rPr>
        <w:t xml:space="preserve">: Sont abrogées toutes dispositions antérieures contraires au présent arrêté qui abroge et remplace les deux arrêtés conjoints : arrêté conjointe n° 2863 du 16 novembre 2006, </w:t>
      </w:r>
      <w:r w:rsidRPr="005E1EA7">
        <w:rPr>
          <w:rFonts w:ascii="Tahoma" w:hAnsi="Tahoma" w:cs="Tahoma"/>
          <w:iCs/>
          <w:sz w:val="20"/>
          <w:szCs w:val="20"/>
        </w:rPr>
        <w:t xml:space="preserve">relatif aux règles d’hygiène applicables aux mollusques bivalves vivants, aux produits de la pêche et aux exploitants du secteur alimentaire et l’arrêté conjoint </w:t>
      </w:r>
      <w:r w:rsidRPr="005E1EA7">
        <w:rPr>
          <w:rFonts w:ascii="Tahoma" w:hAnsi="Tahoma" w:cs="Tahoma"/>
          <w:sz w:val="20"/>
          <w:szCs w:val="20"/>
        </w:rPr>
        <w:t>n° 2502 du 14 novembre 2010, modifiant certaines dispositions de l’arrêté conjoint n° 2863 du 16 novembre 2006 relatif aux règles d’hygiène applicables aux mollusques bivalves vivants, aux produits de la pêche et aux exploitants du secteur alimentaire</w:t>
      </w:r>
    </w:p>
    <w:p w14:paraId="0605CCA6" w14:textId="77777777" w:rsidR="003D69A8" w:rsidRPr="005E1EA7" w:rsidRDefault="003D69A8" w:rsidP="003D69A8">
      <w:pPr>
        <w:autoSpaceDE w:val="0"/>
        <w:autoSpaceDN w:val="0"/>
        <w:adjustRightInd w:val="0"/>
        <w:jc w:val="both"/>
        <w:rPr>
          <w:rFonts w:ascii="Tahoma" w:hAnsi="Tahoma" w:cs="Tahoma"/>
          <w:sz w:val="20"/>
          <w:szCs w:val="20"/>
        </w:rPr>
      </w:pPr>
    </w:p>
    <w:p w14:paraId="2788A032" w14:textId="77777777" w:rsidR="003D69A8" w:rsidRPr="005E1EA7" w:rsidRDefault="003D69A8" w:rsidP="003D69A8">
      <w:pPr>
        <w:jc w:val="both"/>
        <w:rPr>
          <w:rFonts w:ascii="Tahoma" w:hAnsi="Tahoma" w:cs="Tahoma"/>
          <w:sz w:val="20"/>
          <w:szCs w:val="20"/>
        </w:rPr>
      </w:pPr>
      <w:r w:rsidRPr="005E1EA7">
        <w:rPr>
          <w:rFonts w:ascii="Tahoma" w:hAnsi="Tahoma" w:cs="Tahoma"/>
          <w:b/>
          <w:sz w:val="20"/>
          <w:szCs w:val="20"/>
          <w:u w:val="single"/>
        </w:rPr>
        <w:t>Article 27 </w:t>
      </w:r>
      <w:r w:rsidRPr="005E1EA7">
        <w:rPr>
          <w:rFonts w:ascii="Tahoma" w:hAnsi="Tahoma" w:cs="Tahoma"/>
          <w:sz w:val="20"/>
          <w:szCs w:val="20"/>
        </w:rPr>
        <w:t>: Le Secrétaire Général du Ministère de la Pêche, des Infrastructures Maritimes et Portuaires, le Secrétaire Général du Ministère de la Santé, le Secrétaire Général du Ministère de l'Elevage et le Secrétaire Général du Ministère du Commerce et du Tourisme sont chargés chacun en ce qui le concerne de l’exécution du présent arrêté qui sera publié au Journal Officiel de la République Islamique de Mauritanie.</w:t>
      </w:r>
    </w:p>
    <w:p w14:paraId="3F76783A" w14:textId="77777777" w:rsidR="003D69A8" w:rsidRPr="005E1EA7" w:rsidRDefault="003D69A8" w:rsidP="003D69A8">
      <w:pPr>
        <w:jc w:val="both"/>
        <w:rPr>
          <w:rFonts w:ascii="Tahoma" w:hAnsi="Tahoma" w:cs="Tahoma"/>
          <w:sz w:val="20"/>
          <w:szCs w:val="20"/>
        </w:rPr>
      </w:pPr>
    </w:p>
    <w:p w14:paraId="3ACB52A0" w14:textId="77777777" w:rsidR="001D02B9" w:rsidRPr="001D02B9" w:rsidRDefault="001D02B9" w:rsidP="001D02B9">
      <w:pPr>
        <w:autoSpaceDE w:val="0"/>
        <w:autoSpaceDN w:val="0"/>
        <w:adjustRightInd w:val="0"/>
        <w:spacing w:before="120" w:after="120"/>
        <w:jc w:val="right"/>
        <w:rPr>
          <w:rFonts w:ascii="Tahoma" w:hAnsi="Tahoma" w:cs="Tahoma"/>
          <w:color w:val="000000" w:themeColor="text1"/>
          <w:sz w:val="20"/>
          <w:szCs w:val="20"/>
        </w:rPr>
      </w:pPr>
      <w:r w:rsidRPr="001D02B9">
        <w:rPr>
          <w:rFonts w:ascii="Tahoma" w:hAnsi="Tahoma" w:cs="Tahoma"/>
          <w:i/>
          <w:iCs/>
          <w:color w:val="000000" w:themeColor="text1"/>
          <w:sz w:val="20"/>
          <w:szCs w:val="20"/>
        </w:rPr>
        <w:t>Fait à Nouakchott, le 30 juin 2025</w:t>
      </w:r>
    </w:p>
    <w:p w14:paraId="7903C054" w14:textId="77777777" w:rsidR="003D69A8" w:rsidRPr="005E1EA7" w:rsidRDefault="003D69A8" w:rsidP="003D69A8">
      <w:pPr>
        <w:spacing w:line="240" w:lineRule="atLeast"/>
        <w:jc w:val="right"/>
        <w:rPr>
          <w:rFonts w:ascii="Tahoma" w:hAnsi="Tahoma" w:cs="Tahoma"/>
          <w:sz w:val="20"/>
          <w:szCs w:val="20"/>
        </w:rPr>
      </w:pPr>
    </w:p>
    <w:p w14:paraId="1FF64C3B" w14:textId="77777777" w:rsidR="003D69A8" w:rsidRPr="005E1EA7" w:rsidRDefault="003D69A8" w:rsidP="003D69A8">
      <w:pPr>
        <w:spacing w:line="240" w:lineRule="atLeast"/>
        <w:rPr>
          <w:rFonts w:ascii="Tahoma" w:hAnsi="Tahoma" w:cs="Tahoma"/>
          <w:sz w:val="20"/>
          <w:szCs w:val="20"/>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3"/>
        <w:gridCol w:w="4371"/>
      </w:tblGrid>
      <w:tr w:rsidR="003D69A8" w:rsidRPr="005E1EA7" w14:paraId="11DC14A1" w14:textId="77777777" w:rsidTr="005E1EA7">
        <w:trPr>
          <w:trHeight w:val="589"/>
          <w:jc w:val="center"/>
        </w:trPr>
        <w:tc>
          <w:tcPr>
            <w:tcW w:w="5263" w:type="dxa"/>
            <w:shd w:val="clear" w:color="auto" w:fill="auto"/>
            <w:vAlign w:val="center"/>
          </w:tcPr>
          <w:p w14:paraId="490D7285" w14:textId="68B4C109" w:rsidR="003D69A8" w:rsidRPr="005E1EA7" w:rsidRDefault="003D69A8" w:rsidP="005E1EA7">
            <w:pPr>
              <w:pStyle w:val="Pieddepage"/>
              <w:tabs>
                <w:tab w:val="clear" w:pos="4536"/>
                <w:tab w:val="clear" w:pos="9072"/>
              </w:tabs>
              <w:spacing w:line="300" w:lineRule="exact"/>
              <w:jc w:val="center"/>
              <w:rPr>
                <w:rFonts w:ascii="Tahoma" w:hAnsi="Tahoma" w:cs="Tahoma"/>
                <w:caps/>
              </w:rPr>
            </w:pPr>
            <w:r w:rsidRPr="005E1EA7">
              <w:rPr>
                <w:rFonts w:ascii="Tahoma" w:hAnsi="Tahoma" w:cs="Tahoma"/>
              </w:rPr>
              <w:t>Le Ministre de la Pêche, des Infrastructures Maritimes Et Portuaires</w:t>
            </w:r>
          </w:p>
          <w:p w14:paraId="23EF3AB3" w14:textId="77777777" w:rsidR="003D69A8" w:rsidRPr="005E1EA7" w:rsidRDefault="003D69A8" w:rsidP="006365F0">
            <w:pPr>
              <w:ind w:left="360" w:hanging="360"/>
              <w:jc w:val="center"/>
              <w:rPr>
                <w:rFonts w:ascii="Tahoma" w:hAnsi="Tahoma" w:cs="Tahoma"/>
                <w:b/>
                <w:bCs/>
                <w:sz w:val="20"/>
                <w:szCs w:val="20"/>
                <w:lang w:val="en-US"/>
              </w:rPr>
            </w:pPr>
            <w:r w:rsidRPr="005E1EA7">
              <w:rPr>
                <w:rFonts w:ascii="Tahoma" w:hAnsi="Tahoma" w:cs="Tahoma"/>
                <w:b/>
                <w:bCs/>
                <w:sz w:val="20"/>
                <w:szCs w:val="20"/>
                <w:lang w:val="en-US"/>
              </w:rPr>
              <w:t>El Vadil Ould Sidaty Ould AHMED LOULY</w:t>
            </w:r>
          </w:p>
          <w:p w14:paraId="451CCF16" w14:textId="77777777" w:rsidR="003D69A8" w:rsidRDefault="003D69A8" w:rsidP="005E1EA7">
            <w:pPr>
              <w:ind w:left="360" w:hanging="360"/>
              <w:jc w:val="center"/>
              <w:rPr>
                <w:rFonts w:ascii="Tahoma" w:hAnsi="Tahoma" w:cs="Tahoma"/>
                <w:b/>
                <w:bCs/>
                <w:sz w:val="20"/>
                <w:szCs w:val="20"/>
                <w:lang w:val="en-US"/>
              </w:rPr>
            </w:pPr>
          </w:p>
          <w:p w14:paraId="654AA067" w14:textId="77777777" w:rsidR="005E1EA7" w:rsidRPr="005E1EA7" w:rsidRDefault="005E1EA7" w:rsidP="005E1EA7">
            <w:pPr>
              <w:ind w:left="360" w:hanging="360"/>
              <w:jc w:val="center"/>
              <w:rPr>
                <w:rFonts w:ascii="Tahoma" w:hAnsi="Tahoma" w:cs="Tahoma"/>
                <w:b/>
                <w:bCs/>
                <w:sz w:val="20"/>
                <w:szCs w:val="20"/>
                <w:lang w:val="en-US"/>
              </w:rPr>
            </w:pPr>
          </w:p>
        </w:tc>
        <w:tc>
          <w:tcPr>
            <w:tcW w:w="4371" w:type="dxa"/>
            <w:shd w:val="clear" w:color="auto" w:fill="auto"/>
            <w:vAlign w:val="center"/>
          </w:tcPr>
          <w:p w14:paraId="7AF877F1" w14:textId="77777777" w:rsidR="003D69A8" w:rsidRPr="005E1EA7" w:rsidRDefault="003D69A8" w:rsidP="006365F0">
            <w:pPr>
              <w:pStyle w:val="Pieddepage"/>
              <w:tabs>
                <w:tab w:val="clear" w:pos="4536"/>
                <w:tab w:val="clear" w:pos="9072"/>
              </w:tabs>
              <w:spacing w:line="300" w:lineRule="exact"/>
              <w:jc w:val="center"/>
              <w:rPr>
                <w:rFonts w:ascii="Tahoma" w:hAnsi="Tahoma" w:cs="Tahoma"/>
              </w:rPr>
            </w:pPr>
            <w:r w:rsidRPr="005E1EA7">
              <w:rPr>
                <w:rFonts w:ascii="Tahoma" w:hAnsi="Tahoma" w:cs="Tahoma"/>
              </w:rPr>
              <w:t>Le Ministre de la Sante</w:t>
            </w:r>
          </w:p>
          <w:p w14:paraId="291E414D" w14:textId="77777777" w:rsidR="003D69A8" w:rsidRPr="005E1EA7" w:rsidRDefault="003D69A8" w:rsidP="006365F0">
            <w:pPr>
              <w:jc w:val="center"/>
              <w:rPr>
                <w:rFonts w:ascii="Tahoma" w:hAnsi="Tahoma" w:cs="Tahoma"/>
                <w:b/>
                <w:bCs/>
                <w:sz w:val="20"/>
                <w:szCs w:val="20"/>
              </w:rPr>
            </w:pPr>
          </w:p>
          <w:p w14:paraId="08BBFE45" w14:textId="77777777" w:rsidR="003D69A8" w:rsidRPr="005E1EA7" w:rsidRDefault="003D69A8" w:rsidP="006365F0">
            <w:pPr>
              <w:ind w:left="360" w:hanging="360"/>
              <w:jc w:val="center"/>
              <w:rPr>
                <w:rFonts w:ascii="Tahoma" w:hAnsi="Tahoma" w:cs="Tahoma"/>
                <w:b/>
                <w:bCs/>
                <w:sz w:val="20"/>
                <w:szCs w:val="20"/>
              </w:rPr>
            </w:pPr>
            <w:r w:rsidRPr="005E1EA7">
              <w:rPr>
                <w:rFonts w:ascii="Tahoma" w:hAnsi="Tahoma" w:cs="Tahoma"/>
                <w:b/>
                <w:bCs/>
                <w:sz w:val="20"/>
                <w:szCs w:val="20"/>
              </w:rPr>
              <w:t>Abdallahi Ould WEDIH</w:t>
            </w:r>
          </w:p>
          <w:p w14:paraId="2F1641A2" w14:textId="77777777" w:rsidR="003D69A8" w:rsidRPr="005E1EA7" w:rsidRDefault="003D69A8" w:rsidP="006365F0">
            <w:pPr>
              <w:ind w:left="360" w:hanging="360"/>
              <w:jc w:val="center"/>
              <w:rPr>
                <w:rFonts w:ascii="Tahoma" w:hAnsi="Tahoma" w:cs="Tahoma"/>
                <w:b/>
                <w:bCs/>
                <w:sz w:val="20"/>
                <w:szCs w:val="20"/>
              </w:rPr>
            </w:pPr>
          </w:p>
          <w:p w14:paraId="5D333DF0" w14:textId="77777777" w:rsidR="003D69A8" w:rsidRPr="005E1EA7" w:rsidRDefault="003D69A8" w:rsidP="005E1EA7">
            <w:pPr>
              <w:rPr>
                <w:rFonts w:ascii="Tahoma" w:hAnsi="Tahoma" w:cs="Tahoma"/>
                <w:b/>
                <w:bCs/>
                <w:sz w:val="20"/>
                <w:szCs w:val="20"/>
              </w:rPr>
            </w:pPr>
          </w:p>
        </w:tc>
      </w:tr>
      <w:tr w:rsidR="003D69A8" w:rsidRPr="005E1EA7" w14:paraId="67955166" w14:textId="77777777" w:rsidTr="005E1EA7">
        <w:trPr>
          <w:trHeight w:val="555"/>
          <w:jc w:val="center"/>
        </w:trPr>
        <w:tc>
          <w:tcPr>
            <w:tcW w:w="5263" w:type="dxa"/>
            <w:shd w:val="clear" w:color="auto" w:fill="auto"/>
            <w:vAlign w:val="center"/>
          </w:tcPr>
          <w:p w14:paraId="5D00DE8E" w14:textId="3173DF00" w:rsidR="003D69A8" w:rsidRPr="005E1EA7" w:rsidRDefault="003D69A8" w:rsidP="005E1EA7">
            <w:pPr>
              <w:pStyle w:val="Pieddepage"/>
              <w:tabs>
                <w:tab w:val="clear" w:pos="4536"/>
                <w:tab w:val="clear" w:pos="9072"/>
              </w:tabs>
              <w:spacing w:line="300" w:lineRule="exact"/>
              <w:jc w:val="center"/>
              <w:rPr>
                <w:rFonts w:ascii="Tahoma" w:hAnsi="Tahoma" w:cs="Tahoma"/>
              </w:rPr>
            </w:pPr>
            <w:r w:rsidRPr="005E1EA7">
              <w:rPr>
                <w:rFonts w:ascii="Tahoma" w:hAnsi="Tahoma" w:cs="Tahoma"/>
              </w:rPr>
              <w:t>La Ministre du Commerce et du Tourisme</w:t>
            </w:r>
          </w:p>
          <w:p w14:paraId="0566CDB9" w14:textId="77777777" w:rsidR="003D69A8" w:rsidRPr="005E1EA7" w:rsidRDefault="003D69A8" w:rsidP="006365F0">
            <w:pPr>
              <w:ind w:left="360" w:hanging="360"/>
              <w:jc w:val="center"/>
              <w:rPr>
                <w:rFonts w:ascii="Tahoma" w:hAnsi="Tahoma" w:cs="Tahoma"/>
                <w:b/>
                <w:bCs/>
                <w:sz w:val="20"/>
                <w:szCs w:val="20"/>
              </w:rPr>
            </w:pPr>
            <w:r w:rsidRPr="005E1EA7">
              <w:rPr>
                <w:rFonts w:ascii="Tahoma" w:hAnsi="Tahoma" w:cs="Tahoma"/>
                <w:b/>
                <w:bCs/>
                <w:sz w:val="20"/>
                <w:szCs w:val="20"/>
              </w:rPr>
              <w:t>Zeinebou Mint AHMEDNAH</w:t>
            </w:r>
          </w:p>
          <w:p w14:paraId="12528EFF" w14:textId="77777777" w:rsidR="003D69A8" w:rsidRPr="005E1EA7" w:rsidRDefault="003D69A8" w:rsidP="005E1EA7">
            <w:pPr>
              <w:ind w:left="360" w:hanging="360"/>
              <w:jc w:val="center"/>
              <w:rPr>
                <w:rFonts w:ascii="Tahoma" w:hAnsi="Tahoma" w:cs="Tahoma"/>
                <w:b/>
                <w:bCs/>
                <w:sz w:val="20"/>
                <w:szCs w:val="20"/>
              </w:rPr>
            </w:pPr>
          </w:p>
        </w:tc>
        <w:tc>
          <w:tcPr>
            <w:tcW w:w="4371" w:type="dxa"/>
            <w:shd w:val="clear" w:color="auto" w:fill="auto"/>
            <w:vAlign w:val="center"/>
          </w:tcPr>
          <w:p w14:paraId="044484D6" w14:textId="77777777" w:rsidR="003D69A8" w:rsidRPr="005E1EA7" w:rsidRDefault="003D69A8" w:rsidP="006365F0">
            <w:pPr>
              <w:pStyle w:val="Pieddepage"/>
              <w:tabs>
                <w:tab w:val="clear" w:pos="4536"/>
                <w:tab w:val="clear" w:pos="9072"/>
              </w:tabs>
              <w:spacing w:line="300" w:lineRule="exact"/>
              <w:jc w:val="center"/>
              <w:rPr>
                <w:rFonts w:ascii="Tahoma" w:hAnsi="Tahoma" w:cs="Tahoma"/>
              </w:rPr>
            </w:pPr>
            <w:r w:rsidRPr="005E1EA7">
              <w:rPr>
                <w:rFonts w:ascii="Tahoma" w:hAnsi="Tahoma" w:cs="Tahoma"/>
              </w:rPr>
              <w:t xml:space="preserve">Le Ministre de l'Elevage </w:t>
            </w:r>
          </w:p>
          <w:p w14:paraId="334920F1" w14:textId="77777777" w:rsidR="003D69A8" w:rsidRPr="005E1EA7" w:rsidRDefault="003D69A8" w:rsidP="006365F0">
            <w:pPr>
              <w:ind w:left="360" w:hanging="360"/>
              <w:jc w:val="center"/>
              <w:rPr>
                <w:rFonts w:ascii="Tahoma" w:hAnsi="Tahoma" w:cs="Tahoma"/>
                <w:b/>
                <w:bCs/>
                <w:sz w:val="20"/>
                <w:szCs w:val="20"/>
              </w:rPr>
            </w:pPr>
            <w:r w:rsidRPr="005E1EA7">
              <w:rPr>
                <w:rFonts w:ascii="Tahoma" w:hAnsi="Tahoma" w:cs="Tahoma"/>
                <w:b/>
                <w:bCs/>
                <w:sz w:val="20"/>
                <w:szCs w:val="20"/>
              </w:rPr>
              <w:t>Moctar Ould GAGUIH</w:t>
            </w:r>
          </w:p>
          <w:p w14:paraId="178191A0" w14:textId="77777777" w:rsidR="003D69A8" w:rsidRPr="005E1EA7" w:rsidRDefault="003D69A8" w:rsidP="006365F0">
            <w:pPr>
              <w:ind w:left="360" w:hanging="360"/>
              <w:jc w:val="center"/>
              <w:rPr>
                <w:rFonts w:ascii="Tahoma" w:hAnsi="Tahoma" w:cs="Tahoma"/>
                <w:b/>
                <w:bCs/>
                <w:sz w:val="20"/>
                <w:szCs w:val="20"/>
              </w:rPr>
            </w:pPr>
          </w:p>
          <w:p w14:paraId="4EB86CC9" w14:textId="77777777" w:rsidR="003D69A8" w:rsidRPr="005E1EA7" w:rsidRDefault="003D69A8" w:rsidP="006365F0">
            <w:pPr>
              <w:ind w:left="360" w:hanging="360"/>
              <w:jc w:val="center"/>
              <w:rPr>
                <w:rFonts w:ascii="Tahoma" w:hAnsi="Tahoma" w:cs="Tahoma"/>
                <w:b/>
                <w:bCs/>
                <w:sz w:val="20"/>
                <w:szCs w:val="20"/>
              </w:rPr>
            </w:pPr>
          </w:p>
          <w:p w14:paraId="14324532" w14:textId="77777777" w:rsidR="003D69A8" w:rsidRPr="005E1EA7" w:rsidRDefault="003D69A8" w:rsidP="006365F0">
            <w:pPr>
              <w:pStyle w:val="Pieddepage"/>
              <w:tabs>
                <w:tab w:val="clear" w:pos="4536"/>
                <w:tab w:val="clear" w:pos="9072"/>
              </w:tabs>
              <w:jc w:val="center"/>
              <w:rPr>
                <w:rFonts w:ascii="Tahoma" w:hAnsi="Tahoma" w:cs="Tahoma"/>
                <w:b/>
                <w:bCs/>
              </w:rPr>
            </w:pPr>
          </w:p>
        </w:tc>
      </w:tr>
    </w:tbl>
    <w:p w14:paraId="183C3CF0" w14:textId="77777777" w:rsidR="003D69A8" w:rsidRPr="005E1EA7" w:rsidRDefault="003D69A8" w:rsidP="003D69A8">
      <w:pPr>
        <w:rPr>
          <w:rFonts w:ascii="Tahoma" w:eastAsia="EUAlbertina-Italic-Identity-H" w:hAnsi="Tahoma" w:cs="Tahoma"/>
          <w:b/>
          <w:bCs/>
          <w:sz w:val="20"/>
          <w:szCs w:val="20"/>
        </w:rPr>
      </w:pPr>
      <w:r w:rsidRPr="005E1EA7">
        <w:rPr>
          <w:rFonts w:ascii="Tahoma" w:eastAsia="EUAlbertina-Italic-Identity-H" w:hAnsi="Tahoma" w:cs="Tahoma"/>
          <w:b/>
          <w:bCs/>
          <w:sz w:val="20"/>
          <w:szCs w:val="20"/>
        </w:rPr>
        <w:br w:type="page"/>
      </w:r>
    </w:p>
    <w:p w14:paraId="59FA8BCB" w14:textId="77777777" w:rsidR="003D69A8" w:rsidRPr="005E1EA7" w:rsidRDefault="003D69A8" w:rsidP="00E34453">
      <w:pPr>
        <w:autoSpaceDE w:val="0"/>
        <w:autoSpaceDN w:val="0"/>
        <w:adjustRightInd w:val="0"/>
        <w:jc w:val="center"/>
        <w:rPr>
          <w:rFonts w:ascii="Tahoma" w:eastAsia="EUAlbertina-Italic-Identity-H" w:hAnsi="Tahoma" w:cs="Tahoma"/>
          <w:b/>
          <w:bCs/>
          <w:sz w:val="20"/>
          <w:szCs w:val="20"/>
        </w:rPr>
      </w:pPr>
      <w:r w:rsidRPr="005E1EA7">
        <w:rPr>
          <w:rFonts w:ascii="Tahoma" w:eastAsia="EUAlbertina-Italic-Identity-H" w:hAnsi="Tahoma" w:cs="Tahoma"/>
          <w:b/>
          <w:bCs/>
          <w:sz w:val="20"/>
          <w:szCs w:val="20"/>
        </w:rPr>
        <w:lastRenderedPageBreak/>
        <w:t>ANNEXE I :</w:t>
      </w:r>
    </w:p>
    <w:p w14:paraId="7BD1C4F5" w14:textId="77777777" w:rsidR="003D69A8" w:rsidRPr="005E1EA7" w:rsidRDefault="003D69A8" w:rsidP="003D69A8">
      <w:pPr>
        <w:autoSpaceDE w:val="0"/>
        <w:autoSpaceDN w:val="0"/>
        <w:adjustRightInd w:val="0"/>
        <w:jc w:val="center"/>
        <w:rPr>
          <w:rFonts w:ascii="Tahoma" w:eastAsia="EUAlbertina-Italic-Identity-H" w:hAnsi="Tahoma" w:cs="Tahoma"/>
          <w:b/>
          <w:bCs/>
          <w:sz w:val="20"/>
          <w:szCs w:val="20"/>
        </w:rPr>
      </w:pPr>
    </w:p>
    <w:p w14:paraId="397DDF85" w14:textId="77777777" w:rsidR="003D69A8" w:rsidRPr="005E1EA7" w:rsidRDefault="003D69A8" w:rsidP="003D69A8">
      <w:pPr>
        <w:autoSpaceDE w:val="0"/>
        <w:autoSpaceDN w:val="0"/>
        <w:adjustRightInd w:val="0"/>
        <w:jc w:val="center"/>
        <w:rPr>
          <w:rFonts w:ascii="Tahoma" w:eastAsia="EUAlbertina-Bold-Identity-H" w:hAnsi="Tahoma" w:cs="Tahoma"/>
          <w:b/>
          <w:bCs/>
          <w:sz w:val="20"/>
          <w:szCs w:val="20"/>
        </w:rPr>
      </w:pPr>
      <w:r w:rsidRPr="005E1EA7">
        <w:rPr>
          <w:rFonts w:ascii="Tahoma" w:eastAsia="EUAlbertina-Bold-Identity-H" w:hAnsi="Tahoma" w:cs="Tahoma"/>
          <w:b/>
          <w:bCs/>
          <w:sz w:val="20"/>
          <w:szCs w:val="20"/>
        </w:rPr>
        <w:t>PRODUCTION PRIMAIRE</w:t>
      </w:r>
    </w:p>
    <w:p w14:paraId="2CF4B62D"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42FDB36A" w14:textId="77777777" w:rsidR="003D69A8" w:rsidRPr="005E1EA7" w:rsidRDefault="003D69A8" w:rsidP="003D69A8">
      <w:pPr>
        <w:autoSpaceDE w:val="0"/>
        <w:autoSpaceDN w:val="0"/>
        <w:adjustRightInd w:val="0"/>
        <w:jc w:val="center"/>
        <w:rPr>
          <w:rFonts w:ascii="Tahoma" w:eastAsia="EUAlbertina-Regular-Identity-H" w:hAnsi="Tahoma" w:cs="Tahoma"/>
          <w:b/>
          <w:bCs/>
          <w:sz w:val="20"/>
          <w:szCs w:val="20"/>
        </w:rPr>
      </w:pPr>
      <w:r w:rsidRPr="005E1EA7">
        <w:rPr>
          <w:rFonts w:ascii="Tahoma" w:eastAsia="EUAlbertina-Regular-Identity-H" w:hAnsi="Tahoma" w:cs="Tahoma"/>
          <w:b/>
          <w:bCs/>
          <w:sz w:val="20"/>
          <w:szCs w:val="20"/>
        </w:rPr>
        <w:t>PARTIE A - DISPOSITIONS GENERALES D’HYGIENE APPLICABLES A LA PRODUCTION PRIMAIRE ET AUX OPERATIONS CONNEXES</w:t>
      </w:r>
    </w:p>
    <w:p w14:paraId="19D8C5E6"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2C2CBA9C" w14:textId="77777777" w:rsidR="003D69A8" w:rsidRPr="005E1EA7" w:rsidRDefault="003D69A8" w:rsidP="003D69A8">
      <w:pPr>
        <w:autoSpaceDE w:val="0"/>
        <w:autoSpaceDN w:val="0"/>
        <w:adjustRightInd w:val="0"/>
        <w:jc w:val="both"/>
        <w:rPr>
          <w:rFonts w:ascii="Tahoma" w:eastAsia="EUAlbertina-Italic-Identity-H" w:hAnsi="Tahoma" w:cs="Tahoma"/>
          <w:sz w:val="20"/>
          <w:szCs w:val="20"/>
          <w:u w:val="single"/>
        </w:rPr>
      </w:pPr>
      <w:r w:rsidRPr="005E1EA7">
        <w:rPr>
          <w:rFonts w:ascii="Tahoma" w:eastAsia="EUAlbertina-Regular-Identity-H" w:hAnsi="Tahoma" w:cs="Tahoma"/>
          <w:sz w:val="20"/>
          <w:szCs w:val="20"/>
          <w:u w:val="single"/>
        </w:rPr>
        <w:t xml:space="preserve">I. </w:t>
      </w:r>
      <w:r w:rsidRPr="005E1EA7">
        <w:rPr>
          <w:rFonts w:ascii="Tahoma" w:eastAsia="EUAlbertina-Italic-Identity-H" w:hAnsi="Tahoma" w:cs="Tahoma"/>
          <w:i/>
          <w:iCs/>
          <w:sz w:val="20"/>
          <w:szCs w:val="20"/>
          <w:u w:val="single"/>
        </w:rPr>
        <w:t>Champ d’application</w:t>
      </w:r>
    </w:p>
    <w:p w14:paraId="4AFFB309" w14:textId="77777777" w:rsidR="003D69A8" w:rsidRPr="005E1EA7" w:rsidRDefault="003D69A8" w:rsidP="003D69A8">
      <w:pPr>
        <w:autoSpaceDE w:val="0"/>
        <w:autoSpaceDN w:val="0"/>
        <w:adjustRightInd w:val="0"/>
        <w:jc w:val="both"/>
        <w:rPr>
          <w:rFonts w:ascii="Tahoma" w:eastAsia="EUAlbertina-Italic-Identity-H" w:hAnsi="Tahoma" w:cs="Tahoma"/>
          <w:i/>
          <w:iCs/>
          <w:sz w:val="20"/>
          <w:szCs w:val="20"/>
        </w:rPr>
      </w:pPr>
    </w:p>
    <w:p w14:paraId="4E843B3B"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1. La présente annexe s’applique à la production primaire et aux opérations connexes telles que l’entreposage, la manipulation de produits primaires et les opérations de transport pour livrer les produits primaires dont la nature n’a pas été sensiblement modifiée depuis le lieu de production vers un établissement.</w:t>
      </w:r>
    </w:p>
    <w:p w14:paraId="41E133E7"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77910D37" w14:textId="77777777" w:rsidR="003D69A8" w:rsidRPr="005E1EA7" w:rsidRDefault="003D69A8" w:rsidP="003D69A8">
      <w:pPr>
        <w:autoSpaceDE w:val="0"/>
        <w:autoSpaceDN w:val="0"/>
        <w:adjustRightInd w:val="0"/>
        <w:jc w:val="both"/>
        <w:rPr>
          <w:rFonts w:ascii="Tahoma" w:eastAsia="EUAlbertina-Italic-Identity-H" w:hAnsi="Tahoma" w:cs="Tahoma"/>
          <w:sz w:val="20"/>
          <w:szCs w:val="20"/>
          <w:u w:val="single"/>
        </w:rPr>
      </w:pPr>
      <w:r w:rsidRPr="005E1EA7">
        <w:rPr>
          <w:rFonts w:ascii="Tahoma" w:eastAsia="EUAlbertina-Regular-Identity-H" w:hAnsi="Tahoma" w:cs="Tahoma"/>
          <w:sz w:val="20"/>
          <w:szCs w:val="20"/>
          <w:u w:val="single"/>
        </w:rPr>
        <w:t xml:space="preserve">II. </w:t>
      </w:r>
      <w:r w:rsidRPr="005E1EA7">
        <w:rPr>
          <w:rFonts w:ascii="Tahoma" w:eastAsia="EUAlbertina-Italic-Identity-H" w:hAnsi="Tahoma" w:cs="Tahoma"/>
          <w:i/>
          <w:iCs/>
          <w:sz w:val="20"/>
          <w:szCs w:val="20"/>
          <w:u w:val="single"/>
        </w:rPr>
        <w:t>Dispositions d’hygiène</w:t>
      </w:r>
    </w:p>
    <w:p w14:paraId="12B4F131" w14:textId="77777777" w:rsidR="003D69A8" w:rsidRPr="005E1EA7" w:rsidRDefault="003D69A8" w:rsidP="003D69A8">
      <w:pPr>
        <w:autoSpaceDE w:val="0"/>
        <w:autoSpaceDN w:val="0"/>
        <w:adjustRightInd w:val="0"/>
        <w:jc w:val="both"/>
        <w:rPr>
          <w:rFonts w:ascii="Tahoma" w:eastAsia="EUAlbertina-Italic-Identity-H" w:hAnsi="Tahoma" w:cs="Tahoma"/>
          <w:i/>
          <w:iCs/>
          <w:sz w:val="20"/>
          <w:szCs w:val="20"/>
        </w:rPr>
      </w:pPr>
    </w:p>
    <w:p w14:paraId="4295A22B"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2. Les exploitants de mollusques bivalves et de produits de la pêche doivent, dans toute la mesure du possible, veiller à ce que les produits primaires soient protégés contre toute contamination, eu égard à toute transformation que les produits primaires subiront ultérieurement.</w:t>
      </w:r>
    </w:p>
    <w:p w14:paraId="017B1C66"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6AFD212F"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3. Les exploitants de mollusques bivalves et de produits de la pêche doivent respecter les dispositions législatives nationales pertinentes relatives à la maîtrise des dangers dans la production primaire et les opérations connexes.</w:t>
      </w:r>
    </w:p>
    <w:p w14:paraId="0BEF07C2"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6C0949E8"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4. Les exploitants du secteur halieutique qui exploitent, récoltent ou qui produisent des mollusques bivalves et des produits de la pêche doivent prendre des mesures adéquates, afin, le cas échéant, de :</w:t>
      </w:r>
    </w:p>
    <w:p w14:paraId="3B653E78"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361A5EBB" w14:textId="77777777" w:rsidR="003D69A8" w:rsidRPr="005E1EA7" w:rsidRDefault="003D69A8" w:rsidP="003D69A8">
      <w:pPr>
        <w:numPr>
          <w:ilvl w:val="0"/>
          <w:numId w:val="12"/>
        </w:numPr>
        <w:autoSpaceDE w:val="0"/>
        <w:autoSpaceDN w:val="0"/>
        <w:adjustRightInd w:val="0"/>
        <w:jc w:val="both"/>
        <w:rPr>
          <w:rFonts w:ascii="Tahoma" w:eastAsia="EUAlbertina-Regular-Identity-H" w:hAnsi="Tahoma" w:cs="Tahoma"/>
          <w:sz w:val="20"/>
          <w:szCs w:val="20"/>
        </w:rPr>
      </w:pPr>
      <w:proofErr w:type="gramStart"/>
      <w:r w:rsidRPr="005E1EA7">
        <w:rPr>
          <w:rFonts w:ascii="Tahoma" w:eastAsia="EUAlbertina-Regular-Identity-H" w:hAnsi="Tahoma" w:cs="Tahoma"/>
          <w:sz w:val="20"/>
          <w:szCs w:val="20"/>
        </w:rPr>
        <w:t>nettoyer</w:t>
      </w:r>
      <w:proofErr w:type="gramEnd"/>
      <w:r w:rsidRPr="005E1EA7">
        <w:rPr>
          <w:rFonts w:ascii="Tahoma" w:eastAsia="EUAlbertina-Regular-Identity-H" w:hAnsi="Tahoma" w:cs="Tahoma"/>
          <w:sz w:val="20"/>
          <w:szCs w:val="20"/>
        </w:rPr>
        <w:t xml:space="preserve"> toute installation utilisée dans le cadre de la production primaire et les opérations connexes ;</w:t>
      </w:r>
    </w:p>
    <w:p w14:paraId="2CB0FD4F" w14:textId="77777777" w:rsidR="003D69A8" w:rsidRPr="005E1EA7" w:rsidRDefault="003D69A8" w:rsidP="003D69A8">
      <w:pPr>
        <w:autoSpaceDE w:val="0"/>
        <w:autoSpaceDN w:val="0"/>
        <w:adjustRightInd w:val="0"/>
        <w:ind w:left="360"/>
        <w:jc w:val="both"/>
        <w:rPr>
          <w:rFonts w:ascii="Tahoma" w:eastAsia="EUAlbertina-Regular-Identity-H" w:hAnsi="Tahoma" w:cs="Tahoma"/>
          <w:sz w:val="20"/>
          <w:szCs w:val="20"/>
        </w:rPr>
      </w:pPr>
    </w:p>
    <w:p w14:paraId="1CF27D38" w14:textId="77777777" w:rsidR="003D69A8" w:rsidRPr="005E1EA7" w:rsidRDefault="003D69A8" w:rsidP="003D69A8">
      <w:pPr>
        <w:numPr>
          <w:ilvl w:val="0"/>
          <w:numId w:val="12"/>
        </w:numPr>
        <w:autoSpaceDE w:val="0"/>
        <w:autoSpaceDN w:val="0"/>
        <w:adjustRightInd w:val="0"/>
        <w:jc w:val="both"/>
        <w:rPr>
          <w:rFonts w:ascii="Tahoma" w:eastAsia="EUAlbertina-Regular-Identity-H" w:hAnsi="Tahoma" w:cs="Tahoma"/>
          <w:sz w:val="20"/>
          <w:szCs w:val="20"/>
        </w:rPr>
      </w:pPr>
      <w:proofErr w:type="gramStart"/>
      <w:r w:rsidRPr="005E1EA7">
        <w:rPr>
          <w:rFonts w:ascii="Tahoma" w:eastAsia="EUAlbertina-Regular-Identity-H" w:hAnsi="Tahoma" w:cs="Tahoma"/>
          <w:sz w:val="20"/>
          <w:szCs w:val="20"/>
        </w:rPr>
        <w:t>nettoyer</w:t>
      </w:r>
      <w:proofErr w:type="gramEnd"/>
      <w:r w:rsidRPr="005E1EA7">
        <w:rPr>
          <w:rFonts w:ascii="Tahoma" w:eastAsia="EUAlbertina-Regular-Identity-H" w:hAnsi="Tahoma" w:cs="Tahoma"/>
          <w:sz w:val="20"/>
          <w:szCs w:val="20"/>
        </w:rPr>
        <w:t xml:space="preserve"> et, au besoin après nettoyage, désinfecter de manière appropriée les équipements, les conteneurs, les caisses, les véhicules et les navires ;</w:t>
      </w:r>
    </w:p>
    <w:p w14:paraId="1DBA85B1" w14:textId="77777777" w:rsidR="003D69A8" w:rsidRPr="005E1EA7" w:rsidRDefault="003D69A8" w:rsidP="003D69A8">
      <w:pPr>
        <w:autoSpaceDE w:val="0"/>
        <w:autoSpaceDN w:val="0"/>
        <w:adjustRightInd w:val="0"/>
        <w:ind w:left="360"/>
        <w:jc w:val="both"/>
        <w:rPr>
          <w:rFonts w:ascii="Tahoma" w:eastAsia="EUAlbertina-Regular-Identity-H" w:hAnsi="Tahoma" w:cs="Tahoma"/>
          <w:sz w:val="20"/>
          <w:szCs w:val="20"/>
        </w:rPr>
      </w:pPr>
    </w:p>
    <w:p w14:paraId="17A7A18F" w14:textId="77777777" w:rsidR="003D69A8" w:rsidRPr="005E1EA7" w:rsidRDefault="003D69A8" w:rsidP="003D69A8">
      <w:pPr>
        <w:numPr>
          <w:ilvl w:val="0"/>
          <w:numId w:val="12"/>
        </w:numPr>
        <w:autoSpaceDE w:val="0"/>
        <w:autoSpaceDN w:val="0"/>
        <w:adjustRightInd w:val="0"/>
        <w:jc w:val="both"/>
        <w:rPr>
          <w:rFonts w:ascii="Tahoma" w:eastAsia="EUAlbertina-Regular-Identity-H" w:hAnsi="Tahoma" w:cs="Tahoma"/>
          <w:sz w:val="20"/>
          <w:szCs w:val="20"/>
        </w:rPr>
      </w:pPr>
      <w:proofErr w:type="gramStart"/>
      <w:r w:rsidRPr="005E1EA7">
        <w:rPr>
          <w:rFonts w:ascii="Tahoma" w:eastAsia="EUAlbertina-Regular-Identity-H" w:hAnsi="Tahoma" w:cs="Tahoma"/>
          <w:sz w:val="20"/>
          <w:szCs w:val="20"/>
        </w:rPr>
        <w:t>utiliser</w:t>
      </w:r>
      <w:proofErr w:type="gramEnd"/>
      <w:r w:rsidRPr="005E1EA7">
        <w:rPr>
          <w:rFonts w:ascii="Tahoma" w:eastAsia="EUAlbertina-Regular-Identity-H" w:hAnsi="Tahoma" w:cs="Tahoma"/>
          <w:sz w:val="20"/>
          <w:szCs w:val="20"/>
        </w:rPr>
        <w:t xml:space="preserve"> de l’eau potable ou de l’eau propre là où cela est nécessaire de façon à éviter toute contamination ;</w:t>
      </w:r>
    </w:p>
    <w:p w14:paraId="14ED9EA7" w14:textId="77777777" w:rsidR="003D69A8" w:rsidRPr="005E1EA7" w:rsidRDefault="003D69A8" w:rsidP="003D69A8">
      <w:pPr>
        <w:autoSpaceDE w:val="0"/>
        <w:autoSpaceDN w:val="0"/>
        <w:adjustRightInd w:val="0"/>
        <w:ind w:left="360"/>
        <w:jc w:val="both"/>
        <w:rPr>
          <w:rFonts w:ascii="Tahoma" w:eastAsia="EUAlbertina-Regular-Identity-H" w:hAnsi="Tahoma" w:cs="Tahoma"/>
          <w:sz w:val="20"/>
          <w:szCs w:val="20"/>
        </w:rPr>
      </w:pPr>
    </w:p>
    <w:p w14:paraId="7AEC2CE1" w14:textId="77777777" w:rsidR="003D69A8" w:rsidRPr="005E1EA7" w:rsidRDefault="003D69A8" w:rsidP="003D69A8">
      <w:pPr>
        <w:numPr>
          <w:ilvl w:val="0"/>
          <w:numId w:val="12"/>
        </w:numPr>
        <w:autoSpaceDE w:val="0"/>
        <w:autoSpaceDN w:val="0"/>
        <w:adjustRightInd w:val="0"/>
        <w:jc w:val="both"/>
        <w:rPr>
          <w:rFonts w:ascii="Tahoma" w:eastAsia="EUAlbertina-Regular-Identity-H" w:hAnsi="Tahoma" w:cs="Tahoma"/>
          <w:sz w:val="20"/>
          <w:szCs w:val="20"/>
        </w:rPr>
      </w:pPr>
      <w:proofErr w:type="gramStart"/>
      <w:r w:rsidRPr="005E1EA7">
        <w:rPr>
          <w:rFonts w:ascii="Tahoma" w:eastAsia="EUAlbertina-Regular-Identity-H" w:hAnsi="Tahoma" w:cs="Tahoma"/>
          <w:sz w:val="20"/>
          <w:szCs w:val="20"/>
        </w:rPr>
        <w:t>veiller</w:t>
      </w:r>
      <w:proofErr w:type="gramEnd"/>
      <w:r w:rsidRPr="005E1EA7">
        <w:rPr>
          <w:rFonts w:ascii="Tahoma" w:eastAsia="EUAlbertina-Regular-Identity-H" w:hAnsi="Tahoma" w:cs="Tahoma"/>
          <w:sz w:val="20"/>
          <w:szCs w:val="20"/>
        </w:rPr>
        <w:t xml:space="preserve"> à ce que le personnel manipulant les </w:t>
      </w:r>
      <w:r w:rsidRPr="005E1EA7">
        <w:rPr>
          <w:rFonts w:ascii="Tahoma" w:eastAsia="EUAlbertina-Bold-Identity-H" w:hAnsi="Tahoma" w:cs="Tahoma"/>
          <w:sz w:val="20"/>
          <w:szCs w:val="20"/>
        </w:rPr>
        <w:t xml:space="preserve">mollusques bivalves </w:t>
      </w:r>
      <w:r w:rsidRPr="005E1EA7">
        <w:rPr>
          <w:rFonts w:ascii="Tahoma" w:eastAsia="EUAlbertina-Regular-Identity-H" w:hAnsi="Tahoma" w:cs="Tahoma"/>
          <w:sz w:val="20"/>
          <w:szCs w:val="20"/>
        </w:rPr>
        <w:t xml:space="preserve">et les produits de la pêche soit en bonne santé et bénéficie d’une formation relative aux risques en matière de santé ; </w:t>
      </w:r>
    </w:p>
    <w:p w14:paraId="5182A721" w14:textId="77777777" w:rsidR="003D69A8" w:rsidRPr="005E1EA7" w:rsidRDefault="003D69A8" w:rsidP="003D69A8">
      <w:pPr>
        <w:autoSpaceDE w:val="0"/>
        <w:autoSpaceDN w:val="0"/>
        <w:adjustRightInd w:val="0"/>
        <w:ind w:left="360"/>
        <w:jc w:val="both"/>
        <w:rPr>
          <w:rFonts w:ascii="Tahoma" w:eastAsia="EUAlbertina-Regular-Identity-H" w:hAnsi="Tahoma" w:cs="Tahoma"/>
          <w:sz w:val="20"/>
          <w:szCs w:val="20"/>
        </w:rPr>
      </w:pPr>
    </w:p>
    <w:p w14:paraId="1C526C57" w14:textId="77777777" w:rsidR="003D69A8" w:rsidRPr="005E1EA7" w:rsidRDefault="003D69A8" w:rsidP="003D69A8">
      <w:pPr>
        <w:numPr>
          <w:ilvl w:val="0"/>
          <w:numId w:val="12"/>
        </w:numPr>
        <w:autoSpaceDE w:val="0"/>
        <w:autoSpaceDN w:val="0"/>
        <w:adjustRightInd w:val="0"/>
        <w:jc w:val="both"/>
        <w:rPr>
          <w:rFonts w:ascii="Tahoma" w:eastAsia="EUAlbertina-Regular-Identity-H" w:hAnsi="Tahoma" w:cs="Tahoma"/>
          <w:sz w:val="20"/>
          <w:szCs w:val="20"/>
        </w:rPr>
      </w:pPr>
      <w:proofErr w:type="gramStart"/>
      <w:r w:rsidRPr="005E1EA7">
        <w:rPr>
          <w:rFonts w:ascii="Tahoma" w:eastAsia="EUAlbertina-Regular-Identity-H" w:hAnsi="Tahoma" w:cs="Tahoma"/>
          <w:sz w:val="20"/>
          <w:szCs w:val="20"/>
        </w:rPr>
        <w:t>empêcher</w:t>
      </w:r>
      <w:proofErr w:type="gramEnd"/>
      <w:r w:rsidRPr="005E1EA7">
        <w:rPr>
          <w:rFonts w:ascii="Tahoma" w:eastAsia="EUAlbertina-Regular-Identity-H" w:hAnsi="Tahoma" w:cs="Tahoma"/>
          <w:sz w:val="20"/>
          <w:szCs w:val="20"/>
        </w:rPr>
        <w:t xml:space="preserve">, dans toute la mesure du possible, que les animaux et les organismes nuisibles ne causent de contamination ; </w:t>
      </w:r>
    </w:p>
    <w:p w14:paraId="211306CC" w14:textId="77777777" w:rsidR="003D69A8" w:rsidRPr="005E1EA7" w:rsidRDefault="003D69A8" w:rsidP="003D69A8">
      <w:pPr>
        <w:numPr>
          <w:ilvl w:val="0"/>
          <w:numId w:val="12"/>
        </w:numPr>
        <w:autoSpaceDE w:val="0"/>
        <w:autoSpaceDN w:val="0"/>
        <w:adjustRightInd w:val="0"/>
        <w:spacing w:before="120"/>
        <w:ind w:left="714" w:hanging="357"/>
        <w:jc w:val="both"/>
        <w:rPr>
          <w:rFonts w:ascii="Tahoma" w:eastAsia="EUAlbertina-Regular-Identity-H" w:hAnsi="Tahoma" w:cs="Tahoma"/>
          <w:sz w:val="20"/>
          <w:szCs w:val="20"/>
        </w:rPr>
      </w:pPr>
      <w:proofErr w:type="gramStart"/>
      <w:r w:rsidRPr="005E1EA7">
        <w:rPr>
          <w:rFonts w:ascii="Tahoma" w:eastAsia="EUAlbertina-Regular-Identity-H" w:hAnsi="Tahoma" w:cs="Tahoma"/>
          <w:sz w:val="20"/>
          <w:szCs w:val="20"/>
        </w:rPr>
        <w:t>entreposer</w:t>
      </w:r>
      <w:proofErr w:type="gramEnd"/>
      <w:r w:rsidRPr="005E1EA7">
        <w:rPr>
          <w:rFonts w:ascii="Tahoma" w:eastAsia="EUAlbertina-Regular-Identity-H" w:hAnsi="Tahoma" w:cs="Tahoma"/>
          <w:sz w:val="20"/>
          <w:szCs w:val="20"/>
        </w:rPr>
        <w:t xml:space="preserve"> et manipuler les déchets et les substances dangereuses de façon à éviter toute contamination ; </w:t>
      </w:r>
    </w:p>
    <w:p w14:paraId="71F874A2"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639F515A" w14:textId="77777777" w:rsidR="003D69A8" w:rsidRPr="005E1EA7" w:rsidRDefault="003D69A8" w:rsidP="003D69A8">
      <w:pPr>
        <w:numPr>
          <w:ilvl w:val="0"/>
          <w:numId w:val="12"/>
        </w:numPr>
        <w:autoSpaceDE w:val="0"/>
        <w:autoSpaceDN w:val="0"/>
        <w:adjustRightInd w:val="0"/>
        <w:jc w:val="both"/>
        <w:rPr>
          <w:rFonts w:ascii="Tahoma" w:eastAsia="EUAlbertina-Regular-Identity-H" w:hAnsi="Tahoma" w:cs="Tahoma"/>
          <w:sz w:val="20"/>
          <w:szCs w:val="20"/>
        </w:rPr>
      </w:pPr>
      <w:proofErr w:type="gramStart"/>
      <w:r w:rsidRPr="005E1EA7">
        <w:rPr>
          <w:rFonts w:ascii="Tahoma" w:eastAsia="EUAlbertina-Regular-Identity-H" w:hAnsi="Tahoma" w:cs="Tahoma"/>
          <w:sz w:val="20"/>
          <w:szCs w:val="20"/>
        </w:rPr>
        <w:t>prévenir</w:t>
      </w:r>
      <w:proofErr w:type="gramEnd"/>
      <w:r w:rsidRPr="005E1EA7">
        <w:rPr>
          <w:rFonts w:ascii="Tahoma" w:eastAsia="EUAlbertina-Regular-Identity-H" w:hAnsi="Tahoma" w:cs="Tahoma"/>
          <w:sz w:val="20"/>
          <w:szCs w:val="20"/>
        </w:rPr>
        <w:t xml:space="preserve"> l’introduction et la propagation de maladies contagieuses transmissibles à l’être humain par le biais de denrées alimentaires, y compris en prenant des mesures de précaution ;</w:t>
      </w:r>
    </w:p>
    <w:p w14:paraId="7200D61D" w14:textId="77777777" w:rsidR="003D69A8" w:rsidRPr="005E1EA7" w:rsidRDefault="003D69A8" w:rsidP="003D69A8">
      <w:pPr>
        <w:autoSpaceDE w:val="0"/>
        <w:autoSpaceDN w:val="0"/>
        <w:adjustRightInd w:val="0"/>
        <w:ind w:left="360"/>
        <w:jc w:val="both"/>
        <w:rPr>
          <w:rFonts w:ascii="Tahoma" w:eastAsia="EUAlbertina-Regular-Identity-H" w:hAnsi="Tahoma" w:cs="Tahoma"/>
          <w:sz w:val="20"/>
          <w:szCs w:val="20"/>
        </w:rPr>
      </w:pPr>
    </w:p>
    <w:p w14:paraId="2523105F" w14:textId="77777777" w:rsidR="003D69A8" w:rsidRPr="005E1EA7" w:rsidRDefault="003D69A8" w:rsidP="003D69A8">
      <w:pPr>
        <w:numPr>
          <w:ilvl w:val="0"/>
          <w:numId w:val="12"/>
        </w:numPr>
        <w:autoSpaceDE w:val="0"/>
        <w:autoSpaceDN w:val="0"/>
        <w:adjustRightInd w:val="0"/>
        <w:jc w:val="both"/>
        <w:rPr>
          <w:rFonts w:ascii="Tahoma" w:eastAsia="EUAlbertina-Regular-Identity-H" w:hAnsi="Tahoma" w:cs="Tahoma"/>
          <w:sz w:val="20"/>
          <w:szCs w:val="20"/>
        </w:rPr>
      </w:pPr>
      <w:proofErr w:type="gramStart"/>
      <w:r w:rsidRPr="005E1EA7">
        <w:rPr>
          <w:rFonts w:ascii="Tahoma" w:eastAsia="EUAlbertina-Regular-Identity-H" w:hAnsi="Tahoma" w:cs="Tahoma"/>
          <w:sz w:val="20"/>
          <w:szCs w:val="20"/>
        </w:rPr>
        <w:t>tenir</w:t>
      </w:r>
      <w:proofErr w:type="gramEnd"/>
      <w:r w:rsidRPr="005E1EA7">
        <w:rPr>
          <w:rFonts w:ascii="Tahoma" w:eastAsia="EUAlbertina-Regular-Identity-H" w:hAnsi="Tahoma" w:cs="Tahoma"/>
          <w:sz w:val="20"/>
          <w:szCs w:val="20"/>
        </w:rPr>
        <w:t xml:space="preserve"> compte des résultats de toute analyse pertinente d’échantillons prélevés qui revêtent une importance pour la santé humaine. </w:t>
      </w:r>
    </w:p>
    <w:p w14:paraId="4D37CD53" w14:textId="77777777" w:rsidR="003D69A8" w:rsidRPr="005E1EA7" w:rsidRDefault="003D69A8" w:rsidP="003D69A8">
      <w:pPr>
        <w:autoSpaceDE w:val="0"/>
        <w:autoSpaceDN w:val="0"/>
        <w:adjustRightInd w:val="0"/>
        <w:ind w:left="360"/>
        <w:jc w:val="both"/>
        <w:rPr>
          <w:rFonts w:ascii="Tahoma" w:eastAsia="EUAlbertina-Regular-Identity-H" w:hAnsi="Tahoma" w:cs="Tahoma"/>
          <w:sz w:val="20"/>
          <w:szCs w:val="20"/>
        </w:rPr>
      </w:pPr>
    </w:p>
    <w:p w14:paraId="70CCC78F"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5. Les exploitants de mollusques bivalves et de produits de la pêche doivent prendre des mesures appropriées pour remédier à la situation lorsqu’ils sont informés de problèmes décelés durant les contrôles officiels.</w:t>
      </w:r>
    </w:p>
    <w:p w14:paraId="7B10B40E"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4AD867B5" w14:textId="77777777" w:rsidR="003D69A8" w:rsidRPr="005E1EA7" w:rsidRDefault="003D69A8" w:rsidP="003D69A8">
      <w:pPr>
        <w:autoSpaceDE w:val="0"/>
        <w:autoSpaceDN w:val="0"/>
        <w:adjustRightInd w:val="0"/>
        <w:jc w:val="both"/>
        <w:rPr>
          <w:rFonts w:ascii="Tahoma" w:eastAsia="EUAlbertina-Italic-Identity-H" w:hAnsi="Tahoma" w:cs="Tahoma"/>
          <w:i/>
          <w:iCs/>
          <w:sz w:val="20"/>
          <w:szCs w:val="20"/>
        </w:rPr>
      </w:pPr>
      <w:r w:rsidRPr="005E1EA7">
        <w:rPr>
          <w:rFonts w:ascii="Tahoma" w:eastAsia="EUAlbertina-Regular-Identity-H" w:hAnsi="Tahoma" w:cs="Tahoma"/>
          <w:sz w:val="20"/>
          <w:szCs w:val="20"/>
        </w:rPr>
        <w:t xml:space="preserve">III. </w:t>
      </w:r>
      <w:r w:rsidRPr="005E1EA7">
        <w:rPr>
          <w:rFonts w:ascii="Tahoma" w:eastAsia="EUAlbertina-Italic-Identity-H" w:hAnsi="Tahoma" w:cs="Tahoma"/>
          <w:i/>
          <w:iCs/>
          <w:sz w:val="20"/>
          <w:szCs w:val="20"/>
        </w:rPr>
        <w:t>Tenue de registres</w:t>
      </w:r>
    </w:p>
    <w:p w14:paraId="6B0F76E0" w14:textId="77777777" w:rsidR="003D69A8" w:rsidRPr="005E1EA7" w:rsidRDefault="003D69A8" w:rsidP="003D69A8">
      <w:pPr>
        <w:autoSpaceDE w:val="0"/>
        <w:autoSpaceDN w:val="0"/>
        <w:adjustRightInd w:val="0"/>
        <w:jc w:val="both"/>
        <w:rPr>
          <w:rFonts w:ascii="Tahoma" w:eastAsia="EUAlbertina-Italic-Identity-H" w:hAnsi="Tahoma" w:cs="Tahoma"/>
          <w:i/>
          <w:iCs/>
          <w:sz w:val="20"/>
          <w:szCs w:val="20"/>
        </w:rPr>
      </w:pPr>
    </w:p>
    <w:p w14:paraId="4B504D56"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lastRenderedPageBreak/>
        <w:t>6. Les exploitants de mollusques bivalves et de produits de la pêche doivent tenir des registres concernant les mesures prises afin de maîtriser les dangers et les conserver, de manière appropriée et pendant une période adéquate en rapport avec la nature et la taille de l’établissement. Les exploitants du secteur halieutique doivent mettre les informations pertinentes, dont les résultats d’analyse revêtant une importance pour la santé humaine, figurant dans ces registres à la disposition de l’autorité compétente et des exploitants destinataires du secteur alimentaire, à leur demande.</w:t>
      </w:r>
    </w:p>
    <w:p w14:paraId="62B3AD8A"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2215640C" w14:textId="77777777" w:rsidR="003D69A8" w:rsidRPr="005E1EA7" w:rsidRDefault="003D69A8" w:rsidP="003D69A8">
      <w:pPr>
        <w:autoSpaceDE w:val="0"/>
        <w:autoSpaceDN w:val="0"/>
        <w:adjustRightInd w:val="0"/>
        <w:jc w:val="center"/>
        <w:rPr>
          <w:rFonts w:ascii="Tahoma" w:eastAsia="EUAlbertina-Regular-Identity-H" w:hAnsi="Tahoma" w:cs="Tahoma"/>
          <w:b/>
          <w:bCs/>
          <w:sz w:val="20"/>
          <w:szCs w:val="20"/>
        </w:rPr>
      </w:pPr>
      <w:r w:rsidRPr="005E1EA7">
        <w:rPr>
          <w:rFonts w:ascii="Tahoma" w:eastAsia="EUAlbertina-Regular-Identity-H" w:hAnsi="Tahoma" w:cs="Tahoma"/>
          <w:b/>
          <w:bCs/>
          <w:sz w:val="20"/>
          <w:szCs w:val="20"/>
        </w:rPr>
        <w:t>PARTIE B - RECOMMANDATIONS POUR LES GUIDES DE BONNES PRATIQUES D’HYGIENE</w:t>
      </w:r>
    </w:p>
    <w:p w14:paraId="29ABDCD4"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41437AE5"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 xml:space="preserve">1. Les guides nationaux visés au titre du présent arrêté doivent comporter des indications sur les bonnes pratiques d’hygiène pour la maîtrise des dangers dans la production primaire et les opérations connexes. </w:t>
      </w:r>
    </w:p>
    <w:p w14:paraId="54CE80C7"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112F271D"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2. Les guides de bonnes pratiques d’hygiène doivent comporter des informations appropriées sur les dangers susceptibles d’apparaître au stade de la production primaire et des opérations connexes et sur les mesures visant à maîtriser ces dangers.</w:t>
      </w:r>
    </w:p>
    <w:p w14:paraId="58FC4EB0"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626396E5" w14:textId="77777777" w:rsidR="003D69A8" w:rsidRPr="005E1EA7" w:rsidRDefault="003D69A8" w:rsidP="003D69A8">
      <w:pPr>
        <w:numPr>
          <w:ilvl w:val="0"/>
          <w:numId w:val="13"/>
        </w:numPr>
        <w:autoSpaceDE w:val="0"/>
        <w:autoSpaceDN w:val="0"/>
        <w:adjustRightInd w:val="0"/>
        <w:jc w:val="both"/>
        <w:rPr>
          <w:rFonts w:ascii="Tahoma" w:eastAsia="EUAlbertina-Regular-Identity-H" w:hAnsi="Tahoma" w:cs="Tahoma"/>
          <w:sz w:val="20"/>
          <w:szCs w:val="20"/>
        </w:rPr>
      </w:pPr>
      <w:proofErr w:type="gramStart"/>
      <w:r w:rsidRPr="005E1EA7">
        <w:rPr>
          <w:rFonts w:ascii="Tahoma" w:eastAsia="EUAlbertina-Regular-Identity-H" w:hAnsi="Tahoma" w:cs="Tahoma"/>
          <w:sz w:val="20"/>
          <w:szCs w:val="20"/>
        </w:rPr>
        <w:t>la</w:t>
      </w:r>
      <w:proofErr w:type="gramEnd"/>
      <w:r w:rsidRPr="005E1EA7">
        <w:rPr>
          <w:rFonts w:ascii="Tahoma" w:eastAsia="EUAlbertina-Regular-Identity-H" w:hAnsi="Tahoma" w:cs="Tahoma"/>
          <w:sz w:val="20"/>
          <w:szCs w:val="20"/>
        </w:rPr>
        <w:t xml:space="preserve"> maîtrise de la contamination, par exemple par des microorganismes pathogènes, des biotoxines marines, des métaux lourds ; </w:t>
      </w:r>
    </w:p>
    <w:p w14:paraId="21A0AAAE" w14:textId="77777777" w:rsidR="003D69A8" w:rsidRPr="005E1EA7" w:rsidRDefault="003D69A8" w:rsidP="003D69A8">
      <w:pPr>
        <w:autoSpaceDE w:val="0"/>
        <w:autoSpaceDN w:val="0"/>
        <w:adjustRightInd w:val="0"/>
        <w:ind w:left="360"/>
        <w:jc w:val="both"/>
        <w:rPr>
          <w:rFonts w:ascii="Tahoma" w:eastAsia="EUAlbertina-Regular-Identity-H" w:hAnsi="Tahoma" w:cs="Tahoma"/>
          <w:sz w:val="20"/>
          <w:szCs w:val="20"/>
        </w:rPr>
      </w:pPr>
    </w:p>
    <w:p w14:paraId="2BC0A6BC" w14:textId="77777777" w:rsidR="003D69A8" w:rsidRPr="005E1EA7" w:rsidRDefault="003D69A8" w:rsidP="003D69A8">
      <w:pPr>
        <w:numPr>
          <w:ilvl w:val="0"/>
          <w:numId w:val="13"/>
        </w:numPr>
        <w:autoSpaceDE w:val="0"/>
        <w:autoSpaceDN w:val="0"/>
        <w:adjustRightInd w:val="0"/>
        <w:jc w:val="both"/>
        <w:rPr>
          <w:rFonts w:ascii="Tahoma" w:eastAsia="EUAlbertina-Regular-Identity-H" w:hAnsi="Tahoma" w:cs="Tahoma"/>
          <w:sz w:val="20"/>
          <w:szCs w:val="20"/>
        </w:rPr>
      </w:pPr>
      <w:proofErr w:type="gramStart"/>
      <w:r w:rsidRPr="005E1EA7">
        <w:rPr>
          <w:rFonts w:ascii="Tahoma" w:eastAsia="EUAlbertina-Regular-Identity-H" w:hAnsi="Tahoma" w:cs="Tahoma"/>
          <w:sz w:val="20"/>
          <w:szCs w:val="20"/>
        </w:rPr>
        <w:t>les</w:t>
      </w:r>
      <w:proofErr w:type="gramEnd"/>
      <w:r w:rsidRPr="005E1EA7">
        <w:rPr>
          <w:rFonts w:ascii="Tahoma" w:eastAsia="EUAlbertina-Regular-Identity-H" w:hAnsi="Tahoma" w:cs="Tahoma"/>
          <w:sz w:val="20"/>
          <w:szCs w:val="20"/>
        </w:rPr>
        <w:t xml:space="preserve"> mesures de protection visant à éviter l’introduction de maladies contagieuses transmissibles à l’être humain par le biais des denrées alimentaires et toute obligation de les notifier à l’Autorité compétente ; </w:t>
      </w:r>
    </w:p>
    <w:p w14:paraId="18C945C1" w14:textId="77777777" w:rsidR="003D69A8" w:rsidRPr="005E1EA7" w:rsidRDefault="003D69A8" w:rsidP="003D69A8">
      <w:pPr>
        <w:autoSpaceDE w:val="0"/>
        <w:autoSpaceDN w:val="0"/>
        <w:adjustRightInd w:val="0"/>
        <w:ind w:left="360"/>
        <w:jc w:val="both"/>
        <w:rPr>
          <w:rFonts w:ascii="Tahoma" w:eastAsia="EUAlbertina-Regular-Identity-H" w:hAnsi="Tahoma" w:cs="Tahoma"/>
          <w:sz w:val="20"/>
          <w:szCs w:val="20"/>
        </w:rPr>
      </w:pPr>
    </w:p>
    <w:p w14:paraId="7C85AD37" w14:textId="77777777" w:rsidR="003D69A8" w:rsidRPr="005E1EA7" w:rsidRDefault="003D69A8" w:rsidP="003D69A8">
      <w:pPr>
        <w:numPr>
          <w:ilvl w:val="0"/>
          <w:numId w:val="13"/>
        </w:numPr>
        <w:autoSpaceDE w:val="0"/>
        <w:autoSpaceDN w:val="0"/>
        <w:adjustRightInd w:val="0"/>
        <w:jc w:val="both"/>
        <w:rPr>
          <w:rFonts w:ascii="Tahoma" w:eastAsia="EUAlbertina-Regular-Identity-H" w:hAnsi="Tahoma" w:cs="Tahoma"/>
          <w:sz w:val="20"/>
          <w:szCs w:val="20"/>
        </w:rPr>
      </w:pPr>
      <w:proofErr w:type="gramStart"/>
      <w:r w:rsidRPr="005E1EA7">
        <w:rPr>
          <w:rFonts w:ascii="Tahoma" w:eastAsia="EUAlbertina-Regular-Identity-H" w:hAnsi="Tahoma" w:cs="Tahoma"/>
          <w:sz w:val="20"/>
          <w:szCs w:val="20"/>
        </w:rPr>
        <w:t>les</w:t>
      </w:r>
      <w:proofErr w:type="gramEnd"/>
      <w:r w:rsidRPr="005E1EA7">
        <w:rPr>
          <w:rFonts w:ascii="Tahoma" w:eastAsia="EUAlbertina-Regular-Identity-H" w:hAnsi="Tahoma" w:cs="Tahoma"/>
          <w:sz w:val="20"/>
          <w:szCs w:val="20"/>
        </w:rPr>
        <w:t xml:space="preserve"> procédures, pratiques et méthodes permettant de garantir que les </w:t>
      </w:r>
      <w:r w:rsidRPr="005E1EA7">
        <w:rPr>
          <w:rFonts w:ascii="Tahoma" w:eastAsia="EUAlbertina-Bold-Identity-H" w:hAnsi="Tahoma" w:cs="Tahoma"/>
          <w:sz w:val="20"/>
          <w:szCs w:val="20"/>
        </w:rPr>
        <w:t xml:space="preserve">mollusques bivalves et les </w:t>
      </w:r>
      <w:r w:rsidRPr="005E1EA7">
        <w:rPr>
          <w:rFonts w:ascii="Tahoma" w:eastAsia="EUAlbertina-Regular-Identity-H" w:hAnsi="Tahoma" w:cs="Tahoma"/>
          <w:sz w:val="20"/>
          <w:szCs w:val="20"/>
        </w:rPr>
        <w:t>produits de la pêche sont produits, manipulés, emballés, entreposés et transportés dans des conditions d’hygiène appropriées, y compris le nettoyage et la lutte efficaces contre les organismes nuisibles.</w:t>
      </w:r>
    </w:p>
    <w:p w14:paraId="7DA0661D" w14:textId="77777777" w:rsidR="005E1EA7" w:rsidRDefault="005E1EA7" w:rsidP="003D69A8">
      <w:pPr>
        <w:autoSpaceDE w:val="0"/>
        <w:autoSpaceDN w:val="0"/>
        <w:adjustRightInd w:val="0"/>
        <w:jc w:val="center"/>
        <w:rPr>
          <w:rFonts w:ascii="Tahoma" w:eastAsia="EUAlbertina-Regular-Identity-H" w:hAnsi="Tahoma" w:cs="Tahoma"/>
          <w:sz w:val="20"/>
          <w:szCs w:val="20"/>
        </w:rPr>
      </w:pPr>
    </w:p>
    <w:p w14:paraId="74325CA4" w14:textId="77777777" w:rsidR="00E34453" w:rsidRDefault="00E34453" w:rsidP="00E34453">
      <w:pPr>
        <w:autoSpaceDE w:val="0"/>
        <w:autoSpaceDN w:val="0"/>
        <w:adjustRightInd w:val="0"/>
        <w:jc w:val="center"/>
        <w:rPr>
          <w:rFonts w:ascii="Tahoma" w:eastAsia="EUAlbertina-Italic-Identity-H" w:hAnsi="Tahoma" w:cs="Tahoma"/>
          <w:b/>
          <w:bCs/>
          <w:sz w:val="20"/>
          <w:szCs w:val="20"/>
        </w:rPr>
      </w:pPr>
    </w:p>
    <w:p w14:paraId="7AB1E416" w14:textId="77777777" w:rsidR="00E34453" w:rsidRDefault="00E34453">
      <w:pPr>
        <w:rPr>
          <w:rFonts w:ascii="Tahoma" w:eastAsia="EUAlbertina-Italic-Identity-H" w:hAnsi="Tahoma" w:cs="Tahoma"/>
          <w:b/>
          <w:bCs/>
          <w:sz w:val="20"/>
          <w:szCs w:val="20"/>
        </w:rPr>
      </w:pPr>
      <w:r>
        <w:rPr>
          <w:rFonts w:ascii="Tahoma" w:eastAsia="EUAlbertina-Italic-Identity-H" w:hAnsi="Tahoma" w:cs="Tahoma"/>
          <w:b/>
          <w:bCs/>
          <w:sz w:val="20"/>
          <w:szCs w:val="20"/>
        </w:rPr>
        <w:br w:type="page"/>
      </w:r>
    </w:p>
    <w:p w14:paraId="2F530859" w14:textId="357F9633" w:rsidR="003D69A8" w:rsidRPr="005E1EA7" w:rsidRDefault="003D69A8" w:rsidP="00E34453">
      <w:pPr>
        <w:autoSpaceDE w:val="0"/>
        <w:autoSpaceDN w:val="0"/>
        <w:adjustRightInd w:val="0"/>
        <w:jc w:val="center"/>
        <w:rPr>
          <w:rFonts w:ascii="Tahoma" w:eastAsia="EUAlbertina-Italic-Identity-H" w:hAnsi="Tahoma" w:cs="Tahoma"/>
          <w:b/>
          <w:bCs/>
          <w:sz w:val="20"/>
          <w:szCs w:val="20"/>
        </w:rPr>
      </w:pPr>
      <w:r w:rsidRPr="005E1EA7">
        <w:rPr>
          <w:rFonts w:ascii="Tahoma" w:eastAsia="EUAlbertina-Italic-Identity-H" w:hAnsi="Tahoma" w:cs="Tahoma"/>
          <w:b/>
          <w:bCs/>
          <w:sz w:val="20"/>
          <w:szCs w:val="20"/>
        </w:rPr>
        <w:lastRenderedPageBreak/>
        <w:t xml:space="preserve">ANNEXE II : </w:t>
      </w:r>
    </w:p>
    <w:p w14:paraId="1F74116E" w14:textId="77777777" w:rsidR="003D69A8" w:rsidRPr="005E1EA7" w:rsidRDefault="003D69A8" w:rsidP="003D69A8">
      <w:pPr>
        <w:autoSpaceDE w:val="0"/>
        <w:autoSpaceDN w:val="0"/>
        <w:adjustRightInd w:val="0"/>
        <w:jc w:val="center"/>
        <w:rPr>
          <w:rFonts w:ascii="Tahoma" w:eastAsia="EUAlbertina-Italic-Identity-H" w:hAnsi="Tahoma" w:cs="Tahoma"/>
          <w:b/>
          <w:bCs/>
          <w:sz w:val="20"/>
          <w:szCs w:val="20"/>
        </w:rPr>
      </w:pPr>
    </w:p>
    <w:p w14:paraId="42CD6D4C" w14:textId="77777777" w:rsidR="003D69A8" w:rsidRPr="005E1EA7" w:rsidRDefault="003D69A8" w:rsidP="003D69A8">
      <w:pPr>
        <w:autoSpaceDE w:val="0"/>
        <w:autoSpaceDN w:val="0"/>
        <w:adjustRightInd w:val="0"/>
        <w:jc w:val="center"/>
        <w:rPr>
          <w:rFonts w:ascii="Tahoma" w:eastAsia="EUAlbertina-Bold-Identity-H" w:hAnsi="Tahoma" w:cs="Tahoma"/>
          <w:b/>
          <w:bCs/>
          <w:sz w:val="20"/>
          <w:szCs w:val="20"/>
        </w:rPr>
      </w:pPr>
      <w:r w:rsidRPr="005E1EA7">
        <w:rPr>
          <w:rFonts w:ascii="Tahoma" w:eastAsia="EUAlbertina-Bold-Identity-H" w:hAnsi="Tahoma" w:cs="Tahoma"/>
          <w:b/>
          <w:bCs/>
          <w:sz w:val="20"/>
          <w:szCs w:val="20"/>
        </w:rPr>
        <w:t xml:space="preserve">DISPOSITIONS GENERALES D’HYGIENE POUR TOUS LES EXPLOITANTS DE MOLLUSQUES BIVALVES VIVANTS </w:t>
      </w:r>
    </w:p>
    <w:p w14:paraId="5DE6C942" w14:textId="77777777" w:rsidR="003D69A8" w:rsidRPr="005E1EA7" w:rsidRDefault="003D69A8" w:rsidP="003D69A8">
      <w:pPr>
        <w:autoSpaceDE w:val="0"/>
        <w:autoSpaceDN w:val="0"/>
        <w:adjustRightInd w:val="0"/>
        <w:jc w:val="center"/>
        <w:rPr>
          <w:rFonts w:ascii="Tahoma" w:eastAsia="EUAlbertina-Bold-Identity-H" w:hAnsi="Tahoma" w:cs="Tahoma"/>
          <w:b/>
          <w:bCs/>
          <w:sz w:val="20"/>
          <w:szCs w:val="20"/>
        </w:rPr>
      </w:pPr>
      <w:r w:rsidRPr="005E1EA7">
        <w:rPr>
          <w:rFonts w:ascii="Tahoma" w:eastAsia="EUAlbertina-Bold-Identity-H" w:hAnsi="Tahoma" w:cs="Tahoma"/>
          <w:b/>
          <w:bCs/>
          <w:sz w:val="20"/>
          <w:szCs w:val="20"/>
        </w:rPr>
        <w:t>ET DE PRODUITS DE LA PECHE</w:t>
      </w:r>
    </w:p>
    <w:p w14:paraId="79C3E235" w14:textId="77777777" w:rsidR="003D69A8" w:rsidRPr="005E1EA7" w:rsidRDefault="003D69A8" w:rsidP="003D69A8">
      <w:pPr>
        <w:autoSpaceDE w:val="0"/>
        <w:autoSpaceDN w:val="0"/>
        <w:adjustRightInd w:val="0"/>
        <w:jc w:val="both"/>
        <w:rPr>
          <w:rFonts w:ascii="Tahoma" w:eastAsia="EUAlbertina-Bold-Identity-H" w:hAnsi="Tahoma" w:cs="Tahoma"/>
          <w:sz w:val="20"/>
          <w:szCs w:val="20"/>
        </w:rPr>
      </w:pPr>
    </w:p>
    <w:p w14:paraId="6ACA0768" w14:textId="77777777" w:rsidR="003D69A8" w:rsidRPr="005E1EA7" w:rsidRDefault="003D69A8" w:rsidP="003D69A8">
      <w:pPr>
        <w:autoSpaceDE w:val="0"/>
        <w:autoSpaceDN w:val="0"/>
        <w:adjustRightInd w:val="0"/>
        <w:jc w:val="center"/>
        <w:rPr>
          <w:rFonts w:ascii="Tahoma" w:eastAsia="EUAlbertina-Bold-Identity-H" w:hAnsi="Tahoma" w:cs="Tahoma"/>
          <w:b/>
          <w:bCs/>
          <w:sz w:val="20"/>
          <w:szCs w:val="20"/>
        </w:rPr>
      </w:pPr>
      <w:r w:rsidRPr="005E1EA7">
        <w:rPr>
          <w:rFonts w:ascii="Tahoma" w:eastAsia="EUAlbertina-Regular-Identity-H" w:hAnsi="Tahoma" w:cs="Tahoma"/>
          <w:b/>
          <w:bCs/>
          <w:sz w:val="20"/>
          <w:szCs w:val="20"/>
        </w:rPr>
        <w:t>CHAPITRE I -</w:t>
      </w:r>
      <w:r w:rsidRPr="005E1EA7">
        <w:rPr>
          <w:rFonts w:ascii="Tahoma" w:eastAsia="EUAlbertina-Bold-Identity-H" w:hAnsi="Tahoma" w:cs="Tahoma"/>
          <w:b/>
          <w:bCs/>
          <w:sz w:val="20"/>
          <w:szCs w:val="20"/>
        </w:rPr>
        <w:t xml:space="preserve"> DISPOSITIONS GENERALES APPLICABLES AUX LOCAUX UTILISES </w:t>
      </w:r>
    </w:p>
    <w:p w14:paraId="638B203C"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6B607696"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1. Les locaux par lesquels circulent les mollusques bivalves et les produits de la pêche doivent être propres et en bon état d’entretien.</w:t>
      </w:r>
    </w:p>
    <w:p w14:paraId="6EB23BB2"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46A90863"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2. Par leur agencement, leur conception, leur construction, leur emplacement et leurs dimensions, les locaux utilisés doivent :</w:t>
      </w:r>
    </w:p>
    <w:p w14:paraId="5DB38705"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4B4FA87A" w14:textId="77777777" w:rsidR="003D69A8" w:rsidRPr="005E1EA7" w:rsidRDefault="003D69A8" w:rsidP="003D69A8">
      <w:pPr>
        <w:numPr>
          <w:ilvl w:val="0"/>
          <w:numId w:val="17"/>
        </w:numPr>
        <w:autoSpaceDE w:val="0"/>
        <w:autoSpaceDN w:val="0"/>
        <w:adjustRightInd w:val="0"/>
        <w:jc w:val="both"/>
        <w:rPr>
          <w:rFonts w:ascii="Tahoma" w:eastAsia="EUAlbertina-Regular-Identity-H" w:hAnsi="Tahoma" w:cs="Tahoma"/>
          <w:sz w:val="20"/>
          <w:szCs w:val="20"/>
        </w:rPr>
      </w:pPr>
      <w:proofErr w:type="gramStart"/>
      <w:r w:rsidRPr="005E1EA7">
        <w:rPr>
          <w:rFonts w:ascii="Tahoma" w:eastAsia="EUAlbertina-Regular-Identity-H" w:hAnsi="Tahoma" w:cs="Tahoma"/>
          <w:sz w:val="20"/>
          <w:szCs w:val="20"/>
        </w:rPr>
        <w:t>pouvoir</w:t>
      </w:r>
      <w:proofErr w:type="gramEnd"/>
      <w:r w:rsidRPr="005E1EA7">
        <w:rPr>
          <w:rFonts w:ascii="Tahoma" w:eastAsia="EUAlbertina-Regular-Identity-H" w:hAnsi="Tahoma" w:cs="Tahoma"/>
          <w:sz w:val="20"/>
          <w:szCs w:val="20"/>
        </w:rPr>
        <w:t xml:space="preserve"> être convenablement entretenus, nettoyés et/ou désinfectés, prévenir ou réduire au minimum la contamination aéroportée et offrir un espace de travail suffisant pour l’exécution hygiénique de toutes les opérations ;</w:t>
      </w:r>
    </w:p>
    <w:p w14:paraId="49FF2C1B" w14:textId="77777777" w:rsidR="003D69A8" w:rsidRPr="005E1EA7" w:rsidRDefault="003D69A8" w:rsidP="003D69A8">
      <w:pPr>
        <w:autoSpaceDE w:val="0"/>
        <w:autoSpaceDN w:val="0"/>
        <w:adjustRightInd w:val="0"/>
        <w:ind w:left="360"/>
        <w:jc w:val="both"/>
        <w:rPr>
          <w:rFonts w:ascii="Tahoma" w:eastAsia="EUAlbertina-Regular-Identity-H" w:hAnsi="Tahoma" w:cs="Tahoma"/>
          <w:sz w:val="20"/>
          <w:szCs w:val="20"/>
        </w:rPr>
      </w:pPr>
    </w:p>
    <w:p w14:paraId="5D4BF534" w14:textId="77777777" w:rsidR="003D69A8" w:rsidRPr="005E1EA7" w:rsidRDefault="003D69A8" w:rsidP="003D69A8">
      <w:pPr>
        <w:numPr>
          <w:ilvl w:val="0"/>
          <w:numId w:val="17"/>
        </w:numPr>
        <w:autoSpaceDE w:val="0"/>
        <w:autoSpaceDN w:val="0"/>
        <w:adjustRightInd w:val="0"/>
        <w:jc w:val="both"/>
        <w:rPr>
          <w:rFonts w:ascii="Tahoma" w:eastAsia="EUAlbertina-Regular-Identity-H" w:hAnsi="Tahoma" w:cs="Tahoma"/>
          <w:sz w:val="20"/>
          <w:szCs w:val="20"/>
        </w:rPr>
      </w:pPr>
      <w:proofErr w:type="gramStart"/>
      <w:r w:rsidRPr="005E1EA7">
        <w:rPr>
          <w:rFonts w:ascii="Tahoma" w:eastAsia="EUAlbertina-Regular-Identity-H" w:hAnsi="Tahoma" w:cs="Tahoma"/>
          <w:sz w:val="20"/>
          <w:szCs w:val="20"/>
        </w:rPr>
        <w:t>permettre</w:t>
      </w:r>
      <w:proofErr w:type="gramEnd"/>
      <w:r w:rsidRPr="005E1EA7">
        <w:rPr>
          <w:rFonts w:ascii="Tahoma" w:eastAsia="EUAlbertina-Regular-Identity-H" w:hAnsi="Tahoma" w:cs="Tahoma"/>
          <w:sz w:val="20"/>
          <w:szCs w:val="20"/>
        </w:rPr>
        <w:t xml:space="preserve"> de prévenir l’encrassement, le contact avec des matériaux toxiques, le déversement de particules sur </w:t>
      </w:r>
      <w:r w:rsidRPr="005E1EA7">
        <w:rPr>
          <w:rFonts w:ascii="Tahoma" w:eastAsia="EUAlbertina-Bold-Identity-H" w:hAnsi="Tahoma" w:cs="Tahoma"/>
          <w:sz w:val="20"/>
          <w:szCs w:val="20"/>
        </w:rPr>
        <w:t xml:space="preserve">les </w:t>
      </w:r>
      <w:r w:rsidRPr="005E1EA7">
        <w:rPr>
          <w:rFonts w:ascii="Tahoma" w:eastAsia="EUAlbertina-Regular-Identity-H" w:hAnsi="Tahoma" w:cs="Tahoma"/>
          <w:sz w:val="20"/>
          <w:szCs w:val="20"/>
        </w:rPr>
        <w:t>produits de la pêche et la formation de moisissure et de condensation indésirable sur les surfaces ;</w:t>
      </w:r>
    </w:p>
    <w:p w14:paraId="460AAD39" w14:textId="77777777" w:rsidR="003D69A8" w:rsidRPr="005E1EA7" w:rsidRDefault="003D69A8" w:rsidP="003D69A8">
      <w:pPr>
        <w:autoSpaceDE w:val="0"/>
        <w:autoSpaceDN w:val="0"/>
        <w:adjustRightInd w:val="0"/>
        <w:ind w:left="360"/>
        <w:jc w:val="both"/>
        <w:rPr>
          <w:rFonts w:ascii="Tahoma" w:eastAsia="EUAlbertina-Regular-Identity-H" w:hAnsi="Tahoma" w:cs="Tahoma"/>
          <w:sz w:val="20"/>
          <w:szCs w:val="20"/>
        </w:rPr>
      </w:pPr>
    </w:p>
    <w:p w14:paraId="22A43BAD" w14:textId="77777777" w:rsidR="003D69A8" w:rsidRPr="005E1EA7" w:rsidRDefault="003D69A8" w:rsidP="003D69A8">
      <w:pPr>
        <w:numPr>
          <w:ilvl w:val="0"/>
          <w:numId w:val="17"/>
        </w:numPr>
        <w:autoSpaceDE w:val="0"/>
        <w:autoSpaceDN w:val="0"/>
        <w:adjustRightInd w:val="0"/>
        <w:jc w:val="both"/>
        <w:rPr>
          <w:rFonts w:ascii="Tahoma" w:eastAsia="EUAlbertina-Regular-Identity-H" w:hAnsi="Tahoma" w:cs="Tahoma"/>
          <w:sz w:val="20"/>
          <w:szCs w:val="20"/>
        </w:rPr>
      </w:pPr>
      <w:proofErr w:type="gramStart"/>
      <w:r w:rsidRPr="005E1EA7">
        <w:rPr>
          <w:rFonts w:ascii="Tahoma" w:eastAsia="EUAlbertina-Regular-Identity-H" w:hAnsi="Tahoma" w:cs="Tahoma"/>
          <w:sz w:val="20"/>
          <w:szCs w:val="20"/>
        </w:rPr>
        <w:t>permettre</w:t>
      </w:r>
      <w:proofErr w:type="gramEnd"/>
      <w:r w:rsidRPr="005E1EA7">
        <w:rPr>
          <w:rFonts w:ascii="Tahoma" w:eastAsia="EUAlbertina-Regular-Identity-H" w:hAnsi="Tahoma" w:cs="Tahoma"/>
          <w:sz w:val="20"/>
          <w:szCs w:val="20"/>
        </w:rPr>
        <w:t xml:space="preserve"> la mise en œuvre de bonnes pratiques d’hygiène, notamment prévenir la contamination et en particulier lutter contre les organismes nuisibles ; </w:t>
      </w:r>
    </w:p>
    <w:p w14:paraId="119218C4" w14:textId="77777777" w:rsidR="003D69A8" w:rsidRPr="005E1EA7" w:rsidRDefault="003D69A8" w:rsidP="003D69A8">
      <w:pPr>
        <w:numPr>
          <w:ilvl w:val="0"/>
          <w:numId w:val="17"/>
        </w:numPr>
        <w:autoSpaceDE w:val="0"/>
        <w:autoSpaceDN w:val="0"/>
        <w:adjustRightInd w:val="0"/>
        <w:spacing w:before="120"/>
        <w:ind w:left="714" w:hanging="357"/>
        <w:jc w:val="both"/>
        <w:rPr>
          <w:rFonts w:ascii="Tahoma" w:eastAsia="EUAlbertina-Regular-Identity-H" w:hAnsi="Tahoma" w:cs="Tahoma"/>
          <w:sz w:val="20"/>
          <w:szCs w:val="20"/>
        </w:rPr>
      </w:pPr>
      <w:proofErr w:type="gramStart"/>
      <w:r w:rsidRPr="005E1EA7">
        <w:rPr>
          <w:rFonts w:ascii="Tahoma" w:eastAsia="EUAlbertina-Regular-Identity-H" w:hAnsi="Tahoma" w:cs="Tahoma"/>
          <w:sz w:val="20"/>
          <w:szCs w:val="20"/>
        </w:rPr>
        <w:t>si</w:t>
      </w:r>
      <w:proofErr w:type="gramEnd"/>
      <w:r w:rsidRPr="005E1EA7">
        <w:rPr>
          <w:rFonts w:ascii="Tahoma" w:eastAsia="EUAlbertina-Regular-Identity-H" w:hAnsi="Tahoma" w:cs="Tahoma"/>
          <w:sz w:val="20"/>
          <w:szCs w:val="20"/>
        </w:rPr>
        <w:t xml:space="preserve"> cela est nécessaire, offrir des conditions de manutention et d’entreposage adéquates, et notamment une régulation de la température et une capacité suffisante pour maintenir </w:t>
      </w:r>
      <w:r w:rsidRPr="005E1EA7">
        <w:rPr>
          <w:rFonts w:ascii="Tahoma" w:eastAsia="EUAlbertina-Bold-Identity-H" w:hAnsi="Tahoma" w:cs="Tahoma"/>
          <w:sz w:val="20"/>
          <w:szCs w:val="20"/>
        </w:rPr>
        <w:t xml:space="preserve">les mollusques bivalves et </w:t>
      </w:r>
      <w:r w:rsidRPr="005E1EA7">
        <w:rPr>
          <w:rFonts w:ascii="Tahoma" w:eastAsia="EUAlbertina-Regular-Identity-H" w:hAnsi="Tahoma" w:cs="Tahoma"/>
          <w:sz w:val="20"/>
          <w:szCs w:val="20"/>
        </w:rPr>
        <w:t>les produits de la pêche à des températures appropriées.</w:t>
      </w:r>
    </w:p>
    <w:p w14:paraId="2CCCE488"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4B67FA44"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3. Des toilettes en nombre suffisant, équipées d’une chasse d’eau et raccordées à un système d’évacuation efficace doivent être disponibles. Les toilettes ne doivent pas donner directement sur des locaux utilisés pour la manipulation des denrées alimentaires.</w:t>
      </w:r>
    </w:p>
    <w:p w14:paraId="6EF8D9C4"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5BC736F4"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4. Un nombre suffisant de lavabos judicieusement situés et destinés au lavage des mains doit être disponible. Les lavabos destinés au lavage des mains doivent être équipés d’eau courante, chaude et froide, ainsi que de matériel pour le nettoyage et pour le séchage hygiénique des mains. En cas de besoin, les dispositifs de lavage des produits de la pêche doivent être séparés de ceux destinés au lavage des mains.</w:t>
      </w:r>
    </w:p>
    <w:p w14:paraId="04940723"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3DE26AAF"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 xml:space="preserve">5. Il doit y avoir une ventilation adéquate et suffisante, qu’elle soit naturelle ou mécanique. Il importe d’éviter tout flux d’air pulsé d’une zone contaminée vers une zone propre. </w:t>
      </w:r>
    </w:p>
    <w:p w14:paraId="3223926B"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19B4DA5B"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6. Les installations sanitaires doivent disposer d’une ventilation adéquate, naturelle ou mécanique.</w:t>
      </w:r>
    </w:p>
    <w:p w14:paraId="4A299379"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380B6E90"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7. Les locaux utilisés pour les produits de la pêche doivent avoir un éclairage naturel et/ou artificiel suffisant.</w:t>
      </w:r>
    </w:p>
    <w:p w14:paraId="299D497B"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1218ABE2"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8. Les systèmes d’évacuation des eaux résiduaires doivent être suffisants pour faire face aux exigences. Ils doivent être conçus et construits de manière à éviter tout risque de contamination. Lorsqu’elles sont en partie ou totalement découvertes, les conduites d’évacuation doivent être conçues de manière à garantir que les eaux résiduaires ne coulent pas d’une zone contaminée vers une zone propre, notamment une zone où sont manipulés des produits de la pêche susceptibles de présenter un risque pour la santé des consommateurs finaux</w:t>
      </w:r>
      <w:r w:rsidRPr="005E1EA7">
        <w:rPr>
          <w:rFonts w:ascii="Tahoma" w:eastAsia="EUAlbertina-Bold-Identity-H" w:hAnsi="Tahoma" w:cs="Tahoma"/>
          <w:sz w:val="20"/>
          <w:szCs w:val="20"/>
        </w:rPr>
        <w:t xml:space="preserve">. </w:t>
      </w:r>
    </w:p>
    <w:p w14:paraId="5786B96B"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6684202D"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9. Lorsque l’hygiène l’exige, des vestiaires adéquats doivent être prévus en nombre suffisant pour le personnel.</w:t>
      </w:r>
    </w:p>
    <w:p w14:paraId="75D3442C"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44EB466B"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lastRenderedPageBreak/>
        <w:t xml:space="preserve">10. Les produits de nettoyage et de désinfection ne doivent pas être entreposés dans des zones où les </w:t>
      </w:r>
      <w:r w:rsidRPr="005E1EA7">
        <w:rPr>
          <w:rFonts w:ascii="Tahoma" w:eastAsia="EUAlbertina-Bold-Identity-H" w:hAnsi="Tahoma" w:cs="Tahoma"/>
          <w:sz w:val="20"/>
          <w:szCs w:val="20"/>
        </w:rPr>
        <w:t xml:space="preserve">mollusques bivalves et </w:t>
      </w:r>
      <w:r w:rsidRPr="005E1EA7">
        <w:rPr>
          <w:rFonts w:ascii="Tahoma" w:eastAsia="EUAlbertina-Regular-Identity-H" w:hAnsi="Tahoma" w:cs="Tahoma"/>
          <w:sz w:val="20"/>
          <w:szCs w:val="20"/>
        </w:rPr>
        <w:t>les produits de la pêche sont manipulés.</w:t>
      </w:r>
    </w:p>
    <w:p w14:paraId="10F94912"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4674F4FB" w14:textId="77777777" w:rsidR="003D69A8" w:rsidRPr="005E1EA7" w:rsidRDefault="003D69A8" w:rsidP="003D69A8">
      <w:pPr>
        <w:autoSpaceDE w:val="0"/>
        <w:autoSpaceDN w:val="0"/>
        <w:adjustRightInd w:val="0"/>
        <w:jc w:val="center"/>
        <w:rPr>
          <w:rFonts w:ascii="Tahoma" w:eastAsia="EUAlbertina-Bold-Identity-H" w:hAnsi="Tahoma" w:cs="Tahoma"/>
          <w:b/>
          <w:bCs/>
          <w:sz w:val="20"/>
          <w:szCs w:val="20"/>
        </w:rPr>
      </w:pPr>
      <w:r w:rsidRPr="005E1EA7">
        <w:rPr>
          <w:rFonts w:ascii="Tahoma" w:eastAsia="EUAlbertina-Regular-Identity-H" w:hAnsi="Tahoma" w:cs="Tahoma"/>
          <w:b/>
          <w:bCs/>
          <w:sz w:val="20"/>
          <w:szCs w:val="20"/>
        </w:rPr>
        <w:t xml:space="preserve">CHAPITRE II - </w:t>
      </w:r>
      <w:r w:rsidRPr="005E1EA7">
        <w:rPr>
          <w:rFonts w:ascii="Tahoma" w:eastAsia="EUAlbertina-Bold-Identity-H" w:hAnsi="Tahoma" w:cs="Tahoma"/>
          <w:b/>
          <w:bCs/>
          <w:sz w:val="20"/>
          <w:szCs w:val="20"/>
        </w:rPr>
        <w:t>DISPOSITIONS SPECIFIQUES POUR LES LOCAUX OU LES MOLLUSQUES BIVALVES VIVANTS ET LES PRODUITS DE LA PECHE SONT PREPARES, TRAITES OU TRANSFORMES</w:t>
      </w:r>
    </w:p>
    <w:p w14:paraId="0FE718EE"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2FB40A79"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 xml:space="preserve">1. La conception et l’agencement des locaux où les </w:t>
      </w:r>
      <w:r w:rsidRPr="005E1EA7">
        <w:rPr>
          <w:rFonts w:ascii="Tahoma" w:eastAsia="EUAlbertina-Bold-Identity-H" w:hAnsi="Tahoma" w:cs="Tahoma"/>
          <w:sz w:val="20"/>
          <w:szCs w:val="20"/>
        </w:rPr>
        <w:t xml:space="preserve">mollusques bivalves et </w:t>
      </w:r>
      <w:r w:rsidRPr="005E1EA7">
        <w:rPr>
          <w:rFonts w:ascii="Tahoma" w:eastAsia="EUAlbertina-Regular-Identity-H" w:hAnsi="Tahoma" w:cs="Tahoma"/>
          <w:sz w:val="20"/>
          <w:szCs w:val="20"/>
        </w:rPr>
        <w:t>les produits de la pêche sont préparés, traités ou transformés (y compris les locaux faisant partie de moyens de transport) doivent permettre la mise en œuvre de bonnes pratiques d’hygiène et notamment prévenir la contamination entre et durant les opérations. En particulier :</w:t>
      </w:r>
    </w:p>
    <w:p w14:paraId="29029DA6"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6466AD0A" w14:textId="77777777" w:rsidR="003D69A8" w:rsidRPr="005E1EA7" w:rsidRDefault="003D69A8" w:rsidP="003D69A8">
      <w:pPr>
        <w:numPr>
          <w:ilvl w:val="0"/>
          <w:numId w:val="14"/>
        </w:numPr>
        <w:autoSpaceDE w:val="0"/>
        <w:autoSpaceDN w:val="0"/>
        <w:adjustRightInd w:val="0"/>
        <w:jc w:val="both"/>
        <w:rPr>
          <w:rFonts w:ascii="Tahoma" w:eastAsia="EUAlbertina-Regular-Identity-H" w:hAnsi="Tahoma" w:cs="Tahoma"/>
          <w:sz w:val="20"/>
          <w:szCs w:val="20"/>
        </w:rPr>
      </w:pPr>
      <w:proofErr w:type="gramStart"/>
      <w:r w:rsidRPr="005E1EA7">
        <w:rPr>
          <w:rFonts w:ascii="Tahoma" w:eastAsia="EUAlbertina-Regular-Identity-H" w:hAnsi="Tahoma" w:cs="Tahoma"/>
          <w:sz w:val="20"/>
          <w:szCs w:val="20"/>
        </w:rPr>
        <w:t>les</w:t>
      </w:r>
      <w:proofErr w:type="gramEnd"/>
      <w:r w:rsidRPr="005E1EA7">
        <w:rPr>
          <w:rFonts w:ascii="Tahoma" w:eastAsia="EUAlbertina-Regular-Identity-H" w:hAnsi="Tahoma" w:cs="Tahoma"/>
          <w:sz w:val="20"/>
          <w:szCs w:val="20"/>
        </w:rPr>
        <w:t xml:space="preserve"> revêtements de sol doivent être bien entretenus, faciles à nettoyer et, au besoin, à désinfecter. A cet effet, l’utilisation de matériaux étanches, non absorbants, lavables et non toxiques est requise, sauf si les exploitants du secteur halieutique peuvent prouver à l’autorité compétente que d’autres matériaux utilisés conviennent. Le cas échéant, les sols doivent permettre une évacuation adéquate en surface ;</w:t>
      </w:r>
    </w:p>
    <w:p w14:paraId="52093A43" w14:textId="77777777" w:rsidR="003D69A8" w:rsidRPr="005E1EA7" w:rsidRDefault="003D69A8" w:rsidP="003D69A8">
      <w:pPr>
        <w:autoSpaceDE w:val="0"/>
        <w:autoSpaceDN w:val="0"/>
        <w:adjustRightInd w:val="0"/>
        <w:ind w:left="360"/>
        <w:jc w:val="both"/>
        <w:rPr>
          <w:rFonts w:ascii="Tahoma" w:eastAsia="EUAlbertina-Regular-Identity-H" w:hAnsi="Tahoma" w:cs="Tahoma"/>
          <w:sz w:val="20"/>
          <w:szCs w:val="20"/>
        </w:rPr>
      </w:pPr>
    </w:p>
    <w:p w14:paraId="470D102E" w14:textId="77777777" w:rsidR="003D69A8" w:rsidRPr="005E1EA7" w:rsidRDefault="003D69A8" w:rsidP="003D69A8">
      <w:pPr>
        <w:numPr>
          <w:ilvl w:val="0"/>
          <w:numId w:val="14"/>
        </w:numPr>
        <w:autoSpaceDE w:val="0"/>
        <w:autoSpaceDN w:val="0"/>
        <w:adjustRightInd w:val="0"/>
        <w:jc w:val="both"/>
        <w:rPr>
          <w:rFonts w:ascii="Tahoma" w:eastAsia="EUAlbertina-Regular-Identity-H" w:hAnsi="Tahoma" w:cs="Tahoma"/>
          <w:sz w:val="20"/>
          <w:szCs w:val="20"/>
        </w:rPr>
      </w:pPr>
      <w:proofErr w:type="gramStart"/>
      <w:r w:rsidRPr="005E1EA7">
        <w:rPr>
          <w:rFonts w:ascii="Tahoma" w:eastAsia="EUAlbertina-Regular-Identity-H" w:hAnsi="Tahoma" w:cs="Tahoma"/>
          <w:sz w:val="20"/>
          <w:szCs w:val="20"/>
        </w:rPr>
        <w:t>les</w:t>
      </w:r>
      <w:proofErr w:type="gramEnd"/>
      <w:r w:rsidRPr="005E1EA7">
        <w:rPr>
          <w:rFonts w:ascii="Tahoma" w:eastAsia="EUAlbertina-Regular-Identity-H" w:hAnsi="Tahoma" w:cs="Tahoma"/>
          <w:sz w:val="20"/>
          <w:szCs w:val="20"/>
        </w:rPr>
        <w:t xml:space="preserve"> surfaces murales doivent être bien entretenues, faciles à laver et, au besoin, à désinfecter. A cet effet, l’utilisation de matériaux étanches, non absorbants, lavables et non toxiques est requise, ainsi que d’une surface lisse jusqu’à une hauteur convenable pour les opérations, sauf si les exploitants du secteur halieutique peuvent prouver à l’autorité compétente que d’autres matériaux utilisés conviennent ;</w:t>
      </w:r>
    </w:p>
    <w:p w14:paraId="5B328781" w14:textId="77777777" w:rsidR="003D69A8" w:rsidRPr="005E1EA7" w:rsidRDefault="003D69A8" w:rsidP="003D69A8">
      <w:pPr>
        <w:autoSpaceDE w:val="0"/>
        <w:autoSpaceDN w:val="0"/>
        <w:adjustRightInd w:val="0"/>
        <w:ind w:left="360"/>
        <w:jc w:val="both"/>
        <w:rPr>
          <w:rFonts w:ascii="Tahoma" w:eastAsia="EUAlbertina-Regular-Identity-H" w:hAnsi="Tahoma" w:cs="Tahoma"/>
          <w:sz w:val="20"/>
          <w:szCs w:val="20"/>
        </w:rPr>
      </w:pPr>
    </w:p>
    <w:p w14:paraId="3C85550D" w14:textId="77777777" w:rsidR="003D69A8" w:rsidRPr="005E1EA7" w:rsidRDefault="003D69A8" w:rsidP="003D69A8">
      <w:pPr>
        <w:numPr>
          <w:ilvl w:val="0"/>
          <w:numId w:val="14"/>
        </w:numPr>
        <w:autoSpaceDE w:val="0"/>
        <w:autoSpaceDN w:val="0"/>
        <w:adjustRightInd w:val="0"/>
        <w:jc w:val="both"/>
        <w:rPr>
          <w:rFonts w:ascii="Tahoma" w:eastAsia="EUAlbertina-Regular-Identity-H" w:hAnsi="Tahoma" w:cs="Tahoma"/>
          <w:sz w:val="20"/>
          <w:szCs w:val="20"/>
        </w:rPr>
      </w:pPr>
      <w:proofErr w:type="gramStart"/>
      <w:r w:rsidRPr="005E1EA7">
        <w:rPr>
          <w:rFonts w:ascii="Tahoma" w:eastAsia="EUAlbertina-Regular-Identity-H" w:hAnsi="Tahoma" w:cs="Tahoma"/>
          <w:sz w:val="20"/>
          <w:szCs w:val="20"/>
        </w:rPr>
        <w:t>les</w:t>
      </w:r>
      <w:proofErr w:type="gramEnd"/>
      <w:r w:rsidRPr="005E1EA7">
        <w:rPr>
          <w:rFonts w:ascii="Tahoma" w:eastAsia="EUAlbertina-Regular-Identity-H" w:hAnsi="Tahoma" w:cs="Tahoma"/>
          <w:sz w:val="20"/>
          <w:szCs w:val="20"/>
        </w:rPr>
        <w:t xml:space="preserve"> plafonds, faux plafonds (ou, en l’absence de plafonds, la surface intérieure du toit) et autres équipements suspendus doivent être construits et élaborés de manière à empêcher l’encrassement et à réduire la condensation, l’apparition de moisissure indésirable et le déversement de particules ;</w:t>
      </w:r>
    </w:p>
    <w:p w14:paraId="621CB0DB" w14:textId="77777777" w:rsidR="003D69A8" w:rsidRPr="005E1EA7" w:rsidRDefault="003D69A8" w:rsidP="003D69A8">
      <w:pPr>
        <w:autoSpaceDE w:val="0"/>
        <w:autoSpaceDN w:val="0"/>
        <w:adjustRightInd w:val="0"/>
        <w:ind w:left="360"/>
        <w:jc w:val="both"/>
        <w:rPr>
          <w:rFonts w:ascii="Tahoma" w:eastAsia="EUAlbertina-Regular-Identity-H" w:hAnsi="Tahoma" w:cs="Tahoma"/>
          <w:sz w:val="20"/>
          <w:szCs w:val="20"/>
        </w:rPr>
      </w:pPr>
    </w:p>
    <w:p w14:paraId="01B9B94C" w14:textId="77777777" w:rsidR="003D69A8" w:rsidRPr="005E1EA7" w:rsidRDefault="003D69A8" w:rsidP="003D69A8">
      <w:pPr>
        <w:numPr>
          <w:ilvl w:val="0"/>
          <w:numId w:val="14"/>
        </w:numPr>
        <w:autoSpaceDE w:val="0"/>
        <w:autoSpaceDN w:val="0"/>
        <w:adjustRightInd w:val="0"/>
        <w:jc w:val="both"/>
        <w:rPr>
          <w:rFonts w:ascii="Tahoma" w:eastAsia="EUAlbertina-Regular-Identity-H" w:hAnsi="Tahoma" w:cs="Tahoma"/>
          <w:sz w:val="20"/>
          <w:szCs w:val="20"/>
        </w:rPr>
      </w:pPr>
      <w:proofErr w:type="gramStart"/>
      <w:r w:rsidRPr="005E1EA7">
        <w:rPr>
          <w:rFonts w:ascii="Tahoma" w:eastAsia="EUAlbertina-Regular-Identity-H" w:hAnsi="Tahoma" w:cs="Tahoma"/>
          <w:sz w:val="20"/>
          <w:szCs w:val="20"/>
        </w:rPr>
        <w:t>les</w:t>
      </w:r>
      <w:proofErr w:type="gramEnd"/>
      <w:r w:rsidRPr="005E1EA7">
        <w:rPr>
          <w:rFonts w:ascii="Tahoma" w:eastAsia="EUAlbertina-Regular-Identity-H" w:hAnsi="Tahoma" w:cs="Tahoma"/>
          <w:sz w:val="20"/>
          <w:szCs w:val="20"/>
        </w:rPr>
        <w:t xml:space="preserve"> fenêtres et autres ouvertures doivent être conçues de manière à prévenir l’encrassement. Celles qui peuvent donner accès sur l’environnement extérieur doivent, en cas de besoin, être équipées d’écrans de protection contre les insectes, facilement amovibles pour le nettoyage. Lorsque l’ouverture des fenêtres entraînerait une contamination, les fenêtres doivent rester fermées et verrouillées pendant la production ; </w:t>
      </w:r>
    </w:p>
    <w:p w14:paraId="4D065620" w14:textId="77777777" w:rsidR="003D69A8" w:rsidRPr="005E1EA7" w:rsidRDefault="003D69A8" w:rsidP="003D69A8">
      <w:pPr>
        <w:autoSpaceDE w:val="0"/>
        <w:autoSpaceDN w:val="0"/>
        <w:adjustRightInd w:val="0"/>
        <w:ind w:left="360"/>
        <w:jc w:val="both"/>
        <w:rPr>
          <w:rFonts w:ascii="Tahoma" w:eastAsia="EUAlbertina-Regular-Identity-H" w:hAnsi="Tahoma" w:cs="Tahoma"/>
          <w:sz w:val="20"/>
          <w:szCs w:val="20"/>
        </w:rPr>
      </w:pPr>
    </w:p>
    <w:p w14:paraId="0722E857" w14:textId="77777777" w:rsidR="003D69A8" w:rsidRPr="005E1EA7" w:rsidRDefault="003D69A8" w:rsidP="003D69A8">
      <w:pPr>
        <w:numPr>
          <w:ilvl w:val="0"/>
          <w:numId w:val="14"/>
        </w:numPr>
        <w:autoSpaceDE w:val="0"/>
        <w:autoSpaceDN w:val="0"/>
        <w:adjustRightInd w:val="0"/>
        <w:jc w:val="both"/>
        <w:rPr>
          <w:rFonts w:ascii="Tahoma" w:eastAsia="EUAlbertina-Regular-Identity-H" w:hAnsi="Tahoma" w:cs="Tahoma"/>
          <w:sz w:val="20"/>
          <w:szCs w:val="20"/>
        </w:rPr>
      </w:pPr>
      <w:proofErr w:type="gramStart"/>
      <w:r w:rsidRPr="005E1EA7">
        <w:rPr>
          <w:rFonts w:ascii="Tahoma" w:eastAsia="EUAlbertina-Regular-Identity-H" w:hAnsi="Tahoma" w:cs="Tahoma"/>
          <w:sz w:val="20"/>
          <w:szCs w:val="20"/>
        </w:rPr>
        <w:t>les</w:t>
      </w:r>
      <w:proofErr w:type="gramEnd"/>
      <w:r w:rsidRPr="005E1EA7">
        <w:rPr>
          <w:rFonts w:ascii="Tahoma" w:eastAsia="EUAlbertina-Regular-Identity-H" w:hAnsi="Tahoma" w:cs="Tahoma"/>
          <w:sz w:val="20"/>
          <w:szCs w:val="20"/>
        </w:rPr>
        <w:t xml:space="preserve"> portes doivent être faciles à nettoyer et, en cas de besoin, à désinfecter. A cet effet, l’utilisation de surfaces lisses et non absorbantes est requise, sauf si les exploitants du secteur halieutique peuvent prouver à l’autorité compétente que d’autres matériaux utilisés conviennent ; </w:t>
      </w:r>
    </w:p>
    <w:p w14:paraId="61380C7F" w14:textId="77777777" w:rsidR="003D69A8" w:rsidRPr="005E1EA7" w:rsidRDefault="003D69A8" w:rsidP="003D69A8">
      <w:pPr>
        <w:autoSpaceDE w:val="0"/>
        <w:autoSpaceDN w:val="0"/>
        <w:adjustRightInd w:val="0"/>
        <w:ind w:left="360"/>
        <w:jc w:val="both"/>
        <w:rPr>
          <w:rFonts w:ascii="Tahoma" w:eastAsia="EUAlbertina-Regular-Identity-H" w:hAnsi="Tahoma" w:cs="Tahoma"/>
          <w:sz w:val="20"/>
          <w:szCs w:val="20"/>
        </w:rPr>
      </w:pPr>
    </w:p>
    <w:p w14:paraId="3E445B7F" w14:textId="77777777" w:rsidR="003D69A8" w:rsidRPr="005E1EA7" w:rsidRDefault="003D69A8" w:rsidP="003D69A8">
      <w:pPr>
        <w:numPr>
          <w:ilvl w:val="0"/>
          <w:numId w:val="14"/>
        </w:numPr>
        <w:autoSpaceDE w:val="0"/>
        <w:autoSpaceDN w:val="0"/>
        <w:adjustRightInd w:val="0"/>
        <w:jc w:val="both"/>
        <w:rPr>
          <w:rFonts w:ascii="Tahoma" w:eastAsia="EUAlbertina-Regular-Identity-H" w:hAnsi="Tahoma" w:cs="Tahoma"/>
          <w:sz w:val="20"/>
          <w:szCs w:val="20"/>
        </w:rPr>
      </w:pPr>
      <w:proofErr w:type="gramStart"/>
      <w:r w:rsidRPr="005E1EA7">
        <w:rPr>
          <w:rFonts w:ascii="Tahoma" w:eastAsia="EUAlbertina-Regular-Identity-H" w:hAnsi="Tahoma" w:cs="Tahoma"/>
          <w:sz w:val="20"/>
          <w:szCs w:val="20"/>
        </w:rPr>
        <w:t>les</w:t>
      </w:r>
      <w:proofErr w:type="gramEnd"/>
      <w:r w:rsidRPr="005E1EA7">
        <w:rPr>
          <w:rFonts w:ascii="Tahoma" w:eastAsia="EUAlbertina-Regular-Identity-H" w:hAnsi="Tahoma" w:cs="Tahoma"/>
          <w:sz w:val="20"/>
          <w:szCs w:val="20"/>
        </w:rPr>
        <w:t xml:space="preserve"> surfaces (y compris les surfaces des équipements) dans les zones où les </w:t>
      </w:r>
      <w:r w:rsidRPr="005E1EA7">
        <w:rPr>
          <w:rFonts w:ascii="Tahoma" w:eastAsia="EUAlbertina-Bold-Identity-H" w:hAnsi="Tahoma" w:cs="Tahoma"/>
          <w:sz w:val="20"/>
          <w:szCs w:val="20"/>
        </w:rPr>
        <w:t>mollusques bivalves et l</w:t>
      </w:r>
      <w:r w:rsidRPr="005E1EA7">
        <w:rPr>
          <w:rFonts w:ascii="Tahoma" w:eastAsia="EUAlbertina-Regular-Identity-H" w:hAnsi="Tahoma" w:cs="Tahoma"/>
          <w:sz w:val="20"/>
          <w:szCs w:val="20"/>
        </w:rPr>
        <w:t xml:space="preserve">es produits de la pêche sont manipulés, et particulièrement celles en contact avec les produits de la pêche, doivent être bien entretenues, faciles à nettoyer et, au besoin, à désinfecter. A cet effet, l’utilisation de matériaux lisses, lavables, résistant à la corrosion et non toxiques est requise, sauf si les exploitants du secteur halieutique peuvent prouver à l’autorité compétente que d’autres matériaux utilisés conviennent. </w:t>
      </w:r>
    </w:p>
    <w:p w14:paraId="5F76FE89" w14:textId="77777777" w:rsidR="003D69A8" w:rsidRPr="005E1EA7" w:rsidRDefault="003D69A8" w:rsidP="003D69A8">
      <w:pPr>
        <w:autoSpaceDE w:val="0"/>
        <w:autoSpaceDN w:val="0"/>
        <w:adjustRightInd w:val="0"/>
        <w:ind w:left="360"/>
        <w:jc w:val="both"/>
        <w:rPr>
          <w:rFonts w:ascii="Tahoma" w:eastAsia="EUAlbertina-Regular-Identity-H" w:hAnsi="Tahoma" w:cs="Tahoma"/>
          <w:sz w:val="20"/>
          <w:szCs w:val="20"/>
        </w:rPr>
      </w:pPr>
    </w:p>
    <w:p w14:paraId="730FC115"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2. Là où cela est nécessaire, des dispositifs adéquats pour le nettoyage, la désinfection et l’entreposage des outils et équipements de travail doivent être prévus. Ces dispositifs doivent être fabriqués dans des matériaux résistant à la corrosion, être faciles à nettoyer et disposer d’une alimentation adéquate en eau chaude et froide.</w:t>
      </w:r>
    </w:p>
    <w:p w14:paraId="3E6F3160"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4AC5F52F"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 xml:space="preserve">3. Là où cela est nécessaire, des dispositions adéquates pour le lavage des </w:t>
      </w:r>
      <w:r w:rsidRPr="005E1EA7">
        <w:rPr>
          <w:rFonts w:ascii="Tahoma" w:eastAsia="EUAlbertina-Bold-Identity-H" w:hAnsi="Tahoma" w:cs="Tahoma"/>
          <w:sz w:val="20"/>
          <w:szCs w:val="20"/>
        </w:rPr>
        <w:t>mollusques bivalves</w:t>
      </w:r>
      <w:r w:rsidRPr="005E1EA7">
        <w:rPr>
          <w:rFonts w:ascii="Tahoma" w:eastAsia="EUAlbertina-Regular-Identity-H" w:hAnsi="Tahoma" w:cs="Tahoma"/>
          <w:sz w:val="20"/>
          <w:szCs w:val="20"/>
        </w:rPr>
        <w:t xml:space="preserve"> et des produits de la pêche doivent être prévues. Tout évier ou dispositif similaire de lavage des aliments doit disposer d’une alimentation adéquate en eau potable, chaude et/ou froide, être conforme aux exigences du chapitre VI et être nettoyé régulièrement et, au besoin, désinfecté.</w:t>
      </w:r>
    </w:p>
    <w:p w14:paraId="275BE697"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04EC00CD" w14:textId="77777777" w:rsidR="003D69A8" w:rsidRPr="005E1EA7" w:rsidRDefault="003D69A8" w:rsidP="003D69A8">
      <w:pPr>
        <w:autoSpaceDE w:val="0"/>
        <w:autoSpaceDN w:val="0"/>
        <w:adjustRightInd w:val="0"/>
        <w:jc w:val="center"/>
        <w:rPr>
          <w:rFonts w:ascii="Tahoma" w:eastAsia="EUAlbertina-Bold-Identity-H" w:hAnsi="Tahoma" w:cs="Tahoma"/>
          <w:b/>
          <w:bCs/>
          <w:sz w:val="20"/>
          <w:szCs w:val="20"/>
        </w:rPr>
      </w:pPr>
      <w:r w:rsidRPr="005E1EA7">
        <w:rPr>
          <w:rFonts w:ascii="Tahoma" w:eastAsia="EUAlbertina-Regular-Identity-H" w:hAnsi="Tahoma" w:cs="Tahoma"/>
          <w:b/>
          <w:bCs/>
          <w:sz w:val="20"/>
          <w:szCs w:val="20"/>
        </w:rPr>
        <w:t xml:space="preserve">CHAPITRE III – </w:t>
      </w:r>
      <w:r w:rsidRPr="005E1EA7">
        <w:rPr>
          <w:rFonts w:ascii="Tahoma" w:eastAsia="EUAlbertina-Bold-Identity-H" w:hAnsi="Tahoma" w:cs="Tahoma"/>
          <w:b/>
          <w:bCs/>
          <w:sz w:val="20"/>
          <w:szCs w:val="20"/>
        </w:rPr>
        <w:t>TRANSPORT</w:t>
      </w:r>
    </w:p>
    <w:p w14:paraId="6CE75D7C" w14:textId="77777777" w:rsidR="003D69A8" w:rsidRPr="005E1EA7" w:rsidRDefault="003D69A8" w:rsidP="003D69A8">
      <w:pPr>
        <w:autoSpaceDE w:val="0"/>
        <w:autoSpaceDN w:val="0"/>
        <w:adjustRightInd w:val="0"/>
        <w:jc w:val="both"/>
        <w:rPr>
          <w:rFonts w:ascii="Tahoma" w:eastAsia="EUAlbertina-Bold-Identity-H" w:hAnsi="Tahoma" w:cs="Tahoma"/>
          <w:sz w:val="20"/>
          <w:szCs w:val="20"/>
        </w:rPr>
      </w:pPr>
    </w:p>
    <w:p w14:paraId="02FA53EA"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 xml:space="preserve">1. Les réceptacles de véhicules et/ou conteneurs servant au transport des </w:t>
      </w:r>
      <w:r w:rsidRPr="005E1EA7">
        <w:rPr>
          <w:rFonts w:ascii="Tahoma" w:eastAsia="EUAlbertina-Bold-Identity-H" w:hAnsi="Tahoma" w:cs="Tahoma"/>
          <w:sz w:val="20"/>
          <w:szCs w:val="20"/>
        </w:rPr>
        <w:t xml:space="preserve">mollusques bivalves </w:t>
      </w:r>
      <w:r w:rsidRPr="005E1EA7">
        <w:rPr>
          <w:rFonts w:ascii="Tahoma" w:eastAsia="EUAlbertina-Regular-Identity-H" w:hAnsi="Tahoma" w:cs="Tahoma"/>
          <w:sz w:val="20"/>
          <w:szCs w:val="20"/>
        </w:rPr>
        <w:t xml:space="preserve">et des produits de la pêche doivent être propres et en bon état d’entretien de manière à protéger les </w:t>
      </w:r>
      <w:r w:rsidRPr="005E1EA7">
        <w:rPr>
          <w:rFonts w:ascii="Tahoma" w:eastAsia="EUAlbertina-Bold-Identity-H" w:hAnsi="Tahoma" w:cs="Tahoma"/>
          <w:sz w:val="20"/>
          <w:szCs w:val="20"/>
        </w:rPr>
        <w:t xml:space="preserve">mollusques bivalves </w:t>
      </w:r>
      <w:r w:rsidRPr="005E1EA7">
        <w:rPr>
          <w:rFonts w:ascii="Tahoma" w:eastAsia="EUAlbertina-Regular-Identity-H" w:hAnsi="Tahoma" w:cs="Tahoma"/>
          <w:sz w:val="20"/>
          <w:szCs w:val="20"/>
        </w:rPr>
        <w:t>contre toute contamination et doivent, en cas de besoin, être conçus et construits de manière à pouvoir être convenablement nettoyés et/ou désinfectés.</w:t>
      </w:r>
    </w:p>
    <w:p w14:paraId="5871E0D8"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23CB9816"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 xml:space="preserve">2. Ces réceptacles de véhicules et/ou de conteneurs doivent être réservés au transport de </w:t>
      </w:r>
      <w:r w:rsidRPr="005E1EA7">
        <w:rPr>
          <w:rFonts w:ascii="Tahoma" w:eastAsia="EUAlbertina-Bold-Identity-H" w:hAnsi="Tahoma" w:cs="Tahoma"/>
          <w:sz w:val="20"/>
          <w:szCs w:val="20"/>
        </w:rPr>
        <w:t xml:space="preserve">mollusques bivalves </w:t>
      </w:r>
      <w:r w:rsidRPr="005E1EA7">
        <w:rPr>
          <w:rFonts w:ascii="Tahoma" w:eastAsia="EUAlbertina-Regular-Identity-H" w:hAnsi="Tahoma" w:cs="Tahoma"/>
          <w:sz w:val="20"/>
          <w:szCs w:val="20"/>
        </w:rPr>
        <w:t xml:space="preserve">et de produits de la pêche si ceux-ci sont susceptibles d’être contaminés par des chargements d’autre nature. Les </w:t>
      </w:r>
      <w:r w:rsidRPr="005E1EA7">
        <w:rPr>
          <w:rFonts w:ascii="Tahoma" w:eastAsia="EUAlbertina-Bold-Identity-H" w:hAnsi="Tahoma" w:cs="Tahoma"/>
          <w:sz w:val="20"/>
          <w:szCs w:val="20"/>
        </w:rPr>
        <w:t xml:space="preserve">mollusques bivalves </w:t>
      </w:r>
      <w:r w:rsidRPr="005E1EA7">
        <w:rPr>
          <w:rFonts w:ascii="Tahoma" w:eastAsia="EUAlbertina-Regular-Identity-H" w:hAnsi="Tahoma" w:cs="Tahoma"/>
          <w:sz w:val="20"/>
          <w:szCs w:val="20"/>
        </w:rPr>
        <w:t>et les produits de la pêche chargés dans des réceptacles de véhicules et/ou conteneurs doivent être placés et protégés de manière à réduire au maximum le risque de contamination.</w:t>
      </w:r>
    </w:p>
    <w:p w14:paraId="549657C3"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26B1B087"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 xml:space="preserve">3. Lorsque des réceptacles de véhicules et/ou conteneurs sont utilisés pour transporter d’autres produits en plus des </w:t>
      </w:r>
      <w:r w:rsidRPr="005E1EA7">
        <w:rPr>
          <w:rFonts w:ascii="Tahoma" w:eastAsia="EUAlbertina-Bold-Identity-H" w:hAnsi="Tahoma" w:cs="Tahoma"/>
          <w:sz w:val="20"/>
          <w:szCs w:val="20"/>
        </w:rPr>
        <w:t xml:space="preserve">mollusques bivalves </w:t>
      </w:r>
      <w:r w:rsidRPr="005E1EA7">
        <w:rPr>
          <w:rFonts w:ascii="Tahoma" w:eastAsia="EUAlbertina-Regular-Identity-H" w:hAnsi="Tahoma" w:cs="Tahoma"/>
          <w:sz w:val="20"/>
          <w:szCs w:val="20"/>
        </w:rPr>
        <w:t>et des produits de la pêche ou pour transporter différentes denrées alimentaires en même temps, les produits doivent, au besoin, être séparés efficacement.</w:t>
      </w:r>
    </w:p>
    <w:p w14:paraId="09CDF8F9"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3DD51856"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 xml:space="preserve">4. Lorsque des réceptacles de véhicules et/ou conteneurs ont été utilisés pour transporter des produits autres que des </w:t>
      </w:r>
      <w:r w:rsidRPr="005E1EA7">
        <w:rPr>
          <w:rFonts w:ascii="Tahoma" w:eastAsia="EUAlbertina-Bold-Identity-H" w:hAnsi="Tahoma" w:cs="Tahoma"/>
          <w:sz w:val="20"/>
          <w:szCs w:val="20"/>
        </w:rPr>
        <w:t xml:space="preserve">mollusques bivalves </w:t>
      </w:r>
      <w:r w:rsidRPr="005E1EA7">
        <w:rPr>
          <w:rFonts w:ascii="Tahoma" w:eastAsia="EUAlbertina-Regular-Identity-H" w:hAnsi="Tahoma" w:cs="Tahoma"/>
          <w:sz w:val="20"/>
          <w:szCs w:val="20"/>
        </w:rPr>
        <w:t>et des produits de la pêche ou pour transporter des denrées alimentaires différentes, un nettoyage efficace doit être effectué, entre deux chargements, pour éviter le risque de contamination, si nécessaire.</w:t>
      </w:r>
    </w:p>
    <w:p w14:paraId="331377B4"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0CE413C7"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 xml:space="preserve">5. Si cela est nécessaire, les réceptacles de véhicules et/ou conteneurs servant au transport de </w:t>
      </w:r>
      <w:r w:rsidRPr="005E1EA7">
        <w:rPr>
          <w:rFonts w:ascii="Tahoma" w:eastAsia="EUAlbertina-Bold-Identity-H" w:hAnsi="Tahoma" w:cs="Tahoma"/>
          <w:sz w:val="20"/>
          <w:szCs w:val="20"/>
        </w:rPr>
        <w:t xml:space="preserve">mollusques bivalves </w:t>
      </w:r>
      <w:r w:rsidRPr="005E1EA7">
        <w:rPr>
          <w:rFonts w:ascii="Tahoma" w:eastAsia="EUAlbertina-Regular-Identity-H" w:hAnsi="Tahoma" w:cs="Tahoma"/>
          <w:sz w:val="20"/>
          <w:szCs w:val="20"/>
        </w:rPr>
        <w:t xml:space="preserve">et de produits de la pêche doivent être aptes à maintenir </w:t>
      </w:r>
      <w:r w:rsidRPr="005E1EA7">
        <w:rPr>
          <w:rFonts w:ascii="Tahoma" w:eastAsia="EUAlbertina-Bold-Identity-H" w:hAnsi="Tahoma" w:cs="Tahoma"/>
          <w:sz w:val="20"/>
          <w:szCs w:val="20"/>
        </w:rPr>
        <w:t xml:space="preserve">ces produits </w:t>
      </w:r>
      <w:r w:rsidRPr="005E1EA7">
        <w:rPr>
          <w:rFonts w:ascii="Tahoma" w:eastAsia="EUAlbertina-Regular-Identity-H" w:hAnsi="Tahoma" w:cs="Tahoma"/>
          <w:sz w:val="20"/>
          <w:szCs w:val="20"/>
        </w:rPr>
        <w:t>à des températures appropriées et permettre le contrôle desdites températures.</w:t>
      </w:r>
    </w:p>
    <w:p w14:paraId="24D7758A"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78C4E41B" w14:textId="77777777" w:rsidR="003D69A8" w:rsidRPr="005E1EA7" w:rsidRDefault="003D69A8" w:rsidP="003D69A8">
      <w:pPr>
        <w:autoSpaceDE w:val="0"/>
        <w:autoSpaceDN w:val="0"/>
        <w:adjustRightInd w:val="0"/>
        <w:jc w:val="center"/>
        <w:rPr>
          <w:rFonts w:ascii="Tahoma" w:eastAsia="EUAlbertina-Bold-Identity-H" w:hAnsi="Tahoma" w:cs="Tahoma"/>
          <w:b/>
          <w:bCs/>
          <w:sz w:val="20"/>
          <w:szCs w:val="20"/>
        </w:rPr>
      </w:pPr>
      <w:r w:rsidRPr="005E1EA7">
        <w:rPr>
          <w:rFonts w:ascii="Tahoma" w:eastAsia="EUAlbertina-Regular-Identity-H" w:hAnsi="Tahoma" w:cs="Tahoma"/>
          <w:b/>
          <w:bCs/>
          <w:sz w:val="20"/>
          <w:szCs w:val="20"/>
        </w:rPr>
        <w:t xml:space="preserve">CHAPITRE IV - </w:t>
      </w:r>
      <w:r w:rsidRPr="005E1EA7">
        <w:rPr>
          <w:rFonts w:ascii="Tahoma" w:eastAsia="EUAlbertina-Bold-Identity-H" w:hAnsi="Tahoma" w:cs="Tahoma"/>
          <w:b/>
          <w:bCs/>
          <w:sz w:val="20"/>
          <w:szCs w:val="20"/>
        </w:rPr>
        <w:t>DISPOSITIONS APPLICABLES AUX EQUIPEMENTS</w:t>
      </w:r>
    </w:p>
    <w:p w14:paraId="346FC9C2"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3F9BEB2C"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 xml:space="preserve">1. Tous les articles, installations et équipements avec lesquels les </w:t>
      </w:r>
      <w:r w:rsidRPr="005E1EA7">
        <w:rPr>
          <w:rFonts w:ascii="Tahoma" w:eastAsia="EUAlbertina-Bold-Identity-H" w:hAnsi="Tahoma" w:cs="Tahoma"/>
          <w:sz w:val="20"/>
          <w:szCs w:val="20"/>
        </w:rPr>
        <w:t xml:space="preserve">mollusques bivalves et les </w:t>
      </w:r>
      <w:r w:rsidRPr="005E1EA7">
        <w:rPr>
          <w:rFonts w:ascii="Tahoma" w:eastAsia="EUAlbertina-Regular-Identity-H" w:hAnsi="Tahoma" w:cs="Tahoma"/>
          <w:sz w:val="20"/>
          <w:szCs w:val="20"/>
        </w:rPr>
        <w:t>produits de la pêche entrent en contact doivent :</w:t>
      </w:r>
    </w:p>
    <w:p w14:paraId="5B99CCB3"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364EE770" w14:textId="77777777" w:rsidR="003D69A8" w:rsidRPr="005E1EA7" w:rsidRDefault="003D69A8" w:rsidP="003D69A8">
      <w:pPr>
        <w:numPr>
          <w:ilvl w:val="0"/>
          <w:numId w:val="15"/>
        </w:numPr>
        <w:autoSpaceDE w:val="0"/>
        <w:autoSpaceDN w:val="0"/>
        <w:adjustRightInd w:val="0"/>
        <w:jc w:val="both"/>
        <w:rPr>
          <w:rFonts w:ascii="Tahoma" w:eastAsia="EUAlbertina-Regular-Identity-H" w:hAnsi="Tahoma" w:cs="Tahoma"/>
          <w:sz w:val="20"/>
          <w:szCs w:val="20"/>
        </w:rPr>
      </w:pPr>
      <w:proofErr w:type="gramStart"/>
      <w:r w:rsidRPr="005E1EA7">
        <w:rPr>
          <w:rFonts w:ascii="Tahoma" w:eastAsia="EUAlbertina-Regular-Identity-H" w:hAnsi="Tahoma" w:cs="Tahoma"/>
          <w:sz w:val="20"/>
          <w:szCs w:val="20"/>
        </w:rPr>
        <w:t>être</w:t>
      </w:r>
      <w:proofErr w:type="gramEnd"/>
      <w:r w:rsidRPr="005E1EA7">
        <w:rPr>
          <w:rFonts w:ascii="Tahoma" w:eastAsia="EUAlbertina-Regular-Identity-H" w:hAnsi="Tahoma" w:cs="Tahoma"/>
          <w:sz w:val="20"/>
          <w:szCs w:val="20"/>
        </w:rPr>
        <w:t xml:space="preserve"> effectivement nettoyés et entretenus et, le cas échéant, désinfectés à l’exception des conteneurs et emballages perdus. Le nettoyage et la désinfection doivent avoir lieu à une fréquence suffisante pour éviter tout risque de contamination ;</w:t>
      </w:r>
    </w:p>
    <w:p w14:paraId="0C11898F" w14:textId="77777777" w:rsidR="003D69A8" w:rsidRPr="005E1EA7" w:rsidRDefault="003D69A8" w:rsidP="003D69A8">
      <w:pPr>
        <w:autoSpaceDE w:val="0"/>
        <w:autoSpaceDN w:val="0"/>
        <w:adjustRightInd w:val="0"/>
        <w:ind w:left="360"/>
        <w:jc w:val="both"/>
        <w:rPr>
          <w:rFonts w:ascii="Tahoma" w:eastAsia="EUAlbertina-Regular-Identity-H" w:hAnsi="Tahoma" w:cs="Tahoma"/>
          <w:sz w:val="20"/>
          <w:szCs w:val="20"/>
        </w:rPr>
      </w:pPr>
    </w:p>
    <w:p w14:paraId="17D6EC92" w14:textId="77777777" w:rsidR="003D69A8" w:rsidRPr="005E1EA7" w:rsidRDefault="003D69A8" w:rsidP="003D69A8">
      <w:pPr>
        <w:numPr>
          <w:ilvl w:val="0"/>
          <w:numId w:val="15"/>
        </w:numPr>
        <w:autoSpaceDE w:val="0"/>
        <w:autoSpaceDN w:val="0"/>
        <w:adjustRightInd w:val="0"/>
        <w:jc w:val="both"/>
        <w:rPr>
          <w:rFonts w:ascii="Tahoma" w:eastAsia="EUAlbertina-Regular-Identity-H" w:hAnsi="Tahoma" w:cs="Tahoma"/>
          <w:sz w:val="20"/>
          <w:szCs w:val="20"/>
        </w:rPr>
      </w:pPr>
      <w:proofErr w:type="gramStart"/>
      <w:r w:rsidRPr="005E1EA7">
        <w:rPr>
          <w:rFonts w:ascii="Tahoma" w:eastAsia="EUAlbertina-Regular-Identity-H" w:hAnsi="Tahoma" w:cs="Tahoma"/>
          <w:sz w:val="20"/>
          <w:szCs w:val="20"/>
        </w:rPr>
        <w:t>être</w:t>
      </w:r>
      <w:proofErr w:type="gramEnd"/>
      <w:r w:rsidRPr="005E1EA7">
        <w:rPr>
          <w:rFonts w:ascii="Tahoma" w:eastAsia="EUAlbertina-Regular-Identity-H" w:hAnsi="Tahoma" w:cs="Tahoma"/>
          <w:sz w:val="20"/>
          <w:szCs w:val="20"/>
        </w:rPr>
        <w:t xml:space="preserve"> construits, réalisés et entretenus de manière à réduire au maximum les risques de contamination ;</w:t>
      </w:r>
    </w:p>
    <w:p w14:paraId="2B3E6AAB" w14:textId="77777777" w:rsidR="003D69A8" w:rsidRPr="005E1EA7" w:rsidRDefault="003D69A8" w:rsidP="003D69A8">
      <w:pPr>
        <w:autoSpaceDE w:val="0"/>
        <w:autoSpaceDN w:val="0"/>
        <w:adjustRightInd w:val="0"/>
        <w:ind w:left="360"/>
        <w:jc w:val="both"/>
        <w:rPr>
          <w:rFonts w:ascii="Tahoma" w:eastAsia="EUAlbertina-Regular-Identity-H" w:hAnsi="Tahoma" w:cs="Tahoma"/>
          <w:sz w:val="20"/>
          <w:szCs w:val="20"/>
        </w:rPr>
      </w:pPr>
    </w:p>
    <w:p w14:paraId="148EDC7E" w14:textId="77777777" w:rsidR="003D69A8" w:rsidRPr="005E1EA7" w:rsidRDefault="003D69A8" w:rsidP="003D69A8">
      <w:pPr>
        <w:numPr>
          <w:ilvl w:val="0"/>
          <w:numId w:val="15"/>
        </w:numPr>
        <w:autoSpaceDE w:val="0"/>
        <w:autoSpaceDN w:val="0"/>
        <w:adjustRightInd w:val="0"/>
        <w:jc w:val="both"/>
        <w:rPr>
          <w:rFonts w:ascii="Tahoma" w:eastAsia="EUAlbertina-Regular-Identity-H" w:hAnsi="Tahoma" w:cs="Tahoma"/>
          <w:sz w:val="20"/>
          <w:szCs w:val="20"/>
        </w:rPr>
      </w:pPr>
      <w:proofErr w:type="gramStart"/>
      <w:r w:rsidRPr="005E1EA7">
        <w:rPr>
          <w:rFonts w:ascii="Tahoma" w:eastAsia="EUAlbertina-Regular-Identity-H" w:hAnsi="Tahoma" w:cs="Tahoma"/>
          <w:sz w:val="20"/>
          <w:szCs w:val="20"/>
        </w:rPr>
        <w:t>être</w:t>
      </w:r>
      <w:proofErr w:type="gramEnd"/>
      <w:r w:rsidRPr="005E1EA7">
        <w:rPr>
          <w:rFonts w:ascii="Tahoma" w:eastAsia="EUAlbertina-Regular-Identity-H" w:hAnsi="Tahoma" w:cs="Tahoma"/>
          <w:sz w:val="20"/>
          <w:szCs w:val="20"/>
        </w:rPr>
        <w:t xml:space="preserve"> installés de manière à permettre un nettoyage aisé des équipements et de la zone environnante.</w:t>
      </w:r>
    </w:p>
    <w:p w14:paraId="47AD945B" w14:textId="77777777" w:rsidR="003D69A8" w:rsidRPr="005E1EA7" w:rsidRDefault="003D69A8" w:rsidP="003D69A8">
      <w:pPr>
        <w:autoSpaceDE w:val="0"/>
        <w:autoSpaceDN w:val="0"/>
        <w:adjustRightInd w:val="0"/>
        <w:jc w:val="center"/>
        <w:rPr>
          <w:rFonts w:ascii="Tahoma" w:eastAsia="EUAlbertina-Bold-Identity-H" w:hAnsi="Tahoma" w:cs="Tahoma"/>
          <w:b/>
          <w:bCs/>
          <w:sz w:val="20"/>
          <w:szCs w:val="20"/>
        </w:rPr>
      </w:pPr>
      <w:r w:rsidRPr="005E1EA7">
        <w:rPr>
          <w:rFonts w:ascii="Tahoma" w:eastAsia="EUAlbertina-Regular-Identity-H" w:hAnsi="Tahoma" w:cs="Tahoma"/>
          <w:b/>
          <w:bCs/>
          <w:sz w:val="20"/>
          <w:szCs w:val="20"/>
        </w:rPr>
        <w:t xml:space="preserve">CHAPITRE V - </w:t>
      </w:r>
      <w:r w:rsidRPr="005E1EA7">
        <w:rPr>
          <w:rFonts w:ascii="Tahoma" w:eastAsia="EUAlbertina-Bold-Identity-H" w:hAnsi="Tahoma" w:cs="Tahoma"/>
          <w:b/>
          <w:bCs/>
          <w:sz w:val="20"/>
          <w:szCs w:val="20"/>
        </w:rPr>
        <w:t xml:space="preserve">DECHETS ALIMENTAIRES </w:t>
      </w:r>
    </w:p>
    <w:p w14:paraId="692144F1"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3C5EC23E"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 xml:space="preserve">1. Les déchets alimentaires, sous-produits non comestibles et autres déchets doivent être retirés aussi vite que possible des locaux où se trouvent des </w:t>
      </w:r>
      <w:r w:rsidRPr="005E1EA7">
        <w:rPr>
          <w:rFonts w:ascii="Tahoma" w:eastAsia="EUAlbertina-Bold-Identity-H" w:hAnsi="Tahoma" w:cs="Tahoma"/>
          <w:sz w:val="20"/>
          <w:szCs w:val="20"/>
        </w:rPr>
        <w:t xml:space="preserve">mollusques bivalves et </w:t>
      </w:r>
      <w:r w:rsidRPr="005E1EA7">
        <w:rPr>
          <w:rFonts w:ascii="Tahoma" w:eastAsia="EUAlbertina-Regular-Identity-H" w:hAnsi="Tahoma" w:cs="Tahoma"/>
          <w:sz w:val="20"/>
          <w:szCs w:val="20"/>
        </w:rPr>
        <w:t>des produits de la pêche, de façon à éviter qu’ils ne s’accumulent.</w:t>
      </w:r>
    </w:p>
    <w:p w14:paraId="1A4EA58F"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56321B0A"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2. Les déchets alimentaires, sous-produits non comestibles et autres déchets doivent être déposés dans des conteneurs dotés d’une fermeture, sauf si les exploitants du secteur halieutique peuvent prouver à l’autorité compétente que d’autres types de conteneurs ou de systèmes d’évacuation utilisés conviennent. Ceux-ci doivent être conçus de manière adéquate, être bien entretenus et faciles à nettoyer et, au besoin, à désinfecter.</w:t>
      </w:r>
    </w:p>
    <w:p w14:paraId="5B444265"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64B40EE1"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3. Des dispositions adéquates doivent être prévues pour l’entreposage et l’élimination des déchets alimentaires, des sous-produits non comestibles et des autres déchets. Les aires de stockage des déchets doivent être conçues et gérées de manière à pouvoir être propres en permanence.</w:t>
      </w:r>
    </w:p>
    <w:p w14:paraId="6AABC70B"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5AFFF41F"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4. Tous les déchets doivent être éliminés de façon hygiénique et dans le respect de l’environnement et ne doivent pas constituer une source de contamination directe ou indirecte.</w:t>
      </w:r>
    </w:p>
    <w:p w14:paraId="28451E28" w14:textId="77777777" w:rsidR="003D69A8" w:rsidRPr="005E1EA7" w:rsidRDefault="003D69A8" w:rsidP="003D69A8">
      <w:pPr>
        <w:autoSpaceDE w:val="0"/>
        <w:autoSpaceDN w:val="0"/>
        <w:adjustRightInd w:val="0"/>
        <w:jc w:val="center"/>
        <w:rPr>
          <w:rFonts w:ascii="Tahoma" w:eastAsia="EUAlbertina-Regular-Identity-H" w:hAnsi="Tahoma" w:cs="Tahoma"/>
          <w:b/>
          <w:bCs/>
          <w:sz w:val="20"/>
          <w:szCs w:val="20"/>
        </w:rPr>
      </w:pPr>
    </w:p>
    <w:p w14:paraId="7EA2B6A6" w14:textId="77777777" w:rsidR="003D69A8" w:rsidRPr="005E1EA7" w:rsidRDefault="003D69A8" w:rsidP="003D69A8">
      <w:pPr>
        <w:autoSpaceDE w:val="0"/>
        <w:autoSpaceDN w:val="0"/>
        <w:adjustRightInd w:val="0"/>
        <w:jc w:val="center"/>
        <w:rPr>
          <w:rFonts w:ascii="Tahoma" w:eastAsia="EUAlbertina-Bold-Identity-H" w:hAnsi="Tahoma" w:cs="Tahoma"/>
          <w:b/>
          <w:bCs/>
          <w:sz w:val="20"/>
          <w:szCs w:val="20"/>
        </w:rPr>
      </w:pPr>
      <w:r w:rsidRPr="005E1EA7">
        <w:rPr>
          <w:rFonts w:ascii="Tahoma" w:eastAsia="EUAlbertina-Regular-Identity-H" w:hAnsi="Tahoma" w:cs="Tahoma"/>
          <w:b/>
          <w:bCs/>
          <w:sz w:val="20"/>
          <w:szCs w:val="20"/>
        </w:rPr>
        <w:lastRenderedPageBreak/>
        <w:t xml:space="preserve">CHAPITRE VI - </w:t>
      </w:r>
      <w:r w:rsidRPr="005E1EA7">
        <w:rPr>
          <w:rFonts w:ascii="Tahoma" w:eastAsia="EUAlbertina-Bold-Identity-H" w:hAnsi="Tahoma" w:cs="Tahoma"/>
          <w:b/>
          <w:bCs/>
          <w:sz w:val="20"/>
          <w:szCs w:val="20"/>
        </w:rPr>
        <w:t>ALIMENTATION EN EAU</w:t>
      </w:r>
    </w:p>
    <w:p w14:paraId="43460181"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6FB48DCC"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1. L’alimentation en eau potable, qui doit être utilisée si nécessaire pour éviter la contamination des produits de la pêche, doit être en quantité suffisante. De l’eau propre peut être utilisée pour les produits de la pêche entiers. De l’eau de mer propre peut être utilisée pour les mollusques bivalves vivants ; de l’eau propre peut aussi être utilisée pour le lavage extérieur. Lorsque cette eau est utilisée, des installations d’alimentation adéquates doivent être disponibles.</w:t>
      </w:r>
    </w:p>
    <w:p w14:paraId="7CB0C670"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24B9B624"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2. Lorsque de l’eau non potable est utilisée, par exemple pour la lutte contre l’incendie, la production de vapeur, la production de froid et à d’autres fins semblables, elle doit circuler dans un système séparé dûment signalé. L’eau non potable ne doit pas être raccordée aux systèmes d’eau potable ni pouvoir refluer dans ces systèmes.</w:t>
      </w:r>
    </w:p>
    <w:p w14:paraId="038D5BDF"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610A36DA"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3. L’eau recyclée utilisée dans la transformation ou comme ingrédient ne doit présenter aucun risque de contamination. Elle doit satisfaire aux normes fixées pour l’eau potable, à moins que l’autorité compétente ait établi que la qualité de l’eau ne peut pas compromettre la salubrité des produits de la pêche dans leur forme finale.</w:t>
      </w:r>
    </w:p>
    <w:p w14:paraId="5FE735EA"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440C415A"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4. La glace entrant en contact avec les produits de la pêche ou susceptible de contaminer ceux-ci, doit être fabriquée à partir d’eau potable ou, lorsqu’elle est utilisée pour réfrigérer les produits de la mer entiers, à partir d’eau propre. Elle doit être fabriquée, manipulée et stockée dans des conditions prévenant toute contamination.</w:t>
      </w:r>
    </w:p>
    <w:p w14:paraId="2533F064"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5499E5DF"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 xml:space="preserve">5. La vapeur utilisée directement en contact avec les </w:t>
      </w:r>
      <w:r w:rsidRPr="005E1EA7">
        <w:rPr>
          <w:rFonts w:ascii="Tahoma" w:eastAsia="EUAlbertina-Bold-Identity-H" w:hAnsi="Tahoma" w:cs="Tahoma"/>
          <w:sz w:val="20"/>
          <w:szCs w:val="20"/>
        </w:rPr>
        <w:t xml:space="preserve">mollusques bivalves et les </w:t>
      </w:r>
      <w:r w:rsidRPr="005E1EA7">
        <w:rPr>
          <w:rFonts w:ascii="Tahoma" w:eastAsia="EUAlbertina-Regular-Identity-H" w:hAnsi="Tahoma" w:cs="Tahoma"/>
          <w:sz w:val="20"/>
          <w:szCs w:val="20"/>
        </w:rPr>
        <w:t>produits de la pêche ne doit contenir aucune substance présentant un danger pour la santé ou susceptible de contaminer lesdites denrées.</w:t>
      </w:r>
    </w:p>
    <w:p w14:paraId="2F148909"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41D9DCC3"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 xml:space="preserve">6. Lorsque le traitement thermique est appliqué à des </w:t>
      </w:r>
      <w:r w:rsidRPr="005E1EA7">
        <w:rPr>
          <w:rFonts w:ascii="Tahoma" w:eastAsia="EUAlbertina-Bold-Identity-H" w:hAnsi="Tahoma" w:cs="Tahoma"/>
          <w:sz w:val="20"/>
          <w:szCs w:val="20"/>
        </w:rPr>
        <w:t xml:space="preserve">mollusques bivalves et </w:t>
      </w:r>
      <w:r w:rsidRPr="005E1EA7">
        <w:rPr>
          <w:rFonts w:ascii="Tahoma" w:eastAsia="EUAlbertina-Regular-Identity-H" w:hAnsi="Tahoma" w:cs="Tahoma"/>
          <w:sz w:val="20"/>
          <w:szCs w:val="20"/>
        </w:rPr>
        <w:t>produits de la pêche contenues dans des récipients hermétiquement clos, il y a lieu de veiller à ce que l’eau utilisée pour le refroidissement de ceux-ci après le chauffage ne soit pas une source de contamination de ces produits.</w:t>
      </w:r>
    </w:p>
    <w:p w14:paraId="5DF6EB0C" w14:textId="77777777" w:rsidR="003D69A8" w:rsidRPr="005E1EA7" w:rsidRDefault="003D69A8" w:rsidP="003D69A8">
      <w:pPr>
        <w:autoSpaceDE w:val="0"/>
        <w:autoSpaceDN w:val="0"/>
        <w:adjustRightInd w:val="0"/>
        <w:jc w:val="center"/>
        <w:rPr>
          <w:rFonts w:ascii="Tahoma" w:eastAsia="EUAlbertina-Regular-Identity-H" w:hAnsi="Tahoma" w:cs="Tahoma"/>
          <w:sz w:val="20"/>
          <w:szCs w:val="20"/>
        </w:rPr>
      </w:pPr>
    </w:p>
    <w:p w14:paraId="64A40CC4" w14:textId="77777777" w:rsidR="003D69A8" w:rsidRPr="005E1EA7" w:rsidRDefault="003D69A8" w:rsidP="003D69A8">
      <w:pPr>
        <w:autoSpaceDE w:val="0"/>
        <w:autoSpaceDN w:val="0"/>
        <w:adjustRightInd w:val="0"/>
        <w:jc w:val="center"/>
        <w:rPr>
          <w:rFonts w:ascii="Tahoma" w:eastAsia="EUAlbertina-Bold-Identity-H" w:hAnsi="Tahoma" w:cs="Tahoma"/>
          <w:b/>
          <w:bCs/>
          <w:sz w:val="20"/>
          <w:szCs w:val="20"/>
        </w:rPr>
      </w:pPr>
      <w:r w:rsidRPr="005E1EA7">
        <w:rPr>
          <w:rFonts w:ascii="Tahoma" w:eastAsia="EUAlbertina-Regular-Identity-H" w:hAnsi="Tahoma" w:cs="Tahoma"/>
          <w:b/>
          <w:bCs/>
          <w:sz w:val="20"/>
          <w:szCs w:val="20"/>
        </w:rPr>
        <w:t xml:space="preserve">CHAPITRE VII - </w:t>
      </w:r>
      <w:r w:rsidRPr="005E1EA7">
        <w:rPr>
          <w:rFonts w:ascii="Tahoma" w:eastAsia="EUAlbertina-Bold-Identity-H" w:hAnsi="Tahoma" w:cs="Tahoma"/>
          <w:b/>
          <w:bCs/>
          <w:sz w:val="20"/>
          <w:szCs w:val="20"/>
        </w:rPr>
        <w:t>HYGIENE PERSONNELLE</w:t>
      </w:r>
    </w:p>
    <w:p w14:paraId="048A9A24" w14:textId="77777777" w:rsidR="003D69A8" w:rsidRPr="005E1EA7" w:rsidRDefault="003D69A8" w:rsidP="003D69A8">
      <w:pPr>
        <w:autoSpaceDE w:val="0"/>
        <w:autoSpaceDN w:val="0"/>
        <w:adjustRightInd w:val="0"/>
        <w:jc w:val="both"/>
        <w:rPr>
          <w:rFonts w:ascii="Tahoma" w:eastAsia="EUAlbertina-Bold-Identity-H" w:hAnsi="Tahoma" w:cs="Tahoma"/>
          <w:sz w:val="20"/>
          <w:szCs w:val="20"/>
        </w:rPr>
      </w:pPr>
    </w:p>
    <w:p w14:paraId="54480FDF"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 xml:space="preserve">1. Toute personne travaillant dans une zone de manutention de </w:t>
      </w:r>
      <w:r w:rsidRPr="005E1EA7">
        <w:rPr>
          <w:rFonts w:ascii="Tahoma" w:eastAsia="EUAlbertina-Bold-Identity-H" w:hAnsi="Tahoma" w:cs="Tahoma"/>
          <w:sz w:val="20"/>
          <w:szCs w:val="20"/>
        </w:rPr>
        <w:t xml:space="preserve">mollusques bivalves et de </w:t>
      </w:r>
      <w:r w:rsidRPr="005E1EA7">
        <w:rPr>
          <w:rFonts w:ascii="Tahoma" w:eastAsia="EUAlbertina-Regular-Identity-H" w:hAnsi="Tahoma" w:cs="Tahoma"/>
          <w:sz w:val="20"/>
          <w:szCs w:val="20"/>
        </w:rPr>
        <w:t>produits de la pêche doit respecter une propreté personnelle et porter des tenues adaptées et propres assurant, si cela est nécessaire, sa protection.</w:t>
      </w:r>
    </w:p>
    <w:p w14:paraId="6B95D213"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6DA90A9A"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 xml:space="preserve">2. Aucune personne atteinte d’une maladie susceptible d’être transmise par les aliments ou porteuse d’une telle maladie, ou souffrant, par exemple, de plaies infectées, d’infections ou lésions cutanées ou de diarrhée ne doit être autorisée à manipuler des </w:t>
      </w:r>
      <w:r w:rsidRPr="005E1EA7">
        <w:rPr>
          <w:rFonts w:ascii="Tahoma" w:eastAsia="EUAlbertina-Bold-Identity-H" w:hAnsi="Tahoma" w:cs="Tahoma"/>
          <w:sz w:val="20"/>
          <w:szCs w:val="20"/>
        </w:rPr>
        <w:t>mollusques bivalves</w:t>
      </w:r>
      <w:r w:rsidRPr="005E1EA7">
        <w:rPr>
          <w:rFonts w:ascii="Tahoma" w:eastAsia="EUAlbertina-Regular-Identity-H" w:hAnsi="Tahoma" w:cs="Tahoma"/>
          <w:sz w:val="20"/>
          <w:szCs w:val="20"/>
        </w:rPr>
        <w:t xml:space="preserve"> et des produits de la pêche</w:t>
      </w:r>
      <w:r w:rsidRPr="005E1EA7">
        <w:rPr>
          <w:rFonts w:ascii="Tahoma" w:eastAsia="EUAlbertina-Bold-Identity-H" w:hAnsi="Tahoma" w:cs="Tahoma"/>
          <w:sz w:val="20"/>
          <w:szCs w:val="20"/>
        </w:rPr>
        <w:t xml:space="preserve"> </w:t>
      </w:r>
      <w:r w:rsidRPr="005E1EA7">
        <w:rPr>
          <w:rFonts w:ascii="Tahoma" w:eastAsia="EUAlbertina-Regular-Identity-H" w:hAnsi="Tahoma" w:cs="Tahoma"/>
          <w:sz w:val="20"/>
          <w:szCs w:val="20"/>
        </w:rPr>
        <w:t xml:space="preserve">et à pénétrer dans une zone de manutention de </w:t>
      </w:r>
      <w:r w:rsidRPr="005E1EA7">
        <w:rPr>
          <w:rFonts w:ascii="Tahoma" w:eastAsia="EUAlbertina-Bold-Identity-H" w:hAnsi="Tahoma" w:cs="Tahoma"/>
          <w:sz w:val="20"/>
          <w:szCs w:val="20"/>
        </w:rPr>
        <w:t>ces produits</w:t>
      </w:r>
      <w:r w:rsidRPr="005E1EA7">
        <w:rPr>
          <w:rFonts w:ascii="Tahoma" w:eastAsia="EUAlbertina-Regular-Identity-H" w:hAnsi="Tahoma" w:cs="Tahoma"/>
          <w:sz w:val="20"/>
          <w:szCs w:val="20"/>
        </w:rPr>
        <w:t>, à quelque titre que ce soit, lorsqu’il existe un risque de contamination directe ou indirecte de ces produits. Toute personne atteinte d’une telle affection qui est employée dans une entreprise du secteur halieutiqueet est susceptible d’entrer en contact avec, notamment, les produits de la pêche informe immédiatement l’exploitant de sa maladie ou de ses symptômes, et, si possible, de leurs causes.</w:t>
      </w:r>
    </w:p>
    <w:p w14:paraId="09089EC6"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2ABFC9E7" w14:textId="77777777" w:rsidR="003D69A8" w:rsidRPr="005E1EA7" w:rsidRDefault="003D69A8" w:rsidP="003D69A8">
      <w:pPr>
        <w:autoSpaceDE w:val="0"/>
        <w:autoSpaceDN w:val="0"/>
        <w:adjustRightInd w:val="0"/>
        <w:jc w:val="center"/>
        <w:rPr>
          <w:rFonts w:ascii="Tahoma" w:eastAsia="EUAlbertina-Bold-Identity-H" w:hAnsi="Tahoma" w:cs="Tahoma"/>
          <w:b/>
          <w:bCs/>
          <w:sz w:val="20"/>
          <w:szCs w:val="20"/>
        </w:rPr>
      </w:pPr>
      <w:r w:rsidRPr="005E1EA7">
        <w:rPr>
          <w:rFonts w:ascii="Tahoma" w:eastAsia="EUAlbertina-Regular-Identity-H" w:hAnsi="Tahoma" w:cs="Tahoma"/>
          <w:b/>
          <w:bCs/>
          <w:sz w:val="20"/>
          <w:szCs w:val="20"/>
        </w:rPr>
        <w:t xml:space="preserve">CHAPITRE VIII - </w:t>
      </w:r>
      <w:r w:rsidRPr="005E1EA7">
        <w:rPr>
          <w:rFonts w:ascii="Tahoma" w:eastAsia="EUAlbertina-Bold-Identity-H" w:hAnsi="Tahoma" w:cs="Tahoma"/>
          <w:b/>
          <w:bCs/>
          <w:sz w:val="20"/>
          <w:szCs w:val="20"/>
        </w:rPr>
        <w:t>DISPOSITIONS APPLICABLES AUX MOLLUSQUES BIVALVES VIVANTS ET AUX PRODUITS DE LA PECHE</w:t>
      </w:r>
    </w:p>
    <w:p w14:paraId="1AB170B2"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243D24F9"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1. Les matières premières et tous les ingrédients entreposés dans une entreprise de mollusques bivalves et de produits de la pêche doivent être conservés dans des conditions adéquates permettant d’éviter toute détérioration néfaste et de les protéger contre toute contamination.</w:t>
      </w:r>
    </w:p>
    <w:p w14:paraId="58C022CC"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5E03CABE"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 xml:space="preserve">2. A toutes les étapes de la production, de la transformation et de la distribution, les </w:t>
      </w:r>
      <w:r w:rsidRPr="005E1EA7">
        <w:rPr>
          <w:rFonts w:ascii="Tahoma" w:eastAsia="EUAlbertina-Bold-Identity-H" w:hAnsi="Tahoma" w:cs="Tahoma"/>
          <w:sz w:val="20"/>
          <w:szCs w:val="20"/>
        </w:rPr>
        <w:t xml:space="preserve">mollusques bivalves et des </w:t>
      </w:r>
      <w:r w:rsidRPr="005E1EA7">
        <w:rPr>
          <w:rFonts w:ascii="Tahoma" w:eastAsia="EUAlbertina-Regular-Identity-H" w:hAnsi="Tahoma" w:cs="Tahoma"/>
          <w:sz w:val="20"/>
          <w:szCs w:val="20"/>
        </w:rPr>
        <w:t>produits de la pêche doivent être protégés contre toute contamination susceptible de les rendre impropres à la consommation humaine, dangereuses pour la santé ou contaminées de manière telle qu’ils ne pourraient être raisonnablement considérés comme pouvant être consommés en l’état.</w:t>
      </w:r>
    </w:p>
    <w:p w14:paraId="5285C4AC"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70D6D8AB"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lastRenderedPageBreak/>
        <w:t xml:space="preserve">3. Des méthodes adéquates doivent être mises au point pour lutter, le cas échéant, contre les organismes nuisibles. Des méthodes adéquates doivent également être mises au point pour empêcher les animaux domestiques d’avoir accès aux endroits où des </w:t>
      </w:r>
      <w:r w:rsidRPr="005E1EA7">
        <w:rPr>
          <w:rFonts w:ascii="Tahoma" w:eastAsia="EUAlbertina-Bold-Identity-H" w:hAnsi="Tahoma" w:cs="Tahoma"/>
          <w:sz w:val="20"/>
          <w:szCs w:val="20"/>
        </w:rPr>
        <w:t xml:space="preserve">mollusques bivalves et des </w:t>
      </w:r>
      <w:r w:rsidRPr="005E1EA7">
        <w:rPr>
          <w:rFonts w:ascii="Tahoma" w:eastAsia="EUAlbertina-Regular-Identity-H" w:hAnsi="Tahoma" w:cs="Tahoma"/>
          <w:sz w:val="20"/>
          <w:szCs w:val="20"/>
        </w:rPr>
        <w:t>produits de la pêche sont préparés, traités ou entreposés (ou, lorsque l’autorité compétente l’autorise dans des cas particuliers, pour éviter que cet accès n’entraîne de contamination).</w:t>
      </w:r>
    </w:p>
    <w:p w14:paraId="7D42FE52"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0E2386B4"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4. Les matières premières, les ingrédients, les produits semi-finis et les produits finis susceptibles de favoriser la reproduction de micro-organismes pathogènes ou la formation de toxines ne doivent pas être conservés à des températures qui pourraient entraîner un risque pour la santé. La chaîne du froid ne doit pas être interrompue. Toutefois, il est admis de les soustraire à ces températures pour des périodes de courte durée à des fins pratiques de manutention lors de l’élaboration, du transport, de l’entreposage, de l’exposition et du service des produits préparés, à condition que cela n’entraîne pas de risque pour la santé. Les exploitations du secteur halieutique procédant à la fabrication, à la manipulation et au conditionnement de produits transformés doivent disposer de locaux adéquats suffisamment vastes pour l‘entreposage séparé des matières premières, d’une part, et des produits transformés, d’autre part, et disposer d’un espace d’entreposage réfrigéré suffisant.</w:t>
      </w:r>
    </w:p>
    <w:p w14:paraId="03F36510"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2B78B6BC"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 xml:space="preserve">5. Lorsque les </w:t>
      </w:r>
      <w:r w:rsidRPr="005E1EA7">
        <w:rPr>
          <w:rFonts w:ascii="Tahoma" w:eastAsia="EUAlbertina-Bold-Identity-H" w:hAnsi="Tahoma" w:cs="Tahoma"/>
          <w:sz w:val="20"/>
          <w:szCs w:val="20"/>
        </w:rPr>
        <w:t xml:space="preserve">mollusques bivalves et les </w:t>
      </w:r>
      <w:r w:rsidRPr="005E1EA7">
        <w:rPr>
          <w:rFonts w:ascii="Tahoma" w:eastAsia="EUAlbertina-Regular-Identity-H" w:hAnsi="Tahoma" w:cs="Tahoma"/>
          <w:sz w:val="20"/>
          <w:szCs w:val="20"/>
        </w:rPr>
        <w:t>produits de la pêche doivent être conservés ou servis à basse température, ils doivent être réfrigérés dès que possible après le stade de traitement thermique ou, en l’absence d’un tel traitement, après le dernier stade de l’élaboration, à une température n’entraînant pas de risque pour la santé.</w:t>
      </w:r>
    </w:p>
    <w:p w14:paraId="51070C4F"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16700D84"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6. La décongélation des produits de la pêche doit être effectuée de manière à réduire au maximum le risque de développement de micro-organismes pathogènes ou la formation de toxines dans les produits de la pêche. Pendant la décongélation, les produits de la pêche doivent être soumis à des températures qui n’entraînent pas de risque pour la santé. Tout liquide résultant de la décongélation susceptible de présenter un risque pour la santé est évacué d’une manière appropriée. Après leur décongélation, les pro</w:t>
      </w:r>
      <w:r w:rsidRPr="005E1EA7">
        <w:rPr>
          <w:rFonts w:ascii="Tahoma" w:hAnsi="Tahoma" w:cs="Tahoma"/>
          <w:sz w:val="20"/>
          <w:szCs w:val="20"/>
        </w:rPr>
        <w:t>d</w:t>
      </w:r>
      <w:r w:rsidRPr="005E1EA7">
        <w:rPr>
          <w:rFonts w:ascii="Tahoma" w:eastAsia="EUAlbertina-Regular-Identity-H" w:hAnsi="Tahoma" w:cs="Tahoma"/>
          <w:sz w:val="20"/>
          <w:szCs w:val="20"/>
        </w:rPr>
        <w:t>uits de la pêche doivent être manipulés de manière à réduire au maximum le risque de développement de micro-organismes pathogènes ou la formation de toxines.</w:t>
      </w:r>
    </w:p>
    <w:p w14:paraId="63C33A1F"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5399A7CE"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7. Les substances dangereuses et/ou non comestibles doivent faire l’objet d’un étiquetage approprié et être entreposées dans des conteneurs sûrs et séparés.</w:t>
      </w:r>
    </w:p>
    <w:p w14:paraId="48C75CEE" w14:textId="77777777" w:rsidR="003D69A8" w:rsidRPr="005E1EA7" w:rsidRDefault="003D69A8" w:rsidP="003D69A8">
      <w:pPr>
        <w:autoSpaceDE w:val="0"/>
        <w:autoSpaceDN w:val="0"/>
        <w:adjustRightInd w:val="0"/>
        <w:jc w:val="both"/>
        <w:rPr>
          <w:rFonts w:ascii="Tahoma" w:eastAsia="EUAlbertina-Regular-Identity-H" w:hAnsi="Tahoma" w:cs="Tahoma"/>
          <w:b/>
          <w:bCs/>
          <w:sz w:val="20"/>
          <w:szCs w:val="20"/>
        </w:rPr>
      </w:pPr>
    </w:p>
    <w:p w14:paraId="23450129" w14:textId="77777777" w:rsidR="003D69A8" w:rsidRPr="005E1EA7" w:rsidRDefault="003D69A8" w:rsidP="003D69A8">
      <w:pPr>
        <w:autoSpaceDE w:val="0"/>
        <w:autoSpaceDN w:val="0"/>
        <w:adjustRightInd w:val="0"/>
        <w:jc w:val="center"/>
        <w:rPr>
          <w:rFonts w:ascii="Tahoma" w:eastAsia="EUAlbertina-Bold-Identity-H" w:hAnsi="Tahoma" w:cs="Tahoma"/>
          <w:b/>
          <w:bCs/>
          <w:sz w:val="20"/>
          <w:szCs w:val="20"/>
        </w:rPr>
      </w:pPr>
      <w:r w:rsidRPr="005E1EA7">
        <w:rPr>
          <w:rFonts w:ascii="Tahoma" w:eastAsia="EUAlbertina-Regular-Identity-H" w:hAnsi="Tahoma" w:cs="Tahoma"/>
          <w:b/>
          <w:bCs/>
          <w:sz w:val="20"/>
          <w:szCs w:val="20"/>
        </w:rPr>
        <w:t xml:space="preserve">CHAPITRE IX - </w:t>
      </w:r>
      <w:r w:rsidRPr="005E1EA7">
        <w:rPr>
          <w:rFonts w:ascii="Tahoma" w:eastAsia="EUAlbertina-Bold-Identity-H" w:hAnsi="Tahoma" w:cs="Tahoma"/>
          <w:b/>
          <w:bCs/>
          <w:sz w:val="20"/>
          <w:szCs w:val="20"/>
        </w:rPr>
        <w:t>DISPOSITIONS APPLICABLES AU CONDITIONNEMENT ET A L’EMBALLAGE DES MOLLUSQUES BIVALVES ET DES PRODUITS DE LA PECHE</w:t>
      </w:r>
    </w:p>
    <w:p w14:paraId="294A4E8C" w14:textId="77777777" w:rsidR="003D69A8" w:rsidRPr="005E1EA7" w:rsidRDefault="003D69A8" w:rsidP="003D69A8">
      <w:pPr>
        <w:autoSpaceDE w:val="0"/>
        <w:autoSpaceDN w:val="0"/>
        <w:adjustRightInd w:val="0"/>
        <w:jc w:val="center"/>
        <w:rPr>
          <w:rFonts w:ascii="Tahoma" w:eastAsia="EUAlbertina-Regular-Identity-H" w:hAnsi="Tahoma" w:cs="Tahoma"/>
          <w:sz w:val="20"/>
          <w:szCs w:val="20"/>
        </w:rPr>
      </w:pPr>
    </w:p>
    <w:p w14:paraId="22B423BB"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1. Les matériaux constitutifs du conditionnement et de l’emballage ne doivent pas être une source de contamination.</w:t>
      </w:r>
    </w:p>
    <w:p w14:paraId="73CB92B9"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63C8C295"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2. Les conditionnements doivent être entreposés de telle façon qu’ils ne soient pas exposés à un risque de contamination.</w:t>
      </w:r>
    </w:p>
    <w:p w14:paraId="27DDC63E"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020AF286"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3. Les opérations de conditionnement et d’emballage doivent être effectuées de manière à éviter la contamination des produits. Le cas échéant, notamment en cas d’utilisation de boîtes métalliques et de bocaux en verre, l’intégrité et la propreté du récipient doivent être assurées.</w:t>
      </w:r>
    </w:p>
    <w:p w14:paraId="7906A26B"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0E91D55E"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 xml:space="preserve">4. Les conditionnements et emballages qui sont réutilisés pour les </w:t>
      </w:r>
      <w:r w:rsidRPr="005E1EA7">
        <w:rPr>
          <w:rFonts w:ascii="Tahoma" w:eastAsia="EUAlbertina-Bold-Identity-H" w:hAnsi="Tahoma" w:cs="Tahoma"/>
          <w:sz w:val="20"/>
          <w:szCs w:val="20"/>
        </w:rPr>
        <w:t xml:space="preserve">mollusques bivalves et </w:t>
      </w:r>
      <w:r w:rsidRPr="005E1EA7">
        <w:rPr>
          <w:rFonts w:ascii="Tahoma" w:eastAsia="EUAlbertina-Regular-Identity-H" w:hAnsi="Tahoma" w:cs="Tahoma"/>
          <w:sz w:val="20"/>
          <w:szCs w:val="20"/>
        </w:rPr>
        <w:t>les produits de la pêche doivent être faciles à nettoyer et, le cas échéant, faciles à désinfecter.</w:t>
      </w:r>
    </w:p>
    <w:p w14:paraId="0BB3302C"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744BC439" w14:textId="77777777" w:rsidR="003D69A8" w:rsidRPr="005E1EA7" w:rsidRDefault="003D69A8" w:rsidP="003D69A8">
      <w:pPr>
        <w:autoSpaceDE w:val="0"/>
        <w:autoSpaceDN w:val="0"/>
        <w:adjustRightInd w:val="0"/>
        <w:jc w:val="center"/>
        <w:rPr>
          <w:rFonts w:ascii="Tahoma" w:eastAsia="EUAlbertina-Bold-Identity-H" w:hAnsi="Tahoma" w:cs="Tahoma"/>
          <w:b/>
          <w:bCs/>
          <w:sz w:val="20"/>
          <w:szCs w:val="20"/>
        </w:rPr>
      </w:pPr>
      <w:r w:rsidRPr="005E1EA7">
        <w:rPr>
          <w:rFonts w:ascii="Tahoma" w:eastAsia="EUAlbertina-Regular-Identity-H" w:hAnsi="Tahoma" w:cs="Tahoma"/>
          <w:b/>
          <w:bCs/>
          <w:sz w:val="20"/>
          <w:szCs w:val="20"/>
        </w:rPr>
        <w:t xml:space="preserve">CHAPITRE X - </w:t>
      </w:r>
      <w:r w:rsidRPr="005E1EA7">
        <w:rPr>
          <w:rFonts w:ascii="Tahoma" w:eastAsia="EUAlbertina-Bold-Identity-H" w:hAnsi="Tahoma" w:cs="Tahoma"/>
          <w:b/>
          <w:bCs/>
          <w:sz w:val="20"/>
          <w:szCs w:val="20"/>
        </w:rPr>
        <w:t>TRAITEMENT THERMIQUE</w:t>
      </w:r>
    </w:p>
    <w:p w14:paraId="19B3C069"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1FE93FCF"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 xml:space="preserve">Les prescriptions suivantes ne s’appliquent qu’aux </w:t>
      </w:r>
      <w:r w:rsidRPr="005E1EA7">
        <w:rPr>
          <w:rFonts w:ascii="Tahoma" w:eastAsia="EUAlbertina-Bold-Identity-H" w:hAnsi="Tahoma" w:cs="Tahoma"/>
          <w:sz w:val="20"/>
          <w:szCs w:val="20"/>
        </w:rPr>
        <w:t xml:space="preserve">mollusques bivalves et aux </w:t>
      </w:r>
      <w:r w:rsidRPr="005E1EA7">
        <w:rPr>
          <w:rFonts w:ascii="Tahoma" w:eastAsia="EUAlbertina-Regular-Identity-H" w:hAnsi="Tahoma" w:cs="Tahoma"/>
          <w:sz w:val="20"/>
          <w:szCs w:val="20"/>
        </w:rPr>
        <w:t xml:space="preserve">produits de la pêche mis sur le marché dans des récipients hermétiquement fermés. </w:t>
      </w:r>
    </w:p>
    <w:p w14:paraId="52419C80"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3A1DAC19"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1. Tout processus de traitement thermique utilisé pour transformer un produit non transformé ou pour transformer davantage un produit transformé doit amener chaque élément du produit traité à une température donnée pendant un laps de temps déterminé et empêcher le produit de subir une contamination pendant la transformation.</w:t>
      </w:r>
    </w:p>
    <w:p w14:paraId="1F600D81"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42F2E036"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2. Pour faire en sorte que le processus utilisé atteigne les objectifs voulus, les exploitants de mollusques bivalves et de produits de la pêche doivent régulièrement vérifier les principaux paramètres pertinents (notamment la température, la pression, le scellement et la microbiologie), y compris par l’utilisation de dispositifs automatiques.</w:t>
      </w:r>
    </w:p>
    <w:p w14:paraId="7A9042FE"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0B670024"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3. Le processus utilisé devrait satisfaire à une norme reconnue à l’échelle internationale, par exemple : la pasteurisation, l’ultra-haute température ou la stérilisation.</w:t>
      </w:r>
    </w:p>
    <w:p w14:paraId="097D0DEB" w14:textId="77777777" w:rsidR="003D69A8" w:rsidRPr="005E1EA7" w:rsidRDefault="003D69A8" w:rsidP="003D69A8">
      <w:pPr>
        <w:autoSpaceDE w:val="0"/>
        <w:autoSpaceDN w:val="0"/>
        <w:adjustRightInd w:val="0"/>
        <w:jc w:val="center"/>
        <w:rPr>
          <w:rFonts w:ascii="Tahoma" w:eastAsia="EUAlbertina-Regular-Identity-H" w:hAnsi="Tahoma" w:cs="Tahoma"/>
          <w:b/>
          <w:bCs/>
          <w:sz w:val="20"/>
          <w:szCs w:val="20"/>
        </w:rPr>
      </w:pPr>
    </w:p>
    <w:p w14:paraId="1D8BA3A0" w14:textId="77777777" w:rsidR="003D69A8" w:rsidRPr="005E1EA7" w:rsidRDefault="003D69A8" w:rsidP="003D69A8">
      <w:pPr>
        <w:autoSpaceDE w:val="0"/>
        <w:autoSpaceDN w:val="0"/>
        <w:adjustRightInd w:val="0"/>
        <w:jc w:val="center"/>
        <w:rPr>
          <w:rFonts w:ascii="Tahoma" w:eastAsia="EUAlbertina-Bold-Identity-H" w:hAnsi="Tahoma" w:cs="Tahoma"/>
          <w:b/>
          <w:bCs/>
          <w:sz w:val="20"/>
          <w:szCs w:val="20"/>
        </w:rPr>
      </w:pPr>
      <w:r w:rsidRPr="005E1EA7">
        <w:rPr>
          <w:rFonts w:ascii="Tahoma" w:eastAsia="EUAlbertina-Regular-Identity-H" w:hAnsi="Tahoma" w:cs="Tahoma"/>
          <w:b/>
          <w:bCs/>
          <w:sz w:val="20"/>
          <w:szCs w:val="20"/>
        </w:rPr>
        <w:t xml:space="preserve">CHAPITRE XI - </w:t>
      </w:r>
      <w:r w:rsidRPr="005E1EA7">
        <w:rPr>
          <w:rFonts w:ascii="Tahoma" w:eastAsia="EUAlbertina-Bold-Identity-H" w:hAnsi="Tahoma" w:cs="Tahoma"/>
          <w:b/>
          <w:bCs/>
          <w:sz w:val="20"/>
          <w:szCs w:val="20"/>
        </w:rPr>
        <w:t>FORMATION</w:t>
      </w:r>
    </w:p>
    <w:p w14:paraId="1110EDE5"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51832994"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Les exploitants doivent veiller :</w:t>
      </w:r>
    </w:p>
    <w:p w14:paraId="2FDF063B"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19FEDBC1" w14:textId="77777777" w:rsidR="003D69A8" w:rsidRPr="005E1EA7" w:rsidRDefault="003D69A8" w:rsidP="003D69A8">
      <w:pPr>
        <w:autoSpaceDE w:val="0"/>
        <w:autoSpaceDN w:val="0"/>
        <w:adjustRightInd w:val="0"/>
        <w:ind w:left="540" w:hanging="360"/>
        <w:jc w:val="both"/>
        <w:rPr>
          <w:rFonts w:ascii="Tahoma" w:eastAsia="EUAlbertina-Regular-Identity-H" w:hAnsi="Tahoma" w:cs="Tahoma"/>
          <w:sz w:val="20"/>
          <w:szCs w:val="20"/>
        </w:rPr>
      </w:pPr>
      <w:r w:rsidRPr="005E1EA7">
        <w:rPr>
          <w:rFonts w:ascii="Tahoma" w:eastAsia="EUAlbertina-Regular-Identity-H" w:hAnsi="Tahoma" w:cs="Tahoma"/>
          <w:sz w:val="20"/>
          <w:szCs w:val="20"/>
        </w:rPr>
        <w:t>a) à ce que les manutentionnaires soient encadrés et disposent d’instructions et/ou d’une formation en matière d’hygiène alimentaire adaptées à leur activité professionnelle ;</w:t>
      </w:r>
    </w:p>
    <w:p w14:paraId="6141382E"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1E1517FA" w14:textId="77777777" w:rsidR="003D69A8" w:rsidRPr="005E1EA7" w:rsidRDefault="003D69A8" w:rsidP="003D69A8">
      <w:pPr>
        <w:autoSpaceDE w:val="0"/>
        <w:autoSpaceDN w:val="0"/>
        <w:adjustRightInd w:val="0"/>
        <w:ind w:left="540" w:hanging="360"/>
        <w:jc w:val="both"/>
        <w:rPr>
          <w:rFonts w:ascii="Tahoma" w:eastAsia="EUAlbertina-Regular-Identity-H" w:hAnsi="Tahoma" w:cs="Tahoma"/>
          <w:sz w:val="20"/>
          <w:szCs w:val="20"/>
        </w:rPr>
      </w:pPr>
      <w:r w:rsidRPr="005E1EA7">
        <w:rPr>
          <w:rFonts w:ascii="Tahoma" w:eastAsia="EUAlbertina-Regular-Identity-H" w:hAnsi="Tahoma" w:cs="Tahoma"/>
          <w:sz w:val="20"/>
          <w:szCs w:val="20"/>
        </w:rPr>
        <w:t>b) à ce que les personnes responsables de la mise au point et du maintien de la procédure visée à l’article 5, paragraphe 1, du présent arrêté, ou de la mise en œuvre des guides pertinents dans leur entreprise aient reçu la formation appropriée en ce qui concerne l’application des principes HACCP ;</w:t>
      </w:r>
    </w:p>
    <w:p w14:paraId="2A458E70"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49763681" w14:textId="77777777" w:rsidR="003D69A8" w:rsidRPr="005E1EA7" w:rsidRDefault="003D69A8" w:rsidP="003D69A8">
      <w:pPr>
        <w:autoSpaceDE w:val="0"/>
        <w:autoSpaceDN w:val="0"/>
        <w:adjustRightInd w:val="0"/>
        <w:ind w:left="540" w:hanging="360"/>
        <w:jc w:val="both"/>
        <w:rPr>
          <w:rFonts w:ascii="Tahoma" w:eastAsia="EUAlbertina-Regular-Identity-H" w:hAnsi="Tahoma" w:cs="Tahoma"/>
          <w:sz w:val="20"/>
          <w:szCs w:val="20"/>
        </w:rPr>
      </w:pPr>
      <w:r w:rsidRPr="005E1EA7">
        <w:rPr>
          <w:rFonts w:ascii="Tahoma" w:eastAsia="EUAlbertina-Regular-Identity-H" w:hAnsi="Tahoma" w:cs="Tahoma"/>
          <w:sz w:val="20"/>
          <w:szCs w:val="20"/>
        </w:rPr>
        <w:t>3) au respect de toute disposition de la réglementation nationale relative aux programmes de formation des personnes qui travaillent dans certains secteurs de l’alimentation.</w:t>
      </w:r>
    </w:p>
    <w:p w14:paraId="6C320C7D" w14:textId="77777777" w:rsidR="005E1EA7" w:rsidRDefault="005E1EA7" w:rsidP="003D69A8">
      <w:pPr>
        <w:jc w:val="center"/>
        <w:rPr>
          <w:rFonts w:ascii="Tahoma" w:hAnsi="Tahoma" w:cs="Tahoma"/>
          <w:sz w:val="20"/>
          <w:szCs w:val="20"/>
        </w:rPr>
      </w:pPr>
    </w:p>
    <w:p w14:paraId="21E9141B" w14:textId="77777777" w:rsidR="00E34453" w:rsidRDefault="00E34453">
      <w:pPr>
        <w:rPr>
          <w:rFonts w:ascii="Tahoma" w:eastAsia="EUAlbertina-Italic-Identity-H" w:hAnsi="Tahoma" w:cs="Tahoma"/>
          <w:b/>
          <w:bCs/>
          <w:sz w:val="20"/>
          <w:szCs w:val="20"/>
        </w:rPr>
      </w:pPr>
      <w:r>
        <w:rPr>
          <w:rFonts w:ascii="Tahoma" w:eastAsia="EUAlbertina-Italic-Identity-H" w:hAnsi="Tahoma" w:cs="Tahoma"/>
          <w:b/>
          <w:bCs/>
          <w:sz w:val="20"/>
          <w:szCs w:val="20"/>
        </w:rPr>
        <w:br w:type="page"/>
      </w:r>
    </w:p>
    <w:p w14:paraId="5715C835" w14:textId="15881DBA" w:rsidR="003D69A8" w:rsidRPr="005E1EA7" w:rsidRDefault="003D69A8" w:rsidP="00E34453">
      <w:pPr>
        <w:jc w:val="center"/>
        <w:rPr>
          <w:rFonts w:ascii="Tahoma" w:eastAsia="EUAlbertina-Italic-Identity-H" w:hAnsi="Tahoma" w:cs="Tahoma"/>
          <w:b/>
          <w:bCs/>
          <w:sz w:val="20"/>
          <w:szCs w:val="20"/>
        </w:rPr>
      </w:pPr>
      <w:r w:rsidRPr="005E1EA7">
        <w:rPr>
          <w:rFonts w:ascii="Tahoma" w:eastAsia="EUAlbertina-Italic-Identity-H" w:hAnsi="Tahoma" w:cs="Tahoma"/>
          <w:b/>
          <w:bCs/>
          <w:sz w:val="20"/>
          <w:szCs w:val="20"/>
        </w:rPr>
        <w:lastRenderedPageBreak/>
        <w:t xml:space="preserve">ANNEXE III : </w:t>
      </w:r>
    </w:p>
    <w:p w14:paraId="79AE6ED2" w14:textId="77777777" w:rsidR="003D69A8" w:rsidRPr="005E1EA7" w:rsidRDefault="003D69A8" w:rsidP="003D69A8">
      <w:pPr>
        <w:jc w:val="center"/>
        <w:rPr>
          <w:rFonts w:ascii="Tahoma" w:eastAsia="EUAlbertina-Italic-Identity-H" w:hAnsi="Tahoma" w:cs="Tahoma"/>
          <w:b/>
          <w:bCs/>
          <w:sz w:val="20"/>
          <w:szCs w:val="20"/>
        </w:rPr>
      </w:pPr>
    </w:p>
    <w:p w14:paraId="33DE58C3" w14:textId="77777777" w:rsidR="003D69A8" w:rsidRPr="005E1EA7" w:rsidRDefault="003D69A8" w:rsidP="003D69A8">
      <w:pPr>
        <w:jc w:val="center"/>
        <w:rPr>
          <w:rFonts w:ascii="Tahoma" w:eastAsia="EUAlbertina-Regular-Identity-H" w:hAnsi="Tahoma" w:cs="Tahoma"/>
          <w:b/>
          <w:bCs/>
          <w:sz w:val="20"/>
          <w:szCs w:val="20"/>
        </w:rPr>
      </w:pPr>
      <w:r w:rsidRPr="005E1EA7">
        <w:rPr>
          <w:rFonts w:ascii="Tahoma" w:eastAsia="EUAlbertina-Bold-Identity-H" w:hAnsi="Tahoma" w:cs="Tahoma"/>
          <w:b/>
          <w:bCs/>
          <w:sz w:val="20"/>
          <w:szCs w:val="20"/>
        </w:rPr>
        <w:t xml:space="preserve">EXIGENCES SPECIFIQUES AUX </w:t>
      </w:r>
      <w:r w:rsidRPr="005E1EA7">
        <w:rPr>
          <w:rFonts w:ascii="Tahoma" w:eastAsia="EUAlbertina-Regular-Identity-H" w:hAnsi="Tahoma" w:cs="Tahoma"/>
          <w:b/>
          <w:bCs/>
          <w:sz w:val="20"/>
          <w:szCs w:val="20"/>
        </w:rPr>
        <w:t>MOLLUSQUES BIVALVES VIVANTS</w:t>
      </w:r>
    </w:p>
    <w:p w14:paraId="74000F06"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414D3F62" w14:textId="77777777" w:rsidR="003D69A8" w:rsidRPr="005E1EA7" w:rsidRDefault="003D69A8" w:rsidP="00420DDA">
      <w:pPr>
        <w:pStyle w:val="Paragraphedeliste"/>
        <w:numPr>
          <w:ilvl w:val="0"/>
          <w:numId w:val="166"/>
        </w:numPr>
        <w:autoSpaceDE w:val="0"/>
        <w:autoSpaceDN w:val="0"/>
        <w:adjustRightInd w:val="0"/>
        <w:ind w:left="284"/>
        <w:contextualSpacing/>
        <w:jc w:val="both"/>
        <w:rPr>
          <w:rFonts w:ascii="Tahoma" w:eastAsia="EUAlbertina-Regular-Identity-H" w:hAnsi="Tahoma" w:cs="Tahoma"/>
          <w:sz w:val="20"/>
          <w:szCs w:val="20"/>
        </w:rPr>
      </w:pPr>
      <w:r w:rsidRPr="005E1EA7">
        <w:rPr>
          <w:rFonts w:ascii="Tahoma" w:eastAsia="EUAlbertina-Regular-Identity-H" w:hAnsi="Tahoma" w:cs="Tahoma"/>
          <w:sz w:val="20"/>
          <w:szCs w:val="20"/>
        </w:rPr>
        <w:t>La présente annexe s’applique aux mollusques bivalves vivants.</w:t>
      </w:r>
    </w:p>
    <w:p w14:paraId="4B856326"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57398CC2" w14:textId="77777777" w:rsidR="003D69A8" w:rsidRPr="005E1EA7" w:rsidRDefault="003D69A8" w:rsidP="00420DDA">
      <w:pPr>
        <w:pStyle w:val="Paragraphedeliste"/>
        <w:numPr>
          <w:ilvl w:val="0"/>
          <w:numId w:val="166"/>
        </w:numPr>
        <w:autoSpaceDE w:val="0"/>
        <w:autoSpaceDN w:val="0"/>
        <w:adjustRightInd w:val="0"/>
        <w:ind w:left="284"/>
        <w:contextualSpacing/>
        <w:jc w:val="both"/>
        <w:rPr>
          <w:rFonts w:ascii="Tahoma" w:eastAsia="EUAlbertina-Regular-Identity-H" w:hAnsi="Tahoma" w:cs="Tahoma"/>
          <w:sz w:val="20"/>
          <w:szCs w:val="20"/>
        </w:rPr>
      </w:pPr>
      <w:r w:rsidRPr="005E1EA7">
        <w:rPr>
          <w:rFonts w:ascii="Tahoma" w:eastAsia="EUAlbertina-Regular-Identity-H" w:hAnsi="Tahoma" w:cs="Tahoma"/>
          <w:sz w:val="20"/>
          <w:szCs w:val="20"/>
        </w:rPr>
        <w:t>Les chapitres I à VII s’appliquent aux animaux récoltés dans les zones de production que l’autorité compétente a classées conformément aux dispositions du présent arrêté.</w:t>
      </w:r>
    </w:p>
    <w:p w14:paraId="55D9D427"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 xml:space="preserve"> </w:t>
      </w:r>
    </w:p>
    <w:p w14:paraId="20ACC8AB" w14:textId="77777777" w:rsidR="003D69A8" w:rsidRPr="005E1EA7" w:rsidRDefault="003D69A8" w:rsidP="00420DDA">
      <w:pPr>
        <w:pStyle w:val="Paragraphedeliste"/>
        <w:numPr>
          <w:ilvl w:val="0"/>
          <w:numId w:val="166"/>
        </w:numPr>
        <w:autoSpaceDE w:val="0"/>
        <w:autoSpaceDN w:val="0"/>
        <w:adjustRightInd w:val="0"/>
        <w:ind w:left="284"/>
        <w:contextualSpacing/>
        <w:jc w:val="both"/>
        <w:rPr>
          <w:rFonts w:ascii="Tahoma" w:eastAsia="EUAlbertina-Regular-Identity-H" w:hAnsi="Tahoma" w:cs="Tahoma"/>
          <w:sz w:val="20"/>
          <w:szCs w:val="20"/>
        </w:rPr>
      </w:pPr>
      <w:r w:rsidRPr="005E1EA7">
        <w:rPr>
          <w:rFonts w:ascii="Tahoma" w:eastAsia="EUAlbertina-Regular-Identity-H" w:hAnsi="Tahoma" w:cs="Tahoma"/>
          <w:sz w:val="20"/>
          <w:szCs w:val="20"/>
        </w:rPr>
        <w:t>Les chapitres V, VI, ainsi que le point 3 du chapitre VII s’appliquent au commerce de détail.</w:t>
      </w:r>
    </w:p>
    <w:p w14:paraId="1F9AFC33"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17C9ED39" w14:textId="77777777" w:rsidR="003D69A8" w:rsidRPr="005E1EA7" w:rsidRDefault="003D69A8" w:rsidP="003D69A8">
      <w:pPr>
        <w:autoSpaceDE w:val="0"/>
        <w:autoSpaceDN w:val="0"/>
        <w:adjustRightInd w:val="0"/>
        <w:jc w:val="center"/>
        <w:rPr>
          <w:rFonts w:ascii="Tahoma" w:eastAsia="EUAlbertina-Regular-Identity-H" w:hAnsi="Tahoma" w:cs="Tahoma"/>
          <w:b/>
          <w:bCs/>
          <w:sz w:val="20"/>
          <w:szCs w:val="20"/>
        </w:rPr>
      </w:pPr>
      <w:r w:rsidRPr="005E1EA7">
        <w:rPr>
          <w:rFonts w:ascii="Tahoma" w:eastAsia="EUAlbertina-Regular-Identity-H" w:hAnsi="Tahoma" w:cs="Tahoma"/>
          <w:b/>
          <w:bCs/>
          <w:sz w:val="20"/>
          <w:szCs w:val="20"/>
        </w:rPr>
        <w:t>CHAPITRE I - EXIGENCES GENERALES REGISSANT LA MISE SUR LE MARCHE DES MOLLUSQUES BIVALVES VIVANTS</w:t>
      </w:r>
    </w:p>
    <w:p w14:paraId="389E5C21"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2E412F36"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1. Les mollusques bivalves vivants ne peuvent être mis sur le marché en vue de la vente au détail autrement que par un centre d’expédition, où une marque d’identification doit être appliquée conformément au chapitre VII.</w:t>
      </w:r>
    </w:p>
    <w:p w14:paraId="15BD0090"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0ECB54E7"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2. Les exploitants de mollusques bivalves ne peuvent accepter de lots de mollusques bivalves vivants que si les exigences figurant aux paragraphes 3 à 7 en matière de documentation sont respectées.</w:t>
      </w:r>
    </w:p>
    <w:p w14:paraId="2984EB6D"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6B486F57"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3. Lorsqu’un exploitant de mollusques bivalves transfère un lot de mollusques bivalves vivants entre des établissements, un document d’enregistrement doit accompagner le lot jusqu’à l’arrivée du lot au centre d’expédition ou à l’établissement de traitement.</w:t>
      </w:r>
    </w:p>
    <w:p w14:paraId="54E44607"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545F6A43"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4. Ce document d’enregistrement doit être rédigé dans au moins une langue officielle de l’État et comporter au moins les informations indiquées ci-après :</w:t>
      </w:r>
    </w:p>
    <w:p w14:paraId="6B7C5F82"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1D68EFE5"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a) dans le cas de lots de mollusques bivalves vivants expédiés depuis la région de production, le document d’enregistrement doit comporter au moins les informations suivantes :</w:t>
      </w:r>
    </w:p>
    <w:p w14:paraId="5DC7ECCC"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59D42852" w14:textId="77777777" w:rsidR="003D69A8" w:rsidRPr="005E1EA7" w:rsidRDefault="003D69A8" w:rsidP="003D69A8">
      <w:pPr>
        <w:autoSpaceDE w:val="0"/>
        <w:autoSpaceDN w:val="0"/>
        <w:adjustRightInd w:val="0"/>
        <w:ind w:firstLine="708"/>
        <w:jc w:val="both"/>
        <w:rPr>
          <w:rFonts w:ascii="Tahoma" w:eastAsia="EUAlbertina-Regular-Identity-H" w:hAnsi="Tahoma" w:cs="Tahoma"/>
          <w:sz w:val="20"/>
          <w:szCs w:val="20"/>
        </w:rPr>
      </w:pPr>
      <w:r w:rsidRPr="005E1EA7">
        <w:rPr>
          <w:rFonts w:ascii="Tahoma" w:eastAsia="EUAlbertina-Regular-Identity-H" w:hAnsi="Tahoma" w:cs="Tahoma"/>
          <w:sz w:val="20"/>
          <w:szCs w:val="20"/>
        </w:rPr>
        <w:t>i) l’identité et l’adresse du producteur ;</w:t>
      </w:r>
    </w:p>
    <w:p w14:paraId="3B1BC64E" w14:textId="77777777" w:rsidR="003D69A8" w:rsidRPr="005E1EA7" w:rsidRDefault="003D69A8" w:rsidP="003D69A8">
      <w:pPr>
        <w:autoSpaceDE w:val="0"/>
        <w:autoSpaceDN w:val="0"/>
        <w:adjustRightInd w:val="0"/>
        <w:ind w:firstLine="708"/>
        <w:jc w:val="both"/>
        <w:rPr>
          <w:rFonts w:ascii="Tahoma" w:eastAsia="EUAlbertina-Regular-Identity-H" w:hAnsi="Tahoma" w:cs="Tahoma"/>
          <w:sz w:val="20"/>
          <w:szCs w:val="20"/>
        </w:rPr>
      </w:pPr>
      <w:r w:rsidRPr="005E1EA7">
        <w:rPr>
          <w:rFonts w:ascii="Tahoma" w:eastAsia="EUAlbertina-Regular-Identity-H" w:hAnsi="Tahoma" w:cs="Tahoma"/>
          <w:sz w:val="20"/>
          <w:szCs w:val="20"/>
        </w:rPr>
        <w:t>ii) la date de la récolte ;</w:t>
      </w:r>
    </w:p>
    <w:p w14:paraId="3393631F" w14:textId="77777777" w:rsidR="003D69A8" w:rsidRPr="005E1EA7" w:rsidRDefault="003D69A8" w:rsidP="003D69A8">
      <w:pPr>
        <w:autoSpaceDE w:val="0"/>
        <w:autoSpaceDN w:val="0"/>
        <w:adjustRightInd w:val="0"/>
        <w:ind w:left="708"/>
        <w:jc w:val="both"/>
        <w:rPr>
          <w:rFonts w:ascii="Tahoma" w:eastAsia="EUAlbertina-Regular-Identity-H" w:hAnsi="Tahoma" w:cs="Tahoma"/>
          <w:sz w:val="20"/>
          <w:szCs w:val="20"/>
        </w:rPr>
      </w:pPr>
      <w:r w:rsidRPr="005E1EA7">
        <w:rPr>
          <w:rFonts w:ascii="Tahoma" w:eastAsia="EUAlbertina-Regular-Identity-H" w:hAnsi="Tahoma" w:cs="Tahoma"/>
          <w:sz w:val="20"/>
          <w:szCs w:val="20"/>
        </w:rPr>
        <w:t>iii) la localisation de la zone de production et son numéro de code ;</w:t>
      </w:r>
    </w:p>
    <w:p w14:paraId="384E6C5C" w14:textId="77777777" w:rsidR="003D69A8" w:rsidRPr="005E1EA7" w:rsidRDefault="003D69A8" w:rsidP="003D69A8">
      <w:pPr>
        <w:autoSpaceDE w:val="0"/>
        <w:autoSpaceDN w:val="0"/>
        <w:adjustRightInd w:val="0"/>
        <w:ind w:firstLine="708"/>
        <w:jc w:val="both"/>
        <w:rPr>
          <w:rFonts w:ascii="Tahoma" w:eastAsia="EUAlbertina-Regular-Identity-H" w:hAnsi="Tahoma" w:cs="Tahoma"/>
          <w:sz w:val="20"/>
          <w:szCs w:val="20"/>
        </w:rPr>
      </w:pPr>
      <w:r w:rsidRPr="005E1EA7">
        <w:rPr>
          <w:rFonts w:ascii="Tahoma" w:eastAsia="EUAlbertina-Regular-Identity-H" w:hAnsi="Tahoma" w:cs="Tahoma"/>
          <w:sz w:val="20"/>
          <w:szCs w:val="20"/>
        </w:rPr>
        <w:t>iv) le statut sanitaire de la zone de production ;</w:t>
      </w:r>
    </w:p>
    <w:p w14:paraId="339FE5EE" w14:textId="77777777" w:rsidR="003D69A8" w:rsidRPr="005E1EA7" w:rsidRDefault="003D69A8" w:rsidP="003D69A8">
      <w:pPr>
        <w:autoSpaceDE w:val="0"/>
        <w:autoSpaceDN w:val="0"/>
        <w:adjustRightInd w:val="0"/>
        <w:ind w:firstLine="708"/>
        <w:jc w:val="both"/>
        <w:rPr>
          <w:rFonts w:ascii="Tahoma" w:eastAsia="EUAlbertina-Regular-Identity-H" w:hAnsi="Tahoma" w:cs="Tahoma"/>
          <w:sz w:val="20"/>
          <w:szCs w:val="20"/>
        </w:rPr>
      </w:pPr>
      <w:r w:rsidRPr="005E1EA7">
        <w:rPr>
          <w:rFonts w:ascii="Tahoma" w:eastAsia="EUAlbertina-Regular-Identity-H" w:hAnsi="Tahoma" w:cs="Tahoma"/>
          <w:sz w:val="20"/>
          <w:szCs w:val="20"/>
        </w:rPr>
        <w:t>v) l’espèce de coquillage et la quantité ;</w:t>
      </w:r>
    </w:p>
    <w:p w14:paraId="1844B381" w14:textId="77777777" w:rsidR="003D69A8" w:rsidRPr="005E1EA7" w:rsidRDefault="003D69A8" w:rsidP="003D69A8">
      <w:pPr>
        <w:autoSpaceDE w:val="0"/>
        <w:autoSpaceDN w:val="0"/>
        <w:adjustRightInd w:val="0"/>
        <w:ind w:firstLine="708"/>
        <w:jc w:val="both"/>
        <w:rPr>
          <w:rFonts w:ascii="Tahoma" w:eastAsia="EUAlbertina-Regular-Identity-H" w:hAnsi="Tahoma" w:cs="Tahoma"/>
          <w:sz w:val="20"/>
          <w:szCs w:val="20"/>
        </w:rPr>
      </w:pPr>
      <w:r w:rsidRPr="005E1EA7">
        <w:rPr>
          <w:rFonts w:ascii="Tahoma" w:eastAsia="EUAlbertina-Regular-Identity-H" w:hAnsi="Tahoma" w:cs="Tahoma"/>
          <w:sz w:val="20"/>
          <w:szCs w:val="20"/>
        </w:rPr>
        <w:t xml:space="preserve">vi) la destination du lot. </w:t>
      </w:r>
    </w:p>
    <w:p w14:paraId="1EA71FC0"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0C79D1F5"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5. Les exploitants de mollusques bivalves qui expédient des lots de mollusques bivalves vivants doivent remplir de manière lisible et indélébile les sections pertinentes du document d’enregistrement. Les exploitants de mollusques bivalves qui reçoivent des lots doivent apposer sur le document un cachet indiquant la date de réception du lot ou enregistrer la date de réception d’une autre manière.</w:t>
      </w:r>
    </w:p>
    <w:p w14:paraId="3878693D"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7E6A1CB4"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6. Les exploitants de mollusques bivalves doivent conserver un exemplaire du document d’enregistrement ayant trait à chaque lot expédié et reçu, pendant au moins douze mois après l’expédition ou la réception (ou pendant une période plus longue éventuellement fixée par l’autorité compétente).</w:t>
      </w:r>
    </w:p>
    <w:p w14:paraId="47DC1389"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60E6490E"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7. Toutefois, si le personnel récoltant les mollusques bivalves vivants exploite également le centre d’expédition ou le centre de purification qui reçoit les mollusques bivalves vivants et si une autorité compétente unique exerce une surveillance sur tous les établissements concernés : les documents d’enregistrement ne sont pas nécessaires, si ladite autorité compétente consent qu’il en soit ainsi.</w:t>
      </w:r>
    </w:p>
    <w:p w14:paraId="7D8D9990"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3C4936B4" w14:textId="77777777" w:rsidR="003D69A8" w:rsidRPr="005E1EA7" w:rsidRDefault="003D69A8" w:rsidP="003D69A8">
      <w:pPr>
        <w:autoSpaceDE w:val="0"/>
        <w:autoSpaceDN w:val="0"/>
        <w:adjustRightInd w:val="0"/>
        <w:jc w:val="center"/>
        <w:rPr>
          <w:rFonts w:ascii="Tahoma" w:eastAsia="EUAlbertina-Regular-Identity-H" w:hAnsi="Tahoma" w:cs="Tahoma"/>
          <w:b/>
          <w:bCs/>
          <w:sz w:val="20"/>
          <w:szCs w:val="20"/>
        </w:rPr>
      </w:pPr>
      <w:r w:rsidRPr="005E1EA7">
        <w:rPr>
          <w:rFonts w:ascii="Tahoma" w:eastAsia="EUAlbertina-Regular-Identity-H" w:hAnsi="Tahoma" w:cs="Tahoma"/>
          <w:b/>
          <w:bCs/>
          <w:sz w:val="20"/>
          <w:szCs w:val="20"/>
        </w:rPr>
        <w:t>CHAPITRE II - EXIGENCES EN MATIERE D’HYGIENE APPLICABLES A LA PRODUCTION ET LA RECOLTE DE MOLLUSQUES BIVALVES VIVANTS</w:t>
      </w:r>
    </w:p>
    <w:p w14:paraId="5FC467F0" w14:textId="77777777" w:rsidR="003D69A8" w:rsidRPr="005E1EA7" w:rsidRDefault="003D69A8" w:rsidP="003D69A8">
      <w:pPr>
        <w:autoSpaceDE w:val="0"/>
        <w:autoSpaceDN w:val="0"/>
        <w:adjustRightInd w:val="0"/>
        <w:rPr>
          <w:rFonts w:ascii="Tahoma" w:eastAsia="EUAlbertina-Regular-Identity-H" w:hAnsi="Tahoma" w:cs="Tahoma"/>
          <w:sz w:val="20"/>
          <w:szCs w:val="20"/>
        </w:rPr>
      </w:pPr>
    </w:p>
    <w:p w14:paraId="0CD44625" w14:textId="77777777" w:rsidR="003D69A8" w:rsidRPr="005E1EA7" w:rsidRDefault="003D69A8" w:rsidP="003D69A8">
      <w:pPr>
        <w:autoSpaceDE w:val="0"/>
        <w:autoSpaceDN w:val="0"/>
        <w:adjustRightInd w:val="0"/>
        <w:rPr>
          <w:rFonts w:ascii="Tahoma" w:eastAsia="EUAlbertina-Regular-Identity-H" w:hAnsi="Tahoma" w:cs="Tahoma"/>
          <w:b/>
          <w:bCs/>
          <w:sz w:val="20"/>
          <w:szCs w:val="20"/>
        </w:rPr>
      </w:pPr>
      <w:r w:rsidRPr="005E1EA7">
        <w:rPr>
          <w:rFonts w:ascii="Tahoma" w:eastAsia="EUAlbertina-Regular-Identity-H" w:hAnsi="Tahoma" w:cs="Tahoma"/>
          <w:b/>
          <w:bCs/>
          <w:sz w:val="20"/>
          <w:szCs w:val="20"/>
        </w:rPr>
        <w:t>A. EXIGENCES APPLICABLES AUX ZONES DE PRODUCTION</w:t>
      </w:r>
    </w:p>
    <w:p w14:paraId="4693B8C1"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2C23B09C"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lastRenderedPageBreak/>
        <w:t>1. Les producteurs ne peuvent récolter des mollusques bivalves vivants que dans les zones de production dont la situation et les limites sont fixées et que l’autorité compétente a classée, le cas échéant, en coopération avec les exploitants de mollusques bivalves en zone A, B ou C conformément aux dispositions du présent arrêté.</w:t>
      </w:r>
    </w:p>
    <w:p w14:paraId="703B2B1C"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28F1B43B"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2. Les exploitants de mollusques bivalves peuvent mettre sur le marché, pour la consommation humaine directe, des mollusques bivalves vivants provenant d’une zone de production de la classe A s’ils répondent aux normes sanitaires fixées au chapitre V.</w:t>
      </w:r>
    </w:p>
    <w:p w14:paraId="5B9BF3DA"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08E6E9C9"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3. Les exploitants de mollusques bivalves ne peuvent mettre sur le marché, pour la consommation humaine, des mollusques bivalves vivants provenant d’une zone de production de la classe B qu’après que ceux-ci aient été traités dans un centre de purification.</w:t>
      </w:r>
    </w:p>
    <w:p w14:paraId="1DA3739A"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22969B89"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4. Les exploitants de mollusques bivalves ne peuvent mettre sur le marché, pour la consommation humaine, des mollusques bivalves vivants provenant d’une zone de production de la classe C qu’après que ceux-ci ont été traités pour l’élimination des micro-organismes pathogènes dans les conditions précisées au point 5.</w:t>
      </w:r>
    </w:p>
    <w:p w14:paraId="06D9A047"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65E67E89"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5. Après leur purification, les mollusques bivalves vivants provenant de zones de production classe B et C doivent satisfaire à toutes les exigences du chapitre V. Toutefois, les mollusques bivalves vivants issus de ces zones, qui n’ont pas été soumis à un traitement de purification, peuvent être envoyés dans un établissement pour y subir un traitement destiné à éliminer les micro-organismes pathogènes (le cas échéant, après retrait du sable, de la vase ou du mucus dans le même établissement ou dans un autre). Les méthodes de traitement autorisées sont les suivantes :</w:t>
      </w:r>
    </w:p>
    <w:p w14:paraId="56913731"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1BFF4272" w14:textId="77777777" w:rsidR="003D69A8" w:rsidRPr="005E1EA7" w:rsidRDefault="003D69A8" w:rsidP="003D69A8">
      <w:pPr>
        <w:autoSpaceDE w:val="0"/>
        <w:autoSpaceDN w:val="0"/>
        <w:adjustRightInd w:val="0"/>
        <w:ind w:left="360" w:hanging="180"/>
        <w:jc w:val="both"/>
        <w:rPr>
          <w:rFonts w:ascii="Tahoma" w:eastAsia="EUAlbertina-Regular-Identity-H" w:hAnsi="Tahoma" w:cs="Tahoma"/>
          <w:sz w:val="20"/>
          <w:szCs w:val="20"/>
        </w:rPr>
      </w:pPr>
      <w:r w:rsidRPr="005E1EA7">
        <w:rPr>
          <w:rFonts w:ascii="Tahoma" w:eastAsia="EUAlbertina-Regular-Identity-H" w:hAnsi="Tahoma" w:cs="Tahoma"/>
          <w:sz w:val="20"/>
          <w:szCs w:val="20"/>
        </w:rPr>
        <w:t>a) stérilisation dans des récipients hermétiquement fermés ;</w:t>
      </w:r>
    </w:p>
    <w:p w14:paraId="2AA4DB9E"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118A0BD3" w14:textId="77777777" w:rsidR="003D69A8" w:rsidRPr="005E1EA7" w:rsidRDefault="003D69A8" w:rsidP="003D69A8">
      <w:pPr>
        <w:autoSpaceDE w:val="0"/>
        <w:autoSpaceDN w:val="0"/>
        <w:adjustRightInd w:val="0"/>
        <w:ind w:firstLine="180"/>
        <w:jc w:val="both"/>
        <w:rPr>
          <w:rFonts w:ascii="Tahoma" w:eastAsia="EUAlbertina-Regular-Identity-H" w:hAnsi="Tahoma" w:cs="Tahoma"/>
          <w:sz w:val="20"/>
          <w:szCs w:val="20"/>
        </w:rPr>
      </w:pPr>
      <w:r w:rsidRPr="005E1EA7">
        <w:rPr>
          <w:rFonts w:ascii="Tahoma" w:eastAsia="EUAlbertina-Regular-Identity-H" w:hAnsi="Tahoma" w:cs="Tahoma"/>
          <w:sz w:val="20"/>
          <w:szCs w:val="20"/>
        </w:rPr>
        <w:t>b) traitements par la chaleur comprenant :</w:t>
      </w:r>
    </w:p>
    <w:p w14:paraId="77F465CE"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75F28CF7" w14:textId="77777777" w:rsidR="003D69A8" w:rsidRPr="005E1EA7" w:rsidRDefault="003D69A8" w:rsidP="003D69A8">
      <w:pPr>
        <w:autoSpaceDE w:val="0"/>
        <w:autoSpaceDN w:val="0"/>
        <w:adjustRightInd w:val="0"/>
        <w:ind w:left="567"/>
        <w:jc w:val="both"/>
        <w:rPr>
          <w:rFonts w:ascii="Tahoma" w:eastAsia="EUAlbertina-Regular-Identity-H" w:hAnsi="Tahoma" w:cs="Tahoma"/>
          <w:sz w:val="20"/>
          <w:szCs w:val="20"/>
        </w:rPr>
      </w:pPr>
      <w:r w:rsidRPr="005E1EA7">
        <w:rPr>
          <w:rFonts w:ascii="Tahoma" w:eastAsia="EUAlbertina-Regular-Identity-H" w:hAnsi="Tahoma" w:cs="Tahoma"/>
          <w:sz w:val="20"/>
          <w:szCs w:val="20"/>
        </w:rPr>
        <w:t>i) l’immersion dans l’eau bouillante pendant le temps nécessaire pour élever la température interne de la chair des mollusques au minimum à 90°C et le maintien de cette température interne minimale pendant une durée égale ou supérieure à 90 secondes ;</w:t>
      </w:r>
    </w:p>
    <w:p w14:paraId="7516C69B" w14:textId="77777777" w:rsidR="003D69A8" w:rsidRPr="005E1EA7" w:rsidRDefault="003D69A8" w:rsidP="003D69A8">
      <w:pPr>
        <w:autoSpaceDE w:val="0"/>
        <w:autoSpaceDN w:val="0"/>
        <w:adjustRightInd w:val="0"/>
        <w:ind w:left="567"/>
        <w:jc w:val="both"/>
        <w:rPr>
          <w:rFonts w:ascii="Tahoma" w:eastAsia="EUAlbertina-Regular-Identity-H" w:hAnsi="Tahoma" w:cs="Tahoma"/>
          <w:sz w:val="20"/>
          <w:szCs w:val="20"/>
        </w:rPr>
      </w:pPr>
    </w:p>
    <w:p w14:paraId="05CE1149" w14:textId="77777777" w:rsidR="003D69A8" w:rsidRPr="005E1EA7" w:rsidRDefault="003D69A8" w:rsidP="003D69A8">
      <w:pPr>
        <w:autoSpaceDE w:val="0"/>
        <w:autoSpaceDN w:val="0"/>
        <w:adjustRightInd w:val="0"/>
        <w:ind w:left="567"/>
        <w:jc w:val="both"/>
        <w:rPr>
          <w:rFonts w:ascii="Tahoma" w:eastAsia="EUAlbertina-Regular-Identity-H" w:hAnsi="Tahoma" w:cs="Tahoma"/>
          <w:sz w:val="20"/>
          <w:szCs w:val="20"/>
        </w:rPr>
      </w:pPr>
      <w:r w:rsidRPr="005E1EA7">
        <w:rPr>
          <w:rFonts w:ascii="Tahoma" w:eastAsia="EUAlbertina-Regular-Identity-H" w:hAnsi="Tahoma" w:cs="Tahoma"/>
          <w:sz w:val="20"/>
          <w:szCs w:val="20"/>
        </w:rPr>
        <w:t>ii) la cuisson pendant 3 à 5 minutes dans une enceinte fermée où la température est comprise entre 120 et 160°C et où la pression est comprise entre 2 et 5 kg/cm</w:t>
      </w:r>
      <w:r w:rsidRPr="005E1EA7">
        <w:rPr>
          <w:rFonts w:ascii="Tahoma" w:eastAsia="EUAlbertina-Regular-Identity-H" w:hAnsi="Tahoma" w:cs="Tahoma"/>
          <w:sz w:val="20"/>
          <w:szCs w:val="20"/>
          <w:vertAlign w:val="superscript"/>
        </w:rPr>
        <w:t>2</w:t>
      </w:r>
      <w:r w:rsidRPr="005E1EA7">
        <w:rPr>
          <w:rFonts w:ascii="Tahoma" w:eastAsia="EUAlbertina-Regular-Identity-H" w:hAnsi="Tahoma" w:cs="Tahoma"/>
          <w:sz w:val="20"/>
          <w:szCs w:val="20"/>
        </w:rPr>
        <w:t>, suivie d’un décoquillage et d’une congélation de la chair à - 20 °C à cœur ;</w:t>
      </w:r>
    </w:p>
    <w:p w14:paraId="4D79E36D" w14:textId="77777777" w:rsidR="003D69A8" w:rsidRPr="005E1EA7" w:rsidRDefault="003D69A8" w:rsidP="003D69A8">
      <w:pPr>
        <w:autoSpaceDE w:val="0"/>
        <w:autoSpaceDN w:val="0"/>
        <w:adjustRightInd w:val="0"/>
        <w:ind w:left="567"/>
        <w:jc w:val="both"/>
        <w:rPr>
          <w:rFonts w:ascii="Tahoma" w:eastAsia="EUAlbertina-Regular-Identity-H" w:hAnsi="Tahoma" w:cs="Tahoma"/>
          <w:sz w:val="20"/>
          <w:szCs w:val="20"/>
        </w:rPr>
      </w:pPr>
    </w:p>
    <w:p w14:paraId="5816B87E" w14:textId="77777777" w:rsidR="003D69A8" w:rsidRPr="005E1EA7" w:rsidRDefault="003D69A8" w:rsidP="003D69A8">
      <w:pPr>
        <w:autoSpaceDE w:val="0"/>
        <w:autoSpaceDN w:val="0"/>
        <w:adjustRightInd w:val="0"/>
        <w:ind w:left="567"/>
        <w:jc w:val="both"/>
        <w:rPr>
          <w:rFonts w:ascii="Tahoma" w:eastAsia="EUAlbertina-Regular-Identity-H" w:hAnsi="Tahoma" w:cs="Tahoma"/>
          <w:sz w:val="20"/>
          <w:szCs w:val="20"/>
        </w:rPr>
      </w:pPr>
      <w:r w:rsidRPr="005E1EA7">
        <w:rPr>
          <w:rFonts w:ascii="Tahoma" w:eastAsia="EUAlbertina-Regular-Identity-H" w:hAnsi="Tahoma" w:cs="Tahoma"/>
          <w:sz w:val="20"/>
          <w:szCs w:val="20"/>
        </w:rPr>
        <w:t>iii) la cuisson par la vapeur sous pression dans une enceinte fermée où au moins les exigences de temps et de température interne de la chair des mollusques visées au point iv) sont respectées. Une méthodologie validée doit être utilisée. Des procédures fondées sur les principes HACCP doivent être mises en place pour vérifier l’homogénéité de la distribution de la chaleur.</w:t>
      </w:r>
    </w:p>
    <w:p w14:paraId="7AB0A930"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66579A76"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6. Les exploitants de mollusques bivalves ne doivent pas produire de mollusques bivalves vivants ou en récolter dans des zones que l’autorité compétente n’a pas classées, ou qui sont impropres pour des raisons sanitaires. Ils doivent tenir compte des informations pertinentes disponibles sur ces zones de production, y compris les informations obtenues par autocontrôle et auprès de l’autorité compétente, pour déterminer le traitement approprié à appliquer aux lots récoltés.</w:t>
      </w:r>
    </w:p>
    <w:p w14:paraId="49CD7CA7"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6B340010" w14:textId="77777777" w:rsidR="003D69A8" w:rsidRPr="005E1EA7" w:rsidRDefault="003D69A8" w:rsidP="003D69A8">
      <w:pPr>
        <w:autoSpaceDE w:val="0"/>
        <w:autoSpaceDN w:val="0"/>
        <w:adjustRightInd w:val="0"/>
        <w:jc w:val="both"/>
        <w:rPr>
          <w:rFonts w:ascii="Tahoma" w:eastAsia="EUAlbertina-Regular-Identity-H" w:hAnsi="Tahoma" w:cs="Tahoma"/>
          <w:b/>
          <w:bCs/>
          <w:sz w:val="20"/>
          <w:szCs w:val="20"/>
        </w:rPr>
      </w:pPr>
      <w:r w:rsidRPr="005E1EA7">
        <w:rPr>
          <w:rFonts w:ascii="Tahoma" w:eastAsia="EUAlbertina-Regular-Identity-H" w:hAnsi="Tahoma" w:cs="Tahoma"/>
          <w:b/>
          <w:bCs/>
          <w:sz w:val="20"/>
          <w:szCs w:val="20"/>
        </w:rPr>
        <w:t>B. EXIGENCES APPLICABLES A LA RECOLTE ET A LA MANIPULATION APRES LA RECOLTE</w:t>
      </w:r>
    </w:p>
    <w:p w14:paraId="44F34725"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43FD2E7B"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Les exploitants de mollusques bivalves qui récoltent des mollusques bivalves vivants ou qui les manipulent aussitôt après la récolte doivent se conformer aux conditions visées ci-après :</w:t>
      </w:r>
    </w:p>
    <w:p w14:paraId="62ED0EEE"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3B62B008"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1. Les techniques de récolte et les manipulations ultérieures ne doivent pas entraîner de contamination supplémentaire ni de dommages excessifs aux coquilles ou tissus des mollusques bivalves vivants et ne doivent pas causer de changements affectant notablement leur aptitude au traitement par purification ou transformation. Les exploitants de mollusques bivalves doivent notamment :</w:t>
      </w:r>
    </w:p>
    <w:p w14:paraId="5407E824"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4E61809F" w14:textId="77777777" w:rsidR="003D69A8" w:rsidRPr="005E1EA7" w:rsidRDefault="003D69A8" w:rsidP="003D69A8">
      <w:pPr>
        <w:autoSpaceDE w:val="0"/>
        <w:autoSpaceDN w:val="0"/>
        <w:adjustRightInd w:val="0"/>
        <w:ind w:left="720" w:hanging="360"/>
        <w:jc w:val="both"/>
        <w:rPr>
          <w:rFonts w:ascii="Tahoma" w:eastAsia="EUAlbertina-Regular-Identity-H" w:hAnsi="Tahoma" w:cs="Tahoma"/>
          <w:sz w:val="20"/>
          <w:szCs w:val="20"/>
        </w:rPr>
      </w:pPr>
      <w:r w:rsidRPr="005E1EA7">
        <w:rPr>
          <w:rFonts w:ascii="Tahoma" w:eastAsia="EUAlbertina-Regular-Identity-H" w:hAnsi="Tahoma" w:cs="Tahoma"/>
          <w:sz w:val="20"/>
          <w:szCs w:val="20"/>
        </w:rPr>
        <w:lastRenderedPageBreak/>
        <w:t>a) protéger de manière appropriée les mollusques bivalves vivants contre l’écrasement, l’abrasion et les vibrations ;</w:t>
      </w:r>
    </w:p>
    <w:p w14:paraId="0D9041E9"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723D3B91" w14:textId="77777777" w:rsidR="003D69A8" w:rsidRPr="005E1EA7" w:rsidRDefault="003D69A8" w:rsidP="003D69A8">
      <w:pPr>
        <w:autoSpaceDE w:val="0"/>
        <w:autoSpaceDN w:val="0"/>
        <w:adjustRightInd w:val="0"/>
        <w:ind w:left="720" w:hanging="360"/>
        <w:jc w:val="both"/>
        <w:rPr>
          <w:rFonts w:ascii="Tahoma" w:eastAsia="EUAlbertina-Regular-Identity-H" w:hAnsi="Tahoma" w:cs="Tahoma"/>
          <w:sz w:val="20"/>
          <w:szCs w:val="20"/>
        </w:rPr>
      </w:pPr>
      <w:r w:rsidRPr="005E1EA7">
        <w:rPr>
          <w:rFonts w:ascii="Tahoma" w:eastAsia="EUAlbertina-Regular-Identity-H" w:hAnsi="Tahoma" w:cs="Tahoma"/>
          <w:sz w:val="20"/>
          <w:szCs w:val="20"/>
        </w:rPr>
        <w:t>b) ne pas exposer les mollusques bivalves vivants à des températures extrêmes ;</w:t>
      </w:r>
    </w:p>
    <w:p w14:paraId="32232529"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09555690" w14:textId="77777777" w:rsidR="003D69A8" w:rsidRPr="005E1EA7" w:rsidRDefault="003D69A8" w:rsidP="003D69A8">
      <w:pPr>
        <w:autoSpaceDE w:val="0"/>
        <w:autoSpaceDN w:val="0"/>
        <w:adjustRightInd w:val="0"/>
        <w:ind w:left="720" w:hanging="360"/>
        <w:jc w:val="both"/>
        <w:rPr>
          <w:rFonts w:ascii="Tahoma" w:eastAsia="EUAlbertina-Regular-Identity-H" w:hAnsi="Tahoma" w:cs="Tahoma"/>
          <w:sz w:val="20"/>
          <w:szCs w:val="20"/>
        </w:rPr>
      </w:pPr>
      <w:r w:rsidRPr="005E1EA7">
        <w:rPr>
          <w:rFonts w:ascii="Tahoma" w:eastAsia="EUAlbertina-Regular-Identity-H" w:hAnsi="Tahoma" w:cs="Tahoma"/>
          <w:sz w:val="20"/>
          <w:szCs w:val="20"/>
        </w:rPr>
        <w:t>c) ne pas réimmerger les mollusques bivalves vivants dans une eau susceptible de causer une contamination supplémentaire,</w:t>
      </w:r>
    </w:p>
    <w:p w14:paraId="29E67C6D"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0A401839" w14:textId="77777777" w:rsidR="003D69A8" w:rsidRPr="005E1EA7" w:rsidRDefault="003D69A8" w:rsidP="003D69A8">
      <w:pPr>
        <w:autoSpaceDE w:val="0"/>
        <w:autoSpaceDN w:val="0"/>
        <w:adjustRightInd w:val="0"/>
        <w:ind w:left="720" w:hanging="360"/>
        <w:jc w:val="both"/>
        <w:rPr>
          <w:rFonts w:ascii="Tahoma" w:eastAsia="EUAlbertina-Regular-Identity-H" w:hAnsi="Tahoma" w:cs="Tahoma"/>
          <w:sz w:val="20"/>
          <w:szCs w:val="20"/>
        </w:rPr>
      </w:pPr>
      <w:r w:rsidRPr="005E1EA7">
        <w:rPr>
          <w:rFonts w:ascii="Tahoma" w:eastAsia="EUAlbertina-Regular-Identity-H" w:hAnsi="Tahoma" w:cs="Tahoma"/>
          <w:sz w:val="20"/>
          <w:szCs w:val="20"/>
        </w:rPr>
        <w:t>d) utiliser uniquement des zones que l’autorité compétente a classées en zone A si le conditionnement est effectué à bord d’un navire de pêche sur le site de production ;</w:t>
      </w:r>
    </w:p>
    <w:p w14:paraId="57EE0624"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616E7F33"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2. Les moyens de transport doivent permettre un drainage satisfaisant et être équipés de façon à assurer les meilleures conditions possibles de survie des mollusques bivalves vivants et une protection efficace contre les contaminations.</w:t>
      </w:r>
    </w:p>
    <w:p w14:paraId="6712A57C"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51637DB5" w14:textId="77777777" w:rsidR="003D69A8" w:rsidRPr="005E1EA7" w:rsidRDefault="003D69A8" w:rsidP="003D69A8">
      <w:pPr>
        <w:autoSpaceDE w:val="0"/>
        <w:autoSpaceDN w:val="0"/>
        <w:adjustRightInd w:val="0"/>
        <w:jc w:val="center"/>
        <w:rPr>
          <w:rFonts w:ascii="Tahoma" w:eastAsia="EUAlbertina-Regular-Identity-H" w:hAnsi="Tahoma" w:cs="Tahoma"/>
          <w:b/>
          <w:bCs/>
          <w:sz w:val="20"/>
          <w:szCs w:val="20"/>
        </w:rPr>
      </w:pPr>
      <w:r w:rsidRPr="005E1EA7">
        <w:rPr>
          <w:rFonts w:ascii="Tahoma" w:eastAsia="EUAlbertina-Regular-Identity-H" w:hAnsi="Tahoma" w:cs="Tahoma"/>
          <w:b/>
          <w:bCs/>
          <w:sz w:val="20"/>
          <w:szCs w:val="20"/>
        </w:rPr>
        <w:t>CHAPITRE III - EXIGENCES STRUCTURELLES CONCERNANT LES CENTRES D’EXPEDITION ET DE PURIFICATION</w:t>
      </w:r>
    </w:p>
    <w:p w14:paraId="70DA65AA"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057B0D98"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1. Les lieux utilisés à terre ne doivent pas être susceptibles d’être inondés par des marées hautes ordinaires, le cas échéant, ou des écoulements provenant de zones environnantes.</w:t>
      </w:r>
    </w:p>
    <w:p w14:paraId="5CC523CF"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11FBA0C2"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2. Les bassins et réservoirs d’eau doivent répondre aux conditions suivantes :</w:t>
      </w:r>
    </w:p>
    <w:p w14:paraId="7D52DCCF"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6EEDE316" w14:textId="77777777" w:rsidR="003D69A8" w:rsidRPr="005E1EA7" w:rsidRDefault="003D69A8" w:rsidP="003D69A8">
      <w:pPr>
        <w:autoSpaceDE w:val="0"/>
        <w:autoSpaceDN w:val="0"/>
        <w:adjustRightInd w:val="0"/>
        <w:ind w:firstLine="360"/>
        <w:jc w:val="both"/>
        <w:rPr>
          <w:rFonts w:ascii="Tahoma" w:eastAsia="EUAlbertina-Regular-Identity-H" w:hAnsi="Tahoma" w:cs="Tahoma"/>
          <w:sz w:val="20"/>
          <w:szCs w:val="20"/>
        </w:rPr>
      </w:pPr>
      <w:r w:rsidRPr="005E1EA7">
        <w:rPr>
          <w:rFonts w:ascii="Tahoma" w:eastAsia="EUAlbertina-Regular-Identity-H" w:hAnsi="Tahoma" w:cs="Tahoma"/>
          <w:sz w:val="20"/>
          <w:szCs w:val="20"/>
        </w:rPr>
        <w:t>a) leurs revêtements intérieurs doivent être lisses, durs, imperméables et faciles à nettoyer ;</w:t>
      </w:r>
    </w:p>
    <w:p w14:paraId="372DC6CB" w14:textId="77777777" w:rsidR="003D69A8" w:rsidRPr="005E1EA7" w:rsidRDefault="003D69A8" w:rsidP="003D69A8">
      <w:pPr>
        <w:autoSpaceDE w:val="0"/>
        <w:autoSpaceDN w:val="0"/>
        <w:adjustRightInd w:val="0"/>
        <w:ind w:firstLine="360"/>
        <w:jc w:val="both"/>
        <w:rPr>
          <w:rFonts w:ascii="Tahoma" w:eastAsia="EUAlbertina-Regular-Identity-H" w:hAnsi="Tahoma" w:cs="Tahoma"/>
          <w:sz w:val="20"/>
          <w:szCs w:val="20"/>
        </w:rPr>
      </w:pPr>
    </w:p>
    <w:p w14:paraId="723020B3" w14:textId="77777777" w:rsidR="003D69A8" w:rsidRPr="005E1EA7" w:rsidRDefault="003D69A8" w:rsidP="003D69A8">
      <w:pPr>
        <w:autoSpaceDE w:val="0"/>
        <w:autoSpaceDN w:val="0"/>
        <w:adjustRightInd w:val="0"/>
        <w:ind w:firstLine="360"/>
        <w:jc w:val="both"/>
        <w:rPr>
          <w:rFonts w:ascii="Tahoma" w:eastAsia="EUAlbertina-Regular-Identity-H" w:hAnsi="Tahoma" w:cs="Tahoma"/>
          <w:sz w:val="20"/>
          <w:szCs w:val="20"/>
        </w:rPr>
      </w:pPr>
      <w:r w:rsidRPr="005E1EA7">
        <w:rPr>
          <w:rFonts w:ascii="Tahoma" w:eastAsia="EUAlbertina-Regular-Identity-H" w:hAnsi="Tahoma" w:cs="Tahoma"/>
          <w:sz w:val="20"/>
          <w:szCs w:val="20"/>
        </w:rPr>
        <w:t>b) ils doivent être construits de manière à permettre une vidange totale de l’eau ;</w:t>
      </w:r>
    </w:p>
    <w:p w14:paraId="3B6373C1"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715C8F33" w14:textId="77777777" w:rsidR="003D69A8" w:rsidRPr="005E1EA7" w:rsidRDefault="003D69A8" w:rsidP="003D69A8">
      <w:pPr>
        <w:autoSpaceDE w:val="0"/>
        <w:autoSpaceDN w:val="0"/>
        <w:adjustRightInd w:val="0"/>
        <w:ind w:left="720" w:hanging="360"/>
        <w:jc w:val="both"/>
        <w:rPr>
          <w:rFonts w:ascii="Tahoma" w:eastAsia="EUAlbertina-Regular-Identity-H" w:hAnsi="Tahoma" w:cs="Tahoma"/>
          <w:sz w:val="20"/>
          <w:szCs w:val="20"/>
        </w:rPr>
      </w:pPr>
      <w:r w:rsidRPr="005E1EA7">
        <w:rPr>
          <w:rFonts w:ascii="Tahoma" w:eastAsia="EUAlbertina-Regular-Identity-H" w:hAnsi="Tahoma" w:cs="Tahoma"/>
          <w:sz w:val="20"/>
          <w:szCs w:val="20"/>
        </w:rPr>
        <w:t>c) toute canalisation d’eau doit être située dans un endroit qui évite la contamination de l’eau.</w:t>
      </w:r>
    </w:p>
    <w:p w14:paraId="06EE7A70"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05DBC52D"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3. Les centres de purification doivent convenir au volume et au type de produits à purifier.</w:t>
      </w:r>
    </w:p>
    <w:p w14:paraId="0FDD4D1E" w14:textId="77777777" w:rsidR="003D69A8" w:rsidRPr="005E1EA7" w:rsidRDefault="003D69A8" w:rsidP="003D69A8">
      <w:pPr>
        <w:autoSpaceDE w:val="0"/>
        <w:autoSpaceDN w:val="0"/>
        <w:adjustRightInd w:val="0"/>
        <w:jc w:val="center"/>
        <w:rPr>
          <w:rFonts w:ascii="Tahoma" w:eastAsia="EUAlbertina-Regular-Identity-H" w:hAnsi="Tahoma" w:cs="Tahoma"/>
          <w:sz w:val="20"/>
          <w:szCs w:val="20"/>
        </w:rPr>
      </w:pPr>
    </w:p>
    <w:p w14:paraId="37E437D0" w14:textId="77777777" w:rsidR="003D69A8" w:rsidRPr="005E1EA7" w:rsidRDefault="003D69A8" w:rsidP="003D69A8">
      <w:pPr>
        <w:autoSpaceDE w:val="0"/>
        <w:autoSpaceDN w:val="0"/>
        <w:adjustRightInd w:val="0"/>
        <w:jc w:val="center"/>
        <w:rPr>
          <w:rFonts w:ascii="Tahoma" w:eastAsia="EUAlbertina-Regular-Identity-H" w:hAnsi="Tahoma" w:cs="Tahoma"/>
          <w:b/>
          <w:bCs/>
          <w:sz w:val="20"/>
          <w:szCs w:val="20"/>
        </w:rPr>
      </w:pPr>
      <w:r w:rsidRPr="005E1EA7">
        <w:rPr>
          <w:rFonts w:ascii="Tahoma" w:eastAsia="EUAlbertina-Regular-Identity-H" w:hAnsi="Tahoma" w:cs="Tahoma"/>
          <w:b/>
          <w:bCs/>
          <w:sz w:val="20"/>
          <w:szCs w:val="20"/>
        </w:rPr>
        <w:t>CHAPITRE IV - EXIGENCES EN MATIERE D’HYGIENE DANS LES CENTRES D’EXPEDITION ET DE PURIFICATION</w:t>
      </w:r>
    </w:p>
    <w:p w14:paraId="493DFE14" w14:textId="77777777" w:rsidR="003D69A8" w:rsidRPr="005E1EA7" w:rsidRDefault="003D69A8" w:rsidP="003D69A8">
      <w:pPr>
        <w:autoSpaceDE w:val="0"/>
        <w:autoSpaceDN w:val="0"/>
        <w:adjustRightInd w:val="0"/>
        <w:jc w:val="both"/>
        <w:rPr>
          <w:rFonts w:ascii="Tahoma" w:eastAsia="EUAlbertina-Regular-Identity-H" w:hAnsi="Tahoma" w:cs="Tahoma"/>
          <w:b/>
          <w:bCs/>
          <w:sz w:val="20"/>
          <w:szCs w:val="20"/>
        </w:rPr>
      </w:pPr>
    </w:p>
    <w:p w14:paraId="6A492519" w14:textId="77777777" w:rsidR="003D69A8" w:rsidRPr="005E1EA7" w:rsidRDefault="003D69A8" w:rsidP="003D69A8">
      <w:pPr>
        <w:autoSpaceDE w:val="0"/>
        <w:autoSpaceDN w:val="0"/>
        <w:adjustRightInd w:val="0"/>
        <w:jc w:val="both"/>
        <w:rPr>
          <w:rFonts w:ascii="Tahoma" w:eastAsia="EUAlbertina-Regular-Identity-H" w:hAnsi="Tahoma" w:cs="Tahoma"/>
          <w:b/>
          <w:bCs/>
          <w:sz w:val="20"/>
          <w:szCs w:val="20"/>
        </w:rPr>
      </w:pPr>
      <w:r w:rsidRPr="005E1EA7">
        <w:rPr>
          <w:rFonts w:ascii="Tahoma" w:eastAsia="EUAlbertina-Regular-Identity-H" w:hAnsi="Tahoma" w:cs="Tahoma"/>
          <w:b/>
          <w:bCs/>
          <w:sz w:val="20"/>
          <w:szCs w:val="20"/>
        </w:rPr>
        <w:t>A. EXIGENCES APPLICABLES AUX CENTRES DE PURIFICATION</w:t>
      </w:r>
    </w:p>
    <w:p w14:paraId="13211623"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775AFF53"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Les exploitants du secteur des mollusques bivalves qui purifient les mollusques bivalves vivants doivent veiller à se conformer aux obligations visées ci-après :</w:t>
      </w:r>
    </w:p>
    <w:p w14:paraId="7901FF58"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5CADDE42"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1. avant le début de la purification, les mollusques bivalves vivants doivent être débarrassés de la vase et des détritus par lavage à l’eau propre ;</w:t>
      </w:r>
    </w:p>
    <w:p w14:paraId="15347D98"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19C2EE1D"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2. le fonctionnement du système de purification doit permettre que les mollusques bivalves vivants retrouvent rapidement et maintiennent leur activité d’alimentation par filtration, éliminent la contamination résiduaire, ne soient pas recontaminés et soient capables de rester en vie dans de bonnes conditions après purification en vue du conditionnement, de l’entreposage et du transport avant leur mise sur le marché ;</w:t>
      </w:r>
    </w:p>
    <w:p w14:paraId="6635835C"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2DFD3C6F"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 xml:space="preserve">3. la quantité de mollusques bivalves vivants à purifier ne doit pas dépasser la capacité du centre de purification. Les mollusques bivalves vivants doivent être soumis à une purification continue pendant une période suffisante pour être en conformité avec les normes sanitaires microbiologiques et biotoxines marines définies par la réglementation fixant les </w:t>
      </w:r>
      <w:r w:rsidRPr="005E1EA7">
        <w:rPr>
          <w:rFonts w:ascii="Tahoma" w:hAnsi="Tahoma" w:cs="Tahoma"/>
          <w:bCs/>
          <w:sz w:val="20"/>
          <w:szCs w:val="20"/>
        </w:rPr>
        <w:t xml:space="preserve">critères microbiologiques, chimiques </w:t>
      </w:r>
      <w:r w:rsidRPr="005E1EA7">
        <w:rPr>
          <w:rFonts w:ascii="Tahoma" w:eastAsia="EUAlbertina-Regular-Identity-H" w:hAnsi="Tahoma" w:cs="Tahoma"/>
          <w:bCs/>
          <w:sz w:val="20"/>
          <w:szCs w:val="20"/>
        </w:rPr>
        <w:t xml:space="preserve">et biotoxines marines </w:t>
      </w:r>
      <w:r w:rsidRPr="005E1EA7">
        <w:rPr>
          <w:rFonts w:ascii="Tahoma" w:hAnsi="Tahoma" w:cs="Tahoma"/>
          <w:bCs/>
          <w:sz w:val="20"/>
          <w:szCs w:val="20"/>
        </w:rPr>
        <w:t>applicables aux mollusques bivalves vivants et aux produits de la pêche</w:t>
      </w:r>
      <w:r w:rsidRPr="005E1EA7">
        <w:rPr>
          <w:rFonts w:ascii="Tahoma" w:eastAsia="EUAlbertina-Regular-Identity-H" w:hAnsi="Tahoma" w:cs="Tahoma"/>
          <w:sz w:val="20"/>
          <w:szCs w:val="20"/>
        </w:rPr>
        <w:t xml:space="preserve"> ;</w:t>
      </w:r>
    </w:p>
    <w:p w14:paraId="67044A42"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2AA1C14F"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4. au cas où un bassin de purification contient plusieurs espèces de mollusques bivalves, la durée du traitement doit être établie sur la base du temps requis par l’espèce exigeant la plus longue durée de purification ;</w:t>
      </w:r>
    </w:p>
    <w:p w14:paraId="1A81CCCB"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009A3A1A"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lastRenderedPageBreak/>
        <w:t>5. les conteneurs utilisés pour maintenir les mollusques bivalves vivants dans les systèmes de purification doivent être construits de manière à permettre à l’eau de mer propre de les traverser. L’épaisseur des couches de mollusques bivalves vivants ne doit pas empêcher l’ouverture des coquilles durant la purification ;</w:t>
      </w:r>
    </w:p>
    <w:p w14:paraId="37B3AD52"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030CED46"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6. aucun crustacé, poisson ou autre animal marin ne doit se trouver dans un bassin de purification dans lequel des mollusques bivalves vivants sont en cours de purification ;</w:t>
      </w:r>
    </w:p>
    <w:p w14:paraId="21F74423"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25FDC4EA"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7. tout emballage contenant des mollusques bivalves vivants purifiés envoyé vers un centre d’expédition doit être muni d’une étiquette attestant leur purification.</w:t>
      </w:r>
    </w:p>
    <w:p w14:paraId="3B03CF3E" w14:textId="77777777" w:rsidR="003D69A8" w:rsidRPr="005E1EA7" w:rsidRDefault="003D69A8" w:rsidP="003D69A8">
      <w:pPr>
        <w:autoSpaceDE w:val="0"/>
        <w:autoSpaceDN w:val="0"/>
        <w:adjustRightInd w:val="0"/>
        <w:jc w:val="both"/>
        <w:rPr>
          <w:rFonts w:ascii="Tahoma" w:eastAsia="EUAlbertina-Regular-Identity-H" w:hAnsi="Tahoma" w:cs="Tahoma"/>
          <w:b/>
          <w:bCs/>
          <w:sz w:val="20"/>
          <w:szCs w:val="20"/>
        </w:rPr>
      </w:pPr>
    </w:p>
    <w:p w14:paraId="1C3245CB" w14:textId="77777777" w:rsidR="003D69A8" w:rsidRPr="005E1EA7" w:rsidRDefault="003D69A8" w:rsidP="003D69A8">
      <w:pPr>
        <w:autoSpaceDE w:val="0"/>
        <w:autoSpaceDN w:val="0"/>
        <w:adjustRightInd w:val="0"/>
        <w:jc w:val="both"/>
        <w:rPr>
          <w:rFonts w:ascii="Tahoma" w:eastAsia="EUAlbertina-Regular-Identity-H" w:hAnsi="Tahoma" w:cs="Tahoma"/>
          <w:b/>
          <w:bCs/>
          <w:sz w:val="20"/>
          <w:szCs w:val="20"/>
        </w:rPr>
      </w:pPr>
      <w:r w:rsidRPr="005E1EA7">
        <w:rPr>
          <w:rFonts w:ascii="Tahoma" w:eastAsia="EUAlbertina-Regular-Identity-H" w:hAnsi="Tahoma" w:cs="Tahoma"/>
          <w:b/>
          <w:bCs/>
          <w:sz w:val="20"/>
          <w:szCs w:val="20"/>
        </w:rPr>
        <w:t>B. EXIGENCES APPLICABLES AUX CENTRES D’EXPÉDITION</w:t>
      </w:r>
    </w:p>
    <w:p w14:paraId="4FAC4AD2"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1FBF3E78"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Les exploitants du secteur halieutique qui exploitent des centres d’expédition doivent veiller à se conformer aux obligations visées ci-après :</w:t>
      </w:r>
    </w:p>
    <w:p w14:paraId="06CC55D1"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6804ECB2"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1. Les manipulations des mollusques bivalves vivants, en particulier les opérations de finition, de calibrage, d’emballage et de conditionnement ne doivent pas causer de contamination du produit, ni affecter la viabilité des mollusques ;</w:t>
      </w:r>
    </w:p>
    <w:p w14:paraId="1FF9443B"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38BB3D90"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2. Avant l’expédition, les coquilles des mollusques bivalves vivants doivent être lavées complètement à l’aide d’eau propre ;</w:t>
      </w:r>
    </w:p>
    <w:p w14:paraId="023584A6"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5A2E84C8"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3. Les mollusques bivalves vivants doivent provenir d’une zone de production de classe A, d’un centre de purification ou d’un autre centre d’expédition.</w:t>
      </w:r>
    </w:p>
    <w:p w14:paraId="45A8DA81"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79D35C47"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4. Les obligations énoncées aux points 1 et 2 s’appliquent aussi aux centres d’expédition situés à bord de navires dans lesquels les mollusques manipulés proviennent d’une zone de production de classe A.</w:t>
      </w:r>
    </w:p>
    <w:p w14:paraId="3C8812B1"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4B41F6BA" w14:textId="77777777" w:rsidR="003D69A8" w:rsidRPr="005E1EA7" w:rsidRDefault="003D69A8" w:rsidP="003D69A8">
      <w:pPr>
        <w:pStyle w:val="Corpsdetexte"/>
        <w:jc w:val="center"/>
        <w:rPr>
          <w:rFonts w:ascii="Tahoma" w:hAnsi="Tahoma" w:cs="Tahoma"/>
          <w:b/>
          <w:bCs/>
          <w:sz w:val="20"/>
          <w:szCs w:val="20"/>
        </w:rPr>
      </w:pPr>
      <w:r w:rsidRPr="005E1EA7">
        <w:rPr>
          <w:rFonts w:ascii="Tahoma" w:hAnsi="Tahoma" w:cs="Tahoma"/>
          <w:b/>
          <w:bCs/>
          <w:sz w:val="20"/>
          <w:szCs w:val="20"/>
        </w:rPr>
        <w:t xml:space="preserve">CHAPITRE V - NORMES SANITAIRES APPLICABLES AUX MOLLUSQUES </w:t>
      </w:r>
    </w:p>
    <w:p w14:paraId="3CA32306" w14:textId="77777777" w:rsidR="003D69A8" w:rsidRPr="005E1EA7" w:rsidRDefault="003D69A8" w:rsidP="003D69A8">
      <w:pPr>
        <w:pStyle w:val="Corpsdetexte"/>
        <w:jc w:val="center"/>
        <w:rPr>
          <w:rFonts w:ascii="Tahoma" w:hAnsi="Tahoma" w:cs="Tahoma"/>
          <w:b/>
          <w:bCs/>
          <w:sz w:val="20"/>
          <w:szCs w:val="20"/>
        </w:rPr>
      </w:pPr>
      <w:r w:rsidRPr="005E1EA7">
        <w:rPr>
          <w:rFonts w:ascii="Tahoma" w:hAnsi="Tahoma" w:cs="Tahoma"/>
          <w:b/>
          <w:bCs/>
          <w:sz w:val="20"/>
          <w:szCs w:val="20"/>
        </w:rPr>
        <w:t>BIVALVES VIVANTS</w:t>
      </w:r>
    </w:p>
    <w:p w14:paraId="598374C5"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2323905F"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Les exploitants de mollusques bivalves doivent veiller à ce que les mollusques bivalves vivants commercialisés pour la consommation humaine :</w:t>
      </w:r>
    </w:p>
    <w:p w14:paraId="26664815"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3CE8109E" w14:textId="77777777" w:rsidR="003D69A8" w:rsidRPr="005E1EA7" w:rsidRDefault="003D69A8" w:rsidP="003D69A8">
      <w:pPr>
        <w:autoSpaceDE w:val="0"/>
        <w:autoSpaceDN w:val="0"/>
        <w:adjustRightInd w:val="0"/>
        <w:ind w:left="720" w:hanging="360"/>
        <w:jc w:val="both"/>
        <w:rPr>
          <w:rFonts w:ascii="Tahoma" w:eastAsia="EUAlbertina-Regular-Identity-H" w:hAnsi="Tahoma" w:cs="Tahoma"/>
          <w:sz w:val="20"/>
          <w:szCs w:val="20"/>
        </w:rPr>
      </w:pPr>
      <w:r w:rsidRPr="005E1EA7">
        <w:rPr>
          <w:rFonts w:ascii="Tahoma" w:eastAsia="EUAlbertina-Regular-Identity-H" w:hAnsi="Tahoma" w:cs="Tahoma"/>
          <w:sz w:val="20"/>
          <w:szCs w:val="20"/>
        </w:rPr>
        <w:t>a) soient conformes aux critères microbiologiques, chimiques et biotoxines marines fixés</w:t>
      </w:r>
      <w:r w:rsidRPr="005E1EA7">
        <w:rPr>
          <w:rFonts w:ascii="Tahoma" w:eastAsia="EUAlbertina-Regular-Identity-H" w:hAnsi="Tahoma" w:cs="Tahoma"/>
          <w:b/>
          <w:sz w:val="20"/>
          <w:szCs w:val="20"/>
        </w:rPr>
        <w:t xml:space="preserve"> </w:t>
      </w:r>
      <w:r w:rsidRPr="005E1EA7">
        <w:rPr>
          <w:rFonts w:ascii="Tahoma" w:eastAsia="EUAlbertina-Regular-Identity-H" w:hAnsi="Tahoma" w:cs="Tahoma"/>
          <w:sz w:val="20"/>
          <w:szCs w:val="20"/>
        </w:rPr>
        <w:t>par la réglementation en vigueur ;</w:t>
      </w:r>
    </w:p>
    <w:p w14:paraId="2DD23FB6" w14:textId="77777777" w:rsidR="003D69A8" w:rsidRPr="005E1EA7" w:rsidRDefault="003D69A8" w:rsidP="003D69A8">
      <w:pPr>
        <w:autoSpaceDE w:val="0"/>
        <w:autoSpaceDN w:val="0"/>
        <w:adjustRightInd w:val="0"/>
        <w:ind w:left="720" w:hanging="360"/>
        <w:jc w:val="both"/>
        <w:rPr>
          <w:rFonts w:ascii="Tahoma" w:eastAsia="EUAlbertina-Regular-Identity-H" w:hAnsi="Tahoma" w:cs="Tahoma"/>
          <w:sz w:val="20"/>
          <w:szCs w:val="20"/>
        </w:rPr>
      </w:pPr>
    </w:p>
    <w:p w14:paraId="75E2F970" w14:textId="77777777" w:rsidR="003D69A8" w:rsidRPr="005E1EA7" w:rsidRDefault="003D69A8" w:rsidP="003D69A8">
      <w:pPr>
        <w:autoSpaceDE w:val="0"/>
        <w:autoSpaceDN w:val="0"/>
        <w:adjustRightInd w:val="0"/>
        <w:ind w:left="720" w:hanging="360"/>
        <w:jc w:val="both"/>
        <w:rPr>
          <w:rFonts w:ascii="Tahoma" w:eastAsia="EUAlbertina-Regular-Identity-H" w:hAnsi="Tahoma" w:cs="Tahoma"/>
          <w:sz w:val="20"/>
          <w:szCs w:val="20"/>
        </w:rPr>
      </w:pPr>
      <w:r w:rsidRPr="005E1EA7">
        <w:rPr>
          <w:rFonts w:ascii="Tahoma" w:eastAsia="EUAlbertina-Regular-Identity-H" w:hAnsi="Tahoma" w:cs="Tahoma"/>
          <w:sz w:val="20"/>
          <w:szCs w:val="20"/>
        </w:rPr>
        <w:t>b) possèdent des caractéristiques organoleptiques liées à la fraîcheur et à la viabilité, incluant l’absence de souillure sur la coquille, une réponse adéquate à la percussion et une quantité normale de liquide intervalvaire.</w:t>
      </w:r>
    </w:p>
    <w:p w14:paraId="1F88331A"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471D3833" w14:textId="77777777" w:rsidR="003D69A8" w:rsidRPr="005E1EA7" w:rsidRDefault="003D69A8" w:rsidP="003D69A8">
      <w:pPr>
        <w:autoSpaceDE w:val="0"/>
        <w:autoSpaceDN w:val="0"/>
        <w:adjustRightInd w:val="0"/>
        <w:jc w:val="center"/>
        <w:rPr>
          <w:rFonts w:ascii="Tahoma" w:eastAsia="EUAlbertina-Regular-Identity-H" w:hAnsi="Tahoma" w:cs="Tahoma"/>
          <w:b/>
          <w:bCs/>
          <w:sz w:val="20"/>
          <w:szCs w:val="20"/>
        </w:rPr>
      </w:pPr>
      <w:r w:rsidRPr="005E1EA7">
        <w:rPr>
          <w:rFonts w:ascii="Tahoma" w:eastAsia="EUAlbertina-Regular-Identity-H" w:hAnsi="Tahoma" w:cs="Tahoma"/>
          <w:b/>
          <w:bCs/>
          <w:sz w:val="20"/>
          <w:szCs w:val="20"/>
        </w:rPr>
        <w:t>CHAPITRE VI - CONDITIONNEMENT ET EMBALLAGE ET AUTRES DISPOSITIONS</w:t>
      </w:r>
    </w:p>
    <w:p w14:paraId="4701C881"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2A75DDBF"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1. Les huîtres doivent être conditionnées ou emballées valve creuse en dessous.</w:t>
      </w:r>
    </w:p>
    <w:p w14:paraId="06C8BCE9"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5E03E5EC"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2. Les colis unitaires de mollusques bivalves vivants remis directement au consommateur doivent être fermés et le rester après avoir quitté le centre d’expédition jusqu’à leur présentation à la vente au consommateur final.</w:t>
      </w:r>
    </w:p>
    <w:p w14:paraId="5698802D"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337A1856"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3. Les exploitants de mollusques bivalves qui entreposent et transportent des mollusques bivalves vivants doivent veiller à ce que ceux-ci soient maintenus à une température qui n’affecte pas les caractéristiques de sécurité des aliments et de viabilité.</w:t>
      </w:r>
    </w:p>
    <w:p w14:paraId="6E047AD9"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3CE9CE58"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4. Les mollusques bivalves vivants ne doivent pas être réimmergés ou aspergés d’eau après leur conditionnement et leur départ du centre d’expédition.</w:t>
      </w:r>
    </w:p>
    <w:p w14:paraId="709DD504"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7201EC7E" w14:textId="77777777" w:rsidR="003D69A8" w:rsidRPr="005E1EA7" w:rsidRDefault="003D69A8" w:rsidP="003D69A8">
      <w:pPr>
        <w:autoSpaceDE w:val="0"/>
        <w:autoSpaceDN w:val="0"/>
        <w:adjustRightInd w:val="0"/>
        <w:jc w:val="center"/>
        <w:rPr>
          <w:rFonts w:ascii="Tahoma" w:eastAsia="EUAlbertina-Regular-Identity-H" w:hAnsi="Tahoma" w:cs="Tahoma"/>
          <w:b/>
          <w:bCs/>
          <w:sz w:val="20"/>
          <w:szCs w:val="20"/>
        </w:rPr>
      </w:pPr>
      <w:r w:rsidRPr="005E1EA7">
        <w:rPr>
          <w:rFonts w:ascii="Tahoma" w:eastAsia="EUAlbertina-Regular-Identity-H" w:hAnsi="Tahoma" w:cs="Tahoma"/>
          <w:b/>
          <w:bCs/>
          <w:sz w:val="20"/>
          <w:szCs w:val="20"/>
        </w:rPr>
        <w:t>CHAPITRE VII - MARQUAGE D’IDENTIFICATION ET ETIQUETAGE</w:t>
      </w:r>
    </w:p>
    <w:p w14:paraId="4EDA8925"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30CC3585"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1. L’étiquette, marque d’identification comprise, doit être résistante à l’eau.</w:t>
      </w:r>
    </w:p>
    <w:p w14:paraId="252E0A6E"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7252F300"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2. Les informations suivantes doivent figurer sur l’étiquette :</w:t>
      </w:r>
    </w:p>
    <w:p w14:paraId="73414D6B"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2B43FCD4" w14:textId="77777777" w:rsidR="003D69A8" w:rsidRPr="005E1EA7" w:rsidRDefault="003D69A8" w:rsidP="003D69A8">
      <w:pPr>
        <w:autoSpaceDE w:val="0"/>
        <w:autoSpaceDN w:val="0"/>
        <w:adjustRightInd w:val="0"/>
        <w:ind w:firstLine="360"/>
        <w:jc w:val="both"/>
        <w:rPr>
          <w:rFonts w:ascii="Tahoma" w:eastAsia="EUAlbertina-Regular-Identity-H" w:hAnsi="Tahoma" w:cs="Tahoma"/>
          <w:sz w:val="20"/>
          <w:szCs w:val="20"/>
        </w:rPr>
      </w:pPr>
      <w:r w:rsidRPr="005E1EA7">
        <w:rPr>
          <w:rFonts w:ascii="Tahoma" w:eastAsia="EUAlbertina-Regular-Identity-H" w:hAnsi="Tahoma" w:cs="Tahoma"/>
          <w:sz w:val="20"/>
          <w:szCs w:val="20"/>
        </w:rPr>
        <w:t>a) l’espèce du mollusque bivalve (nom commun et nom scientifique),</w:t>
      </w:r>
    </w:p>
    <w:p w14:paraId="6A472DB3" w14:textId="77777777" w:rsidR="003D69A8" w:rsidRPr="005E1EA7" w:rsidRDefault="003D69A8" w:rsidP="003D69A8">
      <w:pPr>
        <w:autoSpaceDE w:val="0"/>
        <w:autoSpaceDN w:val="0"/>
        <w:adjustRightInd w:val="0"/>
        <w:ind w:left="360"/>
        <w:jc w:val="both"/>
        <w:rPr>
          <w:rFonts w:ascii="Tahoma" w:eastAsia="EUAlbertina-Regular-Identity-H" w:hAnsi="Tahoma" w:cs="Tahoma"/>
          <w:sz w:val="20"/>
          <w:szCs w:val="20"/>
        </w:rPr>
      </w:pPr>
    </w:p>
    <w:p w14:paraId="47B12051" w14:textId="77777777" w:rsidR="003D69A8" w:rsidRPr="005E1EA7" w:rsidRDefault="003D69A8" w:rsidP="003D69A8">
      <w:pPr>
        <w:autoSpaceDE w:val="0"/>
        <w:autoSpaceDN w:val="0"/>
        <w:adjustRightInd w:val="0"/>
        <w:ind w:left="360"/>
        <w:jc w:val="both"/>
        <w:rPr>
          <w:rFonts w:ascii="Tahoma" w:eastAsia="EUAlbertina-Regular-Identity-H" w:hAnsi="Tahoma" w:cs="Tahoma"/>
          <w:sz w:val="20"/>
          <w:szCs w:val="20"/>
        </w:rPr>
      </w:pPr>
      <w:r w:rsidRPr="005E1EA7">
        <w:rPr>
          <w:rFonts w:ascii="Tahoma" w:eastAsia="EUAlbertina-Regular-Identity-H" w:hAnsi="Tahoma" w:cs="Tahoma"/>
          <w:sz w:val="20"/>
          <w:szCs w:val="20"/>
        </w:rPr>
        <w:t>b) la date de conditionnement, composée au moins du jour et du mois,</w:t>
      </w:r>
    </w:p>
    <w:p w14:paraId="713199AA"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16E11196" w14:textId="77777777" w:rsidR="003D69A8" w:rsidRPr="005E1EA7" w:rsidRDefault="003D69A8" w:rsidP="003D69A8">
      <w:pPr>
        <w:autoSpaceDE w:val="0"/>
        <w:autoSpaceDN w:val="0"/>
        <w:adjustRightInd w:val="0"/>
        <w:ind w:firstLine="360"/>
        <w:jc w:val="both"/>
        <w:rPr>
          <w:rFonts w:ascii="Tahoma" w:eastAsia="EUAlbertina-Regular-Identity-H" w:hAnsi="Tahoma" w:cs="Tahoma"/>
          <w:sz w:val="20"/>
          <w:szCs w:val="20"/>
        </w:rPr>
      </w:pPr>
      <w:r w:rsidRPr="005E1EA7">
        <w:rPr>
          <w:rFonts w:ascii="Tahoma" w:eastAsia="EUAlbertina-Regular-Identity-H" w:hAnsi="Tahoma" w:cs="Tahoma"/>
          <w:sz w:val="20"/>
          <w:szCs w:val="20"/>
        </w:rPr>
        <w:t>c) la mention</w:t>
      </w:r>
      <w:proofErr w:type="gramStart"/>
      <w:r w:rsidRPr="005E1EA7">
        <w:rPr>
          <w:rFonts w:ascii="Tahoma" w:eastAsia="EUAlbertina-Regular-Identity-H" w:hAnsi="Tahoma" w:cs="Tahoma"/>
          <w:sz w:val="20"/>
          <w:szCs w:val="20"/>
        </w:rPr>
        <w:t xml:space="preserve"> «Ces</w:t>
      </w:r>
      <w:proofErr w:type="gramEnd"/>
      <w:r w:rsidRPr="005E1EA7">
        <w:rPr>
          <w:rFonts w:ascii="Tahoma" w:eastAsia="EUAlbertina-Regular-Identity-H" w:hAnsi="Tahoma" w:cs="Tahoma"/>
          <w:sz w:val="20"/>
          <w:szCs w:val="20"/>
        </w:rPr>
        <w:t xml:space="preserve"> animaux doivent être vivants au moment de l’achat».</w:t>
      </w:r>
    </w:p>
    <w:p w14:paraId="536C6083"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7FBF6431"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3. Les marques d’identification fixées aux lots de mollusques bivalves vivants qui ne sont pas conditionnés en colis unitaires remis directement au consommateur doivent être conservées au moins soixante jours par le détaillant après le fractionnement du contenu du lot.</w:t>
      </w:r>
    </w:p>
    <w:p w14:paraId="59DAE457" w14:textId="77777777" w:rsidR="005E1EA7" w:rsidRDefault="005E1EA7" w:rsidP="003D69A8">
      <w:pPr>
        <w:autoSpaceDE w:val="0"/>
        <w:autoSpaceDN w:val="0"/>
        <w:adjustRightInd w:val="0"/>
        <w:jc w:val="center"/>
        <w:rPr>
          <w:rFonts w:ascii="Tahoma" w:hAnsi="Tahoma" w:cs="Tahoma"/>
          <w:sz w:val="20"/>
          <w:szCs w:val="20"/>
        </w:rPr>
      </w:pPr>
    </w:p>
    <w:p w14:paraId="0BADF325" w14:textId="77777777" w:rsidR="00E34453" w:rsidRDefault="00E34453">
      <w:pPr>
        <w:rPr>
          <w:rFonts w:ascii="Tahoma" w:eastAsia="EUAlbertina-Italic-Identity-H" w:hAnsi="Tahoma" w:cs="Tahoma"/>
          <w:b/>
          <w:bCs/>
          <w:sz w:val="20"/>
          <w:szCs w:val="20"/>
        </w:rPr>
      </w:pPr>
      <w:r>
        <w:rPr>
          <w:rFonts w:ascii="Tahoma" w:eastAsia="EUAlbertina-Italic-Identity-H" w:hAnsi="Tahoma" w:cs="Tahoma"/>
          <w:b/>
          <w:bCs/>
          <w:sz w:val="20"/>
          <w:szCs w:val="20"/>
        </w:rPr>
        <w:br w:type="page"/>
      </w:r>
    </w:p>
    <w:p w14:paraId="2CD3F186" w14:textId="0C8955D1" w:rsidR="003D69A8" w:rsidRPr="005E1EA7" w:rsidRDefault="003D69A8" w:rsidP="00E34453">
      <w:pPr>
        <w:autoSpaceDE w:val="0"/>
        <w:autoSpaceDN w:val="0"/>
        <w:adjustRightInd w:val="0"/>
        <w:jc w:val="center"/>
        <w:rPr>
          <w:rFonts w:ascii="Tahoma" w:eastAsia="EUAlbertina-Regular-Identity-H" w:hAnsi="Tahoma" w:cs="Tahoma"/>
          <w:b/>
          <w:bCs/>
          <w:sz w:val="20"/>
          <w:szCs w:val="20"/>
        </w:rPr>
      </w:pPr>
      <w:r w:rsidRPr="005E1EA7">
        <w:rPr>
          <w:rFonts w:ascii="Tahoma" w:eastAsia="EUAlbertina-Italic-Identity-H" w:hAnsi="Tahoma" w:cs="Tahoma"/>
          <w:b/>
          <w:bCs/>
          <w:sz w:val="20"/>
          <w:szCs w:val="20"/>
        </w:rPr>
        <w:lastRenderedPageBreak/>
        <w:t>ANNEXE IV :</w:t>
      </w:r>
      <w:r w:rsidRPr="005E1EA7">
        <w:rPr>
          <w:rFonts w:ascii="Tahoma" w:eastAsia="EUAlbertina-Regular-Identity-H" w:hAnsi="Tahoma" w:cs="Tahoma"/>
          <w:b/>
          <w:bCs/>
          <w:sz w:val="20"/>
          <w:szCs w:val="20"/>
        </w:rPr>
        <w:t xml:space="preserve"> </w:t>
      </w:r>
    </w:p>
    <w:p w14:paraId="59E57C6B" w14:textId="77777777" w:rsidR="003D69A8" w:rsidRPr="005E1EA7" w:rsidRDefault="003D69A8" w:rsidP="003D69A8">
      <w:pPr>
        <w:autoSpaceDE w:val="0"/>
        <w:autoSpaceDN w:val="0"/>
        <w:adjustRightInd w:val="0"/>
        <w:jc w:val="center"/>
        <w:rPr>
          <w:rFonts w:ascii="Tahoma" w:eastAsia="EUAlbertina-Regular-Identity-H" w:hAnsi="Tahoma" w:cs="Tahoma"/>
          <w:b/>
          <w:bCs/>
          <w:sz w:val="20"/>
          <w:szCs w:val="20"/>
        </w:rPr>
      </w:pPr>
    </w:p>
    <w:p w14:paraId="53E2ED6F" w14:textId="77777777" w:rsidR="003D69A8" w:rsidRPr="005E1EA7" w:rsidRDefault="003D69A8" w:rsidP="003D69A8">
      <w:pPr>
        <w:autoSpaceDE w:val="0"/>
        <w:autoSpaceDN w:val="0"/>
        <w:adjustRightInd w:val="0"/>
        <w:jc w:val="center"/>
        <w:rPr>
          <w:rFonts w:ascii="Tahoma" w:eastAsia="EUAlbertina-Regular-Identity-H" w:hAnsi="Tahoma" w:cs="Tahoma"/>
          <w:b/>
          <w:bCs/>
          <w:sz w:val="20"/>
          <w:szCs w:val="20"/>
        </w:rPr>
      </w:pPr>
      <w:r w:rsidRPr="005E1EA7">
        <w:rPr>
          <w:rFonts w:ascii="Tahoma" w:eastAsia="EUAlbertina-Bold-Identity-H" w:hAnsi="Tahoma" w:cs="Tahoma"/>
          <w:b/>
          <w:bCs/>
          <w:sz w:val="20"/>
          <w:szCs w:val="20"/>
        </w:rPr>
        <w:t xml:space="preserve">EXIGENCES CONCERNANT LES </w:t>
      </w:r>
      <w:r w:rsidRPr="005E1EA7">
        <w:rPr>
          <w:rFonts w:ascii="Tahoma" w:eastAsia="EUAlbertina-Regular-Identity-H" w:hAnsi="Tahoma" w:cs="Tahoma"/>
          <w:b/>
          <w:bCs/>
          <w:sz w:val="20"/>
          <w:szCs w:val="20"/>
        </w:rPr>
        <w:t>PRODUITS DE LA PECHE</w:t>
      </w:r>
    </w:p>
    <w:p w14:paraId="43BBAFFD"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125B4FA2"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 xml:space="preserve">La présente annexe s’applique également aux mollusques bivalves lorsqu’ils ne sont pas mis sur </w:t>
      </w:r>
      <w:proofErr w:type="gramStart"/>
      <w:r w:rsidRPr="005E1EA7">
        <w:rPr>
          <w:rFonts w:ascii="Tahoma" w:eastAsia="EUAlbertina-Regular-Identity-H" w:hAnsi="Tahoma" w:cs="Tahoma"/>
          <w:sz w:val="20"/>
          <w:szCs w:val="20"/>
        </w:rPr>
        <w:t>le marché vivants</w:t>
      </w:r>
      <w:proofErr w:type="gramEnd"/>
      <w:r w:rsidRPr="005E1EA7">
        <w:rPr>
          <w:rFonts w:ascii="Tahoma" w:eastAsia="EUAlbertina-Regular-Identity-H" w:hAnsi="Tahoma" w:cs="Tahoma"/>
          <w:sz w:val="20"/>
          <w:szCs w:val="20"/>
        </w:rPr>
        <w:t>, auquel cas ils doivent avoir été obtenus conformément à l’annexe III.</w:t>
      </w:r>
    </w:p>
    <w:p w14:paraId="540AC1B5"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3BB61E03"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Le chapitre IV, parties A, D et E (points 3, 4 et 5) et les chapitres V et VI s’appliquent au commerce de détail.</w:t>
      </w:r>
    </w:p>
    <w:p w14:paraId="54AA2A16"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1F1D7565" w14:textId="77777777" w:rsidR="003D69A8" w:rsidRPr="005E1EA7" w:rsidRDefault="003D69A8" w:rsidP="003D69A8">
      <w:pPr>
        <w:autoSpaceDE w:val="0"/>
        <w:autoSpaceDN w:val="0"/>
        <w:adjustRightInd w:val="0"/>
        <w:jc w:val="center"/>
        <w:rPr>
          <w:rFonts w:ascii="Tahoma" w:eastAsia="EUAlbertina-Regular-Identity-H" w:hAnsi="Tahoma" w:cs="Tahoma"/>
          <w:b/>
          <w:bCs/>
          <w:sz w:val="20"/>
          <w:szCs w:val="20"/>
        </w:rPr>
      </w:pPr>
      <w:r w:rsidRPr="005E1EA7">
        <w:rPr>
          <w:rFonts w:ascii="Tahoma" w:eastAsia="EUAlbertina-Regular-Identity-H" w:hAnsi="Tahoma" w:cs="Tahoma"/>
          <w:b/>
          <w:bCs/>
          <w:sz w:val="20"/>
          <w:szCs w:val="20"/>
        </w:rPr>
        <w:t>CHAPITRE I : MARQUE D’IDENTIFICATION</w:t>
      </w:r>
    </w:p>
    <w:p w14:paraId="482D70A5"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12473253"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 xml:space="preserve">Dans les cas requis par l’article 7, excepté s’ils proviennent </w:t>
      </w:r>
      <w:r w:rsidRPr="005E1EA7">
        <w:rPr>
          <w:rFonts w:ascii="Tahoma" w:hAnsi="Tahoma" w:cs="Tahoma"/>
          <w:sz w:val="20"/>
          <w:szCs w:val="20"/>
        </w:rPr>
        <w:t>directement des lieux de pêche et sont introduits directement par le navire de pêche dans un port d'un pays tiers,</w:t>
      </w:r>
      <w:r w:rsidRPr="005E1EA7">
        <w:rPr>
          <w:rFonts w:ascii="Tahoma" w:eastAsia="EUAlbertina-Regular-Identity-H" w:hAnsi="Tahoma" w:cs="Tahoma"/>
          <w:sz w:val="20"/>
          <w:szCs w:val="20"/>
        </w:rPr>
        <w:t xml:space="preserve"> les exploitants du secteur halieutique veillent à ce qu’une marque d’identification soit appliquée aux produits de la pêche conformément aux dispositions visées ci-après :</w:t>
      </w:r>
    </w:p>
    <w:p w14:paraId="50625F76"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68F50C61" w14:textId="77777777" w:rsidR="003D69A8" w:rsidRPr="005E1EA7" w:rsidRDefault="003D69A8" w:rsidP="003D69A8">
      <w:pPr>
        <w:autoSpaceDE w:val="0"/>
        <w:autoSpaceDN w:val="0"/>
        <w:adjustRightInd w:val="0"/>
        <w:jc w:val="both"/>
        <w:rPr>
          <w:rFonts w:ascii="Tahoma" w:eastAsia="EUAlbertina-Regular-Identity-H" w:hAnsi="Tahoma" w:cs="Tahoma"/>
          <w:b/>
          <w:bCs/>
          <w:sz w:val="20"/>
          <w:szCs w:val="20"/>
        </w:rPr>
      </w:pPr>
      <w:r w:rsidRPr="005E1EA7">
        <w:rPr>
          <w:rFonts w:ascii="Tahoma" w:eastAsia="EUAlbertina-Regular-Identity-H" w:hAnsi="Tahoma" w:cs="Tahoma"/>
          <w:b/>
          <w:bCs/>
          <w:sz w:val="20"/>
          <w:szCs w:val="20"/>
        </w:rPr>
        <w:t>I. APPLICATION DE LA MARQUE D’IDENTIFICATION</w:t>
      </w:r>
    </w:p>
    <w:p w14:paraId="1BE8CF44"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4D641801"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1. La marque d’identification doit être appliquée avant que le produit ne quitte l’établissement.</w:t>
      </w:r>
    </w:p>
    <w:p w14:paraId="13F9AFF7"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6CE042C9"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2. Toutefois, il n’est pas nécessaire d’appliquer une nouvelle marque sur un produit sauf si son emballage ou conditionnement est retiré ou s’il est soumis à une transformation ultérieure dans un autre établissement, auquel cas la nouvelle marque doit indiquer le numéro d’enregistrement ou d’agrément de l’établissement où ont lieu ces opérations.</w:t>
      </w:r>
    </w:p>
    <w:p w14:paraId="726F11BA"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2A07FE63"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3. Les exploitants du secteur des produits de la pêche doivent disposer de systèmes et de procédures leur permettant d’identifier les exploitants qui leur ont fourni des produits de la pêche et auxquels ils ont livré des produits de la pêche.</w:t>
      </w:r>
    </w:p>
    <w:p w14:paraId="0FB6F283"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78823732" w14:textId="77777777" w:rsidR="003D69A8" w:rsidRPr="005E1EA7" w:rsidRDefault="003D69A8" w:rsidP="003D69A8">
      <w:pPr>
        <w:autoSpaceDE w:val="0"/>
        <w:autoSpaceDN w:val="0"/>
        <w:adjustRightInd w:val="0"/>
        <w:jc w:val="both"/>
        <w:rPr>
          <w:rFonts w:ascii="Tahoma" w:eastAsia="EUAlbertina-Regular-Identity-H" w:hAnsi="Tahoma" w:cs="Tahoma"/>
          <w:b/>
          <w:bCs/>
          <w:sz w:val="20"/>
          <w:szCs w:val="20"/>
        </w:rPr>
      </w:pPr>
      <w:r w:rsidRPr="005E1EA7">
        <w:rPr>
          <w:rFonts w:ascii="Tahoma" w:eastAsia="EUAlbertina-Regular-Identity-H" w:hAnsi="Tahoma" w:cs="Tahoma"/>
          <w:b/>
          <w:bCs/>
          <w:sz w:val="20"/>
          <w:szCs w:val="20"/>
        </w:rPr>
        <w:t>II. PRESENTATION DE LA MARQUE D’IDENTIFICATION</w:t>
      </w:r>
    </w:p>
    <w:p w14:paraId="368C6E6E"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44752FC7" w14:textId="77777777" w:rsidR="003D69A8" w:rsidRPr="005E1EA7" w:rsidRDefault="003D69A8" w:rsidP="003D69A8">
      <w:pPr>
        <w:jc w:val="both"/>
        <w:rPr>
          <w:rFonts w:ascii="Tahoma" w:eastAsia="EUAlbertina-Regular-Identity-H" w:hAnsi="Tahoma" w:cs="Tahoma"/>
          <w:sz w:val="20"/>
          <w:szCs w:val="20"/>
        </w:rPr>
      </w:pPr>
      <w:r w:rsidRPr="005E1EA7">
        <w:rPr>
          <w:rFonts w:ascii="Tahoma" w:eastAsia="EUAlbertina-Regular-Identity-H" w:hAnsi="Tahoma" w:cs="Tahoma"/>
          <w:sz w:val="20"/>
          <w:szCs w:val="20"/>
        </w:rPr>
        <w:t>4. La marque doit être indélébile et les caractères utilisés aisément déchiffrables. Elle doit indiquer de manière claire et lisible :</w:t>
      </w:r>
    </w:p>
    <w:p w14:paraId="5EB6B983" w14:textId="77777777" w:rsidR="003D69A8" w:rsidRPr="005E1EA7" w:rsidRDefault="003D69A8" w:rsidP="003D69A8">
      <w:pPr>
        <w:rPr>
          <w:rFonts w:ascii="Tahoma" w:eastAsia="EUAlbertina-Regular-Identity-H" w:hAnsi="Tahoma" w:cs="Tahoma"/>
          <w:sz w:val="20"/>
          <w:szCs w:val="20"/>
        </w:rPr>
      </w:pPr>
    </w:p>
    <w:p w14:paraId="22F7B6BA" w14:textId="77777777" w:rsidR="003D69A8" w:rsidRPr="005E1EA7" w:rsidRDefault="003D69A8" w:rsidP="003D69A8">
      <w:pPr>
        <w:tabs>
          <w:tab w:val="left" w:pos="1440"/>
        </w:tabs>
        <w:ind w:firstLine="360"/>
        <w:rPr>
          <w:rFonts w:ascii="Tahoma" w:hAnsi="Tahoma" w:cs="Tahoma"/>
          <w:sz w:val="20"/>
          <w:szCs w:val="20"/>
        </w:rPr>
      </w:pPr>
      <w:r w:rsidRPr="005E1EA7">
        <w:rPr>
          <w:rFonts w:ascii="Tahoma" w:hAnsi="Tahoma" w:cs="Tahoma"/>
          <w:sz w:val="20"/>
          <w:szCs w:val="20"/>
        </w:rPr>
        <w:t xml:space="preserve">— le nom scientifique du produit et sa dénomination commerciale, </w:t>
      </w:r>
    </w:p>
    <w:p w14:paraId="1429B2C6" w14:textId="77777777" w:rsidR="003D69A8" w:rsidRPr="005E1EA7" w:rsidRDefault="003D69A8" w:rsidP="003D69A8">
      <w:pPr>
        <w:tabs>
          <w:tab w:val="left" w:pos="1440"/>
        </w:tabs>
        <w:ind w:firstLine="360"/>
        <w:rPr>
          <w:rFonts w:ascii="Tahoma" w:hAnsi="Tahoma" w:cs="Tahoma"/>
          <w:sz w:val="20"/>
          <w:szCs w:val="20"/>
        </w:rPr>
      </w:pPr>
      <w:r w:rsidRPr="005E1EA7">
        <w:rPr>
          <w:rFonts w:ascii="Tahoma" w:hAnsi="Tahoma" w:cs="Tahoma"/>
          <w:sz w:val="20"/>
          <w:szCs w:val="20"/>
        </w:rPr>
        <w:t xml:space="preserve">— le mode de présentation, </w:t>
      </w:r>
    </w:p>
    <w:p w14:paraId="1EBC080F" w14:textId="77777777" w:rsidR="003D69A8" w:rsidRPr="005E1EA7" w:rsidRDefault="003D69A8" w:rsidP="003D69A8">
      <w:pPr>
        <w:tabs>
          <w:tab w:val="left" w:pos="1440"/>
        </w:tabs>
        <w:ind w:firstLine="360"/>
        <w:rPr>
          <w:rFonts w:ascii="Tahoma" w:hAnsi="Tahoma" w:cs="Tahoma"/>
          <w:sz w:val="20"/>
          <w:szCs w:val="20"/>
        </w:rPr>
      </w:pPr>
      <w:r w:rsidRPr="005E1EA7">
        <w:rPr>
          <w:rFonts w:ascii="Tahoma" w:hAnsi="Tahoma" w:cs="Tahoma"/>
          <w:sz w:val="20"/>
          <w:szCs w:val="20"/>
        </w:rPr>
        <w:t xml:space="preserve">— la catégorie de fraîcheur et la catégorie de calibrage, </w:t>
      </w:r>
    </w:p>
    <w:p w14:paraId="2E8DEEC8" w14:textId="77777777" w:rsidR="003D69A8" w:rsidRPr="005E1EA7" w:rsidRDefault="003D69A8" w:rsidP="003D69A8">
      <w:pPr>
        <w:tabs>
          <w:tab w:val="left" w:pos="1440"/>
        </w:tabs>
        <w:ind w:firstLine="360"/>
        <w:rPr>
          <w:rFonts w:ascii="Tahoma" w:hAnsi="Tahoma" w:cs="Tahoma"/>
          <w:sz w:val="20"/>
          <w:szCs w:val="20"/>
        </w:rPr>
      </w:pPr>
      <w:r w:rsidRPr="005E1EA7">
        <w:rPr>
          <w:rFonts w:ascii="Tahoma" w:hAnsi="Tahoma" w:cs="Tahoma"/>
          <w:sz w:val="20"/>
          <w:szCs w:val="20"/>
        </w:rPr>
        <w:t xml:space="preserve">— le poids net en kilogrammes des produits contenus dans les emballages, </w:t>
      </w:r>
    </w:p>
    <w:p w14:paraId="160E4580" w14:textId="77777777" w:rsidR="003D69A8" w:rsidRPr="005E1EA7" w:rsidRDefault="003D69A8" w:rsidP="003D69A8">
      <w:pPr>
        <w:tabs>
          <w:tab w:val="left" w:pos="1440"/>
        </w:tabs>
        <w:ind w:firstLine="360"/>
        <w:rPr>
          <w:rFonts w:ascii="Tahoma" w:hAnsi="Tahoma" w:cs="Tahoma"/>
          <w:sz w:val="20"/>
          <w:szCs w:val="20"/>
        </w:rPr>
      </w:pPr>
      <w:r w:rsidRPr="005E1EA7">
        <w:rPr>
          <w:rFonts w:ascii="Tahoma" w:hAnsi="Tahoma" w:cs="Tahoma"/>
          <w:sz w:val="20"/>
          <w:szCs w:val="20"/>
        </w:rPr>
        <w:t xml:space="preserve">— la date de la classification et la date de l'expédition, </w:t>
      </w:r>
    </w:p>
    <w:p w14:paraId="3C8D06FB" w14:textId="77777777" w:rsidR="003D69A8" w:rsidRPr="005E1EA7" w:rsidRDefault="003D69A8" w:rsidP="00420DDA">
      <w:pPr>
        <w:pStyle w:val="Paragraphedeliste"/>
        <w:numPr>
          <w:ilvl w:val="0"/>
          <w:numId w:val="164"/>
        </w:numPr>
        <w:tabs>
          <w:tab w:val="left" w:pos="1440"/>
        </w:tabs>
        <w:contextualSpacing/>
        <w:rPr>
          <w:rFonts w:ascii="Tahoma" w:hAnsi="Tahoma" w:cs="Tahoma"/>
          <w:sz w:val="20"/>
          <w:szCs w:val="20"/>
        </w:rPr>
      </w:pPr>
      <w:r w:rsidRPr="005E1EA7">
        <w:rPr>
          <w:rFonts w:ascii="Tahoma" w:hAnsi="Tahoma" w:cs="Tahoma"/>
          <w:sz w:val="20"/>
          <w:szCs w:val="20"/>
        </w:rPr>
        <w:t>Le numéro du lot ;</w:t>
      </w:r>
    </w:p>
    <w:p w14:paraId="0951AFF7" w14:textId="77777777" w:rsidR="003D69A8" w:rsidRPr="005E1EA7" w:rsidRDefault="003D69A8" w:rsidP="003D69A8">
      <w:pPr>
        <w:tabs>
          <w:tab w:val="left" w:pos="1440"/>
        </w:tabs>
        <w:ind w:left="720" w:hanging="360"/>
        <w:rPr>
          <w:rFonts w:ascii="Tahoma" w:eastAsia="EUAlbertina-Regular-Identity-H" w:hAnsi="Tahoma" w:cs="Tahoma"/>
          <w:sz w:val="20"/>
          <w:szCs w:val="20"/>
        </w:rPr>
      </w:pPr>
      <w:r w:rsidRPr="005E1EA7">
        <w:rPr>
          <w:rFonts w:ascii="Tahoma" w:hAnsi="Tahoma" w:cs="Tahoma"/>
          <w:sz w:val="20"/>
          <w:szCs w:val="20"/>
        </w:rPr>
        <w:t xml:space="preserve">— le nom, l'adresse de l'expéditeur et </w:t>
      </w:r>
      <w:r w:rsidRPr="005E1EA7">
        <w:rPr>
          <w:rFonts w:ascii="Tahoma" w:eastAsia="EUAlbertina-Regular-Identity-H" w:hAnsi="Tahoma" w:cs="Tahoma"/>
          <w:sz w:val="20"/>
          <w:szCs w:val="20"/>
        </w:rPr>
        <w:t>le numéro d’agrément de l’établissement qui doit être facilement visible pour l’autorité compétente.</w:t>
      </w:r>
    </w:p>
    <w:p w14:paraId="1DD855F9"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0F66F0A0"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 xml:space="preserve">5. La marque doit indiquer, </w:t>
      </w:r>
      <w:r w:rsidRPr="005E1EA7">
        <w:rPr>
          <w:rFonts w:ascii="Tahoma" w:hAnsi="Tahoma" w:cs="Tahoma"/>
          <w:sz w:val="20"/>
          <w:szCs w:val="20"/>
        </w:rPr>
        <w:t>en caractères latins d'une hauteur minimale de 20 millimètres,</w:t>
      </w:r>
      <w:r w:rsidRPr="005E1EA7">
        <w:rPr>
          <w:rFonts w:ascii="Tahoma" w:eastAsia="EUAlbertina-Regular-Identity-H" w:hAnsi="Tahoma" w:cs="Tahoma"/>
          <w:sz w:val="20"/>
          <w:szCs w:val="20"/>
        </w:rPr>
        <w:t xml:space="preserve"> le nom du pays, qui peut apparaître en toutes lettres ou sous la forme d’un code à deux lettres conformément à la norme ISO pertinente.</w:t>
      </w:r>
    </w:p>
    <w:p w14:paraId="7B29E251"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10DC4679" w14:textId="77777777" w:rsidR="003D69A8" w:rsidRPr="005E1EA7" w:rsidRDefault="003D69A8" w:rsidP="003D69A8">
      <w:pPr>
        <w:autoSpaceDE w:val="0"/>
        <w:autoSpaceDN w:val="0"/>
        <w:adjustRightInd w:val="0"/>
        <w:jc w:val="both"/>
        <w:rPr>
          <w:rFonts w:ascii="Tahoma" w:eastAsia="EUAlbertina-Regular-Identity-H" w:hAnsi="Tahoma" w:cs="Tahoma"/>
          <w:b/>
          <w:bCs/>
          <w:sz w:val="20"/>
          <w:szCs w:val="20"/>
        </w:rPr>
      </w:pPr>
      <w:r w:rsidRPr="005E1EA7">
        <w:rPr>
          <w:rFonts w:ascii="Tahoma" w:eastAsia="EUAlbertina-Regular-Identity-H" w:hAnsi="Tahoma" w:cs="Tahoma"/>
          <w:b/>
          <w:bCs/>
          <w:sz w:val="20"/>
          <w:szCs w:val="20"/>
        </w:rPr>
        <w:t>III. MODALITES DE MARQUAGE</w:t>
      </w:r>
    </w:p>
    <w:p w14:paraId="6D884BF9"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20D77C41"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 xml:space="preserve">6. La marque peut, selon la présentation des différents produits de la pêche, être apposée directement sur le produit, le conditionnement ou l’emballage, ou être imprimée sur une étiquette apposée sur le produit, le conditionnement ou l’emballage. </w:t>
      </w:r>
    </w:p>
    <w:p w14:paraId="05C69991"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2EFDFBE3"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 xml:space="preserve">7. En ce qui concerne les produits de la pêche placés dans des conteneurs de transport ou dans de grands emballages et destinés à une manipulation, une transformation, un conditionnement ou un emballage ultérieur dans un autre établissement, la marque peut être apposée sur la surface externe du conteneur ou de l’emballage. Dans le cas de produits de la pêche transportés en vrac, il n’est pas </w:t>
      </w:r>
      <w:r w:rsidRPr="005E1EA7">
        <w:rPr>
          <w:rFonts w:ascii="Tahoma" w:eastAsia="EUAlbertina-Regular-Identity-H" w:hAnsi="Tahoma" w:cs="Tahoma"/>
          <w:sz w:val="20"/>
          <w:szCs w:val="20"/>
        </w:rPr>
        <w:lastRenderedPageBreak/>
        <w:t>nécessaire de procéder à un marquage d’identification si les documents d’accompagnement comportent les informations visées aux paragraphes 6.</w:t>
      </w:r>
    </w:p>
    <w:p w14:paraId="60B4ED62"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1803B21A"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8. Lorsque les produits de la pêche sont contenus dans un emballage en vue de l’approvisionnement direct du consommateur final, il est suffisant d’apposer la marque à l’extérieur de cet emballage.</w:t>
      </w:r>
    </w:p>
    <w:p w14:paraId="60D45FB1"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4E67F7BF" w14:textId="77777777" w:rsidR="003D69A8" w:rsidRPr="005E1EA7" w:rsidRDefault="003D69A8" w:rsidP="003D69A8">
      <w:pPr>
        <w:autoSpaceDE w:val="0"/>
        <w:autoSpaceDN w:val="0"/>
        <w:adjustRightInd w:val="0"/>
        <w:jc w:val="center"/>
        <w:rPr>
          <w:rFonts w:ascii="Tahoma" w:eastAsia="EUAlbertina-Regular-Identity-H" w:hAnsi="Tahoma" w:cs="Tahoma"/>
          <w:b/>
          <w:bCs/>
          <w:sz w:val="20"/>
          <w:szCs w:val="20"/>
        </w:rPr>
      </w:pPr>
      <w:r w:rsidRPr="005E1EA7">
        <w:rPr>
          <w:rFonts w:ascii="Tahoma" w:eastAsia="EUAlbertina-Regular-Identity-H" w:hAnsi="Tahoma" w:cs="Tahoma"/>
          <w:b/>
          <w:bCs/>
          <w:sz w:val="20"/>
          <w:szCs w:val="20"/>
        </w:rPr>
        <w:t>CHAPITRE II : EXIGENCES APPLICABLES AUX NAVIRES</w:t>
      </w:r>
    </w:p>
    <w:p w14:paraId="05982A30"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39973813"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Les exploitants du secteur halieutique doivent veiller à ce que les navires utilisés pour récolter des produits de la pêche dans leur milieu naturel ou pour manipuler ou traiter ces produits après les avoir récoltés respectent les conditions structurelles et d’équipement fixées dans la partie I et que les opérations effectuées à bord des navires aient lieu dans le respect des conditions fixées dans la partie II en matière d’hygiène.</w:t>
      </w:r>
    </w:p>
    <w:p w14:paraId="794EF310"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64CF958F" w14:textId="77777777" w:rsidR="003D69A8" w:rsidRPr="005E1EA7" w:rsidRDefault="003D69A8" w:rsidP="003D69A8">
      <w:pPr>
        <w:autoSpaceDE w:val="0"/>
        <w:autoSpaceDN w:val="0"/>
        <w:adjustRightInd w:val="0"/>
        <w:jc w:val="both"/>
        <w:rPr>
          <w:rFonts w:ascii="Tahoma" w:eastAsia="EUAlbertina-Regular-Identity-H" w:hAnsi="Tahoma" w:cs="Tahoma"/>
          <w:b/>
          <w:bCs/>
          <w:sz w:val="20"/>
          <w:szCs w:val="20"/>
        </w:rPr>
      </w:pPr>
      <w:r w:rsidRPr="005E1EA7">
        <w:rPr>
          <w:rFonts w:ascii="Tahoma" w:eastAsia="EUAlbertina-Regular-Identity-H" w:hAnsi="Tahoma" w:cs="Tahoma"/>
          <w:b/>
          <w:bCs/>
          <w:sz w:val="20"/>
          <w:szCs w:val="20"/>
        </w:rPr>
        <w:t>I. EXIGENCES STRUCTURELLES EN MATIERE D’ARMEMENT</w:t>
      </w:r>
    </w:p>
    <w:p w14:paraId="0AA98C9C"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2583E13D" w14:textId="77777777" w:rsidR="003D69A8" w:rsidRPr="005E1EA7" w:rsidRDefault="003D69A8" w:rsidP="003D69A8">
      <w:pPr>
        <w:autoSpaceDE w:val="0"/>
        <w:autoSpaceDN w:val="0"/>
        <w:adjustRightInd w:val="0"/>
        <w:jc w:val="both"/>
        <w:rPr>
          <w:rFonts w:ascii="Tahoma" w:eastAsia="EUAlbertina-Bold-Identity-H" w:hAnsi="Tahoma" w:cs="Tahoma"/>
          <w:b/>
          <w:bCs/>
          <w:sz w:val="20"/>
          <w:szCs w:val="20"/>
        </w:rPr>
      </w:pPr>
      <w:r w:rsidRPr="005E1EA7">
        <w:rPr>
          <w:rFonts w:ascii="Tahoma" w:eastAsia="EUAlbertina-Regular-Identity-H" w:hAnsi="Tahoma" w:cs="Tahoma"/>
          <w:b/>
          <w:bCs/>
          <w:sz w:val="20"/>
          <w:szCs w:val="20"/>
        </w:rPr>
        <w:t xml:space="preserve">A. </w:t>
      </w:r>
      <w:r w:rsidRPr="005E1EA7">
        <w:rPr>
          <w:rFonts w:ascii="Tahoma" w:eastAsia="EUAlbertina-Bold-Identity-H" w:hAnsi="Tahoma" w:cs="Tahoma"/>
          <w:b/>
          <w:bCs/>
          <w:sz w:val="20"/>
          <w:szCs w:val="20"/>
        </w:rPr>
        <w:t>Exigences applicables à tous les navires</w:t>
      </w:r>
    </w:p>
    <w:p w14:paraId="4F64AD36" w14:textId="77777777" w:rsidR="003D69A8" w:rsidRPr="005E1EA7" w:rsidRDefault="003D69A8" w:rsidP="003D69A8">
      <w:pPr>
        <w:autoSpaceDE w:val="0"/>
        <w:autoSpaceDN w:val="0"/>
        <w:adjustRightInd w:val="0"/>
        <w:jc w:val="both"/>
        <w:rPr>
          <w:rFonts w:ascii="Tahoma" w:eastAsia="EUAlbertina-Bold-Identity-H" w:hAnsi="Tahoma" w:cs="Tahoma"/>
          <w:sz w:val="20"/>
          <w:szCs w:val="20"/>
        </w:rPr>
      </w:pPr>
    </w:p>
    <w:p w14:paraId="6455D877"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1. Les navires doivent être conçus et construits de manière à éviter toute contamination des produits par l’eau de cale, les eaux résiduaires, les fumées, le carburant, l’huile, la graisse ou d’autres substances nocives.</w:t>
      </w:r>
    </w:p>
    <w:p w14:paraId="4C5E43FE"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57633D4A"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2. Les surfaces avec lesquelles les produits de la pêche entrent en contact doivent être faites d’un matériau approprié résistant à la corrosion, lisse et facile à nettoyer. Leur revêtement doit être solide et non toxique.</w:t>
      </w:r>
    </w:p>
    <w:p w14:paraId="15332DCE"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6770FD38"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3. L’équipement et le matériel utilisés pour le travail des produits de la pêche doivent être faits d’un matériau résistant à la corrosion et facile à nettoyer et à désinfecter.</w:t>
      </w:r>
    </w:p>
    <w:p w14:paraId="74AF2ED3"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7FA43A8D"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4. Lorsque les navires disposent d’une arrivée d’eau destinée aux produits de la pêche, elle doit être située dans un endroit qui évite toute contamination de l’eau.</w:t>
      </w:r>
    </w:p>
    <w:p w14:paraId="5A67349F"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445AAC46" w14:textId="77777777" w:rsidR="003D69A8" w:rsidRPr="005E1EA7" w:rsidRDefault="003D69A8" w:rsidP="003D69A8">
      <w:pPr>
        <w:autoSpaceDE w:val="0"/>
        <w:autoSpaceDN w:val="0"/>
        <w:adjustRightInd w:val="0"/>
        <w:jc w:val="both"/>
        <w:rPr>
          <w:rFonts w:ascii="Tahoma" w:eastAsia="EUAlbertina-Bold-Identity-H" w:hAnsi="Tahoma" w:cs="Tahoma"/>
          <w:b/>
          <w:bCs/>
          <w:sz w:val="20"/>
          <w:szCs w:val="20"/>
        </w:rPr>
      </w:pPr>
      <w:r w:rsidRPr="005E1EA7">
        <w:rPr>
          <w:rFonts w:ascii="Tahoma" w:eastAsia="EUAlbertina-Regular-Identity-H" w:hAnsi="Tahoma" w:cs="Tahoma"/>
          <w:b/>
          <w:bCs/>
          <w:sz w:val="20"/>
          <w:szCs w:val="20"/>
        </w:rPr>
        <w:t xml:space="preserve">B. </w:t>
      </w:r>
      <w:r w:rsidRPr="005E1EA7">
        <w:rPr>
          <w:rFonts w:ascii="Tahoma" w:eastAsia="EUAlbertina-Bold-Identity-H" w:hAnsi="Tahoma" w:cs="Tahoma"/>
          <w:b/>
          <w:bCs/>
          <w:sz w:val="20"/>
          <w:szCs w:val="20"/>
        </w:rPr>
        <w:t>Exigences applicables aux bateaux conçus et équipés pour assurer la conservation des produits de la pêche frais pendant plus de vingt-quatre heures</w:t>
      </w:r>
    </w:p>
    <w:p w14:paraId="658FE493" w14:textId="77777777" w:rsidR="003D69A8" w:rsidRPr="005E1EA7" w:rsidRDefault="003D69A8" w:rsidP="003D69A8">
      <w:pPr>
        <w:autoSpaceDE w:val="0"/>
        <w:autoSpaceDN w:val="0"/>
        <w:adjustRightInd w:val="0"/>
        <w:jc w:val="both"/>
        <w:rPr>
          <w:rFonts w:ascii="Tahoma" w:eastAsia="EUAlbertina-Bold-Identity-H" w:hAnsi="Tahoma" w:cs="Tahoma"/>
          <w:sz w:val="20"/>
          <w:szCs w:val="20"/>
        </w:rPr>
      </w:pPr>
    </w:p>
    <w:p w14:paraId="5C40D1DD"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1. Les bateaux conçus et équipés pour assurer la conservation des produits de la pêche pendant plus de vingt-quatre heures doivent être équipés de cales, de citernes ou de conteneurs pour l’entreposage de produits de la pêche aux températures prescrites au chapitre VIII.</w:t>
      </w:r>
    </w:p>
    <w:p w14:paraId="3DBFEBCB"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06C5A2CA"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2. Les cales doivent être séparées du compartiment machine et des locaux réservés à l’équipage par des cloisons permettant d’écarter tout risque de contamination des produits de la pêche entreposés. Les récipients utilisés pour l’entreposage des produits de la pêche doivent pouvoir assurer la conservation de ceux-ci dans des conditions d’hygiène satisfaisantes et, le cas échéant, permettre un écoulement adéquat de manière que l’eau de fusion ne reste pas en contact avec les produits.</w:t>
      </w:r>
    </w:p>
    <w:p w14:paraId="6702E344"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74D59745"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3. Dans les bateaux équipés pour la réfrigération des produits de la pêche dans de l'eau de mer propre refroidie, les citernes doivent être dotées d’un système y assurant une température homogène. Ce dispositif doit permettre d’atteindre un taux de réfrigération tel que la température du mélange de poissons et d’eau de mer propre ne dépasse pas 3°C six heures après le chargement ni 0 °C après 16 heures ainsi que permettre la surveillance et, s’il y a lieu, l’enregistrement de la température.</w:t>
      </w:r>
    </w:p>
    <w:p w14:paraId="41191DAA"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7B93D64D" w14:textId="77777777" w:rsidR="003D69A8" w:rsidRPr="005E1EA7" w:rsidRDefault="003D69A8" w:rsidP="003D69A8">
      <w:pPr>
        <w:autoSpaceDE w:val="0"/>
        <w:autoSpaceDN w:val="0"/>
        <w:adjustRightInd w:val="0"/>
        <w:jc w:val="both"/>
        <w:rPr>
          <w:rFonts w:ascii="Tahoma" w:eastAsia="EUAlbertina-Bold-Identity-H" w:hAnsi="Tahoma" w:cs="Tahoma"/>
          <w:b/>
          <w:bCs/>
          <w:sz w:val="20"/>
          <w:szCs w:val="20"/>
        </w:rPr>
      </w:pPr>
      <w:r w:rsidRPr="005E1EA7">
        <w:rPr>
          <w:rFonts w:ascii="Tahoma" w:eastAsia="EUAlbertina-Regular-Identity-H" w:hAnsi="Tahoma" w:cs="Tahoma"/>
          <w:b/>
          <w:bCs/>
          <w:sz w:val="20"/>
          <w:szCs w:val="20"/>
        </w:rPr>
        <w:t xml:space="preserve">C. </w:t>
      </w:r>
      <w:r w:rsidRPr="005E1EA7">
        <w:rPr>
          <w:rFonts w:ascii="Tahoma" w:eastAsia="EUAlbertina-Bold-Identity-H" w:hAnsi="Tahoma" w:cs="Tahoma"/>
          <w:b/>
          <w:bCs/>
          <w:sz w:val="20"/>
          <w:szCs w:val="20"/>
        </w:rPr>
        <w:t>Exigences applicables aux bateaux congélateurs</w:t>
      </w:r>
    </w:p>
    <w:p w14:paraId="7191361D" w14:textId="77777777" w:rsidR="003D69A8" w:rsidRPr="005E1EA7" w:rsidRDefault="003D69A8" w:rsidP="003D69A8">
      <w:pPr>
        <w:autoSpaceDE w:val="0"/>
        <w:autoSpaceDN w:val="0"/>
        <w:adjustRightInd w:val="0"/>
        <w:jc w:val="both"/>
        <w:rPr>
          <w:rFonts w:ascii="Tahoma" w:eastAsia="EUAlbertina-Bold-Identity-H" w:hAnsi="Tahoma" w:cs="Tahoma"/>
          <w:sz w:val="20"/>
          <w:szCs w:val="20"/>
        </w:rPr>
      </w:pPr>
    </w:p>
    <w:p w14:paraId="6AD5F72F"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Les bateaux congélateurs doivent :</w:t>
      </w:r>
    </w:p>
    <w:p w14:paraId="2D78C1A2"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0CA92B90"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1. Disposer d’un équipement de congélation d’une puissance suffisante pour que le cœur des produits atteigne rapidement une température ne dépassant pas - 18 °C ;</w:t>
      </w:r>
    </w:p>
    <w:p w14:paraId="50F8E045"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76C0904E"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lastRenderedPageBreak/>
        <w:t>2. Disposer d’installations frigorifiques d’une puissance suffisante pour maintenir les produits de la pêche dans les locaux d’entreposage à une température ne dépassant pas - 18 °C. Les locaux d’entreposage doivent être munis d’un système d’enregistrement de la température placé de façon à pouvoir être consulté facilement. La sonde thermique de l’enregistreur doit être située dans la zone du local d’entreposage où la température est la plus élevée ;</w:t>
      </w:r>
    </w:p>
    <w:p w14:paraId="546CE6FD"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70E64BE7"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3. Répondre aux exigences, fixées au point 2 de la partie B, applicables aux bateaux conçus et équipés pour assurer la conservation des produits de la pêche frais pendant plus de vingt-quatre heures.</w:t>
      </w:r>
    </w:p>
    <w:p w14:paraId="4DFACE82"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29D13927" w14:textId="77777777" w:rsidR="003D69A8" w:rsidRPr="005E1EA7" w:rsidRDefault="003D69A8" w:rsidP="003D69A8">
      <w:pPr>
        <w:autoSpaceDE w:val="0"/>
        <w:autoSpaceDN w:val="0"/>
        <w:adjustRightInd w:val="0"/>
        <w:jc w:val="both"/>
        <w:rPr>
          <w:rFonts w:ascii="Tahoma" w:eastAsia="EUAlbertina-Bold-Identity-H" w:hAnsi="Tahoma" w:cs="Tahoma"/>
          <w:b/>
          <w:bCs/>
          <w:sz w:val="20"/>
          <w:szCs w:val="20"/>
        </w:rPr>
      </w:pPr>
      <w:r w:rsidRPr="005E1EA7">
        <w:rPr>
          <w:rFonts w:ascii="Tahoma" w:eastAsia="EUAlbertina-Regular-Identity-H" w:hAnsi="Tahoma" w:cs="Tahoma"/>
          <w:b/>
          <w:bCs/>
          <w:sz w:val="20"/>
          <w:szCs w:val="20"/>
        </w:rPr>
        <w:t xml:space="preserve">D. </w:t>
      </w:r>
      <w:r w:rsidRPr="005E1EA7">
        <w:rPr>
          <w:rFonts w:ascii="Tahoma" w:eastAsia="EUAlbertina-Bold-Identity-H" w:hAnsi="Tahoma" w:cs="Tahoma"/>
          <w:b/>
          <w:bCs/>
          <w:sz w:val="20"/>
          <w:szCs w:val="20"/>
        </w:rPr>
        <w:t>Exigences applicables aux navires-usines</w:t>
      </w:r>
    </w:p>
    <w:p w14:paraId="5A8A6488" w14:textId="77777777" w:rsidR="003D69A8" w:rsidRPr="005E1EA7" w:rsidRDefault="003D69A8" w:rsidP="003D69A8">
      <w:pPr>
        <w:autoSpaceDE w:val="0"/>
        <w:autoSpaceDN w:val="0"/>
        <w:adjustRightInd w:val="0"/>
        <w:jc w:val="both"/>
        <w:rPr>
          <w:rFonts w:ascii="Tahoma" w:eastAsia="EUAlbertina-Bold-Identity-H" w:hAnsi="Tahoma" w:cs="Tahoma"/>
          <w:sz w:val="20"/>
          <w:szCs w:val="20"/>
        </w:rPr>
      </w:pPr>
    </w:p>
    <w:p w14:paraId="0A3FADAB"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1. Les navires-usines doivent disposer au moins :</w:t>
      </w:r>
    </w:p>
    <w:p w14:paraId="47F6410D"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4D2A77F3" w14:textId="77777777" w:rsidR="003D69A8" w:rsidRPr="005E1EA7" w:rsidRDefault="003D69A8" w:rsidP="003D69A8">
      <w:pPr>
        <w:autoSpaceDE w:val="0"/>
        <w:autoSpaceDN w:val="0"/>
        <w:adjustRightInd w:val="0"/>
        <w:ind w:left="720" w:hanging="360"/>
        <w:jc w:val="both"/>
        <w:rPr>
          <w:rFonts w:ascii="Tahoma" w:eastAsia="EUAlbertina-Regular-Identity-H" w:hAnsi="Tahoma" w:cs="Tahoma"/>
          <w:sz w:val="20"/>
          <w:szCs w:val="20"/>
        </w:rPr>
      </w:pPr>
      <w:r w:rsidRPr="005E1EA7">
        <w:rPr>
          <w:rFonts w:ascii="Tahoma" w:eastAsia="EUAlbertina-Regular-Identity-H" w:hAnsi="Tahoma" w:cs="Tahoma"/>
          <w:sz w:val="20"/>
          <w:szCs w:val="20"/>
        </w:rPr>
        <w:t>a) d’une aire de réception réservée à la mise à bord des produits de la pêche, conçue de façon à permettre la séparation des apports successifs. Elle doit être facile à nettoyer et conçue de façon à protéger les produits de l’action du soleil ou des intempéries ainsi que de toute source de contamination ;</w:t>
      </w:r>
    </w:p>
    <w:p w14:paraId="71487227"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035029F3" w14:textId="77777777" w:rsidR="003D69A8" w:rsidRPr="005E1EA7" w:rsidRDefault="003D69A8" w:rsidP="003D69A8">
      <w:pPr>
        <w:autoSpaceDE w:val="0"/>
        <w:autoSpaceDN w:val="0"/>
        <w:adjustRightInd w:val="0"/>
        <w:ind w:left="720" w:hanging="360"/>
        <w:jc w:val="both"/>
        <w:rPr>
          <w:rFonts w:ascii="Tahoma" w:eastAsia="EUAlbertina-Regular-Identity-H" w:hAnsi="Tahoma" w:cs="Tahoma"/>
          <w:sz w:val="20"/>
          <w:szCs w:val="20"/>
        </w:rPr>
      </w:pPr>
      <w:r w:rsidRPr="005E1EA7">
        <w:rPr>
          <w:rFonts w:ascii="Tahoma" w:eastAsia="EUAlbertina-Regular-Identity-H" w:hAnsi="Tahoma" w:cs="Tahoma"/>
          <w:sz w:val="20"/>
          <w:szCs w:val="20"/>
        </w:rPr>
        <w:t>b) d’un système d’acheminement des produits de la pêche de l’aire de réception vers le lieu de travail, conforme aux règles d’hygiène ;</w:t>
      </w:r>
    </w:p>
    <w:p w14:paraId="3565F26B"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2311D3FC" w14:textId="77777777" w:rsidR="003D69A8" w:rsidRPr="005E1EA7" w:rsidRDefault="003D69A8" w:rsidP="003D69A8">
      <w:pPr>
        <w:autoSpaceDE w:val="0"/>
        <w:autoSpaceDN w:val="0"/>
        <w:adjustRightInd w:val="0"/>
        <w:ind w:left="720" w:hanging="360"/>
        <w:jc w:val="both"/>
        <w:rPr>
          <w:rFonts w:ascii="Tahoma" w:eastAsia="EUAlbertina-Regular-Identity-H" w:hAnsi="Tahoma" w:cs="Tahoma"/>
          <w:sz w:val="20"/>
          <w:szCs w:val="20"/>
        </w:rPr>
      </w:pPr>
      <w:r w:rsidRPr="005E1EA7">
        <w:rPr>
          <w:rFonts w:ascii="Tahoma" w:eastAsia="EUAlbertina-Regular-Identity-H" w:hAnsi="Tahoma" w:cs="Tahoma"/>
          <w:sz w:val="20"/>
          <w:szCs w:val="20"/>
        </w:rPr>
        <w:t>c) de lieux de travail de dimensions suffisantes pour permettre de procéder à la préparation et à la transformation des produits de la pêche dans des conditions d’hygiène satisfaisantes, faciles à nettoyer et à désinfecter et conçus et disposés de façon à éviter toute contamination des produits ;</w:t>
      </w:r>
    </w:p>
    <w:p w14:paraId="7DFE1E3E"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18DB3D77" w14:textId="77777777" w:rsidR="003D69A8" w:rsidRPr="005E1EA7" w:rsidRDefault="003D69A8" w:rsidP="003D69A8">
      <w:pPr>
        <w:autoSpaceDE w:val="0"/>
        <w:autoSpaceDN w:val="0"/>
        <w:adjustRightInd w:val="0"/>
        <w:ind w:left="720" w:hanging="360"/>
        <w:jc w:val="both"/>
        <w:rPr>
          <w:rFonts w:ascii="Tahoma" w:eastAsia="EUAlbertina-Regular-Identity-H" w:hAnsi="Tahoma" w:cs="Tahoma"/>
          <w:sz w:val="20"/>
          <w:szCs w:val="20"/>
        </w:rPr>
      </w:pPr>
      <w:r w:rsidRPr="005E1EA7">
        <w:rPr>
          <w:rFonts w:ascii="Tahoma" w:eastAsia="EUAlbertina-Regular-Identity-H" w:hAnsi="Tahoma" w:cs="Tahoma"/>
          <w:sz w:val="20"/>
          <w:szCs w:val="20"/>
        </w:rPr>
        <w:t>d) de lieux d’entreposage des produits finis de dimensions suffisantes, conçus de façon à pouvoir être facilement nettoyés ; si une unité de traitement des déchets fonctionne à bord, une cale séparée doit être destinée à l’entreposage de ces déchets ;</w:t>
      </w:r>
    </w:p>
    <w:p w14:paraId="2DD1CB55"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64725232" w14:textId="77777777" w:rsidR="003D69A8" w:rsidRPr="005E1EA7" w:rsidRDefault="003D69A8" w:rsidP="003D69A8">
      <w:pPr>
        <w:autoSpaceDE w:val="0"/>
        <w:autoSpaceDN w:val="0"/>
        <w:adjustRightInd w:val="0"/>
        <w:ind w:left="720" w:hanging="360"/>
        <w:jc w:val="both"/>
        <w:rPr>
          <w:rFonts w:ascii="Tahoma" w:eastAsia="EUAlbertina-Regular-Identity-H" w:hAnsi="Tahoma" w:cs="Tahoma"/>
          <w:sz w:val="20"/>
          <w:szCs w:val="20"/>
        </w:rPr>
      </w:pPr>
      <w:r w:rsidRPr="005E1EA7">
        <w:rPr>
          <w:rFonts w:ascii="Tahoma" w:eastAsia="EUAlbertina-Regular-Identity-H" w:hAnsi="Tahoma" w:cs="Tahoma"/>
          <w:sz w:val="20"/>
          <w:szCs w:val="20"/>
        </w:rPr>
        <w:t>e) d’un local d’entreposage du matériel d’emballage, séparé des lieux de préparation et de transformation des produits ;</w:t>
      </w:r>
    </w:p>
    <w:p w14:paraId="10C82B99"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6A3D417B" w14:textId="77777777" w:rsidR="003D69A8" w:rsidRPr="005E1EA7" w:rsidRDefault="003D69A8" w:rsidP="003D69A8">
      <w:pPr>
        <w:autoSpaceDE w:val="0"/>
        <w:autoSpaceDN w:val="0"/>
        <w:adjustRightInd w:val="0"/>
        <w:ind w:left="720" w:hanging="360"/>
        <w:jc w:val="both"/>
        <w:rPr>
          <w:rFonts w:ascii="Tahoma" w:eastAsia="EUAlbertina-Regular-Identity-H" w:hAnsi="Tahoma" w:cs="Tahoma"/>
          <w:sz w:val="20"/>
          <w:szCs w:val="20"/>
        </w:rPr>
      </w:pPr>
      <w:r w:rsidRPr="005E1EA7">
        <w:rPr>
          <w:rFonts w:ascii="Tahoma" w:eastAsia="EUAlbertina-Regular-Identity-H" w:hAnsi="Tahoma" w:cs="Tahoma"/>
          <w:sz w:val="20"/>
          <w:szCs w:val="20"/>
        </w:rPr>
        <w:t>f) d’équipements spéciaux pour évacuer soit directement dans la mer, soit, si les circonstances l’exigent, dans une cuve étanche réservée à cet usage, les déchets et produits de la pêche impropres à la consommation humaine ; si ces déchets sont entreposés et traités à bord en vue de leur assainissement, des locaux séparés doivent être prévus à cet effet ;</w:t>
      </w:r>
    </w:p>
    <w:p w14:paraId="4B05EEAA"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3DA1C793" w14:textId="77777777" w:rsidR="003D69A8" w:rsidRPr="005E1EA7" w:rsidRDefault="003D69A8" w:rsidP="003D69A8">
      <w:pPr>
        <w:autoSpaceDE w:val="0"/>
        <w:autoSpaceDN w:val="0"/>
        <w:adjustRightInd w:val="0"/>
        <w:ind w:left="720" w:hanging="360"/>
        <w:jc w:val="both"/>
        <w:rPr>
          <w:rFonts w:ascii="Tahoma" w:eastAsia="EUAlbertina-Regular-Identity-H" w:hAnsi="Tahoma" w:cs="Tahoma"/>
          <w:sz w:val="20"/>
          <w:szCs w:val="20"/>
        </w:rPr>
      </w:pPr>
      <w:r w:rsidRPr="005E1EA7">
        <w:rPr>
          <w:rFonts w:ascii="Tahoma" w:eastAsia="EUAlbertina-Regular-Identity-H" w:hAnsi="Tahoma" w:cs="Tahoma"/>
          <w:sz w:val="20"/>
          <w:szCs w:val="20"/>
        </w:rPr>
        <w:t>g) un orifice de pompage de l’eau situé à un emplacement qui permet d’éviter la contamination de l’eau ;</w:t>
      </w:r>
    </w:p>
    <w:p w14:paraId="027227C0"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706B9FF4" w14:textId="77777777" w:rsidR="003D69A8" w:rsidRPr="005E1EA7" w:rsidRDefault="003D69A8" w:rsidP="003D69A8">
      <w:pPr>
        <w:autoSpaceDE w:val="0"/>
        <w:autoSpaceDN w:val="0"/>
        <w:adjustRightInd w:val="0"/>
        <w:ind w:left="720" w:hanging="360"/>
        <w:jc w:val="both"/>
        <w:rPr>
          <w:rFonts w:ascii="Tahoma" w:eastAsia="EUAlbertina-Regular-Identity-H" w:hAnsi="Tahoma" w:cs="Tahoma"/>
          <w:sz w:val="20"/>
          <w:szCs w:val="20"/>
        </w:rPr>
      </w:pPr>
      <w:r w:rsidRPr="005E1EA7">
        <w:rPr>
          <w:rFonts w:ascii="Tahoma" w:eastAsia="EUAlbertina-Regular-Identity-H" w:hAnsi="Tahoma" w:cs="Tahoma"/>
          <w:sz w:val="20"/>
          <w:szCs w:val="20"/>
        </w:rPr>
        <w:t>h) de dispositifs pour le nettoyage des mains à usage du personnel manipulant les produits de la pêche exposés, qui soient pourvus de robinets conçus pour éviter la propagation de la contamination.</w:t>
      </w:r>
    </w:p>
    <w:p w14:paraId="6BE43E1D"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2E2FD3A6"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2. Toutefois, les navires-usines à bord desquels la cuisson, la réfrigération et le conditionnement des crustacés et des mollusques sont pratiqués ne sont pas tenus de se conformer aux exigences du paragraphe 1 si aucune autre forme de traitement ou de transformation n’a lieu à bord de ces navires.</w:t>
      </w:r>
    </w:p>
    <w:p w14:paraId="7BD75D8B"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102CA053"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3. Les navires-usines qui congèlent les produits de la pêche doivent disposer d’un équipement répondant aux conditions applicables aux navires-usines prévues à la partie C, points 1 et 2.</w:t>
      </w:r>
    </w:p>
    <w:p w14:paraId="1B0F492D"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3476FF97" w14:textId="77777777" w:rsidR="003D69A8" w:rsidRPr="005E1EA7" w:rsidRDefault="003D69A8" w:rsidP="003D69A8">
      <w:pPr>
        <w:autoSpaceDE w:val="0"/>
        <w:autoSpaceDN w:val="0"/>
        <w:adjustRightInd w:val="0"/>
        <w:jc w:val="both"/>
        <w:rPr>
          <w:rFonts w:ascii="Tahoma" w:eastAsia="EUAlbertina-Regular-Identity-H" w:hAnsi="Tahoma" w:cs="Tahoma"/>
          <w:b/>
          <w:bCs/>
          <w:sz w:val="20"/>
          <w:szCs w:val="20"/>
        </w:rPr>
      </w:pPr>
      <w:r w:rsidRPr="005E1EA7">
        <w:rPr>
          <w:rFonts w:ascii="Tahoma" w:eastAsia="EUAlbertina-Regular-Identity-H" w:hAnsi="Tahoma" w:cs="Tahoma"/>
          <w:b/>
          <w:bCs/>
          <w:sz w:val="20"/>
          <w:szCs w:val="20"/>
        </w:rPr>
        <w:t>II. EXIGENCES EN MATIERE D’HYGIENE</w:t>
      </w:r>
    </w:p>
    <w:p w14:paraId="54381F31"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081184C1"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1. Au moment de leur utilisation, les parties des bateaux ou les conteneurs réservés à l’entreposage des produits de la pêche doivent être maintenus propres et en bon état d’entretien. En particulier, ils ne doivent pas être souillés par le carburant ou par l’eau de cale.</w:t>
      </w:r>
    </w:p>
    <w:p w14:paraId="231E8D72"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66252421"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lastRenderedPageBreak/>
        <w:t>2. Dès que possible après leur mise à bord, les produits de la pêche doivent être placés à l’abri de toute contamination et être protégés contre les effets du soleil ou de toute autre source de chaleur. Lorsqu’ils sont lavés, l’eau utilisée doit être soit de l’eau potable, soit, le cas échéant, de l’eau propre.</w:t>
      </w:r>
    </w:p>
    <w:p w14:paraId="39E7FE66"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141764ED"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3. Les produits de la pêche doivent être manipulés et entreposés de façon à éviter qu’ils ne soient meurtris. Les manipulateurs peuvent utiliser des instruments pointus pour déplacer les poissons de grande taille ou les poissons susceptibles de les blesser, à condition que les chairs de ces produits ne soient pas détériorées.</w:t>
      </w:r>
    </w:p>
    <w:p w14:paraId="608791B7"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4BEE0D78"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4. Les produits de la pêche autres que ceux qui sont conservés vivants doivent être réfrigérés le plus rapidement possible après leur chargement. Toutefois, lorsque la réfrigération n’est pas possible, les produits de la pêche doivent être débarqués dès que possible.</w:t>
      </w:r>
    </w:p>
    <w:p w14:paraId="06879554"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1A787E1A"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5. La glace utilisée pour la réfrigération des produits de la pêche doit être obtenue à partir d’eau potable ou propre.</w:t>
      </w:r>
    </w:p>
    <w:p w14:paraId="1B8A62F8"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27038E6D"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6. Lorsque les poissons sont étêtés et/ou éviscérés à bord, ces opérations doivent être effectuées de manière hygiénique et dès que possible après la capture, et les produits doivent être lavés immédiatement et abondamment à l’eau potable ou à l’eau propre. Dans ce cas, les viscères et les parties pouvant constituer un danger pour la santé publique doivent être retirés au plus vite et être conservés à l’écart des produits destinés à la consommation humaine. Les foies, œufs et laitances destinés à la consommation humaine doivent être conservés sous glace, à une température approchant celle de la glace fondante, ou congelés.</w:t>
      </w:r>
    </w:p>
    <w:p w14:paraId="4E7BA644"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78A66128"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7. Lorsque des poissons entiers destinés à l’industrie de la conserve sont congelés en saumure, ils doivent atteindre une température ne dépassant pas – 9 °C. La saumure ne doit pas constituer une source de contamination des poissons.</w:t>
      </w:r>
    </w:p>
    <w:p w14:paraId="21EA2F4C"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30254283" w14:textId="77777777" w:rsidR="003D69A8" w:rsidRPr="005E1EA7" w:rsidRDefault="003D69A8" w:rsidP="003D69A8">
      <w:pPr>
        <w:autoSpaceDE w:val="0"/>
        <w:autoSpaceDN w:val="0"/>
        <w:adjustRightInd w:val="0"/>
        <w:jc w:val="center"/>
        <w:rPr>
          <w:rFonts w:ascii="Tahoma" w:eastAsia="EUAlbertina-Regular-Identity-H" w:hAnsi="Tahoma" w:cs="Tahoma"/>
          <w:b/>
          <w:bCs/>
          <w:sz w:val="20"/>
          <w:szCs w:val="20"/>
        </w:rPr>
      </w:pPr>
      <w:r w:rsidRPr="005E1EA7">
        <w:rPr>
          <w:rFonts w:ascii="Tahoma" w:eastAsia="EUAlbertina-Regular-Identity-H" w:hAnsi="Tahoma" w:cs="Tahoma"/>
          <w:b/>
          <w:bCs/>
          <w:sz w:val="20"/>
          <w:szCs w:val="20"/>
        </w:rPr>
        <w:t>CHAPITRE III : EXIGENCES A RESPECTER PENDANT ET APRES LE DEBARQUEMENT</w:t>
      </w:r>
    </w:p>
    <w:p w14:paraId="20757582" w14:textId="77777777" w:rsidR="003D69A8" w:rsidRPr="005E1EA7" w:rsidRDefault="003D69A8" w:rsidP="003D69A8">
      <w:pPr>
        <w:autoSpaceDE w:val="0"/>
        <w:autoSpaceDN w:val="0"/>
        <w:adjustRightInd w:val="0"/>
        <w:jc w:val="center"/>
        <w:rPr>
          <w:rFonts w:ascii="Tahoma" w:eastAsia="EUAlbertina-Regular-Identity-H" w:hAnsi="Tahoma" w:cs="Tahoma"/>
          <w:sz w:val="20"/>
          <w:szCs w:val="20"/>
        </w:rPr>
      </w:pPr>
    </w:p>
    <w:p w14:paraId="5529AE81"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1. Les exploitants du secteur halieutique responsables du déchargement et du débarquement des produits de la pêche doivent :</w:t>
      </w:r>
    </w:p>
    <w:p w14:paraId="3B186022"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312CC6F4" w14:textId="77777777" w:rsidR="003D69A8" w:rsidRPr="005E1EA7" w:rsidRDefault="003D69A8" w:rsidP="003D69A8">
      <w:pPr>
        <w:autoSpaceDE w:val="0"/>
        <w:autoSpaceDN w:val="0"/>
        <w:adjustRightInd w:val="0"/>
        <w:ind w:left="720" w:hanging="360"/>
        <w:jc w:val="both"/>
        <w:rPr>
          <w:rFonts w:ascii="Tahoma" w:eastAsia="EUAlbertina-Regular-Identity-H" w:hAnsi="Tahoma" w:cs="Tahoma"/>
          <w:sz w:val="20"/>
          <w:szCs w:val="20"/>
        </w:rPr>
      </w:pPr>
      <w:r w:rsidRPr="005E1EA7">
        <w:rPr>
          <w:rFonts w:ascii="Tahoma" w:eastAsia="EUAlbertina-Regular-Identity-H" w:hAnsi="Tahoma" w:cs="Tahoma"/>
          <w:sz w:val="20"/>
          <w:szCs w:val="20"/>
        </w:rPr>
        <w:t>a) veiller à ce que le matériel de déchargement et de débarquement qui entre en contact avec les produits de la pêche soit constitué d’un matériau facile à nettoyer et à désinfecter et doit être maintenu en bon état d’entretien et de propreté ;</w:t>
      </w:r>
    </w:p>
    <w:p w14:paraId="1DD946E0"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3380B6C0" w14:textId="77777777" w:rsidR="003D69A8" w:rsidRPr="005E1EA7" w:rsidRDefault="003D69A8" w:rsidP="003D69A8">
      <w:pPr>
        <w:autoSpaceDE w:val="0"/>
        <w:autoSpaceDN w:val="0"/>
        <w:adjustRightInd w:val="0"/>
        <w:ind w:left="720" w:hanging="360"/>
        <w:jc w:val="both"/>
        <w:rPr>
          <w:rFonts w:ascii="Tahoma" w:eastAsia="EUAlbertina-Regular-Identity-H" w:hAnsi="Tahoma" w:cs="Tahoma"/>
          <w:sz w:val="20"/>
          <w:szCs w:val="20"/>
        </w:rPr>
      </w:pPr>
      <w:r w:rsidRPr="005E1EA7">
        <w:rPr>
          <w:rFonts w:ascii="Tahoma" w:eastAsia="EUAlbertina-Regular-Identity-H" w:hAnsi="Tahoma" w:cs="Tahoma"/>
          <w:sz w:val="20"/>
          <w:szCs w:val="20"/>
        </w:rPr>
        <w:t>b) éviter, lors du déchargement et du débarquement, toute contamination des produits de la pêche, notamment :</w:t>
      </w:r>
    </w:p>
    <w:p w14:paraId="6BEFA024"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62DF6E5A" w14:textId="77777777" w:rsidR="003D69A8" w:rsidRPr="005E1EA7" w:rsidRDefault="003D69A8" w:rsidP="003D69A8">
      <w:pPr>
        <w:autoSpaceDE w:val="0"/>
        <w:autoSpaceDN w:val="0"/>
        <w:adjustRightInd w:val="0"/>
        <w:ind w:firstLine="708"/>
        <w:jc w:val="both"/>
        <w:rPr>
          <w:rFonts w:ascii="Tahoma" w:eastAsia="EUAlbertina-Regular-Identity-H" w:hAnsi="Tahoma" w:cs="Tahoma"/>
          <w:sz w:val="20"/>
          <w:szCs w:val="20"/>
        </w:rPr>
      </w:pPr>
      <w:r w:rsidRPr="005E1EA7">
        <w:rPr>
          <w:rFonts w:ascii="Tahoma" w:eastAsia="EUAlbertina-Regular-Identity-H" w:hAnsi="Tahoma" w:cs="Tahoma"/>
          <w:sz w:val="20"/>
          <w:szCs w:val="20"/>
        </w:rPr>
        <w:t>i) en déchargeant et en débarquant rapidement ;</w:t>
      </w:r>
    </w:p>
    <w:p w14:paraId="3099547A"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054AA7BD" w14:textId="77777777" w:rsidR="003D69A8" w:rsidRPr="005E1EA7" w:rsidRDefault="003D69A8" w:rsidP="003D69A8">
      <w:pPr>
        <w:autoSpaceDE w:val="0"/>
        <w:autoSpaceDN w:val="0"/>
        <w:adjustRightInd w:val="0"/>
        <w:ind w:left="1080" w:hanging="360"/>
        <w:jc w:val="both"/>
        <w:rPr>
          <w:rFonts w:ascii="Tahoma" w:eastAsia="EUAlbertina-Regular-Identity-H" w:hAnsi="Tahoma" w:cs="Tahoma"/>
          <w:sz w:val="20"/>
          <w:szCs w:val="20"/>
        </w:rPr>
      </w:pPr>
      <w:r w:rsidRPr="005E1EA7">
        <w:rPr>
          <w:rFonts w:ascii="Tahoma" w:eastAsia="EUAlbertina-Regular-Identity-H" w:hAnsi="Tahoma" w:cs="Tahoma"/>
          <w:sz w:val="20"/>
          <w:szCs w:val="20"/>
        </w:rPr>
        <w:t>ii) en plaçant les produits de la pêche sans délai dans un environnement protégé, à la température indiquée au chapitre VIII ;</w:t>
      </w:r>
    </w:p>
    <w:p w14:paraId="1C11A1DA"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6B7AF7C4" w14:textId="77777777" w:rsidR="003D69A8" w:rsidRPr="005E1EA7" w:rsidRDefault="003D69A8" w:rsidP="003D69A8">
      <w:pPr>
        <w:autoSpaceDE w:val="0"/>
        <w:autoSpaceDN w:val="0"/>
        <w:adjustRightInd w:val="0"/>
        <w:ind w:left="1080" w:hanging="360"/>
        <w:jc w:val="both"/>
        <w:rPr>
          <w:rFonts w:ascii="Tahoma" w:eastAsia="EUAlbertina-Regular-Identity-H" w:hAnsi="Tahoma" w:cs="Tahoma"/>
          <w:sz w:val="20"/>
          <w:szCs w:val="20"/>
        </w:rPr>
      </w:pPr>
      <w:r w:rsidRPr="005E1EA7">
        <w:rPr>
          <w:rFonts w:ascii="Tahoma" w:eastAsia="EUAlbertina-Regular-Identity-H" w:hAnsi="Tahoma" w:cs="Tahoma"/>
          <w:sz w:val="20"/>
          <w:szCs w:val="20"/>
        </w:rPr>
        <w:t>iii) en n’utilisant pas d’équipements et de manipulations susceptibles de détériorer inutilement les parties comestibles des produits de la pêche.</w:t>
      </w:r>
    </w:p>
    <w:p w14:paraId="678016A8"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37F21FFF"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2. Les exploitants du secteur halieutique responsables des halles de criée, des marchés de gros ou des parties des halles de criée et des marchés de gros dans lesquels les produits de la pêche sont exposés à la vente doivent veiller au respect des exigences suivantes :</w:t>
      </w:r>
    </w:p>
    <w:p w14:paraId="5EC241DE"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5D65BF62" w14:textId="77777777" w:rsidR="003D69A8" w:rsidRPr="005E1EA7" w:rsidRDefault="003D69A8" w:rsidP="003D69A8">
      <w:pPr>
        <w:autoSpaceDE w:val="0"/>
        <w:autoSpaceDN w:val="0"/>
        <w:adjustRightInd w:val="0"/>
        <w:ind w:left="720" w:hanging="360"/>
        <w:jc w:val="both"/>
        <w:rPr>
          <w:rFonts w:ascii="Tahoma" w:eastAsia="EUAlbertina-Regular-Identity-H" w:hAnsi="Tahoma" w:cs="Tahoma"/>
          <w:sz w:val="20"/>
          <w:szCs w:val="20"/>
        </w:rPr>
      </w:pPr>
      <w:r w:rsidRPr="005E1EA7">
        <w:rPr>
          <w:rFonts w:ascii="Tahoma" w:eastAsia="EUAlbertina-Regular-Identity-H" w:hAnsi="Tahoma" w:cs="Tahoma"/>
          <w:sz w:val="20"/>
          <w:szCs w:val="20"/>
        </w:rPr>
        <w:t>a) des installations fermant à clé doivent être prévues pour l’entreposage frigorifique des produits de la pêche consignés. Des installations séparées fermant à clé doivent être prévues pour l’entreposage des produits de la pêche déclarés impropres à la consommation humaine ;</w:t>
      </w:r>
    </w:p>
    <w:p w14:paraId="236BF55C"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7FB08D54" w14:textId="77777777" w:rsidR="003D69A8" w:rsidRPr="005E1EA7" w:rsidRDefault="003D69A8" w:rsidP="003D69A8">
      <w:pPr>
        <w:autoSpaceDE w:val="0"/>
        <w:autoSpaceDN w:val="0"/>
        <w:adjustRightInd w:val="0"/>
        <w:ind w:firstLine="360"/>
        <w:jc w:val="both"/>
        <w:rPr>
          <w:rFonts w:ascii="Tahoma" w:eastAsia="EUAlbertina-Regular-Identity-H" w:hAnsi="Tahoma" w:cs="Tahoma"/>
          <w:sz w:val="20"/>
          <w:szCs w:val="20"/>
        </w:rPr>
      </w:pPr>
      <w:r w:rsidRPr="005E1EA7">
        <w:rPr>
          <w:rFonts w:ascii="Tahoma" w:eastAsia="EUAlbertina-Regular-Identity-H" w:hAnsi="Tahoma" w:cs="Tahoma"/>
          <w:sz w:val="20"/>
          <w:szCs w:val="20"/>
        </w:rPr>
        <w:t>b) au moment de l’exposition ou de l’entreposage des produits de la pêche :</w:t>
      </w:r>
    </w:p>
    <w:p w14:paraId="332AD796"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0D9D69F1" w14:textId="77777777" w:rsidR="003D69A8" w:rsidRPr="005E1EA7" w:rsidRDefault="003D69A8" w:rsidP="003D69A8">
      <w:pPr>
        <w:autoSpaceDE w:val="0"/>
        <w:autoSpaceDN w:val="0"/>
        <w:adjustRightInd w:val="0"/>
        <w:ind w:firstLine="708"/>
        <w:jc w:val="both"/>
        <w:rPr>
          <w:rFonts w:ascii="Tahoma" w:eastAsia="EUAlbertina-Regular-Identity-H" w:hAnsi="Tahoma" w:cs="Tahoma"/>
          <w:sz w:val="20"/>
          <w:szCs w:val="20"/>
        </w:rPr>
      </w:pPr>
      <w:r w:rsidRPr="005E1EA7">
        <w:rPr>
          <w:rFonts w:ascii="Tahoma" w:eastAsia="EUAlbertina-Regular-Identity-H" w:hAnsi="Tahoma" w:cs="Tahoma"/>
          <w:sz w:val="20"/>
          <w:szCs w:val="20"/>
        </w:rPr>
        <w:lastRenderedPageBreak/>
        <w:t>i) les locaux ne doivent pas être utilisés à d’autres fins ;</w:t>
      </w:r>
    </w:p>
    <w:p w14:paraId="6AF5EADC"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773FEF7B" w14:textId="77777777" w:rsidR="003D69A8" w:rsidRPr="005E1EA7" w:rsidRDefault="003D69A8" w:rsidP="003D69A8">
      <w:pPr>
        <w:autoSpaceDE w:val="0"/>
        <w:autoSpaceDN w:val="0"/>
        <w:adjustRightInd w:val="0"/>
        <w:ind w:left="720"/>
        <w:jc w:val="both"/>
        <w:rPr>
          <w:rFonts w:ascii="Tahoma" w:eastAsia="EUAlbertina-Regular-Identity-H" w:hAnsi="Tahoma" w:cs="Tahoma"/>
          <w:sz w:val="20"/>
          <w:szCs w:val="20"/>
        </w:rPr>
      </w:pPr>
      <w:r w:rsidRPr="005E1EA7">
        <w:rPr>
          <w:rFonts w:ascii="Tahoma" w:eastAsia="EUAlbertina-Regular-Identity-H" w:hAnsi="Tahoma" w:cs="Tahoma"/>
          <w:sz w:val="20"/>
          <w:szCs w:val="20"/>
        </w:rPr>
        <w:t>ii) les véhicules émettant des gaz d’échappement susceptibles de nuire à la qualité des produits de la pêche ne peuvent pas pénétrer dans les locaux ;</w:t>
      </w:r>
    </w:p>
    <w:p w14:paraId="6AD341BC"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458DB378" w14:textId="77777777" w:rsidR="003D69A8" w:rsidRPr="005E1EA7" w:rsidRDefault="003D69A8" w:rsidP="003D69A8">
      <w:pPr>
        <w:autoSpaceDE w:val="0"/>
        <w:autoSpaceDN w:val="0"/>
        <w:adjustRightInd w:val="0"/>
        <w:ind w:left="709"/>
        <w:jc w:val="both"/>
        <w:rPr>
          <w:rFonts w:ascii="Tahoma" w:eastAsia="EUAlbertina-Regular-Identity-H" w:hAnsi="Tahoma" w:cs="Tahoma"/>
          <w:sz w:val="20"/>
          <w:szCs w:val="20"/>
        </w:rPr>
      </w:pPr>
      <w:r w:rsidRPr="005E1EA7">
        <w:rPr>
          <w:rFonts w:ascii="Tahoma" w:eastAsia="EUAlbertina-Regular-Identity-H" w:hAnsi="Tahoma" w:cs="Tahoma"/>
          <w:sz w:val="20"/>
          <w:szCs w:val="20"/>
        </w:rPr>
        <w:t xml:space="preserve">iii) les personnes ayant accès à ces locaux ne doivent pas y faire entrer d’animaux, </w:t>
      </w:r>
    </w:p>
    <w:p w14:paraId="682AEB44"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51908664" w14:textId="77777777" w:rsidR="003D69A8" w:rsidRPr="005E1EA7" w:rsidRDefault="003D69A8" w:rsidP="003D69A8">
      <w:pPr>
        <w:autoSpaceDE w:val="0"/>
        <w:autoSpaceDN w:val="0"/>
        <w:adjustRightInd w:val="0"/>
        <w:ind w:firstLine="708"/>
        <w:jc w:val="both"/>
        <w:rPr>
          <w:rFonts w:ascii="Tahoma" w:eastAsia="EUAlbertina-Regular-Identity-H" w:hAnsi="Tahoma" w:cs="Tahoma"/>
          <w:sz w:val="20"/>
          <w:szCs w:val="20"/>
        </w:rPr>
      </w:pPr>
      <w:r w:rsidRPr="005E1EA7">
        <w:rPr>
          <w:rFonts w:ascii="Tahoma" w:eastAsia="EUAlbertina-Regular-Identity-H" w:hAnsi="Tahoma" w:cs="Tahoma"/>
          <w:sz w:val="20"/>
          <w:szCs w:val="20"/>
        </w:rPr>
        <w:t>iv) les locaux doivent être bien éclairés pour faciliter les contrôles officiels.</w:t>
      </w:r>
    </w:p>
    <w:p w14:paraId="30807961"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4BBD49EA"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3. Lorsque la réfrigération n’a pas été possible à bord du navire, les produits de la pêche frais autres que ceux qui sont conservés vivants doivent être glacés dès que possible après le débarquement et entreposés à une température approchant celle de la glace fondante.</w:t>
      </w:r>
    </w:p>
    <w:p w14:paraId="37C98162"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48754B3E"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4. Les exploitants du secteur halieutique coopèrent avec l’autorité compétente pour leur permettre d’effectuer les contrôles officiels conformément aux dispositions de l’arrêté relatif aux contrôles officiels, en particulier pour ce qui est des procédures de notification du débarquement des produits de la pêche que l’autorité compétente pourrait estimer nécessaires.</w:t>
      </w:r>
    </w:p>
    <w:p w14:paraId="56D45DAB"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2C1A424A" w14:textId="77777777" w:rsidR="003D69A8" w:rsidRPr="005E1EA7" w:rsidRDefault="003D69A8" w:rsidP="003D69A8">
      <w:pPr>
        <w:autoSpaceDE w:val="0"/>
        <w:autoSpaceDN w:val="0"/>
        <w:adjustRightInd w:val="0"/>
        <w:jc w:val="center"/>
        <w:rPr>
          <w:rFonts w:ascii="Tahoma" w:eastAsia="EUAlbertina-Regular-Identity-H" w:hAnsi="Tahoma" w:cs="Tahoma"/>
          <w:sz w:val="20"/>
          <w:szCs w:val="20"/>
        </w:rPr>
      </w:pPr>
      <w:r w:rsidRPr="005E1EA7">
        <w:rPr>
          <w:rFonts w:ascii="Tahoma" w:eastAsia="EUAlbertina-Regular-Identity-H" w:hAnsi="Tahoma" w:cs="Tahoma"/>
          <w:b/>
          <w:bCs/>
          <w:sz w:val="20"/>
          <w:szCs w:val="20"/>
        </w:rPr>
        <w:t>CHAPITRE IV : EXIGENCES APPLICABLES AUX ETABLISSEMENTS, Y COMPRIS LES NAVIRES, MANIPULANT LES PRODUITS DE LA PECHE</w:t>
      </w:r>
    </w:p>
    <w:p w14:paraId="066DCA35"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3CF30502"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Les exploitants du secteur halieutique doivent veiller au respect des exigences mentionnées ci-après, lorsque approprié, en ce qui concerne les établissements manipulant les produits de la pêche.</w:t>
      </w:r>
    </w:p>
    <w:p w14:paraId="5213E894"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60CE6136" w14:textId="77777777" w:rsidR="003D69A8" w:rsidRPr="005E1EA7" w:rsidRDefault="003D69A8" w:rsidP="003D69A8">
      <w:pPr>
        <w:autoSpaceDE w:val="0"/>
        <w:autoSpaceDN w:val="0"/>
        <w:adjustRightInd w:val="0"/>
        <w:jc w:val="both"/>
        <w:rPr>
          <w:rFonts w:ascii="Tahoma" w:eastAsia="EUAlbertina-Regular-Identity-H" w:hAnsi="Tahoma" w:cs="Tahoma"/>
          <w:b/>
          <w:bCs/>
          <w:sz w:val="20"/>
          <w:szCs w:val="20"/>
        </w:rPr>
      </w:pPr>
      <w:r w:rsidRPr="005E1EA7">
        <w:rPr>
          <w:rFonts w:ascii="Tahoma" w:eastAsia="EUAlbertina-Regular-Identity-H" w:hAnsi="Tahoma" w:cs="Tahoma"/>
          <w:b/>
          <w:bCs/>
          <w:sz w:val="20"/>
          <w:szCs w:val="20"/>
        </w:rPr>
        <w:t>A. EXIGENCES GENERALES APPLICABLES AUX PRODUITS FRAIS DE LA PECHE</w:t>
      </w:r>
    </w:p>
    <w:p w14:paraId="68744096"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4EDEB0E1"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1. Quand les produits réfrigérés non conditionnés ne sont pas distribués, expédiés, préparés ou transformés immédiatement après leur arrivée dans un établissement à terre, ils doivent être entreposés sous glace dans un lieu approprié. Un reglaçage doit être effectué aussi souvent que nécessaire. Les produits de la pêche frais conditionnés doivent être réfrigérés à une température approchant celle de la glace fondante.</w:t>
      </w:r>
    </w:p>
    <w:p w14:paraId="50348147"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09505CF5"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2. Les opérations telles que l’étêtage et l’éviscération doivent être effectuées de manière hygiénique. Lorsqu’il est possible, du point de vue technique et commercial, de procéder à l’éviscération, celle-ci doit être effectuée le plus rapidement possible après la capture ou le débarquement des produits de la pêche. Les produits doivent être lavés abondamment à l’eau potable ou, à bord du navire, à l’eau propre immédiatement après ces opérations.</w:t>
      </w:r>
    </w:p>
    <w:p w14:paraId="6B0AE683"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1C3A22AF"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3. Les opérations telles que le filetage et le tranchage doivent être réalisées de telle sorte que la contamination ou la souillure des filets et des tranches soit évitée. Les filets et les tranches ne doivent pas séjourner sur les tables de travail au-delà de la durée nécessaire à leur préparation. Les filets et les tranches doivent être conditionnés et, s’il y a lieu, emballés et réfrigérés le plus vite possible après leur préparation.</w:t>
      </w:r>
    </w:p>
    <w:p w14:paraId="7D51470C"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321F8F65"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4. Les conteneurs utilisés pour l’expédition ou l’entreposage des produits de la pêche frais préparés et non emballés et conservés sous glace doivent permettre à l’eau de fusion de ne pas rester en contact avec les produits.</w:t>
      </w:r>
    </w:p>
    <w:p w14:paraId="7FCCEF14"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73FCC6DA"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5. Les produits de la pêche frais entiers et vidés peuvent être transportés et conservés dans de l’eau réfrigérée à bord des navires. Ils peuvent aussi continuer à être transportés dans de l’eau réfrigérée après le débarquement, et être transportés depuis des installations d’aquaculture, jusqu’à leur arrivée dans le premier établissement à qui exerce toute activité autre que le transport ou le triage.</w:t>
      </w:r>
    </w:p>
    <w:p w14:paraId="43658B50"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299E481E" w14:textId="77777777" w:rsidR="003D69A8" w:rsidRPr="005E1EA7" w:rsidRDefault="003D69A8" w:rsidP="003D69A8">
      <w:pPr>
        <w:autoSpaceDE w:val="0"/>
        <w:autoSpaceDN w:val="0"/>
        <w:adjustRightInd w:val="0"/>
        <w:jc w:val="both"/>
        <w:rPr>
          <w:rFonts w:ascii="Tahoma" w:eastAsia="EUAlbertina-Regular-Identity-H" w:hAnsi="Tahoma" w:cs="Tahoma"/>
          <w:b/>
          <w:bCs/>
          <w:sz w:val="20"/>
          <w:szCs w:val="20"/>
        </w:rPr>
      </w:pPr>
      <w:r w:rsidRPr="005E1EA7">
        <w:rPr>
          <w:rFonts w:ascii="Tahoma" w:eastAsia="EUAlbertina-Regular-Identity-H" w:hAnsi="Tahoma" w:cs="Tahoma"/>
          <w:b/>
          <w:bCs/>
          <w:sz w:val="20"/>
          <w:szCs w:val="20"/>
        </w:rPr>
        <w:t>B. EXIGENCES APPLICABLES AUX PRODUITS CONGELES</w:t>
      </w:r>
    </w:p>
    <w:p w14:paraId="38416863"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404E6E5D"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Les établissements terrestres où sont congelés des produits de la pêche doivent disposer d'équipements répondant aux exigences fixées pour les bateaux congélateurs dans la présente annexe (chapitre II, partie I, titre C, points 1 et 2).</w:t>
      </w:r>
    </w:p>
    <w:p w14:paraId="1BECBBCE"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63ED9564" w14:textId="77777777" w:rsidR="003D69A8" w:rsidRPr="005E1EA7" w:rsidRDefault="003D69A8" w:rsidP="003D69A8">
      <w:pPr>
        <w:autoSpaceDE w:val="0"/>
        <w:autoSpaceDN w:val="0"/>
        <w:adjustRightInd w:val="0"/>
        <w:jc w:val="both"/>
        <w:rPr>
          <w:rFonts w:ascii="Tahoma" w:eastAsia="EUAlbertina-Regular-Identity-H" w:hAnsi="Tahoma" w:cs="Tahoma"/>
          <w:b/>
          <w:bCs/>
          <w:sz w:val="20"/>
          <w:szCs w:val="20"/>
        </w:rPr>
      </w:pPr>
      <w:r w:rsidRPr="005E1EA7">
        <w:rPr>
          <w:rFonts w:ascii="Tahoma" w:eastAsia="EUAlbertina-Regular-Identity-H" w:hAnsi="Tahoma" w:cs="Tahoma"/>
          <w:b/>
          <w:bCs/>
          <w:sz w:val="20"/>
          <w:szCs w:val="20"/>
        </w:rPr>
        <w:t>C. EXIGENCES APPLICABLES AUX PRODUITS DE LA PECHE SEPARES MECANIQUEMENT</w:t>
      </w:r>
    </w:p>
    <w:p w14:paraId="2C890914" w14:textId="77777777" w:rsidR="003D69A8" w:rsidRPr="005E1EA7" w:rsidRDefault="003D69A8" w:rsidP="003D69A8">
      <w:pPr>
        <w:autoSpaceDE w:val="0"/>
        <w:autoSpaceDN w:val="0"/>
        <w:adjustRightInd w:val="0"/>
        <w:jc w:val="both"/>
        <w:rPr>
          <w:rFonts w:ascii="Tahoma" w:eastAsia="EUAlbertina-Regular-Identity-H" w:hAnsi="Tahoma" w:cs="Tahoma"/>
          <w:b/>
          <w:bCs/>
          <w:sz w:val="20"/>
          <w:szCs w:val="20"/>
        </w:rPr>
      </w:pPr>
    </w:p>
    <w:p w14:paraId="202DFF63"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Les exploitants du secteur halieutique qui produisent des produits de la pêche séparés mécaniquement doivent veiller au respect des exigences mentionnées ci-après :</w:t>
      </w:r>
    </w:p>
    <w:p w14:paraId="1FAB3882"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06A387E8"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1. Les matières premières utilisées doivent satisfaire aux critères visés ci-après :</w:t>
      </w:r>
    </w:p>
    <w:p w14:paraId="4AA176FE"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2F5ED274" w14:textId="77777777" w:rsidR="003D69A8" w:rsidRPr="005E1EA7" w:rsidRDefault="003D69A8" w:rsidP="003D69A8">
      <w:pPr>
        <w:autoSpaceDE w:val="0"/>
        <w:autoSpaceDN w:val="0"/>
        <w:adjustRightInd w:val="0"/>
        <w:ind w:left="720" w:hanging="360"/>
        <w:jc w:val="both"/>
        <w:rPr>
          <w:rFonts w:ascii="Tahoma" w:eastAsia="EUAlbertina-Regular-Identity-H" w:hAnsi="Tahoma" w:cs="Tahoma"/>
          <w:sz w:val="20"/>
          <w:szCs w:val="20"/>
        </w:rPr>
      </w:pPr>
      <w:r w:rsidRPr="005E1EA7">
        <w:rPr>
          <w:rFonts w:ascii="Tahoma" w:eastAsia="EUAlbertina-Regular-Identity-H" w:hAnsi="Tahoma" w:cs="Tahoma"/>
          <w:sz w:val="20"/>
          <w:szCs w:val="20"/>
        </w:rPr>
        <w:t>a) seuls des poissons entiers et la chair restant sur les arêtes après filetage peuvent être utilisés pour produire des produits de la pêche séparés mécaniquement ;</w:t>
      </w:r>
    </w:p>
    <w:p w14:paraId="63BC805C"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5195298E" w14:textId="77777777" w:rsidR="003D69A8" w:rsidRPr="005E1EA7" w:rsidRDefault="003D69A8" w:rsidP="003D69A8">
      <w:pPr>
        <w:autoSpaceDE w:val="0"/>
        <w:autoSpaceDN w:val="0"/>
        <w:adjustRightInd w:val="0"/>
        <w:ind w:firstLine="360"/>
        <w:jc w:val="both"/>
        <w:rPr>
          <w:rFonts w:ascii="Tahoma" w:eastAsia="EUAlbertina-Regular-Identity-H" w:hAnsi="Tahoma" w:cs="Tahoma"/>
          <w:sz w:val="20"/>
          <w:szCs w:val="20"/>
        </w:rPr>
      </w:pPr>
      <w:r w:rsidRPr="005E1EA7">
        <w:rPr>
          <w:rFonts w:ascii="Tahoma" w:eastAsia="EUAlbertina-Regular-Identity-H" w:hAnsi="Tahoma" w:cs="Tahoma"/>
          <w:sz w:val="20"/>
          <w:szCs w:val="20"/>
        </w:rPr>
        <w:t>b) toutes les matières premières doivent être exemptes de viscères.</w:t>
      </w:r>
    </w:p>
    <w:p w14:paraId="62680826"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4C0D724B"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2. Le processus de fabrication doit satisfaire aux exigences mentionnées ci-</w:t>
      </w:r>
      <w:proofErr w:type="gramStart"/>
      <w:r w:rsidRPr="005E1EA7">
        <w:rPr>
          <w:rFonts w:ascii="Tahoma" w:eastAsia="EUAlbertina-Regular-Identity-H" w:hAnsi="Tahoma" w:cs="Tahoma"/>
          <w:sz w:val="20"/>
          <w:szCs w:val="20"/>
        </w:rPr>
        <w:t>après:</w:t>
      </w:r>
      <w:proofErr w:type="gramEnd"/>
    </w:p>
    <w:p w14:paraId="3AE694F1"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3AECB865" w14:textId="77777777" w:rsidR="003D69A8" w:rsidRPr="005E1EA7" w:rsidRDefault="003D69A8" w:rsidP="003D69A8">
      <w:pPr>
        <w:autoSpaceDE w:val="0"/>
        <w:autoSpaceDN w:val="0"/>
        <w:adjustRightInd w:val="0"/>
        <w:ind w:left="720" w:hanging="360"/>
        <w:jc w:val="both"/>
        <w:rPr>
          <w:rFonts w:ascii="Tahoma" w:eastAsia="EUAlbertina-Regular-Identity-H" w:hAnsi="Tahoma" w:cs="Tahoma"/>
          <w:sz w:val="20"/>
          <w:szCs w:val="20"/>
        </w:rPr>
      </w:pPr>
      <w:r w:rsidRPr="005E1EA7">
        <w:rPr>
          <w:rFonts w:ascii="Tahoma" w:eastAsia="EUAlbertina-Regular-Identity-H" w:hAnsi="Tahoma" w:cs="Tahoma"/>
          <w:sz w:val="20"/>
          <w:szCs w:val="20"/>
        </w:rPr>
        <w:t>a) la séparation mécanique doit être réalisée sans délai indu après le filetage et si des poissons entiers sont utilisés, ils doivent être éviscérés et lavés au préalable ;</w:t>
      </w:r>
    </w:p>
    <w:p w14:paraId="266AC22D"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68A7F6C3" w14:textId="77777777" w:rsidR="003D69A8" w:rsidRPr="005E1EA7" w:rsidRDefault="003D69A8" w:rsidP="003D69A8">
      <w:pPr>
        <w:autoSpaceDE w:val="0"/>
        <w:autoSpaceDN w:val="0"/>
        <w:adjustRightInd w:val="0"/>
        <w:ind w:left="720" w:hanging="360"/>
        <w:jc w:val="both"/>
        <w:rPr>
          <w:rFonts w:ascii="Tahoma" w:eastAsia="EUAlbertina-Regular-Identity-H" w:hAnsi="Tahoma" w:cs="Tahoma"/>
          <w:sz w:val="20"/>
          <w:szCs w:val="20"/>
        </w:rPr>
      </w:pPr>
      <w:r w:rsidRPr="005E1EA7">
        <w:rPr>
          <w:rFonts w:ascii="Tahoma" w:eastAsia="EUAlbertina-Regular-Identity-H" w:hAnsi="Tahoma" w:cs="Tahoma"/>
          <w:sz w:val="20"/>
          <w:szCs w:val="20"/>
        </w:rPr>
        <w:t>b) Après leur fabrication, les produits de la pêche séparés mécaniquement doivent être congelés le plus rapidement possible ou incorporés dans un produit destiné à être congelé ou à subir un traitement stabilisateur.</w:t>
      </w:r>
    </w:p>
    <w:p w14:paraId="0EB27C72"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36206C53" w14:textId="77777777" w:rsidR="003D69A8" w:rsidRPr="005E1EA7" w:rsidRDefault="003D69A8" w:rsidP="003D69A8">
      <w:pPr>
        <w:autoSpaceDE w:val="0"/>
        <w:autoSpaceDN w:val="0"/>
        <w:adjustRightInd w:val="0"/>
        <w:jc w:val="both"/>
        <w:rPr>
          <w:rFonts w:ascii="Tahoma" w:eastAsia="EUAlbertina-Regular-Identity-H" w:hAnsi="Tahoma" w:cs="Tahoma"/>
          <w:b/>
          <w:bCs/>
          <w:sz w:val="20"/>
          <w:szCs w:val="20"/>
        </w:rPr>
      </w:pPr>
      <w:r w:rsidRPr="005E1EA7">
        <w:rPr>
          <w:rFonts w:ascii="Tahoma" w:eastAsia="EUAlbertina-Regular-Identity-H" w:hAnsi="Tahoma" w:cs="Tahoma"/>
          <w:b/>
          <w:bCs/>
          <w:sz w:val="20"/>
          <w:szCs w:val="20"/>
        </w:rPr>
        <w:t>D. EXIGENCES CONCERNANT LES PARASITES</w:t>
      </w:r>
    </w:p>
    <w:p w14:paraId="14E88ED6"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38BC63B0" w14:textId="77777777" w:rsidR="003D69A8" w:rsidRPr="005E1EA7" w:rsidRDefault="003D69A8" w:rsidP="003D69A8">
      <w:pPr>
        <w:autoSpaceDE w:val="0"/>
        <w:autoSpaceDN w:val="0"/>
        <w:adjustRightInd w:val="0"/>
        <w:jc w:val="both"/>
        <w:rPr>
          <w:rFonts w:ascii="Tahoma" w:hAnsi="Tahoma" w:cs="Tahoma"/>
          <w:sz w:val="20"/>
          <w:szCs w:val="20"/>
        </w:rPr>
      </w:pPr>
      <w:r w:rsidRPr="005E1EA7">
        <w:rPr>
          <w:rFonts w:ascii="Tahoma" w:hAnsi="Tahoma" w:cs="Tahoma"/>
          <w:sz w:val="20"/>
          <w:szCs w:val="20"/>
        </w:rPr>
        <w:t>La présente section détaille les règles relatives aux contrôles visuels visant à détecter des parasites dans les produits de la pêche et les traitements à appliquer.</w:t>
      </w:r>
    </w:p>
    <w:p w14:paraId="44ED417D" w14:textId="77777777" w:rsidR="003D69A8" w:rsidRPr="005E1EA7" w:rsidRDefault="003D69A8" w:rsidP="003D69A8">
      <w:pPr>
        <w:autoSpaceDE w:val="0"/>
        <w:autoSpaceDN w:val="0"/>
        <w:adjustRightInd w:val="0"/>
        <w:rPr>
          <w:rFonts w:ascii="Tahoma" w:hAnsi="Tahoma" w:cs="Tahoma"/>
          <w:sz w:val="20"/>
          <w:szCs w:val="20"/>
        </w:rPr>
      </w:pPr>
    </w:p>
    <w:p w14:paraId="5CF62A9B" w14:textId="77777777" w:rsidR="003D69A8" w:rsidRPr="005E1EA7" w:rsidRDefault="003D69A8" w:rsidP="003D69A8">
      <w:pPr>
        <w:autoSpaceDE w:val="0"/>
        <w:autoSpaceDN w:val="0"/>
        <w:adjustRightInd w:val="0"/>
        <w:rPr>
          <w:rFonts w:ascii="Tahoma" w:hAnsi="Tahoma" w:cs="Tahoma"/>
          <w:sz w:val="20"/>
          <w:szCs w:val="20"/>
        </w:rPr>
      </w:pPr>
      <w:r w:rsidRPr="005E1EA7">
        <w:rPr>
          <w:rFonts w:ascii="Tahoma" w:hAnsi="Tahoma" w:cs="Tahoma"/>
          <w:sz w:val="20"/>
          <w:szCs w:val="20"/>
        </w:rPr>
        <w:t>1. Définitions</w:t>
      </w:r>
    </w:p>
    <w:p w14:paraId="6ACD601C" w14:textId="77777777" w:rsidR="003D69A8" w:rsidRPr="005E1EA7" w:rsidRDefault="003D69A8" w:rsidP="003D69A8">
      <w:pPr>
        <w:autoSpaceDE w:val="0"/>
        <w:autoSpaceDN w:val="0"/>
        <w:adjustRightInd w:val="0"/>
        <w:jc w:val="both"/>
        <w:rPr>
          <w:rFonts w:ascii="Tahoma" w:hAnsi="Tahoma" w:cs="Tahoma"/>
          <w:sz w:val="20"/>
          <w:szCs w:val="20"/>
        </w:rPr>
      </w:pPr>
    </w:p>
    <w:p w14:paraId="63ED1046" w14:textId="77777777" w:rsidR="003D69A8" w:rsidRPr="005E1EA7" w:rsidRDefault="003D69A8" w:rsidP="003D69A8">
      <w:pPr>
        <w:autoSpaceDE w:val="0"/>
        <w:autoSpaceDN w:val="0"/>
        <w:adjustRightInd w:val="0"/>
        <w:jc w:val="both"/>
        <w:rPr>
          <w:rFonts w:ascii="Tahoma" w:hAnsi="Tahoma" w:cs="Tahoma"/>
          <w:sz w:val="20"/>
          <w:szCs w:val="20"/>
        </w:rPr>
      </w:pPr>
      <w:r w:rsidRPr="005E1EA7">
        <w:rPr>
          <w:rFonts w:ascii="Tahoma" w:hAnsi="Tahoma" w:cs="Tahoma"/>
          <w:sz w:val="20"/>
          <w:szCs w:val="20"/>
        </w:rPr>
        <w:t>On entend par :</w:t>
      </w:r>
    </w:p>
    <w:p w14:paraId="1896423F" w14:textId="77777777" w:rsidR="003D69A8" w:rsidRPr="005E1EA7" w:rsidRDefault="003D69A8" w:rsidP="003D69A8">
      <w:pPr>
        <w:autoSpaceDE w:val="0"/>
        <w:autoSpaceDN w:val="0"/>
        <w:adjustRightInd w:val="0"/>
        <w:jc w:val="both"/>
        <w:rPr>
          <w:rFonts w:ascii="Tahoma" w:hAnsi="Tahoma" w:cs="Tahoma"/>
          <w:sz w:val="20"/>
          <w:szCs w:val="20"/>
        </w:rPr>
      </w:pPr>
    </w:p>
    <w:p w14:paraId="5778252E" w14:textId="77777777" w:rsidR="003D69A8" w:rsidRPr="005E1EA7" w:rsidRDefault="003D69A8" w:rsidP="003D69A8">
      <w:pPr>
        <w:pStyle w:val="Retraitcorpsdetexte"/>
        <w:rPr>
          <w:rFonts w:ascii="Tahoma" w:hAnsi="Tahoma" w:cs="Tahoma"/>
          <w:sz w:val="20"/>
          <w:szCs w:val="20"/>
        </w:rPr>
      </w:pPr>
      <w:r w:rsidRPr="005E1EA7">
        <w:rPr>
          <w:rFonts w:ascii="Tahoma" w:hAnsi="Tahoma" w:cs="Tahoma"/>
          <w:sz w:val="20"/>
          <w:szCs w:val="20"/>
        </w:rPr>
        <w:t>a) parasite visible : tout parasite ou groupe de parasites ayant une dimension, une couleur ou une texture permettant de le distinguer nettement des tissus du poisson ;</w:t>
      </w:r>
    </w:p>
    <w:p w14:paraId="37373BB0" w14:textId="77777777" w:rsidR="003D69A8" w:rsidRPr="005E1EA7" w:rsidRDefault="003D69A8" w:rsidP="003D69A8">
      <w:pPr>
        <w:autoSpaceDE w:val="0"/>
        <w:autoSpaceDN w:val="0"/>
        <w:adjustRightInd w:val="0"/>
        <w:jc w:val="both"/>
        <w:rPr>
          <w:rFonts w:ascii="Tahoma" w:hAnsi="Tahoma" w:cs="Tahoma"/>
          <w:sz w:val="20"/>
          <w:szCs w:val="20"/>
        </w:rPr>
      </w:pPr>
    </w:p>
    <w:p w14:paraId="5CF9B0F1" w14:textId="77777777" w:rsidR="003D69A8" w:rsidRPr="005E1EA7" w:rsidRDefault="003D69A8" w:rsidP="003D69A8">
      <w:pPr>
        <w:pStyle w:val="Retraitcorpsdetexte"/>
        <w:rPr>
          <w:rFonts w:ascii="Tahoma" w:hAnsi="Tahoma" w:cs="Tahoma"/>
          <w:sz w:val="20"/>
          <w:szCs w:val="20"/>
        </w:rPr>
      </w:pPr>
      <w:r w:rsidRPr="005E1EA7">
        <w:rPr>
          <w:rFonts w:ascii="Tahoma" w:hAnsi="Tahoma" w:cs="Tahoma"/>
          <w:sz w:val="20"/>
          <w:szCs w:val="20"/>
        </w:rPr>
        <w:t>b) contrôle visuel : un examen non destructif des poissons ou des produits de la pêche, exercé avec ou sans moyen optique d'agrandissement et dans de bonnes conditions d'éclairage pour l'œil humain, y compris par mirage si nécessaire ;</w:t>
      </w:r>
    </w:p>
    <w:p w14:paraId="7205FDDE" w14:textId="77777777" w:rsidR="003D69A8" w:rsidRPr="005E1EA7" w:rsidRDefault="003D69A8" w:rsidP="003D69A8">
      <w:pPr>
        <w:autoSpaceDE w:val="0"/>
        <w:autoSpaceDN w:val="0"/>
        <w:adjustRightInd w:val="0"/>
        <w:jc w:val="both"/>
        <w:rPr>
          <w:rFonts w:ascii="Tahoma" w:hAnsi="Tahoma" w:cs="Tahoma"/>
          <w:sz w:val="20"/>
          <w:szCs w:val="20"/>
        </w:rPr>
      </w:pPr>
    </w:p>
    <w:p w14:paraId="6AE91233" w14:textId="77777777" w:rsidR="003D69A8" w:rsidRPr="005E1EA7" w:rsidRDefault="003D69A8" w:rsidP="003D69A8">
      <w:pPr>
        <w:pStyle w:val="Retraitcorpsdetexte2"/>
        <w:ind w:left="720" w:hanging="360"/>
        <w:rPr>
          <w:rFonts w:ascii="Tahoma" w:hAnsi="Tahoma" w:cs="Tahoma"/>
          <w:color w:val="auto"/>
          <w:sz w:val="20"/>
          <w:szCs w:val="20"/>
        </w:rPr>
      </w:pPr>
      <w:r w:rsidRPr="005E1EA7">
        <w:rPr>
          <w:rFonts w:ascii="Tahoma" w:hAnsi="Tahoma" w:cs="Tahoma"/>
          <w:color w:val="auto"/>
          <w:sz w:val="20"/>
          <w:szCs w:val="20"/>
        </w:rPr>
        <w:t>c) mirage : dans le cas de poissons plats ou de filets de poisson, l'observation à contre-jour du poisson éclairé par une source lumineuse dans une pièce sombre afin d'y détecter des parasites.</w:t>
      </w:r>
    </w:p>
    <w:p w14:paraId="0A6C2598" w14:textId="77777777" w:rsidR="003D69A8" w:rsidRPr="005E1EA7" w:rsidRDefault="003D69A8" w:rsidP="003D69A8">
      <w:pPr>
        <w:autoSpaceDE w:val="0"/>
        <w:autoSpaceDN w:val="0"/>
        <w:adjustRightInd w:val="0"/>
        <w:jc w:val="both"/>
        <w:rPr>
          <w:rFonts w:ascii="Tahoma" w:hAnsi="Tahoma" w:cs="Tahoma"/>
          <w:sz w:val="20"/>
          <w:szCs w:val="20"/>
        </w:rPr>
      </w:pPr>
    </w:p>
    <w:p w14:paraId="71EADD75" w14:textId="77777777" w:rsidR="003D69A8" w:rsidRPr="005E1EA7" w:rsidRDefault="003D69A8" w:rsidP="003D69A8">
      <w:pPr>
        <w:autoSpaceDE w:val="0"/>
        <w:autoSpaceDN w:val="0"/>
        <w:adjustRightInd w:val="0"/>
        <w:jc w:val="both"/>
        <w:rPr>
          <w:rFonts w:ascii="Tahoma" w:hAnsi="Tahoma" w:cs="Tahoma"/>
          <w:sz w:val="20"/>
          <w:szCs w:val="20"/>
        </w:rPr>
      </w:pPr>
      <w:r w:rsidRPr="005E1EA7">
        <w:rPr>
          <w:rFonts w:ascii="Tahoma" w:hAnsi="Tahoma" w:cs="Tahoma"/>
          <w:sz w:val="20"/>
          <w:szCs w:val="20"/>
        </w:rPr>
        <w:t>2. Contrôle visuel</w:t>
      </w:r>
    </w:p>
    <w:p w14:paraId="5A3EB5E8" w14:textId="77777777" w:rsidR="003D69A8" w:rsidRPr="005E1EA7" w:rsidRDefault="003D69A8" w:rsidP="003D69A8">
      <w:pPr>
        <w:autoSpaceDE w:val="0"/>
        <w:autoSpaceDN w:val="0"/>
        <w:adjustRightInd w:val="0"/>
        <w:jc w:val="both"/>
        <w:rPr>
          <w:rFonts w:ascii="Tahoma" w:hAnsi="Tahoma" w:cs="Tahoma"/>
          <w:sz w:val="20"/>
          <w:szCs w:val="20"/>
        </w:rPr>
      </w:pPr>
    </w:p>
    <w:p w14:paraId="32D56E68" w14:textId="77777777" w:rsidR="003D69A8" w:rsidRPr="005E1EA7" w:rsidRDefault="003D69A8" w:rsidP="003D69A8">
      <w:pPr>
        <w:pStyle w:val="Corpsdetexte3"/>
        <w:ind w:firstLine="360"/>
        <w:rPr>
          <w:rFonts w:ascii="Tahoma" w:hAnsi="Tahoma" w:cs="Tahoma"/>
          <w:sz w:val="20"/>
          <w:szCs w:val="20"/>
        </w:rPr>
      </w:pPr>
      <w:r w:rsidRPr="005E1EA7">
        <w:rPr>
          <w:rFonts w:ascii="Tahoma" w:hAnsi="Tahoma" w:cs="Tahoma"/>
          <w:sz w:val="20"/>
          <w:szCs w:val="20"/>
        </w:rPr>
        <w:t>2.1. Le contrôle visuel doit porter sur un nombre représentatif d'échantillons. Les personnes responsables des établissements à terre et le personnel qualifié à bord des navires usines déterminent le nombre et la fréquence des contrôles en fonction de la nature des produits de la pêche, de leur origine géographique et de l'usage auquel ils sont destinés. Au cours de la production, le contrôle visuel des poissons éviscérés est réalisé par des personnes qualifiées et porte sur la cavité abdominale, les foies, les œufs et les laitances destinés à la consommation humaine. Selon le système d'éviscération utilisé, le contrôle visuel doit être réalisé :</w:t>
      </w:r>
    </w:p>
    <w:p w14:paraId="40F95F8D" w14:textId="77777777" w:rsidR="003D69A8" w:rsidRPr="005E1EA7" w:rsidRDefault="003D69A8" w:rsidP="003D69A8">
      <w:pPr>
        <w:autoSpaceDE w:val="0"/>
        <w:autoSpaceDN w:val="0"/>
        <w:adjustRightInd w:val="0"/>
        <w:jc w:val="both"/>
        <w:rPr>
          <w:rFonts w:ascii="Tahoma" w:hAnsi="Tahoma" w:cs="Tahoma"/>
          <w:sz w:val="20"/>
          <w:szCs w:val="20"/>
        </w:rPr>
      </w:pPr>
    </w:p>
    <w:p w14:paraId="39D380E9" w14:textId="77777777" w:rsidR="003D69A8" w:rsidRPr="005E1EA7" w:rsidRDefault="003D69A8" w:rsidP="003D69A8">
      <w:pPr>
        <w:autoSpaceDE w:val="0"/>
        <w:autoSpaceDN w:val="0"/>
        <w:adjustRightInd w:val="0"/>
        <w:ind w:left="720" w:hanging="360"/>
        <w:jc w:val="both"/>
        <w:rPr>
          <w:rFonts w:ascii="Tahoma" w:hAnsi="Tahoma" w:cs="Tahoma"/>
          <w:sz w:val="20"/>
          <w:szCs w:val="20"/>
        </w:rPr>
      </w:pPr>
      <w:r w:rsidRPr="005E1EA7">
        <w:rPr>
          <w:rFonts w:ascii="Tahoma" w:hAnsi="Tahoma" w:cs="Tahoma"/>
          <w:sz w:val="20"/>
          <w:szCs w:val="20"/>
        </w:rPr>
        <w:t>a) de manière continue par le manipulateur pendant l'éviscération et le lavage, en cas d'éviscération manuelle ;</w:t>
      </w:r>
    </w:p>
    <w:p w14:paraId="02053893" w14:textId="77777777" w:rsidR="003D69A8" w:rsidRPr="005E1EA7" w:rsidRDefault="003D69A8" w:rsidP="003D69A8">
      <w:pPr>
        <w:autoSpaceDE w:val="0"/>
        <w:autoSpaceDN w:val="0"/>
        <w:adjustRightInd w:val="0"/>
        <w:ind w:left="720" w:hanging="360"/>
        <w:jc w:val="both"/>
        <w:rPr>
          <w:rFonts w:ascii="Tahoma" w:hAnsi="Tahoma" w:cs="Tahoma"/>
          <w:sz w:val="20"/>
          <w:szCs w:val="20"/>
        </w:rPr>
      </w:pPr>
    </w:p>
    <w:p w14:paraId="1D580F49" w14:textId="77777777" w:rsidR="003D69A8" w:rsidRPr="005E1EA7" w:rsidRDefault="003D69A8" w:rsidP="003D69A8">
      <w:pPr>
        <w:autoSpaceDE w:val="0"/>
        <w:autoSpaceDN w:val="0"/>
        <w:adjustRightInd w:val="0"/>
        <w:ind w:left="720" w:hanging="360"/>
        <w:jc w:val="both"/>
        <w:rPr>
          <w:rFonts w:ascii="Tahoma" w:hAnsi="Tahoma" w:cs="Tahoma"/>
          <w:sz w:val="20"/>
          <w:szCs w:val="20"/>
        </w:rPr>
      </w:pPr>
      <w:r w:rsidRPr="005E1EA7">
        <w:rPr>
          <w:rFonts w:ascii="Tahoma" w:hAnsi="Tahoma" w:cs="Tahoma"/>
          <w:sz w:val="20"/>
          <w:szCs w:val="20"/>
        </w:rPr>
        <w:t>b) par sondage sur un nombre représentatif d'échantillons, de dix poissons par lot au moins, en cas d'éviscération mécanique.</w:t>
      </w:r>
    </w:p>
    <w:p w14:paraId="564F199E" w14:textId="77777777" w:rsidR="003D69A8" w:rsidRPr="005E1EA7" w:rsidRDefault="003D69A8" w:rsidP="003D69A8">
      <w:pPr>
        <w:autoSpaceDE w:val="0"/>
        <w:autoSpaceDN w:val="0"/>
        <w:adjustRightInd w:val="0"/>
        <w:jc w:val="both"/>
        <w:rPr>
          <w:rFonts w:ascii="Tahoma" w:hAnsi="Tahoma" w:cs="Tahoma"/>
          <w:sz w:val="20"/>
          <w:szCs w:val="20"/>
        </w:rPr>
      </w:pPr>
    </w:p>
    <w:p w14:paraId="3396B8C9" w14:textId="77777777" w:rsidR="003D69A8" w:rsidRPr="005E1EA7" w:rsidRDefault="003D69A8" w:rsidP="003D69A8">
      <w:pPr>
        <w:autoSpaceDE w:val="0"/>
        <w:autoSpaceDN w:val="0"/>
        <w:adjustRightInd w:val="0"/>
        <w:ind w:firstLine="360"/>
        <w:jc w:val="both"/>
        <w:rPr>
          <w:rFonts w:ascii="Tahoma" w:hAnsi="Tahoma" w:cs="Tahoma"/>
          <w:sz w:val="20"/>
          <w:szCs w:val="20"/>
        </w:rPr>
      </w:pPr>
      <w:r w:rsidRPr="005E1EA7">
        <w:rPr>
          <w:rFonts w:ascii="Tahoma" w:hAnsi="Tahoma" w:cs="Tahoma"/>
          <w:sz w:val="20"/>
          <w:szCs w:val="20"/>
        </w:rPr>
        <w:lastRenderedPageBreak/>
        <w:t>2.2. Le contrôle visuel des filets ou tranches de poissons est effectué par des personnes qualifiées pendant le parage et après le filetage ou le tranchage. Lorsqu'un examen individuel est impossible en raison de la taille des filets ou des opérations de filetage, un plan d'échantillonnage doit être établi et tenu à la disposition de l'autorité compétente, conformément au chapitre III, point 4, du présent arrêté. Lorsque le mirage des filets s'avère nécessaire d'un point de vue technique, il doit être inclus dans le plan d'échantillonnage.</w:t>
      </w:r>
    </w:p>
    <w:p w14:paraId="383BD08F"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69BCDA1C"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3. Les produits de la pêche suivants doivent être congelés à une température ne dépassant pas – 20 °C en tous points du produit pendant une période d’au moins vingt-quatre heures ; ce traitement doit être appliqué au produit cru ou au produit fini :</w:t>
      </w:r>
    </w:p>
    <w:p w14:paraId="0D084E0D"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12A6EF17" w14:textId="77777777" w:rsidR="003D69A8" w:rsidRPr="005E1EA7" w:rsidRDefault="003D69A8" w:rsidP="003D69A8">
      <w:pPr>
        <w:tabs>
          <w:tab w:val="num" w:pos="720"/>
        </w:tabs>
        <w:autoSpaceDE w:val="0"/>
        <w:autoSpaceDN w:val="0"/>
        <w:adjustRightInd w:val="0"/>
        <w:ind w:left="720" w:hanging="360"/>
        <w:jc w:val="both"/>
        <w:rPr>
          <w:rFonts w:ascii="Tahoma" w:eastAsia="EUAlbertina-Regular-Identity-H" w:hAnsi="Tahoma" w:cs="Tahoma"/>
          <w:sz w:val="20"/>
          <w:szCs w:val="20"/>
        </w:rPr>
      </w:pPr>
      <w:r w:rsidRPr="005E1EA7">
        <w:rPr>
          <w:rFonts w:ascii="Tahoma" w:hAnsi="Tahoma" w:cs="Tahoma"/>
          <w:sz w:val="20"/>
          <w:szCs w:val="20"/>
        </w:rPr>
        <w:t>a)</w:t>
      </w:r>
      <w:r w:rsidRPr="005E1EA7">
        <w:rPr>
          <w:rFonts w:ascii="Tahoma" w:eastAsia="EUAlbertina-Regular-Identity-H" w:hAnsi="Tahoma" w:cs="Tahoma"/>
          <w:sz w:val="20"/>
          <w:szCs w:val="20"/>
        </w:rPr>
        <w:tab/>
        <w:t>les produits de la pêche devant être consommés crus ou pratiquement crus ;</w:t>
      </w:r>
    </w:p>
    <w:p w14:paraId="292EF8D5" w14:textId="77777777" w:rsidR="003D69A8" w:rsidRPr="005E1EA7" w:rsidRDefault="003D69A8" w:rsidP="003D69A8">
      <w:pPr>
        <w:autoSpaceDE w:val="0"/>
        <w:autoSpaceDN w:val="0"/>
        <w:adjustRightInd w:val="0"/>
        <w:ind w:left="360"/>
        <w:jc w:val="both"/>
        <w:rPr>
          <w:rFonts w:ascii="Tahoma" w:eastAsia="EUAlbertina-Regular-Identity-H" w:hAnsi="Tahoma" w:cs="Tahoma"/>
          <w:sz w:val="20"/>
          <w:szCs w:val="20"/>
        </w:rPr>
      </w:pPr>
    </w:p>
    <w:p w14:paraId="0A0CD50E" w14:textId="77777777" w:rsidR="003D69A8" w:rsidRPr="005E1EA7" w:rsidRDefault="003D69A8" w:rsidP="003D69A8">
      <w:pPr>
        <w:tabs>
          <w:tab w:val="num" w:pos="720"/>
        </w:tabs>
        <w:autoSpaceDE w:val="0"/>
        <w:autoSpaceDN w:val="0"/>
        <w:adjustRightInd w:val="0"/>
        <w:ind w:left="720" w:hanging="360"/>
        <w:jc w:val="both"/>
        <w:rPr>
          <w:rFonts w:ascii="Tahoma" w:eastAsia="EUAlbertina-Regular-Identity-H" w:hAnsi="Tahoma" w:cs="Tahoma"/>
          <w:sz w:val="20"/>
          <w:szCs w:val="20"/>
        </w:rPr>
      </w:pPr>
      <w:r w:rsidRPr="005E1EA7">
        <w:rPr>
          <w:rFonts w:ascii="Tahoma" w:hAnsi="Tahoma" w:cs="Tahoma"/>
          <w:sz w:val="20"/>
          <w:szCs w:val="20"/>
        </w:rPr>
        <w:t>b)</w:t>
      </w:r>
      <w:r w:rsidRPr="005E1EA7">
        <w:rPr>
          <w:rFonts w:ascii="Tahoma" w:eastAsia="EUAlbertina-Regular-Identity-H" w:hAnsi="Tahoma" w:cs="Tahoma"/>
          <w:sz w:val="20"/>
          <w:szCs w:val="20"/>
        </w:rPr>
        <w:tab/>
        <w:t>les produits de la pêche provenant des espèces, comme le maquereau et le mulet, s’ils doivent subir un traitement de fumage à froid au cours duquel la température interne du produit de la pêche ne dépasse pas 60 °C ;</w:t>
      </w:r>
    </w:p>
    <w:p w14:paraId="29562D1D"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6A0D7FC2" w14:textId="77777777" w:rsidR="003D69A8" w:rsidRPr="005E1EA7" w:rsidRDefault="003D69A8" w:rsidP="003D69A8">
      <w:pPr>
        <w:tabs>
          <w:tab w:val="num" w:pos="720"/>
        </w:tabs>
        <w:autoSpaceDE w:val="0"/>
        <w:autoSpaceDN w:val="0"/>
        <w:adjustRightInd w:val="0"/>
        <w:ind w:left="720" w:hanging="360"/>
        <w:jc w:val="both"/>
        <w:rPr>
          <w:rFonts w:ascii="Tahoma" w:eastAsia="EUAlbertina-Regular-Identity-H" w:hAnsi="Tahoma" w:cs="Tahoma"/>
          <w:sz w:val="20"/>
          <w:szCs w:val="20"/>
        </w:rPr>
      </w:pPr>
      <w:r w:rsidRPr="005E1EA7">
        <w:rPr>
          <w:rFonts w:ascii="Tahoma" w:hAnsi="Tahoma" w:cs="Tahoma"/>
          <w:sz w:val="20"/>
          <w:szCs w:val="20"/>
        </w:rPr>
        <w:t>c)</w:t>
      </w:r>
      <w:r w:rsidRPr="005E1EA7">
        <w:rPr>
          <w:rFonts w:ascii="Tahoma" w:eastAsia="EUAlbertina-Regular-Identity-H" w:hAnsi="Tahoma" w:cs="Tahoma"/>
          <w:sz w:val="20"/>
          <w:szCs w:val="20"/>
        </w:rPr>
        <w:tab/>
        <w:t>les produits de la pêche marinés et/ou salés si le traitement est insuffisant pour détruire les larves de nématodes.</w:t>
      </w:r>
    </w:p>
    <w:p w14:paraId="22EB2798"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325ABE32"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4. Les exploitants du secteur halieutique ne sont pas obligés de procéder au traitement visé au point 3 s’il existe des données épidémiologiques, indiquant que les lieux de pêche d’origine ne présentent pas de danger sanitaire en ce qui concerne la présence de parasites et si l’autorité compétente l’autorise.</w:t>
      </w:r>
    </w:p>
    <w:p w14:paraId="5E3F650B"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411451E1"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5. Les produits de la pêche visés au point 3 doivent, lorsqu’ils sont mis sur le marché, sauf lorsqu’ils sont fournis au consommateur final, être accompagnés d’un document du fabricant indiquant le type de traitement auquel ils ont été soumis.</w:t>
      </w:r>
    </w:p>
    <w:p w14:paraId="4395FA62"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6BB34CAD" w14:textId="77777777" w:rsidR="003D69A8" w:rsidRPr="005E1EA7" w:rsidRDefault="003D69A8" w:rsidP="003D69A8">
      <w:pPr>
        <w:autoSpaceDE w:val="0"/>
        <w:autoSpaceDN w:val="0"/>
        <w:adjustRightInd w:val="0"/>
        <w:jc w:val="center"/>
        <w:rPr>
          <w:rFonts w:ascii="Tahoma" w:eastAsia="EUAlbertina-Regular-Identity-H" w:hAnsi="Tahoma" w:cs="Tahoma"/>
          <w:b/>
          <w:bCs/>
          <w:sz w:val="20"/>
          <w:szCs w:val="20"/>
        </w:rPr>
      </w:pPr>
      <w:r w:rsidRPr="005E1EA7">
        <w:rPr>
          <w:rFonts w:ascii="Tahoma" w:eastAsia="EUAlbertina-Regular-Identity-H" w:hAnsi="Tahoma" w:cs="Tahoma"/>
          <w:b/>
          <w:bCs/>
          <w:sz w:val="20"/>
          <w:szCs w:val="20"/>
        </w:rPr>
        <w:t>CHAPITRE V : EXIGENCES APPLICABLES AUX PRODUITS DE LA PECHE TRANSFORMES</w:t>
      </w:r>
    </w:p>
    <w:p w14:paraId="58918933"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62494936"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Les exploitants du secteur halieutique qui effectuent la cuisson des crustacés et des mollusques doivent veiller au respect des exigences mentionnées ci-après :</w:t>
      </w:r>
    </w:p>
    <w:p w14:paraId="308A74BC"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4AAD1B26"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1. un refroidissement rapide doit suivre la cuisson. L’eau utilisée à cet effet doit être de l’eau potable ou, à bord du navire, de l’eau propre. Si aucun autre moyen de conservation n’est employé, le refroidissement doit être poursuivi jusqu’à ce soit atteinte une température proche de celle de la glace fondante ;</w:t>
      </w:r>
    </w:p>
    <w:p w14:paraId="6DF76C40"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4800BF39"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2. le décorticage ou le décoquillage doivent être effectués dans des conditions d’hygiène de nature à éviter toute contamination du produit. S’ils sont exécutés à la main, le personnel doit veiller à bien se laver les mains ;</w:t>
      </w:r>
    </w:p>
    <w:p w14:paraId="5FB4BDCE"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33E26858"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3. après décorticage ou décoquillage, les produits cuits doivent être congelés immédiatement ou réfrigérés dès que possible à la température fixée au chapitre VIII.</w:t>
      </w:r>
    </w:p>
    <w:p w14:paraId="0FC9D003" w14:textId="77777777" w:rsidR="003D69A8" w:rsidRPr="005E1EA7" w:rsidRDefault="003D69A8" w:rsidP="003D69A8">
      <w:pPr>
        <w:autoSpaceDE w:val="0"/>
        <w:autoSpaceDN w:val="0"/>
        <w:adjustRightInd w:val="0"/>
        <w:jc w:val="center"/>
        <w:rPr>
          <w:rFonts w:ascii="Tahoma" w:eastAsia="EUAlbertina-Regular-Identity-H" w:hAnsi="Tahoma" w:cs="Tahoma"/>
          <w:b/>
          <w:bCs/>
          <w:sz w:val="20"/>
          <w:szCs w:val="20"/>
        </w:rPr>
      </w:pPr>
    </w:p>
    <w:p w14:paraId="79072E06" w14:textId="77777777" w:rsidR="003D69A8" w:rsidRPr="005E1EA7" w:rsidRDefault="003D69A8" w:rsidP="003D69A8">
      <w:pPr>
        <w:autoSpaceDE w:val="0"/>
        <w:autoSpaceDN w:val="0"/>
        <w:adjustRightInd w:val="0"/>
        <w:jc w:val="center"/>
        <w:rPr>
          <w:rFonts w:ascii="Tahoma" w:eastAsia="EUAlbertina-Regular-Identity-H" w:hAnsi="Tahoma" w:cs="Tahoma"/>
          <w:b/>
          <w:bCs/>
          <w:sz w:val="20"/>
          <w:szCs w:val="20"/>
        </w:rPr>
      </w:pPr>
      <w:r w:rsidRPr="005E1EA7">
        <w:rPr>
          <w:rFonts w:ascii="Tahoma" w:eastAsia="EUAlbertina-Regular-Identity-H" w:hAnsi="Tahoma" w:cs="Tahoma"/>
          <w:b/>
          <w:bCs/>
          <w:sz w:val="20"/>
          <w:szCs w:val="20"/>
        </w:rPr>
        <w:t>CHAPITRE VI : NORMES SANITAIRES APPLICABLES AUX PRODUITS DE LA PECHE</w:t>
      </w:r>
    </w:p>
    <w:p w14:paraId="237D87C7"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21CEB0D7"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Outre le fait de veiller à la conformité avec les critères microbiologiques, biotoxines marines et chimiques fixés par la réglementation en vigueur, les exploitants du secteur halieutique doivent veiller, en fonction de la nature du produit ou de l’espèce, à ce que les produits de la pêche mis sur le marché pour la consommation humaine soient conformes aux normes fixées dans le présent chapitre.</w:t>
      </w:r>
    </w:p>
    <w:p w14:paraId="1162EFE4"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1B99B1C2" w14:textId="77777777" w:rsidR="003D69A8" w:rsidRPr="005E1EA7" w:rsidRDefault="003D69A8" w:rsidP="003D69A8">
      <w:pPr>
        <w:autoSpaceDE w:val="0"/>
        <w:autoSpaceDN w:val="0"/>
        <w:adjustRightInd w:val="0"/>
        <w:jc w:val="both"/>
        <w:rPr>
          <w:rFonts w:ascii="Tahoma" w:eastAsia="EUAlbertina-Regular-Identity-H" w:hAnsi="Tahoma" w:cs="Tahoma"/>
          <w:b/>
          <w:bCs/>
          <w:sz w:val="20"/>
          <w:szCs w:val="20"/>
        </w:rPr>
      </w:pPr>
      <w:r w:rsidRPr="005E1EA7">
        <w:rPr>
          <w:rFonts w:ascii="Tahoma" w:eastAsia="EUAlbertina-Regular-Identity-H" w:hAnsi="Tahoma" w:cs="Tahoma"/>
          <w:b/>
          <w:bCs/>
          <w:sz w:val="20"/>
          <w:szCs w:val="20"/>
        </w:rPr>
        <w:t>A. PROPRIETES ORGANOLEPTIQUES DES PRODUITS DE LA PECHE</w:t>
      </w:r>
    </w:p>
    <w:p w14:paraId="72450E3B"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5E3FD475"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 xml:space="preserve">Les exploitants du secteur halieutique doivent réaliser une évaluation organoleptique des produits de la pêche. En particulier, cette évaluation doit permettre de vérifier que ces produits sont conformes aux critères de fraîcheur tels que définis par l’arrêté portant critères microbiologiques, chimiques et </w:t>
      </w:r>
      <w:r w:rsidRPr="005E1EA7">
        <w:rPr>
          <w:rFonts w:ascii="Tahoma" w:eastAsia="EUAlbertina-Regular-Identity-H" w:hAnsi="Tahoma" w:cs="Tahoma"/>
          <w:sz w:val="20"/>
          <w:szCs w:val="20"/>
        </w:rPr>
        <w:lastRenderedPageBreak/>
        <w:t>biotoxines marines applicables aux produits de la pêche et de l’aquaculture et les méthodes d’analyse à utiliser</w:t>
      </w:r>
    </w:p>
    <w:p w14:paraId="51C6836A"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47AC5D76"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 xml:space="preserve">B. </w:t>
      </w:r>
      <w:r w:rsidRPr="005E1EA7">
        <w:rPr>
          <w:rFonts w:ascii="Tahoma" w:eastAsia="EUAlbertina-Regular-Identity-H" w:hAnsi="Tahoma" w:cs="Tahoma"/>
          <w:b/>
          <w:bCs/>
          <w:sz w:val="20"/>
          <w:szCs w:val="20"/>
        </w:rPr>
        <w:t>HISTAMINE</w:t>
      </w:r>
    </w:p>
    <w:p w14:paraId="3A8A5D8C"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693389FD"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Les exploitants du secteur halieutique doivent veiller à ce que les limites applicables à l’histamine ne soient pas dépassées.</w:t>
      </w:r>
    </w:p>
    <w:p w14:paraId="7941AFB5"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67FEBC2C" w14:textId="77777777" w:rsidR="003D69A8" w:rsidRPr="005E1EA7" w:rsidRDefault="003D69A8" w:rsidP="003D69A8">
      <w:pPr>
        <w:autoSpaceDE w:val="0"/>
        <w:autoSpaceDN w:val="0"/>
        <w:adjustRightInd w:val="0"/>
        <w:jc w:val="both"/>
        <w:rPr>
          <w:rFonts w:ascii="Tahoma" w:eastAsia="EUAlbertina-Regular-Identity-H" w:hAnsi="Tahoma" w:cs="Tahoma"/>
          <w:b/>
          <w:bCs/>
          <w:sz w:val="20"/>
          <w:szCs w:val="20"/>
        </w:rPr>
      </w:pPr>
      <w:r w:rsidRPr="005E1EA7">
        <w:rPr>
          <w:rFonts w:ascii="Tahoma" w:eastAsia="EUAlbertina-Regular-Identity-H" w:hAnsi="Tahoma" w:cs="Tahoma"/>
          <w:b/>
          <w:bCs/>
          <w:sz w:val="20"/>
          <w:szCs w:val="20"/>
        </w:rPr>
        <w:t>C. AZOTE BASIQUE VOLATIL TOTAL</w:t>
      </w:r>
    </w:p>
    <w:p w14:paraId="3285C2C5"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508DD0CA"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Les produits de la pêche non transformés ne doivent pas être mis sur le marché si des tests chimiques révèlent que les limites d’ABVT, le TMA inclus, ont été dépassées.</w:t>
      </w:r>
    </w:p>
    <w:p w14:paraId="6B8FAB53"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01AC761C" w14:textId="77777777" w:rsidR="003D69A8" w:rsidRPr="005E1EA7" w:rsidRDefault="003D69A8" w:rsidP="003D69A8">
      <w:pPr>
        <w:autoSpaceDE w:val="0"/>
        <w:autoSpaceDN w:val="0"/>
        <w:adjustRightInd w:val="0"/>
        <w:rPr>
          <w:rFonts w:ascii="Tahoma" w:hAnsi="Tahoma" w:cs="Tahoma"/>
          <w:sz w:val="20"/>
          <w:szCs w:val="20"/>
        </w:rPr>
      </w:pPr>
      <w:r w:rsidRPr="005E1EA7">
        <w:rPr>
          <w:rFonts w:ascii="Tahoma" w:hAnsi="Tahoma" w:cs="Tahoma"/>
          <w:sz w:val="20"/>
          <w:szCs w:val="20"/>
        </w:rPr>
        <w:t xml:space="preserve">Une valeur limite en ABVT est fixée pour les catégories d'espèces suivantes : </w:t>
      </w:r>
    </w:p>
    <w:p w14:paraId="503BB350" w14:textId="77777777" w:rsidR="003D69A8" w:rsidRPr="005E1EA7" w:rsidRDefault="003D69A8" w:rsidP="003D69A8">
      <w:pPr>
        <w:autoSpaceDE w:val="0"/>
        <w:autoSpaceDN w:val="0"/>
        <w:adjustRightInd w:val="0"/>
        <w:jc w:val="both"/>
        <w:rPr>
          <w:rFonts w:ascii="Tahoma" w:hAnsi="Tahoma" w:cs="Tahoma"/>
          <w:sz w:val="20"/>
          <w:szCs w:val="20"/>
        </w:rPr>
      </w:pPr>
    </w:p>
    <w:p w14:paraId="1D5AE52D" w14:textId="77777777" w:rsidR="003D69A8" w:rsidRPr="005E1EA7" w:rsidRDefault="003D69A8" w:rsidP="00420DDA">
      <w:pPr>
        <w:pStyle w:val="Paragraphedeliste"/>
        <w:numPr>
          <w:ilvl w:val="1"/>
          <w:numId w:val="165"/>
        </w:numPr>
        <w:autoSpaceDE w:val="0"/>
        <w:autoSpaceDN w:val="0"/>
        <w:adjustRightInd w:val="0"/>
        <w:ind w:left="709"/>
        <w:contextualSpacing/>
        <w:jc w:val="both"/>
        <w:rPr>
          <w:rFonts w:ascii="Tahoma" w:hAnsi="Tahoma" w:cs="Tahoma"/>
          <w:sz w:val="20"/>
          <w:szCs w:val="20"/>
        </w:rPr>
      </w:pPr>
      <w:r w:rsidRPr="005E1EA7">
        <w:rPr>
          <w:rFonts w:ascii="Tahoma" w:hAnsi="Tahoma" w:cs="Tahoma"/>
          <w:i/>
          <w:iCs/>
          <w:sz w:val="20"/>
          <w:szCs w:val="20"/>
        </w:rPr>
        <w:t>Sébastes spp</w:t>
      </w:r>
      <w:r w:rsidRPr="005E1EA7">
        <w:rPr>
          <w:rFonts w:ascii="Tahoma" w:hAnsi="Tahoma" w:cs="Tahoma"/>
          <w:sz w:val="20"/>
          <w:szCs w:val="20"/>
        </w:rPr>
        <w:t>., Helicolenus dactylopterus, Sébastichthys capensis,</w:t>
      </w:r>
    </w:p>
    <w:p w14:paraId="4316A30C" w14:textId="77777777" w:rsidR="003D69A8" w:rsidRPr="005E1EA7" w:rsidRDefault="003D69A8" w:rsidP="00420DDA">
      <w:pPr>
        <w:pStyle w:val="Paragraphedeliste"/>
        <w:numPr>
          <w:ilvl w:val="1"/>
          <w:numId w:val="165"/>
        </w:numPr>
        <w:autoSpaceDE w:val="0"/>
        <w:autoSpaceDN w:val="0"/>
        <w:adjustRightInd w:val="0"/>
        <w:ind w:left="709"/>
        <w:contextualSpacing/>
        <w:jc w:val="both"/>
        <w:rPr>
          <w:rFonts w:ascii="Tahoma" w:hAnsi="Tahoma" w:cs="Tahoma"/>
          <w:sz w:val="20"/>
          <w:szCs w:val="20"/>
        </w:rPr>
      </w:pPr>
      <w:proofErr w:type="gramStart"/>
      <w:r w:rsidRPr="005E1EA7">
        <w:rPr>
          <w:rFonts w:ascii="Tahoma" w:hAnsi="Tahoma" w:cs="Tahoma"/>
          <w:sz w:val="20"/>
          <w:szCs w:val="20"/>
        </w:rPr>
        <w:t>espèces</w:t>
      </w:r>
      <w:proofErr w:type="gramEnd"/>
      <w:r w:rsidRPr="005E1EA7">
        <w:rPr>
          <w:rFonts w:ascii="Tahoma" w:hAnsi="Tahoma" w:cs="Tahoma"/>
          <w:sz w:val="20"/>
          <w:szCs w:val="20"/>
        </w:rPr>
        <w:t xml:space="preserve"> appartenant à la famille des </w:t>
      </w:r>
      <w:r w:rsidRPr="005E1EA7">
        <w:rPr>
          <w:rFonts w:ascii="Tahoma" w:hAnsi="Tahoma" w:cs="Tahoma"/>
          <w:i/>
          <w:iCs/>
          <w:sz w:val="20"/>
          <w:szCs w:val="20"/>
        </w:rPr>
        <w:t>Pleuronectidae</w:t>
      </w:r>
      <w:r w:rsidRPr="005E1EA7">
        <w:rPr>
          <w:rFonts w:ascii="Tahoma" w:hAnsi="Tahoma" w:cs="Tahoma"/>
          <w:sz w:val="20"/>
          <w:szCs w:val="20"/>
        </w:rPr>
        <w:t xml:space="preserve"> (excepté le flétan Hippoglossus spp.),</w:t>
      </w:r>
    </w:p>
    <w:p w14:paraId="5679E9EF" w14:textId="77777777" w:rsidR="003D69A8" w:rsidRPr="005E1EA7" w:rsidRDefault="003D69A8" w:rsidP="00420DDA">
      <w:pPr>
        <w:pStyle w:val="Paragraphedeliste"/>
        <w:numPr>
          <w:ilvl w:val="1"/>
          <w:numId w:val="165"/>
        </w:numPr>
        <w:autoSpaceDE w:val="0"/>
        <w:autoSpaceDN w:val="0"/>
        <w:adjustRightInd w:val="0"/>
        <w:ind w:left="709"/>
        <w:contextualSpacing/>
        <w:jc w:val="both"/>
        <w:rPr>
          <w:rFonts w:ascii="Tahoma" w:hAnsi="Tahoma" w:cs="Tahoma"/>
          <w:sz w:val="20"/>
          <w:szCs w:val="20"/>
        </w:rPr>
      </w:pPr>
      <w:proofErr w:type="gramStart"/>
      <w:r w:rsidRPr="005E1EA7">
        <w:rPr>
          <w:rFonts w:ascii="Tahoma" w:hAnsi="Tahoma" w:cs="Tahoma"/>
          <w:sz w:val="20"/>
          <w:szCs w:val="20"/>
        </w:rPr>
        <w:t>espèces</w:t>
      </w:r>
      <w:proofErr w:type="gramEnd"/>
      <w:r w:rsidRPr="005E1EA7">
        <w:rPr>
          <w:rFonts w:ascii="Tahoma" w:hAnsi="Tahoma" w:cs="Tahoma"/>
          <w:sz w:val="20"/>
          <w:szCs w:val="20"/>
        </w:rPr>
        <w:t xml:space="preserve"> appartenant à la famille des </w:t>
      </w:r>
      <w:r w:rsidRPr="005E1EA7">
        <w:rPr>
          <w:rFonts w:ascii="Tahoma" w:hAnsi="Tahoma" w:cs="Tahoma"/>
          <w:i/>
          <w:iCs/>
          <w:sz w:val="20"/>
          <w:szCs w:val="20"/>
        </w:rPr>
        <w:t>Merlucciidae</w:t>
      </w:r>
      <w:r w:rsidRPr="005E1EA7">
        <w:rPr>
          <w:rFonts w:ascii="Tahoma" w:hAnsi="Tahoma" w:cs="Tahoma"/>
          <w:sz w:val="20"/>
          <w:szCs w:val="20"/>
        </w:rPr>
        <w:t xml:space="preserve"> et des Gadidae,</w:t>
      </w:r>
    </w:p>
    <w:p w14:paraId="1E106937" w14:textId="77777777" w:rsidR="003D69A8" w:rsidRPr="005E1EA7" w:rsidRDefault="003D69A8" w:rsidP="00420DDA">
      <w:pPr>
        <w:pStyle w:val="Paragraphedeliste"/>
        <w:numPr>
          <w:ilvl w:val="1"/>
          <w:numId w:val="165"/>
        </w:numPr>
        <w:autoSpaceDE w:val="0"/>
        <w:autoSpaceDN w:val="0"/>
        <w:adjustRightInd w:val="0"/>
        <w:ind w:left="709"/>
        <w:contextualSpacing/>
        <w:jc w:val="both"/>
        <w:rPr>
          <w:rFonts w:ascii="Tahoma" w:hAnsi="Tahoma" w:cs="Tahoma"/>
          <w:sz w:val="20"/>
          <w:szCs w:val="20"/>
        </w:rPr>
      </w:pPr>
      <w:proofErr w:type="gramStart"/>
      <w:r w:rsidRPr="005E1EA7">
        <w:rPr>
          <w:rFonts w:ascii="Tahoma" w:hAnsi="Tahoma" w:cs="Tahoma"/>
          <w:sz w:val="20"/>
          <w:szCs w:val="20"/>
        </w:rPr>
        <w:t>espèces</w:t>
      </w:r>
      <w:proofErr w:type="gramEnd"/>
      <w:r w:rsidRPr="005E1EA7">
        <w:rPr>
          <w:rFonts w:ascii="Tahoma" w:hAnsi="Tahoma" w:cs="Tahoma"/>
          <w:sz w:val="20"/>
          <w:szCs w:val="20"/>
        </w:rPr>
        <w:t xml:space="preserve"> appartenant à la famille des sélaciens</w:t>
      </w:r>
    </w:p>
    <w:p w14:paraId="76A13254" w14:textId="77777777" w:rsidR="003D69A8" w:rsidRPr="005E1EA7" w:rsidRDefault="003D69A8" w:rsidP="003D69A8">
      <w:pPr>
        <w:pStyle w:val="Paragraphedeliste"/>
        <w:rPr>
          <w:rFonts w:ascii="Tahoma" w:hAnsi="Tahoma" w:cs="Tahoma"/>
          <w:sz w:val="20"/>
          <w:szCs w:val="20"/>
        </w:rPr>
      </w:pPr>
    </w:p>
    <w:p w14:paraId="2114A812" w14:textId="77777777" w:rsidR="003D69A8" w:rsidRDefault="003D69A8" w:rsidP="003D69A8">
      <w:pPr>
        <w:autoSpaceDE w:val="0"/>
        <w:autoSpaceDN w:val="0"/>
        <w:adjustRightInd w:val="0"/>
        <w:jc w:val="both"/>
        <w:rPr>
          <w:rFonts w:ascii="Tahoma" w:hAnsi="Tahoma" w:cs="Tahoma"/>
          <w:sz w:val="20"/>
          <w:szCs w:val="20"/>
        </w:rPr>
      </w:pPr>
    </w:p>
    <w:p w14:paraId="66F323D0" w14:textId="77777777" w:rsidR="005E1EA7" w:rsidRPr="005E1EA7" w:rsidRDefault="005E1EA7" w:rsidP="003D69A8">
      <w:pPr>
        <w:autoSpaceDE w:val="0"/>
        <w:autoSpaceDN w:val="0"/>
        <w:adjustRightInd w:val="0"/>
        <w:jc w:val="both"/>
        <w:rPr>
          <w:rFonts w:ascii="Tahoma" w:hAnsi="Tahoma" w:cs="Tahoma"/>
          <w:sz w:val="20"/>
          <w:szCs w:val="20"/>
        </w:rPr>
      </w:pPr>
    </w:p>
    <w:p w14:paraId="30806F11" w14:textId="77777777" w:rsidR="003D69A8" w:rsidRPr="005E1EA7" w:rsidRDefault="003D69A8" w:rsidP="003D69A8">
      <w:pPr>
        <w:autoSpaceDE w:val="0"/>
        <w:autoSpaceDN w:val="0"/>
        <w:adjustRightInd w:val="0"/>
        <w:jc w:val="both"/>
        <w:rPr>
          <w:rFonts w:ascii="Tahoma" w:eastAsia="EUAlbertina-Regular-Identity-H" w:hAnsi="Tahoma" w:cs="Tahoma"/>
          <w:b/>
          <w:bCs/>
          <w:sz w:val="20"/>
          <w:szCs w:val="20"/>
        </w:rPr>
      </w:pPr>
      <w:r w:rsidRPr="005E1EA7">
        <w:rPr>
          <w:rFonts w:ascii="Tahoma" w:eastAsia="EUAlbertina-Regular-Identity-H" w:hAnsi="Tahoma" w:cs="Tahoma"/>
          <w:b/>
          <w:bCs/>
          <w:sz w:val="20"/>
          <w:szCs w:val="20"/>
        </w:rPr>
        <w:t>D. PARASITES</w:t>
      </w:r>
    </w:p>
    <w:p w14:paraId="4A319F50"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6CB9AC7B"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Les exploitants du secteur halieutique doivent veiller à ce que les produits de la pêche aient été soumis à un contrôle visuel destiné à détecter la présence de parasites visibles avant de les mettre sur le marché. Ils ne doivent pas mettre sur le marché pour la consommation humaine les produits de la pêche qui sont manifestement infestés de parasites.</w:t>
      </w:r>
    </w:p>
    <w:p w14:paraId="2A1AE485"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64BD8321" w14:textId="77777777" w:rsidR="003D69A8" w:rsidRPr="005E1EA7" w:rsidRDefault="003D69A8" w:rsidP="003D69A8">
      <w:pPr>
        <w:autoSpaceDE w:val="0"/>
        <w:autoSpaceDN w:val="0"/>
        <w:adjustRightInd w:val="0"/>
        <w:jc w:val="both"/>
        <w:rPr>
          <w:rFonts w:ascii="Tahoma" w:eastAsia="EUAlbertina-Regular-Identity-H" w:hAnsi="Tahoma" w:cs="Tahoma"/>
          <w:b/>
          <w:bCs/>
          <w:sz w:val="20"/>
          <w:szCs w:val="20"/>
        </w:rPr>
      </w:pPr>
      <w:r w:rsidRPr="005E1EA7">
        <w:rPr>
          <w:rFonts w:ascii="Tahoma" w:eastAsia="EUAlbertina-Regular-Identity-H" w:hAnsi="Tahoma" w:cs="Tahoma"/>
          <w:b/>
          <w:bCs/>
          <w:sz w:val="20"/>
          <w:szCs w:val="20"/>
        </w:rPr>
        <w:t>E. TOXINES DANGEREUSES POUR LA SANTE HUMAINE</w:t>
      </w:r>
    </w:p>
    <w:p w14:paraId="555C6766"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54F788CC"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hAnsi="Tahoma" w:cs="Tahoma"/>
          <w:sz w:val="20"/>
          <w:szCs w:val="20"/>
        </w:rPr>
        <w:t xml:space="preserve">1. Les produits de la pêche dérivés de poissons toxiques des familles suivantes ne doivent pas être mis sur le marché : </w:t>
      </w:r>
      <w:r w:rsidRPr="005E1EA7">
        <w:rPr>
          <w:rFonts w:ascii="Tahoma" w:hAnsi="Tahoma" w:cs="Tahoma"/>
          <w:i/>
          <w:iCs/>
          <w:sz w:val="20"/>
          <w:szCs w:val="20"/>
        </w:rPr>
        <w:t>Tetraodontidae, Molidae, Diodontidae et Canthigasteridae</w:t>
      </w:r>
      <w:r w:rsidRPr="005E1EA7">
        <w:rPr>
          <w:rFonts w:ascii="Tahoma" w:hAnsi="Tahoma" w:cs="Tahoma"/>
          <w:sz w:val="20"/>
          <w:szCs w:val="20"/>
        </w:rPr>
        <w:t xml:space="preserve">. Les produits de la pêche frais, préparés et transformés de la famille des </w:t>
      </w:r>
      <w:r w:rsidRPr="005E1EA7">
        <w:rPr>
          <w:rFonts w:ascii="Tahoma" w:hAnsi="Tahoma" w:cs="Tahoma"/>
          <w:i/>
          <w:iCs/>
          <w:sz w:val="20"/>
          <w:szCs w:val="20"/>
        </w:rPr>
        <w:t>Gempylidae</w:t>
      </w:r>
      <w:r w:rsidRPr="005E1EA7">
        <w:rPr>
          <w:rFonts w:ascii="Tahoma" w:hAnsi="Tahoma" w:cs="Tahoma"/>
          <w:sz w:val="20"/>
          <w:szCs w:val="20"/>
        </w:rPr>
        <w:t>, notamment Ruvettus pretiosus et Lepidocybium flavobrunneum, ne peuvent être mis sur le marché que conditionnés ou emballés et doivent être étiquetés de manière appropriée afin d'informer le consommateur des méthodes de préparation et/ou de cuisson, ainsi que du risque lié à la présence de substances susceptibles de causer des troubles gastro-intestinaux. Le nom scientifique doit accompagner l'appellation commune sur l'étiquette.</w:t>
      </w:r>
    </w:p>
    <w:p w14:paraId="3747E4A9"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5C1BE61C"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2. Les produits de la pêche contenant des biotoxines telles que la ciguatoxine ou les toxines paralysantes des muscles ne doivent pas être mis sur le marché. Toutefois, les produits de la pêche dérivés des mollusques bivalves peuvent être mis sur le marché pour autant qu’ils aient été produits conformément à la réglementation fixant les critères microbiologiques, chimiques et biotoxines marines applicables aux mollusques bivalves vivants et aux produits de la pêche.</w:t>
      </w:r>
    </w:p>
    <w:p w14:paraId="35579B49" w14:textId="77777777" w:rsidR="003D69A8" w:rsidRPr="005E1EA7" w:rsidRDefault="003D69A8" w:rsidP="003D69A8">
      <w:pPr>
        <w:autoSpaceDE w:val="0"/>
        <w:autoSpaceDN w:val="0"/>
        <w:adjustRightInd w:val="0"/>
        <w:jc w:val="center"/>
        <w:rPr>
          <w:rFonts w:ascii="Tahoma" w:eastAsia="EUAlbertina-Regular-Identity-H" w:hAnsi="Tahoma" w:cs="Tahoma"/>
          <w:sz w:val="20"/>
          <w:szCs w:val="20"/>
        </w:rPr>
      </w:pPr>
    </w:p>
    <w:p w14:paraId="7CED148F" w14:textId="77777777" w:rsidR="003D69A8" w:rsidRPr="005E1EA7" w:rsidRDefault="003D69A8" w:rsidP="003D69A8">
      <w:pPr>
        <w:autoSpaceDE w:val="0"/>
        <w:autoSpaceDN w:val="0"/>
        <w:adjustRightInd w:val="0"/>
        <w:jc w:val="center"/>
        <w:rPr>
          <w:rFonts w:ascii="Tahoma" w:eastAsia="EUAlbertina-Regular-Identity-H" w:hAnsi="Tahoma" w:cs="Tahoma"/>
          <w:b/>
          <w:bCs/>
          <w:sz w:val="20"/>
          <w:szCs w:val="20"/>
        </w:rPr>
      </w:pPr>
      <w:r w:rsidRPr="005E1EA7">
        <w:rPr>
          <w:rFonts w:ascii="Tahoma" w:eastAsia="EUAlbertina-Regular-Identity-H" w:hAnsi="Tahoma" w:cs="Tahoma"/>
          <w:b/>
          <w:bCs/>
          <w:sz w:val="20"/>
          <w:szCs w:val="20"/>
        </w:rPr>
        <w:t>CHAPITRE VII : CONDITIONNEMENT ET EMBALLAGE DES PRODUITS DE LA PECHE</w:t>
      </w:r>
    </w:p>
    <w:p w14:paraId="2E3AB85F"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1DBFE91C"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1. Les récipients dans lesquels les produits de la pêche frais sont conservés sous glace doivent être résistants à l’eau et permettre à l’eau de fusion de ne pas rester en contact avec les produits.</w:t>
      </w:r>
    </w:p>
    <w:p w14:paraId="665E8D6B"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54642F31"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2. Les blocs congelés, préparés à bord des bateaux doivent être convenablement conditionnés avant le débarquement.</w:t>
      </w:r>
    </w:p>
    <w:p w14:paraId="2273452B"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3B313858"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3. Lorsque les produits de la pêche sont conditionnés à bord du navire de pêche, les exploitants du secteur halieutique doivent veiller à ce que le matériau utilisé pour le conditionnement :</w:t>
      </w:r>
    </w:p>
    <w:p w14:paraId="6A4B6ADF"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6A4FE438" w14:textId="77777777" w:rsidR="003D69A8" w:rsidRPr="005E1EA7" w:rsidRDefault="003D69A8" w:rsidP="003D69A8">
      <w:pPr>
        <w:tabs>
          <w:tab w:val="num" w:pos="720"/>
        </w:tabs>
        <w:autoSpaceDE w:val="0"/>
        <w:autoSpaceDN w:val="0"/>
        <w:adjustRightInd w:val="0"/>
        <w:ind w:left="720" w:hanging="360"/>
        <w:jc w:val="both"/>
        <w:rPr>
          <w:rFonts w:ascii="Tahoma" w:eastAsia="EUAlbertina-Regular-Identity-H" w:hAnsi="Tahoma" w:cs="Tahoma"/>
          <w:sz w:val="20"/>
          <w:szCs w:val="20"/>
        </w:rPr>
      </w:pPr>
      <w:r w:rsidRPr="005E1EA7">
        <w:rPr>
          <w:rFonts w:ascii="Tahoma" w:eastAsia="EUAlbertina-Regular-Identity-H" w:hAnsi="Tahoma" w:cs="Tahoma"/>
          <w:sz w:val="20"/>
          <w:szCs w:val="20"/>
        </w:rPr>
        <w:lastRenderedPageBreak/>
        <w:t>-</w:t>
      </w:r>
      <w:r w:rsidRPr="005E1EA7">
        <w:rPr>
          <w:rFonts w:ascii="Tahoma" w:eastAsia="EUAlbertina-Regular-Identity-H" w:hAnsi="Tahoma" w:cs="Tahoma"/>
          <w:sz w:val="20"/>
          <w:szCs w:val="20"/>
        </w:rPr>
        <w:tab/>
        <w:t>ne constitue pas une source de contamination et soit entreposé de telle manière qu’il ne soit pas exposé à des risques de contamination ;</w:t>
      </w:r>
    </w:p>
    <w:p w14:paraId="15F3382D"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2EBEC52E" w14:textId="77777777" w:rsidR="003D69A8" w:rsidRPr="005E1EA7" w:rsidRDefault="003D69A8" w:rsidP="003D69A8">
      <w:pPr>
        <w:tabs>
          <w:tab w:val="num" w:pos="720"/>
        </w:tabs>
        <w:autoSpaceDE w:val="0"/>
        <w:autoSpaceDN w:val="0"/>
        <w:adjustRightInd w:val="0"/>
        <w:ind w:left="720" w:hanging="360"/>
        <w:jc w:val="both"/>
        <w:rPr>
          <w:rFonts w:ascii="Tahoma" w:eastAsia="EUAlbertina-Regular-Identity-H" w:hAnsi="Tahoma" w:cs="Tahoma"/>
          <w:sz w:val="20"/>
          <w:szCs w:val="20"/>
        </w:rPr>
      </w:pPr>
      <w:r w:rsidRPr="005E1EA7">
        <w:rPr>
          <w:rFonts w:ascii="Tahoma" w:eastAsia="EUAlbertina-Regular-Identity-H" w:hAnsi="Tahoma" w:cs="Tahoma"/>
          <w:sz w:val="20"/>
          <w:szCs w:val="20"/>
        </w:rPr>
        <w:t>-</w:t>
      </w:r>
      <w:r w:rsidRPr="005E1EA7">
        <w:rPr>
          <w:rFonts w:ascii="Tahoma" w:eastAsia="EUAlbertina-Regular-Identity-H" w:hAnsi="Tahoma" w:cs="Tahoma"/>
          <w:sz w:val="20"/>
          <w:szCs w:val="20"/>
        </w:rPr>
        <w:tab/>
        <w:t>soit facile à nettoyer et, le cas échéant, à désinfecter lorsqu’il est destiné à être réutilisé.</w:t>
      </w:r>
    </w:p>
    <w:p w14:paraId="679F3D57"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63012552" w14:textId="77777777" w:rsidR="003D69A8" w:rsidRPr="005E1EA7" w:rsidRDefault="003D69A8" w:rsidP="003D69A8">
      <w:pPr>
        <w:autoSpaceDE w:val="0"/>
        <w:autoSpaceDN w:val="0"/>
        <w:adjustRightInd w:val="0"/>
        <w:jc w:val="center"/>
        <w:rPr>
          <w:rFonts w:ascii="Tahoma" w:eastAsia="EUAlbertina-Regular-Identity-H" w:hAnsi="Tahoma" w:cs="Tahoma"/>
          <w:b/>
          <w:bCs/>
          <w:sz w:val="20"/>
          <w:szCs w:val="20"/>
        </w:rPr>
      </w:pPr>
      <w:r w:rsidRPr="005E1EA7">
        <w:rPr>
          <w:rFonts w:ascii="Tahoma" w:eastAsia="EUAlbertina-Regular-Identity-H" w:hAnsi="Tahoma" w:cs="Tahoma"/>
          <w:b/>
          <w:bCs/>
          <w:sz w:val="20"/>
          <w:szCs w:val="20"/>
        </w:rPr>
        <w:t>CHAPITRE VIII : ENTREPOSAGE DES PRODUITS DE LA PECHE</w:t>
      </w:r>
    </w:p>
    <w:p w14:paraId="3E019826"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5E36D015"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Les exploitants du secteur halieutique qui entreposent des produits de la pêche doivent assurer le respect des exigences mentionnées ci-après :</w:t>
      </w:r>
    </w:p>
    <w:p w14:paraId="77D98D24"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7008A446"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 xml:space="preserve">1. Les produits de la pêche frais, les produits de la pêche non transformés décongelés, ainsi que les produits de crustacés et de mollusques cuits et réfrigérés, doivent être maintenus à </w:t>
      </w:r>
      <w:proofErr w:type="gramStart"/>
      <w:r w:rsidRPr="005E1EA7">
        <w:rPr>
          <w:rFonts w:ascii="Tahoma" w:eastAsia="EUAlbertina-Regular-Identity-H" w:hAnsi="Tahoma" w:cs="Tahoma"/>
          <w:sz w:val="20"/>
          <w:szCs w:val="20"/>
        </w:rPr>
        <w:t>une température approchant</w:t>
      </w:r>
      <w:proofErr w:type="gramEnd"/>
      <w:r w:rsidRPr="005E1EA7">
        <w:rPr>
          <w:rFonts w:ascii="Tahoma" w:eastAsia="EUAlbertina-Regular-Identity-H" w:hAnsi="Tahoma" w:cs="Tahoma"/>
          <w:sz w:val="20"/>
          <w:szCs w:val="20"/>
        </w:rPr>
        <w:t xml:space="preserve"> celle de la glace fondante ;</w:t>
      </w:r>
    </w:p>
    <w:p w14:paraId="1692F78F"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1F2FF29B"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2. Les produits de la pêche congelés doivent être maintenus à une température ne dépassant pas - 18 °C en tous points ; cependant, les poissons entiers congelés en saumure et destinés à l’industrie de la conserve peuvent être maintenus à une température ne dépassant pas - 9 °C ;</w:t>
      </w:r>
    </w:p>
    <w:p w14:paraId="0D7AECFE"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3FE28718"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3. les produits de la pêche conservés vivants doivent être maintenus à une température et dans des conditions qui n’affectent pas leurs caractéristiques en matière de sûreté alimentaire et de viabilité.</w:t>
      </w:r>
    </w:p>
    <w:p w14:paraId="70656DBF"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7E3023E8" w14:textId="77777777" w:rsidR="003D69A8" w:rsidRPr="005E1EA7" w:rsidRDefault="003D69A8" w:rsidP="003D69A8">
      <w:pPr>
        <w:autoSpaceDE w:val="0"/>
        <w:autoSpaceDN w:val="0"/>
        <w:adjustRightInd w:val="0"/>
        <w:jc w:val="center"/>
        <w:rPr>
          <w:rFonts w:ascii="Tahoma" w:eastAsia="EUAlbertina-Regular-Identity-H" w:hAnsi="Tahoma" w:cs="Tahoma"/>
          <w:b/>
          <w:bCs/>
          <w:sz w:val="20"/>
          <w:szCs w:val="20"/>
        </w:rPr>
      </w:pPr>
      <w:r w:rsidRPr="005E1EA7">
        <w:rPr>
          <w:rFonts w:ascii="Tahoma" w:eastAsia="EUAlbertina-Regular-Identity-H" w:hAnsi="Tahoma" w:cs="Tahoma"/>
          <w:b/>
          <w:bCs/>
          <w:sz w:val="20"/>
          <w:szCs w:val="20"/>
        </w:rPr>
        <w:t>CHAPITRE IX : TRANSPORT DES PRODUITS DE LA PECHE</w:t>
      </w:r>
    </w:p>
    <w:p w14:paraId="17DE6E4D"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4B3A2C8E"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Les exploitants du secteur halieutique qui transportent des produits de la pêche doivent assurer le respect des exigences mentionnées ci-après :</w:t>
      </w:r>
    </w:p>
    <w:p w14:paraId="11CC205A"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5F01CB39"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1. Lors du transport, les produits de la pêche doivent être maintenus aux températures fixées :</w:t>
      </w:r>
    </w:p>
    <w:p w14:paraId="62DE4231"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039E2EA4" w14:textId="77777777" w:rsidR="003D69A8" w:rsidRPr="005E1EA7" w:rsidRDefault="003D69A8" w:rsidP="003D69A8">
      <w:pPr>
        <w:autoSpaceDE w:val="0"/>
        <w:autoSpaceDN w:val="0"/>
        <w:adjustRightInd w:val="0"/>
        <w:ind w:left="720" w:hanging="360"/>
        <w:jc w:val="both"/>
        <w:rPr>
          <w:rFonts w:ascii="Tahoma" w:eastAsia="EUAlbertina-Regular-Identity-H" w:hAnsi="Tahoma" w:cs="Tahoma"/>
          <w:sz w:val="20"/>
          <w:szCs w:val="20"/>
        </w:rPr>
      </w:pPr>
      <w:r w:rsidRPr="005E1EA7">
        <w:rPr>
          <w:rFonts w:ascii="Tahoma" w:eastAsia="EUAlbertina-Regular-Identity-H" w:hAnsi="Tahoma" w:cs="Tahoma"/>
          <w:sz w:val="20"/>
          <w:szCs w:val="20"/>
        </w:rPr>
        <w:t xml:space="preserve">a) les produits de la pêche frais, les produits de la pêche non transformés décongelés, ainsi que les produits de crustacés et de mollusques cuits et réfrigérés, doivent être maintenus à </w:t>
      </w:r>
      <w:proofErr w:type="gramStart"/>
      <w:r w:rsidRPr="005E1EA7">
        <w:rPr>
          <w:rFonts w:ascii="Tahoma" w:eastAsia="EUAlbertina-Regular-Identity-H" w:hAnsi="Tahoma" w:cs="Tahoma"/>
          <w:sz w:val="20"/>
          <w:szCs w:val="20"/>
        </w:rPr>
        <w:t>une température approchant</w:t>
      </w:r>
      <w:proofErr w:type="gramEnd"/>
      <w:r w:rsidRPr="005E1EA7">
        <w:rPr>
          <w:rFonts w:ascii="Tahoma" w:eastAsia="EUAlbertina-Regular-Identity-H" w:hAnsi="Tahoma" w:cs="Tahoma"/>
          <w:sz w:val="20"/>
          <w:szCs w:val="20"/>
        </w:rPr>
        <w:t xml:space="preserve"> celle de la glace fondante ;</w:t>
      </w:r>
    </w:p>
    <w:p w14:paraId="666FFF13"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71997043" w14:textId="77777777" w:rsidR="003D69A8" w:rsidRPr="005E1EA7" w:rsidRDefault="003D69A8" w:rsidP="003D69A8">
      <w:pPr>
        <w:autoSpaceDE w:val="0"/>
        <w:autoSpaceDN w:val="0"/>
        <w:adjustRightInd w:val="0"/>
        <w:ind w:left="720" w:hanging="360"/>
        <w:jc w:val="both"/>
        <w:rPr>
          <w:rFonts w:ascii="Tahoma" w:eastAsia="EUAlbertina-Regular-Identity-H" w:hAnsi="Tahoma" w:cs="Tahoma"/>
          <w:sz w:val="20"/>
          <w:szCs w:val="20"/>
        </w:rPr>
      </w:pPr>
      <w:r w:rsidRPr="005E1EA7">
        <w:rPr>
          <w:rFonts w:ascii="Tahoma" w:eastAsia="EUAlbertina-Regular-Identity-H" w:hAnsi="Tahoma" w:cs="Tahoma"/>
          <w:sz w:val="20"/>
          <w:szCs w:val="20"/>
        </w:rPr>
        <w:t>b) les produits de la pêche congelés, à l’exception des poissons congelés en saumure et destinés à l’industrie de la conserve, doivent être maintenus pendant le transport à une température homogène ne dépassant pas - 18 °C en tous points, de brèves fluctuations vers le haut de 3 °C au maximum étant tolérées ;</w:t>
      </w:r>
    </w:p>
    <w:p w14:paraId="2674BDEA"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67A69259"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2. Les exploitants du secteur halieutique ne sont pas tenus de se conformer aux dispositions du point 1 b), lorsque des produits de la pêche congelés sont transportés d’un entrepôt frigorifique jusqu’à un établissement agréé pour y être décongelés dès leur arrivée, en vue d’une préparation et/ou d’une transformation, que la distance à parcourir est courte et que l’autorité compétente donne son autorisation ;</w:t>
      </w:r>
    </w:p>
    <w:p w14:paraId="7C494016"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212C9171"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3. Si les produits de la pêche sont conservés sous glace, l’eau de fusion ne doit pas rester en contact avec les produits ;</w:t>
      </w:r>
    </w:p>
    <w:p w14:paraId="45D462DC"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7FE15E58"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4. Les produits de la pêche destinés à être mis sur le marché vivants doivent être transportés dans des conditions qui n’affectent pas leurs caractéristiques en matière de sûreté alimentaire et de viabilité.</w:t>
      </w:r>
    </w:p>
    <w:p w14:paraId="03ED60AA"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44A215A0" w14:textId="77777777" w:rsidR="003D69A8" w:rsidRDefault="003D69A8" w:rsidP="003D69A8">
      <w:pPr>
        <w:autoSpaceDE w:val="0"/>
        <w:autoSpaceDN w:val="0"/>
        <w:adjustRightInd w:val="0"/>
        <w:jc w:val="both"/>
        <w:rPr>
          <w:rFonts w:ascii="Tahoma" w:eastAsia="EUAlbertina-Regular-Identity-H" w:hAnsi="Tahoma" w:cs="Tahoma"/>
          <w:sz w:val="20"/>
          <w:szCs w:val="20"/>
        </w:rPr>
      </w:pPr>
    </w:p>
    <w:p w14:paraId="3A80EEB0" w14:textId="77777777" w:rsidR="00E34453" w:rsidRDefault="00E34453" w:rsidP="003D69A8">
      <w:pPr>
        <w:autoSpaceDE w:val="0"/>
        <w:autoSpaceDN w:val="0"/>
        <w:adjustRightInd w:val="0"/>
        <w:jc w:val="both"/>
        <w:rPr>
          <w:rFonts w:ascii="Tahoma" w:eastAsia="EUAlbertina-Regular-Identity-H" w:hAnsi="Tahoma" w:cs="Tahoma"/>
          <w:sz w:val="20"/>
          <w:szCs w:val="20"/>
        </w:rPr>
      </w:pPr>
    </w:p>
    <w:p w14:paraId="7A13AB02" w14:textId="77777777" w:rsidR="00E34453" w:rsidRDefault="00E34453" w:rsidP="003D69A8">
      <w:pPr>
        <w:autoSpaceDE w:val="0"/>
        <w:autoSpaceDN w:val="0"/>
        <w:adjustRightInd w:val="0"/>
        <w:jc w:val="both"/>
        <w:rPr>
          <w:rFonts w:ascii="Tahoma" w:eastAsia="EUAlbertina-Regular-Identity-H" w:hAnsi="Tahoma" w:cs="Tahoma"/>
          <w:sz w:val="20"/>
          <w:szCs w:val="20"/>
        </w:rPr>
      </w:pPr>
    </w:p>
    <w:p w14:paraId="59EC7301" w14:textId="3E97498D" w:rsidR="00E34453" w:rsidRDefault="00E34453">
      <w:pPr>
        <w:rPr>
          <w:rFonts w:ascii="Tahoma" w:eastAsia="EUAlbertina-Regular-Identity-H" w:hAnsi="Tahoma" w:cs="Tahoma"/>
          <w:sz w:val="20"/>
          <w:szCs w:val="20"/>
        </w:rPr>
      </w:pPr>
      <w:r>
        <w:rPr>
          <w:rFonts w:ascii="Tahoma" w:eastAsia="EUAlbertina-Regular-Identity-H" w:hAnsi="Tahoma" w:cs="Tahoma"/>
          <w:sz w:val="20"/>
          <w:szCs w:val="20"/>
        </w:rPr>
        <w:br w:type="page"/>
      </w:r>
    </w:p>
    <w:p w14:paraId="4D990005" w14:textId="77777777" w:rsidR="00E34453" w:rsidRDefault="00E34453" w:rsidP="00E34453">
      <w:pPr>
        <w:rPr>
          <w:rFonts w:ascii="Tahoma" w:hAnsi="Tahoma" w:cs="Tahoma"/>
          <w:sz w:val="20"/>
          <w:szCs w:val="20"/>
        </w:rPr>
      </w:pPr>
      <w:r>
        <w:rPr>
          <w:rFonts w:ascii="Tahoma" w:hAnsi="Tahoma" w:cs="Tahoma"/>
          <w:sz w:val="20"/>
          <w:szCs w:val="20"/>
        </w:rPr>
        <w:lastRenderedPageBreak/>
        <w:br w:type="page"/>
      </w:r>
    </w:p>
    <w:p w14:paraId="01A29CA8" w14:textId="77777777" w:rsidR="00E34453" w:rsidRPr="001D02B9" w:rsidRDefault="00E34453" w:rsidP="00E34453">
      <w:pPr>
        <w:pStyle w:val="Titre1"/>
        <w:pBdr>
          <w:top w:val="thinThickMediumGap" w:sz="24" w:space="1" w:color="70AD47" w:themeColor="accent6"/>
          <w:left w:val="thinThickMediumGap" w:sz="24" w:space="4" w:color="70AD47" w:themeColor="accent6"/>
          <w:bottom w:val="thickThinMediumGap" w:sz="24" w:space="1" w:color="70AD47" w:themeColor="accent6"/>
          <w:right w:val="thickThinMediumGap" w:sz="24" w:space="4" w:color="70AD47" w:themeColor="accent6"/>
        </w:pBdr>
        <w:jc w:val="both"/>
        <w:rPr>
          <w:rFonts w:ascii="Tahoma" w:hAnsi="Tahoma" w:cs="Tahoma"/>
          <w:color w:val="000000" w:themeColor="text1"/>
          <w:szCs w:val="22"/>
        </w:rPr>
      </w:pPr>
      <w:bookmarkStart w:id="212" w:name="_Toc202214697"/>
      <w:r w:rsidRPr="001D02B9">
        <w:rPr>
          <w:rFonts w:ascii="Tahoma" w:hAnsi="Tahoma" w:cs="Tahoma"/>
          <w:color w:val="000000" w:themeColor="text1"/>
          <w:szCs w:val="22"/>
        </w:rPr>
        <w:lastRenderedPageBreak/>
        <w:t>Arrêté n° 000735 du 30 Juin 2025 fixant les conditions techniques et sanitaires des sites de débarquement des produits de la pêche</w:t>
      </w:r>
      <w:bookmarkEnd w:id="212"/>
    </w:p>
    <w:p w14:paraId="56608E87" w14:textId="77777777" w:rsidR="00E34453" w:rsidRPr="005E1EA7" w:rsidRDefault="00E34453" w:rsidP="00E34453">
      <w:pPr>
        <w:autoSpaceDE w:val="0"/>
        <w:autoSpaceDN w:val="0"/>
        <w:adjustRightInd w:val="0"/>
        <w:spacing w:before="120" w:after="120"/>
        <w:jc w:val="center"/>
        <w:rPr>
          <w:rFonts w:ascii="Tahoma" w:hAnsi="Tahoma" w:cs="Tahoma"/>
          <w:b/>
          <w:bCs/>
          <w:sz w:val="20"/>
          <w:szCs w:val="20"/>
        </w:rPr>
      </w:pPr>
    </w:p>
    <w:p w14:paraId="5148C568" w14:textId="77777777" w:rsidR="00E34453" w:rsidRPr="005E1EA7" w:rsidRDefault="00E34453" w:rsidP="00E34453">
      <w:pPr>
        <w:autoSpaceDE w:val="0"/>
        <w:autoSpaceDN w:val="0"/>
        <w:adjustRightInd w:val="0"/>
        <w:spacing w:before="120" w:after="120"/>
        <w:jc w:val="center"/>
        <w:rPr>
          <w:rFonts w:ascii="Tahoma" w:hAnsi="Tahoma" w:cs="Tahoma"/>
          <w:b/>
          <w:bCs/>
          <w:sz w:val="20"/>
          <w:szCs w:val="20"/>
        </w:rPr>
      </w:pPr>
      <w:r w:rsidRPr="005E1EA7">
        <w:rPr>
          <w:rFonts w:ascii="Tahoma" w:hAnsi="Tahoma" w:cs="Tahoma"/>
          <w:b/>
          <w:bCs/>
          <w:sz w:val="20"/>
          <w:szCs w:val="20"/>
        </w:rPr>
        <w:t>CHAPITRE PREMIER : DISPOSITIONS PRELIMINAIRES</w:t>
      </w:r>
    </w:p>
    <w:p w14:paraId="6FCA0F74" w14:textId="77777777" w:rsidR="00E34453" w:rsidRPr="005E1EA7" w:rsidRDefault="00E34453" w:rsidP="00E34453">
      <w:pPr>
        <w:autoSpaceDE w:val="0"/>
        <w:autoSpaceDN w:val="0"/>
        <w:adjustRightInd w:val="0"/>
        <w:spacing w:before="120" w:after="120"/>
        <w:jc w:val="center"/>
        <w:rPr>
          <w:rFonts w:ascii="Tahoma" w:hAnsi="Tahoma" w:cs="Tahoma"/>
          <w:sz w:val="20"/>
          <w:szCs w:val="20"/>
        </w:rPr>
      </w:pPr>
    </w:p>
    <w:p w14:paraId="35BFCBD4" w14:textId="77777777" w:rsidR="00E34453" w:rsidRPr="005E1EA7" w:rsidRDefault="00E34453" w:rsidP="00E34453">
      <w:pPr>
        <w:autoSpaceDE w:val="0"/>
        <w:autoSpaceDN w:val="0"/>
        <w:adjustRightInd w:val="0"/>
        <w:spacing w:before="120" w:after="120"/>
        <w:jc w:val="both"/>
        <w:rPr>
          <w:rFonts w:ascii="Tahoma" w:hAnsi="Tahoma" w:cs="Tahoma"/>
          <w:sz w:val="20"/>
          <w:szCs w:val="20"/>
        </w:rPr>
      </w:pPr>
      <w:r w:rsidRPr="005E1EA7">
        <w:rPr>
          <w:rFonts w:ascii="Tahoma" w:hAnsi="Tahoma" w:cs="Tahoma"/>
          <w:b/>
          <w:bCs/>
          <w:sz w:val="20"/>
          <w:szCs w:val="20"/>
          <w:u w:val="single"/>
        </w:rPr>
        <w:t>Article premier</w:t>
      </w:r>
      <w:r w:rsidRPr="005E1EA7">
        <w:rPr>
          <w:rFonts w:ascii="Tahoma" w:hAnsi="Tahoma" w:cs="Tahoma"/>
          <w:b/>
          <w:bCs/>
          <w:sz w:val="20"/>
          <w:szCs w:val="20"/>
        </w:rPr>
        <w:t xml:space="preserve"> : </w:t>
      </w:r>
      <w:r w:rsidRPr="005E1EA7">
        <w:rPr>
          <w:rFonts w:ascii="Tahoma" w:hAnsi="Tahoma" w:cs="Tahoma"/>
          <w:sz w:val="20"/>
          <w:szCs w:val="20"/>
        </w:rPr>
        <w:t>En application de l’article 1 alinéa 2 du décret n° 94.030 du 8 mars 1994 relatif aux normes d'hygiène et de salubrité et aux conditions d'inspection sanitaire et de contrôle régissant la production et la mise sur le marché des produits de la pêche, le présent arrêté a pour objet de définir les conditions techniques et sanitaires minimales applicables aux sites (Ports, PDA et sites aménagés, etc.) de débarquement des produits halieutiques.</w:t>
      </w:r>
    </w:p>
    <w:p w14:paraId="19FB5311" w14:textId="77777777" w:rsidR="00E34453" w:rsidRPr="005E1EA7" w:rsidRDefault="00E34453" w:rsidP="00E34453">
      <w:pPr>
        <w:autoSpaceDE w:val="0"/>
        <w:autoSpaceDN w:val="0"/>
        <w:adjustRightInd w:val="0"/>
        <w:spacing w:before="120" w:after="120"/>
        <w:jc w:val="both"/>
        <w:rPr>
          <w:rFonts w:ascii="Tahoma" w:hAnsi="Tahoma" w:cs="Tahoma"/>
          <w:sz w:val="20"/>
          <w:szCs w:val="20"/>
        </w:rPr>
      </w:pPr>
    </w:p>
    <w:p w14:paraId="59AE7EDA" w14:textId="77777777" w:rsidR="00E34453" w:rsidRPr="005E1EA7" w:rsidRDefault="00E34453" w:rsidP="00E34453">
      <w:pPr>
        <w:autoSpaceDE w:val="0"/>
        <w:autoSpaceDN w:val="0"/>
        <w:adjustRightInd w:val="0"/>
        <w:spacing w:before="120" w:after="120"/>
        <w:jc w:val="both"/>
        <w:rPr>
          <w:rFonts w:ascii="Tahoma" w:hAnsi="Tahoma" w:cs="Tahoma"/>
          <w:sz w:val="20"/>
          <w:szCs w:val="20"/>
        </w:rPr>
      </w:pPr>
      <w:r w:rsidRPr="005E1EA7">
        <w:rPr>
          <w:rFonts w:ascii="Tahoma" w:hAnsi="Tahoma" w:cs="Tahoma"/>
          <w:b/>
          <w:bCs/>
          <w:sz w:val="20"/>
          <w:szCs w:val="20"/>
          <w:u w:val="single"/>
        </w:rPr>
        <w:t>Article 2</w:t>
      </w:r>
      <w:r w:rsidRPr="005E1EA7">
        <w:rPr>
          <w:rFonts w:ascii="Tahoma" w:hAnsi="Tahoma" w:cs="Tahoma"/>
          <w:b/>
          <w:bCs/>
          <w:sz w:val="20"/>
          <w:szCs w:val="20"/>
        </w:rPr>
        <w:t xml:space="preserve"> : </w:t>
      </w:r>
      <w:r w:rsidRPr="005E1EA7">
        <w:rPr>
          <w:rFonts w:ascii="Tahoma" w:hAnsi="Tahoma" w:cs="Tahoma"/>
          <w:sz w:val="20"/>
          <w:szCs w:val="20"/>
        </w:rPr>
        <w:t>Aux fins du présent arrêté, on entend par :</w:t>
      </w:r>
    </w:p>
    <w:p w14:paraId="16455C92" w14:textId="77777777" w:rsidR="00E34453" w:rsidRPr="005E1EA7" w:rsidRDefault="00E34453" w:rsidP="00E34453">
      <w:pPr>
        <w:pStyle w:val="Paragraphedeliste"/>
        <w:numPr>
          <w:ilvl w:val="0"/>
          <w:numId w:val="190"/>
        </w:numPr>
        <w:autoSpaceDE w:val="0"/>
        <w:autoSpaceDN w:val="0"/>
        <w:adjustRightInd w:val="0"/>
        <w:spacing w:before="120" w:after="120"/>
        <w:contextualSpacing/>
        <w:jc w:val="both"/>
        <w:rPr>
          <w:rFonts w:ascii="Tahoma" w:hAnsi="Tahoma" w:cs="Tahoma"/>
          <w:sz w:val="20"/>
          <w:szCs w:val="20"/>
        </w:rPr>
      </w:pPr>
      <w:r w:rsidRPr="005E1EA7">
        <w:rPr>
          <w:rFonts w:ascii="Tahoma" w:hAnsi="Tahoma" w:cs="Tahoma"/>
          <w:sz w:val="20"/>
          <w:szCs w:val="20"/>
        </w:rPr>
        <w:t xml:space="preserve">Site de débarquement : un espace aménagé au bord du littoral englobant une aire de </w:t>
      </w:r>
      <w:proofErr w:type="gramStart"/>
      <w:r w:rsidRPr="005E1EA7">
        <w:rPr>
          <w:rFonts w:ascii="Tahoma" w:hAnsi="Tahoma" w:cs="Tahoma"/>
          <w:sz w:val="20"/>
          <w:szCs w:val="20"/>
        </w:rPr>
        <w:t>débarquement</w:t>
      </w:r>
      <w:proofErr w:type="gramEnd"/>
      <w:r w:rsidRPr="005E1EA7">
        <w:rPr>
          <w:rFonts w:ascii="Tahoma" w:hAnsi="Tahoma" w:cs="Tahoma"/>
          <w:sz w:val="20"/>
          <w:szCs w:val="20"/>
        </w:rPr>
        <w:t xml:space="preserve"> et ses ouvrages annexes où les produits halieutiques sont débarqués en vue de la première vente.</w:t>
      </w:r>
    </w:p>
    <w:p w14:paraId="7DFD0BAD" w14:textId="77777777" w:rsidR="00E34453" w:rsidRPr="005E1EA7" w:rsidRDefault="00E34453" w:rsidP="00E34453">
      <w:pPr>
        <w:autoSpaceDE w:val="0"/>
        <w:autoSpaceDN w:val="0"/>
        <w:adjustRightInd w:val="0"/>
        <w:spacing w:before="120" w:after="120"/>
        <w:jc w:val="both"/>
        <w:rPr>
          <w:rFonts w:ascii="Tahoma" w:hAnsi="Tahoma" w:cs="Tahoma"/>
          <w:b/>
          <w:bCs/>
          <w:sz w:val="20"/>
          <w:szCs w:val="20"/>
        </w:rPr>
      </w:pPr>
    </w:p>
    <w:p w14:paraId="6FB5E65A" w14:textId="77777777" w:rsidR="00E34453" w:rsidRPr="005E1EA7" w:rsidRDefault="00E34453" w:rsidP="00E34453">
      <w:pPr>
        <w:autoSpaceDE w:val="0"/>
        <w:autoSpaceDN w:val="0"/>
        <w:adjustRightInd w:val="0"/>
        <w:spacing w:before="120" w:after="120"/>
        <w:jc w:val="center"/>
        <w:rPr>
          <w:rFonts w:ascii="Tahoma" w:hAnsi="Tahoma" w:cs="Tahoma"/>
          <w:b/>
          <w:bCs/>
          <w:sz w:val="20"/>
          <w:szCs w:val="20"/>
        </w:rPr>
      </w:pPr>
      <w:r w:rsidRPr="005E1EA7">
        <w:rPr>
          <w:rFonts w:ascii="Tahoma" w:hAnsi="Tahoma" w:cs="Tahoma"/>
          <w:b/>
          <w:bCs/>
          <w:sz w:val="20"/>
          <w:szCs w:val="20"/>
        </w:rPr>
        <w:t>CHAPITRE II : CONDITIONS RELATIVES AUX INFRASTRUCTURES DU SITE DE DEBARQUEMENT</w:t>
      </w:r>
    </w:p>
    <w:p w14:paraId="30530A4D" w14:textId="77777777" w:rsidR="00E34453" w:rsidRPr="005E1EA7" w:rsidRDefault="00E34453" w:rsidP="00E34453">
      <w:pPr>
        <w:autoSpaceDE w:val="0"/>
        <w:autoSpaceDN w:val="0"/>
        <w:adjustRightInd w:val="0"/>
        <w:spacing w:before="120" w:after="120"/>
        <w:jc w:val="both"/>
        <w:rPr>
          <w:rFonts w:ascii="Tahoma" w:hAnsi="Tahoma" w:cs="Tahoma"/>
          <w:sz w:val="20"/>
          <w:szCs w:val="20"/>
        </w:rPr>
      </w:pPr>
    </w:p>
    <w:p w14:paraId="7CBEEC55" w14:textId="77777777" w:rsidR="00E34453" w:rsidRPr="005E1EA7" w:rsidRDefault="00E34453" w:rsidP="00E34453">
      <w:pPr>
        <w:autoSpaceDE w:val="0"/>
        <w:autoSpaceDN w:val="0"/>
        <w:adjustRightInd w:val="0"/>
        <w:spacing w:before="120" w:after="120"/>
        <w:jc w:val="both"/>
        <w:rPr>
          <w:rFonts w:ascii="Tahoma" w:hAnsi="Tahoma" w:cs="Tahoma"/>
          <w:sz w:val="20"/>
          <w:szCs w:val="20"/>
        </w:rPr>
      </w:pPr>
      <w:r w:rsidRPr="005E1EA7">
        <w:rPr>
          <w:rFonts w:ascii="Tahoma" w:hAnsi="Tahoma" w:cs="Tahoma"/>
          <w:b/>
          <w:bCs/>
          <w:sz w:val="20"/>
          <w:szCs w:val="20"/>
          <w:u w:val="single"/>
        </w:rPr>
        <w:t>Article 3</w:t>
      </w:r>
      <w:r w:rsidRPr="005E1EA7">
        <w:rPr>
          <w:rFonts w:ascii="Tahoma" w:hAnsi="Tahoma" w:cs="Tahoma"/>
          <w:b/>
          <w:bCs/>
          <w:sz w:val="20"/>
          <w:szCs w:val="20"/>
        </w:rPr>
        <w:t xml:space="preserve"> : </w:t>
      </w:r>
      <w:r w:rsidRPr="005E1EA7">
        <w:rPr>
          <w:rFonts w:ascii="Tahoma" w:hAnsi="Tahoma" w:cs="Tahoma"/>
          <w:sz w:val="20"/>
          <w:szCs w:val="20"/>
        </w:rPr>
        <w:t>L’obtention du statut de site de débarquement autorisé est assujettie au respect des conditions techniques et sanitaires minimales, notamment :</w:t>
      </w:r>
    </w:p>
    <w:p w14:paraId="437D7A35" w14:textId="77777777" w:rsidR="00E34453" w:rsidRPr="005E1EA7" w:rsidRDefault="00E34453" w:rsidP="00E34453">
      <w:pPr>
        <w:pStyle w:val="Paragraphedeliste"/>
        <w:numPr>
          <w:ilvl w:val="0"/>
          <w:numId w:val="190"/>
        </w:numPr>
        <w:autoSpaceDE w:val="0"/>
        <w:autoSpaceDN w:val="0"/>
        <w:adjustRightInd w:val="0"/>
        <w:spacing w:before="120" w:after="120"/>
        <w:contextualSpacing/>
        <w:jc w:val="both"/>
        <w:rPr>
          <w:rFonts w:ascii="Tahoma" w:hAnsi="Tahoma" w:cs="Tahoma"/>
          <w:sz w:val="20"/>
          <w:szCs w:val="20"/>
        </w:rPr>
      </w:pPr>
      <w:proofErr w:type="gramStart"/>
      <w:r w:rsidRPr="005E1EA7">
        <w:rPr>
          <w:rFonts w:ascii="Tahoma" w:hAnsi="Tahoma" w:cs="Tahoma"/>
          <w:sz w:val="20"/>
          <w:szCs w:val="20"/>
        </w:rPr>
        <w:t>un</w:t>
      </w:r>
      <w:proofErr w:type="gramEnd"/>
      <w:r w:rsidRPr="005E1EA7">
        <w:rPr>
          <w:rFonts w:ascii="Tahoma" w:hAnsi="Tahoma" w:cs="Tahoma"/>
          <w:sz w:val="20"/>
          <w:szCs w:val="20"/>
        </w:rPr>
        <w:t xml:space="preserve"> environnement immédiat salubre ;</w:t>
      </w:r>
    </w:p>
    <w:p w14:paraId="3FC60A5C" w14:textId="77777777" w:rsidR="00E34453" w:rsidRPr="005E1EA7" w:rsidRDefault="00E34453" w:rsidP="00E34453">
      <w:pPr>
        <w:pStyle w:val="Paragraphedeliste"/>
        <w:numPr>
          <w:ilvl w:val="0"/>
          <w:numId w:val="190"/>
        </w:numPr>
        <w:autoSpaceDE w:val="0"/>
        <w:autoSpaceDN w:val="0"/>
        <w:adjustRightInd w:val="0"/>
        <w:spacing w:before="120" w:after="120"/>
        <w:contextualSpacing/>
        <w:jc w:val="both"/>
        <w:rPr>
          <w:rFonts w:ascii="Tahoma" w:hAnsi="Tahoma" w:cs="Tahoma"/>
          <w:sz w:val="20"/>
          <w:szCs w:val="20"/>
        </w:rPr>
      </w:pPr>
      <w:proofErr w:type="gramStart"/>
      <w:r w:rsidRPr="005E1EA7">
        <w:rPr>
          <w:rFonts w:ascii="Tahoma" w:hAnsi="Tahoma" w:cs="Tahoma"/>
          <w:sz w:val="20"/>
          <w:szCs w:val="20"/>
        </w:rPr>
        <w:t>une</w:t>
      </w:r>
      <w:proofErr w:type="gramEnd"/>
      <w:r w:rsidRPr="005E1EA7">
        <w:rPr>
          <w:rFonts w:ascii="Tahoma" w:hAnsi="Tahoma" w:cs="Tahoma"/>
          <w:sz w:val="20"/>
          <w:szCs w:val="20"/>
        </w:rPr>
        <w:t xml:space="preserve"> plate-forme disposant de points d’eau, facile à laver et à désinfecter ;</w:t>
      </w:r>
    </w:p>
    <w:p w14:paraId="2B8853B9" w14:textId="77777777" w:rsidR="00E34453" w:rsidRPr="005E1EA7" w:rsidRDefault="00E34453" w:rsidP="00E34453">
      <w:pPr>
        <w:pStyle w:val="Paragraphedeliste"/>
        <w:numPr>
          <w:ilvl w:val="0"/>
          <w:numId w:val="190"/>
        </w:numPr>
        <w:autoSpaceDE w:val="0"/>
        <w:autoSpaceDN w:val="0"/>
        <w:adjustRightInd w:val="0"/>
        <w:spacing w:before="120" w:after="120"/>
        <w:contextualSpacing/>
        <w:jc w:val="both"/>
        <w:rPr>
          <w:rFonts w:ascii="Tahoma" w:hAnsi="Tahoma" w:cs="Tahoma"/>
          <w:sz w:val="20"/>
          <w:szCs w:val="20"/>
        </w:rPr>
      </w:pPr>
      <w:proofErr w:type="gramStart"/>
      <w:r w:rsidRPr="005E1EA7">
        <w:rPr>
          <w:rFonts w:ascii="Tahoma" w:hAnsi="Tahoma" w:cs="Tahoma"/>
          <w:sz w:val="20"/>
          <w:szCs w:val="20"/>
        </w:rPr>
        <w:t>un</w:t>
      </w:r>
      <w:proofErr w:type="gramEnd"/>
      <w:r w:rsidRPr="005E1EA7">
        <w:rPr>
          <w:rFonts w:ascii="Tahoma" w:hAnsi="Tahoma" w:cs="Tahoma"/>
          <w:sz w:val="20"/>
          <w:szCs w:val="20"/>
        </w:rPr>
        <w:t xml:space="preserve"> système d’évacuation des eaux usées adéquat ;</w:t>
      </w:r>
    </w:p>
    <w:p w14:paraId="2800B40E" w14:textId="77777777" w:rsidR="00E34453" w:rsidRPr="005E1EA7" w:rsidRDefault="00E34453" w:rsidP="00E34453">
      <w:pPr>
        <w:pStyle w:val="Paragraphedeliste"/>
        <w:numPr>
          <w:ilvl w:val="0"/>
          <w:numId w:val="190"/>
        </w:numPr>
        <w:autoSpaceDE w:val="0"/>
        <w:autoSpaceDN w:val="0"/>
        <w:adjustRightInd w:val="0"/>
        <w:spacing w:before="120" w:after="120"/>
        <w:contextualSpacing/>
        <w:jc w:val="both"/>
        <w:rPr>
          <w:rFonts w:ascii="Tahoma" w:hAnsi="Tahoma" w:cs="Tahoma"/>
          <w:sz w:val="20"/>
          <w:szCs w:val="20"/>
        </w:rPr>
      </w:pPr>
      <w:proofErr w:type="gramStart"/>
      <w:r w:rsidRPr="005E1EA7">
        <w:rPr>
          <w:rFonts w:ascii="Tahoma" w:hAnsi="Tahoma" w:cs="Tahoma"/>
          <w:sz w:val="20"/>
          <w:szCs w:val="20"/>
        </w:rPr>
        <w:t>des</w:t>
      </w:r>
      <w:proofErr w:type="gramEnd"/>
      <w:r w:rsidRPr="005E1EA7">
        <w:rPr>
          <w:rFonts w:ascii="Tahoma" w:hAnsi="Tahoma" w:cs="Tahoma"/>
          <w:sz w:val="20"/>
          <w:szCs w:val="20"/>
        </w:rPr>
        <w:t xml:space="preserve"> toilettes hygiéniques ;</w:t>
      </w:r>
    </w:p>
    <w:p w14:paraId="3E083A61" w14:textId="77777777" w:rsidR="00E34453" w:rsidRPr="005E1EA7" w:rsidRDefault="00E34453" w:rsidP="00E34453">
      <w:pPr>
        <w:pStyle w:val="Paragraphedeliste"/>
        <w:numPr>
          <w:ilvl w:val="0"/>
          <w:numId w:val="190"/>
        </w:numPr>
        <w:autoSpaceDE w:val="0"/>
        <w:autoSpaceDN w:val="0"/>
        <w:adjustRightInd w:val="0"/>
        <w:spacing w:before="120" w:after="120"/>
        <w:contextualSpacing/>
        <w:jc w:val="both"/>
        <w:rPr>
          <w:rFonts w:ascii="Tahoma" w:hAnsi="Tahoma" w:cs="Tahoma"/>
          <w:sz w:val="20"/>
          <w:szCs w:val="20"/>
        </w:rPr>
      </w:pPr>
      <w:proofErr w:type="gramStart"/>
      <w:r w:rsidRPr="005E1EA7">
        <w:rPr>
          <w:rFonts w:ascii="Tahoma" w:hAnsi="Tahoma" w:cs="Tahoma"/>
          <w:sz w:val="20"/>
          <w:szCs w:val="20"/>
        </w:rPr>
        <w:t>des</w:t>
      </w:r>
      <w:proofErr w:type="gramEnd"/>
      <w:r w:rsidRPr="005E1EA7">
        <w:rPr>
          <w:rFonts w:ascii="Tahoma" w:hAnsi="Tahoma" w:cs="Tahoma"/>
          <w:sz w:val="20"/>
          <w:szCs w:val="20"/>
        </w:rPr>
        <w:t xml:space="preserve"> équipements de manutention en matériau imputrescible et inoxydable résistant ;</w:t>
      </w:r>
    </w:p>
    <w:p w14:paraId="5CB4650B" w14:textId="77777777" w:rsidR="00E34453" w:rsidRPr="005E1EA7" w:rsidRDefault="00E34453" w:rsidP="00E34453">
      <w:pPr>
        <w:pStyle w:val="Paragraphedeliste"/>
        <w:numPr>
          <w:ilvl w:val="0"/>
          <w:numId w:val="190"/>
        </w:numPr>
        <w:autoSpaceDE w:val="0"/>
        <w:autoSpaceDN w:val="0"/>
        <w:adjustRightInd w:val="0"/>
        <w:spacing w:before="120" w:after="120"/>
        <w:contextualSpacing/>
        <w:jc w:val="both"/>
        <w:rPr>
          <w:rFonts w:ascii="Tahoma" w:hAnsi="Tahoma" w:cs="Tahoma"/>
          <w:sz w:val="20"/>
          <w:szCs w:val="20"/>
        </w:rPr>
      </w:pPr>
      <w:proofErr w:type="gramStart"/>
      <w:r w:rsidRPr="005E1EA7">
        <w:rPr>
          <w:rFonts w:ascii="Tahoma" w:hAnsi="Tahoma" w:cs="Tahoma"/>
          <w:sz w:val="20"/>
          <w:szCs w:val="20"/>
        </w:rPr>
        <w:t>une</w:t>
      </w:r>
      <w:proofErr w:type="gramEnd"/>
      <w:r w:rsidRPr="005E1EA7">
        <w:rPr>
          <w:rFonts w:ascii="Tahoma" w:hAnsi="Tahoma" w:cs="Tahoma"/>
          <w:sz w:val="20"/>
          <w:szCs w:val="20"/>
        </w:rPr>
        <w:t xml:space="preserve"> régulation des accès, permettant la mise en œuvre des bonnes pratiques d’hygiène et de manutention.</w:t>
      </w:r>
    </w:p>
    <w:p w14:paraId="0F952D9E" w14:textId="77777777" w:rsidR="00E34453" w:rsidRPr="005E1EA7" w:rsidRDefault="00E34453" w:rsidP="00E34453">
      <w:pPr>
        <w:autoSpaceDE w:val="0"/>
        <w:autoSpaceDN w:val="0"/>
        <w:adjustRightInd w:val="0"/>
        <w:spacing w:before="120" w:after="120"/>
        <w:jc w:val="both"/>
        <w:rPr>
          <w:rFonts w:ascii="Tahoma" w:hAnsi="Tahoma" w:cs="Tahoma"/>
          <w:sz w:val="20"/>
          <w:szCs w:val="20"/>
        </w:rPr>
      </w:pPr>
    </w:p>
    <w:p w14:paraId="6903B8F9" w14:textId="77777777" w:rsidR="00E34453" w:rsidRPr="005E1EA7" w:rsidRDefault="00E34453" w:rsidP="00E34453">
      <w:pPr>
        <w:autoSpaceDE w:val="0"/>
        <w:autoSpaceDN w:val="0"/>
        <w:adjustRightInd w:val="0"/>
        <w:spacing w:before="120" w:after="120"/>
        <w:jc w:val="both"/>
        <w:rPr>
          <w:rFonts w:ascii="Tahoma" w:hAnsi="Tahoma" w:cs="Tahoma"/>
          <w:sz w:val="20"/>
          <w:szCs w:val="20"/>
        </w:rPr>
      </w:pPr>
      <w:r w:rsidRPr="005E1EA7">
        <w:rPr>
          <w:rFonts w:ascii="Tahoma" w:hAnsi="Tahoma" w:cs="Tahoma"/>
          <w:b/>
          <w:bCs/>
          <w:sz w:val="20"/>
          <w:szCs w:val="20"/>
          <w:u w:val="single"/>
        </w:rPr>
        <w:t>Article 4</w:t>
      </w:r>
      <w:r w:rsidRPr="005E1EA7">
        <w:rPr>
          <w:rFonts w:ascii="Tahoma" w:hAnsi="Tahoma" w:cs="Tahoma"/>
          <w:b/>
          <w:bCs/>
          <w:sz w:val="20"/>
          <w:szCs w:val="20"/>
        </w:rPr>
        <w:t xml:space="preserve"> : </w:t>
      </w:r>
      <w:r w:rsidRPr="005E1EA7">
        <w:rPr>
          <w:rFonts w:ascii="Tahoma" w:hAnsi="Tahoma" w:cs="Tahoma"/>
          <w:sz w:val="20"/>
          <w:szCs w:val="20"/>
        </w:rPr>
        <w:t>Les toilettes ne doivent pas ouvrir directement sur les locaux où les produits sont réceptionnés, manipulés ou entreposés.</w:t>
      </w:r>
    </w:p>
    <w:p w14:paraId="4EDC1999" w14:textId="77777777" w:rsidR="00E34453" w:rsidRPr="005E1EA7" w:rsidRDefault="00E34453" w:rsidP="00E34453">
      <w:pPr>
        <w:autoSpaceDE w:val="0"/>
        <w:autoSpaceDN w:val="0"/>
        <w:adjustRightInd w:val="0"/>
        <w:spacing w:before="120" w:after="120"/>
        <w:jc w:val="both"/>
        <w:rPr>
          <w:rFonts w:ascii="Tahoma" w:hAnsi="Tahoma" w:cs="Tahoma"/>
          <w:sz w:val="20"/>
          <w:szCs w:val="20"/>
        </w:rPr>
      </w:pPr>
    </w:p>
    <w:p w14:paraId="6CCEE70F" w14:textId="77777777" w:rsidR="00E34453" w:rsidRPr="005E1EA7" w:rsidRDefault="00E34453" w:rsidP="00E34453">
      <w:pPr>
        <w:autoSpaceDE w:val="0"/>
        <w:autoSpaceDN w:val="0"/>
        <w:adjustRightInd w:val="0"/>
        <w:spacing w:before="120" w:after="120"/>
        <w:jc w:val="both"/>
        <w:rPr>
          <w:rFonts w:ascii="Tahoma" w:hAnsi="Tahoma" w:cs="Tahoma"/>
          <w:sz w:val="20"/>
          <w:szCs w:val="20"/>
        </w:rPr>
      </w:pPr>
      <w:r w:rsidRPr="005E1EA7">
        <w:rPr>
          <w:rFonts w:ascii="Tahoma" w:hAnsi="Tahoma" w:cs="Tahoma"/>
          <w:sz w:val="20"/>
          <w:szCs w:val="20"/>
        </w:rPr>
        <w:t>Les lavabos à commandes non manuelles approvisionnés en eau courante munis de distributeurs de savon ou autre solution désinfectante adéquate pour les mains. Des dispositifs d'essuie-mains à usage unique doivent être disponibles.</w:t>
      </w:r>
    </w:p>
    <w:p w14:paraId="58831A8A" w14:textId="77777777" w:rsidR="00E34453" w:rsidRPr="005E1EA7" w:rsidRDefault="00E34453" w:rsidP="00E34453">
      <w:pPr>
        <w:autoSpaceDE w:val="0"/>
        <w:autoSpaceDN w:val="0"/>
        <w:adjustRightInd w:val="0"/>
        <w:spacing w:before="120" w:after="120"/>
        <w:jc w:val="both"/>
        <w:rPr>
          <w:rFonts w:ascii="Tahoma" w:hAnsi="Tahoma" w:cs="Tahoma"/>
          <w:b/>
          <w:bCs/>
          <w:sz w:val="20"/>
          <w:szCs w:val="20"/>
        </w:rPr>
      </w:pPr>
    </w:p>
    <w:p w14:paraId="389E1625" w14:textId="77777777" w:rsidR="00E34453" w:rsidRPr="005E1EA7" w:rsidRDefault="00E34453" w:rsidP="00E34453">
      <w:pPr>
        <w:autoSpaceDE w:val="0"/>
        <w:autoSpaceDN w:val="0"/>
        <w:adjustRightInd w:val="0"/>
        <w:spacing w:before="120" w:after="120"/>
        <w:jc w:val="both"/>
        <w:rPr>
          <w:rFonts w:ascii="Tahoma" w:hAnsi="Tahoma" w:cs="Tahoma"/>
          <w:sz w:val="20"/>
          <w:szCs w:val="20"/>
        </w:rPr>
      </w:pPr>
      <w:r w:rsidRPr="005E1EA7">
        <w:rPr>
          <w:rFonts w:ascii="Tahoma" w:hAnsi="Tahoma" w:cs="Tahoma"/>
          <w:b/>
          <w:bCs/>
          <w:sz w:val="20"/>
          <w:szCs w:val="20"/>
          <w:u w:val="single"/>
        </w:rPr>
        <w:t>Article 5</w:t>
      </w:r>
      <w:r w:rsidRPr="005E1EA7">
        <w:rPr>
          <w:rFonts w:ascii="Tahoma" w:hAnsi="Tahoma" w:cs="Tahoma"/>
          <w:b/>
          <w:bCs/>
          <w:sz w:val="20"/>
          <w:szCs w:val="20"/>
        </w:rPr>
        <w:t xml:space="preserve"> : </w:t>
      </w:r>
      <w:r w:rsidRPr="005E1EA7">
        <w:rPr>
          <w:rFonts w:ascii="Tahoma" w:hAnsi="Tahoma" w:cs="Tahoma"/>
          <w:sz w:val="20"/>
          <w:szCs w:val="20"/>
        </w:rPr>
        <w:t xml:space="preserve">Les locaux de réception des produits débarqués et le matériel de manutention doivent être maintenus en bon état de propreté permanent. Ils ne doivent en aucun cas contenir d'objets ou de produits susceptibles de nuire à la qualité sanitaire et hygiénique des produits halieutiques. </w:t>
      </w:r>
    </w:p>
    <w:p w14:paraId="23C46681" w14:textId="77777777" w:rsidR="00E34453" w:rsidRPr="005E1EA7" w:rsidRDefault="00E34453" w:rsidP="00E34453">
      <w:pPr>
        <w:autoSpaceDE w:val="0"/>
        <w:autoSpaceDN w:val="0"/>
        <w:adjustRightInd w:val="0"/>
        <w:spacing w:before="120" w:after="120"/>
        <w:jc w:val="both"/>
        <w:rPr>
          <w:rFonts w:ascii="Tahoma" w:hAnsi="Tahoma" w:cs="Tahoma"/>
          <w:sz w:val="20"/>
          <w:szCs w:val="20"/>
        </w:rPr>
      </w:pPr>
      <w:r w:rsidRPr="005E1EA7">
        <w:rPr>
          <w:rFonts w:ascii="Tahoma" w:hAnsi="Tahoma" w:cs="Tahoma"/>
          <w:sz w:val="20"/>
          <w:szCs w:val="20"/>
        </w:rPr>
        <w:t>Les produits utilisés pour le nettoyage et la désinfection doivent être conformes à la réglementation en vigueur.</w:t>
      </w:r>
    </w:p>
    <w:p w14:paraId="409D2D44" w14:textId="77777777" w:rsidR="00E34453" w:rsidRPr="005E1EA7" w:rsidRDefault="00E34453" w:rsidP="00E34453">
      <w:pPr>
        <w:autoSpaceDE w:val="0"/>
        <w:autoSpaceDN w:val="0"/>
        <w:adjustRightInd w:val="0"/>
        <w:spacing w:before="120" w:after="120"/>
        <w:jc w:val="both"/>
        <w:rPr>
          <w:rFonts w:ascii="Tahoma" w:hAnsi="Tahoma" w:cs="Tahoma"/>
          <w:sz w:val="20"/>
          <w:szCs w:val="20"/>
        </w:rPr>
      </w:pPr>
    </w:p>
    <w:p w14:paraId="68DE71B4" w14:textId="77777777" w:rsidR="00E34453" w:rsidRPr="005E1EA7" w:rsidRDefault="00E34453" w:rsidP="00E34453">
      <w:pPr>
        <w:autoSpaceDE w:val="0"/>
        <w:autoSpaceDN w:val="0"/>
        <w:adjustRightInd w:val="0"/>
        <w:spacing w:before="120" w:after="120"/>
        <w:jc w:val="both"/>
        <w:rPr>
          <w:rFonts w:ascii="Tahoma" w:hAnsi="Tahoma" w:cs="Tahoma"/>
          <w:sz w:val="20"/>
          <w:szCs w:val="20"/>
        </w:rPr>
      </w:pPr>
      <w:r w:rsidRPr="005E1EA7">
        <w:rPr>
          <w:rFonts w:ascii="Tahoma" w:hAnsi="Tahoma" w:cs="Tahoma"/>
          <w:b/>
          <w:bCs/>
          <w:sz w:val="20"/>
          <w:szCs w:val="20"/>
          <w:u w:val="single"/>
        </w:rPr>
        <w:t>Article 6</w:t>
      </w:r>
      <w:r w:rsidRPr="005E1EA7">
        <w:rPr>
          <w:rFonts w:ascii="Tahoma" w:hAnsi="Tahoma" w:cs="Tahoma"/>
          <w:b/>
          <w:bCs/>
          <w:sz w:val="20"/>
          <w:szCs w:val="20"/>
        </w:rPr>
        <w:t xml:space="preserve"> : </w:t>
      </w:r>
      <w:r w:rsidRPr="005E1EA7">
        <w:rPr>
          <w:rFonts w:ascii="Tahoma" w:hAnsi="Tahoma" w:cs="Tahoma"/>
          <w:sz w:val="20"/>
          <w:szCs w:val="20"/>
        </w:rPr>
        <w:t>Les sites de débarquement doivent disposer, si nécessaire, de chambres froides et des fabriques de glace de capacité suffisante pour les besoins d’entreposage des produits halieutiques qui ne sont pas immédiatement exposés à la vente ou acheminés vers leur destination finale.</w:t>
      </w:r>
    </w:p>
    <w:p w14:paraId="38BCE4BA" w14:textId="77777777" w:rsidR="00E34453" w:rsidRPr="005E1EA7" w:rsidRDefault="00E34453" w:rsidP="00E34453">
      <w:pPr>
        <w:autoSpaceDE w:val="0"/>
        <w:autoSpaceDN w:val="0"/>
        <w:adjustRightInd w:val="0"/>
        <w:spacing w:before="120" w:after="120"/>
        <w:jc w:val="both"/>
        <w:rPr>
          <w:rFonts w:ascii="Tahoma" w:hAnsi="Tahoma" w:cs="Tahoma"/>
          <w:sz w:val="20"/>
          <w:szCs w:val="20"/>
        </w:rPr>
      </w:pPr>
      <w:r w:rsidRPr="005E1EA7">
        <w:rPr>
          <w:rFonts w:ascii="Tahoma" w:hAnsi="Tahoma" w:cs="Tahoma"/>
          <w:sz w:val="20"/>
          <w:szCs w:val="20"/>
        </w:rPr>
        <w:lastRenderedPageBreak/>
        <w:t xml:space="preserve"> </w:t>
      </w:r>
    </w:p>
    <w:p w14:paraId="419F8159" w14:textId="77777777" w:rsidR="00E34453" w:rsidRPr="005E1EA7" w:rsidRDefault="00E34453" w:rsidP="00E34453">
      <w:pPr>
        <w:autoSpaceDE w:val="0"/>
        <w:autoSpaceDN w:val="0"/>
        <w:adjustRightInd w:val="0"/>
        <w:spacing w:before="120" w:after="120"/>
        <w:jc w:val="both"/>
        <w:rPr>
          <w:rFonts w:ascii="Tahoma" w:hAnsi="Tahoma" w:cs="Tahoma"/>
          <w:sz w:val="20"/>
          <w:szCs w:val="20"/>
        </w:rPr>
      </w:pPr>
      <w:r w:rsidRPr="005E1EA7">
        <w:rPr>
          <w:rFonts w:ascii="Tahoma" w:hAnsi="Tahoma" w:cs="Tahoma"/>
          <w:sz w:val="20"/>
          <w:szCs w:val="20"/>
        </w:rPr>
        <w:t>Les locaux d’entreposage (chambres froides) doivent présenter les caractéristiques suivantes :</w:t>
      </w:r>
    </w:p>
    <w:p w14:paraId="1F31FBA4" w14:textId="77777777" w:rsidR="00E34453" w:rsidRPr="005E1EA7" w:rsidRDefault="00E34453" w:rsidP="00E34453">
      <w:pPr>
        <w:pStyle w:val="Paragraphedeliste"/>
        <w:numPr>
          <w:ilvl w:val="0"/>
          <w:numId w:val="190"/>
        </w:numPr>
        <w:autoSpaceDE w:val="0"/>
        <w:autoSpaceDN w:val="0"/>
        <w:adjustRightInd w:val="0"/>
        <w:spacing w:before="120" w:after="120"/>
        <w:contextualSpacing/>
        <w:jc w:val="both"/>
        <w:rPr>
          <w:rFonts w:ascii="Tahoma" w:hAnsi="Tahoma" w:cs="Tahoma"/>
          <w:sz w:val="20"/>
          <w:szCs w:val="20"/>
        </w:rPr>
      </w:pPr>
      <w:r w:rsidRPr="005E1EA7">
        <w:rPr>
          <w:rFonts w:ascii="Tahoma" w:hAnsi="Tahoma" w:cs="Tahoma"/>
          <w:sz w:val="20"/>
          <w:szCs w:val="20"/>
        </w:rPr>
        <w:t>Murs lisses, résistants et imperméables ;</w:t>
      </w:r>
    </w:p>
    <w:p w14:paraId="5B8F80EB" w14:textId="77777777" w:rsidR="00E34453" w:rsidRPr="005E1EA7" w:rsidRDefault="00E34453" w:rsidP="00E34453">
      <w:pPr>
        <w:pStyle w:val="Paragraphedeliste"/>
        <w:numPr>
          <w:ilvl w:val="0"/>
          <w:numId w:val="190"/>
        </w:numPr>
        <w:autoSpaceDE w:val="0"/>
        <w:autoSpaceDN w:val="0"/>
        <w:adjustRightInd w:val="0"/>
        <w:spacing w:before="120" w:after="120"/>
        <w:contextualSpacing/>
        <w:jc w:val="both"/>
        <w:rPr>
          <w:rFonts w:ascii="Tahoma" w:hAnsi="Tahoma" w:cs="Tahoma"/>
          <w:sz w:val="20"/>
          <w:szCs w:val="20"/>
        </w:rPr>
      </w:pPr>
      <w:r w:rsidRPr="005E1EA7">
        <w:rPr>
          <w:rFonts w:ascii="Tahoma" w:hAnsi="Tahoma" w:cs="Tahoma"/>
          <w:sz w:val="20"/>
          <w:szCs w:val="20"/>
        </w:rPr>
        <w:t>Sol imperméable, facilement nettoyable et pourvu d’un dispositif (siphons, caniveaux, …) permettant une évacuation facile des eaux ;</w:t>
      </w:r>
    </w:p>
    <w:p w14:paraId="2B519602" w14:textId="77777777" w:rsidR="00E34453" w:rsidRPr="005E1EA7" w:rsidRDefault="00E34453" w:rsidP="00E34453">
      <w:pPr>
        <w:pStyle w:val="Paragraphedeliste"/>
        <w:numPr>
          <w:ilvl w:val="0"/>
          <w:numId w:val="190"/>
        </w:numPr>
        <w:autoSpaceDE w:val="0"/>
        <w:autoSpaceDN w:val="0"/>
        <w:adjustRightInd w:val="0"/>
        <w:spacing w:before="120" w:after="120"/>
        <w:contextualSpacing/>
        <w:jc w:val="both"/>
        <w:rPr>
          <w:rFonts w:ascii="Tahoma" w:hAnsi="Tahoma" w:cs="Tahoma"/>
          <w:sz w:val="20"/>
          <w:szCs w:val="20"/>
        </w:rPr>
      </w:pPr>
      <w:r w:rsidRPr="005E1EA7">
        <w:rPr>
          <w:rFonts w:ascii="Tahoma" w:hAnsi="Tahoma" w:cs="Tahoma"/>
          <w:sz w:val="20"/>
          <w:szCs w:val="20"/>
        </w:rPr>
        <w:t>Dispositifs d’éclairage et d'aération suffisants.</w:t>
      </w:r>
    </w:p>
    <w:p w14:paraId="73F48E02" w14:textId="77777777" w:rsidR="00E34453" w:rsidRPr="005E1EA7" w:rsidRDefault="00E34453" w:rsidP="00E34453">
      <w:pPr>
        <w:autoSpaceDE w:val="0"/>
        <w:autoSpaceDN w:val="0"/>
        <w:adjustRightInd w:val="0"/>
        <w:spacing w:before="120" w:after="120"/>
        <w:jc w:val="both"/>
        <w:rPr>
          <w:rFonts w:ascii="Tahoma" w:hAnsi="Tahoma" w:cs="Tahoma"/>
          <w:sz w:val="20"/>
          <w:szCs w:val="20"/>
        </w:rPr>
      </w:pPr>
    </w:p>
    <w:p w14:paraId="07F8E747" w14:textId="77777777" w:rsidR="00E34453" w:rsidRPr="005E1EA7" w:rsidRDefault="00E34453" w:rsidP="00E34453">
      <w:pPr>
        <w:autoSpaceDE w:val="0"/>
        <w:autoSpaceDN w:val="0"/>
        <w:adjustRightInd w:val="0"/>
        <w:spacing w:before="120" w:after="120"/>
        <w:jc w:val="both"/>
        <w:rPr>
          <w:rFonts w:ascii="Tahoma" w:hAnsi="Tahoma" w:cs="Tahoma"/>
          <w:sz w:val="20"/>
          <w:szCs w:val="20"/>
        </w:rPr>
      </w:pPr>
      <w:r w:rsidRPr="005E1EA7">
        <w:rPr>
          <w:rFonts w:ascii="Tahoma" w:hAnsi="Tahoma" w:cs="Tahoma"/>
          <w:sz w:val="20"/>
          <w:szCs w:val="20"/>
        </w:rPr>
        <w:t>La température du produit entreposé doit être comprise entre 0°C et +4°C ;</w:t>
      </w:r>
    </w:p>
    <w:p w14:paraId="72CD4EB4" w14:textId="77777777" w:rsidR="00E34453" w:rsidRPr="005E1EA7" w:rsidRDefault="00E34453" w:rsidP="00E34453">
      <w:pPr>
        <w:autoSpaceDE w:val="0"/>
        <w:autoSpaceDN w:val="0"/>
        <w:adjustRightInd w:val="0"/>
        <w:spacing w:before="120" w:after="120"/>
        <w:jc w:val="both"/>
        <w:rPr>
          <w:rFonts w:ascii="Tahoma" w:hAnsi="Tahoma" w:cs="Tahoma"/>
          <w:b/>
          <w:bCs/>
          <w:sz w:val="20"/>
          <w:szCs w:val="20"/>
        </w:rPr>
      </w:pPr>
    </w:p>
    <w:p w14:paraId="49514D45" w14:textId="77777777" w:rsidR="00E34453" w:rsidRPr="005E1EA7" w:rsidRDefault="00E34453" w:rsidP="00E34453">
      <w:pPr>
        <w:autoSpaceDE w:val="0"/>
        <w:autoSpaceDN w:val="0"/>
        <w:adjustRightInd w:val="0"/>
        <w:spacing w:before="120" w:after="120"/>
        <w:jc w:val="both"/>
        <w:rPr>
          <w:rFonts w:ascii="Tahoma" w:hAnsi="Tahoma" w:cs="Tahoma"/>
          <w:sz w:val="20"/>
          <w:szCs w:val="20"/>
        </w:rPr>
      </w:pPr>
      <w:r w:rsidRPr="005E1EA7">
        <w:rPr>
          <w:rFonts w:ascii="Tahoma" w:hAnsi="Tahoma" w:cs="Tahoma"/>
          <w:b/>
          <w:bCs/>
          <w:sz w:val="20"/>
          <w:szCs w:val="20"/>
          <w:u w:val="single"/>
        </w:rPr>
        <w:t>Article 7</w:t>
      </w:r>
      <w:r w:rsidRPr="005E1EA7">
        <w:rPr>
          <w:rFonts w:ascii="Tahoma" w:hAnsi="Tahoma" w:cs="Tahoma"/>
          <w:b/>
          <w:bCs/>
          <w:sz w:val="20"/>
          <w:szCs w:val="20"/>
        </w:rPr>
        <w:t xml:space="preserve"> : </w:t>
      </w:r>
      <w:r w:rsidRPr="005E1EA7">
        <w:rPr>
          <w:rFonts w:ascii="Tahoma" w:hAnsi="Tahoma" w:cs="Tahoma"/>
          <w:sz w:val="20"/>
          <w:szCs w:val="20"/>
        </w:rPr>
        <w:t>Toute vermine (rongeurs, insectes ou autre) doit être détruite et toute nouvelle infestation doit être évitée en menant une lutte passive et active. Les animaux domestiques ne doivent pas pénétrer dans les sites de débarquement.</w:t>
      </w:r>
    </w:p>
    <w:p w14:paraId="4F0E2FE6" w14:textId="77777777" w:rsidR="00E34453" w:rsidRPr="005E1EA7" w:rsidRDefault="00E34453" w:rsidP="00E34453">
      <w:pPr>
        <w:autoSpaceDE w:val="0"/>
        <w:autoSpaceDN w:val="0"/>
        <w:adjustRightInd w:val="0"/>
        <w:spacing w:before="120" w:after="120"/>
        <w:rPr>
          <w:rFonts w:ascii="Tahoma" w:hAnsi="Tahoma" w:cs="Tahoma"/>
          <w:sz w:val="20"/>
          <w:szCs w:val="20"/>
        </w:rPr>
      </w:pPr>
    </w:p>
    <w:p w14:paraId="6E50709B" w14:textId="77777777" w:rsidR="00E34453" w:rsidRPr="005E1EA7" w:rsidRDefault="00E34453" w:rsidP="00E34453">
      <w:pPr>
        <w:autoSpaceDE w:val="0"/>
        <w:autoSpaceDN w:val="0"/>
        <w:adjustRightInd w:val="0"/>
        <w:spacing w:before="120" w:after="120"/>
        <w:jc w:val="center"/>
        <w:rPr>
          <w:rFonts w:ascii="Tahoma" w:hAnsi="Tahoma" w:cs="Tahoma"/>
          <w:b/>
          <w:bCs/>
          <w:sz w:val="20"/>
          <w:szCs w:val="20"/>
        </w:rPr>
      </w:pPr>
      <w:r w:rsidRPr="005E1EA7">
        <w:rPr>
          <w:rFonts w:ascii="Tahoma" w:hAnsi="Tahoma" w:cs="Tahoma"/>
          <w:b/>
          <w:bCs/>
          <w:sz w:val="20"/>
          <w:szCs w:val="20"/>
        </w:rPr>
        <w:t>CHAPITRE III : CONDITIONS RELATIVES AUX INTERVENANTS DANS LE SITE DE DEBARQUEMENT</w:t>
      </w:r>
    </w:p>
    <w:p w14:paraId="1EFCD349" w14:textId="77777777" w:rsidR="00E34453" w:rsidRPr="005E1EA7" w:rsidRDefault="00E34453" w:rsidP="00E34453">
      <w:pPr>
        <w:autoSpaceDE w:val="0"/>
        <w:autoSpaceDN w:val="0"/>
        <w:adjustRightInd w:val="0"/>
        <w:spacing w:before="120" w:after="120"/>
        <w:rPr>
          <w:rFonts w:ascii="Tahoma" w:hAnsi="Tahoma" w:cs="Tahoma"/>
          <w:sz w:val="20"/>
          <w:szCs w:val="20"/>
        </w:rPr>
      </w:pPr>
    </w:p>
    <w:p w14:paraId="64425D6D" w14:textId="77777777" w:rsidR="00E34453" w:rsidRPr="005E1EA7" w:rsidRDefault="00E34453" w:rsidP="00E34453">
      <w:pPr>
        <w:autoSpaceDE w:val="0"/>
        <w:autoSpaceDN w:val="0"/>
        <w:adjustRightInd w:val="0"/>
        <w:spacing w:before="120" w:after="120"/>
        <w:rPr>
          <w:rFonts w:ascii="Tahoma" w:hAnsi="Tahoma" w:cs="Tahoma"/>
          <w:sz w:val="20"/>
          <w:szCs w:val="20"/>
        </w:rPr>
      </w:pPr>
      <w:r w:rsidRPr="005E1EA7">
        <w:rPr>
          <w:rFonts w:ascii="Tahoma" w:hAnsi="Tahoma" w:cs="Tahoma"/>
          <w:b/>
          <w:bCs/>
          <w:sz w:val="20"/>
          <w:szCs w:val="20"/>
          <w:u w:val="single"/>
        </w:rPr>
        <w:t>Article 8</w:t>
      </w:r>
      <w:r w:rsidRPr="005E1EA7">
        <w:rPr>
          <w:rFonts w:ascii="Tahoma" w:hAnsi="Tahoma" w:cs="Tahoma"/>
          <w:b/>
          <w:bCs/>
          <w:sz w:val="20"/>
          <w:szCs w:val="20"/>
        </w:rPr>
        <w:t xml:space="preserve"> : </w:t>
      </w:r>
      <w:r w:rsidRPr="005E1EA7">
        <w:rPr>
          <w:rFonts w:ascii="Tahoma" w:hAnsi="Tahoma" w:cs="Tahoma"/>
          <w:sz w:val="20"/>
          <w:szCs w:val="20"/>
        </w:rPr>
        <w:t>La manipulation des produits halieutiques doit être interdite à toute personne :</w:t>
      </w:r>
    </w:p>
    <w:p w14:paraId="61070A7E" w14:textId="77777777" w:rsidR="00E34453" w:rsidRPr="005E1EA7" w:rsidRDefault="00E34453" w:rsidP="00E34453">
      <w:pPr>
        <w:pStyle w:val="Paragraphedeliste"/>
        <w:numPr>
          <w:ilvl w:val="0"/>
          <w:numId w:val="190"/>
        </w:numPr>
        <w:autoSpaceDE w:val="0"/>
        <w:autoSpaceDN w:val="0"/>
        <w:adjustRightInd w:val="0"/>
        <w:spacing w:before="120" w:after="120"/>
        <w:contextualSpacing/>
        <w:jc w:val="both"/>
        <w:rPr>
          <w:rFonts w:ascii="Tahoma" w:hAnsi="Tahoma" w:cs="Tahoma"/>
          <w:sz w:val="20"/>
          <w:szCs w:val="20"/>
        </w:rPr>
      </w:pPr>
      <w:proofErr w:type="gramStart"/>
      <w:r w:rsidRPr="005E1EA7">
        <w:rPr>
          <w:rFonts w:ascii="Tahoma" w:hAnsi="Tahoma" w:cs="Tahoma"/>
          <w:sz w:val="20"/>
          <w:szCs w:val="20"/>
        </w:rPr>
        <w:t>reconnue</w:t>
      </w:r>
      <w:proofErr w:type="gramEnd"/>
      <w:r w:rsidRPr="005E1EA7">
        <w:rPr>
          <w:rFonts w:ascii="Tahoma" w:hAnsi="Tahoma" w:cs="Tahoma"/>
          <w:sz w:val="20"/>
          <w:szCs w:val="20"/>
        </w:rPr>
        <w:t xml:space="preserve"> comme étant atteinte d’une maladie contagieuse ;</w:t>
      </w:r>
    </w:p>
    <w:p w14:paraId="662A7331" w14:textId="77777777" w:rsidR="00E34453" w:rsidRPr="005E1EA7" w:rsidRDefault="00E34453" w:rsidP="00E34453">
      <w:pPr>
        <w:pStyle w:val="Paragraphedeliste"/>
        <w:numPr>
          <w:ilvl w:val="0"/>
          <w:numId w:val="190"/>
        </w:numPr>
        <w:autoSpaceDE w:val="0"/>
        <w:autoSpaceDN w:val="0"/>
        <w:adjustRightInd w:val="0"/>
        <w:spacing w:before="120" w:after="120"/>
        <w:contextualSpacing/>
        <w:jc w:val="both"/>
        <w:rPr>
          <w:rFonts w:ascii="Tahoma" w:hAnsi="Tahoma" w:cs="Tahoma"/>
          <w:sz w:val="20"/>
          <w:szCs w:val="20"/>
        </w:rPr>
      </w:pPr>
      <w:proofErr w:type="gramStart"/>
      <w:r w:rsidRPr="005E1EA7">
        <w:rPr>
          <w:rFonts w:ascii="Tahoma" w:hAnsi="Tahoma" w:cs="Tahoma"/>
          <w:sz w:val="20"/>
          <w:szCs w:val="20"/>
        </w:rPr>
        <w:t>ayant</w:t>
      </w:r>
      <w:proofErr w:type="gramEnd"/>
      <w:r w:rsidRPr="005E1EA7">
        <w:rPr>
          <w:rFonts w:ascii="Tahoma" w:hAnsi="Tahoma" w:cs="Tahoma"/>
          <w:sz w:val="20"/>
          <w:szCs w:val="20"/>
        </w:rPr>
        <w:t xml:space="preserve"> une blessure infectée ou une lésion ouverte sur une partie quelconque du corps ;</w:t>
      </w:r>
    </w:p>
    <w:p w14:paraId="0591FC77" w14:textId="77777777" w:rsidR="00E34453" w:rsidRPr="005E1EA7" w:rsidRDefault="00E34453" w:rsidP="00E34453">
      <w:pPr>
        <w:autoSpaceDE w:val="0"/>
        <w:autoSpaceDN w:val="0"/>
        <w:adjustRightInd w:val="0"/>
        <w:spacing w:before="120" w:after="120"/>
        <w:jc w:val="both"/>
        <w:rPr>
          <w:rFonts w:ascii="Tahoma" w:hAnsi="Tahoma" w:cs="Tahoma"/>
          <w:sz w:val="20"/>
          <w:szCs w:val="20"/>
        </w:rPr>
      </w:pPr>
    </w:p>
    <w:p w14:paraId="4C8F16A7" w14:textId="77777777" w:rsidR="00E34453" w:rsidRPr="005E1EA7" w:rsidRDefault="00E34453" w:rsidP="00E34453">
      <w:pPr>
        <w:autoSpaceDE w:val="0"/>
        <w:autoSpaceDN w:val="0"/>
        <w:adjustRightInd w:val="0"/>
        <w:spacing w:before="120" w:after="120"/>
        <w:jc w:val="both"/>
        <w:rPr>
          <w:rFonts w:ascii="Tahoma" w:hAnsi="Tahoma" w:cs="Tahoma"/>
          <w:sz w:val="20"/>
          <w:szCs w:val="20"/>
        </w:rPr>
      </w:pPr>
      <w:r w:rsidRPr="005E1EA7">
        <w:rPr>
          <w:rFonts w:ascii="Tahoma" w:hAnsi="Tahoma" w:cs="Tahoma"/>
          <w:sz w:val="20"/>
          <w:szCs w:val="20"/>
        </w:rPr>
        <w:t xml:space="preserve">Le personnel manipulant les produits doit, notamment porter des vêtements de travail propres et, au besoin, des gants adaptés au travail effectué. </w:t>
      </w:r>
    </w:p>
    <w:p w14:paraId="2864F211" w14:textId="77777777" w:rsidR="00E34453" w:rsidRPr="005E1EA7" w:rsidRDefault="00E34453" w:rsidP="00E34453">
      <w:pPr>
        <w:autoSpaceDE w:val="0"/>
        <w:autoSpaceDN w:val="0"/>
        <w:adjustRightInd w:val="0"/>
        <w:spacing w:before="120" w:after="120"/>
        <w:jc w:val="both"/>
        <w:rPr>
          <w:rFonts w:ascii="Tahoma" w:hAnsi="Tahoma" w:cs="Tahoma"/>
          <w:sz w:val="20"/>
          <w:szCs w:val="20"/>
        </w:rPr>
      </w:pPr>
      <w:r w:rsidRPr="005E1EA7">
        <w:rPr>
          <w:rFonts w:ascii="Tahoma" w:hAnsi="Tahoma" w:cs="Tahoma"/>
          <w:sz w:val="20"/>
          <w:szCs w:val="20"/>
        </w:rPr>
        <w:t>Le personnel doit respecter les Bonnes Pratiques d'Hygiène.</w:t>
      </w:r>
    </w:p>
    <w:p w14:paraId="43A73125" w14:textId="77777777" w:rsidR="00E34453" w:rsidRPr="005E1EA7" w:rsidRDefault="00E34453" w:rsidP="00E34453">
      <w:pPr>
        <w:autoSpaceDE w:val="0"/>
        <w:autoSpaceDN w:val="0"/>
        <w:adjustRightInd w:val="0"/>
        <w:spacing w:before="120" w:after="120"/>
        <w:jc w:val="both"/>
        <w:rPr>
          <w:rFonts w:ascii="Tahoma" w:hAnsi="Tahoma" w:cs="Tahoma"/>
          <w:b/>
          <w:bCs/>
          <w:sz w:val="20"/>
          <w:szCs w:val="20"/>
          <w:u w:val="single"/>
        </w:rPr>
      </w:pPr>
    </w:p>
    <w:p w14:paraId="00153069" w14:textId="77777777" w:rsidR="00E34453" w:rsidRPr="005E1EA7" w:rsidRDefault="00E34453" w:rsidP="00E34453">
      <w:pPr>
        <w:autoSpaceDE w:val="0"/>
        <w:autoSpaceDN w:val="0"/>
        <w:adjustRightInd w:val="0"/>
        <w:spacing w:before="120" w:after="120"/>
        <w:jc w:val="both"/>
        <w:rPr>
          <w:rFonts w:ascii="Tahoma" w:hAnsi="Tahoma" w:cs="Tahoma"/>
          <w:sz w:val="20"/>
          <w:szCs w:val="20"/>
        </w:rPr>
      </w:pPr>
      <w:r w:rsidRPr="005E1EA7">
        <w:rPr>
          <w:rFonts w:ascii="Tahoma" w:hAnsi="Tahoma" w:cs="Tahoma"/>
          <w:b/>
          <w:bCs/>
          <w:sz w:val="20"/>
          <w:szCs w:val="20"/>
          <w:u w:val="single"/>
        </w:rPr>
        <w:t>Article 9</w:t>
      </w:r>
      <w:r w:rsidRPr="005E1EA7">
        <w:rPr>
          <w:rFonts w:ascii="Tahoma" w:hAnsi="Tahoma" w:cs="Tahoma"/>
          <w:b/>
          <w:bCs/>
          <w:sz w:val="20"/>
          <w:szCs w:val="20"/>
        </w:rPr>
        <w:t xml:space="preserve"> : </w:t>
      </w:r>
      <w:r w:rsidRPr="005E1EA7">
        <w:rPr>
          <w:rFonts w:ascii="Tahoma" w:hAnsi="Tahoma" w:cs="Tahoma"/>
          <w:sz w:val="20"/>
          <w:szCs w:val="20"/>
        </w:rPr>
        <w:t>L’organisme chargé de la gestion et de l’exploitation de chaque site de débarquement autorisé doit, obligatoirement, recruter un Responsable Hygiène et Qualité ayant les compétences requises chargé de la mise en œuvre du système d’autocontrôle sanitaire. Il doit disposer des moyens adéquats et être investi des pouvoirs nécessaires pour mener ses missions conformément à la règlementation en vigueur.</w:t>
      </w:r>
    </w:p>
    <w:p w14:paraId="47EEE910" w14:textId="77777777" w:rsidR="00E34453" w:rsidRPr="005E1EA7" w:rsidRDefault="00E34453" w:rsidP="00E34453">
      <w:pPr>
        <w:autoSpaceDE w:val="0"/>
        <w:autoSpaceDN w:val="0"/>
        <w:adjustRightInd w:val="0"/>
        <w:spacing w:before="120" w:after="120"/>
        <w:jc w:val="both"/>
        <w:rPr>
          <w:rFonts w:ascii="Tahoma" w:hAnsi="Tahoma" w:cs="Tahoma"/>
          <w:sz w:val="20"/>
          <w:szCs w:val="20"/>
        </w:rPr>
      </w:pPr>
    </w:p>
    <w:p w14:paraId="336FD824" w14:textId="77777777" w:rsidR="00E34453" w:rsidRPr="005E1EA7" w:rsidRDefault="00E34453" w:rsidP="00E34453">
      <w:pPr>
        <w:autoSpaceDE w:val="0"/>
        <w:autoSpaceDN w:val="0"/>
        <w:adjustRightInd w:val="0"/>
        <w:spacing w:before="120" w:after="120"/>
        <w:jc w:val="center"/>
        <w:rPr>
          <w:rFonts w:ascii="Tahoma" w:hAnsi="Tahoma" w:cs="Tahoma"/>
          <w:b/>
          <w:bCs/>
          <w:sz w:val="20"/>
          <w:szCs w:val="20"/>
        </w:rPr>
      </w:pPr>
      <w:r w:rsidRPr="005E1EA7">
        <w:rPr>
          <w:rFonts w:ascii="Tahoma" w:hAnsi="Tahoma" w:cs="Tahoma"/>
          <w:b/>
          <w:bCs/>
          <w:sz w:val="20"/>
          <w:szCs w:val="20"/>
        </w:rPr>
        <w:t>CHAPITRE IV : AUTORITÉ COMPÉTENTE</w:t>
      </w:r>
    </w:p>
    <w:p w14:paraId="64C3AF92" w14:textId="77777777" w:rsidR="00E34453" w:rsidRPr="005E1EA7" w:rsidRDefault="00E34453" w:rsidP="00E34453">
      <w:pPr>
        <w:autoSpaceDE w:val="0"/>
        <w:autoSpaceDN w:val="0"/>
        <w:adjustRightInd w:val="0"/>
        <w:spacing w:before="120" w:after="120"/>
        <w:rPr>
          <w:rFonts w:ascii="Tahoma" w:hAnsi="Tahoma" w:cs="Tahoma"/>
          <w:sz w:val="20"/>
          <w:szCs w:val="20"/>
        </w:rPr>
      </w:pPr>
    </w:p>
    <w:p w14:paraId="423373B8" w14:textId="77777777" w:rsidR="00E34453" w:rsidRPr="005E1EA7" w:rsidRDefault="00E34453" w:rsidP="00E34453">
      <w:pPr>
        <w:autoSpaceDE w:val="0"/>
        <w:autoSpaceDN w:val="0"/>
        <w:adjustRightInd w:val="0"/>
        <w:spacing w:before="120" w:after="120"/>
        <w:rPr>
          <w:rFonts w:ascii="Tahoma" w:hAnsi="Tahoma" w:cs="Tahoma"/>
          <w:sz w:val="20"/>
          <w:szCs w:val="20"/>
        </w:rPr>
      </w:pPr>
      <w:r w:rsidRPr="005E1EA7">
        <w:rPr>
          <w:rFonts w:ascii="Tahoma" w:hAnsi="Tahoma" w:cs="Tahoma"/>
          <w:b/>
          <w:bCs/>
          <w:sz w:val="20"/>
          <w:szCs w:val="20"/>
          <w:u w:val="single"/>
        </w:rPr>
        <w:t>Article 10</w:t>
      </w:r>
      <w:r w:rsidRPr="005E1EA7">
        <w:rPr>
          <w:rFonts w:ascii="Tahoma" w:hAnsi="Tahoma" w:cs="Tahoma"/>
          <w:b/>
          <w:bCs/>
          <w:sz w:val="20"/>
          <w:szCs w:val="20"/>
        </w:rPr>
        <w:t xml:space="preserve"> : </w:t>
      </w:r>
      <w:r w:rsidRPr="005E1EA7">
        <w:rPr>
          <w:rFonts w:ascii="Tahoma" w:hAnsi="Tahoma" w:cs="Tahoma"/>
          <w:sz w:val="20"/>
          <w:szCs w:val="20"/>
        </w:rPr>
        <w:t>Le contrôle de la conformité structurelle et fonctionnelle des sites de débarquement est effectué par les services d'inspection de l’Office National d’Inspection des Produits de la Pêche et de l’Aquaculture (ONISPA).</w:t>
      </w:r>
    </w:p>
    <w:p w14:paraId="4AEB211A" w14:textId="77777777" w:rsidR="00E34453" w:rsidRPr="005E1EA7" w:rsidRDefault="00E34453" w:rsidP="00E34453">
      <w:pPr>
        <w:autoSpaceDE w:val="0"/>
        <w:autoSpaceDN w:val="0"/>
        <w:adjustRightInd w:val="0"/>
        <w:spacing w:before="120" w:after="120"/>
        <w:jc w:val="both"/>
        <w:rPr>
          <w:rFonts w:ascii="Tahoma" w:hAnsi="Tahoma" w:cs="Tahoma"/>
          <w:sz w:val="20"/>
          <w:szCs w:val="20"/>
        </w:rPr>
      </w:pPr>
    </w:p>
    <w:p w14:paraId="3961B252" w14:textId="77777777" w:rsidR="00E34453" w:rsidRPr="005E1EA7" w:rsidRDefault="00E34453" w:rsidP="00E34453">
      <w:pPr>
        <w:autoSpaceDE w:val="0"/>
        <w:autoSpaceDN w:val="0"/>
        <w:adjustRightInd w:val="0"/>
        <w:spacing w:before="120" w:after="120"/>
        <w:jc w:val="both"/>
        <w:rPr>
          <w:rFonts w:ascii="Tahoma" w:hAnsi="Tahoma" w:cs="Tahoma"/>
          <w:sz w:val="20"/>
          <w:szCs w:val="20"/>
        </w:rPr>
      </w:pPr>
      <w:r w:rsidRPr="005E1EA7">
        <w:rPr>
          <w:rFonts w:ascii="Tahoma" w:hAnsi="Tahoma" w:cs="Tahoma"/>
          <w:sz w:val="20"/>
          <w:szCs w:val="20"/>
        </w:rPr>
        <w:t>Le statut de site de débarquement autorisé pour les produits halieutiques est octroyé par le Ministre chargé de la Pêche sur avis technique de l’ONISPA.</w:t>
      </w:r>
    </w:p>
    <w:p w14:paraId="7402BF64" w14:textId="77777777" w:rsidR="00E34453" w:rsidRPr="005E1EA7" w:rsidRDefault="00E34453" w:rsidP="00E34453">
      <w:pPr>
        <w:autoSpaceDE w:val="0"/>
        <w:autoSpaceDN w:val="0"/>
        <w:adjustRightInd w:val="0"/>
        <w:spacing w:before="120" w:after="120"/>
        <w:jc w:val="center"/>
        <w:rPr>
          <w:rFonts w:ascii="Tahoma" w:hAnsi="Tahoma" w:cs="Tahoma"/>
          <w:b/>
          <w:bCs/>
          <w:sz w:val="20"/>
          <w:szCs w:val="20"/>
        </w:rPr>
      </w:pPr>
    </w:p>
    <w:p w14:paraId="287543BC" w14:textId="77777777" w:rsidR="00E34453" w:rsidRPr="005E1EA7" w:rsidRDefault="00E34453" w:rsidP="00E34453">
      <w:pPr>
        <w:autoSpaceDE w:val="0"/>
        <w:autoSpaceDN w:val="0"/>
        <w:adjustRightInd w:val="0"/>
        <w:spacing w:before="120" w:after="120"/>
        <w:jc w:val="center"/>
        <w:rPr>
          <w:rFonts w:ascii="Tahoma" w:hAnsi="Tahoma" w:cs="Tahoma"/>
          <w:b/>
          <w:bCs/>
          <w:sz w:val="20"/>
          <w:szCs w:val="20"/>
        </w:rPr>
      </w:pPr>
      <w:r w:rsidRPr="005E1EA7">
        <w:rPr>
          <w:rFonts w:ascii="Tahoma" w:hAnsi="Tahoma" w:cs="Tahoma"/>
          <w:b/>
          <w:bCs/>
          <w:sz w:val="20"/>
          <w:szCs w:val="20"/>
        </w:rPr>
        <w:t>CHAPITRE V : DISPOSITIONS FINALES</w:t>
      </w:r>
    </w:p>
    <w:p w14:paraId="35B4460F" w14:textId="77777777" w:rsidR="00E34453" w:rsidRPr="005E1EA7" w:rsidRDefault="00E34453" w:rsidP="00E34453">
      <w:pPr>
        <w:autoSpaceDE w:val="0"/>
        <w:autoSpaceDN w:val="0"/>
        <w:adjustRightInd w:val="0"/>
        <w:spacing w:before="120" w:after="120"/>
        <w:jc w:val="center"/>
        <w:rPr>
          <w:rFonts w:ascii="Tahoma" w:hAnsi="Tahoma" w:cs="Tahoma"/>
          <w:sz w:val="20"/>
          <w:szCs w:val="20"/>
        </w:rPr>
      </w:pPr>
    </w:p>
    <w:p w14:paraId="5FF08138" w14:textId="77777777" w:rsidR="00E34453" w:rsidRPr="005E1EA7" w:rsidRDefault="00E34453" w:rsidP="00E34453">
      <w:pPr>
        <w:autoSpaceDE w:val="0"/>
        <w:autoSpaceDN w:val="0"/>
        <w:adjustRightInd w:val="0"/>
        <w:spacing w:before="120" w:after="120"/>
        <w:rPr>
          <w:rFonts w:ascii="Tahoma" w:hAnsi="Tahoma" w:cs="Tahoma"/>
          <w:sz w:val="20"/>
          <w:szCs w:val="20"/>
        </w:rPr>
      </w:pPr>
      <w:r w:rsidRPr="005E1EA7">
        <w:rPr>
          <w:rFonts w:ascii="Tahoma" w:hAnsi="Tahoma" w:cs="Tahoma"/>
          <w:b/>
          <w:bCs/>
          <w:sz w:val="20"/>
          <w:szCs w:val="20"/>
          <w:u w:val="single"/>
        </w:rPr>
        <w:t>Article 11</w:t>
      </w:r>
      <w:r w:rsidRPr="005E1EA7">
        <w:rPr>
          <w:rFonts w:ascii="Tahoma" w:hAnsi="Tahoma" w:cs="Tahoma"/>
          <w:b/>
          <w:bCs/>
          <w:sz w:val="20"/>
          <w:szCs w:val="20"/>
        </w:rPr>
        <w:t xml:space="preserve"> : </w:t>
      </w:r>
      <w:r w:rsidRPr="005E1EA7">
        <w:rPr>
          <w:rFonts w:ascii="Tahoma" w:hAnsi="Tahoma" w:cs="Tahoma"/>
          <w:sz w:val="20"/>
          <w:szCs w:val="20"/>
        </w:rPr>
        <w:t>Sans préjudice d'autres dispositions applicables en la matière, les infractions aux règles prescrites par le présent Arrêté sont punies des sanctions prévues par la loi portant Code des pêches en vigueur.</w:t>
      </w:r>
    </w:p>
    <w:p w14:paraId="289A1E08" w14:textId="77777777" w:rsidR="00E34453" w:rsidRPr="005E1EA7" w:rsidRDefault="00E34453" w:rsidP="00E34453">
      <w:pPr>
        <w:autoSpaceDE w:val="0"/>
        <w:autoSpaceDN w:val="0"/>
        <w:adjustRightInd w:val="0"/>
        <w:spacing w:before="120" w:after="120"/>
        <w:jc w:val="both"/>
        <w:rPr>
          <w:rFonts w:ascii="Tahoma" w:hAnsi="Tahoma" w:cs="Tahoma"/>
          <w:sz w:val="20"/>
          <w:szCs w:val="20"/>
        </w:rPr>
      </w:pPr>
    </w:p>
    <w:p w14:paraId="3B7EE6D5" w14:textId="77777777" w:rsidR="00E34453" w:rsidRPr="005E1EA7" w:rsidRDefault="00E34453" w:rsidP="00E34453">
      <w:pPr>
        <w:autoSpaceDE w:val="0"/>
        <w:autoSpaceDN w:val="0"/>
        <w:adjustRightInd w:val="0"/>
        <w:spacing w:before="120" w:after="120"/>
        <w:jc w:val="both"/>
        <w:rPr>
          <w:rFonts w:ascii="Tahoma" w:hAnsi="Tahoma" w:cs="Tahoma"/>
          <w:sz w:val="20"/>
          <w:szCs w:val="20"/>
        </w:rPr>
      </w:pPr>
      <w:r w:rsidRPr="005E1EA7">
        <w:rPr>
          <w:rFonts w:ascii="Tahoma" w:hAnsi="Tahoma" w:cs="Tahoma"/>
          <w:b/>
          <w:bCs/>
          <w:sz w:val="20"/>
          <w:szCs w:val="20"/>
          <w:u w:val="single"/>
        </w:rPr>
        <w:t>Article 12</w:t>
      </w:r>
      <w:r w:rsidRPr="005E1EA7">
        <w:rPr>
          <w:rFonts w:ascii="Tahoma" w:hAnsi="Tahoma" w:cs="Tahoma"/>
          <w:b/>
          <w:bCs/>
          <w:sz w:val="20"/>
          <w:szCs w:val="20"/>
        </w:rPr>
        <w:t xml:space="preserve"> : </w:t>
      </w:r>
      <w:r w:rsidRPr="005E1EA7">
        <w:rPr>
          <w:rFonts w:ascii="Tahoma" w:hAnsi="Tahoma" w:cs="Tahoma"/>
          <w:sz w:val="20"/>
          <w:szCs w:val="20"/>
        </w:rPr>
        <w:t>Le Secrétaire Général du Ministère de la pêche des Infrastructures Maritimes et Portuaires, le Commandant de la Garde Côtes Mauritanienne, le Directeur de la Valorisation et de la Promotion des Chaines de Valeur et le Directeur de l’Office National d’Inspection sanitaire des Produits de la Pêche et de l’Aquaculture sont chargés, chacun en ce qui le concerne, de l'exécution du présent arrêté, qui sera publié au Journal Officiel de la République Islamiques de Mauritanie.</w:t>
      </w:r>
    </w:p>
    <w:p w14:paraId="0E6A4FA0" w14:textId="77777777" w:rsidR="00E34453" w:rsidRPr="005E1EA7" w:rsidRDefault="00E34453" w:rsidP="00E34453">
      <w:pPr>
        <w:autoSpaceDE w:val="0"/>
        <w:autoSpaceDN w:val="0"/>
        <w:adjustRightInd w:val="0"/>
        <w:spacing w:before="120" w:after="120"/>
        <w:jc w:val="both"/>
        <w:rPr>
          <w:rFonts w:ascii="Tahoma" w:hAnsi="Tahoma" w:cs="Tahoma"/>
          <w:sz w:val="20"/>
          <w:szCs w:val="20"/>
        </w:rPr>
      </w:pPr>
    </w:p>
    <w:p w14:paraId="1F7D633A" w14:textId="77777777" w:rsidR="00E34453" w:rsidRPr="001D02B9" w:rsidRDefault="00E34453" w:rsidP="00E34453">
      <w:pPr>
        <w:autoSpaceDE w:val="0"/>
        <w:autoSpaceDN w:val="0"/>
        <w:adjustRightInd w:val="0"/>
        <w:spacing w:before="120" w:after="120"/>
        <w:jc w:val="right"/>
        <w:rPr>
          <w:rFonts w:ascii="Tahoma" w:hAnsi="Tahoma" w:cs="Tahoma"/>
          <w:color w:val="000000" w:themeColor="text1"/>
          <w:sz w:val="20"/>
          <w:szCs w:val="20"/>
        </w:rPr>
      </w:pPr>
      <w:r w:rsidRPr="001D02B9">
        <w:rPr>
          <w:rFonts w:ascii="Tahoma" w:hAnsi="Tahoma" w:cs="Tahoma"/>
          <w:i/>
          <w:iCs/>
          <w:color w:val="000000" w:themeColor="text1"/>
          <w:sz w:val="20"/>
          <w:szCs w:val="20"/>
        </w:rPr>
        <w:t>Fait à Nouakchott, le 30 juin 2025</w:t>
      </w:r>
    </w:p>
    <w:p w14:paraId="28546118" w14:textId="77777777" w:rsidR="00E34453" w:rsidRDefault="00E34453" w:rsidP="00E34453">
      <w:pPr>
        <w:spacing w:before="120" w:after="120"/>
        <w:jc w:val="center"/>
        <w:rPr>
          <w:rFonts w:ascii="Tahoma" w:hAnsi="Tahoma" w:cs="Tahoma"/>
          <w:sz w:val="20"/>
          <w:szCs w:val="20"/>
        </w:rPr>
      </w:pPr>
    </w:p>
    <w:p w14:paraId="481D91F6" w14:textId="77777777" w:rsidR="00E34453" w:rsidRPr="005E1EA7" w:rsidRDefault="00E34453" w:rsidP="00E34453">
      <w:pPr>
        <w:spacing w:before="120" w:after="120"/>
        <w:jc w:val="center"/>
        <w:rPr>
          <w:rFonts w:ascii="Tahoma" w:hAnsi="Tahoma" w:cs="Tahoma"/>
          <w:sz w:val="20"/>
          <w:szCs w:val="20"/>
        </w:rPr>
      </w:pPr>
      <w:r w:rsidRPr="005E1EA7">
        <w:rPr>
          <w:rFonts w:ascii="Tahoma" w:hAnsi="Tahoma" w:cs="Tahoma"/>
          <w:sz w:val="20"/>
          <w:szCs w:val="20"/>
        </w:rPr>
        <w:t>Le Ministre</w:t>
      </w:r>
      <w:r w:rsidRPr="005E1EA7">
        <w:rPr>
          <w:rFonts w:ascii="Tahoma" w:hAnsi="Tahoma" w:cs="Tahoma"/>
          <w:sz w:val="20"/>
          <w:szCs w:val="20"/>
          <w:rtl/>
        </w:rPr>
        <w:t xml:space="preserve"> </w:t>
      </w:r>
      <w:r w:rsidRPr="005E1EA7">
        <w:rPr>
          <w:rFonts w:ascii="Tahoma" w:hAnsi="Tahoma" w:cs="Tahoma"/>
          <w:sz w:val="20"/>
          <w:szCs w:val="20"/>
        </w:rPr>
        <w:t>de la pêche, des Infrastructures Maritimes et Portuaires</w:t>
      </w:r>
    </w:p>
    <w:p w14:paraId="317565B5" w14:textId="77777777" w:rsidR="00E34453" w:rsidRPr="005E1EA7" w:rsidRDefault="00E34453" w:rsidP="00E34453">
      <w:pPr>
        <w:jc w:val="center"/>
        <w:rPr>
          <w:rFonts w:ascii="Tahoma" w:hAnsi="Tahoma" w:cs="Tahoma"/>
          <w:sz w:val="20"/>
          <w:szCs w:val="20"/>
          <w:lang w:val="en-US"/>
        </w:rPr>
      </w:pPr>
      <w:r w:rsidRPr="005E1EA7">
        <w:rPr>
          <w:rFonts w:ascii="Tahoma" w:hAnsi="Tahoma" w:cs="Tahoma"/>
          <w:b/>
          <w:bCs/>
          <w:sz w:val="20"/>
          <w:szCs w:val="20"/>
          <w:lang w:val="en-US"/>
        </w:rPr>
        <w:t>EL Vadil Sidaty AHMED LOULY</w:t>
      </w:r>
    </w:p>
    <w:p w14:paraId="7FCB9456" w14:textId="77777777" w:rsidR="00E34453" w:rsidRPr="00DC565A" w:rsidRDefault="00E34453" w:rsidP="00E34453">
      <w:pPr>
        <w:spacing w:line="276" w:lineRule="auto"/>
        <w:jc w:val="both"/>
        <w:rPr>
          <w:rFonts w:ascii="Bookman Old Style" w:hAnsi="Bookman Old Style" w:cstheme="majorBidi"/>
          <w:lang w:val="en-US"/>
        </w:rPr>
      </w:pPr>
    </w:p>
    <w:p w14:paraId="4006A14D" w14:textId="77777777" w:rsidR="00E34453" w:rsidRPr="00DC565A" w:rsidRDefault="00E34453" w:rsidP="00E34453">
      <w:pPr>
        <w:autoSpaceDE w:val="0"/>
        <w:autoSpaceDN w:val="0"/>
        <w:adjustRightInd w:val="0"/>
        <w:rPr>
          <w:rFonts w:ascii="Tahoma" w:hAnsi="Tahoma" w:cs="Tahoma"/>
          <w:i/>
          <w:iCs/>
          <w:color w:val="FF0000"/>
          <w:sz w:val="20"/>
          <w:szCs w:val="20"/>
          <w:lang w:val="en-US"/>
        </w:rPr>
      </w:pPr>
    </w:p>
    <w:p w14:paraId="5966DCC4" w14:textId="77777777" w:rsidR="00E34453" w:rsidRDefault="00E34453" w:rsidP="00E34453">
      <w:pPr>
        <w:rPr>
          <w:rFonts w:ascii="Tahoma" w:hAnsi="Tahoma" w:cs="Tahoma"/>
          <w:sz w:val="20"/>
          <w:szCs w:val="20"/>
        </w:rPr>
      </w:pPr>
    </w:p>
    <w:p w14:paraId="5A302437" w14:textId="77777777" w:rsidR="00E34453" w:rsidRDefault="00E34453" w:rsidP="00E34453">
      <w:pPr>
        <w:rPr>
          <w:rFonts w:ascii="Tahoma" w:hAnsi="Tahoma" w:cs="Tahoma"/>
          <w:sz w:val="20"/>
          <w:szCs w:val="20"/>
        </w:rPr>
      </w:pPr>
    </w:p>
    <w:p w14:paraId="03EA4A18" w14:textId="77777777" w:rsidR="00E34453" w:rsidRPr="005E1EA7" w:rsidRDefault="00E34453" w:rsidP="00E34453">
      <w:pPr>
        <w:rPr>
          <w:rFonts w:ascii="Tahoma" w:hAnsi="Tahoma" w:cs="Tahoma"/>
          <w:sz w:val="20"/>
          <w:szCs w:val="20"/>
        </w:rPr>
      </w:pPr>
    </w:p>
    <w:p w14:paraId="4E2934B6" w14:textId="77777777" w:rsidR="00E34453" w:rsidRPr="005E1EA7" w:rsidRDefault="00E34453" w:rsidP="00E34453">
      <w:pPr>
        <w:rPr>
          <w:rFonts w:ascii="Tahoma" w:hAnsi="Tahoma" w:cs="Tahoma"/>
          <w:sz w:val="20"/>
          <w:szCs w:val="20"/>
        </w:rPr>
      </w:pPr>
    </w:p>
    <w:p w14:paraId="1DD81A96" w14:textId="77777777" w:rsidR="00E34453" w:rsidRPr="005E1EA7" w:rsidRDefault="00E34453" w:rsidP="00E34453">
      <w:pPr>
        <w:rPr>
          <w:rFonts w:ascii="Tahoma" w:hAnsi="Tahoma" w:cs="Tahoma"/>
          <w:i/>
          <w:iCs/>
          <w:color w:val="FF0000"/>
          <w:sz w:val="20"/>
          <w:szCs w:val="20"/>
        </w:rPr>
        <w:sectPr w:rsidR="00E34453" w:rsidRPr="005E1EA7" w:rsidSect="00E34453">
          <w:footerReference w:type="default" r:id="rId24"/>
          <w:pgSz w:w="11900" w:h="16840"/>
          <w:pgMar w:top="1417" w:right="1417" w:bottom="1417" w:left="1417" w:header="708" w:footer="708" w:gutter="0"/>
          <w:cols w:space="708"/>
          <w:docGrid w:linePitch="360"/>
        </w:sectPr>
      </w:pPr>
    </w:p>
    <w:p w14:paraId="0680B8A0" w14:textId="77777777" w:rsidR="00E34453" w:rsidRPr="001D02B9" w:rsidRDefault="00E34453" w:rsidP="00E34453">
      <w:pPr>
        <w:pStyle w:val="Titre1"/>
        <w:pBdr>
          <w:top w:val="thinThickMediumGap" w:sz="24" w:space="1" w:color="70AD47" w:themeColor="accent6"/>
          <w:left w:val="thinThickMediumGap" w:sz="24" w:space="4" w:color="70AD47" w:themeColor="accent6"/>
          <w:bottom w:val="thickThinMediumGap" w:sz="24" w:space="1" w:color="70AD47" w:themeColor="accent6"/>
          <w:right w:val="thickThinMediumGap" w:sz="24" w:space="4" w:color="70AD47" w:themeColor="accent6"/>
        </w:pBdr>
        <w:jc w:val="both"/>
        <w:rPr>
          <w:rFonts w:ascii="Tahoma" w:hAnsi="Tahoma" w:cs="Tahoma"/>
          <w:color w:val="000000" w:themeColor="text1"/>
          <w:szCs w:val="22"/>
        </w:rPr>
      </w:pPr>
      <w:bookmarkStart w:id="213" w:name="_Toc202214698"/>
      <w:r w:rsidRPr="001D02B9">
        <w:rPr>
          <w:rFonts w:ascii="Tahoma" w:hAnsi="Tahoma" w:cs="Tahoma"/>
          <w:color w:val="000000" w:themeColor="text1"/>
          <w:szCs w:val="22"/>
        </w:rPr>
        <w:lastRenderedPageBreak/>
        <w:t>Arrêté conjoint n°</w:t>
      </w:r>
      <w:r>
        <w:rPr>
          <w:rFonts w:ascii="Tahoma" w:hAnsi="Tahoma" w:cs="Tahoma"/>
          <w:color w:val="000000" w:themeColor="text1"/>
          <w:szCs w:val="22"/>
        </w:rPr>
        <w:t xml:space="preserve"> 000736</w:t>
      </w:r>
      <w:r w:rsidRPr="001D02B9">
        <w:rPr>
          <w:rFonts w:ascii="Tahoma" w:hAnsi="Tahoma" w:cs="Tahoma"/>
          <w:color w:val="000000" w:themeColor="text1"/>
          <w:szCs w:val="22"/>
        </w:rPr>
        <w:t xml:space="preserve"> du 30 juin 2025 portant réglementation des conditions technico-sanitaires d’autorisation des unités de production de la glace destinée à la réfrigération des produits halieutiques et leur fonctionnement</w:t>
      </w:r>
      <w:bookmarkEnd w:id="213"/>
    </w:p>
    <w:p w14:paraId="13377438" w14:textId="77777777" w:rsidR="00E34453" w:rsidRPr="005E1EA7" w:rsidRDefault="00E34453" w:rsidP="00E34453">
      <w:pPr>
        <w:spacing w:line="276" w:lineRule="auto"/>
        <w:ind w:left="3780" w:hanging="1800"/>
        <w:jc w:val="both"/>
        <w:rPr>
          <w:rFonts w:ascii="Tahoma" w:hAnsi="Tahoma" w:cs="Tahoma"/>
          <w:sz w:val="20"/>
          <w:szCs w:val="20"/>
          <w:lang w:val="de-DE"/>
        </w:rPr>
      </w:pPr>
    </w:p>
    <w:p w14:paraId="5172549F" w14:textId="77777777" w:rsidR="00E34453" w:rsidRPr="005E1EA7" w:rsidRDefault="00E34453" w:rsidP="00E34453">
      <w:pPr>
        <w:autoSpaceDE w:val="0"/>
        <w:autoSpaceDN w:val="0"/>
        <w:adjustRightInd w:val="0"/>
        <w:spacing w:line="276" w:lineRule="auto"/>
        <w:jc w:val="both"/>
        <w:rPr>
          <w:rFonts w:ascii="Tahoma" w:hAnsi="Tahoma" w:cs="Tahoma"/>
          <w:b/>
          <w:bCs/>
          <w:sz w:val="20"/>
          <w:szCs w:val="20"/>
        </w:rPr>
      </w:pPr>
      <w:r w:rsidRPr="005E1EA7">
        <w:rPr>
          <w:rFonts w:ascii="Tahoma" w:hAnsi="Tahoma" w:cs="Tahoma"/>
          <w:b/>
          <w:bCs/>
          <w:sz w:val="20"/>
          <w:szCs w:val="20"/>
        </w:rPr>
        <w:t>Chapitre I : Dispositions préliminaires</w:t>
      </w:r>
    </w:p>
    <w:p w14:paraId="2A252E28" w14:textId="77777777" w:rsidR="00E34453" w:rsidRPr="005E1EA7" w:rsidRDefault="00E34453" w:rsidP="00E34453">
      <w:pPr>
        <w:spacing w:line="276" w:lineRule="auto"/>
        <w:jc w:val="both"/>
        <w:rPr>
          <w:rFonts w:ascii="Tahoma" w:hAnsi="Tahoma" w:cs="Tahoma"/>
          <w:sz w:val="20"/>
          <w:szCs w:val="20"/>
        </w:rPr>
      </w:pPr>
    </w:p>
    <w:p w14:paraId="6F687890" w14:textId="77777777" w:rsidR="00E34453" w:rsidRPr="005E1EA7" w:rsidRDefault="00E34453" w:rsidP="00E34453">
      <w:pPr>
        <w:autoSpaceDE w:val="0"/>
        <w:autoSpaceDN w:val="0"/>
        <w:adjustRightInd w:val="0"/>
        <w:spacing w:line="276" w:lineRule="auto"/>
        <w:jc w:val="both"/>
        <w:rPr>
          <w:rFonts w:ascii="Tahoma" w:hAnsi="Tahoma" w:cs="Tahoma"/>
          <w:sz w:val="20"/>
          <w:szCs w:val="20"/>
        </w:rPr>
      </w:pPr>
      <w:r w:rsidRPr="005E1EA7">
        <w:rPr>
          <w:rFonts w:ascii="Tahoma" w:hAnsi="Tahoma" w:cs="Tahoma"/>
          <w:b/>
          <w:sz w:val="20"/>
          <w:szCs w:val="20"/>
          <w:u w:val="single"/>
        </w:rPr>
        <w:t>Article premier</w:t>
      </w:r>
      <w:r w:rsidRPr="005E1EA7">
        <w:rPr>
          <w:rFonts w:ascii="Tahoma" w:hAnsi="Tahoma" w:cs="Tahoma"/>
          <w:sz w:val="20"/>
          <w:szCs w:val="20"/>
        </w:rPr>
        <w:t xml:space="preserve"> : En application de l’article 4 du décret n° 94.030 du 8 mars 1994 relatif aux normes d’hygiène et de salubrité et aux conditions d’inspection sanitaire et de contrôle régissant la production et la mise sur le marché des produits de la pêche, le présent arrêté a pour objet de définir les conditions d’autorisation, par l’Autorité compétente, des unités de production de la glace destinée à la réfrigération des produits halieutiques. </w:t>
      </w:r>
    </w:p>
    <w:p w14:paraId="15E629D2" w14:textId="77777777" w:rsidR="00E34453" w:rsidRPr="005E1EA7" w:rsidRDefault="00E34453" w:rsidP="00E34453">
      <w:pPr>
        <w:spacing w:line="276" w:lineRule="auto"/>
        <w:jc w:val="both"/>
        <w:rPr>
          <w:rFonts w:ascii="Tahoma" w:hAnsi="Tahoma" w:cs="Tahoma"/>
          <w:b/>
          <w:bCs/>
          <w:sz w:val="20"/>
          <w:szCs w:val="20"/>
        </w:rPr>
      </w:pPr>
    </w:p>
    <w:p w14:paraId="39DF1A5B" w14:textId="77777777" w:rsidR="00E34453" w:rsidRPr="005E1EA7" w:rsidRDefault="00E34453" w:rsidP="00E34453">
      <w:pPr>
        <w:spacing w:line="276" w:lineRule="auto"/>
        <w:jc w:val="both"/>
        <w:rPr>
          <w:rFonts w:ascii="Tahoma" w:hAnsi="Tahoma" w:cs="Tahoma"/>
          <w:sz w:val="20"/>
          <w:szCs w:val="20"/>
        </w:rPr>
      </w:pPr>
      <w:r w:rsidRPr="005E1EA7">
        <w:rPr>
          <w:rFonts w:ascii="Tahoma" w:hAnsi="Tahoma" w:cs="Tahoma"/>
          <w:b/>
          <w:bCs/>
          <w:sz w:val="20"/>
          <w:szCs w:val="20"/>
          <w:u w:val="single"/>
        </w:rPr>
        <w:t>Article 2</w:t>
      </w:r>
      <w:r w:rsidRPr="005E1EA7">
        <w:rPr>
          <w:rFonts w:ascii="Tahoma" w:hAnsi="Tahoma" w:cs="Tahoma"/>
          <w:b/>
          <w:bCs/>
          <w:sz w:val="20"/>
          <w:szCs w:val="20"/>
        </w:rPr>
        <w:t xml:space="preserve"> :  </w:t>
      </w:r>
      <w:r w:rsidRPr="005E1EA7">
        <w:rPr>
          <w:rFonts w:ascii="Tahoma" w:hAnsi="Tahoma" w:cs="Tahoma"/>
          <w:sz w:val="20"/>
          <w:szCs w:val="20"/>
        </w:rPr>
        <w:t>Aux fins du présent arrêté, on entend par :</w:t>
      </w:r>
    </w:p>
    <w:p w14:paraId="3F02F052" w14:textId="77777777" w:rsidR="00E34453" w:rsidRPr="005E1EA7" w:rsidRDefault="00E34453" w:rsidP="00E34453">
      <w:pPr>
        <w:spacing w:line="276" w:lineRule="auto"/>
        <w:jc w:val="both"/>
        <w:rPr>
          <w:rFonts w:ascii="Tahoma" w:hAnsi="Tahoma" w:cs="Tahoma"/>
          <w:sz w:val="20"/>
          <w:szCs w:val="20"/>
        </w:rPr>
      </w:pPr>
    </w:p>
    <w:p w14:paraId="6ECA5CC4" w14:textId="77777777" w:rsidR="00E34453" w:rsidRPr="005E1EA7" w:rsidRDefault="00E34453" w:rsidP="00E34453">
      <w:pPr>
        <w:pStyle w:val="Paragraphedeliste"/>
        <w:numPr>
          <w:ilvl w:val="0"/>
          <w:numId w:val="189"/>
        </w:numPr>
        <w:spacing w:line="276" w:lineRule="auto"/>
        <w:ind w:left="567"/>
        <w:contextualSpacing/>
        <w:jc w:val="both"/>
        <w:rPr>
          <w:rFonts w:ascii="Tahoma" w:hAnsi="Tahoma" w:cs="Tahoma"/>
          <w:sz w:val="20"/>
          <w:szCs w:val="20"/>
        </w:rPr>
      </w:pPr>
      <w:r w:rsidRPr="005E1EA7">
        <w:rPr>
          <w:rFonts w:ascii="Tahoma" w:hAnsi="Tahoma" w:cs="Tahoma"/>
          <w:sz w:val="20"/>
          <w:szCs w:val="20"/>
        </w:rPr>
        <w:t>Glace : L’eau à l’état solide ;</w:t>
      </w:r>
    </w:p>
    <w:p w14:paraId="6455C961" w14:textId="77777777" w:rsidR="00E34453" w:rsidRPr="005E1EA7" w:rsidRDefault="00E34453" w:rsidP="00E34453">
      <w:pPr>
        <w:pStyle w:val="Paragraphedeliste"/>
        <w:numPr>
          <w:ilvl w:val="0"/>
          <w:numId w:val="189"/>
        </w:numPr>
        <w:spacing w:line="276" w:lineRule="auto"/>
        <w:ind w:left="567"/>
        <w:contextualSpacing/>
        <w:jc w:val="both"/>
        <w:rPr>
          <w:rFonts w:ascii="Tahoma" w:hAnsi="Tahoma" w:cs="Tahoma"/>
          <w:sz w:val="20"/>
          <w:szCs w:val="20"/>
        </w:rPr>
      </w:pPr>
      <w:r w:rsidRPr="005E1EA7">
        <w:rPr>
          <w:rFonts w:ascii="Tahoma" w:hAnsi="Tahoma" w:cs="Tahoma"/>
          <w:sz w:val="20"/>
          <w:szCs w:val="20"/>
        </w:rPr>
        <w:t>Réfrigération : Le processus permettant de refroidir les produits halieutiques pour les amener à une température proche de celle de la glace fondante ;</w:t>
      </w:r>
    </w:p>
    <w:p w14:paraId="4A1B89F2" w14:textId="77777777" w:rsidR="00E34453" w:rsidRPr="005E1EA7" w:rsidRDefault="00E34453" w:rsidP="00E34453">
      <w:pPr>
        <w:pStyle w:val="Paragraphedeliste"/>
        <w:numPr>
          <w:ilvl w:val="0"/>
          <w:numId w:val="189"/>
        </w:numPr>
        <w:spacing w:line="276" w:lineRule="auto"/>
        <w:ind w:left="567"/>
        <w:contextualSpacing/>
        <w:jc w:val="both"/>
        <w:rPr>
          <w:rFonts w:ascii="Tahoma" w:hAnsi="Tahoma" w:cs="Tahoma"/>
          <w:sz w:val="20"/>
          <w:szCs w:val="20"/>
        </w:rPr>
      </w:pPr>
      <w:r w:rsidRPr="005E1EA7">
        <w:rPr>
          <w:rFonts w:ascii="Tahoma" w:hAnsi="Tahoma" w:cs="Tahoma"/>
          <w:sz w:val="20"/>
          <w:szCs w:val="20"/>
        </w:rPr>
        <w:t>Autorité compétente : l’Autorité nationale chargée de l’autorisation des établissements de pêche en général et des fabriques de glace en particulier, ou à toute autre autorité à laquelle ladite compétence a été attribuée.</w:t>
      </w:r>
    </w:p>
    <w:p w14:paraId="1D87DE7C" w14:textId="77777777" w:rsidR="00E34453" w:rsidRPr="005E1EA7" w:rsidRDefault="00E34453" w:rsidP="00E34453">
      <w:pPr>
        <w:spacing w:line="276" w:lineRule="auto"/>
        <w:jc w:val="both"/>
        <w:rPr>
          <w:rFonts w:ascii="Tahoma" w:hAnsi="Tahoma" w:cs="Tahoma"/>
          <w:sz w:val="20"/>
          <w:szCs w:val="20"/>
        </w:rPr>
      </w:pPr>
    </w:p>
    <w:p w14:paraId="006EFF29" w14:textId="77777777" w:rsidR="00E34453" w:rsidRPr="005E1EA7" w:rsidRDefault="00E34453" w:rsidP="00E34453">
      <w:pPr>
        <w:spacing w:line="276" w:lineRule="auto"/>
        <w:jc w:val="both"/>
        <w:rPr>
          <w:rFonts w:ascii="Tahoma" w:hAnsi="Tahoma" w:cs="Tahoma"/>
          <w:sz w:val="20"/>
          <w:szCs w:val="20"/>
        </w:rPr>
      </w:pPr>
      <w:r w:rsidRPr="005E1EA7">
        <w:rPr>
          <w:rFonts w:ascii="Tahoma" w:hAnsi="Tahoma" w:cs="Tahoma"/>
          <w:b/>
          <w:bCs/>
          <w:sz w:val="20"/>
          <w:szCs w:val="20"/>
          <w:u w:val="single"/>
        </w:rPr>
        <w:t xml:space="preserve">Article 3 </w:t>
      </w:r>
      <w:r w:rsidRPr="005E1EA7">
        <w:rPr>
          <w:rFonts w:ascii="Tahoma" w:hAnsi="Tahoma" w:cs="Tahoma"/>
          <w:b/>
          <w:bCs/>
          <w:sz w:val="20"/>
          <w:szCs w:val="20"/>
        </w:rPr>
        <w:t xml:space="preserve">: </w:t>
      </w:r>
      <w:r w:rsidRPr="005E1EA7">
        <w:rPr>
          <w:rFonts w:ascii="Tahoma" w:hAnsi="Tahoma" w:cs="Tahoma"/>
          <w:sz w:val="20"/>
          <w:szCs w:val="20"/>
        </w:rPr>
        <w:t xml:space="preserve">Les pêcheurs, les mareyeurs et les exportateurs de produits halieutiques doivent s’approvisionner </w:t>
      </w:r>
      <w:proofErr w:type="gramStart"/>
      <w:r w:rsidRPr="005E1EA7">
        <w:rPr>
          <w:rFonts w:ascii="Tahoma" w:hAnsi="Tahoma" w:cs="Tahoma"/>
          <w:sz w:val="20"/>
          <w:szCs w:val="20"/>
        </w:rPr>
        <w:t>en</w:t>
      </w:r>
      <w:proofErr w:type="gramEnd"/>
      <w:r w:rsidRPr="005E1EA7">
        <w:rPr>
          <w:rFonts w:ascii="Tahoma" w:hAnsi="Tahoma" w:cs="Tahoma"/>
          <w:sz w:val="20"/>
          <w:szCs w:val="20"/>
        </w:rPr>
        <w:t xml:space="preserve"> glace auprès des unités de production autorisées.</w:t>
      </w:r>
    </w:p>
    <w:p w14:paraId="3D3F7FA4" w14:textId="77777777" w:rsidR="00E34453" w:rsidRPr="005E1EA7" w:rsidRDefault="00E34453" w:rsidP="00E34453">
      <w:pPr>
        <w:spacing w:line="276" w:lineRule="auto"/>
        <w:jc w:val="both"/>
        <w:rPr>
          <w:rFonts w:ascii="Tahoma" w:hAnsi="Tahoma" w:cs="Tahoma"/>
          <w:b/>
          <w:bCs/>
          <w:sz w:val="20"/>
          <w:szCs w:val="20"/>
        </w:rPr>
      </w:pPr>
    </w:p>
    <w:p w14:paraId="481095D0" w14:textId="77777777" w:rsidR="00E34453" w:rsidRPr="005E1EA7" w:rsidRDefault="00E34453" w:rsidP="00E34453">
      <w:pPr>
        <w:spacing w:line="276" w:lineRule="auto"/>
        <w:jc w:val="both"/>
        <w:rPr>
          <w:rFonts w:ascii="Tahoma" w:hAnsi="Tahoma" w:cs="Tahoma"/>
          <w:sz w:val="20"/>
          <w:szCs w:val="20"/>
        </w:rPr>
      </w:pPr>
      <w:r w:rsidRPr="005E1EA7">
        <w:rPr>
          <w:rFonts w:ascii="Tahoma" w:hAnsi="Tahoma" w:cs="Tahoma"/>
          <w:b/>
          <w:bCs/>
          <w:sz w:val="20"/>
          <w:szCs w:val="20"/>
          <w:u w:val="single"/>
        </w:rPr>
        <w:t>Article 4 </w:t>
      </w:r>
      <w:r w:rsidRPr="005E1EA7">
        <w:rPr>
          <w:rFonts w:ascii="Tahoma" w:hAnsi="Tahoma" w:cs="Tahoma"/>
          <w:b/>
          <w:bCs/>
          <w:sz w:val="20"/>
          <w:szCs w:val="20"/>
        </w:rPr>
        <w:t xml:space="preserve">: </w:t>
      </w:r>
      <w:r w:rsidRPr="005E1EA7">
        <w:rPr>
          <w:rFonts w:ascii="Tahoma" w:hAnsi="Tahoma" w:cs="Tahoma"/>
          <w:sz w:val="20"/>
          <w:szCs w:val="20"/>
        </w:rPr>
        <w:t xml:space="preserve">L'autorité compétente doit procéder à l'autorisation des unités de production de glace, après s'être assurée qu'elles satisfont aux dispositions réglementaires vis-à-vis de la nature des activités qu'elles exercent. L’autorisation d’exercer est matérialisée par un code qui représente le numéro d’agrément. </w:t>
      </w:r>
    </w:p>
    <w:p w14:paraId="3F502CB2" w14:textId="77777777" w:rsidR="00E34453" w:rsidRPr="005E1EA7" w:rsidRDefault="00E34453" w:rsidP="00E34453">
      <w:pPr>
        <w:spacing w:line="276" w:lineRule="auto"/>
        <w:jc w:val="both"/>
        <w:rPr>
          <w:rFonts w:ascii="Tahoma" w:hAnsi="Tahoma" w:cs="Tahoma"/>
          <w:sz w:val="20"/>
          <w:szCs w:val="20"/>
        </w:rPr>
      </w:pPr>
    </w:p>
    <w:p w14:paraId="01CF843B" w14:textId="77777777" w:rsidR="00E34453" w:rsidRPr="005E1EA7" w:rsidRDefault="00E34453" w:rsidP="00E34453">
      <w:pPr>
        <w:spacing w:line="276" w:lineRule="auto"/>
        <w:jc w:val="both"/>
        <w:rPr>
          <w:rFonts w:ascii="Tahoma" w:hAnsi="Tahoma" w:cs="Tahoma"/>
          <w:sz w:val="20"/>
          <w:szCs w:val="20"/>
        </w:rPr>
      </w:pPr>
      <w:r w:rsidRPr="005E1EA7">
        <w:rPr>
          <w:rFonts w:ascii="Tahoma" w:hAnsi="Tahoma" w:cs="Tahoma"/>
          <w:b/>
          <w:bCs/>
          <w:sz w:val="20"/>
          <w:szCs w:val="20"/>
          <w:u w:val="single"/>
        </w:rPr>
        <w:t>Article 5 </w:t>
      </w:r>
      <w:r w:rsidRPr="005E1EA7">
        <w:rPr>
          <w:rFonts w:ascii="Tahoma" w:hAnsi="Tahoma" w:cs="Tahoma"/>
          <w:b/>
          <w:bCs/>
          <w:sz w:val="20"/>
          <w:szCs w:val="20"/>
        </w:rPr>
        <w:t xml:space="preserve">: </w:t>
      </w:r>
      <w:r w:rsidRPr="005E1EA7">
        <w:rPr>
          <w:rFonts w:ascii="Tahoma" w:hAnsi="Tahoma" w:cs="Tahoma"/>
          <w:sz w:val="20"/>
          <w:szCs w:val="20"/>
        </w:rPr>
        <w:t xml:space="preserve">Conformément aux dispositions sanitaires en vigueur, les fabriques de glace ne doivent pas être situées dans les endroits insalubres (odeurs désagréables, fumées, dépôts d'ordures, autres sources de contaminants). </w:t>
      </w:r>
    </w:p>
    <w:p w14:paraId="11107D90" w14:textId="77777777" w:rsidR="00E34453" w:rsidRPr="005E1EA7" w:rsidRDefault="00E34453" w:rsidP="00E34453">
      <w:pPr>
        <w:spacing w:line="276" w:lineRule="auto"/>
        <w:jc w:val="both"/>
        <w:rPr>
          <w:rFonts w:ascii="Tahoma" w:hAnsi="Tahoma" w:cs="Tahoma"/>
          <w:sz w:val="20"/>
          <w:szCs w:val="20"/>
        </w:rPr>
      </w:pPr>
    </w:p>
    <w:p w14:paraId="40ADC4A6" w14:textId="77777777" w:rsidR="00E34453" w:rsidRPr="005E1EA7" w:rsidRDefault="00E34453" w:rsidP="00E34453">
      <w:pPr>
        <w:spacing w:line="276" w:lineRule="auto"/>
        <w:jc w:val="both"/>
        <w:rPr>
          <w:rFonts w:ascii="Tahoma" w:hAnsi="Tahoma" w:cs="Tahoma"/>
          <w:sz w:val="20"/>
          <w:szCs w:val="20"/>
        </w:rPr>
      </w:pPr>
      <w:r w:rsidRPr="005E1EA7">
        <w:rPr>
          <w:rFonts w:ascii="Tahoma" w:hAnsi="Tahoma" w:cs="Tahoma"/>
          <w:sz w:val="20"/>
          <w:szCs w:val="20"/>
        </w:rPr>
        <w:t xml:space="preserve">Elles doivent avoir, au moins, dans les locaux où la glace est entreposée ou manipulée : </w:t>
      </w:r>
    </w:p>
    <w:p w14:paraId="655DDBC9" w14:textId="77777777" w:rsidR="00E34453" w:rsidRPr="005E1EA7" w:rsidRDefault="00E34453" w:rsidP="00E34453">
      <w:pPr>
        <w:pStyle w:val="Paragraphedeliste"/>
        <w:numPr>
          <w:ilvl w:val="0"/>
          <w:numId w:val="189"/>
        </w:numPr>
        <w:spacing w:line="276" w:lineRule="auto"/>
        <w:ind w:left="567"/>
        <w:contextualSpacing/>
        <w:jc w:val="both"/>
        <w:rPr>
          <w:rFonts w:ascii="Tahoma" w:hAnsi="Tahoma" w:cs="Tahoma"/>
          <w:sz w:val="20"/>
          <w:szCs w:val="20"/>
        </w:rPr>
      </w:pPr>
      <w:proofErr w:type="gramStart"/>
      <w:r w:rsidRPr="005E1EA7">
        <w:rPr>
          <w:rFonts w:ascii="Tahoma" w:hAnsi="Tahoma" w:cs="Tahoma"/>
          <w:sz w:val="20"/>
          <w:szCs w:val="20"/>
        </w:rPr>
        <w:t>des</w:t>
      </w:r>
      <w:proofErr w:type="gramEnd"/>
      <w:r w:rsidRPr="005E1EA7">
        <w:rPr>
          <w:rFonts w:ascii="Tahoma" w:hAnsi="Tahoma" w:cs="Tahoma"/>
          <w:sz w:val="20"/>
          <w:szCs w:val="20"/>
        </w:rPr>
        <w:t xml:space="preserve"> installations solides correctement entretenues n'ouvrant pas à l'extérieur en vue d'éviter la contamination de la glace par tout type de déchets, eaux usées, vapeur ou souillure, présence de rongeurs ou d'autres animaux ; </w:t>
      </w:r>
    </w:p>
    <w:p w14:paraId="5CC592CC" w14:textId="77777777" w:rsidR="00E34453" w:rsidRPr="005E1EA7" w:rsidRDefault="00E34453" w:rsidP="00E34453">
      <w:pPr>
        <w:pStyle w:val="Paragraphedeliste"/>
        <w:numPr>
          <w:ilvl w:val="0"/>
          <w:numId w:val="189"/>
        </w:numPr>
        <w:spacing w:line="276" w:lineRule="auto"/>
        <w:ind w:left="567"/>
        <w:contextualSpacing/>
        <w:jc w:val="both"/>
        <w:rPr>
          <w:rFonts w:ascii="Tahoma" w:hAnsi="Tahoma" w:cs="Tahoma"/>
          <w:sz w:val="20"/>
          <w:szCs w:val="20"/>
        </w:rPr>
      </w:pPr>
      <w:proofErr w:type="gramStart"/>
      <w:r w:rsidRPr="005E1EA7">
        <w:rPr>
          <w:rFonts w:ascii="Tahoma" w:hAnsi="Tahoma" w:cs="Tahoma"/>
          <w:sz w:val="20"/>
          <w:szCs w:val="20"/>
        </w:rPr>
        <w:t>un</w:t>
      </w:r>
      <w:proofErr w:type="gramEnd"/>
      <w:r w:rsidRPr="005E1EA7">
        <w:rPr>
          <w:rFonts w:ascii="Tahoma" w:hAnsi="Tahoma" w:cs="Tahoma"/>
          <w:sz w:val="20"/>
          <w:szCs w:val="20"/>
        </w:rPr>
        <w:t xml:space="preserve"> sol en matériau facile à nettoyer et disposé de manière à faciliter l'écoulement des liquides ; </w:t>
      </w:r>
    </w:p>
    <w:p w14:paraId="229D81B7" w14:textId="77777777" w:rsidR="00E34453" w:rsidRPr="005E1EA7" w:rsidRDefault="00E34453" w:rsidP="00E34453">
      <w:pPr>
        <w:pStyle w:val="Paragraphedeliste"/>
        <w:numPr>
          <w:ilvl w:val="0"/>
          <w:numId w:val="189"/>
        </w:numPr>
        <w:spacing w:line="276" w:lineRule="auto"/>
        <w:ind w:left="567"/>
        <w:contextualSpacing/>
        <w:jc w:val="both"/>
        <w:rPr>
          <w:rFonts w:ascii="Tahoma" w:hAnsi="Tahoma" w:cs="Tahoma"/>
          <w:sz w:val="20"/>
          <w:szCs w:val="20"/>
        </w:rPr>
      </w:pPr>
      <w:proofErr w:type="gramStart"/>
      <w:r w:rsidRPr="005E1EA7">
        <w:rPr>
          <w:rFonts w:ascii="Tahoma" w:hAnsi="Tahoma" w:cs="Tahoma"/>
          <w:sz w:val="20"/>
          <w:szCs w:val="20"/>
        </w:rPr>
        <w:t>un</w:t>
      </w:r>
      <w:proofErr w:type="gramEnd"/>
      <w:r w:rsidRPr="005E1EA7">
        <w:rPr>
          <w:rFonts w:ascii="Tahoma" w:hAnsi="Tahoma" w:cs="Tahoma"/>
          <w:sz w:val="20"/>
          <w:szCs w:val="20"/>
        </w:rPr>
        <w:t xml:space="preserve"> espace de travail suffisant pour la bonne exécution de toutes les opérations ;</w:t>
      </w:r>
    </w:p>
    <w:p w14:paraId="0F8608A6" w14:textId="77777777" w:rsidR="00E34453" w:rsidRPr="005E1EA7" w:rsidRDefault="00E34453" w:rsidP="00E34453">
      <w:pPr>
        <w:pStyle w:val="Paragraphedeliste"/>
        <w:numPr>
          <w:ilvl w:val="0"/>
          <w:numId w:val="189"/>
        </w:numPr>
        <w:spacing w:line="276" w:lineRule="auto"/>
        <w:ind w:left="567"/>
        <w:contextualSpacing/>
        <w:jc w:val="both"/>
        <w:rPr>
          <w:rFonts w:ascii="Tahoma" w:hAnsi="Tahoma" w:cs="Tahoma"/>
          <w:sz w:val="20"/>
          <w:szCs w:val="20"/>
        </w:rPr>
      </w:pPr>
      <w:proofErr w:type="gramStart"/>
      <w:r w:rsidRPr="005E1EA7">
        <w:rPr>
          <w:rFonts w:ascii="Tahoma" w:hAnsi="Tahoma" w:cs="Tahoma"/>
          <w:sz w:val="20"/>
          <w:szCs w:val="20"/>
        </w:rPr>
        <w:t>des</w:t>
      </w:r>
      <w:proofErr w:type="gramEnd"/>
      <w:r w:rsidRPr="005E1EA7">
        <w:rPr>
          <w:rFonts w:ascii="Tahoma" w:hAnsi="Tahoma" w:cs="Tahoma"/>
          <w:sz w:val="20"/>
          <w:szCs w:val="20"/>
        </w:rPr>
        <w:t xml:space="preserve"> murs et plafonds résistants, faciles à nettoyer ;</w:t>
      </w:r>
    </w:p>
    <w:p w14:paraId="24068081" w14:textId="77777777" w:rsidR="00E34453" w:rsidRPr="005E1EA7" w:rsidRDefault="00E34453" w:rsidP="00E34453">
      <w:pPr>
        <w:pStyle w:val="Paragraphedeliste"/>
        <w:numPr>
          <w:ilvl w:val="0"/>
          <w:numId w:val="189"/>
        </w:numPr>
        <w:spacing w:line="276" w:lineRule="auto"/>
        <w:ind w:left="567"/>
        <w:contextualSpacing/>
        <w:jc w:val="both"/>
        <w:rPr>
          <w:rFonts w:ascii="Tahoma" w:hAnsi="Tahoma" w:cs="Tahoma"/>
          <w:sz w:val="20"/>
          <w:szCs w:val="20"/>
        </w:rPr>
      </w:pPr>
      <w:proofErr w:type="gramStart"/>
      <w:r w:rsidRPr="005E1EA7">
        <w:rPr>
          <w:rFonts w:ascii="Tahoma" w:hAnsi="Tahoma" w:cs="Tahoma"/>
          <w:sz w:val="20"/>
          <w:szCs w:val="20"/>
        </w:rPr>
        <w:t>un</w:t>
      </w:r>
      <w:proofErr w:type="gramEnd"/>
      <w:r w:rsidRPr="005E1EA7">
        <w:rPr>
          <w:rFonts w:ascii="Tahoma" w:hAnsi="Tahoma" w:cs="Tahoma"/>
          <w:sz w:val="20"/>
          <w:szCs w:val="20"/>
        </w:rPr>
        <w:t xml:space="preserve"> éclairage suffisant et conforme. </w:t>
      </w:r>
    </w:p>
    <w:p w14:paraId="287C912F" w14:textId="77777777" w:rsidR="00E34453" w:rsidRPr="005E1EA7" w:rsidRDefault="00E34453" w:rsidP="00E34453">
      <w:pPr>
        <w:spacing w:line="276" w:lineRule="auto"/>
        <w:jc w:val="both"/>
        <w:rPr>
          <w:rFonts w:ascii="Tahoma" w:hAnsi="Tahoma" w:cs="Tahoma"/>
          <w:sz w:val="20"/>
          <w:szCs w:val="20"/>
        </w:rPr>
      </w:pPr>
    </w:p>
    <w:p w14:paraId="4DDA7404" w14:textId="77777777" w:rsidR="00E34453" w:rsidRPr="005E1EA7" w:rsidRDefault="00E34453" w:rsidP="00E34453">
      <w:pPr>
        <w:spacing w:line="276" w:lineRule="auto"/>
        <w:jc w:val="both"/>
        <w:rPr>
          <w:rFonts w:ascii="Tahoma" w:hAnsi="Tahoma" w:cs="Tahoma"/>
          <w:sz w:val="20"/>
          <w:szCs w:val="20"/>
        </w:rPr>
      </w:pPr>
      <w:r w:rsidRPr="005E1EA7">
        <w:rPr>
          <w:rFonts w:ascii="Tahoma" w:hAnsi="Tahoma" w:cs="Tahoma"/>
          <w:b/>
          <w:bCs/>
          <w:sz w:val="20"/>
          <w:szCs w:val="20"/>
          <w:u w:val="single"/>
        </w:rPr>
        <w:t>Article 6 </w:t>
      </w:r>
      <w:r w:rsidRPr="005E1EA7">
        <w:rPr>
          <w:rFonts w:ascii="Tahoma" w:hAnsi="Tahoma" w:cs="Tahoma"/>
          <w:b/>
          <w:bCs/>
          <w:sz w:val="20"/>
          <w:szCs w:val="20"/>
        </w:rPr>
        <w:t xml:space="preserve">: </w:t>
      </w:r>
      <w:r w:rsidRPr="005E1EA7">
        <w:rPr>
          <w:rFonts w:ascii="Tahoma" w:hAnsi="Tahoma" w:cs="Tahoma"/>
          <w:sz w:val="20"/>
          <w:szCs w:val="20"/>
        </w:rPr>
        <w:t>Il doit y avoir suffisamment des toilettes et des vestiaires appropriés. Les lavabos à commande non manuelle doivent être placés aussi bien au niveau des cabinets d’aisance que dans la salle de manutention équipés d'accessoires conformes.</w:t>
      </w:r>
    </w:p>
    <w:p w14:paraId="50A1A348" w14:textId="77777777" w:rsidR="00E34453" w:rsidRPr="005E1EA7" w:rsidRDefault="00E34453" w:rsidP="00E34453">
      <w:pPr>
        <w:spacing w:line="276" w:lineRule="auto"/>
        <w:jc w:val="both"/>
        <w:rPr>
          <w:rFonts w:ascii="Tahoma" w:hAnsi="Tahoma" w:cs="Tahoma"/>
          <w:sz w:val="20"/>
          <w:szCs w:val="20"/>
        </w:rPr>
      </w:pPr>
    </w:p>
    <w:p w14:paraId="6401D539" w14:textId="77777777" w:rsidR="00E34453" w:rsidRPr="005E1EA7" w:rsidRDefault="00E34453" w:rsidP="00E34453">
      <w:pPr>
        <w:spacing w:line="276" w:lineRule="auto"/>
        <w:jc w:val="both"/>
        <w:rPr>
          <w:rFonts w:ascii="Tahoma" w:hAnsi="Tahoma" w:cs="Tahoma"/>
          <w:sz w:val="20"/>
          <w:szCs w:val="20"/>
        </w:rPr>
      </w:pPr>
      <w:r w:rsidRPr="005E1EA7">
        <w:rPr>
          <w:rFonts w:ascii="Tahoma" w:hAnsi="Tahoma" w:cs="Tahoma"/>
          <w:b/>
          <w:bCs/>
          <w:sz w:val="20"/>
          <w:szCs w:val="20"/>
          <w:u w:val="single"/>
        </w:rPr>
        <w:lastRenderedPageBreak/>
        <w:t>Article 7</w:t>
      </w:r>
      <w:r w:rsidRPr="005E1EA7">
        <w:rPr>
          <w:rFonts w:ascii="Tahoma" w:hAnsi="Tahoma" w:cs="Tahoma"/>
          <w:b/>
          <w:bCs/>
          <w:sz w:val="20"/>
          <w:szCs w:val="20"/>
        </w:rPr>
        <w:t xml:space="preserve"> : </w:t>
      </w:r>
      <w:r w:rsidRPr="005E1EA7">
        <w:rPr>
          <w:rFonts w:ascii="Tahoma" w:hAnsi="Tahoma" w:cs="Tahoma"/>
          <w:sz w:val="20"/>
          <w:szCs w:val="20"/>
        </w:rPr>
        <w:t>Les toilettes ne doivent pas ouvrir directement sur les locaux où la glace est manipulée ou entreposée.</w:t>
      </w:r>
    </w:p>
    <w:p w14:paraId="355DE445" w14:textId="77777777" w:rsidR="00E34453" w:rsidRPr="005E1EA7" w:rsidRDefault="00E34453" w:rsidP="00E34453">
      <w:pPr>
        <w:spacing w:line="276" w:lineRule="auto"/>
        <w:jc w:val="both"/>
        <w:rPr>
          <w:rFonts w:ascii="Tahoma" w:hAnsi="Tahoma" w:cs="Tahoma"/>
          <w:sz w:val="20"/>
          <w:szCs w:val="20"/>
        </w:rPr>
      </w:pPr>
    </w:p>
    <w:p w14:paraId="6E0AE881" w14:textId="77777777" w:rsidR="00E34453" w:rsidRPr="005E1EA7" w:rsidRDefault="00E34453" w:rsidP="00E34453">
      <w:pPr>
        <w:spacing w:line="276" w:lineRule="auto"/>
        <w:jc w:val="both"/>
        <w:rPr>
          <w:rFonts w:ascii="Tahoma" w:hAnsi="Tahoma" w:cs="Tahoma"/>
          <w:sz w:val="20"/>
          <w:szCs w:val="20"/>
        </w:rPr>
      </w:pPr>
      <w:r w:rsidRPr="005E1EA7">
        <w:rPr>
          <w:rFonts w:ascii="Tahoma" w:hAnsi="Tahoma" w:cs="Tahoma"/>
          <w:b/>
          <w:bCs/>
          <w:sz w:val="20"/>
          <w:szCs w:val="20"/>
          <w:u w:val="single"/>
        </w:rPr>
        <w:t>Article 8</w:t>
      </w:r>
      <w:r w:rsidRPr="005E1EA7">
        <w:rPr>
          <w:rFonts w:ascii="Tahoma" w:hAnsi="Tahoma" w:cs="Tahoma"/>
          <w:b/>
          <w:bCs/>
          <w:sz w:val="20"/>
          <w:szCs w:val="20"/>
        </w:rPr>
        <w:t xml:space="preserve"> : </w:t>
      </w:r>
      <w:r w:rsidRPr="005E1EA7">
        <w:rPr>
          <w:rFonts w:ascii="Tahoma" w:hAnsi="Tahoma" w:cs="Tahoma"/>
          <w:sz w:val="20"/>
          <w:szCs w:val="20"/>
        </w:rPr>
        <w:t>Les fabriques de glace doivent disposer d’une installation permettant l'approvisionnement en eau potable au sens des exigences de l’arrêté conjoint n° 2862 du 16 novembre 2006, relatif aux critères de qualité des eaux utilisées dans l'industrie de traitement des produits de la pêche et de l'aquaculture.</w:t>
      </w:r>
    </w:p>
    <w:p w14:paraId="33869AF8" w14:textId="77777777" w:rsidR="00E34453" w:rsidRPr="005E1EA7" w:rsidRDefault="00E34453" w:rsidP="00E34453">
      <w:pPr>
        <w:spacing w:line="276" w:lineRule="auto"/>
        <w:jc w:val="both"/>
        <w:rPr>
          <w:rFonts w:ascii="Tahoma" w:hAnsi="Tahoma" w:cs="Tahoma"/>
          <w:sz w:val="20"/>
          <w:szCs w:val="20"/>
        </w:rPr>
      </w:pPr>
    </w:p>
    <w:p w14:paraId="4DF3EA8B" w14:textId="77777777" w:rsidR="00E34453" w:rsidRPr="005E1EA7" w:rsidRDefault="00E34453" w:rsidP="00E34453">
      <w:pPr>
        <w:spacing w:line="276" w:lineRule="auto"/>
        <w:jc w:val="both"/>
        <w:rPr>
          <w:rFonts w:ascii="Tahoma" w:hAnsi="Tahoma" w:cs="Tahoma"/>
          <w:sz w:val="20"/>
          <w:szCs w:val="20"/>
        </w:rPr>
      </w:pPr>
      <w:r w:rsidRPr="005E1EA7">
        <w:rPr>
          <w:rFonts w:ascii="Tahoma" w:hAnsi="Tahoma" w:cs="Tahoma"/>
          <w:b/>
          <w:bCs/>
          <w:sz w:val="20"/>
          <w:szCs w:val="20"/>
          <w:u w:val="single"/>
        </w:rPr>
        <w:t>Article 9</w:t>
      </w:r>
      <w:r w:rsidRPr="005E1EA7">
        <w:rPr>
          <w:rFonts w:ascii="Tahoma" w:hAnsi="Tahoma" w:cs="Tahoma"/>
          <w:b/>
          <w:bCs/>
          <w:sz w:val="20"/>
          <w:szCs w:val="20"/>
        </w:rPr>
        <w:t xml:space="preserve"> : </w:t>
      </w:r>
      <w:r w:rsidRPr="005E1EA7">
        <w:rPr>
          <w:rFonts w:ascii="Tahoma" w:hAnsi="Tahoma" w:cs="Tahoma"/>
          <w:sz w:val="20"/>
          <w:szCs w:val="20"/>
        </w:rPr>
        <w:t>Les locaux de production et d’entreposage de glace et du matériel de manutention doivent être maintenus en bon état de propreté permanent. Le nettoyage et la désinfection doivent y être effectués en tant que de besoin.</w:t>
      </w:r>
    </w:p>
    <w:p w14:paraId="2179B728" w14:textId="77777777" w:rsidR="00E34453" w:rsidRPr="005E1EA7" w:rsidRDefault="00E34453" w:rsidP="00E34453">
      <w:pPr>
        <w:spacing w:line="276" w:lineRule="auto"/>
        <w:jc w:val="both"/>
        <w:rPr>
          <w:rFonts w:ascii="Tahoma" w:hAnsi="Tahoma" w:cs="Tahoma"/>
          <w:sz w:val="20"/>
          <w:szCs w:val="20"/>
        </w:rPr>
      </w:pPr>
    </w:p>
    <w:p w14:paraId="55743925" w14:textId="77777777" w:rsidR="00E34453" w:rsidRPr="005E1EA7" w:rsidRDefault="00E34453" w:rsidP="00E34453">
      <w:pPr>
        <w:spacing w:line="276" w:lineRule="auto"/>
        <w:jc w:val="both"/>
        <w:rPr>
          <w:rFonts w:ascii="Tahoma" w:hAnsi="Tahoma" w:cs="Tahoma"/>
          <w:sz w:val="20"/>
          <w:szCs w:val="20"/>
        </w:rPr>
      </w:pPr>
      <w:r w:rsidRPr="005E1EA7">
        <w:rPr>
          <w:rFonts w:ascii="Tahoma" w:hAnsi="Tahoma" w:cs="Tahoma"/>
          <w:sz w:val="20"/>
          <w:szCs w:val="20"/>
        </w:rPr>
        <w:t>Les installations, les équipements, les ustensiles et le matériel de manutention doivent être en matériau imputrescible, imperméable, résistant à la corrosion.</w:t>
      </w:r>
    </w:p>
    <w:p w14:paraId="66C12272" w14:textId="77777777" w:rsidR="00E34453" w:rsidRPr="005E1EA7" w:rsidRDefault="00E34453" w:rsidP="00E34453">
      <w:pPr>
        <w:spacing w:line="276" w:lineRule="auto"/>
        <w:jc w:val="both"/>
        <w:rPr>
          <w:rFonts w:ascii="Tahoma" w:hAnsi="Tahoma" w:cs="Tahoma"/>
          <w:sz w:val="20"/>
          <w:szCs w:val="20"/>
        </w:rPr>
      </w:pPr>
    </w:p>
    <w:p w14:paraId="1A535FBC" w14:textId="77777777" w:rsidR="00E34453" w:rsidRPr="005E1EA7" w:rsidRDefault="00E34453" w:rsidP="00E34453">
      <w:pPr>
        <w:spacing w:line="276" w:lineRule="auto"/>
        <w:jc w:val="both"/>
        <w:rPr>
          <w:rFonts w:ascii="Tahoma" w:hAnsi="Tahoma" w:cs="Tahoma"/>
          <w:sz w:val="20"/>
          <w:szCs w:val="20"/>
        </w:rPr>
      </w:pPr>
      <w:r w:rsidRPr="005E1EA7">
        <w:rPr>
          <w:rFonts w:ascii="Tahoma" w:hAnsi="Tahoma" w:cs="Tahoma"/>
          <w:sz w:val="20"/>
          <w:szCs w:val="20"/>
        </w:rPr>
        <w:t xml:space="preserve">Les produits utilisés pour le nettoyage et la désinfection doivent être conformes à la réglementation en vigueur. </w:t>
      </w:r>
    </w:p>
    <w:p w14:paraId="0B8C6D7E" w14:textId="77777777" w:rsidR="00E34453" w:rsidRPr="005E1EA7" w:rsidRDefault="00E34453" w:rsidP="00E34453">
      <w:pPr>
        <w:spacing w:line="276" w:lineRule="auto"/>
        <w:jc w:val="both"/>
        <w:rPr>
          <w:rFonts w:ascii="Tahoma" w:hAnsi="Tahoma" w:cs="Tahoma"/>
          <w:sz w:val="20"/>
          <w:szCs w:val="20"/>
        </w:rPr>
      </w:pPr>
      <w:r w:rsidRPr="005E1EA7">
        <w:rPr>
          <w:rFonts w:ascii="Tahoma" w:hAnsi="Tahoma" w:cs="Tahoma"/>
          <w:sz w:val="20"/>
          <w:szCs w:val="20"/>
        </w:rPr>
        <w:t xml:space="preserve">Leur utilisation ne doit pas être susceptible de transmettre à la glace des propriétés nocives ou des caractères anormaux. </w:t>
      </w:r>
    </w:p>
    <w:p w14:paraId="2551251C" w14:textId="77777777" w:rsidR="00E34453" w:rsidRPr="005E1EA7" w:rsidRDefault="00E34453" w:rsidP="00E34453">
      <w:pPr>
        <w:spacing w:line="276" w:lineRule="auto"/>
        <w:jc w:val="both"/>
        <w:rPr>
          <w:rFonts w:ascii="Tahoma" w:hAnsi="Tahoma" w:cs="Tahoma"/>
          <w:sz w:val="20"/>
          <w:szCs w:val="20"/>
        </w:rPr>
      </w:pPr>
    </w:p>
    <w:p w14:paraId="35096EB3" w14:textId="77777777" w:rsidR="00E34453" w:rsidRPr="005E1EA7" w:rsidRDefault="00E34453" w:rsidP="00E34453">
      <w:pPr>
        <w:spacing w:line="276" w:lineRule="auto"/>
        <w:jc w:val="both"/>
        <w:rPr>
          <w:rFonts w:ascii="Tahoma" w:hAnsi="Tahoma" w:cs="Tahoma"/>
          <w:sz w:val="20"/>
          <w:szCs w:val="20"/>
        </w:rPr>
      </w:pPr>
      <w:r w:rsidRPr="005E1EA7">
        <w:rPr>
          <w:rFonts w:ascii="Tahoma" w:hAnsi="Tahoma" w:cs="Tahoma"/>
          <w:b/>
          <w:bCs/>
          <w:sz w:val="20"/>
          <w:szCs w:val="20"/>
          <w:u w:val="single"/>
        </w:rPr>
        <w:t>Article 10 </w:t>
      </w:r>
      <w:r w:rsidRPr="005E1EA7">
        <w:rPr>
          <w:rFonts w:ascii="Tahoma" w:hAnsi="Tahoma" w:cs="Tahoma"/>
          <w:b/>
          <w:bCs/>
          <w:sz w:val="20"/>
          <w:szCs w:val="20"/>
        </w:rPr>
        <w:t xml:space="preserve">: </w:t>
      </w:r>
      <w:r w:rsidRPr="005E1EA7">
        <w:rPr>
          <w:rFonts w:ascii="Tahoma" w:hAnsi="Tahoma" w:cs="Tahoma"/>
          <w:sz w:val="20"/>
          <w:szCs w:val="20"/>
        </w:rPr>
        <w:t>La manipulation de la glace, doit être interdite à toute personne :</w:t>
      </w:r>
    </w:p>
    <w:p w14:paraId="45E8A676" w14:textId="77777777" w:rsidR="00E34453" w:rsidRPr="005E1EA7" w:rsidRDefault="00E34453" w:rsidP="00E34453">
      <w:pPr>
        <w:pStyle w:val="Paragraphedeliste"/>
        <w:numPr>
          <w:ilvl w:val="0"/>
          <w:numId w:val="189"/>
        </w:numPr>
        <w:spacing w:line="276" w:lineRule="auto"/>
        <w:ind w:left="567"/>
        <w:contextualSpacing/>
        <w:jc w:val="both"/>
        <w:rPr>
          <w:rFonts w:ascii="Tahoma" w:hAnsi="Tahoma" w:cs="Tahoma"/>
          <w:sz w:val="20"/>
          <w:szCs w:val="20"/>
        </w:rPr>
      </w:pPr>
      <w:proofErr w:type="gramStart"/>
      <w:r w:rsidRPr="005E1EA7">
        <w:rPr>
          <w:rFonts w:ascii="Tahoma" w:hAnsi="Tahoma" w:cs="Tahoma"/>
          <w:sz w:val="20"/>
          <w:szCs w:val="20"/>
        </w:rPr>
        <w:t>reconnue</w:t>
      </w:r>
      <w:proofErr w:type="gramEnd"/>
      <w:r w:rsidRPr="005E1EA7">
        <w:rPr>
          <w:rFonts w:ascii="Tahoma" w:hAnsi="Tahoma" w:cs="Tahoma"/>
          <w:sz w:val="20"/>
          <w:szCs w:val="20"/>
        </w:rPr>
        <w:t xml:space="preserve"> comme étant atteinte d’une maladie contagieuse ; </w:t>
      </w:r>
    </w:p>
    <w:p w14:paraId="0946EA1E" w14:textId="77777777" w:rsidR="00E34453" w:rsidRPr="005E1EA7" w:rsidRDefault="00E34453" w:rsidP="00E34453">
      <w:pPr>
        <w:pStyle w:val="Paragraphedeliste"/>
        <w:numPr>
          <w:ilvl w:val="0"/>
          <w:numId w:val="189"/>
        </w:numPr>
        <w:spacing w:line="276" w:lineRule="auto"/>
        <w:ind w:left="567"/>
        <w:contextualSpacing/>
        <w:jc w:val="both"/>
        <w:rPr>
          <w:rFonts w:ascii="Tahoma" w:hAnsi="Tahoma" w:cs="Tahoma"/>
          <w:sz w:val="20"/>
          <w:szCs w:val="20"/>
        </w:rPr>
      </w:pPr>
      <w:proofErr w:type="gramStart"/>
      <w:r w:rsidRPr="005E1EA7">
        <w:rPr>
          <w:rFonts w:ascii="Tahoma" w:hAnsi="Tahoma" w:cs="Tahoma"/>
          <w:sz w:val="20"/>
          <w:szCs w:val="20"/>
        </w:rPr>
        <w:t>ayant</w:t>
      </w:r>
      <w:proofErr w:type="gramEnd"/>
      <w:r w:rsidRPr="005E1EA7">
        <w:rPr>
          <w:rFonts w:ascii="Tahoma" w:hAnsi="Tahoma" w:cs="Tahoma"/>
          <w:sz w:val="20"/>
          <w:szCs w:val="20"/>
        </w:rPr>
        <w:t xml:space="preserve"> une blessure infectée ou une lésion ouverte sur une partie quelconque du corps.</w:t>
      </w:r>
    </w:p>
    <w:p w14:paraId="00902DEF" w14:textId="77777777" w:rsidR="00E34453" w:rsidRPr="005E1EA7" w:rsidRDefault="00E34453" w:rsidP="00E34453">
      <w:pPr>
        <w:spacing w:line="276" w:lineRule="auto"/>
        <w:jc w:val="both"/>
        <w:rPr>
          <w:rFonts w:ascii="Tahoma" w:hAnsi="Tahoma" w:cs="Tahoma"/>
          <w:sz w:val="20"/>
          <w:szCs w:val="20"/>
        </w:rPr>
      </w:pPr>
    </w:p>
    <w:p w14:paraId="363EE3AB" w14:textId="77777777" w:rsidR="00E34453" w:rsidRPr="005E1EA7" w:rsidRDefault="00E34453" w:rsidP="00E34453">
      <w:pPr>
        <w:spacing w:line="276" w:lineRule="auto"/>
        <w:jc w:val="both"/>
        <w:rPr>
          <w:rFonts w:ascii="Tahoma" w:hAnsi="Tahoma" w:cs="Tahoma"/>
          <w:sz w:val="20"/>
          <w:szCs w:val="20"/>
        </w:rPr>
      </w:pPr>
      <w:r w:rsidRPr="005E1EA7">
        <w:rPr>
          <w:rFonts w:ascii="Tahoma" w:hAnsi="Tahoma" w:cs="Tahoma"/>
          <w:sz w:val="20"/>
          <w:szCs w:val="20"/>
        </w:rPr>
        <w:t xml:space="preserve">Le personnel qui manipule la glace doit, notamment porter des vêtements de travail propres et des gants adaptés au travail effectué. </w:t>
      </w:r>
    </w:p>
    <w:p w14:paraId="25B0F9A8" w14:textId="77777777" w:rsidR="00E34453" w:rsidRPr="005E1EA7" w:rsidRDefault="00E34453" w:rsidP="00E34453">
      <w:pPr>
        <w:spacing w:line="276" w:lineRule="auto"/>
        <w:jc w:val="both"/>
        <w:rPr>
          <w:rFonts w:ascii="Tahoma" w:hAnsi="Tahoma" w:cs="Tahoma"/>
          <w:sz w:val="20"/>
          <w:szCs w:val="20"/>
        </w:rPr>
      </w:pPr>
    </w:p>
    <w:p w14:paraId="11665B81" w14:textId="77777777" w:rsidR="00E34453" w:rsidRPr="005E1EA7" w:rsidRDefault="00E34453" w:rsidP="00E34453">
      <w:pPr>
        <w:spacing w:line="276" w:lineRule="auto"/>
        <w:jc w:val="both"/>
        <w:rPr>
          <w:rFonts w:ascii="Tahoma" w:hAnsi="Tahoma" w:cs="Tahoma"/>
          <w:sz w:val="20"/>
          <w:szCs w:val="20"/>
        </w:rPr>
      </w:pPr>
      <w:r w:rsidRPr="005E1EA7">
        <w:rPr>
          <w:rFonts w:ascii="Tahoma" w:hAnsi="Tahoma" w:cs="Tahoma"/>
          <w:sz w:val="20"/>
          <w:szCs w:val="20"/>
        </w:rPr>
        <w:t>Le personnel doit respecter les Bonnes Pratiques d'Hygiène.</w:t>
      </w:r>
    </w:p>
    <w:p w14:paraId="1ED1238E" w14:textId="77777777" w:rsidR="00E34453" w:rsidRPr="005E1EA7" w:rsidRDefault="00E34453" w:rsidP="00E34453">
      <w:pPr>
        <w:spacing w:line="276" w:lineRule="auto"/>
        <w:jc w:val="both"/>
        <w:rPr>
          <w:rFonts w:ascii="Tahoma" w:hAnsi="Tahoma" w:cs="Tahoma"/>
          <w:sz w:val="20"/>
          <w:szCs w:val="20"/>
        </w:rPr>
      </w:pPr>
    </w:p>
    <w:p w14:paraId="584DC132" w14:textId="77777777" w:rsidR="00E34453" w:rsidRPr="005E1EA7" w:rsidRDefault="00E34453" w:rsidP="00E34453">
      <w:pPr>
        <w:spacing w:line="276" w:lineRule="auto"/>
        <w:jc w:val="both"/>
        <w:rPr>
          <w:rFonts w:ascii="Tahoma" w:hAnsi="Tahoma" w:cs="Tahoma"/>
          <w:sz w:val="20"/>
          <w:szCs w:val="20"/>
        </w:rPr>
      </w:pPr>
      <w:r w:rsidRPr="005E1EA7">
        <w:rPr>
          <w:rFonts w:ascii="Tahoma" w:hAnsi="Tahoma" w:cs="Tahoma"/>
          <w:b/>
          <w:bCs/>
          <w:sz w:val="20"/>
          <w:szCs w:val="20"/>
          <w:u w:val="single"/>
        </w:rPr>
        <w:t>Article 11</w:t>
      </w:r>
      <w:r w:rsidRPr="005E1EA7">
        <w:rPr>
          <w:rFonts w:ascii="Tahoma" w:hAnsi="Tahoma" w:cs="Tahoma"/>
          <w:b/>
          <w:bCs/>
          <w:sz w:val="20"/>
          <w:szCs w:val="20"/>
        </w:rPr>
        <w:t xml:space="preserve"> : </w:t>
      </w:r>
      <w:r w:rsidRPr="005E1EA7">
        <w:rPr>
          <w:rFonts w:ascii="Tahoma" w:hAnsi="Tahoma" w:cs="Tahoma"/>
          <w:sz w:val="20"/>
          <w:szCs w:val="20"/>
        </w:rPr>
        <w:t>Toute vermine (rongeurs, insectes ou autres) doit être détruite et toute nouvelle infestation doit être évitée en menant une lutte passive et active. Les animaux domestiques ne doivent pas pénétrer dans les sites.</w:t>
      </w:r>
    </w:p>
    <w:p w14:paraId="39F9875C" w14:textId="77777777" w:rsidR="00E34453" w:rsidRPr="005E1EA7" w:rsidRDefault="00E34453" w:rsidP="00E34453">
      <w:pPr>
        <w:spacing w:line="276" w:lineRule="auto"/>
        <w:jc w:val="both"/>
        <w:rPr>
          <w:rFonts w:ascii="Tahoma" w:hAnsi="Tahoma" w:cs="Tahoma"/>
          <w:sz w:val="20"/>
          <w:szCs w:val="20"/>
        </w:rPr>
      </w:pPr>
    </w:p>
    <w:p w14:paraId="34CAB95A" w14:textId="77777777" w:rsidR="00E34453" w:rsidRPr="005E1EA7" w:rsidRDefault="00E34453" w:rsidP="00E34453">
      <w:pPr>
        <w:spacing w:line="276" w:lineRule="auto"/>
        <w:jc w:val="both"/>
        <w:rPr>
          <w:rFonts w:ascii="Tahoma" w:hAnsi="Tahoma" w:cs="Tahoma"/>
          <w:sz w:val="20"/>
          <w:szCs w:val="20"/>
        </w:rPr>
      </w:pPr>
      <w:r w:rsidRPr="005E1EA7">
        <w:rPr>
          <w:rFonts w:ascii="Tahoma" w:hAnsi="Tahoma" w:cs="Tahoma"/>
          <w:b/>
          <w:bCs/>
          <w:sz w:val="20"/>
          <w:szCs w:val="20"/>
          <w:u w:val="single"/>
        </w:rPr>
        <w:t>Article 12 </w:t>
      </w:r>
      <w:r w:rsidRPr="005E1EA7">
        <w:rPr>
          <w:rFonts w:ascii="Tahoma" w:hAnsi="Tahoma" w:cs="Tahoma"/>
          <w:b/>
          <w:bCs/>
          <w:sz w:val="20"/>
          <w:szCs w:val="20"/>
        </w:rPr>
        <w:t xml:space="preserve">: </w:t>
      </w:r>
      <w:r w:rsidRPr="005E1EA7">
        <w:rPr>
          <w:rFonts w:ascii="Tahoma" w:hAnsi="Tahoma" w:cs="Tahoma"/>
          <w:sz w:val="20"/>
          <w:szCs w:val="20"/>
        </w:rPr>
        <w:t xml:space="preserve">L’autocontrôle sanitaire doit être assuré par chaque unité de production de glace autorisée, notamment par la réalisation d’analyses de l’eau et de la glace. Les résultats de l’autocontrôle doivent être archivés et tenus à la disposition des services de contrôle. </w:t>
      </w:r>
    </w:p>
    <w:p w14:paraId="60357EDF" w14:textId="77777777" w:rsidR="00E34453" w:rsidRPr="005E1EA7" w:rsidRDefault="00E34453" w:rsidP="00E34453">
      <w:pPr>
        <w:spacing w:line="276" w:lineRule="auto"/>
        <w:jc w:val="both"/>
        <w:rPr>
          <w:rFonts w:ascii="Tahoma" w:hAnsi="Tahoma" w:cs="Tahoma"/>
          <w:sz w:val="20"/>
          <w:szCs w:val="20"/>
        </w:rPr>
      </w:pPr>
    </w:p>
    <w:p w14:paraId="7F510E4B" w14:textId="77777777" w:rsidR="00E34453" w:rsidRPr="005E1EA7" w:rsidRDefault="00E34453" w:rsidP="00E34453">
      <w:pPr>
        <w:spacing w:line="276" w:lineRule="auto"/>
        <w:jc w:val="both"/>
        <w:rPr>
          <w:rFonts w:ascii="Tahoma" w:hAnsi="Tahoma" w:cs="Tahoma"/>
          <w:sz w:val="20"/>
          <w:szCs w:val="20"/>
        </w:rPr>
      </w:pPr>
      <w:r w:rsidRPr="005E1EA7">
        <w:rPr>
          <w:rFonts w:ascii="Tahoma" w:hAnsi="Tahoma" w:cs="Tahoma"/>
          <w:b/>
          <w:bCs/>
          <w:sz w:val="20"/>
          <w:szCs w:val="20"/>
          <w:u w:val="single"/>
        </w:rPr>
        <w:t>Article 13</w:t>
      </w:r>
      <w:r w:rsidRPr="005E1EA7">
        <w:rPr>
          <w:rFonts w:ascii="Tahoma" w:hAnsi="Tahoma" w:cs="Tahoma"/>
          <w:b/>
          <w:bCs/>
          <w:sz w:val="20"/>
          <w:szCs w:val="20"/>
        </w:rPr>
        <w:t xml:space="preserve"> : </w:t>
      </w:r>
      <w:r w:rsidRPr="005E1EA7">
        <w:rPr>
          <w:rFonts w:ascii="Tahoma" w:hAnsi="Tahoma" w:cs="Tahoma"/>
          <w:sz w:val="20"/>
          <w:szCs w:val="20"/>
        </w:rPr>
        <w:t>En vue d’obtenir une autorisation, la fabrique de glace doit être soumise à une inspection destinée à vérifier que les prescriptions du présent arrêté sont observées. A cet effet, une demande d’autorisation accompagnée d’un dossier administratif est adressée par le propriétaire à l'Autorité compétente. Une procédure spécifique définira le processus qu'il faudra suivre pour l'obtention de l'autorisation.</w:t>
      </w:r>
    </w:p>
    <w:p w14:paraId="639E58EB" w14:textId="77777777" w:rsidR="00E34453" w:rsidRPr="005E1EA7" w:rsidRDefault="00E34453" w:rsidP="00E34453">
      <w:pPr>
        <w:spacing w:line="276" w:lineRule="auto"/>
        <w:jc w:val="both"/>
        <w:rPr>
          <w:rFonts w:ascii="Tahoma" w:hAnsi="Tahoma" w:cs="Tahoma"/>
          <w:sz w:val="20"/>
          <w:szCs w:val="20"/>
        </w:rPr>
      </w:pPr>
    </w:p>
    <w:p w14:paraId="4CC60B02" w14:textId="77777777" w:rsidR="00E34453" w:rsidRPr="005E1EA7" w:rsidRDefault="00E34453" w:rsidP="00E34453">
      <w:pPr>
        <w:spacing w:line="276" w:lineRule="auto"/>
        <w:jc w:val="both"/>
        <w:rPr>
          <w:rFonts w:ascii="Tahoma" w:hAnsi="Tahoma" w:cs="Tahoma"/>
          <w:sz w:val="20"/>
          <w:szCs w:val="20"/>
        </w:rPr>
      </w:pPr>
      <w:r w:rsidRPr="005E1EA7">
        <w:rPr>
          <w:rFonts w:ascii="Tahoma" w:hAnsi="Tahoma" w:cs="Tahoma"/>
          <w:b/>
          <w:bCs/>
          <w:sz w:val="20"/>
          <w:szCs w:val="20"/>
          <w:u w:val="single"/>
        </w:rPr>
        <w:t>Article 14 </w:t>
      </w:r>
      <w:r w:rsidRPr="005E1EA7">
        <w:rPr>
          <w:rFonts w:ascii="Tahoma" w:hAnsi="Tahoma" w:cs="Tahoma"/>
          <w:b/>
          <w:bCs/>
          <w:sz w:val="20"/>
          <w:szCs w:val="20"/>
        </w:rPr>
        <w:t xml:space="preserve">: </w:t>
      </w:r>
      <w:r w:rsidRPr="005E1EA7">
        <w:rPr>
          <w:rFonts w:ascii="Tahoma" w:hAnsi="Tahoma" w:cs="Tahoma"/>
          <w:sz w:val="20"/>
          <w:szCs w:val="20"/>
        </w:rPr>
        <w:t xml:space="preserve">L'inspection et le contrôle des fabriques de glace autorisées doivent être effectués régulièrement par l'organisme d'inspection en charge de la vérification du respect des exigences règlementaires. L'organisme d'inspection doit avoir libre accès à toutes les parties de ces unités et à toute </w:t>
      </w:r>
      <w:r w:rsidRPr="005E1EA7">
        <w:rPr>
          <w:rFonts w:ascii="Tahoma" w:hAnsi="Tahoma" w:cs="Tahoma"/>
          <w:sz w:val="20"/>
          <w:szCs w:val="20"/>
        </w:rPr>
        <w:lastRenderedPageBreak/>
        <w:t xml:space="preserve">documentation détenue par elles relative à l'autocontrôle en vue de s'assurer du respect des dispositions du présent arrêté. </w:t>
      </w:r>
    </w:p>
    <w:p w14:paraId="64A12B2F" w14:textId="77777777" w:rsidR="00E34453" w:rsidRPr="005E1EA7" w:rsidRDefault="00E34453" w:rsidP="00E34453">
      <w:pPr>
        <w:spacing w:line="276" w:lineRule="auto"/>
        <w:jc w:val="both"/>
        <w:rPr>
          <w:rFonts w:ascii="Tahoma" w:hAnsi="Tahoma" w:cs="Tahoma"/>
          <w:sz w:val="20"/>
          <w:szCs w:val="20"/>
        </w:rPr>
      </w:pPr>
    </w:p>
    <w:p w14:paraId="160293A7" w14:textId="77777777" w:rsidR="00E34453" w:rsidRPr="005E1EA7" w:rsidRDefault="00E34453" w:rsidP="00E34453">
      <w:pPr>
        <w:spacing w:line="276" w:lineRule="auto"/>
        <w:jc w:val="both"/>
        <w:rPr>
          <w:rFonts w:ascii="Tahoma" w:hAnsi="Tahoma" w:cs="Tahoma"/>
          <w:sz w:val="20"/>
          <w:szCs w:val="20"/>
        </w:rPr>
      </w:pPr>
      <w:r w:rsidRPr="005E1EA7">
        <w:rPr>
          <w:rFonts w:ascii="Tahoma" w:hAnsi="Tahoma" w:cs="Tahoma"/>
          <w:sz w:val="20"/>
          <w:szCs w:val="20"/>
        </w:rPr>
        <w:t xml:space="preserve">Si ces inspections et contrôles révèlent que les exigences réglementaires ne sont pas respectées, des actions coercitives peuvent être mises en œuvre (avertissement, suspension temporaire d'activités). Des suspension ou retrait d’autorisation peuvent être proposés à l'autorité compétente avec un avis technique motivé de l'ONISPA. </w:t>
      </w:r>
    </w:p>
    <w:p w14:paraId="7BE71E85" w14:textId="77777777" w:rsidR="00E34453" w:rsidRPr="005E1EA7" w:rsidRDefault="00E34453" w:rsidP="00E34453">
      <w:pPr>
        <w:spacing w:line="276" w:lineRule="auto"/>
        <w:jc w:val="both"/>
        <w:rPr>
          <w:rFonts w:ascii="Tahoma" w:hAnsi="Tahoma" w:cs="Tahoma"/>
          <w:sz w:val="20"/>
          <w:szCs w:val="20"/>
        </w:rPr>
      </w:pPr>
    </w:p>
    <w:p w14:paraId="6C8ABEA3" w14:textId="77777777" w:rsidR="00E34453" w:rsidRPr="005E1EA7" w:rsidRDefault="00E34453" w:rsidP="00E34453">
      <w:pPr>
        <w:spacing w:line="276" w:lineRule="auto"/>
        <w:jc w:val="both"/>
        <w:rPr>
          <w:rFonts w:ascii="Tahoma" w:hAnsi="Tahoma" w:cs="Tahoma"/>
          <w:sz w:val="20"/>
          <w:szCs w:val="20"/>
        </w:rPr>
      </w:pPr>
      <w:r w:rsidRPr="005E1EA7">
        <w:rPr>
          <w:rFonts w:ascii="Tahoma" w:hAnsi="Tahoma" w:cs="Tahoma"/>
          <w:b/>
          <w:bCs/>
          <w:sz w:val="20"/>
          <w:szCs w:val="20"/>
          <w:u w:val="single"/>
        </w:rPr>
        <w:t xml:space="preserve">Article 15 </w:t>
      </w:r>
      <w:r w:rsidRPr="005E1EA7">
        <w:rPr>
          <w:rFonts w:ascii="Tahoma" w:hAnsi="Tahoma" w:cs="Tahoma"/>
          <w:b/>
          <w:bCs/>
          <w:sz w:val="20"/>
          <w:szCs w:val="20"/>
        </w:rPr>
        <w:t xml:space="preserve">: </w:t>
      </w:r>
      <w:r w:rsidRPr="005E1EA7">
        <w:rPr>
          <w:rFonts w:ascii="Tahoma" w:hAnsi="Tahoma" w:cs="Tahoma"/>
          <w:sz w:val="20"/>
          <w:szCs w:val="20"/>
        </w:rPr>
        <w:t>Dans le cadre des Contrôles Officiels, l'Organisme d'inspection effectue des analyses chimiques et microbiologiques afin de s'assurer que les critères définis dans l’arrêté conjoint n° 2862 du 16 novembre 2006 relatif aux critères de qualité des eaux utilisées dans l'industrie de traitement des produits de la pêche et de l’aquaculture sont respectés. En fonction du risque, l'organisme de contrôle définira dans une procédure spécifique la fréquence.</w:t>
      </w:r>
    </w:p>
    <w:p w14:paraId="21C069D4" w14:textId="77777777" w:rsidR="00E34453" w:rsidRPr="005E1EA7" w:rsidRDefault="00E34453" w:rsidP="00E34453">
      <w:pPr>
        <w:spacing w:line="276" w:lineRule="auto"/>
        <w:jc w:val="both"/>
        <w:rPr>
          <w:rFonts w:ascii="Tahoma" w:hAnsi="Tahoma" w:cs="Tahoma"/>
          <w:b/>
          <w:bCs/>
          <w:sz w:val="20"/>
          <w:szCs w:val="20"/>
        </w:rPr>
      </w:pPr>
    </w:p>
    <w:p w14:paraId="6DA8B22B" w14:textId="77777777" w:rsidR="00E34453" w:rsidRPr="005E1EA7" w:rsidRDefault="00E34453" w:rsidP="00E34453">
      <w:pPr>
        <w:spacing w:line="276" w:lineRule="auto"/>
        <w:jc w:val="both"/>
        <w:rPr>
          <w:rFonts w:ascii="Tahoma" w:hAnsi="Tahoma" w:cs="Tahoma"/>
          <w:sz w:val="20"/>
          <w:szCs w:val="20"/>
        </w:rPr>
      </w:pPr>
      <w:r w:rsidRPr="005E1EA7">
        <w:rPr>
          <w:rFonts w:ascii="Tahoma" w:hAnsi="Tahoma" w:cs="Tahoma"/>
          <w:b/>
          <w:bCs/>
          <w:sz w:val="20"/>
          <w:szCs w:val="20"/>
          <w:u w:val="single"/>
        </w:rPr>
        <w:t>Article 16</w:t>
      </w:r>
      <w:r w:rsidRPr="005E1EA7">
        <w:rPr>
          <w:rFonts w:ascii="Tahoma" w:hAnsi="Tahoma" w:cs="Tahoma"/>
          <w:b/>
          <w:bCs/>
          <w:sz w:val="20"/>
          <w:szCs w:val="20"/>
        </w:rPr>
        <w:t xml:space="preserve"> : </w:t>
      </w:r>
      <w:r w:rsidRPr="005E1EA7">
        <w:rPr>
          <w:rFonts w:ascii="Tahoma" w:hAnsi="Tahoma" w:cs="Tahoma"/>
          <w:sz w:val="20"/>
          <w:szCs w:val="20"/>
        </w:rPr>
        <w:t xml:space="preserve">Sans préjudice des autres dispositions applicables en la matière, les infractions aux règles prescrites par le présent arrêté sont punies des sanctions prévues par les lois et règlements en vigueur, notamment la loi portant code d’hygiène et la loi portant code de l’Eau, et la loi portant code des Pêches. </w:t>
      </w:r>
    </w:p>
    <w:p w14:paraId="7BC818BF" w14:textId="77777777" w:rsidR="00E34453" w:rsidRPr="005E1EA7" w:rsidRDefault="00E34453" w:rsidP="00E34453">
      <w:pPr>
        <w:spacing w:line="276" w:lineRule="auto"/>
        <w:jc w:val="both"/>
        <w:rPr>
          <w:rFonts w:ascii="Tahoma" w:hAnsi="Tahoma" w:cs="Tahoma"/>
          <w:b/>
          <w:bCs/>
          <w:sz w:val="20"/>
          <w:szCs w:val="20"/>
        </w:rPr>
      </w:pPr>
    </w:p>
    <w:p w14:paraId="466A64A0" w14:textId="77777777" w:rsidR="00E34453" w:rsidRPr="005E1EA7" w:rsidRDefault="00E34453" w:rsidP="00E34453">
      <w:pPr>
        <w:spacing w:line="276" w:lineRule="auto"/>
        <w:jc w:val="both"/>
        <w:rPr>
          <w:rFonts w:ascii="Tahoma" w:hAnsi="Tahoma" w:cs="Tahoma"/>
          <w:sz w:val="20"/>
          <w:szCs w:val="20"/>
        </w:rPr>
      </w:pPr>
      <w:r w:rsidRPr="005E1EA7">
        <w:rPr>
          <w:rFonts w:ascii="Tahoma" w:hAnsi="Tahoma" w:cs="Tahoma"/>
          <w:b/>
          <w:bCs/>
          <w:sz w:val="20"/>
          <w:szCs w:val="20"/>
          <w:u w:val="single"/>
        </w:rPr>
        <w:t>Article 17</w:t>
      </w:r>
      <w:r w:rsidRPr="005E1EA7">
        <w:rPr>
          <w:rFonts w:ascii="Tahoma" w:hAnsi="Tahoma" w:cs="Tahoma"/>
          <w:b/>
          <w:bCs/>
          <w:sz w:val="20"/>
          <w:szCs w:val="20"/>
        </w:rPr>
        <w:t xml:space="preserve"> : </w:t>
      </w:r>
      <w:r w:rsidRPr="005E1EA7">
        <w:rPr>
          <w:rFonts w:ascii="Tahoma" w:hAnsi="Tahoma" w:cs="Tahoma"/>
          <w:sz w:val="20"/>
          <w:szCs w:val="20"/>
        </w:rPr>
        <w:t>Le Secrétaire Général du Ministère de la Pêche, des Infrastructures Maritimes et Portuaires, le Secrétaire Général du Ministère de la Santé, le Secrétaire Général du Ministère de l'Agriculture et de la Souveraineté Alimentaire, le Secrétaire Général du Ministère de l'Elevage et le Secrétaire Général du Ministère  du Commerce et du Tourisme sont chargés chacun en ce qui le concerne de l’exécution du présent arrêté qui sera publié au Journal Officiel de la République Islamique de Mauritanie.</w:t>
      </w:r>
    </w:p>
    <w:p w14:paraId="7AA33719" w14:textId="77777777" w:rsidR="00E34453" w:rsidRDefault="00E34453" w:rsidP="00E34453">
      <w:pPr>
        <w:spacing w:line="276" w:lineRule="auto"/>
        <w:jc w:val="right"/>
        <w:rPr>
          <w:rFonts w:ascii="Tahoma" w:hAnsi="Tahoma" w:cs="Tahoma"/>
          <w:i/>
          <w:iCs/>
          <w:sz w:val="20"/>
          <w:szCs w:val="20"/>
        </w:rPr>
      </w:pPr>
    </w:p>
    <w:p w14:paraId="6285A647" w14:textId="77777777" w:rsidR="00E34453" w:rsidRPr="001D02B9" w:rsidRDefault="00E34453" w:rsidP="00E34453">
      <w:pPr>
        <w:autoSpaceDE w:val="0"/>
        <w:autoSpaceDN w:val="0"/>
        <w:adjustRightInd w:val="0"/>
        <w:spacing w:before="120" w:after="120"/>
        <w:jc w:val="right"/>
        <w:rPr>
          <w:rFonts w:ascii="Tahoma" w:hAnsi="Tahoma" w:cs="Tahoma"/>
          <w:color w:val="000000" w:themeColor="text1"/>
          <w:sz w:val="20"/>
          <w:szCs w:val="20"/>
        </w:rPr>
      </w:pPr>
      <w:r w:rsidRPr="001D02B9">
        <w:rPr>
          <w:rFonts w:ascii="Tahoma" w:hAnsi="Tahoma" w:cs="Tahoma"/>
          <w:i/>
          <w:iCs/>
          <w:color w:val="000000" w:themeColor="text1"/>
          <w:sz w:val="20"/>
          <w:szCs w:val="20"/>
        </w:rPr>
        <w:t>Fait à Nouakchott, le 30 juin 2025</w:t>
      </w:r>
    </w:p>
    <w:p w14:paraId="3C48D6B9" w14:textId="77777777" w:rsidR="00E34453" w:rsidRPr="005E1EA7" w:rsidRDefault="00E34453" w:rsidP="00E34453">
      <w:pPr>
        <w:spacing w:line="276" w:lineRule="auto"/>
        <w:jc w:val="right"/>
        <w:rPr>
          <w:rFonts w:ascii="Tahoma" w:hAnsi="Tahoma" w:cs="Tahoma"/>
          <w:sz w:val="20"/>
          <w:szCs w:val="20"/>
        </w:rPr>
      </w:pPr>
    </w:p>
    <w:p w14:paraId="51624462" w14:textId="77777777" w:rsidR="00E34453" w:rsidRPr="005E1EA7" w:rsidRDefault="00E34453" w:rsidP="00E34453">
      <w:pPr>
        <w:spacing w:line="276" w:lineRule="auto"/>
        <w:jc w:val="both"/>
        <w:rPr>
          <w:rFonts w:ascii="Tahoma" w:hAnsi="Tahoma" w:cs="Tahoma"/>
          <w:sz w:val="20"/>
          <w:szCs w:val="20"/>
        </w:rPr>
      </w:pPr>
    </w:p>
    <w:tbl>
      <w:tblPr>
        <w:tblW w:w="9634" w:type="dxa"/>
        <w:tblLook w:val="04A0" w:firstRow="1" w:lastRow="0" w:firstColumn="1" w:lastColumn="0" w:noHBand="0" w:noVBand="1"/>
      </w:tblPr>
      <w:tblGrid>
        <w:gridCol w:w="5263"/>
        <w:gridCol w:w="4371"/>
      </w:tblGrid>
      <w:tr w:rsidR="00E34453" w:rsidRPr="005E1EA7" w14:paraId="4F4F4A97" w14:textId="77777777" w:rsidTr="00FF4A87">
        <w:trPr>
          <w:trHeight w:val="589"/>
        </w:trPr>
        <w:tc>
          <w:tcPr>
            <w:tcW w:w="5263" w:type="dxa"/>
            <w:shd w:val="clear" w:color="auto" w:fill="auto"/>
            <w:vAlign w:val="center"/>
          </w:tcPr>
          <w:p w14:paraId="41E640E3" w14:textId="77777777" w:rsidR="00E34453" w:rsidRPr="00DC565A" w:rsidRDefault="00E34453" w:rsidP="00FF4A87">
            <w:pPr>
              <w:pStyle w:val="Pieddepage"/>
              <w:tabs>
                <w:tab w:val="clear" w:pos="4536"/>
                <w:tab w:val="clear" w:pos="9072"/>
              </w:tabs>
              <w:spacing w:line="276" w:lineRule="auto"/>
              <w:jc w:val="center"/>
              <w:rPr>
                <w:rFonts w:ascii="Tahoma" w:hAnsi="Tahoma" w:cs="Tahoma"/>
                <w:caps/>
              </w:rPr>
            </w:pPr>
            <w:r w:rsidRPr="005E1EA7">
              <w:rPr>
                <w:rFonts w:ascii="Tahoma" w:hAnsi="Tahoma" w:cs="Tahoma"/>
              </w:rPr>
              <w:t>Le Ministre de la Pêche, des Infrastructures Maritimes Et Portuaires</w:t>
            </w:r>
          </w:p>
          <w:p w14:paraId="395423C6" w14:textId="77777777" w:rsidR="00E34453" w:rsidRPr="005E1EA7" w:rsidRDefault="00E34453" w:rsidP="00FF4A87">
            <w:pPr>
              <w:spacing w:line="276" w:lineRule="auto"/>
              <w:ind w:left="360" w:hanging="360"/>
              <w:jc w:val="center"/>
              <w:rPr>
                <w:rFonts w:ascii="Tahoma" w:hAnsi="Tahoma" w:cs="Tahoma"/>
                <w:b/>
                <w:bCs/>
                <w:sz w:val="20"/>
                <w:szCs w:val="20"/>
                <w:lang w:val="en-US"/>
              </w:rPr>
            </w:pPr>
            <w:r w:rsidRPr="005E1EA7">
              <w:rPr>
                <w:rFonts w:ascii="Tahoma" w:hAnsi="Tahoma" w:cs="Tahoma"/>
                <w:b/>
                <w:bCs/>
                <w:sz w:val="20"/>
                <w:szCs w:val="20"/>
                <w:lang w:val="en-US"/>
              </w:rPr>
              <w:t>El Vadil Ould Sidaty Ould AHMED LOULY</w:t>
            </w:r>
          </w:p>
          <w:p w14:paraId="6BED3E91" w14:textId="77777777" w:rsidR="00E34453" w:rsidRPr="005E1EA7" w:rsidRDefault="00E34453" w:rsidP="00FF4A87">
            <w:pPr>
              <w:spacing w:line="276" w:lineRule="auto"/>
              <w:ind w:left="360" w:hanging="360"/>
              <w:jc w:val="center"/>
              <w:rPr>
                <w:rFonts w:ascii="Tahoma" w:hAnsi="Tahoma" w:cs="Tahoma"/>
                <w:b/>
                <w:bCs/>
                <w:sz w:val="20"/>
                <w:szCs w:val="20"/>
                <w:lang w:val="en-US"/>
              </w:rPr>
            </w:pPr>
          </w:p>
          <w:p w14:paraId="07862023" w14:textId="77777777" w:rsidR="00E34453" w:rsidRDefault="00E34453" w:rsidP="00FF4A87">
            <w:pPr>
              <w:pStyle w:val="Pieddepage"/>
              <w:tabs>
                <w:tab w:val="clear" w:pos="4536"/>
                <w:tab w:val="clear" w:pos="9072"/>
              </w:tabs>
              <w:spacing w:line="276" w:lineRule="auto"/>
              <w:jc w:val="center"/>
              <w:rPr>
                <w:rFonts w:ascii="Tahoma" w:hAnsi="Tahoma" w:cs="Tahoma"/>
                <w:b/>
                <w:bCs/>
                <w:lang w:val="en-US"/>
              </w:rPr>
            </w:pPr>
          </w:p>
          <w:p w14:paraId="3F8BA1ED" w14:textId="77777777" w:rsidR="00E34453" w:rsidRDefault="00E34453" w:rsidP="00FF4A87">
            <w:pPr>
              <w:pStyle w:val="Pieddepage"/>
              <w:tabs>
                <w:tab w:val="clear" w:pos="4536"/>
                <w:tab w:val="clear" w:pos="9072"/>
              </w:tabs>
              <w:spacing w:line="276" w:lineRule="auto"/>
              <w:jc w:val="center"/>
              <w:rPr>
                <w:rFonts w:ascii="Tahoma" w:hAnsi="Tahoma" w:cs="Tahoma"/>
                <w:b/>
                <w:bCs/>
                <w:lang w:val="en-US"/>
              </w:rPr>
            </w:pPr>
          </w:p>
          <w:p w14:paraId="6ACFD850" w14:textId="77777777" w:rsidR="00E34453" w:rsidRPr="005E1EA7" w:rsidRDefault="00E34453" w:rsidP="00FF4A87">
            <w:pPr>
              <w:pStyle w:val="Pieddepage"/>
              <w:tabs>
                <w:tab w:val="clear" w:pos="4536"/>
                <w:tab w:val="clear" w:pos="9072"/>
              </w:tabs>
              <w:spacing w:line="276" w:lineRule="auto"/>
              <w:jc w:val="center"/>
              <w:rPr>
                <w:rFonts w:ascii="Tahoma" w:hAnsi="Tahoma" w:cs="Tahoma"/>
                <w:b/>
                <w:bCs/>
                <w:lang w:val="en-US"/>
              </w:rPr>
            </w:pPr>
          </w:p>
        </w:tc>
        <w:tc>
          <w:tcPr>
            <w:tcW w:w="4371" w:type="dxa"/>
            <w:shd w:val="clear" w:color="auto" w:fill="auto"/>
            <w:vAlign w:val="center"/>
          </w:tcPr>
          <w:p w14:paraId="42AA5F63" w14:textId="77777777" w:rsidR="00E34453" w:rsidRPr="005E1EA7" w:rsidRDefault="00E34453" w:rsidP="00FF4A87">
            <w:pPr>
              <w:pStyle w:val="Pieddepage"/>
              <w:tabs>
                <w:tab w:val="clear" w:pos="4536"/>
                <w:tab w:val="clear" w:pos="9072"/>
              </w:tabs>
              <w:spacing w:line="276" w:lineRule="auto"/>
              <w:jc w:val="center"/>
              <w:rPr>
                <w:rFonts w:ascii="Tahoma" w:hAnsi="Tahoma" w:cs="Tahoma"/>
              </w:rPr>
            </w:pPr>
            <w:r w:rsidRPr="005E1EA7">
              <w:rPr>
                <w:rFonts w:ascii="Tahoma" w:hAnsi="Tahoma" w:cs="Tahoma"/>
              </w:rPr>
              <w:t>Le Ministre de la Sante</w:t>
            </w:r>
          </w:p>
          <w:p w14:paraId="1D1A2937" w14:textId="77777777" w:rsidR="00E34453" w:rsidRPr="005E1EA7" w:rsidRDefault="00E34453" w:rsidP="00FF4A87">
            <w:pPr>
              <w:spacing w:line="276" w:lineRule="auto"/>
              <w:rPr>
                <w:rFonts w:ascii="Tahoma" w:hAnsi="Tahoma" w:cs="Tahoma"/>
                <w:b/>
                <w:bCs/>
                <w:sz w:val="20"/>
                <w:szCs w:val="20"/>
              </w:rPr>
            </w:pPr>
          </w:p>
          <w:p w14:paraId="0FABEB11" w14:textId="77777777" w:rsidR="00E34453" w:rsidRPr="005E1EA7" w:rsidRDefault="00E34453" w:rsidP="00FF4A87">
            <w:pPr>
              <w:spacing w:line="276" w:lineRule="auto"/>
              <w:ind w:left="360" w:hanging="360"/>
              <w:jc w:val="center"/>
              <w:rPr>
                <w:rFonts w:ascii="Tahoma" w:hAnsi="Tahoma" w:cs="Tahoma"/>
                <w:b/>
                <w:bCs/>
                <w:sz w:val="20"/>
                <w:szCs w:val="20"/>
              </w:rPr>
            </w:pPr>
            <w:r w:rsidRPr="005E1EA7">
              <w:rPr>
                <w:rFonts w:ascii="Tahoma" w:hAnsi="Tahoma" w:cs="Tahoma"/>
                <w:b/>
                <w:bCs/>
                <w:sz w:val="20"/>
                <w:szCs w:val="20"/>
              </w:rPr>
              <w:t>Abdallahi Ould WEDIH</w:t>
            </w:r>
          </w:p>
          <w:p w14:paraId="5165949C" w14:textId="77777777" w:rsidR="00E34453" w:rsidRDefault="00E34453" w:rsidP="00FF4A87">
            <w:pPr>
              <w:spacing w:line="276" w:lineRule="auto"/>
              <w:ind w:left="360" w:hanging="360"/>
              <w:jc w:val="center"/>
              <w:rPr>
                <w:rFonts w:ascii="Tahoma" w:hAnsi="Tahoma" w:cs="Tahoma"/>
                <w:b/>
                <w:bCs/>
                <w:sz w:val="20"/>
                <w:szCs w:val="20"/>
              </w:rPr>
            </w:pPr>
          </w:p>
          <w:p w14:paraId="41030FAB" w14:textId="77777777" w:rsidR="00E34453" w:rsidRDefault="00E34453" w:rsidP="00FF4A87">
            <w:pPr>
              <w:spacing w:line="276" w:lineRule="auto"/>
              <w:ind w:left="360" w:hanging="360"/>
              <w:jc w:val="center"/>
              <w:rPr>
                <w:rFonts w:ascii="Tahoma" w:hAnsi="Tahoma" w:cs="Tahoma"/>
                <w:b/>
                <w:bCs/>
                <w:sz w:val="20"/>
                <w:szCs w:val="20"/>
              </w:rPr>
            </w:pPr>
          </w:p>
          <w:p w14:paraId="2D7CFBA6" w14:textId="77777777" w:rsidR="00E34453" w:rsidRPr="005E1EA7" w:rsidRDefault="00E34453" w:rsidP="00FF4A87">
            <w:pPr>
              <w:spacing w:line="276" w:lineRule="auto"/>
              <w:ind w:left="360" w:hanging="360"/>
              <w:jc w:val="center"/>
              <w:rPr>
                <w:rFonts w:ascii="Tahoma" w:hAnsi="Tahoma" w:cs="Tahoma"/>
                <w:b/>
                <w:bCs/>
                <w:sz w:val="20"/>
                <w:szCs w:val="20"/>
              </w:rPr>
            </w:pPr>
          </w:p>
          <w:p w14:paraId="2ECED1B1" w14:textId="77777777" w:rsidR="00E34453" w:rsidRPr="005E1EA7" w:rsidRDefault="00E34453" w:rsidP="00FF4A87">
            <w:pPr>
              <w:spacing w:line="276" w:lineRule="auto"/>
              <w:ind w:left="360" w:hanging="360"/>
              <w:jc w:val="center"/>
              <w:rPr>
                <w:rFonts w:ascii="Tahoma" w:hAnsi="Tahoma" w:cs="Tahoma"/>
                <w:b/>
                <w:bCs/>
                <w:sz w:val="20"/>
                <w:szCs w:val="20"/>
              </w:rPr>
            </w:pPr>
          </w:p>
        </w:tc>
      </w:tr>
      <w:tr w:rsidR="00E34453" w:rsidRPr="005E1EA7" w14:paraId="1013F024" w14:textId="77777777" w:rsidTr="00FF4A87">
        <w:trPr>
          <w:trHeight w:val="555"/>
        </w:trPr>
        <w:tc>
          <w:tcPr>
            <w:tcW w:w="5263" w:type="dxa"/>
            <w:shd w:val="clear" w:color="auto" w:fill="auto"/>
            <w:vAlign w:val="center"/>
          </w:tcPr>
          <w:p w14:paraId="2FED7426" w14:textId="77777777" w:rsidR="00E34453" w:rsidRPr="00DC565A" w:rsidRDefault="00E34453" w:rsidP="00FF4A87">
            <w:pPr>
              <w:pStyle w:val="Pieddepage"/>
              <w:tabs>
                <w:tab w:val="clear" w:pos="4536"/>
                <w:tab w:val="clear" w:pos="9072"/>
              </w:tabs>
              <w:spacing w:line="276" w:lineRule="auto"/>
              <w:jc w:val="center"/>
              <w:rPr>
                <w:rFonts w:ascii="Tahoma" w:hAnsi="Tahoma" w:cs="Tahoma"/>
              </w:rPr>
            </w:pPr>
            <w:r w:rsidRPr="005E1EA7">
              <w:rPr>
                <w:rFonts w:ascii="Tahoma" w:hAnsi="Tahoma" w:cs="Tahoma"/>
              </w:rPr>
              <w:t>La Ministre du Commerce et du Tourisme</w:t>
            </w:r>
          </w:p>
          <w:p w14:paraId="438DA1DB" w14:textId="77777777" w:rsidR="00E34453" w:rsidRPr="005E1EA7" w:rsidRDefault="00E34453" w:rsidP="00FF4A87">
            <w:pPr>
              <w:spacing w:line="276" w:lineRule="auto"/>
              <w:ind w:left="360" w:hanging="360"/>
              <w:jc w:val="center"/>
              <w:rPr>
                <w:rFonts w:ascii="Tahoma" w:hAnsi="Tahoma" w:cs="Tahoma"/>
                <w:b/>
                <w:bCs/>
                <w:sz w:val="20"/>
                <w:szCs w:val="20"/>
              </w:rPr>
            </w:pPr>
            <w:r w:rsidRPr="005E1EA7">
              <w:rPr>
                <w:rFonts w:ascii="Tahoma" w:hAnsi="Tahoma" w:cs="Tahoma"/>
                <w:b/>
                <w:bCs/>
                <w:sz w:val="20"/>
                <w:szCs w:val="20"/>
              </w:rPr>
              <w:t>Zeinebou Mint AHMEDNAH</w:t>
            </w:r>
          </w:p>
          <w:p w14:paraId="2B873669" w14:textId="77777777" w:rsidR="00E34453" w:rsidRPr="005E1EA7" w:rsidRDefault="00E34453" w:rsidP="00FF4A87">
            <w:pPr>
              <w:spacing w:line="276" w:lineRule="auto"/>
              <w:ind w:left="360" w:hanging="360"/>
              <w:jc w:val="center"/>
              <w:rPr>
                <w:rFonts w:ascii="Tahoma" w:hAnsi="Tahoma" w:cs="Tahoma"/>
                <w:b/>
                <w:bCs/>
                <w:sz w:val="20"/>
                <w:szCs w:val="20"/>
              </w:rPr>
            </w:pPr>
          </w:p>
          <w:p w14:paraId="7D3F2A8A" w14:textId="77777777" w:rsidR="00E34453" w:rsidRDefault="00E34453" w:rsidP="00FF4A87">
            <w:pPr>
              <w:spacing w:line="276" w:lineRule="auto"/>
              <w:ind w:left="360" w:hanging="360"/>
              <w:jc w:val="center"/>
              <w:rPr>
                <w:rFonts w:ascii="Tahoma" w:hAnsi="Tahoma" w:cs="Tahoma"/>
                <w:b/>
                <w:bCs/>
                <w:sz w:val="20"/>
                <w:szCs w:val="20"/>
              </w:rPr>
            </w:pPr>
          </w:p>
          <w:p w14:paraId="7B4FEC83" w14:textId="77777777" w:rsidR="00E34453" w:rsidRPr="005E1EA7" w:rsidRDefault="00E34453" w:rsidP="00FF4A87">
            <w:pPr>
              <w:spacing w:line="276" w:lineRule="auto"/>
              <w:ind w:left="360" w:hanging="360"/>
              <w:jc w:val="center"/>
              <w:rPr>
                <w:rFonts w:ascii="Tahoma" w:hAnsi="Tahoma" w:cs="Tahoma"/>
                <w:b/>
                <w:bCs/>
                <w:sz w:val="20"/>
                <w:szCs w:val="20"/>
              </w:rPr>
            </w:pPr>
          </w:p>
        </w:tc>
        <w:tc>
          <w:tcPr>
            <w:tcW w:w="4371" w:type="dxa"/>
            <w:shd w:val="clear" w:color="auto" w:fill="auto"/>
            <w:vAlign w:val="center"/>
          </w:tcPr>
          <w:p w14:paraId="44314B82" w14:textId="77777777" w:rsidR="00E34453" w:rsidRPr="00DC565A" w:rsidRDefault="00E34453" w:rsidP="00FF4A87">
            <w:pPr>
              <w:pStyle w:val="Pieddepage"/>
              <w:tabs>
                <w:tab w:val="clear" w:pos="4536"/>
                <w:tab w:val="clear" w:pos="9072"/>
              </w:tabs>
              <w:spacing w:line="276" w:lineRule="auto"/>
              <w:jc w:val="center"/>
              <w:rPr>
                <w:rFonts w:ascii="Tahoma" w:hAnsi="Tahoma" w:cs="Tahoma"/>
              </w:rPr>
            </w:pPr>
            <w:r w:rsidRPr="005E1EA7">
              <w:rPr>
                <w:rFonts w:ascii="Tahoma" w:hAnsi="Tahoma" w:cs="Tahoma"/>
              </w:rPr>
              <w:t>Le Ministre de l'Elevage</w:t>
            </w:r>
          </w:p>
          <w:p w14:paraId="322AA60D" w14:textId="77777777" w:rsidR="00E34453" w:rsidRPr="005E1EA7" w:rsidRDefault="00E34453" w:rsidP="00FF4A87">
            <w:pPr>
              <w:spacing w:line="276" w:lineRule="auto"/>
              <w:ind w:left="360" w:hanging="360"/>
              <w:jc w:val="center"/>
              <w:rPr>
                <w:rFonts w:ascii="Tahoma" w:hAnsi="Tahoma" w:cs="Tahoma"/>
                <w:b/>
                <w:bCs/>
                <w:sz w:val="20"/>
                <w:szCs w:val="20"/>
              </w:rPr>
            </w:pPr>
            <w:r w:rsidRPr="005E1EA7">
              <w:rPr>
                <w:rFonts w:ascii="Tahoma" w:hAnsi="Tahoma" w:cs="Tahoma"/>
                <w:b/>
                <w:bCs/>
                <w:sz w:val="20"/>
                <w:szCs w:val="20"/>
              </w:rPr>
              <w:t>Moctar Ould GAGUIH</w:t>
            </w:r>
          </w:p>
          <w:p w14:paraId="293102D0" w14:textId="77777777" w:rsidR="00E34453" w:rsidRPr="005E1EA7" w:rsidRDefault="00E34453" w:rsidP="00FF4A87">
            <w:pPr>
              <w:spacing w:line="276" w:lineRule="auto"/>
              <w:ind w:left="360" w:hanging="360"/>
              <w:jc w:val="center"/>
              <w:rPr>
                <w:rFonts w:ascii="Tahoma" w:hAnsi="Tahoma" w:cs="Tahoma"/>
                <w:b/>
                <w:bCs/>
                <w:sz w:val="20"/>
                <w:szCs w:val="20"/>
              </w:rPr>
            </w:pPr>
          </w:p>
          <w:p w14:paraId="5845A0FB" w14:textId="77777777" w:rsidR="00E34453" w:rsidRDefault="00E34453" w:rsidP="00FF4A87">
            <w:pPr>
              <w:spacing w:line="276" w:lineRule="auto"/>
              <w:ind w:left="360" w:hanging="360"/>
              <w:jc w:val="center"/>
              <w:rPr>
                <w:rFonts w:ascii="Tahoma" w:hAnsi="Tahoma" w:cs="Tahoma"/>
                <w:b/>
                <w:bCs/>
                <w:sz w:val="20"/>
                <w:szCs w:val="20"/>
              </w:rPr>
            </w:pPr>
          </w:p>
          <w:p w14:paraId="023D989A" w14:textId="77777777" w:rsidR="00E34453" w:rsidRPr="005E1EA7" w:rsidRDefault="00E34453" w:rsidP="00FF4A87">
            <w:pPr>
              <w:spacing w:line="276" w:lineRule="auto"/>
              <w:ind w:left="360" w:hanging="360"/>
              <w:jc w:val="center"/>
              <w:rPr>
                <w:rFonts w:ascii="Tahoma" w:hAnsi="Tahoma" w:cs="Tahoma"/>
                <w:b/>
                <w:bCs/>
                <w:sz w:val="20"/>
                <w:szCs w:val="20"/>
              </w:rPr>
            </w:pPr>
          </w:p>
        </w:tc>
      </w:tr>
    </w:tbl>
    <w:p w14:paraId="67F03E4A" w14:textId="3A137AB8" w:rsidR="00E34453" w:rsidRDefault="00E34453" w:rsidP="00E34453"/>
    <w:p w14:paraId="1857B997" w14:textId="77777777" w:rsidR="00E34453" w:rsidRDefault="00E34453">
      <w:r>
        <w:br w:type="page"/>
      </w:r>
    </w:p>
    <w:p w14:paraId="64B2CA9B" w14:textId="77777777" w:rsidR="00E34453" w:rsidRDefault="00E34453" w:rsidP="00E34453"/>
    <w:p w14:paraId="78779A09" w14:textId="77777777" w:rsidR="00E34453" w:rsidRPr="001D02B9" w:rsidRDefault="00E34453" w:rsidP="00E34453">
      <w:pPr>
        <w:pStyle w:val="Titre1"/>
        <w:pBdr>
          <w:top w:val="thinThickMediumGap" w:sz="24" w:space="1" w:color="70AD47" w:themeColor="accent6"/>
          <w:left w:val="thinThickMediumGap" w:sz="24" w:space="4" w:color="70AD47" w:themeColor="accent6"/>
          <w:bottom w:val="thickThinMediumGap" w:sz="24" w:space="1" w:color="70AD47" w:themeColor="accent6"/>
          <w:right w:val="thickThinMediumGap" w:sz="24" w:space="4" w:color="70AD47" w:themeColor="accent6"/>
        </w:pBdr>
        <w:jc w:val="both"/>
        <w:rPr>
          <w:rFonts w:ascii="Tahoma" w:hAnsi="Tahoma" w:cs="Tahoma"/>
          <w:color w:val="000000" w:themeColor="text1"/>
          <w:szCs w:val="22"/>
        </w:rPr>
      </w:pPr>
      <w:bookmarkStart w:id="214" w:name="_Toc202214699"/>
      <w:r w:rsidRPr="001D02B9">
        <w:rPr>
          <w:rFonts w:ascii="Tahoma" w:hAnsi="Tahoma" w:cs="Tahoma"/>
          <w:color w:val="000000" w:themeColor="text1"/>
          <w:szCs w:val="22"/>
        </w:rPr>
        <w:t>Arrêté conjoint n°000737 du 3</w:t>
      </w:r>
      <w:r>
        <w:rPr>
          <w:rFonts w:ascii="Tahoma" w:hAnsi="Tahoma" w:cs="Tahoma"/>
          <w:color w:val="000000" w:themeColor="text1"/>
          <w:szCs w:val="22"/>
        </w:rPr>
        <w:t>0</w:t>
      </w:r>
      <w:r w:rsidRPr="001D02B9">
        <w:rPr>
          <w:rFonts w:ascii="Tahoma" w:hAnsi="Tahoma" w:cs="Tahoma"/>
          <w:color w:val="000000" w:themeColor="text1"/>
          <w:szCs w:val="22"/>
        </w:rPr>
        <w:t xml:space="preserve"> juin 2025 relatif aux contrôles officiels applicables aux produits de la pêche</w:t>
      </w:r>
      <w:bookmarkEnd w:id="214"/>
    </w:p>
    <w:p w14:paraId="1F5D56B7" w14:textId="77777777" w:rsidR="00E34453" w:rsidRPr="005E1EA7" w:rsidRDefault="00E34453" w:rsidP="00E34453">
      <w:pPr>
        <w:autoSpaceDE w:val="0"/>
        <w:autoSpaceDN w:val="0"/>
        <w:adjustRightInd w:val="0"/>
        <w:jc w:val="center"/>
        <w:rPr>
          <w:rFonts w:ascii="Tahoma" w:hAnsi="Tahoma" w:cs="Tahoma"/>
          <w:b/>
          <w:bCs/>
          <w:sz w:val="20"/>
          <w:szCs w:val="20"/>
        </w:rPr>
      </w:pPr>
    </w:p>
    <w:p w14:paraId="5AD45F4E" w14:textId="77777777" w:rsidR="00E34453" w:rsidRPr="005E1EA7" w:rsidRDefault="00E34453" w:rsidP="00E34453">
      <w:pPr>
        <w:jc w:val="center"/>
        <w:rPr>
          <w:rFonts w:ascii="Tahoma" w:hAnsi="Tahoma" w:cs="Tahoma"/>
          <w:b/>
          <w:bCs/>
          <w:sz w:val="20"/>
          <w:szCs w:val="20"/>
        </w:rPr>
      </w:pPr>
      <w:r w:rsidRPr="005E1EA7">
        <w:rPr>
          <w:rFonts w:ascii="Tahoma" w:hAnsi="Tahoma" w:cs="Tahoma"/>
          <w:b/>
          <w:bCs/>
          <w:sz w:val="20"/>
          <w:szCs w:val="20"/>
        </w:rPr>
        <w:t>TITRE I - OBJET, CHAMP D’APPLICATION ET DEFINITIONS</w:t>
      </w:r>
    </w:p>
    <w:p w14:paraId="20590F5A" w14:textId="77777777" w:rsidR="00E34453" w:rsidRPr="005E1EA7" w:rsidRDefault="00E34453" w:rsidP="00E34453">
      <w:pPr>
        <w:autoSpaceDE w:val="0"/>
        <w:autoSpaceDN w:val="0"/>
        <w:adjustRightInd w:val="0"/>
        <w:jc w:val="both"/>
        <w:rPr>
          <w:rFonts w:ascii="Tahoma" w:hAnsi="Tahoma" w:cs="Tahoma"/>
          <w:sz w:val="20"/>
          <w:szCs w:val="20"/>
        </w:rPr>
      </w:pPr>
    </w:p>
    <w:p w14:paraId="13AEA546" w14:textId="77777777" w:rsidR="00E34453" w:rsidRPr="005E1EA7" w:rsidRDefault="00E34453" w:rsidP="00E34453">
      <w:pPr>
        <w:autoSpaceDE w:val="0"/>
        <w:autoSpaceDN w:val="0"/>
        <w:adjustRightInd w:val="0"/>
        <w:jc w:val="both"/>
        <w:rPr>
          <w:rFonts w:ascii="Tahoma" w:hAnsi="Tahoma" w:cs="Tahoma"/>
          <w:bCs/>
          <w:sz w:val="20"/>
          <w:szCs w:val="20"/>
        </w:rPr>
      </w:pPr>
      <w:r w:rsidRPr="005E1EA7">
        <w:rPr>
          <w:rFonts w:ascii="Tahoma" w:hAnsi="Tahoma" w:cs="Tahoma"/>
          <w:b/>
          <w:sz w:val="20"/>
          <w:szCs w:val="20"/>
          <w:u w:val="single"/>
        </w:rPr>
        <w:t>Article Premier</w:t>
      </w:r>
      <w:r w:rsidRPr="005E1EA7">
        <w:rPr>
          <w:rFonts w:ascii="Tahoma" w:hAnsi="Tahoma" w:cs="Tahoma"/>
          <w:bCs/>
          <w:sz w:val="20"/>
          <w:szCs w:val="20"/>
        </w:rPr>
        <w:t xml:space="preserve"> - Objet et champ d’application</w:t>
      </w:r>
    </w:p>
    <w:p w14:paraId="2E071D09" w14:textId="77777777" w:rsidR="00E34453" w:rsidRPr="005E1EA7" w:rsidRDefault="00E34453" w:rsidP="00E34453">
      <w:pPr>
        <w:autoSpaceDE w:val="0"/>
        <w:autoSpaceDN w:val="0"/>
        <w:adjustRightInd w:val="0"/>
        <w:jc w:val="both"/>
        <w:rPr>
          <w:rFonts w:ascii="Tahoma" w:hAnsi="Tahoma" w:cs="Tahoma"/>
          <w:bCs/>
          <w:sz w:val="20"/>
          <w:szCs w:val="20"/>
        </w:rPr>
      </w:pPr>
    </w:p>
    <w:p w14:paraId="61F1BB5C" w14:textId="77777777" w:rsidR="00E34453" w:rsidRPr="005E1EA7" w:rsidRDefault="00E34453" w:rsidP="00E34453">
      <w:pPr>
        <w:jc w:val="both"/>
        <w:rPr>
          <w:rFonts w:ascii="Tahoma" w:hAnsi="Tahoma" w:cs="Tahoma"/>
          <w:bCs/>
          <w:sz w:val="20"/>
          <w:szCs w:val="20"/>
        </w:rPr>
      </w:pPr>
      <w:r w:rsidRPr="005E1EA7">
        <w:rPr>
          <w:rFonts w:ascii="Tahoma" w:hAnsi="Tahoma" w:cs="Tahoma"/>
          <w:bCs/>
          <w:sz w:val="20"/>
          <w:szCs w:val="20"/>
        </w:rPr>
        <w:t xml:space="preserve">En application de l’article 4 du décret n° 94.030 du 8 mars 1994 relatif aux normes d’hygiène et de salubrité et aux conditions d’inspection sanitaire et de contrôle régissant la production et la mise sur le marché des produits de la pêche, le présent arrêté a pour objet de définir les règles générales régissant les contrôles officiels applicables aux produits de la pêche au sens de la définition donnée dans l'article 2 du présent arrêté. </w:t>
      </w:r>
    </w:p>
    <w:p w14:paraId="11AD9124" w14:textId="77777777" w:rsidR="00E34453" w:rsidRPr="005E1EA7" w:rsidRDefault="00E34453" w:rsidP="00E34453">
      <w:pPr>
        <w:jc w:val="both"/>
        <w:rPr>
          <w:rFonts w:ascii="Tahoma" w:hAnsi="Tahoma" w:cs="Tahoma"/>
          <w:bCs/>
          <w:sz w:val="20"/>
          <w:szCs w:val="20"/>
        </w:rPr>
      </w:pPr>
      <w:r w:rsidRPr="005E1EA7">
        <w:rPr>
          <w:rFonts w:ascii="Tahoma" w:hAnsi="Tahoma" w:cs="Tahoma"/>
          <w:bCs/>
          <w:sz w:val="20"/>
          <w:szCs w:val="20"/>
        </w:rPr>
        <w:t>Le présent arrêté s’applique aux contrôles officiels effectués pour vérifier le respect des règles relatives à la sécurité sanitaire des produits de la pêche, leur intégrité et leur salubrité à tout stade de la production, de la transformation et de la distribution, y compris les règles visant à garantir des pratiques commerciales loyales et la protection et l’information des consommateurs.</w:t>
      </w:r>
    </w:p>
    <w:p w14:paraId="4AA5C7F4" w14:textId="77777777" w:rsidR="00E34453" w:rsidRPr="005E1EA7" w:rsidRDefault="00E34453" w:rsidP="00E34453">
      <w:pPr>
        <w:autoSpaceDE w:val="0"/>
        <w:autoSpaceDN w:val="0"/>
        <w:adjustRightInd w:val="0"/>
        <w:jc w:val="both"/>
        <w:rPr>
          <w:rFonts w:ascii="Tahoma" w:hAnsi="Tahoma" w:cs="Tahoma"/>
          <w:bCs/>
          <w:sz w:val="20"/>
          <w:szCs w:val="20"/>
        </w:rPr>
      </w:pPr>
    </w:p>
    <w:p w14:paraId="54F4A61E" w14:textId="77777777" w:rsidR="00E34453" w:rsidRPr="005E1EA7" w:rsidRDefault="00E34453" w:rsidP="00E34453">
      <w:pPr>
        <w:autoSpaceDE w:val="0"/>
        <w:autoSpaceDN w:val="0"/>
        <w:adjustRightInd w:val="0"/>
        <w:jc w:val="both"/>
        <w:rPr>
          <w:rFonts w:ascii="Tahoma" w:hAnsi="Tahoma" w:cs="Tahoma"/>
          <w:bCs/>
          <w:sz w:val="20"/>
          <w:szCs w:val="20"/>
        </w:rPr>
      </w:pPr>
      <w:r w:rsidRPr="005E1EA7">
        <w:rPr>
          <w:rFonts w:ascii="Tahoma" w:hAnsi="Tahoma" w:cs="Tahoma"/>
          <w:b/>
          <w:sz w:val="20"/>
          <w:szCs w:val="20"/>
          <w:u w:val="single"/>
        </w:rPr>
        <w:t>Article 2</w:t>
      </w:r>
      <w:r w:rsidRPr="005E1EA7">
        <w:rPr>
          <w:rFonts w:ascii="Tahoma" w:hAnsi="Tahoma" w:cs="Tahoma"/>
          <w:b/>
          <w:sz w:val="20"/>
          <w:szCs w:val="20"/>
        </w:rPr>
        <w:t xml:space="preserve"> -</w:t>
      </w:r>
      <w:r w:rsidRPr="005E1EA7">
        <w:rPr>
          <w:rFonts w:ascii="Tahoma" w:hAnsi="Tahoma" w:cs="Tahoma"/>
          <w:bCs/>
          <w:sz w:val="20"/>
          <w:szCs w:val="20"/>
        </w:rPr>
        <w:t xml:space="preserve"> Définitions</w:t>
      </w:r>
    </w:p>
    <w:p w14:paraId="4895BBDE" w14:textId="77777777" w:rsidR="00E34453" w:rsidRPr="005E1EA7" w:rsidRDefault="00E34453" w:rsidP="00E34453">
      <w:pPr>
        <w:autoSpaceDE w:val="0"/>
        <w:autoSpaceDN w:val="0"/>
        <w:adjustRightInd w:val="0"/>
        <w:jc w:val="both"/>
        <w:rPr>
          <w:rFonts w:ascii="Tahoma" w:hAnsi="Tahoma" w:cs="Tahoma"/>
          <w:sz w:val="20"/>
          <w:szCs w:val="20"/>
        </w:rPr>
      </w:pPr>
    </w:p>
    <w:p w14:paraId="33550DDD" w14:textId="77777777" w:rsidR="00E34453" w:rsidRPr="005E1EA7" w:rsidRDefault="00E34453" w:rsidP="00E34453">
      <w:pPr>
        <w:autoSpaceDE w:val="0"/>
        <w:autoSpaceDN w:val="0"/>
        <w:adjustRightInd w:val="0"/>
        <w:jc w:val="both"/>
        <w:rPr>
          <w:rFonts w:ascii="Tahoma" w:hAnsi="Tahoma" w:cs="Tahoma"/>
          <w:sz w:val="20"/>
          <w:szCs w:val="20"/>
        </w:rPr>
      </w:pPr>
      <w:r w:rsidRPr="005E1EA7">
        <w:rPr>
          <w:rFonts w:ascii="Tahoma" w:hAnsi="Tahoma" w:cs="Tahoma"/>
          <w:sz w:val="20"/>
          <w:szCs w:val="20"/>
        </w:rPr>
        <w:t>On entend par :</w:t>
      </w:r>
    </w:p>
    <w:p w14:paraId="6101A56F" w14:textId="77777777" w:rsidR="00E34453" w:rsidRPr="005E1EA7" w:rsidRDefault="00E34453" w:rsidP="00E34453">
      <w:pPr>
        <w:autoSpaceDE w:val="0"/>
        <w:autoSpaceDN w:val="0"/>
        <w:adjustRightInd w:val="0"/>
        <w:jc w:val="both"/>
        <w:rPr>
          <w:rFonts w:ascii="Tahoma" w:hAnsi="Tahoma" w:cs="Tahoma"/>
          <w:sz w:val="20"/>
          <w:szCs w:val="20"/>
        </w:rPr>
      </w:pPr>
    </w:p>
    <w:p w14:paraId="17347E79"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r w:rsidRPr="005E1EA7">
        <w:rPr>
          <w:rFonts w:ascii="Tahoma" w:hAnsi="Tahoma" w:cs="Tahoma"/>
          <w:sz w:val="20"/>
          <w:szCs w:val="20"/>
        </w:rPr>
        <w:t xml:space="preserve">1) « produits de la pêche » : </w:t>
      </w:r>
      <w:r w:rsidRPr="005E1EA7">
        <w:rPr>
          <w:rFonts w:ascii="Tahoma" w:eastAsia="EUAlbertina-Regular-Identity-H" w:hAnsi="Tahoma" w:cs="Tahoma"/>
          <w:sz w:val="20"/>
          <w:szCs w:val="20"/>
        </w:rPr>
        <w:t xml:space="preserve">tous les animaux marins ou fluviaux (à l’exception de tous les mammifères marins), sauvages ou d’élevage, y compris les mollusques bivalves, ainsi que toutes les formes et parties comestibles de ces animaux. </w:t>
      </w:r>
    </w:p>
    <w:p w14:paraId="53E4B80E"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0875D199" w14:textId="77777777" w:rsidR="00E34453" w:rsidRPr="005E1EA7" w:rsidRDefault="00E34453" w:rsidP="00E34453">
      <w:pPr>
        <w:autoSpaceDE w:val="0"/>
        <w:autoSpaceDN w:val="0"/>
        <w:adjustRightInd w:val="0"/>
        <w:jc w:val="both"/>
        <w:rPr>
          <w:rFonts w:ascii="Tahoma" w:hAnsi="Tahoma" w:cs="Tahoma"/>
          <w:sz w:val="20"/>
          <w:szCs w:val="20"/>
        </w:rPr>
      </w:pPr>
      <w:r w:rsidRPr="005E1EA7">
        <w:rPr>
          <w:rFonts w:ascii="Tahoma" w:hAnsi="Tahoma" w:cs="Tahoma"/>
          <w:sz w:val="20"/>
          <w:szCs w:val="20"/>
        </w:rPr>
        <w:t>2) « contrôle officiel » : toute forme de contrôle effectué par l’autorité compétente pour vérifier le respect de la législation relative aux produits de la pêche ;</w:t>
      </w:r>
    </w:p>
    <w:p w14:paraId="2AF68C43" w14:textId="77777777" w:rsidR="00E34453" w:rsidRPr="005E1EA7" w:rsidRDefault="00E34453" w:rsidP="00E34453">
      <w:pPr>
        <w:autoSpaceDE w:val="0"/>
        <w:autoSpaceDN w:val="0"/>
        <w:adjustRightInd w:val="0"/>
        <w:jc w:val="both"/>
        <w:rPr>
          <w:rFonts w:ascii="Tahoma" w:hAnsi="Tahoma" w:cs="Tahoma"/>
          <w:sz w:val="20"/>
          <w:szCs w:val="20"/>
        </w:rPr>
      </w:pPr>
    </w:p>
    <w:p w14:paraId="4F6FAA39" w14:textId="77777777" w:rsidR="00E34453" w:rsidRPr="005E1EA7" w:rsidRDefault="00E34453" w:rsidP="00E34453">
      <w:pPr>
        <w:autoSpaceDE w:val="0"/>
        <w:autoSpaceDN w:val="0"/>
        <w:adjustRightInd w:val="0"/>
        <w:jc w:val="both"/>
        <w:rPr>
          <w:rFonts w:ascii="Tahoma" w:hAnsi="Tahoma" w:cs="Tahoma"/>
          <w:sz w:val="20"/>
          <w:szCs w:val="20"/>
        </w:rPr>
      </w:pPr>
      <w:r w:rsidRPr="005E1EA7">
        <w:rPr>
          <w:rFonts w:ascii="Tahoma" w:hAnsi="Tahoma" w:cs="Tahoma"/>
          <w:sz w:val="20"/>
          <w:szCs w:val="20"/>
        </w:rPr>
        <w:t>3) « vérification » : le fait de vérifier, par l’examen et par la prise en compte d’éléments objectifs, qu’il a été satisfait à des exigences spécifiées ;</w:t>
      </w:r>
    </w:p>
    <w:p w14:paraId="09E23C47" w14:textId="77777777" w:rsidR="00E34453" w:rsidRPr="005E1EA7" w:rsidRDefault="00E34453" w:rsidP="00E34453">
      <w:pPr>
        <w:autoSpaceDE w:val="0"/>
        <w:autoSpaceDN w:val="0"/>
        <w:adjustRightInd w:val="0"/>
        <w:jc w:val="both"/>
        <w:rPr>
          <w:rFonts w:ascii="Tahoma" w:hAnsi="Tahoma" w:cs="Tahoma"/>
          <w:sz w:val="20"/>
          <w:szCs w:val="20"/>
        </w:rPr>
      </w:pPr>
    </w:p>
    <w:p w14:paraId="472F3507" w14:textId="77777777" w:rsidR="00E34453" w:rsidRPr="005E1EA7" w:rsidRDefault="00E34453" w:rsidP="00E34453">
      <w:pPr>
        <w:pStyle w:val="Corpsdetexte"/>
        <w:rPr>
          <w:rFonts w:ascii="Tahoma" w:hAnsi="Tahoma" w:cs="Tahoma"/>
          <w:sz w:val="20"/>
          <w:szCs w:val="20"/>
        </w:rPr>
      </w:pPr>
      <w:r w:rsidRPr="005E1EA7">
        <w:rPr>
          <w:rFonts w:ascii="Tahoma" w:hAnsi="Tahoma" w:cs="Tahoma"/>
          <w:sz w:val="20"/>
          <w:szCs w:val="20"/>
        </w:rPr>
        <w:t>4) « autorité compétente » : l’autorité centrale de l’État compétente pour organiser les contrôles officiels ou toute autre autorité à laquelle ladite compétence a été attribuée ;</w:t>
      </w:r>
    </w:p>
    <w:p w14:paraId="79122116" w14:textId="77777777" w:rsidR="00E34453" w:rsidRPr="005E1EA7" w:rsidRDefault="00E34453" w:rsidP="00E34453">
      <w:pPr>
        <w:autoSpaceDE w:val="0"/>
        <w:autoSpaceDN w:val="0"/>
        <w:adjustRightInd w:val="0"/>
        <w:jc w:val="both"/>
        <w:rPr>
          <w:rFonts w:ascii="Tahoma" w:hAnsi="Tahoma" w:cs="Tahoma"/>
          <w:sz w:val="20"/>
          <w:szCs w:val="20"/>
        </w:rPr>
      </w:pPr>
    </w:p>
    <w:p w14:paraId="478C3723" w14:textId="77777777" w:rsidR="00E34453" w:rsidRPr="005E1EA7" w:rsidRDefault="00E34453" w:rsidP="00E34453">
      <w:pPr>
        <w:pStyle w:val="Corpsdetexte"/>
        <w:rPr>
          <w:rFonts w:ascii="Tahoma" w:hAnsi="Tahoma" w:cs="Tahoma"/>
          <w:iCs/>
          <w:sz w:val="20"/>
          <w:szCs w:val="20"/>
        </w:rPr>
      </w:pPr>
      <w:r w:rsidRPr="005E1EA7">
        <w:rPr>
          <w:rFonts w:ascii="Tahoma" w:hAnsi="Tahoma" w:cs="Tahoma"/>
          <w:sz w:val="20"/>
          <w:szCs w:val="20"/>
        </w:rPr>
        <w:t xml:space="preserve">5) « organisme de contrôle » : </w:t>
      </w:r>
      <w:r w:rsidRPr="005E1EA7">
        <w:rPr>
          <w:rFonts w:ascii="Tahoma" w:hAnsi="Tahoma" w:cs="Tahoma"/>
          <w:iCs/>
          <w:sz w:val="20"/>
          <w:szCs w:val="20"/>
        </w:rPr>
        <w:t>organisme auquel l’autorité compétente a délégué certaines tâches de contrôle ;</w:t>
      </w:r>
    </w:p>
    <w:p w14:paraId="692C1400" w14:textId="77777777" w:rsidR="00E34453" w:rsidRPr="005E1EA7" w:rsidRDefault="00E34453" w:rsidP="00E34453">
      <w:pPr>
        <w:autoSpaceDE w:val="0"/>
        <w:autoSpaceDN w:val="0"/>
        <w:adjustRightInd w:val="0"/>
        <w:jc w:val="both"/>
        <w:rPr>
          <w:rFonts w:ascii="Tahoma" w:hAnsi="Tahoma" w:cs="Tahoma"/>
          <w:sz w:val="20"/>
          <w:szCs w:val="20"/>
        </w:rPr>
      </w:pPr>
    </w:p>
    <w:p w14:paraId="5B083F7B" w14:textId="77777777" w:rsidR="00E34453" w:rsidRPr="005E1EA7" w:rsidRDefault="00E34453" w:rsidP="00E34453">
      <w:pPr>
        <w:autoSpaceDE w:val="0"/>
        <w:autoSpaceDN w:val="0"/>
        <w:adjustRightInd w:val="0"/>
        <w:jc w:val="both"/>
        <w:rPr>
          <w:rFonts w:ascii="Tahoma" w:hAnsi="Tahoma" w:cs="Tahoma"/>
          <w:sz w:val="20"/>
          <w:szCs w:val="20"/>
        </w:rPr>
      </w:pPr>
      <w:r w:rsidRPr="005E1EA7">
        <w:rPr>
          <w:rFonts w:ascii="Tahoma" w:hAnsi="Tahoma" w:cs="Tahoma"/>
          <w:sz w:val="20"/>
          <w:szCs w:val="20"/>
        </w:rPr>
        <w:t xml:space="preserve">6) « audit </w:t>
      </w:r>
      <w:proofErr w:type="gramStart"/>
      <w:r w:rsidRPr="005E1EA7">
        <w:rPr>
          <w:rFonts w:ascii="Tahoma" w:hAnsi="Tahoma" w:cs="Tahoma"/>
          <w:sz w:val="20"/>
          <w:szCs w:val="20"/>
        </w:rPr>
        <w:t>»:</w:t>
      </w:r>
      <w:proofErr w:type="gramEnd"/>
      <w:r w:rsidRPr="005E1EA7">
        <w:rPr>
          <w:rFonts w:ascii="Tahoma" w:hAnsi="Tahoma" w:cs="Tahoma"/>
          <w:sz w:val="20"/>
          <w:szCs w:val="20"/>
        </w:rPr>
        <w:t xml:space="preserve"> un examen méthodique et indépendant visant à déterminer si les activités et les résultats y afférents satisfont aux dispositions préétablies et si ces dispositions sont mises en oeuvre de façon effective et permettent d’atteindre les objectifs ;</w:t>
      </w:r>
    </w:p>
    <w:p w14:paraId="667838B5" w14:textId="77777777" w:rsidR="00E34453" w:rsidRPr="005E1EA7" w:rsidRDefault="00E34453" w:rsidP="00E34453">
      <w:pPr>
        <w:autoSpaceDE w:val="0"/>
        <w:autoSpaceDN w:val="0"/>
        <w:adjustRightInd w:val="0"/>
        <w:jc w:val="both"/>
        <w:rPr>
          <w:rFonts w:ascii="Tahoma" w:hAnsi="Tahoma" w:cs="Tahoma"/>
          <w:sz w:val="20"/>
          <w:szCs w:val="20"/>
        </w:rPr>
      </w:pPr>
    </w:p>
    <w:p w14:paraId="2D246E97" w14:textId="77777777" w:rsidR="00E34453" w:rsidRPr="005E1EA7" w:rsidRDefault="00E34453" w:rsidP="00E34453">
      <w:pPr>
        <w:autoSpaceDE w:val="0"/>
        <w:autoSpaceDN w:val="0"/>
        <w:adjustRightInd w:val="0"/>
        <w:jc w:val="both"/>
        <w:rPr>
          <w:rFonts w:ascii="Tahoma" w:hAnsi="Tahoma" w:cs="Tahoma"/>
          <w:sz w:val="20"/>
          <w:szCs w:val="20"/>
        </w:rPr>
      </w:pPr>
      <w:r w:rsidRPr="005E1EA7">
        <w:rPr>
          <w:rFonts w:ascii="Tahoma" w:hAnsi="Tahoma" w:cs="Tahoma"/>
          <w:sz w:val="20"/>
          <w:szCs w:val="20"/>
        </w:rPr>
        <w:t xml:space="preserve">7) « inspection </w:t>
      </w:r>
      <w:proofErr w:type="gramStart"/>
      <w:r w:rsidRPr="005E1EA7">
        <w:rPr>
          <w:rFonts w:ascii="Tahoma" w:hAnsi="Tahoma" w:cs="Tahoma"/>
          <w:sz w:val="20"/>
          <w:szCs w:val="20"/>
        </w:rPr>
        <w:t>»:</w:t>
      </w:r>
      <w:proofErr w:type="gramEnd"/>
      <w:r w:rsidRPr="005E1EA7">
        <w:rPr>
          <w:rFonts w:ascii="Tahoma" w:hAnsi="Tahoma" w:cs="Tahoma"/>
          <w:sz w:val="20"/>
          <w:szCs w:val="20"/>
        </w:rPr>
        <w:t xml:space="preserve"> l’examen de tout aspect des produits de la pêche en vue de s’assurer qu’il est conforme aux prescriptions de la législation relative aux produits de la pêche ;</w:t>
      </w:r>
    </w:p>
    <w:p w14:paraId="69B373D7" w14:textId="77777777" w:rsidR="00E34453" w:rsidRPr="005E1EA7" w:rsidRDefault="00E34453" w:rsidP="00E34453">
      <w:pPr>
        <w:autoSpaceDE w:val="0"/>
        <w:autoSpaceDN w:val="0"/>
        <w:adjustRightInd w:val="0"/>
        <w:jc w:val="both"/>
        <w:rPr>
          <w:rFonts w:ascii="Tahoma" w:hAnsi="Tahoma" w:cs="Tahoma"/>
          <w:sz w:val="20"/>
          <w:szCs w:val="20"/>
        </w:rPr>
      </w:pPr>
    </w:p>
    <w:p w14:paraId="246FE8E8" w14:textId="77777777" w:rsidR="00E34453" w:rsidRPr="005E1EA7" w:rsidRDefault="00E34453" w:rsidP="00E34453">
      <w:pPr>
        <w:autoSpaceDE w:val="0"/>
        <w:autoSpaceDN w:val="0"/>
        <w:adjustRightInd w:val="0"/>
        <w:jc w:val="both"/>
        <w:rPr>
          <w:rFonts w:ascii="Tahoma" w:hAnsi="Tahoma" w:cs="Tahoma"/>
          <w:sz w:val="20"/>
          <w:szCs w:val="20"/>
        </w:rPr>
      </w:pPr>
      <w:r w:rsidRPr="005E1EA7">
        <w:rPr>
          <w:rFonts w:ascii="Tahoma" w:hAnsi="Tahoma" w:cs="Tahoma"/>
          <w:sz w:val="20"/>
          <w:szCs w:val="20"/>
        </w:rPr>
        <w:t xml:space="preserve">8) « suivi </w:t>
      </w:r>
      <w:proofErr w:type="gramStart"/>
      <w:r w:rsidRPr="005E1EA7">
        <w:rPr>
          <w:rFonts w:ascii="Tahoma" w:hAnsi="Tahoma" w:cs="Tahoma"/>
          <w:sz w:val="20"/>
          <w:szCs w:val="20"/>
        </w:rPr>
        <w:t>»:</w:t>
      </w:r>
      <w:proofErr w:type="gramEnd"/>
      <w:r w:rsidRPr="005E1EA7">
        <w:rPr>
          <w:rFonts w:ascii="Tahoma" w:hAnsi="Tahoma" w:cs="Tahoma"/>
          <w:sz w:val="20"/>
          <w:szCs w:val="20"/>
        </w:rPr>
        <w:t xml:space="preserve"> la réalisation d’une séquence planifiée d’observations ou de mesures conçue pour vérifier le niveau de conformité avec la législation relative aux produits de la pêche ;</w:t>
      </w:r>
    </w:p>
    <w:p w14:paraId="7446D209" w14:textId="77777777" w:rsidR="00E34453" w:rsidRPr="005E1EA7" w:rsidRDefault="00E34453" w:rsidP="00E34453">
      <w:pPr>
        <w:autoSpaceDE w:val="0"/>
        <w:autoSpaceDN w:val="0"/>
        <w:adjustRightInd w:val="0"/>
        <w:jc w:val="both"/>
        <w:rPr>
          <w:rFonts w:ascii="Tahoma" w:hAnsi="Tahoma" w:cs="Tahoma"/>
          <w:sz w:val="20"/>
          <w:szCs w:val="20"/>
        </w:rPr>
      </w:pPr>
    </w:p>
    <w:p w14:paraId="5BF4A797" w14:textId="77777777" w:rsidR="00E34453" w:rsidRPr="005E1EA7" w:rsidRDefault="00E34453" w:rsidP="00E34453">
      <w:pPr>
        <w:autoSpaceDE w:val="0"/>
        <w:autoSpaceDN w:val="0"/>
        <w:adjustRightInd w:val="0"/>
        <w:jc w:val="both"/>
        <w:rPr>
          <w:rFonts w:ascii="Tahoma" w:hAnsi="Tahoma" w:cs="Tahoma"/>
          <w:sz w:val="20"/>
          <w:szCs w:val="20"/>
        </w:rPr>
      </w:pPr>
      <w:r w:rsidRPr="005E1EA7">
        <w:rPr>
          <w:rFonts w:ascii="Tahoma" w:hAnsi="Tahoma" w:cs="Tahoma"/>
          <w:sz w:val="20"/>
          <w:szCs w:val="20"/>
        </w:rPr>
        <w:t>9)</w:t>
      </w:r>
      <w:proofErr w:type="gramStart"/>
      <w:r w:rsidRPr="005E1EA7">
        <w:rPr>
          <w:rFonts w:ascii="Tahoma" w:hAnsi="Tahoma" w:cs="Tahoma"/>
          <w:sz w:val="20"/>
          <w:szCs w:val="20"/>
        </w:rPr>
        <w:t xml:space="preserve"> «surveillance</w:t>
      </w:r>
      <w:proofErr w:type="gramEnd"/>
      <w:r w:rsidRPr="005E1EA7">
        <w:rPr>
          <w:rFonts w:ascii="Tahoma" w:hAnsi="Tahoma" w:cs="Tahoma"/>
          <w:sz w:val="20"/>
          <w:szCs w:val="20"/>
        </w:rPr>
        <w:t>»: l’observation minutieuse d’une ou de plusieurs entreprises du secteur des produits de la pêche, d’un ou de plusieurs exploitants de ce secteur ou de leurs activités ;</w:t>
      </w:r>
    </w:p>
    <w:p w14:paraId="53CE4384" w14:textId="77777777" w:rsidR="00E34453" w:rsidRPr="005E1EA7" w:rsidRDefault="00E34453" w:rsidP="00E34453">
      <w:pPr>
        <w:autoSpaceDE w:val="0"/>
        <w:autoSpaceDN w:val="0"/>
        <w:adjustRightInd w:val="0"/>
        <w:jc w:val="both"/>
        <w:rPr>
          <w:rFonts w:ascii="Tahoma" w:hAnsi="Tahoma" w:cs="Tahoma"/>
          <w:sz w:val="20"/>
          <w:szCs w:val="20"/>
        </w:rPr>
      </w:pPr>
    </w:p>
    <w:p w14:paraId="2B00FBDE" w14:textId="77777777" w:rsidR="00E34453" w:rsidRPr="005E1EA7" w:rsidRDefault="00E34453" w:rsidP="00E34453">
      <w:pPr>
        <w:autoSpaceDE w:val="0"/>
        <w:autoSpaceDN w:val="0"/>
        <w:adjustRightInd w:val="0"/>
        <w:jc w:val="both"/>
        <w:rPr>
          <w:rFonts w:ascii="Tahoma" w:hAnsi="Tahoma" w:cs="Tahoma"/>
          <w:sz w:val="20"/>
          <w:szCs w:val="20"/>
        </w:rPr>
      </w:pPr>
      <w:r w:rsidRPr="005E1EA7">
        <w:rPr>
          <w:rFonts w:ascii="Tahoma" w:hAnsi="Tahoma" w:cs="Tahoma"/>
          <w:sz w:val="20"/>
          <w:szCs w:val="20"/>
        </w:rPr>
        <w:t xml:space="preserve">10) « manquement à la législation </w:t>
      </w:r>
      <w:proofErr w:type="gramStart"/>
      <w:r w:rsidRPr="005E1EA7">
        <w:rPr>
          <w:rFonts w:ascii="Tahoma" w:hAnsi="Tahoma" w:cs="Tahoma"/>
          <w:sz w:val="20"/>
          <w:szCs w:val="20"/>
        </w:rPr>
        <w:t>»:</w:t>
      </w:r>
      <w:proofErr w:type="gramEnd"/>
      <w:r w:rsidRPr="005E1EA7">
        <w:rPr>
          <w:rFonts w:ascii="Tahoma" w:hAnsi="Tahoma" w:cs="Tahoma"/>
          <w:sz w:val="20"/>
          <w:szCs w:val="20"/>
        </w:rPr>
        <w:t xml:space="preserve"> le manquement à la législation relative aux produits de la pêche ;</w:t>
      </w:r>
    </w:p>
    <w:p w14:paraId="5FCB301D" w14:textId="77777777" w:rsidR="00E34453" w:rsidRPr="005E1EA7" w:rsidRDefault="00E34453" w:rsidP="00E34453">
      <w:pPr>
        <w:autoSpaceDE w:val="0"/>
        <w:autoSpaceDN w:val="0"/>
        <w:adjustRightInd w:val="0"/>
        <w:jc w:val="both"/>
        <w:rPr>
          <w:rFonts w:ascii="Tahoma" w:hAnsi="Tahoma" w:cs="Tahoma"/>
          <w:sz w:val="20"/>
          <w:szCs w:val="20"/>
        </w:rPr>
      </w:pPr>
    </w:p>
    <w:p w14:paraId="1101B8C8" w14:textId="77777777" w:rsidR="00E34453" w:rsidRPr="005E1EA7" w:rsidRDefault="00E34453" w:rsidP="00E34453">
      <w:pPr>
        <w:autoSpaceDE w:val="0"/>
        <w:autoSpaceDN w:val="0"/>
        <w:adjustRightInd w:val="0"/>
        <w:jc w:val="both"/>
        <w:rPr>
          <w:rFonts w:ascii="Tahoma" w:hAnsi="Tahoma" w:cs="Tahoma"/>
          <w:sz w:val="20"/>
          <w:szCs w:val="20"/>
        </w:rPr>
      </w:pPr>
      <w:r w:rsidRPr="005E1EA7">
        <w:rPr>
          <w:rFonts w:ascii="Tahoma" w:hAnsi="Tahoma" w:cs="Tahoma"/>
          <w:sz w:val="20"/>
          <w:szCs w:val="20"/>
        </w:rPr>
        <w:t xml:space="preserve">11) « échantillonnage pour analyse </w:t>
      </w:r>
      <w:proofErr w:type="gramStart"/>
      <w:r w:rsidRPr="005E1EA7">
        <w:rPr>
          <w:rFonts w:ascii="Tahoma" w:hAnsi="Tahoma" w:cs="Tahoma"/>
          <w:sz w:val="20"/>
          <w:szCs w:val="20"/>
        </w:rPr>
        <w:t>»:</w:t>
      </w:r>
      <w:proofErr w:type="gramEnd"/>
      <w:r w:rsidRPr="005E1EA7">
        <w:rPr>
          <w:rFonts w:ascii="Tahoma" w:hAnsi="Tahoma" w:cs="Tahoma"/>
          <w:sz w:val="20"/>
          <w:szCs w:val="20"/>
        </w:rPr>
        <w:t xml:space="preserve"> le prélèvement de produits de la pêche ou de toute autre substance (y compris dans l’environnement) intervenant dans la production, la transformation ou la distribution de produits de la pêche, en vue d’en vérifier par analyse la conformité avec la législation relative aux produits de la pêche ;</w:t>
      </w:r>
    </w:p>
    <w:p w14:paraId="0A1A87E2" w14:textId="77777777" w:rsidR="00E34453" w:rsidRPr="005E1EA7" w:rsidRDefault="00E34453" w:rsidP="00E34453">
      <w:pPr>
        <w:autoSpaceDE w:val="0"/>
        <w:autoSpaceDN w:val="0"/>
        <w:adjustRightInd w:val="0"/>
        <w:jc w:val="both"/>
        <w:rPr>
          <w:rFonts w:ascii="Tahoma" w:hAnsi="Tahoma" w:cs="Tahoma"/>
          <w:sz w:val="20"/>
          <w:szCs w:val="20"/>
        </w:rPr>
      </w:pPr>
    </w:p>
    <w:p w14:paraId="36DB978F" w14:textId="77777777" w:rsidR="00E34453" w:rsidRPr="005E1EA7" w:rsidRDefault="00E34453" w:rsidP="00E34453">
      <w:pPr>
        <w:autoSpaceDE w:val="0"/>
        <w:autoSpaceDN w:val="0"/>
        <w:adjustRightInd w:val="0"/>
        <w:jc w:val="both"/>
        <w:rPr>
          <w:rFonts w:ascii="Tahoma" w:hAnsi="Tahoma" w:cs="Tahoma"/>
          <w:sz w:val="20"/>
          <w:szCs w:val="20"/>
        </w:rPr>
      </w:pPr>
      <w:r w:rsidRPr="005E1EA7">
        <w:rPr>
          <w:rFonts w:ascii="Tahoma" w:hAnsi="Tahoma" w:cs="Tahoma"/>
          <w:sz w:val="20"/>
          <w:szCs w:val="20"/>
        </w:rPr>
        <w:t xml:space="preserve">12) « conservation sous contrôle officiel </w:t>
      </w:r>
      <w:proofErr w:type="gramStart"/>
      <w:r w:rsidRPr="005E1EA7">
        <w:rPr>
          <w:rFonts w:ascii="Tahoma" w:hAnsi="Tahoma" w:cs="Tahoma"/>
          <w:sz w:val="20"/>
          <w:szCs w:val="20"/>
        </w:rPr>
        <w:t>»:</w:t>
      </w:r>
      <w:proofErr w:type="gramEnd"/>
      <w:r w:rsidRPr="005E1EA7">
        <w:rPr>
          <w:rFonts w:ascii="Tahoma" w:hAnsi="Tahoma" w:cs="Tahoma"/>
          <w:sz w:val="20"/>
          <w:szCs w:val="20"/>
        </w:rPr>
        <w:t xml:space="preserve"> la procédure selon laquelle l’autorité compétente s’assure que des produits de la pêche ne sont pas déplacés ou altérés en attendant que soit prise une décision sur leur destination. Elle inclut l’entreposage par les exploitants du secteur alimentaire conformément aux instructions de l’autorité compétente ;</w:t>
      </w:r>
    </w:p>
    <w:p w14:paraId="2152141B" w14:textId="77777777" w:rsidR="00E34453" w:rsidRPr="005E1EA7" w:rsidRDefault="00E34453" w:rsidP="00E34453">
      <w:pPr>
        <w:autoSpaceDE w:val="0"/>
        <w:autoSpaceDN w:val="0"/>
        <w:adjustRightInd w:val="0"/>
        <w:jc w:val="both"/>
        <w:rPr>
          <w:rFonts w:ascii="Tahoma" w:hAnsi="Tahoma" w:cs="Tahoma"/>
          <w:sz w:val="20"/>
          <w:szCs w:val="20"/>
        </w:rPr>
      </w:pPr>
    </w:p>
    <w:p w14:paraId="64DA0A67" w14:textId="77777777" w:rsidR="00E34453" w:rsidRPr="005E1EA7" w:rsidRDefault="00E34453" w:rsidP="00E34453">
      <w:pPr>
        <w:autoSpaceDE w:val="0"/>
        <w:autoSpaceDN w:val="0"/>
        <w:adjustRightInd w:val="0"/>
        <w:jc w:val="both"/>
        <w:rPr>
          <w:rFonts w:ascii="Tahoma" w:hAnsi="Tahoma" w:cs="Tahoma"/>
          <w:sz w:val="20"/>
          <w:szCs w:val="20"/>
        </w:rPr>
      </w:pPr>
      <w:r w:rsidRPr="005E1EA7">
        <w:rPr>
          <w:rFonts w:ascii="Tahoma" w:hAnsi="Tahoma" w:cs="Tahoma"/>
          <w:sz w:val="20"/>
          <w:szCs w:val="20"/>
        </w:rPr>
        <w:t xml:space="preserve">13) « contrôle documentaire </w:t>
      </w:r>
      <w:proofErr w:type="gramStart"/>
      <w:r w:rsidRPr="005E1EA7">
        <w:rPr>
          <w:rFonts w:ascii="Tahoma" w:hAnsi="Tahoma" w:cs="Tahoma"/>
          <w:sz w:val="20"/>
          <w:szCs w:val="20"/>
        </w:rPr>
        <w:t>»:</w:t>
      </w:r>
      <w:proofErr w:type="gramEnd"/>
      <w:r w:rsidRPr="005E1EA7">
        <w:rPr>
          <w:rFonts w:ascii="Tahoma" w:hAnsi="Tahoma" w:cs="Tahoma"/>
          <w:sz w:val="20"/>
          <w:szCs w:val="20"/>
        </w:rPr>
        <w:t xml:space="preserve"> l’examen des documents commerciaux et, s’il y a lieu, des documents requis en vertu de la législation relative aux produits de la pêche qui accompagnent le lot ;</w:t>
      </w:r>
    </w:p>
    <w:p w14:paraId="1BCDECE8" w14:textId="77777777" w:rsidR="00E34453" w:rsidRPr="005E1EA7" w:rsidRDefault="00E34453" w:rsidP="00E34453">
      <w:pPr>
        <w:autoSpaceDE w:val="0"/>
        <w:autoSpaceDN w:val="0"/>
        <w:adjustRightInd w:val="0"/>
        <w:jc w:val="both"/>
        <w:rPr>
          <w:rFonts w:ascii="Tahoma" w:hAnsi="Tahoma" w:cs="Tahoma"/>
          <w:sz w:val="20"/>
          <w:szCs w:val="20"/>
        </w:rPr>
      </w:pPr>
    </w:p>
    <w:p w14:paraId="460651CE" w14:textId="77777777" w:rsidR="00E34453" w:rsidRPr="005E1EA7" w:rsidRDefault="00E34453" w:rsidP="00E34453">
      <w:pPr>
        <w:autoSpaceDE w:val="0"/>
        <w:autoSpaceDN w:val="0"/>
        <w:adjustRightInd w:val="0"/>
        <w:jc w:val="both"/>
        <w:rPr>
          <w:rFonts w:ascii="Tahoma" w:hAnsi="Tahoma" w:cs="Tahoma"/>
          <w:sz w:val="20"/>
          <w:szCs w:val="20"/>
        </w:rPr>
      </w:pPr>
      <w:r w:rsidRPr="005E1EA7">
        <w:rPr>
          <w:rFonts w:ascii="Tahoma" w:hAnsi="Tahoma" w:cs="Tahoma"/>
          <w:sz w:val="20"/>
          <w:szCs w:val="20"/>
        </w:rPr>
        <w:t xml:space="preserve">14) « contrôle d’identité </w:t>
      </w:r>
      <w:proofErr w:type="gramStart"/>
      <w:r w:rsidRPr="005E1EA7">
        <w:rPr>
          <w:rFonts w:ascii="Tahoma" w:hAnsi="Tahoma" w:cs="Tahoma"/>
          <w:sz w:val="20"/>
          <w:szCs w:val="20"/>
        </w:rPr>
        <w:t>»:</w:t>
      </w:r>
      <w:proofErr w:type="gramEnd"/>
      <w:r w:rsidRPr="005E1EA7">
        <w:rPr>
          <w:rFonts w:ascii="Tahoma" w:hAnsi="Tahoma" w:cs="Tahoma"/>
          <w:sz w:val="20"/>
          <w:szCs w:val="20"/>
        </w:rPr>
        <w:t xml:space="preserve"> un examen visuel destiné à vérifier si les certificats ou les autres documents qui accompagnent le lot correspondent à l’étiquetage et au contenu du lot ;</w:t>
      </w:r>
    </w:p>
    <w:p w14:paraId="7B7D1749" w14:textId="77777777" w:rsidR="00E34453" w:rsidRPr="005E1EA7" w:rsidRDefault="00E34453" w:rsidP="00E34453">
      <w:pPr>
        <w:autoSpaceDE w:val="0"/>
        <w:autoSpaceDN w:val="0"/>
        <w:adjustRightInd w:val="0"/>
        <w:jc w:val="both"/>
        <w:rPr>
          <w:rFonts w:ascii="Tahoma" w:hAnsi="Tahoma" w:cs="Tahoma"/>
          <w:sz w:val="20"/>
          <w:szCs w:val="20"/>
        </w:rPr>
      </w:pPr>
    </w:p>
    <w:p w14:paraId="08F3485B" w14:textId="77777777" w:rsidR="00E34453" w:rsidRPr="005E1EA7" w:rsidRDefault="00E34453" w:rsidP="00E34453">
      <w:pPr>
        <w:autoSpaceDE w:val="0"/>
        <w:autoSpaceDN w:val="0"/>
        <w:adjustRightInd w:val="0"/>
        <w:jc w:val="both"/>
        <w:rPr>
          <w:rFonts w:ascii="Tahoma" w:hAnsi="Tahoma" w:cs="Tahoma"/>
          <w:sz w:val="20"/>
          <w:szCs w:val="20"/>
        </w:rPr>
      </w:pPr>
      <w:r w:rsidRPr="005E1EA7">
        <w:rPr>
          <w:rFonts w:ascii="Tahoma" w:hAnsi="Tahoma" w:cs="Tahoma"/>
          <w:sz w:val="20"/>
          <w:szCs w:val="20"/>
        </w:rPr>
        <w:t xml:space="preserve">15) « contrôle physique </w:t>
      </w:r>
      <w:proofErr w:type="gramStart"/>
      <w:r w:rsidRPr="005E1EA7">
        <w:rPr>
          <w:rFonts w:ascii="Tahoma" w:hAnsi="Tahoma" w:cs="Tahoma"/>
          <w:sz w:val="20"/>
          <w:szCs w:val="20"/>
        </w:rPr>
        <w:t>»:</w:t>
      </w:r>
      <w:proofErr w:type="gramEnd"/>
      <w:r w:rsidRPr="005E1EA7">
        <w:rPr>
          <w:rFonts w:ascii="Tahoma" w:hAnsi="Tahoma" w:cs="Tahoma"/>
          <w:sz w:val="20"/>
          <w:szCs w:val="20"/>
        </w:rPr>
        <w:t xml:space="preserve"> contrôle de la denrée alimentaire même, pouvant comporter des contrôles des moyens de transport, de l’emballage, de l’étiquetage et de la température, un prélèvement d’échantillons pour analyse et un examen en laboratoire et tout autre contrôle nécessaire pour vérifier le respect de la législation relative aux produits de la pêche ;</w:t>
      </w:r>
    </w:p>
    <w:p w14:paraId="782B6FB2" w14:textId="77777777" w:rsidR="00E34453" w:rsidRPr="005E1EA7" w:rsidRDefault="00E34453" w:rsidP="00E34453">
      <w:pPr>
        <w:autoSpaceDE w:val="0"/>
        <w:autoSpaceDN w:val="0"/>
        <w:adjustRightInd w:val="0"/>
        <w:jc w:val="both"/>
        <w:rPr>
          <w:rFonts w:ascii="Tahoma" w:hAnsi="Tahoma" w:cs="Tahoma"/>
          <w:sz w:val="20"/>
          <w:szCs w:val="20"/>
        </w:rPr>
      </w:pPr>
    </w:p>
    <w:p w14:paraId="3568F90D" w14:textId="77777777" w:rsidR="00E34453" w:rsidRPr="005E1EA7" w:rsidRDefault="00E34453" w:rsidP="00E34453">
      <w:pPr>
        <w:autoSpaceDE w:val="0"/>
        <w:autoSpaceDN w:val="0"/>
        <w:adjustRightInd w:val="0"/>
        <w:jc w:val="both"/>
        <w:rPr>
          <w:rFonts w:ascii="Tahoma" w:hAnsi="Tahoma" w:cs="Tahoma"/>
          <w:sz w:val="20"/>
          <w:szCs w:val="20"/>
        </w:rPr>
      </w:pPr>
      <w:r w:rsidRPr="005E1EA7">
        <w:rPr>
          <w:rFonts w:ascii="Tahoma" w:hAnsi="Tahoma" w:cs="Tahoma"/>
          <w:sz w:val="20"/>
          <w:szCs w:val="20"/>
        </w:rPr>
        <w:t xml:space="preserve">16) « plan de contrôle </w:t>
      </w:r>
      <w:proofErr w:type="gramStart"/>
      <w:r w:rsidRPr="005E1EA7">
        <w:rPr>
          <w:rFonts w:ascii="Tahoma" w:hAnsi="Tahoma" w:cs="Tahoma"/>
          <w:sz w:val="20"/>
          <w:szCs w:val="20"/>
        </w:rPr>
        <w:t>»:</w:t>
      </w:r>
      <w:proofErr w:type="gramEnd"/>
      <w:r w:rsidRPr="005E1EA7">
        <w:rPr>
          <w:rFonts w:ascii="Tahoma" w:hAnsi="Tahoma" w:cs="Tahoma"/>
          <w:sz w:val="20"/>
          <w:szCs w:val="20"/>
        </w:rPr>
        <w:t xml:space="preserve"> une description établie par l’autorité compétente, contenant des informations générales sur la structure et l’organisation de ses systèmes de contrôles officiels et précisant le fonctionnement de celui-ci ainsi que la planification détaillée des contrôles officiels à effectuer au cours d’une période donnée.</w:t>
      </w:r>
    </w:p>
    <w:p w14:paraId="17272517" w14:textId="77777777" w:rsidR="00E34453" w:rsidRPr="005E1EA7" w:rsidRDefault="00E34453" w:rsidP="00E34453">
      <w:pPr>
        <w:autoSpaceDE w:val="0"/>
        <w:autoSpaceDN w:val="0"/>
        <w:adjustRightInd w:val="0"/>
        <w:jc w:val="both"/>
        <w:rPr>
          <w:rFonts w:ascii="Tahoma" w:hAnsi="Tahoma" w:cs="Tahoma"/>
          <w:sz w:val="20"/>
          <w:szCs w:val="20"/>
        </w:rPr>
      </w:pPr>
    </w:p>
    <w:p w14:paraId="53C6B421" w14:textId="77777777" w:rsidR="00E34453" w:rsidRPr="005E1EA7" w:rsidRDefault="00E34453" w:rsidP="00E34453">
      <w:pPr>
        <w:autoSpaceDE w:val="0"/>
        <w:autoSpaceDN w:val="0"/>
        <w:adjustRightInd w:val="0"/>
        <w:jc w:val="both"/>
        <w:rPr>
          <w:rFonts w:ascii="Tahoma" w:hAnsi="Tahoma" w:cs="Tahoma"/>
          <w:sz w:val="20"/>
          <w:szCs w:val="20"/>
        </w:rPr>
      </w:pPr>
      <w:r w:rsidRPr="005E1EA7">
        <w:rPr>
          <w:rFonts w:ascii="Tahoma" w:hAnsi="Tahoma" w:cs="Tahoma"/>
          <w:sz w:val="20"/>
          <w:szCs w:val="20"/>
        </w:rPr>
        <w:t>17) « HACCP - Hazard Analysis and Critical Control Point » : Analyse des risques et maîtrise des points critiques.</w:t>
      </w:r>
    </w:p>
    <w:p w14:paraId="08F9287D" w14:textId="77777777" w:rsidR="00E34453" w:rsidRPr="005E1EA7" w:rsidRDefault="00E34453" w:rsidP="00E34453">
      <w:pPr>
        <w:autoSpaceDE w:val="0"/>
        <w:autoSpaceDN w:val="0"/>
        <w:adjustRightInd w:val="0"/>
        <w:jc w:val="both"/>
        <w:rPr>
          <w:rFonts w:ascii="Tahoma" w:hAnsi="Tahoma" w:cs="Tahoma"/>
          <w:sz w:val="20"/>
          <w:szCs w:val="20"/>
        </w:rPr>
      </w:pPr>
    </w:p>
    <w:p w14:paraId="5992F65C" w14:textId="77777777" w:rsidR="00E34453" w:rsidRPr="005E1EA7" w:rsidRDefault="00E34453" w:rsidP="00E34453">
      <w:pPr>
        <w:autoSpaceDE w:val="0"/>
        <w:autoSpaceDN w:val="0"/>
        <w:adjustRightInd w:val="0"/>
        <w:jc w:val="both"/>
        <w:rPr>
          <w:rFonts w:ascii="Tahoma" w:hAnsi="Tahoma" w:cs="Tahoma"/>
          <w:sz w:val="20"/>
          <w:szCs w:val="20"/>
        </w:rPr>
      </w:pPr>
      <w:r w:rsidRPr="005E1EA7">
        <w:rPr>
          <w:rFonts w:ascii="Tahoma" w:hAnsi="Tahoma" w:cs="Tahoma"/>
          <w:sz w:val="20"/>
          <w:szCs w:val="20"/>
        </w:rPr>
        <w:t>18) « "Etablissement » :</w:t>
      </w:r>
      <w:r w:rsidRPr="005E1EA7">
        <w:rPr>
          <w:rFonts w:ascii="Tahoma" w:eastAsia="EUAlbertina-Regular-Identity-H" w:hAnsi="Tahoma" w:cs="Tahoma"/>
          <w:sz w:val="20"/>
          <w:szCs w:val="20"/>
        </w:rPr>
        <w:t xml:space="preserve"> toute unité d’une entreprise de produits de la pêche. </w:t>
      </w:r>
    </w:p>
    <w:p w14:paraId="7602150A" w14:textId="77777777" w:rsidR="00E34453" w:rsidRPr="005E1EA7" w:rsidRDefault="00E34453" w:rsidP="00E34453">
      <w:pPr>
        <w:autoSpaceDE w:val="0"/>
        <w:autoSpaceDN w:val="0"/>
        <w:adjustRightInd w:val="0"/>
        <w:jc w:val="both"/>
        <w:rPr>
          <w:rFonts w:ascii="Tahoma" w:hAnsi="Tahoma" w:cs="Tahoma"/>
          <w:sz w:val="20"/>
          <w:szCs w:val="20"/>
        </w:rPr>
      </w:pPr>
    </w:p>
    <w:p w14:paraId="48EE16DF" w14:textId="77777777" w:rsidR="00E34453" w:rsidRPr="005E1EA7" w:rsidRDefault="00E34453" w:rsidP="00E34453">
      <w:pPr>
        <w:autoSpaceDE w:val="0"/>
        <w:autoSpaceDN w:val="0"/>
        <w:adjustRightInd w:val="0"/>
        <w:ind w:left="360" w:hanging="360"/>
        <w:jc w:val="both"/>
        <w:rPr>
          <w:rFonts w:ascii="Tahoma" w:eastAsia="EUAlbertina-Regular-Identity-H" w:hAnsi="Tahoma" w:cs="Tahoma"/>
          <w:sz w:val="20"/>
          <w:szCs w:val="20"/>
        </w:rPr>
      </w:pPr>
      <w:r w:rsidRPr="005E1EA7">
        <w:rPr>
          <w:rFonts w:ascii="Tahoma" w:eastAsia="EUAlbertina-Regular-Identity-H" w:hAnsi="Tahoma" w:cs="Tahoma"/>
          <w:sz w:val="20"/>
          <w:szCs w:val="20"/>
        </w:rPr>
        <w:t>19)</w:t>
      </w:r>
      <w:proofErr w:type="gramStart"/>
      <w:r w:rsidRPr="005E1EA7">
        <w:rPr>
          <w:rFonts w:ascii="Tahoma" w:eastAsia="EUAlbertina-Regular-Identity-H" w:hAnsi="Tahoma" w:cs="Tahoma"/>
          <w:sz w:val="20"/>
          <w:szCs w:val="20"/>
        </w:rPr>
        <w:t xml:space="preserve"> «vétérinaire</w:t>
      </w:r>
      <w:proofErr w:type="gramEnd"/>
      <w:r w:rsidRPr="005E1EA7">
        <w:rPr>
          <w:rFonts w:ascii="Tahoma" w:eastAsia="EUAlbertina-Regular-Identity-H" w:hAnsi="Tahoma" w:cs="Tahoma"/>
          <w:sz w:val="20"/>
          <w:szCs w:val="20"/>
        </w:rPr>
        <w:t xml:space="preserve"> officiel»: un vétérinaire habilité, en vertu du présent arrêté, à agir en cette capacité et nommé par l’autorité compétente ;</w:t>
      </w:r>
    </w:p>
    <w:p w14:paraId="70F0349D" w14:textId="77777777" w:rsidR="00E34453" w:rsidRPr="005E1EA7" w:rsidRDefault="00E34453" w:rsidP="00E34453">
      <w:pPr>
        <w:autoSpaceDE w:val="0"/>
        <w:autoSpaceDN w:val="0"/>
        <w:adjustRightInd w:val="0"/>
        <w:ind w:left="360" w:hanging="360"/>
        <w:jc w:val="both"/>
        <w:rPr>
          <w:rFonts w:ascii="Tahoma" w:eastAsia="EUAlbertina-Regular-Identity-H" w:hAnsi="Tahoma" w:cs="Tahoma"/>
          <w:sz w:val="20"/>
          <w:szCs w:val="20"/>
        </w:rPr>
      </w:pPr>
    </w:p>
    <w:p w14:paraId="4A1F4F70" w14:textId="77777777" w:rsidR="00E34453" w:rsidRPr="005E1EA7" w:rsidRDefault="00E34453" w:rsidP="00E34453">
      <w:pPr>
        <w:autoSpaceDE w:val="0"/>
        <w:autoSpaceDN w:val="0"/>
        <w:adjustRightInd w:val="0"/>
        <w:ind w:left="360" w:hanging="360"/>
        <w:jc w:val="both"/>
        <w:rPr>
          <w:rFonts w:ascii="Tahoma" w:eastAsia="EUAlbertina-Regular-Identity-H" w:hAnsi="Tahoma" w:cs="Tahoma"/>
          <w:sz w:val="20"/>
          <w:szCs w:val="20"/>
        </w:rPr>
      </w:pPr>
      <w:r w:rsidRPr="005E1EA7">
        <w:rPr>
          <w:rFonts w:ascii="Tahoma" w:eastAsia="EUAlbertina-Regular-Identity-H" w:hAnsi="Tahoma" w:cs="Tahoma"/>
          <w:sz w:val="20"/>
          <w:szCs w:val="20"/>
        </w:rPr>
        <w:t>20)</w:t>
      </w:r>
      <w:proofErr w:type="gramStart"/>
      <w:r w:rsidRPr="005E1EA7">
        <w:rPr>
          <w:rFonts w:ascii="Tahoma" w:eastAsia="EUAlbertina-Regular-Identity-H" w:hAnsi="Tahoma" w:cs="Tahoma"/>
          <w:sz w:val="20"/>
          <w:szCs w:val="20"/>
        </w:rPr>
        <w:t xml:space="preserve"> «vétérinaire</w:t>
      </w:r>
      <w:proofErr w:type="gramEnd"/>
      <w:r w:rsidRPr="005E1EA7">
        <w:rPr>
          <w:rFonts w:ascii="Tahoma" w:eastAsia="EUAlbertina-Regular-Identity-H" w:hAnsi="Tahoma" w:cs="Tahoma"/>
          <w:sz w:val="20"/>
          <w:szCs w:val="20"/>
        </w:rPr>
        <w:t xml:space="preserve"> agréé»: un vétérinaire désigné par l’autorité compétente en vue d’exécuter pour le compte de cette dernière des contrôles officiels spécifiques sur les exploitations ;</w:t>
      </w:r>
    </w:p>
    <w:p w14:paraId="2E3764D0" w14:textId="77777777" w:rsidR="00E34453" w:rsidRPr="005E1EA7" w:rsidRDefault="00E34453" w:rsidP="00E34453">
      <w:pPr>
        <w:autoSpaceDE w:val="0"/>
        <w:autoSpaceDN w:val="0"/>
        <w:adjustRightInd w:val="0"/>
        <w:ind w:left="360" w:hanging="360"/>
        <w:jc w:val="both"/>
        <w:rPr>
          <w:rFonts w:ascii="Tahoma" w:eastAsia="EUAlbertina-Regular-Identity-H" w:hAnsi="Tahoma" w:cs="Tahoma"/>
          <w:sz w:val="20"/>
          <w:szCs w:val="20"/>
        </w:rPr>
      </w:pPr>
    </w:p>
    <w:p w14:paraId="1E235356" w14:textId="77777777" w:rsidR="00E34453" w:rsidRPr="005E1EA7" w:rsidRDefault="00E34453" w:rsidP="00E34453">
      <w:pPr>
        <w:autoSpaceDE w:val="0"/>
        <w:autoSpaceDN w:val="0"/>
        <w:adjustRightInd w:val="0"/>
        <w:ind w:left="360" w:hanging="360"/>
        <w:jc w:val="both"/>
        <w:rPr>
          <w:rFonts w:ascii="Tahoma" w:eastAsia="EUAlbertina-Regular-Identity-H" w:hAnsi="Tahoma" w:cs="Tahoma"/>
          <w:sz w:val="20"/>
          <w:szCs w:val="20"/>
        </w:rPr>
      </w:pPr>
      <w:r w:rsidRPr="005E1EA7">
        <w:rPr>
          <w:rFonts w:ascii="Tahoma" w:eastAsia="EUAlbertina-Regular-Identity-H" w:hAnsi="Tahoma" w:cs="Tahoma"/>
          <w:sz w:val="20"/>
          <w:szCs w:val="20"/>
        </w:rPr>
        <w:t>21)</w:t>
      </w:r>
      <w:proofErr w:type="gramStart"/>
      <w:r w:rsidRPr="005E1EA7">
        <w:rPr>
          <w:rFonts w:ascii="Tahoma" w:eastAsia="EUAlbertina-Regular-Identity-H" w:hAnsi="Tahoma" w:cs="Tahoma"/>
          <w:sz w:val="20"/>
          <w:szCs w:val="20"/>
        </w:rPr>
        <w:t xml:space="preserve"> «auxiliaire</w:t>
      </w:r>
      <w:proofErr w:type="gramEnd"/>
      <w:r w:rsidRPr="005E1EA7">
        <w:rPr>
          <w:rFonts w:ascii="Tahoma" w:eastAsia="EUAlbertina-Regular-Identity-H" w:hAnsi="Tahoma" w:cs="Tahoma"/>
          <w:sz w:val="20"/>
          <w:szCs w:val="20"/>
        </w:rPr>
        <w:t xml:space="preserve"> officiel»: un auxiliaire habilité, en vertu du présent arrêté, à agir en cette capacité, nommé par l’autorité compétente et travaillant sous l’autorité et la responsabilité d’un vétérinaire officiel ;</w:t>
      </w:r>
    </w:p>
    <w:p w14:paraId="4C40C091" w14:textId="77777777" w:rsidR="00E34453" w:rsidRPr="005E1EA7" w:rsidRDefault="00E34453" w:rsidP="00E34453">
      <w:pPr>
        <w:autoSpaceDE w:val="0"/>
        <w:autoSpaceDN w:val="0"/>
        <w:adjustRightInd w:val="0"/>
        <w:ind w:left="360" w:hanging="360"/>
        <w:jc w:val="both"/>
        <w:rPr>
          <w:rFonts w:ascii="Tahoma" w:eastAsia="EUAlbertina-Regular-Identity-H" w:hAnsi="Tahoma" w:cs="Tahoma"/>
          <w:sz w:val="20"/>
          <w:szCs w:val="20"/>
        </w:rPr>
      </w:pPr>
    </w:p>
    <w:p w14:paraId="6B284899"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22)</w:t>
      </w:r>
      <w:proofErr w:type="gramStart"/>
      <w:r w:rsidRPr="005E1EA7">
        <w:rPr>
          <w:rFonts w:ascii="Tahoma" w:eastAsia="EUAlbertina-Regular-Identity-H" w:hAnsi="Tahoma" w:cs="Tahoma"/>
          <w:sz w:val="20"/>
          <w:szCs w:val="20"/>
        </w:rPr>
        <w:t xml:space="preserve"> «marque</w:t>
      </w:r>
      <w:proofErr w:type="gramEnd"/>
      <w:r w:rsidRPr="005E1EA7">
        <w:rPr>
          <w:rFonts w:ascii="Tahoma" w:eastAsia="EUAlbertina-Regular-Identity-H" w:hAnsi="Tahoma" w:cs="Tahoma"/>
          <w:sz w:val="20"/>
          <w:szCs w:val="20"/>
        </w:rPr>
        <w:t xml:space="preserve"> de salubrité», une marque indiquant, lorsqu’elle a été apposée, que des contrôles officiels ont été effectués conformément au présent arrêté.</w:t>
      </w:r>
    </w:p>
    <w:p w14:paraId="03761231"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63A497F9" w14:textId="77777777" w:rsidR="00E34453" w:rsidRPr="005E1EA7" w:rsidRDefault="00E34453" w:rsidP="00E34453">
      <w:pPr>
        <w:pStyle w:val="Corpsdetexte"/>
        <w:spacing w:after="120"/>
        <w:rPr>
          <w:rFonts w:ascii="Tahoma" w:hAnsi="Tahoma" w:cs="Tahoma"/>
          <w:sz w:val="20"/>
          <w:szCs w:val="20"/>
        </w:rPr>
      </w:pPr>
      <w:r w:rsidRPr="005E1EA7">
        <w:rPr>
          <w:rFonts w:ascii="Tahoma" w:hAnsi="Tahoma" w:cs="Tahoma"/>
          <w:sz w:val="20"/>
          <w:szCs w:val="20"/>
        </w:rPr>
        <w:t>23) traçabilité : capacité de retracer, à travers toutes les étapes de la production, de la transformation et de la distribution, le cheminement d’une denrée alimentaire, ou d’une substance destinée à être incorporée ou susceptible d’être incorporée dans une denrée alimentaire.</w:t>
      </w:r>
    </w:p>
    <w:p w14:paraId="3C6711CF" w14:textId="77777777" w:rsidR="00E34453" w:rsidRPr="005E1EA7" w:rsidRDefault="00E34453" w:rsidP="00E34453">
      <w:pPr>
        <w:pStyle w:val="Corpsdetexte"/>
        <w:spacing w:after="120"/>
        <w:rPr>
          <w:rFonts w:ascii="Tahoma" w:hAnsi="Tahoma" w:cs="Tahoma"/>
          <w:sz w:val="20"/>
          <w:szCs w:val="20"/>
        </w:rPr>
      </w:pPr>
      <w:r w:rsidRPr="005E1EA7">
        <w:rPr>
          <w:rFonts w:ascii="Tahoma" w:hAnsi="Tahoma" w:cs="Tahoma"/>
          <w:sz w:val="20"/>
          <w:szCs w:val="20"/>
        </w:rPr>
        <w:t>24) agrément technique ou agrément conditionnel : agrément accordé provisoirement à un établissement lorsqu’il remplit les conditions sanitaires en matière d’infrastructures, d’équipements et de matériel.</w:t>
      </w:r>
    </w:p>
    <w:p w14:paraId="592310AF" w14:textId="77777777" w:rsidR="00E34453" w:rsidRPr="005E1EA7" w:rsidRDefault="00E34453" w:rsidP="00E34453">
      <w:pPr>
        <w:pStyle w:val="Corpsdetexte"/>
        <w:spacing w:after="120"/>
        <w:rPr>
          <w:rFonts w:ascii="Tahoma" w:hAnsi="Tahoma" w:cs="Tahoma"/>
          <w:sz w:val="20"/>
          <w:szCs w:val="20"/>
        </w:rPr>
      </w:pPr>
      <w:r w:rsidRPr="005E1EA7">
        <w:rPr>
          <w:rFonts w:ascii="Tahoma" w:hAnsi="Tahoma" w:cs="Tahoma"/>
          <w:sz w:val="20"/>
          <w:szCs w:val="20"/>
        </w:rPr>
        <w:t>25) agrément définitif : agrément accordé à un établissement ayant reçu, au préalable, un agrément technique et lorsqu’il aura satisfait les conditions fonctionnelles.</w:t>
      </w:r>
    </w:p>
    <w:p w14:paraId="3143E54A" w14:textId="77777777" w:rsidR="00E34453" w:rsidRPr="005E1EA7" w:rsidRDefault="00E34453" w:rsidP="00E34453">
      <w:pPr>
        <w:pStyle w:val="Corpsdetexte"/>
        <w:spacing w:after="120"/>
        <w:rPr>
          <w:rFonts w:ascii="Tahoma" w:hAnsi="Tahoma" w:cs="Tahoma"/>
          <w:sz w:val="20"/>
          <w:szCs w:val="20"/>
        </w:rPr>
      </w:pPr>
      <w:r w:rsidRPr="005E1EA7">
        <w:rPr>
          <w:rFonts w:ascii="Tahoma" w:hAnsi="Tahoma" w:cs="Tahoma"/>
          <w:sz w:val="20"/>
          <w:szCs w:val="20"/>
        </w:rPr>
        <w:lastRenderedPageBreak/>
        <w:t>26) accord de principe d'installation : accord délivré par le Ministre chargé des Pêches comme préalable à la demande d’implantation d’un nouvel établissement de pêche ou acquisition d’un nouveau navire de pêche.</w:t>
      </w:r>
    </w:p>
    <w:p w14:paraId="14C007F3" w14:textId="77777777" w:rsidR="00E34453" w:rsidRPr="005E1EA7" w:rsidRDefault="00E34453" w:rsidP="00E34453">
      <w:pPr>
        <w:pStyle w:val="Corpsdetexte"/>
        <w:spacing w:after="120"/>
        <w:rPr>
          <w:rFonts w:ascii="Tahoma" w:hAnsi="Tahoma" w:cs="Tahoma"/>
          <w:iCs/>
          <w:sz w:val="20"/>
          <w:szCs w:val="20"/>
        </w:rPr>
      </w:pPr>
      <w:r w:rsidRPr="005E1EA7">
        <w:rPr>
          <w:rFonts w:ascii="Tahoma" w:hAnsi="Tahoma" w:cs="Tahoma"/>
          <w:iCs/>
          <w:sz w:val="20"/>
          <w:szCs w:val="20"/>
        </w:rPr>
        <w:t>27 Opérateur : toute personne physique ou morale soumise à une ou plusieurs obligations prévues par les règles visées dans le présent arrêté.</w:t>
      </w:r>
    </w:p>
    <w:p w14:paraId="25FDB45E" w14:textId="77777777" w:rsidR="00E34453" w:rsidRPr="005E1EA7" w:rsidRDefault="00E34453" w:rsidP="00E34453">
      <w:pPr>
        <w:autoSpaceDE w:val="0"/>
        <w:autoSpaceDN w:val="0"/>
        <w:adjustRightInd w:val="0"/>
        <w:jc w:val="center"/>
        <w:rPr>
          <w:rFonts w:ascii="Tahoma" w:hAnsi="Tahoma" w:cs="Tahoma"/>
          <w:sz w:val="20"/>
          <w:szCs w:val="20"/>
        </w:rPr>
      </w:pPr>
    </w:p>
    <w:p w14:paraId="10FD51BE" w14:textId="77777777" w:rsidR="00E34453" w:rsidRPr="001E35DC" w:rsidRDefault="00E34453" w:rsidP="00E34453">
      <w:pPr>
        <w:jc w:val="center"/>
        <w:rPr>
          <w:rFonts w:ascii="Tahoma" w:hAnsi="Tahoma" w:cs="Tahoma"/>
          <w:b/>
          <w:bCs/>
          <w:sz w:val="20"/>
          <w:szCs w:val="20"/>
        </w:rPr>
      </w:pPr>
      <w:r w:rsidRPr="001E35DC">
        <w:rPr>
          <w:rFonts w:ascii="Tahoma" w:hAnsi="Tahoma" w:cs="Tahoma"/>
          <w:b/>
          <w:bCs/>
          <w:sz w:val="20"/>
          <w:szCs w:val="20"/>
        </w:rPr>
        <w:t>CHAPITRE I - OBLIGATIONS GÉNÉRALES</w:t>
      </w:r>
    </w:p>
    <w:p w14:paraId="6135A676" w14:textId="77777777" w:rsidR="00E34453" w:rsidRPr="005E1EA7" w:rsidRDefault="00E34453" w:rsidP="00E34453">
      <w:pPr>
        <w:autoSpaceDE w:val="0"/>
        <w:autoSpaceDN w:val="0"/>
        <w:adjustRightInd w:val="0"/>
        <w:jc w:val="both"/>
        <w:rPr>
          <w:rFonts w:ascii="Tahoma" w:hAnsi="Tahoma" w:cs="Tahoma"/>
          <w:sz w:val="20"/>
          <w:szCs w:val="20"/>
        </w:rPr>
      </w:pPr>
    </w:p>
    <w:p w14:paraId="623FDECC" w14:textId="77777777" w:rsidR="00E34453" w:rsidRPr="005E1EA7" w:rsidRDefault="00E34453" w:rsidP="00E34453">
      <w:pPr>
        <w:autoSpaceDE w:val="0"/>
        <w:autoSpaceDN w:val="0"/>
        <w:adjustRightInd w:val="0"/>
        <w:jc w:val="both"/>
        <w:rPr>
          <w:rFonts w:ascii="Tahoma" w:hAnsi="Tahoma" w:cs="Tahoma"/>
          <w:sz w:val="20"/>
          <w:szCs w:val="20"/>
        </w:rPr>
      </w:pPr>
      <w:r w:rsidRPr="005E1EA7">
        <w:rPr>
          <w:rFonts w:ascii="Tahoma" w:hAnsi="Tahoma" w:cs="Tahoma"/>
          <w:b/>
          <w:sz w:val="20"/>
          <w:szCs w:val="20"/>
          <w:u w:val="single"/>
        </w:rPr>
        <w:t>Article 3</w:t>
      </w:r>
      <w:r w:rsidRPr="005E1EA7">
        <w:rPr>
          <w:rFonts w:ascii="Tahoma" w:hAnsi="Tahoma" w:cs="Tahoma"/>
          <w:b/>
          <w:sz w:val="20"/>
          <w:szCs w:val="20"/>
        </w:rPr>
        <w:t xml:space="preserve"> -</w:t>
      </w:r>
      <w:r w:rsidRPr="005E1EA7">
        <w:rPr>
          <w:rFonts w:ascii="Tahoma" w:hAnsi="Tahoma" w:cs="Tahoma"/>
          <w:bCs/>
          <w:sz w:val="20"/>
          <w:szCs w:val="20"/>
        </w:rPr>
        <w:t xml:space="preserve"> Obligations générales concernant l’organisation des contrôles</w:t>
      </w:r>
      <w:r w:rsidRPr="005E1EA7">
        <w:rPr>
          <w:rFonts w:ascii="Tahoma" w:hAnsi="Tahoma" w:cs="Tahoma"/>
          <w:sz w:val="20"/>
          <w:szCs w:val="20"/>
        </w:rPr>
        <w:t xml:space="preserve"> officiels</w:t>
      </w:r>
    </w:p>
    <w:p w14:paraId="47532175" w14:textId="77777777" w:rsidR="00E34453" w:rsidRPr="005E1EA7" w:rsidRDefault="00E34453" w:rsidP="00E34453">
      <w:pPr>
        <w:autoSpaceDE w:val="0"/>
        <w:autoSpaceDN w:val="0"/>
        <w:adjustRightInd w:val="0"/>
        <w:jc w:val="both"/>
        <w:rPr>
          <w:rFonts w:ascii="Tahoma" w:hAnsi="Tahoma" w:cs="Tahoma"/>
          <w:sz w:val="20"/>
          <w:szCs w:val="20"/>
        </w:rPr>
      </w:pPr>
    </w:p>
    <w:p w14:paraId="5B376E2D" w14:textId="77777777" w:rsidR="00E34453" w:rsidRPr="005E1EA7" w:rsidRDefault="00E34453" w:rsidP="00E34453">
      <w:pPr>
        <w:autoSpaceDE w:val="0"/>
        <w:autoSpaceDN w:val="0"/>
        <w:adjustRightInd w:val="0"/>
        <w:jc w:val="both"/>
        <w:rPr>
          <w:rFonts w:ascii="Tahoma" w:hAnsi="Tahoma" w:cs="Tahoma"/>
          <w:sz w:val="20"/>
          <w:szCs w:val="20"/>
        </w:rPr>
      </w:pPr>
      <w:r w:rsidRPr="005E1EA7">
        <w:rPr>
          <w:rFonts w:ascii="Tahoma" w:hAnsi="Tahoma" w:cs="Tahoma"/>
          <w:sz w:val="20"/>
          <w:szCs w:val="20"/>
        </w:rPr>
        <w:t>1. Les contrôles officiels sont effectués régulièrement en fonction du risque et à une fréquence adéquate pour atteindre les objectifs visés par le présent arrêté, en tenant compte des éléments suivants :</w:t>
      </w:r>
    </w:p>
    <w:p w14:paraId="788AAB08" w14:textId="77777777" w:rsidR="00E34453" w:rsidRPr="005E1EA7" w:rsidRDefault="00E34453" w:rsidP="00E34453">
      <w:pPr>
        <w:autoSpaceDE w:val="0"/>
        <w:autoSpaceDN w:val="0"/>
        <w:adjustRightInd w:val="0"/>
        <w:ind w:left="540" w:hanging="180"/>
        <w:jc w:val="both"/>
        <w:rPr>
          <w:rFonts w:ascii="Tahoma" w:hAnsi="Tahoma" w:cs="Tahoma"/>
          <w:sz w:val="20"/>
          <w:szCs w:val="20"/>
        </w:rPr>
      </w:pPr>
      <w:r w:rsidRPr="005E1EA7">
        <w:rPr>
          <w:rFonts w:ascii="Tahoma" w:hAnsi="Tahoma" w:cs="Tahoma"/>
          <w:sz w:val="20"/>
          <w:szCs w:val="20"/>
        </w:rPr>
        <w:t>a) les risques identifiés liés aux produits de la pêche, aux établissements de traitement des produits de la pêche (à terre et à bord), à l’utilisation de produits de la pêche ou de tout processus, matériel, substance, activité ou opération susceptible d’influer sur la sécurité des produits de la pêche ;</w:t>
      </w:r>
    </w:p>
    <w:p w14:paraId="7AD04751" w14:textId="77777777" w:rsidR="00E34453" w:rsidRPr="005E1EA7" w:rsidRDefault="00E34453" w:rsidP="00E34453">
      <w:pPr>
        <w:autoSpaceDE w:val="0"/>
        <w:autoSpaceDN w:val="0"/>
        <w:adjustRightInd w:val="0"/>
        <w:ind w:left="540" w:hanging="180"/>
        <w:jc w:val="both"/>
        <w:rPr>
          <w:rFonts w:ascii="Tahoma" w:hAnsi="Tahoma" w:cs="Tahoma"/>
          <w:sz w:val="20"/>
          <w:szCs w:val="20"/>
        </w:rPr>
      </w:pPr>
      <w:r w:rsidRPr="005E1EA7">
        <w:rPr>
          <w:rFonts w:ascii="Tahoma" w:hAnsi="Tahoma" w:cs="Tahoma"/>
          <w:sz w:val="20"/>
          <w:szCs w:val="20"/>
        </w:rPr>
        <w:t>b) les antécédents des exploitants du secteur de la pêche en matière de respect de la législation relative aux produits de la pêche ;</w:t>
      </w:r>
    </w:p>
    <w:p w14:paraId="234CE08B" w14:textId="77777777" w:rsidR="00E34453" w:rsidRPr="005E1EA7" w:rsidRDefault="00E34453" w:rsidP="00E34453">
      <w:pPr>
        <w:autoSpaceDE w:val="0"/>
        <w:autoSpaceDN w:val="0"/>
        <w:adjustRightInd w:val="0"/>
        <w:ind w:left="540" w:hanging="180"/>
        <w:jc w:val="both"/>
        <w:rPr>
          <w:rFonts w:ascii="Tahoma" w:hAnsi="Tahoma" w:cs="Tahoma"/>
          <w:sz w:val="20"/>
          <w:szCs w:val="20"/>
        </w:rPr>
      </w:pPr>
    </w:p>
    <w:p w14:paraId="574F008C" w14:textId="77777777" w:rsidR="00E34453" w:rsidRPr="005E1EA7" w:rsidRDefault="00E34453" w:rsidP="00E34453">
      <w:pPr>
        <w:autoSpaceDE w:val="0"/>
        <w:autoSpaceDN w:val="0"/>
        <w:adjustRightInd w:val="0"/>
        <w:ind w:left="540" w:hanging="180"/>
        <w:jc w:val="both"/>
        <w:rPr>
          <w:rFonts w:ascii="Tahoma" w:hAnsi="Tahoma" w:cs="Tahoma"/>
          <w:sz w:val="20"/>
          <w:szCs w:val="20"/>
        </w:rPr>
      </w:pPr>
      <w:r w:rsidRPr="005E1EA7">
        <w:rPr>
          <w:rFonts w:ascii="Tahoma" w:hAnsi="Tahoma" w:cs="Tahoma"/>
          <w:sz w:val="20"/>
          <w:szCs w:val="20"/>
        </w:rPr>
        <w:t>c) la fiabilité de leurs autocontrôles déjà effectués ;</w:t>
      </w:r>
    </w:p>
    <w:p w14:paraId="0CD4E2B7" w14:textId="77777777" w:rsidR="00E34453" w:rsidRPr="005E1EA7" w:rsidRDefault="00E34453" w:rsidP="00E34453">
      <w:pPr>
        <w:autoSpaceDE w:val="0"/>
        <w:autoSpaceDN w:val="0"/>
        <w:adjustRightInd w:val="0"/>
        <w:ind w:left="540" w:hanging="180"/>
        <w:jc w:val="both"/>
        <w:rPr>
          <w:rFonts w:ascii="Tahoma" w:hAnsi="Tahoma" w:cs="Tahoma"/>
          <w:sz w:val="20"/>
          <w:szCs w:val="20"/>
        </w:rPr>
      </w:pPr>
    </w:p>
    <w:p w14:paraId="5E0A3084" w14:textId="77777777" w:rsidR="00E34453" w:rsidRPr="005E1EA7" w:rsidRDefault="00E34453" w:rsidP="00E34453">
      <w:pPr>
        <w:autoSpaceDE w:val="0"/>
        <w:autoSpaceDN w:val="0"/>
        <w:adjustRightInd w:val="0"/>
        <w:ind w:left="540" w:hanging="180"/>
        <w:jc w:val="both"/>
        <w:rPr>
          <w:rFonts w:ascii="Tahoma" w:hAnsi="Tahoma" w:cs="Tahoma"/>
          <w:sz w:val="20"/>
          <w:szCs w:val="20"/>
        </w:rPr>
      </w:pPr>
      <w:r w:rsidRPr="005E1EA7">
        <w:rPr>
          <w:rFonts w:ascii="Tahoma" w:hAnsi="Tahoma" w:cs="Tahoma"/>
          <w:sz w:val="20"/>
          <w:szCs w:val="20"/>
        </w:rPr>
        <w:t>d) toute information donnant à penser qu’un manquement pourrait avoir été commis.</w:t>
      </w:r>
    </w:p>
    <w:p w14:paraId="47F40DF8" w14:textId="77777777" w:rsidR="00E34453" w:rsidRPr="005E1EA7" w:rsidRDefault="00E34453" w:rsidP="00E34453">
      <w:pPr>
        <w:autoSpaceDE w:val="0"/>
        <w:autoSpaceDN w:val="0"/>
        <w:adjustRightInd w:val="0"/>
        <w:ind w:left="540" w:hanging="180"/>
        <w:jc w:val="both"/>
        <w:rPr>
          <w:rFonts w:ascii="Tahoma" w:hAnsi="Tahoma" w:cs="Tahoma"/>
          <w:sz w:val="20"/>
          <w:szCs w:val="20"/>
        </w:rPr>
      </w:pPr>
      <w:r w:rsidRPr="005E1EA7">
        <w:rPr>
          <w:rFonts w:ascii="Tahoma" w:hAnsi="Tahoma" w:cs="Tahoma"/>
          <w:sz w:val="20"/>
          <w:szCs w:val="20"/>
        </w:rPr>
        <w:t>e) toute information indiquant la probabilité que le consommateur puisse être induit en erreur, en particulier en ce qui concerne la nature, l’identité, les qualités, la composition, la durabilité, la provenance, le mode de fabrication ou de production des produits de la pêche ;</w:t>
      </w:r>
    </w:p>
    <w:p w14:paraId="78C8D103" w14:textId="77777777" w:rsidR="00E34453" w:rsidRPr="005E1EA7" w:rsidRDefault="00E34453" w:rsidP="00E34453">
      <w:pPr>
        <w:autoSpaceDE w:val="0"/>
        <w:autoSpaceDN w:val="0"/>
        <w:adjustRightInd w:val="0"/>
        <w:jc w:val="both"/>
        <w:rPr>
          <w:rFonts w:ascii="Tahoma" w:hAnsi="Tahoma" w:cs="Tahoma"/>
          <w:sz w:val="20"/>
          <w:szCs w:val="20"/>
        </w:rPr>
      </w:pPr>
    </w:p>
    <w:p w14:paraId="4B074BD6" w14:textId="77777777" w:rsidR="00E34453" w:rsidRPr="005E1EA7" w:rsidRDefault="00E34453" w:rsidP="00E34453">
      <w:pPr>
        <w:autoSpaceDE w:val="0"/>
        <w:autoSpaceDN w:val="0"/>
        <w:adjustRightInd w:val="0"/>
        <w:jc w:val="both"/>
        <w:rPr>
          <w:rFonts w:ascii="Tahoma" w:hAnsi="Tahoma" w:cs="Tahoma"/>
          <w:sz w:val="20"/>
          <w:szCs w:val="20"/>
        </w:rPr>
      </w:pPr>
      <w:r w:rsidRPr="005E1EA7">
        <w:rPr>
          <w:rFonts w:ascii="Tahoma" w:hAnsi="Tahoma" w:cs="Tahoma"/>
          <w:sz w:val="20"/>
          <w:szCs w:val="20"/>
        </w:rPr>
        <w:t xml:space="preserve">2. Les contrôles officiels sont effectués sans préavis, sauf dans des cas tels que les audits annuels, les inspections pour la délivrance des agréments ou le renouvellement de ceux-ci pour lesquels il est nécessaire de notifier préalablement aux armateurs et usiniers. </w:t>
      </w:r>
    </w:p>
    <w:p w14:paraId="71F53239" w14:textId="77777777" w:rsidR="00E34453" w:rsidRPr="005E1EA7" w:rsidRDefault="00E34453" w:rsidP="00E34453">
      <w:pPr>
        <w:autoSpaceDE w:val="0"/>
        <w:autoSpaceDN w:val="0"/>
        <w:adjustRightInd w:val="0"/>
        <w:jc w:val="both"/>
        <w:rPr>
          <w:rFonts w:ascii="Tahoma" w:hAnsi="Tahoma" w:cs="Tahoma"/>
          <w:sz w:val="20"/>
          <w:szCs w:val="20"/>
        </w:rPr>
      </w:pPr>
    </w:p>
    <w:p w14:paraId="66949A9C" w14:textId="77777777" w:rsidR="00E34453" w:rsidRPr="005E1EA7" w:rsidRDefault="00E34453" w:rsidP="00E34453">
      <w:pPr>
        <w:autoSpaceDE w:val="0"/>
        <w:autoSpaceDN w:val="0"/>
        <w:adjustRightInd w:val="0"/>
        <w:jc w:val="both"/>
        <w:rPr>
          <w:rFonts w:ascii="Tahoma" w:hAnsi="Tahoma" w:cs="Tahoma"/>
          <w:sz w:val="20"/>
          <w:szCs w:val="20"/>
        </w:rPr>
      </w:pPr>
      <w:r w:rsidRPr="005E1EA7">
        <w:rPr>
          <w:rFonts w:ascii="Tahoma" w:hAnsi="Tahoma" w:cs="Tahoma"/>
          <w:sz w:val="20"/>
          <w:szCs w:val="20"/>
        </w:rPr>
        <w:t>3. Les contrôles officiels sont réalisés à n’importe quel stade de la production, de la transformation et de la distribution des produits de la pêche. Ils comprennent des contrôles des établissements de traitement des produits de la pêche (à terre et à bord), de l’utilisation de produits de la pêche, de leur stockage ou de tout processus, matériels, substances, activités ou opérations, y compris le transport, faisant intervenir des produits de la pêche, requis en vue d’atteindre les objectifs du présent arrêté.</w:t>
      </w:r>
    </w:p>
    <w:p w14:paraId="6DFC2DB5" w14:textId="77777777" w:rsidR="00E34453" w:rsidRPr="005E1EA7" w:rsidRDefault="00E34453" w:rsidP="00E34453">
      <w:pPr>
        <w:autoSpaceDE w:val="0"/>
        <w:autoSpaceDN w:val="0"/>
        <w:adjustRightInd w:val="0"/>
        <w:jc w:val="both"/>
        <w:rPr>
          <w:rFonts w:ascii="Tahoma" w:hAnsi="Tahoma" w:cs="Tahoma"/>
          <w:sz w:val="20"/>
          <w:szCs w:val="20"/>
        </w:rPr>
      </w:pPr>
    </w:p>
    <w:p w14:paraId="7E726D30" w14:textId="77777777" w:rsidR="00E34453" w:rsidRPr="005E1EA7" w:rsidRDefault="00E34453" w:rsidP="00E34453">
      <w:pPr>
        <w:autoSpaceDE w:val="0"/>
        <w:autoSpaceDN w:val="0"/>
        <w:adjustRightInd w:val="0"/>
        <w:jc w:val="both"/>
        <w:rPr>
          <w:rFonts w:ascii="Tahoma" w:hAnsi="Tahoma" w:cs="Tahoma"/>
          <w:sz w:val="20"/>
          <w:szCs w:val="20"/>
        </w:rPr>
      </w:pPr>
      <w:r w:rsidRPr="005E1EA7">
        <w:rPr>
          <w:rFonts w:ascii="Tahoma" w:hAnsi="Tahoma" w:cs="Tahoma"/>
          <w:sz w:val="20"/>
          <w:szCs w:val="20"/>
        </w:rPr>
        <w:t>4. Les contrôles officiels sont, dans la mesure du possible, effectués de manière telle que les contraintes administratives et la perturbation des processus de production pour les opérateurs sont réduites au minimum nécessaire, sans toutefois nuire à la qualité desdits contrôles</w:t>
      </w:r>
    </w:p>
    <w:p w14:paraId="06D3D4FC" w14:textId="77777777" w:rsidR="00E34453" w:rsidRPr="005E1EA7" w:rsidRDefault="00E34453" w:rsidP="00E34453">
      <w:pPr>
        <w:autoSpaceDE w:val="0"/>
        <w:autoSpaceDN w:val="0"/>
        <w:adjustRightInd w:val="0"/>
        <w:rPr>
          <w:rFonts w:ascii="Tahoma" w:hAnsi="Tahoma" w:cs="Tahoma"/>
          <w:sz w:val="20"/>
          <w:szCs w:val="20"/>
        </w:rPr>
      </w:pPr>
    </w:p>
    <w:p w14:paraId="079E757B" w14:textId="77777777" w:rsidR="00E34453" w:rsidRPr="005E1EA7" w:rsidRDefault="00E34453" w:rsidP="00E34453">
      <w:pPr>
        <w:autoSpaceDE w:val="0"/>
        <w:autoSpaceDN w:val="0"/>
        <w:adjustRightInd w:val="0"/>
        <w:jc w:val="center"/>
        <w:rPr>
          <w:rFonts w:ascii="Tahoma" w:hAnsi="Tahoma" w:cs="Tahoma"/>
          <w:b/>
          <w:bCs/>
          <w:sz w:val="20"/>
          <w:szCs w:val="20"/>
        </w:rPr>
      </w:pPr>
      <w:r w:rsidRPr="005E1EA7">
        <w:rPr>
          <w:rFonts w:ascii="Tahoma" w:hAnsi="Tahoma" w:cs="Tahoma"/>
          <w:b/>
          <w:bCs/>
          <w:sz w:val="20"/>
          <w:szCs w:val="20"/>
        </w:rPr>
        <w:t>CHAPITRE II - AUTORITE COMPETENTE</w:t>
      </w:r>
    </w:p>
    <w:p w14:paraId="650DB06B" w14:textId="77777777" w:rsidR="00E34453" w:rsidRPr="005E1EA7" w:rsidRDefault="00E34453" w:rsidP="00E34453">
      <w:pPr>
        <w:autoSpaceDE w:val="0"/>
        <w:autoSpaceDN w:val="0"/>
        <w:adjustRightInd w:val="0"/>
        <w:rPr>
          <w:rFonts w:ascii="Tahoma" w:hAnsi="Tahoma" w:cs="Tahoma"/>
          <w:sz w:val="20"/>
          <w:szCs w:val="20"/>
        </w:rPr>
      </w:pPr>
    </w:p>
    <w:p w14:paraId="5935F6AD" w14:textId="77777777" w:rsidR="00E34453" w:rsidRPr="005E1EA7" w:rsidRDefault="00E34453" w:rsidP="00E34453">
      <w:pPr>
        <w:autoSpaceDE w:val="0"/>
        <w:autoSpaceDN w:val="0"/>
        <w:adjustRightInd w:val="0"/>
        <w:rPr>
          <w:rFonts w:ascii="Tahoma" w:hAnsi="Tahoma" w:cs="Tahoma"/>
          <w:bCs/>
          <w:sz w:val="20"/>
          <w:szCs w:val="20"/>
        </w:rPr>
      </w:pPr>
      <w:r w:rsidRPr="005E1EA7">
        <w:rPr>
          <w:rFonts w:ascii="Tahoma" w:hAnsi="Tahoma" w:cs="Tahoma"/>
          <w:b/>
          <w:sz w:val="20"/>
          <w:szCs w:val="20"/>
          <w:u w:val="single"/>
        </w:rPr>
        <w:t>Article 4</w:t>
      </w:r>
      <w:r w:rsidRPr="005E1EA7">
        <w:rPr>
          <w:rFonts w:ascii="Tahoma" w:hAnsi="Tahoma" w:cs="Tahoma"/>
          <w:b/>
          <w:sz w:val="20"/>
          <w:szCs w:val="20"/>
        </w:rPr>
        <w:t xml:space="preserve"> -</w:t>
      </w:r>
      <w:r w:rsidRPr="005E1EA7">
        <w:rPr>
          <w:rFonts w:ascii="Tahoma" w:hAnsi="Tahoma" w:cs="Tahoma"/>
          <w:bCs/>
          <w:sz w:val="20"/>
          <w:szCs w:val="20"/>
        </w:rPr>
        <w:t xml:space="preserve"> Désignation de l’autorité compétente et critères opérationnels</w:t>
      </w:r>
    </w:p>
    <w:p w14:paraId="064523B7" w14:textId="77777777" w:rsidR="00E34453" w:rsidRPr="005E1EA7" w:rsidRDefault="00E34453" w:rsidP="00E34453">
      <w:pPr>
        <w:autoSpaceDE w:val="0"/>
        <w:autoSpaceDN w:val="0"/>
        <w:adjustRightInd w:val="0"/>
        <w:rPr>
          <w:rFonts w:ascii="Tahoma" w:hAnsi="Tahoma" w:cs="Tahoma"/>
          <w:bCs/>
          <w:sz w:val="20"/>
          <w:szCs w:val="20"/>
        </w:rPr>
      </w:pPr>
    </w:p>
    <w:p w14:paraId="2577E74B" w14:textId="77777777" w:rsidR="00E34453" w:rsidRPr="005E1EA7" w:rsidRDefault="00E34453" w:rsidP="00E34453">
      <w:pPr>
        <w:autoSpaceDE w:val="0"/>
        <w:autoSpaceDN w:val="0"/>
        <w:adjustRightInd w:val="0"/>
        <w:jc w:val="both"/>
        <w:rPr>
          <w:rFonts w:ascii="Tahoma" w:hAnsi="Tahoma" w:cs="Tahoma"/>
          <w:bCs/>
          <w:sz w:val="20"/>
          <w:szCs w:val="20"/>
        </w:rPr>
      </w:pPr>
      <w:r w:rsidRPr="005E1EA7">
        <w:rPr>
          <w:rFonts w:ascii="Tahoma" w:hAnsi="Tahoma" w:cs="Tahoma"/>
          <w:bCs/>
          <w:sz w:val="20"/>
          <w:szCs w:val="20"/>
        </w:rPr>
        <w:t xml:space="preserve">1. Le Ministre chargé des pêches, est l’autorité compétente de l’Etat, conformément aux dispositions du Décret 94.030, à laquelle incombe la responsabilité des objectifs et contrôles officiels prévus par le présent arrêté. </w:t>
      </w:r>
    </w:p>
    <w:p w14:paraId="03F0EA7D" w14:textId="77777777" w:rsidR="00E34453" w:rsidRPr="005E1EA7" w:rsidRDefault="00E34453" w:rsidP="00E34453">
      <w:pPr>
        <w:autoSpaceDE w:val="0"/>
        <w:autoSpaceDN w:val="0"/>
        <w:adjustRightInd w:val="0"/>
        <w:rPr>
          <w:rFonts w:ascii="Tahoma" w:hAnsi="Tahoma" w:cs="Tahoma"/>
          <w:bCs/>
          <w:sz w:val="20"/>
          <w:szCs w:val="20"/>
        </w:rPr>
      </w:pPr>
    </w:p>
    <w:p w14:paraId="4C606067" w14:textId="77777777" w:rsidR="00E34453" w:rsidRPr="005E1EA7" w:rsidRDefault="00E34453" w:rsidP="00E34453">
      <w:pPr>
        <w:autoSpaceDE w:val="0"/>
        <w:autoSpaceDN w:val="0"/>
        <w:adjustRightInd w:val="0"/>
        <w:jc w:val="both"/>
        <w:rPr>
          <w:rFonts w:ascii="Tahoma" w:hAnsi="Tahoma" w:cs="Tahoma"/>
          <w:bCs/>
          <w:sz w:val="20"/>
          <w:szCs w:val="20"/>
        </w:rPr>
      </w:pPr>
      <w:r w:rsidRPr="005E1EA7">
        <w:rPr>
          <w:rFonts w:ascii="Tahoma" w:hAnsi="Tahoma" w:cs="Tahoma"/>
          <w:bCs/>
          <w:sz w:val="20"/>
          <w:szCs w:val="20"/>
        </w:rPr>
        <w:t>2. L’autorité compétente veille à :</w:t>
      </w:r>
    </w:p>
    <w:p w14:paraId="285F2297" w14:textId="77777777" w:rsidR="00E34453" w:rsidRPr="005E1EA7" w:rsidRDefault="00E34453" w:rsidP="00E34453">
      <w:pPr>
        <w:autoSpaceDE w:val="0"/>
        <w:autoSpaceDN w:val="0"/>
        <w:adjustRightInd w:val="0"/>
        <w:jc w:val="both"/>
        <w:rPr>
          <w:rFonts w:ascii="Tahoma" w:hAnsi="Tahoma" w:cs="Tahoma"/>
          <w:bCs/>
          <w:sz w:val="20"/>
          <w:szCs w:val="20"/>
        </w:rPr>
      </w:pPr>
    </w:p>
    <w:p w14:paraId="64BEC628" w14:textId="77777777" w:rsidR="00E34453" w:rsidRPr="005E1EA7" w:rsidRDefault="00E34453" w:rsidP="00E34453">
      <w:pPr>
        <w:autoSpaceDE w:val="0"/>
        <w:autoSpaceDN w:val="0"/>
        <w:adjustRightInd w:val="0"/>
        <w:ind w:left="540" w:hanging="180"/>
        <w:jc w:val="both"/>
        <w:rPr>
          <w:rFonts w:ascii="Tahoma" w:hAnsi="Tahoma" w:cs="Tahoma"/>
          <w:bCs/>
          <w:sz w:val="20"/>
          <w:szCs w:val="20"/>
        </w:rPr>
      </w:pPr>
      <w:r w:rsidRPr="005E1EA7">
        <w:rPr>
          <w:rFonts w:ascii="Tahoma" w:hAnsi="Tahoma" w:cs="Tahoma"/>
          <w:bCs/>
          <w:sz w:val="20"/>
          <w:szCs w:val="20"/>
        </w:rPr>
        <w:t>a) l’efficacité et l’opportunité des contrôles officiels concernant les produits de la pêche à tous les stades de la production, de la transformation et de la distribution des aliments ;</w:t>
      </w:r>
    </w:p>
    <w:p w14:paraId="05C4DB6E" w14:textId="77777777" w:rsidR="00E34453" w:rsidRPr="005E1EA7" w:rsidRDefault="00E34453" w:rsidP="00E34453">
      <w:pPr>
        <w:autoSpaceDE w:val="0"/>
        <w:autoSpaceDN w:val="0"/>
        <w:adjustRightInd w:val="0"/>
        <w:ind w:left="540" w:hanging="180"/>
        <w:jc w:val="both"/>
        <w:rPr>
          <w:rFonts w:ascii="Tahoma" w:hAnsi="Tahoma" w:cs="Tahoma"/>
          <w:bCs/>
          <w:sz w:val="20"/>
          <w:szCs w:val="20"/>
        </w:rPr>
      </w:pPr>
    </w:p>
    <w:p w14:paraId="6C22B7D7" w14:textId="77777777" w:rsidR="00E34453" w:rsidRPr="005E1EA7" w:rsidRDefault="00E34453" w:rsidP="00E34453">
      <w:pPr>
        <w:autoSpaceDE w:val="0"/>
        <w:autoSpaceDN w:val="0"/>
        <w:adjustRightInd w:val="0"/>
        <w:ind w:left="540" w:hanging="180"/>
        <w:jc w:val="both"/>
        <w:rPr>
          <w:rFonts w:ascii="Tahoma" w:hAnsi="Tahoma" w:cs="Tahoma"/>
          <w:bCs/>
          <w:sz w:val="20"/>
          <w:szCs w:val="20"/>
        </w:rPr>
      </w:pPr>
      <w:r w:rsidRPr="005E1EA7">
        <w:rPr>
          <w:rFonts w:ascii="Tahoma" w:hAnsi="Tahoma" w:cs="Tahoma"/>
          <w:bCs/>
          <w:sz w:val="20"/>
          <w:szCs w:val="20"/>
        </w:rPr>
        <w:t xml:space="preserve">b) ce que le personnel effectuant les contrôles officiels soit libre de tout conflit d’intérêt ; </w:t>
      </w:r>
    </w:p>
    <w:p w14:paraId="0AF3ABBE" w14:textId="77777777" w:rsidR="00E34453" w:rsidRPr="005E1EA7" w:rsidRDefault="00E34453" w:rsidP="00E34453">
      <w:pPr>
        <w:autoSpaceDE w:val="0"/>
        <w:autoSpaceDN w:val="0"/>
        <w:adjustRightInd w:val="0"/>
        <w:ind w:left="540" w:hanging="180"/>
        <w:jc w:val="both"/>
        <w:rPr>
          <w:rFonts w:ascii="Tahoma" w:hAnsi="Tahoma" w:cs="Tahoma"/>
          <w:bCs/>
          <w:sz w:val="20"/>
          <w:szCs w:val="20"/>
        </w:rPr>
      </w:pPr>
    </w:p>
    <w:p w14:paraId="41105C6F" w14:textId="77777777" w:rsidR="00E34453" w:rsidRPr="005E1EA7" w:rsidRDefault="00E34453" w:rsidP="00E34453">
      <w:pPr>
        <w:autoSpaceDE w:val="0"/>
        <w:autoSpaceDN w:val="0"/>
        <w:adjustRightInd w:val="0"/>
        <w:ind w:left="540" w:hanging="180"/>
        <w:jc w:val="both"/>
        <w:rPr>
          <w:rFonts w:ascii="Tahoma" w:hAnsi="Tahoma" w:cs="Tahoma"/>
          <w:bCs/>
          <w:sz w:val="20"/>
          <w:szCs w:val="20"/>
        </w:rPr>
      </w:pPr>
      <w:r w:rsidRPr="005E1EA7">
        <w:rPr>
          <w:rFonts w:ascii="Tahoma" w:hAnsi="Tahoma" w:cs="Tahoma"/>
          <w:bCs/>
          <w:sz w:val="20"/>
          <w:szCs w:val="20"/>
        </w:rPr>
        <w:t>c) posséder des laboratoires d’une capacité appropriée pour effectuer les examens ainsi qu’un personnel dûment qualifié et expérimenté en nombre suffisant pour pouvoir exécuter les contrôles officiels et s’acquitter des obligations de contrôle de manière efficace et effective, ou à avoir accès à ces laboratoires ;</w:t>
      </w:r>
    </w:p>
    <w:p w14:paraId="2BB6E1F2" w14:textId="77777777" w:rsidR="00E34453" w:rsidRPr="005E1EA7" w:rsidRDefault="00E34453" w:rsidP="00E34453">
      <w:pPr>
        <w:autoSpaceDE w:val="0"/>
        <w:autoSpaceDN w:val="0"/>
        <w:adjustRightInd w:val="0"/>
        <w:ind w:left="540" w:hanging="180"/>
        <w:jc w:val="both"/>
        <w:rPr>
          <w:rFonts w:ascii="Tahoma" w:hAnsi="Tahoma" w:cs="Tahoma"/>
          <w:bCs/>
          <w:sz w:val="20"/>
          <w:szCs w:val="20"/>
        </w:rPr>
      </w:pPr>
    </w:p>
    <w:p w14:paraId="2206CFAA" w14:textId="77777777" w:rsidR="00E34453" w:rsidRPr="005E1EA7" w:rsidRDefault="00E34453" w:rsidP="00E34453">
      <w:pPr>
        <w:autoSpaceDE w:val="0"/>
        <w:autoSpaceDN w:val="0"/>
        <w:adjustRightInd w:val="0"/>
        <w:ind w:left="540" w:hanging="180"/>
        <w:jc w:val="both"/>
        <w:rPr>
          <w:rFonts w:ascii="Tahoma" w:hAnsi="Tahoma" w:cs="Tahoma"/>
          <w:bCs/>
          <w:sz w:val="20"/>
          <w:szCs w:val="20"/>
        </w:rPr>
      </w:pPr>
      <w:r w:rsidRPr="005E1EA7">
        <w:rPr>
          <w:rFonts w:ascii="Tahoma" w:hAnsi="Tahoma" w:cs="Tahoma"/>
          <w:bCs/>
          <w:sz w:val="20"/>
          <w:szCs w:val="20"/>
        </w:rPr>
        <w:t>d) posséder des installations et des équipements appropriés et correctement entretenus qui permettent au personnel d’effectuer les contrôles officiels de manière efficace et effective ;</w:t>
      </w:r>
    </w:p>
    <w:p w14:paraId="7A5982EC" w14:textId="77777777" w:rsidR="00E34453" w:rsidRPr="005E1EA7" w:rsidRDefault="00E34453" w:rsidP="00E34453">
      <w:pPr>
        <w:autoSpaceDE w:val="0"/>
        <w:autoSpaceDN w:val="0"/>
        <w:adjustRightInd w:val="0"/>
        <w:ind w:left="540" w:hanging="180"/>
        <w:jc w:val="both"/>
        <w:rPr>
          <w:rFonts w:ascii="Tahoma" w:hAnsi="Tahoma" w:cs="Tahoma"/>
          <w:bCs/>
          <w:sz w:val="20"/>
          <w:szCs w:val="20"/>
        </w:rPr>
      </w:pPr>
    </w:p>
    <w:p w14:paraId="57009397" w14:textId="77777777" w:rsidR="00E34453" w:rsidRPr="005E1EA7" w:rsidRDefault="00E34453" w:rsidP="00E34453">
      <w:pPr>
        <w:autoSpaceDE w:val="0"/>
        <w:autoSpaceDN w:val="0"/>
        <w:adjustRightInd w:val="0"/>
        <w:ind w:left="540" w:hanging="180"/>
        <w:jc w:val="both"/>
        <w:rPr>
          <w:rFonts w:ascii="Tahoma" w:hAnsi="Tahoma" w:cs="Tahoma"/>
          <w:bCs/>
          <w:sz w:val="20"/>
          <w:szCs w:val="20"/>
        </w:rPr>
      </w:pPr>
      <w:r w:rsidRPr="005E1EA7">
        <w:rPr>
          <w:rFonts w:ascii="Tahoma" w:hAnsi="Tahoma" w:cs="Tahoma"/>
          <w:bCs/>
          <w:sz w:val="20"/>
          <w:szCs w:val="20"/>
        </w:rPr>
        <w:t>e) être investie des compétences légales nécessaires pour effectuer les contrôles officiels et prendre les mesures prévues par le présent arrêté ;</w:t>
      </w:r>
    </w:p>
    <w:p w14:paraId="4C2AEB6F" w14:textId="77777777" w:rsidR="00E34453" w:rsidRPr="005E1EA7" w:rsidRDefault="00E34453" w:rsidP="00E34453">
      <w:pPr>
        <w:autoSpaceDE w:val="0"/>
        <w:autoSpaceDN w:val="0"/>
        <w:adjustRightInd w:val="0"/>
        <w:ind w:left="540" w:hanging="180"/>
        <w:jc w:val="both"/>
        <w:rPr>
          <w:rFonts w:ascii="Tahoma" w:hAnsi="Tahoma" w:cs="Tahoma"/>
          <w:bCs/>
          <w:sz w:val="20"/>
          <w:szCs w:val="20"/>
        </w:rPr>
      </w:pPr>
    </w:p>
    <w:p w14:paraId="2596EA87" w14:textId="77777777" w:rsidR="00E34453" w:rsidRPr="005E1EA7" w:rsidRDefault="00E34453" w:rsidP="00E34453">
      <w:pPr>
        <w:autoSpaceDE w:val="0"/>
        <w:autoSpaceDN w:val="0"/>
        <w:adjustRightInd w:val="0"/>
        <w:ind w:left="540" w:hanging="180"/>
        <w:jc w:val="both"/>
        <w:rPr>
          <w:rFonts w:ascii="Tahoma" w:hAnsi="Tahoma" w:cs="Tahoma"/>
          <w:bCs/>
          <w:sz w:val="20"/>
          <w:szCs w:val="20"/>
        </w:rPr>
      </w:pPr>
      <w:r w:rsidRPr="005E1EA7">
        <w:rPr>
          <w:rFonts w:ascii="Tahoma" w:hAnsi="Tahoma" w:cs="Tahoma"/>
          <w:bCs/>
          <w:sz w:val="20"/>
          <w:szCs w:val="20"/>
        </w:rPr>
        <w:t>f) disposer de plans d’intervention et à être en mesure de mettre ces plans en œuvre en cas d’urgence ;</w:t>
      </w:r>
    </w:p>
    <w:p w14:paraId="29AFF16B" w14:textId="77777777" w:rsidR="00E34453" w:rsidRPr="005E1EA7" w:rsidRDefault="00E34453" w:rsidP="00E34453">
      <w:pPr>
        <w:autoSpaceDE w:val="0"/>
        <w:autoSpaceDN w:val="0"/>
        <w:adjustRightInd w:val="0"/>
        <w:ind w:left="540" w:hanging="180"/>
        <w:jc w:val="both"/>
        <w:rPr>
          <w:rFonts w:ascii="Tahoma" w:hAnsi="Tahoma" w:cs="Tahoma"/>
          <w:bCs/>
          <w:sz w:val="20"/>
          <w:szCs w:val="20"/>
        </w:rPr>
      </w:pPr>
    </w:p>
    <w:p w14:paraId="5DCD6E6F" w14:textId="77777777" w:rsidR="00E34453" w:rsidRPr="005E1EA7" w:rsidRDefault="00E34453" w:rsidP="00E34453">
      <w:pPr>
        <w:autoSpaceDE w:val="0"/>
        <w:autoSpaceDN w:val="0"/>
        <w:adjustRightInd w:val="0"/>
        <w:ind w:left="540" w:hanging="180"/>
        <w:jc w:val="both"/>
        <w:rPr>
          <w:rFonts w:ascii="Tahoma" w:hAnsi="Tahoma" w:cs="Tahoma"/>
          <w:bCs/>
          <w:sz w:val="20"/>
          <w:szCs w:val="20"/>
        </w:rPr>
      </w:pPr>
      <w:r w:rsidRPr="005E1EA7">
        <w:rPr>
          <w:rFonts w:ascii="Tahoma" w:hAnsi="Tahoma" w:cs="Tahoma"/>
          <w:bCs/>
          <w:sz w:val="20"/>
          <w:szCs w:val="20"/>
        </w:rPr>
        <w:t>g) disposer des procédures juridiques garantissant que le personnel a accès aux locaux des opérateurs et à la documentation que ceux-ci détiennent afin que le personnel puisse accomplir correctement ses tâches ;</w:t>
      </w:r>
    </w:p>
    <w:p w14:paraId="2D128CFD" w14:textId="77777777" w:rsidR="00E34453" w:rsidRPr="005E1EA7" w:rsidRDefault="00E34453" w:rsidP="00E34453">
      <w:pPr>
        <w:autoSpaceDE w:val="0"/>
        <w:autoSpaceDN w:val="0"/>
        <w:adjustRightInd w:val="0"/>
        <w:ind w:left="540" w:hanging="180"/>
        <w:jc w:val="both"/>
        <w:rPr>
          <w:rFonts w:ascii="Tahoma" w:hAnsi="Tahoma" w:cs="Tahoma"/>
          <w:bCs/>
          <w:sz w:val="20"/>
          <w:szCs w:val="20"/>
        </w:rPr>
      </w:pPr>
    </w:p>
    <w:p w14:paraId="3BB798A2" w14:textId="77777777" w:rsidR="00E34453" w:rsidRPr="005E1EA7" w:rsidRDefault="00E34453" w:rsidP="00E34453">
      <w:pPr>
        <w:autoSpaceDE w:val="0"/>
        <w:autoSpaceDN w:val="0"/>
        <w:adjustRightInd w:val="0"/>
        <w:ind w:left="540" w:hanging="180"/>
        <w:jc w:val="both"/>
        <w:rPr>
          <w:rFonts w:ascii="Tahoma" w:hAnsi="Tahoma" w:cs="Tahoma"/>
          <w:bCs/>
          <w:sz w:val="20"/>
          <w:szCs w:val="20"/>
        </w:rPr>
      </w:pPr>
      <w:r w:rsidRPr="005E1EA7">
        <w:rPr>
          <w:rFonts w:ascii="Tahoma" w:hAnsi="Tahoma" w:cs="Tahoma"/>
          <w:bCs/>
          <w:sz w:val="20"/>
          <w:szCs w:val="20"/>
        </w:rPr>
        <w:t>g) ce que les exploitants du secteur de la pêche soient tenus de se soumettre à toute inspection effectuée, conformément au présent arrêté, et d’assister le personnel de l’autorité compétente dans l’accomplissement de ses tâches.</w:t>
      </w:r>
    </w:p>
    <w:p w14:paraId="0D6746B6" w14:textId="77777777" w:rsidR="00E34453" w:rsidRPr="005E1EA7" w:rsidRDefault="00E34453" w:rsidP="00E34453">
      <w:pPr>
        <w:autoSpaceDE w:val="0"/>
        <w:autoSpaceDN w:val="0"/>
        <w:adjustRightInd w:val="0"/>
        <w:jc w:val="both"/>
        <w:rPr>
          <w:rFonts w:ascii="Tahoma" w:hAnsi="Tahoma" w:cs="Tahoma"/>
          <w:bCs/>
          <w:sz w:val="20"/>
          <w:szCs w:val="20"/>
        </w:rPr>
      </w:pPr>
    </w:p>
    <w:p w14:paraId="4E106F03" w14:textId="77777777" w:rsidR="00E34453" w:rsidRPr="005E1EA7" w:rsidRDefault="00E34453" w:rsidP="00E34453">
      <w:pPr>
        <w:autoSpaceDE w:val="0"/>
        <w:autoSpaceDN w:val="0"/>
        <w:adjustRightInd w:val="0"/>
        <w:jc w:val="both"/>
        <w:rPr>
          <w:rFonts w:ascii="Tahoma" w:hAnsi="Tahoma" w:cs="Tahoma"/>
          <w:bCs/>
          <w:sz w:val="20"/>
          <w:szCs w:val="20"/>
        </w:rPr>
      </w:pPr>
      <w:r w:rsidRPr="005E1EA7">
        <w:rPr>
          <w:rFonts w:ascii="Tahoma" w:hAnsi="Tahoma" w:cs="Tahoma"/>
          <w:bCs/>
          <w:sz w:val="20"/>
          <w:szCs w:val="20"/>
        </w:rPr>
        <w:t>3. L’autorité compétente garantit l’impartialité, la qualité et la cohérence des contrôles officiels à tous les niveaux. Les critères énumérés au paragraphe 2 doivent être pleinement respectés par chaque autorité habilitée à effectuer des contrôles officiels.</w:t>
      </w:r>
    </w:p>
    <w:p w14:paraId="677F9716" w14:textId="77777777" w:rsidR="00E34453" w:rsidRPr="005E1EA7" w:rsidRDefault="00E34453" w:rsidP="00E34453">
      <w:pPr>
        <w:autoSpaceDE w:val="0"/>
        <w:autoSpaceDN w:val="0"/>
        <w:adjustRightInd w:val="0"/>
        <w:jc w:val="both"/>
        <w:rPr>
          <w:rFonts w:ascii="Tahoma" w:hAnsi="Tahoma" w:cs="Tahoma"/>
          <w:bCs/>
          <w:sz w:val="20"/>
          <w:szCs w:val="20"/>
        </w:rPr>
      </w:pPr>
    </w:p>
    <w:p w14:paraId="24D40E65" w14:textId="77777777" w:rsidR="00E34453" w:rsidRPr="005E1EA7" w:rsidRDefault="00E34453" w:rsidP="00E34453">
      <w:pPr>
        <w:autoSpaceDE w:val="0"/>
        <w:autoSpaceDN w:val="0"/>
        <w:adjustRightInd w:val="0"/>
        <w:jc w:val="both"/>
        <w:rPr>
          <w:rFonts w:ascii="Tahoma" w:hAnsi="Tahoma" w:cs="Tahoma"/>
          <w:bCs/>
          <w:sz w:val="20"/>
          <w:szCs w:val="20"/>
        </w:rPr>
      </w:pPr>
      <w:r w:rsidRPr="005E1EA7">
        <w:rPr>
          <w:rFonts w:ascii="Tahoma" w:hAnsi="Tahoma" w:cs="Tahoma"/>
          <w:bCs/>
          <w:sz w:val="20"/>
          <w:szCs w:val="20"/>
        </w:rPr>
        <w:t xml:space="preserve">4. L’autorité compétente procède à des audits internes, ou peut faire procéder à des audits externes, et prend les mesures appropriées à la lumière de leurs résultats pour s’assurer que les objectifs fixés par le présent </w:t>
      </w:r>
      <w:r w:rsidRPr="005E1EA7">
        <w:rPr>
          <w:rFonts w:ascii="Tahoma" w:hAnsi="Tahoma" w:cs="Tahoma"/>
          <w:sz w:val="20"/>
          <w:szCs w:val="20"/>
        </w:rPr>
        <w:t xml:space="preserve">arrêté </w:t>
      </w:r>
      <w:r w:rsidRPr="005E1EA7">
        <w:rPr>
          <w:rFonts w:ascii="Tahoma" w:hAnsi="Tahoma" w:cs="Tahoma"/>
          <w:bCs/>
          <w:sz w:val="20"/>
          <w:szCs w:val="20"/>
        </w:rPr>
        <w:t>sont atteints. Ces audits font l’objet d’un examen indépendant et sont exécutés de manière transparente.</w:t>
      </w:r>
    </w:p>
    <w:p w14:paraId="763905A4" w14:textId="77777777" w:rsidR="00E34453" w:rsidRPr="005E1EA7" w:rsidRDefault="00E34453" w:rsidP="00E34453">
      <w:pPr>
        <w:autoSpaceDE w:val="0"/>
        <w:autoSpaceDN w:val="0"/>
        <w:adjustRightInd w:val="0"/>
        <w:jc w:val="both"/>
        <w:rPr>
          <w:rFonts w:ascii="Tahoma" w:hAnsi="Tahoma" w:cs="Tahoma"/>
          <w:bCs/>
          <w:sz w:val="20"/>
          <w:szCs w:val="20"/>
        </w:rPr>
      </w:pPr>
    </w:p>
    <w:p w14:paraId="049A5353" w14:textId="77777777" w:rsidR="00E34453" w:rsidRPr="005E1EA7" w:rsidRDefault="00E34453" w:rsidP="00E34453">
      <w:pPr>
        <w:pStyle w:val="Default"/>
        <w:spacing w:line="276" w:lineRule="auto"/>
        <w:rPr>
          <w:rFonts w:ascii="Tahoma" w:hAnsi="Tahoma" w:cs="Tahoma"/>
          <w:bCs/>
          <w:color w:val="auto"/>
          <w:sz w:val="20"/>
          <w:szCs w:val="20"/>
        </w:rPr>
      </w:pPr>
      <w:r w:rsidRPr="005E1EA7">
        <w:rPr>
          <w:rFonts w:ascii="Tahoma" w:hAnsi="Tahoma" w:cs="Tahoma"/>
          <w:bCs/>
          <w:color w:val="auto"/>
          <w:sz w:val="20"/>
          <w:szCs w:val="20"/>
        </w:rPr>
        <w:t xml:space="preserve">5. L’autorité compétente exige et garantit la confidentialité : les informations obtenues lorsqu’elles exercent leurs fonctions dans le cadre des contrôles officiels ne soient pas divulguées à des tiers lorsque, conformément au droit national, ces informations sont, par leur nature, couvertes par le secret professionnel. </w:t>
      </w:r>
    </w:p>
    <w:p w14:paraId="2F7B5C76" w14:textId="77777777" w:rsidR="00E34453" w:rsidRPr="005E1EA7" w:rsidRDefault="00E34453" w:rsidP="00E34453">
      <w:pPr>
        <w:autoSpaceDE w:val="0"/>
        <w:autoSpaceDN w:val="0"/>
        <w:adjustRightInd w:val="0"/>
        <w:jc w:val="both"/>
        <w:rPr>
          <w:rFonts w:ascii="Tahoma" w:hAnsi="Tahoma" w:cs="Tahoma"/>
          <w:bCs/>
          <w:sz w:val="20"/>
          <w:szCs w:val="20"/>
        </w:rPr>
      </w:pPr>
      <w:r w:rsidRPr="005E1EA7">
        <w:rPr>
          <w:rFonts w:ascii="Tahoma" w:hAnsi="Tahoma" w:cs="Tahoma"/>
          <w:bCs/>
          <w:sz w:val="20"/>
          <w:szCs w:val="20"/>
        </w:rPr>
        <w:t>A cette fin, l'Autorité compétente veille à ce que des obligations de confidentialité appropriées soient établies pour le personnel et les autres personnes employées pendant les contrôles officiels et autres activités officielles.</w:t>
      </w:r>
    </w:p>
    <w:p w14:paraId="2A96F562" w14:textId="77777777" w:rsidR="00E34453" w:rsidRPr="005E1EA7" w:rsidRDefault="00E34453" w:rsidP="00E34453">
      <w:pPr>
        <w:autoSpaceDE w:val="0"/>
        <w:autoSpaceDN w:val="0"/>
        <w:adjustRightInd w:val="0"/>
        <w:jc w:val="both"/>
        <w:rPr>
          <w:rFonts w:ascii="Tahoma" w:hAnsi="Tahoma" w:cs="Tahoma"/>
          <w:bCs/>
          <w:sz w:val="20"/>
          <w:szCs w:val="20"/>
          <w:u w:val="single"/>
        </w:rPr>
      </w:pPr>
    </w:p>
    <w:p w14:paraId="7C507442" w14:textId="77777777" w:rsidR="00E34453" w:rsidRPr="005E1EA7" w:rsidRDefault="00E34453" w:rsidP="00E34453">
      <w:pPr>
        <w:autoSpaceDE w:val="0"/>
        <w:autoSpaceDN w:val="0"/>
        <w:adjustRightInd w:val="0"/>
        <w:jc w:val="both"/>
        <w:rPr>
          <w:rFonts w:ascii="Tahoma" w:hAnsi="Tahoma" w:cs="Tahoma"/>
          <w:bCs/>
          <w:sz w:val="20"/>
          <w:szCs w:val="20"/>
        </w:rPr>
      </w:pPr>
      <w:r w:rsidRPr="005E1EA7">
        <w:rPr>
          <w:rFonts w:ascii="Tahoma" w:hAnsi="Tahoma" w:cs="Tahoma"/>
          <w:b/>
          <w:sz w:val="20"/>
          <w:szCs w:val="20"/>
          <w:u w:val="single"/>
        </w:rPr>
        <w:t>Article 5</w:t>
      </w:r>
      <w:r w:rsidRPr="005E1EA7">
        <w:rPr>
          <w:rFonts w:ascii="Tahoma" w:hAnsi="Tahoma" w:cs="Tahoma"/>
          <w:b/>
          <w:sz w:val="20"/>
          <w:szCs w:val="20"/>
        </w:rPr>
        <w:t xml:space="preserve"> -</w:t>
      </w:r>
      <w:r w:rsidRPr="005E1EA7">
        <w:rPr>
          <w:rFonts w:ascii="Tahoma" w:hAnsi="Tahoma" w:cs="Tahoma"/>
          <w:bCs/>
          <w:sz w:val="20"/>
          <w:szCs w:val="20"/>
        </w:rPr>
        <w:t xml:space="preserve"> Délégation des tâches spécifiques liées aux contrôles officiels</w:t>
      </w:r>
    </w:p>
    <w:p w14:paraId="35890901" w14:textId="77777777" w:rsidR="00E34453" w:rsidRPr="005E1EA7" w:rsidRDefault="00E34453" w:rsidP="00E34453">
      <w:pPr>
        <w:autoSpaceDE w:val="0"/>
        <w:autoSpaceDN w:val="0"/>
        <w:adjustRightInd w:val="0"/>
        <w:jc w:val="both"/>
        <w:rPr>
          <w:rFonts w:ascii="Tahoma" w:hAnsi="Tahoma" w:cs="Tahoma"/>
          <w:bCs/>
          <w:sz w:val="20"/>
          <w:szCs w:val="20"/>
        </w:rPr>
      </w:pPr>
    </w:p>
    <w:p w14:paraId="652B3CF5" w14:textId="77777777" w:rsidR="00E34453" w:rsidRPr="005E1EA7" w:rsidRDefault="00E34453" w:rsidP="00E34453">
      <w:pPr>
        <w:autoSpaceDE w:val="0"/>
        <w:autoSpaceDN w:val="0"/>
        <w:adjustRightInd w:val="0"/>
        <w:jc w:val="both"/>
        <w:rPr>
          <w:rFonts w:ascii="Tahoma" w:hAnsi="Tahoma" w:cs="Tahoma"/>
          <w:bCs/>
          <w:sz w:val="20"/>
          <w:szCs w:val="20"/>
        </w:rPr>
      </w:pPr>
      <w:r w:rsidRPr="005E1EA7">
        <w:rPr>
          <w:rFonts w:ascii="Tahoma" w:hAnsi="Tahoma" w:cs="Tahoma"/>
          <w:bCs/>
          <w:sz w:val="20"/>
          <w:szCs w:val="20"/>
        </w:rPr>
        <w:t xml:space="preserve">1. Le ministre chargé des pêches délègue les tâches spécifiques liées aux contrôles officiels, conformément aux paragraphes 2 à 3, à l’Office National d’Inspection Sanitaire des Produits de la pêche et de l’Aquaculture (ONISPA) </w:t>
      </w:r>
      <w:r w:rsidRPr="005E1EA7">
        <w:rPr>
          <w:rFonts w:ascii="Tahoma" w:hAnsi="Tahoma" w:cs="Tahoma"/>
          <w:sz w:val="20"/>
          <w:szCs w:val="20"/>
        </w:rPr>
        <w:t xml:space="preserve">ci-après dénommé ONISPA </w:t>
      </w:r>
      <w:r w:rsidRPr="005E1EA7">
        <w:rPr>
          <w:rFonts w:ascii="Tahoma" w:hAnsi="Tahoma" w:cs="Tahoma"/>
          <w:bCs/>
          <w:sz w:val="20"/>
          <w:szCs w:val="20"/>
        </w:rPr>
        <w:t>ou bien organisme de contrôle.</w:t>
      </w:r>
    </w:p>
    <w:p w14:paraId="46CE7BCA" w14:textId="77777777" w:rsidR="00E34453" w:rsidRPr="005E1EA7" w:rsidRDefault="00E34453" w:rsidP="00E34453">
      <w:pPr>
        <w:autoSpaceDE w:val="0"/>
        <w:autoSpaceDN w:val="0"/>
        <w:adjustRightInd w:val="0"/>
        <w:jc w:val="both"/>
        <w:rPr>
          <w:rFonts w:ascii="Tahoma" w:hAnsi="Tahoma" w:cs="Tahoma"/>
          <w:bCs/>
          <w:sz w:val="20"/>
          <w:szCs w:val="20"/>
        </w:rPr>
      </w:pPr>
    </w:p>
    <w:p w14:paraId="7A6FC6BA" w14:textId="77777777" w:rsidR="00E34453" w:rsidRPr="005E1EA7" w:rsidRDefault="00E34453" w:rsidP="00E34453">
      <w:pPr>
        <w:autoSpaceDE w:val="0"/>
        <w:autoSpaceDN w:val="0"/>
        <w:adjustRightInd w:val="0"/>
        <w:jc w:val="both"/>
        <w:rPr>
          <w:rFonts w:ascii="Tahoma" w:hAnsi="Tahoma" w:cs="Tahoma"/>
          <w:bCs/>
          <w:sz w:val="20"/>
          <w:szCs w:val="20"/>
        </w:rPr>
      </w:pPr>
      <w:r w:rsidRPr="005E1EA7">
        <w:rPr>
          <w:rFonts w:ascii="Tahoma" w:hAnsi="Tahoma" w:cs="Tahoma"/>
          <w:bCs/>
          <w:sz w:val="20"/>
          <w:szCs w:val="20"/>
        </w:rPr>
        <w:t>2. Le ministre chargé des pêches délègue des tâches spécifiques liées aux contrôles officiels à l’ONISPA, en lui attribuant les moyens de fonctionnement nécessaires à leur exécution dans les conditions suivantes :</w:t>
      </w:r>
    </w:p>
    <w:p w14:paraId="2D27BF50" w14:textId="77777777" w:rsidR="00E34453" w:rsidRPr="005E1EA7" w:rsidRDefault="00E34453" w:rsidP="00E34453">
      <w:pPr>
        <w:autoSpaceDE w:val="0"/>
        <w:autoSpaceDN w:val="0"/>
        <w:adjustRightInd w:val="0"/>
        <w:jc w:val="both"/>
        <w:rPr>
          <w:rFonts w:ascii="Tahoma" w:hAnsi="Tahoma" w:cs="Tahoma"/>
          <w:bCs/>
          <w:sz w:val="20"/>
          <w:szCs w:val="20"/>
        </w:rPr>
      </w:pPr>
    </w:p>
    <w:p w14:paraId="68E32F8F" w14:textId="77777777" w:rsidR="00E34453" w:rsidRPr="005E1EA7" w:rsidRDefault="00E34453" w:rsidP="00E34453">
      <w:pPr>
        <w:numPr>
          <w:ilvl w:val="0"/>
          <w:numId w:val="161"/>
        </w:numPr>
        <w:autoSpaceDE w:val="0"/>
        <w:autoSpaceDN w:val="0"/>
        <w:adjustRightInd w:val="0"/>
        <w:jc w:val="both"/>
        <w:rPr>
          <w:rFonts w:ascii="Tahoma" w:hAnsi="Tahoma" w:cs="Tahoma"/>
          <w:bCs/>
          <w:sz w:val="20"/>
          <w:szCs w:val="20"/>
        </w:rPr>
      </w:pPr>
      <w:r w:rsidRPr="005E1EA7">
        <w:rPr>
          <w:rFonts w:ascii="Tahoma" w:hAnsi="Tahoma" w:cs="Tahoma"/>
          <w:bCs/>
          <w:sz w:val="20"/>
          <w:szCs w:val="20"/>
        </w:rPr>
        <w:t>Les tâches déléguées à l’ONISPA sont déterminées conformément aux dispositions de l’article 2 du décret n° 2007-066 du 13 mars 2007 portant création d'un Office National d'Inspection Sanitaire des Produits de la Pêche et de l'Aquaculture et fixant ses règles d'organisation et de fonctionnement</w:t>
      </w:r>
    </w:p>
    <w:p w14:paraId="6EA4766F" w14:textId="77777777" w:rsidR="00E34453" w:rsidRPr="005E1EA7" w:rsidRDefault="00E34453" w:rsidP="00E34453">
      <w:pPr>
        <w:autoSpaceDE w:val="0"/>
        <w:autoSpaceDN w:val="0"/>
        <w:adjustRightInd w:val="0"/>
        <w:jc w:val="both"/>
        <w:rPr>
          <w:rFonts w:ascii="Tahoma" w:hAnsi="Tahoma" w:cs="Tahoma"/>
          <w:bCs/>
          <w:i/>
          <w:sz w:val="20"/>
          <w:szCs w:val="20"/>
        </w:rPr>
      </w:pPr>
    </w:p>
    <w:p w14:paraId="36607956" w14:textId="77777777" w:rsidR="00E34453" w:rsidRPr="005E1EA7" w:rsidRDefault="00E34453" w:rsidP="00E34453">
      <w:pPr>
        <w:numPr>
          <w:ilvl w:val="0"/>
          <w:numId w:val="161"/>
        </w:numPr>
        <w:autoSpaceDE w:val="0"/>
        <w:autoSpaceDN w:val="0"/>
        <w:adjustRightInd w:val="0"/>
        <w:jc w:val="both"/>
        <w:rPr>
          <w:rFonts w:ascii="Tahoma" w:hAnsi="Tahoma" w:cs="Tahoma"/>
          <w:bCs/>
          <w:sz w:val="20"/>
          <w:szCs w:val="20"/>
        </w:rPr>
      </w:pPr>
      <w:proofErr w:type="gramStart"/>
      <w:r w:rsidRPr="005E1EA7">
        <w:rPr>
          <w:rFonts w:ascii="Tahoma" w:hAnsi="Tahoma" w:cs="Tahoma"/>
          <w:bCs/>
          <w:sz w:val="20"/>
          <w:szCs w:val="20"/>
        </w:rPr>
        <w:lastRenderedPageBreak/>
        <w:t>l’ONISPA</w:t>
      </w:r>
      <w:proofErr w:type="gramEnd"/>
      <w:r w:rsidRPr="005E1EA7">
        <w:rPr>
          <w:rFonts w:ascii="Tahoma" w:hAnsi="Tahoma" w:cs="Tahoma"/>
          <w:bCs/>
          <w:sz w:val="20"/>
          <w:szCs w:val="20"/>
        </w:rPr>
        <w:t xml:space="preserve"> doit :</w:t>
      </w:r>
    </w:p>
    <w:p w14:paraId="2E1B9935" w14:textId="77777777" w:rsidR="00E34453" w:rsidRPr="005E1EA7" w:rsidRDefault="00E34453" w:rsidP="00E34453">
      <w:pPr>
        <w:autoSpaceDE w:val="0"/>
        <w:autoSpaceDN w:val="0"/>
        <w:adjustRightInd w:val="0"/>
        <w:ind w:left="1440" w:hanging="360"/>
        <w:jc w:val="both"/>
        <w:rPr>
          <w:rFonts w:ascii="Tahoma" w:hAnsi="Tahoma" w:cs="Tahoma"/>
          <w:bCs/>
          <w:sz w:val="20"/>
          <w:szCs w:val="20"/>
        </w:rPr>
      </w:pPr>
      <w:r w:rsidRPr="005E1EA7">
        <w:rPr>
          <w:rFonts w:ascii="Tahoma" w:hAnsi="Tahoma" w:cs="Tahoma"/>
          <w:bCs/>
          <w:sz w:val="20"/>
          <w:szCs w:val="20"/>
        </w:rPr>
        <w:t>i) posséder l’expertise, l’équipement et les infrastructures nécessaires pour exécuter les tâches qui lui sont déléguées ;</w:t>
      </w:r>
    </w:p>
    <w:p w14:paraId="73D14C3C" w14:textId="77777777" w:rsidR="00E34453" w:rsidRPr="005E1EA7" w:rsidRDefault="00E34453" w:rsidP="00E34453">
      <w:pPr>
        <w:autoSpaceDE w:val="0"/>
        <w:autoSpaceDN w:val="0"/>
        <w:adjustRightInd w:val="0"/>
        <w:ind w:left="1440" w:hanging="360"/>
        <w:jc w:val="both"/>
        <w:rPr>
          <w:rFonts w:ascii="Tahoma" w:hAnsi="Tahoma" w:cs="Tahoma"/>
          <w:bCs/>
          <w:sz w:val="20"/>
          <w:szCs w:val="20"/>
        </w:rPr>
      </w:pPr>
      <w:r w:rsidRPr="005E1EA7">
        <w:rPr>
          <w:rFonts w:ascii="Tahoma" w:hAnsi="Tahoma" w:cs="Tahoma"/>
          <w:bCs/>
          <w:sz w:val="20"/>
          <w:szCs w:val="20"/>
        </w:rPr>
        <w:t>ii) disposer d’un personnel dûment qualifié et expérimenté et en nombre suffisant ;</w:t>
      </w:r>
    </w:p>
    <w:p w14:paraId="3F668CAA" w14:textId="77777777" w:rsidR="00E34453" w:rsidRPr="005E1EA7" w:rsidRDefault="00E34453" w:rsidP="00E34453">
      <w:pPr>
        <w:autoSpaceDE w:val="0"/>
        <w:autoSpaceDN w:val="0"/>
        <w:adjustRightInd w:val="0"/>
        <w:ind w:left="1440" w:hanging="360"/>
        <w:jc w:val="both"/>
        <w:rPr>
          <w:rFonts w:ascii="Tahoma" w:hAnsi="Tahoma" w:cs="Tahoma"/>
          <w:bCs/>
          <w:sz w:val="20"/>
          <w:szCs w:val="20"/>
        </w:rPr>
      </w:pPr>
      <w:r w:rsidRPr="005E1EA7">
        <w:rPr>
          <w:rFonts w:ascii="Tahoma" w:hAnsi="Tahoma" w:cs="Tahoma"/>
          <w:bCs/>
          <w:sz w:val="20"/>
          <w:szCs w:val="20"/>
        </w:rPr>
        <w:t>iii) être impartial et n’avoir aucun conflit d’intérêts en ce qui concerne l’exercice des tâches qui lui sont déléguées ;</w:t>
      </w:r>
    </w:p>
    <w:p w14:paraId="5C2F1AC4" w14:textId="77777777" w:rsidR="00E34453" w:rsidRPr="005E1EA7" w:rsidRDefault="00E34453" w:rsidP="00E34453">
      <w:pPr>
        <w:autoSpaceDE w:val="0"/>
        <w:autoSpaceDN w:val="0"/>
        <w:adjustRightInd w:val="0"/>
        <w:ind w:left="708" w:hanging="348"/>
        <w:jc w:val="both"/>
        <w:rPr>
          <w:rFonts w:ascii="Tahoma" w:hAnsi="Tahoma" w:cs="Tahoma"/>
          <w:bCs/>
          <w:sz w:val="20"/>
          <w:szCs w:val="20"/>
        </w:rPr>
      </w:pPr>
    </w:p>
    <w:p w14:paraId="1622B636" w14:textId="77777777" w:rsidR="00E34453" w:rsidRPr="005E1EA7" w:rsidRDefault="00E34453" w:rsidP="00E34453">
      <w:pPr>
        <w:numPr>
          <w:ilvl w:val="0"/>
          <w:numId w:val="161"/>
        </w:numPr>
        <w:autoSpaceDE w:val="0"/>
        <w:autoSpaceDN w:val="0"/>
        <w:adjustRightInd w:val="0"/>
        <w:jc w:val="both"/>
        <w:rPr>
          <w:rFonts w:ascii="Tahoma" w:hAnsi="Tahoma" w:cs="Tahoma"/>
          <w:bCs/>
          <w:sz w:val="20"/>
          <w:szCs w:val="20"/>
        </w:rPr>
      </w:pPr>
      <w:proofErr w:type="gramStart"/>
      <w:r w:rsidRPr="005E1EA7">
        <w:rPr>
          <w:rFonts w:ascii="Tahoma" w:hAnsi="Tahoma" w:cs="Tahoma"/>
          <w:bCs/>
          <w:sz w:val="20"/>
          <w:szCs w:val="20"/>
        </w:rPr>
        <w:t>travailler</w:t>
      </w:r>
      <w:proofErr w:type="gramEnd"/>
      <w:r w:rsidRPr="005E1EA7">
        <w:rPr>
          <w:rFonts w:ascii="Tahoma" w:hAnsi="Tahoma" w:cs="Tahoma"/>
          <w:bCs/>
          <w:sz w:val="20"/>
          <w:szCs w:val="20"/>
        </w:rPr>
        <w:t xml:space="preserve"> conformément aux normes en vigueur relatives aux critères généraux pour le fonctionnement des différents types d’organismes procédant à l’inspection aux fins des tâches déléguées ;</w:t>
      </w:r>
    </w:p>
    <w:p w14:paraId="4CB4E366" w14:textId="77777777" w:rsidR="00E34453" w:rsidRPr="005E1EA7" w:rsidRDefault="00E34453" w:rsidP="00E34453">
      <w:pPr>
        <w:autoSpaceDE w:val="0"/>
        <w:autoSpaceDN w:val="0"/>
        <w:adjustRightInd w:val="0"/>
        <w:jc w:val="both"/>
        <w:rPr>
          <w:rFonts w:ascii="Tahoma" w:hAnsi="Tahoma" w:cs="Tahoma"/>
          <w:bCs/>
          <w:sz w:val="20"/>
          <w:szCs w:val="20"/>
        </w:rPr>
      </w:pPr>
    </w:p>
    <w:p w14:paraId="52849938" w14:textId="77777777" w:rsidR="00E34453" w:rsidRPr="005E1EA7" w:rsidRDefault="00E34453" w:rsidP="00E34453">
      <w:pPr>
        <w:numPr>
          <w:ilvl w:val="0"/>
          <w:numId w:val="161"/>
        </w:numPr>
        <w:autoSpaceDE w:val="0"/>
        <w:autoSpaceDN w:val="0"/>
        <w:adjustRightInd w:val="0"/>
        <w:jc w:val="both"/>
        <w:rPr>
          <w:rFonts w:ascii="Tahoma" w:hAnsi="Tahoma" w:cs="Tahoma"/>
          <w:bCs/>
          <w:sz w:val="20"/>
          <w:szCs w:val="20"/>
        </w:rPr>
      </w:pPr>
      <w:proofErr w:type="gramStart"/>
      <w:r w:rsidRPr="005E1EA7">
        <w:rPr>
          <w:rFonts w:ascii="Tahoma" w:hAnsi="Tahoma" w:cs="Tahoma"/>
          <w:bCs/>
          <w:sz w:val="20"/>
          <w:szCs w:val="20"/>
        </w:rPr>
        <w:t>les</w:t>
      </w:r>
      <w:proofErr w:type="gramEnd"/>
      <w:r w:rsidRPr="005E1EA7">
        <w:rPr>
          <w:rFonts w:ascii="Tahoma" w:hAnsi="Tahoma" w:cs="Tahoma"/>
          <w:bCs/>
          <w:sz w:val="20"/>
          <w:szCs w:val="20"/>
        </w:rPr>
        <w:t xml:space="preserve"> laboratoires de l’ONISPA opèrent conformément aux normes visées à l’article 11, paragraphe 2 ;</w:t>
      </w:r>
    </w:p>
    <w:p w14:paraId="43F6D907" w14:textId="77777777" w:rsidR="00E34453" w:rsidRPr="005E1EA7" w:rsidRDefault="00E34453" w:rsidP="00E34453">
      <w:pPr>
        <w:autoSpaceDE w:val="0"/>
        <w:autoSpaceDN w:val="0"/>
        <w:adjustRightInd w:val="0"/>
        <w:jc w:val="both"/>
        <w:rPr>
          <w:rFonts w:ascii="Tahoma" w:hAnsi="Tahoma" w:cs="Tahoma"/>
          <w:bCs/>
          <w:sz w:val="20"/>
          <w:szCs w:val="20"/>
        </w:rPr>
      </w:pPr>
    </w:p>
    <w:p w14:paraId="6FF0B9A8" w14:textId="77777777" w:rsidR="00E34453" w:rsidRPr="005E1EA7" w:rsidRDefault="00E34453" w:rsidP="00E34453">
      <w:pPr>
        <w:numPr>
          <w:ilvl w:val="0"/>
          <w:numId w:val="161"/>
        </w:numPr>
        <w:autoSpaceDE w:val="0"/>
        <w:autoSpaceDN w:val="0"/>
        <w:adjustRightInd w:val="0"/>
        <w:jc w:val="both"/>
        <w:rPr>
          <w:rFonts w:ascii="Tahoma" w:hAnsi="Tahoma" w:cs="Tahoma"/>
          <w:bCs/>
          <w:sz w:val="20"/>
          <w:szCs w:val="20"/>
        </w:rPr>
      </w:pPr>
      <w:proofErr w:type="gramStart"/>
      <w:r w:rsidRPr="005E1EA7">
        <w:rPr>
          <w:rFonts w:ascii="Tahoma" w:hAnsi="Tahoma" w:cs="Tahoma"/>
          <w:bCs/>
          <w:sz w:val="20"/>
          <w:szCs w:val="20"/>
        </w:rPr>
        <w:t>l’ONISPA</w:t>
      </w:r>
      <w:proofErr w:type="gramEnd"/>
      <w:r w:rsidRPr="005E1EA7">
        <w:rPr>
          <w:rFonts w:ascii="Tahoma" w:hAnsi="Tahoma" w:cs="Tahoma"/>
          <w:bCs/>
          <w:sz w:val="20"/>
          <w:szCs w:val="20"/>
        </w:rPr>
        <w:t xml:space="preserve"> communique les résultats des contrôles effectués à l’autorité compétente à intervalles réguliers et à la demande de cette dernière. Lorsque les résultats des contrôles révèlent ou font soupçonner un manquement, l’ONISPA en informe immédiatement l’autorité compétente ;</w:t>
      </w:r>
    </w:p>
    <w:p w14:paraId="010F5341" w14:textId="77777777" w:rsidR="00E34453" w:rsidRPr="005E1EA7" w:rsidRDefault="00E34453" w:rsidP="00E34453">
      <w:pPr>
        <w:autoSpaceDE w:val="0"/>
        <w:autoSpaceDN w:val="0"/>
        <w:adjustRightInd w:val="0"/>
        <w:jc w:val="both"/>
        <w:rPr>
          <w:rFonts w:ascii="Tahoma" w:hAnsi="Tahoma" w:cs="Tahoma"/>
          <w:bCs/>
          <w:sz w:val="20"/>
          <w:szCs w:val="20"/>
        </w:rPr>
      </w:pPr>
    </w:p>
    <w:p w14:paraId="43F98369" w14:textId="77777777" w:rsidR="00E34453" w:rsidRPr="005E1EA7" w:rsidRDefault="00E34453" w:rsidP="00E34453">
      <w:pPr>
        <w:numPr>
          <w:ilvl w:val="0"/>
          <w:numId w:val="161"/>
        </w:numPr>
        <w:autoSpaceDE w:val="0"/>
        <w:autoSpaceDN w:val="0"/>
        <w:adjustRightInd w:val="0"/>
        <w:jc w:val="both"/>
        <w:rPr>
          <w:rFonts w:ascii="Tahoma" w:hAnsi="Tahoma" w:cs="Tahoma"/>
          <w:bCs/>
          <w:sz w:val="20"/>
          <w:szCs w:val="20"/>
        </w:rPr>
      </w:pPr>
      <w:r w:rsidRPr="005E1EA7">
        <w:rPr>
          <w:rFonts w:ascii="Tahoma" w:hAnsi="Tahoma" w:cs="Tahoma"/>
          <w:bCs/>
          <w:sz w:val="20"/>
          <w:szCs w:val="20"/>
        </w:rPr>
        <w:t>f) une coordination efficace et effective entre l’autorité compétente ayant donné délégation et l’ONISPA est assurée.</w:t>
      </w:r>
    </w:p>
    <w:p w14:paraId="56331FB9" w14:textId="77777777" w:rsidR="00E34453" w:rsidRPr="005E1EA7" w:rsidRDefault="00E34453" w:rsidP="00E34453">
      <w:pPr>
        <w:autoSpaceDE w:val="0"/>
        <w:autoSpaceDN w:val="0"/>
        <w:adjustRightInd w:val="0"/>
        <w:jc w:val="both"/>
        <w:rPr>
          <w:rFonts w:ascii="Tahoma" w:hAnsi="Tahoma" w:cs="Tahoma"/>
          <w:bCs/>
          <w:sz w:val="20"/>
          <w:szCs w:val="20"/>
        </w:rPr>
      </w:pPr>
    </w:p>
    <w:p w14:paraId="0254D394" w14:textId="77777777" w:rsidR="00E34453" w:rsidRPr="005E1EA7" w:rsidRDefault="00E34453" w:rsidP="00E34453">
      <w:pPr>
        <w:autoSpaceDE w:val="0"/>
        <w:autoSpaceDN w:val="0"/>
        <w:adjustRightInd w:val="0"/>
        <w:jc w:val="both"/>
        <w:rPr>
          <w:rFonts w:ascii="Tahoma" w:hAnsi="Tahoma" w:cs="Tahoma"/>
          <w:bCs/>
          <w:sz w:val="20"/>
          <w:szCs w:val="20"/>
        </w:rPr>
      </w:pPr>
      <w:r w:rsidRPr="005E1EA7">
        <w:rPr>
          <w:rFonts w:ascii="Tahoma" w:hAnsi="Tahoma" w:cs="Tahoma"/>
          <w:bCs/>
          <w:sz w:val="20"/>
          <w:szCs w:val="20"/>
        </w:rPr>
        <w:t>3. L’autorité compétente organise, si nécessaire, des audits ou des inspections de l’ONISPA pour s’assurer qu’il s’acquitte correctement des tâches qui lui ont été déléguées. Le cas échéant, des mesures correctives adéquates doivent être prises dans les meilleurs délais.</w:t>
      </w:r>
    </w:p>
    <w:p w14:paraId="0B45804D" w14:textId="77777777" w:rsidR="00E34453" w:rsidRPr="005E1EA7" w:rsidRDefault="00E34453" w:rsidP="00E34453">
      <w:pPr>
        <w:autoSpaceDE w:val="0"/>
        <w:autoSpaceDN w:val="0"/>
        <w:adjustRightInd w:val="0"/>
        <w:jc w:val="both"/>
        <w:rPr>
          <w:rFonts w:ascii="Tahoma" w:hAnsi="Tahoma" w:cs="Tahoma"/>
          <w:bCs/>
          <w:sz w:val="20"/>
          <w:szCs w:val="20"/>
        </w:rPr>
      </w:pPr>
    </w:p>
    <w:p w14:paraId="0457D1E9" w14:textId="77777777" w:rsidR="00E34453" w:rsidRPr="005E1EA7" w:rsidRDefault="00E34453" w:rsidP="00E34453">
      <w:pPr>
        <w:autoSpaceDE w:val="0"/>
        <w:autoSpaceDN w:val="0"/>
        <w:adjustRightInd w:val="0"/>
        <w:jc w:val="both"/>
        <w:rPr>
          <w:rFonts w:ascii="Tahoma" w:hAnsi="Tahoma" w:cs="Tahoma"/>
          <w:bCs/>
          <w:sz w:val="20"/>
          <w:szCs w:val="20"/>
        </w:rPr>
      </w:pPr>
      <w:r w:rsidRPr="005E1EA7">
        <w:rPr>
          <w:rFonts w:ascii="Tahoma" w:hAnsi="Tahoma" w:cs="Tahoma"/>
          <w:b/>
          <w:sz w:val="20"/>
          <w:szCs w:val="20"/>
        </w:rPr>
        <w:t>Article 6 -</w:t>
      </w:r>
      <w:r w:rsidRPr="005E1EA7">
        <w:rPr>
          <w:rFonts w:ascii="Tahoma" w:hAnsi="Tahoma" w:cs="Tahoma"/>
          <w:bCs/>
          <w:sz w:val="20"/>
          <w:szCs w:val="20"/>
        </w:rPr>
        <w:t xml:space="preserve"> Personnel effectuant des contrôles officiels</w:t>
      </w:r>
    </w:p>
    <w:p w14:paraId="381C8A23" w14:textId="77777777" w:rsidR="00E34453" w:rsidRPr="005E1EA7" w:rsidRDefault="00E34453" w:rsidP="00E34453">
      <w:pPr>
        <w:autoSpaceDE w:val="0"/>
        <w:autoSpaceDN w:val="0"/>
        <w:adjustRightInd w:val="0"/>
        <w:jc w:val="both"/>
        <w:rPr>
          <w:rFonts w:ascii="Tahoma" w:hAnsi="Tahoma" w:cs="Tahoma"/>
          <w:bCs/>
          <w:sz w:val="20"/>
          <w:szCs w:val="20"/>
        </w:rPr>
      </w:pPr>
    </w:p>
    <w:p w14:paraId="39EC3BA2" w14:textId="77777777" w:rsidR="00E34453" w:rsidRPr="005E1EA7" w:rsidRDefault="00E34453" w:rsidP="00E34453">
      <w:pPr>
        <w:autoSpaceDE w:val="0"/>
        <w:autoSpaceDN w:val="0"/>
        <w:adjustRightInd w:val="0"/>
        <w:jc w:val="both"/>
        <w:rPr>
          <w:rFonts w:ascii="Tahoma" w:hAnsi="Tahoma" w:cs="Tahoma"/>
          <w:bCs/>
          <w:sz w:val="20"/>
          <w:szCs w:val="20"/>
        </w:rPr>
      </w:pPr>
      <w:r w:rsidRPr="005E1EA7">
        <w:rPr>
          <w:rFonts w:ascii="Tahoma" w:hAnsi="Tahoma" w:cs="Tahoma"/>
          <w:bCs/>
          <w:sz w:val="20"/>
          <w:szCs w:val="20"/>
        </w:rPr>
        <w:t>L'ONISPA veille à ce que l’ensemble de son personnel chargé de procéder aux contrôles officiels :</w:t>
      </w:r>
    </w:p>
    <w:p w14:paraId="36B87D69" w14:textId="77777777" w:rsidR="00E34453" w:rsidRPr="005E1EA7" w:rsidRDefault="00E34453" w:rsidP="00E34453">
      <w:pPr>
        <w:autoSpaceDE w:val="0"/>
        <w:autoSpaceDN w:val="0"/>
        <w:adjustRightInd w:val="0"/>
        <w:jc w:val="both"/>
        <w:rPr>
          <w:rFonts w:ascii="Tahoma" w:hAnsi="Tahoma" w:cs="Tahoma"/>
          <w:bCs/>
          <w:sz w:val="20"/>
          <w:szCs w:val="20"/>
        </w:rPr>
      </w:pPr>
    </w:p>
    <w:p w14:paraId="5EAFEA87" w14:textId="77777777" w:rsidR="00E34453" w:rsidRPr="005E1EA7" w:rsidRDefault="00E34453" w:rsidP="00E34453">
      <w:pPr>
        <w:autoSpaceDE w:val="0"/>
        <w:autoSpaceDN w:val="0"/>
        <w:adjustRightInd w:val="0"/>
        <w:ind w:left="720" w:hanging="360"/>
        <w:jc w:val="both"/>
        <w:rPr>
          <w:rFonts w:ascii="Tahoma" w:hAnsi="Tahoma" w:cs="Tahoma"/>
          <w:bCs/>
          <w:sz w:val="20"/>
          <w:szCs w:val="20"/>
        </w:rPr>
      </w:pPr>
      <w:r w:rsidRPr="005E1EA7">
        <w:rPr>
          <w:rFonts w:ascii="Tahoma" w:hAnsi="Tahoma" w:cs="Tahoma"/>
          <w:bCs/>
          <w:sz w:val="20"/>
          <w:szCs w:val="20"/>
        </w:rPr>
        <w:t>a) reçoive, dans son domaine de compétence, une formation appropriée lui permettant de s’acquitter avec compétence de ses obligations et d’effectuer les contrôles officiels de façon cohérente. Cette formation porte, selon les besoins, sur les domaines visés à l’annexe I, chapitre I du présent arrêté ;</w:t>
      </w:r>
    </w:p>
    <w:p w14:paraId="1DC51E87" w14:textId="77777777" w:rsidR="00E34453" w:rsidRPr="005E1EA7" w:rsidRDefault="00E34453" w:rsidP="00E34453">
      <w:pPr>
        <w:autoSpaceDE w:val="0"/>
        <w:autoSpaceDN w:val="0"/>
        <w:adjustRightInd w:val="0"/>
        <w:ind w:left="720" w:hanging="360"/>
        <w:jc w:val="both"/>
        <w:rPr>
          <w:rFonts w:ascii="Tahoma" w:hAnsi="Tahoma" w:cs="Tahoma"/>
          <w:bCs/>
          <w:sz w:val="20"/>
          <w:szCs w:val="20"/>
        </w:rPr>
      </w:pPr>
    </w:p>
    <w:p w14:paraId="2E30E095" w14:textId="77777777" w:rsidR="00E34453" w:rsidRPr="005E1EA7" w:rsidRDefault="00E34453" w:rsidP="00E34453">
      <w:pPr>
        <w:autoSpaceDE w:val="0"/>
        <w:autoSpaceDN w:val="0"/>
        <w:adjustRightInd w:val="0"/>
        <w:ind w:left="720" w:hanging="360"/>
        <w:jc w:val="both"/>
        <w:rPr>
          <w:rFonts w:ascii="Tahoma" w:hAnsi="Tahoma" w:cs="Tahoma"/>
          <w:bCs/>
          <w:sz w:val="20"/>
          <w:szCs w:val="20"/>
        </w:rPr>
      </w:pPr>
      <w:r w:rsidRPr="005E1EA7">
        <w:rPr>
          <w:rFonts w:ascii="Tahoma" w:hAnsi="Tahoma" w:cs="Tahoma"/>
          <w:bCs/>
          <w:sz w:val="20"/>
          <w:szCs w:val="20"/>
        </w:rPr>
        <w:t>b) bénéficie régulièrement de formation de mise à niveau dans son domaine de compétence et reçoive au besoin une formation complémentaire périodique,</w:t>
      </w:r>
    </w:p>
    <w:p w14:paraId="24248F2B" w14:textId="77777777" w:rsidR="00E34453" w:rsidRPr="005E1EA7" w:rsidRDefault="00E34453" w:rsidP="00E34453">
      <w:pPr>
        <w:autoSpaceDE w:val="0"/>
        <w:autoSpaceDN w:val="0"/>
        <w:adjustRightInd w:val="0"/>
        <w:jc w:val="both"/>
        <w:rPr>
          <w:rFonts w:ascii="Tahoma" w:hAnsi="Tahoma" w:cs="Tahoma"/>
          <w:bCs/>
          <w:sz w:val="20"/>
          <w:szCs w:val="20"/>
        </w:rPr>
      </w:pPr>
    </w:p>
    <w:p w14:paraId="299532B3" w14:textId="77777777" w:rsidR="00E34453" w:rsidRPr="005E1EA7" w:rsidRDefault="00E34453" w:rsidP="00E34453">
      <w:pPr>
        <w:autoSpaceDE w:val="0"/>
        <w:autoSpaceDN w:val="0"/>
        <w:adjustRightInd w:val="0"/>
        <w:ind w:left="720" w:hanging="360"/>
        <w:jc w:val="both"/>
        <w:rPr>
          <w:rFonts w:ascii="Tahoma" w:hAnsi="Tahoma" w:cs="Tahoma"/>
          <w:bCs/>
          <w:sz w:val="20"/>
          <w:szCs w:val="20"/>
        </w:rPr>
      </w:pPr>
      <w:r w:rsidRPr="005E1EA7">
        <w:rPr>
          <w:rFonts w:ascii="Tahoma" w:hAnsi="Tahoma" w:cs="Tahoma"/>
          <w:bCs/>
          <w:sz w:val="20"/>
          <w:szCs w:val="20"/>
        </w:rPr>
        <w:t>c) possède des aptitudes en matière de coopération pluridisciplinaire,</w:t>
      </w:r>
    </w:p>
    <w:p w14:paraId="5BC6BAD8" w14:textId="77777777" w:rsidR="00E34453" w:rsidRPr="005E1EA7" w:rsidRDefault="00E34453" w:rsidP="00E34453">
      <w:pPr>
        <w:autoSpaceDE w:val="0"/>
        <w:autoSpaceDN w:val="0"/>
        <w:adjustRightInd w:val="0"/>
        <w:jc w:val="both"/>
        <w:rPr>
          <w:rFonts w:ascii="Tahoma" w:hAnsi="Tahoma" w:cs="Tahoma"/>
          <w:bCs/>
          <w:sz w:val="20"/>
          <w:szCs w:val="20"/>
        </w:rPr>
      </w:pPr>
    </w:p>
    <w:p w14:paraId="71FAC4AF" w14:textId="77777777" w:rsidR="00E34453" w:rsidRPr="005E1EA7" w:rsidRDefault="00E34453" w:rsidP="00E34453">
      <w:pPr>
        <w:autoSpaceDE w:val="0"/>
        <w:autoSpaceDN w:val="0"/>
        <w:adjustRightInd w:val="0"/>
        <w:ind w:left="720" w:hanging="360"/>
        <w:jc w:val="both"/>
        <w:rPr>
          <w:rFonts w:ascii="Tahoma" w:hAnsi="Tahoma" w:cs="Tahoma"/>
          <w:bCs/>
          <w:sz w:val="20"/>
          <w:szCs w:val="20"/>
        </w:rPr>
      </w:pPr>
      <w:r w:rsidRPr="005E1EA7">
        <w:rPr>
          <w:rFonts w:ascii="Tahoma" w:hAnsi="Tahoma" w:cs="Tahoma"/>
          <w:bCs/>
          <w:sz w:val="20"/>
          <w:szCs w:val="20"/>
        </w:rPr>
        <w:t>d) soit soumis à une surveillance périodique des inspecteurs pour assurer la cohérence de la réalisation des activités conformément aux procédures et instructions de l’organisme.</w:t>
      </w:r>
    </w:p>
    <w:p w14:paraId="3C587412" w14:textId="77777777" w:rsidR="00E34453" w:rsidRPr="005E1EA7" w:rsidRDefault="00E34453" w:rsidP="00E34453">
      <w:pPr>
        <w:autoSpaceDE w:val="0"/>
        <w:autoSpaceDN w:val="0"/>
        <w:adjustRightInd w:val="0"/>
        <w:ind w:left="720" w:hanging="360"/>
        <w:jc w:val="both"/>
        <w:rPr>
          <w:rFonts w:ascii="Tahoma" w:hAnsi="Tahoma" w:cs="Tahoma"/>
          <w:bCs/>
          <w:sz w:val="20"/>
          <w:szCs w:val="20"/>
        </w:rPr>
      </w:pPr>
    </w:p>
    <w:p w14:paraId="2869B22E" w14:textId="77777777" w:rsidR="00E34453" w:rsidRPr="005E1EA7" w:rsidRDefault="00E34453" w:rsidP="00E34453">
      <w:pPr>
        <w:autoSpaceDE w:val="0"/>
        <w:autoSpaceDN w:val="0"/>
        <w:adjustRightInd w:val="0"/>
        <w:jc w:val="both"/>
        <w:rPr>
          <w:rFonts w:ascii="Tahoma" w:hAnsi="Tahoma" w:cs="Tahoma"/>
          <w:bCs/>
          <w:sz w:val="20"/>
          <w:szCs w:val="20"/>
        </w:rPr>
      </w:pPr>
      <w:r w:rsidRPr="005E1EA7">
        <w:rPr>
          <w:rFonts w:ascii="Tahoma" w:hAnsi="Tahoma" w:cs="Tahoma"/>
          <w:b/>
          <w:sz w:val="20"/>
          <w:szCs w:val="20"/>
          <w:u w:val="single"/>
        </w:rPr>
        <w:t>Article 7</w:t>
      </w:r>
      <w:r w:rsidRPr="005E1EA7">
        <w:rPr>
          <w:rFonts w:ascii="Tahoma" w:hAnsi="Tahoma" w:cs="Tahoma"/>
          <w:b/>
          <w:sz w:val="20"/>
          <w:szCs w:val="20"/>
        </w:rPr>
        <w:t xml:space="preserve"> -</w:t>
      </w:r>
      <w:r w:rsidRPr="005E1EA7">
        <w:rPr>
          <w:rFonts w:ascii="Tahoma" w:hAnsi="Tahoma" w:cs="Tahoma"/>
          <w:bCs/>
          <w:sz w:val="20"/>
          <w:szCs w:val="20"/>
        </w:rPr>
        <w:t xml:space="preserve"> Procédures de contrôle et de vérification</w:t>
      </w:r>
    </w:p>
    <w:p w14:paraId="79E547CE" w14:textId="77777777" w:rsidR="00E34453" w:rsidRPr="005E1EA7" w:rsidRDefault="00E34453" w:rsidP="00E34453">
      <w:pPr>
        <w:autoSpaceDE w:val="0"/>
        <w:autoSpaceDN w:val="0"/>
        <w:adjustRightInd w:val="0"/>
        <w:jc w:val="both"/>
        <w:rPr>
          <w:rFonts w:ascii="Tahoma" w:hAnsi="Tahoma" w:cs="Tahoma"/>
          <w:bCs/>
          <w:sz w:val="20"/>
          <w:szCs w:val="20"/>
        </w:rPr>
      </w:pPr>
    </w:p>
    <w:p w14:paraId="6C009368" w14:textId="77777777" w:rsidR="00E34453" w:rsidRPr="005E1EA7" w:rsidRDefault="00E34453" w:rsidP="00E34453">
      <w:pPr>
        <w:autoSpaceDE w:val="0"/>
        <w:autoSpaceDN w:val="0"/>
        <w:adjustRightInd w:val="0"/>
        <w:jc w:val="both"/>
        <w:rPr>
          <w:rFonts w:ascii="Tahoma" w:hAnsi="Tahoma" w:cs="Tahoma"/>
          <w:bCs/>
          <w:sz w:val="20"/>
          <w:szCs w:val="20"/>
        </w:rPr>
      </w:pPr>
      <w:r w:rsidRPr="005E1EA7">
        <w:rPr>
          <w:rFonts w:ascii="Tahoma" w:hAnsi="Tahoma" w:cs="Tahoma"/>
          <w:bCs/>
          <w:sz w:val="20"/>
          <w:szCs w:val="20"/>
        </w:rPr>
        <w:t>1. L’ONISPA effectue les contrôles officiels conformément à des procédures documentées. Ces procédures comportent des informations et des instructions à l’intention du personnel effectuant les contrôles officiels, notamment en ce qui concerne les domaines visés à l’annexe I, chapitre II.</w:t>
      </w:r>
    </w:p>
    <w:p w14:paraId="6D23FA6F" w14:textId="77777777" w:rsidR="00E34453" w:rsidRPr="005E1EA7" w:rsidRDefault="00E34453" w:rsidP="00E34453">
      <w:pPr>
        <w:autoSpaceDE w:val="0"/>
        <w:autoSpaceDN w:val="0"/>
        <w:adjustRightInd w:val="0"/>
        <w:jc w:val="both"/>
        <w:rPr>
          <w:rFonts w:ascii="Tahoma" w:hAnsi="Tahoma" w:cs="Tahoma"/>
          <w:bCs/>
          <w:sz w:val="20"/>
          <w:szCs w:val="20"/>
        </w:rPr>
      </w:pPr>
    </w:p>
    <w:p w14:paraId="184B65B2" w14:textId="77777777" w:rsidR="00E34453" w:rsidRPr="005E1EA7" w:rsidRDefault="00E34453" w:rsidP="00E34453">
      <w:pPr>
        <w:autoSpaceDE w:val="0"/>
        <w:autoSpaceDN w:val="0"/>
        <w:adjustRightInd w:val="0"/>
        <w:jc w:val="both"/>
        <w:rPr>
          <w:rFonts w:ascii="Tahoma" w:hAnsi="Tahoma" w:cs="Tahoma"/>
          <w:bCs/>
          <w:sz w:val="20"/>
          <w:szCs w:val="20"/>
        </w:rPr>
      </w:pPr>
      <w:r w:rsidRPr="005E1EA7">
        <w:rPr>
          <w:rFonts w:ascii="Tahoma" w:hAnsi="Tahoma" w:cs="Tahoma"/>
          <w:bCs/>
          <w:sz w:val="20"/>
          <w:szCs w:val="20"/>
        </w:rPr>
        <w:t>2. L’autorité compétente veille à l’instauration de procédures juridiques garantissant que le personnel de l’ONISPA a accès aux locaux des établissements et à la documentation qu’ils détiennent afin qu’il puisse accomplir convenablement leurs tâches.</w:t>
      </w:r>
    </w:p>
    <w:p w14:paraId="1F890A66" w14:textId="77777777" w:rsidR="00E34453" w:rsidRPr="005E1EA7" w:rsidRDefault="00E34453" w:rsidP="00E34453">
      <w:pPr>
        <w:autoSpaceDE w:val="0"/>
        <w:autoSpaceDN w:val="0"/>
        <w:adjustRightInd w:val="0"/>
        <w:jc w:val="both"/>
        <w:rPr>
          <w:rFonts w:ascii="Tahoma" w:hAnsi="Tahoma" w:cs="Tahoma"/>
          <w:bCs/>
          <w:sz w:val="20"/>
          <w:szCs w:val="20"/>
        </w:rPr>
      </w:pPr>
    </w:p>
    <w:p w14:paraId="6760AF63" w14:textId="77777777" w:rsidR="00E34453" w:rsidRPr="005E1EA7" w:rsidRDefault="00E34453" w:rsidP="00E34453">
      <w:pPr>
        <w:autoSpaceDE w:val="0"/>
        <w:autoSpaceDN w:val="0"/>
        <w:adjustRightInd w:val="0"/>
        <w:jc w:val="both"/>
        <w:rPr>
          <w:rFonts w:ascii="Tahoma" w:hAnsi="Tahoma" w:cs="Tahoma"/>
          <w:bCs/>
          <w:sz w:val="20"/>
          <w:szCs w:val="20"/>
        </w:rPr>
      </w:pPr>
      <w:r w:rsidRPr="005E1EA7">
        <w:rPr>
          <w:rFonts w:ascii="Tahoma" w:hAnsi="Tahoma" w:cs="Tahoma"/>
          <w:bCs/>
          <w:sz w:val="20"/>
          <w:szCs w:val="20"/>
        </w:rPr>
        <w:t xml:space="preserve">3. L’autorité compétente et l’ONISPA se dotent de procédures pour : </w:t>
      </w:r>
    </w:p>
    <w:p w14:paraId="03355BFC" w14:textId="77777777" w:rsidR="00E34453" w:rsidRPr="005E1EA7" w:rsidRDefault="00E34453" w:rsidP="00E34453">
      <w:pPr>
        <w:autoSpaceDE w:val="0"/>
        <w:autoSpaceDN w:val="0"/>
        <w:adjustRightInd w:val="0"/>
        <w:jc w:val="both"/>
        <w:rPr>
          <w:rFonts w:ascii="Tahoma" w:hAnsi="Tahoma" w:cs="Tahoma"/>
          <w:bCs/>
          <w:sz w:val="20"/>
          <w:szCs w:val="20"/>
        </w:rPr>
      </w:pPr>
    </w:p>
    <w:p w14:paraId="31167F0E" w14:textId="77777777" w:rsidR="00E34453" w:rsidRPr="005E1EA7" w:rsidRDefault="00E34453" w:rsidP="00E34453">
      <w:pPr>
        <w:autoSpaceDE w:val="0"/>
        <w:autoSpaceDN w:val="0"/>
        <w:adjustRightInd w:val="0"/>
        <w:ind w:left="720" w:hanging="360"/>
        <w:jc w:val="both"/>
        <w:rPr>
          <w:rFonts w:ascii="Tahoma" w:hAnsi="Tahoma" w:cs="Tahoma"/>
          <w:bCs/>
          <w:sz w:val="20"/>
          <w:szCs w:val="20"/>
        </w:rPr>
      </w:pPr>
      <w:r w:rsidRPr="005E1EA7">
        <w:rPr>
          <w:rFonts w:ascii="Tahoma" w:hAnsi="Tahoma" w:cs="Tahoma"/>
          <w:bCs/>
          <w:sz w:val="20"/>
          <w:szCs w:val="20"/>
        </w:rPr>
        <w:t>a) vérifier l’efficacité des contrôles officiels effectués,</w:t>
      </w:r>
    </w:p>
    <w:p w14:paraId="471511E2" w14:textId="77777777" w:rsidR="00E34453" w:rsidRPr="005E1EA7" w:rsidRDefault="00E34453" w:rsidP="00E34453">
      <w:pPr>
        <w:autoSpaceDE w:val="0"/>
        <w:autoSpaceDN w:val="0"/>
        <w:adjustRightInd w:val="0"/>
        <w:ind w:left="720" w:hanging="360"/>
        <w:jc w:val="both"/>
        <w:rPr>
          <w:rFonts w:ascii="Tahoma" w:hAnsi="Tahoma" w:cs="Tahoma"/>
          <w:bCs/>
          <w:sz w:val="20"/>
          <w:szCs w:val="20"/>
        </w:rPr>
      </w:pPr>
    </w:p>
    <w:p w14:paraId="0E5BD4C2" w14:textId="77777777" w:rsidR="00E34453" w:rsidRPr="005E1EA7" w:rsidRDefault="00E34453" w:rsidP="00E34453">
      <w:pPr>
        <w:autoSpaceDE w:val="0"/>
        <w:autoSpaceDN w:val="0"/>
        <w:adjustRightInd w:val="0"/>
        <w:ind w:left="720" w:hanging="360"/>
        <w:jc w:val="both"/>
        <w:rPr>
          <w:rFonts w:ascii="Tahoma" w:hAnsi="Tahoma" w:cs="Tahoma"/>
          <w:bCs/>
          <w:sz w:val="20"/>
          <w:szCs w:val="20"/>
        </w:rPr>
      </w:pPr>
      <w:r w:rsidRPr="005E1EA7">
        <w:rPr>
          <w:rFonts w:ascii="Tahoma" w:hAnsi="Tahoma" w:cs="Tahoma"/>
          <w:bCs/>
          <w:sz w:val="20"/>
          <w:szCs w:val="20"/>
        </w:rPr>
        <w:t>b) garantir que des mesures correctives sont prises en cas de nécessité et que la documentation mentionnée au paragraphe 1 soit mise à jour, le cas échéant.</w:t>
      </w:r>
    </w:p>
    <w:p w14:paraId="73FDDF27" w14:textId="77777777" w:rsidR="00E34453" w:rsidRPr="005E1EA7" w:rsidRDefault="00E34453" w:rsidP="00E34453">
      <w:pPr>
        <w:autoSpaceDE w:val="0"/>
        <w:autoSpaceDN w:val="0"/>
        <w:adjustRightInd w:val="0"/>
        <w:jc w:val="both"/>
        <w:rPr>
          <w:rFonts w:ascii="Tahoma" w:hAnsi="Tahoma" w:cs="Tahoma"/>
          <w:bCs/>
          <w:sz w:val="20"/>
          <w:szCs w:val="20"/>
        </w:rPr>
      </w:pPr>
    </w:p>
    <w:p w14:paraId="6D66E2B6" w14:textId="77777777" w:rsidR="00E34453" w:rsidRPr="005E1EA7" w:rsidRDefault="00E34453" w:rsidP="00E34453">
      <w:pPr>
        <w:autoSpaceDE w:val="0"/>
        <w:autoSpaceDN w:val="0"/>
        <w:adjustRightInd w:val="0"/>
        <w:jc w:val="both"/>
        <w:rPr>
          <w:rFonts w:ascii="Tahoma" w:hAnsi="Tahoma" w:cs="Tahoma"/>
          <w:bCs/>
          <w:sz w:val="20"/>
          <w:szCs w:val="20"/>
        </w:rPr>
      </w:pPr>
      <w:r w:rsidRPr="005E1EA7">
        <w:rPr>
          <w:rFonts w:ascii="Tahoma" w:hAnsi="Tahoma" w:cs="Tahoma"/>
          <w:bCs/>
          <w:sz w:val="20"/>
          <w:szCs w:val="20"/>
        </w:rPr>
        <w:t>4. L’autorité compétente peut définir des orientations et effectuer des recommandations en matière de contrôles officiels concernant :</w:t>
      </w:r>
    </w:p>
    <w:p w14:paraId="1F145096" w14:textId="77777777" w:rsidR="00E34453" w:rsidRPr="005E1EA7" w:rsidRDefault="00E34453" w:rsidP="00E34453">
      <w:pPr>
        <w:autoSpaceDE w:val="0"/>
        <w:autoSpaceDN w:val="0"/>
        <w:adjustRightInd w:val="0"/>
        <w:jc w:val="both"/>
        <w:rPr>
          <w:rFonts w:ascii="Tahoma" w:hAnsi="Tahoma" w:cs="Tahoma"/>
          <w:bCs/>
          <w:sz w:val="20"/>
          <w:szCs w:val="20"/>
        </w:rPr>
      </w:pPr>
    </w:p>
    <w:p w14:paraId="696456B1" w14:textId="77777777" w:rsidR="00E34453" w:rsidRPr="005E1EA7" w:rsidRDefault="00E34453" w:rsidP="00E34453">
      <w:pPr>
        <w:autoSpaceDE w:val="0"/>
        <w:autoSpaceDN w:val="0"/>
        <w:adjustRightInd w:val="0"/>
        <w:ind w:left="720" w:hanging="360"/>
        <w:jc w:val="both"/>
        <w:rPr>
          <w:rFonts w:ascii="Tahoma" w:hAnsi="Tahoma" w:cs="Tahoma"/>
          <w:bCs/>
          <w:sz w:val="20"/>
          <w:szCs w:val="20"/>
        </w:rPr>
      </w:pPr>
      <w:r w:rsidRPr="005E1EA7">
        <w:rPr>
          <w:rFonts w:ascii="Tahoma" w:hAnsi="Tahoma" w:cs="Tahoma"/>
          <w:bCs/>
          <w:sz w:val="20"/>
          <w:szCs w:val="20"/>
        </w:rPr>
        <w:t>a) la mise en oeuvre des principes HACCP ;</w:t>
      </w:r>
    </w:p>
    <w:p w14:paraId="495EBA16" w14:textId="77777777" w:rsidR="00E34453" w:rsidRPr="005E1EA7" w:rsidRDefault="00E34453" w:rsidP="00E34453">
      <w:pPr>
        <w:autoSpaceDE w:val="0"/>
        <w:autoSpaceDN w:val="0"/>
        <w:adjustRightInd w:val="0"/>
        <w:ind w:left="720" w:hanging="360"/>
        <w:jc w:val="both"/>
        <w:rPr>
          <w:rFonts w:ascii="Tahoma" w:hAnsi="Tahoma" w:cs="Tahoma"/>
          <w:bCs/>
          <w:sz w:val="20"/>
          <w:szCs w:val="20"/>
        </w:rPr>
      </w:pPr>
    </w:p>
    <w:p w14:paraId="5215CC83" w14:textId="77777777" w:rsidR="00E34453" w:rsidRPr="005E1EA7" w:rsidRDefault="00E34453" w:rsidP="00E34453">
      <w:pPr>
        <w:autoSpaceDE w:val="0"/>
        <w:autoSpaceDN w:val="0"/>
        <w:adjustRightInd w:val="0"/>
        <w:ind w:left="720" w:hanging="360"/>
        <w:jc w:val="both"/>
        <w:rPr>
          <w:rFonts w:ascii="Tahoma" w:hAnsi="Tahoma" w:cs="Tahoma"/>
          <w:bCs/>
          <w:sz w:val="20"/>
          <w:szCs w:val="20"/>
        </w:rPr>
      </w:pPr>
      <w:r w:rsidRPr="005E1EA7">
        <w:rPr>
          <w:rFonts w:ascii="Tahoma" w:hAnsi="Tahoma" w:cs="Tahoma"/>
          <w:bCs/>
          <w:sz w:val="20"/>
          <w:szCs w:val="20"/>
        </w:rPr>
        <w:t>b) les systèmes de gestion que les exploitants instaurent en vue de satisfaire aux prescriptions de la législation relative aux produits de la pêche ;</w:t>
      </w:r>
    </w:p>
    <w:p w14:paraId="2953945C" w14:textId="77777777" w:rsidR="00E34453" w:rsidRPr="005E1EA7" w:rsidRDefault="00E34453" w:rsidP="00E34453">
      <w:pPr>
        <w:autoSpaceDE w:val="0"/>
        <w:autoSpaceDN w:val="0"/>
        <w:adjustRightInd w:val="0"/>
        <w:ind w:left="720" w:hanging="360"/>
        <w:jc w:val="both"/>
        <w:rPr>
          <w:rFonts w:ascii="Tahoma" w:hAnsi="Tahoma" w:cs="Tahoma"/>
          <w:bCs/>
          <w:sz w:val="20"/>
          <w:szCs w:val="20"/>
        </w:rPr>
      </w:pPr>
    </w:p>
    <w:p w14:paraId="066F4DF0" w14:textId="77777777" w:rsidR="00E34453" w:rsidRPr="005E1EA7" w:rsidRDefault="00E34453" w:rsidP="00E34453">
      <w:pPr>
        <w:autoSpaceDE w:val="0"/>
        <w:autoSpaceDN w:val="0"/>
        <w:adjustRightInd w:val="0"/>
        <w:ind w:left="720" w:hanging="360"/>
        <w:jc w:val="both"/>
        <w:rPr>
          <w:rFonts w:ascii="Tahoma" w:hAnsi="Tahoma" w:cs="Tahoma"/>
          <w:bCs/>
          <w:sz w:val="20"/>
          <w:szCs w:val="20"/>
        </w:rPr>
      </w:pPr>
      <w:r w:rsidRPr="005E1EA7">
        <w:rPr>
          <w:rFonts w:ascii="Tahoma" w:hAnsi="Tahoma" w:cs="Tahoma"/>
          <w:bCs/>
          <w:sz w:val="20"/>
          <w:szCs w:val="20"/>
        </w:rPr>
        <w:t>c) la sécurité microbiologique, physique, chimique et toxinique des produits de la pêche.</w:t>
      </w:r>
    </w:p>
    <w:p w14:paraId="770DB2B9" w14:textId="77777777" w:rsidR="00E34453" w:rsidRPr="005E1EA7" w:rsidRDefault="00E34453" w:rsidP="00E34453">
      <w:pPr>
        <w:autoSpaceDE w:val="0"/>
        <w:autoSpaceDN w:val="0"/>
        <w:adjustRightInd w:val="0"/>
        <w:jc w:val="both"/>
        <w:rPr>
          <w:rFonts w:ascii="Tahoma" w:hAnsi="Tahoma" w:cs="Tahoma"/>
          <w:bCs/>
          <w:sz w:val="20"/>
          <w:szCs w:val="20"/>
        </w:rPr>
      </w:pPr>
    </w:p>
    <w:p w14:paraId="638E486F" w14:textId="77777777" w:rsidR="00E34453" w:rsidRPr="005E1EA7" w:rsidRDefault="00E34453" w:rsidP="00E34453">
      <w:pPr>
        <w:autoSpaceDE w:val="0"/>
        <w:autoSpaceDN w:val="0"/>
        <w:adjustRightInd w:val="0"/>
        <w:jc w:val="both"/>
        <w:rPr>
          <w:rFonts w:ascii="Tahoma" w:hAnsi="Tahoma" w:cs="Tahoma"/>
          <w:bCs/>
          <w:sz w:val="20"/>
          <w:szCs w:val="20"/>
        </w:rPr>
      </w:pPr>
      <w:r w:rsidRPr="005E1EA7">
        <w:rPr>
          <w:rFonts w:ascii="Tahoma" w:hAnsi="Tahoma" w:cs="Tahoma"/>
          <w:b/>
          <w:sz w:val="20"/>
          <w:szCs w:val="20"/>
          <w:u w:val="single"/>
        </w:rPr>
        <w:t>Article 8</w:t>
      </w:r>
      <w:r w:rsidRPr="005E1EA7">
        <w:rPr>
          <w:rFonts w:ascii="Tahoma" w:hAnsi="Tahoma" w:cs="Tahoma"/>
          <w:b/>
          <w:sz w:val="20"/>
          <w:szCs w:val="20"/>
        </w:rPr>
        <w:t xml:space="preserve"> –</w:t>
      </w:r>
      <w:r w:rsidRPr="005E1EA7">
        <w:rPr>
          <w:rFonts w:ascii="Tahoma" w:hAnsi="Tahoma" w:cs="Tahoma"/>
          <w:bCs/>
          <w:sz w:val="20"/>
          <w:szCs w:val="20"/>
        </w:rPr>
        <w:t xml:space="preserve"> Rapports</w:t>
      </w:r>
    </w:p>
    <w:p w14:paraId="647DB372" w14:textId="77777777" w:rsidR="00E34453" w:rsidRPr="005E1EA7" w:rsidRDefault="00E34453" w:rsidP="00E34453">
      <w:pPr>
        <w:autoSpaceDE w:val="0"/>
        <w:autoSpaceDN w:val="0"/>
        <w:adjustRightInd w:val="0"/>
        <w:jc w:val="both"/>
        <w:rPr>
          <w:rFonts w:ascii="Tahoma" w:hAnsi="Tahoma" w:cs="Tahoma"/>
          <w:bCs/>
          <w:sz w:val="20"/>
          <w:szCs w:val="20"/>
        </w:rPr>
      </w:pPr>
    </w:p>
    <w:p w14:paraId="455A168C" w14:textId="77777777" w:rsidR="00E34453" w:rsidRPr="005E1EA7" w:rsidRDefault="00E34453" w:rsidP="00E34453">
      <w:pPr>
        <w:autoSpaceDE w:val="0"/>
        <w:autoSpaceDN w:val="0"/>
        <w:adjustRightInd w:val="0"/>
        <w:jc w:val="both"/>
        <w:rPr>
          <w:rFonts w:ascii="Tahoma" w:hAnsi="Tahoma" w:cs="Tahoma"/>
          <w:bCs/>
          <w:sz w:val="20"/>
          <w:szCs w:val="20"/>
        </w:rPr>
      </w:pPr>
      <w:r w:rsidRPr="005E1EA7">
        <w:rPr>
          <w:rFonts w:ascii="Tahoma" w:hAnsi="Tahoma" w:cs="Tahoma"/>
          <w:bCs/>
          <w:sz w:val="20"/>
          <w:szCs w:val="20"/>
        </w:rPr>
        <w:t>1. L’ONISPA établit des rapports sur les contrôles officiels qu’il a effectués.</w:t>
      </w:r>
    </w:p>
    <w:p w14:paraId="2C1FD58C" w14:textId="77777777" w:rsidR="00E34453" w:rsidRPr="005E1EA7" w:rsidRDefault="00E34453" w:rsidP="00E34453">
      <w:pPr>
        <w:autoSpaceDE w:val="0"/>
        <w:autoSpaceDN w:val="0"/>
        <w:adjustRightInd w:val="0"/>
        <w:jc w:val="both"/>
        <w:rPr>
          <w:rFonts w:ascii="Tahoma" w:hAnsi="Tahoma" w:cs="Tahoma"/>
          <w:bCs/>
          <w:sz w:val="20"/>
          <w:szCs w:val="20"/>
        </w:rPr>
      </w:pPr>
    </w:p>
    <w:p w14:paraId="5C5029C9" w14:textId="77777777" w:rsidR="00E34453" w:rsidRPr="005E1EA7" w:rsidRDefault="00E34453" w:rsidP="00E34453">
      <w:pPr>
        <w:autoSpaceDE w:val="0"/>
        <w:autoSpaceDN w:val="0"/>
        <w:adjustRightInd w:val="0"/>
        <w:jc w:val="both"/>
        <w:rPr>
          <w:rFonts w:ascii="Tahoma" w:hAnsi="Tahoma" w:cs="Tahoma"/>
          <w:bCs/>
          <w:sz w:val="20"/>
          <w:szCs w:val="20"/>
        </w:rPr>
      </w:pPr>
      <w:r w:rsidRPr="005E1EA7">
        <w:rPr>
          <w:rFonts w:ascii="Tahoma" w:hAnsi="Tahoma" w:cs="Tahoma"/>
          <w:bCs/>
          <w:sz w:val="20"/>
          <w:szCs w:val="20"/>
        </w:rPr>
        <w:t>2. Ces rapports contiennent une description de l’objectif des contrôles officiels, des méthodes de contrôle appliquées, des résultats des contrôles officiels et, le cas échéant, les décisions résultant des contrôles, des mesures que doit prendre l’exploitant concerné.</w:t>
      </w:r>
    </w:p>
    <w:p w14:paraId="0A5FDA44" w14:textId="77777777" w:rsidR="00E34453" w:rsidRPr="005E1EA7" w:rsidRDefault="00E34453" w:rsidP="00E34453">
      <w:pPr>
        <w:autoSpaceDE w:val="0"/>
        <w:autoSpaceDN w:val="0"/>
        <w:adjustRightInd w:val="0"/>
        <w:jc w:val="both"/>
        <w:rPr>
          <w:rFonts w:ascii="Tahoma" w:hAnsi="Tahoma" w:cs="Tahoma"/>
          <w:bCs/>
          <w:sz w:val="20"/>
          <w:szCs w:val="20"/>
        </w:rPr>
      </w:pPr>
    </w:p>
    <w:p w14:paraId="1A4518CE" w14:textId="77777777" w:rsidR="00E34453" w:rsidRPr="005E1EA7" w:rsidRDefault="00E34453" w:rsidP="00E34453">
      <w:pPr>
        <w:autoSpaceDE w:val="0"/>
        <w:autoSpaceDN w:val="0"/>
        <w:adjustRightInd w:val="0"/>
        <w:jc w:val="both"/>
        <w:rPr>
          <w:rFonts w:ascii="Tahoma" w:hAnsi="Tahoma" w:cs="Tahoma"/>
          <w:bCs/>
          <w:sz w:val="20"/>
          <w:szCs w:val="20"/>
        </w:rPr>
      </w:pPr>
      <w:r w:rsidRPr="005E1EA7">
        <w:rPr>
          <w:rFonts w:ascii="Tahoma" w:hAnsi="Tahoma" w:cs="Tahoma"/>
          <w:bCs/>
          <w:sz w:val="20"/>
          <w:szCs w:val="20"/>
        </w:rPr>
        <w:t>3. L’ONISPA communique à l’exploitant concerné une copie du rapport visé au paragraphe 2, au moins en cas de manquement à la législation.</w:t>
      </w:r>
    </w:p>
    <w:p w14:paraId="67D54FDB" w14:textId="77777777" w:rsidR="00E34453" w:rsidRPr="005E1EA7" w:rsidRDefault="00E34453" w:rsidP="00E34453">
      <w:pPr>
        <w:autoSpaceDE w:val="0"/>
        <w:autoSpaceDN w:val="0"/>
        <w:adjustRightInd w:val="0"/>
        <w:jc w:val="both"/>
        <w:rPr>
          <w:rFonts w:ascii="Tahoma" w:hAnsi="Tahoma" w:cs="Tahoma"/>
          <w:bCs/>
          <w:sz w:val="20"/>
          <w:szCs w:val="20"/>
        </w:rPr>
      </w:pPr>
    </w:p>
    <w:p w14:paraId="7D656729" w14:textId="77777777" w:rsidR="00E34453" w:rsidRPr="005E1EA7" w:rsidRDefault="00E34453" w:rsidP="00E34453">
      <w:pPr>
        <w:autoSpaceDE w:val="0"/>
        <w:autoSpaceDN w:val="0"/>
        <w:adjustRightInd w:val="0"/>
        <w:jc w:val="both"/>
        <w:rPr>
          <w:rFonts w:ascii="Tahoma" w:hAnsi="Tahoma" w:cs="Tahoma"/>
          <w:bCs/>
          <w:sz w:val="20"/>
          <w:szCs w:val="20"/>
        </w:rPr>
      </w:pPr>
      <w:r w:rsidRPr="005E1EA7">
        <w:rPr>
          <w:rFonts w:ascii="Tahoma" w:hAnsi="Tahoma" w:cs="Tahoma"/>
          <w:b/>
          <w:sz w:val="20"/>
          <w:szCs w:val="20"/>
          <w:u w:val="single"/>
        </w:rPr>
        <w:t xml:space="preserve">Article 9 </w:t>
      </w:r>
      <w:r w:rsidRPr="005E1EA7">
        <w:rPr>
          <w:rFonts w:ascii="Tahoma" w:hAnsi="Tahoma" w:cs="Tahoma"/>
          <w:b/>
          <w:sz w:val="20"/>
          <w:szCs w:val="20"/>
        </w:rPr>
        <w:t>-</w:t>
      </w:r>
      <w:r w:rsidRPr="005E1EA7">
        <w:rPr>
          <w:rFonts w:ascii="Tahoma" w:hAnsi="Tahoma" w:cs="Tahoma"/>
          <w:bCs/>
          <w:sz w:val="20"/>
          <w:szCs w:val="20"/>
        </w:rPr>
        <w:t xml:space="preserve"> Activités, méthodes et techniques de contrôle</w:t>
      </w:r>
    </w:p>
    <w:p w14:paraId="36339199" w14:textId="77777777" w:rsidR="00E34453" w:rsidRPr="005E1EA7" w:rsidRDefault="00E34453" w:rsidP="00E34453">
      <w:pPr>
        <w:autoSpaceDE w:val="0"/>
        <w:autoSpaceDN w:val="0"/>
        <w:adjustRightInd w:val="0"/>
        <w:jc w:val="both"/>
        <w:rPr>
          <w:rFonts w:ascii="Tahoma" w:hAnsi="Tahoma" w:cs="Tahoma"/>
          <w:bCs/>
          <w:sz w:val="20"/>
          <w:szCs w:val="20"/>
        </w:rPr>
      </w:pPr>
    </w:p>
    <w:p w14:paraId="73655E3D" w14:textId="77777777" w:rsidR="00E34453" w:rsidRPr="005E1EA7" w:rsidRDefault="00E34453" w:rsidP="00E34453">
      <w:pPr>
        <w:autoSpaceDE w:val="0"/>
        <w:autoSpaceDN w:val="0"/>
        <w:adjustRightInd w:val="0"/>
        <w:jc w:val="both"/>
        <w:rPr>
          <w:rFonts w:ascii="Tahoma" w:hAnsi="Tahoma" w:cs="Tahoma"/>
          <w:bCs/>
          <w:sz w:val="20"/>
          <w:szCs w:val="20"/>
        </w:rPr>
      </w:pPr>
      <w:r w:rsidRPr="005E1EA7">
        <w:rPr>
          <w:rFonts w:ascii="Tahoma" w:hAnsi="Tahoma" w:cs="Tahoma"/>
          <w:bCs/>
          <w:sz w:val="20"/>
          <w:szCs w:val="20"/>
        </w:rPr>
        <w:t>1. Les tâches liées aux contrôles officiels sont en général effectuées à l’aide de méthodes et techniques de contrôle appropriées telles que le suivi, la surveillance, la vérification, l’audit, l’inspection, l’échantillonnage et l’analyse.</w:t>
      </w:r>
    </w:p>
    <w:p w14:paraId="12DD4B31" w14:textId="77777777" w:rsidR="00E34453" w:rsidRPr="005E1EA7" w:rsidRDefault="00E34453" w:rsidP="00E34453">
      <w:pPr>
        <w:autoSpaceDE w:val="0"/>
        <w:autoSpaceDN w:val="0"/>
        <w:adjustRightInd w:val="0"/>
        <w:jc w:val="both"/>
        <w:rPr>
          <w:rFonts w:ascii="Tahoma" w:hAnsi="Tahoma" w:cs="Tahoma"/>
          <w:bCs/>
          <w:sz w:val="20"/>
          <w:szCs w:val="20"/>
        </w:rPr>
      </w:pPr>
    </w:p>
    <w:p w14:paraId="4E9A4209" w14:textId="77777777" w:rsidR="00E34453" w:rsidRPr="005E1EA7" w:rsidRDefault="00E34453" w:rsidP="00E34453">
      <w:pPr>
        <w:autoSpaceDE w:val="0"/>
        <w:autoSpaceDN w:val="0"/>
        <w:adjustRightInd w:val="0"/>
        <w:jc w:val="both"/>
        <w:rPr>
          <w:rFonts w:ascii="Tahoma" w:hAnsi="Tahoma" w:cs="Tahoma"/>
          <w:bCs/>
          <w:sz w:val="20"/>
          <w:szCs w:val="20"/>
        </w:rPr>
      </w:pPr>
      <w:r w:rsidRPr="005E1EA7">
        <w:rPr>
          <w:rFonts w:ascii="Tahoma" w:hAnsi="Tahoma" w:cs="Tahoma"/>
          <w:bCs/>
          <w:sz w:val="20"/>
          <w:szCs w:val="20"/>
        </w:rPr>
        <w:t>2. Les contrôles officiels des produits de la pêche comprennent, entre autres, les activités suivantes :</w:t>
      </w:r>
    </w:p>
    <w:p w14:paraId="0EE425B2" w14:textId="77777777" w:rsidR="00E34453" w:rsidRPr="005E1EA7" w:rsidRDefault="00E34453" w:rsidP="00E34453">
      <w:pPr>
        <w:autoSpaceDE w:val="0"/>
        <w:autoSpaceDN w:val="0"/>
        <w:adjustRightInd w:val="0"/>
        <w:jc w:val="both"/>
        <w:rPr>
          <w:rFonts w:ascii="Tahoma" w:hAnsi="Tahoma" w:cs="Tahoma"/>
          <w:bCs/>
          <w:sz w:val="20"/>
          <w:szCs w:val="20"/>
        </w:rPr>
      </w:pPr>
    </w:p>
    <w:p w14:paraId="6186C9A5" w14:textId="77777777" w:rsidR="00E34453" w:rsidRPr="005E1EA7" w:rsidRDefault="00E34453" w:rsidP="00E34453">
      <w:pPr>
        <w:autoSpaceDE w:val="0"/>
        <w:autoSpaceDN w:val="0"/>
        <w:adjustRightInd w:val="0"/>
        <w:ind w:left="720" w:hanging="360"/>
        <w:jc w:val="both"/>
        <w:rPr>
          <w:rFonts w:ascii="Tahoma" w:hAnsi="Tahoma" w:cs="Tahoma"/>
          <w:bCs/>
          <w:sz w:val="20"/>
          <w:szCs w:val="20"/>
        </w:rPr>
      </w:pPr>
      <w:r w:rsidRPr="005E1EA7">
        <w:rPr>
          <w:rFonts w:ascii="Tahoma" w:hAnsi="Tahoma" w:cs="Tahoma"/>
          <w:bCs/>
          <w:sz w:val="20"/>
          <w:szCs w:val="20"/>
        </w:rPr>
        <w:t>a) l’examen de tout système d’autocontrôle mis en place par les exploitants des produits de la pêche et des résultats obtenus,</w:t>
      </w:r>
    </w:p>
    <w:p w14:paraId="0AF2B0B0" w14:textId="77777777" w:rsidR="00E34453" w:rsidRPr="005E1EA7" w:rsidRDefault="00E34453" w:rsidP="00E34453">
      <w:pPr>
        <w:autoSpaceDE w:val="0"/>
        <w:autoSpaceDN w:val="0"/>
        <w:adjustRightInd w:val="0"/>
        <w:jc w:val="both"/>
        <w:rPr>
          <w:rFonts w:ascii="Tahoma" w:hAnsi="Tahoma" w:cs="Tahoma"/>
          <w:bCs/>
          <w:sz w:val="20"/>
          <w:szCs w:val="20"/>
        </w:rPr>
      </w:pPr>
    </w:p>
    <w:p w14:paraId="1B70F913" w14:textId="77777777" w:rsidR="00E34453" w:rsidRPr="005E1EA7" w:rsidRDefault="00E34453" w:rsidP="00E34453">
      <w:pPr>
        <w:autoSpaceDE w:val="0"/>
        <w:autoSpaceDN w:val="0"/>
        <w:adjustRightInd w:val="0"/>
        <w:ind w:left="720" w:hanging="360"/>
        <w:jc w:val="both"/>
        <w:rPr>
          <w:rFonts w:ascii="Tahoma" w:hAnsi="Tahoma" w:cs="Tahoma"/>
          <w:sz w:val="20"/>
          <w:szCs w:val="20"/>
        </w:rPr>
      </w:pPr>
      <w:r w:rsidRPr="005E1EA7">
        <w:rPr>
          <w:rFonts w:ascii="Tahoma" w:hAnsi="Tahoma" w:cs="Tahoma"/>
          <w:bCs/>
          <w:sz w:val="20"/>
          <w:szCs w:val="20"/>
        </w:rPr>
        <w:t>b) l’inspection</w:t>
      </w:r>
      <w:r w:rsidRPr="005E1EA7">
        <w:rPr>
          <w:rFonts w:ascii="Tahoma" w:hAnsi="Tahoma" w:cs="Tahoma"/>
          <w:sz w:val="20"/>
          <w:szCs w:val="20"/>
        </w:rPr>
        <w:t xml:space="preserve"> :</w:t>
      </w:r>
    </w:p>
    <w:p w14:paraId="58101D07" w14:textId="77777777" w:rsidR="00E34453" w:rsidRPr="005E1EA7" w:rsidRDefault="00E34453" w:rsidP="00E34453">
      <w:pPr>
        <w:autoSpaceDE w:val="0"/>
        <w:autoSpaceDN w:val="0"/>
        <w:adjustRightInd w:val="0"/>
        <w:ind w:left="720" w:hanging="360"/>
        <w:jc w:val="both"/>
        <w:rPr>
          <w:rFonts w:ascii="Tahoma" w:hAnsi="Tahoma" w:cs="Tahoma"/>
          <w:sz w:val="20"/>
          <w:szCs w:val="20"/>
        </w:rPr>
      </w:pPr>
    </w:p>
    <w:p w14:paraId="7D36682F" w14:textId="77777777" w:rsidR="00E34453" w:rsidRPr="005E1EA7" w:rsidRDefault="00E34453" w:rsidP="00E34453">
      <w:pPr>
        <w:autoSpaceDE w:val="0"/>
        <w:autoSpaceDN w:val="0"/>
        <w:adjustRightInd w:val="0"/>
        <w:ind w:left="900" w:hanging="180"/>
        <w:jc w:val="both"/>
        <w:rPr>
          <w:rFonts w:ascii="Tahoma" w:hAnsi="Tahoma" w:cs="Tahoma"/>
          <w:sz w:val="20"/>
          <w:szCs w:val="20"/>
        </w:rPr>
      </w:pPr>
      <w:r w:rsidRPr="005E1EA7">
        <w:rPr>
          <w:rFonts w:ascii="Tahoma" w:hAnsi="Tahoma" w:cs="Tahoma"/>
          <w:sz w:val="20"/>
          <w:szCs w:val="20"/>
        </w:rPr>
        <w:t>i) des installations de production primaire, des établissements de traitement des produits de la pêche, y compris leurs alentours, locaux, bureaux, équipements, installations et machines, des moyens de transports ainsi que des produits de la pêche ;</w:t>
      </w:r>
    </w:p>
    <w:p w14:paraId="2B47E0B1" w14:textId="77777777" w:rsidR="00E34453" w:rsidRPr="005E1EA7" w:rsidRDefault="00E34453" w:rsidP="00E34453">
      <w:pPr>
        <w:autoSpaceDE w:val="0"/>
        <w:autoSpaceDN w:val="0"/>
        <w:adjustRightInd w:val="0"/>
        <w:ind w:left="900" w:hanging="180"/>
        <w:jc w:val="both"/>
        <w:rPr>
          <w:rFonts w:ascii="Tahoma" w:hAnsi="Tahoma" w:cs="Tahoma"/>
          <w:sz w:val="20"/>
          <w:szCs w:val="20"/>
        </w:rPr>
      </w:pPr>
      <w:r w:rsidRPr="005E1EA7">
        <w:rPr>
          <w:rFonts w:ascii="Tahoma" w:hAnsi="Tahoma" w:cs="Tahoma"/>
          <w:sz w:val="20"/>
          <w:szCs w:val="20"/>
        </w:rPr>
        <w:t>ii) des matières premières, des ingrédients, des auxiliaires technologiques et des autres produits utilisés lors de la préparation et de la production des produits de la pêche ;</w:t>
      </w:r>
    </w:p>
    <w:p w14:paraId="7F83A550" w14:textId="77777777" w:rsidR="00E34453" w:rsidRPr="005E1EA7" w:rsidRDefault="00E34453" w:rsidP="00E34453">
      <w:pPr>
        <w:autoSpaceDE w:val="0"/>
        <w:autoSpaceDN w:val="0"/>
        <w:adjustRightInd w:val="0"/>
        <w:ind w:left="900" w:hanging="180"/>
        <w:jc w:val="both"/>
        <w:rPr>
          <w:rFonts w:ascii="Tahoma" w:hAnsi="Tahoma" w:cs="Tahoma"/>
          <w:sz w:val="20"/>
          <w:szCs w:val="20"/>
        </w:rPr>
      </w:pPr>
      <w:r w:rsidRPr="005E1EA7">
        <w:rPr>
          <w:rFonts w:ascii="Tahoma" w:hAnsi="Tahoma" w:cs="Tahoma"/>
          <w:sz w:val="20"/>
          <w:szCs w:val="20"/>
        </w:rPr>
        <w:t>iii) des produits semi-finis ;</w:t>
      </w:r>
    </w:p>
    <w:p w14:paraId="7869E50C" w14:textId="77777777" w:rsidR="00E34453" w:rsidRPr="005E1EA7" w:rsidRDefault="00E34453" w:rsidP="00E34453">
      <w:pPr>
        <w:autoSpaceDE w:val="0"/>
        <w:autoSpaceDN w:val="0"/>
        <w:adjustRightInd w:val="0"/>
        <w:ind w:left="900" w:hanging="180"/>
        <w:jc w:val="both"/>
        <w:rPr>
          <w:rFonts w:ascii="Tahoma" w:hAnsi="Tahoma" w:cs="Tahoma"/>
          <w:sz w:val="20"/>
          <w:szCs w:val="20"/>
        </w:rPr>
      </w:pPr>
      <w:r w:rsidRPr="005E1EA7">
        <w:rPr>
          <w:rFonts w:ascii="Tahoma" w:hAnsi="Tahoma" w:cs="Tahoma"/>
          <w:sz w:val="20"/>
          <w:szCs w:val="20"/>
        </w:rPr>
        <w:t>iv) des matériaux et des objets destinés à entrer en contact avec les produits de la pêche ;</w:t>
      </w:r>
    </w:p>
    <w:p w14:paraId="1184E849" w14:textId="77777777" w:rsidR="00E34453" w:rsidRPr="005E1EA7" w:rsidRDefault="00E34453" w:rsidP="00E34453">
      <w:pPr>
        <w:autoSpaceDE w:val="0"/>
        <w:autoSpaceDN w:val="0"/>
        <w:adjustRightInd w:val="0"/>
        <w:ind w:left="900" w:hanging="180"/>
        <w:jc w:val="both"/>
        <w:rPr>
          <w:rFonts w:ascii="Tahoma" w:hAnsi="Tahoma" w:cs="Tahoma"/>
          <w:sz w:val="20"/>
          <w:szCs w:val="20"/>
        </w:rPr>
      </w:pPr>
      <w:r w:rsidRPr="005E1EA7">
        <w:rPr>
          <w:rFonts w:ascii="Tahoma" w:hAnsi="Tahoma" w:cs="Tahoma"/>
          <w:sz w:val="20"/>
          <w:szCs w:val="20"/>
        </w:rPr>
        <w:t>v) des produits et des procédés de nettoyage et d’entretien, et des pesticides ;</w:t>
      </w:r>
    </w:p>
    <w:p w14:paraId="32CFF3CA" w14:textId="77777777" w:rsidR="00E34453" w:rsidRPr="005E1EA7" w:rsidRDefault="00E34453" w:rsidP="00E34453">
      <w:pPr>
        <w:autoSpaceDE w:val="0"/>
        <w:autoSpaceDN w:val="0"/>
        <w:adjustRightInd w:val="0"/>
        <w:ind w:left="900" w:hanging="180"/>
        <w:jc w:val="both"/>
        <w:rPr>
          <w:rFonts w:ascii="Tahoma" w:hAnsi="Tahoma" w:cs="Tahoma"/>
          <w:sz w:val="20"/>
          <w:szCs w:val="20"/>
        </w:rPr>
      </w:pPr>
      <w:r w:rsidRPr="005E1EA7">
        <w:rPr>
          <w:rFonts w:ascii="Tahoma" w:hAnsi="Tahoma" w:cs="Tahoma"/>
          <w:sz w:val="20"/>
          <w:szCs w:val="20"/>
        </w:rPr>
        <w:t>vi) de l’étiquetage, de la présentation et de la publicité.</w:t>
      </w:r>
    </w:p>
    <w:p w14:paraId="6EC859DB" w14:textId="77777777" w:rsidR="00E34453" w:rsidRPr="005E1EA7" w:rsidRDefault="00E34453" w:rsidP="00E34453">
      <w:pPr>
        <w:autoSpaceDE w:val="0"/>
        <w:autoSpaceDN w:val="0"/>
        <w:adjustRightInd w:val="0"/>
        <w:ind w:left="900" w:hanging="180"/>
        <w:jc w:val="both"/>
        <w:rPr>
          <w:rFonts w:ascii="Tahoma" w:hAnsi="Tahoma" w:cs="Tahoma"/>
          <w:sz w:val="20"/>
          <w:szCs w:val="20"/>
        </w:rPr>
      </w:pPr>
    </w:p>
    <w:p w14:paraId="172C1FB8" w14:textId="77777777" w:rsidR="00E34453" w:rsidRPr="005E1EA7" w:rsidRDefault="00E34453" w:rsidP="00E34453">
      <w:pPr>
        <w:autoSpaceDE w:val="0"/>
        <w:autoSpaceDN w:val="0"/>
        <w:adjustRightInd w:val="0"/>
        <w:ind w:left="720" w:hanging="360"/>
        <w:jc w:val="both"/>
        <w:rPr>
          <w:rFonts w:ascii="Tahoma" w:hAnsi="Tahoma" w:cs="Tahoma"/>
          <w:sz w:val="20"/>
          <w:szCs w:val="20"/>
        </w:rPr>
      </w:pPr>
      <w:r w:rsidRPr="005E1EA7">
        <w:rPr>
          <w:rFonts w:ascii="Tahoma" w:hAnsi="Tahoma" w:cs="Tahoma"/>
          <w:sz w:val="20"/>
          <w:szCs w:val="20"/>
        </w:rPr>
        <w:t>c) les contrôles des conditions d’hygiène dans des établissements de traitement des produits de la pêche,</w:t>
      </w:r>
    </w:p>
    <w:p w14:paraId="12C9A4BF" w14:textId="77777777" w:rsidR="00E34453" w:rsidRPr="005E1EA7" w:rsidRDefault="00E34453" w:rsidP="00E34453">
      <w:pPr>
        <w:autoSpaceDE w:val="0"/>
        <w:autoSpaceDN w:val="0"/>
        <w:adjustRightInd w:val="0"/>
        <w:ind w:left="720" w:hanging="360"/>
        <w:jc w:val="both"/>
        <w:rPr>
          <w:rFonts w:ascii="Tahoma" w:hAnsi="Tahoma" w:cs="Tahoma"/>
          <w:sz w:val="20"/>
          <w:szCs w:val="20"/>
        </w:rPr>
      </w:pPr>
    </w:p>
    <w:p w14:paraId="5CC1F120" w14:textId="77777777" w:rsidR="00E34453" w:rsidRPr="005E1EA7" w:rsidRDefault="00E34453" w:rsidP="00E34453">
      <w:pPr>
        <w:pStyle w:val="Retraitcorpsdetexte"/>
        <w:rPr>
          <w:rFonts w:ascii="Tahoma" w:hAnsi="Tahoma" w:cs="Tahoma"/>
          <w:sz w:val="20"/>
          <w:szCs w:val="20"/>
        </w:rPr>
      </w:pPr>
      <w:r w:rsidRPr="005E1EA7">
        <w:rPr>
          <w:rFonts w:ascii="Tahoma" w:hAnsi="Tahoma" w:cs="Tahoma"/>
          <w:sz w:val="20"/>
          <w:szCs w:val="20"/>
        </w:rPr>
        <w:lastRenderedPageBreak/>
        <w:t>d) l’évaluation des procédures en matière de bonnes pratiques de fabrication (BPF), de bonnes pratiques d’hygiène (BPH) et de principes HACCP, compte tenu de l’utilisation, le cas échéant, de guides rédigés conformément à la législation,</w:t>
      </w:r>
    </w:p>
    <w:p w14:paraId="174C4C3E" w14:textId="77777777" w:rsidR="00E34453" w:rsidRPr="005E1EA7" w:rsidRDefault="00E34453" w:rsidP="00E34453">
      <w:pPr>
        <w:autoSpaceDE w:val="0"/>
        <w:autoSpaceDN w:val="0"/>
        <w:adjustRightInd w:val="0"/>
        <w:ind w:left="720" w:hanging="360"/>
        <w:jc w:val="both"/>
        <w:rPr>
          <w:rFonts w:ascii="Tahoma" w:hAnsi="Tahoma" w:cs="Tahoma"/>
          <w:sz w:val="20"/>
          <w:szCs w:val="20"/>
        </w:rPr>
      </w:pPr>
    </w:p>
    <w:p w14:paraId="6515A46A" w14:textId="77777777" w:rsidR="00E34453" w:rsidRPr="005E1EA7" w:rsidRDefault="00E34453" w:rsidP="00E34453">
      <w:pPr>
        <w:autoSpaceDE w:val="0"/>
        <w:autoSpaceDN w:val="0"/>
        <w:adjustRightInd w:val="0"/>
        <w:ind w:left="720" w:hanging="360"/>
        <w:jc w:val="both"/>
        <w:rPr>
          <w:rFonts w:ascii="Tahoma" w:hAnsi="Tahoma" w:cs="Tahoma"/>
          <w:sz w:val="20"/>
          <w:szCs w:val="20"/>
        </w:rPr>
      </w:pPr>
      <w:r w:rsidRPr="005E1EA7">
        <w:rPr>
          <w:rFonts w:ascii="Tahoma" w:hAnsi="Tahoma" w:cs="Tahoma"/>
          <w:sz w:val="20"/>
          <w:szCs w:val="20"/>
        </w:rPr>
        <w:t>e) l’examen des documents écrits et d’autres données qui peuvent se révéler utiles pour évaluer le respect de la législation relative aux produits de la pêche,</w:t>
      </w:r>
    </w:p>
    <w:p w14:paraId="0A5151B3" w14:textId="77777777" w:rsidR="00E34453" w:rsidRPr="005E1EA7" w:rsidRDefault="00E34453" w:rsidP="00E34453">
      <w:pPr>
        <w:autoSpaceDE w:val="0"/>
        <w:autoSpaceDN w:val="0"/>
        <w:adjustRightInd w:val="0"/>
        <w:ind w:left="720" w:hanging="360"/>
        <w:jc w:val="both"/>
        <w:rPr>
          <w:rFonts w:ascii="Tahoma" w:hAnsi="Tahoma" w:cs="Tahoma"/>
          <w:sz w:val="20"/>
          <w:szCs w:val="20"/>
        </w:rPr>
      </w:pPr>
    </w:p>
    <w:p w14:paraId="6CB7F5AC" w14:textId="77777777" w:rsidR="00E34453" w:rsidRPr="005E1EA7" w:rsidRDefault="00E34453" w:rsidP="00E34453">
      <w:pPr>
        <w:autoSpaceDE w:val="0"/>
        <w:autoSpaceDN w:val="0"/>
        <w:adjustRightInd w:val="0"/>
        <w:ind w:left="720" w:hanging="360"/>
        <w:jc w:val="both"/>
        <w:rPr>
          <w:rFonts w:ascii="Tahoma" w:hAnsi="Tahoma" w:cs="Tahoma"/>
          <w:sz w:val="20"/>
          <w:szCs w:val="20"/>
        </w:rPr>
      </w:pPr>
      <w:r w:rsidRPr="005E1EA7">
        <w:rPr>
          <w:rFonts w:ascii="Tahoma" w:hAnsi="Tahoma" w:cs="Tahoma"/>
          <w:sz w:val="20"/>
          <w:szCs w:val="20"/>
        </w:rPr>
        <w:t>f) les entretiens avec les responsables des établissements de produits de la pêche ainsi qu’avec leur personnel,</w:t>
      </w:r>
    </w:p>
    <w:p w14:paraId="6858C9C8" w14:textId="77777777" w:rsidR="00E34453" w:rsidRPr="005E1EA7" w:rsidRDefault="00E34453" w:rsidP="00E34453">
      <w:pPr>
        <w:autoSpaceDE w:val="0"/>
        <w:autoSpaceDN w:val="0"/>
        <w:adjustRightInd w:val="0"/>
        <w:ind w:left="720" w:hanging="360"/>
        <w:jc w:val="both"/>
        <w:rPr>
          <w:rFonts w:ascii="Tahoma" w:hAnsi="Tahoma" w:cs="Tahoma"/>
          <w:sz w:val="20"/>
          <w:szCs w:val="20"/>
        </w:rPr>
      </w:pPr>
    </w:p>
    <w:p w14:paraId="3141F910" w14:textId="77777777" w:rsidR="00E34453" w:rsidRPr="005E1EA7" w:rsidRDefault="00E34453" w:rsidP="00E34453">
      <w:pPr>
        <w:autoSpaceDE w:val="0"/>
        <w:autoSpaceDN w:val="0"/>
        <w:adjustRightInd w:val="0"/>
        <w:ind w:left="720" w:hanging="360"/>
        <w:jc w:val="both"/>
        <w:rPr>
          <w:rFonts w:ascii="Tahoma" w:hAnsi="Tahoma" w:cs="Tahoma"/>
          <w:sz w:val="20"/>
          <w:szCs w:val="20"/>
        </w:rPr>
      </w:pPr>
      <w:r w:rsidRPr="005E1EA7">
        <w:rPr>
          <w:rFonts w:ascii="Tahoma" w:hAnsi="Tahoma" w:cs="Tahoma"/>
          <w:sz w:val="20"/>
          <w:szCs w:val="20"/>
        </w:rPr>
        <w:t>g) le relevé des valeurs enregistrées par les instruments de mesure mis en place par l’établissement de traitement des produits de la pêche,</w:t>
      </w:r>
    </w:p>
    <w:p w14:paraId="4AFCBADF" w14:textId="77777777" w:rsidR="00E34453" w:rsidRPr="005E1EA7" w:rsidRDefault="00E34453" w:rsidP="00E34453">
      <w:pPr>
        <w:autoSpaceDE w:val="0"/>
        <w:autoSpaceDN w:val="0"/>
        <w:adjustRightInd w:val="0"/>
        <w:ind w:left="720" w:hanging="360"/>
        <w:jc w:val="both"/>
        <w:rPr>
          <w:rFonts w:ascii="Tahoma" w:hAnsi="Tahoma" w:cs="Tahoma"/>
          <w:sz w:val="20"/>
          <w:szCs w:val="20"/>
        </w:rPr>
      </w:pPr>
    </w:p>
    <w:p w14:paraId="5C99D19B" w14:textId="77777777" w:rsidR="00E34453" w:rsidRPr="005E1EA7" w:rsidRDefault="00E34453" w:rsidP="00E34453">
      <w:pPr>
        <w:autoSpaceDE w:val="0"/>
        <w:autoSpaceDN w:val="0"/>
        <w:adjustRightInd w:val="0"/>
        <w:ind w:left="720" w:hanging="360"/>
        <w:jc w:val="both"/>
        <w:rPr>
          <w:rFonts w:ascii="Tahoma" w:hAnsi="Tahoma" w:cs="Tahoma"/>
          <w:sz w:val="20"/>
          <w:szCs w:val="20"/>
        </w:rPr>
      </w:pPr>
      <w:r w:rsidRPr="005E1EA7">
        <w:rPr>
          <w:rFonts w:ascii="Tahoma" w:hAnsi="Tahoma" w:cs="Tahoma"/>
          <w:sz w:val="20"/>
          <w:szCs w:val="20"/>
        </w:rPr>
        <w:t>h) les contrôles effectués avec les propres instruments de l’autorité compétente pour vérifier les mesures prises par les responsables des établissements de traitement des produits de la pêche,</w:t>
      </w:r>
    </w:p>
    <w:p w14:paraId="140B03EC" w14:textId="77777777" w:rsidR="00E34453" w:rsidRPr="005E1EA7" w:rsidRDefault="00E34453" w:rsidP="00E34453">
      <w:pPr>
        <w:autoSpaceDE w:val="0"/>
        <w:autoSpaceDN w:val="0"/>
        <w:adjustRightInd w:val="0"/>
        <w:ind w:left="720" w:hanging="360"/>
        <w:jc w:val="both"/>
        <w:rPr>
          <w:rFonts w:ascii="Tahoma" w:hAnsi="Tahoma" w:cs="Tahoma"/>
          <w:sz w:val="20"/>
          <w:szCs w:val="20"/>
        </w:rPr>
      </w:pPr>
    </w:p>
    <w:p w14:paraId="05A23BB2" w14:textId="77777777" w:rsidR="00E34453" w:rsidRPr="005E1EA7" w:rsidRDefault="00E34453" w:rsidP="00E34453">
      <w:pPr>
        <w:numPr>
          <w:ilvl w:val="0"/>
          <w:numId w:val="159"/>
        </w:numPr>
        <w:autoSpaceDE w:val="0"/>
        <w:autoSpaceDN w:val="0"/>
        <w:adjustRightInd w:val="0"/>
        <w:jc w:val="both"/>
        <w:rPr>
          <w:rFonts w:ascii="Tahoma" w:hAnsi="Tahoma" w:cs="Tahoma"/>
          <w:sz w:val="20"/>
          <w:szCs w:val="20"/>
        </w:rPr>
      </w:pPr>
      <w:proofErr w:type="gramStart"/>
      <w:r w:rsidRPr="005E1EA7">
        <w:rPr>
          <w:rFonts w:ascii="Tahoma" w:hAnsi="Tahoma" w:cs="Tahoma"/>
          <w:sz w:val="20"/>
          <w:szCs w:val="20"/>
        </w:rPr>
        <w:t>toute</w:t>
      </w:r>
      <w:proofErr w:type="gramEnd"/>
      <w:r w:rsidRPr="005E1EA7">
        <w:rPr>
          <w:rFonts w:ascii="Tahoma" w:hAnsi="Tahoma" w:cs="Tahoma"/>
          <w:sz w:val="20"/>
          <w:szCs w:val="20"/>
        </w:rPr>
        <w:t xml:space="preserve"> autre activité destinée à assurer la réalisation des objectifs du présent arrêté.</w:t>
      </w:r>
    </w:p>
    <w:p w14:paraId="3BD8CFAA" w14:textId="77777777" w:rsidR="00E34453" w:rsidRPr="005E1EA7" w:rsidRDefault="00E34453" w:rsidP="00E34453">
      <w:pPr>
        <w:numPr>
          <w:ilvl w:val="0"/>
          <w:numId w:val="159"/>
        </w:numPr>
        <w:autoSpaceDE w:val="0"/>
        <w:autoSpaceDN w:val="0"/>
        <w:adjustRightInd w:val="0"/>
        <w:jc w:val="both"/>
        <w:rPr>
          <w:rFonts w:ascii="Tahoma" w:hAnsi="Tahoma" w:cs="Tahoma"/>
          <w:sz w:val="20"/>
          <w:szCs w:val="20"/>
        </w:rPr>
      </w:pPr>
      <w:r w:rsidRPr="005E1EA7">
        <w:rPr>
          <w:rFonts w:ascii="Tahoma" w:hAnsi="Tahoma" w:cs="Tahoma"/>
          <w:sz w:val="20"/>
          <w:szCs w:val="20"/>
        </w:rPr>
        <w:t>La vérification des systèmes de traçabilité et leurs mises en œuvre</w:t>
      </w:r>
    </w:p>
    <w:p w14:paraId="07A388D9" w14:textId="77777777" w:rsidR="00E34453" w:rsidRPr="005E1EA7" w:rsidRDefault="00E34453" w:rsidP="00E34453">
      <w:pPr>
        <w:autoSpaceDE w:val="0"/>
        <w:autoSpaceDN w:val="0"/>
        <w:adjustRightInd w:val="0"/>
        <w:jc w:val="both"/>
        <w:rPr>
          <w:rFonts w:ascii="Tahoma" w:hAnsi="Tahoma" w:cs="Tahoma"/>
          <w:sz w:val="20"/>
          <w:szCs w:val="20"/>
        </w:rPr>
      </w:pPr>
    </w:p>
    <w:p w14:paraId="27C5A960" w14:textId="77777777" w:rsidR="00E34453" w:rsidRPr="001E35DC" w:rsidRDefault="00E34453" w:rsidP="00E34453">
      <w:pPr>
        <w:jc w:val="center"/>
        <w:rPr>
          <w:rFonts w:ascii="Tahoma" w:hAnsi="Tahoma" w:cs="Tahoma"/>
          <w:b/>
          <w:bCs/>
          <w:sz w:val="20"/>
          <w:szCs w:val="20"/>
        </w:rPr>
      </w:pPr>
      <w:r w:rsidRPr="001E35DC">
        <w:rPr>
          <w:rFonts w:ascii="Tahoma" w:hAnsi="Tahoma" w:cs="Tahoma"/>
          <w:b/>
          <w:bCs/>
          <w:sz w:val="20"/>
          <w:szCs w:val="20"/>
        </w:rPr>
        <w:t>CHAPITRE III - ECHANTILLONNAGE ET ANALYSE</w:t>
      </w:r>
    </w:p>
    <w:p w14:paraId="64FF98B8" w14:textId="77777777" w:rsidR="00E34453" w:rsidRPr="005E1EA7" w:rsidRDefault="00E34453" w:rsidP="00E34453">
      <w:pPr>
        <w:autoSpaceDE w:val="0"/>
        <w:autoSpaceDN w:val="0"/>
        <w:adjustRightInd w:val="0"/>
        <w:jc w:val="both"/>
        <w:rPr>
          <w:rFonts w:ascii="Tahoma" w:hAnsi="Tahoma" w:cs="Tahoma"/>
          <w:sz w:val="20"/>
          <w:szCs w:val="20"/>
        </w:rPr>
      </w:pPr>
    </w:p>
    <w:p w14:paraId="3C92CAAC" w14:textId="77777777" w:rsidR="00E34453" w:rsidRPr="005E1EA7" w:rsidRDefault="00E34453" w:rsidP="00E34453">
      <w:pPr>
        <w:autoSpaceDE w:val="0"/>
        <w:autoSpaceDN w:val="0"/>
        <w:adjustRightInd w:val="0"/>
        <w:jc w:val="both"/>
        <w:rPr>
          <w:rFonts w:ascii="Tahoma" w:hAnsi="Tahoma" w:cs="Tahoma"/>
          <w:bCs/>
          <w:sz w:val="20"/>
          <w:szCs w:val="20"/>
        </w:rPr>
      </w:pPr>
      <w:r w:rsidRPr="005E1EA7">
        <w:rPr>
          <w:rFonts w:ascii="Tahoma" w:hAnsi="Tahoma" w:cs="Tahoma"/>
          <w:b/>
          <w:sz w:val="20"/>
          <w:szCs w:val="20"/>
          <w:u w:val="single"/>
        </w:rPr>
        <w:t>Article 10</w:t>
      </w:r>
      <w:r w:rsidRPr="005E1EA7">
        <w:rPr>
          <w:rFonts w:ascii="Tahoma" w:hAnsi="Tahoma" w:cs="Tahoma"/>
          <w:b/>
          <w:sz w:val="20"/>
          <w:szCs w:val="20"/>
        </w:rPr>
        <w:t xml:space="preserve"> -</w:t>
      </w:r>
      <w:r w:rsidRPr="005E1EA7">
        <w:rPr>
          <w:rFonts w:ascii="Tahoma" w:hAnsi="Tahoma" w:cs="Tahoma"/>
          <w:bCs/>
          <w:sz w:val="20"/>
          <w:szCs w:val="20"/>
        </w:rPr>
        <w:t xml:space="preserve"> Méthodes d’échantillonnage et d’analyse</w:t>
      </w:r>
    </w:p>
    <w:p w14:paraId="6675FDAD" w14:textId="77777777" w:rsidR="00E34453" w:rsidRPr="005E1EA7" w:rsidRDefault="00E34453" w:rsidP="00E34453">
      <w:pPr>
        <w:autoSpaceDE w:val="0"/>
        <w:autoSpaceDN w:val="0"/>
        <w:adjustRightInd w:val="0"/>
        <w:jc w:val="both"/>
        <w:rPr>
          <w:rFonts w:ascii="Tahoma" w:hAnsi="Tahoma" w:cs="Tahoma"/>
          <w:bCs/>
          <w:sz w:val="20"/>
          <w:szCs w:val="20"/>
        </w:rPr>
      </w:pPr>
    </w:p>
    <w:p w14:paraId="5791C3D7" w14:textId="77777777" w:rsidR="00E34453" w:rsidRPr="005E1EA7" w:rsidRDefault="00E34453" w:rsidP="00E34453">
      <w:pPr>
        <w:autoSpaceDE w:val="0"/>
        <w:autoSpaceDN w:val="0"/>
        <w:adjustRightInd w:val="0"/>
        <w:jc w:val="both"/>
        <w:rPr>
          <w:rFonts w:ascii="Tahoma" w:hAnsi="Tahoma" w:cs="Tahoma"/>
          <w:bCs/>
          <w:sz w:val="20"/>
          <w:szCs w:val="20"/>
        </w:rPr>
      </w:pPr>
      <w:r w:rsidRPr="005E1EA7">
        <w:rPr>
          <w:rFonts w:ascii="Tahoma" w:hAnsi="Tahoma" w:cs="Tahoma"/>
          <w:bCs/>
          <w:sz w:val="20"/>
          <w:szCs w:val="20"/>
        </w:rPr>
        <w:t xml:space="preserve">1. Les méthodes d’échantillonnage et d’analyse utilisées dans le cadre des contrôles officiels sont conformes à la réglementation nationale applicable ou si de telles règles n’existent pas, à des règles ou à des protocoles reconnus sur le plan international, par exemple ceux qui ont été acceptés par le Codex Alimentarius. </w:t>
      </w:r>
    </w:p>
    <w:p w14:paraId="0E1301D3" w14:textId="77777777" w:rsidR="00E34453" w:rsidRPr="005E1EA7" w:rsidRDefault="00E34453" w:rsidP="00E34453">
      <w:pPr>
        <w:autoSpaceDE w:val="0"/>
        <w:autoSpaceDN w:val="0"/>
        <w:adjustRightInd w:val="0"/>
        <w:jc w:val="both"/>
        <w:rPr>
          <w:rFonts w:ascii="Tahoma" w:hAnsi="Tahoma" w:cs="Tahoma"/>
          <w:bCs/>
          <w:sz w:val="20"/>
          <w:szCs w:val="20"/>
        </w:rPr>
      </w:pPr>
    </w:p>
    <w:p w14:paraId="0A39B2A7" w14:textId="77777777" w:rsidR="00E34453" w:rsidRPr="005E1EA7" w:rsidRDefault="00E34453" w:rsidP="00E34453">
      <w:pPr>
        <w:autoSpaceDE w:val="0"/>
        <w:autoSpaceDN w:val="0"/>
        <w:adjustRightInd w:val="0"/>
        <w:jc w:val="both"/>
        <w:rPr>
          <w:rFonts w:ascii="Tahoma" w:hAnsi="Tahoma" w:cs="Tahoma"/>
          <w:bCs/>
          <w:sz w:val="20"/>
          <w:szCs w:val="20"/>
        </w:rPr>
      </w:pPr>
      <w:r w:rsidRPr="005E1EA7">
        <w:rPr>
          <w:rFonts w:ascii="Tahoma" w:hAnsi="Tahoma" w:cs="Tahoma"/>
          <w:bCs/>
          <w:sz w:val="20"/>
          <w:szCs w:val="20"/>
        </w:rPr>
        <w:t>2. L’ONISPA établit des procédures propres à garantir aux responsables des établissements des produits de la pêche dont les produits sont soumis à un échantillonnage et à une analyse le droit de demander un rapport d’expertise complémentaire, en cas de recours ou d’arbitrage, sur les échantillons prélevés qui doivent être en quantité suffisante pour garantir au moins une double analyse.</w:t>
      </w:r>
    </w:p>
    <w:p w14:paraId="62877094" w14:textId="77777777" w:rsidR="00E34453" w:rsidRPr="005E1EA7" w:rsidRDefault="00E34453" w:rsidP="00E34453">
      <w:pPr>
        <w:autoSpaceDE w:val="0"/>
        <w:autoSpaceDN w:val="0"/>
        <w:adjustRightInd w:val="0"/>
        <w:jc w:val="both"/>
        <w:rPr>
          <w:rFonts w:ascii="Tahoma" w:hAnsi="Tahoma" w:cs="Tahoma"/>
          <w:bCs/>
          <w:sz w:val="20"/>
          <w:szCs w:val="20"/>
        </w:rPr>
      </w:pPr>
    </w:p>
    <w:p w14:paraId="00F6DBA6" w14:textId="77777777" w:rsidR="00E34453" w:rsidRPr="005E1EA7" w:rsidRDefault="00E34453" w:rsidP="00E34453">
      <w:pPr>
        <w:autoSpaceDE w:val="0"/>
        <w:autoSpaceDN w:val="0"/>
        <w:adjustRightInd w:val="0"/>
        <w:jc w:val="both"/>
        <w:rPr>
          <w:rFonts w:ascii="Tahoma" w:hAnsi="Tahoma" w:cs="Tahoma"/>
          <w:bCs/>
          <w:sz w:val="20"/>
          <w:szCs w:val="20"/>
        </w:rPr>
      </w:pPr>
      <w:r w:rsidRPr="005E1EA7">
        <w:rPr>
          <w:rFonts w:ascii="Tahoma" w:hAnsi="Tahoma" w:cs="Tahoma"/>
          <w:bCs/>
          <w:sz w:val="20"/>
          <w:szCs w:val="20"/>
        </w:rPr>
        <w:t>3. Les échantillons doivent être prélevés, manipulés, étiquetés et acheminés de manière à en garantir à la fois leur validité juridique et analytique, en particulier ceux prélevés dans le cadre du paragraphe 2. A ces fins l’ONISPA établit, autant que de besoin, les protocoles d’échantillonnage propre à chaque type de critère (microbiologique, chimique, biotoxine marine et organoleptique, …) conformément au paragraphe 1.</w:t>
      </w:r>
    </w:p>
    <w:p w14:paraId="195528C7" w14:textId="77777777" w:rsidR="00E34453" w:rsidRPr="005E1EA7" w:rsidRDefault="00E34453" w:rsidP="00E34453">
      <w:pPr>
        <w:autoSpaceDE w:val="0"/>
        <w:autoSpaceDN w:val="0"/>
        <w:adjustRightInd w:val="0"/>
        <w:jc w:val="both"/>
        <w:rPr>
          <w:rFonts w:ascii="Tahoma" w:hAnsi="Tahoma" w:cs="Tahoma"/>
          <w:bCs/>
          <w:sz w:val="20"/>
          <w:szCs w:val="20"/>
        </w:rPr>
      </w:pPr>
    </w:p>
    <w:p w14:paraId="730A19FB" w14:textId="77777777" w:rsidR="00E34453" w:rsidRPr="005E1EA7" w:rsidRDefault="00E34453" w:rsidP="00E34453">
      <w:pPr>
        <w:autoSpaceDE w:val="0"/>
        <w:autoSpaceDN w:val="0"/>
        <w:adjustRightInd w:val="0"/>
        <w:jc w:val="both"/>
        <w:rPr>
          <w:rFonts w:ascii="Tahoma" w:hAnsi="Tahoma" w:cs="Tahoma"/>
          <w:bCs/>
          <w:sz w:val="20"/>
          <w:szCs w:val="20"/>
        </w:rPr>
      </w:pPr>
      <w:r w:rsidRPr="005E1EA7">
        <w:rPr>
          <w:rFonts w:ascii="Tahoma" w:hAnsi="Tahoma" w:cs="Tahoma"/>
          <w:b/>
          <w:sz w:val="20"/>
          <w:szCs w:val="20"/>
          <w:u w:val="single"/>
        </w:rPr>
        <w:t>Article</w:t>
      </w:r>
      <w:r w:rsidRPr="005E1EA7">
        <w:rPr>
          <w:rFonts w:ascii="Tahoma" w:hAnsi="Tahoma" w:cs="Tahoma"/>
          <w:bCs/>
          <w:sz w:val="20"/>
          <w:szCs w:val="20"/>
          <w:u w:val="single"/>
        </w:rPr>
        <w:t xml:space="preserve"> </w:t>
      </w:r>
      <w:r w:rsidRPr="005E1EA7">
        <w:rPr>
          <w:rFonts w:ascii="Tahoma" w:hAnsi="Tahoma" w:cs="Tahoma"/>
          <w:b/>
          <w:sz w:val="20"/>
          <w:szCs w:val="20"/>
          <w:u w:val="single"/>
        </w:rPr>
        <w:t>11</w:t>
      </w:r>
      <w:r w:rsidRPr="005E1EA7">
        <w:rPr>
          <w:rFonts w:ascii="Tahoma" w:hAnsi="Tahoma" w:cs="Tahoma"/>
          <w:bCs/>
          <w:sz w:val="20"/>
          <w:szCs w:val="20"/>
        </w:rPr>
        <w:t xml:space="preserve"> - Laboratoires officiels</w:t>
      </w:r>
    </w:p>
    <w:p w14:paraId="6593A6A8" w14:textId="77777777" w:rsidR="00E34453" w:rsidRPr="005E1EA7" w:rsidRDefault="00E34453" w:rsidP="00E34453">
      <w:pPr>
        <w:autoSpaceDE w:val="0"/>
        <w:autoSpaceDN w:val="0"/>
        <w:adjustRightInd w:val="0"/>
        <w:jc w:val="both"/>
        <w:rPr>
          <w:rFonts w:ascii="Tahoma" w:hAnsi="Tahoma" w:cs="Tahoma"/>
          <w:bCs/>
          <w:sz w:val="20"/>
          <w:szCs w:val="20"/>
        </w:rPr>
      </w:pPr>
    </w:p>
    <w:p w14:paraId="6C6D75D6" w14:textId="77777777" w:rsidR="00E34453" w:rsidRPr="005E1EA7" w:rsidRDefault="00E34453" w:rsidP="00E34453">
      <w:pPr>
        <w:autoSpaceDE w:val="0"/>
        <w:autoSpaceDN w:val="0"/>
        <w:adjustRightInd w:val="0"/>
        <w:jc w:val="both"/>
        <w:rPr>
          <w:rFonts w:ascii="Tahoma" w:hAnsi="Tahoma" w:cs="Tahoma"/>
          <w:sz w:val="20"/>
          <w:szCs w:val="20"/>
        </w:rPr>
      </w:pPr>
      <w:r w:rsidRPr="005E1EA7">
        <w:rPr>
          <w:rFonts w:ascii="Tahoma" w:hAnsi="Tahoma" w:cs="Tahoma"/>
          <w:sz w:val="20"/>
          <w:szCs w:val="20"/>
        </w:rPr>
        <w:t>1. L’autorité compétente désigne les laboratoires habilités à procéder à l’analyse des échantillons prélevés au cours des contrôles officiels.</w:t>
      </w:r>
    </w:p>
    <w:p w14:paraId="3E4E87C8" w14:textId="77777777" w:rsidR="00E34453" w:rsidRPr="005E1EA7" w:rsidRDefault="00E34453" w:rsidP="00E34453">
      <w:pPr>
        <w:autoSpaceDE w:val="0"/>
        <w:autoSpaceDN w:val="0"/>
        <w:adjustRightInd w:val="0"/>
        <w:jc w:val="both"/>
        <w:rPr>
          <w:rFonts w:ascii="Tahoma" w:hAnsi="Tahoma" w:cs="Tahoma"/>
          <w:sz w:val="20"/>
          <w:szCs w:val="20"/>
        </w:rPr>
      </w:pPr>
    </w:p>
    <w:p w14:paraId="65BBD2DA" w14:textId="77777777" w:rsidR="00E34453" w:rsidRPr="005E1EA7" w:rsidRDefault="00E34453" w:rsidP="00E34453">
      <w:pPr>
        <w:autoSpaceDE w:val="0"/>
        <w:autoSpaceDN w:val="0"/>
        <w:adjustRightInd w:val="0"/>
        <w:jc w:val="both"/>
        <w:rPr>
          <w:rFonts w:ascii="Tahoma" w:hAnsi="Tahoma" w:cs="Tahoma"/>
          <w:sz w:val="20"/>
          <w:szCs w:val="20"/>
        </w:rPr>
      </w:pPr>
      <w:r w:rsidRPr="005E1EA7">
        <w:rPr>
          <w:rFonts w:ascii="Tahoma" w:hAnsi="Tahoma" w:cs="Tahoma"/>
          <w:sz w:val="20"/>
          <w:szCs w:val="20"/>
        </w:rPr>
        <w:t xml:space="preserve">2. Toutefois, l’autorité compétente peut désigner uniquement des laboratoires qui exercent leurs activités et sont évalués et accrédités conformément à la norme européenne suivante ou à une norme internationale équivalente : ISO/CEI 17025 « Prescriptions générales concernant la compétence des laboratoires d’étalonnage et </w:t>
      </w:r>
      <w:proofErr w:type="gramStart"/>
      <w:r w:rsidRPr="005E1EA7">
        <w:rPr>
          <w:rFonts w:ascii="Tahoma" w:hAnsi="Tahoma" w:cs="Tahoma"/>
          <w:sz w:val="20"/>
          <w:szCs w:val="20"/>
        </w:rPr>
        <w:t>d’essais»</w:t>
      </w:r>
      <w:proofErr w:type="gramEnd"/>
      <w:r w:rsidRPr="005E1EA7">
        <w:rPr>
          <w:rFonts w:ascii="Tahoma" w:hAnsi="Tahoma" w:cs="Tahoma"/>
          <w:sz w:val="20"/>
          <w:szCs w:val="20"/>
        </w:rPr>
        <w:t>;</w:t>
      </w:r>
    </w:p>
    <w:p w14:paraId="7194F52C" w14:textId="77777777" w:rsidR="00E34453" w:rsidRPr="005E1EA7" w:rsidRDefault="00E34453" w:rsidP="00E34453">
      <w:pPr>
        <w:autoSpaceDE w:val="0"/>
        <w:autoSpaceDN w:val="0"/>
        <w:adjustRightInd w:val="0"/>
        <w:jc w:val="both"/>
        <w:rPr>
          <w:rFonts w:ascii="Tahoma" w:hAnsi="Tahoma" w:cs="Tahoma"/>
          <w:sz w:val="20"/>
          <w:szCs w:val="20"/>
        </w:rPr>
      </w:pPr>
    </w:p>
    <w:p w14:paraId="7A8E7C1C" w14:textId="77777777" w:rsidR="00E34453" w:rsidRPr="005E1EA7" w:rsidRDefault="00E34453" w:rsidP="00E34453">
      <w:pPr>
        <w:autoSpaceDE w:val="0"/>
        <w:autoSpaceDN w:val="0"/>
        <w:adjustRightInd w:val="0"/>
        <w:jc w:val="both"/>
        <w:rPr>
          <w:rFonts w:ascii="Tahoma" w:hAnsi="Tahoma" w:cs="Tahoma"/>
          <w:sz w:val="20"/>
          <w:szCs w:val="20"/>
        </w:rPr>
      </w:pPr>
      <w:r w:rsidRPr="005E1EA7">
        <w:rPr>
          <w:rFonts w:ascii="Tahoma" w:hAnsi="Tahoma" w:cs="Tahoma"/>
          <w:sz w:val="20"/>
          <w:szCs w:val="20"/>
        </w:rPr>
        <w:t>3. L’autorité compétente peut annuler la désignation visée au paragraphe 1 lorsque les conditions visées au paragraphe 2 ne sont plus remplies.</w:t>
      </w:r>
    </w:p>
    <w:p w14:paraId="473C4A5D" w14:textId="77777777" w:rsidR="00E34453" w:rsidRPr="001E35DC" w:rsidRDefault="00E34453" w:rsidP="00E34453">
      <w:pPr>
        <w:jc w:val="center"/>
        <w:rPr>
          <w:rFonts w:ascii="Tahoma" w:hAnsi="Tahoma" w:cs="Tahoma"/>
          <w:b/>
          <w:bCs/>
          <w:sz w:val="20"/>
          <w:szCs w:val="20"/>
        </w:rPr>
      </w:pPr>
    </w:p>
    <w:p w14:paraId="6EFDA5ED" w14:textId="77777777" w:rsidR="00E34453" w:rsidRPr="001E35DC" w:rsidRDefault="00E34453" w:rsidP="00E34453">
      <w:pPr>
        <w:jc w:val="center"/>
        <w:rPr>
          <w:rFonts w:ascii="Tahoma" w:hAnsi="Tahoma" w:cs="Tahoma"/>
          <w:b/>
          <w:bCs/>
          <w:sz w:val="20"/>
          <w:szCs w:val="20"/>
        </w:rPr>
      </w:pPr>
      <w:r w:rsidRPr="001E35DC">
        <w:rPr>
          <w:rFonts w:ascii="Tahoma" w:hAnsi="Tahoma" w:cs="Tahoma"/>
          <w:b/>
          <w:bCs/>
          <w:sz w:val="20"/>
          <w:szCs w:val="20"/>
        </w:rPr>
        <w:t>CHAPITRE IV - GESTION DES CRISES</w:t>
      </w:r>
    </w:p>
    <w:p w14:paraId="13D374A1" w14:textId="77777777" w:rsidR="00E34453" w:rsidRPr="005E1EA7" w:rsidRDefault="00E34453" w:rsidP="00E34453">
      <w:pPr>
        <w:autoSpaceDE w:val="0"/>
        <w:autoSpaceDN w:val="0"/>
        <w:adjustRightInd w:val="0"/>
        <w:jc w:val="both"/>
        <w:rPr>
          <w:rFonts w:ascii="Tahoma" w:hAnsi="Tahoma" w:cs="Tahoma"/>
          <w:b/>
          <w:bCs/>
          <w:sz w:val="20"/>
          <w:szCs w:val="20"/>
        </w:rPr>
      </w:pPr>
    </w:p>
    <w:p w14:paraId="322DFDCF" w14:textId="77777777" w:rsidR="00E34453" w:rsidRPr="005E1EA7" w:rsidRDefault="00E34453" w:rsidP="00E34453">
      <w:pPr>
        <w:autoSpaceDE w:val="0"/>
        <w:autoSpaceDN w:val="0"/>
        <w:adjustRightInd w:val="0"/>
        <w:jc w:val="both"/>
        <w:rPr>
          <w:rFonts w:ascii="Tahoma" w:hAnsi="Tahoma" w:cs="Tahoma"/>
          <w:sz w:val="20"/>
          <w:szCs w:val="20"/>
        </w:rPr>
      </w:pPr>
      <w:r w:rsidRPr="005E1EA7">
        <w:rPr>
          <w:rFonts w:ascii="Tahoma" w:hAnsi="Tahoma" w:cs="Tahoma"/>
          <w:b/>
          <w:bCs/>
          <w:sz w:val="20"/>
          <w:szCs w:val="20"/>
          <w:u w:val="single"/>
        </w:rPr>
        <w:t>Article 12</w:t>
      </w:r>
      <w:r w:rsidRPr="005E1EA7">
        <w:rPr>
          <w:rFonts w:ascii="Tahoma" w:hAnsi="Tahoma" w:cs="Tahoma"/>
          <w:sz w:val="20"/>
          <w:szCs w:val="20"/>
        </w:rPr>
        <w:t xml:space="preserve"> - Plans d’intervention pour les produits de la pêche</w:t>
      </w:r>
    </w:p>
    <w:p w14:paraId="296EC651" w14:textId="77777777" w:rsidR="00E34453" w:rsidRPr="005E1EA7" w:rsidRDefault="00E34453" w:rsidP="00E34453">
      <w:pPr>
        <w:autoSpaceDE w:val="0"/>
        <w:autoSpaceDN w:val="0"/>
        <w:adjustRightInd w:val="0"/>
        <w:jc w:val="both"/>
        <w:rPr>
          <w:rFonts w:ascii="Tahoma" w:hAnsi="Tahoma" w:cs="Tahoma"/>
          <w:sz w:val="20"/>
          <w:szCs w:val="20"/>
        </w:rPr>
      </w:pPr>
    </w:p>
    <w:p w14:paraId="19BADC48" w14:textId="77777777" w:rsidR="00E34453" w:rsidRPr="005E1EA7" w:rsidRDefault="00E34453" w:rsidP="00E34453">
      <w:pPr>
        <w:autoSpaceDE w:val="0"/>
        <w:autoSpaceDN w:val="0"/>
        <w:adjustRightInd w:val="0"/>
        <w:jc w:val="both"/>
        <w:rPr>
          <w:rFonts w:ascii="Tahoma" w:hAnsi="Tahoma" w:cs="Tahoma"/>
          <w:sz w:val="20"/>
          <w:szCs w:val="20"/>
        </w:rPr>
      </w:pPr>
      <w:r w:rsidRPr="005E1EA7">
        <w:rPr>
          <w:rFonts w:ascii="Tahoma" w:hAnsi="Tahoma" w:cs="Tahoma"/>
          <w:sz w:val="20"/>
          <w:szCs w:val="20"/>
        </w:rPr>
        <w:t>1. Un plan opérationnel d’intervention, établi par l’ONISPA, est soumis à l’autorité compétente pour définir les mesures à mettre en oeuvre sans retard lorsqu’il se révèle que des produits de la pêche présentent un risque grave pour la santé des consommateurs, soit directement, soit à travers l’environnement.</w:t>
      </w:r>
    </w:p>
    <w:p w14:paraId="30A17B3E" w14:textId="77777777" w:rsidR="00E34453" w:rsidRPr="005E1EA7" w:rsidRDefault="00E34453" w:rsidP="00E34453">
      <w:pPr>
        <w:autoSpaceDE w:val="0"/>
        <w:autoSpaceDN w:val="0"/>
        <w:adjustRightInd w:val="0"/>
        <w:jc w:val="both"/>
        <w:rPr>
          <w:rFonts w:ascii="Tahoma" w:hAnsi="Tahoma" w:cs="Tahoma"/>
          <w:sz w:val="20"/>
          <w:szCs w:val="20"/>
        </w:rPr>
      </w:pPr>
    </w:p>
    <w:p w14:paraId="3E01BF22" w14:textId="77777777" w:rsidR="00E34453" w:rsidRPr="005E1EA7" w:rsidRDefault="00E34453" w:rsidP="00E34453">
      <w:pPr>
        <w:autoSpaceDE w:val="0"/>
        <w:autoSpaceDN w:val="0"/>
        <w:adjustRightInd w:val="0"/>
        <w:jc w:val="both"/>
        <w:rPr>
          <w:rFonts w:ascii="Tahoma" w:hAnsi="Tahoma" w:cs="Tahoma"/>
          <w:sz w:val="20"/>
          <w:szCs w:val="20"/>
        </w:rPr>
      </w:pPr>
      <w:r w:rsidRPr="005E1EA7">
        <w:rPr>
          <w:rFonts w:ascii="Tahoma" w:hAnsi="Tahoma" w:cs="Tahoma"/>
          <w:sz w:val="20"/>
          <w:szCs w:val="20"/>
        </w:rPr>
        <w:t>2. Ce plan d’intervention précise :</w:t>
      </w:r>
    </w:p>
    <w:p w14:paraId="640E4B60" w14:textId="77777777" w:rsidR="00E34453" w:rsidRPr="005E1EA7" w:rsidRDefault="00E34453" w:rsidP="00E34453">
      <w:pPr>
        <w:autoSpaceDE w:val="0"/>
        <w:autoSpaceDN w:val="0"/>
        <w:adjustRightInd w:val="0"/>
        <w:jc w:val="both"/>
        <w:rPr>
          <w:rFonts w:ascii="Tahoma" w:hAnsi="Tahoma" w:cs="Tahoma"/>
          <w:b/>
          <w:bCs/>
          <w:sz w:val="20"/>
          <w:szCs w:val="20"/>
        </w:rPr>
      </w:pPr>
    </w:p>
    <w:p w14:paraId="136E7B6B" w14:textId="77777777" w:rsidR="00E34453" w:rsidRPr="005E1EA7" w:rsidRDefault="00E34453" w:rsidP="00E34453">
      <w:pPr>
        <w:autoSpaceDE w:val="0"/>
        <w:autoSpaceDN w:val="0"/>
        <w:adjustRightInd w:val="0"/>
        <w:ind w:left="708" w:hanging="348"/>
        <w:jc w:val="both"/>
        <w:rPr>
          <w:rFonts w:ascii="Tahoma" w:hAnsi="Tahoma" w:cs="Tahoma"/>
          <w:sz w:val="20"/>
          <w:szCs w:val="20"/>
        </w:rPr>
      </w:pPr>
      <w:r w:rsidRPr="005E1EA7">
        <w:rPr>
          <w:rFonts w:ascii="Tahoma" w:hAnsi="Tahoma" w:cs="Tahoma"/>
          <w:sz w:val="20"/>
          <w:szCs w:val="20"/>
        </w:rPr>
        <w:t>a) les autorités administratives devant intervenir ;</w:t>
      </w:r>
    </w:p>
    <w:p w14:paraId="10816DAC" w14:textId="77777777" w:rsidR="00E34453" w:rsidRPr="005E1EA7" w:rsidRDefault="00E34453" w:rsidP="00E34453">
      <w:pPr>
        <w:autoSpaceDE w:val="0"/>
        <w:autoSpaceDN w:val="0"/>
        <w:adjustRightInd w:val="0"/>
        <w:ind w:left="708" w:hanging="348"/>
        <w:jc w:val="both"/>
        <w:rPr>
          <w:rFonts w:ascii="Tahoma" w:hAnsi="Tahoma" w:cs="Tahoma"/>
          <w:sz w:val="20"/>
          <w:szCs w:val="20"/>
        </w:rPr>
      </w:pPr>
      <w:r w:rsidRPr="005E1EA7">
        <w:rPr>
          <w:rFonts w:ascii="Tahoma" w:hAnsi="Tahoma" w:cs="Tahoma"/>
          <w:sz w:val="20"/>
          <w:szCs w:val="20"/>
        </w:rPr>
        <w:t>b) leurs pouvoirs et leurs responsabilités ;</w:t>
      </w:r>
    </w:p>
    <w:p w14:paraId="505922FE" w14:textId="77777777" w:rsidR="00E34453" w:rsidRPr="005E1EA7" w:rsidRDefault="00E34453" w:rsidP="00E34453">
      <w:pPr>
        <w:autoSpaceDE w:val="0"/>
        <w:autoSpaceDN w:val="0"/>
        <w:adjustRightInd w:val="0"/>
        <w:ind w:left="708" w:hanging="348"/>
        <w:jc w:val="both"/>
        <w:rPr>
          <w:rFonts w:ascii="Tahoma" w:hAnsi="Tahoma" w:cs="Tahoma"/>
          <w:sz w:val="20"/>
          <w:szCs w:val="20"/>
        </w:rPr>
      </w:pPr>
      <w:r w:rsidRPr="005E1EA7">
        <w:rPr>
          <w:rFonts w:ascii="Tahoma" w:hAnsi="Tahoma" w:cs="Tahoma"/>
          <w:sz w:val="20"/>
          <w:szCs w:val="20"/>
        </w:rPr>
        <w:t>c) les voies et les procédures à suivre pour l’échange d’informations entre les acteurs concernés.</w:t>
      </w:r>
    </w:p>
    <w:p w14:paraId="06A05D5E" w14:textId="77777777" w:rsidR="00E34453" w:rsidRPr="005E1EA7" w:rsidRDefault="00E34453" w:rsidP="00E34453">
      <w:pPr>
        <w:autoSpaceDE w:val="0"/>
        <w:autoSpaceDN w:val="0"/>
        <w:adjustRightInd w:val="0"/>
        <w:jc w:val="both"/>
        <w:rPr>
          <w:rFonts w:ascii="Tahoma" w:hAnsi="Tahoma" w:cs="Tahoma"/>
          <w:sz w:val="20"/>
          <w:szCs w:val="20"/>
        </w:rPr>
      </w:pPr>
    </w:p>
    <w:p w14:paraId="512A92A0" w14:textId="77777777" w:rsidR="00E34453" w:rsidRPr="005E1EA7" w:rsidRDefault="00E34453" w:rsidP="00E34453">
      <w:pPr>
        <w:autoSpaceDE w:val="0"/>
        <w:autoSpaceDN w:val="0"/>
        <w:adjustRightInd w:val="0"/>
        <w:jc w:val="both"/>
        <w:rPr>
          <w:rFonts w:ascii="Tahoma" w:hAnsi="Tahoma" w:cs="Tahoma"/>
          <w:sz w:val="20"/>
          <w:szCs w:val="20"/>
        </w:rPr>
      </w:pPr>
      <w:r w:rsidRPr="005E1EA7">
        <w:rPr>
          <w:rFonts w:ascii="Tahoma" w:hAnsi="Tahoma" w:cs="Tahoma"/>
          <w:sz w:val="20"/>
          <w:szCs w:val="20"/>
        </w:rPr>
        <w:t>3. L’autorité compétente réexamine ce plan d’intervention, le cas échéant, en particulier à la lumière de changements dans l’organisation de l’autorité compétente et de l’expérience acquise par l’organisme de contrôle.</w:t>
      </w:r>
    </w:p>
    <w:p w14:paraId="6947D5CB" w14:textId="77777777" w:rsidR="00E34453" w:rsidRPr="005E1EA7" w:rsidRDefault="00E34453" w:rsidP="00E34453">
      <w:pPr>
        <w:jc w:val="center"/>
        <w:rPr>
          <w:rFonts w:ascii="Tahoma" w:eastAsia="EUAlbertina-Regular-Identity-H" w:hAnsi="Tahoma" w:cs="Tahoma"/>
          <w:b/>
          <w:bCs/>
          <w:sz w:val="20"/>
          <w:szCs w:val="20"/>
        </w:rPr>
      </w:pPr>
    </w:p>
    <w:p w14:paraId="03E1CC81" w14:textId="77777777" w:rsidR="00E34453" w:rsidRPr="005E1EA7" w:rsidRDefault="00E34453" w:rsidP="00E34453">
      <w:pPr>
        <w:jc w:val="center"/>
        <w:rPr>
          <w:rFonts w:ascii="Tahoma" w:eastAsia="EUAlbertina-Bold-Identity-H" w:hAnsi="Tahoma" w:cs="Tahoma"/>
          <w:b/>
          <w:bCs/>
          <w:sz w:val="20"/>
          <w:szCs w:val="20"/>
        </w:rPr>
      </w:pPr>
      <w:r w:rsidRPr="005E1EA7">
        <w:rPr>
          <w:rFonts w:ascii="Tahoma" w:eastAsia="EUAlbertina-Regular-Identity-H" w:hAnsi="Tahoma" w:cs="Tahoma"/>
          <w:b/>
          <w:bCs/>
          <w:sz w:val="20"/>
          <w:szCs w:val="20"/>
        </w:rPr>
        <w:t xml:space="preserve">CHAPITRE V - </w:t>
      </w:r>
      <w:r w:rsidRPr="005E1EA7">
        <w:rPr>
          <w:rFonts w:ascii="Tahoma" w:eastAsia="EUAlbertina-Bold-Identity-H" w:hAnsi="Tahoma" w:cs="Tahoma"/>
          <w:b/>
          <w:bCs/>
          <w:sz w:val="20"/>
          <w:szCs w:val="20"/>
        </w:rPr>
        <w:t>FINANCEMENT DES CONTROLES OFFICIELS</w:t>
      </w:r>
    </w:p>
    <w:p w14:paraId="086F18BB" w14:textId="77777777" w:rsidR="00E34453" w:rsidRPr="005E1EA7" w:rsidRDefault="00E34453" w:rsidP="00E34453">
      <w:pPr>
        <w:jc w:val="both"/>
        <w:rPr>
          <w:rFonts w:ascii="Tahoma" w:eastAsia="EUAlbertina-Bold-Identity-H" w:hAnsi="Tahoma" w:cs="Tahoma"/>
          <w:sz w:val="20"/>
          <w:szCs w:val="20"/>
        </w:rPr>
      </w:pPr>
    </w:p>
    <w:p w14:paraId="29146353" w14:textId="77777777" w:rsidR="00E34453" w:rsidRPr="005E1EA7" w:rsidRDefault="00E34453" w:rsidP="00E34453">
      <w:pPr>
        <w:jc w:val="both"/>
        <w:rPr>
          <w:rFonts w:ascii="Tahoma" w:eastAsia="EUAlbertina-Bold-Identity-H" w:hAnsi="Tahoma" w:cs="Tahoma"/>
          <w:bCs/>
          <w:sz w:val="20"/>
          <w:szCs w:val="20"/>
        </w:rPr>
      </w:pPr>
      <w:r w:rsidRPr="005E1EA7">
        <w:rPr>
          <w:rFonts w:ascii="Tahoma" w:eastAsia="EUAlbertina-Italic-Identity-H" w:hAnsi="Tahoma" w:cs="Tahoma"/>
          <w:b/>
          <w:sz w:val="20"/>
          <w:szCs w:val="20"/>
          <w:u w:val="single"/>
        </w:rPr>
        <w:t>Article 13</w:t>
      </w:r>
      <w:r w:rsidRPr="005E1EA7">
        <w:rPr>
          <w:rFonts w:ascii="Tahoma" w:eastAsia="EUAlbertina-Italic-Identity-H" w:hAnsi="Tahoma" w:cs="Tahoma"/>
          <w:bCs/>
          <w:sz w:val="20"/>
          <w:szCs w:val="20"/>
        </w:rPr>
        <w:t xml:space="preserve"> - </w:t>
      </w:r>
      <w:r w:rsidRPr="005E1EA7">
        <w:rPr>
          <w:rFonts w:ascii="Tahoma" w:eastAsia="EUAlbertina-Bold-Identity-H" w:hAnsi="Tahoma" w:cs="Tahoma"/>
          <w:bCs/>
          <w:sz w:val="20"/>
          <w:szCs w:val="20"/>
        </w:rPr>
        <w:t>Principe général</w:t>
      </w:r>
    </w:p>
    <w:p w14:paraId="0E333322" w14:textId="77777777" w:rsidR="00E34453" w:rsidRPr="005E1EA7" w:rsidRDefault="00E34453" w:rsidP="00E34453">
      <w:pPr>
        <w:jc w:val="both"/>
        <w:rPr>
          <w:rFonts w:ascii="Tahoma" w:eastAsia="EUAlbertina-Bold-Identity-H" w:hAnsi="Tahoma" w:cs="Tahoma"/>
          <w:bCs/>
          <w:sz w:val="20"/>
          <w:szCs w:val="20"/>
        </w:rPr>
      </w:pPr>
    </w:p>
    <w:p w14:paraId="5D3D59DE" w14:textId="77777777" w:rsidR="00E34453" w:rsidRPr="005E1EA7" w:rsidRDefault="00E34453" w:rsidP="00E34453">
      <w:pPr>
        <w:jc w:val="both"/>
        <w:rPr>
          <w:rFonts w:ascii="Tahoma" w:eastAsia="EUAlbertina-Regular-Identity-H" w:hAnsi="Tahoma" w:cs="Tahoma"/>
          <w:bCs/>
          <w:sz w:val="20"/>
          <w:szCs w:val="20"/>
        </w:rPr>
      </w:pPr>
      <w:r w:rsidRPr="005E1EA7">
        <w:rPr>
          <w:rFonts w:ascii="Tahoma" w:eastAsia="EUAlbertina-Regular-Identity-H" w:hAnsi="Tahoma" w:cs="Tahoma"/>
          <w:bCs/>
          <w:sz w:val="20"/>
          <w:szCs w:val="20"/>
        </w:rPr>
        <w:t>L’Etat veille à ce que des ressources financières adéquates soient dégagées par tous les moyens jugés appropriés, y compris par la fiscalité générale, par l’instauration de redevances ou de taxes, de subvention, afin de disposer du personnel et des autres ressources nécessaires pour les contrôles officiels dont ceux délégués à l’organisme de contrôle.</w:t>
      </w:r>
    </w:p>
    <w:p w14:paraId="15AD9489" w14:textId="77777777" w:rsidR="00E34453" w:rsidRPr="005E1EA7" w:rsidRDefault="00E34453" w:rsidP="00E34453">
      <w:pPr>
        <w:jc w:val="both"/>
        <w:rPr>
          <w:rFonts w:ascii="Tahoma" w:eastAsia="EUAlbertina-Regular-Identity-H" w:hAnsi="Tahoma" w:cs="Tahoma"/>
          <w:bCs/>
          <w:sz w:val="20"/>
          <w:szCs w:val="20"/>
        </w:rPr>
      </w:pPr>
    </w:p>
    <w:p w14:paraId="3F27FB0D" w14:textId="77777777" w:rsidR="00E34453" w:rsidRPr="005E1EA7" w:rsidRDefault="00E34453" w:rsidP="00E34453">
      <w:pPr>
        <w:autoSpaceDE w:val="0"/>
        <w:autoSpaceDN w:val="0"/>
        <w:adjustRightInd w:val="0"/>
        <w:jc w:val="both"/>
        <w:rPr>
          <w:rFonts w:ascii="Tahoma" w:eastAsia="EUAlbertina-Bold-Identity-H" w:hAnsi="Tahoma" w:cs="Tahoma"/>
          <w:bCs/>
          <w:sz w:val="20"/>
          <w:szCs w:val="20"/>
        </w:rPr>
      </w:pPr>
      <w:r w:rsidRPr="005E1EA7">
        <w:rPr>
          <w:rFonts w:ascii="Tahoma" w:eastAsia="EUAlbertina-Italic-Identity-H" w:hAnsi="Tahoma" w:cs="Tahoma"/>
          <w:b/>
          <w:sz w:val="20"/>
          <w:szCs w:val="20"/>
          <w:u w:val="single"/>
        </w:rPr>
        <w:t>Article 14</w:t>
      </w:r>
      <w:r w:rsidRPr="005E1EA7">
        <w:rPr>
          <w:rFonts w:ascii="Tahoma" w:eastAsia="EUAlbertina-Italic-Identity-H" w:hAnsi="Tahoma" w:cs="Tahoma"/>
          <w:bCs/>
          <w:sz w:val="20"/>
          <w:szCs w:val="20"/>
        </w:rPr>
        <w:t xml:space="preserve"> - </w:t>
      </w:r>
      <w:r w:rsidRPr="005E1EA7">
        <w:rPr>
          <w:rFonts w:ascii="Tahoma" w:eastAsia="EUAlbertina-Bold-Identity-H" w:hAnsi="Tahoma" w:cs="Tahoma"/>
          <w:bCs/>
          <w:sz w:val="20"/>
          <w:szCs w:val="20"/>
        </w:rPr>
        <w:t>Dépenses résultant de contrôles officiels additionnels</w:t>
      </w:r>
    </w:p>
    <w:p w14:paraId="7BD6ECCC" w14:textId="77777777" w:rsidR="00E34453" w:rsidRPr="005E1EA7" w:rsidRDefault="00E34453" w:rsidP="00E34453">
      <w:pPr>
        <w:autoSpaceDE w:val="0"/>
        <w:autoSpaceDN w:val="0"/>
        <w:adjustRightInd w:val="0"/>
        <w:jc w:val="both"/>
        <w:rPr>
          <w:rFonts w:ascii="Tahoma" w:eastAsia="EUAlbertina-Bold-Identity-H" w:hAnsi="Tahoma" w:cs="Tahoma"/>
          <w:bCs/>
          <w:sz w:val="20"/>
          <w:szCs w:val="20"/>
        </w:rPr>
      </w:pPr>
    </w:p>
    <w:p w14:paraId="7F474E75"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Lorsque la détection d’un manquement à la législation donne lieu à des contrôles officiels dépassant les activités de contrôle normales de l’organisme de contrôle, cette dernière impute aux exploitants responsables du manquement ou peut imputer à l’exploitant propriétaire ou détenteur des marchandises au moment où les contrôles officiels additionnels sont effectués, les dépenses résultant des contrôles officiels additionnels.</w:t>
      </w:r>
    </w:p>
    <w:p w14:paraId="6D99E48C"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43E1CD6A"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 xml:space="preserve">Les activités de contrôle normales sont les activités de contrôle de routine requises par la législation nationale, et notamment celles décrites dans le plan prévu à l’article </w:t>
      </w:r>
      <w:r w:rsidRPr="005E1EA7">
        <w:rPr>
          <w:rFonts w:ascii="Tahoma" w:eastAsia="EUAlbertina-Regular-Identity-H" w:hAnsi="Tahoma" w:cs="Tahoma"/>
          <w:sz w:val="20"/>
          <w:szCs w:val="20"/>
          <w:rtl/>
        </w:rPr>
        <w:t>20</w:t>
      </w:r>
      <w:r w:rsidRPr="005E1EA7">
        <w:rPr>
          <w:rFonts w:ascii="Tahoma" w:eastAsia="EUAlbertina-Regular-Identity-H" w:hAnsi="Tahoma" w:cs="Tahoma"/>
          <w:sz w:val="20"/>
          <w:szCs w:val="20"/>
        </w:rPr>
        <w:t>. Les activités dépassant les activités de contrôle normales incluent le prélèvement et l’analyse d’échantillons ainsi que d’autres contrôles nécessaires pour déterminer l’ampleur d’un problème, pour vérifier si des mesures correctives ont été prises ou pour détecter et/ou établir l’existence d’un manquement à la législation.</w:t>
      </w:r>
    </w:p>
    <w:p w14:paraId="48922D67" w14:textId="77777777" w:rsidR="00E34453" w:rsidRPr="005E1EA7" w:rsidRDefault="00E34453" w:rsidP="00E34453">
      <w:pPr>
        <w:jc w:val="both"/>
        <w:rPr>
          <w:rFonts w:ascii="Tahoma" w:eastAsia="EUAlbertina-Regular-Identity-H" w:hAnsi="Tahoma" w:cs="Tahoma"/>
          <w:sz w:val="20"/>
          <w:szCs w:val="20"/>
        </w:rPr>
      </w:pPr>
    </w:p>
    <w:p w14:paraId="2AE4B6B7" w14:textId="77777777" w:rsidR="00E34453" w:rsidRPr="001E35DC" w:rsidRDefault="00E34453" w:rsidP="00E34453">
      <w:pPr>
        <w:jc w:val="center"/>
        <w:rPr>
          <w:rFonts w:ascii="Tahoma" w:hAnsi="Tahoma" w:cs="Tahoma"/>
          <w:b/>
          <w:bCs/>
          <w:sz w:val="20"/>
          <w:szCs w:val="20"/>
        </w:rPr>
      </w:pPr>
      <w:r w:rsidRPr="001E35DC">
        <w:rPr>
          <w:rFonts w:ascii="Tahoma" w:hAnsi="Tahoma" w:cs="Tahoma"/>
          <w:b/>
          <w:bCs/>
          <w:sz w:val="20"/>
          <w:szCs w:val="20"/>
        </w:rPr>
        <w:t>CHAPITRE VI – AGREMENT DES ETABLISSEMENTS</w:t>
      </w:r>
    </w:p>
    <w:p w14:paraId="23424C58" w14:textId="77777777" w:rsidR="00E34453" w:rsidRPr="005E1EA7" w:rsidRDefault="00E34453" w:rsidP="00E34453">
      <w:pPr>
        <w:autoSpaceDE w:val="0"/>
        <w:autoSpaceDN w:val="0"/>
        <w:adjustRightInd w:val="0"/>
        <w:jc w:val="both"/>
        <w:rPr>
          <w:rFonts w:ascii="Tahoma" w:hAnsi="Tahoma" w:cs="Tahoma"/>
          <w:sz w:val="20"/>
          <w:szCs w:val="20"/>
        </w:rPr>
      </w:pPr>
    </w:p>
    <w:p w14:paraId="417798D8" w14:textId="77777777" w:rsidR="00E34453" w:rsidRPr="005E1EA7" w:rsidRDefault="00E34453" w:rsidP="00E34453">
      <w:pPr>
        <w:autoSpaceDE w:val="0"/>
        <w:autoSpaceDN w:val="0"/>
        <w:adjustRightInd w:val="0"/>
        <w:jc w:val="both"/>
        <w:rPr>
          <w:rFonts w:ascii="Tahoma" w:hAnsi="Tahoma" w:cs="Tahoma"/>
          <w:bCs/>
          <w:sz w:val="20"/>
          <w:szCs w:val="20"/>
        </w:rPr>
      </w:pPr>
      <w:r w:rsidRPr="005E1EA7">
        <w:rPr>
          <w:rFonts w:ascii="Tahoma" w:hAnsi="Tahoma" w:cs="Tahoma"/>
          <w:b/>
          <w:sz w:val="20"/>
          <w:szCs w:val="20"/>
          <w:u w:val="single"/>
        </w:rPr>
        <w:t>Article 15</w:t>
      </w:r>
      <w:r w:rsidRPr="005E1EA7">
        <w:rPr>
          <w:rFonts w:ascii="Tahoma" w:hAnsi="Tahoma" w:cs="Tahoma"/>
          <w:bCs/>
          <w:sz w:val="20"/>
          <w:szCs w:val="20"/>
        </w:rPr>
        <w:t xml:space="preserve"> - Enregistrement/agrément d’établissements du secteur des pêches (A bord et à terre)</w:t>
      </w:r>
    </w:p>
    <w:p w14:paraId="242F7E3F" w14:textId="77777777" w:rsidR="00E34453" w:rsidRPr="005E1EA7" w:rsidRDefault="00E34453" w:rsidP="00E34453">
      <w:pPr>
        <w:jc w:val="both"/>
        <w:rPr>
          <w:rFonts w:ascii="Tahoma" w:hAnsi="Tahoma" w:cs="Tahoma"/>
          <w:bCs/>
          <w:sz w:val="20"/>
          <w:szCs w:val="20"/>
        </w:rPr>
      </w:pPr>
    </w:p>
    <w:p w14:paraId="4D0B0051" w14:textId="77777777" w:rsidR="00E34453" w:rsidRPr="005E1EA7" w:rsidRDefault="00E34453" w:rsidP="00E34453">
      <w:pPr>
        <w:numPr>
          <w:ilvl w:val="0"/>
          <w:numId w:val="2"/>
        </w:numPr>
        <w:autoSpaceDE w:val="0"/>
        <w:autoSpaceDN w:val="0"/>
        <w:adjustRightInd w:val="0"/>
        <w:spacing w:after="120"/>
        <w:jc w:val="both"/>
        <w:rPr>
          <w:rFonts w:ascii="Tahoma" w:hAnsi="Tahoma" w:cs="Tahoma"/>
          <w:bCs/>
          <w:sz w:val="20"/>
          <w:szCs w:val="20"/>
        </w:rPr>
      </w:pPr>
      <w:r w:rsidRPr="005E1EA7">
        <w:rPr>
          <w:rFonts w:ascii="Tahoma" w:hAnsi="Tahoma" w:cs="Tahoma"/>
          <w:bCs/>
          <w:sz w:val="20"/>
          <w:szCs w:val="20"/>
        </w:rPr>
        <w:t>L’Autorité Compétente définit les procédures que doivent suivre les responsables des établissements de production des produits de la pêche lorsqu’ils sollicitent l’agrément/enregistrement de leurs établissements conformément à la réglementation fixant les conditions d'agrément des établissements.</w:t>
      </w:r>
    </w:p>
    <w:p w14:paraId="3A17FD91" w14:textId="77777777" w:rsidR="00E34453" w:rsidRPr="005E1EA7" w:rsidRDefault="00E34453" w:rsidP="00E34453">
      <w:pPr>
        <w:autoSpaceDE w:val="0"/>
        <w:autoSpaceDN w:val="0"/>
        <w:adjustRightInd w:val="0"/>
        <w:spacing w:after="120"/>
        <w:ind w:left="709"/>
        <w:jc w:val="both"/>
        <w:rPr>
          <w:rFonts w:ascii="Tahoma" w:hAnsi="Tahoma" w:cs="Tahoma"/>
          <w:bCs/>
          <w:sz w:val="20"/>
          <w:szCs w:val="20"/>
        </w:rPr>
      </w:pPr>
      <w:r w:rsidRPr="005E1EA7">
        <w:rPr>
          <w:rFonts w:ascii="Tahoma" w:hAnsi="Tahoma" w:cs="Tahoma"/>
          <w:bCs/>
          <w:sz w:val="20"/>
          <w:szCs w:val="20"/>
        </w:rPr>
        <w:t>Le responsable d’établissement sollicitant l’agrément ou l’enregistrement doit adresser, au Ministre chargé des Pêches, une demande d’agrément/Enregistrement comportant les indications et pièces suivantes :</w:t>
      </w:r>
    </w:p>
    <w:p w14:paraId="45676ADC" w14:textId="77777777" w:rsidR="00E34453" w:rsidRPr="005E1EA7" w:rsidRDefault="00E34453" w:rsidP="00E34453">
      <w:pPr>
        <w:autoSpaceDE w:val="0"/>
        <w:autoSpaceDN w:val="0"/>
        <w:adjustRightInd w:val="0"/>
        <w:spacing w:after="120"/>
        <w:ind w:left="1276" w:hanging="283"/>
        <w:jc w:val="both"/>
        <w:rPr>
          <w:rFonts w:ascii="Tahoma" w:hAnsi="Tahoma" w:cs="Tahoma"/>
          <w:bCs/>
          <w:sz w:val="20"/>
          <w:szCs w:val="20"/>
        </w:rPr>
      </w:pPr>
      <w:r w:rsidRPr="005E1EA7">
        <w:rPr>
          <w:rFonts w:ascii="Tahoma" w:hAnsi="Tahoma" w:cs="Tahoma"/>
          <w:bCs/>
          <w:sz w:val="20"/>
          <w:szCs w:val="20"/>
        </w:rPr>
        <w:t>i) pour les particuliers : l’identité et le domicile du demandeur, le siège de l’établissement, la désignation et la composition des produits finis ;</w:t>
      </w:r>
    </w:p>
    <w:p w14:paraId="2B7B42D4" w14:textId="77777777" w:rsidR="00E34453" w:rsidRPr="005E1EA7" w:rsidRDefault="00E34453" w:rsidP="00E34453">
      <w:pPr>
        <w:autoSpaceDE w:val="0"/>
        <w:autoSpaceDN w:val="0"/>
        <w:adjustRightInd w:val="0"/>
        <w:spacing w:after="120"/>
        <w:ind w:left="1276" w:hanging="283"/>
        <w:jc w:val="both"/>
        <w:rPr>
          <w:rFonts w:ascii="Tahoma" w:hAnsi="Tahoma" w:cs="Tahoma"/>
          <w:bCs/>
          <w:sz w:val="20"/>
          <w:szCs w:val="20"/>
        </w:rPr>
      </w:pPr>
      <w:r w:rsidRPr="005E1EA7">
        <w:rPr>
          <w:rFonts w:ascii="Tahoma" w:hAnsi="Tahoma" w:cs="Tahoma"/>
          <w:bCs/>
          <w:sz w:val="20"/>
          <w:szCs w:val="20"/>
        </w:rPr>
        <w:lastRenderedPageBreak/>
        <w:t>ii) pour les sociétés ou groupements de particuliers : la raison sociale, le siège social, la qualité du signataire, l’identité du responsable de la société ou du groupement, la désignation et la composition des produits finis.</w:t>
      </w:r>
    </w:p>
    <w:p w14:paraId="32BF8EBE" w14:textId="77777777" w:rsidR="00E34453" w:rsidRPr="005E1EA7" w:rsidRDefault="00E34453" w:rsidP="00E34453">
      <w:pPr>
        <w:autoSpaceDE w:val="0"/>
        <w:autoSpaceDN w:val="0"/>
        <w:adjustRightInd w:val="0"/>
        <w:spacing w:after="120"/>
        <w:ind w:left="1276" w:hanging="283"/>
        <w:jc w:val="both"/>
        <w:rPr>
          <w:rFonts w:ascii="Tahoma" w:hAnsi="Tahoma" w:cs="Tahoma"/>
          <w:bCs/>
          <w:sz w:val="20"/>
          <w:szCs w:val="20"/>
        </w:rPr>
      </w:pPr>
      <w:r w:rsidRPr="005E1EA7">
        <w:rPr>
          <w:rFonts w:ascii="Tahoma" w:hAnsi="Tahoma" w:cs="Tahoma"/>
          <w:bCs/>
          <w:sz w:val="20"/>
          <w:szCs w:val="20"/>
        </w:rPr>
        <w:t>iii) un plan de masse de l’établissement à l’échelle de 1/200 au minimum et d’une note de renseignements indiquant :</w:t>
      </w:r>
    </w:p>
    <w:p w14:paraId="79D3CCB0" w14:textId="77777777" w:rsidR="00E34453" w:rsidRPr="005E1EA7" w:rsidRDefault="00E34453" w:rsidP="00E34453">
      <w:pPr>
        <w:numPr>
          <w:ilvl w:val="0"/>
          <w:numId w:val="158"/>
        </w:numPr>
        <w:autoSpaceDE w:val="0"/>
        <w:autoSpaceDN w:val="0"/>
        <w:adjustRightInd w:val="0"/>
        <w:spacing w:after="120"/>
        <w:ind w:left="1701" w:hanging="283"/>
        <w:jc w:val="both"/>
        <w:rPr>
          <w:rFonts w:ascii="Tahoma" w:hAnsi="Tahoma" w:cs="Tahoma"/>
          <w:bCs/>
          <w:sz w:val="20"/>
          <w:szCs w:val="20"/>
        </w:rPr>
      </w:pPr>
      <w:proofErr w:type="gramStart"/>
      <w:r w:rsidRPr="005E1EA7">
        <w:rPr>
          <w:rFonts w:ascii="Tahoma" w:hAnsi="Tahoma" w:cs="Tahoma"/>
          <w:bCs/>
          <w:sz w:val="20"/>
          <w:szCs w:val="20"/>
        </w:rPr>
        <w:t>la</w:t>
      </w:r>
      <w:proofErr w:type="gramEnd"/>
      <w:r w:rsidRPr="005E1EA7">
        <w:rPr>
          <w:rFonts w:ascii="Tahoma" w:hAnsi="Tahoma" w:cs="Tahoma"/>
          <w:bCs/>
          <w:sz w:val="20"/>
          <w:szCs w:val="20"/>
        </w:rPr>
        <w:t xml:space="preserve"> description détaillée des locaux et leurs affectations, les circuits des produits comestibles et non comestibles, les circuits des eaux (potables, saumâtres ou usées), le circuit du personnel ;</w:t>
      </w:r>
    </w:p>
    <w:p w14:paraId="4D606895" w14:textId="77777777" w:rsidR="00E34453" w:rsidRPr="005E1EA7" w:rsidRDefault="00E34453" w:rsidP="00E34453">
      <w:pPr>
        <w:numPr>
          <w:ilvl w:val="0"/>
          <w:numId w:val="158"/>
        </w:numPr>
        <w:autoSpaceDE w:val="0"/>
        <w:autoSpaceDN w:val="0"/>
        <w:adjustRightInd w:val="0"/>
        <w:spacing w:after="120"/>
        <w:ind w:left="1701" w:hanging="283"/>
        <w:jc w:val="both"/>
        <w:rPr>
          <w:rFonts w:ascii="Tahoma" w:hAnsi="Tahoma" w:cs="Tahoma"/>
          <w:bCs/>
          <w:sz w:val="20"/>
          <w:szCs w:val="20"/>
        </w:rPr>
      </w:pPr>
      <w:proofErr w:type="gramStart"/>
      <w:r w:rsidRPr="005E1EA7">
        <w:rPr>
          <w:rFonts w:ascii="Tahoma" w:hAnsi="Tahoma" w:cs="Tahoma"/>
          <w:bCs/>
          <w:sz w:val="20"/>
          <w:szCs w:val="20"/>
        </w:rPr>
        <w:t>la</w:t>
      </w:r>
      <w:proofErr w:type="gramEnd"/>
      <w:r w:rsidRPr="005E1EA7">
        <w:rPr>
          <w:rFonts w:ascii="Tahoma" w:hAnsi="Tahoma" w:cs="Tahoma"/>
          <w:bCs/>
          <w:sz w:val="20"/>
          <w:szCs w:val="20"/>
        </w:rPr>
        <w:t xml:space="preserve"> description des équipements et du matériel utilisés ;</w:t>
      </w:r>
    </w:p>
    <w:p w14:paraId="06990482" w14:textId="77777777" w:rsidR="00E34453" w:rsidRPr="005E1EA7" w:rsidRDefault="00E34453" w:rsidP="00E34453">
      <w:pPr>
        <w:numPr>
          <w:ilvl w:val="0"/>
          <w:numId w:val="158"/>
        </w:numPr>
        <w:autoSpaceDE w:val="0"/>
        <w:autoSpaceDN w:val="0"/>
        <w:adjustRightInd w:val="0"/>
        <w:spacing w:after="120"/>
        <w:ind w:left="1701" w:hanging="283"/>
        <w:jc w:val="both"/>
        <w:rPr>
          <w:rFonts w:ascii="Tahoma" w:hAnsi="Tahoma" w:cs="Tahoma"/>
          <w:bCs/>
          <w:sz w:val="20"/>
          <w:szCs w:val="20"/>
        </w:rPr>
      </w:pPr>
      <w:proofErr w:type="gramStart"/>
      <w:r w:rsidRPr="005E1EA7">
        <w:rPr>
          <w:rFonts w:ascii="Tahoma" w:hAnsi="Tahoma" w:cs="Tahoma"/>
          <w:bCs/>
          <w:sz w:val="20"/>
          <w:szCs w:val="20"/>
        </w:rPr>
        <w:t>la</w:t>
      </w:r>
      <w:proofErr w:type="gramEnd"/>
      <w:r w:rsidRPr="005E1EA7">
        <w:rPr>
          <w:rFonts w:ascii="Tahoma" w:hAnsi="Tahoma" w:cs="Tahoma"/>
          <w:bCs/>
          <w:sz w:val="20"/>
          <w:szCs w:val="20"/>
        </w:rPr>
        <w:t xml:space="preserve"> capacité de stockage des matières premières et des produits finis, ainsi que le tonnage de la production journalière revue. </w:t>
      </w:r>
    </w:p>
    <w:p w14:paraId="374EA3AD" w14:textId="77777777" w:rsidR="00E34453" w:rsidRPr="005E1EA7" w:rsidRDefault="00E34453" w:rsidP="00E34453">
      <w:pPr>
        <w:numPr>
          <w:ilvl w:val="0"/>
          <w:numId w:val="158"/>
        </w:numPr>
        <w:autoSpaceDE w:val="0"/>
        <w:autoSpaceDN w:val="0"/>
        <w:adjustRightInd w:val="0"/>
        <w:spacing w:after="120"/>
        <w:ind w:left="1701" w:hanging="283"/>
        <w:jc w:val="both"/>
        <w:rPr>
          <w:rFonts w:ascii="Tahoma" w:hAnsi="Tahoma" w:cs="Tahoma"/>
          <w:bCs/>
          <w:sz w:val="20"/>
          <w:szCs w:val="20"/>
        </w:rPr>
      </w:pPr>
      <w:r w:rsidRPr="005E1EA7">
        <w:rPr>
          <w:rFonts w:ascii="Tahoma" w:hAnsi="Tahoma" w:cs="Tahoma"/>
          <w:bCs/>
          <w:sz w:val="20"/>
          <w:szCs w:val="20"/>
        </w:rPr>
        <w:t>Le plan de masse doit être soumis à l’approbation de l’ONISPA conformément aux principes règlementaires de marche en avant, de non entrecroisement des flux et de séparation des secteurs propres et souillés.</w:t>
      </w:r>
    </w:p>
    <w:p w14:paraId="5EEA0361" w14:textId="77777777" w:rsidR="00E34453" w:rsidRPr="005E1EA7" w:rsidRDefault="00E34453" w:rsidP="00E34453">
      <w:pPr>
        <w:autoSpaceDE w:val="0"/>
        <w:autoSpaceDN w:val="0"/>
        <w:adjustRightInd w:val="0"/>
        <w:spacing w:after="120"/>
        <w:ind w:left="708"/>
        <w:jc w:val="both"/>
        <w:rPr>
          <w:rFonts w:ascii="Tahoma" w:hAnsi="Tahoma" w:cs="Tahoma"/>
          <w:bCs/>
          <w:sz w:val="20"/>
          <w:szCs w:val="20"/>
        </w:rPr>
      </w:pPr>
      <w:r w:rsidRPr="005E1EA7">
        <w:rPr>
          <w:rFonts w:ascii="Tahoma" w:hAnsi="Tahoma" w:cs="Tahoma"/>
          <w:bCs/>
          <w:sz w:val="20"/>
          <w:szCs w:val="20"/>
        </w:rPr>
        <w:t>Le plan doit, aussi, indiquer la position des locaux sanitaires et les cabinets d’aisance par rapport aux locaux de travail (manipulation des produits de la pêche et/ou des intrants, …)</w:t>
      </w:r>
    </w:p>
    <w:p w14:paraId="529090C8" w14:textId="77777777" w:rsidR="00E34453" w:rsidRPr="005E1EA7" w:rsidRDefault="00E34453" w:rsidP="00E34453">
      <w:pPr>
        <w:autoSpaceDE w:val="0"/>
        <w:autoSpaceDN w:val="0"/>
        <w:adjustRightInd w:val="0"/>
        <w:spacing w:after="120"/>
        <w:ind w:firstLine="709"/>
        <w:jc w:val="both"/>
        <w:rPr>
          <w:rFonts w:ascii="Tahoma" w:hAnsi="Tahoma" w:cs="Tahoma"/>
          <w:bCs/>
          <w:sz w:val="20"/>
          <w:szCs w:val="20"/>
        </w:rPr>
      </w:pPr>
      <w:r w:rsidRPr="005E1EA7">
        <w:rPr>
          <w:rFonts w:ascii="Tahoma" w:hAnsi="Tahoma" w:cs="Tahoma"/>
          <w:bCs/>
          <w:sz w:val="20"/>
          <w:szCs w:val="20"/>
        </w:rPr>
        <w:t xml:space="preserve">v) un plan HACCP </w:t>
      </w:r>
    </w:p>
    <w:p w14:paraId="0F0F1BC1" w14:textId="77777777" w:rsidR="00E34453" w:rsidRPr="005E1EA7" w:rsidRDefault="00E34453" w:rsidP="00E34453">
      <w:pPr>
        <w:autoSpaceDE w:val="0"/>
        <w:autoSpaceDN w:val="0"/>
        <w:adjustRightInd w:val="0"/>
        <w:spacing w:after="120"/>
        <w:jc w:val="both"/>
        <w:rPr>
          <w:rFonts w:ascii="Tahoma" w:hAnsi="Tahoma" w:cs="Tahoma"/>
          <w:bCs/>
          <w:sz w:val="20"/>
          <w:szCs w:val="20"/>
        </w:rPr>
      </w:pPr>
      <w:r w:rsidRPr="005E1EA7">
        <w:rPr>
          <w:rFonts w:ascii="Tahoma" w:hAnsi="Tahoma" w:cs="Tahoma"/>
          <w:bCs/>
          <w:sz w:val="20"/>
          <w:szCs w:val="20"/>
        </w:rPr>
        <w:t>La demande doit être renouvelée lors de toute modification importante dans l’installation ou l’aménagement des locaux, leurs gros équipements ou leur affectation.</w:t>
      </w:r>
    </w:p>
    <w:p w14:paraId="51A87F72" w14:textId="77777777" w:rsidR="00E34453" w:rsidRPr="005E1EA7" w:rsidRDefault="00E34453" w:rsidP="00E34453">
      <w:pPr>
        <w:autoSpaceDE w:val="0"/>
        <w:autoSpaceDN w:val="0"/>
        <w:adjustRightInd w:val="0"/>
        <w:spacing w:after="120"/>
        <w:rPr>
          <w:rFonts w:ascii="Tahoma" w:hAnsi="Tahoma" w:cs="Tahoma"/>
          <w:bCs/>
          <w:sz w:val="20"/>
          <w:szCs w:val="20"/>
        </w:rPr>
      </w:pPr>
      <w:r w:rsidRPr="005E1EA7">
        <w:rPr>
          <w:rFonts w:ascii="Tahoma" w:hAnsi="Tahoma" w:cs="Tahoma"/>
          <w:bCs/>
          <w:sz w:val="20"/>
          <w:szCs w:val="20"/>
        </w:rPr>
        <w:t>Lors de simple changement d’exploitants, la demande ne comporte que les indications mentionnées aux points i) et ii) précités.</w:t>
      </w:r>
    </w:p>
    <w:p w14:paraId="482E2B6E" w14:textId="77777777" w:rsidR="00E34453" w:rsidRPr="005E1EA7" w:rsidRDefault="00E34453" w:rsidP="00E34453">
      <w:pPr>
        <w:autoSpaceDE w:val="0"/>
        <w:autoSpaceDN w:val="0"/>
        <w:adjustRightInd w:val="0"/>
        <w:spacing w:after="120"/>
        <w:jc w:val="both"/>
        <w:rPr>
          <w:rFonts w:ascii="Tahoma" w:hAnsi="Tahoma" w:cs="Tahoma"/>
          <w:bCs/>
          <w:sz w:val="20"/>
          <w:szCs w:val="20"/>
          <w:rtl/>
        </w:rPr>
      </w:pPr>
      <w:r w:rsidRPr="005E1EA7">
        <w:rPr>
          <w:rFonts w:ascii="Tahoma" w:hAnsi="Tahoma" w:cs="Tahoma"/>
          <w:bCs/>
          <w:sz w:val="20"/>
          <w:szCs w:val="20"/>
        </w:rPr>
        <w:t>Si le dossier est sanctionné par un accord de principe d’implantation signé par le Ministre chargé des Pêches, il est transmis à l’organisme chargé du contrôle pour avis technique en vue d’agrément.</w:t>
      </w:r>
    </w:p>
    <w:p w14:paraId="2E44EDD5" w14:textId="77777777" w:rsidR="00E34453" w:rsidRPr="005E1EA7" w:rsidRDefault="00E34453" w:rsidP="00E34453">
      <w:pPr>
        <w:numPr>
          <w:ilvl w:val="0"/>
          <w:numId w:val="2"/>
        </w:numPr>
        <w:autoSpaceDE w:val="0"/>
        <w:autoSpaceDN w:val="0"/>
        <w:adjustRightInd w:val="0"/>
        <w:spacing w:after="240"/>
        <w:ind w:left="714" w:hanging="357"/>
        <w:jc w:val="both"/>
        <w:rPr>
          <w:rFonts w:ascii="Tahoma" w:hAnsi="Tahoma" w:cs="Tahoma"/>
          <w:bCs/>
          <w:sz w:val="20"/>
          <w:szCs w:val="20"/>
        </w:rPr>
      </w:pPr>
      <w:proofErr w:type="gramStart"/>
      <w:r w:rsidRPr="005E1EA7">
        <w:rPr>
          <w:rFonts w:ascii="Tahoma" w:hAnsi="Tahoma" w:cs="Tahoma"/>
          <w:bCs/>
          <w:sz w:val="20"/>
          <w:szCs w:val="20"/>
        </w:rPr>
        <w:t>l’Organisme</w:t>
      </w:r>
      <w:proofErr w:type="gramEnd"/>
      <w:r w:rsidRPr="005E1EA7">
        <w:rPr>
          <w:rFonts w:ascii="Tahoma" w:hAnsi="Tahoma" w:cs="Tahoma"/>
          <w:bCs/>
          <w:sz w:val="20"/>
          <w:szCs w:val="20"/>
        </w:rPr>
        <w:t xml:space="preserve"> de Contrôle :</w:t>
      </w:r>
    </w:p>
    <w:p w14:paraId="2564DA2C" w14:textId="77777777" w:rsidR="00E34453" w:rsidRPr="005E1EA7" w:rsidRDefault="00E34453" w:rsidP="00E34453">
      <w:pPr>
        <w:autoSpaceDE w:val="0"/>
        <w:autoSpaceDN w:val="0"/>
        <w:adjustRightInd w:val="0"/>
        <w:spacing w:after="120"/>
        <w:ind w:left="709"/>
        <w:jc w:val="both"/>
        <w:rPr>
          <w:rFonts w:ascii="Tahoma" w:hAnsi="Tahoma" w:cs="Tahoma"/>
          <w:bCs/>
          <w:sz w:val="20"/>
          <w:szCs w:val="20"/>
        </w:rPr>
      </w:pPr>
      <w:r w:rsidRPr="005E1EA7">
        <w:rPr>
          <w:rFonts w:ascii="Tahoma" w:hAnsi="Tahoma" w:cs="Tahoma"/>
          <w:bCs/>
          <w:sz w:val="20"/>
          <w:szCs w:val="20"/>
        </w:rPr>
        <w:t>i) procède à l’étude technique du dossier et à une visite sur le terrain lorsqu’il reçoit une demande d’avis technique d’agrément/enregistrement ;</w:t>
      </w:r>
    </w:p>
    <w:p w14:paraId="2912A300" w14:textId="77777777" w:rsidR="00E34453" w:rsidRPr="005E1EA7" w:rsidRDefault="00E34453" w:rsidP="00E34453">
      <w:pPr>
        <w:autoSpaceDE w:val="0"/>
        <w:autoSpaceDN w:val="0"/>
        <w:adjustRightInd w:val="0"/>
        <w:spacing w:after="120"/>
        <w:ind w:left="709"/>
        <w:jc w:val="both"/>
        <w:rPr>
          <w:rFonts w:ascii="Tahoma" w:hAnsi="Tahoma" w:cs="Tahoma"/>
          <w:bCs/>
          <w:sz w:val="20"/>
          <w:szCs w:val="20"/>
        </w:rPr>
      </w:pPr>
      <w:r w:rsidRPr="005E1EA7">
        <w:rPr>
          <w:rFonts w:ascii="Tahoma" w:hAnsi="Tahoma" w:cs="Tahoma"/>
          <w:bCs/>
          <w:sz w:val="20"/>
          <w:szCs w:val="20"/>
        </w:rPr>
        <w:t xml:space="preserve">ii) donne un avis pour un agrément technique lorsqu’il apparaît que l’établissement respecte toutes les exigences en matière d’infrastructures et d’équipements. </w:t>
      </w:r>
    </w:p>
    <w:p w14:paraId="4B0408BF" w14:textId="77777777" w:rsidR="00E34453" w:rsidRPr="005E1EA7" w:rsidRDefault="00E34453" w:rsidP="00E34453">
      <w:pPr>
        <w:autoSpaceDE w:val="0"/>
        <w:autoSpaceDN w:val="0"/>
        <w:adjustRightInd w:val="0"/>
        <w:spacing w:after="120"/>
        <w:ind w:left="709"/>
        <w:jc w:val="both"/>
        <w:rPr>
          <w:rFonts w:ascii="Tahoma" w:hAnsi="Tahoma" w:cs="Tahoma"/>
          <w:bCs/>
          <w:sz w:val="20"/>
          <w:szCs w:val="20"/>
        </w:rPr>
      </w:pPr>
      <w:r w:rsidRPr="005E1EA7">
        <w:rPr>
          <w:rFonts w:ascii="Tahoma" w:hAnsi="Tahoma" w:cs="Tahoma"/>
          <w:bCs/>
          <w:sz w:val="20"/>
          <w:szCs w:val="20"/>
        </w:rPr>
        <w:t>Elle ne donnera l’avis technique pour un agrément définitif que dans le cas où un nouveau contrôle officiel, effectué dans les trois (3) mois qui suivent l’octroi de l’agrément conditionnel, fait apparaître que l’établissement respecte les autres exigences pertinentes de la législation (procédures de fonctionnement, HACCP). Si de nets progrès ont été réalisés, mais que l’établissement ne respecte toujours pas toutes ces prescriptions, l’Autorité compétente peut proroger, sur avis de l’organisme de contrôle, l’agrément technique. La durée de l’agrément technique ne peut, cependant, pas dépasser six (6) mois au total ;</w:t>
      </w:r>
    </w:p>
    <w:p w14:paraId="74D067BE" w14:textId="77777777" w:rsidR="00E34453" w:rsidRPr="005E1EA7" w:rsidRDefault="00E34453" w:rsidP="00E34453">
      <w:pPr>
        <w:autoSpaceDE w:val="0"/>
        <w:autoSpaceDN w:val="0"/>
        <w:adjustRightInd w:val="0"/>
        <w:spacing w:after="120"/>
        <w:ind w:left="709"/>
        <w:jc w:val="both"/>
        <w:rPr>
          <w:rFonts w:ascii="Tahoma" w:hAnsi="Tahoma" w:cs="Tahoma"/>
          <w:bCs/>
          <w:sz w:val="20"/>
          <w:szCs w:val="20"/>
        </w:rPr>
      </w:pPr>
      <w:r w:rsidRPr="005E1EA7">
        <w:rPr>
          <w:rFonts w:ascii="Tahoma" w:hAnsi="Tahoma" w:cs="Tahoma"/>
          <w:bCs/>
          <w:sz w:val="20"/>
          <w:szCs w:val="20"/>
        </w:rPr>
        <w:t xml:space="preserve">iii) donne un avis technique pour l’agrément définitif à un établissement pour les activités concernées si le responsable de l’établissement a apporté la preuve qu’il satisfait aux exigences pertinentes de la législation ; </w:t>
      </w:r>
    </w:p>
    <w:p w14:paraId="7A28D47D" w14:textId="77777777" w:rsidR="00E34453" w:rsidRPr="005E1EA7" w:rsidRDefault="00E34453" w:rsidP="00E34453">
      <w:pPr>
        <w:autoSpaceDE w:val="0"/>
        <w:autoSpaceDN w:val="0"/>
        <w:adjustRightInd w:val="0"/>
        <w:spacing w:after="120"/>
        <w:ind w:left="708"/>
        <w:jc w:val="both"/>
        <w:rPr>
          <w:rFonts w:ascii="Tahoma" w:hAnsi="Tahoma" w:cs="Tahoma"/>
          <w:bCs/>
          <w:sz w:val="20"/>
          <w:szCs w:val="20"/>
        </w:rPr>
      </w:pPr>
      <w:r w:rsidRPr="005E1EA7">
        <w:rPr>
          <w:rFonts w:ascii="Tahoma" w:hAnsi="Tahoma" w:cs="Tahoma"/>
          <w:bCs/>
          <w:sz w:val="20"/>
          <w:szCs w:val="20"/>
        </w:rPr>
        <w:t>iv) examine les conditions d’agrément des établissements lorsqu’il effectue des contrôles officiels et s'il décèle des irrégularités graves ou est contraint d’arrêter la production dans un établissement à plusieurs reprises et que le responsable de l’établissement n’est pas en mesure de fournir des garanties adéquates en ce qui concerne la production future, il propose les procédures visant à infliger les sanctions qui s’imposent.</w:t>
      </w:r>
    </w:p>
    <w:p w14:paraId="0B6CB1FB" w14:textId="77777777" w:rsidR="00E34453" w:rsidRPr="005E1EA7" w:rsidRDefault="00E34453" w:rsidP="00E34453">
      <w:pPr>
        <w:autoSpaceDE w:val="0"/>
        <w:autoSpaceDN w:val="0"/>
        <w:adjustRightInd w:val="0"/>
        <w:rPr>
          <w:rFonts w:ascii="Tahoma" w:hAnsi="Tahoma" w:cs="Tahoma"/>
          <w:b/>
          <w:sz w:val="20"/>
          <w:szCs w:val="20"/>
          <w:u w:val="single"/>
        </w:rPr>
      </w:pPr>
    </w:p>
    <w:p w14:paraId="63F49351" w14:textId="77777777" w:rsidR="00E34453" w:rsidRPr="005E1EA7" w:rsidRDefault="00E34453" w:rsidP="00E34453">
      <w:pPr>
        <w:autoSpaceDE w:val="0"/>
        <w:autoSpaceDN w:val="0"/>
        <w:adjustRightInd w:val="0"/>
        <w:rPr>
          <w:rFonts w:ascii="Tahoma" w:hAnsi="Tahoma" w:cs="Tahoma"/>
          <w:bCs/>
          <w:sz w:val="20"/>
          <w:szCs w:val="20"/>
        </w:rPr>
      </w:pPr>
      <w:r w:rsidRPr="005E1EA7">
        <w:rPr>
          <w:rFonts w:ascii="Tahoma" w:hAnsi="Tahoma" w:cs="Tahoma"/>
          <w:b/>
          <w:sz w:val="20"/>
          <w:szCs w:val="20"/>
          <w:u w:val="single"/>
        </w:rPr>
        <w:lastRenderedPageBreak/>
        <w:t>Article 16</w:t>
      </w:r>
      <w:r w:rsidRPr="005E1EA7">
        <w:rPr>
          <w:rFonts w:ascii="Tahoma" w:hAnsi="Tahoma" w:cs="Tahoma"/>
          <w:bCs/>
          <w:sz w:val="20"/>
          <w:szCs w:val="20"/>
        </w:rPr>
        <w:t> : Dispositions spéciales applicables aux établissements</w:t>
      </w:r>
    </w:p>
    <w:p w14:paraId="38C47FEA" w14:textId="77777777" w:rsidR="00E34453" w:rsidRPr="005E1EA7" w:rsidRDefault="00E34453" w:rsidP="00E34453">
      <w:pPr>
        <w:autoSpaceDE w:val="0"/>
        <w:autoSpaceDN w:val="0"/>
        <w:adjustRightInd w:val="0"/>
        <w:jc w:val="both"/>
        <w:rPr>
          <w:rFonts w:ascii="Tahoma" w:eastAsia="EUAlbertina-Regular-Identity-H" w:hAnsi="Tahoma" w:cs="Tahoma"/>
          <w:bCs/>
          <w:sz w:val="20"/>
          <w:szCs w:val="20"/>
        </w:rPr>
      </w:pPr>
    </w:p>
    <w:p w14:paraId="656C06A7" w14:textId="77777777" w:rsidR="00E34453" w:rsidRPr="005E1EA7" w:rsidRDefault="00E34453" w:rsidP="00E34453">
      <w:pPr>
        <w:autoSpaceDE w:val="0"/>
        <w:autoSpaceDN w:val="0"/>
        <w:adjustRightInd w:val="0"/>
        <w:jc w:val="both"/>
        <w:rPr>
          <w:rFonts w:ascii="Tahoma" w:eastAsia="EUAlbertina-Regular-Identity-H" w:hAnsi="Tahoma" w:cs="Tahoma"/>
          <w:bCs/>
          <w:sz w:val="20"/>
          <w:szCs w:val="20"/>
        </w:rPr>
      </w:pPr>
      <w:r w:rsidRPr="005E1EA7">
        <w:rPr>
          <w:rFonts w:ascii="Tahoma" w:eastAsia="EUAlbertina-Regular-Identity-H" w:hAnsi="Tahoma" w:cs="Tahoma"/>
          <w:bCs/>
          <w:sz w:val="20"/>
          <w:szCs w:val="20"/>
        </w:rPr>
        <w:t>1. En ce qui concerne les navires-usines et les navires congélateurs, les périodes maximales de trois et six (6) mois relatifs à l’agrément conditionnel des établissements peuvent être prolongées. Toutefois, la durée d’un agrément conditionnel ne peut pas dépasser douze (12) mois au total. Les inspections de ces navires ont lieu comme indiqué à l’annexe III, chapitre 1, point 3.</w:t>
      </w:r>
    </w:p>
    <w:p w14:paraId="7C481BEA" w14:textId="77777777" w:rsidR="00E34453" w:rsidRPr="005E1EA7" w:rsidRDefault="00E34453" w:rsidP="00E34453">
      <w:pPr>
        <w:autoSpaceDE w:val="0"/>
        <w:autoSpaceDN w:val="0"/>
        <w:adjustRightInd w:val="0"/>
        <w:jc w:val="both"/>
        <w:rPr>
          <w:rFonts w:ascii="Tahoma" w:eastAsia="EUAlbertina-Regular-Identity-H" w:hAnsi="Tahoma" w:cs="Tahoma"/>
          <w:bCs/>
          <w:sz w:val="20"/>
          <w:szCs w:val="20"/>
        </w:rPr>
      </w:pPr>
    </w:p>
    <w:p w14:paraId="7563EBBF" w14:textId="77777777" w:rsidR="00E34453" w:rsidRPr="005E1EA7" w:rsidRDefault="00E34453" w:rsidP="00E34453">
      <w:pPr>
        <w:autoSpaceDE w:val="0"/>
        <w:autoSpaceDN w:val="0"/>
        <w:adjustRightInd w:val="0"/>
        <w:jc w:val="both"/>
        <w:rPr>
          <w:rFonts w:ascii="Tahoma" w:eastAsia="EUAlbertina-Regular-Identity-H" w:hAnsi="Tahoma" w:cs="Tahoma"/>
          <w:bCs/>
          <w:sz w:val="20"/>
          <w:szCs w:val="20"/>
        </w:rPr>
      </w:pPr>
      <w:r w:rsidRPr="005E1EA7">
        <w:rPr>
          <w:rFonts w:ascii="Tahoma" w:eastAsia="EUAlbertina-Regular-Identity-H" w:hAnsi="Tahoma" w:cs="Tahoma"/>
          <w:bCs/>
          <w:sz w:val="20"/>
          <w:szCs w:val="20"/>
        </w:rPr>
        <w:t>2. L’autorité compétente donne à tous les établissements agréés, y compris ceux ayant obtenu un agrément conditionnel, un numéro d’agrément, auquel des codes peuvent être ajoutés pour indiquer les spécifications des produits de la pêche qu'il est autorisé à fabriquer. En ce qui concerne les marchés de gros, des numéros secondaires indiquant les unités ou groupes d’unités de vente ou de fabrication de produits de la pêche peuvent être ajoutés au numéro d’agrément.</w:t>
      </w:r>
    </w:p>
    <w:p w14:paraId="1557F573" w14:textId="77777777" w:rsidR="00E34453" w:rsidRPr="005E1EA7" w:rsidRDefault="00E34453" w:rsidP="00E34453">
      <w:pPr>
        <w:autoSpaceDE w:val="0"/>
        <w:autoSpaceDN w:val="0"/>
        <w:adjustRightInd w:val="0"/>
        <w:jc w:val="both"/>
        <w:rPr>
          <w:rFonts w:ascii="Tahoma" w:eastAsia="EUAlbertina-Regular-Identity-H" w:hAnsi="Tahoma" w:cs="Tahoma"/>
          <w:bCs/>
          <w:sz w:val="20"/>
          <w:szCs w:val="20"/>
        </w:rPr>
      </w:pPr>
    </w:p>
    <w:p w14:paraId="6A700861" w14:textId="77777777" w:rsidR="00E34453" w:rsidRPr="005E1EA7" w:rsidRDefault="00E34453" w:rsidP="00E34453">
      <w:pPr>
        <w:autoSpaceDE w:val="0"/>
        <w:autoSpaceDN w:val="0"/>
        <w:adjustRightInd w:val="0"/>
        <w:jc w:val="both"/>
        <w:rPr>
          <w:rFonts w:ascii="Tahoma" w:eastAsia="EUAlbertina-Regular-Identity-H" w:hAnsi="Tahoma" w:cs="Tahoma"/>
          <w:bCs/>
          <w:sz w:val="20"/>
          <w:szCs w:val="20"/>
        </w:rPr>
      </w:pPr>
      <w:r w:rsidRPr="005E1EA7">
        <w:rPr>
          <w:rFonts w:ascii="Tahoma" w:eastAsia="EUAlbertina-Regular-Identity-H" w:hAnsi="Tahoma" w:cs="Tahoma"/>
          <w:bCs/>
          <w:sz w:val="20"/>
          <w:szCs w:val="20"/>
        </w:rPr>
        <w:t>Pour les marchés de gros, l’autorité compétente peut retirer ou suspendre l’agrément pour certaines unités ou groupes d’unités.</w:t>
      </w:r>
    </w:p>
    <w:p w14:paraId="66FE55A4" w14:textId="77777777" w:rsidR="00E34453" w:rsidRPr="005E1EA7" w:rsidRDefault="00E34453" w:rsidP="00E34453">
      <w:pPr>
        <w:autoSpaceDE w:val="0"/>
        <w:autoSpaceDN w:val="0"/>
        <w:adjustRightInd w:val="0"/>
        <w:jc w:val="both"/>
        <w:rPr>
          <w:rFonts w:ascii="Tahoma" w:eastAsia="EUAlbertina-Regular-Identity-H" w:hAnsi="Tahoma" w:cs="Tahoma"/>
          <w:bCs/>
          <w:sz w:val="20"/>
          <w:szCs w:val="20"/>
        </w:rPr>
      </w:pPr>
    </w:p>
    <w:p w14:paraId="46285DB4" w14:textId="77777777" w:rsidR="00E34453" w:rsidRPr="005E1EA7" w:rsidRDefault="00E34453" w:rsidP="00E34453">
      <w:pPr>
        <w:autoSpaceDE w:val="0"/>
        <w:autoSpaceDN w:val="0"/>
        <w:adjustRightInd w:val="0"/>
        <w:jc w:val="both"/>
        <w:rPr>
          <w:rFonts w:ascii="Tahoma" w:eastAsia="EUAlbertina-Regular-Identity-H" w:hAnsi="Tahoma" w:cs="Tahoma"/>
          <w:bCs/>
          <w:sz w:val="20"/>
          <w:szCs w:val="20"/>
        </w:rPr>
      </w:pPr>
      <w:r w:rsidRPr="005E1EA7">
        <w:rPr>
          <w:rFonts w:ascii="Tahoma" w:eastAsia="EUAlbertina-Regular-Identity-H" w:hAnsi="Tahoma" w:cs="Tahoma"/>
          <w:bCs/>
          <w:sz w:val="20"/>
          <w:szCs w:val="20"/>
        </w:rPr>
        <w:t xml:space="preserve">La durée de validité d’un agrément ou d’un enregistrement sanitaire est de 24 mois. </w:t>
      </w:r>
    </w:p>
    <w:p w14:paraId="159F962A" w14:textId="77777777" w:rsidR="00E34453" w:rsidRPr="005E1EA7" w:rsidRDefault="00E34453" w:rsidP="00E34453">
      <w:pPr>
        <w:autoSpaceDE w:val="0"/>
        <w:autoSpaceDN w:val="0"/>
        <w:adjustRightInd w:val="0"/>
        <w:jc w:val="both"/>
        <w:rPr>
          <w:rFonts w:ascii="Tahoma" w:eastAsia="EUAlbertina-Regular-Identity-H" w:hAnsi="Tahoma" w:cs="Tahoma"/>
          <w:bCs/>
          <w:sz w:val="20"/>
          <w:szCs w:val="20"/>
        </w:rPr>
      </w:pPr>
    </w:p>
    <w:p w14:paraId="26507F95" w14:textId="77777777" w:rsidR="00E34453" w:rsidRPr="005E1EA7" w:rsidRDefault="00E34453" w:rsidP="00E34453">
      <w:pPr>
        <w:autoSpaceDE w:val="0"/>
        <w:autoSpaceDN w:val="0"/>
        <w:adjustRightInd w:val="0"/>
        <w:spacing w:after="120"/>
        <w:jc w:val="both"/>
        <w:rPr>
          <w:rFonts w:ascii="Tahoma" w:hAnsi="Tahoma" w:cs="Tahoma"/>
          <w:bCs/>
          <w:sz w:val="20"/>
          <w:szCs w:val="20"/>
        </w:rPr>
      </w:pPr>
      <w:r w:rsidRPr="005E1EA7">
        <w:rPr>
          <w:rFonts w:ascii="Tahoma" w:hAnsi="Tahoma" w:cs="Tahoma"/>
          <w:b/>
          <w:sz w:val="20"/>
          <w:szCs w:val="20"/>
          <w:u w:val="single"/>
        </w:rPr>
        <w:t>Article 17 :</w:t>
      </w:r>
      <w:r w:rsidRPr="005E1EA7">
        <w:rPr>
          <w:rFonts w:ascii="Tahoma" w:hAnsi="Tahoma" w:cs="Tahoma"/>
          <w:bCs/>
          <w:sz w:val="20"/>
          <w:szCs w:val="20"/>
          <w:u w:val="single"/>
        </w:rPr>
        <w:t xml:space="preserve"> </w:t>
      </w:r>
      <w:r w:rsidRPr="005E1EA7">
        <w:rPr>
          <w:rFonts w:ascii="Tahoma" w:hAnsi="Tahoma" w:cs="Tahoma"/>
          <w:bCs/>
          <w:sz w:val="20"/>
          <w:szCs w:val="20"/>
        </w:rPr>
        <w:t>En vertu de l’article 4 du décret n° 94.030 du 8 mars 1994 relatif aux normes d’hygiène et de salubrité et aux conditions d’inspection sanitaire et de contrôle régissant la production et la mise sur le marché des produits de la pêche, alinéa 2, l’Autorité compétente ouvrira deux (02) registres :</w:t>
      </w:r>
    </w:p>
    <w:p w14:paraId="793B450D" w14:textId="77777777" w:rsidR="00E34453" w:rsidRPr="005E1EA7" w:rsidRDefault="00E34453" w:rsidP="00E34453">
      <w:pPr>
        <w:autoSpaceDE w:val="0"/>
        <w:autoSpaceDN w:val="0"/>
        <w:adjustRightInd w:val="0"/>
        <w:spacing w:after="120"/>
        <w:jc w:val="both"/>
        <w:rPr>
          <w:rFonts w:ascii="Tahoma" w:hAnsi="Tahoma" w:cs="Tahoma"/>
          <w:bCs/>
          <w:sz w:val="20"/>
          <w:szCs w:val="20"/>
        </w:rPr>
      </w:pPr>
      <w:r w:rsidRPr="005E1EA7">
        <w:rPr>
          <w:rFonts w:ascii="Tahoma" w:hAnsi="Tahoma" w:cs="Tahoma"/>
          <w:bCs/>
          <w:sz w:val="20"/>
          <w:szCs w:val="20"/>
        </w:rPr>
        <w:t xml:space="preserve">1) Un registre dénommé, ci-après, liste A qui répertorie tous les établissements qu'elle a agréés ou enregistrés : nom, numéro d'agrément (codes), spécifications autorisées ; </w:t>
      </w:r>
    </w:p>
    <w:p w14:paraId="71D50053" w14:textId="77777777" w:rsidR="00E34453" w:rsidRPr="005E1EA7" w:rsidRDefault="00E34453" w:rsidP="00E34453">
      <w:pPr>
        <w:autoSpaceDE w:val="0"/>
        <w:autoSpaceDN w:val="0"/>
        <w:adjustRightInd w:val="0"/>
        <w:jc w:val="both"/>
        <w:rPr>
          <w:rFonts w:ascii="Tahoma" w:hAnsi="Tahoma" w:cs="Tahoma"/>
          <w:bCs/>
          <w:sz w:val="20"/>
          <w:szCs w:val="20"/>
        </w:rPr>
      </w:pPr>
      <w:r w:rsidRPr="005E1EA7">
        <w:rPr>
          <w:rFonts w:ascii="Tahoma" w:hAnsi="Tahoma" w:cs="Tahoma"/>
          <w:bCs/>
          <w:sz w:val="20"/>
          <w:szCs w:val="20"/>
        </w:rPr>
        <w:t>2) Un registre dénommé, ci-après, liste B qui répertorie tous les établissements qu'elle a agréés ou enregistrés (nom, numéro d'agrément (codes), spécifications autorisées) et dont l'agrément ou l’enregistrement couvre le marché spécifique de l'UE.</w:t>
      </w:r>
    </w:p>
    <w:p w14:paraId="137A730E" w14:textId="77777777" w:rsidR="00E34453" w:rsidRPr="005E1EA7" w:rsidRDefault="00E34453" w:rsidP="00E34453">
      <w:pPr>
        <w:autoSpaceDE w:val="0"/>
        <w:autoSpaceDN w:val="0"/>
        <w:adjustRightInd w:val="0"/>
        <w:jc w:val="both"/>
        <w:rPr>
          <w:rFonts w:ascii="Tahoma" w:hAnsi="Tahoma" w:cs="Tahoma"/>
          <w:bCs/>
          <w:i/>
          <w:iCs/>
          <w:sz w:val="20"/>
          <w:szCs w:val="20"/>
        </w:rPr>
      </w:pPr>
    </w:p>
    <w:p w14:paraId="5B9CA026" w14:textId="77777777" w:rsidR="00E34453" w:rsidRPr="005E1EA7" w:rsidRDefault="00E34453" w:rsidP="00E34453">
      <w:pPr>
        <w:autoSpaceDE w:val="0"/>
        <w:autoSpaceDN w:val="0"/>
        <w:adjustRightInd w:val="0"/>
        <w:jc w:val="both"/>
        <w:rPr>
          <w:rFonts w:ascii="Tahoma" w:hAnsi="Tahoma" w:cs="Tahoma"/>
          <w:bCs/>
          <w:sz w:val="20"/>
          <w:szCs w:val="20"/>
        </w:rPr>
      </w:pPr>
      <w:r w:rsidRPr="005E1EA7">
        <w:rPr>
          <w:rFonts w:ascii="Tahoma" w:hAnsi="Tahoma" w:cs="Tahoma"/>
          <w:bCs/>
          <w:sz w:val="20"/>
          <w:szCs w:val="20"/>
        </w:rPr>
        <w:t xml:space="preserve">Tout établissement de la liste A désirant exporter vers le marché de l'UE doit suivre la procédure établie par l'Organisme de Contrôle l'ONISPA. </w:t>
      </w:r>
    </w:p>
    <w:p w14:paraId="22B8B742" w14:textId="77777777" w:rsidR="00E34453" w:rsidRPr="005E1EA7" w:rsidRDefault="00E34453" w:rsidP="00E34453">
      <w:pPr>
        <w:autoSpaceDE w:val="0"/>
        <w:autoSpaceDN w:val="0"/>
        <w:adjustRightInd w:val="0"/>
        <w:jc w:val="center"/>
        <w:rPr>
          <w:rFonts w:ascii="Tahoma" w:hAnsi="Tahoma" w:cs="Tahoma"/>
          <w:bCs/>
          <w:sz w:val="20"/>
          <w:szCs w:val="20"/>
        </w:rPr>
      </w:pPr>
    </w:p>
    <w:p w14:paraId="235B3692" w14:textId="77777777" w:rsidR="00E34453" w:rsidRPr="005E1EA7" w:rsidRDefault="00E34453" w:rsidP="00E34453">
      <w:pPr>
        <w:autoSpaceDE w:val="0"/>
        <w:autoSpaceDN w:val="0"/>
        <w:adjustRightInd w:val="0"/>
        <w:jc w:val="both"/>
        <w:rPr>
          <w:rFonts w:ascii="Tahoma" w:eastAsia="EUAlbertina-Bold-Identity-H" w:hAnsi="Tahoma" w:cs="Tahoma"/>
          <w:bCs/>
          <w:sz w:val="20"/>
          <w:szCs w:val="20"/>
        </w:rPr>
      </w:pPr>
      <w:r w:rsidRPr="005E1EA7">
        <w:rPr>
          <w:rFonts w:ascii="Tahoma" w:eastAsia="EUAlbertina-Italic-Identity-H" w:hAnsi="Tahoma" w:cs="Tahoma"/>
          <w:b/>
          <w:sz w:val="20"/>
          <w:szCs w:val="20"/>
          <w:u w:val="single"/>
        </w:rPr>
        <w:t>Article 18</w:t>
      </w:r>
      <w:r w:rsidRPr="005E1EA7">
        <w:rPr>
          <w:rFonts w:ascii="Tahoma" w:eastAsia="EUAlbertina-Italic-Identity-H" w:hAnsi="Tahoma" w:cs="Tahoma"/>
          <w:bCs/>
          <w:sz w:val="20"/>
          <w:szCs w:val="20"/>
        </w:rPr>
        <w:t xml:space="preserve"> - </w:t>
      </w:r>
      <w:r w:rsidRPr="005E1EA7">
        <w:rPr>
          <w:rFonts w:ascii="Tahoma" w:eastAsia="EUAlbertina-Bold-Identity-H" w:hAnsi="Tahoma" w:cs="Tahoma"/>
          <w:bCs/>
          <w:sz w:val="20"/>
          <w:szCs w:val="20"/>
        </w:rPr>
        <w:t>Principes généraux en matière de contrôles officiels concernant tous les produits de la pêche, dont les mollusques bivalves vivants, qui entrent dans le champ d’application du présent arrêté.</w:t>
      </w:r>
    </w:p>
    <w:p w14:paraId="7D493F79" w14:textId="77777777" w:rsidR="00E34453" w:rsidRPr="005E1EA7" w:rsidRDefault="00E34453" w:rsidP="00E34453">
      <w:pPr>
        <w:autoSpaceDE w:val="0"/>
        <w:autoSpaceDN w:val="0"/>
        <w:adjustRightInd w:val="0"/>
        <w:jc w:val="both"/>
        <w:rPr>
          <w:rFonts w:ascii="Tahoma" w:eastAsia="EUAlbertina-Bold-Identity-H" w:hAnsi="Tahoma" w:cs="Tahoma"/>
          <w:sz w:val="20"/>
          <w:szCs w:val="20"/>
        </w:rPr>
      </w:pPr>
    </w:p>
    <w:p w14:paraId="7E150D40"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1. L’autorité compétente veille à ce que les exploitants du secteur des produits de la pêche fournissent toute l’assistance requise pour garantir l’exécution efficace des contrôles officiels par l’autorité compétente. Ils veillent notamment :</w:t>
      </w:r>
    </w:p>
    <w:p w14:paraId="08AA39AE"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05736B35" w14:textId="77777777" w:rsidR="00E34453" w:rsidRPr="005E1EA7" w:rsidRDefault="00E34453" w:rsidP="00E34453">
      <w:pPr>
        <w:autoSpaceDE w:val="0"/>
        <w:autoSpaceDN w:val="0"/>
        <w:adjustRightInd w:val="0"/>
        <w:ind w:left="720" w:hanging="360"/>
        <w:jc w:val="both"/>
        <w:rPr>
          <w:rFonts w:ascii="Tahoma" w:eastAsia="EUAlbertina-Regular-Identity-H" w:hAnsi="Tahoma" w:cs="Tahoma"/>
          <w:sz w:val="20"/>
          <w:szCs w:val="20"/>
        </w:rPr>
      </w:pPr>
      <w:r w:rsidRPr="005E1EA7">
        <w:rPr>
          <w:rFonts w:ascii="Tahoma" w:eastAsia="EUAlbertina-Regular-Identity-H" w:hAnsi="Tahoma" w:cs="Tahoma"/>
          <w:sz w:val="20"/>
          <w:szCs w:val="20"/>
        </w:rPr>
        <w:t xml:space="preserve">- </w:t>
      </w:r>
      <w:r w:rsidRPr="005E1EA7">
        <w:rPr>
          <w:rFonts w:ascii="Tahoma" w:eastAsia="EUAlbertina-Regular-Identity-H" w:hAnsi="Tahoma" w:cs="Tahoma"/>
          <w:sz w:val="20"/>
          <w:szCs w:val="20"/>
        </w:rPr>
        <w:tab/>
        <w:t>à donner accès à tous bâtiments, locaux, installations ou autres infrastructures ;</w:t>
      </w:r>
    </w:p>
    <w:p w14:paraId="37E47D10" w14:textId="77777777" w:rsidR="00E34453" w:rsidRPr="005E1EA7" w:rsidRDefault="00E34453" w:rsidP="00E34453">
      <w:pPr>
        <w:autoSpaceDE w:val="0"/>
        <w:autoSpaceDN w:val="0"/>
        <w:adjustRightInd w:val="0"/>
        <w:ind w:left="720" w:hanging="360"/>
        <w:jc w:val="both"/>
        <w:rPr>
          <w:rFonts w:ascii="Tahoma" w:eastAsia="EUAlbertina-Regular-Identity-H" w:hAnsi="Tahoma" w:cs="Tahoma"/>
          <w:sz w:val="20"/>
          <w:szCs w:val="20"/>
        </w:rPr>
      </w:pPr>
      <w:r w:rsidRPr="005E1EA7">
        <w:rPr>
          <w:rFonts w:ascii="Tahoma" w:eastAsia="EUAlbertina-Regular-Identity-H" w:hAnsi="Tahoma" w:cs="Tahoma"/>
          <w:sz w:val="20"/>
          <w:szCs w:val="20"/>
        </w:rPr>
        <w:t xml:space="preserve">- </w:t>
      </w:r>
      <w:r w:rsidRPr="005E1EA7">
        <w:rPr>
          <w:rFonts w:ascii="Tahoma" w:eastAsia="EUAlbertina-Regular-Identity-H" w:hAnsi="Tahoma" w:cs="Tahoma"/>
          <w:sz w:val="20"/>
          <w:szCs w:val="20"/>
        </w:rPr>
        <w:tab/>
        <w:t>à présenter tout document ou registre requis en vertu du présent Arrêté ou que l’autorité compétente juge nécessaire pour évaluer la situation.</w:t>
      </w:r>
    </w:p>
    <w:p w14:paraId="539E9A1D"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068B396F" w14:textId="77777777" w:rsidR="00E34453" w:rsidRPr="005E1EA7" w:rsidRDefault="00E34453" w:rsidP="00E34453">
      <w:pPr>
        <w:jc w:val="both"/>
        <w:rPr>
          <w:rFonts w:ascii="Tahoma" w:hAnsi="Tahoma" w:cs="Tahoma"/>
          <w:bCs/>
          <w:sz w:val="20"/>
          <w:szCs w:val="20"/>
        </w:rPr>
      </w:pPr>
      <w:r w:rsidRPr="005E1EA7">
        <w:rPr>
          <w:rFonts w:ascii="Tahoma" w:eastAsia="EUAlbertina-Regular-Identity-H" w:hAnsi="Tahoma" w:cs="Tahoma"/>
          <w:sz w:val="20"/>
          <w:szCs w:val="20"/>
        </w:rPr>
        <w:t xml:space="preserve">2. L’Autorité compétente effectue des contrôles officiels afin de s’assurer que les exploitants du secteur des produits de la pêche respectent les exigences prévues par </w:t>
      </w:r>
      <w:r w:rsidRPr="005E1EA7">
        <w:rPr>
          <w:rFonts w:ascii="Tahoma" w:eastAsia="EUAlbertina-Regular-Identity-H" w:hAnsi="Tahoma" w:cs="Tahoma"/>
          <w:bCs/>
          <w:sz w:val="20"/>
          <w:szCs w:val="20"/>
        </w:rPr>
        <w:t xml:space="preserve">la réglementation </w:t>
      </w:r>
      <w:r w:rsidRPr="005E1EA7">
        <w:rPr>
          <w:rFonts w:ascii="Tahoma" w:hAnsi="Tahoma" w:cs="Tahoma"/>
          <w:bCs/>
          <w:sz w:val="20"/>
          <w:szCs w:val="20"/>
        </w:rPr>
        <w:t xml:space="preserve">relative </w:t>
      </w:r>
      <w:r w:rsidRPr="005E1EA7">
        <w:rPr>
          <w:rFonts w:ascii="Tahoma" w:eastAsia="EUAlbertina-Bold-Identity-H" w:hAnsi="Tahoma" w:cs="Tahoma"/>
          <w:bCs/>
          <w:sz w:val="20"/>
          <w:szCs w:val="20"/>
        </w:rPr>
        <w:t xml:space="preserve">aux produits de la pêche et aux </w:t>
      </w:r>
      <w:r w:rsidRPr="005E1EA7">
        <w:rPr>
          <w:rFonts w:ascii="Tahoma" w:eastAsia="EUAlbertina-Regular-Identity-H" w:hAnsi="Tahoma" w:cs="Tahoma"/>
          <w:bCs/>
          <w:sz w:val="20"/>
          <w:szCs w:val="20"/>
        </w:rPr>
        <w:t>mollusques bivalves vivants</w:t>
      </w:r>
      <w:r w:rsidRPr="005E1EA7">
        <w:rPr>
          <w:rFonts w:ascii="Tahoma" w:eastAsia="EUAlbertina-Regular-Identity-H" w:hAnsi="Tahoma" w:cs="Tahoma"/>
          <w:sz w:val="20"/>
          <w:szCs w:val="20"/>
        </w:rPr>
        <w:t>.</w:t>
      </w:r>
    </w:p>
    <w:p w14:paraId="26270435"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41D93786"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3. Les contrôles officiels visés au paragraphe 1 comprennent :</w:t>
      </w:r>
    </w:p>
    <w:p w14:paraId="4533FA74"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761C07C2" w14:textId="77777777" w:rsidR="00E34453" w:rsidRPr="005E1EA7" w:rsidRDefault="00E34453" w:rsidP="00E34453">
      <w:pPr>
        <w:autoSpaceDE w:val="0"/>
        <w:autoSpaceDN w:val="0"/>
        <w:adjustRightInd w:val="0"/>
        <w:ind w:left="720" w:hanging="360"/>
        <w:jc w:val="both"/>
        <w:rPr>
          <w:rFonts w:ascii="Tahoma" w:eastAsia="EUAlbertina-Regular-Identity-H" w:hAnsi="Tahoma" w:cs="Tahoma"/>
          <w:sz w:val="20"/>
          <w:szCs w:val="20"/>
        </w:rPr>
      </w:pPr>
      <w:r w:rsidRPr="005E1EA7">
        <w:rPr>
          <w:rFonts w:ascii="Tahoma" w:eastAsia="EUAlbertina-Regular-Identity-H" w:hAnsi="Tahoma" w:cs="Tahoma"/>
          <w:sz w:val="20"/>
          <w:szCs w:val="20"/>
        </w:rPr>
        <w:t>a) des audits concernant les bonnes pratiques d’hygiène et les procédures basées sur l’analyse des risques et la maîtrise des points critiques (HACCP) ;</w:t>
      </w:r>
    </w:p>
    <w:p w14:paraId="2C629297" w14:textId="77777777" w:rsidR="00E34453" w:rsidRPr="005E1EA7" w:rsidRDefault="00E34453" w:rsidP="00E34453">
      <w:pPr>
        <w:autoSpaceDE w:val="0"/>
        <w:autoSpaceDN w:val="0"/>
        <w:adjustRightInd w:val="0"/>
        <w:ind w:left="720" w:hanging="360"/>
        <w:jc w:val="both"/>
        <w:rPr>
          <w:rFonts w:ascii="Tahoma" w:eastAsia="EUAlbertina-Regular-Identity-H" w:hAnsi="Tahoma" w:cs="Tahoma"/>
          <w:sz w:val="20"/>
          <w:szCs w:val="20"/>
        </w:rPr>
      </w:pPr>
    </w:p>
    <w:p w14:paraId="5C9E8119" w14:textId="77777777" w:rsidR="00E34453" w:rsidRPr="005E1EA7" w:rsidRDefault="00E34453" w:rsidP="00E34453">
      <w:pPr>
        <w:autoSpaceDE w:val="0"/>
        <w:autoSpaceDN w:val="0"/>
        <w:adjustRightInd w:val="0"/>
        <w:ind w:left="720" w:hanging="360"/>
        <w:jc w:val="both"/>
        <w:rPr>
          <w:rFonts w:ascii="Tahoma" w:eastAsia="EUAlbertina-Regular-Identity-H" w:hAnsi="Tahoma" w:cs="Tahoma"/>
          <w:sz w:val="20"/>
          <w:szCs w:val="20"/>
        </w:rPr>
      </w:pPr>
      <w:r w:rsidRPr="005E1EA7">
        <w:rPr>
          <w:rFonts w:ascii="Tahoma" w:eastAsia="EUAlbertina-Regular-Identity-H" w:hAnsi="Tahoma" w:cs="Tahoma"/>
          <w:sz w:val="20"/>
          <w:szCs w:val="20"/>
        </w:rPr>
        <w:t>b) les contrôles officiels définis au point 9 ;</w:t>
      </w:r>
    </w:p>
    <w:p w14:paraId="47CB788B" w14:textId="77777777" w:rsidR="00E34453" w:rsidRPr="005E1EA7" w:rsidRDefault="00E34453" w:rsidP="00E34453">
      <w:pPr>
        <w:autoSpaceDE w:val="0"/>
        <w:autoSpaceDN w:val="0"/>
        <w:adjustRightInd w:val="0"/>
        <w:ind w:left="720" w:hanging="360"/>
        <w:jc w:val="both"/>
        <w:rPr>
          <w:rFonts w:ascii="Tahoma" w:eastAsia="EUAlbertina-Regular-Identity-H" w:hAnsi="Tahoma" w:cs="Tahoma"/>
          <w:sz w:val="20"/>
          <w:szCs w:val="20"/>
        </w:rPr>
      </w:pPr>
      <w:r w:rsidRPr="005E1EA7">
        <w:rPr>
          <w:rFonts w:ascii="Tahoma" w:eastAsia="EUAlbertina-Regular-Identity-H" w:hAnsi="Tahoma" w:cs="Tahoma"/>
          <w:sz w:val="20"/>
          <w:szCs w:val="20"/>
        </w:rPr>
        <w:t>c) toute tâche particulière d’audit définie aux annexes.</w:t>
      </w:r>
    </w:p>
    <w:p w14:paraId="63DC4BE1"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1557D959"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4. Les audits concernant les bonnes pratiques d’hygiène visant à vérifier que les exploitants du secteur des produits de la pêche appliquent d’une manière courante et correcte des procédures concernant au moins les points suivants :</w:t>
      </w:r>
    </w:p>
    <w:p w14:paraId="6639E04E"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555EFA49" w14:textId="77777777" w:rsidR="00E34453" w:rsidRPr="005E1EA7" w:rsidRDefault="00E34453" w:rsidP="00E34453">
      <w:pPr>
        <w:autoSpaceDE w:val="0"/>
        <w:autoSpaceDN w:val="0"/>
        <w:adjustRightInd w:val="0"/>
        <w:ind w:firstLine="360"/>
        <w:jc w:val="both"/>
        <w:rPr>
          <w:rFonts w:ascii="Tahoma" w:eastAsia="EUAlbertina-Regular-Identity-H" w:hAnsi="Tahoma" w:cs="Tahoma"/>
          <w:sz w:val="20"/>
          <w:szCs w:val="20"/>
        </w:rPr>
      </w:pPr>
      <w:r w:rsidRPr="005E1EA7">
        <w:rPr>
          <w:rFonts w:ascii="Tahoma" w:eastAsia="EUAlbertina-Regular-Identity-H" w:hAnsi="Tahoma" w:cs="Tahoma"/>
          <w:sz w:val="20"/>
          <w:szCs w:val="20"/>
        </w:rPr>
        <w:t>a) les contrôles des informations relatives à la chaîne alimentaire,</w:t>
      </w:r>
    </w:p>
    <w:p w14:paraId="37B49637" w14:textId="77777777" w:rsidR="00E34453" w:rsidRPr="005E1EA7" w:rsidRDefault="00E34453" w:rsidP="00E34453">
      <w:pPr>
        <w:autoSpaceDE w:val="0"/>
        <w:autoSpaceDN w:val="0"/>
        <w:adjustRightInd w:val="0"/>
        <w:ind w:firstLine="360"/>
        <w:jc w:val="both"/>
        <w:rPr>
          <w:rFonts w:ascii="Tahoma" w:eastAsia="EUAlbertina-Regular-Identity-H" w:hAnsi="Tahoma" w:cs="Tahoma"/>
          <w:sz w:val="20"/>
          <w:szCs w:val="20"/>
        </w:rPr>
      </w:pPr>
    </w:p>
    <w:p w14:paraId="25F391B3" w14:textId="77777777" w:rsidR="00E34453" w:rsidRPr="005E1EA7" w:rsidRDefault="00E34453" w:rsidP="00E34453">
      <w:pPr>
        <w:autoSpaceDE w:val="0"/>
        <w:autoSpaceDN w:val="0"/>
        <w:adjustRightInd w:val="0"/>
        <w:ind w:firstLine="360"/>
        <w:jc w:val="both"/>
        <w:rPr>
          <w:rFonts w:ascii="Tahoma" w:eastAsia="EUAlbertina-Regular-Identity-H" w:hAnsi="Tahoma" w:cs="Tahoma"/>
          <w:sz w:val="20"/>
          <w:szCs w:val="20"/>
        </w:rPr>
      </w:pPr>
      <w:r w:rsidRPr="005E1EA7">
        <w:rPr>
          <w:rFonts w:ascii="Tahoma" w:eastAsia="EUAlbertina-Regular-Identity-H" w:hAnsi="Tahoma" w:cs="Tahoma"/>
          <w:sz w:val="20"/>
          <w:szCs w:val="20"/>
        </w:rPr>
        <w:t>b) la conception et l’entretien des locaux et des équipements,</w:t>
      </w:r>
    </w:p>
    <w:p w14:paraId="0C295214" w14:textId="77777777" w:rsidR="00E34453" w:rsidRPr="005E1EA7" w:rsidRDefault="00E34453" w:rsidP="00E34453">
      <w:pPr>
        <w:autoSpaceDE w:val="0"/>
        <w:autoSpaceDN w:val="0"/>
        <w:adjustRightInd w:val="0"/>
        <w:ind w:firstLine="360"/>
        <w:jc w:val="both"/>
        <w:rPr>
          <w:rFonts w:ascii="Tahoma" w:eastAsia="EUAlbertina-Regular-Identity-H" w:hAnsi="Tahoma" w:cs="Tahoma"/>
          <w:sz w:val="20"/>
          <w:szCs w:val="20"/>
        </w:rPr>
      </w:pPr>
    </w:p>
    <w:p w14:paraId="283E78C6" w14:textId="77777777" w:rsidR="00E34453" w:rsidRPr="005E1EA7" w:rsidRDefault="00E34453" w:rsidP="00E34453">
      <w:pPr>
        <w:autoSpaceDE w:val="0"/>
        <w:autoSpaceDN w:val="0"/>
        <w:adjustRightInd w:val="0"/>
        <w:ind w:firstLine="360"/>
        <w:jc w:val="both"/>
        <w:rPr>
          <w:rFonts w:ascii="Tahoma" w:eastAsia="EUAlbertina-Regular-Identity-H" w:hAnsi="Tahoma" w:cs="Tahoma"/>
          <w:sz w:val="20"/>
          <w:szCs w:val="20"/>
        </w:rPr>
      </w:pPr>
      <w:r w:rsidRPr="005E1EA7">
        <w:rPr>
          <w:rFonts w:ascii="Tahoma" w:eastAsia="EUAlbertina-Regular-Identity-H" w:hAnsi="Tahoma" w:cs="Tahoma"/>
          <w:sz w:val="20"/>
          <w:szCs w:val="20"/>
        </w:rPr>
        <w:t>c) l’hygiène préopérationnelle, opérationnelle et postopérationnelle,</w:t>
      </w:r>
    </w:p>
    <w:p w14:paraId="7FABFD8C" w14:textId="77777777" w:rsidR="00E34453" w:rsidRPr="005E1EA7" w:rsidRDefault="00E34453" w:rsidP="00E34453">
      <w:pPr>
        <w:autoSpaceDE w:val="0"/>
        <w:autoSpaceDN w:val="0"/>
        <w:adjustRightInd w:val="0"/>
        <w:ind w:firstLine="360"/>
        <w:jc w:val="both"/>
        <w:rPr>
          <w:rFonts w:ascii="Tahoma" w:eastAsia="EUAlbertina-Regular-Identity-H" w:hAnsi="Tahoma" w:cs="Tahoma"/>
          <w:sz w:val="20"/>
          <w:szCs w:val="20"/>
        </w:rPr>
      </w:pPr>
    </w:p>
    <w:p w14:paraId="042AD7DA" w14:textId="77777777" w:rsidR="00E34453" w:rsidRPr="005E1EA7" w:rsidRDefault="00E34453" w:rsidP="00E34453">
      <w:pPr>
        <w:autoSpaceDE w:val="0"/>
        <w:autoSpaceDN w:val="0"/>
        <w:adjustRightInd w:val="0"/>
        <w:ind w:firstLine="360"/>
        <w:jc w:val="both"/>
        <w:rPr>
          <w:rFonts w:ascii="Tahoma" w:eastAsia="EUAlbertina-Regular-Identity-H" w:hAnsi="Tahoma" w:cs="Tahoma"/>
          <w:sz w:val="20"/>
          <w:szCs w:val="20"/>
        </w:rPr>
      </w:pPr>
      <w:r w:rsidRPr="005E1EA7">
        <w:rPr>
          <w:rFonts w:ascii="Tahoma" w:eastAsia="EUAlbertina-Regular-Identity-H" w:hAnsi="Tahoma" w:cs="Tahoma"/>
          <w:sz w:val="20"/>
          <w:szCs w:val="20"/>
        </w:rPr>
        <w:t>d) l’hygiène du personnel,</w:t>
      </w:r>
    </w:p>
    <w:p w14:paraId="7AA78090" w14:textId="77777777" w:rsidR="00E34453" w:rsidRPr="005E1EA7" w:rsidRDefault="00E34453" w:rsidP="00E34453">
      <w:pPr>
        <w:autoSpaceDE w:val="0"/>
        <w:autoSpaceDN w:val="0"/>
        <w:adjustRightInd w:val="0"/>
        <w:ind w:firstLine="360"/>
        <w:jc w:val="both"/>
        <w:rPr>
          <w:rFonts w:ascii="Tahoma" w:eastAsia="EUAlbertina-Regular-Identity-H" w:hAnsi="Tahoma" w:cs="Tahoma"/>
          <w:sz w:val="20"/>
          <w:szCs w:val="20"/>
        </w:rPr>
      </w:pPr>
    </w:p>
    <w:p w14:paraId="06FC0143" w14:textId="77777777" w:rsidR="00E34453" w:rsidRPr="005E1EA7" w:rsidRDefault="00E34453" w:rsidP="00E34453">
      <w:pPr>
        <w:autoSpaceDE w:val="0"/>
        <w:autoSpaceDN w:val="0"/>
        <w:adjustRightInd w:val="0"/>
        <w:ind w:firstLine="360"/>
        <w:jc w:val="both"/>
        <w:rPr>
          <w:rFonts w:ascii="Tahoma" w:eastAsia="EUAlbertina-Regular-Identity-H" w:hAnsi="Tahoma" w:cs="Tahoma"/>
          <w:sz w:val="20"/>
          <w:szCs w:val="20"/>
        </w:rPr>
      </w:pPr>
      <w:r w:rsidRPr="005E1EA7">
        <w:rPr>
          <w:rFonts w:ascii="Tahoma" w:eastAsia="EUAlbertina-Regular-Identity-H" w:hAnsi="Tahoma" w:cs="Tahoma"/>
          <w:sz w:val="20"/>
          <w:szCs w:val="20"/>
        </w:rPr>
        <w:t>e) la formation en matière d’hygiène et de procédures de travail,</w:t>
      </w:r>
    </w:p>
    <w:p w14:paraId="0CC91EDD" w14:textId="77777777" w:rsidR="00E34453" w:rsidRPr="005E1EA7" w:rsidRDefault="00E34453" w:rsidP="00E34453">
      <w:pPr>
        <w:autoSpaceDE w:val="0"/>
        <w:autoSpaceDN w:val="0"/>
        <w:adjustRightInd w:val="0"/>
        <w:ind w:firstLine="360"/>
        <w:jc w:val="both"/>
        <w:rPr>
          <w:rFonts w:ascii="Tahoma" w:eastAsia="EUAlbertina-Regular-Identity-H" w:hAnsi="Tahoma" w:cs="Tahoma"/>
          <w:sz w:val="20"/>
          <w:szCs w:val="20"/>
        </w:rPr>
      </w:pPr>
    </w:p>
    <w:p w14:paraId="1AB1CE9E" w14:textId="77777777" w:rsidR="00E34453" w:rsidRPr="005E1EA7" w:rsidRDefault="00E34453" w:rsidP="00E34453">
      <w:pPr>
        <w:autoSpaceDE w:val="0"/>
        <w:autoSpaceDN w:val="0"/>
        <w:adjustRightInd w:val="0"/>
        <w:ind w:firstLine="360"/>
        <w:jc w:val="both"/>
        <w:rPr>
          <w:rFonts w:ascii="Tahoma" w:eastAsia="EUAlbertina-Regular-Identity-H" w:hAnsi="Tahoma" w:cs="Tahoma"/>
          <w:sz w:val="20"/>
          <w:szCs w:val="20"/>
        </w:rPr>
      </w:pPr>
      <w:r w:rsidRPr="005E1EA7">
        <w:rPr>
          <w:rFonts w:ascii="Tahoma" w:eastAsia="EUAlbertina-Regular-Identity-H" w:hAnsi="Tahoma" w:cs="Tahoma"/>
          <w:sz w:val="20"/>
          <w:szCs w:val="20"/>
        </w:rPr>
        <w:t>f) la lutte contre les nuisibles,</w:t>
      </w:r>
    </w:p>
    <w:p w14:paraId="32503E12" w14:textId="77777777" w:rsidR="00E34453" w:rsidRPr="005E1EA7" w:rsidRDefault="00E34453" w:rsidP="00E34453">
      <w:pPr>
        <w:autoSpaceDE w:val="0"/>
        <w:autoSpaceDN w:val="0"/>
        <w:adjustRightInd w:val="0"/>
        <w:ind w:firstLine="360"/>
        <w:jc w:val="both"/>
        <w:rPr>
          <w:rFonts w:ascii="Tahoma" w:eastAsia="EUAlbertina-Regular-Identity-H" w:hAnsi="Tahoma" w:cs="Tahoma"/>
          <w:sz w:val="20"/>
          <w:szCs w:val="20"/>
        </w:rPr>
      </w:pPr>
    </w:p>
    <w:p w14:paraId="4B69F4A2" w14:textId="77777777" w:rsidR="00E34453" w:rsidRPr="005E1EA7" w:rsidRDefault="00E34453" w:rsidP="00E34453">
      <w:pPr>
        <w:autoSpaceDE w:val="0"/>
        <w:autoSpaceDN w:val="0"/>
        <w:adjustRightInd w:val="0"/>
        <w:ind w:firstLine="360"/>
        <w:jc w:val="both"/>
        <w:rPr>
          <w:rFonts w:ascii="Tahoma" w:eastAsia="EUAlbertina-Regular-Identity-H" w:hAnsi="Tahoma" w:cs="Tahoma"/>
          <w:sz w:val="20"/>
          <w:szCs w:val="20"/>
        </w:rPr>
      </w:pPr>
      <w:r w:rsidRPr="005E1EA7">
        <w:rPr>
          <w:rFonts w:ascii="Tahoma" w:eastAsia="EUAlbertina-Regular-Identity-H" w:hAnsi="Tahoma" w:cs="Tahoma"/>
          <w:sz w:val="20"/>
          <w:szCs w:val="20"/>
        </w:rPr>
        <w:t>g) la qualité de l’eau,</w:t>
      </w:r>
    </w:p>
    <w:p w14:paraId="3ADAB841" w14:textId="77777777" w:rsidR="00E34453" w:rsidRPr="005E1EA7" w:rsidRDefault="00E34453" w:rsidP="00E34453">
      <w:pPr>
        <w:autoSpaceDE w:val="0"/>
        <w:autoSpaceDN w:val="0"/>
        <w:adjustRightInd w:val="0"/>
        <w:ind w:firstLine="360"/>
        <w:jc w:val="both"/>
        <w:rPr>
          <w:rFonts w:ascii="Tahoma" w:eastAsia="EUAlbertina-Regular-Identity-H" w:hAnsi="Tahoma" w:cs="Tahoma"/>
          <w:sz w:val="20"/>
          <w:szCs w:val="20"/>
        </w:rPr>
      </w:pPr>
    </w:p>
    <w:p w14:paraId="73DB6170" w14:textId="77777777" w:rsidR="00E34453" w:rsidRPr="005E1EA7" w:rsidRDefault="00E34453" w:rsidP="00E34453">
      <w:pPr>
        <w:autoSpaceDE w:val="0"/>
        <w:autoSpaceDN w:val="0"/>
        <w:adjustRightInd w:val="0"/>
        <w:ind w:firstLine="360"/>
        <w:jc w:val="both"/>
        <w:rPr>
          <w:rFonts w:ascii="Tahoma" w:eastAsia="EUAlbertina-Regular-Identity-H" w:hAnsi="Tahoma" w:cs="Tahoma"/>
          <w:sz w:val="20"/>
          <w:szCs w:val="20"/>
        </w:rPr>
      </w:pPr>
      <w:r w:rsidRPr="005E1EA7">
        <w:rPr>
          <w:rFonts w:ascii="Tahoma" w:eastAsia="EUAlbertina-Regular-Identity-H" w:hAnsi="Tahoma" w:cs="Tahoma"/>
          <w:sz w:val="20"/>
          <w:szCs w:val="20"/>
        </w:rPr>
        <w:t>h) le contrôle de la température,</w:t>
      </w:r>
    </w:p>
    <w:p w14:paraId="4235FEFF" w14:textId="77777777" w:rsidR="00E34453" w:rsidRPr="005E1EA7" w:rsidRDefault="00E34453" w:rsidP="00E34453">
      <w:pPr>
        <w:autoSpaceDE w:val="0"/>
        <w:autoSpaceDN w:val="0"/>
        <w:adjustRightInd w:val="0"/>
        <w:ind w:firstLine="360"/>
        <w:jc w:val="both"/>
        <w:rPr>
          <w:rFonts w:ascii="Tahoma" w:eastAsia="EUAlbertina-Regular-Identity-H" w:hAnsi="Tahoma" w:cs="Tahoma"/>
          <w:sz w:val="20"/>
          <w:szCs w:val="20"/>
        </w:rPr>
      </w:pPr>
    </w:p>
    <w:p w14:paraId="2C845979" w14:textId="77777777" w:rsidR="00E34453" w:rsidRPr="005E1EA7" w:rsidRDefault="00E34453" w:rsidP="00E34453">
      <w:pPr>
        <w:autoSpaceDE w:val="0"/>
        <w:autoSpaceDN w:val="0"/>
        <w:adjustRightInd w:val="0"/>
        <w:ind w:left="720" w:hanging="360"/>
        <w:jc w:val="both"/>
        <w:rPr>
          <w:rFonts w:ascii="Tahoma" w:eastAsia="EUAlbertina-Regular-Identity-H" w:hAnsi="Tahoma" w:cs="Tahoma"/>
          <w:sz w:val="20"/>
          <w:szCs w:val="20"/>
        </w:rPr>
      </w:pPr>
      <w:r w:rsidRPr="005E1EA7">
        <w:rPr>
          <w:rFonts w:ascii="Tahoma" w:eastAsia="EUAlbertina-Regular-Identity-H" w:hAnsi="Tahoma" w:cs="Tahoma"/>
          <w:sz w:val="20"/>
          <w:szCs w:val="20"/>
        </w:rPr>
        <w:t>i) les contrôles des produits de la pêche entrant et sortant de l’établissement et de tout document qui les accompagne.</w:t>
      </w:r>
    </w:p>
    <w:p w14:paraId="6C6952D1"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1F9B104B"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5. Les audits concernant les procédures fondées sur le système HACCP visent à vérifier que les exploitants du secteur des pêches appliquent ces procédures d’une manière permanente et correcte. Ils établissent notamment si les procédures garantissent, dans la mesure du possible, que les produits de la pêche :</w:t>
      </w:r>
    </w:p>
    <w:p w14:paraId="1ACCC42C"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3C8E84EE" w14:textId="77777777" w:rsidR="00E34453" w:rsidRPr="005E1EA7" w:rsidRDefault="00E34453" w:rsidP="00E34453">
      <w:pPr>
        <w:autoSpaceDE w:val="0"/>
        <w:autoSpaceDN w:val="0"/>
        <w:adjustRightInd w:val="0"/>
        <w:ind w:left="720" w:hanging="360"/>
        <w:jc w:val="both"/>
        <w:rPr>
          <w:rFonts w:ascii="Tahoma" w:eastAsia="EUAlbertina-Regular-Identity-H" w:hAnsi="Tahoma" w:cs="Tahoma"/>
          <w:sz w:val="20"/>
          <w:szCs w:val="20"/>
        </w:rPr>
      </w:pPr>
      <w:r w:rsidRPr="005E1EA7">
        <w:rPr>
          <w:rFonts w:ascii="Tahoma" w:eastAsia="EUAlbertina-Regular-Identity-H" w:hAnsi="Tahoma" w:cs="Tahoma"/>
          <w:sz w:val="20"/>
          <w:szCs w:val="20"/>
        </w:rPr>
        <w:t xml:space="preserve">a) sont conformes aux critères fixés par la réglementation en vigueur notamment </w:t>
      </w:r>
      <w:r w:rsidRPr="005E1EA7">
        <w:rPr>
          <w:rFonts w:ascii="Tahoma" w:hAnsi="Tahoma" w:cs="Tahoma"/>
          <w:sz w:val="20"/>
          <w:szCs w:val="20"/>
        </w:rPr>
        <w:t xml:space="preserve">microbiologiques, chimiques et biotoxines marines, ainsi qu'aux </w:t>
      </w:r>
      <w:r w:rsidRPr="005E1EA7">
        <w:rPr>
          <w:rFonts w:ascii="Tahoma" w:eastAsia="EUAlbertina-Regular-Identity-H" w:hAnsi="Tahoma" w:cs="Tahoma"/>
          <w:sz w:val="20"/>
          <w:szCs w:val="20"/>
        </w:rPr>
        <w:t>autres critères prévus dans la réglementation ;</w:t>
      </w:r>
    </w:p>
    <w:p w14:paraId="428E7A19" w14:textId="77777777" w:rsidR="00E34453" w:rsidRPr="005E1EA7" w:rsidRDefault="00E34453" w:rsidP="00E34453">
      <w:pPr>
        <w:autoSpaceDE w:val="0"/>
        <w:autoSpaceDN w:val="0"/>
        <w:adjustRightInd w:val="0"/>
        <w:ind w:left="720" w:hanging="360"/>
        <w:jc w:val="both"/>
        <w:rPr>
          <w:rFonts w:ascii="Tahoma" w:eastAsia="EUAlbertina-Regular-Identity-H" w:hAnsi="Tahoma" w:cs="Tahoma"/>
          <w:sz w:val="20"/>
          <w:szCs w:val="20"/>
        </w:rPr>
      </w:pPr>
    </w:p>
    <w:p w14:paraId="6EEEF08A" w14:textId="77777777" w:rsidR="00E34453" w:rsidRPr="005E1EA7" w:rsidRDefault="00E34453" w:rsidP="00E34453">
      <w:pPr>
        <w:ind w:left="360"/>
        <w:jc w:val="both"/>
        <w:rPr>
          <w:rFonts w:ascii="Tahoma" w:eastAsia="EUAlbertina-Regular-Identity-H" w:hAnsi="Tahoma" w:cs="Tahoma"/>
          <w:sz w:val="20"/>
          <w:szCs w:val="20"/>
        </w:rPr>
      </w:pPr>
      <w:r w:rsidRPr="005E1EA7">
        <w:rPr>
          <w:rFonts w:ascii="Tahoma" w:eastAsia="EUAlbertina-Regular-Identity-H" w:hAnsi="Tahoma" w:cs="Tahoma"/>
          <w:sz w:val="20"/>
          <w:szCs w:val="20"/>
        </w:rPr>
        <w:t xml:space="preserve">b) ne présentent pas de risques physiques tels que des corps étrangers. Lorsque, conformément à </w:t>
      </w:r>
      <w:r w:rsidRPr="005E1EA7">
        <w:rPr>
          <w:rFonts w:ascii="Tahoma" w:eastAsia="EUAlbertina-Regular-Identity-H" w:hAnsi="Tahoma" w:cs="Tahoma"/>
          <w:bCs/>
          <w:sz w:val="20"/>
          <w:szCs w:val="20"/>
        </w:rPr>
        <w:t xml:space="preserve">la réglementation </w:t>
      </w:r>
      <w:r w:rsidRPr="005E1EA7">
        <w:rPr>
          <w:rFonts w:ascii="Tahoma" w:hAnsi="Tahoma" w:cs="Tahoma"/>
          <w:bCs/>
          <w:sz w:val="20"/>
          <w:szCs w:val="20"/>
        </w:rPr>
        <w:t xml:space="preserve">relative </w:t>
      </w:r>
      <w:r w:rsidRPr="005E1EA7">
        <w:rPr>
          <w:rFonts w:ascii="Tahoma" w:eastAsia="EUAlbertina-Bold-Identity-H" w:hAnsi="Tahoma" w:cs="Tahoma"/>
          <w:bCs/>
          <w:sz w:val="20"/>
          <w:szCs w:val="20"/>
        </w:rPr>
        <w:t xml:space="preserve">aux règles d’hygiène applicables aux </w:t>
      </w:r>
      <w:r w:rsidRPr="005E1EA7">
        <w:rPr>
          <w:rFonts w:ascii="Tahoma" w:eastAsia="EUAlbertina-Regular-Identity-H" w:hAnsi="Tahoma" w:cs="Tahoma"/>
          <w:bCs/>
          <w:sz w:val="20"/>
          <w:szCs w:val="20"/>
        </w:rPr>
        <w:t>mollusques bivalves vivants</w:t>
      </w:r>
      <w:r w:rsidRPr="005E1EA7">
        <w:rPr>
          <w:rFonts w:ascii="Tahoma" w:eastAsia="EUAlbertina-Regular-Identity-H" w:hAnsi="Tahoma" w:cs="Tahoma"/>
          <w:sz w:val="20"/>
          <w:szCs w:val="20"/>
        </w:rPr>
        <w:t xml:space="preserve">, </w:t>
      </w:r>
      <w:r w:rsidRPr="005E1EA7">
        <w:rPr>
          <w:rFonts w:ascii="Tahoma" w:eastAsia="EUAlbertina-Regular-Identity-H" w:hAnsi="Tahoma" w:cs="Tahoma"/>
          <w:bCs/>
          <w:sz w:val="20"/>
          <w:szCs w:val="20"/>
        </w:rPr>
        <w:t xml:space="preserve">aux produits de la pêche et aux exploitants du secteur des </w:t>
      </w:r>
      <w:r w:rsidRPr="005E1EA7">
        <w:rPr>
          <w:rFonts w:ascii="Tahoma" w:eastAsia="EUAlbertina-Regular-Identity-H" w:hAnsi="Tahoma" w:cs="Tahoma"/>
          <w:sz w:val="20"/>
          <w:szCs w:val="20"/>
        </w:rPr>
        <w:t xml:space="preserve">produits la </w:t>
      </w:r>
      <w:r w:rsidRPr="005E1EA7">
        <w:rPr>
          <w:rFonts w:ascii="Tahoma" w:eastAsia="EUAlbertina-Regular-Identity-H" w:hAnsi="Tahoma" w:cs="Tahoma"/>
          <w:bCs/>
          <w:sz w:val="20"/>
          <w:szCs w:val="20"/>
        </w:rPr>
        <w:t>pêche</w:t>
      </w:r>
      <w:r w:rsidRPr="005E1EA7">
        <w:rPr>
          <w:rFonts w:ascii="Tahoma" w:eastAsia="EUAlbertina-Regular-Identity-H" w:hAnsi="Tahoma" w:cs="Tahoma"/>
          <w:sz w:val="20"/>
          <w:szCs w:val="20"/>
        </w:rPr>
        <w:t>, un exploitant du secteur des produits de la pêche recourt aux procédures indiquées dans les guides pour l’application des principes du système HACCP plutôt que d’établir ses propres procédures spécifiques, le contrôle doit servir à vérifier que ces guides sont utilisés correctement.</w:t>
      </w:r>
    </w:p>
    <w:p w14:paraId="5F8EC7B5"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0390420D"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6. La vérification du respect des exigences concernant l’application de marques d’identification, telles que définies dans la réglementation en vigueur, s’effectue dans tous les établissements agréés conformément à ladite réglementation, en plus du contrôle du respect d’autres exigences en matière de traçabilité.</w:t>
      </w:r>
    </w:p>
    <w:p w14:paraId="50429149"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24CC8FF0"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7. Lors de l’exécution des tâches d’audit, l’autorité compétente veille tout particulièrement à :</w:t>
      </w:r>
    </w:p>
    <w:p w14:paraId="56BAABAC"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5258DC3F" w14:textId="77777777" w:rsidR="00E34453" w:rsidRPr="005E1EA7" w:rsidRDefault="00E34453" w:rsidP="00E34453">
      <w:pPr>
        <w:autoSpaceDE w:val="0"/>
        <w:autoSpaceDN w:val="0"/>
        <w:adjustRightInd w:val="0"/>
        <w:ind w:left="720" w:hanging="360"/>
        <w:jc w:val="both"/>
        <w:rPr>
          <w:rFonts w:ascii="Tahoma" w:eastAsia="EUAlbertina-Regular-Identity-H" w:hAnsi="Tahoma" w:cs="Tahoma"/>
          <w:sz w:val="20"/>
          <w:szCs w:val="20"/>
        </w:rPr>
      </w:pPr>
      <w:r w:rsidRPr="005E1EA7">
        <w:rPr>
          <w:rFonts w:ascii="Tahoma" w:eastAsia="EUAlbertina-Regular-Identity-H" w:hAnsi="Tahoma" w:cs="Tahoma"/>
          <w:sz w:val="20"/>
          <w:szCs w:val="20"/>
        </w:rPr>
        <w:t xml:space="preserve">a) déterminer si le personnel et ses activités dans l’établissement, à tous les stades du processus de production, respectent les exigences pertinentes fixées par </w:t>
      </w:r>
      <w:r w:rsidRPr="005E1EA7">
        <w:rPr>
          <w:rFonts w:ascii="Tahoma" w:eastAsia="EUAlbertina-Regular-Identity-H" w:hAnsi="Tahoma" w:cs="Tahoma"/>
          <w:bCs/>
          <w:sz w:val="20"/>
          <w:szCs w:val="20"/>
        </w:rPr>
        <w:t xml:space="preserve">la réglementation </w:t>
      </w:r>
      <w:r w:rsidRPr="005E1EA7">
        <w:rPr>
          <w:rFonts w:ascii="Tahoma" w:hAnsi="Tahoma" w:cs="Tahoma"/>
          <w:bCs/>
          <w:sz w:val="20"/>
          <w:szCs w:val="20"/>
        </w:rPr>
        <w:t xml:space="preserve">relative </w:t>
      </w:r>
      <w:r w:rsidRPr="005E1EA7">
        <w:rPr>
          <w:rFonts w:ascii="Tahoma" w:eastAsia="EUAlbertina-Bold-Identity-H" w:hAnsi="Tahoma" w:cs="Tahoma"/>
          <w:bCs/>
          <w:sz w:val="20"/>
          <w:szCs w:val="20"/>
        </w:rPr>
        <w:t xml:space="preserve">aux règles d’hygiène applicables aux </w:t>
      </w:r>
      <w:r w:rsidRPr="005E1EA7">
        <w:rPr>
          <w:rFonts w:ascii="Tahoma" w:eastAsia="EUAlbertina-Regular-Identity-H" w:hAnsi="Tahoma" w:cs="Tahoma"/>
          <w:bCs/>
          <w:sz w:val="20"/>
          <w:szCs w:val="20"/>
        </w:rPr>
        <w:t>mollusques bivalves vivants</w:t>
      </w:r>
      <w:r w:rsidRPr="005E1EA7">
        <w:rPr>
          <w:rFonts w:ascii="Tahoma" w:eastAsia="EUAlbertina-Regular-Identity-H" w:hAnsi="Tahoma" w:cs="Tahoma"/>
          <w:sz w:val="20"/>
          <w:szCs w:val="20"/>
        </w:rPr>
        <w:t xml:space="preserve">, </w:t>
      </w:r>
      <w:r w:rsidRPr="005E1EA7">
        <w:rPr>
          <w:rFonts w:ascii="Tahoma" w:eastAsia="EUAlbertina-Regular-Identity-H" w:hAnsi="Tahoma" w:cs="Tahoma"/>
          <w:bCs/>
          <w:sz w:val="20"/>
          <w:szCs w:val="20"/>
        </w:rPr>
        <w:t>aux produits de la pêche et aux exploitants du secteur des produits de la pêche</w:t>
      </w:r>
      <w:r w:rsidRPr="005E1EA7">
        <w:rPr>
          <w:rFonts w:ascii="Tahoma" w:eastAsia="EUAlbertina-Regular-Identity-H" w:hAnsi="Tahoma" w:cs="Tahoma"/>
          <w:sz w:val="20"/>
          <w:szCs w:val="20"/>
        </w:rPr>
        <w:t>. Pour compléter son contrôle, l’autorité compétente peut effectuer des contrôles d’aptitude afin de s’assurer que les compétences du personnel satisfont à des paramètres spécifiés ;</w:t>
      </w:r>
    </w:p>
    <w:p w14:paraId="360632E8" w14:textId="77777777" w:rsidR="00E34453" w:rsidRPr="005E1EA7" w:rsidRDefault="00E34453" w:rsidP="00E34453">
      <w:pPr>
        <w:autoSpaceDE w:val="0"/>
        <w:autoSpaceDN w:val="0"/>
        <w:adjustRightInd w:val="0"/>
        <w:ind w:left="720" w:hanging="360"/>
        <w:jc w:val="both"/>
        <w:rPr>
          <w:rFonts w:ascii="Tahoma" w:eastAsia="EUAlbertina-Regular-Identity-H" w:hAnsi="Tahoma" w:cs="Tahoma"/>
          <w:sz w:val="20"/>
          <w:szCs w:val="20"/>
        </w:rPr>
      </w:pPr>
    </w:p>
    <w:p w14:paraId="26DBB5D7" w14:textId="77777777" w:rsidR="00E34453" w:rsidRPr="005E1EA7" w:rsidRDefault="00E34453" w:rsidP="00E34453">
      <w:pPr>
        <w:autoSpaceDE w:val="0"/>
        <w:autoSpaceDN w:val="0"/>
        <w:adjustRightInd w:val="0"/>
        <w:ind w:left="720" w:hanging="360"/>
        <w:jc w:val="both"/>
        <w:rPr>
          <w:rFonts w:ascii="Tahoma" w:eastAsia="EUAlbertina-Regular-Identity-H" w:hAnsi="Tahoma" w:cs="Tahoma"/>
          <w:sz w:val="20"/>
          <w:szCs w:val="20"/>
        </w:rPr>
      </w:pPr>
      <w:r w:rsidRPr="005E1EA7">
        <w:rPr>
          <w:rFonts w:ascii="Tahoma" w:eastAsia="EUAlbertina-Regular-Identity-H" w:hAnsi="Tahoma" w:cs="Tahoma"/>
          <w:sz w:val="20"/>
          <w:szCs w:val="20"/>
        </w:rPr>
        <w:t>b) vérifier tous les enregistrements pertinents des exploitants du secteur des produits de la pêche ;</w:t>
      </w:r>
    </w:p>
    <w:p w14:paraId="55DBBE7D" w14:textId="77777777" w:rsidR="00E34453" w:rsidRPr="005E1EA7" w:rsidRDefault="00E34453" w:rsidP="00E34453">
      <w:pPr>
        <w:autoSpaceDE w:val="0"/>
        <w:autoSpaceDN w:val="0"/>
        <w:adjustRightInd w:val="0"/>
        <w:ind w:left="720" w:hanging="360"/>
        <w:jc w:val="both"/>
        <w:rPr>
          <w:rFonts w:ascii="Tahoma" w:eastAsia="EUAlbertina-Regular-Identity-H" w:hAnsi="Tahoma" w:cs="Tahoma"/>
          <w:sz w:val="20"/>
          <w:szCs w:val="20"/>
        </w:rPr>
      </w:pPr>
    </w:p>
    <w:p w14:paraId="6A27A2E4" w14:textId="77777777" w:rsidR="00E34453" w:rsidRPr="005E1EA7" w:rsidRDefault="00E34453" w:rsidP="00E34453">
      <w:pPr>
        <w:autoSpaceDE w:val="0"/>
        <w:autoSpaceDN w:val="0"/>
        <w:adjustRightInd w:val="0"/>
        <w:ind w:left="720" w:hanging="360"/>
        <w:jc w:val="both"/>
        <w:rPr>
          <w:rFonts w:ascii="Tahoma" w:eastAsia="EUAlbertina-Regular-Identity-H" w:hAnsi="Tahoma" w:cs="Tahoma"/>
          <w:sz w:val="20"/>
          <w:szCs w:val="20"/>
        </w:rPr>
      </w:pPr>
      <w:r w:rsidRPr="005E1EA7">
        <w:rPr>
          <w:rFonts w:ascii="Tahoma" w:eastAsia="EUAlbertina-Regular-Identity-H" w:hAnsi="Tahoma" w:cs="Tahoma"/>
          <w:sz w:val="20"/>
          <w:szCs w:val="20"/>
        </w:rPr>
        <w:lastRenderedPageBreak/>
        <w:t>c) prélever des échantillons pour des analyses en laboratoire, lorsque cela est nécessaire,</w:t>
      </w:r>
    </w:p>
    <w:p w14:paraId="0DA0EABC" w14:textId="77777777" w:rsidR="00E34453" w:rsidRPr="005E1EA7" w:rsidRDefault="00E34453" w:rsidP="00E34453">
      <w:pPr>
        <w:autoSpaceDE w:val="0"/>
        <w:autoSpaceDN w:val="0"/>
        <w:adjustRightInd w:val="0"/>
        <w:ind w:left="720" w:hanging="360"/>
        <w:jc w:val="both"/>
        <w:rPr>
          <w:rFonts w:ascii="Tahoma" w:eastAsia="EUAlbertina-Regular-Identity-H" w:hAnsi="Tahoma" w:cs="Tahoma"/>
          <w:sz w:val="20"/>
          <w:szCs w:val="20"/>
        </w:rPr>
      </w:pPr>
    </w:p>
    <w:p w14:paraId="7159E2F8" w14:textId="77777777" w:rsidR="00E34453" w:rsidRPr="005E1EA7" w:rsidRDefault="00E34453" w:rsidP="00E34453">
      <w:pPr>
        <w:autoSpaceDE w:val="0"/>
        <w:autoSpaceDN w:val="0"/>
        <w:adjustRightInd w:val="0"/>
        <w:ind w:left="720" w:hanging="360"/>
        <w:jc w:val="both"/>
        <w:rPr>
          <w:rFonts w:ascii="Tahoma" w:eastAsia="EUAlbertina-Regular-Identity-H" w:hAnsi="Tahoma" w:cs="Tahoma"/>
          <w:sz w:val="20"/>
          <w:szCs w:val="20"/>
        </w:rPr>
      </w:pPr>
      <w:r w:rsidRPr="005E1EA7">
        <w:rPr>
          <w:rFonts w:ascii="Tahoma" w:eastAsia="EUAlbertina-Regular-Identity-H" w:hAnsi="Tahoma" w:cs="Tahoma"/>
          <w:sz w:val="20"/>
          <w:szCs w:val="20"/>
        </w:rPr>
        <w:t>d) justifier les éléments pris en compte et les résultats de l’audit.</w:t>
      </w:r>
    </w:p>
    <w:p w14:paraId="20653889"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66369D95"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8. La nature et l’intensité des tâches d’audit concernant chaque établissement sont fonction du risque estimé. A cette fin, l’autorité compétente évalue régulièrement :</w:t>
      </w:r>
    </w:p>
    <w:p w14:paraId="584857B6"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6A59C13F" w14:textId="77777777" w:rsidR="00E34453" w:rsidRPr="005E1EA7" w:rsidRDefault="00E34453" w:rsidP="00E34453">
      <w:pPr>
        <w:autoSpaceDE w:val="0"/>
        <w:autoSpaceDN w:val="0"/>
        <w:adjustRightInd w:val="0"/>
        <w:ind w:left="720" w:hanging="360"/>
        <w:jc w:val="both"/>
        <w:rPr>
          <w:rFonts w:ascii="Tahoma" w:eastAsia="EUAlbertina-Regular-Identity-H" w:hAnsi="Tahoma" w:cs="Tahoma"/>
          <w:sz w:val="20"/>
          <w:szCs w:val="20"/>
        </w:rPr>
      </w:pPr>
      <w:r w:rsidRPr="005E1EA7">
        <w:rPr>
          <w:rFonts w:ascii="Tahoma" w:eastAsia="EUAlbertina-Regular-Identity-H" w:hAnsi="Tahoma" w:cs="Tahoma"/>
          <w:sz w:val="20"/>
          <w:szCs w:val="20"/>
        </w:rPr>
        <w:t>a) les risques pour la santé publique ;</w:t>
      </w:r>
    </w:p>
    <w:p w14:paraId="10578FD1" w14:textId="77777777" w:rsidR="00E34453" w:rsidRPr="005E1EA7" w:rsidRDefault="00E34453" w:rsidP="00E34453">
      <w:pPr>
        <w:autoSpaceDE w:val="0"/>
        <w:autoSpaceDN w:val="0"/>
        <w:adjustRightInd w:val="0"/>
        <w:ind w:left="720" w:hanging="360"/>
        <w:jc w:val="both"/>
        <w:rPr>
          <w:rFonts w:ascii="Tahoma" w:eastAsia="EUAlbertina-Regular-Identity-H" w:hAnsi="Tahoma" w:cs="Tahoma"/>
          <w:sz w:val="20"/>
          <w:szCs w:val="20"/>
        </w:rPr>
      </w:pPr>
    </w:p>
    <w:p w14:paraId="0A34F70E" w14:textId="77777777" w:rsidR="00E34453" w:rsidRPr="005E1EA7" w:rsidRDefault="00E34453" w:rsidP="00E34453">
      <w:pPr>
        <w:autoSpaceDE w:val="0"/>
        <w:autoSpaceDN w:val="0"/>
        <w:adjustRightInd w:val="0"/>
        <w:ind w:left="720" w:hanging="360"/>
        <w:jc w:val="both"/>
        <w:rPr>
          <w:rFonts w:ascii="Tahoma" w:eastAsia="EUAlbertina-Regular-Identity-H" w:hAnsi="Tahoma" w:cs="Tahoma"/>
          <w:sz w:val="20"/>
          <w:szCs w:val="20"/>
        </w:rPr>
      </w:pPr>
      <w:r w:rsidRPr="005E1EA7">
        <w:rPr>
          <w:rFonts w:ascii="Tahoma" w:eastAsia="EUAlbertina-Regular-Identity-H" w:hAnsi="Tahoma" w:cs="Tahoma"/>
          <w:sz w:val="20"/>
          <w:szCs w:val="20"/>
        </w:rPr>
        <w:t>b) le type de traitement effectué et sa production ;</w:t>
      </w:r>
    </w:p>
    <w:p w14:paraId="2CF69B6B" w14:textId="77777777" w:rsidR="00E34453" w:rsidRPr="005E1EA7" w:rsidRDefault="00E34453" w:rsidP="00E34453">
      <w:pPr>
        <w:autoSpaceDE w:val="0"/>
        <w:autoSpaceDN w:val="0"/>
        <w:adjustRightInd w:val="0"/>
        <w:ind w:left="720" w:hanging="360"/>
        <w:jc w:val="both"/>
        <w:rPr>
          <w:rFonts w:ascii="Tahoma" w:eastAsia="EUAlbertina-Regular-Identity-H" w:hAnsi="Tahoma" w:cs="Tahoma"/>
          <w:sz w:val="20"/>
          <w:szCs w:val="20"/>
        </w:rPr>
      </w:pPr>
    </w:p>
    <w:p w14:paraId="0BB52EB7" w14:textId="77777777" w:rsidR="00E34453" w:rsidRPr="005E1EA7" w:rsidRDefault="00E34453" w:rsidP="00E34453">
      <w:pPr>
        <w:autoSpaceDE w:val="0"/>
        <w:autoSpaceDN w:val="0"/>
        <w:adjustRightInd w:val="0"/>
        <w:ind w:left="720" w:hanging="360"/>
        <w:jc w:val="both"/>
        <w:rPr>
          <w:rFonts w:ascii="Tahoma" w:eastAsia="EUAlbertina-Regular-Identity-H" w:hAnsi="Tahoma" w:cs="Tahoma"/>
          <w:sz w:val="20"/>
          <w:szCs w:val="20"/>
        </w:rPr>
      </w:pPr>
      <w:r w:rsidRPr="005E1EA7">
        <w:rPr>
          <w:rFonts w:ascii="Tahoma" w:eastAsia="EUAlbertina-Regular-Identity-H" w:hAnsi="Tahoma" w:cs="Tahoma"/>
          <w:sz w:val="20"/>
          <w:szCs w:val="20"/>
        </w:rPr>
        <w:t>c) les enregistrements antérieurs de l’exploitant du secteur des produits de la pêche en ce qui concerne le respect de la législation relative aux produits de la pêche.</w:t>
      </w:r>
    </w:p>
    <w:p w14:paraId="40CDE9F6"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36956726"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9. L’autorité compétente veille à ce que :</w:t>
      </w:r>
    </w:p>
    <w:p w14:paraId="1CA2DC0C"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2EE07786" w14:textId="77777777" w:rsidR="00E34453" w:rsidRPr="005E1EA7" w:rsidRDefault="00E34453" w:rsidP="00E34453">
      <w:pPr>
        <w:numPr>
          <w:ilvl w:val="0"/>
          <w:numId w:val="20"/>
        </w:numPr>
        <w:autoSpaceDE w:val="0"/>
        <w:autoSpaceDN w:val="0"/>
        <w:adjustRightInd w:val="0"/>
        <w:jc w:val="both"/>
        <w:rPr>
          <w:rFonts w:ascii="Tahoma" w:eastAsia="EUAlbertina-Regular-Identity-H" w:hAnsi="Tahoma" w:cs="Tahoma"/>
          <w:sz w:val="20"/>
          <w:szCs w:val="20"/>
        </w:rPr>
      </w:pPr>
      <w:proofErr w:type="gramStart"/>
      <w:r w:rsidRPr="005E1EA7">
        <w:rPr>
          <w:rFonts w:ascii="Tahoma" w:eastAsia="EUAlbertina-Regular-Identity-H" w:hAnsi="Tahoma" w:cs="Tahoma"/>
          <w:sz w:val="20"/>
          <w:szCs w:val="20"/>
        </w:rPr>
        <w:t>la</w:t>
      </w:r>
      <w:proofErr w:type="gramEnd"/>
      <w:r w:rsidRPr="005E1EA7">
        <w:rPr>
          <w:rFonts w:ascii="Tahoma" w:eastAsia="EUAlbertina-Regular-Identity-H" w:hAnsi="Tahoma" w:cs="Tahoma"/>
          <w:sz w:val="20"/>
          <w:szCs w:val="20"/>
        </w:rPr>
        <w:t xml:space="preserve"> production et la mise sur le marché de mollusques bivalves vivants soient soumises à des contrôles officiels tels que prévus à l’annexe II ;</w:t>
      </w:r>
    </w:p>
    <w:p w14:paraId="74562E3C" w14:textId="77777777" w:rsidR="00E34453" w:rsidRPr="005E1EA7" w:rsidRDefault="00E34453" w:rsidP="00E34453">
      <w:pPr>
        <w:numPr>
          <w:ilvl w:val="0"/>
          <w:numId w:val="20"/>
        </w:numPr>
        <w:autoSpaceDE w:val="0"/>
        <w:autoSpaceDN w:val="0"/>
        <w:adjustRightInd w:val="0"/>
        <w:jc w:val="both"/>
        <w:rPr>
          <w:rFonts w:ascii="Tahoma" w:eastAsia="EUAlbertina-Regular-Identity-H" w:hAnsi="Tahoma" w:cs="Tahoma"/>
          <w:sz w:val="20"/>
          <w:szCs w:val="20"/>
        </w:rPr>
      </w:pPr>
      <w:proofErr w:type="gramStart"/>
      <w:r w:rsidRPr="005E1EA7">
        <w:rPr>
          <w:rFonts w:ascii="Tahoma" w:eastAsia="EUAlbertina-Regular-Identity-H" w:hAnsi="Tahoma" w:cs="Tahoma"/>
          <w:sz w:val="20"/>
          <w:szCs w:val="20"/>
        </w:rPr>
        <w:t>l’Autorité</w:t>
      </w:r>
      <w:proofErr w:type="gramEnd"/>
      <w:r w:rsidRPr="005E1EA7">
        <w:rPr>
          <w:rFonts w:ascii="Tahoma" w:eastAsia="EUAlbertina-Regular-Identity-H" w:hAnsi="Tahoma" w:cs="Tahoma"/>
          <w:sz w:val="20"/>
          <w:szCs w:val="20"/>
        </w:rPr>
        <w:t xml:space="preserve"> compétente veille à ce que les contrôles officiels relatifs aux produits de la pêche s’effectuent conformément à l’annexe III.</w:t>
      </w:r>
    </w:p>
    <w:p w14:paraId="2938BCD8" w14:textId="77777777" w:rsidR="00E34453" w:rsidRPr="005E1EA7" w:rsidRDefault="00E34453" w:rsidP="00E34453">
      <w:pPr>
        <w:autoSpaceDE w:val="0"/>
        <w:autoSpaceDN w:val="0"/>
        <w:adjustRightInd w:val="0"/>
        <w:jc w:val="both"/>
        <w:rPr>
          <w:rFonts w:ascii="Tahoma" w:eastAsia="EUAlbertina-Italic-Identity-H" w:hAnsi="Tahoma" w:cs="Tahoma"/>
          <w:sz w:val="20"/>
          <w:szCs w:val="20"/>
        </w:rPr>
      </w:pPr>
    </w:p>
    <w:p w14:paraId="00B1667E" w14:textId="77777777" w:rsidR="00E34453" w:rsidRPr="005E1EA7" w:rsidRDefault="00E34453" w:rsidP="00E34453">
      <w:pPr>
        <w:autoSpaceDE w:val="0"/>
        <w:autoSpaceDN w:val="0"/>
        <w:adjustRightInd w:val="0"/>
        <w:jc w:val="both"/>
        <w:rPr>
          <w:rFonts w:ascii="Tahoma" w:eastAsia="EUAlbertina-Italic-Identity-H" w:hAnsi="Tahoma" w:cs="Tahoma"/>
          <w:sz w:val="20"/>
          <w:szCs w:val="20"/>
        </w:rPr>
      </w:pPr>
      <w:r w:rsidRPr="005E1EA7">
        <w:rPr>
          <w:rFonts w:ascii="Tahoma" w:eastAsia="EUAlbertina-Regular-Identity-H" w:hAnsi="Tahoma" w:cs="Tahoma"/>
          <w:sz w:val="20"/>
          <w:szCs w:val="20"/>
        </w:rPr>
        <w:t>Les annexes II et III, peuvent être modifiées ou complétées afin de tenir compte des progrès scientifiques et techniques et des nécessités réglementaires.</w:t>
      </w:r>
    </w:p>
    <w:p w14:paraId="30B58FD8" w14:textId="77777777" w:rsidR="00E34453" w:rsidRPr="005E1EA7" w:rsidRDefault="00E34453" w:rsidP="00E34453">
      <w:pPr>
        <w:autoSpaceDE w:val="0"/>
        <w:autoSpaceDN w:val="0"/>
        <w:adjustRightInd w:val="0"/>
        <w:jc w:val="both"/>
        <w:rPr>
          <w:rFonts w:ascii="Tahoma" w:eastAsia="EUAlbertina-Italic-Identity-H" w:hAnsi="Tahoma" w:cs="Tahoma"/>
          <w:sz w:val="20"/>
          <w:szCs w:val="20"/>
        </w:rPr>
      </w:pPr>
    </w:p>
    <w:p w14:paraId="405C216B" w14:textId="77777777" w:rsidR="00E34453" w:rsidRPr="005E1EA7" w:rsidRDefault="00E34453" w:rsidP="00E34453">
      <w:pPr>
        <w:autoSpaceDE w:val="0"/>
        <w:autoSpaceDN w:val="0"/>
        <w:adjustRightInd w:val="0"/>
        <w:jc w:val="center"/>
        <w:rPr>
          <w:rFonts w:ascii="Tahoma" w:hAnsi="Tahoma" w:cs="Tahoma"/>
          <w:b/>
          <w:sz w:val="20"/>
          <w:szCs w:val="20"/>
        </w:rPr>
      </w:pPr>
      <w:r w:rsidRPr="005E1EA7">
        <w:rPr>
          <w:rFonts w:ascii="Tahoma" w:hAnsi="Tahoma" w:cs="Tahoma"/>
          <w:b/>
          <w:sz w:val="20"/>
          <w:szCs w:val="20"/>
        </w:rPr>
        <w:t>CHAPITRE VII – CERTIFICATION OFFICIELLE</w:t>
      </w:r>
    </w:p>
    <w:p w14:paraId="297AE3F2" w14:textId="77777777" w:rsidR="00E34453" w:rsidRPr="005E1EA7" w:rsidRDefault="00E34453" w:rsidP="00E34453">
      <w:pPr>
        <w:autoSpaceDE w:val="0"/>
        <w:autoSpaceDN w:val="0"/>
        <w:adjustRightInd w:val="0"/>
        <w:rPr>
          <w:rFonts w:ascii="Tahoma" w:hAnsi="Tahoma" w:cs="Tahoma"/>
          <w:sz w:val="20"/>
          <w:szCs w:val="20"/>
        </w:rPr>
      </w:pPr>
    </w:p>
    <w:p w14:paraId="6A878384" w14:textId="77777777" w:rsidR="00E34453" w:rsidRPr="005E1EA7" w:rsidRDefault="00E34453" w:rsidP="00E34453">
      <w:pPr>
        <w:autoSpaceDE w:val="0"/>
        <w:autoSpaceDN w:val="0"/>
        <w:adjustRightInd w:val="0"/>
        <w:rPr>
          <w:rFonts w:ascii="Tahoma" w:hAnsi="Tahoma" w:cs="Tahoma"/>
          <w:sz w:val="20"/>
          <w:szCs w:val="20"/>
        </w:rPr>
      </w:pPr>
      <w:r w:rsidRPr="005E1EA7">
        <w:rPr>
          <w:rFonts w:ascii="Tahoma" w:hAnsi="Tahoma" w:cs="Tahoma"/>
          <w:b/>
          <w:sz w:val="20"/>
          <w:szCs w:val="20"/>
          <w:u w:val="single"/>
        </w:rPr>
        <w:t>Article 19</w:t>
      </w:r>
      <w:r w:rsidRPr="005E1EA7">
        <w:rPr>
          <w:rFonts w:ascii="Tahoma" w:hAnsi="Tahoma" w:cs="Tahoma"/>
          <w:bCs/>
          <w:sz w:val="20"/>
          <w:szCs w:val="20"/>
        </w:rPr>
        <w:t xml:space="preserve"> - Principes régissant la certification officielle relative à la salubrité</w:t>
      </w:r>
      <w:r w:rsidRPr="005E1EA7">
        <w:rPr>
          <w:rFonts w:ascii="Tahoma" w:hAnsi="Tahoma" w:cs="Tahoma"/>
          <w:sz w:val="20"/>
          <w:szCs w:val="20"/>
        </w:rPr>
        <w:t xml:space="preserve"> des produits de la pêche destinés à la consommation humaine</w:t>
      </w:r>
    </w:p>
    <w:p w14:paraId="6BCD5F87" w14:textId="77777777" w:rsidR="00E34453" w:rsidRPr="005E1EA7" w:rsidRDefault="00E34453" w:rsidP="00E34453">
      <w:pPr>
        <w:autoSpaceDE w:val="0"/>
        <w:autoSpaceDN w:val="0"/>
        <w:adjustRightInd w:val="0"/>
        <w:rPr>
          <w:rFonts w:ascii="Tahoma" w:hAnsi="Tahoma" w:cs="Tahoma"/>
          <w:sz w:val="20"/>
          <w:szCs w:val="20"/>
        </w:rPr>
      </w:pPr>
    </w:p>
    <w:p w14:paraId="40D6B28F" w14:textId="77777777" w:rsidR="00E34453" w:rsidRPr="005E1EA7" w:rsidRDefault="00E34453" w:rsidP="00E34453">
      <w:pPr>
        <w:rPr>
          <w:rFonts w:ascii="Tahoma" w:hAnsi="Tahoma" w:cs="Tahoma"/>
          <w:sz w:val="20"/>
          <w:szCs w:val="20"/>
        </w:rPr>
      </w:pPr>
      <w:r w:rsidRPr="005E1EA7">
        <w:rPr>
          <w:rFonts w:ascii="Tahoma" w:hAnsi="Tahoma" w:cs="Tahoma"/>
          <w:sz w:val="20"/>
          <w:szCs w:val="20"/>
        </w:rPr>
        <w:t xml:space="preserve">1. Les conditions de la certification sont précisées : </w:t>
      </w:r>
    </w:p>
    <w:p w14:paraId="078CDCD0" w14:textId="77777777" w:rsidR="00E34453" w:rsidRPr="005E1EA7" w:rsidRDefault="00E34453" w:rsidP="00E34453">
      <w:pPr>
        <w:rPr>
          <w:rFonts w:ascii="Tahoma" w:hAnsi="Tahoma" w:cs="Tahoma"/>
          <w:sz w:val="20"/>
          <w:szCs w:val="20"/>
        </w:rPr>
      </w:pPr>
    </w:p>
    <w:p w14:paraId="41FFC844" w14:textId="77777777" w:rsidR="00E34453" w:rsidRPr="005E1EA7" w:rsidRDefault="00E34453" w:rsidP="00E34453">
      <w:pPr>
        <w:autoSpaceDE w:val="0"/>
        <w:autoSpaceDN w:val="0"/>
        <w:adjustRightInd w:val="0"/>
        <w:ind w:left="720" w:hanging="360"/>
        <w:rPr>
          <w:rFonts w:ascii="Tahoma" w:eastAsia="EUAlbertina-Regular-Identity-H" w:hAnsi="Tahoma" w:cs="Tahoma"/>
          <w:sz w:val="20"/>
          <w:szCs w:val="20"/>
        </w:rPr>
      </w:pPr>
      <w:r w:rsidRPr="005E1EA7">
        <w:rPr>
          <w:rFonts w:ascii="Tahoma" w:eastAsia="EUAlbertina-Regular-Identity-H" w:hAnsi="Tahoma" w:cs="Tahoma"/>
          <w:sz w:val="20"/>
          <w:szCs w:val="20"/>
        </w:rPr>
        <w:t>a) circonstances dans lesquelles une certification officielle est requise ;</w:t>
      </w:r>
    </w:p>
    <w:p w14:paraId="0CB2B518" w14:textId="77777777" w:rsidR="00E34453" w:rsidRPr="005E1EA7" w:rsidRDefault="00E34453" w:rsidP="00E34453">
      <w:pPr>
        <w:autoSpaceDE w:val="0"/>
        <w:autoSpaceDN w:val="0"/>
        <w:adjustRightInd w:val="0"/>
        <w:ind w:left="720" w:hanging="360"/>
        <w:rPr>
          <w:rFonts w:ascii="Tahoma" w:eastAsia="EUAlbertina-Regular-Identity-H" w:hAnsi="Tahoma" w:cs="Tahoma"/>
          <w:sz w:val="20"/>
          <w:szCs w:val="20"/>
        </w:rPr>
      </w:pPr>
    </w:p>
    <w:p w14:paraId="3EDA0BC5" w14:textId="77777777" w:rsidR="00E34453" w:rsidRPr="005E1EA7" w:rsidRDefault="00E34453" w:rsidP="00E34453">
      <w:pPr>
        <w:autoSpaceDE w:val="0"/>
        <w:autoSpaceDN w:val="0"/>
        <w:adjustRightInd w:val="0"/>
        <w:ind w:left="720" w:hanging="360"/>
        <w:rPr>
          <w:rFonts w:ascii="Tahoma" w:eastAsia="EUAlbertina-Regular-Identity-H" w:hAnsi="Tahoma" w:cs="Tahoma"/>
          <w:sz w:val="20"/>
          <w:szCs w:val="20"/>
        </w:rPr>
      </w:pPr>
      <w:r w:rsidRPr="005E1EA7">
        <w:rPr>
          <w:rFonts w:ascii="Tahoma" w:eastAsia="EUAlbertina-Regular-Identity-H" w:hAnsi="Tahoma" w:cs="Tahoma"/>
          <w:sz w:val="20"/>
          <w:szCs w:val="20"/>
        </w:rPr>
        <w:t>b) le modèle de certificat sanitaire ;</w:t>
      </w:r>
    </w:p>
    <w:p w14:paraId="4E026B4B" w14:textId="77777777" w:rsidR="00E34453" w:rsidRPr="005E1EA7" w:rsidRDefault="00E34453" w:rsidP="00E34453">
      <w:pPr>
        <w:autoSpaceDE w:val="0"/>
        <w:autoSpaceDN w:val="0"/>
        <w:adjustRightInd w:val="0"/>
        <w:ind w:left="720" w:hanging="360"/>
        <w:rPr>
          <w:rFonts w:ascii="Tahoma" w:eastAsia="EUAlbertina-Regular-Identity-H" w:hAnsi="Tahoma" w:cs="Tahoma"/>
          <w:sz w:val="20"/>
          <w:szCs w:val="20"/>
        </w:rPr>
      </w:pPr>
    </w:p>
    <w:p w14:paraId="4DDAF735" w14:textId="77777777" w:rsidR="00E34453" w:rsidRPr="005E1EA7" w:rsidRDefault="00E34453" w:rsidP="00E34453">
      <w:pPr>
        <w:autoSpaceDE w:val="0"/>
        <w:autoSpaceDN w:val="0"/>
        <w:adjustRightInd w:val="0"/>
        <w:ind w:left="720" w:hanging="360"/>
        <w:rPr>
          <w:rFonts w:ascii="Tahoma" w:eastAsia="EUAlbertina-Regular-Identity-H" w:hAnsi="Tahoma" w:cs="Tahoma"/>
          <w:sz w:val="20"/>
          <w:szCs w:val="20"/>
        </w:rPr>
      </w:pPr>
      <w:r w:rsidRPr="005E1EA7">
        <w:rPr>
          <w:rFonts w:ascii="Tahoma" w:eastAsia="EUAlbertina-Regular-Identity-H" w:hAnsi="Tahoma" w:cs="Tahoma"/>
          <w:sz w:val="20"/>
          <w:szCs w:val="20"/>
        </w:rPr>
        <w:t>c) les qualifications du personnel responsable de la certification ;</w:t>
      </w:r>
    </w:p>
    <w:p w14:paraId="644A99B9" w14:textId="77777777" w:rsidR="00E34453" w:rsidRPr="005E1EA7" w:rsidRDefault="00E34453" w:rsidP="00E34453">
      <w:pPr>
        <w:autoSpaceDE w:val="0"/>
        <w:autoSpaceDN w:val="0"/>
        <w:adjustRightInd w:val="0"/>
        <w:ind w:left="720" w:hanging="360"/>
        <w:rPr>
          <w:rFonts w:ascii="Tahoma" w:eastAsia="EUAlbertina-Regular-Identity-H" w:hAnsi="Tahoma" w:cs="Tahoma"/>
          <w:sz w:val="20"/>
          <w:szCs w:val="20"/>
        </w:rPr>
      </w:pPr>
    </w:p>
    <w:p w14:paraId="1CF83682" w14:textId="77777777" w:rsidR="00E34453" w:rsidRPr="005E1EA7" w:rsidRDefault="00E34453" w:rsidP="00E34453">
      <w:pPr>
        <w:autoSpaceDE w:val="0"/>
        <w:autoSpaceDN w:val="0"/>
        <w:adjustRightInd w:val="0"/>
        <w:ind w:left="720" w:hanging="360"/>
        <w:rPr>
          <w:rFonts w:ascii="Tahoma" w:eastAsia="EUAlbertina-Regular-Identity-H" w:hAnsi="Tahoma" w:cs="Tahoma"/>
          <w:sz w:val="20"/>
          <w:szCs w:val="20"/>
        </w:rPr>
      </w:pPr>
      <w:r w:rsidRPr="005E1EA7">
        <w:rPr>
          <w:rFonts w:ascii="Tahoma" w:eastAsia="EUAlbertina-Regular-Identity-H" w:hAnsi="Tahoma" w:cs="Tahoma"/>
          <w:sz w:val="20"/>
          <w:szCs w:val="20"/>
        </w:rPr>
        <w:t>d) les principes à respecter pour garantir une certification fiable, y compris la certification électronique ;</w:t>
      </w:r>
    </w:p>
    <w:p w14:paraId="794FED11" w14:textId="77777777" w:rsidR="00E34453" w:rsidRPr="005E1EA7" w:rsidRDefault="00E34453" w:rsidP="00E34453">
      <w:pPr>
        <w:autoSpaceDE w:val="0"/>
        <w:autoSpaceDN w:val="0"/>
        <w:adjustRightInd w:val="0"/>
        <w:ind w:left="720" w:hanging="360"/>
        <w:rPr>
          <w:rFonts w:ascii="Tahoma" w:eastAsia="EUAlbertina-Regular-Identity-H" w:hAnsi="Tahoma" w:cs="Tahoma"/>
          <w:sz w:val="20"/>
          <w:szCs w:val="20"/>
        </w:rPr>
      </w:pPr>
    </w:p>
    <w:p w14:paraId="0A46AF33" w14:textId="77777777" w:rsidR="00E34453" w:rsidRPr="005E1EA7" w:rsidRDefault="00E34453" w:rsidP="00E34453">
      <w:pPr>
        <w:autoSpaceDE w:val="0"/>
        <w:autoSpaceDN w:val="0"/>
        <w:adjustRightInd w:val="0"/>
        <w:ind w:left="720" w:hanging="360"/>
        <w:rPr>
          <w:rFonts w:ascii="Tahoma" w:eastAsia="EUAlbertina-Regular-Identity-H" w:hAnsi="Tahoma" w:cs="Tahoma"/>
          <w:sz w:val="20"/>
          <w:szCs w:val="20"/>
        </w:rPr>
      </w:pPr>
      <w:r w:rsidRPr="005E1EA7">
        <w:rPr>
          <w:rFonts w:ascii="Tahoma" w:eastAsia="EUAlbertina-Regular-Identity-H" w:hAnsi="Tahoma" w:cs="Tahoma"/>
          <w:sz w:val="20"/>
          <w:szCs w:val="20"/>
        </w:rPr>
        <w:t>e) les procédures à suivre en cas de retrait de certificats sanitaires et pour les certificats de remplacement ;</w:t>
      </w:r>
    </w:p>
    <w:p w14:paraId="54BBDAF8" w14:textId="77777777" w:rsidR="00E34453" w:rsidRPr="005E1EA7" w:rsidRDefault="00E34453" w:rsidP="00E34453">
      <w:pPr>
        <w:autoSpaceDE w:val="0"/>
        <w:autoSpaceDN w:val="0"/>
        <w:adjustRightInd w:val="0"/>
        <w:ind w:left="720" w:hanging="360"/>
        <w:rPr>
          <w:rFonts w:ascii="Tahoma" w:eastAsia="EUAlbertina-Regular-Identity-H" w:hAnsi="Tahoma" w:cs="Tahoma"/>
          <w:sz w:val="20"/>
          <w:szCs w:val="20"/>
        </w:rPr>
      </w:pPr>
    </w:p>
    <w:p w14:paraId="45CC32B6" w14:textId="77777777" w:rsidR="00E34453" w:rsidRPr="005E1EA7" w:rsidRDefault="00E34453" w:rsidP="00E34453">
      <w:pPr>
        <w:autoSpaceDE w:val="0"/>
        <w:autoSpaceDN w:val="0"/>
        <w:adjustRightInd w:val="0"/>
        <w:ind w:left="720" w:hanging="360"/>
        <w:rPr>
          <w:rFonts w:ascii="Tahoma" w:eastAsia="EUAlbertina-Regular-Identity-H" w:hAnsi="Tahoma" w:cs="Tahoma"/>
          <w:sz w:val="20"/>
          <w:szCs w:val="20"/>
        </w:rPr>
      </w:pPr>
      <w:r w:rsidRPr="005E1EA7">
        <w:rPr>
          <w:rFonts w:ascii="Tahoma" w:eastAsia="EUAlbertina-Regular-Identity-H" w:hAnsi="Tahoma" w:cs="Tahoma"/>
          <w:sz w:val="20"/>
          <w:szCs w:val="20"/>
        </w:rPr>
        <w:t>f) les documents qui doivent suivre les marchandises après l’accomplissement des contrôles officiels.</w:t>
      </w:r>
    </w:p>
    <w:p w14:paraId="45C2490F" w14:textId="77777777" w:rsidR="00E34453" w:rsidRPr="005E1EA7" w:rsidRDefault="00E34453" w:rsidP="00E34453">
      <w:pPr>
        <w:rPr>
          <w:rFonts w:ascii="Tahoma" w:hAnsi="Tahoma" w:cs="Tahoma"/>
          <w:sz w:val="20"/>
          <w:szCs w:val="20"/>
        </w:rPr>
      </w:pPr>
    </w:p>
    <w:p w14:paraId="49798F3A" w14:textId="77777777" w:rsidR="00E34453" w:rsidRPr="005E1EA7" w:rsidRDefault="00E34453" w:rsidP="00E34453">
      <w:pPr>
        <w:autoSpaceDE w:val="0"/>
        <w:autoSpaceDN w:val="0"/>
        <w:adjustRightInd w:val="0"/>
        <w:rPr>
          <w:rFonts w:ascii="Tahoma" w:eastAsia="EUAlbertina-Regular-Identity-H" w:hAnsi="Tahoma" w:cs="Tahoma"/>
          <w:sz w:val="20"/>
          <w:szCs w:val="20"/>
        </w:rPr>
      </w:pPr>
      <w:r w:rsidRPr="005E1EA7">
        <w:rPr>
          <w:rFonts w:ascii="Tahoma" w:hAnsi="Tahoma" w:cs="Tahoma"/>
          <w:sz w:val="20"/>
          <w:szCs w:val="20"/>
        </w:rPr>
        <w:t xml:space="preserve">2. </w:t>
      </w:r>
      <w:r w:rsidRPr="005E1EA7">
        <w:rPr>
          <w:rFonts w:ascii="Tahoma" w:eastAsia="EUAlbertina-Regular-Identity-H" w:hAnsi="Tahoma" w:cs="Tahoma"/>
          <w:sz w:val="20"/>
          <w:szCs w:val="20"/>
        </w:rPr>
        <w:t>Lorsqu’une certification officielle est exigée, il y a lieu de veiller à ce que les certificats :</w:t>
      </w:r>
    </w:p>
    <w:p w14:paraId="5778888C" w14:textId="77777777" w:rsidR="00E34453" w:rsidRPr="005E1EA7" w:rsidRDefault="00E34453" w:rsidP="00E34453">
      <w:pPr>
        <w:autoSpaceDE w:val="0"/>
        <w:autoSpaceDN w:val="0"/>
        <w:adjustRightInd w:val="0"/>
        <w:rPr>
          <w:rFonts w:ascii="Tahoma" w:eastAsia="EUAlbertina-Regular-Identity-H" w:hAnsi="Tahoma" w:cs="Tahoma"/>
          <w:sz w:val="20"/>
          <w:szCs w:val="20"/>
        </w:rPr>
      </w:pPr>
    </w:p>
    <w:p w14:paraId="461B52F4" w14:textId="77777777" w:rsidR="00E34453" w:rsidRPr="005E1EA7" w:rsidRDefault="00E34453" w:rsidP="00E34453">
      <w:pPr>
        <w:numPr>
          <w:ilvl w:val="0"/>
          <w:numId w:val="160"/>
        </w:numPr>
        <w:autoSpaceDE w:val="0"/>
        <w:autoSpaceDN w:val="0"/>
        <w:adjustRightInd w:val="0"/>
        <w:rPr>
          <w:rFonts w:ascii="Tahoma" w:eastAsia="EUAlbertina-Regular-Identity-H" w:hAnsi="Tahoma" w:cs="Tahoma"/>
          <w:sz w:val="20"/>
          <w:szCs w:val="20"/>
        </w:rPr>
      </w:pPr>
      <w:proofErr w:type="gramStart"/>
      <w:r w:rsidRPr="005E1EA7">
        <w:rPr>
          <w:rFonts w:ascii="Tahoma" w:eastAsia="EUAlbertina-Regular-Identity-H" w:hAnsi="Tahoma" w:cs="Tahoma"/>
          <w:sz w:val="20"/>
          <w:szCs w:val="20"/>
        </w:rPr>
        <w:t>portent</w:t>
      </w:r>
      <w:proofErr w:type="gramEnd"/>
      <w:r w:rsidRPr="005E1EA7">
        <w:rPr>
          <w:rFonts w:ascii="Tahoma" w:eastAsia="EUAlbertina-Regular-Identity-H" w:hAnsi="Tahoma" w:cs="Tahoma"/>
          <w:sz w:val="20"/>
          <w:szCs w:val="20"/>
        </w:rPr>
        <w:t xml:space="preserve"> un code unique</w:t>
      </w:r>
      <w:r w:rsidRPr="005E1EA7" w:rsidDel="00B875DB">
        <w:rPr>
          <w:rFonts w:ascii="Tahoma" w:eastAsia="EUAlbertina-Regular-Identity-H" w:hAnsi="Tahoma" w:cs="Tahoma"/>
          <w:sz w:val="20"/>
          <w:szCs w:val="20"/>
        </w:rPr>
        <w:t xml:space="preserve"> </w:t>
      </w:r>
    </w:p>
    <w:p w14:paraId="214A2A4B" w14:textId="77777777" w:rsidR="00E34453" w:rsidRPr="005E1EA7" w:rsidRDefault="00E34453" w:rsidP="00E34453">
      <w:pPr>
        <w:numPr>
          <w:ilvl w:val="0"/>
          <w:numId w:val="160"/>
        </w:numPr>
        <w:autoSpaceDE w:val="0"/>
        <w:autoSpaceDN w:val="0"/>
        <w:adjustRightInd w:val="0"/>
        <w:rPr>
          <w:rFonts w:ascii="Tahoma" w:eastAsia="EUAlbertina-Regular-Identity-H" w:hAnsi="Tahoma" w:cs="Tahoma"/>
          <w:sz w:val="20"/>
          <w:szCs w:val="20"/>
        </w:rPr>
      </w:pPr>
      <w:proofErr w:type="gramStart"/>
      <w:r w:rsidRPr="005E1EA7">
        <w:rPr>
          <w:rFonts w:ascii="Tahoma" w:eastAsia="EUAlbertina-Regular-Identity-H" w:hAnsi="Tahoma" w:cs="Tahoma"/>
          <w:sz w:val="20"/>
          <w:szCs w:val="20"/>
        </w:rPr>
        <w:t>ne</w:t>
      </w:r>
      <w:proofErr w:type="gramEnd"/>
      <w:r w:rsidRPr="005E1EA7">
        <w:rPr>
          <w:rFonts w:ascii="Tahoma" w:eastAsia="EUAlbertina-Regular-Identity-H" w:hAnsi="Tahoma" w:cs="Tahoma"/>
          <w:sz w:val="20"/>
          <w:szCs w:val="20"/>
        </w:rPr>
        <w:t xml:space="preserve"> sont pas signés par le certificateur s’ils sont vierges ou incomplets</w:t>
      </w:r>
      <w:r w:rsidRPr="005E1EA7" w:rsidDel="00B875DB">
        <w:rPr>
          <w:rFonts w:ascii="Tahoma" w:eastAsia="EUAlbertina-Regular-Identity-H" w:hAnsi="Tahoma" w:cs="Tahoma"/>
          <w:sz w:val="20"/>
          <w:szCs w:val="20"/>
        </w:rPr>
        <w:t xml:space="preserve"> </w:t>
      </w:r>
    </w:p>
    <w:p w14:paraId="354535F2" w14:textId="77777777" w:rsidR="00E34453" w:rsidRPr="005E1EA7" w:rsidRDefault="00E34453" w:rsidP="00E34453">
      <w:pPr>
        <w:numPr>
          <w:ilvl w:val="0"/>
          <w:numId w:val="160"/>
        </w:numPr>
        <w:autoSpaceDE w:val="0"/>
        <w:autoSpaceDN w:val="0"/>
        <w:adjustRightInd w:val="0"/>
        <w:rPr>
          <w:rFonts w:ascii="Tahoma" w:eastAsia="EUAlbertina-Regular-Identity-H" w:hAnsi="Tahoma" w:cs="Tahoma"/>
          <w:sz w:val="20"/>
          <w:szCs w:val="20"/>
        </w:rPr>
      </w:pPr>
      <w:proofErr w:type="gramStart"/>
      <w:r w:rsidRPr="005E1EA7">
        <w:rPr>
          <w:rFonts w:ascii="Tahoma" w:eastAsia="EUAlbertina-Regular-Identity-H" w:hAnsi="Tahoma" w:cs="Tahoma"/>
          <w:sz w:val="20"/>
          <w:szCs w:val="20"/>
        </w:rPr>
        <w:t>soient</w:t>
      </w:r>
      <w:proofErr w:type="gramEnd"/>
      <w:r w:rsidRPr="005E1EA7">
        <w:rPr>
          <w:rFonts w:ascii="Tahoma" w:eastAsia="EUAlbertina-Regular-Identity-H" w:hAnsi="Tahoma" w:cs="Tahoma"/>
          <w:sz w:val="20"/>
          <w:szCs w:val="20"/>
        </w:rPr>
        <w:t xml:space="preserve"> liés au lot</w:t>
      </w:r>
    </w:p>
    <w:p w14:paraId="3B334F52" w14:textId="77777777" w:rsidR="00E34453" w:rsidRPr="005E1EA7" w:rsidRDefault="00E34453" w:rsidP="00E34453">
      <w:pPr>
        <w:numPr>
          <w:ilvl w:val="0"/>
          <w:numId w:val="160"/>
        </w:numPr>
        <w:autoSpaceDE w:val="0"/>
        <w:autoSpaceDN w:val="0"/>
        <w:adjustRightInd w:val="0"/>
        <w:rPr>
          <w:rFonts w:ascii="Tahoma" w:eastAsia="EUAlbertina-Regular-Identity-H" w:hAnsi="Tahoma" w:cs="Tahoma"/>
          <w:sz w:val="20"/>
          <w:szCs w:val="20"/>
        </w:rPr>
      </w:pPr>
      <w:proofErr w:type="gramStart"/>
      <w:r w:rsidRPr="005E1EA7">
        <w:rPr>
          <w:rFonts w:ascii="Tahoma" w:eastAsia="EUAlbertina-Regular-Identity-H" w:hAnsi="Tahoma" w:cs="Tahoma"/>
          <w:sz w:val="20"/>
          <w:szCs w:val="20"/>
        </w:rPr>
        <w:t>permettent</w:t>
      </w:r>
      <w:proofErr w:type="gramEnd"/>
      <w:r w:rsidRPr="005E1EA7">
        <w:rPr>
          <w:rFonts w:ascii="Tahoma" w:eastAsia="EUAlbertina-Regular-Identity-H" w:hAnsi="Tahoma" w:cs="Tahoma"/>
          <w:sz w:val="20"/>
          <w:szCs w:val="20"/>
        </w:rPr>
        <w:t xml:space="preserve"> l’identification du signataire et de la date de délivrance;</w:t>
      </w:r>
    </w:p>
    <w:p w14:paraId="3A76BE6D" w14:textId="77777777" w:rsidR="00E34453" w:rsidRPr="005E1EA7" w:rsidRDefault="00E34453" w:rsidP="00E34453">
      <w:pPr>
        <w:numPr>
          <w:ilvl w:val="0"/>
          <w:numId w:val="160"/>
        </w:numPr>
        <w:autoSpaceDE w:val="0"/>
        <w:autoSpaceDN w:val="0"/>
        <w:adjustRightInd w:val="0"/>
        <w:rPr>
          <w:rFonts w:ascii="Tahoma" w:eastAsia="EUAlbertina-Regular-Identity-H" w:hAnsi="Tahoma" w:cs="Tahoma"/>
          <w:sz w:val="20"/>
          <w:szCs w:val="20"/>
        </w:rPr>
      </w:pPr>
      <w:proofErr w:type="gramStart"/>
      <w:r w:rsidRPr="005E1EA7">
        <w:rPr>
          <w:rFonts w:ascii="Tahoma" w:eastAsia="EUAlbertina-Regular-Identity-H" w:hAnsi="Tahoma" w:cs="Tahoma"/>
          <w:sz w:val="20"/>
          <w:szCs w:val="20"/>
        </w:rPr>
        <w:t>garantissent</w:t>
      </w:r>
      <w:proofErr w:type="gramEnd"/>
      <w:r w:rsidRPr="005E1EA7">
        <w:rPr>
          <w:rFonts w:ascii="Tahoma" w:eastAsia="EUAlbertina-Regular-Identity-H" w:hAnsi="Tahoma" w:cs="Tahoma"/>
          <w:sz w:val="20"/>
          <w:szCs w:val="20"/>
        </w:rPr>
        <w:t xml:space="preserve"> la précision et l’authenticité des informations ;</w:t>
      </w:r>
    </w:p>
    <w:p w14:paraId="787439EE" w14:textId="77777777" w:rsidR="00E34453" w:rsidRPr="005E1EA7" w:rsidRDefault="00E34453" w:rsidP="00E34453">
      <w:pPr>
        <w:autoSpaceDE w:val="0"/>
        <w:autoSpaceDN w:val="0"/>
        <w:adjustRightInd w:val="0"/>
        <w:rPr>
          <w:rFonts w:ascii="Tahoma" w:eastAsia="EUAlbertina-Regular-Identity-H" w:hAnsi="Tahoma" w:cs="Tahoma"/>
          <w:sz w:val="20"/>
          <w:szCs w:val="20"/>
        </w:rPr>
      </w:pPr>
    </w:p>
    <w:p w14:paraId="1DDF539A" w14:textId="77777777" w:rsidR="00E34453" w:rsidRPr="005E1EA7" w:rsidRDefault="00E34453" w:rsidP="00E34453">
      <w:pPr>
        <w:tabs>
          <w:tab w:val="left" w:pos="0"/>
          <w:tab w:val="left" w:pos="426"/>
          <w:tab w:val="left" w:pos="567"/>
        </w:tabs>
        <w:autoSpaceDE w:val="0"/>
        <w:autoSpaceDN w:val="0"/>
        <w:adjustRightInd w:val="0"/>
        <w:rPr>
          <w:rFonts w:ascii="Tahoma" w:eastAsia="EUAlbertina-Regular-Identity-H" w:hAnsi="Tahoma" w:cs="Tahoma"/>
          <w:sz w:val="20"/>
          <w:szCs w:val="20"/>
        </w:rPr>
      </w:pPr>
      <w:r w:rsidRPr="005E1EA7">
        <w:rPr>
          <w:rFonts w:ascii="Tahoma" w:eastAsia="EUAlbertina-Regular-Identity-H" w:hAnsi="Tahoma" w:cs="Tahoma"/>
          <w:sz w:val="20"/>
          <w:szCs w:val="20"/>
        </w:rPr>
        <w:lastRenderedPageBreak/>
        <w:t>3. Les autorités compétentes prennent toutes les mesures appropriées pour prévenir la délivrance de certificats officiels faux ou trompeurs ou l’utilisation abusive de certificats officiels</w:t>
      </w:r>
    </w:p>
    <w:p w14:paraId="1B970341" w14:textId="77777777" w:rsidR="00E34453" w:rsidRPr="005E1EA7" w:rsidRDefault="00E34453" w:rsidP="00E34453">
      <w:pPr>
        <w:autoSpaceDE w:val="0"/>
        <w:autoSpaceDN w:val="0"/>
        <w:adjustRightInd w:val="0"/>
        <w:jc w:val="center"/>
        <w:rPr>
          <w:rFonts w:ascii="Tahoma" w:hAnsi="Tahoma" w:cs="Tahoma"/>
          <w:sz w:val="20"/>
          <w:szCs w:val="20"/>
        </w:rPr>
      </w:pPr>
    </w:p>
    <w:p w14:paraId="0B6492F5" w14:textId="77777777" w:rsidR="00E34453" w:rsidRPr="005E1EA7" w:rsidRDefault="00E34453" w:rsidP="00E34453">
      <w:pPr>
        <w:autoSpaceDE w:val="0"/>
        <w:autoSpaceDN w:val="0"/>
        <w:adjustRightInd w:val="0"/>
        <w:jc w:val="center"/>
        <w:rPr>
          <w:rFonts w:ascii="Tahoma" w:hAnsi="Tahoma" w:cs="Tahoma"/>
          <w:b/>
          <w:bCs/>
          <w:sz w:val="20"/>
          <w:szCs w:val="20"/>
        </w:rPr>
      </w:pPr>
      <w:r w:rsidRPr="005E1EA7">
        <w:rPr>
          <w:rFonts w:ascii="Tahoma" w:hAnsi="Tahoma" w:cs="Tahoma"/>
          <w:b/>
          <w:bCs/>
          <w:sz w:val="20"/>
          <w:szCs w:val="20"/>
        </w:rPr>
        <w:t>TITRE III - PLAN DE CONTROLE ANNUEL</w:t>
      </w:r>
    </w:p>
    <w:p w14:paraId="2C667947" w14:textId="77777777" w:rsidR="00E34453" w:rsidRPr="005E1EA7" w:rsidRDefault="00E34453" w:rsidP="00E34453">
      <w:pPr>
        <w:autoSpaceDE w:val="0"/>
        <w:autoSpaceDN w:val="0"/>
        <w:adjustRightInd w:val="0"/>
        <w:rPr>
          <w:rFonts w:ascii="Tahoma" w:hAnsi="Tahoma" w:cs="Tahoma"/>
          <w:sz w:val="20"/>
          <w:szCs w:val="20"/>
        </w:rPr>
      </w:pPr>
    </w:p>
    <w:p w14:paraId="72475C13" w14:textId="77777777" w:rsidR="00E34453" w:rsidRPr="005E1EA7" w:rsidRDefault="00E34453" w:rsidP="00E34453">
      <w:pPr>
        <w:autoSpaceDE w:val="0"/>
        <w:autoSpaceDN w:val="0"/>
        <w:adjustRightInd w:val="0"/>
        <w:rPr>
          <w:rFonts w:ascii="Tahoma" w:hAnsi="Tahoma" w:cs="Tahoma"/>
          <w:bCs/>
          <w:sz w:val="20"/>
          <w:szCs w:val="20"/>
        </w:rPr>
      </w:pPr>
      <w:r w:rsidRPr="005E1EA7">
        <w:rPr>
          <w:rFonts w:ascii="Tahoma" w:hAnsi="Tahoma" w:cs="Tahoma"/>
          <w:b/>
          <w:sz w:val="20"/>
          <w:szCs w:val="20"/>
          <w:u w:val="single"/>
        </w:rPr>
        <w:t>Article 20</w:t>
      </w:r>
      <w:r w:rsidRPr="005E1EA7">
        <w:rPr>
          <w:rFonts w:ascii="Tahoma" w:hAnsi="Tahoma" w:cs="Tahoma"/>
          <w:bCs/>
          <w:sz w:val="20"/>
          <w:szCs w:val="20"/>
          <w:u w:val="single"/>
        </w:rPr>
        <w:t xml:space="preserve"> </w:t>
      </w:r>
      <w:r w:rsidRPr="005E1EA7">
        <w:rPr>
          <w:rFonts w:ascii="Tahoma" w:hAnsi="Tahoma" w:cs="Tahoma"/>
          <w:bCs/>
          <w:sz w:val="20"/>
          <w:szCs w:val="20"/>
        </w:rPr>
        <w:t>- Principes régissant l’élaboration du plan de contrôle annuel</w:t>
      </w:r>
    </w:p>
    <w:p w14:paraId="36A44974" w14:textId="77777777" w:rsidR="00E34453" w:rsidRPr="005E1EA7" w:rsidRDefault="00E34453" w:rsidP="00E34453">
      <w:pPr>
        <w:autoSpaceDE w:val="0"/>
        <w:autoSpaceDN w:val="0"/>
        <w:adjustRightInd w:val="0"/>
        <w:rPr>
          <w:rFonts w:ascii="Tahoma" w:hAnsi="Tahoma" w:cs="Tahoma"/>
          <w:bCs/>
          <w:sz w:val="20"/>
          <w:szCs w:val="20"/>
        </w:rPr>
      </w:pPr>
    </w:p>
    <w:p w14:paraId="57A2A70E" w14:textId="77777777" w:rsidR="00E34453" w:rsidRPr="005E1EA7" w:rsidRDefault="00E34453" w:rsidP="00E34453">
      <w:pPr>
        <w:autoSpaceDE w:val="0"/>
        <w:autoSpaceDN w:val="0"/>
        <w:adjustRightInd w:val="0"/>
        <w:jc w:val="both"/>
        <w:rPr>
          <w:rFonts w:ascii="Tahoma" w:hAnsi="Tahoma" w:cs="Tahoma"/>
          <w:bCs/>
          <w:sz w:val="20"/>
          <w:szCs w:val="20"/>
        </w:rPr>
      </w:pPr>
      <w:r w:rsidRPr="005E1EA7">
        <w:rPr>
          <w:rFonts w:ascii="Tahoma" w:hAnsi="Tahoma" w:cs="Tahoma"/>
          <w:bCs/>
          <w:sz w:val="20"/>
          <w:szCs w:val="20"/>
        </w:rPr>
        <w:t>1. L’ONISPA, met en œuvre un plan de contrôle annuel et le révise à la lumière de l’évolution intervenue. Ce plan annuel est soumis à l’Autorité compétente.</w:t>
      </w:r>
    </w:p>
    <w:p w14:paraId="15EF9B9B" w14:textId="77777777" w:rsidR="00E34453" w:rsidRPr="005E1EA7" w:rsidRDefault="00E34453" w:rsidP="00E34453">
      <w:pPr>
        <w:autoSpaceDE w:val="0"/>
        <w:autoSpaceDN w:val="0"/>
        <w:adjustRightInd w:val="0"/>
        <w:jc w:val="both"/>
        <w:rPr>
          <w:rFonts w:ascii="Tahoma" w:hAnsi="Tahoma" w:cs="Tahoma"/>
          <w:bCs/>
          <w:sz w:val="20"/>
          <w:szCs w:val="20"/>
        </w:rPr>
      </w:pPr>
    </w:p>
    <w:p w14:paraId="243142C8" w14:textId="77777777" w:rsidR="00E34453" w:rsidRPr="005E1EA7" w:rsidRDefault="00E34453" w:rsidP="00E34453">
      <w:pPr>
        <w:autoSpaceDE w:val="0"/>
        <w:autoSpaceDN w:val="0"/>
        <w:adjustRightInd w:val="0"/>
        <w:jc w:val="both"/>
        <w:rPr>
          <w:rFonts w:ascii="Tahoma" w:hAnsi="Tahoma" w:cs="Tahoma"/>
          <w:bCs/>
          <w:sz w:val="20"/>
          <w:szCs w:val="20"/>
        </w:rPr>
      </w:pPr>
      <w:r w:rsidRPr="005E1EA7">
        <w:rPr>
          <w:rFonts w:ascii="Tahoma" w:hAnsi="Tahoma" w:cs="Tahoma"/>
          <w:bCs/>
          <w:sz w:val="20"/>
          <w:szCs w:val="20"/>
        </w:rPr>
        <w:t>2. Chaque plan de contrôle annuel contient des informations générales sur la structure et l’organisation des systèmes de contrôle des produits de la pêche, en particulier sur :</w:t>
      </w:r>
    </w:p>
    <w:p w14:paraId="10DBB259" w14:textId="77777777" w:rsidR="00E34453" w:rsidRPr="005E1EA7" w:rsidRDefault="00E34453" w:rsidP="00E34453">
      <w:pPr>
        <w:autoSpaceDE w:val="0"/>
        <w:autoSpaceDN w:val="0"/>
        <w:adjustRightInd w:val="0"/>
        <w:jc w:val="both"/>
        <w:rPr>
          <w:rFonts w:ascii="Tahoma" w:hAnsi="Tahoma" w:cs="Tahoma"/>
          <w:bCs/>
          <w:sz w:val="20"/>
          <w:szCs w:val="20"/>
        </w:rPr>
      </w:pPr>
    </w:p>
    <w:p w14:paraId="5755C2F1" w14:textId="77777777" w:rsidR="00E34453" w:rsidRPr="005E1EA7" w:rsidRDefault="00E34453" w:rsidP="00E34453">
      <w:pPr>
        <w:autoSpaceDE w:val="0"/>
        <w:autoSpaceDN w:val="0"/>
        <w:adjustRightInd w:val="0"/>
        <w:ind w:left="708" w:hanging="348"/>
        <w:jc w:val="both"/>
        <w:rPr>
          <w:rFonts w:ascii="Tahoma" w:hAnsi="Tahoma" w:cs="Tahoma"/>
          <w:bCs/>
          <w:sz w:val="20"/>
          <w:szCs w:val="20"/>
        </w:rPr>
      </w:pPr>
      <w:r w:rsidRPr="005E1EA7">
        <w:rPr>
          <w:rFonts w:ascii="Tahoma" w:hAnsi="Tahoma" w:cs="Tahoma"/>
          <w:bCs/>
          <w:sz w:val="20"/>
          <w:szCs w:val="20"/>
        </w:rPr>
        <w:t xml:space="preserve">a) les objectifs stratégiques du plan et la manière dont ils sont pris en compte dans l’établissement de priorités de contrôle et la répartition des ressources ; </w:t>
      </w:r>
    </w:p>
    <w:p w14:paraId="102483C0" w14:textId="77777777" w:rsidR="00E34453" w:rsidRPr="005E1EA7" w:rsidRDefault="00E34453" w:rsidP="00E34453">
      <w:pPr>
        <w:autoSpaceDE w:val="0"/>
        <w:autoSpaceDN w:val="0"/>
        <w:adjustRightInd w:val="0"/>
        <w:ind w:left="708" w:hanging="348"/>
        <w:jc w:val="both"/>
        <w:rPr>
          <w:rFonts w:ascii="Tahoma" w:hAnsi="Tahoma" w:cs="Tahoma"/>
          <w:bCs/>
          <w:sz w:val="20"/>
          <w:szCs w:val="20"/>
        </w:rPr>
      </w:pPr>
    </w:p>
    <w:p w14:paraId="63DF1B50" w14:textId="77777777" w:rsidR="00E34453" w:rsidRPr="005E1EA7" w:rsidRDefault="00E34453" w:rsidP="00E34453">
      <w:pPr>
        <w:autoSpaceDE w:val="0"/>
        <w:autoSpaceDN w:val="0"/>
        <w:adjustRightInd w:val="0"/>
        <w:ind w:left="708" w:hanging="348"/>
        <w:jc w:val="both"/>
        <w:rPr>
          <w:rFonts w:ascii="Tahoma" w:hAnsi="Tahoma" w:cs="Tahoma"/>
          <w:bCs/>
          <w:sz w:val="20"/>
          <w:szCs w:val="20"/>
        </w:rPr>
      </w:pPr>
      <w:r w:rsidRPr="005E1EA7">
        <w:rPr>
          <w:rFonts w:ascii="Tahoma" w:hAnsi="Tahoma" w:cs="Tahoma"/>
          <w:bCs/>
          <w:sz w:val="20"/>
          <w:szCs w:val="20"/>
        </w:rPr>
        <w:t>b) la catégorisation des risques des activités concernées ;</w:t>
      </w:r>
    </w:p>
    <w:p w14:paraId="0127BF9B" w14:textId="77777777" w:rsidR="00E34453" w:rsidRPr="005E1EA7" w:rsidRDefault="00E34453" w:rsidP="00E34453">
      <w:pPr>
        <w:autoSpaceDE w:val="0"/>
        <w:autoSpaceDN w:val="0"/>
        <w:adjustRightInd w:val="0"/>
        <w:ind w:left="708" w:hanging="348"/>
        <w:jc w:val="both"/>
        <w:rPr>
          <w:rFonts w:ascii="Tahoma" w:hAnsi="Tahoma" w:cs="Tahoma"/>
          <w:bCs/>
          <w:sz w:val="20"/>
          <w:szCs w:val="20"/>
        </w:rPr>
      </w:pPr>
    </w:p>
    <w:p w14:paraId="6CEE543B" w14:textId="77777777" w:rsidR="00E34453" w:rsidRPr="005E1EA7" w:rsidRDefault="00E34453" w:rsidP="00E34453">
      <w:pPr>
        <w:autoSpaceDE w:val="0"/>
        <w:autoSpaceDN w:val="0"/>
        <w:adjustRightInd w:val="0"/>
        <w:ind w:left="708" w:hanging="348"/>
        <w:jc w:val="both"/>
        <w:rPr>
          <w:rFonts w:ascii="Tahoma" w:hAnsi="Tahoma" w:cs="Tahoma"/>
          <w:bCs/>
          <w:sz w:val="20"/>
          <w:szCs w:val="20"/>
        </w:rPr>
      </w:pPr>
      <w:r w:rsidRPr="005E1EA7">
        <w:rPr>
          <w:rFonts w:ascii="Tahoma" w:hAnsi="Tahoma" w:cs="Tahoma"/>
          <w:bCs/>
          <w:sz w:val="20"/>
          <w:szCs w:val="20"/>
        </w:rPr>
        <w:t>c) les tâches de l’ONISPA aux niveaux central et local, ainsi que les ressources dont il dispose ;</w:t>
      </w:r>
    </w:p>
    <w:p w14:paraId="0E223ABF" w14:textId="77777777" w:rsidR="00E34453" w:rsidRPr="005E1EA7" w:rsidRDefault="00E34453" w:rsidP="00E34453">
      <w:pPr>
        <w:autoSpaceDE w:val="0"/>
        <w:autoSpaceDN w:val="0"/>
        <w:adjustRightInd w:val="0"/>
        <w:ind w:left="708" w:hanging="348"/>
        <w:jc w:val="both"/>
        <w:rPr>
          <w:rFonts w:ascii="Tahoma" w:hAnsi="Tahoma" w:cs="Tahoma"/>
          <w:bCs/>
          <w:sz w:val="20"/>
          <w:szCs w:val="20"/>
        </w:rPr>
      </w:pPr>
    </w:p>
    <w:p w14:paraId="52347233" w14:textId="77777777" w:rsidR="00E34453" w:rsidRPr="005E1EA7" w:rsidRDefault="00E34453" w:rsidP="00E34453">
      <w:pPr>
        <w:autoSpaceDE w:val="0"/>
        <w:autoSpaceDN w:val="0"/>
        <w:adjustRightInd w:val="0"/>
        <w:ind w:left="708" w:hanging="348"/>
        <w:jc w:val="both"/>
        <w:rPr>
          <w:rFonts w:ascii="Tahoma" w:hAnsi="Tahoma" w:cs="Tahoma"/>
          <w:bCs/>
          <w:sz w:val="20"/>
          <w:szCs w:val="20"/>
        </w:rPr>
      </w:pPr>
      <w:r w:rsidRPr="005E1EA7">
        <w:rPr>
          <w:rFonts w:ascii="Tahoma" w:hAnsi="Tahoma" w:cs="Tahoma"/>
          <w:bCs/>
          <w:sz w:val="20"/>
          <w:szCs w:val="20"/>
        </w:rPr>
        <w:t>d) l’organisation et la gestion générales des contrôles officiels aux niveaux national, régional et local, y compris les contrôles officiels dans les divers établissements ;</w:t>
      </w:r>
    </w:p>
    <w:p w14:paraId="410DECF0" w14:textId="77777777" w:rsidR="00E34453" w:rsidRPr="005E1EA7" w:rsidRDefault="00E34453" w:rsidP="00E34453">
      <w:pPr>
        <w:autoSpaceDE w:val="0"/>
        <w:autoSpaceDN w:val="0"/>
        <w:adjustRightInd w:val="0"/>
        <w:ind w:left="708" w:hanging="348"/>
        <w:jc w:val="both"/>
        <w:rPr>
          <w:rFonts w:ascii="Tahoma" w:hAnsi="Tahoma" w:cs="Tahoma"/>
          <w:bCs/>
          <w:sz w:val="20"/>
          <w:szCs w:val="20"/>
        </w:rPr>
      </w:pPr>
    </w:p>
    <w:p w14:paraId="4E4787EE" w14:textId="77777777" w:rsidR="00E34453" w:rsidRPr="005E1EA7" w:rsidRDefault="00E34453" w:rsidP="00E34453">
      <w:pPr>
        <w:autoSpaceDE w:val="0"/>
        <w:autoSpaceDN w:val="0"/>
        <w:adjustRightInd w:val="0"/>
        <w:ind w:left="708" w:hanging="348"/>
        <w:jc w:val="both"/>
        <w:rPr>
          <w:rFonts w:ascii="Tahoma" w:hAnsi="Tahoma" w:cs="Tahoma"/>
          <w:bCs/>
          <w:sz w:val="20"/>
          <w:szCs w:val="20"/>
        </w:rPr>
      </w:pPr>
      <w:r w:rsidRPr="005E1EA7">
        <w:rPr>
          <w:rFonts w:ascii="Tahoma" w:hAnsi="Tahoma" w:cs="Tahoma"/>
          <w:bCs/>
          <w:sz w:val="20"/>
          <w:szCs w:val="20"/>
        </w:rPr>
        <w:t>e) les systèmes de contrôle appliqués aux différents secteurs et la coordination entre les différents services chargés des contrôles officiels dans ces secteurs ;</w:t>
      </w:r>
    </w:p>
    <w:p w14:paraId="2936A003" w14:textId="77777777" w:rsidR="00E34453" w:rsidRPr="005E1EA7" w:rsidRDefault="00E34453" w:rsidP="00E34453">
      <w:pPr>
        <w:autoSpaceDE w:val="0"/>
        <w:autoSpaceDN w:val="0"/>
        <w:adjustRightInd w:val="0"/>
        <w:ind w:left="708" w:hanging="348"/>
        <w:jc w:val="both"/>
        <w:rPr>
          <w:rFonts w:ascii="Tahoma" w:hAnsi="Tahoma" w:cs="Tahoma"/>
          <w:bCs/>
          <w:sz w:val="20"/>
          <w:szCs w:val="20"/>
        </w:rPr>
      </w:pPr>
    </w:p>
    <w:p w14:paraId="2FA551CE" w14:textId="77777777" w:rsidR="00E34453" w:rsidRPr="005E1EA7" w:rsidRDefault="00E34453" w:rsidP="00E34453">
      <w:pPr>
        <w:autoSpaceDE w:val="0"/>
        <w:autoSpaceDN w:val="0"/>
        <w:adjustRightInd w:val="0"/>
        <w:ind w:left="708" w:hanging="348"/>
        <w:jc w:val="both"/>
        <w:rPr>
          <w:rFonts w:ascii="Tahoma" w:hAnsi="Tahoma" w:cs="Tahoma"/>
          <w:bCs/>
          <w:sz w:val="20"/>
          <w:szCs w:val="20"/>
        </w:rPr>
      </w:pPr>
      <w:r w:rsidRPr="005E1EA7">
        <w:rPr>
          <w:rFonts w:ascii="Tahoma" w:hAnsi="Tahoma" w:cs="Tahoma"/>
          <w:bCs/>
          <w:sz w:val="20"/>
          <w:szCs w:val="20"/>
        </w:rPr>
        <w:t>f) les méthodes mises en œuvre pour garantir le respect des critères opérationnels visés à l’article 4, paragraphe 2 ;</w:t>
      </w:r>
    </w:p>
    <w:p w14:paraId="744026F2" w14:textId="77777777" w:rsidR="00E34453" w:rsidRPr="005E1EA7" w:rsidRDefault="00E34453" w:rsidP="00E34453">
      <w:pPr>
        <w:autoSpaceDE w:val="0"/>
        <w:autoSpaceDN w:val="0"/>
        <w:adjustRightInd w:val="0"/>
        <w:ind w:left="708" w:hanging="348"/>
        <w:jc w:val="both"/>
        <w:rPr>
          <w:rFonts w:ascii="Tahoma" w:hAnsi="Tahoma" w:cs="Tahoma"/>
          <w:bCs/>
          <w:sz w:val="20"/>
          <w:szCs w:val="20"/>
        </w:rPr>
      </w:pPr>
    </w:p>
    <w:p w14:paraId="5C230D52" w14:textId="77777777" w:rsidR="00E34453" w:rsidRPr="005E1EA7" w:rsidRDefault="00E34453" w:rsidP="00E34453">
      <w:pPr>
        <w:autoSpaceDE w:val="0"/>
        <w:autoSpaceDN w:val="0"/>
        <w:adjustRightInd w:val="0"/>
        <w:ind w:left="708" w:hanging="348"/>
        <w:jc w:val="both"/>
        <w:rPr>
          <w:rFonts w:ascii="Tahoma" w:hAnsi="Tahoma" w:cs="Tahoma"/>
          <w:bCs/>
          <w:sz w:val="20"/>
          <w:szCs w:val="20"/>
        </w:rPr>
      </w:pPr>
      <w:r w:rsidRPr="005E1EA7">
        <w:rPr>
          <w:rFonts w:ascii="Tahoma" w:hAnsi="Tahoma" w:cs="Tahoma"/>
          <w:bCs/>
          <w:sz w:val="20"/>
          <w:szCs w:val="20"/>
        </w:rPr>
        <w:t>g) la formation du personnel effectuant les contrôles officiels visés à l’article 6 ;</w:t>
      </w:r>
    </w:p>
    <w:p w14:paraId="47C2E2EC" w14:textId="77777777" w:rsidR="00E34453" w:rsidRPr="005E1EA7" w:rsidRDefault="00E34453" w:rsidP="00E34453">
      <w:pPr>
        <w:autoSpaceDE w:val="0"/>
        <w:autoSpaceDN w:val="0"/>
        <w:adjustRightInd w:val="0"/>
        <w:ind w:left="708" w:hanging="348"/>
        <w:jc w:val="both"/>
        <w:rPr>
          <w:rFonts w:ascii="Tahoma" w:hAnsi="Tahoma" w:cs="Tahoma"/>
          <w:bCs/>
          <w:sz w:val="20"/>
          <w:szCs w:val="20"/>
        </w:rPr>
      </w:pPr>
    </w:p>
    <w:p w14:paraId="1A88534D" w14:textId="77777777" w:rsidR="00E34453" w:rsidRPr="005E1EA7" w:rsidRDefault="00E34453" w:rsidP="00E34453">
      <w:pPr>
        <w:autoSpaceDE w:val="0"/>
        <w:autoSpaceDN w:val="0"/>
        <w:adjustRightInd w:val="0"/>
        <w:ind w:left="708" w:hanging="348"/>
        <w:jc w:val="both"/>
        <w:rPr>
          <w:rFonts w:ascii="Tahoma" w:hAnsi="Tahoma" w:cs="Tahoma"/>
          <w:bCs/>
          <w:sz w:val="20"/>
          <w:szCs w:val="20"/>
        </w:rPr>
      </w:pPr>
      <w:r w:rsidRPr="005E1EA7">
        <w:rPr>
          <w:rFonts w:ascii="Tahoma" w:hAnsi="Tahoma" w:cs="Tahoma"/>
          <w:bCs/>
          <w:sz w:val="20"/>
          <w:szCs w:val="20"/>
        </w:rPr>
        <w:t>h) les procédures documentées visées aux articles 7 et 8 ;</w:t>
      </w:r>
    </w:p>
    <w:p w14:paraId="7AF06319" w14:textId="77777777" w:rsidR="00E34453" w:rsidRPr="005E1EA7" w:rsidRDefault="00E34453" w:rsidP="00E34453">
      <w:pPr>
        <w:autoSpaceDE w:val="0"/>
        <w:autoSpaceDN w:val="0"/>
        <w:adjustRightInd w:val="0"/>
        <w:ind w:left="708" w:hanging="348"/>
        <w:jc w:val="both"/>
        <w:rPr>
          <w:rFonts w:ascii="Tahoma" w:hAnsi="Tahoma" w:cs="Tahoma"/>
          <w:bCs/>
          <w:sz w:val="20"/>
          <w:szCs w:val="20"/>
        </w:rPr>
      </w:pPr>
    </w:p>
    <w:p w14:paraId="7316A3C6" w14:textId="77777777" w:rsidR="00E34453" w:rsidRPr="005E1EA7" w:rsidRDefault="00E34453" w:rsidP="00E34453">
      <w:pPr>
        <w:autoSpaceDE w:val="0"/>
        <w:autoSpaceDN w:val="0"/>
        <w:adjustRightInd w:val="0"/>
        <w:ind w:left="708" w:hanging="348"/>
        <w:jc w:val="both"/>
        <w:rPr>
          <w:rFonts w:ascii="Tahoma" w:hAnsi="Tahoma" w:cs="Tahoma"/>
          <w:bCs/>
          <w:sz w:val="20"/>
          <w:szCs w:val="20"/>
        </w:rPr>
      </w:pPr>
      <w:r w:rsidRPr="005E1EA7">
        <w:rPr>
          <w:rFonts w:ascii="Tahoma" w:hAnsi="Tahoma" w:cs="Tahoma"/>
          <w:bCs/>
          <w:sz w:val="20"/>
          <w:szCs w:val="20"/>
        </w:rPr>
        <w:t>i) l’organisation et la mise en œuvre de plans d’urgence en cas de survenance de maladies d’origine alimentaire, d’incidents liés à une contamination des produits de la pêche et d’autres risques pour la santé humaine.</w:t>
      </w:r>
    </w:p>
    <w:p w14:paraId="4695E023" w14:textId="77777777" w:rsidR="00E34453" w:rsidRPr="005E1EA7" w:rsidRDefault="00E34453" w:rsidP="00E34453">
      <w:pPr>
        <w:autoSpaceDE w:val="0"/>
        <w:autoSpaceDN w:val="0"/>
        <w:adjustRightInd w:val="0"/>
        <w:ind w:left="708" w:hanging="348"/>
        <w:jc w:val="both"/>
        <w:rPr>
          <w:rFonts w:ascii="Tahoma" w:hAnsi="Tahoma" w:cs="Tahoma"/>
          <w:bCs/>
          <w:sz w:val="20"/>
          <w:szCs w:val="20"/>
        </w:rPr>
      </w:pPr>
    </w:p>
    <w:p w14:paraId="7EC46645" w14:textId="77777777" w:rsidR="00E34453" w:rsidRPr="005E1EA7" w:rsidRDefault="00E34453" w:rsidP="00E34453">
      <w:pPr>
        <w:autoSpaceDE w:val="0"/>
        <w:autoSpaceDN w:val="0"/>
        <w:adjustRightInd w:val="0"/>
        <w:jc w:val="both"/>
        <w:rPr>
          <w:rFonts w:ascii="Tahoma" w:hAnsi="Tahoma" w:cs="Tahoma"/>
          <w:bCs/>
          <w:sz w:val="20"/>
          <w:szCs w:val="20"/>
        </w:rPr>
      </w:pPr>
      <w:r w:rsidRPr="005E1EA7">
        <w:rPr>
          <w:rFonts w:ascii="Tahoma" w:hAnsi="Tahoma" w:cs="Tahoma"/>
          <w:bCs/>
          <w:sz w:val="20"/>
          <w:szCs w:val="20"/>
        </w:rPr>
        <w:t>3. Le plan de contrôle national annuel peut être ajusté durant sa mise en oeuvre. Des modifications peuvent être apportées à la lumière ou pour tenir compte de facteurs tels que :</w:t>
      </w:r>
    </w:p>
    <w:p w14:paraId="4F9450D0" w14:textId="77777777" w:rsidR="00E34453" w:rsidRPr="005E1EA7" w:rsidRDefault="00E34453" w:rsidP="00E34453">
      <w:pPr>
        <w:autoSpaceDE w:val="0"/>
        <w:autoSpaceDN w:val="0"/>
        <w:adjustRightInd w:val="0"/>
        <w:jc w:val="both"/>
        <w:rPr>
          <w:rFonts w:ascii="Tahoma" w:hAnsi="Tahoma" w:cs="Tahoma"/>
          <w:bCs/>
          <w:sz w:val="20"/>
          <w:szCs w:val="20"/>
        </w:rPr>
      </w:pPr>
    </w:p>
    <w:p w14:paraId="07ED1D0C" w14:textId="77777777" w:rsidR="00E34453" w:rsidRPr="005E1EA7" w:rsidRDefault="00E34453" w:rsidP="00E34453">
      <w:pPr>
        <w:autoSpaceDE w:val="0"/>
        <w:autoSpaceDN w:val="0"/>
        <w:adjustRightInd w:val="0"/>
        <w:ind w:left="708" w:hanging="348"/>
        <w:jc w:val="both"/>
        <w:rPr>
          <w:rFonts w:ascii="Tahoma" w:hAnsi="Tahoma" w:cs="Tahoma"/>
          <w:bCs/>
          <w:sz w:val="20"/>
          <w:szCs w:val="20"/>
        </w:rPr>
      </w:pPr>
      <w:r w:rsidRPr="005E1EA7">
        <w:rPr>
          <w:rFonts w:ascii="Tahoma" w:hAnsi="Tahoma" w:cs="Tahoma"/>
          <w:bCs/>
          <w:sz w:val="20"/>
          <w:szCs w:val="20"/>
        </w:rPr>
        <w:t>a) de nouvelles dispositions juridiques ;</w:t>
      </w:r>
    </w:p>
    <w:p w14:paraId="2E8014E6" w14:textId="77777777" w:rsidR="00E34453" w:rsidRPr="005E1EA7" w:rsidRDefault="00E34453" w:rsidP="00E34453">
      <w:pPr>
        <w:autoSpaceDE w:val="0"/>
        <w:autoSpaceDN w:val="0"/>
        <w:adjustRightInd w:val="0"/>
        <w:ind w:left="708" w:hanging="348"/>
        <w:jc w:val="both"/>
        <w:rPr>
          <w:rFonts w:ascii="Tahoma" w:hAnsi="Tahoma" w:cs="Tahoma"/>
          <w:bCs/>
          <w:sz w:val="20"/>
          <w:szCs w:val="20"/>
        </w:rPr>
      </w:pPr>
    </w:p>
    <w:p w14:paraId="02AE9699" w14:textId="77777777" w:rsidR="00E34453" w:rsidRPr="005E1EA7" w:rsidRDefault="00E34453" w:rsidP="00E34453">
      <w:pPr>
        <w:autoSpaceDE w:val="0"/>
        <w:autoSpaceDN w:val="0"/>
        <w:adjustRightInd w:val="0"/>
        <w:ind w:left="708" w:hanging="348"/>
        <w:jc w:val="both"/>
        <w:rPr>
          <w:rFonts w:ascii="Tahoma" w:hAnsi="Tahoma" w:cs="Tahoma"/>
          <w:bCs/>
          <w:sz w:val="20"/>
          <w:szCs w:val="20"/>
        </w:rPr>
      </w:pPr>
      <w:r w:rsidRPr="005E1EA7">
        <w:rPr>
          <w:rFonts w:ascii="Tahoma" w:hAnsi="Tahoma" w:cs="Tahoma"/>
          <w:bCs/>
          <w:sz w:val="20"/>
          <w:szCs w:val="20"/>
        </w:rPr>
        <w:t>b) l’apparition de nouvelles maladies ou d’autres risques pour la santé ;</w:t>
      </w:r>
    </w:p>
    <w:p w14:paraId="7ED4134A" w14:textId="77777777" w:rsidR="00E34453" w:rsidRPr="005E1EA7" w:rsidRDefault="00E34453" w:rsidP="00E34453">
      <w:pPr>
        <w:autoSpaceDE w:val="0"/>
        <w:autoSpaceDN w:val="0"/>
        <w:adjustRightInd w:val="0"/>
        <w:ind w:left="708" w:hanging="348"/>
        <w:jc w:val="both"/>
        <w:rPr>
          <w:rFonts w:ascii="Tahoma" w:hAnsi="Tahoma" w:cs="Tahoma"/>
          <w:bCs/>
          <w:sz w:val="20"/>
          <w:szCs w:val="20"/>
        </w:rPr>
      </w:pPr>
    </w:p>
    <w:p w14:paraId="28F5086E" w14:textId="77777777" w:rsidR="00E34453" w:rsidRPr="005E1EA7" w:rsidRDefault="00E34453" w:rsidP="00E34453">
      <w:pPr>
        <w:autoSpaceDE w:val="0"/>
        <w:autoSpaceDN w:val="0"/>
        <w:adjustRightInd w:val="0"/>
        <w:ind w:left="708" w:hanging="348"/>
        <w:jc w:val="both"/>
        <w:rPr>
          <w:rFonts w:ascii="Tahoma" w:hAnsi="Tahoma" w:cs="Tahoma"/>
          <w:bCs/>
          <w:sz w:val="20"/>
          <w:szCs w:val="20"/>
        </w:rPr>
      </w:pPr>
      <w:r w:rsidRPr="005E1EA7">
        <w:rPr>
          <w:rFonts w:ascii="Tahoma" w:hAnsi="Tahoma" w:cs="Tahoma"/>
          <w:bCs/>
          <w:sz w:val="20"/>
          <w:szCs w:val="20"/>
        </w:rPr>
        <w:t>c) des modifications importantes dans la structure, la gestion ou le fonctionnement de l'Autorité compétente nationale,</w:t>
      </w:r>
    </w:p>
    <w:p w14:paraId="5B5128D2" w14:textId="77777777" w:rsidR="00E34453" w:rsidRPr="005E1EA7" w:rsidRDefault="00E34453" w:rsidP="00E34453">
      <w:pPr>
        <w:autoSpaceDE w:val="0"/>
        <w:autoSpaceDN w:val="0"/>
        <w:adjustRightInd w:val="0"/>
        <w:ind w:left="708" w:hanging="348"/>
        <w:jc w:val="both"/>
        <w:rPr>
          <w:rFonts w:ascii="Tahoma" w:hAnsi="Tahoma" w:cs="Tahoma"/>
          <w:bCs/>
          <w:sz w:val="20"/>
          <w:szCs w:val="20"/>
        </w:rPr>
      </w:pPr>
    </w:p>
    <w:p w14:paraId="5397D75B" w14:textId="77777777" w:rsidR="00E34453" w:rsidRPr="005E1EA7" w:rsidRDefault="00E34453" w:rsidP="00E34453">
      <w:pPr>
        <w:autoSpaceDE w:val="0"/>
        <w:autoSpaceDN w:val="0"/>
        <w:adjustRightInd w:val="0"/>
        <w:ind w:left="708" w:hanging="348"/>
        <w:jc w:val="both"/>
        <w:rPr>
          <w:rFonts w:ascii="Tahoma" w:hAnsi="Tahoma" w:cs="Tahoma"/>
          <w:bCs/>
          <w:sz w:val="20"/>
          <w:szCs w:val="20"/>
        </w:rPr>
      </w:pPr>
      <w:r w:rsidRPr="005E1EA7">
        <w:rPr>
          <w:rFonts w:ascii="Tahoma" w:hAnsi="Tahoma" w:cs="Tahoma"/>
          <w:bCs/>
          <w:sz w:val="20"/>
          <w:szCs w:val="20"/>
        </w:rPr>
        <w:t>d) les résultats des contrôles officiels effectués et des résultats scientifiques.</w:t>
      </w:r>
    </w:p>
    <w:p w14:paraId="032D9A73" w14:textId="77777777" w:rsidR="00E34453" w:rsidRPr="005E1EA7" w:rsidRDefault="00E34453" w:rsidP="00E34453">
      <w:pPr>
        <w:autoSpaceDE w:val="0"/>
        <w:autoSpaceDN w:val="0"/>
        <w:adjustRightInd w:val="0"/>
        <w:jc w:val="both"/>
        <w:rPr>
          <w:rFonts w:ascii="Tahoma" w:hAnsi="Tahoma" w:cs="Tahoma"/>
          <w:bCs/>
          <w:sz w:val="20"/>
          <w:szCs w:val="20"/>
        </w:rPr>
      </w:pPr>
    </w:p>
    <w:p w14:paraId="078ADFD5" w14:textId="77777777" w:rsidR="00E34453" w:rsidRPr="005E1EA7" w:rsidRDefault="00E34453" w:rsidP="00E34453">
      <w:pPr>
        <w:autoSpaceDE w:val="0"/>
        <w:autoSpaceDN w:val="0"/>
        <w:adjustRightInd w:val="0"/>
        <w:jc w:val="both"/>
        <w:rPr>
          <w:rFonts w:ascii="Tahoma" w:hAnsi="Tahoma" w:cs="Tahoma"/>
          <w:bCs/>
          <w:sz w:val="20"/>
          <w:szCs w:val="20"/>
        </w:rPr>
      </w:pPr>
      <w:r w:rsidRPr="005E1EA7">
        <w:rPr>
          <w:rFonts w:ascii="Tahoma" w:hAnsi="Tahoma" w:cs="Tahoma"/>
          <w:b/>
          <w:sz w:val="20"/>
          <w:szCs w:val="20"/>
          <w:u w:val="single"/>
        </w:rPr>
        <w:t xml:space="preserve">Article 21 </w:t>
      </w:r>
      <w:r w:rsidRPr="005E1EA7">
        <w:rPr>
          <w:rFonts w:ascii="Tahoma" w:hAnsi="Tahoma" w:cs="Tahoma"/>
          <w:b/>
          <w:sz w:val="20"/>
          <w:szCs w:val="20"/>
        </w:rPr>
        <w:t>–</w:t>
      </w:r>
      <w:r w:rsidRPr="005E1EA7">
        <w:rPr>
          <w:rFonts w:ascii="Tahoma" w:hAnsi="Tahoma" w:cs="Tahoma"/>
          <w:bCs/>
          <w:sz w:val="20"/>
          <w:szCs w:val="20"/>
        </w:rPr>
        <w:t xml:space="preserve"> Lignes directrices pour le plan de contrôle annuel </w:t>
      </w:r>
    </w:p>
    <w:p w14:paraId="75B9AEBE" w14:textId="77777777" w:rsidR="00E34453" w:rsidRPr="005E1EA7" w:rsidRDefault="00E34453" w:rsidP="00E34453">
      <w:pPr>
        <w:autoSpaceDE w:val="0"/>
        <w:autoSpaceDN w:val="0"/>
        <w:adjustRightInd w:val="0"/>
        <w:jc w:val="both"/>
        <w:rPr>
          <w:rFonts w:ascii="Tahoma" w:hAnsi="Tahoma" w:cs="Tahoma"/>
          <w:bCs/>
          <w:sz w:val="20"/>
          <w:szCs w:val="20"/>
        </w:rPr>
      </w:pPr>
    </w:p>
    <w:p w14:paraId="6F71A0FA" w14:textId="77777777" w:rsidR="00E34453" w:rsidRPr="005E1EA7" w:rsidRDefault="00E34453" w:rsidP="00E34453">
      <w:pPr>
        <w:autoSpaceDE w:val="0"/>
        <w:autoSpaceDN w:val="0"/>
        <w:adjustRightInd w:val="0"/>
        <w:jc w:val="both"/>
        <w:rPr>
          <w:rFonts w:ascii="Tahoma" w:hAnsi="Tahoma" w:cs="Tahoma"/>
          <w:bCs/>
          <w:sz w:val="20"/>
          <w:szCs w:val="20"/>
        </w:rPr>
      </w:pPr>
      <w:r w:rsidRPr="005E1EA7">
        <w:rPr>
          <w:rFonts w:ascii="Tahoma" w:hAnsi="Tahoma" w:cs="Tahoma"/>
          <w:bCs/>
          <w:sz w:val="20"/>
          <w:szCs w:val="20"/>
        </w:rPr>
        <w:t>Ces lignes directrices doivent notamment :</w:t>
      </w:r>
    </w:p>
    <w:p w14:paraId="75399260" w14:textId="77777777" w:rsidR="00E34453" w:rsidRPr="005E1EA7" w:rsidRDefault="00E34453" w:rsidP="00E34453">
      <w:pPr>
        <w:autoSpaceDE w:val="0"/>
        <w:autoSpaceDN w:val="0"/>
        <w:adjustRightInd w:val="0"/>
        <w:jc w:val="both"/>
        <w:rPr>
          <w:rFonts w:ascii="Tahoma" w:hAnsi="Tahoma" w:cs="Tahoma"/>
          <w:bCs/>
          <w:sz w:val="20"/>
          <w:szCs w:val="20"/>
        </w:rPr>
      </w:pPr>
    </w:p>
    <w:p w14:paraId="3CB15AF2" w14:textId="77777777" w:rsidR="00E34453" w:rsidRPr="005E1EA7" w:rsidRDefault="00E34453" w:rsidP="00E34453">
      <w:pPr>
        <w:autoSpaceDE w:val="0"/>
        <w:autoSpaceDN w:val="0"/>
        <w:adjustRightInd w:val="0"/>
        <w:ind w:left="720" w:hanging="360"/>
        <w:jc w:val="both"/>
        <w:rPr>
          <w:rFonts w:ascii="Tahoma" w:hAnsi="Tahoma" w:cs="Tahoma"/>
          <w:bCs/>
          <w:sz w:val="20"/>
          <w:szCs w:val="20"/>
        </w:rPr>
      </w:pPr>
      <w:r w:rsidRPr="005E1EA7">
        <w:rPr>
          <w:rFonts w:ascii="Tahoma" w:hAnsi="Tahoma" w:cs="Tahoma"/>
          <w:bCs/>
          <w:sz w:val="20"/>
          <w:szCs w:val="20"/>
        </w:rPr>
        <w:lastRenderedPageBreak/>
        <w:t xml:space="preserve">a) promouvoir une stratégie cohérente, globale et intégrée pour les contrôles officiels de l’application de la législation relative aux produits de la </w:t>
      </w:r>
      <w:proofErr w:type="gramStart"/>
      <w:r w:rsidRPr="005E1EA7">
        <w:rPr>
          <w:rFonts w:ascii="Tahoma" w:hAnsi="Tahoma" w:cs="Tahoma"/>
          <w:bCs/>
          <w:sz w:val="20"/>
          <w:szCs w:val="20"/>
        </w:rPr>
        <w:t>pêche;</w:t>
      </w:r>
      <w:proofErr w:type="gramEnd"/>
    </w:p>
    <w:p w14:paraId="7AFAC94E" w14:textId="77777777" w:rsidR="00E34453" w:rsidRPr="005E1EA7" w:rsidRDefault="00E34453" w:rsidP="00E34453">
      <w:pPr>
        <w:autoSpaceDE w:val="0"/>
        <w:autoSpaceDN w:val="0"/>
        <w:adjustRightInd w:val="0"/>
        <w:ind w:left="720" w:hanging="360"/>
        <w:jc w:val="both"/>
        <w:rPr>
          <w:rFonts w:ascii="Tahoma" w:hAnsi="Tahoma" w:cs="Tahoma"/>
          <w:bCs/>
          <w:sz w:val="20"/>
          <w:szCs w:val="20"/>
        </w:rPr>
      </w:pPr>
    </w:p>
    <w:p w14:paraId="0209BBE9" w14:textId="77777777" w:rsidR="00E34453" w:rsidRPr="005E1EA7" w:rsidRDefault="00E34453" w:rsidP="00E34453">
      <w:pPr>
        <w:autoSpaceDE w:val="0"/>
        <w:autoSpaceDN w:val="0"/>
        <w:adjustRightInd w:val="0"/>
        <w:ind w:left="720" w:hanging="360"/>
        <w:jc w:val="both"/>
        <w:rPr>
          <w:rFonts w:ascii="Tahoma" w:hAnsi="Tahoma" w:cs="Tahoma"/>
          <w:bCs/>
          <w:sz w:val="20"/>
          <w:szCs w:val="20"/>
        </w:rPr>
      </w:pPr>
      <w:r w:rsidRPr="005E1EA7">
        <w:rPr>
          <w:rFonts w:ascii="Tahoma" w:hAnsi="Tahoma" w:cs="Tahoma"/>
          <w:bCs/>
          <w:sz w:val="20"/>
          <w:szCs w:val="20"/>
        </w:rPr>
        <w:t xml:space="preserve">b) identifier les priorités en fonction des risques et les critères applicables à la catégorisation des risques des activités concernées ainsi que les procédures de contrôle les plus </w:t>
      </w:r>
      <w:proofErr w:type="gramStart"/>
      <w:r w:rsidRPr="005E1EA7">
        <w:rPr>
          <w:rFonts w:ascii="Tahoma" w:hAnsi="Tahoma" w:cs="Tahoma"/>
          <w:bCs/>
          <w:sz w:val="20"/>
          <w:szCs w:val="20"/>
        </w:rPr>
        <w:t>efficaces;</w:t>
      </w:r>
      <w:proofErr w:type="gramEnd"/>
    </w:p>
    <w:p w14:paraId="4A7A95D0" w14:textId="77777777" w:rsidR="00E34453" w:rsidRPr="005E1EA7" w:rsidRDefault="00E34453" w:rsidP="00E34453">
      <w:pPr>
        <w:autoSpaceDE w:val="0"/>
        <w:autoSpaceDN w:val="0"/>
        <w:adjustRightInd w:val="0"/>
        <w:ind w:left="720" w:hanging="360"/>
        <w:jc w:val="both"/>
        <w:rPr>
          <w:rFonts w:ascii="Tahoma" w:hAnsi="Tahoma" w:cs="Tahoma"/>
          <w:bCs/>
          <w:sz w:val="20"/>
          <w:szCs w:val="20"/>
        </w:rPr>
      </w:pPr>
    </w:p>
    <w:p w14:paraId="5BD220EF" w14:textId="77777777" w:rsidR="00E34453" w:rsidRPr="005E1EA7" w:rsidRDefault="00E34453" w:rsidP="00E34453">
      <w:pPr>
        <w:autoSpaceDE w:val="0"/>
        <w:autoSpaceDN w:val="0"/>
        <w:adjustRightInd w:val="0"/>
        <w:ind w:left="720" w:hanging="360"/>
        <w:jc w:val="both"/>
        <w:rPr>
          <w:rFonts w:ascii="Tahoma" w:hAnsi="Tahoma" w:cs="Tahoma"/>
          <w:bCs/>
          <w:sz w:val="20"/>
          <w:szCs w:val="20"/>
        </w:rPr>
      </w:pPr>
      <w:r w:rsidRPr="005E1EA7">
        <w:rPr>
          <w:rFonts w:ascii="Tahoma" w:hAnsi="Tahoma" w:cs="Tahoma"/>
          <w:bCs/>
          <w:sz w:val="20"/>
          <w:szCs w:val="20"/>
        </w:rPr>
        <w:t>c) identifier les stades de la production, de la transformation et de la distribution des produits de la pêche qui fournissent les informations les plus fiables et les plus significatives concernant le respect de la législation applicable à ces produits ;</w:t>
      </w:r>
    </w:p>
    <w:p w14:paraId="27464F89" w14:textId="77777777" w:rsidR="00E34453" w:rsidRPr="005E1EA7" w:rsidRDefault="00E34453" w:rsidP="00E34453">
      <w:pPr>
        <w:autoSpaceDE w:val="0"/>
        <w:autoSpaceDN w:val="0"/>
        <w:adjustRightInd w:val="0"/>
        <w:ind w:left="720" w:hanging="360"/>
        <w:jc w:val="both"/>
        <w:rPr>
          <w:rFonts w:ascii="Tahoma" w:hAnsi="Tahoma" w:cs="Tahoma"/>
          <w:bCs/>
          <w:sz w:val="20"/>
          <w:szCs w:val="20"/>
        </w:rPr>
      </w:pPr>
    </w:p>
    <w:p w14:paraId="4F660506" w14:textId="77777777" w:rsidR="00E34453" w:rsidRPr="005E1EA7" w:rsidRDefault="00E34453" w:rsidP="00E34453">
      <w:pPr>
        <w:autoSpaceDE w:val="0"/>
        <w:autoSpaceDN w:val="0"/>
        <w:adjustRightInd w:val="0"/>
        <w:ind w:left="720" w:hanging="360"/>
        <w:jc w:val="both"/>
        <w:rPr>
          <w:rFonts w:ascii="Tahoma" w:hAnsi="Tahoma" w:cs="Tahoma"/>
          <w:bCs/>
          <w:sz w:val="20"/>
          <w:szCs w:val="20"/>
        </w:rPr>
      </w:pPr>
      <w:r w:rsidRPr="005E1EA7">
        <w:rPr>
          <w:rFonts w:ascii="Tahoma" w:hAnsi="Tahoma" w:cs="Tahoma"/>
          <w:bCs/>
          <w:sz w:val="20"/>
          <w:szCs w:val="20"/>
        </w:rPr>
        <w:t>d) encourager l’adoption des meilleures pratiques à tous les niveaux du système de contrôle ;</w:t>
      </w:r>
    </w:p>
    <w:p w14:paraId="17DB913F" w14:textId="77777777" w:rsidR="00E34453" w:rsidRPr="005E1EA7" w:rsidRDefault="00E34453" w:rsidP="00E34453">
      <w:pPr>
        <w:autoSpaceDE w:val="0"/>
        <w:autoSpaceDN w:val="0"/>
        <w:adjustRightInd w:val="0"/>
        <w:ind w:left="720" w:hanging="360"/>
        <w:jc w:val="both"/>
        <w:rPr>
          <w:rFonts w:ascii="Tahoma" w:hAnsi="Tahoma" w:cs="Tahoma"/>
          <w:bCs/>
          <w:sz w:val="20"/>
          <w:szCs w:val="20"/>
        </w:rPr>
      </w:pPr>
    </w:p>
    <w:p w14:paraId="5D5FDE19" w14:textId="77777777" w:rsidR="00E34453" w:rsidRPr="005E1EA7" w:rsidRDefault="00E34453" w:rsidP="00E34453">
      <w:pPr>
        <w:autoSpaceDE w:val="0"/>
        <w:autoSpaceDN w:val="0"/>
        <w:adjustRightInd w:val="0"/>
        <w:ind w:left="720" w:hanging="360"/>
        <w:jc w:val="both"/>
        <w:rPr>
          <w:rFonts w:ascii="Tahoma" w:hAnsi="Tahoma" w:cs="Tahoma"/>
          <w:bCs/>
          <w:sz w:val="20"/>
          <w:szCs w:val="20"/>
        </w:rPr>
      </w:pPr>
      <w:r w:rsidRPr="005E1EA7">
        <w:rPr>
          <w:rFonts w:ascii="Tahoma" w:hAnsi="Tahoma" w:cs="Tahoma"/>
          <w:bCs/>
          <w:sz w:val="20"/>
          <w:szCs w:val="20"/>
        </w:rPr>
        <w:t>e) promouvoir la mise au point de contrôles efficaces des systèmes de traçabilité ;</w:t>
      </w:r>
    </w:p>
    <w:p w14:paraId="41D85879" w14:textId="77777777" w:rsidR="00E34453" w:rsidRPr="005E1EA7" w:rsidRDefault="00E34453" w:rsidP="00E34453">
      <w:pPr>
        <w:autoSpaceDE w:val="0"/>
        <w:autoSpaceDN w:val="0"/>
        <w:adjustRightInd w:val="0"/>
        <w:ind w:left="720" w:hanging="360"/>
        <w:jc w:val="both"/>
        <w:rPr>
          <w:rFonts w:ascii="Tahoma" w:hAnsi="Tahoma" w:cs="Tahoma"/>
          <w:bCs/>
          <w:sz w:val="20"/>
          <w:szCs w:val="20"/>
        </w:rPr>
      </w:pPr>
    </w:p>
    <w:p w14:paraId="23C6E94F" w14:textId="77777777" w:rsidR="00E34453" w:rsidRPr="005E1EA7" w:rsidRDefault="00E34453" w:rsidP="00E34453">
      <w:pPr>
        <w:autoSpaceDE w:val="0"/>
        <w:autoSpaceDN w:val="0"/>
        <w:adjustRightInd w:val="0"/>
        <w:ind w:left="720" w:hanging="360"/>
        <w:jc w:val="both"/>
        <w:rPr>
          <w:rFonts w:ascii="Tahoma" w:hAnsi="Tahoma" w:cs="Tahoma"/>
          <w:bCs/>
          <w:sz w:val="20"/>
          <w:szCs w:val="20"/>
        </w:rPr>
      </w:pPr>
      <w:r w:rsidRPr="005E1EA7">
        <w:rPr>
          <w:rFonts w:ascii="Tahoma" w:hAnsi="Tahoma" w:cs="Tahoma"/>
          <w:bCs/>
          <w:sz w:val="20"/>
          <w:szCs w:val="20"/>
        </w:rPr>
        <w:t>f) fournir des conseils sur la mise au point de systèmes enregistrant l’efficacité et des résultats des actions de contrôle ;</w:t>
      </w:r>
    </w:p>
    <w:p w14:paraId="20F13CE4" w14:textId="77777777" w:rsidR="00E34453" w:rsidRPr="005E1EA7" w:rsidRDefault="00E34453" w:rsidP="00E34453">
      <w:pPr>
        <w:autoSpaceDE w:val="0"/>
        <w:autoSpaceDN w:val="0"/>
        <w:adjustRightInd w:val="0"/>
        <w:ind w:left="720" w:hanging="360"/>
        <w:jc w:val="both"/>
        <w:rPr>
          <w:rFonts w:ascii="Tahoma" w:hAnsi="Tahoma" w:cs="Tahoma"/>
          <w:bCs/>
          <w:sz w:val="20"/>
          <w:szCs w:val="20"/>
        </w:rPr>
      </w:pPr>
    </w:p>
    <w:p w14:paraId="61B9AB5A" w14:textId="77777777" w:rsidR="00E34453" w:rsidRPr="005E1EA7" w:rsidRDefault="00E34453" w:rsidP="00E34453">
      <w:pPr>
        <w:autoSpaceDE w:val="0"/>
        <w:autoSpaceDN w:val="0"/>
        <w:adjustRightInd w:val="0"/>
        <w:ind w:left="720" w:hanging="360"/>
        <w:jc w:val="both"/>
        <w:rPr>
          <w:rFonts w:ascii="Tahoma" w:hAnsi="Tahoma" w:cs="Tahoma"/>
          <w:bCs/>
          <w:sz w:val="20"/>
          <w:szCs w:val="20"/>
        </w:rPr>
      </w:pPr>
      <w:r w:rsidRPr="005E1EA7">
        <w:rPr>
          <w:rFonts w:ascii="Tahoma" w:hAnsi="Tahoma" w:cs="Tahoma"/>
          <w:bCs/>
          <w:sz w:val="20"/>
          <w:szCs w:val="20"/>
        </w:rPr>
        <w:t>g) refléter les normes et les recommandations émises par les organismes internationaux compétents, concernant l’organisation et le fonctionnement des services officiels ;</w:t>
      </w:r>
    </w:p>
    <w:p w14:paraId="2AEF8233" w14:textId="77777777" w:rsidR="00E34453" w:rsidRPr="005E1EA7" w:rsidRDefault="00E34453" w:rsidP="00E34453">
      <w:pPr>
        <w:autoSpaceDE w:val="0"/>
        <w:autoSpaceDN w:val="0"/>
        <w:adjustRightInd w:val="0"/>
        <w:ind w:left="720" w:hanging="360"/>
        <w:jc w:val="both"/>
        <w:rPr>
          <w:rFonts w:ascii="Tahoma" w:hAnsi="Tahoma" w:cs="Tahoma"/>
          <w:bCs/>
          <w:sz w:val="20"/>
          <w:szCs w:val="20"/>
        </w:rPr>
      </w:pPr>
    </w:p>
    <w:p w14:paraId="4162A496" w14:textId="77777777" w:rsidR="00E34453" w:rsidRPr="005E1EA7" w:rsidRDefault="00E34453" w:rsidP="00E34453">
      <w:pPr>
        <w:autoSpaceDE w:val="0"/>
        <w:autoSpaceDN w:val="0"/>
        <w:adjustRightInd w:val="0"/>
        <w:ind w:left="720" w:hanging="360"/>
        <w:jc w:val="both"/>
        <w:rPr>
          <w:rFonts w:ascii="Tahoma" w:hAnsi="Tahoma" w:cs="Tahoma"/>
          <w:bCs/>
          <w:sz w:val="20"/>
          <w:szCs w:val="20"/>
        </w:rPr>
      </w:pPr>
      <w:r w:rsidRPr="005E1EA7">
        <w:rPr>
          <w:rFonts w:ascii="Tahoma" w:hAnsi="Tahoma" w:cs="Tahoma"/>
          <w:bCs/>
          <w:sz w:val="20"/>
          <w:szCs w:val="20"/>
        </w:rPr>
        <w:t>h) fixer des critères pour la réalisation des audits visés à l’article 4, paragraphe 4 ;</w:t>
      </w:r>
    </w:p>
    <w:p w14:paraId="0050E1F7" w14:textId="77777777" w:rsidR="00E34453" w:rsidRPr="005E1EA7" w:rsidRDefault="00E34453" w:rsidP="00E34453">
      <w:pPr>
        <w:autoSpaceDE w:val="0"/>
        <w:autoSpaceDN w:val="0"/>
        <w:adjustRightInd w:val="0"/>
        <w:ind w:left="720" w:hanging="360"/>
        <w:jc w:val="both"/>
        <w:rPr>
          <w:rFonts w:ascii="Tahoma" w:hAnsi="Tahoma" w:cs="Tahoma"/>
          <w:bCs/>
          <w:sz w:val="20"/>
          <w:szCs w:val="20"/>
        </w:rPr>
      </w:pPr>
    </w:p>
    <w:p w14:paraId="39F9818B" w14:textId="77777777" w:rsidR="00E34453" w:rsidRPr="005E1EA7" w:rsidRDefault="00E34453" w:rsidP="00E34453">
      <w:pPr>
        <w:autoSpaceDE w:val="0"/>
        <w:autoSpaceDN w:val="0"/>
        <w:adjustRightInd w:val="0"/>
        <w:ind w:left="720" w:hanging="360"/>
        <w:jc w:val="both"/>
        <w:rPr>
          <w:rFonts w:ascii="Tahoma" w:hAnsi="Tahoma" w:cs="Tahoma"/>
          <w:bCs/>
          <w:sz w:val="20"/>
          <w:szCs w:val="20"/>
        </w:rPr>
      </w:pPr>
      <w:r w:rsidRPr="005E1EA7">
        <w:rPr>
          <w:rFonts w:ascii="Tahoma" w:hAnsi="Tahoma" w:cs="Tahoma"/>
          <w:bCs/>
          <w:sz w:val="20"/>
          <w:szCs w:val="20"/>
        </w:rPr>
        <w:t>i) définir la structure et le contenu des rapports annuels requis à l’article 22.</w:t>
      </w:r>
    </w:p>
    <w:p w14:paraId="33EB8FE9" w14:textId="77777777" w:rsidR="00E34453" w:rsidRPr="005E1EA7" w:rsidRDefault="00E34453" w:rsidP="00E34453">
      <w:pPr>
        <w:autoSpaceDE w:val="0"/>
        <w:autoSpaceDN w:val="0"/>
        <w:adjustRightInd w:val="0"/>
        <w:jc w:val="both"/>
        <w:rPr>
          <w:rFonts w:ascii="Tahoma" w:hAnsi="Tahoma" w:cs="Tahoma"/>
          <w:bCs/>
          <w:sz w:val="20"/>
          <w:szCs w:val="20"/>
        </w:rPr>
      </w:pPr>
    </w:p>
    <w:p w14:paraId="6EFC9A69" w14:textId="77777777" w:rsidR="00E34453" w:rsidRPr="005E1EA7" w:rsidRDefault="00E34453" w:rsidP="00E34453">
      <w:pPr>
        <w:autoSpaceDE w:val="0"/>
        <w:autoSpaceDN w:val="0"/>
        <w:adjustRightInd w:val="0"/>
        <w:jc w:val="both"/>
        <w:rPr>
          <w:rFonts w:ascii="Tahoma" w:hAnsi="Tahoma" w:cs="Tahoma"/>
          <w:bCs/>
          <w:sz w:val="20"/>
          <w:szCs w:val="20"/>
        </w:rPr>
      </w:pPr>
      <w:r w:rsidRPr="005E1EA7">
        <w:rPr>
          <w:rFonts w:ascii="Tahoma" w:hAnsi="Tahoma" w:cs="Tahoma"/>
          <w:b/>
          <w:sz w:val="20"/>
          <w:szCs w:val="20"/>
          <w:u w:val="single"/>
        </w:rPr>
        <w:t>Article 22</w:t>
      </w:r>
      <w:r w:rsidRPr="005E1EA7">
        <w:rPr>
          <w:rFonts w:ascii="Tahoma" w:hAnsi="Tahoma" w:cs="Tahoma"/>
          <w:bCs/>
          <w:sz w:val="20"/>
          <w:szCs w:val="20"/>
        </w:rPr>
        <w:t xml:space="preserve"> - Rapports annuels</w:t>
      </w:r>
    </w:p>
    <w:p w14:paraId="6BBC93E5" w14:textId="77777777" w:rsidR="00E34453" w:rsidRPr="005E1EA7" w:rsidRDefault="00E34453" w:rsidP="00E34453">
      <w:pPr>
        <w:autoSpaceDE w:val="0"/>
        <w:autoSpaceDN w:val="0"/>
        <w:adjustRightInd w:val="0"/>
        <w:jc w:val="both"/>
        <w:rPr>
          <w:rFonts w:ascii="Tahoma" w:hAnsi="Tahoma" w:cs="Tahoma"/>
          <w:bCs/>
          <w:sz w:val="20"/>
          <w:szCs w:val="20"/>
        </w:rPr>
      </w:pPr>
    </w:p>
    <w:p w14:paraId="3C82ABA8" w14:textId="77777777" w:rsidR="00E34453" w:rsidRPr="005E1EA7" w:rsidRDefault="00E34453" w:rsidP="00E34453">
      <w:pPr>
        <w:autoSpaceDE w:val="0"/>
        <w:autoSpaceDN w:val="0"/>
        <w:adjustRightInd w:val="0"/>
        <w:jc w:val="both"/>
        <w:rPr>
          <w:rFonts w:ascii="Tahoma" w:hAnsi="Tahoma" w:cs="Tahoma"/>
          <w:bCs/>
          <w:sz w:val="20"/>
          <w:szCs w:val="20"/>
        </w:rPr>
      </w:pPr>
      <w:r w:rsidRPr="005E1EA7">
        <w:rPr>
          <w:rFonts w:ascii="Tahoma" w:hAnsi="Tahoma" w:cs="Tahoma"/>
          <w:bCs/>
          <w:sz w:val="20"/>
          <w:szCs w:val="20"/>
        </w:rPr>
        <w:t>1. Un rapport annuel est fourni à l’Autorité compétente, indiquant :</w:t>
      </w:r>
    </w:p>
    <w:p w14:paraId="7C00226C" w14:textId="77777777" w:rsidR="00E34453" w:rsidRPr="005E1EA7" w:rsidRDefault="00E34453" w:rsidP="00E34453">
      <w:pPr>
        <w:autoSpaceDE w:val="0"/>
        <w:autoSpaceDN w:val="0"/>
        <w:adjustRightInd w:val="0"/>
        <w:jc w:val="both"/>
        <w:rPr>
          <w:rFonts w:ascii="Tahoma" w:hAnsi="Tahoma" w:cs="Tahoma"/>
          <w:bCs/>
          <w:sz w:val="20"/>
          <w:szCs w:val="20"/>
        </w:rPr>
      </w:pPr>
    </w:p>
    <w:p w14:paraId="2C3573A2" w14:textId="77777777" w:rsidR="00E34453" w:rsidRPr="005E1EA7" w:rsidRDefault="00E34453" w:rsidP="00E34453">
      <w:pPr>
        <w:autoSpaceDE w:val="0"/>
        <w:autoSpaceDN w:val="0"/>
        <w:adjustRightInd w:val="0"/>
        <w:ind w:left="720" w:hanging="360"/>
        <w:jc w:val="both"/>
        <w:rPr>
          <w:rFonts w:ascii="Tahoma" w:hAnsi="Tahoma" w:cs="Tahoma"/>
          <w:bCs/>
          <w:sz w:val="20"/>
          <w:szCs w:val="20"/>
        </w:rPr>
      </w:pPr>
      <w:r w:rsidRPr="005E1EA7">
        <w:rPr>
          <w:rFonts w:ascii="Tahoma" w:hAnsi="Tahoma" w:cs="Tahoma"/>
          <w:bCs/>
          <w:sz w:val="20"/>
          <w:szCs w:val="20"/>
        </w:rPr>
        <w:t>a) toute modification apportée au plan de contrôle national ;</w:t>
      </w:r>
    </w:p>
    <w:p w14:paraId="19A1E4FF" w14:textId="77777777" w:rsidR="00E34453" w:rsidRPr="005E1EA7" w:rsidRDefault="00E34453" w:rsidP="00E34453">
      <w:pPr>
        <w:autoSpaceDE w:val="0"/>
        <w:autoSpaceDN w:val="0"/>
        <w:adjustRightInd w:val="0"/>
        <w:ind w:left="720" w:hanging="360"/>
        <w:jc w:val="both"/>
        <w:rPr>
          <w:rFonts w:ascii="Tahoma" w:hAnsi="Tahoma" w:cs="Tahoma"/>
          <w:bCs/>
          <w:sz w:val="20"/>
          <w:szCs w:val="20"/>
        </w:rPr>
      </w:pPr>
    </w:p>
    <w:p w14:paraId="72DAC7A0" w14:textId="77777777" w:rsidR="00E34453" w:rsidRPr="005E1EA7" w:rsidRDefault="00E34453" w:rsidP="00E34453">
      <w:pPr>
        <w:autoSpaceDE w:val="0"/>
        <w:autoSpaceDN w:val="0"/>
        <w:adjustRightInd w:val="0"/>
        <w:ind w:left="720" w:hanging="360"/>
        <w:jc w:val="both"/>
        <w:rPr>
          <w:rFonts w:ascii="Tahoma" w:hAnsi="Tahoma" w:cs="Tahoma"/>
          <w:bCs/>
          <w:sz w:val="20"/>
          <w:szCs w:val="20"/>
        </w:rPr>
      </w:pPr>
      <w:r w:rsidRPr="005E1EA7">
        <w:rPr>
          <w:rFonts w:ascii="Tahoma" w:hAnsi="Tahoma" w:cs="Tahoma"/>
          <w:bCs/>
          <w:sz w:val="20"/>
          <w:szCs w:val="20"/>
        </w:rPr>
        <w:t>b) les résultats des contrôles et des audits effectués l’année précédente conformément aux dispositions du plan de contrôle national ;</w:t>
      </w:r>
    </w:p>
    <w:p w14:paraId="4E293FC8" w14:textId="77777777" w:rsidR="00E34453" w:rsidRPr="005E1EA7" w:rsidRDefault="00E34453" w:rsidP="00E34453">
      <w:pPr>
        <w:autoSpaceDE w:val="0"/>
        <w:autoSpaceDN w:val="0"/>
        <w:adjustRightInd w:val="0"/>
        <w:ind w:left="720" w:hanging="360"/>
        <w:jc w:val="both"/>
        <w:rPr>
          <w:rFonts w:ascii="Tahoma" w:hAnsi="Tahoma" w:cs="Tahoma"/>
          <w:bCs/>
          <w:sz w:val="20"/>
          <w:szCs w:val="20"/>
        </w:rPr>
      </w:pPr>
    </w:p>
    <w:p w14:paraId="1F80C2D6" w14:textId="77777777" w:rsidR="00E34453" w:rsidRPr="005E1EA7" w:rsidRDefault="00E34453" w:rsidP="00E34453">
      <w:pPr>
        <w:autoSpaceDE w:val="0"/>
        <w:autoSpaceDN w:val="0"/>
        <w:adjustRightInd w:val="0"/>
        <w:ind w:left="720" w:hanging="360"/>
        <w:jc w:val="both"/>
        <w:rPr>
          <w:rFonts w:ascii="Tahoma" w:hAnsi="Tahoma" w:cs="Tahoma"/>
          <w:bCs/>
          <w:sz w:val="20"/>
          <w:szCs w:val="20"/>
        </w:rPr>
      </w:pPr>
      <w:r w:rsidRPr="005E1EA7">
        <w:rPr>
          <w:rFonts w:ascii="Tahoma" w:hAnsi="Tahoma" w:cs="Tahoma"/>
          <w:bCs/>
          <w:sz w:val="20"/>
          <w:szCs w:val="20"/>
        </w:rPr>
        <w:t>c) le type et le nombre de cas de manquement relevés ;</w:t>
      </w:r>
    </w:p>
    <w:p w14:paraId="29BF43CA" w14:textId="77777777" w:rsidR="00E34453" w:rsidRPr="005E1EA7" w:rsidRDefault="00E34453" w:rsidP="00E34453">
      <w:pPr>
        <w:autoSpaceDE w:val="0"/>
        <w:autoSpaceDN w:val="0"/>
        <w:adjustRightInd w:val="0"/>
        <w:ind w:left="720" w:hanging="360"/>
        <w:jc w:val="both"/>
        <w:rPr>
          <w:rFonts w:ascii="Tahoma" w:hAnsi="Tahoma" w:cs="Tahoma"/>
          <w:bCs/>
          <w:sz w:val="20"/>
          <w:szCs w:val="20"/>
        </w:rPr>
      </w:pPr>
    </w:p>
    <w:p w14:paraId="29987121" w14:textId="77777777" w:rsidR="00E34453" w:rsidRPr="005E1EA7" w:rsidRDefault="00E34453" w:rsidP="00E34453">
      <w:pPr>
        <w:autoSpaceDE w:val="0"/>
        <w:autoSpaceDN w:val="0"/>
        <w:adjustRightInd w:val="0"/>
        <w:ind w:left="720" w:hanging="360"/>
        <w:jc w:val="both"/>
        <w:rPr>
          <w:rFonts w:ascii="Tahoma" w:hAnsi="Tahoma" w:cs="Tahoma"/>
          <w:bCs/>
          <w:sz w:val="20"/>
          <w:szCs w:val="20"/>
        </w:rPr>
      </w:pPr>
      <w:r w:rsidRPr="005E1EA7">
        <w:rPr>
          <w:rFonts w:ascii="Tahoma" w:hAnsi="Tahoma" w:cs="Tahoma"/>
          <w:bCs/>
          <w:sz w:val="20"/>
          <w:szCs w:val="20"/>
        </w:rPr>
        <w:t>d) les mesures destinées à assurer la mise en œuvre efficace du plan de contrôle annuel, y compris les mesures coercitives et leurs effets.</w:t>
      </w:r>
    </w:p>
    <w:p w14:paraId="5838C32C" w14:textId="77777777" w:rsidR="00E34453" w:rsidRPr="005E1EA7" w:rsidRDefault="00E34453" w:rsidP="00E34453">
      <w:pPr>
        <w:autoSpaceDE w:val="0"/>
        <w:autoSpaceDN w:val="0"/>
        <w:adjustRightInd w:val="0"/>
        <w:jc w:val="both"/>
        <w:rPr>
          <w:rFonts w:ascii="Tahoma" w:hAnsi="Tahoma" w:cs="Tahoma"/>
          <w:bCs/>
          <w:sz w:val="20"/>
          <w:szCs w:val="20"/>
        </w:rPr>
      </w:pPr>
    </w:p>
    <w:p w14:paraId="14A45411" w14:textId="77777777" w:rsidR="00E34453" w:rsidRPr="005E1EA7" w:rsidRDefault="00E34453" w:rsidP="00E34453">
      <w:pPr>
        <w:autoSpaceDE w:val="0"/>
        <w:autoSpaceDN w:val="0"/>
        <w:adjustRightInd w:val="0"/>
        <w:jc w:val="both"/>
        <w:rPr>
          <w:rFonts w:ascii="Tahoma" w:hAnsi="Tahoma" w:cs="Tahoma"/>
          <w:bCs/>
          <w:sz w:val="20"/>
          <w:szCs w:val="20"/>
        </w:rPr>
      </w:pPr>
      <w:r w:rsidRPr="005E1EA7">
        <w:rPr>
          <w:rFonts w:ascii="Tahoma" w:hAnsi="Tahoma" w:cs="Tahoma"/>
          <w:bCs/>
          <w:sz w:val="20"/>
          <w:szCs w:val="20"/>
        </w:rPr>
        <w:t>2. L’organisme de contrôle met au point son rapport et le transmet à l’Autorité compétente dans un délai de six (6) mois à compter de la fin de l’année sur laquelle il porte.</w:t>
      </w:r>
    </w:p>
    <w:p w14:paraId="7F39C4EC" w14:textId="77777777" w:rsidR="00E34453" w:rsidRPr="005E1EA7" w:rsidRDefault="00E34453" w:rsidP="00E34453">
      <w:pPr>
        <w:autoSpaceDE w:val="0"/>
        <w:autoSpaceDN w:val="0"/>
        <w:adjustRightInd w:val="0"/>
        <w:jc w:val="both"/>
        <w:rPr>
          <w:rFonts w:ascii="Tahoma" w:hAnsi="Tahoma" w:cs="Tahoma"/>
          <w:bCs/>
          <w:sz w:val="20"/>
          <w:szCs w:val="20"/>
        </w:rPr>
      </w:pPr>
    </w:p>
    <w:p w14:paraId="66448D24" w14:textId="77777777" w:rsidR="00E34453" w:rsidRPr="005E1EA7" w:rsidRDefault="00E34453" w:rsidP="00E34453">
      <w:pPr>
        <w:autoSpaceDE w:val="0"/>
        <w:autoSpaceDN w:val="0"/>
        <w:adjustRightInd w:val="0"/>
        <w:jc w:val="both"/>
        <w:rPr>
          <w:rFonts w:ascii="Tahoma" w:hAnsi="Tahoma" w:cs="Tahoma"/>
          <w:bCs/>
          <w:sz w:val="20"/>
          <w:szCs w:val="20"/>
        </w:rPr>
      </w:pPr>
      <w:r w:rsidRPr="005E1EA7">
        <w:rPr>
          <w:rFonts w:ascii="Tahoma" w:hAnsi="Tahoma" w:cs="Tahoma"/>
          <w:bCs/>
          <w:sz w:val="20"/>
          <w:szCs w:val="20"/>
        </w:rPr>
        <w:t>3. Ce rapport peut comporter, le cas échéant, des recommandations concernant les améliorations possibles des systèmes de contrôle officiel et d’audit, notamment en ce qui concerne leur portée, leur gestion et leur mise en œuvre ;</w:t>
      </w:r>
    </w:p>
    <w:p w14:paraId="6EE77E35" w14:textId="77777777" w:rsidR="00E34453" w:rsidRPr="005E1EA7" w:rsidRDefault="00E34453" w:rsidP="00E34453">
      <w:pPr>
        <w:autoSpaceDE w:val="0"/>
        <w:autoSpaceDN w:val="0"/>
        <w:adjustRightInd w:val="0"/>
        <w:jc w:val="both"/>
        <w:rPr>
          <w:rFonts w:ascii="Tahoma" w:hAnsi="Tahoma" w:cs="Tahoma"/>
          <w:bCs/>
          <w:sz w:val="20"/>
          <w:szCs w:val="20"/>
        </w:rPr>
      </w:pPr>
    </w:p>
    <w:p w14:paraId="41E1B92E" w14:textId="77777777" w:rsidR="00E34453" w:rsidRPr="005E1EA7" w:rsidRDefault="00E34453" w:rsidP="00E34453">
      <w:pPr>
        <w:autoSpaceDE w:val="0"/>
        <w:autoSpaceDN w:val="0"/>
        <w:adjustRightInd w:val="0"/>
        <w:jc w:val="both"/>
        <w:rPr>
          <w:rFonts w:ascii="Tahoma" w:hAnsi="Tahoma" w:cs="Tahoma"/>
          <w:bCs/>
          <w:sz w:val="20"/>
          <w:szCs w:val="20"/>
        </w:rPr>
      </w:pPr>
      <w:r w:rsidRPr="005E1EA7">
        <w:rPr>
          <w:rFonts w:ascii="Tahoma" w:hAnsi="Tahoma" w:cs="Tahoma"/>
          <w:bCs/>
          <w:sz w:val="20"/>
          <w:szCs w:val="20"/>
        </w:rPr>
        <w:t>4. Le plan de contrôle national et les lignes directrices y afférentes sont ajustés, le cas échéant, en fonction des conclusions et des recommandations figurant dans le rapport.</w:t>
      </w:r>
    </w:p>
    <w:p w14:paraId="0B89F234" w14:textId="77777777" w:rsidR="00E34453" w:rsidRPr="005E1EA7" w:rsidRDefault="00E34453" w:rsidP="00E34453">
      <w:pPr>
        <w:autoSpaceDE w:val="0"/>
        <w:autoSpaceDN w:val="0"/>
        <w:adjustRightInd w:val="0"/>
        <w:jc w:val="both"/>
        <w:rPr>
          <w:rFonts w:ascii="Tahoma" w:hAnsi="Tahoma" w:cs="Tahoma"/>
          <w:bCs/>
          <w:sz w:val="20"/>
          <w:szCs w:val="20"/>
        </w:rPr>
      </w:pPr>
    </w:p>
    <w:p w14:paraId="461D7C39" w14:textId="77777777" w:rsidR="00E34453" w:rsidRPr="005E1EA7" w:rsidRDefault="00E34453" w:rsidP="00E34453">
      <w:pPr>
        <w:autoSpaceDE w:val="0"/>
        <w:autoSpaceDN w:val="0"/>
        <w:adjustRightInd w:val="0"/>
        <w:jc w:val="both"/>
        <w:rPr>
          <w:rFonts w:ascii="Tahoma" w:eastAsia="EUAlbertina-Bold-Identity-H" w:hAnsi="Tahoma" w:cs="Tahoma"/>
          <w:bCs/>
          <w:sz w:val="20"/>
          <w:szCs w:val="20"/>
        </w:rPr>
      </w:pPr>
      <w:r w:rsidRPr="005E1EA7">
        <w:rPr>
          <w:rFonts w:ascii="Tahoma" w:eastAsia="EUAlbertina-Regular-Identity-H" w:hAnsi="Tahoma" w:cs="Tahoma"/>
          <w:b/>
          <w:sz w:val="20"/>
          <w:szCs w:val="20"/>
          <w:u w:val="single"/>
        </w:rPr>
        <w:t xml:space="preserve">Article 23 </w:t>
      </w:r>
      <w:r w:rsidRPr="005E1EA7">
        <w:rPr>
          <w:rFonts w:ascii="Tahoma" w:eastAsia="EUAlbertina-Regular-Identity-H" w:hAnsi="Tahoma" w:cs="Tahoma"/>
          <w:b/>
          <w:sz w:val="20"/>
          <w:szCs w:val="20"/>
        </w:rPr>
        <w:t>-</w:t>
      </w:r>
      <w:r w:rsidRPr="005E1EA7">
        <w:rPr>
          <w:rFonts w:ascii="Tahoma" w:eastAsia="EUAlbertina-Regular-Identity-H" w:hAnsi="Tahoma" w:cs="Tahoma"/>
          <w:bCs/>
          <w:sz w:val="20"/>
          <w:szCs w:val="20"/>
        </w:rPr>
        <w:t xml:space="preserve"> </w:t>
      </w:r>
      <w:r w:rsidRPr="005E1EA7">
        <w:rPr>
          <w:rFonts w:ascii="Tahoma" w:eastAsia="EUAlbertina-Bold-Identity-H" w:hAnsi="Tahoma" w:cs="Tahoma"/>
          <w:bCs/>
          <w:sz w:val="20"/>
          <w:szCs w:val="20"/>
        </w:rPr>
        <w:t>Contrôles de l’autorité compétente</w:t>
      </w:r>
    </w:p>
    <w:p w14:paraId="74336D8C" w14:textId="77777777" w:rsidR="00E34453" w:rsidRPr="005E1EA7" w:rsidRDefault="00E34453" w:rsidP="00E34453">
      <w:pPr>
        <w:autoSpaceDE w:val="0"/>
        <w:autoSpaceDN w:val="0"/>
        <w:adjustRightInd w:val="0"/>
        <w:jc w:val="both"/>
        <w:rPr>
          <w:rFonts w:ascii="Tahoma" w:eastAsia="EUAlbertina-Regular-Identity-H" w:hAnsi="Tahoma" w:cs="Tahoma"/>
          <w:bCs/>
          <w:sz w:val="20"/>
          <w:szCs w:val="20"/>
        </w:rPr>
      </w:pPr>
    </w:p>
    <w:p w14:paraId="73FE81B4"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 xml:space="preserve">1. Des audits et des inspections spécifiques sont organisés, à la demande du Ministre chargé de la pêche, afin de vérifier que, en règle générale, les contrôles officiels effectués se déroulent conformément au plan de contrôle annuel visé à l’article 20. </w:t>
      </w:r>
    </w:p>
    <w:p w14:paraId="05C2BB2C"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1A93464D"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2. Ces audits et inspections spécifiques ont notamment pour objet de :</w:t>
      </w:r>
    </w:p>
    <w:p w14:paraId="1EFCBE1C"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6115EC3F" w14:textId="77777777" w:rsidR="00E34453" w:rsidRPr="005E1EA7" w:rsidRDefault="00E34453" w:rsidP="00E34453">
      <w:pPr>
        <w:autoSpaceDE w:val="0"/>
        <w:autoSpaceDN w:val="0"/>
        <w:adjustRightInd w:val="0"/>
        <w:ind w:left="720" w:hanging="360"/>
        <w:jc w:val="both"/>
        <w:rPr>
          <w:rFonts w:ascii="Tahoma" w:eastAsia="EUAlbertina-Regular-Identity-H" w:hAnsi="Tahoma" w:cs="Tahoma"/>
          <w:sz w:val="20"/>
          <w:szCs w:val="20"/>
        </w:rPr>
      </w:pPr>
      <w:r w:rsidRPr="005E1EA7">
        <w:rPr>
          <w:rFonts w:ascii="Tahoma" w:eastAsia="EUAlbertina-Regular-Identity-H" w:hAnsi="Tahoma" w:cs="Tahoma"/>
          <w:sz w:val="20"/>
          <w:szCs w:val="20"/>
        </w:rPr>
        <w:t>a) vérifier la mise en œuvre du plan de contrôle annuel, de la législation relative aux produits de la pêche et ils peuvent comprendre, le cas échéant, des inspections sur place des services officiels de l’organisme de contrôle et des installations liées au secteur faisant l’objet de l’audit ;</w:t>
      </w:r>
    </w:p>
    <w:p w14:paraId="21150FF2" w14:textId="77777777" w:rsidR="00E34453" w:rsidRPr="005E1EA7" w:rsidRDefault="00E34453" w:rsidP="00E34453">
      <w:pPr>
        <w:autoSpaceDE w:val="0"/>
        <w:autoSpaceDN w:val="0"/>
        <w:adjustRightInd w:val="0"/>
        <w:ind w:left="720" w:hanging="360"/>
        <w:jc w:val="both"/>
        <w:rPr>
          <w:rFonts w:ascii="Tahoma" w:eastAsia="EUAlbertina-Regular-Identity-H" w:hAnsi="Tahoma" w:cs="Tahoma"/>
          <w:sz w:val="20"/>
          <w:szCs w:val="20"/>
        </w:rPr>
      </w:pPr>
    </w:p>
    <w:p w14:paraId="40116F56" w14:textId="77777777" w:rsidR="00E34453" w:rsidRPr="005E1EA7" w:rsidRDefault="00E34453" w:rsidP="00E34453">
      <w:pPr>
        <w:autoSpaceDE w:val="0"/>
        <w:autoSpaceDN w:val="0"/>
        <w:adjustRightInd w:val="0"/>
        <w:ind w:left="720" w:hanging="360"/>
        <w:jc w:val="both"/>
        <w:rPr>
          <w:rFonts w:ascii="Tahoma" w:eastAsia="EUAlbertina-Regular-Identity-H" w:hAnsi="Tahoma" w:cs="Tahoma"/>
          <w:sz w:val="20"/>
          <w:szCs w:val="20"/>
        </w:rPr>
      </w:pPr>
      <w:r w:rsidRPr="005E1EA7">
        <w:rPr>
          <w:rFonts w:ascii="Tahoma" w:eastAsia="EUAlbertina-Regular-Identity-H" w:hAnsi="Tahoma" w:cs="Tahoma"/>
          <w:sz w:val="20"/>
          <w:szCs w:val="20"/>
        </w:rPr>
        <w:t>b) vérifier le fonctionnement et l’organisation de l’autorité compétente et de l’organisme de contrôle ;</w:t>
      </w:r>
    </w:p>
    <w:p w14:paraId="77E90776" w14:textId="77777777" w:rsidR="00E34453" w:rsidRPr="005E1EA7" w:rsidRDefault="00E34453" w:rsidP="00E34453">
      <w:pPr>
        <w:autoSpaceDE w:val="0"/>
        <w:autoSpaceDN w:val="0"/>
        <w:adjustRightInd w:val="0"/>
        <w:ind w:left="720" w:hanging="360"/>
        <w:jc w:val="both"/>
        <w:rPr>
          <w:rFonts w:ascii="Tahoma" w:eastAsia="EUAlbertina-Regular-Identity-H" w:hAnsi="Tahoma" w:cs="Tahoma"/>
          <w:sz w:val="20"/>
          <w:szCs w:val="20"/>
        </w:rPr>
      </w:pPr>
    </w:p>
    <w:p w14:paraId="41D0362C" w14:textId="77777777" w:rsidR="00E34453" w:rsidRPr="005E1EA7" w:rsidRDefault="00E34453" w:rsidP="00E34453">
      <w:pPr>
        <w:autoSpaceDE w:val="0"/>
        <w:autoSpaceDN w:val="0"/>
        <w:adjustRightInd w:val="0"/>
        <w:ind w:left="720" w:hanging="360"/>
        <w:jc w:val="both"/>
        <w:rPr>
          <w:rFonts w:ascii="Tahoma" w:eastAsia="EUAlbertina-Regular-Identity-H" w:hAnsi="Tahoma" w:cs="Tahoma"/>
          <w:sz w:val="20"/>
          <w:szCs w:val="20"/>
        </w:rPr>
      </w:pPr>
      <w:r w:rsidRPr="005E1EA7">
        <w:rPr>
          <w:rFonts w:ascii="Tahoma" w:eastAsia="EUAlbertina-Regular-Identity-H" w:hAnsi="Tahoma" w:cs="Tahoma"/>
          <w:sz w:val="20"/>
          <w:szCs w:val="20"/>
        </w:rPr>
        <w:t>c) enquêter sur des problèmes importants ou récurrents.</w:t>
      </w:r>
    </w:p>
    <w:p w14:paraId="6BBB1D02"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0454CC91"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3. Le responsable de l’inspection ou de l’audit, désigné par le Ministre chargé de la pêche, établit un rapport sur les constatations faites lors de chaque contrôle effectué. Ce rapport contient, le cas échéant, des recommandations adressées par le Ministre chargé de la pêche en vue d’un meilleur respect de la législation relative aux produits de la pêche. Les observations de l’autorité compétente sont prises en compte lors de l’élaboration du rapport définitif.</w:t>
      </w:r>
    </w:p>
    <w:p w14:paraId="44388D4C"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48918668"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4. L’autorité compétente et l’organisme de contrôle doivent prendre des mesures de suivi appropriées à la lumière des recommandations formulées dans le rapport à la suite des contrôles.</w:t>
      </w:r>
    </w:p>
    <w:p w14:paraId="11DE2FE8"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13E08EE2" w14:textId="77777777" w:rsidR="00E34453" w:rsidRPr="005E1EA7" w:rsidRDefault="00E34453" w:rsidP="00E34453">
      <w:pPr>
        <w:autoSpaceDE w:val="0"/>
        <w:autoSpaceDN w:val="0"/>
        <w:adjustRightInd w:val="0"/>
        <w:jc w:val="center"/>
        <w:rPr>
          <w:rFonts w:ascii="Tahoma" w:hAnsi="Tahoma" w:cs="Tahoma"/>
          <w:b/>
          <w:bCs/>
          <w:sz w:val="20"/>
          <w:szCs w:val="20"/>
        </w:rPr>
      </w:pPr>
      <w:r w:rsidRPr="005E1EA7">
        <w:rPr>
          <w:rFonts w:ascii="Tahoma" w:hAnsi="Tahoma" w:cs="Tahoma"/>
          <w:b/>
          <w:bCs/>
          <w:sz w:val="20"/>
          <w:szCs w:val="20"/>
        </w:rPr>
        <w:t>TITRE IV - MESURES COERCITIVES NATIONALES</w:t>
      </w:r>
    </w:p>
    <w:p w14:paraId="28D61F0A" w14:textId="77777777" w:rsidR="00E34453" w:rsidRPr="005E1EA7" w:rsidRDefault="00E34453" w:rsidP="00E34453">
      <w:pPr>
        <w:autoSpaceDE w:val="0"/>
        <w:autoSpaceDN w:val="0"/>
        <w:adjustRightInd w:val="0"/>
        <w:jc w:val="both"/>
        <w:rPr>
          <w:rFonts w:ascii="Tahoma" w:hAnsi="Tahoma" w:cs="Tahoma"/>
          <w:iCs/>
          <w:sz w:val="20"/>
          <w:szCs w:val="20"/>
        </w:rPr>
      </w:pPr>
    </w:p>
    <w:p w14:paraId="3971792E" w14:textId="77777777" w:rsidR="00E34453" w:rsidRPr="005E1EA7" w:rsidRDefault="00E34453" w:rsidP="00E34453">
      <w:pPr>
        <w:autoSpaceDE w:val="0"/>
        <w:autoSpaceDN w:val="0"/>
        <w:adjustRightInd w:val="0"/>
        <w:jc w:val="both"/>
        <w:rPr>
          <w:rFonts w:ascii="Tahoma" w:hAnsi="Tahoma" w:cs="Tahoma"/>
          <w:bCs/>
          <w:sz w:val="20"/>
          <w:szCs w:val="20"/>
        </w:rPr>
      </w:pPr>
      <w:r w:rsidRPr="005E1EA7">
        <w:rPr>
          <w:rFonts w:ascii="Tahoma" w:hAnsi="Tahoma" w:cs="Tahoma"/>
          <w:b/>
          <w:sz w:val="20"/>
          <w:szCs w:val="20"/>
          <w:u w:val="single"/>
        </w:rPr>
        <w:t>Article 24</w:t>
      </w:r>
      <w:r w:rsidRPr="005E1EA7">
        <w:rPr>
          <w:rFonts w:ascii="Tahoma" w:hAnsi="Tahoma" w:cs="Tahoma"/>
          <w:b/>
          <w:sz w:val="20"/>
          <w:szCs w:val="20"/>
        </w:rPr>
        <w:t xml:space="preserve"> -</w:t>
      </w:r>
      <w:r w:rsidRPr="005E1EA7">
        <w:rPr>
          <w:rFonts w:ascii="Tahoma" w:hAnsi="Tahoma" w:cs="Tahoma"/>
          <w:bCs/>
          <w:sz w:val="20"/>
          <w:szCs w:val="20"/>
        </w:rPr>
        <w:t xml:space="preserve"> Mesures en cas de manquement</w:t>
      </w:r>
    </w:p>
    <w:p w14:paraId="5142BC8A" w14:textId="77777777" w:rsidR="00E34453" w:rsidRPr="005E1EA7" w:rsidRDefault="00E34453" w:rsidP="00E34453">
      <w:pPr>
        <w:autoSpaceDE w:val="0"/>
        <w:autoSpaceDN w:val="0"/>
        <w:adjustRightInd w:val="0"/>
        <w:jc w:val="both"/>
        <w:rPr>
          <w:rFonts w:ascii="Tahoma" w:hAnsi="Tahoma" w:cs="Tahoma"/>
          <w:sz w:val="20"/>
          <w:szCs w:val="20"/>
        </w:rPr>
      </w:pPr>
    </w:p>
    <w:p w14:paraId="0847EA61" w14:textId="77777777" w:rsidR="00E34453" w:rsidRPr="005E1EA7" w:rsidRDefault="00E34453" w:rsidP="00E34453">
      <w:pPr>
        <w:autoSpaceDE w:val="0"/>
        <w:autoSpaceDN w:val="0"/>
        <w:adjustRightInd w:val="0"/>
        <w:jc w:val="both"/>
        <w:rPr>
          <w:rFonts w:ascii="Tahoma" w:hAnsi="Tahoma" w:cs="Tahoma"/>
          <w:sz w:val="20"/>
          <w:szCs w:val="20"/>
        </w:rPr>
      </w:pPr>
      <w:r w:rsidRPr="005E1EA7">
        <w:rPr>
          <w:rFonts w:ascii="Tahoma" w:hAnsi="Tahoma" w:cs="Tahoma"/>
          <w:sz w:val="20"/>
          <w:szCs w:val="20"/>
        </w:rPr>
        <w:t>1. Lorsque l’organisme de contrôle relève un manquement, il prend les mesures nécessaires pour que l’exploitant remédie à cette situation. Lorsqu’il détermine les mesures à prendre, l’organisme de contrôle tient compte de la nature du manquement et des antécédents de cet exploitant en matière de manquements.</w:t>
      </w:r>
    </w:p>
    <w:p w14:paraId="49F74276" w14:textId="77777777" w:rsidR="00E34453" w:rsidRPr="005E1EA7" w:rsidRDefault="00E34453" w:rsidP="00E34453">
      <w:pPr>
        <w:autoSpaceDE w:val="0"/>
        <w:autoSpaceDN w:val="0"/>
        <w:adjustRightInd w:val="0"/>
        <w:jc w:val="both"/>
        <w:rPr>
          <w:rFonts w:ascii="Tahoma" w:hAnsi="Tahoma" w:cs="Tahoma"/>
          <w:sz w:val="20"/>
          <w:szCs w:val="20"/>
        </w:rPr>
      </w:pPr>
    </w:p>
    <w:p w14:paraId="2DBD7DB0" w14:textId="77777777" w:rsidR="00E34453" w:rsidRPr="005E1EA7" w:rsidRDefault="00E34453" w:rsidP="00E34453">
      <w:pPr>
        <w:autoSpaceDE w:val="0"/>
        <w:autoSpaceDN w:val="0"/>
        <w:adjustRightInd w:val="0"/>
        <w:jc w:val="both"/>
        <w:rPr>
          <w:rFonts w:ascii="Tahoma" w:hAnsi="Tahoma" w:cs="Tahoma"/>
          <w:sz w:val="20"/>
          <w:szCs w:val="20"/>
        </w:rPr>
      </w:pPr>
      <w:r w:rsidRPr="005E1EA7">
        <w:rPr>
          <w:rFonts w:ascii="Tahoma" w:hAnsi="Tahoma" w:cs="Tahoma"/>
          <w:sz w:val="20"/>
          <w:szCs w:val="20"/>
        </w:rPr>
        <w:t>2. Ces mesures comprennent, le cas échéant, les dispositions suivantes :</w:t>
      </w:r>
    </w:p>
    <w:p w14:paraId="598B9417" w14:textId="77777777" w:rsidR="00E34453" w:rsidRPr="005E1EA7" w:rsidRDefault="00E34453" w:rsidP="00E34453">
      <w:pPr>
        <w:autoSpaceDE w:val="0"/>
        <w:autoSpaceDN w:val="0"/>
        <w:adjustRightInd w:val="0"/>
        <w:jc w:val="both"/>
        <w:rPr>
          <w:rFonts w:ascii="Tahoma" w:hAnsi="Tahoma" w:cs="Tahoma"/>
          <w:sz w:val="20"/>
          <w:szCs w:val="20"/>
        </w:rPr>
      </w:pPr>
    </w:p>
    <w:p w14:paraId="5ABD1750" w14:textId="77777777" w:rsidR="00E34453" w:rsidRPr="005E1EA7" w:rsidRDefault="00E34453" w:rsidP="00E34453">
      <w:pPr>
        <w:autoSpaceDE w:val="0"/>
        <w:autoSpaceDN w:val="0"/>
        <w:adjustRightInd w:val="0"/>
        <w:ind w:left="720" w:hanging="360"/>
        <w:jc w:val="both"/>
        <w:rPr>
          <w:rFonts w:ascii="Tahoma" w:hAnsi="Tahoma" w:cs="Tahoma"/>
          <w:sz w:val="20"/>
          <w:szCs w:val="20"/>
        </w:rPr>
      </w:pPr>
      <w:r w:rsidRPr="005E1EA7">
        <w:rPr>
          <w:rFonts w:ascii="Tahoma" w:hAnsi="Tahoma" w:cs="Tahoma"/>
          <w:sz w:val="20"/>
          <w:szCs w:val="20"/>
        </w:rPr>
        <w:t>a) imposer des procédures sanitaires ou toute autre mesure jugée nécessaire pour garantir la sécurité des produits de la pêche ou le respect de la législation relative à ces produits ;</w:t>
      </w:r>
    </w:p>
    <w:p w14:paraId="2334338D" w14:textId="77777777" w:rsidR="00E34453" w:rsidRPr="005E1EA7" w:rsidRDefault="00E34453" w:rsidP="00E34453">
      <w:pPr>
        <w:autoSpaceDE w:val="0"/>
        <w:autoSpaceDN w:val="0"/>
        <w:adjustRightInd w:val="0"/>
        <w:ind w:left="720" w:hanging="360"/>
        <w:jc w:val="both"/>
        <w:rPr>
          <w:rFonts w:ascii="Tahoma" w:hAnsi="Tahoma" w:cs="Tahoma"/>
          <w:sz w:val="20"/>
          <w:szCs w:val="20"/>
        </w:rPr>
      </w:pPr>
    </w:p>
    <w:p w14:paraId="24AA79BF" w14:textId="77777777" w:rsidR="00E34453" w:rsidRPr="005E1EA7" w:rsidRDefault="00E34453" w:rsidP="00E34453">
      <w:pPr>
        <w:autoSpaceDE w:val="0"/>
        <w:autoSpaceDN w:val="0"/>
        <w:adjustRightInd w:val="0"/>
        <w:ind w:left="720" w:hanging="360"/>
        <w:jc w:val="both"/>
        <w:rPr>
          <w:rFonts w:ascii="Tahoma" w:hAnsi="Tahoma" w:cs="Tahoma"/>
          <w:sz w:val="20"/>
          <w:szCs w:val="20"/>
        </w:rPr>
      </w:pPr>
      <w:r w:rsidRPr="005E1EA7">
        <w:rPr>
          <w:rFonts w:ascii="Tahoma" w:hAnsi="Tahoma" w:cs="Tahoma"/>
          <w:sz w:val="20"/>
          <w:szCs w:val="20"/>
        </w:rPr>
        <w:t>b) restreindre ou interdire la mise sur le marché, l’importation ou l’exportation de produits de la pêche ;</w:t>
      </w:r>
    </w:p>
    <w:p w14:paraId="3B0D5FD7" w14:textId="77777777" w:rsidR="00E34453" w:rsidRPr="005E1EA7" w:rsidRDefault="00E34453" w:rsidP="00E34453">
      <w:pPr>
        <w:autoSpaceDE w:val="0"/>
        <w:autoSpaceDN w:val="0"/>
        <w:adjustRightInd w:val="0"/>
        <w:ind w:left="720" w:hanging="360"/>
        <w:jc w:val="both"/>
        <w:rPr>
          <w:rFonts w:ascii="Tahoma" w:hAnsi="Tahoma" w:cs="Tahoma"/>
          <w:sz w:val="20"/>
          <w:szCs w:val="20"/>
        </w:rPr>
      </w:pPr>
    </w:p>
    <w:p w14:paraId="0B229194" w14:textId="77777777" w:rsidR="00E34453" w:rsidRPr="005E1EA7" w:rsidRDefault="00E34453" w:rsidP="00E34453">
      <w:pPr>
        <w:autoSpaceDE w:val="0"/>
        <w:autoSpaceDN w:val="0"/>
        <w:adjustRightInd w:val="0"/>
        <w:ind w:left="720" w:hanging="360"/>
        <w:jc w:val="both"/>
        <w:rPr>
          <w:rFonts w:ascii="Tahoma" w:hAnsi="Tahoma" w:cs="Tahoma"/>
          <w:sz w:val="20"/>
          <w:szCs w:val="20"/>
        </w:rPr>
      </w:pPr>
      <w:r w:rsidRPr="005E1EA7">
        <w:rPr>
          <w:rFonts w:ascii="Tahoma" w:hAnsi="Tahoma" w:cs="Tahoma"/>
          <w:sz w:val="20"/>
          <w:szCs w:val="20"/>
        </w:rPr>
        <w:t>c) superviser et, si cela est nécessaire, ordonner le rappel, le retrait et/ou la destruction de produits de la pêche ;</w:t>
      </w:r>
    </w:p>
    <w:p w14:paraId="48377F68" w14:textId="77777777" w:rsidR="00E34453" w:rsidRPr="005E1EA7" w:rsidRDefault="00E34453" w:rsidP="00E34453">
      <w:pPr>
        <w:autoSpaceDE w:val="0"/>
        <w:autoSpaceDN w:val="0"/>
        <w:adjustRightInd w:val="0"/>
        <w:ind w:left="720" w:hanging="360"/>
        <w:jc w:val="both"/>
        <w:rPr>
          <w:rFonts w:ascii="Tahoma" w:hAnsi="Tahoma" w:cs="Tahoma"/>
          <w:sz w:val="20"/>
          <w:szCs w:val="20"/>
        </w:rPr>
      </w:pPr>
    </w:p>
    <w:p w14:paraId="141F8BCE" w14:textId="77777777" w:rsidR="00E34453" w:rsidRPr="005E1EA7" w:rsidRDefault="00E34453" w:rsidP="00E34453">
      <w:pPr>
        <w:autoSpaceDE w:val="0"/>
        <w:autoSpaceDN w:val="0"/>
        <w:adjustRightInd w:val="0"/>
        <w:ind w:left="720" w:hanging="360"/>
        <w:jc w:val="both"/>
        <w:rPr>
          <w:rFonts w:ascii="Tahoma" w:hAnsi="Tahoma" w:cs="Tahoma"/>
          <w:sz w:val="20"/>
          <w:szCs w:val="20"/>
        </w:rPr>
      </w:pPr>
      <w:r w:rsidRPr="005E1EA7">
        <w:rPr>
          <w:rFonts w:ascii="Tahoma" w:hAnsi="Tahoma" w:cs="Tahoma"/>
          <w:sz w:val="20"/>
          <w:szCs w:val="20"/>
        </w:rPr>
        <w:t>d) suspendre les activités ou fermer tout ou partie de l’établissement concerné pour une durée appropriée ;</w:t>
      </w:r>
    </w:p>
    <w:p w14:paraId="19431B34" w14:textId="77777777" w:rsidR="00E34453" w:rsidRPr="005E1EA7" w:rsidRDefault="00E34453" w:rsidP="00E34453">
      <w:pPr>
        <w:autoSpaceDE w:val="0"/>
        <w:autoSpaceDN w:val="0"/>
        <w:adjustRightInd w:val="0"/>
        <w:ind w:left="720" w:hanging="360"/>
        <w:jc w:val="both"/>
        <w:rPr>
          <w:rFonts w:ascii="Tahoma" w:hAnsi="Tahoma" w:cs="Tahoma"/>
          <w:sz w:val="20"/>
          <w:szCs w:val="20"/>
        </w:rPr>
      </w:pPr>
    </w:p>
    <w:p w14:paraId="3E776AAA" w14:textId="77777777" w:rsidR="00E34453" w:rsidRPr="005E1EA7" w:rsidRDefault="00E34453" w:rsidP="00E34453">
      <w:pPr>
        <w:autoSpaceDE w:val="0"/>
        <w:autoSpaceDN w:val="0"/>
        <w:adjustRightInd w:val="0"/>
        <w:ind w:left="720" w:hanging="360"/>
        <w:jc w:val="both"/>
        <w:rPr>
          <w:rFonts w:ascii="Tahoma" w:hAnsi="Tahoma" w:cs="Tahoma"/>
          <w:sz w:val="20"/>
          <w:szCs w:val="20"/>
        </w:rPr>
      </w:pPr>
      <w:r w:rsidRPr="005E1EA7">
        <w:rPr>
          <w:rFonts w:ascii="Tahoma" w:hAnsi="Tahoma" w:cs="Tahoma"/>
          <w:sz w:val="20"/>
          <w:szCs w:val="20"/>
        </w:rPr>
        <w:t>e) suspendre ou retirer l’agrément de l’établissement ;</w:t>
      </w:r>
    </w:p>
    <w:p w14:paraId="0643CE42" w14:textId="77777777" w:rsidR="00E34453" w:rsidRPr="005E1EA7" w:rsidRDefault="00E34453" w:rsidP="00E34453">
      <w:pPr>
        <w:autoSpaceDE w:val="0"/>
        <w:autoSpaceDN w:val="0"/>
        <w:adjustRightInd w:val="0"/>
        <w:ind w:left="720" w:hanging="360"/>
        <w:jc w:val="both"/>
        <w:rPr>
          <w:rFonts w:ascii="Tahoma" w:hAnsi="Tahoma" w:cs="Tahoma"/>
          <w:sz w:val="20"/>
          <w:szCs w:val="20"/>
        </w:rPr>
      </w:pPr>
    </w:p>
    <w:p w14:paraId="724C6CED" w14:textId="77777777" w:rsidR="00E34453" w:rsidRPr="005E1EA7" w:rsidRDefault="00E34453" w:rsidP="00E34453">
      <w:pPr>
        <w:autoSpaceDE w:val="0"/>
        <w:autoSpaceDN w:val="0"/>
        <w:adjustRightInd w:val="0"/>
        <w:ind w:left="720" w:hanging="360"/>
        <w:jc w:val="both"/>
        <w:rPr>
          <w:rFonts w:ascii="Tahoma" w:hAnsi="Tahoma" w:cs="Tahoma"/>
          <w:sz w:val="20"/>
          <w:szCs w:val="20"/>
        </w:rPr>
      </w:pPr>
      <w:r w:rsidRPr="005E1EA7">
        <w:rPr>
          <w:rFonts w:ascii="Tahoma" w:hAnsi="Tahoma" w:cs="Tahoma"/>
          <w:sz w:val="20"/>
          <w:szCs w:val="20"/>
        </w:rPr>
        <w:t>f) prendre toute autre mesure jugée appropriée par l’autorité compétente.</w:t>
      </w:r>
    </w:p>
    <w:p w14:paraId="78FBADB7" w14:textId="77777777" w:rsidR="00E34453" w:rsidRPr="005E1EA7" w:rsidRDefault="00E34453" w:rsidP="00E34453">
      <w:pPr>
        <w:autoSpaceDE w:val="0"/>
        <w:autoSpaceDN w:val="0"/>
        <w:adjustRightInd w:val="0"/>
        <w:jc w:val="both"/>
        <w:rPr>
          <w:rFonts w:ascii="Tahoma" w:hAnsi="Tahoma" w:cs="Tahoma"/>
          <w:sz w:val="20"/>
          <w:szCs w:val="20"/>
        </w:rPr>
      </w:pPr>
    </w:p>
    <w:p w14:paraId="6A443BCA" w14:textId="77777777" w:rsidR="00E34453" w:rsidRPr="005E1EA7" w:rsidRDefault="00E34453" w:rsidP="00E34453">
      <w:pPr>
        <w:autoSpaceDE w:val="0"/>
        <w:autoSpaceDN w:val="0"/>
        <w:adjustRightInd w:val="0"/>
        <w:jc w:val="both"/>
        <w:rPr>
          <w:rFonts w:ascii="Tahoma" w:hAnsi="Tahoma" w:cs="Tahoma"/>
          <w:sz w:val="20"/>
          <w:szCs w:val="20"/>
        </w:rPr>
      </w:pPr>
      <w:r w:rsidRPr="005E1EA7">
        <w:rPr>
          <w:rFonts w:ascii="Tahoma" w:hAnsi="Tahoma" w:cs="Tahoma"/>
          <w:sz w:val="20"/>
          <w:szCs w:val="20"/>
        </w:rPr>
        <w:t>3. L’organisme de contrôle transmet à l’exploitant concerné ou à son représentant :</w:t>
      </w:r>
    </w:p>
    <w:p w14:paraId="56B6AD64" w14:textId="77777777" w:rsidR="00E34453" w:rsidRPr="005E1EA7" w:rsidRDefault="00E34453" w:rsidP="00E34453">
      <w:pPr>
        <w:autoSpaceDE w:val="0"/>
        <w:autoSpaceDN w:val="0"/>
        <w:adjustRightInd w:val="0"/>
        <w:jc w:val="both"/>
        <w:rPr>
          <w:rFonts w:ascii="Tahoma" w:hAnsi="Tahoma" w:cs="Tahoma"/>
          <w:sz w:val="20"/>
          <w:szCs w:val="20"/>
        </w:rPr>
      </w:pPr>
    </w:p>
    <w:p w14:paraId="3926BC94" w14:textId="77777777" w:rsidR="00E34453" w:rsidRPr="005E1EA7" w:rsidRDefault="00E34453" w:rsidP="00E34453">
      <w:pPr>
        <w:autoSpaceDE w:val="0"/>
        <w:autoSpaceDN w:val="0"/>
        <w:adjustRightInd w:val="0"/>
        <w:ind w:left="720" w:hanging="360"/>
        <w:jc w:val="both"/>
        <w:rPr>
          <w:rFonts w:ascii="Tahoma" w:hAnsi="Tahoma" w:cs="Tahoma"/>
          <w:sz w:val="20"/>
          <w:szCs w:val="20"/>
        </w:rPr>
      </w:pPr>
      <w:r w:rsidRPr="005E1EA7">
        <w:rPr>
          <w:rFonts w:ascii="Tahoma" w:hAnsi="Tahoma" w:cs="Tahoma"/>
          <w:sz w:val="20"/>
          <w:szCs w:val="20"/>
        </w:rPr>
        <w:t>a) une notification écrite de sa décision concernant les mesures à prendre en vertu du paragraphe 1, ainsi que la motivation de sa décision,</w:t>
      </w:r>
    </w:p>
    <w:p w14:paraId="1E1D5F25" w14:textId="77777777" w:rsidR="00E34453" w:rsidRPr="005E1EA7" w:rsidRDefault="00E34453" w:rsidP="00E34453">
      <w:pPr>
        <w:autoSpaceDE w:val="0"/>
        <w:autoSpaceDN w:val="0"/>
        <w:adjustRightInd w:val="0"/>
        <w:ind w:left="720" w:hanging="360"/>
        <w:jc w:val="both"/>
        <w:rPr>
          <w:rFonts w:ascii="Tahoma" w:hAnsi="Tahoma" w:cs="Tahoma"/>
          <w:sz w:val="20"/>
          <w:szCs w:val="20"/>
        </w:rPr>
      </w:pPr>
    </w:p>
    <w:p w14:paraId="67D7DF10" w14:textId="77777777" w:rsidR="00E34453" w:rsidRPr="005E1EA7" w:rsidRDefault="00E34453" w:rsidP="00E34453">
      <w:pPr>
        <w:autoSpaceDE w:val="0"/>
        <w:autoSpaceDN w:val="0"/>
        <w:adjustRightInd w:val="0"/>
        <w:ind w:left="720" w:hanging="360"/>
        <w:jc w:val="both"/>
        <w:rPr>
          <w:rFonts w:ascii="Tahoma" w:hAnsi="Tahoma" w:cs="Tahoma"/>
          <w:sz w:val="20"/>
          <w:szCs w:val="20"/>
        </w:rPr>
      </w:pPr>
      <w:r w:rsidRPr="005E1EA7">
        <w:rPr>
          <w:rFonts w:ascii="Tahoma" w:hAnsi="Tahoma" w:cs="Tahoma"/>
          <w:sz w:val="20"/>
          <w:szCs w:val="20"/>
        </w:rPr>
        <w:lastRenderedPageBreak/>
        <w:t>b) des informations sur ses droits de recours contre de telles décisions, ainsi que sur la procédure et les délais applicables.</w:t>
      </w:r>
    </w:p>
    <w:p w14:paraId="5F9553BC" w14:textId="77777777" w:rsidR="00E34453" w:rsidRPr="005E1EA7" w:rsidRDefault="00E34453" w:rsidP="00E34453">
      <w:pPr>
        <w:autoSpaceDE w:val="0"/>
        <w:autoSpaceDN w:val="0"/>
        <w:adjustRightInd w:val="0"/>
        <w:jc w:val="both"/>
        <w:rPr>
          <w:rFonts w:ascii="Tahoma" w:hAnsi="Tahoma" w:cs="Tahoma"/>
          <w:sz w:val="20"/>
          <w:szCs w:val="20"/>
        </w:rPr>
      </w:pPr>
    </w:p>
    <w:p w14:paraId="7EBA34DA" w14:textId="77777777" w:rsidR="00E34453" w:rsidRPr="005E1EA7" w:rsidRDefault="00E34453" w:rsidP="00E34453">
      <w:pPr>
        <w:autoSpaceDE w:val="0"/>
        <w:autoSpaceDN w:val="0"/>
        <w:adjustRightInd w:val="0"/>
        <w:jc w:val="both"/>
        <w:rPr>
          <w:rFonts w:ascii="Tahoma" w:hAnsi="Tahoma" w:cs="Tahoma"/>
          <w:sz w:val="20"/>
          <w:szCs w:val="20"/>
        </w:rPr>
      </w:pPr>
      <w:r w:rsidRPr="005E1EA7">
        <w:rPr>
          <w:rFonts w:ascii="Tahoma" w:hAnsi="Tahoma" w:cs="Tahoma"/>
          <w:sz w:val="20"/>
          <w:szCs w:val="20"/>
        </w:rPr>
        <w:t>4. Toutes les dépenses exposées en application du présent article sont à la charge de l’exploitant.</w:t>
      </w:r>
    </w:p>
    <w:p w14:paraId="488A7C11" w14:textId="77777777" w:rsidR="00E34453" w:rsidRPr="005E1EA7" w:rsidRDefault="00E34453" w:rsidP="00E34453">
      <w:pPr>
        <w:autoSpaceDE w:val="0"/>
        <w:autoSpaceDN w:val="0"/>
        <w:adjustRightInd w:val="0"/>
        <w:jc w:val="both"/>
        <w:rPr>
          <w:rFonts w:ascii="Tahoma" w:hAnsi="Tahoma" w:cs="Tahoma"/>
          <w:sz w:val="20"/>
          <w:szCs w:val="20"/>
        </w:rPr>
      </w:pPr>
    </w:p>
    <w:p w14:paraId="03C66F2C" w14:textId="77777777" w:rsidR="00E34453" w:rsidRPr="005E1EA7" w:rsidRDefault="00E34453" w:rsidP="00E34453">
      <w:pPr>
        <w:autoSpaceDE w:val="0"/>
        <w:autoSpaceDN w:val="0"/>
        <w:adjustRightInd w:val="0"/>
        <w:jc w:val="both"/>
        <w:rPr>
          <w:rFonts w:ascii="Tahoma" w:hAnsi="Tahoma" w:cs="Tahoma"/>
          <w:bCs/>
          <w:sz w:val="20"/>
          <w:szCs w:val="20"/>
        </w:rPr>
      </w:pPr>
      <w:r w:rsidRPr="005E1EA7">
        <w:rPr>
          <w:rFonts w:ascii="Tahoma" w:hAnsi="Tahoma" w:cs="Tahoma"/>
          <w:b/>
          <w:sz w:val="20"/>
          <w:szCs w:val="20"/>
          <w:u w:val="single"/>
        </w:rPr>
        <w:t>Article 25</w:t>
      </w:r>
      <w:r w:rsidRPr="005E1EA7">
        <w:rPr>
          <w:rFonts w:ascii="Tahoma" w:hAnsi="Tahoma" w:cs="Tahoma"/>
          <w:b/>
          <w:sz w:val="20"/>
          <w:szCs w:val="20"/>
        </w:rPr>
        <w:t>-</w:t>
      </w:r>
      <w:r w:rsidRPr="005E1EA7">
        <w:rPr>
          <w:rFonts w:ascii="Tahoma" w:hAnsi="Tahoma" w:cs="Tahoma"/>
          <w:bCs/>
          <w:sz w:val="20"/>
          <w:szCs w:val="20"/>
        </w:rPr>
        <w:t xml:space="preserve"> Sanctions</w:t>
      </w:r>
    </w:p>
    <w:p w14:paraId="6EA39A09" w14:textId="77777777" w:rsidR="00E34453" w:rsidRPr="005E1EA7" w:rsidRDefault="00E34453" w:rsidP="00E34453">
      <w:pPr>
        <w:autoSpaceDE w:val="0"/>
        <w:autoSpaceDN w:val="0"/>
        <w:adjustRightInd w:val="0"/>
        <w:jc w:val="both"/>
        <w:rPr>
          <w:rFonts w:ascii="Tahoma" w:hAnsi="Tahoma" w:cs="Tahoma"/>
          <w:sz w:val="20"/>
          <w:szCs w:val="20"/>
        </w:rPr>
      </w:pPr>
    </w:p>
    <w:p w14:paraId="15594E2C" w14:textId="77777777" w:rsidR="00E34453" w:rsidRPr="005E1EA7" w:rsidRDefault="00E34453" w:rsidP="00E34453">
      <w:pPr>
        <w:jc w:val="both"/>
        <w:rPr>
          <w:rFonts w:ascii="Tahoma" w:hAnsi="Tahoma" w:cs="Tahoma"/>
          <w:sz w:val="20"/>
          <w:szCs w:val="20"/>
        </w:rPr>
      </w:pPr>
      <w:r w:rsidRPr="005E1EA7">
        <w:rPr>
          <w:rFonts w:ascii="Tahoma" w:hAnsi="Tahoma" w:cs="Tahoma"/>
          <w:sz w:val="20"/>
          <w:szCs w:val="20"/>
        </w:rPr>
        <w:t>Les infractions au présent Arrêté seront punies conformément aux dispositions de la Loi portant Code des Pêches en vigueur.</w:t>
      </w:r>
    </w:p>
    <w:p w14:paraId="1E18AE0D" w14:textId="77777777" w:rsidR="00E34453" w:rsidRPr="005E1EA7" w:rsidRDefault="00E34453" w:rsidP="00E34453">
      <w:pPr>
        <w:jc w:val="both"/>
        <w:rPr>
          <w:rFonts w:ascii="Tahoma" w:hAnsi="Tahoma" w:cs="Tahoma"/>
          <w:sz w:val="20"/>
          <w:szCs w:val="20"/>
        </w:rPr>
      </w:pPr>
    </w:p>
    <w:p w14:paraId="33D9E7D0" w14:textId="77777777" w:rsidR="00E34453" w:rsidRPr="005E1EA7" w:rsidRDefault="00E34453" w:rsidP="00E34453">
      <w:pPr>
        <w:autoSpaceDE w:val="0"/>
        <w:autoSpaceDN w:val="0"/>
        <w:adjustRightInd w:val="0"/>
        <w:jc w:val="both"/>
        <w:rPr>
          <w:rFonts w:ascii="Tahoma" w:hAnsi="Tahoma" w:cs="Tahoma"/>
          <w:iCs/>
          <w:sz w:val="20"/>
          <w:szCs w:val="20"/>
        </w:rPr>
      </w:pPr>
      <w:r w:rsidRPr="005E1EA7">
        <w:rPr>
          <w:rFonts w:ascii="Tahoma" w:hAnsi="Tahoma" w:cs="Tahoma"/>
          <w:iCs/>
          <w:sz w:val="20"/>
          <w:szCs w:val="20"/>
        </w:rPr>
        <w:t xml:space="preserve">Ces infractions sont constatées par les agents de contrôle prévus par la loi portant code des pêches </w:t>
      </w:r>
      <w:r w:rsidRPr="005E1EA7">
        <w:rPr>
          <w:rFonts w:ascii="Tahoma" w:hAnsi="Tahoma" w:cs="Tahoma"/>
          <w:sz w:val="20"/>
          <w:szCs w:val="20"/>
        </w:rPr>
        <w:t>en vigueur</w:t>
      </w:r>
      <w:r w:rsidRPr="005E1EA7">
        <w:rPr>
          <w:rFonts w:ascii="Tahoma" w:hAnsi="Tahoma" w:cs="Tahoma"/>
          <w:iCs/>
          <w:sz w:val="20"/>
          <w:szCs w:val="20"/>
        </w:rPr>
        <w:t xml:space="preserve"> et par les agents de contrôle de l’ONISPA conformément aux dispositions de l’article 10 du décret 81.062 du 2 avril 1981 portant réglementation de l’inspection sanitaire et du contrôle de salubrité des produits de la pêche destinés à l’alimentation humaine et sanctionnées conformément aux dispositions de la réglementation en vigueur.</w:t>
      </w:r>
    </w:p>
    <w:p w14:paraId="499EEE27" w14:textId="77777777" w:rsidR="00E34453" w:rsidRPr="005E1EA7" w:rsidRDefault="00E34453" w:rsidP="00E34453">
      <w:pPr>
        <w:jc w:val="both"/>
        <w:rPr>
          <w:rFonts w:ascii="Tahoma" w:hAnsi="Tahoma" w:cs="Tahoma"/>
          <w:sz w:val="20"/>
          <w:szCs w:val="20"/>
        </w:rPr>
      </w:pPr>
    </w:p>
    <w:p w14:paraId="712334F8" w14:textId="77777777" w:rsidR="00E34453" w:rsidRPr="005E1EA7" w:rsidRDefault="00E34453" w:rsidP="00E34453">
      <w:pPr>
        <w:autoSpaceDE w:val="0"/>
        <w:autoSpaceDN w:val="0"/>
        <w:adjustRightInd w:val="0"/>
        <w:jc w:val="center"/>
        <w:rPr>
          <w:rFonts w:ascii="Tahoma" w:hAnsi="Tahoma" w:cs="Tahoma"/>
          <w:b/>
          <w:bCs/>
          <w:sz w:val="20"/>
          <w:szCs w:val="20"/>
        </w:rPr>
      </w:pPr>
      <w:r w:rsidRPr="005E1EA7">
        <w:rPr>
          <w:rFonts w:ascii="Tahoma" w:hAnsi="Tahoma" w:cs="Tahoma"/>
          <w:b/>
          <w:bCs/>
          <w:sz w:val="20"/>
          <w:szCs w:val="20"/>
        </w:rPr>
        <w:t>TITRE V – DISPOSITIONS FINALES</w:t>
      </w:r>
    </w:p>
    <w:p w14:paraId="6EB3F006" w14:textId="77777777" w:rsidR="00E34453" w:rsidRPr="005E1EA7" w:rsidRDefault="00E34453" w:rsidP="00E34453">
      <w:pPr>
        <w:autoSpaceDE w:val="0"/>
        <w:autoSpaceDN w:val="0"/>
        <w:adjustRightInd w:val="0"/>
        <w:jc w:val="both"/>
        <w:rPr>
          <w:rFonts w:ascii="Tahoma" w:hAnsi="Tahoma" w:cs="Tahoma"/>
          <w:sz w:val="20"/>
          <w:szCs w:val="20"/>
        </w:rPr>
      </w:pPr>
    </w:p>
    <w:p w14:paraId="080BFF9C" w14:textId="77777777" w:rsidR="00E34453" w:rsidRPr="005E1EA7" w:rsidRDefault="00E34453" w:rsidP="00E34453">
      <w:pPr>
        <w:autoSpaceDE w:val="0"/>
        <w:autoSpaceDN w:val="0"/>
        <w:adjustRightInd w:val="0"/>
        <w:jc w:val="both"/>
        <w:rPr>
          <w:rFonts w:ascii="Tahoma" w:hAnsi="Tahoma" w:cs="Tahoma"/>
          <w:bCs/>
          <w:sz w:val="20"/>
          <w:szCs w:val="20"/>
        </w:rPr>
      </w:pPr>
      <w:r w:rsidRPr="005E1EA7">
        <w:rPr>
          <w:rFonts w:ascii="Tahoma" w:hAnsi="Tahoma" w:cs="Tahoma"/>
          <w:b/>
          <w:sz w:val="20"/>
          <w:szCs w:val="20"/>
          <w:u w:val="single"/>
        </w:rPr>
        <w:t>Article 26</w:t>
      </w:r>
      <w:r w:rsidRPr="005E1EA7">
        <w:rPr>
          <w:rFonts w:ascii="Tahoma" w:hAnsi="Tahoma" w:cs="Tahoma"/>
          <w:b/>
          <w:sz w:val="20"/>
          <w:szCs w:val="20"/>
        </w:rPr>
        <w:t xml:space="preserve"> -</w:t>
      </w:r>
      <w:r w:rsidRPr="005E1EA7">
        <w:rPr>
          <w:rFonts w:ascii="Tahoma" w:hAnsi="Tahoma" w:cs="Tahoma"/>
          <w:bCs/>
          <w:sz w:val="20"/>
          <w:szCs w:val="20"/>
        </w:rPr>
        <w:t xml:space="preserve"> Sont abrogées toutes les dispositions contraires antérieures et notamment l’arrêté conjoint n° 2860 du 16 novembre 2006, l’arrêté conjoint n° 2501 du 14 novembre 2010 et l’arrêté conjoint n° 015 du 15 janvier 2019.</w:t>
      </w:r>
    </w:p>
    <w:p w14:paraId="4F59A6AA" w14:textId="77777777" w:rsidR="00E34453" w:rsidRPr="005E1EA7" w:rsidRDefault="00E34453" w:rsidP="00E34453">
      <w:pPr>
        <w:autoSpaceDE w:val="0"/>
        <w:autoSpaceDN w:val="0"/>
        <w:adjustRightInd w:val="0"/>
        <w:jc w:val="both"/>
        <w:rPr>
          <w:rFonts w:ascii="Tahoma" w:hAnsi="Tahoma" w:cs="Tahoma"/>
          <w:bCs/>
          <w:sz w:val="20"/>
          <w:szCs w:val="20"/>
        </w:rPr>
      </w:pPr>
    </w:p>
    <w:p w14:paraId="3D5B9AEE" w14:textId="77777777" w:rsidR="00E34453" w:rsidRPr="005E1EA7" w:rsidRDefault="00E34453" w:rsidP="00E34453">
      <w:pPr>
        <w:jc w:val="both"/>
        <w:rPr>
          <w:rFonts w:ascii="Tahoma" w:hAnsi="Tahoma" w:cs="Tahoma"/>
          <w:bCs/>
          <w:sz w:val="20"/>
          <w:szCs w:val="20"/>
        </w:rPr>
      </w:pPr>
      <w:r w:rsidRPr="005E1EA7">
        <w:rPr>
          <w:rFonts w:ascii="Tahoma" w:hAnsi="Tahoma" w:cs="Tahoma"/>
          <w:b/>
          <w:sz w:val="20"/>
          <w:szCs w:val="20"/>
          <w:u w:val="single"/>
        </w:rPr>
        <w:t>Article 27</w:t>
      </w:r>
      <w:r w:rsidRPr="005E1EA7">
        <w:rPr>
          <w:rFonts w:ascii="Tahoma" w:hAnsi="Tahoma" w:cs="Tahoma"/>
          <w:b/>
          <w:sz w:val="20"/>
          <w:szCs w:val="20"/>
        </w:rPr>
        <w:t xml:space="preserve"> -</w:t>
      </w:r>
      <w:r w:rsidRPr="005E1EA7">
        <w:rPr>
          <w:rFonts w:ascii="Tahoma" w:hAnsi="Tahoma" w:cs="Tahoma"/>
          <w:bCs/>
          <w:sz w:val="20"/>
          <w:szCs w:val="20"/>
        </w:rPr>
        <w:t xml:space="preserve"> Le Secrétaire Général du Ministère de la Pêche, des Infrastructures Maritimes et Portuaires, le Secrétaire Général du Ministère de la Santé, le Secrétaire Général du Ministère de l'Elevage et le Secrétaire Général du Ministère du Commerce et du Tourisme sont chargés chacun en ce qui le concerne de l’exécution du présent arrêté qui sera publié au Journal Officiel de la République Islamique de Mauritanie.</w:t>
      </w:r>
    </w:p>
    <w:p w14:paraId="7E5367C3" w14:textId="77777777" w:rsidR="00E34453" w:rsidRPr="005E1EA7" w:rsidRDefault="00E34453" w:rsidP="00E34453">
      <w:pPr>
        <w:spacing w:line="240" w:lineRule="atLeast"/>
        <w:jc w:val="right"/>
        <w:rPr>
          <w:rFonts w:ascii="Tahoma" w:hAnsi="Tahoma" w:cs="Tahoma"/>
          <w:sz w:val="20"/>
          <w:szCs w:val="20"/>
        </w:rPr>
      </w:pPr>
    </w:p>
    <w:p w14:paraId="60C092BB" w14:textId="77777777" w:rsidR="00E34453" w:rsidRPr="001D02B9" w:rsidRDefault="00E34453" w:rsidP="00E34453">
      <w:pPr>
        <w:autoSpaceDE w:val="0"/>
        <w:autoSpaceDN w:val="0"/>
        <w:adjustRightInd w:val="0"/>
        <w:spacing w:before="120" w:after="120"/>
        <w:jc w:val="right"/>
        <w:rPr>
          <w:rFonts w:ascii="Tahoma" w:hAnsi="Tahoma" w:cs="Tahoma"/>
          <w:color w:val="000000" w:themeColor="text1"/>
          <w:sz w:val="20"/>
          <w:szCs w:val="20"/>
        </w:rPr>
      </w:pPr>
      <w:r w:rsidRPr="001D02B9">
        <w:rPr>
          <w:rFonts w:ascii="Tahoma" w:hAnsi="Tahoma" w:cs="Tahoma"/>
          <w:i/>
          <w:iCs/>
          <w:color w:val="000000" w:themeColor="text1"/>
          <w:sz w:val="20"/>
          <w:szCs w:val="20"/>
        </w:rPr>
        <w:t>Fait à Nouakchott, le 30 juin 2025</w:t>
      </w:r>
    </w:p>
    <w:p w14:paraId="56CA098B" w14:textId="77777777" w:rsidR="00E34453" w:rsidRPr="005E1EA7" w:rsidRDefault="00E34453" w:rsidP="00E34453">
      <w:pPr>
        <w:spacing w:line="240" w:lineRule="atLeast"/>
        <w:jc w:val="right"/>
        <w:rPr>
          <w:rFonts w:ascii="Tahoma" w:hAnsi="Tahoma" w:cs="Tahoma"/>
          <w:sz w:val="20"/>
          <w:szCs w:val="20"/>
        </w:rPr>
      </w:pPr>
    </w:p>
    <w:p w14:paraId="1FDCEBC5" w14:textId="77777777" w:rsidR="00E34453" w:rsidRPr="005E1EA7" w:rsidRDefault="00E34453" w:rsidP="00E34453">
      <w:pPr>
        <w:jc w:val="both"/>
        <w:rPr>
          <w:rFonts w:ascii="Tahoma" w:hAnsi="Tahoma" w:cs="Tahoma"/>
          <w:sz w:val="20"/>
          <w:szCs w:val="20"/>
        </w:rPr>
      </w:pPr>
    </w:p>
    <w:tbl>
      <w:tblPr>
        <w:tblW w:w="9634" w:type="dxa"/>
        <w:jc w:val="center"/>
        <w:tblLook w:val="04A0" w:firstRow="1" w:lastRow="0" w:firstColumn="1" w:lastColumn="0" w:noHBand="0" w:noVBand="1"/>
      </w:tblPr>
      <w:tblGrid>
        <w:gridCol w:w="5263"/>
        <w:gridCol w:w="4371"/>
      </w:tblGrid>
      <w:tr w:rsidR="00E34453" w:rsidRPr="005E1EA7" w14:paraId="03A5ABBE" w14:textId="77777777" w:rsidTr="00FF4A87">
        <w:trPr>
          <w:trHeight w:val="589"/>
          <w:jc w:val="center"/>
        </w:trPr>
        <w:tc>
          <w:tcPr>
            <w:tcW w:w="5263" w:type="dxa"/>
            <w:shd w:val="clear" w:color="auto" w:fill="auto"/>
            <w:vAlign w:val="center"/>
          </w:tcPr>
          <w:p w14:paraId="794DA8F9" w14:textId="77777777" w:rsidR="00E34453" w:rsidRPr="005E1EA7" w:rsidRDefault="00E34453" w:rsidP="00FF4A87">
            <w:pPr>
              <w:pStyle w:val="Pieddepage"/>
              <w:tabs>
                <w:tab w:val="clear" w:pos="4536"/>
                <w:tab w:val="clear" w:pos="9072"/>
              </w:tabs>
              <w:spacing w:line="300" w:lineRule="exact"/>
              <w:jc w:val="center"/>
              <w:rPr>
                <w:rFonts w:ascii="Tahoma" w:hAnsi="Tahoma" w:cs="Tahoma"/>
                <w:caps/>
              </w:rPr>
            </w:pPr>
            <w:r w:rsidRPr="005E1EA7">
              <w:rPr>
                <w:rFonts w:ascii="Tahoma" w:hAnsi="Tahoma" w:cs="Tahoma"/>
              </w:rPr>
              <w:t>Le Ministre de la Pêche, des Infrastructures Maritimes Et Portuaires</w:t>
            </w:r>
          </w:p>
          <w:p w14:paraId="33585271" w14:textId="77777777" w:rsidR="00E34453" w:rsidRPr="005E1EA7" w:rsidRDefault="00E34453" w:rsidP="00FF4A87">
            <w:pPr>
              <w:ind w:left="360" w:hanging="360"/>
              <w:jc w:val="center"/>
              <w:rPr>
                <w:rFonts w:ascii="Tahoma" w:hAnsi="Tahoma" w:cs="Tahoma"/>
                <w:b/>
                <w:bCs/>
                <w:sz w:val="20"/>
                <w:szCs w:val="20"/>
              </w:rPr>
            </w:pPr>
          </w:p>
          <w:p w14:paraId="5E5F87CD" w14:textId="77777777" w:rsidR="00E34453" w:rsidRPr="005E1EA7" w:rsidRDefault="00E34453" w:rsidP="00FF4A87">
            <w:pPr>
              <w:ind w:left="360" w:hanging="360"/>
              <w:jc w:val="center"/>
              <w:rPr>
                <w:rFonts w:ascii="Tahoma" w:hAnsi="Tahoma" w:cs="Tahoma"/>
                <w:b/>
                <w:bCs/>
                <w:sz w:val="20"/>
                <w:szCs w:val="20"/>
                <w:lang w:val="en-US"/>
              </w:rPr>
            </w:pPr>
            <w:r w:rsidRPr="005E1EA7">
              <w:rPr>
                <w:rFonts w:ascii="Tahoma" w:hAnsi="Tahoma" w:cs="Tahoma"/>
                <w:b/>
                <w:bCs/>
                <w:sz w:val="20"/>
                <w:szCs w:val="20"/>
                <w:lang w:val="en-US"/>
              </w:rPr>
              <w:t>El Vadil Ould Sidaty Ould AHMED LOULY</w:t>
            </w:r>
          </w:p>
          <w:p w14:paraId="11E999A5" w14:textId="77777777" w:rsidR="00E34453" w:rsidRPr="005E1EA7" w:rsidRDefault="00E34453" w:rsidP="00FF4A87">
            <w:pPr>
              <w:ind w:left="360" w:hanging="360"/>
              <w:jc w:val="center"/>
              <w:rPr>
                <w:rFonts w:ascii="Tahoma" w:hAnsi="Tahoma" w:cs="Tahoma"/>
                <w:b/>
                <w:bCs/>
                <w:sz w:val="20"/>
                <w:szCs w:val="20"/>
                <w:lang w:val="en-US"/>
              </w:rPr>
            </w:pPr>
          </w:p>
          <w:p w14:paraId="49B7FE12" w14:textId="77777777" w:rsidR="00E34453" w:rsidRPr="005E1EA7" w:rsidRDefault="00E34453" w:rsidP="00FF4A87">
            <w:pPr>
              <w:ind w:left="360" w:hanging="360"/>
              <w:jc w:val="center"/>
              <w:rPr>
                <w:rFonts w:ascii="Tahoma" w:hAnsi="Tahoma" w:cs="Tahoma"/>
                <w:b/>
                <w:bCs/>
                <w:sz w:val="20"/>
                <w:szCs w:val="20"/>
                <w:lang w:val="en-US"/>
              </w:rPr>
            </w:pPr>
          </w:p>
        </w:tc>
        <w:tc>
          <w:tcPr>
            <w:tcW w:w="4371" w:type="dxa"/>
            <w:shd w:val="clear" w:color="auto" w:fill="auto"/>
            <w:vAlign w:val="center"/>
          </w:tcPr>
          <w:p w14:paraId="329ADC0C" w14:textId="77777777" w:rsidR="00E34453" w:rsidRPr="005E1EA7" w:rsidRDefault="00E34453" w:rsidP="00FF4A87">
            <w:pPr>
              <w:pStyle w:val="Pieddepage"/>
              <w:tabs>
                <w:tab w:val="clear" w:pos="4536"/>
                <w:tab w:val="clear" w:pos="9072"/>
              </w:tabs>
              <w:spacing w:line="300" w:lineRule="exact"/>
              <w:jc w:val="center"/>
              <w:rPr>
                <w:rFonts w:ascii="Tahoma" w:hAnsi="Tahoma" w:cs="Tahoma"/>
              </w:rPr>
            </w:pPr>
            <w:r w:rsidRPr="005E1EA7">
              <w:rPr>
                <w:rFonts w:ascii="Tahoma" w:hAnsi="Tahoma" w:cs="Tahoma"/>
              </w:rPr>
              <w:t>Le Ministre de la Sante</w:t>
            </w:r>
          </w:p>
          <w:p w14:paraId="79F87439" w14:textId="77777777" w:rsidR="00E34453" w:rsidRPr="005E1EA7" w:rsidRDefault="00E34453" w:rsidP="00FF4A87">
            <w:pPr>
              <w:jc w:val="center"/>
              <w:rPr>
                <w:rFonts w:ascii="Tahoma" w:hAnsi="Tahoma" w:cs="Tahoma"/>
                <w:b/>
                <w:bCs/>
                <w:sz w:val="20"/>
                <w:szCs w:val="20"/>
              </w:rPr>
            </w:pPr>
          </w:p>
          <w:p w14:paraId="4B8FB3EE" w14:textId="77777777" w:rsidR="00E34453" w:rsidRPr="005E1EA7" w:rsidRDefault="00E34453" w:rsidP="00FF4A87">
            <w:pPr>
              <w:ind w:left="360" w:hanging="360"/>
              <w:jc w:val="center"/>
              <w:rPr>
                <w:rFonts w:ascii="Tahoma" w:hAnsi="Tahoma" w:cs="Tahoma"/>
                <w:b/>
                <w:bCs/>
                <w:sz w:val="20"/>
                <w:szCs w:val="20"/>
              </w:rPr>
            </w:pPr>
            <w:r w:rsidRPr="005E1EA7">
              <w:rPr>
                <w:rFonts w:ascii="Tahoma" w:hAnsi="Tahoma" w:cs="Tahoma"/>
                <w:b/>
                <w:bCs/>
                <w:sz w:val="20"/>
                <w:szCs w:val="20"/>
              </w:rPr>
              <w:t>Abdallahi Ould WEDIH</w:t>
            </w:r>
          </w:p>
          <w:p w14:paraId="62F689A6" w14:textId="77777777" w:rsidR="00E34453" w:rsidRPr="005E1EA7" w:rsidRDefault="00E34453" w:rsidP="00FF4A87">
            <w:pPr>
              <w:ind w:left="360" w:hanging="360"/>
              <w:jc w:val="center"/>
              <w:rPr>
                <w:rFonts w:ascii="Tahoma" w:hAnsi="Tahoma" w:cs="Tahoma"/>
                <w:b/>
                <w:bCs/>
                <w:sz w:val="20"/>
                <w:szCs w:val="20"/>
              </w:rPr>
            </w:pPr>
          </w:p>
          <w:p w14:paraId="270B9D7E" w14:textId="77777777" w:rsidR="00E34453" w:rsidRPr="005E1EA7" w:rsidRDefault="00E34453" w:rsidP="00FF4A87">
            <w:pPr>
              <w:ind w:left="360" w:hanging="360"/>
              <w:jc w:val="center"/>
              <w:rPr>
                <w:rFonts w:ascii="Tahoma" w:hAnsi="Tahoma" w:cs="Tahoma"/>
                <w:b/>
                <w:bCs/>
                <w:sz w:val="20"/>
                <w:szCs w:val="20"/>
              </w:rPr>
            </w:pPr>
          </w:p>
        </w:tc>
      </w:tr>
      <w:tr w:rsidR="00E34453" w:rsidRPr="005E1EA7" w14:paraId="4B8F9FB5" w14:textId="77777777" w:rsidTr="00FF4A87">
        <w:trPr>
          <w:trHeight w:val="555"/>
          <w:jc w:val="center"/>
        </w:trPr>
        <w:tc>
          <w:tcPr>
            <w:tcW w:w="5263" w:type="dxa"/>
            <w:shd w:val="clear" w:color="auto" w:fill="auto"/>
            <w:vAlign w:val="center"/>
          </w:tcPr>
          <w:p w14:paraId="05BA37A6" w14:textId="77777777" w:rsidR="00E34453" w:rsidRPr="005E1EA7" w:rsidRDefault="00E34453" w:rsidP="00FF4A87">
            <w:pPr>
              <w:pStyle w:val="Pieddepage"/>
              <w:tabs>
                <w:tab w:val="clear" w:pos="4536"/>
                <w:tab w:val="clear" w:pos="9072"/>
              </w:tabs>
              <w:spacing w:line="300" w:lineRule="exact"/>
              <w:jc w:val="center"/>
              <w:rPr>
                <w:rFonts w:ascii="Tahoma" w:hAnsi="Tahoma" w:cs="Tahoma"/>
              </w:rPr>
            </w:pPr>
            <w:r w:rsidRPr="005E1EA7">
              <w:rPr>
                <w:rFonts w:ascii="Tahoma" w:hAnsi="Tahoma" w:cs="Tahoma"/>
              </w:rPr>
              <w:t>La Ministre du Commerce et du Tourisme</w:t>
            </w:r>
          </w:p>
          <w:p w14:paraId="53F58171" w14:textId="77777777" w:rsidR="00E34453" w:rsidRPr="005E1EA7" w:rsidRDefault="00E34453" w:rsidP="00FF4A87">
            <w:pPr>
              <w:pStyle w:val="Pieddepage"/>
              <w:tabs>
                <w:tab w:val="clear" w:pos="4536"/>
                <w:tab w:val="clear" w:pos="9072"/>
              </w:tabs>
              <w:spacing w:line="300" w:lineRule="exact"/>
              <w:jc w:val="center"/>
              <w:rPr>
                <w:rFonts w:ascii="Tahoma" w:hAnsi="Tahoma" w:cs="Tahoma"/>
                <w:b/>
                <w:bCs/>
              </w:rPr>
            </w:pPr>
          </w:p>
          <w:p w14:paraId="0C73B75A" w14:textId="77777777" w:rsidR="00E34453" w:rsidRPr="005E1EA7" w:rsidRDefault="00E34453" w:rsidP="00FF4A87">
            <w:pPr>
              <w:ind w:left="360" w:hanging="360"/>
              <w:jc w:val="center"/>
              <w:rPr>
                <w:rFonts w:ascii="Tahoma" w:hAnsi="Tahoma" w:cs="Tahoma"/>
                <w:b/>
                <w:bCs/>
                <w:sz w:val="20"/>
                <w:szCs w:val="20"/>
              </w:rPr>
            </w:pPr>
            <w:r w:rsidRPr="005E1EA7">
              <w:rPr>
                <w:rFonts w:ascii="Tahoma" w:hAnsi="Tahoma" w:cs="Tahoma"/>
                <w:b/>
                <w:bCs/>
                <w:sz w:val="20"/>
                <w:szCs w:val="20"/>
              </w:rPr>
              <w:t>Zeinebou Mint AHMEDNAH</w:t>
            </w:r>
          </w:p>
          <w:p w14:paraId="4E4DAF5E" w14:textId="77777777" w:rsidR="00E34453" w:rsidRPr="005E1EA7" w:rsidRDefault="00E34453" w:rsidP="00FF4A87">
            <w:pPr>
              <w:ind w:left="360" w:hanging="360"/>
              <w:jc w:val="center"/>
              <w:rPr>
                <w:rFonts w:ascii="Tahoma" w:hAnsi="Tahoma" w:cs="Tahoma"/>
                <w:b/>
                <w:bCs/>
                <w:sz w:val="20"/>
                <w:szCs w:val="20"/>
              </w:rPr>
            </w:pPr>
          </w:p>
          <w:p w14:paraId="154D816B" w14:textId="77777777" w:rsidR="00E34453" w:rsidRPr="005E1EA7" w:rsidRDefault="00E34453" w:rsidP="00FF4A87">
            <w:pPr>
              <w:ind w:left="360" w:hanging="360"/>
              <w:jc w:val="center"/>
              <w:rPr>
                <w:rFonts w:ascii="Tahoma" w:hAnsi="Tahoma" w:cs="Tahoma"/>
                <w:b/>
                <w:bCs/>
                <w:sz w:val="20"/>
                <w:szCs w:val="20"/>
              </w:rPr>
            </w:pPr>
          </w:p>
        </w:tc>
        <w:tc>
          <w:tcPr>
            <w:tcW w:w="4371" w:type="dxa"/>
            <w:shd w:val="clear" w:color="auto" w:fill="auto"/>
            <w:vAlign w:val="center"/>
          </w:tcPr>
          <w:p w14:paraId="596A984C" w14:textId="77777777" w:rsidR="00E34453" w:rsidRPr="005E1EA7" w:rsidRDefault="00E34453" w:rsidP="00FF4A87">
            <w:pPr>
              <w:pStyle w:val="Pieddepage"/>
              <w:tabs>
                <w:tab w:val="clear" w:pos="4536"/>
                <w:tab w:val="clear" w:pos="9072"/>
              </w:tabs>
              <w:spacing w:line="300" w:lineRule="exact"/>
              <w:jc w:val="center"/>
              <w:rPr>
                <w:rFonts w:ascii="Tahoma" w:hAnsi="Tahoma" w:cs="Tahoma"/>
              </w:rPr>
            </w:pPr>
            <w:r w:rsidRPr="005E1EA7">
              <w:rPr>
                <w:rFonts w:ascii="Tahoma" w:hAnsi="Tahoma" w:cs="Tahoma"/>
              </w:rPr>
              <w:t xml:space="preserve">Le Ministre de l'Elevage </w:t>
            </w:r>
          </w:p>
          <w:p w14:paraId="69617ED0" w14:textId="77777777" w:rsidR="00E34453" w:rsidRPr="005E1EA7" w:rsidRDefault="00E34453" w:rsidP="00FF4A87">
            <w:pPr>
              <w:pStyle w:val="Pieddepage"/>
              <w:tabs>
                <w:tab w:val="clear" w:pos="4536"/>
                <w:tab w:val="clear" w:pos="9072"/>
              </w:tabs>
              <w:spacing w:line="300" w:lineRule="exact"/>
              <w:jc w:val="center"/>
              <w:rPr>
                <w:rFonts w:ascii="Tahoma" w:hAnsi="Tahoma" w:cs="Tahoma"/>
                <w:b/>
                <w:bCs/>
              </w:rPr>
            </w:pPr>
          </w:p>
          <w:p w14:paraId="5C4ADE48" w14:textId="77777777" w:rsidR="00E34453" w:rsidRPr="005E1EA7" w:rsidRDefault="00E34453" w:rsidP="00FF4A87">
            <w:pPr>
              <w:ind w:left="360" w:hanging="360"/>
              <w:jc w:val="center"/>
              <w:rPr>
                <w:rFonts w:ascii="Tahoma" w:hAnsi="Tahoma" w:cs="Tahoma"/>
                <w:b/>
                <w:bCs/>
                <w:sz w:val="20"/>
                <w:szCs w:val="20"/>
              </w:rPr>
            </w:pPr>
            <w:r w:rsidRPr="005E1EA7">
              <w:rPr>
                <w:rFonts w:ascii="Tahoma" w:hAnsi="Tahoma" w:cs="Tahoma"/>
                <w:b/>
                <w:bCs/>
                <w:sz w:val="20"/>
                <w:szCs w:val="20"/>
              </w:rPr>
              <w:t>Moctar Ould GAGUIH</w:t>
            </w:r>
          </w:p>
          <w:p w14:paraId="3F3E5F80" w14:textId="77777777" w:rsidR="00E34453" w:rsidRPr="005E1EA7" w:rsidRDefault="00E34453" w:rsidP="00FF4A87">
            <w:pPr>
              <w:ind w:left="360" w:hanging="360"/>
              <w:jc w:val="center"/>
              <w:rPr>
                <w:rFonts w:ascii="Tahoma" w:hAnsi="Tahoma" w:cs="Tahoma"/>
                <w:b/>
                <w:bCs/>
                <w:sz w:val="20"/>
                <w:szCs w:val="20"/>
              </w:rPr>
            </w:pPr>
          </w:p>
          <w:p w14:paraId="56E28831" w14:textId="77777777" w:rsidR="00E34453" w:rsidRPr="005E1EA7" w:rsidRDefault="00E34453" w:rsidP="00FF4A87">
            <w:pPr>
              <w:ind w:left="360" w:hanging="360"/>
              <w:jc w:val="center"/>
              <w:rPr>
                <w:rFonts w:ascii="Tahoma" w:hAnsi="Tahoma" w:cs="Tahoma"/>
                <w:b/>
                <w:bCs/>
                <w:sz w:val="20"/>
                <w:szCs w:val="20"/>
              </w:rPr>
            </w:pPr>
          </w:p>
        </w:tc>
      </w:tr>
    </w:tbl>
    <w:p w14:paraId="5FEECFC6" w14:textId="77777777" w:rsidR="00E34453" w:rsidRPr="005E1EA7" w:rsidRDefault="00E34453" w:rsidP="00E34453">
      <w:pPr>
        <w:autoSpaceDE w:val="0"/>
        <w:autoSpaceDN w:val="0"/>
        <w:adjustRightInd w:val="0"/>
        <w:jc w:val="both"/>
        <w:rPr>
          <w:rFonts w:ascii="Tahoma" w:hAnsi="Tahoma" w:cs="Tahoma"/>
          <w:sz w:val="20"/>
          <w:szCs w:val="20"/>
        </w:rPr>
      </w:pPr>
    </w:p>
    <w:p w14:paraId="67A5C3C8" w14:textId="77777777" w:rsidR="00E34453" w:rsidRPr="005E1EA7" w:rsidRDefault="00E34453" w:rsidP="00E34453">
      <w:pPr>
        <w:autoSpaceDE w:val="0"/>
        <w:autoSpaceDN w:val="0"/>
        <w:adjustRightInd w:val="0"/>
        <w:jc w:val="center"/>
        <w:rPr>
          <w:rFonts w:ascii="Tahoma" w:eastAsia="EUAlbertina-Italic-Identity-H" w:hAnsi="Tahoma" w:cs="Tahoma"/>
          <w:b/>
          <w:bCs/>
          <w:sz w:val="20"/>
          <w:szCs w:val="20"/>
        </w:rPr>
      </w:pPr>
      <w:r w:rsidRPr="005E1EA7">
        <w:rPr>
          <w:rFonts w:ascii="Tahoma" w:hAnsi="Tahoma" w:cs="Tahoma"/>
          <w:i/>
          <w:iCs/>
          <w:sz w:val="20"/>
          <w:szCs w:val="20"/>
        </w:rPr>
        <w:br w:type="page"/>
      </w:r>
      <w:r w:rsidRPr="005E1EA7">
        <w:rPr>
          <w:rFonts w:ascii="Tahoma" w:eastAsia="EUAlbertina-Italic-Identity-H" w:hAnsi="Tahoma" w:cs="Tahoma"/>
          <w:b/>
          <w:bCs/>
          <w:sz w:val="20"/>
          <w:szCs w:val="20"/>
        </w:rPr>
        <w:lastRenderedPageBreak/>
        <w:t>ANNEXE I</w:t>
      </w:r>
    </w:p>
    <w:p w14:paraId="5D54BC3A" w14:textId="77777777" w:rsidR="00E34453" w:rsidRPr="005E1EA7" w:rsidRDefault="00E34453" w:rsidP="00E34453">
      <w:pPr>
        <w:autoSpaceDE w:val="0"/>
        <w:autoSpaceDN w:val="0"/>
        <w:adjustRightInd w:val="0"/>
        <w:jc w:val="center"/>
        <w:rPr>
          <w:rFonts w:ascii="Tahoma" w:eastAsia="EUAlbertina-Bold-Identity-H" w:hAnsi="Tahoma" w:cs="Tahoma"/>
          <w:b/>
          <w:bCs/>
          <w:sz w:val="20"/>
          <w:szCs w:val="20"/>
        </w:rPr>
      </w:pPr>
      <w:r w:rsidRPr="005E1EA7">
        <w:rPr>
          <w:rFonts w:ascii="Tahoma" w:eastAsia="EUAlbertina-Bold-Identity-H" w:hAnsi="Tahoma" w:cs="Tahoma"/>
          <w:b/>
          <w:bCs/>
          <w:sz w:val="20"/>
          <w:szCs w:val="20"/>
        </w:rPr>
        <w:t>AUTORITE COMPETENTE</w:t>
      </w:r>
    </w:p>
    <w:p w14:paraId="16C5DE7B" w14:textId="77777777" w:rsidR="00E34453" w:rsidRPr="005E1EA7" w:rsidRDefault="00E34453" w:rsidP="00E34453">
      <w:pPr>
        <w:autoSpaceDE w:val="0"/>
        <w:autoSpaceDN w:val="0"/>
        <w:adjustRightInd w:val="0"/>
        <w:jc w:val="both"/>
        <w:rPr>
          <w:rFonts w:ascii="Tahoma" w:eastAsia="EUAlbertina-Bold-Identity-H" w:hAnsi="Tahoma" w:cs="Tahoma"/>
          <w:sz w:val="20"/>
          <w:szCs w:val="20"/>
        </w:rPr>
      </w:pPr>
    </w:p>
    <w:p w14:paraId="3FF4CD41" w14:textId="77777777" w:rsidR="00E34453" w:rsidRPr="005E1EA7" w:rsidRDefault="00E34453" w:rsidP="00E34453">
      <w:pPr>
        <w:autoSpaceDE w:val="0"/>
        <w:autoSpaceDN w:val="0"/>
        <w:adjustRightInd w:val="0"/>
        <w:jc w:val="center"/>
        <w:rPr>
          <w:rFonts w:ascii="Tahoma" w:eastAsia="EUAlbertina-Regular-Identity-H" w:hAnsi="Tahoma" w:cs="Tahoma"/>
          <w:b/>
          <w:bCs/>
          <w:sz w:val="20"/>
          <w:szCs w:val="20"/>
        </w:rPr>
      </w:pPr>
      <w:r w:rsidRPr="005E1EA7">
        <w:rPr>
          <w:rFonts w:ascii="Tahoma" w:eastAsia="EUAlbertina-Regular-Identity-H" w:hAnsi="Tahoma" w:cs="Tahoma"/>
          <w:b/>
          <w:bCs/>
          <w:sz w:val="20"/>
          <w:szCs w:val="20"/>
        </w:rPr>
        <w:t>CHAPITRE I : THEMES POUR LA FORMATION DU PERSONNEL</w:t>
      </w:r>
    </w:p>
    <w:p w14:paraId="2D7315C6" w14:textId="77777777" w:rsidR="00E34453" w:rsidRPr="005E1EA7" w:rsidRDefault="00E34453" w:rsidP="00E34453">
      <w:pPr>
        <w:autoSpaceDE w:val="0"/>
        <w:autoSpaceDN w:val="0"/>
        <w:adjustRightInd w:val="0"/>
        <w:jc w:val="center"/>
        <w:rPr>
          <w:rFonts w:ascii="Tahoma" w:eastAsia="EUAlbertina-Regular-Identity-H" w:hAnsi="Tahoma" w:cs="Tahoma"/>
          <w:b/>
          <w:bCs/>
          <w:sz w:val="20"/>
          <w:szCs w:val="20"/>
        </w:rPr>
      </w:pPr>
      <w:r w:rsidRPr="005E1EA7">
        <w:rPr>
          <w:rFonts w:ascii="Tahoma" w:eastAsia="EUAlbertina-Regular-Identity-H" w:hAnsi="Tahoma" w:cs="Tahoma"/>
          <w:b/>
          <w:bCs/>
          <w:sz w:val="20"/>
          <w:szCs w:val="20"/>
        </w:rPr>
        <w:t>CHARGE DES CONTROLES OFFICIELS</w:t>
      </w:r>
    </w:p>
    <w:p w14:paraId="33171AA2"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18657A31"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1. Les différentes techniques de contrôle telles que l’audit, l’échantillonnage et l’inspection ;</w:t>
      </w:r>
    </w:p>
    <w:p w14:paraId="080D6C44"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05FF249A"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2. Les procédures de contrôle ;</w:t>
      </w:r>
    </w:p>
    <w:p w14:paraId="282BEEC1"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38732E8A"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3. La législation relative aux produits de la pêche ;</w:t>
      </w:r>
    </w:p>
    <w:p w14:paraId="35CD4876"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1F61B907"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4. Les différents stades de la production, de la transformation et de la distribution, ainsi que les risques potentiels qui en découlent pour la santé humaine et, le cas échéant, pour l’environnement ;</w:t>
      </w:r>
    </w:p>
    <w:p w14:paraId="0303F313"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4990D5DA"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5. L’évaluation du non respect de la législation relative aux produits de la pêche ;</w:t>
      </w:r>
    </w:p>
    <w:p w14:paraId="5468DDA5"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560BDE6E"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6. Les dangers liés aux produits de la pêche ;</w:t>
      </w:r>
    </w:p>
    <w:p w14:paraId="2060F37C"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4269A780"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7. L’évaluation de l’application des procédures HACCP ;</w:t>
      </w:r>
    </w:p>
    <w:p w14:paraId="6A4BAFF7"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74AA8818"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8. Les systèmes de gestion tels que les programmes d’assurance de la qualité appliqués par les entreprises du secteur des produits de la pêche et leur évaluation, dans la mesure où ils sont utiles pour satisfaire aux dispositions de la législation relative aux produits de la pêche ;</w:t>
      </w:r>
    </w:p>
    <w:p w14:paraId="4D33FA1A"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5E0E9B2C"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9. Les procédures juridiques et les incidences des contrôles officiels ;</w:t>
      </w:r>
    </w:p>
    <w:p w14:paraId="7163DE1E"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1F4D1DC3"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10. L’examen des documents écrits et autres données, y compris celles qui ont trait aux tests d’aptitude, à l’agrément et à l’évaluation des risques, qui peuvent se révéler utiles pour évaluer le respect de la législation relative aux produits de la pêche ; cela peut inclure des aspects financiers et commerciaux.</w:t>
      </w:r>
    </w:p>
    <w:p w14:paraId="6C7B74DD"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573F36DF" w14:textId="77777777" w:rsidR="00E34453" w:rsidRPr="005E1EA7" w:rsidRDefault="00E34453" w:rsidP="00E34453">
      <w:pPr>
        <w:autoSpaceDE w:val="0"/>
        <w:autoSpaceDN w:val="0"/>
        <w:adjustRightInd w:val="0"/>
        <w:jc w:val="center"/>
        <w:rPr>
          <w:rFonts w:ascii="Tahoma" w:eastAsia="EUAlbertina-Regular-Identity-H" w:hAnsi="Tahoma" w:cs="Tahoma"/>
          <w:b/>
          <w:bCs/>
          <w:sz w:val="20"/>
          <w:szCs w:val="20"/>
        </w:rPr>
      </w:pPr>
      <w:r w:rsidRPr="005E1EA7">
        <w:rPr>
          <w:rFonts w:ascii="Tahoma" w:eastAsia="EUAlbertina-Regular-Identity-H" w:hAnsi="Tahoma" w:cs="Tahoma"/>
          <w:b/>
          <w:bCs/>
          <w:sz w:val="20"/>
          <w:szCs w:val="20"/>
        </w:rPr>
        <w:t>CHAPITRE II : QUESTIONS RELATIVES AUX PROCEDURES DE CONTROLE</w:t>
      </w:r>
    </w:p>
    <w:p w14:paraId="2F28FB21"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5236ECF7"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1. L’organisation de l’autorité compétente et les relations avec l’organisme de contrôle auquel ont été déléguées des tâches liées à ces contrôles officiels ;</w:t>
      </w:r>
    </w:p>
    <w:p w14:paraId="202DA09D"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11777B8F"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2. La description des objectifs à atteindre ;</w:t>
      </w:r>
    </w:p>
    <w:p w14:paraId="2FCBCC3B"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3866BE83"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3. Les tâches, responsabilités et obligations du personnel ;</w:t>
      </w:r>
    </w:p>
    <w:p w14:paraId="58A78194"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2D22EA60"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4. Les procédures d’échantillonnage, les méthodes et techniques de contrôle, l’interprétation des résultats et les décisions prises en conséquence ;</w:t>
      </w:r>
    </w:p>
    <w:p w14:paraId="2F863606"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4AD35327"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5. Les programmes de contrôle et de surveillance ;</w:t>
      </w:r>
    </w:p>
    <w:p w14:paraId="2829EA3E"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6B0C15A7"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6. Les mesures à prendre à la suite des contrôles officiels ;</w:t>
      </w:r>
    </w:p>
    <w:p w14:paraId="49A78C4C"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3BBE175A"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7. La coopération avec d’autres services ou départements qui peuvent avoir des responsabilités en la matière ;</w:t>
      </w:r>
    </w:p>
    <w:p w14:paraId="0692A613"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42F9DA3A"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8. La vérification de l’adéquation des méthodes d’échantillonnage, des méthodes d’analyse et des tests de détection ;</w:t>
      </w:r>
    </w:p>
    <w:p w14:paraId="0635CD2C"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590CCC40"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lastRenderedPageBreak/>
        <w:t>9. Toute autre activité ou information nécessaire à un fonctionnement efficace des contrôles officiels.</w:t>
      </w:r>
    </w:p>
    <w:p w14:paraId="5B04A716" w14:textId="77777777" w:rsidR="00E34453" w:rsidRPr="005E1EA7" w:rsidRDefault="00E34453" w:rsidP="00E34453">
      <w:pPr>
        <w:ind w:left="360" w:hanging="360"/>
        <w:jc w:val="both"/>
        <w:rPr>
          <w:rFonts w:ascii="Tahoma" w:hAnsi="Tahoma" w:cs="Tahoma"/>
          <w:sz w:val="20"/>
          <w:szCs w:val="20"/>
        </w:rPr>
      </w:pPr>
    </w:p>
    <w:p w14:paraId="5C8AF026" w14:textId="77777777" w:rsidR="00E34453" w:rsidRPr="005E1EA7" w:rsidRDefault="00E34453" w:rsidP="00E34453">
      <w:pPr>
        <w:ind w:left="360" w:hanging="360"/>
        <w:jc w:val="center"/>
        <w:rPr>
          <w:rFonts w:ascii="Tahoma" w:eastAsia="EUAlbertina-Italic-Identity-H" w:hAnsi="Tahoma" w:cs="Tahoma"/>
          <w:b/>
          <w:bCs/>
          <w:sz w:val="20"/>
          <w:szCs w:val="20"/>
        </w:rPr>
      </w:pPr>
      <w:r w:rsidRPr="005E1EA7">
        <w:rPr>
          <w:rFonts w:ascii="Tahoma" w:eastAsia="EUAlbertina-Italic-Identity-H" w:hAnsi="Tahoma" w:cs="Tahoma"/>
          <w:b/>
          <w:bCs/>
          <w:sz w:val="20"/>
          <w:szCs w:val="20"/>
        </w:rPr>
        <w:t>ANNEXE II</w:t>
      </w:r>
    </w:p>
    <w:p w14:paraId="592BD6FE" w14:textId="77777777" w:rsidR="00E34453" w:rsidRPr="005E1EA7" w:rsidRDefault="00E34453" w:rsidP="00E34453">
      <w:pPr>
        <w:autoSpaceDE w:val="0"/>
        <w:autoSpaceDN w:val="0"/>
        <w:adjustRightInd w:val="0"/>
        <w:jc w:val="center"/>
        <w:rPr>
          <w:rFonts w:ascii="Tahoma" w:eastAsia="EUAlbertina-Bold-Identity-H" w:hAnsi="Tahoma" w:cs="Tahoma"/>
          <w:b/>
          <w:bCs/>
          <w:sz w:val="20"/>
          <w:szCs w:val="20"/>
        </w:rPr>
      </w:pPr>
      <w:r w:rsidRPr="005E1EA7">
        <w:rPr>
          <w:rFonts w:ascii="Tahoma" w:eastAsia="EUAlbertina-Bold-Identity-H" w:hAnsi="Tahoma" w:cs="Tahoma"/>
          <w:b/>
          <w:bCs/>
          <w:sz w:val="20"/>
          <w:szCs w:val="20"/>
        </w:rPr>
        <w:t>MOLLUSQUES BIVALVES VIVANTS</w:t>
      </w:r>
    </w:p>
    <w:p w14:paraId="01E3AB6A" w14:textId="77777777" w:rsidR="00E34453" w:rsidRPr="005E1EA7" w:rsidRDefault="00E34453" w:rsidP="00E34453">
      <w:pPr>
        <w:autoSpaceDE w:val="0"/>
        <w:autoSpaceDN w:val="0"/>
        <w:adjustRightInd w:val="0"/>
        <w:jc w:val="both"/>
        <w:rPr>
          <w:rFonts w:ascii="Tahoma" w:eastAsia="EUAlbertina-Bold-Identity-H" w:hAnsi="Tahoma" w:cs="Tahoma"/>
          <w:sz w:val="20"/>
          <w:szCs w:val="20"/>
        </w:rPr>
      </w:pPr>
    </w:p>
    <w:p w14:paraId="1633AC85" w14:textId="77777777" w:rsidR="00E34453" w:rsidRPr="005E1EA7" w:rsidRDefault="00E34453" w:rsidP="00E34453">
      <w:pPr>
        <w:autoSpaceDE w:val="0"/>
        <w:autoSpaceDN w:val="0"/>
        <w:adjustRightInd w:val="0"/>
        <w:jc w:val="both"/>
        <w:rPr>
          <w:rFonts w:ascii="Tahoma" w:eastAsia="EUAlbertina-Bold-Identity-H" w:hAnsi="Tahoma" w:cs="Tahoma"/>
          <w:sz w:val="20"/>
          <w:szCs w:val="20"/>
        </w:rPr>
      </w:pPr>
    </w:p>
    <w:p w14:paraId="576E27D5" w14:textId="77777777" w:rsidR="00E34453" w:rsidRPr="005E1EA7" w:rsidRDefault="00E34453" w:rsidP="00E34453">
      <w:pPr>
        <w:autoSpaceDE w:val="0"/>
        <w:autoSpaceDN w:val="0"/>
        <w:adjustRightInd w:val="0"/>
        <w:jc w:val="center"/>
        <w:rPr>
          <w:rFonts w:ascii="Tahoma" w:eastAsia="EUAlbertina-Regular-Identity-H" w:hAnsi="Tahoma" w:cs="Tahoma"/>
          <w:b/>
          <w:bCs/>
          <w:sz w:val="20"/>
          <w:szCs w:val="20"/>
        </w:rPr>
      </w:pPr>
      <w:r w:rsidRPr="005E1EA7">
        <w:rPr>
          <w:rFonts w:ascii="Tahoma" w:eastAsia="EUAlbertina-Regular-Identity-H" w:hAnsi="Tahoma" w:cs="Tahoma"/>
          <w:b/>
          <w:bCs/>
          <w:sz w:val="20"/>
          <w:szCs w:val="20"/>
        </w:rPr>
        <w:t>CHAPITRE I : CONTROLES OFFICIELS RELATIFS AUX MOLLUSQUES BIVALVES</w:t>
      </w:r>
    </w:p>
    <w:p w14:paraId="37FB0C18" w14:textId="77777777" w:rsidR="00E34453" w:rsidRPr="005E1EA7" w:rsidRDefault="00E34453" w:rsidP="00E34453">
      <w:pPr>
        <w:autoSpaceDE w:val="0"/>
        <w:autoSpaceDN w:val="0"/>
        <w:adjustRightInd w:val="0"/>
        <w:jc w:val="center"/>
        <w:rPr>
          <w:rFonts w:ascii="Tahoma" w:eastAsia="EUAlbertina-Regular-Identity-H" w:hAnsi="Tahoma" w:cs="Tahoma"/>
          <w:b/>
          <w:bCs/>
          <w:sz w:val="20"/>
          <w:szCs w:val="20"/>
        </w:rPr>
      </w:pPr>
      <w:r w:rsidRPr="005E1EA7">
        <w:rPr>
          <w:rFonts w:ascii="Tahoma" w:eastAsia="EUAlbertina-Regular-Identity-H" w:hAnsi="Tahoma" w:cs="Tahoma"/>
          <w:b/>
          <w:bCs/>
          <w:sz w:val="20"/>
          <w:szCs w:val="20"/>
        </w:rPr>
        <w:t>VIVANTS PROVENANT DES ZONES DE PRODUCTION CLASSEES</w:t>
      </w:r>
    </w:p>
    <w:p w14:paraId="350BB5E8"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1D4E602C" w14:textId="77777777" w:rsidR="00E34453" w:rsidRPr="005E1EA7" w:rsidRDefault="00E34453" w:rsidP="00E34453">
      <w:pPr>
        <w:autoSpaceDE w:val="0"/>
        <w:autoSpaceDN w:val="0"/>
        <w:adjustRightInd w:val="0"/>
        <w:jc w:val="both"/>
        <w:rPr>
          <w:rFonts w:ascii="Tahoma" w:eastAsia="EUAlbertina-Italic-Identity-H" w:hAnsi="Tahoma" w:cs="Tahoma"/>
          <w:b/>
          <w:bCs/>
          <w:i/>
          <w:iCs/>
          <w:sz w:val="20"/>
          <w:szCs w:val="20"/>
        </w:rPr>
      </w:pPr>
      <w:r w:rsidRPr="005E1EA7">
        <w:rPr>
          <w:rFonts w:ascii="Tahoma" w:eastAsia="EUAlbertina-Regular-Identity-H" w:hAnsi="Tahoma" w:cs="Tahoma"/>
          <w:b/>
          <w:bCs/>
          <w:sz w:val="20"/>
          <w:szCs w:val="20"/>
        </w:rPr>
        <w:t xml:space="preserve">A. </w:t>
      </w:r>
      <w:r w:rsidRPr="005E1EA7">
        <w:rPr>
          <w:rFonts w:ascii="Tahoma" w:eastAsia="EUAlbertina-Italic-Identity-H" w:hAnsi="Tahoma" w:cs="Tahoma"/>
          <w:b/>
          <w:bCs/>
          <w:i/>
          <w:iCs/>
          <w:sz w:val="20"/>
          <w:szCs w:val="20"/>
        </w:rPr>
        <w:t>CLASSEMENT DES ZONES DE PRODUCTION ET DE REPARCAGE</w:t>
      </w:r>
    </w:p>
    <w:p w14:paraId="62CC381F" w14:textId="77777777" w:rsidR="00E34453" w:rsidRPr="005E1EA7" w:rsidRDefault="00E34453" w:rsidP="00E34453">
      <w:pPr>
        <w:autoSpaceDE w:val="0"/>
        <w:autoSpaceDN w:val="0"/>
        <w:adjustRightInd w:val="0"/>
        <w:jc w:val="both"/>
        <w:rPr>
          <w:rFonts w:ascii="Tahoma" w:eastAsia="EUAlbertina-Italic-Identity-H" w:hAnsi="Tahoma" w:cs="Tahoma"/>
          <w:i/>
          <w:iCs/>
          <w:sz w:val="20"/>
          <w:szCs w:val="20"/>
        </w:rPr>
      </w:pPr>
    </w:p>
    <w:p w14:paraId="4F91E9AF" w14:textId="77777777" w:rsidR="00E34453" w:rsidRPr="005E1EA7" w:rsidRDefault="00E34453" w:rsidP="00E34453">
      <w:pPr>
        <w:pStyle w:val="Corpsdetexte2"/>
        <w:spacing w:after="0" w:line="240" w:lineRule="auto"/>
        <w:jc w:val="both"/>
        <w:rPr>
          <w:rFonts w:ascii="Tahoma" w:hAnsi="Tahoma" w:cs="Tahoma"/>
          <w:sz w:val="20"/>
          <w:szCs w:val="20"/>
        </w:rPr>
      </w:pPr>
      <w:r w:rsidRPr="005E1EA7">
        <w:rPr>
          <w:rFonts w:ascii="Tahoma" w:hAnsi="Tahoma" w:cs="Tahoma"/>
          <w:sz w:val="20"/>
          <w:szCs w:val="20"/>
        </w:rPr>
        <w:t>1. L’autorité compétente doit fixer l’emplacement et les limites des zones de production et de reparcage qu’elle classe. Le cas échéant, elle peut accomplir cette tâche en coopération avec l’exploitant de mollusques bivalves.</w:t>
      </w:r>
    </w:p>
    <w:p w14:paraId="2BBEB20C" w14:textId="77777777" w:rsidR="00E34453" w:rsidRPr="005E1EA7" w:rsidRDefault="00E34453" w:rsidP="00E34453">
      <w:pPr>
        <w:pStyle w:val="Corpsdetexte2"/>
        <w:spacing w:after="0" w:line="240" w:lineRule="auto"/>
        <w:jc w:val="both"/>
        <w:rPr>
          <w:rFonts w:ascii="Tahoma" w:hAnsi="Tahoma" w:cs="Tahoma"/>
          <w:sz w:val="20"/>
          <w:szCs w:val="20"/>
        </w:rPr>
      </w:pPr>
    </w:p>
    <w:p w14:paraId="4DC1372C" w14:textId="77777777" w:rsidR="00E34453" w:rsidRPr="005E1EA7" w:rsidRDefault="00E34453" w:rsidP="00E34453">
      <w:pPr>
        <w:pStyle w:val="Corpsdetexte2"/>
        <w:spacing w:after="0" w:line="240" w:lineRule="auto"/>
        <w:jc w:val="both"/>
        <w:rPr>
          <w:rFonts w:ascii="Tahoma" w:hAnsi="Tahoma" w:cs="Tahoma"/>
          <w:sz w:val="20"/>
          <w:szCs w:val="20"/>
        </w:rPr>
      </w:pPr>
      <w:r w:rsidRPr="005E1EA7">
        <w:rPr>
          <w:rFonts w:ascii="Tahoma" w:hAnsi="Tahoma" w:cs="Tahoma"/>
          <w:sz w:val="20"/>
          <w:szCs w:val="20"/>
        </w:rPr>
        <w:t xml:space="preserve">2. L’autorité compétente doit classer les zones de production dans lesquelles elle autorise la récolte des mollusques bivalves selon trois classes différentes en fonction du niveau de contamination fécale mesurée par la méthode de référence pour cette analyse qui est le test du nombre le plus probable (NPP) à cinq tubes et trois dilutions spécifié par la norme XP ISO/TS 16649-3 et visé par l’arrêté </w:t>
      </w:r>
      <w:r w:rsidRPr="005E1EA7">
        <w:rPr>
          <w:rFonts w:ascii="Tahoma" w:hAnsi="Tahoma" w:cs="Tahoma"/>
          <w:bCs/>
          <w:sz w:val="20"/>
          <w:szCs w:val="20"/>
        </w:rPr>
        <w:t xml:space="preserve">conjoint </w:t>
      </w:r>
      <w:r w:rsidRPr="005E1EA7">
        <w:rPr>
          <w:rFonts w:ascii="Tahoma" w:hAnsi="Tahoma" w:cs="Tahoma"/>
          <w:sz w:val="20"/>
          <w:szCs w:val="20"/>
        </w:rPr>
        <w:t>fixant les critères microbiologiques, chimiques et biotoxines marines applicables aux mollusques bivalves vivants et aux produits de la pêche. D'autres méthodes peuvent être utilisées si elles sont validées au regard de la méthode de référence, conformément aux critères fixés par la norme NF EN ISO 16140.</w:t>
      </w:r>
    </w:p>
    <w:p w14:paraId="086E7166" w14:textId="77777777" w:rsidR="00E34453" w:rsidRPr="005E1EA7" w:rsidRDefault="00E34453" w:rsidP="00E34453">
      <w:pPr>
        <w:pStyle w:val="Corpsdetexte2"/>
        <w:spacing w:after="0" w:line="240" w:lineRule="auto"/>
        <w:jc w:val="both"/>
        <w:rPr>
          <w:rFonts w:ascii="Tahoma" w:hAnsi="Tahoma" w:cs="Tahoma"/>
          <w:sz w:val="20"/>
          <w:szCs w:val="20"/>
        </w:rPr>
      </w:pPr>
    </w:p>
    <w:p w14:paraId="10010470" w14:textId="77777777" w:rsidR="00E34453" w:rsidRPr="005E1EA7" w:rsidRDefault="00E34453" w:rsidP="00E34453">
      <w:pPr>
        <w:pStyle w:val="Corpsdetexte2"/>
        <w:spacing w:after="0" w:line="240" w:lineRule="auto"/>
        <w:jc w:val="both"/>
        <w:rPr>
          <w:rFonts w:ascii="Tahoma" w:hAnsi="Tahoma" w:cs="Tahoma"/>
          <w:sz w:val="20"/>
          <w:szCs w:val="20"/>
        </w:rPr>
      </w:pPr>
      <w:r w:rsidRPr="005E1EA7">
        <w:rPr>
          <w:rFonts w:ascii="Tahoma" w:hAnsi="Tahoma" w:cs="Tahoma"/>
          <w:sz w:val="20"/>
          <w:szCs w:val="20"/>
        </w:rPr>
        <w:t xml:space="preserve">Le cas échéant, l’Autorité compétente peut accomplir le classement des zones en coopération avec l’exploitant du secteur des mollusques bivalves. </w:t>
      </w:r>
    </w:p>
    <w:p w14:paraId="121400E0"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24725018" w14:textId="77777777" w:rsidR="00E34453" w:rsidRPr="005E1EA7" w:rsidRDefault="00E34453" w:rsidP="00E34453">
      <w:pPr>
        <w:pStyle w:val="Corpsdetexte2"/>
        <w:spacing w:after="0" w:line="240" w:lineRule="auto"/>
        <w:jc w:val="both"/>
        <w:rPr>
          <w:rFonts w:ascii="Tahoma" w:hAnsi="Tahoma" w:cs="Tahoma"/>
          <w:sz w:val="20"/>
          <w:szCs w:val="20"/>
        </w:rPr>
      </w:pPr>
      <w:r w:rsidRPr="005E1EA7">
        <w:rPr>
          <w:rFonts w:ascii="Tahoma" w:hAnsi="Tahoma" w:cs="Tahoma"/>
          <w:sz w:val="20"/>
          <w:szCs w:val="20"/>
        </w:rPr>
        <w:t xml:space="preserve">3. L’Autorité compétente peut classer en zones de classe A les zones dans lesquelles les mollusques bivalves vivants peuvent être récoltés pour la consommation humaine directe. Les échantillons de mollusques bivalves vivants provenant des zones de classe A ne doivent pas dépasser, pour 80 % des échantillons prélevés pendant la période d'analyse, la limite de 230 E. coli par 100 g de chair et de liquide intervalvaire. Les 20 % d'échantillons restants ne doivent pas dépasser la limite de 700 E. coli par 100 g de chair et de liquide intervalvaire et doivent satisfaire aux normes sanitaires applicables aux mollusques bivalves vivants visées par l’arrêté fixant les critères microbiologiques, chimiques et biotoxines marines applicables aux mollusques bivalves vivants et aux produits de la pêche.  </w:t>
      </w:r>
    </w:p>
    <w:p w14:paraId="50775D78"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0E4999A4" w14:textId="77777777" w:rsidR="00E34453" w:rsidRPr="005E1EA7" w:rsidRDefault="00E34453" w:rsidP="00E34453">
      <w:pPr>
        <w:pStyle w:val="Corpsdetexte2"/>
        <w:spacing w:after="0" w:line="240" w:lineRule="auto"/>
        <w:jc w:val="both"/>
        <w:rPr>
          <w:rFonts w:ascii="Tahoma" w:hAnsi="Tahoma" w:cs="Tahoma"/>
          <w:sz w:val="20"/>
          <w:szCs w:val="20"/>
        </w:rPr>
      </w:pPr>
      <w:r w:rsidRPr="005E1EA7">
        <w:rPr>
          <w:rFonts w:ascii="Tahoma" w:hAnsi="Tahoma" w:cs="Tahoma"/>
          <w:sz w:val="20"/>
          <w:szCs w:val="20"/>
        </w:rPr>
        <w:t xml:space="preserve">4. L'Autorité compétente peut classer en zones de classe B les zones dans lesquelles les mollusques bivalves vivants peuvent être récoltés, mais ne peuvent être mis sur le marché pour la consommation humaine qu'après avoir subi un traitement dans un centre de purification en vue de satisfaire aux normes sanitaires mentionnées au point 3. </w:t>
      </w:r>
    </w:p>
    <w:p w14:paraId="3897E246" w14:textId="77777777" w:rsidR="00E34453" w:rsidRPr="005E1EA7" w:rsidRDefault="00E34453" w:rsidP="00E34453">
      <w:pPr>
        <w:pStyle w:val="Corpsdetexte2"/>
        <w:spacing w:after="0" w:line="240" w:lineRule="auto"/>
        <w:jc w:val="both"/>
        <w:rPr>
          <w:rFonts w:ascii="Tahoma" w:hAnsi="Tahoma" w:cs="Tahoma"/>
          <w:sz w:val="20"/>
          <w:szCs w:val="20"/>
        </w:rPr>
      </w:pPr>
      <w:r w:rsidRPr="005E1EA7">
        <w:rPr>
          <w:rFonts w:ascii="Tahoma" w:hAnsi="Tahoma" w:cs="Tahoma"/>
          <w:sz w:val="20"/>
          <w:szCs w:val="20"/>
        </w:rPr>
        <w:t>Les mollusques bivalves vivants provenant des zones de classe B ne doivent pas dépasser, pour 90 % des échantillons, la limite de 4 600 E. coli par 100 g de chair et de liquide intervalvaire. Les 10 % d'échantillons restants ne doivent pas dépasser la limite de 46 000 E. coli par 100 g de chair et de liquide intervalvaire.</w:t>
      </w:r>
    </w:p>
    <w:p w14:paraId="35D06C06" w14:textId="77777777" w:rsidR="00E34453" w:rsidRPr="005E1EA7" w:rsidRDefault="00E34453" w:rsidP="00E34453">
      <w:pPr>
        <w:pStyle w:val="Corpsdetexte2"/>
        <w:spacing w:after="0" w:line="240" w:lineRule="auto"/>
        <w:jc w:val="both"/>
        <w:rPr>
          <w:rFonts w:ascii="Tahoma" w:hAnsi="Tahoma" w:cs="Tahoma"/>
          <w:sz w:val="20"/>
          <w:szCs w:val="20"/>
        </w:rPr>
      </w:pPr>
    </w:p>
    <w:p w14:paraId="17CCFECB" w14:textId="77777777" w:rsidR="00E34453" w:rsidRPr="005E1EA7" w:rsidRDefault="00E34453" w:rsidP="00E34453">
      <w:pPr>
        <w:pStyle w:val="Corpsdetexte2"/>
        <w:spacing w:after="0" w:line="240" w:lineRule="auto"/>
        <w:jc w:val="both"/>
        <w:rPr>
          <w:rFonts w:ascii="Tahoma" w:hAnsi="Tahoma" w:cs="Tahoma"/>
          <w:sz w:val="20"/>
          <w:szCs w:val="20"/>
        </w:rPr>
      </w:pPr>
      <w:r w:rsidRPr="005E1EA7">
        <w:rPr>
          <w:rFonts w:ascii="Tahoma" w:hAnsi="Tahoma" w:cs="Tahoma"/>
          <w:sz w:val="20"/>
          <w:szCs w:val="20"/>
        </w:rPr>
        <w:t xml:space="preserve">5. L'autorité compétente peut classer en zones de classe C les zones dans lesquelles les mollusques bivalves vivants peuvent être récoltés, mais ne peuvent être mis sur le marché que s’ils satisfont aux normes sanitaires et au traitement prévu pour l’élimination des micro-organismes pathogènes, par la réglementation en vigueur. </w:t>
      </w:r>
    </w:p>
    <w:p w14:paraId="2E5778B4" w14:textId="77777777" w:rsidR="00E34453" w:rsidRPr="005E1EA7" w:rsidRDefault="00E34453" w:rsidP="00E34453">
      <w:pPr>
        <w:pStyle w:val="Corpsdetexte2"/>
        <w:spacing w:after="0" w:line="240" w:lineRule="auto"/>
        <w:jc w:val="both"/>
        <w:rPr>
          <w:rFonts w:ascii="Tahoma" w:hAnsi="Tahoma" w:cs="Tahoma"/>
          <w:sz w:val="20"/>
          <w:szCs w:val="20"/>
        </w:rPr>
      </w:pPr>
      <w:r w:rsidRPr="005E1EA7">
        <w:rPr>
          <w:rFonts w:ascii="Tahoma" w:hAnsi="Tahoma" w:cs="Tahoma"/>
          <w:sz w:val="20"/>
          <w:szCs w:val="20"/>
        </w:rPr>
        <w:t xml:space="preserve">Les mollusques bivalves vivants provenant de ces zones ne peuvent dépasser la limite de 46 000 E. coli par 100 g de chair et de liquide intervalvaire. </w:t>
      </w:r>
    </w:p>
    <w:p w14:paraId="6CBE6BC0" w14:textId="77777777" w:rsidR="00E34453" w:rsidRPr="005E1EA7" w:rsidRDefault="00E34453" w:rsidP="00E34453">
      <w:pPr>
        <w:pStyle w:val="Corpsdetexte2"/>
        <w:spacing w:after="0" w:line="240" w:lineRule="auto"/>
        <w:jc w:val="both"/>
        <w:rPr>
          <w:rFonts w:ascii="Tahoma" w:hAnsi="Tahoma" w:cs="Tahoma"/>
          <w:sz w:val="20"/>
          <w:szCs w:val="20"/>
        </w:rPr>
      </w:pPr>
    </w:p>
    <w:p w14:paraId="6038A733" w14:textId="77777777" w:rsidR="00E34453" w:rsidRPr="005E1EA7" w:rsidRDefault="00E34453" w:rsidP="00E34453">
      <w:pPr>
        <w:pStyle w:val="Corpsdetexte2"/>
        <w:spacing w:after="0" w:line="240" w:lineRule="auto"/>
        <w:jc w:val="both"/>
        <w:rPr>
          <w:rFonts w:ascii="Tahoma" w:hAnsi="Tahoma" w:cs="Tahoma"/>
          <w:sz w:val="20"/>
          <w:szCs w:val="20"/>
        </w:rPr>
      </w:pPr>
      <w:r w:rsidRPr="005E1EA7">
        <w:rPr>
          <w:rFonts w:ascii="Tahoma" w:hAnsi="Tahoma" w:cs="Tahoma"/>
          <w:sz w:val="20"/>
          <w:szCs w:val="20"/>
        </w:rPr>
        <w:t>6. Si l’autorité compétente décide, en principe, de classer une zone de production, elle doit :</w:t>
      </w:r>
    </w:p>
    <w:p w14:paraId="78733281" w14:textId="77777777" w:rsidR="00E34453" w:rsidRPr="005E1EA7" w:rsidRDefault="00E34453" w:rsidP="00E34453">
      <w:pPr>
        <w:pStyle w:val="Corpsdetexte2"/>
        <w:spacing w:after="0" w:line="240" w:lineRule="auto"/>
        <w:jc w:val="both"/>
        <w:rPr>
          <w:rFonts w:ascii="Tahoma" w:hAnsi="Tahoma" w:cs="Tahoma"/>
          <w:sz w:val="20"/>
          <w:szCs w:val="20"/>
        </w:rPr>
      </w:pPr>
    </w:p>
    <w:p w14:paraId="76657D0A" w14:textId="77777777" w:rsidR="00E34453" w:rsidRPr="005E1EA7" w:rsidRDefault="00E34453" w:rsidP="00E34453">
      <w:pPr>
        <w:pStyle w:val="Corpsdetexte2"/>
        <w:spacing w:after="0" w:line="240" w:lineRule="auto"/>
        <w:ind w:left="284" w:hanging="284"/>
        <w:jc w:val="both"/>
        <w:rPr>
          <w:rFonts w:ascii="Tahoma" w:hAnsi="Tahoma" w:cs="Tahoma"/>
          <w:sz w:val="20"/>
          <w:szCs w:val="20"/>
        </w:rPr>
      </w:pPr>
      <w:r w:rsidRPr="005E1EA7">
        <w:rPr>
          <w:rFonts w:ascii="Tahoma" w:hAnsi="Tahoma" w:cs="Tahoma"/>
          <w:sz w:val="20"/>
          <w:szCs w:val="20"/>
        </w:rPr>
        <w:lastRenderedPageBreak/>
        <w:t>a) dresser un inventaire des sources de pollution d’origine humaine ou animale susceptibles de constituer une source de contamination de la zone de production ;</w:t>
      </w:r>
    </w:p>
    <w:p w14:paraId="2E7AE457" w14:textId="77777777" w:rsidR="00E34453" w:rsidRPr="005E1EA7" w:rsidRDefault="00E34453" w:rsidP="00E34453">
      <w:pPr>
        <w:pStyle w:val="Corpsdetexte2"/>
        <w:spacing w:after="0" w:line="240" w:lineRule="auto"/>
        <w:jc w:val="both"/>
        <w:rPr>
          <w:rFonts w:ascii="Tahoma" w:hAnsi="Tahoma" w:cs="Tahoma"/>
          <w:sz w:val="20"/>
          <w:szCs w:val="20"/>
        </w:rPr>
      </w:pPr>
    </w:p>
    <w:p w14:paraId="3B96B340" w14:textId="77777777" w:rsidR="00E34453" w:rsidRPr="005E1EA7" w:rsidRDefault="00E34453" w:rsidP="00E34453">
      <w:pPr>
        <w:pStyle w:val="Corpsdetexte2"/>
        <w:spacing w:after="0" w:line="240" w:lineRule="auto"/>
        <w:ind w:left="284" w:hanging="284"/>
        <w:jc w:val="both"/>
        <w:rPr>
          <w:rFonts w:ascii="Tahoma" w:hAnsi="Tahoma" w:cs="Tahoma"/>
          <w:sz w:val="20"/>
          <w:szCs w:val="20"/>
        </w:rPr>
      </w:pPr>
      <w:r w:rsidRPr="005E1EA7">
        <w:rPr>
          <w:rFonts w:ascii="Tahoma" w:hAnsi="Tahoma" w:cs="Tahoma"/>
          <w:sz w:val="20"/>
          <w:szCs w:val="20"/>
        </w:rPr>
        <w:t>b) examiner les quantités de polluants à l’origine de contaminations microbiologiques émises au cours des différentes périodes de l’année, en fonction des variations saisonnières de la population humaine et de la population animale dans le bassin hydrographique, des précipitations, du traitement des eaux résiduaires.</w:t>
      </w:r>
    </w:p>
    <w:p w14:paraId="1F676955" w14:textId="77777777" w:rsidR="00E34453" w:rsidRPr="005E1EA7" w:rsidRDefault="00E34453" w:rsidP="00E34453">
      <w:pPr>
        <w:pStyle w:val="Corpsdetexte2"/>
        <w:spacing w:after="0" w:line="240" w:lineRule="auto"/>
        <w:ind w:left="284" w:hanging="284"/>
        <w:jc w:val="both"/>
        <w:rPr>
          <w:rFonts w:ascii="Tahoma" w:hAnsi="Tahoma" w:cs="Tahoma"/>
          <w:sz w:val="20"/>
          <w:szCs w:val="20"/>
        </w:rPr>
      </w:pPr>
    </w:p>
    <w:p w14:paraId="5D409581" w14:textId="77777777" w:rsidR="00E34453" w:rsidRPr="005E1EA7" w:rsidRDefault="00E34453" w:rsidP="00E34453">
      <w:pPr>
        <w:pStyle w:val="Corpsdetexte2"/>
        <w:spacing w:after="0" w:line="240" w:lineRule="auto"/>
        <w:ind w:left="284" w:hanging="284"/>
        <w:jc w:val="both"/>
        <w:rPr>
          <w:rFonts w:ascii="Tahoma" w:hAnsi="Tahoma" w:cs="Tahoma"/>
          <w:sz w:val="20"/>
          <w:szCs w:val="20"/>
        </w:rPr>
      </w:pPr>
      <w:r w:rsidRPr="005E1EA7">
        <w:rPr>
          <w:rFonts w:ascii="Tahoma" w:hAnsi="Tahoma" w:cs="Tahoma"/>
          <w:sz w:val="20"/>
          <w:szCs w:val="20"/>
        </w:rPr>
        <w:t>c) déterminer les caractéristiques de circulation des polluants, de la bathymétrie et du cycle des marées dans la zone de production.</w:t>
      </w:r>
    </w:p>
    <w:p w14:paraId="11B4557A" w14:textId="77777777" w:rsidR="00E34453" w:rsidRPr="005E1EA7" w:rsidRDefault="00E34453" w:rsidP="00E34453">
      <w:pPr>
        <w:pStyle w:val="Corpsdetexte2"/>
        <w:spacing w:after="0" w:line="240" w:lineRule="auto"/>
        <w:jc w:val="both"/>
        <w:rPr>
          <w:rFonts w:ascii="Tahoma" w:hAnsi="Tahoma" w:cs="Tahoma"/>
          <w:sz w:val="20"/>
          <w:szCs w:val="20"/>
        </w:rPr>
      </w:pPr>
    </w:p>
    <w:p w14:paraId="4E3FD41B" w14:textId="77777777" w:rsidR="00E34453" w:rsidRPr="005E1EA7" w:rsidRDefault="00E34453" w:rsidP="00E34453">
      <w:pPr>
        <w:pStyle w:val="Corpsdetexte2"/>
        <w:spacing w:after="0" w:line="240" w:lineRule="auto"/>
        <w:ind w:left="284" w:hanging="284"/>
        <w:jc w:val="both"/>
        <w:rPr>
          <w:rFonts w:ascii="Tahoma" w:hAnsi="Tahoma" w:cs="Tahoma"/>
          <w:sz w:val="20"/>
          <w:szCs w:val="20"/>
        </w:rPr>
      </w:pPr>
      <w:r w:rsidRPr="005E1EA7">
        <w:rPr>
          <w:rFonts w:ascii="Tahoma" w:hAnsi="Tahoma" w:cs="Tahoma"/>
          <w:sz w:val="20"/>
          <w:szCs w:val="20"/>
        </w:rPr>
        <w:t>d) mettre en place un programme d’échantillonnage des mollusques bivalves dans la zone de production, basé sur l’examen de données établies, avec un nombre d’échantillons, une répartition géographique des points d’échantillonnage et une fréquence d’échantillonnage qui doit assurer que les résultats des analyses sont les plus représentatifs possible pour la zone considérée.</w:t>
      </w:r>
    </w:p>
    <w:p w14:paraId="01B8DECA" w14:textId="77777777" w:rsidR="00E34453" w:rsidRPr="005E1EA7" w:rsidRDefault="00E34453" w:rsidP="00E34453">
      <w:pPr>
        <w:pStyle w:val="Corpsdetexte2"/>
        <w:spacing w:after="0" w:line="240" w:lineRule="auto"/>
        <w:jc w:val="both"/>
        <w:rPr>
          <w:rFonts w:ascii="Tahoma" w:hAnsi="Tahoma" w:cs="Tahoma"/>
          <w:sz w:val="20"/>
          <w:szCs w:val="20"/>
        </w:rPr>
      </w:pPr>
    </w:p>
    <w:p w14:paraId="2C4789BB" w14:textId="77777777" w:rsidR="00E34453" w:rsidRPr="005E1EA7" w:rsidRDefault="00E34453" w:rsidP="00E34453">
      <w:pPr>
        <w:autoSpaceDE w:val="0"/>
        <w:autoSpaceDN w:val="0"/>
        <w:adjustRightInd w:val="0"/>
        <w:jc w:val="both"/>
        <w:rPr>
          <w:rFonts w:ascii="Tahoma" w:eastAsia="EUAlbertina-Italic-Identity-H" w:hAnsi="Tahoma" w:cs="Tahoma"/>
          <w:b/>
          <w:bCs/>
          <w:i/>
          <w:iCs/>
          <w:sz w:val="20"/>
          <w:szCs w:val="20"/>
        </w:rPr>
      </w:pPr>
      <w:r w:rsidRPr="005E1EA7">
        <w:rPr>
          <w:rFonts w:ascii="Tahoma" w:eastAsia="EUAlbertina-Regular-Identity-H" w:hAnsi="Tahoma" w:cs="Tahoma"/>
          <w:b/>
          <w:bCs/>
          <w:sz w:val="20"/>
          <w:szCs w:val="20"/>
        </w:rPr>
        <w:t xml:space="preserve">B. </w:t>
      </w:r>
      <w:r w:rsidRPr="005E1EA7">
        <w:rPr>
          <w:rFonts w:ascii="Tahoma" w:eastAsia="EUAlbertina-Italic-Identity-H" w:hAnsi="Tahoma" w:cs="Tahoma"/>
          <w:b/>
          <w:bCs/>
          <w:i/>
          <w:iCs/>
          <w:sz w:val="20"/>
          <w:szCs w:val="20"/>
        </w:rPr>
        <w:t>CONTROLE DES ZONES DE PRODUCTION</w:t>
      </w:r>
    </w:p>
    <w:p w14:paraId="4F7B9411" w14:textId="77777777" w:rsidR="00E34453" w:rsidRPr="005E1EA7" w:rsidRDefault="00E34453" w:rsidP="00E34453">
      <w:pPr>
        <w:autoSpaceDE w:val="0"/>
        <w:autoSpaceDN w:val="0"/>
        <w:adjustRightInd w:val="0"/>
        <w:jc w:val="both"/>
        <w:rPr>
          <w:rFonts w:ascii="Tahoma" w:eastAsia="EUAlbertina-Italic-Identity-H" w:hAnsi="Tahoma" w:cs="Tahoma"/>
          <w:i/>
          <w:iCs/>
          <w:sz w:val="20"/>
          <w:szCs w:val="20"/>
        </w:rPr>
      </w:pPr>
    </w:p>
    <w:p w14:paraId="52EC2571"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1. Les zones de production classées doivent être contrôlées à intervalles réguliers afin de vérifier :</w:t>
      </w:r>
    </w:p>
    <w:p w14:paraId="48655503"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727B42AE" w14:textId="77777777" w:rsidR="00E34453" w:rsidRPr="005E1EA7" w:rsidRDefault="00E34453" w:rsidP="00E34453">
      <w:pPr>
        <w:autoSpaceDE w:val="0"/>
        <w:autoSpaceDN w:val="0"/>
        <w:adjustRightInd w:val="0"/>
        <w:ind w:left="720" w:hanging="360"/>
        <w:jc w:val="both"/>
        <w:rPr>
          <w:rFonts w:ascii="Tahoma" w:eastAsia="EUAlbertina-Regular-Identity-H" w:hAnsi="Tahoma" w:cs="Tahoma"/>
          <w:sz w:val="20"/>
          <w:szCs w:val="20"/>
        </w:rPr>
      </w:pPr>
      <w:r w:rsidRPr="005E1EA7">
        <w:rPr>
          <w:rFonts w:ascii="Tahoma" w:eastAsia="EUAlbertina-Regular-Identity-H" w:hAnsi="Tahoma" w:cs="Tahoma"/>
          <w:sz w:val="20"/>
          <w:szCs w:val="20"/>
        </w:rPr>
        <w:t>a) qu’il n’y a pas de fraude sur l’origine, la provenance et la destination des mollusques bivalves vivants,</w:t>
      </w:r>
    </w:p>
    <w:p w14:paraId="7DBA114E" w14:textId="77777777" w:rsidR="00E34453" w:rsidRPr="005E1EA7" w:rsidRDefault="00E34453" w:rsidP="00E34453">
      <w:pPr>
        <w:autoSpaceDE w:val="0"/>
        <w:autoSpaceDN w:val="0"/>
        <w:adjustRightInd w:val="0"/>
        <w:ind w:left="720" w:hanging="360"/>
        <w:jc w:val="both"/>
        <w:rPr>
          <w:rFonts w:ascii="Tahoma" w:eastAsia="EUAlbertina-Regular-Identity-H" w:hAnsi="Tahoma" w:cs="Tahoma"/>
          <w:sz w:val="20"/>
          <w:szCs w:val="20"/>
        </w:rPr>
      </w:pPr>
    </w:p>
    <w:p w14:paraId="6636E687" w14:textId="77777777" w:rsidR="00E34453" w:rsidRPr="005E1EA7" w:rsidRDefault="00E34453" w:rsidP="00E34453">
      <w:pPr>
        <w:autoSpaceDE w:val="0"/>
        <w:autoSpaceDN w:val="0"/>
        <w:adjustRightInd w:val="0"/>
        <w:ind w:left="720" w:hanging="360"/>
        <w:jc w:val="both"/>
        <w:rPr>
          <w:rFonts w:ascii="Tahoma" w:eastAsia="EUAlbertina-Regular-Identity-H" w:hAnsi="Tahoma" w:cs="Tahoma"/>
          <w:sz w:val="20"/>
          <w:szCs w:val="20"/>
        </w:rPr>
      </w:pPr>
      <w:r w:rsidRPr="005E1EA7">
        <w:rPr>
          <w:rFonts w:ascii="Tahoma" w:eastAsia="EUAlbertina-Regular-Identity-H" w:hAnsi="Tahoma" w:cs="Tahoma"/>
          <w:sz w:val="20"/>
          <w:szCs w:val="20"/>
        </w:rPr>
        <w:t>b) la qualité microbiologique des mollusques bivalves vivants en fonction des zones de production,</w:t>
      </w:r>
    </w:p>
    <w:p w14:paraId="6336B95C" w14:textId="77777777" w:rsidR="00E34453" w:rsidRPr="005E1EA7" w:rsidRDefault="00E34453" w:rsidP="00E34453">
      <w:pPr>
        <w:autoSpaceDE w:val="0"/>
        <w:autoSpaceDN w:val="0"/>
        <w:adjustRightInd w:val="0"/>
        <w:ind w:left="720" w:hanging="360"/>
        <w:jc w:val="both"/>
        <w:rPr>
          <w:rFonts w:ascii="Tahoma" w:eastAsia="EUAlbertina-Regular-Identity-H" w:hAnsi="Tahoma" w:cs="Tahoma"/>
          <w:sz w:val="20"/>
          <w:szCs w:val="20"/>
        </w:rPr>
      </w:pPr>
    </w:p>
    <w:p w14:paraId="4571E2FA" w14:textId="77777777" w:rsidR="00E34453" w:rsidRPr="005E1EA7" w:rsidRDefault="00E34453" w:rsidP="00E34453">
      <w:pPr>
        <w:autoSpaceDE w:val="0"/>
        <w:autoSpaceDN w:val="0"/>
        <w:adjustRightInd w:val="0"/>
        <w:ind w:left="720" w:hanging="360"/>
        <w:jc w:val="both"/>
        <w:rPr>
          <w:rFonts w:ascii="Tahoma" w:eastAsia="EUAlbertina-Regular-Identity-H" w:hAnsi="Tahoma" w:cs="Tahoma"/>
          <w:sz w:val="20"/>
          <w:szCs w:val="20"/>
        </w:rPr>
      </w:pPr>
      <w:r w:rsidRPr="005E1EA7">
        <w:rPr>
          <w:rFonts w:ascii="Tahoma" w:eastAsia="EUAlbertina-Regular-Identity-H" w:hAnsi="Tahoma" w:cs="Tahoma"/>
          <w:sz w:val="20"/>
          <w:szCs w:val="20"/>
        </w:rPr>
        <w:t>c) la présence possible de plancton toxinogène dans les eaux de production ainsi que de biotoxines dans les mollusques bivalves vivants,</w:t>
      </w:r>
    </w:p>
    <w:p w14:paraId="3D1D6185" w14:textId="77777777" w:rsidR="00E34453" w:rsidRPr="005E1EA7" w:rsidRDefault="00E34453" w:rsidP="00E34453">
      <w:pPr>
        <w:autoSpaceDE w:val="0"/>
        <w:autoSpaceDN w:val="0"/>
        <w:adjustRightInd w:val="0"/>
        <w:ind w:left="720" w:hanging="360"/>
        <w:jc w:val="both"/>
        <w:rPr>
          <w:rFonts w:ascii="Tahoma" w:eastAsia="EUAlbertina-Regular-Identity-H" w:hAnsi="Tahoma" w:cs="Tahoma"/>
          <w:sz w:val="20"/>
          <w:szCs w:val="20"/>
        </w:rPr>
      </w:pPr>
    </w:p>
    <w:p w14:paraId="2B32F6D9" w14:textId="77777777" w:rsidR="00E34453" w:rsidRPr="005E1EA7" w:rsidRDefault="00E34453" w:rsidP="00E34453">
      <w:pPr>
        <w:autoSpaceDE w:val="0"/>
        <w:autoSpaceDN w:val="0"/>
        <w:adjustRightInd w:val="0"/>
        <w:ind w:left="720" w:hanging="360"/>
        <w:jc w:val="both"/>
        <w:rPr>
          <w:rFonts w:ascii="Tahoma" w:eastAsia="EUAlbertina-Regular-Identity-H" w:hAnsi="Tahoma" w:cs="Tahoma"/>
          <w:sz w:val="20"/>
          <w:szCs w:val="20"/>
        </w:rPr>
      </w:pPr>
      <w:r w:rsidRPr="005E1EA7">
        <w:rPr>
          <w:rFonts w:ascii="Tahoma" w:eastAsia="EUAlbertina-Regular-Identity-H" w:hAnsi="Tahoma" w:cs="Tahoma"/>
          <w:sz w:val="20"/>
          <w:szCs w:val="20"/>
        </w:rPr>
        <w:t>d) la présence éventuelle de contaminants chimiques dans les mollusques bivalves vivants.</w:t>
      </w:r>
    </w:p>
    <w:p w14:paraId="5D3499E7"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4601202A" w14:textId="77777777" w:rsidR="00E34453" w:rsidRPr="005E1EA7" w:rsidRDefault="00E34453" w:rsidP="00E34453">
      <w:pPr>
        <w:autoSpaceDE w:val="0"/>
        <w:autoSpaceDN w:val="0"/>
        <w:adjustRightInd w:val="0"/>
        <w:ind w:left="284" w:hanging="284"/>
        <w:jc w:val="both"/>
        <w:rPr>
          <w:rFonts w:ascii="Tahoma" w:eastAsia="EUAlbertina-Regular-Identity-H" w:hAnsi="Tahoma" w:cs="Tahoma"/>
          <w:sz w:val="20"/>
          <w:szCs w:val="20"/>
        </w:rPr>
      </w:pPr>
      <w:r w:rsidRPr="005E1EA7">
        <w:rPr>
          <w:rFonts w:ascii="Tahoma" w:eastAsia="EUAlbertina-Regular-Identity-H" w:hAnsi="Tahoma" w:cs="Tahoma"/>
          <w:sz w:val="20"/>
          <w:szCs w:val="20"/>
        </w:rPr>
        <w:t>2. Aux fins de la mise en œuvre du point 1 b), c) et d), il convient d’établir des plans d’échantillonnage prévoyant que ces contrôles doivent être effectués à intervalles réguliers ou au cas par cas si la récolte a lieu à des périodes irrégulières.</w:t>
      </w:r>
    </w:p>
    <w:p w14:paraId="343BBEA7"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730DECE0"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La répartition géographique des points d’échantillonnage et la fréquence d’échantillonnage doivent assurer que les résultats des analyses sont les plus représentatifs possibles pour la zone considérée.</w:t>
      </w:r>
    </w:p>
    <w:p w14:paraId="78452FE7"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114BABBB" w14:textId="77777777" w:rsidR="00E34453" w:rsidRPr="005E1EA7" w:rsidRDefault="00E34453" w:rsidP="00E34453">
      <w:pPr>
        <w:autoSpaceDE w:val="0"/>
        <w:autoSpaceDN w:val="0"/>
        <w:adjustRightInd w:val="0"/>
        <w:ind w:left="284" w:hanging="284"/>
        <w:jc w:val="both"/>
        <w:rPr>
          <w:rFonts w:ascii="Tahoma" w:eastAsia="EUAlbertina-Regular-Identity-H" w:hAnsi="Tahoma" w:cs="Tahoma"/>
          <w:sz w:val="20"/>
          <w:szCs w:val="20"/>
        </w:rPr>
      </w:pPr>
      <w:r w:rsidRPr="005E1EA7">
        <w:rPr>
          <w:rFonts w:ascii="Tahoma" w:eastAsia="EUAlbertina-Regular-Identity-H" w:hAnsi="Tahoma" w:cs="Tahoma"/>
          <w:sz w:val="20"/>
          <w:szCs w:val="20"/>
        </w:rPr>
        <w:t>3. Les plans d’échantillonnage visant à contrôler la qualité microbiologique des mollusques bivalves vivants doivent tenir compte en particulier :</w:t>
      </w:r>
    </w:p>
    <w:p w14:paraId="1F07CD53"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095C98F6" w14:textId="77777777" w:rsidR="00E34453" w:rsidRPr="005E1EA7" w:rsidRDefault="00E34453" w:rsidP="00E34453">
      <w:pPr>
        <w:autoSpaceDE w:val="0"/>
        <w:autoSpaceDN w:val="0"/>
        <w:adjustRightInd w:val="0"/>
        <w:ind w:left="720" w:hanging="360"/>
        <w:jc w:val="both"/>
        <w:rPr>
          <w:rFonts w:ascii="Tahoma" w:eastAsia="EUAlbertina-Regular-Identity-H" w:hAnsi="Tahoma" w:cs="Tahoma"/>
          <w:sz w:val="20"/>
          <w:szCs w:val="20"/>
        </w:rPr>
      </w:pPr>
      <w:r w:rsidRPr="005E1EA7">
        <w:rPr>
          <w:rFonts w:ascii="Tahoma" w:eastAsia="EUAlbertina-Regular-Identity-H" w:hAnsi="Tahoma" w:cs="Tahoma"/>
          <w:sz w:val="20"/>
          <w:szCs w:val="20"/>
        </w:rPr>
        <w:t>a) des variations probables de la contamination fécale,</w:t>
      </w:r>
    </w:p>
    <w:p w14:paraId="4064C47F" w14:textId="77777777" w:rsidR="00E34453" w:rsidRPr="005E1EA7" w:rsidRDefault="00E34453" w:rsidP="00E34453">
      <w:pPr>
        <w:autoSpaceDE w:val="0"/>
        <w:autoSpaceDN w:val="0"/>
        <w:adjustRightInd w:val="0"/>
        <w:ind w:left="720" w:hanging="360"/>
        <w:jc w:val="both"/>
        <w:rPr>
          <w:rFonts w:ascii="Tahoma" w:eastAsia="EUAlbertina-Regular-Identity-H" w:hAnsi="Tahoma" w:cs="Tahoma"/>
          <w:sz w:val="20"/>
          <w:szCs w:val="20"/>
        </w:rPr>
      </w:pPr>
    </w:p>
    <w:p w14:paraId="74D31FA3" w14:textId="77777777" w:rsidR="00E34453" w:rsidRPr="005E1EA7" w:rsidRDefault="00E34453" w:rsidP="00E34453">
      <w:pPr>
        <w:autoSpaceDE w:val="0"/>
        <w:autoSpaceDN w:val="0"/>
        <w:adjustRightInd w:val="0"/>
        <w:ind w:left="720" w:hanging="360"/>
        <w:jc w:val="both"/>
        <w:rPr>
          <w:rFonts w:ascii="Tahoma" w:eastAsia="EUAlbertina-Regular-Identity-H" w:hAnsi="Tahoma" w:cs="Tahoma"/>
          <w:sz w:val="20"/>
          <w:szCs w:val="20"/>
        </w:rPr>
      </w:pPr>
      <w:r w:rsidRPr="005E1EA7">
        <w:rPr>
          <w:rFonts w:ascii="Tahoma" w:eastAsia="EUAlbertina-Regular-Identity-H" w:hAnsi="Tahoma" w:cs="Tahoma"/>
          <w:sz w:val="20"/>
          <w:szCs w:val="20"/>
        </w:rPr>
        <w:t>b) des paramètres indiqués à la partie A, point 6.</w:t>
      </w:r>
    </w:p>
    <w:p w14:paraId="6271B8CF"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3FCBBC22" w14:textId="77777777" w:rsidR="00E34453" w:rsidRPr="005E1EA7" w:rsidRDefault="00E34453" w:rsidP="00E34453">
      <w:pPr>
        <w:autoSpaceDE w:val="0"/>
        <w:autoSpaceDN w:val="0"/>
        <w:adjustRightInd w:val="0"/>
        <w:ind w:left="284" w:hanging="284"/>
        <w:jc w:val="both"/>
        <w:rPr>
          <w:rFonts w:ascii="Tahoma" w:eastAsia="EUAlbertina-Regular-Identity-H" w:hAnsi="Tahoma" w:cs="Tahoma"/>
          <w:sz w:val="20"/>
          <w:szCs w:val="20"/>
        </w:rPr>
      </w:pPr>
      <w:r w:rsidRPr="005E1EA7">
        <w:rPr>
          <w:rFonts w:ascii="Tahoma" w:eastAsia="EUAlbertina-Regular-Identity-H" w:hAnsi="Tahoma" w:cs="Tahoma"/>
          <w:sz w:val="20"/>
          <w:szCs w:val="20"/>
        </w:rPr>
        <w:t xml:space="preserve">4. Les plans d’échantillonnage visant à rechercher la présence possible de plancton toxinogène dans les eaux de production ainsi que de biotoxines dans les mollusques bivalves vivants doivent tenir compte en particulier des variations éventuelles de la présence de plancton contenant des biotoxines marines. </w:t>
      </w:r>
    </w:p>
    <w:p w14:paraId="05FD4384"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6013C64A"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L’échantillonnage doit comprendre :</w:t>
      </w:r>
    </w:p>
    <w:p w14:paraId="71AAEC95"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4542F8F4" w14:textId="77777777" w:rsidR="00E34453" w:rsidRPr="005E1EA7" w:rsidRDefault="00E34453" w:rsidP="00E34453">
      <w:pPr>
        <w:autoSpaceDE w:val="0"/>
        <w:autoSpaceDN w:val="0"/>
        <w:adjustRightInd w:val="0"/>
        <w:ind w:left="720" w:hanging="360"/>
        <w:jc w:val="both"/>
        <w:rPr>
          <w:rFonts w:ascii="Tahoma" w:eastAsia="EUAlbertina-Regular-Identity-H" w:hAnsi="Tahoma" w:cs="Tahoma"/>
          <w:sz w:val="20"/>
          <w:szCs w:val="20"/>
        </w:rPr>
      </w:pPr>
      <w:r w:rsidRPr="005E1EA7">
        <w:rPr>
          <w:rFonts w:ascii="Tahoma" w:eastAsia="EUAlbertina-Regular-Identity-H" w:hAnsi="Tahoma" w:cs="Tahoma"/>
          <w:sz w:val="20"/>
          <w:szCs w:val="20"/>
        </w:rPr>
        <w:t>a) un échantillonnage périodique visant à détecter les changements dans la composition du plancton contenant des toxines et leur répartition géographique. Tout résultat permettant de suspecter une accumulation de toxines dans la chair des mollusques bivalves doit être suivi d’un échantillonnage intensif ;</w:t>
      </w:r>
    </w:p>
    <w:p w14:paraId="355586FA" w14:textId="77777777" w:rsidR="00E34453" w:rsidRPr="005E1EA7" w:rsidRDefault="00E34453" w:rsidP="00E34453">
      <w:pPr>
        <w:autoSpaceDE w:val="0"/>
        <w:autoSpaceDN w:val="0"/>
        <w:adjustRightInd w:val="0"/>
        <w:ind w:left="720" w:hanging="360"/>
        <w:jc w:val="both"/>
        <w:rPr>
          <w:rFonts w:ascii="Tahoma" w:eastAsia="EUAlbertina-Regular-Identity-H" w:hAnsi="Tahoma" w:cs="Tahoma"/>
          <w:sz w:val="20"/>
          <w:szCs w:val="20"/>
        </w:rPr>
      </w:pPr>
    </w:p>
    <w:p w14:paraId="2D27F299" w14:textId="77777777" w:rsidR="00E34453" w:rsidRPr="005E1EA7" w:rsidRDefault="00E34453" w:rsidP="00E34453">
      <w:pPr>
        <w:autoSpaceDE w:val="0"/>
        <w:autoSpaceDN w:val="0"/>
        <w:adjustRightInd w:val="0"/>
        <w:ind w:left="720" w:hanging="360"/>
        <w:jc w:val="both"/>
        <w:rPr>
          <w:rFonts w:ascii="Tahoma" w:eastAsia="EUAlbertina-Regular-Identity-H" w:hAnsi="Tahoma" w:cs="Tahoma"/>
          <w:sz w:val="20"/>
          <w:szCs w:val="20"/>
        </w:rPr>
      </w:pPr>
      <w:r w:rsidRPr="005E1EA7">
        <w:rPr>
          <w:rFonts w:ascii="Tahoma" w:eastAsia="EUAlbertina-Regular-Identity-H" w:hAnsi="Tahoma" w:cs="Tahoma"/>
          <w:sz w:val="20"/>
          <w:szCs w:val="20"/>
        </w:rPr>
        <w:t>b) des tests périodiques de toxicité sur les mollusques bivalves de la zone affectée qui sont les plus sensibles à la contamination.</w:t>
      </w:r>
    </w:p>
    <w:p w14:paraId="70929FE3"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440CAC2B" w14:textId="77777777" w:rsidR="00E34453" w:rsidRPr="005E1EA7" w:rsidRDefault="00E34453" w:rsidP="00E34453">
      <w:pPr>
        <w:autoSpaceDE w:val="0"/>
        <w:autoSpaceDN w:val="0"/>
        <w:adjustRightInd w:val="0"/>
        <w:ind w:left="284" w:hanging="284"/>
        <w:jc w:val="both"/>
        <w:rPr>
          <w:rFonts w:ascii="Tahoma" w:eastAsia="EUAlbertina-Regular-Identity-H" w:hAnsi="Tahoma" w:cs="Tahoma"/>
          <w:sz w:val="20"/>
          <w:szCs w:val="20"/>
        </w:rPr>
      </w:pPr>
      <w:r w:rsidRPr="005E1EA7">
        <w:rPr>
          <w:rFonts w:ascii="Tahoma" w:eastAsia="EUAlbertina-Regular-Identity-H" w:hAnsi="Tahoma" w:cs="Tahoma"/>
          <w:sz w:val="20"/>
          <w:szCs w:val="20"/>
        </w:rPr>
        <w:t>5. La fréquence d’échantillonnage en vue de l’analyse des toxines présentes dans les mollusques doit, en règle générale, être hebdomadaire au cours des périodes pendant lesquelles la récolte est autorisée. Cette fréquence peut être réduite pour des zones spécifiques ou pour des types spécifiques de mollusques, si une évaluation des risques relatifs à la présence de toxines ou de phytoplancton semble indiquer un risque très faible d’épisode toxique. Cette fréquence doit être augmentée lorsque cette évaluation indique qu’un échantillonnage hebdomadaire ne serait pas suffisant. L’évaluation des risques doit faire l’objet d’un réexamen périodique afin d’évaluer le risque d’apparition de toxines dans les mollusques bivalves vivants de ces zones.</w:t>
      </w:r>
    </w:p>
    <w:p w14:paraId="3535CC42"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6BE9C343" w14:textId="77777777" w:rsidR="00E34453" w:rsidRPr="005E1EA7" w:rsidRDefault="00E34453" w:rsidP="00E34453">
      <w:pPr>
        <w:autoSpaceDE w:val="0"/>
        <w:autoSpaceDN w:val="0"/>
        <w:adjustRightInd w:val="0"/>
        <w:ind w:left="284" w:hanging="284"/>
        <w:jc w:val="both"/>
        <w:rPr>
          <w:rFonts w:ascii="Tahoma" w:eastAsia="EUAlbertina-Regular-Identity-H" w:hAnsi="Tahoma" w:cs="Tahoma"/>
          <w:sz w:val="20"/>
          <w:szCs w:val="20"/>
        </w:rPr>
      </w:pPr>
      <w:r w:rsidRPr="005E1EA7">
        <w:rPr>
          <w:rFonts w:ascii="Tahoma" w:eastAsia="EUAlbertina-Regular-Identity-H" w:hAnsi="Tahoma" w:cs="Tahoma"/>
          <w:sz w:val="20"/>
          <w:szCs w:val="20"/>
        </w:rPr>
        <w:t>6. Lorsque le taux d’accumulation des toxines est connu pour un groupe d’espèces élevées dans la même zone, l’espèce présentant le taux le plus élevé peut servir d’espèce de référence. Cela permettra d’exploiter toutes les espèces du groupe si les teneurs en toxines de l’espèce de référence sont inférieures aux limites réglementaires. Lorsque les teneurs en toxines de l’espèce de référence dépassent ces limites, la récolte des autres espèces est autorisée uniquement si des analyses complémentaires pratiquées sur ces espèces révèlent des teneurs en toxines inférieures aux limites.</w:t>
      </w:r>
    </w:p>
    <w:p w14:paraId="01F4BF87"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25645DF5" w14:textId="77777777" w:rsidR="00E34453" w:rsidRPr="005E1EA7" w:rsidRDefault="00E34453" w:rsidP="00E34453">
      <w:pPr>
        <w:autoSpaceDE w:val="0"/>
        <w:autoSpaceDN w:val="0"/>
        <w:adjustRightInd w:val="0"/>
        <w:ind w:left="142" w:hanging="142"/>
        <w:jc w:val="both"/>
        <w:rPr>
          <w:rFonts w:ascii="Tahoma" w:eastAsia="EUAlbertina-Regular-Identity-H" w:hAnsi="Tahoma" w:cs="Tahoma"/>
          <w:sz w:val="20"/>
          <w:szCs w:val="20"/>
        </w:rPr>
      </w:pPr>
      <w:r w:rsidRPr="005E1EA7">
        <w:rPr>
          <w:rFonts w:ascii="Tahoma" w:eastAsia="EUAlbertina-Regular-Identity-H" w:hAnsi="Tahoma" w:cs="Tahoma"/>
          <w:sz w:val="20"/>
          <w:szCs w:val="20"/>
        </w:rPr>
        <w:t>7. En ce qui concerne la surveillance du plancton, les échantillons doivent être représentatifs de la colonne d’eau et fournir des informations sur la présence d’espèces toxiques et sur les évolutions de la population. En cas d’évolution de la population toxique pouvant entraîner une accumulation de toxines, la fréquence des échantillonnages des mollusques devra être accrue ou des mesures de fermeture préventive des zones concernées devront être appliquées jusqu’à l’obtention de résultats satisfaisants lors des analyses de toxines.</w:t>
      </w:r>
    </w:p>
    <w:p w14:paraId="16755786"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2EAB8027" w14:textId="77777777" w:rsidR="00E34453" w:rsidRPr="005E1EA7" w:rsidRDefault="00E34453" w:rsidP="00E34453">
      <w:pPr>
        <w:autoSpaceDE w:val="0"/>
        <w:autoSpaceDN w:val="0"/>
        <w:adjustRightInd w:val="0"/>
        <w:ind w:left="142" w:hanging="142"/>
        <w:jc w:val="both"/>
        <w:rPr>
          <w:rFonts w:ascii="Tahoma" w:eastAsia="EUAlbertina-Regular-Identity-H" w:hAnsi="Tahoma" w:cs="Tahoma"/>
          <w:sz w:val="20"/>
          <w:szCs w:val="20"/>
        </w:rPr>
      </w:pPr>
      <w:r w:rsidRPr="005E1EA7">
        <w:rPr>
          <w:rFonts w:ascii="Tahoma" w:eastAsia="EUAlbertina-Regular-Identity-H" w:hAnsi="Tahoma" w:cs="Tahoma"/>
          <w:sz w:val="20"/>
          <w:szCs w:val="20"/>
        </w:rPr>
        <w:t xml:space="preserve">8. Les plans d’échantillonnage visant à contrôler la présence de contaminants chimiques doivent permettre de détecter tout dépassement des teneurs définies par </w:t>
      </w:r>
      <w:r w:rsidRPr="005E1EA7">
        <w:rPr>
          <w:rFonts w:ascii="Tahoma" w:hAnsi="Tahoma" w:cs="Tahoma"/>
          <w:sz w:val="20"/>
          <w:szCs w:val="20"/>
        </w:rPr>
        <w:t xml:space="preserve">l’arrêté fixant les </w:t>
      </w:r>
      <w:r w:rsidRPr="005E1EA7">
        <w:rPr>
          <w:rFonts w:ascii="Tahoma" w:hAnsi="Tahoma" w:cs="Tahoma"/>
          <w:bCs/>
          <w:sz w:val="20"/>
          <w:szCs w:val="20"/>
        </w:rPr>
        <w:t xml:space="preserve">critères microbiologiques, chimiques </w:t>
      </w:r>
      <w:r w:rsidRPr="005E1EA7">
        <w:rPr>
          <w:rFonts w:ascii="Tahoma" w:eastAsia="EUAlbertina-Regular-Identity-H" w:hAnsi="Tahoma" w:cs="Tahoma"/>
          <w:bCs/>
          <w:sz w:val="20"/>
          <w:szCs w:val="20"/>
        </w:rPr>
        <w:t xml:space="preserve">et biotoxines marines </w:t>
      </w:r>
      <w:r w:rsidRPr="005E1EA7">
        <w:rPr>
          <w:rFonts w:ascii="Tahoma" w:hAnsi="Tahoma" w:cs="Tahoma"/>
          <w:bCs/>
          <w:sz w:val="20"/>
          <w:szCs w:val="20"/>
        </w:rPr>
        <w:t>applicables aux mollusques bivalves vivants et aux produits de la pêche</w:t>
      </w:r>
      <w:r w:rsidRPr="005E1EA7">
        <w:rPr>
          <w:rFonts w:ascii="Tahoma" w:hAnsi="Tahoma" w:cs="Tahoma"/>
          <w:sz w:val="20"/>
          <w:szCs w:val="20"/>
        </w:rPr>
        <w:t>.</w:t>
      </w:r>
    </w:p>
    <w:p w14:paraId="04603528"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79E402F7" w14:textId="77777777" w:rsidR="00E34453" w:rsidRPr="005E1EA7" w:rsidRDefault="00E34453" w:rsidP="00E34453">
      <w:pPr>
        <w:autoSpaceDE w:val="0"/>
        <w:autoSpaceDN w:val="0"/>
        <w:adjustRightInd w:val="0"/>
        <w:jc w:val="both"/>
        <w:rPr>
          <w:rFonts w:ascii="Tahoma" w:eastAsia="EUAlbertina-Italic-Identity-H" w:hAnsi="Tahoma" w:cs="Tahoma"/>
          <w:b/>
          <w:bCs/>
          <w:i/>
          <w:iCs/>
          <w:sz w:val="20"/>
          <w:szCs w:val="20"/>
        </w:rPr>
      </w:pPr>
      <w:r w:rsidRPr="005E1EA7">
        <w:rPr>
          <w:rFonts w:ascii="Tahoma" w:eastAsia="EUAlbertina-Regular-Identity-H" w:hAnsi="Tahoma" w:cs="Tahoma"/>
          <w:b/>
          <w:bCs/>
          <w:sz w:val="20"/>
          <w:szCs w:val="20"/>
        </w:rPr>
        <w:t xml:space="preserve">C. </w:t>
      </w:r>
      <w:r w:rsidRPr="005E1EA7">
        <w:rPr>
          <w:rFonts w:ascii="Tahoma" w:eastAsia="EUAlbertina-Italic-Identity-H" w:hAnsi="Tahoma" w:cs="Tahoma"/>
          <w:b/>
          <w:bCs/>
          <w:i/>
          <w:iCs/>
          <w:sz w:val="20"/>
          <w:szCs w:val="20"/>
        </w:rPr>
        <w:t>DECISIONS CONSECUTIVES AUX CONTROLES</w:t>
      </w:r>
    </w:p>
    <w:p w14:paraId="3B52A9DA" w14:textId="77777777" w:rsidR="00E34453" w:rsidRPr="005E1EA7" w:rsidRDefault="00E34453" w:rsidP="00E34453">
      <w:pPr>
        <w:autoSpaceDE w:val="0"/>
        <w:autoSpaceDN w:val="0"/>
        <w:adjustRightInd w:val="0"/>
        <w:jc w:val="both"/>
        <w:rPr>
          <w:rFonts w:ascii="Tahoma" w:eastAsia="EUAlbertina-Italic-Identity-H" w:hAnsi="Tahoma" w:cs="Tahoma"/>
          <w:i/>
          <w:iCs/>
          <w:sz w:val="20"/>
          <w:szCs w:val="20"/>
        </w:rPr>
      </w:pPr>
    </w:p>
    <w:p w14:paraId="6D4AEE3A" w14:textId="77777777" w:rsidR="00E34453" w:rsidRPr="005E1EA7" w:rsidRDefault="00E34453" w:rsidP="00E34453">
      <w:pPr>
        <w:autoSpaceDE w:val="0"/>
        <w:autoSpaceDN w:val="0"/>
        <w:adjustRightInd w:val="0"/>
        <w:ind w:left="284" w:hanging="284"/>
        <w:jc w:val="both"/>
        <w:rPr>
          <w:rFonts w:ascii="Tahoma" w:eastAsia="EUAlbertina-Regular-Identity-H" w:hAnsi="Tahoma" w:cs="Tahoma"/>
          <w:sz w:val="20"/>
          <w:szCs w:val="20"/>
        </w:rPr>
      </w:pPr>
      <w:r w:rsidRPr="005E1EA7">
        <w:rPr>
          <w:rFonts w:ascii="Tahoma" w:eastAsia="EUAlbertina-Regular-Identity-H" w:hAnsi="Tahoma" w:cs="Tahoma"/>
          <w:sz w:val="20"/>
          <w:szCs w:val="20"/>
        </w:rPr>
        <w:t xml:space="preserve">1. Lorsque les résultats de l’échantillonnage révèlent que les normes sanitaires concernant les </w:t>
      </w:r>
      <w:r w:rsidRPr="005E1EA7">
        <w:rPr>
          <w:rFonts w:ascii="Tahoma" w:hAnsi="Tahoma" w:cs="Tahoma"/>
          <w:bCs/>
          <w:sz w:val="20"/>
          <w:szCs w:val="20"/>
        </w:rPr>
        <w:t xml:space="preserve">mollusques bivalves vivants </w:t>
      </w:r>
      <w:r w:rsidRPr="005E1EA7">
        <w:rPr>
          <w:rFonts w:ascii="Tahoma" w:eastAsia="EUAlbertina-Regular-Identity-H" w:hAnsi="Tahoma" w:cs="Tahoma"/>
          <w:sz w:val="20"/>
          <w:szCs w:val="20"/>
        </w:rPr>
        <w:t>ne sont pas respectées ou que la santé humaine est mise en péril, l’Autorité compétente doit fermer la zone de production concernée, empêchant ainsi la récolte des mollusques bivalves vivants. Toutefois, l’Autorité compétente peut reclasser une zone de production en zone de classe B ou C si cette zone satisfait aux critères pertinents énoncés dans la partie A et ne présente aucun autre risque pour la santé humaine.</w:t>
      </w:r>
    </w:p>
    <w:p w14:paraId="6EA225B2"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5D8D1CD1" w14:textId="77777777" w:rsidR="00E34453" w:rsidRPr="005E1EA7" w:rsidRDefault="00E34453" w:rsidP="00E34453">
      <w:pPr>
        <w:autoSpaceDE w:val="0"/>
        <w:autoSpaceDN w:val="0"/>
        <w:adjustRightInd w:val="0"/>
        <w:ind w:left="284" w:hanging="284"/>
        <w:jc w:val="both"/>
        <w:rPr>
          <w:rFonts w:ascii="Tahoma" w:eastAsia="EUAlbertina-Regular-Identity-H" w:hAnsi="Tahoma" w:cs="Tahoma"/>
          <w:sz w:val="20"/>
          <w:szCs w:val="20"/>
        </w:rPr>
      </w:pPr>
      <w:r w:rsidRPr="005E1EA7">
        <w:rPr>
          <w:rFonts w:ascii="Tahoma" w:eastAsia="EUAlbertina-Regular-Identity-H" w:hAnsi="Tahoma" w:cs="Tahoma"/>
          <w:sz w:val="20"/>
          <w:szCs w:val="20"/>
        </w:rPr>
        <w:t>2. L’Autorité compétente ne peut autoriser la réouverture d’une zone de production fermée que si les normes sanitaires concernant les mollusques sont de nouveau conformes à la législation. Si l’Autorité compétente ordonne la fermeture d’une zone de production en raison de la présence de plancton ou de teneurs excessives en toxines dans les mollusques, sa réouverture est conditionnée par deux analyses successives, pratiquées à quarante-huit heures d’intervalle au minimum, dont les résultats doivent se situer en deçà de la limite réglementaire.</w:t>
      </w:r>
    </w:p>
    <w:p w14:paraId="09976136" w14:textId="77777777" w:rsidR="00E34453" w:rsidRPr="005E1EA7" w:rsidRDefault="00E34453" w:rsidP="00E34453">
      <w:pPr>
        <w:autoSpaceDE w:val="0"/>
        <w:autoSpaceDN w:val="0"/>
        <w:adjustRightInd w:val="0"/>
        <w:ind w:left="284" w:hanging="284"/>
        <w:jc w:val="both"/>
        <w:rPr>
          <w:rFonts w:ascii="Tahoma" w:eastAsia="EUAlbertina-Regular-Identity-H" w:hAnsi="Tahoma" w:cs="Tahoma"/>
          <w:sz w:val="20"/>
          <w:szCs w:val="20"/>
        </w:rPr>
      </w:pPr>
    </w:p>
    <w:p w14:paraId="0F78FB95"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L’Autorité compétente peut tenir compte de l’information relative à l’évolution du phytoplancton lorsqu’elle prend cette décision. Lorsqu’il existe des données solides sur la dynamique de la toxicité d’une zone considérée, et pour autant que des données récentes indiquant la tendance à la baisse de la toxicité soient disponibles, l’autorité compétente peut décider de rouvrir la zone lorsqu’un seul échantillonnage donne des résultats inférieurs à la limite réglementaire.</w:t>
      </w:r>
    </w:p>
    <w:p w14:paraId="2F5847FD"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68CE8BFA" w14:textId="77777777" w:rsidR="00E34453" w:rsidRPr="005E1EA7" w:rsidRDefault="00E34453" w:rsidP="00E34453">
      <w:pPr>
        <w:autoSpaceDE w:val="0"/>
        <w:autoSpaceDN w:val="0"/>
        <w:adjustRightInd w:val="0"/>
        <w:jc w:val="both"/>
        <w:rPr>
          <w:rFonts w:ascii="Tahoma" w:eastAsia="EUAlbertina-Italic-Identity-H" w:hAnsi="Tahoma" w:cs="Tahoma"/>
          <w:b/>
          <w:bCs/>
          <w:i/>
          <w:iCs/>
          <w:sz w:val="20"/>
          <w:szCs w:val="20"/>
        </w:rPr>
      </w:pPr>
      <w:r w:rsidRPr="005E1EA7">
        <w:rPr>
          <w:rFonts w:ascii="Tahoma" w:eastAsia="EUAlbertina-Regular-Identity-H" w:hAnsi="Tahoma" w:cs="Tahoma"/>
          <w:b/>
          <w:bCs/>
          <w:sz w:val="20"/>
          <w:szCs w:val="20"/>
        </w:rPr>
        <w:lastRenderedPageBreak/>
        <w:t xml:space="preserve">D. </w:t>
      </w:r>
      <w:r w:rsidRPr="005E1EA7">
        <w:rPr>
          <w:rFonts w:ascii="Tahoma" w:eastAsia="EUAlbertina-Italic-Identity-H" w:hAnsi="Tahoma" w:cs="Tahoma"/>
          <w:b/>
          <w:bCs/>
          <w:i/>
          <w:iCs/>
          <w:sz w:val="20"/>
          <w:szCs w:val="20"/>
        </w:rPr>
        <w:t>PRESCRIPTIONS SUPPLEMENTAIRES EN MATIERE DE CONTROLE</w:t>
      </w:r>
    </w:p>
    <w:p w14:paraId="56DCD235" w14:textId="77777777" w:rsidR="00E34453" w:rsidRPr="005E1EA7" w:rsidRDefault="00E34453" w:rsidP="00E34453">
      <w:pPr>
        <w:autoSpaceDE w:val="0"/>
        <w:autoSpaceDN w:val="0"/>
        <w:adjustRightInd w:val="0"/>
        <w:jc w:val="both"/>
        <w:rPr>
          <w:rFonts w:ascii="Tahoma" w:eastAsia="EUAlbertina-Italic-Identity-H" w:hAnsi="Tahoma" w:cs="Tahoma"/>
          <w:i/>
          <w:iCs/>
          <w:sz w:val="20"/>
          <w:szCs w:val="20"/>
        </w:rPr>
      </w:pPr>
    </w:p>
    <w:p w14:paraId="707913AB" w14:textId="77777777" w:rsidR="00E34453" w:rsidRPr="005E1EA7" w:rsidRDefault="00E34453" w:rsidP="00E34453">
      <w:pPr>
        <w:autoSpaceDE w:val="0"/>
        <w:autoSpaceDN w:val="0"/>
        <w:adjustRightInd w:val="0"/>
        <w:ind w:left="284" w:hanging="284"/>
        <w:jc w:val="both"/>
        <w:rPr>
          <w:rFonts w:ascii="Tahoma" w:eastAsia="EUAlbertina-Regular-Identity-H" w:hAnsi="Tahoma" w:cs="Tahoma"/>
          <w:sz w:val="20"/>
          <w:szCs w:val="20"/>
        </w:rPr>
      </w:pPr>
      <w:r w:rsidRPr="005E1EA7">
        <w:rPr>
          <w:rFonts w:ascii="Tahoma" w:eastAsia="EUAlbertina-Regular-Identity-H" w:hAnsi="Tahoma" w:cs="Tahoma"/>
          <w:sz w:val="20"/>
          <w:szCs w:val="20"/>
        </w:rPr>
        <w:t>1. L’Autorité compétente doit assurer la surveillance des zones de production classées où elle a interdit la récolte de mollusques bivalves ou l’a soumise à des conditions spéciales, afin d’éviter la commercialisation de produits dangereux pour la santé humaine.</w:t>
      </w:r>
    </w:p>
    <w:p w14:paraId="6FF46DD8"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0F26F8E0" w14:textId="77777777" w:rsidR="00E34453" w:rsidRPr="005E1EA7" w:rsidRDefault="00E34453" w:rsidP="00E34453">
      <w:pPr>
        <w:autoSpaceDE w:val="0"/>
        <w:autoSpaceDN w:val="0"/>
        <w:adjustRightInd w:val="0"/>
        <w:ind w:left="284" w:hanging="284"/>
        <w:jc w:val="both"/>
        <w:rPr>
          <w:rFonts w:ascii="Tahoma" w:eastAsia="EUAlbertina-Regular-Identity-H" w:hAnsi="Tahoma" w:cs="Tahoma"/>
          <w:sz w:val="20"/>
          <w:szCs w:val="20"/>
        </w:rPr>
      </w:pPr>
      <w:r w:rsidRPr="005E1EA7">
        <w:rPr>
          <w:rFonts w:ascii="Tahoma" w:eastAsia="EUAlbertina-Regular-Identity-H" w:hAnsi="Tahoma" w:cs="Tahoma"/>
          <w:sz w:val="20"/>
          <w:szCs w:val="20"/>
        </w:rPr>
        <w:t>2. Outre la surveillance des zones de production visée à la partie B, point 1, un système de contrôle incluant des tests de laboratoire doit être mis en place afin de vérifier le respect par les exploitants de mollusques bivalves des exigences applicables aux produits finaux à tous les stades de la production, de la transformation et de la distribution. Ce contrôle vise notamment à vérifier que les teneurs en biotoxines marines et en contaminants ne dépassent pas les limites de sécurité et que la qualité microbiologique des mollusques ne présente aucun danger pour la santé humaine.</w:t>
      </w:r>
    </w:p>
    <w:p w14:paraId="65265129"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0A047D0C" w14:textId="77777777" w:rsidR="00E34453" w:rsidRPr="005E1EA7" w:rsidRDefault="00E34453" w:rsidP="00E34453">
      <w:pPr>
        <w:autoSpaceDE w:val="0"/>
        <w:autoSpaceDN w:val="0"/>
        <w:adjustRightInd w:val="0"/>
        <w:jc w:val="both"/>
        <w:rPr>
          <w:rFonts w:ascii="Tahoma" w:eastAsia="EUAlbertina-Regular-Identity-H" w:hAnsi="Tahoma" w:cs="Tahoma"/>
          <w:b/>
          <w:bCs/>
          <w:i/>
          <w:iCs/>
          <w:sz w:val="20"/>
          <w:szCs w:val="20"/>
        </w:rPr>
      </w:pPr>
      <w:r w:rsidRPr="005E1EA7">
        <w:rPr>
          <w:rFonts w:ascii="Tahoma" w:eastAsia="EUAlbertina-Regular-Identity-H" w:hAnsi="Tahoma" w:cs="Tahoma"/>
          <w:b/>
          <w:bCs/>
          <w:i/>
          <w:iCs/>
          <w:sz w:val="20"/>
          <w:szCs w:val="20"/>
        </w:rPr>
        <w:t>E. ENREGISTREMENT ET ECHANGE D’INFORMATIONS</w:t>
      </w:r>
    </w:p>
    <w:p w14:paraId="693DDF18" w14:textId="77777777" w:rsidR="00E34453" w:rsidRPr="005E1EA7" w:rsidRDefault="00E34453" w:rsidP="00E34453">
      <w:pPr>
        <w:autoSpaceDE w:val="0"/>
        <w:autoSpaceDN w:val="0"/>
        <w:adjustRightInd w:val="0"/>
        <w:jc w:val="both"/>
        <w:rPr>
          <w:rFonts w:ascii="Tahoma" w:eastAsia="EUAlbertina-Italic-Identity-H" w:hAnsi="Tahoma" w:cs="Tahoma"/>
          <w:i/>
          <w:iCs/>
          <w:sz w:val="20"/>
          <w:szCs w:val="20"/>
        </w:rPr>
      </w:pPr>
    </w:p>
    <w:p w14:paraId="05A47C3B"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L’Autorité compétente doit :</w:t>
      </w:r>
    </w:p>
    <w:p w14:paraId="123E951D"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05EB3D6D" w14:textId="77777777" w:rsidR="00E34453" w:rsidRPr="005E1EA7" w:rsidRDefault="00E34453" w:rsidP="00E34453">
      <w:pPr>
        <w:autoSpaceDE w:val="0"/>
        <w:autoSpaceDN w:val="0"/>
        <w:adjustRightInd w:val="0"/>
        <w:ind w:left="284" w:hanging="284"/>
        <w:jc w:val="both"/>
        <w:rPr>
          <w:rFonts w:ascii="Tahoma" w:eastAsia="EUAlbertina-Regular-Identity-H" w:hAnsi="Tahoma" w:cs="Tahoma"/>
          <w:sz w:val="20"/>
          <w:szCs w:val="20"/>
        </w:rPr>
      </w:pPr>
      <w:r w:rsidRPr="005E1EA7">
        <w:rPr>
          <w:rFonts w:ascii="Tahoma" w:eastAsia="EUAlbertina-Regular-Identity-H" w:hAnsi="Tahoma" w:cs="Tahoma"/>
          <w:sz w:val="20"/>
          <w:szCs w:val="20"/>
        </w:rPr>
        <w:t>a)  établir et tenir à jour une liste des zones de production, avec l’indication détaillée de leur emplacement, de leur délimitation et de leur classement, dans lesquelles les mollusques bivalves vivants peuvent être récoltés conformément aux exigences de la présente annexe. Cette liste doit être communiquée aux parties concernées par la présente annexe, notamment aux producteurs et aux responsables des centres de purification et des centres d’expédition ;</w:t>
      </w:r>
    </w:p>
    <w:p w14:paraId="2CA02171"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162FB14A" w14:textId="77777777" w:rsidR="00E34453" w:rsidRPr="005E1EA7" w:rsidRDefault="00E34453" w:rsidP="00E34453">
      <w:pPr>
        <w:autoSpaceDE w:val="0"/>
        <w:autoSpaceDN w:val="0"/>
        <w:adjustRightInd w:val="0"/>
        <w:ind w:left="284" w:hanging="284"/>
        <w:jc w:val="both"/>
        <w:rPr>
          <w:rFonts w:ascii="Tahoma" w:eastAsia="EUAlbertina-Regular-Identity-H" w:hAnsi="Tahoma" w:cs="Tahoma"/>
          <w:sz w:val="20"/>
          <w:szCs w:val="20"/>
        </w:rPr>
      </w:pPr>
      <w:r w:rsidRPr="005E1EA7">
        <w:rPr>
          <w:rFonts w:ascii="Tahoma" w:eastAsia="EUAlbertina-Regular-Identity-H" w:hAnsi="Tahoma" w:cs="Tahoma"/>
          <w:sz w:val="20"/>
          <w:szCs w:val="20"/>
        </w:rPr>
        <w:t>b) informer sans délai les parties concernées par la présente annexe, telles que les producteurs et les responsables des centres de purification et des centres d’expédition, de tout changement concernant l’emplacement, la délimitation ou le classement d’une zone de production, ou de sa fermeture, qu’elle soit temporaire ou définitive ;</w:t>
      </w:r>
    </w:p>
    <w:p w14:paraId="3EB11111"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29E880F5" w14:textId="77777777" w:rsidR="00E34453" w:rsidRPr="005E1EA7" w:rsidRDefault="00E34453" w:rsidP="00E34453">
      <w:pPr>
        <w:autoSpaceDE w:val="0"/>
        <w:autoSpaceDN w:val="0"/>
        <w:adjustRightInd w:val="0"/>
        <w:ind w:left="284" w:hanging="284"/>
        <w:jc w:val="both"/>
        <w:rPr>
          <w:rFonts w:ascii="Tahoma" w:eastAsia="EUAlbertina-Regular-Identity-H" w:hAnsi="Tahoma" w:cs="Tahoma"/>
          <w:sz w:val="20"/>
          <w:szCs w:val="20"/>
        </w:rPr>
      </w:pPr>
      <w:r w:rsidRPr="005E1EA7">
        <w:rPr>
          <w:rFonts w:ascii="Tahoma" w:eastAsia="EUAlbertina-Regular-Identity-H" w:hAnsi="Tahoma" w:cs="Tahoma"/>
          <w:sz w:val="20"/>
          <w:szCs w:val="20"/>
        </w:rPr>
        <w:t>c) intervenir rapidement lorsque les contrôles prescrits par la présente annexe indiquent qu’une zone de production doit être fermée ou reclassée ou peut être rouverte.</w:t>
      </w:r>
    </w:p>
    <w:p w14:paraId="57A8114B"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65AC3F5D" w14:textId="77777777" w:rsidR="00E34453" w:rsidRPr="005E1EA7" w:rsidRDefault="00E34453" w:rsidP="00E34453">
      <w:pPr>
        <w:autoSpaceDE w:val="0"/>
        <w:autoSpaceDN w:val="0"/>
        <w:adjustRightInd w:val="0"/>
        <w:jc w:val="both"/>
        <w:rPr>
          <w:rFonts w:ascii="Tahoma" w:eastAsia="EUAlbertina-Italic-Identity-H" w:hAnsi="Tahoma" w:cs="Tahoma"/>
          <w:b/>
          <w:bCs/>
          <w:i/>
          <w:iCs/>
          <w:sz w:val="20"/>
          <w:szCs w:val="20"/>
        </w:rPr>
      </w:pPr>
      <w:r w:rsidRPr="005E1EA7">
        <w:rPr>
          <w:rFonts w:ascii="Tahoma" w:eastAsia="EUAlbertina-Italic-Identity-H" w:hAnsi="Tahoma" w:cs="Tahoma"/>
          <w:b/>
          <w:bCs/>
          <w:i/>
          <w:iCs/>
          <w:sz w:val="20"/>
          <w:szCs w:val="20"/>
        </w:rPr>
        <w:t>F. AUTOCONTROLE EXERCE PAR LES EXPLOITANTS DE MOLLUSQUES BIVALVES</w:t>
      </w:r>
    </w:p>
    <w:p w14:paraId="1C07B9D0" w14:textId="77777777" w:rsidR="00E34453" w:rsidRPr="005E1EA7" w:rsidRDefault="00E34453" w:rsidP="00E34453">
      <w:pPr>
        <w:autoSpaceDE w:val="0"/>
        <w:autoSpaceDN w:val="0"/>
        <w:adjustRightInd w:val="0"/>
        <w:jc w:val="both"/>
        <w:rPr>
          <w:rFonts w:ascii="Tahoma" w:eastAsia="EUAlbertina-Italic-Identity-H" w:hAnsi="Tahoma" w:cs="Tahoma"/>
          <w:i/>
          <w:iCs/>
          <w:sz w:val="20"/>
          <w:szCs w:val="20"/>
        </w:rPr>
      </w:pPr>
    </w:p>
    <w:p w14:paraId="6F703108"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En vue de se prononcer sur le classement, l’ouverture ou la fermeture des zones de production, l’Autorité compétente peut prendre en compte les résultats des contrôles réalisés par les exploitants du secteur des produits de la pêche ou par les organisations qui les représentent. Si tel est le cas, l’Autorité compétente doit avoir désigné le laboratoire qui procédera à l’analyse et, le cas échéant, l’échantillonnage et l’analyse doivent avoir été réalisés conformément à un protocole convenu entre l’Autorité compétente et les exploitants ou l’organisation concernés du secteur des mollusques bivalves.</w:t>
      </w:r>
    </w:p>
    <w:p w14:paraId="3E160342" w14:textId="77777777" w:rsidR="00E34453" w:rsidRDefault="00E34453" w:rsidP="00E34453">
      <w:pPr>
        <w:autoSpaceDE w:val="0"/>
        <w:autoSpaceDN w:val="0"/>
        <w:adjustRightInd w:val="0"/>
        <w:jc w:val="center"/>
        <w:rPr>
          <w:rFonts w:ascii="Tahoma" w:eastAsia="EUAlbertina-Regular-Identity-H" w:hAnsi="Tahoma" w:cs="Tahoma"/>
          <w:sz w:val="20"/>
          <w:szCs w:val="20"/>
        </w:rPr>
      </w:pPr>
    </w:p>
    <w:p w14:paraId="6D87BE7C" w14:textId="77777777" w:rsidR="00E34453" w:rsidRPr="005E1EA7" w:rsidRDefault="00E34453" w:rsidP="00E34453">
      <w:pPr>
        <w:autoSpaceDE w:val="0"/>
        <w:autoSpaceDN w:val="0"/>
        <w:adjustRightInd w:val="0"/>
        <w:jc w:val="center"/>
        <w:rPr>
          <w:rFonts w:ascii="Tahoma" w:eastAsia="EUAlbertina-Italic-Identity-H" w:hAnsi="Tahoma" w:cs="Tahoma"/>
          <w:b/>
          <w:bCs/>
          <w:sz w:val="20"/>
          <w:szCs w:val="20"/>
        </w:rPr>
      </w:pPr>
      <w:r w:rsidRPr="005E1EA7">
        <w:rPr>
          <w:rFonts w:ascii="Tahoma" w:eastAsia="EUAlbertina-Italic-Identity-H" w:hAnsi="Tahoma" w:cs="Tahoma"/>
          <w:b/>
          <w:bCs/>
          <w:sz w:val="20"/>
          <w:szCs w:val="20"/>
        </w:rPr>
        <w:t>ANNEXE III :</w:t>
      </w:r>
    </w:p>
    <w:p w14:paraId="0BA38E24" w14:textId="77777777" w:rsidR="00E34453" w:rsidRPr="005E1EA7" w:rsidRDefault="00E34453" w:rsidP="00E34453">
      <w:pPr>
        <w:autoSpaceDE w:val="0"/>
        <w:autoSpaceDN w:val="0"/>
        <w:adjustRightInd w:val="0"/>
        <w:jc w:val="center"/>
        <w:rPr>
          <w:rFonts w:ascii="Tahoma" w:eastAsia="EUAlbertina-Regular-Identity-H" w:hAnsi="Tahoma" w:cs="Tahoma"/>
          <w:b/>
          <w:bCs/>
          <w:sz w:val="20"/>
          <w:szCs w:val="20"/>
        </w:rPr>
      </w:pPr>
      <w:r w:rsidRPr="005E1EA7">
        <w:rPr>
          <w:rFonts w:ascii="Tahoma" w:eastAsia="EUAlbertina-Regular-Identity-H" w:hAnsi="Tahoma" w:cs="Tahoma"/>
          <w:b/>
          <w:bCs/>
          <w:sz w:val="20"/>
          <w:szCs w:val="20"/>
        </w:rPr>
        <w:t xml:space="preserve">CONTROLES OFFICIELS DE LA PRODUCTION ET DE LA MISE SUR LE MARCHÉ DES </w:t>
      </w:r>
      <w:r w:rsidRPr="005E1EA7">
        <w:rPr>
          <w:rFonts w:ascii="Tahoma" w:eastAsia="EUAlbertina-Bold-Identity-H" w:hAnsi="Tahoma" w:cs="Tahoma"/>
          <w:b/>
          <w:bCs/>
          <w:sz w:val="20"/>
          <w:szCs w:val="20"/>
        </w:rPr>
        <w:t>PRODUITS DE LA PÊCHE</w:t>
      </w:r>
    </w:p>
    <w:p w14:paraId="1C90AE8E"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75854F41" w14:textId="77777777" w:rsidR="00E34453" w:rsidRPr="005E1EA7" w:rsidRDefault="00E34453" w:rsidP="00E34453">
      <w:pPr>
        <w:autoSpaceDE w:val="0"/>
        <w:autoSpaceDN w:val="0"/>
        <w:adjustRightInd w:val="0"/>
        <w:jc w:val="center"/>
        <w:rPr>
          <w:rFonts w:ascii="Tahoma" w:eastAsia="EUAlbertina-Regular-Identity-H" w:hAnsi="Tahoma" w:cs="Tahoma"/>
          <w:b/>
          <w:bCs/>
          <w:sz w:val="20"/>
          <w:szCs w:val="20"/>
        </w:rPr>
      </w:pPr>
      <w:r w:rsidRPr="005E1EA7">
        <w:rPr>
          <w:rFonts w:ascii="Tahoma" w:eastAsia="EUAlbertina-Regular-Identity-H" w:hAnsi="Tahoma" w:cs="Tahoma"/>
          <w:b/>
          <w:bCs/>
          <w:sz w:val="20"/>
          <w:szCs w:val="20"/>
        </w:rPr>
        <w:t>CHAPITRE I - DISPOSITIONS GENERALES</w:t>
      </w:r>
    </w:p>
    <w:p w14:paraId="163E705E"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74699472" w14:textId="77777777" w:rsidR="00E34453" w:rsidRPr="005E1EA7" w:rsidRDefault="00E34453" w:rsidP="00E34453">
      <w:pPr>
        <w:autoSpaceDE w:val="0"/>
        <w:autoSpaceDN w:val="0"/>
        <w:adjustRightInd w:val="0"/>
        <w:ind w:left="284" w:hanging="284"/>
        <w:jc w:val="both"/>
        <w:rPr>
          <w:rFonts w:ascii="Tahoma" w:eastAsia="EUAlbertina-Regular-Identity-H" w:hAnsi="Tahoma" w:cs="Tahoma"/>
          <w:sz w:val="20"/>
          <w:szCs w:val="20"/>
        </w:rPr>
      </w:pPr>
      <w:r w:rsidRPr="005E1EA7">
        <w:rPr>
          <w:rFonts w:ascii="Tahoma" w:eastAsia="EUAlbertina-Regular-Identity-H" w:hAnsi="Tahoma" w:cs="Tahoma"/>
          <w:sz w:val="20"/>
          <w:szCs w:val="20"/>
        </w:rPr>
        <w:t>1. Les contrôles officiels de la production et de la mise sur le marché des produits de la pêche doivent comprendre notamment :</w:t>
      </w:r>
    </w:p>
    <w:p w14:paraId="1170D280"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3048405C" w14:textId="77777777" w:rsidR="00E34453" w:rsidRPr="005E1EA7" w:rsidRDefault="00E34453" w:rsidP="00E34453">
      <w:pPr>
        <w:autoSpaceDE w:val="0"/>
        <w:autoSpaceDN w:val="0"/>
        <w:adjustRightInd w:val="0"/>
        <w:ind w:left="720" w:hanging="360"/>
        <w:jc w:val="both"/>
        <w:rPr>
          <w:rFonts w:ascii="Tahoma" w:eastAsia="EUAlbertina-Regular-Identity-H" w:hAnsi="Tahoma" w:cs="Tahoma"/>
          <w:sz w:val="20"/>
          <w:szCs w:val="20"/>
        </w:rPr>
      </w:pPr>
      <w:r w:rsidRPr="005E1EA7">
        <w:rPr>
          <w:rFonts w:ascii="Tahoma" w:eastAsia="EUAlbertina-Regular-Identity-H" w:hAnsi="Tahoma" w:cs="Tahoma"/>
          <w:sz w:val="20"/>
          <w:szCs w:val="20"/>
        </w:rPr>
        <w:t>a) un contrôle régulier des conditions d’hygiène au débarquement et lors de la première vente ;</w:t>
      </w:r>
    </w:p>
    <w:p w14:paraId="5ED9C450" w14:textId="77777777" w:rsidR="00E34453" w:rsidRPr="005E1EA7" w:rsidRDefault="00E34453" w:rsidP="00E34453">
      <w:pPr>
        <w:autoSpaceDE w:val="0"/>
        <w:autoSpaceDN w:val="0"/>
        <w:adjustRightInd w:val="0"/>
        <w:ind w:left="720" w:hanging="360"/>
        <w:jc w:val="both"/>
        <w:rPr>
          <w:rFonts w:ascii="Tahoma" w:eastAsia="EUAlbertina-Regular-Identity-H" w:hAnsi="Tahoma" w:cs="Tahoma"/>
          <w:sz w:val="20"/>
          <w:szCs w:val="20"/>
        </w:rPr>
      </w:pPr>
    </w:p>
    <w:p w14:paraId="634D286C" w14:textId="77777777" w:rsidR="00E34453" w:rsidRPr="005E1EA7" w:rsidRDefault="00E34453" w:rsidP="00E34453">
      <w:pPr>
        <w:autoSpaceDE w:val="0"/>
        <w:autoSpaceDN w:val="0"/>
        <w:adjustRightInd w:val="0"/>
        <w:ind w:left="720" w:hanging="360"/>
        <w:jc w:val="both"/>
        <w:rPr>
          <w:rFonts w:ascii="Tahoma" w:eastAsia="EUAlbertina-Regular-Identity-H" w:hAnsi="Tahoma" w:cs="Tahoma"/>
          <w:sz w:val="20"/>
          <w:szCs w:val="20"/>
        </w:rPr>
      </w:pPr>
      <w:r w:rsidRPr="005E1EA7">
        <w:rPr>
          <w:rFonts w:ascii="Tahoma" w:eastAsia="EUAlbertina-Regular-Identity-H" w:hAnsi="Tahoma" w:cs="Tahoma"/>
          <w:sz w:val="20"/>
          <w:szCs w:val="20"/>
        </w:rPr>
        <w:t>b) des inspections régulières des navires et des établissements à terre, y compris des halles de criée ou de marée et des marchés de gros, en vue de vérifier en particulier :</w:t>
      </w:r>
    </w:p>
    <w:p w14:paraId="22149EA3"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0C16A02B" w14:textId="77777777" w:rsidR="00E34453" w:rsidRPr="005E1EA7" w:rsidRDefault="00E34453" w:rsidP="00E34453">
      <w:pPr>
        <w:autoSpaceDE w:val="0"/>
        <w:autoSpaceDN w:val="0"/>
        <w:adjustRightInd w:val="0"/>
        <w:ind w:firstLine="708"/>
        <w:jc w:val="both"/>
        <w:rPr>
          <w:rFonts w:ascii="Tahoma" w:eastAsia="EUAlbertina-Regular-Identity-H" w:hAnsi="Tahoma" w:cs="Tahoma"/>
          <w:sz w:val="20"/>
          <w:szCs w:val="20"/>
        </w:rPr>
      </w:pPr>
      <w:r w:rsidRPr="005E1EA7">
        <w:rPr>
          <w:rFonts w:ascii="Tahoma" w:eastAsia="EUAlbertina-Regular-Identity-H" w:hAnsi="Tahoma" w:cs="Tahoma"/>
          <w:sz w:val="20"/>
          <w:szCs w:val="20"/>
        </w:rPr>
        <w:t>i) le cas échéant, si les conditions de l’agrément sont encore remplies ;</w:t>
      </w:r>
    </w:p>
    <w:p w14:paraId="5B0B5A00" w14:textId="77777777" w:rsidR="00E34453" w:rsidRPr="005E1EA7" w:rsidRDefault="00E34453" w:rsidP="00E34453">
      <w:pPr>
        <w:autoSpaceDE w:val="0"/>
        <w:autoSpaceDN w:val="0"/>
        <w:adjustRightInd w:val="0"/>
        <w:ind w:firstLine="708"/>
        <w:jc w:val="both"/>
        <w:rPr>
          <w:rFonts w:ascii="Tahoma" w:eastAsia="EUAlbertina-Regular-Identity-H" w:hAnsi="Tahoma" w:cs="Tahoma"/>
          <w:sz w:val="20"/>
          <w:szCs w:val="20"/>
        </w:rPr>
      </w:pPr>
    </w:p>
    <w:p w14:paraId="5D889DAC" w14:textId="77777777" w:rsidR="00E34453" w:rsidRPr="005E1EA7" w:rsidRDefault="00E34453" w:rsidP="00E34453">
      <w:pPr>
        <w:autoSpaceDE w:val="0"/>
        <w:autoSpaceDN w:val="0"/>
        <w:adjustRightInd w:val="0"/>
        <w:ind w:firstLine="708"/>
        <w:jc w:val="both"/>
        <w:rPr>
          <w:rFonts w:ascii="Tahoma" w:eastAsia="EUAlbertina-Regular-Identity-H" w:hAnsi="Tahoma" w:cs="Tahoma"/>
          <w:sz w:val="20"/>
          <w:szCs w:val="20"/>
        </w:rPr>
      </w:pPr>
      <w:r w:rsidRPr="005E1EA7">
        <w:rPr>
          <w:rFonts w:ascii="Tahoma" w:eastAsia="EUAlbertina-Regular-Identity-H" w:hAnsi="Tahoma" w:cs="Tahoma"/>
          <w:sz w:val="20"/>
          <w:szCs w:val="20"/>
        </w:rPr>
        <w:t>ii) si les produits de la pêche sont manipulés correctement ;</w:t>
      </w:r>
    </w:p>
    <w:p w14:paraId="5D15A9FF"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232785AA" w14:textId="77777777" w:rsidR="00E34453" w:rsidRPr="005E1EA7" w:rsidRDefault="00E34453" w:rsidP="00E34453">
      <w:pPr>
        <w:autoSpaceDE w:val="0"/>
        <w:autoSpaceDN w:val="0"/>
        <w:adjustRightInd w:val="0"/>
        <w:ind w:firstLine="708"/>
        <w:jc w:val="both"/>
        <w:rPr>
          <w:rFonts w:ascii="Tahoma" w:eastAsia="EUAlbertina-Regular-Identity-H" w:hAnsi="Tahoma" w:cs="Tahoma"/>
          <w:sz w:val="20"/>
          <w:szCs w:val="20"/>
        </w:rPr>
      </w:pPr>
      <w:r w:rsidRPr="005E1EA7">
        <w:rPr>
          <w:rFonts w:ascii="Tahoma" w:eastAsia="EUAlbertina-Regular-Identity-H" w:hAnsi="Tahoma" w:cs="Tahoma"/>
          <w:sz w:val="20"/>
          <w:szCs w:val="20"/>
        </w:rPr>
        <w:t>iii) le respect des exigences en matière d’hygiène et de température ;</w:t>
      </w:r>
    </w:p>
    <w:p w14:paraId="3E3F7F0F" w14:textId="77777777" w:rsidR="00E34453" w:rsidRPr="005E1EA7" w:rsidRDefault="00E34453" w:rsidP="00E34453">
      <w:pPr>
        <w:autoSpaceDE w:val="0"/>
        <w:autoSpaceDN w:val="0"/>
        <w:adjustRightInd w:val="0"/>
        <w:ind w:left="708"/>
        <w:jc w:val="both"/>
        <w:rPr>
          <w:rFonts w:ascii="Tahoma" w:eastAsia="EUAlbertina-Regular-Identity-H" w:hAnsi="Tahoma" w:cs="Tahoma"/>
          <w:sz w:val="20"/>
          <w:szCs w:val="20"/>
        </w:rPr>
      </w:pPr>
    </w:p>
    <w:p w14:paraId="24FA340C" w14:textId="77777777" w:rsidR="00E34453" w:rsidRPr="005E1EA7" w:rsidRDefault="00E34453" w:rsidP="00E34453">
      <w:pPr>
        <w:autoSpaceDE w:val="0"/>
        <w:autoSpaceDN w:val="0"/>
        <w:adjustRightInd w:val="0"/>
        <w:ind w:left="708"/>
        <w:jc w:val="both"/>
        <w:rPr>
          <w:rFonts w:ascii="Tahoma" w:eastAsia="EUAlbertina-Regular-Identity-H" w:hAnsi="Tahoma" w:cs="Tahoma"/>
          <w:sz w:val="20"/>
          <w:szCs w:val="20"/>
        </w:rPr>
      </w:pPr>
      <w:r w:rsidRPr="005E1EA7">
        <w:rPr>
          <w:rFonts w:ascii="Tahoma" w:eastAsia="EUAlbertina-Regular-Identity-H" w:hAnsi="Tahoma" w:cs="Tahoma"/>
          <w:sz w:val="20"/>
          <w:szCs w:val="20"/>
        </w:rPr>
        <w:t>iv) la propreté des établissements, y compris les navires, et de leurs installations et équipements, et l’hygiène du personnel,</w:t>
      </w:r>
    </w:p>
    <w:p w14:paraId="2DAB82C8"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27C50501" w14:textId="77777777" w:rsidR="00E34453" w:rsidRPr="005E1EA7" w:rsidRDefault="00E34453" w:rsidP="00E34453">
      <w:pPr>
        <w:autoSpaceDE w:val="0"/>
        <w:autoSpaceDN w:val="0"/>
        <w:adjustRightInd w:val="0"/>
        <w:ind w:left="284" w:hanging="284"/>
        <w:jc w:val="both"/>
        <w:rPr>
          <w:rFonts w:ascii="Tahoma" w:hAnsi="Tahoma" w:cs="Tahoma"/>
          <w:bCs/>
          <w:sz w:val="20"/>
          <w:szCs w:val="20"/>
        </w:rPr>
      </w:pPr>
      <w:r w:rsidRPr="005E1EA7">
        <w:rPr>
          <w:rFonts w:ascii="Tahoma" w:hAnsi="Tahoma" w:cs="Tahoma"/>
          <w:sz w:val="20"/>
          <w:szCs w:val="20"/>
        </w:rPr>
        <w:t xml:space="preserve">c) </w:t>
      </w:r>
      <w:r w:rsidRPr="005E1EA7">
        <w:rPr>
          <w:rFonts w:ascii="Tahoma" w:eastAsia="EUAlbertina-Regular-Identity-H" w:hAnsi="Tahoma" w:cs="Tahoma"/>
          <w:sz w:val="20"/>
          <w:szCs w:val="20"/>
        </w:rPr>
        <w:t>un</w:t>
      </w:r>
      <w:r w:rsidRPr="005E1EA7">
        <w:rPr>
          <w:rFonts w:ascii="Tahoma" w:hAnsi="Tahoma" w:cs="Tahoma"/>
          <w:sz w:val="20"/>
          <w:szCs w:val="20"/>
        </w:rPr>
        <w:t xml:space="preserve"> contrôle des espèces concernées par les normes de commercialisation pour les catégories de fraîcheur, de calibrage et le respect des tailles minimales biologiques fixés selon l’arrêté fixant les </w:t>
      </w:r>
      <w:r w:rsidRPr="005E1EA7">
        <w:rPr>
          <w:rFonts w:ascii="Tahoma" w:hAnsi="Tahoma" w:cs="Tahoma"/>
          <w:bCs/>
          <w:sz w:val="20"/>
          <w:szCs w:val="20"/>
        </w:rPr>
        <w:t xml:space="preserve">critères microbiologiques, chimiques </w:t>
      </w:r>
      <w:r w:rsidRPr="005E1EA7">
        <w:rPr>
          <w:rFonts w:ascii="Tahoma" w:eastAsia="EUAlbertina-Regular-Identity-H" w:hAnsi="Tahoma" w:cs="Tahoma"/>
          <w:bCs/>
          <w:sz w:val="20"/>
          <w:szCs w:val="20"/>
        </w:rPr>
        <w:t xml:space="preserve">et biotoxines marines </w:t>
      </w:r>
      <w:r w:rsidRPr="005E1EA7">
        <w:rPr>
          <w:rFonts w:ascii="Tahoma" w:hAnsi="Tahoma" w:cs="Tahoma"/>
          <w:bCs/>
          <w:sz w:val="20"/>
          <w:szCs w:val="20"/>
        </w:rPr>
        <w:t>applicables aux mollusques bivalves vivants et aux produits de la pêche (Annexe IV).</w:t>
      </w:r>
    </w:p>
    <w:p w14:paraId="4C5DC2BE" w14:textId="77777777" w:rsidR="00E34453" w:rsidRPr="005E1EA7" w:rsidRDefault="00E34453" w:rsidP="00E34453">
      <w:pPr>
        <w:autoSpaceDE w:val="0"/>
        <w:autoSpaceDN w:val="0"/>
        <w:adjustRightInd w:val="0"/>
        <w:ind w:firstLine="360"/>
        <w:jc w:val="both"/>
        <w:rPr>
          <w:rFonts w:ascii="Tahoma" w:eastAsia="EUAlbertina-Regular-Identity-H" w:hAnsi="Tahoma" w:cs="Tahoma"/>
          <w:sz w:val="20"/>
          <w:szCs w:val="20"/>
        </w:rPr>
      </w:pPr>
    </w:p>
    <w:p w14:paraId="4404C286" w14:textId="77777777" w:rsidR="00E34453" w:rsidRPr="005E1EA7" w:rsidRDefault="00E34453" w:rsidP="00E34453">
      <w:pPr>
        <w:autoSpaceDE w:val="0"/>
        <w:autoSpaceDN w:val="0"/>
        <w:adjustRightInd w:val="0"/>
        <w:ind w:left="284" w:hanging="284"/>
        <w:jc w:val="both"/>
        <w:rPr>
          <w:rFonts w:ascii="Tahoma" w:eastAsia="EUAlbertina-Regular-Identity-H" w:hAnsi="Tahoma" w:cs="Tahoma"/>
          <w:sz w:val="20"/>
          <w:szCs w:val="20"/>
        </w:rPr>
      </w:pPr>
      <w:r w:rsidRPr="005E1EA7">
        <w:rPr>
          <w:rFonts w:ascii="Tahoma" w:eastAsia="EUAlbertina-Regular-Identity-H" w:hAnsi="Tahoma" w:cs="Tahoma"/>
          <w:sz w:val="20"/>
          <w:szCs w:val="20"/>
        </w:rPr>
        <w:t>d) des contrôles des conditions de stockage et de transport.</w:t>
      </w:r>
    </w:p>
    <w:p w14:paraId="05A75DCF"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00C67A7C"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2. Toutefois, sous réserve du point 3, les contrôles officiels des navires :</w:t>
      </w:r>
    </w:p>
    <w:p w14:paraId="5955A7EF"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46186134" w14:textId="77777777" w:rsidR="00E34453" w:rsidRPr="005E1EA7" w:rsidRDefault="00E34453" w:rsidP="00E34453">
      <w:pPr>
        <w:autoSpaceDE w:val="0"/>
        <w:autoSpaceDN w:val="0"/>
        <w:adjustRightInd w:val="0"/>
        <w:ind w:left="720" w:hanging="360"/>
        <w:jc w:val="both"/>
        <w:rPr>
          <w:rFonts w:ascii="Tahoma" w:eastAsia="EUAlbertina-Regular-Identity-H" w:hAnsi="Tahoma" w:cs="Tahoma"/>
          <w:sz w:val="20"/>
          <w:szCs w:val="20"/>
        </w:rPr>
      </w:pPr>
      <w:r w:rsidRPr="005E1EA7">
        <w:rPr>
          <w:rFonts w:ascii="Tahoma" w:eastAsia="EUAlbertina-Regular-Identity-H" w:hAnsi="Tahoma" w:cs="Tahoma"/>
          <w:sz w:val="20"/>
          <w:szCs w:val="20"/>
        </w:rPr>
        <w:t>a) peuvent être effectués lorsque les navires font escale dans un port,</w:t>
      </w:r>
    </w:p>
    <w:p w14:paraId="3055E3FB" w14:textId="77777777" w:rsidR="00E34453" w:rsidRPr="005E1EA7" w:rsidRDefault="00E34453" w:rsidP="00E34453">
      <w:pPr>
        <w:autoSpaceDE w:val="0"/>
        <w:autoSpaceDN w:val="0"/>
        <w:adjustRightInd w:val="0"/>
        <w:ind w:left="720" w:hanging="360"/>
        <w:jc w:val="both"/>
        <w:rPr>
          <w:rFonts w:ascii="Tahoma" w:eastAsia="EUAlbertina-Regular-Identity-H" w:hAnsi="Tahoma" w:cs="Tahoma"/>
          <w:sz w:val="20"/>
          <w:szCs w:val="20"/>
        </w:rPr>
      </w:pPr>
    </w:p>
    <w:p w14:paraId="6A17D0B9" w14:textId="77777777" w:rsidR="00E34453" w:rsidRPr="005E1EA7" w:rsidRDefault="00E34453" w:rsidP="00E34453">
      <w:pPr>
        <w:autoSpaceDE w:val="0"/>
        <w:autoSpaceDN w:val="0"/>
        <w:adjustRightInd w:val="0"/>
        <w:ind w:left="720" w:hanging="360"/>
        <w:jc w:val="both"/>
        <w:rPr>
          <w:rFonts w:ascii="Tahoma" w:eastAsia="EUAlbertina-Regular-Identity-H" w:hAnsi="Tahoma" w:cs="Tahoma"/>
          <w:sz w:val="20"/>
          <w:szCs w:val="20"/>
        </w:rPr>
      </w:pPr>
      <w:r w:rsidRPr="005E1EA7">
        <w:rPr>
          <w:rFonts w:ascii="Tahoma" w:eastAsia="EUAlbertina-Regular-Identity-H" w:hAnsi="Tahoma" w:cs="Tahoma"/>
          <w:sz w:val="20"/>
          <w:szCs w:val="20"/>
        </w:rPr>
        <w:t>b) concernent tous les navires qui débarquent des produits de la pêche dans des ports de Mauritanie, quel que soit leur pavillon,</w:t>
      </w:r>
    </w:p>
    <w:p w14:paraId="2EAF406B" w14:textId="77777777" w:rsidR="00E34453" w:rsidRPr="005E1EA7" w:rsidRDefault="00E34453" w:rsidP="00E34453">
      <w:pPr>
        <w:autoSpaceDE w:val="0"/>
        <w:autoSpaceDN w:val="0"/>
        <w:adjustRightInd w:val="0"/>
        <w:ind w:left="720" w:hanging="360"/>
        <w:jc w:val="both"/>
        <w:rPr>
          <w:rFonts w:ascii="Tahoma" w:eastAsia="EUAlbertina-Regular-Identity-H" w:hAnsi="Tahoma" w:cs="Tahoma"/>
          <w:sz w:val="20"/>
          <w:szCs w:val="20"/>
        </w:rPr>
      </w:pPr>
    </w:p>
    <w:p w14:paraId="14472257" w14:textId="77777777" w:rsidR="00E34453" w:rsidRPr="005E1EA7" w:rsidRDefault="00E34453" w:rsidP="00E34453">
      <w:pPr>
        <w:autoSpaceDE w:val="0"/>
        <w:autoSpaceDN w:val="0"/>
        <w:adjustRightInd w:val="0"/>
        <w:ind w:left="720" w:hanging="360"/>
        <w:jc w:val="both"/>
        <w:rPr>
          <w:rFonts w:ascii="Tahoma" w:eastAsia="EUAlbertina-Regular-Identity-H" w:hAnsi="Tahoma" w:cs="Tahoma"/>
          <w:sz w:val="20"/>
          <w:szCs w:val="20"/>
        </w:rPr>
      </w:pPr>
      <w:r w:rsidRPr="005E1EA7">
        <w:rPr>
          <w:rFonts w:ascii="Tahoma" w:eastAsia="EUAlbertina-Regular-Identity-H" w:hAnsi="Tahoma" w:cs="Tahoma"/>
          <w:sz w:val="20"/>
          <w:szCs w:val="20"/>
        </w:rPr>
        <w:t>c) peuvent, si nécessaire, être effectués lorsque le navire est en mer.</w:t>
      </w:r>
    </w:p>
    <w:p w14:paraId="07FD1270"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12B91A52" w14:textId="77777777" w:rsidR="00E34453" w:rsidRPr="005E1EA7" w:rsidRDefault="00E34453" w:rsidP="00E34453">
      <w:pPr>
        <w:autoSpaceDE w:val="0"/>
        <w:autoSpaceDN w:val="0"/>
        <w:adjustRightInd w:val="0"/>
        <w:ind w:left="284" w:hanging="284"/>
        <w:jc w:val="both"/>
        <w:rPr>
          <w:rFonts w:ascii="Tahoma" w:eastAsia="EUAlbertina-Regular-Identity-H" w:hAnsi="Tahoma" w:cs="Tahoma"/>
          <w:sz w:val="20"/>
          <w:szCs w:val="20"/>
        </w:rPr>
      </w:pPr>
      <w:r w:rsidRPr="005E1EA7">
        <w:rPr>
          <w:rFonts w:ascii="Tahoma" w:eastAsia="EUAlbertina-Regular-Identity-H" w:hAnsi="Tahoma" w:cs="Tahoma"/>
          <w:sz w:val="20"/>
          <w:szCs w:val="20"/>
        </w:rPr>
        <w:t>3. Pour l’inspection d’un navire-usine ou d’un navire congélateur battant pavillon mauritanien, l’organisme chargé du contrôle est tenu de mener les inspections de manière conforme aux exigences de l’article 15, en particulier en ce qui concerne les durées visées à l’article 16, paragraphe 1. Si nécessaire, l’organisme chargé du contrôle peut inspecter le navire lorsque celui-ci est en mer</w:t>
      </w:r>
    </w:p>
    <w:p w14:paraId="62338824" w14:textId="77777777" w:rsidR="00E34453" w:rsidRPr="005E1EA7" w:rsidRDefault="00E34453" w:rsidP="00E34453">
      <w:pPr>
        <w:autoSpaceDE w:val="0"/>
        <w:autoSpaceDN w:val="0"/>
        <w:adjustRightInd w:val="0"/>
        <w:ind w:left="284" w:hanging="284"/>
        <w:jc w:val="both"/>
        <w:rPr>
          <w:rFonts w:ascii="Tahoma" w:eastAsia="EUAlbertina-Regular-Identity-H" w:hAnsi="Tahoma" w:cs="Tahoma"/>
          <w:sz w:val="20"/>
          <w:szCs w:val="20"/>
        </w:rPr>
      </w:pPr>
    </w:p>
    <w:p w14:paraId="6DFAAA70"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446970F7" w14:textId="77777777" w:rsidR="00E34453" w:rsidRPr="005E1EA7" w:rsidRDefault="00E34453" w:rsidP="00E34453">
      <w:pPr>
        <w:autoSpaceDE w:val="0"/>
        <w:autoSpaceDN w:val="0"/>
        <w:adjustRightInd w:val="0"/>
        <w:jc w:val="center"/>
        <w:rPr>
          <w:rFonts w:ascii="Tahoma" w:eastAsia="EUAlbertina-Regular-Identity-H" w:hAnsi="Tahoma" w:cs="Tahoma"/>
          <w:b/>
          <w:bCs/>
          <w:sz w:val="20"/>
          <w:szCs w:val="20"/>
        </w:rPr>
      </w:pPr>
      <w:r w:rsidRPr="005E1EA7">
        <w:rPr>
          <w:rFonts w:ascii="Tahoma" w:eastAsia="EUAlbertina-Regular-Identity-H" w:hAnsi="Tahoma" w:cs="Tahoma"/>
          <w:b/>
          <w:bCs/>
          <w:sz w:val="20"/>
          <w:szCs w:val="20"/>
        </w:rPr>
        <w:t>CHAPITRE II - CONTROLES OFFICIELS DES PRODUITS DE LA PECHE</w:t>
      </w:r>
    </w:p>
    <w:p w14:paraId="1C1F8B53"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0130AF98"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Les contrôles officiels des produits de la pêche doivent comprendre au moins les éléments suivants.</w:t>
      </w:r>
    </w:p>
    <w:p w14:paraId="43CD15C9"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2DC9A95F" w14:textId="77777777" w:rsidR="00E34453" w:rsidRPr="005E1EA7" w:rsidRDefault="00E34453" w:rsidP="00E34453">
      <w:pPr>
        <w:autoSpaceDE w:val="0"/>
        <w:autoSpaceDN w:val="0"/>
        <w:adjustRightInd w:val="0"/>
        <w:jc w:val="both"/>
        <w:rPr>
          <w:rFonts w:ascii="Tahoma" w:eastAsia="EUAlbertina-Regular-Identity-H" w:hAnsi="Tahoma" w:cs="Tahoma"/>
          <w:b/>
          <w:bCs/>
          <w:i/>
          <w:iCs/>
          <w:sz w:val="20"/>
          <w:szCs w:val="20"/>
        </w:rPr>
      </w:pPr>
      <w:r w:rsidRPr="005E1EA7">
        <w:rPr>
          <w:rFonts w:ascii="Tahoma" w:eastAsia="EUAlbertina-Regular-Identity-H" w:hAnsi="Tahoma" w:cs="Tahoma"/>
          <w:b/>
          <w:bCs/>
          <w:i/>
          <w:iCs/>
          <w:sz w:val="20"/>
          <w:szCs w:val="20"/>
        </w:rPr>
        <w:t>A. EVALUATIONS ORGANOLEPTIQUES</w:t>
      </w:r>
    </w:p>
    <w:p w14:paraId="2C736F4A" w14:textId="77777777" w:rsidR="00E34453" w:rsidRPr="005E1EA7" w:rsidRDefault="00E34453" w:rsidP="00E34453">
      <w:pPr>
        <w:autoSpaceDE w:val="0"/>
        <w:autoSpaceDN w:val="0"/>
        <w:adjustRightInd w:val="0"/>
        <w:jc w:val="both"/>
        <w:rPr>
          <w:rFonts w:ascii="Tahoma" w:eastAsia="EUAlbertina-Italic-Identity-H" w:hAnsi="Tahoma" w:cs="Tahoma"/>
          <w:i/>
          <w:iCs/>
          <w:sz w:val="20"/>
          <w:szCs w:val="20"/>
        </w:rPr>
      </w:pPr>
    </w:p>
    <w:p w14:paraId="63813230"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 xml:space="preserve">Des contrôles organoleptiques aléatoires doivent être effectués à tous les stades de la production, du traitement et de la distribution. Ces contrôles ont notamment pour but de vérifier le respect des critères de fraîcheur établis conformément à la législation nationale, internationale et du </w:t>
      </w:r>
      <w:r w:rsidRPr="005E1EA7">
        <w:rPr>
          <w:rFonts w:ascii="Tahoma" w:eastAsia="EUAlbertina-Regular-Identity-H" w:hAnsi="Tahoma" w:cs="Tahoma"/>
          <w:i/>
          <w:iCs/>
          <w:sz w:val="20"/>
          <w:szCs w:val="20"/>
        </w:rPr>
        <w:t>Codex</w:t>
      </w:r>
      <w:r w:rsidRPr="005E1EA7">
        <w:rPr>
          <w:rFonts w:ascii="Tahoma" w:eastAsia="EUAlbertina-Regular-Identity-H" w:hAnsi="Tahoma" w:cs="Tahoma"/>
          <w:sz w:val="20"/>
          <w:szCs w:val="20"/>
        </w:rPr>
        <w:t xml:space="preserve"> </w:t>
      </w:r>
      <w:r w:rsidRPr="005E1EA7">
        <w:rPr>
          <w:rFonts w:ascii="Tahoma" w:eastAsia="EUAlbertina-Regular-Identity-H" w:hAnsi="Tahoma" w:cs="Tahoma"/>
          <w:i/>
          <w:iCs/>
          <w:sz w:val="20"/>
          <w:szCs w:val="20"/>
        </w:rPr>
        <w:t>Alimentarius</w:t>
      </w:r>
      <w:r w:rsidRPr="005E1EA7">
        <w:rPr>
          <w:rFonts w:ascii="Tahoma" w:eastAsia="EUAlbertina-Regular-Identity-H" w:hAnsi="Tahoma" w:cs="Tahoma"/>
          <w:sz w:val="20"/>
          <w:szCs w:val="20"/>
        </w:rPr>
        <w:t>. Cela comprend notamment la vérification, à tous les stades de la production, de la transformation et de la distribution, que les produits de la pêche dépassent au moins les lignes de base des critères de fraîcheurs établies conformément à la législation.</w:t>
      </w:r>
    </w:p>
    <w:p w14:paraId="6E6F4023"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3CFC83B7" w14:textId="77777777" w:rsidR="00E34453" w:rsidRPr="005E1EA7" w:rsidRDefault="00E34453" w:rsidP="00E34453">
      <w:pPr>
        <w:jc w:val="both"/>
        <w:rPr>
          <w:rFonts w:ascii="Tahoma" w:eastAsia="EUAlbertina-Regular-Identity-H" w:hAnsi="Tahoma" w:cs="Tahoma"/>
          <w:sz w:val="20"/>
          <w:szCs w:val="20"/>
        </w:rPr>
      </w:pPr>
      <w:r w:rsidRPr="005E1EA7">
        <w:rPr>
          <w:rFonts w:ascii="Tahoma" w:eastAsia="EUAlbertina-Regular-Identity-H" w:hAnsi="Tahoma" w:cs="Tahoma"/>
          <w:sz w:val="20"/>
          <w:szCs w:val="20"/>
        </w:rPr>
        <w:t xml:space="preserve">Si la classification n’est pas effectuée conformément à la procédure prévue dans </w:t>
      </w:r>
      <w:r w:rsidRPr="005E1EA7">
        <w:rPr>
          <w:rFonts w:ascii="Tahoma" w:eastAsia="EUAlbertina-Regular-Identity-H" w:hAnsi="Tahoma" w:cs="Tahoma"/>
          <w:bCs/>
          <w:sz w:val="20"/>
          <w:szCs w:val="20"/>
        </w:rPr>
        <w:t>la réglementation en vigueur</w:t>
      </w:r>
      <w:r w:rsidRPr="005E1EA7">
        <w:rPr>
          <w:rFonts w:ascii="Tahoma" w:eastAsia="EUAlbertina-Regular-Identity-H" w:hAnsi="Tahoma" w:cs="Tahoma"/>
          <w:sz w:val="20"/>
          <w:szCs w:val="20"/>
        </w:rPr>
        <w:t>, l’Autorité compétente peut y procéder elle-même.</w:t>
      </w:r>
    </w:p>
    <w:p w14:paraId="3E55C6D7" w14:textId="77777777" w:rsidR="00E34453" w:rsidRPr="005E1EA7" w:rsidRDefault="00E34453" w:rsidP="00E34453">
      <w:pPr>
        <w:jc w:val="both"/>
        <w:rPr>
          <w:rFonts w:ascii="Tahoma" w:eastAsia="EUAlbertina-Regular-Identity-H" w:hAnsi="Tahoma" w:cs="Tahoma"/>
          <w:sz w:val="20"/>
          <w:szCs w:val="20"/>
        </w:rPr>
      </w:pPr>
      <w:r w:rsidRPr="005E1EA7">
        <w:rPr>
          <w:rFonts w:ascii="Tahoma" w:eastAsia="EUAlbertina-Regular-Identity-H" w:hAnsi="Tahoma" w:cs="Tahoma"/>
          <w:sz w:val="20"/>
          <w:szCs w:val="20"/>
        </w:rPr>
        <w:t>Les grilles d’évaluation utilisées sont celles prévues dans la règlementation nationale, la règlementation de l’UE ou les lignes directrices du Codex Alimentarius.</w:t>
      </w:r>
    </w:p>
    <w:p w14:paraId="7BBA0B41" w14:textId="77777777" w:rsidR="00E34453" w:rsidRPr="005E1EA7" w:rsidRDefault="00E34453" w:rsidP="00E34453">
      <w:pPr>
        <w:jc w:val="both"/>
        <w:rPr>
          <w:rFonts w:ascii="Tahoma" w:eastAsia="EUAlbertina-Regular-Identity-H" w:hAnsi="Tahoma" w:cs="Tahoma"/>
          <w:sz w:val="20"/>
          <w:szCs w:val="20"/>
        </w:rPr>
      </w:pPr>
    </w:p>
    <w:p w14:paraId="2B4EC50F" w14:textId="77777777" w:rsidR="00E34453" w:rsidRPr="005E1EA7" w:rsidRDefault="00E34453" w:rsidP="00E34453">
      <w:pPr>
        <w:jc w:val="both"/>
        <w:rPr>
          <w:rFonts w:ascii="Tahoma" w:hAnsi="Tahoma" w:cs="Tahoma"/>
          <w:sz w:val="20"/>
          <w:szCs w:val="20"/>
        </w:rPr>
      </w:pPr>
      <w:r w:rsidRPr="005E1EA7">
        <w:rPr>
          <w:rFonts w:ascii="Tahoma" w:eastAsia="EUAlbertina-Regular-Identity-H" w:hAnsi="Tahoma" w:cs="Tahoma"/>
          <w:sz w:val="20"/>
          <w:szCs w:val="20"/>
        </w:rPr>
        <w:t>Toutefois l’Autorité compétente peut développer en interne ses propres critères de détermination de la fraicheur en se basant sur ses connaissances scientifiques et son expertise technique dans le cadre du contrôle sanitaire des produits de la pêche.</w:t>
      </w:r>
    </w:p>
    <w:p w14:paraId="07EAA173"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4F4079D1" w14:textId="77777777" w:rsidR="00E34453" w:rsidRPr="005E1EA7" w:rsidRDefault="00E34453" w:rsidP="00E34453">
      <w:pPr>
        <w:autoSpaceDE w:val="0"/>
        <w:autoSpaceDN w:val="0"/>
        <w:adjustRightInd w:val="0"/>
        <w:jc w:val="both"/>
        <w:rPr>
          <w:rFonts w:ascii="Tahoma" w:eastAsia="EUAlbertina-Regular-Identity-H" w:hAnsi="Tahoma" w:cs="Tahoma"/>
          <w:b/>
          <w:bCs/>
          <w:i/>
          <w:iCs/>
          <w:sz w:val="20"/>
          <w:szCs w:val="20"/>
        </w:rPr>
      </w:pPr>
      <w:r w:rsidRPr="005E1EA7">
        <w:rPr>
          <w:rFonts w:ascii="Tahoma" w:eastAsia="EUAlbertina-Regular-Identity-H" w:hAnsi="Tahoma" w:cs="Tahoma"/>
          <w:b/>
          <w:bCs/>
          <w:i/>
          <w:iCs/>
          <w:sz w:val="20"/>
          <w:szCs w:val="20"/>
        </w:rPr>
        <w:t>B. INDICATEURS DE FRAICHEUR</w:t>
      </w:r>
    </w:p>
    <w:p w14:paraId="778E13E0" w14:textId="77777777" w:rsidR="00E34453" w:rsidRPr="005E1EA7" w:rsidRDefault="00E34453" w:rsidP="00E34453">
      <w:pPr>
        <w:autoSpaceDE w:val="0"/>
        <w:autoSpaceDN w:val="0"/>
        <w:adjustRightInd w:val="0"/>
        <w:jc w:val="both"/>
        <w:rPr>
          <w:rFonts w:ascii="Tahoma" w:eastAsia="EUAlbertina-Italic-Identity-H" w:hAnsi="Tahoma" w:cs="Tahoma"/>
          <w:i/>
          <w:iCs/>
          <w:sz w:val="20"/>
          <w:szCs w:val="20"/>
        </w:rPr>
      </w:pPr>
    </w:p>
    <w:p w14:paraId="209D671F"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Lorsque l’examen organoleptique met en doute la fraîcheur des produits de la pêche, sans préjudice des</w:t>
      </w:r>
      <w:r w:rsidRPr="005E1EA7">
        <w:rPr>
          <w:rFonts w:ascii="Tahoma" w:hAnsi="Tahoma" w:cs="Tahoma"/>
          <w:sz w:val="20"/>
          <w:szCs w:val="20"/>
        </w:rPr>
        <w:t xml:space="preserve"> règles applicables aux espèces concernées par les normes de commercialisation, </w:t>
      </w:r>
      <w:r w:rsidRPr="005E1EA7">
        <w:rPr>
          <w:rFonts w:ascii="Tahoma" w:eastAsia="EUAlbertina-Regular-Identity-H" w:hAnsi="Tahoma" w:cs="Tahoma"/>
          <w:sz w:val="20"/>
          <w:szCs w:val="20"/>
        </w:rPr>
        <w:t xml:space="preserve">des échantillons peuvent être prélevés et soumis à des tests de laboratoire destinés à déterminer les teneurs en azote basique volatil total (ABVT), incluant l’azote triméthylamine (TMA-N), selon les critères fixés dans </w:t>
      </w:r>
      <w:r w:rsidRPr="005E1EA7">
        <w:rPr>
          <w:rFonts w:ascii="Tahoma" w:hAnsi="Tahoma" w:cs="Tahoma"/>
          <w:sz w:val="20"/>
          <w:szCs w:val="20"/>
        </w:rPr>
        <w:t xml:space="preserve">la réglementation en vigueur. </w:t>
      </w:r>
    </w:p>
    <w:p w14:paraId="5189D592"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2FD31C8E"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Si l’évaluation organoleptique soulève des doutes relatifs à d’autres paramètres pouvant affecter la santé humaine, des échantillons appropriés doivent être prélevés à des fins de vérification.</w:t>
      </w:r>
    </w:p>
    <w:p w14:paraId="50FB373F"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5083468D" w14:textId="77777777" w:rsidR="00E34453" w:rsidRPr="005E1EA7" w:rsidRDefault="00E34453" w:rsidP="00E34453">
      <w:pPr>
        <w:autoSpaceDE w:val="0"/>
        <w:autoSpaceDN w:val="0"/>
        <w:adjustRightInd w:val="0"/>
        <w:jc w:val="both"/>
        <w:rPr>
          <w:rFonts w:ascii="Tahoma" w:eastAsia="EUAlbertina-Regular-Identity-H" w:hAnsi="Tahoma" w:cs="Tahoma"/>
          <w:b/>
          <w:bCs/>
          <w:i/>
          <w:iCs/>
          <w:sz w:val="20"/>
          <w:szCs w:val="20"/>
        </w:rPr>
      </w:pPr>
      <w:r w:rsidRPr="005E1EA7">
        <w:rPr>
          <w:rFonts w:ascii="Tahoma" w:eastAsia="EUAlbertina-Regular-Identity-H" w:hAnsi="Tahoma" w:cs="Tahoma"/>
          <w:b/>
          <w:bCs/>
          <w:i/>
          <w:iCs/>
          <w:sz w:val="20"/>
          <w:szCs w:val="20"/>
        </w:rPr>
        <w:t>C. HISTAMINE</w:t>
      </w:r>
    </w:p>
    <w:p w14:paraId="573660D2" w14:textId="77777777" w:rsidR="00E34453" w:rsidRPr="005E1EA7" w:rsidRDefault="00E34453" w:rsidP="00E34453">
      <w:pPr>
        <w:autoSpaceDE w:val="0"/>
        <w:autoSpaceDN w:val="0"/>
        <w:adjustRightInd w:val="0"/>
        <w:jc w:val="both"/>
        <w:rPr>
          <w:rFonts w:ascii="Tahoma" w:eastAsia="EUAlbertina-Italic-Identity-H" w:hAnsi="Tahoma" w:cs="Tahoma"/>
          <w:i/>
          <w:iCs/>
          <w:sz w:val="20"/>
          <w:szCs w:val="20"/>
        </w:rPr>
      </w:pPr>
    </w:p>
    <w:p w14:paraId="5C2D2AB5"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 xml:space="preserve">Des tests aléatoires de contrôle de l’histamine doivent être effectués dans le but de vérifier le respect des teneurs fixées par la réglementation en vigueur. </w:t>
      </w:r>
    </w:p>
    <w:p w14:paraId="4BCC5A77"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 xml:space="preserve">Ces tests sont réalisés par la méthode HPLC ou méthode équivalente, si les produits considérés sont destinés à être exportés vers le marché de l’UE. </w:t>
      </w:r>
    </w:p>
    <w:p w14:paraId="79B7529B"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08E8FA2D"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Quant aux autres marchés, en l’absence d’une méthode spécifique imposée par les pays de destination, toutes les autres méthodes jugées conformes et pouvant donner des résultats fiables peuvent être utilisés.</w:t>
      </w:r>
    </w:p>
    <w:p w14:paraId="6CD2392E"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57E899B0"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115CD812"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31D9E9EE" w14:textId="77777777" w:rsidR="00E34453" w:rsidRPr="005E1EA7" w:rsidRDefault="00E34453" w:rsidP="00E34453">
      <w:pPr>
        <w:autoSpaceDE w:val="0"/>
        <w:autoSpaceDN w:val="0"/>
        <w:adjustRightInd w:val="0"/>
        <w:jc w:val="both"/>
        <w:rPr>
          <w:rFonts w:ascii="Tahoma" w:eastAsia="EUAlbertina-Regular-Identity-H" w:hAnsi="Tahoma" w:cs="Tahoma"/>
          <w:b/>
          <w:bCs/>
          <w:i/>
          <w:iCs/>
          <w:sz w:val="20"/>
          <w:szCs w:val="20"/>
        </w:rPr>
      </w:pPr>
      <w:r w:rsidRPr="005E1EA7">
        <w:rPr>
          <w:rFonts w:ascii="Tahoma" w:eastAsia="EUAlbertina-Regular-Identity-H" w:hAnsi="Tahoma" w:cs="Tahoma"/>
          <w:b/>
          <w:bCs/>
          <w:i/>
          <w:iCs/>
          <w:sz w:val="20"/>
          <w:szCs w:val="20"/>
        </w:rPr>
        <w:t>D. RESIDUS ET CONTAMINANTS</w:t>
      </w:r>
    </w:p>
    <w:p w14:paraId="0FF01C91" w14:textId="77777777" w:rsidR="00E34453" w:rsidRPr="005E1EA7" w:rsidRDefault="00E34453" w:rsidP="00E34453">
      <w:pPr>
        <w:autoSpaceDE w:val="0"/>
        <w:autoSpaceDN w:val="0"/>
        <w:adjustRightInd w:val="0"/>
        <w:jc w:val="both"/>
        <w:rPr>
          <w:rFonts w:ascii="Tahoma" w:eastAsia="EUAlbertina-Italic-Identity-H" w:hAnsi="Tahoma" w:cs="Tahoma"/>
          <w:i/>
          <w:iCs/>
          <w:sz w:val="20"/>
          <w:szCs w:val="20"/>
        </w:rPr>
      </w:pPr>
    </w:p>
    <w:p w14:paraId="098496A2"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En plus de la mise en œuvre des Plans de Surveillance des contaminants du milieu aquatique et des produits de la pêche, des dispositions doivent être prises afin de contrôler les niveaux de résidus et de contaminants conformément à la législation.</w:t>
      </w:r>
    </w:p>
    <w:p w14:paraId="3E9381EB"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3BEBEFA2"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Pour les produits exportés vers l’UE, les limites fixées par le règlement européen n° 915/2023 s’appliquent. Quant aux autres marchés les limites fixés par l'Arrêté relatif aux critères chimiques doivent être respectées, sauf s’il y’a exigence spécifique d’un pays importateur.</w:t>
      </w:r>
    </w:p>
    <w:p w14:paraId="6554FCD4"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08744F33" w14:textId="77777777" w:rsidR="00E34453" w:rsidRPr="005E1EA7" w:rsidRDefault="00E34453" w:rsidP="00E34453">
      <w:pPr>
        <w:autoSpaceDE w:val="0"/>
        <w:autoSpaceDN w:val="0"/>
        <w:adjustRightInd w:val="0"/>
        <w:jc w:val="both"/>
        <w:rPr>
          <w:rFonts w:ascii="Tahoma" w:eastAsia="EUAlbertina-Italic-Identity-H" w:hAnsi="Tahoma" w:cs="Tahoma"/>
          <w:b/>
          <w:bCs/>
          <w:i/>
          <w:iCs/>
          <w:sz w:val="20"/>
          <w:szCs w:val="20"/>
        </w:rPr>
      </w:pPr>
      <w:r w:rsidRPr="005E1EA7">
        <w:rPr>
          <w:rFonts w:ascii="Tahoma" w:eastAsia="EUAlbertina-Regular-Identity-H" w:hAnsi="Tahoma" w:cs="Tahoma"/>
          <w:b/>
          <w:bCs/>
          <w:sz w:val="20"/>
          <w:szCs w:val="20"/>
        </w:rPr>
        <w:t xml:space="preserve">E. </w:t>
      </w:r>
      <w:r w:rsidRPr="005E1EA7">
        <w:rPr>
          <w:rFonts w:ascii="Tahoma" w:eastAsia="EUAlbertina-Italic-Identity-H" w:hAnsi="Tahoma" w:cs="Tahoma"/>
          <w:b/>
          <w:bCs/>
          <w:i/>
          <w:iCs/>
          <w:sz w:val="20"/>
          <w:szCs w:val="20"/>
        </w:rPr>
        <w:t>CONTROLES MICROBIOLOGIQUES</w:t>
      </w:r>
    </w:p>
    <w:p w14:paraId="710F0681" w14:textId="77777777" w:rsidR="00E34453" w:rsidRPr="005E1EA7" w:rsidRDefault="00E34453" w:rsidP="00E34453">
      <w:pPr>
        <w:autoSpaceDE w:val="0"/>
        <w:autoSpaceDN w:val="0"/>
        <w:adjustRightInd w:val="0"/>
        <w:jc w:val="both"/>
        <w:rPr>
          <w:rFonts w:ascii="Tahoma" w:eastAsia="EUAlbertina-Italic-Identity-H" w:hAnsi="Tahoma" w:cs="Tahoma"/>
          <w:i/>
          <w:iCs/>
          <w:sz w:val="20"/>
          <w:szCs w:val="20"/>
        </w:rPr>
      </w:pPr>
    </w:p>
    <w:p w14:paraId="68797ECB"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 xml:space="preserve">Des contrôles microbiologiques doivent être effectués en tant que de besoin conformément aux règles et critères établis en la matière par la législation alimentaire. </w:t>
      </w:r>
    </w:p>
    <w:p w14:paraId="18021C39"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24016E75" w14:textId="77777777" w:rsidR="00E34453" w:rsidRPr="005E1EA7" w:rsidRDefault="00E34453" w:rsidP="00E34453">
      <w:pPr>
        <w:autoSpaceDE w:val="0"/>
        <w:autoSpaceDN w:val="0"/>
        <w:adjustRightInd w:val="0"/>
        <w:jc w:val="both"/>
        <w:rPr>
          <w:rFonts w:ascii="Tahoma" w:hAnsi="Tahoma" w:cs="Tahoma"/>
          <w:bCs/>
          <w:sz w:val="20"/>
          <w:szCs w:val="20"/>
        </w:rPr>
      </w:pPr>
      <w:r w:rsidRPr="005E1EA7">
        <w:rPr>
          <w:rFonts w:ascii="Tahoma" w:eastAsia="EUAlbertina-Regular-Identity-H" w:hAnsi="Tahoma" w:cs="Tahoma"/>
          <w:sz w:val="20"/>
          <w:szCs w:val="20"/>
        </w:rPr>
        <w:t xml:space="preserve">Ces dites règles et critères sont fonction du produit, du type de traitement appliqué, de conditionnement et d’emballage et du niveau du risque sanitaire pour </w:t>
      </w:r>
      <w:r w:rsidRPr="005E1EA7">
        <w:rPr>
          <w:rFonts w:ascii="Tahoma" w:hAnsi="Tahoma" w:cs="Tahoma"/>
          <w:sz w:val="20"/>
          <w:szCs w:val="20"/>
        </w:rPr>
        <w:t>la santé des consommateurs</w:t>
      </w:r>
      <w:r w:rsidRPr="005E1EA7">
        <w:rPr>
          <w:rFonts w:ascii="Tahoma" w:eastAsia="EUAlbertina-Regular-Identity-H" w:hAnsi="Tahoma" w:cs="Tahoma"/>
          <w:sz w:val="20"/>
          <w:szCs w:val="20"/>
        </w:rPr>
        <w:t xml:space="preserve"> conformément aux limites fixées par </w:t>
      </w:r>
      <w:r w:rsidRPr="005E1EA7">
        <w:rPr>
          <w:rFonts w:ascii="Tahoma" w:hAnsi="Tahoma" w:cs="Tahoma"/>
          <w:sz w:val="20"/>
          <w:szCs w:val="20"/>
        </w:rPr>
        <w:t xml:space="preserve">l’arrêté fixant les </w:t>
      </w:r>
      <w:r w:rsidRPr="005E1EA7">
        <w:rPr>
          <w:rFonts w:ascii="Tahoma" w:hAnsi="Tahoma" w:cs="Tahoma"/>
          <w:bCs/>
          <w:sz w:val="20"/>
          <w:szCs w:val="20"/>
        </w:rPr>
        <w:t xml:space="preserve">critères microbiologiques, chimiques </w:t>
      </w:r>
      <w:r w:rsidRPr="005E1EA7">
        <w:rPr>
          <w:rFonts w:ascii="Tahoma" w:eastAsia="EUAlbertina-Regular-Identity-H" w:hAnsi="Tahoma" w:cs="Tahoma"/>
          <w:bCs/>
          <w:sz w:val="20"/>
          <w:szCs w:val="20"/>
        </w:rPr>
        <w:t xml:space="preserve">et biotoxines marines </w:t>
      </w:r>
      <w:r w:rsidRPr="005E1EA7">
        <w:rPr>
          <w:rFonts w:ascii="Tahoma" w:hAnsi="Tahoma" w:cs="Tahoma"/>
          <w:bCs/>
          <w:sz w:val="20"/>
          <w:szCs w:val="20"/>
        </w:rPr>
        <w:t>applicables aux mollusques bivalves vivants et aux produits de la pêche.</w:t>
      </w:r>
    </w:p>
    <w:p w14:paraId="65F7375F"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5814328B" w14:textId="77777777" w:rsidR="00E34453" w:rsidRPr="005E1EA7" w:rsidRDefault="00E34453" w:rsidP="00E34453">
      <w:pPr>
        <w:autoSpaceDE w:val="0"/>
        <w:autoSpaceDN w:val="0"/>
        <w:adjustRightInd w:val="0"/>
        <w:jc w:val="both"/>
        <w:rPr>
          <w:rFonts w:ascii="Tahoma" w:eastAsia="EUAlbertina-Italic-Identity-H" w:hAnsi="Tahoma" w:cs="Tahoma"/>
          <w:i/>
          <w:iCs/>
          <w:sz w:val="20"/>
          <w:szCs w:val="20"/>
        </w:rPr>
      </w:pPr>
      <w:r w:rsidRPr="005E1EA7">
        <w:rPr>
          <w:rFonts w:ascii="Tahoma" w:eastAsia="EUAlbertina-Regular-Identity-H" w:hAnsi="Tahoma" w:cs="Tahoma"/>
          <w:sz w:val="20"/>
          <w:szCs w:val="20"/>
        </w:rPr>
        <w:t xml:space="preserve">F. </w:t>
      </w:r>
      <w:r w:rsidRPr="005E1EA7">
        <w:rPr>
          <w:rFonts w:ascii="Tahoma" w:eastAsia="EUAlbertina-Italic-Identity-H" w:hAnsi="Tahoma" w:cs="Tahoma"/>
          <w:i/>
          <w:iCs/>
          <w:sz w:val="20"/>
          <w:szCs w:val="20"/>
        </w:rPr>
        <w:t>PARASITES</w:t>
      </w:r>
    </w:p>
    <w:p w14:paraId="19E3E214"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5664DC1A"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Des tests aléatoires doivent être effectués afin de vérifier le respect de la législation en ce qui concerne les parasites.</w:t>
      </w:r>
    </w:p>
    <w:p w14:paraId="765CAC2E"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5C465FA3" w14:textId="77777777" w:rsidR="00E34453" w:rsidRPr="005E1EA7" w:rsidRDefault="00E34453" w:rsidP="00E34453">
      <w:pPr>
        <w:autoSpaceDE w:val="0"/>
        <w:autoSpaceDN w:val="0"/>
        <w:adjustRightInd w:val="0"/>
        <w:jc w:val="both"/>
        <w:rPr>
          <w:rFonts w:ascii="Tahoma" w:eastAsia="EUAlbertina-Italic-Identity-H" w:hAnsi="Tahoma" w:cs="Tahoma"/>
          <w:b/>
          <w:bCs/>
          <w:i/>
          <w:iCs/>
          <w:sz w:val="20"/>
          <w:szCs w:val="20"/>
        </w:rPr>
      </w:pPr>
      <w:r w:rsidRPr="005E1EA7">
        <w:rPr>
          <w:rFonts w:ascii="Tahoma" w:eastAsia="EUAlbertina-Regular-Identity-H" w:hAnsi="Tahoma" w:cs="Tahoma"/>
          <w:b/>
          <w:bCs/>
          <w:sz w:val="20"/>
          <w:szCs w:val="20"/>
        </w:rPr>
        <w:t xml:space="preserve">G. </w:t>
      </w:r>
      <w:r w:rsidRPr="005E1EA7">
        <w:rPr>
          <w:rFonts w:ascii="Tahoma" w:eastAsia="EUAlbertina-Italic-Identity-H" w:hAnsi="Tahoma" w:cs="Tahoma"/>
          <w:b/>
          <w:bCs/>
          <w:i/>
          <w:iCs/>
          <w:sz w:val="20"/>
          <w:szCs w:val="20"/>
        </w:rPr>
        <w:t>PRODUITS DE LA PECHE TOXIQUES</w:t>
      </w:r>
    </w:p>
    <w:p w14:paraId="12CFE4E2"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4C8C5E75"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Des contrôles doivent être effectués pour veiller à ce que les produits de la pêche ci-après ne soient pas mis sur le marché :</w:t>
      </w:r>
    </w:p>
    <w:p w14:paraId="40109CB9"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58594676" w14:textId="77777777" w:rsidR="00E34453" w:rsidRPr="005E1EA7" w:rsidRDefault="00E34453" w:rsidP="00E34453">
      <w:pPr>
        <w:autoSpaceDE w:val="0"/>
        <w:autoSpaceDN w:val="0"/>
        <w:adjustRightInd w:val="0"/>
        <w:ind w:left="284" w:hanging="284"/>
        <w:jc w:val="both"/>
        <w:rPr>
          <w:rFonts w:ascii="Tahoma" w:hAnsi="Tahoma" w:cs="Tahoma"/>
          <w:sz w:val="20"/>
          <w:szCs w:val="20"/>
        </w:rPr>
      </w:pPr>
      <w:r w:rsidRPr="005E1EA7">
        <w:rPr>
          <w:rFonts w:ascii="Tahoma" w:hAnsi="Tahoma" w:cs="Tahoma"/>
          <w:sz w:val="20"/>
          <w:szCs w:val="20"/>
        </w:rPr>
        <w:t xml:space="preserve">1. </w:t>
      </w:r>
      <w:r w:rsidRPr="005E1EA7">
        <w:rPr>
          <w:rFonts w:ascii="Tahoma" w:eastAsia="EUAlbertina-Regular-Identity-H" w:hAnsi="Tahoma" w:cs="Tahoma"/>
          <w:sz w:val="20"/>
          <w:szCs w:val="20"/>
        </w:rPr>
        <w:t>les</w:t>
      </w:r>
      <w:r w:rsidRPr="005E1EA7">
        <w:rPr>
          <w:rFonts w:ascii="Tahoma" w:hAnsi="Tahoma" w:cs="Tahoma"/>
          <w:sz w:val="20"/>
          <w:szCs w:val="20"/>
        </w:rPr>
        <w:t xml:space="preserve"> produits de la pêche dérivés de poissons toxiques des familles suivantes ne doivent pas être mis sur le marché : </w:t>
      </w:r>
      <w:r w:rsidRPr="005E1EA7">
        <w:rPr>
          <w:rFonts w:ascii="Tahoma" w:hAnsi="Tahoma" w:cs="Tahoma"/>
          <w:i/>
          <w:iCs/>
          <w:sz w:val="20"/>
          <w:szCs w:val="20"/>
        </w:rPr>
        <w:t>Tétraodontidae, Molidae, Diodontidae et Canthigastéridae</w:t>
      </w:r>
      <w:r w:rsidRPr="005E1EA7">
        <w:rPr>
          <w:rFonts w:ascii="Tahoma" w:hAnsi="Tahoma" w:cs="Tahoma"/>
          <w:sz w:val="20"/>
          <w:szCs w:val="20"/>
        </w:rPr>
        <w:t xml:space="preserve">. Les produits de la pêche frais, préparés et transformés de la famille des </w:t>
      </w:r>
      <w:r w:rsidRPr="005E1EA7">
        <w:rPr>
          <w:rFonts w:ascii="Tahoma" w:hAnsi="Tahoma" w:cs="Tahoma"/>
          <w:i/>
          <w:iCs/>
          <w:sz w:val="20"/>
          <w:szCs w:val="20"/>
        </w:rPr>
        <w:t>Gempylidae</w:t>
      </w:r>
      <w:r w:rsidRPr="005E1EA7">
        <w:rPr>
          <w:rFonts w:ascii="Tahoma" w:hAnsi="Tahoma" w:cs="Tahoma"/>
          <w:sz w:val="20"/>
          <w:szCs w:val="20"/>
        </w:rPr>
        <w:t xml:space="preserve">, notamment </w:t>
      </w:r>
      <w:r w:rsidRPr="005E1EA7">
        <w:rPr>
          <w:rFonts w:ascii="Tahoma" w:hAnsi="Tahoma" w:cs="Tahoma"/>
          <w:i/>
          <w:iCs/>
          <w:sz w:val="20"/>
          <w:szCs w:val="20"/>
        </w:rPr>
        <w:t>Ruvettus pretiosus</w:t>
      </w:r>
      <w:r w:rsidRPr="005E1EA7">
        <w:rPr>
          <w:rFonts w:ascii="Tahoma" w:hAnsi="Tahoma" w:cs="Tahoma"/>
          <w:sz w:val="20"/>
          <w:szCs w:val="20"/>
        </w:rPr>
        <w:t xml:space="preserve"> et </w:t>
      </w:r>
      <w:r w:rsidRPr="005E1EA7">
        <w:rPr>
          <w:rFonts w:ascii="Tahoma" w:hAnsi="Tahoma" w:cs="Tahoma"/>
          <w:i/>
          <w:iCs/>
          <w:sz w:val="20"/>
          <w:szCs w:val="20"/>
        </w:rPr>
        <w:t>Lepidocybium flavobrunneum</w:t>
      </w:r>
      <w:r w:rsidRPr="005E1EA7">
        <w:rPr>
          <w:rFonts w:ascii="Tahoma" w:hAnsi="Tahoma" w:cs="Tahoma"/>
          <w:sz w:val="20"/>
          <w:szCs w:val="20"/>
        </w:rPr>
        <w:t xml:space="preserve">, ne peuvent être mis sur le marché que conditionnés ou emballés et doivent être étiquetés de manière appropriée afin d'informer le consommateur des méthodes de préparation et/ou de cuisson, ainsi que du risque lié à la présence de substances susceptibles de causer des troubles </w:t>
      </w:r>
      <w:proofErr w:type="gramStart"/>
      <w:r w:rsidRPr="005E1EA7">
        <w:rPr>
          <w:rFonts w:ascii="Tahoma" w:hAnsi="Tahoma" w:cs="Tahoma"/>
          <w:sz w:val="20"/>
          <w:szCs w:val="20"/>
        </w:rPr>
        <w:t>gastro</w:t>
      </w:r>
      <w:proofErr w:type="gramEnd"/>
      <w:r w:rsidRPr="005E1EA7">
        <w:rPr>
          <w:rFonts w:ascii="Tahoma" w:hAnsi="Tahoma" w:cs="Tahoma"/>
          <w:sz w:val="20"/>
          <w:szCs w:val="20"/>
        </w:rPr>
        <w:t>-intestinaux. Le nom scientifique doit accompagner l'appellation commune sur l'étiquette.</w:t>
      </w:r>
    </w:p>
    <w:p w14:paraId="73F1143A"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02A1DC7A" w14:textId="77777777" w:rsidR="00E34453" w:rsidRPr="005E1EA7" w:rsidRDefault="00E34453" w:rsidP="00E34453">
      <w:pPr>
        <w:autoSpaceDE w:val="0"/>
        <w:autoSpaceDN w:val="0"/>
        <w:adjustRightInd w:val="0"/>
        <w:ind w:left="284" w:hanging="284"/>
        <w:jc w:val="both"/>
        <w:rPr>
          <w:rFonts w:ascii="Tahoma" w:hAnsi="Tahoma" w:cs="Tahoma"/>
          <w:sz w:val="20"/>
          <w:szCs w:val="20"/>
        </w:rPr>
      </w:pPr>
      <w:r w:rsidRPr="005E1EA7">
        <w:rPr>
          <w:rFonts w:ascii="Tahoma" w:eastAsia="EUAlbertina-Regular-Identity-H" w:hAnsi="Tahoma" w:cs="Tahoma"/>
          <w:sz w:val="20"/>
          <w:szCs w:val="20"/>
        </w:rPr>
        <w:t xml:space="preserve">2. les produits de la pêche contenant des biotoxines, telles que la </w:t>
      </w:r>
      <w:r w:rsidRPr="005E1EA7">
        <w:rPr>
          <w:rFonts w:ascii="Tahoma" w:eastAsia="EUAlbertina-Italic-Identity-H" w:hAnsi="Tahoma" w:cs="Tahoma"/>
          <w:i/>
          <w:iCs/>
          <w:sz w:val="20"/>
          <w:szCs w:val="20"/>
        </w:rPr>
        <w:t xml:space="preserve">ciguatera </w:t>
      </w:r>
      <w:r w:rsidRPr="005E1EA7">
        <w:rPr>
          <w:rFonts w:ascii="Tahoma" w:eastAsia="EUAlbertina-Regular-Identity-H" w:hAnsi="Tahoma" w:cs="Tahoma"/>
          <w:sz w:val="20"/>
          <w:szCs w:val="20"/>
        </w:rPr>
        <w:t xml:space="preserve">ou d’autres toxines dangereuses pour la santé humaine. Toutefois, les produits de la pêche dérivés de mollusques bivalves peuvent être mis sur le marché s’ils ont été produits conformément à </w:t>
      </w:r>
      <w:r w:rsidRPr="005E1EA7">
        <w:rPr>
          <w:rFonts w:ascii="Tahoma" w:hAnsi="Tahoma" w:cs="Tahoma"/>
          <w:sz w:val="20"/>
          <w:szCs w:val="20"/>
        </w:rPr>
        <w:t xml:space="preserve">l’arrêté fixant les </w:t>
      </w:r>
      <w:r w:rsidRPr="005E1EA7">
        <w:rPr>
          <w:rFonts w:ascii="Tahoma" w:hAnsi="Tahoma" w:cs="Tahoma"/>
          <w:bCs/>
          <w:sz w:val="20"/>
          <w:szCs w:val="20"/>
        </w:rPr>
        <w:t xml:space="preserve">critères microbiologiques, chimiques </w:t>
      </w:r>
      <w:r w:rsidRPr="005E1EA7">
        <w:rPr>
          <w:rFonts w:ascii="Tahoma" w:eastAsia="EUAlbertina-Regular-Identity-H" w:hAnsi="Tahoma" w:cs="Tahoma"/>
          <w:bCs/>
          <w:sz w:val="20"/>
          <w:szCs w:val="20"/>
        </w:rPr>
        <w:t xml:space="preserve">et biotoxines marines </w:t>
      </w:r>
      <w:r w:rsidRPr="005E1EA7">
        <w:rPr>
          <w:rFonts w:ascii="Tahoma" w:hAnsi="Tahoma" w:cs="Tahoma"/>
          <w:bCs/>
          <w:sz w:val="20"/>
          <w:szCs w:val="20"/>
        </w:rPr>
        <w:t>applicables aux mollusques bivalves vivants et aux produits de la pêche</w:t>
      </w:r>
      <w:r w:rsidRPr="005E1EA7">
        <w:rPr>
          <w:rFonts w:ascii="Tahoma" w:hAnsi="Tahoma" w:cs="Tahoma"/>
          <w:sz w:val="20"/>
          <w:szCs w:val="20"/>
        </w:rPr>
        <w:t>.</w:t>
      </w:r>
    </w:p>
    <w:p w14:paraId="1693DAE9" w14:textId="77777777" w:rsidR="00E34453" w:rsidRPr="005E1EA7" w:rsidRDefault="00E34453" w:rsidP="00E34453">
      <w:pPr>
        <w:autoSpaceDE w:val="0"/>
        <w:autoSpaceDN w:val="0"/>
        <w:adjustRightInd w:val="0"/>
        <w:ind w:left="284" w:hanging="284"/>
        <w:jc w:val="both"/>
        <w:rPr>
          <w:rFonts w:ascii="Tahoma" w:hAnsi="Tahoma" w:cs="Tahoma"/>
          <w:sz w:val="20"/>
          <w:szCs w:val="20"/>
        </w:rPr>
      </w:pPr>
    </w:p>
    <w:p w14:paraId="4141E507" w14:textId="77777777" w:rsidR="00E34453" w:rsidRPr="005E1EA7" w:rsidRDefault="00E34453" w:rsidP="00E34453">
      <w:pPr>
        <w:autoSpaceDE w:val="0"/>
        <w:autoSpaceDN w:val="0"/>
        <w:adjustRightInd w:val="0"/>
        <w:jc w:val="center"/>
        <w:rPr>
          <w:rFonts w:ascii="Tahoma" w:eastAsia="EUAlbertina-Regular-Identity-H" w:hAnsi="Tahoma" w:cs="Tahoma"/>
          <w:b/>
          <w:bCs/>
          <w:sz w:val="20"/>
          <w:szCs w:val="20"/>
        </w:rPr>
      </w:pPr>
      <w:r w:rsidRPr="005E1EA7">
        <w:rPr>
          <w:rFonts w:ascii="Tahoma" w:eastAsia="EUAlbertina-Regular-Identity-H" w:hAnsi="Tahoma" w:cs="Tahoma"/>
          <w:b/>
          <w:bCs/>
          <w:sz w:val="20"/>
          <w:szCs w:val="20"/>
        </w:rPr>
        <w:t>CHAPITRE III - DECISIONS CONSECUTIVES AUX CONTROLES</w:t>
      </w:r>
    </w:p>
    <w:p w14:paraId="17FC19DB"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3D78B802"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Les produits de la pêche doivent être déclarés impropres à la consommation humaine si :</w:t>
      </w:r>
    </w:p>
    <w:p w14:paraId="5B37E936"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0AFA9736" w14:textId="77777777" w:rsidR="00E34453" w:rsidRPr="005E1EA7" w:rsidRDefault="00E34453" w:rsidP="00E34453">
      <w:pPr>
        <w:autoSpaceDE w:val="0"/>
        <w:autoSpaceDN w:val="0"/>
        <w:adjustRightInd w:val="0"/>
        <w:ind w:left="284" w:hanging="284"/>
        <w:jc w:val="both"/>
        <w:rPr>
          <w:rFonts w:ascii="Tahoma" w:eastAsia="EUAlbertina-Regular-Identity-H" w:hAnsi="Tahoma" w:cs="Tahoma"/>
          <w:sz w:val="20"/>
          <w:szCs w:val="20"/>
        </w:rPr>
      </w:pPr>
      <w:r w:rsidRPr="005E1EA7">
        <w:rPr>
          <w:rFonts w:ascii="Tahoma" w:eastAsia="EUAlbertina-Regular-Identity-H" w:hAnsi="Tahoma" w:cs="Tahoma"/>
          <w:sz w:val="20"/>
          <w:szCs w:val="20"/>
        </w:rPr>
        <w:t>1. les contrôles organoleptiques, chimiques, physiques ou microbiologiques ou les examens de recherche de parasites révèlent qu’ils ne sont pas conformes à la législation ;</w:t>
      </w:r>
    </w:p>
    <w:p w14:paraId="4A8796E2"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4EB432A5" w14:textId="77777777" w:rsidR="00E34453" w:rsidRPr="005E1EA7" w:rsidRDefault="00E34453" w:rsidP="00E34453">
      <w:pPr>
        <w:autoSpaceDE w:val="0"/>
        <w:autoSpaceDN w:val="0"/>
        <w:adjustRightInd w:val="0"/>
        <w:ind w:left="284" w:hanging="284"/>
        <w:jc w:val="both"/>
        <w:rPr>
          <w:rFonts w:ascii="Tahoma" w:eastAsia="EUAlbertina-Regular-Identity-H" w:hAnsi="Tahoma" w:cs="Tahoma"/>
          <w:sz w:val="20"/>
          <w:szCs w:val="20"/>
        </w:rPr>
      </w:pPr>
      <w:r w:rsidRPr="005E1EA7">
        <w:rPr>
          <w:rFonts w:ascii="Tahoma" w:eastAsia="EUAlbertina-Regular-Identity-H" w:hAnsi="Tahoma" w:cs="Tahoma"/>
          <w:sz w:val="20"/>
          <w:szCs w:val="20"/>
        </w:rPr>
        <w:t>2. ils contiennent dans leurs parties comestibles des teneurs en contaminants ou des résidus dépassant les limites fixées par la législation ou à des niveaux tels que leur absorption alimentaire calculée dépasserait les doses journalières ou hebdomadaires admissibles pour les êtres humains ;</w:t>
      </w:r>
    </w:p>
    <w:p w14:paraId="7207B5E9"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2CDAA0E9"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3. ils proviennent de :</w:t>
      </w:r>
    </w:p>
    <w:p w14:paraId="5A5BC876"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0E262B17" w14:textId="77777777" w:rsidR="00E34453" w:rsidRPr="005E1EA7" w:rsidRDefault="00E34453" w:rsidP="00E34453">
      <w:pPr>
        <w:autoSpaceDE w:val="0"/>
        <w:autoSpaceDN w:val="0"/>
        <w:adjustRightInd w:val="0"/>
        <w:ind w:firstLine="708"/>
        <w:jc w:val="both"/>
        <w:rPr>
          <w:rFonts w:ascii="Tahoma" w:eastAsia="EUAlbertina-Regular-Identity-H" w:hAnsi="Tahoma" w:cs="Tahoma"/>
          <w:sz w:val="20"/>
          <w:szCs w:val="20"/>
        </w:rPr>
      </w:pPr>
      <w:r w:rsidRPr="005E1EA7">
        <w:rPr>
          <w:rFonts w:ascii="Tahoma" w:eastAsia="EUAlbertina-Regular-Identity-H" w:hAnsi="Tahoma" w:cs="Tahoma"/>
          <w:sz w:val="20"/>
          <w:szCs w:val="20"/>
        </w:rPr>
        <w:t>i) poissons toxiques,</w:t>
      </w:r>
    </w:p>
    <w:p w14:paraId="694FCB1F" w14:textId="77777777" w:rsidR="00E34453" w:rsidRPr="005E1EA7" w:rsidRDefault="00E34453" w:rsidP="00E34453">
      <w:pPr>
        <w:autoSpaceDE w:val="0"/>
        <w:autoSpaceDN w:val="0"/>
        <w:adjustRightInd w:val="0"/>
        <w:ind w:firstLine="708"/>
        <w:jc w:val="both"/>
        <w:rPr>
          <w:rFonts w:ascii="Tahoma" w:eastAsia="EUAlbertina-Regular-Identity-H" w:hAnsi="Tahoma" w:cs="Tahoma"/>
          <w:sz w:val="20"/>
          <w:szCs w:val="20"/>
        </w:rPr>
      </w:pPr>
    </w:p>
    <w:p w14:paraId="35306630" w14:textId="77777777" w:rsidR="00E34453" w:rsidRPr="005E1EA7" w:rsidRDefault="00E34453" w:rsidP="00E34453">
      <w:pPr>
        <w:autoSpaceDE w:val="0"/>
        <w:autoSpaceDN w:val="0"/>
        <w:adjustRightInd w:val="0"/>
        <w:ind w:left="284" w:firstLine="425"/>
        <w:jc w:val="both"/>
        <w:rPr>
          <w:rFonts w:ascii="Tahoma" w:eastAsia="EUAlbertina-Regular-Identity-H" w:hAnsi="Tahoma" w:cs="Tahoma"/>
          <w:sz w:val="20"/>
          <w:szCs w:val="20"/>
        </w:rPr>
      </w:pPr>
      <w:r w:rsidRPr="005E1EA7">
        <w:rPr>
          <w:rFonts w:ascii="Tahoma" w:eastAsia="EUAlbertina-Regular-Identity-H" w:hAnsi="Tahoma" w:cs="Tahoma"/>
          <w:sz w:val="20"/>
          <w:szCs w:val="20"/>
        </w:rPr>
        <w:t>ii) produits de la pêche ne satisfaisant pas aux exigences du chapitre II, partie G, point 2, concernant les biotoxines,</w:t>
      </w:r>
    </w:p>
    <w:p w14:paraId="1CCD17EE" w14:textId="77777777" w:rsidR="00E34453" w:rsidRPr="005E1EA7" w:rsidRDefault="00E34453" w:rsidP="00E34453">
      <w:pPr>
        <w:autoSpaceDE w:val="0"/>
        <w:autoSpaceDN w:val="0"/>
        <w:adjustRightInd w:val="0"/>
        <w:ind w:left="708"/>
        <w:jc w:val="both"/>
        <w:rPr>
          <w:rFonts w:ascii="Tahoma" w:eastAsia="EUAlbertina-Regular-Identity-H" w:hAnsi="Tahoma" w:cs="Tahoma"/>
          <w:sz w:val="20"/>
          <w:szCs w:val="20"/>
        </w:rPr>
      </w:pPr>
    </w:p>
    <w:p w14:paraId="031BCCCC" w14:textId="77777777" w:rsidR="00E34453" w:rsidRPr="005E1EA7" w:rsidRDefault="00E34453" w:rsidP="00E34453">
      <w:pPr>
        <w:autoSpaceDE w:val="0"/>
        <w:autoSpaceDN w:val="0"/>
        <w:adjustRightInd w:val="0"/>
        <w:ind w:left="851" w:hanging="142"/>
        <w:jc w:val="both"/>
        <w:rPr>
          <w:rFonts w:ascii="Tahoma" w:eastAsia="EUAlbertina-Regular-Identity-H" w:hAnsi="Tahoma" w:cs="Tahoma"/>
          <w:sz w:val="20"/>
          <w:szCs w:val="20"/>
        </w:rPr>
      </w:pPr>
      <w:r w:rsidRPr="005E1EA7">
        <w:rPr>
          <w:rFonts w:ascii="Tahoma" w:eastAsia="EUAlbertina-Regular-Identity-H" w:hAnsi="Tahoma" w:cs="Tahoma"/>
          <w:sz w:val="20"/>
          <w:szCs w:val="20"/>
        </w:rPr>
        <w:t xml:space="preserve">iii) mollusques bivalves contenant une quantité totale de biotoxines marines qui dépasse les limites visées dans </w:t>
      </w:r>
      <w:r w:rsidRPr="005E1EA7">
        <w:rPr>
          <w:rFonts w:ascii="Tahoma" w:hAnsi="Tahoma" w:cs="Tahoma"/>
          <w:sz w:val="20"/>
          <w:szCs w:val="20"/>
        </w:rPr>
        <w:t xml:space="preserve">l’arrêté fixant les </w:t>
      </w:r>
      <w:r w:rsidRPr="005E1EA7">
        <w:rPr>
          <w:rFonts w:ascii="Tahoma" w:hAnsi="Tahoma" w:cs="Tahoma"/>
          <w:bCs/>
          <w:sz w:val="20"/>
          <w:szCs w:val="20"/>
        </w:rPr>
        <w:t xml:space="preserve">critères microbiologiques, chimiques </w:t>
      </w:r>
      <w:r w:rsidRPr="005E1EA7">
        <w:rPr>
          <w:rFonts w:ascii="Tahoma" w:eastAsia="EUAlbertina-Regular-Identity-H" w:hAnsi="Tahoma" w:cs="Tahoma"/>
          <w:bCs/>
          <w:sz w:val="20"/>
          <w:szCs w:val="20"/>
        </w:rPr>
        <w:t xml:space="preserve">et biotoxines marines </w:t>
      </w:r>
      <w:r w:rsidRPr="005E1EA7">
        <w:rPr>
          <w:rFonts w:ascii="Tahoma" w:hAnsi="Tahoma" w:cs="Tahoma"/>
          <w:bCs/>
          <w:sz w:val="20"/>
          <w:szCs w:val="20"/>
        </w:rPr>
        <w:t>applicables aux mollusques bivalves vivants et aux produits de la pêche</w:t>
      </w:r>
      <w:r w:rsidRPr="005E1EA7">
        <w:rPr>
          <w:rFonts w:ascii="Tahoma" w:hAnsi="Tahoma" w:cs="Tahoma"/>
          <w:sz w:val="20"/>
          <w:szCs w:val="20"/>
        </w:rPr>
        <w:t>.</w:t>
      </w:r>
    </w:p>
    <w:p w14:paraId="5C8C5E96" w14:textId="77777777" w:rsidR="00E34453" w:rsidRPr="005E1EA7" w:rsidRDefault="00E34453" w:rsidP="00E34453">
      <w:pPr>
        <w:autoSpaceDE w:val="0"/>
        <w:autoSpaceDN w:val="0"/>
        <w:adjustRightInd w:val="0"/>
        <w:jc w:val="both"/>
        <w:rPr>
          <w:rFonts w:ascii="Tahoma" w:eastAsia="EUAlbertina-Regular-Identity-H" w:hAnsi="Tahoma" w:cs="Tahoma"/>
          <w:sz w:val="20"/>
          <w:szCs w:val="20"/>
        </w:rPr>
      </w:pPr>
    </w:p>
    <w:p w14:paraId="3764B013" w14:textId="77777777" w:rsidR="00E34453" w:rsidRDefault="00E34453" w:rsidP="00E34453">
      <w:pPr>
        <w:autoSpaceDE w:val="0"/>
        <w:autoSpaceDN w:val="0"/>
        <w:adjustRightInd w:val="0"/>
        <w:ind w:left="284" w:hanging="284"/>
        <w:jc w:val="both"/>
        <w:rPr>
          <w:rFonts w:ascii="Tahoma" w:eastAsia="EUAlbertina-Regular-Identity-H" w:hAnsi="Tahoma" w:cs="Tahoma"/>
          <w:sz w:val="20"/>
          <w:szCs w:val="20"/>
        </w:rPr>
      </w:pPr>
      <w:r w:rsidRPr="005E1EA7">
        <w:rPr>
          <w:rFonts w:ascii="Tahoma" w:eastAsia="EUAlbertina-Regular-Identity-H" w:hAnsi="Tahoma" w:cs="Tahoma"/>
          <w:sz w:val="20"/>
          <w:szCs w:val="20"/>
        </w:rPr>
        <w:t>4. les autorités compétentes estiment qu’ils peuvent constituer un risque pour la santé publique ou sont, pour tout autre motif, impropres à la consommation humaine.</w:t>
      </w:r>
    </w:p>
    <w:p w14:paraId="6575A527" w14:textId="77777777" w:rsidR="00E34453" w:rsidRDefault="00E34453" w:rsidP="00E34453">
      <w:pPr>
        <w:autoSpaceDE w:val="0"/>
        <w:autoSpaceDN w:val="0"/>
        <w:adjustRightInd w:val="0"/>
        <w:ind w:left="284" w:hanging="284"/>
        <w:jc w:val="both"/>
        <w:rPr>
          <w:rFonts w:ascii="Tahoma" w:eastAsia="EUAlbertina-Regular-Identity-H" w:hAnsi="Tahoma" w:cs="Tahoma"/>
          <w:sz w:val="20"/>
          <w:szCs w:val="20"/>
        </w:rPr>
      </w:pPr>
    </w:p>
    <w:p w14:paraId="5BEB366A" w14:textId="77777777" w:rsidR="00E34453" w:rsidRDefault="00E34453" w:rsidP="00E34453">
      <w:pPr>
        <w:autoSpaceDE w:val="0"/>
        <w:autoSpaceDN w:val="0"/>
        <w:adjustRightInd w:val="0"/>
        <w:ind w:left="284" w:hanging="284"/>
        <w:jc w:val="both"/>
        <w:rPr>
          <w:rFonts w:ascii="Tahoma" w:eastAsia="EUAlbertina-Regular-Identity-H" w:hAnsi="Tahoma" w:cs="Tahoma"/>
          <w:sz w:val="20"/>
          <w:szCs w:val="20"/>
        </w:rPr>
      </w:pPr>
    </w:p>
    <w:p w14:paraId="58E06D42" w14:textId="45714472" w:rsidR="00E34453" w:rsidRDefault="00E34453">
      <w:pPr>
        <w:rPr>
          <w:rFonts w:ascii="Tahoma" w:eastAsia="EUAlbertina-Regular-Identity-H" w:hAnsi="Tahoma" w:cs="Tahoma"/>
          <w:sz w:val="20"/>
          <w:szCs w:val="20"/>
        </w:rPr>
      </w:pPr>
      <w:r>
        <w:rPr>
          <w:rFonts w:ascii="Tahoma" w:eastAsia="EUAlbertina-Regular-Identity-H" w:hAnsi="Tahoma" w:cs="Tahoma"/>
          <w:sz w:val="20"/>
          <w:szCs w:val="20"/>
        </w:rPr>
        <w:br w:type="page"/>
      </w:r>
    </w:p>
    <w:p w14:paraId="55801087" w14:textId="1B0F8EBD" w:rsidR="003D69A8" w:rsidRPr="001D02B9" w:rsidRDefault="003D69A8" w:rsidP="00523732">
      <w:pPr>
        <w:pStyle w:val="Titre1"/>
        <w:pBdr>
          <w:top w:val="thinThickMediumGap" w:sz="24" w:space="1" w:color="70AD47" w:themeColor="accent6"/>
          <w:left w:val="thinThickMediumGap" w:sz="24" w:space="4" w:color="70AD47" w:themeColor="accent6"/>
          <w:bottom w:val="thickThinMediumGap" w:sz="24" w:space="1" w:color="70AD47" w:themeColor="accent6"/>
          <w:right w:val="thickThinMediumGap" w:sz="24" w:space="4" w:color="70AD47" w:themeColor="accent6"/>
        </w:pBdr>
        <w:jc w:val="both"/>
        <w:rPr>
          <w:rFonts w:ascii="Tahoma" w:hAnsi="Tahoma" w:cs="Tahoma"/>
          <w:color w:val="000000" w:themeColor="text1"/>
          <w:szCs w:val="22"/>
        </w:rPr>
      </w:pPr>
      <w:bookmarkStart w:id="215" w:name="_Toc202214700"/>
      <w:r w:rsidRPr="001D02B9">
        <w:rPr>
          <w:rFonts w:ascii="Tahoma" w:hAnsi="Tahoma" w:cs="Tahoma"/>
          <w:color w:val="000000" w:themeColor="text1"/>
          <w:szCs w:val="22"/>
        </w:rPr>
        <w:lastRenderedPageBreak/>
        <w:t xml:space="preserve">Arrête conjoint </w:t>
      </w:r>
      <w:r w:rsidR="000C7952" w:rsidRPr="001D02B9">
        <w:rPr>
          <w:rFonts w:ascii="Tahoma" w:hAnsi="Tahoma" w:cs="Tahoma"/>
          <w:color w:val="000000" w:themeColor="text1"/>
          <w:szCs w:val="22"/>
        </w:rPr>
        <w:t>n°</w:t>
      </w:r>
      <w:r w:rsidR="001D02B9" w:rsidRPr="001D02B9">
        <w:rPr>
          <w:rFonts w:ascii="Tahoma" w:hAnsi="Tahoma" w:cs="Tahoma"/>
          <w:color w:val="000000" w:themeColor="text1"/>
          <w:szCs w:val="22"/>
        </w:rPr>
        <w:t xml:space="preserve"> 000738</w:t>
      </w:r>
      <w:r w:rsidR="000C7952" w:rsidRPr="001D02B9">
        <w:rPr>
          <w:rFonts w:ascii="Tahoma" w:hAnsi="Tahoma" w:cs="Tahoma"/>
          <w:color w:val="000000" w:themeColor="text1"/>
          <w:szCs w:val="22"/>
        </w:rPr>
        <w:t xml:space="preserve"> du </w:t>
      </w:r>
      <w:r w:rsidR="001D02B9" w:rsidRPr="001D02B9">
        <w:rPr>
          <w:rFonts w:ascii="Tahoma" w:hAnsi="Tahoma" w:cs="Tahoma"/>
          <w:color w:val="000000" w:themeColor="text1"/>
          <w:szCs w:val="22"/>
        </w:rPr>
        <w:t>30 juin 2025,</w:t>
      </w:r>
      <w:r w:rsidR="000C7952" w:rsidRPr="001D02B9">
        <w:rPr>
          <w:rFonts w:ascii="Tahoma" w:hAnsi="Tahoma" w:cs="Tahoma"/>
          <w:color w:val="000000" w:themeColor="text1"/>
          <w:szCs w:val="22"/>
        </w:rPr>
        <w:t xml:space="preserve"> </w:t>
      </w:r>
      <w:r w:rsidRPr="001D02B9">
        <w:rPr>
          <w:rFonts w:ascii="Tahoma" w:hAnsi="Tahoma" w:cs="Tahoma"/>
          <w:color w:val="000000" w:themeColor="text1"/>
          <w:szCs w:val="22"/>
        </w:rPr>
        <w:t>portant critères microbiologiques, chimiques et biotoxines marines applicables aux produits de la pêche et de l’aquaculture et les méthodes d’analyse à utiliser</w:t>
      </w:r>
      <w:bookmarkEnd w:id="215"/>
    </w:p>
    <w:p w14:paraId="6423A9B4" w14:textId="77777777" w:rsidR="008162C8" w:rsidRPr="008162C8" w:rsidRDefault="008162C8" w:rsidP="003D69A8">
      <w:pPr>
        <w:jc w:val="both"/>
        <w:rPr>
          <w:rFonts w:ascii="Tahoma" w:hAnsi="Tahoma" w:cs="Tahoma"/>
          <w:sz w:val="20"/>
          <w:szCs w:val="20"/>
        </w:rPr>
      </w:pPr>
    </w:p>
    <w:p w14:paraId="1BBA3662" w14:textId="77777777" w:rsidR="008162C8" w:rsidRPr="008162C8" w:rsidRDefault="008162C8" w:rsidP="008162C8">
      <w:pPr>
        <w:autoSpaceDE w:val="0"/>
        <w:autoSpaceDN w:val="0"/>
        <w:adjustRightInd w:val="0"/>
        <w:jc w:val="center"/>
        <w:rPr>
          <w:rFonts w:ascii="Tahoma" w:hAnsi="Tahoma" w:cs="Tahoma"/>
          <w:b/>
          <w:bCs/>
          <w:sz w:val="20"/>
          <w:szCs w:val="20"/>
        </w:rPr>
      </w:pPr>
      <w:r w:rsidRPr="008162C8">
        <w:rPr>
          <w:rFonts w:ascii="Tahoma" w:hAnsi="Tahoma" w:cs="Tahoma"/>
          <w:b/>
          <w:bCs/>
          <w:sz w:val="20"/>
          <w:szCs w:val="20"/>
        </w:rPr>
        <w:t>CHAPITRE PREMIER– DISPOSITIONS GENERALES</w:t>
      </w:r>
    </w:p>
    <w:p w14:paraId="0D00D6DD" w14:textId="77777777" w:rsidR="008162C8" w:rsidRPr="008162C8" w:rsidRDefault="008162C8" w:rsidP="005E1EA7">
      <w:pPr>
        <w:autoSpaceDE w:val="0"/>
        <w:autoSpaceDN w:val="0"/>
        <w:adjustRightInd w:val="0"/>
        <w:jc w:val="both"/>
        <w:rPr>
          <w:rFonts w:ascii="Tahoma" w:hAnsi="Tahoma" w:cs="Tahoma"/>
          <w:b/>
          <w:sz w:val="20"/>
          <w:szCs w:val="20"/>
          <w:u w:val="single"/>
        </w:rPr>
      </w:pPr>
    </w:p>
    <w:p w14:paraId="68914F96" w14:textId="51C4FBE8" w:rsidR="005E1EA7" w:rsidRPr="008162C8" w:rsidRDefault="005E1EA7" w:rsidP="005E1EA7">
      <w:pPr>
        <w:autoSpaceDE w:val="0"/>
        <w:autoSpaceDN w:val="0"/>
        <w:adjustRightInd w:val="0"/>
        <w:jc w:val="both"/>
        <w:rPr>
          <w:rFonts w:ascii="Tahoma" w:hAnsi="Tahoma" w:cs="Tahoma"/>
          <w:sz w:val="20"/>
          <w:szCs w:val="20"/>
        </w:rPr>
      </w:pPr>
      <w:r w:rsidRPr="008162C8">
        <w:rPr>
          <w:rFonts w:ascii="Tahoma" w:hAnsi="Tahoma" w:cs="Tahoma"/>
          <w:b/>
          <w:sz w:val="20"/>
          <w:szCs w:val="20"/>
          <w:u w:val="single"/>
        </w:rPr>
        <w:t>Article premier</w:t>
      </w:r>
      <w:r w:rsidRPr="008162C8">
        <w:rPr>
          <w:rFonts w:ascii="Tahoma" w:hAnsi="Tahoma" w:cs="Tahoma"/>
          <w:sz w:val="20"/>
          <w:szCs w:val="20"/>
        </w:rPr>
        <w:t xml:space="preserve"> - Objet et champ d'application</w:t>
      </w:r>
    </w:p>
    <w:p w14:paraId="29A71233" w14:textId="77777777" w:rsidR="005E1EA7" w:rsidRPr="008162C8" w:rsidRDefault="005E1EA7" w:rsidP="005E1EA7">
      <w:pPr>
        <w:autoSpaceDE w:val="0"/>
        <w:autoSpaceDN w:val="0"/>
        <w:adjustRightInd w:val="0"/>
        <w:jc w:val="both"/>
        <w:rPr>
          <w:rFonts w:ascii="Tahoma" w:hAnsi="Tahoma" w:cs="Tahoma"/>
          <w:sz w:val="20"/>
          <w:szCs w:val="20"/>
        </w:rPr>
      </w:pPr>
    </w:p>
    <w:p w14:paraId="0971E6CD" w14:textId="77777777" w:rsidR="005E1EA7" w:rsidRPr="008162C8" w:rsidRDefault="005E1EA7" w:rsidP="005E1EA7">
      <w:pPr>
        <w:jc w:val="both"/>
        <w:rPr>
          <w:rFonts w:ascii="Tahoma" w:hAnsi="Tahoma" w:cs="Tahoma"/>
          <w:bCs/>
          <w:sz w:val="20"/>
          <w:szCs w:val="20"/>
        </w:rPr>
      </w:pPr>
      <w:r w:rsidRPr="008162C8">
        <w:rPr>
          <w:rFonts w:ascii="Tahoma" w:hAnsi="Tahoma" w:cs="Tahoma"/>
          <w:sz w:val="20"/>
          <w:szCs w:val="20"/>
        </w:rPr>
        <w:t>En application de l’article 4 du décret n° 94.030 du 8 mars 1994 relatif aux normes d’hygiène et de salubrité et aux conditions d’inspection sanitaire et de contrôle régissant la production et la mise sur le marché des produits de la pêche, le présent arrêté a pour objet de définir les critères microbiologiques, chimiques et biotoxines marines applicables aux produits de la pêche et de l’aquaculture</w:t>
      </w:r>
      <w:r w:rsidRPr="008162C8">
        <w:rPr>
          <w:rFonts w:ascii="Tahoma" w:hAnsi="Tahoma" w:cs="Tahoma"/>
          <w:bCs/>
          <w:sz w:val="20"/>
          <w:szCs w:val="20"/>
        </w:rPr>
        <w:t>, ainsi que les méthodes d’analyse à utiliser.</w:t>
      </w:r>
    </w:p>
    <w:p w14:paraId="71B009C1" w14:textId="77777777" w:rsidR="005E1EA7" w:rsidRPr="008162C8" w:rsidRDefault="005E1EA7" w:rsidP="005E1EA7">
      <w:pPr>
        <w:ind w:left="360" w:hanging="360"/>
        <w:jc w:val="both"/>
        <w:rPr>
          <w:rFonts w:ascii="Tahoma" w:hAnsi="Tahoma" w:cs="Tahoma"/>
          <w:sz w:val="20"/>
          <w:szCs w:val="20"/>
        </w:rPr>
      </w:pPr>
    </w:p>
    <w:p w14:paraId="097335AA" w14:textId="77777777" w:rsidR="005E1EA7" w:rsidRPr="008162C8" w:rsidRDefault="005E1EA7" w:rsidP="005E1EA7">
      <w:pPr>
        <w:autoSpaceDE w:val="0"/>
        <w:autoSpaceDN w:val="0"/>
        <w:adjustRightInd w:val="0"/>
        <w:jc w:val="both"/>
        <w:rPr>
          <w:rFonts w:ascii="Tahoma" w:hAnsi="Tahoma" w:cs="Tahoma"/>
          <w:b/>
          <w:sz w:val="20"/>
          <w:szCs w:val="20"/>
        </w:rPr>
      </w:pPr>
      <w:r w:rsidRPr="008162C8">
        <w:rPr>
          <w:rFonts w:ascii="Tahoma" w:hAnsi="Tahoma" w:cs="Tahoma"/>
          <w:b/>
          <w:sz w:val="20"/>
          <w:szCs w:val="20"/>
          <w:u w:val="single"/>
        </w:rPr>
        <w:t>Article 2</w:t>
      </w:r>
      <w:r w:rsidRPr="008162C8">
        <w:rPr>
          <w:rFonts w:ascii="Tahoma" w:hAnsi="Tahoma" w:cs="Tahoma"/>
          <w:b/>
          <w:sz w:val="20"/>
          <w:szCs w:val="20"/>
        </w:rPr>
        <w:t xml:space="preserve"> – Définitions</w:t>
      </w:r>
    </w:p>
    <w:p w14:paraId="23DE7AAC" w14:textId="77777777" w:rsidR="005E1EA7" w:rsidRPr="008162C8" w:rsidRDefault="005E1EA7" w:rsidP="005E1EA7">
      <w:pPr>
        <w:autoSpaceDE w:val="0"/>
        <w:autoSpaceDN w:val="0"/>
        <w:adjustRightInd w:val="0"/>
        <w:jc w:val="both"/>
        <w:rPr>
          <w:rFonts w:ascii="Tahoma" w:hAnsi="Tahoma" w:cs="Tahoma"/>
          <w:sz w:val="20"/>
          <w:szCs w:val="20"/>
        </w:rPr>
      </w:pPr>
      <w:r w:rsidRPr="008162C8">
        <w:rPr>
          <w:rFonts w:ascii="Tahoma" w:hAnsi="Tahoma" w:cs="Tahoma"/>
          <w:sz w:val="20"/>
          <w:szCs w:val="20"/>
        </w:rPr>
        <w:t>On entend par :</w:t>
      </w:r>
    </w:p>
    <w:p w14:paraId="2914F001" w14:textId="77777777" w:rsidR="005E1EA7" w:rsidRPr="008162C8" w:rsidRDefault="005E1EA7" w:rsidP="005E1EA7">
      <w:pPr>
        <w:autoSpaceDE w:val="0"/>
        <w:autoSpaceDN w:val="0"/>
        <w:adjustRightInd w:val="0"/>
        <w:jc w:val="both"/>
        <w:rPr>
          <w:rFonts w:ascii="Tahoma" w:hAnsi="Tahoma" w:cs="Tahoma"/>
          <w:sz w:val="20"/>
          <w:szCs w:val="20"/>
        </w:rPr>
      </w:pPr>
    </w:p>
    <w:p w14:paraId="23480FD6" w14:textId="77777777" w:rsidR="005E1EA7" w:rsidRPr="008162C8" w:rsidRDefault="005E1EA7" w:rsidP="00420DDA">
      <w:pPr>
        <w:pStyle w:val="Paragraphedeliste"/>
        <w:numPr>
          <w:ilvl w:val="0"/>
          <w:numId w:val="177"/>
        </w:numPr>
        <w:autoSpaceDE w:val="0"/>
        <w:autoSpaceDN w:val="0"/>
        <w:adjustRightInd w:val="0"/>
        <w:ind w:left="284"/>
        <w:jc w:val="both"/>
        <w:rPr>
          <w:rFonts w:ascii="Tahoma" w:hAnsi="Tahoma" w:cs="Tahoma"/>
          <w:sz w:val="20"/>
          <w:szCs w:val="20"/>
        </w:rPr>
      </w:pPr>
      <w:r w:rsidRPr="008162C8">
        <w:rPr>
          <w:rFonts w:ascii="Tahoma" w:hAnsi="Tahoma" w:cs="Tahoma"/>
          <w:sz w:val="20"/>
          <w:szCs w:val="20"/>
        </w:rPr>
        <w:t xml:space="preserve">« </w:t>
      </w:r>
      <w:proofErr w:type="gramStart"/>
      <w:r w:rsidRPr="008162C8">
        <w:rPr>
          <w:rFonts w:ascii="Tahoma" w:hAnsi="Tahoma" w:cs="Tahoma"/>
          <w:sz w:val="20"/>
          <w:szCs w:val="20"/>
        </w:rPr>
        <w:t>micro</w:t>
      </w:r>
      <w:proofErr w:type="gramEnd"/>
      <w:r w:rsidRPr="008162C8">
        <w:rPr>
          <w:rFonts w:ascii="Tahoma" w:hAnsi="Tahoma" w:cs="Tahoma"/>
          <w:sz w:val="20"/>
          <w:szCs w:val="20"/>
        </w:rPr>
        <w:t>-organismes » : les bactéries, les virus, les levures, les moisissures, les algues, les protozoaires parasites, les helminthes parasites microscopiques, ainsi que leurs toxines et métabolites.</w:t>
      </w:r>
    </w:p>
    <w:p w14:paraId="1E94446F" w14:textId="77777777" w:rsidR="005E1EA7" w:rsidRPr="008162C8" w:rsidRDefault="005E1EA7" w:rsidP="005E1EA7">
      <w:pPr>
        <w:autoSpaceDE w:val="0"/>
        <w:autoSpaceDN w:val="0"/>
        <w:adjustRightInd w:val="0"/>
        <w:jc w:val="both"/>
        <w:rPr>
          <w:rFonts w:ascii="Tahoma" w:hAnsi="Tahoma" w:cs="Tahoma"/>
          <w:sz w:val="20"/>
          <w:szCs w:val="20"/>
        </w:rPr>
      </w:pPr>
    </w:p>
    <w:p w14:paraId="391218F0" w14:textId="77777777" w:rsidR="005E1EA7" w:rsidRPr="008162C8" w:rsidRDefault="005E1EA7" w:rsidP="00420DDA">
      <w:pPr>
        <w:pStyle w:val="Paragraphedeliste"/>
        <w:numPr>
          <w:ilvl w:val="0"/>
          <w:numId w:val="177"/>
        </w:numPr>
        <w:autoSpaceDE w:val="0"/>
        <w:autoSpaceDN w:val="0"/>
        <w:adjustRightInd w:val="0"/>
        <w:ind w:left="284"/>
        <w:jc w:val="both"/>
        <w:rPr>
          <w:rFonts w:ascii="Tahoma" w:hAnsi="Tahoma" w:cs="Tahoma"/>
          <w:sz w:val="20"/>
          <w:szCs w:val="20"/>
        </w:rPr>
      </w:pPr>
      <w:r w:rsidRPr="008162C8">
        <w:rPr>
          <w:rFonts w:ascii="Tahoma" w:hAnsi="Tahoma" w:cs="Tahoma"/>
          <w:sz w:val="20"/>
          <w:szCs w:val="20"/>
        </w:rPr>
        <w:t xml:space="preserve"> « </w:t>
      </w:r>
      <w:proofErr w:type="gramStart"/>
      <w:r w:rsidRPr="008162C8">
        <w:rPr>
          <w:rFonts w:ascii="Tahoma" w:hAnsi="Tahoma" w:cs="Tahoma"/>
          <w:sz w:val="20"/>
          <w:szCs w:val="20"/>
        </w:rPr>
        <w:t>critère</w:t>
      </w:r>
      <w:proofErr w:type="gramEnd"/>
      <w:r w:rsidRPr="008162C8">
        <w:rPr>
          <w:rFonts w:ascii="Tahoma" w:hAnsi="Tahoma" w:cs="Tahoma"/>
          <w:sz w:val="20"/>
          <w:szCs w:val="20"/>
        </w:rPr>
        <w:t xml:space="preserve"> microbiologique » : un critère définissant l'acceptabilité d'un produit, d'un lot de mollusques bivalves vivants, de produits de la pêche ou d'un procédé, sur la détection et la non détection, du nombre de micro-organismes, et/ou de la quantité de leurs toxines/métabolites, par unité (s) de masse, volume, surface ou lot.</w:t>
      </w:r>
    </w:p>
    <w:p w14:paraId="06537506" w14:textId="77777777" w:rsidR="005E1EA7" w:rsidRPr="008162C8" w:rsidRDefault="005E1EA7" w:rsidP="005E1EA7">
      <w:pPr>
        <w:autoSpaceDE w:val="0"/>
        <w:autoSpaceDN w:val="0"/>
        <w:adjustRightInd w:val="0"/>
        <w:jc w:val="both"/>
        <w:rPr>
          <w:rFonts w:ascii="Tahoma" w:hAnsi="Tahoma" w:cs="Tahoma"/>
          <w:sz w:val="20"/>
          <w:szCs w:val="20"/>
        </w:rPr>
      </w:pPr>
    </w:p>
    <w:p w14:paraId="4ABD25BF" w14:textId="77777777" w:rsidR="005E1EA7" w:rsidRPr="008162C8" w:rsidRDefault="005E1EA7" w:rsidP="00420DDA">
      <w:pPr>
        <w:pStyle w:val="Paragraphedeliste"/>
        <w:numPr>
          <w:ilvl w:val="0"/>
          <w:numId w:val="177"/>
        </w:numPr>
        <w:autoSpaceDE w:val="0"/>
        <w:autoSpaceDN w:val="0"/>
        <w:adjustRightInd w:val="0"/>
        <w:ind w:left="284"/>
        <w:jc w:val="both"/>
        <w:rPr>
          <w:rFonts w:ascii="Tahoma" w:hAnsi="Tahoma" w:cs="Tahoma"/>
          <w:sz w:val="20"/>
          <w:szCs w:val="20"/>
        </w:rPr>
      </w:pPr>
      <w:r w:rsidRPr="008162C8">
        <w:rPr>
          <w:rFonts w:ascii="Tahoma" w:hAnsi="Tahoma" w:cs="Tahoma"/>
          <w:sz w:val="20"/>
          <w:szCs w:val="20"/>
        </w:rPr>
        <w:t xml:space="preserve"> « </w:t>
      </w:r>
      <w:proofErr w:type="gramStart"/>
      <w:r w:rsidRPr="008162C8">
        <w:rPr>
          <w:rFonts w:ascii="Tahoma" w:hAnsi="Tahoma" w:cs="Tahoma"/>
          <w:sz w:val="20"/>
          <w:szCs w:val="20"/>
        </w:rPr>
        <w:t>critère</w:t>
      </w:r>
      <w:proofErr w:type="gramEnd"/>
      <w:r w:rsidRPr="008162C8">
        <w:rPr>
          <w:rFonts w:ascii="Tahoma" w:hAnsi="Tahoma" w:cs="Tahoma"/>
          <w:sz w:val="20"/>
          <w:szCs w:val="20"/>
        </w:rPr>
        <w:t xml:space="preserve"> biotoxine marine » : un critère définissant l'acceptabilité d'un produit, d'un lot de mollusques bivalves vivants, sur la base d’une quantité de toxine par unité de masse ou d’une méthode biologique.</w:t>
      </w:r>
    </w:p>
    <w:p w14:paraId="555DDD90" w14:textId="77777777" w:rsidR="005E1EA7" w:rsidRPr="008162C8" w:rsidRDefault="005E1EA7" w:rsidP="005E1EA7">
      <w:pPr>
        <w:autoSpaceDE w:val="0"/>
        <w:autoSpaceDN w:val="0"/>
        <w:adjustRightInd w:val="0"/>
        <w:jc w:val="both"/>
        <w:rPr>
          <w:rFonts w:ascii="Tahoma" w:hAnsi="Tahoma" w:cs="Tahoma"/>
          <w:sz w:val="20"/>
          <w:szCs w:val="20"/>
        </w:rPr>
      </w:pPr>
    </w:p>
    <w:p w14:paraId="0D09BA9A" w14:textId="77777777" w:rsidR="005E1EA7" w:rsidRPr="008162C8" w:rsidRDefault="005E1EA7" w:rsidP="00420DDA">
      <w:pPr>
        <w:pStyle w:val="Paragraphedeliste"/>
        <w:numPr>
          <w:ilvl w:val="0"/>
          <w:numId w:val="177"/>
        </w:numPr>
        <w:autoSpaceDE w:val="0"/>
        <w:autoSpaceDN w:val="0"/>
        <w:adjustRightInd w:val="0"/>
        <w:ind w:left="284"/>
        <w:jc w:val="both"/>
        <w:rPr>
          <w:rFonts w:ascii="Tahoma" w:hAnsi="Tahoma" w:cs="Tahoma"/>
          <w:sz w:val="20"/>
          <w:szCs w:val="20"/>
        </w:rPr>
      </w:pPr>
      <w:r w:rsidRPr="008162C8">
        <w:rPr>
          <w:rFonts w:ascii="Tahoma" w:hAnsi="Tahoma" w:cs="Tahoma"/>
          <w:sz w:val="20"/>
          <w:szCs w:val="20"/>
        </w:rPr>
        <w:t xml:space="preserve"> « </w:t>
      </w:r>
      <w:proofErr w:type="gramStart"/>
      <w:r w:rsidRPr="008162C8">
        <w:rPr>
          <w:rFonts w:ascii="Tahoma" w:hAnsi="Tahoma" w:cs="Tahoma"/>
          <w:sz w:val="20"/>
          <w:szCs w:val="20"/>
        </w:rPr>
        <w:t>critère</w:t>
      </w:r>
      <w:proofErr w:type="gramEnd"/>
      <w:r w:rsidRPr="008162C8">
        <w:rPr>
          <w:rFonts w:ascii="Tahoma" w:hAnsi="Tahoma" w:cs="Tahoma"/>
          <w:sz w:val="20"/>
          <w:szCs w:val="20"/>
        </w:rPr>
        <w:t xml:space="preserve"> chimique » : un critère définissant l'acceptabilité d'un produit, d'un lot de mollusques bivalves vivants ou de produits de la pêche, sur la base d’une quantité par unité de masse.</w:t>
      </w:r>
    </w:p>
    <w:p w14:paraId="49485EE4" w14:textId="77777777" w:rsidR="005E1EA7" w:rsidRPr="008162C8" w:rsidRDefault="005E1EA7" w:rsidP="00420DDA">
      <w:pPr>
        <w:pStyle w:val="Paragraphedeliste"/>
        <w:numPr>
          <w:ilvl w:val="0"/>
          <w:numId w:val="177"/>
        </w:numPr>
        <w:autoSpaceDE w:val="0"/>
        <w:autoSpaceDN w:val="0"/>
        <w:adjustRightInd w:val="0"/>
        <w:ind w:left="284"/>
        <w:jc w:val="both"/>
        <w:rPr>
          <w:rFonts w:ascii="Tahoma" w:hAnsi="Tahoma" w:cs="Tahoma"/>
          <w:sz w:val="20"/>
          <w:szCs w:val="20"/>
        </w:rPr>
      </w:pPr>
      <w:r w:rsidRPr="008162C8">
        <w:rPr>
          <w:rFonts w:ascii="Tahoma" w:hAnsi="Tahoma" w:cs="Tahoma"/>
          <w:sz w:val="20"/>
          <w:szCs w:val="20"/>
        </w:rPr>
        <w:t xml:space="preserve"> « </w:t>
      </w:r>
      <w:proofErr w:type="gramStart"/>
      <w:r w:rsidRPr="008162C8">
        <w:rPr>
          <w:rFonts w:ascii="Tahoma" w:hAnsi="Tahoma" w:cs="Tahoma"/>
          <w:sz w:val="20"/>
          <w:szCs w:val="20"/>
        </w:rPr>
        <w:t>critère</w:t>
      </w:r>
      <w:proofErr w:type="gramEnd"/>
      <w:r w:rsidRPr="008162C8">
        <w:rPr>
          <w:rFonts w:ascii="Tahoma" w:hAnsi="Tahoma" w:cs="Tahoma"/>
          <w:sz w:val="20"/>
          <w:szCs w:val="20"/>
        </w:rPr>
        <w:t xml:space="preserve"> de sécurité des mollusques bivalves vivants et des produits de la pêche » : un critère définissant l'acceptabilité d'un produit ou d'un lot de mollusques bivalves vivants et de produits de la pêche, applicable aux produits mis sur le marché.</w:t>
      </w:r>
    </w:p>
    <w:p w14:paraId="786D2C76" w14:textId="77777777" w:rsidR="005E1EA7" w:rsidRPr="008162C8" w:rsidRDefault="005E1EA7" w:rsidP="005E1EA7">
      <w:pPr>
        <w:autoSpaceDE w:val="0"/>
        <w:autoSpaceDN w:val="0"/>
        <w:adjustRightInd w:val="0"/>
        <w:jc w:val="both"/>
        <w:rPr>
          <w:rFonts w:ascii="Tahoma" w:hAnsi="Tahoma" w:cs="Tahoma"/>
          <w:sz w:val="20"/>
          <w:szCs w:val="20"/>
        </w:rPr>
      </w:pPr>
    </w:p>
    <w:p w14:paraId="0F4FB0B1" w14:textId="77777777" w:rsidR="005E1EA7" w:rsidRPr="008162C8" w:rsidRDefault="005E1EA7" w:rsidP="00420DDA">
      <w:pPr>
        <w:pStyle w:val="Paragraphedeliste"/>
        <w:numPr>
          <w:ilvl w:val="0"/>
          <w:numId w:val="177"/>
        </w:numPr>
        <w:autoSpaceDE w:val="0"/>
        <w:autoSpaceDN w:val="0"/>
        <w:adjustRightInd w:val="0"/>
        <w:ind w:left="284"/>
        <w:jc w:val="both"/>
        <w:rPr>
          <w:rFonts w:ascii="Tahoma" w:hAnsi="Tahoma" w:cs="Tahoma"/>
          <w:sz w:val="20"/>
          <w:szCs w:val="20"/>
        </w:rPr>
      </w:pPr>
      <w:r w:rsidRPr="008162C8">
        <w:rPr>
          <w:rFonts w:ascii="Tahoma" w:hAnsi="Tahoma" w:cs="Tahoma"/>
          <w:sz w:val="20"/>
          <w:szCs w:val="20"/>
        </w:rPr>
        <w:t xml:space="preserve"> « </w:t>
      </w:r>
      <w:proofErr w:type="gramStart"/>
      <w:r w:rsidRPr="008162C8">
        <w:rPr>
          <w:rFonts w:ascii="Tahoma" w:hAnsi="Tahoma" w:cs="Tahoma"/>
          <w:sz w:val="20"/>
          <w:szCs w:val="20"/>
        </w:rPr>
        <w:t>critère</w:t>
      </w:r>
      <w:proofErr w:type="gramEnd"/>
      <w:r w:rsidRPr="008162C8">
        <w:rPr>
          <w:rFonts w:ascii="Tahoma" w:hAnsi="Tahoma" w:cs="Tahoma"/>
          <w:sz w:val="20"/>
          <w:szCs w:val="20"/>
        </w:rPr>
        <w:t xml:space="preserve"> d'hygiène du procédé » : un critère microbiologique indiquant l'acceptabilité du fonctionnement du procédé de production. Un tel critère n'est pas applicable aux produits mis sur le marché. Il fixe une valeur indicative de contamination dont le dépassement exige des mesures correctives destinées à maintenir l'hygiène du procédé conformément à la législation sur les mollusques bivalves vivants et les produits de la pêche.</w:t>
      </w:r>
    </w:p>
    <w:p w14:paraId="7F3A3982" w14:textId="77777777" w:rsidR="005E1EA7" w:rsidRPr="008162C8" w:rsidRDefault="005E1EA7" w:rsidP="005E1EA7">
      <w:pPr>
        <w:autoSpaceDE w:val="0"/>
        <w:autoSpaceDN w:val="0"/>
        <w:adjustRightInd w:val="0"/>
        <w:jc w:val="both"/>
        <w:rPr>
          <w:rFonts w:ascii="Tahoma" w:hAnsi="Tahoma" w:cs="Tahoma"/>
          <w:sz w:val="20"/>
          <w:szCs w:val="20"/>
        </w:rPr>
      </w:pPr>
    </w:p>
    <w:p w14:paraId="77BD2DCE" w14:textId="77777777" w:rsidR="005E1EA7" w:rsidRPr="008162C8" w:rsidRDefault="005E1EA7" w:rsidP="00420DDA">
      <w:pPr>
        <w:pStyle w:val="Paragraphedeliste"/>
        <w:numPr>
          <w:ilvl w:val="0"/>
          <w:numId w:val="177"/>
        </w:numPr>
        <w:autoSpaceDE w:val="0"/>
        <w:autoSpaceDN w:val="0"/>
        <w:adjustRightInd w:val="0"/>
        <w:ind w:left="284"/>
        <w:jc w:val="both"/>
        <w:rPr>
          <w:rFonts w:ascii="Tahoma" w:hAnsi="Tahoma" w:cs="Tahoma"/>
          <w:sz w:val="20"/>
          <w:szCs w:val="20"/>
        </w:rPr>
      </w:pPr>
      <w:r w:rsidRPr="008162C8">
        <w:rPr>
          <w:rFonts w:ascii="Tahoma" w:hAnsi="Tahoma" w:cs="Tahoma"/>
          <w:sz w:val="20"/>
          <w:szCs w:val="20"/>
        </w:rPr>
        <w:t xml:space="preserve"> « </w:t>
      </w:r>
      <w:proofErr w:type="gramStart"/>
      <w:r w:rsidRPr="008162C8">
        <w:rPr>
          <w:rFonts w:ascii="Tahoma" w:hAnsi="Tahoma" w:cs="Tahoma"/>
          <w:sz w:val="20"/>
          <w:szCs w:val="20"/>
        </w:rPr>
        <w:t>lot</w:t>
      </w:r>
      <w:proofErr w:type="gramEnd"/>
      <w:r w:rsidRPr="008162C8">
        <w:rPr>
          <w:rFonts w:ascii="Tahoma" w:hAnsi="Tahoma" w:cs="Tahoma"/>
          <w:sz w:val="20"/>
          <w:szCs w:val="20"/>
        </w:rPr>
        <w:t xml:space="preserve"> » : un groupe ou une série de produits identifiables obtenus par un procédé donné dans des conditions pratiquement identiques et produits dans un endroit donné et au cours d'une période de production déterminée ; par exemple un groupe ou une série de produits livrée en une seule fois et présentant des caractéristiques communes (origine, variété, type d’emballage, expéditeur ou marquage).</w:t>
      </w:r>
    </w:p>
    <w:p w14:paraId="2F932229" w14:textId="77777777" w:rsidR="005E1EA7" w:rsidRPr="008162C8" w:rsidRDefault="005E1EA7" w:rsidP="005E1EA7">
      <w:pPr>
        <w:autoSpaceDE w:val="0"/>
        <w:autoSpaceDN w:val="0"/>
        <w:adjustRightInd w:val="0"/>
        <w:jc w:val="both"/>
        <w:rPr>
          <w:rFonts w:ascii="Tahoma" w:hAnsi="Tahoma" w:cs="Tahoma"/>
          <w:sz w:val="20"/>
          <w:szCs w:val="20"/>
        </w:rPr>
      </w:pPr>
    </w:p>
    <w:p w14:paraId="3A924F25" w14:textId="77777777" w:rsidR="005E1EA7" w:rsidRPr="008162C8" w:rsidRDefault="005E1EA7" w:rsidP="00420DDA">
      <w:pPr>
        <w:pStyle w:val="Paragraphedeliste"/>
        <w:numPr>
          <w:ilvl w:val="0"/>
          <w:numId w:val="177"/>
        </w:numPr>
        <w:autoSpaceDE w:val="0"/>
        <w:autoSpaceDN w:val="0"/>
        <w:adjustRightInd w:val="0"/>
        <w:ind w:left="284"/>
        <w:jc w:val="both"/>
        <w:rPr>
          <w:rFonts w:ascii="Tahoma" w:hAnsi="Tahoma" w:cs="Tahoma"/>
          <w:sz w:val="20"/>
          <w:szCs w:val="20"/>
        </w:rPr>
      </w:pPr>
      <w:r w:rsidRPr="008162C8">
        <w:rPr>
          <w:rFonts w:ascii="Tahoma" w:hAnsi="Tahoma" w:cs="Tahoma"/>
          <w:sz w:val="20"/>
          <w:szCs w:val="20"/>
        </w:rPr>
        <w:t xml:space="preserve"> </w:t>
      </w:r>
      <w:proofErr w:type="gramStart"/>
      <w:r w:rsidRPr="008162C8">
        <w:rPr>
          <w:rFonts w:ascii="Tahoma" w:hAnsi="Tahoma" w:cs="Tahoma"/>
          <w:sz w:val="20"/>
          <w:szCs w:val="20"/>
        </w:rPr>
        <w:t>«Sous</w:t>
      </w:r>
      <w:proofErr w:type="gramEnd"/>
      <w:r w:rsidRPr="008162C8">
        <w:rPr>
          <w:rFonts w:ascii="Tahoma" w:hAnsi="Tahoma" w:cs="Tahoma"/>
          <w:sz w:val="20"/>
          <w:szCs w:val="20"/>
        </w:rPr>
        <w:t xml:space="preserve">-lot » : partie désignée d'un grand lot, afin d'appliquer le mode de prélèvement à cette partie désignée. Chaque sous-lot doit être physiquement séparé et identifiable. </w:t>
      </w:r>
    </w:p>
    <w:p w14:paraId="19F30686" w14:textId="77777777" w:rsidR="005E1EA7" w:rsidRPr="008162C8" w:rsidRDefault="005E1EA7" w:rsidP="005E1EA7">
      <w:pPr>
        <w:autoSpaceDE w:val="0"/>
        <w:autoSpaceDN w:val="0"/>
        <w:adjustRightInd w:val="0"/>
        <w:jc w:val="both"/>
        <w:rPr>
          <w:rFonts w:ascii="Tahoma" w:hAnsi="Tahoma" w:cs="Tahoma"/>
          <w:sz w:val="20"/>
          <w:szCs w:val="20"/>
        </w:rPr>
      </w:pPr>
    </w:p>
    <w:p w14:paraId="1B4E127B" w14:textId="77777777" w:rsidR="005E1EA7" w:rsidRPr="008162C8" w:rsidRDefault="005E1EA7" w:rsidP="00420DDA">
      <w:pPr>
        <w:pStyle w:val="Paragraphedeliste"/>
        <w:numPr>
          <w:ilvl w:val="0"/>
          <w:numId w:val="177"/>
        </w:numPr>
        <w:autoSpaceDE w:val="0"/>
        <w:autoSpaceDN w:val="0"/>
        <w:adjustRightInd w:val="0"/>
        <w:ind w:left="284"/>
        <w:jc w:val="both"/>
        <w:rPr>
          <w:rFonts w:ascii="Tahoma" w:hAnsi="Tahoma" w:cs="Tahoma"/>
          <w:sz w:val="20"/>
          <w:szCs w:val="20"/>
        </w:rPr>
      </w:pPr>
      <w:r w:rsidRPr="008162C8">
        <w:rPr>
          <w:rFonts w:ascii="Tahoma" w:hAnsi="Tahoma" w:cs="Tahoma"/>
          <w:sz w:val="20"/>
          <w:szCs w:val="20"/>
        </w:rPr>
        <w:t xml:space="preserve"> « </w:t>
      </w:r>
      <w:proofErr w:type="gramStart"/>
      <w:r w:rsidRPr="008162C8">
        <w:rPr>
          <w:rFonts w:ascii="Tahoma" w:hAnsi="Tahoma" w:cs="Tahoma"/>
          <w:sz w:val="20"/>
          <w:szCs w:val="20"/>
        </w:rPr>
        <w:t>durée</w:t>
      </w:r>
      <w:proofErr w:type="gramEnd"/>
      <w:r w:rsidRPr="008162C8">
        <w:rPr>
          <w:rFonts w:ascii="Tahoma" w:hAnsi="Tahoma" w:cs="Tahoma"/>
          <w:sz w:val="20"/>
          <w:szCs w:val="20"/>
        </w:rPr>
        <w:t xml:space="preserve"> de conservation » : la période précédant la date limite de consommation des produits ou la date jusqu’à laquelle ces produits conservent leurs propriétés spécifiques.</w:t>
      </w:r>
    </w:p>
    <w:p w14:paraId="1D27BD52" w14:textId="77777777" w:rsidR="005E1EA7" w:rsidRPr="008162C8" w:rsidRDefault="005E1EA7" w:rsidP="005E1EA7">
      <w:pPr>
        <w:autoSpaceDE w:val="0"/>
        <w:autoSpaceDN w:val="0"/>
        <w:adjustRightInd w:val="0"/>
        <w:jc w:val="both"/>
        <w:rPr>
          <w:rFonts w:ascii="Tahoma" w:hAnsi="Tahoma" w:cs="Tahoma"/>
          <w:sz w:val="20"/>
          <w:szCs w:val="20"/>
        </w:rPr>
      </w:pPr>
    </w:p>
    <w:p w14:paraId="1896B4F4" w14:textId="77777777" w:rsidR="005E1EA7" w:rsidRPr="008162C8" w:rsidRDefault="005E1EA7" w:rsidP="00420DDA">
      <w:pPr>
        <w:pStyle w:val="Paragraphedeliste"/>
        <w:numPr>
          <w:ilvl w:val="0"/>
          <w:numId w:val="177"/>
        </w:numPr>
        <w:autoSpaceDE w:val="0"/>
        <w:autoSpaceDN w:val="0"/>
        <w:adjustRightInd w:val="0"/>
        <w:ind w:left="284"/>
        <w:jc w:val="both"/>
        <w:rPr>
          <w:rFonts w:ascii="Tahoma" w:hAnsi="Tahoma" w:cs="Tahoma"/>
          <w:sz w:val="20"/>
          <w:szCs w:val="20"/>
        </w:rPr>
      </w:pPr>
      <w:r w:rsidRPr="008162C8">
        <w:rPr>
          <w:rFonts w:ascii="Tahoma" w:hAnsi="Tahoma" w:cs="Tahoma"/>
          <w:sz w:val="20"/>
          <w:szCs w:val="20"/>
        </w:rPr>
        <w:lastRenderedPageBreak/>
        <w:t xml:space="preserve"> « </w:t>
      </w:r>
      <w:proofErr w:type="gramStart"/>
      <w:r w:rsidRPr="008162C8">
        <w:rPr>
          <w:rFonts w:ascii="Tahoma" w:hAnsi="Tahoma" w:cs="Tahoma"/>
          <w:sz w:val="20"/>
          <w:szCs w:val="20"/>
        </w:rPr>
        <w:t>échantillon</w:t>
      </w:r>
      <w:proofErr w:type="gramEnd"/>
      <w:r w:rsidRPr="008162C8">
        <w:rPr>
          <w:rFonts w:ascii="Tahoma" w:hAnsi="Tahoma" w:cs="Tahoma"/>
          <w:sz w:val="20"/>
          <w:szCs w:val="20"/>
        </w:rPr>
        <w:t xml:space="preserve"> » : un ensemble composé d'une ou de plusieurs unités ou une portion de matière, sélectionné par différents moyens dans une population ou dans une quantité importante de matière et destiné à fournir des informations sur une caractéristique donnée de la population ou de la matière étudiée et à constituer la base d'une décision concernant la population ou la matière en question ou concernant le procédé qui l'a produit.</w:t>
      </w:r>
    </w:p>
    <w:p w14:paraId="68A8B706" w14:textId="77777777" w:rsidR="005E1EA7" w:rsidRPr="008162C8" w:rsidRDefault="005E1EA7" w:rsidP="005E1EA7">
      <w:pPr>
        <w:autoSpaceDE w:val="0"/>
        <w:autoSpaceDN w:val="0"/>
        <w:adjustRightInd w:val="0"/>
        <w:jc w:val="both"/>
        <w:rPr>
          <w:rFonts w:ascii="Tahoma" w:hAnsi="Tahoma" w:cs="Tahoma"/>
          <w:sz w:val="20"/>
          <w:szCs w:val="20"/>
        </w:rPr>
      </w:pPr>
    </w:p>
    <w:p w14:paraId="2B825ED6" w14:textId="77777777" w:rsidR="005E1EA7" w:rsidRPr="008162C8" w:rsidRDefault="005E1EA7" w:rsidP="00420DDA">
      <w:pPr>
        <w:pStyle w:val="Paragraphedeliste"/>
        <w:numPr>
          <w:ilvl w:val="0"/>
          <w:numId w:val="177"/>
        </w:numPr>
        <w:autoSpaceDE w:val="0"/>
        <w:autoSpaceDN w:val="0"/>
        <w:adjustRightInd w:val="0"/>
        <w:ind w:left="284"/>
        <w:jc w:val="both"/>
        <w:rPr>
          <w:rFonts w:ascii="Tahoma" w:hAnsi="Tahoma" w:cs="Tahoma"/>
          <w:sz w:val="20"/>
          <w:szCs w:val="20"/>
        </w:rPr>
      </w:pPr>
      <w:r w:rsidRPr="008162C8">
        <w:rPr>
          <w:rFonts w:ascii="Tahoma" w:hAnsi="Tahoma" w:cs="Tahoma"/>
          <w:sz w:val="20"/>
          <w:szCs w:val="20"/>
        </w:rPr>
        <w:t xml:space="preserve"> « Échantillon élémentaire </w:t>
      </w:r>
      <w:proofErr w:type="gramStart"/>
      <w:r w:rsidRPr="008162C8">
        <w:rPr>
          <w:rFonts w:ascii="Tahoma" w:hAnsi="Tahoma" w:cs="Tahoma"/>
          <w:sz w:val="20"/>
          <w:szCs w:val="20"/>
        </w:rPr>
        <w:t>»  :</w:t>
      </w:r>
      <w:proofErr w:type="gramEnd"/>
      <w:r w:rsidRPr="008162C8">
        <w:rPr>
          <w:rFonts w:ascii="Tahoma" w:hAnsi="Tahoma" w:cs="Tahoma"/>
          <w:sz w:val="20"/>
          <w:szCs w:val="20"/>
        </w:rPr>
        <w:t xml:space="preserve"> quantité de matière prélevée en un seul point du lot ou du sous-lot.</w:t>
      </w:r>
    </w:p>
    <w:p w14:paraId="437D02AC" w14:textId="77777777" w:rsidR="005E1EA7" w:rsidRPr="008162C8" w:rsidRDefault="005E1EA7" w:rsidP="005E1EA7">
      <w:pPr>
        <w:autoSpaceDE w:val="0"/>
        <w:autoSpaceDN w:val="0"/>
        <w:adjustRightInd w:val="0"/>
        <w:jc w:val="both"/>
        <w:rPr>
          <w:rFonts w:ascii="Tahoma" w:hAnsi="Tahoma" w:cs="Tahoma"/>
          <w:sz w:val="20"/>
          <w:szCs w:val="20"/>
        </w:rPr>
      </w:pPr>
    </w:p>
    <w:p w14:paraId="2DDC4C8A" w14:textId="77777777" w:rsidR="005E1EA7" w:rsidRPr="008162C8" w:rsidRDefault="005E1EA7" w:rsidP="00420DDA">
      <w:pPr>
        <w:pStyle w:val="Paragraphedeliste"/>
        <w:numPr>
          <w:ilvl w:val="0"/>
          <w:numId w:val="177"/>
        </w:numPr>
        <w:autoSpaceDE w:val="0"/>
        <w:autoSpaceDN w:val="0"/>
        <w:adjustRightInd w:val="0"/>
        <w:ind w:left="284"/>
        <w:jc w:val="both"/>
        <w:rPr>
          <w:rFonts w:ascii="Tahoma" w:hAnsi="Tahoma" w:cs="Tahoma"/>
          <w:sz w:val="20"/>
          <w:szCs w:val="20"/>
        </w:rPr>
      </w:pPr>
      <w:r w:rsidRPr="008162C8">
        <w:rPr>
          <w:rFonts w:ascii="Tahoma" w:hAnsi="Tahoma" w:cs="Tahoma"/>
          <w:sz w:val="20"/>
          <w:szCs w:val="20"/>
        </w:rPr>
        <w:t xml:space="preserve"> « Echantillon de laboratoire </w:t>
      </w:r>
      <w:proofErr w:type="gramStart"/>
      <w:r w:rsidRPr="008162C8">
        <w:rPr>
          <w:rFonts w:ascii="Tahoma" w:hAnsi="Tahoma" w:cs="Tahoma"/>
          <w:sz w:val="20"/>
          <w:szCs w:val="20"/>
        </w:rPr>
        <w:t>»  :</w:t>
      </w:r>
      <w:proofErr w:type="gramEnd"/>
      <w:r w:rsidRPr="008162C8">
        <w:rPr>
          <w:rFonts w:ascii="Tahoma" w:hAnsi="Tahoma" w:cs="Tahoma"/>
          <w:sz w:val="20"/>
          <w:szCs w:val="20"/>
        </w:rPr>
        <w:t xml:space="preserve"> échantillon destiné au laboratoire.</w:t>
      </w:r>
    </w:p>
    <w:p w14:paraId="77710B9E" w14:textId="77777777" w:rsidR="005E1EA7" w:rsidRPr="008162C8" w:rsidRDefault="005E1EA7" w:rsidP="005E1EA7">
      <w:pPr>
        <w:autoSpaceDE w:val="0"/>
        <w:autoSpaceDN w:val="0"/>
        <w:adjustRightInd w:val="0"/>
        <w:jc w:val="both"/>
        <w:rPr>
          <w:rFonts w:ascii="Tahoma" w:hAnsi="Tahoma" w:cs="Tahoma"/>
          <w:sz w:val="20"/>
          <w:szCs w:val="20"/>
        </w:rPr>
      </w:pPr>
    </w:p>
    <w:p w14:paraId="46D7A329" w14:textId="77777777" w:rsidR="005E1EA7" w:rsidRPr="008162C8" w:rsidRDefault="005E1EA7" w:rsidP="00420DDA">
      <w:pPr>
        <w:pStyle w:val="Paragraphedeliste"/>
        <w:numPr>
          <w:ilvl w:val="0"/>
          <w:numId w:val="177"/>
        </w:numPr>
        <w:autoSpaceDE w:val="0"/>
        <w:autoSpaceDN w:val="0"/>
        <w:adjustRightInd w:val="0"/>
        <w:ind w:left="284"/>
        <w:jc w:val="both"/>
        <w:rPr>
          <w:rFonts w:ascii="Tahoma" w:hAnsi="Tahoma" w:cs="Tahoma"/>
          <w:sz w:val="20"/>
          <w:szCs w:val="20"/>
        </w:rPr>
      </w:pPr>
      <w:r w:rsidRPr="008162C8">
        <w:rPr>
          <w:rFonts w:ascii="Tahoma" w:hAnsi="Tahoma" w:cs="Tahoma"/>
          <w:sz w:val="20"/>
          <w:szCs w:val="20"/>
        </w:rPr>
        <w:t xml:space="preserve"> « </w:t>
      </w:r>
      <w:proofErr w:type="gramStart"/>
      <w:r w:rsidRPr="008162C8">
        <w:rPr>
          <w:rFonts w:ascii="Tahoma" w:hAnsi="Tahoma" w:cs="Tahoma"/>
          <w:sz w:val="20"/>
          <w:szCs w:val="20"/>
        </w:rPr>
        <w:t>échantillon</w:t>
      </w:r>
      <w:proofErr w:type="gramEnd"/>
      <w:r w:rsidRPr="008162C8">
        <w:rPr>
          <w:rFonts w:ascii="Tahoma" w:hAnsi="Tahoma" w:cs="Tahoma"/>
          <w:sz w:val="20"/>
          <w:szCs w:val="20"/>
        </w:rPr>
        <w:t xml:space="preserve"> représentatif » : un échantillon dans lequel on retrouve les caractéristiques du lot d'où il provient. C'est notamment le cas lorsque chacun des individus ou des prélèvements élémentaires à choisir dans le lot a la même probabilité de figurer dans l'échantillon.</w:t>
      </w:r>
    </w:p>
    <w:p w14:paraId="599B31FC" w14:textId="77777777" w:rsidR="005E1EA7" w:rsidRPr="008162C8" w:rsidRDefault="005E1EA7" w:rsidP="005E1EA7">
      <w:pPr>
        <w:autoSpaceDE w:val="0"/>
        <w:autoSpaceDN w:val="0"/>
        <w:adjustRightInd w:val="0"/>
        <w:jc w:val="both"/>
        <w:rPr>
          <w:rFonts w:ascii="Tahoma" w:hAnsi="Tahoma" w:cs="Tahoma"/>
          <w:sz w:val="20"/>
          <w:szCs w:val="20"/>
        </w:rPr>
      </w:pPr>
    </w:p>
    <w:p w14:paraId="31D98570" w14:textId="77777777" w:rsidR="005E1EA7" w:rsidRPr="008162C8" w:rsidRDefault="005E1EA7" w:rsidP="00420DDA">
      <w:pPr>
        <w:pStyle w:val="Paragraphedeliste"/>
        <w:numPr>
          <w:ilvl w:val="0"/>
          <w:numId w:val="177"/>
        </w:numPr>
        <w:autoSpaceDE w:val="0"/>
        <w:autoSpaceDN w:val="0"/>
        <w:adjustRightInd w:val="0"/>
        <w:ind w:left="284"/>
        <w:jc w:val="both"/>
        <w:rPr>
          <w:rFonts w:ascii="Tahoma" w:hAnsi="Tahoma" w:cs="Tahoma"/>
          <w:sz w:val="20"/>
          <w:szCs w:val="20"/>
        </w:rPr>
      </w:pPr>
      <w:r w:rsidRPr="008162C8">
        <w:rPr>
          <w:rFonts w:ascii="Tahoma" w:hAnsi="Tahoma" w:cs="Tahoma"/>
          <w:sz w:val="20"/>
          <w:szCs w:val="20"/>
        </w:rPr>
        <w:t xml:space="preserve">« </w:t>
      </w:r>
      <w:proofErr w:type="gramStart"/>
      <w:r w:rsidRPr="008162C8">
        <w:rPr>
          <w:rFonts w:ascii="Tahoma" w:hAnsi="Tahoma" w:cs="Tahoma"/>
          <w:sz w:val="20"/>
          <w:szCs w:val="20"/>
        </w:rPr>
        <w:t>respect</w:t>
      </w:r>
      <w:proofErr w:type="gramEnd"/>
      <w:r w:rsidRPr="008162C8">
        <w:rPr>
          <w:rFonts w:ascii="Tahoma" w:hAnsi="Tahoma" w:cs="Tahoma"/>
          <w:sz w:val="20"/>
          <w:szCs w:val="20"/>
        </w:rPr>
        <w:t xml:space="preserve"> des critères microbiologiques, chimiques et biotoxines marines » : l'obtention des résultats satisfaisants ou acceptables visés aux l'annexes I, II et III lors d'essais fondés sur les valeurs fixées pour ces critères par le prélèvement d'échantillons, la conduite d'analyses et la mise en œuvre de mesures correctives, conformément à la législation sur les mollusques bivalves vivants et les produits de la pêche et aux instructions données par l'autorité compétente.</w:t>
      </w:r>
    </w:p>
    <w:p w14:paraId="00E0DAF4" w14:textId="77777777" w:rsidR="005E1EA7" w:rsidRPr="008162C8" w:rsidRDefault="005E1EA7" w:rsidP="005E1EA7">
      <w:pPr>
        <w:autoSpaceDE w:val="0"/>
        <w:autoSpaceDN w:val="0"/>
        <w:adjustRightInd w:val="0"/>
        <w:jc w:val="both"/>
        <w:rPr>
          <w:rFonts w:ascii="Tahoma" w:hAnsi="Tahoma" w:cs="Tahoma"/>
          <w:sz w:val="20"/>
          <w:szCs w:val="20"/>
        </w:rPr>
      </w:pPr>
    </w:p>
    <w:p w14:paraId="4D3C7E22" w14:textId="77777777" w:rsidR="005E1EA7" w:rsidRPr="008162C8" w:rsidRDefault="005E1EA7" w:rsidP="005E1EA7">
      <w:pPr>
        <w:autoSpaceDE w:val="0"/>
        <w:autoSpaceDN w:val="0"/>
        <w:adjustRightInd w:val="0"/>
        <w:jc w:val="both"/>
        <w:rPr>
          <w:rFonts w:ascii="Tahoma" w:hAnsi="Tahoma" w:cs="Tahoma"/>
          <w:b/>
          <w:bCs/>
          <w:sz w:val="20"/>
          <w:szCs w:val="20"/>
        </w:rPr>
      </w:pPr>
      <w:r w:rsidRPr="008162C8">
        <w:rPr>
          <w:rFonts w:ascii="Tahoma" w:hAnsi="Tahoma" w:cs="Tahoma"/>
          <w:b/>
          <w:sz w:val="20"/>
          <w:szCs w:val="20"/>
          <w:u w:val="single"/>
        </w:rPr>
        <w:t>Article 3</w:t>
      </w:r>
      <w:r w:rsidRPr="008162C8">
        <w:rPr>
          <w:rFonts w:ascii="Tahoma" w:hAnsi="Tahoma" w:cs="Tahoma"/>
          <w:sz w:val="20"/>
          <w:szCs w:val="20"/>
        </w:rPr>
        <w:t xml:space="preserve"> : </w:t>
      </w:r>
      <w:r w:rsidRPr="008162C8">
        <w:rPr>
          <w:rFonts w:ascii="Tahoma" w:hAnsi="Tahoma" w:cs="Tahoma"/>
          <w:b/>
          <w:bCs/>
          <w:sz w:val="20"/>
          <w:szCs w:val="20"/>
        </w:rPr>
        <w:t>Exigences générales</w:t>
      </w:r>
    </w:p>
    <w:p w14:paraId="24BFC0BC" w14:textId="77777777" w:rsidR="005E1EA7" w:rsidRPr="008162C8" w:rsidRDefault="005E1EA7" w:rsidP="005E1EA7">
      <w:pPr>
        <w:autoSpaceDE w:val="0"/>
        <w:autoSpaceDN w:val="0"/>
        <w:adjustRightInd w:val="0"/>
        <w:jc w:val="both"/>
        <w:rPr>
          <w:rFonts w:ascii="Tahoma" w:hAnsi="Tahoma" w:cs="Tahoma"/>
          <w:sz w:val="20"/>
          <w:szCs w:val="20"/>
        </w:rPr>
      </w:pPr>
      <w:r w:rsidRPr="008162C8">
        <w:rPr>
          <w:rFonts w:ascii="Tahoma" w:hAnsi="Tahoma" w:cs="Tahoma"/>
          <w:sz w:val="20"/>
          <w:szCs w:val="20"/>
        </w:rPr>
        <w:t xml:space="preserve">Les exploitants veillent à ce que les mollusques bivalves vivants et les produits de la pêche mis sur le marché respectent les critères organoleptiques, </w:t>
      </w:r>
      <w:r w:rsidRPr="008162C8">
        <w:rPr>
          <w:rFonts w:ascii="Tahoma" w:eastAsia="EUAlbertina-Regular-Identity-H" w:hAnsi="Tahoma" w:cs="Tahoma"/>
          <w:sz w:val="20"/>
          <w:szCs w:val="20"/>
        </w:rPr>
        <w:t>microbiologiques, chimiques et biotoxines</w:t>
      </w:r>
      <w:r w:rsidRPr="008162C8">
        <w:rPr>
          <w:rFonts w:ascii="Tahoma" w:hAnsi="Tahoma" w:cs="Tahoma"/>
          <w:sz w:val="20"/>
          <w:szCs w:val="20"/>
        </w:rPr>
        <w:t xml:space="preserve"> marines pertinents, ainsi que les méthodes d'analyse et de prélèvement des échantillons à appliquer, établis aux annexes I, II, III et IV. A cette fin, à tous les stades de la production, de la transformation et de la distribution des mollusques bivalves vivants et des produits de la pêche, y compris la vente au détail, ils prennent des mesures, dans le cadre de leurs procédures, fondées sur les principes HACCP, ainsi que de leurs bonnes pratiques d'hygiène, afin que :</w:t>
      </w:r>
    </w:p>
    <w:p w14:paraId="6B51BE31" w14:textId="77777777" w:rsidR="005E1EA7" w:rsidRPr="008162C8" w:rsidRDefault="005E1EA7" w:rsidP="005E1EA7">
      <w:pPr>
        <w:autoSpaceDE w:val="0"/>
        <w:autoSpaceDN w:val="0"/>
        <w:adjustRightInd w:val="0"/>
        <w:jc w:val="both"/>
        <w:rPr>
          <w:rFonts w:ascii="Tahoma" w:hAnsi="Tahoma" w:cs="Tahoma"/>
          <w:sz w:val="20"/>
          <w:szCs w:val="20"/>
        </w:rPr>
      </w:pPr>
    </w:p>
    <w:p w14:paraId="39FA4C19" w14:textId="77777777" w:rsidR="005E1EA7" w:rsidRPr="008162C8" w:rsidRDefault="005E1EA7" w:rsidP="005E1EA7">
      <w:pPr>
        <w:autoSpaceDE w:val="0"/>
        <w:autoSpaceDN w:val="0"/>
        <w:adjustRightInd w:val="0"/>
        <w:ind w:left="284" w:hanging="11"/>
        <w:jc w:val="both"/>
        <w:rPr>
          <w:rFonts w:ascii="Tahoma" w:hAnsi="Tahoma" w:cs="Tahoma"/>
          <w:sz w:val="20"/>
          <w:szCs w:val="20"/>
        </w:rPr>
      </w:pPr>
      <w:r w:rsidRPr="008162C8">
        <w:rPr>
          <w:rFonts w:ascii="Tahoma" w:hAnsi="Tahoma" w:cs="Tahoma"/>
          <w:sz w:val="20"/>
          <w:szCs w:val="20"/>
        </w:rPr>
        <w:t>a) la fourniture, la manipulation et la transformation de mollusques bivalves vivants et des produits de la pêche, relevant du contrôle des exploitants s'effectuent de façon à ce que les critères d'hygiène des procédés soient respectés ;</w:t>
      </w:r>
    </w:p>
    <w:p w14:paraId="52461CF1" w14:textId="77777777" w:rsidR="005E1EA7" w:rsidRPr="008162C8" w:rsidRDefault="005E1EA7" w:rsidP="005E1EA7">
      <w:pPr>
        <w:autoSpaceDE w:val="0"/>
        <w:autoSpaceDN w:val="0"/>
        <w:adjustRightInd w:val="0"/>
        <w:ind w:left="720" w:hanging="360"/>
        <w:jc w:val="both"/>
        <w:rPr>
          <w:rFonts w:ascii="Tahoma" w:hAnsi="Tahoma" w:cs="Tahoma"/>
          <w:sz w:val="20"/>
          <w:szCs w:val="20"/>
        </w:rPr>
      </w:pPr>
    </w:p>
    <w:p w14:paraId="66D13CCA" w14:textId="77777777" w:rsidR="005E1EA7" w:rsidRPr="008162C8" w:rsidRDefault="005E1EA7" w:rsidP="005E1EA7">
      <w:pPr>
        <w:autoSpaceDE w:val="0"/>
        <w:autoSpaceDN w:val="0"/>
        <w:adjustRightInd w:val="0"/>
        <w:ind w:left="284" w:hanging="11"/>
        <w:jc w:val="both"/>
        <w:rPr>
          <w:rFonts w:ascii="Tahoma" w:hAnsi="Tahoma" w:cs="Tahoma"/>
          <w:sz w:val="20"/>
          <w:szCs w:val="20"/>
        </w:rPr>
      </w:pPr>
      <w:r w:rsidRPr="008162C8">
        <w:rPr>
          <w:rFonts w:ascii="Tahoma" w:hAnsi="Tahoma" w:cs="Tahoma"/>
          <w:sz w:val="20"/>
          <w:szCs w:val="20"/>
        </w:rPr>
        <w:t>b) les critères de sécurité des mollusques bivalves vivants et des produits de la pêche applicables pendant toute la durée de conservation des produits soient respectés dans des conditions de distribution, d'entreposage et d'utilisation raisonnablement prévisibles ».</w:t>
      </w:r>
    </w:p>
    <w:p w14:paraId="0415F92A" w14:textId="77777777" w:rsidR="005E1EA7" w:rsidRPr="008162C8" w:rsidRDefault="005E1EA7" w:rsidP="005E1EA7">
      <w:pPr>
        <w:autoSpaceDE w:val="0"/>
        <w:autoSpaceDN w:val="0"/>
        <w:adjustRightInd w:val="0"/>
        <w:jc w:val="both"/>
        <w:rPr>
          <w:rFonts w:ascii="Tahoma" w:hAnsi="Tahoma" w:cs="Tahoma"/>
          <w:sz w:val="20"/>
          <w:szCs w:val="20"/>
        </w:rPr>
      </w:pPr>
    </w:p>
    <w:p w14:paraId="5A046353" w14:textId="77777777" w:rsidR="005E1EA7" w:rsidRPr="008162C8" w:rsidRDefault="005E1EA7" w:rsidP="005E1EA7">
      <w:pPr>
        <w:autoSpaceDE w:val="0"/>
        <w:autoSpaceDN w:val="0"/>
        <w:adjustRightInd w:val="0"/>
        <w:jc w:val="both"/>
        <w:rPr>
          <w:rFonts w:ascii="Tahoma" w:hAnsi="Tahoma" w:cs="Tahoma"/>
          <w:b/>
          <w:sz w:val="20"/>
          <w:szCs w:val="20"/>
        </w:rPr>
      </w:pPr>
      <w:r w:rsidRPr="008162C8">
        <w:rPr>
          <w:rFonts w:ascii="Tahoma" w:hAnsi="Tahoma" w:cs="Tahoma"/>
          <w:b/>
          <w:sz w:val="20"/>
          <w:szCs w:val="20"/>
          <w:u w:val="single"/>
        </w:rPr>
        <w:t>Article 4</w:t>
      </w:r>
      <w:r w:rsidRPr="008162C8">
        <w:rPr>
          <w:rFonts w:ascii="Tahoma" w:hAnsi="Tahoma" w:cs="Tahoma"/>
          <w:b/>
          <w:sz w:val="20"/>
          <w:szCs w:val="20"/>
        </w:rPr>
        <w:t xml:space="preserve"> - Essais fondés sur les critères</w:t>
      </w:r>
    </w:p>
    <w:p w14:paraId="7563414A" w14:textId="77777777" w:rsidR="005E1EA7" w:rsidRPr="008162C8" w:rsidRDefault="005E1EA7" w:rsidP="00420DDA">
      <w:pPr>
        <w:pStyle w:val="Paragraphedeliste"/>
        <w:numPr>
          <w:ilvl w:val="0"/>
          <w:numId w:val="179"/>
        </w:numPr>
        <w:autoSpaceDE w:val="0"/>
        <w:autoSpaceDN w:val="0"/>
        <w:adjustRightInd w:val="0"/>
        <w:ind w:left="284" w:hanging="284"/>
        <w:jc w:val="both"/>
        <w:rPr>
          <w:rFonts w:ascii="Tahoma" w:hAnsi="Tahoma" w:cs="Tahoma"/>
          <w:sz w:val="20"/>
          <w:szCs w:val="20"/>
        </w:rPr>
      </w:pPr>
      <w:proofErr w:type="gramStart"/>
      <w:r w:rsidRPr="008162C8">
        <w:rPr>
          <w:rFonts w:ascii="Tahoma" w:hAnsi="Tahoma" w:cs="Tahoma"/>
          <w:sz w:val="20"/>
          <w:szCs w:val="20"/>
        </w:rPr>
        <w:t>le</w:t>
      </w:r>
      <w:proofErr w:type="gramEnd"/>
      <w:r w:rsidRPr="008162C8">
        <w:rPr>
          <w:rFonts w:ascii="Tahoma" w:hAnsi="Tahoma" w:cs="Tahoma"/>
          <w:sz w:val="20"/>
          <w:szCs w:val="20"/>
        </w:rPr>
        <w:t xml:space="preserve"> cas échéant, les exploitants de mollusques bivalves et de produits de la pêche procèdent à des essais fondés sur les critères </w:t>
      </w:r>
      <w:r w:rsidRPr="008162C8">
        <w:rPr>
          <w:rFonts w:ascii="Tahoma" w:eastAsia="EUAlbertina-Regular-Identity-H" w:hAnsi="Tahoma" w:cs="Tahoma"/>
          <w:sz w:val="20"/>
          <w:szCs w:val="20"/>
        </w:rPr>
        <w:t>microbiologiques, chimiques et biotoxines</w:t>
      </w:r>
      <w:r w:rsidRPr="008162C8">
        <w:rPr>
          <w:rFonts w:ascii="Tahoma" w:hAnsi="Tahoma" w:cs="Tahoma"/>
          <w:sz w:val="20"/>
          <w:szCs w:val="20"/>
        </w:rPr>
        <w:t xml:space="preserve"> marines définis aux annexes I, II et III, lorsqu'ils valident ou vérifient le bon fonctionnement de leurs procédures fondées sur les principes HACCP ou sur les bonnes pratiques d'hygiène.</w:t>
      </w:r>
    </w:p>
    <w:p w14:paraId="7BCCA16D" w14:textId="77777777" w:rsidR="005E1EA7" w:rsidRPr="008162C8" w:rsidRDefault="005E1EA7" w:rsidP="005E1EA7">
      <w:pPr>
        <w:autoSpaceDE w:val="0"/>
        <w:autoSpaceDN w:val="0"/>
        <w:adjustRightInd w:val="0"/>
        <w:ind w:left="284" w:hanging="284"/>
        <w:jc w:val="both"/>
        <w:rPr>
          <w:rFonts w:ascii="Tahoma" w:hAnsi="Tahoma" w:cs="Tahoma"/>
          <w:sz w:val="20"/>
          <w:szCs w:val="20"/>
        </w:rPr>
      </w:pPr>
    </w:p>
    <w:p w14:paraId="7459C1DD" w14:textId="77777777" w:rsidR="005E1EA7" w:rsidRPr="008162C8" w:rsidRDefault="005E1EA7" w:rsidP="00420DDA">
      <w:pPr>
        <w:pStyle w:val="Paragraphedeliste"/>
        <w:numPr>
          <w:ilvl w:val="0"/>
          <w:numId w:val="179"/>
        </w:numPr>
        <w:autoSpaceDE w:val="0"/>
        <w:autoSpaceDN w:val="0"/>
        <w:adjustRightInd w:val="0"/>
        <w:ind w:left="284" w:hanging="284"/>
        <w:jc w:val="both"/>
        <w:rPr>
          <w:rFonts w:ascii="Tahoma" w:hAnsi="Tahoma" w:cs="Tahoma"/>
          <w:sz w:val="20"/>
          <w:szCs w:val="20"/>
        </w:rPr>
      </w:pPr>
      <w:proofErr w:type="gramStart"/>
      <w:r w:rsidRPr="008162C8">
        <w:rPr>
          <w:rFonts w:ascii="Tahoma" w:hAnsi="Tahoma" w:cs="Tahoma"/>
          <w:sz w:val="20"/>
          <w:szCs w:val="20"/>
        </w:rPr>
        <w:t>les</w:t>
      </w:r>
      <w:proofErr w:type="gramEnd"/>
      <w:r w:rsidRPr="008162C8">
        <w:rPr>
          <w:rFonts w:ascii="Tahoma" w:hAnsi="Tahoma" w:cs="Tahoma"/>
          <w:sz w:val="20"/>
          <w:szCs w:val="20"/>
        </w:rPr>
        <w:t xml:space="preserve"> exploitants de mollusques bivalves et de produits de la pêche décident des fréquences d'échantillonnage appropriées à appliquer, dans le cadre de leurs procédures fondées sur les principes HACCP et les bonnes pratiques d'hygiène, en tenant compte des recommandations de l’autorité compétente ou de l’organisme de contrôle désigné.</w:t>
      </w:r>
    </w:p>
    <w:p w14:paraId="326F3173" w14:textId="77777777" w:rsidR="005E1EA7" w:rsidRPr="008162C8" w:rsidRDefault="005E1EA7" w:rsidP="005E1EA7">
      <w:pPr>
        <w:autoSpaceDE w:val="0"/>
        <w:autoSpaceDN w:val="0"/>
        <w:adjustRightInd w:val="0"/>
        <w:jc w:val="both"/>
        <w:rPr>
          <w:rFonts w:ascii="Tahoma" w:hAnsi="Tahoma" w:cs="Tahoma"/>
          <w:sz w:val="20"/>
          <w:szCs w:val="20"/>
        </w:rPr>
      </w:pPr>
    </w:p>
    <w:p w14:paraId="6EC8CD7C" w14:textId="77777777" w:rsidR="005E1EA7" w:rsidRPr="008162C8" w:rsidRDefault="005E1EA7" w:rsidP="005E1EA7">
      <w:pPr>
        <w:autoSpaceDE w:val="0"/>
        <w:autoSpaceDN w:val="0"/>
        <w:adjustRightInd w:val="0"/>
        <w:jc w:val="both"/>
        <w:rPr>
          <w:rFonts w:ascii="Tahoma" w:hAnsi="Tahoma" w:cs="Tahoma"/>
          <w:sz w:val="20"/>
          <w:szCs w:val="20"/>
        </w:rPr>
      </w:pPr>
      <w:r w:rsidRPr="008162C8">
        <w:rPr>
          <w:rFonts w:ascii="Tahoma" w:hAnsi="Tahoma" w:cs="Tahoma"/>
          <w:sz w:val="20"/>
          <w:szCs w:val="20"/>
        </w:rPr>
        <w:t>La fréquence d'échantillonnage peut être adaptée à la nature et à la taille des établissements, pour autant que les critères de sécurité des mollusques bivalves vivants et des produits de la pêche ne soient pas menacés.</w:t>
      </w:r>
    </w:p>
    <w:p w14:paraId="287FFD8B" w14:textId="77777777" w:rsidR="005E1EA7" w:rsidRPr="008162C8" w:rsidRDefault="005E1EA7" w:rsidP="005E1EA7">
      <w:pPr>
        <w:autoSpaceDE w:val="0"/>
        <w:autoSpaceDN w:val="0"/>
        <w:adjustRightInd w:val="0"/>
        <w:jc w:val="both"/>
        <w:rPr>
          <w:rFonts w:ascii="Tahoma" w:hAnsi="Tahoma" w:cs="Tahoma"/>
          <w:b/>
          <w:bCs/>
          <w:sz w:val="20"/>
          <w:szCs w:val="20"/>
        </w:rPr>
      </w:pPr>
    </w:p>
    <w:p w14:paraId="512E7BC3" w14:textId="77777777" w:rsidR="005E1EA7" w:rsidRPr="008162C8" w:rsidRDefault="005E1EA7" w:rsidP="005E1EA7">
      <w:pPr>
        <w:autoSpaceDE w:val="0"/>
        <w:autoSpaceDN w:val="0"/>
        <w:adjustRightInd w:val="0"/>
        <w:jc w:val="center"/>
        <w:rPr>
          <w:rFonts w:ascii="Tahoma" w:hAnsi="Tahoma" w:cs="Tahoma"/>
          <w:b/>
          <w:bCs/>
          <w:sz w:val="20"/>
          <w:szCs w:val="20"/>
        </w:rPr>
      </w:pPr>
      <w:r w:rsidRPr="008162C8">
        <w:rPr>
          <w:rFonts w:ascii="Tahoma" w:hAnsi="Tahoma" w:cs="Tahoma"/>
          <w:b/>
          <w:bCs/>
          <w:sz w:val="20"/>
          <w:szCs w:val="20"/>
        </w:rPr>
        <w:t>CHAPITRE II– DISPOSITIONS PARTICULIERES</w:t>
      </w:r>
    </w:p>
    <w:p w14:paraId="7F4EBF81" w14:textId="77777777" w:rsidR="005E1EA7" w:rsidRPr="008162C8" w:rsidRDefault="005E1EA7" w:rsidP="005E1EA7">
      <w:pPr>
        <w:autoSpaceDE w:val="0"/>
        <w:autoSpaceDN w:val="0"/>
        <w:adjustRightInd w:val="0"/>
        <w:jc w:val="both"/>
        <w:rPr>
          <w:rFonts w:ascii="Tahoma" w:hAnsi="Tahoma" w:cs="Tahoma"/>
          <w:sz w:val="20"/>
          <w:szCs w:val="20"/>
        </w:rPr>
      </w:pPr>
    </w:p>
    <w:p w14:paraId="0B15A5A3" w14:textId="77777777" w:rsidR="005E1EA7" w:rsidRPr="008162C8" w:rsidRDefault="005E1EA7" w:rsidP="005E1EA7">
      <w:pPr>
        <w:autoSpaceDE w:val="0"/>
        <w:autoSpaceDN w:val="0"/>
        <w:adjustRightInd w:val="0"/>
        <w:jc w:val="both"/>
        <w:rPr>
          <w:rFonts w:ascii="Tahoma" w:hAnsi="Tahoma" w:cs="Tahoma"/>
          <w:b/>
          <w:bCs/>
          <w:sz w:val="20"/>
          <w:szCs w:val="20"/>
        </w:rPr>
      </w:pPr>
      <w:r w:rsidRPr="008162C8">
        <w:rPr>
          <w:rFonts w:ascii="Tahoma" w:hAnsi="Tahoma" w:cs="Tahoma"/>
          <w:b/>
          <w:bCs/>
          <w:sz w:val="20"/>
          <w:szCs w:val="20"/>
        </w:rPr>
        <w:t>Article 5 : Essais et échantillonnage</w:t>
      </w:r>
    </w:p>
    <w:p w14:paraId="588015BC" w14:textId="77777777" w:rsidR="005E1EA7" w:rsidRPr="008162C8" w:rsidRDefault="005E1EA7" w:rsidP="00420DDA">
      <w:pPr>
        <w:pStyle w:val="Paragraphedeliste"/>
        <w:numPr>
          <w:ilvl w:val="0"/>
          <w:numId w:val="180"/>
        </w:numPr>
        <w:autoSpaceDE w:val="0"/>
        <w:autoSpaceDN w:val="0"/>
        <w:adjustRightInd w:val="0"/>
        <w:ind w:left="284" w:hanging="284"/>
        <w:jc w:val="both"/>
        <w:rPr>
          <w:rFonts w:ascii="Tahoma" w:hAnsi="Tahoma" w:cs="Tahoma"/>
          <w:sz w:val="20"/>
          <w:szCs w:val="20"/>
        </w:rPr>
      </w:pPr>
      <w:proofErr w:type="gramStart"/>
      <w:r w:rsidRPr="008162C8">
        <w:rPr>
          <w:rFonts w:ascii="Tahoma" w:hAnsi="Tahoma" w:cs="Tahoma"/>
          <w:sz w:val="20"/>
          <w:szCs w:val="20"/>
        </w:rPr>
        <w:t>les</w:t>
      </w:r>
      <w:proofErr w:type="gramEnd"/>
      <w:r w:rsidRPr="008162C8">
        <w:rPr>
          <w:rFonts w:ascii="Tahoma" w:hAnsi="Tahoma" w:cs="Tahoma"/>
          <w:sz w:val="20"/>
          <w:szCs w:val="20"/>
        </w:rPr>
        <w:t xml:space="preserve"> méthodes d'analyse ainsi que les plans et méthodes d'échantillonnage définis dans les annexes, selon les cas, sont appliqués comme méthodes de référence.</w:t>
      </w:r>
    </w:p>
    <w:p w14:paraId="44CEBDFD" w14:textId="77777777" w:rsidR="005E1EA7" w:rsidRPr="008162C8" w:rsidRDefault="005E1EA7" w:rsidP="005E1EA7">
      <w:pPr>
        <w:autoSpaceDE w:val="0"/>
        <w:autoSpaceDN w:val="0"/>
        <w:adjustRightInd w:val="0"/>
        <w:ind w:left="284" w:hanging="284"/>
        <w:jc w:val="both"/>
        <w:rPr>
          <w:rFonts w:ascii="Tahoma" w:hAnsi="Tahoma" w:cs="Tahoma"/>
          <w:sz w:val="20"/>
          <w:szCs w:val="20"/>
        </w:rPr>
      </w:pPr>
    </w:p>
    <w:p w14:paraId="4A5B73F1" w14:textId="77777777" w:rsidR="005E1EA7" w:rsidRPr="008162C8" w:rsidRDefault="005E1EA7" w:rsidP="00420DDA">
      <w:pPr>
        <w:pStyle w:val="Paragraphedeliste"/>
        <w:numPr>
          <w:ilvl w:val="0"/>
          <w:numId w:val="180"/>
        </w:numPr>
        <w:autoSpaceDE w:val="0"/>
        <w:autoSpaceDN w:val="0"/>
        <w:adjustRightInd w:val="0"/>
        <w:ind w:left="284" w:hanging="284"/>
        <w:jc w:val="both"/>
        <w:rPr>
          <w:rFonts w:ascii="Tahoma" w:hAnsi="Tahoma" w:cs="Tahoma"/>
          <w:sz w:val="20"/>
          <w:szCs w:val="20"/>
        </w:rPr>
      </w:pPr>
      <w:proofErr w:type="gramStart"/>
      <w:r w:rsidRPr="008162C8">
        <w:rPr>
          <w:rFonts w:ascii="Tahoma" w:hAnsi="Tahoma" w:cs="Tahoma"/>
          <w:sz w:val="20"/>
          <w:szCs w:val="20"/>
        </w:rPr>
        <w:t>les</w:t>
      </w:r>
      <w:proofErr w:type="gramEnd"/>
      <w:r w:rsidRPr="008162C8">
        <w:rPr>
          <w:rFonts w:ascii="Tahoma" w:hAnsi="Tahoma" w:cs="Tahoma"/>
          <w:sz w:val="20"/>
          <w:szCs w:val="20"/>
        </w:rPr>
        <w:t xml:space="preserve"> échantillons sont prélevés sur les lieux de production, de transformation et sur le matériel utilisé dans la production de mollusques bivalves vivants et de produits de la pêche lorsque ces prélèvements sont nécessaires pour s'assurer du respect des critères. </w:t>
      </w:r>
    </w:p>
    <w:p w14:paraId="317BC702" w14:textId="77777777" w:rsidR="005E1EA7" w:rsidRPr="008162C8" w:rsidRDefault="005E1EA7" w:rsidP="005E1EA7">
      <w:pPr>
        <w:autoSpaceDE w:val="0"/>
        <w:autoSpaceDN w:val="0"/>
        <w:adjustRightInd w:val="0"/>
        <w:ind w:left="284" w:firstLine="900"/>
        <w:jc w:val="both"/>
        <w:rPr>
          <w:rFonts w:ascii="Tahoma" w:hAnsi="Tahoma" w:cs="Tahoma"/>
          <w:i/>
          <w:iCs/>
          <w:sz w:val="20"/>
          <w:szCs w:val="20"/>
        </w:rPr>
      </w:pPr>
    </w:p>
    <w:p w14:paraId="748E6520" w14:textId="77777777" w:rsidR="005E1EA7" w:rsidRPr="008162C8" w:rsidRDefault="005E1EA7" w:rsidP="00420DDA">
      <w:pPr>
        <w:pStyle w:val="Paragraphedeliste"/>
        <w:numPr>
          <w:ilvl w:val="0"/>
          <w:numId w:val="180"/>
        </w:numPr>
        <w:autoSpaceDE w:val="0"/>
        <w:autoSpaceDN w:val="0"/>
        <w:adjustRightInd w:val="0"/>
        <w:ind w:left="284" w:hanging="284"/>
        <w:jc w:val="both"/>
        <w:rPr>
          <w:rFonts w:ascii="Tahoma" w:hAnsi="Tahoma" w:cs="Tahoma"/>
          <w:sz w:val="20"/>
          <w:szCs w:val="20"/>
        </w:rPr>
      </w:pPr>
      <w:r w:rsidRPr="008162C8">
        <w:rPr>
          <w:rFonts w:ascii="Tahoma" w:hAnsi="Tahoma" w:cs="Tahoma"/>
          <w:sz w:val="20"/>
          <w:szCs w:val="20"/>
        </w:rPr>
        <w:t>Les exploitants du secteur alimentaire qui fabriquent des produits de la pêche et de l’aquaculture prêts à être consommés susceptibles de présenter un risque pour la santé publique lié à Listeria monocytogenes prélèvent des échantillons sur les lieux de transformation et sur le matériel utilisé en vue de détecter la présence de Listeria monocytogenes dans le cadre de leur plan d'échantillonnage.</w:t>
      </w:r>
    </w:p>
    <w:p w14:paraId="15CA6ED2" w14:textId="77777777" w:rsidR="005E1EA7" w:rsidRPr="008162C8" w:rsidRDefault="005E1EA7" w:rsidP="005E1EA7">
      <w:pPr>
        <w:autoSpaceDE w:val="0"/>
        <w:autoSpaceDN w:val="0"/>
        <w:adjustRightInd w:val="0"/>
        <w:ind w:left="284" w:firstLine="900"/>
        <w:jc w:val="both"/>
        <w:rPr>
          <w:rFonts w:ascii="Tahoma" w:hAnsi="Tahoma" w:cs="Tahoma"/>
          <w:i/>
          <w:iCs/>
          <w:sz w:val="20"/>
          <w:szCs w:val="20"/>
        </w:rPr>
      </w:pPr>
    </w:p>
    <w:p w14:paraId="120A1AE0" w14:textId="77777777" w:rsidR="005E1EA7" w:rsidRPr="008162C8" w:rsidRDefault="005E1EA7" w:rsidP="00420DDA">
      <w:pPr>
        <w:pStyle w:val="Paragraphedeliste"/>
        <w:numPr>
          <w:ilvl w:val="0"/>
          <w:numId w:val="180"/>
        </w:numPr>
        <w:autoSpaceDE w:val="0"/>
        <w:autoSpaceDN w:val="0"/>
        <w:adjustRightInd w:val="0"/>
        <w:ind w:left="284" w:hanging="284"/>
        <w:jc w:val="both"/>
        <w:rPr>
          <w:rFonts w:ascii="Tahoma" w:hAnsi="Tahoma" w:cs="Tahoma"/>
          <w:sz w:val="20"/>
          <w:szCs w:val="20"/>
        </w:rPr>
      </w:pPr>
      <w:r w:rsidRPr="008162C8">
        <w:rPr>
          <w:rFonts w:ascii="Tahoma" w:hAnsi="Tahoma" w:cs="Tahoma"/>
          <w:sz w:val="20"/>
          <w:szCs w:val="20"/>
        </w:rPr>
        <w:t>Si les essais visent à évaluer précisément l'acceptabilité d'un lot de mollusques bivalves vivants, de produits de la pêche ou d'un procédé déterminé, il faut respecter au minimum les plans d'échantillonnage définis dans les annexes I, II, III, IV et V ou dans les protocoles préparés par l’autorité compétente ».</w:t>
      </w:r>
    </w:p>
    <w:p w14:paraId="28B5B9C6" w14:textId="77777777" w:rsidR="005E1EA7" w:rsidRPr="008162C8" w:rsidRDefault="005E1EA7" w:rsidP="005E1EA7">
      <w:pPr>
        <w:autoSpaceDE w:val="0"/>
        <w:autoSpaceDN w:val="0"/>
        <w:adjustRightInd w:val="0"/>
        <w:jc w:val="both"/>
        <w:rPr>
          <w:rFonts w:ascii="Tahoma" w:hAnsi="Tahoma" w:cs="Tahoma"/>
          <w:sz w:val="20"/>
          <w:szCs w:val="20"/>
        </w:rPr>
      </w:pPr>
    </w:p>
    <w:p w14:paraId="5EA4B5D2" w14:textId="77777777" w:rsidR="005E1EA7" w:rsidRPr="008162C8" w:rsidRDefault="005E1EA7" w:rsidP="005E1EA7">
      <w:pPr>
        <w:autoSpaceDE w:val="0"/>
        <w:autoSpaceDN w:val="0"/>
        <w:adjustRightInd w:val="0"/>
        <w:jc w:val="both"/>
        <w:rPr>
          <w:rFonts w:ascii="Tahoma" w:hAnsi="Tahoma" w:cs="Tahoma"/>
          <w:sz w:val="20"/>
          <w:szCs w:val="20"/>
        </w:rPr>
      </w:pPr>
      <w:r w:rsidRPr="008162C8">
        <w:rPr>
          <w:rFonts w:ascii="Tahoma" w:hAnsi="Tahoma" w:cs="Tahoma"/>
          <w:b/>
          <w:sz w:val="20"/>
          <w:szCs w:val="20"/>
          <w:u w:val="single"/>
        </w:rPr>
        <w:t>Article 6</w:t>
      </w:r>
      <w:r w:rsidRPr="008162C8">
        <w:rPr>
          <w:rFonts w:ascii="Tahoma" w:hAnsi="Tahoma" w:cs="Tahoma"/>
          <w:sz w:val="20"/>
          <w:szCs w:val="20"/>
        </w:rPr>
        <w:t xml:space="preserve"> - Résultats insatisfaisants</w:t>
      </w:r>
    </w:p>
    <w:p w14:paraId="6FE031C5" w14:textId="77777777" w:rsidR="005E1EA7" w:rsidRPr="008162C8" w:rsidRDefault="005E1EA7" w:rsidP="005E1EA7">
      <w:pPr>
        <w:autoSpaceDE w:val="0"/>
        <w:autoSpaceDN w:val="0"/>
        <w:adjustRightInd w:val="0"/>
        <w:jc w:val="both"/>
        <w:rPr>
          <w:rFonts w:ascii="Tahoma" w:hAnsi="Tahoma" w:cs="Tahoma"/>
          <w:sz w:val="20"/>
          <w:szCs w:val="20"/>
        </w:rPr>
      </w:pPr>
    </w:p>
    <w:p w14:paraId="06E255C5" w14:textId="77777777" w:rsidR="005E1EA7" w:rsidRPr="008162C8" w:rsidRDefault="005E1EA7" w:rsidP="00420DDA">
      <w:pPr>
        <w:pStyle w:val="Corpsdetexte"/>
        <w:numPr>
          <w:ilvl w:val="0"/>
          <w:numId w:val="181"/>
        </w:numPr>
        <w:ind w:left="284" w:hanging="284"/>
        <w:rPr>
          <w:rFonts w:ascii="Tahoma" w:hAnsi="Tahoma" w:cs="Tahoma"/>
          <w:sz w:val="20"/>
          <w:szCs w:val="20"/>
        </w:rPr>
      </w:pPr>
      <w:r w:rsidRPr="008162C8">
        <w:rPr>
          <w:rFonts w:ascii="Tahoma" w:hAnsi="Tahoma" w:cs="Tahoma"/>
          <w:sz w:val="20"/>
          <w:szCs w:val="20"/>
        </w:rPr>
        <w:t>Lorsque les essais fondés sur les critères de sécurité définis à l'annexe I, les critères chimiques ou biotoxines marines donnent des résultats insatisfaisants, le lot de produit est retiré du marché. Cependant, si le lot de produit mis sur le marché est insatisfaisant pour un critère microbiologique et n’est pas encore au stade de la vente au détail, il peut être soumis à un traitement supplémentaire dans un établissement agréé afin d’éliminer le risque en question. Ce traitement ne peut être effectué que par des exploitants autres que ceux du commerce de détail.</w:t>
      </w:r>
    </w:p>
    <w:p w14:paraId="34011C24" w14:textId="77777777" w:rsidR="005E1EA7" w:rsidRPr="008162C8" w:rsidRDefault="005E1EA7" w:rsidP="005E1EA7">
      <w:pPr>
        <w:pStyle w:val="Corpsdetexte"/>
        <w:rPr>
          <w:rFonts w:ascii="Tahoma" w:hAnsi="Tahoma" w:cs="Tahoma"/>
          <w:sz w:val="20"/>
          <w:szCs w:val="20"/>
        </w:rPr>
      </w:pPr>
    </w:p>
    <w:p w14:paraId="29A1660C" w14:textId="77777777" w:rsidR="005E1EA7" w:rsidRPr="008162C8" w:rsidRDefault="005E1EA7" w:rsidP="00420DDA">
      <w:pPr>
        <w:pStyle w:val="Corpsdetexte"/>
        <w:numPr>
          <w:ilvl w:val="0"/>
          <w:numId w:val="181"/>
        </w:numPr>
        <w:ind w:left="284" w:hanging="284"/>
        <w:rPr>
          <w:rFonts w:ascii="Tahoma" w:hAnsi="Tahoma" w:cs="Tahoma"/>
          <w:sz w:val="20"/>
          <w:szCs w:val="20"/>
        </w:rPr>
      </w:pPr>
      <w:r w:rsidRPr="008162C8">
        <w:rPr>
          <w:rFonts w:ascii="Tahoma" w:hAnsi="Tahoma" w:cs="Tahoma"/>
          <w:sz w:val="20"/>
          <w:szCs w:val="20"/>
        </w:rPr>
        <w:t xml:space="preserve">Les exploitants prennent en outre des mesures correctives qui leur permettront de découvrir la cause des résultats insatisfaisants en vue de prévenir la réapparition de toute contamination microbiologique inacceptable. Ces mesures peuvent comporter des modifications des procédures fondées sur les principes HACCP ou des autres mesures de contrôle de l'hygiène des mollusques bivalves vivants en vigueur pour protéger la santé des consommateurs. </w:t>
      </w:r>
    </w:p>
    <w:p w14:paraId="2FD4B373" w14:textId="77777777" w:rsidR="005E1EA7" w:rsidRPr="008162C8" w:rsidRDefault="005E1EA7" w:rsidP="005E1EA7">
      <w:pPr>
        <w:autoSpaceDE w:val="0"/>
        <w:autoSpaceDN w:val="0"/>
        <w:adjustRightInd w:val="0"/>
        <w:jc w:val="both"/>
        <w:rPr>
          <w:rFonts w:ascii="Tahoma" w:hAnsi="Tahoma" w:cs="Tahoma"/>
          <w:sz w:val="20"/>
          <w:szCs w:val="20"/>
        </w:rPr>
      </w:pPr>
    </w:p>
    <w:p w14:paraId="0DF51B7F" w14:textId="77777777" w:rsidR="005E1EA7" w:rsidRPr="008162C8" w:rsidRDefault="005E1EA7" w:rsidP="00420DDA">
      <w:pPr>
        <w:pStyle w:val="Corpsdetexte"/>
        <w:numPr>
          <w:ilvl w:val="0"/>
          <w:numId w:val="181"/>
        </w:numPr>
        <w:ind w:left="284" w:hanging="284"/>
        <w:rPr>
          <w:rFonts w:ascii="Tahoma" w:hAnsi="Tahoma" w:cs="Tahoma"/>
          <w:sz w:val="20"/>
          <w:szCs w:val="20"/>
        </w:rPr>
      </w:pPr>
      <w:r w:rsidRPr="008162C8">
        <w:rPr>
          <w:rFonts w:ascii="Tahoma" w:hAnsi="Tahoma" w:cs="Tahoma"/>
          <w:sz w:val="20"/>
          <w:szCs w:val="20"/>
        </w:rPr>
        <w:t>Lorsque les résultats concernant les critères d’hygiène des procédés définis à l’annexe I sont insatisfaisants, des mesures doivent être prises pour améliorer l’hygiène de production.</w:t>
      </w:r>
    </w:p>
    <w:p w14:paraId="0F2C8D03" w14:textId="77777777" w:rsidR="005E1EA7" w:rsidRPr="008162C8" w:rsidRDefault="005E1EA7" w:rsidP="005E1EA7">
      <w:pPr>
        <w:autoSpaceDE w:val="0"/>
        <w:autoSpaceDN w:val="0"/>
        <w:adjustRightInd w:val="0"/>
        <w:jc w:val="both"/>
        <w:rPr>
          <w:rFonts w:ascii="Tahoma" w:hAnsi="Tahoma" w:cs="Tahoma"/>
          <w:sz w:val="20"/>
          <w:szCs w:val="20"/>
        </w:rPr>
      </w:pPr>
    </w:p>
    <w:p w14:paraId="3B2A7692" w14:textId="77777777" w:rsidR="005E1EA7" w:rsidRPr="008162C8" w:rsidRDefault="005E1EA7" w:rsidP="005E1EA7">
      <w:pPr>
        <w:autoSpaceDE w:val="0"/>
        <w:autoSpaceDN w:val="0"/>
        <w:adjustRightInd w:val="0"/>
        <w:jc w:val="both"/>
        <w:rPr>
          <w:rFonts w:ascii="Tahoma" w:hAnsi="Tahoma" w:cs="Tahoma"/>
          <w:b/>
          <w:sz w:val="20"/>
          <w:szCs w:val="20"/>
        </w:rPr>
      </w:pPr>
      <w:r w:rsidRPr="008162C8">
        <w:rPr>
          <w:rFonts w:ascii="Tahoma" w:hAnsi="Tahoma" w:cs="Tahoma"/>
          <w:b/>
          <w:sz w:val="20"/>
          <w:szCs w:val="20"/>
          <w:u w:val="single"/>
        </w:rPr>
        <w:t>Article 7</w:t>
      </w:r>
      <w:r w:rsidRPr="008162C8">
        <w:rPr>
          <w:rFonts w:ascii="Tahoma" w:hAnsi="Tahoma" w:cs="Tahoma"/>
          <w:b/>
          <w:sz w:val="20"/>
          <w:szCs w:val="20"/>
        </w:rPr>
        <w:t xml:space="preserve"> - Analyse de l'évolution des résultats</w:t>
      </w:r>
    </w:p>
    <w:p w14:paraId="671387A4" w14:textId="77777777" w:rsidR="005E1EA7" w:rsidRPr="008162C8" w:rsidRDefault="005E1EA7" w:rsidP="005E1EA7">
      <w:pPr>
        <w:autoSpaceDE w:val="0"/>
        <w:autoSpaceDN w:val="0"/>
        <w:adjustRightInd w:val="0"/>
        <w:jc w:val="both"/>
        <w:rPr>
          <w:rFonts w:ascii="Tahoma" w:hAnsi="Tahoma" w:cs="Tahoma"/>
          <w:sz w:val="20"/>
          <w:szCs w:val="20"/>
        </w:rPr>
      </w:pPr>
    </w:p>
    <w:p w14:paraId="73479F27" w14:textId="77777777" w:rsidR="005E1EA7" w:rsidRPr="008162C8" w:rsidRDefault="005E1EA7" w:rsidP="005E1EA7">
      <w:pPr>
        <w:autoSpaceDE w:val="0"/>
        <w:autoSpaceDN w:val="0"/>
        <w:adjustRightInd w:val="0"/>
        <w:jc w:val="both"/>
        <w:rPr>
          <w:rFonts w:ascii="Tahoma" w:hAnsi="Tahoma" w:cs="Tahoma"/>
          <w:sz w:val="20"/>
          <w:szCs w:val="20"/>
        </w:rPr>
      </w:pPr>
      <w:r w:rsidRPr="008162C8">
        <w:rPr>
          <w:rFonts w:ascii="Tahoma" w:hAnsi="Tahoma" w:cs="Tahoma"/>
          <w:sz w:val="20"/>
          <w:szCs w:val="20"/>
        </w:rPr>
        <w:t>Les exploitants de mollusques bivalves et de produits de la pêche analysent l'évolution des résultats des essais pratiqués sur les échantillons prélevés. Lorsqu'une évolution approchant des résultats insatisfaisants est observée, ils prennent sans retard injustifié des mesures appropriées pour corriger la situation en vue de prévenir l'apparition des risques.</w:t>
      </w:r>
    </w:p>
    <w:p w14:paraId="1DB18FAF" w14:textId="77777777" w:rsidR="005E1EA7" w:rsidRPr="008162C8" w:rsidRDefault="005E1EA7" w:rsidP="005E1EA7">
      <w:pPr>
        <w:autoSpaceDE w:val="0"/>
        <w:autoSpaceDN w:val="0"/>
        <w:adjustRightInd w:val="0"/>
        <w:jc w:val="both"/>
        <w:rPr>
          <w:rFonts w:ascii="Tahoma" w:hAnsi="Tahoma" w:cs="Tahoma"/>
          <w:sz w:val="20"/>
          <w:szCs w:val="20"/>
        </w:rPr>
      </w:pPr>
    </w:p>
    <w:p w14:paraId="3FE1F16F" w14:textId="77777777" w:rsidR="005E1EA7" w:rsidRPr="008162C8" w:rsidRDefault="005E1EA7" w:rsidP="005E1EA7">
      <w:pPr>
        <w:autoSpaceDE w:val="0"/>
        <w:autoSpaceDN w:val="0"/>
        <w:adjustRightInd w:val="0"/>
        <w:jc w:val="center"/>
        <w:rPr>
          <w:rFonts w:ascii="Tahoma" w:hAnsi="Tahoma" w:cs="Tahoma"/>
          <w:b/>
          <w:bCs/>
          <w:sz w:val="20"/>
          <w:szCs w:val="20"/>
        </w:rPr>
      </w:pPr>
      <w:r w:rsidRPr="008162C8">
        <w:rPr>
          <w:rFonts w:ascii="Tahoma" w:hAnsi="Tahoma" w:cs="Tahoma"/>
          <w:b/>
          <w:bCs/>
          <w:sz w:val="20"/>
          <w:szCs w:val="20"/>
        </w:rPr>
        <w:t>CHAPITRE III – DISPOSITIONS FINALES</w:t>
      </w:r>
    </w:p>
    <w:p w14:paraId="59F80664" w14:textId="77777777" w:rsidR="005E1EA7" w:rsidRPr="008162C8" w:rsidRDefault="005E1EA7" w:rsidP="005E1EA7">
      <w:pPr>
        <w:autoSpaceDE w:val="0"/>
        <w:autoSpaceDN w:val="0"/>
        <w:adjustRightInd w:val="0"/>
        <w:jc w:val="both"/>
        <w:rPr>
          <w:rFonts w:ascii="Tahoma" w:hAnsi="Tahoma" w:cs="Tahoma"/>
          <w:sz w:val="20"/>
          <w:szCs w:val="20"/>
        </w:rPr>
      </w:pPr>
    </w:p>
    <w:p w14:paraId="1B1A06B8" w14:textId="77777777" w:rsidR="005E1EA7" w:rsidRPr="008162C8" w:rsidRDefault="005E1EA7" w:rsidP="005E1EA7">
      <w:pPr>
        <w:autoSpaceDE w:val="0"/>
        <w:autoSpaceDN w:val="0"/>
        <w:adjustRightInd w:val="0"/>
        <w:jc w:val="both"/>
        <w:rPr>
          <w:rFonts w:ascii="Tahoma" w:hAnsi="Tahoma" w:cs="Tahoma"/>
          <w:b/>
          <w:sz w:val="20"/>
          <w:szCs w:val="20"/>
        </w:rPr>
      </w:pPr>
      <w:r w:rsidRPr="008162C8">
        <w:rPr>
          <w:rFonts w:ascii="Tahoma" w:hAnsi="Tahoma" w:cs="Tahoma"/>
          <w:b/>
          <w:sz w:val="20"/>
          <w:szCs w:val="20"/>
          <w:u w:val="single"/>
        </w:rPr>
        <w:t>Article 8</w:t>
      </w:r>
      <w:r w:rsidRPr="008162C8">
        <w:rPr>
          <w:rFonts w:ascii="Tahoma" w:hAnsi="Tahoma" w:cs="Tahoma"/>
          <w:b/>
          <w:sz w:val="20"/>
          <w:szCs w:val="20"/>
        </w:rPr>
        <w:t xml:space="preserve"> – Révision de l’arrêté</w:t>
      </w:r>
    </w:p>
    <w:p w14:paraId="508072E5" w14:textId="77777777" w:rsidR="005E1EA7" w:rsidRPr="008162C8" w:rsidRDefault="005E1EA7" w:rsidP="005E1EA7">
      <w:pPr>
        <w:autoSpaceDE w:val="0"/>
        <w:autoSpaceDN w:val="0"/>
        <w:adjustRightInd w:val="0"/>
        <w:jc w:val="both"/>
        <w:rPr>
          <w:rFonts w:ascii="Tahoma" w:eastAsia="EUAlbertina-Regular-Identity-H" w:hAnsi="Tahoma" w:cs="Tahoma"/>
          <w:sz w:val="20"/>
          <w:szCs w:val="20"/>
        </w:rPr>
      </w:pPr>
    </w:p>
    <w:p w14:paraId="6AC4A1EA" w14:textId="77777777" w:rsidR="005E1EA7" w:rsidRPr="008162C8" w:rsidRDefault="005E1EA7" w:rsidP="005E1EA7">
      <w:pPr>
        <w:autoSpaceDE w:val="0"/>
        <w:autoSpaceDN w:val="0"/>
        <w:adjustRightInd w:val="0"/>
        <w:jc w:val="both"/>
        <w:rPr>
          <w:rFonts w:ascii="Tahoma" w:eastAsia="EUAlbertina-Regular-Identity-H" w:hAnsi="Tahoma" w:cs="Tahoma"/>
          <w:sz w:val="20"/>
          <w:szCs w:val="20"/>
        </w:rPr>
      </w:pPr>
      <w:r w:rsidRPr="008162C8">
        <w:rPr>
          <w:rFonts w:ascii="Tahoma" w:eastAsia="EUAlbertina-Regular-Identity-H" w:hAnsi="Tahoma" w:cs="Tahoma"/>
          <w:sz w:val="20"/>
          <w:szCs w:val="20"/>
        </w:rPr>
        <w:t>Des mesures d’application ou de modification peuvent être arrêtées pour :</w:t>
      </w:r>
    </w:p>
    <w:p w14:paraId="14848F56" w14:textId="77777777" w:rsidR="005E1EA7" w:rsidRPr="008162C8" w:rsidRDefault="005E1EA7" w:rsidP="005E1EA7">
      <w:pPr>
        <w:autoSpaceDE w:val="0"/>
        <w:autoSpaceDN w:val="0"/>
        <w:adjustRightInd w:val="0"/>
        <w:jc w:val="both"/>
        <w:rPr>
          <w:rFonts w:ascii="Tahoma" w:hAnsi="Tahoma" w:cs="Tahoma"/>
          <w:sz w:val="20"/>
          <w:szCs w:val="20"/>
        </w:rPr>
      </w:pPr>
    </w:p>
    <w:p w14:paraId="3C7B9D5A" w14:textId="77777777" w:rsidR="005E1EA7" w:rsidRPr="008162C8" w:rsidRDefault="005E1EA7" w:rsidP="00420DDA">
      <w:pPr>
        <w:pStyle w:val="Paragraphedeliste"/>
        <w:numPr>
          <w:ilvl w:val="1"/>
          <w:numId w:val="182"/>
        </w:numPr>
        <w:autoSpaceDE w:val="0"/>
        <w:autoSpaceDN w:val="0"/>
        <w:adjustRightInd w:val="0"/>
        <w:ind w:left="284" w:hanging="284"/>
        <w:jc w:val="both"/>
        <w:rPr>
          <w:rFonts w:ascii="Tahoma" w:eastAsia="EUAlbertina-Regular-Identity-H" w:hAnsi="Tahoma" w:cs="Tahoma"/>
          <w:sz w:val="20"/>
          <w:szCs w:val="20"/>
        </w:rPr>
      </w:pPr>
      <w:proofErr w:type="gramStart"/>
      <w:r w:rsidRPr="008162C8">
        <w:rPr>
          <w:rFonts w:ascii="Tahoma" w:eastAsia="EUAlbertina-Regular-Identity-H" w:hAnsi="Tahoma" w:cs="Tahoma"/>
          <w:sz w:val="20"/>
          <w:szCs w:val="20"/>
        </w:rPr>
        <w:t>fixer</w:t>
      </w:r>
      <w:proofErr w:type="gramEnd"/>
      <w:r w:rsidRPr="008162C8">
        <w:rPr>
          <w:rFonts w:ascii="Tahoma" w:eastAsia="EUAlbertina-Regular-Identity-H" w:hAnsi="Tahoma" w:cs="Tahoma"/>
          <w:sz w:val="20"/>
          <w:szCs w:val="20"/>
        </w:rPr>
        <w:t xml:space="preserve"> des normes ou contrôles sanitaires supplémentaires pour les mollusques bivalves vivants lorsque les données scientifiques en démontreront la nécessité pour sauvegarder la santé publique, à savoir :</w:t>
      </w:r>
    </w:p>
    <w:p w14:paraId="6D5047A1" w14:textId="77777777" w:rsidR="005E1EA7" w:rsidRPr="008162C8" w:rsidRDefault="005E1EA7" w:rsidP="005E1EA7">
      <w:pPr>
        <w:autoSpaceDE w:val="0"/>
        <w:autoSpaceDN w:val="0"/>
        <w:adjustRightInd w:val="0"/>
        <w:jc w:val="both"/>
        <w:rPr>
          <w:rFonts w:ascii="Tahoma" w:eastAsia="EUAlbertina-Regular-Identity-H" w:hAnsi="Tahoma" w:cs="Tahoma"/>
          <w:sz w:val="20"/>
          <w:szCs w:val="20"/>
        </w:rPr>
      </w:pPr>
    </w:p>
    <w:p w14:paraId="3BD8E5B2" w14:textId="77777777" w:rsidR="005E1EA7" w:rsidRPr="008162C8" w:rsidRDefault="005E1EA7" w:rsidP="00420DDA">
      <w:pPr>
        <w:pStyle w:val="Paragraphedeliste"/>
        <w:numPr>
          <w:ilvl w:val="2"/>
          <w:numId w:val="187"/>
        </w:numPr>
        <w:autoSpaceDE w:val="0"/>
        <w:autoSpaceDN w:val="0"/>
        <w:adjustRightInd w:val="0"/>
        <w:ind w:left="709"/>
        <w:jc w:val="both"/>
        <w:rPr>
          <w:rFonts w:ascii="Tahoma" w:eastAsia="EUAlbertina-Regular-Identity-H" w:hAnsi="Tahoma" w:cs="Tahoma"/>
          <w:sz w:val="20"/>
          <w:szCs w:val="20"/>
        </w:rPr>
      </w:pPr>
      <w:proofErr w:type="gramStart"/>
      <w:r w:rsidRPr="008162C8">
        <w:rPr>
          <w:rFonts w:ascii="Tahoma" w:eastAsia="EUAlbertina-Regular-Identity-H" w:hAnsi="Tahoma" w:cs="Tahoma"/>
          <w:sz w:val="20"/>
          <w:szCs w:val="20"/>
        </w:rPr>
        <w:lastRenderedPageBreak/>
        <w:t>les</w:t>
      </w:r>
      <w:proofErr w:type="gramEnd"/>
      <w:r w:rsidRPr="008162C8">
        <w:rPr>
          <w:rFonts w:ascii="Tahoma" w:eastAsia="EUAlbertina-Regular-Identity-H" w:hAnsi="Tahoma" w:cs="Tahoma"/>
          <w:sz w:val="20"/>
          <w:szCs w:val="20"/>
        </w:rPr>
        <w:t xml:space="preserve"> valeurs limites à respecter et les méthodes d’analyse pour les biotoxines marines ou les critères chimiques, par exemple les dioxines et les polychlorobiphényles (PCB) de type dioxine ou les hydrocarbures aromatiques polycycliques,</w:t>
      </w:r>
    </w:p>
    <w:p w14:paraId="0AF0C166" w14:textId="77777777" w:rsidR="005E1EA7" w:rsidRPr="008162C8" w:rsidRDefault="005E1EA7" w:rsidP="00420DDA">
      <w:pPr>
        <w:pStyle w:val="Paragraphedeliste"/>
        <w:numPr>
          <w:ilvl w:val="2"/>
          <w:numId w:val="187"/>
        </w:numPr>
        <w:autoSpaceDE w:val="0"/>
        <w:autoSpaceDN w:val="0"/>
        <w:adjustRightInd w:val="0"/>
        <w:ind w:left="709"/>
        <w:jc w:val="both"/>
        <w:rPr>
          <w:rFonts w:ascii="Tahoma" w:eastAsia="EUAlbertina-Regular-Identity-H" w:hAnsi="Tahoma" w:cs="Tahoma"/>
          <w:sz w:val="20"/>
          <w:szCs w:val="20"/>
        </w:rPr>
      </w:pPr>
      <w:proofErr w:type="gramStart"/>
      <w:r w:rsidRPr="008162C8">
        <w:rPr>
          <w:rFonts w:ascii="Tahoma" w:eastAsia="EUAlbertina-Regular-Identity-H" w:hAnsi="Tahoma" w:cs="Tahoma"/>
          <w:sz w:val="20"/>
          <w:szCs w:val="20"/>
        </w:rPr>
        <w:t>les</w:t>
      </w:r>
      <w:proofErr w:type="gramEnd"/>
      <w:r w:rsidRPr="008162C8">
        <w:rPr>
          <w:rFonts w:ascii="Tahoma" w:eastAsia="EUAlbertina-Regular-Identity-H" w:hAnsi="Tahoma" w:cs="Tahoma"/>
          <w:sz w:val="20"/>
          <w:szCs w:val="20"/>
        </w:rPr>
        <w:t xml:space="preserve"> procédures de recherche des virus et les normes virologiques,</w:t>
      </w:r>
    </w:p>
    <w:p w14:paraId="51381077" w14:textId="77777777" w:rsidR="005E1EA7" w:rsidRPr="008162C8" w:rsidRDefault="005E1EA7" w:rsidP="00420DDA">
      <w:pPr>
        <w:pStyle w:val="Paragraphedeliste"/>
        <w:numPr>
          <w:ilvl w:val="2"/>
          <w:numId w:val="187"/>
        </w:numPr>
        <w:autoSpaceDE w:val="0"/>
        <w:autoSpaceDN w:val="0"/>
        <w:adjustRightInd w:val="0"/>
        <w:ind w:left="709"/>
        <w:jc w:val="both"/>
        <w:rPr>
          <w:rFonts w:ascii="Tahoma" w:eastAsia="EUAlbertina-Regular-Identity-H" w:hAnsi="Tahoma" w:cs="Tahoma"/>
          <w:sz w:val="20"/>
          <w:szCs w:val="20"/>
        </w:rPr>
      </w:pPr>
      <w:proofErr w:type="gramStart"/>
      <w:r w:rsidRPr="008162C8">
        <w:rPr>
          <w:rFonts w:ascii="Tahoma" w:eastAsia="EUAlbertina-Regular-Identity-H" w:hAnsi="Tahoma" w:cs="Tahoma"/>
          <w:sz w:val="20"/>
          <w:szCs w:val="20"/>
        </w:rPr>
        <w:t>les</w:t>
      </w:r>
      <w:proofErr w:type="gramEnd"/>
      <w:r w:rsidRPr="008162C8">
        <w:rPr>
          <w:rFonts w:ascii="Tahoma" w:eastAsia="EUAlbertina-Regular-Identity-H" w:hAnsi="Tahoma" w:cs="Tahoma"/>
          <w:sz w:val="20"/>
          <w:szCs w:val="20"/>
        </w:rPr>
        <w:t xml:space="preserve"> plans d’échantillonnage ainsi que les méthodes et les tolérances analytiques à appliquer en vue de contrôler le respect des normes sanitaires.</w:t>
      </w:r>
    </w:p>
    <w:p w14:paraId="6EDC77B9" w14:textId="77777777" w:rsidR="005E1EA7" w:rsidRPr="008162C8" w:rsidRDefault="005E1EA7" w:rsidP="005E1EA7">
      <w:pPr>
        <w:autoSpaceDE w:val="0"/>
        <w:autoSpaceDN w:val="0"/>
        <w:adjustRightInd w:val="0"/>
        <w:jc w:val="both"/>
        <w:rPr>
          <w:rFonts w:ascii="Tahoma" w:eastAsia="EUAlbertina-Regular-Identity-H" w:hAnsi="Tahoma" w:cs="Tahoma"/>
          <w:sz w:val="20"/>
          <w:szCs w:val="20"/>
        </w:rPr>
      </w:pPr>
    </w:p>
    <w:p w14:paraId="1AE9F3E3" w14:textId="77777777" w:rsidR="005E1EA7" w:rsidRPr="008162C8" w:rsidRDefault="005E1EA7" w:rsidP="00420DDA">
      <w:pPr>
        <w:pStyle w:val="Paragraphedeliste"/>
        <w:numPr>
          <w:ilvl w:val="1"/>
          <w:numId w:val="182"/>
        </w:numPr>
        <w:autoSpaceDE w:val="0"/>
        <w:autoSpaceDN w:val="0"/>
        <w:adjustRightInd w:val="0"/>
        <w:ind w:left="284" w:hanging="284"/>
        <w:jc w:val="both"/>
        <w:rPr>
          <w:rFonts w:ascii="Tahoma" w:eastAsia="EUAlbertina-Regular-Identity-H" w:hAnsi="Tahoma" w:cs="Tahoma"/>
          <w:sz w:val="20"/>
          <w:szCs w:val="20"/>
        </w:rPr>
      </w:pPr>
      <w:proofErr w:type="gramStart"/>
      <w:r w:rsidRPr="008162C8">
        <w:rPr>
          <w:rFonts w:ascii="Tahoma" w:eastAsia="EUAlbertina-Regular-Identity-H" w:hAnsi="Tahoma" w:cs="Tahoma"/>
          <w:sz w:val="20"/>
          <w:szCs w:val="20"/>
        </w:rPr>
        <w:t>fixer</w:t>
      </w:r>
      <w:proofErr w:type="gramEnd"/>
      <w:r w:rsidRPr="008162C8">
        <w:rPr>
          <w:rFonts w:ascii="Tahoma" w:eastAsia="EUAlbertina-Regular-Identity-H" w:hAnsi="Tahoma" w:cs="Tahoma"/>
          <w:sz w:val="20"/>
          <w:szCs w:val="20"/>
        </w:rPr>
        <w:t xml:space="preserve"> des normes ou contrôles sanitaires supplémentaires pour les produits de la pêche lorsque les données scientifiques en démontreront la nécessité pour sauvegarder la santé publique.</w:t>
      </w:r>
    </w:p>
    <w:p w14:paraId="1C3E12B9" w14:textId="77777777" w:rsidR="005E1EA7" w:rsidRPr="008162C8" w:rsidRDefault="005E1EA7" w:rsidP="005E1EA7">
      <w:pPr>
        <w:autoSpaceDE w:val="0"/>
        <w:autoSpaceDN w:val="0"/>
        <w:adjustRightInd w:val="0"/>
        <w:jc w:val="both"/>
        <w:rPr>
          <w:rFonts w:ascii="Tahoma" w:eastAsia="EUAlbertina-Italic-Identity-H" w:hAnsi="Tahoma" w:cs="Tahoma"/>
          <w:sz w:val="20"/>
          <w:szCs w:val="20"/>
        </w:rPr>
      </w:pPr>
    </w:p>
    <w:p w14:paraId="14611315" w14:textId="77777777" w:rsidR="005E1EA7" w:rsidRPr="008162C8" w:rsidRDefault="005E1EA7" w:rsidP="005E1EA7">
      <w:pPr>
        <w:autoSpaceDE w:val="0"/>
        <w:autoSpaceDN w:val="0"/>
        <w:adjustRightInd w:val="0"/>
        <w:jc w:val="both"/>
        <w:rPr>
          <w:rFonts w:ascii="Tahoma" w:hAnsi="Tahoma" w:cs="Tahoma"/>
          <w:b/>
          <w:sz w:val="20"/>
          <w:szCs w:val="20"/>
        </w:rPr>
      </w:pPr>
      <w:r w:rsidRPr="008162C8">
        <w:rPr>
          <w:rFonts w:ascii="Tahoma" w:hAnsi="Tahoma" w:cs="Tahoma"/>
          <w:b/>
          <w:sz w:val="20"/>
          <w:szCs w:val="20"/>
          <w:u w:val="single"/>
        </w:rPr>
        <w:t>Article 9</w:t>
      </w:r>
      <w:r w:rsidRPr="008162C8">
        <w:rPr>
          <w:rFonts w:ascii="Tahoma" w:hAnsi="Tahoma" w:cs="Tahoma"/>
          <w:b/>
          <w:sz w:val="20"/>
          <w:szCs w:val="20"/>
        </w:rPr>
        <w:t>- Sanctions</w:t>
      </w:r>
    </w:p>
    <w:p w14:paraId="6B25D83B" w14:textId="77777777" w:rsidR="005E1EA7" w:rsidRPr="008162C8" w:rsidRDefault="005E1EA7" w:rsidP="005E1EA7">
      <w:pPr>
        <w:autoSpaceDE w:val="0"/>
        <w:autoSpaceDN w:val="0"/>
        <w:adjustRightInd w:val="0"/>
        <w:jc w:val="both"/>
        <w:rPr>
          <w:rFonts w:ascii="Tahoma" w:hAnsi="Tahoma" w:cs="Tahoma"/>
          <w:sz w:val="20"/>
          <w:szCs w:val="20"/>
        </w:rPr>
      </w:pPr>
    </w:p>
    <w:p w14:paraId="25E533D7" w14:textId="77777777" w:rsidR="005E1EA7" w:rsidRPr="008162C8" w:rsidRDefault="005E1EA7" w:rsidP="005E1EA7">
      <w:pPr>
        <w:autoSpaceDE w:val="0"/>
        <w:autoSpaceDN w:val="0"/>
        <w:adjustRightInd w:val="0"/>
        <w:jc w:val="both"/>
        <w:rPr>
          <w:rFonts w:ascii="Tahoma" w:hAnsi="Tahoma" w:cs="Tahoma"/>
          <w:sz w:val="20"/>
          <w:szCs w:val="20"/>
        </w:rPr>
      </w:pPr>
      <w:r w:rsidRPr="008162C8">
        <w:rPr>
          <w:rFonts w:ascii="Tahoma" w:hAnsi="Tahoma" w:cs="Tahoma"/>
          <w:sz w:val="20"/>
          <w:szCs w:val="20"/>
        </w:rPr>
        <w:t>Les infractions au présent arrêté seront punies conformément aux dispositions de la loi portant Code des Pêches Maritimes en vigueur.</w:t>
      </w:r>
    </w:p>
    <w:p w14:paraId="650281DD" w14:textId="77777777" w:rsidR="005E1EA7" w:rsidRPr="008162C8" w:rsidRDefault="005E1EA7" w:rsidP="005E1EA7">
      <w:pPr>
        <w:autoSpaceDE w:val="0"/>
        <w:autoSpaceDN w:val="0"/>
        <w:adjustRightInd w:val="0"/>
        <w:jc w:val="both"/>
        <w:rPr>
          <w:rFonts w:ascii="Tahoma" w:hAnsi="Tahoma" w:cs="Tahoma"/>
          <w:sz w:val="20"/>
          <w:szCs w:val="20"/>
        </w:rPr>
      </w:pPr>
    </w:p>
    <w:p w14:paraId="2C3CF56B" w14:textId="77777777" w:rsidR="005E1EA7" w:rsidRPr="008162C8" w:rsidRDefault="005E1EA7" w:rsidP="005E1EA7">
      <w:pPr>
        <w:autoSpaceDE w:val="0"/>
        <w:autoSpaceDN w:val="0"/>
        <w:adjustRightInd w:val="0"/>
        <w:jc w:val="both"/>
        <w:rPr>
          <w:rFonts w:ascii="Tahoma" w:hAnsi="Tahoma" w:cs="Tahoma"/>
          <w:iCs/>
          <w:sz w:val="20"/>
          <w:szCs w:val="20"/>
        </w:rPr>
      </w:pPr>
      <w:r w:rsidRPr="008162C8">
        <w:rPr>
          <w:rFonts w:ascii="Tahoma" w:hAnsi="Tahoma" w:cs="Tahoma"/>
          <w:iCs/>
          <w:sz w:val="20"/>
          <w:szCs w:val="20"/>
        </w:rPr>
        <w:t>Ces infractions sont constatées par les agents de contrôle de l’ONISPA conformément aux dispositions de l’article 10 du décret n° 81.062 du 2 avril 1981 portant réglementation de l’inspection sanitaire et du contrôle de salubrité des produits de la pêche destinés à l’alimentation humaine et sanctionnées conformément aux dispositions de la réglementation en vigueur.</w:t>
      </w:r>
    </w:p>
    <w:p w14:paraId="399FE68F" w14:textId="77777777" w:rsidR="005E1EA7" w:rsidRPr="008162C8" w:rsidRDefault="005E1EA7" w:rsidP="005E1EA7">
      <w:pPr>
        <w:autoSpaceDE w:val="0"/>
        <w:autoSpaceDN w:val="0"/>
        <w:adjustRightInd w:val="0"/>
        <w:jc w:val="both"/>
        <w:rPr>
          <w:rFonts w:ascii="Tahoma" w:hAnsi="Tahoma" w:cs="Tahoma"/>
          <w:sz w:val="20"/>
          <w:szCs w:val="20"/>
        </w:rPr>
      </w:pPr>
    </w:p>
    <w:p w14:paraId="465CC9E0" w14:textId="77777777" w:rsidR="005E1EA7" w:rsidRPr="008162C8" w:rsidRDefault="005E1EA7" w:rsidP="005E1EA7">
      <w:pPr>
        <w:autoSpaceDE w:val="0"/>
        <w:autoSpaceDN w:val="0"/>
        <w:adjustRightInd w:val="0"/>
        <w:jc w:val="both"/>
        <w:rPr>
          <w:rFonts w:ascii="Tahoma" w:hAnsi="Tahoma" w:cs="Tahoma"/>
          <w:sz w:val="20"/>
          <w:szCs w:val="20"/>
        </w:rPr>
      </w:pPr>
      <w:r w:rsidRPr="008162C8">
        <w:rPr>
          <w:rFonts w:ascii="Tahoma" w:hAnsi="Tahoma" w:cs="Tahoma"/>
          <w:b/>
          <w:sz w:val="20"/>
          <w:szCs w:val="20"/>
          <w:u w:val="single"/>
        </w:rPr>
        <w:t>Article 10</w:t>
      </w:r>
      <w:r w:rsidRPr="008162C8">
        <w:rPr>
          <w:rFonts w:ascii="Tahoma" w:hAnsi="Tahoma" w:cs="Tahoma"/>
          <w:sz w:val="20"/>
          <w:szCs w:val="20"/>
        </w:rPr>
        <w:t xml:space="preserve"> – Sont abrogées toutes dispositions antérieures et notamment les arrêtés conjoints suivants : l’arrêté conjoint n° 2905 du 16 novembre 2006, l’arrêté conjoint n° 2504 du 14 Novembre 2010, l’arrêté conjoint n° 0014 du 15 janvier 2019 et l’arrêté conjoint n°0793 du 23 septembre 2019.</w:t>
      </w:r>
    </w:p>
    <w:p w14:paraId="70B96C9D" w14:textId="77777777" w:rsidR="005E1EA7" w:rsidRPr="008162C8" w:rsidRDefault="005E1EA7" w:rsidP="005E1EA7">
      <w:pPr>
        <w:autoSpaceDE w:val="0"/>
        <w:autoSpaceDN w:val="0"/>
        <w:adjustRightInd w:val="0"/>
        <w:jc w:val="both"/>
        <w:rPr>
          <w:rFonts w:ascii="Tahoma" w:hAnsi="Tahoma" w:cs="Tahoma"/>
          <w:sz w:val="20"/>
          <w:szCs w:val="20"/>
        </w:rPr>
      </w:pPr>
    </w:p>
    <w:p w14:paraId="1488C5DD" w14:textId="77777777" w:rsidR="005E1EA7" w:rsidRPr="008162C8" w:rsidRDefault="005E1EA7" w:rsidP="005E1EA7">
      <w:pPr>
        <w:jc w:val="both"/>
        <w:rPr>
          <w:rFonts w:ascii="Tahoma" w:hAnsi="Tahoma" w:cs="Tahoma"/>
          <w:sz w:val="20"/>
          <w:szCs w:val="20"/>
        </w:rPr>
      </w:pPr>
      <w:r w:rsidRPr="008162C8">
        <w:rPr>
          <w:rFonts w:ascii="Tahoma" w:hAnsi="Tahoma" w:cs="Tahoma"/>
          <w:b/>
          <w:sz w:val="20"/>
          <w:szCs w:val="20"/>
          <w:u w:val="single"/>
        </w:rPr>
        <w:t xml:space="preserve">Article 11 </w:t>
      </w:r>
      <w:r w:rsidRPr="008162C8">
        <w:rPr>
          <w:rFonts w:ascii="Tahoma" w:hAnsi="Tahoma" w:cs="Tahoma"/>
          <w:sz w:val="20"/>
          <w:szCs w:val="20"/>
        </w:rPr>
        <w:t>- Le Secrétaire Général du Ministère de la Pêche, des Infrastructures Maritimes et Portuaires, le Secrétaire Général du Ministère de la Santé, le Secrétaire Général du Ministère de l'Elevage, le Secrétaire Général du Ministère du Commerce et du Tourisme sont chargés chacun en ce qui le concerne de l’exécution du présent arrêté qui sera publié au Journal Officiel de la République Islamique de Mauritanie.</w:t>
      </w:r>
    </w:p>
    <w:p w14:paraId="5E1B684E" w14:textId="77777777" w:rsidR="005E1EA7" w:rsidRPr="008162C8" w:rsidRDefault="005E1EA7" w:rsidP="005E1EA7">
      <w:pPr>
        <w:autoSpaceDE w:val="0"/>
        <w:autoSpaceDN w:val="0"/>
        <w:adjustRightInd w:val="0"/>
        <w:jc w:val="both"/>
        <w:rPr>
          <w:rFonts w:ascii="Tahoma" w:hAnsi="Tahoma" w:cs="Tahoma"/>
          <w:sz w:val="20"/>
          <w:szCs w:val="20"/>
        </w:rPr>
      </w:pPr>
    </w:p>
    <w:p w14:paraId="7EE05161" w14:textId="77777777" w:rsidR="001D02B9" w:rsidRPr="001D02B9" w:rsidRDefault="001D02B9" w:rsidP="001D02B9">
      <w:pPr>
        <w:autoSpaceDE w:val="0"/>
        <w:autoSpaceDN w:val="0"/>
        <w:adjustRightInd w:val="0"/>
        <w:spacing w:before="120" w:after="120"/>
        <w:jc w:val="right"/>
        <w:rPr>
          <w:rFonts w:ascii="Tahoma" w:hAnsi="Tahoma" w:cs="Tahoma"/>
          <w:color w:val="000000" w:themeColor="text1"/>
          <w:sz w:val="20"/>
          <w:szCs w:val="20"/>
        </w:rPr>
      </w:pPr>
      <w:r w:rsidRPr="001D02B9">
        <w:rPr>
          <w:rFonts w:ascii="Tahoma" w:hAnsi="Tahoma" w:cs="Tahoma"/>
          <w:i/>
          <w:iCs/>
          <w:color w:val="000000" w:themeColor="text1"/>
          <w:sz w:val="20"/>
          <w:szCs w:val="20"/>
        </w:rPr>
        <w:t>Fait à Nouakchott, le 30 juin 2025</w:t>
      </w:r>
    </w:p>
    <w:p w14:paraId="5016AAE3" w14:textId="77777777" w:rsidR="005E1EA7" w:rsidRPr="008162C8" w:rsidRDefault="005E1EA7" w:rsidP="005E1EA7">
      <w:pPr>
        <w:spacing w:line="240" w:lineRule="atLeast"/>
        <w:jc w:val="right"/>
        <w:rPr>
          <w:rFonts w:ascii="Tahoma" w:hAnsi="Tahoma" w:cs="Tahoma"/>
          <w:sz w:val="20"/>
          <w:szCs w:val="20"/>
        </w:rPr>
      </w:pPr>
    </w:p>
    <w:p w14:paraId="10A6B06B" w14:textId="77777777" w:rsidR="005E1EA7" w:rsidRPr="008162C8" w:rsidRDefault="005E1EA7" w:rsidP="005E1EA7">
      <w:pPr>
        <w:jc w:val="both"/>
        <w:rPr>
          <w:rFonts w:ascii="Tahoma" w:hAnsi="Tahoma" w:cs="Tahoma"/>
          <w:sz w:val="20"/>
          <w:szCs w:val="20"/>
        </w:rPr>
      </w:pPr>
    </w:p>
    <w:tbl>
      <w:tblPr>
        <w:tblW w:w="9634" w:type="dxa"/>
        <w:jc w:val="center"/>
        <w:tblLook w:val="04A0" w:firstRow="1" w:lastRow="0" w:firstColumn="1" w:lastColumn="0" w:noHBand="0" w:noVBand="1"/>
      </w:tblPr>
      <w:tblGrid>
        <w:gridCol w:w="5263"/>
        <w:gridCol w:w="4371"/>
      </w:tblGrid>
      <w:tr w:rsidR="005E1EA7" w:rsidRPr="008162C8" w14:paraId="36EACA6B" w14:textId="77777777" w:rsidTr="008162C8">
        <w:trPr>
          <w:trHeight w:val="589"/>
          <w:jc w:val="center"/>
        </w:trPr>
        <w:tc>
          <w:tcPr>
            <w:tcW w:w="5263" w:type="dxa"/>
            <w:shd w:val="clear" w:color="auto" w:fill="auto"/>
            <w:vAlign w:val="center"/>
          </w:tcPr>
          <w:p w14:paraId="2A56EE9C" w14:textId="7CCDE885" w:rsidR="005E1EA7" w:rsidRPr="008162C8" w:rsidRDefault="005E1EA7" w:rsidP="008162C8">
            <w:pPr>
              <w:pStyle w:val="Pieddepage"/>
              <w:tabs>
                <w:tab w:val="clear" w:pos="4536"/>
                <w:tab w:val="clear" w:pos="9072"/>
              </w:tabs>
              <w:spacing w:line="300" w:lineRule="exact"/>
              <w:jc w:val="center"/>
              <w:rPr>
                <w:rFonts w:ascii="Tahoma" w:hAnsi="Tahoma" w:cs="Tahoma"/>
                <w:caps/>
              </w:rPr>
            </w:pPr>
            <w:r w:rsidRPr="008162C8">
              <w:rPr>
                <w:rFonts w:ascii="Tahoma" w:hAnsi="Tahoma" w:cs="Tahoma"/>
              </w:rPr>
              <w:t>Le Ministre de la Pêche, des Infrastructures Maritimes Et Portuaires</w:t>
            </w:r>
          </w:p>
          <w:p w14:paraId="640CA8B7" w14:textId="77777777" w:rsidR="005E1EA7" w:rsidRPr="008162C8" w:rsidRDefault="005E1EA7" w:rsidP="006365F0">
            <w:pPr>
              <w:ind w:left="360" w:hanging="360"/>
              <w:jc w:val="center"/>
              <w:rPr>
                <w:rFonts w:ascii="Tahoma" w:hAnsi="Tahoma" w:cs="Tahoma"/>
                <w:b/>
                <w:bCs/>
                <w:sz w:val="20"/>
                <w:szCs w:val="20"/>
                <w:lang w:val="en-US"/>
              </w:rPr>
            </w:pPr>
            <w:r w:rsidRPr="008162C8">
              <w:rPr>
                <w:rFonts w:ascii="Tahoma" w:hAnsi="Tahoma" w:cs="Tahoma"/>
                <w:b/>
                <w:bCs/>
                <w:sz w:val="20"/>
                <w:szCs w:val="20"/>
                <w:lang w:val="en-US"/>
              </w:rPr>
              <w:t>El Vadil Ould Sidaty Ould AHMED LOULY</w:t>
            </w:r>
          </w:p>
          <w:p w14:paraId="54B170B6" w14:textId="77777777" w:rsidR="005E1EA7" w:rsidRPr="008162C8" w:rsidRDefault="005E1EA7" w:rsidP="006365F0">
            <w:pPr>
              <w:ind w:left="360" w:hanging="360"/>
              <w:jc w:val="center"/>
              <w:rPr>
                <w:rFonts w:ascii="Tahoma" w:hAnsi="Tahoma" w:cs="Tahoma"/>
                <w:b/>
                <w:bCs/>
                <w:sz w:val="20"/>
                <w:szCs w:val="20"/>
                <w:lang w:val="en-US"/>
              </w:rPr>
            </w:pPr>
          </w:p>
          <w:p w14:paraId="120AB5D4" w14:textId="77777777" w:rsidR="005E1EA7" w:rsidRDefault="005E1EA7" w:rsidP="008162C8">
            <w:pPr>
              <w:rPr>
                <w:rFonts w:ascii="Tahoma" w:hAnsi="Tahoma" w:cs="Tahoma"/>
                <w:b/>
                <w:bCs/>
                <w:sz w:val="20"/>
                <w:szCs w:val="20"/>
                <w:lang w:val="en-US"/>
              </w:rPr>
            </w:pPr>
          </w:p>
          <w:p w14:paraId="670E440A" w14:textId="77777777" w:rsidR="008162C8" w:rsidRPr="008162C8" w:rsidRDefault="008162C8" w:rsidP="008162C8">
            <w:pPr>
              <w:rPr>
                <w:rFonts w:ascii="Tahoma" w:hAnsi="Tahoma" w:cs="Tahoma"/>
                <w:b/>
                <w:bCs/>
                <w:sz w:val="20"/>
                <w:szCs w:val="20"/>
                <w:lang w:val="en-US"/>
              </w:rPr>
            </w:pPr>
          </w:p>
        </w:tc>
        <w:tc>
          <w:tcPr>
            <w:tcW w:w="4371" w:type="dxa"/>
            <w:shd w:val="clear" w:color="auto" w:fill="auto"/>
            <w:vAlign w:val="center"/>
          </w:tcPr>
          <w:p w14:paraId="29551292" w14:textId="77777777" w:rsidR="005E1EA7" w:rsidRPr="008162C8" w:rsidRDefault="005E1EA7" w:rsidP="006365F0">
            <w:pPr>
              <w:pStyle w:val="Pieddepage"/>
              <w:tabs>
                <w:tab w:val="clear" w:pos="4536"/>
                <w:tab w:val="clear" w:pos="9072"/>
              </w:tabs>
              <w:spacing w:line="300" w:lineRule="exact"/>
              <w:jc w:val="center"/>
              <w:rPr>
                <w:rFonts w:ascii="Tahoma" w:hAnsi="Tahoma" w:cs="Tahoma"/>
              </w:rPr>
            </w:pPr>
            <w:r w:rsidRPr="008162C8">
              <w:rPr>
                <w:rFonts w:ascii="Tahoma" w:hAnsi="Tahoma" w:cs="Tahoma"/>
              </w:rPr>
              <w:t>Le Ministre de la Sante</w:t>
            </w:r>
          </w:p>
          <w:p w14:paraId="3FB623D6" w14:textId="77777777" w:rsidR="005E1EA7" w:rsidRPr="008162C8" w:rsidRDefault="005E1EA7" w:rsidP="006365F0">
            <w:pPr>
              <w:jc w:val="center"/>
              <w:rPr>
                <w:rFonts w:ascii="Tahoma" w:hAnsi="Tahoma" w:cs="Tahoma"/>
                <w:b/>
                <w:bCs/>
                <w:sz w:val="20"/>
                <w:szCs w:val="20"/>
              </w:rPr>
            </w:pPr>
          </w:p>
          <w:p w14:paraId="49899671" w14:textId="77777777" w:rsidR="005E1EA7" w:rsidRPr="008162C8" w:rsidRDefault="005E1EA7" w:rsidP="006365F0">
            <w:pPr>
              <w:ind w:left="360" w:hanging="360"/>
              <w:jc w:val="center"/>
              <w:rPr>
                <w:rFonts w:ascii="Tahoma" w:hAnsi="Tahoma" w:cs="Tahoma"/>
                <w:b/>
                <w:bCs/>
                <w:sz w:val="20"/>
                <w:szCs w:val="20"/>
              </w:rPr>
            </w:pPr>
            <w:r w:rsidRPr="008162C8">
              <w:rPr>
                <w:rFonts w:ascii="Tahoma" w:hAnsi="Tahoma" w:cs="Tahoma"/>
                <w:b/>
                <w:bCs/>
                <w:sz w:val="20"/>
                <w:szCs w:val="20"/>
              </w:rPr>
              <w:t>Abdallahi Ould WEDIH</w:t>
            </w:r>
          </w:p>
          <w:p w14:paraId="02FB1117" w14:textId="77777777" w:rsidR="005E1EA7" w:rsidRPr="008162C8" w:rsidRDefault="005E1EA7" w:rsidP="008162C8">
            <w:pPr>
              <w:rPr>
                <w:rFonts w:ascii="Tahoma" w:hAnsi="Tahoma" w:cs="Tahoma"/>
                <w:b/>
                <w:bCs/>
                <w:sz w:val="20"/>
                <w:szCs w:val="20"/>
              </w:rPr>
            </w:pPr>
          </w:p>
          <w:p w14:paraId="46791B52" w14:textId="77777777" w:rsidR="005E1EA7" w:rsidRDefault="005E1EA7" w:rsidP="006365F0">
            <w:pPr>
              <w:ind w:left="360" w:hanging="360"/>
              <w:jc w:val="center"/>
              <w:rPr>
                <w:rFonts w:ascii="Tahoma" w:hAnsi="Tahoma" w:cs="Tahoma"/>
                <w:b/>
                <w:bCs/>
                <w:sz w:val="20"/>
                <w:szCs w:val="20"/>
              </w:rPr>
            </w:pPr>
          </w:p>
          <w:p w14:paraId="74CB50E1" w14:textId="77777777" w:rsidR="008162C8" w:rsidRPr="008162C8" w:rsidRDefault="008162C8" w:rsidP="006365F0">
            <w:pPr>
              <w:ind w:left="360" w:hanging="360"/>
              <w:jc w:val="center"/>
              <w:rPr>
                <w:rFonts w:ascii="Tahoma" w:hAnsi="Tahoma" w:cs="Tahoma"/>
                <w:b/>
                <w:bCs/>
                <w:sz w:val="20"/>
                <w:szCs w:val="20"/>
              </w:rPr>
            </w:pPr>
          </w:p>
        </w:tc>
      </w:tr>
      <w:tr w:rsidR="005E1EA7" w:rsidRPr="008162C8" w14:paraId="603F4ACC" w14:textId="77777777" w:rsidTr="008162C8">
        <w:trPr>
          <w:trHeight w:val="555"/>
          <w:jc w:val="center"/>
        </w:trPr>
        <w:tc>
          <w:tcPr>
            <w:tcW w:w="5263" w:type="dxa"/>
            <w:shd w:val="clear" w:color="auto" w:fill="auto"/>
            <w:vAlign w:val="center"/>
          </w:tcPr>
          <w:p w14:paraId="661AB4EA" w14:textId="7771F7C3" w:rsidR="005E1EA7" w:rsidRPr="008162C8" w:rsidRDefault="005E1EA7" w:rsidP="008162C8">
            <w:pPr>
              <w:pStyle w:val="Pieddepage"/>
              <w:tabs>
                <w:tab w:val="clear" w:pos="4536"/>
                <w:tab w:val="clear" w:pos="9072"/>
              </w:tabs>
              <w:spacing w:line="300" w:lineRule="exact"/>
              <w:jc w:val="center"/>
              <w:rPr>
                <w:rFonts w:ascii="Tahoma" w:hAnsi="Tahoma" w:cs="Tahoma"/>
              </w:rPr>
            </w:pPr>
            <w:r w:rsidRPr="008162C8">
              <w:rPr>
                <w:rFonts w:ascii="Tahoma" w:hAnsi="Tahoma" w:cs="Tahoma"/>
              </w:rPr>
              <w:t>La Ministre du Commerce et du Tourisme</w:t>
            </w:r>
          </w:p>
          <w:p w14:paraId="299B548B" w14:textId="77777777" w:rsidR="005E1EA7" w:rsidRPr="008162C8" w:rsidRDefault="005E1EA7" w:rsidP="006365F0">
            <w:pPr>
              <w:ind w:left="360" w:hanging="360"/>
              <w:jc w:val="center"/>
              <w:rPr>
                <w:rFonts w:ascii="Tahoma" w:hAnsi="Tahoma" w:cs="Tahoma"/>
                <w:b/>
                <w:bCs/>
                <w:sz w:val="20"/>
                <w:szCs w:val="20"/>
              </w:rPr>
            </w:pPr>
            <w:r w:rsidRPr="008162C8">
              <w:rPr>
                <w:rFonts w:ascii="Tahoma" w:hAnsi="Tahoma" w:cs="Tahoma"/>
                <w:b/>
                <w:bCs/>
                <w:sz w:val="20"/>
                <w:szCs w:val="20"/>
              </w:rPr>
              <w:t>Zeinebou Mint AHMEDNAH</w:t>
            </w:r>
          </w:p>
          <w:p w14:paraId="470722AD" w14:textId="77777777" w:rsidR="005E1EA7" w:rsidRPr="008162C8" w:rsidRDefault="005E1EA7" w:rsidP="006365F0">
            <w:pPr>
              <w:ind w:left="360" w:hanging="360"/>
              <w:jc w:val="center"/>
              <w:rPr>
                <w:rFonts w:ascii="Tahoma" w:hAnsi="Tahoma" w:cs="Tahoma"/>
                <w:b/>
                <w:bCs/>
                <w:sz w:val="20"/>
                <w:szCs w:val="20"/>
              </w:rPr>
            </w:pPr>
          </w:p>
          <w:p w14:paraId="77CA19F1" w14:textId="77777777" w:rsidR="005E1EA7" w:rsidRPr="008162C8" w:rsidRDefault="005E1EA7" w:rsidP="006365F0">
            <w:pPr>
              <w:ind w:left="360" w:hanging="360"/>
              <w:jc w:val="center"/>
              <w:rPr>
                <w:rFonts w:ascii="Tahoma" w:hAnsi="Tahoma" w:cs="Tahoma"/>
                <w:b/>
                <w:bCs/>
                <w:sz w:val="20"/>
                <w:szCs w:val="20"/>
              </w:rPr>
            </w:pPr>
          </w:p>
          <w:p w14:paraId="2729F25D" w14:textId="77777777" w:rsidR="005E1EA7" w:rsidRPr="008162C8" w:rsidRDefault="005E1EA7" w:rsidP="008162C8">
            <w:pPr>
              <w:ind w:left="360" w:hanging="360"/>
              <w:jc w:val="center"/>
              <w:rPr>
                <w:rFonts w:ascii="Tahoma" w:hAnsi="Tahoma" w:cs="Tahoma"/>
                <w:b/>
                <w:bCs/>
                <w:sz w:val="20"/>
                <w:szCs w:val="20"/>
              </w:rPr>
            </w:pPr>
          </w:p>
        </w:tc>
        <w:tc>
          <w:tcPr>
            <w:tcW w:w="4371" w:type="dxa"/>
            <w:shd w:val="clear" w:color="auto" w:fill="auto"/>
            <w:vAlign w:val="center"/>
          </w:tcPr>
          <w:p w14:paraId="321860C4" w14:textId="6042E906" w:rsidR="005E1EA7" w:rsidRPr="008162C8" w:rsidRDefault="005E1EA7" w:rsidP="008162C8">
            <w:pPr>
              <w:pStyle w:val="Pieddepage"/>
              <w:tabs>
                <w:tab w:val="clear" w:pos="4536"/>
                <w:tab w:val="clear" w:pos="9072"/>
              </w:tabs>
              <w:spacing w:line="300" w:lineRule="exact"/>
              <w:jc w:val="center"/>
              <w:rPr>
                <w:rFonts w:ascii="Tahoma" w:hAnsi="Tahoma" w:cs="Tahoma"/>
              </w:rPr>
            </w:pPr>
            <w:r w:rsidRPr="008162C8">
              <w:rPr>
                <w:rFonts w:ascii="Tahoma" w:hAnsi="Tahoma" w:cs="Tahoma"/>
              </w:rPr>
              <w:t xml:space="preserve">Le Ministre de l'Elevage </w:t>
            </w:r>
          </w:p>
          <w:p w14:paraId="6C45094E" w14:textId="77777777" w:rsidR="005E1EA7" w:rsidRPr="008162C8" w:rsidRDefault="005E1EA7" w:rsidP="006365F0">
            <w:pPr>
              <w:ind w:left="360" w:hanging="360"/>
              <w:jc w:val="center"/>
              <w:rPr>
                <w:rFonts w:ascii="Tahoma" w:hAnsi="Tahoma" w:cs="Tahoma"/>
                <w:b/>
                <w:bCs/>
                <w:sz w:val="20"/>
                <w:szCs w:val="20"/>
              </w:rPr>
            </w:pPr>
            <w:r w:rsidRPr="008162C8">
              <w:rPr>
                <w:rFonts w:ascii="Tahoma" w:hAnsi="Tahoma" w:cs="Tahoma"/>
                <w:b/>
                <w:bCs/>
                <w:sz w:val="20"/>
                <w:szCs w:val="20"/>
              </w:rPr>
              <w:t>Moctar Ould GAGUIH</w:t>
            </w:r>
          </w:p>
          <w:p w14:paraId="2F82E7D4" w14:textId="77777777" w:rsidR="005E1EA7" w:rsidRPr="008162C8" w:rsidRDefault="005E1EA7" w:rsidP="006365F0">
            <w:pPr>
              <w:ind w:left="360" w:hanging="360"/>
              <w:jc w:val="center"/>
              <w:rPr>
                <w:rFonts w:ascii="Tahoma" w:hAnsi="Tahoma" w:cs="Tahoma"/>
                <w:b/>
                <w:bCs/>
                <w:sz w:val="20"/>
                <w:szCs w:val="20"/>
              </w:rPr>
            </w:pPr>
          </w:p>
          <w:p w14:paraId="43F9C675" w14:textId="77777777" w:rsidR="005E1EA7" w:rsidRPr="008162C8" w:rsidRDefault="005E1EA7" w:rsidP="008162C8">
            <w:pPr>
              <w:ind w:left="360" w:hanging="360"/>
              <w:jc w:val="center"/>
              <w:rPr>
                <w:rFonts w:ascii="Tahoma" w:hAnsi="Tahoma" w:cs="Tahoma"/>
                <w:b/>
                <w:bCs/>
                <w:sz w:val="20"/>
                <w:szCs w:val="20"/>
              </w:rPr>
            </w:pPr>
          </w:p>
        </w:tc>
      </w:tr>
    </w:tbl>
    <w:p w14:paraId="037FCF41" w14:textId="77777777" w:rsidR="003D69A8" w:rsidRPr="008162C8" w:rsidRDefault="003D69A8" w:rsidP="003D69A8">
      <w:pPr>
        <w:autoSpaceDE w:val="0"/>
        <w:autoSpaceDN w:val="0"/>
        <w:adjustRightInd w:val="0"/>
        <w:jc w:val="center"/>
        <w:rPr>
          <w:rFonts w:ascii="Tahoma" w:hAnsi="Tahoma" w:cs="Tahoma"/>
          <w:b/>
          <w:sz w:val="20"/>
          <w:szCs w:val="20"/>
          <w:u w:val="single"/>
        </w:rPr>
      </w:pPr>
    </w:p>
    <w:p w14:paraId="51AE6919" w14:textId="77777777" w:rsidR="003D69A8" w:rsidRPr="008162C8" w:rsidRDefault="003D69A8" w:rsidP="003D69A8">
      <w:pPr>
        <w:autoSpaceDE w:val="0"/>
        <w:autoSpaceDN w:val="0"/>
        <w:adjustRightInd w:val="0"/>
        <w:jc w:val="center"/>
        <w:rPr>
          <w:rFonts w:ascii="Tahoma" w:hAnsi="Tahoma" w:cs="Tahoma"/>
          <w:b/>
          <w:bCs/>
          <w:sz w:val="20"/>
          <w:szCs w:val="20"/>
        </w:rPr>
      </w:pPr>
    </w:p>
    <w:p w14:paraId="24340D49" w14:textId="77777777" w:rsidR="003D69A8" w:rsidRPr="008162C8" w:rsidRDefault="003D69A8" w:rsidP="003D69A8">
      <w:pPr>
        <w:autoSpaceDE w:val="0"/>
        <w:autoSpaceDN w:val="0"/>
        <w:adjustRightInd w:val="0"/>
        <w:jc w:val="both"/>
        <w:rPr>
          <w:rFonts w:ascii="Tahoma" w:eastAsia="EUAlbertina-Regular-Identity-H" w:hAnsi="Tahoma" w:cs="Tahoma"/>
          <w:sz w:val="20"/>
          <w:szCs w:val="20"/>
        </w:rPr>
      </w:pPr>
    </w:p>
    <w:p w14:paraId="505F8143" w14:textId="77777777" w:rsidR="003D69A8" w:rsidRPr="008162C8" w:rsidRDefault="003D69A8" w:rsidP="003D69A8">
      <w:pPr>
        <w:rPr>
          <w:rFonts w:ascii="Tahoma" w:hAnsi="Tahoma" w:cs="Tahoma"/>
          <w:iCs/>
          <w:sz w:val="20"/>
          <w:szCs w:val="20"/>
        </w:rPr>
      </w:pPr>
      <w:bookmarkStart w:id="216" w:name="_Hlk199845603"/>
    </w:p>
    <w:bookmarkEnd w:id="216"/>
    <w:p w14:paraId="3CBFFFD1" w14:textId="77777777" w:rsidR="003D69A8" w:rsidRPr="008162C8" w:rsidRDefault="003D69A8" w:rsidP="003D69A8">
      <w:pPr>
        <w:rPr>
          <w:rFonts w:ascii="Tahoma" w:hAnsi="Tahoma" w:cs="Tahoma"/>
          <w:sz w:val="20"/>
          <w:szCs w:val="20"/>
        </w:rPr>
      </w:pPr>
      <w:r w:rsidRPr="008162C8">
        <w:rPr>
          <w:rFonts w:ascii="Tahoma" w:hAnsi="Tahoma" w:cs="Tahoma"/>
          <w:sz w:val="20"/>
          <w:szCs w:val="20"/>
        </w:rPr>
        <w:t>.</w:t>
      </w:r>
    </w:p>
    <w:p w14:paraId="2CC5CE51" w14:textId="77777777" w:rsidR="003D69A8" w:rsidRPr="008162C8" w:rsidRDefault="003D69A8" w:rsidP="003D69A8">
      <w:pPr>
        <w:jc w:val="right"/>
        <w:rPr>
          <w:rFonts w:ascii="Tahoma" w:hAnsi="Tahoma" w:cs="Tahoma"/>
          <w:sz w:val="20"/>
          <w:szCs w:val="20"/>
        </w:rPr>
        <w:sectPr w:rsidR="003D69A8" w:rsidRPr="008162C8" w:rsidSect="003D69A8">
          <w:footerReference w:type="even" r:id="rId25"/>
          <w:pgSz w:w="12240" w:h="15840" w:code="1"/>
          <w:pgMar w:top="1417" w:right="1417" w:bottom="1417" w:left="1417" w:header="720" w:footer="720" w:gutter="0"/>
          <w:cols w:space="720"/>
          <w:noEndnote/>
          <w:docGrid w:linePitch="326"/>
        </w:sectPr>
      </w:pPr>
    </w:p>
    <w:p w14:paraId="3B88C7A7" w14:textId="77777777" w:rsidR="003D69A8" w:rsidRPr="005E1EA7" w:rsidRDefault="003D69A8" w:rsidP="00F23171">
      <w:pPr>
        <w:tabs>
          <w:tab w:val="left" w:pos="284"/>
        </w:tabs>
        <w:autoSpaceDE w:val="0"/>
        <w:autoSpaceDN w:val="0"/>
        <w:adjustRightInd w:val="0"/>
        <w:jc w:val="center"/>
        <w:rPr>
          <w:rFonts w:asciiTheme="minorBidi" w:hAnsiTheme="minorBidi" w:cstheme="minorBidi"/>
          <w:b/>
          <w:bCs/>
          <w:sz w:val="20"/>
          <w:szCs w:val="20"/>
        </w:rPr>
      </w:pPr>
      <w:r w:rsidRPr="005E1EA7">
        <w:rPr>
          <w:rFonts w:asciiTheme="minorBidi" w:hAnsiTheme="minorBidi" w:cstheme="minorBidi"/>
          <w:b/>
          <w:bCs/>
          <w:sz w:val="20"/>
          <w:szCs w:val="20"/>
        </w:rPr>
        <w:lastRenderedPageBreak/>
        <w:t>ANNEXE I : CRITERES MICROBIOLOGIQUES APPLICABLES AUX MOLLUSQUES BIVALVES VIVANTS, AUX PRODUITS DE LA PECHE</w:t>
      </w:r>
    </w:p>
    <w:p w14:paraId="09601D6D" w14:textId="77777777" w:rsidR="003D69A8" w:rsidRPr="005E1EA7" w:rsidRDefault="003D69A8" w:rsidP="003D69A8">
      <w:pPr>
        <w:tabs>
          <w:tab w:val="left" w:pos="284"/>
        </w:tabs>
        <w:autoSpaceDE w:val="0"/>
        <w:autoSpaceDN w:val="0"/>
        <w:adjustRightInd w:val="0"/>
        <w:jc w:val="center"/>
        <w:rPr>
          <w:rFonts w:asciiTheme="minorBidi" w:hAnsiTheme="minorBidi" w:cstheme="minorBidi"/>
          <w:b/>
          <w:bCs/>
          <w:sz w:val="20"/>
          <w:szCs w:val="20"/>
        </w:rPr>
      </w:pPr>
    </w:p>
    <w:p w14:paraId="47558436" w14:textId="77777777" w:rsidR="003D69A8" w:rsidRPr="005E1EA7" w:rsidRDefault="003D69A8" w:rsidP="003D69A8">
      <w:pPr>
        <w:autoSpaceDE w:val="0"/>
        <w:autoSpaceDN w:val="0"/>
        <w:adjustRightInd w:val="0"/>
        <w:jc w:val="center"/>
        <w:rPr>
          <w:rFonts w:asciiTheme="minorBidi" w:hAnsiTheme="minorBidi" w:cstheme="minorBidi"/>
          <w:sz w:val="20"/>
          <w:szCs w:val="20"/>
        </w:rPr>
      </w:pPr>
      <w:r w:rsidRPr="005E1EA7">
        <w:rPr>
          <w:rFonts w:asciiTheme="minorBidi" w:hAnsiTheme="minorBidi" w:cstheme="minorBidi"/>
          <w:b/>
          <w:sz w:val="20"/>
          <w:szCs w:val="20"/>
        </w:rPr>
        <w:t>CHAPITRE I - CRITERES DE SECURITE DES PRODUITS DE LA PECHE</w:t>
      </w:r>
    </w:p>
    <w:tbl>
      <w:tblPr>
        <w:tblpPr w:leftFromText="141" w:rightFromText="141" w:vertAnchor="text" w:horzAnchor="page" w:tblpXSpec="center" w:tblpY="152"/>
        <w:tblW w:w="13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4"/>
        <w:gridCol w:w="2933"/>
        <w:gridCol w:w="1985"/>
        <w:gridCol w:w="779"/>
        <w:gridCol w:w="780"/>
        <w:gridCol w:w="1418"/>
        <w:gridCol w:w="1417"/>
        <w:gridCol w:w="1559"/>
        <w:gridCol w:w="2415"/>
      </w:tblGrid>
      <w:tr w:rsidR="003D69A8" w:rsidRPr="005E1EA7" w14:paraId="789499C6" w14:textId="77777777" w:rsidTr="005E1EA7">
        <w:trPr>
          <w:cantSplit/>
          <w:trHeight w:val="217"/>
        </w:trPr>
        <w:tc>
          <w:tcPr>
            <w:tcW w:w="464" w:type="dxa"/>
            <w:vMerge w:val="restart"/>
            <w:vAlign w:val="center"/>
          </w:tcPr>
          <w:p w14:paraId="36BDEC80" w14:textId="77777777" w:rsidR="003D69A8" w:rsidRPr="005E1EA7" w:rsidRDefault="003D69A8" w:rsidP="005E1EA7">
            <w:pPr>
              <w:autoSpaceDE w:val="0"/>
              <w:autoSpaceDN w:val="0"/>
              <w:adjustRightInd w:val="0"/>
              <w:jc w:val="center"/>
              <w:rPr>
                <w:rFonts w:ascii="Tahoma" w:hAnsi="Tahoma" w:cs="Tahoma"/>
                <w:sz w:val="17"/>
                <w:szCs w:val="17"/>
              </w:rPr>
            </w:pPr>
          </w:p>
        </w:tc>
        <w:tc>
          <w:tcPr>
            <w:tcW w:w="2933" w:type="dxa"/>
            <w:vMerge w:val="restart"/>
            <w:vAlign w:val="center"/>
          </w:tcPr>
          <w:p w14:paraId="2F26BF05" w14:textId="77777777" w:rsidR="003D69A8" w:rsidRPr="005E1EA7" w:rsidRDefault="003D69A8" w:rsidP="005E1EA7">
            <w:pPr>
              <w:autoSpaceDE w:val="0"/>
              <w:autoSpaceDN w:val="0"/>
              <w:adjustRightInd w:val="0"/>
              <w:jc w:val="center"/>
              <w:rPr>
                <w:rFonts w:ascii="Tahoma" w:hAnsi="Tahoma" w:cs="Tahoma"/>
                <w:sz w:val="17"/>
                <w:szCs w:val="17"/>
              </w:rPr>
            </w:pPr>
            <w:r w:rsidRPr="005E1EA7">
              <w:rPr>
                <w:rFonts w:ascii="Tahoma" w:hAnsi="Tahoma" w:cs="Tahoma"/>
                <w:sz w:val="17"/>
                <w:szCs w:val="17"/>
              </w:rPr>
              <w:t>Catégorie de denrées alimentaires</w:t>
            </w:r>
          </w:p>
        </w:tc>
        <w:tc>
          <w:tcPr>
            <w:tcW w:w="1985" w:type="dxa"/>
            <w:vMerge w:val="restart"/>
            <w:vAlign w:val="center"/>
          </w:tcPr>
          <w:p w14:paraId="7C7AF875" w14:textId="77777777" w:rsidR="003D69A8" w:rsidRPr="005E1EA7" w:rsidRDefault="003D69A8" w:rsidP="005E1EA7">
            <w:pPr>
              <w:autoSpaceDE w:val="0"/>
              <w:autoSpaceDN w:val="0"/>
              <w:adjustRightInd w:val="0"/>
              <w:jc w:val="center"/>
              <w:rPr>
                <w:rFonts w:ascii="Tahoma" w:hAnsi="Tahoma" w:cs="Tahoma"/>
                <w:sz w:val="17"/>
                <w:szCs w:val="17"/>
              </w:rPr>
            </w:pPr>
            <w:r w:rsidRPr="005E1EA7">
              <w:rPr>
                <w:rFonts w:ascii="Tahoma" w:hAnsi="Tahoma" w:cs="Tahoma"/>
                <w:sz w:val="17"/>
                <w:szCs w:val="17"/>
              </w:rPr>
              <w:t>Microorganismes, toxines, métabolites</w:t>
            </w:r>
          </w:p>
        </w:tc>
        <w:tc>
          <w:tcPr>
            <w:tcW w:w="1559" w:type="dxa"/>
            <w:gridSpan w:val="2"/>
            <w:vMerge w:val="restart"/>
            <w:vAlign w:val="center"/>
          </w:tcPr>
          <w:p w14:paraId="149A91F3" w14:textId="77777777" w:rsidR="003D69A8" w:rsidRPr="005E1EA7" w:rsidRDefault="003D69A8" w:rsidP="005E1EA7">
            <w:pPr>
              <w:autoSpaceDE w:val="0"/>
              <w:autoSpaceDN w:val="0"/>
              <w:adjustRightInd w:val="0"/>
              <w:jc w:val="center"/>
              <w:rPr>
                <w:rFonts w:ascii="Tahoma" w:hAnsi="Tahoma" w:cs="Tahoma"/>
                <w:sz w:val="17"/>
                <w:szCs w:val="17"/>
              </w:rPr>
            </w:pPr>
            <w:r w:rsidRPr="005E1EA7">
              <w:rPr>
                <w:rFonts w:ascii="Tahoma" w:hAnsi="Tahoma" w:cs="Tahoma"/>
                <w:sz w:val="17"/>
                <w:szCs w:val="17"/>
              </w:rPr>
              <w:t xml:space="preserve">Plans d’échantillonnage </w:t>
            </w:r>
            <w:r w:rsidRPr="005E1EA7">
              <w:rPr>
                <w:rFonts w:ascii="Tahoma" w:hAnsi="Tahoma" w:cs="Tahoma"/>
                <w:sz w:val="17"/>
                <w:szCs w:val="17"/>
                <w:vertAlign w:val="superscript"/>
              </w:rPr>
              <w:t>(1)</w:t>
            </w:r>
          </w:p>
        </w:tc>
        <w:tc>
          <w:tcPr>
            <w:tcW w:w="2835" w:type="dxa"/>
            <w:gridSpan w:val="2"/>
            <w:vMerge w:val="restart"/>
            <w:vAlign w:val="center"/>
          </w:tcPr>
          <w:p w14:paraId="08DDCAE8" w14:textId="77777777" w:rsidR="003D69A8" w:rsidRPr="005E1EA7" w:rsidRDefault="003D69A8" w:rsidP="005E1EA7">
            <w:pPr>
              <w:autoSpaceDE w:val="0"/>
              <w:autoSpaceDN w:val="0"/>
              <w:adjustRightInd w:val="0"/>
              <w:jc w:val="center"/>
              <w:rPr>
                <w:rFonts w:ascii="Tahoma" w:hAnsi="Tahoma" w:cs="Tahoma"/>
                <w:sz w:val="17"/>
                <w:szCs w:val="17"/>
              </w:rPr>
            </w:pPr>
            <w:r w:rsidRPr="005E1EA7">
              <w:rPr>
                <w:rFonts w:ascii="Tahoma" w:hAnsi="Tahoma" w:cs="Tahoma"/>
                <w:sz w:val="17"/>
                <w:szCs w:val="17"/>
              </w:rPr>
              <w:t xml:space="preserve">Limites </w:t>
            </w:r>
            <w:r w:rsidRPr="005E1EA7">
              <w:rPr>
                <w:rFonts w:ascii="Tahoma" w:hAnsi="Tahoma" w:cs="Tahoma"/>
                <w:sz w:val="17"/>
                <w:szCs w:val="17"/>
                <w:vertAlign w:val="superscript"/>
              </w:rPr>
              <w:t>(2)</w:t>
            </w:r>
          </w:p>
        </w:tc>
        <w:tc>
          <w:tcPr>
            <w:tcW w:w="1559" w:type="dxa"/>
            <w:vMerge w:val="restart"/>
            <w:vAlign w:val="center"/>
          </w:tcPr>
          <w:p w14:paraId="3FBDDF87" w14:textId="77777777" w:rsidR="003D69A8" w:rsidRPr="005E1EA7" w:rsidRDefault="003D69A8" w:rsidP="005E1EA7">
            <w:pPr>
              <w:autoSpaceDE w:val="0"/>
              <w:autoSpaceDN w:val="0"/>
              <w:adjustRightInd w:val="0"/>
              <w:jc w:val="center"/>
              <w:rPr>
                <w:rFonts w:ascii="Tahoma" w:hAnsi="Tahoma" w:cs="Tahoma"/>
                <w:sz w:val="17"/>
                <w:szCs w:val="17"/>
              </w:rPr>
            </w:pPr>
            <w:r w:rsidRPr="005E1EA7">
              <w:rPr>
                <w:rFonts w:ascii="Tahoma" w:hAnsi="Tahoma" w:cs="Tahoma"/>
                <w:sz w:val="17"/>
                <w:szCs w:val="17"/>
              </w:rPr>
              <w:t xml:space="preserve">Méthode d’analyse de référence </w:t>
            </w:r>
            <w:r w:rsidRPr="005E1EA7">
              <w:rPr>
                <w:rFonts w:ascii="Tahoma" w:hAnsi="Tahoma" w:cs="Tahoma"/>
                <w:sz w:val="17"/>
                <w:szCs w:val="17"/>
                <w:vertAlign w:val="superscript"/>
              </w:rPr>
              <w:t>(3)</w:t>
            </w:r>
          </w:p>
        </w:tc>
        <w:tc>
          <w:tcPr>
            <w:tcW w:w="2415" w:type="dxa"/>
            <w:vMerge w:val="restart"/>
            <w:vAlign w:val="center"/>
          </w:tcPr>
          <w:p w14:paraId="72350F30" w14:textId="77777777" w:rsidR="003D69A8" w:rsidRPr="005E1EA7" w:rsidRDefault="003D69A8" w:rsidP="005E1EA7">
            <w:pPr>
              <w:autoSpaceDE w:val="0"/>
              <w:autoSpaceDN w:val="0"/>
              <w:adjustRightInd w:val="0"/>
              <w:jc w:val="center"/>
              <w:rPr>
                <w:rFonts w:ascii="Tahoma" w:hAnsi="Tahoma" w:cs="Tahoma"/>
                <w:sz w:val="17"/>
                <w:szCs w:val="17"/>
              </w:rPr>
            </w:pPr>
            <w:r w:rsidRPr="005E1EA7">
              <w:rPr>
                <w:rFonts w:ascii="Tahoma" w:hAnsi="Tahoma" w:cs="Tahoma"/>
                <w:sz w:val="17"/>
                <w:szCs w:val="17"/>
              </w:rPr>
              <w:t>Stade d’application du critère</w:t>
            </w:r>
          </w:p>
        </w:tc>
      </w:tr>
      <w:tr w:rsidR="003D69A8" w:rsidRPr="005E1EA7" w14:paraId="3E5189F1" w14:textId="77777777" w:rsidTr="005E1EA7">
        <w:trPr>
          <w:cantSplit/>
          <w:trHeight w:val="217"/>
        </w:trPr>
        <w:tc>
          <w:tcPr>
            <w:tcW w:w="464" w:type="dxa"/>
            <w:vMerge/>
            <w:vAlign w:val="center"/>
          </w:tcPr>
          <w:p w14:paraId="77DC2C00" w14:textId="77777777" w:rsidR="003D69A8" w:rsidRPr="005E1EA7" w:rsidRDefault="003D69A8" w:rsidP="005E1EA7">
            <w:pPr>
              <w:autoSpaceDE w:val="0"/>
              <w:autoSpaceDN w:val="0"/>
              <w:adjustRightInd w:val="0"/>
              <w:jc w:val="center"/>
              <w:rPr>
                <w:rFonts w:ascii="Tahoma" w:hAnsi="Tahoma" w:cs="Tahoma"/>
                <w:sz w:val="17"/>
                <w:szCs w:val="17"/>
              </w:rPr>
            </w:pPr>
          </w:p>
        </w:tc>
        <w:tc>
          <w:tcPr>
            <w:tcW w:w="2933" w:type="dxa"/>
            <w:vMerge/>
            <w:vAlign w:val="center"/>
          </w:tcPr>
          <w:p w14:paraId="5490EB91" w14:textId="77777777" w:rsidR="003D69A8" w:rsidRPr="005E1EA7" w:rsidRDefault="003D69A8" w:rsidP="005E1EA7">
            <w:pPr>
              <w:autoSpaceDE w:val="0"/>
              <w:autoSpaceDN w:val="0"/>
              <w:adjustRightInd w:val="0"/>
              <w:jc w:val="center"/>
              <w:rPr>
                <w:rFonts w:ascii="Tahoma" w:hAnsi="Tahoma" w:cs="Tahoma"/>
                <w:sz w:val="17"/>
                <w:szCs w:val="17"/>
              </w:rPr>
            </w:pPr>
          </w:p>
        </w:tc>
        <w:tc>
          <w:tcPr>
            <w:tcW w:w="1985" w:type="dxa"/>
            <w:vMerge/>
            <w:vAlign w:val="center"/>
          </w:tcPr>
          <w:p w14:paraId="56AA0559" w14:textId="77777777" w:rsidR="003D69A8" w:rsidRPr="005E1EA7" w:rsidRDefault="003D69A8" w:rsidP="005E1EA7">
            <w:pPr>
              <w:autoSpaceDE w:val="0"/>
              <w:autoSpaceDN w:val="0"/>
              <w:adjustRightInd w:val="0"/>
              <w:jc w:val="center"/>
              <w:rPr>
                <w:rFonts w:ascii="Tahoma" w:hAnsi="Tahoma" w:cs="Tahoma"/>
                <w:sz w:val="17"/>
                <w:szCs w:val="17"/>
              </w:rPr>
            </w:pPr>
          </w:p>
        </w:tc>
        <w:tc>
          <w:tcPr>
            <w:tcW w:w="1559" w:type="dxa"/>
            <w:gridSpan w:val="2"/>
            <w:vMerge/>
            <w:vAlign w:val="center"/>
          </w:tcPr>
          <w:p w14:paraId="539C01D8" w14:textId="77777777" w:rsidR="003D69A8" w:rsidRPr="005E1EA7" w:rsidRDefault="003D69A8" w:rsidP="005E1EA7">
            <w:pPr>
              <w:autoSpaceDE w:val="0"/>
              <w:autoSpaceDN w:val="0"/>
              <w:adjustRightInd w:val="0"/>
              <w:jc w:val="center"/>
              <w:rPr>
                <w:rFonts w:ascii="Tahoma" w:hAnsi="Tahoma" w:cs="Tahoma"/>
                <w:sz w:val="17"/>
                <w:szCs w:val="17"/>
              </w:rPr>
            </w:pPr>
          </w:p>
        </w:tc>
        <w:tc>
          <w:tcPr>
            <w:tcW w:w="2835" w:type="dxa"/>
            <w:gridSpan w:val="2"/>
            <w:vMerge/>
            <w:vAlign w:val="center"/>
          </w:tcPr>
          <w:p w14:paraId="22FFA57F" w14:textId="77777777" w:rsidR="003D69A8" w:rsidRPr="005E1EA7" w:rsidRDefault="003D69A8" w:rsidP="005E1EA7">
            <w:pPr>
              <w:autoSpaceDE w:val="0"/>
              <w:autoSpaceDN w:val="0"/>
              <w:adjustRightInd w:val="0"/>
              <w:jc w:val="center"/>
              <w:rPr>
                <w:rFonts w:ascii="Tahoma" w:hAnsi="Tahoma" w:cs="Tahoma"/>
                <w:sz w:val="17"/>
                <w:szCs w:val="17"/>
              </w:rPr>
            </w:pPr>
          </w:p>
        </w:tc>
        <w:tc>
          <w:tcPr>
            <w:tcW w:w="1559" w:type="dxa"/>
            <w:vMerge/>
            <w:vAlign w:val="center"/>
          </w:tcPr>
          <w:p w14:paraId="447CAD70" w14:textId="77777777" w:rsidR="003D69A8" w:rsidRPr="005E1EA7" w:rsidRDefault="003D69A8" w:rsidP="005E1EA7">
            <w:pPr>
              <w:autoSpaceDE w:val="0"/>
              <w:autoSpaceDN w:val="0"/>
              <w:adjustRightInd w:val="0"/>
              <w:jc w:val="center"/>
              <w:rPr>
                <w:rFonts w:ascii="Tahoma" w:hAnsi="Tahoma" w:cs="Tahoma"/>
                <w:sz w:val="17"/>
                <w:szCs w:val="17"/>
              </w:rPr>
            </w:pPr>
          </w:p>
        </w:tc>
        <w:tc>
          <w:tcPr>
            <w:tcW w:w="2415" w:type="dxa"/>
            <w:vMerge/>
            <w:vAlign w:val="center"/>
          </w:tcPr>
          <w:p w14:paraId="7E167348" w14:textId="77777777" w:rsidR="003D69A8" w:rsidRPr="005E1EA7" w:rsidRDefault="003D69A8" w:rsidP="005E1EA7">
            <w:pPr>
              <w:autoSpaceDE w:val="0"/>
              <w:autoSpaceDN w:val="0"/>
              <w:adjustRightInd w:val="0"/>
              <w:jc w:val="center"/>
              <w:rPr>
                <w:rFonts w:ascii="Tahoma" w:hAnsi="Tahoma" w:cs="Tahoma"/>
                <w:sz w:val="17"/>
                <w:szCs w:val="17"/>
              </w:rPr>
            </w:pPr>
          </w:p>
        </w:tc>
      </w:tr>
      <w:tr w:rsidR="003D69A8" w:rsidRPr="005E1EA7" w14:paraId="42D6D1F7" w14:textId="77777777" w:rsidTr="005E1EA7">
        <w:trPr>
          <w:cantSplit/>
          <w:trHeight w:val="217"/>
        </w:trPr>
        <w:tc>
          <w:tcPr>
            <w:tcW w:w="464" w:type="dxa"/>
            <w:vMerge/>
            <w:vAlign w:val="center"/>
          </w:tcPr>
          <w:p w14:paraId="5925B4E5" w14:textId="77777777" w:rsidR="003D69A8" w:rsidRPr="005E1EA7" w:rsidRDefault="003D69A8" w:rsidP="005E1EA7">
            <w:pPr>
              <w:autoSpaceDE w:val="0"/>
              <w:autoSpaceDN w:val="0"/>
              <w:adjustRightInd w:val="0"/>
              <w:jc w:val="center"/>
              <w:rPr>
                <w:rFonts w:ascii="Tahoma" w:hAnsi="Tahoma" w:cs="Tahoma"/>
                <w:sz w:val="17"/>
                <w:szCs w:val="17"/>
              </w:rPr>
            </w:pPr>
          </w:p>
        </w:tc>
        <w:tc>
          <w:tcPr>
            <w:tcW w:w="2933" w:type="dxa"/>
            <w:vMerge/>
            <w:vAlign w:val="center"/>
          </w:tcPr>
          <w:p w14:paraId="1699A6EF" w14:textId="77777777" w:rsidR="003D69A8" w:rsidRPr="005E1EA7" w:rsidRDefault="003D69A8" w:rsidP="005E1EA7">
            <w:pPr>
              <w:autoSpaceDE w:val="0"/>
              <w:autoSpaceDN w:val="0"/>
              <w:adjustRightInd w:val="0"/>
              <w:jc w:val="center"/>
              <w:rPr>
                <w:rFonts w:ascii="Tahoma" w:hAnsi="Tahoma" w:cs="Tahoma"/>
                <w:sz w:val="17"/>
                <w:szCs w:val="17"/>
              </w:rPr>
            </w:pPr>
          </w:p>
        </w:tc>
        <w:tc>
          <w:tcPr>
            <w:tcW w:w="1985" w:type="dxa"/>
            <w:vMerge/>
            <w:vAlign w:val="center"/>
          </w:tcPr>
          <w:p w14:paraId="1FA5EE53" w14:textId="77777777" w:rsidR="003D69A8" w:rsidRPr="005E1EA7" w:rsidRDefault="003D69A8" w:rsidP="005E1EA7">
            <w:pPr>
              <w:autoSpaceDE w:val="0"/>
              <w:autoSpaceDN w:val="0"/>
              <w:adjustRightInd w:val="0"/>
              <w:jc w:val="center"/>
              <w:rPr>
                <w:rFonts w:ascii="Tahoma" w:hAnsi="Tahoma" w:cs="Tahoma"/>
                <w:sz w:val="17"/>
                <w:szCs w:val="17"/>
              </w:rPr>
            </w:pPr>
          </w:p>
        </w:tc>
        <w:tc>
          <w:tcPr>
            <w:tcW w:w="779" w:type="dxa"/>
            <w:vMerge w:val="restart"/>
            <w:vAlign w:val="center"/>
          </w:tcPr>
          <w:p w14:paraId="3BB4B547" w14:textId="77777777" w:rsidR="003D69A8" w:rsidRPr="005E1EA7" w:rsidRDefault="003D69A8" w:rsidP="005E1EA7">
            <w:pPr>
              <w:autoSpaceDE w:val="0"/>
              <w:autoSpaceDN w:val="0"/>
              <w:adjustRightInd w:val="0"/>
              <w:jc w:val="center"/>
              <w:rPr>
                <w:rFonts w:ascii="Tahoma" w:hAnsi="Tahoma" w:cs="Tahoma"/>
                <w:sz w:val="17"/>
                <w:szCs w:val="17"/>
              </w:rPr>
            </w:pPr>
            <w:r w:rsidRPr="005E1EA7">
              <w:rPr>
                <w:rFonts w:ascii="Tahoma" w:hAnsi="Tahoma" w:cs="Tahoma"/>
                <w:sz w:val="17"/>
                <w:szCs w:val="17"/>
              </w:rPr>
              <w:t>n</w:t>
            </w:r>
          </w:p>
        </w:tc>
        <w:tc>
          <w:tcPr>
            <w:tcW w:w="780" w:type="dxa"/>
            <w:vMerge w:val="restart"/>
            <w:vAlign w:val="center"/>
          </w:tcPr>
          <w:p w14:paraId="1E9B3771" w14:textId="77777777" w:rsidR="003D69A8" w:rsidRPr="005E1EA7" w:rsidRDefault="003D69A8" w:rsidP="005E1EA7">
            <w:pPr>
              <w:autoSpaceDE w:val="0"/>
              <w:autoSpaceDN w:val="0"/>
              <w:adjustRightInd w:val="0"/>
              <w:jc w:val="center"/>
              <w:rPr>
                <w:rFonts w:ascii="Tahoma" w:hAnsi="Tahoma" w:cs="Tahoma"/>
                <w:sz w:val="17"/>
                <w:szCs w:val="17"/>
              </w:rPr>
            </w:pPr>
            <w:r w:rsidRPr="005E1EA7">
              <w:rPr>
                <w:rFonts w:ascii="Tahoma" w:hAnsi="Tahoma" w:cs="Tahoma"/>
                <w:sz w:val="17"/>
                <w:szCs w:val="17"/>
              </w:rPr>
              <w:t>c</w:t>
            </w:r>
          </w:p>
        </w:tc>
        <w:tc>
          <w:tcPr>
            <w:tcW w:w="1418" w:type="dxa"/>
            <w:vMerge w:val="restart"/>
            <w:vAlign w:val="center"/>
          </w:tcPr>
          <w:p w14:paraId="43AAAAF0" w14:textId="77777777" w:rsidR="003D69A8" w:rsidRPr="005E1EA7" w:rsidRDefault="003D69A8" w:rsidP="005E1EA7">
            <w:pPr>
              <w:autoSpaceDE w:val="0"/>
              <w:autoSpaceDN w:val="0"/>
              <w:adjustRightInd w:val="0"/>
              <w:jc w:val="center"/>
              <w:rPr>
                <w:rFonts w:ascii="Tahoma" w:hAnsi="Tahoma" w:cs="Tahoma"/>
                <w:sz w:val="17"/>
                <w:szCs w:val="17"/>
              </w:rPr>
            </w:pPr>
            <w:r w:rsidRPr="005E1EA7">
              <w:rPr>
                <w:rFonts w:ascii="Tahoma" w:hAnsi="Tahoma" w:cs="Tahoma"/>
                <w:sz w:val="17"/>
                <w:szCs w:val="17"/>
              </w:rPr>
              <w:t>m</w:t>
            </w:r>
          </w:p>
        </w:tc>
        <w:tc>
          <w:tcPr>
            <w:tcW w:w="1417" w:type="dxa"/>
            <w:vMerge w:val="restart"/>
            <w:vAlign w:val="center"/>
          </w:tcPr>
          <w:p w14:paraId="056C9E92" w14:textId="77777777" w:rsidR="003D69A8" w:rsidRPr="005E1EA7" w:rsidRDefault="003D69A8" w:rsidP="005E1EA7">
            <w:pPr>
              <w:autoSpaceDE w:val="0"/>
              <w:autoSpaceDN w:val="0"/>
              <w:adjustRightInd w:val="0"/>
              <w:jc w:val="center"/>
              <w:rPr>
                <w:rFonts w:ascii="Tahoma" w:hAnsi="Tahoma" w:cs="Tahoma"/>
                <w:sz w:val="17"/>
                <w:szCs w:val="17"/>
              </w:rPr>
            </w:pPr>
            <w:r w:rsidRPr="005E1EA7">
              <w:rPr>
                <w:rFonts w:ascii="Tahoma" w:hAnsi="Tahoma" w:cs="Tahoma"/>
                <w:sz w:val="17"/>
                <w:szCs w:val="17"/>
              </w:rPr>
              <w:t>M</w:t>
            </w:r>
          </w:p>
        </w:tc>
        <w:tc>
          <w:tcPr>
            <w:tcW w:w="1559" w:type="dxa"/>
            <w:vMerge/>
            <w:vAlign w:val="center"/>
          </w:tcPr>
          <w:p w14:paraId="330BF14D" w14:textId="77777777" w:rsidR="003D69A8" w:rsidRPr="005E1EA7" w:rsidRDefault="003D69A8" w:rsidP="005E1EA7">
            <w:pPr>
              <w:autoSpaceDE w:val="0"/>
              <w:autoSpaceDN w:val="0"/>
              <w:adjustRightInd w:val="0"/>
              <w:jc w:val="center"/>
              <w:rPr>
                <w:rFonts w:ascii="Tahoma" w:hAnsi="Tahoma" w:cs="Tahoma"/>
                <w:sz w:val="17"/>
                <w:szCs w:val="17"/>
              </w:rPr>
            </w:pPr>
          </w:p>
        </w:tc>
        <w:tc>
          <w:tcPr>
            <w:tcW w:w="2415" w:type="dxa"/>
            <w:vMerge/>
            <w:vAlign w:val="center"/>
          </w:tcPr>
          <w:p w14:paraId="6C34DB88" w14:textId="77777777" w:rsidR="003D69A8" w:rsidRPr="005E1EA7" w:rsidRDefault="003D69A8" w:rsidP="005E1EA7">
            <w:pPr>
              <w:autoSpaceDE w:val="0"/>
              <w:autoSpaceDN w:val="0"/>
              <w:adjustRightInd w:val="0"/>
              <w:jc w:val="center"/>
              <w:rPr>
                <w:rFonts w:ascii="Tahoma" w:hAnsi="Tahoma" w:cs="Tahoma"/>
                <w:sz w:val="17"/>
                <w:szCs w:val="17"/>
              </w:rPr>
            </w:pPr>
          </w:p>
        </w:tc>
      </w:tr>
      <w:tr w:rsidR="003D69A8" w:rsidRPr="005E1EA7" w14:paraId="1038F799" w14:textId="77777777" w:rsidTr="005E1EA7">
        <w:trPr>
          <w:cantSplit/>
          <w:trHeight w:val="217"/>
        </w:trPr>
        <w:tc>
          <w:tcPr>
            <w:tcW w:w="464" w:type="dxa"/>
            <w:vMerge/>
            <w:vAlign w:val="center"/>
          </w:tcPr>
          <w:p w14:paraId="4641B73D" w14:textId="77777777" w:rsidR="003D69A8" w:rsidRPr="005E1EA7" w:rsidRDefault="003D69A8" w:rsidP="005E1EA7">
            <w:pPr>
              <w:autoSpaceDE w:val="0"/>
              <w:autoSpaceDN w:val="0"/>
              <w:adjustRightInd w:val="0"/>
              <w:jc w:val="both"/>
              <w:rPr>
                <w:rFonts w:ascii="Tahoma" w:hAnsi="Tahoma" w:cs="Tahoma"/>
                <w:sz w:val="17"/>
                <w:szCs w:val="17"/>
              </w:rPr>
            </w:pPr>
          </w:p>
        </w:tc>
        <w:tc>
          <w:tcPr>
            <w:tcW w:w="2933" w:type="dxa"/>
            <w:vMerge/>
            <w:vAlign w:val="center"/>
          </w:tcPr>
          <w:p w14:paraId="621F7613" w14:textId="77777777" w:rsidR="003D69A8" w:rsidRPr="005E1EA7" w:rsidRDefault="003D69A8" w:rsidP="005E1EA7">
            <w:pPr>
              <w:autoSpaceDE w:val="0"/>
              <w:autoSpaceDN w:val="0"/>
              <w:adjustRightInd w:val="0"/>
              <w:jc w:val="both"/>
              <w:rPr>
                <w:rFonts w:ascii="Tahoma" w:hAnsi="Tahoma" w:cs="Tahoma"/>
                <w:sz w:val="17"/>
                <w:szCs w:val="17"/>
              </w:rPr>
            </w:pPr>
          </w:p>
        </w:tc>
        <w:tc>
          <w:tcPr>
            <w:tcW w:w="1985" w:type="dxa"/>
            <w:vMerge/>
            <w:vAlign w:val="center"/>
          </w:tcPr>
          <w:p w14:paraId="6C01ABB7" w14:textId="77777777" w:rsidR="003D69A8" w:rsidRPr="005E1EA7" w:rsidRDefault="003D69A8" w:rsidP="005E1EA7">
            <w:pPr>
              <w:autoSpaceDE w:val="0"/>
              <w:autoSpaceDN w:val="0"/>
              <w:adjustRightInd w:val="0"/>
              <w:jc w:val="both"/>
              <w:rPr>
                <w:rFonts w:ascii="Tahoma" w:hAnsi="Tahoma" w:cs="Tahoma"/>
                <w:sz w:val="17"/>
                <w:szCs w:val="17"/>
              </w:rPr>
            </w:pPr>
          </w:p>
        </w:tc>
        <w:tc>
          <w:tcPr>
            <w:tcW w:w="779" w:type="dxa"/>
            <w:vMerge/>
            <w:vAlign w:val="center"/>
          </w:tcPr>
          <w:p w14:paraId="17256C24" w14:textId="77777777" w:rsidR="003D69A8" w:rsidRPr="005E1EA7" w:rsidRDefault="003D69A8" w:rsidP="005E1EA7">
            <w:pPr>
              <w:autoSpaceDE w:val="0"/>
              <w:autoSpaceDN w:val="0"/>
              <w:adjustRightInd w:val="0"/>
              <w:jc w:val="center"/>
              <w:rPr>
                <w:rFonts w:ascii="Tahoma" w:hAnsi="Tahoma" w:cs="Tahoma"/>
                <w:sz w:val="17"/>
                <w:szCs w:val="17"/>
              </w:rPr>
            </w:pPr>
          </w:p>
        </w:tc>
        <w:tc>
          <w:tcPr>
            <w:tcW w:w="780" w:type="dxa"/>
            <w:vMerge/>
            <w:vAlign w:val="center"/>
          </w:tcPr>
          <w:p w14:paraId="11B260B2" w14:textId="77777777" w:rsidR="003D69A8" w:rsidRPr="005E1EA7" w:rsidRDefault="003D69A8" w:rsidP="005E1EA7">
            <w:pPr>
              <w:autoSpaceDE w:val="0"/>
              <w:autoSpaceDN w:val="0"/>
              <w:adjustRightInd w:val="0"/>
              <w:jc w:val="center"/>
              <w:rPr>
                <w:rFonts w:ascii="Tahoma" w:hAnsi="Tahoma" w:cs="Tahoma"/>
                <w:sz w:val="17"/>
                <w:szCs w:val="17"/>
              </w:rPr>
            </w:pPr>
          </w:p>
        </w:tc>
        <w:tc>
          <w:tcPr>
            <w:tcW w:w="1418" w:type="dxa"/>
            <w:vMerge/>
            <w:vAlign w:val="center"/>
          </w:tcPr>
          <w:p w14:paraId="03344850" w14:textId="77777777" w:rsidR="003D69A8" w:rsidRPr="005E1EA7" w:rsidRDefault="003D69A8" w:rsidP="005E1EA7">
            <w:pPr>
              <w:autoSpaceDE w:val="0"/>
              <w:autoSpaceDN w:val="0"/>
              <w:adjustRightInd w:val="0"/>
              <w:jc w:val="both"/>
              <w:rPr>
                <w:rFonts w:ascii="Tahoma" w:hAnsi="Tahoma" w:cs="Tahoma"/>
                <w:sz w:val="17"/>
                <w:szCs w:val="17"/>
              </w:rPr>
            </w:pPr>
          </w:p>
        </w:tc>
        <w:tc>
          <w:tcPr>
            <w:tcW w:w="1417" w:type="dxa"/>
            <w:vMerge/>
            <w:vAlign w:val="center"/>
          </w:tcPr>
          <w:p w14:paraId="07C6C8A8" w14:textId="77777777" w:rsidR="003D69A8" w:rsidRPr="005E1EA7" w:rsidRDefault="003D69A8" w:rsidP="005E1EA7">
            <w:pPr>
              <w:autoSpaceDE w:val="0"/>
              <w:autoSpaceDN w:val="0"/>
              <w:adjustRightInd w:val="0"/>
              <w:jc w:val="both"/>
              <w:rPr>
                <w:rFonts w:ascii="Tahoma" w:hAnsi="Tahoma" w:cs="Tahoma"/>
                <w:sz w:val="17"/>
                <w:szCs w:val="17"/>
              </w:rPr>
            </w:pPr>
          </w:p>
        </w:tc>
        <w:tc>
          <w:tcPr>
            <w:tcW w:w="1559" w:type="dxa"/>
            <w:vMerge/>
            <w:vAlign w:val="center"/>
          </w:tcPr>
          <w:p w14:paraId="700C9339" w14:textId="77777777" w:rsidR="003D69A8" w:rsidRPr="005E1EA7" w:rsidRDefault="003D69A8" w:rsidP="005E1EA7">
            <w:pPr>
              <w:autoSpaceDE w:val="0"/>
              <w:autoSpaceDN w:val="0"/>
              <w:adjustRightInd w:val="0"/>
              <w:jc w:val="both"/>
              <w:rPr>
                <w:rFonts w:ascii="Tahoma" w:hAnsi="Tahoma" w:cs="Tahoma"/>
                <w:sz w:val="17"/>
                <w:szCs w:val="17"/>
              </w:rPr>
            </w:pPr>
          </w:p>
        </w:tc>
        <w:tc>
          <w:tcPr>
            <w:tcW w:w="2415" w:type="dxa"/>
            <w:vMerge/>
            <w:vAlign w:val="center"/>
          </w:tcPr>
          <w:p w14:paraId="2D78D966" w14:textId="77777777" w:rsidR="003D69A8" w:rsidRPr="005E1EA7" w:rsidRDefault="003D69A8" w:rsidP="005E1EA7">
            <w:pPr>
              <w:autoSpaceDE w:val="0"/>
              <w:autoSpaceDN w:val="0"/>
              <w:adjustRightInd w:val="0"/>
              <w:jc w:val="both"/>
              <w:rPr>
                <w:rFonts w:ascii="Tahoma" w:hAnsi="Tahoma" w:cs="Tahoma"/>
                <w:sz w:val="17"/>
                <w:szCs w:val="17"/>
              </w:rPr>
            </w:pPr>
          </w:p>
        </w:tc>
      </w:tr>
      <w:tr w:rsidR="003D69A8" w:rsidRPr="005E1EA7" w14:paraId="42BEF6FA" w14:textId="77777777" w:rsidTr="005E1EA7">
        <w:trPr>
          <w:cantSplit/>
          <w:trHeight w:val="20"/>
        </w:trPr>
        <w:tc>
          <w:tcPr>
            <w:tcW w:w="464" w:type="dxa"/>
            <w:vMerge w:val="restart"/>
            <w:vAlign w:val="center"/>
          </w:tcPr>
          <w:p w14:paraId="747F5E61" w14:textId="77777777" w:rsidR="003D69A8" w:rsidRPr="005E1EA7" w:rsidRDefault="003D69A8" w:rsidP="005E1EA7">
            <w:pPr>
              <w:pStyle w:val="CM1"/>
              <w:jc w:val="both"/>
              <w:rPr>
                <w:rFonts w:ascii="Tahoma" w:hAnsi="Tahoma" w:cs="Tahoma"/>
                <w:sz w:val="17"/>
                <w:szCs w:val="17"/>
              </w:rPr>
            </w:pPr>
            <w:r w:rsidRPr="005E1EA7">
              <w:rPr>
                <w:rFonts w:ascii="Tahoma" w:hAnsi="Tahoma" w:cs="Tahoma"/>
                <w:sz w:val="17"/>
                <w:szCs w:val="17"/>
              </w:rPr>
              <w:t>1.1</w:t>
            </w:r>
          </w:p>
        </w:tc>
        <w:tc>
          <w:tcPr>
            <w:tcW w:w="2933" w:type="dxa"/>
            <w:vMerge w:val="restart"/>
            <w:vAlign w:val="center"/>
          </w:tcPr>
          <w:p w14:paraId="5554991C" w14:textId="77777777" w:rsidR="003D69A8" w:rsidRPr="005E1EA7" w:rsidRDefault="003D69A8" w:rsidP="005E1EA7">
            <w:pPr>
              <w:pStyle w:val="CM1"/>
              <w:jc w:val="both"/>
              <w:rPr>
                <w:rFonts w:ascii="Tahoma" w:hAnsi="Tahoma" w:cs="Tahoma"/>
                <w:sz w:val="17"/>
                <w:szCs w:val="17"/>
              </w:rPr>
            </w:pPr>
            <w:r w:rsidRPr="005E1EA7">
              <w:rPr>
                <w:rFonts w:ascii="Tahoma" w:hAnsi="Tahoma" w:cs="Tahoma"/>
                <w:sz w:val="17"/>
                <w:szCs w:val="17"/>
              </w:rPr>
              <w:t>Poissons frais ou congelés</w:t>
            </w:r>
          </w:p>
        </w:tc>
        <w:tc>
          <w:tcPr>
            <w:tcW w:w="1985" w:type="dxa"/>
            <w:vAlign w:val="center"/>
          </w:tcPr>
          <w:p w14:paraId="2982BA57" w14:textId="77777777" w:rsidR="003D69A8" w:rsidRPr="005E1EA7" w:rsidRDefault="003D69A8" w:rsidP="005E1EA7">
            <w:pPr>
              <w:pStyle w:val="CM1"/>
              <w:jc w:val="both"/>
              <w:rPr>
                <w:rFonts w:ascii="Tahoma" w:hAnsi="Tahoma" w:cs="Tahoma"/>
                <w:i/>
                <w:iCs/>
                <w:sz w:val="17"/>
                <w:szCs w:val="17"/>
              </w:rPr>
            </w:pPr>
            <w:r w:rsidRPr="005E1EA7">
              <w:rPr>
                <w:rFonts w:ascii="Tahoma" w:hAnsi="Tahoma" w:cs="Tahoma"/>
                <w:i/>
                <w:iCs/>
                <w:sz w:val="17"/>
                <w:szCs w:val="17"/>
              </w:rPr>
              <w:t>Coliformes 44°C</w:t>
            </w:r>
          </w:p>
        </w:tc>
        <w:tc>
          <w:tcPr>
            <w:tcW w:w="779" w:type="dxa"/>
            <w:vAlign w:val="center"/>
          </w:tcPr>
          <w:p w14:paraId="1733560D" w14:textId="77777777" w:rsidR="003D69A8" w:rsidRPr="005E1EA7" w:rsidRDefault="003D69A8" w:rsidP="005E1EA7">
            <w:pPr>
              <w:pStyle w:val="CM1"/>
              <w:jc w:val="center"/>
              <w:rPr>
                <w:rFonts w:ascii="Tahoma" w:hAnsi="Tahoma" w:cs="Tahoma"/>
                <w:sz w:val="17"/>
                <w:szCs w:val="17"/>
              </w:rPr>
            </w:pPr>
            <w:r w:rsidRPr="005E1EA7">
              <w:rPr>
                <w:rFonts w:ascii="Tahoma" w:hAnsi="Tahoma" w:cs="Tahoma"/>
                <w:sz w:val="17"/>
                <w:szCs w:val="17"/>
              </w:rPr>
              <w:t>5</w:t>
            </w:r>
          </w:p>
        </w:tc>
        <w:tc>
          <w:tcPr>
            <w:tcW w:w="780" w:type="dxa"/>
            <w:vAlign w:val="center"/>
          </w:tcPr>
          <w:p w14:paraId="2778FE46" w14:textId="77777777" w:rsidR="003D69A8" w:rsidRPr="005E1EA7" w:rsidRDefault="003D69A8" w:rsidP="005E1EA7">
            <w:pPr>
              <w:pStyle w:val="CM1"/>
              <w:jc w:val="center"/>
              <w:rPr>
                <w:rFonts w:ascii="Tahoma" w:hAnsi="Tahoma" w:cs="Tahoma"/>
                <w:sz w:val="17"/>
                <w:szCs w:val="17"/>
              </w:rPr>
            </w:pPr>
            <w:r w:rsidRPr="005E1EA7">
              <w:rPr>
                <w:rFonts w:ascii="Tahoma" w:hAnsi="Tahoma" w:cs="Tahoma"/>
                <w:sz w:val="17"/>
                <w:szCs w:val="17"/>
              </w:rPr>
              <w:t>2</w:t>
            </w:r>
          </w:p>
        </w:tc>
        <w:tc>
          <w:tcPr>
            <w:tcW w:w="1418" w:type="dxa"/>
          </w:tcPr>
          <w:p w14:paraId="67BF9D31" w14:textId="77777777" w:rsidR="003D69A8" w:rsidRPr="005E1EA7" w:rsidRDefault="003D69A8" w:rsidP="005E1EA7">
            <w:pPr>
              <w:pStyle w:val="CM1"/>
              <w:jc w:val="both"/>
              <w:rPr>
                <w:rFonts w:ascii="Tahoma" w:hAnsi="Tahoma" w:cs="Tahoma"/>
                <w:sz w:val="17"/>
                <w:szCs w:val="17"/>
              </w:rPr>
            </w:pPr>
            <w:r w:rsidRPr="005E1EA7">
              <w:rPr>
                <w:rFonts w:ascii="Tahoma" w:hAnsi="Tahoma" w:cs="Tahoma"/>
                <w:sz w:val="17"/>
                <w:szCs w:val="17"/>
              </w:rPr>
              <w:t>10 ufc/g</w:t>
            </w:r>
          </w:p>
        </w:tc>
        <w:tc>
          <w:tcPr>
            <w:tcW w:w="1417" w:type="dxa"/>
            <w:vAlign w:val="center"/>
          </w:tcPr>
          <w:p w14:paraId="3CFE51DE" w14:textId="77777777" w:rsidR="003D69A8" w:rsidRPr="005E1EA7" w:rsidRDefault="003D69A8" w:rsidP="005E1EA7">
            <w:pPr>
              <w:pStyle w:val="CM1"/>
              <w:jc w:val="both"/>
              <w:rPr>
                <w:rFonts w:ascii="Tahoma" w:hAnsi="Tahoma" w:cs="Tahoma"/>
                <w:sz w:val="17"/>
                <w:szCs w:val="17"/>
              </w:rPr>
            </w:pPr>
            <w:r w:rsidRPr="005E1EA7">
              <w:rPr>
                <w:rFonts w:ascii="Tahoma" w:hAnsi="Tahoma" w:cs="Tahoma"/>
                <w:sz w:val="17"/>
                <w:szCs w:val="17"/>
              </w:rPr>
              <w:t>100 ufc/g</w:t>
            </w:r>
          </w:p>
          <w:p w14:paraId="03978F2A" w14:textId="77777777" w:rsidR="003D69A8" w:rsidRPr="005E1EA7" w:rsidRDefault="003D69A8" w:rsidP="005E1EA7">
            <w:pPr>
              <w:pStyle w:val="CM1"/>
              <w:jc w:val="both"/>
              <w:rPr>
                <w:rFonts w:ascii="Tahoma" w:hAnsi="Tahoma" w:cs="Tahoma"/>
                <w:sz w:val="17"/>
                <w:szCs w:val="17"/>
              </w:rPr>
            </w:pPr>
          </w:p>
        </w:tc>
        <w:tc>
          <w:tcPr>
            <w:tcW w:w="1559" w:type="dxa"/>
            <w:vAlign w:val="center"/>
          </w:tcPr>
          <w:p w14:paraId="685BE5BE" w14:textId="77777777" w:rsidR="003D69A8" w:rsidRPr="005E1EA7" w:rsidRDefault="003D69A8" w:rsidP="005E1EA7">
            <w:pPr>
              <w:pStyle w:val="CM1"/>
              <w:jc w:val="both"/>
              <w:rPr>
                <w:rFonts w:ascii="Tahoma" w:hAnsi="Tahoma" w:cs="Tahoma"/>
                <w:sz w:val="17"/>
                <w:szCs w:val="17"/>
              </w:rPr>
            </w:pPr>
            <w:r w:rsidRPr="005E1EA7">
              <w:rPr>
                <w:rFonts w:ascii="Tahoma" w:hAnsi="Tahoma" w:cs="Tahoma"/>
                <w:sz w:val="17"/>
                <w:szCs w:val="17"/>
              </w:rPr>
              <w:t>NF VO8 060NN</w:t>
            </w:r>
          </w:p>
        </w:tc>
        <w:tc>
          <w:tcPr>
            <w:tcW w:w="2415" w:type="dxa"/>
            <w:vAlign w:val="center"/>
          </w:tcPr>
          <w:p w14:paraId="28899FAA" w14:textId="77777777" w:rsidR="003D69A8" w:rsidRPr="005E1EA7" w:rsidRDefault="003D69A8" w:rsidP="005E1EA7">
            <w:pPr>
              <w:pStyle w:val="CM1"/>
              <w:jc w:val="both"/>
              <w:rPr>
                <w:rFonts w:ascii="Tahoma" w:hAnsi="Tahoma" w:cs="Tahoma"/>
                <w:sz w:val="17"/>
                <w:szCs w:val="17"/>
              </w:rPr>
            </w:pPr>
            <w:r w:rsidRPr="005E1EA7">
              <w:rPr>
                <w:rFonts w:ascii="Tahoma" w:hAnsi="Tahoma" w:cs="Tahoma"/>
                <w:sz w:val="17"/>
                <w:szCs w:val="17"/>
              </w:rPr>
              <w:t xml:space="preserve">Produits mis sur le marché </w:t>
            </w:r>
          </w:p>
        </w:tc>
      </w:tr>
      <w:tr w:rsidR="003D69A8" w:rsidRPr="005E1EA7" w14:paraId="4AAA1200" w14:textId="77777777" w:rsidTr="005E1EA7">
        <w:trPr>
          <w:cantSplit/>
          <w:trHeight w:val="20"/>
        </w:trPr>
        <w:tc>
          <w:tcPr>
            <w:tcW w:w="464" w:type="dxa"/>
            <w:vMerge/>
            <w:vAlign w:val="center"/>
          </w:tcPr>
          <w:p w14:paraId="3315B3D5" w14:textId="77777777" w:rsidR="003D69A8" w:rsidRPr="005E1EA7" w:rsidRDefault="003D69A8" w:rsidP="005E1EA7">
            <w:pPr>
              <w:pStyle w:val="CM1"/>
              <w:jc w:val="both"/>
              <w:rPr>
                <w:rFonts w:ascii="Tahoma" w:hAnsi="Tahoma" w:cs="Tahoma"/>
                <w:sz w:val="17"/>
                <w:szCs w:val="17"/>
              </w:rPr>
            </w:pPr>
          </w:p>
        </w:tc>
        <w:tc>
          <w:tcPr>
            <w:tcW w:w="2933" w:type="dxa"/>
            <w:vMerge/>
            <w:vAlign w:val="center"/>
          </w:tcPr>
          <w:p w14:paraId="62A0B224" w14:textId="77777777" w:rsidR="003D69A8" w:rsidRPr="005E1EA7" w:rsidRDefault="003D69A8" w:rsidP="005E1EA7">
            <w:pPr>
              <w:pStyle w:val="CM1"/>
              <w:jc w:val="both"/>
              <w:rPr>
                <w:rFonts w:ascii="Tahoma" w:hAnsi="Tahoma" w:cs="Tahoma"/>
                <w:sz w:val="17"/>
                <w:szCs w:val="17"/>
              </w:rPr>
            </w:pPr>
          </w:p>
        </w:tc>
        <w:tc>
          <w:tcPr>
            <w:tcW w:w="1985" w:type="dxa"/>
            <w:vAlign w:val="center"/>
          </w:tcPr>
          <w:p w14:paraId="49DEFF05" w14:textId="77777777" w:rsidR="003D69A8" w:rsidRPr="005E1EA7" w:rsidRDefault="003D69A8" w:rsidP="005E1EA7">
            <w:pPr>
              <w:pStyle w:val="CM1"/>
              <w:jc w:val="both"/>
              <w:rPr>
                <w:rFonts w:ascii="Tahoma" w:hAnsi="Tahoma" w:cs="Tahoma"/>
                <w:i/>
                <w:iCs/>
                <w:sz w:val="17"/>
                <w:szCs w:val="17"/>
              </w:rPr>
            </w:pPr>
            <w:r w:rsidRPr="005E1EA7">
              <w:rPr>
                <w:rFonts w:ascii="Tahoma" w:hAnsi="Tahoma" w:cs="Tahoma"/>
                <w:sz w:val="17"/>
                <w:szCs w:val="17"/>
              </w:rPr>
              <w:t>E/ coli</w:t>
            </w:r>
          </w:p>
        </w:tc>
        <w:tc>
          <w:tcPr>
            <w:tcW w:w="779" w:type="dxa"/>
            <w:vAlign w:val="center"/>
          </w:tcPr>
          <w:p w14:paraId="0AEA4AE5" w14:textId="77777777" w:rsidR="003D69A8" w:rsidRPr="005E1EA7" w:rsidRDefault="003D69A8" w:rsidP="005E1EA7">
            <w:pPr>
              <w:pStyle w:val="CM1"/>
              <w:jc w:val="center"/>
              <w:rPr>
                <w:rFonts w:ascii="Tahoma" w:hAnsi="Tahoma" w:cs="Tahoma"/>
                <w:sz w:val="17"/>
                <w:szCs w:val="17"/>
              </w:rPr>
            </w:pPr>
            <w:r w:rsidRPr="005E1EA7">
              <w:rPr>
                <w:rFonts w:ascii="Tahoma" w:hAnsi="Tahoma" w:cs="Tahoma"/>
                <w:sz w:val="17"/>
                <w:szCs w:val="17"/>
              </w:rPr>
              <w:t>5</w:t>
            </w:r>
          </w:p>
        </w:tc>
        <w:tc>
          <w:tcPr>
            <w:tcW w:w="780" w:type="dxa"/>
            <w:vAlign w:val="center"/>
          </w:tcPr>
          <w:p w14:paraId="5947F221" w14:textId="77777777" w:rsidR="003D69A8" w:rsidRPr="005E1EA7" w:rsidRDefault="003D69A8" w:rsidP="005E1EA7">
            <w:pPr>
              <w:pStyle w:val="CM1"/>
              <w:jc w:val="center"/>
              <w:rPr>
                <w:rFonts w:ascii="Tahoma" w:hAnsi="Tahoma" w:cs="Tahoma"/>
                <w:sz w:val="17"/>
                <w:szCs w:val="17"/>
              </w:rPr>
            </w:pPr>
            <w:r w:rsidRPr="005E1EA7">
              <w:rPr>
                <w:rFonts w:ascii="Tahoma" w:hAnsi="Tahoma" w:cs="Tahoma"/>
                <w:sz w:val="17"/>
                <w:szCs w:val="17"/>
              </w:rPr>
              <w:t>1</w:t>
            </w:r>
          </w:p>
        </w:tc>
        <w:tc>
          <w:tcPr>
            <w:tcW w:w="1418" w:type="dxa"/>
          </w:tcPr>
          <w:p w14:paraId="3820CC02" w14:textId="77777777" w:rsidR="003D69A8" w:rsidRPr="005E1EA7" w:rsidRDefault="003D69A8" w:rsidP="005E1EA7">
            <w:pPr>
              <w:pStyle w:val="CM1"/>
              <w:jc w:val="both"/>
              <w:rPr>
                <w:rFonts w:ascii="Tahoma" w:hAnsi="Tahoma" w:cs="Tahoma"/>
                <w:sz w:val="17"/>
                <w:szCs w:val="17"/>
              </w:rPr>
            </w:pPr>
            <w:r w:rsidRPr="005E1EA7">
              <w:rPr>
                <w:rFonts w:ascii="Tahoma" w:hAnsi="Tahoma" w:cs="Tahoma"/>
                <w:sz w:val="17"/>
                <w:szCs w:val="17"/>
              </w:rPr>
              <w:t>10 ufc/g</w:t>
            </w:r>
          </w:p>
        </w:tc>
        <w:tc>
          <w:tcPr>
            <w:tcW w:w="1417" w:type="dxa"/>
            <w:vAlign w:val="center"/>
          </w:tcPr>
          <w:p w14:paraId="5D3F3168" w14:textId="77777777" w:rsidR="003D69A8" w:rsidRPr="005E1EA7" w:rsidRDefault="003D69A8" w:rsidP="005E1EA7">
            <w:pPr>
              <w:pStyle w:val="CM1"/>
              <w:jc w:val="both"/>
              <w:rPr>
                <w:rFonts w:ascii="Tahoma" w:hAnsi="Tahoma" w:cs="Tahoma"/>
                <w:sz w:val="17"/>
                <w:szCs w:val="17"/>
              </w:rPr>
            </w:pPr>
            <w:r w:rsidRPr="005E1EA7">
              <w:rPr>
                <w:rFonts w:ascii="Tahoma" w:hAnsi="Tahoma" w:cs="Tahoma"/>
                <w:sz w:val="17"/>
                <w:szCs w:val="17"/>
              </w:rPr>
              <w:t>100 ufc/g</w:t>
            </w:r>
          </w:p>
        </w:tc>
        <w:tc>
          <w:tcPr>
            <w:tcW w:w="1559" w:type="dxa"/>
            <w:vAlign w:val="center"/>
          </w:tcPr>
          <w:p w14:paraId="5C5743F6" w14:textId="77777777" w:rsidR="003D69A8" w:rsidRPr="005E1EA7" w:rsidRDefault="003D69A8" w:rsidP="005E1EA7">
            <w:pPr>
              <w:pStyle w:val="CM1"/>
              <w:jc w:val="both"/>
              <w:rPr>
                <w:rFonts w:ascii="Tahoma" w:hAnsi="Tahoma" w:cs="Tahoma"/>
                <w:sz w:val="17"/>
                <w:szCs w:val="17"/>
              </w:rPr>
            </w:pPr>
            <w:r w:rsidRPr="005E1EA7">
              <w:rPr>
                <w:rFonts w:ascii="Tahoma" w:hAnsi="Tahoma" w:cs="Tahoma"/>
                <w:sz w:val="17"/>
                <w:szCs w:val="17"/>
              </w:rPr>
              <w:t>ISO 16649-2</w:t>
            </w:r>
          </w:p>
        </w:tc>
        <w:tc>
          <w:tcPr>
            <w:tcW w:w="2415" w:type="dxa"/>
          </w:tcPr>
          <w:p w14:paraId="1AD724C3" w14:textId="77777777" w:rsidR="003D69A8" w:rsidRPr="005E1EA7" w:rsidRDefault="003D69A8" w:rsidP="005E1EA7">
            <w:pPr>
              <w:pStyle w:val="CM1"/>
              <w:jc w:val="both"/>
              <w:rPr>
                <w:rFonts w:ascii="Tahoma" w:hAnsi="Tahoma" w:cs="Tahoma"/>
                <w:sz w:val="17"/>
                <w:szCs w:val="17"/>
              </w:rPr>
            </w:pPr>
            <w:r w:rsidRPr="005E1EA7">
              <w:rPr>
                <w:rFonts w:ascii="Tahoma" w:hAnsi="Tahoma" w:cs="Tahoma"/>
                <w:sz w:val="17"/>
                <w:szCs w:val="17"/>
              </w:rPr>
              <w:t xml:space="preserve">Produits mis sur le marché </w:t>
            </w:r>
          </w:p>
        </w:tc>
      </w:tr>
      <w:tr w:rsidR="003D69A8" w:rsidRPr="005E1EA7" w14:paraId="5B3CC996" w14:textId="77777777" w:rsidTr="005E1EA7">
        <w:trPr>
          <w:cantSplit/>
          <w:trHeight w:val="20"/>
        </w:trPr>
        <w:tc>
          <w:tcPr>
            <w:tcW w:w="464" w:type="dxa"/>
            <w:vMerge/>
            <w:vAlign w:val="center"/>
          </w:tcPr>
          <w:p w14:paraId="79815693" w14:textId="77777777" w:rsidR="003D69A8" w:rsidRPr="005E1EA7" w:rsidRDefault="003D69A8" w:rsidP="005E1EA7">
            <w:pPr>
              <w:pStyle w:val="CM1"/>
              <w:jc w:val="both"/>
              <w:rPr>
                <w:rFonts w:ascii="Tahoma" w:hAnsi="Tahoma" w:cs="Tahoma"/>
                <w:sz w:val="17"/>
                <w:szCs w:val="17"/>
              </w:rPr>
            </w:pPr>
          </w:p>
        </w:tc>
        <w:tc>
          <w:tcPr>
            <w:tcW w:w="2933" w:type="dxa"/>
            <w:vMerge/>
            <w:vAlign w:val="center"/>
          </w:tcPr>
          <w:p w14:paraId="71E337AA" w14:textId="77777777" w:rsidR="003D69A8" w:rsidRPr="005E1EA7" w:rsidRDefault="003D69A8" w:rsidP="005E1EA7">
            <w:pPr>
              <w:pStyle w:val="CM1"/>
              <w:jc w:val="both"/>
              <w:rPr>
                <w:rFonts w:ascii="Tahoma" w:hAnsi="Tahoma" w:cs="Tahoma"/>
                <w:sz w:val="17"/>
                <w:szCs w:val="17"/>
              </w:rPr>
            </w:pPr>
          </w:p>
        </w:tc>
        <w:tc>
          <w:tcPr>
            <w:tcW w:w="1985" w:type="dxa"/>
            <w:vAlign w:val="center"/>
          </w:tcPr>
          <w:p w14:paraId="34DB751C" w14:textId="77777777" w:rsidR="003D69A8" w:rsidRPr="005E1EA7" w:rsidRDefault="003D69A8" w:rsidP="005E1EA7">
            <w:pPr>
              <w:pStyle w:val="CM1"/>
              <w:jc w:val="both"/>
              <w:rPr>
                <w:rFonts w:ascii="Tahoma" w:hAnsi="Tahoma" w:cs="Tahoma"/>
                <w:i/>
                <w:iCs/>
                <w:sz w:val="17"/>
                <w:szCs w:val="17"/>
              </w:rPr>
            </w:pPr>
            <w:r w:rsidRPr="005E1EA7">
              <w:rPr>
                <w:rFonts w:ascii="Tahoma" w:hAnsi="Tahoma" w:cs="Tahoma"/>
                <w:i/>
                <w:iCs/>
                <w:sz w:val="17"/>
                <w:szCs w:val="17"/>
              </w:rPr>
              <w:t>Staphylocoques coagulase positive</w:t>
            </w:r>
          </w:p>
        </w:tc>
        <w:tc>
          <w:tcPr>
            <w:tcW w:w="779" w:type="dxa"/>
            <w:vAlign w:val="center"/>
          </w:tcPr>
          <w:p w14:paraId="622892DB" w14:textId="77777777" w:rsidR="003D69A8" w:rsidRPr="005E1EA7" w:rsidRDefault="003D69A8" w:rsidP="005E1EA7">
            <w:pPr>
              <w:pStyle w:val="CM1"/>
              <w:jc w:val="center"/>
              <w:rPr>
                <w:rFonts w:ascii="Tahoma" w:hAnsi="Tahoma" w:cs="Tahoma"/>
                <w:sz w:val="17"/>
                <w:szCs w:val="17"/>
              </w:rPr>
            </w:pPr>
            <w:r w:rsidRPr="005E1EA7">
              <w:rPr>
                <w:rFonts w:ascii="Tahoma" w:hAnsi="Tahoma" w:cs="Tahoma"/>
                <w:sz w:val="17"/>
                <w:szCs w:val="17"/>
              </w:rPr>
              <w:t>5</w:t>
            </w:r>
          </w:p>
        </w:tc>
        <w:tc>
          <w:tcPr>
            <w:tcW w:w="780" w:type="dxa"/>
            <w:vAlign w:val="center"/>
          </w:tcPr>
          <w:p w14:paraId="4996B3AD" w14:textId="77777777" w:rsidR="003D69A8" w:rsidRPr="005E1EA7" w:rsidRDefault="003D69A8" w:rsidP="005E1EA7">
            <w:pPr>
              <w:pStyle w:val="CM1"/>
              <w:jc w:val="center"/>
              <w:rPr>
                <w:rFonts w:ascii="Tahoma" w:hAnsi="Tahoma" w:cs="Tahoma"/>
                <w:sz w:val="17"/>
                <w:szCs w:val="17"/>
              </w:rPr>
            </w:pPr>
            <w:r w:rsidRPr="005E1EA7">
              <w:rPr>
                <w:rFonts w:ascii="Tahoma" w:hAnsi="Tahoma" w:cs="Tahoma"/>
                <w:sz w:val="17"/>
                <w:szCs w:val="17"/>
              </w:rPr>
              <w:t>2</w:t>
            </w:r>
          </w:p>
        </w:tc>
        <w:tc>
          <w:tcPr>
            <w:tcW w:w="1418" w:type="dxa"/>
            <w:vAlign w:val="center"/>
          </w:tcPr>
          <w:p w14:paraId="3577BEB4" w14:textId="77777777" w:rsidR="003D69A8" w:rsidRPr="005E1EA7" w:rsidRDefault="003D69A8" w:rsidP="005E1EA7">
            <w:pPr>
              <w:pStyle w:val="CM1"/>
              <w:jc w:val="both"/>
              <w:rPr>
                <w:rFonts w:ascii="Tahoma" w:hAnsi="Tahoma" w:cs="Tahoma"/>
                <w:sz w:val="17"/>
                <w:szCs w:val="17"/>
              </w:rPr>
            </w:pPr>
            <w:r w:rsidRPr="005E1EA7">
              <w:rPr>
                <w:rFonts w:ascii="Tahoma" w:hAnsi="Tahoma" w:cs="Tahoma"/>
                <w:sz w:val="17"/>
                <w:szCs w:val="17"/>
              </w:rPr>
              <w:t>100 ufc/g</w:t>
            </w:r>
          </w:p>
        </w:tc>
        <w:tc>
          <w:tcPr>
            <w:tcW w:w="1417" w:type="dxa"/>
            <w:vAlign w:val="center"/>
          </w:tcPr>
          <w:p w14:paraId="4DDBC479" w14:textId="77777777" w:rsidR="003D69A8" w:rsidRPr="005E1EA7" w:rsidRDefault="003D69A8" w:rsidP="005E1EA7">
            <w:pPr>
              <w:pStyle w:val="CM1"/>
              <w:jc w:val="both"/>
              <w:rPr>
                <w:rFonts w:ascii="Tahoma" w:hAnsi="Tahoma" w:cs="Tahoma"/>
                <w:sz w:val="17"/>
                <w:szCs w:val="17"/>
              </w:rPr>
            </w:pPr>
            <w:r w:rsidRPr="005E1EA7">
              <w:rPr>
                <w:rFonts w:ascii="Tahoma" w:hAnsi="Tahoma" w:cs="Tahoma"/>
                <w:sz w:val="17"/>
                <w:szCs w:val="17"/>
              </w:rPr>
              <w:t>1.10</w:t>
            </w:r>
            <w:r w:rsidRPr="005E1EA7">
              <w:rPr>
                <w:rFonts w:ascii="Tahoma" w:hAnsi="Tahoma" w:cs="Tahoma"/>
                <w:sz w:val="17"/>
                <w:szCs w:val="17"/>
                <w:vertAlign w:val="superscript"/>
              </w:rPr>
              <w:t>3</w:t>
            </w:r>
            <w:r w:rsidRPr="005E1EA7">
              <w:rPr>
                <w:rFonts w:ascii="Tahoma" w:hAnsi="Tahoma" w:cs="Tahoma"/>
                <w:sz w:val="17"/>
                <w:szCs w:val="17"/>
              </w:rPr>
              <w:t xml:space="preserve"> ufc/g</w:t>
            </w:r>
          </w:p>
        </w:tc>
        <w:tc>
          <w:tcPr>
            <w:tcW w:w="1559" w:type="dxa"/>
            <w:vAlign w:val="center"/>
          </w:tcPr>
          <w:p w14:paraId="030D41EF" w14:textId="77777777" w:rsidR="003D69A8" w:rsidRPr="005E1EA7" w:rsidRDefault="003D69A8" w:rsidP="005E1EA7">
            <w:pPr>
              <w:pStyle w:val="CM1"/>
              <w:jc w:val="both"/>
              <w:rPr>
                <w:rFonts w:ascii="Tahoma" w:hAnsi="Tahoma" w:cs="Tahoma"/>
                <w:sz w:val="17"/>
                <w:szCs w:val="17"/>
              </w:rPr>
            </w:pPr>
            <w:r w:rsidRPr="005E1EA7">
              <w:rPr>
                <w:rFonts w:ascii="Tahoma" w:hAnsi="Tahoma" w:cs="Tahoma"/>
                <w:sz w:val="17"/>
                <w:szCs w:val="17"/>
              </w:rPr>
              <w:t>IS0 6888-1</w:t>
            </w:r>
          </w:p>
        </w:tc>
        <w:tc>
          <w:tcPr>
            <w:tcW w:w="2415" w:type="dxa"/>
          </w:tcPr>
          <w:p w14:paraId="2EA7177C" w14:textId="77777777" w:rsidR="003D69A8" w:rsidRPr="005E1EA7" w:rsidRDefault="003D69A8" w:rsidP="005E1EA7">
            <w:pPr>
              <w:pStyle w:val="CM1"/>
              <w:jc w:val="both"/>
              <w:rPr>
                <w:rFonts w:ascii="Tahoma" w:hAnsi="Tahoma" w:cs="Tahoma"/>
                <w:sz w:val="17"/>
                <w:szCs w:val="17"/>
              </w:rPr>
            </w:pPr>
            <w:r w:rsidRPr="005E1EA7">
              <w:rPr>
                <w:rFonts w:ascii="Tahoma" w:hAnsi="Tahoma" w:cs="Tahoma"/>
                <w:sz w:val="17"/>
                <w:szCs w:val="17"/>
              </w:rPr>
              <w:t xml:space="preserve">Produits mis sur le marché </w:t>
            </w:r>
          </w:p>
        </w:tc>
      </w:tr>
      <w:tr w:rsidR="003D69A8" w:rsidRPr="005E1EA7" w14:paraId="1CA5128D" w14:textId="77777777" w:rsidTr="005E1EA7">
        <w:trPr>
          <w:cantSplit/>
          <w:trHeight w:val="20"/>
        </w:trPr>
        <w:tc>
          <w:tcPr>
            <w:tcW w:w="464" w:type="dxa"/>
            <w:vMerge/>
            <w:vAlign w:val="center"/>
          </w:tcPr>
          <w:p w14:paraId="460E72A8" w14:textId="77777777" w:rsidR="003D69A8" w:rsidRPr="005E1EA7" w:rsidRDefault="003D69A8" w:rsidP="005E1EA7">
            <w:pPr>
              <w:pStyle w:val="CM1"/>
              <w:jc w:val="both"/>
              <w:rPr>
                <w:rFonts w:ascii="Tahoma" w:hAnsi="Tahoma" w:cs="Tahoma"/>
                <w:sz w:val="17"/>
                <w:szCs w:val="17"/>
              </w:rPr>
            </w:pPr>
          </w:p>
        </w:tc>
        <w:tc>
          <w:tcPr>
            <w:tcW w:w="2933" w:type="dxa"/>
            <w:vMerge/>
            <w:vAlign w:val="center"/>
          </w:tcPr>
          <w:p w14:paraId="335177D7" w14:textId="77777777" w:rsidR="003D69A8" w:rsidRPr="005E1EA7" w:rsidRDefault="003D69A8" w:rsidP="005E1EA7">
            <w:pPr>
              <w:pStyle w:val="CM1"/>
              <w:jc w:val="both"/>
              <w:rPr>
                <w:rFonts w:ascii="Tahoma" w:hAnsi="Tahoma" w:cs="Tahoma"/>
                <w:sz w:val="17"/>
                <w:szCs w:val="17"/>
              </w:rPr>
            </w:pPr>
          </w:p>
        </w:tc>
        <w:tc>
          <w:tcPr>
            <w:tcW w:w="1985" w:type="dxa"/>
            <w:vAlign w:val="center"/>
          </w:tcPr>
          <w:p w14:paraId="576F40A8" w14:textId="77777777" w:rsidR="003D69A8" w:rsidRPr="005E1EA7" w:rsidRDefault="003D69A8" w:rsidP="005E1EA7">
            <w:pPr>
              <w:pStyle w:val="CM1"/>
              <w:jc w:val="both"/>
              <w:rPr>
                <w:rFonts w:ascii="Tahoma" w:hAnsi="Tahoma" w:cs="Tahoma"/>
                <w:i/>
                <w:iCs/>
                <w:sz w:val="17"/>
                <w:szCs w:val="17"/>
              </w:rPr>
            </w:pPr>
            <w:r w:rsidRPr="005E1EA7">
              <w:rPr>
                <w:rFonts w:ascii="Tahoma" w:hAnsi="Tahoma" w:cs="Tahoma"/>
                <w:i/>
                <w:iCs/>
                <w:sz w:val="17"/>
                <w:szCs w:val="17"/>
              </w:rPr>
              <w:t>Salmonella spp</w:t>
            </w:r>
          </w:p>
        </w:tc>
        <w:tc>
          <w:tcPr>
            <w:tcW w:w="779" w:type="dxa"/>
            <w:vAlign w:val="center"/>
          </w:tcPr>
          <w:p w14:paraId="621046CB" w14:textId="77777777" w:rsidR="003D69A8" w:rsidRPr="005E1EA7" w:rsidRDefault="003D69A8" w:rsidP="005E1EA7">
            <w:pPr>
              <w:pStyle w:val="CM1"/>
              <w:jc w:val="center"/>
              <w:rPr>
                <w:rFonts w:ascii="Tahoma" w:hAnsi="Tahoma" w:cs="Tahoma"/>
                <w:sz w:val="17"/>
                <w:szCs w:val="17"/>
              </w:rPr>
            </w:pPr>
            <w:r w:rsidRPr="005E1EA7">
              <w:rPr>
                <w:rFonts w:ascii="Tahoma" w:hAnsi="Tahoma" w:cs="Tahoma"/>
                <w:sz w:val="17"/>
                <w:szCs w:val="17"/>
              </w:rPr>
              <w:t>5</w:t>
            </w:r>
          </w:p>
        </w:tc>
        <w:tc>
          <w:tcPr>
            <w:tcW w:w="780" w:type="dxa"/>
            <w:vAlign w:val="center"/>
          </w:tcPr>
          <w:p w14:paraId="2578CAD1" w14:textId="77777777" w:rsidR="003D69A8" w:rsidRPr="005E1EA7" w:rsidRDefault="003D69A8" w:rsidP="005E1EA7">
            <w:pPr>
              <w:pStyle w:val="CM1"/>
              <w:jc w:val="center"/>
              <w:rPr>
                <w:rFonts w:ascii="Tahoma" w:hAnsi="Tahoma" w:cs="Tahoma"/>
                <w:sz w:val="17"/>
                <w:szCs w:val="17"/>
              </w:rPr>
            </w:pPr>
            <w:r w:rsidRPr="005E1EA7">
              <w:rPr>
                <w:rFonts w:ascii="Tahoma" w:hAnsi="Tahoma" w:cs="Tahoma"/>
                <w:sz w:val="17"/>
                <w:szCs w:val="17"/>
              </w:rPr>
              <w:t>2</w:t>
            </w:r>
          </w:p>
        </w:tc>
        <w:tc>
          <w:tcPr>
            <w:tcW w:w="2835" w:type="dxa"/>
            <w:gridSpan w:val="2"/>
            <w:vAlign w:val="center"/>
          </w:tcPr>
          <w:p w14:paraId="26096B13" w14:textId="77777777" w:rsidR="003D69A8" w:rsidRPr="005E1EA7" w:rsidRDefault="003D69A8" w:rsidP="005E1EA7">
            <w:pPr>
              <w:pStyle w:val="CM1"/>
              <w:jc w:val="both"/>
              <w:rPr>
                <w:rFonts w:ascii="Tahoma" w:hAnsi="Tahoma" w:cs="Tahoma"/>
                <w:sz w:val="17"/>
                <w:szCs w:val="17"/>
              </w:rPr>
            </w:pPr>
            <w:r w:rsidRPr="005E1EA7">
              <w:rPr>
                <w:rFonts w:ascii="Tahoma" w:hAnsi="Tahoma" w:cs="Tahoma"/>
                <w:sz w:val="17"/>
                <w:szCs w:val="17"/>
              </w:rPr>
              <w:t xml:space="preserve">Non détecté dans 25 g </w:t>
            </w:r>
          </w:p>
        </w:tc>
        <w:tc>
          <w:tcPr>
            <w:tcW w:w="1559" w:type="dxa"/>
            <w:vAlign w:val="center"/>
          </w:tcPr>
          <w:p w14:paraId="525D85C1" w14:textId="77777777" w:rsidR="003D69A8" w:rsidRPr="005E1EA7" w:rsidRDefault="003D69A8" w:rsidP="005E1EA7">
            <w:pPr>
              <w:pStyle w:val="CM1"/>
              <w:jc w:val="both"/>
              <w:rPr>
                <w:rFonts w:ascii="Tahoma" w:hAnsi="Tahoma" w:cs="Tahoma"/>
                <w:sz w:val="17"/>
                <w:szCs w:val="17"/>
              </w:rPr>
            </w:pPr>
            <w:r w:rsidRPr="005E1EA7">
              <w:rPr>
                <w:rFonts w:ascii="Tahoma" w:hAnsi="Tahoma" w:cs="Tahoma"/>
                <w:sz w:val="17"/>
                <w:szCs w:val="17"/>
              </w:rPr>
              <w:t>ISO 6579-1</w:t>
            </w:r>
          </w:p>
        </w:tc>
        <w:tc>
          <w:tcPr>
            <w:tcW w:w="2415" w:type="dxa"/>
            <w:vAlign w:val="center"/>
          </w:tcPr>
          <w:p w14:paraId="68E10C63" w14:textId="77777777" w:rsidR="003D69A8" w:rsidRPr="005E1EA7" w:rsidRDefault="003D69A8" w:rsidP="005E1EA7">
            <w:pPr>
              <w:pStyle w:val="CM1"/>
              <w:jc w:val="both"/>
              <w:rPr>
                <w:rFonts w:ascii="Tahoma" w:hAnsi="Tahoma" w:cs="Tahoma"/>
                <w:sz w:val="17"/>
                <w:szCs w:val="17"/>
              </w:rPr>
            </w:pPr>
            <w:r w:rsidRPr="005E1EA7">
              <w:rPr>
                <w:rFonts w:ascii="Tahoma" w:hAnsi="Tahoma" w:cs="Tahoma"/>
                <w:sz w:val="17"/>
                <w:szCs w:val="17"/>
              </w:rPr>
              <w:t xml:space="preserve">Produits mis sur le marché </w:t>
            </w:r>
          </w:p>
        </w:tc>
      </w:tr>
      <w:tr w:rsidR="003D69A8" w:rsidRPr="005E1EA7" w14:paraId="7F574B0C" w14:textId="77777777" w:rsidTr="005E1EA7">
        <w:trPr>
          <w:cantSplit/>
          <w:trHeight w:val="20"/>
        </w:trPr>
        <w:tc>
          <w:tcPr>
            <w:tcW w:w="464" w:type="dxa"/>
            <w:vMerge w:val="restart"/>
            <w:vAlign w:val="center"/>
          </w:tcPr>
          <w:p w14:paraId="03C563DF" w14:textId="77777777" w:rsidR="003D69A8" w:rsidRPr="005E1EA7" w:rsidRDefault="003D69A8" w:rsidP="005E1EA7">
            <w:pPr>
              <w:pStyle w:val="CM1"/>
              <w:jc w:val="both"/>
              <w:rPr>
                <w:rFonts w:ascii="Tahoma" w:hAnsi="Tahoma" w:cs="Tahoma"/>
                <w:sz w:val="17"/>
                <w:szCs w:val="17"/>
              </w:rPr>
            </w:pPr>
            <w:r w:rsidRPr="005E1EA7">
              <w:rPr>
                <w:rFonts w:ascii="Tahoma" w:hAnsi="Tahoma" w:cs="Tahoma"/>
                <w:sz w:val="17"/>
                <w:szCs w:val="17"/>
              </w:rPr>
              <w:t>1.2</w:t>
            </w:r>
          </w:p>
        </w:tc>
        <w:tc>
          <w:tcPr>
            <w:tcW w:w="2933" w:type="dxa"/>
            <w:vMerge w:val="restart"/>
            <w:vAlign w:val="center"/>
          </w:tcPr>
          <w:p w14:paraId="469521C7" w14:textId="77777777" w:rsidR="003D69A8" w:rsidRPr="005E1EA7" w:rsidRDefault="003D69A8" w:rsidP="005E1EA7">
            <w:pPr>
              <w:pStyle w:val="CM1"/>
              <w:jc w:val="both"/>
              <w:rPr>
                <w:rFonts w:ascii="Tahoma" w:hAnsi="Tahoma" w:cs="Tahoma"/>
                <w:sz w:val="17"/>
                <w:szCs w:val="17"/>
              </w:rPr>
            </w:pPr>
            <w:r w:rsidRPr="005E1EA7">
              <w:rPr>
                <w:rFonts w:ascii="Tahoma" w:hAnsi="Tahoma" w:cs="Tahoma"/>
                <w:sz w:val="17"/>
                <w:szCs w:val="17"/>
              </w:rPr>
              <w:t xml:space="preserve">Produits de la pêche prêts à être consommés permettant le développement de </w:t>
            </w:r>
            <w:r w:rsidRPr="005E1EA7">
              <w:rPr>
                <w:rFonts w:ascii="Tahoma" w:hAnsi="Tahoma" w:cs="Tahoma"/>
                <w:i/>
                <w:iCs/>
                <w:sz w:val="17"/>
                <w:szCs w:val="17"/>
              </w:rPr>
              <w:t>L. monocytogenes</w:t>
            </w:r>
          </w:p>
        </w:tc>
        <w:tc>
          <w:tcPr>
            <w:tcW w:w="1985" w:type="dxa"/>
            <w:vMerge w:val="restart"/>
            <w:vAlign w:val="center"/>
          </w:tcPr>
          <w:p w14:paraId="623D98DF" w14:textId="77777777" w:rsidR="003D69A8" w:rsidRPr="005E1EA7" w:rsidRDefault="003D69A8" w:rsidP="005E1EA7">
            <w:pPr>
              <w:pStyle w:val="CM1"/>
              <w:jc w:val="both"/>
              <w:rPr>
                <w:rFonts w:ascii="Tahoma" w:hAnsi="Tahoma" w:cs="Tahoma"/>
                <w:i/>
                <w:iCs/>
                <w:sz w:val="17"/>
                <w:szCs w:val="17"/>
              </w:rPr>
            </w:pPr>
            <w:r w:rsidRPr="005E1EA7">
              <w:rPr>
                <w:rFonts w:ascii="Tahoma" w:hAnsi="Tahoma" w:cs="Tahoma"/>
                <w:i/>
                <w:iCs/>
                <w:sz w:val="17"/>
                <w:szCs w:val="17"/>
              </w:rPr>
              <w:t>Listeria monocytogenes</w:t>
            </w:r>
          </w:p>
        </w:tc>
        <w:tc>
          <w:tcPr>
            <w:tcW w:w="779" w:type="dxa"/>
            <w:vAlign w:val="center"/>
          </w:tcPr>
          <w:p w14:paraId="701E8B16" w14:textId="77777777" w:rsidR="003D69A8" w:rsidRPr="005E1EA7" w:rsidRDefault="003D69A8" w:rsidP="005E1EA7">
            <w:pPr>
              <w:pStyle w:val="CM1"/>
              <w:jc w:val="center"/>
              <w:rPr>
                <w:rFonts w:ascii="Tahoma" w:hAnsi="Tahoma" w:cs="Tahoma"/>
                <w:sz w:val="17"/>
                <w:szCs w:val="17"/>
              </w:rPr>
            </w:pPr>
            <w:r w:rsidRPr="005E1EA7">
              <w:rPr>
                <w:rFonts w:ascii="Tahoma" w:hAnsi="Tahoma" w:cs="Tahoma"/>
                <w:sz w:val="17"/>
                <w:szCs w:val="17"/>
              </w:rPr>
              <w:t>5</w:t>
            </w:r>
          </w:p>
        </w:tc>
        <w:tc>
          <w:tcPr>
            <w:tcW w:w="780" w:type="dxa"/>
            <w:vAlign w:val="center"/>
          </w:tcPr>
          <w:p w14:paraId="5ECAB04B" w14:textId="77777777" w:rsidR="003D69A8" w:rsidRPr="005E1EA7" w:rsidRDefault="003D69A8" w:rsidP="005E1EA7">
            <w:pPr>
              <w:pStyle w:val="CM1"/>
              <w:jc w:val="center"/>
              <w:rPr>
                <w:rFonts w:ascii="Tahoma" w:hAnsi="Tahoma" w:cs="Tahoma"/>
                <w:sz w:val="17"/>
                <w:szCs w:val="17"/>
              </w:rPr>
            </w:pPr>
            <w:r w:rsidRPr="005E1EA7">
              <w:rPr>
                <w:rFonts w:ascii="Tahoma" w:hAnsi="Tahoma" w:cs="Tahoma"/>
                <w:sz w:val="17"/>
                <w:szCs w:val="17"/>
              </w:rPr>
              <w:t>0</w:t>
            </w:r>
          </w:p>
        </w:tc>
        <w:tc>
          <w:tcPr>
            <w:tcW w:w="2835" w:type="dxa"/>
            <w:gridSpan w:val="2"/>
            <w:vAlign w:val="center"/>
          </w:tcPr>
          <w:p w14:paraId="20DA1D44" w14:textId="77777777" w:rsidR="003D69A8" w:rsidRPr="005E1EA7" w:rsidRDefault="003D69A8" w:rsidP="005E1EA7">
            <w:pPr>
              <w:pStyle w:val="CM1"/>
              <w:jc w:val="both"/>
              <w:rPr>
                <w:rFonts w:ascii="Tahoma" w:hAnsi="Tahoma" w:cs="Tahoma"/>
                <w:sz w:val="17"/>
                <w:szCs w:val="17"/>
              </w:rPr>
            </w:pPr>
            <w:r w:rsidRPr="005E1EA7">
              <w:rPr>
                <w:rFonts w:ascii="Tahoma" w:hAnsi="Tahoma" w:cs="Tahoma"/>
                <w:sz w:val="17"/>
                <w:szCs w:val="17"/>
              </w:rPr>
              <w:t xml:space="preserve">100 ufc/g </w:t>
            </w:r>
            <w:r w:rsidRPr="005E1EA7">
              <w:rPr>
                <w:rFonts w:ascii="Tahoma" w:hAnsi="Tahoma" w:cs="Tahoma"/>
                <w:sz w:val="17"/>
                <w:szCs w:val="17"/>
                <w:vertAlign w:val="superscript"/>
              </w:rPr>
              <w:t>(4)</w:t>
            </w:r>
          </w:p>
        </w:tc>
        <w:tc>
          <w:tcPr>
            <w:tcW w:w="1559" w:type="dxa"/>
            <w:vAlign w:val="center"/>
          </w:tcPr>
          <w:p w14:paraId="6AA18262" w14:textId="77777777" w:rsidR="003D69A8" w:rsidRPr="005E1EA7" w:rsidRDefault="003D69A8" w:rsidP="005E1EA7">
            <w:pPr>
              <w:pStyle w:val="CM1"/>
              <w:jc w:val="both"/>
              <w:rPr>
                <w:rFonts w:ascii="Tahoma" w:hAnsi="Tahoma" w:cs="Tahoma"/>
                <w:sz w:val="17"/>
                <w:szCs w:val="17"/>
              </w:rPr>
            </w:pPr>
            <w:r w:rsidRPr="005E1EA7">
              <w:rPr>
                <w:rFonts w:ascii="Tahoma" w:hAnsi="Tahoma" w:cs="Tahoma"/>
                <w:sz w:val="17"/>
                <w:szCs w:val="17"/>
              </w:rPr>
              <w:t xml:space="preserve">EN/ISO 11290-2 </w:t>
            </w:r>
            <w:r w:rsidRPr="005E1EA7">
              <w:rPr>
                <w:rFonts w:ascii="Tahoma" w:hAnsi="Tahoma" w:cs="Tahoma"/>
                <w:sz w:val="17"/>
                <w:szCs w:val="17"/>
                <w:vertAlign w:val="superscript"/>
              </w:rPr>
              <w:t>(5)</w:t>
            </w:r>
          </w:p>
        </w:tc>
        <w:tc>
          <w:tcPr>
            <w:tcW w:w="2415" w:type="dxa"/>
            <w:vAlign w:val="center"/>
          </w:tcPr>
          <w:p w14:paraId="5113CAC8" w14:textId="77777777" w:rsidR="003D69A8" w:rsidRPr="005E1EA7" w:rsidRDefault="003D69A8" w:rsidP="005E1EA7">
            <w:pPr>
              <w:pStyle w:val="CM1"/>
              <w:jc w:val="both"/>
              <w:rPr>
                <w:rFonts w:ascii="Tahoma" w:hAnsi="Tahoma" w:cs="Tahoma"/>
                <w:sz w:val="17"/>
                <w:szCs w:val="17"/>
              </w:rPr>
            </w:pPr>
            <w:r w:rsidRPr="005E1EA7">
              <w:rPr>
                <w:rFonts w:ascii="Tahoma" w:hAnsi="Tahoma" w:cs="Tahoma"/>
                <w:sz w:val="17"/>
                <w:szCs w:val="17"/>
              </w:rPr>
              <w:t>Produits mis sur le marché pendant leur durée de conservation</w:t>
            </w:r>
          </w:p>
        </w:tc>
      </w:tr>
      <w:tr w:rsidR="003D69A8" w:rsidRPr="005E1EA7" w14:paraId="2FA6CEDF" w14:textId="77777777" w:rsidTr="005E1EA7">
        <w:trPr>
          <w:cantSplit/>
          <w:trHeight w:val="20"/>
        </w:trPr>
        <w:tc>
          <w:tcPr>
            <w:tcW w:w="464" w:type="dxa"/>
            <w:vMerge/>
            <w:vAlign w:val="center"/>
          </w:tcPr>
          <w:p w14:paraId="52E6F6E1" w14:textId="77777777" w:rsidR="003D69A8" w:rsidRPr="005E1EA7" w:rsidRDefault="003D69A8" w:rsidP="005E1EA7">
            <w:pPr>
              <w:pStyle w:val="CM1"/>
              <w:jc w:val="both"/>
              <w:rPr>
                <w:rFonts w:ascii="Tahoma" w:hAnsi="Tahoma" w:cs="Tahoma"/>
                <w:sz w:val="17"/>
                <w:szCs w:val="17"/>
              </w:rPr>
            </w:pPr>
          </w:p>
        </w:tc>
        <w:tc>
          <w:tcPr>
            <w:tcW w:w="2933" w:type="dxa"/>
            <w:vMerge/>
            <w:vAlign w:val="center"/>
          </w:tcPr>
          <w:p w14:paraId="019A08C2" w14:textId="77777777" w:rsidR="003D69A8" w:rsidRPr="005E1EA7" w:rsidRDefault="003D69A8" w:rsidP="005E1EA7">
            <w:pPr>
              <w:pStyle w:val="CM1"/>
              <w:jc w:val="both"/>
              <w:rPr>
                <w:rFonts w:ascii="Tahoma" w:hAnsi="Tahoma" w:cs="Tahoma"/>
                <w:sz w:val="17"/>
                <w:szCs w:val="17"/>
              </w:rPr>
            </w:pPr>
          </w:p>
        </w:tc>
        <w:tc>
          <w:tcPr>
            <w:tcW w:w="1985" w:type="dxa"/>
            <w:vMerge/>
            <w:vAlign w:val="center"/>
          </w:tcPr>
          <w:p w14:paraId="0D4EA6FD" w14:textId="77777777" w:rsidR="003D69A8" w:rsidRPr="005E1EA7" w:rsidRDefault="003D69A8" w:rsidP="005E1EA7">
            <w:pPr>
              <w:pStyle w:val="CM1"/>
              <w:jc w:val="both"/>
              <w:rPr>
                <w:rFonts w:ascii="Tahoma" w:hAnsi="Tahoma" w:cs="Tahoma"/>
                <w:i/>
                <w:iCs/>
                <w:sz w:val="17"/>
                <w:szCs w:val="17"/>
              </w:rPr>
            </w:pPr>
          </w:p>
        </w:tc>
        <w:tc>
          <w:tcPr>
            <w:tcW w:w="779" w:type="dxa"/>
            <w:vAlign w:val="center"/>
          </w:tcPr>
          <w:p w14:paraId="1D68E758" w14:textId="77777777" w:rsidR="003D69A8" w:rsidRPr="005E1EA7" w:rsidRDefault="003D69A8" w:rsidP="005E1EA7">
            <w:pPr>
              <w:pStyle w:val="CM1"/>
              <w:jc w:val="center"/>
              <w:rPr>
                <w:rFonts w:ascii="Tahoma" w:hAnsi="Tahoma" w:cs="Tahoma"/>
                <w:sz w:val="17"/>
                <w:szCs w:val="17"/>
              </w:rPr>
            </w:pPr>
            <w:r w:rsidRPr="005E1EA7">
              <w:rPr>
                <w:rFonts w:ascii="Tahoma" w:hAnsi="Tahoma" w:cs="Tahoma"/>
                <w:sz w:val="17"/>
                <w:szCs w:val="17"/>
              </w:rPr>
              <w:t>5</w:t>
            </w:r>
          </w:p>
        </w:tc>
        <w:tc>
          <w:tcPr>
            <w:tcW w:w="780" w:type="dxa"/>
            <w:vAlign w:val="center"/>
          </w:tcPr>
          <w:p w14:paraId="5C7FD91F" w14:textId="77777777" w:rsidR="003D69A8" w:rsidRPr="005E1EA7" w:rsidRDefault="003D69A8" w:rsidP="005E1EA7">
            <w:pPr>
              <w:pStyle w:val="CM1"/>
              <w:jc w:val="center"/>
              <w:rPr>
                <w:rFonts w:ascii="Tahoma" w:hAnsi="Tahoma" w:cs="Tahoma"/>
                <w:sz w:val="17"/>
                <w:szCs w:val="17"/>
              </w:rPr>
            </w:pPr>
            <w:r w:rsidRPr="005E1EA7">
              <w:rPr>
                <w:rFonts w:ascii="Tahoma" w:hAnsi="Tahoma" w:cs="Tahoma"/>
                <w:sz w:val="17"/>
                <w:szCs w:val="17"/>
              </w:rPr>
              <w:t>0</w:t>
            </w:r>
          </w:p>
        </w:tc>
        <w:tc>
          <w:tcPr>
            <w:tcW w:w="2835" w:type="dxa"/>
            <w:gridSpan w:val="2"/>
            <w:vAlign w:val="center"/>
          </w:tcPr>
          <w:p w14:paraId="2FB95AA9" w14:textId="77777777" w:rsidR="003D69A8" w:rsidRPr="005E1EA7" w:rsidRDefault="003D69A8" w:rsidP="005E1EA7">
            <w:pPr>
              <w:pStyle w:val="CM1"/>
              <w:jc w:val="both"/>
              <w:rPr>
                <w:rFonts w:ascii="Tahoma" w:hAnsi="Tahoma" w:cs="Tahoma"/>
                <w:sz w:val="17"/>
                <w:szCs w:val="17"/>
              </w:rPr>
            </w:pPr>
            <w:r w:rsidRPr="005E1EA7">
              <w:rPr>
                <w:rFonts w:ascii="Tahoma" w:hAnsi="Tahoma" w:cs="Tahoma"/>
                <w:sz w:val="17"/>
                <w:szCs w:val="17"/>
              </w:rPr>
              <w:t xml:space="preserve">Non détecté dans 25 g </w:t>
            </w:r>
            <w:r w:rsidRPr="005E1EA7">
              <w:rPr>
                <w:rFonts w:ascii="Tahoma" w:hAnsi="Tahoma" w:cs="Tahoma"/>
                <w:sz w:val="17"/>
                <w:szCs w:val="17"/>
                <w:vertAlign w:val="superscript"/>
              </w:rPr>
              <w:t>(6)</w:t>
            </w:r>
          </w:p>
        </w:tc>
        <w:tc>
          <w:tcPr>
            <w:tcW w:w="1559" w:type="dxa"/>
            <w:vAlign w:val="center"/>
          </w:tcPr>
          <w:p w14:paraId="74D7BFD6" w14:textId="77777777" w:rsidR="003D69A8" w:rsidRPr="005E1EA7" w:rsidRDefault="003D69A8" w:rsidP="005E1EA7">
            <w:pPr>
              <w:pStyle w:val="CM1"/>
              <w:jc w:val="both"/>
              <w:rPr>
                <w:rFonts w:ascii="Tahoma" w:hAnsi="Tahoma" w:cs="Tahoma"/>
                <w:sz w:val="17"/>
                <w:szCs w:val="17"/>
              </w:rPr>
            </w:pPr>
            <w:r w:rsidRPr="005E1EA7">
              <w:rPr>
                <w:rFonts w:ascii="Tahoma" w:hAnsi="Tahoma" w:cs="Tahoma"/>
                <w:sz w:val="17"/>
                <w:szCs w:val="17"/>
              </w:rPr>
              <w:t>EN/ISO 11290-1</w:t>
            </w:r>
          </w:p>
        </w:tc>
        <w:tc>
          <w:tcPr>
            <w:tcW w:w="2415" w:type="dxa"/>
            <w:vAlign w:val="center"/>
          </w:tcPr>
          <w:p w14:paraId="13E768A9" w14:textId="77777777" w:rsidR="003D69A8" w:rsidRPr="005E1EA7" w:rsidRDefault="003D69A8" w:rsidP="005E1EA7">
            <w:pPr>
              <w:pStyle w:val="CM1"/>
              <w:jc w:val="both"/>
              <w:rPr>
                <w:rFonts w:ascii="Tahoma" w:hAnsi="Tahoma" w:cs="Tahoma"/>
                <w:sz w:val="17"/>
                <w:szCs w:val="17"/>
              </w:rPr>
            </w:pPr>
            <w:r w:rsidRPr="005E1EA7">
              <w:rPr>
                <w:rFonts w:ascii="Tahoma" w:hAnsi="Tahoma" w:cs="Tahoma"/>
                <w:sz w:val="17"/>
                <w:szCs w:val="17"/>
              </w:rPr>
              <w:t>Avant que la denrée alimentaire n’ait quitté le contrôle immédiat de l'exploitant qui l'a fabriquée</w:t>
            </w:r>
          </w:p>
        </w:tc>
      </w:tr>
      <w:tr w:rsidR="003D69A8" w:rsidRPr="005E1EA7" w14:paraId="2F3ABF90" w14:textId="77777777" w:rsidTr="005E1EA7">
        <w:trPr>
          <w:cantSplit/>
          <w:trHeight w:val="20"/>
        </w:trPr>
        <w:tc>
          <w:tcPr>
            <w:tcW w:w="464" w:type="dxa"/>
            <w:vAlign w:val="center"/>
          </w:tcPr>
          <w:p w14:paraId="2D5B12AF" w14:textId="77777777" w:rsidR="003D69A8" w:rsidRPr="005E1EA7" w:rsidRDefault="003D69A8" w:rsidP="005E1EA7">
            <w:pPr>
              <w:pStyle w:val="CM1"/>
              <w:jc w:val="both"/>
              <w:rPr>
                <w:rFonts w:ascii="Tahoma" w:hAnsi="Tahoma" w:cs="Tahoma"/>
                <w:sz w:val="17"/>
                <w:szCs w:val="17"/>
              </w:rPr>
            </w:pPr>
            <w:r w:rsidRPr="005E1EA7">
              <w:rPr>
                <w:rFonts w:ascii="Tahoma" w:hAnsi="Tahoma" w:cs="Tahoma"/>
                <w:sz w:val="17"/>
                <w:szCs w:val="17"/>
              </w:rPr>
              <w:t>1.3</w:t>
            </w:r>
          </w:p>
        </w:tc>
        <w:tc>
          <w:tcPr>
            <w:tcW w:w="2933" w:type="dxa"/>
            <w:vAlign w:val="center"/>
          </w:tcPr>
          <w:p w14:paraId="19E89CF7" w14:textId="77777777" w:rsidR="003D69A8" w:rsidRPr="005E1EA7" w:rsidRDefault="003D69A8" w:rsidP="005E1EA7">
            <w:pPr>
              <w:pStyle w:val="CM1"/>
              <w:jc w:val="both"/>
              <w:rPr>
                <w:rFonts w:ascii="Tahoma" w:hAnsi="Tahoma" w:cs="Tahoma"/>
                <w:sz w:val="17"/>
                <w:szCs w:val="17"/>
              </w:rPr>
            </w:pPr>
            <w:r w:rsidRPr="005E1EA7">
              <w:rPr>
                <w:rFonts w:ascii="Tahoma" w:hAnsi="Tahoma" w:cs="Tahoma"/>
                <w:sz w:val="17"/>
                <w:szCs w:val="17"/>
              </w:rPr>
              <w:t xml:space="preserve">Produits de la pêche prêts à être consommés ne permettant pas le développement de </w:t>
            </w:r>
            <w:r w:rsidRPr="005E1EA7">
              <w:rPr>
                <w:rFonts w:ascii="Tahoma" w:hAnsi="Tahoma" w:cs="Tahoma"/>
                <w:i/>
                <w:iCs/>
                <w:sz w:val="17"/>
                <w:szCs w:val="17"/>
              </w:rPr>
              <w:t>L. monocytogenes</w:t>
            </w:r>
          </w:p>
        </w:tc>
        <w:tc>
          <w:tcPr>
            <w:tcW w:w="1985" w:type="dxa"/>
            <w:vAlign w:val="center"/>
          </w:tcPr>
          <w:p w14:paraId="0BDA7DF6" w14:textId="77777777" w:rsidR="003D69A8" w:rsidRPr="005E1EA7" w:rsidRDefault="003D69A8" w:rsidP="005E1EA7">
            <w:pPr>
              <w:pStyle w:val="CM1"/>
              <w:jc w:val="both"/>
              <w:rPr>
                <w:rFonts w:ascii="Tahoma" w:hAnsi="Tahoma" w:cs="Tahoma"/>
                <w:i/>
                <w:iCs/>
                <w:sz w:val="17"/>
                <w:szCs w:val="17"/>
              </w:rPr>
            </w:pPr>
            <w:r w:rsidRPr="005E1EA7">
              <w:rPr>
                <w:rFonts w:ascii="Tahoma" w:hAnsi="Tahoma" w:cs="Tahoma"/>
                <w:i/>
                <w:iCs/>
                <w:sz w:val="17"/>
                <w:szCs w:val="17"/>
              </w:rPr>
              <w:t>Listeria monocytogenes</w:t>
            </w:r>
          </w:p>
        </w:tc>
        <w:tc>
          <w:tcPr>
            <w:tcW w:w="779" w:type="dxa"/>
            <w:vAlign w:val="center"/>
          </w:tcPr>
          <w:p w14:paraId="581EEBC1" w14:textId="77777777" w:rsidR="003D69A8" w:rsidRPr="005E1EA7" w:rsidRDefault="003D69A8" w:rsidP="005E1EA7">
            <w:pPr>
              <w:pStyle w:val="CM1"/>
              <w:jc w:val="center"/>
              <w:rPr>
                <w:rFonts w:ascii="Tahoma" w:hAnsi="Tahoma" w:cs="Tahoma"/>
                <w:sz w:val="17"/>
                <w:szCs w:val="17"/>
              </w:rPr>
            </w:pPr>
            <w:r w:rsidRPr="005E1EA7">
              <w:rPr>
                <w:rFonts w:ascii="Tahoma" w:hAnsi="Tahoma" w:cs="Tahoma"/>
                <w:sz w:val="17"/>
                <w:szCs w:val="17"/>
              </w:rPr>
              <w:t>5</w:t>
            </w:r>
          </w:p>
        </w:tc>
        <w:tc>
          <w:tcPr>
            <w:tcW w:w="780" w:type="dxa"/>
            <w:vAlign w:val="center"/>
          </w:tcPr>
          <w:p w14:paraId="35473D74" w14:textId="77777777" w:rsidR="003D69A8" w:rsidRPr="005E1EA7" w:rsidRDefault="003D69A8" w:rsidP="005E1EA7">
            <w:pPr>
              <w:pStyle w:val="CM1"/>
              <w:jc w:val="center"/>
              <w:rPr>
                <w:rFonts w:ascii="Tahoma" w:hAnsi="Tahoma" w:cs="Tahoma"/>
                <w:sz w:val="17"/>
                <w:szCs w:val="17"/>
              </w:rPr>
            </w:pPr>
            <w:r w:rsidRPr="005E1EA7">
              <w:rPr>
                <w:rFonts w:ascii="Tahoma" w:hAnsi="Tahoma" w:cs="Tahoma"/>
                <w:sz w:val="17"/>
                <w:szCs w:val="17"/>
              </w:rPr>
              <w:t>0</w:t>
            </w:r>
          </w:p>
        </w:tc>
        <w:tc>
          <w:tcPr>
            <w:tcW w:w="2835" w:type="dxa"/>
            <w:gridSpan w:val="2"/>
            <w:vAlign w:val="center"/>
          </w:tcPr>
          <w:p w14:paraId="090D6C07" w14:textId="77777777" w:rsidR="003D69A8" w:rsidRPr="005E1EA7" w:rsidRDefault="003D69A8" w:rsidP="005E1EA7">
            <w:pPr>
              <w:pStyle w:val="CM1"/>
              <w:jc w:val="both"/>
              <w:rPr>
                <w:rFonts w:ascii="Tahoma" w:hAnsi="Tahoma" w:cs="Tahoma"/>
                <w:sz w:val="17"/>
                <w:szCs w:val="17"/>
              </w:rPr>
            </w:pPr>
            <w:r w:rsidRPr="005E1EA7">
              <w:rPr>
                <w:rFonts w:ascii="Tahoma" w:hAnsi="Tahoma" w:cs="Tahoma"/>
                <w:sz w:val="17"/>
                <w:szCs w:val="17"/>
              </w:rPr>
              <w:t>100 ufc/g</w:t>
            </w:r>
          </w:p>
        </w:tc>
        <w:tc>
          <w:tcPr>
            <w:tcW w:w="1559" w:type="dxa"/>
            <w:vAlign w:val="center"/>
          </w:tcPr>
          <w:p w14:paraId="62F5F6B2" w14:textId="77777777" w:rsidR="003D69A8" w:rsidRPr="005E1EA7" w:rsidRDefault="003D69A8" w:rsidP="005E1EA7">
            <w:pPr>
              <w:pStyle w:val="CM1"/>
              <w:jc w:val="both"/>
              <w:rPr>
                <w:rFonts w:ascii="Tahoma" w:hAnsi="Tahoma" w:cs="Tahoma"/>
                <w:sz w:val="17"/>
                <w:szCs w:val="17"/>
              </w:rPr>
            </w:pPr>
            <w:r w:rsidRPr="005E1EA7">
              <w:rPr>
                <w:rFonts w:ascii="Tahoma" w:hAnsi="Tahoma" w:cs="Tahoma"/>
                <w:sz w:val="17"/>
                <w:szCs w:val="17"/>
              </w:rPr>
              <w:t xml:space="preserve">EN/ISO 11290-2 </w:t>
            </w:r>
            <w:r w:rsidRPr="005E1EA7">
              <w:rPr>
                <w:rFonts w:ascii="Tahoma" w:hAnsi="Tahoma" w:cs="Tahoma"/>
                <w:sz w:val="17"/>
                <w:szCs w:val="17"/>
                <w:vertAlign w:val="superscript"/>
              </w:rPr>
              <w:t>(5)</w:t>
            </w:r>
          </w:p>
        </w:tc>
        <w:tc>
          <w:tcPr>
            <w:tcW w:w="2415" w:type="dxa"/>
            <w:vAlign w:val="center"/>
          </w:tcPr>
          <w:p w14:paraId="110606AC" w14:textId="77777777" w:rsidR="003D69A8" w:rsidRPr="005E1EA7" w:rsidRDefault="003D69A8" w:rsidP="005E1EA7">
            <w:pPr>
              <w:pStyle w:val="CM1"/>
              <w:jc w:val="both"/>
              <w:rPr>
                <w:rFonts w:ascii="Tahoma" w:hAnsi="Tahoma" w:cs="Tahoma"/>
                <w:sz w:val="17"/>
                <w:szCs w:val="17"/>
              </w:rPr>
            </w:pPr>
            <w:r w:rsidRPr="005E1EA7">
              <w:rPr>
                <w:rFonts w:ascii="Tahoma" w:hAnsi="Tahoma" w:cs="Tahoma"/>
                <w:sz w:val="17"/>
                <w:szCs w:val="17"/>
              </w:rPr>
              <w:t>Produits mis sur le marché pendant leur durée de conservation</w:t>
            </w:r>
          </w:p>
        </w:tc>
      </w:tr>
      <w:tr w:rsidR="003D69A8" w:rsidRPr="005E1EA7" w14:paraId="2A4F51C0" w14:textId="77777777" w:rsidTr="005E1EA7">
        <w:trPr>
          <w:cantSplit/>
          <w:trHeight w:val="20"/>
        </w:trPr>
        <w:tc>
          <w:tcPr>
            <w:tcW w:w="464" w:type="dxa"/>
            <w:vAlign w:val="center"/>
          </w:tcPr>
          <w:p w14:paraId="7BD3D14C" w14:textId="77777777" w:rsidR="003D69A8" w:rsidRPr="005E1EA7" w:rsidRDefault="003D69A8" w:rsidP="005E1EA7">
            <w:pPr>
              <w:pStyle w:val="CM1"/>
              <w:jc w:val="both"/>
              <w:rPr>
                <w:rFonts w:ascii="Tahoma" w:hAnsi="Tahoma" w:cs="Tahoma"/>
                <w:sz w:val="17"/>
                <w:szCs w:val="17"/>
              </w:rPr>
            </w:pPr>
            <w:r w:rsidRPr="005E1EA7">
              <w:rPr>
                <w:rFonts w:ascii="Tahoma" w:hAnsi="Tahoma" w:cs="Tahoma"/>
                <w:sz w:val="17"/>
                <w:szCs w:val="17"/>
              </w:rPr>
              <w:t>1.4</w:t>
            </w:r>
          </w:p>
        </w:tc>
        <w:tc>
          <w:tcPr>
            <w:tcW w:w="2933" w:type="dxa"/>
            <w:vAlign w:val="center"/>
          </w:tcPr>
          <w:p w14:paraId="08115696" w14:textId="77777777" w:rsidR="003D69A8" w:rsidRPr="005E1EA7" w:rsidRDefault="003D69A8" w:rsidP="005E1EA7">
            <w:pPr>
              <w:pStyle w:val="CM1"/>
              <w:jc w:val="both"/>
              <w:rPr>
                <w:rFonts w:ascii="Tahoma" w:hAnsi="Tahoma" w:cs="Tahoma"/>
                <w:sz w:val="17"/>
                <w:szCs w:val="17"/>
              </w:rPr>
            </w:pPr>
            <w:r w:rsidRPr="005E1EA7">
              <w:rPr>
                <w:rFonts w:ascii="Tahoma" w:hAnsi="Tahoma" w:cs="Tahoma"/>
                <w:sz w:val="17"/>
                <w:szCs w:val="17"/>
              </w:rPr>
              <w:t>Crustacés et mollusques cuits</w:t>
            </w:r>
          </w:p>
        </w:tc>
        <w:tc>
          <w:tcPr>
            <w:tcW w:w="1985" w:type="dxa"/>
            <w:vAlign w:val="center"/>
          </w:tcPr>
          <w:p w14:paraId="1C336347" w14:textId="77777777" w:rsidR="003D69A8" w:rsidRPr="005E1EA7" w:rsidRDefault="003D69A8" w:rsidP="005E1EA7">
            <w:pPr>
              <w:pStyle w:val="CM1"/>
              <w:jc w:val="both"/>
              <w:rPr>
                <w:rFonts w:ascii="Tahoma" w:hAnsi="Tahoma" w:cs="Tahoma"/>
                <w:i/>
                <w:iCs/>
                <w:sz w:val="17"/>
                <w:szCs w:val="17"/>
              </w:rPr>
            </w:pPr>
            <w:r w:rsidRPr="005E1EA7">
              <w:rPr>
                <w:rFonts w:ascii="Tahoma" w:hAnsi="Tahoma" w:cs="Tahoma"/>
                <w:i/>
                <w:iCs/>
                <w:sz w:val="17"/>
                <w:szCs w:val="17"/>
              </w:rPr>
              <w:t>Salmonella</w:t>
            </w:r>
          </w:p>
        </w:tc>
        <w:tc>
          <w:tcPr>
            <w:tcW w:w="779" w:type="dxa"/>
            <w:vAlign w:val="center"/>
          </w:tcPr>
          <w:p w14:paraId="7A7469C4" w14:textId="77777777" w:rsidR="003D69A8" w:rsidRPr="005E1EA7" w:rsidRDefault="003D69A8" w:rsidP="005E1EA7">
            <w:pPr>
              <w:pStyle w:val="CM1"/>
              <w:jc w:val="center"/>
              <w:rPr>
                <w:rFonts w:ascii="Tahoma" w:hAnsi="Tahoma" w:cs="Tahoma"/>
                <w:sz w:val="17"/>
                <w:szCs w:val="17"/>
              </w:rPr>
            </w:pPr>
            <w:r w:rsidRPr="005E1EA7">
              <w:rPr>
                <w:rFonts w:ascii="Tahoma" w:hAnsi="Tahoma" w:cs="Tahoma"/>
                <w:sz w:val="17"/>
                <w:szCs w:val="17"/>
              </w:rPr>
              <w:t>5</w:t>
            </w:r>
          </w:p>
        </w:tc>
        <w:tc>
          <w:tcPr>
            <w:tcW w:w="780" w:type="dxa"/>
            <w:vAlign w:val="center"/>
          </w:tcPr>
          <w:p w14:paraId="5F0A6F46" w14:textId="77777777" w:rsidR="003D69A8" w:rsidRPr="005E1EA7" w:rsidRDefault="003D69A8" w:rsidP="005E1EA7">
            <w:pPr>
              <w:pStyle w:val="CM1"/>
              <w:jc w:val="center"/>
              <w:rPr>
                <w:rFonts w:ascii="Tahoma" w:hAnsi="Tahoma" w:cs="Tahoma"/>
                <w:sz w:val="17"/>
                <w:szCs w:val="17"/>
              </w:rPr>
            </w:pPr>
            <w:r w:rsidRPr="005E1EA7">
              <w:rPr>
                <w:rFonts w:ascii="Tahoma" w:hAnsi="Tahoma" w:cs="Tahoma"/>
                <w:sz w:val="17"/>
                <w:szCs w:val="17"/>
              </w:rPr>
              <w:t>0</w:t>
            </w:r>
          </w:p>
        </w:tc>
        <w:tc>
          <w:tcPr>
            <w:tcW w:w="2835" w:type="dxa"/>
            <w:gridSpan w:val="2"/>
            <w:vAlign w:val="center"/>
          </w:tcPr>
          <w:p w14:paraId="2E5BC000" w14:textId="77777777" w:rsidR="003D69A8" w:rsidRPr="005E1EA7" w:rsidRDefault="003D69A8" w:rsidP="005E1EA7">
            <w:pPr>
              <w:pStyle w:val="CM1"/>
              <w:jc w:val="both"/>
              <w:rPr>
                <w:rFonts w:ascii="Tahoma" w:hAnsi="Tahoma" w:cs="Tahoma"/>
                <w:sz w:val="17"/>
                <w:szCs w:val="17"/>
              </w:rPr>
            </w:pPr>
            <w:r w:rsidRPr="005E1EA7">
              <w:rPr>
                <w:rFonts w:ascii="Tahoma" w:hAnsi="Tahoma" w:cs="Tahoma"/>
                <w:sz w:val="17"/>
                <w:szCs w:val="17"/>
              </w:rPr>
              <w:t>Non détecté dans 25 g</w:t>
            </w:r>
          </w:p>
        </w:tc>
        <w:tc>
          <w:tcPr>
            <w:tcW w:w="1559" w:type="dxa"/>
            <w:vAlign w:val="center"/>
          </w:tcPr>
          <w:p w14:paraId="10E1853D" w14:textId="77777777" w:rsidR="003D69A8" w:rsidRPr="005E1EA7" w:rsidRDefault="003D69A8" w:rsidP="005E1EA7">
            <w:pPr>
              <w:pStyle w:val="CM1"/>
              <w:jc w:val="both"/>
              <w:rPr>
                <w:rFonts w:ascii="Tahoma" w:hAnsi="Tahoma" w:cs="Tahoma"/>
                <w:sz w:val="17"/>
                <w:szCs w:val="17"/>
              </w:rPr>
            </w:pPr>
            <w:r w:rsidRPr="005E1EA7">
              <w:rPr>
                <w:rFonts w:ascii="Tahoma" w:hAnsi="Tahoma" w:cs="Tahoma"/>
                <w:sz w:val="17"/>
                <w:szCs w:val="17"/>
              </w:rPr>
              <w:t>EN/ISO 6579-1</w:t>
            </w:r>
          </w:p>
        </w:tc>
        <w:tc>
          <w:tcPr>
            <w:tcW w:w="2415" w:type="dxa"/>
            <w:vAlign w:val="center"/>
          </w:tcPr>
          <w:p w14:paraId="36C12258" w14:textId="77777777" w:rsidR="003D69A8" w:rsidRPr="005E1EA7" w:rsidRDefault="003D69A8" w:rsidP="005E1EA7">
            <w:pPr>
              <w:pStyle w:val="CM1"/>
              <w:jc w:val="both"/>
              <w:rPr>
                <w:rFonts w:ascii="Tahoma" w:hAnsi="Tahoma" w:cs="Tahoma"/>
                <w:sz w:val="17"/>
                <w:szCs w:val="17"/>
              </w:rPr>
            </w:pPr>
            <w:r w:rsidRPr="005E1EA7">
              <w:rPr>
                <w:rFonts w:ascii="Tahoma" w:hAnsi="Tahoma" w:cs="Tahoma"/>
                <w:sz w:val="17"/>
                <w:szCs w:val="17"/>
              </w:rPr>
              <w:t>Produits mis sur le marché pendant leur durée de conservation</w:t>
            </w:r>
          </w:p>
        </w:tc>
      </w:tr>
      <w:tr w:rsidR="003D69A8" w:rsidRPr="005E1EA7" w14:paraId="745E7A2C" w14:textId="77777777" w:rsidTr="005E1EA7">
        <w:trPr>
          <w:cantSplit/>
          <w:trHeight w:val="20"/>
        </w:trPr>
        <w:tc>
          <w:tcPr>
            <w:tcW w:w="464" w:type="dxa"/>
            <w:vAlign w:val="center"/>
          </w:tcPr>
          <w:p w14:paraId="40000D0A" w14:textId="77777777" w:rsidR="003D69A8" w:rsidRPr="005E1EA7" w:rsidRDefault="003D69A8" w:rsidP="005E1EA7">
            <w:pPr>
              <w:pStyle w:val="CM1"/>
              <w:jc w:val="both"/>
              <w:rPr>
                <w:rFonts w:ascii="Tahoma" w:hAnsi="Tahoma" w:cs="Tahoma"/>
                <w:sz w:val="17"/>
                <w:szCs w:val="17"/>
              </w:rPr>
            </w:pPr>
            <w:r w:rsidRPr="005E1EA7">
              <w:rPr>
                <w:rFonts w:ascii="Tahoma" w:hAnsi="Tahoma" w:cs="Tahoma"/>
                <w:sz w:val="17"/>
                <w:szCs w:val="17"/>
              </w:rPr>
              <w:t>1.5</w:t>
            </w:r>
          </w:p>
        </w:tc>
        <w:tc>
          <w:tcPr>
            <w:tcW w:w="2933" w:type="dxa"/>
            <w:vAlign w:val="center"/>
          </w:tcPr>
          <w:p w14:paraId="5D010DC0" w14:textId="77777777" w:rsidR="003D69A8" w:rsidRPr="005E1EA7" w:rsidRDefault="003D69A8" w:rsidP="005E1EA7">
            <w:pPr>
              <w:pStyle w:val="CM1"/>
              <w:jc w:val="both"/>
              <w:rPr>
                <w:rFonts w:ascii="Tahoma" w:hAnsi="Tahoma" w:cs="Tahoma"/>
                <w:sz w:val="17"/>
                <w:szCs w:val="17"/>
              </w:rPr>
            </w:pPr>
            <w:r w:rsidRPr="005E1EA7">
              <w:rPr>
                <w:rFonts w:ascii="Tahoma" w:hAnsi="Tahoma" w:cs="Tahoma"/>
                <w:sz w:val="17"/>
                <w:szCs w:val="17"/>
              </w:rPr>
              <w:t>Mollusques bivalves vivants</w:t>
            </w:r>
          </w:p>
        </w:tc>
        <w:tc>
          <w:tcPr>
            <w:tcW w:w="1985" w:type="dxa"/>
            <w:vAlign w:val="center"/>
          </w:tcPr>
          <w:p w14:paraId="0C7965C8" w14:textId="77777777" w:rsidR="003D69A8" w:rsidRPr="005E1EA7" w:rsidRDefault="003D69A8" w:rsidP="005E1EA7">
            <w:pPr>
              <w:pStyle w:val="CM1"/>
              <w:jc w:val="both"/>
              <w:rPr>
                <w:rFonts w:ascii="Tahoma" w:hAnsi="Tahoma" w:cs="Tahoma"/>
                <w:i/>
                <w:iCs/>
                <w:sz w:val="17"/>
                <w:szCs w:val="17"/>
              </w:rPr>
            </w:pPr>
            <w:r w:rsidRPr="005E1EA7">
              <w:rPr>
                <w:rFonts w:ascii="Tahoma" w:hAnsi="Tahoma" w:cs="Tahoma"/>
                <w:i/>
                <w:iCs/>
                <w:sz w:val="17"/>
                <w:szCs w:val="17"/>
              </w:rPr>
              <w:t>Salmonella</w:t>
            </w:r>
          </w:p>
        </w:tc>
        <w:tc>
          <w:tcPr>
            <w:tcW w:w="779" w:type="dxa"/>
            <w:vAlign w:val="center"/>
          </w:tcPr>
          <w:p w14:paraId="284253C5" w14:textId="77777777" w:rsidR="003D69A8" w:rsidRPr="005E1EA7" w:rsidRDefault="003D69A8" w:rsidP="005E1EA7">
            <w:pPr>
              <w:pStyle w:val="CM1"/>
              <w:jc w:val="center"/>
              <w:rPr>
                <w:rFonts w:ascii="Tahoma" w:hAnsi="Tahoma" w:cs="Tahoma"/>
                <w:sz w:val="17"/>
                <w:szCs w:val="17"/>
              </w:rPr>
            </w:pPr>
            <w:r w:rsidRPr="005E1EA7">
              <w:rPr>
                <w:rFonts w:ascii="Tahoma" w:hAnsi="Tahoma" w:cs="Tahoma"/>
                <w:sz w:val="17"/>
                <w:szCs w:val="17"/>
              </w:rPr>
              <w:t>5</w:t>
            </w:r>
          </w:p>
        </w:tc>
        <w:tc>
          <w:tcPr>
            <w:tcW w:w="780" w:type="dxa"/>
            <w:vAlign w:val="center"/>
          </w:tcPr>
          <w:p w14:paraId="13946331" w14:textId="77777777" w:rsidR="003D69A8" w:rsidRPr="005E1EA7" w:rsidRDefault="003D69A8" w:rsidP="005E1EA7">
            <w:pPr>
              <w:pStyle w:val="CM1"/>
              <w:jc w:val="center"/>
              <w:rPr>
                <w:rFonts w:ascii="Tahoma" w:hAnsi="Tahoma" w:cs="Tahoma"/>
                <w:sz w:val="17"/>
                <w:szCs w:val="17"/>
              </w:rPr>
            </w:pPr>
            <w:r w:rsidRPr="005E1EA7">
              <w:rPr>
                <w:rFonts w:ascii="Tahoma" w:hAnsi="Tahoma" w:cs="Tahoma"/>
                <w:sz w:val="17"/>
                <w:szCs w:val="17"/>
              </w:rPr>
              <w:t>0</w:t>
            </w:r>
          </w:p>
        </w:tc>
        <w:tc>
          <w:tcPr>
            <w:tcW w:w="2835" w:type="dxa"/>
            <w:gridSpan w:val="2"/>
            <w:vAlign w:val="center"/>
          </w:tcPr>
          <w:p w14:paraId="3EAE123D" w14:textId="77777777" w:rsidR="003D69A8" w:rsidRPr="005E1EA7" w:rsidRDefault="003D69A8" w:rsidP="005E1EA7">
            <w:pPr>
              <w:pStyle w:val="CM1"/>
              <w:jc w:val="both"/>
              <w:rPr>
                <w:rFonts w:ascii="Tahoma" w:hAnsi="Tahoma" w:cs="Tahoma"/>
                <w:sz w:val="17"/>
                <w:szCs w:val="17"/>
              </w:rPr>
            </w:pPr>
            <w:r w:rsidRPr="005E1EA7">
              <w:rPr>
                <w:rFonts w:ascii="Tahoma" w:hAnsi="Tahoma" w:cs="Tahoma"/>
                <w:sz w:val="17"/>
                <w:szCs w:val="17"/>
              </w:rPr>
              <w:t>Non détecté dans 25 g</w:t>
            </w:r>
          </w:p>
        </w:tc>
        <w:tc>
          <w:tcPr>
            <w:tcW w:w="1559" w:type="dxa"/>
            <w:vAlign w:val="center"/>
          </w:tcPr>
          <w:p w14:paraId="36FE73EB" w14:textId="77777777" w:rsidR="003D69A8" w:rsidRPr="005E1EA7" w:rsidRDefault="003D69A8" w:rsidP="005E1EA7">
            <w:pPr>
              <w:pStyle w:val="CM1"/>
              <w:jc w:val="both"/>
              <w:rPr>
                <w:rFonts w:ascii="Tahoma" w:hAnsi="Tahoma" w:cs="Tahoma"/>
                <w:sz w:val="17"/>
                <w:szCs w:val="17"/>
              </w:rPr>
            </w:pPr>
            <w:r w:rsidRPr="005E1EA7">
              <w:rPr>
                <w:rFonts w:ascii="Tahoma" w:hAnsi="Tahoma" w:cs="Tahoma"/>
                <w:sz w:val="17"/>
                <w:szCs w:val="17"/>
              </w:rPr>
              <w:t>EN/ISO 6579-1</w:t>
            </w:r>
          </w:p>
        </w:tc>
        <w:tc>
          <w:tcPr>
            <w:tcW w:w="2415" w:type="dxa"/>
            <w:vAlign w:val="center"/>
          </w:tcPr>
          <w:p w14:paraId="5AB1DC54" w14:textId="77777777" w:rsidR="003D69A8" w:rsidRPr="005E1EA7" w:rsidRDefault="003D69A8" w:rsidP="005E1EA7">
            <w:pPr>
              <w:pStyle w:val="CM1"/>
              <w:jc w:val="both"/>
              <w:rPr>
                <w:rFonts w:ascii="Tahoma" w:hAnsi="Tahoma" w:cs="Tahoma"/>
                <w:sz w:val="17"/>
                <w:szCs w:val="17"/>
              </w:rPr>
            </w:pPr>
            <w:r w:rsidRPr="005E1EA7">
              <w:rPr>
                <w:rFonts w:ascii="Tahoma" w:hAnsi="Tahoma" w:cs="Tahoma"/>
                <w:sz w:val="17"/>
                <w:szCs w:val="17"/>
              </w:rPr>
              <w:t>Produits mis sur le marché pendant leur durée de conservation</w:t>
            </w:r>
          </w:p>
        </w:tc>
      </w:tr>
      <w:tr w:rsidR="003D69A8" w:rsidRPr="005E1EA7" w14:paraId="7DE0CD79" w14:textId="77777777" w:rsidTr="005E1EA7">
        <w:trPr>
          <w:cantSplit/>
          <w:trHeight w:val="20"/>
        </w:trPr>
        <w:tc>
          <w:tcPr>
            <w:tcW w:w="464" w:type="dxa"/>
            <w:vAlign w:val="center"/>
          </w:tcPr>
          <w:p w14:paraId="6781ED42" w14:textId="77777777" w:rsidR="003D69A8" w:rsidRPr="005E1EA7" w:rsidRDefault="003D69A8" w:rsidP="005E1EA7">
            <w:pPr>
              <w:autoSpaceDE w:val="0"/>
              <w:autoSpaceDN w:val="0"/>
              <w:adjustRightInd w:val="0"/>
              <w:jc w:val="both"/>
              <w:rPr>
                <w:rFonts w:ascii="Tahoma" w:hAnsi="Tahoma" w:cs="Tahoma"/>
                <w:sz w:val="17"/>
                <w:szCs w:val="17"/>
              </w:rPr>
            </w:pPr>
            <w:r w:rsidRPr="005E1EA7">
              <w:rPr>
                <w:rFonts w:ascii="Tahoma" w:hAnsi="Tahoma" w:cs="Tahoma"/>
                <w:sz w:val="17"/>
                <w:szCs w:val="17"/>
              </w:rPr>
              <w:t>1.6</w:t>
            </w:r>
          </w:p>
        </w:tc>
        <w:tc>
          <w:tcPr>
            <w:tcW w:w="2933" w:type="dxa"/>
            <w:vAlign w:val="center"/>
          </w:tcPr>
          <w:p w14:paraId="7E77DFCE" w14:textId="77777777" w:rsidR="003D69A8" w:rsidRPr="005E1EA7" w:rsidRDefault="003D69A8" w:rsidP="005E1EA7">
            <w:pPr>
              <w:autoSpaceDE w:val="0"/>
              <w:autoSpaceDN w:val="0"/>
              <w:adjustRightInd w:val="0"/>
              <w:jc w:val="both"/>
              <w:rPr>
                <w:rFonts w:ascii="Tahoma" w:hAnsi="Tahoma" w:cs="Tahoma"/>
                <w:sz w:val="17"/>
                <w:szCs w:val="17"/>
              </w:rPr>
            </w:pPr>
            <w:r w:rsidRPr="005E1EA7">
              <w:rPr>
                <w:rFonts w:ascii="Tahoma" w:hAnsi="Tahoma" w:cs="Tahoma"/>
                <w:sz w:val="17"/>
                <w:szCs w:val="17"/>
              </w:rPr>
              <w:t>Mollusques bivalves vivants</w:t>
            </w:r>
          </w:p>
        </w:tc>
        <w:tc>
          <w:tcPr>
            <w:tcW w:w="1985" w:type="dxa"/>
            <w:vAlign w:val="center"/>
          </w:tcPr>
          <w:p w14:paraId="57D1D214" w14:textId="77777777" w:rsidR="003D69A8" w:rsidRPr="005E1EA7" w:rsidRDefault="003D69A8" w:rsidP="005E1EA7">
            <w:pPr>
              <w:autoSpaceDE w:val="0"/>
              <w:autoSpaceDN w:val="0"/>
              <w:adjustRightInd w:val="0"/>
              <w:jc w:val="both"/>
              <w:rPr>
                <w:rFonts w:ascii="Tahoma" w:hAnsi="Tahoma" w:cs="Tahoma"/>
                <w:i/>
                <w:iCs/>
                <w:sz w:val="17"/>
                <w:szCs w:val="17"/>
              </w:rPr>
            </w:pPr>
            <w:r w:rsidRPr="005E1EA7">
              <w:rPr>
                <w:rFonts w:ascii="Tahoma" w:hAnsi="Tahoma" w:cs="Tahoma"/>
                <w:i/>
                <w:iCs/>
                <w:sz w:val="17"/>
                <w:szCs w:val="17"/>
              </w:rPr>
              <w:t xml:space="preserve">E. coli </w:t>
            </w:r>
            <w:r w:rsidRPr="005E1EA7">
              <w:rPr>
                <w:rFonts w:ascii="Tahoma" w:hAnsi="Tahoma" w:cs="Tahoma"/>
                <w:sz w:val="17"/>
                <w:szCs w:val="17"/>
                <w:vertAlign w:val="superscript"/>
              </w:rPr>
              <w:t>(7)</w:t>
            </w:r>
          </w:p>
        </w:tc>
        <w:tc>
          <w:tcPr>
            <w:tcW w:w="779" w:type="dxa"/>
            <w:vAlign w:val="center"/>
          </w:tcPr>
          <w:p w14:paraId="277526DA" w14:textId="77777777" w:rsidR="003D69A8" w:rsidRPr="005E1EA7" w:rsidRDefault="003D69A8" w:rsidP="005E1EA7">
            <w:pPr>
              <w:autoSpaceDE w:val="0"/>
              <w:autoSpaceDN w:val="0"/>
              <w:adjustRightInd w:val="0"/>
              <w:jc w:val="center"/>
              <w:rPr>
                <w:rFonts w:ascii="Tahoma" w:hAnsi="Tahoma" w:cs="Tahoma"/>
                <w:sz w:val="17"/>
                <w:szCs w:val="17"/>
              </w:rPr>
            </w:pPr>
            <w:r w:rsidRPr="005E1EA7">
              <w:rPr>
                <w:rFonts w:ascii="Tahoma" w:hAnsi="Tahoma" w:cs="Tahoma"/>
                <w:sz w:val="17"/>
                <w:szCs w:val="17"/>
              </w:rPr>
              <w:t xml:space="preserve">5 </w:t>
            </w:r>
            <w:r w:rsidRPr="005E1EA7">
              <w:rPr>
                <w:rFonts w:ascii="Tahoma" w:hAnsi="Tahoma" w:cs="Tahoma"/>
                <w:sz w:val="17"/>
                <w:szCs w:val="17"/>
                <w:vertAlign w:val="superscript"/>
              </w:rPr>
              <w:t>(8)</w:t>
            </w:r>
          </w:p>
        </w:tc>
        <w:tc>
          <w:tcPr>
            <w:tcW w:w="780" w:type="dxa"/>
            <w:vAlign w:val="center"/>
          </w:tcPr>
          <w:p w14:paraId="54604E03" w14:textId="77777777" w:rsidR="003D69A8" w:rsidRPr="005E1EA7" w:rsidRDefault="003D69A8" w:rsidP="005E1EA7">
            <w:pPr>
              <w:autoSpaceDE w:val="0"/>
              <w:autoSpaceDN w:val="0"/>
              <w:adjustRightInd w:val="0"/>
              <w:jc w:val="center"/>
              <w:rPr>
                <w:rFonts w:ascii="Tahoma" w:hAnsi="Tahoma" w:cs="Tahoma"/>
                <w:sz w:val="17"/>
                <w:szCs w:val="17"/>
              </w:rPr>
            </w:pPr>
            <w:r w:rsidRPr="005E1EA7">
              <w:rPr>
                <w:rFonts w:ascii="Tahoma" w:hAnsi="Tahoma" w:cs="Tahoma"/>
                <w:sz w:val="17"/>
                <w:szCs w:val="17"/>
              </w:rPr>
              <w:t>1</w:t>
            </w:r>
          </w:p>
        </w:tc>
        <w:tc>
          <w:tcPr>
            <w:tcW w:w="1418" w:type="dxa"/>
            <w:vAlign w:val="center"/>
          </w:tcPr>
          <w:p w14:paraId="0D9DBA9C" w14:textId="77777777" w:rsidR="003D69A8" w:rsidRPr="005E1EA7" w:rsidRDefault="003D69A8" w:rsidP="005E1EA7">
            <w:pPr>
              <w:jc w:val="both"/>
              <w:rPr>
                <w:rFonts w:ascii="Tahoma" w:hAnsi="Tahoma" w:cs="Tahoma"/>
                <w:iCs/>
                <w:sz w:val="17"/>
                <w:szCs w:val="17"/>
              </w:rPr>
            </w:pPr>
            <w:r w:rsidRPr="005E1EA7">
              <w:rPr>
                <w:rFonts w:ascii="Tahoma" w:hAnsi="Tahoma" w:cs="Tahoma"/>
                <w:iCs/>
                <w:sz w:val="17"/>
                <w:szCs w:val="17"/>
              </w:rPr>
              <w:t>230 NPP/100g de chair et de liquide intervalvaire</w:t>
            </w:r>
          </w:p>
        </w:tc>
        <w:tc>
          <w:tcPr>
            <w:tcW w:w="1417" w:type="dxa"/>
            <w:vAlign w:val="center"/>
          </w:tcPr>
          <w:p w14:paraId="770CAD43" w14:textId="77777777" w:rsidR="003D69A8" w:rsidRPr="005E1EA7" w:rsidRDefault="003D69A8" w:rsidP="005E1EA7">
            <w:pPr>
              <w:autoSpaceDE w:val="0"/>
              <w:autoSpaceDN w:val="0"/>
              <w:adjustRightInd w:val="0"/>
              <w:jc w:val="both"/>
              <w:rPr>
                <w:rFonts w:ascii="Tahoma" w:hAnsi="Tahoma" w:cs="Tahoma"/>
                <w:iCs/>
                <w:sz w:val="17"/>
                <w:szCs w:val="17"/>
              </w:rPr>
            </w:pPr>
            <w:r w:rsidRPr="005E1EA7">
              <w:rPr>
                <w:rFonts w:ascii="Tahoma" w:hAnsi="Tahoma" w:cs="Tahoma"/>
                <w:iCs/>
                <w:sz w:val="17"/>
                <w:szCs w:val="17"/>
              </w:rPr>
              <w:t>700 NPP/100g de chair et de liquide intervalvaire</w:t>
            </w:r>
          </w:p>
        </w:tc>
        <w:tc>
          <w:tcPr>
            <w:tcW w:w="1559" w:type="dxa"/>
            <w:vAlign w:val="center"/>
          </w:tcPr>
          <w:p w14:paraId="3C5FE531" w14:textId="77777777" w:rsidR="003D69A8" w:rsidRPr="005E1EA7" w:rsidRDefault="003D69A8" w:rsidP="005E1EA7">
            <w:pPr>
              <w:autoSpaceDE w:val="0"/>
              <w:autoSpaceDN w:val="0"/>
              <w:adjustRightInd w:val="0"/>
              <w:jc w:val="both"/>
              <w:rPr>
                <w:rFonts w:ascii="Tahoma" w:hAnsi="Tahoma" w:cs="Tahoma"/>
                <w:sz w:val="17"/>
                <w:szCs w:val="17"/>
              </w:rPr>
            </w:pPr>
            <w:r w:rsidRPr="005E1EA7">
              <w:rPr>
                <w:rFonts w:ascii="Tahoma" w:hAnsi="Tahoma" w:cs="Tahoma"/>
                <w:sz w:val="17"/>
                <w:szCs w:val="17"/>
              </w:rPr>
              <w:t>EN/ISO 16649-3</w:t>
            </w:r>
          </w:p>
        </w:tc>
        <w:tc>
          <w:tcPr>
            <w:tcW w:w="2415" w:type="dxa"/>
            <w:vAlign w:val="center"/>
          </w:tcPr>
          <w:p w14:paraId="45E85A66" w14:textId="77777777" w:rsidR="003D69A8" w:rsidRPr="005E1EA7" w:rsidRDefault="003D69A8" w:rsidP="005E1EA7">
            <w:pPr>
              <w:pStyle w:val="CM1"/>
              <w:jc w:val="both"/>
              <w:rPr>
                <w:rFonts w:ascii="Tahoma" w:hAnsi="Tahoma" w:cs="Tahoma"/>
                <w:sz w:val="17"/>
                <w:szCs w:val="17"/>
              </w:rPr>
            </w:pPr>
            <w:r w:rsidRPr="005E1EA7">
              <w:rPr>
                <w:rFonts w:ascii="Tahoma" w:hAnsi="Tahoma" w:cs="Tahoma"/>
                <w:sz w:val="17"/>
                <w:szCs w:val="17"/>
              </w:rPr>
              <w:t>Produits mis sur le marché pendant leur durée de conservation</w:t>
            </w:r>
          </w:p>
        </w:tc>
      </w:tr>
      <w:tr w:rsidR="003D69A8" w:rsidRPr="005E1EA7" w14:paraId="41254B68" w14:textId="77777777" w:rsidTr="005E1EA7">
        <w:trPr>
          <w:cantSplit/>
          <w:trHeight w:val="20"/>
        </w:trPr>
        <w:tc>
          <w:tcPr>
            <w:tcW w:w="464" w:type="dxa"/>
            <w:vAlign w:val="center"/>
          </w:tcPr>
          <w:p w14:paraId="343793AB" w14:textId="77777777" w:rsidR="003D69A8" w:rsidRPr="005E1EA7" w:rsidRDefault="003D69A8" w:rsidP="005E1EA7">
            <w:pPr>
              <w:autoSpaceDE w:val="0"/>
              <w:autoSpaceDN w:val="0"/>
              <w:adjustRightInd w:val="0"/>
              <w:jc w:val="both"/>
              <w:rPr>
                <w:rFonts w:ascii="Tahoma" w:hAnsi="Tahoma" w:cs="Tahoma"/>
                <w:sz w:val="17"/>
                <w:szCs w:val="17"/>
              </w:rPr>
            </w:pPr>
            <w:r w:rsidRPr="005E1EA7">
              <w:rPr>
                <w:rFonts w:ascii="Tahoma" w:hAnsi="Tahoma" w:cs="Tahoma"/>
                <w:sz w:val="17"/>
                <w:szCs w:val="17"/>
              </w:rPr>
              <w:t>1.7</w:t>
            </w:r>
          </w:p>
        </w:tc>
        <w:tc>
          <w:tcPr>
            <w:tcW w:w="2933" w:type="dxa"/>
            <w:vAlign w:val="center"/>
          </w:tcPr>
          <w:p w14:paraId="5328D293" w14:textId="77777777" w:rsidR="003D69A8" w:rsidRPr="005E1EA7" w:rsidRDefault="003D69A8" w:rsidP="005E1EA7">
            <w:pPr>
              <w:autoSpaceDE w:val="0"/>
              <w:autoSpaceDN w:val="0"/>
              <w:adjustRightInd w:val="0"/>
              <w:jc w:val="both"/>
              <w:rPr>
                <w:rFonts w:ascii="Tahoma" w:hAnsi="Tahoma" w:cs="Tahoma"/>
                <w:sz w:val="17"/>
                <w:szCs w:val="17"/>
              </w:rPr>
            </w:pPr>
            <w:r w:rsidRPr="005E1EA7">
              <w:rPr>
                <w:rFonts w:ascii="Tahoma" w:hAnsi="Tahoma" w:cs="Tahoma"/>
                <w:sz w:val="17"/>
                <w:szCs w:val="17"/>
              </w:rPr>
              <w:t xml:space="preserve">Produits de la pêche fabriqués à partir d’espèces de poissons associées à une grande quantité d’histidine </w:t>
            </w:r>
            <w:r w:rsidRPr="005E1EA7">
              <w:rPr>
                <w:rFonts w:ascii="Tahoma" w:hAnsi="Tahoma" w:cs="Tahoma"/>
                <w:sz w:val="17"/>
                <w:szCs w:val="17"/>
                <w:vertAlign w:val="superscript"/>
              </w:rPr>
              <w:t>(9)</w:t>
            </w:r>
          </w:p>
        </w:tc>
        <w:tc>
          <w:tcPr>
            <w:tcW w:w="1985" w:type="dxa"/>
            <w:vAlign w:val="center"/>
          </w:tcPr>
          <w:p w14:paraId="602327DE" w14:textId="77777777" w:rsidR="003D69A8" w:rsidRPr="005E1EA7" w:rsidRDefault="003D69A8" w:rsidP="005E1EA7">
            <w:pPr>
              <w:autoSpaceDE w:val="0"/>
              <w:autoSpaceDN w:val="0"/>
              <w:adjustRightInd w:val="0"/>
              <w:jc w:val="both"/>
              <w:rPr>
                <w:rFonts w:ascii="Tahoma" w:hAnsi="Tahoma" w:cs="Tahoma"/>
                <w:sz w:val="17"/>
                <w:szCs w:val="17"/>
              </w:rPr>
            </w:pPr>
            <w:r w:rsidRPr="005E1EA7">
              <w:rPr>
                <w:rFonts w:ascii="Tahoma" w:hAnsi="Tahoma" w:cs="Tahoma"/>
                <w:sz w:val="17"/>
                <w:szCs w:val="17"/>
              </w:rPr>
              <w:t>Histamine</w:t>
            </w:r>
          </w:p>
        </w:tc>
        <w:tc>
          <w:tcPr>
            <w:tcW w:w="779" w:type="dxa"/>
            <w:vAlign w:val="center"/>
          </w:tcPr>
          <w:p w14:paraId="3FBD6104" w14:textId="77777777" w:rsidR="003D69A8" w:rsidRPr="005E1EA7" w:rsidRDefault="003D69A8" w:rsidP="005E1EA7">
            <w:pPr>
              <w:autoSpaceDE w:val="0"/>
              <w:autoSpaceDN w:val="0"/>
              <w:adjustRightInd w:val="0"/>
              <w:jc w:val="center"/>
              <w:rPr>
                <w:rFonts w:ascii="Tahoma" w:hAnsi="Tahoma" w:cs="Tahoma"/>
                <w:sz w:val="17"/>
                <w:szCs w:val="17"/>
              </w:rPr>
            </w:pPr>
            <w:r w:rsidRPr="005E1EA7">
              <w:rPr>
                <w:rFonts w:ascii="Tahoma" w:hAnsi="Tahoma" w:cs="Tahoma"/>
                <w:sz w:val="17"/>
                <w:szCs w:val="17"/>
              </w:rPr>
              <w:t xml:space="preserve">9 </w:t>
            </w:r>
            <w:r w:rsidRPr="005E1EA7">
              <w:rPr>
                <w:rFonts w:ascii="Tahoma" w:hAnsi="Tahoma" w:cs="Tahoma"/>
                <w:sz w:val="17"/>
                <w:szCs w:val="17"/>
                <w:vertAlign w:val="superscript"/>
              </w:rPr>
              <w:t>(10)</w:t>
            </w:r>
          </w:p>
        </w:tc>
        <w:tc>
          <w:tcPr>
            <w:tcW w:w="780" w:type="dxa"/>
            <w:vAlign w:val="center"/>
          </w:tcPr>
          <w:p w14:paraId="5F3FA979" w14:textId="77777777" w:rsidR="003D69A8" w:rsidRPr="005E1EA7" w:rsidRDefault="003D69A8" w:rsidP="005E1EA7">
            <w:pPr>
              <w:autoSpaceDE w:val="0"/>
              <w:autoSpaceDN w:val="0"/>
              <w:adjustRightInd w:val="0"/>
              <w:jc w:val="center"/>
              <w:rPr>
                <w:rFonts w:ascii="Tahoma" w:hAnsi="Tahoma" w:cs="Tahoma"/>
                <w:sz w:val="17"/>
                <w:szCs w:val="17"/>
              </w:rPr>
            </w:pPr>
            <w:r w:rsidRPr="005E1EA7">
              <w:rPr>
                <w:rFonts w:ascii="Tahoma" w:hAnsi="Tahoma" w:cs="Tahoma"/>
                <w:sz w:val="17"/>
                <w:szCs w:val="17"/>
              </w:rPr>
              <w:t>2</w:t>
            </w:r>
          </w:p>
        </w:tc>
        <w:tc>
          <w:tcPr>
            <w:tcW w:w="1418" w:type="dxa"/>
            <w:vAlign w:val="center"/>
          </w:tcPr>
          <w:p w14:paraId="28556AB0" w14:textId="77777777" w:rsidR="003D69A8" w:rsidRPr="005E1EA7" w:rsidRDefault="003D69A8" w:rsidP="005E1EA7">
            <w:pPr>
              <w:autoSpaceDE w:val="0"/>
              <w:autoSpaceDN w:val="0"/>
              <w:adjustRightInd w:val="0"/>
              <w:jc w:val="both"/>
              <w:rPr>
                <w:rFonts w:ascii="Tahoma" w:hAnsi="Tahoma" w:cs="Tahoma"/>
                <w:sz w:val="17"/>
                <w:szCs w:val="17"/>
              </w:rPr>
            </w:pPr>
            <w:r w:rsidRPr="005E1EA7">
              <w:rPr>
                <w:rFonts w:ascii="Tahoma" w:hAnsi="Tahoma" w:cs="Tahoma"/>
                <w:sz w:val="17"/>
                <w:szCs w:val="17"/>
              </w:rPr>
              <w:t>100 mg/kg</w:t>
            </w:r>
          </w:p>
        </w:tc>
        <w:tc>
          <w:tcPr>
            <w:tcW w:w="1417" w:type="dxa"/>
            <w:vAlign w:val="center"/>
          </w:tcPr>
          <w:p w14:paraId="6FEAB2B5" w14:textId="77777777" w:rsidR="003D69A8" w:rsidRPr="005E1EA7" w:rsidRDefault="003D69A8" w:rsidP="005E1EA7">
            <w:pPr>
              <w:autoSpaceDE w:val="0"/>
              <w:autoSpaceDN w:val="0"/>
              <w:adjustRightInd w:val="0"/>
              <w:jc w:val="both"/>
              <w:rPr>
                <w:rFonts w:ascii="Tahoma" w:hAnsi="Tahoma" w:cs="Tahoma"/>
                <w:iCs/>
                <w:sz w:val="17"/>
                <w:szCs w:val="17"/>
              </w:rPr>
            </w:pPr>
            <w:r w:rsidRPr="005E1EA7">
              <w:rPr>
                <w:rFonts w:ascii="Tahoma" w:hAnsi="Tahoma" w:cs="Tahoma"/>
                <w:iCs/>
                <w:sz w:val="17"/>
                <w:szCs w:val="17"/>
              </w:rPr>
              <w:t>200 mg/kg</w:t>
            </w:r>
          </w:p>
        </w:tc>
        <w:tc>
          <w:tcPr>
            <w:tcW w:w="1559" w:type="dxa"/>
            <w:vAlign w:val="center"/>
          </w:tcPr>
          <w:p w14:paraId="19D6C29E" w14:textId="77777777" w:rsidR="003D69A8" w:rsidRPr="005E1EA7" w:rsidRDefault="003D69A8" w:rsidP="005E1EA7">
            <w:pPr>
              <w:autoSpaceDE w:val="0"/>
              <w:autoSpaceDN w:val="0"/>
              <w:adjustRightInd w:val="0"/>
              <w:jc w:val="both"/>
              <w:rPr>
                <w:rFonts w:ascii="Tahoma" w:hAnsi="Tahoma" w:cs="Tahoma"/>
                <w:sz w:val="17"/>
                <w:szCs w:val="17"/>
              </w:rPr>
            </w:pPr>
            <w:r w:rsidRPr="005E1EA7">
              <w:rPr>
                <w:rFonts w:ascii="Tahoma" w:hAnsi="Tahoma" w:cs="Tahoma"/>
                <w:sz w:val="17"/>
                <w:szCs w:val="17"/>
              </w:rPr>
              <w:t>EN ISO 19343</w:t>
            </w:r>
          </w:p>
          <w:p w14:paraId="5EF4DA6C" w14:textId="77777777" w:rsidR="003D69A8" w:rsidRPr="005E1EA7" w:rsidRDefault="003D69A8" w:rsidP="005E1EA7">
            <w:pPr>
              <w:autoSpaceDE w:val="0"/>
              <w:autoSpaceDN w:val="0"/>
              <w:adjustRightInd w:val="0"/>
              <w:rPr>
                <w:rFonts w:ascii="Tahoma" w:hAnsi="Tahoma" w:cs="Tahoma"/>
                <w:sz w:val="17"/>
                <w:szCs w:val="17"/>
              </w:rPr>
            </w:pPr>
            <w:r w:rsidRPr="005E1EA7">
              <w:rPr>
                <w:rFonts w:ascii="Tahoma" w:hAnsi="Tahoma" w:cs="Tahoma"/>
                <w:sz w:val="17"/>
                <w:szCs w:val="17"/>
              </w:rPr>
              <w:t xml:space="preserve">Ou méthode équivalente </w:t>
            </w:r>
          </w:p>
        </w:tc>
        <w:tc>
          <w:tcPr>
            <w:tcW w:w="2415" w:type="dxa"/>
            <w:vAlign w:val="center"/>
          </w:tcPr>
          <w:p w14:paraId="726C55D2" w14:textId="77777777" w:rsidR="003D69A8" w:rsidRPr="005E1EA7" w:rsidRDefault="003D69A8" w:rsidP="005E1EA7">
            <w:pPr>
              <w:autoSpaceDE w:val="0"/>
              <w:autoSpaceDN w:val="0"/>
              <w:adjustRightInd w:val="0"/>
              <w:jc w:val="both"/>
              <w:rPr>
                <w:rFonts w:ascii="Tahoma" w:hAnsi="Tahoma" w:cs="Tahoma"/>
                <w:sz w:val="17"/>
                <w:szCs w:val="17"/>
              </w:rPr>
            </w:pPr>
            <w:r w:rsidRPr="005E1EA7">
              <w:rPr>
                <w:rFonts w:ascii="Tahoma" w:hAnsi="Tahoma" w:cs="Tahoma"/>
                <w:sz w:val="17"/>
                <w:szCs w:val="17"/>
              </w:rPr>
              <w:t>Produits mis sur le marché pendant leur durée de conservation</w:t>
            </w:r>
          </w:p>
        </w:tc>
      </w:tr>
      <w:tr w:rsidR="003D69A8" w:rsidRPr="005E1EA7" w14:paraId="17DE1457" w14:textId="77777777" w:rsidTr="005E1EA7">
        <w:trPr>
          <w:cantSplit/>
          <w:trHeight w:val="20"/>
        </w:trPr>
        <w:tc>
          <w:tcPr>
            <w:tcW w:w="464" w:type="dxa"/>
            <w:vAlign w:val="center"/>
          </w:tcPr>
          <w:p w14:paraId="4ECAA0D5" w14:textId="77777777" w:rsidR="003D69A8" w:rsidRPr="005E1EA7" w:rsidRDefault="003D69A8" w:rsidP="005E1EA7">
            <w:pPr>
              <w:autoSpaceDE w:val="0"/>
              <w:autoSpaceDN w:val="0"/>
              <w:adjustRightInd w:val="0"/>
              <w:jc w:val="both"/>
              <w:rPr>
                <w:rFonts w:ascii="Tahoma" w:hAnsi="Tahoma" w:cs="Tahoma"/>
                <w:sz w:val="17"/>
                <w:szCs w:val="17"/>
              </w:rPr>
            </w:pPr>
            <w:r w:rsidRPr="005E1EA7">
              <w:rPr>
                <w:rFonts w:ascii="Tahoma" w:hAnsi="Tahoma" w:cs="Tahoma"/>
                <w:sz w:val="17"/>
                <w:szCs w:val="17"/>
              </w:rPr>
              <w:t>1.8</w:t>
            </w:r>
          </w:p>
        </w:tc>
        <w:tc>
          <w:tcPr>
            <w:tcW w:w="2933" w:type="dxa"/>
            <w:vAlign w:val="center"/>
          </w:tcPr>
          <w:p w14:paraId="4E88F33B" w14:textId="77777777" w:rsidR="003D69A8" w:rsidRPr="005E1EA7" w:rsidRDefault="003D69A8" w:rsidP="005E1EA7">
            <w:pPr>
              <w:autoSpaceDE w:val="0"/>
              <w:autoSpaceDN w:val="0"/>
              <w:adjustRightInd w:val="0"/>
              <w:jc w:val="both"/>
              <w:rPr>
                <w:rFonts w:ascii="Tahoma" w:hAnsi="Tahoma" w:cs="Tahoma"/>
                <w:sz w:val="17"/>
                <w:szCs w:val="17"/>
              </w:rPr>
            </w:pPr>
            <w:r w:rsidRPr="005E1EA7">
              <w:rPr>
                <w:rFonts w:ascii="Tahoma" w:hAnsi="Tahoma" w:cs="Tahoma"/>
                <w:sz w:val="17"/>
                <w:szCs w:val="17"/>
              </w:rPr>
              <w:t xml:space="preserve">Produits de la pêche ayant subi un traitement de maturation aux enzymes dans la saumure, fabriqués à partir d’espèces de poissons associées à une grande quantité d’histidine </w:t>
            </w:r>
            <w:r w:rsidRPr="005E1EA7">
              <w:rPr>
                <w:rFonts w:ascii="Tahoma" w:hAnsi="Tahoma" w:cs="Tahoma"/>
                <w:sz w:val="17"/>
                <w:szCs w:val="17"/>
                <w:vertAlign w:val="superscript"/>
              </w:rPr>
              <w:t>(9)</w:t>
            </w:r>
          </w:p>
        </w:tc>
        <w:tc>
          <w:tcPr>
            <w:tcW w:w="1985" w:type="dxa"/>
            <w:vAlign w:val="center"/>
          </w:tcPr>
          <w:p w14:paraId="76E7EED4" w14:textId="77777777" w:rsidR="003D69A8" w:rsidRPr="005E1EA7" w:rsidRDefault="003D69A8" w:rsidP="005E1EA7">
            <w:pPr>
              <w:autoSpaceDE w:val="0"/>
              <w:autoSpaceDN w:val="0"/>
              <w:adjustRightInd w:val="0"/>
              <w:jc w:val="both"/>
              <w:rPr>
                <w:rFonts w:ascii="Tahoma" w:hAnsi="Tahoma" w:cs="Tahoma"/>
                <w:sz w:val="17"/>
                <w:szCs w:val="17"/>
              </w:rPr>
            </w:pPr>
            <w:r w:rsidRPr="005E1EA7">
              <w:rPr>
                <w:rFonts w:ascii="Tahoma" w:hAnsi="Tahoma" w:cs="Tahoma"/>
                <w:sz w:val="17"/>
                <w:szCs w:val="17"/>
              </w:rPr>
              <w:t>Histamine</w:t>
            </w:r>
          </w:p>
        </w:tc>
        <w:tc>
          <w:tcPr>
            <w:tcW w:w="779" w:type="dxa"/>
            <w:vAlign w:val="center"/>
          </w:tcPr>
          <w:p w14:paraId="3AC23766" w14:textId="77777777" w:rsidR="003D69A8" w:rsidRPr="005E1EA7" w:rsidRDefault="003D69A8" w:rsidP="005E1EA7">
            <w:pPr>
              <w:autoSpaceDE w:val="0"/>
              <w:autoSpaceDN w:val="0"/>
              <w:adjustRightInd w:val="0"/>
              <w:jc w:val="center"/>
              <w:rPr>
                <w:rFonts w:ascii="Tahoma" w:hAnsi="Tahoma" w:cs="Tahoma"/>
                <w:sz w:val="17"/>
                <w:szCs w:val="17"/>
              </w:rPr>
            </w:pPr>
            <w:r w:rsidRPr="005E1EA7">
              <w:rPr>
                <w:rFonts w:ascii="Tahoma" w:hAnsi="Tahoma" w:cs="Tahoma"/>
                <w:sz w:val="17"/>
                <w:szCs w:val="17"/>
              </w:rPr>
              <w:t>9</w:t>
            </w:r>
          </w:p>
        </w:tc>
        <w:tc>
          <w:tcPr>
            <w:tcW w:w="780" w:type="dxa"/>
            <w:vAlign w:val="center"/>
          </w:tcPr>
          <w:p w14:paraId="47D40B9C" w14:textId="77777777" w:rsidR="003D69A8" w:rsidRPr="005E1EA7" w:rsidRDefault="003D69A8" w:rsidP="005E1EA7">
            <w:pPr>
              <w:autoSpaceDE w:val="0"/>
              <w:autoSpaceDN w:val="0"/>
              <w:adjustRightInd w:val="0"/>
              <w:jc w:val="center"/>
              <w:rPr>
                <w:rFonts w:ascii="Tahoma" w:hAnsi="Tahoma" w:cs="Tahoma"/>
                <w:sz w:val="17"/>
                <w:szCs w:val="17"/>
              </w:rPr>
            </w:pPr>
            <w:r w:rsidRPr="005E1EA7">
              <w:rPr>
                <w:rFonts w:ascii="Tahoma" w:hAnsi="Tahoma" w:cs="Tahoma"/>
                <w:sz w:val="17"/>
                <w:szCs w:val="17"/>
              </w:rPr>
              <w:t>2</w:t>
            </w:r>
          </w:p>
        </w:tc>
        <w:tc>
          <w:tcPr>
            <w:tcW w:w="1418" w:type="dxa"/>
            <w:vAlign w:val="center"/>
          </w:tcPr>
          <w:p w14:paraId="2CCE4B6C" w14:textId="77777777" w:rsidR="003D69A8" w:rsidRPr="005E1EA7" w:rsidRDefault="003D69A8" w:rsidP="005E1EA7">
            <w:pPr>
              <w:autoSpaceDE w:val="0"/>
              <w:autoSpaceDN w:val="0"/>
              <w:adjustRightInd w:val="0"/>
              <w:jc w:val="both"/>
              <w:rPr>
                <w:rFonts w:ascii="Tahoma" w:hAnsi="Tahoma" w:cs="Tahoma"/>
                <w:sz w:val="17"/>
                <w:szCs w:val="17"/>
              </w:rPr>
            </w:pPr>
            <w:r w:rsidRPr="005E1EA7">
              <w:rPr>
                <w:rFonts w:ascii="Tahoma" w:hAnsi="Tahoma" w:cs="Tahoma"/>
                <w:sz w:val="17"/>
                <w:szCs w:val="17"/>
              </w:rPr>
              <w:t>200 mg/kg</w:t>
            </w:r>
          </w:p>
        </w:tc>
        <w:tc>
          <w:tcPr>
            <w:tcW w:w="1417" w:type="dxa"/>
            <w:vAlign w:val="center"/>
          </w:tcPr>
          <w:p w14:paraId="0130295B" w14:textId="77777777" w:rsidR="003D69A8" w:rsidRPr="005E1EA7" w:rsidRDefault="003D69A8" w:rsidP="005E1EA7">
            <w:pPr>
              <w:autoSpaceDE w:val="0"/>
              <w:autoSpaceDN w:val="0"/>
              <w:adjustRightInd w:val="0"/>
              <w:jc w:val="both"/>
              <w:rPr>
                <w:rFonts w:ascii="Tahoma" w:hAnsi="Tahoma" w:cs="Tahoma"/>
                <w:iCs/>
                <w:sz w:val="17"/>
                <w:szCs w:val="17"/>
              </w:rPr>
            </w:pPr>
            <w:r w:rsidRPr="005E1EA7">
              <w:rPr>
                <w:rFonts w:ascii="Tahoma" w:hAnsi="Tahoma" w:cs="Tahoma"/>
                <w:iCs/>
                <w:sz w:val="17"/>
                <w:szCs w:val="17"/>
              </w:rPr>
              <w:t>400 mg/kg</w:t>
            </w:r>
          </w:p>
        </w:tc>
        <w:tc>
          <w:tcPr>
            <w:tcW w:w="1559" w:type="dxa"/>
            <w:vAlign w:val="center"/>
          </w:tcPr>
          <w:p w14:paraId="2FAF4799" w14:textId="77777777" w:rsidR="003D69A8" w:rsidRPr="005E1EA7" w:rsidRDefault="003D69A8" w:rsidP="005E1EA7">
            <w:pPr>
              <w:autoSpaceDE w:val="0"/>
              <w:autoSpaceDN w:val="0"/>
              <w:adjustRightInd w:val="0"/>
              <w:jc w:val="both"/>
              <w:rPr>
                <w:rFonts w:ascii="Tahoma" w:hAnsi="Tahoma" w:cs="Tahoma"/>
                <w:sz w:val="17"/>
                <w:szCs w:val="17"/>
              </w:rPr>
            </w:pPr>
            <w:r w:rsidRPr="005E1EA7">
              <w:rPr>
                <w:rFonts w:ascii="Tahoma" w:eastAsiaTheme="minorHAnsi" w:hAnsi="Tahoma" w:cs="Tahoma"/>
                <w:sz w:val="17"/>
                <w:szCs w:val="17"/>
                <w:lang w:eastAsia="en-US"/>
              </w:rPr>
              <w:t>EN ISO 19343</w:t>
            </w:r>
          </w:p>
        </w:tc>
        <w:tc>
          <w:tcPr>
            <w:tcW w:w="2415" w:type="dxa"/>
            <w:vAlign w:val="center"/>
          </w:tcPr>
          <w:p w14:paraId="725A939E" w14:textId="77777777" w:rsidR="003D69A8" w:rsidRPr="005E1EA7" w:rsidRDefault="003D69A8" w:rsidP="005E1EA7">
            <w:pPr>
              <w:autoSpaceDE w:val="0"/>
              <w:autoSpaceDN w:val="0"/>
              <w:adjustRightInd w:val="0"/>
              <w:jc w:val="both"/>
              <w:rPr>
                <w:rFonts w:ascii="Tahoma" w:hAnsi="Tahoma" w:cs="Tahoma"/>
                <w:sz w:val="17"/>
                <w:szCs w:val="17"/>
              </w:rPr>
            </w:pPr>
            <w:r w:rsidRPr="005E1EA7">
              <w:rPr>
                <w:rFonts w:ascii="Tahoma" w:hAnsi="Tahoma" w:cs="Tahoma"/>
                <w:sz w:val="17"/>
                <w:szCs w:val="17"/>
              </w:rPr>
              <w:t>Produits mis sur le marché pendant leur durée de conservation</w:t>
            </w:r>
          </w:p>
        </w:tc>
      </w:tr>
    </w:tbl>
    <w:p w14:paraId="3DBF1A1C" w14:textId="77777777" w:rsidR="003D69A8" w:rsidRPr="005E1EA7" w:rsidRDefault="003D69A8" w:rsidP="00420DDA">
      <w:pPr>
        <w:pStyle w:val="Paragraphedeliste"/>
        <w:numPr>
          <w:ilvl w:val="0"/>
          <w:numId w:val="167"/>
        </w:numPr>
        <w:autoSpaceDE w:val="0"/>
        <w:autoSpaceDN w:val="0"/>
        <w:adjustRightInd w:val="0"/>
        <w:ind w:left="284" w:hanging="283"/>
        <w:jc w:val="both"/>
        <w:rPr>
          <w:rFonts w:asciiTheme="minorBidi" w:hAnsiTheme="minorBidi" w:cstheme="minorBidi"/>
          <w:sz w:val="20"/>
          <w:szCs w:val="20"/>
        </w:rPr>
      </w:pPr>
      <w:proofErr w:type="gramStart"/>
      <w:r w:rsidRPr="005E1EA7">
        <w:rPr>
          <w:rFonts w:asciiTheme="minorBidi" w:hAnsiTheme="minorBidi" w:cstheme="minorBidi"/>
          <w:sz w:val="20"/>
          <w:szCs w:val="20"/>
        </w:rPr>
        <w:lastRenderedPageBreak/>
        <w:t>n</w:t>
      </w:r>
      <w:proofErr w:type="gramEnd"/>
      <w:r w:rsidRPr="005E1EA7">
        <w:rPr>
          <w:rFonts w:asciiTheme="minorBidi" w:hAnsiTheme="minorBidi" w:cstheme="minorBidi"/>
          <w:sz w:val="20"/>
          <w:szCs w:val="20"/>
        </w:rPr>
        <w:t xml:space="preserve"> = nombre d'unités constituant l'échantillon ; c = nombre maximal de résultats pouvant présenter des valeurs comprises entre m et M pour le nombre d'échantillons n réalisé.</w:t>
      </w:r>
    </w:p>
    <w:p w14:paraId="6759691B" w14:textId="77777777" w:rsidR="003D69A8" w:rsidRPr="005E1EA7" w:rsidRDefault="003D69A8" w:rsidP="00420DDA">
      <w:pPr>
        <w:pStyle w:val="Paragraphedeliste"/>
        <w:numPr>
          <w:ilvl w:val="0"/>
          <w:numId w:val="167"/>
        </w:numPr>
        <w:autoSpaceDE w:val="0"/>
        <w:autoSpaceDN w:val="0"/>
        <w:adjustRightInd w:val="0"/>
        <w:ind w:left="284" w:hanging="283"/>
        <w:jc w:val="both"/>
        <w:rPr>
          <w:rFonts w:asciiTheme="minorBidi" w:hAnsiTheme="minorBidi" w:cstheme="minorBidi"/>
          <w:sz w:val="20"/>
          <w:szCs w:val="20"/>
        </w:rPr>
      </w:pPr>
      <w:r w:rsidRPr="005E1EA7">
        <w:rPr>
          <w:rFonts w:asciiTheme="minorBidi" w:hAnsiTheme="minorBidi" w:cstheme="minorBidi"/>
          <w:sz w:val="20"/>
          <w:szCs w:val="20"/>
        </w:rPr>
        <w:t>Pour les points 1.1 à 1.5, m = M.</w:t>
      </w:r>
    </w:p>
    <w:p w14:paraId="6C220ED7" w14:textId="77777777" w:rsidR="003D69A8" w:rsidRPr="005E1EA7" w:rsidRDefault="003D69A8" w:rsidP="00420DDA">
      <w:pPr>
        <w:pStyle w:val="Paragraphedeliste"/>
        <w:numPr>
          <w:ilvl w:val="0"/>
          <w:numId w:val="167"/>
        </w:numPr>
        <w:autoSpaceDE w:val="0"/>
        <w:autoSpaceDN w:val="0"/>
        <w:adjustRightInd w:val="0"/>
        <w:ind w:left="284" w:hanging="283"/>
        <w:jc w:val="both"/>
        <w:rPr>
          <w:rFonts w:asciiTheme="minorBidi" w:hAnsiTheme="minorBidi" w:cstheme="minorBidi"/>
          <w:sz w:val="20"/>
          <w:szCs w:val="20"/>
        </w:rPr>
      </w:pPr>
      <w:r w:rsidRPr="005E1EA7">
        <w:rPr>
          <w:rFonts w:asciiTheme="minorBidi" w:hAnsiTheme="minorBidi" w:cstheme="minorBidi"/>
          <w:sz w:val="20"/>
          <w:szCs w:val="20"/>
        </w:rPr>
        <w:t>Il y a lieu d'utiliser l'édition la plus récente de la norme.</w:t>
      </w:r>
    </w:p>
    <w:p w14:paraId="71A04CBB" w14:textId="77777777" w:rsidR="003D69A8" w:rsidRPr="005E1EA7" w:rsidRDefault="003D69A8" w:rsidP="00420DDA">
      <w:pPr>
        <w:pStyle w:val="Paragraphedeliste"/>
        <w:numPr>
          <w:ilvl w:val="0"/>
          <w:numId w:val="167"/>
        </w:numPr>
        <w:autoSpaceDE w:val="0"/>
        <w:autoSpaceDN w:val="0"/>
        <w:adjustRightInd w:val="0"/>
        <w:ind w:left="284" w:hanging="283"/>
        <w:jc w:val="both"/>
        <w:rPr>
          <w:rFonts w:asciiTheme="minorBidi" w:hAnsiTheme="minorBidi" w:cstheme="minorBidi"/>
          <w:sz w:val="20"/>
          <w:szCs w:val="20"/>
        </w:rPr>
      </w:pPr>
      <w:r w:rsidRPr="005E1EA7">
        <w:rPr>
          <w:rFonts w:asciiTheme="minorBidi" w:hAnsiTheme="minorBidi" w:cstheme="minorBidi"/>
          <w:sz w:val="20"/>
          <w:szCs w:val="20"/>
        </w:rPr>
        <w:t>Ce critère est applicable lorsque le fabricant est en mesure de démontrer, à la satisfaction de l'autorité compétente, que le produit respectera la limite de 100 ufc/g pendant la durée de conservation. L'exploitant peut fixer, pendant le procédé, des valeurs intermédiaires suffisamment basses pour garantir que la limite de 100 ufc/g ne sera pas dépassée au terme de la durée de conservation.</w:t>
      </w:r>
    </w:p>
    <w:p w14:paraId="2DACA117" w14:textId="77777777" w:rsidR="003D69A8" w:rsidRPr="005E1EA7" w:rsidRDefault="003D69A8" w:rsidP="00420DDA">
      <w:pPr>
        <w:pStyle w:val="Paragraphedeliste"/>
        <w:numPr>
          <w:ilvl w:val="0"/>
          <w:numId w:val="167"/>
        </w:numPr>
        <w:autoSpaceDE w:val="0"/>
        <w:autoSpaceDN w:val="0"/>
        <w:adjustRightInd w:val="0"/>
        <w:ind w:left="284" w:hanging="283"/>
        <w:jc w:val="both"/>
        <w:rPr>
          <w:rFonts w:asciiTheme="minorBidi" w:hAnsiTheme="minorBidi" w:cstheme="minorBidi"/>
          <w:sz w:val="20"/>
          <w:szCs w:val="20"/>
        </w:rPr>
      </w:pPr>
      <w:r w:rsidRPr="005E1EA7">
        <w:rPr>
          <w:rFonts w:asciiTheme="minorBidi" w:hAnsiTheme="minorBidi" w:cstheme="minorBidi"/>
          <w:sz w:val="20"/>
          <w:szCs w:val="20"/>
        </w:rPr>
        <w:t>1 ml d'inoculum est déposé sur une boîte de Petri d'un diamètre de 140 mm ou sur trois boîtes de Petri d'un diamètre de 90 mm.</w:t>
      </w:r>
    </w:p>
    <w:p w14:paraId="52ACAC45" w14:textId="77777777" w:rsidR="003D69A8" w:rsidRPr="005E1EA7" w:rsidRDefault="003D69A8" w:rsidP="00420DDA">
      <w:pPr>
        <w:pStyle w:val="Paragraphedeliste"/>
        <w:numPr>
          <w:ilvl w:val="0"/>
          <w:numId w:val="167"/>
        </w:numPr>
        <w:autoSpaceDE w:val="0"/>
        <w:autoSpaceDN w:val="0"/>
        <w:adjustRightInd w:val="0"/>
        <w:ind w:left="284" w:hanging="283"/>
        <w:jc w:val="both"/>
        <w:rPr>
          <w:rFonts w:asciiTheme="minorBidi" w:hAnsiTheme="minorBidi" w:cstheme="minorBidi"/>
          <w:sz w:val="20"/>
          <w:szCs w:val="20"/>
        </w:rPr>
      </w:pPr>
      <w:r w:rsidRPr="005E1EA7">
        <w:rPr>
          <w:rFonts w:asciiTheme="minorBidi" w:hAnsiTheme="minorBidi" w:cstheme="minorBidi"/>
          <w:sz w:val="20"/>
          <w:szCs w:val="20"/>
        </w:rPr>
        <w:t>Ce critère est applicable aux produits avant qu'ils ne quittent le contrôle immédiat du fabricant, lorsque celui-ci n'est pas en mesure de démontrer, à la satisfaction de l'autorité compétente, que le produit respectera la limite de 100 ufc/g pendant toute la durée de conservation.</w:t>
      </w:r>
    </w:p>
    <w:p w14:paraId="4559C6C1" w14:textId="77777777" w:rsidR="003D69A8" w:rsidRPr="005E1EA7" w:rsidRDefault="003D69A8" w:rsidP="00420DDA">
      <w:pPr>
        <w:pStyle w:val="Paragraphedeliste"/>
        <w:numPr>
          <w:ilvl w:val="0"/>
          <w:numId w:val="167"/>
        </w:numPr>
        <w:autoSpaceDE w:val="0"/>
        <w:autoSpaceDN w:val="0"/>
        <w:adjustRightInd w:val="0"/>
        <w:ind w:left="284" w:hanging="283"/>
        <w:jc w:val="both"/>
        <w:rPr>
          <w:rFonts w:asciiTheme="minorBidi" w:hAnsiTheme="minorBidi" w:cstheme="minorBidi"/>
          <w:sz w:val="20"/>
          <w:szCs w:val="20"/>
        </w:rPr>
      </w:pPr>
      <w:r w:rsidRPr="005E1EA7">
        <w:rPr>
          <w:rFonts w:asciiTheme="minorBidi" w:hAnsiTheme="minorBidi" w:cstheme="minorBidi"/>
          <w:sz w:val="20"/>
          <w:szCs w:val="20"/>
        </w:rPr>
        <w:t>E. coli est utilisée ici comme indicateur de contamination fécale.</w:t>
      </w:r>
    </w:p>
    <w:p w14:paraId="202AC557" w14:textId="77777777" w:rsidR="003D69A8" w:rsidRPr="005E1EA7" w:rsidRDefault="003D69A8" w:rsidP="00420DDA">
      <w:pPr>
        <w:pStyle w:val="Paragraphedeliste"/>
        <w:numPr>
          <w:ilvl w:val="0"/>
          <w:numId w:val="167"/>
        </w:numPr>
        <w:autoSpaceDE w:val="0"/>
        <w:autoSpaceDN w:val="0"/>
        <w:adjustRightInd w:val="0"/>
        <w:ind w:left="284" w:hanging="283"/>
        <w:jc w:val="both"/>
        <w:rPr>
          <w:rFonts w:asciiTheme="minorBidi" w:hAnsiTheme="minorBidi" w:cstheme="minorBidi"/>
          <w:sz w:val="20"/>
          <w:szCs w:val="20"/>
        </w:rPr>
      </w:pPr>
      <w:r w:rsidRPr="005E1EA7">
        <w:rPr>
          <w:rFonts w:asciiTheme="minorBidi" w:hAnsiTheme="minorBidi" w:cstheme="minorBidi"/>
          <w:sz w:val="20"/>
          <w:szCs w:val="20"/>
        </w:rPr>
        <w:t>Chaque unité d'échantillon comprend un nombre minimal d'animaux différents conformément à la norme EN/ISO 6887-3.</w:t>
      </w:r>
    </w:p>
    <w:p w14:paraId="23E14B50" w14:textId="77777777" w:rsidR="003D69A8" w:rsidRPr="005E1EA7" w:rsidRDefault="003D69A8" w:rsidP="00420DDA">
      <w:pPr>
        <w:pStyle w:val="Paragraphedeliste"/>
        <w:numPr>
          <w:ilvl w:val="0"/>
          <w:numId w:val="167"/>
        </w:numPr>
        <w:autoSpaceDE w:val="0"/>
        <w:autoSpaceDN w:val="0"/>
        <w:adjustRightInd w:val="0"/>
        <w:ind w:left="284" w:hanging="283"/>
        <w:jc w:val="both"/>
        <w:rPr>
          <w:rFonts w:asciiTheme="minorBidi" w:hAnsiTheme="minorBidi" w:cstheme="minorBidi"/>
          <w:i/>
          <w:iCs/>
          <w:sz w:val="20"/>
          <w:szCs w:val="20"/>
        </w:rPr>
      </w:pPr>
      <w:r w:rsidRPr="005E1EA7">
        <w:rPr>
          <w:rFonts w:asciiTheme="minorBidi" w:hAnsiTheme="minorBidi" w:cstheme="minorBidi"/>
          <w:sz w:val="20"/>
          <w:szCs w:val="20"/>
        </w:rPr>
        <w:t xml:space="preserve">En particulier les espèces de poissons des familles </w:t>
      </w:r>
      <w:r w:rsidRPr="005E1EA7">
        <w:rPr>
          <w:rFonts w:asciiTheme="minorBidi" w:hAnsiTheme="minorBidi" w:cstheme="minorBidi"/>
          <w:i/>
          <w:iCs/>
          <w:sz w:val="20"/>
          <w:szCs w:val="20"/>
        </w:rPr>
        <w:t>Scombridae, Clupeidae, Engraulidae, Coryphaenidae, Pomatomidae, Scomberesocidae.</w:t>
      </w:r>
    </w:p>
    <w:p w14:paraId="1512F217" w14:textId="77777777" w:rsidR="003D69A8" w:rsidRPr="005E1EA7" w:rsidRDefault="003D69A8" w:rsidP="00420DDA">
      <w:pPr>
        <w:pStyle w:val="Paragraphedeliste"/>
        <w:numPr>
          <w:ilvl w:val="0"/>
          <w:numId w:val="167"/>
        </w:numPr>
        <w:autoSpaceDE w:val="0"/>
        <w:autoSpaceDN w:val="0"/>
        <w:adjustRightInd w:val="0"/>
        <w:ind w:left="284" w:hanging="283"/>
        <w:jc w:val="both"/>
        <w:rPr>
          <w:rFonts w:asciiTheme="minorBidi" w:hAnsiTheme="minorBidi" w:cstheme="minorBidi"/>
          <w:sz w:val="20"/>
          <w:szCs w:val="20"/>
        </w:rPr>
      </w:pPr>
      <w:r w:rsidRPr="005E1EA7">
        <w:rPr>
          <w:rFonts w:asciiTheme="minorBidi" w:hAnsiTheme="minorBidi" w:cstheme="minorBidi"/>
          <w:sz w:val="20"/>
          <w:szCs w:val="20"/>
        </w:rPr>
        <w:t>Si des échantillons uniques sont prélevés au niveau de la vente au détail, les éventuelles mesures prises s’appliquent à ce niveau pour les lots concernés.</w:t>
      </w:r>
    </w:p>
    <w:p w14:paraId="12DE0E69" w14:textId="77777777" w:rsidR="003D69A8" w:rsidRPr="005E1EA7" w:rsidRDefault="003D69A8" w:rsidP="003D69A8">
      <w:pPr>
        <w:autoSpaceDE w:val="0"/>
        <w:autoSpaceDN w:val="0"/>
        <w:adjustRightInd w:val="0"/>
        <w:jc w:val="both"/>
        <w:rPr>
          <w:rFonts w:asciiTheme="minorBidi" w:hAnsiTheme="minorBidi" w:cstheme="minorBidi"/>
          <w:b/>
          <w:sz w:val="20"/>
          <w:szCs w:val="20"/>
        </w:rPr>
      </w:pPr>
    </w:p>
    <w:p w14:paraId="6BDB9281" w14:textId="77777777" w:rsidR="003D69A8" w:rsidRPr="005E1EA7" w:rsidRDefault="003D69A8" w:rsidP="003D69A8">
      <w:pPr>
        <w:autoSpaceDE w:val="0"/>
        <w:autoSpaceDN w:val="0"/>
        <w:adjustRightInd w:val="0"/>
        <w:jc w:val="both"/>
        <w:rPr>
          <w:rFonts w:asciiTheme="minorBidi" w:hAnsiTheme="minorBidi" w:cstheme="minorBidi"/>
          <w:b/>
          <w:sz w:val="20"/>
          <w:szCs w:val="20"/>
        </w:rPr>
        <w:sectPr w:rsidR="003D69A8" w:rsidRPr="005E1EA7" w:rsidSect="003D69A8">
          <w:pgSz w:w="15840" w:h="12240" w:orient="landscape" w:code="1"/>
          <w:pgMar w:top="1417" w:right="1417" w:bottom="1417" w:left="1417" w:header="709" w:footer="709" w:gutter="0"/>
          <w:cols w:space="708"/>
          <w:docGrid w:linePitch="360"/>
        </w:sectPr>
      </w:pPr>
    </w:p>
    <w:p w14:paraId="61906030" w14:textId="77777777" w:rsidR="003D69A8" w:rsidRPr="005E1EA7" w:rsidRDefault="003D69A8" w:rsidP="003D69A8">
      <w:pPr>
        <w:pStyle w:val="Lgende"/>
        <w:jc w:val="both"/>
        <w:rPr>
          <w:rFonts w:ascii="Tahoma" w:hAnsi="Tahoma" w:cs="Tahoma"/>
        </w:rPr>
      </w:pPr>
      <w:r w:rsidRPr="005E1EA7">
        <w:rPr>
          <w:rFonts w:ascii="Tahoma" w:hAnsi="Tahoma" w:cs="Tahoma"/>
        </w:rPr>
        <w:lastRenderedPageBreak/>
        <w:t>1. INTERPRETATION DES RESULTATS DES ANALYSES</w:t>
      </w:r>
    </w:p>
    <w:p w14:paraId="7AC6FEE8" w14:textId="77777777" w:rsidR="003D69A8" w:rsidRPr="005E1EA7" w:rsidRDefault="003D69A8" w:rsidP="003D69A8">
      <w:pPr>
        <w:autoSpaceDE w:val="0"/>
        <w:autoSpaceDN w:val="0"/>
        <w:adjustRightInd w:val="0"/>
        <w:jc w:val="both"/>
        <w:rPr>
          <w:rFonts w:ascii="Tahoma" w:hAnsi="Tahoma" w:cs="Tahoma"/>
          <w:sz w:val="20"/>
          <w:szCs w:val="20"/>
        </w:rPr>
      </w:pPr>
    </w:p>
    <w:p w14:paraId="3F2DF295" w14:textId="77777777" w:rsidR="003D69A8" w:rsidRPr="005E1EA7" w:rsidRDefault="003D69A8" w:rsidP="003D69A8">
      <w:pPr>
        <w:autoSpaceDE w:val="0"/>
        <w:autoSpaceDN w:val="0"/>
        <w:adjustRightInd w:val="0"/>
        <w:jc w:val="both"/>
        <w:rPr>
          <w:rFonts w:ascii="Tahoma" w:hAnsi="Tahoma" w:cs="Tahoma"/>
          <w:sz w:val="20"/>
          <w:szCs w:val="20"/>
        </w:rPr>
      </w:pPr>
      <w:r w:rsidRPr="005E1EA7">
        <w:rPr>
          <w:rFonts w:ascii="Tahoma" w:hAnsi="Tahoma" w:cs="Tahoma"/>
          <w:sz w:val="20"/>
          <w:szCs w:val="20"/>
        </w:rPr>
        <w:t xml:space="preserve">Les limites indiquées s'appliquent à chaque unité d'échantillon analysée, </w:t>
      </w:r>
    </w:p>
    <w:p w14:paraId="60C011F9" w14:textId="77777777" w:rsidR="003D69A8" w:rsidRPr="005E1EA7" w:rsidRDefault="003D69A8" w:rsidP="003D69A8">
      <w:pPr>
        <w:autoSpaceDE w:val="0"/>
        <w:autoSpaceDN w:val="0"/>
        <w:adjustRightInd w:val="0"/>
        <w:jc w:val="both"/>
        <w:rPr>
          <w:rFonts w:ascii="Tahoma" w:hAnsi="Tahoma" w:cs="Tahoma"/>
          <w:sz w:val="20"/>
          <w:szCs w:val="20"/>
        </w:rPr>
      </w:pPr>
    </w:p>
    <w:p w14:paraId="437E611D" w14:textId="77777777" w:rsidR="003D69A8" w:rsidRPr="005E1EA7" w:rsidRDefault="003D69A8" w:rsidP="003D69A8">
      <w:pPr>
        <w:autoSpaceDE w:val="0"/>
        <w:autoSpaceDN w:val="0"/>
        <w:adjustRightInd w:val="0"/>
        <w:jc w:val="both"/>
        <w:rPr>
          <w:rFonts w:ascii="Tahoma" w:hAnsi="Tahoma" w:cs="Tahoma"/>
          <w:sz w:val="20"/>
          <w:szCs w:val="20"/>
        </w:rPr>
      </w:pPr>
      <w:r w:rsidRPr="005E1EA7">
        <w:rPr>
          <w:rFonts w:ascii="Tahoma" w:hAnsi="Tahoma" w:cs="Tahoma"/>
          <w:sz w:val="20"/>
          <w:szCs w:val="20"/>
        </w:rPr>
        <w:t>Les résultats des analyses révèlent la qualité microbiologique du lot contrôlé,</w:t>
      </w:r>
      <w:r w:rsidRPr="005E1EA7">
        <w:rPr>
          <w:rFonts w:ascii="Tahoma" w:hAnsi="Tahoma" w:cs="Tahoma"/>
          <w:sz w:val="20"/>
          <w:szCs w:val="20"/>
          <w:vertAlign w:val="superscript"/>
        </w:rPr>
        <w:t xml:space="preserve"> (1)</w:t>
      </w:r>
    </w:p>
    <w:p w14:paraId="62605F56" w14:textId="77777777" w:rsidR="003D69A8" w:rsidRPr="005E1EA7" w:rsidRDefault="003D69A8" w:rsidP="003D69A8">
      <w:pPr>
        <w:autoSpaceDE w:val="0"/>
        <w:autoSpaceDN w:val="0"/>
        <w:adjustRightInd w:val="0"/>
        <w:jc w:val="both"/>
        <w:rPr>
          <w:rFonts w:ascii="Tahoma" w:hAnsi="Tahoma" w:cs="Tahoma"/>
          <w:sz w:val="20"/>
          <w:szCs w:val="20"/>
        </w:rPr>
      </w:pPr>
    </w:p>
    <w:p w14:paraId="26366339" w14:textId="77777777" w:rsidR="003D69A8" w:rsidRPr="005E1EA7" w:rsidRDefault="003D69A8" w:rsidP="003D69A8">
      <w:pPr>
        <w:autoSpaceDE w:val="0"/>
        <w:autoSpaceDN w:val="0"/>
        <w:adjustRightInd w:val="0"/>
        <w:jc w:val="both"/>
        <w:rPr>
          <w:rFonts w:ascii="Tahoma" w:hAnsi="Tahoma" w:cs="Tahoma"/>
          <w:sz w:val="20"/>
          <w:szCs w:val="20"/>
        </w:rPr>
      </w:pPr>
      <w:r w:rsidRPr="005E1EA7">
        <w:rPr>
          <w:rFonts w:ascii="Tahoma" w:hAnsi="Tahoma" w:cs="Tahoma"/>
          <w:i/>
          <w:iCs/>
          <w:sz w:val="20"/>
          <w:szCs w:val="20"/>
        </w:rPr>
        <w:t>L. monocytogenes</w:t>
      </w:r>
      <w:r w:rsidRPr="005E1EA7">
        <w:rPr>
          <w:rFonts w:ascii="Tahoma" w:hAnsi="Tahoma" w:cs="Tahoma"/>
          <w:sz w:val="20"/>
          <w:szCs w:val="20"/>
        </w:rPr>
        <w:t xml:space="preserve"> dans les produits prêts à être consommés permettant le développement de L. monocytogenes avant que la denrée alimentaire n'ait quitté le contrôle immédiat de l'opérateur qui l'a fabriquée, lorsque celui-ci n'est pas en mesure de démontrer que ces produits ne dépasseront pas la valeur limite de 100 ufc/g pendant leur durée de conservation :</w:t>
      </w:r>
    </w:p>
    <w:p w14:paraId="0F895AA6" w14:textId="77777777" w:rsidR="003D69A8" w:rsidRPr="005E1EA7" w:rsidRDefault="003D69A8" w:rsidP="00420DDA">
      <w:pPr>
        <w:pStyle w:val="Paragraphedeliste"/>
        <w:numPr>
          <w:ilvl w:val="0"/>
          <w:numId w:val="188"/>
        </w:numPr>
        <w:autoSpaceDE w:val="0"/>
        <w:autoSpaceDN w:val="0"/>
        <w:adjustRightInd w:val="0"/>
        <w:ind w:left="709" w:hanging="425"/>
        <w:jc w:val="both"/>
        <w:rPr>
          <w:rFonts w:ascii="Tahoma" w:hAnsi="Tahoma" w:cs="Tahoma"/>
          <w:sz w:val="20"/>
          <w:szCs w:val="20"/>
        </w:rPr>
      </w:pPr>
      <w:proofErr w:type="gramStart"/>
      <w:r w:rsidRPr="005E1EA7">
        <w:rPr>
          <w:rFonts w:ascii="Tahoma" w:hAnsi="Tahoma" w:cs="Tahoma"/>
          <w:sz w:val="20"/>
          <w:szCs w:val="20"/>
        </w:rPr>
        <w:t>qualité</w:t>
      </w:r>
      <w:proofErr w:type="gramEnd"/>
      <w:r w:rsidRPr="005E1EA7">
        <w:rPr>
          <w:rFonts w:ascii="Tahoma" w:hAnsi="Tahoma" w:cs="Tahoma"/>
          <w:sz w:val="20"/>
          <w:szCs w:val="20"/>
        </w:rPr>
        <w:t xml:space="preserve"> satisfaisante lorsque toutes les valeurs observées indiquent la non détection de la bactérie,</w:t>
      </w:r>
    </w:p>
    <w:p w14:paraId="23675D16" w14:textId="77777777" w:rsidR="003D69A8" w:rsidRPr="005E1EA7" w:rsidRDefault="003D69A8" w:rsidP="00420DDA">
      <w:pPr>
        <w:pStyle w:val="Paragraphedeliste"/>
        <w:numPr>
          <w:ilvl w:val="0"/>
          <w:numId w:val="188"/>
        </w:numPr>
        <w:autoSpaceDE w:val="0"/>
        <w:autoSpaceDN w:val="0"/>
        <w:adjustRightInd w:val="0"/>
        <w:ind w:left="709" w:hanging="425"/>
        <w:jc w:val="both"/>
        <w:rPr>
          <w:rFonts w:ascii="Tahoma" w:hAnsi="Tahoma" w:cs="Tahoma"/>
          <w:sz w:val="20"/>
          <w:szCs w:val="20"/>
        </w:rPr>
      </w:pPr>
      <w:proofErr w:type="gramStart"/>
      <w:r w:rsidRPr="005E1EA7">
        <w:rPr>
          <w:rFonts w:ascii="Tahoma" w:hAnsi="Tahoma" w:cs="Tahoma"/>
          <w:sz w:val="20"/>
          <w:szCs w:val="20"/>
        </w:rPr>
        <w:t>qualité</w:t>
      </w:r>
      <w:proofErr w:type="gramEnd"/>
      <w:r w:rsidRPr="005E1EA7">
        <w:rPr>
          <w:rFonts w:ascii="Tahoma" w:hAnsi="Tahoma" w:cs="Tahoma"/>
          <w:sz w:val="20"/>
          <w:szCs w:val="20"/>
        </w:rPr>
        <w:t xml:space="preserve"> insatisfaisante lorsque la présence de la bactérie est détectée dans une unité de l'échantillon.</w:t>
      </w:r>
    </w:p>
    <w:p w14:paraId="4F6AD31B" w14:textId="77777777" w:rsidR="003D69A8" w:rsidRPr="005E1EA7" w:rsidRDefault="003D69A8" w:rsidP="003D69A8">
      <w:pPr>
        <w:autoSpaceDE w:val="0"/>
        <w:autoSpaceDN w:val="0"/>
        <w:adjustRightInd w:val="0"/>
        <w:jc w:val="both"/>
        <w:rPr>
          <w:rFonts w:ascii="Tahoma" w:hAnsi="Tahoma" w:cs="Tahoma"/>
          <w:sz w:val="20"/>
          <w:szCs w:val="20"/>
        </w:rPr>
      </w:pPr>
    </w:p>
    <w:p w14:paraId="5031A2E7" w14:textId="77777777" w:rsidR="003D69A8" w:rsidRPr="005E1EA7" w:rsidRDefault="003D69A8" w:rsidP="003D69A8">
      <w:pPr>
        <w:autoSpaceDE w:val="0"/>
        <w:autoSpaceDN w:val="0"/>
        <w:adjustRightInd w:val="0"/>
        <w:jc w:val="both"/>
        <w:rPr>
          <w:rFonts w:ascii="Tahoma" w:hAnsi="Tahoma" w:cs="Tahoma"/>
          <w:sz w:val="20"/>
          <w:szCs w:val="20"/>
        </w:rPr>
      </w:pPr>
      <w:r w:rsidRPr="005E1EA7">
        <w:rPr>
          <w:rFonts w:ascii="Tahoma" w:hAnsi="Tahoma" w:cs="Tahoma"/>
          <w:sz w:val="20"/>
          <w:szCs w:val="20"/>
        </w:rPr>
        <w:t>L. monocytogenes dans les autres produits prêts à être consommé :</w:t>
      </w:r>
    </w:p>
    <w:p w14:paraId="1B434792" w14:textId="77777777" w:rsidR="003D69A8" w:rsidRPr="005E1EA7" w:rsidRDefault="003D69A8" w:rsidP="00420DDA">
      <w:pPr>
        <w:pStyle w:val="Paragraphedeliste"/>
        <w:numPr>
          <w:ilvl w:val="0"/>
          <w:numId w:val="188"/>
        </w:numPr>
        <w:autoSpaceDE w:val="0"/>
        <w:autoSpaceDN w:val="0"/>
        <w:adjustRightInd w:val="0"/>
        <w:ind w:left="709" w:hanging="425"/>
        <w:jc w:val="both"/>
        <w:rPr>
          <w:rFonts w:ascii="Tahoma" w:hAnsi="Tahoma" w:cs="Tahoma"/>
          <w:sz w:val="20"/>
          <w:szCs w:val="20"/>
        </w:rPr>
      </w:pPr>
      <w:r w:rsidRPr="005E1EA7">
        <w:rPr>
          <w:rFonts w:ascii="Tahoma" w:hAnsi="Tahoma" w:cs="Tahoma"/>
          <w:sz w:val="20"/>
          <w:szCs w:val="20"/>
        </w:rPr>
        <w:t xml:space="preserve">qualité satisfaisante lorsque toutes les valeurs observées sont </w:t>
      </w:r>
      <w:r w:rsidRPr="005E1EA7">
        <w:rPr>
          <w:rFonts w:ascii="Tahoma" w:hAnsi="Tahoma" w:cs="Tahoma"/>
          <w:sz w:val="20"/>
          <w:szCs w:val="20"/>
        </w:rPr>
        <w:sym w:font="Symbol" w:char="F0A3"/>
      </w:r>
      <w:r w:rsidRPr="005E1EA7">
        <w:rPr>
          <w:rFonts w:ascii="Tahoma" w:hAnsi="Tahoma" w:cs="Tahoma"/>
          <w:sz w:val="20"/>
          <w:szCs w:val="20"/>
        </w:rPr>
        <w:t xml:space="preserve"> à la limite,</w:t>
      </w:r>
    </w:p>
    <w:p w14:paraId="7F1D62BC" w14:textId="77777777" w:rsidR="003D69A8" w:rsidRPr="005E1EA7" w:rsidRDefault="003D69A8" w:rsidP="00420DDA">
      <w:pPr>
        <w:pStyle w:val="Paragraphedeliste"/>
        <w:numPr>
          <w:ilvl w:val="0"/>
          <w:numId w:val="188"/>
        </w:numPr>
        <w:autoSpaceDE w:val="0"/>
        <w:autoSpaceDN w:val="0"/>
        <w:adjustRightInd w:val="0"/>
        <w:ind w:left="709" w:hanging="425"/>
        <w:jc w:val="both"/>
        <w:rPr>
          <w:rFonts w:ascii="Tahoma" w:hAnsi="Tahoma" w:cs="Tahoma"/>
          <w:sz w:val="20"/>
          <w:szCs w:val="20"/>
        </w:rPr>
      </w:pPr>
      <w:r w:rsidRPr="005E1EA7">
        <w:rPr>
          <w:rFonts w:ascii="Tahoma" w:hAnsi="Tahoma" w:cs="Tahoma"/>
          <w:sz w:val="20"/>
          <w:szCs w:val="20"/>
        </w:rPr>
        <w:t xml:space="preserve">qualité insatisfaisante lorsque l’une des valeurs est </w:t>
      </w:r>
      <w:r w:rsidRPr="005E1EA7">
        <w:rPr>
          <w:rFonts w:ascii="Tahoma" w:hAnsi="Tahoma" w:cs="Tahoma"/>
          <w:sz w:val="20"/>
          <w:szCs w:val="20"/>
        </w:rPr>
        <w:sym w:font="Symbol" w:char="F03E"/>
      </w:r>
      <w:r w:rsidRPr="005E1EA7">
        <w:rPr>
          <w:rFonts w:ascii="Tahoma" w:hAnsi="Tahoma" w:cs="Tahoma"/>
          <w:sz w:val="20"/>
          <w:szCs w:val="20"/>
        </w:rPr>
        <w:t xml:space="preserve"> à la limite.</w:t>
      </w:r>
    </w:p>
    <w:p w14:paraId="2561B711" w14:textId="77777777" w:rsidR="003D69A8" w:rsidRPr="005E1EA7" w:rsidRDefault="003D69A8" w:rsidP="003D69A8">
      <w:pPr>
        <w:autoSpaceDE w:val="0"/>
        <w:autoSpaceDN w:val="0"/>
        <w:adjustRightInd w:val="0"/>
        <w:jc w:val="both"/>
        <w:rPr>
          <w:rFonts w:ascii="Tahoma" w:hAnsi="Tahoma" w:cs="Tahoma"/>
          <w:sz w:val="20"/>
          <w:szCs w:val="20"/>
        </w:rPr>
      </w:pPr>
    </w:p>
    <w:p w14:paraId="30B8C8E4" w14:textId="77777777" w:rsidR="003D69A8" w:rsidRPr="005E1EA7" w:rsidRDefault="003D69A8" w:rsidP="003D69A8">
      <w:pPr>
        <w:autoSpaceDE w:val="0"/>
        <w:autoSpaceDN w:val="0"/>
        <w:adjustRightInd w:val="0"/>
        <w:jc w:val="both"/>
        <w:rPr>
          <w:rFonts w:ascii="Tahoma" w:hAnsi="Tahoma" w:cs="Tahoma"/>
          <w:sz w:val="20"/>
          <w:szCs w:val="20"/>
        </w:rPr>
      </w:pPr>
      <w:r w:rsidRPr="005E1EA7">
        <w:rPr>
          <w:rFonts w:ascii="Tahoma" w:hAnsi="Tahoma" w:cs="Tahoma"/>
          <w:sz w:val="20"/>
          <w:szCs w:val="20"/>
        </w:rPr>
        <w:t>E. coli dans les mollusques bivalves vivants :</w:t>
      </w:r>
    </w:p>
    <w:p w14:paraId="3BFF91C5" w14:textId="77777777" w:rsidR="003D69A8" w:rsidRPr="005E1EA7" w:rsidRDefault="003D69A8" w:rsidP="00420DDA">
      <w:pPr>
        <w:pStyle w:val="Paragraphedeliste"/>
        <w:numPr>
          <w:ilvl w:val="0"/>
          <w:numId w:val="188"/>
        </w:numPr>
        <w:autoSpaceDE w:val="0"/>
        <w:autoSpaceDN w:val="0"/>
        <w:adjustRightInd w:val="0"/>
        <w:ind w:left="709" w:hanging="425"/>
        <w:jc w:val="both"/>
        <w:rPr>
          <w:rFonts w:ascii="Tahoma" w:hAnsi="Tahoma" w:cs="Tahoma"/>
          <w:sz w:val="20"/>
          <w:szCs w:val="20"/>
        </w:rPr>
      </w:pPr>
      <w:r w:rsidRPr="005E1EA7">
        <w:rPr>
          <w:rFonts w:ascii="Tahoma" w:hAnsi="Tahoma" w:cs="Tahoma"/>
          <w:sz w:val="20"/>
          <w:szCs w:val="20"/>
        </w:rPr>
        <w:t xml:space="preserve">Qualité satisfaisante lorsque les cinq valeurs observées sont </w:t>
      </w:r>
      <w:bookmarkStart w:id="217" w:name="_Hlk199168843"/>
      <w:r w:rsidRPr="005E1EA7">
        <w:rPr>
          <w:rFonts w:ascii="Tahoma" w:hAnsi="Tahoma" w:cs="Tahoma"/>
          <w:sz w:val="20"/>
          <w:szCs w:val="20"/>
        </w:rPr>
        <w:t xml:space="preserve">≤ </w:t>
      </w:r>
      <w:bookmarkEnd w:id="217"/>
      <w:r w:rsidRPr="005E1EA7">
        <w:rPr>
          <w:rFonts w:ascii="Tahoma" w:hAnsi="Tahoma" w:cs="Tahoma"/>
          <w:sz w:val="20"/>
          <w:szCs w:val="20"/>
        </w:rPr>
        <w:t>230 NPP/100 g de chair et de liquide intravalvaire ou lorsque l'une des cinq valeurs observées est &gt; 230 NPP/100 g de chair et de liquide intravalvaire tout en étant ≤ 700 NPP/100 g de chair et de liquide intravalvaire,</w:t>
      </w:r>
    </w:p>
    <w:p w14:paraId="5687FC38" w14:textId="77777777" w:rsidR="003D69A8" w:rsidRPr="005E1EA7" w:rsidRDefault="003D69A8" w:rsidP="00420DDA">
      <w:pPr>
        <w:pStyle w:val="Paragraphedeliste"/>
        <w:numPr>
          <w:ilvl w:val="0"/>
          <w:numId w:val="188"/>
        </w:numPr>
        <w:autoSpaceDE w:val="0"/>
        <w:autoSpaceDN w:val="0"/>
        <w:adjustRightInd w:val="0"/>
        <w:ind w:left="709" w:hanging="425"/>
        <w:jc w:val="both"/>
        <w:rPr>
          <w:rFonts w:ascii="Tahoma" w:hAnsi="Tahoma" w:cs="Tahoma"/>
          <w:sz w:val="20"/>
          <w:szCs w:val="20"/>
        </w:rPr>
      </w:pPr>
      <w:proofErr w:type="gramStart"/>
      <w:r w:rsidRPr="005E1EA7">
        <w:rPr>
          <w:rFonts w:ascii="Tahoma" w:hAnsi="Tahoma" w:cs="Tahoma"/>
          <w:sz w:val="20"/>
          <w:szCs w:val="20"/>
        </w:rPr>
        <w:t>qualité</w:t>
      </w:r>
      <w:proofErr w:type="gramEnd"/>
      <w:r w:rsidRPr="005E1EA7">
        <w:rPr>
          <w:rFonts w:ascii="Tahoma" w:hAnsi="Tahoma" w:cs="Tahoma"/>
          <w:sz w:val="20"/>
          <w:szCs w:val="20"/>
        </w:rPr>
        <w:t xml:space="preserve"> insatisfaisante lorsque l'une des cinq valeurs observées est &gt; 700 NPP/100 g de chair et de liquide intravalvaire ou lorsqu'au moins deux des cinq valeurs observées sont &gt; 230 NPP/100 g de chair et de liquide intravalvaire.</w:t>
      </w:r>
    </w:p>
    <w:p w14:paraId="39E3DF63" w14:textId="77777777" w:rsidR="003D69A8" w:rsidRPr="005E1EA7" w:rsidRDefault="003D69A8" w:rsidP="003D69A8">
      <w:pPr>
        <w:autoSpaceDE w:val="0"/>
        <w:autoSpaceDN w:val="0"/>
        <w:adjustRightInd w:val="0"/>
        <w:jc w:val="both"/>
        <w:rPr>
          <w:rFonts w:ascii="Tahoma" w:hAnsi="Tahoma" w:cs="Tahoma"/>
          <w:sz w:val="20"/>
          <w:szCs w:val="20"/>
        </w:rPr>
      </w:pPr>
    </w:p>
    <w:p w14:paraId="75FDBA25" w14:textId="77777777" w:rsidR="003D69A8" w:rsidRPr="005E1EA7" w:rsidRDefault="003D69A8" w:rsidP="003D69A8">
      <w:pPr>
        <w:autoSpaceDE w:val="0"/>
        <w:autoSpaceDN w:val="0"/>
        <w:adjustRightInd w:val="0"/>
        <w:jc w:val="both"/>
        <w:rPr>
          <w:rFonts w:ascii="Tahoma" w:hAnsi="Tahoma" w:cs="Tahoma"/>
          <w:sz w:val="20"/>
          <w:szCs w:val="20"/>
        </w:rPr>
      </w:pPr>
      <w:r w:rsidRPr="005E1EA7">
        <w:rPr>
          <w:rFonts w:ascii="Tahoma" w:hAnsi="Tahoma" w:cs="Tahoma"/>
          <w:sz w:val="20"/>
          <w:szCs w:val="20"/>
        </w:rPr>
        <w:t>Salmonella dans les différentes catégories de denrées alimentaires :</w:t>
      </w:r>
    </w:p>
    <w:p w14:paraId="21DB0DD6" w14:textId="77777777" w:rsidR="003D69A8" w:rsidRPr="005E1EA7" w:rsidRDefault="003D69A8" w:rsidP="00420DDA">
      <w:pPr>
        <w:pStyle w:val="Paragraphedeliste"/>
        <w:numPr>
          <w:ilvl w:val="0"/>
          <w:numId w:val="188"/>
        </w:numPr>
        <w:autoSpaceDE w:val="0"/>
        <w:autoSpaceDN w:val="0"/>
        <w:adjustRightInd w:val="0"/>
        <w:ind w:left="709" w:hanging="425"/>
        <w:jc w:val="both"/>
        <w:rPr>
          <w:rFonts w:ascii="Tahoma" w:hAnsi="Tahoma" w:cs="Tahoma"/>
          <w:sz w:val="20"/>
          <w:szCs w:val="20"/>
        </w:rPr>
      </w:pPr>
      <w:proofErr w:type="gramStart"/>
      <w:r w:rsidRPr="005E1EA7">
        <w:rPr>
          <w:rFonts w:ascii="Tahoma" w:hAnsi="Tahoma" w:cs="Tahoma"/>
          <w:sz w:val="20"/>
          <w:szCs w:val="20"/>
        </w:rPr>
        <w:t>qualité</w:t>
      </w:r>
      <w:proofErr w:type="gramEnd"/>
      <w:r w:rsidRPr="005E1EA7">
        <w:rPr>
          <w:rFonts w:ascii="Tahoma" w:hAnsi="Tahoma" w:cs="Tahoma"/>
          <w:sz w:val="20"/>
          <w:szCs w:val="20"/>
        </w:rPr>
        <w:t xml:space="preserve"> satisfaisante lorsque toutes les valeurs observées indiquent l'absence de la bactérie,</w:t>
      </w:r>
    </w:p>
    <w:p w14:paraId="6BAE8FE6" w14:textId="77777777" w:rsidR="003D69A8" w:rsidRPr="005E1EA7" w:rsidRDefault="003D69A8" w:rsidP="00420DDA">
      <w:pPr>
        <w:pStyle w:val="Paragraphedeliste"/>
        <w:numPr>
          <w:ilvl w:val="0"/>
          <w:numId w:val="188"/>
        </w:numPr>
        <w:autoSpaceDE w:val="0"/>
        <w:autoSpaceDN w:val="0"/>
        <w:adjustRightInd w:val="0"/>
        <w:ind w:left="709" w:hanging="425"/>
        <w:jc w:val="both"/>
        <w:rPr>
          <w:rFonts w:ascii="Tahoma" w:hAnsi="Tahoma" w:cs="Tahoma"/>
          <w:sz w:val="20"/>
          <w:szCs w:val="20"/>
        </w:rPr>
      </w:pPr>
      <w:proofErr w:type="gramStart"/>
      <w:r w:rsidRPr="005E1EA7">
        <w:rPr>
          <w:rFonts w:ascii="Tahoma" w:hAnsi="Tahoma" w:cs="Tahoma"/>
          <w:sz w:val="20"/>
          <w:szCs w:val="20"/>
        </w:rPr>
        <w:t>qualité</w:t>
      </w:r>
      <w:proofErr w:type="gramEnd"/>
      <w:r w:rsidRPr="005E1EA7">
        <w:rPr>
          <w:rFonts w:ascii="Tahoma" w:hAnsi="Tahoma" w:cs="Tahoma"/>
          <w:sz w:val="20"/>
          <w:szCs w:val="20"/>
        </w:rPr>
        <w:t xml:space="preserve"> insatisfaisante lorsque la présence de la bactérie est détectée dans une unité de l'échantillon.</w:t>
      </w:r>
    </w:p>
    <w:p w14:paraId="22D35D7F" w14:textId="77777777" w:rsidR="003D69A8" w:rsidRPr="005E1EA7" w:rsidRDefault="003D69A8" w:rsidP="003D69A8">
      <w:pPr>
        <w:autoSpaceDE w:val="0"/>
        <w:autoSpaceDN w:val="0"/>
        <w:adjustRightInd w:val="0"/>
        <w:ind w:firstLine="708"/>
        <w:jc w:val="both"/>
        <w:rPr>
          <w:rFonts w:ascii="Tahoma" w:hAnsi="Tahoma" w:cs="Tahoma"/>
          <w:sz w:val="20"/>
          <w:szCs w:val="20"/>
        </w:rPr>
      </w:pPr>
    </w:p>
    <w:p w14:paraId="21B69D0B" w14:textId="77777777" w:rsidR="003D69A8" w:rsidRPr="005E1EA7" w:rsidRDefault="003D69A8" w:rsidP="003D69A8">
      <w:pPr>
        <w:autoSpaceDE w:val="0"/>
        <w:autoSpaceDN w:val="0"/>
        <w:adjustRightInd w:val="0"/>
        <w:jc w:val="both"/>
        <w:rPr>
          <w:rFonts w:ascii="Tahoma" w:hAnsi="Tahoma" w:cs="Tahoma"/>
          <w:sz w:val="20"/>
          <w:szCs w:val="20"/>
        </w:rPr>
      </w:pPr>
      <w:r w:rsidRPr="005E1EA7">
        <w:rPr>
          <w:rFonts w:ascii="Tahoma" w:hAnsi="Tahoma" w:cs="Tahoma"/>
          <w:sz w:val="20"/>
          <w:szCs w:val="20"/>
        </w:rPr>
        <w:t>Histamine dans les produits de la pêche :</w:t>
      </w:r>
    </w:p>
    <w:p w14:paraId="75B3628B" w14:textId="77777777" w:rsidR="003D69A8" w:rsidRPr="005E1EA7" w:rsidRDefault="003D69A8" w:rsidP="003D69A8">
      <w:pPr>
        <w:pStyle w:val="CM1"/>
        <w:rPr>
          <w:rFonts w:ascii="Tahoma" w:hAnsi="Tahoma" w:cs="Tahoma"/>
          <w:sz w:val="20"/>
          <w:szCs w:val="20"/>
        </w:rPr>
      </w:pPr>
    </w:p>
    <w:p w14:paraId="7DD86D7F" w14:textId="77777777" w:rsidR="003D69A8" w:rsidRPr="005E1EA7" w:rsidRDefault="003D69A8" w:rsidP="003D69A8">
      <w:pPr>
        <w:pStyle w:val="CM1"/>
        <w:rPr>
          <w:rFonts w:ascii="Tahoma" w:hAnsi="Tahoma" w:cs="Tahoma"/>
          <w:sz w:val="20"/>
          <w:szCs w:val="20"/>
        </w:rPr>
      </w:pPr>
      <w:r w:rsidRPr="005E1EA7">
        <w:rPr>
          <w:rFonts w:ascii="Tahoma" w:hAnsi="Tahoma" w:cs="Tahoma"/>
          <w:sz w:val="20"/>
          <w:szCs w:val="20"/>
        </w:rPr>
        <w:t xml:space="preserve">Histamine dans les produits de la pêche provenant d'espèces de poissons associées à une grande quantité d'histidine, sauf dans la sauce de poisson produite par fermentation de produits de la </w:t>
      </w:r>
      <w:proofErr w:type="gramStart"/>
      <w:r w:rsidRPr="005E1EA7">
        <w:rPr>
          <w:rFonts w:ascii="Tahoma" w:hAnsi="Tahoma" w:cs="Tahoma"/>
          <w:sz w:val="20"/>
          <w:szCs w:val="20"/>
        </w:rPr>
        <w:t>pêche::</w:t>
      </w:r>
      <w:proofErr w:type="gramEnd"/>
    </w:p>
    <w:p w14:paraId="72ED9CD7" w14:textId="77777777" w:rsidR="003D69A8" w:rsidRPr="005E1EA7" w:rsidRDefault="003D69A8" w:rsidP="00420DDA">
      <w:pPr>
        <w:pStyle w:val="Paragraphedeliste"/>
        <w:numPr>
          <w:ilvl w:val="0"/>
          <w:numId w:val="188"/>
        </w:numPr>
        <w:autoSpaceDE w:val="0"/>
        <w:autoSpaceDN w:val="0"/>
        <w:adjustRightInd w:val="0"/>
        <w:ind w:left="709" w:hanging="425"/>
        <w:jc w:val="both"/>
        <w:rPr>
          <w:rFonts w:ascii="Tahoma" w:hAnsi="Tahoma" w:cs="Tahoma"/>
          <w:sz w:val="20"/>
          <w:szCs w:val="20"/>
        </w:rPr>
      </w:pPr>
      <w:r w:rsidRPr="005E1EA7">
        <w:rPr>
          <w:rFonts w:ascii="Tahoma" w:hAnsi="Tahoma" w:cs="Tahoma"/>
          <w:sz w:val="20"/>
          <w:szCs w:val="20"/>
        </w:rPr>
        <w:t>Qualité satisfaisante lorsque les exigences suivantes sont remplies :</w:t>
      </w:r>
    </w:p>
    <w:p w14:paraId="20A6E01D" w14:textId="77777777" w:rsidR="003D69A8" w:rsidRPr="005E1EA7" w:rsidRDefault="003D69A8" w:rsidP="00420DDA">
      <w:pPr>
        <w:pStyle w:val="CM1"/>
        <w:numPr>
          <w:ilvl w:val="0"/>
          <w:numId w:val="183"/>
        </w:numPr>
        <w:rPr>
          <w:rFonts w:ascii="Tahoma" w:hAnsi="Tahoma" w:cs="Tahoma"/>
          <w:sz w:val="20"/>
          <w:szCs w:val="20"/>
        </w:rPr>
      </w:pPr>
      <w:proofErr w:type="gramStart"/>
      <w:r w:rsidRPr="005E1EA7">
        <w:rPr>
          <w:rFonts w:ascii="Tahoma" w:hAnsi="Tahoma" w:cs="Tahoma"/>
          <w:sz w:val="20"/>
          <w:szCs w:val="20"/>
        </w:rPr>
        <w:t>la</w:t>
      </w:r>
      <w:proofErr w:type="gramEnd"/>
      <w:r w:rsidRPr="005E1EA7">
        <w:rPr>
          <w:rFonts w:ascii="Tahoma" w:hAnsi="Tahoma" w:cs="Tahoma"/>
          <w:sz w:val="20"/>
          <w:szCs w:val="20"/>
        </w:rPr>
        <w:t xml:space="preserve"> valeur moyenne observée est inférieure ou égale à m ;</w:t>
      </w:r>
    </w:p>
    <w:p w14:paraId="3CF083B0" w14:textId="77777777" w:rsidR="003D69A8" w:rsidRPr="005E1EA7" w:rsidRDefault="003D69A8" w:rsidP="00420DDA">
      <w:pPr>
        <w:pStyle w:val="Paragraphedeliste"/>
        <w:numPr>
          <w:ilvl w:val="0"/>
          <w:numId w:val="183"/>
        </w:numPr>
        <w:autoSpaceDE w:val="0"/>
        <w:autoSpaceDN w:val="0"/>
        <w:adjustRightInd w:val="0"/>
        <w:jc w:val="both"/>
        <w:rPr>
          <w:rFonts w:ascii="Tahoma" w:hAnsi="Tahoma" w:cs="Tahoma"/>
          <w:sz w:val="20"/>
          <w:szCs w:val="20"/>
        </w:rPr>
      </w:pPr>
      <w:proofErr w:type="gramStart"/>
      <w:r w:rsidRPr="005E1EA7">
        <w:rPr>
          <w:rFonts w:ascii="Tahoma" w:hAnsi="Tahoma" w:cs="Tahoma"/>
          <w:sz w:val="20"/>
          <w:szCs w:val="20"/>
        </w:rPr>
        <w:t>un</w:t>
      </w:r>
      <w:proofErr w:type="gramEnd"/>
      <w:r w:rsidRPr="005E1EA7">
        <w:rPr>
          <w:rFonts w:ascii="Tahoma" w:hAnsi="Tahoma" w:cs="Tahoma"/>
          <w:sz w:val="20"/>
          <w:szCs w:val="20"/>
        </w:rPr>
        <w:t xml:space="preserve"> maximum de c/n valeurs se situe entre m et M ;</w:t>
      </w:r>
    </w:p>
    <w:p w14:paraId="71F8D7E4" w14:textId="77777777" w:rsidR="003D69A8" w:rsidRPr="005E1EA7" w:rsidRDefault="003D69A8" w:rsidP="00420DDA">
      <w:pPr>
        <w:pStyle w:val="Paragraphedeliste"/>
        <w:numPr>
          <w:ilvl w:val="0"/>
          <w:numId w:val="183"/>
        </w:numPr>
        <w:autoSpaceDE w:val="0"/>
        <w:autoSpaceDN w:val="0"/>
        <w:adjustRightInd w:val="0"/>
        <w:jc w:val="both"/>
        <w:rPr>
          <w:rFonts w:ascii="Tahoma" w:hAnsi="Tahoma" w:cs="Tahoma"/>
          <w:sz w:val="20"/>
          <w:szCs w:val="20"/>
        </w:rPr>
      </w:pPr>
      <w:proofErr w:type="gramStart"/>
      <w:r w:rsidRPr="005E1EA7">
        <w:rPr>
          <w:rFonts w:ascii="Tahoma" w:hAnsi="Tahoma" w:cs="Tahoma"/>
          <w:sz w:val="20"/>
          <w:szCs w:val="20"/>
        </w:rPr>
        <w:t>aucune</w:t>
      </w:r>
      <w:proofErr w:type="gramEnd"/>
      <w:r w:rsidRPr="005E1EA7">
        <w:rPr>
          <w:rFonts w:ascii="Tahoma" w:hAnsi="Tahoma" w:cs="Tahoma"/>
          <w:sz w:val="20"/>
          <w:szCs w:val="20"/>
        </w:rPr>
        <w:t xml:space="preserve"> valeur observée ne dépasse la limite de M ;</w:t>
      </w:r>
    </w:p>
    <w:p w14:paraId="727F47AD" w14:textId="77777777" w:rsidR="003D69A8" w:rsidRPr="005E1EA7" w:rsidRDefault="003D69A8" w:rsidP="003D69A8">
      <w:pPr>
        <w:autoSpaceDE w:val="0"/>
        <w:autoSpaceDN w:val="0"/>
        <w:adjustRightInd w:val="0"/>
        <w:ind w:left="708" w:firstLine="708"/>
        <w:jc w:val="both"/>
        <w:rPr>
          <w:rFonts w:ascii="Tahoma" w:hAnsi="Tahoma" w:cs="Tahoma"/>
          <w:sz w:val="20"/>
          <w:szCs w:val="20"/>
        </w:rPr>
      </w:pPr>
    </w:p>
    <w:p w14:paraId="17EDAFD0" w14:textId="77777777" w:rsidR="003D69A8" w:rsidRPr="005E1EA7" w:rsidRDefault="003D69A8" w:rsidP="00420DDA">
      <w:pPr>
        <w:pStyle w:val="Paragraphedeliste"/>
        <w:numPr>
          <w:ilvl w:val="0"/>
          <w:numId w:val="188"/>
        </w:numPr>
        <w:autoSpaceDE w:val="0"/>
        <w:autoSpaceDN w:val="0"/>
        <w:adjustRightInd w:val="0"/>
        <w:ind w:left="709" w:hanging="425"/>
        <w:jc w:val="both"/>
        <w:rPr>
          <w:rFonts w:ascii="Tahoma" w:hAnsi="Tahoma" w:cs="Tahoma"/>
          <w:sz w:val="20"/>
          <w:szCs w:val="20"/>
        </w:rPr>
      </w:pPr>
      <w:r w:rsidRPr="005E1EA7">
        <w:rPr>
          <w:rFonts w:ascii="Tahoma" w:hAnsi="Tahoma" w:cs="Tahoma"/>
          <w:sz w:val="20"/>
          <w:szCs w:val="20"/>
        </w:rPr>
        <w:t>Qualité insatisfaisante lorsque la valeur moyenne observée dépasse m, ou plus de c/n valeurs se situent entre m et M, ou lorsqu'une ou plusieurs valeurs observées sont supérieures à M.</w:t>
      </w:r>
    </w:p>
    <w:p w14:paraId="147E6AB3" w14:textId="77777777" w:rsidR="003D69A8" w:rsidRPr="005E1EA7" w:rsidRDefault="003D69A8" w:rsidP="003D69A8">
      <w:pPr>
        <w:pStyle w:val="CM1"/>
        <w:rPr>
          <w:rFonts w:ascii="Tahoma" w:hAnsi="Tahoma" w:cs="Tahoma"/>
          <w:sz w:val="20"/>
          <w:szCs w:val="20"/>
        </w:rPr>
      </w:pPr>
    </w:p>
    <w:p w14:paraId="50D007FA" w14:textId="77777777" w:rsidR="003D69A8" w:rsidRPr="005E1EA7" w:rsidRDefault="003D69A8" w:rsidP="003D69A8">
      <w:pPr>
        <w:pStyle w:val="CM1"/>
        <w:rPr>
          <w:rFonts w:ascii="Tahoma" w:hAnsi="Tahoma" w:cs="Tahoma"/>
          <w:sz w:val="20"/>
          <w:szCs w:val="20"/>
        </w:rPr>
      </w:pPr>
      <w:r w:rsidRPr="005E1EA7">
        <w:rPr>
          <w:rFonts w:ascii="Tahoma" w:hAnsi="Tahoma" w:cs="Tahoma"/>
          <w:sz w:val="20"/>
          <w:szCs w:val="20"/>
        </w:rPr>
        <w:t xml:space="preserve">Histamine dans la sauce de poisson produite par fermentation de produits de la </w:t>
      </w:r>
      <w:proofErr w:type="gramStart"/>
      <w:r w:rsidRPr="005E1EA7">
        <w:rPr>
          <w:rFonts w:ascii="Tahoma" w:hAnsi="Tahoma" w:cs="Tahoma"/>
          <w:sz w:val="20"/>
          <w:szCs w:val="20"/>
        </w:rPr>
        <w:t>pêche:</w:t>
      </w:r>
      <w:proofErr w:type="gramEnd"/>
      <w:r w:rsidRPr="005E1EA7">
        <w:rPr>
          <w:rFonts w:ascii="Tahoma" w:hAnsi="Tahoma" w:cs="Tahoma"/>
          <w:sz w:val="20"/>
          <w:szCs w:val="20"/>
        </w:rPr>
        <w:t xml:space="preserve"> </w:t>
      </w:r>
    </w:p>
    <w:p w14:paraId="57CEEF70" w14:textId="77777777" w:rsidR="003D69A8" w:rsidRPr="005E1EA7" w:rsidRDefault="003D69A8" w:rsidP="00420DDA">
      <w:pPr>
        <w:pStyle w:val="Paragraphedeliste"/>
        <w:numPr>
          <w:ilvl w:val="0"/>
          <w:numId w:val="188"/>
        </w:numPr>
        <w:autoSpaceDE w:val="0"/>
        <w:autoSpaceDN w:val="0"/>
        <w:adjustRightInd w:val="0"/>
        <w:ind w:left="709" w:hanging="425"/>
        <w:jc w:val="both"/>
        <w:rPr>
          <w:rFonts w:ascii="Tahoma" w:hAnsi="Tahoma" w:cs="Tahoma"/>
          <w:sz w:val="20"/>
          <w:szCs w:val="20"/>
        </w:rPr>
      </w:pPr>
      <w:proofErr w:type="gramStart"/>
      <w:r w:rsidRPr="005E1EA7">
        <w:rPr>
          <w:rFonts w:ascii="Tahoma" w:hAnsi="Tahoma" w:cs="Tahoma"/>
          <w:sz w:val="20"/>
          <w:szCs w:val="20"/>
        </w:rPr>
        <w:t>qualité</w:t>
      </w:r>
      <w:proofErr w:type="gramEnd"/>
      <w:r w:rsidRPr="005E1EA7">
        <w:rPr>
          <w:rFonts w:ascii="Tahoma" w:hAnsi="Tahoma" w:cs="Tahoma"/>
          <w:sz w:val="20"/>
          <w:szCs w:val="20"/>
        </w:rPr>
        <w:t xml:space="preserve"> satisfaisante lorsque la valeur observée est inférieure ou égale à la limite, </w:t>
      </w:r>
    </w:p>
    <w:p w14:paraId="38C491ED" w14:textId="77777777" w:rsidR="003D69A8" w:rsidRPr="005E1EA7" w:rsidRDefault="003D69A8" w:rsidP="00420DDA">
      <w:pPr>
        <w:pStyle w:val="Paragraphedeliste"/>
        <w:numPr>
          <w:ilvl w:val="0"/>
          <w:numId w:val="188"/>
        </w:numPr>
        <w:autoSpaceDE w:val="0"/>
        <w:autoSpaceDN w:val="0"/>
        <w:adjustRightInd w:val="0"/>
        <w:ind w:left="709" w:hanging="425"/>
        <w:jc w:val="both"/>
        <w:rPr>
          <w:rFonts w:ascii="Tahoma" w:hAnsi="Tahoma" w:cs="Tahoma"/>
          <w:sz w:val="20"/>
          <w:szCs w:val="20"/>
        </w:rPr>
      </w:pPr>
      <w:proofErr w:type="gramStart"/>
      <w:r w:rsidRPr="005E1EA7">
        <w:rPr>
          <w:rFonts w:ascii="Tahoma" w:hAnsi="Tahoma" w:cs="Tahoma"/>
          <w:sz w:val="20"/>
          <w:szCs w:val="20"/>
        </w:rPr>
        <w:t>qualité</w:t>
      </w:r>
      <w:proofErr w:type="gramEnd"/>
      <w:r w:rsidRPr="005E1EA7">
        <w:rPr>
          <w:rFonts w:ascii="Tahoma" w:hAnsi="Tahoma" w:cs="Tahoma"/>
          <w:sz w:val="20"/>
          <w:szCs w:val="20"/>
        </w:rPr>
        <w:t xml:space="preserve"> insatisfaisante lorsque la valeur observée est supérieure à la limite.</w:t>
      </w:r>
    </w:p>
    <w:p w14:paraId="681EFCB3" w14:textId="77777777" w:rsidR="003D69A8" w:rsidRPr="005E1EA7" w:rsidRDefault="003D69A8" w:rsidP="003D69A8">
      <w:pPr>
        <w:autoSpaceDE w:val="0"/>
        <w:autoSpaceDN w:val="0"/>
        <w:adjustRightInd w:val="0"/>
        <w:ind w:left="1080" w:hanging="360"/>
        <w:jc w:val="both"/>
        <w:rPr>
          <w:rFonts w:ascii="Tahoma" w:hAnsi="Tahoma" w:cs="Tahoma"/>
          <w:sz w:val="20"/>
          <w:szCs w:val="20"/>
        </w:rPr>
      </w:pPr>
    </w:p>
    <w:p w14:paraId="07D1436F" w14:textId="77777777" w:rsidR="003D69A8" w:rsidRPr="005E1EA7" w:rsidRDefault="003D69A8" w:rsidP="003D69A8">
      <w:pPr>
        <w:autoSpaceDE w:val="0"/>
        <w:autoSpaceDN w:val="0"/>
        <w:adjustRightInd w:val="0"/>
        <w:jc w:val="center"/>
        <w:rPr>
          <w:rFonts w:ascii="Tahoma" w:hAnsi="Tahoma" w:cs="Tahoma"/>
          <w:b/>
          <w:bCs/>
          <w:sz w:val="20"/>
          <w:szCs w:val="20"/>
        </w:rPr>
      </w:pPr>
      <w:r w:rsidRPr="005E1EA7">
        <w:rPr>
          <w:rFonts w:ascii="Tahoma" w:hAnsi="Tahoma" w:cs="Tahoma"/>
          <w:b/>
          <w:bCs/>
          <w:sz w:val="20"/>
          <w:szCs w:val="20"/>
        </w:rPr>
        <w:t>CHAPITRE II - CRITERES D’HYGIENE DES PROCEDES</w:t>
      </w:r>
    </w:p>
    <w:p w14:paraId="0214BC17" w14:textId="77777777" w:rsidR="003D69A8" w:rsidRPr="005E1EA7" w:rsidRDefault="003D69A8" w:rsidP="003D69A8">
      <w:pPr>
        <w:autoSpaceDE w:val="0"/>
        <w:autoSpaceDN w:val="0"/>
        <w:adjustRightInd w:val="0"/>
        <w:jc w:val="both"/>
        <w:rPr>
          <w:rFonts w:ascii="Tahoma" w:hAnsi="Tahoma" w:cs="Tahoma"/>
          <w:sz w:val="20"/>
          <w:szCs w:val="20"/>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96"/>
        <w:gridCol w:w="1418"/>
        <w:gridCol w:w="567"/>
        <w:gridCol w:w="567"/>
        <w:gridCol w:w="850"/>
        <w:gridCol w:w="851"/>
        <w:gridCol w:w="1417"/>
        <w:gridCol w:w="1134"/>
        <w:gridCol w:w="1701"/>
      </w:tblGrid>
      <w:tr w:rsidR="003D69A8" w:rsidRPr="005E1EA7" w14:paraId="5168CD2D" w14:textId="77777777" w:rsidTr="006365F0">
        <w:trPr>
          <w:cantSplit/>
          <w:trHeight w:val="394"/>
          <w:jc w:val="center"/>
        </w:trPr>
        <w:tc>
          <w:tcPr>
            <w:tcW w:w="1696" w:type="dxa"/>
            <w:vMerge w:val="restart"/>
            <w:tcBorders>
              <w:left w:val="single" w:sz="4" w:space="0" w:color="auto"/>
              <w:bottom w:val="single" w:sz="4" w:space="0" w:color="auto"/>
            </w:tcBorders>
            <w:vAlign w:val="center"/>
          </w:tcPr>
          <w:p w14:paraId="70806BC2" w14:textId="77777777" w:rsidR="003D69A8" w:rsidRPr="005E1EA7" w:rsidRDefault="003D69A8" w:rsidP="006365F0">
            <w:pPr>
              <w:autoSpaceDE w:val="0"/>
              <w:autoSpaceDN w:val="0"/>
              <w:adjustRightInd w:val="0"/>
              <w:jc w:val="center"/>
              <w:rPr>
                <w:rFonts w:ascii="Tahoma" w:hAnsi="Tahoma" w:cs="Tahoma"/>
                <w:sz w:val="20"/>
                <w:szCs w:val="20"/>
              </w:rPr>
            </w:pPr>
            <w:r w:rsidRPr="005E1EA7">
              <w:rPr>
                <w:rFonts w:ascii="Tahoma" w:hAnsi="Tahoma" w:cs="Tahoma"/>
                <w:sz w:val="20"/>
                <w:szCs w:val="20"/>
              </w:rPr>
              <w:t>Catégorie de denrées alimentaires</w:t>
            </w:r>
          </w:p>
        </w:tc>
        <w:tc>
          <w:tcPr>
            <w:tcW w:w="1418" w:type="dxa"/>
            <w:vMerge w:val="restart"/>
            <w:tcBorders>
              <w:bottom w:val="single" w:sz="4" w:space="0" w:color="auto"/>
            </w:tcBorders>
            <w:vAlign w:val="center"/>
          </w:tcPr>
          <w:p w14:paraId="09B2F488" w14:textId="77777777" w:rsidR="003D69A8" w:rsidRPr="005E1EA7" w:rsidRDefault="003D69A8" w:rsidP="006365F0">
            <w:pPr>
              <w:autoSpaceDE w:val="0"/>
              <w:autoSpaceDN w:val="0"/>
              <w:adjustRightInd w:val="0"/>
              <w:jc w:val="center"/>
              <w:rPr>
                <w:rFonts w:ascii="Tahoma" w:hAnsi="Tahoma" w:cs="Tahoma"/>
                <w:sz w:val="20"/>
                <w:szCs w:val="20"/>
              </w:rPr>
            </w:pPr>
            <w:r w:rsidRPr="005E1EA7">
              <w:rPr>
                <w:rFonts w:ascii="Tahoma" w:hAnsi="Tahoma" w:cs="Tahoma"/>
                <w:sz w:val="20"/>
                <w:szCs w:val="20"/>
              </w:rPr>
              <w:t>Microorganismes</w:t>
            </w:r>
          </w:p>
        </w:tc>
        <w:tc>
          <w:tcPr>
            <w:tcW w:w="1134" w:type="dxa"/>
            <w:gridSpan w:val="2"/>
            <w:tcBorders>
              <w:bottom w:val="single" w:sz="4" w:space="0" w:color="auto"/>
            </w:tcBorders>
            <w:vAlign w:val="center"/>
          </w:tcPr>
          <w:p w14:paraId="315BC3F9" w14:textId="77777777" w:rsidR="003D69A8" w:rsidRPr="005E1EA7" w:rsidRDefault="003D69A8" w:rsidP="006365F0">
            <w:pPr>
              <w:autoSpaceDE w:val="0"/>
              <w:autoSpaceDN w:val="0"/>
              <w:adjustRightInd w:val="0"/>
              <w:jc w:val="center"/>
              <w:rPr>
                <w:rFonts w:ascii="Tahoma" w:hAnsi="Tahoma" w:cs="Tahoma"/>
                <w:sz w:val="20"/>
                <w:szCs w:val="20"/>
              </w:rPr>
            </w:pPr>
            <w:r w:rsidRPr="005E1EA7">
              <w:rPr>
                <w:rFonts w:ascii="Tahoma" w:hAnsi="Tahoma" w:cs="Tahoma"/>
                <w:sz w:val="20"/>
                <w:szCs w:val="20"/>
              </w:rPr>
              <w:t xml:space="preserve">Plans d’échantillonnage </w:t>
            </w:r>
            <w:r w:rsidRPr="005E1EA7">
              <w:rPr>
                <w:rFonts w:ascii="Tahoma" w:hAnsi="Tahoma" w:cs="Tahoma"/>
                <w:sz w:val="20"/>
                <w:szCs w:val="20"/>
                <w:vertAlign w:val="superscript"/>
              </w:rPr>
              <w:t>(1)</w:t>
            </w:r>
          </w:p>
        </w:tc>
        <w:tc>
          <w:tcPr>
            <w:tcW w:w="1701" w:type="dxa"/>
            <w:gridSpan w:val="2"/>
            <w:tcBorders>
              <w:bottom w:val="single" w:sz="4" w:space="0" w:color="auto"/>
            </w:tcBorders>
            <w:vAlign w:val="center"/>
          </w:tcPr>
          <w:p w14:paraId="2879F4A3" w14:textId="77777777" w:rsidR="003D69A8" w:rsidRPr="005E1EA7" w:rsidRDefault="003D69A8" w:rsidP="006365F0">
            <w:pPr>
              <w:autoSpaceDE w:val="0"/>
              <w:autoSpaceDN w:val="0"/>
              <w:adjustRightInd w:val="0"/>
              <w:jc w:val="center"/>
              <w:rPr>
                <w:rFonts w:ascii="Tahoma" w:hAnsi="Tahoma" w:cs="Tahoma"/>
                <w:sz w:val="20"/>
                <w:szCs w:val="20"/>
              </w:rPr>
            </w:pPr>
            <w:r w:rsidRPr="005E1EA7">
              <w:rPr>
                <w:rFonts w:ascii="Tahoma" w:hAnsi="Tahoma" w:cs="Tahoma"/>
                <w:sz w:val="20"/>
                <w:szCs w:val="20"/>
              </w:rPr>
              <w:t>Limites</w:t>
            </w:r>
          </w:p>
        </w:tc>
        <w:tc>
          <w:tcPr>
            <w:tcW w:w="1417" w:type="dxa"/>
            <w:vMerge w:val="restart"/>
            <w:tcBorders>
              <w:bottom w:val="single" w:sz="4" w:space="0" w:color="auto"/>
            </w:tcBorders>
            <w:vAlign w:val="center"/>
          </w:tcPr>
          <w:p w14:paraId="69AAC823" w14:textId="77777777" w:rsidR="003D69A8" w:rsidRPr="005E1EA7" w:rsidRDefault="003D69A8" w:rsidP="006365F0">
            <w:pPr>
              <w:autoSpaceDE w:val="0"/>
              <w:autoSpaceDN w:val="0"/>
              <w:adjustRightInd w:val="0"/>
              <w:jc w:val="center"/>
              <w:rPr>
                <w:rFonts w:ascii="Tahoma" w:hAnsi="Tahoma" w:cs="Tahoma"/>
                <w:sz w:val="20"/>
                <w:szCs w:val="20"/>
              </w:rPr>
            </w:pPr>
            <w:r w:rsidRPr="005E1EA7">
              <w:rPr>
                <w:rFonts w:ascii="Tahoma" w:hAnsi="Tahoma" w:cs="Tahoma"/>
                <w:sz w:val="20"/>
                <w:szCs w:val="20"/>
              </w:rPr>
              <w:t xml:space="preserve">Méthode d’analyse de référence </w:t>
            </w:r>
            <w:r w:rsidRPr="005E1EA7">
              <w:rPr>
                <w:rFonts w:ascii="Tahoma" w:hAnsi="Tahoma" w:cs="Tahoma"/>
                <w:sz w:val="20"/>
                <w:szCs w:val="20"/>
                <w:vertAlign w:val="superscript"/>
              </w:rPr>
              <w:t>(2)</w:t>
            </w:r>
          </w:p>
        </w:tc>
        <w:tc>
          <w:tcPr>
            <w:tcW w:w="1134" w:type="dxa"/>
            <w:vMerge w:val="restart"/>
            <w:vAlign w:val="center"/>
          </w:tcPr>
          <w:p w14:paraId="57CCC606" w14:textId="77777777" w:rsidR="003D69A8" w:rsidRPr="005E1EA7" w:rsidRDefault="003D69A8" w:rsidP="006365F0">
            <w:pPr>
              <w:autoSpaceDE w:val="0"/>
              <w:autoSpaceDN w:val="0"/>
              <w:adjustRightInd w:val="0"/>
              <w:jc w:val="center"/>
              <w:rPr>
                <w:rFonts w:ascii="Tahoma" w:hAnsi="Tahoma" w:cs="Tahoma"/>
                <w:sz w:val="20"/>
                <w:szCs w:val="20"/>
              </w:rPr>
            </w:pPr>
            <w:r w:rsidRPr="005E1EA7">
              <w:rPr>
                <w:rFonts w:ascii="Tahoma" w:hAnsi="Tahoma" w:cs="Tahoma"/>
                <w:sz w:val="20"/>
                <w:szCs w:val="20"/>
              </w:rPr>
              <w:t>Stade d’application</w:t>
            </w:r>
          </w:p>
          <w:p w14:paraId="65D5AFD1" w14:textId="77777777" w:rsidR="003D69A8" w:rsidRPr="005E1EA7" w:rsidRDefault="003D69A8" w:rsidP="006365F0">
            <w:pPr>
              <w:autoSpaceDE w:val="0"/>
              <w:autoSpaceDN w:val="0"/>
              <w:adjustRightInd w:val="0"/>
              <w:jc w:val="center"/>
              <w:rPr>
                <w:rFonts w:ascii="Tahoma" w:hAnsi="Tahoma" w:cs="Tahoma"/>
                <w:sz w:val="20"/>
                <w:szCs w:val="20"/>
              </w:rPr>
            </w:pPr>
            <w:r w:rsidRPr="005E1EA7">
              <w:rPr>
                <w:rFonts w:ascii="Tahoma" w:hAnsi="Tahoma" w:cs="Tahoma"/>
                <w:sz w:val="20"/>
                <w:szCs w:val="20"/>
              </w:rPr>
              <w:t>du critère</w:t>
            </w:r>
          </w:p>
        </w:tc>
        <w:tc>
          <w:tcPr>
            <w:tcW w:w="1701" w:type="dxa"/>
            <w:vMerge w:val="restart"/>
            <w:tcBorders>
              <w:right w:val="single" w:sz="4" w:space="0" w:color="auto"/>
            </w:tcBorders>
            <w:vAlign w:val="center"/>
          </w:tcPr>
          <w:p w14:paraId="51C6C462" w14:textId="77777777" w:rsidR="003D69A8" w:rsidRPr="005E1EA7" w:rsidRDefault="003D69A8" w:rsidP="006365F0">
            <w:pPr>
              <w:autoSpaceDE w:val="0"/>
              <w:autoSpaceDN w:val="0"/>
              <w:adjustRightInd w:val="0"/>
              <w:jc w:val="center"/>
              <w:rPr>
                <w:rFonts w:ascii="Tahoma" w:hAnsi="Tahoma" w:cs="Tahoma"/>
                <w:sz w:val="20"/>
                <w:szCs w:val="20"/>
              </w:rPr>
            </w:pPr>
            <w:r w:rsidRPr="005E1EA7">
              <w:rPr>
                <w:rFonts w:ascii="Tahoma" w:hAnsi="Tahoma" w:cs="Tahoma"/>
                <w:sz w:val="20"/>
                <w:szCs w:val="20"/>
              </w:rPr>
              <w:t>Action en cas de résultats insatisfaisants</w:t>
            </w:r>
          </w:p>
        </w:tc>
      </w:tr>
      <w:tr w:rsidR="003D69A8" w:rsidRPr="005E1EA7" w14:paraId="19EE94AE" w14:textId="77777777" w:rsidTr="006365F0">
        <w:trPr>
          <w:cantSplit/>
          <w:trHeight w:val="104"/>
          <w:jc w:val="center"/>
        </w:trPr>
        <w:tc>
          <w:tcPr>
            <w:tcW w:w="1696" w:type="dxa"/>
            <w:vMerge/>
            <w:tcBorders>
              <w:left w:val="single" w:sz="4" w:space="0" w:color="auto"/>
              <w:bottom w:val="single" w:sz="4" w:space="0" w:color="auto"/>
            </w:tcBorders>
          </w:tcPr>
          <w:p w14:paraId="3C940E91" w14:textId="77777777" w:rsidR="003D69A8" w:rsidRPr="005E1EA7" w:rsidRDefault="003D69A8" w:rsidP="006365F0">
            <w:pPr>
              <w:autoSpaceDE w:val="0"/>
              <w:autoSpaceDN w:val="0"/>
              <w:adjustRightInd w:val="0"/>
              <w:jc w:val="both"/>
              <w:rPr>
                <w:rFonts w:ascii="Tahoma" w:hAnsi="Tahoma" w:cs="Tahoma"/>
                <w:sz w:val="20"/>
                <w:szCs w:val="20"/>
              </w:rPr>
            </w:pPr>
          </w:p>
        </w:tc>
        <w:tc>
          <w:tcPr>
            <w:tcW w:w="1418" w:type="dxa"/>
            <w:vMerge/>
            <w:tcBorders>
              <w:bottom w:val="single" w:sz="4" w:space="0" w:color="auto"/>
            </w:tcBorders>
          </w:tcPr>
          <w:p w14:paraId="16FF94A3" w14:textId="77777777" w:rsidR="003D69A8" w:rsidRPr="005E1EA7" w:rsidRDefault="003D69A8" w:rsidP="006365F0">
            <w:pPr>
              <w:autoSpaceDE w:val="0"/>
              <w:autoSpaceDN w:val="0"/>
              <w:adjustRightInd w:val="0"/>
              <w:jc w:val="both"/>
              <w:rPr>
                <w:rFonts w:ascii="Tahoma" w:hAnsi="Tahoma" w:cs="Tahoma"/>
                <w:sz w:val="20"/>
                <w:szCs w:val="20"/>
              </w:rPr>
            </w:pPr>
          </w:p>
        </w:tc>
        <w:tc>
          <w:tcPr>
            <w:tcW w:w="567" w:type="dxa"/>
            <w:tcBorders>
              <w:bottom w:val="single" w:sz="4" w:space="0" w:color="auto"/>
            </w:tcBorders>
            <w:vAlign w:val="center"/>
          </w:tcPr>
          <w:p w14:paraId="65F60163" w14:textId="77777777" w:rsidR="003D69A8" w:rsidRPr="005E1EA7" w:rsidRDefault="003D69A8" w:rsidP="006365F0">
            <w:pPr>
              <w:autoSpaceDE w:val="0"/>
              <w:autoSpaceDN w:val="0"/>
              <w:adjustRightInd w:val="0"/>
              <w:jc w:val="center"/>
              <w:rPr>
                <w:rFonts w:ascii="Tahoma" w:hAnsi="Tahoma" w:cs="Tahoma"/>
                <w:sz w:val="20"/>
                <w:szCs w:val="20"/>
              </w:rPr>
            </w:pPr>
            <w:r w:rsidRPr="005E1EA7">
              <w:rPr>
                <w:rFonts w:ascii="Tahoma" w:hAnsi="Tahoma" w:cs="Tahoma"/>
                <w:sz w:val="20"/>
                <w:szCs w:val="20"/>
              </w:rPr>
              <w:t>n</w:t>
            </w:r>
          </w:p>
        </w:tc>
        <w:tc>
          <w:tcPr>
            <w:tcW w:w="567" w:type="dxa"/>
            <w:tcBorders>
              <w:bottom w:val="single" w:sz="4" w:space="0" w:color="auto"/>
            </w:tcBorders>
            <w:vAlign w:val="center"/>
          </w:tcPr>
          <w:p w14:paraId="29A01A71" w14:textId="77777777" w:rsidR="003D69A8" w:rsidRPr="005E1EA7" w:rsidRDefault="003D69A8" w:rsidP="006365F0">
            <w:pPr>
              <w:autoSpaceDE w:val="0"/>
              <w:autoSpaceDN w:val="0"/>
              <w:adjustRightInd w:val="0"/>
              <w:jc w:val="center"/>
              <w:rPr>
                <w:rFonts w:ascii="Tahoma" w:hAnsi="Tahoma" w:cs="Tahoma"/>
                <w:sz w:val="20"/>
                <w:szCs w:val="20"/>
              </w:rPr>
            </w:pPr>
            <w:r w:rsidRPr="005E1EA7">
              <w:rPr>
                <w:rFonts w:ascii="Tahoma" w:hAnsi="Tahoma" w:cs="Tahoma"/>
                <w:sz w:val="20"/>
                <w:szCs w:val="20"/>
              </w:rPr>
              <w:t>c</w:t>
            </w:r>
          </w:p>
        </w:tc>
        <w:tc>
          <w:tcPr>
            <w:tcW w:w="850" w:type="dxa"/>
            <w:tcBorders>
              <w:bottom w:val="single" w:sz="4" w:space="0" w:color="auto"/>
            </w:tcBorders>
            <w:vAlign w:val="center"/>
          </w:tcPr>
          <w:p w14:paraId="7E2334F8" w14:textId="77777777" w:rsidR="003D69A8" w:rsidRPr="005E1EA7" w:rsidRDefault="003D69A8" w:rsidP="006365F0">
            <w:pPr>
              <w:autoSpaceDE w:val="0"/>
              <w:autoSpaceDN w:val="0"/>
              <w:adjustRightInd w:val="0"/>
              <w:jc w:val="center"/>
              <w:rPr>
                <w:rFonts w:ascii="Tahoma" w:hAnsi="Tahoma" w:cs="Tahoma"/>
                <w:sz w:val="20"/>
                <w:szCs w:val="20"/>
              </w:rPr>
            </w:pPr>
            <w:r w:rsidRPr="005E1EA7">
              <w:rPr>
                <w:rFonts w:ascii="Tahoma" w:hAnsi="Tahoma" w:cs="Tahoma"/>
                <w:sz w:val="20"/>
                <w:szCs w:val="20"/>
              </w:rPr>
              <w:t>m</w:t>
            </w:r>
          </w:p>
        </w:tc>
        <w:tc>
          <w:tcPr>
            <w:tcW w:w="851" w:type="dxa"/>
            <w:tcBorders>
              <w:bottom w:val="single" w:sz="4" w:space="0" w:color="auto"/>
            </w:tcBorders>
            <w:vAlign w:val="center"/>
          </w:tcPr>
          <w:p w14:paraId="27B3F8B8" w14:textId="77777777" w:rsidR="003D69A8" w:rsidRPr="005E1EA7" w:rsidRDefault="003D69A8" w:rsidP="006365F0">
            <w:pPr>
              <w:autoSpaceDE w:val="0"/>
              <w:autoSpaceDN w:val="0"/>
              <w:adjustRightInd w:val="0"/>
              <w:jc w:val="center"/>
              <w:rPr>
                <w:rFonts w:ascii="Tahoma" w:hAnsi="Tahoma" w:cs="Tahoma"/>
                <w:sz w:val="20"/>
                <w:szCs w:val="20"/>
              </w:rPr>
            </w:pPr>
            <w:r w:rsidRPr="005E1EA7">
              <w:rPr>
                <w:rFonts w:ascii="Tahoma" w:hAnsi="Tahoma" w:cs="Tahoma"/>
                <w:sz w:val="20"/>
                <w:szCs w:val="20"/>
              </w:rPr>
              <w:t>M</w:t>
            </w:r>
          </w:p>
        </w:tc>
        <w:tc>
          <w:tcPr>
            <w:tcW w:w="1417" w:type="dxa"/>
            <w:vMerge/>
            <w:tcBorders>
              <w:bottom w:val="single" w:sz="4" w:space="0" w:color="auto"/>
            </w:tcBorders>
            <w:vAlign w:val="center"/>
          </w:tcPr>
          <w:p w14:paraId="3E59709A" w14:textId="77777777" w:rsidR="003D69A8" w:rsidRPr="005E1EA7" w:rsidRDefault="003D69A8" w:rsidP="006365F0">
            <w:pPr>
              <w:autoSpaceDE w:val="0"/>
              <w:autoSpaceDN w:val="0"/>
              <w:adjustRightInd w:val="0"/>
              <w:jc w:val="center"/>
              <w:rPr>
                <w:rFonts w:ascii="Tahoma" w:hAnsi="Tahoma" w:cs="Tahoma"/>
                <w:sz w:val="20"/>
                <w:szCs w:val="20"/>
              </w:rPr>
            </w:pPr>
          </w:p>
        </w:tc>
        <w:tc>
          <w:tcPr>
            <w:tcW w:w="1134" w:type="dxa"/>
            <w:vMerge/>
            <w:tcBorders>
              <w:bottom w:val="single" w:sz="4" w:space="0" w:color="auto"/>
            </w:tcBorders>
            <w:vAlign w:val="center"/>
          </w:tcPr>
          <w:p w14:paraId="0841A1E9" w14:textId="77777777" w:rsidR="003D69A8" w:rsidRPr="005E1EA7" w:rsidRDefault="003D69A8" w:rsidP="006365F0">
            <w:pPr>
              <w:autoSpaceDE w:val="0"/>
              <w:autoSpaceDN w:val="0"/>
              <w:adjustRightInd w:val="0"/>
              <w:jc w:val="center"/>
              <w:rPr>
                <w:rFonts w:ascii="Tahoma" w:hAnsi="Tahoma" w:cs="Tahoma"/>
                <w:sz w:val="20"/>
                <w:szCs w:val="20"/>
              </w:rPr>
            </w:pPr>
          </w:p>
        </w:tc>
        <w:tc>
          <w:tcPr>
            <w:tcW w:w="1701" w:type="dxa"/>
            <w:vMerge/>
            <w:tcBorders>
              <w:bottom w:val="single" w:sz="4" w:space="0" w:color="auto"/>
              <w:right w:val="single" w:sz="4" w:space="0" w:color="auto"/>
            </w:tcBorders>
            <w:vAlign w:val="center"/>
          </w:tcPr>
          <w:p w14:paraId="58ED1294" w14:textId="77777777" w:rsidR="003D69A8" w:rsidRPr="005E1EA7" w:rsidRDefault="003D69A8" w:rsidP="006365F0">
            <w:pPr>
              <w:autoSpaceDE w:val="0"/>
              <w:autoSpaceDN w:val="0"/>
              <w:adjustRightInd w:val="0"/>
              <w:jc w:val="center"/>
              <w:rPr>
                <w:rFonts w:ascii="Tahoma" w:hAnsi="Tahoma" w:cs="Tahoma"/>
                <w:sz w:val="20"/>
                <w:szCs w:val="20"/>
              </w:rPr>
            </w:pPr>
          </w:p>
        </w:tc>
      </w:tr>
      <w:tr w:rsidR="003D69A8" w:rsidRPr="005E1EA7" w14:paraId="7BF465A9" w14:textId="77777777" w:rsidTr="006365F0">
        <w:trPr>
          <w:cantSplit/>
          <w:trHeight w:val="750"/>
          <w:jc w:val="center"/>
        </w:trPr>
        <w:tc>
          <w:tcPr>
            <w:tcW w:w="1696" w:type="dxa"/>
            <w:vMerge w:val="restart"/>
            <w:tcBorders>
              <w:left w:val="single" w:sz="4" w:space="0" w:color="auto"/>
            </w:tcBorders>
            <w:vAlign w:val="center"/>
          </w:tcPr>
          <w:p w14:paraId="70CA93AD" w14:textId="77777777" w:rsidR="003D69A8" w:rsidRPr="005E1EA7" w:rsidRDefault="003D69A8" w:rsidP="006365F0">
            <w:pPr>
              <w:autoSpaceDE w:val="0"/>
              <w:autoSpaceDN w:val="0"/>
              <w:adjustRightInd w:val="0"/>
              <w:rPr>
                <w:rFonts w:ascii="Tahoma" w:hAnsi="Tahoma" w:cs="Tahoma"/>
                <w:sz w:val="20"/>
                <w:szCs w:val="20"/>
              </w:rPr>
            </w:pPr>
            <w:bookmarkStart w:id="218" w:name="_Hlk199170204"/>
            <w:r w:rsidRPr="005E1EA7">
              <w:rPr>
                <w:rFonts w:ascii="Tahoma" w:hAnsi="Tahoma" w:cs="Tahoma"/>
                <w:sz w:val="20"/>
                <w:szCs w:val="20"/>
              </w:rPr>
              <w:t xml:space="preserve">Produits décortiqués et décoquillés de </w:t>
            </w:r>
            <w:r w:rsidRPr="005E1EA7">
              <w:rPr>
                <w:rFonts w:ascii="Tahoma" w:hAnsi="Tahoma" w:cs="Tahoma"/>
                <w:sz w:val="20"/>
                <w:szCs w:val="20"/>
              </w:rPr>
              <w:lastRenderedPageBreak/>
              <w:t>crustacés et de mollusques cuits</w:t>
            </w:r>
          </w:p>
        </w:tc>
        <w:tc>
          <w:tcPr>
            <w:tcW w:w="1418" w:type="dxa"/>
            <w:tcBorders>
              <w:bottom w:val="single" w:sz="4" w:space="0" w:color="auto"/>
            </w:tcBorders>
            <w:vAlign w:val="center"/>
          </w:tcPr>
          <w:p w14:paraId="26904418" w14:textId="77777777" w:rsidR="003D69A8" w:rsidRPr="005E1EA7" w:rsidRDefault="003D69A8" w:rsidP="006365F0">
            <w:pPr>
              <w:autoSpaceDE w:val="0"/>
              <w:autoSpaceDN w:val="0"/>
              <w:adjustRightInd w:val="0"/>
              <w:rPr>
                <w:rFonts w:ascii="Tahoma" w:hAnsi="Tahoma" w:cs="Tahoma"/>
                <w:i/>
                <w:iCs/>
                <w:sz w:val="20"/>
                <w:szCs w:val="20"/>
              </w:rPr>
            </w:pPr>
            <w:r w:rsidRPr="005E1EA7">
              <w:rPr>
                <w:rFonts w:ascii="Tahoma" w:hAnsi="Tahoma" w:cs="Tahoma"/>
                <w:i/>
                <w:iCs/>
                <w:sz w:val="20"/>
                <w:szCs w:val="20"/>
              </w:rPr>
              <w:lastRenderedPageBreak/>
              <w:t>E. coli</w:t>
            </w:r>
          </w:p>
        </w:tc>
        <w:tc>
          <w:tcPr>
            <w:tcW w:w="567" w:type="dxa"/>
            <w:tcBorders>
              <w:bottom w:val="single" w:sz="4" w:space="0" w:color="auto"/>
            </w:tcBorders>
            <w:vAlign w:val="center"/>
          </w:tcPr>
          <w:p w14:paraId="079103F2" w14:textId="77777777" w:rsidR="003D69A8" w:rsidRPr="005E1EA7" w:rsidRDefault="003D69A8" w:rsidP="006365F0">
            <w:pPr>
              <w:autoSpaceDE w:val="0"/>
              <w:autoSpaceDN w:val="0"/>
              <w:adjustRightInd w:val="0"/>
              <w:jc w:val="center"/>
              <w:rPr>
                <w:rFonts w:ascii="Tahoma" w:hAnsi="Tahoma" w:cs="Tahoma"/>
                <w:sz w:val="20"/>
                <w:szCs w:val="20"/>
              </w:rPr>
            </w:pPr>
            <w:r w:rsidRPr="005E1EA7">
              <w:rPr>
                <w:rFonts w:ascii="Tahoma" w:hAnsi="Tahoma" w:cs="Tahoma"/>
                <w:sz w:val="20"/>
                <w:szCs w:val="20"/>
              </w:rPr>
              <w:t>5</w:t>
            </w:r>
          </w:p>
        </w:tc>
        <w:tc>
          <w:tcPr>
            <w:tcW w:w="567" w:type="dxa"/>
            <w:tcBorders>
              <w:bottom w:val="single" w:sz="4" w:space="0" w:color="auto"/>
            </w:tcBorders>
            <w:vAlign w:val="center"/>
          </w:tcPr>
          <w:p w14:paraId="6151095E" w14:textId="77777777" w:rsidR="003D69A8" w:rsidRPr="005E1EA7" w:rsidRDefault="003D69A8" w:rsidP="006365F0">
            <w:pPr>
              <w:autoSpaceDE w:val="0"/>
              <w:autoSpaceDN w:val="0"/>
              <w:adjustRightInd w:val="0"/>
              <w:jc w:val="center"/>
              <w:rPr>
                <w:rFonts w:ascii="Tahoma" w:hAnsi="Tahoma" w:cs="Tahoma"/>
                <w:sz w:val="20"/>
                <w:szCs w:val="20"/>
              </w:rPr>
            </w:pPr>
            <w:r w:rsidRPr="005E1EA7">
              <w:rPr>
                <w:rFonts w:ascii="Tahoma" w:hAnsi="Tahoma" w:cs="Tahoma"/>
                <w:sz w:val="20"/>
                <w:szCs w:val="20"/>
              </w:rPr>
              <w:t>2</w:t>
            </w:r>
          </w:p>
        </w:tc>
        <w:tc>
          <w:tcPr>
            <w:tcW w:w="850" w:type="dxa"/>
            <w:tcBorders>
              <w:bottom w:val="single" w:sz="4" w:space="0" w:color="auto"/>
            </w:tcBorders>
            <w:vAlign w:val="center"/>
          </w:tcPr>
          <w:p w14:paraId="7CE14CA9" w14:textId="77777777" w:rsidR="003D69A8" w:rsidRPr="005E1EA7" w:rsidRDefault="003D69A8" w:rsidP="006365F0">
            <w:pPr>
              <w:autoSpaceDE w:val="0"/>
              <w:autoSpaceDN w:val="0"/>
              <w:adjustRightInd w:val="0"/>
              <w:jc w:val="center"/>
              <w:rPr>
                <w:rFonts w:ascii="Tahoma" w:hAnsi="Tahoma" w:cs="Tahoma"/>
                <w:sz w:val="20"/>
                <w:szCs w:val="20"/>
              </w:rPr>
            </w:pPr>
            <w:r w:rsidRPr="005E1EA7">
              <w:rPr>
                <w:rFonts w:ascii="Tahoma" w:hAnsi="Tahoma" w:cs="Tahoma"/>
                <w:sz w:val="20"/>
                <w:szCs w:val="20"/>
              </w:rPr>
              <w:t>1 NPP/g</w:t>
            </w:r>
          </w:p>
        </w:tc>
        <w:tc>
          <w:tcPr>
            <w:tcW w:w="851" w:type="dxa"/>
            <w:tcBorders>
              <w:bottom w:val="single" w:sz="4" w:space="0" w:color="auto"/>
            </w:tcBorders>
            <w:vAlign w:val="center"/>
          </w:tcPr>
          <w:p w14:paraId="6A46F6B6" w14:textId="77777777" w:rsidR="003D69A8" w:rsidRPr="005E1EA7" w:rsidRDefault="003D69A8" w:rsidP="006365F0">
            <w:pPr>
              <w:autoSpaceDE w:val="0"/>
              <w:autoSpaceDN w:val="0"/>
              <w:adjustRightInd w:val="0"/>
              <w:jc w:val="center"/>
              <w:rPr>
                <w:rFonts w:ascii="Tahoma" w:hAnsi="Tahoma" w:cs="Tahoma"/>
                <w:sz w:val="20"/>
                <w:szCs w:val="20"/>
                <w:lang w:val="en-GB"/>
              </w:rPr>
            </w:pPr>
            <w:r w:rsidRPr="005E1EA7">
              <w:rPr>
                <w:rFonts w:ascii="Tahoma" w:hAnsi="Tahoma" w:cs="Tahoma"/>
                <w:sz w:val="20"/>
                <w:szCs w:val="20"/>
                <w:lang w:val="en-GB"/>
              </w:rPr>
              <w:t xml:space="preserve">10 </w:t>
            </w:r>
            <w:r w:rsidRPr="005E1EA7">
              <w:rPr>
                <w:rFonts w:ascii="Tahoma" w:hAnsi="Tahoma" w:cs="Tahoma"/>
                <w:sz w:val="20"/>
                <w:szCs w:val="20"/>
              </w:rPr>
              <w:t>NPP</w:t>
            </w:r>
            <w:r w:rsidRPr="005E1EA7">
              <w:rPr>
                <w:rFonts w:ascii="Tahoma" w:hAnsi="Tahoma" w:cs="Tahoma"/>
                <w:sz w:val="20"/>
                <w:szCs w:val="20"/>
                <w:lang w:val="en-GB"/>
              </w:rPr>
              <w:t xml:space="preserve"> /g</w:t>
            </w:r>
          </w:p>
        </w:tc>
        <w:tc>
          <w:tcPr>
            <w:tcW w:w="1417" w:type="dxa"/>
            <w:tcBorders>
              <w:bottom w:val="single" w:sz="4" w:space="0" w:color="auto"/>
            </w:tcBorders>
            <w:vAlign w:val="center"/>
          </w:tcPr>
          <w:p w14:paraId="3F73A5F8" w14:textId="77777777" w:rsidR="003D69A8" w:rsidRPr="005E1EA7" w:rsidRDefault="003D69A8" w:rsidP="006365F0">
            <w:pPr>
              <w:autoSpaceDE w:val="0"/>
              <w:autoSpaceDN w:val="0"/>
              <w:adjustRightInd w:val="0"/>
              <w:jc w:val="center"/>
              <w:rPr>
                <w:rFonts w:ascii="Tahoma" w:hAnsi="Tahoma" w:cs="Tahoma"/>
                <w:sz w:val="20"/>
                <w:szCs w:val="20"/>
                <w:lang w:val="en-GB"/>
              </w:rPr>
            </w:pPr>
            <w:r w:rsidRPr="005E1EA7">
              <w:rPr>
                <w:rFonts w:ascii="Tahoma" w:hAnsi="Tahoma" w:cs="Tahoma"/>
                <w:sz w:val="20"/>
                <w:szCs w:val="20"/>
                <w:lang w:val="en-GB"/>
              </w:rPr>
              <w:t>ISO/ TS 16649-3</w:t>
            </w:r>
          </w:p>
        </w:tc>
        <w:tc>
          <w:tcPr>
            <w:tcW w:w="1134" w:type="dxa"/>
            <w:tcBorders>
              <w:bottom w:val="single" w:sz="4" w:space="0" w:color="auto"/>
            </w:tcBorders>
            <w:vAlign w:val="center"/>
          </w:tcPr>
          <w:p w14:paraId="52B2EC9D" w14:textId="77777777" w:rsidR="003D69A8" w:rsidRPr="005E1EA7" w:rsidRDefault="003D69A8" w:rsidP="006365F0">
            <w:pPr>
              <w:autoSpaceDE w:val="0"/>
              <w:autoSpaceDN w:val="0"/>
              <w:adjustRightInd w:val="0"/>
              <w:jc w:val="both"/>
              <w:rPr>
                <w:rFonts w:ascii="Tahoma" w:hAnsi="Tahoma" w:cs="Tahoma"/>
                <w:sz w:val="20"/>
                <w:szCs w:val="20"/>
              </w:rPr>
            </w:pPr>
            <w:r w:rsidRPr="005E1EA7">
              <w:rPr>
                <w:rFonts w:ascii="Tahoma" w:hAnsi="Tahoma" w:cs="Tahoma"/>
                <w:sz w:val="20"/>
                <w:szCs w:val="20"/>
              </w:rPr>
              <w:t>Fin du procédé de fabrication</w:t>
            </w:r>
          </w:p>
        </w:tc>
        <w:tc>
          <w:tcPr>
            <w:tcW w:w="1701" w:type="dxa"/>
            <w:tcBorders>
              <w:bottom w:val="single" w:sz="4" w:space="0" w:color="auto"/>
              <w:right w:val="single" w:sz="4" w:space="0" w:color="auto"/>
            </w:tcBorders>
            <w:vAlign w:val="center"/>
          </w:tcPr>
          <w:p w14:paraId="352C34DA" w14:textId="77777777" w:rsidR="003D69A8" w:rsidRPr="005E1EA7" w:rsidRDefault="003D69A8" w:rsidP="006365F0">
            <w:pPr>
              <w:autoSpaceDE w:val="0"/>
              <w:autoSpaceDN w:val="0"/>
              <w:adjustRightInd w:val="0"/>
              <w:rPr>
                <w:rFonts w:ascii="Tahoma" w:hAnsi="Tahoma" w:cs="Tahoma"/>
                <w:sz w:val="20"/>
                <w:szCs w:val="20"/>
              </w:rPr>
            </w:pPr>
            <w:r w:rsidRPr="005E1EA7">
              <w:rPr>
                <w:rFonts w:ascii="Tahoma" w:hAnsi="Tahoma" w:cs="Tahoma"/>
                <w:sz w:val="20"/>
                <w:szCs w:val="20"/>
              </w:rPr>
              <w:t>Améliorations de l’hygiène de production</w:t>
            </w:r>
          </w:p>
        </w:tc>
      </w:tr>
      <w:bookmarkEnd w:id="218"/>
      <w:tr w:rsidR="003D69A8" w:rsidRPr="005E1EA7" w14:paraId="34470AEC" w14:textId="77777777" w:rsidTr="006365F0">
        <w:trPr>
          <w:cantSplit/>
          <w:trHeight w:val="750"/>
          <w:jc w:val="center"/>
        </w:trPr>
        <w:tc>
          <w:tcPr>
            <w:tcW w:w="1696" w:type="dxa"/>
            <w:vMerge/>
            <w:tcBorders>
              <w:left w:val="single" w:sz="4" w:space="0" w:color="auto"/>
              <w:bottom w:val="single" w:sz="4" w:space="0" w:color="auto"/>
            </w:tcBorders>
            <w:vAlign w:val="center"/>
          </w:tcPr>
          <w:p w14:paraId="69ECF5C2" w14:textId="77777777" w:rsidR="003D69A8" w:rsidRPr="005E1EA7" w:rsidRDefault="003D69A8" w:rsidP="006365F0">
            <w:pPr>
              <w:autoSpaceDE w:val="0"/>
              <w:autoSpaceDN w:val="0"/>
              <w:adjustRightInd w:val="0"/>
              <w:rPr>
                <w:rFonts w:ascii="Tahoma" w:hAnsi="Tahoma" w:cs="Tahoma"/>
                <w:sz w:val="20"/>
                <w:szCs w:val="20"/>
              </w:rPr>
            </w:pPr>
          </w:p>
        </w:tc>
        <w:tc>
          <w:tcPr>
            <w:tcW w:w="1418" w:type="dxa"/>
            <w:tcBorders>
              <w:bottom w:val="single" w:sz="4" w:space="0" w:color="auto"/>
            </w:tcBorders>
            <w:vAlign w:val="center"/>
          </w:tcPr>
          <w:p w14:paraId="429D0CEF" w14:textId="77777777" w:rsidR="003D69A8" w:rsidRPr="005E1EA7" w:rsidRDefault="003D69A8" w:rsidP="006365F0">
            <w:pPr>
              <w:autoSpaceDE w:val="0"/>
              <w:autoSpaceDN w:val="0"/>
              <w:adjustRightInd w:val="0"/>
              <w:rPr>
                <w:rFonts w:ascii="Tahoma" w:hAnsi="Tahoma" w:cs="Tahoma"/>
                <w:i/>
                <w:iCs/>
                <w:sz w:val="20"/>
                <w:szCs w:val="20"/>
              </w:rPr>
            </w:pPr>
            <w:r w:rsidRPr="005E1EA7">
              <w:rPr>
                <w:rFonts w:ascii="Tahoma" w:hAnsi="Tahoma" w:cs="Tahoma"/>
                <w:i/>
                <w:iCs/>
                <w:sz w:val="20"/>
                <w:szCs w:val="20"/>
              </w:rPr>
              <w:t>Staphylocoques à coagulase positive</w:t>
            </w:r>
          </w:p>
        </w:tc>
        <w:tc>
          <w:tcPr>
            <w:tcW w:w="567" w:type="dxa"/>
            <w:tcBorders>
              <w:bottom w:val="single" w:sz="4" w:space="0" w:color="auto"/>
            </w:tcBorders>
            <w:vAlign w:val="center"/>
          </w:tcPr>
          <w:p w14:paraId="1E061786" w14:textId="77777777" w:rsidR="003D69A8" w:rsidRPr="005E1EA7" w:rsidRDefault="003D69A8" w:rsidP="006365F0">
            <w:pPr>
              <w:autoSpaceDE w:val="0"/>
              <w:autoSpaceDN w:val="0"/>
              <w:adjustRightInd w:val="0"/>
              <w:jc w:val="center"/>
              <w:rPr>
                <w:rFonts w:ascii="Tahoma" w:hAnsi="Tahoma" w:cs="Tahoma"/>
                <w:sz w:val="20"/>
                <w:szCs w:val="20"/>
                <w:lang w:val="en-GB"/>
              </w:rPr>
            </w:pPr>
            <w:r w:rsidRPr="005E1EA7">
              <w:rPr>
                <w:rFonts w:ascii="Tahoma" w:hAnsi="Tahoma" w:cs="Tahoma"/>
                <w:sz w:val="20"/>
                <w:szCs w:val="20"/>
                <w:lang w:val="en-GB"/>
              </w:rPr>
              <w:t>5</w:t>
            </w:r>
          </w:p>
        </w:tc>
        <w:tc>
          <w:tcPr>
            <w:tcW w:w="567" w:type="dxa"/>
            <w:tcBorders>
              <w:bottom w:val="single" w:sz="4" w:space="0" w:color="auto"/>
            </w:tcBorders>
            <w:vAlign w:val="center"/>
          </w:tcPr>
          <w:p w14:paraId="6AC13C54" w14:textId="77777777" w:rsidR="003D69A8" w:rsidRPr="005E1EA7" w:rsidRDefault="003D69A8" w:rsidP="006365F0">
            <w:pPr>
              <w:autoSpaceDE w:val="0"/>
              <w:autoSpaceDN w:val="0"/>
              <w:adjustRightInd w:val="0"/>
              <w:jc w:val="center"/>
              <w:rPr>
                <w:rFonts w:ascii="Tahoma" w:hAnsi="Tahoma" w:cs="Tahoma"/>
                <w:sz w:val="20"/>
                <w:szCs w:val="20"/>
                <w:lang w:val="en-GB"/>
              </w:rPr>
            </w:pPr>
            <w:r w:rsidRPr="005E1EA7">
              <w:rPr>
                <w:rFonts w:ascii="Tahoma" w:hAnsi="Tahoma" w:cs="Tahoma"/>
                <w:sz w:val="20"/>
                <w:szCs w:val="20"/>
                <w:lang w:val="en-GB"/>
              </w:rPr>
              <w:t>2</w:t>
            </w:r>
          </w:p>
        </w:tc>
        <w:tc>
          <w:tcPr>
            <w:tcW w:w="850" w:type="dxa"/>
            <w:tcBorders>
              <w:bottom w:val="single" w:sz="4" w:space="0" w:color="auto"/>
            </w:tcBorders>
            <w:vAlign w:val="center"/>
          </w:tcPr>
          <w:p w14:paraId="12345BC1" w14:textId="77777777" w:rsidR="003D69A8" w:rsidRPr="005E1EA7" w:rsidRDefault="003D69A8" w:rsidP="006365F0">
            <w:pPr>
              <w:autoSpaceDE w:val="0"/>
              <w:autoSpaceDN w:val="0"/>
              <w:adjustRightInd w:val="0"/>
              <w:jc w:val="center"/>
              <w:rPr>
                <w:rFonts w:ascii="Tahoma" w:hAnsi="Tahoma" w:cs="Tahoma"/>
                <w:sz w:val="20"/>
                <w:szCs w:val="20"/>
                <w:lang w:val="en-GB"/>
              </w:rPr>
            </w:pPr>
            <w:r w:rsidRPr="005E1EA7">
              <w:rPr>
                <w:rFonts w:ascii="Tahoma" w:hAnsi="Tahoma" w:cs="Tahoma"/>
                <w:sz w:val="20"/>
                <w:szCs w:val="20"/>
                <w:lang w:val="en-GB"/>
              </w:rPr>
              <w:t>100 ufc/g</w:t>
            </w:r>
          </w:p>
        </w:tc>
        <w:tc>
          <w:tcPr>
            <w:tcW w:w="851" w:type="dxa"/>
            <w:tcBorders>
              <w:bottom w:val="single" w:sz="4" w:space="0" w:color="auto"/>
            </w:tcBorders>
            <w:vAlign w:val="center"/>
          </w:tcPr>
          <w:p w14:paraId="7DB0AA8A" w14:textId="77777777" w:rsidR="003D69A8" w:rsidRPr="005E1EA7" w:rsidRDefault="003D69A8" w:rsidP="006365F0">
            <w:pPr>
              <w:autoSpaceDE w:val="0"/>
              <w:autoSpaceDN w:val="0"/>
              <w:adjustRightInd w:val="0"/>
              <w:jc w:val="center"/>
              <w:rPr>
                <w:rFonts w:ascii="Tahoma" w:hAnsi="Tahoma" w:cs="Tahoma"/>
                <w:sz w:val="20"/>
                <w:szCs w:val="20"/>
                <w:lang w:val="en-GB"/>
              </w:rPr>
            </w:pPr>
            <w:r w:rsidRPr="005E1EA7">
              <w:rPr>
                <w:rFonts w:ascii="Tahoma" w:hAnsi="Tahoma" w:cs="Tahoma"/>
                <w:sz w:val="20"/>
                <w:szCs w:val="20"/>
                <w:lang w:val="en-GB"/>
              </w:rPr>
              <w:t>1 000 ufc/g</w:t>
            </w:r>
          </w:p>
        </w:tc>
        <w:tc>
          <w:tcPr>
            <w:tcW w:w="1417" w:type="dxa"/>
            <w:tcBorders>
              <w:bottom w:val="single" w:sz="4" w:space="0" w:color="auto"/>
            </w:tcBorders>
            <w:vAlign w:val="center"/>
          </w:tcPr>
          <w:p w14:paraId="7D8B6F82" w14:textId="77777777" w:rsidR="003D69A8" w:rsidRPr="005E1EA7" w:rsidRDefault="003D69A8" w:rsidP="006365F0">
            <w:pPr>
              <w:autoSpaceDE w:val="0"/>
              <w:autoSpaceDN w:val="0"/>
              <w:adjustRightInd w:val="0"/>
              <w:jc w:val="center"/>
              <w:rPr>
                <w:rFonts w:ascii="Tahoma" w:hAnsi="Tahoma" w:cs="Tahoma"/>
                <w:sz w:val="20"/>
                <w:szCs w:val="20"/>
              </w:rPr>
            </w:pPr>
            <w:r w:rsidRPr="005E1EA7">
              <w:rPr>
                <w:rFonts w:ascii="Tahoma" w:hAnsi="Tahoma" w:cs="Tahoma"/>
                <w:sz w:val="20"/>
                <w:szCs w:val="20"/>
              </w:rPr>
              <w:t>EN/ISO 6888-1 ou 2</w:t>
            </w:r>
          </w:p>
        </w:tc>
        <w:tc>
          <w:tcPr>
            <w:tcW w:w="1134" w:type="dxa"/>
            <w:tcBorders>
              <w:bottom w:val="single" w:sz="4" w:space="0" w:color="auto"/>
            </w:tcBorders>
            <w:vAlign w:val="center"/>
          </w:tcPr>
          <w:p w14:paraId="6941C656" w14:textId="77777777" w:rsidR="003D69A8" w:rsidRPr="005E1EA7" w:rsidRDefault="003D69A8" w:rsidP="006365F0">
            <w:pPr>
              <w:autoSpaceDE w:val="0"/>
              <w:autoSpaceDN w:val="0"/>
              <w:adjustRightInd w:val="0"/>
              <w:jc w:val="both"/>
              <w:rPr>
                <w:rFonts w:ascii="Tahoma" w:hAnsi="Tahoma" w:cs="Tahoma"/>
                <w:sz w:val="20"/>
                <w:szCs w:val="20"/>
              </w:rPr>
            </w:pPr>
            <w:r w:rsidRPr="005E1EA7">
              <w:rPr>
                <w:rFonts w:ascii="Tahoma" w:hAnsi="Tahoma" w:cs="Tahoma"/>
                <w:sz w:val="20"/>
                <w:szCs w:val="20"/>
              </w:rPr>
              <w:t>Fin du procédé de fabrication</w:t>
            </w:r>
          </w:p>
        </w:tc>
        <w:tc>
          <w:tcPr>
            <w:tcW w:w="1701" w:type="dxa"/>
            <w:tcBorders>
              <w:bottom w:val="single" w:sz="4" w:space="0" w:color="auto"/>
              <w:right w:val="single" w:sz="4" w:space="0" w:color="auto"/>
            </w:tcBorders>
            <w:vAlign w:val="center"/>
          </w:tcPr>
          <w:p w14:paraId="1B62B1AD" w14:textId="77777777" w:rsidR="003D69A8" w:rsidRPr="005E1EA7" w:rsidRDefault="003D69A8" w:rsidP="006365F0">
            <w:pPr>
              <w:autoSpaceDE w:val="0"/>
              <w:autoSpaceDN w:val="0"/>
              <w:adjustRightInd w:val="0"/>
              <w:rPr>
                <w:rFonts w:ascii="Tahoma" w:hAnsi="Tahoma" w:cs="Tahoma"/>
                <w:sz w:val="20"/>
                <w:szCs w:val="20"/>
              </w:rPr>
            </w:pPr>
            <w:r w:rsidRPr="005E1EA7">
              <w:rPr>
                <w:rFonts w:ascii="Tahoma" w:hAnsi="Tahoma" w:cs="Tahoma"/>
                <w:sz w:val="20"/>
                <w:szCs w:val="20"/>
              </w:rPr>
              <w:t>Améliorations de l’hygiène de production</w:t>
            </w:r>
          </w:p>
        </w:tc>
      </w:tr>
    </w:tbl>
    <w:p w14:paraId="247AC7BE" w14:textId="77777777" w:rsidR="003D69A8" w:rsidRPr="005E1EA7" w:rsidRDefault="003D69A8" w:rsidP="003D69A8">
      <w:pPr>
        <w:autoSpaceDE w:val="0"/>
        <w:autoSpaceDN w:val="0"/>
        <w:adjustRightInd w:val="0"/>
        <w:jc w:val="both"/>
        <w:rPr>
          <w:rFonts w:ascii="Tahoma" w:hAnsi="Tahoma" w:cs="Tahoma"/>
          <w:sz w:val="20"/>
          <w:szCs w:val="20"/>
        </w:rPr>
      </w:pPr>
    </w:p>
    <w:p w14:paraId="154D8CDB" w14:textId="77777777" w:rsidR="003D69A8" w:rsidRPr="005E1EA7" w:rsidRDefault="003D69A8" w:rsidP="00420DDA">
      <w:pPr>
        <w:pStyle w:val="Paragraphedeliste"/>
        <w:numPr>
          <w:ilvl w:val="0"/>
          <w:numId w:val="168"/>
        </w:numPr>
        <w:autoSpaceDE w:val="0"/>
        <w:autoSpaceDN w:val="0"/>
        <w:adjustRightInd w:val="0"/>
        <w:ind w:left="284"/>
        <w:jc w:val="both"/>
        <w:rPr>
          <w:rFonts w:ascii="Tahoma" w:hAnsi="Tahoma" w:cs="Tahoma"/>
          <w:sz w:val="20"/>
          <w:szCs w:val="20"/>
        </w:rPr>
      </w:pPr>
      <w:proofErr w:type="gramStart"/>
      <w:r w:rsidRPr="005E1EA7">
        <w:rPr>
          <w:rFonts w:ascii="Tahoma" w:hAnsi="Tahoma" w:cs="Tahoma"/>
          <w:sz w:val="20"/>
          <w:szCs w:val="20"/>
        </w:rPr>
        <w:t>n</w:t>
      </w:r>
      <w:proofErr w:type="gramEnd"/>
      <w:r w:rsidRPr="005E1EA7">
        <w:rPr>
          <w:rFonts w:ascii="Tahoma" w:hAnsi="Tahoma" w:cs="Tahoma"/>
          <w:sz w:val="20"/>
          <w:szCs w:val="20"/>
        </w:rPr>
        <w:t xml:space="preserve"> = nombre d'unités constituant l'échantillon; c = nombre maximal de résultats pouvant présenter des valeurs comprises entre m et M,</w:t>
      </w:r>
    </w:p>
    <w:p w14:paraId="5B217650" w14:textId="77777777" w:rsidR="003D69A8" w:rsidRPr="005E1EA7" w:rsidRDefault="003D69A8" w:rsidP="00420DDA">
      <w:pPr>
        <w:pStyle w:val="Paragraphedeliste"/>
        <w:numPr>
          <w:ilvl w:val="0"/>
          <w:numId w:val="168"/>
        </w:numPr>
        <w:autoSpaceDE w:val="0"/>
        <w:autoSpaceDN w:val="0"/>
        <w:adjustRightInd w:val="0"/>
        <w:ind w:left="284"/>
        <w:jc w:val="both"/>
        <w:rPr>
          <w:rFonts w:ascii="Tahoma" w:hAnsi="Tahoma" w:cs="Tahoma"/>
          <w:sz w:val="20"/>
          <w:szCs w:val="20"/>
        </w:rPr>
      </w:pPr>
      <w:r w:rsidRPr="005E1EA7">
        <w:rPr>
          <w:rFonts w:ascii="Tahoma" w:hAnsi="Tahoma" w:cs="Tahoma"/>
          <w:sz w:val="20"/>
          <w:szCs w:val="20"/>
        </w:rPr>
        <w:t>Il convient d'utiliser l'édition la plus récente de la norme.</w:t>
      </w:r>
    </w:p>
    <w:p w14:paraId="2DC4C337" w14:textId="77777777" w:rsidR="003D69A8" w:rsidRPr="005E1EA7" w:rsidRDefault="003D69A8" w:rsidP="003D69A8">
      <w:pPr>
        <w:autoSpaceDE w:val="0"/>
        <w:autoSpaceDN w:val="0"/>
        <w:adjustRightInd w:val="0"/>
        <w:jc w:val="both"/>
        <w:rPr>
          <w:rFonts w:ascii="Tahoma" w:hAnsi="Tahoma" w:cs="Tahoma"/>
          <w:sz w:val="20"/>
          <w:szCs w:val="20"/>
        </w:rPr>
      </w:pPr>
    </w:p>
    <w:p w14:paraId="7081DAE3" w14:textId="77777777" w:rsidR="003D69A8" w:rsidRPr="005E1EA7" w:rsidRDefault="003D69A8" w:rsidP="003D69A8">
      <w:pPr>
        <w:autoSpaceDE w:val="0"/>
        <w:autoSpaceDN w:val="0"/>
        <w:adjustRightInd w:val="0"/>
        <w:jc w:val="both"/>
        <w:rPr>
          <w:rFonts w:ascii="Tahoma" w:hAnsi="Tahoma" w:cs="Tahoma"/>
          <w:b/>
          <w:bCs/>
          <w:sz w:val="20"/>
          <w:szCs w:val="20"/>
        </w:rPr>
      </w:pPr>
      <w:r w:rsidRPr="005E1EA7">
        <w:rPr>
          <w:rFonts w:ascii="Tahoma" w:hAnsi="Tahoma" w:cs="Tahoma"/>
          <w:b/>
          <w:bCs/>
          <w:sz w:val="20"/>
          <w:szCs w:val="20"/>
        </w:rPr>
        <w:t>1. INTERPRETATION DES RESULTATS DES ANALYSES</w:t>
      </w:r>
    </w:p>
    <w:p w14:paraId="40B7225D" w14:textId="77777777" w:rsidR="003D69A8" w:rsidRPr="005E1EA7" w:rsidRDefault="003D69A8" w:rsidP="003D69A8">
      <w:pPr>
        <w:autoSpaceDE w:val="0"/>
        <w:autoSpaceDN w:val="0"/>
        <w:adjustRightInd w:val="0"/>
        <w:jc w:val="both"/>
        <w:rPr>
          <w:rFonts w:ascii="Tahoma" w:hAnsi="Tahoma" w:cs="Tahoma"/>
          <w:sz w:val="20"/>
          <w:szCs w:val="20"/>
        </w:rPr>
      </w:pPr>
    </w:p>
    <w:p w14:paraId="4CAE12D7" w14:textId="77777777" w:rsidR="003D69A8" w:rsidRPr="005E1EA7" w:rsidRDefault="003D69A8" w:rsidP="003D69A8">
      <w:pPr>
        <w:autoSpaceDE w:val="0"/>
        <w:autoSpaceDN w:val="0"/>
        <w:adjustRightInd w:val="0"/>
        <w:jc w:val="both"/>
        <w:rPr>
          <w:rFonts w:ascii="Tahoma" w:hAnsi="Tahoma" w:cs="Tahoma"/>
          <w:sz w:val="20"/>
          <w:szCs w:val="20"/>
        </w:rPr>
      </w:pPr>
      <w:r w:rsidRPr="005E1EA7">
        <w:rPr>
          <w:rFonts w:ascii="Tahoma" w:hAnsi="Tahoma" w:cs="Tahoma"/>
          <w:sz w:val="20"/>
          <w:szCs w:val="20"/>
        </w:rPr>
        <w:t xml:space="preserve">Les limites indiquées s'appliquent à chaque unité d'échantillon analysée </w:t>
      </w:r>
    </w:p>
    <w:p w14:paraId="4D159FC4" w14:textId="77777777" w:rsidR="003D69A8" w:rsidRPr="005E1EA7" w:rsidRDefault="003D69A8" w:rsidP="003D69A8">
      <w:pPr>
        <w:autoSpaceDE w:val="0"/>
        <w:autoSpaceDN w:val="0"/>
        <w:adjustRightInd w:val="0"/>
        <w:jc w:val="both"/>
        <w:rPr>
          <w:rFonts w:ascii="Tahoma" w:hAnsi="Tahoma" w:cs="Tahoma"/>
          <w:sz w:val="20"/>
          <w:szCs w:val="20"/>
        </w:rPr>
      </w:pPr>
      <w:r w:rsidRPr="005E1EA7">
        <w:rPr>
          <w:rFonts w:ascii="Tahoma" w:hAnsi="Tahoma" w:cs="Tahoma"/>
          <w:sz w:val="20"/>
          <w:szCs w:val="20"/>
        </w:rPr>
        <w:t>Les résultats des analyses révèlent la qualité microbiologique du procédé contrôlé.</w:t>
      </w:r>
    </w:p>
    <w:p w14:paraId="519EFDFD" w14:textId="77777777" w:rsidR="003D69A8" w:rsidRPr="005E1EA7" w:rsidRDefault="003D69A8" w:rsidP="003D69A8">
      <w:pPr>
        <w:autoSpaceDE w:val="0"/>
        <w:autoSpaceDN w:val="0"/>
        <w:adjustRightInd w:val="0"/>
        <w:jc w:val="both"/>
        <w:rPr>
          <w:rFonts w:ascii="Tahoma" w:hAnsi="Tahoma" w:cs="Tahoma"/>
          <w:i/>
          <w:iCs/>
          <w:sz w:val="20"/>
          <w:szCs w:val="20"/>
        </w:rPr>
      </w:pPr>
    </w:p>
    <w:p w14:paraId="5B82C04E" w14:textId="77777777" w:rsidR="003D69A8" w:rsidRPr="005E1EA7" w:rsidRDefault="003D69A8" w:rsidP="003D69A8">
      <w:pPr>
        <w:autoSpaceDE w:val="0"/>
        <w:autoSpaceDN w:val="0"/>
        <w:adjustRightInd w:val="0"/>
        <w:jc w:val="both"/>
        <w:rPr>
          <w:rFonts w:ascii="Tahoma" w:hAnsi="Tahoma" w:cs="Tahoma"/>
          <w:sz w:val="20"/>
          <w:szCs w:val="20"/>
        </w:rPr>
      </w:pPr>
      <w:r w:rsidRPr="005E1EA7">
        <w:rPr>
          <w:rFonts w:ascii="Tahoma" w:hAnsi="Tahoma" w:cs="Tahoma"/>
          <w:sz w:val="20"/>
          <w:szCs w:val="20"/>
        </w:rPr>
        <w:t>E. coli dans les produits décortiqués et décoquillés de crustacés et de mollusques cuits :</w:t>
      </w:r>
    </w:p>
    <w:p w14:paraId="421851AB" w14:textId="77777777" w:rsidR="003D69A8" w:rsidRPr="005E1EA7" w:rsidRDefault="003D69A8" w:rsidP="00420DDA">
      <w:pPr>
        <w:pStyle w:val="Paragraphedeliste"/>
        <w:numPr>
          <w:ilvl w:val="0"/>
          <w:numId w:val="188"/>
        </w:numPr>
        <w:autoSpaceDE w:val="0"/>
        <w:autoSpaceDN w:val="0"/>
        <w:adjustRightInd w:val="0"/>
        <w:ind w:left="709" w:hanging="425"/>
        <w:jc w:val="both"/>
        <w:rPr>
          <w:rFonts w:ascii="Tahoma" w:hAnsi="Tahoma" w:cs="Tahoma"/>
          <w:sz w:val="20"/>
          <w:szCs w:val="20"/>
        </w:rPr>
      </w:pPr>
      <w:proofErr w:type="gramStart"/>
      <w:r w:rsidRPr="005E1EA7">
        <w:rPr>
          <w:rFonts w:ascii="Tahoma" w:hAnsi="Tahoma" w:cs="Tahoma"/>
          <w:sz w:val="20"/>
          <w:szCs w:val="20"/>
        </w:rPr>
        <w:t>qualité</w:t>
      </w:r>
      <w:proofErr w:type="gramEnd"/>
      <w:r w:rsidRPr="005E1EA7">
        <w:rPr>
          <w:rFonts w:ascii="Tahoma" w:hAnsi="Tahoma" w:cs="Tahoma"/>
          <w:sz w:val="20"/>
          <w:szCs w:val="20"/>
        </w:rPr>
        <w:t xml:space="preserve"> satisfaisante lorsque toutes les valeurs observées sont ≤ m,</w:t>
      </w:r>
    </w:p>
    <w:p w14:paraId="3A01E516" w14:textId="77777777" w:rsidR="003D69A8" w:rsidRPr="005E1EA7" w:rsidRDefault="003D69A8" w:rsidP="00420DDA">
      <w:pPr>
        <w:pStyle w:val="Paragraphedeliste"/>
        <w:numPr>
          <w:ilvl w:val="0"/>
          <w:numId w:val="188"/>
        </w:numPr>
        <w:autoSpaceDE w:val="0"/>
        <w:autoSpaceDN w:val="0"/>
        <w:adjustRightInd w:val="0"/>
        <w:ind w:left="709" w:hanging="425"/>
        <w:jc w:val="both"/>
        <w:rPr>
          <w:rFonts w:ascii="Tahoma" w:hAnsi="Tahoma" w:cs="Tahoma"/>
          <w:sz w:val="20"/>
          <w:szCs w:val="20"/>
        </w:rPr>
      </w:pPr>
      <w:proofErr w:type="gramStart"/>
      <w:r w:rsidRPr="005E1EA7">
        <w:rPr>
          <w:rFonts w:ascii="Tahoma" w:hAnsi="Tahoma" w:cs="Tahoma"/>
          <w:sz w:val="20"/>
          <w:szCs w:val="20"/>
        </w:rPr>
        <w:t>qualité</w:t>
      </w:r>
      <w:proofErr w:type="gramEnd"/>
      <w:r w:rsidRPr="005E1EA7">
        <w:rPr>
          <w:rFonts w:ascii="Tahoma" w:hAnsi="Tahoma" w:cs="Tahoma"/>
          <w:sz w:val="20"/>
          <w:szCs w:val="20"/>
        </w:rPr>
        <w:t xml:space="preserve"> acceptable lorsqu'un maximum de c/n valeurs se situe entre m et M, et que le reste des valeurs observées est ≤ m,</w:t>
      </w:r>
    </w:p>
    <w:p w14:paraId="75BE6045" w14:textId="77777777" w:rsidR="003D69A8" w:rsidRPr="005E1EA7" w:rsidRDefault="003D69A8" w:rsidP="00420DDA">
      <w:pPr>
        <w:pStyle w:val="Paragraphedeliste"/>
        <w:numPr>
          <w:ilvl w:val="0"/>
          <w:numId w:val="188"/>
        </w:numPr>
        <w:autoSpaceDE w:val="0"/>
        <w:autoSpaceDN w:val="0"/>
        <w:adjustRightInd w:val="0"/>
        <w:ind w:left="709" w:hanging="425"/>
        <w:jc w:val="both"/>
        <w:rPr>
          <w:rFonts w:ascii="Tahoma" w:hAnsi="Tahoma" w:cs="Tahoma"/>
          <w:sz w:val="20"/>
          <w:szCs w:val="20"/>
        </w:rPr>
      </w:pPr>
      <w:proofErr w:type="gramStart"/>
      <w:r w:rsidRPr="005E1EA7">
        <w:rPr>
          <w:rFonts w:ascii="Tahoma" w:hAnsi="Tahoma" w:cs="Tahoma"/>
          <w:sz w:val="20"/>
          <w:szCs w:val="20"/>
        </w:rPr>
        <w:t>qualité</w:t>
      </w:r>
      <w:proofErr w:type="gramEnd"/>
      <w:r w:rsidRPr="005E1EA7">
        <w:rPr>
          <w:rFonts w:ascii="Tahoma" w:hAnsi="Tahoma" w:cs="Tahoma"/>
          <w:sz w:val="20"/>
          <w:szCs w:val="20"/>
        </w:rPr>
        <w:t xml:space="preserve"> insatisfaisante lorsqu'une ou plusieurs valeurs observées sont &gt; M ou lorsque plus de c/n valeurs se situent entre m et M.</w:t>
      </w:r>
    </w:p>
    <w:p w14:paraId="23802AC2" w14:textId="77777777" w:rsidR="003D69A8" w:rsidRPr="005E1EA7" w:rsidRDefault="003D69A8" w:rsidP="003D69A8">
      <w:pPr>
        <w:autoSpaceDE w:val="0"/>
        <w:autoSpaceDN w:val="0"/>
        <w:adjustRightInd w:val="0"/>
        <w:jc w:val="both"/>
        <w:rPr>
          <w:rFonts w:ascii="Tahoma" w:hAnsi="Tahoma" w:cs="Tahoma"/>
          <w:sz w:val="20"/>
          <w:szCs w:val="20"/>
        </w:rPr>
      </w:pPr>
    </w:p>
    <w:p w14:paraId="06F51957" w14:textId="77777777" w:rsidR="003D69A8" w:rsidRPr="005E1EA7" w:rsidRDefault="003D69A8" w:rsidP="003D69A8">
      <w:pPr>
        <w:autoSpaceDE w:val="0"/>
        <w:autoSpaceDN w:val="0"/>
        <w:adjustRightInd w:val="0"/>
        <w:jc w:val="both"/>
        <w:rPr>
          <w:rFonts w:ascii="Tahoma" w:hAnsi="Tahoma" w:cs="Tahoma"/>
          <w:sz w:val="20"/>
          <w:szCs w:val="20"/>
        </w:rPr>
      </w:pPr>
      <w:r w:rsidRPr="005E1EA7">
        <w:rPr>
          <w:rFonts w:ascii="Tahoma" w:hAnsi="Tahoma" w:cs="Tahoma"/>
          <w:sz w:val="20"/>
          <w:szCs w:val="20"/>
        </w:rPr>
        <w:t>Staphylocoques à coagulase positive dans les produits décortiqués et décoquillés de crustacés et de mollusques cuits</w:t>
      </w:r>
    </w:p>
    <w:p w14:paraId="03D9CF50" w14:textId="77777777" w:rsidR="003D69A8" w:rsidRPr="005E1EA7" w:rsidRDefault="003D69A8" w:rsidP="00420DDA">
      <w:pPr>
        <w:pStyle w:val="Paragraphedeliste"/>
        <w:numPr>
          <w:ilvl w:val="0"/>
          <w:numId w:val="188"/>
        </w:numPr>
        <w:autoSpaceDE w:val="0"/>
        <w:autoSpaceDN w:val="0"/>
        <w:adjustRightInd w:val="0"/>
        <w:ind w:left="709" w:hanging="425"/>
        <w:jc w:val="both"/>
        <w:rPr>
          <w:rFonts w:ascii="Tahoma" w:hAnsi="Tahoma" w:cs="Tahoma"/>
          <w:sz w:val="20"/>
          <w:szCs w:val="20"/>
        </w:rPr>
      </w:pPr>
      <w:proofErr w:type="gramStart"/>
      <w:r w:rsidRPr="005E1EA7">
        <w:rPr>
          <w:rFonts w:ascii="Tahoma" w:hAnsi="Tahoma" w:cs="Tahoma"/>
          <w:sz w:val="20"/>
          <w:szCs w:val="20"/>
        </w:rPr>
        <w:t>qualité</w:t>
      </w:r>
      <w:proofErr w:type="gramEnd"/>
      <w:r w:rsidRPr="005E1EA7">
        <w:rPr>
          <w:rFonts w:ascii="Tahoma" w:hAnsi="Tahoma" w:cs="Tahoma"/>
          <w:sz w:val="20"/>
          <w:szCs w:val="20"/>
        </w:rPr>
        <w:t xml:space="preserve"> satisfaisante lorsque toutes les valeurs observées sont ≤ m,</w:t>
      </w:r>
    </w:p>
    <w:p w14:paraId="55F2E616" w14:textId="77777777" w:rsidR="003D69A8" w:rsidRPr="005E1EA7" w:rsidRDefault="003D69A8" w:rsidP="00420DDA">
      <w:pPr>
        <w:pStyle w:val="Paragraphedeliste"/>
        <w:numPr>
          <w:ilvl w:val="0"/>
          <w:numId w:val="188"/>
        </w:numPr>
        <w:autoSpaceDE w:val="0"/>
        <w:autoSpaceDN w:val="0"/>
        <w:adjustRightInd w:val="0"/>
        <w:ind w:left="709" w:hanging="425"/>
        <w:jc w:val="both"/>
        <w:rPr>
          <w:rFonts w:ascii="Tahoma" w:hAnsi="Tahoma" w:cs="Tahoma"/>
          <w:sz w:val="20"/>
          <w:szCs w:val="20"/>
        </w:rPr>
      </w:pPr>
      <w:proofErr w:type="gramStart"/>
      <w:r w:rsidRPr="005E1EA7">
        <w:rPr>
          <w:rFonts w:ascii="Tahoma" w:hAnsi="Tahoma" w:cs="Tahoma"/>
          <w:sz w:val="20"/>
          <w:szCs w:val="20"/>
        </w:rPr>
        <w:t>qualité</w:t>
      </w:r>
      <w:proofErr w:type="gramEnd"/>
      <w:r w:rsidRPr="005E1EA7">
        <w:rPr>
          <w:rFonts w:ascii="Tahoma" w:hAnsi="Tahoma" w:cs="Tahoma"/>
          <w:sz w:val="20"/>
          <w:szCs w:val="20"/>
        </w:rPr>
        <w:t xml:space="preserve"> acceptable lorsqu'un maximum de c/n valeurs se situe entre m et M, et que le reste des valeurs observées est ≤ m,</w:t>
      </w:r>
    </w:p>
    <w:p w14:paraId="6271B268" w14:textId="77777777" w:rsidR="003D69A8" w:rsidRPr="005E1EA7" w:rsidRDefault="003D69A8" w:rsidP="00420DDA">
      <w:pPr>
        <w:pStyle w:val="Paragraphedeliste"/>
        <w:numPr>
          <w:ilvl w:val="0"/>
          <w:numId w:val="188"/>
        </w:numPr>
        <w:autoSpaceDE w:val="0"/>
        <w:autoSpaceDN w:val="0"/>
        <w:adjustRightInd w:val="0"/>
        <w:ind w:left="709" w:hanging="425"/>
        <w:jc w:val="both"/>
        <w:rPr>
          <w:rFonts w:ascii="Tahoma" w:hAnsi="Tahoma" w:cs="Tahoma"/>
          <w:sz w:val="20"/>
          <w:szCs w:val="20"/>
        </w:rPr>
      </w:pPr>
      <w:proofErr w:type="gramStart"/>
      <w:r w:rsidRPr="005E1EA7">
        <w:rPr>
          <w:rFonts w:ascii="Tahoma" w:hAnsi="Tahoma" w:cs="Tahoma"/>
          <w:sz w:val="20"/>
          <w:szCs w:val="20"/>
        </w:rPr>
        <w:t>qualité</w:t>
      </w:r>
      <w:proofErr w:type="gramEnd"/>
      <w:r w:rsidRPr="005E1EA7">
        <w:rPr>
          <w:rFonts w:ascii="Tahoma" w:hAnsi="Tahoma" w:cs="Tahoma"/>
          <w:sz w:val="20"/>
          <w:szCs w:val="20"/>
        </w:rPr>
        <w:t xml:space="preserve"> insatisfaisante lorsqu'une ou plusieurs valeurs observées sont &gt; M ou lorsque plus de c/n valeurs se situent entre m et M.</w:t>
      </w:r>
    </w:p>
    <w:p w14:paraId="3ED62682" w14:textId="77777777" w:rsidR="003D69A8" w:rsidRPr="005E1EA7" w:rsidRDefault="003D69A8" w:rsidP="003D69A8">
      <w:pPr>
        <w:autoSpaceDE w:val="0"/>
        <w:autoSpaceDN w:val="0"/>
        <w:adjustRightInd w:val="0"/>
        <w:jc w:val="both"/>
        <w:rPr>
          <w:rFonts w:ascii="Tahoma" w:hAnsi="Tahoma" w:cs="Tahoma"/>
          <w:sz w:val="20"/>
          <w:szCs w:val="20"/>
        </w:rPr>
      </w:pPr>
    </w:p>
    <w:p w14:paraId="38902431" w14:textId="77777777" w:rsidR="003D69A8" w:rsidRPr="005E1EA7" w:rsidRDefault="003D69A8" w:rsidP="003D69A8">
      <w:pPr>
        <w:autoSpaceDE w:val="0"/>
        <w:autoSpaceDN w:val="0"/>
        <w:adjustRightInd w:val="0"/>
        <w:ind w:right="-6"/>
        <w:jc w:val="center"/>
        <w:rPr>
          <w:rFonts w:ascii="Tahoma" w:hAnsi="Tahoma" w:cs="Tahoma"/>
          <w:b/>
          <w:bCs/>
          <w:sz w:val="20"/>
          <w:szCs w:val="20"/>
        </w:rPr>
      </w:pPr>
      <w:r w:rsidRPr="005E1EA7">
        <w:rPr>
          <w:rFonts w:ascii="Tahoma" w:hAnsi="Tahoma" w:cs="Tahoma"/>
          <w:b/>
          <w:bCs/>
          <w:sz w:val="20"/>
          <w:szCs w:val="20"/>
        </w:rPr>
        <w:t>CHAPITRE III - REGLES DE PRELEVEMENT ET DE PREPARATION DES ECHANTILLONS A ANALYSER</w:t>
      </w:r>
    </w:p>
    <w:p w14:paraId="0CC932E9" w14:textId="77777777" w:rsidR="003D69A8" w:rsidRPr="005E1EA7" w:rsidRDefault="003D69A8" w:rsidP="003D69A8">
      <w:pPr>
        <w:pStyle w:val="CM4"/>
        <w:rPr>
          <w:rFonts w:ascii="Tahoma" w:hAnsi="Tahoma" w:cs="Tahoma"/>
          <w:sz w:val="20"/>
          <w:szCs w:val="20"/>
        </w:rPr>
      </w:pPr>
    </w:p>
    <w:p w14:paraId="1DB2D695" w14:textId="46F3580C" w:rsidR="00F23171" w:rsidRDefault="003D69A8" w:rsidP="003D69A8">
      <w:pPr>
        <w:autoSpaceDE w:val="0"/>
        <w:autoSpaceDN w:val="0"/>
        <w:adjustRightInd w:val="0"/>
        <w:ind w:right="-134"/>
        <w:jc w:val="both"/>
        <w:rPr>
          <w:rFonts w:ascii="Tahoma" w:hAnsi="Tahoma" w:cs="Tahoma"/>
          <w:sz w:val="20"/>
          <w:szCs w:val="20"/>
        </w:rPr>
      </w:pPr>
      <w:r w:rsidRPr="005E1EA7">
        <w:rPr>
          <w:rFonts w:ascii="Tahoma" w:hAnsi="Tahoma" w:cs="Tahoma"/>
          <w:sz w:val="20"/>
          <w:szCs w:val="20"/>
        </w:rPr>
        <w:t xml:space="preserve">En l'absence de règles concernant le prélèvement des échantillons à analyser, il convient de définir une procédure en se référant aux normes correspondantes de l'ISO (International Organisation for Standardization) et aux lignes directrices du </w:t>
      </w:r>
      <w:r w:rsidRPr="005E1EA7">
        <w:rPr>
          <w:rFonts w:ascii="Tahoma" w:hAnsi="Tahoma" w:cs="Tahoma"/>
          <w:i/>
          <w:iCs/>
          <w:sz w:val="20"/>
          <w:szCs w:val="20"/>
        </w:rPr>
        <w:t>Codex Alimentarius</w:t>
      </w:r>
      <w:r w:rsidRPr="005E1EA7">
        <w:rPr>
          <w:rFonts w:ascii="Tahoma" w:hAnsi="Tahoma" w:cs="Tahoma"/>
          <w:sz w:val="20"/>
          <w:szCs w:val="20"/>
        </w:rPr>
        <w:t>.</w:t>
      </w:r>
    </w:p>
    <w:p w14:paraId="0085B056" w14:textId="77777777" w:rsidR="00F23171" w:rsidRDefault="00F23171">
      <w:pPr>
        <w:rPr>
          <w:rFonts w:ascii="Tahoma" w:hAnsi="Tahoma" w:cs="Tahoma"/>
          <w:sz w:val="20"/>
          <w:szCs w:val="20"/>
        </w:rPr>
      </w:pPr>
      <w:r>
        <w:rPr>
          <w:rFonts w:ascii="Tahoma" w:hAnsi="Tahoma" w:cs="Tahoma"/>
          <w:sz w:val="20"/>
          <w:szCs w:val="20"/>
        </w:rPr>
        <w:br w:type="page"/>
      </w:r>
    </w:p>
    <w:p w14:paraId="3229651D" w14:textId="2E25D479" w:rsidR="003D69A8" w:rsidRPr="005E1EA7" w:rsidRDefault="003D69A8" w:rsidP="00F23171">
      <w:pPr>
        <w:autoSpaceDE w:val="0"/>
        <w:autoSpaceDN w:val="0"/>
        <w:adjustRightInd w:val="0"/>
        <w:ind w:right="-134"/>
        <w:jc w:val="center"/>
        <w:rPr>
          <w:rFonts w:ascii="Tahoma" w:hAnsi="Tahoma" w:cs="Tahoma"/>
          <w:b/>
          <w:bCs/>
          <w:sz w:val="20"/>
          <w:szCs w:val="20"/>
        </w:rPr>
      </w:pPr>
      <w:r w:rsidRPr="005E1EA7">
        <w:rPr>
          <w:rFonts w:ascii="Tahoma" w:hAnsi="Tahoma" w:cs="Tahoma"/>
          <w:b/>
          <w:bCs/>
          <w:sz w:val="20"/>
          <w:szCs w:val="20"/>
        </w:rPr>
        <w:lastRenderedPageBreak/>
        <w:t>ANNEXE II :</w:t>
      </w:r>
    </w:p>
    <w:p w14:paraId="7918D356" w14:textId="77777777" w:rsidR="003D69A8" w:rsidRPr="005E1EA7" w:rsidRDefault="003D69A8" w:rsidP="003D69A8">
      <w:pPr>
        <w:autoSpaceDE w:val="0"/>
        <w:autoSpaceDN w:val="0"/>
        <w:adjustRightInd w:val="0"/>
        <w:ind w:right="-134"/>
        <w:jc w:val="center"/>
        <w:rPr>
          <w:rFonts w:ascii="Tahoma" w:hAnsi="Tahoma" w:cs="Tahoma"/>
          <w:b/>
          <w:bCs/>
          <w:sz w:val="20"/>
          <w:szCs w:val="20"/>
        </w:rPr>
      </w:pPr>
    </w:p>
    <w:p w14:paraId="48708739" w14:textId="77777777" w:rsidR="003D69A8" w:rsidRPr="005E1EA7" w:rsidRDefault="003D69A8" w:rsidP="003D69A8">
      <w:pPr>
        <w:autoSpaceDE w:val="0"/>
        <w:autoSpaceDN w:val="0"/>
        <w:adjustRightInd w:val="0"/>
        <w:ind w:right="-134"/>
        <w:jc w:val="center"/>
        <w:rPr>
          <w:rFonts w:ascii="Tahoma" w:hAnsi="Tahoma" w:cs="Tahoma"/>
          <w:b/>
          <w:bCs/>
          <w:sz w:val="20"/>
          <w:szCs w:val="20"/>
        </w:rPr>
      </w:pPr>
      <w:r w:rsidRPr="005E1EA7">
        <w:rPr>
          <w:rFonts w:ascii="Tahoma" w:hAnsi="Tahoma" w:cs="Tahoma"/>
          <w:b/>
          <w:bCs/>
          <w:sz w:val="20"/>
          <w:szCs w:val="20"/>
        </w:rPr>
        <w:t>CRITERES CHIMIQUES POUR LE CONTROLE DE CERTAINS CONTAMINANTS DANS LES PRODUITS DE LA PECHE ET LES MOLLUSQUES BIVALVES</w:t>
      </w:r>
    </w:p>
    <w:p w14:paraId="20006EA6" w14:textId="77777777" w:rsidR="003D69A8" w:rsidRPr="005E1EA7" w:rsidRDefault="003D69A8" w:rsidP="003D69A8">
      <w:pPr>
        <w:jc w:val="center"/>
        <w:rPr>
          <w:rFonts w:ascii="Tahoma" w:hAnsi="Tahoma" w:cs="Tahoma"/>
          <w:b/>
          <w:bCs/>
          <w:sz w:val="20"/>
          <w:szCs w:val="20"/>
        </w:rPr>
      </w:pPr>
    </w:p>
    <w:p w14:paraId="4BA1A115" w14:textId="77777777" w:rsidR="003D69A8" w:rsidRPr="005E1EA7" w:rsidRDefault="003D69A8" w:rsidP="003D69A8">
      <w:pPr>
        <w:jc w:val="center"/>
        <w:rPr>
          <w:rFonts w:ascii="Tahoma" w:hAnsi="Tahoma" w:cs="Tahoma"/>
          <w:b/>
          <w:bCs/>
          <w:sz w:val="20"/>
          <w:szCs w:val="20"/>
        </w:rPr>
      </w:pPr>
      <w:r w:rsidRPr="005E1EA7">
        <w:rPr>
          <w:rFonts w:ascii="Tahoma" w:hAnsi="Tahoma" w:cs="Tahoma"/>
          <w:b/>
          <w:bCs/>
          <w:sz w:val="20"/>
          <w:szCs w:val="20"/>
        </w:rPr>
        <w:t xml:space="preserve">CHAPITRE I - TENEURS MAXIMALES EN METAUX LOURDS </w:t>
      </w:r>
    </w:p>
    <w:p w14:paraId="12AD871C" w14:textId="77777777" w:rsidR="003D69A8" w:rsidRPr="005E1EA7" w:rsidRDefault="003D69A8" w:rsidP="003D69A8">
      <w:pPr>
        <w:jc w:val="center"/>
        <w:rPr>
          <w:rFonts w:ascii="Tahoma" w:hAnsi="Tahoma" w:cs="Tahoma"/>
          <w:sz w:val="20"/>
          <w:szCs w:val="20"/>
        </w:rPr>
      </w:pPr>
    </w:p>
    <w:p w14:paraId="262506E7" w14:textId="77777777" w:rsidR="003D69A8" w:rsidRPr="005E1EA7" w:rsidRDefault="003D69A8" w:rsidP="003D69A8">
      <w:pPr>
        <w:pStyle w:val="Default"/>
        <w:jc w:val="both"/>
        <w:rPr>
          <w:rFonts w:ascii="Tahoma" w:hAnsi="Tahoma" w:cs="Tahoma"/>
          <w:color w:val="auto"/>
          <w:sz w:val="20"/>
          <w:szCs w:val="20"/>
        </w:rPr>
      </w:pPr>
      <w:r w:rsidRPr="005E1EA7">
        <w:rPr>
          <w:rFonts w:ascii="Tahoma" w:hAnsi="Tahoma" w:cs="Tahoma"/>
          <w:color w:val="auto"/>
          <w:sz w:val="20"/>
          <w:szCs w:val="20"/>
        </w:rPr>
        <w:t>Le respect des teneurs maximales est établi en se fondant sur les teneurs déterminées dans les échantillons de laboratoire en analysant le corps entier des mollusques bivalves et des poissons s'ils sont normalement consommés en entier.</w:t>
      </w:r>
    </w:p>
    <w:p w14:paraId="75869B90" w14:textId="77777777" w:rsidR="003D69A8" w:rsidRPr="005E1EA7" w:rsidRDefault="003D69A8" w:rsidP="003D69A8">
      <w:pPr>
        <w:pStyle w:val="Default"/>
        <w:jc w:val="both"/>
        <w:rPr>
          <w:rFonts w:ascii="Tahoma" w:hAnsi="Tahoma" w:cs="Tahoma"/>
          <w:color w:val="auto"/>
          <w:sz w:val="20"/>
          <w:szCs w:val="20"/>
        </w:rPr>
      </w:pPr>
    </w:p>
    <w:p w14:paraId="480AE6BD" w14:textId="77777777" w:rsidR="003D69A8" w:rsidRPr="005E1EA7" w:rsidRDefault="003D69A8" w:rsidP="003D69A8">
      <w:pPr>
        <w:autoSpaceDE w:val="0"/>
        <w:autoSpaceDN w:val="0"/>
        <w:adjustRightInd w:val="0"/>
        <w:jc w:val="both"/>
        <w:rPr>
          <w:rFonts w:ascii="Tahoma" w:hAnsi="Tahoma" w:cs="Tahoma"/>
          <w:sz w:val="20"/>
          <w:szCs w:val="20"/>
        </w:rPr>
      </w:pPr>
      <w:r w:rsidRPr="005E1EA7">
        <w:rPr>
          <w:rFonts w:ascii="Tahoma" w:hAnsi="Tahoma" w:cs="Tahoma"/>
          <w:iCs/>
          <w:sz w:val="20"/>
          <w:szCs w:val="20"/>
        </w:rPr>
        <w:t>Dans le cas des poissons destinés à être consommés en entier, la teneur maximale s’applique au poisson entier</w:t>
      </w:r>
      <w:r w:rsidRPr="005E1EA7">
        <w:rPr>
          <w:rFonts w:ascii="Tahoma" w:hAnsi="Tahoma" w:cs="Tahoma"/>
          <w:sz w:val="20"/>
          <w:szCs w:val="20"/>
        </w:rPr>
        <w:t> ;</w:t>
      </w:r>
    </w:p>
    <w:p w14:paraId="6542AB10" w14:textId="77777777" w:rsidR="003D69A8" w:rsidRPr="005E1EA7" w:rsidRDefault="003D69A8" w:rsidP="003D69A8">
      <w:pPr>
        <w:autoSpaceDE w:val="0"/>
        <w:autoSpaceDN w:val="0"/>
        <w:adjustRightInd w:val="0"/>
        <w:jc w:val="both"/>
        <w:rPr>
          <w:rFonts w:ascii="Tahoma" w:hAnsi="Tahoma" w:cs="Tahoma"/>
          <w:sz w:val="20"/>
          <w:szCs w:val="20"/>
        </w:rPr>
      </w:pPr>
    </w:p>
    <w:p w14:paraId="49A96CD0" w14:textId="77777777" w:rsidR="003D69A8" w:rsidRPr="005E1EA7" w:rsidRDefault="003D69A8" w:rsidP="003D69A8">
      <w:pPr>
        <w:autoSpaceDE w:val="0"/>
        <w:autoSpaceDN w:val="0"/>
        <w:adjustRightInd w:val="0"/>
        <w:jc w:val="both"/>
        <w:rPr>
          <w:rFonts w:ascii="Tahoma" w:hAnsi="Tahoma" w:cs="Tahoma"/>
          <w:sz w:val="20"/>
          <w:szCs w:val="20"/>
        </w:rPr>
      </w:pPr>
      <w:r w:rsidRPr="005E1EA7">
        <w:rPr>
          <w:rFonts w:ascii="Tahoma" w:hAnsi="Tahoma" w:cs="Tahoma"/>
          <w:sz w:val="20"/>
          <w:szCs w:val="20"/>
        </w:rPr>
        <w:t>Dans le cas des produits de la pêche qui sont séchés, dilués, transformés ou composés de plus d'un ingrédient, la teneur maximale applicable pour les métaux lourds est celle fixée dans le présent arrêté compte tenu, le cas échéant, des proportions relatives des ingrédients dans le produit, dans la mesure où aucune teneur maximale spécifique n'est fixée pour ces types de produits,</w:t>
      </w:r>
    </w:p>
    <w:p w14:paraId="03C045E7" w14:textId="77777777" w:rsidR="003D69A8" w:rsidRPr="005E1EA7" w:rsidRDefault="003D69A8" w:rsidP="003D69A8">
      <w:pPr>
        <w:autoSpaceDE w:val="0"/>
        <w:autoSpaceDN w:val="0"/>
        <w:adjustRightInd w:val="0"/>
        <w:jc w:val="both"/>
        <w:rPr>
          <w:rFonts w:ascii="Tahoma" w:hAnsi="Tahoma" w:cs="Tahoma"/>
          <w:sz w:val="20"/>
          <w:szCs w:val="20"/>
        </w:rPr>
      </w:pPr>
    </w:p>
    <w:p w14:paraId="02465656" w14:textId="77777777" w:rsidR="003D69A8" w:rsidRPr="005E1EA7" w:rsidRDefault="003D69A8" w:rsidP="003D69A8">
      <w:pPr>
        <w:autoSpaceDE w:val="0"/>
        <w:autoSpaceDN w:val="0"/>
        <w:adjustRightInd w:val="0"/>
        <w:jc w:val="both"/>
        <w:rPr>
          <w:rFonts w:ascii="Tahoma" w:hAnsi="Tahoma" w:cs="Tahoma"/>
          <w:iCs/>
          <w:sz w:val="20"/>
          <w:szCs w:val="20"/>
        </w:rPr>
      </w:pPr>
      <w:r w:rsidRPr="005E1EA7">
        <w:rPr>
          <w:rFonts w:ascii="Tahoma" w:hAnsi="Tahoma" w:cs="Tahoma"/>
          <w:iCs/>
          <w:sz w:val="20"/>
          <w:szCs w:val="20"/>
        </w:rPr>
        <w:t>Pour les crustacés, la teneur maximale s’applique à la chair musculaire des appendices et de l’abdomen, ce qui signifie que le céphalothorax des crustacés est exclu. Dans le cas des crabes et des crustacés de type crabe (Brachyura et Anomura), la teneur maximale s’applique à la chair musculaire des appendices. ;</w:t>
      </w:r>
    </w:p>
    <w:p w14:paraId="5F6AC32F" w14:textId="77777777" w:rsidR="003D69A8" w:rsidRPr="005E1EA7" w:rsidRDefault="003D69A8" w:rsidP="003D69A8">
      <w:pPr>
        <w:autoSpaceDE w:val="0"/>
        <w:autoSpaceDN w:val="0"/>
        <w:adjustRightInd w:val="0"/>
        <w:jc w:val="both"/>
        <w:rPr>
          <w:rFonts w:ascii="Tahoma" w:hAnsi="Tahoma" w:cs="Tahoma"/>
          <w:iCs/>
          <w:sz w:val="20"/>
          <w:szCs w:val="20"/>
        </w:rPr>
      </w:pPr>
    </w:p>
    <w:p w14:paraId="1DCEC6C8" w14:textId="77777777" w:rsidR="003D69A8" w:rsidRPr="005E1EA7" w:rsidRDefault="003D69A8" w:rsidP="003D69A8">
      <w:pPr>
        <w:autoSpaceDE w:val="0"/>
        <w:autoSpaceDN w:val="0"/>
        <w:adjustRightInd w:val="0"/>
        <w:jc w:val="both"/>
        <w:rPr>
          <w:rFonts w:ascii="Tahoma" w:hAnsi="Tahoma" w:cs="Tahoma"/>
          <w:sz w:val="20"/>
          <w:szCs w:val="20"/>
        </w:rPr>
      </w:pPr>
      <w:r w:rsidRPr="005E1EA7">
        <w:rPr>
          <w:rFonts w:ascii="Tahoma" w:hAnsi="Tahoma" w:cs="Tahoma"/>
          <w:iCs/>
          <w:sz w:val="20"/>
          <w:szCs w:val="20"/>
        </w:rPr>
        <w:t>Pour les mollusques bivalves, dans le cas des coquilles Saint-Jacques (Pecten maximus), la teneur maximale s’applique seulement au muscle adducteur et à la gonade</w:t>
      </w:r>
    </w:p>
    <w:p w14:paraId="20ACB5EF" w14:textId="77777777" w:rsidR="003D69A8" w:rsidRPr="005E1EA7" w:rsidRDefault="003D69A8" w:rsidP="003D69A8">
      <w:pPr>
        <w:autoSpaceDE w:val="0"/>
        <w:autoSpaceDN w:val="0"/>
        <w:adjustRightInd w:val="0"/>
        <w:jc w:val="both"/>
        <w:rPr>
          <w:rFonts w:ascii="Tahoma" w:hAnsi="Tahoma" w:cs="Tahoma"/>
          <w:sz w:val="20"/>
          <w:szCs w:val="20"/>
        </w:rPr>
      </w:pPr>
    </w:p>
    <w:p w14:paraId="1CCC4C0C" w14:textId="77777777" w:rsidR="003D69A8" w:rsidRPr="005E1EA7" w:rsidRDefault="003D69A8" w:rsidP="00420DDA">
      <w:pPr>
        <w:pStyle w:val="Default"/>
        <w:widowControl/>
        <w:numPr>
          <w:ilvl w:val="0"/>
          <w:numId w:val="185"/>
        </w:numPr>
        <w:autoSpaceDE/>
        <w:autoSpaceDN/>
        <w:adjustRightInd/>
        <w:rPr>
          <w:rFonts w:ascii="Tahoma" w:hAnsi="Tahoma" w:cs="Tahoma"/>
          <w:b/>
          <w:color w:val="auto"/>
          <w:sz w:val="20"/>
          <w:szCs w:val="20"/>
        </w:rPr>
      </w:pPr>
      <w:r w:rsidRPr="005E1EA7">
        <w:rPr>
          <w:rFonts w:ascii="Tahoma" w:hAnsi="Tahoma" w:cs="Tahoma"/>
          <w:b/>
          <w:color w:val="auto"/>
          <w:sz w:val="20"/>
          <w:szCs w:val="20"/>
        </w:rPr>
        <w:t>PLOMB (Pb)</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
        <w:gridCol w:w="6814"/>
        <w:gridCol w:w="1697"/>
      </w:tblGrid>
      <w:tr w:rsidR="003D69A8" w:rsidRPr="005E1EA7" w14:paraId="5F99F05A" w14:textId="77777777" w:rsidTr="006365F0">
        <w:trPr>
          <w:trHeight w:val="20"/>
        </w:trPr>
        <w:tc>
          <w:tcPr>
            <w:tcW w:w="7366" w:type="dxa"/>
            <w:gridSpan w:val="2"/>
          </w:tcPr>
          <w:p w14:paraId="648E2101" w14:textId="77777777" w:rsidR="003D69A8" w:rsidRPr="005E1EA7" w:rsidRDefault="003D69A8" w:rsidP="006365F0">
            <w:pPr>
              <w:rPr>
                <w:rFonts w:ascii="Tahoma" w:hAnsi="Tahoma" w:cs="Tahoma"/>
                <w:iCs/>
                <w:sz w:val="20"/>
                <w:szCs w:val="20"/>
              </w:rPr>
            </w:pPr>
            <w:r w:rsidRPr="005E1EA7">
              <w:rPr>
                <w:rFonts w:ascii="Tahoma" w:hAnsi="Tahoma" w:cs="Tahoma"/>
                <w:iCs/>
                <w:sz w:val="20"/>
                <w:szCs w:val="20"/>
              </w:rPr>
              <w:t>Denrées alimentaires</w:t>
            </w:r>
          </w:p>
        </w:tc>
        <w:tc>
          <w:tcPr>
            <w:tcW w:w="1701" w:type="dxa"/>
          </w:tcPr>
          <w:p w14:paraId="3B95097E"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Teneurs maximales (mg/kg)</w:t>
            </w:r>
          </w:p>
        </w:tc>
      </w:tr>
      <w:tr w:rsidR="003D69A8" w:rsidRPr="005E1EA7" w14:paraId="1F176ACE" w14:textId="77777777" w:rsidTr="006365F0">
        <w:trPr>
          <w:trHeight w:val="20"/>
        </w:trPr>
        <w:tc>
          <w:tcPr>
            <w:tcW w:w="516" w:type="dxa"/>
          </w:tcPr>
          <w:p w14:paraId="2FA694C6" w14:textId="77777777" w:rsidR="003D69A8" w:rsidRPr="005E1EA7" w:rsidRDefault="003D69A8" w:rsidP="006365F0">
            <w:pPr>
              <w:rPr>
                <w:rFonts w:ascii="Tahoma" w:hAnsi="Tahoma" w:cs="Tahoma"/>
                <w:iCs/>
                <w:sz w:val="20"/>
                <w:szCs w:val="20"/>
              </w:rPr>
            </w:pPr>
            <w:r w:rsidRPr="005E1EA7">
              <w:rPr>
                <w:rFonts w:ascii="Tahoma" w:hAnsi="Tahoma" w:cs="Tahoma"/>
                <w:iCs/>
                <w:sz w:val="20"/>
                <w:szCs w:val="20"/>
              </w:rPr>
              <w:t>1.1.</w:t>
            </w:r>
          </w:p>
        </w:tc>
        <w:tc>
          <w:tcPr>
            <w:tcW w:w="6850" w:type="dxa"/>
          </w:tcPr>
          <w:p w14:paraId="24A62EDF" w14:textId="77777777" w:rsidR="003D69A8" w:rsidRPr="005E1EA7" w:rsidRDefault="003D69A8" w:rsidP="006365F0">
            <w:pPr>
              <w:rPr>
                <w:rFonts w:ascii="Tahoma" w:hAnsi="Tahoma" w:cs="Tahoma"/>
                <w:iCs/>
                <w:sz w:val="20"/>
                <w:szCs w:val="20"/>
              </w:rPr>
            </w:pPr>
            <w:r w:rsidRPr="005E1EA7">
              <w:rPr>
                <w:rFonts w:ascii="Tahoma" w:hAnsi="Tahoma" w:cs="Tahoma"/>
                <w:iCs/>
                <w:sz w:val="20"/>
                <w:szCs w:val="20"/>
              </w:rPr>
              <w:t xml:space="preserve">Chair musculaire de poisson </w:t>
            </w:r>
          </w:p>
        </w:tc>
        <w:tc>
          <w:tcPr>
            <w:tcW w:w="1701" w:type="dxa"/>
          </w:tcPr>
          <w:p w14:paraId="1660EAAB"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0,30</w:t>
            </w:r>
          </w:p>
        </w:tc>
      </w:tr>
      <w:tr w:rsidR="003D69A8" w:rsidRPr="005E1EA7" w14:paraId="113FD509" w14:textId="77777777" w:rsidTr="006365F0">
        <w:trPr>
          <w:trHeight w:val="20"/>
        </w:trPr>
        <w:tc>
          <w:tcPr>
            <w:tcW w:w="516" w:type="dxa"/>
          </w:tcPr>
          <w:p w14:paraId="60691BA7" w14:textId="77777777" w:rsidR="003D69A8" w:rsidRPr="005E1EA7" w:rsidRDefault="003D69A8" w:rsidP="006365F0">
            <w:pPr>
              <w:rPr>
                <w:rFonts w:ascii="Tahoma" w:hAnsi="Tahoma" w:cs="Tahoma"/>
                <w:iCs/>
                <w:sz w:val="20"/>
                <w:szCs w:val="20"/>
              </w:rPr>
            </w:pPr>
            <w:r w:rsidRPr="005E1EA7">
              <w:rPr>
                <w:rFonts w:ascii="Tahoma" w:hAnsi="Tahoma" w:cs="Tahoma"/>
                <w:iCs/>
                <w:sz w:val="20"/>
                <w:szCs w:val="20"/>
              </w:rPr>
              <w:t>1.2</w:t>
            </w:r>
          </w:p>
        </w:tc>
        <w:tc>
          <w:tcPr>
            <w:tcW w:w="6850" w:type="dxa"/>
          </w:tcPr>
          <w:p w14:paraId="3B56C610" w14:textId="77777777" w:rsidR="003D69A8" w:rsidRPr="005E1EA7" w:rsidRDefault="003D69A8" w:rsidP="006365F0">
            <w:pPr>
              <w:rPr>
                <w:rFonts w:ascii="Tahoma" w:hAnsi="Tahoma" w:cs="Tahoma"/>
                <w:iCs/>
                <w:sz w:val="20"/>
                <w:szCs w:val="20"/>
              </w:rPr>
            </w:pPr>
            <w:r w:rsidRPr="005E1EA7">
              <w:rPr>
                <w:rFonts w:ascii="Tahoma" w:hAnsi="Tahoma" w:cs="Tahoma"/>
                <w:iCs/>
                <w:sz w:val="20"/>
                <w:szCs w:val="20"/>
              </w:rPr>
              <w:t>Céphalopodes sans viscères</w:t>
            </w:r>
          </w:p>
        </w:tc>
        <w:tc>
          <w:tcPr>
            <w:tcW w:w="1701" w:type="dxa"/>
          </w:tcPr>
          <w:p w14:paraId="0AF918FA"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0,30</w:t>
            </w:r>
          </w:p>
        </w:tc>
      </w:tr>
      <w:tr w:rsidR="003D69A8" w:rsidRPr="005E1EA7" w14:paraId="63D3BA6E" w14:textId="77777777" w:rsidTr="006365F0">
        <w:trPr>
          <w:trHeight w:val="20"/>
        </w:trPr>
        <w:tc>
          <w:tcPr>
            <w:tcW w:w="516" w:type="dxa"/>
          </w:tcPr>
          <w:p w14:paraId="58DC862C" w14:textId="77777777" w:rsidR="003D69A8" w:rsidRPr="005E1EA7" w:rsidRDefault="003D69A8" w:rsidP="006365F0">
            <w:pPr>
              <w:rPr>
                <w:rFonts w:ascii="Tahoma" w:hAnsi="Tahoma" w:cs="Tahoma"/>
                <w:iCs/>
                <w:sz w:val="20"/>
                <w:szCs w:val="20"/>
              </w:rPr>
            </w:pPr>
            <w:r w:rsidRPr="005E1EA7">
              <w:rPr>
                <w:rFonts w:ascii="Tahoma" w:hAnsi="Tahoma" w:cs="Tahoma"/>
                <w:iCs/>
                <w:sz w:val="20"/>
                <w:szCs w:val="20"/>
              </w:rPr>
              <w:t>1.3.</w:t>
            </w:r>
          </w:p>
        </w:tc>
        <w:tc>
          <w:tcPr>
            <w:tcW w:w="6850" w:type="dxa"/>
          </w:tcPr>
          <w:p w14:paraId="1F141FE7" w14:textId="77777777" w:rsidR="003D69A8" w:rsidRPr="005E1EA7" w:rsidRDefault="003D69A8" w:rsidP="006365F0">
            <w:pPr>
              <w:rPr>
                <w:rFonts w:ascii="Tahoma" w:hAnsi="Tahoma" w:cs="Tahoma"/>
                <w:iCs/>
                <w:sz w:val="20"/>
                <w:szCs w:val="20"/>
              </w:rPr>
            </w:pPr>
            <w:r w:rsidRPr="005E1EA7">
              <w:rPr>
                <w:rFonts w:ascii="Tahoma" w:hAnsi="Tahoma" w:cs="Tahoma"/>
                <w:iCs/>
                <w:sz w:val="20"/>
                <w:szCs w:val="20"/>
              </w:rPr>
              <w:t xml:space="preserve">Crustacés </w:t>
            </w:r>
          </w:p>
        </w:tc>
        <w:tc>
          <w:tcPr>
            <w:tcW w:w="1701" w:type="dxa"/>
          </w:tcPr>
          <w:p w14:paraId="62189331"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0,50</w:t>
            </w:r>
          </w:p>
        </w:tc>
      </w:tr>
      <w:tr w:rsidR="003D69A8" w:rsidRPr="005E1EA7" w14:paraId="36595402" w14:textId="77777777" w:rsidTr="006365F0">
        <w:trPr>
          <w:trHeight w:val="20"/>
        </w:trPr>
        <w:tc>
          <w:tcPr>
            <w:tcW w:w="516" w:type="dxa"/>
          </w:tcPr>
          <w:p w14:paraId="4CA402EC" w14:textId="77777777" w:rsidR="003D69A8" w:rsidRPr="005E1EA7" w:rsidRDefault="003D69A8" w:rsidP="006365F0">
            <w:pPr>
              <w:rPr>
                <w:rFonts w:ascii="Tahoma" w:hAnsi="Tahoma" w:cs="Tahoma"/>
                <w:iCs/>
                <w:sz w:val="20"/>
                <w:szCs w:val="20"/>
              </w:rPr>
            </w:pPr>
            <w:r w:rsidRPr="005E1EA7">
              <w:rPr>
                <w:rFonts w:ascii="Tahoma" w:hAnsi="Tahoma" w:cs="Tahoma"/>
                <w:iCs/>
                <w:sz w:val="20"/>
                <w:szCs w:val="20"/>
              </w:rPr>
              <w:t>1.4.</w:t>
            </w:r>
          </w:p>
        </w:tc>
        <w:tc>
          <w:tcPr>
            <w:tcW w:w="6850" w:type="dxa"/>
          </w:tcPr>
          <w:p w14:paraId="4B110654" w14:textId="77777777" w:rsidR="003D69A8" w:rsidRPr="005E1EA7" w:rsidRDefault="003D69A8" w:rsidP="006365F0">
            <w:pPr>
              <w:rPr>
                <w:rFonts w:ascii="Tahoma" w:hAnsi="Tahoma" w:cs="Tahoma"/>
                <w:iCs/>
                <w:sz w:val="20"/>
                <w:szCs w:val="20"/>
              </w:rPr>
            </w:pPr>
            <w:r w:rsidRPr="005E1EA7">
              <w:rPr>
                <w:rFonts w:ascii="Tahoma" w:hAnsi="Tahoma" w:cs="Tahoma"/>
                <w:iCs/>
                <w:sz w:val="20"/>
                <w:szCs w:val="20"/>
              </w:rPr>
              <w:t>Mollusques bivalves</w:t>
            </w:r>
          </w:p>
        </w:tc>
        <w:tc>
          <w:tcPr>
            <w:tcW w:w="1701" w:type="dxa"/>
          </w:tcPr>
          <w:p w14:paraId="672CA240"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1,5</w:t>
            </w:r>
          </w:p>
        </w:tc>
      </w:tr>
    </w:tbl>
    <w:p w14:paraId="1BF893A4" w14:textId="77777777" w:rsidR="003D69A8" w:rsidRPr="005E1EA7" w:rsidRDefault="003D69A8" w:rsidP="003D69A8">
      <w:pPr>
        <w:rPr>
          <w:rFonts w:ascii="Tahoma" w:hAnsi="Tahoma" w:cs="Tahoma"/>
          <w:i/>
          <w:sz w:val="20"/>
          <w:szCs w:val="20"/>
        </w:rPr>
      </w:pPr>
    </w:p>
    <w:p w14:paraId="2A44B5EC" w14:textId="77777777" w:rsidR="003D69A8" w:rsidRPr="005E1EA7" w:rsidRDefault="003D69A8" w:rsidP="00420DDA">
      <w:pPr>
        <w:pStyle w:val="Default"/>
        <w:widowControl/>
        <w:numPr>
          <w:ilvl w:val="0"/>
          <w:numId w:val="185"/>
        </w:numPr>
        <w:autoSpaceDE/>
        <w:autoSpaceDN/>
        <w:adjustRightInd/>
        <w:rPr>
          <w:rFonts w:ascii="Tahoma" w:hAnsi="Tahoma" w:cs="Tahoma"/>
          <w:b/>
          <w:color w:val="auto"/>
          <w:sz w:val="20"/>
          <w:szCs w:val="20"/>
        </w:rPr>
      </w:pPr>
      <w:r w:rsidRPr="005E1EA7">
        <w:rPr>
          <w:rFonts w:ascii="Tahoma" w:hAnsi="Tahoma" w:cs="Tahoma"/>
          <w:b/>
          <w:color w:val="auto"/>
          <w:sz w:val="20"/>
          <w:szCs w:val="20"/>
        </w:rPr>
        <w:t>CADMIUM (Cd)</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5"/>
        <w:gridCol w:w="6876"/>
        <w:gridCol w:w="1696"/>
      </w:tblGrid>
      <w:tr w:rsidR="003D69A8" w:rsidRPr="005E1EA7" w14:paraId="4956772A" w14:textId="77777777" w:rsidTr="006365F0">
        <w:trPr>
          <w:trHeight w:val="20"/>
        </w:trPr>
        <w:tc>
          <w:tcPr>
            <w:tcW w:w="7366" w:type="dxa"/>
            <w:gridSpan w:val="2"/>
          </w:tcPr>
          <w:p w14:paraId="2903F32E" w14:textId="77777777" w:rsidR="003D69A8" w:rsidRPr="005E1EA7" w:rsidRDefault="003D69A8" w:rsidP="006365F0">
            <w:pPr>
              <w:rPr>
                <w:rFonts w:ascii="Tahoma" w:hAnsi="Tahoma" w:cs="Tahoma"/>
                <w:i/>
                <w:sz w:val="20"/>
                <w:szCs w:val="20"/>
              </w:rPr>
            </w:pPr>
            <w:r w:rsidRPr="005E1EA7">
              <w:rPr>
                <w:rFonts w:ascii="Tahoma" w:hAnsi="Tahoma" w:cs="Tahoma"/>
                <w:i/>
                <w:sz w:val="20"/>
                <w:szCs w:val="20"/>
              </w:rPr>
              <w:t>Catégorie de denrées alimentaires</w:t>
            </w:r>
          </w:p>
        </w:tc>
        <w:tc>
          <w:tcPr>
            <w:tcW w:w="1701" w:type="dxa"/>
            <w:vAlign w:val="center"/>
          </w:tcPr>
          <w:p w14:paraId="1794FA63"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Teneurs maximales (mg/kg)</w:t>
            </w:r>
          </w:p>
        </w:tc>
      </w:tr>
      <w:tr w:rsidR="003D69A8" w:rsidRPr="005E1EA7" w14:paraId="11B6B37C" w14:textId="77777777" w:rsidTr="006365F0">
        <w:trPr>
          <w:trHeight w:val="20"/>
        </w:trPr>
        <w:tc>
          <w:tcPr>
            <w:tcW w:w="441" w:type="dxa"/>
            <w:vAlign w:val="center"/>
          </w:tcPr>
          <w:p w14:paraId="15265FE0"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2.1</w:t>
            </w:r>
          </w:p>
        </w:tc>
        <w:tc>
          <w:tcPr>
            <w:tcW w:w="6925" w:type="dxa"/>
            <w:vAlign w:val="center"/>
          </w:tcPr>
          <w:p w14:paraId="7C38D123" w14:textId="77777777" w:rsidR="003D69A8" w:rsidRPr="005E1EA7" w:rsidRDefault="003D69A8" w:rsidP="006365F0">
            <w:pPr>
              <w:rPr>
                <w:rFonts w:ascii="Tahoma" w:hAnsi="Tahoma" w:cs="Tahoma"/>
                <w:i/>
                <w:strike/>
                <w:sz w:val="20"/>
                <w:szCs w:val="20"/>
              </w:rPr>
            </w:pPr>
            <w:r w:rsidRPr="005E1EA7">
              <w:rPr>
                <w:rFonts w:ascii="Tahoma" w:eastAsiaTheme="minorHAnsi" w:hAnsi="Tahoma" w:cs="Tahoma"/>
                <w:sz w:val="20"/>
                <w:szCs w:val="20"/>
                <w:lang w:eastAsia="en-US"/>
              </w:rPr>
              <w:t>Chair musculaire de poisson</w:t>
            </w:r>
            <w:r w:rsidRPr="005E1EA7">
              <w:rPr>
                <w:rFonts w:ascii="Tahoma" w:hAnsi="Tahoma" w:cs="Tahoma"/>
                <w:sz w:val="20"/>
                <w:szCs w:val="20"/>
              </w:rPr>
              <w:t xml:space="preserve"> </w:t>
            </w:r>
            <w:r w:rsidRPr="005E1EA7">
              <w:rPr>
                <w:rFonts w:ascii="Tahoma" w:eastAsiaTheme="minorHAnsi" w:hAnsi="Tahoma" w:cs="Tahoma"/>
                <w:sz w:val="20"/>
                <w:szCs w:val="20"/>
                <w:lang w:eastAsia="en-US"/>
              </w:rPr>
              <w:t>à l'exclusion des espèces énumérées aux points 2.2, 2.3, 2.4 et 2.5</w:t>
            </w:r>
          </w:p>
        </w:tc>
        <w:tc>
          <w:tcPr>
            <w:tcW w:w="1701" w:type="dxa"/>
            <w:vAlign w:val="center"/>
          </w:tcPr>
          <w:p w14:paraId="2ABC37D5"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0,05</w:t>
            </w:r>
          </w:p>
        </w:tc>
      </w:tr>
      <w:tr w:rsidR="003D69A8" w:rsidRPr="005E1EA7" w14:paraId="1A0EBFB1" w14:textId="77777777" w:rsidTr="006365F0">
        <w:trPr>
          <w:trHeight w:val="20"/>
        </w:trPr>
        <w:tc>
          <w:tcPr>
            <w:tcW w:w="441" w:type="dxa"/>
            <w:vAlign w:val="center"/>
          </w:tcPr>
          <w:p w14:paraId="29104C01"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2.2</w:t>
            </w:r>
          </w:p>
        </w:tc>
        <w:tc>
          <w:tcPr>
            <w:tcW w:w="6925" w:type="dxa"/>
          </w:tcPr>
          <w:p w14:paraId="71407F6D" w14:textId="77777777" w:rsidR="003D69A8" w:rsidRPr="005E1EA7" w:rsidRDefault="003D69A8" w:rsidP="006365F0">
            <w:pPr>
              <w:rPr>
                <w:rFonts w:ascii="Tahoma" w:hAnsi="Tahoma" w:cs="Tahoma"/>
                <w:i/>
                <w:sz w:val="20"/>
                <w:szCs w:val="20"/>
              </w:rPr>
            </w:pPr>
            <w:r w:rsidRPr="005E1EA7">
              <w:rPr>
                <w:rFonts w:ascii="Tahoma" w:eastAsiaTheme="minorHAnsi" w:hAnsi="Tahoma" w:cs="Tahoma"/>
                <w:sz w:val="20"/>
                <w:szCs w:val="20"/>
                <w:lang w:eastAsia="en-US"/>
              </w:rPr>
              <w:t>Chair musculaire des poissons suivants : maquereau (</w:t>
            </w:r>
            <w:r w:rsidRPr="005E1EA7">
              <w:rPr>
                <w:rFonts w:ascii="Tahoma" w:eastAsiaTheme="minorHAnsi" w:hAnsi="Tahoma" w:cs="Tahoma"/>
                <w:i/>
                <w:iCs/>
                <w:sz w:val="20"/>
                <w:szCs w:val="20"/>
                <w:lang w:eastAsia="en-US"/>
              </w:rPr>
              <w:t>Scomber species</w:t>
            </w:r>
            <w:r w:rsidRPr="005E1EA7">
              <w:rPr>
                <w:rFonts w:ascii="Tahoma" w:eastAsiaTheme="minorHAnsi" w:hAnsi="Tahoma" w:cs="Tahoma"/>
                <w:sz w:val="20"/>
                <w:szCs w:val="20"/>
                <w:lang w:eastAsia="en-US"/>
              </w:rPr>
              <w:t>), thon (</w:t>
            </w:r>
            <w:r w:rsidRPr="005E1EA7">
              <w:rPr>
                <w:rFonts w:ascii="Tahoma" w:eastAsiaTheme="minorHAnsi" w:hAnsi="Tahoma" w:cs="Tahoma"/>
                <w:i/>
                <w:iCs/>
                <w:sz w:val="20"/>
                <w:szCs w:val="20"/>
                <w:lang w:eastAsia="en-US"/>
              </w:rPr>
              <w:t>Thunnus species, Katsuwonus pelamis</w:t>
            </w:r>
            <w:r w:rsidRPr="005E1EA7">
              <w:rPr>
                <w:rFonts w:ascii="Tahoma" w:eastAsiaTheme="minorHAnsi" w:hAnsi="Tahoma" w:cs="Tahoma"/>
                <w:sz w:val="20"/>
                <w:szCs w:val="20"/>
                <w:lang w:eastAsia="en-US"/>
              </w:rPr>
              <w:t xml:space="preserve">, </w:t>
            </w:r>
            <w:r w:rsidRPr="005E1EA7">
              <w:rPr>
                <w:rFonts w:ascii="Tahoma" w:eastAsiaTheme="minorHAnsi" w:hAnsi="Tahoma" w:cs="Tahoma"/>
                <w:i/>
                <w:iCs/>
                <w:sz w:val="20"/>
                <w:szCs w:val="20"/>
                <w:lang w:eastAsia="en-US"/>
              </w:rPr>
              <w:t>Euthynnus species)</w:t>
            </w:r>
            <w:r w:rsidRPr="005E1EA7">
              <w:rPr>
                <w:rFonts w:ascii="Tahoma" w:eastAsiaTheme="minorHAnsi" w:hAnsi="Tahoma" w:cs="Tahoma"/>
                <w:sz w:val="20"/>
                <w:szCs w:val="20"/>
                <w:lang w:eastAsia="en-US"/>
              </w:rPr>
              <w:t>, sicyoptère à bec de lièvre (</w:t>
            </w:r>
            <w:r w:rsidRPr="005E1EA7">
              <w:rPr>
                <w:rFonts w:ascii="Tahoma" w:eastAsiaTheme="minorHAnsi" w:hAnsi="Tahoma" w:cs="Tahoma"/>
                <w:i/>
                <w:iCs/>
                <w:sz w:val="20"/>
                <w:szCs w:val="20"/>
                <w:lang w:eastAsia="en-US"/>
              </w:rPr>
              <w:t>Sicyopterus lagocephalus</w:t>
            </w:r>
            <w:r w:rsidRPr="005E1EA7">
              <w:rPr>
                <w:rFonts w:ascii="Tahoma" w:eastAsiaTheme="minorHAnsi" w:hAnsi="Tahoma" w:cs="Tahoma"/>
                <w:sz w:val="20"/>
                <w:szCs w:val="20"/>
                <w:lang w:eastAsia="en-US"/>
              </w:rPr>
              <w:t xml:space="preserve">) </w:t>
            </w:r>
          </w:p>
        </w:tc>
        <w:tc>
          <w:tcPr>
            <w:tcW w:w="1701" w:type="dxa"/>
            <w:vAlign w:val="center"/>
          </w:tcPr>
          <w:p w14:paraId="52657A39"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0,10</w:t>
            </w:r>
          </w:p>
        </w:tc>
      </w:tr>
      <w:tr w:rsidR="003D69A8" w:rsidRPr="005E1EA7" w14:paraId="31F04E03" w14:textId="77777777" w:rsidTr="006365F0">
        <w:trPr>
          <w:trHeight w:val="20"/>
        </w:trPr>
        <w:tc>
          <w:tcPr>
            <w:tcW w:w="441" w:type="dxa"/>
            <w:vAlign w:val="center"/>
          </w:tcPr>
          <w:p w14:paraId="42DC9AC1"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2.3</w:t>
            </w:r>
          </w:p>
        </w:tc>
        <w:tc>
          <w:tcPr>
            <w:tcW w:w="6925" w:type="dxa"/>
            <w:vAlign w:val="center"/>
          </w:tcPr>
          <w:p w14:paraId="2429B375" w14:textId="77777777" w:rsidR="003D69A8" w:rsidRPr="005E1EA7" w:rsidRDefault="003D69A8" w:rsidP="006365F0">
            <w:pPr>
              <w:rPr>
                <w:rFonts w:ascii="Tahoma" w:eastAsiaTheme="minorHAnsi" w:hAnsi="Tahoma" w:cs="Tahoma"/>
                <w:i/>
                <w:iCs/>
                <w:sz w:val="20"/>
                <w:szCs w:val="20"/>
                <w:lang w:eastAsia="en-US"/>
              </w:rPr>
            </w:pPr>
            <w:r w:rsidRPr="005E1EA7">
              <w:rPr>
                <w:rFonts w:ascii="Tahoma" w:eastAsiaTheme="minorHAnsi" w:hAnsi="Tahoma" w:cs="Tahoma"/>
                <w:sz w:val="20"/>
                <w:szCs w:val="20"/>
                <w:lang w:eastAsia="en-US"/>
              </w:rPr>
              <w:t xml:space="preserve">Chair musculaire du poisson suivant : bonitou </w:t>
            </w:r>
            <w:r w:rsidRPr="005E1EA7">
              <w:rPr>
                <w:rFonts w:ascii="Tahoma" w:eastAsiaTheme="minorHAnsi" w:hAnsi="Tahoma" w:cs="Tahoma"/>
                <w:i/>
                <w:iCs/>
                <w:sz w:val="20"/>
                <w:szCs w:val="20"/>
                <w:lang w:eastAsia="en-US"/>
              </w:rPr>
              <w:t xml:space="preserve">(Auxis species) </w:t>
            </w:r>
          </w:p>
        </w:tc>
        <w:tc>
          <w:tcPr>
            <w:tcW w:w="1701" w:type="dxa"/>
            <w:vAlign w:val="center"/>
          </w:tcPr>
          <w:p w14:paraId="6ED66512"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0,15</w:t>
            </w:r>
          </w:p>
        </w:tc>
      </w:tr>
      <w:tr w:rsidR="003D69A8" w:rsidRPr="005E1EA7" w14:paraId="458F8602" w14:textId="77777777" w:rsidTr="006365F0">
        <w:trPr>
          <w:trHeight w:val="20"/>
        </w:trPr>
        <w:tc>
          <w:tcPr>
            <w:tcW w:w="441" w:type="dxa"/>
            <w:vAlign w:val="center"/>
          </w:tcPr>
          <w:p w14:paraId="6AEDA746"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2.4</w:t>
            </w:r>
          </w:p>
        </w:tc>
        <w:tc>
          <w:tcPr>
            <w:tcW w:w="6925" w:type="dxa"/>
            <w:vAlign w:val="center"/>
          </w:tcPr>
          <w:p w14:paraId="3A370EA2" w14:textId="77777777" w:rsidR="003D69A8" w:rsidRPr="005E1EA7" w:rsidRDefault="003D69A8" w:rsidP="006365F0">
            <w:pPr>
              <w:rPr>
                <w:rFonts w:ascii="Tahoma" w:eastAsiaTheme="minorHAnsi" w:hAnsi="Tahoma" w:cs="Tahoma"/>
                <w:sz w:val="20"/>
                <w:szCs w:val="20"/>
                <w:lang w:eastAsia="en-US"/>
              </w:rPr>
            </w:pPr>
            <w:r w:rsidRPr="005E1EA7">
              <w:rPr>
                <w:rFonts w:ascii="Tahoma" w:eastAsiaTheme="minorHAnsi" w:hAnsi="Tahoma" w:cs="Tahoma"/>
                <w:sz w:val="20"/>
                <w:szCs w:val="20"/>
                <w:lang w:eastAsia="en-US"/>
              </w:rPr>
              <w:t>Chair musculaire des poissons suivants : anchois (</w:t>
            </w:r>
            <w:r w:rsidRPr="005E1EA7">
              <w:rPr>
                <w:rFonts w:ascii="Tahoma" w:eastAsiaTheme="minorHAnsi" w:hAnsi="Tahoma" w:cs="Tahoma"/>
                <w:i/>
                <w:iCs/>
                <w:sz w:val="20"/>
                <w:szCs w:val="20"/>
                <w:lang w:eastAsia="en-US"/>
              </w:rPr>
              <w:t>Engraulis species</w:t>
            </w:r>
            <w:r w:rsidRPr="005E1EA7">
              <w:rPr>
                <w:rFonts w:ascii="Tahoma" w:eastAsiaTheme="minorHAnsi" w:hAnsi="Tahoma" w:cs="Tahoma"/>
                <w:sz w:val="20"/>
                <w:szCs w:val="20"/>
                <w:lang w:eastAsia="en-US"/>
              </w:rPr>
              <w:t>), espadon (</w:t>
            </w:r>
            <w:r w:rsidRPr="005E1EA7">
              <w:rPr>
                <w:rFonts w:ascii="Tahoma" w:eastAsiaTheme="minorHAnsi" w:hAnsi="Tahoma" w:cs="Tahoma"/>
                <w:i/>
                <w:iCs/>
                <w:sz w:val="20"/>
                <w:szCs w:val="20"/>
                <w:lang w:eastAsia="en-US"/>
              </w:rPr>
              <w:t>Xiphias gladius</w:t>
            </w:r>
            <w:r w:rsidRPr="005E1EA7">
              <w:rPr>
                <w:rFonts w:ascii="Tahoma" w:eastAsiaTheme="minorHAnsi" w:hAnsi="Tahoma" w:cs="Tahoma"/>
                <w:sz w:val="20"/>
                <w:szCs w:val="20"/>
                <w:lang w:eastAsia="en-US"/>
              </w:rPr>
              <w:t>), sardine (</w:t>
            </w:r>
            <w:r w:rsidRPr="005E1EA7">
              <w:rPr>
                <w:rFonts w:ascii="Tahoma" w:eastAsiaTheme="minorHAnsi" w:hAnsi="Tahoma" w:cs="Tahoma"/>
                <w:i/>
                <w:iCs/>
                <w:sz w:val="20"/>
                <w:szCs w:val="20"/>
                <w:lang w:eastAsia="en-US"/>
              </w:rPr>
              <w:t>Sardina pilchardus</w:t>
            </w:r>
            <w:r w:rsidRPr="005E1EA7">
              <w:rPr>
                <w:rFonts w:ascii="Tahoma" w:eastAsiaTheme="minorHAnsi" w:hAnsi="Tahoma" w:cs="Tahoma"/>
                <w:sz w:val="20"/>
                <w:szCs w:val="20"/>
                <w:lang w:eastAsia="en-US"/>
              </w:rPr>
              <w:t>)</w:t>
            </w:r>
          </w:p>
        </w:tc>
        <w:tc>
          <w:tcPr>
            <w:tcW w:w="1701" w:type="dxa"/>
          </w:tcPr>
          <w:p w14:paraId="6D392D66"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0,25</w:t>
            </w:r>
          </w:p>
        </w:tc>
      </w:tr>
      <w:tr w:rsidR="003D69A8" w:rsidRPr="005E1EA7" w14:paraId="0B432A8C" w14:textId="77777777" w:rsidTr="006365F0">
        <w:trPr>
          <w:trHeight w:val="20"/>
        </w:trPr>
        <w:tc>
          <w:tcPr>
            <w:tcW w:w="441" w:type="dxa"/>
            <w:vAlign w:val="center"/>
          </w:tcPr>
          <w:p w14:paraId="2E14E068"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2.5</w:t>
            </w:r>
          </w:p>
        </w:tc>
        <w:tc>
          <w:tcPr>
            <w:tcW w:w="6925" w:type="dxa"/>
            <w:vAlign w:val="center"/>
          </w:tcPr>
          <w:p w14:paraId="71F1BBE9" w14:textId="77777777" w:rsidR="003D69A8" w:rsidRPr="005E1EA7" w:rsidRDefault="003D69A8" w:rsidP="006365F0">
            <w:pPr>
              <w:rPr>
                <w:rFonts w:ascii="Tahoma" w:eastAsiaTheme="minorHAnsi" w:hAnsi="Tahoma" w:cs="Tahoma"/>
                <w:sz w:val="20"/>
                <w:szCs w:val="20"/>
                <w:lang w:eastAsia="en-US"/>
              </w:rPr>
            </w:pPr>
            <w:r w:rsidRPr="005E1EA7">
              <w:rPr>
                <w:rFonts w:ascii="Tahoma" w:eastAsiaTheme="minorHAnsi" w:hAnsi="Tahoma" w:cs="Tahoma"/>
                <w:sz w:val="20"/>
                <w:szCs w:val="20"/>
                <w:lang w:eastAsia="en-US"/>
              </w:rPr>
              <w:t>Crustacés</w:t>
            </w:r>
          </w:p>
        </w:tc>
        <w:tc>
          <w:tcPr>
            <w:tcW w:w="1701" w:type="dxa"/>
            <w:vAlign w:val="center"/>
          </w:tcPr>
          <w:p w14:paraId="61C2DA72"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0,50</w:t>
            </w:r>
          </w:p>
        </w:tc>
      </w:tr>
      <w:tr w:rsidR="003D69A8" w:rsidRPr="005E1EA7" w14:paraId="6B0BED84" w14:textId="77777777" w:rsidTr="006365F0">
        <w:trPr>
          <w:trHeight w:val="20"/>
        </w:trPr>
        <w:tc>
          <w:tcPr>
            <w:tcW w:w="441" w:type="dxa"/>
            <w:vAlign w:val="center"/>
          </w:tcPr>
          <w:p w14:paraId="2AC3FC40"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2.6</w:t>
            </w:r>
          </w:p>
        </w:tc>
        <w:tc>
          <w:tcPr>
            <w:tcW w:w="6925" w:type="dxa"/>
            <w:vAlign w:val="center"/>
          </w:tcPr>
          <w:p w14:paraId="3BB0F05A" w14:textId="77777777" w:rsidR="003D69A8" w:rsidRPr="005E1EA7" w:rsidRDefault="003D69A8" w:rsidP="006365F0">
            <w:pPr>
              <w:rPr>
                <w:rFonts w:ascii="Tahoma" w:hAnsi="Tahoma" w:cs="Tahoma"/>
                <w:sz w:val="20"/>
                <w:szCs w:val="20"/>
              </w:rPr>
            </w:pPr>
            <w:r w:rsidRPr="005E1EA7">
              <w:rPr>
                <w:rFonts w:ascii="Tahoma" w:hAnsi="Tahoma" w:cs="Tahoma"/>
                <w:sz w:val="20"/>
                <w:szCs w:val="20"/>
              </w:rPr>
              <w:t>Mollusques bivalves</w:t>
            </w:r>
          </w:p>
        </w:tc>
        <w:tc>
          <w:tcPr>
            <w:tcW w:w="1701" w:type="dxa"/>
          </w:tcPr>
          <w:p w14:paraId="0E018304"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1,0</w:t>
            </w:r>
          </w:p>
        </w:tc>
      </w:tr>
      <w:tr w:rsidR="003D69A8" w:rsidRPr="005E1EA7" w14:paraId="62E9D53C" w14:textId="77777777" w:rsidTr="006365F0">
        <w:trPr>
          <w:trHeight w:val="20"/>
        </w:trPr>
        <w:tc>
          <w:tcPr>
            <w:tcW w:w="441" w:type="dxa"/>
            <w:vAlign w:val="center"/>
          </w:tcPr>
          <w:p w14:paraId="43A3E294"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2.7</w:t>
            </w:r>
          </w:p>
        </w:tc>
        <w:tc>
          <w:tcPr>
            <w:tcW w:w="6925" w:type="dxa"/>
            <w:vAlign w:val="center"/>
          </w:tcPr>
          <w:p w14:paraId="01382AC0" w14:textId="77777777" w:rsidR="003D69A8" w:rsidRPr="005E1EA7" w:rsidRDefault="003D69A8" w:rsidP="006365F0">
            <w:pPr>
              <w:rPr>
                <w:rFonts w:ascii="Tahoma" w:hAnsi="Tahoma" w:cs="Tahoma"/>
                <w:sz w:val="20"/>
                <w:szCs w:val="20"/>
              </w:rPr>
            </w:pPr>
            <w:r w:rsidRPr="005E1EA7">
              <w:rPr>
                <w:rFonts w:ascii="Tahoma" w:hAnsi="Tahoma" w:cs="Tahoma"/>
                <w:sz w:val="20"/>
                <w:szCs w:val="20"/>
              </w:rPr>
              <w:t>Céphalopodes sans viscères</w:t>
            </w:r>
          </w:p>
        </w:tc>
        <w:tc>
          <w:tcPr>
            <w:tcW w:w="1701" w:type="dxa"/>
          </w:tcPr>
          <w:p w14:paraId="62CCB933"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1,0</w:t>
            </w:r>
          </w:p>
        </w:tc>
      </w:tr>
    </w:tbl>
    <w:p w14:paraId="3FA63FD4" w14:textId="77777777" w:rsidR="003D69A8" w:rsidRPr="005E1EA7" w:rsidRDefault="003D69A8" w:rsidP="003D69A8">
      <w:pPr>
        <w:rPr>
          <w:rFonts w:ascii="Tahoma" w:hAnsi="Tahoma" w:cs="Tahoma"/>
          <w:i/>
          <w:sz w:val="20"/>
          <w:szCs w:val="20"/>
        </w:rPr>
      </w:pPr>
    </w:p>
    <w:p w14:paraId="67EB8A78" w14:textId="77777777" w:rsidR="003D69A8" w:rsidRPr="005E1EA7" w:rsidRDefault="003D69A8" w:rsidP="003D69A8">
      <w:pPr>
        <w:rPr>
          <w:rFonts w:ascii="Tahoma" w:hAnsi="Tahoma" w:cs="Tahoma"/>
          <w:i/>
          <w:sz w:val="20"/>
          <w:szCs w:val="20"/>
        </w:rPr>
      </w:pPr>
    </w:p>
    <w:p w14:paraId="522C115B" w14:textId="77777777" w:rsidR="003D69A8" w:rsidRPr="005E1EA7" w:rsidRDefault="003D69A8" w:rsidP="00420DDA">
      <w:pPr>
        <w:pStyle w:val="Default"/>
        <w:widowControl/>
        <w:numPr>
          <w:ilvl w:val="0"/>
          <w:numId w:val="185"/>
        </w:numPr>
        <w:autoSpaceDE/>
        <w:autoSpaceDN/>
        <w:adjustRightInd/>
        <w:rPr>
          <w:rFonts w:ascii="Tahoma" w:hAnsi="Tahoma" w:cs="Tahoma"/>
          <w:b/>
          <w:color w:val="auto"/>
          <w:sz w:val="20"/>
          <w:szCs w:val="20"/>
        </w:rPr>
      </w:pPr>
      <w:r w:rsidRPr="005E1EA7">
        <w:rPr>
          <w:rFonts w:ascii="Tahoma" w:hAnsi="Tahoma" w:cs="Tahoma"/>
          <w:b/>
          <w:color w:val="auto"/>
          <w:sz w:val="20"/>
          <w:szCs w:val="20"/>
        </w:rPr>
        <w:t>MERCURE (Hg)</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5"/>
        <w:gridCol w:w="6871"/>
        <w:gridCol w:w="1701"/>
      </w:tblGrid>
      <w:tr w:rsidR="003D69A8" w:rsidRPr="005E1EA7" w14:paraId="63F92F00" w14:textId="77777777" w:rsidTr="006365F0">
        <w:trPr>
          <w:trHeight w:val="130"/>
        </w:trPr>
        <w:tc>
          <w:tcPr>
            <w:tcW w:w="7366" w:type="dxa"/>
            <w:gridSpan w:val="2"/>
          </w:tcPr>
          <w:p w14:paraId="7FA2C23F" w14:textId="77777777" w:rsidR="003D69A8" w:rsidRPr="005E1EA7" w:rsidRDefault="003D69A8" w:rsidP="006365F0">
            <w:pPr>
              <w:rPr>
                <w:rFonts w:ascii="Tahoma" w:hAnsi="Tahoma" w:cs="Tahoma"/>
                <w:i/>
                <w:sz w:val="20"/>
                <w:szCs w:val="20"/>
              </w:rPr>
            </w:pPr>
            <w:r w:rsidRPr="005E1EA7">
              <w:rPr>
                <w:rFonts w:ascii="Tahoma" w:hAnsi="Tahoma" w:cs="Tahoma"/>
                <w:i/>
                <w:sz w:val="20"/>
                <w:szCs w:val="20"/>
              </w:rPr>
              <w:t>Catégorie de denrées alimentaires</w:t>
            </w:r>
          </w:p>
        </w:tc>
        <w:tc>
          <w:tcPr>
            <w:tcW w:w="1701" w:type="dxa"/>
            <w:vAlign w:val="center"/>
          </w:tcPr>
          <w:p w14:paraId="2202E433"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Teneurs maximales (mg/kg)</w:t>
            </w:r>
          </w:p>
        </w:tc>
      </w:tr>
      <w:tr w:rsidR="003D69A8" w:rsidRPr="005E1EA7" w14:paraId="21374947" w14:textId="77777777" w:rsidTr="006365F0">
        <w:trPr>
          <w:trHeight w:val="680"/>
        </w:trPr>
        <w:tc>
          <w:tcPr>
            <w:tcW w:w="491" w:type="dxa"/>
            <w:vAlign w:val="center"/>
          </w:tcPr>
          <w:p w14:paraId="698CEEDC" w14:textId="77777777" w:rsidR="003D69A8" w:rsidRPr="005E1EA7" w:rsidRDefault="003D69A8" w:rsidP="006365F0">
            <w:pPr>
              <w:jc w:val="center"/>
              <w:rPr>
                <w:rFonts w:ascii="Tahoma" w:eastAsiaTheme="minorHAnsi" w:hAnsi="Tahoma" w:cs="Tahoma"/>
                <w:sz w:val="20"/>
                <w:szCs w:val="20"/>
                <w:lang w:eastAsia="en-US"/>
              </w:rPr>
            </w:pPr>
            <w:r w:rsidRPr="005E1EA7">
              <w:rPr>
                <w:rFonts w:ascii="Tahoma" w:eastAsiaTheme="minorHAnsi" w:hAnsi="Tahoma" w:cs="Tahoma"/>
                <w:sz w:val="20"/>
                <w:szCs w:val="20"/>
                <w:lang w:eastAsia="en-US"/>
              </w:rPr>
              <w:lastRenderedPageBreak/>
              <w:t>3.1</w:t>
            </w:r>
          </w:p>
        </w:tc>
        <w:tc>
          <w:tcPr>
            <w:tcW w:w="6875" w:type="dxa"/>
            <w:vAlign w:val="center"/>
          </w:tcPr>
          <w:p w14:paraId="5EB46249" w14:textId="77777777" w:rsidR="003D69A8" w:rsidRPr="005E1EA7" w:rsidRDefault="003D69A8" w:rsidP="006365F0">
            <w:pPr>
              <w:rPr>
                <w:rFonts w:ascii="Tahoma" w:hAnsi="Tahoma" w:cs="Tahoma"/>
                <w:i/>
                <w:sz w:val="20"/>
                <w:szCs w:val="20"/>
              </w:rPr>
            </w:pPr>
            <w:r w:rsidRPr="005E1EA7">
              <w:rPr>
                <w:rFonts w:ascii="Tahoma" w:eastAsiaTheme="minorHAnsi" w:hAnsi="Tahoma" w:cs="Tahoma"/>
                <w:sz w:val="20"/>
                <w:szCs w:val="20"/>
                <w:lang w:eastAsia="en-US"/>
              </w:rPr>
              <w:t>Crustacés, mollusques et chair musculaire de poisson, à l’exclusion des espèces énumérées aux points 3.2 et 3.3</w:t>
            </w:r>
          </w:p>
        </w:tc>
        <w:tc>
          <w:tcPr>
            <w:tcW w:w="1701" w:type="dxa"/>
            <w:vAlign w:val="center"/>
          </w:tcPr>
          <w:p w14:paraId="492B67BB"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0,5</w:t>
            </w:r>
          </w:p>
        </w:tc>
      </w:tr>
      <w:tr w:rsidR="003D69A8" w:rsidRPr="005E1EA7" w14:paraId="290C5C2F" w14:textId="77777777" w:rsidTr="006365F0">
        <w:trPr>
          <w:trHeight w:val="680"/>
        </w:trPr>
        <w:tc>
          <w:tcPr>
            <w:tcW w:w="491" w:type="dxa"/>
            <w:vAlign w:val="center"/>
          </w:tcPr>
          <w:p w14:paraId="6102E230" w14:textId="77777777" w:rsidR="003D69A8" w:rsidRPr="005E1EA7" w:rsidRDefault="003D69A8" w:rsidP="006365F0">
            <w:pPr>
              <w:jc w:val="center"/>
              <w:rPr>
                <w:rFonts w:ascii="Tahoma" w:hAnsi="Tahoma" w:cs="Tahoma"/>
                <w:i/>
                <w:sz w:val="20"/>
                <w:szCs w:val="20"/>
              </w:rPr>
            </w:pPr>
            <w:r w:rsidRPr="005E1EA7">
              <w:rPr>
                <w:rFonts w:ascii="Tahoma" w:hAnsi="Tahoma" w:cs="Tahoma"/>
                <w:i/>
                <w:sz w:val="20"/>
                <w:szCs w:val="20"/>
              </w:rPr>
              <w:t>3.2</w:t>
            </w:r>
          </w:p>
        </w:tc>
        <w:tc>
          <w:tcPr>
            <w:tcW w:w="6875" w:type="dxa"/>
            <w:vAlign w:val="center"/>
          </w:tcPr>
          <w:p w14:paraId="46AC2A85" w14:textId="77777777" w:rsidR="003D69A8" w:rsidRPr="005E1EA7" w:rsidRDefault="003D69A8" w:rsidP="006365F0">
            <w:pPr>
              <w:pStyle w:val="Default"/>
              <w:jc w:val="both"/>
              <w:rPr>
                <w:rFonts w:ascii="Tahoma" w:hAnsi="Tahoma" w:cs="Tahoma"/>
                <w:color w:val="auto"/>
                <w:sz w:val="20"/>
                <w:szCs w:val="20"/>
              </w:rPr>
            </w:pPr>
            <w:r w:rsidRPr="005E1EA7">
              <w:rPr>
                <w:rFonts w:ascii="Tahoma" w:hAnsi="Tahoma" w:cs="Tahoma"/>
                <w:color w:val="auto"/>
                <w:sz w:val="20"/>
                <w:szCs w:val="20"/>
              </w:rPr>
              <w:t>Chair musculaire des poissons suivants :</w:t>
            </w:r>
          </w:p>
          <w:p w14:paraId="55E81D69" w14:textId="77777777" w:rsidR="003D69A8" w:rsidRPr="005E1EA7" w:rsidRDefault="003D69A8" w:rsidP="00420DDA">
            <w:pPr>
              <w:pStyle w:val="Default"/>
              <w:numPr>
                <w:ilvl w:val="0"/>
                <w:numId w:val="184"/>
              </w:numPr>
              <w:jc w:val="both"/>
              <w:rPr>
                <w:rFonts w:ascii="Tahoma" w:hAnsi="Tahoma" w:cs="Tahoma"/>
                <w:color w:val="auto"/>
                <w:sz w:val="20"/>
                <w:szCs w:val="20"/>
              </w:rPr>
            </w:pPr>
            <w:r w:rsidRPr="005E1EA7">
              <w:rPr>
                <w:rFonts w:ascii="Tahoma" w:hAnsi="Tahoma" w:cs="Tahoma"/>
                <w:color w:val="auto"/>
                <w:sz w:val="20"/>
                <w:szCs w:val="20"/>
              </w:rPr>
              <w:t>pageot acarné (</w:t>
            </w:r>
            <w:r w:rsidRPr="005E1EA7">
              <w:rPr>
                <w:rFonts w:ascii="Tahoma" w:hAnsi="Tahoma" w:cs="Tahoma"/>
                <w:i/>
                <w:iCs/>
                <w:color w:val="auto"/>
                <w:sz w:val="20"/>
                <w:szCs w:val="20"/>
              </w:rPr>
              <w:t>Pagellus acarne</w:t>
            </w:r>
            <w:r w:rsidRPr="005E1EA7">
              <w:rPr>
                <w:rFonts w:ascii="Tahoma" w:hAnsi="Tahoma" w:cs="Tahoma"/>
                <w:color w:val="auto"/>
                <w:sz w:val="20"/>
                <w:szCs w:val="20"/>
              </w:rPr>
              <w:t>), sabre noir (</w:t>
            </w:r>
            <w:r w:rsidRPr="005E1EA7">
              <w:rPr>
                <w:rFonts w:ascii="Tahoma" w:hAnsi="Tahoma" w:cs="Tahoma"/>
                <w:i/>
                <w:iCs/>
                <w:color w:val="auto"/>
                <w:sz w:val="20"/>
                <w:szCs w:val="20"/>
              </w:rPr>
              <w:t>Aphanopus carbo</w:t>
            </w:r>
            <w:r w:rsidRPr="005E1EA7">
              <w:rPr>
                <w:rFonts w:ascii="Tahoma" w:hAnsi="Tahoma" w:cs="Tahoma"/>
                <w:color w:val="auto"/>
                <w:sz w:val="20"/>
                <w:szCs w:val="20"/>
              </w:rPr>
              <w:t>), dorade rose (</w:t>
            </w:r>
            <w:r w:rsidRPr="005E1EA7">
              <w:rPr>
                <w:rFonts w:ascii="Tahoma" w:hAnsi="Tahoma" w:cs="Tahoma"/>
                <w:i/>
                <w:iCs/>
                <w:color w:val="auto"/>
                <w:sz w:val="20"/>
                <w:szCs w:val="20"/>
              </w:rPr>
              <w:t>Pagellus bogaraveo</w:t>
            </w:r>
            <w:r w:rsidRPr="005E1EA7">
              <w:rPr>
                <w:rFonts w:ascii="Tahoma" w:hAnsi="Tahoma" w:cs="Tahoma"/>
                <w:color w:val="auto"/>
                <w:sz w:val="20"/>
                <w:szCs w:val="20"/>
              </w:rPr>
              <w:t>), bonite (</w:t>
            </w:r>
            <w:r w:rsidRPr="005E1EA7">
              <w:rPr>
                <w:rFonts w:ascii="Tahoma" w:hAnsi="Tahoma" w:cs="Tahoma"/>
                <w:i/>
                <w:iCs/>
                <w:color w:val="auto"/>
                <w:sz w:val="20"/>
                <w:szCs w:val="20"/>
              </w:rPr>
              <w:t>Sarda sarda</w:t>
            </w:r>
            <w:r w:rsidRPr="005E1EA7">
              <w:rPr>
                <w:rFonts w:ascii="Tahoma" w:hAnsi="Tahoma" w:cs="Tahoma"/>
                <w:color w:val="auto"/>
                <w:sz w:val="20"/>
                <w:szCs w:val="20"/>
              </w:rPr>
              <w:t>), pageot commun (</w:t>
            </w:r>
            <w:r w:rsidRPr="005E1EA7">
              <w:rPr>
                <w:rFonts w:ascii="Tahoma" w:hAnsi="Tahoma" w:cs="Tahoma"/>
                <w:i/>
                <w:iCs/>
                <w:color w:val="auto"/>
                <w:sz w:val="20"/>
                <w:szCs w:val="20"/>
              </w:rPr>
              <w:t xml:space="preserve">Pagellus </w:t>
            </w:r>
            <w:r w:rsidRPr="005E1EA7">
              <w:rPr>
                <w:rFonts w:ascii="Tahoma" w:hAnsi="Tahoma" w:cs="Tahoma"/>
                <w:color w:val="auto"/>
                <w:sz w:val="20"/>
                <w:szCs w:val="20"/>
              </w:rPr>
              <w:t>erythrinus), escolier noir (</w:t>
            </w:r>
            <w:r w:rsidRPr="005E1EA7">
              <w:rPr>
                <w:rFonts w:ascii="Tahoma" w:hAnsi="Tahoma" w:cs="Tahoma"/>
                <w:i/>
                <w:iCs/>
                <w:color w:val="auto"/>
                <w:sz w:val="20"/>
                <w:szCs w:val="20"/>
              </w:rPr>
              <w:t>Lepidocybium flavobrunneum</w:t>
            </w:r>
            <w:r w:rsidRPr="005E1EA7">
              <w:rPr>
                <w:rFonts w:ascii="Tahoma" w:hAnsi="Tahoma" w:cs="Tahoma"/>
                <w:color w:val="auto"/>
                <w:sz w:val="20"/>
                <w:szCs w:val="20"/>
              </w:rPr>
              <w:t xml:space="preserve">), flétan de l’Atlantique (espèces du genre </w:t>
            </w:r>
            <w:r w:rsidRPr="005E1EA7">
              <w:rPr>
                <w:rFonts w:ascii="Tahoma" w:hAnsi="Tahoma" w:cs="Tahoma"/>
                <w:i/>
                <w:iCs/>
                <w:color w:val="auto"/>
                <w:sz w:val="20"/>
                <w:szCs w:val="20"/>
              </w:rPr>
              <w:t>Hippoglossus</w:t>
            </w:r>
            <w:r w:rsidRPr="005E1EA7">
              <w:rPr>
                <w:rFonts w:ascii="Tahoma" w:hAnsi="Tahoma" w:cs="Tahoma"/>
                <w:color w:val="auto"/>
                <w:sz w:val="20"/>
                <w:szCs w:val="20"/>
              </w:rPr>
              <w:t>), abadèche du Cap (</w:t>
            </w:r>
            <w:r w:rsidRPr="005E1EA7">
              <w:rPr>
                <w:rFonts w:ascii="Tahoma" w:hAnsi="Tahoma" w:cs="Tahoma"/>
                <w:i/>
                <w:iCs/>
                <w:color w:val="auto"/>
                <w:sz w:val="20"/>
                <w:szCs w:val="20"/>
              </w:rPr>
              <w:t>Genypterus capensis</w:t>
            </w:r>
            <w:r w:rsidRPr="005E1EA7">
              <w:rPr>
                <w:rFonts w:ascii="Tahoma" w:hAnsi="Tahoma" w:cs="Tahoma"/>
                <w:color w:val="auto"/>
                <w:sz w:val="20"/>
                <w:szCs w:val="20"/>
              </w:rPr>
              <w:t xml:space="preserve">), marlin (espèces du genre </w:t>
            </w:r>
            <w:r w:rsidRPr="005E1EA7">
              <w:rPr>
                <w:rFonts w:ascii="Tahoma" w:hAnsi="Tahoma" w:cs="Tahoma"/>
                <w:i/>
                <w:iCs/>
                <w:color w:val="auto"/>
                <w:sz w:val="20"/>
                <w:szCs w:val="20"/>
              </w:rPr>
              <w:t>Makaira</w:t>
            </w:r>
            <w:r w:rsidRPr="005E1EA7">
              <w:rPr>
                <w:rFonts w:ascii="Tahoma" w:hAnsi="Tahoma" w:cs="Tahoma"/>
                <w:color w:val="auto"/>
                <w:sz w:val="20"/>
                <w:szCs w:val="20"/>
              </w:rPr>
              <w:t xml:space="preserve">), cardine (espèces du genre </w:t>
            </w:r>
            <w:r w:rsidRPr="005E1EA7">
              <w:rPr>
                <w:rFonts w:ascii="Tahoma" w:hAnsi="Tahoma" w:cs="Tahoma"/>
                <w:i/>
                <w:iCs/>
                <w:color w:val="auto"/>
                <w:sz w:val="20"/>
                <w:szCs w:val="20"/>
              </w:rPr>
              <w:t>Lepidorhombus</w:t>
            </w:r>
            <w:r w:rsidRPr="005E1EA7">
              <w:rPr>
                <w:rFonts w:ascii="Tahoma" w:hAnsi="Tahoma" w:cs="Tahoma"/>
                <w:color w:val="auto"/>
                <w:sz w:val="20"/>
                <w:szCs w:val="20"/>
              </w:rPr>
              <w:t>), rouvet (</w:t>
            </w:r>
            <w:r w:rsidRPr="005E1EA7">
              <w:rPr>
                <w:rFonts w:ascii="Tahoma" w:hAnsi="Tahoma" w:cs="Tahoma"/>
                <w:i/>
                <w:iCs/>
                <w:color w:val="auto"/>
                <w:sz w:val="20"/>
                <w:szCs w:val="20"/>
              </w:rPr>
              <w:t>Ruvettus pretiosus</w:t>
            </w:r>
            <w:r w:rsidRPr="005E1EA7">
              <w:rPr>
                <w:rFonts w:ascii="Tahoma" w:hAnsi="Tahoma" w:cs="Tahoma"/>
                <w:color w:val="auto"/>
                <w:sz w:val="20"/>
                <w:szCs w:val="20"/>
              </w:rPr>
              <w:t>), hoplostète orange (</w:t>
            </w:r>
            <w:r w:rsidRPr="005E1EA7">
              <w:rPr>
                <w:rFonts w:ascii="Tahoma" w:hAnsi="Tahoma" w:cs="Tahoma"/>
                <w:i/>
                <w:iCs/>
                <w:color w:val="auto"/>
                <w:sz w:val="20"/>
                <w:szCs w:val="20"/>
              </w:rPr>
              <w:t>Hoplostethus atlanticus</w:t>
            </w:r>
            <w:r w:rsidRPr="005E1EA7">
              <w:rPr>
                <w:rFonts w:ascii="Tahoma" w:hAnsi="Tahoma" w:cs="Tahoma"/>
                <w:color w:val="auto"/>
                <w:sz w:val="20"/>
                <w:szCs w:val="20"/>
              </w:rPr>
              <w:t>), abadèche rose (</w:t>
            </w:r>
            <w:r w:rsidRPr="005E1EA7">
              <w:rPr>
                <w:rFonts w:ascii="Tahoma" w:hAnsi="Tahoma" w:cs="Tahoma"/>
                <w:i/>
                <w:iCs/>
                <w:color w:val="auto"/>
                <w:sz w:val="20"/>
                <w:szCs w:val="20"/>
              </w:rPr>
              <w:t>Genypterus blacodes</w:t>
            </w:r>
            <w:r w:rsidRPr="005E1EA7">
              <w:rPr>
                <w:rFonts w:ascii="Tahoma" w:hAnsi="Tahoma" w:cs="Tahoma"/>
                <w:color w:val="auto"/>
                <w:sz w:val="20"/>
                <w:szCs w:val="20"/>
              </w:rPr>
              <w:t xml:space="preserve">), brochet (espèces du genre </w:t>
            </w:r>
            <w:r w:rsidRPr="005E1EA7">
              <w:rPr>
                <w:rFonts w:ascii="Tahoma" w:hAnsi="Tahoma" w:cs="Tahoma"/>
                <w:i/>
                <w:iCs/>
                <w:color w:val="auto"/>
                <w:sz w:val="20"/>
                <w:szCs w:val="20"/>
              </w:rPr>
              <w:t>Esox</w:t>
            </w:r>
            <w:r w:rsidRPr="005E1EA7">
              <w:rPr>
                <w:rFonts w:ascii="Tahoma" w:hAnsi="Tahoma" w:cs="Tahoma"/>
                <w:color w:val="auto"/>
                <w:sz w:val="20"/>
                <w:szCs w:val="20"/>
              </w:rPr>
              <w:t>), palomète (</w:t>
            </w:r>
            <w:r w:rsidRPr="005E1EA7">
              <w:rPr>
                <w:rFonts w:ascii="Tahoma" w:hAnsi="Tahoma" w:cs="Tahoma"/>
                <w:i/>
                <w:iCs/>
                <w:color w:val="auto"/>
                <w:sz w:val="20"/>
                <w:szCs w:val="20"/>
              </w:rPr>
              <w:t>Orcynopsis unicolor</w:t>
            </w:r>
            <w:r w:rsidRPr="005E1EA7">
              <w:rPr>
                <w:rFonts w:ascii="Tahoma" w:hAnsi="Tahoma" w:cs="Tahoma"/>
                <w:color w:val="auto"/>
                <w:sz w:val="20"/>
                <w:szCs w:val="20"/>
              </w:rPr>
              <w:t xml:space="preserve">), capelan de Méditerranée (espèces du genre </w:t>
            </w:r>
            <w:r w:rsidRPr="005E1EA7">
              <w:rPr>
                <w:rFonts w:ascii="Tahoma" w:hAnsi="Tahoma" w:cs="Tahoma"/>
                <w:i/>
                <w:iCs/>
                <w:color w:val="auto"/>
                <w:sz w:val="20"/>
                <w:szCs w:val="20"/>
              </w:rPr>
              <w:t>Tricopterus</w:t>
            </w:r>
            <w:r w:rsidRPr="005E1EA7">
              <w:rPr>
                <w:rFonts w:ascii="Tahoma" w:hAnsi="Tahoma" w:cs="Tahoma"/>
                <w:color w:val="auto"/>
                <w:sz w:val="20"/>
                <w:szCs w:val="20"/>
              </w:rPr>
              <w:t>), rouget de vase (</w:t>
            </w:r>
            <w:r w:rsidRPr="005E1EA7">
              <w:rPr>
                <w:rFonts w:ascii="Tahoma" w:hAnsi="Tahoma" w:cs="Tahoma"/>
                <w:i/>
                <w:iCs/>
                <w:color w:val="auto"/>
                <w:sz w:val="20"/>
                <w:szCs w:val="20"/>
              </w:rPr>
              <w:t>Mullus barbatus barbatus</w:t>
            </w:r>
            <w:r w:rsidRPr="005E1EA7">
              <w:rPr>
                <w:rFonts w:ascii="Tahoma" w:hAnsi="Tahoma" w:cs="Tahoma"/>
                <w:color w:val="auto"/>
                <w:sz w:val="20"/>
                <w:szCs w:val="20"/>
              </w:rPr>
              <w:t>), grenadier de roche (</w:t>
            </w:r>
            <w:r w:rsidRPr="005E1EA7">
              <w:rPr>
                <w:rFonts w:ascii="Tahoma" w:hAnsi="Tahoma" w:cs="Tahoma"/>
                <w:i/>
                <w:iCs/>
                <w:color w:val="auto"/>
                <w:sz w:val="20"/>
                <w:szCs w:val="20"/>
              </w:rPr>
              <w:t>Coryphaenoides rupestris</w:t>
            </w:r>
            <w:r w:rsidRPr="005E1EA7">
              <w:rPr>
                <w:rFonts w:ascii="Tahoma" w:hAnsi="Tahoma" w:cs="Tahoma"/>
                <w:color w:val="auto"/>
                <w:sz w:val="20"/>
                <w:szCs w:val="20"/>
              </w:rPr>
              <w:t xml:space="preserve">), voilier de l’Atlantique (espèces du genre </w:t>
            </w:r>
            <w:r w:rsidRPr="005E1EA7">
              <w:rPr>
                <w:rFonts w:ascii="Tahoma" w:hAnsi="Tahoma" w:cs="Tahoma"/>
                <w:i/>
                <w:iCs/>
                <w:color w:val="auto"/>
                <w:sz w:val="20"/>
                <w:szCs w:val="20"/>
              </w:rPr>
              <w:t>Istiophorus</w:t>
            </w:r>
            <w:r w:rsidRPr="005E1EA7">
              <w:rPr>
                <w:rFonts w:ascii="Tahoma" w:hAnsi="Tahoma" w:cs="Tahoma"/>
                <w:color w:val="auto"/>
                <w:sz w:val="20"/>
                <w:szCs w:val="20"/>
              </w:rPr>
              <w:t>), sabre argenté (</w:t>
            </w:r>
            <w:r w:rsidRPr="005E1EA7">
              <w:rPr>
                <w:rFonts w:ascii="Tahoma" w:hAnsi="Tahoma" w:cs="Tahoma"/>
                <w:i/>
                <w:iCs/>
                <w:color w:val="auto"/>
                <w:sz w:val="20"/>
                <w:szCs w:val="20"/>
              </w:rPr>
              <w:t>Lepidopus caudatus</w:t>
            </w:r>
            <w:r w:rsidRPr="005E1EA7">
              <w:rPr>
                <w:rFonts w:ascii="Tahoma" w:hAnsi="Tahoma" w:cs="Tahoma"/>
                <w:color w:val="auto"/>
                <w:sz w:val="20"/>
                <w:szCs w:val="20"/>
              </w:rPr>
              <w:t>), escolier serpent (</w:t>
            </w:r>
            <w:r w:rsidRPr="005E1EA7">
              <w:rPr>
                <w:rFonts w:ascii="Tahoma" w:hAnsi="Tahoma" w:cs="Tahoma"/>
                <w:i/>
                <w:iCs/>
                <w:color w:val="auto"/>
                <w:sz w:val="20"/>
                <w:szCs w:val="20"/>
              </w:rPr>
              <w:t>Gempylus serpens</w:t>
            </w:r>
            <w:r w:rsidRPr="005E1EA7">
              <w:rPr>
                <w:rFonts w:ascii="Tahoma" w:hAnsi="Tahoma" w:cs="Tahoma"/>
                <w:color w:val="auto"/>
                <w:sz w:val="20"/>
                <w:szCs w:val="20"/>
              </w:rPr>
              <w:t xml:space="preserve">), esturgeon (espèces du genre </w:t>
            </w:r>
            <w:r w:rsidRPr="005E1EA7">
              <w:rPr>
                <w:rFonts w:ascii="Tahoma" w:hAnsi="Tahoma" w:cs="Tahoma"/>
                <w:i/>
                <w:iCs/>
                <w:color w:val="auto"/>
                <w:sz w:val="20"/>
                <w:szCs w:val="20"/>
              </w:rPr>
              <w:t>Acipenser</w:t>
            </w:r>
            <w:r w:rsidRPr="005E1EA7">
              <w:rPr>
                <w:rFonts w:ascii="Tahoma" w:hAnsi="Tahoma" w:cs="Tahoma"/>
                <w:color w:val="auto"/>
                <w:sz w:val="20"/>
                <w:szCs w:val="20"/>
              </w:rPr>
              <w:t>), rouget-barbet de roche (</w:t>
            </w:r>
            <w:r w:rsidRPr="005E1EA7">
              <w:rPr>
                <w:rFonts w:ascii="Tahoma" w:hAnsi="Tahoma" w:cs="Tahoma"/>
                <w:i/>
                <w:iCs/>
                <w:color w:val="auto"/>
                <w:sz w:val="20"/>
                <w:szCs w:val="20"/>
              </w:rPr>
              <w:t>Mullus surmuletus</w:t>
            </w:r>
            <w:r w:rsidRPr="005E1EA7">
              <w:rPr>
                <w:rFonts w:ascii="Tahoma" w:hAnsi="Tahoma" w:cs="Tahoma"/>
                <w:color w:val="auto"/>
                <w:sz w:val="20"/>
                <w:szCs w:val="20"/>
              </w:rPr>
              <w:t xml:space="preserve">), thon (espèces du genre </w:t>
            </w:r>
            <w:r w:rsidRPr="005E1EA7">
              <w:rPr>
                <w:rFonts w:ascii="Tahoma" w:hAnsi="Tahoma" w:cs="Tahoma"/>
                <w:i/>
                <w:iCs/>
                <w:color w:val="auto"/>
                <w:sz w:val="20"/>
                <w:szCs w:val="20"/>
              </w:rPr>
              <w:t>Thunnus</w:t>
            </w:r>
            <w:r w:rsidRPr="005E1EA7">
              <w:rPr>
                <w:rFonts w:ascii="Tahoma" w:hAnsi="Tahoma" w:cs="Tahoma"/>
                <w:color w:val="auto"/>
                <w:sz w:val="20"/>
                <w:szCs w:val="20"/>
              </w:rPr>
              <w:t xml:space="preserve">, espèces du genre </w:t>
            </w:r>
            <w:r w:rsidRPr="005E1EA7">
              <w:rPr>
                <w:rFonts w:ascii="Tahoma" w:hAnsi="Tahoma" w:cs="Tahoma"/>
                <w:i/>
                <w:iCs/>
                <w:color w:val="auto"/>
                <w:sz w:val="20"/>
                <w:szCs w:val="20"/>
              </w:rPr>
              <w:t>Euthynnus</w:t>
            </w:r>
            <w:r w:rsidRPr="005E1EA7">
              <w:rPr>
                <w:rFonts w:ascii="Tahoma" w:hAnsi="Tahoma" w:cs="Tahoma"/>
                <w:color w:val="auto"/>
                <w:sz w:val="20"/>
                <w:szCs w:val="20"/>
              </w:rPr>
              <w:t xml:space="preserve">, </w:t>
            </w:r>
            <w:r w:rsidRPr="005E1EA7">
              <w:rPr>
                <w:rFonts w:ascii="Tahoma" w:hAnsi="Tahoma" w:cs="Tahoma"/>
                <w:i/>
                <w:iCs/>
                <w:color w:val="auto"/>
                <w:sz w:val="20"/>
                <w:szCs w:val="20"/>
              </w:rPr>
              <w:t>Katsuwonus pelamis</w:t>
            </w:r>
            <w:r w:rsidRPr="005E1EA7">
              <w:rPr>
                <w:rFonts w:ascii="Tahoma" w:hAnsi="Tahoma" w:cs="Tahoma"/>
                <w:color w:val="auto"/>
                <w:sz w:val="20"/>
                <w:szCs w:val="20"/>
              </w:rPr>
              <w:t>), requin (toutes espèces), espadon (</w:t>
            </w:r>
            <w:r w:rsidRPr="005E1EA7">
              <w:rPr>
                <w:rFonts w:ascii="Tahoma" w:hAnsi="Tahoma" w:cs="Tahoma"/>
                <w:i/>
                <w:iCs/>
                <w:color w:val="auto"/>
                <w:sz w:val="20"/>
                <w:szCs w:val="20"/>
              </w:rPr>
              <w:t>Xiphias gladius</w:t>
            </w:r>
            <w:r w:rsidRPr="005E1EA7">
              <w:rPr>
                <w:rFonts w:ascii="Tahoma" w:hAnsi="Tahoma" w:cs="Tahoma"/>
                <w:color w:val="auto"/>
                <w:sz w:val="20"/>
                <w:szCs w:val="20"/>
              </w:rPr>
              <w:t>)</w:t>
            </w:r>
          </w:p>
        </w:tc>
        <w:tc>
          <w:tcPr>
            <w:tcW w:w="1701" w:type="dxa"/>
            <w:vAlign w:val="center"/>
          </w:tcPr>
          <w:p w14:paraId="44BD30F7"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1,0</w:t>
            </w:r>
          </w:p>
        </w:tc>
      </w:tr>
      <w:tr w:rsidR="003D69A8" w:rsidRPr="005E1EA7" w14:paraId="5BD35063" w14:textId="77777777" w:rsidTr="006365F0">
        <w:trPr>
          <w:trHeight w:val="680"/>
        </w:trPr>
        <w:tc>
          <w:tcPr>
            <w:tcW w:w="491" w:type="dxa"/>
            <w:vAlign w:val="center"/>
          </w:tcPr>
          <w:p w14:paraId="5A39327E" w14:textId="77777777" w:rsidR="003D69A8" w:rsidRPr="005E1EA7" w:rsidRDefault="003D69A8" w:rsidP="006365F0">
            <w:pPr>
              <w:jc w:val="center"/>
              <w:rPr>
                <w:rFonts w:ascii="Tahoma" w:hAnsi="Tahoma" w:cs="Tahoma"/>
                <w:i/>
                <w:sz w:val="20"/>
                <w:szCs w:val="20"/>
              </w:rPr>
            </w:pPr>
            <w:r w:rsidRPr="005E1EA7">
              <w:rPr>
                <w:rFonts w:ascii="Tahoma" w:hAnsi="Tahoma" w:cs="Tahoma"/>
                <w:i/>
                <w:sz w:val="20"/>
                <w:szCs w:val="20"/>
                <w:rtl/>
              </w:rPr>
              <w:t>3.3</w:t>
            </w:r>
          </w:p>
        </w:tc>
        <w:tc>
          <w:tcPr>
            <w:tcW w:w="6875" w:type="dxa"/>
            <w:vAlign w:val="center"/>
          </w:tcPr>
          <w:p w14:paraId="5F52E72F" w14:textId="77777777" w:rsidR="003D69A8" w:rsidRPr="005E1EA7" w:rsidRDefault="003D69A8" w:rsidP="006365F0">
            <w:pPr>
              <w:pStyle w:val="Default"/>
              <w:jc w:val="both"/>
              <w:rPr>
                <w:rFonts w:ascii="Tahoma" w:hAnsi="Tahoma" w:cs="Tahoma"/>
                <w:color w:val="auto"/>
                <w:sz w:val="20"/>
                <w:szCs w:val="20"/>
              </w:rPr>
            </w:pPr>
            <w:r w:rsidRPr="005E1EA7">
              <w:rPr>
                <w:rFonts w:ascii="Tahoma" w:hAnsi="Tahoma" w:cs="Tahoma"/>
                <w:color w:val="auto"/>
                <w:sz w:val="20"/>
                <w:szCs w:val="20"/>
              </w:rPr>
              <w:t>Céphalopodes</w:t>
            </w:r>
          </w:p>
          <w:p w14:paraId="0A7BE6FF" w14:textId="77777777" w:rsidR="003D69A8" w:rsidRPr="005E1EA7" w:rsidRDefault="003D69A8" w:rsidP="006365F0">
            <w:pPr>
              <w:pStyle w:val="Default"/>
              <w:jc w:val="both"/>
              <w:rPr>
                <w:rFonts w:ascii="Tahoma" w:hAnsi="Tahoma" w:cs="Tahoma"/>
                <w:color w:val="auto"/>
                <w:sz w:val="20"/>
                <w:szCs w:val="20"/>
              </w:rPr>
            </w:pPr>
            <w:r w:rsidRPr="005E1EA7">
              <w:rPr>
                <w:rFonts w:ascii="Tahoma" w:hAnsi="Tahoma" w:cs="Tahoma"/>
                <w:color w:val="auto"/>
                <w:sz w:val="20"/>
                <w:szCs w:val="20"/>
              </w:rPr>
              <w:t>Gastéropodes marins</w:t>
            </w:r>
          </w:p>
          <w:p w14:paraId="4E596DD9" w14:textId="77777777" w:rsidR="003D69A8" w:rsidRPr="005E1EA7" w:rsidRDefault="003D69A8" w:rsidP="006365F0">
            <w:pPr>
              <w:pStyle w:val="Default"/>
              <w:jc w:val="both"/>
              <w:rPr>
                <w:rFonts w:ascii="Tahoma" w:hAnsi="Tahoma" w:cs="Tahoma"/>
                <w:color w:val="auto"/>
                <w:sz w:val="20"/>
                <w:szCs w:val="20"/>
              </w:rPr>
            </w:pPr>
            <w:r w:rsidRPr="005E1EA7">
              <w:rPr>
                <w:rFonts w:ascii="Tahoma" w:hAnsi="Tahoma" w:cs="Tahoma"/>
                <w:color w:val="auto"/>
                <w:sz w:val="20"/>
                <w:szCs w:val="20"/>
              </w:rPr>
              <w:t>Chair musculaire des poissons suivants :</w:t>
            </w:r>
          </w:p>
          <w:p w14:paraId="57D7F3EC" w14:textId="77777777" w:rsidR="003D69A8" w:rsidRPr="005E1EA7" w:rsidRDefault="003D69A8" w:rsidP="006365F0">
            <w:pPr>
              <w:pStyle w:val="Default"/>
              <w:ind w:left="389"/>
              <w:jc w:val="both"/>
              <w:rPr>
                <w:rFonts w:ascii="Tahoma" w:eastAsiaTheme="minorHAnsi" w:hAnsi="Tahoma" w:cs="Tahoma"/>
                <w:color w:val="auto"/>
                <w:sz w:val="20"/>
                <w:szCs w:val="20"/>
              </w:rPr>
            </w:pPr>
            <w:r w:rsidRPr="005E1EA7">
              <w:rPr>
                <w:rFonts w:ascii="Tahoma" w:hAnsi="Tahoma" w:cs="Tahoma"/>
                <w:color w:val="auto"/>
                <w:sz w:val="20"/>
                <w:szCs w:val="20"/>
              </w:rPr>
              <w:t xml:space="preserve">anchois (espèces du genre </w:t>
            </w:r>
            <w:r w:rsidRPr="005E1EA7">
              <w:rPr>
                <w:rFonts w:ascii="Tahoma" w:hAnsi="Tahoma" w:cs="Tahoma"/>
                <w:i/>
                <w:iCs/>
                <w:color w:val="auto"/>
                <w:sz w:val="20"/>
                <w:szCs w:val="20"/>
              </w:rPr>
              <w:t>Engraulis</w:t>
            </w:r>
            <w:r w:rsidRPr="005E1EA7">
              <w:rPr>
                <w:rFonts w:ascii="Tahoma" w:hAnsi="Tahoma" w:cs="Tahoma"/>
                <w:color w:val="auto"/>
                <w:sz w:val="20"/>
                <w:szCs w:val="20"/>
              </w:rPr>
              <w:t>), lieu d’Alaska (</w:t>
            </w:r>
            <w:r w:rsidRPr="005E1EA7">
              <w:rPr>
                <w:rFonts w:ascii="Tahoma" w:hAnsi="Tahoma" w:cs="Tahoma"/>
                <w:i/>
                <w:iCs/>
                <w:color w:val="auto"/>
                <w:sz w:val="20"/>
                <w:szCs w:val="20"/>
              </w:rPr>
              <w:t>Theragra chalcogramma</w:t>
            </w:r>
            <w:r w:rsidRPr="005E1EA7">
              <w:rPr>
                <w:rFonts w:ascii="Tahoma" w:hAnsi="Tahoma" w:cs="Tahoma"/>
                <w:color w:val="auto"/>
                <w:sz w:val="20"/>
                <w:szCs w:val="20"/>
              </w:rPr>
              <w:t>), cabillaud (</w:t>
            </w:r>
            <w:r w:rsidRPr="005E1EA7">
              <w:rPr>
                <w:rFonts w:ascii="Tahoma" w:hAnsi="Tahoma" w:cs="Tahoma"/>
                <w:i/>
                <w:iCs/>
                <w:color w:val="auto"/>
                <w:sz w:val="20"/>
                <w:szCs w:val="20"/>
              </w:rPr>
              <w:t>Gadus morhua</w:t>
            </w:r>
            <w:r w:rsidRPr="005E1EA7">
              <w:rPr>
                <w:rFonts w:ascii="Tahoma" w:hAnsi="Tahoma" w:cs="Tahoma"/>
                <w:color w:val="auto"/>
                <w:sz w:val="20"/>
                <w:szCs w:val="20"/>
              </w:rPr>
              <w:t>), hareng de l’Atlantique (</w:t>
            </w:r>
            <w:r w:rsidRPr="005E1EA7">
              <w:rPr>
                <w:rFonts w:ascii="Tahoma" w:hAnsi="Tahoma" w:cs="Tahoma"/>
                <w:i/>
                <w:iCs/>
                <w:color w:val="auto"/>
                <w:sz w:val="20"/>
                <w:szCs w:val="20"/>
              </w:rPr>
              <w:t>Clupea harengus</w:t>
            </w:r>
            <w:r w:rsidRPr="005E1EA7">
              <w:rPr>
                <w:rFonts w:ascii="Tahoma" w:hAnsi="Tahoma" w:cs="Tahoma"/>
                <w:color w:val="auto"/>
                <w:sz w:val="20"/>
                <w:szCs w:val="20"/>
              </w:rPr>
              <w:t>), pangasius (</w:t>
            </w:r>
            <w:r w:rsidRPr="005E1EA7">
              <w:rPr>
                <w:rFonts w:ascii="Tahoma" w:hAnsi="Tahoma" w:cs="Tahoma"/>
                <w:i/>
                <w:iCs/>
                <w:color w:val="auto"/>
                <w:sz w:val="20"/>
                <w:szCs w:val="20"/>
              </w:rPr>
              <w:t>Pangasius bocourti</w:t>
            </w:r>
            <w:r w:rsidRPr="005E1EA7">
              <w:rPr>
                <w:rFonts w:ascii="Tahoma" w:hAnsi="Tahoma" w:cs="Tahoma"/>
                <w:color w:val="auto"/>
                <w:sz w:val="20"/>
                <w:szCs w:val="20"/>
              </w:rPr>
              <w:t>), carpe (espèces appartenant à la famille des cyprinidés), limande (</w:t>
            </w:r>
            <w:r w:rsidRPr="005E1EA7">
              <w:rPr>
                <w:rFonts w:ascii="Tahoma" w:hAnsi="Tahoma" w:cs="Tahoma"/>
                <w:i/>
                <w:iCs/>
                <w:color w:val="auto"/>
                <w:sz w:val="20"/>
                <w:szCs w:val="20"/>
              </w:rPr>
              <w:t>Limanda limanda</w:t>
            </w:r>
            <w:r w:rsidRPr="005E1EA7">
              <w:rPr>
                <w:rFonts w:ascii="Tahoma" w:hAnsi="Tahoma" w:cs="Tahoma"/>
                <w:color w:val="auto"/>
                <w:sz w:val="20"/>
                <w:szCs w:val="20"/>
              </w:rPr>
              <w:t xml:space="preserve">), maquereau (espèces du genre </w:t>
            </w:r>
            <w:r w:rsidRPr="005E1EA7">
              <w:rPr>
                <w:rFonts w:ascii="Tahoma" w:hAnsi="Tahoma" w:cs="Tahoma"/>
                <w:i/>
                <w:iCs/>
                <w:color w:val="auto"/>
                <w:sz w:val="20"/>
                <w:szCs w:val="20"/>
              </w:rPr>
              <w:t>Scomber</w:t>
            </w:r>
            <w:r w:rsidRPr="005E1EA7">
              <w:rPr>
                <w:rFonts w:ascii="Tahoma" w:hAnsi="Tahoma" w:cs="Tahoma"/>
                <w:color w:val="auto"/>
                <w:sz w:val="20"/>
                <w:szCs w:val="20"/>
              </w:rPr>
              <w:t>), flet d’Europe (</w:t>
            </w:r>
            <w:r w:rsidRPr="005E1EA7">
              <w:rPr>
                <w:rFonts w:ascii="Tahoma" w:hAnsi="Tahoma" w:cs="Tahoma"/>
                <w:i/>
                <w:iCs/>
                <w:color w:val="auto"/>
                <w:sz w:val="20"/>
                <w:szCs w:val="20"/>
              </w:rPr>
              <w:t>Platichthys flesus</w:t>
            </w:r>
            <w:r w:rsidRPr="005E1EA7">
              <w:rPr>
                <w:rFonts w:ascii="Tahoma" w:hAnsi="Tahoma" w:cs="Tahoma"/>
                <w:color w:val="auto"/>
                <w:sz w:val="20"/>
                <w:szCs w:val="20"/>
              </w:rPr>
              <w:t>), plie d’Europe (</w:t>
            </w:r>
            <w:r w:rsidRPr="005E1EA7">
              <w:rPr>
                <w:rFonts w:ascii="Tahoma" w:hAnsi="Tahoma" w:cs="Tahoma"/>
                <w:i/>
                <w:iCs/>
                <w:color w:val="auto"/>
                <w:sz w:val="20"/>
                <w:szCs w:val="20"/>
              </w:rPr>
              <w:t>Pleuronectes platessa</w:t>
            </w:r>
            <w:r w:rsidRPr="005E1EA7">
              <w:rPr>
                <w:rFonts w:ascii="Tahoma" w:hAnsi="Tahoma" w:cs="Tahoma"/>
                <w:color w:val="auto"/>
                <w:sz w:val="20"/>
                <w:szCs w:val="20"/>
              </w:rPr>
              <w:t>), sprat (</w:t>
            </w:r>
            <w:r w:rsidRPr="005E1EA7">
              <w:rPr>
                <w:rFonts w:ascii="Tahoma" w:hAnsi="Tahoma" w:cs="Tahoma"/>
                <w:i/>
                <w:iCs/>
                <w:color w:val="auto"/>
                <w:sz w:val="20"/>
                <w:szCs w:val="20"/>
              </w:rPr>
              <w:t>Sprattus sprattus</w:t>
            </w:r>
            <w:r w:rsidRPr="005E1EA7">
              <w:rPr>
                <w:rFonts w:ascii="Tahoma" w:hAnsi="Tahoma" w:cs="Tahoma"/>
                <w:color w:val="auto"/>
                <w:sz w:val="20"/>
                <w:szCs w:val="20"/>
              </w:rPr>
              <w:t>), silure de verre géant (</w:t>
            </w:r>
            <w:r w:rsidRPr="005E1EA7">
              <w:rPr>
                <w:rFonts w:ascii="Tahoma" w:hAnsi="Tahoma" w:cs="Tahoma"/>
                <w:i/>
                <w:iCs/>
                <w:color w:val="auto"/>
                <w:sz w:val="20"/>
                <w:szCs w:val="20"/>
              </w:rPr>
              <w:t>Pangasianodon gigas</w:t>
            </w:r>
            <w:r w:rsidRPr="005E1EA7">
              <w:rPr>
                <w:rFonts w:ascii="Tahoma" w:hAnsi="Tahoma" w:cs="Tahoma"/>
                <w:color w:val="auto"/>
                <w:sz w:val="20"/>
                <w:szCs w:val="20"/>
              </w:rPr>
              <w:t>), lieu jaune (</w:t>
            </w:r>
            <w:r w:rsidRPr="005E1EA7">
              <w:rPr>
                <w:rFonts w:ascii="Tahoma" w:hAnsi="Tahoma" w:cs="Tahoma"/>
                <w:i/>
                <w:iCs/>
                <w:color w:val="auto"/>
                <w:sz w:val="20"/>
                <w:szCs w:val="20"/>
              </w:rPr>
              <w:t>Pollachius pollachius</w:t>
            </w:r>
            <w:r w:rsidRPr="005E1EA7">
              <w:rPr>
                <w:rFonts w:ascii="Tahoma" w:hAnsi="Tahoma" w:cs="Tahoma"/>
                <w:color w:val="auto"/>
                <w:sz w:val="20"/>
                <w:szCs w:val="20"/>
              </w:rPr>
              <w:t>), lieu noir (</w:t>
            </w:r>
            <w:r w:rsidRPr="005E1EA7">
              <w:rPr>
                <w:rFonts w:ascii="Tahoma" w:hAnsi="Tahoma" w:cs="Tahoma"/>
                <w:i/>
                <w:iCs/>
                <w:color w:val="auto"/>
                <w:sz w:val="20"/>
                <w:szCs w:val="20"/>
              </w:rPr>
              <w:t>Pollachius virens</w:t>
            </w:r>
            <w:r w:rsidRPr="005E1EA7">
              <w:rPr>
                <w:rFonts w:ascii="Tahoma" w:hAnsi="Tahoma" w:cs="Tahoma"/>
                <w:color w:val="auto"/>
                <w:sz w:val="20"/>
                <w:szCs w:val="20"/>
              </w:rPr>
              <w:t xml:space="preserve">), saumon &amp; truite (espèces du genre </w:t>
            </w:r>
            <w:r w:rsidRPr="005E1EA7">
              <w:rPr>
                <w:rFonts w:ascii="Tahoma" w:hAnsi="Tahoma" w:cs="Tahoma"/>
                <w:i/>
                <w:iCs/>
                <w:color w:val="auto"/>
                <w:sz w:val="20"/>
                <w:szCs w:val="20"/>
              </w:rPr>
              <w:t xml:space="preserve">Salmo </w:t>
            </w:r>
            <w:r w:rsidRPr="005E1EA7">
              <w:rPr>
                <w:rFonts w:ascii="Tahoma" w:hAnsi="Tahoma" w:cs="Tahoma"/>
                <w:color w:val="auto"/>
                <w:sz w:val="20"/>
                <w:szCs w:val="20"/>
              </w:rPr>
              <w:t xml:space="preserve">et espèces du genre </w:t>
            </w:r>
            <w:r w:rsidRPr="005E1EA7">
              <w:rPr>
                <w:rFonts w:ascii="Tahoma" w:hAnsi="Tahoma" w:cs="Tahoma"/>
                <w:i/>
                <w:iCs/>
                <w:color w:val="auto"/>
                <w:sz w:val="20"/>
                <w:szCs w:val="20"/>
              </w:rPr>
              <w:t>Oncorhynchus</w:t>
            </w:r>
            <w:r w:rsidRPr="005E1EA7">
              <w:rPr>
                <w:rFonts w:ascii="Tahoma" w:hAnsi="Tahoma" w:cs="Tahoma"/>
                <w:color w:val="auto"/>
                <w:sz w:val="20"/>
                <w:szCs w:val="20"/>
              </w:rPr>
              <w:t xml:space="preserve">, à l’exclusion de </w:t>
            </w:r>
            <w:r w:rsidRPr="005E1EA7">
              <w:rPr>
                <w:rFonts w:ascii="Tahoma" w:hAnsi="Tahoma" w:cs="Tahoma"/>
                <w:i/>
                <w:iCs/>
                <w:color w:val="auto"/>
                <w:sz w:val="20"/>
                <w:szCs w:val="20"/>
              </w:rPr>
              <w:t>Salmo trutta</w:t>
            </w:r>
            <w:r w:rsidRPr="005E1EA7">
              <w:rPr>
                <w:rFonts w:ascii="Tahoma" w:hAnsi="Tahoma" w:cs="Tahoma"/>
                <w:color w:val="auto"/>
                <w:sz w:val="20"/>
                <w:szCs w:val="20"/>
              </w:rPr>
              <w:t xml:space="preserve">), sardine ou pilchard (espèces du genre </w:t>
            </w:r>
            <w:r w:rsidRPr="005E1EA7">
              <w:rPr>
                <w:rFonts w:ascii="Tahoma" w:hAnsi="Tahoma" w:cs="Tahoma"/>
                <w:i/>
                <w:iCs/>
                <w:color w:val="auto"/>
                <w:sz w:val="20"/>
                <w:szCs w:val="20"/>
              </w:rPr>
              <w:t>Dussumieria</w:t>
            </w:r>
            <w:r w:rsidRPr="005E1EA7">
              <w:rPr>
                <w:rFonts w:ascii="Tahoma" w:hAnsi="Tahoma" w:cs="Tahoma"/>
                <w:color w:val="auto"/>
                <w:sz w:val="20"/>
                <w:szCs w:val="20"/>
              </w:rPr>
              <w:t xml:space="preserve">, espèces du genre </w:t>
            </w:r>
            <w:r w:rsidRPr="005E1EA7">
              <w:rPr>
                <w:rFonts w:ascii="Tahoma" w:hAnsi="Tahoma" w:cs="Tahoma"/>
                <w:i/>
                <w:iCs/>
                <w:color w:val="auto"/>
                <w:sz w:val="20"/>
                <w:szCs w:val="20"/>
              </w:rPr>
              <w:t>Sardina</w:t>
            </w:r>
            <w:r w:rsidRPr="005E1EA7">
              <w:rPr>
                <w:rFonts w:ascii="Tahoma" w:hAnsi="Tahoma" w:cs="Tahoma"/>
                <w:color w:val="auto"/>
                <w:sz w:val="20"/>
                <w:szCs w:val="20"/>
              </w:rPr>
              <w:t xml:space="preserve">, espèces du genre </w:t>
            </w:r>
            <w:r w:rsidRPr="005E1EA7">
              <w:rPr>
                <w:rFonts w:ascii="Tahoma" w:hAnsi="Tahoma" w:cs="Tahoma"/>
                <w:i/>
                <w:iCs/>
                <w:color w:val="auto"/>
                <w:sz w:val="20"/>
                <w:szCs w:val="20"/>
              </w:rPr>
              <w:t xml:space="preserve">Sardinella </w:t>
            </w:r>
            <w:r w:rsidRPr="005E1EA7">
              <w:rPr>
                <w:rFonts w:ascii="Tahoma" w:hAnsi="Tahoma" w:cs="Tahoma"/>
                <w:color w:val="auto"/>
                <w:sz w:val="20"/>
                <w:szCs w:val="20"/>
              </w:rPr>
              <w:t xml:space="preserve">et espèces du genre </w:t>
            </w:r>
            <w:r w:rsidRPr="005E1EA7">
              <w:rPr>
                <w:rFonts w:ascii="Tahoma" w:hAnsi="Tahoma" w:cs="Tahoma"/>
                <w:i/>
                <w:iCs/>
                <w:color w:val="auto"/>
                <w:sz w:val="20"/>
                <w:szCs w:val="20"/>
              </w:rPr>
              <w:t>Sardinops</w:t>
            </w:r>
            <w:r w:rsidRPr="005E1EA7">
              <w:rPr>
                <w:rFonts w:ascii="Tahoma" w:hAnsi="Tahoma" w:cs="Tahoma"/>
                <w:color w:val="auto"/>
                <w:sz w:val="20"/>
                <w:szCs w:val="20"/>
              </w:rPr>
              <w:t>), sole (</w:t>
            </w:r>
            <w:r w:rsidRPr="005E1EA7">
              <w:rPr>
                <w:rFonts w:ascii="Tahoma" w:hAnsi="Tahoma" w:cs="Tahoma"/>
                <w:i/>
                <w:iCs/>
                <w:color w:val="auto"/>
                <w:sz w:val="20"/>
                <w:szCs w:val="20"/>
              </w:rPr>
              <w:t>Solea Solea</w:t>
            </w:r>
            <w:r w:rsidRPr="005E1EA7">
              <w:rPr>
                <w:rFonts w:ascii="Tahoma" w:hAnsi="Tahoma" w:cs="Tahoma"/>
                <w:color w:val="auto"/>
                <w:sz w:val="20"/>
                <w:szCs w:val="20"/>
              </w:rPr>
              <w:t>), silure requin (</w:t>
            </w:r>
            <w:r w:rsidRPr="005E1EA7">
              <w:rPr>
                <w:rFonts w:ascii="Tahoma" w:hAnsi="Tahoma" w:cs="Tahoma"/>
                <w:i/>
                <w:iCs/>
                <w:color w:val="auto"/>
                <w:sz w:val="20"/>
                <w:szCs w:val="20"/>
              </w:rPr>
              <w:t>Pangasianodon hypophthalmus</w:t>
            </w:r>
            <w:r w:rsidRPr="005E1EA7">
              <w:rPr>
                <w:rFonts w:ascii="Tahoma" w:hAnsi="Tahoma" w:cs="Tahoma"/>
                <w:color w:val="auto"/>
                <w:sz w:val="20"/>
                <w:szCs w:val="20"/>
              </w:rPr>
              <w:t>)</w:t>
            </w:r>
          </w:p>
        </w:tc>
        <w:tc>
          <w:tcPr>
            <w:tcW w:w="1701" w:type="dxa"/>
            <w:vAlign w:val="center"/>
          </w:tcPr>
          <w:p w14:paraId="12B599A0"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0,30</w:t>
            </w:r>
          </w:p>
        </w:tc>
      </w:tr>
    </w:tbl>
    <w:p w14:paraId="54BFC7D2" w14:textId="77777777" w:rsidR="003D69A8" w:rsidRPr="005E1EA7" w:rsidRDefault="003D69A8" w:rsidP="003D69A8">
      <w:pPr>
        <w:rPr>
          <w:rFonts w:ascii="Tahoma" w:hAnsi="Tahoma" w:cs="Tahoma"/>
          <w:sz w:val="20"/>
          <w:szCs w:val="20"/>
        </w:rPr>
      </w:pPr>
    </w:p>
    <w:p w14:paraId="5C61A5AB" w14:textId="77777777" w:rsidR="003D69A8" w:rsidRPr="005E1EA7" w:rsidRDefault="003D69A8" w:rsidP="003D69A8">
      <w:pPr>
        <w:rPr>
          <w:rFonts w:ascii="Tahoma" w:hAnsi="Tahoma" w:cs="Tahoma"/>
          <w:sz w:val="20"/>
          <w:szCs w:val="20"/>
        </w:rPr>
      </w:pPr>
    </w:p>
    <w:p w14:paraId="291D7DEB" w14:textId="77777777" w:rsidR="003D69A8" w:rsidRPr="005E1EA7" w:rsidRDefault="003D69A8" w:rsidP="003D69A8">
      <w:pPr>
        <w:rPr>
          <w:rFonts w:ascii="Tahoma" w:hAnsi="Tahoma" w:cs="Tahoma"/>
          <w:sz w:val="20"/>
          <w:szCs w:val="20"/>
        </w:rPr>
      </w:pPr>
    </w:p>
    <w:p w14:paraId="6B747051" w14:textId="77777777" w:rsidR="003D69A8" w:rsidRPr="005E1EA7" w:rsidRDefault="003D69A8" w:rsidP="00420DDA">
      <w:pPr>
        <w:pStyle w:val="Default"/>
        <w:widowControl/>
        <w:numPr>
          <w:ilvl w:val="0"/>
          <w:numId w:val="185"/>
        </w:numPr>
        <w:autoSpaceDE/>
        <w:autoSpaceDN/>
        <w:adjustRightInd/>
        <w:rPr>
          <w:rFonts w:ascii="Tahoma" w:hAnsi="Tahoma" w:cs="Tahoma"/>
          <w:b/>
          <w:color w:val="auto"/>
          <w:sz w:val="20"/>
          <w:szCs w:val="20"/>
        </w:rPr>
      </w:pPr>
      <w:r w:rsidRPr="005E1EA7">
        <w:rPr>
          <w:rFonts w:ascii="Tahoma" w:hAnsi="Tahoma" w:cs="Tahoma"/>
          <w:b/>
          <w:color w:val="auto"/>
          <w:sz w:val="20"/>
          <w:szCs w:val="20"/>
        </w:rPr>
        <w:t>ÉTAIN (</w:t>
      </w:r>
      <w:bookmarkStart w:id="219" w:name="_Hlk199326233"/>
      <w:r w:rsidRPr="005E1EA7">
        <w:rPr>
          <w:rFonts w:ascii="Tahoma" w:hAnsi="Tahoma" w:cs="Tahoma"/>
          <w:b/>
          <w:color w:val="auto"/>
          <w:sz w:val="20"/>
          <w:szCs w:val="20"/>
        </w:rPr>
        <w:t>Sn</w:t>
      </w:r>
      <w:bookmarkEnd w:id="219"/>
      <w:r w:rsidRPr="005E1EA7">
        <w:rPr>
          <w:rFonts w:ascii="Tahoma" w:hAnsi="Tahoma" w:cs="Tahoma"/>
          <w:b/>
          <w:color w:val="auto"/>
          <w:sz w:val="20"/>
          <w:szCs w:val="20"/>
        </w:rPr>
        <w:t>)</w:t>
      </w:r>
      <w:r w:rsidRPr="005E1EA7">
        <w:rPr>
          <w:rFonts w:ascii="Tahoma" w:hAnsi="Tahoma" w:cs="Tahoma"/>
          <w:b/>
          <w:color w:val="auto"/>
          <w:sz w:val="20"/>
          <w:szCs w:val="20"/>
          <w:rtl/>
        </w:rPr>
        <w:t xml:space="preserve"> </w:t>
      </w:r>
      <w:r w:rsidRPr="005E1EA7">
        <w:rPr>
          <w:rFonts w:ascii="Tahoma" w:hAnsi="Tahoma" w:cs="Tahoma"/>
          <w:color w:val="auto"/>
          <w:sz w:val="20"/>
          <w:szCs w:val="20"/>
        </w:rPr>
        <w:t>inorganique</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
        <w:gridCol w:w="6813"/>
        <w:gridCol w:w="1698"/>
      </w:tblGrid>
      <w:tr w:rsidR="003D69A8" w:rsidRPr="005E1EA7" w14:paraId="7E1673F6" w14:textId="77777777" w:rsidTr="006365F0">
        <w:trPr>
          <w:trHeight w:val="20"/>
        </w:trPr>
        <w:tc>
          <w:tcPr>
            <w:tcW w:w="7366" w:type="dxa"/>
            <w:gridSpan w:val="2"/>
          </w:tcPr>
          <w:p w14:paraId="6D05CC5C" w14:textId="77777777" w:rsidR="003D69A8" w:rsidRPr="005E1EA7" w:rsidRDefault="003D69A8" w:rsidP="006365F0">
            <w:pPr>
              <w:rPr>
                <w:rFonts w:ascii="Tahoma" w:hAnsi="Tahoma" w:cs="Tahoma"/>
                <w:iCs/>
                <w:sz w:val="20"/>
                <w:szCs w:val="20"/>
              </w:rPr>
            </w:pPr>
            <w:r w:rsidRPr="005E1EA7">
              <w:rPr>
                <w:rFonts w:ascii="Tahoma" w:hAnsi="Tahoma" w:cs="Tahoma"/>
                <w:iCs/>
                <w:sz w:val="20"/>
                <w:szCs w:val="20"/>
              </w:rPr>
              <w:t>Denrées alimentaires</w:t>
            </w:r>
          </w:p>
        </w:tc>
        <w:tc>
          <w:tcPr>
            <w:tcW w:w="1701" w:type="dxa"/>
          </w:tcPr>
          <w:p w14:paraId="127DC5B5"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Teneurs maximales (mg/kg)</w:t>
            </w:r>
          </w:p>
        </w:tc>
      </w:tr>
      <w:tr w:rsidR="003D69A8" w:rsidRPr="005E1EA7" w14:paraId="2FC08B5B" w14:textId="77777777" w:rsidTr="006365F0">
        <w:trPr>
          <w:trHeight w:val="20"/>
        </w:trPr>
        <w:tc>
          <w:tcPr>
            <w:tcW w:w="516" w:type="dxa"/>
          </w:tcPr>
          <w:p w14:paraId="3E6BA1F3" w14:textId="77777777" w:rsidR="003D69A8" w:rsidRPr="005E1EA7" w:rsidRDefault="003D69A8" w:rsidP="006365F0">
            <w:pPr>
              <w:rPr>
                <w:rFonts w:ascii="Tahoma" w:hAnsi="Tahoma" w:cs="Tahoma"/>
                <w:iCs/>
                <w:sz w:val="20"/>
                <w:szCs w:val="20"/>
              </w:rPr>
            </w:pPr>
            <w:r w:rsidRPr="005E1EA7">
              <w:rPr>
                <w:rFonts w:ascii="Tahoma" w:hAnsi="Tahoma" w:cs="Tahoma"/>
                <w:iCs/>
                <w:sz w:val="20"/>
                <w:szCs w:val="20"/>
              </w:rPr>
              <w:t>4.1.</w:t>
            </w:r>
          </w:p>
        </w:tc>
        <w:tc>
          <w:tcPr>
            <w:tcW w:w="6850" w:type="dxa"/>
          </w:tcPr>
          <w:p w14:paraId="4230AB3D" w14:textId="77777777" w:rsidR="003D69A8" w:rsidRPr="005E1EA7" w:rsidRDefault="003D69A8" w:rsidP="006365F0">
            <w:pPr>
              <w:rPr>
                <w:rFonts w:ascii="Tahoma" w:hAnsi="Tahoma" w:cs="Tahoma"/>
                <w:iCs/>
                <w:sz w:val="20"/>
                <w:szCs w:val="20"/>
              </w:rPr>
            </w:pPr>
            <w:r w:rsidRPr="005E1EA7">
              <w:rPr>
                <w:rFonts w:ascii="Tahoma" w:hAnsi="Tahoma" w:cs="Tahoma"/>
                <w:iCs/>
                <w:sz w:val="20"/>
                <w:szCs w:val="20"/>
              </w:rPr>
              <w:t>Produits de la pêche en conserve,</w:t>
            </w:r>
          </w:p>
        </w:tc>
        <w:tc>
          <w:tcPr>
            <w:tcW w:w="1701" w:type="dxa"/>
          </w:tcPr>
          <w:p w14:paraId="60261355" w14:textId="77777777" w:rsidR="003D69A8" w:rsidRPr="005E1EA7" w:rsidRDefault="003D69A8" w:rsidP="006365F0">
            <w:pPr>
              <w:pStyle w:val="Default"/>
              <w:jc w:val="center"/>
              <w:rPr>
                <w:rFonts w:ascii="Tahoma" w:hAnsi="Tahoma" w:cs="Tahoma"/>
                <w:color w:val="auto"/>
                <w:sz w:val="20"/>
                <w:szCs w:val="20"/>
              </w:rPr>
            </w:pPr>
            <w:r w:rsidRPr="005E1EA7">
              <w:rPr>
                <w:rFonts w:ascii="Tahoma" w:hAnsi="Tahoma" w:cs="Tahoma"/>
                <w:color w:val="auto"/>
                <w:sz w:val="20"/>
                <w:szCs w:val="20"/>
              </w:rPr>
              <w:t>200</w:t>
            </w:r>
          </w:p>
        </w:tc>
      </w:tr>
    </w:tbl>
    <w:p w14:paraId="08AEF5FB" w14:textId="77777777" w:rsidR="003D69A8" w:rsidRPr="005E1EA7" w:rsidRDefault="003D69A8" w:rsidP="003D69A8">
      <w:pPr>
        <w:rPr>
          <w:rFonts w:ascii="Tahoma" w:hAnsi="Tahoma" w:cs="Tahoma"/>
          <w:b/>
          <w:sz w:val="20"/>
          <w:szCs w:val="20"/>
        </w:rPr>
      </w:pPr>
    </w:p>
    <w:p w14:paraId="3B1F6272" w14:textId="77777777" w:rsidR="003D69A8" w:rsidRPr="005E1EA7" w:rsidRDefault="003D69A8" w:rsidP="003D69A8">
      <w:pPr>
        <w:jc w:val="center"/>
        <w:rPr>
          <w:rFonts w:ascii="Tahoma" w:hAnsi="Tahoma" w:cs="Tahoma"/>
          <w:b/>
          <w:bCs/>
          <w:iCs/>
          <w:sz w:val="20"/>
          <w:szCs w:val="20"/>
        </w:rPr>
      </w:pPr>
      <w:r w:rsidRPr="005E1EA7">
        <w:rPr>
          <w:rFonts w:ascii="Tahoma" w:hAnsi="Tahoma" w:cs="Tahoma"/>
          <w:b/>
          <w:sz w:val="20"/>
          <w:szCs w:val="20"/>
        </w:rPr>
        <w:t xml:space="preserve">CHAPITRE II : </w:t>
      </w:r>
      <w:r w:rsidRPr="005E1EA7">
        <w:rPr>
          <w:rFonts w:ascii="Tahoma" w:hAnsi="Tahoma" w:cs="Tahoma"/>
          <w:b/>
          <w:bCs/>
          <w:iCs/>
          <w:sz w:val="20"/>
          <w:szCs w:val="20"/>
        </w:rPr>
        <w:t>POLLUANTS ORGANIQUES PERSISTANTS HALOGÉNÉS</w:t>
      </w:r>
    </w:p>
    <w:p w14:paraId="3E107519" w14:textId="77777777" w:rsidR="003D69A8" w:rsidRPr="005E1EA7" w:rsidRDefault="003D69A8" w:rsidP="003D69A8">
      <w:pPr>
        <w:jc w:val="center"/>
        <w:rPr>
          <w:rFonts w:ascii="Tahoma" w:hAnsi="Tahoma" w:cs="Tahoma"/>
          <w:b/>
          <w:bCs/>
          <w:iCs/>
          <w:sz w:val="20"/>
          <w:szCs w:val="20"/>
        </w:rPr>
      </w:pPr>
    </w:p>
    <w:p w14:paraId="18691714" w14:textId="77777777" w:rsidR="003D69A8" w:rsidRPr="005E1EA7" w:rsidRDefault="003D69A8" w:rsidP="00420DDA">
      <w:pPr>
        <w:pStyle w:val="Paragraphedeliste"/>
        <w:numPr>
          <w:ilvl w:val="0"/>
          <w:numId w:val="178"/>
        </w:numPr>
        <w:rPr>
          <w:rFonts w:ascii="Tahoma" w:hAnsi="Tahoma" w:cs="Tahoma"/>
          <w:b/>
          <w:iCs/>
          <w:sz w:val="20"/>
          <w:szCs w:val="20"/>
        </w:rPr>
      </w:pPr>
      <w:r w:rsidRPr="005E1EA7">
        <w:rPr>
          <w:rFonts w:ascii="Tahoma" w:hAnsi="Tahoma" w:cs="Tahoma"/>
          <w:b/>
          <w:iCs/>
          <w:sz w:val="20"/>
          <w:szCs w:val="20"/>
        </w:rPr>
        <w:t>DIOXINES ET PCB</w:t>
      </w:r>
    </w:p>
    <w:p w14:paraId="12A70953" w14:textId="77777777" w:rsidR="003D69A8" w:rsidRPr="005E1EA7" w:rsidRDefault="003D69A8" w:rsidP="003D69A8">
      <w:pPr>
        <w:jc w:val="both"/>
        <w:rPr>
          <w:rFonts w:ascii="Tahoma" w:hAnsi="Tahoma" w:cs="Tahoma"/>
          <w:sz w:val="20"/>
          <w:szCs w:val="20"/>
        </w:rPr>
      </w:pPr>
    </w:p>
    <w:p w14:paraId="2D1D6B54" w14:textId="77777777" w:rsidR="003D69A8" w:rsidRPr="005E1EA7" w:rsidRDefault="003D69A8" w:rsidP="003D69A8">
      <w:pPr>
        <w:jc w:val="both"/>
        <w:rPr>
          <w:rFonts w:ascii="Tahoma" w:hAnsi="Tahoma" w:cs="Tahoma"/>
          <w:iCs/>
          <w:sz w:val="20"/>
          <w:szCs w:val="20"/>
        </w:rPr>
      </w:pPr>
      <w:r w:rsidRPr="005E1EA7">
        <w:rPr>
          <w:rFonts w:ascii="Tahoma" w:hAnsi="Tahoma" w:cs="Tahoma"/>
          <w:sz w:val="20"/>
          <w:szCs w:val="20"/>
        </w:rPr>
        <w:t>Dans le cas des poissons destinés à être consommés en entier, la teneur maximale s’applique au poisson entier.</w:t>
      </w:r>
      <w:r w:rsidRPr="005E1EA7">
        <w:rPr>
          <w:rFonts w:ascii="Tahoma" w:hAnsi="Tahoma" w:cs="Tahoma"/>
          <w:iCs/>
          <w:sz w:val="20"/>
          <w:szCs w:val="20"/>
        </w:rPr>
        <w:t xml:space="preserve"> </w:t>
      </w:r>
    </w:p>
    <w:p w14:paraId="5CAB3581" w14:textId="77777777" w:rsidR="003D69A8" w:rsidRPr="005E1EA7" w:rsidRDefault="003D69A8" w:rsidP="003D69A8">
      <w:pPr>
        <w:jc w:val="both"/>
        <w:rPr>
          <w:rFonts w:ascii="Tahoma" w:hAnsi="Tahoma" w:cs="Tahoma"/>
          <w:iCs/>
          <w:sz w:val="20"/>
          <w:szCs w:val="20"/>
        </w:rPr>
      </w:pPr>
    </w:p>
    <w:p w14:paraId="2F307459" w14:textId="77777777" w:rsidR="003D69A8" w:rsidRPr="005E1EA7" w:rsidRDefault="003D69A8" w:rsidP="003D69A8">
      <w:pPr>
        <w:jc w:val="both"/>
        <w:rPr>
          <w:rFonts w:ascii="Tahoma" w:hAnsi="Tahoma" w:cs="Tahoma"/>
          <w:sz w:val="20"/>
          <w:szCs w:val="20"/>
        </w:rPr>
      </w:pPr>
      <w:r w:rsidRPr="005E1EA7">
        <w:rPr>
          <w:rFonts w:ascii="Tahoma" w:hAnsi="Tahoma" w:cs="Tahoma"/>
          <w:sz w:val="20"/>
          <w:szCs w:val="20"/>
        </w:rPr>
        <w:t>Somme des PCB autres que ceux de type dioxine (PCB28, PCB52, PCB101, PCB138, PCB153 et PCB180) (ICES – 6).</w:t>
      </w:r>
    </w:p>
    <w:p w14:paraId="70EC560B" w14:textId="77777777" w:rsidR="003D69A8" w:rsidRPr="005E1EA7" w:rsidRDefault="003D69A8" w:rsidP="003D69A8">
      <w:pPr>
        <w:jc w:val="both"/>
        <w:rPr>
          <w:rFonts w:ascii="Tahoma" w:hAnsi="Tahoma" w:cs="Tahoma"/>
          <w:sz w:val="20"/>
          <w:szCs w:val="20"/>
        </w:rPr>
      </w:pPr>
      <w:r w:rsidRPr="005E1EA7">
        <w:rPr>
          <w:rFonts w:ascii="Tahoma" w:hAnsi="Tahoma" w:cs="Tahoma"/>
          <w:sz w:val="20"/>
          <w:szCs w:val="20"/>
        </w:rPr>
        <w:lastRenderedPageBreak/>
        <w:t>Les teneurs maximales se rapportent aux concentrations supérieures, que l’on calcule en supposant que toutes les valeurs des différents congénères inférieures à la limite de quantification sont égales à la limite de quantification.</w:t>
      </w:r>
    </w:p>
    <w:p w14:paraId="35ADCA6D" w14:textId="77777777" w:rsidR="003D69A8" w:rsidRPr="005E1EA7" w:rsidRDefault="003D69A8" w:rsidP="003D69A8">
      <w:pPr>
        <w:jc w:val="both"/>
        <w:rPr>
          <w:rFonts w:ascii="Tahoma" w:hAnsi="Tahoma" w:cs="Tahoma"/>
          <w:sz w:val="20"/>
          <w:szCs w:val="20"/>
        </w:rPr>
      </w:pPr>
    </w:p>
    <w:tbl>
      <w:tblPr>
        <w:tblpPr w:leftFromText="180" w:rightFromText="180" w:vertAnchor="text" w:horzAnchor="page" w:tblpXSpec="center" w:tblpY="142"/>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
        <w:gridCol w:w="3410"/>
        <w:gridCol w:w="1777"/>
        <w:gridCol w:w="1694"/>
        <w:gridCol w:w="1691"/>
      </w:tblGrid>
      <w:tr w:rsidR="003D69A8" w:rsidRPr="005E1EA7" w14:paraId="369E2CBC" w14:textId="77777777" w:rsidTr="006365F0">
        <w:trPr>
          <w:trHeight w:val="129"/>
        </w:trPr>
        <w:tc>
          <w:tcPr>
            <w:tcW w:w="3877" w:type="dxa"/>
            <w:gridSpan w:val="2"/>
            <w:vMerge w:val="restart"/>
            <w:vAlign w:val="center"/>
          </w:tcPr>
          <w:p w14:paraId="673B76C3" w14:textId="77777777" w:rsidR="003D69A8" w:rsidRPr="005E1EA7" w:rsidRDefault="003D69A8" w:rsidP="006365F0">
            <w:pPr>
              <w:jc w:val="center"/>
              <w:rPr>
                <w:rFonts w:ascii="Tahoma" w:hAnsi="Tahoma" w:cs="Tahoma"/>
                <w:i/>
                <w:sz w:val="20"/>
                <w:szCs w:val="20"/>
              </w:rPr>
            </w:pPr>
            <w:r w:rsidRPr="005E1EA7">
              <w:rPr>
                <w:rFonts w:ascii="Tahoma" w:hAnsi="Tahoma" w:cs="Tahoma"/>
                <w:i/>
                <w:sz w:val="20"/>
                <w:szCs w:val="20"/>
              </w:rPr>
              <w:t>Denrées alimentaires</w:t>
            </w:r>
          </w:p>
        </w:tc>
        <w:tc>
          <w:tcPr>
            <w:tcW w:w="5190" w:type="dxa"/>
            <w:gridSpan w:val="3"/>
            <w:vAlign w:val="center"/>
          </w:tcPr>
          <w:p w14:paraId="6F47F566" w14:textId="77777777" w:rsidR="003D69A8" w:rsidRPr="005E1EA7" w:rsidRDefault="003D69A8" w:rsidP="006365F0">
            <w:pPr>
              <w:jc w:val="center"/>
              <w:rPr>
                <w:rFonts w:ascii="Tahoma" w:hAnsi="Tahoma" w:cs="Tahoma"/>
                <w:i/>
                <w:sz w:val="20"/>
                <w:szCs w:val="20"/>
              </w:rPr>
            </w:pPr>
            <w:r w:rsidRPr="005E1EA7">
              <w:rPr>
                <w:rFonts w:ascii="Tahoma" w:hAnsi="Tahoma" w:cs="Tahoma"/>
                <w:i/>
                <w:sz w:val="20"/>
                <w:szCs w:val="20"/>
              </w:rPr>
              <w:t>Teneurs maximales</w:t>
            </w:r>
          </w:p>
        </w:tc>
      </w:tr>
      <w:tr w:rsidR="003D69A8" w:rsidRPr="005E1EA7" w14:paraId="245E6EBE" w14:textId="77777777" w:rsidTr="006365F0">
        <w:trPr>
          <w:trHeight w:val="386"/>
        </w:trPr>
        <w:tc>
          <w:tcPr>
            <w:tcW w:w="3877" w:type="dxa"/>
            <w:gridSpan w:val="2"/>
            <w:vMerge/>
            <w:vAlign w:val="center"/>
          </w:tcPr>
          <w:p w14:paraId="6D270AAD" w14:textId="77777777" w:rsidR="003D69A8" w:rsidRPr="005E1EA7" w:rsidRDefault="003D69A8" w:rsidP="006365F0">
            <w:pPr>
              <w:jc w:val="center"/>
              <w:rPr>
                <w:rFonts w:ascii="Tahoma" w:hAnsi="Tahoma" w:cs="Tahoma"/>
                <w:i/>
                <w:sz w:val="20"/>
                <w:szCs w:val="20"/>
              </w:rPr>
            </w:pPr>
          </w:p>
        </w:tc>
        <w:tc>
          <w:tcPr>
            <w:tcW w:w="1788" w:type="dxa"/>
            <w:vAlign w:val="center"/>
          </w:tcPr>
          <w:p w14:paraId="0DD17BA6" w14:textId="77777777" w:rsidR="003D69A8" w:rsidRPr="005E1EA7" w:rsidRDefault="003D69A8" w:rsidP="006365F0">
            <w:pPr>
              <w:autoSpaceDE w:val="0"/>
              <w:autoSpaceDN w:val="0"/>
              <w:adjustRightInd w:val="0"/>
              <w:jc w:val="center"/>
              <w:rPr>
                <w:rFonts w:ascii="Tahoma" w:hAnsi="Tahoma" w:cs="Tahoma"/>
                <w:i/>
                <w:sz w:val="20"/>
                <w:szCs w:val="20"/>
              </w:rPr>
            </w:pPr>
            <w:r w:rsidRPr="005E1EA7">
              <w:rPr>
                <w:rFonts w:ascii="Tahoma" w:hAnsi="Tahoma" w:cs="Tahoma"/>
                <w:i/>
                <w:sz w:val="20"/>
                <w:szCs w:val="20"/>
              </w:rPr>
              <w:t>Somme des dioxines</w:t>
            </w:r>
          </w:p>
          <w:p w14:paraId="388138E4" w14:textId="77777777" w:rsidR="003D69A8" w:rsidRPr="00576B08" w:rsidRDefault="003D69A8" w:rsidP="006365F0">
            <w:pPr>
              <w:autoSpaceDE w:val="0"/>
              <w:autoSpaceDN w:val="0"/>
              <w:adjustRightInd w:val="0"/>
              <w:jc w:val="center"/>
              <w:rPr>
                <w:rFonts w:ascii="Tahoma" w:hAnsi="Tahoma" w:cs="Tahoma"/>
                <w:i/>
                <w:sz w:val="20"/>
                <w:szCs w:val="20"/>
              </w:rPr>
            </w:pPr>
            <w:r w:rsidRPr="00576B08">
              <w:rPr>
                <w:rFonts w:ascii="Tahoma" w:hAnsi="Tahoma" w:cs="Tahoma"/>
                <w:i/>
                <w:sz w:val="20"/>
                <w:szCs w:val="20"/>
              </w:rPr>
              <w:t>(</w:t>
            </w:r>
            <w:proofErr w:type="gramStart"/>
            <w:r w:rsidRPr="00576B08">
              <w:rPr>
                <w:rFonts w:ascii="Tahoma" w:hAnsi="Tahoma" w:cs="Tahoma"/>
                <w:i/>
                <w:sz w:val="20"/>
                <w:szCs w:val="20"/>
              </w:rPr>
              <w:t>pg</w:t>
            </w:r>
            <w:proofErr w:type="gramEnd"/>
            <w:r w:rsidRPr="00576B08">
              <w:rPr>
                <w:rFonts w:ascii="Tahoma" w:hAnsi="Tahoma" w:cs="Tahoma"/>
                <w:i/>
                <w:sz w:val="20"/>
                <w:szCs w:val="20"/>
              </w:rPr>
              <w:t xml:space="preserve"> OMS-PCDD/F-TEQ/g)</w:t>
            </w:r>
            <w:r w:rsidRPr="00576B08">
              <w:rPr>
                <w:rFonts w:ascii="Tahoma" w:hAnsi="Tahoma" w:cs="Tahoma"/>
                <w:iCs/>
                <w:sz w:val="20"/>
                <w:szCs w:val="20"/>
                <w:vertAlign w:val="superscript"/>
              </w:rPr>
              <w:t xml:space="preserve"> </w:t>
            </w:r>
            <w:r w:rsidRPr="00576B08">
              <w:rPr>
                <w:rFonts w:ascii="Tahoma" w:hAnsi="Tahoma" w:cs="Tahoma"/>
                <w:i/>
                <w:sz w:val="20"/>
                <w:szCs w:val="20"/>
                <w:vertAlign w:val="superscript"/>
              </w:rPr>
              <w:t>(1)</w:t>
            </w:r>
          </w:p>
        </w:tc>
        <w:tc>
          <w:tcPr>
            <w:tcW w:w="1701" w:type="dxa"/>
            <w:vAlign w:val="center"/>
          </w:tcPr>
          <w:p w14:paraId="50705566" w14:textId="77777777" w:rsidR="003D69A8" w:rsidRPr="005E1EA7" w:rsidRDefault="003D69A8" w:rsidP="006365F0">
            <w:pPr>
              <w:autoSpaceDE w:val="0"/>
              <w:autoSpaceDN w:val="0"/>
              <w:adjustRightInd w:val="0"/>
              <w:jc w:val="center"/>
              <w:rPr>
                <w:rFonts w:ascii="Tahoma" w:hAnsi="Tahoma" w:cs="Tahoma"/>
                <w:i/>
                <w:sz w:val="20"/>
                <w:szCs w:val="20"/>
              </w:rPr>
            </w:pPr>
            <w:r w:rsidRPr="005E1EA7">
              <w:rPr>
                <w:rFonts w:ascii="Tahoma" w:hAnsi="Tahoma" w:cs="Tahoma"/>
                <w:i/>
                <w:sz w:val="20"/>
                <w:szCs w:val="20"/>
              </w:rPr>
              <w:t>Somme des dioxines et PCB de type dioxine (pg OMS-PCDD/F-PCBTEQ/g)</w:t>
            </w:r>
            <w:r w:rsidRPr="005E1EA7">
              <w:rPr>
                <w:rFonts w:ascii="Tahoma" w:hAnsi="Tahoma" w:cs="Tahoma"/>
                <w:i/>
                <w:sz w:val="20"/>
                <w:szCs w:val="20"/>
                <w:vertAlign w:val="superscript"/>
              </w:rPr>
              <w:t xml:space="preserve"> (1)</w:t>
            </w:r>
          </w:p>
        </w:tc>
        <w:tc>
          <w:tcPr>
            <w:tcW w:w="1701" w:type="dxa"/>
            <w:vAlign w:val="center"/>
          </w:tcPr>
          <w:p w14:paraId="00890A57" w14:textId="77777777" w:rsidR="003D69A8" w:rsidRPr="005E1EA7" w:rsidRDefault="003D69A8" w:rsidP="006365F0">
            <w:pPr>
              <w:autoSpaceDE w:val="0"/>
              <w:autoSpaceDN w:val="0"/>
              <w:adjustRightInd w:val="0"/>
              <w:jc w:val="center"/>
              <w:rPr>
                <w:rFonts w:ascii="Tahoma" w:hAnsi="Tahoma" w:cs="Tahoma"/>
                <w:i/>
                <w:sz w:val="20"/>
                <w:szCs w:val="20"/>
              </w:rPr>
            </w:pPr>
            <w:r w:rsidRPr="005E1EA7">
              <w:rPr>
                <w:rFonts w:ascii="Tahoma" w:hAnsi="Tahoma" w:cs="Tahoma"/>
                <w:i/>
                <w:sz w:val="20"/>
                <w:szCs w:val="20"/>
              </w:rPr>
              <w:t>Somme des PCB autres que ceux de type dioxine (ng/g)</w:t>
            </w:r>
            <w:r w:rsidRPr="005E1EA7">
              <w:rPr>
                <w:rFonts w:ascii="Tahoma" w:hAnsi="Tahoma" w:cs="Tahoma"/>
                <w:i/>
                <w:sz w:val="20"/>
                <w:szCs w:val="20"/>
                <w:vertAlign w:val="superscript"/>
              </w:rPr>
              <w:t xml:space="preserve"> (1)</w:t>
            </w:r>
          </w:p>
        </w:tc>
      </w:tr>
      <w:tr w:rsidR="003D69A8" w:rsidRPr="005E1EA7" w14:paraId="2D82F6B6" w14:textId="77777777" w:rsidTr="006365F0">
        <w:trPr>
          <w:trHeight w:val="558"/>
        </w:trPr>
        <w:tc>
          <w:tcPr>
            <w:tcW w:w="441" w:type="dxa"/>
          </w:tcPr>
          <w:p w14:paraId="55CB3F46" w14:textId="77777777" w:rsidR="003D69A8" w:rsidRPr="005E1EA7" w:rsidRDefault="003D69A8" w:rsidP="006365F0">
            <w:pPr>
              <w:rPr>
                <w:rFonts w:ascii="Tahoma" w:hAnsi="Tahoma" w:cs="Tahoma"/>
                <w:iCs/>
                <w:sz w:val="20"/>
                <w:szCs w:val="20"/>
              </w:rPr>
            </w:pPr>
            <w:r w:rsidRPr="005E1EA7">
              <w:rPr>
                <w:rFonts w:ascii="Tahoma" w:hAnsi="Tahoma" w:cs="Tahoma"/>
                <w:iCs/>
                <w:sz w:val="20"/>
                <w:szCs w:val="20"/>
              </w:rPr>
              <w:t>1.1</w:t>
            </w:r>
          </w:p>
        </w:tc>
        <w:tc>
          <w:tcPr>
            <w:tcW w:w="3436" w:type="dxa"/>
          </w:tcPr>
          <w:p w14:paraId="71473402" w14:textId="77777777" w:rsidR="003D69A8" w:rsidRPr="005E1EA7" w:rsidRDefault="003D69A8" w:rsidP="006365F0">
            <w:pPr>
              <w:rPr>
                <w:rFonts w:ascii="Tahoma" w:hAnsi="Tahoma" w:cs="Tahoma"/>
                <w:iCs/>
                <w:sz w:val="20"/>
                <w:szCs w:val="20"/>
              </w:rPr>
            </w:pPr>
            <w:r w:rsidRPr="005E1EA7">
              <w:rPr>
                <w:rFonts w:ascii="Tahoma" w:hAnsi="Tahoma" w:cs="Tahoma"/>
                <w:iCs/>
                <w:sz w:val="20"/>
                <w:szCs w:val="20"/>
              </w:rPr>
              <w:t xml:space="preserve">Produits de la pêche </w:t>
            </w:r>
            <w:r w:rsidRPr="005E1EA7">
              <w:rPr>
                <w:rFonts w:ascii="Tahoma" w:hAnsi="Tahoma" w:cs="Tahoma"/>
                <w:iCs/>
                <w:sz w:val="20"/>
                <w:szCs w:val="20"/>
                <w:vertAlign w:val="superscript"/>
              </w:rPr>
              <w:t>(2)</w:t>
            </w:r>
            <w:r w:rsidRPr="005E1EA7">
              <w:rPr>
                <w:rFonts w:ascii="Tahoma" w:hAnsi="Tahoma" w:cs="Tahoma"/>
                <w:iCs/>
                <w:sz w:val="20"/>
                <w:szCs w:val="20"/>
              </w:rPr>
              <w:t xml:space="preserve"> et mollusques bivalves </w:t>
            </w:r>
            <w:r w:rsidRPr="005E1EA7">
              <w:rPr>
                <w:rFonts w:ascii="Tahoma" w:hAnsi="Tahoma" w:cs="Tahoma"/>
                <w:iCs/>
                <w:sz w:val="20"/>
                <w:szCs w:val="20"/>
                <w:vertAlign w:val="superscript"/>
              </w:rPr>
              <w:t xml:space="preserve">(2), </w:t>
            </w:r>
            <w:r w:rsidRPr="005E1EA7">
              <w:rPr>
                <w:rFonts w:ascii="Tahoma" w:hAnsi="Tahoma" w:cs="Tahoma"/>
                <w:iCs/>
                <w:sz w:val="20"/>
                <w:szCs w:val="20"/>
              </w:rPr>
              <w:t>à l’exception des produits énumérés aux points 1.2, 1.3, 1.4 et 1.5</w:t>
            </w:r>
          </w:p>
        </w:tc>
        <w:tc>
          <w:tcPr>
            <w:tcW w:w="1788" w:type="dxa"/>
            <w:vAlign w:val="center"/>
          </w:tcPr>
          <w:p w14:paraId="53A33593" w14:textId="77777777" w:rsidR="003D69A8" w:rsidRPr="005E1EA7" w:rsidRDefault="003D69A8" w:rsidP="006365F0">
            <w:pPr>
              <w:rPr>
                <w:rFonts w:ascii="Tahoma" w:eastAsiaTheme="minorHAnsi" w:hAnsi="Tahoma" w:cs="Tahoma"/>
                <w:sz w:val="20"/>
                <w:szCs w:val="20"/>
                <w:lang w:eastAsia="en-US"/>
              </w:rPr>
            </w:pPr>
            <w:r w:rsidRPr="005E1EA7">
              <w:rPr>
                <w:rFonts w:ascii="Tahoma" w:eastAsiaTheme="minorHAnsi" w:hAnsi="Tahoma" w:cs="Tahoma"/>
                <w:sz w:val="20"/>
                <w:szCs w:val="20"/>
                <w:lang w:eastAsia="en-US"/>
              </w:rPr>
              <w:t>3,5pg/g de poids à l’état frais</w:t>
            </w:r>
          </w:p>
        </w:tc>
        <w:tc>
          <w:tcPr>
            <w:tcW w:w="1701" w:type="dxa"/>
            <w:vAlign w:val="center"/>
          </w:tcPr>
          <w:p w14:paraId="374B2431" w14:textId="77777777" w:rsidR="003D69A8" w:rsidRPr="005E1EA7" w:rsidRDefault="003D69A8" w:rsidP="006365F0">
            <w:pPr>
              <w:autoSpaceDE w:val="0"/>
              <w:autoSpaceDN w:val="0"/>
              <w:adjustRightInd w:val="0"/>
              <w:rPr>
                <w:rFonts w:ascii="Tahoma" w:eastAsiaTheme="minorHAnsi" w:hAnsi="Tahoma" w:cs="Tahoma"/>
                <w:sz w:val="20"/>
                <w:szCs w:val="20"/>
                <w:lang w:eastAsia="en-US"/>
              </w:rPr>
            </w:pPr>
            <w:r w:rsidRPr="005E1EA7">
              <w:rPr>
                <w:rFonts w:ascii="Tahoma" w:eastAsiaTheme="minorHAnsi" w:hAnsi="Tahoma" w:cs="Tahoma"/>
                <w:sz w:val="20"/>
                <w:szCs w:val="20"/>
                <w:lang w:eastAsia="en-US"/>
              </w:rPr>
              <w:t xml:space="preserve">6,5 pg/g de poids à l'état frais </w:t>
            </w:r>
          </w:p>
        </w:tc>
        <w:tc>
          <w:tcPr>
            <w:tcW w:w="1701" w:type="dxa"/>
            <w:vAlign w:val="center"/>
          </w:tcPr>
          <w:p w14:paraId="58B832D5" w14:textId="77777777" w:rsidR="003D69A8" w:rsidRPr="005E1EA7" w:rsidRDefault="003D69A8" w:rsidP="006365F0">
            <w:pPr>
              <w:rPr>
                <w:rFonts w:ascii="Tahoma" w:eastAsiaTheme="minorHAnsi" w:hAnsi="Tahoma" w:cs="Tahoma"/>
                <w:sz w:val="20"/>
                <w:szCs w:val="20"/>
                <w:lang w:eastAsia="en-US"/>
              </w:rPr>
            </w:pPr>
            <w:r w:rsidRPr="005E1EA7">
              <w:rPr>
                <w:rFonts w:ascii="Tahoma" w:eastAsiaTheme="minorHAnsi" w:hAnsi="Tahoma" w:cs="Tahoma"/>
                <w:sz w:val="20"/>
                <w:szCs w:val="20"/>
                <w:lang w:eastAsia="en-US"/>
              </w:rPr>
              <w:t>75 ng/g de poids à l'état frais</w:t>
            </w:r>
          </w:p>
        </w:tc>
      </w:tr>
      <w:tr w:rsidR="003D69A8" w:rsidRPr="005E1EA7" w14:paraId="7C2CF428" w14:textId="77777777" w:rsidTr="006365F0">
        <w:trPr>
          <w:trHeight w:val="558"/>
        </w:trPr>
        <w:tc>
          <w:tcPr>
            <w:tcW w:w="441" w:type="dxa"/>
          </w:tcPr>
          <w:p w14:paraId="143F7C16" w14:textId="77777777" w:rsidR="003D69A8" w:rsidRPr="005E1EA7" w:rsidRDefault="003D69A8" w:rsidP="006365F0">
            <w:pPr>
              <w:rPr>
                <w:rFonts w:ascii="Tahoma" w:hAnsi="Tahoma" w:cs="Tahoma"/>
                <w:iCs/>
                <w:sz w:val="20"/>
                <w:szCs w:val="20"/>
              </w:rPr>
            </w:pPr>
            <w:r w:rsidRPr="005E1EA7">
              <w:rPr>
                <w:rFonts w:ascii="Tahoma" w:hAnsi="Tahoma" w:cs="Tahoma"/>
                <w:iCs/>
                <w:sz w:val="20"/>
                <w:szCs w:val="20"/>
              </w:rPr>
              <w:t>1.2</w:t>
            </w:r>
          </w:p>
        </w:tc>
        <w:tc>
          <w:tcPr>
            <w:tcW w:w="3436" w:type="dxa"/>
          </w:tcPr>
          <w:p w14:paraId="628814E8" w14:textId="77777777" w:rsidR="003D69A8" w:rsidRPr="005E1EA7" w:rsidRDefault="003D69A8" w:rsidP="006365F0">
            <w:pPr>
              <w:rPr>
                <w:rFonts w:ascii="Tahoma" w:hAnsi="Tahoma" w:cs="Tahoma"/>
                <w:iCs/>
                <w:sz w:val="20"/>
                <w:szCs w:val="20"/>
              </w:rPr>
            </w:pPr>
            <w:r w:rsidRPr="005E1EA7">
              <w:rPr>
                <w:rFonts w:ascii="Tahoma" w:hAnsi="Tahoma" w:cs="Tahoma"/>
                <w:sz w:val="20"/>
                <w:szCs w:val="20"/>
              </w:rPr>
              <w:t>Chair musculaire de l'aiguillat commun/ chien de mer (Squalus acanthias) sauvage capturé et produits dérivés</w:t>
            </w:r>
            <w:r w:rsidRPr="005E1EA7">
              <w:rPr>
                <w:rFonts w:ascii="Tahoma" w:hAnsi="Tahoma" w:cs="Tahoma"/>
                <w:iCs/>
                <w:sz w:val="20"/>
                <w:szCs w:val="20"/>
                <w:vertAlign w:val="superscript"/>
              </w:rPr>
              <w:t xml:space="preserve"> </w:t>
            </w:r>
          </w:p>
        </w:tc>
        <w:tc>
          <w:tcPr>
            <w:tcW w:w="1788" w:type="dxa"/>
          </w:tcPr>
          <w:p w14:paraId="1996FBF9" w14:textId="77777777" w:rsidR="003D69A8" w:rsidRPr="005E1EA7" w:rsidRDefault="003D69A8" w:rsidP="006365F0">
            <w:pPr>
              <w:rPr>
                <w:rFonts w:ascii="Tahoma" w:eastAsiaTheme="minorHAnsi" w:hAnsi="Tahoma" w:cs="Tahoma"/>
                <w:sz w:val="20"/>
                <w:szCs w:val="20"/>
                <w:lang w:eastAsia="en-US"/>
              </w:rPr>
            </w:pPr>
            <w:r w:rsidRPr="005E1EA7">
              <w:rPr>
                <w:rFonts w:ascii="Tahoma" w:hAnsi="Tahoma" w:cs="Tahoma"/>
                <w:sz w:val="20"/>
                <w:szCs w:val="20"/>
              </w:rPr>
              <w:t>3,5 pg/g de poids à l'état frais</w:t>
            </w:r>
          </w:p>
        </w:tc>
        <w:tc>
          <w:tcPr>
            <w:tcW w:w="1701" w:type="dxa"/>
          </w:tcPr>
          <w:p w14:paraId="504D4451" w14:textId="77777777" w:rsidR="003D69A8" w:rsidRPr="005E1EA7" w:rsidRDefault="003D69A8" w:rsidP="006365F0">
            <w:pPr>
              <w:autoSpaceDE w:val="0"/>
              <w:autoSpaceDN w:val="0"/>
              <w:adjustRightInd w:val="0"/>
              <w:rPr>
                <w:rFonts w:ascii="Tahoma" w:eastAsiaTheme="minorHAnsi" w:hAnsi="Tahoma" w:cs="Tahoma"/>
                <w:sz w:val="20"/>
                <w:szCs w:val="20"/>
                <w:lang w:eastAsia="en-US"/>
              </w:rPr>
            </w:pPr>
            <w:r w:rsidRPr="005E1EA7">
              <w:rPr>
                <w:rFonts w:ascii="Tahoma" w:hAnsi="Tahoma" w:cs="Tahoma"/>
                <w:sz w:val="20"/>
                <w:szCs w:val="20"/>
              </w:rPr>
              <w:t>6,5 pg/g de poids à l'état frais</w:t>
            </w:r>
          </w:p>
        </w:tc>
        <w:tc>
          <w:tcPr>
            <w:tcW w:w="1701" w:type="dxa"/>
          </w:tcPr>
          <w:p w14:paraId="3F42AE7E" w14:textId="77777777" w:rsidR="003D69A8" w:rsidRPr="005E1EA7" w:rsidRDefault="003D69A8" w:rsidP="006365F0">
            <w:pPr>
              <w:rPr>
                <w:rFonts w:ascii="Tahoma" w:eastAsiaTheme="minorHAnsi" w:hAnsi="Tahoma" w:cs="Tahoma"/>
                <w:sz w:val="20"/>
                <w:szCs w:val="20"/>
                <w:lang w:eastAsia="en-US"/>
              </w:rPr>
            </w:pPr>
            <w:r w:rsidRPr="005E1EA7">
              <w:rPr>
                <w:rFonts w:ascii="Tahoma" w:eastAsiaTheme="minorHAnsi" w:hAnsi="Tahoma" w:cs="Tahoma"/>
                <w:sz w:val="20"/>
                <w:szCs w:val="20"/>
                <w:lang w:eastAsia="en-US"/>
              </w:rPr>
              <w:t>200 ng/g de poids à l'état frais</w:t>
            </w:r>
          </w:p>
        </w:tc>
      </w:tr>
      <w:tr w:rsidR="003D69A8" w:rsidRPr="005E1EA7" w14:paraId="4BD8B5D4" w14:textId="77777777" w:rsidTr="006365F0">
        <w:trPr>
          <w:trHeight w:val="552"/>
        </w:trPr>
        <w:tc>
          <w:tcPr>
            <w:tcW w:w="441" w:type="dxa"/>
          </w:tcPr>
          <w:p w14:paraId="639FA14F" w14:textId="77777777" w:rsidR="003D69A8" w:rsidRPr="005E1EA7" w:rsidRDefault="003D69A8" w:rsidP="006365F0">
            <w:pPr>
              <w:jc w:val="both"/>
              <w:rPr>
                <w:rFonts w:ascii="Tahoma" w:hAnsi="Tahoma" w:cs="Tahoma"/>
                <w:iCs/>
                <w:sz w:val="20"/>
                <w:szCs w:val="20"/>
              </w:rPr>
            </w:pPr>
            <w:r w:rsidRPr="005E1EA7">
              <w:rPr>
                <w:rFonts w:ascii="Tahoma" w:hAnsi="Tahoma" w:cs="Tahoma"/>
                <w:iCs/>
                <w:sz w:val="20"/>
                <w:szCs w:val="20"/>
              </w:rPr>
              <w:t>1.3</w:t>
            </w:r>
          </w:p>
        </w:tc>
        <w:tc>
          <w:tcPr>
            <w:tcW w:w="3436" w:type="dxa"/>
          </w:tcPr>
          <w:p w14:paraId="7DFC3A6C" w14:textId="77777777" w:rsidR="003D69A8" w:rsidRPr="005E1EA7" w:rsidRDefault="003D69A8" w:rsidP="006365F0">
            <w:pPr>
              <w:rPr>
                <w:rFonts w:ascii="Tahoma" w:hAnsi="Tahoma" w:cs="Tahoma"/>
                <w:sz w:val="20"/>
                <w:szCs w:val="20"/>
              </w:rPr>
            </w:pPr>
            <w:r w:rsidRPr="005E1EA7">
              <w:rPr>
                <w:rFonts w:ascii="Tahoma" w:hAnsi="Tahoma" w:cs="Tahoma"/>
                <w:sz w:val="20"/>
                <w:szCs w:val="20"/>
              </w:rPr>
              <w:t>Chair musculaire d’anguille sauvage capturée (Anguilla anguilla) et produits dérivés</w:t>
            </w:r>
          </w:p>
        </w:tc>
        <w:tc>
          <w:tcPr>
            <w:tcW w:w="1788" w:type="dxa"/>
          </w:tcPr>
          <w:p w14:paraId="505A428F" w14:textId="77777777" w:rsidR="003D69A8" w:rsidRPr="005E1EA7" w:rsidRDefault="003D69A8" w:rsidP="006365F0">
            <w:pPr>
              <w:rPr>
                <w:rFonts w:ascii="Tahoma" w:hAnsi="Tahoma" w:cs="Tahoma"/>
                <w:sz w:val="20"/>
                <w:szCs w:val="20"/>
              </w:rPr>
            </w:pPr>
            <w:r w:rsidRPr="005E1EA7">
              <w:rPr>
                <w:rFonts w:ascii="Tahoma" w:hAnsi="Tahoma" w:cs="Tahoma"/>
                <w:sz w:val="20"/>
                <w:szCs w:val="20"/>
              </w:rPr>
              <w:t>3,5 pg/g de poids à l'état frais</w:t>
            </w:r>
          </w:p>
        </w:tc>
        <w:tc>
          <w:tcPr>
            <w:tcW w:w="1701" w:type="dxa"/>
          </w:tcPr>
          <w:p w14:paraId="31B8556C" w14:textId="77777777" w:rsidR="003D69A8" w:rsidRPr="005E1EA7" w:rsidRDefault="003D69A8" w:rsidP="006365F0">
            <w:pPr>
              <w:rPr>
                <w:rFonts w:ascii="Tahoma" w:hAnsi="Tahoma" w:cs="Tahoma"/>
                <w:sz w:val="20"/>
                <w:szCs w:val="20"/>
              </w:rPr>
            </w:pPr>
            <w:r w:rsidRPr="005E1EA7">
              <w:rPr>
                <w:rFonts w:ascii="Tahoma" w:hAnsi="Tahoma" w:cs="Tahoma"/>
                <w:sz w:val="20"/>
                <w:szCs w:val="20"/>
              </w:rPr>
              <w:t>10,0 pg/g de poids à l'état frais</w:t>
            </w:r>
          </w:p>
        </w:tc>
        <w:tc>
          <w:tcPr>
            <w:tcW w:w="1701" w:type="dxa"/>
          </w:tcPr>
          <w:p w14:paraId="07B1D22D" w14:textId="77777777" w:rsidR="003D69A8" w:rsidRPr="005E1EA7" w:rsidRDefault="003D69A8" w:rsidP="006365F0">
            <w:pPr>
              <w:rPr>
                <w:rFonts w:ascii="Tahoma" w:hAnsi="Tahoma" w:cs="Tahoma"/>
                <w:sz w:val="20"/>
                <w:szCs w:val="20"/>
              </w:rPr>
            </w:pPr>
            <w:r w:rsidRPr="005E1EA7">
              <w:rPr>
                <w:rFonts w:ascii="Tahoma" w:eastAsiaTheme="minorHAnsi" w:hAnsi="Tahoma" w:cs="Tahoma"/>
                <w:sz w:val="20"/>
                <w:szCs w:val="20"/>
                <w:lang w:eastAsia="en-US"/>
              </w:rPr>
              <w:t>300 ng/g de poids à l'état frais</w:t>
            </w:r>
          </w:p>
        </w:tc>
      </w:tr>
      <w:tr w:rsidR="003D69A8" w:rsidRPr="005E1EA7" w14:paraId="6EBBC37E" w14:textId="77777777" w:rsidTr="006365F0">
        <w:trPr>
          <w:trHeight w:val="552"/>
        </w:trPr>
        <w:tc>
          <w:tcPr>
            <w:tcW w:w="441" w:type="dxa"/>
          </w:tcPr>
          <w:p w14:paraId="53C469AB" w14:textId="77777777" w:rsidR="003D69A8" w:rsidRPr="005E1EA7" w:rsidRDefault="003D69A8" w:rsidP="006365F0">
            <w:pPr>
              <w:rPr>
                <w:rFonts w:ascii="Tahoma" w:hAnsi="Tahoma" w:cs="Tahoma"/>
                <w:sz w:val="20"/>
                <w:szCs w:val="20"/>
              </w:rPr>
            </w:pPr>
            <w:r w:rsidRPr="005E1EA7">
              <w:rPr>
                <w:rFonts w:ascii="Tahoma" w:hAnsi="Tahoma" w:cs="Tahoma"/>
                <w:sz w:val="20"/>
                <w:szCs w:val="20"/>
              </w:rPr>
              <w:t>1.4</w:t>
            </w:r>
          </w:p>
        </w:tc>
        <w:tc>
          <w:tcPr>
            <w:tcW w:w="3436" w:type="dxa"/>
          </w:tcPr>
          <w:p w14:paraId="3116B54A" w14:textId="77777777" w:rsidR="003D69A8" w:rsidRPr="005E1EA7" w:rsidRDefault="003D69A8" w:rsidP="006365F0">
            <w:pPr>
              <w:rPr>
                <w:rFonts w:ascii="Tahoma" w:hAnsi="Tahoma" w:cs="Tahoma"/>
                <w:sz w:val="20"/>
                <w:szCs w:val="20"/>
              </w:rPr>
            </w:pPr>
            <w:r w:rsidRPr="005E1EA7">
              <w:rPr>
                <w:rFonts w:ascii="Tahoma" w:hAnsi="Tahoma" w:cs="Tahoma"/>
                <w:sz w:val="20"/>
                <w:szCs w:val="20"/>
              </w:rPr>
              <w:t>Foie de poisson et produits dérivés de sa transformation à l’exclusion des huiles marines visées au point 1.5</w:t>
            </w:r>
          </w:p>
        </w:tc>
        <w:tc>
          <w:tcPr>
            <w:tcW w:w="1788" w:type="dxa"/>
            <w:vAlign w:val="center"/>
          </w:tcPr>
          <w:p w14:paraId="4F35AE80" w14:textId="77777777" w:rsidR="003D69A8" w:rsidRPr="005E1EA7" w:rsidRDefault="003D69A8" w:rsidP="006365F0">
            <w:pPr>
              <w:rPr>
                <w:rFonts w:ascii="Tahoma" w:hAnsi="Tahoma" w:cs="Tahoma"/>
                <w:sz w:val="20"/>
                <w:szCs w:val="20"/>
              </w:rPr>
            </w:pPr>
            <w:r w:rsidRPr="005E1EA7">
              <w:rPr>
                <w:rFonts w:ascii="Tahoma" w:hAnsi="Tahoma" w:cs="Tahoma"/>
                <w:sz w:val="20"/>
                <w:szCs w:val="20"/>
              </w:rPr>
              <w:t>-</w:t>
            </w:r>
          </w:p>
        </w:tc>
        <w:tc>
          <w:tcPr>
            <w:tcW w:w="1701" w:type="dxa"/>
          </w:tcPr>
          <w:p w14:paraId="59743D70" w14:textId="77777777" w:rsidR="003D69A8" w:rsidRPr="005E1EA7" w:rsidRDefault="003D69A8" w:rsidP="006365F0">
            <w:pPr>
              <w:rPr>
                <w:rFonts w:ascii="Tahoma" w:hAnsi="Tahoma" w:cs="Tahoma"/>
                <w:sz w:val="20"/>
                <w:szCs w:val="20"/>
              </w:rPr>
            </w:pPr>
            <w:r w:rsidRPr="005E1EA7">
              <w:rPr>
                <w:rFonts w:ascii="Tahoma" w:hAnsi="Tahoma" w:cs="Tahoma"/>
                <w:sz w:val="20"/>
                <w:szCs w:val="20"/>
              </w:rPr>
              <w:t>20,0 pg/g de poids à l'état frais</w:t>
            </w:r>
          </w:p>
        </w:tc>
        <w:tc>
          <w:tcPr>
            <w:tcW w:w="1701" w:type="dxa"/>
          </w:tcPr>
          <w:p w14:paraId="5B65E2D4" w14:textId="77777777" w:rsidR="003D69A8" w:rsidRPr="005E1EA7" w:rsidRDefault="003D69A8" w:rsidP="006365F0">
            <w:pPr>
              <w:rPr>
                <w:rFonts w:ascii="Tahoma" w:hAnsi="Tahoma" w:cs="Tahoma"/>
                <w:sz w:val="20"/>
                <w:szCs w:val="20"/>
              </w:rPr>
            </w:pPr>
            <w:r w:rsidRPr="005E1EA7">
              <w:rPr>
                <w:rFonts w:ascii="Tahoma" w:eastAsiaTheme="minorHAnsi" w:hAnsi="Tahoma" w:cs="Tahoma"/>
                <w:sz w:val="20"/>
                <w:szCs w:val="20"/>
                <w:lang w:eastAsia="en-US"/>
              </w:rPr>
              <w:t>200 ng/g de poids à l'état frais</w:t>
            </w:r>
          </w:p>
        </w:tc>
      </w:tr>
      <w:tr w:rsidR="003D69A8" w:rsidRPr="005E1EA7" w14:paraId="55A39B90" w14:textId="77777777" w:rsidTr="006365F0">
        <w:trPr>
          <w:trHeight w:val="382"/>
        </w:trPr>
        <w:tc>
          <w:tcPr>
            <w:tcW w:w="441" w:type="dxa"/>
          </w:tcPr>
          <w:p w14:paraId="3447A8DE" w14:textId="77777777" w:rsidR="003D69A8" w:rsidRPr="005E1EA7" w:rsidRDefault="003D69A8" w:rsidP="006365F0">
            <w:pPr>
              <w:autoSpaceDE w:val="0"/>
              <w:autoSpaceDN w:val="0"/>
              <w:adjustRightInd w:val="0"/>
              <w:jc w:val="both"/>
              <w:rPr>
                <w:rFonts w:ascii="Tahoma" w:eastAsiaTheme="minorHAnsi" w:hAnsi="Tahoma" w:cs="Tahoma"/>
                <w:sz w:val="20"/>
                <w:szCs w:val="20"/>
                <w:lang w:eastAsia="en-US"/>
              </w:rPr>
            </w:pPr>
            <w:r w:rsidRPr="005E1EA7">
              <w:rPr>
                <w:rFonts w:ascii="Tahoma" w:hAnsi="Tahoma" w:cs="Tahoma"/>
                <w:sz w:val="20"/>
                <w:szCs w:val="20"/>
              </w:rPr>
              <w:t>1.5</w:t>
            </w:r>
          </w:p>
        </w:tc>
        <w:tc>
          <w:tcPr>
            <w:tcW w:w="3436" w:type="dxa"/>
          </w:tcPr>
          <w:p w14:paraId="3C261C4C" w14:textId="77777777" w:rsidR="003D69A8" w:rsidRPr="005E1EA7" w:rsidRDefault="003D69A8" w:rsidP="006365F0">
            <w:pPr>
              <w:autoSpaceDE w:val="0"/>
              <w:autoSpaceDN w:val="0"/>
              <w:adjustRightInd w:val="0"/>
              <w:jc w:val="both"/>
              <w:rPr>
                <w:rFonts w:ascii="Tahoma" w:hAnsi="Tahoma" w:cs="Tahoma"/>
                <w:iCs/>
                <w:sz w:val="20"/>
                <w:szCs w:val="20"/>
              </w:rPr>
            </w:pPr>
            <w:r w:rsidRPr="005E1EA7">
              <w:rPr>
                <w:rFonts w:ascii="Tahoma" w:eastAsiaTheme="minorHAnsi" w:hAnsi="Tahoma" w:cs="Tahoma"/>
                <w:sz w:val="20"/>
                <w:szCs w:val="20"/>
                <w:lang w:eastAsia="en-US"/>
              </w:rPr>
              <w:t>Huiles marines (huile de corps de poisson, huile de foie de poisson et huiles d’autres organismes marins destinés à être consommés par l’homme)</w:t>
            </w:r>
          </w:p>
        </w:tc>
        <w:tc>
          <w:tcPr>
            <w:tcW w:w="1788" w:type="dxa"/>
          </w:tcPr>
          <w:p w14:paraId="1D186CAC" w14:textId="77777777" w:rsidR="003D69A8" w:rsidRPr="005E1EA7" w:rsidRDefault="003D69A8" w:rsidP="006365F0">
            <w:pPr>
              <w:autoSpaceDE w:val="0"/>
              <w:autoSpaceDN w:val="0"/>
              <w:adjustRightInd w:val="0"/>
              <w:rPr>
                <w:rFonts w:ascii="Tahoma" w:hAnsi="Tahoma" w:cs="Tahoma"/>
                <w:i/>
                <w:sz w:val="20"/>
                <w:szCs w:val="20"/>
              </w:rPr>
            </w:pPr>
            <w:r w:rsidRPr="005E1EA7">
              <w:rPr>
                <w:rFonts w:ascii="Tahoma" w:eastAsiaTheme="minorHAnsi" w:hAnsi="Tahoma" w:cs="Tahoma"/>
                <w:sz w:val="20"/>
                <w:szCs w:val="20"/>
                <w:lang w:eastAsia="en-US"/>
              </w:rPr>
              <w:t>1,75 pg/g de graisses</w:t>
            </w:r>
          </w:p>
        </w:tc>
        <w:tc>
          <w:tcPr>
            <w:tcW w:w="1701" w:type="dxa"/>
          </w:tcPr>
          <w:p w14:paraId="4D0DCCE3" w14:textId="77777777" w:rsidR="003D69A8" w:rsidRPr="005E1EA7" w:rsidRDefault="003D69A8" w:rsidP="006365F0">
            <w:pPr>
              <w:autoSpaceDE w:val="0"/>
              <w:autoSpaceDN w:val="0"/>
              <w:adjustRightInd w:val="0"/>
              <w:rPr>
                <w:rFonts w:ascii="Tahoma" w:hAnsi="Tahoma" w:cs="Tahoma"/>
                <w:i/>
                <w:sz w:val="20"/>
                <w:szCs w:val="20"/>
              </w:rPr>
            </w:pPr>
            <w:r w:rsidRPr="005E1EA7">
              <w:rPr>
                <w:rFonts w:ascii="Tahoma" w:eastAsiaTheme="minorHAnsi" w:hAnsi="Tahoma" w:cs="Tahoma"/>
                <w:sz w:val="20"/>
                <w:szCs w:val="20"/>
                <w:lang w:eastAsia="en-US"/>
              </w:rPr>
              <w:t>6,0 pg/g de graisses</w:t>
            </w:r>
          </w:p>
        </w:tc>
        <w:tc>
          <w:tcPr>
            <w:tcW w:w="1701" w:type="dxa"/>
          </w:tcPr>
          <w:p w14:paraId="257A0878" w14:textId="77777777" w:rsidR="003D69A8" w:rsidRPr="005E1EA7" w:rsidRDefault="003D69A8" w:rsidP="006365F0">
            <w:pPr>
              <w:autoSpaceDE w:val="0"/>
              <w:autoSpaceDN w:val="0"/>
              <w:adjustRightInd w:val="0"/>
              <w:rPr>
                <w:rFonts w:ascii="Tahoma" w:hAnsi="Tahoma" w:cs="Tahoma"/>
                <w:i/>
                <w:sz w:val="20"/>
                <w:szCs w:val="20"/>
              </w:rPr>
            </w:pPr>
            <w:r w:rsidRPr="005E1EA7">
              <w:rPr>
                <w:rFonts w:ascii="Tahoma" w:eastAsiaTheme="minorHAnsi" w:hAnsi="Tahoma" w:cs="Tahoma"/>
                <w:sz w:val="20"/>
                <w:szCs w:val="20"/>
                <w:lang w:eastAsia="en-US"/>
              </w:rPr>
              <w:t>200 ng/g de graisses</w:t>
            </w:r>
          </w:p>
        </w:tc>
      </w:tr>
    </w:tbl>
    <w:p w14:paraId="0093D775" w14:textId="77777777" w:rsidR="003D69A8" w:rsidRPr="005E1EA7" w:rsidRDefault="003D69A8" w:rsidP="003D69A8">
      <w:pPr>
        <w:rPr>
          <w:rFonts w:ascii="Tahoma" w:hAnsi="Tahoma" w:cs="Tahoma"/>
          <w:b/>
          <w:sz w:val="20"/>
          <w:szCs w:val="20"/>
        </w:rPr>
      </w:pPr>
    </w:p>
    <w:p w14:paraId="42BD4572" w14:textId="77777777" w:rsidR="003D69A8" w:rsidRPr="005E1EA7" w:rsidRDefault="003D69A8" w:rsidP="003D69A8">
      <w:pPr>
        <w:rPr>
          <w:rFonts w:ascii="Tahoma" w:hAnsi="Tahoma" w:cs="Tahoma"/>
          <w:b/>
          <w:sz w:val="20"/>
          <w:szCs w:val="20"/>
        </w:rPr>
      </w:pPr>
    </w:p>
    <w:p w14:paraId="721E0B1E" w14:textId="77777777" w:rsidR="003D69A8" w:rsidRPr="005E1EA7" w:rsidRDefault="003D69A8" w:rsidP="00420DDA">
      <w:pPr>
        <w:pStyle w:val="Paragraphedeliste"/>
        <w:numPr>
          <w:ilvl w:val="0"/>
          <w:numId w:val="178"/>
        </w:numPr>
        <w:rPr>
          <w:rFonts w:ascii="Tahoma" w:hAnsi="Tahoma" w:cs="Tahoma"/>
          <w:b/>
          <w:iCs/>
          <w:sz w:val="20"/>
          <w:szCs w:val="20"/>
        </w:rPr>
      </w:pPr>
      <w:r w:rsidRPr="005E1EA7">
        <w:rPr>
          <w:rFonts w:ascii="Tahoma" w:hAnsi="Tahoma" w:cs="Tahoma"/>
          <w:b/>
          <w:iCs/>
          <w:sz w:val="20"/>
          <w:szCs w:val="20"/>
        </w:rPr>
        <w:t>SUBSTANCES PERFLUOROALKYLEES :</w:t>
      </w:r>
    </w:p>
    <w:p w14:paraId="059D6800" w14:textId="77777777" w:rsidR="003D69A8" w:rsidRPr="005E1EA7" w:rsidRDefault="003D69A8" w:rsidP="003D69A8">
      <w:pPr>
        <w:jc w:val="both"/>
        <w:rPr>
          <w:rFonts w:ascii="Tahoma" w:hAnsi="Tahoma" w:cs="Tahoma"/>
          <w:sz w:val="20"/>
          <w:szCs w:val="20"/>
        </w:rPr>
      </w:pPr>
    </w:p>
    <w:p w14:paraId="02AB8346" w14:textId="77777777" w:rsidR="003D69A8" w:rsidRPr="005E1EA7" w:rsidRDefault="003D69A8" w:rsidP="003D69A8">
      <w:pPr>
        <w:jc w:val="both"/>
        <w:rPr>
          <w:rFonts w:ascii="Tahoma" w:hAnsi="Tahoma" w:cs="Tahoma"/>
          <w:sz w:val="20"/>
          <w:szCs w:val="20"/>
        </w:rPr>
      </w:pPr>
      <w:r w:rsidRPr="005E1EA7">
        <w:rPr>
          <w:rFonts w:ascii="Tahoma" w:hAnsi="Tahoma" w:cs="Tahoma"/>
          <w:sz w:val="20"/>
          <w:szCs w:val="20"/>
        </w:rPr>
        <w:t xml:space="preserve">La teneur maximale s’applique au poids à l’état frais. </w:t>
      </w:r>
    </w:p>
    <w:p w14:paraId="08D7BB8C" w14:textId="77777777" w:rsidR="003D69A8" w:rsidRPr="005E1EA7" w:rsidRDefault="003D69A8" w:rsidP="003D69A8">
      <w:pPr>
        <w:jc w:val="both"/>
        <w:rPr>
          <w:rFonts w:ascii="Tahoma" w:hAnsi="Tahoma" w:cs="Tahoma"/>
          <w:sz w:val="20"/>
          <w:szCs w:val="20"/>
        </w:rPr>
      </w:pPr>
    </w:p>
    <w:p w14:paraId="5742964B" w14:textId="77777777" w:rsidR="003D69A8" w:rsidRPr="005E1EA7" w:rsidRDefault="003D69A8" w:rsidP="003D69A8">
      <w:pPr>
        <w:jc w:val="both"/>
        <w:rPr>
          <w:rFonts w:ascii="Tahoma" w:hAnsi="Tahoma" w:cs="Tahoma"/>
          <w:sz w:val="20"/>
          <w:szCs w:val="20"/>
        </w:rPr>
      </w:pPr>
      <w:bookmarkStart w:id="220" w:name="_Hlk199330399"/>
      <w:r w:rsidRPr="005E1EA7">
        <w:rPr>
          <w:rFonts w:ascii="Tahoma" w:hAnsi="Tahoma" w:cs="Tahoma"/>
          <w:sz w:val="20"/>
          <w:szCs w:val="20"/>
        </w:rPr>
        <w:t xml:space="preserve">PFOS </w:t>
      </w:r>
      <w:bookmarkEnd w:id="220"/>
      <w:r w:rsidRPr="005E1EA7">
        <w:rPr>
          <w:rFonts w:ascii="Tahoma" w:hAnsi="Tahoma" w:cs="Tahoma"/>
          <w:sz w:val="20"/>
          <w:szCs w:val="20"/>
        </w:rPr>
        <w:t>: sulfonate de perfluorooctane PFOA : acide perfluorooctanoïque PFNA : acide perfluoronanoïque PFHxS : sulfonate de perfluorohexane Pour le PFOS, le PFOA, le PFNA, le PFHxS et leur somme.</w:t>
      </w:r>
    </w:p>
    <w:p w14:paraId="308CA111" w14:textId="77777777" w:rsidR="003D69A8" w:rsidRPr="005E1EA7" w:rsidRDefault="003D69A8" w:rsidP="003D69A8">
      <w:pPr>
        <w:jc w:val="both"/>
        <w:rPr>
          <w:rFonts w:ascii="Tahoma" w:hAnsi="Tahoma" w:cs="Tahoma"/>
          <w:sz w:val="20"/>
          <w:szCs w:val="20"/>
        </w:rPr>
      </w:pPr>
    </w:p>
    <w:p w14:paraId="1E0BCDF6" w14:textId="77777777" w:rsidR="003D69A8" w:rsidRPr="005E1EA7" w:rsidRDefault="003D69A8" w:rsidP="003D69A8">
      <w:pPr>
        <w:jc w:val="both"/>
        <w:rPr>
          <w:rFonts w:ascii="Tahoma" w:hAnsi="Tahoma" w:cs="Tahoma"/>
          <w:sz w:val="20"/>
          <w:szCs w:val="20"/>
        </w:rPr>
      </w:pPr>
      <w:r w:rsidRPr="005E1EA7">
        <w:rPr>
          <w:rFonts w:ascii="Tahoma" w:hAnsi="Tahoma" w:cs="Tahoma"/>
          <w:sz w:val="20"/>
          <w:szCs w:val="20"/>
        </w:rPr>
        <w:t xml:space="preserve">La teneur maximale se rapporte à la somme des stéréo-isomères linéaires et ramifiés, qu’ils soient ou non séparés par chromatographie. </w:t>
      </w:r>
    </w:p>
    <w:p w14:paraId="45E92677" w14:textId="77777777" w:rsidR="003D69A8" w:rsidRPr="005E1EA7" w:rsidRDefault="003D69A8" w:rsidP="003D69A8">
      <w:pPr>
        <w:jc w:val="both"/>
        <w:rPr>
          <w:rFonts w:ascii="Tahoma" w:hAnsi="Tahoma" w:cs="Tahoma"/>
          <w:sz w:val="20"/>
          <w:szCs w:val="20"/>
        </w:rPr>
      </w:pPr>
    </w:p>
    <w:p w14:paraId="1C7583BE" w14:textId="77777777" w:rsidR="003D69A8" w:rsidRPr="005E1EA7" w:rsidRDefault="003D69A8" w:rsidP="003D69A8">
      <w:pPr>
        <w:jc w:val="both"/>
        <w:rPr>
          <w:rFonts w:ascii="Tahoma" w:hAnsi="Tahoma" w:cs="Tahoma"/>
          <w:sz w:val="20"/>
          <w:szCs w:val="20"/>
        </w:rPr>
      </w:pPr>
      <w:r w:rsidRPr="005E1EA7">
        <w:rPr>
          <w:rFonts w:ascii="Tahoma" w:hAnsi="Tahoma" w:cs="Tahoma"/>
          <w:sz w:val="20"/>
          <w:szCs w:val="20"/>
        </w:rPr>
        <w:t>Pour la somme du PFOS, du PFOA, du PFNA et du PFHxS, les teneurs maximales se rapportent aux concentrations inférieures, que l’on calcule en supposant que toutes les valeurs inférieures à la limite de quantification sont égales à zéro.</w:t>
      </w:r>
    </w:p>
    <w:p w14:paraId="634BC1B3" w14:textId="77777777" w:rsidR="003D69A8" w:rsidRPr="005E1EA7" w:rsidRDefault="003D69A8" w:rsidP="003D69A8">
      <w:pPr>
        <w:jc w:val="both"/>
        <w:rPr>
          <w:rFonts w:ascii="Tahoma" w:hAnsi="Tahoma" w:cs="Tahoma"/>
          <w:b/>
          <w:iCs/>
          <w:sz w:val="20"/>
          <w:szCs w:val="20"/>
        </w:rPr>
      </w:pPr>
    </w:p>
    <w:tbl>
      <w:tblPr>
        <w:tblStyle w:val="Grilledutableau"/>
        <w:tblW w:w="0" w:type="auto"/>
        <w:tblLook w:val="04A0" w:firstRow="1" w:lastRow="0" w:firstColumn="1" w:lastColumn="0" w:noHBand="0" w:noVBand="1"/>
      </w:tblPr>
      <w:tblGrid>
        <w:gridCol w:w="495"/>
        <w:gridCol w:w="3974"/>
        <w:gridCol w:w="684"/>
        <w:gridCol w:w="692"/>
        <w:gridCol w:w="684"/>
        <w:gridCol w:w="777"/>
        <w:gridCol w:w="1750"/>
      </w:tblGrid>
      <w:tr w:rsidR="003D69A8" w:rsidRPr="005E1EA7" w14:paraId="3DC61937" w14:textId="77777777" w:rsidTr="006365F0">
        <w:tc>
          <w:tcPr>
            <w:tcW w:w="441" w:type="dxa"/>
            <w:vMerge w:val="restart"/>
            <w:vAlign w:val="center"/>
          </w:tcPr>
          <w:p w14:paraId="6C52DA46" w14:textId="77777777" w:rsidR="003D69A8" w:rsidRPr="005E1EA7" w:rsidRDefault="003D69A8" w:rsidP="006365F0">
            <w:pPr>
              <w:jc w:val="center"/>
              <w:rPr>
                <w:rFonts w:ascii="Tahoma" w:hAnsi="Tahoma" w:cs="Tahoma"/>
                <w:i/>
              </w:rPr>
            </w:pPr>
          </w:p>
        </w:tc>
        <w:tc>
          <w:tcPr>
            <w:tcW w:w="4088" w:type="dxa"/>
            <w:vMerge w:val="restart"/>
            <w:vAlign w:val="center"/>
          </w:tcPr>
          <w:p w14:paraId="418C9F00" w14:textId="77777777" w:rsidR="003D69A8" w:rsidRPr="005E1EA7" w:rsidRDefault="003D69A8" w:rsidP="006365F0">
            <w:pPr>
              <w:rPr>
                <w:rFonts w:ascii="Tahoma" w:hAnsi="Tahoma" w:cs="Tahoma"/>
                <w:i/>
              </w:rPr>
            </w:pPr>
            <w:r w:rsidRPr="005E1EA7">
              <w:rPr>
                <w:rFonts w:ascii="Tahoma" w:hAnsi="Tahoma" w:cs="Tahoma"/>
                <w:i/>
              </w:rPr>
              <w:t>Denrées alimentaires</w:t>
            </w:r>
          </w:p>
        </w:tc>
        <w:tc>
          <w:tcPr>
            <w:tcW w:w="4527" w:type="dxa"/>
            <w:gridSpan w:val="5"/>
            <w:vAlign w:val="center"/>
          </w:tcPr>
          <w:p w14:paraId="4ABC884F" w14:textId="77777777" w:rsidR="003D69A8" w:rsidRPr="005E1EA7" w:rsidRDefault="003D69A8" w:rsidP="006365F0">
            <w:pPr>
              <w:jc w:val="center"/>
              <w:rPr>
                <w:rFonts w:ascii="Tahoma" w:hAnsi="Tahoma" w:cs="Tahoma"/>
                <w:i/>
              </w:rPr>
            </w:pPr>
            <w:r w:rsidRPr="005E1EA7">
              <w:rPr>
                <w:rFonts w:ascii="Tahoma" w:hAnsi="Tahoma" w:cs="Tahoma"/>
                <w:i/>
              </w:rPr>
              <w:t>Teneur maximale (μg/kg de poids à l’état frais)</w:t>
            </w:r>
          </w:p>
        </w:tc>
      </w:tr>
      <w:tr w:rsidR="003D69A8" w:rsidRPr="005E1EA7" w14:paraId="0C338EC4" w14:textId="77777777" w:rsidTr="006365F0">
        <w:tc>
          <w:tcPr>
            <w:tcW w:w="441" w:type="dxa"/>
            <w:vMerge/>
            <w:vAlign w:val="center"/>
          </w:tcPr>
          <w:p w14:paraId="73C216A3" w14:textId="77777777" w:rsidR="003D69A8" w:rsidRPr="005E1EA7" w:rsidRDefault="003D69A8" w:rsidP="006365F0">
            <w:pPr>
              <w:jc w:val="center"/>
              <w:rPr>
                <w:rFonts w:ascii="Tahoma" w:hAnsi="Tahoma" w:cs="Tahoma"/>
                <w:b/>
              </w:rPr>
            </w:pPr>
          </w:p>
        </w:tc>
        <w:tc>
          <w:tcPr>
            <w:tcW w:w="4088" w:type="dxa"/>
            <w:vMerge/>
          </w:tcPr>
          <w:p w14:paraId="77EB6C3D" w14:textId="77777777" w:rsidR="003D69A8" w:rsidRPr="005E1EA7" w:rsidRDefault="003D69A8" w:rsidP="006365F0">
            <w:pPr>
              <w:rPr>
                <w:rFonts w:ascii="Tahoma" w:hAnsi="Tahoma" w:cs="Tahoma"/>
                <w:b/>
              </w:rPr>
            </w:pPr>
          </w:p>
        </w:tc>
        <w:tc>
          <w:tcPr>
            <w:tcW w:w="656" w:type="dxa"/>
            <w:vAlign w:val="center"/>
          </w:tcPr>
          <w:p w14:paraId="1DA4581F" w14:textId="77777777" w:rsidR="003D69A8" w:rsidRPr="005E1EA7" w:rsidRDefault="003D69A8" w:rsidP="006365F0">
            <w:pPr>
              <w:jc w:val="center"/>
              <w:rPr>
                <w:rFonts w:ascii="Tahoma" w:hAnsi="Tahoma" w:cs="Tahoma"/>
                <w:i/>
              </w:rPr>
            </w:pPr>
            <w:r w:rsidRPr="005E1EA7">
              <w:rPr>
                <w:rFonts w:ascii="Tahoma" w:hAnsi="Tahoma" w:cs="Tahoma"/>
                <w:i/>
              </w:rPr>
              <w:t>PFOS</w:t>
            </w:r>
          </w:p>
        </w:tc>
        <w:tc>
          <w:tcPr>
            <w:tcW w:w="677" w:type="dxa"/>
            <w:vAlign w:val="center"/>
          </w:tcPr>
          <w:p w14:paraId="44D56FC2" w14:textId="77777777" w:rsidR="003D69A8" w:rsidRPr="005E1EA7" w:rsidRDefault="003D69A8" w:rsidP="006365F0">
            <w:pPr>
              <w:jc w:val="center"/>
              <w:rPr>
                <w:rFonts w:ascii="Tahoma" w:hAnsi="Tahoma" w:cs="Tahoma"/>
                <w:i/>
              </w:rPr>
            </w:pPr>
            <w:r w:rsidRPr="005E1EA7">
              <w:rPr>
                <w:rFonts w:ascii="Tahoma" w:hAnsi="Tahoma" w:cs="Tahoma"/>
                <w:i/>
              </w:rPr>
              <w:t>PFOA</w:t>
            </w:r>
          </w:p>
        </w:tc>
        <w:tc>
          <w:tcPr>
            <w:tcW w:w="666" w:type="dxa"/>
            <w:vAlign w:val="center"/>
          </w:tcPr>
          <w:p w14:paraId="4B2D3ECA" w14:textId="77777777" w:rsidR="003D69A8" w:rsidRPr="005E1EA7" w:rsidRDefault="003D69A8" w:rsidP="006365F0">
            <w:pPr>
              <w:jc w:val="center"/>
              <w:rPr>
                <w:rFonts w:ascii="Tahoma" w:hAnsi="Tahoma" w:cs="Tahoma"/>
                <w:i/>
              </w:rPr>
            </w:pPr>
            <w:r w:rsidRPr="005E1EA7">
              <w:rPr>
                <w:rFonts w:ascii="Tahoma" w:hAnsi="Tahoma" w:cs="Tahoma"/>
                <w:i/>
              </w:rPr>
              <w:t>PFNA</w:t>
            </w:r>
          </w:p>
        </w:tc>
        <w:tc>
          <w:tcPr>
            <w:tcW w:w="736" w:type="dxa"/>
            <w:vAlign w:val="center"/>
          </w:tcPr>
          <w:p w14:paraId="21CEB901" w14:textId="77777777" w:rsidR="003D69A8" w:rsidRPr="005E1EA7" w:rsidRDefault="003D69A8" w:rsidP="006365F0">
            <w:pPr>
              <w:jc w:val="center"/>
              <w:rPr>
                <w:rFonts w:ascii="Tahoma" w:hAnsi="Tahoma" w:cs="Tahoma"/>
                <w:i/>
              </w:rPr>
            </w:pPr>
            <w:r w:rsidRPr="005E1EA7">
              <w:rPr>
                <w:rFonts w:ascii="Tahoma" w:hAnsi="Tahoma" w:cs="Tahoma"/>
                <w:i/>
              </w:rPr>
              <w:t>PFHxS</w:t>
            </w:r>
          </w:p>
        </w:tc>
        <w:tc>
          <w:tcPr>
            <w:tcW w:w="1792" w:type="dxa"/>
            <w:vAlign w:val="center"/>
          </w:tcPr>
          <w:p w14:paraId="129C2B3D" w14:textId="77777777" w:rsidR="003D69A8" w:rsidRPr="005E1EA7" w:rsidRDefault="003D69A8" w:rsidP="006365F0">
            <w:pPr>
              <w:jc w:val="center"/>
              <w:rPr>
                <w:rFonts w:ascii="Tahoma" w:hAnsi="Tahoma" w:cs="Tahoma"/>
                <w:i/>
              </w:rPr>
            </w:pPr>
            <w:r w:rsidRPr="005E1EA7">
              <w:rPr>
                <w:rFonts w:ascii="Tahoma" w:hAnsi="Tahoma" w:cs="Tahoma"/>
                <w:i/>
              </w:rPr>
              <w:t>Somme du PFOS, du PFOA, du PFNA et du PFHxS</w:t>
            </w:r>
          </w:p>
        </w:tc>
      </w:tr>
      <w:tr w:rsidR="003D69A8" w:rsidRPr="005E1EA7" w14:paraId="2A683B59" w14:textId="77777777" w:rsidTr="006365F0">
        <w:tc>
          <w:tcPr>
            <w:tcW w:w="441" w:type="dxa"/>
          </w:tcPr>
          <w:p w14:paraId="30F8B33F" w14:textId="77777777" w:rsidR="003D69A8" w:rsidRPr="005E1EA7" w:rsidRDefault="003D69A8" w:rsidP="006365F0">
            <w:pPr>
              <w:rPr>
                <w:rFonts w:ascii="Tahoma" w:hAnsi="Tahoma" w:cs="Tahoma"/>
                <w:b/>
                <w:lang w:val="en-US"/>
              </w:rPr>
            </w:pPr>
            <w:r w:rsidRPr="005E1EA7">
              <w:rPr>
                <w:rFonts w:ascii="Tahoma" w:hAnsi="Tahoma" w:cs="Tahoma"/>
              </w:rPr>
              <w:t>2.1</w:t>
            </w:r>
          </w:p>
        </w:tc>
        <w:tc>
          <w:tcPr>
            <w:tcW w:w="4088" w:type="dxa"/>
          </w:tcPr>
          <w:p w14:paraId="50013AA6" w14:textId="77777777" w:rsidR="003D69A8" w:rsidRPr="005E1EA7" w:rsidRDefault="003D69A8" w:rsidP="006365F0">
            <w:pPr>
              <w:rPr>
                <w:rFonts w:ascii="Tahoma" w:eastAsiaTheme="minorHAnsi" w:hAnsi="Tahoma" w:cs="Tahoma"/>
                <w:lang w:eastAsia="en-US"/>
              </w:rPr>
            </w:pPr>
            <w:r w:rsidRPr="005E1EA7">
              <w:rPr>
                <w:rFonts w:ascii="Tahoma" w:eastAsiaTheme="minorHAnsi" w:hAnsi="Tahoma" w:cs="Tahoma"/>
                <w:lang w:eastAsia="en-US"/>
              </w:rPr>
              <w:t>Chair musculaire de poisson, à l’exclusion des produits énumérés aux points 2.2 et 2.3</w:t>
            </w:r>
          </w:p>
          <w:p w14:paraId="5A33C613" w14:textId="77777777" w:rsidR="003D69A8" w:rsidRPr="005E1EA7" w:rsidRDefault="003D69A8" w:rsidP="006365F0">
            <w:pPr>
              <w:rPr>
                <w:rFonts w:ascii="Tahoma" w:hAnsi="Tahoma" w:cs="Tahoma"/>
                <w:b/>
              </w:rPr>
            </w:pPr>
            <w:r w:rsidRPr="005E1EA7">
              <w:rPr>
                <w:rFonts w:ascii="Tahoma" w:eastAsiaTheme="minorHAnsi" w:hAnsi="Tahoma" w:cs="Tahoma"/>
                <w:lang w:eastAsia="en-US"/>
              </w:rPr>
              <w:lastRenderedPageBreak/>
              <w:t>Chair musculaire des poissons énumérés aux points 2.2 et 2.3, si elle est destinée à la fabrication de denrées alimentaires pour nourrissons et enfants en bas âge</w:t>
            </w:r>
          </w:p>
        </w:tc>
        <w:tc>
          <w:tcPr>
            <w:tcW w:w="656" w:type="dxa"/>
            <w:vAlign w:val="center"/>
          </w:tcPr>
          <w:p w14:paraId="0F42A398" w14:textId="77777777" w:rsidR="003D69A8" w:rsidRPr="005E1EA7" w:rsidRDefault="003D69A8" w:rsidP="006365F0">
            <w:pPr>
              <w:jc w:val="center"/>
              <w:rPr>
                <w:rFonts w:ascii="Tahoma" w:eastAsiaTheme="minorHAnsi" w:hAnsi="Tahoma" w:cs="Tahoma"/>
                <w:lang w:eastAsia="en-US"/>
              </w:rPr>
            </w:pPr>
            <w:r w:rsidRPr="005E1EA7">
              <w:rPr>
                <w:rFonts w:ascii="Tahoma" w:eastAsiaTheme="minorHAnsi" w:hAnsi="Tahoma" w:cs="Tahoma"/>
                <w:lang w:eastAsia="en-US"/>
              </w:rPr>
              <w:lastRenderedPageBreak/>
              <w:t>2,0</w:t>
            </w:r>
          </w:p>
        </w:tc>
        <w:tc>
          <w:tcPr>
            <w:tcW w:w="677" w:type="dxa"/>
            <w:vAlign w:val="center"/>
          </w:tcPr>
          <w:p w14:paraId="0A8AA5C9" w14:textId="77777777" w:rsidR="003D69A8" w:rsidRPr="005E1EA7" w:rsidRDefault="003D69A8" w:rsidP="006365F0">
            <w:pPr>
              <w:jc w:val="center"/>
              <w:rPr>
                <w:rFonts w:ascii="Tahoma" w:eastAsiaTheme="minorHAnsi" w:hAnsi="Tahoma" w:cs="Tahoma"/>
                <w:lang w:eastAsia="en-US"/>
              </w:rPr>
            </w:pPr>
            <w:r w:rsidRPr="005E1EA7">
              <w:rPr>
                <w:rFonts w:ascii="Tahoma" w:eastAsiaTheme="minorHAnsi" w:hAnsi="Tahoma" w:cs="Tahoma"/>
                <w:lang w:eastAsia="en-US"/>
              </w:rPr>
              <w:t>0,20</w:t>
            </w:r>
          </w:p>
        </w:tc>
        <w:tc>
          <w:tcPr>
            <w:tcW w:w="666" w:type="dxa"/>
            <w:vAlign w:val="center"/>
          </w:tcPr>
          <w:p w14:paraId="0406BFE7" w14:textId="77777777" w:rsidR="003D69A8" w:rsidRPr="005E1EA7" w:rsidRDefault="003D69A8" w:rsidP="006365F0">
            <w:pPr>
              <w:jc w:val="center"/>
              <w:rPr>
                <w:rFonts w:ascii="Tahoma" w:eastAsiaTheme="minorHAnsi" w:hAnsi="Tahoma" w:cs="Tahoma"/>
                <w:lang w:eastAsia="en-US"/>
              </w:rPr>
            </w:pPr>
            <w:r w:rsidRPr="005E1EA7">
              <w:rPr>
                <w:rFonts w:ascii="Tahoma" w:eastAsiaTheme="minorHAnsi" w:hAnsi="Tahoma" w:cs="Tahoma"/>
                <w:lang w:eastAsia="en-US"/>
              </w:rPr>
              <w:t>0,50</w:t>
            </w:r>
          </w:p>
        </w:tc>
        <w:tc>
          <w:tcPr>
            <w:tcW w:w="736" w:type="dxa"/>
            <w:vAlign w:val="center"/>
          </w:tcPr>
          <w:p w14:paraId="11FCB705" w14:textId="77777777" w:rsidR="003D69A8" w:rsidRPr="005E1EA7" w:rsidRDefault="003D69A8" w:rsidP="006365F0">
            <w:pPr>
              <w:jc w:val="center"/>
              <w:rPr>
                <w:rFonts w:ascii="Tahoma" w:eastAsiaTheme="minorHAnsi" w:hAnsi="Tahoma" w:cs="Tahoma"/>
                <w:lang w:eastAsia="en-US"/>
              </w:rPr>
            </w:pPr>
            <w:r w:rsidRPr="005E1EA7">
              <w:rPr>
                <w:rFonts w:ascii="Tahoma" w:eastAsiaTheme="minorHAnsi" w:hAnsi="Tahoma" w:cs="Tahoma"/>
                <w:lang w:eastAsia="en-US"/>
              </w:rPr>
              <w:t>0,20</w:t>
            </w:r>
          </w:p>
        </w:tc>
        <w:tc>
          <w:tcPr>
            <w:tcW w:w="1792" w:type="dxa"/>
            <w:vAlign w:val="center"/>
          </w:tcPr>
          <w:p w14:paraId="2705F3D7" w14:textId="77777777" w:rsidR="003D69A8" w:rsidRPr="005E1EA7" w:rsidRDefault="003D69A8" w:rsidP="006365F0">
            <w:pPr>
              <w:jc w:val="center"/>
              <w:rPr>
                <w:rFonts w:ascii="Tahoma" w:eastAsiaTheme="minorHAnsi" w:hAnsi="Tahoma" w:cs="Tahoma"/>
                <w:lang w:eastAsia="en-US"/>
              </w:rPr>
            </w:pPr>
            <w:r w:rsidRPr="005E1EA7">
              <w:rPr>
                <w:rFonts w:ascii="Tahoma" w:eastAsiaTheme="minorHAnsi" w:hAnsi="Tahoma" w:cs="Tahoma"/>
                <w:lang w:eastAsia="en-US"/>
              </w:rPr>
              <w:t>2,0</w:t>
            </w:r>
          </w:p>
        </w:tc>
      </w:tr>
      <w:tr w:rsidR="003D69A8" w:rsidRPr="005E1EA7" w14:paraId="7BA4F2CF" w14:textId="77777777" w:rsidTr="006365F0">
        <w:tc>
          <w:tcPr>
            <w:tcW w:w="441" w:type="dxa"/>
          </w:tcPr>
          <w:p w14:paraId="7BB9A0AB" w14:textId="77777777" w:rsidR="003D69A8" w:rsidRPr="005E1EA7" w:rsidRDefault="003D69A8" w:rsidP="006365F0">
            <w:pPr>
              <w:rPr>
                <w:rFonts w:ascii="Tahoma" w:hAnsi="Tahoma" w:cs="Tahoma"/>
              </w:rPr>
            </w:pPr>
            <w:r w:rsidRPr="005E1EA7">
              <w:rPr>
                <w:rFonts w:ascii="Tahoma" w:eastAsiaTheme="minorHAnsi" w:hAnsi="Tahoma" w:cs="Tahoma"/>
                <w:lang w:eastAsia="en-US"/>
              </w:rPr>
              <w:t>2.2</w:t>
            </w:r>
          </w:p>
        </w:tc>
        <w:tc>
          <w:tcPr>
            <w:tcW w:w="4088" w:type="dxa"/>
          </w:tcPr>
          <w:p w14:paraId="1B55AA12" w14:textId="77777777" w:rsidR="003D69A8" w:rsidRPr="005E1EA7" w:rsidRDefault="003D69A8" w:rsidP="006365F0">
            <w:pPr>
              <w:rPr>
                <w:rFonts w:ascii="Tahoma" w:eastAsiaTheme="minorHAnsi" w:hAnsi="Tahoma" w:cs="Tahoma"/>
                <w:lang w:eastAsia="en-US"/>
              </w:rPr>
            </w:pPr>
            <w:r w:rsidRPr="005E1EA7">
              <w:rPr>
                <w:rFonts w:ascii="Tahoma" w:eastAsiaTheme="minorHAnsi" w:hAnsi="Tahoma" w:cs="Tahoma"/>
                <w:lang w:eastAsia="en-US"/>
              </w:rPr>
              <w:t>Chair musculaire des poissons suivants, si elle n’est pas destinée à la fabrication de denrées alimentaires pour nourrissons et enfants en bas âge :</w:t>
            </w:r>
          </w:p>
          <w:p w14:paraId="406A483C" w14:textId="77777777" w:rsidR="003D69A8" w:rsidRPr="005E1EA7" w:rsidRDefault="003D69A8" w:rsidP="006365F0">
            <w:pPr>
              <w:rPr>
                <w:rFonts w:ascii="Tahoma" w:eastAsiaTheme="minorHAnsi" w:hAnsi="Tahoma" w:cs="Tahoma"/>
                <w:lang w:eastAsia="en-US"/>
              </w:rPr>
            </w:pPr>
            <w:proofErr w:type="gramStart"/>
            <w:r w:rsidRPr="005E1EA7">
              <w:rPr>
                <w:rFonts w:ascii="Tahoma" w:eastAsiaTheme="minorHAnsi" w:hAnsi="Tahoma" w:cs="Tahoma"/>
                <w:lang w:eastAsia="en-US"/>
              </w:rPr>
              <w:t>hareng</w:t>
            </w:r>
            <w:proofErr w:type="gramEnd"/>
            <w:r w:rsidRPr="005E1EA7">
              <w:rPr>
                <w:rFonts w:ascii="Tahoma" w:eastAsiaTheme="minorHAnsi" w:hAnsi="Tahoma" w:cs="Tahoma"/>
                <w:lang w:eastAsia="en-US"/>
              </w:rPr>
              <w:t xml:space="preserve"> de la Baltique(Clupea harengus membras)</w:t>
            </w:r>
          </w:p>
          <w:p w14:paraId="4861FB84" w14:textId="77777777" w:rsidR="003D69A8" w:rsidRPr="005E1EA7" w:rsidRDefault="003D69A8" w:rsidP="006365F0">
            <w:pPr>
              <w:rPr>
                <w:rFonts w:ascii="Tahoma" w:eastAsiaTheme="minorHAnsi" w:hAnsi="Tahoma" w:cs="Tahoma"/>
                <w:lang w:eastAsia="en-US"/>
              </w:rPr>
            </w:pPr>
            <w:proofErr w:type="gramStart"/>
            <w:r w:rsidRPr="005E1EA7">
              <w:rPr>
                <w:rFonts w:ascii="Tahoma" w:eastAsiaTheme="minorHAnsi" w:hAnsi="Tahoma" w:cs="Tahoma"/>
                <w:lang w:eastAsia="en-US"/>
              </w:rPr>
              <w:t>bonite</w:t>
            </w:r>
            <w:proofErr w:type="gramEnd"/>
            <w:r w:rsidRPr="005E1EA7">
              <w:rPr>
                <w:rFonts w:ascii="Tahoma" w:eastAsiaTheme="minorHAnsi" w:hAnsi="Tahoma" w:cs="Tahoma"/>
                <w:lang w:eastAsia="en-US"/>
              </w:rPr>
              <w:t xml:space="preserve"> (espèces du genre Sarda) palomette (espèce du genre Orcynopsis)</w:t>
            </w:r>
          </w:p>
          <w:p w14:paraId="71FAC8FF" w14:textId="77777777" w:rsidR="003D69A8" w:rsidRPr="005E1EA7" w:rsidRDefault="003D69A8" w:rsidP="006365F0">
            <w:pPr>
              <w:rPr>
                <w:rFonts w:ascii="Tahoma" w:eastAsiaTheme="minorHAnsi" w:hAnsi="Tahoma" w:cs="Tahoma"/>
                <w:lang w:eastAsia="en-US"/>
              </w:rPr>
            </w:pPr>
            <w:proofErr w:type="gramStart"/>
            <w:r w:rsidRPr="005E1EA7">
              <w:rPr>
                <w:rFonts w:ascii="Tahoma" w:eastAsiaTheme="minorHAnsi" w:hAnsi="Tahoma" w:cs="Tahoma"/>
                <w:lang w:eastAsia="en-US"/>
              </w:rPr>
              <w:t>lotte</w:t>
            </w:r>
            <w:proofErr w:type="gramEnd"/>
            <w:r w:rsidRPr="005E1EA7">
              <w:rPr>
                <w:rFonts w:ascii="Tahoma" w:eastAsiaTheme="minorHAnsi" w:hAnsi="Tahoma" w:cs="Tahoma"/>
                <w:lang w:eastAsia="en-US"/>
              </w:rPr>
              <w:t xml:space="preserve"> (Lota lota)</w:t>
            </w:r>
          </w:p>
          <w:p w14:paraId="3CFDDADE" w14:textId="77777777" w:rsidR="003D69A8" w:rsidRPr="005E1EA7" w:rsidRDefault="003D69A8" w:rsidP="006365F0">
            <w:pPr>
              <w:rPr>
                <w:rFonts w:ascii="Tahoma" w:eastAsiaTheme="minorHAnsi" w:hAnsi="Tahoma" w:cs="Tahoma"/>
                <w:lang w:eastAsia="en-US"/>
              </w:rPr>
            </w:pPr>
            <w:proofErr w:type="gramStart"/>
            <w:r w:rsidRPr="005E1EA7">
              <w:rPr>
                <w:rFonts w:ascii="Tahoma" w:eastAsiaTheme="minorHAnsi" w:hAnsi="Tahoma" w:cs="Tahoma"/>
                <w:lang w:eastAsia="en-US"/>
              </w:rPr>
              <w:t>sprat</w:t>
            </w:r>
            <w:proofErr w:type="gramEnd"/>
            <w:r w:rsidRPr="005E1EA7">
              <w:rPr>
                <w:rFonts w:ascii="Tahoma" w:eastAsiaTheme="minorHAnsi" w:hAnsi="Tahoma" w:cs="Tahoma"/>
                <w:lang w:eastAsia="en-US"/>
              </w:rPr>
              <w:t xml:space="preserve"> (Sprattus sprattus)</w:t>
            </w:r>
          </w:p>
          <w:p w14:paraId="71C256A1" w14:textId="77777777" w:rsidR="003D69A8" w:rsidRPr="005E1EA7" w:rsidRDefault="003D69A8" w:rsidP="006365F0">
            <w:pPr>
              <w:rPr>
                <w:rFonts w:ascii="Tahoma" w:eastAsiaTheme="minorHAnsi" w:hAnsi="Tahoma" w:cs="Tahoma"/>
                <w:lang w:eastAsia="en-US"/>
              </w:rPr>
            </w:pPr>
            <w:proofErr w:type="gramStart"/>
            <w:r w:rsidRPr="005E1EA7">
              <w:rPr>
                <w:rFonts w:ascii="Tahoma" w:eastAsiaTheme="minorHAnsi" w:hAnsi="Tahoma" w:cs="Tahoma"/>
                <w:lang w:eastAsia="en-US"/>
              </w:rPr>
              <w:t>flet</w:t>
            </w:r>
            <w:proofErr w:type="gramEnd"/>
            <w:r w:rsidRPr="005E1EA7">
              <w:rPr>
                <w:rFonts w:ascii="Tahoma" w:eastAsiaTheme="minorHAnsi" w:hAnsi="Tahoma" w:cs="Tahoma"/>
                <w:lang w:eastAsia="en-US"/>
              </w:rPr>
              <w:t xml:space="preserve"> (Platichthys flesus et Glyptocephalus cynoglossus)</w:t>
            </w:r>
          </w:p>
          <w:p w14:paraId="4782527A" w14:textId="77777777" w:rsidR="003D69A8" w:rsidRPr="005E1EA7" w:rsidRDefault="003D69A8" w:rsidP="006365F0">
            <w:pPr>
              <w:rPr>
                <w:rFonts w:ascii="Tahoma" w:eastAsiaTheme="minorHAnsi" w:hAnsi="Tahoma" w:cs="Tahoma"/>
                <w:lang w:eastAsia="en-US"/>
              </w:rPr>
            </w:pPr>
            <w:proofErr w:type="gramStart"/>
            <w:r w:rsidRPr="005E1EA7">
              <w:rPr>
                <w:rFonts w:ascii="Tahoma" w:eastAsiaTheme="minorHAnsi" w:hAnsi="Tahoma" w:cs="Tahoma"/>
                <w:lang w:eastAsia="en-US"/>
              </w:rPr>
              <w:t>mulet</w:t>
            </w:r>
            <w:proofErr w:type="gramEnd"/>
            <w:r w:rsidRPr="005E1EA7">
              <w:rPr>
                <w:rFonts w:ascii="Tahoma" w:eastAsiaTheme="minorHAnsi" w:hAnsi="Tahoma" w:cs="Tahoma"/>
                <w:lang w:eastAsia="en-US"/>
              </w:rPr>
              <w:t xml:space="preserve"> cabot (Mugil cephalus)</w:t>
            </w:r>
          </w:p>
          <w:p w14:paraId="6DA2F30D" w14:textId="77777777" w:rsidR="003D69A8" w:rsidRPr="005E1EA7" w:rsidRDefault="003D69A8" w:rsidP="006365F0">
            <w:pPr>
              <w:rPr>
                <w:rFonts w:ascii="Tahoma" w:eastAsiaTheme="minorHAnsi" w:hAnsi="Tahoma" w:cs="Tahoma"/>
                <w:lang w:eastAsia="en-US"/>
              </w:rPr>
            </w:pPr>
            <w:proofErr w:type="gramStart"/>
            <w:r w:rsidRPr="005E1EA7">
              <w:rPr>
                <w:rFonts w:ascii="Tahoma" w:eastAsiaTheme="minorHAnsi" w:hAnsi="Tahoma" w:cs="Tahoma"/>
                <w:lang w:eastAsia="en-US"/>
              </w:rPr>
              <w:t>chinchard</w:t>
            </w:r>
            <w:proofErr w:type="gramEnd"/>
            <w:r w:rsidRPr="005E1EA7">
              <w:rPr>
                <w:rFonts w:ascii="Tahoma" w:eastAsiaTheme="minorHAnsi" w:hAnsi="Tahoma" w:cs="Tahoma"/>
                <w:lang w:eastAsia="en-US"/>
              </w:rPr>
              <w:t xml:space="preserve"> (Trachurus trachurus)</w:t>
            </w:r>
          </w:p>
          <w:p w14:paraId="1F5326AC" w14:textId="77777777" w:rsidR="003D69A8" w:rsidRPr="005E1EA7" w:rsidRDefault="003D69A8" w:rsidP="006365F0">
            <w:pPr>
              <w:rPr>
                <w:rFonts w:ascii="Tahoma" w:eastAsiaTheme="minorHAnsi" w:hAnsi="Tahoma" w:cs="Tahoma"/>
                <w:lang w:eastAsia="en-US"/>
              </w:rPr>
            </w:pPr>
            <w:proofErr w:type="gramStart"/>
            <w:r w:rsidRPr="005E1EA7">
              <w:rPr>
                <w:rFonts w:ascii="Tahoma" w:eastAsiaTheme="minorHAnsi" w:hAnsi="Tahoma" w:cs="Tahoma"/>
                <w:lang w:eastAsia="en-US"/>
              </w:rPr>
              <w:t>brochet</w:t>
            </w:r>
            <w:proofErr w:type="gramEnd"/>
            <w:r w:rsidRPr="005E1EA7">
              <w:rPr>
                <w:rFonts w:ascii="Tahoma" w:eastAsiaTheme="minorHAnsi" w:hAnsi="Tahoma" w:cs="Tahoma"/>
                <w:lang w:eastAsia="en-US"/>
              </w:rPr>
              <w:t xml:space="preserve"> (espèces du genre Esox)</w:t>
            </w:r>
          </w:p>
          <w:p w14:paraId="53FF4C01" w14:textId="77777777" w:rsidR="003D69A8" w:rsidRPr="005E1EA7" w:rsidRDefault="003D69A8" w:rsidP="006365F0">
            <w:pPr>
              <w:rPr>
                <w:rFonts w:ascii="Tahoma" w:eastAsiaTheme="minorHAnsi" w:hAnsi="Tahoma" w:cs="Tahoma"/>
                <w:lang w:eastAsia="en-US"/>
              </w:rPr>
            </w:pPr>
            <w:proofErr w:type="gramStart"/>
            <w:r w:rsidRPr="005E1EA7">
              <w:rPr>
                <w:rFonts w:ascii="Tahoma" w:eastAsiaTheme="minorHAnsi" w:hAnsi="Tahoma" w:cs="Tahoma"/>
                <w:lang w:eastAsia="en-US"/>
              </w:rPr>
              <w:t>plie</w:t>
            </w:r>
            <w:proofErr w:type="gramEnd"/>
            <w:r w:rsidRPr="005E1EA7">
              <w:rPr>
                <w:rFonts w:ascii="Tahoma" w:eastAsiaTheme="minorHAnsi" w:hAnsi="Tahoma" w:cs="Tahoma"/>
                <w:lang w:eastAsia="en-US"/>
              </w:rPr>
              <w:t xml:space="preserve"> (espèces des genres Pleuronectes et Lepidopsetta)</w:t>
            </w:r>
          </w:p>
          <w:p w14:paraId="0413B30F" w14:textId="77777777" w:rsidR="003D69A8" w:rsidRPr="005E1EA7" w:rsidRDefault="003D69A8" w:rsidP="006365F0">
            <w:pPr>
              <w:rPr>
                <w:rFonts w:ascii="Tahoma" w:eastAsiaTheme="minorHAnsi" w:hAnsi="Tahoma" w:cs="Tahoma"/>
                <w:lang w:eastAsia="en-US"/>
              </w:rPr>
            </w:pPr>
            <w:proofErr w:type="gramStart"/>
            <w:r w:rsidRPr="005E1EA7">
              <w:rPr>
                <w:rFonts w:ascii="Tahoma" w:eastAsiaTheme="minorHAnsi" w:hAnsi="Tahoma" w:cs="Tahoma"/>
                <w:lang w:eastAsia="en-US"/>
              </w:rPr>
              <w:t>sardine</w:t>
            </w:r>
            <w:proofErr w:type="gramEnd"/>
            <w:r w:rsidRPr="005E1EA7">
              <w:rPr>
                <w:rFonts w:ascii="Tahoma" w:eastAsiaTheme="minorHAnsi" w:hAnsi="Tahoma" w:cs="Tahoma"/>
                <w:lang w:eastAsia="en-US"/>
              </w:rPr>
              <w:t xml:space="preserve"> et pilchard (espèces du genre Sardina)</w:t>
            </w:r>
          </w:p>
          <w:p w14:paraId="02C9011F" w14:textId="77777777" w:rsidR="003D69A8" w:rsidRPr="005E1EA7" w:rsidRDefault="003D69A8" w:rsidP="006365F0">
            <w:pPr>
              <w:rPr>
                <w:rFonts w:ascii="Tahoma" w:eastAsiaTheme="minorHAnsi" w:hAnsi="Tahoma" w:cs="Tahoma"/>
                <w:lang w:eastAsia="en-US"/>
              </w:rPr>
            </w:pPr>
            <w:proofErr w:type="gramStart"/>
            <w:r w:rsidRPr="005E1EA7">
              <w:rPr>
                <w:rFonts w:ascii="Tahoma" w:eastAsiaTheme="minorHAnsi" w:hAnsi="Tahoma" w:cs="Tahoma"/>
                <w:lang w:eastAsia="en-US"/>
              </w:rPr>
              <w:t>bar</w:t>
            </w:r>
            <w:proofErr w:type="gramEnd"/>
            <w:r w:rsidRPr="005E1EA7">
              <w:rPr>
                <w:rFonts w:ascii="Tahoma" w:eastAsiaTheme="minorHAnsi" w:hAnsi="Tahoma" w:cs="Tahoma"/>
                <w:lang w:eastAsia="en-US"/>
              </w:rPr>
              <w:t xml:space="preserve"> commun (espèces du genre Dicentrarchus)</w:t>
            </w:r>
          </w:p>
          <w:p w14:paraId="743CBE5A" w14:textId="77777777" w:rsidR="003D69A8" w:rsidRPr="005E1EA7" w:rsidRDefault="003D69A8" w:rsidP="006365F0">
            <w:pPr>
              <w:rPr>
                <w:rFonts w:ascii="Tahoma" w:eastAsiaTheme="minorHAnsi" w:hAnsi="Tahoma" w:cs="Tahoma"/>
                <w:lang w:eastAsia="en-US"/>
              </w:rPr>
            </w:pPr>
            <w:proofErr w:type="gramStart"/>
            <w:r w:rsidRPr="005E1EA7">
              <w:rPr>
                <w:rFonts w:ascii="Tahoma" w:eastAsiaTheme="minorHAnsi" w:hAnsi="Tahoma" w:cs="Tahoma"/>
                <w:lang w:eastAsia="en-US"/>
              </w:rPr>
              <w:t>poisson</w:t>
            </w:r>
            <w:proofErr w:type="gramEnd"/>
            <w:r w:rsidRPr="005E1EA7">
              <w:rPr>
                <w:rFonts w:ascii="Tahoma" w:eastAsiaTheme="minorHAnsi" w:hAnsi="Tahoma" w:cs="Tahoma"/>
                <w:lang w:eastAsia="en-US"/>
              </w:rPr>
              <w:t>-chat de mer (espèces des genres Silurus et Pangasius) ;</w:t>
            </w:r>
          </w:p>
          <w:p w14:paraId="595F7676" w14:textId="77777777" w:rsidR="003D69A8" w:rsidRPr="005E1EA7" w:rsidRDefault="003D69A8" w:rsidP="006365F0">
            <w:pPr>
              <w:rPr>
                <w:rFonts w:ascii="Tahoma" w:eastAsiaTheme="minorHAnsi" w:hAnsi="Tahoma" w:cs="Tahoma"/>
                <w:lang w:eastAsia="en-US"/>
              </w:rPr>
            </w:pPr>
            <w:proofErr w:type="gramStart"/>
            <w:r w:rsidRPr="005E1EA7">
              <w:rPr>
                <w:rFonts w:ascii="Tahoma" w:eastAsiaTheme="minorHAnsi" w:hAnsi="Tahoma" w:cs="Tahoma"/>
                <w:lang w:eastAsia="en-US"/>
              </w:rPr>
              <w:t>lamproie</w:t>
            </w:r>
            <w:proofErr w:type="gramEnd"/>
            <w:r w:rsidRPr="005E1EA7">
              <w:rPr>
                <w:rFonts w:ascii="Tahoma" w:eastAsiaTheme="minorHAnsi" w:hAnsi="Tahoma" w:cs="Tahoma"/>
                <w:lang w:eastAsia="en-US"/>
              </w:rPr>
              <w:t xml:space="preserve"> marine (Petromyzon marinus)</w:t>
            </w:r>
          </w:p>
          <w:p w14:paraId="3E506FB3" w14:textId="77777777" w:rsidR="003D69A8" w:rsidRPr="005E1EA7" w:rsidRDefault="003D69A8" w:rsidP="006365F0">
            <w:pPr>
              <w:rPr>
                <w:rFonts w:ascii="Tahoma" w:eastAsiaTheme="minorHAnsi" w:hAnsi="Tahoma" w:cs="Tahoma"/>
                <w:lang w:eastAsia="en-US"/>
              </w:rPr>
            </w:pPr>
            <w:proofErr w:type="gramStart"/>
            <w:r w:rsidRPr="005E1EA7">
              <w:rPr>
                <w:rFonts w:ascii="Tahoma" w:eastAsiaTheme="minorHAnsi" w:hAnsi="Tahoma" w:cs="Tahoma"/>
                <w:lang w:eastAsia="en-US"/>
              </w:rPr>
              <w:t>tanche</w:t>
            </w:r>
            <w:proofErr w:type="gramEnd"/>
            <w:r w:rsidRPr="005E1EA7">
              <w:rPr>
                <w:rFonts w:ascii="Tahoma" w:eastAsiaTheme="minorHAnsi" w:hAnsi="Tahoma" w:cs="Tahoma"/>
                <w:lang w:eastAsia="en-US"/>
              </w:rPr>
              <w:t xml:space="preserve"> (Tinca tinca)</w:t>
            </w:r>
          </w:p>
          <w:p w14:paraId="2ED9EFE8" w14:textId="77777777" w:rsidR="003D69A8" w:rsidRPr="005E1EA7" w:rsidRDefault="003D69A8" w:rsidP="006365F0">
            <w:pPr>
              <w:rPr>
                <w:rFonts w:ascii="Tahoma" w:eastAsiaTheme="minorHAnsi" w:hAnsi="Tahoma" w:cs="Tahoma"/>
                <w:lang w:eastAsia="en-US"/>
              </w:rPr>
            </w:pPr>
            <w:proofErr w:type="gramStart"/>
            <w:r w:rsidRPr="005E1EA7">
              <w:rPr>
                <w:rFonts w:ascii="Tahoma" w:eastAsiaTheme="minorHAnsi" w:hAnsi="Tahoma" w:cs="Tahoma"/>
                <w:lang w:eastAsia="en-US"/>
              </w:rPr>
              <w:t>corégone</w:t>
            </w:r>
            <w:proofErr w:type="gramEnd"/>
            <w:r w:rsidRPr="005E1EA7">
              <w:rPr>
                <w:rFonts w:ascii="Tahoma" w:eastAsiaTheme="minorHAnsi" w:hAnsi="Tahoma" w:cs="Tahoma"/>
                <w:lang w:eastAsia="en-US"/>
              </w:rPr>
              <w:t xml:space="preserve"> blanc (Coregonus albula et Coregonus vandesius)</w:t>
            </w:r>
          </w:p>
          <w:p w14:paraId="79D574DD" w14:textId="77777777" w:rsidR="003D69A8" w:rsidRPr="005E1EA7" w:rsidRDefault="003D69A8" w:rsidP="006365F0">
            <w:pPr>
              <w:rPr>
                <w:rFonts w:ascii="Tahoma" w:eastAsiaTheme="minorHAnsi" w:hAnsi="Tahoma" w:cs="Tahoma"/>
                <w:lang w:eastAsia="en-US"/>
              </w:rPr>
            </w:pPr>
            <w:proofErr w:type="gramStart"/>
            <w:r w:rsidRPr="005E1EA7">
              <w:rPr>
                <w:rFonts w:ascii="Tahoma" w:eastAsiaTheme="minorHAnsi" w:hAnsi="Tahoma" w:cs="Tahoma"/>
                <w:lang w:eastAsia="en-US"/>
              </w:rPr>
              <w:t>silverly</w:t>
            </w:r>
            <w:proofErr w:type="gramEnd"/>
            <w:r w:rsidRPr="005E1EA7">
              <w:rPr>
                <w:rFonts w:ascii="Tahoma" w:eastAsiaTheme="minorHAnsi" w:hAnsi="Tahoma" w:cs="Tahoma"/>
                <w:lang w:eastAsia="en-US"/>
              </w:rPr>
              <w:t xml:space="preserve"> lightfish (Phosichthys argenteus)</w:t>
            </w:r>
          </w:p>
          <w:p w14:paraId="0CF13D79" w14:textId="77777777" w:rsidR="003D69A8" w:rsidRPr="005E1EA7" w:rsidRDefault="003D69A8" w:rsidP="006365F0">
            <w:pPr>
              <w:rPr>
                <w:rFonts w:ascii="Tahoma" w:eastAsiaTheme="minorHAnsi" w:hAnsi="Tahoma" w:cs="Tahoma"/>
                <w:lang w:eastAsia="en-US"/>
              </w:rPr>
            </w:pPr>
            <w:proofErr w:type="gramStart"/>
            <w:r w:rsidRPr="005E1EA7">
              <w:rPr>
                <w:rFonts w:ascii="Tahoma" w:eastAsiaTheme="minorHAnsi" w:hAnsi="Tahoma" w:cs="Tahoma"/>
                <w:lang w:eastAsia="en-US"/>
              </w:rPr>
              <w:t>saumon</w:t>
            </w:r>
            <w:proofErr w:type="gramEnd"/>
            <w:r w:rsidRPr="005E1EA7">
              <w:rPr>
                <w:rFonts w:ascii="Tahoma" w:eastAsiaTheme="minorHAnsi" w:hAnsi="Tahoma" w:cs="Tahoma"/>
                <w:lang w:eastAsia="en-US"/>
              </w:rPr>
              <w:t xml:space="preserve"> sauvage et truite sauvage (espèces sauvages des genres Salmo et Oncorhynchus)</w:t>
            </w:r>
          </w:p>
          <w:p w14:paraId="1DCFEFC0" w14:textId="77777777" w:rsidR="003D69A8" w:rsidRPr="005E1EA7" w:rsidRDefault="003D69A8" w:rsidP="006365F0">
            <w:pPr>
              <w:rPr>
                <w:rFonts w:ascii="Tahoma" w:eastAsiaTheme="minorHAnsi" w:hAnsi="Tahoma" w:cs="Tahoma"/>
                <w:lang w:eastAsia="en-US"/>
              </w:rPr>
            </w:pPr>
            <w:r w:rsidRPr="005E1EA7">
              <w:rPr>
                <w:rFonts w:ascii="Tahoma" w:eastAsiaTheme="minorHAnsi" w:hAnsi="Tahoma" w:cs="Tahoma"/>
                <w:lang w:eastAsia="en-US"/>
              </w:rPr>
              <w:t>poisson-loup (espèces du genre Anarhichas)</w:t>
            </w:r>
          </w:p>
        </w:tc>
        <w:tc>
          <w:tcPr>
            <w:tcW w:w="656" w:type="dxa"/>
            <w:vAlign w:val="center"/>
          </w:tcPr>
          <w:p w14:paraId="4D2D5358" w14:textId="77777777" w:rsidR="003D69A8" w:rsidRPr="005E1EA7" w:rsidRDefault="003D69A8" w:rsidP="006365F0">
            <w:pPr>
              <w:rPr>
                <w:rFonts w:ascii="Tahoma" w:hAnsi="Tahoma" w:cs="Tahoma"/>
                <w:b/>
              </w:rPr>
            </w:pPr>
            <w:r w:rsidRPr="005E1EA7">
              <w:rPr>
                <w:rFonts w:ascii="Tahoma" w:eastAsiaTheme="minorHAnsi" w:hAnsi="Tahoma" w:cs="Tahoma"/>
                <w:lang w:eastAsia="en-US"/>
              </w:rPr>
              <w:t>7,0</w:t>
            </w:r>
          </w:p>
        </w:tc>
        <w:tc>
          <w:tcPr>
            <w:tcW w:w="677" w:type="dxa"/>
            <w:vAlign w:val="center"/>
          </w:tcPr>
          <w:p w14:paraId="5EE33274" w14:textId="77777777" w:rsidR="003D69A8" w:rsidRPr="005E1EA7" w:rsidRDefault="003D69A8" w:rsidP="006365F0">
            <w:pPr>
              <w:rPr>
                <w:rFonts w:ascii="Tahoma" w:hAnsi="Tahoma" w:cs="Tahoma"/>
                <w:b/>
              </w:rPr>
            </w:pPr>
            <w:r w:rsidRPr="005E1EA7">
              <w:rPr>
                <w:rFonts w:ascii="Tahoma" w:eastAsiaTheme="minorHAnsi" w:hAnsi="Tahoma" w:cs="Tahoma"/>
                <w:lang w:eastAsia="en-US"/>
              </w:rPr>
              <w:t>1, 0</w:t>
            </w:r>
          </w:p>
        </w:tc>
        <w:tc>
          <w:tcPr>
            <w:tcW w:w="666" w:type="dxa"/>
            <w:vAlign w:val="center"/>
          </w:tcPr>
          <w:p w14:paraId="4D138407" w14:textId="77777777" w:rsidR="003D69A8" w:rsidRPr="005E1EA7" w:rsidRDefault="003D69A8" w:rsidP="006365F0">
            <w:pPr>
              <w:rPr>
                <w:rFonts w:ascii="Tahoma" w:hAnsi="Tahoma" w:cs="Tahoma"/>
                <w:b/>
              </w:rPr>
            </w:pPr>
            <w:r w:rsidRPr="005E1EA7">
              <w:rPr>
                <w:rFonts w:ascii="Tahoma" w:eastAsiaTheme="minorHAnsi" w:hAnsi="Tahoma" w:cs="Tahoma"/>
                <w:lang w:eastAsia="en-US"/>
              </w:rPr>
              <w:t>2,5</w:t>
            </w:r>
          </w:p>
        </w:tc>
        <w:tc>
          <w:tcPr>
            <w:tcW w:w="736" w:type="dxa"/>
            <w:vAlign w:val="center"/>
          </w:tcPr>
          <w:p w14:paraId="00BCCC00" w14:textId="77777777" w:rsidR="003D69A8" w:rsidRPr="005E1EA7" w:rsidRDefault="003D69A8" w:rsidP="006365F0">
            <w:pPr>
              <w:rPr>
                <w:rFonts w:ascii="Tahoma" w:hAnsi="Tahoma" w:cs="Tahoma"/>
                <w:b/>
              </w:rPr>
            </w:pPr>
            <w:r w:rsidRPr="005E1EA7">
              <w:rPr>
                <w:rFonts w:ascii="Tahoma" w:eastAsiaTheme="minorHAnsi" w:hAnsi="Tahoma" w:cs="Tahoma"/>
                <w:lang w:eastAsia="en-US"/>
              </w:rPr>
              <w:t>0,20</w:t>
            </w:r>
          </w:p>
        </w:tc>
        <w:tc>
          <w:tcPr>
            <w:tcW w:w="1792" w:type="dxa"/>
            <w:vAlign w:val="center"/>
          </w:tcPr>
          <w:p w14:paraId="65EACC1A" w14:textId="77777777" w:rsidR="003D69A8" w:rsidRPr="005E1EA7" w:rsidRDefault="003D69A8" w:rsidP="006365F0">
            <w:pPr>
              <w:rPr>
                <w:rFonts w:ascii="Tahoma" w:hAnsi="Tahoma" w:cs="Tahoma"/>
                <w:b/>
              </w:rPr>
            </w:pPr>
            <w:r w:rsidRPr="005E1EA7">
              <w:rPr>
                <w:rFonts w:ascii="Tahoma" w:eastAsiaTheme="minorHAnsi" w:hAnsi="Tahoma" w:cs="Tahoma"/>
                <w:lang w:eastAsia="en-US"/>
              </w:rPr>
              <w:t>8,0</w:t>
            </w:r>
          </w:p>
        </w:tc>
      </w:tr>
      <w:tr w:rsidR="003D69A8" w:rsidRPr="005E1EA7" w14:paraId="5B549057" w14:textId="77777777" w:rsidTr="006365F0">
        <w:tc>
          <w:tcPr>
            <w:tcW w:w="441" w:type="dxa"/>
          </w:tcPr>
          <w:p w14:paraId="0203F40D" w14:textId="77777777" w:rsidR="003D69A8" w:rsidRPr="005E1EA7" w:rsidRDefault="003D69A8" w:rsidP="006365F0">
            <w:pPr>
              <w:rPr>
                <w:rFonts w:ascii="Tahoma" w:hAnsi="Tahoma" w:cs="Tahoma"/>
              </w:rPr>
            </w:pPr>
            <w:r w:rsidRPr="005E1EA7">
              <w:rPr>
                <w:rFonts w:ascii="Tahoma" w:eastAsiaTheme="minorHAnsi" w:hAnsi="Tahoma" w:cs="Tahoma"/>
                <w:lang w:eastAsia="en-US"/>
              </w:rPr>
              <w:t>2.3</w:t>
            </w:r>
          </w:p>
        </w:tc>
        <w:tc>
          <w:tcPr>
            <w:tcW w:w="4088" w:type="dxa"/>
          </w:tcPr>
          <w:p w14:paraId="6CB64C25" w14:textId="77777777" w:rsidR="003D69A8" w:rsidRPr="005E1EA7" w:rsidRDefault="003D69A8" w:rsidP="006365F0">
            <w:pPr>
              <w:rPr>
                <w:rFonts w:ascii="Tahoma" w:eastAsiaTheme="minorHAnsi" w:hAnsi="Tahoma" w:cs="Tahoma"/>
                <w:lang w:eastAsia="en-US"/>
              </w:rPr>
            </w:pPr>
            <w:r w:rsidRPr="005E1EA7">
              <w:rPr>
                <w:rFonts w:ascii="Tahoma" w:eastAsiaTheme="minorHAnsi" w:hAnsi="Tahoma" w:cs="Tahoma"/>
                <w:lang w:eastAsia="en-US"/>
              </w:rPr>
              <w:t>Chair musculaire des poissons suivants, si elle n’est pas destinée à la fabrication de denrées alimentaires pour nourrissons et enfants en bas âge :</w:t>
            </w:r>
          </w:p>
          <w:p w14:paraId="289414D7" w14:textId="77777777" w:rsidR="003D69A8" w:rsidRPr="005E1EA7" w:rsidRDefault="003D69A8" w:rsidP="006365F0">
            <w:pPr>
              <w:rPr>
                <w:rFonts w:ascii="Tahoma" w:eastAsiaTheme="minorHAnsi" w:hAnsi="Tahoma" w:cs="Tahoma"/>
                <w:lang w:eastAsia="en-US"/>
              </w:rPr>
            </w:pPr>
            <w:proofErr w:type="gramStart"/>
            <w:r w:rsidRPr="005E1EA7">
              <w:rPr>
                <w:rFonts w:ascii="Tahoma" w:eastAsiaTheme="minorHAnsi" w:hAnsi="Tahoma" w:cs="Tahoma"/>
                <w:lang w:eastAsia="en-US"/>
              </w:rPr>
              <w:t>anchois</w:t>
            </w:r>
            <w:proofErr w:type="gramEnd"/>
            <w:r w:rsidRPr="005E1EA7">
              <w:rPr>
                <w:rFonts w:ascii="Tahoma" w:eastAsiaTheme="minorHAnsi" w:hAnsi="Tahoma" w:cs="Tahoma"/>
                <w:lang w:eastAsia="en-US"/>
              </w:rPr>
              <w:t xml:space="preserve"> (espèces du genre Engraulis)</w:t>
            </w:r>
          </w:p>
          <w:p w14:paraId="53F04E00" w14:textId="77777777" w:rsidR="003D69A8" w:rsidRPr="005E1EA7" w:rsidRDefault="003D69A8" w:rsidP="006365F0">
            <w:pPr>
              <w:rPr>
                <w:rFonts w:ascii="Tahoma" w:eastAsiaTheme="minorHAnsi" w:hAnsi="Tahoma" w:cs="Tahoma"/>
                <w:lang w:eastAsia="en-US"/>
              </w:rPr>
            </w:pPr>
            <w:proofErr w:type="gramStart"/>
            <w:r w:rsidRPr="005E1EA7">
              <w:rPr>
                <w:rFonts w:ascii="Tahoma" w:eastAsiaTheme="minorHAnsi" w:hAnsi="Tahoma" w:cs="Tahoma"/>
                <w:lang w:eastAsia="en-US"/>
              </w:rPr>
              <w:t>barbeau</w:t>
            </w:r>
            <w:proofErr w:type="gramEnd"/>
            <w:r w:rsidRPr="005E1EA7">
              <w:rPr>
                <w:rFonts w:ascii="Tahoma" w:eastAsiaTheme="minorHAnsi" w:hAnsi="Tahoma" w:cs="Tahoma"/>
                <w:lang w:eastAsia="en-US"/>
              </w:rPr>
              <w:t xml:space="preserve"> (Barbus barbus)</w:t>
            </w:r>
          </w:p>
          <w:p w14:paraId="44ED444B" w14:textId="77777777" w:rsidR="003D69A8" w:rsidRPr="005E1EA7" w:rsidRDefault="003D69A8" w:rsidP="006365F0">
            <w:pPr>
              <w:rPr>
                <w:rFonts w:ascii="Tahoma" w:eastAsiaTheme="minorHAnsi" w:hAnsi="Tahoma" w:cs="Tahoma"/>
                <w:lang w:eastAsia="en-US"/>
              </w:rPr>
            </w:pPr>
            <w:proofErr w:type="gramStart"/>
            <w:r w:rsidRPr="005E1EA7">
              <w:rPr>
                <w:rFonts w:ascii="Tahoma" w:eastAsiaTheme="minorHAnsi" w:hAnsi="Tahoma" w:cs="Tahoma"/>
                <w:lang w:eastAsia="en-US"/>
              </w:rPr>
              <w:t>brème</w:t>
            </w:r>
            <w:proofErr w:type="gramEnd"/>
            <w:r w:rsidRPr="005E1EA7">
              <w:rPr>
                <w:rFonts w:ascii="Tahoma" w:eastAsiaTheme="minorHAnsi" w:hAnsi="Tahoma" w:cs="Tahoma"/>
                <w:lang w:eastAsia="en-US"/>
              </w:rPr>
              <w:t xml:space="preserve"> (espèces du genre Abramis)</w:t>
            </w:r>
          </w:p>
          <w:p w14:paraId="5D61D978" w14:textId="77777777" w:rsidR="003D69A8" w:rsidRPr="005E1EA7" w:rsidRDefault="003D69A8" w:rsidP="006365F0">
            <w:pPr>
              <w:rPr>
                <w:rFonts w:ascii="Tahoma" w:eastAsiaTheme="minorHAnsi" w:hAnsi="Tahoma" w:cs="Tahoma"/>
                <w:lang w:eastAsia="en-US"/>
              </w:rPr>
            </w:pPr>
            <w:proofErr w:type="gramStart"/>
            <w:r w:rsidRPr="005E1EA7">
              <w:rPr>
                <w:rFonts w:ascii="Tahoma" w:eastAsiaTheme="minorHAnsi" w:hAnsi="Tahoma" w:cs="Tahoma"/>
                <w:lang w:eastAsia="en-US"/>
              </w:rPr>
              <w:t>omble</w:t>
            </w:r>
            <w:proofErr w:type="gramEnd"/>
            <w:r w:rsidRPr="005E1EA7">
              <w:rPr>
                <w:rFonts w:ascii="Tahoma" w:eastAsiaTheme="minorHAnsi" w:hAnsi="Tahoma" w:cs="Tahoma"/>
                <w:lang w:eastAsia="en-US"/>
              </w:rPr>
              <w:t xml:space="preserve"> (espèces du genre Salvelinus)</w:t>
            </w:r>
          </w:p>
          <w:p w14:paraId="0DE0C3D6" w14:textId="77777777" w:rsidR="003D69A8" w:rsidRPr="005E1EA7" w:rsidRDefault="003D69A8" w:rsidP="006365F0">
            <w:pPr>
              <w:rPr>
                <w:rFonts w:ascii="Tahoma" w:eastAsiaTheme="minorHAnsi" w:hAnsi="Tahoma" w:cs="Tahoma"/>
                <w:lang w:eastAsia="en-US"/>
              </w:rPr>
            </w:pPr>
            <w:proofErr w:type="gramStart"/>
            <w:r w:rsidRPr="005E1EA7">
              <w:rPr>
                <w:rFonts w:ascii="Tahoma" w:eastAsiaTheme="minorHAnsi" w:hAnsi="Tahoma" w:cs="Tahoma"/>
                <w:lang w:eastAsia="en-US"/>
              </w:rPr>
              <w:t>anguille</w:t>
            </w:r>
            <w:proofErr w:type="gramEnd"/>
            <w:r w:rsidRPr="005E1EA7">
              <w:rPr>
                <w:rFonts w:ascii="Tahoma" w:eastAsiaTheme="minorHAnsi" w:hAnsi="Tahoma" w:cs="Tahoma"/>
                <w:lang w:eastAsia="en-US"/>
              </w:rPr>
              <w:t xml:space="preserve"> (espèces du genre Anguilla)</w:t>
            </w:r>
          </w:p>
          <w:p w14:paraId="02C5AA29" w14:textId="77777777" w:rsidR="003D69A8" w:rsidRPr="005E1EA7" w:rsidRDefault="003D69A8" w:rsidP="006365F0">
            <w:pPr>
              <w:rPr>
                <w:rFonts w:ascii="Tahoma" w:eastAsiaTheme="minorHAnsi" w:hAnsi="Tahoma" w:cs="Tahoma"/>
                <w:lang w:eastAsia="en-US"/>
              </w:rPr>
            </w:pPr>
            <w:proofErr w:type="gramStart"/>
            <w:r w:rsidRPr="005E1EA7">
              <w:rPr>
                <w:rFonts w:ascii="Tahoma" w:eastAsiaTheme="minorHAnsi" w:hAnsi="Tahoma" w:cs="Tahoma"/>
                <w:lang w:eastAsia="en-US"/>
              </w:rPr>
              <w:t>sandre</w:t>
            </w:r>
            <w:proofErr w:type="gramEnd"/>
            <w:r w:rsidRPr="005E1EA7">
              <w:rPr>
                <w:rFonts w:ascii="Tahoma" w:eastAsiaTheme="minorHAnsi" w:hAnsi="Tahoma" w:cs="Tahoma"/>
                <w:lang w:eastAsia="en-US"/>
              </w:rPr>
              <w:t xml:space="preserve"> (espèces du genre Sander)</w:t>
            </w:r>
          </w:p>
          <w:p w14:paraId="741D89F5" w14:textId="77777777" w:rsidR="003D69A8" w:rsidRPr="005E1EA7" w:rsidRDefault="003D69A8" w:rsidP="006365F0">
            <w:pPr>
              <w:rPr>
                <w:rFonts w:ascii="Tahoma" w:eastAsiaTheme="minorHAnsi" w:hAnsi="Tahoma" w:cs="Tahoma"/>
                <w:lang w:eastAsia="en-US"/>
              </w:rPr>
            </w:pPr>
            <w:proofErr w:type="gramStart"/>
            <w:r w:rsidRPr="005E1EA7">
              <w:rPr>
                <w:rFonts w:ascii="Tahoma" w:eastAsiaTheme="minorHAnsi" w:hAnsi="Tahoma" w:cs="Tahoma"/>
                <w:lang w:eastAsia="en-US"/>
              </w:rPr>
              <w:t>perche</w:t>
            </w:r>
            <w:proofErr w:type="gramEnd"/>
            <w:r w:rsidRPr="005E1EA7">
              <w:rPr>
                <w:rFonts w:ascii="Tahoma" w:eastAsiaTheme="minorHAnsi" w:hAnsi="Tahoma" w:cs="Tahoma"/>
                <w:lang w:eastAsia="en-US"/>
              </w:rPr>
              <w:t xml:space="preserve"> (Perca fluviatilis)</w:t>
            </w:r>
          </w:p>
          <w:p w14:paraId="2C427C83" w14:textId="77777777" w:rsidR="003D69A8" w:rsidRPr="005E1EA7" w:rsidRDefault="003D69A8" w:rsidP="006365F0">
            <w:pPr>
              <w:rPr>
                <w:rFonts w:ascii="Tahoma" w:eastAsiaTheme="minorHAnsi" w:hAnsi="Tahoma" w:cs="Tahoma"/>
                <w:lang w:eastAsia="en-US"/>
              </w:rPr>
            </w:pPr>
            <w:proofErr w:type="gramStart"/>
            <w:r w:rsidRPr="005E1EA7">
              <w:rPr>
                <w:rFonts w:ascii="Tahoma" w:eastAsiaTheme="minorHAnsi" w:hAnsi="Tahoma" w:cs="Tahoma"/>
                <w:lang w:eastAsia="en-US"/>
              </w:rPr>
              <w:t>gardon(</w:t>
            </w:r>
            <w:proofErr w:type="gramEnd"/>
            <w:r w:rsidRPr="005E1EA7">
              <w:rPr>
                <w:rFonts w:ascii="Tahoma" w:eastAsiaTheme="minorHAnsi" w:hAnsi="Tahoma" w:cs="Tahoma"/>
                <w:lang w:eastAsia="en-US"/>
              </w:rPr>
              <w:t>Rutilus rutilus)</w:t>
            </w:r>
          </w:p>
          <w:p w14:paraId="0DAF656A" w14:textId="77777777" w:rsidR="003D69A8" w:rsidRPr="005E1EA7" w:rsidRDefault="003D69A8" w:rsidP="006365F0">
            <w:pPr>
              <w:rPr>
                <w:rFonts w:ascii="Tahoma" w:eastAsiaTheme="minorHAnsi" w:hAnsi="Tahoma" w:cs="Tahoma"/>
                <w:lang w:eastAsia="en-US"/>
              </w:rPr>
            </w:pPr>
            <w:proofErr w:type="gramStart"/>
            <w:r w:rsidRPr="005E1EA7">
              <w:rPr>
                <w:rFonts w:ascii="Tahoma" w:eastAsiaTheme="minorHAnsi" w:hAnsi="Tahoma" w:cs="Tahoma"/>
                <w:lang w:eastAsia="en-US"/>
              </w:rPr>
              <w:t>éperlan</w:t>
            </w:r>
            <w:proofErr w:type="gramEnd"/>
            <w:r w:rsidRPr="005E1EA7">
              <w:rPr>
                <w:rFonts w:ascii="Tahoma" w:eastAsiaTheme="minorHAnsi" w:hAnsi="Tahoma" w:cs="Tahoma"/>
                <w:lang w:eastAsia="en-US"/>
              </w:rPr>
              <w:t xml:space="preserve"> (espèces du genre Osmerus)</w:t>
            </w:r>
          </w:p>
          <w:p w14:paraId="1CD25359" w14:textId="77777777" w:rsidR="003D69A8" w:rsidRPr="005E1EA7" w:rsidRDefault="003D69A8" w:rsidP="006365F0">
            <w:pPr>
              <w:rPr>
                <w:rFonts w:ascii="Tahoma" w:eastAsiaTheme="minorHAnsi" w:hAnsi="Tahoma" w:cs="Tahoma"/>
                <w:lang w:eastAsia="en-US"/>
              </w:rPr>
            </w:pPr>
            <w:r w:rsidRPr="005E1EA7">
              <w:rPr>
                <w:rFonts w:ascii="Tahoma" w:eastAsiaTheme="minorHAnsi" w:hAnsi="Tahoma" w:cs="Tahoma"/>
                <w:lang w:eastAsia="en-US"/>
              </w:rPr>
              <w:t>corégone (espèces du genre Coregonus autres que celles énumérées au point 2.2)</w:t>
            </w:r>
          </w:p>
        </w:tc>
        <w:tc>
          <w:tcPr>
            <w:tcW w:w="656" w:type="dxa"/>
            <w:vAlign w:val="center"/>
          </w:tcPr>
          <w:p w14:paraId="4BD44DE1" w14:textId="77777777" w:rsidR="003D69A8" w:rsidRPr="005E1EA7" w:rsidRDefault="003D69A8" w:rsidP="006365F0">
            <w:pPr>
              <w:rPr>
                <w:rFonts w:ascii="Tahoma" w:hAnsi="Tahoma" w:cs="Tahoma"/>
                <w:b/>
              </w:rPr>
            </w:pPr>
            <w:r w:rsidRPr="005E1EA7">
              <w:rPr>
                <w:rFonts w:ascii="Tahoma" w:eastAsiaTheme="minorHAnsi" w:hAnsi="Tahoma" w:cs="Tahoma"/>
                <w:lang w:eastAsia="en-US"/>
              </w:rPr>
              <w:t>35</w:t>
            </w:r>
          </w:p>
        </w:tc>
        <w:tc>
          <w:tcPr>
            <w:tcW w:w="677" w:type="dxa"/>
            <w:vAlign w:val="center"/>
          </w:tcPr>
          <w:p w14:paraId="2ABC94B2" w14:textId="77777777" w:rsidR="003D69A8" w:rsidRPr="005E1EA7" w:rsidRDefault="003D69A8" w:rsidP="006365F0">
            <w:pPr>
              <w:rPr>
                <w:rFonts w:ascii="Tahoma" w:hAnsi="Tahoma" w:cs="Tahoma"/>
                <w:b/>
              </w:rPr>
            </w:pPr>
            <w:r w:rsidRPr="005E1EA7">
              <w:rPr>
                <w:rFonts w:ascii="Tahoma" w:eastAsiaTheme="minorHAnsi" w:hAnsi="Tahoma" w:cs="Tahoma"/>
                <w:lang w:eastAsia="en-US"/>
              </w:rPr>
              <w:t>8,0</w:t>
            </w:r>
          </w:p>
        </w:tc>
        <w:tc>
          <w:tcPr>
            <w:tcW w:w="666" w:type="dxa"/>
            <w:vAlign w:val="center"/>
          </w:tcPr>
          <w:p w14:paraId="1FA12FFB" w14:textId="77777777" w:rsidR="003D69A8" w:rsidRPr="005E1EA7" w:rsidRDefault="003D69A8" w:rsidP="006365F0">
            <w:pPr>
              <w:rPr>
                <w:rFonts w:ascii="Tahoma" w:hAnsi="Tahoma" w:cs="Tahoma"/>
                <w:b/>
              </w:rPr>
            </w:pPr>
            <w:r w:rsidRPr="005E1EA7">
              <w:rPr>
                <w:rFonts w:ascii="Tahoma" w:eastAsiaTheme="minorHAnsi" w:hAnsi="Tahoma" w:cs="Tahoma"/>
                <w:lang w:eastAsia="en-US"/>
              </w:rPr>
              <w:t>8,0</w:t>
            </w:r>
          </w:p>
        </w:tc>
        <w:tc>
          <w:tcPr>
            <w:tcW w:w="736" w:type="dxa"/>
            <w:vAlign w:val="center"/>
          </w:tcPr>
          <w:p w14:paraId="05BA7652" w14:textId="77777777" w:rsidR="003D69A8" w:rsidRPr="005E1EA7" w:rsidRDefault="003D69A8" w:rsidP="006365F0">
            <w:pPr>
              <w:rPr>
                <w:rFonts w:ascii="Tahoma" w:hAnsi="Tahoma" w:cs="Tahoma"/>
                <w:b/>
              </w:rPr>
            </w:pPr>
            <w:r w:rsidRPr="005E1EA7">
              <w:rPr>
                <w:rFonts w:ascii="Tahoma" w:eastAsiaTheme="minorHAnsi" w:hAnsi="Tahoma" w:cs="Tahoma"/>
                <w:lang w:eastAsia="en-US"/>
              </w:rPr>
              <w:t>1,5</w:t>
            </w:r>
          </w:p>
        </w:tc>
        <w:tc>
          <w:tcPr>
            <w:tcW w:w="1792" w:type="dxa"/>
            <w:vAlign w:val="center"/>
          </w:tcPr>
          <w:p w14:paraId="5D59DBDD" w14:textId="77777777" w:rsidR="003D69A8" w:rsidRPr="005E1EA7" w:rsidRDefault="003D69A8" w:rsidP="006365F0">
            <w:pPr>
              <w:rPr>
                <w:rFonts w:ascii="Tahoma" w:hAnsi="Tahoma" w:cs="Tahoma"/>
                <w:b/>
              </w:rPr>
            </w:pPr>
            <w:r w:rsidRPr="005E1EA7">
              <w:rPr>
                <w:rFonts w:ascii="Tahoma" w:eastAsiaTheme="minorHAnsi" w:hAnsi="Tahoma" w:cs="Tahoma"/>
                <w:lang w:eastAsia="en-US"/>
              </w:rPr>
              <w:t>45</w:t>
            </w:r>
          </w:p>
        </w:tc>
      </w:tr>
      <w:tr w:rsidR="003D69A8" w:rsidRPr="005E1EA7" w14:paraId="3EF928AF" w14:textId="77777777" w:rsidTr="006365F0">
        <w:tc>
          <w:tcPr>
            <w:tcW w:w="441" w:type="dxa"/>
          </w:tcPr>
          <w:p w14:paraId="56323864" w14:textId="77777777" w:rsidR="003D69A8" w:rsidRPr="005E1EA7" w:rsidRDefault="003D69A8" w:rsidP="006365F0">
            <w:pPr>
              <w:rPr>
                <w:rFonts w:ascii="Tahoma" w:eastAsiaTheme="minorHAnsi" w:hAnsi="Tahoma" w:cs="Tahoma"/>
                <w:lang w:eastAsia="en-US"/>
              </w:rPr>
            </w:pPr>
            <w:r w:rsidRPr="005E1EA7">
              <w:rPr>
                <w:rFonts w:ascii="Tahoma" w:eastAsiaTheme="minorHAnsi" w:hAnsi="Tahoma" w:cs="Tahoma"/>
                <w:lang w:eastAsia="en-US"/>
              </w:rPr>
              <w:t>2.5</w:t>
            </w:r>
          </w:p>
        </w:tc>
        <w:tc>
          <w:tcPr>
            <w:tcW w:w="4088" w:type="dxa"/>
          </w:tcPr>
          <w:p w14:paraId="5FAA258C" w14:textId="77777777" w:rsidR="003D69A8" w:rsidRPr="005E1EA7" w:rsidRDefault="003D69A8" w:rsidP="006365F0">
            <w:pPr>
              <w:rPr>
                <w:rFonts w:ascii="Tahoma" w:eastAsiaTheme="minorHAnsi" w:hAnsi="Tahoma" w:cs="Tahoma"/>
                <w:lang w:eastAsia="en-US"/>
              </w:rPr>
            </w:pPr>
            <w:r w:rsidRPr="005E1EA7">
              <w:rPr>
                <w:rFonts w:ascii="Tahoma" w:eastAsiaTheme="minorHAnsi" w:hAnsi="Tahoma" w:cs="Tahoma"/>
                <w:lang w:eastAsia="en-US"/>
              </w:rPr>
              <w:t>Crustacés et mollusques bivalves</w:t>
            </w:r>
          </w:p>
        </w:tc>
        <w:tc>
          <w:tcPr>
            <w:tcW w:w="656" w:type="dxa"/>
          </w:tcPr>
          <w:p w14:paraId="1D6F682B" w14:textId="77777777" w:rsidR="003D69A8" w:rsidRPr="005E1EA7" w:rsidRDefault="003D69A8" w:rsidP="006365F0">
            <w:pPr>
              <w:rPr>
                <w:rFonts w:ascii="Tahoma" w:eastAsiaTheme="minorHAnsi" w:hAnsi="Tahoma" w:cs="Tahoma"/>
                <w:lang w:eastAsia="en-US"/>
              </w:rPr>
            </w:pPr>
            <w:r w:rsidRPr="005E1EA7">
              <w:rPr>
                <w:rFonts w:ascii="Tahoma" w:hAnsi="Tahoma" w:cs="Tahoma"/>
              </w:rPr>
              <w:t>3,0</w:t>
            </w:r>
          </w:p>
        </w:tc>
        <w:tc>
          <w:tcPr>
            <w:tcW w:w="677" w:type="dxa"/>
          </w:tcPr>
          <w:p w14:paraId="55FBFA35" w14:textId="77777777" w:rsidR="003D69A8" w:rsidRPr="005E1EA7" w:rsidRDefault="003D69A8" w:rsidP="006365F0">
            <w:pPr>
              <w:rPr>
                <w:rFonts w:ascii="Tahoma" w:eastAsiaTheme="minorHAnsi" w:hAnsi="Tahoma" w:cs="Tahoma"/>
                <w:lang w:eastAsia="en-US"/>
              </w:rPr>
            </w:pPr>
            <w:r w:rsidRPr="005E1EA7">
              <w:rPr>
                <w:rFonts w:ascii="Tahoma" w:hAnsi="Tahoma" w:cs="Tahoma"/>
              </w:rPr>
              <w:t>0,70</w:t>
            </w:r>
          </w:p>
        </w:tc>
        <w:tc>
          <w:tcPr>
            <w:tcW w:w="666" w:type="dxa"/>
          </w:tcPr>
          <w:p w14:paraId="3EBAB31F" w14:textId="77777777" w:rsidR="003D69A8" w:rsidRPr="005E1EA7" w:rsidRDefault="003D69A8" w:rsidP="006365F0">
            <w:pPr>
              <w:rPr>
                <w:rFonts w:ascii="Tahoma" w:eastAsiaTheme="minorHAnsi" w:hAnsi="Tahoma" w:cs="Tahoma"/>
                <w:lang w:eastAsia="en-US"/>
              </w:rPr>
            </w:pPr>
            <w:r w:rsidRPr="005E1EA7">
              <w:rPr>
                <w:rFonts w:ascii="Tahoma" w:hAnsi="Tahoma" w:cs="Tahoma"/>
              </w:rPr>
              <w:t>1,0</w:t>
            </w:r>
          </w:p>
        </w:tc>
        <w:tc>
          <w:tcPr>
            <w:tcW w:w="736" w:type="dxa"/>
          </w:tcPr>
          <w:p w14:paraId="1B768D5F" w14:textId="77777777" w:rsidR="003D69A8" w:rsidRPr="005E1EA7" w:rsidRDefault="003D69A8" w:rsidP="006365F0">
            <w:pPr>
              <w:rPr>
                <w:rFonts w:ascii="Tahoma" w:eastAsiaTheme="minorHAnsi" w:hAnsi="Tahoma" w:cs="Tahoma"/>
                <w:lang w:eastAsia="en-US"/>
              </w:rPr>
            </w:pPr>
            <w:r w:rsidRPr="005E1EA7">
              <w:rPr>
                <w:rFonts w:ascii="Tahoma" w:hAnsi="Tahoma" w:cs="Tahoma"/>
              </w:rPr>
              <w:t>1,5</w:t>
            </w:r>
          </w:p>
        </w:tc>
        <w:tc>
          <w:tcPr>
            <w:tcW w:w="1792" w:type="dxa"/>
          </w:tcPr>
          <w:p w14:paraId="2E1A3893" w14:textId="77777777" w:rsidR="003D69A8" w:rsidRPr="005E1EA7" w:rsidRDefault="003D69A8" w:rsidP="006365F0">
            <w:pPr>
              <w:rPr>
                <w:rFonts w:ascii="Tahoma" w:eastAsiaTheme="minorHAnsi" w:hAnsi="Tahoma" w:cs="Tahoma"/>
                <w:lang w:eastAsia="en-US"/>
              </w:rPr>
            </w:pPr>
            <w:r w:rsidRPr="005E1EA7">
              <w:rPr>
                <w:rFonts w:ascii="Tahoma" w:hAnsi="Tahoma" w:cs="Tahoma"/>
              </w:rPr>
              <w:t>5,0</w:t>
            </w:r>
          </w:p>
        </w:tc>
      </w:tr>
    </w:tbl>
    <w:p w14:paraId="779A8DC6" w14:textId="77777777" w:rsidR="003D69A8" w:rsidRPr="005E1EA7" w:rsidRDefault="003D69A8" w:rsidP="003D69A8">
      <w:pPr>
        <w:rPr>
          <w:rFonts w:ascii="Tahoma" w:hAnsi="Tahoma" w:cs="Tahoma"/>
          <w:b/>
          <w:sz w:val="20"/>
          <w:szCs w:val="20"/>
        </w:rPr>
      </w:pPr>
    </w:p>
    <w:p w14:paraId="7F3DDAB7" w14:textId="77777777" w:rsidR="003D69A8" w:rsidRPr="005E1EA7" w:rsidRDefault="003D69A8" w:rsidP="00420DDA">
      <w:pPr>
        <w:pStyle w:val="Paragraphedeliste"/>
        <w:numPr>
          <w:ilvl w:val="0"/>
          <w:numId w:val="178"/>
        </w:numPr>
        <w:rPr>
          <w:rFonts w:ascii="Tahoma" w:hAnsi="Tahoma" w:cs="Tahoma"/>
          <w:b/>
          <w:iCs/>
          <w:sz w:val="20"/>
          <w:szCs w:val="20"/>
        </w:rPr>
      </w:pPr>
      <w:r w:rsidRPr="005E1EA7">
        <w:rPr>
          <w:rFonts w:ascii="Tahoma" w:hAnsi="Tahoma" w:cs="Tahoma"/>
          <w:b/>
          <w:iCs/>
          <w:sz w:val="20"/>
          <w:szCs w:val="20"/>
        </w:rPr>
        <w:t>HYDROCARBURES AROMATIQUES POLYCYCLIQUES (HAP)</w:t>
      </w:r>
    </w:p>
    <w:p w14:paraId="02FC8D01" w14:textId="77777777" w:rsidR="003D69A8" w:rsidRPr="005E1EA7" w:rsidRDefault="003D69A8" w:rsidP="003D69A8">
      <w:pPr>
        <w:rPr>
          <w:rFonts w:ascii="Tahoma" w:hAnsi="Tahoma" w:cs="Tahoma"/>
          <w:sz w:val="20"/>
          <w:szCs w:val="20"/>
        </w:rPr>
      </w:pPr>
    </w:p>
    <w:p w14:paraId="2DBA0FD8" w14:textId="77777777" w:rsidR="003D69A8" w:rsidRPr="005E1EA7" w:rsidRDefault="003D69A8" w:rsidP="003D69A8">
      <w:pPr>
        <w:rPr>
          <w:rFonts w:ascii="Tahoma" w:hAnsi="Tahoma" w:cs="Tahoma"/>
          <w:sz w:val="20"/>
          <w:szCs w:val="20"/>
        </w:rPr>
      </w:pPr>
      <w:r w:rsidRPr="005E1EA7">
        <w:rPr>
          <w:rFonts w:ascii="Tahoma" w:hAnsi="Tahoma" w:cs="Tahoma"/>
          <w:sz w:val="20"/>
          <w:szCs w:val="20"/>
        </w:rPr>
        <w:t xml:space="preserve">Dans le cas des poissons, la teneur maximale s’applique à leur chair musculaire. </w:t>
      </w:r>
    </w:p>
    <w:p w14:paraId="55FE98F4" w14:textId="77777777" w:rsidR="003D69A8" w:rsidRPr="005E1EA7" w:rsidRDefault="003D69A8" w:rsidP="003D69A8">
      <w:pPr>
        <w:rPr>
          <w:rFonts w:ascii="Tahoma" w:hAnsi="Tahoma" w:cs="Tahoma"/>
          <w:sz w:val="20"/>
          <w:szCs w:val="20"/>
        </w:rPr>
      </w:pPr>
    </w:p>
    <w:p w14:paraId="233E9E10" w14:textId="77777777" w:rsidR="003D69A8" w:rsidRPr="005E1EA7" w:rsidRDefault="003D69A8" w:rsidP="003D69A8">
      <w:pPr>
        <w:rPr>
          <w:rFonts w:ascii="Tahoma" w:hAnsi="Tahoma" w:cs="Tahoma"/>
          <w:sz w:val="20"/>
          <w:szCs w:val="20"/>
        </w:rPr>
      </w:pPr>
      <w:r w:rsidRPr="005E1EA7">
        <w:rPr>
          <w:rFonts w:ascii="Tahoma" w:hAnsi="Tahoma" w:cs="Tahoma"/>
          <w:sz w:val="20"/>
          <w:szCs w:val="20"/>
        </w:rPr>
        <w:t>Dans le cas des poissons destinés à être consommés en entier, la teneur maximale s’applique au poisson entier.</w:t>
      </w:r>
    </w:p>
    <w:p w14:paraId="344281FD" w14:textId="77777777" w:rsidR="003D69A8" w:rsidRPr="005E1EA7" w:rsidRDefault="003D69A8" w:rsidP="003D69A8">
      <w:pPr>
        <w:rPr>
          <w:rFonts w:ascii="Tahoma" w:hAnsi="Tahoma" w:cs="Tahoma"/>
          <w:sz w:val="20"/>
          <w:szCs w:val="20"/>
        </w:rPr>
      </w:pPr>
    </w:p>
    <w:p w14:paraId="768186E5" w14:textId="77777777" w:rsidR="003D69A8" w:rsidRPr="005E1EA7" w:rsidRDefault="003D69A8" w:rsidP="003D69A8">
      <w:pPr>
        <w:rPr>
          <w:rFonts w:ascii="Tahoma" w:hAnsi="Tahoma" w:cs="Tahoma"/>
          <w:sz w:val="20"/>
          <w:szCs w:val="20"/>
        </w:rPr>
      </w:pPr>
      <w:r w:rsidRPr="005E1EA7">
        <w:rPr>
          <w:rFonts w:ascii="Tahoma" w:hAnsi="Tahoma" w:cs="Tahoma"/>
          <w:sz w:val="20"/>
          <w:szCs w:val="20"/>
        </w:rPr>
        <w:t>La teneur maximale pour les crustacés fumés s’applique à la chair musculaire des appendices et de l’abdomen, ce qui signifie que le céphalothorax des crustacés est exclu. Dans le cas des crabes et des crustacés de type crabe (Brachyura et Anomura) fumés, elle s’applique à la chair musculaire des appendices.</w:t>
      </w:r>
    </w:p>
    <w:p w14:paraId="6221040A" w14:textId="77777777" w:rsidR="003D69A8" w:rsidRPr="005E1EA7" w:rsidRDefault="003D69A8" w:rsidP="003D69A8">
      <w:pPr>
        <w:rPr>
          <w:rFonts w:ascii="Tahoma" w:hAnsi="Tahoma" w:cs="Tahoma"/>
          <w:b/>
          <w:iCs/>
          <w:sz w:val="20"/>
          <w:szCs w:val="20"/>
        </w:rPr>
      </w:pPr>
    </w:p>
    <w:p w14:paraId="27A4CF6C" w14:textId="77777777" w:rsidR="003D69A8" w:rsidRPr="005E1EA7" w:rsidRDefault="003D69A8" w:rsidP="003D69A8">
      <w:pPr>
        <w:pStyle w:val="Default"/>
        <w:rPr>
          <w:rFonts w:ascii="Tahoma" w:eastAsiaTheme="minorHAnsi" w:hAnsi="Tahoma" w:cs="Tahoma"/>
          <w:color w:val="auto"/>
          <w:sz w:val="20"/>
          <w:szCs w:val="20"/>
          <w:lang w:eastAsia="en-US"/>
        </w:rPr>
      </w:pPr>
      <w:r w:rsidRPr="005E1EA7">
        <w:rPr>
          <w:rFonts w:ascii="Tahoma" w:eastAsiaTheme="minorHAnsi" w:hAnsi="Tahoma" w:cs="Tahoma"/>
          <w:color w:val="auto"/>
          <w:sz w:val="20"/>
          <w:szCs w:val="20"/>
          <w:lang w:eastAsia="en-US"/>
        </w:rPr>
        <w:t>Hydrocarbures aromatiques polycycliques (HAP)</w:t>
      </w:r>
    </w:p>
    <w:p w14:paraId="78B62943" w14:textId="77777777" w:rsidR="003D69A8" w:rsidRPr="005E1EA7" w:rsidRDefault="003D69A8" w:rsidP="003D69A8">
      <w:pPr>
        <w:pStyle w:val="Default"/>
        <w:rPr>
          <w:rFonts w:ascii="Tahoma" w:hAnsi="Tahoma" w:cs="Tahoma"/>
          <w:color w:val="auto"/>
          <w:sz w:val="20"/>
          <w:szCs w:val="2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4264"/>
        <w:gridCol w:w="1611"/>
        <w:gridCol w:w="2623"/>
      </w:tblGrid>
      <w:tr w:rsidR="003D69A8" w:rsidRPr="005E1EA7" w14:paraId="41BD1F5A" w14:textId="77777777" w:rsidTr="006365F0">
        <w:tc>
          <w:tcPr>
            <w:tcW w:w="576" w:type="dxa"/>
            <w:vMerge w:val="restart"/>
          </w:tcPr>
          <w:p w14:paraId="7F59F708" w14:textId="77777777" w:rsidR="003D69A8" w:rsidRPr="005E1EA7" w:rsidRDefault="003D69A8" w:rsidP="006365F0">
            <w:pPr>
              <w:rPr>
                <w:rFonts w:ascii="Tahoma" w:hAnsi="Tahoma" w:cs="Tahoma"/>
                <w:sz w:val="20"/>
                <w:szCs w:val="20"/>
              </w:rPr>
            </w:pPr>
          </w:p>
        </w:tc>
        <w:tc>
          <w:tcPr>
            <w:tcW w:w="4520" w:type="dxa"/>
            <w:vMerge w:val="restart"/>
            <w:vAlign w:val="center"/>
          </w:tcPr>
          <w:p w14:paraId="3966EC50" w14:textId="77777777" w:rsidR="003D69A8" w:rsidRPr="005E1EA7" w:rsidRDefault="003D69A8" w:rsidP="006365F0">
            <w:pPr>
              <w:rPr>
                <w:rFonts w:ascii="Tahoma" w:eastAsiaTheme="minorHAnsi" w:hAnsi="Tahoma" w:cs="Tahoma"/>
                <w:sz w:val="20"/>
                <w:szCs w:val="20"/>
                <w:lang w:eastAsia="en-US"/>
              </w:rPr>
            </w:pPr>
            <w:r w:rsidRPr="005E1EA7">
              <w:rPr>
                <w:rFonts w:ascii="Tahoma" w:hAnsi="Tahoma" w:cs="Tahoma"/>
                <w:i/>
                <w:sz w:val="20"/>
                <w:szCs w:val="20"/>
              </w:rPr>
              <w:t>Denrées alimentaires</w:t>
            </w:r>
          </w:p>
        </w:tc>
        <w:tc>
          <w:tcPr>
            <w:tcW w:w="3971" w:type="dxa"/>
            <w:gridSpan w:val="2"/>
          </w:tcPr>
          <w:p w14:paraId="3C847D06" w14:textId="77777777" w:rsidR="003D69A8" w:rsidRPr="005E1EA7" w:rsidRDefault="003D69A8" w:rsidP="006365F0">
            <w:pPr>
              <w:jc w:val="center"/>
              <w:rPr>
                <w:rFonts w:ascii="Tahoma" w:eastAsiaTheme="minorHAnsi" w:hAnsi="Tahoma" w:cs="Tahoma"/>
                <w:sz w:val="20"/>
                <w:szCs w:val="20"/>
                <w:lang w:eastAsia="en-US"/>
              </w:rPr>
            </w:pPr>
            <w:r w:rsidRPr="005E1EA7">
              <w:rPr>
                <w:rFonts w:ascii="Tahoma" w:eastAsiaTheme="minorHAnsi" w:hAnsi="Tahoma" w:cs="Tahoma"/>
                <w:sz w:val="20"/>
                <w:szCs w:val="20"/>
                <w:lang w:eastAsia="en-US"/>
              </w:rPr>
              <w:t>Teneurs maximales (μg/kg)</w:t>
            </w:r>
          </w:p>
        </w:tc>
      </w:tr>
      <w:tr w:rsidR="003D69A8" w:rsidRPr="005E1EA7" w14:paraId="4E78E3B4" w14:textId="77777777" w:rsidTr="006365F0">
        <w:tc>
          <w:tcPr>
            <w:tcW w:w="576" w:type="dxa"/>
            <w:vMerge/>
          </w:tcPr>
          <w:p w14:paraId="0F68A72D" w14:textId="77777777" w:rsidR="003D69A8" w:rsidRPr="005E1EA7" w:rsidRDefault="003D69A8" w:rsidP="006365F0">
            <w:pPr>
              <w:rPr>
                <w:rFonts w:ascii="Tahoma" w:hAnsi="Tahoma" w:cs="Tahoma"/>
                <w:sz w:val="20"/>
                <w:szCs w:val="20"/>
              </w:rPr>
            </w:pPr>
          </w:p>
        </w:tc>
        <w:tc>
          <w:tcPr>
            <w:tcW w:w="4520" w:type="dxa"/>
            <w:vMerge/>
          </w:tcPr>
          <w:p w14:paraId="3CE216E8" w14:textId="77777777" w:rsidR="003D69A8" w:rsidRPr="005E1EA7" w:rsidRDefault="003D69A8" w:rsidP="006365F0">
            <w:pPr>
              <w:rPr>
                <w:rFonts w:ascii="Tahoma" w:eastAsiaTheme="minorHAnsi" w:hAnsi="Tahoma" w:cs="Tahoma"/>
                <w:sz w:val="20"/>
                <w:szCs w:val="20"/>
                <w:lang w:eastAsia="en-US"/>
              </w:rPr>
            </w:pPr>
          </w:p>
        </w:tc>
        <w:tc>
          <w:tcPr>
            <w:tcW w:w="1302" w:type="dxa"/>
          </w:tcPr>
          <w:p w14:paraId="4895868A" w14:textId="77777777" w:rsidR="003D69A8" w:rsidRPr="005E1EA7" w:rsidRDefault="003D69A8" w:rsidP="006365F0">
            <w:pPr>
              <w:rPr>
                <w:rFonts w:ascii="Tahoma" w:eastAsiaTheme="minorHAnsi" w:hAnsi="Tahoma" w:cs="Tahoma"/>
                <w:sz w:val="20"/>
                <w:szCs w:val="20"/>
                <w:lang w:eastAsia="en-US"/>
              </w:rPr>
            </w:pPr>
            <w:r w:rsidRPr="005E1EA7">
              <w:rPr>
                <w:rFonts w:ascii="Tahoma" w:eastAsiaTheme="minorHAnsi" w:hAnsi="Tahoma" w:cs="Tahoma"/>
                <w:sz w:val="20"/>
                <w:szCs w:val="20"/>
                <w:lang w:eastAsia="en-US"/>
              </w:rPr>
              <w:t>Benzo(a)pyrène</w:t>
            </w:r>
          </w:p>
        </w:tc>
        <w:tc>
          <w:tcPr>
            <w:tcW w:w="2669" w:type="dxa"/>
          </w:tcPr>
          <w:p w14:paraId="2B57482E" w14:textId="77777777" w:rsidR="003D69A8" w:rsidRPr="005E1EA7" w:rsidRDefault="003D69A8" w:rsidP="006365F0">
            <w:pPr>
              <w:rPr>
                <w:rFonts w:ascii="Tahoma" w:eastAsiaTheme="minorHAnsi" w:hAnsi="Tahoma" w:cs="Tahoma"/>
                <w:sz w:val="20"/>
                <w:szCs w:val="20"/>
                <w:lang w:eastAsia="en-US"/>
              </w:rPr>
            </w:pPr>
            <w:r w:rsidRPr="005E1EA7">
              <w:rPr>
                <w:rFonts w:ascii="Tahoma" w:eastAsiaTheme="minorHAnsi" w:hAnsi="Tahoma" w:cs="Tahoma"/>
                <w:sz w:val="20"/>
                <w:szCs w:val="20"/>
                <w:lang w:eastAsia="en-US"/>
              </w:rPr>
              <w:t>Somme des HAP :  benzo(a)pyrène, benz(a)anthracène, benzo(b)fluoranthène et chrysène</w:t>
            </w:r>
          </w:p>
        </w:tc>
      </w:tr>
      <w:tr w:rsidR="003D69A8" w:rsidRPr="005E1EA7" w14:paraId="0E41032C" w14:textId="77777777" w:rsidTr="006365F0">
        <w:tc>
          <w:tcPr>
            <w:tcW w:w="576" w:type="dxa"/>
          </w:tcPr>
          <w:p w14:paraId="0EC445D0" w14:textId="77777777" w:rsidR="003D69A8" w:rsidRPr="005E1EA7" w:rsidRDefault="003D69A8" w:rsidP="006365F0">
            <w:pPr>
              <w:rPr>
                <w:rFonts w:ascii="Tahoma" w:eastAsiaTheme="minorHAnsi" w:hAnsi="Tahoma" w:cs="Tahoma"/>
                <w:sz w:val="20"/>
                <w:szCs w:val="20"/>
                <w:lang w:eastAsia="en-US"/>
              </w:rPr>
            </w:pPr>
            <w:r w:rsidRPr="005E1EA7">
              <w:rPr>
                <w:rFonts w:ascii="Tahoma" w:eastAsiaTheme="minorHAnsi" w:hAnsi="Tahoma" w:cs="Tahoma"/>
                <w:sz w:val="20"/>
                <w:szCs w:val="20"/>
                <w:lang w:eastAsia="en-US"/>
              </w:rPr>
              <w:t>3.1</w:t>
            </w:r>
          </w:p>
        </w:tc>
        <w:tc>
          <w:tcPr>
            <w:tcW w:w="4520" w:type="dxa"/>
          </w:tcPr>
          <w:p w14:paraId="1AB6F2BD" w14:textId="77777777" w:rsidR="003D69A8" w:rsidRPr="005E1EA7" w:rsidRDefault="003D69A8" w:rsidP="006365F0">
            <w:pPr>
              <w:rPr>
                <w:rFonts w:ascii="Tahoma" w:eastAsiaTheme="minorHAnsi" w:hAnsi="Tahoma" w:cs="Tahoma"/>
                <w:sz w:val="20"/>
                <w:szCs w:val="20"/>
                <w:lang w:eastAsia="en-US"/>
              </w:rPr>
            </w:pPr>
            <w:r w:rsidRPr="005E1EA7">
              <w:rPr>
                <w:rFonts w:ascii="Tahoma" w:eastAsiaTheme="minorHAnsi" w:hAnsi="Tahoma" w:cs="Tahoma"/>
                <w:sz w:val="20"/>
                <w:szCs w:val="20"/>
                <w:lang w:eastAsia="en-US"/>
              </w:rPr>
              <w:t xml:space="preserve">Produits de la pêche fumés </w:t>
            </w:r>
            <w:r w:rsidRPr="005E1EA7">
              <w:rPr>
                <w:rFonts w:ascii="Tahoma" w:eastAsiaTheme="minorHAnsi" w:hAnsi="Tahoma" w:cs="Tahoma"/>
                <w:sz w:val="20"/>
                <w:szCs w:val="20"/>
                <w:vertAlign w:val="superscript"/>
                <w:lang w:eastAsia="en-US"/>
              </w:rPr>
              <w:t>(1),</w:t>
            </w:r>
            <w:r w:rsidRPr="005E1EA7">
              <w:rPr>
                <w:rFonts w:ascii="Tahoma" w:eastAsiaTheme="minorHAnsi" w:hAnsi="Tahoma" w:cs="Tahoma"/>
                <w:sz w:val="20"/>
                <w:szCs w:val="20"/>
                <w:lang w:eastAsia="en-US"/>
              </w:rPr>
              <w:t xml:space="preserve"> à l’exclusion des produits énumérés au point 3.2</w:t>
            </w:r>
          </w:p>
        </w:tc>
        <w:tc>
          <w:tcPr>
            <w:tcW w:w="1302" w:type="dxa"/>
            <w:vAlign w:val="center"/>
          </w:tcPr>
          <w:p w14:paraId="778AFCA5" w14:textId="77777777" w:rsidR="003D69A8" w:rsidRPr="005E1EA7" w:rsidRDefault="003D69A8" w:rsidP="006365F0">
            <w:pPr>
              <w:jc w:val="center"/>
              <w:rPr>
                <w:rFonts w:ascii="Tahoma" w:eastAsiaTheme="minorHAnsi" w:hAnsi="Tahoma" w:cs="Tahoma"/>
                <w:sz w:val="20"/>
                <w:szCs w:val="20"/>
                <w:lang w:eastAsia="en-US"/>
              </w:rPr>
            </w:pPr>
            <w:r w:rsidRPr="005E1EA7">
              <w:rPr>
                <w:rFonts w:ascii="Tahoma" w:eastAsiaTheme="minorHAnsi" w:hAnsi="Tahoma" w:cs="Tahoma"/>
                <w:sz w:val="20"/>
                <w:szCs w:val="20"/>
                <w:lang w:eastAsia="en-US"/>
              </w:rPr>
              <w:t>2</w:t>
            </w:r>
          </w:p>
        </w:tc>
        <w:tc>
          <w:tcPr>
            <w:tcW w:w="2669" w:type="dxa"/>
            <w:vAlign w:val="center"/>
          </w:tcPr>
          <w:p w14:paraId="2A0B4ACA" w14:textId="77777777" w:rsidR="003D69A8" w:rsidRPr="005E1EA7" w:rsidRDefault="003D69A8" w:rsidP="006365F0">
            <w:pPr>
              <w:jc w:val="center"/>
              <w:rPr>
                <w:rFonts w:ascii="Tahoma" w:eastAsiaTheme="minorHAnsi" w:hAnsi="Tahoma" w:cs="Tahoma"/>
                <w:sz w:val="20"/>
                <w:szCs w:val="20"/>
                <w:lang w:eastAsia="en-US"/>
              </w:rPr>
            </w:pPr>
            <w:r w:rsidRPr="005E1EA7">
              <w:rPr>
                <w:rFonts w:ascii="Tahoma" w:eastAsiaTheme="minorHAnsi" w:hAnsi="Tahoma" w:cs="Tahoma"/>
                <w:sz w:val="20"/>
                <w:szCs w:val="20"/>
                <w:lang w:eastAsia="en-US"/>
              </w:rPr>
              <w:t>12</w:t>
            </w:r>
          </w:p>
        </w:tc>
      </w:tr>
      <w:tr w:rsidR="003D69A8" w:rsidRPr="005E1EA7" w14:paraId="785E4573" w14:textId="77777777" w:rsidTr="006365F0">
        <w:tc>
          <w:tcPr>
            <w:tcW w:w="576" w:type="dxa"/>
          </w:tcPr>
          <w:p w14:paraId="6F237604" w14:textId="77777777" w:rsidR="003D69A8" w:rsidRPr="005E1EA7" w:rsidRDefault="003D69A8" w:rsidP="006365F0">
            <w:pPr>
              <w:rPr>
                <w:rFonts w:ascii="Tahoma" w:eastAsiaTheme="minorHAnsi" w:hAnsi="Tahoma" w:cs="Tahoma"/>
                <w:sz w:val="20"/>
                <w:szCs w:val="20"/>
                <w:lang w:eastAsia="en-US"/>
              </w:rPr>
            </w:pPr>
            <w:r w:rsidRPr="005E1EA7">
              <w:rPr>
                <w:rFonts w:ascii="Tahoma" w:eastAsiaTheme="minorHAnsi" w:hAnsi="Tahoma" w:cs="Tahoma"/>
                <w:sz w:val="20"/>
                <w:szCs w:val="20"/>
                <w:lang w:eastAsia="en-US"/>
              </w:rPr>
              <w:t>3.2</w:t>
            </w:r>
          </w:p>
        </w:tc>
        <w:tc>
          <w:tcPr>
            <w:tcW w:w="4520" w:type="dxa"/>
          </w:tcPr>
          <w:p w14:paraId="3E7358C9" w14:textId="77777777" w:rsidR="003D69A8" w:rsidRPr="005E1EA7" w:rsidRDefault="003D69A8" w:rsidP="006365F0">
            <w:pPr>
              <w:rPr>
                <w:rFonts w:ascii="Tahoma" w:eastAsiaTheme="minorHAnsi" w:hAnsi="Tahoma" w:cs="Tahoma"/>
                <w:sz w:val="20"/>
                <w:szCs w:val="20"/>
                <w:lang w:eastAsia="en-US"/>
              </w:rPr>
            </w:pPr>
            <w:r w:rsidRPr="005E1EA7">
              <w:rPr>
                <w:rFonts w:ascii="Tahoma" w:eastAsiaTheme="minorHAnsi" w:hAnsi="Tahoma" w:cs="Tahoma"/>
                <w:sz w:val="20"/>
                <w:szCs w:val="20"/>
                <w:lang w:eastAsia="en-US"/>
              </w:rPr>
              <w:t>Sprats fumés et sprats fumés en conserve (Sprattus sprattus) Harengs de la Baltique ≤ 14 cm de long fumés et harengs de la Baltique ≤ 14 cm de long fumés en conserve (</w:t>
            </w:r>
            <w:r w:rsidRPr="005E1EA7">
              <w:rPr>
                <w:rFonts w:ascii="Tahoma" w:eastAsiaTheme="minorHAnsi" w:hAnsi="Tahoma" w:cs="Tahoma"/>
                <w:i/>
                <w:iCs/>
                <w:sz w:val="20"/>
                <w:szCs w:val="20"/>
                <w:lang w:eastAsia="en-US"/>
              </w:rPr>
              <w:t>Clupea harengus membras</w:t>
            </w:r>
            <w:r w:rsidRPr="005E1EA7">
              <w:rPr>
                <w:rFonts w:ascii="Tahoma" w:eastAsiaTheme="minorHAnsi" w:hAnsi="Tahoma" w:cs="Tahoma"/>
                <w:sz w:val="20"/>
                <w:szCs w:val="20"/>
                <w:lang w:eastAsia="en-US"/>
              </w:rPr>
              <w:t xml:space="preserve">) Katsuobushi (bonite séchée, Katsuwonus pelamis) </w:t>
            </w:r>
          </w:p>
          <w:p w14:paraId="6A21EF0F" w14:textId="77777777" w:rsidR="003D69A8" w:rsidRPr="005E1EA7" w:rsidRDefault="003D69A8" w:rsidP="006365F0">
            <w:pPr>
              <w:rPr>
                <w:rFonts w:ascii="Tahoma" w:eastAsiaTheme="minorHAnsi" w:hAnsi="Tahoma" w:cs="Tahoma"/>
                <w:sz w:val="20"/>
                <w:szCs w:val="20"/>
                <w:lang w:eastAsia="en-US"/>
              </w:rPr>
            </w:pPr>
          </w:p>
          <w:p w14:paraId="32DCFCB3" w14:textId="77777777" w:rsidR="003D69A8" w:rsidRPr="005E1EA7" w:rsidRDefault="003D69A8" w:rsidP="006365F0">
            <w:pPr>
              <w:rPr>
                <w:rFonts w:ascii="Tahoma" w:eastAsiaTheme="minorHAnsi" w:hAnsi="Tahoma" w:cs="Tahoma"/>
                <w:sz w:val="20"/>
                <w:szCs w:val="20"/>
                <w:lang w:eastAsia="en-US"/>
              </w:rPr>
            </w:pPr>
            <w:r w:rsidRPr="005E1EA7">
              <w:rPr>
                <w:rFonts w:ascii="Tahoma" w:eastAsiaTheme="minorHAnsi" w:hAnsi="Tahoma" w:cs="Tahoma"/>
                <w:sz w:val="20"/>
                <w:szCs w:val="20"/>
                <w:lang w:eastAsia="en-US"/>
              </w:rPr>
              <w:t xml:space="preserve">Mollusques bivalves </w:t>
            </w:r>
            <w:r w:rsidRPr="005E1EA7">
              <w:rPr>
                <w:rFonts w:ascii="Tahoma" w:eastAsiaTheme="minorHAnsi" w:hAnsi="Tahoma" w:cs="Tahoma"/>
                <w:sz w:val="20"/>
                <w:szCs w:val="20"/>
                <w:vertAlign w:val="superscript"/>
                <w:lang w:eastAsia="en-US"/>
              </w:rPr>
              <w:t xml:space="preserve">(1) </w:t>
            </w:r>
            <w:r w:rsidRPr="005E1EA7">
              <w:rPr>
                <w:rFonts w:ascii="Tahoma" w:eastAsiaTheme="minorHAnsi" w:hAnsi="Tahoma" w:cs="Tahoma"/>
                <w:sz w:val="20"/>
                <w:szCs w:val="20"/>
                <w:lang w:eastAsia="en-US"/>
              </w:rPr>
              <w:t xml:space="preserve">(frais, réfrigérés ou congelés) ; </w:t>
            </w:r>
          </w:p>
        </w:tc>
        <w:tc>
          <w:tcPr>
            <w:tcW w:w="1302" w:type="dxa"/>
            <w:vAlign w:val="center"/>
          </w:tcPr>
          <w:p w14:paraId="62D7283B" w14:textId="77777777" w:rsidR="003D69A8" w:rsidRPr="005E1EA7" w:rsidRDefault="003D69A8" w:rsidP="006365F0">
            <w:pPr>
              <w:jc w:val="center"/>
              <w:rPr>
                <w:rFonts w:ascii="Tahoma" w:eastAsiaTheme="minorHAnsi" w:hAnsi="Tahoma" w:cs="Tahoma"/>
                <w:sz w:val="20"/>
                <w:szCs w:val="20"/>
                <w:lang w:eastAsia="en-US"/>
              </w:rPr>
            </w:pPr>
            <w:r w:rsidRPr="005E1EA7">
              <w:rPr>
                <w:rFonts w:ascii="Tahoma" w:eastAsiaTheme="minorHAnsi" w:hAnsi="Tahoma" w:cs="Tahoma"/>
                <w:sz w:val="20"/>
                <w:szCs w:val="20"/>
                <w:lang w:eastAsia="en-US"/>
              </w:rPr>
              <w:t>5</w:t>
            </w:r>
          </w:p>
        </w:tc>
        <w:tc>
          <w:tcPr>
            <w:tcW w:w="2669" w:type="dxa"/>
            <w:vAlign w:val="center"/>
          </w:tcPr>
          <w:p w14:paraId="732F4B07" w14:textId="77777777" w:rsidR="003D69A8" w:rsidRPr="005E1EA7" w:rsidRDefault="003D69A8" w:rsidP="006365F0">
            <w:pPr>
              <w:jc w:val="center"/>
              <w:rPr>
                <w:rFonts w:ascii="Tahoma" w:eastAsiaTheme="minorHAnsi" w:hAnsi="Tahoma" w:cs="Tahoma"/>
                <w:sz w:val="20"/>
                <w:szCs w:val="20"/>
                <w:lang w:eastAsia="en-US"/>
              </w:rPr>
            </w:pPr>
            <w:r w:rsidRPr="005E1EA7">
              <w:rPr>
                <w:rFonts w:ascii="Tahoma" w:eastAsiaTheme="minorHAnsi" w:hAnsi="Tahoma" w:cs="Tahoma"/>
                <w:sz w:val="20"/>
                <w:szCs w:val="20"/>
                <w:lang w:eastAsia="en-US"/>
              </w:rPr>
              <w:t>30</w:t>
            </w:r>
          </w:p>
        </w:tc>
      </w:tr>
      <w:tr w:rsidR="003D69A8" w:rsidRPr="005E1EA7" w14:paraId="4F798C42" w14:textId="77777777" w:rsidTr="006365F0">
        <w:tc>
          <w:tcPr>
            <w:tcW w:w="576" w:type="dxa"/>
          </w:tcPr>
          <w:p w14:paraId="539B3AFF" w14:textId="77777777" w:rsidR="003D69A8" w:rsidRPr="005E1EA7" w:rsidRDefault="003D69A8" w:rsidP="006365F0">
            <w:pPr>
              <w:rPr>
                <w:rFonts w:ascii="Tahoma" w:eastAsiaTheme="minorHAnsi" w:hAnsi="Tahoma" w:cs="Tahoma"/>
                <w:sz w:val="20"/>
                <w:szCs w:val="20"/>
                <w:lang w:eastAsia="en-US"/>
              </w:rPr>
            </w:pPr>
            <w:r w:rsidRPr="005E1EA7">
              <w:rPr>
                <w:rFonts w:ascii="Tahoma" w:eastAsiaTheme="minorHAnsi" w:hAnsi="Tahoma" w:cs="Tahoma"/>
                <w:sz w:val="20"/>
                <w:szCs w:val="20"/>
                <w:lang w:eastAsia="en-US"/>
              </w:rPr>
              <w:t>3.3</w:t>
            </w:r>
          </w:p>
        </w:tc>
        <w:tc>
          <w:tcPr>
            <w:tcW w:w="4520" w:type="dxa"/>
          </w:tcPr>
          <w:p w14:paraId="053329F9" w14:textId="77777777" w:rsidR="003D69A8" w:rsidRPr="005E1EA7" w:rsidRDefault="003D69A8" w:rsidP="006365F0">
            <w:pPr>
              <w:rPr>
                <w:rFonts w:ascii="Tahoma" w:eastAsiaTheme="minorHAnsi" w:hAnsi="Tahoma" w:cs="Tahoma"/>
                <w:sz w:val="20"/>
                <w:szCs w:val="20"/>
                <w:lang w:eastAsia="en-US"/>
              </w:rPr>
            </w:pPr>
            <w:r w:rsidRPr="005E1EA7">
              <w:rPr>
                <w:rFonts w:ascii="Tahoma" w:eastAsiaTheme="minorHAnsi" w:hAnsi="Tahoma" w:cs="Tahoma"/>
                <w:sz w:val="20"/>
                <w:szCs w:val="20"/>
                <w:lang w:eastAsia="en-US"/>
              </w:rPr>
              <w:t xml:space="preserve">Mollusques bivalves fumés </w:t>
            </w:r>
            <w:r w:rsidRPr="005E1EA7">
              <w:rPr>
                <w:rFonts w:ascii="Tahoma" w:eastAsiaTheme="minorHAnsi" w:hAnsi="Tahoma" w:cs="Tahoma"/>
                <w:sz w:val="20"/>
                <w:szCs w:val="20"/>
                <w:vertAlign w:val="superscript"/>
                <w:lang w:eastAsia="en-US"/>
              </w:rPr>
              <w:t>(1)</w:t>
            </w:r>
          </w:p>
        </w:tc>
        <w:tc>
          <w:tcPr>
            <w:tcW w:w="1302" w:type="dxa"/>
            <w:vAlign w:val="center"/>
          </w:tcPr>
          <w:p w14:paraId="16DDE710" w14:textId="77777777" w:rsidR="003D69A8" w:rsidRPr="005E1EA7" w:rsidRDefault="003D69A8" w:rsidP="006365F0">
            <w:pPr>
              <w:jc w:val="center"/>
              <w:rPr>
                <w:rFonts w:ascii="Tahoma" w:eastAsiaTheme="minorHAnsi" w:hAnsi="Tahoma" w:cs="Tahoma"/>
                <w:sz w:val="20"/>
                <w:szCs w:val="20"/>
                <w:lang w:eastAsia="en-US"/>
              </w:rPr>
            </w:pPr>
            <w:r w:rsidRPr="005E1EA7">
              <w:rPr>
                <w:rFonts w:ascii="Tahoma" w:eastAsiaTheme="minorHAnsi" w:hAnsi="Tahoma" w:cs="Tahoma"/>
                <w:sz w:val="20"/>
                <w:szCs w:val="20"/>
                <w:lang w:eastAsia="en-US"/>
              </w:rPr>
              <w:t>6,0</w:t>
            </w:r>
          </w:p>
        </w:tc>
        <w:tc>
          <w:tcPr>
            <w:tcW w:w="2669" w:type="dxa"/>
            <w:vAlign w:val="center"/>
          </w:tcPr>
          <w:p w14:paraId="59F60DBA" w14:textId="77777777" w:rsidR="003D69A8" w:rsidRPr="005E1EA7" w:rsidRDefault="003D69A8" w:rsidP="006365F0">
            <w:pPr>
              <w:jc w:val="center"/>
              <w:rPr>
                <w:rFonts w:ascii="Tahoma" w:eastAsiaTheme="minorHAnsi" w:hAnsi="Tahoma" w:cs="Tahoma"/>
                <w:sz w:val="20"/>
                <w:szCs w:val="20"/>
                <w:lang w:eastAsia="en-US"/>
              </w:rPr>
            </w:pPr>
            <w:r w:rsidRPr="005E1EA7">
              <w:rPr>
                <w:rFonts w:ascii="Tahoma" w:eastAsiaTheme="minorHAnsi" w:hAnsi="Tahoma" w:cs="Tahoma"/>
                <w:sz w:val="20"/>
                <w:szCs w:val="20"/>
                <w:lang w:eastAsia="en-US"/>
              </w:rPr>
              <w:t>35,0</w:t>
            </w:r>
          </w:p>
        </w:tc>
      </w:tr>
      <w:tr w:rsidR="003D69A8" w:rsidRPr="005E1EA7" w14:paraId="1F0106E2" w14:textId="77777777" w:rsidTr="006365F0">
        <w:tc>
          <w:tcPr>
            <w:tcW w:w="576" w:type="dxa"/>
          </w:tcPr>
          <w:p w14:paraId="0506AB34" w14:textId="77777777" w:rsidR="003D69A8" w:rsidRPr="005E1EA7" w:rsidRDefault="003D69A8" w:rsidP="006365F0">
            <w:pPr>
              <w:rPr>
                <w:rFonts w:ascii="Tahoma" w:eastAsiaTheme="minorHAnsi" w:hAnsi="Tahoma" w:cs="Tahoma"/>
                <w:sz w:val="20"/>
                <w:szCs w:val="20"/>
                <w:lang w:eastAsia="en-US"/>
              </w:rPr>
            </w:pPr>
            <w:r w:rsidRPr="005E1EA7">
              <w:rPr>
                <w:rFonts w:ascii="Tahoma" w:eastAsiaTheme="minorHAnsi" w:hAnsi="Tahoma" w:cs="Tahoma"/>
                <w:sz w:val="20"/>
                <w:szCs w:val="20"/>
                <w:lang w:eastAsia="en-US"/>
              </w:rPr>
              <w:t>3.4</w:t>
            </w:r>
          </w:p>
        </w:tc>
        <w:tc>
          <w:tcPr>
            <w:tcW w:w="4520" w:type="dxa"/>
          </w:tcPr>
          <w:p w14:paraId="6BE29A97" w14:textId="77777777" w:rsidR="003D69A8" w:rsidRPr="005E1EA7" w:rsidRDefault="003D69A8" w:rsidP="006365F0">
            <w:pPr>
              <w:rPr>
                <w:rFonts w:ascii="Tahoma" w:eastAsiaTheme="minorHAnsi" w:hAnsi="Tahoma" w:cs="Tahoma"/>
                <w:sz w:val="20"/>
                <w:szCs w:val="20"/>
                <w:lang w:eastAsia="en-US"/>
              </w:rPr>
            </w:pPr>
            <w:r w:rsidRPr="005E1EA7">
              <w:rPr>
                <w:rFonts w:ascii="Tahoma" w:eastAsiaTheme="minorHAnsi" w:hAnsi="Tahoma" w:cs="Tahoma"/>
                <w:sz w:val="20"/>
                <w:szCs w:val="20"/>
                <w:lang w:eastAsia="en-US"/>
              </w:rPr>
              <w:t>Huile de poissons destinées à la consommation humaine directe ou à une utilisation comme ingrédient de denrées alimentaires</w:t>
            </w:r>
          </w:p>
        </w:tc>
        <w:tc>
          <w:tcPr>
            <w:tcW w:w="1302" w:type="dxa"/>
            <w:vAlign w:val="center"/>
          </w:tcPr>
          <w:p w14:paraId="6F51959A"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2</w:t>
            </w:r>
          </w:p>
        </w:tc>
        <w:tc>
          <w:tcPr>
            <w:tcW w:w="2669" w:type="dxa"/>
            <w:vAlign w:val="center"/>
          </w:tcPr>
          <w:p w14:paraId="27E533CD"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10</w:t>
            </w:r>
          </w:p>
        </w:tc>
      </w:tr>
    </w:tbl>
    <w:p w14:paraId="0571C38D" w14:textId="77777777" w:rsidR="003D69A8" w:rsidRPr="005E1EA7" w:rsidRDefault="003D69A8" w:rsidP="003D69A8">
      <w:pPr>
        <w:rPr>
          <w:rFonts w:ascii="Tahoma" w:hAnsi="Tahoma" w:cs="Tahoma"/>
          <w:sz w:val="20"/>
          <w:szCs w:val="20"/>
        </w:rPr>
      </w:pPr>
      <w:r w:rsidRPr="005E1EA7">
        <w:rPr>
          <w:rFonts w:ascii="Tahoma" w:hAnsi="Tahoma" w:cs="Tahoma"/>
          <w:sz w:val="20"/>
          <w:szCs w:val="20"/>
          <w:vertAlign w:val="superscript"/>
        </w:rPr>
        <w:t>(1)</w:t>
      </w:r>
      <w:r w:rsidRPr="005E1EA7">
        <w:rPr>
          <w:rFonts w:ascii="Tahoma" w:hAnsi="Tahoma" w:cs="Tahoma"/>
          <w:sz w:val="20"/>
          <w:szCs w:val="20"/>
        </w:rPr>
        <w:t> : Produits de la pêche au sens de l’article 2 de l’arrêté conjoint relatif aux contrôles officiels applicables aux produits de la pêche.</w:t>
      </w:r>
    </w:p>
    <w:p w14:paraId="7867BB94" w14:textId="77777777" w:rsidR="003D69A8" w:rsidRPr="005E1EA7" w:rsidRDefault="003D69A8" w:rsidP="003D69A8">
      <w:pPr>
        <w:rPr>
          <w:rFonts w:ascii="Tahoma" w:hAnsi="Tahoma" w:cs="Tahoma"/>
          <w:b/>
          <w:sz w:val="20"/>
          <w:szCs w:val="20"/>
        </w:rPr>
      </w:pPr>
    </w:p>
    <w:p w14:paraId="3E942848" w14:textId="77777777" w:rsidR="003D69A8" w:rsidRPr="005E1EA7" w:rsidRDefault="003D69A8" w:rsidP="003D69A8">
      <w:pPr>
        <w:jc w:val="center"/>
        <w:rPr>
          <w:rFonts w:ascii="Tahoma" w:hAnsi="Tahoma" w:cs="Tahoma"/>
          <w:b/>
          <w:sz w:val="20"/>
          <w:szCs w:val="20"/>
        </w:rPr>
      </w:pPr>
      <w:r w:rsidRPr="005E1EA7">
        <w:rPr>
          <w:rFonts w:ascii="Tahoma" w:hAnsi="Tahoma" w:cs="Tahoma"/>
          <w:b/>
          <w:sz w:val="20"/>
          <w:szCs w:val="20"/>
        </w:rPr>
        <w:t>CHAPITRE III : METHODES DE PRELEVEMENT D'ECHANTILLONS POUR LE CONTROLE OFFICIEL DES TENEURS EN METAUX LOURDS</w:t>
      </w:r>
    </w:p>
    <w:p w14:paraId="54DA343D" w14:textId="77777777" w:rsidR="003D69A8" w:rsidRPr="005E1EA7" w:rsidRDefault="003D69A8" w:rsidP="003D69A8">
      <w:pPr>
        <w:autoSpaceDE w:val="0"/>
        <w:autoSpaceDN w:val="0"/>
        <w:adjustRightInd w:val="0"/>
        <w:jc w:val="both"/>
        <w:rPr>
          <w:rFonts w:ascii="Tahoma" w:hAnsi="Tahoma" w:cs="Tahoma"/>
          <w:sz w:val="20"/>
          <w:szCs w:val="20"/>
        </w:rPr>
      </w:pPr>
    </w:p>
    <w:p w14:paraId="5212D915" w14:textId="77777777" w:rsidR="003D69A8" w:rsidRPr="005E1EA7" w:rsidRDefault="003D69A8" w:rsidP="003D69A8">
      <w:pPr>
        <w:autoSpaceDE w:val="0"/>
        <w:autoSpaceDN w:val="0"/>
        <w:adjustRightInd w:val="0"/>
        <w:jc w:val="both"/>
        <w:rPr>
          <w:rFonts w:ascii="Tahoma" w:hAnsi="Tahoma" w:cs="Tahoma"/>
          <w:b/>
          <w:bCs/>
          <w:sz w:val="20"/>
          <w:szCs w:val="20"/>
        </w:rPr>
      </w:pPr>
      <w:r w:rsidRPr="005E1EA7">
        <w:rPr>
          <w:rFonts w:ascii="Tahoma" w:hAnsi="Tahoma" w:cs="Tahoma"/>
          <w:b/>
          <w:bCs/>
          <w:sz w:val="20"/>
          <w:szCs w:val="20"/>
        </w:rPr>
        <w:t>1. OBJET ET DOMAINE D'APPLICATION</w:t>
      </w:r>
    </w:p>
    <w:p w14:paraId="381EDB10" w14:textId="77777777" w:rsidR="003D69A8" w:rsidRPr="005E1EA7" w:rsidRDefault="003D69A8" w:rsidP="003D69A8">
      <w:pPr>
        <w:autoSpaceDE w:val="0"/>
        <w:autoSpaceDN w:val="0"/>
        <w:adjustRightInd w:val="0"/>
        <w:jc w:val="both"/>
        <w:rPr>
          <w:rFonts w:ascii="Tahoma" w:hAnsi="Tahoma" w:cs="Tahoma"/>
          <w:sz w:val="20"/>
          <w:szCs w:val="20"/>
        </w:rPr>
      </w:pPr>
      <w:r w:rsidRPr="005E1EA7">
        <w:rPr>
          <w:rFonts w:ascii="Tahoma" w:hAnsi="Tahoma" w:cs="Tahoma"/>
          <w:sz w:val="20"/>
          <w:szCs w:val="20"/>
        </w:rPr>
        <w:t xml:space="preserve">Les échantillons destinés au contrôle officiel des teneurs des différents contaminants dans les mollusques bivalves vivants et les produits de la pêche sont à prélever conformément aux méthodes qui seront développées dans les procédures techniques de l’ONISPA. </w:t>
      </w:r>
    </w:p>
    <w:p w14:paraId="12C6C5E3" w14:textId="77777777" w:rsidR="003D69A8" w:rsidRPr="005E1EA7" w:rsidRDefault="003D69A8" w:rsidP="003D69A8">
      <w:pPr>
        <w:autoSpaceDE w:val="0"/>
        <w:autoSpaceDN w:val="0"/>
        <w:adjustRightInd w:val="0"/>
        <w:jc w:val="both"/>
        <w:rPr>
          <w:rFonts w:ascii="Tahoma" w:hAnsi="Tahoma" w:cs="Tahoma"/>
          <w:sz w:val="20"/>
          <w:szCs w:val="20"/>
        </w:rPr>
      </w:pPr>
    </w:p>
    <w:p w14:paraId="6EA25D78" w14:textId="77777777" w:rsidR="003D69A8" w:rsidRPr="005E1EA7" w:rsidRDefault="003D69A8" w:rsidP="003D69A8">
      <w:pPr>
        <w:autoSpaceDE w:val="0"/>
        <w:autoSpaceDN w:val="0"/>
        <w:adjustRightInd w:val="0"/>
        <w:jc w:val="both"/>
        <w:rPr>
          <w:rFonts w:ascii="Tahoma" w:hAnsi="Tahoma" w:cs="Tahoma"/>
          <w:sz w:val="20"/>
          <w:szCs w:val="20"/>
        </w:rPr>
      </w:pPr>
      <w:r w:rsidRPr="005E1EA7">
        <w:rPr>
          <w:rFonts w:ascii="Tahoma" w:hAnsi="Tahoma" w:cs="Tahoma"/>
          <w:sz w:val="20"/>
          <w:szCs w:val="20"/>
        </w:rPr>
        <w:t xml:space="preserve">Les échantillons ainsi obtenus sont considérés comme représentatifs des lots sur lesquels ils sont prélevés. </w:t>
      </w:r>
    </w:p>
    <w:p w14:paraId="65E8B3C9" w14:textId="77777777" w:rsidR="003D69A8" w:rsidRPr="005E1EA7" w:rsidRDefault="003D69A8" w:rsidP="003D69A8">
      <w:pPr>
        <w:autoSpaceDE w:val="0"/>
        <w:autoSpaceDN w:val="0"/>
        <w:adjustRightInd w:val="0"/>
        <w:jc w:val="both"/>
        <w:rPr>
          <w:rFonts w:ascii="Tahoma" w:hAnsi="Tahoma" w:cs="Tahoma"/>
          <w:sz w:val="20"/>
          <w:szCs w:val="20"/>
        </w:rPr>
      </w:pPr>
    </w:p>
    <w:p w14:paraId="2B461524" w14:textId="77777777" w:rsidR="003D69A8" w:rsidRPr="005E1EA7" w:rsidRDefault="003D69A8" w:rsidP="003D69A8">
      <w:pPr>
        <w:autoSpaceDE w:val="0"/>
        <w:autoSpaceDN w:val="0"/>
        <w:adjustRightInd w:val="0"/>
        <w:jc w:val="both"/>
        <w:rPr>
          <w:rFonts w:ascii="Tahoma" w:hAnsi="Tahoma" w:cs="Tahoma"/>
          <w:b/>
          <w:bCs/>
          <w:sz w:val="20"/>
          <w:szCs w:val="20"/>
        </w:rPr>
      </w:pPr>
      <w:r w:rsidRPr="005E1EA7">
        <w:rPr>
          <w:rFonts w:ascii="Tahoma" w:hAnsi="Tahoma" w:cs="Tahoma"/>
          <w:b/>
          <w:bCs/>
          <w:sz w:val="20"/>
          <w:szCs w:val="20"/>
        </w:rPr>
        <w:t>2. DISPOSITIONS GENERALES</w:t>
      </w:r>
    </w:p>
    <w:p w14:paraId="3AA5C7DE" w14:textId="77777777" w:rsidR="003D69A8" w:rsidRPr="005E1EA7" w:rsidRDefault="003D69A8" w:rsidP="003D69A8">
      <w:pPr>
        <w:autoSpaceDE w:val="0"/>
        <w:autoSpaceDN w:val="0"/>
        <w:adjustRightInd w:val="0"/>
        <w:jc w:val="both"/>
        <w:rPr>
          <w:rFonts w:ascii="Tahoma" w:hAnsi="Tahoma" w:cs="Tahoma"/>
          <w:sz w:val="20"/>
          <w:szCs w:val="20"/>
        </w:rPr>
      </w:pPr>
    </w:p>
    <w:p w14:paraId="04F1558F" w14:textId="77777777" w:rsidR="003D69A8" w:rsidRPr="005E1EA7" w:rsidRDefault="003D69A8" w:rsidP="003D69A8">
      <w:pPr>
        <w:autoSpaceDE w:val="0"/>
        <w:autoSpaceDN w:val="0"/>
        <w:adjustRightInd w:val="0"/>
        <w:jc w:val="both"/>
        <w:rPr>
          <w:rFonts w:ascii="Tahoma" w:hAnsi="Tahoma" w:cs="Tahoma"/>
          <w:b/>
          <w:bCs/>
          <w:sz w:val="20"/>
          <w:szCs w:val="20"/>
        </w:rPr>
      </w:pPr>
      <w:r w:rsidRPr="005E1EA7">
        <w:rPr>
          <w:rFonts w:ascii="Tahoma" w:hAnsi="Tahoma" w:cs="Tahoma"/>
          <w:sz w:val="20"/>
          <w:szCs w:val="20"/>
        </w:rPr>
        <w:t xml:space="preserve">2.1. </w:t>
      </w:r>
      <w:r w:rsidRPr="005E1EA7">
        <w:rPr>
          <w:rFonts w:ascii="Tahoma" w:hAnsi="Tahoma" w:cs="Tahoma"/>
          <w:b/>
          <w:bCs/>
          <w:sz w:val="20"/>
          <w:szCs w:val="20"/>
        </w:rPr>
        <w:t>Personnel</w:t>
      </w:r>
    </w:p>
    <w:p w14:paraId="396C147C" w14:textId="77777777" w:rsidR="003D69A8" w:rsidRPr="005E1EA7" w:rsidRDefault="003D69A8" w:rsidP="003D69A8">
      <w:pPr>
        <w:autoSpaceDE w:val="0"/>
        <w:autoSpaceDN w:val="0"/>
        <w:adjustRightInd w:val="0"/>
        <w:jc w:val="both"/>
        <w:rPr>
          <w:rFonts w:ascii="Tahoma" w:hAnsi="Tahoma" w:cs="Tahoma"/>
          <w:b/>
          <w:bCs/>
          <w:sz w:val="20"/>
          <w:szCs w:val="20"/>
        </w:rPr>
      </w:pPr>
    </w:p>
    <w:p w14:paraId="025AA21B" w14:textId="77777777" w:rsidR="003D69A8" w:rsidRPr="005E1EA7" w:rsidRDefault="003D69A8" w:rsidP="003D69A8">
      <w:pPr>
        <w:autoSpaceDE w:val="0"/>
        <w:autoSpaceDN w:val="0"/>
        <w:adjustRightInd w:val="0"/>
        <w:jc w:val="both"/>
        <w:rPr>
          <w:rFonts w:ascii="Tahoma" w:hAnsi="Tahoma" w:cs="Tahoma"/>
          <w:sz w:val="20"/>
          <w:szCs w:val="20"/>
        </w:rPr>
      </w:pPr>
      <w:r w:rsidRPr="005E1EA7">
        <w:rPr>
          <w:rFonts w:ascii="Tahoma" w:hAnsi="Tahoma" w:cs="Tahoma"/>
          <w:sz w:val="20"/>
          <w:szCs w:val="20"/>
        </w:rPr>
        <w:t>Le prélèvement doit être effectué par une personne qualifiée, mandatée à cet effet.</w:t>
      </w:r>
    </w:p>
    <w:p w14:paraId="6A099D1A" w14:textId="77777777" w:rsidR="003D69A8" w:rsidRPr="005E1EA7" w:rsidRDefault="003D69A8" w:rsidP="003D69A8">
      <w:pPr>
        <w:autoSpaceDE w:val="0"/>
        <w:autoSpaceDN w:val="0"/>
        <w:adjustRightInd w:val="0"/>
        <w:jc w:val="both"/>
        <w:rPr>
          <w:rFonts w:ascii="Tahoma" w:hAnsi="Tahoma" w:cs="Tahoma"/>
          <w:sz w:val="20"/>
          <w:szCs w:val="20"/>
        </w:rPr>
      </w:pPr>
    </w:p>
    <w:p w14:paraId="0DDCF09A" w14:textId="77777777" w:rsidR="003D69A8" w:rsidRPr="005E1EA7" w:rsidRDefault="003D69A8" w:rsidP="003D69A8">
      <w:pPr>
        <w:autoSpaceDE w:val="0"/>
        <w:autoSpaceDN w:val="0"/>
        <w:adjustRightInd w:val="0"/>
        <w:jc w:val="both"/>
        <w:rPr>
          <w:rFonts w:ascii="Tahoma" w:hAnsi="Tahoma" w:cs="Tahoma"/>
          <w:b/>
          <w:bCs/>
          <w:sz w:val="20"/>
          <w:szCs w:val="20"/>
        </w:rPr>
      </w:pPr>
      <w:r w:rsidRPr="005E1EA7">
        <w:rPr>
          <w:rFonts w:ascii="Tahoma" w:hAnsi="Tahoma" w:cs="Tahoma"/>
          <w:sz w:val="20"/>
          <w:szCs w:val="20"/>
        </w:rPr>
        <w:t xml:space="preserve">2.2. </w:t>
      </w:r>
      <w:r w:rsidRPr="005E1EA7">
        <w:rPr>
          <w:rFonts w:ascii="Tahoma" w:hAnsi="Tahoma" w:cs="Tahoma"/>
          <w:b/>
          <w:bCs/>
          <w:sz w:val="20"/>
          <w:szCs w:val="20"/>
        </w:rPr>
        <w:t>Produit à échantillonner</w:t>
      </w:r>
    </w:p>
    <w:p w14:paraId="7006FB9D" w14:textId="77777777" w:rsidR="003D69A8" w:rsidRPr="005E1EA7" w:rsidRDefault="003D69A8" w:rsidP="003D69A8">
      <w:pPr>
        <w:autoSpaceDE w:val="0"/>
        <w:autoSpaceDN w:val="0"/>
        <w:adjustRightInd w:val="0"/>
        <w:jc w:val="both"/>
        <w:rPr>
          <w:rFonts w:ascii="Tahoma" w:hAnsi="Tahoma" w:cs="Tahoma"/>
          <w:sz w:val="20"/>
          <w:szCs w:val="20"/>
        </w:rPr>
      </w:pPr>
    </w:p>
    <w:p w14:paraId="56EFB4AA" w14:textId="77777777" w:rsidR="003D69A8" w:rsidRPr="005E1EA7" w:rsidRDefault="003D69A8" w:rsidP="003D69A8">
      <w:pPr>
        <w:autoSpaceDE w:val="0"/>
        <w:autoSpaceDN w:val="0"/>
        <w:adjustRightInd w:val="0"/>
        <w:jc w:val="both"/>
        <w:rPr>
          <w:rFonts w:ascii="Tahoma" w:hAnsi="Tahoma" w:cs="Tahoma"/>
          <w:sz w:val="20"/>
          <w:szCs w:val="20"/>
        </w:rPr>
      </w:pPr>
      <w:r w:rsidRPr="005E1EA7">
        <w:rPr>
          <w:rFonts w:ascii="Tahoma" w:hAnsi="Tahoma" w:cs="Tahoma"/>
          <w:sz w:val="20"/>
          <w:szCs w:val="20"/>
        </w:rPr>
        <w:t>Tout lot à analyser fait l'objet d'un échantillonnage séparé.</w:t>
      </w:r>
    </w:p>
    <w:p w14:paraId="44F2B68C" w14:textId="77777777" w:rsidR="003D69A8" w:rsidRPr="005E1EA7" w:rsidRDefault="003D69A8" w:rsidP="003D69A8">
      <w:pPr>
        <w:autoSpaceDE w:val="0"/>
        <w:autoSpaceDN w:val="0"/>
        <w:adjustRightInd w:val="0"/>
        <w:jc w:val="both"/>
        <w:rPr>
          <w:rFonts w:ascii="Tahoma" w:hAnsi="Tahoma" w:cs="Tahoma"/>
          <w:sz w:val="20"/>
          <w:szCs w:val="20"/>
        </w:rPr>
      </w:pPr>
    </w:p>
    <w:p w14:paraId="2E51FC11" w14:textId="77777777" w:rsidR="003D69A8" w:rsidRPr="005E1EA7" w:rsidRDefault="003D69A8" w:rsidP="003D69A8">
      <w:pPr>
        <w:autoSpaceDE w:val="0"/>
        <w:autoSpaceDN w:val="0"/>
        <w:adjustRightInd w:val="0"/>
        <w:jc w:val="both"/>
        <w:rPr>
          <w:rFonts w:ascii="Tahoma" w:hAnsi="Tahoma" w:cs="Tahoma"/>
          <w:b/>
          <w:bCs/>
          <w:sz w:val="20"/>
          <w:szCs w:val="20"/>
        </w:rPr>
      </w:pPr>
      <w:r w:rsidRPr="005E1EA7">
        <w:rPr>
          <w:rFonts w:ascii="Tahoma" w:hAnsi="Tahoma" w:cs="Tahoma"/>
          <w:sz w:val="20"/>
          <w:szCs w:val="20"/>
        </w:rPr>
        <w:lastRenderedPageBreak/>
        <w:t xml:space="preserve">2.3. </w:t>
      </w:r>
      <w:r w:rsidRPr="005E1EA7">
        <w:rPr>
          <w:rFonts w:ascii="Tahoma" w:hAnsi="Tahoma" w:cs="Tahoma"/>
          <w:b/>
          <w:bCs/>
          <w:sz w:val="20"/>
          <w:szCs w:val="20"/>
        </w:rPr>
        <w:t>Précautions à prendre</w:t>
      </w:r>
    </w:p>
    <w:p w14:paraId="1A3FDE89" w14:textId="77777777" w:rsidR="003D69A8" w:rsidRPr="005E1EA7" w:rsidRDefault="003D69A8" w:rsidP="003D69A8">
      <w:pPr>
        <w:autoSpaceDE w:val="0"/>
        <w:autoSpaceDN w:val="0"/>
        <w:adjustRightInd w:val="0"/>
        <w:jc w:val="both"/>
        <w:rPr>
          <w:rFonts w:ascii="Tahoma" w:hAnsi="Tahoma" w:cs="Tahoma"/>
          <w:sz w:val="20"/>
          <w:szCs w:val="20"/>
        </w:rPr>
      </w:pPr>
    </w:p>
    <w:p w14:paraId="1F48F6C1" w14:textId="77777777" w:rsidR="003D69A8" w:rsidRPr="005E1EA7" w:rsidRDefault="003D69A8" w:rsidP="003D69A8">
      <w:pPr>
        <w:autoSpaceDE w:val="0"/>
        <w:autoSpaceDN w:val="0"/>
        <w:adjustRightInd w:val="0"/>
        <w:jc w:val="both"/>
        <w:rPr>
          <w:rFonts w:ascii="Tahoma" w:hAnsi="Tahoma" w:cs="Tahoma"/>
          <w:sz w:val="20"/>
          <w:szCs w:val="20"/>
        </w:rPr>
      </w:pPr>
      <w:r w:rsidRPr="005E1EA7">
        <w:rPr>
          <w:rFonts w:ascii="Tahoma" w:hAnsi="Tahoma" w:cs="Tahoma"/>
          <w:sz w:val="20"/>
          <w:szCs w:val="20"/>
        </w:rPr>
        <w:t>Au cours de l'échantillonnage et de la préparation des échantillons de laboratoire, des précautions doivent être prises afin d'éviter toute altération pouvant modifier les teneurs en contaminants ou affecter les analyses ou la représentativité des échantillons globaux.</w:t>
      </w:r>
    </w:p>
    <w:p w14:paraId="4D2EFA71" w14:textId="77777777" w:rsidR="003D69A8" w:rsidRPr="005E1EA7" w:rsidRDefault="003D69A8" w:rsidP="003D69A8">
      <w:pPr>
        <w:autoSpaceDE w:val="0"/>
        <w:autoSpaceDN w:val="0"/>
        <w:adjustRightInd w:val="0"/>
        <w:jc w:val="both"/>
        <w:rPr>
          <w:rFonts w:ascii="Tahoma" w:hAnsi="Tahoma" w:cs="Tahoma"/>
          <w:sz w:val="20"/>
          <w:szCs w:val="20"/>
        </w:rPr>
      </w:pPr>
    </w:p>
    <w:p w14:paraId="1E4AA0F6" w14:textId="77777777" w:rsidR="003D69A8" w:rsidRPr="005E1EA7" w:rsidRDefault="003D69A8" w:rsidP="003D69A8">
      <w:pPr>
        <w:autoSpaceDE w:val="0"/>
        <w:autoSpaceDN w:val="0"/>
        <w:adjustRightInd w:val="0"/>
        <w:jc w:val="both"/>
        <w:rPr>
          <w:rFonts w:ascii="Tahoma" w:hAnsi="Tahoma" w:cs="Tahoma"/>
          <w:b/>
          <w:bCs/>
          <w:sz w:val="20"/>
          <w:szCs w:val="20"/>
        </w:rPr>
      </w:pPr>
      <w:r w:rsidRPr="005E1EA7">
        <w:rPr>
          <w:rFonts w:ascii="Tahoma" w:hAnsi="Tahoma" w:cs="Tahoma"/>
          <w:sz w:val="20"/>
          <w:szCs w:val="20"/>
        </w:rPr>
        <w:t xml:space="preserve">2.4. </w:t>
      </w:r>
      <w:r w:rsidRPr="005E1EA7">
        <w:rPr>
          <w:rFonts w:ascii="Tahoma" w:hAnsi="Tahoma" w:cs="Tahoma"/>
          <w:b/>
          <w:bCs/>
          <w:sz w:val="20"/>
          <w:szCs w:val="20"/>
        </w:rPr>
        <w:t>Echantillons élémentaires</w:t>
      </w:r>
    </w:p>
    <w:p w14:paraId="300DC407" w14:textId="77777777" w:rsidR="003D69A8" w:rsidRPr="005E1EA7" w:rsidRDefault="003D69A8" w:rsidP="003D69A8">
      <w:pPr>
        <w:autoSpaceDE w:val="0"/>
        <w:autoSpaceDN w:val="0"/>
        <w:adjustRightInd w:val="0"/>
        <w:jc w:val="both"/>
        <w:rPr>
          <w:rFonts w:ascii="Tahoma" w:hAnsi="Tahoma" w:cs="Tahoma"/>
          <w:sz w:val="20"/>
          <w:szCs w:val="20"/>
        </w:rPr>
      </w:pPr>
    </w:p>
    <w:p w14:paraId="1B25FF09" w14:textId="77777777" w:rsidR="003D69A8" w:rsidRPr="005E1EA7" w:rsidRDefault="003D69A8" w:rsidP="003D69A8">
      <w:pPr>
        <w:autoSpaceDE w:val="0"/>
        <w:autoSpaceDN w:val="0"/>
        <w:adjustRightInd w:val="0"/>
        <w:jc w:val="both"/>
        <w:rPr>
          <w:rFonts w:ascii="Tahoma" w:hAnsi="Tahoma" w:cs="Tahoma"/>
          <w:sz w:val="20"/>
          <w:szCs w:val="20"/>
        </w:rPr>
      </w:pPr>
      <w:r w:rsidRPr="005E1EA7">
        <w:rPr>
          <w:rFonts w:ascii="Tahoma" w:hAnsi="Tahoma" w:cs="Tahoma"/>
          <w:sz w:val="20"/>
          <w:szCs w:val="20"/>
        </w:rPr>
        <w:t xml:space="preserve">Dans la mesure du possible, les échantillons élémentaires sont prélevés en divers points du lot ou sous-lot. </w:t>
      </w:r>
    </w:p>
    <w:p w14:paraId="1BB5C27B" w14:textId="77777777" w:rsidR="003D69A8" w:rsidRPr="005E1EA7" w:rsidRDefault="003D69A8" w:rsidP="003D69A8">
      <w:pPr>
        <w:autoSpaceDE w:val="0"/>
        <w:autoSpaceDN w:val="0"/>
        <w:adjustRightInd w:val="0"/>
        <w:jc w:val="both"/>
        <w:rPr>
          <w:rFonts w:ascii="Tahoma" w:hAnsi="Tahoma" w:cs="Tahoma"/>
          <w:sz w:val="20"/>
          <w:szCs w:val="20"/>
        </w:rPr>
      </w:pPr>
    </w:p>
    <w:p w14:paraId="26F2A3BB" w14:textId="77777777" w:rsidR="003D69A8" w:rsidRPr="005E1EA7" w:rsidRDefault="003D69A8" w:rsidP="003D69A8">
      <w:pPr>
        <w:autoSpaceDE w:val="0"/>
        <w:autoSpaceDN w:val="0"/>
        <w:adjustRightInd w:val="0"/>
        <w:jc w:val="both"/>
        <w:rPr>
          <w:rFonts w:ascii="Tahoma" w:hAnsi="Tahoma" w:cs="Tahoma"/>
          <w:b/>
          <w:bCs/>
          <w:sz w:val="20"/>
          <w:szCs w:val="20"/>
        </w:rPr>
      </w:pPr>
      <w:r w:rsidRPr="005E1EA7">
        <w:rPr>
          <w:rFonts w:ascii="Tahoma" w:hAnsi="Tahoma" w:cs="Tahoma"/>
          <w:sz w:val="20"/>
          <w:szCs w:val="20"/>
        </w:rPr>
        <w:t xml:space="preserve">2.5. </w:t>
      </w:r>
      <w:r w:rsidRPr="005E1EA7">
        <w:rPr>
          <w:rFonts w:ascii="Tahoma" w:hAnsi="Tahoma" w:cs="Tahoma"/>
          <w:b/>
          <w:bCs/>
          <w:sz w:val="20"/>
          <w:szCs w:val="20"/>
        </w:rPr>
        <w:t>Echantillon global</w:t>
      </w:r>
    </w:p>
    <w:p w14:paraId="457FF581" w14:textId="77777777" w:rsidR="003D69A8" w:rsidRPr="005E1EA7" w:rsidRDefault="003D69A8" w:rsidP="003D69A8">
      <w:pPr>
        <w:autoSpaceDE w:val="0"/>
        <w:autoSpaceDN w:val="0"/>
        <w:adjustRightInd w:val="0"/>
        <w:jc w:val="both"/>
        <w:rPr>
          <w:rFonts w:ascii="Tahoma" w:hAnsi="Tahoma" w:cs="Tahoma"/>
          <w:sz w:val="20"/>
          <w:szCs w:val="20"/>
        </w:rPr>
      </w:pPr>
    </w:p>
    <w:p w14:paraId="58FA3505" w14:textId="77777777" w:rsidR="003D69A8" w:rsidRPr="005E1EA7" w:rsidRDefault="003D69A8" w:rsidP="003D69A8">
      <w:pPr>
        <w:autoSpaceDE w:val="0"/>
        <w:autoSpaceDN w:val="0"/>
        <w:adjustRightInd w:val="0"/>
        <w:jc w:val="both"/>
        <w:rPr>
          <w:rFonts w:ascii="Tahoma" w:hAnsi="Tahoma" w:cs="Tahoma"/>
          <w:sz w:val="20"/>
          <w:szCs w:val="20"/>
        </w:rPr>
      </w:pPr>
      <w:r w:rsidRPr="005E1EA7">
        <w:rPr>
          <w:rFonts w:ascii="Tahoma" w:hAnsi="Tahoma" w:cs="Tahoma"/>
          <w:sz w:val="20"/>
          <w:szCs w:val="20"/>
        </w:rPr>
        <w:t>L’échantillon global est obtenu en assemblant tous les échantillons élémentaires. Il doit peser au moins 1 kg, à moins que ce ne soit pas possible.</w:t>
      </w:r>
    </w:p>
    <w:p w14:paraId="11D0F4E2" w14:textId="77777777" w:rsidR="003D69A8" w:rsidRPr="005E1EA7" w:rsidRDefault="003D69A8" w:rsidP="003D69A8">
      <w:pPr>
        <w:autoSpaceDE w:val="0"/>
        <w:autoSpaceDN w:val="0"/>
        <w:adjustRightInd w:val="0"/>
        <w:jc w:val="both"/>
        <w:rPr>
          <w:rFonts w:ascii="Tahoma" w:hAnsi="Tahoma" w:cs="Tahoma"/>
          <w:sz w:val="20"/>
          <w:szCs w:val="20"/>
        </w:rPr>
      </w:pPr>
    </w:p>
    <w:p w14:paraId="184F4371" w14:textId="77777777" w:rsidR="003D69A8" w:rsidRPr="005E1EA7" w:rsidRDefault="003D69A8" w:rsidP="003D69A8">
      <w:pPr>
        <w:autoSpaceDE w:val="0"/>
        <w:autoSpaceDN w:val="0"/>
        <w:adjustRightInd w:val="0"/>
        <w:jc w:val="both"/>
        <w:rPr>
          <w:rFonts w:ascii="Tahoma" w:hAnsi="Tahoma" w:cs="Tahoma"/>
          <w:b/>
          <w:bCs/>
          <w:sz w:val="20"/>
          <w:szCs w:val="20"/>
        </w:rPr>
      </w:pPr>
      <w:r w:rsidRPr="005E1EA7">
        <w:rPr>
          <w:rFonts w:ascii="Tahoma" w:hAnsi="Tahoma" w:cs="Tahoma"/>
          <w:sz w:val="20"/>
          <w:szCs w:val="20"/>
        </w:rPr>
        <w:t xml:space="preserve">2.6. </w:t>
      </w:r>
      <w:r w:rsidRPr="005E1EA7">
        <w:rPr>
          <w:rFonts w:ascii="Tahoma" w:hAnsi="Tahoma" w:cs="Tahoma"/>
          <w:b/>
          <w:bCs/>
          <w:sz w:val="20"/>
          <w:szCs w:val="20"/>
        </w:rPr>
        <w:t>Subdivision de l'échantillon global en échantillon de laboratoire à des fins de contrôle, de recours et d'arbitrage</w:t>
      </w:r>
    </w:p>
    <w:p w14:paraId="33DB0883" w14:textId="77777777" w:rsidR="003D69A8" w:rsidRPr="005E1EA7" w:rsidRDefault="003D69A8" w:rsidP="003D69A8">
      <w:pPr>
        <w:autoSpaceDE w:val="0"/>
        <w:autoSpaceDN w:val="0"/>
        <w:adjustRightInd w:val="0"/>
        <w:jc w:val="both"/>
        <w:rPr>
          <w:rFonts w:ascii="Tahoma" w:hAnsi="Tahoma" w:cs="Tahoma"/>
          <w:sz w:val="20"/>
          <w:szCs w:val="20"/>
        </w:rPr>
      </w:pPr>
    </w:p>
    <w:p w14:paraId="74E267D9" w14:textId="77777777" w:rsidR="003D69A8" w:rsidRPr="005E1EA7" w:rsidRDefault="003D69A8" w:rsidP="003D69A8">
      <w:pPr>
        <w:autoSpaceDE w:val="0"/>
        <w:autoSpaceDN w:val="0"/>
        <w:adjustRightInd w:val="0"/>
        <w:jc w:val="both"/>
        <w:rPr>
          <w:rFonts w:ascii="Tahoma" w:hAnsi="Tahoma" w:cs="Tahoma"/>
          <w:sz w:val="20"/>
          <w:szCs w:val="20"/>
        </w:rPr>
      </w:pPr>
      <w:r w:rsidRPr="005E1EA7">
        <w:rPr>
          <w:rFonts w:ascii="Tahoma" w:hAnsi="Tahoma" w:cs="Tahoma"/>
          <w:sz w:val="20"/>
          <w:szCs w:val="20"/>
        </w:rPr>
        <w:t>Les échantillons de laboratoire destinés à des fins de contrôle, de recours et d'arbitrage sont prélevés sur l’échantillon global homogénéisé et la taille des échantillons doit être suffisante pour permettre au moins une double analyse.</w:t>
      </w:r>
    </w:p>
    <w:p w14:paraId="2CB6DD01" w14:textId="77777777" w:rsidR="003D69A8" w:rsidRPr="005E1EA7" w:rsidRDefault="003D69A8" w:rsidP="003D69A8">
      <w:pPr>
        <w:autoSpaceDE w:val="0"/>
        <w:autoSpaceDN w:val="0"/>
        <w:adjustRightInd w:val="0"/>
        <w:jc w:val="both"/>
        <w:rPr>
          <w:rFonts w:ascii="Tahoma" w:hAnsi="Tahoma" w:cs="Tahoma"/>
          <w:sz w:val="20"/>
          <w:szCs w:val="20"/>
        </w:rPr>
      </w:pPr>
    </w:p>
    <w:p w14:paraId="7E493BDD" w14:textId="77777777" w:rsidR="003D69A8" w:rsidRPr="005E1EA7" w:rsidRDefault="003D69A8" w:rsidP="003D69A8">
      <w:pPr>
        <w:autoSpaceDE w:val="0"/>
        <w:autoSpaceDN w:val="0"/>
        <w:adjustRightInd w:val="0"/>
        <w:jc w:val="both"/>
        <w:rPr>
          <w:rFonts w:ascii="Tahoma" w:hAnsi="Tahoma" w:cs="Tahoma"/>
          <w:b/>
          <w:bCs/>
          <w:sz w:val="20"/>
          <w:szCs w:val="20"/>
        </w:rPr>
      </w:pPr>
      <w:r w:rsidRPr="005E1EA7">
        <w:rPr>
          <w:rFonts w:ascii="Tahoma" w:hAnsi="Tahoma" w:cs="Tahoma"/>
          <w:sz w:val="20"/>
          <w:szCs w:val="20"/>
        </w:rPr>
        <w:t xml:space="preserve">2.7. </w:t>
      </w:r>
      <w:r w:rsidRPr="005E1EA7">
        <w:rPr>
          <w:rFonts w:ascii="Tahoma" w:hAnsi="Tahoma" w:cs="Tahoma"/>
          <w:b/>
          <w:bCs/>
          <w:sz w:val="20"/>
          <w:szCs w:val="20"/>
        </w:rPr>
        <w:t>Conditionnement et envoi des échantillons globaux et de laboratoire</w:t>
      </w:r>
    </w:p>
    <w:p w14:paraId="5A8A7895" w14:textId="77777777" w:rsidR="003D69A8" w:rsidRPr="005E1EA7" w:rsidRDefault="003D69A8" w:rsidP="003D69A8">
      <w:pPr>
        <w:autoSpaceDE w:val="0"/>
        <w:autoSpaceDN w:val="0"/>
        <w:adjustRightInd w:val="0"/>
        <w:jc w:val="both"/>
        <w:rPr>
          <w:rFonts w:ascii="Tahoma" w:hAnsi="Tahoma" w:cs="Tahoma"/>
          <w:sz w:val="20"/>
          <w:szCs w:val="20"/>
        </w:rPr>
      </w:pPr>
    </w:p>
    <w:p w14:paraId="0D40CA2B" w14:textId="77777777" w:rsidR="003D69A8" w:rsidRPr="005E1EA7" w:rsidRDefault="003D69A8" w:rsidP="003D69A8">
      <w:pPr>
        <w:autoSpaceDE w:val="0"/>
        <w:autoSpaceDN w:val="0"/>
        <w:adjustRightInd w:val="0"/>
        <w:jc w:val="both"/>
        <w:rPr>
          <w:rFonts w:ascii="Tahoma" w:hAnsi="Tahoma" w:cs="Tahoma"/>
          <w:sz w:val="20"/>
          <w:szCs w:val="20"/>
        </w:rPr>
      </w:pPr>
      <w:r w:rsidRPr="005E1EA7">
        <w:rPr>
          <w:rFonts w:ascii="Tahoma" w:hAnsi="Tahoma" w:cs="Tahoma"/>
          <w:sz w:val="20"/>
          <w:szCs w:val="20"/>
        </w:rPr>
        <w:t>Chaque échantillon global ou de laboratoire est placé dans un récipient propre, en matériau inerte, le protégeant convenablement contre tout facteur de contamination, toute perte de substance à analyser par adsorption sur la paroi interne du récipient et tout dommage pouvant résulter du transport. Toutes les précautions nécessaires doivent être prises pour éviter que la composition des échantillons ne se modifie au cours du transport ou du stockage.</w:t>
      </w:r>
    </w:p>
    <w:p w14:paraId="09988587" w14:textId="77777777" w:rsidR="003D69A8" w:rsidRPr="005E1EA7" w:rsidRDefault="003D69A8" w:rsidP="003D69A8">
      <w:pPr>
        <w:autoSpaceDE w:val="0"/>
        <w:autoSpaceDN w:val="0"/>
        <w:adjustRightInd w:val="0"/>
        <w:jc w:val="both"/>
        <w:rPr>
          <w:rFonts w:ascii="Tahoma" w:hAnsi="Tahoma" w:cs="Tahoma"/>
          <w:sz w:val="20"/>
          <w:szCs w:val="20"/>
        </w:rPr>
      </w:pPr>
    </w:p>
    <w:p w14:paraId="3B473E78" w14:textId="77777777" w:rsidR="003D69A8" w:rsidRPr="005E1EA7" w:rsidRDefault="003D69A8" w:rsidP="003D69A8">
      <w:pPr>
        <w:autoSpaceDE w:val="0"/>
        <w:autoSpaceDN w:val="0"/>
        <w:adjustRightInd w:val="0"/>
        <w:jc w:val="both"/>
        <w:rPr>
          <w:rFonts w:ascii="Tahoma" w:hAnsi="Tahoma" w:cs="Tahoma"/>
          <w:b/>
          <w:bCs/>
          <w:sz w:val="20"/>
          <w:szCs w:val="20"/>
        </w:rPr>
      </w:pPr>
      <w:r w:rsidRPr="005E1EA7">
        <w:rPr>
          <w:rFonts w:ascii="Tahoma" w:hAnsi="Tahoma" w:cs="Tahoma"/>
          <w:sz w:val="20"/>
          <w:szCs w:val="20"/>
        </w:rPr>
        <w:t xml:space="preserve">2.8. </w:t>
      </w:r>
      <w:r w:rsidRPr="005E1EA7">
        <w:rPr>
          <w:rFonts w:ascii="Tahoma" w:hAnsi="Tahoma" w:cs="Tahoma"/>
          <w:b/>
          <w:bCs/>
          <w:sz w:val="20"/>
          <w:szCs w:val="20"/>
        </w:rPr>
        <w:t>Fermeture et étiquetage des échantillons de laboratoire</w:t>
      </w:r>
    </w:p>
    <w:p w14:paraId="373464CD" w14:textId="77777777" w:rsidR="003D69A8" w:rsidRPr="005E1EA7" w:rsidRDefault="003D69A8" w:rsidP="003D69A8">
      <w:pPr>
        <w:autoSpaceDE w:val="0"/>
        <w:autoSpaceDN w:val="0"/>
        <w:adjustRightInd w:val="0"/>
        <w:jc w:val="both"/>
        <w:rPr>
          <w:rFonts w:ascii="Tahoma" w:hAnsi="Tahoma" w:cs="Tahoma"/>
          <w:sz w:val="20"/>
          <w:szCs w:val="20"/>
        </w:rPr>
      </w:pPr>
    </w:p>
    <w:p w14:paraId="700BD2D4" w14:textId="77777777" w:rsidR="003D69A8" w:rsidRPr="005E1EA7" w:rsidRDefault="003D69A8" w:rsidP="003D69A8">
      <w:pPr>
        <w:autoSpaceDE w:val="0"/>
        <w:autoSpaceDN w:val="0"/>
        <w:adjustRightInd w:val="0"/>
        <w:jc w:val="both"/>
        <w:rPr>
          <w:rFonts w:ascii="Tahoma" w:hAnsi="Tahoma" w:cs="Tahoma"/>
          <w:sz w:val="20"/>
          <w:szCs w:val="20"/>
        </w:rPr>
      </w:pPr>
      <w:r w:rsidRPr="005E1EA7">
        <w:rPr>
          <w:rFonts w:ascii="Tahoma" w:hAnsi="Tahoma" w:cs="Tahoma"/>
          <w:sz w:val="20"/>
          <w:szCs w:val="20"/>
        </w:rPr>
        <w:t>Chaque échantillon officiel est scellé sur le lieu de prélèvement et identifié sans ambiguïté par une étiquette indiquant la date et le lieu d'échantillonnage ainsi que toute information supplémentaire pouvant être utile à l'analyste.</w:t>
      </w:r>
    </w:p>
    <w:p w14:paraId="10A3FE5D" w14:textId="77777777" w:rsidR="003D69A8" w:rsidRPr="005E1EA7" w:rsidRDefault="003D69A8" w:rsidP="003D69A8">
      <w:pPr>
        <w:autoSpaceDE w:val="0"/>
        <w:autoSpaceDN w:val="0"/>
        <w:adjustRightInd w:val="0"/>
        <w:jc w:val="both"/>
        <w:rPr>
          <w:rFonts w:ascii="Tahoma" w:hAnsi="Tahoma" w:cs="Tahoma"/>
          <w:sz w:val="20"/>
          <w:szCs w:val="20"/>
        </w:rPr>
      </w:pPr>
    </w:p>
    <w:p w14:paraId="7E61E61C" w14:textId="77777777" w:rsidR="003D69A8" w:rsidRPr="005E1EA7" w:rsidRDefault="003D69A8" w:rsidP="003D69A8">
      <w:pPr>
        <w:autoSpaceDE w:val="0"/>
        <w:autoSpaceDN w:val="0"/>
        <w:adjustRightInd w:val="0"/>
        <w:jc w:val="both"/>
        <w:rPr>
          <w:rFonts w:ascii="Tahoma" w:hAnsi="Tahoma" w:cs="Tahoma"/>
          <w:b/>
          <w:bCs/>
          <w:sz w:val="20"/>
          <w:szCs w:val="20"/>
        </w:rPr>
      </w:pPr>
      <w:r w:rsidRPr="005E1EA7">
        <w:rPr>
          <w:rFonts w:ascii="Tahoma" w:hAnsi="Tahoma" w:cs="Tahoma"/>
          <w:b/>
          <w:bCs/>
          <w:sz w:val="20"/>
          <w:szCs w:val="20"/>
        </w:rPr>
        <w:t>3. ECHANTILLONNAGE</w:t>
      </w:r>
    </w:p>
    <w:p w14:paraId="0CC5C672" w14:textId="77777777" w:rsidR="003D69A8" w:rsidRPr="005E1EA7" w:rsidRDefault="003D69A8" w:rsidP="003D69A8">
      <w:pPr>
        <w:autoSpaceDE w:val="0"/>
        <w:autoSpaceDN w:val="0"/>
        <w:adjustRightInd w:val="0"/>
        <w:jc w:val="both"/>
        <w:rPr>
          <w:rFonts w:ascii="Tahoma" w:hAnsi="Tahoma" w:cs="Tahoma"/>
          <w:sz w:val="20"/>
          <w:szCs w:val="20"/>
        </w:rPr>
      </w:pPr>
    </w:p>
    <w:p w14:paraId="1A5ACA13" w14:textId="77777777" w:rsidR="003D69A8" w:rsidRPr="005E1EA7" w:rsidRDefault="003D69A8" w:rsidP="003D69A8">
      <w:pPr>
        <w:autoSpaceDE w:val="0"/>
        <w:autoSpaceDN w:val="0"/>
        <w:adjustRightInd w:val="0"/>
        <w:jc w:val="both"/>
        <w:rPr>
          <w:rFonts w:ascii="Tahoma" w:hAnsi="Tahoma" w:cs="Tahoma"/>
          <w:sz w:val="20"/>
          <w:szCs w:val="20"/>
        </w:rPr>
      </w:pPr>
      <w:r w:rsidRPr="005E1EA7">
        <w:rPr>
          <w:rFonts w:ascii="Tahoma" w:hAnsi="Tahoma" w:cs="Tahoma"/>
          <w:sz w:val="20"/>
          <w:szCs w:val="20"/>
        </w:rPr>
        <w:t>Idéalement, le prélèvement est effectué sur les points de prélèvement fixés dans les zones de production de coquillages ou au moment où le produit à analyser entre dans la chaîne alimentaire et où un lot distinct devient identifiable. La méthode de prélèvement appliquée doit assurer que l'échantillon global est représentatif du lot à contrôler.</w:t>
      </w:r>
    </w:p>
    <w:p w14:paraId="2806F965" w14:textId="77777777" w:rsidR="003D69A8" w:rsidRPr="005E1EA7" w:rsidRDefault="003D69A8" w:rsidP="003D69A8">
      <w:pPr>
        <w:autoSpaceDE w:val="0"/>
        <w:autoSpaceDN w:val="0"/>
        <w:adjustRightInd w:val="0"/>
        <w:jc w:val="both"/>
        <w:rPr>
          <w:rFonts w:ascii="Tahoma" w:hAnsi="Tahoma" w:cs="Tahoma"/>
          <w:sz w:val="20"/>
          <w:szCs w:val="20"/>
        </w:rPr>
      </w:pPr>
    </w:p>
    <w:p w14:paraId="2E9A5DE7" w14:textId="77777777" w:rsidR="003D69A8" w:rsidRPr="005E1EA7" w:rsidRDefault="003D69A8" w:rsidP="003D69A8">
      <w:pPr>
        <w:autoSpaceDE w:val="0"/>
        <w:autoSpaceDN w:val="0"/>
        <w:adjustRightInd w:val="0"/>
        <w:jc w:val="both"/>
        <w:rPr>
          <w:rFonts w:ascii="Tahoma" w:hAnsi="Tahoma" w:cs="Tahoma"/>
          <w:sz w:val="20"/>
          <w:szCs w:val="20"/>
        </w:rPr>
      </w:pPr>
      <w:r w:rsidRPr="005E1EA7">
        <w:rPr>
          <w:rFonts w:ascii="Tahoma" w:hAnsi="Tahoma" w:cs="Tahoma"/>
          <w:sz w:val="20"/>
          <w:szCs w:val="20"/>
        </w:rPr>
        <w:t xml:space="preserve">3.1. </w:t>
      </w:r>
      <w:r w:rsidRPr="005E1EA7">
        <w:rPr>
          <w:rFonts w:ascii="Tahoma" w:hAnsi="Tahoma" w:cs="Tahoma"/>
          <w:b/>
          <w:bCs/>
          <w:sz w:val="20"/>
          <w:szCs w:val="20"/>
        </w:rPr>
        <w:t>Nombre d'échantillons élémentaires</w:t>
      </w:r>
    </w:p>
    <w:p w14:paraId="731121F5" w14:textId="77777777" w:rsidR="003D69A8" w:rsidRPr="005E1EA7" w:rsidRDefault="003D69A8" w:rsidP="003D69A8">
      <w:pPr>
        <w:autoSpaceDE w:val="0"/>
        <w:autoSpaceDN w:val="0"/>
        <w:adjustRightInd w:val="0"/>
        <w:jc w:val="both"/>
        <w:rPr>
          <w:rFonts w:ascii="Tahoma" w:hAnsi="Tahoma" w:cs="Tahoma"/>
          <w:sz w:val="20"/>
          <w:szCs w:val="20"/>
        </w:rPr>
      </w:pPr>
    </w:p>
    <w:p w14:paraId="7350B94C" w14:textId="77777777" w:rsidR="003D69A8" w:rsidRPr="005E1EA7" w:rsidRDefault="003D69A8" w:rsidP="003D69A8">
      <w:pPr>
        <w:jc w:val="both"/>
        <w:rPr>
          <w:rFonts w:ascii="Tahoma" w:hAnsi="Tahoma" w:cs="Tahoma"/>
          <w:sz w:val="20"/>
          <w:szCs w:val="20"/>
        </w:rPr>
      </w:pPr>
      <w:r w:rsidRPr="005E1EA7">
        <w:rPr>
          <w:rFonts w:ascii="Tahoma" w:hAnsi="Tahoma" w:cs="Tahoma"/>
          <w:sz w:val="20"/>
          <w:szCs w:val="20"/>
        </w:rPr>
        <w:t>Dans le cas de produits liquides, à base de produits de la mer, pour lesquels on peut supposer une distribution homogène du contaminant en question à l'intérieur d'un lot donné, il est suffisant de prélever un échantillon élémentaire par lot (indiquer le numéro du lot), qui constitue l'échantillon global.</w:t>
      </w:r>
    </w:p>
    <w:p w14:paraId="7AE19E34" w14:textId="77777777" w:rsidR="003D69A8" w:rsidRPr="005E1EA7" w:rsidRDefault="003D69A8" w:rsidP="003D69A8">
      <w:pPr>
        <w:jc w:val="both"/>
        <w:rPr>
          <w:rFonts w:ascii="Tahoma" w:hAnsi="Tahoma" w:cs="Tahoma"/>
          <w:sz w:val="20"/>
          <w:szCs w:val="20"/>
        </w:rPr>
      </w:pPr>
    </w:p>
    <w:p w14:paraId="3C7F2C00" w14:textId="77777777" w:rsidR="003D69A8" w:rsidRPr="005E1EA7" w:rsidRDefault="003D69A8" w:rsidP="003D69A8">
      <w:pPr>
        <w:jc w:val="both"/>
        <w:rPr>
          <w:rFonts w:ascii="Tahoma" w:hAnsi="Tahoma" w:cs="Tahoma"/>
          <w:sz w:val="20"/>
          <w:szCs w:val="20"/>
        </w:rPr>
      </w:pPr>
      <w:r w:rsidRPr="005E1EA7">
        <w:rPr>
          <w:rFonts w:ascii="Tahoma" w:hAnsi="Tahoma" w:cs="Tahoma"/>
          <w:sz w:val="20"/>
          <w:szCs w:val="20"/>
        </w:rPr>
        <w:t xml:space="preserve">Pour les autres produits, le nombre minimal d'échantillons élémentaires à prélever du lot est indiqué dans le tableau 1. Les échantillons élémentaires doivent avoir un poids semblable. Toute dérogation à cette règle est à signaler sur l’étiquette prévue au point 3.8. Si le lot se présente en emballages distincts, le nombre d'emballages (échantillons élémentaires) à prélever pour former l'échantillon global est indiqué dans le tableau 2. </w:t>
      </w:r>
    </w:p>
    <w:p w14:paraId="75C7C042" w14:textId="77777777" w:rsidR="003D69A8" w:rsidRPr="005E1EA7" w:rsidRDefault="003D69A8" w:rsidP="003D69A8">
      <w:pPr>
        <w:jc w:val="both"/>
        <w:rPr>
          <w:rFonts w:ascii="Tahoma" w:hAnsi="Tahoma" w:cs="Tahoma"/>
          <w:sz w:val="20"/>
          <w:szCs w:val="20"/>
        </w:rPr>
      </w:pPr>
    </w:p>
    <w:p w14:paraId="0B279007" w14:textId="77777777" w:rsidR="003D69A8" w:rsidRPr="005E1EA7" w:rsidRDefault="003D69A8" w:rsidP="003D69A8">
      <w:pPr>
        <w:rPr>
          <w:rFonts w:ascii="Tahoma" w:hAnsi="Tahoma" w:cs="Tahoma"/>
          <w:sz w:val="20"/>
          <w:szCs w:val="20"/>
        </w:rPr>
      </w:pPr>
      <w:r w:rsidRPr="005E1EA7">
        <w:rPr>
          <w:rFonts w:ascii="Tahoma" w:hAnsi="Tahoma" w:cs="Tahoma"/>
          <w:b/>
          <w:bCs/>
          <w:sz w:val="20"/>
          <w:szCs w:val="20"/>
        </w:rPr>
        <w:t>Tableau 1 :</w:t>
      </w:r>
      <w:r w:rsidRPr="005E1EA7">
        <w:rPr>
          <w:rFonts w:ascii="Tahoma" w:hAnsi="Tahoma" w:cs="Tahoma"/>
          <w:sz w:val="20"/>
          <w:szCs w:val="20"/>
        </w:rPr>
        <w:t xml:space="preserve"> Nombre minimal d'échantillons élémentaires à prélever sur le lot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7"/>
        <w:gridCol w:w="5706"/>
      </w:tblGrid>
      <w:tr w:rsidR="003D69A8" w:rsidRPr="005E1EA7" w14:paraId="08F119F5" w14:textId="77777777" w:rsidTr="006365F0">
        <w:trPr>
          <w:cantSplit/>
          <w:trHeight w:val="539"/>
        </w:trPr>
        <w:tc>
          <w:tcPr>
            <w:tcW w:w="3787" w:type="dxa"/>
          </w:tcPr>
          <w:p w14:paraId="07CD0D2D"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lastRenderedPageBreak/>
              <w:t>Poids du lot (en kg)</w:t>
            </w:r>
          </w:p>
        </w:tc>
        <w:tc>
          <w:tcPr>
            <w:tcW w:w="5706" w:type="dxa"/>
          </w:tcPr>
          <w:p w14:paraId="607F2667"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Nombre minimal d'échantillons élémentaires à prélever</w:t>
            </w:r>
          </w:p>
        </w:tc>
      </w:tr>
      <w:tr w:rsidR="003D69A8" w:rsidRPr="005E1EA7" w14:paraId="172F8731" w14:textId="77777777" w:rsidTr="006365F0">
        <w:trPr>
          <w:trHeight w:val="325"/>
        </w:trPr>
        <w:tc>
          <w:tcPr>
            <w:tcW w:w="3787" w:type="dxa"/>
            <w:vAlign w:val="center"/>
          </w:tcPr>
          <w:p w14:paraId="247D8BFF"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&lt;50</w:t>
            </w:r>
          </w:p>
        </w:tc>
        <w:tc>
          <w:tcPr>
            <w:tcW w:w="5706" w:type="dxa"/>
            <w:vAlign w:val="center"/>
          </w:tcPr>
          <w:p w14:paraId="7F706DC1"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3</w:t>
            </w:r>
          </w:p>
        </w:tc>
      </w:tr>
      <w:tr w:rsidR="003D69A8" w:rsidRPr="005E1EA7" w14:paraId="6A78F340" w14:textId="77777777" w:rsidTr="006365F0">
        <w:trPr>
          <w:trHeight w:val="295"/>
        </w:trPr>
        <w:tc>
          <w:tcPr>
            <w:tcW w:w="3787" w:type="dxa"/>
            <w:vAlign w:val="center"/>
          </w:tcPr>
          <w:p w14:paraId="156222DE"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50 à 500</w:t>
            </w:r>
          </w:p>
        </w:tc>
        <w:tc>
          <w:tcPr>
            <w:tcW w:w="5706" w:type="dxa"/>
            <w:vAlign w:val="center"/>
          </w:tcPr>
          <w:p w14:paraId="70E05DBC"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5</w:t>
            </w:r>
          </w:p>
        </w:tc>
      </w:tr>
      <w:tr w:rsidR="003D69A8" w:rsidRPr="005E1EA7" w14:paraId="4E2B0AE8" w14:textId="77777777" w:rsidTr="006365F0">
        <w:trPr>
          <w:trHeight w:val="378"/>
        </w:trPr>
        <w:tc>
          <w:tcPr>
            <w:tcW w:w="3787" w:type="dxa"/>
            <w:vAlign w:val="center"/>
          </w:tcPr>
          <w:p w14:paraId="3D18C521"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&gt; 500</w:t>
            </w:r>
          </w:p>
        </w:tc>
        <w:tc>
          <w:tcPr>
            <w:tcW w:w="5706" w:type="dxa"/>
            <w:vAlign w:val="center"/>
          </w:tcPr>
          <w:p w14:paraId="7A4F4585"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10</w:t>
            </w:r>
          </w:p>
        </w:tc>
      </w:tr>
    </w:tbl>
    <w:p w14:paraId="644E4F67" w14:textId="77777777" w:rsidR="003D69A8" w:rsidRPr="005E1EA7" w:rsidRDefault="003D69A8" w:rsidP="003D69A8">
      <w:pPr>
        <w:jc w:val="both"/>
        <w:rPr>
          <w:rFonts w:ascii="Tahoma" w:hAnsi="Tahoma" w:cs="Tahoma"/>
          <w:sz w:val="20"/>
          <w:szCs w:val="20"/>
        </w:rPr>
      </w:pPr>
    </w:p>
    <w:p w14:paraId="2B491C8D" w14:textId="77777777" w:rsidR="003D69A8" w:rsidRPr="005E1EA7" w:rsidRDefault="003D69A8" w:rsidP="003D69A8">
      <w:pPr>
        <w:pStyle w:val="Corpsdetexte3"/>
        <w:jc w:val="left"/>
        <w:rPr>
          <w:rFonts w:ascii="Tahoma" w:hAnsi="Tahoma" w:cs="Tahoma"/>
          <w:sz w:val="20"/>
          <w:szCs w:val="20"/>
        </w:rPr>
      </w:pPr>
      <w:r w:rsidRPr="005E1EA7">
        <w:rPr>
          <w:rFonts w:ascii="Tahoma" w:hAnsi="Tahoma" w:cs="Tahoma"/>
          <w:b/>
          <w:bCs/>
          <w:i w:val="0"/>
          <w:iCs w:val="0"/>
          <w:sz w:val="20"/>
          <w:szCs w:val="20"/>
        </w:rPr>
        <w:t>Tableau 2 :</w:t>
      </w:r>
      <w:r w:rsidRPr="005E1EA7">
        <w:rPr>
          <w:rFonts w:ascii="Tahoma" w:hAnsi="Tahoma" w:cs="Tahoma"/>
          <w:sz w:val="20"/>
          <w:szCs w:val="20"/>
        </w:rPr>
        <w:t xml:space="preserve"> Nombre d'emballages à prélever pour former l'échantillon global </w:t>
      </w:r>
    </w:p>
    <w:tbl>
      <w:tblPr>
        <w:tblW w:w="9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7"/>
        <w:gridCol w:w="5670"/>
      </w:tblGrid>
      <w:tr w:rsidR="003D69A8" w:rsidRPr="005E1EA7" w14:paraId="438EC048" w14:textId="77777777" w:rsidTr="006365F0">
        <w:trPr>
          <w:cantSplit/>
          <w:trHeight w:val="404"/>
        </w:trPr>
        <w:tc>
          <w:tcPr>
            <w:tcW w:w="3787" w:type="dxa"/>
          </w:tcPr>
          <w:p w14:paraId="2ED929E9"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Nombre d'emballages ou d’unités compris dans le lot</w:t>
            </w:r>
          </w:p>
        </w:tc>
        <w:tc>
          <w:tcPr>
            <w:tcW w:w="5670" w:type="dxa"/>
          </w:tcPr>
          <w:p w14:paraId="5C299D92"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Nombre minimal d'emballages ou d’unités à prélever</w:t>
            </w:r>
          </w:p>
        </w:tc>
      </w:tr>
      <w:tr w:rsidR="003D69A8" w:rsidRPr="005E1EA7" w14:paraId="1122CD44" w14:textId="77777777" w:rsidTr="006365F0">
        <w:trPr>
          <w:trHeight w:val="325"/>
        </w:trPr>
        <w:tc>
          <w:tcPr>
            <w:tcW w:w="3787" w:type="dxa"/>
            <w:vAlign w:val="center"/>
          </w:tcPr>
          <w:p w14:paraId="5673669E"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1 à 25</w:t>
            </w:r>
          </w:p>
        </w:tc>
        <w:tc>
          <w:tcPr>
            <w:tcW w:w="5670" w:type="dxa"/>
            <w:vAlign w:val="center"/>
          </w:tcPr>
          <w:p w14:paraId="24349AC9"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1 emballage ou unité</w:t>
            </w:r>
          </w:p>
        </w:tc>
      </w:tr>
      <w:tr w:rsidR="003D69A8" w:rsidRPr="005E1EA7" w14:paraId="3FEBF1CE" w14:textId="77777777" w:rsidTr="006365F0">
        <w:trPr>
          <w:trHeight w:val="295"/>
        </w:trPr>
        <w:tc>
          <w:tcPr>
            <w:tcW w:w="3787" w:type="dxa"/>
            <w:vAlign w:val="center"/>
          </w:tcPr>
          <w:p w14:paraId="7F295EAD"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26 à 100</w:t>
            </w:r>
          </w:p>
        </w:tc>
        <w:tc>
          <w:tcPr>
            <w:tcW w:w="5670" w:type="dxa"/>
            <w:vAlign w:val="center"/>
          </w:tcPr>
          <w:p w14:paraId="7121FCCB"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5 % environ, au moins 2 emballages ou unités</w:t>
            </w:r>
          </w:p>
        </w:tc>
      </w:tr>
      <w:tr w:rsidR="003D69A8" w:rsidRPr="005E1EA7" w14:paraId="109CA49D" w14:textId="77777777" w:rsidTr="006365F0">
        <w:trPr>
          <w:trHeight w:val="378"/>
        </w:trPr>
        <w:tc>
          <w:tcPr>
            <w:tcW w:w="3787" w:type="dxa"/>
            <w:vAlign w:val="center"/>
          </w:tcPr>
          <w:p w14:paraId="59A841A1"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&gt; 100</w:t>
            </w:r>
          </w:p>
        </w:tc>
        <w:tc>
          <w:tcPr>
            <w:tcW w:w="5670" w:type="dxa"/>
            <w:vAlign w:val="center"/>
          </w:tcPr>
          <w:p w14:paraId="26EA9681"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5 % environ, un maximum de 10 emballages ou unités</w:t>
            </w:r>
          </w:p>
        </w:tc>
      </w:tr>
    </w:tbl>
    <w:p w14:paraId="6463D507" w14:textId="77777777" w:rsidR="003D69A8" w:rsidRPr="005E1EA7" w:rsidRDefault="003D69A8" w:rsidP="003D69A8">
      <w:pPr>
        <w:autoSpaceDE w:val="0"/>
        <w:autoSpaceDN w:val="0"/>
        <w:adjustRightInd w:val="0"/>
        <w:jc w:val="both"/>
        <w:rPr>
          <w:rFonts w:ascii="Tahoma" w:hAnsi="Tahoma" w:cs="Tahoma"/>
          <w:sz w:val="20"/>
          <w:szCs w:val="20"/>
        </w:rPr>
      </w:pPr>
    </w:p>
    <w:p w14:paraId="64F05E02" w14:textId="77777777" w:rsidR="003D69A8" w:rsidRPr="005E1EA7" w:rsidRDefault="003D69A8" w:rsidP="003D69A8">
      <w:pPr>
        <w:autoSpaceDE w:val="0"/>
        <w:autoSpaceDN w:val="0"/>
        <w:adjustRightInd w:val="0"/>
        <w:jc w:val="both"/>
        <w:rPr>
          <w:rFonts w:ascii="Tahoma" w:hAnsi="Tahoma" w:cs="Tahoma"/>
          <w:b/>
          <w:bCs/>
          <w:sz w:val="20"/>
          <w:szCs w:val="20"/>
        </w:rPr>
      </w:pPr>
      <w:r w:rsidRPr="005E1EA7">
        <w:rPr>
          <w:rFonts w:ascii="Tahoma" w:hAnsi="Tahoma" w:cs="Tahoma"/>
          <w:b/>
          <w:bCs/>
          <w:sz w:val="20"/>
          <w:szCs w:val="20"/>
        </w:rPr>
        <w:t>4. CONFORMITE DU LOT OU SOUS-LOT AUX SPECIFICATIONS</w:t>
      </w:r>
    </w:p>
    <w:p w14:paraId="74536537" w14:textId="77777777" w:rsidR="003D69A8" w:rsidRPr="005E1EA7" w:rsidRDefault="003D69A8" w:rsidP="003D69A8">
      <w:pPr>
        <w:autoSpaceDE w:val="0"/>
        <w:autoSpaceDN w:val="0"/>
        <w:adjustRightInd w:val="0"/>
        <w:jc w:val="both"/>
        <w:rPr>
          <w:rFonts w:ascii="Tahoma" w:hAnsi="Tahoma" w:cs="Tahoma"/>
          <w:sz w:val="20"/>
          <w:szCs w:val="20"/>
        </w:rPr>
      </w:pPr>
    </w:p>
    <w:p w14:paraId="3E5EDDCD" w14:textId="77777777" w:rsidR="003D69A8" w:rsidRPr="005E1EA7" w:rsidRDefault="003D69A8" w:rsidP="003D69A8">
      <w:pPr>
        <w:autoSpaceDE w:val="0"/>
        <w:autoSpaceDN w:val="0"/>
        <w:adjustRightInd w:val="0"/>
        <w:jc w:val="both"/>
        <w:rPr>
          <w:rFonts w:ascii="Tahoma" w:hAnsi="Tahoma" w:cs="Tahoma"/>
          <w:sz w:val="20"/>
          <w:szCs w:val="20"/>
        </w:rPr>
      </w:pPr>
      <w:r w:rsidRPr="005E1EA7">
        <w:rPr>
          <w:rFonts w:ascii="Tahoma" w:hAnsi="Tahoma" w:cs="Tahoma"/>
          <w:sz w:val="20"/>
          <w:szCs w:val="20"/>
        </w:rPr>
        <w:t>A des fins de contrôle, le laboratoire procède au moins à deux analyses indépendantes de l'échantillon de laboratoire et calcule la moyenne des résultats. Si cette moyenne correspond à la teneur maximale fixée dans le présent arrêté le lot est accepté. Il est rejeté si cette moyenne dépasse la teneur maximale fixée dans le présent arrêté.</w:t>
      </w:r>
    </w:p>
    <w:p w14:paraId="586FCDD3" w14:textId="77777777" w:rsidR="003D69A8" w:rsidRPr="005E1EA7" w:rsidRDefault="003D69A8" w:rsidP="003D69A8">
      <w:pPr>
        <w:autoSpaceDE w:val="0"/>
        <w:autoSpaceDN w:val="0"/>
        <w:adjustRightInd w:val="0"/>
        <w:jc w:val="center"/>
        <w:rPr>
          <w:rFonts w:ascii="Tahoma" w:hAnsi="Tahoma" w:cs="Tahoma"/>
          <w:b/>
          <w:bCs/>
          <w:sz w:val="20"/>
          <w:szCs w:val="20"/>
        </w:rPr>
      </w:pPr>
    </w:p>
    <w:p w14:paraId="5437F503" w14:textId="77777777" w:rsidR="003D69A8" w:rsidRPr="005E1EA7" w:rsidRDefault="003D69A8" w:rsidP="003D69A8">
      <w:pPr>
        <w:autoSpaceDE w:val="0"/>
        <w:autoSpaceDN w:val="0"/>
        <w:adjustRightInd w:val="0"/>
        <w:jc w:val="center"/>
        <w:rPr>
          <w:rFonts w:ascii="Tahoma" w:hAnsi="Tahoma" w:cs="Tahoma"/>
          <w:b/>
          <w:bCs/>
          <w:sz w:val="20"/>
          <w:szCs w:val="20"/>
        </w:rPr>
      </w:pPr>
      <w:r w:rsidRPr="005E1EA7">
        <w:rPr>
          <w:rFonts w:ascii="Tahoma" w:hAnsi="Tahoma" w:cs="Tahoma"/>
          <w:b/>
          <w:bCs/>
          <w:sz w:val="20"/>
          <w:szCs w:val="20"/>
        </w:rPr>
        <w:t>CHAPITRE IV - PREPARATION DES ECHANTILLONS ET METHODES D'ANALYSE UTILISEES POUR LE CONTROLE OFFICIEL DES TENEURS EN METAUX LOURDS</w:t>
      </w:r>
    </w:p>
    <w:p w14:paraId="01BF5A5F" w14:textId="77777777" w:rsidR="003D69A8" w:rsidRPr="005E1EA7" w:rsidRDefault="003D69A8" w:rsidP="003D69A8">
      <w:pPr>
        <w:tabs>
          <w:tab w:val="left" w:pos="4965"/>
        </w:tabs>
        <w:autoSpaceDE w:val="0"/>
        <w:autoSpaceDN w:val="0"/>
        <w:adjustRightInd w:val="0"/>
        <w:jc w:val="both"/>
        <w:rPr>
          <w:rFonts w:ascii="Tahoma" w:hAnsi="Tahoma" w:cs="Tahoma"/>
          <w:b/>
          <w:bCs/>
          <w:sz w:val="20"/>
          <w:szCs w:val="20"/>
        </w:rPr>
      </w:pPr>
      <w:r w:rsidRPr="005E1EA7">
        <w:rPr>
          <w:rFonts w:ascii="Tahoma" w:hAnsi="Tahoma" w:cs="Tahoma"/>
          <w:b/>
          <w:bCs/>
          <w:sz w:val="20"/>
          <w:szCs w:val="20"/>
        </w:rPr>
        <w:tab/>
      </w:r>
    </w:p>
    <w:p w14:paraId="24FA9FAB" w14:textId="77777777" w:rsidR="003D69A8" w:rsidRPr="005E1EA7" w:rsidRDefault="003D69A8" w:rsidP="00420DDA">
      <w:pPr>
        <w:pStyle w:val="Paragraphedeliste"/>
        <w:numPr>
          <w:ilvl w:val="0"/>
          <w:numId w:val="169"/>
        </w:numPr>
        <w:autoSpaceDE w:val="0"/>
        <w:autoSpaceDN w:val="0"/>
        <w:adjustRightInd w:val="0"/>
        <w:ind w:left="426"/>
        <w:jc w:val="both"/>
        <w:rPr>
          <w:rFonts w:ascii="Tahoma" w:hAnsi="Tahoma" w:cs="Tahoma"/>
          <w:b/>
          <w:bCs/>
          <w:sz w:val="20"/>
          <w:szCs w:val="20"/>
        </w:rPr>
      </w:pPr>
      <w:r w:rsidRPr="005E1EA7">
        <w:rPr>
          <w:rFonts w:ascii="Tahoma" w:hAnsi="Tahoma" w:cs="Tahoma"/>
          <w:b/>
          <w:bCs/>
          <w:sz w:val="20"/>
          <w:szCs w:val="20"/>
        </w:rPr>
        <w:t>PROCEDURES SPECIFIQUES DE PREPARATION DES ECHANTILLONS POUR LE PLOMB, LE CADMIUM, LE MERCURE ET L’</w:t>
      </w:r>
      <w:r w:rsidRPr="005E1EA7">
        <w:rPr>
          <w:rFonts w:ascii="Tahoma" w:hAnsi="Tahoma" w:cs="Tahoma"/>
          <w:b/>
          <w:sz w:val="20"/>
          <w:szCs w:val="20"/>
        </w:rPr>
        <w:t>ÉTAIN</w:t>
      </w:r>
    </w:p>
    <w:p w14:paraId="3DCC1C98" w14:textId="77777777" w:rsidR="003D69A8" w:rsidRPr="005E1EA7" w:rsidRDefault="003D69A8" w:rsidP="003D69A8">
      <w:pPr>
        <w:autoSpaceDE w:val="0"/>
        <w:autoSpaceDN w:val="0"/>
        <w:adjustRightInd w:val="0"/>
        <w:jc w:val="both"/>
        <w:rPr>
          <w:rFonts w:ascii="Tahoma" w:hAnsi="Tahoma" w:cs="Tahoma"/>
          <w:sz w:val="20"/>
          <w:szCs w:val="20"/>
        </w:rPr>
      </w:pPr>
    </w:p>
    <w:p w14:paraId="5A71C9E9" w14:textId="77777777" w:rsidR="003D69A8" w:rsidRPr="005E1EA7" w:rsidRDefault="003D69A8" w:rsidP="003D69A8">
      <w:pPr>
        <w:autoSpaceDE w:val="0"/>
        <w:autoSpaceDN w:val="0"/>
        <w:adjustRightInd w:val="0"/>
        <w:jc w:val="both"/>
        <w:rPr>
          <w:rFonts w:ascii="Tahoma" w:hAnsi="Tahoma" w:cs="Tahoma"/>
          <w:sz w:val="20"/>
          <w:szCs w:val="20"/>
        </w:rPr>
      </w:pPr>
      <w:r w:rsidRPr="005E1EA7">
        <w:rPr>
          <w:rFonts w:ascii="Tahoma" w:hAnsi="Tahoma" w:cs="Tahoma"/>
          <w:sz w:val="20"/>
          <w:szCs w:val="20"/>
        </w:rPr>
        <w:t>Il s'agit d'obtenir un échantillon de laboratoire représentatif et homogène sans y introduire de contamination secondaire.</w:t>
      </w:r>
    </w:p>
    <w:p w14:paraId="5A5BCF8D" w14:textId="77777777" w:rsidR="003D69A8" w:rsidRPr="005E1EA7" w:rsidRDefault="003D69A8" w:rsidP="003D69A8">
      <w:pPr>
        <w:autoSpaceDE w:val="0"/>
        <w:autoSpaceDN w:val="0"/>
        <w:adjustRightInd w:val="0"/>
        <w:jc w:val="both"/>
        <w:rPr>
          <w:rFonts w:ascii="Tahoma" w:hAnsi="Tahoma" w:cs="Tahoma"/>
          <w:sz w:val="20"/>
          <w:szCs w:val="20"/>
        </w:rPr>
      </w:pPr>
    </w:p>
    <w:p w14:paraId="0F36413F" w14:textId="77777777" w:rsidR="003D69A8" w:rsidRPr="005E1EA7" w:rsidRDefault="003D69A8" w:rsidP="003D69A8">
      <w:pPr>
        <w:autoSpaceDE w:val="0"/>
        <w:autoSpaceDN w:val="0"/>
        <w:adjustRightInd w:val="0"/>
        <w:jc w:val="both"/>
        <w:rPr>
          <w:rFonts w:ascii="Tahoma" w:hAnsi="Tahoma" w:cs="Tahoma"/>
          <w:sz w:val="20"/>
          <w:szCs w:val="20"/>
        </w:rPr>
      </w:pPr>
      <w:r w:rsidRPr="005E1EA7">
        <w:rPr>
          <w:rFonts w:ascii="Tahoma" w:hAnsi="Tahoma" w:cs="Tahoma"/>
          <w:sz w:val="20"/>
          <w:szCs w:val="20"/>
        </w:rPr>
        <w:t>Les procédures, que décrit la norme EN 13804, « Produits alimentaires — Dosage des éléments trace — Critères de performance, généralités et préparation des échantillons » peuvent être utilisées ou tout autre procédure équivalente.</w:t>
      </w:r>
    </w:p>
    <w:p w14:paraId="2F71CC61" w14:textId="77777777" w:rsidR="003D69A8" w:rsidRPr="005E1EA7" w:rsidRDefault="003D69A8" w:rsidP="003D69A8">
      <w:pPr>
        <w:autoSpaceDE w:val="0"/>
        <w:autoSpaceDN w:val="0"/>
        <w:adjustRightInd w:val="0"/>
        <w:jc w:val="both"/>
        <w:rPr>
          <w:rFonts w:ascii="Tahoma" w:hAnsi="Tahoma" w:cs="Tahoma"/>
          <w:sz w:val="20"/>
          <w:szCs w:val="20"/>
        </w:rPr>
      </w:pPr>
    </w:p>
    <w:p w14:paraId="3BBA6B72" w14:textId="77777777" w:rsidR="003D69A8" w:rsidRPr="005E1EA7" w:rsidRDefault="003D69A8" w:rsidP="003D69A8">
      <w:pPr>
        <w:pStyle w:val="Corpsdetexte2"/>
        <w:spacing w:after="0" w:line="240" w:lineRule="auto"/>
        <w:jc w:val="both"/>
        <w:rPr>
          <w:rFonts w:ascii="Tahoma" w:hAnsi="Tahoma" w:cs="Tahoma"/>
          <w:bCs/>
          <w:sz w:val="20"/>
          <w:szCs w:val="20"/>
        </w:rPr>
      </w:pPr>
      <w:r w:rsidRPr="005E1EA7">
        <w:rPr>
          <w:rFonts w:ascii="Tahoma" w:hAnsi="Tahoma" w:cs="Tahoma"/>
          <w:bCs/>
          <w:sz w:val="20"/>
          <w:szCs w:val="20"/>
        </w:rPr>
        <w:t>Pour toute procédure utilisée, le corps entier des mollusques bivalves, crustacés et petits poissons doit faire partie des matières à analyser s'ils sont normalement consommés en entier.</w:t>
      </w:r>
    </w:p>
    <w:p w14:paraId="79B8D5D1" w14:textId="77777777" w:rsidR="003D69A8" w:rsidRPr="005E1EA7" w:rsidRDefault="003D69A8" w:rsidP="003D69A8">
      <w:pPr>
        <w:autoSpaceDE w:val="0"/>
        <w:autoSpaceDN w:val="0"/>
        <w:adjustRightInd w:val="0"/>
        <w:jc w:val="both"/>
        <w:rPr>
          <w:rFonts w:ascii="Tahoma" w:hAnsi="Tahoma" w:cs="Tahoma"/>
          <w:sz w:val="20"/>
          <w:szCs w:val="20"/>
        </w:rPr>
      </w:pPr>
    </w:p>
    <w:p w14:paraId="42EFB839" w14:textId="77777777" w:rsidR="003D69A8" w:rsidRPr="005E1EA7" w:rsidRDefault="003D69A8" w:rsidP="00420DDA">
      <w:pPr>
        <w:pStyle w:val="Paragraphedeliste"/>
        <w:numPr>
          <w:ilvl w:val="0"/>
          <w:numId w:val="169"/>
        </w:numPr>
        <w:autoSpaceDE w:val="0"/>
        <w:autoSpaceDN w:val="0"/>
        <w:adjustRightInd w:val="0"/>
        <w:ind w:left="426"/>
        <w:jc w:val="both"/>
        <w:rPr>
          <w:rFonts w:ascii="Tahoma" w:hAnsi="Tahoma" w:cs="Tahoma"/>
          <w:b/>
          <w:bCs/>
          <w:sz w:val="20"/>
          <w:szCs w:val="20"/>
        </w:rPr>
      </w:pPr>
      <w:r w:rsidRPr="005E1EA7">
        <w:rPr>
          <w:rFonts w:ascii="Tahoma" w:hAnsi="Tahoma" w:cs="Tahoma"/>
          <w:b/>
          <w:bCs/>
          <w:sz w:val="20"/>
          <w:szCs w:val="20"/>
        </w:rPr>
        <w:t>METHODE D'ANALYSE A UTILISER PAR LE LABORATOIRE ET EXIGENCES DE CONTROLE</w:t>
      </w:r>
    </w:p>
    <w:p w14:paraId="017B41F2" w14:textId="77777777" w:rsidR="003D69A8" w:rsidRPr="005E1EA7" w:rsidRDefault="003D69A8" w:rsidP="003D69A8">
      <w:pPr>
        <w:autoSpaceDE w:val="0"/>
        <w:autoSpaceDN w:val="0"/>
        <w:adjustRightInd w:val="0"/>
        <w:jc w:val="both"/>
        <w:rPr>
          <w:rFonts w:ascii="Tahoma" w:hAnsi="Tahoma" w:cs="Tahoma"/>
          <w:sz w:val="20"/>
          <w:szCs w:val="20"/>
        </w:rPr>
      </w:pPr>
    </w:p>
    <w:p w14:paraId="709D8F38" w14:textId="77777777" w:rsidR="003D69A8" w:rsidRPr="005E1EA7" w:rsidRDefault="003D69A8" w:rsidP="00420DDA">
      <w:pPr>
        <w:pStyle w:val="Paragraphedeliste"/>
        <w:numPr>
          <w:ilvl w:val="1"/>
          <w:numId w:val="170"/>
        </w:numPr>
        <w:autoSpaceDE w:val="0"/>
        <w:autoSpaceDN w:val="0"/>
        <w:adjustRightInd w:val="0"/>
        <w:jc w:val="both"/>
        <w:rPr>
          <w:rFonts w:ascii="Tahoma" w:hAnsi="Tahoma" w:cs="Tahoma"/>
          <w:b/>
          <w:bCs/>
          <w:sz w:val="20"/>
          <w:szCs w:val="20"/>
        </w:rPr>
      </w:pPr>
      <w:r w:rsidRPr="005E1EA7">
        <w:rPr>
          <w:rFonts w:ascii="Tahoma" w:hAnsi="Tahoma" w:cs="Tahoma"/>
          <w:b/>
          <w:bCs/>
          <w:sz w:val="20"/>
          <w:szCs w:val="20"/>
        </w:rPr>
        <w:t>Exigences spécifiques pour les analyses du plomb, du cadmium, du mercure et d’</w:t>
      </w:r>
      <w:r w:rsidRPr="005E1EA7">
        <w:rPr>
          <w:rFonts w:ascii="Tahoma" w:hAnsi="Tahoma" w:cs="Tahoma"/>
          <w:b/>
          <w:sz w:val="20"/>
          <w:szCs w:val="20"/>
        </w:rPr>
        <w:t>étain</w:t>
      </w:r>
    </w:p>
    <w:p w14:paraId="678C3AEC" w14:textId="77777777" w:rsidR="003D69A8" w:rsidRPr="005E1EA7" w:rsidRDefault="003D69A8" w:rsidP="003D69A8">
      <w:pPr>
        <w:autoSpaceDE w:val="0"/>
        <w:autoSpaceDN w:val="0"/>
        <w:adjustRightInd w:val="0"/>
        <w:jc w:val="both"/>
        <w:rPr>
          <w:rFonts w:ascii="Tahoma" w:hAnsi="Tahoma" w:cs="Tahoma"/>
          <w:sz w:val="20"/>
          <w:szCs w:val="20"/>
        </w:rPr>
      </w:pPr>
      <w:r w:rsidRPr="005E1EA7">
        <w:rPr>
          <w:rFonts w:ascii="Tahoma" w:hAnsi="Tahoma" w:cs="Tahoma"/>
          <w:sz w:val="20"/>
          <w:szCs w:val="20"/>
        </w:rPr>
        <w:t>Il n'est pas prescrit de méthodes spécifiques de détermination de la teneur en plomb, en cadmium, en mercure et en étain. Les laboratoires doivent utiliser des méthodes de détermination de la teneur en plomb, en cadmium, en mercure et en étain, validées ou reconnues sur le plan international, répondant aux exigences de la norme NF EN 13804 (Produits alimentaires - Dosage des éléments traces - Critères de performance, généralités et préparation des échantillons) ou d’une norme internationale équivalente.</w:t>
      </w:r>
    </w:p>
    <w:p w14:paraId="09BD6467" w14:textId="77777777" w:rsidR="003D69A8" w:rsidRPr="005E1EA7" w:rsidRDefault="003D69A8" w:rsidP="003D69A8">
      <w:pPr>
        <w:autoSpaceDE w:val="0"/>
        <w:autoSpaceDN w:val="0"/>
        <w:adjustRightInd w:val="0"/>
        <w:jc w:val="both"/>
        <w:rPr>
          <w:rFonts w:ascii="Tahoma" w:hAnsi="Tahoma" w:cs="Tahoma"/>
          <w:sz w:val="20"/>
          <w:szCs w:val="20"/>
        </w:rPr>
      </w:pPr>
    </w:p>
    <w:p w14:paraId="41C16FC7" w14:textId="77777777" w:rsidR="003D69A8" w:rsidRPr="005E1EA7" w:rsidRDefault="003D69A8" w:rsidP="003D69A8">
      <w:pPr>
        <w:autoSpaceDE w:val="0"/>
        <w:autoSpaceDN w:val="0"/>
        <w:adjustRightInd w:val="0"/>
        <w:jc w:val="both"/>
        <w:rPr>
          <w:rFonts w:ascii="Tahoma" w:hAnsi="Tahoma" w:cs="Tahoma"/>
          <w:b/>
          <w:bCs/>
          <w:sz w:val="20"/>
          <w:szCs w:val="20"/>
        </w:rPr>
      </w:pPr>
      <w:r w:rsidRPr="005E1EA7">
        <w:rPr>
          <w:rFonts w:ascii="Tahoma" w:hAnsi="Tahoma" w:cs="Tahoma"/>
          <w:b/>
          <w:bCs/>
          <w:sz w:val="20"/>
          <w:szCs w:val="20"/>
        </w:rPr>
        <w:t>Tableau 3 : Critères de performance des méthodes d'analyse relatives au plomb, au cadmium, au mercure et à l’étain</w:t>
      </w:r>
    </w:p>
    <w:p w14:paraId="34E9ED26" w14:textId="77777777" w:rsidR="003D69A8" w:rsidRPr="005E1EA7" w:rsidRDefault="003D69A8" w:rsidP="003D69A8">
      <w:pPr>
        <w:autoSpaceDE w:val="0"/>
        <w:autoSpaceDN w:val="0"/>
        <w:adjustRightInd w:val="0"/>
        <w:jc w:val="both"/>
        <w:rPr>
          <w:rFonts w:ascii="Tahoma" w:hAnsi="Tahoma" w:cs="Tahoma"/>
          <w:b/>
          <w:bCs/>
          <w:sz w:val="20"/>
          <w:szCs w:val="20"/>
        </w:rPr>
      </w:pPr>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0"/>
        <w:gridCol w:w="6370"/>
      </w:tblGrid>
      <w:tr w:rsidR="003D69A8" w:rsidRPr="005E1EA7" w14:paraId="778C9699" w14:textId="77777777" w:rsidTr="006365F0">
        <w:trPr>
          <w:cantSplit/>
          <w:trHeight w:val="404"/>
        </w:trPr>
        <w:tc>
          <w:tcPr>
            <w:tcW w:w="3240" w:type="dxa"/>
          </w:tcPr>
          <w:p w14:paraId="0D3BAC11"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Paramètre</w:t>
            </w:r>
          </w:p>
        </w:tc>
        <w:tc>
          <w:tcPr>
            <w:tcW w:w="6370" w:type="dxa"/>
          </w:tcPr>
          <w:p w14:paraId="4544B2CF"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Valeur / commentaire</w:t>
            </w:r>
          </w:p>
        </w:tc>
      </w:tr>
      <w:tr w:rsidR="003D69A8" w:rsidRPr="005E1EA7" w14:paraId="37314D5E" w14:textId="77777777" w:rsidTr="006365F0">
        <w:trPr>
          <w:trHeight w:val="295"/>
        </w:trPr>
        <w:tc>
          <w:tcPr>
            <w:tcW w:w="3240" w:type="dxa"/>
            <w:vAlign w:val="center"/>
          </w:tcPr>
          <w:p w14:paraId="677A5EE5" w14:textId="77777777" w:rsidR="003D69A8" w:rsidRPr="005E1EA7" w:rsidRDefault="003D69A8" w:rsidP="006365F0">
            <w:pPr>
              <w:rPr>
                <w:rFonts w:ascii="Tahoma" w:hAnsi="Tahoma" w:cs="Tahoma"/>
                <w:sz w:val="20"/>
                <w:szCs w:val="20"/>
              </w:rPr>
            </w:pPr>
            <w:r w:rsidRPr="005E1EA7">
              <w:rPr>
                <w:rFonts w:ascii="Tahoma" w:hAnsi="Tahoma" w:cs="Tahoma"/>
                <w:sz w:val="20"/>
                <w:szCs w:val="20"/>
              </w:rPr>
              <w:t>Limite de détection</w:t>
            </w:r>
          </w:p>
        </w:tc>
        <w:tc>
          <w:tcPr>
            <w:tcW w:w="6370" w:type="dxa"/>
            <w:vAlign w:val="center"/>
          </w:tcPr>
          <w:p w14:paraId="5C976602" w14:textId="77777777" w:rsidR="003D69A8" w:rsidRPr="005E1EA7" w:rsidRDefault="003D69A8" w:rsidP="006365F0">
            <w:pPr>
              <w:jc w:val="both"/>
              <w:rPr>
                <w:rFonts w:ascii="Tahoma" w:hAnsi="Tahoma" w:cs="Tahoma"/>
                <w:sz w:val="20"/>
                <w:szCs w:val="20"/>
              </w:rPr>
            </w:pPr>
            <w:r w:rsidRPr="005E1EA7">
              <w:rPr>
                <w:rFonts w:ascii="Tahoma" w:hAnsi="Tahoma" w:cs="Tahoma"/>
                <w:sz w:val="20"/>
                <w:szCs w:val="20"/>
              </w:rPr>
              <w:t>Pas plus du dixième de la valeur maximale</w:t>
            </w:r>
            <w:r w:rsidRPr="005E1EA7">
              <w:rPr>
                <w:rFonts w:ascii="Tahoma" w:hAnsi="Tahoma" w:cs="Tahoma"/>
                <w:sz w:val="20"/>
                <w:szCs w:val="20"/>
                <w:vertAlign w:val="superscript"/>
              </w:rPr>
              <w:t xml:space="preserve"> (*)</w:t>
            </w:r>
          </w:p>
        </w:tc>
      </w:tr>
      <w:tr w:rsidR="003D69A8" w:rsidRPr="005E1EA7" w14:paraId="3E633D8C" w14:textId="77777777" w:rsidTr="006365F0">
        <w:trPr>
          <w:trHeight w:val="295"/>
        </w:trPr>
        <w:tc>
          <w:tcPr>
            <w:tcW w:w="3240" w:type="dxa"/>
            <w:vAlign w:val="center"/>
          </w:tcPr>
          <w:p w14:paraId="7971E58A" w14:textId="77777777" w:rsidR="003D69A8" w:rsidRPr="005E1EA7" w:rsidRDefault="003D69A8" w:rsidP="006365F0">
            <w:pPr>
              <w:rPr>
                <w:rFonts w:ascii="Tahoma" w:hAnsi="Tahoma" w:cs="Tahoma"/>
                <w:sz w:val="20"/>
                <w:szCs w:val="20"/>
              </w:rPr>
            </w:pPr>
            <w:r w:rsidRPr="005E1EA7">
              <w:rPr>
                <w:rFonts w:ascii="Tahoma" w:hAnsi="Tahoma" w:cs="Tahoma"/>
                <w:sz w:val="20"/>
                <w:szCs w:val="20"/>
              </w:rPr>
              <w:t>Limite de quantification</w:t>
            </w:r>
          </w:p>
        </w:tc>
        <w:tc>
          <w:tcPr>
            <w:tcW w:w="6370" w:type="dxa"/>
            <w:vAlign w:val="center"/>
          </w:tcPr>
          <w:p w14:paraId="217FC988" w14:textId="77777777" w:rsidR="003D69A8" w:rsidRPr="005E1EA7" w:rsidRDefault="003D69A8" w:rsidP="006365F0">
            <w:pPr>
              <w:jc w:val="both"/>
              <w:rPr>
                <w:rFonts w:ascii="Tahoma" w:hAnsi="Tahoma" w:cs="Tahoma"/>
                <w:sz w:val="20"/>
                <w:szCs w:val="20"/>
              </w:rPr>
            </w:pPr>
            <w:r w:rsidRPr="005E1EA7">
              <w:rPr>
                <w:rFonts w:ascii="Tahoma" w:hAnsi="Tahoma" w:cs="Tahoma"/>
                <w:sz w:val="20"/>
                <w:szCs w:val="20"/>
              </w:rPr>
              <w:t xml:space="preserve">Pas plus du cinquième de la valeur maximale </w:t>
            </w:r>
            <w:r w:rsidRPr="005E1EA7">
              <w:rPr>
                <w:rFonts w:ascii="Tahoma" w:hAnsi="Tahoma" w:cs="Tahoma"/>
                <w:sz w:val="20"/>
                <w:szCs w:val="20"/>
                <w:vertAlign w:val="superscript"/>
              </w:rPr>
              <w:t>(*)</w:t>
            </w:r>
          </w:p>
        </w:tc>
      </w:tr>
      <w:tr w:rsidR="003D69A8" w:rsidRPr="005E1EA7" w14:paraId="09806D89" w14:textId="77777777" w:rsidTr="006365F0">
        <w:trPr>
          <w:trHeight w:val="295"/>
        </w:trPr>
        <w:tc>
          <w:tcPr>
            <w:tcW w:w="3240" w:type="dxa"/>
            <w:vAlign w:val="center"/>
          </w:tcPr>
          <w:p w14:paraId="003D0738" w14:textId="77777777" w:rsidR="003D69A8" w:rsidRPr="005E1EA7" w:rsidRDefault="003D69A8" w:rsidP="006365F0">
            <w:pPr>
              <w:rPr>
                <w:rFonts w:ascii="Tahoma" w:hAnsi="Tahoma" w:cs="Tahoma"/>
                <w:sz w:val="20"/>
                <w:szCs w:val="20"/>
              </w:rPr>
            </w:pPr>
            <w:r w:rsidRPr="005E1EA7">
              <w:rPr>
                <w:rFonts w:ascii="Tahoma" w:hAnsi="Tahoma" w:cs="Tahoma"/>
                <w:sz w:val="20"/>
                <w:szCs w:val="20"/>
              </w:rPr>
              <w:lastRenderedPageBreak/>
              <w:t>Précision</w:t>
            </w:r>
          </w:p>
        </w:tc>
        <w:tc>
          <w:tcPr>
            <w:tcW w:w="6370" w:type="dxa"/>
            <w:vAlign w:val="center"/>
          </w:tcPr>
          <w:p w14:paraId="404A9D46" w14:textId="77777777" w:rsidR="003D69A8" w:rsidRPr="005E1EA7" w:rsidRDefault="003D69A8" w:rsidP="006365F0">
            <w:pPr>
              <w:jc w:val="both"/>
              <w:rPr>
                <w:rFonts w:ascii="Tahoma" w:hAnsi="Tahoma" w:cs="Tahoma"/>
                <w:sz w:val="20"/>
                <w:szCs w:val="20"/>
              </w:rPr>
            </w:pPr>
            <w:r w:rsidRPr="005E1EA7">
              <w:rPr>
                <w:rFonts w:ascii="Tahoma" w:hAnsi="Tahoma" w:cs="Tahoma"/>
                <w:sz w:val="20"/>
                <w:szCs w:val="20"/>
              </w:rPr>
              <w:t>Valeurs HORRATr ou HORRATR inférieures à 1,5 lors de l'essai collectif de validation</w:t>
            </w:r>
          </w:p>
        </w:tc>
      </w:tr>
      <w:tr w:rsidR="003D69A8" w:rsidRPr="005E1EA7" w14:paraId="6256E3D8" w14:textId="77777777" w:rsidTr="006365F0">
        <w:trPr>
          <w:trHeight w:val="295"/>
        </w:trPr>
        <w:tc>
          <w:tcPr>
            <w:tcW w:w="3240" w:type="dxa"/>
            <w:vAlign w:val="center"/>
          </w:tcPr>
          <w:p w14:paraId="1EF6E03C" w14:textId="77777777" w:rsidR="003D69A8" w:rsidRPr="005E1EA7" w:rsidRDefault="003D69A8" w:rsidP="006365F0">
            <w:pPr>
              <w:rPr>
                <w:rFonts w:ascii="Tahoma" w:hAnsi="Tahoma" w:cs="Tahoma"/>
                <w:sz w:val="20"/>
                <w:szCs w:val="20"/>
              </w:rPr>
            </w:pPr>
            <w:r w:rsidRPr="005E1EA7">
              <w:rPr>
                <w:rFonts w:ascii="Tahoma" w:hAnsi="Tahoma" w:cs="Tahoma"/>
                <w:sz w:val="20"/>
                <w:szCs w:val="20"/>
              </w:rPr>
              <w:t>Récupération</w:t>
            </w:r>
          </w:p>
        </w:tc>
        <w:tc>
          <w:tcPr>
            <w:tcW w:w="6370" w:type="dxa"/>
            <w:vAlign w:val="center"/>
          </w:tcPr>
          <w:p w14:paraId="000531DF" w14:textId="77777777" w:rsidR="003D69A8" w:rsidRPr="005E1EA7" w:rsidRDefault="003D69A8" w:rsidP="006365F0">
            <w:pPr>
              <w:jc w:val="both"/>
              <w:rPr>
                <w:rFonts w:ascii="Tahoma" w:hAnsi="Tahoma" w:cs="Tahoma"/>
                <w:sz w:val="20"/>
                <w:szCs w:val="20"/>
              </w:rPr>
            </w:pPr>
            <w:r w:rsidRPr="005E1EA7">
              <w:rPr>
                <w:rFonts w:ascii="Tahoma" w:hAnsi="Tahoma" w:cs="Tahoma"/>
                <w:sz w:val="20"/>
                <w:szCs w:val="20"/>
              </w:rPr>
              <w:t>80 % - 120 % (comme indiqué dans l'essai collectif)</w:t>
            </w:r>
          </w:p>
        </w:tc>
      </w:tr>
      <w:tr w:rsidR="003D69A8" w:rsidRPr="005E1EA7" w14:paraId="4F8C506F" w14:textId="77777777" w:rsidTr="006365F0">
        <w:trPr>
          <w:trHeight w:val="295"/>
        </w:trPr>
        <w:tc>
          <w:tcPr>
            <w:tcW w:w="3240" w:type="dxa"/>
            <w:vAlign w:val="center"/>
          </w:tcPr>
          <w:p w14:paraId="3A6FB946" w14:textId="77777777" w:rsidR="003D69A8" w:rsidRPr="005E1EA7" w:rsidRDefault="003D69A8" w:rsidP="006365F0">
            <w:pPr>
              <w:rPr>
                <w:rFonts w:ascii="Tahoma" w:hAnsi="Tahoma" w:cs="Tahoma"/>
                <w:sz w:val="20"/>
                <w:szCs w:val="20"/>
              </w:rPr>
            </w:pPr>
            <w:r w:rsidRPr="005E1EA7">
              <w:rPr>
                <w:rFonts w:ascii="Tahoma" w:hAnsi="Tahoma" w:cs="Tahoma"/>
                <w:sz w:val="20"/>
                <w:szCs w:val="20"/>
              </w:rPr>
              <w:t>Spécificité</w:t>
            </w:r>
          </w:p>
        </w:tc>
        <w:tc>
          <w:tcPr>
            <w:tcW w:w="6370" w:type="dxa"/>
            <w:vAlign w:val="center"/>
          </w:tcPr>
          <w:p w14:paraId="6B239808" w14:textId="77777777" w:rsidR="003D69A8" w:rsidRPr="005E1EA7" w:rsidRDefault="003D69A8" w:rsidP="006365F0">
            <w:pPr>
              <w:jc w:val="both"/>
              <w:rPr>
                <w:rFonts w:ascii="Tahoma" w:hAnsi="Tahoma" w:cs="Tahoma"/>
                <w:sz w:val="20"/>
                <w:szCs w:val="20"/>
              </w:rPr>
            </w:pPr>
            <w:r w:rsidRPr="005E1EA7">
              <w:rPr>
                <w:rFonts w:ascii="Tahoma" w:hAnsi="Tahoma" w:cs="Tahoma"/>
                <w:sz w:val="20"/>
                <w:szCs w:val="20"/>
              </w:rPr>
              <w:t>Pas d'interférences dues à la matrice ou spectrales</w:t>
            </w:r>
          </w:p>
        </w:tc>
      </w:tr>
    </w:tbl>
    <w:p w14:paraId="54F690F5" w14:textId="77777777" w:rsidR="003D69A8" w:rsidRPr="005E1EA7" w:rsidRDefault="003D69A8" w:rsidP="003D69A8">
      <w:pPr>
        <w:autoSpaceDE w:val="0"/>
        <w:autoSpaceDN w:val="0"/>
        <w:adjustRightInd w:val="0"/>
        <w:jc w:val="both"/>
        <w:rPr>
          <w:rFonts w:ascii="Tahoma" w:hAnsi="Tahoma" w:cs="Tahoma"/>
          <w:sz w:val="20"/>
          <w:szCs w:val="20"/>
          <w:vertAlign w:val="superscript"/>
        </w:rPr>
      </w:pPr>
    </w:p>
    <w:p w14:paraId="1223F0A8" w14:textId="77777777" w:rsidR="003D69A8" w:rsidRPr="005E1EA7" w:rsidRDefault="003D69A8" w:rsidP="003D69A8">
      <w:pPr>
        <w:autoSpaceDE w:val="0"/>
        <w:autoSpaceDN w:val="0"/>
        <w:adjustRightInd w:val="0"/>
        <w:jc w:val="both"/>
        <w:rPr>
          <w:rFonts w:ascii="Tahoma" w:hAnsi="Tahoma" w:cs="Tahoma"/>
          <w:sz w:val="20"/>
          <w:szCs w:val="20"/>
        </w:rPr>
      </w:pPr>
      <w:r w:rsidRPr="005E1EA7">
        <w:rPr>
          <w:rFonts w:ascii="Tahoma" w:hAnsi="Tahoma" w:cs="Tahoma"/>
          <w:sz w:val="20"/>
          <w:szCs w:val="20"/>
          <w:vertAlign w:val="superscript"/>
        </w:rPr>
        <w:t>(*)</w:t>
      </w:r>
      <w:r w:rsidRPr="005E1EA7">
        <w:rPr>
          <w:rFonts w:ascii="Tahoma" w:hAnsi="Tahoma" w:cs="Tahoma"/>
          <w:sz w:val="20"/>
          <w:szCs w:val="20"/>
        </w:rPr>
        <w:t xml:space="preserve"> Valeur maximale indiquée dans le présent arrêté pour le plomb, le cadmium et le mercure</w:t>
      </w:r>
    </w:p>
    <w:p w14:paraId="07D414DB" w14:textId="77777777" w:rsidR="003D69A8" w:rsidRPr="005E1EA7" w:rsidRDefault="003D69A8" w:rsidP="003D69A8">
      <w:pPr>
        <w:autoSpaceDE w:val="0"/>
        <w:autoSpaceDN w:val="0"/>
        <w:adjustRightInd w:val="0"/>
        <w:jc w:val="both"/>
        <w:rPr>
          <w:rFonts w:ascii="Tahoma" w:hAnsi="Tahoma" w:cs="Tahoma"/>
          <w:sz w:val="20"/>
          <w:szCs w:val="20"/>
        </w:rPr>
      </w:pPr>
    </w:p>
    <w:p w14:paraId="6E30D565" w14:textId="77777777" w:rsidR="003D69A8" w:rsidRPr="005E1EA7" w:rsidRDefault="003D69A8" w:rsidP="003D69A8">
      <w:pPr>
        <w:autoSpaceDE w:val="0"/>
        <w:autoSpaceDN w:val="0"/>
        <w:adjustRightInd w:val="0"/>
        <w:jc w:val="both"/>
        <w:rPr>
          <w:rFonts w:ascii="Tahoma" w:hAnsi="Tahoma" w:cs="Tahoma"/>
          <w:sz w:val="20"/>
          <w:szCs w:val="20"/>
        </w:rPr>
      </w:pPr>
      <w:r w:rsidRPr="005E1EA7">
        <w:rPr>
          <w:rFonts w:ascii="Tahoma" w:hAnsi="Tahoma" w:cs="Tahoma"/>
          <w:sz w:val="20"/>
          <w:szCs w:val="20"/>
        </w:rPr>
        <w:t>Dans la mesure du possible, la validation des méthodes utilisées inclura, dans les matériaux de test des essais collectifs, un matériau de référence certifié. Ces méthodes doivent également répondre aux critères de performance qui figurent dans le tableau 3.</w:t>
      </w:r>
    </w:p>
    <w:p w14:paraId="62777A9A" w14:textId="77777777" w:rsidR="003D69A8" w:rsidRPr="005E1EA7" w:rsidRDefault="003D69A8" w:rsidP="003D69A8">
      <w:pPr>
        <w:autoSpaceDE w:val="0"/>
        <w:autoSpaceDN w:val="0"/>
        <w:adjustRightInd w:val="0"/>
        <w:jc w:val="both"/>
        <w:rPr>
          <w:rFonts w:ascii="Tahoma" w:hAnsi="Tahoma" w:cs="Tahoma"/>
          <w:sz w:val="20"/>
          <w:szCs w:val="20"/>
        </w:rPr>
      </w:pPr>
    </w:p>
    <w:p w14:paraId="1CA749FA" w14:textId="77777777" w:rsidR="003D69A8" w:rsidRPr="005E1EA7" w:rsidRDefault="003D69A8" w:rsidP="00420DDA">
      <w:pPr>
        <w:pStyle w:val="Paragraphedeliste"/>
        <w:numPr>
          <w:ilvl w:val="1"/>
          <w:numId w:val="170"/>
        </w:numPr>
        <w:autoSpaceDE w:val="0"/>
        <w:autoSpaceDN w:val="0"/>
        <w:adjustRightInd w:val="0"/>
        <w:jc w:val="both"/>
        <w:rPr>
          <w:rFonts w:ascii="Tahoma" w:hAnsi="Tahoma" w:cs="Tahoma"/>
          <w:b/>
          <w:bCs/>
          <w:sz w:val="20"/>
          <w:szCs w:val="20"/>
        </w:rPr>
      </w:pPr>
      <w:r w:rsidRPr="005E1EA7">
        <w:rPr>
          <w:rFonts w:ascii="Tahoma" w:hAnsi="Tahoma" w:cs="Tahoma"/>
          <w:b/>
          <w:bCs/>
          <w:sz w:val="20"/>
          <w:szCs w:val="20"/>
        </w:rPr>
        <w:t>Estimation de l'exactitude de l'analyse et calcul du taux de récupération</w:t>
      </w:r>
    </w:p>
    <w:p w14:paraId="58CDC21A" w14:textId="77777777" w:rsidR="003D69A8" w:rsidRPr="005E1EA7" w:rsidRDefault="003D69A8" w:rsidP="003D69A8">
      <w:pPr>
        <w:autoSpaceDE w:val="0"/>
        <w:autoSpaceDN w:val="0"/>
        <w:adjustRightInd w:val="0"/>
        <w:jc w:val="both"/>
        <w:rPr>
          <w:rFonts w:ascii="Tahoma" w:hAnsi="Tahoma" w:cs="Tahoma"/>
          <w:sz w:val="20"/>
          <w:szCs w:val="20"/>
        </w:rPr>
      </w:pPr>
    </w:p>
    <w:p w14:paraId="689C47D1" w14:textId="77777777" w:rsidR="003D69A8" w:rsidRPr="005E1EA7" w:rsidRDefault="003D69A8" w:rsidP="003D69A8">
      <w:pPr>
        <w:autoSpaceDE w:val="0"/>
        <w:autoSpaceDN w:val="0"/>
        <w:adjustRightInd w:val="0"/>
        <w:jc w:val="both"/>
        <w:rPr>
          <w:rFonts w:ascii="Tahoma" w:hAnsi="Tahoma" w:cs="Tahoma"/>
          <w:sz w:val="20"/>
          <w:szCs w:val="20"/>
        </w:rPr>
      </w:pPr>
      <w:r w:rsidRPr="005E1EA7">
        <w:rPr>
          <w:rFonts w:ascii="Tahoma" w:hAnsi="Tahoma" w:cs="Tahoma"/>
          <w:sz w:val="20"/>
          <w:szCs w:val="20"/>
        </w:rPr>
        <w:t xml:space="preserve">Dans la mesure du possible, l'exactitude de l'analyse est estimée en incluant, dans la série d'analyses, des matériaux de référence certifiés et adaptés. Il est dûment tenu compte des directives élaborées sous l'égide de l'IUPAC/ISO/AOAC (Harmonised Guidelines for the Use of Recovery Information in Analytical Measurement. </w:t>
      </w:r>
      <w:r w:rsidRPr="005E1EA7">
        <w:rPr>
          <w:rFonts w:ascii="Tahoma" w:hAnsi="Tahoma" w:cs="Tahoma"/>
          <w:i/>
          <w:iCs/>
          <w:sz w:val="20"/>
          <w:szCs w:val="20"/>
          <w:lang w:val="en-GB"/>
        </w:rPr>
        <w:t xml:space="preserve">Edited </w:t>
      </w:r>
      <w:r w:rsidRPr="005E1EA7">
        <w:rPr>
          <w:rFonts w:ascii="Tahoma" w:hAnsi="Tahoma" w:cs="Tahoma"/>
          <w:sz w:val="20"/>
          <w:szCs w:val="20"/>
          <w:lang w:val="en-GB"/>
        </w:rPr>
        <w:t xml:space="preserve">MichaelThompson, Steven L R Ellison, Ales Fajgelj, Paul Willetts and Roger Wood, Pure Appl. </w:t>
      </w:r>
      <w:r w:rsidRPr="005E1EA7">
        <w:rPr>
          <w:rFonts w:ascii="Tahoma" w:hAnsi="Tahoma" w:cs="Tahoma"/>
          <w:sz w:val="20"/>
          <w:szCs w:val="20"/>
        </w:rPr>
        <w:t>Chem., 1999, no 71, 337-348).</w:t>
      </w:r>
    </w:p>
    <w:p w14:paraId="4E7C1E1A" w14:textId="77777777" w:rsidR="003D69A8" w:rsidRPr="005E1EA7" w:rsidRDefault="003D69A8" w:rsidP="003D69A8">
      <w:pPr>
        <w:autoSpaceDE w:val="0"/>
        <w:autoSpaceDN w:val="0"/>
        <w:adjustRightInd w:val="0"/>
        <w:jc w:val="both"/>
        <w:rPr>
          <w:rFonts w:ascii="Tahoma" w:hAnsi="Tahoma" w:cs="Tahoma"/>
          <w:sz w:val="20"/>
          <w:szCs w:val="20"/>
        </w:rPr>
      </w:pPr>
    </w:p>
    <w:p w14:paraId="0A9BAAFC" w14:textId="77777777" w:rsidR="003D69A8" w:rsidRPr="005E1EA7" w:rsidRDefault="003D69A8" w:rsidP="003D69A8">
      <w:pPr>
        <w:autoSpaceDE w:val="0"/>
        <w:autoSpaceDN w:val="0"/>
        <w:adjustRightInd w:val="0"/>
        <w:jc w:val="both"/>
        <w:rPr>
          <w:rFonts w:ascii="Tahoma" w:hAnsi="Tahoma" w:cs="Tahoma"/>
          <w:sz w:val="20"/>
          <w:szCs w:val="20"/>
        </w:rPr>
      </w:pPr>
      <w:r w:rsidRPr="005E1EA7">
        <w:rPr>
          <w:rFonts w:ascii="Tahoma" w:hAnsi="Tahoma" w:cs="Tahoma"/>
          <w:sz w:val="20"/>
          <w:szCs w:val="20"/>
        </w:rPr>
        <w:t>Le résultat de l'analyse est enregistré sous forme corrigée ou non. La façon d'enregistrer et le taux de récupération doivent être consignés.</w:t>
      </w:r>
    </w:p>
    <w:p w14:paraId="10FB295E" w14:textId="77777777" w:rsidR="003D69A8" w:rsidRPr="005E1EA7" w:rsidRDefault="003D69A8" w:rsidP="003D69A8">
      <w:pPr>
        <w:autoSpaceDE w:val="0"/>
        <w:autoSpaceDN w:val="0"/>
        <w:adjustRightInd w:val="0"/>
        <w:jc w:val="both"/>
        <w:rPr>
          <w:rFonts w:ascii="Tahoma" w:hAnsi="Tahoma" w:cs="Tahoma"/>
          <w:sz w:val="20"/>
          <w:szCs w:val="20"/>
        </w:rPr>
      </w:pPr>
    </w:p>
    <w:p w14:paraId="0E6EA7E2" w14:textId="77777777" w:rsidR="003D69A8" w:rsidRPr="005E1EA7" w:rsidRDefault="003D69A8" w:rsidP="00420DDA">
      <w:pPr>
        <w:pStyle w:val="Paragraphedeliste"/>
        <w:numPr>
          <w:ilvl w:val="1"/>
          <w:numId w:val="170"/>
        </w:numPr>
        <w:autoSpaceDE w:val="0"/>
        <w:autoSpaceDN w:val="0"/>
        <w:adjustRightInd w:val="0"/>
        <w:jc w:val="both"/>
        <w:rPr>
          <w:rFonts w:ascii="Tahoma" w:hAnsi="Tahoma" w:cs="Tahoma"/>
          <w:b/>
          <w:bCs/>
          <w:sz w:val="20"/>
          <w:szCs w:val="20"/>
        </w:rPr>
      </w:pPr>
      <w:r w:rsidRPr="005E1EA7">
        <w:rPr>
          <w:rFonts w:ascii="Tahoma" w:hAnsi="Tahoma" w:cs="Tahoma"/>
          <w:b/>
          <w:bCs/>
          <w:sz w:val="20"/>
          <w:szCs w:val="20"/>
        </w:rPr>
        <w:t>Expression des résultats</w:t>
      </w:r>
    </w:p>
    <w:p w14:paraId="462B4D70" w14:textId="77777777" w:rsidR="003D69A8" w:rsidRPr="005E1EA7" w:rsidRDefault="003D69A8" w:rsidP="003D69A8">
      <w:pPr>
        <w:autoSpaceDE w:val="0"/>
        <w:autoSpaceDN w:val="0"/>
        <w:adjustRightInd w:val="0"/>
        <w:jc w:val="both"/>
        <w:rPr>
          <w:rFonts w:ascii="Tahoma" w:hAnsi="Tahoma" w:cs="Tahoma"/>
          <w:sz w:val="20"/>
          <w:szCs w:val="20"/>
        </w:rPr>
      </w:pPr>
      <w:r w:rsidRPr="005E1EA7">
        <w:rPr>
          <w:rFonts w:ascii="Tahoma" w:hAnsi="Tahoma" w:cs="Tahoma"/>
          <w:sz w:val="20"/>
          <w:szCs w:val="20"/>
        </w:rPr>
        <w:t>A des fins de contrôle officiel des teneurs en métaux lourds, le laboratoire procède au moins à deux analyses indépendantes de l'échantillon de laboratoire et calcule la moyenne des résultats. Si cette moyenne correspond à la teneur maximale fixée dans le présent arrêté le lot est accepté. Il est rejeté si cette moyenne dépasse la teneur maximale fixée dans le présent arrêté.</w:t>
      </w:r>
    </w:p>
    <w:p w14:paraId="06468E58" w14:textId="77777777" w:rsidR="003D69A8" w:rsidRPr="005E1EA7" w:rsidRDefault="003D69A8" w:rsidP="003D69A8">
      <w:pPr>
        <w:autoSpaceDE w:val="0"/>
        <w:autoSpaceDN w:val="0"/>
        <w:adjustRightInd w:val="0"/>
        <w:jc w:val="both"/>
        <w:rPr>
          <w:rFonts w:ascii="Tahoma" w:hAnsi="Tahoma" w:cs="Tahoma"/>
          <w:sz w:val="20"/>
          <w:szCs w:val="20"/>
        </w:rPr>
      </w:pPr>
    </w:p>
    <w:p w14:paraId="5BCF727A" w14:textId="77777777" w:rsidR="003D69A8" w:rsidRPr="005E1EA7" w:rsidRDefault="003D69A8" w:rsidP="003D69A8">
      <w:pPr>
        <w:autoSpaceDE w:val="0"/>
        <w:autoSpaceDN w:val="0"/>
        <w:adjustRightInd w:val="0"/>
        <w:jc w:val="both"/>
        <w:rPr>
          <w:rFonts w:ascii="Tahoma" w:hAnsi="Tahoma" w:cs="Tahoma"/>
          <w:sz w:val="20"/>
          <w:szCs w:val="20"/>
        </w:rPr>
      </w:pPr>
      <w:r w:rsidRPr="005E1EA7">
        <w:rPr>
          <w:rFonts w:ascii="Tahoma" w:hAnsi="Tahoma" w:cs="Tahoma"/>
          <w:sz w:val="20"/>
          <w:szCs w:val="20"/>
        </w:rPr>
        <w:t>Les résultats doivent être exprimés dans les mêmes unités que les teneurs maximales figurant dans le présent arrêté.</w:t>
      </w:r>
    </w:p>
    <w:p w14:paraId="765887F7" w14:textId="77777777" w:rsidR="003D69A8" w:rsidRPr="005E1EA7" w:rsidRDefault="003D69A8" w:rsidP="003D69A8">
      <w:pPr>
        <w:autoSpaceDE w:val="0"/>
        <w:autoSpaceDN w:val="0"/>
        <w:adjustRightInd w:val="0"/>
        <w:jc w:val="both"/>
        <w:rPr>
          <w:rFonts w:ascii="Tahoma" w:hAnsi="Tahoma" w:cs="Tahoma"/>
          <w:sz w:val="20"/>
          <w:szCs w:val="20"/>
        </w:rPr>
      </w:pPr>
    </w:p>
    <w:p w14:paraId="3D651574" w14:textId="77777777" w:rsidR="003D69A8" w:rsidRPr="005E1EA7" w:rsidRDefault="003D69A8" w:rsidP="003D69A8">
      <w:pPr>
        <w:autoSpaceDE w:val="0"/>
        <w:autoSpaceDN w:val="0"/>
        <w:adjustRightInd w:val="0"/>
        <w:jc w:val="center"/>
        <w:rPr>
          <w:rFonts w:ascii="Tahoma" w:hAnsi="Tahoma" w:cs="Tahoma"/>
          <w:b/>
          <w:bCs/>
          <w:sz w:val="20"/>
          <w:szCs w:val="20"/>
        </w:rPr>
      </w:pPr>
      <w:r w:rsidRPr="005E1EA7">
        <w:rPr>
          <w:rFonts w:ascii="Tahoma" w:hAnsi="Tahoma" w:cs="Tahoma"/>
          <w:b/>
          <w:bCs/>
          <w:sz w:val="20"/>
          <w:szCs w:val="20"/>
        </w:rPr>
        <w:t>CHAPITRE V - TENEUR MAXIMALE EN AZOTE BASIQUE VOLATIL TOTAL (ABVT) ET METHODES D'ANALYSE A UTILISER</w:t>
      </w:r>
    </w:p>
    <w:p w14:paraId="69F4CD3E" w14:textId="77777777" w:rsidR="003D69A8" w:rsidRPr="005E1EA7" w:rsidRDefault="003D69A8" w:rsidP="003D69A8">
      <w:pPr>
        <w:autoSpaceDE w:val="0"/>
        <w:autoSpaceDN w:val="0"/>
        <w:adjustRightInd w:val="0"/>
        <w:jc w:val="center"/>
        <w:rPr>
          <w:rFonts w:ascii="Tahoma" w:hAnsi="Tahoma" w:cs="Tahoma"/>
          <w:sz w:val="20"/>
          <w:szCs w:val="20"/>
        </w:rPr>
      </w:pPr>
    </w:p>
    <w:p w14:paraId="6F72B603" w14:textId="77777777" w:rsidR="003D69A8" w:rsidRPr="005E1EA7" w:rsidRDefault="003D69A8" w:rsidP="003D69A8">
      <w:pPr>
        <w:autoSpaceDE w:val="0"/>
        <w:autoSpaceDN w:val="0"/>
        <w:adjustRightInd w:val="0"/>
        <w:jc w:val="both"/>
        <w:rPr>
          <w:rFonts w:ascii="Tahoma" w:hAnsi="Tahoma" w:cs="Tahoma"/>
          <w:sz w:val="20"/>
          <w:szCs w:val="20"/>
        </w:rPr>
      </w:pPr>
      <w:r w:rsidRPr="005E1EA7">
        <w:rPr>
          <w:rFonts w:ascii="Tahoma" w:hAnsi="Tahoma" w:cs="Tahoma"/>
          <w:sz w:val="20"/>
          <w:szCs w:val="20"/>
        </w:rPr>
        <w:t>Les produits de la pêche non transformés appartenant aux catégories d'espèces mentionnées par la réglementation en vigueur sont considérés comme impropres à la consommation humaine lorsque l'évaluation organoleptique suscite un doute sur leur fraîcheur et que le contrôle chimique montre que les limites suivantes en ABVT sont dépassées :</w:t>
      </w:r>
    </w:p>
    <w:p w14:paraId="1EBD7FE9" w14:textId="77777777" w:rsidR="003D69A8" w:rsidRPr="005E1EA7" w:rsidRDefault="003D69A8" w:rsidP="003D69A8">
      <w:pPr>
        <w:autoSpaceDE w:val="0"/>
        <w:autoSpaceDN w:val="0"/>
        <w:adjustRightInd w:val="0"/>
        <w:jc w:val="both"/>
        <w:rPr>
          <w:rFonts w:ascii="Tahoma" w:hAnsi="Tahoma" w:cs="Tahoma"/>
          <w:sz w:val="20"/>
          <w:szCs w:val="20"/>
        </w:rPr>
      </w:pPr>
    </w:p>
    <w:p w14:paraId="66E0D9FF" w14:textId="77777777" w:rsidR="003D69A8" w:rsidRPr="005E1EA7" w:rsidRDefault="003D69A8" w:rsidP="003D69A8">
      <w:pPr>
        <w:autoSpaceDE w:val="0"/>
        <w:autoSpaceDN w:val="0"/>
        <w:adjustRightInd w:val="0"/>
        <w:ind w:left="708" w:hanging="348"/>
        <w:jc w:val="both"/>
        <w:rPr>
          <w:rFonts w:ascii="Tahoma" w:hAnsi="Tahoma" w:cs="Tahoma"/>
          <w:sz w:val="20"/>
          <w:szCs w:val="20"/>
        </w:rPr>
      </w:pPr>
      <w:r w:rsidRPr="005E1EA7">
        <w:rPr>
          <w:rFonts w:ascii="Tahoma" w:hAnsi="Tahoma" w:cs="Tahoma"/>
          <w:sz w:val="20"/>
          <w:szCs w:val="20"/>
        </w:rPr>
        <w:t>i) 25 mg d'azote/100 g de chair pour les espèces telles que Sébastes spp., Helicolenus dactylopterus, Sébastichthys capensis ;</w:t>
      </w:r>
    </w:p>
    <w:p w14:paraId="5B17E8FF" w14:textId="77777777" w:rsidR="003D69A8" w:rsidRPr="005E1EA7" w:rsidRDefault="003D69A8" w:rsidP="003D69A8">
      <w:pPr>
        <w:autoSpaceDE w:val="0"/>
        <w:autoSpaceDN w:val="0"/>
        <w:adjustRightInd w:val="0"/>
        <w:ind w:left="708" w:hanging="348"/>
        <w:jc w:val="both"/>
        <w:rPr>
          <w:rFonts w:ascii="Tahoma" w:hAnsi="Tahoma" w:cs="Tahoma"/>
          <w:sz w:val="20"/>
          <w:szCs w:val="20"/>
        </w:rPr>
      </w:pPr>
      <w:r w:rsidRPr="005E1EA7">
        <w:rPr>
          <w:rFonts w:ascii="Tahoma" w:hAnsi="Tahoma" w:cs="Tahoma"/>
          <w:sz w:val="20"/>
          <w:szCs w:val="20"/>
        </w:rPr>
        <w:t>ii) 30 mg d'azote/100 g de chair pour les espèces appartenant à la famille des Pleuronectidae ;</w:t>
      </w:r>
    </w:p>
    <w:p w14:paraId="3F5264EA" w14:textId="77777777" w:rsidR="003D69A8" w:rsidRPr="005E1EA7" w:rsidRDefault="003D69A8" w:rsidP="003D69A8">
      <w:pPr>
        <w:autoSpaceDE w:val="0"/>
        <w:autoSpaceDN w:val="0"/>
        <w:adjustRightInd w:val="0"/>
        <w:ind w:left="708" w:hanging="348"/>
        <w:rPr>
          <w:rFonts w:ascii="Tahoma" w:hAnsi="Tahoma" w:cs="Tahoma"/>
          <w:sz w:val="20"/>
          <w:szCs w:val="20"/>
        </w:rPr>
      </w:pPr>
      <w:r w:rsidRPr="005E1EA7">
        <w:rPr>
          <w:rFonts w:ascii="Tahoma" w:hAnsi="Tahoma" w:cs="Tahoma"/>
          <w:sz w:val="20"/>
          <w:szCs w:val="20"/>
        </w:rPr>
        <w:t>iii) 35 mg d'azote/100 g de chair pour les espèces appartenant à la famille des Merlucciidae et des Gadidae.</w:t>
      </w:r>
    </w:p>
    <w:p w14:paraId="56F63C86" w14:textId="77777777" w:rsidR="003D69A8" w:rsidRPr="005E1EA7" w:rsidRDefault="003D69A8" w:rsidP="003D69A8">
      <w:pPr>
        <w:autoSpaceDE w:val="0"/>
        <w:autoSpaceDN w:val="0"/>
        <w:adjustRightInd w:val="0"/>
        <w:ind w:left="708" w:hanging="348"/>
        <w:rPr>
          <w:rFonts w:ascii="Tahoma" w:hAnsi="Tahoma" w:cs="Tahoma"/>
          <w:sz w:val="20"/>
          <w:szCs w:val="20"/>
        </w:rPr>
      </w:pPr>
    </w:p>
    <w:p w14:paraId="3F7CC083" w14:textId="77777777" w:rsidR="003D69A8" w:rsidRPr="005E1EA7" w:rsidRDefault="003D69A8" w:rsidP="003D69A8">
      <w:pPr>
        <w:autoSpaceDE w:val="0"/>
        <w:autoSpaceDN w:val="0"/>
        <w:adjustRightInd w:val="0"/>
        <w:ind w:firstLine="1"/>
        <w:rPr>
          <w:rFonts w:ascii="Tahoma" w:hAnsi="Tahoma" w:cs="Tahoma"/>
          <w:sz w:val="20"/>
          <w:szCs w:val="20"/>
        </w:rPr>
      </w:pPr>
      <w:r w:rsidRPr="005E1EA7">
        <w:rPr>
          <w:rFonts w:ascii="Tahoma" w:hAnsi="Tahoma" w:cs="Tahoma"/>
          <w:noProof/>
          <w:sz w:val="20"/>
          <w:szCs w:val="20"/>
        </w:rPr>
        <w:lastRenderedPageBreak/>
        <w:drawing>
          <wp:anchor distT="0" distB="0" distL="114300" distR="114300" simplePos="0" relativeHeight="251673600" behindDoc="0" locked="0" layoutInCell="1" allowOverlap="1" wp14:anchorId="0E75DF46" wp14:editId="5B034237">
            <wp:simplePos x="0" y="0"/>
            <wp:positionH relativeFrom="column">
              <wp:posOffset>1140460</wp:posOffset>
            </wp:positionH>
            <wp:positionV relativeFrom="paragraph">
              <wp:posOffset>340995</wp:posOffset>
            </wp:positionV>
            <wp:extent cx="2967990" cy="3131820"/>
            <wp:effectExtent l="0" t="0" r="381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67990" cy="3131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1EA7">
        <w:rPr>
          <w:rFonts w:ascii="Tahoma" w:hAnsi="Tahoma" w:cs="Tahoma"/>
          <w:sz w:val="20"/>
          <w:szCs w:val="20"/>
        </w:rPr>
        <w:t>Le dispositif de distillation à la vapeur de l’ABVT utilisé doit être conforme au schéma suivant :</w:t>
      </w:r>
    </w:p>
    <w:p w14:paraId="2FF247A5" w14:textId="77777777" w:rsidR="003D69A8" w:rsidRPr="005E1EA7" w:rsidRDefault="003D69A8" w:rsidP="003D69A8">
      <w:pPr>
        <w:autoSpaceDE w:val="0"/>
        <w:autoSpaceDN w:val="0"/>
        <w:adjustRightInd w:val="0"/>
        <w:ind w:left="708" w:hanging="348"/>
        <w:rPr>
          <w:rFonts w:ascii="Tahoma" w:hAnsi="Tahoma" w:cs="Tahoma"/>
          <w:sz w:val="20"/>
          <w:szCs w:val="20"/>
        </w:rPr>
      </w:pPr>
    </w:p>
    <w:p w14:paraId="7CB3478D" w14:textId="77777777" w:rsidR="003D69A8" w:rsidRPr="005E1EA7" w:rsidRDefault="003D69A8" w:rsidP="003D69A8">
      <w:pPr>
        <w:autoSpaceDE w:val="0"/>
        <w:autoSpaceDN w:val="0"/>
        <w:adjustRightInd w:val="0"/>
        <w:ind w:left="708" w:hanging="348"/>
        <w:rPr>
          <w:rFonts w:ascii="Tahoma" w:hAnsi="Tahoma" w:cs="Tahoma"/>
          <w:sz w:val="20"/>
          <w:szCs w:val="20"/>
        </w:rPr>
      </w:pPr>
    </w:p>
    <w:p w14:paraId="04CCD86C" w14:textId="77777777" w:rsidR="003D69A8" w:rsidRPr="005E1EA7" w:rsidRDefault="003D69A8" w:rsidP="003D69A8">
      <w:pPr>
        <w:autoSpaceDE w:val="0"/>
        <w:autoSpaceDN w:val="0"/>
        <w:adjustRightInd w:val="0"/>
        <w:ind w:left="708" w:hanging="348"/>
        <w:rPr>
          <w:rFonts w:ascii="Tahoma" w:hAnsi="Tahoma" w:cs="Tahoma"/>
          <w:sz w:val="20"/>
          <w:szCs w:val="20"/>
        </w:rPr>
      </w:pPr>
    </w:p>
    <w:p w14:paraId="419765CD" w14:textId="77777777" w:rsidR="003D69A8" w:rsidRPr="005E1EA7" w:rsidRDefault="003D69A8" w:rsidP="003D69A8">
      <w:pPr>
        <w:autoSpaceDE w:val="0"/>
        <w:autoSpaceDN w:val="0"/>
        <w:adjustRightInd w:val="0"/>
        <w:ind w:left="708" w:hanging="348"/>
        <w:rPr>
          <w:rFonts w:ascii="Tahoma" w:hAnsi="Tahoma" w:cs="Tahoma"/>
          <w:sz w:val="20"/>
          <w:szCs w:val="20"/>
        </w:rPr>
      </w:pPr>
    </w:p>
    <w:p w14:paraId="682936A6" w14:textId="77777777" w:rsidR="003D69A8" w:rsidRPr="005E1EA7" w:rsidRDefault="003D69A8" w:rsidP="003D69A8">
      <w:pPr>
        <w:autoSpaceDE w:val="0"/>
        <w:autoSpaceDN w:val="0"/>
        <w:adjustRightInd w:val="0"/>
        <w:ind w:left="708" w:hanging="348"/>
        <w:rPr>
          <w:rFonts w:ascii="Tahoma" w:hAnsi="Tahoma" w:cs="Tahoma"/>
          <w:sz w:val="20"/>
          <w:szCs w:val="20"/>
        </w:rPr>
      </w:pPr>
    </w:p>
    <w:p w14:paraId="10225B98" w14:textId="77777777" w:rsidR="003D69A8" w:rsidRPr="005E1EA7" w:rsidRDefault="003D69A8" w:rsidP="003D69A8">
      <w:pPr>
        <w:autoSpaceDE w:val="0"/>
        <w:autoSpaceDN w:val="0"/>
        <w:adjustRightInd w:val="0"/>
        <w:ind w:left="708" w:hanging="348"/>
        <w:rPr>
          <w:rFonts w:ascii="Tahoma" w:hAnsi="Tahoma" w:cs="Tahoma"/>
          <w:sz w:val="20"/>
          <w:szCs w:val="20"/>
        </w:rPr>
      </w:pPr>
    </w:p>
    <w:p w14:paraId="11208F2B" w14:textId="77777777" w:rsidR="003D69A8" w:rsidRPr="005E1EA7" w:rsidRDefault="003D69A8" w:rsidP="003D69A8">
      <w:pPr>
        <w:autoSpaceDE w:val="0"/>
        <w:autoSpaceDN w:val="0"/>
        <w:adjustRightInd w:val="0"/>
        <w:ind w:left="708" w:hanging="348"/>
        <w:rPr>
          <w:rFonts w:ascii="Tahoma" w:hAnsi="Tahoma" w:cs="Tahoma"/>
          <w:sz w:val="20"/>
          <w:szCs w:val="20"/>
        </w:rPr>
      </w:pPr>
    </w:p>
    <w:p w14:paraId="292119E6" w14:textId="77777777" w:rsidR="003D69A8" w:rsidRPr="005E1EA7" w:rsidRDefault="003D69A8" w:rsidP="003D69A8">
      <w:pPr>
        <w:autoSpaceDE w:val="0"/>
        <w:autoSpaceDN w:val="0"/>
        <w:adjustRightInd w:val="0"/>
        <w:ind w:left="708" w:hanging="348"/>
        <w:rPr>
          <w:rFonts w:ascii="Tahoma" w:hAnsi="Tahoma" w:cs="Tahoma"/>
          <w:sz w:val="20"/>
          <w:szCs w:val="20"/>
        </w:rPr>
      </w:pPr>
    </w:p>
    <w:p w14:paraId="75EB45A6" w14:textId="77777777" w:rsidR="003D69A8" w:rsidRPr="005E1EA7" w:rsidRDefault="003D69A8" w:rsidP="003D69A8">
      <w:pPr>
        <w:autoSpaceDE w:val="0"/>
        <w:autoSpaceDN w:val="0"/>
        <w:adjustRightInd w:val="0"/>
        <w:ind w:left="708" w:hanging="348"/>
        <w:rPr>
          <w:rFonts w:ascii="Tahoma" w:hAnsi="Tahoma" w:cs="Tahoma"/>
          <w:sz w:val="20"/>
          <w:szCs w:val="20"/>
        </w:rPr>
      </w:pPr>
    </w:p>
    <w:p w14:paraId="5DDBDAE1" w14:textId="77777777" w:rsidR="003D69A8" w:rsidRPr="005E1EA7" w:rsidRDefault="003D69A8" w:rsidP="003D69A8">
      <w:pPr>
        <w:autoSpaceDE w:val="0"/>
        <w:autoSpaceDN w:val="0"/>
        <w:adjustRightInd w:val="0"/>
        <w:ind w:left="708" w:hanging="348"/>
        <w:rPr>
          <w:rFonts w:ascii="Tahoma" w:hAnsi="Tahoma" w:cs="Tahoma"/>
          <w:sz w:val="20"/>
          <w:szCs w:val="20"/>
        </w:rPr>
      </w:pPr>
    </w:p>
    <w:p w14:paraId="5668C107" w14:textId="77777777" w:rsidR="003D69A8" w:rsidRPr="005E1EA7" w:rsidRDefault="003D69A8" w:rsidP="003D69A8">
      <w:pPr>
        <w:autoSpaceDE w:val="0"/>
        <w:autoSpaceDN w:val="0"/>
        <w:adjustRightInd w:val="0"/>
        <w:ind w:left="708" w:hanging="348"/>
        <w:rPr>
          <w:rFonts w:ascii="Tahoma" w:hAnsi="Tahoma" w:cs="Tahoma"/>
          <w:sz w:val="20"/>
          <w:szCs w:val="20"/>
        </w:rPr>
      </w:pPr>
    </w:p>
    <w:p w14:paraId="0BC21AD7" w14:textId="77777777" w:rsidR="003D69A8" w:rsidRPr="005E1EA7" w:rsidRDefault="003D69A8" w:rsidP="003D69A8">
      <w:pPr>
        <w:autoSpaceDE w:val="0"/>
        <w:autoSpaceDN w:val="0"/>
        <w:adjustRightInd w:val="0"/>
        <w:ind w:left="708" w:hanging="348"/>
        <w:rPr>
          <w:rFonts w:ascii="Tahoma" w:hAnsi="Tahoma" w:cs="Tahoma"/>
          <w:sz w:val="20"/>
          <w:szCs w:val="20"/>
        </w:rPr>
      </w:pPr>
    </w:p>
    <w:p w14:paraId="308C4FCC" w14:textId="77777777" w:rsidR="003D69A8" w:rsidRPr="005E1EA7" w:rsidRDefault="003D69A8" w:rsidP="003D69A8">
      <w:pPr>
        <w:autoSpaceDE w:val="0"/>
        <w:autoSpaceDN w:val="0"/>
        <w:adjustRightInd w:val="0"/>
        <w:ind w:left="708" w:hanging="348"/>
        <w:rPr>
          <w:rFonts w:ascii="Tahoma" w:hAnsi="Tahoma" w:cs="Tahoma"/>
          <w:sz w:val="20"/>
          <w:szCs w:val="20"/>
        </w:rPr>
      </w:pPr>
    </w:p>
    <w:p w14:paraId="11DE069A" w14:textId="77777777" w:rsidR="003D69A8" w:rsidRPr="005E1EA7" w:rsidRDefault="003D69A8" w:rsidP="003D69A8">
      <w:pPr>
        <w:autoSpaceDE w:val="0"/>
        <w:autoSpaceDN w:val="0"/>
        <w:adjustRightInd w:val="0"/>
        <w:ind w:left="708" w:hanging="348"/>
        <w:rPr>
          <w:rFonts w:ascii="Tahoma" w:hAnsi="Tahoma" w:cs="Tahoma"/>
          <w:sz w:val="20"/>
          <w:szCs w:val="20"/>
        </w:rPr>
      </w:pPr>
    </w:p>
    <w:p w14:paraId="0DAFEBFC" w14:textId="77777777" w:rsidR="003D69A8" w:rsidRPr="005E1EA7" w:rsidRDefault="003D69A8" w:rsidP="003D69A8">
      <w:pPr>
        <w:autoSpaceDE w:val="0"/>
        <w:autoSpaceDN w:val="0"/>
        <w:adjustRightInd w:val="0"/>
        <w:ind w:left="708" w:hanging="348"/>
        <w:rPr>
          <w:rFonts w:ascii="Tahoma" w:hAnsi="Tahoma" w:cs="Tahoma"/>
          <w:sz w:val="20"/>
          <w:szCs w:val="20"/>
        </w:rPr>
      </w:pPr>
    </w:p>
    <w:p w14:paraId="30FCD234" w14:textId="77777777" w:rsidR="003D69A8" w:rsidRPr="005E1EA7" w:rsidRDefault="003D69A8" w:rsidP="003D69A8">
      <w:pPr>
        <w:autoSpaceDE w:val="0"/>
        <w:autoSpaceDN w:val="0"/>
        <w:adjustRightInd w:val="0"/>
        <w:ind w:left="708" w:hanging="348"/>
        <w:rPr>
          <w:rFonts w:ascii="Tahoma" w:hAnsi="Tahoma" w:cs="Tahoma"/>
          <w:sz w:val="20"/>
          <w:szCs w:val="20"/>
        </w:rPr>
      </w:pPr>
    </w:p>
    <w:p w14:paraId="6E18DC72" w14:textId="77777777" w:rsidR="003D69A8" w:rsidRPr="005E1EA7" w:rsidRDefault="003D69A8" w:rsidP="003D69A8">
      <w:pPr>
        <w:autoSpaceDE w:val="0"/>
        <w:autoSpaceDN w:val="0"/>
        <w:adjustRightInd w:val="0"/>
        <w:ind w:left="708" w:hanging="348"/>
        <w:rPr>
          <w:rFonts w:ascii="Tahoma" w:hAnsi="Tahoma" w:cs="Tahoma"/>
          <w:sz w:val="20"/>
          <w:szCs w:val="20"/>
        </w:rPr>
      </w:pPr>
    </w:p>
    <w:p w14:paraId="4ACDED29" w14:textId="77777777" w:rsidR="003D69A8" w:rsidRPr="005E1EA7" w:rsidRDefault="003D69A8" w:rsidP="003D69A8">
      <w:pPr>
        <w:autoSpaceDE w:val="0"/>
        <w:autoSpaceDN w:val="0"/>
        <w:adjustRightInd w:val="0"/>
        <w:ind w:left="708" w:hanging="348"/>
        <w:rPr>
          <w:rFonts w:ascii="Tahoma" w:hAnsi="Tahoma" w:cs="Tahoma"/>
          <w:b/>
          <w:bCs/>
          <w:sz w:val="20"/>
          <w:szCs w:val="20"/>
        </w:rPr>
      </w:pPr>
    </w:p>
    <w:p w14:paraId="59101F60" w14:textId="77777777" w:rsidR="003D69A8" w:rsidRDefault="003D69A8" w:rsidP="003D69A8">
      <w:pPr>
        <w:autoSpaceDE w:val="0"/>
        <w:autoSpaceDN w:val="0"/>
        <w:adjustRightInd w:val="0"/>
        <w:ind w:left="708" w:hanging="348"/>
        <w:rPr>
          <w:rFonts w:ascii="Tahoma" w:hAnsi="Tahoma" w:cs="Tahoma"/>
          <w:b/>
          <w:bCs/>
          <w:sz w:val="20"/>
          <w:szCs w:val="20"/>
        </w:rPr>
      </w:pPr>
    </w:p>
    <w:p w14:paraId="3A8683B3" w14:textId="77777777" w:rsidR="008162C8" w:rsidRDefault="008162C8" w:rsidP="003D69A8">
      <w:pPr>
        <w:autoSpaceDE w:val="0"/>
        <w:autoSpaceDN w:val="0"/>
        <w:adjustRightInd w:val="0"/>
        <w:ind w:left="708" w:hanging="348"/>
        <w:rPr>
          <w:rFonts w:ascii="Tahoma" w:hAnsi="Tahoma" w:cs="Tahoma"/>
          <w:b/>
          <w:bCs/>
          <w:sz w:val="20"/>
          <w:szCs w:val="20"/>
        </w:rPr>
      </w:pPr>
    </w:p>
    <w:p w14:paraId="599642CA" w14:textId="77777777" w:rsidR="008162C8" w:rsidRDefault="008162C8" w:rsidP="003D69A8">
      <w:pPr>
        <w:autoSpaceDE w:val="0"/>
        <w:autoSpaceDN w:val="0"/>
        <w:adjustRightInd w:val="0"/>
        <w:ind w:left="708" w:hanging="348"/>
        <w:rPr>
          <w:rFonts w:ascii="Tahoma" w:hAnsi="Tahoma" w:cs="Tahoma"/>
          <w:b/>
          <w:bCs/>
          <w:sz w:val="20"/>
          <w:szCs w:val="20"/>
        </w:rPr>
      </w:pPr>
    </w:p>
    <w:p w14:paraId="6304FD46" w14:textId="77777777" w:rsidR="008162C8" w:rsidRPr="005E1EA7" w:rsidRDefault="008162C8" w:rsidP="003D69A8">
      <w:pPr>
        <w:autoSpaceDE w:val="0"/>
        <w:autoSpaceDN w:val="0"/>
        <w:adjustRightInd w:val="0"/>
        <w:ind w:left="708" w:hanging="348"/>
        <w:rPr>
          <w:rFonts w:ascii="Tahoma" w:hAnsi="Tahoma" w:cs="Tahoma"/>
          <w:b/>
          <w:bCs/>
          <w:sz w:val="20"/>
          <w:szCs w:val="20"/>
        </w:rPr>
      </w:pPr>
    </w:p>
    <w:p w14:paraId="5A908BC7" w14:textId="77777777" w:rsidR="003D69A8" w:rsidRPr="005E1EA7" w:rsidRDefault="003D69A8" w:rsidP="003D69A8">
      <w:pPr>
        <w:autoSpaceDE w:val="0"/>
        <w:autoSpaceDN w:val="0"/>
        <w:adjustRightInd w:val="0"/>
        <w:ind w:left="708" w:hanging="348"/>
        <w:rPr>
          <w:rFonts w:ascii="Tahoma" w:hAnsi="Tahoma" w:cs="Tahoma"/>
          <w:b/>
          <w:bCs/>
          <w:sz w:val="20"/>
          <w:szCs w:val="20"/>
        </w:rPr>
      </w:pPr>
    </w:p>
    <w:p w14:paraId="764F2C54" w14:textId="77777777" w:rsidR="003D69A8" w:rsidRPr="005E1EA7" w:rsidRDefault="003D69A8" w:rsidP="003D69A8">
      <w:pPr>
        <w:autoSpaceDE w:val="0"/>
        <w:autoSpaceDN w:val="0"/>
        <w:adjustRightInd w:val="0"/>
        <w:ind w:left="708" w:hanging="348"/>
        <w:jc w:val="center"/>
        <w:rPr>
          <w:rFonts w:ascii="Tahoma" w:hAnsi="Tahoma" w:cs="Tahoma"/>
          <w:b/>
          <w:bCs/>
          <w:sz w:val="20"/>
          <w:szCs w:val="20"/>
        </w:rPr>
      </w:pPr>
      <w:r w:rsidRPr="005E1EA7">
        <w:rPr>
          <w:rFonts w:ascii="Tahoma" w:hAnsi="Tahoma" w:cs="Tahoma"/>
          <w:b/>
          <w:bCs/>
          <w:sz w:val="20"/>
          <w:szCs w:val="20"/>
        </w:rPr>
        <w:t>CHAPITRE VI :  METHODES D'ANALYSE POUR LA DETERMINATION DE LA CONCENTRATION EN AZOTE BASIQUE VOLATIL TOTAL (ABVT)</w:t>
      </w:r>
    </w:p>
    <w:p w14:paraId="566486F4" w14:textId="77777777" w:rsidR="003D69A8" w:rsidRPr="005E1EA7" w:rsidRDefault="003D69A8" w:rsidP="003D69A8">
      <w:pPr>
        <w:autoSpaceDE w:val="0"/>
        <w:autoSpaceDN w:val="0"/>
        <w:adjustRightInd w:val="0"/>
        <w:jc w:val="both"/>
        <w:rPr>
          <w:rFonts w:ascii="Tahoma" w:hAnsi="Tahoma" w:cs="Tahoma"/>
          <w:sz w:val="20"/>
          <w:szCs w:val="20"/>
        </w:rPr>
      </w:pPr>
    </w:p>
    <w:p w14:paraId="699A22D1" w14:textId="77777777" w:rsidR="003D69A8" w:rsidRPr="005E1EA7" w:rsidRDefault="003D69A8" w:rsidP="00420DDA">
      <w:pPr>
        <w:pStyle w:val="Paragraphedeliste"/>
        <w:numPr>
          <w:ilvl w:val="3"/>
          <w:numId w:val="169"/>
        </w:numPr>
        <w:autoSpaceDE w:val="0"/>
        <w:autoSpaceDN w:val="0"/>
        <w:adjustRightInd w:val="0"/>
        <w:ind w:left="426"/>
        <w:jc w:val="both"/>
        <w:rPr>
          <w:rFonts w:ascii="Tahoma" w:hAnsi="Tahoma" w:cs="Tahoma"/>
          <w:b/>
          <w:bCs/>
          <w:sz w:val="20"/>
          <w:szCs w:val="20"/>
        </w:rPr>
      </w:pPr>
      <w:r w:rsidRPr="005E1EA7">
        <w:rPr>
          <w:rFonts w:ascii="Tahoma" w:hAnsi="Tahoma" w:cs="Tahoma"/>
          <w:b/>
          <w:bCs/>
          <w:sz w:val="20"/>
          <w:szCs w:val="20"/>
        </w:rPr>
        <w:t>METHODES DE ROUTINE</w:t>
      </w:r>
    </w:p>
    <w:p w14:paraId="5936A682" w14:textId="77777777" w:rsidR="003D69A8" w:rsidRPr="005E1EA7" w:rsidRDefault="003D69A8" w:rsidP="003D69A8">
      <w:pPr>
        <w:autoSpaceDE w:val="0"/>
        <w:autoSpaceDN w:val="0"/>
        <w:adjustRightInd w:val="0"/>
        <w:jc w:val="both"/>
        <w:rPr>
          <w:rFonts w:ascii="Tahoma" w:hAnsi="Tahoma" w:cs="Tahoma"/>
          <w:sz w:val="20"/>
          <w:szCs w:val="20"/>
        </w:rPr>
      </w:pPr>
    </w:p>
    <w:p w14:paraId="209EA95D" w14:textId="77777777" w:rsidR="003D69A8" w:rsidRPr="005E1EA7" w:rsidRDefault="003D69A8" w:rsidP="003D69A8">
      <w:pPr>
        <w:autoSpaceDE w:val="0"/>
        <w:autoSpaceDN w:val="0"/>
        <w:adjustRightInd w:val="0"/>
        <w:jc w:val="both"/>
        <w:rPr>
          <w:rFonts w:ascii="Tahoma" w:hAnsi="Tahoma" w:cs="Tahoma"/>
          <w:sz w:val="20"/>
          <w:szCs w:val="20"/>
        </w:rPr>
      </w:pPr>
      <w:proofErr w:type="gramStart"/>
      <w:r w:rsidRPr="005E1EA7">
        <w:rPr>
          <w:rFonts w:ascii="Tahoma" w:hAnsi="Tahoma" w:cs="Tahoma"/>
          <w:sz w:val="20"/>
          <w:szCs w:val="20"/>
        </w:rPr>
        <w:t>a</w:t>
      </w:r>
      <w:proofErr w:type="gramEnd"/>
      <w:r w:rsidRPr="005E1EA7">
        <w:rPr>
          <w:rFonts w:ascii="Tahoma" w:hAnsi="Tahoma" w:cs="Tahoma"/>
          <w:sz w:val="20"/>
          <w:szCs w:val="20"/>
        </w:rPr>
        <w:t>). Les méthodes de routine utilisables pour le contrôle de la valeur limite en ABVT sont :</w:t>
      </w:r>
    </w:p>
    <w:p w14:paraId="01D409FD" w14:textId="77777777" w:rsidR="003D69A8" w:rsidRPr="005E1EA7" w:rsidRDefault="003D69A8" w:rsidP="003D69A8">
      <w:pPr>
        <w:autoSpaceDE w:val="0"/>
        <w:autoSpaceDN w:val="0"/>
        <w:adjustRightInd w:val="0"/>
        <w:jc w:val="both"/>
        <w:rPr>
          <w:rFonts w:ascii="Tahoma" w:hAnsi="Tahoma" w:cs="Tahoma"/>
          <w:sz w:val="20"/>
          <w:szCs w:val="20"/>
        </w:rPr>
      </w:pPr>
    </w:p>
    <w:p w14:paraId="3E8FE10A" w14:textId="77777777" w:rsidR="003D69A8" w:rsidRPr="005E1EA7" w:rsidRDefault="003D69A8" w:rsidP="003D69A8">
      <w:pPr>
        <w:autoSpaceDE w:val="0"/>
        <w:autoSpaceDN w:val="0"/>
        <w:adjustRightInd w:val="0"/>
        <w:ind w:left="708" w:hanging="348"/>
        <w:jc w:val="both"/>
        <w:rPr>
          <w:rFonts w:ascii="Tahoma" w:hAnsi="Tahoma" w:cs="Tahoma"/>
          <w:sz w:val="20"/>
          <w:szCs w:val="20"/>
        </w:rPr>
      </w:pPr>
      <w:r w:rsidRPr="005E1EA7">
        <w:rPr>
          <w:rFonts w:ascii="Tahoma" w:hAnsi="Tahoma" w:cs="Tahoma"/>
          <w:sz w:val="20"/>
          <w:szCs w:val="20"/>
        </w:rPr>
        <w:t xml:space="preserve">- </w:t>
      </w:r>
      <w:r w:rsidRPr="005E1EA7">
        <w:rPr>
          <w:rFonts w:ascii="Tahoma" w:hAnsi="Tahoma" w:cs="Tahoma"/>
          <w:sz w:val="20"/>
          <w:szCs w:val="20"/>
        </w:rPr>
        <w:tab/>
        <w:t>la microdiffusion, décrite par Conway et Byrne (1933),</w:t>
      </w:r>
    </w:p>
    <w:p w14:paraId="30B903F8" w14:textId="77777777" w:rsidR="003D69A8" w:rsidRPr="005E1EA7" w:rsidRDefault="003D69A8" w:rsidP="003D69A8">
      <w:pPr>
        <w:autoSpaceDE w:val="0"/>
        <w:autoSpaceDN w:val="0"/>
        <w:adjustRightInd w:val="0"/>
        <w:ind w:left="708" w:hanging="348"/>
        <w:jc w:val="both"/>
        <w:rPr>
          <w:rFonts w:ascii="Tahoma" w:hAnsi="Tahoma" w:cs="Tahoma"/>
          <w:sz w:val="20"/>
          <w:szCs w:val="20"/>
        </w:rPr>
      </w:pPr>
      <w:r w:rsidRPr="005E1EA7">
        <w:rPr>
          <w:rFonts w:ascii="Tahoma" w:hAnsi="Tahoma" w:cs="Tahoma"/>
          <w:sz w:val="20"/>
          <w:szCs w:val="20"/>
        </w:rPr>
        <w:t xml:space="preserve">- </w:t>
      </w:r>
      <w:r w:rsidRPr="005E1EA7">
        <w:rPr>
          <w:rFonts w:ascii="Tahoma" w:hAnsi="Tahoma" w:cs="Tahoma"/>
          <w:sz w:val="20"/>
          <w:szCs w:val="20"/>
        </w:rPr>
        <w:tab/>
        <w:t>la distillation directe, décrite par Antonacopoulos (1968),</w:t>
      </w:r>
    </w:p>
    <w:p w14:paraId="44DA0893" w14:textId="77777777" w:rsidR="003D69A8" w:rsidRPr="005E1EA7" w:rsidRDefault="003D69A8" w:rsidP="003D69A8">
      <w:pPr>
        <w:autoSpaceDE w:val="0"/>
        <w:autoSpaceDN w:val="0"/>
        <w:adjustRightInd w:val="0"/>
        <w:ind w:left="708" w:hanging="348"/>
        <w:jc w:val="both"/>
        <w:rPr>
          <w:rFonts w:ascii="Tahoma" w:hAnsi="Tahoma" w:cs="Tahoma"/>
          <w:sz w:val="20"/>
          <w:szCs w:val="20"/>
        </w:rPr>
      </w:pPr>
      <w:r w:rsidRPr="005E1EA7">
        <w:rPr>
          <w:rFonts w:ascii="Tahoma" w:hAnsi="Tahoma" w:cs="Tahoma"/>
          <w:sz w:val="20"/>
          <w:szCs w:val="20"/>
        </w:rPr>
        <w:t xml:space="preserve">- </w:t>
      </w:r>
      <w:r w:rsidRPr="005E1EA7">
        <w:rPr>
          <w:rFonts w:ascii="Tahoma" w:hAnsi="Tahoma" w:cs="Tahoma"/>
          <w:sz w:val="20"/>
          <w:szCs w:val="20"/>
        </w:rPr>
        <w:tab/>
        <w:t>la distillation d'un extrait déprotéinisé par l'acide trichloracétique (comité du Codex Alimentarius pour les poissons et les produits de la pêche, 1968).</w:t>
      </w:r>
    </w:p>
    <w:p w14:paraId="7B87D42D" w14:textId="77777777" w:rsidR="003D69A8" w:rsidRPr="005E1EA7" w:rsidRDefault="003D69A8" w:rsidP="003D69A8">
      <w:pPr>
        <w:autoSpaceDE w:val="0"/>
        <w:autoSpaceDN w:val="0"/>
        <w:adjustRightInd w:val="0"/>
        <w:jc w:val="both"/>
        <w:rPr>
          <w:rFonts w:ascii="Tahoma" w:hAnsi="Tahoma" w:cs="Tahoma"/>
          <w:sz w:val="20"/>
          <w:szCs w:val="20"/>
        </w:rPr>
      </w:pPr>
    </w:p>
    <w:p w14:paraId="24E3CE51" w14:textId="77777777" w:rsidR="003D69A8" w:rsidRPr="005E1EA7" w:rsidRDefault="003D69A8" w:rsidP="003D69A8">
      <w:pPr>
        <w:autoSpaceDE w:val="0"/>
        <w:autoSpaceDN w:val="0"/>
        <w:adjustRightInd w:val="0"/>
        <w:jc w:val="both"/>
        <w:rPr>
          <w:rFonts w:ascii="Tahoma" w:hAnsi="Tahoma" w:cs="Tahoma"/>
          <w:sz w:val="20"/>
          <w:szCs w:val="20"/>
        </w:rPr>
      </w:pPr>
      <w:r w:rsidRPr="005E1EA7">
        <w:rPr>
          <w:rFonts w:ascii="Tahoma" w:hAnsi="Tahoma" w:cs="Tahoma"/>
          <w:sz w:val="20"/>
          <w:szCs w:val="20"/>
        </w:rPr>
        <w:t>En cas de doute ou de litige concernant les résultats de l'analyse effectuée par l'une des méthodes de routine, seule la méthode de référence peut être utilisée pour vérifier ces résultats.</w:t>
      </w:r>
    </w:p>
    <w:p w14:paraId="526EB897" w14:textId="77777777" w:rsidR="003D69A8" w:rsidRPr="005E1EA7" w:rsidRDefault="003D69A8" w:rsidP="003D69A8">
      <w:pPr>
        <w:autoSpaceDE w:val="0"/>
        <w:autoSpaceDN w:val="0"/>
        <w:adjustRightInd w:val="0"/>
        <w:jc w:val="both"/>
        <w:rPr>
          <w:rFonts w:ascii="Tahoma" w:hAnsi="Tahoma" w:cs="Tahoma"/>
          <w:sz w:val="20"/>
          <w:szCs w:val="20"/>
        </w:rPr>
      </w:pPr>
    </w:p>
    <w:p w14:paraId="7CAC5769" w14:textId="77777777" w:rsidR="003D69A8" w:rsidRPr="005E1EA7" w:rsidRDefault="003D69A8" w:rsidP="003D69A8">
      <w:pPr>
        <w:autoSpaceDE w:val="0"/>
        <w:autoSpaceDN w:val="0"/>
        <w:adjustRightInd w:val="0"/>
        <w:jc w:val="both"/>
        <w:rPr>
          <w:rFonts w:ascii="Tahoma" w:hAnsi="Tahoma" w:cs="Tahoma"/>
          <w:sz w:val="20"/>
          <w:szCs w:val="20"/>
        </w:rPr>
      </w:pPr>
      <w:proofErr w:type="gramStart"/>
      <w:r w:rsidRPr="005E1EA7">
        <w:rPr>
          <w:rFonts w:ascii="Tahoma" w:hAnsi="Tahoma" w:cs="Tahoma"/>
          <w:sz w:val="20"/>
          <w:szCs w:val="20"/>
        </w:rPr>
        <w:t>b</w:t>
      </w:r>
      <w:proofErr w:type="gramEnd"/>
      <w:r w:rsidRPr="005E1EA7">
        <w:rPr>
          <w:rFonts w:ascii="Tahoma" w:hAnsi="Tahoma" w:cs="Tahoma"/>
          <w:sz w:val="20"/>
          <w:szCs w:val="20"/>
        </w:rPr>
        <w:t>). L'échantillon doit consister en 100 grammes de chair environ, prélevés en trois endroits différents au moins et mélangés par broyage.</w:t>
      </w:r>
    </w:p>
    <w:p w14:paraId="7AA2602F" w14:textId="77777777" w:rsidR="003D69A8" w:rsidRPr="005E1EA7" w:rsidRDefault="003D69A8" w:rsidP="003D69A8">
      <w:pPr>
        <w:autoSpaceDE w:val="0"/>
        <w:autoSpaceDN w:val="0"/>
        <w:adjustRightInd w:val="0"/>
        <w:jc w:val="both"/>
        <w:rPr>
          <w:rFonts w:ascii="Tahoma" w:hAnsi="Tahoma" w:cs="Tahoma"/>
          <w:sz w:val="20"/>
          <w:szCs w:val="20"/>
        </w:rPr>
      </w:pPr>
    </w:p>
    <w:p w14:paraId="4250F3D2" w14:textId="77777777" w:rsidR="003D69A8" w:rsidRPr="005E1EA7" w:rsidRDefault="003D69A8" w:rsidP="00420DDA">
      <w:pPr>
        <w:pStyle w:val="Paragraphedeliste"/>
        <w:numPr>
          <w:ilvl w:val="3"/>
          <w:numId w:val="169"/>
        </w:numPr>
        <w:autoSpaceDE w:val="0"/>
        <w:autoSpaceDN w:val="0"/>
        <w:adjustRightInd w:val="0"/>
        <w:ind w:left="426"/>
        <w:jc w:val="both"/>
        <w:rPr>
          <w:rFonts w:ascii="Tahoma" w:hAnsi="Tahoma" w:cs="Tahoma"/>
          <w:b/>
          <w:bCs/>
          <w:sz w:val="20"/>
          <w:szCs w:val="20"/>
        </w:rPr>
      </w:pPr>
      <w:r w:rsidRPr="005E1EA7">
        <w:rPr>
          <w:rFonts w:ascii="Tahoma" w:hAnsi="Tahoma" w:cs="Tahoma"/>
          <w:b/>
          <w:bCs/>
          <w:sz w:val="20"/>
          <w:szCs w:val="20"/>
        </w:rPr>
        <w:t>METHODE DE REFERENCE</w:t>
      </w:r>
    </w:p>
    <w:p w14:paraId="36A685CC" w14:textId="77777777" w:rsidR="003D69A8" w:rsidRPr="005E1EA7" w:rsidRDefault="003D69A8" w:rsidP="003D69A8">
      <w:pPr>
        <w:pStyle w:val="Paragraphedeliste"/>
        <w:autoSpaceDE w:val="0"/>
        <w:autoSpaceDN w:val="0"/>
        <w:adjustRightInd w:val="0"/>
        <w:ind w:left="426"/>
        <w:jc w:val="both"/>
        <w:rPr>
          <w:rFonts w:ascii="Tahoma" w:hAnsi="Tahoma" w:cs="Tahoma"/>
          <w:b/>
          <w:bCs/>
          <w:sz w:val="20"/>
          <w:szCs w:val="20"/>
        </w:rPr>
      </w:pPr>
    </w:p>
    <w:p w14:paraId="2D67BA07" w14:textId="77777777" w:rsidR="003D69A8" w:rsidRPr="005E1EA7" w:rsidRDefault="003D69A8" w:rsidP="00420DDA">
      <w:pPr>
        <w:pStyle w:val="Paragraphedeliste"/>
        <w:numPr>
          <w:ilvl w:val="1"/>
          <w:numId w:val="172"/>
        </w:numPr>
        <w:autoSpaceDE w:val="0"/>
        <w:autoSpaceDN w:val="0"/>
        <w:adjustRightInd w:val="0"/>
        <w:jc w:val="both"/>
        <w:rPr>
          <w:rFonts w:ascii="Tahoma" w:hAnsi="Tahoma" w:cs="Tahoma"/>
          <w:b/>
          <w:bCs/>
          <w:sz w:val="20"/>
          <w:szCs w:val="20"/>
        </w:rPr>
      </w:pPr>
      <w:r w:rsidRPr="005E1EA7">
        <w:rPr>
          <w:rFonts w:ascii="Tahoma" w:hAnsi="Tahoma" w:cs="Tahoma"/>
          <w:b/>
          <w:bCs/>
          <w:sz w:val="20"/>
          <w:szCs w:val="20"/>
        </w:rPr>
        <w:t>Objet et champ d'application</w:t>
      </w:r>
    </w:p>
    <w:p w14:paraId="7F586CFD" w14:textId="77777777" w:rsidR="003D69A8" w:rsidRPr="005E1EA7" w:rsidRDefault="003D69A8" w:rsidP="003D69A8">
      <w:pPr>
        <w:autoSpaceDE w:val="0"/>
        <w:autoSpaceDN w:val="0"/>
        <w:adjustRightInd w:val="0"/>
        <w:jc w:val="both"/>
        <w:rPr>
          <w:rFonts w:ascii="Tahoma" w:hAnsi="Tahoma" w:cs="Tahoma"/>
          <w:sz w:val="20"/>
          <w:szCs w:val="20"/>
        </w:rPr>
      </w:pPr>
    </w:p>
    <w:p w14:paraId="7E5A2CED" w14:textId="77777777" w:rsidR="003D69A8" w:rsidRPr="005E1EA7" w:rsidRDefault="003D69A8" w:rsidP="003D69A8">
      <w:pPr>
        <w:autoSpaceDE w:val="0"/>
        <w:autoSpaceDN w:val="0"/>
        <w:adjustRightInd w:val="0"/>
        <w:jc w:val="both"/>
        <w:rPr>
          <w:rFonts w:ascii="Tahoma" w:hAnsi="Tahoma" w:cs="Tahoma"/>
          <w:sz w:val="20"/>
          <w:szCs w:val="20"/>
        </w:rPr>
      </w:pPr>
      <w:r w:rsidRPr="005E1EA7">
        <w:rPr>
          <w:rFonts w:ascii="Tahoma" w:hAnsi="Tahoma" w:cs="Tahoma"/>
          <w:sz w:val="20"/>
          <w:szCs w:val="20"/>
        </w:rPr>
        <w:t>La présente méthode décrit la procédure de référence utilisée par les laboratoires officiels en routine pour la détermination de la concentration en ABVT dans les poissons et les produits de la pêche. Elle s'applique à des concentrations comprises entre 5 mg/100 g et 100 mg/100 g au moins.</w:t>
      </w:r>
    </w:p>
    <w:p w14:paraId="647A8C70" w14:textId="77777777" w:rsidR="003D69A8" w:rsidRPr="005E1EA7" w:rsidRDefault="003D69A8" w:rsidP="003D69A8">
      <w:pPr>
        <w:autoSpaceDE w:val="0"/>
        <w:autoSpaceDN w:val="0"/>
        <w:adjustRightInd w:val="0"/>
        <w:jc w:val="both"/>
        <w:rPr>
          <w:rFonts w:ascii="Tahoma" w:hAnsi="Tahoma" w:cs="Tahoma"/>
          <w:sz w:val="20"/>
          <w:szCs w:val="20"/>
        </w:rPr>
      </w:pPr>
    </w:p>
    <w:p w14:paraId="4C6A86C5" w14:textId="77777777" w:rsidR="003D69A8" w:rsidRPr="005E1EA7" w:rsidRDefault="003D69A8" w:rsidP="00420DDA">
      <w:pPr>
        <w:pStyle w:val="Paragraphedeliste"/>
        <w:numPr>
          <w:ilvl w:val="1"/>
          <w:numId w:val="172"/>
        </w:numPr>
        <w:autoSpaceDE w:val="0"/>
        <w:autoSpaceDN w:val="0"/>
        <w:adjustRightInd w:val="0"/>
        <w:jc w:val="both"/>
        <w:rPr>
          <w:rFonts w:ascii="Tahoma" w:hAnsi="Tahoma" w:cs="Tahoma"/>
          <w:b/>
          <w:bCs/>
          <w:sz w:val="20"/>
          <w:szCs w:val="20"/>
        </w:rPr>
      </w:pPr>
      <w:r w:rsidRPr="005E1EA7">
        <w:rPr>
          <w:rFonts w:ascii="Tahoma" w:hAnsi="Tahoma" w:cs="Tahoma"/>
          <w:b/>
          <w:bCs/>
          <w:sz w:val="20"/>
          <w:szCs w:val="20"/>
        </w:rPr>
        <w:t>Définition</w:t>
      </w:r>
    </w:p>
    <w:p w14:paraId="2DC1047E" w14:textId="77777777" w:rsidR="003D69A8" w:rsidRPr="005E1EA7" w:rsidRDefault="003D69A8" w:rsidP="003D69A8">
      <w:pPr>
        <w:autoSpaceDE w:val="0"/>
        <w:autoSpaceDN w:val="0"/>
        <w:adjustRightInd w:val="0"/>
        <w:jc w:val="both"/>
        <w:rPr>
          <w:rFonts w:ascii="Tahoma" w:hAnsi="Tahoma" w:cs="Tahoma"/>
          <w:sz w:val="20"/>
          <w:szCs w:val="20"/>
        </w:rPr>
      </w:pPr>
    </w:p>
    <w:p w14:paraId="60D60FD7" w14:textId="77777777" w:rsidR="003D69A8" w:rsidRPr="005E1EA7" w:rsidRDefault="003D69A8" w:rsidP="003D69A8">
      <w:pPr>
        <w:autoSpaceDE w:val="0"/>
        <w:autoSpaceDN w:val="0"/>
        <w:adjustRightInd w:val="0"/>
        <w:jc w:val="both"/>
        <w:rPr>
          <w:rFonts w:ascii="Tahoma" w:hAnsi="Tahoma" w:cs="Tahoma"/>
          <w:sz w:val="20"/>
          <w:szCs w:val="20"/>
        </w:rPr>
      </w:pPr>
      <w:r w:rsidRPr="005E1EA7">
        <w:rPr>
          <w:rFonts w:ascii="Tahoma" w:hAnsi="Tahoma" w:cs="Tahoma"/>
          <w:sz w:val="20"/>
          <w:szCs w:val="20"/>
        </w:rPr>
        <w:t>Par « concentration en ABVT », on entend la teneur en azote des bases azotées volatiles telle que déterminée par la procédure décrite. Elle s'exprime en mg/100 g.</w:t>
      </w:r>
    </w:p>
    <w:p w14:paraId="0F2AA28B" w14:textId="77777777" w:rsidR="003D69A8" w:rsidRPr="005E1EA7" w:rsidRDefault="003D69A8" w:rsidP="003D69A8">
      <w:pPr>
        <w:autoSpaceDE w:val="0"/>
        <w:autoSpaceDN w:val="0"/>
        <w:adjustRightInd w:val="0"/>
        <w:jc w:val="both"/>
        <w:rPr>
          <w:rFonts w:ascii="Tahoma" w:hAnsi="Tahoma" w:cs="Tahoma"/>
          <w:sz w:val="20"/>
          <w:szCs w:val="20"/>
        </w:rPr>
      </w:pPr>
    </w:p>
    <w:p w14:paraId="71AA7680" w14:textId="77777777" w:rsidR="003D69A8" w:rsidRPr="005E1EA7" w:rsidRDefault="003D69A8" w:rsidP="003D69A8">
      <w:pPr>
        <w:autoSpaceDE w:val="0"/>
        <w:autoSpaceDN w:val="0"/>
        <w:adjustRightInd w:val="0"/>
        <w:jc w:val="both"/>
        <w:rPr>
          <w:rFonts w:ascii="Tahoma" w:hAnsi="Tahoma" w:cs="Tahoma"/>
          <w:sz w:val="20"/>
          <w:szCs w:val="20"/>
        </w:rPr>
      </w:pPr>
      <w:r w:rsidRPr="005E1EA7">
        <w:rPr>
          <w:rFonts w:ascii="Tahoma" w:hAnsi="Tahoma" w:cs="Tahoma"/>
          <w:sz w:val="20"/>
          <w:szCs w:val="20"/>
        </w:rPr>
        <w:t xml:space="preserve">Les bases azotées volatiles sont extraites d'un échantillon au moyen d'une solution d'acide perchlorique à 0,6 mol/l. Après alcalinisation, l'extrait est soumis à une distillation à la vapeur et les constituants </w:t>
      </w:r>
      <w:r w:rsidRPr="005E1EA7">
        <w:rPr>
          <w:rFonts w:ascii="Tahoma" w:hAnsi="Tahoma" w:cs="Tahoma"/>
          <w:sz w:val="20"/>
          <w:szCs w:val="20"/>
        </w:rPr>
        <w:lastRenderedPageBreak/>
        <w:t>basiques volatils sont absorbés par un récepteur acide. La concentration en ABVT est déterminée par titrage des bases absorbées.</w:t>
      </w:r>
    </w:p>
    <w:p w14:paraId="3390FBB2" w14:textId="77777777" w:rsidR="003D69A8" w:rsidRPr="005E1EA7" w:rsidRDefault="003D69A8" w:rsidP="003D69A8">
      <w:pPr>
        <w:autoSpaceDE w:val="0"/>
        <w:autoSpaceDN w:val="0"/>
        <w:adjustRightInd w:val="0"/>
        <w:jc w:val="both"/>
        <w:rPr>
          <w:rFonts w:ascii="Tahoma" w:hAnsi="Tahoma" w:cs="Tahoma"/>
          <w:sz w:val="20"/>
          <w:szCs w:val="20"/>
        </w:rPr>
      </w:pPr>
    </w:p>
    <w:p w14:paraId="5C14A46B" w14:textId="77777777" w:rsidR="003D69A8" w:rsidRPr="005E1EA7" w:rsidRDefault="003D69A8" w:rsidP="00420DDA">
      <w:pPr>
        <w:pStyle w:val="Paragraphedeliste"/>
        <w:numPr>
          <w:ilvl w:val="1"/>
          <w:numId w:val="172"/>
        </w:numPr>
        <w:autoSpaceDE w:val="0"/>
        <w:autoSpaceDN w:val="0"/>
        <w:adjustRightInd w:val="0"/>
        <w:jc w:val="both"/>
        <w:rPr>
          <w:rFonts w:ascii="Tahoma" w:hAnsi="Tahoma" w:cs="Tahoma"/>
          <w:b/>
          <w:bCs/>
          <w:sz w:val="20"/>
          <w:szCs w:val="20"/>
        </w:rPr>
      </w:pPr>
      <w:r w:rsidRPr="005E1EA7">
        <w:rPr>
          <w:rFonts w:ascii="Tahoma" w:hAnsi="Tahoma" w:cs="Tahoma"/>
          <w:b/>
          <w:bCs/>
          <w:sz w:val="20"/>
          <w:szCs w:val="20"/>
        </w:rPr>
        <w:t>Substances chimiques</w:t>
      </w:r>
    </w:p>
    <w:p w14:paraId="1EF48506" w14:textId="77777777" w:rsidR="003D69A8" w:rsidRPr="005E1EA7" w:rsidRDefault="003D69A8" w:rsidP="003D69A8">
      <w:pPr>
        <w:autoSpaceDE w:val="0"/>
        <w:autoSpaceDN w:val="0"/>
        <w:adjustRightInd w:val="0"/>
        <w:jc w:val="both"/>
        <w:rPr>
          <w:rFonts w:ascii="Tahoma" w:hAnsi="Tahoma" w:cs="Tahoma"/>
          <w:sz w:val="20"/>
          <w:szCs w:val="20"/>
        </w:rPr>
      </w:pPr>
    </w:p>
    <w:p w14:paraId="259FFD17" w14:textId="77777777" w:rsidR="003D69A8" w:rsidRPr="005E1EA7" w:rsidRDefault="003D69A8" w:rsidP="003D69A8">
      <w:pPr>
        <w:autoSpaceDE w:val="0"/>
        <w:autoSpaceDN w:val="0"/>
        <w:adjustRightInd w:val="0"/>
        <w:jc w:val="both"/>
        <w:rPr>
          <w:rFonts w:ascii="Tahoma" w:hAnsi="Tahoma" w:cs="Tahoma"/>
          <w:sz w:val="20"/>
          <w:szCs w:val="20"/>
        </w:rPr>
      </w:pPr>
      <w:r w:rsidRPr="005E1EA7">
        <w:rPr>
          <w:rFonts w:ascii="Tahoma" w:hAnsi="Tahoma" w:cs="Tahoma"/>
          <w:sz w:val="20"/>
          <w:szCs w:val="20"/>
        </w:rPr>
        <w:t>Sauf indication contraire, il convient d'utiliser des produits chimiques ayant la qualité de réactifs. L'eau utilisée doit être distillée ou déminéralisée et de pureté au moins équivalente. Sauf indication contraire, on entend par</w:t>
      </w:r>
      <w:proofErr w:type="gramStart"/>
      <w:r w:rsidRPr="005E1EA7">
        <w:rPr>
          <w:rFonts w:ascii="Tahoma" w:hAnsi="Tahoma" w:cs="Tahoma"/>
          <w:sz w:val="20"/>
          <w:szCs w:val="20"/>
        </w:rPr>
        <w:t xml:space="preserve"> «solution</w:t>
      </w:r>
      <w:proofErr w:type="gramEnd"/>
      <w:r w:rsidRPr="005E1EA7">
        <w:rPr>
          <w:rFonts w:ascii="Tahoma" w:hAnsi="Tahoma" w:cs="Tahoma"/>
          <w:sz w:val="20"/>
          <w:szCs w:val="20"/>
        </w:rPr>
        <w:t>» une solution aqueuse répondant aux caractéristiques suivantes :</w:t>
      </w:r>
    </w:p>
    <w:p w14:paraId="05BD20E5" w14:textId="77777777" w:rsidR="003D69A8" w:rsidRPr="005E1EA7" w:rsidRDefault="003D69A8" w:rsidP="00420DDA">
      <w:pPr>
        <w:pStyle w:val="Paragraphedeliste"/>
        <w:numPr>
          <w:ilvl w:val="0"/>
          <w:numId w:val="186"/>
        </w:numPr>
        <w:autoSpaceDE w:val="0"/>
        <w:autoSpaceDN w:val="0"/>
        <w:adjustRightInd w:val="0"/>
        <w:jc w:val="both"/>
        <w:rPr>
          <w:rFonts w:ascii="Tahoma" w:hAnsi="Tahoma" w:cs="Tahoma"/>
          <w:sz w:val="20"/>
          <w:szCs w:val="20"/>
        </w:rPr>
      </w:pPr>
      <w:proofErr w:type="gramStart"/>
      <w:r w:rsidRPr="005E1EA7">
        <w:rPr>
          <w:rFonts w:ascii="Tahoma" w:hAnsi="Tahoma" w:cs="Tahoma"/>
          <w:sz w:val="20"/>
          <w:szCs w:val="20"/>
        </w:rPr>
        <w:t>solution</w:t>
      </w:r>
      <w:proofErr w:type="gramEnd"/>
      <w:r w:rsidRPr="005E1EA7">
        <w:rPr>
          <w:rFonts w:ascii="Tahoma" w:hAnsi="Tahoma" w:cs="Tahoma"/>
          <w:sz w:val="20"/>
          <w:szCs w:val="20"/>
        </w:rPr>
        <w:t xml:space="preserve"> d'acide perchlorique = 6 g/100 ml.</w:t>
      </w:r>
    </w:p>
    <w:p w14:paraId="43A393E2" w14:textId="77777777" w:rsidR="003D69A8" w:rsidRPr="005E1EA7" w:rsidRDefault="003D69A8" w:rsidP="003D69A8">
      <w:pPr>
        <w:pStyle w:val="Paragraphedeliste"/>
        <w:autoSpaceDE w:val="0"/>
        <w:autoSpaceDN w:val="0"/>
        <w:adjustRightInd w:val="0"/>
        <w:ind w:left="720"/>
        <w:jc w:val="both"/>
        <w:rPr>
          <w:rFonts w:ascii="Tahoma" w:hAnsi="Tahoma" w:cs="Tahoma"/>
          <w:sz w:val="20"/>
          <w:szCs w:val="20"/>
        </w:rPr>
      </w:pPr>
    </w:p>
    <w:p w14:paraId="756D22C2" w14:textId="77777777" w:rsidR="003D69A8" w:rsidRPr="005E1EA7" w:rsidRDefault="003D69A8" w:rsidP="00420DDA">
      <w:pPr>
        <w:pStyle w:val="Paragraphedeliste"/>
        <w:numPr>
          <w:ilvl w:val="0"/>
          <w:numId w:val="186"/>
        </w:numPr>
        <w:autoSpaceDE w:val="0"/>
        <w:autoSpaceDN w:val="0"/>
        <w:adjustRightInd w:val="0"/>
        <w:jc w:val="both"/>
        <w:rPr>
          <w:rFonts w:ascii="Tahoma" w:hAnsi="Tahoma" w:cs="Tahoma"/>
          <w:sz w:val="20"/>
          <w:szCs w:val="20"/>
        </w:rPr>
      </w:pPr>
      <w:proofErr w:type="gramStart"/>
      <w:r w:rsidRPr="005E1EA7">
        <w:rPr>
          <w:rFonts w:ascii="Tahoma" w:hAnsi="Tahoma" w:cs="Tahoma"/>
          <w:sz w:val="20"/>
          <w:szCs w:val="20"/>
        </w:rPr>
        <w:t>solution</w:t>
      </w:r>
      <w:proofErr w:type="gramEnd"/>
      <w:r w:rsidRPr="005E1EA7">
        <w:rPr>
          <w:rFonts w:ascii="Tahoma" w:hAnsi="Tahoma" w:cs="Tahoma"/>
          <w:sz w:val="20"/>
          <w:szCs w:val="20"/>
        </w:rPr>
        <w:t xml:space="preserve"> d'hydroxyde de potassium = 20 g/100 ml.</w:t>
      </w:r>
    </w:p>
    <w:p w14:paraId="76DB6EA0" w14:textId="77777777" w:rsidR="003D69A8" w:rsidRPr="005E1EA7" w:rsidRDefault="003D69A8" w:rsidP="003D69A8">
      <w:pPr>
        <w:autoSpaceDE w:val="0"/>
        <w:autoSpaceDN w:val="0"/>
        <w:adjustRightInd w:val="0"/>
        <w:jc w:val="both"/>
        <w:rPr>
          <w:rFonts w:ascii="Tahoma" w:hAnsi="Tahoma" w:cs="Tahoma"/>
          <w:sz w:val="20"/>
          <w:szCs w:val="20"/>
        </w:rPr>
      </w:pPr>
    </w:p>
    <w:p w14:paraId="5B2FDD98" w14:textId="77777777" w:rsidR="003D69A8" w:rsidRPr="005E1EA7" w:rsidRDefault="003D69A8" w:rsidP="00420DDA">
      <w:pPr>
        <w:pStyle w:val="Paragraphedeliste"/>
        <w:numPr>
          <w:ilvl w:val="0"/>
          <w:numId w:val="186"/>
        </w:numPr>
        <w:autoSpaceDE w:val="0"/>
        <w:autoSpaceDN w:val="0"/>
        <w:adjustRightInd w:val="0"/>
        <w:jc w:val="both"/>
        <w:rPr>
          <w:rFonts w:ascii="Tahoma" w:hAnsi="Tahoma" w:cs="Tahoma"/>
          <w:sz w:val="20"/>
          <w:szCs w:val="20"/>
        </w:rPr>
      </w:pPr>
      <w:proofErr w:type="gramStart"/>
      <w:r w:rsidRPr="005E1EA7">
        <w:rPr>
          <w:rFonts w:ascii="Tahoma" w:hAnsi="Tahoma" w:cs="Tahoma"/>
          <w:sz w:val="20"/>
          <w:szCs w:val="20"/>
        </w:rPr>
        <w:t>solution</w:t>
      </w:r>
      <w:proofErr w:type="gramEnd"/>
      <w:r w:rsidRPr="005E1EA7">
        <w:rPr>
          <w:rFonts w:ascii="Tahoma" w:hAnsi="Tahoma" w:cs="Tahoma"/>
          <w:sz w:val="20"/>
          <w:szCs w:val="20"/>
        </w:rPr>
        <w:t xml:space="preserve"> standard d'acide chlorhydrique à 0,05 mol/l (0,05 N).</w:t>
      </w:r>
    </w:p>
    <w:p w14:paraId="5654F898" w14:textId="77777777" w:rsidR="003D69A8" w:rsidRPr="005E1EA7" w:rsidRDefault="003D69A8" w:rsidP="003D69A8">
      <w:pPr>
        <w:autoSpaceDE w:val="0"/>
        <w:autoSpaceDN w:val="0"/>
        <w:adjustRightInd w:val="0"/>
        <w:ind w:left="720" w:hanging="11"/>
        <w:jc w:val="both"/>
        <w:rPr>
          <w:rFonts w:ascii="Tahoma" w:hAnsi="Tahoma" w:cs="Tahoma"/>
          <w:sz w:val="20"/>
          <w:szCs w:val="20"/>
        </w:rPr>
      </w:pPr>
      <w:r w:rsidRPr="005E1EA7">
        <w:rPr>
          <w:rFonts w:ascii="Tahoma" w:hAnsi="Tahoma" w:cs="Tahoma"/>
          <w:sz w:val="20"/>
          <w:szCs w:val="20"/>
        </w:rPr>
        <w:t>Note : avec un appareil de distillation automatique, le titrage doit se faire avec une solution standard d'acide chlorhydrique à 0,01 mol/l (0,01 N).</w:t>
      </w:r>
    </w:p>
    <w:p w14:paraId="14D1BA09" w14:textId="77777777" w:rsidR="003D69A8" w:rsidRPr="005E1EA7" w:rsidRDefault="003D69A8" w:rsidP="003D69A8">
      <w:pPr>
        <w:autoSpaceDE w:val="0"/>
        <w:autoSpaceDN w:val="0"/>
        <w:adjustRightInd w:val="0"/>
        <w:ind w:left="720" w:hanging="11"/>
        <w:jc w:val="both"/>
        <w:rPr>
          <w:rFonts w:ascii="Tahoma" w:hAnsi="Tahoma" w:cs="Tahoma"/>
          <w:sz w:val="20"/>
          <w:szCs w:val="20"/>
        </w:rPr>
      </w:pPr>
    </w:p>
    <w:p w14:paraId="4CDAA470" w14:textId="77777777" w:rsidR="003D69A8" w:rsidRPr="005E1EA7" w:rsidRDefault="003D69A8" w:rsidP="00420DDA">
      <w:pPr>
        <w:pStyle w:val="Paragraphedeliste"/>
        <w:numPr>
          <w:ilvl w:val="0"/>
          <w:numId w:val="186"/>
        </w:numPr>
        <w:autoSpaceDE w:val="0"/>
        <w:autoSpaceDN w:val="0"/>
        <w:adjustRightInd w:val="0"/>
        <w:jc w:val="both"/>
        <w:rPr>
          <w:rFonts w:ascii="Tahoma" w:hAnsi="Tahoma" w:cs="Tahoma"/>
          <w:sz w:val="20"/>
          <w:szCs w:val="20"/>
        </w:rPr>
      </w:pPr>
      <w:proofErr w:type="gramStart"/>
      <w:r w:rsidRPr="005E1EA7">
        <w:rPr>
          <w:rFonts w:ascii="Tahoma" w:hAnsi="Tahoma" w:cs="Tahoma"/>
          <w:sz w:val="20"/>
          <w:szCs w:val="20"/>
        </w:rPr>
        <w:t>solution</w:t>
      </w:r>
      <w:proofErr w:type="gramEnd"/>
      <w:r w:rsidRPr="005E1EA7">
        <w:rPr>
          <w:rFonts w:ascii="Tahoma" w:hAnsi="Tahoma" w:cs="Tahoma"/>
          <w:sz w:val="20"/>
          <w:szCs w:val="20"/>
        </w:rPr>
        <w:t xml:space="preserve"> d'acide borique = 3 g/100 ml.</w:t>
      </w:r>
    </w:p>
    <w:p w14:paraId="7AE34D3A" w14:textId="77777777" w:rsidR="003D69A8" w:rsidRPr="005E1EA7" w:rsidRDefault="003D69A8" w:rsidP="003D69A8">
      <w:pPr>
        <w:autoSpaceDE w:val="0"/>
        <w:autoSpaceDN w:val="0"/>
        <w:adjustRightInd w:val="0"/>
        <w:ind w:left="720" w:hanging="360"/>
        <w:jc w:val="both"/>
        <w:rPr>
          <w:rFonts w:ascii="Tahoma" w:hAnsi="Tahoma" w:cs="Tahoma"/>
          <w:sz w:val="20"/>
          <w:szCs w:val="20"/>
        </w:rPr>
      </w:pPr>
    </w:p>
    <w:p w14:paraId="7D16A387" w14:textId="77777777" w:rsidR="003D69A8" w:rsidRPr="005E1EA7" w:rsidRDefault="003D69A8" w:rsidP="00420DDA">
      <w:pPr>
        <w:pStyle w:val="Paragraphedeliste"/>
        <w:numPr>
          <w:ilvl w:val="0"/>
          <w:numId w:val="186"/>
        </w:numPr>
        <w:autoSpaceDE w:val="0"/>
        <w:autoSpaceDN w:val="0"/>
        <w:adjustRightInd w:val="0"/>
        <w:jc w:val="both"/>
        <w:rPr>
          <w:rFonts w:ascii="Tahoma" w:hAnsi="Tahoma" w:cs="Tahoma"/>
          <w:sz w:val="20"/>
          <w:szCs w:val="20"/>
        </w:rPr>
      </w:pPr>
      <w:proofErr w:type="gramStart"/>
      <w:r w:rsidRPr="005E1EA7">
        <w:rPr>
          <w:rFonts w:ascii="Tahoma" w:hAnsi="Tahoma" w:cs="Tahoma"/>
          <w:sz w:val="20"/>
          <w:szCs w:val="20"/>
        </w:rPr>
        <w:t>agent</w:t>
      </w:r>
      <w:proofErr w:type="gramEnd"/>
      <w:r w:rsidRPr="005E1EA7">
        <w:rPr>
          <w:rFonts w:ascii="Tahoma" w:hAnsi="Tahoma" w:cs="Tahoma"/>
          <w:sz w:val="20"/>
          <w:szCs w:val="20"/>
        </w:rPr>
        <w:t xml:space="preserve"> antimoussant à base de silicone.</w:t>
      </w:r>
    </w:p>
    <w:p w14:paraId="688C5CD0" w14:textId="77777777" w:rsidR="003D69A8" w:rsidRPr="005E1EA7" w:rsidRDefault="003D69A8" w:rsidP="003D69A8">
      <w:pPr>
        <w:autoSpaceDE w:val="0"/>
        <w:autoSpaceDN w:val="0"/>
        <w:adjustRightInd w:val="0"/>
        <w:ind w:left="720" w:hanging="360"/>
        <w:jc w:val="both"/>
        <w:rPr>
          <w:rFonts w:ascii="Tahoma" w:hAnsi="Tahoma" w:cs="Tahoma"/>
          <w:sz w:val="20"/>
          <w:szCs w:val="20"/>
        </w:rPr>
      </w:pPr>
    </w:p>
    <w:p w14:paraId="6BD1919E" w14:textId="77777777" w:rsidR="003D69A8" w:rsidRPr="005E1EA7" w:rsidRDefault="003D69A8" w:rsidP="00420DDA">
      <w:pPr>
        <w:pStyle w:val="Paragraphedeliste"/>
        <w:numPr>
          <w:ilvl w:val="0"/>
          <w:numId w:val="186"/>
        </w:numPr>
        <w:autoSpaceDE w:val="0"/>
        <w:autoSpaceDN w:val="0"/>
        <w:adjustRightInd w:val="0"/>
        <w:jc w:val="both"/>
        <w:rPr>
          <w:rFonts w:ascii="Tahoma" w:hAnsi="Tahoma" w:cs="Tahoma"/>
          <w:sz w:val="20"/>
          <w:szCs w:val="20"/>
        </w:rPr>
      </w:pPr>
      <w:proofErr w:type="gramStart"/>
      <w:r w:rsidRPr="005E1EA7">
        <w:rPr>
          <w:rFonts w:ascii="Tahoma" w:hAnsi="Tahoma" w:cs="Tahoma"/>
          <w:sz w:val="20"/>
          <w:szCs w:val="20"/>
        </w:rPr>
        <w:t>solution</w:t>
      </w:r>
      <w:proofErr w:type="gramEnd"/>
      <w:r w:rsidRPr="005E1EA7">
        <w:rPr>
          <w:rFonts w:ascii="Tahoma" w:hAnsi="Tahoma" w:cs="Tahoma"/>
          <w:sz w:val="20"/>
          <w:szCs w:val="20"/>
        </w:rPr>
        <w:t xml:space="preserve"> de phénolphtaléine = 1 g/100 ml d'éthanol à 95 %.</w:t>
      </w:r>
    </w:p>
    <w:p w14:paraId="61CC567A" w14:textId="77777777" w:rsidR="003D69A8" w:rsidRPr="005E1EA7" w:rsidRDefault="003D69A8" w:rsidP="003D69A8">
      <w:pPr>
        <w:autoSpaceDE w:val="0"/>
        <w:autoSpaceDN w:val="0"/>
        <w:adjustRightInd w:val="0"/>
        <w:ind w:left="720" w:hanging="360"/>
        <w:jc w:val="both"/>
        <w:rPr>
          <w:rFonts w:ascii="Tahoma" w:hAnsi="Tahoma" w:cs="Tahoma"/>
          <w:sz w:val="20"/>
          <w:szCs w:val="20"/>
        </w:rPr>
      </w:pPr>
    </w:p>
    <w:p w14:paraId="771E7EBA" w14:textId="77777777" w:rsidR="003D69A8" w:rsidRPr="005E1EA7" w:rsidRDefault="003D69A8" w:rsidP="00420DDA">
      <w:pPr>
        <w:pStyle w:val="Paragraphedeliste"/>
        <w:numPr>
          <w:ilvl w:val="0"/>
          <w:numId w:val="186"/>
        </w:numPr>
        <w:autoSpaceDE w:val="0"/>
        <w:autoSpaceDN w:val="0"/>
        <w:adjustRightInd w:val="0"/>
        <w:jc w:val="both"/>
        <w:rPr>
          <w:rFonts w:ascii="Tahoma" w:hAnsi="Tahoma" w:cs="Tahoma"/>
          <w:sz w:val="20"/>
          <w:szCs w:val="20"/>
        </w:rPr>
      </w:pPr>
      <w:r w:rsidRPr="005E1EA7">
        <w:rPr>
          <w:rFonts w:ascii="Tahoma" w:hAnsi="Tahoma" w:cs="Tahoma"/>
          <w:sz w:val="20"/>
          <w:szCs w:val="20"/>
        </w:rPr>
        <w:t>g) indicateur (Tashiro Mixed Indicator) : dissoudre 2 g de rouge de méthyle et 1 g de bleu de méthylène dans 1 000 ml d'éthanol à 95 %.</w:t>
      </w:r>
    </w:p>
    <w:p w14:paraId="67F0A1CD" w14:textId="77777777" w:rsidR="003D69A8" w:rsidRPr="005E1EA7" w:rsidRDefault="003D69A8" w:rsidP="003D69A8">
      <w:pPr>
        <w:autoSpaceDE w:val="0"/>
        <w:autoSpaceDN w:val="0"/>
        <w:adjustRightInd w:val="0"/>
        <w:jc w:val="both"/>
        <w:rPr>
          <w:rFonts w:ascii="Tahoma" w:hAnsi="Tahoma" w:cs="Tahoma"/>
          <w:sz w:val="20"/>
          <w:szCs w:val="20"/>
        </w:rPr>
      </w:pPr>
    </w:p>
    <w:p w14:paraId="157C1575" w14:textId="77777777" w:rsidR="003D69A8" w:rsidRPr="005E1EA7" w:rsidRDefault="003D69A8" w:rsidP="003D69A8">
      <w:pPr>
        <w:autoSpaceDE w:val="0"/>
        <w:autoSpaceDN w:val="0"/>
        <w:adjustRightInd w:val="0"/>
        <w:jc w:val="both"/>
        <w:rPr>
          <w:rFonts w:ascii="Tahoma" w:hAnsi="Tahoma" w:cs="Tahoma"/>
          <w:sz w:val="20"/>
          <w:szCs w:val="20"/>
        </w:rPr>
      </w:pPr>
    </w:p>
    <w:p w14:paraId="544FF721" w14:textId="77777777" w:rsidR="003D69A8" w:rsidRPr="005E1EA7" w:rsidRDefault="003D69A8" w:rsidP="003D69A8">
      <w:pPr>
        <w:autoSpaceDE w:val="0"/>
        <w:autoSpaceDN w:val="0"/>
        <w:adjustRightInd w:val="0"/>
        <w:jc w:val="both"/>
        <w:rPr>
          <w:rFonts w:ascii="Tahoma" w:hAnsi="Tahoma" w:cs="Tahoma"/>
          <w:sz w:val="20"/>
          <w:szCs w:val="20"/>
        </w:rPr>
      </w:pPr>
    </w:p>
    <w:p w14:paraId="1AC88DB9" w14:textId="77777777" w:rsidR="003D69A8" w:rsidRPr="005E1EA7" w:rsidRDefault="003D69A8" w:rsidP="00420DDA">
      <w:pPr>
        <w:pStyle w:val="Paragraphedeliste"/>
        <w:numPr>
          <w:ilvl w:val="1"/>
          <w:numId w:val="172"/>
        </w:numPr>
        <w:autoSpaceDE w:val="0"/>
        <w:autoSpaceDN w:val="0"/>
        <w:adjustRightInd w:val="0"/>
        <w:jc w:val="both"/>
        <w:rPr>
          <w:rFonts w:ascii="Tahoma" w:hAnsi="Tahoma" w:cs="Tahoma"/>
          <w:b/>
          <w:bCs/>
          <w:sz w:val="20"/>
          <w:szCs w:val="20"/>
        </w:rPr>
      </w:pPr>
      <w:r w:rsidRPr="005E1EA7">
        <w:rPr>
          <w:rFonts w:ascii="Tahoma" w:hAnsi="Tahoma" w:cs="Tahoma"/>
          <w:b/>
          <w:bCs/>
          <w:sz w:val="20"/>
          <w:szCs w:val="20"/>
        </w:rPr>
        <w:t>Instruments et accessoires</w:t>
      </w:r>
    </w:p>
    <w:p w14:paraId="1AF1B8CB" w14:textId="77777777" w:rsidR="003D69A8" w:rsidRPr="005E1EA7" w:rsidRDefault="003D69A8" w:rsidP="003D69A8">
      <w:pPr>
        <w:autoSpaceDE w:val="0"/>
        <w:autoSpaceDN w:val="0"/>
        <w:adjustRightInd w:val="0"/>
        <w:jc w:val="both"/>
        <w:rPr>
          <w:rFonts w:ascii="Tahoma" w:hAnsi="Tahoma" w:cs="Tahoma"/>
          <w:sz w:val="20"/>
          <w:szCs w:val="20"/>
        </w:rPr>
      </w:pPr>
    </w:p>
    <w:p w14:paraId="464AFB45" w14:textId="77777777" w:rsidR="003D69A8" w:rsidRPr="005E1EA7" w:rsidRDefault="003D69A8" w:rsidP="003D69A8">
      <w:pPr>
        <w:autoSpaceDE w:val="0"/>
        <w:autoSpaceDN w:val="0"/>
        <w:adjustRightInd w:val="0"/>
        <w:ind w:left="720" w:hanging="360"/>
        <w:jc w:val="both"/>
        <w:rPr>
          <w:rFonts w:ascii="Tahoma" w:hAnsi="Tahoma" w:cs="Tahoma"/>
          <w:sz w:val="20"/>
          <w:szCs w:val="20"/>
        </w:rPr>
      </w:pPr>
      <w:r w:rsidRPr="005E1EA7">
        <w:rPr>
          <w:rFonts w:ascii="Tahoma" w:hAnsi="Tahoma" w:cs="Tahoma"/>
          <w:sz w:val="20"/>
          <w:szCs w:val="20"/>
        </w:rPr>
        <w:t>a) Hachoir donnant un hachis de poisson suffisamment homogène.</w:t>
      </w:r>
    </w:p>
    <w:p w14:paraId="45965065" w14:textId="77777777" w:rsidR="003D69A8" w:rsidRPr="005E1EA7" w:rsidRDefault="003D69A8" w:rsidP="003D69A8">
      <w:pPr>
        <w:autoSpaceDE w:val="0"/>
        <w:autoSpaceDN w:val="0"/>
        <w:adjustRightInd w:val="0"/>
        <w:ind w:left="720" w:hanging="360"/>
        <w:jc w:val="both"/>
        <w:rPr>
          <w:rFonts w:ascii="Tahoma" w:hAnsi="Tahoma" w:cs="Tahoma"/>
          <w:sz w:val="20"/>
          <w:szCs w:val="20"/>
        </w:rPr>
      </w:pPr>
      <w:r w:rsidRPr="005E1EA7">
        <w:rPr>
          <w:rFonts w:ascii="Tahoma" w:hAnsi="Tahoma" w:cs="Tahoma"/>
          <w:sz w:val="20"/>
          <w:szCs w:val="20"/>
        </w:rPr>
        <w:t>b) Mélangeur à grande vitesse, dont la vitesse de rotation est comprise entre 8 000 et 45 000 tours/minute.</w:t>
      </w:r>
    </w:p>
    <w:p w14:paraId="329713BA" w14:textId="77777777" w:rsidR="003D69A8" w:rsidRPr="005E1EA7" w:rsidRDefault="003D69A8" w:rsidP="003D69A8">
      <w:pPr>
        <w:autoSpaceDE w:val="0"/>
        <w:autoSpaceDN w:val="0"/>
        <w:adjustRightInd w:val="0"/>
        <w:ind w:left="720" w:hanging="360"/>
        <w:jc w:val="both"/>
        <w:rPr>
          <w:rFonts w:ascii="Tahoma" w:hAnsi="Tahoma" w:cs="Tahoma"/>
          <w:sz w:val="20"/>
          <w:szCs w:val="20"/>
        </w:rPr>
      </w:pPr>
      <w:r w:rsidRPr="005E1EA7">
        <w:rPr>
          <w:rFonts w:ascii="Tahoma" w:hAnsi="Tahoma" w:cs="Tahoma"/>
          <w:sz w:val="20"/>
          <w:szCs w:val="20"/>
        </w:rPr>
        <w:t>c) Filtre plissé de 150 mm de diamètre à filtrage rapide.</w:t>
      </w:r>
    </w:p>
    <w:p w14:paraId="68DC82A9" w14:textId="77777777" w:rsidR="003D69A8" w:rsidRPr="005E1EA7" w:rsidRDefault="003D69A8" w:rsidP="003D69A8">
      <w:pPr>
        <w:autoSpaceDE w:val="0"/>
        <w:autoSpaceDN w:val="0"/>
        <w:adjustRightInd w:val="0"/>
        <w:ind w:left="720" w:hanging="360"/>
        <w:jc w:val="both"/>
        <w:rPr>
          <w:rFonts w:ascii="Tahoma" w:hAnsi="Tahoma" w:cs="Tahoma"/>
          <w:sz w:val="20"/>
          <w:szCs w:val="20"/>
        </w:rPr>
      </w:pPr>
      <w:r w:rsidRPr="005E1EA7">
        <w:rPr>
          <w:rFonts w:ascii="Tahoma" w:hAnsi="Tahoma" w:cs="Tahoma"/>
          <w:sz w:val="20"/>
          <w:szCs w:val="20"/>
        </w:rPr>
        <w:t>d) Burette de 5 ml graduée en centième de millilitre.</w:t>
      </w:r>
    </w:p>
    <w:p w14:paraId="6E8D8128" w14:textId="77777777" w:rsidR="003D69A8" w:rsidRPr="005E1EA7" w:rsidRDefault="003D69A8" w:rsidP="003D69A8">
      <w:pPr>
        <w:autoSpaceDE w:val="0"/>
        <w:autoSpaceDN w:val="0"/>
        <w:adjustRightInd w:val="0"/>
        <w:ind w:left="720" w:hanging="360"/>
        <w:jc w:val="both"/>
        <w:rPr>
          <w:rFonts w:ascii="Tahoma" w:hAnsi="Tahoma" w:cs="Tahoma"/>
          <w:sz w:val="20"/>
          <w:szCs w:val="20"/>
        </w:rPr>
      </w:pPr>
      <w:r w:rsidRPr="005E1EA7">
        <w:rPr>
          <w:rFonts w:ascii="Tahoma" w:hAnsi="Tahoma" w:cs="Tahoma"/>
          <w:sz w:val="20"/>
          <w:szCs w:val="20"/>
        </w:rPr>
        <w:t>e) Dispositif de distillation à la vapeur. Ce dispositif doit être muni d'un système permettant de réguler le débit de vapeur et de produire un volume de vapeur constant sur une période donnée. Il doit être conçu de telle sorte que pendant l'adjonction de substances alcalinisantes, les bases libres résultantes ne puissent s'échapper.</w:t>
      </w:r>
    </w:p>
    <w:p w14:paraId="45A0CDB9" w14:textId="77777777" w:rsidR="003D69A8" w:rsidRPr="005E1EA7" w:rsidRDefault="003D69A8" w:rsidP="003D69A8">
      <w:pPr>
        <w:autoSpaceDE w:val="0"/>
        <w:autoSpaceDN w:val="0"/>
        <w:adjustRightInd w:val="0"/>
        <w:jc w:val="both"/>
        <w:rPr>
          <w:rFonts w:ascii="Tahoma" w:hAnsi="Tahoma" w:cs="Tahoma"/>
          <w:sz w:val="20"/>
          <w:szCs w:val="20"/>
        </w:rPr>
      </w:pPr>
    </w:p>
    <w:p w14:paraId="45010527" w14:textId="77777777" w:rsidR="003D69A8" w:rsidRPr="005E1EA7" w:rsidRDefault="003D69A8" w:rsidP="00420DDA">
      <w:pPr>
        <w:pStyle w:val="Paragraphedeliste"/>
        <w:numPr>
          <w:ilvl w:val="1"/>
          <w:numId w:val="172"/>
        </w:numPr>
        <w:autoSpaceDE w:val="0"/>
        <w:autoSpaceDN w:val="0"/>
        <w:adjustRightInd w:val="0"/>
        <w:jc w:val="both"/>
        <w:rPr>
          <w:rFonts w:ascii="Tahoma" w:hAnsi="Tahoma" w:cs="Tahoma"/>
          <w:b/>
          <w:bCs/>
          <w:sz w:val="20"/>
          <w:szCs w:val="20"/>
        </w:rPr>
      </w:pPr>
      <w:r w:rsidRPr="005E1EA7">
        <w:rPr>
          <w:rFonts w:ascii="Tahoma" w:hAnsi="Tahoma" w:cs="Tahoma"/>
          <w:b/>
          <w:bCs/>
          <w:sz w:val="20"/>
          <w:szCs w:val="20"/>
        </w:rPr>
        <w:t>Exécution</w:t>
      </w:r>
    </w:p>
    <w:p w14:paraId="532F85EE" w14:textId="77777777" w:rsidR="003D69A8" w:rsidRPr="005E1EA7" w:rsidRDefault="003D69A8" w:rsidP="003D69A8">
      <w:pPr>
        <w:autoSpaceDE w:val="0"/>
        <w:autoSpaceDN w:val="0"/>
        <w:adjustRightInd w:val="0"/>
        <w:jc w:val="both"/>
        <w:rPr>
          <w:rFonts w:ascii="Tahoma" w:hAnsi="Tahoma" w:cs="Tahoma"/>
          <w:sz w:val="20"/>
          <w:szCs w:val="20"/>
        </w:rPr>
      </w:pPr>
      <w:r w:rsidRPr="005E1EA7">
        <w:rPr>
          <w:rFonts w:ascii="Tahoma" w:hAnsi="Tahoma" w:cs="Tahoma"/>
          <w:sz w:val="20"/>
          <w:szCs w:val="20"/>
        </w:rPr>
        <w:t>Avertissement : lors de la manipulation d'acide perchlorique, qui est très corrosif, il convient de prendre les précautions et mesures préventives qui s'imposent. Les échantillons doivent, dans la mesure du possible, être préparés dans les plus brefs délais après leur arrivée, conformément aux instructions suivantes :</w:t>
      </w:r>
    </w:p>
    <w:p w14:paraId="6131D05A" w14:textId="77777777" w:rsidR="003D69A8" w:rsidRPr="005E1EA7" w:rsidRDefault="003D69A8" w:rsidP="003D69A8">
      <w:pPr>
        <w:autoSpaceDE w:val="0"/>
        <w:autoSpaceDN w:val="0"/>
        <w:adjustRightInd w:val="0"/>
        <w:ind w:left="720" w:hanging="360"/>
        <w:jc w:val="both"/>
        <w:rPr>
          <w:rFonts w:ascii="Tahoma" w:hAnsi="Tahoma" w:cs="Tahoma"/>
          <w:b/>
          <w:bCs/>
          <w:sz w:val="20"/>
          <w:szCs w:val="20"/>
        </w:rPr>
      </w:pPr>
      <w:r w:rsidRPr="005E1EA7">
        <w:rPr>
          <w:rFonts w:ascii="Tahoma" w:hAnsi="Tahoma" w:cs="Tahoma"/>
          <w:b/>
          <w:bCs/>
          <w:sz w:val="20"/>
          <w:szCs w:val="20"/>
        </w:rPr>
        <w:t>a) Préparation de l’échantillon</w:t>
      </w:r>
    </w:p>
    <w:p w14:paraId="4F13052E" w14:textId="77777777" w:rsidR="003D69A8" w:rsidRPr="005E1EA7" w:rsidRDefault="003D69A8" w:rsidP="003D69A8">
      <w:pPr>
        <w:autoSpaceDE w:val="0"/>
        <w:autoSpaceDN w:val="0"/>
        <w:adjustRightInd w:val="0"/>
        <w:ind w:left="720" w:hanging="360"/>
        <w:jc w:val="both"/>
        <w:rPr>
          <w:rFonts w:ascii="Tahoma" w:hAnsi="Tahoma" w:cs="Tahoma"/>
          <w:sz w:val="20"/>
          <w:szCs w:val="20"/>
        </w:rPr>
      </w:pPr>
    </w:p>
    <w:p w14:paraId="27BA928D" w14:textId="77777777" w:rsidR="003D69A8" w:rsidRPr="005E1EA7" w:rsidRDefault="003D69A8" w:rsidP="003D69A8">
      <w:pPr>
        <w:pStyle w:val="Corpsdetexte3"/>
        <w:rPr>
          <w:rFonts w:ascii="Tahoma" w:hAnsi="Tahoma" w:cs="Tahoma"/>
          <w:i w:val="0"/>
          <w:iCs w:val="0"/>
          <w:sz w:val="20"/>
          <w:szCs w:val="20"/>
        </w:rPr>
      </w:pPr>
      <w:r w:rsidRPr="005E1EA7">
        <w:rPr>
          <w:rFonts w:ascii="Tahoma" w:hAnsi="Tahoma" w:cs="Tahoma"/>
          <w:i w:val="0"/>
          <w:iCs w:val="0"/>
          <w:sz w:val="20"/>
          <w:szCs w:val="20"/>
        </w:rPr>
        <w:t>Broyer soigneusement l'échantillon à analyser dans un hachoir conforme aux spécifications du point 2.4 a). Prélever 10 g + 0,1 g de l'échantillon broyé et placer le prélèvement dans un récipient adapté. Ce prélèvement est mélangé avec 90,0 ml d'une solution d'acide perchlorique conforme aux spécifications du point 2.3 a), homogénéisé pendant deux minutes au moyen d'un mélangeur conforme aux spécifications du point 2.4 b), puis filtrer.</w:t>
      </w:r>
    </w:p>
    <w:p w14:paraId="3B94E0B9" w14:textId="77777777" w:rsidR="003D69A8" w:rsidRPr="005E1EA7" w:rsidRDefault="003D69A8" w:rsidP="003D69A8">
      <w:pPr>
        <w:pStyle w:val="Corpsdetexte3"/>
        <w:rPr>
          <w:rFonts w:ascii="Tahoma" w:hAnsi="Tahoma" w:cs="Tahoma"/>
          <w:i w:val="0"/>
          <w:iCs w:val="0"/>
          <w:sz w:val="20"/>
          <w:szCs w:val="20"/>
        </w:rPr>
      </w:pPr>
    </w:p>
    <w:p w14:paraId="597DE735" w14:textId="77777777" w:rsidR="003D69A8" w:rsidRPr="005E1EA7" w:rsidRDefault="003D69A8" w:rsidP="003D69A8">
      <w:pPr>
        <w:pStyle w:val="Corpsdetexte3"/>
        <w:rPr>
          <w:rFonts w:ascii="Tahoma" w:hAnsi="Tahoma" w:cs="Tahoma"/>
          <w:i w:val="0"/>
          <w:iCs w:val="0"/>
          <w:sz w:val="20"/>
          <w:szCs w:val="20"/>
        </w:rPr>
      </w:pPr>
      <w:r w:rsidRPr="005E1EA7">
        <w:rPr>
          <w:rFonts w:ascii="Tahoma" w:hAnsi="Tahoma" w:cs="Tahoma"/>
          <w:i w:val="0"/>
          <w:iCs w:val="0"/>
          <w:sz w:val="20"/>
          <w:szCs w:val="20"/>
        </w:rPr>
        <w:t>L'extrait ainsi obtenu peut être conservé pendant au moins sept jours à une température comprise entre + 2 et + 6 °C environ.</w:t>
      </w:r>
    </w:p>
    <w:p w14:paraId="4E1BB977" w14:textId="77777777" w:rsidR="003D69A8" w:rsidRPr="005E1EA7" w:rsidRDefault="003D69A8" w:rsidP="003D69A8">
      <w:pPr>
        <w:autoSpaceDE w:val="0"/>
        <w:autoSpaceDN w:val="0"/>
        <w:adjustRightInd w:val="0"/>
        <w:jc w:val="both"/>
        <w:rPr>
          <w:rFonts w:ascii="Tahoma" w:hAnsi="Tahoma" w:cs="Tahoma"/>
          <w:sz w:val="20"/>
          <w:szCs w:val="20"/>
        </w:rPr>
      </w:pPr>
    </w:p>
    <w:p w14:paraId="18A6E293" w14:textId="77777777" w:rsidR="003D69A8" w:rsidRPr="005E1EA7" w:rsidRDefault="003D69A8" w:rsidP="003D69A8">
      <w:pPr>
        <w:autoSpaceDE w:val="0"/>
        <w:autoSpaceDN w:val="0"/>
        <w:adjustRightInd w:val="0"/>
        <w:ind w:left="720" w:hanging="360"/>
        <w:jc w:val="both"/>
        <w:rPr>
          <w:rFonts w:ascii="Tahoma" w:hAnsi="Tahoma" w:cs="Tahoma"/>
          <w:b/>
          <w:bCs/>
          <w:sz w:val="20"/>
          <w:szCs w:val="20"/>
        </w:rPr>
      </w:pPr>
      <w:r w:rsidRPr="005E1EA7">
        <w:rPr>
          <w:rFonts w:ascii="Tahoma" w:hAnsi="Tahoma" w:cs="Tahoma"/>
          <w:b/>
          <w:bCs/>
          <w:sz w:val="20"/>
          <w:szCs w:val="20"/>
        </w:rPr>
        <w:t>b) Distillation à la vapeur d’eau</w:t>
      </w:r>
    </w:p>
    <w:p w14:paraId="554EDACC" w14:textId="77777777" w:rsidR="003D69A8" w:rsidRPr="005E1EA7" w:rsidRDefault="003D69A8" w:rsidP="003D69A8">
      <w:pPr>
        <w:autoSpaceDE w:val="0"/>
        <w:autoSpaceDN w:val="0"/>
        <w:adjustRightInd w:val="0"/>
        <w:jc w:val="both"/>
        <w:rPr>
          <w:rFonts w:ascii="Tahoma" w:hAnsi="Tahoma" w:cs="Tahoma"/>
          <w:sz w:val="20"/>
          <w:szCs w:val="20"/>
        </w:rPr>
      </w:pPr>
    </w:p>
    <w:p w14:paraId="4D2CA331" w14:textId="77777777" w:rsidR="003D69A8" w:rsidRPr="005E1EA7" w:rsidRDefault="003D69A8" w:rsidP="003D69A8">
      <w:pPr>
        <w:autoSpaceDE w:val="0"/>
        <w:autoSpaceDN w:val="0"/>
        <w:adjustRightInd w:val="0"/>
        <w:jc w:val="both"/>
        <w:rPr>
          <w:rFonts w:ascii="Tahoma" w:hAnsi="Tahoma" w:cs="Tahoma"/>
          <w:sz w:val="20"/>
          <w:szCs w:val="20"/>
        </w:rPr>
      </w:pPr>
      <w:r w:rsidRPr="005E1EA7">
        <w:rPr>
          <w:rFonts w:ascii="Tahoma" w:hAnsi="Tahoma" w:cs="Tahoma"/>
          <w:sz w:val="20"/>
          <w:szCs w:val="20"/>
        </w:rPr>
        <w:lastRenderedPageBreak/>
        <w:t>Mettre 50,0 ml de l'extrait obtenu conformément au point a) dans un appareil de distillation à la vapeur (point 2.4 e). Pour une vérification ultérieure de l'alcalinisation de l'extrait, ajouter plusieurs gouttes de phénolphtaléine (point 2.3 f). Après adjonction de quelques gouttes d'agent antimoussant à base de silicone, ajouter à l'extrait 6,5 ml de solution de soude caustique (point 2.3 b) et commencer immédiatement la distillation à la vapeur.</w:t>
      </w:r>
    </w:p>
    <w:p w14:paraId="447D7BE5" w14:textId="77777777" w:rsidR="003D69A8" w:rsidRPr="005E1EA7" w:rsidRDefault="003D69A8" w:rsidP="003D69A8">
      <w:pPr>
        <w:autoSpaceDE w:val="0"/>
        <w:autoSpaceDN w:val="0"/>
        <w:adjustRightInd w:val="0"/>
        <w:jc w:val="both"/>
        <w:rPr>
          <w:rFonts w:ascii="Tahoma" w:hAnsi="Tahoma" w:cs="Tahoma"/>
          <w:sz w:val="20"/>
          <w:szCs w:val="20"/>
        </w:rPr>
      </w:pPr>
    </w:p>
    <w:p w14:paraId="1D06EC04" w14:textId="77777777" w:rsidR="003D69A8" w:rsidRPr="005E1EA7" w:rsidRDefault="003D69A8" w:rsidP="003D69A8">
      <w:pPr>
        <w:autoSpaceDE w:val="0"/>
        <w:autoSpaceDN w:val="0"/>
        <w:adjustRightInd w:val="0"/>
        <w:jc w:val="both"/>
        <w:rPr>
          <w:rFonts w:ascii="Tahoma" w:hAnsi="Tahoma" w:cs="Tahoma"/>
          <w:sz w:val="20"/>
          <w:szCs w:val="20"/>
        </w:rPr>
      </w:pPr>
      <w:r w:rsidRPr="005E1EA7">
        <w:rPr>
          <w:rFonts w:ascii="Tahoma" w:hAnsi="Tahoma" w:cs="Tahoma"/>
          <w:sz w:val="20"/>
          <w:szCs w:val="20"/>
        </w:rPr>
        <w:t>Régler le dispositif de distillation de façon à obtenir environ 100 ml de distillat en 10 minutes. Immerger le tube d'écoulement du distillat dans un réceptacle contenant 100 ml d'une solution d'acide borique (point 2.3 d), à laquelle ont été ajoutées 3 à 5 gouttes d'indicateur [point 2.3 g)]. Arrêter la distillation après exactement 10 minutes. Enlever le tube d'écoulement du réceptacle et le rincer à l'eau. Les bases volatiles contenues dans la solution du réceptacle sont déterminées par titrage avec une solution standard d'acide chlorhydrique (point 2.3 c). Le pH du point limite devrait être de 5,0 ± 0,1.</w:t>
      </w:r>
    </w:p>
    <w:p w14:paraId="2D99178B" w14:textId="77777777" w:rsidR="003D69A8" w:rsidRPr="005E1EA7" w:rsidRDefault="003D69A8" w:rsidP="003D69A8">
      <w:pPr>
        <w:autoSpaceDE w:val="0"/>
        <w:autoSpaceDN w:val="0"/>
        <w:adjustRightInd w:val="0"/>
        <w:jc w:val="both"/>
        <w:rPr>
          <w:rFonts w:ascii="Tahoma" w:hAnsi="Tahoma" w:cs="Tahoma"/>
          <w:sz w:val="20"/>
          <w:szCs w:val="20"/>
        </w:rPr>
      </w:pPr>
    </w:p>
    <w:p w14:paraId="6528EAEA" w14:textId="77777777" w:rsidR="003D69A8" w:rsidRPr="005E1EA7" w:rsidRDefault="003D69A8" w:rsidP="003D69A8">
      <w:pPr>
        <w:autoSpaceDE w:val="0"/>
        <w:autoSpaceDN w:val="0"/>
        <w:adjustRightInd w:val="0"/>
        <w:ind w:left="720" w:hanging="360"/>
        <w:jc w:val="both"/>
        <w:rPr>
          <w:rFonts w:ascii="Tahoma" w:hAnsi="Tahoma" w:cs="Tahoma"/>
          <w:b/>
          <w:bCs/>
          <w:sz w:val="20"/>
          <w:szCs w:val="20"/>
        </w:rPr>
      </w:pPr>
      <w:r w:rsidRPr="005E1EA7">
        <w:rPr>
          <w:rFonts w:ascii="Tahoma" w:hAnsi="Tahoma" w:cs="Tahoma"/>
          <w:b/>
          <w:bCs/>
          <w:sz w:val="20"/>
          <w:szCs w:val="20"/>
        </w:rPr>
        <w:t xml:space="preserve">c) Titrage </w:t>
      </w:r>
    </w:p>
    <w:p w14:paraId="6DC8EE6B" w14:textId="77777777" w:rsidR="003D69A8" w:rsidRPr="005E1EA7" w:rsidRDefault="003D69A8" w:rsidP="003D69A8">
      <w:pPr>
        <w:autoSpaceDE w:val="0"/>
        <w:autoSpaceDN w:val="0"/>
        <w:adjustRightInd w:val="0"/>
        <w:ind w:left="360"/>
        <w:jc w:val="both"/>
        <w:rPr>
          <w:rFonts w:ascii="Tahoma" w:hAnsi="Tahoma" w:cs="Tahoma"/>
          <w:sz w:val="20"/>
          <w:szCs w:val="20"/>
        </w:rPr>
      </w:pPr>
    </w:p>
    <w:p w14:paraId="506F6FCA" w14:textId="77777777" w:rsidR="003D69A8" w:rsidRPr="005E1EA7" w:rsidRDefault="003D69A8" w:rsidP="003D69A8">
      <w:pPr>
        <w:autoSpaceDE w:val="0"/>
        <w:autoSpaceDN w:val="0"/>
        <w:adjustRightInd w:val="0"/>
        <w:jc w:val="both"/>
        <w:rPr>
          <w:rFonts w:ascii="Tahoma" w:hAnsi="Tahoma" w:cs="Tahoma"/>
          <w:sz w:val="20"/>
          <w:szCs w:val="20"/>
        </w:rPr>
      </w:pPr>
      <w:r w:rsidRPr="005E1EA7">
        <w:rPr>
          <w:rFonts w:ascii="Tahoma" w:hAnsi="Tahoma" w:cs="Tahoma"/>
          <w:sz w:val="20"/>
          <w:szCs w:val="20"/>
        </w:rPr>
        <w:t>Les analyses doivent être effectuées en double. La méthode appliquée est correcte si la différence entre les deux analyses ne dépasse pas 2 mg/100 g.</w:t>
      </w:r>
    </w:p>
    <w:p w14:paraId="5E206808" w14:textId="77777777" w:rsidR="003D69A8" w:rsidRPr="005E1EA7" w:rsidRDefault="003D69A8" w:rsidP="003D69A8">
      <w:pPr>
        <w:autoSpaceDE w:val="0"/>
        <w:autoSpaceDN w:val="0"/>
        <w:adjustRightInd w:val="0"/>
        <w:ind w:left="360"/>
        <w:jc w:val="both"/>
        <w:rPr>
          <w:rFonts w:ascii="Tahoma" w:hAnsi="Tahoma" w:cs="Tahoma"/>
          <w:sz w:val="20"/>
          <w:szCs w:val="20"/>
        </w:rPr>
      </w:pPr>
    </w:p>
    <w:p w14:paraId="1C43D7F8" w14:textId="77777777" w:rsidR="003D69A8" w:rsidRPr="005E1EA7" w:rsidRDefault="003D69A8" w:rsidP="003D69A8">
      <w:pPr>
        <w:autoSpaceDE w:val="0"/>
        <w:autoSpaceDN w:val="0"/>
        <w:adjustRightInd w:val="0"/>
        <w:ind w:left="360"/>
        <w:jc w:val="both"/>
        <w:rPr>
          <w:rFonts w:ascii="Tahoma" w:hAnsi="Tahoma" w:cs="Tahoma"/>
          <w:sz w:val="20"/>
          <w:szCs w:val="20"/>
        </w:rPr>
      </w:pPr>
    </w:p>
    <w:p w14:paraId="71C10F7F" w14:textId="77777777" w:rsidR="003D69A8" w:rsidRPr="005E1EA7" w:rsidRDefault="003D69A8" w:rsidP="003D69A8">
      <w:pPr>
        <w:autoSpaceDE w:val="0"/>
        <w:autoSpaceDN w:val="0"/>
        <w:adjustRightInd w:val="0"/>
        <w:ind w:left="720" w:hanging="360"/>
        <w:jc w:val="both"/>
        <w:rPr>
          <w:rFonts w:ascii="Tahoma" w:hAnsi="Tahoma" w:cs="Tahoma"/>
          <w:b/>
          <w:bCs/>
          <w:sz w:val="20"/>
          <w:szCs w:val="20"/>
        </w:rPr>
      </w:pPr>
      <w:r w:rsidRPr="005E1EA7">
        <w:rPr>
          <w:rFonts w:ascii="Tahoma" w:hAnsi="Tahoma" w:cs="Tahoma"/>
          <w:b/>
          <w:bCs/>
          <w:sz w:val="20"/>
          <w:szCs w:val="20"/>
        </w:rPr>
        <w:t xml:space="preserve">d) Essai à blanc </w:t>
      </w:r>
    </w:p>
    <w:p w14:paraId="167C6324" w14:textId="77777777" w:rsidR="003D69A8" w:rsidRPr="005E1EA7" w:rsidRDefault="003D69A8" w:rsidP="003D69A8">
      <w:pPr>
        <w:autoSpaceDE w:val="0"/>
        <w:autoSpaceDN w:val="0"/>
        <w:adjustRightInd w:val="0"/>
        <w:ind w:left="360"/>
        <w:jc w:val="both"/>
        <w:rPr>
          <w:rFonts w:ascii="Tahoma" w:hAnsi="Tahoma" w:cs="Tahoma"/>
          <w:sz w:val="20"/>
          <w:szCs w:val="20"/>
        </w:rPr>
      </w:pPr>
    </w:p>
    <w:p w14:paraId="3CF4140D" w14:textId="77777777" w:rsidR="003D69A8" w:rsidRPr="005E1EA7" w:rsidRDefault="003D69A8" w:rsidP="003D69A8">
      <w:pPr>
        <w:autoSpaceDE w:val="0"/>
        <w:autoSpaceDN w:val="0"/>
        <w:adjustRightInd w:val="0"/>
        <w:jc w:val="both"/>
        <w:rPr>
          <w:rFonts w:ascii="Tahoma" w:hAnsi="Tahoma" w:cs="Tahoma"/>
          <w:sz w:val="20"/>
          <w:szCs w:val="20"/>
        </w:rPr>
      </w:pPr>
      <w:r w:rsidRPr="005E1EA7">
        <w:rPr>
          <w:rFonts w:ascii="Tahoma" w:hAnsi="Tahoma" w:cs="Tahoma"/>
          <w:sz w:val="20"/>
          <w:szCs w:val="20"/>
        </w:rPr>
        <w:t>Effectuer un essai à blanc conformément au point b). A la place de l'extrait, utiliser 50,0 ml de solution d'acide perchlorique (point 2.3 a).</w:t>
      </w:r>
    </w:p>
    <w:p w14:paraId="7AB2047F" w14:textId="77777777" w:rsidR="003D69A8" w:rsidRPr="005E1EA7" w:rsidRDefault="003D69A8" w:rsidP="003D69A8">
      <w:pPr>
        <w:autoSpaceDE w:val="0"/>
        <w:autoSpaceDN w:val="0"/>
        <w:adjustRightInd w:val="0"/>
        <w:jc w:val="both"/>
        <w:rPr>
          <w:rFonts w:ascii="Tahoma" w:hAnsi="Tahoma" w:cs="Tahoma"/>
          <w:sz w:val="20"/>
          <w:szCs w:val="20"/>
        </w:rPr>
      </w:pPr>
    </w:p>
    <w:p w14:paraId="1A636ACF" w14:textId="77777777" w:rsidR="003D69A8" w:rsidRPr="005E1EA7" w:rsidRDefault="003D69A8" w:rsidP="00420DDA">
      <w:pPr>
        <w:pStyle w:val="Paragraphedeliste"/>
        <w:numPr>
          <w:ilvl w:val="1"/>
          <w:numId w:val="172"/>
        </w:numPr>
        <w:autoSpaceDE w:val="0"/>
        <w:autoSpaceDN w:val="0"/>
        <w:adjustRightInd w:val="0"/>
        <w:jc w:val="both"/>
        <w:rPr>
          <w:rFonts w:ascii="Tahoma" w:hAnsi="Tahoma" w:cs="Tahoma"/>
          <w:b/>
          <w:bCs/>
          <w:sz w:val="20"/>
          <w:szCs w:val="20"/>
        </w:rPr>
      </w:pPr>
      <w:r w:rsidRPr="005E1EA7">
        <w:rPr>
          <w:rFonts w:ascii="Tahoma" w:hAnsi="Tahoma" w:cs="Tahoma"/>
          <w:b/>
          <w:bCs/>
          <w:sz w:val="20"/>
          <w:szCs w:val="20"/>
        </w:rPr>
        <w:t>Calcul de la concentration en ABVT</w:t>
      </w:r>
    </w:p>
    <w:p w14:paraId="7305459D" w14:textId="77777777" w:rsidR="003D69A8" w:rsidRPr="005E1EA7" w:rsidRDefault="003D69A8" w:rsidP="003D69A8">
      <w:pPr>
        <w:autoSpaceDE w:val="0"/>
        <w:autoSpaceDN w:val="0"/>
        <w:adjustRightInd w:val="0"/>
        <w:jc w:val="both"/>
        <w:rPr>
          <w:rFonts w:ascii="Tahoma" w:hAnsi="Tahoma" w:cs="Tahoma"/>
          <w:sz w:val="20"/>
          <w:szCs w:val="20"/>
        </w:rPr>
      </w:pPr>
    </w:p>
    <w:p w14:paraId="2C4C7DA4" w14:textId="77777777" w:rsidR="003D69A8" w:rsidRPr="005E1EA7" w:rsidRDefault="003D69A8" w:rsidP="003D69A8">
      <w:pPr>
        <w:autoSpaceDE w:val="0"/>
        <w:autoSpaceDN w:val="0"/>
        <w:adjustRightInd w:val="0"/>
        <w:jc w:val="both"/>
        <w:rPr>
          <w:rFonts w:ascii="Tahoma" w:hAnsi="Tahoma" w:cs="Tahoma"/>
          <w:sz w:val="20"/>
          <w:szCs w:val="20"/>
        </w:rPr>
      </w:pPr>
      <w:r w:rsidRPr="005E1EA7">
        <w:rPr>
          <w:rFonts w:ascii="Tahoma" w:hAnsi="Tahoma" w:cs="Tahoma"/>
          <w:sz w:val="20"/>
          <w:szCs w:val="20"/>
        </w:rPr>
        <w:t>Calculer la concentration en ABVT par titrage de la solution du réceptacle avec de l'acide chlorhydrique [point 3, c)] en appliquant l'équation suivante :</w:t>
      </w:r>
    </w:p>
    <w:p w14:paraId="0D7CBBBF" w14:textId="77777777" w:rsidR="003D69A8" w:rsidRPr="005E1EA7" w:rsidRDefault="003D69A8" w:rsidP="003D69A8">
      <w:pPr>
        <w:autoSpaceDE w:val="0"/>
        <w:autoSpaceDN w:val="0"/>
        <w:adjustRightInd w:val="0"/>
        <w:jc w:val="both"/>
        <w:rPr>
          <w:rFonts w:ascii="Tahoma" w:hAnsi="Tahoma" w:cs="Tahoma"/>
          <w:sz w:val="20"/>
          <w:szCs w:val="20"/>
        </w:rPr>
      </w:pPr>
    </w:p>
    <w:p w14:paraId="053B4696" w14:textId="77777777" w:rsidR="003D69A8" w:rsidRPr="005E1EA7" w:rsidRDefault="003D69A8" w:rsidP="003D69A8">
      <w:pPr>
        <w:autoSpaceDE w:val="0"/>
        <w:autoSpaceDN w:val="0"/>
        <w:adjustRightInd w:val="0"/>
        <w:jc w:val="center"/>
        <w:rPr>
          <w:rFonts w:ascii="Tahoma" w:hAnsi="Tahoma" w:cs="Tahoma"/>
          <w:sz w:val="20"/>
          <w:szCs w:val="20"/>
          <w:u w:val="single"/>
          <w:lang w:val="nl-NL"/>
        </w:rPr>
      </w:pPr>
      <w:bookmarkStart w:id="221" w:name="_Hlk199400191"/>
      <w:r w:rsidRPr="005E1EA7">
        <w:rPr>
          <w:rFonts w:ascii="Tahoma" w:hAnsi="Tahoma" w:cs="Tahoma"/>
          <w:sz w:val="20"/>
          <w:szCs w:val="20"/>
          <w:lang w:val="nl-NL"/>
        </w:rPr>
        <w:t>ABVT (en mg</w:t>
      </w:r>
      <w:r w:rsidRPr="005E1EA7">
        <w:rPr>
          <w:rFonts w:ascii="Tahoma" w:hAnsi="Tahoma" w:cs="Tahoma"/>
          <w:i/>
          <w:iCs/>
          <w:sz w:val="20"/>
          <w:szCs w:val="20"/>
          <w:lang w:val="nl-NL"/>
        </w:rPr>
        <w:t>/</w:t>
      </w:r>
      <w:r w:rsidRPr="005E1EA7">
        <w:rPr>
          <w:rFonts w:ascii="Tahoma" w:hAnsi="Tahoma" w:cs="Tahoma"/>
          <w:sz w:val="20"/>
          <w:szCs w:val="20"/>
          <w:lang w:val="nl-NL"/>
        </w:rPr>
        <w:t xml:space="preserve">100 g) = </w:t>
      </w:r>
      <w:r w:rsidRPr="005E1EA7">
        <w:rPr>
          <w:rFonts w:ascii="Tahoma" w:hAnsi="Tahoma" w:cs="Tahoma"/>
          <w:sz w:val="20"/>
          <w:szCs w:val="20"/>
          <w:u w:val="single"/>
          <w:lang w:val="nl-NL"/>
        </w:rPr>
        <w:t>(V</w:t>
      </w:r>
      <w:r w:rsidRPr="005E1EA7">
        <w:rPr>
          <w:rFonts w:ascii="Tahoma" w:hAnsi="Tahoma" w:cs="Tahoma"/>
          <w:sz w:val="20"/>
          <w:szCs w:val="20"/>
          <w:u w:val="single"/>
          <w:vertAlign w:val="subscript"/>
          <w:lang w:val="nl-NL"/>
        </w:rPr>
        <w:t>1</w:t>
      </w:r>
      <w:r w:rsidRPr="005E1EA7">
        <w:rPr>
          <w:rFonts w:ascii="Tahoma" w:hAnsi="Tahoma" w:cs="Tahoma"/>
          <w:sz w:val="20"/>
          <w:szCs w:val="20"/>
          <w:u w:val="single"/>
          <w:lang w:val="nl-NL"/>
        </w:rPr>
        <w:t>– V</w:t>
      </w:r>
      <w:r w:rsidRPr="005E1EA7">
        <w:rPr>
          <w:rFonts w:ascii="Tahoma" w:hAnsi="Tahoma" w:cs="Tahoma"/>
          <w:sz w:val="20"/>
          <w:szCs w:val="20"/>
          <w:u w:val="single"/>
          <w:vertAlign w:val="subscript"/>
          <w:lang w:val="nl-NL"/>
        </w:rPr>
        <w:t>0</w:t>
      </w:r>
      <w:r w:rsidRPr="005E1EA7">
        <w:rPr>
          <w:rFonts w:ascii="Tahoma" w:hAnsi="Tahoma" w:cs="Tahoma"/>
          <w:sz w:val="20"/>
          <w:szCs w:val="20"/>
          <w:u w:val="single"/>
          <w:lang w:val="nl-NL"/>
        </w:rPr>
        <w:t>) x 0,14 × 2 × 100</w:t>
      </w:r>
    </w:p>
    <w:p w14:paraId="4E0FA4CF" w14:textId="77777777" w:rsidR="003D69A8" w:rsidRPr="005E1EA7" w:rsidRDefault="003D69A8" w:rsidP="003D69A8">
      <w:pPr>
        <w:autoSpaceDE w:val="0"/>
        <w:autoSpaceDN w:val="0"/>
        <w:adjustRightInd w:val="0"/>
        <w:jc w:val="center"/>
        <w:rPr>
          <w:rFonts w:ascii="Tahoma" w:hAnsi="Tahoma" w:cs="Tahoma"/>
          <w:sz w:val="20"/>
          <w:szCs w:val="20"/>
        </w:rPr>
      </w:pPr>
      <w:r w:rsidRPr="005E1EA7">
        <w:rPr>
          <w:rFonts w:ascii="Tahoma" w:hAnsi="Tahoma" w:cs="Tahoma"/>
          <w:sz w:val="20"/>
          <w:szCs w:val="20"/>
        </w:rPr>
        <w:t xml:space="preserve">                                     M</w:t>
      </w:r>
    </w:p>
    <w:bookmarkEnd w:id="221"/>
    <w:p w14:paraId="49327B81" w14:textId="77777777" w:rsidR="003D69A8" w:rsidRPr="005E1EA7" w:rsidRDefault="003D69A8" w:rsidP="003D69A8">
      <w:pPr>
        <w:autoSpaceDE w:val="0"/>
        <w:autoSpaceDN w:val="0"/>
        <w:adjustRightInd w:val="0"/>
        <w:jc w:val="both"/>
        <w:rPr>
          <w:rFonts w:ascii="Tahoma" w:hAnsi="Tahoma" w:cs="Tahoma"/>
          <w:sz w:val="20"/>
          <w:szCs w:val="20"/>
        </w:rPr>
      </w:pPr>
    </w:p>
    <w:p w14:paraId="30B8E9B1" w14:textId="77777777" w:rsidR="003D69A8" w:rsidRPr="005E1EA7" w:rsidRDefault="003D69A8" w:rsidP="003D69A8">
      <w:pPr>
        <w:autoSpaceDE w:val="0"/>
        <w:autoSpaceDN w:val="0"/>
        <w:adjustRightInd w:val="0"/>
        <w:ind w:left="708"/>
        <w:jc w:val="both"/>
        <w:rPr>
          <w:rFonts w:ascii="Tahoma" w:hAnsi="Tahoma" w:cs="Tahoma"/>
          <w:sz w:val="20"/>
          <w:szCs w:val="20"/>
        </w:rPr>
      </w:pPr>
      <w:r w:rsidRPr="005E1EA7">
        <w:rPr>
          <w:rFonts w:ascii="Tahoma" w:hAnsi="Tahoma" w:cs="Tahoma"/>
          <w:sz w:val="20"/>
          <w:szCs w:val="20"/>
        </w:rPr>
        <w:t>- V</w:t>
      </w:r>
      <w:r w:rsidRPr="005E1EA7">
        <w:rPr>
          <w:rFonts w:ascii="Tahoma" w:hAnsi="Tahoma" w:cs="Tahoma"/>
          <w:sz w:val="20"/>
          <w:szCs w:val="20"/>
          <w:vertAlign w:val="subscript"/>
        </w:rPr>
        <w:t>1</w:t>
      </w:r>
      <w:r w:rsidRPr="005E1EA7">
        <w:rPr>
          <w:rFonts w:ascii="Tahoma" w:hAnsi="Tahoma" w:cs="Tahoma"/>
          <w:sz w:val="20"/>
          <w:szCs w:val="20"/>
        </w:rPr>
        <w:t xml:space="preserve"> = volume d'acide chlorhydrique à 0,01 mol/l en ml pour l'échantillon</w:t>
      </w:r>
    </w:p>
    <w:p w14:paraId="40E9FF5F" w14:textId="77777777" w:rsidR="003D69A8" w:rsidRPr="005E1EA7" w:rsidRDefault="003D69A8" w:rsidP="003D69A8">
      <w:pPr>
        <w:autoSpaceDE w:val="0"/>
        <w:autoSpaceDN w:val="0"/>
        <w:adjustRightInd w:val="0"/>
        <w:ind w:left="708"/>
        <w:jc w:val="both"/>
        <w:rPr>
          <w:rFonts w:ascii="Tahoma" w:hAnsi="Tahoma" w:cs="Tahoma"/>
          <w:sz w:val="20"/>
          <w:szCs w:val="20"/>
        </w:rPr>
      </w:pPr>
      <w:r w:rsidRPr="005E1EA7">
        <w:rPr>
          <w:rFonts w:ascii="Tahoma" w:hAnsi="Tahoma" w:cs="Tahoma"/>
          <w:sz w:val="20"/>
          <w:szCs w:val="20"/>
        </w:rPr>
        <w:t>- V</w:t>
      </w:r>
      <w:r w:rsidRPr="005E1EA7">
        <w:rPr>
          <w:rFonts w:ascii="Tahoma" w:hAnsi="Tahoma" w:cs="Tahoma"/>
          <w:sz w:val="20"/>
          <w:szCs w:val="20"/>
          <w:vertAlign w:val="subscript"/>
        </w:rPr>
        <w:t>0</w:t>
      </w:r>
      <w:r w:rsidRPr="005E1EA7">
        <w:rPr>
          <w:rFonts w:ascii="Tahoma" w:hAnsi="Tahoma" w:cs="Tahoma"/>
          <w:sz w:val="20"/>
          <w:szCs w:val="20"/>
        </w:rPr>
        <w:t xml:space="preserve"> = volume d'acide chlorhydrique à 0,01 mol/l en ml pour le témoin</w:t>
      </w:r>
    </w:p>
    <w:p w14:paraId="6BF6B1B5" w14:textId="77777777" w:rsidR="003D69A8" w:rsidRPr="005E1EA7" w:rsidRDefault="003D69A8" w:rsidP="003D69A8">
      <w:pPr>
        <w:autoSpaceDE w:val="0"/>
        <w:autoSpaceDN w:val="0"/>
        <w:adjustRightInd w:val="0"/>
        <w:ind w:left="708"/>
        <w:jc w:val="both"/>
        <w:rPr>
          <w:rFonts w:ascii="Tahoma" w:hAnsi="Tahoma" w:cs="Tahoma"/>
          <w:sz w:val="20"/>
          <w:szCs w:val="20"/>
        </w:rPr>
      </w:pPr>
      <w:r w:rsidRPr="005E1EA7">
        <w:rPr>
          <w:rFonts w:ascii="Tahoma" w:hAnsi="Tahoma" w:cs="Tahoma"/>
          <w:sz w:val="20"/>
          <w:szCs w:val="20"/>
        </w:rPr>
        <w:t>- M = masse de l'échantillon en g.</w:t>
      </w:r>
    </w:p>
    <w:p w14:paraId="720C508E" w14:textId="77777777" w:rsidR="003D69A8" w:rsidRPr="005E1EA7" w:rsidRDefault="003D69A8" w:rsidP="003D69A8">
      <w:pPr>
        <w:autoSpaceDE w:val="0"/>
        <w:autoSpaceDN w:val="0"/>
        <w:adjustRightInd w:val="0"/>
        <w:jc w:val="both"/>
        <w:rPr>
          <w:rFonts w:ascii="Tahoma" w:hAnsi="Tahoma" w:cs="Tahoma"/>
          <w:sz w:val="20"/>
          <w:szCs w:val="20"/>
        </w:rPr>
      </w:pPr>
    </w:p>
    <w:p w14:paraId="5D7B55B0" w14:textId="77777777" w:rsidR="003D69A8" w:rsidRPr="005E1EA7" w:rsidRDefault="003D69A8" w:rsidP="003D69A8">
      <w:pPr>
        <w:autoSpaceDE w:val="0"/>
        <w:autoSpaceDN w:val="0"/>
        <w:adjustRightInd w:val="0"/>
        <w:jc w:val="both"/>
        <w:rPr>
          <w:rFonts w:ascii="Tahoma" w:hAnsi="Tahoma" w:cs="Tahoma"/>
          <w:sz w:val="20"/>
          <w:szCs w:val="20"/>
        </w:rPr>
      </w:pPr>
    </w:p>
    <w:p w14:paraId="5F9335C0" w14:textId="77777777" w:rsidR="003D69A8" w:rsidRPr="005E1EA7" w:rsidRDefault="003D69A8" w:rsidP="003D69A8">
      <w:pPr>
        <w:autoSpaceDE w:val="0"/>
        <w:autoSpaceDN w:val="0"/>
        <w:adjustRightInd w:val="0"/>
        <w:jc w:val="both"/>
        <w:rPr>
          <w:rFonts w:ascii="Tahoma" w:hAnsi="Tahoma" w:cs="Tahoma"/>
          <w:b/>
          <w:bCs/>
          <w:sz w:val="20"/>
          <w:szCs w:val="20"/>
        </w:rPr>
      </w:pPr>
      <w:r w:rsidRPr="005E1EA7">
        <w:rPr>
          <w:rFonts w:ascii="Tahoma" w:hAnsi="Tahoma" w:cs="Tahoma"/>
          <w:b/>
          <w:bCs/>
          <w:sz w:val="20"/>
          <w:szCs w:val="20"/>
        </w:rPr>
        <w:t>Remarques :</w:t>
      </w:r>
    </w:p>
    <w:p w14:paraId="2D81E769" w14:textId="77777777" w:rsidR="003D69A8" w:rsidRPr="005E1EA7" w:rsidRDefault="003D69A8" w:rsidP="00420DDA">
      <w:pPr>
        <w:pStyle w:val="Paragraphedeliste"/>
        <w:numPr>
          <w:ilvl w:val="0"/>
          <w:numId w:val="171"/>
        </w:numPr>
        <w:autoSpaceDE w:val="0"/>
        <w:autoSpaceDN w:val="0"/>
        <w:adjustRightInd w:val="0"/>
        <w:jc w:val="both"/>
        <w:rPr>
          <w:rFonts w:ascii="Tahoma" w:hAnsi="Tahoma" w:cs="Tahoma"/>
          <w:sz w:val="20"/>
          <w:szCs w:val="20"/>
        </w:rPr>
      </w:pPr>
      <w:r w:rsidRPr="005E1EA7">
        <w:rPr>
          <w:rFonts w:ascii="Tahoma" w:hAnsi="Tahoma" w:cs="Tahoma"/>
          <w:sz w:val="20"/>
          <w:szCs w:val="20"/>
        </w:rPr>
        <w:t>Les analyses doivent être effectuées en double. La méthode appliquée est correcte si la différence entre les deux analyses ne dépasse pas 2 mg/100 g.</w:t>
      </w:r>
    </w:p>
    <w:p w14:paraId="6B9766C2" w14:textId="77777777" w:rsidR="003D69A8" w:rsidRPr="005E1EA7" w:rsidRDefault="003D69A8" w:rsidP="00420DDA">
      <w:pPr>
        <w:pStyle w:val="Paragraphedeliste"/>
        <w:numPr>
          <w:ilvl w:val="0"/>
          <w:numId w:val="171"/>
        </w:numPr>
        <w:autoSpaceDE w:val="0"/>
        <w:autoSpaceDN w:val="0"/>
        <w:adjustRightInd w:val="0"/>
        <w:jc w:val="both"/>
        <w:rPr>
          <w:rFonts w:ascii="Tahoma" w:hAnsi="Tahoma" w:cs="Tahoma"/>
          <w:sz w:val="20"/>
          <w:szCs w:val="20"/>
        </w:rPr>
      </w:pPr>
      <w:r w:rsidRPr="005E1EA7">
        <w:rPr>
          <w:rFonts w:ascii="Tahoma" w:hAnsi="Tahoma" w:cs="Tahoma"/>
          <w:sz w:val="20"/>
          <w:szCs w:val="20"/>
        </w:rPr>
        <w:t>Vérifier l'équipement en distillant des solutions de NH</w:t>
      </w:r>
      <w:r w:rsidRPr="005E1EA7">
        <w:rPr>
          <w:rFonts w:ascii="Tahoma" w:hAnsi="Tahoma" w:cs="Tahoma"/>
          <w:sz w:val="20"/>
          <w:szCs w:val="20"/>
          <w:vertAlign w:val="subscript"/>
        </w:rPr>
        <w:t>4</w:t>
      </w:r>
      <w:r w:rsidRPr="005E1EA7">
        <w:rPr>
          <w:rFonts w:ascii="Tahoma" w:hAnsi="Tahoma" w:cs="Tahoma"/>
          <w:sz w:val="20"/>
          <w:szCs w:val="20"/>
        </w:rPr>
        <w:t>Cl équivalant à 50 mg d'ABVT/100 g.</w:t>
      </w:r>
    </w:p>
    <w:p w14:paraId="2A4E027C" w14:textId="77777777" w:rsidR="003D69A8" w:rsidRPr="005E1EA7" w:rsidRDefault="003D69A8" w:rsidP="00420DDA">
      <w:pPr>
        <w:pStyle w:val="Paragraphedeliste"/>
        <w:numPr>
          <w:ilvl w:val="0"/>
          <w:numId w:val="171"/>
        </w:numPr>
        <w:autoSpaceDE w:val="0"/>
        <w:autoSpaceDN w:val="0"/>
        <w:adjustRightInd w:val="0"/>
        <w:jc w:val="both"/>
        <w:rPr>
          <w:rFonts w:ascii="Tahoma" w:hAnsi="Tahoma" w:cs="Tahoma"/>
          <w:sz w:val="20"/>
          <w:szCs w:val="20"/>
        </w:rPr>
      </w:pPr>
      <w:r w:rsidRPr="005E1EA7">
        <w:rPr>
          <w:rFonts w:ascii="Tahoma" w:hAnsi="Tahoma" w:cs="Tahoma"/>
          <w:sz w:val="20"/>
          <w:szCs w:val="20"/>
        </w:rPr>
        <w:t>Ecart type de reproductibilité Sr = 1,20 mg/100 g.</w:t>
      </w:r>
    </w:p>
    <w:p w14:paraId="0DC21901" w14:textId="77777777" w:rsidR="003D69A8" w:rsidRPr="005E1EA7" w:rsidRDefault="003D69A8" w:rsidP="003D69A8">
      <w:pPr>
        <w:pStyle w:val="Paragraphedeliste"/>
        <w:autoSpaceDE w:val="0"/>
        <w:autoSpaceDN w:val="0"/>
        <w:adjustRightInd w:val="0"/>
        <w:ind w:left="720"/>
        <w:jc w:val="both"/>
        <w:rPr>
          <w:rFonts w:ascii="Tahoma" w:hAnsi="Tahoma" w:cs="Tahoma"/>
          <w:sz w:val="20"/>
          <w:szCs w:val="20"/>
        </w:rPr>
      </w:pPr>
      <w:r w:rsidRPr="005E1EA7">
        <w:rPr>
          <w:rFonts w:ascii="Tahoma" w:hAnsi="Tahoma" w:cs="Tahoma"/>
          <w:sz w:val="20"/>
          <w:szCs w:val="20"/>
        </w:rPr>
        <w:t>Ecart type de comparabilité S</w:t>
      </w:r>
      <w:r w:rsidRPr="005E1EA7">
        <w:rPr>
          <w:rFonts w:ascii="Tahoma" w:hAnsi="Tahoma" w:cs="Tahoma"/>
          <w:sz w:val="20"/>
          <w:szCs w:val="20"/>
          <w:vertAlign w:val="subscript"/>
        </w:rPr>
        <w:t>R</w:t>
      </w:r>
      <w:r w:rsidRPr="005E1EA7">
        <w:rPr>
          <w:rFonts w:ascii="Tahoma" w:hAnsi="Tahoma" w:cs="Tahoma"/>
          <w:sz w:val="20"/>
          <w:szCs w:val="20"/>
        </w:rPr>
        <w:t xml:space="preserve"> = 2,50mg/100 g.</w:t>
      </w:r>
    </w:p>
    <w:p w14:paraId="6A45F98D" w14:textId="77777777" w:rsidR="003D69A8" w:rsidRPr="005E1EA7" w:rsidRDefault="003D69A8" w:rsidP="003D69A8">
      <w:pPr>
        <w:spacing w:line="276" w:lineRule="auto"/>
        <w:jc w:val="center"/>
        <w:rPr>
          <w:rFonts w:ascii="Tahoma" w:hAnsi="Tahoma" w:cs="Tahoma"/>
          <w:b/>
          <w:bCs/>
          <w:sz w:val="20"/>
          <w:szCs w:val="20"/>
        </w:rPr>
      </w:pPr>
    </w:p>
    <w:p w14:paraId="1F316F10" w14:textId="77777777" w:rsidR="008162C8" w:rsidRDefault="008162C8" w:rsidP="003D69A8">
      <w:pPr>
        <w:spacing w:line="276" w:lineRule="auto"/>
        <w:jc w:val="center"/>
        <w:rPr>
          <w:rFonts w:ascii="Tahoma" w:hAnsi="Tahoma" w:cs="Tahoma"/>
          <w:b/>
          <w:bCs/>
          <w:sz w:val="20"/>
          <w:szCs w:val="20"/>
        </w:rPr>
      </w:pPr>
    </w:p>
    <w:p w14:paraId="2A268376" w14:textId="228E072B" w:rsidR="00F23171" w:rsidRDefault="00F23171">
      <w:pPr>
        <w:rPr>
          <w:rFonts w:ascii="Tahoma" w:hAnsi="Tahoma" w:cs="Tahoma"/>
          <w:b/>
          <w:bCs/>
          <w:sz w:val="20"/>
          <w:szCs w:val="20"/>
        </w:rPr>
      </w:pPr>
      <w:r>
        <w:rPr>
          <w:rFonts w:ascii="Tahoma" w:hAnsi="Tahoma" w:cs="Tahoma"/>
          <w:b/>
          <w:bCs/>
          <w:sz w:val="20"/>
          <w:szCs w:val="20"/>
        </w:rPr>
        <w:br w:type="page"/>
      </w:r>
    </w:p>
    <w:p w14:paraId="3DB5CEC8" w14:textId="77777777" w:rsidR="00F23171" w:rsidRDefault="00F23171" w:rsidP="003D69A8">
      <w:pPr>
        <w:spacing w:line="276" w:lineRule="auto"/>
        <w:jc w:val="center"/>
        <w:rPr>
          <w:rFonts w:ascii="Tahoma" w:hAnsi="Tahoma" w:cs="Tahoma"/>
          <w:b/>
          <w:bCs/>
          <w:sz w:val="20"/>
          <w:szCs w:val="20"/>
        </w:rPr>
      </w:pPr>
    </w:p>
    <w:p w14:paraId="66CFF50C" w14:textId="517561B0" w:rsidR="003D69A8" w:rsidRPr="005E1EA7" w:rsidRDefault="003D69A8" w:rsidP="00F23171">
      <w:pPr>
        <w:spacing w:line="276" w:lineRule="auto"/>
        <w:jc w:val="center"/>
        <w:rPr>
          <w:rFonts w:ascii="Tahoma" w:hAnsi="Tahoma" w:cs="Tahoma"/>
          <w:b/>
          <w:bCs/>
          <w:sz w:val="20"/>
          <w:szCs w:val="20"/>
        </w:rPr>
      </w:pPr>
      <w:r w:rsidRPr="005E1EA7">
        <w:rPr>
          <w:rFonts w:ascii="Tahoma" w:hAnsi="Tahoma" w:cs="Tahoma"/>
          <w:b/>
          <w:bCs/>
          <w:sz w:val="20"/>
          <w:szCs w:val="20"/>
        </w:rPr>
        <w:t xml:space="preserve">ANNEXE III : </w:t>
      </w:r>
    </w:p>
    <w:p w14:paraId="52F8AACB" w14:textId="77777777" w:rsidR="003D69A8" w:rsidRPr="005E1EA7" w:rsidRDefault="003D69A8" w:rsidP="003D69A8">
      <w:pPr>
        <w:spacing w:line="276" w:lineRule="auto"/>
        <w:jc w:val="center"/>
        <w:rPr>
          <w:rFonts w:ascii="Tahoma" w:hAnsi="Tahoma" w:cs="Tahoma"/>
          <w:b/>
          <w:bCs/>
          <w:sz w:val="20"/>
          <w:szCs w:val="20"/>
        </w:rPr>
      </w:pPr>
    </w:p>
    <w:p w14:paraId="28BD1AFE" w14:textId="77777777" w:rsidR="003D69A8" w:rsidRPr="005E1EA7" w:rsidRDefault="003D69A8" w:rsidP="003D69A8">
      <w:pPr>
        <w:spacing w:line="276" w:lineRule="auto"/>
        <w:jc w:val="center"/>
        <w:rPr>
          <w:rFonts w:ascii="Tahoma" w:hAnsi="Tahoma" w:cs="Tahoma"/>
          <w:b/>
          <w:bCs/>
          <w:sz w:val="20"/>
          <w:szCs w:val="20"/>
        </w:rPr>
      </w:pPr>
      <w:r w:rsidRPr="005E1EA7">
        <w:rPr>
          <w:rFonts w:ascii="Tahoma" w:hAnsi="Tahoma" w:cs="Tahoma"/>
          <w:b/>
          <w:bCs/>
          <w:sz w:val="20"/>
          <w:szCs w:val="20"/>
        </w:rPr>
        <w:t>CRITERES BIOTOXINES MARINES APPLICABLES AUX MOLLUSQUES BIVALVES ET METHODES RECONNUES</w:t>
      </w:r>
    </w:p>
    <w:p w14:paraId="79C155AA" w14:textId="77777777" w:rsidR="003D69A8" w:rsidRPr="005E1EA7" w:rsidRDefault="003D69A8" w:rsidP="003D69A8">
      <w:pPr>
        <w:autoSpaceDE w:val="0"/>
        <w:autoSpaceDN w:val="0"/>
        <w:adjustRightInd w:val="0"/>
        <w:jc w:val="center"/>
        <w:rPr>
          <w:rFonts w:ascii="Tahoma" w:hAnsi="Tahoma" w:cs="Tahoma"/>
          <w:sz w:val="20"/>
          <w:szCs w:val="20"/>
        </w:rPr>
      </w:pPr>
    </w:p>
    <w:p w14:paraId="09006155" w14:textId="77777777" w:rsidR="003D69A8" w:rsidRPr="005E1EA7" w:rsidRDefault="003D69A8" w:rsidP="003D69A8">
      <w:pPr>
        <w:autoSpaceDE w:val="0"/>
        <w:autoSpaceDN w:val="0"/>
        <w:adjustRightInd w:val="0"/>
        <w:jc w:val="center"/>
        <w:rPr>
          <w:rFonts w:ascii="Tahoma" w:hAnsi="Tahoma" w:cs="Tahoma"/>
          <w:b/>
          <w:bCs/>
          <w:sz w:val="20"/>
          <w:szCs w:val="20"/>
        </w:rPr>
      </w:pPr>
      <w:r w:rsidRPr="005E1EA7">
        <w:rPr>
          <w:rFonts w:ascii="Tahoma" w:hAnsi="Tahoma" w:cs="Tahoma"/>
          <w:b/>
          <w:bCs/>
          <w:sz w:val="20"/>
          <w:szCs w:val="20"/>
        </w:rPr>
        <w:t>CHAPITRE I - QUANTITE TOTALE DE BIOTOXINES MARINES A NE PAS DEPASSER</w:t>
      </w:r>
    </w:p>
    <w:p w14:paraId="6EA2B60B" w14:textId="77777777" w:rsidR="003D69A8" w:rsidRPr="005E1EA7" w:rsidRDefault="003D69A8" w:rsidP="003D69A8">
      <w:pPr>
        <w:autoSpaceDE w:val="0"/>
        <w:autoSpaceDN w:val="0"/>
        <w:adjustRightInd w:val="0"/>
        <w:jc w:val="both"/>
        <w:rPr>
          <w:rFonts w:ascii="Tahoma" w:hAnsi="Tahoma" w:cs="Tahoma"/>
          <w:sz w:val="20"/>
          <w:szCs w:val="20"/>
        </w:rPr>
      </w:pPr>
    </w:p>
    <w:p w14:paraId="732EBEBA"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r w:rsidRPr="005E1EA7">
        <w:rPr>
          <w:rFonts w:ascii="Tahoma" w:eastAsia="EUAlbertina-Regular-Identity-H" w:hAnsi="Tahoma" w:cs="Tahoma"/>
          <w:sz w:val="20"/>
          <w:szCs w:val="20"/>
        </w:rPr>
        <w:t>La quantité totale de biotoxines marines (mesurées dans le corps entier ou dans toute partie comestible séparément) ne doit pas dépasser les limites suivantes :</w:t>
      </w:r>
    </w:p>
    <w:p w14:paraId="6357D3A3"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3B5F0DF9" w14:textId="77777777" w:rsidR="003D69A8" w:rsidRPr="005E1EA7" w:rsidRDefault="003D69A8" w:rsidP="00420DDA">
      <w:pPr>
        <w:pStyle w:val="Paragraphedeliste"/>
        <w:numPr>
          <w:ilvl w:val="2"/>
          <w:numId w:val="174"/>
        </w:numPr>
        <w:autoSpaceDE w:val="0"/>
        <w:autoSpaceDN w:val="0"/>
        <w:adjustRightInd w:val="0"/>
        <w:ind w:left="709"/>
        <w:jc w:val="both"/>
        <w:rPr>
          <w:rFonts w:ascii="Tahoma" w:eastAsia="EUAlbertina-Regular-Identity-H" w:hAnsi="Tahoma" w:cs="Tahoma"/>
          <w:sz w:val="20"/>
          <w:szCs w:val="20"/>
        </w:rPr>
      </w:pPr>
      <w:r w:rsidRPr="005E1EA7">
        <w:rPr>
          <w:rFonts w:ascii="Tahoma" w:eastAsia="EUAlbertina-Regular-Identity-H" w:hAnsi="Tahoma" w:cs="Tahoma"/>
          <w:sz w:val="20"/>
          <w:szCs w:val="20"/>
        </w:rPr>
        <w:t>Pour le</w:t>
      </w:r>
      <w:proofErr w:type="gramStart"/>
      <w:r w:rsidRPr="005E1EA7">
        <w:rPr>
          <w:rFonts w:ascii="Tahoma" w:eastAsia="EUAlbertina-Regular-Identity-H" w:hAnsi="Tahoma" w:cs="Tahoma"/>
          <w:sz w:val="20"/>
          <w:szCs w:val="20"/>
        </w:rPr>
        <w:t xml:space="preserve"> «Paralytic</w:t>
      </w:r>
      <w:proofErr w:type="gramEnd"/>
      <w:r w:rsidRPr="005E1EA7">
        <w:rPr>
          <w:rFonts w:ascii="Tahoma" w:eastAsia="EUAlbertina-Regular-Identity-H" w:hAnsi="Tahoma" w:cs="Tahoma"/>
          <w:sz w:val="20"/>
          <w:szCs w:val="20"/>
        </w:rPr>
        <w:t xml:space="preserve"> Shellfish Poison» (PSP), 800 microgrammes </w:t>
      </w:r>
      <w:r w:rsidRPr="005E1EA7">
        <w:rPr>
          <w:rFonts w:ascii="Tahoma" w:hAnsi="Tahoma" w:cs="Tahoma"/>
          <w:sz w:val="20"/>
          <w:szCs w:val="20"/>
        </w:rPr>
        <w:t>d’équivalent-saxitoxine diHCl par kilogramme</w:t>
      </w:r>
      <w:r w:rsidRPr="005E1EA7">
        <w:rPr>
          <w:rFonts w:ascii="Tahoma" w:eastAsia="EUAlbertina-Regular-Identity-H" w:hAnsi="Tahoma" w:cs="Tahoma"/>
          <w:sz w:val="20"/>
          <w:szCs w:val="20"/>
        </w:rPr>
        <w:t>,</w:t>
      </w:r>
    </w:p>
    <w:p w14:paraId="48A7E9AA" w14:textId="77777777" w:rsidR="003D69A8" w:rsidRPr="005E1EA7" w:rsidRDefault="003D69A8" w:rsidP="00420DDA">
      <w:pPr>
        <w:pStyle w:val="Paragraphedeliste"/>
        <w:numPr>
          <w:ilvl w:val="2"/>
          <w:numId w:val="174"/>
        </w:numPr>
        <w:autoSpaceDE w:val="0"/>
        <w:autoSpaceDN w:val="0"/>
        <w:adjustRightInd w:val="0"/>
        <w:ind w:left="709"/>
        <w:jc w:val="both"/>
        <w:rPr>
          <w:rFonts w:ascii="Tahoma" w:eastAsia="EUAlbertina-Regular-Identity-H" w:hAnsi="Tahoma" w:cs="Tahoma"/>
          <w:sz w:val="20"/>
          <w:szCs w:val="20"/>
        </w:rPr>
      </w:pPr>
      <w:r w:rsidRPr="005E1EA7">
        <w:rPr>
          <w:rFonts w:ascii="Tahoma" w:eastAsia="EUAlbertina-Regular-Identity-H" w:hAnsi="Tahoma" w:cs="Tahoma"/>
          <w:sz w:val="20"/>
          <w:szCs w:val="20"/>
        </w:rPr>
        <w:t>Pour le</w:t>
      </w:r>
      <w:proofErr w:type="gramStart"/>
      <w:r w:rsidRPr="005E1EA7">
        <w:rPr>
          <w:rFonts w:ascii="Tahoma" w:eastAsia="EUAlbertina-Regular-Identity-H" w:hAnsi="Tahoma" w:cs="Tahoma"/>
          <w:sz w:val="20"/>
          <w:szCs w:val="20"/>
        </w:rPr>
        <w:t xml:space="preserve"> «Amnesic</w:t>
      </w:r>
      <w:proofErr w:type="gramEnd"/>
      <w:r w:rsidRPr="005E1EA7">
        <w:rPr>
          <w:rFonts w:ascii="Tahoma" w:eastAsia="EUAlbertina-Regular-Identity-H" w:hAnsi="Tahoma" w:cs="Tahoma"/>
          <w:sz w:val="20"/>
          <w:szCs w:val="20"/>
        </w:rPr>
        <w:t xml:space="preserve"> Shellfish Poison» (ASP), 20 milligrammes d’acide domoïque par kilogramme,</w:t>
      </w:r>
    </w:p>
    <w:p w14:paraId="6CBC0149" w14:textId="77777777" w:rsidR="003D69A8" w:rsidRPr="005E1EA7" w:rsidRDefault="003D69A8" w:rsidP="00420DDA">
      <w:pPr>
        <w:pStyle w:val="Paragraphedeliste"/>
        <w:numPr>
          <w:ilvl w:val="2"/>
          <w:numId w:val="174"/>
        </w:numPr>
        <w:autoSpaceDE w:val="0"/>
        <w:autoSpaceDN w:val="0"/>
        <w:adjustRightInd w:val="0"/>
        <w:ind w:left="709"/>
        <w:jc w:val="both"/>
        <w:rPr>
          <w:rFonts w:ascii="Tahoma" w:eastAsia="EUAlbertina-Regular-Identity-H" w:hAnsi="Tahoma" w:cs="Tahoma"/>
          <w:sz w:val="20"/>
          <w:szCs w:val="20"/>
        </w:rPr>
      </w:pPr>
      <w:r w:rsidRPr="005E1EA7">
        <w:rPr>
          <w:rFonts w:ascii="Tahoma" w:eastAsia="EUAlbertina-Regular-Identity-H" w:hAnsi="Tahoma" w:cs="Tahoma"/>
          <w:sz w:val="20"/>
          <w:szCs w:val="20"/>
        </w:rPr>
        <w:t>Pour l’acide okadaïque, les dinophysistoxines et les pectenotoxines pris ensemble, 160 microgrammes d’équivalent-acide okadaïque par kilogramme,</w:t>
      </w:r>
    </w:p>
    <w:p w14:paraId="038A4842" w14:textId="77777777" w:rsidR="003D69A8" w:rsidRPr="005E1EA7" w:rsidRDefault="003D69A8" w:rsidP="00420DDA">
      <w:pPr>
        <w:pStyle w:val="Paragraphedeliste"/>
        <w:numPr>
          <w:ilvl w:val="2"/>
          <w:numId w:val="174"/>
        </w:numPr>
        <w:autoSpaceDE w:val="0"/>
        <w:autoSpaceDN w:val="0"/>
        <w:adjustRightInd w:val="0"/>
        <w:ind w:left="709"/>
        <w:jc w:val="both"/>
        <w:rPr>
          <w:rFonts w:ascii="Tahoma" w:eastAsia="EUAlbertina-Regular-Identity-H" w:hAnsi="Tahoma" w:cs="Tahoma"/>
          <w:sz w:val="20"/>
          <w:szCs w:val="20"/>
        </w:rPr>
      </w:pPr>
      <w:r w:rsidRPr="005E1EA7">
        <w:rPr>
          <w:rFonts w:ascii="Tahoma" w:eastAsia="EUAlbertina-Regular-Identity-H" w:hAnsi="Tahoma" w:cs="Tahoma"/>
          <w:sz w:val="20"/>
          <w:szCs w:val="20"/>
        </w:rPr>
        <w:t>Pour les yessotoxines, 3.75 milligrammes déquivalent-yessotoxines par kilogramme,</w:t>
      </w:r>
    </w:p>
    <w:p w14:paraId="6B02AD51" w14:textId="77777777" w:rsidR="003D69A8" w:rsidRPr="005E1EA7" w:rsidRDefault="003D69A8" w:rsidP="00420DDA">
      <w:pPr>
        <w:pStyle w:val="Paragraphedeliste"/>
        <w:numPr>
          <w:ilvl w:val="2"/>
          <w:numId w:val="174"/>
        </w:numPr>
        <w:autoSpaceDE w:val="0"/>
        <w:autoSpaceDN w:val="0"/>
        <w:adjustRightInd w:val="0"/>
        <w:ind w:left="709"/>
        <w:jc w:val="both"/>
        <w:rPr>
          <w:rFonts w:ascii="Tahoma" w:eastAsia="EUAlbertina-Regular-Identity-H" w:hAnsi="Tahoma" w:cs="Tahoma"/>
          <w:sz w:val="20"/>
          <w:szCs w:val="20"/>
        </w:rPr>
      </w:pPr>
      <w:r w:rsidRPr="005E1EA7">
        <w:rPr>
          <w:rFonts w:ascii="Tahoma" w:eastAsia="EUAlbertina-Regular-Identity-H" w:hAnsi="Tahoma" w:cs="Tahoma"/>
          <w:sz w:val="20"/>
          <w:szCs w:val="20"/>
        </w:rPr>
        <w:t>Pour les azaspiracides, 160 microgrammes d’équivalent-azaspiracides par kilogramme.</w:t>
      </w:r>
    </w:p>
    <w:p w14:paraId="60BFF61C" w14:textId="77777777" w:rsidR="003D69A8" w:rsidRPr="005E1EA7" w:rsidRDefault="003D69A8" w:rsidP="003D69A8">
      <w:pPr>
        <w:autoSpaceDE w:val="0"/>
        <w:autoSpaceDN w:val="0"/>
        <w:adjustRightInd w:val="0"/>
        <w:jc w:val="both"/>
        <w:rPr>
          <w:rFonts w:ascii="Tahoma" w:hAnsi="Tahoma" w:cs="Tahoma"/>
          <w:sz w:val="20"/>
          <w:szCs w:val="20"/>
        </w:rPr>
      </w:pPr>
    </w:p>
    <w:p w14:paraId="3F516969" w14:textId="77777777" w:rsidR="003D69A8" w:rsidRPr="005E1EA7" w:rsidRDefault="003D69A8" w:rsidP="003D69A8">
      <w:pPr>
        <w:jc w:val="center"/>
        <w:rPr>
          <w:rFonts w:ascii="Tahoma" w:hAnsi="Tahoma" w:cs="Tahoma"/>
          <w:b/>
          <w:bCs/>
          <w:sz w:val="20"/>
          <w:szCs w:val="20"/>
        </w:rPr>
      </w:pPr>
      <w:r w:rsidRPr="005E1EA7">
        <w:rPr>
          <w:rFonts w:ascii="Tahoma" w:hAnsi="Tahoma" w:cs="Tahoma"/>
          <w:b/>
          <w:bCs/>
          <w:sz w:val="20"/>
          <w:szCs w:val="20"/>
        </w:rPr>
        <w:t>CHAPITRE II - METHODES RECONNUES DE DETECTION D'ANALYSE DES BIOTOXINES MARINES</w:t>
      </w:r>
    </w:p>
    <w:p w14:paraId="3145C7CC" w14:textId="77777777" w:rsidR="003D69A8" w:rsidRPr="005E1EA7" w:rsidRDefault="003D69A8" w:rsidP="003D69A8">
      <w:pPr>
        <w:jc w:val="center"/>
        <w:rPr>
          <w:rFonts w:ascii="Tahoma" w:hAnsi="Tahoma" w:cs="Tahoma"/>
          <w:b/>
          <w:bCs/>
          <w:sz w:val="20"/>
          <w:szCs w:val="20"/>
        </w:rPr>
      </w:pPr>
    </w:p>
    <w:p w14:paraId="5D0EB11A" w14:textId="77777777" w:rsidR="003D69A8" w:rsidRPr="005E1EA7" w:rsidRDefault="003D69A8" w:rsidP="00420DDA">
      <w:pPr>
        <w:pStyle w:val="Corpsdetexte3"/>
        <w:numPr>
          <w:ilvl w:val="0"/>
          <w:numId w:val="173"/>
        </w:numPr>
        <w:rPr>
          <w:rFonts w:ascii="Tahoma" w:hAnsi="Tahoma" w:cs="Tahoma"/>
          <w:b/>
          <w:bCs/>
          <w:i w:val="0"/>
          <w:iCs w:val="0"/>
          <w:sz w:val="20"/>
          <w:szCs w:val="20"/>
        </w:rPr>
      </w:pPr>
      <w:r w:rsidRPr="005E1EA7">
        <w:rPr>
          <w:rFonts w:ascii="Tahoma" w:hAnsi="Tahoma" w:cs="Tahoma"/>
          <w:b/>
          <w:bCs/>
          <w:i w:val="0"/>
          <w:iCs w:val="0"/>
          <w:sz w:val="20"/>
          <w:szCs w:val="20"/>
        </w:rPr>
        <w:t>METHODE DE DETECTION D'ANALYSE DES TOXINES PARALYSANTES (PSP)</w:t>
      </w:r>
    </w:p>
    <w:p w14:paraId="17AD240A" w14:textId="77777777" w:rsidR="003D69A8" w:rsidRPr="005E1EA7" w:rsidRDefault="003D69A8" w:rsidP="003D69A8">
      <w:pPr>
        <w:autoSpaceDE w:val="0"/>
        <w:autoSpaceDN w:val="0"/>
        <w:adjustRightInd w:val="0"/>
        <w:jc w:val="both"/>
        <w:rPr>
          <w:rFonts w:ascii="Tahoma" w:hAnsi="Tahoma" w:cs="Tahoma"/>
          <w:sz w:val="20"/>
          <w:szCs w:val="20"/>
        </w:rPr>
      </w:pPr>
    </w:p>
    <w:p w14:paraId="684C5531" w14:textId="77777777" w:rsidR="003D69A8" w:rsidRPr="005E1EA7" w:rsidRDefault="003D69A8" w:rsidP="003D69A8">
      <w:pPr>
        <w:autoSpaceDE w:val="0"/>
        <w:autoSpaceDN w:val="0"/>
        <w:adjustRightInd w:val="0"/>
        <w:jc w:val="both"/>
        <w:rPr>
          <w:rFonts w:ascii="Tahoma" w:hAnsi="Tahoma" w:cs="Tahoma"/>
          <w:sz w:val="20"/>
          <w:szCs w:val="20"/>
        </w:rPr>
      </w:pPr>
      <w:r w:rsidRPr="005E1EA7">
        <w:rPr>
          <w:rFonts w:ascii="Tahoma" w:hAnsi="Tahoma" w:cs="Tahoma"/>
          <w:sz w:val="20"/>
          <w:szCs w:val="20"/>
        </w:rPr>
        <w:t>1.1. La teneur en toxines paralysantes (Paralytic Shellfish Poison - PSP) des parties comestibles des mollusques (corps entier ou toute partie consommable séparément) doit être déterminée conformément à la méthode d'analyse biologique ou à toute autre méthode reconnue au niveau international. La méthode d'analyse biologique peut être associée, en tant que de besoin, à une autre méthode de détection de la saxitoxine et de ses analogues, à condition qu'elle soit normalisée.</w:t>
      </w:r>
    </w:p>
    <w:p w14:paraId="536D3688" w14:textId="77777777" w:rsidR="003D69A8" w:rsidRPr="005E1EA7" w:rsidRDefault="003D69A8" w:rsidP="003D69A8">
      <w:pPr>
        <w:autoSpaceDE w:val="0"/>
        <w:autoSpaceDN w:val="0"/>
        <w:adjustRightInd w:val="0"/>
        <w:jc w:val="both"/>
        <w:rPr>
          <w:rFonts w:ascii="Tahoma" w:hAnsi="Tahoma" w:cs="Tahoma"/>
          <w:sz w:val="20"/>
          <w:szCs w:val="20"/>
        </w:rPr>
      </w:pPr>
    </w:p>
    <w:p w14:paraId="1FD1D14E" w14:textId="77777777" w:rsidR="003D69A8" w:rsidRPr="005E1EA7" w:rsidRDefault="003D69A8" w:rsidP="003D69A8">
      <w:pPr>
        <w:autoSpaceDE w:val="0"/>
        <w:autoSpaceDN w:val="0"/>
        <w:adjustRightInd w:val="0"/>
        <w:jc w:val="both"/>
        <w:rPr>
          <w:rFonts w:ascii="Tahoma" w:hAnsi="Tahoma" w:cs="Tahoma"/>
          <w:sz w:val="20"/>
          <w:szCs w:val="20"/>
        </w:rPr>
      </w:pPr>
      <w:r w:rsidRPr="005E1EA7">
        <w:rPr>
          <w:rFonts w:ascii="Tahoma" w:hAnsi="Tahoma" w:cs="Tahoma"/>
          <w:sz w:val="20"/>
          <w:szCs w:val="20"/>
        </w:rPr>
        <w:t>1.2. En cas de contestation des résultats, la méthode de référence est la méthode</w:t>
      </w:r>
      <w:r w:rsidRPr="005E1EA7">
        <w:rPr>
          <w:rFonts w:ascii="Tahoma" w:hAnsi="Tahoma" w:cs="Tahoma"/>
          <w:strike/>
          <w:sz w:val="20"/>
          <w:szCs w:val="20"/>
        </w:rPr>
        <w:t xml:space="preserve"> </w:t>
      </w:r>
      <w:r w:rsidRPr="005E1EA7">
        <w:rPr>
          <w:rFonts w:ascii="Tahoma" w:hAnsi="Tahoma" w:cs="Tahoma"/>
          <w:sz w:val="20"/>
          <w:szCs w:val="20"/>
        </w:rPr>
        <w:t>officielle OMA 2005.06 de l'AOAC.</w:t>
      </w:r>
    </w:p>
    <w:p w14:paraId="4F576544" w14:textId="77777777" w:rsidR="003D69A8" w:rsidRPr="005E1EA7" w:rsidRDefault="003D69A8" w:rsidP="003D69A8">
      <w:pPr>
        <w:autoSpaceDE w:val="0"/>
        <w:autoSpaceDN w:val="0"/>
        <w:adjustRightInd w:val="0"/>
        <w:jc w:val="both"/>
        <w:rPr>
          <w:rFonts w:ascii="Tahoma" w:hAnsi="Tahoma" w:cs="Tahoma"/>
          <w:sz w:val="20"/>
          <w:szCs w:val="20"/>
        </w:rPr>
      </w:pPr>
    </w:p>
    <w:p w14:paraId="66D4C9ED" w14:textId="77777777" w:rsidR="003D69A8" w:rsidRPr="005E1EA7" w:rsidRDefault="003D69A8" w:rsidP="00420DDA">
      <w:pPr>
        <w:pStyle w:val="Corpsdetexte3"/>
        <w:numPr>
          <w:ilvl w:val="0"/>
          <w:numId w:val="173"/>
        </w:numPr>
        <w:rPr>
          <w:rFonts w:ascii="Tahoma" w:hAnsi="Tahoma" w:cs="Tahoma"/>
          <w:b/>
          <w:bCs/>
          <w:i w:val="0"/>
          <w:iCs w:val="0"/>
          <w:sz w:val="20"/>
          <w:szCs w:val="20"/>
        </w:rPr>
      </w:pPr>
      <w:r w:rsidRPr="005E1EA7">
        <w:rPr>
          <w:rFonts w:ascii="Tahoma" w:hAnsi="Tahoma" w:cs="Tahoma"/>
          <w:b/>
          <w:bCs/>
          <w:i w:val="0"/>
          <w:iCs w:val="0"/>
          <w:sz w:val="20"/>
          <w:szCs w:val="20"/>
        </w:rPr>
        <w:t>METHODE DE DETECTION D'ANALYSE DES TOXINES AMNESIANTES (ASP)</w:t>
      </w:r>
    </w:p>
    <w:p w14:paraId="0C537C57" w14:textId="77777777" w:rsidR="003D69A8" w:rsidRPr="005E1EA7" w:rsidRDefault="003D69A8" w:rsidP="003D69A8">
      <w:pPr>
        <w:pStyle w:val="Corpsdetexte3"/>
        <w:ind w:left="1440"/>
        <w:rPr>
          <w:rFonts w:ascii="Tahoma" w:hAnsi="Tahoma" w:cs="Tahoma"/>
          <w:b/>
          <w:bCs/>
          <w:sz w:val="20"/>
          <w:szCs w:val="20"/>
        </w:rPr>
      </w:pPr>
    </w:p>
    <w:p w14:paraId="79D5D704" w14:textId="77777777" w:rsidR="003D69A8" w:rsidRPr="005E1EA7" w:rsidRDefault="003D69A8" w:rsidP="003D69A8">
      <w:pPr>
        <w:autoSpaceDE w:val="0"/>
        <w:autoSpaceDN w:val="0"/>
        <w:adjustRightInd w:val="0"/>
        <w:jc w:val="both"/>
        <w:rPr>
          <w:rFonts w:ascii="Tahoma" w:hAnsi="Tahoma" w:cs="Tahoma"/>
          <w:sz w:val="20"/>
          <w:szCs w:val="20"/>
        </w:rPr>
      </w:pPr>
      <w:r w:rsidRPr="005E1EA7">
        <w:rPr>
          <w:rFonts w:ascii="Tahoma" w:hAnsi="Tahoma" w:cs="Tahoma"/>
          <w:sz w:val="20"/>
          <w:szCs w:val="20"/>
        </w:rPr>
        <w:t>La teneur totale en toxines amnésiantes (amnesic shellfish poison — ASP) des parties comestibles des mollusques (corps entier ou toute partie consommable séparément) doit être déterminée par chromatographie liquide haute performance (CLHP) couplée à la détection UV (HPLC/UV) ou par toute autre méthode reconnue.</w:t>
      </w:r>
    </w:p>
    <w:p w14:paraId="1BA6A440" w14:textId="77777777" w:rsidR="003D69A8" w:rsidRPr="005E1EA7" w:rsidRDefault="003D69A8" w:rsidP="003D69A8">
      <w:pPr>
        <w:autoSpaceDE w:val="0"/>
        <w:autoSpaceDN w:val="0"/>
        <w:adjustRightInd w:val="0"/>
        <w:jc w:val="both"/>
        <w:rPr>
          <w:rFonts w:ascii="Tahoma" w:hAnsi="Tahoma" w:cs="Tahoma"/>
          <w:sz w:val="20"/>
          <w:szCs w:val="20"/>
        </w:rPr>
      </w:pPr>
    </w:p>
    <w:p w14:paraId="62F7DF06" w14:textId="77777777" w:rsidR="003D69A8" w:rsidRPr="005E1EA7" w:rsidRDefault="003D69A8" w:rsidP="003D69A8">
      <w:pPr>
        <w:autoSpaceDE w:val="0"/>
        <w:autoSpaceDN w:val="0"/>
        <w:adjustRightInd w:val="0"/>
        <w:jc w:val="both"/>
        <w:rPr>
          <w:rFonts w:ascii="Tahoma" w:hAnsi="Tahoma" w:cs="Tahoma"/>
          <w:sz w:val="20"/>
          <w:szCs w:val="20"/>
        </w:rPr>
      </w:pPr>
      <w:r w:rsidRPr="005E1EA7">
        <w:rPr>
          <w:rFonts w:ascii="Tahoma" w:hAnsi="Tahoma" w:cs="Tahoma"/>
          <w:sz w:val="20"/>
          <w:szCs w:val="20"/>
        </w:rPr>
        <w:t xml:space="preserve">Toutefois, à des fins de dépistage, la méthode officielle 2006.02 de l'AOAC, telle que publiée dans le Journal of AOAC International, vol. 90, p. 1011 à 1027 (méthode ELISA de dosage immuno-enzymatique), ou toute autre méthode validée et reconnue au niveau international peuvent également être utilisées. </w:t>
      </w:r>
    </w:p>
    <w:p w14:paraId="5A33D6B9" w14:textId="77777777" w:rsidR="003D69A8" w:rsidRPr="005E1EA7" w:rsidRDefault="003D69A8" w:rsidP="003D69A8">
      <w:pPr>
        <w:autoSpaceDE w:val="0"/>
        <w:autoSpaceDN w:val="0"/>
        <w:adjustRightInd w:val="0"/>
        <w:jc w:val="both"/>
        <w:rPr>
          <w:rFonts w:ascii="Tahoma" w:hAnsi="Tahoma" w:cs="Tahoma"/>
          <w:sz w:val="20"/>
          <w:szCs w:val="20"/>
        </w:rPr>
      </w:pPr>
    </w:p>
    <w:p w14:paraId="11C1667B" w14:textId="77777777" w:rsidR="003D69A8" w:rsidRPr="005E1EA7" w:rsidRDefault="003D69A8" w:rsidP="003D69A8">
      <w:pPr>
        <w:autoSpaceDE w:val="0"/>
        <w:autoSpaceDN w:val="0"/>
        <w:adjustRightInd w:val="0"/>
        <w:jc w:val="both"/>
        <w:rPr>
          <w:rFonts w:ascii="Tahoma" w:hAnsi="Tahoma" w:cs="Tahoma"/>
          <w:sz w:val="20"/>
          <w:szCs w:val="20"/>
        </w:rPr>
      </w:pPr>
      <w:r w:rsidRPr="005E1EA7">
        <w:rPr>
          <w:rFonts w:ascii="Tahoma" w:hAnsi="Tahoma" w:cs="Tahoma"/>
          <w:sz w:val="20"/>
          <w:szCs w:val="20"/>
        </w:rPr>
        <w:t>En cas de contestation des résultats, la méthode de référence est la méthode HPLC/UV.</w:t>
      </w:r>
    </w:p>
    <w:p w14:paraId="4385260B" w14:textId="77777777" w:rsidR="003D69A8" w:rsidRPr="005E1EA7" w:rsidRDefault="003D69A8" w:rsidP="003D69A8">
      <w:pPr>
        <w:autoSpaceDE w:val="0"/>
        <w:autoSpaceDN w:val="0"/>
        <w:adjustRightInd w:val="0"/>
        <w:jc w:val="both"/>
        <w:rPr>
          <w:rFonts w:ascii="Tahoma" w:hAnsi="Tahoma" w:cs="Tahoma"/>
          <w:sz w:val="20"/>
          <w:szCs w:val="20"/>
        </w:rPr>
      </w:pPr>
    </w:p>
    <w:p w14:paraId="66115806" w14:textId="77777777" w:rsidR="003D69A8" w:rsidRPr="005E1EA7" w:rsidRDefault="003D69A8" w:rsidP="00420DDA">
      <w:pPr>
        <w:pStyle w:val="Corpsdetexte3"/>
        <w:numPr>
          <w:ilvl w:val="0"/>
          <w:numId w:val="173"/>
        </w:numPr>
        <w:rPr>
          <w:rFonts w:ascii="Tahoma" w:hAnsi="Tahoma" w:cs="Tahoma"/>
          <w:b/>
          <w:bCs/>
          <w:i w:val="0"/>
          <w:iCs w:val="0"/>
          <w:sz w:val="20"/>
          <w:szCs w:val="20"/>
        </w:rPr>
      </w:pPr>
      <w:r w:rsidRPr="005E1EA7">
        <w:rPr>
          <w:rFonts w:ascii="Tahoma" w:hAnsi="Tahoma" w:cs="Tahoma"/>
          <w:b/>
          <w:bCs/>
          <w:i w:val="0"/>
          <w:iCs w:val="0"/>
          <w:sz w:val="20"/>
          <w:szCs w:val="20"/>
        </w:rPr>
        <w:t>METHODES DE DETECTION D'ANALYSE DES TOXINES LIPOPHILES</w:t>
      </w:r>
    </w:p>
    <w:p w14:paraId="426ACAD3" w14:textId="77777777" w:rsidR="003D69A8" w:rsidRPr="005E1EA7" w:rsidRDefault="003D69A8" w:rsidP="003D69A8">
      <w:pPr>
        <w:autoSpaceDE w:val="0"/>
        <w:autoSpaceDN w:val="0"/>
        <w:adjustRightInd w:val="0"/>
        <w:jc w:val="both"/>
        <w:rPr>
          <w:rFonts w:ascii="Tahoma" w:hAnsi="Tahoma" w:cs="Tahoma"/>
          <w:sz w:val="20"/>
          <w:szCs w:val="20"/>
        </w:rPr>
      </w:pPr>
    </w:p>
    <w:p w14:paraId="15F3E908" w14:textId="77777777" w:rsidR="003D69A8" w:rsidRPr="005E1EA7" w:rsidRDefault="003D69A8" w:rsidP="003D69A8">
      <w:pPr>
        <w:jc w:val="both"/>
        <w:rPr>
          <w:rFonts w:ascii="Tahoma" w:hAnsi="Tahoma" w:cs="Tahoma"/>
          <w:sz w:val="20"/>
          <w:szCs w:val="20"/>
        </w:rPr>
      </w:pPr>
      <w:r w:rsidRPr="005E1EA7">
        <w:rPr>
          <w:rFonts w:ascii="Tahoma" w:hAnsi="Tahoma" w:cs="Tahoma"/>
          <w:sz w:val="20"/>
          <w:szCs w:val="20"/>
        </w:rPr>
        <w:t>La méthode de détection d’analyse des toxines lipophiles est la méthode LC-MS/MS qui est la méthode de référence pour la détection des toxines marines lipophiles suivantes :</w:t>
      </w:r>
    </w:p>
    <w:p w14:paraId="493F8C5B" w14:textId="77777777" w:rsidR="003D69A8" w:rsidRPr="005E1EA7" w:rsidRDefault="003D69A8" w:rsidP="003D69A8">
      <w:pPr>
        <w:jc w:val="both"/>
        <w:rPr>
          <w:rFonts w:ascii="Tahoma" w:hAnsi="Tahoma" w:cs="Tahoma"/>
          <w:sz w:val="20"/>
          <w:szCs w:val="20"/>
        </w:rPr>
      </w:pPr>
    </w:p>
    <w:p w14:paraId="25F85E98" w14:textId="77777777" w:rsidR="003D69A8" w:rsidRPr="005E1EA7" w:rsidRDefault="003D69A8" w:rsidP="00420DDA">
      <w:pPr>
        <w:pStyle w:val="Paragraphedeliste"/>
        <w:numPr>
          <w:ilvl w:val="0"/>
          <w:numId w:val="175"/>
        </w:numPr>
        <w:jc w:val="both"/>
        <w:rPr>
          <w:rFonts w:ascii="Tahoma" w:hAnsi="Tahoma" w:cs="Tahoma"/>
          <w:sz w:val="20"/>
          <w:szCs w:val="20"/>
        </w:rPr>
      </w:pPr>
      <w:r w:rsidRPr="005E1EA7">
        <w:rPr>
          <w:rFonts w:ascii="Tahoma" w:hAnsi="Tahoma" w:cs="Tahoma"/>
          <w:sz w:val="20"/>
          <w:szCs w:val="20"/>
        </w:rPr>
        <w:t xml:space="preserve">Groupe acide </w:t>
      </w:r>
      <w:proofErr w:type="gramStart"/>
      <w:r w:rsidRPr="005E1EA7">
        <w:rPr>
          <w:rFonts w:ascii="Tahoma" w:hAnsi="Tahoma" w:cs="Tahoma"/>
          <w:sz w:val="20"/>
          <w:szCs w:val="20"/>
        </w:rPr>
        <w:t>okadaïque:</w:t>
      </w:r>
      <w:proofErr w:type="gramEnd"/>
      <w:r w:rsidRPr="005E1EA7">
        <w:rPr>
          <w:rFonts w:ascii="Tahoma" w:hAnsi="Tahoma" w:cs="Tahoma"/>
          <w:sz w:val="20"/>
          <w:szCs w:val="20"/>
        </w:rPr>
        <w:t xml:space="preserve"> OA, DTX1, DTX2, DTX3, y compris leurs esters;</w:t>
      </w:r>
    </w:p>
    <w:p w14:paraId="4451B766" w14:textId="77777777" w:rsidR="003D69A8" w:rsidRPr="005E1EA7" w:rsidRDefault="003D69A8" w:rsidP="00420DDA">
      <w:pPr>
        <w:pStyle w:val="Paragraphedeliste"/>
        <w:numPr>
          <w:ilvl w:val="0"/>
          <w:numId w:val="175"/>
        </w:numPr>
        <w:jc w:val="both"/>
        <w:rPr>
          <w:rFonts w:ascii="Tahoma" w:hAnsi="Tahoma" w:cs="Tahoma"/>
          <w:sz w:val="20"/>
          <w:szCs w:val="20"/>
        </w:rPr>
      </w:pPr>
      <w:r w:rsidRPr="005E1EA7">
        <w:rPr>
          <w:rFonts w:ascii="Tahoma" w:hAnsi="Tahoma" w:cs="Tahoma"/>
          <w:sz w:val="20"/>
          <w:szCs w:val="20"/>
        </w:rPr>
        <w:t xml:space="preserve">Groupe des </w:t>
      </w:r>
      <w:proofErr w:type="gramStart"/>
      <w:r w:rsidRPr="005E1EA7">
        <w:rPr>
          <w:rFonts w:ascii="Tahoma" w:hAnsi="Tahoma" w:cs="Tahoma"/>
          <w:sz w:val="20"/>
          <w:szCs w:val="20"/>
        </w:rPr>
        <w:t>pecténotoxines:</w:t>
      </w:r>
      <w:proofErr w:type="gramEnd"/>
      <w:r w:rsidRPr="005E1EA7">
        <w:rPr>
          <w:rFonts w:ascii="Tahoma" w:hAnsi="Tahoma" w:cs="Tahoma"/>
          <w:sz w:val="20"/>
          <w:szCs w:val="20"/>
        </w:rPr>
        <w:t xml:space="preserve"> PTX1 et PTX2;</w:t>
      </w:r>
    </w:p>
    <w:p w14:paraId="0DF59727" w14:textId="77777777" w:rsidR="003D69A8" w:rsidRPr="005E1EA7" w:rsidRDefault="003D69A8" w:rsidP="00420DDA">
      <w:pPr>
        <w:pStyle w:val="Paragraphedeliste"/>
        <w:numPr>
          <w:ilvl w:val="0"/>
          <w:numId w:val="175"/>
        </w:numPr>
        <w:jc w:val="both"/>
        <w:rPr>
          <w:rFonts w:ascii="Tahoma" w:hAnsi="Tahoma" w:cs="Tahoma"/>
          <w:sz w:val="20"/>
          <w:szCs w:val="20"/>
        </w:rPr>
      </w:pPr>
      <w:r w:rsidRPr="005E1EA7">
        <w:rPr>
          <w:rFonts w:ascii="Tahoma" w:hAnsi="Tahoma" w:cs="Tahoma"/>
          <w:sz w:val="20"/>
          <w:szCs w:val="20"/>
        </w:rPr>
        <w:t xml:space="preserve">Groupe des </w:t>
      </w:r>
      <w:proofErr w:type="gramStart"/>
      <w:r w:rsidRPr="005E1EA7">
        <w:rPr>
          <w:rFonts w:ascii="Tahoma" w:hAnsi="Tahoma" w:cs="Tahoma"/>
          <w:sz w:val="20"/>
          <w:szCs w:val="20"/>
        </w:rPr>
        <w:t>yessotoxines:</w:t>
      </w:r>
      <w:proofErr w:type="gramEnd"/>
      <w:r w:rsidRPr="005E1EA7">
        <w:rPr>
          <w:rFonts w:ascii="Tahoma" w:hAnsi="Tahoma" w:cs="Tahoma"/>
          <w:sz w:val="20"/>
          <w:szCs w:val="20"/>
        </w:rPr>
        <w:t xml:space="preserve"> YTX, 45 OH YTX, homo YTX et 45 OH homo YTX,</w:t>
      </w:r>
    </w:p>
    <w:p w14:paraId="21B47781" w14:textId="77777777" w:rsidR="003D69A8" w:rsidRPr="005E1EA7" w:rsidRDefault="003D69A8" w:rsidP="00420DDA">
      <w:pPr>
        <w:pStyle w:val="Paragraphedeliste"/>
        <w:numPr>
          <w:ilvl w:val="0"/>
          <w:numId w:val="175"/>
        </w:numPr>
        <w:jc w:val="both"/>
        <w:rPr>
          <w:rFonts w:ascii="Tahoma" w:hAnsi="Tahoma" w:cs="Tahoma"/>
          <w:sz w:val="20"/>
          <w:szCs w:val="20"/>
        </w:rPr>
      </w:pPr>
      <w:r w:rsidRPr="005E1EA7">
        <w:rPr>
          <w:rFonts w:ascii="Tahoma" w:hAnsi="Tahoma" w:cs="Tahoma"/>
          <w:sz w:val="20"/>
          <w:szCs w:val="20"/>
        </w:rPr>
        <w:t xml:space="preserve">Groupe des </w:t>
      </w:r>
      <w:proofErr w:type="gramStart"/>
      <w:r w:rsidRPr="005E1EA7">
        <w:rPr>
          <w:rFonts w:ascii="Tahoma" w:hAnsi="Tahoma" w:cs="Tahoma"/>
          <w:sz w:val="20"/>
          <w:szCs w:val="20"/>
        </w:rPr>
        <w:t>azaspiracides:</w:t>
      </w:r>
      <w:proofErr w:type="gramEnd"/>
      <w:r w:rsidRPr="005E1EA7">
        <w:rPr>
          <w:rFonts w:ascii="Tahoma" w:hAnsi="Tahoma" w:cs="Tahoma"/>
          <w:sz w:val="20"/>
          <w:szCs w:val="20"/>
        </w:rPr>
        <w:t xml:space="preserve"> AZA1, AZA2 et AZA3.</w:t>
      </w:r>
    </w:p>
    <w:p w14:paraId="23595C84" w14:textId="77777777" w:rsidR="003D69A8" w:rsidRPr="005E1EA7" w:rsidRDefault="003D69A8" w:rsidP="003D69A8">
      <w:pPr>
        <w:jc w:val="both"/>
        <w:rPr>
          <w:rFonts w:ascii="Tahoma" w:hAnsi="Tahoma" w:cs="Tahoma"/>
          <w:sz w:val="20"/>
          <w:szCs w:val="20"/>
        </w:rPr>
      </w:pPr>
    </w:p>
    <w:p w14:paraId="363F06D3" w14:textId="77777777" w:rsidR="003D69A8" w:rsidRPr="005E1EA7" w:rsidRDefault="003D69A8" w:rsidP="003D69A8">
      <w:pPr>
        <w:autoSpaceDE w:val="0"/>
        <w:autoSpaceDN w:val="0"/>
        <w:adjustRightInd w:val="0"/>
        <w:jc w:val="both"/>
        <w:rPr>
          <w:rFonts w:ascii="Tahoma" w:hAnsi="Tahoma" w:cs="Tahoma"/>
          <w:sz w:val="20"/>
          <w:szCs w:val="20"/>
        </w:rPr>
      </w:pPr>
      <w:r w:rsidRPr="005E1EA7">
        <w:rPr>
          <w:rFonts w:ascii="Tahoma" w:hAnsi="Tahoma" w:cs="Tahoma"/>
          <w:sz w:val="20"/>
          <w:szCs w:val="20"/>
        </w:rPr>
        <w:lastRenderedPageBreak/>
        <w:t xml:space="preserve">Notes : </w:t>
      </w:r>
    </w:p>
    <w:p w14:paraId="2AF5A272" w14:textId="77777777" w:rsidR="003D69A8" w:rsidRPr="005E1EA7" w:rsidRDefault="003D69A8" w:rsidP="00420DDA">
      <w:pPr>
        <w:pStyle w:val="Paragraphedeliste"/>
        <w:numPr>
          <w:ilvl w:val="1"/>
          <w:numId w:val="173"/>
        </w:numPr>
        <w:autoSpaceDE w:val="0"/>
        <w:autoSpaceDN w:val="0"/>
        <w:adjustRightInd w:val="0"/>
        <w:ind w:left="567"/>
        <w:jc w:val="both"/>
        <w:rPr>
          <w:rFonts w:ascii="Tahoma" w:hAnsi="Tahoma" w:cs="Tahoma"/>
          <w:sz w:val="20"/>
          <w:szCs w:val="20"/>
        </w:rPr>
      </w:pPr>
      <w:r w:rsidRPr="005E1EA7">
        <w:rPr>
          <w:rFonts w:ascii="Tahoma" w:hAnsi="Tahoma" w:cs="Tahoma"/>
          <w:sz w:val="20"/>
          <w:szCs w:val="20"/>
        </w:rPr>
        <w:t>L’équivalence toxique totale est calculée au moyen des facteurs d’équivalence toxique (</w:t>
      </w:r>
      <w:r w:rsidRPr="005E1EA7">
        <w:rPr>
          <w:rFonts w:ascii="Tahoma" w:hAnsi="Tahoma" w:cs="Tahoma"/>
          <w:i/>
          <w:iCs/>
          <w:sz w:val="20"/>
          <w:szCs w:val="20"/>
        </w:rPr>
        <w:t>toxicity equivalent factors</w:t>
      </w:r>
      <w:r w:rsidRPr="005E1EA7">
        <w:rPr>
          <w:rFonts w:ascii="Tahoma" w:hAnsi="Tahoma" w:cs="Tahoma"/>
          <w:sz w:val="20"/>
          <w:szCs w:val="20"/>
        </w:rPr>
        <w:t xml:space="preserve">, TEF) recommandés par l’EFSA. </w:t>
      </w:r>
    </w:p>
    <w:p w14:paraId="2C65C86E" w14:textId="77777777" w:rsidR="003D69A8" w:rsidRPr="005E1EA7" w:rsidRDefault="003D69A8" w:rsidP="00420DDA">
      <w:pPr>
        <w:pStyle w:val="Paragraphedeliste"/>
        <w:numPr>
          <w:ilvl w:val="1"/>
          <w:numId w:val="173"/>
        </w:numPr>
        <w:autoSpaceDE w:val="0"/>
        <w:autoSpaceDN w:val="0"/>
        <w:adjustRightInd w:val="0"/>
        <w:ind w:left="567"/>
        <w:jc w:val="both"/>
        <w:rPr>
          <w:rFonts w:ascii="Tahoma" w:hAnsi="Tahoma" w:cs="Tahoma"/>
          <w:sz w:val="20"/>
          <w:szCs w:val="20"/>
        </w:rPr>
      </w:pPr>
      <w:r w:rsidRPr="005E1EA7">
        <w:rPr>
          <w:rFonts w:ascii="Tahoma" w:hAnsi="Tahoma" w:cs="Tahoma"/>
          <w:sz w:val="20"/>
          <w:szCs w:val="20"/>
        </w:rPr>
        <w:t xml:space="preserve">Si de nouveaux analogues importants pour la santé publique sont découverts, ils doivent être inclus dans l’analyse. L’équivalence toxique totale est calculée au moyen des facteurs d’équivalence toxique (TEF) </w:t>
      </w:r>
    </w:p>
    <w:p w14:paraId="57C6F5B5" w14:textId="77777777" w:rsidR="003D69A8" w:rsidRPr="005E1EA7" w:rsidRDefault="003D69A8" w:rsidP="00420DDA">
      <w:pPr>
        <w:pStyle w:val="Paragraphedeliste"/>
        <w:numPr>
          <w:ilvl w:val="1"/>
          <w:numId w:val="173"/>
        </w:numPr>
        <w:autoSpaceDE w:val="0"/>
        <w:autoSpaceDN w:val="0"/>
        <w:adjustRightInd w:val="0"/>
        <w:ind w:left="567"/>
        <w:jc w:val="both"/>
        <w:rPr>
          <w:rFonts w:ascii="Tahoma" w:hAnsi="Tahoma" w:cs="Tahoma"/>
          <w:sz w:val="20"/>
          <w:szCs w:val="20"/>
        </w:rPr>
      </w:pPr>
      <w:r w:rsidRPr="005E1EA7">
        <w:rPr>
          <w:rFonts w:ascii="Tahoma" w:hAnsi="Tahoma" w:cs="Tahoma"/>
          <w:sz w:val="20"/>
          <w:szCs w:val="20"/>
        </w:rPr>
        <w:t xml:space="preserve">D’autres méthodes, telles que la chromatographie liquide (LC) – spectrométrie de masse (MS), la chromatographie liquide haute performance (CLHP) avec la détection appropriée, les immuno-essais et les tests fonctionnels, tels que le test d’inhibition de la phosphatase, peuvent être utilisées en lieu et place de la méthode EU-R.L. LC-MS/MS, pour autant : </w:t>
      </w:r>
    </w:p>
    <w:p w14:paraId="06CD011E" w14:textId="77777777" w:rsidR="003D69A8" w:rsidRPr="005E1EA7" w:rsidRDefault="003D69A8" w:rsidP="00420DDA">
      <w:pPr>
        <w:pStyle w:val="Paragraphedeliste"/>
        <w:numPr>
          <w:ilvl w:val="1"/>
          <w:numId w:val="176"/>
        </w:numPr>
        <w:ind w:left="851"/>
        <w:jc w:val="both"/>
        <w:rPr>
          <w:rFonts w:ascii="Tahoma" w:hAnsi="Tahoma" w:cs="Tahoma"/>
          <w:sz w:val="20"/>
          <w:szCs w:val="20"/>
        </w:rPr>
      </w:pPr>
      <w:proofErr w:type="gramStart"/>
      <w:r w:rsidRPr="005E1EA7">
        <w:rPr>
          <w:rFonts w:ascii="Tahoma" w:hAnsi="Tahoma" w:cs="Tahoma"/>
          <w:sz w:val="20"/>
          <w:szCs w:val="20"/>
        </w:rPr>
        <w:t>que</w:t>
      </w:r>
      <w:proofErr w:type="gramEnd"/>
      <w:r w:rsidRPr="005E1EA7">
        <w:rPr>
          <w:rFonts w:ascii="Tahoma" w:hAnsi="Tahoma" w:cs="Tahoma"/>
          <w:sz w:val="20"/>
          <w:szCs w:val="20"/>
        </w:rPr>
        <w:t xml:space="preserve"> seules ou combinées, elles puissent détecter au moins les analogues visés au point A, 1 du présent chapitre; le cas échéant, des critères plus appropriés sont définis;</w:t>
      </w:r>
    </w:p>
    <w:p w14:paraId="01B07FA5" w14:textId="77777777" w:rsidR="003D69A8" w:rsidRPr="005E1EA7" w:rsidRDefault="003D69A8" w:rsidP="003D69A8">
      <w:pPr>
        <w:ind w:left="851"/>
        <w:jc w:val="both"/>
        <w:rPr>
          <w:rFonts w:ascii="Tahoma" w:hAnsi="Tahoma" w:cs="Tahoma"/>
          <w:sz w:val="20"/>
          <w:szCs w:val="20"/>
        </w:rPr>
      </w:pPr>
    </w:p>
    <w:p w14:paraId="6B1D82B4" w14:textId="77777777" w:rsidR="003D69A8" w:rsidRPr="005E1EA7" w:rsidRDefault="003D69A8" w:rsidP="00420DDA">
      <w:pPr>
        <w:pStyle w:val="Paragraphedeliste"/>
        <w:numPr>
          <w:ilvl w:val="1"/>
          <w:numId w:val="176"/>
        </w:numPr>
        <w:autoSpaceDE w:val="0"/>
        <w:autoSpaceDN w:val="0"/>
        <w:adjustRightInd w:val="0"/>
        <w:ind w:left="851"/>
        <w:jc w:val="both"/>
        <w:rPr>
          <w:rFonts w:ascii="Tahoma" w:hAnsi="Tahoma" w:cs="Tahoma"/>
          <w:sz w:val="20"/>
          <w:szCs w:val="20"/>
        </w:rPr>
      </w:pPr>
      <w:proofErr w:type="gramStart"/>
      <w:r w:rsidRPr="005E1EA7">
        <w:rPr>
          <w:rFonts w:ascii="Tahoma" w:hAnsi="Tahoma" w:cs="Tahoma"/>
          <w:sz w:val="20"/>
          <w:szCs w:val="20"/>
        </w:rPr>
        <w:t>qu’elles</w:t>
      </w:r>
      <w:proofErr w:type="gramEnd"/>
      <w:r w:rsidRPr="005E1EA7">
        <w:rPr>
          <w:rFonts w:ascii="Tahoma" w:hAnsi="Tahoma" w:cs="Tahoma"/>
          <w:sz w:val="20"/>
          <w:szCs w:val="20"/>
        </w:rPr>
        <w:t xml:space="preserve"> remplissent les critères de performance préconisés par le laboratoire de référence susmentionné. Ces méthodes devront avoir fait l’objet d’une validation intralaboratoire et avoir passé avec succès les tests effectués dans le cadre d’un programme reconnu de tests d’efficacité. </w:t>
      </w:r>
    </w:p>
    <w:p w14:paraId="662C2236" w14:textId="77777777" w:rsidR="003D69A8" w:rsidRPr="005E1EA7" w:rsidRDefault="003D69A8" w:rsidP="00420DDA">
      <w:pPr>
        <w:pStyle w:val="Paragraphedeliste"/>
        <w:numPr>
          <w:ilvl w:val="1"/>
          <w:numId w:val="176"/>
        </w:numPr>
        <w:autoSpaceDE w:val="0"/>
        <w:autoSpaceDN w:val="0"/>
        <w:adjustRightInd w:val="0"/>
        <w:ind w:left="851"/>
        <w:jc w:val="both"/>
        <w:rPr>
          <w:rFonts w:ascii="Tahoma" w:hAnsi="Tahoma" w:cs="Tahoma"/>
          <w:sz w:val="20"/>
          <w:szCs w:val="20"/>
        </w:rPr>
      </w:pPr>
      <w:proofErr w:type="gramStart"/>
      <w:r w:rsidRPr="005E1EA7">
        <w:rPr>
          <w:rFonts w:ascii="Tahoma" w:hAnsi="Tahoma" w:cs="Tahoma"/>
          <w:sz w:val="20"/>
          <w:szCs w:val="20"/>
        </w:rPr>
        <w:t>que</w:t>
      </w:r>
      <w:proofErr w:type="gramEnd"/>
      <w:r w:rsidRPr="005E1EA7">
        <w:rPr>
          <w:rFonts w:ascii="Tahoma" w:hAnsi="Tahoma" w:cs="Tahoma"/>
          <w:sz w:val="20"/>
          <w:szCs w:val="20"/>
        </w:rPr>
        <w:t xml:space="preserve"> leur application assure un degré équivalent de protection de la santé publique.</w:t>
      </w:r>
    </w:p>
    <w:p w14:paraId="462954E6" w14:textId="77777777" w:rsidR="003D69A8" w:rsidRPr="005E1EA7" w:rsidRDefault="003D69A8" w:rsidP="003D69A8">
      <w:pPr>
        <w:autoSpaceDE w:val="0"/>
        <w:autoSpaceDN w:val="0"/>
        <w:adjustRightInd w:val="0"/>
        <w:jc w:val="center"/>
        <w:rPr>
          <w:rFonts w:ascii="Tahoma" w:eastAsia="EUAlbertina-Italic-Identity-H" w:hAnsi="Tahoma" w:cs="Tahoma"/>
          <w:b/>
          <w:bCs/>
          <w:sz w:val="20"/>
          <w:szCs w:val="20"/>
        </w:rPr>
      </w:pPr>
    </w:p>
    <w:p w14:paraId="31C7A7C5" w14:textId="77777777" w:rsidR="00F23171" w:rsidRDefault="00F23171">
      <w:pPr>
        <w:rPr>
          <w:rFonts w:ascii="Tahoma" w:eastAsia="EUAlbertina-Italic-Identity-H" w:hAnsi="Tahoma" w:cs="Tahoma"/>
          <w:b/>
          <w:bCs/>
          <w:sz w:val="20"/>
          <w:szCs w:val="20"/>
        </w:rPr>
      </w:pPr>
      <w:r>
        <w:rPr>
          <w:rFonts w:ascii="Tahoma" w:eastAsia="EUAlbertina-Italic-Identity-H" w:hAnsi="Tahoma" w:cs="Tahoma"/>
          <w:b/>
          <w:bCs/>
          <w:sz w:val="20"/>
          <w:szCs w:val="20"/>
        </w:rPr>
        <w:br w:type="page"/>
      </w:r>
    </w:p>
    <w:p w14:paraId="44E94AF6" w14:textId="02CA9BCD" w:rsidR="003D69A8" w:rsidRPr="005E1EA7" w:rsidRDefault="003D69A8" w:rsidP="00F23171">
      <w:pPr>
        <w:autoSpaceDE w:val="0"/>
        <w:autoSpaceDN w:val="0"/>
        <w:adjustRightInd w:val="0"/>
        <w:jc w:val="center"/>
        <w:rPr>
          <w:rFonts w:ascii="Tahoma" w:eastAsia="EUAlbertina-Italic-Identity-H" w:hAnsi="Tahoma" w:cs="Tahoma"/>
          <w:b/>
          <w:bCs/>
          <w:sz w:val="20"/>
          <w:szCs w:val="20"/>
        </w:rPr>
      </w:pPr>
      <w:r w:rsidRPr="005E1EA7">
        <w:rPr>
          <w:rFonts w:ascii="Tahoma" w:eastAsia="EUAlbertina-Italic-Identity-H" w:hAnsi="Tahoma" w:cs="Tahoma"/>
          <w:b/>
          <w:bCs/>
          <w:sz w:val="20"/>
          <w:szCs w:val="20"/>
        </w:rPr>
        <w:lastRenderedPageBreak/>
        <w:t xml:space="preserve">ANNEXE IV : </w:t>
      </w:r>
    </w:p>
    <w:p w14:paraId="44ED966F" w14:textId="77777777" w:rsidR="003D69A8" w:rsidRPr="005E1EA7" w:rsidRDefault="003D69A8" w:rsidP="003D69A8">
      <w:pPr>
        <w:autoSpaceDE w:val="0"/>
        <w:autoSpaceDN w:val="0"/>
        <w:adjustRightInd w:val="0"/>
        <w:jc w:val="center"/>
        <w:rPr>
          <w:rFonts w:ascii="Tahoma" w:eastAsia="EUAlbertina-Italic-Identity-H" w:hAnsi="Tahoma" w:cs="Tahoma"/>
          <w:b/>
          <w:bCs/>
          <w:sz w:val="20"/>
          <w:szCs w:val="20"/>
        </w:rPr>
      </w:pPr>
    </w:p>
    <w:p w14:paraId="69B0FCB5" w14:textId="77777777" w:rsidR="003D69A8" w:rsidRPr="005E1EA7" w:rsidRDefault="003D69A8" w:rsidP="003D69A8">
      <w:pPr>
        <w:autoSpaceDE w:val="0"/>
        <w:autoSpaceDN w:val="0"/>
        <w:adjustRightInd w:val="0"/>
        <w:jc w:val="both"/>
        <w:rPr>
          <w:rFonts w:ascii="Tahoma" w:eastAsia="EUAlbertina-Regular-Identity-H" w:hAnsi="Tahoma" w:cs="Tahoma"/>
          <w:b/>
          <w:bCs/>
          <w:sz w:val="20"/>
          <w:szCs w:val="20"/>
        </w:rPr>
      </w:pPr>
      <w:r w:rsidRPr="005E1EA7">
        <w:rPr>
          <w:rFonts w:ascii="Tahoma" w:eastAsia="EUAlbertina-Regular-Identity-H" w:hAnsi="Tahoma" w:cs="Tahoma"/>
          <w:b/>
          <w:bCs/>
          <w:sz w:val="20"/>
          <w:szCs w:val="20"/>
        </w:rPr>
        <w:t xml:space="preserve">EXIGENCES SPECIFIQUES RELATIVES AUX CATEGORIES DE FRAICHEUR ET CATEGORIES DE CALIBRAGE APPLICABLES AUX PRODUITS FRAIS DE LA PECHE </w:t>
      </w:r>
    </w:p>
    <w:p w14:paraId="45DBAA88" w14:textId="77777777" w:rsidR="003D69A8" w:rsidRPr="005E1EA7" w:rsidRDefault="003D69A8" w:rsidP="003D69A8">
      <w:pPr>
        <w:autoSpaceDE w:val="0"/>
        <w:autoSpaceDN w:val="0"/>
        <w:adjustRightInd w:val="0"/>
        <w:jc w:val="both"/>
        <w:rPr>
          <w:rFonts w:ascii="Tahoma" w:eastAsia="EUAlbertina-Regular-Identity-H" w:hAnsi="Tahoma" w:cs="Tahoma"/>
          <w:sz w:val="20"/>
          <w:szCs w:val="20"/>
        </w:rPr>
      </w:pPr>
    </w:p>
    <w:p w14:paraId="172A0A23" w14:textId="77777777" w:rsidR="003D69A8" w:rsidRPr="005E1EA7" w:rsidRDefault="003D69A8" w:rsidP="003D69A8">
      <w:pPr>
        <w:autoSpaceDE w:val="0"/>
        <w:autoSpaceDN w:val="0"/>
        <w:adjustRightInd w:val="0"/>
        <w:jc w:val="both"/>
        <w:rPr>
          <w:rFonts w:ascii="Tahoma" w:hAnsi="Tahoma" w:cs="Tahoma"/>
          <w:sz w:val="20"/>
          <w:szCs w:val="20"/>
        </w:rPr>
      </w:pPr>
      <w:r w:rsidRPr="005E1EA7">
        <w:rPr>
          <w:rFonts w:ascii="Tahoma" w:hAnsi="Tahoma" w:cs="Tahoma"/>
          <w:sz w:val="20"/>
          <w:szCs w:val="20"/>
        </w:rPr>
        <w:t xml:space="preserve">1. Des normes communes de commercialisation </w:t>
      </w:r>
      <w:r w:rsidRPr="005E1EA7">
        <w:rPr>
          <w:rFonts w:ascii="Tahoma" w:eastAsia="EUAlbertina-Regular-Identity-H" w:hAnsi="Tahoma" w:cs="Tahoma"/>
          <w:sz w:val="20"/>
          <w:szCs w:val="20"/>
        </w:rPr>
        <w:t xml:space="preserve">des produits de la pêche non transformés et commercialisés à l’état frais ou réfrigéré </w:t>
      </w:r>
      <w:r w:rsidRPr="005E1EA7">
        <w:rPr>
          <w:rFonts w:ascii="Tahoma" w:hAnsi="Tahoma" w:cs="Tahoma"/>
          <w:sz w:val="20"/>
          <w:szCs w:val="20"/>
        </w:rPr>
        <w:t xml:space="preserve">sont fixées pour les espèces suivantes : </w:t>
      </w:r>
    </w:p>
    <w:p w14:paraId="42D39551" w14:textId="77777777" w:rsidR="003D69A8" w:rsidRPr="005E1EA7" w:rsidRDefault="003D69A8" w:rsidP="003D69A8">
      <w:pPr>
        <w:autoSpaceDE w:val="0"/>
        <w:autoSpaceDN w:val="0"/>
        <w:adjustRightInd w:val="0"/>
        <w:jc w:val="both"/>
        <w:rPr>
          <w:rFonts w:ascii="Tahoma" w:hAnsi="Tahoma" w:cs="Tahoma"/>
          <w:sz w:val="20"/>
          <w:szCs w:val="20"/>
        </w:rPr>
      </w:pPr>
    </w:p>
    <w:p w14:paraId="4A140B88" w14:textId="77777777" w:rsidR="003D69A8" w:rsidRPr="005E1EA7" w:rsidRDefault="003D69A8" w:rsidP="003D69A8">
      <w:pPr>
        <w:ind w:left="360"/>
        <w:jc w:val="both"/>
        <w:rPr>
          <w:rFonts w:ascii="Tahoma" w:hAnsi="Tahoma" w:cs="Tahoma"/>
          <w:sz w:val="20"/>
          <w:szCs w:val="20"/>
        </w:rPr>
      </w:pPr>
      <w:r w:rsidRPr="005E1EA7">
        <w:rPr>
          <w:rFonts w:ascii="Tahoma" w:hAnsi="Tahoma" w:cs="Tahoma"/>
          <w:sz w:val="20"/>
          <w:szCs w:val="20"/>
        </w:rPr>
        <w:t>— plies ou carrelets (</w:t>
      </w:r>
      <w:r w:rsidRPr="005E1EA7">
        <w:rPr>
          <w:rFonts w:ascii="Tahoma" w:hAnsi="Tahoma" w:cs="Tahoma"/>
          <w:i/>
          <w:iCs/>
          <w:sz w:val="20"/>
          <w:szCs w:val="20"/>
        </w:rPr>
        <w:t>Pleuronecte</w:t>
      </w:r>
      <w:r w:rsidRPr="005E1EA7">
        <w:rPr>
          <w:rFonts w:ascii="Tahoma" w:hAnsi="Tahoma" w:cs="Tahoma"/>
          <w:sz w:val="20"/>
          <w:szCs w:val="20"/>
        </w:rPr>
        <w:t xml:space="preserve">s </w:t>
      </w:r>
      <w:r w:rsidRPr="005E1EA7">
        <w:rPr>
          <w:rFonts w:ascii="Tahoma" w:hAnsi="Tahoma" w:cs="Tahoma"/>
          <w:i/>
          <w:iCs/>
          <w:sz w:val="20"/>
          <w:szCs w:val="20"/>
        </w:rPr>
        <w:t>platessa</w:t>
      </w:r>
      <w:r w:rsidRPr="005E1EA7">
        <w:rPr>
          <w:rFonts w:ascii="Tahoma" w:hAnsi="Tahoma" w:cs="Tahoma"/>
          <w:sz w:val="20"/>
          <w:szCs w:val="20"/>
        </w:rPr>
        <w:t xml:space="preserve">) </w:t>
      </w:r>
    </w:p>
    <w:p w14:paraId="7E0B48B4" w14:textId="77777777" w:rsidR="003D69A8" w:rsidRPr="005E1EA7" w:rsidRDefault="003D69A8" w:rsidP="003D69A8">
      <w:pPr>
        <w:ind w:left="360"/>
        <w:jc w:val="both"/>
        <w:rPr>
          <w:rFonts w:ascii="Tahoma" w:hAnsi="Tahoma" w:cs="Tahoma"/>
          <w:sz w:val="20"/>
          <w:szCs w:val="20"/>
        </w:rPr>
      </w:pPr>
      <w:r w:rsidRPr="005E1EA7">
        <w:rPr>
          <w:rFonts w:ascii="Tahoma" w:hAnsi="Tahoma" w:cs="Tahoma"/>
          <w:sz w:val="20"/>
          <w:szCs w:val="20"/>
        </w:rPr>
        <w:t>— thons rouges (</w:t>
      </w:r>
      <w:r w:rsidRPr="005E1EA7">
        <w:rPr>
          <w:rFonts w:ascii="Tahoma" w:hAnsi="Tahoma" w:cs="Tahoma"/>
          <w:i/>
          <w:iCs/>
          <w:sz w:val="20"/>
          <w:szCs w:val="20"/>
        </w:rPr>
        <w:t>Thunnu</w:t>
      </w:r>
      <w:r w:rsidRPr="005E1EA7">
        <w:rPr>
          <w:rFonts w:ascii="Tahoma" w:hAnsi="Tahoma" w:cs="Tahoma"/>
          <w:sz w:val="20"/>
          <w:szCs w:val="20"/>
        </w:rPr>
        <w:t xml:space="preserve">s </w:t>
      </w:r>
      <w:r w:rsidRPr="005E1EA7">
        <w:rPr>
          <w:rFonts w:ascii="Tahoma" w:hAnsi="Tahoma" w:cs="Tahoma"/>
          <w:i/>
          <w:iCs/>
          <w:sz w:val="20"/>
          <w:szCs w:val="20"/>
        </w:rPr>
        <w:t>thynnus</w:t>
      </w:r>
      <w:r w:rsidRPr="005E1EA7">
        <w:rPr>
          <w:rFonts w:ascii="Tahoma" w:hAnsi="Tahoma" w:cs="Tahoma"/>
          <w:sz w:val="20"/>
          <w:szCs w:val="20"/>
        </w:rPr>
        <w:t xml:space="preserve">) </w:t>
      </w:r>
    </w:p>
    <w:p w14:paraId="11F11B9A" w14:textId="77777777" w:rsidR="003D69A8" w:rsidRPr="005E1EA7" w:rsidRDefault="003D69A8" w:rsidP="003D69A8">
      <w:pPr>
        <w:ind w:left="360"/>
        <w:jc w:val="both"/>
        <w:rPr>
          <w:rFonts w:ascii="Tahoma" w:hAnsi="Tahoma" w:cs="Tahoma"/>
          <w:sz w:val="20"/>
          <w:szCs w:val="20"/>
        </w:rPr>
      </w:pPr>
      <w:r w:rsidRPr="005E1EA7">
        <w:rPr>
          <w:rFonts w:ascii="Tahoma" w:hAnsi="Tahoma" w:cs="Tahoma"/>
          <w:sz w:val="20"/>
          <w:szCs w:val="20"/>
        </w:rPr>
        <w:t>— thons obèses (</w:t>
      </w:r>
      <w:r w:rsidRPr="005E1EA7">
        <w:rPr>
          <w:rFonts w:ascii="Tahoma" w:hAnsi="Tahoma" w:cs="Tahoma"/>
          <w:i/>
          <w:iCs/>
          <w:sz w:val="20"/>
          <w:szCs w:val="20"/>
        </w:rPr>
        <w:t>Thunnu</w:t>
      </w:r>
      <w:r w:rsidRPr="005E1EA7">
        <w:rPr>
          <w:rFonts w:ascii="Tahoma" w:hAnsi="Tahoma" w:cs="Tahoma"/>
          <w:sz w:val="20"/>
          <w:szCs w:val="20"/>
        </w:rPr>
        <w:t xml:space="preserve">s </w:t>
      </w:r>
      <w:r w:rsidRPr="005E1EA7">
        <w:rPr>
          <w:rFonts w:ascii="Tahoma" w:hAnsi="Tahoma" w:cs="Tahoma"/>
          <w:i/>
          <w:iCs/>
          <w:sz w:val="20"/>
          <w:szCs w:val="20"/>
        </w:rPr>
        <w:t>o</w:t>
      </w:r>
      <w:r w:rsidRPr="005E1EA7">
        <w:rPr>
          <w:rFonts w:ascii="Tahoma" w:hAnsi="Tahoma" w:cs="Tahoma"/>
          <w:sz w:val="20"/>
          <w:szCs w:val="20"/>
        </w:rPr>
        <w:t xml:space="preserve">u </w:t>
      </w:r>
      <w:r w:rsidRPr="005E1EA7">
        <w:rPr>
          <w:rFonts w:ascii="Tahoma" w:hAnsi="Tahoma" w:cs="Tahoma"/>
          <w:i/>
          <w:iCs/>
          <w:sz w:val="20"/>
          <w:szCs w:val="20"/>
        </w:rPr>
        <w:t>Parathunnu</w:t>
      </w:r>
      <w:r w:rsidRPr="005E1EA7">
        <w:rPr>
          <w:rFonts w:ascii="Tahoma" w:hAnsi="Tahoma" w:cs="Tahoma"/>
          <w:sz w:val="20"/>
          <w:szCs w:val="20"/>
        </w:rPr>
        <w:t xml:space="preserve">s </w:t>
      </w:r>
      <w:r w:rsidRPr="005E1EA7">
        <w:rPr>
          <w:rFonts w:ascii="Tahoma" w:hAnsi="Tahoma" w:cs="Tahoma"/>
          <w:i/>
          <w:iCs/>
          <w:sz w:val="20"/>
          <w:szCs w:val="20"/>
        </w:rPr>
        <w:t>obesus</w:t>
      </w:r>
      <w:r w:rsidRPr="005E1EA7">
        <w:rPr>
          <w:rFonts w:ascii="Tahoma" w:hAnsi="Tahoma" w:cs="Tahoma"/>
          <w:sz w:val="20"/>
          <w:szCs w:val="20"/>
        </w:rPr>
        <w:t xml:space="preserve">) </w:t>
      </w:r>
    </w:p>
    <w:p w14:paraId="69BCA04F" w14:textId="77777777" w:rsidR="003D69A8" w:rsidRPr="005E1EA7" w:rsidRDefault="003D69A8" w:rsidP="003D69A8">
      <w:pPr>
        <w:ind w:left="360"/>
        <w:jc w:val="both"/>
        <w:rPr>
          <w:rFonts w:ascii="Tahoma" w:hAnsi="Tahoma" w:cs="Tahoma"/>
          <w:sz w:val="20"/>
          <w:szCs w:val="20"/>
        </w:rPr>
      </w:pPr>
      <w:r w:rsidRPr="005E1EA7">
        <w:rPr>
          <w:rFonts w:ascii="Tahoma" w:hAnsi="Tahoma" w:cs="Tahoma"/>
          <w:sz w:val="20"/>
          <w:szCs w:val="20"/>
        </w:rPr>
        <w:t xml:space="preserve">— sardines de l'espèce Sardina pilchardus, </w:t>
      </w:r>
    </w:p>
    <w:p w14:paraId="045EEDD7" w14:textId="77777777" w:rsidR="003D69A8" w:rsidRPr="005E1EA7" w:rsidRDefault="003D69A8" w:rsidP="003D69A8">
      <w:pPr>
        <w:ind w:left="360"/>
        <w:jc w:val="both"/>
        <w:rPr>
          <w:rFonts w:ascii="Tahoma" w:hAnsi="Tahoma" w:cs="Tahoma"/>
          <w:sz w:val="20"/>
          <w:szCs w:val="20"/>
        </w:rPr>
      </w:pPr>
      <w:r w:rsidRPr="005E1EA7">
        <w:rPr>
          <w:rFonts w:ascii="Tahoma" w:hAnsi="Tahoma" w:cs="Tahoma"/>
          <w:sz w:val="20"/>
          <w:szCs w:val="20"/>
        </w:rPr>
        <w:t xml:space="preserve">— maquereaux de l'espèce Scomber scombrus, </w:t>
      </w:r>
    </w:p>
    <w:p w14:paraId="48D6FD3D" w14:textId="77777777" w:rsidR="003D69A8" w:rsidRPr="005E1EA7" w:rsidRDefault="003D69A8" w:rsidP="003D69A8">
      <w:pPr>
        <w:ind w:left="360"/>
        <w:jc w:val="both"/>
        <w:rPr>
          <w:rFonts w:ascii="Tahoma" w:hAnsi="Tahoma" w:cs="Tahoma"/>
          <w:sz w:val="20"/>
          <w:szCs w:val="20"/>
        </w:rPr>
      </w:pPr>
      <w:r w:rsidRPr="005E1EA7">
        <w:rPr>
          <w:rFonts w:ascii="Tahoma" w:hAnsi="Tahoma" w:cs="Tahoma"/>
          <w:sz w:val="20"/>
          <w:szCs w:val="20"/>
        </w:rPr>
        <w:t xml:space="preserve">— maquereaux de l'espèce Scomber japonicus, </w:t>
      </w:r>
    </w:p>
    <w:p w14:paraId="7ABDE679" w14:textId="77777777" w:rsidR="003D69A8" w:rsidRPr="005E1EA7" w:rsidRDefault="003D69A8" w:rsidP="003D69A8">
      <w:pPr>
        <w:ind w:left="360"/>
        <w:jc w:val="both"/>
        <w:rPr>
          <w:rFonts w:ascii="Tahoma" w:hAnsi="Tahoma" w:cs="Tahoma"/>
          <w:sz w:val="20"/>
          <w:szCs w:val="20"/>
        </w:rPr>
      </w:pPr>
      <w:r w:rsidRPr="005E1EA7">
        <w:rPr>
          <w:rFonts w:ascii="Tahoma" w:hAnsi="Tahoma" w:cs="Tahoma"/>
          <w:sz w:val="20"/>
          <w:szCs w:val="20"/>
        </w:rPr>
        <w:t>— chinchards (</w:t>
      </w:r>
      <w:r w:rsidRPr="005E1EA7">
        <w:rPr>
          <w:rFonts w:ascii="Tahoma" w:hAnsi="Tahoma" w:cs="Tahoma"/>
          <w:i/>
          <w:iCs/>
          <w:sz w:val="20"/>
          <w:szCs w:val="20"/>
        </w:rPr>
        <w:t>Trachuru</w:t>
      </w:r>
      <w:r w:rsidRPr="005E1EA7">
        <w:rPr>
          <w:rFonts w:ascii="Tahoma" w:hAnsi="Tahoma" w:cs="Tahoma"/>
          <w:sz w:val="20"/>
          <w:szCs w:val="20"/>
        </w:rPr>
        <w:t xml:space="preserve">s </w:t>
      </w:r>
      <w:r w:rsidRPr="005E1EA7">
        <w:rPr>
          <w:rFonts w:ascii="Tahoma" w:hAnsi="Tahoma" w:cs="Tahoma"/>
          <w:i/>
          <w:iCs/>
          <w:sz w:val="20"/>
          <w:szCs w:val="20"/>
        </w:rPr>
        <w:t>spp.</w:t>
      </w:r>
      <w:r w:rsidRPr="005E1EA7">
        <w:rPr>
          <w:rFonts w:ascii="Tahoma" w:hAnsi="Tahoma" w:cs="Tahoma"/>
          <w:sz w:val="20"/>
          <w:szCs w:val="20"/>
        </w:rPr>
        <w:t xml:space="preserve">), </w:t>
      </w:r>
    </w:p>
    <w:p w14:paraId="623F9D93" w14:textId="77777777" w:rsidR="003D69A8" w:rsidRPr="005E1EA7" w:rsidRDefault="003D69A8" w:rsidP="003D69A8">
      <w:pPr>
        <w:ind w:left="360"/>
        <w:jc w:val="both"/>
        <w:rPr>
          <w:rFonts w:ascii="Tahoma" w:hAnsi="Tahoma" w:cs="Tahoma"/>
          <w:sz w:val="20"/>
          <w:szCs w:val="20"/>
        </w:rPr>
      </w:pPr>
      <w:r w:rsidRPr="005E1EA7">
        <w:rPr>
          <w:rFonts w:ascii="Tahoma" w:hAnsi="Tahoma" w:cs="Tahoma"/>
          <w:sz w:val="20"/>
          <w:szCs w:val="20"/>
        </w:rPr>
        <w:t>— aiguillats (</w:t>
      </w:r>
      <w:r w:rsidRPr="005E1EA7">
        <w:rPr>
          <w:rFonts w:ascii="Tahoma" w:hAnsi="Tahoma" w:cs="Tahoma"/>
          <w:i/>
          <w:iCs/>
          <w:sz w:val="20"/>
          <w:szCs w:val="20"/>
        </w:rPr>
        <w:t>Squalu</w:t>
      </w:r>
      <w:r w:rsidRPr="005E1EA7">
        <w:rPr>
          <w:rFonts w:ascii="Tahoma" w:hAnsi="Tahoma" w:cs="Tahoma"/>
          <w:sz w:val="20"/>
          <w:szCs w:val="20"/>
        </w:rPr>
        <w:t xml:space="preserve">s </w:t>
      </w:r>
      <w:r w:rsidRPr="005E1EA7">
        <w:rPr>
          <w:rFonts w:ascii="Tahoma" w:hAnsi="Tahoma" w:cs="Tahoma"/>
          <w:i/>
          <w:iCs/>
          <w:sz w:val="20"/>
          <w:szCs w:val="20"/>
        </w:rPr>
        <w:t>acanthia</w:t>
      </w:r>
      <w:r w:rsidRPr="005E1EA7">
        <w:rPr>
          <w:rFonts w:ascii="Tahoma" w:hAnsi="Tahoma" w:cs="Tahoma"/>
          <w:sz w:val="20"/>
          <w:szCs w:val="20"/>
        </w:rPr>
        <w:t xml:space="preserve">s et </w:t>
      </w:r>
      <w:r w:rsidRPr="005E1EA7">
        <w:rPr>
          <w:rFonts w:ascii="Tahoma" w:hAnsi="Tahoma" w:cs="Tahoma"/>
          <w:i/>
          <w:iCs/>
          <w:sz w:val="20"/>
          <w:szCs w:val="20"/>
        </w:rPr>
        <w:t>Scyliorhinu</w:t>
      </w:r>
      <w:r w:rsidRPr="005E1EA7">
        <w:rPr>
          <w:rFonts w:ascii="Tahoma" w:hAnsi="Tahoma" w:cs="Tahoma"/>
          <w:sz w:val="20"/>
          <w:szCs w:val="20"/>
        </w:rPr>
        <w:t xml:space="preserve">s spp.), </w:t>
      </w:r>
    </w:p>
    <w:p w14:paraId="3D8D06B7" w14:textId="77777777" w:rsidR="003D69A8" w:rsidRPr="005E1EA7" w:rsidRDefault="003D69A8" w:rsidP="003D69A8">
      <w:pPr>
        <w:ind w:left="360"/>
        <w:jc w:val="both"/>
        <w:rPr>
          <w:rFonts w:ascii="Tahoma" w:hAnsi="Tahoma" w:cs="Tahoma"/>
          <w:sz w:val="20"/>
          <w:szCs w:val="20"/>
        </w:rPr>
      </w:pPr>
      <w:r w:rsidRPr="005E1EA7">
        <w:rPr>
          <w:rFonts w:ascii="Tahoma" w:hAnsi="Tahoma" w:cs="Tahoma"/>
          <w:sz w:val="20"/>
          <w:szCs w:val="20"/>
        </w:rPr>
        <w:t>— anchois (</w:t>
      </w:r>
      <w:r w:rsidRPr="005E1EA7">
        <w:rPr>
          <w:rFonts w:ascii="Tahoma" w:hAnsi="Tahoma" w:cs="Tahoma"/>
          <w:i/>
          <w:iCs/>
          <w:sz w:val="20"/>
          <w:szCs w:val="20"/>
        </w:rPr>
        <w:t>Engrauli</w:t>
      </w:r>
      <w:r w:rsidRPr="005E1EA7">
        <w:rPr>
          <w:rFonts w:ascii="Tahoma" w:hAnsi="Tahoma" w:cs="Tahoma"/>
          <w:sz w:val="20"/>
          <w:szCs w:val="20"/>
        </w:rPr>
        <w:t xml:space="preserve">s </w:t>
      </w:r>
      <w:r w:rsidRPr="005E1EA7">
        <w:rPr>
          <w:rFonts w:ascii="Tahoma" w:hAnsi="Tahoma" w:cs="Tahoma"/>
          <w:i/>
          <w:iCs/>
          <w:sz w:val="20"/>
          <w:szCs w:val="20"/>
        </w:rPr>
        <w:t>encrasicolis</w:t>
      </w:r>
      <w:r w:rsidRPr="005E1EA7">
        <w:rPr>
          <w:rFonts w:ascii="Tahoma" w:hAnsi="Tahoma" w:cs="Tahoma"/>
          <w:sz w:val="20"/>
          <w:szCs w:val="20"/>
        </w:rPr>
        <w:t xml:space="preserve">), </w:t>
      </w:r>
    </w:p>
    <w:p w14:paraId="66476D0D" w14:textId="77777777" w:rsidR="003D69A8" w:rsidRPr="005E1EA7" w:rsidRDefault="003D69A8" w:rsidP="003D69A8">
      <w:pPr>
        <w:ind w:left="360"/>
        <w:jc w:val="both"/>
        <w:rPr>
          <w:rFonts w:ascii="Tahoma" w:hAnsi="Tahoma" w:cs="Tahoma"/>
          <w:sz w:val="20"/>
          <w:szCs w:val="20"/>
        </w:rPr>
      </w:pPr>
      <w:r w:rsidRPr="005E1EA7">
        <w:rPr>
          <w:rFonts w:ascii="Tahoma" w:hAnsi="Tahoma" w:cs="Tahoma"/>
          <w:sz w:val="20"/>
          <w:szCs w:val="20"/>
        </w:rPr>
        <w:t xml:space="preserve">— merlus de l'espèce Merluccius merluccius, </w:t>
      </w:r>
    </w:p>
    <w:p w14:paraId="5D2F6C01" w14:textId="77777777" w:rsidR="003D69A8" w:rsidRPr="005E1EA7" w:rsidRDefault="003D69A8" w:rsidP="003D69A8">
      <w:pPr>
        <w:ind w:left="360"/>
        <w:jc w:val="both"/>
        <w:rPr>
          <w:rFonts w:ascii="Tahoma" w:hAnsi="Tahoma" w:cs="Tahoma"/>
          <w:sz w:val="20"/>
          <w:szCs w:val="20"/>
        </w:rPr>
      </w:pPr>
      <w:r w:rsidRPr="005E1EA7">
        <w:rPr>
          <w:rFonts w:ascii="Tahoma" w:hAnsi="Tahoma" w:cs="Tahoma"/>
          <w:sz w:val="20"/>
          <w:szCs w:val="20"/>
        </w:rPr>
        <w:t>— limande (</w:t>
      </w:r>
      <w:r w:rsidRPr="005E1EA7">
        <w:rPr>
          <w:rFonts w:ascii="Tahoma" w:hAnsi="Tahoma" w:cs="Tahoma"/>
          <w:i/>
          <w:iCs/>
          <w:sz w:val="20"/>
          <w:szCs w:val="20"/>
        </w:rPr>
        <w:t>Lepidorhombu</w:t>
      </w:r>
      <w:r w:rsidRPr="005E1EA7">
        <w:rPr>
          <w:rFonts w:ascii="Tahoma" w:hAnsi="Tahoma" w:cs="Tahoma"/>
          <w:sz w:val="20"/>
          <w:szCs w:val="20"/>
        </w:rPr>
        <w:t xml:space="preserve">s </w:t>
      </w:r>
      <w:r w:rsidRPr="005E1EA7">
        <w:rPr>
          <w:rFonts w:ascii="Tahoma" w:hAnsi="Tahoma" w:cs="Tahoma"/>
          <w:i/>
          <w:iCs/>
          <w:sz w:val="20"/>
          <w:szCs w:val="20"/>
        </w:rPr>
        <w:t>spp.</w:t>
      </w:r>
      <w:r w:rsidRPr="005E1EA7">
        <w:rPr>
          <w:rFonts w:ascii="Tahoma" w:hAnsi="Tahoma" w:cs="Tahoma"/>
          <w:sz w:val="20"/>
          <w:szCs w:val="20"/>
        </w:rPr>
        <w:t xml:space="preserve">), </w:t>
      </w:r>
    </w:p>
    <w:p w14:paraId="7F4F4BDC" w14:textId="77777777" w:rsidR="003D69A8" w:rsidRPr="005E1EA7" w:rsidRDefault="003D69A8" w:rsidP="003D69A8">
      <w:pPr>
        <w:ind w:left="360"/>
        <w:jc w:val="both"/>
        <w:rPr>
          <w:rFonts w:ascii="Tahoma" w:hAnsi="Tahoma" w:cs="Tahoma"/>
          <w:sz w:val="20"/>
          <w:szCs w:val="20"/>
        </w:rPr>
      </w:pPr>
      <w:r w:rsidRPr="005E1EA7">
        <w:rPr>
          <w:rFonts w:ascii="Tahoma" w:hAnsi="Tahoma" w:cs="Tahoma"/>
          <w:sz w:val="20"/>
          <w:szCs w:val="20"/>
        </w:rPr>
        <w:t>— castagnoles (</w:t>
      </w:r>
      <w:r w:rsidRPr="005E1EA7">
        <w:rPr>
          <w:rFonts w:ascii="Tahoma" w:hAnsi="Tahoma" w:cs="Tahoma"/>
          <w:i/>
          <w:iCs/>
          <w:sz w:val="20"/>
          <w:szCs w:val="20"/>
        </w:rPr>
        <w:t>Bram</w:t>
      </w:r>
      <w:r w:rsidRPr="005E1EA7">
        <w:rPr>
          <w:rFonts w:ascii="Tahoma" w:hAnsi="Tahoma" w:cs="Tahoma"/>
          <w:sz w:val="20"/>
          <w:szCs w:val="20"/>
        </w:rPr>
        <w:t xml:space="preserve">a </w:t>
      </w:r>
      <w:r w:rsidRPr="005E1EA7">
        <w:rPr>
          <w:rFonts w:ascii="Tahoma" w:hAnsi="Tahoma" w:cs="Tahoma"/>
          <w:i/>
          <w:iCs/>
          <w:sz w:val="20"/>
          <w:szCs w:val="20"/>
        </w:rPr>
        <w:t>spp.</w:t>
      </w:r>
      <w:r w:rsidRPr="005E1EA7">
        <w:rPr>
          <w:rFonts w:ascii="Tahoma" w:hAnsi="Tahoma" w:cs="Tahoma"/>
          <w:sz w:val="20"/>
          <w:szCs w:val="20"/>
        </w:rPr>
        <w:t xml:space="preserve">), </w:t>
      </w:r>
    </w:p>
    <w:p w14:paraId="201E2D89" w14:textId="77777777" w:rsidR="003D69A8" w:rsidRPr="005E1EA7" w:rsidRDefault="003D69A8" w:rsidP="003D69A8">
      <w:pPr>
        <w:ind w:left="360"/>
        <w:jc w:val="both"/>
        <w:rPr>
          <w:rFonts w:ascii="Tahoma" w:hAnsi="Tahoma" w:cs="Tahoma"/>
          <w:sz w:val="20"/>
          <w:szCs w:val="20"/>
        </w:rPr>
      </w:pPr>
      <w:r w:rsidRPr="005E1EA7">
        <w:rPr>
          <w:rFonts w:ascii="Tahoma" w:hAnsi="Tahoma" w:cs="Tahoma"/>
          <w:sz w:val="20"/>
          <w:szCs w:val="20"/>
        </w:rPr>
        <w:t>— baudroies (</w:t>
      </w:r>
      <w:r w:rsidRPr="005E1EA7">
        <w:rPr>
          <w:rFonts w:ascii="Tahoma" w:hAnsi="Tahoma" w:cs="Tahoma"/>
          <w:i/>
          <w:iCs/>
          <w:sz w:val="20"/>
          <w:szCs w:val="20"/>
        </w:rPr>
        <w:t>Lophiu</w:t>
      </w:r>
      <w:r w:rsidRPr="005E1EA7">
        <w:rPr>
          <w:rFonts w:ascii="Tahoma" w:hAnsi="Tahoma" w:cs="Tahoma"/>
          <w:sz w:val="20"/>
          <w:szCs w:val="20"/>
        </w:rPr>
        <w:t xml:space="preserve">s </w:t>
      </w:r>
      <w:r w:rsidRPr="005E1EA7">
        <w:rPr>
          <w:rFonts w:ascii="Tahoma" w:hAnsi="Tahoma" w:cs="Tahoma"/>
          <w:i/>
          <w:iCs/>
          <w:sz w:val="20"/>
          <w:szCs w:val="20"/>
        </w:rPr>
        <w:t>spp.</w:t>
      </w:r>
      <w:r w:rsidRPr="005E1EA7">
        <w:rPr>
          <w:rFonts w:ascii="Tahoma" w:hAnsi="Tahoma" w:cs="Tahoma"/>
          <w:sz w:val="20"/>
          <w:szCs w:val="20"/>
        </w:rPr>
        <w:t xml:space="preserve">), </w:t>
      </w:r>
    </w:p>
    <w:p w14:paraId="40C5A8ED" w14:textId="77777777" w:rsidR="003D69A8" w:rsidRPr="005E1EA7" w:rsidRDefault="003D69A8" w:rsidP="003D69A8">
      <w:pPr>
        <w:ind w:left="360"/>
        <w:jc w:val="both"/>
        <w:rPr>
          <w:rFonts w:ascii="Tahoma" w:hAnsi="Tahoma" w:cs="Tahoma"/>
          <w:sz w:val="20"/>
          <w:szCs w:val="20"/>
        </w:rPr>
      </w:pPr>
      <w:r w:rsidRPr="005E1EA7">
        <w:rPr>
          <w:rFonts w:ascii="Tahoma" w:hAnsi="Tahoma" w:cs="Tahoma"/>
          <w:sz w:val="20"/>
          <w:szCs w:val="20"/>
        </w:rPr>
        <w:t>— bogues (</w:t>
      </w:r>
      <w:r w:rsidRPr="005E1EA7">
        <w:rPr>
          <w:rFonts w:ascii="Tahoma" w:hAnsi="Tahoma" w:cs="Tahoma"/>
          <w:i/>
          <w:iCs/>
          <w:sz w:val="20"/>
          <w:szCs w:val="20"/>
        </w:rPr>
        <w:t>Boop</w:t>
      </w:r>
      <w:r w:rsidRPr="005E1EA7">
        <w:rPr>
          <w:rFonts w:ascii="Tahoma" w:hAnsi="Tahoma" w:cs="Tahoma"/>
          <w:sz w:val="20"/>
          <w:szCs w:val="20"/>
        </w:rPr>
        <w:t xml:space="preserve">s </w:t>
      </w:r>
      <w:r w:rsidRPr="005E1EA7">
        <w:rPr>
          <w:rFonts w:ascii="Tahoma" w:hAnsi="Tahoma" w:cs="Tahoma"/>
          <w:i/>
          <w:iCs/>
          <w:sz w:val="20"/>
          <w:szCs w:val="20"/>
        </w:rPr>
        <w:t>boops</w:t>
      </w:r>
      <w:r w:rsidRPr="005E1EA7">
        <w:rPr>
          <w:rFonts w:ascii="Tahoma" w:hAnsi="Tahoma" w:cs="Tahoma"/>
          <w:sz w:val="20"/>
          <w:szCs w:val="20"/>
        </w:rPr>
        <w:t xml:space="preserve">), </w:t>
      </w:r>
    </w:p>
    <w:p w14:paraId="79EE62DD" w14:textId="77777777" w:rsidR="003D69A8" w:rsidRPr="005E1EA7" w:rsidRDefault="003D69A8" w:rsidP="003D69A8">
      <w:pPr>
        <w:ind w:left="360"/>
        <w:jc w:val="both"/>
        <w:rPr>
          <w:rFonts w:ascii="Tahoma" w:hAnsi="Tahoma" w:cs="Tahoma"/>
          <w:sz w:val="20"/>
          <w:szCs w:val="20"/>
        </w:rPr>
      </w:pPr>
      <w:r w:rsidRPr="005E1EA7">
        <w:rPr>
          <w:rFonts w:ascii="Tahoma" w:hAnsi="Tahoma" w:cs="Tahoma"/>
          <w:sz w:val="20"/>
          <w:szCs w:val="20"/>
        </w:rPr>
        <w:t>— congres (</w:t>
      </w:r>
      <w:r w:rsidRPr="005E1EA7">
        <w:rPr>
          <w:rFonts w:ascii="Tahoma" w:hAnsi="Tahoma" w:cs="Tahoma"/>
          <w:i/>
          <w:iCs/>
          <w:sz w:val="20"/>
          <w:szCs w:val="20"/>
        </w:rPr>
        <w:t>Conge</w:t>
      </w:r>
      <w:r w:rsidRPr="005E1EA7">
        <w:rPr>
          <w:rFonts w:ascii="Tahoma" w:hAnsi="Tahoma" w:cs="Tahoma"/>
          <w:sz w:val="20"/>
          <w:szCs w:val="20"/>
        </w:rPr>
        <w:t xml:space="preserve">r </w:t>
      </w:r>
      <w:r w:rsidRPr="005E1EA7">
        <w:rPr>
          <w:rFonts w:ascii="Tahoma" w:hAnsi="Tahoma" w:cs="Tahoma"/>
          <w:i/>
          <w:iCs/>
          <w:sz w:val="20"/>
          <w:szCs w:val="20"/>
        </w:rPr>
        <w:t>conger</w:t>
      </w:r>
      <w:r w:rsidRPr="005E1EA7">
        <w:rPr>
          <w:rFonts w:ascii="Tahoma" w:hAnsi="Tahoma" w:cs="Tahoma"/>
          <w:sz w:val="20"/>
          <w:szCs w:val="20"/>
        </w:rPr>
        <w:t xml:space="preserve">), </w:t>
      </w:r>
    </w:p>
    <w:p w14:paraId="49539F29" w14:textId="77777777" w:rsidR="003D69A8" w:rsidRPr="005E1EA7" w:rsidRDefault="003D69A8" w:rsidP="003D69A8">
      <w:pPr>
        <w:ind w:left="360"/>
        <w:jc w:val="both"/>
        <w:rPr>
          <w:rFonts w:ascii="Tahoma" w:hAnsi="Tahoma" w:cs="Tahoma"/>
          <w:sz w:val="20"/>
          <w:szCs w:val="20"/>
        </w:rPr>
      </w:pPr>
      <w:r w:rsidRPr="005E1EA7">
        <w:rPr>
          <w:rFonts w:ascii="Tahoma" w:hAnsi="Tahoma" w:cs="Tahoma"/>
          <w:sz w:val="20"/>
          <w:szCs w:val="20"/>
        </w:rPr>
        <w:t>— grondins (</w:t>
      </w:r>
      <w:r w:rsidRPr="005E1EA7">
        <w:rPr>
          <w:rFonts w:ascii="Tahoma" w:hAnsi="Tahoma" w:cs="Tahoma"/>
          <w:i/>
          <w:iCs/>
          <w:sz w:val="20"/>
          <w:szCs w:val="20"/>
        </w:rPr>
        <w:t>Trigl</w:t>
      </w:r>
      <w:r w:rsidRPr="005E1EA7">
        <w:rPr>
          <w:rFonts w:ascii="Tahoma" w:hAnsi="Tahoma" w:cs="Tahoma"/>
          <w:sz w:val="20"/>
          <w:szCs w:val="20"/>
        </w:rPr>
        <w:t xml:space="preserve">a </w:t>
      </w:r>
      <w:r w:rsidRPr="005E1EA7">
        <w:rPr>
          <w:rFonts w:ascii="Tahoma" w:hAnsi="Tahoma" w:cs="Tahoma"/>
          <w:i/>
          <w:iCs/>
          <w:sz w:val="20"/>
          <w:szCs w:val="20"/>
        </w:rPr>
        <w:t>spp.</w:t>
      </w:r>
      <w:r w:rsidRPr="005E1EA7">
        <w:rPr>
          <w:rFonts w:ascii="Tahoma" w:hAnsi="Tahoma" w:cs="Tahoma"/>
          <w:sz w:val="20"/>
          <w:szCs w:val="20"/>
        </w:rPr>
        <w:t xml:space="preserve">), </w:t>
      </w:r>
    </w:p>
    <w:p w14:paraId="280DD0DF" w14:textId="77777777" w:rsidR="003D69A8" w:rsidRPr="005E1EA7" w:rsidRDefault="003D69A8" w:rsidP="003D69A8">
      <w:pPr>
        <w:ind w:left="360"/>
        <w:jc w:val="both"/>
        <w:rPr>
          <w:rFonts w:ascii="Tahoma" w:hAnsi="Tahoma" w:cs="Tahoma"/>
          <w:sz w:val="20"/>
          <w:szCs w:val="20"/>
        </w:rPr>
      </w:pPr>
      <w:r w:rsidRPr="005E1EA7">
        <w:rPr>
          <w:rFonts w:ascii="Tahoma" w:hAnsi="Tahoma" w:cs="Tahoma"/>
          <w:sz w:val="20"/>
          <w:szCs w:val="20"/>
        </w:rPr>
        <w:t>— mulets (</w:t>
      </w:r>
      <w:r w:rsidRPr="005E1EA7">
        <w:rPr>
          <w:rFonts w:ascii="Tahoma" w:hAnsi="Tahoma" w:cs="Tahoma"/>
          <w:i/>
          <w:iCs/>
          <w:sz w:val="20"/>
          <w:szCs w:val="20"/>
        </w:rPr>
        <w:t>Mugi</w:t>
      </w:r>
      <w:r w:rsidRPr="005E1EA7">
        <w:rPr>
          <w:rFonts w:ascii="Tahoma" w:hAnsi="Tahoma" w:cs="Tahoma"/>
          <w:sz w:val="20"/>
          <w:szCs w:val="20"/>
        </w:rPr>
        <w:t xml:space="preserve">l </w:t>
      </w:r>
      <w:r w:rsidRPr="005E1EA7">
        <w:rPr>
          <w:rFonts w:ascii="Tahoma" w:hAnsi="Tahoma" w:cs="Tahoma"/>
          <w:i/>
          <w:iCs/>
          <w:sz w:val="20"/>
          <w:szCs w:val="20"/>
        </w:rPr>
        <w:t>spp.</w:t>
      </w:r>
      <w:r w:rsidRPr="005E1EA7">
        <w:rPr>
          <w:rFonts w:ascii="Tahoma" w:hAnsi="Tahoma" w:cs="Tahoma"/>
          <w:sz w:val="20"/>
          <w:szCs w:val="20"/>
        </w:rPr>
        <w:t xml:space="preserve">), </w:t>
      </w:r>
    </w:p>
    <w:p w14:paraId="3512C0D9" w14:textId="77777777" w:rsidR="003D69A8" w:rsidRPr="005E1EA7" w:rsidRDefault="003D69A8" w:rsidP="003D69A8">
      <w:pPr>
        <w:ind w:left="360"/>
        <w:jc w:val="both"/>
        <w:rPr>
          <w:rFonts w:ascii="Tahoma" w:hAnsi="Tahoma" w:cs="Tahoma"/>
          <w:sz w:val="20"/>
          <w:szCs w:val="20"/>
        </w:rPr>
      </w:pPr>
      <w:r w:rsidRPr="005E1EA7">
        <w:rPr>
          <w:rFonts w:ascii="Tahoma" w:hAnsi="Tahoma" w:cs="Tahoma"/>
          <w:sz w:val="20"/>
          <w:szCs w:val="20"/>
        </w:rPr>
        <w:t>— raies (</w:t>
      </w:r>
      <w:r w:rsidRPr="005E1EA7">
        <w:rPr>
          <w:rFonts w:ascii="Tahoma" w:hAnsi="Tahoma" w:cs="Tahoma"/>
          <w:i/>
          <w:iCs/>
          <w:sz w:val="20"/>
          <w:szCs w:val="20"/>
        </w:rPr>
        <w:t>Raj</w:t>
      </w:r>
      <w:r w:rsidRPr="005E1EA7">
        <w:rPr>
          <w:rFonts w:ascii="Tahoma" w:hAnsi="Tahoma" w:cs="Tahoma"/>
          <w:sz w:val="20"/>
          <w:szCs w:val="20"/>
        </w:rPr>
        <w:t xml:space="preserve">a </w:t>
      </w:r>
      <w:r w:rsidRPr="005E1EA7">
        <w:rPr>
          <w:rFonts w:ascii="Tahoma" w:hAnsi="Tahoma" w:cs="Tahoma"/>
          <w:i/>
          <w:iCs/>
          <w:sz w:val="20"/>
          <w:szCs w:val="20"/>
        </w:rPr>
        <w:t>spp.</w:t>
      </w:r>
      <w:r w:rsidRPr="005E1EA7">
        <w:rPr>
          <w:rFonts w:ascii="Tahoma" w:hAnsi="Tahoma" w:cs="Tahoma"/>
          <w:sz w:val="20"/>
          <w:szCs w:val="20"/>
        </w:rPr>
        <w:t xml:space="preserve">), </w:t>
      </w:r>
    </w:p>
    <w:p w14:paraId="2B7D0366" w14:textId="77777777" w:rsidR="003D69A8" w:rsidRPr="005E1EA7" w:rsidRDefault="003D69A8" w:rsidP="003D69A8">
      <w:pPr>
        <w:ind w:left="360"/>
        <w:jc w:val="both"/>
        <w:rPr>
          <w:rFonts w:ascii="Tahoma" w:hAnsi="Tahoma" w:cs="Tahoma"/>
          <w:sz w:val="20"/>
          <w:szCs w:val="20"/>
        </w:rPr>
      </w:pPr>
      <w:r w:rsidRPr="005E1EA7">
        <w:rPr>
          <w:rFonts w:ascii="Tahoma" w:hAnsi="Tahoma" w:cs="Tahoma"/>
          <w:sz w:val="20"/>
          <w:szCs w:val="20"/>
        </w:rPr>
        <w:t>— soles (</w:t>
      </w:r>
      <w:r w:rsidRPr="005E1EA7">
        <w:rPr>
          <w:rFonts w:ascii="Tahoma" w:hAnsi="Tahoma" w:cs="Tahoma"/>
          <w:i/>
          <w:iCs/>
          <w:sz w:val="20"/>
          <w:szCs w:val="20"/>
        </w:rPr>
        <w:t>Sole</w:t>
      </w:r>
      <w:r w:rsidRPr="005E1EA7">
        <w:rPr>
          <w:rFonts w:ascii="Tahoma" w:hAnsi="Tahoma" w:cs="Tahoma"/>
          <w:sz w:val="20"/>
          <w:szCs w:val="20"/>
        </w:rPr>
        <w:t xml:space="preserve">a </w:t>
      </w:r>
      <w:r w:rsidRPr="005E1EA7">
        <w:rPr>
          <w:rFonts w:ascii="Tahoma" w:hAnsi="Tahoma" w:cs="Tahoma"/>
          <w:i/>
          <w:iCs/>
          <w:sz w:val="20"/>
          <w:szCs w:val="20"/>
        </w:rPr>
        <w:t>spp.</w:t>
      </w:r>
      <w:r w:rsidRPr="005E1EA7">
        <w:rPr>
          <w:rFonts w:ascii="Tahoma" w:hAnsi="Tahoma" w:cs="Tahoma"/>
          <w:sz w:val="20"/>
          <w:szCs w:val="20"/>
        </w:rPr>
        <w:t xml:space="preserve">), </w:t>
      </w:r>
    </w:p>
    <w:p w14:paraId="75F82D3A" w14:textId="77777777" w:rsidR="003D69A8" w:rsidRPr="005E1EA7" w:rsidRDefault="003D69A8" w:rsidP="003D69A8">
      <w:pPr>
        <w:ind w:left="360"/>
        <w:jc w:val="both"/>
        <w:rPr>
          <w:rFonts w:ascii="Tahoma" w:hAnsi="Tahoma" w:cs="Tahoma"/>
          <w:sz w:val="20"/>
          <w:szCs w:val="20"/>
        </w:rPr>
      </w:pPr>
      <w:r w:rsidRPr="005E1EA7">
        <w:rPr>
          <w:rFonts w:ascii="Tahoma" w:hAnsi="Tahoma" w:cs="Tahoma"/>
          <w:sz w:val="20"/>
          <w:szCs w:val="20"/>
        </w:rPr>
        <w:t>— sabres (</w:t>
      </w:r>
      <w:r w:rsidRPr="005E1EA7">
        <w:rPr>
          <w:rFonts w:ascii="Tahoma" w:hAnsi="Tahoma" w:cs="Tahoma"/>
          <w:i/>
          <w:iCs/>
          <w:sz w:val="20"/>
          <w:szCs w:val="20"/>
        </w:rPr>
        <w:t>Lepidopu</w:t>
      </w:r>
      <w:r w:rsidRPr="005E1EA7">
        <w:rPr>
          <w:rFonts w:ascii="Tahoma" w:hAnsi="Tahoma" w:cs="Tahoma"/>
          <w:sz w:val="20"/>
          <w:szCs w:val="20"/>
        </w:rPr>
        <w:t xml:space="preserve">s </w:t>
      </w:r>
      <w:r w:rsidRPr="005E1EA7">
        <w:rPr>
          <w:rFonts w:ascii="Tahoma" w:hAnsi="Tahoma" w:cs="Tahoma"/>
          <w:i/>
          <w:iCs/>
          <w:sz w:val="20"/>
          <w:szCs w:val="20"/>
        </w:rPr>
        <w:t>Caudatu</w:t>
      </w:r>
      <w:r w:rsidRPr="005E1EA7">
        <w:rPr>
          <w:rFonts w:ascii="Tahoma" w:hAnsi="Tahoma" w:cs="Tahoma"/>
          <w:sz w:val="20"/>
          <w:szCs w:val="20"/>
        </w:rPr>
        <w:t xml:space="preserve">s et </w:t>
      </w:r>
      <w:r w:rsidRPr="005E1EA7">
        <w:rPr>
          <w:rFonts w:ascii="Tahoma" w:hAnsi="Tahoma" w:cs="Tahoma"/>
          <w:i/>
          <w:iCs/>
          <w:sz w:val="20"/>
          <w:szCs w:val="20"/>
        </w:rPr>
        <w:t>Aphanopu</w:t>
      </w:r>
      <w:r w:rsidRPr="005E1EA7">
        <w:rPr>
          <w:rFonts w:ascii="Tahoma" w:hAnsi="Tahoma" w:cs="Tahoma"/>
          <w:sz w:val="20"/>
          <w:szCs w:val="20"/>
        </w:rPr>
        <w:t xml:space="preserve">s </w:t>
      </w:r>
      <w:r w:rsidRPr="005E1EA7">
        <w:rPr>
          <w:rFonts w:ascii="Tahoma" w:hAnsi="Tahoma" w:cs="Tahoma"/>
          <w:i/>
          <w:iCs/>
          <w:sz w:val="20"/>
          <w:szCs w:val="20"/>
        </w:rPr>
        <w:t>carbo</w:t>
      </w:r>
      <w:r w:rsidRPr="005E1EA7">
        <w:rPr>
          <w:rFonts w:ascii="Tahoma" w:hAnsi="Tahoma" w:cs="Tahoma"/>
          <w:sz w:val="20"/>
          <w:szCs w:val="20"/>
        </w:rPr>
        <w:t xml:space="preserve">), </w:t>
      </w:r>
    </w:p>
    <w:p w14:paraId="4CEC0DB8" w14:textId="77777777" w:rsidR="003D69A8" w:rsidRPr="005E1EA7" w:rsidRDefault="003D69A8" w:rsidP="003D69A8">
      <w:pPr>
        <w:ind w:left="360"/>
        <w:jc w:val="both"/>
        <w:rPr>
          <w:rFonts w:ascii="Tahoma" w:hAnsi="Tahoma" w:cs="Tahoma"/>
          <w:sz w:val="20"/>
          <w:szCs w:val="20"/>
        </w:rPr>
      </w:pPr>
      <w:r w:rsidRPr="005E1EA7">
        <w:rPr>
          <w:rFonts w:ascii="Tahoma" w:hAnsi="Tahoma" w:cs="Tahoma"/>
          <w:sz w:val="20"/>
          <w:szCs w:val="20"/>
        </w:rPr>
        <w:t xml:space="preserve">— rougets barbets ou rougets de roche </w:t>
      </w:r>
      <w:r w:rsidRPr="005E1EA7">
        <w:rPr>
          <w:rFonts w:ascii="Tahoma" w:hAnsi="Tahoma" w:cs="Tahoma"/>
          <w:i/>
          <w:iCs/>
          <w:sz w:val="20"/>
          <w:szCs w:val="20"/>
        </w:rPr>
        <w:t>(Mullu</w:t>
      </w:r>
      <w:r w:rsidRPr="005E1EA7">
        <w:rPr>
          <w:rFonts w:ascii="Tahoma" w:hAnsi="Tahoma" w:cs="Tahoma"/>
          <w:sz w:val="20"/>
          <w:szCs w:val="20"/>
        </w:rPr>
        <w:t xml:space="preserve">s </w:t>
      </w:r>
      <w:r w:rsidRPr="005E1EA7">
        <w:rPr>
          <w:rFonts w:ascii="Tahoma" w:hAnsi="Tahoma" w:cs="Tahoma"/>
          <w:i/>
          <w:iCs/>
          <w:sz w:val="20"/>
          <w:szCs w:val="20"/>
        </w:rPr>
        <w:t>barbatus</w:t>
      </w:r>
      <w:r w:rsidRPr="005E1EA7">
        <w:rPr>
          <w:rFonts w:ascii="Tahoma" w:hAnsi="Tahoma" w:cs="Tahoma"/>
          <w:sz w:val="20"/>
          <w:szCs w:val="20"/>
        </w:rPr>
        <w:t xml:space="preserve">, </w:t>
      </w:r>
      <w:r w:rsidRPr="005E1EA7">
        <w:rPr>
          <w:rFonts w:ascii="Tahoma" w:hAnsi="Tahoma" w:cs="Tahoma"/>
          <w:i/>
          <w:iCs/>
          <w:sz w:val="20"/>
          <w:szCs w:val="20"/>
        </w:rPr>
        <w:t>Mullu</w:t>
      </w:r>
      <w:r w:rsidRPr="005E1EA7">
        <w:rPr>
          <w:rFonts w:ascii="Tahoma" w:hAnsi="Tahoma" w:cs="Tahoma"/>
          <w:sz w:val="20"/>
          <w:szCs w:val="20"/>
        </w:rPr>
        <w:t xml:space="preserve">s </w:t>
      </w:r>
      <w:r w:rsidRPr="005E1EA7">
        <w:rPr>
          <w:rFonts w:ascii="Tahoma" w:hAnsi="Tahoma" w:cs="Tahoma"/>
          <w:i/>
          <w:iCs/>
          <w:sz w:val="20"/>
          <w:szCs w:val="20"/>
        </w:rPr>
        <w:t>surmuletus)</w:t>
      </w:r>
      <w:r w:rsidRPr="005E1EA7">
        <w:rPr>
          <w:rFonts w:ascii="Tahoma" w:hAnsi="Tahoma" w:cs="Tahoma"/>
          <w:sz w:val="20"/>
          <w:szCs w:val="20"/>
        </w:rPr>
        <w:t xml:space="preserve">, </w:t>
      </w:r>
    </w:p>
    <w:p w14:paraId="16D72B3B" w14:textId="77777777" w:rsidR="003D69A8" w:rsidRPr="005E1EA7" w:rsidRDefault="003D69A8" w:rsidP="003D69A8">
      <w:pPr>
        <w:ind w:left="360"/>
        <w:jc w:val="both"/>
        <w:rPr>
          <w:rFonts w:ascii="Tahoma" w:hAnsi="Tahoma" w:cs="Tahoma"/>
          <w:sz w:val="20"/>
          <w:szCs w:val="20"/>
        </w:rPr>
      </w:pPr>
      <w:r w:rsidRPr="005E1EA7">
        <w:rPr>
          <w:rFonts w:ascii="Tahoma" w:hAnsi="Tahoma" w:cs="Tahoma"/>
          <w:sz w:val="20"/>
          <w:szCs w:val="20"/>
        </w:rPr>
        <w:t>— dorades grises (Spondyliosoma cantharus</w:t>
      </w:r>
      <w:proofErr w:type="gramStart"/>
      <w:r w:rsidRPr="005E1EA7">
        <w:rPr>
          <w:rFonts w:ascii="Tahoma" w:hAnsi="Tahoma" w:cs="Tahoma"/>
          <w:sz w:val="20"/>
          <w:szCs w:val="20"/>
        </w:rPr>
        <w:t>);</w:t>
      </w:r>
      <w:proofErr w:type="gramEnd"/>
      <w:r w:rsidRPr="005E1EA7">
        <w:rPr>
          <w:rFonts w:ascii="Tahoma" w:hAnsi="Tahoma" w:cs="Tahoma"/>
          <w:sz w:val="20"/>
          <w:szCs w:val="20"/>
        </w:rPr>
        <w:t xml:space="preserve"> </w:t>
      </w:r>
    </w:p>
    <w:p w14:paraId="57A232AD" w14:textId="77777777" w:rsidR="003D69A8" w:rsidRPr="005E1EA7" w:rsidRDefault="003D69A8" w:rsidP="003D69A8">
      <w:pPr>
        <w:ind w:left="360"/>
        <w:jc w:val="both"/>
        <w:rPr>
          <w:rFonts w:ascii="Tahoma" w:hAnsi="Tahoma" w:cs="Tahoma"/>
          <w:sz w:val="20"/>
          <w:szCs w:val="20"/>
        </w:rPr>
      </w:pPr>
      <w:r w:rsidRPr="005E1EA7">
        <w:rPr>
          <w:rFonts w:ascii="Tahoma" w:hAnsi="Tahoma" w:cs="Tahoma"/>
          <w:sz w:val="20"/>
          <w:szCs w:val="20"/>
        </w:rPr>
        <w:t xml:space="preserve">— céphalopodes ; </w:t>
      </w:r>
    </w:p>
    <w:p w14:paraId="047EF230" w14:textId="77777777" w:rsidR="003D69A8" w:rsidRPr="005E1EA7" w:rsidRDefault="003D69A8" w:rsidP="003D69A8">
      <w:pPr>
        <w:ind w:left="360"/>
        <w:jc w:val="both"/>
        <w:rPr>
          <w:rFonts w:ascii="Tahoma" w:hAnsi="Tahoma" w:cs="Tahoma"/>
          <w:sz w:val="20"/>
          <w:szCs w:val="20"/>
        </w:rPr>
      </w:pPr>
      <w:r w:rsidRPr="005E1EA7">
        <w:rPr>
          <w:rFonts w:ascii="Tahoma" w:hAnsi="Tahoma" w:cs="Tahoma"/>
          <w:sz w:val="20"/>
          <w:szCs w:val="20"/>
        </w:rPr>
        <w:t>— seiches (</w:t>
      </w:r>
      <w:r w:rsidRPr="005E1EA7">
        <w:rPr>
          <w:rFonts w:ascii="Tahoma" w:hAnsi="Tahoma" w:cs="Tahoma"/>
          <w:i/>
          <w:iCs/>
          <w:sz w:val="20"/>
          <w:szCs w:val="20"/>
        </w:rPr>
        <w:t>Sepi</w:t>
      </w:r>
      <w:r w:rsidRPr="005E1EA7">
        <w:rPr>
          <w:rFonts w:ascii="Tahoma" w:hAnsi="Tahoma" w:cs="Tahoma"/>
          <w:sz w:val="20"/>
          <w:szCs w:val="20"/>
        </w:rPr>
        <w:t xml:space="preserve">a </w:t>
      </w:r>
      <w:r w:rsidRPr="005E1EA7">
        <w:rPr>
          <w:rFonts w:ascii="Tahoma" w:hAnsi="Tahoma" w:cs="Tahoma"/>
          <w:i/>
          <w:iCs/>
          <w:sz w:val="20"/>
          <w:szCs w:val="20"/>
        </w:rPr>
        <w:t>officinali</w:t>
      </w:r>
      <w:r w:rsidRPr="005E1EA7">
        <w:rPr>
          <w:rFonts w:ascii="Tahoma" w:hAnsi="Tahoma" w:cs="Tahoma"/>
          <w:sz w:val="20"/>
          <w:szCs w:val="20"/>
        </w:rPr>
        <w:t xml:space="preserve">s et </w:t>
      </w:r>
      <w:r w:rsidRPr="005E1EA7">
        <w:rPr>
          <w:rFonts w:ascii="Tahoma" w:hAnsi="Tahoma" w:cs="Tahoma"/>
          <w:i/>
          <w:iCs/>
          <w:sz w:val="20"/>
          <w:szCs w:val="20"/>
        </w:rPr>
        <w:t>Rossi</w:t>
      </w:r>
      <w:r w:rsidRPr="005E1EA7">
        <w:rPr>
          <w:rFonts w:ascii="Tahoma" w:hAnsi="Tahoma" w:cs="Tahoma"/>
          <w:sz w:val="20"/>
          <w:szCs w:val="20"/>
        </w:rPr>
        <w:t xml:space="preserve">a </w:t>
      </w:r>
      <w:r w:rsidRPr="005E1EA7">
        <w:rPr>
          <w:rFonts w:ascii="Tahoma" w:hAnsi="Tahoma" w:cs="Tahoma"/>
          <w:i/>
          <w:iCs/>
          <w:sz w:val="20"/>
          <w:szCs w:val="20"/>
        </w:rPr>
        <w:t>macrosoma</w:t>
      </w:r>
      <w:proofErr w:type="gramStart"/>
      <w:r w:rsidRPr="005E1EA7">
        <w:rPr>
          <w:rFonts w:ascii="Tahoma" w:hAnsi="Tahoma" w:cs="Tahoma"/>
          <w:sz w:val="20"/>
          <w:szCs w:val="20"/>
        </w:rPr>
        <w:t>);</w:t>
      </w:r>
      <w:proofErr w:type="gramEnd"/>
      <w:r w:rsidRPr="005E1EA7">
        <w:rPr>
          <w:rFonts w:ascii="Tahoma" w:hAnsi="Tahoma" w:cs="Tahoma"/>
          <w:sz w:val="20"/>
          <w:szCs w:val="20"/>
        </w:rPr>
        <w:t xml:space="preserve"> </w:t>
      </w:r>
    </w:p>
    <w:p w14:paraId="151DDF07" w14:textId="77777777" w:rsidR="003D69A8" w:rsidRPr="005E1EA7" w:rsidRDefault="003D69A8" w:rsidP="003D69A8">
      <w:pPr>
        <w:jc w:val="both"/>
        <w:rPr>
          <w:rFonts w:ascii="Tahoma" w:eastAsia="EUAlbertina-Regular-Identity-H" w:hAnsi="Tahoma" w:cs="Tahoma"/>
          <w:sz w:val="20"/>
          <w:szCs w:val="20"/>
        </w:rPr>
      </w:pPr>
    </w:p>
    <w:p w14:paraId="3601BCE0" w14:textId="77777777" w:rsidR="003D69A8" w:rsidRPr="005E1EA7" w:rsidRDefault="003D69A8" w:rsidP="003D69A8">
      <w:pPr>
        <w:jc w:val="both"/>
        <w:rPr>
          <w:rFonts w:ascii="Tahoma" w:hAnsi="Tahoma" w:cs="Tahoma"/>
          <w:sz w:val="20"/>
          <w:szCs w:val="20"/>
        </w:rPr>
      </w:pPr>
      <w:r w:rsidRPr="005E1EA7">
        <w:rPr>
          <w:rFonts w:ascii="Tahoma" w:hAnsi="Tahoma" w:cs="Tahoma"/>
          <w:sz w:val="20"/>
          <w:szCs w:val="20"/>
        </w:rPr>
        <w:t xml:space="preserve">2. Catégories de fraîcheur </w:t>
      </w:r>
    </w:p>
    <w:p w14:paraId="7BB7B317" w14:textId="77777777" w:rsidR="003D69A8" w:rsidRPr="005E1EA7" w:rsidRDefault="003D69A8" w:rsidP="003D69A8">
      <w:pPr>
        <w:jc w:val="both"/>
        <w:rPr>
          <w:rFonts w:ascii="Tahoma" w:hAnsi="Tahoma" w:cs="Tahoma"/>
          <w:sz w:val="20"/>
          <w:szCs w:val="20"/>
        </w:rPr>
      </w:pPr>
    </w:p>
    <w:p w14:paraId="515E71C4" w14:textId="77777777" w:rsidR="003D69A8" w:rsidRPr="005E1EA7" w:rsidRDefault="003D69A8" w:rsidP="003D69A8">
      <w:pPr>
        <w:pStyle w:val="Retraitcorpsdetexte2"/>
        <w:ind w:left="0" w:firstLine="0"/>
        <w:rPr>
          <w:rFonts w:ascii="Tahoma" w:hAnsi="Tahoma" w:cs="Tahoma"/>
          <w:color w:val="auto"/>
          <w:sz w:val="20"/>
          <w:szCs w:val="20"/>
        </w:rPr>
      </w:pPr>
      <w:r w:rsidRPr="005E1EA7">
        <w:rPr>
          <w:rFonts w:ascii="Tahoma" w:hAnsi="Tahoma" w:cs="Tahoma"/>
          <w:color w:val="auto"/>
          <w:sz w:val="20"/>
          <w:szCs w:val="20"/>
        </w:rPr>
        <w:t xml:space="preserve">2.1. Les catégories de fraîcheur sont déterminées pour chaque lot (quantité de produits d'une même espèce ayant fait l'objet du même traitement et pouvant provenir du même lieu de pêche et du même navire) en fonction du degré de fraîcheur des produits et de certaines caractéristiques complémentaires. Le degré de fraîcheur est défini au moyen des barèmes de cotation spécifiques indiqués par types de produits au chapitre I du présent annexe. Les produits visés au point 1 sont classés en lots correspondant à l'une des catégories de fraîcheur suivantes : </w:t>
      </w:r>
    </w:p>
    <w:p w14:paraId="2F3F4226" w14:textId="77777777" w:rsidR="003D69A8" w:rsidRPr="005E1EA7" w:rsidRDefault="003D69A8" w:rsidP="003D69A8">
      <w:pPr>
        <w:jc w:val="both"/>
        <w:rPr>
          <w:rFonts w:ascii="Tahoma" w:hAnsi="Tahoma" w:cs="Tahoma"/>
          <w:sz w:val="20"/>
          <w:szCs w:val="20"/>
        </w:rPr>
      </w:pPr>
    </w:p>
    <w:p w14:paraId="28D96C65" w14:textId="77777777" w:rsidR="003D69A8" w:rsidRPr="005E1EA7" w:rsidRDefault="003D69A8" w:rsidP="003D69A8">
      <w:pPr>
        <w:ind w:left="360"/>
        <w:jc w:val="both"/>
        <w:rPr>
          <w:rFonts w:ascii="Tahoma" w:hAnsi="Tahoma" w:cs="Tahoma"/>
          <w:sz w:val="20"/>
          <w:szCs w:val="20"/>
        </w:rPr>
      </w:pPr>
      <w:r w:rsidRPr="005E1EA7">
        <w:rPr>
          <w:rFonts w:ascii="Tahoma" w:hAnsi="Tahoma" w:cs="Tahoma"/>
          <w:sz w:val="20"/>
          <w:szCs w:val="20"/>
        </w:rPr>
        <w:t>a) Extra, A ou B pour les poissons, dont les sélaciens et les céphalopodes ;</w:t>
      </w:r>
    </w:p>
    <w:p w14:paraId="38202832" w14:textId="77777777" w:rsidR="003D69A8" w:rsidRPr="005E1EA7" w:rsidRDefault="003D69A8" w:rsidP="003D69A8">
      <w:pPr>
        <w:ind w:left="360"/>
        <w:jc w:val="both"/>
        <w:rPr>
          <w:rFonts w:ascii="Tahoma" w:hAnsi="Tahoma" w:cs="Tahoma"/>
          <w:sz w:val="20"/>
          <w:szCs w:val="20"/>
        </w:rPr>
      </w:pPr>
    </w:p>
    <w:p w14:paraId="44B2E745" w14:textId="77777777" w:rsidR="003D69A8" w:rsidRPr="005E1EA7" w:rsidRDefault="003D69A8" w:rsidP="003D69A8">
      <w:pPr>
        <w:ind w:left="360"/>
        <w:jc w:val="both"/>
        <w:rPr>
          <w:rFonts w:ascii="Tahoma" w:hAnsi="Tahoma" w:cs="Tahoma"/>
          <w:sz w:val="20"/>
          <w:szCs w:val="20"/>
        </w:rPr>
      </w:pPr>
      <w:r w:rsidRPr="005E1EA7">
        <w:rPr>
          <w:rFonts w:ascii="Tahoma" w:hAnsi="Tahoma" w:cs="Tahoma"/>
          <w:sz w:val="20"/>
          <w:szCs w:val="20"/>
        </w:rPr>
        <w:t>b) Extra ou A pour les crevettes. Toutefois, les langoustes vivantes sont classées dans une catégorie dénommée E, à l’exclusion des femelles grainées qui peuvent être commercialisées.</w:t>
      </w:r>
    </w:p>
    <w:p w14:paraId="1E5F2B7E" w14:textId="77777777" w:rsidR="003D69A8" w:rsidRPr="005E1EA7" w:rsidRDefault="003D69A8" w:rsidP="003D69A8">
      <w:pPr>
        <w:jc w:val="both"/>
        <w:rPr>
          <w:rFonts w:ascii="Tahoma" w:hAnsi="Tahoma" w:cs="Tahoma"/>
          <w:sz w:val="20"/>
          <w:szCs w:val="20"/>
        </w:rPr>
      </w:pPr>
    </w:p>
    <w:p w14:paraId="44144A0E" w14:textId="77777777" w:rsidR="003D69A8" w:rsidRPr="005E1EA7" w:rsidRDefault="003D69A8" w:rsidP="003D69A8">
      <w:pPr>
        <w:jc w:val="both"/>
        <w:rPr>
          <w:rFonts w:ascii="Tahoma" w:hAnsi="Tahoma" w:cs="Tahoma"/>
          <w:sz w:val="20"/>
          <w:szCs w:val="20"/>
        </w:rPr>
      </w:pPr>
      <w:r w:rsidRPr="005E1EA7">
        <w:rPr>
          <w:rFonts w:ascii="Tahoma" w:hAnsi="Tahoma" w:cs="Tahoma"/>
          <w:sz w:val="20"/>
          <w:szCs w:val="20"/>
        </w:rPr>
        <w:t xml:space="preserve">2.2. Chaque lot doit être homogène quant à son état de fraîcheur. Toutefois, un lot de faible volume peut ne pas être homogène ; dans ce cas, il est classé dans la catégorie de fraîcheur la plus basse qui y est représentée. La catégorie de fraîcheur doit être inscrite en caractères lisibles et indélébiles, d'une hauteur minimale de 5 centimètres, sur des étiquettes apposées sur les lots. </w:t>
      </w:r>
    </w:p>
    <w:p w14:paraId="5969C749" w14:textId="77777777" w:rsidR="003D69A8" w:rsidRPr="005E1EA7" w:rsidRDefault="003D69A8" w:rsidP="003D69A8">
      <w:pPr>
        <w:jc w:val="both"/>
        <w:rPr>
          <w:rFonts w:ascii="Tahoma" w:hAnsi="Tahoma" w:cs="Tahoma"/>
          <w:sz w:val="20"/>
          <w:szCs w:val="20"/>
        </w:rPr>
      </w:pPr>
    </w:p>
    <w:p w14:paraId="4A0F314E" w14:textId="77777777" w:rsidR="003D69A8" w:rsidRPr="005E1EA7" w:rsidRDefault="003D69A8" w:rsidP="003D69A8">
      <w:pPr>
        <w:jc w:val="both"/>
        <w:rPr>
          <w:rFonts w:ascii="Tahoma" w:hAnsi="Tahoma" w:cs="Tahoma"/>
          <w:sz w:val="20"/>
          <w:szCs w:val="20"/>
        </w:rPr>
      </w:pPr>
      <w:r w:rsidRPr="005E1EA7">
        <w:rPr>
          <w:rFonts w:ascii="Tahoma" w:hAnsi="Tahoma" w:cs="Tahoma"/>
          <w:sz w:val="20"/>
          <w:szCs w:val="20"/>
        </w:rPr>
        <w:t>2.3.</w:t>
      </w:r>
      <w:r w:rsidRPr="005E1EA7">
        <w:rPr>
          <w:rFonts w:ascii="Tahoma" w:hAnsi="Tahoma" w:cs="Tahoma"/>
          <w:i/>
          <w:iCs/>
          <w:sz w:val="20"/>
          <w:szCs w:val="20"/>
        </w:rPr>
        <w:t xml:space="preserve"> </w:t>
      </w:r>
      <w:r w:rsidRPr="005E1EA7">
        <w:rPr>
          <w:rFonts w:ascii="Tahoma" w:hAnsi="Tahoma" w:cs="Tahoma"/>
          <w:sz w:val="20"/>
          <w:szCs w:val="20"/>
        </w:rPr>
        <w:t>Les poissons, dont les sélaciens, les céphalopodes, et les crevettes de la catégorie de fraîcheur :</w:t>
      </w:r>
    </w:p>
    <w:p w14:paraId="43E36BDB" w14:textId="77777777" w:rsidR="003D69A8" w:rsidRPr="005E1EA7" w:rsidRDefault="003D69A8" w:rsidP="003D69A8">
      <w:pPr>
        <w:jc w:val="both"/>
        <w:rPr>
          <w:rFonts w:ascii="Tahoma" w:hAnsi="Tahoma" w:cs="Tahoma"/>
          <w:sz w:val="20"/>
          <w:szCs w:val="20"/>
        </w:rPr>
      </w:pPr>
    </w:p>
    <w:p w14:paraId="06AD8754" w14:textId="77777777" w:rsidR="003D69A8" w:rsidRPr="005E1EA7" w:rsidRDefault="003D69A8" w:rsidP="003D69A8">
      <w:pPr>
        <w:pStyle w:val="Retraitcorpsdetexte3"/>
        <w:ind w:left="720" w:hanging="360"/>
        <w:rPr>
          <w:rFonts w:ascii="Tahoma" w:hAnsi="Tahoma" w:cs="Tahoma"/>
          <w:sz w:val="20"/>
          <w:szCs w:val="20"/>
        </w:rPr>
      </w:pPr>
      <w:r w:rsidRPr="005E1EA7">
        <w:rPr>
          <w:rFonts w:ascii="Tahoma" w:hAnsi="Tahoma" w:cs="Tahoma"/>
          <w:sz w:val="20"/>
          <w:szCs w:val="20"/>
        </w:rPr>
        <w:t xml:space="preserve">a) Extra doivent être dépourvus de marques de pression ou d'écorchures, de souillures et de forte décoloration. </w:t>
      </w:r>
    </w:p>
    <w:p w14:paraId="4A2D6207" w14:textId="77777777" w:rsidR="003D69A8" w:rsidRPr="005E1EA7" w:rsidRDefault="003D69A8" w:rsidP="003D69A8">
      <w:pPr>
        <w:ind w:left="720" w:hanging="360"/>
        <w:jc w:val="both"/>
        <w:rPr>
          <w:rFonts w:ascii="Tahoma" w:hAnsi="Tahoma" w:cs="Tahoma"/>
          <w:sz w:val="20"/>
          <w:szCs w:val="20"/>
        </w:rPr>
      </w:pPr>
      <w:r w:rsidRPr="005E1EA7">
        <w:rPr>
          <w:rFonts w:ascii="Tahoma" w:hAnsi="Tahoma" w:cs="Tahoma"/>
          <w:sz w:val="20"/>
          <w:szCs w:val="20"/>
        </w:rPr>
        <w:t>b) A doivent être dépourvus de souillures et de forte décoloration. Une proportion minime présentant de légères marques de pression et des écorchures superficielles est tolérée.</w:t>
      </w:r>
    </w:p>
    <w:p w14:paraId="4A168F71" w14:textId="77777777" w:rsidR="003D69A8" w:rsidRPr="005E1EA7" w:rsidRDefault="003D69A8" w:rsidP="003D69A8">
      <w:pPr>
        <w:ind w:left="720" w:hanging="360"/>
        <w:jc w:val="both"/>
        <w:rPr>
          <w:rFonts w:ascii="Tahoma" w:hAnsi="Tahoma" w:cs="Tahoma"/>
          <w:sz w:val="20"/>
          <w:szCs w:val="20"/>
        </w:rPr>
      </w:pPr>
      <w:r w:rsidRPr="005E1EA7">
        <w:rPr>
          <w:rFonts w:ascii="Tahoma" w:hAnsi="Tahoma" w:cs="Tahoma"/>
          <w:sz w:val="20"/>
          <w:szCs w:val="20"/>
        </w:rPr>
        <w:lastRenderedPageBreak/>
        <w:t>c) B doivent être dépourvu de souillures et de forte décoloration, mais une petite proportion présentant des marques de pression et des écorchures superficielles plus marquées est tolérée.</w:t>
      </w:r>
    </w:p>
    <w:p w14:paraId="5E89C747" w14:textId="77777777" w:rsidR="003D69A8" w:rsidRPr="005E1EA7" w:rsidRDefault="003D69A8" w:rsidP="003D69A8">
      <w:pPr>
        <w:jc w:val="both"/>
        <w:rPr>
          <w:rFonts w:ascii="Tahoma" w:hAnsi="Tahoma" w:cs="Tahoma"/>
          <w:sz w:val="20"/>
          <w:szCs w:val="20"/>
        </w:rPr>
      </w:pPr>
    </w:p>
    <w:p w14:paraId="66AED7D7" w14:textId="77777777" w:rsidR="003D69A8" w:rsidRPr="005E1EA7" w:rsidRDefault="003D69A8" w:rsidP="003D69A8">
      <w:pPr>
        <w:jc w:val="both"/>
        <w:rPr>
          <w:rFonts w:ascii="Tahoma" w:hAnsi="Tahoma" w:cs="Tahoma"/>
          <w:sz w:val="20"/>
          <w:szCs w:val="20"/>
        </w:rPr>
      </w:pPr>
      <w:r w:rsidRPr="005E1EA7">
        <w:rPr>
          <w:rFonts w:ascii="Tahoma" w:hAnsi="Tahoma" w:cs="Tahoma"/>
          <w:sz w:val="20"/>
          <w:szCs w:val="20"/>
        </w:rPr>
        <w:t xml:space="preserve">2.4. Pour le classement des produits dans les différentes catégories de fraîcheur, sans préjudice de la réglementation applicable en matière sanitaire, il est également pris en considération la présence de parasites visibles et leur éventuelle influence sur la qualité du produit compte tenu de sa nature et de sa présentation. </w:t>
      </w:r>
    </w:p>
    <w:p w14:paraId="5C9B4645" w14:textId="77777777" w:rsidR="003D69A8" w:rsidRPr="005E1EA7" w:rsidRDefault="003D69A8" w:rsidP="003D69A8">
      <w:pPr>
        <w:jc w:val="both"/>
        <w:rPr>
          <w:rFonts w:ascii="Tahoma" w:eastAsia="EUAlbertina-Regular-Identity-H" w:hAnsi="Tahoma" w:cs="Tahoma"/>
          <w:sz w:val="20"/>
          <w:szCs w:val="20"/>
        </w:rPr>
      </w:pPr>
    </w:p>
    <w:p w14:paraId="4BE3A5E0" w14:textId="77777777" w:rsidR="003D69A8" w:rsidRPr="005E1EA7" w:rsidRDefault="003D69A8" w:rsidP="003D69A8">
      <w:pPr>
        <w:jc w:val="both"/>
        <w:rPr>
          <w:rFonts w:ascii="Tahoma" w:hAnsi="Tahoma" w:cs="Tahoma"/>
          <w:sz w:val="20"/>
          <w:szCs w:val="20"/>
        </w:rPr>
      </w:pPr>
      <w:r w:rsidRPr="005E1EA7">
        <w:rPr>
          <w:rFonts w:ascii="Tahoma" w:hAnsi="Tahoma" w:cs="Tahoma"/>
          <w:sz w:val="20"/>
          <w:szCs w:val="20"/>
        </w:rPr>
        <w:t>3. Classification des produits et catégories de calibrage</w:t>
      </w:r>
    </w:p>
    <w:p w14:paraId="775F4FEC" w14:textId="77777777" w:rsidR="003D69A8" w:rsidRPr="005E1EA7" w:rsidRDefault="003D69A8" w:rsidP="003D69A8">
      <w:pPr>
        <w:jc w:val="both"/>
        <w:rPr>
          <w:rFonts w:ascii="Tahoma" w:hAnsi="Tahoma" w:cs="Tahoma"/>
          <w:i/>
          <w:iCs/>
          <w:sz w:val="20"/>
          <w:szCs w:val="20"/>
        </w:rPr>
      </w:pPr>
    </w:p>
    <w:p w14:paraId="1E8A10DD" w14:textId="77777777" w:rsidR="003D69A8" w:rsidRPr="005E1EA7" w:rsidRDefault="003D69A8" w:rsidP="003D69A8">
      <w:pPr>
        <w:jc w:val="both"/>
        <w:rPr>
          <w:rFonts w:ascii="Tahoma" w:hAnsi="Tahoma" w:cs="Tahoma"/>
          <w:sz w:val="20"/>
          <w:szCs w:val="20"/>
        </w:rPr>
      </w:pPr>
      <w:r w:rsidRPr="005E1EA7">
        <w:rPr>
          <w:rFonts w:ascii="Tahoma" w:hAnsi="Tahoma" w:cs="Tahoma"/>
          <w:sz w:val="20"/>
          <w:szCs w:val="20"/>
        </w:rPr>
        <w:t>3.1. Les professionnels du secteur de la pêche effectuent la classification des produits de la pêche par catégories de fraîcheur Extra, A et B et catégories de calibrage avec le concours d'experts désignés à cette fin par les organisations professionnelles concernées. Le calibrage des produits visés au point 1 est basé sur leur poids ou sur leur nombre au kilogramme.</w:t>
      </w:r>
    </w:p>
    <w:p w14:paraId="31B5B8FD" w14:textId="77777777" w:rsidR="003D69A8" w:rsidRPr="005E1EA7" w:rsidRDefault="003D69A8" w:rsidP="003D69A8">
      <w:pPr>
        <w:jc w:val="both"/>
        <w:rPr>
          <w:rFonts w:ascii="Tahoma" w:hAnsi="Tahoma" w:cs="Tahoma"/>
          <w:sz w:val="20"/>
          <w:szCs w:val="20"/>
        </w:rPr>
      </w:pPr>
    </w:p>
    <w:p w14:paraId="23869F6C" w14:textId="77777777" w:rsidR="003D69A8" w:rsidRPr="005E1EA7" w:rsidRDefault="003D69A8" w:rsidP="003D69A8">
      <w:pPr>
        <w:jc w:val="both"/>
        <w:rPr>
          <w:rFonts w:ascii="Tahoma" w:hAnsi="Tahoma" w:cs="Tahoma"/>
          <w:sz w:val="20"/>
          <w:szCs w:val="20"/>
        </w:rPr>
      </w:pPr>
      <w:r w:rsidRPr="005E1EA7">
        <w:rPr>
          <w:rFonts w:ascii="Tahoma" w:hAnsi="Tahoma" w:cs="Tahoma"/>
          <w:sz w:val="20"/>
          <w:szCs w:val="20"/>
        </w:rPr>
        <w:t xml:space="preserve">3.2. Les lots sont classés dans des catégories de calibrage selon le barème figurant au chapitre II du présent annexe. </w:t>
      </w:r>
    </w:p>
    <w:p w14:paraId="7E9EC015" w14:textId="77777777" w:rsidR="003D69A8" w:rsidRPr="005E1EA7" w:rsidRDefault="003D69A8" w:rsidP="003D69A8">
      <w:pPr>
        <w:jc w:val="both"/>
        <w:rPr>
          <w:rFonts w:ascii="Tahoma" w:hAnsi="Tahoma" w:cs="Tahoma"/>
          <w:sz w:val="20"/>
          <w:szCs w:val="20"/>
        </w:rPr>
      </w:pPr>
    </w:p>
    <w:p w14:paraId="2B3BDB45" w14:textId="77777777" w:rsidR="003D69A8" w:rsidRPr="005E1EA7" w:rsidRDefault="003D69A8" w:rsidP="003D69A8">
      <w:pPr>
        <w:jc w:val="both"/>
        <w:rPr>
          <w:rFonts w:ascii="Tahoma" w:hAnsi="Tahoma" w:cs="Tahoma"/>
          <w:sz w:val="20"/>
          <w:szCs w:val="20"/>
        </w:rPr>
      </w:pPr>
      <w:r w:rsidRPr="005E1EA7">
        <w:rPr>
          <w:rFonts w:ascii="Tahoma" w:hAnsi="Tahoma" w:cs="Tahoma"/>
          <w:sz w:val="20"/>
          <w:szCs w:val="20"/>
        </w:rPr>
        <w:t xml:space="preserve">Chaque lot doit être homogène quant au calibrage des produits. Toutefois, un lot de faible volume peut ne pas être homogène, dans ce cas, il est classé dans la catégorie de calibrage la plus basse qui y est représentée. </w:t>
      </w:r>
    </w:p>
    <w:p w14:paraId="3257A049" w14:textId="77777777" w:rsidR="003D69A8" w:rsidRPr="005E1EA7" w:rsidRDefault="003D69A8" w:rsidP="003D69A8">
      <w:pPr>
        <w:jc w:val="both"/>
        <w:rPr>
          <w:rFonts w:ascii="Tahoma" w:hAnsi="Tahoma" w:cs="Tahoma"/>
          <w:sz w:val="20"/>
          <w:szCs w:val="20"/>
        </w:rPr>
      </w:pPr>
    </w:p>
    <w:p w14:paraId="66ACEF87" w14:textId="77777777" w:rsidR="003D69A8" w:rsidRPr="005E1EA7" w:rsidRDefault="003D69A8" w:rsidP="003D69A8">
      <w:pPr>
        <w:jc w:val="both"/>
        <w:rPr>
          <w:rFonts w:ascii="Tahoma" w:hAnsi="Tahoma" w:cs="Tahoma"/>
          <w:sz w:val="20"/>
          <w:szCs w:val="20"/>
        </w:rPr>
      </w:pPr>
      <w:r w:rsidRPr="005E1EA7">
        <w:rPr>
          <w:rFonts w:ascii="Tahoma" w:hAnsi="Tahoma" w:cs="Tahoma"/>
          <w:sz w:val="20"/>
          <w:szCs w:val="20"/>
        </w:rPr>
        <w:t xml:space="preserve">La catégorie de calibrage et le mode de présentation doivent être inscrits en caractères lisibles et indélébiles, d'une hauteur minimale de 5 centimètres, sur des étiquettes apposées sur les lots. </w:t>
      </w:r>
    </w:p>
    <w:p w14:paraId="136DF42C" w14:textId="77777777" w:rsidR="003D69A8" w:rsidRPr="005E1EA7" w:rsidRDefault="003D69A8" w:rsidP="003D69A8">
      <w:pPr>
        <w:jc w:val="both"/>
        <w:rPr>
          <w:rFonts w:ascii="Tahoma" w:hAnsi="Tahoma" w:cs="Tahoma"/>
          <w:sz w:val="20"/>
          <w:szCs w:val="20"/>
        </w:rPr>
      </w:pPr>
    </w:p>
    <w:p w14:paraId="7C3D0590" w14:textId="77777777" w:rsidR="003D69A8" w:rsidRPr="005E1EA7" w:rsidRDefault="003D69A8" w:rsidP="003D69A8">
      <w:pPr>
        <w:jc w:val="both"/>
        <w:rPr>
          <w:rFonts w:ascii="Tahoma" w:hAnsi="Tahoma" w:cs="Tahoma"/>
          <w:sz w:val="20"/>
          <w:szCs w:val="20"/>
        </w:rPr>
      </w:pPr>
      <w:r w:rsidRPr="005E1EA7">
        <w:rPr>
          <w:rFonts w:ascii="Tahoma" w:hAnsi="Tahoma" w:cs="Tahoma"/>
          <w:sz w:val="20"/>
          <w:szCs w:val="20"/>
        </w:rPr>
        <w:t xml:space="preserve">L'indication du poids net en kilogrammes est apposée de manière claire et lisible sur chaque lot. Pour les lots mis en vente dans des caisses standardisées, cette indication du poids net n'est pas nécessaire si le pesage effectué avant la mise en vente fait apparaître que le contenu des caisses correspond bien à leur contenance présumée exprimée en kilogrammes. </w:t>
      </w:r>
    </w:p>
    <w:p w14:paraId="4C0B4D63" w14:textId="77777777" w:rsidR="003D69A8" w:rsidRPr="005E1EA7" w:rsidRDefault="003D69A8" w:rsidP="003D69A8">
      <w:pPr>
        <w:jc w:val="both"/>
        <w:rPr>
          <w:rFonts w:ascii="Tahoma" w:hAnsi="Tahoma" w:cs="Tahoma"/>
          <w:sz w:val="20"/>
          <w:szCs w:val="20"/>
        </w:rPr>
      </w:pPr>
    </w:p>
    <w:p w14:paraId="68A4B457" w14:textId="77777777" w:rsidR="003D69A8" w:rsidRPr="005E1EA7" w:rsidRDefault="003D69A8" w:rsidP="003D69A8">
      <w:pPr>
        <w:pStyle w:val="Corpsdetexte2"/>
        <w:spacing w:after="0" w:line="240" w:lineRule="auto"/>
        <w:jc w:val="both"/>
        <w:rPr>
          <w:rFonts w:ascii="Tahoma" w:hAnsi="Tahoma" w:cs="Tahoma"/>
          <w:sz w:val="20"/>
          <w:szCs w:val="20"/>
        </w:rPr>
      </w:pPr>
      <w:r w:rsidRPr="005E1EA7">
        <w:rPr>
          <w:rFonts w:ascii="Tahoma" w:hAnsi="Tahoma" w:cs="Tahoma"/>
          <w:sz w:val="20"/>
          <w:szCs w:val="20"/>
        </w:rPr>
        <w:t xml:space="preserve">3.3. Les espèces pélagiques peuvent être classées dans les différentes catégories de fraîcheur et de calibrage sur la base d'un système d'échantillonnage. Ce système doit assurer un maximum d'homogénéité au lot quant à la fraîcheur et à la taille des produits. </w:t>
      </w:r>
    </w:p>
    <w:p w14:paraId="11A76498" w14:textId="77777777" w:rsidR="003D69A8" w:rsidRPr="005E1EA7" w:rsidRDefault="003D69A8" w:rsidP="003D69A8">
      <w:pPr>
        <w:autoSpaceDE w:val="0"/>
        <w:autoSpaceDN w:val="0"/>
        <w:adjustRightInd w:val="0"/>
        <w:jc w:val="center"/>
        <w:rPr>
          <w:rFonts w:ascii="Tahoma" w:eastAsia="EUAlbertina-Italic-Identity-H" w:hAnsi="Tahoma" w:cs="Tahoma"/>
          <w:b/>
          <w:bCs/>
          <w:sz w:val="20"/>
          <w:szCs w:val="20"/>
        </w:rPr>
      </w:pPr>
    </w:p>
    <w:p w14:paraId="5DCADFC7" w14:textId="77777777" w:rsidR="003D69A8" w:rsidRPr="005E1EA7" w:rsidRDefault="003D69A8" w:rsidP="003D69A8">
      <w:pPr>
        <w:autoSpaceDE w:val="0"/>
        <w:autoSpaceDN w:val="0"/>
        <w:adjustRightInd w:val="0"/>
        <w:jc w:val="center"/>
        <w:rPr>
          <w:rFonts w:ascii="Tahoma" w:eastAsia="EUAlbertina-Italic-Identity-H" w:hAnsi="Tahoma" w:cs="Tahoma"/>
          <w:b/>
          <w:bCs/>
          <w:sz w:val="20"/>
          <w:szCs w:val="20"/>
        </w:rPr>
      </w:pPr>
    </w:p>
    <w:p w14:paraId="4AF7B6D9" w14:textId="77777777" w:rsidR="003D69A8" w:rsidRPr="005E1EA7" w:rsidRDefault="003D69A8" w:rsidP="003D69A8">
      <w:pPr>
        <w:autoSpaceDE w:val="0"/>
        <w:autoSpaceDN w:val="0"/>
        <w:adjustRightInd w:val="0"/>
        <w:jc w:val="center"/>
        <w:rPr>
          <w:rFonts w:ascii="Tahoma" w:eastAsia="EUAlbertina-Italic-Identity-H" w:hAnsi="Tahoma" w:cs="Tahoma"/>
          <w:b/>
          <w:bCs/>
          <w:sz w:val="20"/>
          <w:szCs w:val="20"/>
        </w:rPr>
      </w:pPr>
    </w:p>
    <w:p w14:paraId="1C2E8FB5" w14:textId="77777777" w:rsidR="003D69A8" w:rsidRPr="005E1EA7" w:rsidRDefault="003D69A8" w:rsidP="003D69A8">
      <w:pPr>
        <w:autoSpaceDE w:val="0"/>
        <w:autoSpaceDN w:val="0"/>
        <w:adjustRightInd w:val="0"/>
        <w:jc w:val="center"/>
        <w:rPr>
          <w:rFonts w:ascii="Tahoma" w:eastAsia="EUAlbertina-Bold-Identity-H" w:hAnsi="Tahoma" w:cs="Tahoma"/>
          <w:b/>
          <w:bCs/>
          <w:sz w:val="20"/>
          <w:szCs w:val="20"/>
        </w:rPr>
      </w:pPr>
      <w:r w:rsidRPr="005E1EA7">
        <w:rPr>
          <w:rFonts w:ascii="Tahoma" w:eastAsia="EUAlbertina-Bold-Identity-H" w:hAnsi="Tahoma" w:cs="Tahoma"/>
          <w:b/>
          <w:bCs/>
          <w:sz w:val="20"/>
          <w:szCs w:val="20"/>
        </w:rPr>
        <w:t>CHAPITRE I : CRITERES ORGANOLEPTIQUES APPLICABLES AUX MOLLUSQUES BIVALVES VIVANTS ET AUX PRODUITS DE LA PECHE</w:t>
      </w:r>
    </w:p>
    <w:p w14:paraId="414BC34F" w14:textId="77777777" w:rsidR="003D69A8" w:rsidRPr="005E1EA7" w:rsidRDefault="003D69A8" w:rsidP="003D69A8">
      <w:pPr>
        <w:autoSpaceDE w:val="0"/>
        <w:autoSpaceDN w:val="0"/>
        <w:adjustRightInd w:val="0"/>
        <w:jc w:val="both"/>
        <w:rPr>
          <w:rFonts w:ascii="Tahoma" w:hAnsi="Tahoma" w:cs="Tahoma"/>
          <w:b/>
          <w:bCs/>
          <w:i/>
          <w:sz w:val="20"/>
          <w:szCs w:val="20"/>
        </w:rPr>
      </w:pPr>
    </w:p>
    <w:p w14:paraId="12907C27" w14:textId="77777777" w:rsidR="003D69A8" w:rsidRPr="005E1EA7" w:rsidRDefault="003D69A8" w:rsidP="003D69A8">
      <w:pPr>
        <w:autoSpaceDE w:val="0"/>
        <w:autoSpaceDN w:val="0"/>
        <w:adjustRightInd w:val="0"/>
        <w:jc w:val="both"/>
        <w:rPr>
          <w:rFonts w:ascii="Tahoma" w:eastAsia="EUAlbertina-Bold-Identity-H" w:hAnsi="Tahoma" w:cs="Tahoma"/>
          <w:b/>
          <w:bCs/>
          <w:i/>
          <w:sz w:val="20"/>
          <w:szCs w:val="20"/>
        </w:rPr>
      </w:pPr>
      <w:r w:rsidRPr="005E1EA7">
        <w:rPr>
          <w:rFonts w:ascii="Tahoma" w:eastAsia="EUAlbertina-Bold-Identity-H" w:hAnsi="Tahoma" w:cs="Tahoma"/>
          <w:b/>
          <w:bCs/>
          <w:i/>
          <w:sz w:val="20"/>
          <w:szCs w:val="20"/>
        </w:rPr>
        <w:t>BAREMES DE COTATION DE FRAICHEUR</w:t>
      </w:r>
    </w:p>
    <w:p w14:paraId="4BF79E76" w14:textId="77777777" w:rsidR="003D69A8" w:rsidRPr="005E1EA7" w:rsidRDefault="003D69A8" w:rsidP="003D69A8">
      <w:pPr>
        <w:autoSpaceDE w:val="0"/>
        <w:autoSpaceDN w:val="0"/>
        <w:adjustRightInd w:val="0"/>
        <w:jc w:val="both"/>
        <w:rPr>
          <w:rFonts w:ascii="Tahoma" w:eastAsia="EUAlbertina-Regular-Identity-H" w:hAnsi="Tahoma" w:cs="Tahoma"/>
          <w:b/>
          <w:bCs/>
          <w:i/>
          <w:sz w:val="20"/>
          <w:szCs w:val="20"/>
        </w:rPr>
      </w:pPr>
    </w:p>
    <w:p w14:paraId="7586FAD7" w14:textId="77777777" w:rsidR="003D69A8" w:rsidRPr="005E1EA7" w:rsidRDefault="003D69A8" w:rsidP="003D69A8">
      <w:pPr>
        <w:pStyle w:val="Corpsdetexte"/>
        <w:rPr>
          <w:rFonts w:ascii="Tahoma" w:hAnsi="Tahoma" w:cs="Tahoma"/>
          <w:b/>
          <w:bCs/>
          <w:iCs/>
          <w:sz w:val="20"/>
          <w:szCs w:val="20"/>
        </w:rPr>
      </w:pPr>
      <w:r w:rsidRPr="005E1EA7">
        <w:rPr>
          <w:rFonts w:ascii="Tahoma" w:hAnsi="Tahoma" w:cs="Tahoma"/>
          <w:b/>
          <w:bCs/>
          <w:iCs/>
          <w:sz w:val="20"/>
          <w:szCs w:val="20"/>
        </w:rPr>
        <w:t xml:space="preserve">Les barèmes établis dans la présente annexe s'appliquent aux produits ou groupes de produits suivants, en fonction de critères d'évaluation spécifiques à chacun d'eux. </w:t>
      </w:r>
    </w:p>
    <w:p w14:paraId="56521279" w14:textId="77777777" w:rsidR="003D69A8" w:rsidRPr="005E1EA7" w:rsidRDefault="003D69A8" w:rsidP="003D69A8">
      <w:pPr>
        <w:pStyle w:val="Corpsdetexte"/>
        <w:rPr>
          <w:rFonts w:ascii="Tahoma" w:hAnsi="Tahoma" w:cs="Tahoma"/>
          <w:b/>
          <w:bCs/>
          <w:iCs/>
          <w:sz w:val="20"/>
          <w:szCs w:val="20"/>
        </w:rPr>
      </w:pPr>
    </w:p>
    <w:p w14:paraId="259B9C47" w14:textId="77777777" w:rsidR="003D69A8" w:rsidRPr="005E1EA7" w:rsidRDefault="003D69A8" w:rsidP="003D69A8">
      <w:pPr>
        <w:jc w:val="both"/>
        <w:rPr>
          <w:rFonts w:ascii="Tahoma" w:hAnsi="Tahoma" w:cs="Tahoma"/>
          <w:i/>
          <w:sz w:val="20"/>
          <w:szCs w:val="20"/>
        </w:rPr>
      </w:pPr>
      <w:r w:rsidRPr="005E1EA7">
        <w:rPr>
          <w:rFonts w:ascii="Tahoma" w:hAnsi="Tahoma" w:cs="Tahoma"/>
          <w:i/>
          <w:sz w:val="20"/>
          <w:szCs w:val="20"/>
        </w:rPr>
        <w:t>A. Poissons blancs   B. Poissons bleus   C. Sélaciens D. Céphalopodes E. Crustacés F. Mollusques bivalves</w:t>
      </w:r>
    </w:p>
    <w:p w14:paraId="5DC70DFB" w14:textId="77777777" w:rsidR="003D69A8" w:rsidRPr="005E1EA7" w:rsidRDefault="003D69A8" w:rsidP="003D69A8">
      <w:pPr>
        <w:jc w:val="both"/>
        <w:rPr>
          <w:rFonts w:ascii="Tahoma" w:hAnsi="Tahoma" w:cs="Tahoma"/>
          <w:i/>
          <w:sz w:val="20"/>
          <w:szCs w:val="20"/>
        </w:rPr>
      </w:pPr>
    </w:p>
    <w:p w14:paraId="38704D3F" w14:textId="77777777" w:rsidR="003D69A8" w:rsidRPr="005E1EA7" w:rsidRDefault="003D69A8" w:rsidP="003D69A8">
      <w:pPr>
        <w:numPr>
          <w:ilvl w:val="0"/>
          <w:numId w:val="4"/>
        </w:numPr>
        <w:rPr>
          <w:rFonts w:ascii="Tahoma" w:hAnsi="Tahoma" w:cs="Tahoma"/>
          <w:b/>
          <w:sz w:val="20"/>
          <w:szCs w:val="20"/>
        </w:rPr>
      </w:pPr>
      <w:r w:rsidRPr="005E1EA7">
        <w:rPr>
          <w:rFonts w:ascii="Tahoma" w:hAnsi="Tahoma" w:cs="Tahoma"/>
          <w:b/>
          <w:sz w:val="20"/>
          <w:szCs w:val="20"/>
        </w:rPr>
        <w:t xml:space="preserve">CRITERES POUR LES POISSONS BLANCS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3"/>
        <w:gridCol w:w="2393"/>
        <w:gridCol w:w="1718"/>
        <w:gridCol w:w="1842"/>
        <w:gridCol w:w="1843"/>
      </w:tblGrid>
      <w:tr w:rsidR="003D69A8" w:rsidRPr="005E1EA7" w14:paraId="04060782" w14:textId="77777777" w:rsidTr="006365F0">
        <w:trPr>
          <w:cantSplit/>
          <w:trHeight w:val="241"/>
        </w:trPr>
        <w:tc>
          <w:tcPr>
            <w:tcW w:w="1413" w:type="dxa"/>
            <w:vMerge w:val="restart"/>
          </w:tcPr>
          <w:p w14:paraId="4750356A" w14:textId="77777777" w:rsidR="003D69A8" w:rsidRPr="005E1EA7" w:rsidRDefault="003D69A8" w:rsidP="006365F0">
            <w:pPr>
              <w:jc w:val="both"/>
              <w:rPr>
                <w:rFonts w:ascii="Tahoma" w:hAnsi="Tahoma" w:cs="Tahoma"/>
                <w:i/>
                <w:sz w:val="20"/>
                <w:szCs w:val="20"/>
              </w:rPr>
            </w:pPr>
          </w:p>
        </w:tc>
        <w:tc>
          <w:tcPr>
            <w:tcW w:w="5953" w:type="dxa"/>
            <w:gridSpan w:val="3"/>
            <w:vAlign w:val="center"/>
          </w:tcPr>
          <w:p w14:paraId="6B1E00F1"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Catégories de fraîcheur</w:t>
            </w:r>
          </w:p>
        </w:tc>
        <w:tc>
          <w:tcPr>
            <w:tcW w:w="1843" w:type="dxa"/>
            <w:vMerge w:val="restart"/>
            <w:vAlign w:val="center"/>
          </w:tcPr>
          <w:p w14:paraId="79170ACB"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Non admis</w:t>
            </w:r>
          </w:p>
        </w:tc>
      </w:tr>
      <w:tr w:rsidR="003D69A8" w:rsidRPr="005E1EA7" w14:paraId="4E6C8A99" w14:textId="77777777" w:rsidTr="006365F0">
        <w:trPr>
          <w:cantSplit/>
          <w:trHeight w:val="273"/>
        </w:trPr>
        <w:tc>
          <w:tcPr>
            <w:tcW w:w="1413" w:type="dxa"/>
            <w:vMerge/>
          </w:tcPr>
          <w:p w14:paraId="765AC025" w14:textId="77777777" w:rsidR="003D69A8" w:rsidRPr="005E1EA7" w:rsidRDefault="003D69A8" w:rsidP="006365F0">
            <w:pPr>
              <w:jc w:val="both"/>
              <w:rPr>
                <w:rFonts w:ascii="Tahoma" w:hAnsi="Tahoma" w:cs="Tahoma"/>
                <w:i/>
                <w:sz w:val="20"/>
                <w:szCs w:val="20"/>
              </w:rPr>
            </w:pPr>
          </w:p>
        </w:tc>
        <w:tc>
          <w:tcPr>
            <w:tcW w:w="2393" w:type="dxa"/>
            <w:vAlign w:val="center"/>
          </w:tcPr>
          <w:p w14:paraId="128A34F2" w14:textId="77777777" w:rsidR="003D69A8" w:rsidRPr="005E1EA7" w:rsidRDefault="003D69A8" w:rsidP="006365F0">
            <w:pPr>
              <w:jc w:val="both"/>
              <w:rPr>
                <w:rFonts w:ascii="Tahoma" w:hAnsi="Tahoma" w:cs="Tahoma"/>
                <w:b/>
                <w:bCs/>
                <w:i/>
                <w:sz w:val="20"/>
                <w:szCs w:val="20"/>
              </w:rPr>
            </w:pPr>
            <w:r w:rsidRPr="005E1EA7">
              <w:rPr>
                <w:rFonts w:ascii="Tahoma" w:hAnsi="Tahoma" w:cs="Tahoma"/>
                <w:b/>
                <w:bCs/>
                <w:i/>
                <w:sz w:val="20"/>
                <w:szCs w:val="20"/>
              </w:rPr>
              <w:t>Extra</w:t>
            </w:r>
          </w:p>
        </w:tc>
        <w:tc>
          <w:tcPr>
            <w:tcW w:w="1718" w:type="dxa"/>
            <w:vAlign w:val="center"/>
          </w:tcPr>
          <w:p w14:paraId="5B1DD1CC" w14:textId="77777777" w:rsidR="003D69A8" w:rsidRPr="005E1EA7" w:rsidRDefault="003D69A8" w:rsidP="006365F0">
            <w:pPr>
              <w:jc w:val="both"/>
              <w:rPr>
                <w:rFonts w:ascii="Tahoma" w:hAnsi="Tahoma" w:cs="Tahoma"/>
                <w:b/>
                <w:bCs/>
                <w:i/>
                <w:sz w:val="20"/>
                <w:szCs w:val="20"/>
                <w:lang w:val="en-GB"/>
              </w:rPr>
            </w:pPr>
            <w:r w:rsidRPr="005E1EA7">
              <w:rPr>
                <w:rFonts w:ascii="Tahoma" w:hAnsi="Tahoma" w:cs="Tahoma"/>
                <w:b/>
                <w:bCs/>
                <w:i/>
                <w:sz w:val="20"/>
                <w:szCs w:val="20"/>
                <w:lang w:val="en-GB"/>
              </w:rPr>
              <w:t>A</w:t>
            </w:r>
          </w:p>
        </w:tc>
        <w:tc>
          <w:tcPr>
            <w:tcW w:w="1842" w:type="dxa"/>
          </w:tcPr>
          <w:p w14:paraId="22066D8E" w14:textId="77777777" w:rsidR="003D69A8" w:rsidRPr="005E1EA7" w:rsidRDefault="003D69A8" w:rsidP="006365F0">
            <w:pPr>
              <w:jc w:val="both"/>
              <w:rPr>
                <w:rFonts w:ascii="Tahoma" w:hAnsi="Tahoma" w:cs="Tahoma"/>
                <w:b/>
                <w:bCs/>
                <w:i/>
                <w:sz w:val="20"/>
                <w:szCs w:val="20"/>
                <w:lang w:val="en-GB"/>
              </w:rPr>
            </w:pPr>
            <w:r w:rsidRPr="005E1EA7">
              <w:rPr>
                <w:rFonts w:ascii="Tahoma" w:hAnsi="Tahoma" w:cs="Tahoma"/>
                <w:b/>
                <w:bCs/>
                <w:i/>
                <w:sz w:val="20"/>
                <w:szCs w:val="20"/>
                <w:lang w:val="en-GB"/>
              </w:rPr>
              <w:t>B</w:t>
            </w:r>
          </w:p>
        </w:tc>
        <w:tc>
          <w:tcPr>
            <w:tcW w:w="1843" w:type="dxa"/>
            <w:vMerge/>
            <w:vAlign w:val="center"/>
          </w:tcPr>
          <w:p w14:paraId="6BA5B062" w14:textId="77777777" w:rsidR="003D69A8" w:rsidRPr="005E1EA7" w:rsidRDefault="003D69A8" w:rsidP="006365F0">
            <w:pPr>
              <w:jc w:val="both"/>
              <w:rPr>
                <w:rFonts w:ascii="Tahoma" w:hAnsi="Tahoma" w:cs="Tahoma"/>
                <w:i/>
                <w:sz w:val="20"/>
                <w:szCs w:val="20"/>
                <w:lang w:val="en-GB"/>
              </w:rPr>
            </w:pPr>
          </w:p>
        </w:tc>
      </w:tr>
      <w:tr w:rsidR="003D69A8" w:rsidRPr="005E1EA7" w14:paraId="22A4E16A" w14:textId="77777777" w:rsidTr="006365F0">
        <w:trPr>
          <w:trHeight w:val="986"/>
        </w:trPr>
        <w:tc>
          <w:tcPr>
            <w:tcW w:w="1413" w:type="dxa"/>
            <w:vAlign w:val="center"/>
          </w:tcPr>
          <w:p w14:paraId="350DF81C" w14:textId="77777777" w:rsidR="003D69A8" w:rsidRPr="005E1EA7" w:rsidRDefault="003D69A8" w:rsidP="006365F0">
            <w:pPr>
              <w:jc w:val="both"/>
              <w:rPr>
                <w:rFonts w:ascii="Tahoma" w:hAnsi="Tahoma" w:cs="Tahoma"/>
                <w:i/>
                <w:sz w:val="20"/>
                <w:szCs w:val="20"/>
                <w:lang w:val="en-GB"/>
              </w:rPr>
            </w:pPr>
            <w:r w:rsidRPr="005E1EA7">
              <w:rPr>
                <w:rFonts w:ascii="Tahoma" w:hAnsi="Tahoma" w:cs="Tahoma"/>
                <w:i/>
                <w:sz w:val="20"/>
                <w:szCs w:val="20"/>
                <w:lang w:val="en-GB"/>
              </w:rPr>
              <w:t>Peau</w:t>
            </w:r>
          </w:p>
        </w:tc>
        <w:tc>
          <w:tcPr>
            <w:tcW w:w="2393" w:type="dxa"/>
            <w:vAlign w:val="center"/>
          </w:tcPr>
          <w:p w14:paraId="73F40C8E"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Pigmentation vive et iridescente (sauf pour les sébastes) ou opalescente, pas de décoloration</w:t>
            </w:r>
          </w:p>
        </w:tc>
        <w:tc>
          <w:tcPr>
            <w:tcW w:w="1718" w:type="dxa"/>
            <w:vAlign w:val="center"/>
          </w:tcPr>
          <w:p w14:paraId="7492A13D"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Pigmentation vive mais sans éclat</w:t>
            </w:r>
          </w:p>
        </w:tc>
        <w:tc>
          <w:tcPr>
            <w:tcW w:w="1842" w:type="dxa"/>
            <w:vAlign w:val="center"/>
          </w:tcPr>
          <w:p w14:paraId="38409287"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Pigmentation ternie en voie de décoloration</w:t>
            </w:r>
          </w:p>
        </w:tc>
        <w:tc>
          <w:tcPr>
            <w:tcW w:w="1843" w:type="dxa"/>
            <w:vAlign w:val="center"/>
          </w:tcPr>
          <w:p w14:paraId="20421824"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Pigmentation ternie (1)</w:t>
            </w:r>
          </w:p>
        </w:tc>
      </w:tr>
      <w:tr w:rsidR="003D69A8" w:rsidRPr="005E1EA7" w14:paraId="29D4212A" w14:textId="77777777" w:rsidTr="006365F0">
        <w:trPr>
          <w:trHeight w:val="277"/>
        </w:trPr>
        <w:tc>
          <w:tcPr>
            <w:tcW w:w="1413" w:type="dxa"/>
            <w:vAlign w:val="center"/>
          </w:tcPr>
          <w:p w14:paraId="2A686C29"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 xml:space="preserve">Mucus cutané </w:t>
            </w:r>
          </w:p>
        </w:tc>
        <w:tc>
          <w:tcPr>
            <w:tcW w:w="2393" w:type="dxa"/>
            <w:vAlign w:val="center"/>
          </w:tcPr>
          <w:p w14:paraId="030A33C5"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 xml:space="preserve">Aqueux, transparent </w:t>
            </w:r>
          </w:p>
        </w:tc>
        <w:tc>
          <w:tcPr>
            <w:tcW w:w="1718" w:type="dxa"/>
            <w:vAlign w:val="center"/>
          </w:tcPr>
          <w:p w14:paraId="3970BBFF"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 xml:space="preserve">Légèrement trouble </w:t>
            </w:r>
          </w:p>
        </w:tc>
        <w:tc>
          <w:tcPr>
            <w:tcW w:w="1842" w:type="dxa"/>
            <w:vAlign w:val="center"/>
          </w:tcPr>
          <w:p w14:paraId="34E8FEA8"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 xml:space="preserve">Laiteux </w:t>
            </w:r>
          </w:p>
        </w:tc>
        <w:tc>
          <w:tcPr>
            <w:tcW w:w="1843" w:type="dxa"/>
            <w:vAlign w:val="center"/>
          </w:tcPr>
          <w:p w14:paraId="697E356A"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 xml:space="preserve">Gris jaunâtre, opaque </w:t>
            </w:r>
          </w:p>
        </w:tc>
      </w:tr>
      <w:tr w:rsidR="003D69A8" w:rsidRPr="005E1EA7" w14:paraId="5B5ADFC4" w14:textId="77777777" w:rsidTr="006365F0">
        <w:trPr>
          <w:trHeight w:val="834"/>
        </w:trPr>
        <w:tc>
          <w:tcPr>
            <w:tcW w:w="1413" w:type="dxa"/>
            <w:vAlign w:val="center"/>
          </w:tcPr>
          <w:p w14:paraId="4A091330"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lastRenderedPageBreak/>
              <w:t xml:space="preserve">Œil </w:t>
            </w:r>
          </w:p>
        </w:tc>
        <w:tc>
          <w:tcPr>
            <w:tcW w:w="2393" w:type="dxa"/>
            <w:vAlign w:val="center"/>
          </w:tcPr>
          <w:p w14:paraId="5931E47D"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 xml:space="preserve">Convexe (bombé), pupille noire brillante,cornée transparente </w:t>
            </w:r>
          </w:p>
        </w:tc>
        <w:tc>
          <w:tcPr>
            <w:tcW w:w="1718" w:type="dxa"/>
            <w:vAlign w:val="center"/>
          </w:tcPr>
          <w:p w14:paraId="6A177742"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 xml:space="preserve">Convexe et légèrement affaissé, pupille noire ternie, cornée légèrement opalescente </w:t>
            </w:r>
          </w:p>
        </w:tc>
        <w:tc>
          <w:tcPr>
            <w:tcW w:w="1842" w:type="dxa"/>
            <w:vAlign w:val="center"/>
          </w:tcPr>
          <w:p w14:paraId="214715BD"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 xml:space="preserve">Plat, cornée opalescente, pupille opaque </w:t>
            </w:r>
          </w:p>
        </w:tc>
        <w:tc>
          <w:tcPr>
            <w:tcW w:w="1843" w:type="dxa"/>
            <w:vAlign w:val="center"/>
          </w:tcPr>
          <w:p w14:paraId="3F19C9AE"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 xml:space="preserve">Concave au centre, pupille grise, cornée laiteuse (1) </w:t>
            </w:r>
          </w:p>
        </w:tc>
      </w:tr>
      <w:tr w:rsidR="003D69A8" w:rsidRPr="005E1EA7" w14:paraId="495915D4" w14:textId="77777777" w:rsidTr="006365F0">
        <w:trPr>
          <w:trHeight w:val="566"/>
        </w:trPr>
        <w:tc>
          <w:tcPr>
            <w:tcW w:w="1413" w:type="dxa"/>
            <w:vAlign w:val="center"/>
          </w:tcPr>
          <w:p w14:paraId="48474DF3"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 xml:space="preserve">Branchies </w:t>
            </w:r>
          </w:p>
        </w:tc>
        <w:tc>
          <w:tcPr>
            <w:tcW w:w="2393" w:type="dxa"/>
            <w:vAlign w:val="center"/>
          </w:tcPr>
          <w:p w14:paraId="728644C2"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 xml:space="preserve">Couleur vive, pas de mucus </w:t>
            </w:r>
          </w:p>
        </w:tc>
        <w:tc>
          <w:tcPr>
            <w:tcW w:w="1718" w:type="dxa"/>
            <w:vAlign w:val="center"/>
          </w:tcPr>
          <w:p w14:paraId="2408AC62" w14:textId="77777777" w:rsidR="003D69A8" w:rsidRPr="005E1EA7" w:rsidRDefault="003D69A8" w:rsidP="006365F0">
            <w:pPr>
              <w:rPr>
                <w:rFonts w:ascii="Tahoma" w:hAnsi="Tahoma" w:cs="Tahoma"/>
                <w:i/>
                <w:sz w:val="20"/>
                <w:szCs w:val="20"/>
              </w:rPr>
            </w:pPr>
            <w:r w:rsidRPr="005E1EA7">
              <w:rPr>
                <w:rFonts w:ascii="Tahoma" w:hAnsi="Tahoma" w:cs="Tahoma"/>
                <w:i/>
                <w:sz w:val="20"/>
                <w:szCs w:val="20"/>
              </w:rPr>
              <w:t xml:space="preserve">Moins colorées ; mucus transparent </w:t>
            </w:r>
          </w:p>
        </w:tc>
        <w:tc>
          <w:tcPr>
            <w:tcW w:w="1842" w:type="dxa"/>
            <w:vAlign w:val="center"/>
          </w:tcPr>
          <w:p w14:paraId="7BC9E046"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 xml:space="preserve">Brun/gris se décolorant, mucus opaque et épais </w:t>
            </w:r>
          </w:p>
        </w:tc>
        <w:tc>
          <w:tcPr>
            <w:tcW w:w="1843" w:type="dxa"/>
            <w:vAlign w:val="center"/>
          </w:tcPr>
          <w:p w14:paraId="0AADD1DF"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 xml:space="preserve">Jaunâtre, mucus laiteux (1) </w:t>
            </w:r>
          </w:p>
        </w:tc>
      </w:tr>
      <w:tr w:rsidR="003D69A8" w:rsidRPr="005E1EA7" w14:paraId="1F479CF9" w14:textId="77777777" w:rsidTr="006365F0">
        <w:trPr>
          <w:trHeight w:val="718"/>
        </w:trPr>
        <w:tc>
          <w:tcPr>
            <w:tcW w:w="1413" w:type="dxa"/>
            <w:vAlign w:val="center"/>
          </w:tcPr>
          <w:p w14:paraId="79A73A3B"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 xml:space="preserve">Péritoine (dans le poisson éviscéré) </w:t>
            </w:r>
          </w:p>
        </w:tc>
        <w:tc>
          <w:tcPr>
            <w:tcW w:w="2393" w:type="dxa"/>
            <w:vAlign w:val="center"/>
          </w:tcPr>
          <w:p w14:paraId="1F71EFEF"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 xml:space="preserve">Lisse, brillant, difficile à détacher de la chair </w:t>
            </w:r>
          </w:p>
        </w:tc>
        <w:tc>
          <w:tcPr>
            <w:tcW w:w="1718" w:type="dxa"/>
            <w:vAlign w:val="center"/>
          </w:tcPr>
          <w:p w14:paraId="710E5918"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 xml:space="preserve">Un peu terni ; peut être détaché de la chair </w:t>
            </w:r>
          </w:p>
        </w:tc>
        <w:tc>
          <w:tcPr>
            <w:tcW w:w="1842" w:type="dxa"/>
            <w:vAlign w:val="center"/>
          </w:tcPr>
          <w:p w14:paraId="4E7CF38A" w14:textId="77777777" w:rsidR="003D69A8" w:rsidRPr="005E1EA7" w:rsidRDefault="003D69A8" w:rsidP="006365F0">
            <w:pPr>
              <w:ind w:left="-26"/>
              <w:jc w:val="both"/>
              <w:rPr>
                <w:rFonts w:ascii="Tahoma" w:hAnsi="Tahoma" w:cs="Tahoma"/>
                <w:i/>
                <w:sz w:val="20"/>
                <w:szCs w:val="20"/>
              </w:rPr>
            </w:pPr>
            <w:r w:rsidRPr="005E1EA7">
              <w:rPr>
                <w:rFonts w:ascii="Tahoma" w:hAnsi="Tahoma" w:cs="Tahoma"/>
                <w:i/>
                <w:sz w:val="20"/>
                <w:szCs w:val="20"/>
              </w:rPr>
              <w:t xml:space="preserve">Tacheté, se détachant facilement de la chair </w:t>
            </w:r>
          </w:p>
        </w:tc>
        <w:tc>
          <w:tcPr>
            <w:tcW w:w="1843" w:type="dxa"/>
            <w:vAlign w:val="center"/>
          </w:tcPr>
          <w:p w14:paraId="2A97DEB5"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 xml:space="preserve">Ne colle pas (1) </w:t>
            </w:r>
          </w:p>
        </w:tc>
      </w:tr>
    </w:tbl>
    <w:p w14:paraId="195DC06B" w14:textId="77777777" w:rsidR="003D69A8" w:rsidRPr="005E1EA7" w:rsidRDefault="003D69A8" w:rsidP="003D69A8">
      <w:pPr>
        <w:pStyle w:val="Default"/>
        <w:jc w:val="right"/>
        <w:rPr>
          <w:rFonts w:ascii="Tahoma" w:hAnsi="Tahoma" w:cs="Tahoma"/>
          <w:i/>
          <w:color w:val="auto"/>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1"/>
        <w:gridCol w:w="1617"/>
        <w:gridCol w:w="1617"/>
        <w:gridCol w:w="1600"/>
        <w:gridCol w:w="1984"/>
      </w:tblGrid>
      <w:tr w:rsidR="003D69A8" w:rsidRPr="005E1EA7" w14:paraId="17332F00" w14:textId="77777777" w:rsidTr="006365F0">
        <w:trPr>
          <w:cantSplit/>
          <w:trHeight w:val="351"/>
        </w:trPr>
        <w:tc>
          <w:tcPr>
            <w:tcW w:w="2391" w:type="dxa"/>
            <w:vMerge w:val="restart"/>
            <w:vAlign w:val="center"/>
          </w:tcPr>
          <w:p w14:paraId="3CAB990B" w14:textId="77777777" w:rsidR="003D69A8" w:rsidRPr="005E1EA7" w:rsidRDefault="003D69A8" w:rsidP="006365F0">
            <w:pPr>
              <w:jc w:val="both"/>
              <w:rPr>
                <w:rFonts w:ascii="Tahoma" w:hAnsi="Tahoma" w:cs="Tahoma"/>
                <w:i/>
                <w:sz w:val="20"/>
                <w:szCs w:val="20"/>
              </w:rPr>
            </w:pPr>
          </w:p>
        </w:tc>
        <w:tc>
          <w:tcPr>
            <w:tcW w:w="4834" w:type="dxa"/>
            <w:gridSpan w:val="3"/>
            <w:vAlign w:val="center"/>
          </w:tcPr>
          <w:p w14:paraId="1E1B2279"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Catégories de fraîcheur</w:t>
            </w:r>
          </w:p>
        </w:tc>
        <w:tc>
          <w:tcPr>
            <w:tcW w:w="1984" w:type="dxa"/>
            <w:vMerge w:val="restart"/>
            <w:vAlign w:val="center"/>
          </w:tcPr>
          <w:p w14:paraId="12064FE1"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Non admis</w:t>
            </w:r>
          </w:p>
        </w:tc>
      </w:tr>
      <w:tr w:rsidR="003D69A8" w:rsidRPr="005E1EA7" w14:paraId="3118CE37" w14:textId="77777777" w:rsidTr="006365F0">
        <w:trPr>
          <w:cantSplit/>
          <w:trHeight w:val="271"/>
        </w:trPr>
        <w:tc>
          <w:tcPr>
            <w:tcW w:w="2391" w:type="dxa"/>
            <w:vMerge/>
            <w:vAlign w:val="center"/>
          </w:tcPr>
          <w:p w14:paraId="219ED8AF" w14:textId="77777777" w:rsidR="003D69A8" w:rsidRPr="005E1EA7" w:rsidRDefault="003D69A8" w:rsidP="006365F0">
            <w:pPr>
              <w:jc w:val="both"/>
              <w:rPr>
                <w:rFonts w:ascii="Tahoma" w:hAnsi="Tahoma" w:cs="Tahoma"/>
                <w:i/>
                <w:sz w:val="20"/>
                <w:szCs w:val="20"/>
              </w:rPr>
            </w:pPr>
          </w:p>
        </w:tc>
        <w:tc>
          <w:tcPr>
            <w:tcW w:w="1617" w:type="dxa"/>
            <w:vAlign w:val="center"/>
          </w:tcPr>
          <w:p w14:paraId="65EB8890"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Extra</w:t>
            </w:r>
          </w:p>
        </w:tc>
        <w:tc>
          <w:tcPr>
            <w:tcW w:w="1617" w:type="dxa"/>
            <w:vAlign w:val="center"/>
          </w:tcPr>
          <w:p w14:paraId="17E2F819"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A</w:t>
            </w:r>
          </w:p>
        </w:tc>
        <w:tc>
          <w:tcPr>
            <w:tcW w:w="1600" w:type="dxa"/>
            <w:vAlign w:val="center"/>
          </w:tcPr>
          <w:p w14:paraId="79548D41"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B</w:t>
            </w:r>
          </w:p>
        </w:tc>
        <w:tc>
          <w:tcPr>
            <w:tcW w:w="1984" w:type="dxa"/>
            <w:vMerge/>
            <w:vAlign w:val="center"/>
          </w:tcPr>
          <w:p w14:paraId="3BBBDCF7" w14:textId="77777777" w:rsidR="003D69A8" w:rsidRPr="005E1EA7" w:rsidRDefault="003D69A8" w:rsidP="006365F0">
            <w:pPr>
              <w:jc w:val="both"/>
              <w:rPr>
                <w:rFonts w:ascii="Tahoma" w:hAnsi="Tahoma" w:cs="Tahoma"/>
                <w:i/>
                <w:sz w:val="20"/>
                <w:szCs w:val="20"/>
              </w:rPr>
            </w:pPr>
          </w:p>
        </w:tc>
      </w:tr>
      <w:tr w:rsidR="003D69A8" w:rsidRPr="005E1EA7" w14:paraId="7AE8C106" w14:textId="77777777" w:rsidTr="006365F0">
        <w:trPr>
          <w:trHeight w:val="558"/>
        </w:trPr>
        <w:tc>
          <w:tcPr>
            <w:tcW w:w="2391" w:type="dxa"/>
            <w:vAlign w:val="center"/>
          </w:tcPr>
          <w:p w14:paraId="1FABEFB2"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 xml:space="preserve">Odeur des branchies et de la cavité abdominale </w:t>
            </w:r>
          </w:p>
        </w:tc>
        <w:tc>
          <w:tcPr>
            <w:tcW w:w="1617" w:type="dxa"/>
            <w:vAlign w:val="center"/>
          </w:tcPr>
          <w:p w14:paraId="22173FBB" w14:textId="77777777" w:rsidR="003D69A8" w:rsidRPr="005E1EA7" w:rsidRDefault="003D69A8" w:rsidP="006365F0">
            <w:pPr>
              <w:jc w:val="both"/>
              <w:rPr>
                <w:rFonts w:ascii="Tahoma" w:hAnsi="Tahoma" w:cs="Tahoma"/>
                <w:i/>
                <w:sz w:val="20"/>
                <w:szCs w:val="20"/>
              </w:rPr>
            </w:pPr>
          </w:p>
        </w:tc>
        <w:tc>
          <w:tcPr>
            <w:tcW w:w="1617" w:type="dxa"/>
            <w:vAlign w:val="center"/>
          </w:tcPr>
          <w:p w14:paraId="70F4A805" w14:textId="77777777" w:rsidR="003D69A8" w:rsidRPr="005E1EA7" w:rsidRDefault="003D69A8" w:rsidP="006365F0">
            <w:pPr>
              <w:jc w:val="both"/>
              <w:rPr>
                <w:rFonts w:ascii="Tahoma" w:hAnsi="Tahoma" w:cs="Tahoma"/>
                <w:i/>
                <w:sz w:val="20"/>
                <w:szCs w:val="20"/>
              </w:rPr>
            </w:pPr>
          </w:p>
        </w:tc>
        <w:tc>
          <w:tcPr>
            <w:tcW w:w="1600" w:type="dxa"/>
            <w:vAlign w:val="center"/>
          </w:tcPr>
          <w:p w14:paraId="74DEC5C5" w14:textId="77777777" w:rsidR="003D69A8" w:rsidRPr="005E1EA7" w:rsidRDefault="003D69A8" w:rsidP="006365F0">
            <w:pPr>
              <w:jc w:val="both"/>
              <w:rPr>
                <w:rFonts w:ascii="Tahoma" w:hAnsi="Tahoma" w:cs="Tahoma"/>
                <w:i/>
                <w:sz w:val="20"/>
                <w:szCs w:val="20"/>
              </w:rPr>
            </w:pPr>
          </w:p>
        </w:tc>
        <w:tc>
          <w:tcPr>
            <w:tcW w:w="1984" w:type="dxa"/>
            <w:vAlign w:val="center"/>
          </w:tcPr>
          <w:p w14:paraId="2155FD72"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 xml:space="preserve">(1) </w:t>
            </w:r>
          </w:p>
        </w:tc>
      </w:tr>
      <w:tr w:rsidR="003D69A8" w:rsidRPr="005E1EA7" w14:paraId="754D9C7A" w14:textId="77777777" w:rsidTr="006365F0">
        <w:trPr>
          <w:trHeight w:val="841"/>
        </w:trPr>
        <w:tc>
          <w:tcPr>
            <w:tcW w:w="2391" w:type="dxa"/>
            <w:vAlign w:val="center"/>
          </w:tcPr>
          <w:p w14:paraId="4E41EF60"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 poissons blancs sauf plie ou carrelet</w:t>
            </w:r>
          </w:p>
          <w:p w14:paraId="52891ACD" w14:textId="77777777" w:rsidR="003D69A8" w:rsidRPr="005E1EA7" w:rsidRDefault="003D69A8" w:rsidP="006365F0">
            <w:pPr>
              <w:jc w:val="both"/>
              <w:rPr>
                <w:rFonts w:ascii="Tahoma" w:hAnsi="Tahoma" w:cs="Tahoma"/>
                <w:i/>
                <w:sz w:val="20"/>
                <w:szCs w:val="20"/>
              </w:rPr>
            </w:pPr>
          </w:p>
          <w:p w14:paraId="70D61E02" w14:textId="77777777" w:rsidR="003D69A8" w:rsidRPr="005E1EA7" w:rsidRDefault="003D69A8" w:rsidP="006365F0">
            <w:pPr>
              <w:jc w:val="both"/>
              <w:rPr>
                <w:rFonts w:ascii="Tahoma" w:hAnsi="Tahoma" w:cs="Tahoma"/>
                <w:i/>
                <w:sz w:val="20"/>
                <w:szCs w:val="20"/>
              </w:rPr>
            </w:pPr>
          </w:p>
          <w:p w14:paraId="614A3660" w14:textId="77777777" w:rsidR="003D69A8" w:rsidRPr="005E1EA7" w:rsidRDefault="003D69A8" w:rsidP="006365F0">
            <w:pPr>
              <w:jc w:val="both"/>
              <w:rPr>
                <w:rFonts w:ascii="Tahoma" w:hAnsi="Tahoma" w:cs="Tahoma"/>
                <w:i/>
                <w:sz w:val="20"/>
                <w:szCs w:val="20"/>
              </w:rPr>
            </w:pPr>
          </w:p>
          <w:p w14:paraId="7714E041"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 xml:space="preserve">— Plie ou carrelet </w:t>
            </w:r>
          </w:p>
        </w:tc>
        <w:tc>
          <w:tcPr>
            <w:tcW w:w="1617" w:type="dxa"/>
            <w:vAlign w:val="center"/>
          </w:tcPr>
          <w:p w14:paraId="76EC2694"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D'algues marines</w:t>
            </w:r>
          </w:p>
          <w:p w14:paraId="5C90FD77" w14:textId="77777777" w:rsidR="003D69A8" w:rsidRPr="005E1EA7" w:rsidRDefault="003D69A8" w:rsidP="006365F0">
            <w:pPr>
              <w:jc w:val="both"/>
              <w:rPr>
                <w:rFonts w:ascii="Tahoma" w:hAnsi="Tahoma" w:cs="Tahoma"/>
                <w:i/>
                <w:sz w:val="20"/>
                <w:szCs w:val="20"/>
              </w:rPr>
            </w:pPr>
          </w:p>
          <w:p w14:paraId="4158A841" w14:textId="77777777" w:rsidR="003D69A8" w:rsidRPr="005E1EA7" w:rsidRDefault="003D69A8" w:rsidP="006365F0">
            <w:pPr>
              <w:jc w:val="both"/>
              <w:rPr>
                <w:rFonts w:ascii="Tahoma" w:hAnsi="Tahoma" w:cs="Tahoma"/>
                <w:i/>
                <w:sz w:val="20"/>
                <w:szCs w:val="20"/>
              </w:rPr>
            </w:pPr>
          </w:p>
          <w:p w14:paraId="013BA048" w14:textId="77777777" w:rsidR="003D69A8" w:rsidRPr="005E1EA7" w:rsidRDefault="003D69A8" w:rsidP="006365F0">
            <w:pPr>
              <w:jc w:val="both"/>
              <w:rPr>
                <w:rFonts w:ascii="Tahoma" w:hAnsi="Tahoma" w:cs="Tahoma"/>
                <w:i/>
                <w:sz w:val="20"/>
                <w:szCs w:val="20"/>
              </w:rPr>
            </w:pPr>
          </w:p>
          <w:p w14:paraId="67809563" w14:textId="77777777" w:rsidR="003D69A8" w:rsidRPr="005E1EA7" w:rsidRDefault="003D69A8" w:rsidP="006365F0">
            <w:pPr>
              <w:jc w:val="both"/>
              <w:rPr>
                <w:rFonts w:ascii="Tahoma" w:hAnsi="Tahoma" w:cs="Tahoma"/>
                <w:i/>
                <w:sz w:val="20"/>
                <w:szCs w:val="20"/>
              </w:rPr>
            </w:pPr>
          </w:p>
          <w:p w14:paraId="4AEFEFC0"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 xml:space="preserve">D'huile fraîche; poivrée, odeur de terre </w:t>
            </w:r>
          </w:p>
        </w:tc>
        <w:tc>
          <w:tcPr>
            <w:tcW w:w="1617" w:type="dxa"/>
            <w:vAlign w:val="center"/>
          </w:tcPr>
          <w:p w14:paraId="71CD768F"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Absence d'odeur d'algues marines, odeur neutre</w:t>
            </w:r>
          </w:p>
          <w:p w14:paraId="724A35AC" w14:textId="77777777" w:rsidR="003D69A8" w:rsidRPr="005E1EA7" w:rsidRDefault="003D69A8" w:rsidP="006365F0">
            <w:pPr>
              <w:jc w:val="both"/>
              <w:rPr>
                <w:rFonts w:ascii="Tahoma" w:hAnsi="Tahoma" w:cs="Tahoma"/>
                <w:i/>
                <w:sz w:val="20"/>
                <w:szCs w:val="20"/>
              </w:rPr>
            </w:pPr>
          </w:p>
          <w:p w14:paraId="23F9ECB7"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 xml:space="preserve">D'huile; d'algues marines ou légèrement douceâtre </w:t>
            </w:r>
          </w:p>
        </w:tc>
        <w:tc>
          <w:tcPr>
            <w:tcW w:w="1600" w:type="dxa"/>
            <w:vAlign w:val="center"/>
          </w:tcPr>
          <w:p w14:paraId="45FAEB3E" w14:textId="77777777" w:rsidR="003D69A8" w:rsidRPr="005E1EA7" w:rsidRDefault="003D69A8" w:rsidP="006365F0">
            <w:pPr>
              <w:rPr>
                <w:rFonts w:ascii="Tahoma" w:hAnsi="Tahoma" w:cs="Tahoma"/>
                <w:i/>
                <w:sz w:val="20"/>
                <w:szCs w:val="20"/>
              </w:rPr>
            </w:pPr>
            <w:r w:rsidRPr="005E1EA7">
              <w:rPr>
                <w:rFonts w:ascii="Tahoma" w:hAnsi="Tahoma" w:cs="Tahoma"/>
                <w:i/>
                <w:sz w:val="20"/>
                <w:szCs w:val="20"/>
              </w:rPr>
              <w:t xml:space="preserve">Fermentée ; légèrement aigre </w:t>
            </w:r>
          </w:p>
          <w:p w14:paraId="461F7D4B" w14:textId="77777777" w:rsidR="003D69A8" w:rsidRPr="005E1EA7" w:rsidRDefault="003D69A8" w:rsidP="006365F0">
            <w:pPr>
              <w:jc w:val="both"/>
              <w:rPr>
                <w:rFonts w:ascii="Tahoma" w:hAnsi="Tahoma" w:cs="Tahoma"/>
                <w:i/>
                <w:sz w:val="20"/>
                <w:szCs w:val="20"/>
              </w:rPr>
            </w:pPr>
          </w:p>
          <w:p w14:paraId="411682EF" w14:textId="77777777" w:rsidR="003D69A8" w:rsidRPr="005E1EA7" w:rsidRDefault="003D69A8" w:rsidP="006365F0">
            <w:pPr>
              <w:jc w:val="both"/>
              <w:rPr>
                <w:rFonts w:ascii="Tahoma" w:hAnsi="Tahoma" w:cs="Tahoma"/>
                <w:i/>
                <w:sz w:val="20"/>
                <w:szCs w:val="20"/>
              </w:rPr>
            </w:pPr>
          </w:p>
          <w:p w14:paraId="17A9D8C1" w14:textId="77777777" w:rsidR="003D69A8" w:rsidRPr="005E1EA7" w:rsidRDefault="003D69A8" w:rsidP="006365F0">
            <w:pPr>
              <w:jc w:val="both"/>
              <w:rPr>
                <w:rFonts w:ascii="Tahoma" w:hAnsi="Tahoma" w:cs="Tahoma"/>
                <w:i/>
                <w:sz w:val="20"/>
                <w:szCs w:val="20"/>
              </w:rPr>
            </w:pPr>
          </w:p>
          <w:p w14:paraId="69ED13FD"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 xml:space="preserve">D'huile, fermentée, défraîchie, un peu rance </w:t>
            </w:r>
          </w:p>
        </w:tc>
        <w:tc>
          <w:tcPr>
            <w:tcW w:w="1984" w:type="dxa"/>
          </w:tcPr>
          <w:p w14:paraId="4724D3BC" w14:textId="77777777" w:rsidR="003D69A8" w:rsidRPr="005E1EA7" w:rsidRDefault="003D69A8" w:rsidP="006365F0">
            <w:pPr>
              <w:rPr>
                <w:rFonts w:ascii="Tahoma" w:hAnsi="Tahoma" w:cs="Tahoma"/>
                <w:i/>
                <w:sz w:val="20"/>
                <w:szCs w:val="20"/>
              </w:rPr>
            </w:pPr>
            <w:r w:rsidRPr="005E1EA7">
              <w:rPr>
                <w:rFonts w:ascii="Tahoma" w:hAnsi="Tahoma" w:cs="Tahoma"/>
                <w:i/>
                <w:sz w:val="20"/>
                <w:szCs w:val="20"/>
              </w:rPr>
              <w:t xml:space="preserve">Aigre </w:t>
            </w:r>
          </w:p>
          <w:p w14:paraId="6ADBB2AE" w14:textId="77777777" w:rsidR="003D69A8" w:rsidRPr="005E1EA7" w:rsidRDefault="003D69A8" w:rsidP="006365F0">
            <w:pPr>
              <w:rPr>
                <w:rFonts w:ascii="Tahoma" w:hAnsi="Tahoma" w:cs="Tahoma"/>
                <w:i/>
                <w:sz w:val="20"/>
                <w:szCs w:val="20"/>
              </w:rPr>
            </w:pPr>
          </w:p>
          <w:p w14:paraId="09629FD2" w14:textId="77777777" w:rsidR="003D69A8" w:rsidRPr="005E1EA7" w:rsidRDefault="003D69A8" w:rsidP="006365F0">
            <w:pPr>
              <w:rPr>
                <w:rFonts w:ascii="Tahoma" w:hAnsi="Tahoma" w:cs="Tahoma"/>
                <w:i/>
                <w:sz w:val="20"/>
                <w:szCs w:val="20"/>
              </w:rPr>
            </w:pPr>
          </w:p>
          <w:p w14:paraId="2799F044" w14:textId="77777777" w:rsidR="003D69A8" w:rsidRPr="005E1EA7" w:rsidRDefault="003D69A8" w:rsidP="006365F0">
            <w:pPr>
              <w:rPr>
                <w:rFonts w:ascii="Tahoma" w:hAnsi="Tahoma" w:cs="Tahoma"/>
                <w:i/>
                <w:sz w:val="20"/>
                <w:szCs w:val="20"/>
              </w:rPr>
            </w:pPr>
          </w:p>
          <w:p w14:paraId="57A3244A" w14:textId="77777777" w:rsidR="003D69A8" w:rsidRPr="005E1EA7" w:rsidRDefault="003D69A8" w:rsidP="006365F0">
            <w:pPr>
              <w:rPr>
                <w:rFonts w:ascii="Tahoma" w:hAnsi="Tahoma" w:cs="Tahoma"/>
                <w:i/>
                <w:sz w:val="20"/>
                <w:szCs w:val="20"/>
              </w:rPr>
            </w:pPr>
          </w:p>
          <w:p w14:paraId="28B3FE94" w14:textId="77777777" w:rsidR="003D69A8" w:rsidRPr="005E1EA7" w:rsidRDefault="003D69A8" w:rsidP="006365F0">
            <w:pPr>
              <w:rPr>
                <w:rFonts w:ascii="Tahoma" w:hAnsi="Tahoma" w:cs="Tahoma"/>
                <w:i/>
                <w:sz w:val="20"/>
                <w:szCs w:val="20"/>
              </w:rPr>
            </w:pPr>
            <w:r w:rsidRPr="005E1EA7">
              <w:rPr>
                <w:rFonts w:ascii="Tahoma" w:hAnsi="Tahoma" w:cs="Tahoma"/>
                <w:i/>
                <w:sz w:val="20"/>
                <w:szCs w:val="20"/>
              </w:rPr>
              <w:t>Aigre</w:t>
            </w:r>
          </w:p>
          <w:p w14:paraId="1C3A497C" w14:textId="77777777" w:rsidR="003D69A8" w:rsidRPr="005E1EA7" w:rsidRDefault="003D69A8" w:rsidP="006365F0">
            <w:pPr>
              <w:rPr>
                <w:rFonts w:ascii="Tahoma" w:hAnsi="Tahoma" w:cs="Tahoma"/>
                <w:i/>
                <w:sz w:val="20"/>
                <w:szCs w:val="20"/>
              </w:rPr>
            </w:pPr>
          </w:p>
          <w:p w14:paraId="0321EC19" w14:textId="77777777" w:rsidR="003D69A8" w:rsidRPr="005E1EA7" w:rsidRDefault="003D69A8" w:rsidP="006365F0">
            <w:pPr>
              <w:rPr>
                <w:rFonts w:ascii="Tahoma" w:hAnsi="Tahoma" w:cs="Tahoma"/>
                <w:i/>
                <w:sz w:val="20"/>
                <w:szCs w:val="20"/>
              </w:rPr>
            </w:pPr>
          </w:p>
          <w:p w14:paraId="476B2A96" w14:textId="77777777" w:rsidR="003D69A8" w:rsidRPr="005E1EA7" w:rsidRDefault="003D69A8" w:rsidP="006365F0">
            <w:pPr>
              <w:rPr>
                <w:rFonts w:ascii="Tahoma" w:hAnsi="Tahoma" w:cs="Tahoma"/>
                <w:i/>
                <w:sz w:val="20"/>
                <w:szCs w:val="20"/>
              </w:rPr>
            </w:pPr>
          </w:p>
        </w:tc>
      </w:tr>
      <w:tr w:rsidR="003D69A8" w:rsidRPr="005E1EA7" w14:paraId="46A046BB" w14:textId="77777777" w:rsidTr="006365F0">
        <w:trPr>
          <w:trHeight w:val="1164"/>
        </w:trPr>
        <w:tc>
          <w:tcPr>
            <w:tcW w:w="2391" w:type="dxa"/>
          </w:tcPr>
          <w:p w14:paraId="3D78D8F3"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 xml:space="preserve">Chair </w:t>
            </w:r>
          </w:p>
        </w:tc>
        <w:tc>
          <w:tcPr>
            <w:tcW w:w="1617" w:type="dxa"/>
          </w:tcPr>
          <w:p w14:paraId="6027BA04" w14:textId="77777777" w:rsidR="003D69A8" w:rsidRPr="005E1EA7" w:rsidRDefault="003D69A8" w:rsidP="006365F0">
            <w:pPr>
              <w:rPr>
                <w:rFonts w:ascii="Tahoma" w:hAnsi="Tahoma" w:cs="Tahoma"/>
                <w:i/>
                <w:sz w:val="20"/>
                <w:szCs w:val="20"/>
              </w:rPr>
            </w:pPr>
            <w:r w:rsidRPr="005E1EA7">
              <w:rPr>
                <w:rFonts w:ascii="Tahoma" w:hAnsi="Tahoma" w:cs="Tahoma"/>
                <w:i/>
                <w:sz w:val="20"/>
                <w:szCs w:val="20"/>
              </w:rPr>
              <w:t xml:space="preserve">Ferme et élastique ; surface lisse (2) </w:t>
            </w:r>
          </w:p>
        </w:tc>
        <w:tc>
          <w:tcPr>
            <w:tcW w:w="1617" w:type="dxa"/>
          </w:tcPr>
          <w:p w14:paraId="6F182030"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 xml:space="preserve">Moins élastique </w:t>
            </w:r>
          </w:p>
        </w:tc>
        <w:tc>
          <w:tcPr>
            <w:tcW w:w="1600" w:type="dxa"/>
          </w:tcPr>
          <w:p w14:paraId="0B97D17E"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 xml:space="preserve">Légèrement molle (flasque), moins élastique, surface cireuse (veloutée) et ternie </w:t>
            </w:r>
          </w:p>
        </w:tc>
        <w:tc>
          <w:tcPr>
            <w:tcW w:w="1984" w:type="dxa"/>
          </w:tcPr>
          <w:p w14:paraId="5A4C9295"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 xml:space="preserve">Molle (flasque) (1), écailles se détachent facilement de la peau, surface plutôt plissée </w:t>
            </w:r>
          </w:p>
        </w:tc>
      </w:tr>
    </w:tbl>
    <w:p w14:paraId="0DC63D4B" w14:textId="77777777" w:rsidR="003D69A8" w:rsidRPr="005E1EA7" w:rsidRDefault="003D69A8" w:rsidP="003D69A8">
      <w:pPr>
        <w:jc w:val="both"/>
        <w:rPr>
          <w:rFonts w:ascii="Tahoma" w:hAnsi="Tahoma" w:cs="Tahoma"/>
          <w:i/>
          <w:sz w:val="20"/>
          <w:szCs w:val="20"/>
        </w:rPr>
      </w:pPr>
    </w:p>
    <w:p w14:paraId="092A130F" w14:textId="77777777" w:rsidR="003D69A8" w:rsidRPr="005E1EA7" w:rsidRDefault="003D69A8" w:rsidP="003D69A8">
      <w:pPr>
        <w:ind w:firstLine="540"/>
        <w:rPr>
          <w:rFonts w:ascii="Tahoma" w:hAnsi="Tahoma" w:cs="Tahoma"/>
          <w:b/>
          <w:bCs/>
          <w:i/>
          <w:sz w:val="20"/>
          <w:szCs w:val="20"/>
        </w:rPr>
      </w:pPr>
      <w:r w:rsidRPr="005E1EA7">
        <w:rPr>
          <w:rFonts w:ascii="Tahoma" w:hAnsi="Tahoma" w:cs="Tahoma"/>
          <w:b/>
          <w:bCs/>
          <w:i/>
          <w:sz w:val="20"/>
          <w:szCs w:val="20"/>
        </w:rPr>
        <w:t>Critères supplémentaires pour la baudroie étêtée</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9"/>
        <w:gridCol w:w="1695"/>
        <w:gridCol w:w="1617"/>
        <w:gridCol w:w="1617"/>
        <w:gridCol w:w="1891"/>
      </w:tblGrid>
      <w:tr w:rsidR="003D69A8" w:rsidRPr="005E1EA7" w14:paraId="44BC0D91" w14:textId="77777777" w:rsidTr="006365F0">
        <w:trPr>
          <w:trHeight w:val="662"/>
        </w:trPr>
        <w:tc>
          <w:tcPr>
            <w:tcW w:w="2389" w:type="dxa"/>
          </w:tcPr>
          <w:p w14:paraId="2E29CB64"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Vaisseaux sanguins (muscles ventraux)</w:t>
            </w:r>
          </w:p>
        </w:tc>
        <w:tc>
          <w:tcPr>
            <w:tcW w:w="1695" w:type="dxa"/>
          </w:tcPr>
          <w:p w14:paraId="146C83DD"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Contour bien défini et rouge vif</w:t>
            </w:r>
          </w:p>
        </w:tc>
        <w:tc>
          <w:tcPr>
            <w:tcW w:w="1617" w:type="dxa"/>
          </w:tcPr>
          <w:p w14:paraId="220B622B"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Contour bien défini, sang plus foncé</w:t>
            </w:r>
          </w:p>
        </w:tc>
        <w:tc>
          <w:tcPr>
            <w:tcW w:w="1617" w:type="dxa"/>
          </w:tcPr>
          <w:p w14:paraId="29C1DDE5"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Contour mal défini et brun</w:t>
            </w:r>
          </w:p>
        </w:tc>
        <w:tc>
          <w:tcPr>
            <w:tcW w:w="1891" w:type="dxa"/>
          </w:tcPr>
          <w:p w14:paraId="0D6A5E9B"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Contour complètement (1) imprécis, brun et jaunissement de la chair</w:t>
            </w:r>
          </w:p>
        </w:tc>
      </w:tr>
    </w:tbl>
    <w:p w14:paraId="7D61426C" w14:textId="77777777" w:rsidR="003D69A8" w:rsidRPr="005E1EA7" w:rsidRDefault="003D69A8" w:rsidP="003D69A8">
      <w:pPr>
        <w:ind w:firstLine="708"/>
        <w:jc w:val="both"/>
        <w:rPr>
          <w:rFonts w:ascii="Tahoma" w:hAnsi="Tahoma" w:cs="Tahoma"/>
          <w:i/>
          <w:sz w:val="20"/>
          <w:szCs w:val="20"/>
        </w:rPr>
      </w:pPr>
      <w:r w:rsidRPr="005E1EA7">
        <w:rPr>
          <w:rFonts w:ascii="Tahoma" w:hAnsi="Tahoma" w:cs="Tahoma"/>
          <w:i/>
          <w:sz w:val="20"/>
          <w:szCs w:val="20"/>
        </w:rPr>
        <w:t>(</w:t>
      </w:r>
      <w:r w:rsidRPr="005E1EA7">
        <w:rPr>
          <w:rFonts w:ascii="Tahoma" w:hAnsi="Tahoma" w:cs="Tahoma"/>
          <w:i/>
          <w:position w:val="5"/>
          <w:sz w:val="20"/>
          <w:szCs w:val="20"/>
          <w:vertAlign w:val="superscript"/>
        </w:rPr>
        <w:t>1</w:t>
      </w:r>
      <w:r w:rsidRPr="005E1EA7">
        <w:rPr>
          <w:rFonts w:ascii="Tahoma" w:hAnsi="Tahoma" w:cs="Tahoma"/>
          <w:i/>
          <w:sz w:val="20"/>
          <w:szCs w:val="20"/>
        </w:rPr>
        <w:t xml:space="preserve">) Ou dans un état de décomposition plus avancé. </w:t>
      </w:r>
    </w:p>
    <w:p w14:paraId="173E25C5" w14:textId="77777777" w:rsidR="003D69A8" w:rsidRPr="005E1EA7" w:rsidRDefault="003D69A8" w:rsidP="003D69A8">
      <w:pPr>
        <w:ind w:left="708"/>
        <w:jc w:val="both"/>
        <w:rPr>
          <w:rFonts w:ascii="Tahoma" w:hAnsi="Tahoma" w:cs="Tahoma"/>
          <w:i/>
          <w:sz w:val="20"/>
          <w:szCs w:val="20"/>
        </w:rPr>
      </w:pPr>
      <w:r w:rsidRPr="005E1EA7">
        <w:rPr>
          <w:rFonts w:ascii="Tahoma" w:hAnsi="Tahoma" w:cs="Tahoma"/>
          <w:i/>
          <w:sz w:val="20"/>
          <w:szCs w:val="20"/>
        </w:rPr>
        <w:t>(</w:t>
      </w:r>
      <w:r w:rsidRPr="005E1EA7">
        <w:rPr>
          <w:rFonts w:ascii="Tahoma" w:hAnsi="Tahoma" w:cs="Tahoma"/>
          <w:i/>
          <w:position w:val="5"/>
          <w:sz w:val="20"/>
          <w:szCs w:val="20"/>
          <w:vertAlign w:val="superscript"/>
        </w:rPr>
        <w:t>2</w:t>
      </w:r>
      <w:r w:rsidRPr="005E1EA7">
        <w:rPr>
          <w:rFonts w:ascii="Tahoma" w:hAnsi="Tahoma" w:cs="Tahoma"/>
          <w:i/>
          <w:sz w:val="20"/>
          <w:szCs w:val="20"/>
        </w:rPr>
        <w:t xml:space="preserve">) Le poisson frais avant le stade </w:t>
      </w:r>
      <w:r w:rsidRPr="005E1EA7">
        <w:rPr>
          <w:rFonts w:ascii="Tahoma" w:hAnsi="Tahoma" w:cs="Tahoma"/>
          <w:i/>
          <w:iCs/>
          <w:sz w:val="20"/>
          <w:szCs w:val="20"/>
        </w:rPr>
        <w:t>rigo</w:t>
      </w:r>
      <w:r w:rsidRPr="005E1EA7">
        <w:rPr>
          <w:rFonts w:ascii="Tahoma" w:hAnsi="Tahoma" w:cs="Tahoma"/>
          <w:i/>
          <w:sz w:val="20"/>
          <w:szCs w:val="20"/>
        </w:rPr>
        <w:t xml:space="preserve">r </w:t>
      </w:r>
      <w:r w:rsidRPr="005E1EA7">
        <w:rPr>
          <w:rFonts w:ascii="Tahoma" w:hAnsi="Tahoma" w:cs="Tahoma"/>
          <w:i/>
          <w:iCs/>
          <w:sz w:val="20"/>
          <w:szCs w:val="20"/>
        </w:rPr>
        <w:t>morti</w:t>
      </w:r>
      <w:r w:rsidRPr="005E1EA7">
        <w:rPr>
          <w:rFonts w:ascii="Tahoma" w:hAnsi="Tahoma" w:cs="Tahoma"/>
          <w:i/>
          <w:sz w:val="20"/>
          <w:szCs w:val="20"/>
        </w:rPr>
        <w:t xml:space="preserve">s n'est pas ferme et élastique mais il est quand même classé dans la catégorie Extra. </w:t>
      </w:r>
    </w:p>
    <w:p w14:paraId="463BA5B2" w14:textId="77777777" w:rsidR="003D69A8" w:rsidRPr="005E1EA7" w:rsidRDefault="003D69A8" w:rsidP="003D69A8">
      <w:pPr>
        <w:jc w:val="both"/>
        <w:rPr>
          <w:rFonts w:ascii="Tahoma" w:hAnsi="Tahoma" w:cs="Tahoma"/>
          <w:i/>
          <w:sz w:val="20"/>
          <w:szCs w:val="20"/>
        </w:rPr>
      </w:pPr>
    </w:p>
    <w:p w14:paraId="7950812A" w14:textId="77777777" w:rsidR="003D69A8" w:rsidRPr="005E1EA7" w:rsidRDefault="003D69A8" w:rsidP="003D69A8">
      <w:pPr>
        <w:rPr>
          <w:rFonts w:ascii="Tahoma" w:hAnsi="Tahoma" w:cs="Tahoma"/>
          <w:b/>
          <w:sz w:val="20"/>
          <w:szCs w:val="20"/>
        </w:rPr>
      </w:pPr>
      <w:r w:rsidRPr="005E1EA7">
        <w:rPr>
          <w:rFonts w:ascii="Tahoma" w:hAnsi="Tahoma" w:cs="Tahoma"/>
          <w:b/>
          <w:sz w:val="20"/>
          <w:szCs w:val="20"/>
        </w:rPr>
        <w:t xml:space="preserve">B. CRITERES POUR LES POISSONS BLEUS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7"/>
        <w:gridCol w:w="10"/>
        <w:gridCol w:w="21"/>
        <w:gridCol w:w="2096"/>
        <w:gridCol w:w="1857"/>
        <w:gridCol w:w="1867"/>
        <w:gridCol w:w="1701"/>
      </w:tblGrid>
      <w:tr w:rsidR="003D69A8" w:rsidRPr="005E1EA7" w14:paraId="53E22F23" w14:textId="77777777" w:rsidTr="006365F0">
        <w:trPr>
          <w:cantSplit/>
          <w:trHeight w:val="454"/>
        </w:trPr>
        <w:tc>
          <w:tcPr>
            <w:tcW w:w="1688" w:type="dxa"/>
            <w:gridSpan w:val="3"/>
            <w:vMerge w:val="restart"/>
            <w:vAlign w:val="bottom"/>
          </w:tcPr>
          <w:p w14:paraId="207830DB" w14:textId="77777777" w:rsidR="003D69A8" w:rsidRPr="005E1EA7" w:rsidRDefault="003D69A8" w:rsidP="006365F0">
            <w:pPr>
              <w:jc w:val="both"/>
              <w:rPr>
                <w:rFonts w:ascii="Tahoma" w:hAnsi="Tahoma" w:cs="Tahoma"/>
                <w:i/>
                <w:sz w:val="20"/>
                <w:szCs w:val="20"/>
              </w:rPr>
            </w:pPr>
          </w:p>
        </w:tc>
        <w:tc>
          <w:tcPr>
            <w:tcW w:w="5820" w:type="dxa"/>
            <w:gridSpan w:val="3"/>
            <w:vAlign w:val="center"/>
          </w:tcPr>
          <w:p w14:paraId="3DF6FA21"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Catégories de fraîcheur</w:t>
            </w:r>
          </w:p>
        </w:tc>
        <w:tc>
          <w:tcPr>
            <w:tcW w:w="1701" w:type="dxa"/>
            <w:vMerge w:val="restart"/>
          </w:tcPr>
          <w:p w14:paraId="46E6A326" w14:textId="77777777" w:rsidR="003D69A8" w:rsidRPr="005E1EA7" w:rsidRDefault="003D69A8" w:rsidP="006365F0">
            <w:pPr>
              <w:jc w:val="both"/>
              <w:rPr>
                <w:rFonts w:ascii="Tahoma" w:hAnsi="Tahoma" w:cs="Tahoma"/>
                <w:i/>
                <w:sz w:val="20"/>
                <w:szCs w:val="20"/>
              </w:rPr>
            </w:pPr>
          </w:p>
          <w:p w14:paraId="190DB682" w14:textId="77777777" w:rsidR="003D69A8" w:rsidRPr="005E1EA7" w:rsidRDefault="003D69A8" w:rsidP="006365F0">
            <w:pPr>
              <w:jc w:val="both"/>
              <w:rPr>
                <w:rFonts w:ascii="Tahoma" w:hAnsi="Tahoma" w:cs="Tahoma"/>
                <w:i/>
                <w:sz w:val="20"/>
                <w:szCs w:val="20"/>
              </w:rPr>
            </w:pPr>
          </w:p>
          <w:p w14:paraId="3E1F5A91"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Non admis</w:t>
            </w:r>
          </w:p>
        </w:tc>
      </w:tr>
      <w:tr w:rsidR="003D69A8" w:rsidRPr="005E1EA7" w14:paraId="7A27F239" w14:textId="77777777" w:rsidTr="006365F0">
        <w:trPr>
          <w:cantSplit/>
          <w:trHeight w:val="454"/>
        </w:trPr>
        <w:tc>
          <w:tcPr>
            <w:tcW w:w="1688" w:type="dxa"/>
            <w:gridSpan w:val="3"/>
            <w:vMerge/>
            <w:vAlign w:val="bottom"/>
          </w:tcPr>
          <w:p w14:paraId="27372FFA" w14:textId="77777777" w:rsidR="003D69A8" w:rsidRPr="005E1EA7" w:rsidRDefault="003D69A8" w:rsidP="006365F0">
            <w:pPr>
              <w:jc w:val="both"/>
              <w:rPr>
                <w:rFonts w:ascii="Tahoma" w:hAnsi="Tahoma" w:cs="Tahoma"/>
                <w:i/>
                <w:sz w:val="20"/>
                <w:szCs w:val="20"/>
              </w:rPr>
            </w:pPr>
          </w:p>
        </w:tc>
        <w:tc>
          <w:tcPr>
            <w:tcW w:w="2096" w:type="dxa"/>
            <w:vAlign w:val="center"/>
          </w:tcPr>
          <w:p w14:paraId="0B3850A2"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Extra</w:t>
            </w:r>
          </w:p>
        </w:tc>
        <w:tc>
          <w:tcPr>
            <w:tcW w:w="1857" w:type="dxa"/>
            <w:vAlign w:val="center"/>
          </w:tcPr>
          <w:p w14:paraId="0A79FCEB" w14:textId="77777777" w:rsidR="003D69A8" w:rsidRPr="005E1EA7" w:rsidRDefault="003D69A8" w:rsidP="006365F0">
            <w:pPr>
              <w:jc w:val="both"/>
              <w:rPr>
                <w:rFonts w:ascii="Tahoma" w:hAnsi="Tahoma" w:cs="Tahoma"/>
                <w:i/>
                <w:sz w:val="20"/>
                <w:szCs w:val="20"/>
                <w:lang w:val="en-GB"/>
              </w:rPr>
            </w:pPr>
            <w:r w:rsidRPr="005E1EA7">
              <w:rPr>
                <w:rFonts w:ascii="Tahoma" w:hAnsi="Tahoma" w:cs="Tahoma"/>
                <w:i/>
                <w:sz w:val="20"/>
                <w:szCs w:val="20"/>
                <w:lang w:val="en-GB"/>
              </w:rPr>
              <w:t>A</w:t>
            </w:r>
          </w:p>
        </w:tc>
        <w:tc>
          <w:tcPr>
            <w:tcW w:w="1867" w:type="dxa"/>
          </w:tcPr>
          <w:p w14:paraId="04E88157" w14:textId="77777777" w:rsidR="003D69A8" w:rsidRPr="005E1EA7" w:rsidRDefault="003D69A8" w:rsidP="006365F0">
            <w:pPr>
              <w:jc w:val="both"/>
              <w:rPr>
                <w:rFonts w:ascii="Tahoma" w:hAnsi="Tahoma" w:cs="Tahoma"/>
                <w:i/>
                <w:sz w:val="20"/>
                <w:szCs w:val="20"/>
                <w:lang w:val="en-GB"/>
              </w:rPr>
            </w:pPr>
          </w:p>
          <w:p w14:paraId="66B6A265" w14:textId="77777777" w:rsidR="003D69A8" w:rsidRPr="005E1EA7" w:rsidRDefault="003D69A8" w:rsidP="006365F0">
            <w:pPr>
              <w:jc w:val="both"/>
              <w:rPr>
                <w:rFonts w:ascii="Tahoma" w:hAnsi="Tahoma" w:cs="Tahoma"/>
                <w:i/>
                <w:sz w:val="20"/>
                <w:szCs w:val="20"/>
                <w:lang w:val="en-GB"/>
              </w:rPr>
            </w:pPr>
            <w:r w:rsidRPr="005E1EA7">
              <w:rPr>
                <w:rFonts w:ascii="Tahoma" w:hAnsi="Tahoma" w:cs="Tahoma"/>
                <w:i/>
                <w:sz w:val="20"/>
                <w:szCs w:val="20"/>
                <w:lang w:val="en-GB"/>
              </w:rPr>
              <w:t>B</w:t>
            </w:r>
          </w:p>
        </w:tc>
        <w:tc>
          <w:tcPr>
            <w:tcW w:w="1701" w:type="dxa"/>
            <w:vMerge/>
          </w:tcPr>
          <w:p w14:paraId="0780FAF3" w14:textId="77777777" w:rsidR="003D69A8" w:rsidRPr="005E1EA7" w:rsidRDefault="003D69A8" w:rsidP="006365F0">
            <w:pPr>
              <w:jc w:val="both"/>
              <w:rPr>
                <w:rFonts w:ascii="Tahoma" w:hAnsi="Tahoma" w:cs="Tahoma"/>
                <w:i/>
                <w:sz w:val="20"/>
                <w:szCs w:val="20"/>
                <w:lang w:val="en-GB"/>
              </w:rPr>
            </w:pPr>
          </w:p>
        </w:tc>
      </w:tr>
      <w:tr w:rsidR="003D69A8" w:rsidRPr="005E1EA7" w14:paraId="4C18EA0F" w14:textId="77777777" w:rsidTr="006365F0">
        <w:trPr>
          <w:trHeight w:val="1640"/>
        </w:trPr>
        <w:tc>
          <w:tcPr>
            <w:tcW w:w="1667" w:type="dxa"/>
            <w:gridSpan w:val="2"/>
          </w:tcPr>
          <w:p w14:paraId="69846C84" w14:textId="77777777" w:rsidR="003D69A8" w:rsidRPr="005E1EA7" w:rsidRDefault="003D69A8" w:rsidP="006365F0">
            <w:pPr>
              <w:jc w:val="both"/>
              <w:rPr>
                <w:rFonts w:ascii="Tahoma" w:hAnsi="Tahoma" w:cs="Tahoma"/>
                <w:i/>
                <w:sz w:val="20"/>
                <w:szCs w:val="20"/>
                <w:lang w:val="en-GB"/>
              </w:rPr>
            </w:pPr>
            <w:r w:rsidRPr="005E1EA7">
              <w:rPr>
                <w:rFonts w:ascii="Tahoma" w:hAnsi="Tahoma" w:cs="Tahoma"/>
                <w:i/>
                <w:sz w:val="20"/>
                <w:szCs w:val="20"/>
                <w:lang w:val="en-GB"/>
              </w:rPr>
              <w:lastRenderedPageBreak/>
              <w:t xml:space="preserve">Peau </w:t>
            </w:r>
            <w:r w:rsidRPr="005E1EA7">
              <w:rPr>
                <w:rFonts w:ascii="Tahoma" w:hAnsi="Tahoma" w:cs="Tahoma"/>
                <w:i/>
                <w:sz w:val="20"/>
                <w:szCs w:val="20"/>
                <w:vertAlign w:val="superscript"/>
              </w:rPr>
              <w:t>(1)</w:t>
            </w:r>
            <w:r w:rsidRPr="005E1EA7">
              <w:rPr>
                <w:rFonts w:ascii="Tahoma" w:hAnsi="Tahoma" w:cs="Tahoma"/>
                <w:i/>
                <w:sz w:val="20"/>
                <w:szCs w:val="20"/>
                <w:lang w:val="en-GB"/>
              </w:rPr>
              <w:t xml:space="preserve"> </w:t>
            </w:r>
          </w:p>
        </w:tc>
        <w:tc>
          <w:tcPr>
            <w:tcW w:w="2117" w:type="dxa"/>
            <w:gridSpan w:val="2"/>
          </w:tcPr>
          <w:p w14:paraId="1843EEE1"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 xml:space="preserve">Pigmentation vive, couleurs vives, brillantes et iridescentes ; nette différence entre surfaces dorsale et ventrale </w:t>
            </w:r>
          </w:p>
        </w:tc>
        <w:tc>
          <w:tcPr>
            <w:tcW w:w="1857" w:type="dxa"/>
          </w:tcPr>
          <w:p w14:paraId="012FE8F0"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 xml:space="preserve">Perte d'éclat et de brillance, couleurs plus fades ; moins de différence entre surfaces dorsale et ventrale </w:t>
            </w:r>
          </w:p>
        </w:tc>
        <w:tc>
          <w:tcPr>
            <w:tcW w:w="1867" w:type="dxa"/>
          </w:tcPr>
          <w:p w14:paraId="2607DF55"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 xml:space="preserve">Ternie, sans éclat, couleurs délavées, peau plissée lorsqu'on courbe le poisson </w:t>
            </w:r>
          </w:p>
        </w:tc>
        <w:tc>
          <w:tcPr>
            <w:tcW w:w="1701" w:type="dxa"/>
          </w:tcPr>
          <w:p w14:paraId="170F96CD"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 xml:space="preserve">Pigmentation très terne, peau se détache de la chair </w:t>
            </w:r>
            <w:r w:rsidRPr="005E1EA7">
              <w:rPr>
                <w:rFonts w:ascii="Tahoma" w:hAnsi="Tahoma" w:cs="Tahoma"/>
                <w:i/>
                <w:sz w:val="20"/>
                <w:szCs w:val="20"/>
                <w:vertAlign w:val="superscript"/>
              </w:rPr>
              <w:t>(2)</w:t>
            </w:r>
            <w:r w:rsidRPr="005E1EA7">
              <w:rPr>
                <w:rFonts w:ascii="Tahoma" w:hAnsi="Tahoma" w:cs="Tahoma"/>
                <w:i/>
                <w:sz w:val="20"/>
                <w:szCs w:val="20"/>
              </w:rPr>
              <w:t xml:space="preserve"> </w:t>
            </w:r>
          </w:p>
        </w:tc>
      </w:tr>
      <w:tr w:rsidR="003D69A8" w:rsidRPr="005E1EA7" w14:paraId="351896FD" w14:textId="77777777" w:rsidTr="006365F0">
        <w:trPr>
          <w:trHeight w:val="402"/>
        </w:trPr>
        <w:tc>
          <w:tcPr>
            <w:tcW w:w="1667" w:type="dxa"/>
            <w:gridSpan w:val="2"/>
          </w:tcPr>
          <w:p w14:paraId="72D830C1"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Mucus cutané</w:t>
            </w:r>
          </w:p>
        </w:tc>
        <w:tc>
          <w:tcPr>
            <w:tcW w:w="2117" w:type="dxa"/>
            <w:gridSpan w:val="2"/>
          </w:tcPr>
          <w:p w14:paraId="6AD3428A"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Aqueux, transparent</w:t>
            </w:r>
          </w:p>
        </w:tc>
        <w:tc>
          <w:tcPr>
            <w:tcW w:w="1857" w:type="dxa"/>
          </w:tcPr>
          <w:p w14:paraId="45AC8DA9"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Légèrement trouble</w:t>
            </w:r>
          </w:p>
        </w:tc>
        <w:tc>
          <w:tcPr>
            <w:tcW w:w="1867" w:type="dxa"/>
          </w:tcPr>
          <w:p w14:paraId="07C36B08"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Laiteux</w:t>
            </w:r>
          </w:p>
        </w:tc>
        <w:tc>
          <w:tcPr>
            <w:tcW w:w="1701" w:type="dxa"/>
          </w:tcPr>
          <w:p w14:paraId="6EEDD530"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 xml:space="preserve">Gris jaunâtre, mucus opaque </w:t>
            </w:r>
            <w:r w:rsidRPr="005E1EA7">
              <w:rPr>
                <w:rFonts w:ascii="Tahoma" w:hAnsi="Tahoma" w:cs="Tahoma"/>
                <w:i/>
                <w:sz w:val="20"/>
                <w:szCs w:val="20"/>
                <w:vertAlign w:val="superscript"/>
              </w:rPr>
              <w:t>(2)</w:t>
            </w:r>
          </w:p>
        </w:tc>
      </w:tr>
      <w:tr w:rsidR="003D69A8" w:rsidRPr="005E1EA7" w14:paraId="5CAC6620" w14:textId="77777777" w:rsidTr="006365F0">
        <w:trPr>
          <w:trHeight w:val="494"/>
        </w:trPr>
        <w:tc>
          <w:tcPr>
            <w:tcW w:w="1657" w:type="dxa"/>
            <w:vAlign w:val="center"/>
          </w:tcPr>
          <w:p w14:paraId="0B6527D4"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 xml:space="preserve">Consistance de la chair </w:t>
            </w:r>
            <w:r w:rsidRPr="005E1EA7">
              <w:rPr>
                <w:rFonts w:ascii="Tahoma" w:hAnsi="Tahoma" w:cs="Tahoma"/>
                <w:i/>
                <w:sz w:val="20"/>
                <w:szCs w:val="20"/>
                <w:vertAlign w:val="superscript"/>
              </w:rPr>
              <w:t>(1)</w:t>
            </w:r>
            <w:r w:rsidRPr="005E1EA7">
              <w:rPr>
                <w:rFonts w:ascii="Tahoma" w:hAnsi="Tahoma" w:cs="Tahoma"/>
                <w:i/>
                <w:sz w:val="20"/>
                <w:szCs w:val="20"/>
              </w:rPr>
              <w:t xml:space="preserve"> </w:t>
            </w:r>
          </w:p>
        </w:tc>
        <w:tc>
          <w:tcPr>
            <w:tcW w:w="2127" w:type="dxa"/>
            <w:gridSpan w:val="3"/>
            <w:vAlign w:val="center"/>
          </w:tcPr>
          <w:p w14:paraId="42B5A12B"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 xml:space="preserve">Très ferme, rigide </w:t>
            </w:r>
          </w:p>
        </w:tc>
        <w:tc>
          <w:tcPr>
            <w:tcW w:w="1857" w:type="dxa"/>
            <w:vAlign w:val="center"/>
          </w:tcPr>
          <w:p w14:paraId="4CF4CE74"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 xml:space="preserve">Assez rigide, ferme </w:t>
            </w:r>
          </w:p>
        </w:tc>
        <w:tc>
          <w:tcPr>
            <w:tcW w:w="1867" w:type="dxa"/>
          </w:tcPr>
          <w:p w14:paraId="66A11E31"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 xml:space="preserve">Un peu molle </w:t>
            </w:r>
          </w:p>
        </w:tc>
        <w:tc>
          <w:tcPr>
            <w:tcW w:w="1701" w:type="dxa"/>
          </w:tcPr>
          <w:p w14:paraId="4E1026C6"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 xml:space="preserve">Molle (flasque) </w:t>
            </w:r>
            <w:r w:rsidRPr="005E1EA7">
              <w:rPr>
                <w:rFonts w:ascii="Tahoma" w:hAnsi="Tahoma" w:cs="Tahoma"/>
                <w:i/>
                <w:sz w:val="20"/>
                <w:szCs w:val="20"/>
                <w:vertAlign w:val="superscript"/>
              </w:rPr>
              <w:t>(2)</w:t>
            </w:r>
            <w:r w:rsidRPr="005E1EA7">
              <w:rPr>
                <w:rFonts w:ascii="Tahoma" w:hAnsi="Tahoma" w:cs="Tahoma"/>
                <w:i/>
                <w:sz w:val="20"/>
                <w:szCs w:val="20"/>
              </w:rPr>
              <w:t xml:space="preserve"> </w:t>
            </w:r>
          </w:p>
        </w:tc>
      </w:tr>
      <w:tr w:rsidR="003D69A8" w:rsidRPr="005E1EA7" w14:paraId="5B91E457" w14:textId="77777777" w:rsidTr="006365F0">
        <w:trPr>
          <w:trHeight w:val="842"/>
        </w:trPr>
        <w:tc>
          <w:tcPr>
            <w:tcW w:w="1657" w:type="dxa"/>
          </w:tcPr>
          <w:p w14:paraId="5CD6BE8D" w14:textId="77777777" w:rsidR="003D69A8" w:rsidRPr="005E1EA7" w:rsidRDefault="003D69A8" w:rsidP="006365F0">
            <w:pPr>
              <w:jc w:val="both"/>
              <w:rPr>
                <w:rFonts w:ascii="Tahoma" w:hAnsi="Tahoma" w:cs="Tahoma"/>
                <w:i/>
                <w:sz w:val="20"/>
                <w:szCs w:val="20"/>
              </w:rPr>
            </w:pPr>
          </w:p>
          <w:p w14:paraId="35591AC3"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 xml:space="preserve">Opercules </w:t>
            </w:r>
          </w:p>
        </w:tc>
        <w:tc>
          <w:tcPr>
            <w:tcW w:w="2127" w:type="dxa"/>
            <w:gridSpan w:val="3"/>
          </w:tcPr>
          <w:p w14:paraId="36648820" w14:textId="77777777" w:rsidR="003D69A8" w:rsidRPr="005E1EA7" w:rsidRDefault="003D69A8" w:rsidP="006365F0">
            <w:pPr>
              <w:jc w:val="both"/>
              <w:rPr>
                <w:rFonts w:ascii="Tahoma" w:hAnsi="Tahoma" w:cs="Tahoma"/>
                <w:i/>
                <w:sz w:val="20"/>
                <w:szCs w:val="20"/>
              </w:rPr>
            </w:pPr>
          </w:p>
          <w:p w14:paraId="49C712EF"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 xml:space="preserve">Argentés </w:t>
            </w:r>
          </w:p>
        </w:tc>
        <w:tc>
          <w:tcPr>
            <w:tcW w:w="1857" w:type="dxa"/>
            <w:vAlign w:val="center"/>
          </w:tcPr>
          <w:p w14:paraId="752E3675"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 xml:space="preserve">Argentés, légèrement teintés de rouge ou de brun </w:t>
            </w:r>
          </w:p>
        </w:tc>
        <w:tc>
          <w:tcPr>
            <w:tcW w:w="1867" w:type="dxa"/>
            <w:vAlign w:val="center"/>
          </w:tcPr>
          <w:p w14:paraId="08EC2C54"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 xml:space="preserve">Brunissement et extravasations sanguines étendues </w:t>
            </w:r>
          </w:p>
        </w:tc>
        <w:tc>
          <w:tcPr>
            <w:tcW w:w="1701" w:type="dxa"/>
          </w:tcPr>
          <w:p w14:paraId="676D55B9" w14:textId="77777777" w:rsidR="003D69A8" w:rsidRPr="005E1EA7" w:rsidRDefault="003D69A8" w:rsidP="006365F0">
            <w:pPr>
              <w:jc w:val="both"/>
              <w:rPr>
                <w:rFonts w:ascii="Tahoma" w:hAnsi="Tahoma" w:cs="Tahoma"/>
                <w:i/>
                <w:sz w:val="20"/>
                <w:szCs w:val="20"/>
              </w:rPr>
            </w:pPr>
          </w:p>
          <w:p w14:paraId="687E97C9"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 xml:space="preserve">Jaunâtres </w:t>
            </w:r>
            <w:r w:rsidRPr="005E1EA7">
              <w:rPr>
                <w:rFonts w:ascii="Tahoma" w:hAnsi="Tahoma" w:cs="Tahoma"/>
                <w:i/>
                <w:sz w:val="20"/>
                <w:szCs w:val="20"/>
                <w:vertAlign w:val="superscript"/>
              </w:rPr>
              <w:t>(2)</w:t>
            </w:r>
            <w:r w:rsidRPr="005E1EA7">
              <w:rPr>
                <w:rFonts w:ascii="Tahoma" w:hAnsi="Tahoma" w:cs="Tahoma"/>
                <w:i/>
                <w:sz w:val="20"/>
                <w:szCs w:val="20"/>
              </w:rPr>
              <w:t xml:space="preserve"> </w:t>
            </w:r>
          </w:p>
        </w:tc>
      </w:tr>
      <w:tr w:rsidR="003D69A8" w:rsidRPr="005E1EA7" w14:paraId="164D816D" w14:textId="77777777" w:rsidTr="006365F0">
        <w:trPr>
          <w:trHeight w:val="1373"/>
        </w:trPr>
        <w:tc>
          <w:tcPr>
            <w:tcW w:w="1657" w:type="dxa"/>
          </w:tcPr>
          <w:p w14:paraId="06F1D425" w14:textId="77777777" w:rsidR="003D69A8" w:rsidRPr="005E1EA7" w:rsidRDefault="003D69A8" w:rsidP="006365F0">
            <w:pPr>
              <w:jc w:val="both"/>
              <w:rPr>
                <w:rFonts w:ascii="Tahoma" w:hAnsi="Tahoma" w:cs="Tahoma"/>
                <w:i/>
                <w:sz w:val="20"/>
                <w:szCs w:val="20"/>
              </w:rPr>
            </w:pPr>
          </w:p>
          <w:p w14:paraId="0664508F"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 xml:space="preserve">Œil </w:t>
            </w:r>
          </w:p>
        </w:tc>
        <w:tc>
          <w:tcPr>
            <w:tcW w:w="2127" w:type="dxa"/>
            <w:gridSpan w:val="3"/>
          </w:tcPr>
          <w:p w14:paraId="51732B81" w14:textId="77777777" w:rsidR="003D69A8" w:rsidRPr="005E1EA7" w:rsidRDefault="003D69A8" w:rsidP="006365F0">
            <w:pPr>
              <w:jc w:val="both"/>
              <w:rPr>
                <w:rFonts w:ascii="Tahoma" w:hAnsi="Tahoma" w:cs="Tahoma"/>
                <w:i/>
                <w:sz w:val="20"/>
                <w:szCs w:val="20"/>
              </w:rPr>
            </w:pPr>
          </w:p>
          <w:p w14:paraId="4A58DE7C"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 xml:space="preserve">Convexe, bombé; pupille bleu-noir brillante, «paupière» transparente </w:t>
            </w:r>
          </w:p>
        </w:tc>
        <w:tc>
          <w:tcPr>
            <w:tcW w:w="1857" w:type="dxa"/>
          </w:tcPr>
          <w:p w14:paraId="4E5C2718"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 xml:space="preserve">Convexe et légèrement affaissé, pupille foncée, cornée légèrement opalescente </w:t>
            </w:r>
          </w:p>
        </w:tc>
        <w:tc>
          <w:tcPr>
            <w:tcW w:w="1867" w:type="dxa"/>
          </w:tcPr>
          <w:p w14:paraId="40549AB6" w14:textId="77777777" w:rsidR="003D69A8" w:rsidRPr="005E1EA7" w:rsidRDefault="003D69A8" w:rsidP="006365F0">
            <w:pPr>
              <w:jc w:val="both"/>
              <w:rPr>
                <w:rFonts w:ascii="Tahoma" w:hAnsi="Tahoma" w:cs="Tahoma"/>
                <w:i/>
                <w:sz w:val="20"/>
                <w:szCs w:val="20"/>
              </w:rPr>
            </w:pPr>
          </w:p>
          <w:p w14:paraId="08C00D8A"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 xml:space="preserve">Plat; pupille voilée, extravasations sanguines autour de l'œil </w:t>
            </w:r>
          </w:p>
        </w:tc>
        <w:tc>
          <w:tcPr>
            <w:tcW w:w="1701" w:type="dxa"/>
          </w:tcPr>
          <w:p w14:paraId="4AD41D4E" w14:textId="77777777" w:rsidR="003D69A8" w:rsidRPr="005E1EA7" w:rsidRDefault="003D69A8" w:rsidP="006365F0">
            <w:pPr>
              <w:jc w:val="both"/>
              <w:rPr>
                <w:rFonts w:ascii="Tahoma" w:hAnsi="Tahoma" w:cs="Tahoma"/>
                <w:i/>
                <w:sz w:val="20"/>
                <w:szCs w:val="20"/>
              </w:rPr>
            </w:pPr>
          </w:p>
          <w:p w14:paraId="46751FB0"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 xml:space="preserve">Concave au centre, pupille grise, cornée laiteuse </w:t>
            </w:r>
            <w:r w:rsidRPr="005E1EA7">
              <w:rPr>
                <w:rFonts w:ascii="Tahoma" w:hAnsi="Tahoma" w:cs="Tahoma"/>
                <w:i/>
                <w:sz w:val="20"/>
                <w:szCs w:val="20"/>
                <w:vertAlign w:val="superscript"/>
              </w:rPr>
              <w:t>(2)</w:t>
            </w:r>
            <w:r w:rsidRPr="005E1EA7">
              <w:rPr>
                <w:rFonts w:ascii="Tahoma" w:hAnsi="Tahoma" w:cs="Tahoma"/>
                <w:i/>
                <w:sz w:val="20"/>
                <w:szCs w:val="20"/>
              </w:rPr>
              <w:t xml:space="preserve"> </w:t>
            </w:r>
          </w:p>
        </w:tc>
      </w:tr>
      <w:tr w:rsidR="003D69A8" w:rsidRPr="005E1EA7" w14:paraId="052F7142" w14:textId="77777777" w:rsidTr="006365F0">
        <w:trPr>
          <w:trHeight w:val="804"/>
        </w:trPr>
        <w:tc>
          <w:tcPr>
            <w:tcW w:w="1657" w:type="dxa"/>
          </w:tcPr>
          <w:p w14:paraId="366AE7F3"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 xml:space="preserve">Branchies </w:t>
            </w:r>
            <w:r w:rsidRPr="005E1EA7">
              <w:rPr>
                <w:rFonts w:ascii="Tahoma" w:hAnsi="Tahoma" w:cs="Tahoma"/>
                <w:i/>
                <w:sz w:val="20"/>
                <w:szCs w:val="20"/>
                <w:vertAlign w:val="superscript"/>
              </w:rPr>
              <w:t>(1)</w:t>
            </w:r>
          </w:p>
        </w:tc>
        <w:tc>
          <w:tcPr>
            <w:tcW w:w="2127" w:type="dxa"/>
            <w:gridSpan w:val="3"/>
          </w:tcPr>
          <w:p w14:paraId="3E511557"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Rouge vif à pourpre uniformément; pas de mucus</w:t>
            </w:r>
          </w:p>
        </w:tc>
        <w:tc>
          <w:tcPr>
            <w:tcW w:w="1857" w:type="dxa"/>
          </w:tcPr>
          <w:p w14:paraId="47AC900F"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Couleur moins vive, plus pâle sur les bords; mucus transparent</w:t>
            </w:r>
          </w:p>
        </w:tc>
        <w:tc>
          <w:tcPr>
            <w:tcW w:w="1867" w:type="dxa"/>
          </w:tcPr>
          <w:p w14:paraId="421F670A"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S'épaississant, se décolorant, mucus opaque</w:t>
            </w:r>
          </w:p>
        </w:tc>
        <w:tc>
          <w:tcPr>
            <w:tcW w:w="1701" w:type="dxa"/>
          </w:tcPr>
          <w:p w14:paraId="49C0D16F"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 xml:space="preserve">Jaunâtre; mucus laiteux </w:t>
            </w:r>
            <w:r w:rsidRPr="005E1EA7">
              <w:rPr>
                <w:rFonts w:ascii="Tahoma" w:hAnsi="Tahoma" w:cs="Tahoma"/>
                <w:i/>
                <w:sz w:val="20"/>
                <w:szCs w:val="20"/>
                <w:vertAlign w:val="superscript"/>
              </w:rPr>
              <w:t>(2)</w:t>
            </w:r>
          </w:p>
        </w:tc>
      </w:tr>
      <w:tr w:rsidR="003D69A8" w:rsidRPr="005E1EA7" w14:paraId="3A797E07" w14:textId="77777777" w:rsidTr="006365F0">
        <w:trPr>
          <w:trHeight w:val="860"/>
        </w:trPr>
        <w:tc>
          <w:tcPr>
            <w:tcW w:w="1657" w:type="dxa"/>
          </w:tcPr>
          <w:p w14:paraId="0818B3F7"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Odeur des branchies</w:t>
            </w:r>
          </w:p>
        </w:tc>
        <w:tc>
          <w:tcPr>
            <w:tcW w:w="2127" w:type="dxa"/>
            <w:gridSpan w:val="3"/>
          </w:tcPr>
          <w:p w14:paraId="36BCCD0B"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D'algues marines fraîches; âcre, iodée</w:t>
            </w:r>
          </w:p>
        </w:tc>
        <w:tc>
          <w:tcPr>
            <w:tcW w:w="1857" w:type="dxa"/>
          </w:tcPr>
          <w:p w14:paraId="0412EF53"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Absence d'odeur ou odeur d'algues marines, odeur neutre</w:t>
            </w:r>
          </w:p>
        </w:tc>
        <w:tc>
          <w:tcPr>
            <w:tcW w:w="1867" w:type="dxa"/>
          </w:tcPr>
          <w:p w14:paraId="6573EBD6"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 xml:space="preserve">Odeur grasse </w:t>
            </w:r>
            <w:r w:rsidRPr="005E1EA7">
              <w:rPr>
                <w:rFonts w:ascii="Tahoma" w:hAnsi="Tahoma" w:cs="Tahoma"/>
                <w:i/>
                <w:sz w:val="20"/>
                <w:szCs w:val="20"/>
                <w:vertAlign w:val="superscript"/>
              </w:rPr>
              <w:t>(3)</w:t>
            </w:r>
            <w:r w:rsidRPr="005E1EA7">
              <w:rPr>
                <w:rFonts w:ascii="Tahoma" w:hAnsi="Tahoma" w:cs="Tahoma"/>
                <w:i/>
                <w:sz w:val="20"/>
                <w:szCs w:val="20"/>
              </w:rPr>
              <w:t xml:space="preserve"> un peu sulfureuse, de lard rance ou de fruit pourri</w:t>
            </w:r>
          </w:p>
        </w:tc>
        <w:tc>
          <w:tcPr>
            <w:tcW w:w="1701" w:type="dxa"/>
          </w:tcPr>
          <w:p w14:paraId="2B2B62C9"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 xml:space="preserve">Odeur aigre de putréfaction </w:t>
            </w:r>
            <w:r w:rsidRPr="005E1EA7">
              <w:rPr>
                <w:rFonts w:ascii="Tahoma" w:hAnsi="Tahoma" w:cs="Tahoma"/>
                <w:i/>
                <w:sz w:val="20"/>
                <w:szCs w:val="20"/>
                <w:vertAlign w:val="superscript"/>
              </w:rPr>
              <w:t>(2)</w:t>
            </w:r>
          </w:p>
        </w:tc>
      </w:tr>
    </w:tbl>
    <w:p w14:paraId="61E4B78B" w14:textId="77777777" w:rsidR="003D69A8" w:rsidRPr="005E1EA7" w:rsidRDefault="003D69A8" w:rsidP="00420DDA">
      <w:pPr>
        <w:pStyle w:val="Paragraphedeliste"/>
        <w:numPr>
          <w:ilvl w:val="3"/>
          <w:numId w:val="173"/>
        </w:numPr>
        <w:ind w:left="284"/>
        <w:jc w:val="both"/>
        <w:rPr>
          <w:rFonts w:ascii="Tahoma" w:hAnsi="Tahoma" w:cs="Tahoma"/>
          <w:i/>
          <w:sz w:val="20"/>
          <w:szCs w:val="20"/>
        </w:rPr>
      </w:pPr>
      <w:r w:rsidRPr="005E1EA7">
        <w:rPr>
          <w:rFonts w:ascii="Tahoma" w:hAnsi="Tahoma" w:cs="Tahoma"/>
          <w:i/>
          <w:sz w:val="20"/>
          <w:szCs w:val="20"/>
        </w:rPr>
        <w:t xml:space="preserve">Pour le maquereau conservé en eau de mer réfrigérée [soit au moyen de glace (CSW) ou par des moyens mécaniques (RSW)], le critère de la colonne A s'applique aussi à la catégorie Extra. </w:t>
      </w:r>
    </w:p>
    <w:p w14:paraId="1E624A02" w14:textId="77777777" w:rsidR="003D69A8" w:rsidRPr="005E1EA7" w:rsidRDefault="003D69A8" w:rsidP="00420DDA">
      <w:pPr>
        <w:pStyle w:val="Paragraphedeliste"/>
        <w:numPr>
          <w:ilvl w:val="3"/>
          <w:numId w:val="173"/>
        </w:numPr>
        <w:ind w:left="284"/>
        <w:jc w:val="both"/>
        <w:rPr>
          <w:rFonts w:ascii="Tahoma" w:hAnsi="Tahoma" w:cs="Tahoma"/>
          <w:i/>
          <w:sz w:val="20"/>
          <w:szCs w:val="20"/>
        </w:rPr>
      </w:pPr>
      <w:r w:rsidRPr="005E1EA7">
        <w:rPr>
          <w:rFonts w:ascii="Tahoma" w:hAnsi="Tahoma" w:cs="Tahoma"/>
          <w:i/>
          <w:sz w:val="20"/>
          <w:szCs w:val="20"/>
        </w:rPr>
        <w:t xml:space="preserve">Ou dans un état de décomposition plus avancé. </w:t>
      </w:r>
    </w:p>
    <w:p w14:paraId="3BBDE187" w14:textId="77777777" w:rsidR="003D69A8" w:rsidRPr="005E1EA7" w:rsidRDefault="003D69A8" w:rsidP="00420DDA">
      <w:pPr>
        <w:pStyle w:val="Paragraphedeliste"/>
        <w:numPr>
          <w:ilvl w:val="3"/>
          <w:numId w:val="173"/>
        </w:numPr>
        <w:ind w:left="284"/>
        <w:jc w:val="both"/>
        <w:rPr>
          <w:rFonts w:ascii="Tahoma" w:hAnsi="Tahoma" w:cs="Tahoma"/>
          <w:i/>
          <w:sz w:val="20"/>
          <w:szCs w:val="20"/>
        </w:rPr>
      </w:pPr>
      <w:r w:rsidRPr="005E1EA7">
        <w:rPr>
          <w:rFonts w:ascii="Tahoma" w:hAnsi="Tahoma" w:cs="Tahoma"/>
          <w:i/>
          <w:sz w:val="20"/>
          <w:szCs w:val="20"/>
        </w:rPr>
        <w:t xml:space="preserve">Le poisson conservé dans la glace a une odeur rance avant d'avoir une odeur défraîchie ; c'est l'inverse pour le poisson conservé par CSW/RSW. </w:t>
      </w:r>
    </w:p>
    <w:p w14:paraId="7E81D7B9" w14:textId="77777777" w:rsidR="003D69A8" w:rsidRPr="005E1EA7" w:rsidRDefault="003D69A8" w:rsidP="003D69A8">
      <w:pPr>
        <w:jc w:val="both"/>
        <w:rPr>
          <w:rFonts w:ascii="Tahoma" w:hAnsi="Tahoma" w:cs="Tahoma"/>
          <w:i/>
          <w:sz w:val="20"/>
          <w:szCs w:val="20"/>
        </w:rPr>
      </w:pPr>
    </w:p>
    <w:p w14:paraId="563DD2AF" w14:textId="77777777" w:rsidR="003D69A8" w:rsidRPr="005E1EA7" w:rsidRDefault="003D69A8" w:rsidP="003D69A8">
      <w:pPr>
        <w:rPr>
          <w:rFonts w:ascii="Tahoma" w:hAnsi="Tahoma" w:cs="Tahoma"/>
          <w:b/>
          <w:sz w:val="20"/>
          <w:szCs w:val="20"/>
        </w:rPr>
      </w:pPr>
      <w:r w:rsidRPr="005E1EA7">
        <w:rPr>
          <w:rFonts w:ascii="Tahoma" w:hAnsi="Tahoma" w:cs="Tahoma"/>
          <w:b/>
          <w:sz w:val="20"/>
          <w:szCs w:val="20"/>
        </w:rPr>
        <w:t>C. CRITERES POUR LES SÉLACIENS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8"/>
        <w:gridCol w:w="2014"/>
        <w:gridCol w:w="2758"/>
        <w:gridCol w:w="2153"/>
        <w:gridCol w:w="1376"/>
      </w:tblGrid>
      <w:tr w:rsidR="003D69A8" w:rsidRPr="005E1EA7" w14:paraId="6A719DEE" w14:textId="77777777" w:rsidTr="006365F0">
        <w:trPr>
          <w:cantSplit/>
          <w:trHeight w:val="186"/>
        </w:trPr>
        <w:tc>
          <w:tcPr>
            <w:tcW w:w="926" w:type="dxa"/>
            <w:vMerge w:val="restart"/>
            <w:vAlign w:val="center"/>
          </w:tcPr>
          <w:p w14:paraId="1CC874CB" w14:textId="77777777" w:rsidR="003D69A8" w:rsidRPr="005E1EA7" w:rsidRDefault="003D69A8" w:rsidP="006365F0">
            <w:pPr>
              <w:jc w:val="both"/>
              <w:rPr>
                <w:rFonts w:ascii="Tahoma" w:hAnsi="Tahoma" w:cs="Tahoma"/>
                <w:i/>
                <w:sz w:val="20"/>
                <w:szCs w:val="20"/>
              </w:rPr>
            </w:pPr>
          </w:p>
        </w:tc>
        <w:tc>
          <w:tcPr>
            <w:tcW w:w="7371" w:type="dxa"/>
            <w:gridSpan w:val="3"/>
            <w:vAlign w:val="center"/>
          </w:tcPr>
          <w:p w14:paraId="513554D4"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Catégories de fraîcheur</w:t>
            </w:r>
          </w:p>
        </w:tc>
        <w:tc>
          <w:tcPr>
            <w:tcW w:w="912" w:type="dxa"/>
            <w:vMerge w:val="restart"/>
            <w:vAlign w:val="center"/>
          </w:tcPr>
          <w:p w14:paraId="060434FE"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Non admis</w:t>
            </w:r>
          </w:p>
        </w:tc>
      </w:tr>
      <w:tr w:rsidR="003D69A8" w:rsidRPr="005E1EA7" w14:paraId="145A15C4" w14:textId="77777777" w:rsidTr="006365F0">
        <w:trPr>
          <w:cantSplit/>
          <w:trHeight w:val="120"/>
        </w:trPr>
        <w:tc>
          <w:tcPr>
            <w:tcW w:w="926" w:type="dxa"/>
            <w:vMerge/>
            <w:vAlign w:val="center"/>
          </w:tcPr>
          <w:p w14:paraId="23C4B35E" w14:textId="77777777" w:rsidR="003D69A8" w:rsidRPr="005E1EA7" w:rsidRDefault="003D69A8" w:rsidP="006365F0">
            <w:pPr>
              <w:jc w:val="both"/>
              <w:rPr>
                <w:rFonts w:ascii="Tahoma" w:hAnsi="Tahoma" w:cs="Tahoma"/>
                <w:i/>
                <w:sz w:val="20"/>
                <w:szCs w:val="20"/>
              </w:rPr>
            </w:pPr>
          </w:p>
        </w:tc>
        <w:tc>
          <w:tcPr>
            <w:tcW w:w="2127" w:type="dxa"/>
            <w:vAlign w:val="center"/>
          </w:tcPr>
          <w:p w14:paraId="4C21D2F2"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Extra</w:t>
            </w:r>
          </w:p>
        </w:tc>
        <w:tc>
          <w:tcPr>
            <w:tcW w:w="2954" w:type="dxa"/>
            <w:vAlign w:val="center"/>
          </w:tcPr>
          <w:p w14:paraId="48A677CA"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A</w:t>
            </w:r>
          </w:p>
        </w:tc>
        <w:tc>
          <w:tcPr>
            <w:tcW w:w="2290" w:type="dxa"/>
          </w:tcPr>
          <w:p w14:paraId="354E4D1C"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B</w:t>
            </w:r>
          </w:p>
        </w:tc>
        <w:tc>
          <w:tcPr>
            <w:tcW w:w="912" w:type="dxa"/>
            <w:vMerge/>
            <w:vAlign w:val="center"/>
          </w:tcPr>
          <w:p w14:paraId="17F10503" w14:textId="77777777" w:rsidR="003D69A8" w:rsidRPr="005E1EA7" w:rsidRDefault="003D69A8" w:rsidP="006365F0">
            <w:pPr>
              <w:jc w:val="both"/>
              <w:rPr>
                <w:rFonts w:ascii="Tahoma" w:hAnsi="Tahoma" w:cs="Tahoma"/>
                <w:i/>
                <w:sz w:val="20"/>
                <w:szCs w:val="20"/>
              </w:rPr>
            </w:pPr>
          </w:p>
        </w:tc>
      </w:tr>
      <w:tr w:rsidR="003D69A8" w:rsidRPr="005E1EA7" w14:paraId="2DC183A7" w14:textId="77777777" w:rsidTr="006365F0">
        <w:trPr>
          <w:trHeight w:val="591"/>
        </w:trPr>
        <w:tc>
          <w:tcPr>
            <w:tcW w:w="926" w:type="dxa"/>
            <w:vAlign w:val="center"/>
          </w:tcPr>
          <w:p w14:paraId="5F01B33A"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Œil</w:t>
            </w:r>
          </w:p>
        </w:tc>
        <w:tc>
          <w:tcPr>
            <w:tcW w:w="2127" w:type="dxa"/>
            <w:vAlign w:val="center"/>
          </w:tcPr>
          <w:p w14:paraId="5F45ACA8"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Convexe, très brillant et iridescent, pupilles petites</w:t>
            </w:r>
          </w:p>
        </w:tc>
        <w:tc>
          <w:tcPr>
            <w:tcW w:w="2954" w:type="dxa"/>
            <w:vAlign w:val="center"/>
          </w:tcPr>
          <w:p w14:paraId="0EFD9B26"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Convexe et légèrement affaissé, perte de brillance et d'iridescence, pupilles ovales</w:t>
            </w:r>
          </w:p>
        </w:tc>
        <w:tc>
          <w:tcPr>
            <w:tcW w:w="2290" w:type="dxa"/>
            <w:vAlign w:val="center"/>
          </w:tcPr>
          <w:p w14:paraId="3235CCC8"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Plat, terni</w:t>
            </w:r>
          </w:p>
        </w:tc>
        <w:tc>
          <w:tcPr>
            <w:tcW w:w="912" w:type="dxa"/>
            <w:vAlign w:val="center"/>
          </w:tcPr>
          <w:p w14:paraId="54FDF58A"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 xml:space="preserve">Concave jaunâtre </w:t>
            </w:r>
            <w:r w:rsidRPr="005E1EA7">
              <w:rPr>
                <w:rFonts w:ascii="Tahoma" w:hAnsi="Tahoma" w:cs="Tahoma"/>
                <w:i/>
                <w:sz w:val="20"/>
                <w:szCs w:val="20"/>
                <w:vertAlign w:val="superscript"/>
              </w:rPr>
              <w:t>(1)</w:t>
            </w:r>
          </w:p>
        </w:tc>
      </w:tr>
      <w:tr w:rsidR="003D69A8" w:rsidRPr="005E1EA7" w14:paraId="559F6DAB" w14:textId="77777777" w:rsidTr="006365F0">
        <w:trPr>
          <w:trHeight w:val="1140"/>
        </w:trPr>
        <w:tc>
          <w:tcPr>
            <w:tcW w:w="926" w:type="dxa"/>
            <w:tcBorders>
              <w:bottom w:val="single" w:sz="4" w:space="0" w:color="auto"/>
            </w:tcBorders>
            <w:vAlign w:val="center"/>
          </w:tcPr>
          <w:p w14:paraId="73E4734F"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Aspect</w:t>
            </w:r>
          </w:p>
        </w:tc>
        <w:tc>
          <w:tcPr>
            <w:tcW w:w="2127" w:type="dxa"/>
            <w:tcBorders>
              <w:bottom w:val="single" w:sz="4" w:space="0" w:color="auto"/>
            </w:tcBorders>
            <w:vAlign w:val="center"/>
          </w:tcPr>
          <w:p w14:paraId="1E288F25"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In rigor mortis ou partiellement in rigor; présence d'un peu de mucus clair sur la peau</w:t>
            </w:r>
          </w:p>
        </w:tc>
        <w:tc>
          <w:tcPr>
            <w:tcW w:w="2954" w:type="dxa"/>
            <w:tcBorders>
              <w:bottom w:val="single" w:sz="4" w:space="0" w:color="auto"/>
            </w:tcBorders>
            <w:vAlign w:val="center"/>
          </w:tcPr>
          <w:p w14:paraId="15083212"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Stade rigor dépassé, absence de mucus sur la peau et particulièrement dans la bouche et dans les ouvertures branchiales</w:t>
            </w:r>
          </w:p>
        </w:tc>
        <w:tc>
          <w:tcPr>
            <w:tcW w:w="2290" w:type="dxa"/>
            <w:tcBorders>
              <w:bottom w:val="single" w:sz="4" w:space="0" w:color="auto"/>
            </w:tcBorders>
            <w:vAlign w:val="center"/>
          </w:tcPr>
          <w:p w14:paraId="767595C8"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Un peu de mucus dans la bouche et sur les ouvertures branchiales, mâchoire légèrement aplatie</w:t>
            </w:r>
          </w:p>
        </w:tc>
        <w:tc>
          <w:tcPr>
            <w:tcW w:w="912" w:type="dxa"/>
            <w:tcBorders>
              <w:bottom w:val="single" w:sz="4" w:space="0" w:color="auto"/>
            </w:tcBorders>
            <w:vAlign w:val="center"/>
          </w:tcPr>
          <w:p w14:paraId="1800112B"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 xml:space="preserve">Grande quantité de mucus dans la bouche et les ouvertures branchiales </w:t>
            </w:r>
            <w:r w:rsidRPr="005E1EA7">
              <w:rPr>
                <w:rFonts w:ascii="Tahoma" w:hAnsi="Tahoma" w:cs="Tahoma"/>
                <w:i/>
                <w:sz w:val="20"/>
                <w:szCs w:val="20"/>
                <w:vertAlign w:val="superscript"/>
              </w:rPr>
              <w:t>(1)</w:t>
            </w:r>
          </w:p>
        </w:tc>
      </w:tr>
      <w:tr w:rsidR="003D69A8" w:rsidRPr="005E1EA7" w14:paraId="4BBDD3BF" w14:textId="77777777" w:rsidTr="006365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76"/>
        </w:trPr>
        <w:tc>
          <w:tcPr>
            <w:tcW w:w="926" w:type="dxa"/>
            <w:tcBorders>
              <w:top w:val="single" w:sz="4" w:space="0" w:color="auto"/>
              <w:left w:val="single" w:sz="4" w:space="0" w:color="auto"/>
              <w:bottom w:val="single" w:sz="4" w:space="0" w:color="auto"/>
              <w:right w:val="single" w:sz="4" w:space="0" w:color="auto"/>
            </w:tcBorders>
          </w:tcPr>
          <w:p w14:paraId="603F2B29" w14:textId="77777777" w:rsidR="003D69A8" w:rsidRPr="005E1EA7" w:rsidRDefault="003D69A8" w:rsidP="006365F0">
            <w:pPr>
              <w:jc w:val="both"/>
              <w:rPr>
                <w:rFonts w:ascii="Tahoma" w:hAnsi="Tahoma" w:cs="Tahoma"/>
                <w:i/>
                <w:sz w:val="20"/>
                <w:szCs w:val="20"/>
              </w:rPr>
            </w:pPr>
          </w:p>
          <w:p w14:paraId="7267AF44"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 xml:space="preserve">Odeur </w:t>
            </w:r>
          </w:p>
        </w:tc>
        <w:tc>
          <w:tcPr>
            <w:tcW w:w="2127" w:type="dxa"/>
            <w:tcBorders>
              <w:top w:val="single" w:sz="4" w:space="0" w:color="auto"/>
              <w:left w:val="single" w:sz="4" w:space="0" w:color="auto"/>
              <w:bottom w:val="single" w:sz="4" w:space="0" w:color="auto"/>
              <w:right w:val="single" w:sz="4" w:space="0" w:color="auto"/>
            </w:tcBorders>
          </w:tcPr>
          <w:p w14:paraId="0EBBA8B6" w14:textId="77777777" w:rsidR="003D69A8" w:rsidRPr="005E1EA7" w:rsidRDefault="003D69A8" w:rsidP="006365F0">
            <w:pPr>
              <w:jc w:val="both"/>
              <w:rPr>
                <w:rFonts w:ascii="Tahoma" w:hAnsi="Tahoma" w:cs="Tahoma"/>
                <w:i/>
                <w:sz w:val="20"/>
                <w:szCs w:val="20"/>
              </w:rPr>
            </w:pPr>
          </w:p>
          <w:p w14:paraId="5043FBE6"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 xml:space="preserve">D'algues marines </w:t>
            </w:r>
          </w:p>
        </w:tc>
        <w:tc>
          <w:tcPr>
            <w:tcW w:w="2954" w:type="dxa"/>
            <w:tcBorders>
              <w:top w:val="single" w:sz="4" w:space="0" w:color="auto"/>
              <w:left w:val="single" w:sz="4" w:space="0" w:color="auto"/>
              <w:bottom w:val="single" w:sz="4" w:space="0" w:color="auto"/>
              <w:right w:val="single" w:sz="4" w:space="0" w:color="auto"/>
            </w:tcBorders>
            <w:vAlign w:val="center"/>
          </w:tcPr>
          <w:p w14:paraId="5B237FB8"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 xml:space="preserve">Absence d'odeur ou légère odeur défraîchie, mais par ammoniacale </w:t>
            </w:r>
          </w:p>
        </w:tc>
        <w:tc>
          <w:tcPr>
            <w:tcW w:w="2290" w:type="dxa"/>
            <w:tcBorders>
              <w:top w:val="single" w:sz="4" w:space="0" w:color="auto"/>
              <w:left w:val="single" w:sz="4" w:space="0" w:color="auto"/>
              <w:bottom w:val="single" w:sz="4" w:space="0" w:color="auto"/>
              <w:right w:val="single" w:sz="4" w:space="0" w:color="auto"/>
            </w:tcBorders>
          </w:tcPr>
          <w:p w14:paraId="7BE79586"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 xml:space="preserve">Légèrement ammoniacale ; aigre </w:t>
            </w:r>
          </w:p>
        </w:tc>
        <w:tc>
          <w:tcPr>
            <w:tcW w:w="912" w:type="dxa"/>
            <w:tcBorders>
              <w:top w:val="single" w:sz="4" w:space="0" w:color="auto"/>
              <w:left w:val="single" w:sz="4" w:space="0" w:color="auto"/>
              <w:bottom w:val="single" w:sz="4" w:space="0" w:color="auto"/>
              <w:right w:val="single" w:sz="4" w:space="0" w:color="auto"/>
            </w:tcBorders>
          </w:tcPr>
          <w:p w14:paraId="7E603428"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 xml:space="preserve">Odeur ammoniacale âcre </w:t>
            </w:r>
            <w:r w:rsidRPr="005E1EA7">
              <w:rPr>
                <w:rFonts w:ascii="Tahoma" w:hAnsi="Tahoma" w:cs="Tahoma"/>
                <w:i/>
                <w:sz w:val="20"/>
                <w:szCs w:val="20"/>
                <w:vertAlign w:val="superscript"/>
              </w:rPr>
              <w:t>(1)</w:t>
            </w:r>
            <w:r w:rsidRPr="005E1EA7">
              <w:rPr>
                <w:rFonts w:ascii="Tahoma" w:hAnsi="Tahoma" w:cs="Tahoma"/>
                <w:i/>
                <w:sz w:val="20"/>
                <w:szCs w:val="20"/>
              </w:rPr>
              <w:t xml:space="preserve"> </w:t>
            </w:r>
          </w:p>
        </w:tc>
      </w:tr>
    </w:tbl>
    <w:p w14:paraId="4C7131E9" w14:textId="77777777" w:rsidR="003D69A8" w:rsidRPr="005E1EA7" w:rsidRDefault="003D69A8" w:rsidP="003D69A8">
      <w:pPr>
        <w:ind w:firstLine="709"/>
        <w:jc w:val="both"/>
        <w:rPr>
          <w:rFonts w:ascii="Tahoma" w:hAnsi="Tahoma" w:cs="Tahoma"/>
          <w:i/>
          <w:sz w:val="20"/>
          <w:szCs w:val="20"/>
        </w:rPr>
      </w:pPr>
      <w:r w:rsidRPr="005E1EA7">
        <w:rPr>
          <w:rFonts w:ascii="Tahoma" w:hAnsi="Tahoma" w:cs="Tahoma"/>
          <w:i/>
          <w:sz w:val="20"/>
          <w:szCs w:val="20"/>
          <w:vertAlign w:val="superscript"/>
        </w:rPr>
        <w:t>(1)</w:t>
      </w:r>
      <w:r w:rsidRPr="005E1EA7">
        <w:rPr>
          <w:rFonts w:ascii="Tahoma" w:hAnsi="Tahoma" w:cs="Tahoma"/>
          <w:i/>
          <w:sz w:val="20"/>
          <w:szCs w:val="20"/>
        </w:rPr>
        <w:t xml:space="preserve"> Ou dans un état de décomposition plus avancé. </w:t>
      </w:r>
    </w:p>
    <w:p w14:paraId="2D948439" w14:textId="77777777" w:rsidR="003D69A8" w:rsidRPr="005E1EA7" w:rsidRDefault="003D69A8" w:rsidP="003D69A8">
      <w:pPr>
        <w:jc w:val="both"/>
        <w:rPr>
          <w:rFonts w:ascii="Tahoma" w:hAnsi="Tahoma" w:cs="Tahoma"/>
          <w:i/>
          <w:sz w:val="20"/>
          <w:szCs w:val="20"/>
        </w:rPr>
      </w:pPr>
    </w:p>
    <w:p w14:paraId="35A14A9C" w14:textId="77777777" w:rsidR="003D69A8" w:rsidRPr="005E1EA7" w:rsidRDefault="003D69A8" w:rsidP="003D69A8">
      <w:pPr>
        <w:ind w:firstLine="540"/>
        <w:jc w:val="both"/>
        <w:rPr>
          <w:rFonts w:ascii="Tahoma" w:hAnsi="Tahoma" w:cs="Tahoma"/>
          <w:i/>
          <w:sz w:val="20"/>
          <w:szCs w:val="20"/>
        </w:rPr>
      </w:pPr>
      <w:r w:rsidRPr="005E1EA7">
        <w:rPr>
          <w:rFonts w:ascii="Tahoma" w:hAnsi="Tahoma" w:cs="Tahoma"/>
          <w:i/>
          <w:sz w:val="20"/>
          <w:szCs w:val="20"/>
        </w:rPr>
        <w:t xml:space="preserve">Critères spécifiques ou supplémentaires pour la raie </w:t>
      </w:r>
    </w:p>
    <w:tbl>
      <w:tblPr>
        <w:tblW w:w="9209" w:type="dxa"/>
        <w:tblLook w:val="0000" w:firstRow="0" w:lastRow="0" w:firstColumn="0" w:lastColumn="0" w:noHBand="0" w:noVBand="0"/>
      </w:tblPr>
      <w:tblGrid>
        <w:gridCol w:w="1777"/>
        <w:gridCol w:w="2276"/>
        <w:gridCol w:w="1689"/>
        <w:gridCol w:w="2084"/>
        <w:gridCol w:w="1383"/>
      </w:tblGrid>
      <w:tr w:rsidR="003D69A8" w:rsidRPr="005E1EA7" w14:paraId="242ED131" w14:textId="77777777" w:rsidTr="006365F0">
        <w:trPr>
          <w:trHeight w:val="211"/>
        </w:trPr>
        <w:tc>
          <w:tcPr>
            <w:tcW w:w="1946" w:type="dxa"/>
            <w:tcBorders>
              <w:top w:val="single" w:sz="4" w:space="0" w:color="auto"/>
              <w:left w:val="single" w:sz="4" w:space="0" w:color="auto"/>
              <w:bottom w:val="single" w:sz="4" w:space="0" w:color="auto"/>
              <w:right w:val="single" w:sz="4" w:space="0" w:color="auto"/>
            </w:tcBorders>
          </w:tcPr>
          <w:p w14:paraId="07B81C97" w14:textId="77777777" w:rsidR="003D69A8" w:rsidRPr="005E1EA7" w:rsidRDefault="003D69A8" w:rsidP="006365F0">
            <w:pPr>
              <w:jc w:val="both"/>
              <w:rPr>
                <w:rFonts w:ascii="Tahoma" w:hAnsi="Tahoma" w:cs="Tahoma"/>
                <w:i/>
                <w:sz w:val="20"/>
                <w:szCs w:val="20"/>
              </w:rPr>
            </w:pPr>
          </w:p>
        </w:tc>
        <w:tc>
          <w:tcPr>
            <w:tcW w:w="2449" w:type="dxa"/>
            <w:tcBorders>
              <w:top w:val="single" w:sz="4" w:space="0" w:color="auto"/>
              <w:left w:val="single" w:sz="4" w:space="0" w:color="auto"/>
              <w:bottom w:val="single" w:sz="4" w:space="0" w:color="auto"/>
              <w:right w:val="single" w:sz="4" w:space="0" w:color="auto"/>
            </w:tcBorders>
          </w:tcPr>
          <w:p w14:paraId="3D2D7F22" w14:textId="77777777" w:rsidR="003D69A8" w:rsidRPr="005E1EA7" w:rsidRDefault="003D69A8" w:rsidP="006365F0">
            <w:pPr>
              <w:jc w:val="both"/>
              <w:rPr>
                <w:rFonts w:ascii="Tahoma" w:hAnsi="Tahoma" w:cs="Tahoma"/>
                <w:i/>
                <w:sz w:val="20"/>
                <w:szCs w:val="20"/>
                <w:lang w:val="en-GB"/>
              </w:rPr>
            </w:pPr>
            <w:r w:rsidRPr="005E1EA7">
              <w:rPr>
                <w:rFonts w:ascii="Tahoma" w:hAnsi="Tahoma" w:cs="Tahoma"/>
                <w:i/>
                <w:sz w:val="20"/>
                <w:szCs w:val="20"/>
                <w:lang w:val="en-GB"/>
              </w:rPr>
              <w:t>Extra</w:t>
            </w:r>
          </w:p>
        </w:tc>
        <w:tc>
          <w:tcPr>
            <w:tcW w:w="1749" w:type="dxa"/>
            <w:tcBorders>
              <w:top w:val="single" w:sz="4" w:space="0" w:color="auto"/>
              <w:left w:val="single" w:sz="4" w:space="0" w:color="auto"/>
              <w:bottom w:val="single" w:sz="4" w:space="0" w:color="auto"/>
              <w:right w:val="single" w:sz="4" w:space="0" w:color="auto"/>
            </w:tcBorders>
          </w:tcPr>
          <w:p w14:paraId="1573109F" w14:textId="77777777" w:rsidR="003D69A8" w:rsidRPr="005E1EA7" w:rsidRDefault="003D69A8" w:rsidP="006365F0">
            <w:pPr>
              <w:jc w:val="both"/>
              <w:rPr>
                <w:rFonts w:ascii="Tahoma" w:hAnsi="Tahoma" w:cs="Tahoma"/>
                <w:i/>
                <w:sz w:val="20"/>
                <w:szCs w:val="20"/>
                <w:lang w:val="en-GB"/>
              </w:rPr>
            </w:pPr>
            <w:r w:rsidRPr="005E1EA7">
              <w:rPr>
                <w:rFonts w:ascii="Tahoma" w:hAnsi="Tahoma" w:cs="Tahoma"/>
                <w:i/>
                <w:sz w:val="20"/>
                <w:szCs w:val="20"/>
                <w:lang w:val="en-GB"/>
              </w:rPr>
              <w:t>A</w:t>
            </w:r>
          </w:p>
        </w:tc>
        <w:tc>
          <w:tcPr>
            <w:tcW w:w="2220" w:type="dxa"/>
            <w:tcBorders>
              <w:top w:val="single" w:sz="4" w:space="0" w:color="auto"/>
              <w:left w:val="single" w:sz="4" w:space="0" w:color="auto"/>
              <w:bottom w:val="single" w:sz="4" w:space="0" w:color="auto"/>
              <w:right w:val="single" w:sz="4" w:space="0" w:color="auto"/>
            </w:tcBorders>
          </w:tcPr>
          <w:p w14:paraId="7A51725C" w14:textId="77777777" w:rsidR="003D69A8" w:rsidRPr="005E1EA7" w:rsidRDefault="003D69A8" w:rsidP="006365F0">
            <w:pPr>
              <w:jc w:val="both"/>
              <w:rPr>
                <w:rFonts w:ascii="Tahoma" w:hAnsi="Tahoma" w:cs="Tahoma"/>
                <w:i/>
                <w:sz w:val="20"/>
                <w:szCs w:val="20"/>
                <w:lang w:val="en-GB"/>
              </w:rPr>
            </w:pPr>
            <w:r w:rsidRPr="005E1EA7">
              <w:rPr>
                <w:rFonts w:ascii="Tahoma" w:hAnsi="Tahoma" w:cs="Tahoma"/>
                <w:i/>
                <w:sz w:val="20"/>
                <w:szCs w:val="20"/>
                <w:lang w:val="en-GB"/>
              </w:rPr>
              <w:t>B</w:t>
            </w:r>
          </w:p>
        </w:tc>
        <w:tc>
          <w:tcPr>
            <w:tcW w:w="845" w:type="dxa"/>
            <w:tcBorders>
              <w:top w:val="single" w:sz="4" w:space="0" w:color="auto"/>
              <w:left w:val="single" w:sz="4" w:space="0" w:color="auto"/>
              <w:bottom w:val="single" w:sz="4" w:space="0" w:color="auto"/>
              <w:right w:val="single" w:sz="4" w:space="0" w:color="auto"/>
            </w:tcBorders>
          </w:tcPr>
          <w:p w14:paraId="219D2205"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Non admis</w:t>
            </w:r>
          </w:p>
        </w:tc>
      </w:tr>
      <w:tr w:rsidR="003D69A8" w:rsidRPr="005E1EA7" w14:paraId="2762EC79" w14:textId="77777777" w:rsidTr="006365F0">
        <w:trPr>
          <w:trHeight w:val="668"/>
        </w:trPr>
        <w:tc>
          <w:tcPr>
            <w:tcW w:w="1946" w:type="dxa"/>
            <w:tcBorders>
              <w:top w:val="single" w:sz="4" w:space="0" w:color="auto"/>
              <w:left w:val="single" w:sz="4" w:space="0" w:color="auto"/>
              <w:bottom w:val="single" w:sz="4" w:space="0" w:color="auto"/>
              <w:right w:val="single" w:sz="4" w:space="0" w:color="auto"/>
            </w:tcBorders>
          </w:tcPr>
          <w:p w14:paraId="331C0132"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lastRenderedPageBreak/>
              <w:t>Peau</w:t>
            </w:r>
          </w:p>
        </w:tc>
        <w:tc>
          <w:tcPr>
            <w:tcW w:w="2449" w:type="dxa"/>
            <w:tcBorders>
              <w:top w:val="single" w:sz="4" w:space="0" w:color="auto"/>
              <w:left w:val="single" w:sz="4" w:space="0" w:color="auto"/>
              <w:bottom w:val="single" w:sz="4" w:space="0" w:color="auto"/>
              <w:right w:val="single" w:sz="4" w:space="0" w:color="auto"/>
            </w:tcBorders>
          </w:tcPr>
          <w:p w14:paraId="54669E13"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Pigmentation vive iridescente et brillante, mucus aqueux</w:t>
            </w:r>
          </w:p>
        </w:tc>
        <w:tc>
          <w:tcPr>
            <w:tcW w:w="1749" w:type="dxa"/>
            <w:tcBorders>
              <w:top w:val="single" w:sz="4" w:space="0" w:color="auto"/>
              <w:left w:val="single" w:sz="4" w:space="0" w:color="auto"/>
              <w:bottom w:val="single" w:sz="4" w:space="0" w:color="auto"/>
              <w:right w:val="single" w:sz="4" w:space="0" w:color="auto"/>
            </w:tcBorders>
          </w:tcPr>
          <w:p w14:paraId="7FCB209B"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Pigmentation vive; mucus aqueux</w:t>
            </w:r>
          </w:p>
        </w:tc>
        <w:tc>
          <w:tcPr>
            <w:tcW w:w="2220" w:type="dxa"/>
            <w:tcBorders>
              <w:top w:val="single" w:sz="4" w:space="0" w:color="auto"/>
              <w:left w:val="single" w:sz="4" w:space="0" w:color="auto"/>
              <w:bottom w:val="single" w:sz="4" w:space="0" w:color="auto"/>
              <w:right w:val="single" w:sz="4" w:space="0" w:color="auto"/>
            </w:tcBorders>
          </w:tcPr>
          <w:p w14:paraId="2EAED51E"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Pigmentation se décolorant et ternie, mucus opaque</w:t>
            </w:r>
          </w:p>
        </w:tc>
        <w:tc>
          <w:tcPr>
            <w:tcW w:w="845" w:type="dxa"/>
            <w:tcBorders>
              <w:top w:val="single" w:sz="4" w:space="0" w:color="auto"/>
              <w:left w:val="single" w:sz="4" w:space="0" w:color="auto"/>
              <w:bottom w:val="single" w:sz="4" w:space="0" w:color="auto"/>
              <w:right w:val="single" w:sz="4" w:space="0" w:color="auto"/>
            </w:tcBorders>
          </w:tcPr>
          <w:p w14:paraId="0432AEA7"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Décoloration, peau plissée, mucus épais</w:t>
            </w:r>
          </w:p>
        </w:tc>
      </w:tr>
      <w:tr w:rsidR="003D69A8" w:rsidRPr="005E1EA7" w14:paraId="17DAC44B" w14:textId="77777777" w:rsidTr="006365F0">
        <w:trPr>
          <w:trHeight w:val="254"/>
        </w:trPr>
        <w:tc>
          <w:tcPr>
            <w:tcW w:w="1946" w:type="dxa"/>
            <w:tcBorders>
              <w:top w:val="single" w:sz="4" w:space="0" w:color="auto"/>
              <w:left w:val="single" w:sz="4" w:space="0" w:color="auto"/>
              <w:bottom w:val="single" w:sz="4" w:space="0" w:color="auto"/>
              <w:right w:val="single" w:sz="4" w:space="0" w:color="auto"/>
            </w:tcBorders>
          </w:tcPr>
          <w:p w14:paraId="1916B374"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Texture de la peau</w:t>
            </w:r>
          </w:p>
        </w:tc>
        <w:tc>
          <w:tcPr>
            <w:tcW w:w="2449" w:type="dxa"/>
            <w:tcBorders>
              <w:top w:val="single" w:sz="4" w:space="0" w:color="auto"/>
              <w:left w:val="single" w:sz="4" w:space="0" w:color="auto"/>
              <w:bottom w:val="single" w:sz="4" w:space="0" w:color="auto"/>
              <w:right w:val="single" w:sz="4" w:space="0" w:color="auto"/>
            </w:tcBorders>
          </w:tcPr>
          <w:p w14:paraId="16EF2649"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Ferme et élastique</w:t>
            </w:r>
          </w:p>
        </w:tc>
        <w:tc>
          <w:tcPr>
            <w:tcW w:w="1749" w:type="dxa"/>
            <w:tcBorders>
              <w:top w:val="single" w:sz="4" w:space="0" w:color="auto"/>
              <w:left w:val="single" w:sz="4" w:space="0" w:color="auto"/>
              <w:bottom w:val="single" w:sz="4" w:space="0" w:color="auto"/>
              <w:right w:val="single" w:sz="4" w:space="0" w:color="auto"/>
            </w:tcBorders>
          </w:tcPr>
          <w:p w14:paraId="6F9C7A62"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Ferme</w:t>
            </w:r>
          </w:p>
        </w:tc>
        <w:tc>
          <w:tcPr>
            <w:tcW w:w="2220" w:type="dxa"/>
            <w:tcBorders>
              <w:top w:val="single" w:sz="4" w:space="0" w:color="auto"/>
              <w:left w:val="single" w:sz="4" w:space="0" w:color="auto"/>
              <w:bottom w:val="single" w:sz="4" w:space="0" w:color="auto"/>
              <w:right w:val="single" w:sz="4" w:space="0" w:color="auto"/>
            </w:tcBorders>
          </w:tcPr>
          <w:p w14:paraId="611006D3"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Molle</w:t>
            </w:r>
          </w:p>
        </w:tc>
        <w:tc>
          <w:tcPr>
            <w:tcW w:w="845" w:type="dxa"/>
            <w:tcBorders>
              <w:top w:val="single" w:sz="4" w:space="0" w:color="auto"/>
              <w:left w:val="single" w:sz="4" w:space="0" w:color="auto"/>
              <w:bottom w:val="single" w:sz="4" w:space="0" w:color="auto"/>
              <w:right w:val="single" w:sz="4" w:space="0" w:color="auto"/>
            </w:tcBorders>
          </w:tcPr>
          <w:p w14:paraId="3EE2A4D8"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Flasque</w:t>
            </w:r>
          </w:p>
        </w:tc>
      </w:tr>
      <w:tr w:rsidR="003D69A8" w:rsidRPr="005E1EA7" w14:paraId="5BD92545" w14:textId="77777777" w:rsidTr="006365F0">
        <w:trPr>
          <w:trHeight w:val="413"/>
        </w:trPr>
        <w:tc>
          <w:tcPr>
            <w:tcW w:w="1946" w:type="dxa"/>
            <w:tcBorders>
              <w:top w:val="single" w:sz="4" w:space="0" w:color="auto"/>
              <w:left w:val="single" w:sz="4" w:space="0" w:color="auto"/>
              <w:bottom w:val="single" w:sz="4" w:space="0" w:color="auto"/>
              <w:right w:val="single" w:sz="4" w:space="0" w:color="auto"/>
            </w:tcBorders>
          </w:tcPr>
          <w:p w14:paraId="3EA93236"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Aspect</w:t>
            </w:r>
          </w:p>
        </w:tc>
        <w:tc>
          <w:tcPr>
            <w:tcW w:w="2449" w:type="dxa"/>
            <w:tcBorders>
              <w:top w:val="single" w:sz="4" w:space="0" w:color="auto"/>
              <w:left w:val="single" w:sz="4" w:space="0" w:color="auto"/>
              <w:bottom w:val="single" w:sz="4" w:space="0" w:color="auto"/>
              <w:right w:val="single" w:sz="4" w:space="0" w:color="auto"/>
            </w:tcBorders>
          </w:tcPr>
          <w:p w14:paraId="7BF80799"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Bordure des nageoires translucide et arrondie</w:t>
            </w:r>
          </w:p>
        </w:tc>
        <w:tc>
          <w:tcPr>
            <w:tcW w:w="1749" w:type="dxa"/>
            <w:tcBorders>
              <w:top w:val="single" w:sz="4" w:space="0" w:color="auto"/>
              <w:left w:val="single" w:sz="4" w:space="0" w:color="auto"/>
              <w:bottom w:val="single" w:sz="4" w:space="0" w:color="auto"/>
              <w:right w:val="single" w:sz="4" w:space="0" w:color="auto"/>
            </w:tcBorders>
          </w:tcPr>
          <w:p w14:paraId="75486B72"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Nageoires raides</w:t>
            </w:r>
          </w:p>
        </w:tc>
        <w:tc>
          <w:tcPr>
            <w:tcW w:w="2220" w:type="dxa"/>
            <w:tcBorders>
              <w:top w:val="single" w:sz="4" w:space="0" w:color="auto"/>
              <w:left w:val="single" w:sz="4" w:space="0" w:color="auto"/>
              <w:bottom w:val="single" w:sz="4" w:space="0" w:color="auto"/>
              <w:right w:val="single" w:sz="4" w:space="0" w:color="auto"/>
            </w:tcBorders>
          </w:tcPr>
          <w:p w14:paraId="764EDFC9"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Molle</w:t>
            </w:r>
          </w:p>
        </w:tc>
        <w:tc>
          <w:tcPr>
            <w:tcW w:w="845" w:type="dxa"/>
            <w:tcBorders>
              <w:top w:val="single" w:sz="4" w:space="0" w:color="auto"/>
              <w:left w:val="single" w:sz="4" w:space="0" w:color="auto"/>
              <w:bottom w:val="single" w:sz="4" w:space="0" w:color="auto"/>
              <w:right w:val="single" w:sz="4" w:space="0" w:color="auto"/>
            </w:tcBorders>
          </w:tcPr>
          <w:p w14:paraId="4AEC0719"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Molle et flasque</w:t>
            </w:r>
          </w:p>
        </w:tc>
      </w:tr>
      <w:tr w:rsidR="003D69A8" w:rsidRPr="005E1EA7" w14:paraId="7248CD12" w14:textId="77777777" w:rsidTr="006365F0">
        <w:trPr>
          <w:trHeight w:val="274"/>
        </w:trPr>
        <w:tc>
          <w:tcPr>
            <w:tcW w:w="1946" w:type="dxa"/>
            <w:tcBorders>
              <w:top w:val="single" w:sz="4" w:space="0" w:color="auto"/>
              <w:left w:val="single" w:sz="4" w:space="0" w:color="auto"/>
              <w:bottom w:val="single" w:sz="4" w:space="0" w:color="auto"/>
              <w:right w:val="single" w:sz="4" w:space="0" w:color="auto"/>
            </w:tcBorders>
          </w:tcPr>
          <w:p w14:paraId="3477A414"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Ventre</w:t>
            </w:r>
          </w:p>
        </w:tc>
        <w:tc>
          <w:tcPr>
            <w:tcW w:w="2449" w:type="dxa"/>
            <w:tcBorders>
              <w:top w:val="single" w:sz="4" w:space="0" w:color="auto"/>
              <w:left w:val="single" w:sz="4" w:space="0" w:color="auto"/>
              <w:bottom w:val="single" w:sz="4" w:space="0" w:color="auto"/>
              <w:right w:val="single" w:sz="4" w:space="0" w:color="auto"/>
            </w:tcBorders>
          </w:tcPr>
          <w:p w14:paraId="6CDE6F33"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Blanc et brillant avec des reflets mauves autour des nageoires</w:t>
            </w:r>
          </w:p>
        </w:tc>
        <w:tc>
          <w:tcPr>
            <w:tcW w:w="1749" w:type="dxa"/>
            <w:tcBorders>
              <w:top w:val="single" w:sz="4" w:space="0" w:color="auto"/>
              <w:left w:val="single" w:sz="4" w:space="0" w:color="auto"/>
              <w:bottom w:val="single" w:sz="4" w:space="0" w:color="auto"/>
              <w:right w:val="single" w:sz="4" w:space="0" w:color="auto"/>
            </w:tcBorders>
          </w:tcPr>
          <w:p w14:paraId="2C5CF2DC"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Blanc et brillant avec des taches rouges uniquement autour des nageoires</w:t>
            </w:r>
          </w:p>
        </w:tc>
        <w:tc>
          <w:tcPr>
            <w:tcW w:w="2220" w:type="dxa"/>
            <w:tcBorders>
              <w:top w:val="single" w:sz="4" w:space="0" w:color="auto"/>
              <w:left w:val="single" w:sz="4" w:space="0" w:color="auto"/>
              <w:bottom w:val="single" w:sz="4" w:space="0" w:color="auto"/>
              <w:right w:val="single" w:sz="4" w:space="0" w:color="auto"/>
            </w:tcBorders>
          </w:tcPr>
          <w:p w14:paraId="04DDBB04"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Blanc et terni, avec de nombreuses taches rouges ou jaunes</w:t>
            </w:r>
          </w:p>
        </w:tc>
        <w:tc>
          <w:tcPr>
            <w:tcW w:w="845" w:type="dxa"/>
            <w:tcBorders>
              <w:top w:val="single" w:sz="4" w:space="0" w:color="auto"/>
              <w:left w:val="single" w:sz="4" w:space="0" w:color="auto"/>
              <w:bottom w:val="single" w:sz="4" w:space="0" w:color="auto"/>
              <w:right w:val="single" w:sz="4" w:space="0" w:color="auto"/>
            </w:tcBorders>
          </w:tcPr>
          <w:p w14:paraId="495C3ACE"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Ventre jaune à verdâtre, taches rouges dans la chair elle-même</w:t>
            </w:r>
          </w:p>
        </w:tc>
      </w:tr>
    </w:tbl>
    <w:p w14:paraId="6DF01C61" w14:textId="77777777" w:rsidR="003D69A8" w:rsidRPr="005E1EA7" w:rsidRDefault="003D69A8" w:rsidP="003D69A8">
      <w:pPr>
        <w:jc w:val="both"/>
        <w:rPr>
          <w:rFonts w:ascii="Tahoma" w:hAnsi="Tahoma" w:cs="Tahoma"/>
          <w:i/>
          <w:sz w:val="20"/>
          <w:szCs w:val="20"/>
        </w:rPr>
      </w:pPr>
    </w:p>
    <w:p w14:paraId="2F7DA435" w14:textId="77777777" w:rsidR="003D69A8" w:rsidRPr="005E1EA7" w:rsidRDefault="003D69A8" w:rsidP="003D69A8">
      <w:pPr>
        <w:jc w:val="both"/>
        <w:rPr>
          <w:rFonts w:ascii="Tahoma" w:hAnsi="Tahoma" w:cs="Tahoma"/>
          <w:b/>
          <w:sz w:val="20"/>
          <w:szCs w:val="20"/>
        </w:rPr>
      </w:pPr>
      <w:r w:rsidRPr="005E1EA7">
        <w:rPr>
          <w:rFonts w:ascii="Tahoma" w:hAnsi="Tahoma" w:cs="Tahoma"/>
          <w:b/>
          <w:sz w:val="20"/>
          <w:szCs w:val="20"/>
        </w:rPr>
        <w:t xml:space="preserve">D. CRITERES POUR LES CÉPHALOPODES </w:t>
      </w:r>
    </w:p>
    <w:p w14:paraId="02115F8C" w14:textId="77777777" w:rsidR="003D69A8" w:rsidRPr="005E1EA7" w:rsidRDefault="003D69A8" w:rsidP="003D69A8">
      <w:pPr>
        <w:jc w:val="both"/>
        <w:rPr>
          <w:rFonts w:ascii="Tahoma" w:hAnsi="Tahoma" w:cs="Tahoma"/>
          <w:b/>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56"/>
        <w:gridCol w:w="2425"/>
        <w:gridCol w:w="2835"/>
        <w:gridCol w:w="2693"/>
      </w:tblGrid>
      <w:tr w:rsidR="003D69A8" w:rsidRPr="005E1EA7" w14:paraId="0760CF4B" w14:textId="77777777" w:rsidTr="006365F0">
        <w:trPr>
          <w:cantSplit/>
          <w:trHeight w:val="195"/>
        </w:trPr>
        <w:tc>
          <w:tcPr>
            <w:tcW w:w="1256" w:type="dxa"/>
            <w:vMerge w:val="restart"/>
          </w:tcPr>
          <w:p w14:paraId="6F8B2C9D" w14:textId="77777777" w:rsidR="003D69A8" w:rsidRPr="005E1EA7" w:rsidRDefault="003D69A8" w:rsidP="006365F0">
            <w:pPr>
              <w:jc w:val="both"/>
              <w:rPr>
                <w:rFonts w:ascii="Tahoma" w:hAnsi="Tahoma" w:cs="Tahoma"/>
                <w:i/>
                <w:sz w:val="20"/>
                <w:szCs w:val="20"/>
              </w:rPr>
            </w:pPr>
          </w:p>
        </w:tc>
        <w:tc>
          <w:tcPr>
            <w:tcW w:w="7953" w:type="dxa"/>
            <w:gridSpan w:val="3"/>
          </w:tcPr>
          <w:p w14:paraId="493B6A10"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Critères Catégories de fraîcheur</w:t>
            </w:r>
          </w:p>
        </w:tc>
      </w:tr>
      <w:tr w:rsidR="003D69A8" w:rsidRPr="005E1EA7" w14:paraId="3F5B7195" w14:textId="77777777" w:rsidTr="006365F0">
        <w:trPr>
          <w:cantSplit/>
          <w:trHeight w:val="145"/>
        </w:trPr>
        <w:tc>
          <w:tcPr>
            <w:tcW w:w="1256" w:type="dxa"/>
            <w:vMerge/>
          </w:tcPr>
          <w:p w14:paraId="27FD1DCE" w14:textId="77777777" w:rsidR="003D69A8" w:rsidRPr="005E1EA7" w:rsidRDefault="003D69A8" w:rsidP="006365F0">
            <w:pPr>
              <w:jc w:val="both"/>
              <w:rPr>
                <w:rFonts w:ascii="Tahoma" w:hAnsi="Tahoma" w:cs="Tahoma"/>
                <w:i/>
                <w:sz w:val="20"/>
                <w:szCs w:val="20"/>
              </w:rPr>
            </w:pPr>
          </w:p>
        </w:tc>
        <w:tc>
          <w:tcPr>
            <w:tcW w:w="2425" w:type="dxa"/>
          </w:tcPr>
          <w:p w14:paraId="346D2C19" w14:textId="77777777" w:rsidR="003D69A8" w:rsidRPr="005E1EA7" w:rsidRDefault="003D69A8" w:rsidP="006365F0">
            <w:pPr>
              <w:jc w:val="both"/>
              <w:rPr>
                <w:rFonts w:ascii="Tahoma" w:hAnsi="Tahoma" w:cs="Tahoma"/>
                <w:iCs/>
                <w:sz w:val="20"/>
                <w:szCs w:val="20"/>
              </w:rPr>
            </w:pPr>
            <w:r w:rsidRPr="005E1EA7">
              <w:rPr>
                <w:rFonts w:ascii="Tahoma" w:hAnsi="Tahoma" w:cs="Tahoma"/>
                <w:iCs/>
                <w:sz w:val="20"/>
                <w:szCs w:val="20"/>
              </w:rPr>
              <w:t>Extra</w:t>
            </w:r>
          </w:p>
        </w:tc>
        <w:tc>
          <w:tcPr>
            <w:tcW w:w="2835" w:type="dxa"/>
          </w:tcPr>
          <w:p w14:paraId="5B4180C4" w14:textId="77777777" w:rsidR="003D69A8" w:rsidRPr="005E1EA7" w:rsidRDefault="003D69A8" w:rsidP="006365F0">
            <w:pPr>
              <w:jc w:val="both"/>
              <w:rPr>
                <w:rFonts w:ascii="Tahoma" w:hAnsi="Tahoma" w:cs="Tahoma"/>
                <w:iCs/>
                <w:sz w:val="20"/>
                <w:szCs w:val="20"/>
              </w:rPr>
            </w:pPr>
            <w:r w:rsidRPr="005E1EA7">
              <w:rPr>
                <w:rFonts w:ascii="Tahoma" w:hAnsi="Tahoma" w:cs="Tahoma"/>
                <w:iCs/>
                <w:sz w:val="20"/>
                <w:szCs w:val="20"/>
              </w:rPr>
              <w:t>A</w:t>
            </w:r>
          </w:p>
        </w:tc>
        <w:tc>
          <w:tcPr>
            <w:tcW w:w="2693" w:type="dxa"/>
          </w:tcPr>
          <w:p w14:paraId="7AF5B631" w14:textId="77777777" w:rsidR="003D69A8" w:rsidRPr="005E1EA7" w:rsidRDefault="003D69A8" w:rsidP="006365F0">
            <w:pPr>
              <w:jc w:val="both"/>
              <w:rPr>
                <w:rFonts w:ascii="Tahoma" w:hAnsi="Tahoma" w:cs="Tahoma"/>
                <w:iCs/>
                <w:sz w:val="20"/>
                <w:szCs w:val="20"/>
              </w:rPr>
            </w:pPr>
            <w:r w:rsidRPr="005E1EA7">
              <w:rPr>
                <w:rFonts w:ascii="Tahoma" w:hAnsi="Tahoma" w:cs="Tahoma"/>
                <w:iCs/>
                <w:sz w:val="20"/>
                <w:szCs w:val="20"/>
              </w:rPr>
              <w:t>B</w:t>
            </w:r>
          </w:p>
        </w:tc>
      </w:tr>
      <w:tr w:rsidR="003D69A8" w:rsidRPr="005E1EA7" w14:paraId="75CD8473" w14:textId="77777777" w:rsidTr="006365F0">
        <w:trPr>
          <w:trHeight w:val="333"/>
        </w:trPr>
        <w:tc>
          <w:tcPr>
            <w:tcW w:w="1256" w:type="dxa"/>
          </w:tcPr>
          <w:p w14:paraId="32213DAB"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Peau</w:t>
            </w:r>
          </w:p>
        </w:tc>
        <w:tc>
          <w:tcPr>
            <w:tcW w:w="2425" w:type="dxa"/>
          </w:tcPr>
          <w:p w14:paraId="4047891C" w14:textId="77777777" w:rsidR="003D69A8" w:rsidRPr="005E1EA7" w:rsidRDefault="003D69A8" w:rsidP="006365F0">
            <w:pPr>
              <w:rPr>
                <w:rFonts w:ascii="Tahoma" w:hAnsi="Tahoma" w:cs="Tahoma"/>
                <w:iCs/>
                <w:sz w:val="20"/>
                <w:szCs w:val="20"/>
              </w:rPr>
            </w:pPr>
            <w:r w:rsidRPr="005E1EA7">
              <w:rPr>
                <w:rFonts w:ascii="Tahoma" w:hAnsi="Tahoma" w:cs="Tahoma"/>
                <w:iCs/>
                <w:sz w:val="20"/>
                <w:szCs w:val="20"/>
              </w:rPr>
              <w:t>Pigmentation vive, peau adhérant à la chair</w:t>
            </w:r>
          </w:p>
        </w:tc>
        <w:tc>
          <w:tcPr>
            <w:tcW w:w="2835" w:type="dxa"/>
          </w:tcPr>
          <w:p w14:paraId="1363D5A9" w14:textId="77777777" w:rsidR="003D69A8" w:rsidRPr="005E1EA7" w:rsidRDefault="003D69A8" w:rsidP="006365F0">
            <w:pPr>
              <w:rPr>
                <w:rFonts w:ascii="Tahoma" w:hAnsi="Tahoma" w:cs="Tahoma"/>
                <w:iCs/>
                <w:sz w:val="20"/>
                <w:szCs w:val="20"/>
              </w:rPr>
            </w:pPr>
            <w:r w:rsidRPr="005E1EA7">
              <w:rPr>
                <w:rFonts w:ascii="Tahoma" w:hAnsi="Tahoma" w:cs="Tahoma"/>
                <w:iCs/>
                <w:sz w:val="20"/>
                <w:szCs w:val="20"/>
              </w:rPr>
              <w:t>Pigmentation ternie, peau adhérant à la chair</w:t>
            </w:r>
          </w:p>
        </w:tc>
        <w:tc>
          <w:tcPr>
            <w:tcW w:w="2693" w:type="dxa"/>
          </w:tcPr>
          <w:p w14:paraId="780869BE" w14:textId="77777777" w:rsidR="003D69A8" w:rsidRPr="005E1EA7" w:rsidRDefault="003D69A8" w:rsidP="006365F0">
            <w:pPr>
              <w:rPr>
                <w:rFonts w:ascii="Tahoma" w:hAnsi="Tahoma" w:cs="Tahoma"/>
                <w:iCs/>
                <w:sz w:val="20"/>
                <w:szCs w:val="20"/>
              </w:rPr>
            </w:pPr>
            <w:r w:rsidRPr="005E1EA7">
              <w:rPr>
                <w:rFonts w:ascii="Tahoma" w:hAnsi="Tahoma" w:cs="Tahoma"/>
                <w:iCs/>
                <w:sz w:val="20"/>
                <w:szCs w:val="20"/>
              </w:rPr>
              <w:t>Décolorée, se détachant facilement de la chair</w:t>
            </w:r>
          </w:p>
        </w:tc>
      </w:tr>
      <w:tr w:rsidR="003D69A8" w:rsidRPr="005E1EA7" w14:paraId="72D94874" w14:textId="77777777" w:rsidTr="006365F0">
        <w:trPr>
          <w:trHeight w:val="439"/>
        </w:trPr>
        <w:tc>
          <w:tcPr>
            <w:tcW w:w="1256" w:type="dxa"/>
          </w:tcPr>
          <w:p w14:paraId="685F154E"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Chair</w:t>
            </w:r>
          </w:p>
        </w:tc>
        <w:tc>
          <w:tcPr>
            <w:tcW w:w="2425" w:type="dxa"/>
          </w:tcPr>
          <w:p w14:paraId="22C12FF9" w14:textId="77777777" w:rsidR="003D69A8" w:rsidRPr="005E1EA7" w:rsidRDefault="003D69A8" w:rsidP="006365F0">
            <w:pPr>
              <w:rPr>
                <w:rFonts w:ascii="Tahoma" w:hAnsi="Tahoma" w:cs="Tahoma"/>
                <w:iCs/>
                <w:sz w:val="20"/>
                <w:szCs w:val="20"/>
              </w:rPr>
            </w:pPr>
            <w:r w:rsidRPr="005E1EA7">
              <w:rPr>
                <w:rFonts w:ascii="Tahoma" w:hAnsi="Tahoma" w:cs="Tahoma"/>
                <w:iCs/>
                <w:sz w:val="20"/>
                <w:szCs w:val="20"/>
              </w:rPr>
              <w:t>Très ferme ; blanche nacrée</w:t>
            </w:r>
          </w:p>
        </w:tc>
        <w:tc>
          <w:tcPr>
            <w:tcW w:w="2835" w:type="dxa"/>
          </w:tcPr>
          <w:p w14:paraId="685A26BE" w14:textId="77777777" w:rsidR="003D69A8" w:rsidRPr="005E1EA7" w:rsidRDefault="003D69A8" w:rsidP="006365F0">
            <w:pPr>
              <w:rPr>
                <w:rFonts w:ascii="Tahoma" w:hAnsi="Tahoma" w:cs="Tahoma"/>
                <w:iCs/>
                <w:sz w:val="20"/>
                <w:szCs w:val="20"/>
              </w:rPr>
            </w:pPr>
            <w:r w:rsidRPr="005E1EA7">
              <w:rPr>
                <w:rFonts w:ascii="Tahoma" w:hAnsi="Tahoma" w:cs="Tahoma"/>
                <w:iCs/>
                <w:sz w:val="20"/>
                <w:szCs w:val="20"/>
              </w:rPr>
              <w:t>Ferme, blanche crayeuse</w:t>
            </w:r>
          </w:p>
        </w:tc>
        <w:tc>
          <w:tcPr>
            <w:tcW w:w="2693" w:type="dxa"/>
          </w:tcPr>
          <w:p w14:paraId="658D2535" w14:textId="77777777" w:rsidR="003D69A8" w:rsidRPr="005E1EA7" w:rsidRDefault="003D69A8" w:rsidP="006365F0">
            <w:pPr>
              <w:rPr>
                <w:rFonts w:ascii="Tahoma" w:hAnsi="Tahoma" w:cs="Tahoma"/>
                <w:iCs/>
                <w:sz w:val="20"/>
                <w:szCs w:val="20"/>
              </w:rPr>
            </w:pPr>
            <w:r w:rsidRPr="005E1EA7">
              <w:rPr>
                <w:rFonts w:ascii="Tahoma" w:hAnsi="Tahoma" w:cs="Tahoma"/>
                <w:iCs/>
                <w:sz w:val="20"/>
                <w:szCs w:val="20"/>
              </w:rPr>
              <w:t>Légèrement molle, blanc rosé ou jaunissant légèrement</w:t>
            </w:r>
          </w:p>
        </w:tc>
      </w:tr>
      <w:tr w:rsidR="003D69A8" w:rsidRPr="005E1EA7" w14:paraId="561FA6FD" w14:textId="77777777" w:rsidTr="006365F0">
        <w:trPr>
          <w:trHeight w:val="247"/>
        </w:trPr>
        <w:tc>
          <w:tcPr>
            <w:tcW w:w="1256" w:type="dxa"/>
          </w:tcPr>
          <w:p w14:paraId="14BD810E"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Tentacules</w:t>
            </w:r>
          </w:p>
        </w:tc>
        <w:tc>
          <w:tcPr>
            <w:tcW w:w="2425" w:type="dxa"/>
          </w:tcPr>
          <w:p w14:paraId="450CB3C0" w14:textId="77777777" w:rsidR="003D69A8" w:rsidRPr="005E1EA7" w:rsidRDefault="003D69A8" w:rsidP="006365F0">
            <w:pPr>
              <w:rPr>
                <w:rFonts w:ascii="Tahoma" w:hAnsi="Tahoma" w:cs="Tahoma"/>
                <w:iCs/>
                <w:sz w:val="20"/>
                <w:szCs w:val="20"/>
              </w:rPr>
            </w:pPr>
            <w:r w:rsidRPr="005E1EA7">
              <w:rPr>
                <w:rFonts w:ascii="Tahoma" w:hAnsi="Tahoma" w:cs="Tahoma"/>
                <w:iCs/>
                <w:sz w:val="20"/>
                <w:szCs w:val="20"/>
              </w:rPr>
              <w:t>Résistant à l'arrachement</w:t>
            </w:r>
          </w:p>
        </w:tc>
        <w:tc>
          <w:tcPr>
            <w:tcW w:w="2835" w:type="dxa"/>
          </w:tcPr>
          <w:p w14:paraId="1358B966" w14:textId="77777777" w:rsidR="003D69A8" w:rsidRPr="005E1EA7" w:rsidRDefault="003D69A8" w:rsidP="006365F0">
            <w:pPr>
              <w:rPr>
                <w:rFonts w:ascii="Tahoma" w:hAnsi="Tahoma" w:cs="Tahoma"/>
                <w:iCs/>
                <w:sz w:val="20"/>
                <w:szCs w:val="20"/>
              </w:rPr>
            </w:pPr>
            <w:r w:rsidRPr="005E1EA7">
              <w:rPr>
                <w:rFonts w:ascii="Tahoma" w:hAnsi="Tahoma" w:cs="Tahoma"/>
                <w:iCs/>
                <w:sz w:val="20"/>
                <w:szCs w:val="20"/>
              </w:rPr>
              <w:t>Résistant à l'arrachement</w:t>
            </w:r>
          </w:p>
        </w:tc>
        <w:tc>
          <w:tcPr>
            <w:tcW w:w="2693" w:type="dxa"/>
          </w:tcPr>
          <w:p w14:paraId="4DCD4011" w14:textId="77777777" w:rsidR="003D69A8" w:rsidRPr="005E1EA7" w:rsidRDefault="003D69A8" w:rsidP="006365F0">
            <w:pPr>
              <w:rPr>
                <w:rFonts w:ascii="Tahoma" w:hAnsi="Tahoma" w:cs="Tahoma"/>
                <w:iCs/>
                <w:sz w:val="20"/>
                <w:szCs w:val="20"/>
              </w:rPr>
            </w:pPr>
            <w:r w:rsidRPr="005E1EA7">
              <w:rPr>
                <w:rFonts w:ascii="Tahoma" w:hAnsi="Tahoma" w:cs="Tahoma"/>
                <w:iCs/>
                <w:sz w:val="20"/>
                <w:szCs w:val="20"/>
              </w:rPr>
              <w:t>S'arrachant plus facilement</w:t>
            </w:r>
          </w:p>
        </w:tc>
      </w:tr>
      <w:tr w:rsidR="003D69A8" w:rsidRPr="005E1EA7" w14:paraId="5E7CFC7D" w14:textId="77777777" w:rsidTr="006365F0">
        <w:trPr>
          <w:trHeight w:val="265"/>
        </w:trPr>
        <w:tc>
          <w:tcPr>
            <w:tcW w:w="1256" w:type="dxa"/>
          </w:tcPr>
          <w:p w14:paraId="17561772"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Odeur</w:t>
            </w:r>
          </w:p>
        </w:tc>
        <w:tc>
          <w:tcPr>
            <w:tcW w:w="2425" w:type="dxa"/>
          </w:tcPr>
          <w:p w14:paraId="5CCE3A97" w14:textId="77777777" w:rsidR="003D69A8" w:rsidRPr="005E1EA7" w:rsidRDefault="003D69A8" w:rsidP="006365F0">
            <w:pPr>
              <w:rPr>
                <w:rFonts w:ascii="Tahoma" w:hAnsi="Tahoma" w:cs="Tahoma"/>
                <w:iCs/>
                <w:sz w:val="20"/>
                <w:szCs w:val="20"/>
              </w:rPr>
            </w:pPr>
            <w:r w:rsidRPr="005E1EA7">
              <w:rPr>
                <w:rFonts w:ascii="Tahoma" w:hAnsi="Tahoma" w:cs="Tahoma"/>
                <w:iCs/>
                <w:sz w:val="20"/>
                <w:szCs w:val="20"/>
              </w:rPr>
              <w:t>Fraîche, d'algues marines</w:t>
            </w:r>
          </w:p>
        </w:tc>
        <w:tc>
          <w:tcPr>
            <w:tcW w:w="2835" w:type="dxa"/>
          </w:tcPr>
          <w:p w14:paraId="6EAAAC50" w14:textId="77777777" w:rsidR="003D69A8" w:rsidRPr="005E1EA7" w:rsidRDefault="003D69A8" w:rsidP="006365F0">
            <w:pPr>
              <w:rPr>
                <w:rFonts w:ascii="Tahoma" w:hAnsi="Tahoma" w:cs="Tahoma"/>
                <w:iCs/>
                <w:sz w:val="20"/>
                <w:szCs w:val="20"/>
              </w:rPr>
            </w:pPr>
            <w:r w:rsidRPr="005E1EA7">
              <w:rPr>
                <w:rFonts w:ascii="Tahoma" w:hAnsi="Tahoma" w:cs="Tahoma"/>
                <w:iCs/>
                <w:sz w:val="20"/>
                <w:szCs w:val="20"/>
              </w:rPr>
              <w:t>Faible ou nulle</w:t>
            </w:r>
          </w:p>
        </w:tc>
        <w:tc>
          <w:tcPr>
            <w:tcW w:w="2693" w:type="dxa"/>
          </w:tcPr>
          <w:p w14:paraId="24A163C3" w14:textId="77777777" w:rsidR="003D69A8" w:rsidRPr="005E1EA7" w:rsidRDefault="003D69A8" w:rsidP="006365F0">
            <w:pPr>
              <w:rPr>
                <w:rFonts w:ascii="Tahoma" w:hAnsi="Tahoma" w:cs="Tahoma"/>
                <w:iCs/>
                <w:sz w:val="20"/>
                <w:szCs w:val="20"/>
              </w:rPr>
            </w:pPr>
            <w:r w:rsidRPr="005E1EA7">
              <w:rPr>
                <w:rFonts w:ascii="Tahoma" w:hAnsi="Tahoma" w:cs="Tahoma"/>
                <w:iCs/>
                <w:sz w:val="20"/>
                <w:szCs w:val="20"/>
              </w:rPr>
              <w:t>Odeur d'encre</w:t>
            </w:r>
          </w:p>
        </w:tc>
      </w:tr>
    </w:tbl>
    <w:p w14:paraId="7BEF40A4" w14:textId="77777777" w:rsidR="003D69A8" w:rsidRPr="005E1EA7" w:rsidRDefault="003D69A8" w:rsidP="003D69A8">
      <w:pPr>
        <w:jc w:val="both"/>
        <w:rPr>
          <w:rFonts w:ascii="Tahoma" w:hAnsi="Tahoma" w:cs="Tahoma"/>
          <w:i/>
          <w:sz w:val="20"/>
          <w:szCs w:val="20"/>
        </w:rPr>
      </w:pPr>
    </w:p>
    <w:p w14:paraId="248FCFBC" w14:textId="77777777" w:rsidR="003D69A8" w:rsidRPr="005E1EA7" w:rsidRDefault="003D69A8" w:rsidP="003D69A8">
      <w:pPr>
        <w:rPr>
          <w:rFonts w:ascii="Tahoma" w:hAnsi="Tahoma" w:cs="Tahoma"/>
          <w:b/>
          <w:sz w:val="20"/>
          <w:szCs w:val="20"/>
        </w:rPr>
      </w:pPr>
      <w:r w:rsidRPr="005E1EA7">
        <w:rPr>
          <w:rFonts w:ascii="Tahoma" w:hAnsi="Tahoma" w:cs="Tahoma"/>
          <w:b/>
          <w:sz w:val="20"/>
          <w:szCs w:val="20"/>
        </w:rPr>
        <w:t xml:space="preserve">E. CRITERES POUR LES CREVETTES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4"/>
        <w:gridCol w:w="3922"/>
        <w:gridCol w:w="2693"/>
      </w:tblGrid>
      <w:tr w:rsidR="003D69A8" w:rsidRPr="005E1EA7" w14:paraId="14761D73" w14:textId="77777777" w:rsidTr="006365F0">
        <w:trPr>
          <w:cantSplit/>
          <w:trHeight w:val="186"/>
        </w:trPr>
        <w:tc>
          <w:tcPr>
            <w:tcW w:w="2594" w:type="dxa"/>
            <w:vMerge w:val="restart"/>
          </w:tcPr>
          <w:p w14:paraId="3C213863" w14:textId="77777777" w:rsidR="003D69A8" w:rsidRPr="005E1EA7" w:rsidRDefault="003D69A8" w:rsidP="006365F0">
            <w:pPr>
              <w:jc w:val="both"/>
              <w:rPr>
                <w:rFonts w:ascii="Tahoma" w:hAnsi="Tahoma" w:cs="Tahoma"/>
                <w:b/>
                <w:bCs/>
                <w:i/>
                <w:sz w:val="20"/>
                <w:szCs w:val="20"/>
              </w:rPr>
            </w:pPr>
          </w:p>
        </w:tc>
        <w:tc>
          <w:tcPr>
            <w:tcW w:w="6615" w:type="dxa"/>
            <w:gridSpan w:val="2"/>
          </w:tcPr>
          <w:p w14:paraId="617D06AE" w14:textId="77777777" w:rsidR="003D69A8" w:rsidRPr="005E1EA7" w:rsidRDefault="003D69A8" w:rsidP="006365F0">
            <w:pPr>
              <w:jc w:val="both"/>
              <w:rPr>
                <w:rFonts w:ascii="Tahoma" w:hAnsi="Tahoma" w:cs="Tahoma"/>
                <w:b/>
                <w:bCs/>
                <w:i/>
                <w:sz w:val="20"/>
                <w:szCs w:val="20"/>
              </w:rPr>
            </w:pPr>
            <w:r w:rsidRPr="005E1EA7">
              <w:rPr>
                <w:rFonts w:ascii="Tahoma" w:hAnsi="Tahoma" w:cs="Tahoma"/>
                <w:b/>
                <w:bCs/>
                <w:i/>
                <w:sz w:val="20"/>
                <w:szCs w:val="20"/>
              </w:rPr>
              <w:t>Catégories de fraîcheur</w:t>
            </w:r>
          </w:p>
        </w:tc>
      </w:tr>
      <w:tr w:rsidR="003D69A8" w:rsidRPr="005E1EA7" w14:paraId="4DDD8B1E" w14:textId="77777777" w:rsidTr="006365F0">
        <w:trPr>
          <w:cantSplit/>
          <w:trHeight w:val="90"/>
        </w:trPr>
        <w:tc>
          <w:tcPr>
            <w:tcW w:w="2594" w:type="dxa"/>
            <w:vMerge/>
          </w:tcPr>
          <w:p w14:paraId="12548F42" w14:textId="77777777" w:rsidR="003D69A8" w:rsidRPr="005E1EA7" w:rsidRDefault="003D69A8" w:rsidP="006365F0">
            <w:pPr>
              <w:jc w:val="both"/>
              <w:rPr>
                <w:rFonts w:ascii="Tahoma" w:hAnsi="Tahoma" w:cs="Tahoma"/>
                <w:b/>
                <w:bCs/>
                <w:i/>
                <w:sz w:val="20"/>
                <w:szCs w:val="20"/>
              </w:rPr>
            </w:pPr>
          </w:p>
        </w:tc>
        <w:tc>
          <w:tcPr>
            <w:tcW w:w="3922" w:type="dxa"/>
          </w:tcPr>
          <w:p w14:paraId="51089F95" w14:textId="77777777" w:rsidR="003D69A8" w:rsidRPr="005E1EA7" w:rsidRDefault="003D69A8" w:rsidP="006365F0">
            <w:pPr>
              <w:jc w:val="both"/>
              <w:rPr>
                <w:rFonts w:ascii="Tahoma" w:hAnsi="Tahoma" w:cs="Tahoma"/>
                <w:b/>
                <w:bCs/>
                <w:i/>
                <w:sz w:val="20"/>
                <w:szCs w:val="20"/>
              </w:rPr>
            </w:pPr>
            <w:r w:rsidRPr="005E1EA7">
              <w:rPr>
                <w:rFonts w:ascii="Tahoma" w:hAnsi="Tahoma" w:cs="Tahoma"/>
                <w:b/>
                <w:bCs/>
                <w:i/>
                <w:sz w:val="20"/>
                <w:szCs w:val="20"/>
              </w:rPr>
              <w:t>Extra</w:t>
            </w:r>
          </w:p>
        </w:tc>
        <w:tc>
          <w:tcPr>
            <w:tcW w:w="2693" w:type="dxa"/>
          </w:tcPr>
          <w:p w14:paraId="52DEF157" w14:textId="77777777" w:rsidR="003D69A8" w:rsidRPr="005E1EA7" w:rsidRDefault="003D69A8" w:rsidP="006365F0">
            <w:pPr>
              <w:jc w:val="both"/>
              <w:rPr>
                <w:rFonts w:ascii="Tahoma" w:hAnsi="Tahoma" w:cs="Tahoma"/>
                <w:b/>
                <w:bCs/>
                <w:i/>
                <w:sz w:val="20"/>
                <w:szCs w:val="20"/>
              </w:rPr>
            </w:pPr>
            <w:r w:rsidRPr="005E1EA7">
              <w:rPr>
                <w:rFonts w:ascii="Tahoma" w:hAnsi="Tahoma" w:cs="Tahoma"/>
                <w:b/>
                <w:bCs/>
                <w:i/>
                <w:sz w:val="20"/>
                <w:szCs w:val="20"/>
              </w:rPr>
              <w:t>A</w:t>
            </w:r>
          </w:p>
        </w:tc>
      </w:tr>
      <w:tr w:rsidR="003D69A8" w:rsidRPr="005E1EA7" w14:paraId="5DE35724" w14:textId="77777777" w:rsidTr="006365F0">
        <w:trPr>
          <w:trHeight w:val="1412"/>
        </w:trPr>
        <w:tc>
          <w:tcPr>
            <w:tcW w:w="2594" w:type="dxa"/>
          </w:tcPr>
          <w:p w14:paraId="472EE90C"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 xml:space="preserve">Caractéristiques minimales </w:t>
            </w:r>
          </w:p>
        </w:tc>
        <w:tc>
          <w:tcPr>
            <w:tcW w:w="3922" w:type="dxa"/>
          </w:tcPr>
          <w:p w14:paraId="6DAF4175"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 xml:space="preserve">— Surface de la carapace : humide et luisante </w:t>
            </w:r>
          </w:p>
          <w:p w14:paraId="776F0602"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 En cas de transvasement, les crevettes ne doivent pas coller les unes aux autres</w:t>
            </w:r>
          </w:p>
          <w:p w14:paraId="79467921"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 Chair sans odeur étrangère</w:t>
            </w:r>
          </w:p>
          <w:p w14:paraId="1FA1D150"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 xml:space="preserve">— Exemptes de sable, mucus et autres matières étrangères </w:t>
            </w:r>
          </w:p>
        </w:tc>
        <w:tc>
          <w:tcPr>
            <w:tcW w:w="2693" w:type="dxa"/>
          </w:tcPr>
          <w:p w14:paraId="1DE7BA50"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 xml:space="preserve">Les mêmes que celles de la catégorie Extra </w:t>
            </w:r>
          </w:p>
        </w:tc>
      </w:tr>
      <w:tr w:rsidR="003D69A8" w:rsidRPr="005E1EA7" w14:paraId="36168CDC" w14:textId="77777777" w:rsidTr="006365F0">
        <w:trPr>
          <w:trHeight w:val="1304"/>
        </w:trPr>
        <w:tc>
          <w:tcPr>
            <w:tcW w:w="2594" w:type="dxa"/>
          </w:tcPr>
          <w:p w14:paraId="7592F63D"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Aspect de la :</w:t>
            </w:r>
          </w:p>
          <w:p w14:paraId="21FD6D29"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 xml:space="preserve">1) crevette pourvue de sa carapace </w:t>
            </w:r>
          </w:p>
          <w:p w14:paraId="1251800F" w14:textId="77777777" w:rsidR="003D69A8" w:rsidRPr="005E1EA7" w:rsidRDefault="003D69A8" w:rsidP="006365F0">
            <w:pPr>
              <w:jc w:val="both"/>
              <w:rPr>
                <w:rFonts w:ascii="Tahoma" w:hAnsi="Tahoma" w:cs="Tahoma"/>
                <w:i/>
                <w:sz w:val="20"/>
                <w:szCs w:val="20"/>
              </w:rPr>
            </w:pPr>
          </w:p>
          <w:p w14:paraId="5BAA81D6" w14:textId="77777777" w:rsidR="003D69A8" w:rsidRPr="005E1EA7" w:rsidRDefault="003D69A8" w:rsidP="006365F0">
            <w:pPr>
              <w:jc w:val="both"/>
              <w:rPr>
                <w:rFonts w:ascii="Tahoma" w:hAnsi="Tahoma" w:cs="Tahoma"/>
                <w:i/>
                <w:sz w:val="20"/>
                <w:szCs w:val="20"/>
              </w:rPr>
            </w:pPr>
          </w:p>
          <w:p w14:paraId="3743C609" w14:textId="77777777" w:rsidR="003D69A8" w:rsidRPr="005E1EA7" w:rsidRDefault="003D69A8" w:rsidP="006365F0">
            <w:pPr>
              <w:jc w:val="both"/>
              <w:rPr>
                <w:rFonts w:ascii="Tahoma" w:hAnsi="Tahoma" w:cs="Tahoma"/>
                <w:i/>
                <w:sz w:val="20"/>
                <w:szCs w:val="20"/>
              </w:rPr>
            </w:pPr>
          </w:p>
          <w:p w14:paraId="3E111233"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2) crevette d'eau profonde</w:t>
            </w:r>
          </w:p>
        </w:tc>
        <w:tc>
          <w:tcPr>
            <w:tcW w:w="3922" w:type="dxa"/>
          </w:tcPr>
          <w:p w14:paraId="2FF3FA95"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 xml:space="preserve">Couleur rose-rouge clair, avec de petites taches blanches ; partie pectorale de la carapace principalement claire </w:t>
            </w:r>
          </w:p>
          <w:p w14:paraId="3DE0E79E" w14:textId="77777777" w:rsidR="003D69A8" w:rsidRPr="005E1EA7" w:rsidRDefault="003D69A8" w:rsidP="006365F0">
            <w:pPr>
              <w:jc w:val="both"/>
              <w:rPr>
                <w:rFonts w:ascii="Tahoma" w:hAnsi="Tahoma" w:cs="Tahoma"/>
                <w:i/>
                <w:sz w:val="20"/>
                <w:szCs w:val="20"/>
              </w:rPr>
            </w:pPr>
          </w:p>
          <w:p w14:paraId="782268CB" w14:textId="77777777" w:rsidR="003D69A8" w:rsidRPr="005E1EA7" w:rsidRDefault="003D69A8" w:rsidP="006365F0">
            <w:pPr>
              <w:jc w:val="both"/>
              <w:rPr>
                <w:rFonts w:ascii="Tahoma" w:hAnsi="Tahoma" w:cs="Tahoma"/>
                <w:i/>
                <w:sz w:val="20"/>
                <w:szCs w:val="20"/>
              </w:rPr>
            </w:pPr>
          </w:p>
          <w:p w14:paraId="5B1B3020" w14:textId="77777777" w:rsidR="003D69A8" w:rsidRPr="005E1EA7" w:rsidRDefault="003D69A8" w:rsidP="006365F0">
            <w:pPr>
              <w:jc w:val="both"/>
              <w:rPr>
                <w:rFonts w:ascii="Tahoma" w:hAnsi="Tahoma" w:cs="Tahoma"/>
                <w:i/>
                <w:sz w:val="20"/>
                <w:szCs w:val="20"/>
              </w:rPr>
            </w:pPr>
          </w:p>
          <w:p w14:paraId="3D12298C"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Couleur rose uniforme</w:t>
            </w:r>
          </w:p>
          <w:p w14:paraId="7CD0A53D" w14:textId="77777777" w:rsidR="003D69A8" w:rsidRPr="005E1EA7" w:rsidRDefault="003D69A8" w:rsidP="006365F0">
            <w:pPr>
              <w:jc w:val="both"/>
              <w:rPr>
                <w:rFonts w:ascii="Tahoma" w:hAnsi="Tahoma" w:cs="Tahoma"/>
                <w:i/>
                <w:sz w:val="20"/>
                <w:szCs w:val="20"/>
              </w:rPr>
            </w:pPr>
          </w:p>
        </w:tc>
        <w:tc>
          <w:tcPr>
            <w:tcW w:w="2693" w:type="dxa"/>
          </w:tcPr>
          <w:p w14:paraId="6B601D01"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 xml:space="preserve">— De rose-rouge légèrement délavé à bleu-rouge avec des taches blanches ; la partie pectorale de la carapace doit être de couleur claire tirant sur le gris </w:t>
            </w:r>
          </w:p>
          <w:p w14:paraId="61459557" w14:textId="77777777" w:rsidR="003D69A8" w:rsidRPr="005E1EA7" w:rsidRDefault="003D69A8" w:rsidP="006365F0">
            <w:pPr>
              <w:jc w:val="both"/>
              <w:rPr>
                <w:rFonts w:ascii="Tahoma" w:hAnsi="Tahoma" w:cs="Tahoma"/>
                <w:i/>
                <w:sz w:val="20"/>
                <w:szCs w:val="20"/>
              </w:rPr>
            </w:pPr>
          </w:p>
          <w:p w14:paraId="457F0CB0"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 Rose mais avec possibilité de début de noircissement de la tête</w:t>
            </w:r>
          </w:p>
        </w:tc>
      </w:tr>
      <w:tr w:rsidR="003D69A8" w:rsidRPr="005E1EA7" w14:paraId="0EA38A41" w14:textId="77777777" w:rsidTr="006365F0">
        <w:trPr>
          <w:trHeight w:val="872"/>
        </w:trPr>
        <w:tc>
          <w:tcPr>
            <w:tcW w:w="2594" w:type="dxa"/>
          </w:tcPr>
          <w:p w14:paraId="1A26B45B"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 xml:space="preserve">État de la chair pendant et après le décorticage </w:t>
            </w:r>
          </w:p>
        </w:tc>
        <w:tc>
          <w:tcPr>
            <w:tcW w:w="3922" w:type="dxa"/>
          </w:tcPr>
          <w:p w14:paraId="59E1D821"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 xml:space="preserve">— Se décortique aisément avec uniquement des pertes de chair techniquement inévitables — Ferme mais pas coriace </w:t>
            </w:r>
          </w:p>
        </w:tc>
        <w:tc>
          <w:tcPr>
            <w:tcW w:w="2693" w:type="dxa"/>
          </w:tcPr>
          <w:p w14:paraId="482D585C"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 xml:space="preserve">— Se décortique moins aisément avec de faibles pertes de chair — Moins ferme, légèrement coriace </w:t>
            </w:r>
          </w:p>
        </w:tc>
      </w:tr>
      <w:tr w:rsidR="003D69A8" w:rsidRPr="005E1EA7" w14:paraId="589F0CB5" w14:textId="77777777" w:rsidTr="006365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2594" w:type="dxa"/>
            <w:tcBorders>
              <w:top w:val="single" w:sz="4" w:space="0" w:color="auto"/>
              <w:left w:val="single" w:sz="4" w:space="0" w:color="auto"/>
              <w:bottom w:val="single" w:sz="4" w:space="0" w:color="auto"/>
              <w:right w:val="single" w:sz="4" w:space="0" w:color="auto"/>
            </w:tcBorders>
          </w:tcPr>
          <w:p w14:paraId="32FBA85F"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 xml:space="preserve">Fragments </w:t>
            </w:r>
          </w:p>
        </w:tc>
        <w:tc>
          <w:tcPr>
            <w:tcW w:w="3922" w:type="dxa"/>
            <w:tcBorders>
              <w:top w:val="single" w:sz="4" w:space="0" w:color="auto"/>
              <w:left w:val="single" w:sz="4" w:space="0" w:color="auto"/>
              <w:bottom w:val="single" w:sz="4" w:space="0" w:color="auto"/>
              <w:right w:val="single" w:sz="4" w:space="0" w:color="auto"/>
            </w:tcBorders>
          </w:tcPr>
          <w:p w14:paraId="7B77064C"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 xml:space="preserve">Rares fragments de crevettes admis </w:t>
            </w:r>
          </w:p>
        </w:tc>
        <w:tc>
          <w:tcPr>
            <w:tcW w:w="2693" w:type="dxa"/>
            <w:tcBorders>
              <w:top w:val="single" w:sz="4" w:space="0" w:color="auto"/>
              <w:left w:val="single" w:sz="4" w:space="0" w:color="auto"/>
              <w:bottom w:val="single" w:sz="4" w:space="0" w:color="auto"/>
              <w:right w:val="single" w:sz="4" w:space="0" w:color="auto"/>
            </w:tcBorders>
          </w:tcPr>
          <w:p w14:paraId="20397DE2"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 xml:space="preserve">Faible quantité de fragments de crevettes admise </w:t>
            </w:r>
          </w:p>
        </w:tc>
      </w:tr>
      <w:tr w:rsidR="003D69A8" w:rsidRPr="005E1EA7" w14:paraId="317C04D3" w14:textId="77777777" w:rsidTr="006365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2594" w:type="dxa"/>
            <w:tcBorders>
              <w:top w:val="single" w:sz="4" w:space="0" w:color="auto"/>
              <w:left w:val="single" w:sz="4" w:space="0" w:color="auto"/>
              <w:bottom w:val="single" w:sz="4" w:space="0" w:color="auto"/>
              <w:right w:val="single" w:sz="4" w:space="0" w:color="auto"/>
            </w:tcBorders>
          </w:tcPr>
          <w:p w14:paraId="68B77223"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lastRenderedPageBreak/>
              <w:t xml:space="preserve">Odeur </w:t>
            </w:r>
          </w:p>
        </w:tc>
        <w:tc>
          <w:tcPr>
            <w:tcW w:w="3922" w:type="dxa"/>
            <w:tcBorders>
              <w:top w:val="single" w:sz="4" w:space="0" w:color="auto"/>
              <w:left w:val="single" w:sz="4" w:space="0" w:color="auto"/>
              <w:bottom w:val="single" w:sz="4" w:space="0" w:color="auto"/>
              <w:right w:val="single" w:sz="4" w:space="0" w:color="auto"/>
            </w:tcBorders>
          </w:tcPr>
          <w:p w14:paraId="60A2A89E"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 xml:space="preserve">Odeur fraîche d'algues marines ; odeur légèrement douceâtre </w:t>
            </w:r>
          </w:p>
        </w:tc>
        <w:tc>
          <w:tcPr>
            <w:tcW w:w="2693" w:type="dxa"/>
            <w:tcBorders>
              <w:top w:val="single" w:sz="4" w:space="0" w:color="auto"/>
              <w:left w:val="single" w:sz="4" w:space="0" w:color="auto"/>
              <w:bottom w:val="single" w:sz="4" w:space="0" w:color="auto"/>
              <w:right w:val="single" w:sz="4" w:space="0" w:color="auto"/>
            </w:tcBorders>
          </w:tcPr>
          <w:p w14:paraId="5B2B918F"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 xml:space="preserve">Acidulée; absence d'odeur d'algues marines </w:t>
            </w:r>
          </w:p>
        </w:tc>
      </w:tr>
    </w:tbl>
    <w:p w14:paraId="7DD1DF60" w14:textId="77777777" w:rsidR="003D69A8" w:rsidRPr="005E1EA7" w:rsidRDefault="003D69A8" w:rsidP="003D69A8">
      <w:pPr>
        <w:jc w:val="both"/>
        <w:rPr>
          <w:rFonts w:ascii="Tahoma" w:hAnsi="Tahoma" w:cs="Tahoma"/>
          <w:i/>
          <w:sz w:val="20"/>
          <w:szCs w:val="20"/>
        </w:rPr>
      </w:pPr>
    </w:p>
    <w:p w14:paraId="77736613" w14:textId="77777777" w:rsidR="003D69A8" w:rsidRPr="005E1EA7" w:rsidRDefault="003D69A8" w:rsidP="003D69A8">
      <w:pPr>
        <w:autoSpaceDE w:val="0"/>
        <w:autoSpaceDN w:val="0"/>
        <w:adjustRightInd w:val="0"/>
        <w:ind w:right="-134"/>
        <w:rPr>
          <w:rFonts w:ascii="Tahoma" w:hAnsi="Tahoma" w:cs="Tahoma"/>
          <w:b/>
          <w:caps/>
          <w:sz w:val="20"/>
          <w:szCs w:val="20"/>
        </w:rPr>
      </w:pPr>
      <w:r w:rsidRPr="005E1EA7">
        <w:rPr>
          <w:rFonts w:ascii="Tahoma" w:hAnsi="Tahoma" w:cs="Tahoma"/>
          <w:b/>
          <w:caps/>
          <w:sz w:val="20"/>
          <w:szCs w:val="20"/>
        </w:rPr>
        <w:t>F. Critères pour les Mollusques bivalves VIVANTS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09"/>
      </w:tblGrid>
      <w:tr w:rsidR="003D69A8" w:rsidRPr="005E1EA7" w14:paraId="5EBB5685" w14:textId="77777777" w:rsidTr="006365F0">
        <w:trPr>
          <w:trHeight w:val="87"/>
        </w:trPr>
        <w:tc>
          <w:tcPr>
            <w:tcW w:w="9209" w:type="dxa"/>
          </w:tcPr>
          <w:p w14:paraId="211FDF04"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Caractéristiques minimales pour l’acceptation des mollusques bivalves</w:t>
            </w:r>
          </w:p>
        </w:tc>
      </w:tr>
      <w:tr w:rsidR="003D69A8" w:rsidRPr="005E1EA7" w14:paraId="31AF6B1F" w14:textId="77777777" w:rsidTr="006365F0">
        <w:trPr>
          <w:trHeight w:val="134"/>
        </w:trPr>
        <w:tc>
          <w:tcPr>
            <w:tcW w:w="9209" w:type="dxa"/>
          </w:tcPr>
          <w:p w14:paraId="53F323C0" w14:textId="77777777" w:rsidR="003D69A8" w:rsidRPr="005E1EA7" w:rsidRDefault="003D69A8" w:rsidP="006365F0">
            <w:pPr>
              <w:autoSpaceDE w:val="0"/>
              <w:autoSpaceDN w:val="0"/>
              <w:adjustRightInd w:val="0"/>
              <w:jc w:val="both"/>
              <w:rPr>
                <w:rFonts w:ascii="Tahoma" w:eastAsia="EUAlbertina-Regular-Identity-H" w:hAnsi="Tahoma" w:cs="Tahoma"/>
                <w:i/>
                <w:sz w:val="20"/>
                <w:szCs w:val="20"/>
              </w:rPr>
            </w:pPr>
            <w:r w:rsidRPr="005E1EA7">
              <w:rPr>
                <w:rFonts w:ascii="Tahoma" w:eastAsia="EUAlbertina-Regular-Identity-H" w:hAnsi="Tahoma" w:cs="Tahoma"/>
                <w:i/>
                <w:sz w:val="20"/>
                <w:szCs w:val="20"/>
              </w:rPr>
              <w:t>1-Absence de souillure sur la coquille</w:t>
            </w:r>
          </w:p>
        </w:tc>
      </w:tr>
      <w:tr w:rsidR="003D69A8" w:rsidRPr="005E1EA7" w14:paraId="60735A79" w14:textId="77777777" w:rsidTr="006365F0">
        <w:trPr>
          <w:trHeight w:val="179"/>
        </w:trPr>
        <w:tc>
          <w:tcPr>
            <w:tcW w:w="9209" w:type="dxa"/>
          </w:tcPr>
          <w:p w14:paraId="31AD4D18" w14:textId="77777777" w:rsidR="003D69A8" w:rsidRPr="005E1EA7" w:rsidRDefault="003D69A8" w:rsidP="006365F0">
            <w:pPr>
              <w:autoSpaceDE w:val="0"/>
              <w:autoSpaceDN w:val="0"/>
              <w:adjustRightInd w:val="0"/>
              <w:jc w:val="both"/>
              <w:rPr>
                <w:rFonts w:ascii="Tahoma" w:eastAsia="EUAlbertina-Regular-Identity-H" w:hAnsi="Tahoma" w:cs="Tahoma"/>
                <w:i/>
                <w:sz w:val="20"/>
                <w:szCs w:val="20"/>
              </w:rPr>
            </w:pPr>
            <w:r w:rsidRPr="005E1EA7">
              <w:rPr>
                <w:rFonts w:ascii="Tahoma" w:eastAsia="EUAlbertina-Regular-Identity-H" w:hAnsi="Tahoma" w:cs="Tahoma"/>
                <w:i/>
                <w:sz w:val="20"/>
                <w:szCs w:val="20"/>
              </w:rPr>
              <w:t xml:space="preserve">2-Réponse adéquate à la percussion </w:t>
            </w:r>
          </w:p>
        </w:tc>
      </w:tr>
      <w:tr w:rsidR="003D69A8" w:rsidRPr="005E1EA7" w14:paraId="1AD74415" w14:textId="77777777" w:rsidTr="006365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1"/>
        </w:trPr>
        <w:tc>
          <w:tcPr>
            <w:tcW w:w="9209" w:type="dxa"/>
            <w:tcBorders>
              <w:top w:val="single" w:sz="4" w:space="0" w:color="auto"/>
              <w:left w:val="single" w:sz="4" w:space="0" w:color="auto"/>
              <w:bottom w:val="single" w:sz="4" w:space="0" w:color="auto"/>
              <w:right w:val="single" w:sz="4" w:space="0" w:color="auto"/>
            </w:tcBorders>
          </w:tcPr>
          <w:p w14:paraId="4462BC1B" w14:textId="77777777" w:rsidR="003D69A8" w:rsidRPr="005E1EA7" w:rsidRDefault="003D69A8" w:rsidP="006365F0">
            <w:pPr>
              <w:autoSpaceDE w:val="0"/>
              <w:autoSpaceDN w:val="0"/>
              <w:adjustRightInd w:val="0"/>
              <w:jc w:val="both"/>
              <w:rPr>
                <w:rFonts w:ascii="Tahoma" w:eastAsia="EUAlbertina-Regular-Identity-H" w:hAnsi="Tahoma" w:cs="Tahoma"/>
                <w:i/>
                <w:sz w:val="20"/>
                <w:szCs w:val="20"/>
              </w:rPr>
            </w:pPr>
            <w:r w:rsidRPr="005E1EA7">
              <w:rPr>
                <w:rFonts w:ascii="Tahoma" w:eastAsia="EUAlbertina-Regular-Identity-H" w:hAnsi="Tahoma" w:cs="Tahoma"/>
                <w:i/>
                <w:sz w:val="20"/>
                <w:szCs w:val="20"/>
              </w:rPr>
              <w:t>3-Quantité normale de liquide intervalvaire</w:t>
            </w:r>
          </w:p>
        </w:tc>
      </w:tr>
    </w:tbl>
    <w:p w14:paraId="4F5B9F29" w14:textId="77777777" w:rsidR="003D69A8" w:rsidRPr="005E1EA7" w:rsidRDefault="003D69A8" w:rsidP="003D69A8">
      <w:pPr>
        <w:rPr>
          <w:rFonts w:ascii="Tahoma" w:hAnsi="Tahoma" w:cs="Tahoma"/>
          <w:b/>
          <w:i/>
          <w:sz w:val="20"/>
          <w:szCs w:val="20"/>
        </w:rPr>
      </w:pPr>
    </w:p>
    <w:p w14:paraId="08F5D751" w14:textId="77777777" w:rsidR="003D69A8" w:rsidRPr="005E1EA7" w:rsidRDefault="003D69A8" w:rsidP="003D69A8">
      <w:pPr>
        <w:jc w:val="both"/>
        <w:rPr>
          <w:rFonts w:ascii="Tahoma" w:hAnsi="Tahoma" w:cs="Tahoma"/>
          <w:iCs/>
          <w:sz w:val="20"/>
          <w:szCs w:val="20"/>
        </w:rPr>
      </w:pPr>
      <w:r w:rsidRPr="005E1EA7">
        <w:rPr>
          <w:rFonts w:ascii="Tahoma" w:hAnsi="Tahoma" w:cs="Tahoma"/>
          <w:iCs/>
          <w:sz w:val="20"/>
          <w:szCs w:val="20"/>
        </w:rPr>
        <w:t>Toutefois ; d’autres barèmes de cotation peuvent être utilisés en cas de besoin pour l’évaluation sensorielle de fraicheur des produits de la, des céphalopodes, crustacés frais ou congelés.</w:t>
      </w:r>
    </w:p>
    <w:p w14:paraId="5A51F5B9" w14:textId="77777777" w:rsidR="003D69A8" w:rsidRPr="005E1EA7" w:rsidRDefault="003D69A8" w:rsidP="003D69A8">
      <w:pPr>
        <w:jc w:val="both"/>
        <w:rPr>
          <w:rFonts w:ascii="Tahoma" w:hAnsi="Tahoma" w:cs="Tahoma"/>
          <w:iCs/>
          <w:sz w:val="20"/>
          <w:szCs w:val="20"/>
        </w:rPr>
      </w:pPr>
    </w:p>
    <w:p w14:paraId="154C95FF" w14:textId="77777777" w:rsidR="003D69A8" w:rsidRPr="005E1EA7" w:rsidRDefault="003D69A8" w:rsidP="003D69A8">
      <w:pPr>
        <w:jc w:val="both"/>
        <w:rPr>
          <w:rFonts w:ascii="Tahoma" w:hAnsi="Tahoma" w:cs="Tahoma"/>
          <w:iCs/>
          <w:sz w:val="20"/>
          <w:szCs w:val="20"/>
        </w:rPr>
        <w:sectPr w:rsidR="003D69A8" w:rsidRPr="005E1EA7" w:rsidSect="003D69A8">
          <w:footerReference w:type="even" r:id="rId27"/>
          <w:pgSz w:w="11900" w:h="16840"/>
          <w:pgMar w:top="1417" w:right="1417" w:bottom="1417" w:left="1417" w:header="708" w:footer="708" w:gutter="0"/>
          <w:cols w:space="708"/>
          <w:docGrid w:linePitch="360"/>
        </w:sectPr>
      </w:pPr>
    </w:p>
    <w:p w14:paraId="7C5C6773" w14:textId="77777777" w:rsidR="003D69A8" w:rsidRPr="005E1EA7" w:rsidRDefault="003D69A8" w:rsidP="00F23171">
      <w:pPr>
        <w:jc w:val="center"/>
        <w:rPr>
          <w:rFonts w:ascii="Tahoma" w:hAnsi="Tahoma" w:cs="Tahoma"/>
          <w:b/>
          <w:bCs/>
          <w:sz w:val="20"/>
          <w:szCs w:val="20"/>
        </w:rPr>
      </w:pPr>
      <w:r w:rsidRPr="005E1EA7">
        <w:rPr>
          <w:rFonts w:ascii="Tahoma" w:hAnsi="Tahoma" w:cs="Tahoma"/>
          <w:b/>
          <w:bCs/>
          <w:sz w:val="20"/>
          <w:szCs w:val="20"/>
        </w:rPr>
        <w:lastRenderedPageBreak/>
        <w:t>CHAPITRE II : CATÉGORIES DE CALIBRAGE</w:t>
      </w:r>
    </w:p>
    <w:p w14:paraId="7FF9A51A" w14:textId="77777777" w:rsidR="003D69A8" w:rsidRPr="005E1EA7" w:rsidRDefault="003D69A8" w:rsidP="003D69A8">
      <w:pPr>
        <w:jc w:val="center"/>
        <w:rPr>
          <w:rFonts w:ascii="Tahoma" w:hAnsi="Tahoma" w:cs="Tahoma"/>
          <w:b/>
          <w:bCs/>
          <w:sz w:val="20"/>
          <w:szCs w:val="20"/>
        </w:rPr>
      </w:pPr>
    </w:p>
    <w:tbl>
      <w:tblPr>
        <w:tblW w:w="13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6"/>
        <w:gridCol w:w="1440"/>
        <w:gridCol w:w="3063"/>
        <w:gridCol w:w="1979"/>
        <w:gridCol w:w="2160"/>
        <w:gridCol w:w="1620"/>
      </w:tblGrid>
      <w:tr w:rsidR="003D69A8" w:rsidRPr="005E1EA7" w14:paraId="72F1A14D" w14:textId="77777777" w:rsidTr="006365F0">
        <w:trPr>
          <w:trHeight w:val="454"/>
        </w:trPr>
        <w:tc>
          <w:tcPr>
            <w:tcW w:w="9468" w:type="dxa"/>
            <w:gridSpan w:val="4"/>
            <w:vAlign w:val="center"/>
          </w:tcPr>
          <w:p w14:paraId="273FE017"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Barème de calibrage</w:t>
            </w:r>
          </w:p>
        </w:tc>
        <w:tc>
          <w:tcPr>
            <w:tcW w:w="3780" w:type="dxa"/>
            <w:gridSpan w:val="2"/>
            <w:vAlign w:val="center"/>
          </w:tcPr>
          <w:p w14:paraId="58849FC1"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 xml:space="preserve">Tailles minimales à respecter </w:t>
            </w:r>
          </w:p>
        </w:tc>
      </w:tr>
      <w:tr w:rsidR="003D69A8" w:rsidRPr="005E1EA7" w14:paraId="72508055" w14:textId="77777777" w:rsidTr="006365F0">
        <w:trPr>
          <w:cantSplit/>
          <w:trHeight w:val="368"/>
        </w:trPr>
        <w:tc>
          <w:tcPr>
            <w:tcW w:w="2988" w:type="dxa"/>
            <w:vAlign w:val="center"/>
          </w:tcPr>
          <w:p w14:paraId="3AC60048" w14:textId="77777777" w:rsidR="003D69A8" w:rsidRPr="005E1EA7" w:rsidRDefault="003D69A8" w:rsidP="006365F0">
            <w:pPr>
              <w:rPr>
                <w:rFonts w:ascii="Tahoma" w:hAnsi="Tahoma" w:cs="Tahoma"/>
                <w:sz w:val="20"/>
                <w:szCs w:val="20"/>
              </w:rPr>
            </w:pPr>
            <w:r w:rsidRPr="005E1EA7">
              <w:rPr>
                <w:rFonts w:ascii="Tahoma" w:hAnsi="Tahoma" w:cs="Tahoma"/>
                <w:sz w:val="20"/>
                <w:szCs w:val="20"/>
              </w:rPr>
              <w:t xml:space="preserve">Espèce </w:t>
            </w:r>
          </w:p>
        </w:tc>
        <w:tc>
          <w:tcPr>
            <w:tcW w:w="1440" w:type="dxa"/>
            <w:vAlign w:val="center"/>
          </w:tcPr>
          <w:p w14:paraId="5905A6FE"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Taille</w:t>
            </w:r>
          </w:p>
        </w:tc>
        <w:tc>
          <w:tcPr>
            <w:tcW w:w="3064" w:type="dxa"/>
            <w:vAlign w:val="center"/>
          </w:tcPr>
          <w:p w14:paraId="48E43A23"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Kg/poisson (1 )</w:t>
            </w:r>
          </w:p>
        </w:tc>
        <w:tc>
          <w:tcPr>
            <w:tcW w:w="1976" w:type="dxa"/>
            <w:vAlign w:val="center"/>
          </w:tcPr>
          <w:p w14:paraId="76971EB6"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Nombre de pièces/kg (2)</w:t>
            </w:r>
          </w:p>
        </w:tc>
        <w:tc>
          <w:tcPr>
            <w:tcW w:w="2160" w:type="dxa"/>
            <w:vAlign w:val="center"/>
          </w:tcPr>
          <w:p w14:paraId="1E822FB2"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Zone géographique</w:t>
            </w:r>
          </w:p>
        </w:tc>
        <w:tc>
          <w:tcPr>
            <w:tcW w:w="1620" w:type="dxa"/>
            <w:vAlign w:val="center"/>
          </w:tcPr>
          <w:p w14:paraId="036C71A5"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Taille minimale</w:t>
            </w:r>
          </w:p>
        </w:tc>
      </w:tr>
      <w:tr w:rsidR="003D69A8" w:rsidRPr="005E1EA7" w14:paraId="7DA2206A" w14:textId="77777777" w:rsidTr="006365F0">
        <w:trPr>
          <w:cantSplit/>
          <w:trHeight w:val="907"/>
        </w:trPr>
        <w:tc>
          <w:tcPr>
            <w:tcW w:w="2988" w:type="dxa"/>
            <w:vAlign w:val="center"/>
          </w:tcPr>
          <w:p w14:paraId="15584254" w14:textId="77777777" w:rsidR="003D69A8" w:rsidRPr="005E1EA7" w:rsidRDefault="003D69A8" w:rsidP="006365F0">
            <w:pPr>
              <w:rPr>
                <w:rFonts w:ascii="Tahoma" w:hAnsi="Tahoma" w:cs="Tahoma"/>
                <w:sz w:val="20"/>
                <w:szCs w:val="20"/>
              </w:rPr>
            </w:pPr>
            <w:r w:rsidRPr="005E1EA7">
              <w:rPr>
                <w:rFonts w:ascii="Tahoma" w:hAnsi="Tahoma" w:cs="Tahoma"/>
                <w:sz w:val="20"/>
                <w:szCs w:val="20"/>
              </w:rPr>
              <w:t>Sardine</w:t>
            </w:r>
          </w:p>
          <w:p w14:paraId="75F55752" w14:textId="77777777" w:rsidR="003D69A8" w:rsidRPr="005E1EA7" w:rsidRDefault="003D69A8" w:rsidP="006365F0">
            <w:pPr>
              <w:rPr>
                <w:rFonts w:ascii="Tahoma" w:hAnsi="Tahoma" w:cs="Tahoma"/>
                <w:sz w:val="20"/>
                <w:szCs w:val="20"/>
              </w:rPr>
            </w:pPr>
            <w:r w:rsidRPr="005E1EA7">
              <w:rPr>
                <w:rFonts w:ascii="Tahoma" w:hAnsi="Tahoma" w:cs="Tahoma"/>
                <w:i/>
                <w:iCs/>
                <w:sz w:val="20"/>
                <w:szCs w:val="20"/>
              </w:rPr>
              <w:t>(Sardin</w:t>
            </w:r>
            <w:r w:rsidRPr="005E1EA7">
              <w:rPr>
                <w:rFonts w:ascii="Tahoma" w:hAnsi="Tahoma" w:cs="Tahoma"/>
                <w:sz w:val="20"/>
                <w:szCs w:val="20"/>
              </w:rPr>
              <w:t xml:space="preserve">a </w:t>
            </w:r>
            <w:r w:rsidRPr="005E1EA7">
              <w:rPr>
                <w:rFonts w:ascii="Tahoma" w:hAnsi="Tahoma" w:cs="Tahoma"/>
                <w:i/>
                <w:iCs/>
                <w:sz w:val="20"/>
                <w:szCs w:val="20"/>
              </w:rPr>
              <w:t>pilchardus</w:t>
            </w:r>
            <w:r w:rsidRPr="005E1EA7">
              <w:rPr>
                <w:rFonts w:ascii="Tahoma" w:hAnsi="Tahoma" w:cs="Tahoma"/>
                <w:sz w:val="20"/>
                <w:szCs w:val="20"/>
              </w:rPr>
              <w:t xml:space="preserve">) </w:t>
            </w:r>
          </w:p>
        </w:tc>
        <w:tc>
          <w:tcPr>
            <w:tcW w:w="1440" w:type="dxa"/>
            <w:vAlign w:val="center"/>
          </w:tcPr>
          <w:p w14:paraId="6023D794"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4</w:t>
            </w:r>
          </w:p>
          <w:p w14:paraId="5A122D18"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5</w:t>
            </w:r>
          </w:p>
        </w:tc>
        <w:tc>
          <w:tcPr>
            <w:tcW w:w="3064" w:type="dxa"/>
            <w:vAlign w:val="center"/>
          </w:tcPr>
          <w:p w14:paraId="0658D3E1" w14:textId="77777777" w:rsidR="003D69A8" w:rsidRPr="005E1EA7" w:rsidRDefault="003D69A8" w:rsidP="006365F0">
            <w:pPr>
              <w:jc w:val="center"/>
              <w:rPr>
                <w:rFonts w:ascii="Tahoma" w:hAnsi="Tahoma" w:cs="Tahoma"/>
                <w:sz w:val="20"/>
                <w:szCs w:val="20"/>
              </w:rPr>
            </w:pPr>
            <w:proofErr w:type="gramStart"/>
            <w:r w:rsidRPr="005E1EA7">
              <w:rPr>
                <w:rFonts w:ascii="Tahoma" w:hAnsi="Tahoma" w:cs="Tahoma"/>
                <w:sz w:val="20"/>
                <w:szCs w:val="20"/>
              </w:rPr>
              <w:t>de</w:t>
            </w:r>
            <w:proofErr w:type="gramEnd"/>
            <w:r w:rsidRPr="005E1EA7">
              <w:rPr>
                <w:rFonts w:ascii="Tahoma" w:hAnsi="Tahoma" w:cs="Tahoma"/>
                <w:sz w:val="20"/>
                <w:szCs w:val="20"/>
              </w:rPr>
              <w:t xml:space="preserve"> 0,015 à 0,028</w:t>
            </w:r>
          </w:p>
          <w:p w14:paraId="18C51045"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de 0,011 à 0,028</w:t>
            </w:r>
          </w:p>
        </w:tc>
        <w:tc>
          <w:tcPr>
            <w:tcW w:w="1976" w:type="dxa"/>
            <w:vAlign w:val="center"/>
          </w:tcPr>
          <w:p w14:paraId="5B0DDD03"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 xml:space="preserve">36 à 67 </w:t>
            </w:r>
          </w:p>
          <w:p w14:paraId="3DE4B3E7"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de 36 à 91</w:t>
            </w:r>
          </w:p>
        </w:tc>
        <w:tc>
          <w:tcPr>
            <w:tcW w:w="2160" w:type="dxa"/>
          </w:tcPr>
          <w:p w14:paraId="09D66968" w14:textId="77777777" w:rsidR="003D69A8" w:rsidRPr="005E1EA7" w:rsidRDefault="003D69A8" w:rsidP="006365F0">
            <w:pPr>
              <w:jc w:val="center"/>
              <w:rPr>
                <w:rFonts w:ascii="Tahoma" w:hAnsi="Tahoma" w:cs="Tahoma"/>
                <w:sz w:val="20"/>
                <w:szCs w:val="20"/>
              </w:rPr>
            </w:pPr>
          </w:p>
        </w:tc>
        <w:tc>
          <w:tcPr>
            <w:tcW w:w="1620" w:type="dxa"/>
          </w:tcPr>
          <w:p w14:paraId="01966F03" w14:textId="77777777" w:rsidR="003D69A8" w:rsidRPr="005E1EA7" w:rsidRDefault="003D69A8" w:rsidP="006365F0">
            <w:pPr>
              <w:jc w:val="center"/>
              <w:rPr>
                <w:rFonts w:ascii="Tahoma" w:hAnsi="Tahoma" w:cs="Tahoma"/>
                <w:sz w:val="20"/>
                <w:szCs w:val="20"/>
              </w:rPr>
            </w:pPr>
          </w:p>
          <w:p w14:paraId="032D6A5C" w14:textId="77777777" w:rsidR="003D69A8" w:rsidRPr="005E1EA7" w:rsidRDefault="003D69A8" w:rsidP="006365F0">
            <w:pPr>
              <w:jc w:val="center"/>
              <w:rPr>
                <w:rFonts w:ascii="Tahoma" w:hAnsi="Tahoma" w:cs="Tahoma"/>
                <w:sz w:val="20"/>
                <w:szCs w:val="20"/>
              </w:rPr>
            </w:pPr>
          </w:p>
          <w:p w14:paraId="0055FB9B"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À fixer</w:t>
            </w:r>
          </w:p>
        </w:tc>
      </w:tr>
      <w:tr w:rsidR="003D69A8" w:rsidRPr="005E1EA7" w14:paraId="3BD303B8" w14:textId="77777777" w:rsidTr="006365F0">
        <w:trPr>
          <w:cantSplit/>
          <w:trHeight w:val="845"/>
        </w:trPr>
        <w:tc>
          <w:tcPr>
            <w:tcW w:w="2988" w:type="dxa"/>
          </w:tcPr>
          <w:p w14:paraId="4FC26F6D" w14:textId="77777777" w:rsidR="003D69A8" w:rsidRPr="005E1EA7" w:rsidRDefault="003D69A8" w:rsidP="006365F0">
            <w:pPr>
              <w:rPr>
                <w:rFonts w:ascii="Tahoma" w:hAnsi="Tahoma" w:cs="Tahoma"/>
                <w:sz w:val="20"/>
                <w:szCs w:val="20"/>
              </w:rPr>
            </w:pPr>
          </w:p>
          <w:p w14:paraId="71397672" w14:textId="77777777" w:rsidR="003D69A8" w:rsidRPr="005E1EA7" w:rsidRDefault="003D69A8" w:rsidP="006365F0">
            <w:pPr>
              <w:rPr>
                <w:rFonts w:ascii="Tahoma" w:hAnsi="Tahoma" w:cs="Tahoma"/>
                <w:sz w:val="20"/>
                <w:szCs w:val="20"/>
              </w:rPr>
            </w:pPr>
            <w:r w:rsidRPr="005E1EA7">
              <w:rPr>
                <w:rFonts w:ascii="Tahoma" w:hAnsi="Tahoma" w:cs="Tahoma"/>
                <w:sz w:val="20"/>
                <w:szCs w:val="20"/>
              </w:rPr>
              <w:t>Roussette</w:t>
            </w:r>
          </w:p>
          <w:p w14:paraId="4481E90D" w14:textId="77777777" w:rsidR="003D69A8" w:rsidRPr="005E1EA7" w:rsidRDefault="003D69A8" w:rsidP="006365F0">
            <w:pPr>
              <w:rPr>
                <w:rFonts w:ascii="Tahoma" w:hAnsi="Tahoma" w:cs="Tahoma"/>
                <w:sz w:val="20"/>
                <w:szCs w:val="20"/>
              </w:rPr>
            </w:pPr>
            <w:r w:rsidRPr="005E1EA7">
              <w:rPr>
                <w:rFonts w:ascii="Tahoma" w:hAnsi="Tahoma" w:cs="Tahoma"/>
                <w:i/>
                <w:iCs/>
                <w:sz w:val="20"/>
                <w:szCs w:val="20"/>
              </w:rPr>
              <w:t>(Scyliorhinu</w:t>
            </w:r>
            <w:r w:rsidRPr="005E1EA7">
              <w:rPr>
                <w:rFonts w:ascii="Tahoma" w:hAnsi="Tahoma" w:cs="Tahoma"/>
                <w:sz w:val="20"/>
                <w:szCs w:val="20"/>
              </w:rPr>
              <w:t xml:space="preserve">s </w:t>
            </w:r>
            <w:r w:rsidRPr="005E1EA7">
              <w:rPr>
                <w:rFonts w:ascii="Tahoma" w:hAnsi="Tahoma" w:cs="Tahoma"/>
                <w:i/>
                <w:iCs/>
                <w:sz w:val="20"/>
                <w:szCs w:val="20"/>
              </w:rPr>
              <w:t>spp.</w:t>
            </w:r>
            <w:r w:rsidRPr="005E1EA7">
              <w:rPr>
                <w:rFonts w:ascii="Tahoma" w:hAnsi="Tahoma" w:cs="Tahoma"/>
                <w:sz w:val="20"/>
                <w:szCs w:val="20"/>
              </w:rPr>
              <w:t xml:space="preserve">) </w:t>
            </w:r>
          </w:p>
        </w:tc>
        <w:tc>
          <w:tcPr>
            <w:tcW w:w="1440" w:type="dxa"/>
            <w:vAlign w:val="center"/>
          </w:tcPr>
          <w:p w14:paraId="46D6784E"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1</w:t>
            </w:r>
          </w:p>
          <w:p w14:paraId="2CD22759"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2</w:t>
            </w:r>
          </w:p>
          <w:p w14:paraId="153C4119"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3</w:t>
            </w:r>
          </w:p>
        </w:tc>
        <w:tc>
          <w:tcPr>
            <w:tcW w:w="3064" w:type="dxa"/>
            <w:vAlign w:val="center"/>
          </w:tcPr>
          <w:p w14:paraId="439A25A9"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2 et plus</w:t>
            </w:r>
          </w:p>
          <w:p w14:paraId="0BA3AC79" w14:textId="77777777" w:rsidR="003D69A8" w:rsidRPr="005E1EA7" w:rsidRDefault="003D69A8" w:rsidP="006365F0">
            <w:pPr>
              <w:jc w:val="center"/>
              <w:rPr>
                <w:rFonts w:ascii="Tahoma" w:hAnsi="Tahoma" w:cs="Tahoma"/>
                <w:sz w:val="20"/>
                <w:szCs w:val="20"/>
              </w:rPr>
            </w:pPr>
            <w:proofErr w:type="gramStart"/>
            <w:r w:rsidRPr="005E1EA7">
              <w:rPr>
                <w:rFonts w:ascii="Tahoma" w:hAnsi="Tahoma" w:cs="Tahoma"/>
                <w:sz w:val="20"/>
                <w:szCs w:val="20"/>
              </w:rPr>
              <w:t>de</w:t>
            </w:r>
            <w:proofErr w:type="gramEnd"/>
            <w:r w:rsidRPr="005E1EA7">
              <w:rPr>
                <w:rFonts w:ascii="Tahoma" w:hAnsi="Tahoma" w:cs="Tahoma"/>
                <w:sz w:val="20"/>
                <w:szCs w:val="20"/>
              </w:rPr>
              <w:t xml:space="preserve"> 1 à 2</w:t>
            </w:r>
          </w:p>
          <w:p w14:paraId="211C5CE6"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de 0,5 à 1</w:t>
            </w:r>
          </w:p>
        </w:tc>
        <w:tc>
          <w:tcPr>
            <w:tcW w:w="1976" w:type="dxa"/>
          </w:tcPr>
          <w:p w14:paraId="5824AD35" w14:textId="77777777" w:rsidR="003D69A8" w:rsidRPr="005E1EA7" w:rsidRDefault="003D69A8" w:rsidP="006365F0">
            <w:pPr>
              <w:jc w:val="center"/>
              <w:rPr>
                <w:rFonts w:ascii="Tahoma" w:hAnsi="Tahoma" w:cs="Tahoma"/>
                <w:sz w:val="20"/>
                <w:szCs w:val="20"/>
              </w:rPr>
            </w:pPr>
          </w:p>
          <w:p w14:paraId="1215B94D"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w:t>
            </w:r>
          </w:p>
        </w:tc>
        <w:tc>
          <w:tcPr>
            <w:tcW w:w="2160" w:type="dxa"/>
          </w:tcPr>
          <w:p w14:paraId="667279CA" w14:textId="77777777" w:rsidR="003D69A8" w:rsidRPr="005E1EA7" w:rsidRDefault="003D69A8" w:rsidP="006365F0">
            <w:pPr>
              <w:jc w:val="center"/>
              <w:rPr>
                <w:rFonts w:ascii="Tahoma" w:hAnsi="Tahoma" w:cs="Tahoma"/>
                <w:sz w:val="20"/>
                <w:szCs w:val="20"/>
              </w:rPr>
            </w:pPr>
          </w:p>
        </w:tc>
        <w:tc>
          <w:tcPr>
            <w:tcW w:w="1620" w:type="dxa"/>
          </w:tcPr>
          <w:p w14:paraId="50B72AC6" w14:textId="77777777" w:rsidR="003D69A8" w:rsidRPr="005E1EA7" w:rsidRDefault="003D69A8" w:rsidP="006365F0">
            <w:pPr>
              <w:jc w:val="center"/>
              <w:rPr>
                <w:rFonts w:ascii="Tahoma" w:hAnsi="Tahoma" w:cs="Tahoma"/>
                <w:sz w:val="20"/>
                <w:szCs w:val="20"/>
              </w:rPr>
            </w:pPr>
          </w:p>
          <w:p w14:paraId="1DF0D974"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w:t>
            </w:r>
          </w:p>
        </w:tc>
      </w:tr>
      <w:tr w:rsidR="003D69A8" w:rsidRPr="005E1EA7" w14:paraId="0BDE1E5D" w14:textId="77777777" w:rsidTr="006365F0">
        <w:trPr>
          <w:cantSplit/>
          <w:trHeight w:val="845"/>
        </w:trPr>
        <w:tc>
          <w:tcPr>
            <w:tcW w:w="2988" w:type="dxa"/>
          </w:tcPr>
          <w:p w14:paraId="294275BF" w14:textId="77777777" w:rsidR="003D69A8" w:rsidRPr="005E1EA7" w:rsidRDefault="003D69A8" w:rsidP="006365F0">
            <w:pPr>
              <w:rPr>
                <w:rFonts w:ascii="Tahoma" w:hAnsi="Tahoma" w:cs="Tahoma"/>
                <w:sz w:val="20"/>
                <w:szCs w:val="20"/>
              </w:rPr>
            </w:pPr>
          </w:p>
          <w:p w14:paraId="75ABFA4C" w14:textId="77777777" w:rsidR="003D69A8" w:rsidRPr="005E1EA7" w:rsidRDefault="003D69A8" w:rsidP="006365F0">
            <w:pPr>
              <w:rPr>
                <w:rFonts w:ascii="Tahoma" w:hAnsi="Tahoma" w:cs="Tahoma"/>
                <w:sz w:val="20"/>
                <w:szCs w:val="20"/>
              </w:rPr>
            </w:pPr>
            <w:r w:rsidRPr="005E1EA7">
              <w:rPr>
                <w:rFonts w:ascii="Tahoma" w:hAnsi="Tahoma" w:cs="Tahoma"/>
                <w:sz w:val="20"/>
                <w:szCs w:val="20"/>
              </w:rPr>
              <w:t>Aiguillat</w:t>
            </w:r>
          </w:p>
          <w:p w14:paraId="61AE349C" w14:textId="77777777" w:rsidR="003D69A8" w:rsidRPr="005E1EA7" w:rsidRDefault="003D69A8" w:rsidP="006365F0">
            <w:pPr>
              <w:rPr>
                <w:rFonts w:ascii="Tahoma" w:hAnsi="Tahoma" w:cs="Tahoma"/>
                <w:sz w:val="20"/>
                <w:szCs w:val="20"/>
              </w:rPr>
            </w:pPr>
            <w:r w:rsidRPr="005E1EA7">
              <w:rPr>
                <w:rFonts w:ascii="Tahoma" w:hAnsi="Tahoma" w:cs="Tahoma"/>
                <w:i/>
                <w:iCs/>
                <w:sz w:val="20"/>
                <w:szCs w:val="20"/>
              </w:rPr>
              <w:t>(Squalu</w:t>
            </w:r>
            <w:r w:rsidRPr="005E1EA7">
              <w:rPr>
                <w:rFonts w:ascii="Tahoma" w:hAnsi="Tahoma" w:cs="Tahoma"/>
                <w:sz w:val="20"/>
                <w:szCs w:val="20"/>
              </w:rPr>
              <w:t xml:space="preserve">s </w:t>
            </w:r>
            <w:r w:rsidRPr="005E1EA7">
              <w:rPr>
                <w:rFonts w:ascii="Tahoma" w:hAnsi="Tahoma" w:cs="Tahoma"/>
                <w:i/>
                <w:iCs/>
                <w:sz w:val="20"/>
                <w:szCs w:val="20"/>
              </w:rPr>
              <w:t>acanthias</w:t>
            </w:r>
            <w:r w:rsidRPr="005E1EA7">
              <w:rPr>
                <w:rFonts w:ascii="Tahoma" w:hAnsi="Tahoma" w:cs="Tahoma"/>
                <w:sz w:val="20"/>
                <w:szCs w:val="20"/>
              </w:rPr>
              <w:t xml:space="preserve">) </w:t>
            </w:r>
          </w:p>
        </w:tc>
        <w:tc>
          <w:tcPr>
            <w:tcW w:w="1440" w:type="dxa"/>
            <w:vAlign w:val="center"/>
          </w:tcPr>
          <w:p w14:paraId="73254060"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1</w:t>
            </w:r>
          </w:p>
          <w:p w14:paraId="77239ECE"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 xml:space="preserve"> 2</w:t>
            </w:r>
          </w:p>
          <w:p w14:paraId="2C902F50"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 xml:space="preserve"> 3</w:t>
            </w:r>
          </w:p>
        </w:tc>
        <w:tc>
          <w:tcPr>
            <w:tcW w:w="3064" w:type="dxa"/>
            <w:vAlign w:val="center"/>
          </w:tcPr>
          <w:p w14:paraId="3273C7E3"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2,2 et plus</w:t>
            </w:r>
          </w:p>
          <w:p w14:paraId="1EC80F4E"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 xml:space="preserve"> </w:t>
            </w:r>
            <w:proofErr w:type="gramStart"/>
            <w:r w:rsidRPr="005E1EA7">
              <w:rPr>
                <w:rFonts w:ascii="Tahoma" w:hAnsi="Tahoma" w:cs="Tahoma"/>
                <w:sz w:val="20"/>
                <w:szCs w:val="20"/>
              </w:rPr>
              <w:t>de</w:t>
            </w:r>
            <w:proofErr w:type="gramEnd"/>
            <w:r w:rsidRPr="005E1EA7">
              <w:rPr>
                <w:rFonts w:ascii="Tahoma" w:hAnsi="Tahoma" w:cs="Tahoma"/>
                <w:sz w:val="20"/>
                <w:szCs w:val="20"/>
              </w:rPr>
              <w:t xml:space="preserve"> 1 à 2,2</w:t>
            </w:r>
          </w:p>
          <w:p w14:paraId="7BFFF3E1"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 xml:space="preserve"> de 0,5 à 1</w:t>
            </w:r>
          </w:p>
        </w:tc>
        <w:tc>
          <w:tcPr>
            <w:tcW w:w="1976" w:type="dxa"/>
          </w:tcPr>
          <w:p w14:paraId="253C090F" w14:textId="77777777" w:rsidR="003D69A8" w:rsidRPr="005E1EA7" w:rsidRDefault="003D69A8" w:rsidP="006365F0">
            <w:pPr>
              <w:jc w:val="center"/>
              <w:rPr>
                <w:rFonts w:ascii="Tahoma" w:hAnsi="Tahoma" w:cs="Tahoma"/>
                <w:sz w:val="20"/>
                <w:szCs w:val="20"/>
              </w:rPr>
            </w:pPr>
          </w:p>
          <w:p w14:paraId="0B3443C4"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w:t>
            </w:r>
          </w:p>
        </w:tc>
        <w:tc>
          <w:tcPr>
            <w:tcW w:w="2160" w:type="dxa"/>
          </w:tcPr>
          <w:p w14:paraId="6F187C55" w14:textId="77777777" w:rsidR="003D69A8" w:rsidRPr="005E1EA7" w:rsidRDefault="003D69A8" w:rsidP="006365F0">
            <w:pPr>
              <w:jc w:val="center"/>
              <w:rPr>
                <w:rFonts w:ascii="Tahoma" w:hAnsi="Tahoma" w:cs="Tahoma"/>
                <w:sz w:val="20"/>
                <w:szCs w:val="20"/>
              </w:rPr>
            </w:pPr>
          </w:p>
        </w:tc>
        <w:tc>
          <w:tcPr>
            <w:tcW w:w="1620" w:type="dxa"/>
          </w:tcPr>
          <w:p w14:paraId="1966C9AF" w14:textId="77777777" w:rsidR="003D69A8" w:rsidRPr="005E1EA7" w:rsidRDefault="003D69A8" w:rsidP="006365F0">
            <w:pPr>
              <w:jc w:val="center"/>
              <w:rPr>
                <w:rFonts w:ascii="Tahoma" w:hAnsi="Tahoma" w:cs="Tahoma"/>
                <w:sz w:val="20"/>
                <w:szCs w:val="20"/>
              </w:rPr>
            </w:pPr>
          </w:p>
          <w:p w14:paraId="1753FB58"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w:t>
            </w:r>
          </w:p>
        </w:tc>
      </w:tr>
      <w:tr w:rsidR="003D69A8" w:rsidRPr="005E1EA7" w14:paraId="679E0A4C" w14:textId="77777777" w:rsidTr="006365F0">
        <w:trPr>
          <w:cantSplit/>
          <w:trHeight w:val="955"/>
        </w:trPr>
        <w:tc>
          <w:tcPr>
            <w:tcW w:w="2988" w:type="dxa"/>
            <w:vAlign w:val="center"/>
          </w:tcPr>
          <w:p w14:paraId="633F7C85" w14:textId="77777777" w:rsidR="003D69A8" w:rsidRPr="005E1EA7" w:rsidRDefault="003D69A8" w:rsidP="006365F0">
            <w:pPr>
              <w:rPr>
                <w:rFonts w:ascii="Tahoma" w:hAnsi="Tahoma" w:cs="Tahoma"/>
                <w:sz w:val="20"/>
                <w:szCs w:val="20"/>
              </w:rPr>
            </w:pPr>
            <w:r w:rsidRPr="005E1EA7">
              <w:rPr>
                <w:rFonts w:ascii="Tahoma" w:hAnsi="Tahoma" w:cs="Tahoma"/>
                <w:sz w:val="20"/>
                <w:szCs w:val="20"/>
              </w:rPr>
              <w:t>Rascasse</w:t>
            </w:r>
          </w:p>
          <w:p w14:paraId="1598F700" w14:textId="77777777" w:rsidR="003D69A8" w:rsidRPr="005E1EA7" w:rsidRDefault="003D69A8" w:rsidP="006365F0">
            <w:pPr>
              <w:rPr>
                <w:rFonts w:ascii="Tahoma" w:hAnsi="Tahoma" w:cs="Tahoma"/>
                <w:sz w:val="20"/>
                <w:szCs w:val="20"/>
              </w:rPr>
            </w:pPr>
            <w:r w:rsidRPr="005E1EA7">
              <w:rPr>
                <w:rFonts w:ascii="Tahoma" w:hAnsi="Tahoma" w:cs="Tahoma"/>
                <w:i/>
                <w:iCs/>
                <w:sz w:val="20"/>
                <w:szCs w:val="20"/>
              </w:rPr>
              <w:t>(Sebaste</w:t>
            </w:r>
            <w:r w:rsidRPr="005E1EA7">
              <w:rPr>
                <w:rFonts w:ascii="Tahoma" w:hAnsi="Tahoma" w:cs="Tahoma"/>
                <w:sz w:val="20"/>
                <w:szCs w:val="20"/>
              </w:rPr>
              <w:t xml:space="preserve">s </w:t>
            </w:r>
            <w:r w:rsidRPr="005E1EA7">
              <w:rPr>
                <w:rFonts w:ascii="Tahoma" w:hAnsi="Tahoma" w:cs="Tahoma"/>
                <w:i/>
                <w:iCs/>
                <w:sz w:val="20"/>
                <w:szCs w:val="20"/>
              </w:rPr>
              <w:t>spp.</w:t>
            </w:r>
            <w:r w:rsidRPr="005E1EA7">
              <w:rPr>
                <w:rFonts w:ascii="Tahoma" w:hAnsi="Tahoma" w:cs="Tahoma"/>
                <w:sz w:val="20"/>
                <w:szCs w:val="20"/>
              </w:rPr>
              <w:t xml:space="preserve">) </w:t>
            </w:r>
          </w:p>
        </w:tc>
        <w:tc>
          <w:tcPr>
            <w:tcW w:w="1440" w:type="dxa"/>
            <w:vAlign w:val="center"/>
          </w:tcPr>
          <w:p w14:paraId="28487811"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1</w:t>
            </w:r>
          </w:p>
          <w:p w14:paraId="7F32FF6F"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 xml:space="preserve"> 2</w:t>
            </w:r>
          </w:p>
          <w:p w14:paraId="627E4EAA"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 xml:space="preserve"> 3</w:t>
            </w:r>
          </w:p>
        </w:tc>
        <w:tc>
          <w:tcPr>
            <w:tcW w:w="3060" w:type="dxa"/>
            <w:vAlign w:val="center"/>
          </w:tcPr>
          <w:p w14:paraId="229CCE04"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2 et plus</w:t>
            </w:r>
          </w:p>
          <w:p w14:paraId="74982566"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 xml:space="preserve"> </w:t>
            </w:r>
            <w:proofErr w:type="gramStart"/>
            <w:r w:rsidRPr="005E1EA7">
              <w:rPr>
                <w:rFonts w:ascii="Tahoma" w:hAnsi="Tahoma" w:cs="Tahoma"/>
                <w:sz w:val="20"/>
                <w:szCs w:val="20"/>
              </w:rPr>
              <w:t>de</w:t>
            </w:r>
            <w:proofErr w:type="gramEnd"/>
            <w:r w:rsidRPr="005E1EA7">
              <w:rPr>
                <w:rFonts w:ascii="Tahoma" w:hAnsi="Tahoma" w:cs="Tahoma"/>
                <w:sz w:val="20"/>
                <w:szCs w:val="20"/>
              </w:rPr>
              <w:t xml:space="preserve"> 0,6 à 2</w:t>
            </w:r>
          </w:p>
          <w:p w14:paraId="0BDFB1DE"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 xml:space="preserve"> de 0,35 à 0,6</w:t>
            </w:r>
          </w:p>
        </w:tc>
        <w:tc>
          <w:tcPr>
            <w:tcW w:w="1980" w:type="dxa"/>
          </w:tcPr>
          <w:p w14:paraId="1FB75636" w14:textId="77777777" w:rsidR="003D69A8" w:rsidRPr="005E1EA7" w:rsidRDefault="003D69A8" w:rsidP="006365F0">
            <w:pPr>
              <w:jc w:val="center"/>
              <w:rPr>
                <w:rFonts w:ascii="Tahoma" w:hAnsi="Tahoma" w:cs="Tahoma"/>
                <w:sz w:val="20"/>
                <w:szCs w:val="20"/>
              </w:rPr>
            </w:pPr>
          </w:p>
          <w:p w14:paraId="577310CF"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w:t>
            </w:r>
          </w:p>
        </w:tc>
        <w:tc>
          <w:tcPr>
            <w:tcW w:w="2160" w:type="dxa"/>
          </w:tcPr>
          <w:p w14:paraId="7458C211" w14:textId="77777777" w:rsidR="003D69A8" w:rsidRPr="005E1EA7" w:rsidRDefault="003D69A8" w:rsidP="006365F0">
            <w:pPr>
              <w:jc w:val="center"/>
              <w:rPr>
                <w:rFonts w:ascii="Tahoma" w:hAnsi="Tahoma" w:cs="Tahoma"/>
                <w:sz w:val="20"/>
                <w:szCs w:val="20"/>
              </w:rPr>
            </w:pPr>
          </w:p>
        </w:tc>
        <w:tc>
          <w:tcPr>
            <w:tcW w:w="1620" w:type="dxa"/>
          </w:tcPr>
          <w:p w14:paraId="0C1A0376" w14:textId="77777777" w:rsidR="003D69A8" w:rsidRPr="005E1EA7" w:rsidRDefault="003D69A8" w:rsidP="006365F0">
            <w:pPr>
              <w:jc w:val="center"/>
              <w:rPr>
                <w:rFonts w:ascii="Tahoma" w:hAnsi="Tahoma" w:cs="Tahoma"/>
                <w:sz w:val="20"/>
                <w:szCs w:val="20"/>
              </w:rPr>
            </w:pPr>
          </w:p>
          <w:p w14:paraId="5D036DF4"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w:t>
            </w:r>
          </w:p>
        </w:tc>
      </w:tr>
      <w:tr w:rsidR="003D69A8" w:rsidRPr="005E1EA7" w14:paraId="413F275D" w14:textId="77777777" w:rsidTr="006365F0">
        <w:trPr>
          <w:cantSplit/>
          <w:trHeight w:val="907"/>
        </w:trPr>
        <w:tc>
          <w:tcPr>
            <w:tcW w:w="2988" w:type="dxa"/>
            <w:vAlign w:val="center"/>
          </w:tcPr>
          <w:p w14:paraId="34FDEB96" w14:textId="77777777" w:rsidR="003D69A8" w:rsidRPr="005E1EA7" w:rsidRDefault="003D69A8" w:rsidP="006365F0">
            <w:pPr>
              <w:rPr>
                <w:rFonts w:ascii="Tahoma" w:hAnsi="Tahoma" w:cs="Tahoma"/>
                <w:sz w:val="20"/>
                <w:szCs w:val="20"/>
              </w:rPr>
            </w:pPr>
            <w:r w:rsidRPr="005E1EA7">
              <w:rPr>
                <w:rFonts w:ascii="Tahoma" w:hAnsi="Tahoma" w:cs="Tahoma"/>
                <w:sz w:val="20"/>
                <w:szCs w:val="20"/>
              </w:rPr>
              <w:t xml:space="preserve">Maquereau </w:t>
            </w:r>
          </w:p>
          <w:p w14:paraId="0C43BB80" w14:textId="77777777" w:rsidR="003D69A8" w:rsidRPr="005E1EA7" w:rsidRDefault="003D69A8" w:rsidP="006365F0">
            <w:pPr>
              <w:rPr>
                <w:rFonts w:ascii="Tahoma" w:hAnsi="Tahoma" w:cs="Tahoma"/>
                <w:sz w:val="20"/>
                <w:szCs w:val="20"/>
              </w:rPr>
            </w:pPr>
            <w:r w:rsidRPr="005E1EA7">
              <w:rPr>
                <w:rFonts w:ascii="Tahoma" w:hAnsi="Tahoma" w:cs="Tahoma"/>
                <w:sz w:val="20"/>
                <w:szCs w:val="20"/>
              </w:rPr>
              <w:t>Scomber scombrus</w:t>
            </w:r>
          </w:p>
        </w:tc>
        <w:tc>
          <w:tcPr>
            <w:tcW w:w="1440" w:type="dxa"/>
          </w:tcPr>
          <w:p w14:paraId="1D7CE775" w14:textId="77777777" w:rsidR="003D69A8" w:rsidRPr="005E1EA7" w:rsidRDefault="003D69A8" w:rsidP="006365F0">
            <w:pPr>
              <w:jc w:val="center"/>
              <w:rPr>
                <w:rFonts w:ascii="Tahoma" w:hAnsi="Tahoma" w:cs="Tahoma"/>
                <w:sz w:val="20"/>
                <w:szCs w:val="20"/>
              </w:rPr>
            </w:pPr>
          </w:p>
          <w:p w14:paraId="5BC831B1" w14:textId="77777777" w:rsidR="003D69A8" w:rsidRPr="005E1EA7" w:rsidRDefault="003D69A8" w:rsidP="006365F0">
            <w:pPr>
              <w:jc w:val="center"/>
              <w:rPr>
                <w:rFonts w:ascii="Tahoma" w:hAnsi="Tahoma" w:cs="Tahoma"/>
                <w:sz w:val="20"/>
                <w:szCs w:val="20"/>
              </w:rPr>
            </w:pPr>
          </w:p>
          <w:p w14:paraId="2A274A5D"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4</w:t>
            </w:r>
          </w:p>
        </w:tc>
        <w:tc>
          <w:tcPr>
            <w:tcW w:w="3060" w:type="dxa"/>
          </w:tcPr>
          <w:p w14:paraId="405C9D50" w14:textId="77777777" w:rsidR="003D69A8" w:rsidRPr="005E1EA7" w:rsidRDefault="003D69A8" w:rsidP="006365F0">
            <w:pPr>
              <w:jc w:val="center"/>
              <w:rPr>
                <w:rFonts w:ascii="Tahoma" w:hAnsi="Tahoma" w:cs="Tahoma"/>
                <w:sz w:val="20"/>
                <w:szCs w:val="20"/>
              </w:rPr>
            </w:pPr>
          </w:p>
          <w:p w14:paraId="3C0BE380" w14:textId="77777777" w:rsidR="003D69A8" w:rsidRPr="005E1EA7" w:rsidRDefault="003D69A8" w:rsidP="006365F0">
            <w:pPr>
              <w:jc w:val="center"/>
              <w:rPr>
                <w:rFonts w:ascii="Tahoma" w:hAnsi="Tahoma" w:cs="Tahoma"/>
                <w:sz w:val="20"/>
                <w:szCs w:val="20"/>
              </w:rPr>
            </w:pPr>
          </w:p>
          <w:p w14:paraId="2F236C62"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de 0,08 à 0,20</w:t>
            </w:r>
          </w:p>
        </w:tc>
        <w:tc>
          <w:tcPr>
            <w:tcW w:w="1980" w:type="dxa"/>
          </w:tcPr>
          <w:p w14:paraId="7D01BEFE" w14:textId="77777777" w:rsidR="003D69A8" w:rsidRPr="005E1EA7" w:rsidRDefault="003D69A8" w:rsidP="006365F0">
            <w:pPr>
              <w:jc w:val="center"/>
              <w:rPr>
                <w:rFonts w:ascii="Tahoma" w:hAnsi="Tahoma" w:cs="Tahoma"/>
                <w:sz w:val="20"/>
                <w:szCs w:val="20"/>
              </w:rPr>
            </w:pPr>
          </w:p>
          <w:p w14:paraId="47091CD8"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126 à 325</w:t>
            </w:r>
          </w:p>
          <w:p w14:paraId="43A46D00"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par 25 kg</w:t>
            </w:r>
          </w:p>
        </w:tc>
        <w:tc>
          <w:tcPr>
            <w:tcW w:w="2160" w:type="dxa"/>
          </w:tcPr>
          <w:p w14:paraId="15F66D5F" w14:textId="77777777" w:rsidR="003D69A8" w:rsidRPr="005E1EA7" w:rsidRDefault="003D69A8" w:rsidP="006365F0">
            <w:pPr>
              <w:jc w:val="center"/>
              <w:rPr>
                <w:rFonts w:ascii="Tahoma" w:hAnsi="Tahoma" w:cs="Tahoma"/>
                <w:sz w:val="20"/>
                <w:szCs w:val="20"/>
              </w:rPr>
            </w:pPr>
          </w:p>
        </w:tc>
        <w:tc>
          <w:tcPr>
            <w:tcW w:w="1620" w:type="dxa"/>
          </w:tcPr>
          <w:p w14:paraId="29CE9D38" w14:textId="77777777" w:rsidR="003D69A8" w:rsidRPr="005E1EA7" w:rsidRDefault="003D69A8" w:rsidP="006365F0">
            <w:pPr>
              <w:jc w:val="center"/>
              <w:rPr>
                <w:rFonts w:ascii="Tahoma" w:hAnsi="Tahoma" w:cs="Tahoma"/>
                <w:sz w:val="20"/>
                <w:szCs w:val="20"/>
              </w:rPr>
            </w:pPr>
          </w:p>
          <w:p w14:paraId="767240A9" w14:textId="77777777" w:rsidR="003D69A8" w:rsidRPr="005E1EA7" w:rsidRDefault="003D69A8" w:rsidP="006365F0">
            <w:pPr>
              <w:jc w:val="center"/>
              <w:rPr>
                <w:rFonts w:ascii="Tahoma" w:hAnsi="Tahoma" w:cs="Tahoma"/>
                <w:sz w:val="20"/>
                <w:szCs w:val="20"/>
              </w:rPr>
            </w:pPr>
          </w:p>
          <w:p w14:paraId="18279300"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18 cm</w:t>
            </w:r>
          </w:p>
        </w:tc>
      </w:tr>
      <w:tr w:rsidR="003D69A8" w:rsidRPr="005E1EA7" w14:paraId="6D369653" w14:textId="77777777" w:rsidTr="006365F0">
        <w:trPr>
          <w:cantSplit/>
          <w:trHeight w:val="907"/>
        </w:trPr>
        <w:tc>
          <w:tcPr>
            <w:tcW w:w="2988" w:type="dxa"/>
            <w:vAlign w:val="center"/>
          </w:tcPr>
          <w:p w14:paraId="2ED5F5C0" w14:textId="77777777" w:rsidR="003D69A8" w:rsidRPr="005E1EA7" w:rsidRDefault="003D69A8" w:rsidP="006365F0">
            <w:pPr>
              <w:rPr>
                <w:rFonts w:ascii="Tahoma" w:hAnsi="Tahoma" w:cs="Tahoma"/>
                <w:sz w:val="20"/>
                <w:szCs w:val="20"/>
              </w:rPr>
            </w:pPr>
            <w:r w:rsidRPr="005E1EA7">
              <w:rPr>
                <w:rFonts w:ascii="Tahoma" w:hAnsi="Tahoma" w:cs="Tahoma"/>
                <w:sz w:val="20"/>
                <w:szCs w:val="20"/>
              </w:rPr>
              <w:t xml:space="preserve">Maquereau </w:t>
            </w:r>
          </w:p>
          <w:p w14:paraId="61418DDB" w14:textId="77777777" w:rsidR="003D69A8" w:rsidRPr="005E1EA7" w:rsidRDefault="003D69A8" w:rsidP="006365F0">
            <w:pPr>
              <w:rPr>
                <w:rFonts w:ascii="Tahoma" w:hAnsi="Tahoma" w:cs="Tahoma"/>
                <w:sz w:val="20"/>
                <w:szCs w:val="20"/>
              </w:rPr>
            </w:pPr>
            <w:r w:rsidRPr="005E1EA7">
              <w:rPr>
                <w:rFonts w:ascii="Tahoma" w:hAnsi="Tahoma" w:cs="Tahoma"/>
                <w:sz w:val="20"/>
                <w:szCs w:val="20"/>
              </w:rPr>
              <w:t>Scomber japonicus</w:t>
            </w:r>
          </w:p>
        </w:tc>
        <w:tc>
          <w:tcPr>
            <w:tcW w:w="1440" w:type="dxa"/>
            <w:vAlign w:val="center"/>
          </w:tcPr>
          <w:p w14:paraId="2AEBF2DC"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3</w:t>
            </w:r>
          </w:p>
          <w:p w14:paraId="38D0B5C4"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4</w:t>
            </w:r>
          </w:p>
        </w:tc>
        <w:tc>
          <w:tcPr>
            <w:tcW w:w="3060" w:type="dxa"/>
            <w:vAlign w:val="center"/>
          </w:tcPr>
          <w:p w14:paraId="39DA03DC" w14:textId="77777777" w:rsidR="003D69A8" w:rsidRPr="005E1EA7" w:rsidRDefault="003D69A8" w:rsidP="006365F0">
            <w:pPr>
              <w:jc w:val="center"/>
              <w:rPr>
                <w:rFonts w:ascii="Tahoma" w:hAnsi="Tahoma" w:cs="Tahoma"/>
                <w:sz w:val="20"/>
                <w:szCs w:val="20"/>
              </w:rPr>
            </w:pPr>
            <w:proofErr w:type="gramStart"/>
            <w:r w:rsidRPr="005E1EA7">
              <w:rPr>
                <w:rFonts w:ascii="Tahoma" w:hAnsi="Tahoma" w:cs="Tahoma"/>
                <w:sz w:val="20"/>
                <w:szCs w:val="20"/>
              </w:rPr>
              <w:t>de</w:t>
            </w:r>
            <w:proofErr w:type="gramEnd"/>
            <w:r w:rsidRPr="005E1EA7">
              <w:rPr>
                <w:rFonts w:ascii="Tahoma" w:hAnsi="Tahoma" w:cs="Tahoma"/>
                <w:sz w:val="20"/>
                <w:szCs w:val="20"/>
              </w:rPr>
              <w:t xml:space="preserve"> 0,14 à 0,25</w:t>
            </w:r>
          </w:p>
          <w:p w14:paraId="7BD2D8B9"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de 0,05 à 0,14</w:t>
            </w:r>
          </w:p>
        </w:tc>
        <w:tc>
          <w:tcPr>
            <w:tcW w:w="1980" w:type="dxa"/>
          </w:tcPr>
          <w:p w14:paraId="62D12E30" w14:textId="77777777" w:rsidR="003D69A8" w:rsidRPr="005E1EA7" w:rsidRDefault="003D69A8" w:rsidP="006365F0">
            <w:pPr>
              <w:jc w:val="center"/>
              <w:rPr>
                <w:rFonts w:ascii="Tahoma" w:hAnsi="Tahoma" w:cs="Tahoma"/>
                <w:sz w:val="20"/>
                <w:szCs w:val="20"/>
              </w:rPr>
            </w:pPr>
          </w:p>
          <w:p w14:paraId="0DE5C061" w14:textId="77777777" w:rsidR="003D69A8" w:rsidRPr="005E1EA7" w:rsidRDefault="003D69A8" w:rsidP="006365F0">
            <w:pPr>
              <w:jc w:val="center"/>
              <w:rPr>
                <w:rFonts w:ascii="Tahoma" w:hAnsi="Tahoma" w:cs="Tahoma"/>
                <w:sz w:val="20"/>
                <w:szCs w:val="20"/>
              </w:rPr>
            </w:pPr>
          </w:p>
          <w:p w14:paraId="42121404"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w:t>
            </w:r>
          </w:p>
        </w:tc>
        <w:tc>
          <w:tcPr>
            <w:tcW w:w="2160" w:type="dxa"/>
          </w:tcPr>
          <w:p w14:paraId="4A96C1EF" w14:textId="77777777" w:rsidR="003D69A8" w:rsidRPr="005E1EA7" w:rsidRDefault="003D69A8" w:rsidP="006365F0">
            <w:pPr>
              <w:jc w:val="center"/>
              <w:rPr>
                <w:rFonts w:ascii="Tahoma" w:hAnsi="Tahoma" w:cs="Tahoma"/>
                <w:sz w:val="20"/>
                <w:szCs w:val="20"/>
              </w:rPr>
            </w:pPr>
          </w:p>
        </w:tc>
        <w:tc>
          <w:tcPr>
            <w:tcW w:w="1620" w:type="dxa"/>
          </w:tcPr>
          <w:p w14:paraId="149AB78E" w14:textId="77777777" w:rsidR="003D69A8" w:rsidRPr="005E1EA7" w:rsidRDefault="003D69A8" w:rsidP="006365F0">
            <w:pPr>
              <w:jc w:val="center"/>
              <w:rPr>
                <w:rFonts w:ascii="Tahoma" w:hAnsi="Tahoma" w:cs="Tahoma"/>
                <w:sz w:val="20"/>
                <w:szCs w:val="20"/>
              </w:rPr>
            </w:pPr>
          </w:p>
          <w:p w14:paraId="0E80923D" w14:textId="77777777" w:rsidR="003D69A8" w:rsidRPr="005E1EA7" w:rsidRDefault="003D69A8" w:rsidP="006365F0">
            <w:pPr>
              <w:jc w:val="center"/>
              <w:rPr>
                <w:rFonts w:ascii="Tahoma" w:hAnsi="Tahoma" w:cs="Tahoma"/>
                <w:sz w:val="20"/>
                <w:szCs w:val="20"/>
              </w:rPr>
            </w:pPr>
          </w:p>
          <w:p w14:paraId="7576E4DB"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w:t>
            </w:r>
          </w:p>
        </w:tc>
      </w:tr>
      <w:tr w:rsidR="003D69A8" w:rsidRPr="005E1EA7" w14:paraId="6E7BE1F1" w14:textId="77777777" w:rsidTr="006365F0">
        <w:trPr>
          <w:cantSplit/>
          <w:trHeight w:val="1110"/>
        </w:trPr>
        <w:tc>
          <w:tcPr>
            <w:tcW w:w="2988" w:type="dxa"/>
          </w:tcPr>
          <w:p w14:paraId="6231D63A" w14:textId="77777777" w:rsidR="003D69A8" w:rsidRPr="005E1EA7" w:rsidRDefault="003D69A8" w:rsidP="006365F0">
            <w:pPr>
              <w:rPr>
                <w:rFonts w:ascii="Tahoma" w:hAnsi="Tahoma" w:cs="Tahoma"/>
                <w:sz w:val="20"/>
                <w:szCs w:val="20"/>
              </w:rPr>
            </w:pPr>
          </w:p>
          <w:p w14:paraId="2CF45473" w14:textId="77777777" w:rsidR="003D69A8" w:rsidRPr="005E1EA7" w:rsidRDefault="003D69A8" w:rsidP="006365F0">
            <w:pPr>
              <w:rPr>
                <w:rFonts w:ascii="Tahoma" w:hAnsi="Tahoma" w:cs="Tahoma"/>
                <w:sz w:val="20"/>
                <w:szCs w:val="20"/>
              </w:rPr>
            </w:pPr>
            <w:r w:rsidRPr="005E1EA7">
              <w:rPr>
                <w:rFonts w:ascii="Tahoma" w:hAnsi="Tahoma" w:cs="Tahoma"/>
                <w:sz w:val="20"/>
                <w:szCs w:val="20"/>
              </w:rPr>
              <w:t>Anchois</w:t>
            </w:r>
          </w:p>
          <w:p w14:paraId="34589067" w14:textId="77777777" w:rsidR="003D69A8" w:rsidRPr="005E1EA7" w:rsidRDefault="003D69A8" w:rsidP="006365F0">
            <w:pPr>
              <w:rPr>
                <w:rFonts w:ascii="Tahoma" w:hAnsi="Tahoma" w:cs="Tahoma"/>
                <w:sz w:val="20"/>
                <w:szCs w:val="20"/>
              </w:rPr>
            </w:pPr>
            <w:r w:rsidRPr="005E1EA7">
              <w:rPr>
                <w:rFonts w:ascii="Tahoma" w:hAnsi="Tahoma" w:cs="Tahoma"/>
                <w:i/>
                <w:iCs/>
                <w:sz w:val="20"/>
                <w:szCs w:val="20"/>
              </w:rPr>
              <w:t>(Engrauli</w:t>
            </w:r>
            <w:r w:rsidRPr="005E1EA7">
              <w:rPr>
                <w:rFonts w:ascii="Tahoma" w:hAnsi="Tahoma" w:cs="Tahoma"/>
                <w:sz w:val="20"/>
                <w:szCs w:val="20"/>
              </w:rPr>
              <w:t xml:space="preserve">s </w:t>
            </w:r>
            <w:r w:rsidRPr="005E1EA7">
              <w:rPr>
                <w:rFonts w:ascii="Tahoma" w:hAnsi="Tahoma" w:cs="Tahoma"/>
                <w:i/>
                <w:iCs/>
                <w:sz w:val="20"/>
                <w:szCs w:val="20"/>
              </w:rPr>
              <w:t>encrasicolis</w:t>
            </w:r>
            <w:r w:rsidRPr="005E1EA7">
              <w:rPr>
                <w:rFonts w:ascii="Tahoma" w:hAnsi="Tahoma" w:cs="Tahoma"/>
                <w:sz w:val="20"/>
                <w:szCs w:val="20"/>
              </w:rPr>
              <w:t xml:space="preserve">) </w:t>
            </w:r>
          </w:p>
        </w:tc>
        <w:tc>
          <w:tcPr>
            <w:tcW w:w="1440" w:type="dxa"/>
            <w:vAlign w:val="center"/>
          </w:tcPr>
          <w:p w14:paraId="44A883FA"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1</w:t>
            </w:r>
          </w:p>
          <w:p w14:paraId="0FDBEF61"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 xml:space="preserve"> 2</w:t>
            </w:r>
          </w:p>
          <w:p w14:paraId="037B22C0"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 xml:space="preserve"> 3 </w:t>
            </w:r>
          </w:p>
          <w:p w14:paraId="25F0D04E"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4</w:t>
            </w:r>
          </w:p>
        </w:tc>
        <w:tc>
          <w:tcPr>
            <w:tcW w:w="3060" w:type="dxa"/>
            <w:vAlign w:val="center"/>
          </w:tcPr>
          <w:p w14:paraId="22740ECA"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0,033 et plus</w:t>
            </w:r>
          </w:p>
          <w:p w14:paraId="596815AD" w14:textId="77777777" w:rsidR="003D69A8" w:rsidRPr="005E1EA7" w:rsidRDefault="003D69A8" w:rsidP="006365F0">
            <w:pPr>
              <w:jc w:val="center"/>
              <w:rPr>
                <w:rFonts w:ascii="Tahoma" w:hAnsi="Tahoma" w:cs="Tahoma"/>
                <w:sz w:val="20"/>
                <w:szCs w:val="20"/>
              </w:rPr>
            </w:pPr>
            <w:proofErr w:type="gramStart"/>
            <w:r w:rsidRPr="005E1EA7">
              <w:rPr>
                <w:rFonts w:ascii="Tahoma" w:hAnsi="Tahoma" w:cs="Tahoma"/>
                <w:sz w:val="20"/>
                <w:szCs w:val="20"/>
              </w:rPr>
              <w:t>de</w:t>
            </w:r>
            <w:proofErr w:type="gramEnd"/>
            <w:r w:rsidRPr="005E1EA7">
              <w:rPr>
                <w:rFonts w:ascii="Tahoma" w:hAnsi="Tahoma" w:cs="Tahoma"/>
                <w:sz w:val="20"/>
                <w:szCs w:val="20"/>
              </w:rPr>
              <w:t xml:space="preserve"> 0,020 à 0,033</w:t>
            </w:r>
          </w:p>
          <w:p w14:paraId="091473D4" w14:textId="77777777" w:rsidR="003D69A8" w:rsidRPr="005E1EA7" w:rsidRDefault="003D69A8" w:rsidP="006365F0">
            <w:pPr>
              <w:jc w:val="center"/>
              <w:rPr>
                <w:rFonts w:ascii="Tahoma" w:hAnsi="Tahoma" w:cs="Tahoma"/>
                <w:sz w:val="20"/>
                <w:szCs w:val="20"/>
              </w:rPr>
            </w:pPr>
            <w:proofErr w:type="gramStart"/>
            <w:r w:rsidRPr="005E1EA7">
              <w:rPr>
                <w:rFonts w:ascii="Tahoma" w:hAnsi="Tahoma" w:cs="Tahoma"/>
                <w:sz w:val="20"/>
                <w:szCs w:val="20"/>
              </w:rPr>
              <w:t>de</w:t>
            </w:r>
            <w:proofErr w:type="gramEnd"/>
            <w:r w:rsidRPr="005E1EA7">
              <w:rPr>
                <w:rFonts w:ascii="Tahoma" w:hAnsi="Tahoma" w:cs="Tahoma"/>
                <w:sz w:val="20"/>
                <w:szCs w:val="20"/>
              </w:rPr>
              <w:t xml:space="preserve"> 0,012 à 0,020</w:t>
            </w:r>
          </w:p>
          <w:p w14:paraId="70AC47A8"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de 0,008 à 0,012</w:t>
            </w:r>
          </w:p>
        </w:tc>
        <w:tc>
          <w:tcPr>
            <w:tcW w:w="1980" w:type="dxa"/>
            <w:vAlign w:val="center"/>
          </w:tcPr>
          <w:p w14:paraId="1C45E85A"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30 ou moins</w:t>
            </w:r>
          </w:p>
          <w:p w14:paraId="40EF82F6" w14:textId="77777777" w:rsidR="003D69A8" w:rsidRPr="005E1EA7" w:rsidRDefault="003D69A8" w:rsidP="006365F0">
            <w:pPr>
              <w:jc w:val="center"/>
              <w:rPr>
                <w:rFonts w:ascii="Tahoma" w:hAnsi="Tahoma" w:cs="Tahoma"/>
                <w:sz w:val="20"/>
                <w:szCs w:val="20"/>
              </w:rPr>
            </w:pPr>
            <w:proofErr w:type="gramStart"/>
            <w:r w:rsidRPr="005E1EA7">
              <w:rPr>
                <w:rFonts w:ascii="Tahoma" w:hAnsi="Tahoma" w:cs="Tahoma"/>
                <w:sz w:val="20"/>
                <w:szCs w:val="20"/>
              </w:rPr>
              <w:t>de</w:t>
            </w:r>
            <w:proofErr w:type="gramEnd"/>
            <w:r w:rsidRPr="005E1EA7">
              <w:rPr>
                <w:rFonts w:ascii="Tahoma" w:hAnsi="Tahoma" w:cs="Tahoma"/>
                <w:sz w:val="20"/>
                <w:szCs w:val="20"/>
              </w:rPr>
              <w:t xml:space="preserve"> 31 à 50</w:t>
            </w:r>
          </w:p>
          <w:p w14:paraId="3F7FEF09" w14:textId="77777777" w:rsidR="003D69A8" w:rsidRPr="005E1EA7" w:rsidRDefault="003D69A8" w:rsidP="006365F0">
            <w:pPr>
              <w:jc w:val="center"/>
              <w:rPr>
                <w:rFonts w:ascii="Tahoma" w:hAnsi="Tahoma" w:cs="Tahoma"/>
                <w:sz w:val="20"/>
                <w:szCs w:val="20"/>
              </w:rPr>
            </w:pPr>
            <w:proofErr w:type="gramStart"/>
            <w:r w:rsidRPr="005E1EA7">
              <w:rPr>
                <w:rFonts w:ascii="Tahoma" w:hAnsi="Tahoma" w:cs="Tahoma"/>
                <w:sz w:val="20"/>
                <w:szCs w:val="20"/>
              </w:rPr>
              <w:t>de</w:t>
            </w:r>
            <w:proofErr w:type="gramEnd"/>
            <w:r w:rsidRPr="005E1EA7">
              <w:rPr>
                <w:rFonts w:ascii="Tahoma" w:hAnsi="Tahoma" w:cs="Tahoma"/>
                <w:sz w:val="20"/>
                <w:szCs w:val="20"/>
              </w:rPr>
              <w:t xml:space="preserve"> 51 à 83</w:t>
            </w:r>
          </w:p>
          <w:p w14:paraId="2A01F3AE"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de 84 à 125</w:t>
            </w:r>
          </w:p>
        </w:tc>
        <w:tc>
          <w:tcPr>
            <w:tcW w:w="2160" w:type="dxa"/>
          </w:tcPr>
          <w:p w14:paraId="27EE11A9" w14:textId="77777777" w:rsidR="003D69A8" w:rsidRPr="005E1EA7" w:rsidRDefault="003D69A8" w:rsidP="006365F0">
            <w:pPr>
              <w:jc w:val="center"/>
              <w:rPr>
                <w:rFonts w:ascii="Tahoma" w:hAnsi="Tahoma" w:cs="Tahoma"/>
                <w:sz w:val="20"/>
                <w:szCs w:val="20"/>
              </w:rPr>
            </w:pPr>
          </w:p>
        </w:tc>
        <w:tc>
          <w:tcPr>
            <w:tcW w:w="1620" w:type="dxa"/>
          </w:tcPr>
          <w:p w14:paraId="732843C1" w14:textId="77777777" w:rsidR="003D69A8" w:rsidRPr="005E1EA7" w:rsidRDefault="003D69A8" w:rsidP="006365F0">
            <w:pPr>
              <w:jc w:val="center"/>
              <w:rPr>
                <w:rFonts w:ascii="Tahoma" w:hAnsi="Tahoma" w:cs="Tahoma"/>
                <w:sz w:val="20"/>
                <w:szCs w:val="20"/>
              </w:rPr>
            </w:pPr>
          </w:p>
          <w:p w14:paraId="6ABC2844" w14:textId="77777777" w:rsidR="003D69A8" w:rsidRPr="005E1EA7" w:rsidRDefault="003D69A8" w:rsidP="006365F0">
            <w:pPr>
              <w:jc w:val="center"/>
              <w:rPr>
                <w:rFonts w:ascii="Tahoma" w:hAnsi="Tahoma" w:cs="Tahoma"/>
                <w:sz w:val="20"/>
                <w:szCs w:val="20"/>
              </w:rPr>
            </w:pPr>
          </w:p>
          <w:p w14:paraId="4F619AC9"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9 cm</w:t>
            </w:r>
          </w:p>
        </w:tc>
      </w:tr>
      <w:tr w:rsidR="003D69A8" w:rsidRPr="005E1EA7" w14:paraId="7600F024" w14:textId="77777777" w:rsidTr="006365F0">
        <w:trPr>
          <w:cantSplit/>
          <w:trHeight w:val="907"/>
        </w:trPr>
        <w:tc>
          <w:tcPr>
            <w:tcW w:w="2988" w:type="dxa"/>
          </w:tcPr>
          <w:p w14:paraId="2197BAFC" w14:textId="77777777" w:rsidR="003D69A8" w:rsidRPr="005E1EA7" w:rsidRDefault="003D69A8" w:rsidP="006365F0">
            <w:pPr>
              <w:rPr>
                <w:rFonts w:ascii="Tahoma" w:hAnsi="Tahoma" w:cs="Tahoma"/>
                <w:sz w:val="20"/>
                <w:szCs w:val="20"/>
              </w:rPr>
            </w:pPr>
          </w:p>
          <w:p w14:paraId="54ED26B1" w14:textId="77777777" w:rsidR="003D69A8" w:rsidRPr="005E1EA7" w:rsidRDefault="003D69A8" w:rsidP="006365F0">
            <w:pPr>
              <w:rPr>
                <w:rFonts w:ascii="Tahoma" w:hAnsi="Tahoma" w:cs="Tahoma"/>
                <w:sz w:val="20"/>
                <w:szCs w:val="20"/>
              </w:rPr>
            </w:pPr>
            <w:r w:rsidRPr="005E1EA7">
              <w:rPr>
                <w:rFonts w:ascii="Tahoma" w:hAnsi="Tahoma" w:cs="Tahoma"/>
                <w:sz w:val="20"/>
                <w:szCs w:val="20"/>
              </w:rPr>
              <w:t>Merlu</w:t>
            </w:r>
          </w:p>
          <w:p w14:paraId="28F249A4" w14:textId="77777777" w:rsidR="003D69A8" w:rsidRPr="005E1EA7" w:rsidRDefault="003D69A8" w:rsidP="006365F0">
            <w:pPr>
              <w:rPr>
                <w:rFonts w:ascii="Tahoma" w:hAnsi="Tahoma" w:cs="Tahoma"/>
                <w:i/>
                <w:iCs/>
                <w:sz w:val="20"/>
                <w:szCs w:val="20"/>
              </w:rPr>
            </w:pPr>
            <w:r w:rsidRPr="005E1EA7">
              <w:rPr>
                <w:rFonts w:ascii="Tahoma" w:hAnsi="Tahoma" w:cs="Tahoma"/>
                <w:i/>
                <w:iCs/>
                <w:sz w:val="20"/>
                <w:szCs w:val="20"/>
              </w:rPr>
              <w:t>(Merlucciu</w:t>
            </w:r>
            <w:r w:rsidRPr="005E1EA7">
              <w:rPr>
                <w:rFonts w:ascii="Tahoma" w:hAnsi="Tahoma" w:cs="Tahoma"/>
                <w:sz w:val="20"/>
                <w:szCs w:val="20"/>
              </w:rPr>
              <w:t xml:space="preserve">s </w:t>
            </w:r>
            <w:r w:rsidRPr="005E1EA7">
              <w:rPr>
                <w:rFonts w:ascii="Tahoma" w:hAnsi="Tahoma" w:cs="Tahoma"/>
                <w:i/>
                <w:iCs/>
                <w:sz w:val="20"/>
                <w:szCs w:val="20"/>
              </w:rPr>
              <w:t>merluccius)</w:t>
            </w:r>
          </w:p>
          <w:p w14:paraId="71FFDD49" w14:textId="77777777" w:rsidR="003D69A8" w:rsidRPr="005E1EA7" w:rsidRDefault="003D69A8" w:rsidP="006365F0">
            <w:pPr>
              <w:rPr>
                <w:rFonts w:ascii="Tahoma" w:hAnsi="Tahoma" w:cs="Tahoma"/>
                <w:sz w:val="20"/>
                <w:szCs w:val="20"/>
              </w:rPr>
            </w:pPr>
          </w:p>
        </w:tc>
        <w:tc>
          <w:tcPr>
            <w:tcW w:w="1440" w:type="dxa"/>
          </w:tcPr>
          <w:p w14:paraId="7FD92902" w14:textId="77777777" w:rsidR="003D69A8" w:rsidRPr="005E1EA7" w:rsidRDefault="003D69A8" w:rsidP="006365F0">
            <w:pPr>
              <w:jc w:val="center"/>
              <w:rPr>
                <w:rFonts w:ascii="Tahoma" w:hAnsi="Tahoma" w:cs="Tahoma"/>
                <w:sz w:val="20"/>
                <w:szCs w:val="20"/>
              </w:rPr>
            </w:pPr>
          </w:p>
          <w:p w14:paraId="49073CB8"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5</w:t>
            </w:r>
          </w:p>
        </w:tc>
        <w:tc>
          <w:tcPr>
            <w:tcW w:w="3060" w:type="dxa"/>
          </w:tcPr>
          <w:p w14:paraId="35B13696" w14:textId="77777777" w:rsidR="003D69A8" w:rsidRPr="005E1EA7" w:rsidRDefault="003D69A8" w:rsidP="006365F0">
            <w:pPr>
              <w:jc w:val="center"/>
              <w:rPr>
                <w:rFonts w:ascii="Tahoma" w:hAnsi="Tahoma" w:cs="Tahoma"/>
                <w:sz w:val="20"/>
                <w:szCs w:val="20"/>
              </w:rPr>
            </w:pPr>
          </w:p>
          <w:p w14:paraId="6A87E6DD" w14:textId="77777777" w:rsidR="003D69A8" w:rsidRPr="005E1EA7" w:rsidRDefault="003D69A8" w:rsidP="006365F0">
            <w:pPr>
              <w:jc w:val="center"/>
              <w:rPr>
                <w:rFonts w:ascii="Tahoma" w:hAnsi="Tahoma" w:cs="Tahoma"/>
                <w:sz w:val="20"/>
                <w:szCs w:val="20"/>
              </w:rPr>
            </w:pPr>
            <w:proofErr w:type="gramStart"/>
            <w:r w:rsidRPr="005E1EA7">
              <w:rPr>
                <w:rFonts w:ascii="Tahoma" w:hAnsi="Tahoma" w:cs="Tahoma"/>
                <w:sz w:val="20"/>
                <w:szCs w:val="20"/>
              </w:rPr>
              <w:t>de</w:t>
            </w:r>
            <w:proofErr w:type="gramEnd"/>
            <w:r w:rsidRPr="005E1EA7">
              <w:rPr>
                <w:rFonts w:ascii="Tahoma" w:hAnsi="Tahoma" w:cs="Tahoma"/>
                <w:sz w:val="20"/>
                <w:szCs w:val="20"/>
              </w:rPr>
              <w:t xml:space="preserve"> 0,2 à 0,28</w:t>
            </w:r>
          </w:p>
          <w:p w14:paraId="7AB0AC56"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de 0,15 à 0,28</w:t>
            </w:r>
          </w:p>
        </w:tc>
        <w:tc>
          <w:tcPr>
            <w:tcW w:w="1980" w:type="dxa"/>
          </w:tcPr>
          <w:p w14:paraId="66D04957" w14:textId="77777777" w:rsidR="003D69A8" w:rsidRPr="005E1EA7" w:rsidRDefault="003D69A8" w:rsidP="006365F0">
            <w:pPr>
              <w:jc w:val="center"/>
              <w:rPr>
                <w:rFonts w:ascii="Tahoma" w:hAnsi="Tahoma" w:cs="Tahoma"/>
                <w:sz w:val="20"/>
                <w:szCs w:val="20"/>
              </w:rPr>
            </w:pPr>
          </w:p>
          <w:p w14:paraId="5F9A703C"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w:t>
            </w:r>
          </w:p>
        </w:tc>
        <w:tc>
          <w:tcPr>
            <w:tcW w:w="2160" w:type="dxa"/>
          </w:tcPr>
          <w:p w14:paraId="42D0A1A3" w14:textId="77777777" w:rsidR="003D69A8" w:rsidRPr="005E1EA7" w:rsidRDefault="003D69A8" w:rsidP="006365F0">
            <w:pPr>
              <w:jc w:val="center"/>
              <w:rPr>
                <w:rFonts w:ascii="Tahoma" w:hAnsi="Tahoma" w:cs="Tahoma"/>
                <w:sz w:val="20"/>
                <w:szCs w:val="20"/>
              </w:rPr>
            </w:pPr>
          </w:p>
        </w:tc>
        <w:tc>
          <w:tcPr>
            <w:tcW w:w="1620" w:type="dxa"/>
          </w:tcPr>
          <w:p w14:paraId="58D5BD02" w14:textId="77777777" w:rsidR="003D69A8" w:rsidRPr="005E1EA7" w:rsidRDefault="003D69A8" w:rsidP="006365F0">
            <w:pPr>
              <w:jc w:val="center"/>
              <w:rPr>
                <w:rFonts w:ascii="Tahoma" w:hAnsi="Tahoma" w:cs="Tahoma"/>
                <w:sz w:val="20"/>
                <w:szCs w:val="20"/>
              </w:rPr>
            </w:pPr>
          </w:p>
          <w:p w14:paraId="1AC0EAEB"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20 cm</w:t>
            </w:r>
          </w:p>
        </w:tc>
      </w:tr>
    </w:tbl>
    <w:p w14:paraId="1D098CD1" w14:textId="77777777" w:rsidR="003D69A8" w:rsidRPr="005E1EA7" w:rsidRDefault="003D69A8" w:rsidP="003D69A8">
      <w:pPr>
        <w:spacing w:before="60"/>
        <w:rPr>
          <w:rFonts w:ascii="Tahoma" w:hAnsi="Tahoma" w:cs="Tahoma"/>
          <w:sz w:val="20"/>
          <w:szCs w:val="20"/>
        </w:rPr>
      </w:pPr>
      <w:r w:rsidRPr="005E1EA7">
        <w:rPr>
          <w:rFonts w:ascii="Tahoma" w:hAnsi="Tahoma" w:cs="Tahoma"/>
          <w:sz w:val="20"/>
          <w:szCs w:val="20"/>
        </w:rPr>
        <w:lastRenderedPageBreak/>
        <w:t xml:space="preserve"> (</w:t>
      </w:r>
      <w:proofErr w:type="gramStart"/>
      <w:r w:rsidRPr="005E1EA7">
        <w:rPr>
          <w:rFonts w:ascii="Tahoma" w:hAnsi="Tahoma" w:cs="Tahoma"/>
          <w:sz w:val="20"/>
          <w:szCs w:val="20"/>
        </w:rPr>
        <w:t>1)La</w:t>
      </w:r>
      <w:proofErr w:type="gramEnd"/>
      <w:r w:rsidRPr="005E1EA7">
        <w:rPr>
          <w:rFonts w:ascii="Tahoma" w:hAnsi="Tahoma" w:cs="Tahoma"/>
          <w:sz w:val="20"/>
          <w:szCs w:val="20"/>
        </w:rPr>
        <w:t xml:space="preserve"> limite supérieure fixée pour les catégories de calibrage s'entend toujours «exclue».</w:t>
      </w:r>
    </w:p>
    <w:p w14:paraId="126BEB72" w14:textId="77777777" w:rsidR="003D69A8" w:rsidRPr="005E1EA7" w:rsidRDefault="003D69A8" w:rsidP="003D69A8">
      <w:pPr>
        <w:pStyle w:val="Default"/>
        <w:rPr>
          <w:rFonts w:ascii="Tahoma" w:hAnsi="Tahoma" w:cs="Tahoma"/>
          <w:color w:val="auto"/>
          <w:sz w:val="20"/>
          <w:szCs w:val="20"/>
        </w:rPr>
      </w:pPr>
    </w:p>
    <w:tbl>
      <w:tblPr>
        <w:tblW w:w="13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2"/>
        <w:gridCol w:w="1280"/>
        <w:gridCol w:w="3136"/>
        <w:gridCol w:w="1980"/>
        <w:gridCol w:w="2160"/>
        <w:gridCol w:w="1620"/>
      </w:tblGrid>
      <w:tr w:rsidR="003D69A8" w:rsidRPr="005E1EA7" w14:paraId="503815C8" w14:textId="77777777" w:rsidTr="006365F0">
        <w:trPr>
          <w:trHeight w:val="454"/>
        </w:trPr>
        <w:tc>
          <w:tcPr>
            <w:tcW w:w="9468" w:type="dxa"/>
            <w:gridSpan w:val="4"/>
            <w:vAlign w:val="center"/>
          </w:tcPr>
          <w:p w14:paraId="51342CC2"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Barème de calibrage</w:t>
            </w:r>
          </w:p>
        </w:tc>
        <w:tc>
          <w:tcPr>
            <w:tcW w:w="3780" w:type="dxa"/>
            <w:gridSpan w:val="2"/>
            <w:vAlign w:val="center"/>
          </w:tcPr>
          <w:p w14:paraId="59A5FF18"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 xml:space="preserve">Tailles minimales à respecter </w:t>
            </w:r>
          </w:p>
        </w:tc>
      </w:tr>
      <w:tr w:rsidR="003D69A8" w:rsidRPr="005E1EA7" w14:paraId="4CE019E8" w14:textId="77777777" w:rsidTr="006365F0">
        <w:trPr>
          <w:cantSplit/>
          <w:trHeight w:val="365"/>
        </w:trPr>
        <w:tc>
          <w:tcPr>
            <w:tcW w:w="3072" w:type="dxa"/>
            <w:vAlign w:val="center"/>
          </w:tcPr>
          <w:p w14:paraId="12A8803C" w14:textId="77777777" w:rsidR="003D69A8" w:rsidRPr="005E1EA7" w:rsidRDefault="003D69A8" w:rsidP="006365F0">
            <w:pPr>
              <w:rPr>
                <w:rFonts w:ascii="Tahoma" w:hAnsi="Tahoma" w:cs="Tahoma"/>
                <w:sz w:val="20"/>
                <w:szCs w:val="20"/>
              </w:rPr>
            </w:pPr>
            <w:r w:rsidRPr="005E1EA7">
              <w:rPr>
                <w:rFonts w:ascii="Tahoma" w:hAnsi="Tahoma" w:cs="Tahoma"/>
                <w:sz w:val="20"/>
                <w:szCs w:val="20"/>
              </w:rPr>
              <w:t>Espèce</w:t>
            </w:r>
          </w:p>
        </w:tc>
        <w:tc>
          <w:tcPr>
            <w:tcW w:w="1280" w:type="dxa"/>
            <w:vAlign w:val="center"/>
          </w:tcPr>
          <w:p w14:paraId="654C4AD2"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Taille</w:t>
            </w:r>
          </w:p>
        </w:tc>
        <w:tc>
          <w:tcPr>
            <w:tcW w:w="3136" w:type="dxa"/>
            <w:vAlign w:val="center"/>
          </w:tcPr>
          <w:p w14:paraId="3ADF5001"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Kg/poisson (1 )</w:t>
            </w:r>
          </w:p>
        </w:tc>
        <w:tc>
          <w:tcPr>
            <w:tcW w:w="1980" w:type="dxa"/>
            <w:vAlign w:val="center"/>
          </w:tcPr>
          <w:p w14:paraId="240CF78E"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Nombre de pièces/kg (2)</w:t>
            </w:r>
          </w:p>
        </w:tc>
        <w:tc>
          <w:tcPr>
            <w:tcW w:w="2160" w:type="dxa"/>
            <w:vAlign w:val="center"/>
          </w:tcPr>
          <w:p w14:paraId="2081B71D"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Zone géographique</w:t>
            </w:r>
          </w:p>
        </w:tc>
        <w:tc>
          <w:tcPr>
            <w:tcW w:w="1620" w:type="dxa"/>
            <w:vAlign w:val="center"/>
          </w:tcPr>
          <w:p w14:paraId="2B5A93AD"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Taille minimale</w:t>
            </w:r>
          </w:p>
        </w:tc>
      </w:tr>
      <w:tr w:rsidR="003D69A8" w:rsidRPr="005E1EA7" w14:paraId="789E4B29" w14:textId="77777777" w:rsidTr="006365F0">
        <w:trPr>
          <w:cantSplit/>
          <w:trHeight w:val="567"/>
        </w:trPr>
        <w:tc>
          <w:tcPr>
            <w:tcW w:w="3072" w:type="dxa"/>
            <w:vAlign w:val="center"/>
          </w:tcPr>
          <w:p w14:paraId="4C4EACC0" w14:textId="77777777" w:rsidR="003D69A8" w:rsidRPr="005E1EA7" w:rsidRDefault="003D69A8" w:rsidP="006365F0">
            <w:pPr>
              <w:rPr>
                <w:rFonts w:ascii="Tahoma" w:hAnsi="Tahoma" w:cs="Tahoma"/>
                <w:sz w:val="20"/>
                <w:szCs w:val="20"/>
              </w:rPr>
            </w:pPr>
            <w:r w:rsidRPr="005E1EA7">
              <w:rPr>
                <w:rFonts w:ascii="Tahoma" w:hAnsi="Tahoma" w:cs="Tahoma"/>
                <w:sz w:val="20"/>
                <w:szCs w:val="20"/>
              </w:rPr>
              <w:t>Castagnole</w:t>
            </w:r>
          </w:p>
          <w:p w14:paraId="014628EE" w14:textId="77777777" w:rsidR="003D69A8" w:rsidRPr="005E1EA7" w:rsidRDefault="003D69A8" w:rsidP="006365F0">
            <w:pPr>
              <w:rPr>
                <w:rFonts w:ascii="Tahoma" w:hAnsi="Tahoma" w:cs="Tahoma"/>
                <w:sz w:val="20"/>
                <w:szCs w:val="20"/>
              </w:rPr>
            </w:pPr>
            <w:r w:rsidRPr="005E1EA7">
              <w:rPr>
                <w:rFonts w:ascii="Tahoma" w:hAnsi="Tahoma" w:cs="Tahoma"/>
                <w:i/>
                <w:iCs/>
                <w:sz w:val="20"/>
                <w:szCs w:val="20"/>
              </w:rPr>
              <w:t>(Bram</w:t>
            </w:r>
            <w:r w:rsidRPr="005E1EA7">
              <w:rPr>
                <w:rFonts w:ascii="Tahoma" w:hAnsi="Tahoma" w:cs="Tahoma"/>
                <w:sz w:val="20"/>
                <w:szCs w:val="20"/>
              </w:rPr>
              <w:t xml:space="preserve">a </w:t>
            </w:r>
            <w:r w:rsidRPr="005E1EA7">
              <w:rPr>
                <w:rFonts w:ascii="Tahoma" w:hAnsi="Tahoma" w:cs="Tahoma"/>
                <w:i/>
                <w:iCs/>
                <w:sz w:val="20"/>
                <w:szCs w:val="20"/>
              </w:rPr>
              <w:t>spp.</w:t>
            </w:r>
            <w:r w:rsidRPr="005E1EA7">
              <w:rPr>
                <w:rFonts w:ascii="Tahoma" w:hAnsi="Tahoma" w:cs="Tahoma"/>
                <w:sz w:val="20"/>
                <w:szCs w:val="20"/>
              </w:rPr>
              <w:t xml:space="preserve">) </w:t>
            </w:r>
          </w:p>
        </w:tc>
        <w:tc>
          <w:tcPr>
            <w:tcW w:w="1280" w:type="dxa"/>
            <w:vAlign w:val="center"/>
          </w:tcPr>
          <w:p w14:paraId="7B9CEA81"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1</w:t>
            </w:r>
          </w:p>
          <w:p w14:paraId="4DDD51F9"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2</w:t>
            </w:r>
          </w:p>
        </w:tc>
        <w:tc>
          <w:tcPr>
            <w:tcW w:w="3136" w:type="dxa"/>
            <w:vAlign w:val="center"/>
          </w:tcPr>
          <w:p w14:paraId="3E9E8D1B"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0,8 et plus</w:t>
            </w:r>
          </w:p>
          <w:p w14:paraId="639821DE"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de 0,2 à 0,8</w:t>
            </w:r>
          </w:p>
        </w:tc>
        <w:tc>
          <w:tcPr>
            <w:tcW w:w="1980" w:type="dxa"/>
            <w:vAlign w:val="center"/>
          </w:tcPr>
          <w:p w14:paraId="5E58326A"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w:t>
            </w:r>
          </w:p>
        </w:tc>
        <w:tc>
          <w:tcPr>
            <w:tcW w:w="2160" w:type="dxa"/>
          </w:tcPr>
          <w:p w14:paraId="7892F481" w14:textId="77777777" w:rsidR="003D69A8" w:rsidRPr="005E1EA7" w:rsidRDefault="003D69A8" w:rsidP="006365F0">
            <w:pPr>
              <w:jc w:val="center"/>
              <w:rPr>
                <w:rFonts w:ascii="Tahoma" w:hAnsi="Tahoma" w:cs="Tahoma"/>
                <w:sz w:val="20"/>
                <w:szCs w:val="20"/>
              </w:rPr>
            </w:pPr>
          </w:p>
        </w:tc>
        <w:tc>
          <w:tcPr>
            <w:tcW w:w="1620" w:type="dxa"/>
            <w:vAlign w:val="center"/>
          </w:tcPr>
          <w:p w14:paraId="38BAFD90"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w:t>
            </w:r>
          </w:p>
        </w:tc>
      </w:tr>
      <w:tr w:rsidR="003D69A8" w:rsidRPr="005E1EA7" w14:paraId="0D6F1ADA" w14:textId="77777777" w:rsidTr="006365F0">
        <w:trPr>
          <w:cantSplit/>
          <w:trHeight w:val="567"/>
        </w:trPr>
        <w:tc>
          <w:tcPr>
            <w:tcW w:w="3072" w:type="dxa"/>
          </w:tcPr>
          <w:p w14:paraId="6BB65988" w14:textId="77777777" w:rsidR="003D69A8" w:rsidRPr="005E1EA7" w:rsidRDefault="003D69A8" w:rsidP="006365F0">
            <w:pPr>
              <w:rPr>
                <w:rFonts w:ascii="Tahoma" w:hAnsi="Tahoma" w:cs="Tahoma"/>
                <w:sz w:val="20"/>
                <w:szCs w:val="20"/>
              </w:rPr>
            </w:pPr>
          </w:p>
          <w:p w14:paraId="4D9596FD" w14:textId="77777777" w:rsidR="003D69A8" w:rsidRPr="005E1EA7" w:rsidRDefault="003D69A8" w:rsidP="006365F0">
            <w:pPr>
              <w:rPr>
                <w:rFonts w:ascii="Tahoma" w:hAnsi="Tahoma" w:cs="Tahoma"/>
                <w:sz w:val="20"/>
                <w:szCs w:val="20"/>
              </w:rPr>
            </w:pPr>
            <w:r w:rsidRPr="005E1EA7">
              <w:rPr>
                <w:rFonts w:ascii="Tahoma" w:hAnsi="Tahoma" w:cs="Tahoma"/>
                <w:sz w:val="20"/>
                <w:szCs w:val="20"/>
              </w:rPr>
              <w:t>Baudroie</w:t>
            </w:r>
            <w:r w:rsidRPr="005E1EA7">
              <w:rPr>
                <w:rFonts w:ascii="Tahoma" w:hAnsi="Tahoma" w:cs="Tahoma"/>
                <w:i/>
                <w:iCs/>
                <w:sz w:val="20"/>
                <w:szCs w:val="20"/>
              </w:rPr>
              <w:t xml:space="preserve"> </w:t>
            </w:r>
            <w:r w:rsidRPr="005E1EA7">
              <w:rPr>
                <w:rFonts w:ascii="Tahoma" w:hAnsi="Tahoma" w:cs="Tahoma"/>
                <w:sz w:val="20"/>
                <w:szCs w:val="20"/>
              </w:rPr>
              <w:t xml:space="preserve">entière, éviscérée </w:t>
            </w:r>
          </w:p>
          <w:p w14:paraId="7ECE46FE" w14:textId="77777777" w:rsidR="003D69A8" w:rsidRPr="005E1EA7" w:rsidRDefault="003D69A8" w:rsidP="006365F0">
            <w:pPr>
              <w:rPr>
                <w:rFonts w:ascii="Tahoma" w:hAnsi="Tahoma" w:cs="Tahoma"/>
                <w:sz w:val="20"/>
                <w:szCs w:val="20"/>
              </w:rPr>
            </w:pPr>
            <w:r w:rsidRPr="005E1EA7">
              <w:rPr>
                <w:rFonts w:ascii="Tahoma" w:hAnsi="Tahoma" w:cs="Tahoma"/>
                <w:i/>
                <w:iCs/>
                <w:sz w:val="20"/>
                <w:szCs w:val="20"/>
              </w:rPr>
              <w:t>(Lophiu</w:t>
            </w:r>
            <w:r w:rsidRPr="005E1EA7">
              <w:rPr>
                <w:rFonts w:ascii="Tahoma" w:hAnsi="Tahoma" w:cs="Tahoma"/>
                <w:sz w:val="20"/>
                <w:szCs w:val="20"/>
              </w:rPr>
              <w:t xml:space="preserve">s </w:t>
            </w:r>
            <w:r w:rsidRPr="005E1EA7">
              <w:rPr>
                <w:rFonts w:ascii="Tahoma" w:hAnsi="Tahoma" w:cs="Tahoma"/>
                <w:i/>
                <w:iCs/>
                <w:sz w:val="20"/>
                <w:szCs w:val="20"/>
              </w:rPr>
              <w:t>spp.)</w:t>
            </w:r>
          </w:p>
        </w:tc>
        <w:tc>
          <w:tcPr>
            <w:tcW w:w="1280" w:type="dxa"/>
            <w:vAlign w:val="center"/>
          </w:tcPr>
          <w:p w14:paraId="4A866B5E"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5</w:t>
            </w:r>
          </w:p>
        </w:tc>
        <w:tc>
          <w:tcPr>
            <w:tcW w:w="3136" w:type="dxa"/>
            <w:vAlign w:val="center"/>
          </w:tcPr>
          <w:p w14:paraId="21D1E0F9"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de 0,5 à 1</w:t>
            </w:r>
          </w:p>
        </w:tc>
        <w:tc>
          <w:tcPr>
            <w:tcW w:w="1980" w:type="dxa"/>
          </w:tcPr>
          <w:p w14:paraId="0BB0728C" w14:textId="77777777" w:rsidR="003D69A8" w:rsidRPr="005E1EA7" w:rsidRDefault="003D69A8" w:rsidP="006365F0">
            <w:pPr>
              <w:jc w:val="center"/>
              <w:rPr>
                <w:rFonts w:ascii="Tahoma" w:hAnsi="Tahoma" w:cs="Tahoma"/>
                <w:sz w:val="20"/>
                <w:szCs w:val="20"/>
              </w:rPr>
            </w:pPr>
          </w:p>
          <w:p w14:paraId="0B272048"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w:t>
            </w:r>
          </w:p>
        </w:tc>
        <w:tc>
          <w:tcPr>
            <w:tcW w:w="2160" w:type="dxa"/>
            <w:vAlign w:val="center"/>
          </w:tcPr>
          <w:p w14:paraId="770E1F34" w14:textId="77777777" w:rsidR="003D69A8" w:rsidRPr="005E1EA7" w:rsidRDefault="003D69A8" w:rsidP="006365F0">
            <w:pPr>
              <w:jc w:val="center"/>
              <w:rPr>
                <w:rFonts w:ascii="Tahoma" w:hAnsi="Tahoma" w:cs="Tahoma"/>
                <w:sz w:val="20"/>
                <w:szCs w:val="20"/>
              </w:rPr>
            </w:pPr>
          </w:p>
        </w:tc>
        <w:tc>
          <w:tcPr>
            <w:tcW w:w="1620" w:type="dxa"/>
            <w:vAlign w:val="center"/>
          </w:tcPr>
          <w:p w14:paraId="73CFFECE"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30 cm</w:t>
            </w:r>
          </w:p>
        </w:tc>
      </w:tr>
      <w:tr w:rsidR="003D69A8" w:rsidRPr="005E1EA7" w14:paraId="7750FA2B" w14:textId="77777777" w:rsidTr="006365F0">
        <w:trPr>
          <w:cantSplit/>
          <w:trHeight w:val="567"/>
        </w:trPr>
        <w:tc>
          <w:tcPr>
            <w:tcW w:w="3072" w:type="dxa"/>
          </w:tcPr>
          <w:p w14:paraId="7A65D3F7" w14:textId="77777777" w:rsidR="003D69A8" w:rsidRPr="005E1EA7" w:rsidRDefault="003D69A8" w:rsidP="006365F0">
            <w:pPr>
              <w:rPr>
                <w:rFonts w:ascii="Tahoma" w:hAnsi="Tahoma" w:cs="Tahoma"/>
                <w:sz w:val="20"/>
                <w:szCs w:val="20"/>
              </w:rPr>
            </w:pPr>
          </w:p>
          <w:p w14:paraId="2F81A278" w14:textId="77777777" w:rsidR="003D69A8" w:rsidRPr="005E1EA7" w:rsidRDefault="003D69A8" w:rsidP="006365F0">
            <w:pPr>
              <w:rPr>
                <w:rFonts w:ascii="Tahoma" w:hAnsi="Tahoma" w:cs="Tahoma"/>
                <w:sz w:val="20"/>
                <w:szCs w:val="20"/>
              </w:rPr>
            </w:pPr>
            <w:r w:rsidRPr="005E1EA7">
              <w:rPr>
                <w:rFonts w:ascii="Tahoma" w:hAnsi="Tahoma" w:cs="Tahoma"/>
                <w:sz w:val="20"/>
                <w:szCs w:val="20"/>
              </w:rPr>
              <w:t>Baudroie étêtée</w:t>
            </w:r>
          </w:p>
          <w:p w14:paraId="1B42931D" w14:textId="77777777" w:rsidR="003D69A8" w:rsidRPr="005E1EA7" w:rsidRDefault="003D69A8" w:rsidP="006365F0">
            <w:pPr>
              <w:rPr>
                <w:rFonts w:ascii="Tahoma" w:hAnsi="Tahoma" w:cs="Tahoma"/>
                <w:i/>
                <w:iCs/>
                <w:sz w:val="20"/>
                <w:szCs w:val="20"/>
              </w:rPr>
            </w:pPr>
            <w:r w:rsidRPr="005E1EA7">
              <w:rPr>
                <w:rFonts w:ascii="Tahoma" w:hAnsi="Tahoma" w:cs="Tahoma"/>
                <w:i/>
                <w:iCs/>
                <w:sz w:val="20"/>
                <w:szCs w:val="20"/>
              </w:rPr>
              <w:t>(Lophiu</w:t>
            </w:r>
            <w:r w:rsidRPr="005E1EA7">
              <w:rPr>
                <w:rFonts w:ascii="Tahoma" w:hAnsi="Tahoma" w:cs="Tahoma"/>
                <w:sz w:val="20"/>
                <w:szCs w:val="20"/>
              </w:rPr>
              <w:t xml:space="preserve">s </w:t>
            </w:r>
            <w:r w:rsidRPr="005E1EA7">
              <w:rPr>
                <w:rFonts w:ascii="Tahoma" w:hAnsi="Tahoma" w:cs="Tahoma"/>
                <w:i/>
                <w:iCs/>
                <w:sz w:val="20"/>
                <w:szCs w:val="20"/>
              </w:rPr>
              <w:t>spp.)</w:t>
            </w:r>
          </w:p>
          <w:p w14:paraId="641277E1" w14:textId="77777777" w:rsidR="003D69A8" w:rsidRPr="005E1EA7" w:rsidRDefault="003D69A8" w:rsidP="006365F0">
            <w:pPr>
              <w:rPr>
                <w:rFonts w:ascii="Tahoma" w:hAnsi="Tahoma" w:cs="Tahoma"/>
                <w:sz w:val="20"/>
                <w:szCs w:val="20"/>
              </w:rPr>
            </w:pPr>
          </w:p>
        </w:tc>
        <w:tc>
          <w:tcPr>
            <w:tcW w:w="1280" w:type="dxa"/>
            <w:vAlign w:val="center"/>
          </w:tcPr>
          <w:p w14:paraId="338DE35B"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5</w:t>
            </w:r>
          </w:p>
        </w:tc>
        <w:tc>
          <w:tcPr>
            <w:tcW w:w="3136" w:type="dxa"/>
            <w:vAlign w:val="center"/>
          </w:tcPr>
          <w:p w14:paraId="6557F41F"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de 0,2 à 0,5</w:t>
            </w:r>
          </w:p>
        </w:tc>
        <w:tc>
          <w:tcPr>
            <w:tcW w:w="1980" w:type="dxa"/>
          </w:tcPr>
          <w:p w14:paraId="7A3D2FD6" w14:textId="77777777" w:rsidR="003D69A8" w:rsidRPr="005E1EA7" w:rsidRDefault="003D69A8" w:rsidP="006365F0">
            <w:pPr>
              <w:jc w:val="center"/>
              <w:rPr>
                <w:rFonts w:ascii="Tahoma" w:hAnsi="Tahoma" w:cs="Tahoma"/>
                <w:sz w:val="20"/>
                <w:szCs w:val="20"/>
              </w:rPr>
            </w:pPr>
          </w:p>
          <w:p w14:paraId="18611822"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w:t>
            </w:r>
          </w:p>
        </w:tc>
        <w:tc>
          <w:tcPr>
            <w:tcW w:w="2160" w:type="dxa"/>
          </w:tcPr>
          <w:p w14:paraId="5FE79FB3" w14:textId="77777777" w:rsidR="003D69A8" w:rsidRPr="005E1EA7" w:rsidRDefault="003D69A8" w:rsidP="006365F0">
            <w:pPr>
              <w:jc w:val="center"/>
              <w:rPr>
                <w:rFonts w:ascii="Tahoma" w:hAnsi="Tahoma" w:cs="Tahoma"/>
                <w:sz w:val="20"/>
                <w:szCs w:val="20"/>
              </w:rPr>
            </w:pPr>
          </w:p>
        </w:tc>
        <w:tc>
          <w:tcPr>
            <w:tcW w:w="1620" w:type="dxa"/>
          </w:tcPr>
          <w:p w14:paraId="53E67D94" w14:textId="77777777" w:rsidR="003D69A8" w:rsidRPr="005E1EA7" w:rsidRDefault="003D69A8" w:rsidP="006365F0">
            <w:pPr>
              <w:jc w:val="center"/>
              <w:rPr>
                <w:rFonts w:ascii="Tahoma" w:hAnsi="Tahoma" w:cs="Tahoma"/>
                <w:sz w:val="20"/>
                <w:szCs w:val="20"/>
              </w:rPr>
            </w:pPr>
          </w:p>
          <w:p w14:paraId="4C6C71A7"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w:t>
            </w:r>
          </w:p>
        </w:tc>
      </w:tr>
      <w:tr w:rsidR="003D69A8" w:rsidRPr="005E1EA7" w14:paraId="7B8CA679" w14:textId="77777777" w:rsidTr="006365F0">
        <w:trPr>
          <w:cantSplit/>
          <w:trHeight w:val="1247"/>
        </w:trPr>
        <w:tc>
          <w:tcPr>
            <w:tcW w:w="3072" w:type="dxa"/>
          </w:tcPr>
          <w:p w14:paraId="789A300A" w14:textId="77777777" w:rsidR="003D69A8" w:rsidRPr="005E1EA7" w:rsidRDefault="003D69A8" w:rsidP="006365F0">
            <w:pPr>
              <w:rPr>
                <w:rFonts w:ascii="Tahoma" w:hAnsi="Tahoma" w:cs="Tahoma"/>
                <w:sz w:val="20"/>
                <w:szCs w:val="20"/>
                <w:lang w:val="en-GB"/>
              </w:rPr>
            </w:pPr>
          </w:p>
          <w:p w14:paraId="4E31E98A" w14:textId="77777777" w:rsidR="003D69A8" w:rsidRPr="005E1EA7" w:rsidRDefault="003D69A8" w:rsidP="006365F0">
            <w:pPr>
              <w:rPr>
                <w:rFonts w:ascii="Tahoma" w:hAnsi="Tahoma" w:cs="Tahoma"/>
                <w:sz w:val="20"/>
                <w:szCs w:val="20"/>
                <w:lang w:val="en-GB"/>
              </w:rPr>
            </w:pPr>
            <w:r w:rsidRPr="005E1EA7">
              <w:rPr>
                <w:rFonts w:ascii="Tahoma" w:hAnsi="Tahoma" w:cs="Tahoma"/>
                <w:sz w:val="20"/>
                <w:szCs w:val="20"/>
                <w:lang w:val="en-GB"/>
              </w:rPr>
              <w:t>Thon rouge</w:t>
            </w:r>
          </w:p>
          <w:p w14:paraId="6BD9415A" w14:textId="77777777" w:rsidR="003D69A8" w:rsidRPr="005E1EA7" w:rsidRDefault="003D69A8" w:rsidP="006365F0">
            <w:pPr>
              <w:rPr>
                <w:rFonts w:ascii="Tahoma" w:hAnsi="Tahoma" w:cs="Tahoma"/>
                <w:sz w:val="20"/>
                <w:szCs w:val="20"/>
                <w:lang w:val="en-GB"/>
              </w:rPr>
            </w:pPr>
            <w:r w:rsidRPr="005E1EA7">
              <w:rPr>
                <w:rFonts w:ascii="Tahoma" w:hAnsi="Tahoma" w:cs="Tahoma"/>
                <w:i/>
                <w:iCs/>
                <w:sz w:val="20"/>
                <w:szCs w:val="20"/>
                <w:lang w:val="en-GB"/>
              </w:rPr>
              <w:t>(Thunnu</w:t>
            </w:r>
            <w:r w:rsidRPr="005E1EA7">
              <w:rPr>
                <w:rFonts w:ascii="Tahoma" w:hAnsi="Tahoma" w:cs="Tahoma"/>
                <w:sz w:val="20"/>
                <w:szCs w:val="20"/>
                <w:lang w:val="en-GB"/>
              </w:rPr>
              <w:t xml:space="preserve">s </w:t>
            </w:r>
            <w:r w:rsidRPr="005E1EA7">
              <w:rPr>
                <w:rFonts w:ascii="Tahoma" w:hAnsi="Tahoma" w:cs="Tahoma"/>
                <w:i/>
                <w:iCs/>
                <w:sz w:val="20"/>
                <w:szCs w:val="20"/>
                <w:lang w:val="en-GB"/>
              </w:rPr>
              <w:t>thynnus</w:t>
            </w:r>
            <w:r w:rsidRPr="005E1EA7">
              <w:rPr>
                <w:rFonts w:ascii="Tahoma" w:hAnsi="Tahoma" w:cs="Tahoma"/>
                <w:sz w:val="20"/>
                <w:szCs w:val="20"/>
                <w:lang w:val="en-GB"/>
              </w:rPr>
              <w:t xml:space="preserve">) </w:t>
            </w:r>
          </w:p>
        </w:tc>
        <w:tc>
          <w:tcPr>
            <w:tcW w:w="1280" w:type="dxa"/>
            <w:vAlign w:val="center"/>
          </w:tcPr>
          <w:p w14:paraId="08ACFAF5"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1</w:t>
            </w:r>
          </w:p>
          <w:p w14:paraId="6F2433A3"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2</w:t>
            </w:r>
          </w:p>
          <w:p w14:paraId="5ADDDB9D"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3</w:t>
            </w:r>
          </w:p>
          <w:p w14:paraId="0C3F095A"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4</w:t>
            </w:r>
          </w:p>
          <w:p w14:paraId="69568A13"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5</w:t>
            </w:r>
          </w:p>
        </w:tc>
        <w:tc>
          <w:tcPr>
            <w:tcW w:w="3136" w:type="dxa"/>
            <w:vAlign w:val="center"/>
          </w:tcPr>
          <w:p w14:paraId="37FBE693"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70 et plus</w:t>
            </w:r>
          </w:p>
          <w:p w14:paraId="55C96FEA" w14:textId="77777777" w:rsidR="003D69A8" w:rsidRPr="005E1EA7" w:rsidRDefault="003D69A8" w:rsidP="006365F0">
            <w:pPr>
              <w:jc w:val="center"/>
              <w:rPr>
                <w:rFonts w:ascii="Tahoma" w:hAnsi="Tahoma" w:cs="Tahoma"/>
                <w:sz w:val="20"/>
                <w:szCs w:val="20"/>
              </w:rPr>
            </w:pPr>
            <w:proofErr w:type="gramStart"/>
            <w:r w:rsidRPr="005E1EA7">
              <w:rPr>
                <w:rFonts w:ascii="Tahoma" w:hAnsi="Tahoma" w:cs="Tahoma"/>
                <w:sz w:val="20"/>
                <w:szCs w:val="20"/>
              </w:rPr>
              <w:t>de</w:t>
            </w:r>
            <w:proofErr w:type="gramEnd"/>
            <w:r w:rsidRPr="005E1EA7">
              <w:rPr>
                <w:rFonts w:ascii="Tahoma" w:hAnsi="Tahoma" w:cs="Tahoma"/>
                <w:sz w:val="20"/>
                <w:szCs w:val="20"/>
              </w:rPr>
              <w:t xml:space="preserve"> 50 à 70</w:t>
            </w:r>
          </w:p>
          <w:p w14:paraId="2BD74E08" w14:textId="77777777" w:rsidR="003D69A8" w:rsidRPr="005E1EA7" w:rsidRDefault="003D69A8" w:rsidP="006365F0">
            <w:pPr>
              <w:jc w:val="center"/>
              <w:rPr>
                <w:rFonts w:ascii="Tahoma" w:hAnsi="Tahoma" w:cs="Tahoma"/>
                <w:sz w:val="20"/>
                <w:szCs w:val="20"/>
              </w:rPr>
            </w:pPr>
            <w:proofErr w:type="gramStart"/>
            <w:r w:rsidRPr="005E1EA7">
              <w:rPr>
                <w:rFonts w:ascii="Tahoma" w:hAnsi="Tahoma" w:cs="Tahoma"/>
                <w:sz w:val="20"/>
                <w:szCs w:val="20"/>
              </w:rPr>
              <w:t>de</w:t>
            </w:r>
            <w:proofErr w:type="gramEnd"/>
            <w:r w:rsidRPr="005E1EA7">
              <w:rPr>
                <w:rFonts w:ascii="Tahoma" w:hAnsi="Tahoma" w:cs="Tahoma"/>
                <w:sz w:val="20"/>
                <w:szCs w:val="20"/>
              </w:rPr>
              <w:t xml:space="preserve"> 25 à 50</w:t>
            </w:r>
          </w:p>
          <w:p w14:paraId="7DD96391" w14:textId="77777777" w:rsidR="003D69A8" w:rsidRPr="005E1EA7" w:rsidRDefault="003D69A8" w:rsidP="006365F0">
            <w:pPr>
              <w:jc w:val="center"/>
              <w:rPr>
                <w:rFonts w:ascii="Tahoma" w:hAnsi="Tahoma" w:cs="Tahoma"/>
                <w:sz w:val="20"/>
                <w:szCs w:val="20"/>
              </w:rPr>
            </w:pPr>
            <w:proofErr w:type="gramStart"/>
            <w:r w:rsidRPr="005E1EA7">
              <w:rPr>
                <w:rFonts w:ascii="Tahoma" w:hAnsi="Tahoma" w:cs="Tahoma"/>
                <w:sz w:val="20"/>
                <w:szCs w:val="20"/>
              </w:rPr>
              <w:t>de</w:t>
            </w:r>
            <w:proofErr w:type="gramEnd"/>
            <w:r w:rsidRPr="005E1EA7">
              <w:rPr>
                <w:rFonts w:ascii="Tahoma" w:hAnsi="Tahoma" w:cs="Tahoma"/>
                <w:sz w:val="20"/>
                <w:szCs w:val="20"/>
              </w:rPr>
              <w:t xml:space="preserve"> 10 à 25</w:t>
            </w:r>
          </w:p>
          <w:p w14:paraId="17CDA9A4"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de 6,4 à 10</w:t>
            </w:r>
          </w:p>
        </w:tc>
        <w:tc>
          <w:tcPr>
            <w:tcW w:w="1980" w:type="dxa"/>
          </w:tcPr>
          <w:p w14:paraId="47F1A4B6" w14:textId="77777777" w:rsidR="003D69A8" w:rsidRPr="005E1EA7" w:rsidRDefault="003D69A8" w:rsidP="006365F0">
            <w:pPr>
              <w:jc w:val="center"/>
              <w:rPr>
                <w:rFonts w:ascii="Tahoma" w:hAnsi="Tahoma" w:cs="Tahoma"/>
                <w:sz w:val="20"/>
                <w:szCs w:val="20"/>
              </w:rPr>
            </w:pPr>
          </w:p>
          <w:p w14:paraId="1C48B36F" w14:textId="77777777" w:rsidR="003D69A8" w:rsidRPr="005E1EA7" w:rsidRDefault="003D69A8" w:rsidP="006365F0">
            <w:pPr>
              <w:jc w:val="center"/>
              <w:rPr>
                <w:rFonts w:ascii="Tahoma" w:hAnsi="Tahoma" w:cs="Tahoma"/>
                <w:sz w:val="20"/>
                <w:szCs w:val="20"/>
              </w:rPr>
            </w:pPr>
          </w:p>
          <w:p w14:paraId="2C187095"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w:t>
            </w:r>
          </w:p>
        </w:tc>
        <w:tc>
          <w:tcPr>
            <w:tcW w:w="2160" w:type="dxa"/>
          </w:tcPr>
          <w:p w14:paraId="40A3D401" w14:textId="77777777" w:rsidR="003D69A8" w:rsidRPr="005E1EA7" w:rsidRDefault="003D69A8" w:rsidP="006365F0">
            <w:pPr>
              <w:jc w:val="center"/>
              <w:rPr>
                <w:rFonts w:ascii="Tahoma" w:hAnsi="Tahoma" w:cs="Tahoma"/>
                <w:sz w:val="20"/>
                <w:szCs w:val="20"/>
              </w:rPr>
            </w:pPr>
          </w:p>
        </w:tc>
        <w:tc>
          <w:tcPr>
            <w:tcW w:w="1620" w:type="dxa"/>
          </w:tcPr>
          <w:p w14:paraId="6808F5F7" w14:textId="77777777" w:rsidR="003D69A8" w:rsidRPr="005E1EA7" w:rsidRDefault="003D69A8" w:rsidP="006365F0">
            <w:pPr>
              <w:jc w:val="center"/>
              <w:rPr>
                <w:rFonts w:ascii="Tahoma" w:hAnsi="Tahoma" w:cs="Tahoma"/>
                <w:sz w:val="20"/>
                <w:szCs w:val="20"/>
              </w:rPr>
            </w:pPr>
          </w:p>
          <w:p w14:paraId="3AD0E923"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70 cm ou 6,4 kg</w:t>
            </w:r>
          </w:p>
        </w:tc>
      </w:tr>
      <w:tr w:rsidR="003D69A8" w:rsidRPr="005E1EA7" w14:paraId="12E98995" w14:textId="77777777" w:rsidTr="006365F0">
        <w:trPr>
          <w:cantSplit/>
          <w:trHeight w:val="620"/>
        </w:trPr>
        <w:tc>
          <w:tcPr>
            <w:tcW w:w="3072" w:type="dxa"/>
            <w:vAlign w:val="center"/>
          </w:tcPr>
          <w:p w14:paraId="5DDB6A17" w14:textId="77777777" w:rsidR="003D69A8" w:rsidRPr="005E1EA7" w:rsidRDefault="003D69A8" w:rsidP="006365F0">
            <w:pPr>
              <w:rPr>
                <w:rFonts w:ascii="Tahoma" w:hAnsi="Tahoma" w:cs="Tahoma"/>
                <w:sz w:val="20"/>
                <w:szCs w:val="20"/>
              </w:rPr>
            </w:pPr>
            <w:r w:rsidRPr="005E1EA7">
              <w:rPr>
                <w:rFonts w:ascii="Tahoma" w:hAnsi="Tahoma" w:cs="Tahoma"/>
                <w:sz w:val="20"/>
                <w:szCs w:val="20"/>
              </w:rPr>
              <w:t>Thon obèse</w:t>
            </w:r>
          </w:p>
          <w:p w14:paraId="4581D10B" w14:textId="77777777" w:rsidR="003D69A8" w:rsidRPr="005E1EA7" w:rsidRDefault="003D69A8" w:rsidP="006365F0">
            <w:pPr>
              <w:rPr>
                <w:rFonts w:ascii="Tahoma" w:hAnsi="Tahoma" w:cs="Tahoma"/>
                <w:sz w:val="20"/>
                <w:szCs w:val="20"/>
              </w:rPr>
            </w:pPr>
            <w:r w:rsidRPr="005E1EA7">
              <w:rPr>
                <w:rFonts w:ascii="Tahoma" w:hAnsi="Tahoma" w:cs="Tahoma"/>
                <w:i/>
                <w:iCs/>
                <w:sz w:val="20"/>
                <w:szCs w:val="20"/>
              </w:rPr>
              <w:t>(Thunnu</w:t>
            </w:r>
            <w:r w:rsidRPr="005E1EA7">
              <w:rPr>
                <w:rFonts w:ascii="Tahoma" w:hAnsi="Tahoma" w:cs="Tahoma"/>
                <w:sz w:val="20"/>
                <w:szCs w:val="20"/>
              </w:rPr>
              <w:t xml:space="preserve">s </w:t>
            </w:r>
            <w:r w:rsidRPr="005E1EA7">
              <w:rPr>
                <w:rFonts w:ascii="Tahoma" w:hAnsi="Tahoma" w:cs="Tahoma"/>
                <w:i/>
                <w:iCs/>
                <w:sz w:val="20"/>
                <w:szCs w:val="20"/>
              </w:rPr>
              <w:t>obesus</w:t>
            </w:r>
            <w:r w:rsidRPr="005E1EA7">
              <w:rPr>
                <w:rFonts w:ascii="Tahoma" w:hAnsi="Tahoma" w:cs="Tahoma"/>
                <w:sz w:val="20"/>
                <w:szCs w:val="20"/>
              </w:rPr>
              <w:t xml:space="preserve">) </w:t>
            </w:r>
          </w:p>
        </w:tc>
        <w:tc>
          <w:tcPr>
            <w:tcW w:w="1280" w:type="dxa"/>
            <w:vAlign w:val="center"/>
          </w:tcPr>
          <w:p w14:paraId="203D60EC"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1</w:t>
            </w:r>
          </w:p>
          <w:p w14:paraId="6DBC13F9"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2</w:t>
            </w:r>
          </w:p>
        </w:tc>
        <w:tc>
          <w:tcPr>
            <w:tcW w:w="3136" w:type="dxa"/>
            <w:vAlign w:val="center"/>
          </w:tcPr>
          <w:p w14:paraId="63573A48"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10 et plus</w:t>
            </w:r>
          </w:p>
          <w:p w14:paraId="2463BB8B"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de 3,2 à 10</w:t>
            </w:r>
          </w:p>
        </w:tc>
        <w:tc>
          <w:tcPr>
            <w:tcW w:w="1980" w:type="dxa"/>
          </w:tcPr>
          <w:p w14:paraId="211E7FBE" w14:textId="77777777" w:rsidR="003D69A8" w:rsidRPr="005E1EA7" w:rsidRDefault="003D69A8" w:rsidP="006365F0">
            <w:pPr>
              <w:jc w:val="center"/>
              <w:rPr>
                <w:rFonts w:ascii="Tahoma" w:hAnsi="Tahoma" w:cs="Tahoma"/>
                <w:sz w:val="20"/>
                <w:szCs w:val="20"/>
              </w:rPr>
            </w:pPr>
          </w:p>
          <w:p w14:paraId="2A175100"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w:t>
            </w:r>
          </w:p>
        </w:tc>
        <w:tc>
          <w:tcPr>
            <w:tcW w:w="2160" w:type="dxa"/>
          </w:tcPr>
          <w:p w14:paraId="5B8B3095" w14:textId="77777777" w:rsidR="003D69A8" w:rsidRPr="005E1EA7" w:rsidRDefault="003D69A8" w:rsidP="006365F0">
            <w:pPr>
              <w:jc w:val="center"/>
              <w:rPr>
                <w:rFonts w:ascii="Tahoma" w:hAnsi="Tahoma" w:cs="Tahoma"/>
                <w:sz w:val="20"/>
                <w:szCs w:val="20"/>
              </w:rPr>
            </w:pPr>
          </w:p>
        </w:tc>
        <w:tc>
          <w:tcPr>
            <w:tcW w:w="1620" w:type="dxa"/>
          </w:tcPr>
          <w:p w14:paraId="05D3BE31" w14:textId="77777777" w:rsidR="003D69A8" w:rsidRPr="005E1EA7" w:rsidRDefault="003D69A8" w:rsidP="006365F0">
            <w:pPr>
              <w:jc w:val="center"/>
              <w:rPr>
                <w:rFonts w:ascii="Tahoma" w:hAnsi="Tahoma" w:cs="Tahoma"/>
                <w:sz w:val="20"/>
                <w:szCs w:val="20"/>
              </w:rPr>
            </w:pPr>
          </w:p>
          <w:p w14:paraId="27340D28"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w:t>
            </w:r>
          </w:p>
        </w:tc>
      </w:tr>
      <w:tr w:rsidR="003D69A8" w:rsidRPr="005E1EA7" w14:paraId="0F29DCBF" w14:textId="77777777" w:rsidTr="006365F0">
        <w:trPr>
          <w:cantSplit/>
          <w:trHeight w:val="1105"/>
        </w:trPr>
        <w:tc>
          <w:tcPr>
            <w:tcW w:w="3072" w:type="dxa"/>
          </w:tcPr>
          <w:p w14:paraId="244FC8A3" w14:textId="77777777" w:rsidR="003D69A8" w:rsidRPr="005E1EA7" w:rsidRDefault="003D69A8" w:rsidP="006365F0">
            <w:pPr>
              <w:rPr>
                <w:rFonts w:ascii="Tahoma" w:hAnsi="Tahoma" w:cs="Tahoma"/>
                <w:sz w:val="20"/>
                <w:szCs w:val="20"/>
              </w:rPr>
            </w:pPr>
          </w:p>
          <w:p w14:paraId="23D0CED6" w14:textId="77777777" w:rsidR="003D69A8" w:rsidRPr="005E1EA7" w:rsidRDefault="003D69A8" w:rsidP="006365F0">
            <w:pPr>
              <w:rPr>
                <w:rFonts w:ascii="Tahoma" w:hAnsi="Tahoma" w:cs="Tahoma"/>
                <w:i/>
                <w:iCs/>
                <w:sz w:val="20"/>
                <w:szCs w:val="20"/>
                <w:lang w:val="en-GB"/>
              </w:rPr>
            </w:pPr>
            <w:r w:rsidRPr="005E1EA7">
              <w:rPr>
                <w:rFonts w:ascii="Tahoma" w:hAnsi="Tahoma" w:cs="Tahoma"/>
                <w:sz w:val="20"/>
                <w:szCs w:val="20"/>
                <w:lang w:val="en-GB"/>
              </w:rPr>
              <w:t xml:space="preserve">Grondin </w:t>
            </w:r>
            <w:r w:rsidRPr="005E1EA7">
              <w:rPr>
                <w:rFonts w:ascii="Tahoma" w:hAnsi="Tahoma" w:cs="Tahoma"/>
                <w:i/>
                <w:iCs/>
                <w:sz w:val="20"/>
                <w:szCs w:val="20"/>
                <w:lang w:val="en-GB"/>
              </w:rPr>
              <w:t>(Trigl</w:t>
            </w:r>
            <w:r w:rsidRPr="005E1EA7">
              <w:rPr>
                <w:rFonts w:ascii="Tahoma" w:hAnsi="Tahoma" w:cs="Tahoma"/>
                <w:sz w:val="20"/>
                <w:szCs w:val="20"/>
                <w:lang w:val="en-GB"/>
              </w:rPr>
              <w:t xml:space="preserve">a </w:t>
            </w:r>
            <w:r w:rsidRPr="005E1EA7">
              <w:rPr>
                <w:rFonts w:ascii="Tahoma" w:hAnsi="Tahoma" w:cs="Tahoma"/>
                <w:i/>
                <w:iCs/>
                <w:sz w:val="20"/>
                <w:szCs w:val="20"/>
                <w:lang w:val="en-GB"/>
              </w:rPr>
              <w:t>spp.)</w:t>
            </w:r>
          </w:p>
          <w:p w14:paraId="1C9BB55F" w14:textId="77777777" w:rsidR="003D69A8" w:rsidRPr="005E1EA7" w:rsidRDefault="003D69A8" w:rsidP="006365F0">
            <w:pPr>
              <w:rPr>
                <w:rFonts w:ascii="Tahoma" w:hAnsi="Tahoma" w:cs="Tahoma"/>
                <w:sz w:val="20"/>
                <w:szCs w:val="20"/>
                <w:lang w:val="en-GB"/>
              </w:rPr>
            </w:pPr>
            <w:r w:rsidRPr="005E1EA7">
              <w:rPr>
                <w:rFonts w:ascii="Tahoma" w:hAnsi="Tahoma" w:cs="Tahoma"/>
                <w:sz w:val="20"/>
                <w:szCs w:val="20"/>
                <w:lang w:val="en-GB"/>
              </w:rPr>
              <w:t xml:space="preserve">rouget </w:t>
            </w:r>
          </w:p>
        </w:tc>
        <w:tc>
          <w:tcPr>
            <w:tcW w:w="1280" w:type="dxa"/>
            <w:vAlign w:val="center"/>
          </w:tcPr>
          <w:p w14:paraId="1C89B7E2"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1</w:t>
            </w:r>
          </w:p>
          <w:p w14:paraId="6A601FAF"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2</w:t>
            </w:r>
          </w:p>
          <w:p w14:paraId="04AC5A77"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3</w:t>
            </w:r>
          </w:p>
          <w:p w14:paraId="63172B32"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4</w:t>
            </w:r>
          </w:p>
        </w:tc>
        <w:tc>
          <w:tcPr>
            <w:tcW w:w="3136" w:type="dxa"/>
            <w:vAlign w:val="center"/>
          </w:tcPr>
          <w:p w14:paraId="0AE0FE33"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1 et plus</w:t>
            </w:r>
          </w:p>
          <w:p w14:paraId="7484A69E"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 xml:space="preserve"> </w:t>
            </w:r>
            <w:proofErr w:type="gramStart"/>
            <w:r w:rsidRPr="005E1EA7">
              <w:rPr>
                <w:rFonts w:ascii="Tahoma" w:hAnsi="Tahoma" w:cs="Tahoma"/>
                <w:sz w:val="20"/>
                <w:szCs w:val="20"/>
              </w:rPr>
              <w:t>de</w:t>
            </w:r>
            <w:proofErr w:type="gramEnd"/>
            <w:r w:rsidRPr="005E1EA7">
              <w:rPr>
                <w:rFonts w:ascii="Tahoma" w:hAnsi="Tahoma" w:cs="Tahoma"/>
                <w:sz w:val="20"/>
                <w:szCs w:val="20"/>
              </w:rPr>
              <w:t xml:space="preserve"> 0,4 à 1</w:t>
            </w:r>
          </w:p>
          <w:p w14:paraId="1FF8EF2A"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 xml:space="preserve"> </w:t>
            </w:r>
            <w:proofErr w:type="gramStart"/>
            <w:r w:rsidRPr="005E1EA7">
              <w:rPr>
                <w:rFonts w:ascii="Tahoma" w:hAnsi="Tahoma" w:cs="Tahoma"/>
                <w:sz w:val="20"/>
                <w:szCs w:val="20"/>
              </w:rPr>
              <w:t>de</w:t>
            </w:r>
            <w:proofErr w:type="gramEnd"/>
            <w:r w:rsidRPr="005E1EA7">
              <w:rPr>
                <w:rFonts w:ascii="Tahoma" w:hAnsi="Tahoma" w:cs="Tahoma"/>
                <w:sz w:val="20"/>
                <w:szCs w:val="20"/>
              </w:rPr>
              <w:t xml:space="preserve"> 0,2 à 0,4 </w:t>
            </w:r>
          </w:p>
          <w:p w14:paraId="2BFBEA29"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de 0,06 à 0,2</w:t>
            </w:r>
          </w:p>
        </w:tc>
        <w:tc>
          <w:tcPr>
            <w:tcW w:w="1980" w:type="dxa"/>
          </w:tcPr>
          <w:p w14:paraId="7A5300CE" w14:textId="77777777" w:rsidR="003D69A8" w:rsidRPr="005E1EA7" w:rsidRDefault="003D69A8" w:rsidP="006365F0">
            <w:pPr>
              <w:jc w:val="center"/>
              <w:rPr>
                <w:rFonts w:ascii="Tahoma" w:hAnsi="Tahoma" w:cs="Tahoma"/>
                <w:sz w:val="20"/>
                <w:szCs w:val="20"/>
              </w:rPr>
            </w:pPr>
          </w:p>
          <w:p w14:paraId="5D52DDD7" w14:textId="77777777" w:rsidR="003D69A8" w:rsidRPr="005E1EA7" w:rsidRDefault="003D69A8" w:rsidP="006365F0">
            <w:pPr>
              <w:jc w:val="center"/>
              <w:rPr>
                <w:rFonts w:ascii="Tahoma" w:hAnsi="Tahoma" w:cs="Tahoma"/>
                <w:sz w:val="20"/>
                <w:szCs w:val="20"/>
              </w:rPr>
            </w:pPr>
          </w:p>
          <w:p w14:paraId="4F155673"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w:t>
            </w:r>
          </w:p>
        </w:tc>
        <w:tc>
          <w:tcPr>
            <w:tcW w:w="2160" w:type="dxa"/>
          </w:tcPr>
          <w:p w14:paraId="00A24F5A" w14:textId="77777777" w:rsidR="003D69A8" w:rsidRPr="005E1EA7" w:rsidRDefault="003D69A8" w:rsidP="006365F0">
            <w:pPr>
              <w:rPr>
                <w:rFonts w:ascii="Tahoma" w:hAnsi="Tahoma" w:cs="Tahoma"/>
                <w:sz w:val="20"/>
                <w:szCs w:val="20"/>
              </w:rPr>
            </w:pPr>
          </w:p>
        </w:tc>
        <w:tc>
          <w:tcPr>
            <w:tcW w:w="1620" w:type="dxa"/>
          </w:tcPr>
          <w:p w14:paraId="6DCACD70" w14:textId="77777777" w:rsidR="003D69A8" w:rsidRPr="005E1EA7" w:rsidRDefault="003D69A8" w:rsidP="006365F0">
            <w:pPr>
              <w:rPr>
                <w:rFonts w:ascii="Tahoma" w:hAnsi="Tahoma" w:cs="Tahoma"/>
                <w:sz w:val="20"/>
                <w:szCs w:val="20"/>
              </w:rPr>
            </w:pPr>
          </w:p>
          <w:p w14:paraId="1838462A" w14:textId="77777777" w:rsidR="003D69A8" w:rsidRPr="005E1EA7" w:rsidRDefault="003D69A8" w:rsidP="006365F0">
            <w:pPr>
              <w:rPr>
                <w:rFonts w:ascii="Tahoma" w:hAnsi="Tahoma" w:cs="Tahoma"/>
                <w:sz w:val="20"/>
                <w:szCs w:val="20"/>
              </w:rPr>
            </w:pPr>
          </w:p>
          <w:p w14:paraId="41E87DAB" w14:textId="77777777" w:rsidR="003D69A8" w:rsidRPr="005E1EA7" w:rsidRDefault="003D69A8" w:rsidP="006365F0">
            <w:pPr>
              <w:rPr>
                <w:rFonts w:ascii="Tahoma" w:hAnsi="Tahoma" w:cs="Tahoma"/>
                <w:sz w:val="20"/>
                <w:szCs w:val="20"/>
              </w:rPr>
            </w:pPr>
            <w:r w:rsidRPr="005E1EA7">
              <w:rPr>
                <w:rFonts w:ascii="Tahoma" w:hAnsi="Tahoma" w:cs="Tahoma"/>
                <w:sz w:val="20"/>
                <w:szCs w:val="20"/>
              </w:rPr>
              <w:t xml:space="preserve">— </w:t>
            </w:r>
          </w:p>
        </w:tc>
      </w:tr>
    </w:tbl>
    <w:p w14:paraId="540633C6" w14:textId="77777777" w:rsidR="003D69A8" w:rsidRPr="005E1EA7" w:rsidRDefault="003D69A8" w:rsidP="003D69A8">
      <w:pPr>
        <w:pStyle w:val="Default"/>
        <w:rPr>
          <w:rFonts w:ascii="Tahoma" w:hAnsi="Tahoma" w:cs="Tahoma"/>
          <w:color w:val="auto"/>
          <w:sz w:val="20"/>
          <w:szCs w:val="20"/>
        </w:rPr>
      </w:pPr>
    </w:p>
    <w:p w14:paraId="0CFD091A" w14:textId="77777777" w:rsidR="003D69A8" w:rsidRPr="005E1EA7" w:rsidRDefault="003D69A8" w:rsidP="003D69A8">
      <w:pPr>
        <w:pStyle w:val="Default"/>
        <w:rPr>
          <w:rFonts w:ascii="Tahoma" w:hAnsi="Tahoma" w:cs="Tahoma"/>
          <w:color w:val="auto"/>
          <w:sz w:val="20"/>
          <w:szCs w:val="20"/>
        </w:rPr>
      </w:pPr>
    </w:p>
    <w:p w14:paraId="6252D993" w14:textId="77777777" w:rsidR="003D69A8" w:rsidRPr="005E1EA7" w:rsidRDefault="003D69A8" w:rsidP="003D69A8">
      <w:pPr>
        <w:pStyle w:val="Default"/>
        <w:rPr>
          <w:rFonts w:ascii="Tahoma" w:hAnsi="Tahoma" w:cs="Tahoma"/>
          <w:color w:val="auto"/>
          <w:sz w:val="20"/>
          <w:szCs w:val="20"/>
        </w:rPr>
      </w:pPr>
    </w:p>
    <w:tbl>
      <w:tblPr>
        <w:tblW w:w="13248" w:type="dxa"/>
        <w:tblLook w:val="0000" w:firstRow="0" w:lastRow="0" w:firstColumn="0" w:lastColumn="0" w:noHBand="0" w:noVBand="0"/>
      </w:tblPr>
      <w:tblGrid>
        <w:gridCol w:w="3072"/>
        <w:gridCol w:w="1280"/>
        <w:gridCol w:w="3136"/>
        <w:gridCol w:w="1980"/>
        <w:gridCol w:w="2160"/>
        <w:gridCol w:w="1620"/>
      </w:tblGrid>
      <w:tr w:rsidR="003D69A8" w:rsidRPr="005E1EA7" w14:paraId="1054A4F9" w14:textId="77777777" w:rsidTr="006365F0">
        <w:trPr>
          <w:trHeight w:val="454"/>
        </w:trPr>
        <w:tc>
          <w:tcPr>
            <w:tcW w:w="9468" w:type="dxa"/>
            <w:gridSpan w:val="4"/>
            <w:tcBorders>
              <w:top w:val="single" w:sz="4" w:space="0" w:color="auto"/>
              <w:left w:val="single" w:sz="4" w:space="0" w:color="auto"/>
              <w:bottom w:val="single" w:sz="4" w:space="0" w:color="auto"/>
              <w:right w:val="single" w:sz="4" w:space="0" w:color="auto"/>
            </w:tcBorders>
            <w:vAlign w:val="center"/>
          </w:tcPr>
          <w:p w14:paraId="1F71BFE9" w14:textId="77777777" w:rsidR="003D69A8" w:rsidRPr="005E1EA7" w:rsidRDefault="003D69A8" w:rsidP="006365F0">
            <w:pPr>
              <w:jc w:val="center"/>
              <w:rPr>
                <w:rFonts w:ascii="Tahoma" w:hAnsi="Tahoma" w:cs="Tahoma"/>
                <w:sz w:val="20"/>
                <w:szCs w:val="20"/>
              </w:rPr>
            </w:pPr>
          </w:p>
          <w:p w14:paraId="69DC0983"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Barème de calibrage</w:t>
            </w:r>
          </w:p>
        </w:tc>
        <w:tc>
          <w:tcPr>
            <w:tcW w:w="3780" w:type="dxa"/>
            <w:gridSpan w:val="2"/>
            <w:tcBorders>
              <w:top w:val="single" w:sz="4" w:space="0" w:color="auto"/>
              <w:left w:val="single" w:sz="4" w:space="0" w:color="auto"/>
              <w:bottom w:val="single" w:sz="4" w:space="0" w:color="auto"/>
              <w:right w:val="single" w:sz="4" w:space="0" w:color="auto"/>
            </w:tcBorders>
            <w:vAlign w:val="center"/>
          </w:tcPr>
          <w:p w14:paraId="3965C573"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 xml:space="preserve">Tailles minimales à respecter </w:t>
            </w:r>
          </w:p>
        </w:tc>
      </w:tr>
      <w:tr w:rsidR="003D69A8" w:rsidRPr="005E1EA7" w14:paraId="79F3BE0E" w14:textId="77777777" w:rsidTr="006365F0">
        <w:trPr>
          <w:cantSplit/>
          <w:trHeight w:val="365"/>
        </w:trPr>
        <w:tc>
          <w:tcPr>
            <w:tcW w:w="3072" w:type="dxa"/>
            <w:tcBorders>
              <w:top w:val="single" w:sz="4" w:space="0" w:color="auto"/>
              <w:left w:val="single" w:sz="4" w:space="0" w:color="auto"/>
              <w:bottom w:val="single" w:sz="4" w:space="0" w:color="auto"/>
              <w:right w:val="single" w:sz="4" w:space="0" w:color="auto"/>
            </w:tcBorders>
            <w:vAlign w:val="center"/>
          </w:tcPr>
          <w:p w14:paraId="1A498FEB" w14:textId="77777777" w:rsidR="003D69A8" w:rsidRPr="005E1EA7" w:rsidRDefault="003D69A8" w:rsidP="006365F0">
            <w:pPr>
              <w:rPr>
                <w:rFonts w:ascii="Tahoma" w:hAnsi="Tahoma" w:cs="Tahoma"/>
                <w:sz w:val="20"/>
                <w:szCs w:val="20"/>
              </w:rPr>
            </w:pPr>
            <w:r w:rsidRPr="005E1EA7">
              <w:rPr>
                <w:rFonts w:ascii="Tahoma" w:hAnsi="Tahoma" w:cs="Tahoma"/>
                <w:sz w:val="20"/>
                <w:szCs w:val="20"/>
              </w:rPr>
              <w:t>Espèce</w:t>
            </w:r>
          </w:p>
        </w:tc>
        <w:tc>
          <w:tcPr>
            <w:tcW w:w="1280" w:type="dxa"/>
            <w:tcBorders>
              <w:top w:val="single" w:sz="4" w:space="0" w:color="auto"/>
              <w:left w:val="single" w:sz="4" w:space="0" w:color="auto"/>
              <w:bottom w:val="single" w:sz="4" w:space="0" w:color="auto"/>
              <w:right w:val="single" w:sz="4" w:space="0" w:color="auto"/>
            </w:tcBorders>
            <w:vAlign w:val="center"/>
          </w:tcPr>
          <w:p w14:paraId="1322EB56"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Taille</w:t>
            </w:r>
          </w:p>
        </w:tc>
        <w:tc>
          <w:tcPr>
            <w:tcW w:w="3136" w:type="dxa"/>
            <w:tcBorders>
              <w:top w:val="single" w:sz="4" w:space="0" w:color="auto"/>
              <w:left w:val="single" w:sz="4" w:space="0" w:color="auto"/>
              <w:bottom w:val="single" w:sz="4" w:space="0" w:color="auto"/>
              <w:right w:val="single" w:sz="4" w:space="0" w:color="auto"/>
            </w:tcBorders>
            <w:vAlign w:val="center"/>
          </w:tcPr>
          <w:p w14:paraId="3DAB083A"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Kg/poisson (1 )</w:t>
            </w:r>
          </w:p>
        </w:tc>
        <w:tc>
          <w:tcPr>
            <w:tcW w:w="1980" w:type="dxa"/>
            <w:tcBorders>
              <w:top w:val="single" w:sz="4" w:space="0" w:color="auto"/>
              <w:left w:val="single" w:sz="4" w:space="0" w:color="auto"/>
              <w:bottom w:val="single" w:sz="4" w:space="0" w:color="auto"/>
              <w:right w:val="single" w:sz="4" w:space="0" w:color="auto"/>
            </w:tcBorders>
            <w:vAlign w:val="center"/>
          </w:tcPr>
          <w:p w14:paraId="65676592"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Nombre de pièces/kg (2)</w:t>
            </w:r>
          </w:p>
        </w:tc>
        <w:tc>
          <w:tcPr>
            <w:tcW w:w="2160" w:type="dxa"/>
            <w:tcBorders>
              <w:top w:val="single" w:sz="4" w:space="0" w:color="auto"/>
              <w:left w:val="single" w:sz="4" w:space="0" w:color="auto"/>
              <w:bottom w:val="single" w:sz="4" w:space="0" w:color="auto"/>
              <w:right w:val="single" w:sz="4" w:space="0" w:color="auto"/>
            </w:tcBorders>
            <w:vAlign w:val="center"/>
          </w:tcPr>
          <w:p w14:paraId="4AB07D56"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Zone géographique</w:t>
            </w:r>
          </w:p>
        </w:tc>
        <w:tc>
          <w:tcPr>
            <w:tcW w:w="1620" w:type="dxa"/>
            <w:tcBorders>
              <w:top w:val="single" w:sz="4" w:space="0" w:color="auto"/>
              <w:left w:val="single" w:sz="4" w:space="0" w:color="auto"/>
              <w:bottom w:val="single" w:sz="4" w:space="0" w:color="auto"/>
              <w:right w:val="single" w:sz="4" w:space="0" w:color="auto"/>
            </w:tcBorders>
            <w:vAlign w:val="center"/>
          </w:tcPr>
          <w:p w14:paraId="6FC52A46"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Taille minimale</w:t>
            </w:r>
          </w:p>
        </w:tc>
      </w:tr>
      <w:tr w:rsidR="003D69A8" w:rsidRPr="005E1EA7" w14:paraId="004085DD" w14:textId="77777777" w:rsidTr="006365F0">
        <w:trPr>
          <w:cantSplit/>
          <w:trHeight w:val="567"/>
        </w:trPr>
        <w:tc>
          <w:tcPr>
            <w:tcW w:w="3072" w:type="dxa"/>
            <w:tcBorders>
              <w:top w:val="single" w:sz="4" w:space="0" w:color="auto"/>
              <w:left w:val="single" w:sz="4" w:space="0" w:color="auto"/>
              <w:bottom w:val="single" w:sz="4" w:space="0" w:color="auto"/>
              <w:right w:val="single" w:sz="4" w:space="0" w:color="auto"/>
            </w:tcBorders>
          </w:tcPr>
          <w:p w14:paraId="16CF1E3E" w14:textId="77777777" w:rsidR="003D69A8" w:rsidRPr="005E1EA7" w:rsidRDefault="003D69A8" w:rsidP="006365F0">
            <w:pPr>
              <w:rPr>
                <w:rFonts w:ascii="Tahoma" w:hAnsi="Tahoma" w:cs="Tahoma"/>
                <w:sz w:val="20"/>
                <w:szCs w:val="20"/>
              </w:rPr>
            </w:pPr>
          </w:p>
          <w:p w14:paraId="22C7ED71" w14:textId="77777777" w:rsidR="003D69A8" w:rsidRPr="005E1EA7" w:rsidRDefault="003D69A8" w:rsidP="006365F0">
            <w:pPr>
              <w:rPr>
                <w:rFonts w:ascii="Tahoma" w:hAnsi="Tahoma" w:cs="Tahoma"/>
                <w:sz w:val="20"/>
                <w:szCs w:val="20"/>
              </w:rPr>
            </w:pPr>
            <w:r w:rsidRPr="005E1EA7">
              <w:rPr>
                <w:rFonts w:ascii="Tahoma" w:hAnsi="Tahoma" w:cs="Tahoma"/>
                <w:sz w:val="20"/>
                <w:szCs w:val="20"/>
              </w:rPr>
              <w:t xml:space="preserve">Autres grondins </w:t>
            </w:r>
          </w:p>
        </w:tc>
        <w:tc>
          <w:tcPr>
            <w:tcW w:w="1280" w:type="dxa"/>
            <w:tcBorders>
              <w:top w:val="single" w:sz="4" w:space="0" w:color="auto"/>
              <w:left w:val="single" w:sz="4" w:space="0" w:color="auto"/>
              <w:bottom w:val="single" w:sz="4" w:space="0" w:color="auto"/>
              <w:right w:val="single" w:sz="4" w:space="0" w:color="auto"/>
            </w:tcBorders>
            <w:vAlign w:val="center"/>
          </w:tcPr>
          <w:p w14:paraId="6AECD560"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1</w:t>
            </w:r>
          </w:p>
          <w:p w14:paraId="1AC2AF1A"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2</w:t>
            </w:r>
          </w:p>
        </w:tc>
        <w:tc>
          <w:tcPr>
            <w:tcW w:w="3136" w:type="dxa"/>
            <w:tcBorders>
              <w:top w:val="single" w:sz="4" w:space="0" w:color="auto"/>
              <w:left w:val="single" w:sz="4" w:space="0" w:color="auto"/>
              <w:bottom w:val="single" w:sz="4" w:space="0" w:color="auto"/>
              <w:right w:val="single" w:sz="4" w:space="0" w:color="auto"/>
            </w:tcBorders>
            <w:vAlign w:val="center"/>
          </w:tcPr>
          <w:p w14:paraId="39C42939"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0,25 et plus</w:t>
            </w:r>
          </w:p>
          <w:p w14:paraId="356E5310" w14:textId="77777777" w:rsidR="003D69A8" w:rsidRPr="005E1EA7" w:rsidRDefault="003D69A8" w:rsidP="006365F0">
            <w:pPr>
              <w:jc w:val="center"/>
              <w:rPr>
                <w:rFonts w:ascii="Tahoma" w:hAnsi="Tahoma" w:cs="Tahoma"/>
                <w:sz w:val="20"/>
                <w:szCs w:val="20"/>
                <w:lang w:val="en-GB"/>
              </w:rPr>
            </w:pPr>
            <w:r w:rsidRPr="005E1EA7">
              <w:rPr>
                <w:rFonts w:ascii="Tahoma" w:hAnsi="Tahoma" w:cs="Tahoma"/>
                <w:sz w:val="20"/>
                <w:szCs w:val="20"/>
                <w:lang w:val="en-GB"/>
              </w:rPr>
              <w:t>0,2 — 0,25</w:t>
            </w:r>
          </w:p>
        </w:tc>
        <w:tc>
          <w:tcPr>
            <w:tcW w:w="1980" w:type="dxa"/>
            <w:tcBorders>
              <w:top w:val="single" w:sz="4" w:space="0" w:color="auto"/>
              <w:left w:val="single" w:sz="4" w:space="0" w:color="auto"/>
              <w:bottom w:val="single" w:sz="4" w:space="0" w:color="auto"/>
              <w:right w:val="single" w:sz="4" w:space="0" w:color="auto"/>
            </w:tcBorders>
          </w:tcPr>
          <w:p w14:paraId="6475611B" w14:textId="77777777" w:rsidR="003D69A8" w:rsidRPr="005E1EA7" w:rsidRDefault="003D69A8" w:rsidP="006365F0">
            <w:pPr>
              <w:jc w:val="center"/>
              <w:rPr>
                <w:rFonts w:ascii="Tahoma" w:hAnsi="Tahoma" w:cs="Tahoma"/>
                <w:sz w:val="20"/>
                <w:szCs w:val="20"/>
                <w:lang w:val="en-GB"/>
              </w:rPr>
            </w:pPr>
          </w:p>
        </w:tc>
        <w:tc>
          <w:tcPr>
            <w:tcW w:w="2160" w:type="dxa"/>
            <w:tcBorders>
              <w:top w:val="single" w:sz="4" w:space="0" w:color="auto"/>
              <w:left w:val="single" w:sz="4" w:space="0" w:color="auto"/>
              <w:bottom w:val="single" w:sz="4" w:space="0" w:color="auto"/>
              <w:right w:val="single" w:sz="4" w:space="0" w:color="auto"/>
            </w:tcBorders>
          </w:tcPr>
          <w:p w14:paraId="061B2FEA" w14:textId="77777777" w:rsidR="003D69A8" w:rsidRPr="005E1EA7" w:rsidRDefault="003D69A8" w:rsidP="006365F0">
            <w:pPr>
              <w:jc w:val="center"/>
              <w:rPr>
                <w:rFonts w:ascii="Tahoma" w:hAnsi="Tahoma" w:cs="Tahoma"/>
                <w:sz w:val="20"/>
                <w:szCs w:val="20"/>
                <w:lang w:val="en-GB"/>
              </w:rPr>
            </w:pPr>
          </w:p>
        </w:tc>
        <w:tc>
          <w:tcPr>
            <w:tcW w:w="1620" w:type="dxa"/>
            <w:tcBorders>
              <w:top w:val="single" w:sz="4" w:space="0" w:color="auto"/>
              <w:left w:val="single" w:sz="4" w:space="0" w:color="auto"/>
              <w:bottom w:val="single" w:sz="4" w:space="0" w:color="auto"/>
              <w:right w:val="single" w:sz="4" w:space="0" w:color="auto"/>
            </w:tcBorders>
          </w:tcPr>
          <w:p w14:paraId="5C09D516" w14:textId="77777777" w:rsidR="003D69A8" w:rsidRPr="005E1EA7" w:rsidRDefault="003D69A8" w:rsidP="006365F0">
            <w:pPr>
              <w:jc w:val="center"/>
              <w:rPr>
                <w:rFonts w:ascii="Tahoma" w:hAnsi="Tahoma" w:cs="Tahoma"/>
                <w:sz w:val="20"/>
                <w:szCs w:val="20"/>
                <w:lang w:val="en-GB"/>
              </w:rPr>
            </w:pPr>
          </w:p>
        </w:tc>
      </w:tr>
      <w:tr w:rsidR="003D69A8" w:rsidRPr="005E1EA7" w14:paraId="24D71C53" w14:textId="77777777" w:rsidTr="006365F0">
        <w:trPr>
          <w:cantSplit/>
          <w:trHeight w:val="1533"/>
        </w:trPr>
        <w:tc>
          <w:tcPr>
            <w:tcW w:w="3072" w:type="dxa"/>
            <w:tcBorders>
              <w:top w:val="single" w:sz="4" w:space="0" w:color="auto"/>
              <w:left w:val="single" w:sz="4" w:space="0" w:color="auto"/>
              <w:bottom w:val="single" w:sz="4" w:space="0" w:color="auto"/>
              <w:right w:val="single" w:sz="4" w:space="0" w:color="auto"/>
            </w:tcBorders>
          </w:tcPr>
          <w:p w14:paraId="465C0CBB" w14:textId="77777777" w:rsidR="003D69A8" w:rsidRPr="005E1EA7" w:rsidRDefault="003D69A8" w:rsidP="006365F0">
            <w:pPr>
              <w:rPr>
                <w:rFonts w:ascii="Tahoma" w:hAnsi="Tahoma" w:cs="Tahoma"/>
                <w:sz w:val="20"/>
                <w:szCs w:val="20"/>
                <w:lang w:val="en-GB"/>
              </w:rPr>
            </w:pPr>
          </w:p>
          <w:p w14:paraId="54614A89" w14:textId="77777777" w:rsidR="003D69A8" w:rsidRPr="005E1EA7" w:rsidRDefault="003D69A8" w:rsidP="006365F0">
            <w:pPr>
              <w:rPr>
                <w:rFonts w:ascii="Tahoma" w:hAnsi="Tahoma" w:cs="Tahoma"/>
                <w:sz w:val="20"/>
                <w:szCs w:val="20"/>
                <w:lang w:val="en-GB"/>
              </w:rPr>
            </w:pPr>
            <w:r w:rsidRPr="005E1EA7">
              <w:rPr>
                <w:rFonts w:ascii="Tahoma" w:hAnsi="Tahoma" w:cs="Tahoma"/>
                <w:sz w:val="20"/>
                <w:szCs w:val="20"/>
                <w:lang w:val="en-GB"/>
              </w:rPr>
              <w:t>Bogue</w:t>
            </w:r>
          </w:p>
          <w:p w14:paraId="33754183" w14:textId="77777777" w:rsidR="003D69A8" w:rsidRPr="005E1EA7" w:rsidRDefault="003D69A8" w:rsidP="006365F0">
            <w:pPr>
              <w:rPr>
                <w:rFonts w:ascii="Tahoma" w:hAnsi="Tahoma" w:cs="Tahoma"/>
                <w:sz w:val="20"/>
                <w:szCs w:val="20"/>
                <w:lang w:val="en-GB"/>
              </w:rPr>
            </w:pPr>
            <w:r w:rsidRPr="005E1EA7">
              <w:rPr>
                <w:rFonts w:ascii="Tahoma" w:hAnsi="Tahoma" w:cs="Tahoma"/>
                <w:i/>
                <w:iCs/>
                <w:sz w:val="20"/>
                <w:szCs w:val="20"/>
                <w:lang w:val="en-GB"/>
              </w:rPr>
              <w:t>(Boop</w:t>
            </w:r>
            <w:r w:rsidRPr="005E1EA7">
              <w:rPr>
                <w:rFonts w:ascii="Tahoma" w:hAnsi="Tahoma" w:cs="Tahoma"/>
                <w:sz w:val="20"/>
                <w:szCs w:val="20"/>
                <w:lang w:val="en-GB"/>
              </w:rPr>
              <w:t xml:space="preserve">s </w:t>
            </w:r>
            <w:r w:rsidRPr="005E1EA7">
              <w:rPr>
                <w:rFonts w:ascii="Tahoma" w:hAnsi="Tahoma" w:cs="Tahoma"/>
                <w:i/>
                <w:iCs/>
                <w:sz w:val="20"/>
                <w:szCs w:val="20"/>
                <w:lang w:val="en-GB"/>
              </w:rPr>
              <w:t>boops</w:t>
            </w:r>
            <w:r w:rsidRPr="005E1EA7">
              <w:rPr>
                <w:rFonts w:ascii="Tahoma" w:hAnsi="Tahoma" w:cs="Tahoma"/>
                <w:sz w:val="20"/>
                <w:szCs w:val="20"/>
                <w:lang w:val="en-GB"/>
              </w:rPr>
              <w:t xml:space="preserve">) </w:t>
            </w:r>
          </w:p>
          <w:p w14:paraId="345F0CF7" w14:textId="77777777" w:rsidR="003D69A8" w:rsidRPr="005E1EA7" w:rsidRDefault="003D69A8" w:rsidP="006365F0">
            <w:pPr>
              <w:rPr>
                <w:rFonts w:ascii="Tahoma" w:hAnsi="Tahoma" w:cs="Tahoma"/>
                <w:sz w:val="20"/>
                <w:szCs w:val="20"/>
                <w:lang w:val="en-GB"/>
              </w:rPr>
            </w:pPr>
          </w:p>
          <w:p w14:paraId="3D81396C" w14:textId="77777777" w:rsidR="003D69A8" w:rsidRPr="005E1EA7" w:rsidRDefault="003D69A8" w:rsidP="006365F0">
            <w:pPr>
              <w:rPr>
                <w:rFonts w:ascii="Tahoma" w:hAnsi="Tahoma" w:cs="Tahoma"/>
                <w:sz w:val="20"/>
                <w:szCs w:val="20"/>
                <w:lang w:val="en-GB"/>
              </w:rPr>
            </w:pPr>
          </w:p>
        </w:tc>
        <w:tc>
          <w:tcPr>
            <w:tcW w:w="1280" w:type="dxa"/>
            <w:tcBorders>
              <w:top w:val="single" w:sz="4" w:space="0" w:color="auto"/>
              <w:left w:val="single" w:sz="4" w:space="0" w:color="auto"/>
              <w:bottom w:val="single" w:sz="4" w:space="0" w:color="auto"/>
              <w:right w:val="single" w:sz="4" w:space="0" w:color="auto"/>
            </w:tcBorders>
          </w:tcPr>
          <w:p w14:paraId="2184A7F9" w14:textId="77777777" w:rsidR="003D69A8" w:rsidRPr="005E1EA7" w:rsidRDefault="003D69A8" w:rsidP="006365F0">
            <w:pPr>
              <w:jc w:val="center"/>
              <w:rPr>
                <w:rFonts w:ascii="Tahoma" w:hAnsi="Tahoma" w:cs="Tahoma"/>
                <w:sz w:val="20"/>
                <w:szCs w:val="20"/>
                <w:lang w:val="en-GB"/>
              </w:rPr>
            </w:pPr>
          </w:p>
          <w:p w14:paraId="792CB6B9"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1</w:t>
            </w:r>
          </w:p>
          <w:p w14:paraId="436ACB0C"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2</w:t>
            </w:r>
          </w:p>
          <w:p w14:paraId="72FC5E27"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3</w:t>
            </w:r>
          </w:p>
          <w:p w14:paraId="56B4F35B" w14:textId="77777777" w:rsidR="003D69A8" w:rsidRPr="005E1EA7" w:rsidRDefault="003D69A8" w:rsidP="006365F0">
            <w:pPr>
              <w:jc w:val="center"/>
              <w:rPr>
                <w:rFonts w:ascii="Tahoma" w:hAnsi="Tahoma" w:cs="Tahoma"/>
                <w:sz w:val="20"/>
                <w:szCs w:val="20"/>
              </w:rPr>
            </w:pPr>
          </w:p>
        </w:tc>
        <w:tc>
          <w:tcPr>
            <w:tcW w:w="3136" w:type="dxa"/>
            <w:tcBorders>
              <w:top w:val="single" w:sz="4" w:space="0" w:color="auto"/>
              <w:left w:val="single" w:sz="4" w:space="0" w:color="auto"/>
              <w:bottom w:val="single" w:sz="4" w:space="0" w:color="auto"/>
              <w:right w:val="single" w:sz="4" w:space="0" w:color="auto"/>
            </w:tcBorders>
          </w:tcPr>
          <w:p w14:paraId="76E8C731" w14:textId="77777777" w:rsidR="003D69A8" w:rsidRPr="005E1EA7" w:rsidRDefault="003D69A8" w:rsidP="006365F0">
            <w:pPr>
              <w:jc w:val="center"/>
              <w:rPr>
                <w:rFonts w:ascii="Tahoma" w:hAnsi="Tahoma" w:cs="Tahoma"/>
                <w:sz w:val="20"/>
                <w:szCs w:val="20"/>
              </w:rPr>
            </w:pPr>
          </w:p>
          <w:p w14:paraId="5B2E9A89" w14:textId="77777777" w:rsidR="003D69A8" w:rsidRPr="005E1EA7" w:rsidRDefault="003D69A8" w:rsidP="006365F0">
            <w:pPr>
              <w:jc w:val="center"/>
              <w:rPr>
                <w:rFonts w:ascii="Tahoma" w:hAnsi="Tahoma" w:cs="Tahoma"/>
                <w:sz w:val="20"/>
                <w:szCs w:val="20"/>
              </w:rPr>
            </w:pPr>
          </w:p>
          <w:p w14:paraId="25EB5DA7" w14:textId="77777777" w:rsidR="003D69A8" w:rsidRPr="005E1EA7" w:rsidRDefault="003D69A8" w:rsidP="006365F0">
            <w:pPr>
              <w:jc w:val="center"/>
              <w:rPr>
                <w:rFonts w:ascii="Tahoma" w:hAnsi="Tahoma" w:cs="Tahoma"/>
                <w:sz w:val="20"/>
                <w:szCs w:val="20"/>
              </w:rPr>
            </w:pPr>
          </w:p>
          <w:p w14:paraId="51748803"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w:t>
            </w:r>
          </w:p>
        </w:tc>
        <w:tc>
          <w:tcPr>
            <w:tcW w:w="1980" w:type="dxa"/>
            <w:tcBorders>
              <w:top w:val="single" w:sz="4" w:space="0" w:color="auto"/>
              <w:left w:val="single" w:sz="4" w:space="0" w:color="auto"/>
              <w:bottom w:val="single" w:sz="4" w:space="0" w:color="auto"/>
              <w:right w:val="single" w:sz="4" w:space="0" w:color="auto"/>
            </w:tcBorders>
          </w:tcPr>
          <w:p w14:paraId="7E92CBB4" w14:textId="77777777" w:rsidR="003D69A8" w:rsidRPr="005E1EA7" w:rsidRDefault="003D69A8" w:rsidP="006365F0">
            <w:pPr>
              <w:jc w:val="center"/>
              <w:rPr>
                <w:rFonts w:ascii="Tahoma" w:hAnsi="Tahoma" w:cs="Tahoma"/>
                <w:sz w:val="20"/>
                <w:szCs w:val="20"/>
              </w:rPr>
            </w:pPr>
          </w:p>
          <w:p w14:paraId="609DB8D1"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5 ou moins</w:t>
            </w:r>
          </w:p>
          <w:p w14:paraId="1DC81081" w14:textId="77777777" w:rsidR="003D69A8" w:rsidRPr="005E1EA7" w:rsidRDefault="003D69A8" w:rsidP="006365F0">
            <w:pPr>
              <w:jc w:val="center"/>
              <w:rPr>
                <w:rFonts w:ascii="Tahoma" w:hAnsi="Tahoma" w:cs="Tahoma"/>
                <w:sz w:val="20"/>
                <w:szCs w:val="20"/>
              </w:rPr>
            </w:pPr>
            <w:proofErr w:type="gramStart"/>
            <w:r w:rsidRPr="005E1EA7">
              <w:rPr>
                <w:rFonts w:ascii="Tahoma" w:hAnsi="Tahoma" w:cs="Tahoma"/>
                <w:sz w:val="20"/>
                <w:szCs w:val="20"/>
              </w:rPr>
              <w:t>de</w:t>
            </w:r>
            <w:proofErr w:type="gramEnd"/>
            <w:r w:rsidRPr="005E1EA7">
              <w:rPr>
                <w:rFonts w:ascii="Tahoma" w:hAnsi="Tahoma" w:cs="Tahoma"/>
                <w:sz w:val="20"/>
                <w:szCs w:val="20"/>
              </w:rPr>
              <w:t xml:space="preserve"> 6 à 31</w:t>
            </w:r>
          </w:p>
          <w:p w14:paraId="1F2DF1E4" w14:textId="77777777" w:rsidR="003D69A8" w:rsidRPr="005E1EA7" w:rsidRDefault="003D69A8" w:rsidP="006365F0">
            <w:pPr>
              <w:jc w:val="center"/>
              <w:rPr>
                <w:rFonts w:ascii="Tahoma" w:hAnsi="Tahoma" w:cs="Tahoma"/>
                <w:sz w:val="20"/>
                <w:szCs w:val="20"/>
              </w:rPr>
            </w:pPr>
            <w:proofErr w:type="gramStart"/>
            <w:r w:rsidRPr="005E1EA7">
              <w:rPr>
                <w:rFonts w:ascii="Tahoma" w:hAnsi="Tahoma" w:cs="Tahoma"/>
                <w:sz w:val="20"/>
                <w:szCs w:val="20"/>
              </w:rPr>
              <w:t>de</w:t>
            </w:r>
            <w:proofErr w:type="gramEnd"/>
            <w:r w:rsidRPr="005E1EA7">
              <w:rPr>
                <w:rFonts w:ascii="Tahoma" w:hAnsi="Tahoma" w:cs="Tahoma"/>
                <w:sz w:val="20"/>
                <w:szCs w:val="20"/>
              </w:rPr>
              <w:t xml:space="preserve"> 32 à 70</w:t>
            </w:r>
          </w:p>
          <w:p w14:paraId="40A5872D" w14:textId="77777777" w:rsidR="003D69A8" w:rsidRPr="005E1EA7" w:rsidRDefault="003D69A8" w:rsidP="006365F0">
            <w:pPr>
              <w:jc w:val="center"/>
              <w:rPr>
                <w:rFonts w:ascii="Tahoma" w:hAnsi="Tahoma" w:cs="Tahoma"/>
                <w:sz w:val="20"/>
                <w:szCs w:val="20"/>
              </w:rPr>
            </w:pPr>
          </w:p>
        </w:tc>
        <w:tc>
          <w:tcPr>
            <w:tcW w:w="2160" w:type="dxa"/>
            <w:tcBorders>
              <w:top w:val="single" w:sz="4" w:space="0" w:color="auto"/>
              <w:left w:val="single" w:sz="4" w:space="0" w:color="auto"/>
              <w:bottom w:val="single" w:sz="4" w:space="0" w:color="auto"/>
              <w:right w:val="single" w:sz="4" w:space="0" w:color="auto"/>
            </w:tcBorders>
          </w:tcPr>
          <w:p w14:paraId="293FB0E6" w14:textId="77777777" w:rsidR="003D69A8" w:rsidRPr="005E1EA7" w:rsidRDefault="003D69A8" w:rsidP="006365F0">
            <w:pPr>
              <w:jc w:val="center"/>
              <w:rPr>
                <w:rFonts w:ascii="Tahoma" w:hAnsi="Tahoma" w:cs="Tahoma"/>
                <w:sz w:val="20"/>
                <w:szCs w:val="20"/>
              </w:rPr>
            </w:pPr>
          </w:p>
        </w:tc>
        <w:tc>
          <w:tcPr>
            <w:tcW w:w="1620" w:type="dxa"/>
            <w:tcBorders>
              <w:top w:val="single" w:sz="4" w:space="0" w:color="auto"/>
              <w:left w:val="single" w:sz="4" w:space="0" w:color="auto"/>
              <w:bottom w:val="single" w:sz="4" w:space="0" w:color="auto"/>
              <w:right w:val="single" w:sz="4" w:space="0" w:color="auto"/>
            </w:tcBorders>
          </w:tcPr>
          <w:p w14:paraId="0B724272" w14:textId="77777777" w:rsidR="003D69A8" w:rsidRPr="005E1EA7" w:rsidRDefault="003D69A8" w:rsidP="006365F0">
            <w:pPr>
              <w:jc w:val="center"/>
              <w:rPr>
                <w:rFonts w:ascii="Tahoma" w:hAnsi="Tahoma" w:cs="Tahoma"/>
                <w:sz w:val="20"/>
                <w:szCs w:val="20"/>
              </w:rPr>
            </w:pPr>
          </w:p>
          <w:p w14:paraId="396BCF8E" w14:textId="77777777" w:rsidR="003D69A8" w:rsidRPr="005E1EA7" w:rsidRDefault="003D69A8" w:rsidP="006365F0">
            <w:pPr>
              <w:jc w:val="center"/>
              <w:rPr>
                <w:rFonts w:ascii="Tahoma" w:hAnsi="Tahoma" w:cs="Tahoma"/>
                <w:sz w:val="20"/>
                <w:szCs w:val="20"/>
              </w:rPr>
            </w:pPr>
          </w:p>
          <w:p w14:paraId="780640A4" w14:textId="77777777" w:rsidR="003D69A8" w:rsidRPr="005E1EA7" w:rsidRDefault="003D69A8" w:rsidP="006365F0">
            <w:pPr>
              <w:jc w:val="center"/>
              <w:rPr>
                <w:rFonts w:ascii="Tahoma" w:hAnsi="Tahoma" w:cs="Tahoma"/>
                <w:sz w:val="20"/>
                <w:szCs w:val="20"/>
              </w:rPr>
            </w:pPr>
          </w:p>
          <w:p w14:paraId="22EACD6A" w14:textId="77777777" w:rsidR="003D69A8" w:rsidRPr="005E1EA7" w:rsidRDefault="003D69A8" w:rsidP="006365F0">
            <w:pPr>
              <w:jc w:val="center"/>
              <w:rPr>
                <w:rFonts w:ascii="Tahoma" w:hAnsi="Tahoma" w:cs="Tahoma"/>
                <w:sz w:val="20"/>
                <w:szCs w:val="20"/>
                <w:lang w:val="en-GB"/>
              </w:rPr>
            </w:pPr>
            <w:r w:rsidRPr="005E1EA7">
              <w:rPr>
                <w:rFonts w:ascii="Tahoma" w:hAnsi="Tahoma" w:cs="Tahoma"/>
                <w:sz w:val="20"/>
                <w:szCs w:val="20"/>
                <w:lang w:val="en-GB"/>
              </w:rPr>
              <w:t>—</w:t>
            </w:r>
          </w:p>
        </w:tc>
      </w:tr>
      <w:tr w:rsidR="003D69A8" w:rsidRPr="005E1EA7" w14:paraId="32753437" w14:textId="77777777" w:rsidTr="006365F0">
        <w:trPr>
          <w:cantSplit/>
          <w:trHeight w:val="567"/>
        </w:trPr>
        <w:tc>
          <w:tcPr>
            <w:tcW w:w="3072" w:type="dxa"/>
            <w:tcBorders>
              <w:top w:val="single" w:sz="4" w:space="0" w:color="auto"/>
              <w:left w:val="single" w:sz="4" w:space="0" w:color="auto"/>
              <w:bottom w:val="single" w:sz="4" w:space="0" w:color="auto"/>
              <w:right w:val="single" w:sz="4" w:space="0" w:color="auto"/>
            </w:tcBorders>
          </w:tcPr>
          <w:p w14:paraId="6B665432" w14:textId="77777777" w:rsidR="003D69A8" w:rsidRPr="005E1EA7" w:rsidRDefault="003D69A8" w:rsidP="006365F0">
            <w:pPr>
              <w:rPr>
                <w:rFonts w:ascii="Tahoma" w:hAnsi="Tahoma" w:cs="Tahoma"/>
                <w:sz w:val="20"/>
                <w:szCs w:val="20"/>
                <w:lang w:val="en-GB"/>
              </w:rPr>
            </w:pPr>
          </w:p>
          <w:p w14:paraId="4FB8FD45" w14:textId="77777777" w:rsidR="003D69A8" w:rsidRPr="005E1EA7" w:rsidRDefault="003D69A8" w:rsidP="006365F0">
            <w:pPr>
              <w:rPr>
                <w:rFonts w:ascii="Tahoma" w:hAnsi="Tahoma" w:cs="Tahoma"/>
                <w:sz w:val="20"/>
                <w:szCs w:val="20"/>
                <w:lang w:val="en-GB"/>
              </w:rPr>
            </w:pPr>
            <w:r w:rsidRPr="005E1EA7">
              <w:rPr>
                <w:rFonts w:ascii="Tahoma" w:hAnsi="Tahoma" w:cs="Tahoma"/>
                <w:sz w:val="20"/>
                <w:szCs w:val="20"/>
                <w:lang w:val="en-GB"/>
              </w:rPr>
              <w:t>Chinchard</w:t>
            </w:r>
          </w:p>
          <w:p w14:paraId="06D92AB1" w14:textId="77777777" w:rsidR="003D69A8" w:rsidRPr="005E1EA7" w:rsidRDefault="003D69A8" w:rsidP="006365F0">
            <w:pPr>
              <w:rPr>
                <w:rFonts w:ascii="Tahoma" w:hAnsi="Tahoma" w:cs="Tahoma"/>
                <w:sz w:val="20"/>
                <w:szCs w:val="20"/>
                <w:lang w:val="en-GB"/>
              </w:rPr>
            </w:pPr>
            <w:r w:rsidRPr="005E1EA7">
              <w:rPr>
                <w:rFonts w:ascii="Tahoma" w:hAnsi="Tahoma" w:cs="Tahoma"/>
                <w:i/>
                <w:iCs/>
                <w:sz w:val="20"/>
                <w:szCs w:val="20"/>
                <w:lang w:val="en-GB"/>
              </w:rPr>
              <w:t>(Trachuru</w:t>
            </w:r>
            <w:r w:rsidRPr="005E1EA7">
              <w:rPr>
                <w:rFonts w:ascii="Tahoma" w:hAnsi="Tahoma" w:cs="Tahoma"/>
                <w:sz w:val="20"/>
                <w:szCs w:val="20"/>
                <w:lang w:val="en-GB"/>
              </w:rPr>
              <w:t xml:space="preserve">s </w:t>
            </w:r>
            <w:r w:rsidRPr="005E1EA7">
              <w:rPr>
                <w:rFonts w:ascii="Tahoma" w:hAnsi="Tahoma" w:cs="Tahoma"/>
                <w:i/>
                <w:iCs/>
                <w:sz w:val="20"/>
                <w:szCs w:val="20"/>
                <w:lang w:val="en-GB"/>
              </w:rPr>
              <w:t>spp.</w:t>
            </w:r>
            <w:r w:rsidRPr="005E1EA7">
              <w:rPr>
                <w:rFonts w:ascii="Tahoma" w:hAnsi="Tahoma" w:cs="Tahoma"/>
                <w:sz w:val="20"/>
                <w:szCs w:val="20"/>
                <w:lang w:val="en-GB"/>
              </w:rPr>
              <w:t>)</w:t>
            </w:r>
          </w:p>
        </w:tc>
        <w:tc>
          <w:tcPr>
            <w:tcW w:w="1280" w:type="dxa"/>
            <w:tcBorders>
              <w:top w:val="single" w:sz="4" w:space="0" w:color="auto"/>
              <w:left w:val="single" w:sz="4" w:space="0" w:color="auto"/>
              <w:bottom w:val="single" w:sz="4" w:space="0" w:color="auto"/>
              <w:right w:val="single" w:sz="4" w:space="0" w:color="auto"/>
            </w:tcBorders>
            <w:vAlign w:val="center"/>
          </w:tcPr>
          <w:p w14:paraId="54478DFC"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5</w:t>
            </w:r>
          </w:p>
        </w:tc>
        <w:tc>
          <w:tcPr>
            <w:tcW w:w="3136" w:type="dxa"/>
            <w:tcBorders>
              <w:top w:val="single" w:sz="4" w:space="0" w:color="auto"/>
              <w:left w:val="single" w:sz="4" w:space="0" w:color="auto"/>
              <w:bottom w:val="single" w:sz="4" w:space="0" w:color="auto"/>
              <w:right w:val="single" w:sz="4" w:space="0" w:color="auto"/>
            </w:tcBorders>
            <w:vAlign w:val="center"/>
          </w:tcPr>
          <w:p w14:paraId="581ED38A"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de 0,02 à 0,08</w:t>
            </w:r>
          </w:p>
        </w:tc>
        <w:tc>
          <w:tcPr>
            <w:tcW w:w="1980" w:type="dxa"/>
            <w:tcBorders>
              <w:top w:val="single" w:sz="4" w:space="0" w:color="auto"/>
              <w:left w:val="single" w:sz="4" w:space="0" w:color="auto"/>
              <w:bottom w:val="single" w:sz="4" w:space="0" w:color="auto"/>
              <w:right w:val="single" w:sz="4" w:space="0" w:color="auto"/>
            </w:tcBorders>
          </w:tcPr>
          <w:p w14:paraId="31A62A8D" w14:textId="77777777" w:rsidR="003D69A8" w:rsidRPr="005E1EA7" w:rsidRDefault="003D69A8" w:rsidP="006365F0">
            <w:pPr>
              <w:jc w:val="center"/>
              <w:rPr>
                <w:rFonts w:ascii="Tahoma" w:hAnsi="Tahoma" w:cs="Tahoma"/>
                <w:sz w:val="20"/>
                <w:szCs w:val="20"/>
              </w:rPr>
            </w:pPr>
          </w:p>
          <w:p w14:paraId="4EBB3FC2"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w:t>
            </w:r>
          </w:p>
        </w:tc>
        <w:tc>
          <w:tcPr>
            <w:tcW w:w="2160" w:type="dxa"/>
            <w:tcBorders>
              <w:top w:val="single" w:sz="4" w:space="0" w:color="auto"/>
              <w:left w:val="single" w:sz="4" w:space="0" w:color="auto"/>
              <w:bottom w:val="single" w:sz="4" w:space="0" w:color="auto"/>
              <w:right w:val="single" w:sz="4" w:space="0" w:color="auto"/>
            </w:tcBorders>
          </w:tcPr>
          <w:p w14:paraId="0089DBD5" w14:textId="77777777" w:rsidR="003D69A8" w:rsidRPr="005E1EA7" w:rsidRDefault="003D69A8" w:rsidP="006365F0">
            <w:pPr>
              <w:jc w:val="center"/>
              <w:rPr>
                <w:rFonts w:ascii="Tahoma" w:hAnsi="Tahoma" w:cs="Tahoma"/>
                <w:sz w:val="20"/>
                <w:szCs w:val="20"/>
              </w:rPr>
            </w:pPr>
          </w:p>
        </w:tc>
        <w:tc>
          <w:tcPr>
            <w:tcW w:w="1620" w:type="dxa"/>
            <w:tcBorders>
              <w:top w:val="single" w:sz="4" w:space="0" w:color="auto"/>
              <w:left w:val="single" w:sz="4" w:space="0" w:color="auto"/>
              <w:bottom w:val="single" w:sz="4" w:space="0" w:color="auto"/>
              <w:right w:val="single" w:sz="4" w:space="0" w:color="auto"/>
            </w:tcBorders>
            <w:vAlign w:val="center"/>
          </w:tcPr>
          <w:p w14:paraId="43C33280"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12 cm</w:t>
            </w:r>
          </w:p>
        </w:tc>
      </w:tr>
      <w:tr w:rsidR="003D69A8" w:rsidRPr="005E1EA7" w14:paraId="7728A7B0" w14:textId="77777777" w:rsidTr="006365F0">
        <w:trPr>
          <w:cantSplit/>
          <w:trHeight w:val="907"/>
        </w:trPr>
        <w:tc>
          <w:tcPr>
            <w:tcW w:w="3072" w:type="dxa"/>
            <w:tcBorders>
              <w:top w:val="single" w:sz="4" w:space="0" w:color="auto"/>
              <w:left w:val="single" w:sz="4" w:space="0" w:color="auto"/>
              <w:bottom w:val="single" w:sz="4" w:space="0" w:color="auto"/>
              <w:right w:val="single" w:sz="4" w:space="0" w:color="auto"/>
            </w:tcBorders>
          </w:tcPr>
          <w:p w14:paraId="5560ED82" w14:textId="77777777" w:rsidR="003D69A8" w:rsidRPr="005E1EA7" w:rsidRDefault="003D69A8" w:rsidP="006365F0">
            <w:pPr>
              <w:rPr>
                <w:rFonts w:ascii="Tahoma" w:hAnsi="Tahoma" w:cs="Tahoma"/>
                <w:sz w:val="20"/>
                <w:szCs w:val="20"/>
              </w:rPr>
            </w:pPr>
          </w:p>
          <w:p w14:paraId="028471AB" w14:textId="77777777" w:rsidR="003D69A8" w:rsidRPr="005E1EA7" w:rsidRDefault="003D69A8" w:rsidP="006365F0">
            <w:pPr>
              <w:rPr>
                <w:rFonts w:ascii="Tahoma" w:hAnsi="Tahoma" w:cs="Tahoma"/>
                <w:sz w:val="20"/>
                <w:szCs w:val="20"/>
              </w:rPr>
            </w:pPr>
            <w:r w:rsidRPr="005E1EA7">
              <w:rPr>
                <w:rFonts w:ascii="Tahoma" w:hAnsi="Tahoma" w:cs="Tahoma"/>
                <w:sz w:val="20"/>
                <w:szCs w:val="20"/>
              </w:rPr>
              <w:t>Mulet</w:t>
            </w:r>
          </w:p>
          <w:p w14:paraId="2E094DA4" w14:textId="77777777" w:rsidR="003D69A8" w:rsidRPr="005E1EA7" w:rsidRDefault="003D69A8" w:rsidP="006365F0">
            <w:pPr>
              <w:rPr>
                <w:rFonts w:ascii="Tahoma" w:hAnsi="Tahoma" w:cs="Tahoma"/>
                <w:sz w:val="20"/>
                <w:szCs w:val="20"/>
              </w:rPr>
            </w:pPr>
            <w:r w:rsidRPr="005E1EA7">
              <w:rPr>
                <w:rFonts w:ascii="Tahoma" w:hAnsi="Tahoma" w:cs="Tahoma"/>
                <w:i/>
                <w:iCs/>
                <w:sz w:val="20"/>
                <w:szCs w:val="20"/>
              </w:rPr>
              <w:t>Mugi</w:t>
            </w:r>
            <w:r w:rsidRPr="005E1EA7">
              <w:rPr>
                <w:rFonts w:ascii="Tahoma" w:hAnsi="Tahoma" w:cs="Tahoma"/>
                <w:sz w:val="20"/>
                <w:szCs w:val="20"/>
              </w:rPr>
              <w:t xml:space="preserve">l </w:t>
            </w:r>
            <w:r w:rsidRPr="005E1EA7">
              <w:rPr>
                <w:rFonts w:ascii="Tahoma" w:hAnsi="Tahoma" w:cs="Tahoma"/>
                <w:i/>
                <w:iCs/>
                <w:sz w:val="20"/>
                <w:szCs w:val="20"/>
              </w:rPr>
              <w:t>spp.</w:t>
            </w:r>
            <w:r w:rsidRPr="005E1EA7">
              <w:rPr>
                <w:rFonts w:ascii="Tahoma" w:hAnsi="Tahoma" w:cs="Tahoma"/>
                <w:sz w:val="20"/>
                <w:szCs w:val="20"/>
              </w:rPr>
              <w:t xml:space="preserve">) </w:t>
            </w:r>
          </w:p>
        </w:tc>
        <w:tc>
          <w:tcPr>
            <w:tcW w:w="1280" w:type="dxa"/>
            <w:tcBorders>
              <w:top w:val="single" w:sz="4" w:space="0" w:color="auto"/>
              <w:left w:val="single" w:sz="4" w:space="0" w:color="auto"/>
              <w:bottom w:val="single" w:sz="4" w:space="0" w:color="auto"/>
              <w:right w:val="single" w:sz="4" w:space="0" w:color="auto"/>
            </w:tcBorders>
            <w:vAlign w:val="center"/>
          </w:tcPr>
          <w:p w14:paraId="35F45FFA"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1 2 3 4</w:t>
            </w:r>
          </w:p>
        </w:tc>
        <w:tc>
          <w:tcPr>
            <w:tcW w:w="3136" w:type="dxa"/>
            <w:tcBorders>
              <w:top w:val="single" w:sz="4" w:space="0" w:color="auto"/>
              <w:left w:val="single" w:sz="4" w:space="0" w:color="auto"/>
              <w:bottom w:val="single" w:sz="4" w:space="0" w:color="auto"/>
              <w:right w:val="single" w:sz="4" w:space="0" w:color="auto"/>
            </w:tcBorders>
            <w:vAlign w:val="center"/>
          </w:tcPr>
          <w:p w14:paraId="7B12CAAA"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1 et plus de 0,5 à 1 de 0,2 à 0,5 de 0,1 à 0,2</w:t>
            </w:r>
          </w:p>
        </w:tc>
        <w:tc>
          <w:tcPr>
            <w:tcW w:w="1980" w:type="dxa"/>
            <w:tcBorders>
              <w:top w:val="single" w:sz="4" w:space="0" w:color="auto"/>
              <w:left w:val="single" w:sz="4" w:space="0" w:color="auto"/>
              <w:bottom w:val="single" w:sz="4" w:space="0" w:color="auto"/>
              <w:right w:val="single" w:sz="4" w:space="0" w:color="auto"/>
            </w:tcBorders>
          </w:tcPr>
          <w:p w14:paraId="1AF5DB97" w14:textId="77777777" w:rsidR="003D69A8" w:rsidRPr="005E1EA7" w:rsidRDefault="003D69A8" w:rsidP="006365F0">
            <w:pPr>
              <w:jc w:val="center"/>
              <w:rPr>
                <w:rFonts w:ascii="Tahoma" w:hAnsi="Tahoma" w:cs="Tahoma"/>
                <w:sz w:val="20"/>
                <w:szCs w:val="20"/>
              </w:rPr>
            </w:pPr>
          </w:p>
          <w:p w14:paraId="64F5DEAF"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14:paraId="476CCD92" w14:textId="77777777" w:rsidR="003D69A8" w:rsidRPr="005E1EA7" w:rsidRDefault="003D69A8" w:rsidP="006365F0">
            <w:pPr>
              <w:jc w:val="center"/>
              <w:rPr>
                <w:rFonts w:ascii="Tahoma" w:hAnsi="Tahoma" w:cs="Tahoma"/>
                <w:sz w:val="20"/>
                <w:szCs w:val="20"/>
              </w:rPr>
            </w:pPr>
          </w:p>
        </w:tc>
        <w:tc>
          <w:tcPr>
            <w:tcW w:w="1620" w:type="dxa"/>
            <w:tcBorders>
              <w:top w:val="single" w:sz="4" w:space="0" w:color="auto"/>
              <w:left w:val="single" w:sz="4" w:space="0" w:color="auto"/>
              <w:bottom w:val="single" w:sz="4" w:space="0" w:color="auto"/>
              <w:right w:val="single" w:sz="4" w:space="0" w:color="auto"/>
            </w:tcBorders>
            <w:vAlign w:val="center"/>
          </w:tcPr>
          <w:p w14:paraId="34172664"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—20 cm —20 cm 16 cm</w:t>
            </w:r>
          </w:p>
        </w:tc>
      </w:tr>
      <w:tr w:rsidR="003D69A8" w:rsidRPr="005E1EA7" w14:paraId="0E231BAD" w14:textId="77777777" w:rsidTr="006365F0">
        <w:trPr>
          <w:cantSplit/>
          <w:trHeight w:val="907"/>
        </w:trPr>
        <w:tc>
          <w:tcPr>
            <w:tcW w:w="3072" w:type="dxa"/>
            <w:tcBorders>
              <w:top w:val="single" w:sz="4" w:space="0" w:color="auto"/>
              <w:left w:val="single" w:sz="4" w:space="0" w:color="auto"/>
              <w:bottom w:val="single" w:sz="4" w:space="0" w:color="auto"/>
              <w:right w:val="single" w:sz="4" w:space="0" w:color="auto"/>
            </w:tcBorders>
          </w:tcPr>
          <w:p w14:paraId="6DB5F136" w14:textId="77777777" w:rsidR="003D69A8" w:rsidRPr="005E1EA7" w:rsidRDefault="003D69A8" w:rsidP="006365F0">
            <w:pPr>
              <w:rPr>
                <w:rFonts w:ascii="Tahoma" w:hAnsi="Tahoma" w:cs="Tahoma"/>
                <w:sz w:val="20"/>
                <w:szCs w:val="20"/>
              </w:rPr>
            </w:pPr>
          </w:p>
          <w:p w14:paraId="77F3A292" w14:textId="77777777" w:rsidR="003D69A8" w:rsidRPr="005E1EA7" w:rsidRDefault="003D69A8" w:rsidP="006365F0">
            <w:pPr>
              <w:rPr>
                <w:rFonts w:ascii="Tahoma" w:hAnsi="Tahoma" w:cs="Tahoma"/>
                <w:sz w:val="20"/>
                <w:szCs w:val="20"/>
              </w:rPr>
            </w:pPr>
            <w:r w:rsidRPr="005E1EA7">
              <w:rPr>
                <w:rFonts w:ascii="Tahoma" w:hAnsi="Tahoma" w:cs="Tahoma"/>
                <w:sz w:val="20"/>
                <w:szCs w:val="20"/>
              </w:rPr>
              <w:t xml:space="preserve">Raie </w:t>
            </w:r>
          </w:p>
          <w:p w14:paraId="58B0A1EA" w14:textId="77777777" w:rsidR="003D69A8" w:rsidRPr="005E1EA7" w:rsidRDefault="003D69A8" w:rsidP="006365F0">
            <w:pPr>
              <w:rPr>
                <w:rFonts w:ascii="Tahoma" w:hAnsi="Tahoma" w:cs="Tahoma"/>
                <w:sz w:val="20"/>
                <w:szCs w:val="20"/>
              </w:rPr>
            </w:pPr>
            <w:r w:rsidRPr="005E1EA7">
              <w:rPr>
                <w:rFonts w:ascii="Tahoma" w:hAnsi="Tahoma" w:cs="Tahoma"/>
                <w:i/>
                <w:iCs/>
                <w:sz w:val="20"/>
                <w:szCs w:val="20"/>
              </w:rPr>
              <w:t>(Raj</w:t>
            </w:r>
            <w:r w:rsidRPr="005E1EA7">
              <w:rPr>
                <w:rFonts w:ascii="Tahoma" w:hAnsi="Tahoma" w:cs="Tahoma"/>
                <w:sz w:val="20"/>
                <w:szCs w:val="20"/>
              </w:rPr>
              <w:t xml:space="preserve">a </w:t>
            </w:r>
            <w:r w:rsidRPr="005E1EA7">
              <w:rPr>
                <w:rFonts w:ascii="Tahoma" w:hAnsi="Tahoma" w:cs="Tahoma"/>
                <w:i/>
                <w:iCs/>
                <w:sz w:val="20"/>
                <w:szCs w:val="20"/>
              </w:rPr>
              <w:t>spp.</w:t>
            </w:r>
            <w:r w:rsidRPr="005E1EA7">
              <w:rPr>
                <w:rFonts w:ascii="Tahoma" w:hAnsi="Tahoma" w:cs="Tahoma"/>
                <w:sz w:val="20"/>
                <w:szCs w:val="20"/>
              </w:rPr>
              <w:t xml:space="preserve">) </w:t>
            </w:r>
          </w:p>
        </w:tc>
        <w:tc>
          <w:tcPr>
            <w:tcW w:w="1280" w:type="dxa"/>
            <w:tcBorders>
              <w:top w:val="single" w:sz="4" w:space="0" w:color="auto"/>
              <w:left w:val="single" w:sz="4" w:space="0" w:color="auto"/>
              <w:bottom w:val="single" w:sz="4" w:space="0" w:color="auto"/>
              <w:right w:val="single" w:sz="4" w:space="0" w:color="auto"/>
            </w:tcBorders>
            <w:vAlign w:val="center"/>
          </w:tcPr>
          <w:p w14:paraId="0B4076FC"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1 2 3 4</w:t>
            </w:r>
          </w:p>
        </w:tc>
        <w:tc>
          <w:tcPr>
            <w:tcW w:w="3136" w:type="dxa"/>
            <w:tcBorders>
              <w:top w:val="single" w:sz="4" w:space="0" w:color="auto"/>
              <w:left w:val="single" w:sz="4" w:space="0" w:color="auto"/>
              <w:bottom w:val="single" w:sz="4" w:space="0" w:color="auto"/>
              <w:right w:val="single" w:sz="4" w:space="0" w:color="auto"/>
            </w:tcBorders>
            <w:vAlign w:val="center"/>
          </w:tcPr>
          <w:p w14:paraId="43216761"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5 et plus de 3 à 5 de 1 à 3 de 0,3 à 1</w:t>
            </w:r>
          </w:p>
        </w:tc>
        <w:tc>
          <w:tcPr>
            <w:tcW w:w="1980" w:type="dxa"/>
            <w:tcBorders>
              <w:top w:val="single" w:sz="4" w:space="0" w:color="auto"/>
              <w:left w:val="single" w:sz="4" w:space="0" w:color="auto"/>
              <w:bottom w:val="single" w:sz="4" w:space="0" w:color="auto"/>
              <w:right w:val="single" w:sz="4" w:space="0" w:color="auto"/>
            </w:tcBorders>
          </w:tcPr>
          <w:p w14:paraId="7387D92A" w14:textId="77777777" w:rsidR="003D69A8" w:rsidRPr="005E1EA7" w:rsidRDefault="003D69A8" w:rsidP="006365F0">
            <w:pPr>
              <w:jc w:val="center"/>
              <w:rPr>
                <w:rFonts w:ascii="Tahoma" w:hAnsi="Tahoma" w:cs="Tahoma"/>
                <w:sz w:val="20"/>
                <w:szCs w:val="20"/>
              </w:rPr>
            </w:pPr>
          </w:p>
          <w:p w14:paraId="3DA313CC"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w:t>
            </w:r>
          </w:p>
        </w:tc>
        <w:tc>
          <w:tcPr>
            <w:tcW w:w="2160" w:type="dxa"/>
            <w:tcBorders>
              <w:top w:val="single" w:sz="4" w:space="0" w:color="auto"/>
              <w:left w:val="single" w:sz="4" w:space="0" w:color="auto"/>
              <w:bottom w:val="single" w:sz="4" w:space="0" w:color="auto"/>
              <w:right w:val="single" w:sz="4" w:space="0" w:color="auto"/>
            </w:tcBorders>
          </w:tcPr>
          <w:p w14:paraId="343B5665" w14:textId="77777777" w:rsidR="003D69A8" w:rsidRPr="005E1EA7" w:rsidRDefault="003D69A8" w:rsidP="006365F0">
            <w:pPr>
              <w:jc w:val="center"/>
              <w:rPr>
                <w:rFonts w:ascii="Tahoma" w:hAnsi="Tahoma" w:cs="Tahoma"/>
                <w:sz w:val="20"/>
                <w:szCs w:val="20"/>
              </w:rPr>
            </w:pPr>
          </w:p>
        </w:tc>
        <w:tc>
          <w:tcPr>
            <w:tcW w:w="1620" w:type="dxa"/>
            <w:tcBorders>
              <w:top w:val="single" w:sz="4" w:space="0" w:color="auto"/>
              <w:left w:val="single" w:sz="4" w:space="0" w:color="auto"/>
              <w:bottom w:val="single" w:sz="4" w:space="0" w:color="auto"/>
              <w:right w:val="single" w:sz="4" w:space="0" w:color="auto"/>
            </w:tcBorders>
          </w:tcPr>
          <w:p w14:paraId="636E4000" w14:textId="77777777" w:rsidR="003D69A8" w:rsidRPr="005E1EA7" w:rsidRDefault="003D69A8" w:rsidP="006365F0">
            <w:pPr>
              <w:jc w:val="center"/>
              <w:rPr>
                <w:rFonts w:ascii="Tahoma" w:hAnsi="Tahoma" w:cs="Tahoma"/>
                <w:sz w:val="20"/>
                <w:szCs w:val="20"/>
              </w:rPr>
            </w:pPr>
          </w:p>
          <w:p w14:paraId="179A1BA4"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w:t>
            </w:r>
          </w:p>
        </w:tc>
      </w:tr>
      <w:tr w:rsidR="003D69A8" w:rsidRPr="005E1EA7" w14:paraId="0D51B41E" w14:textId="77777777" w:rsidTr="006365F0">
        <w:trPr>
          <w:cantSplit/>
          <w:trHeight w:val="625"/>
        </w:trPr>
        <w:tc>
          <w:tcPr>
            <w:tcW w:w="3072" w:type="dxa"/>
            <w:tcBorders>
              <w:top w:val="single" w:sz="4" w:space="0" w:color="auto"/>
              <w:left w:val="single" w:sz="4" w:space="0" w:color="auto"/>
              <w:bottom w:val="single" w:sz="4" w:space="0" w:color="auto"/>
              <w:right w:val="single" w:sz="4" w:space="0" w:color="auto"/>
            </w:tcBorders>
            <w:vAlign w:val="center"/>
          </w:tcPr>
          <w:p w14:paraId="73E97F0E" w14:textId="77777777" w:rsidR="003D69A8" w:rsidRPr="005E1EA7" w:rsidRDefault="003D69A8" w:rsidP="006365F0">
            <w:pPr>
              <w:rPr>
                <w:rFonts w:ascii="Tahoma" w:hAnsi="Tahoma" w:cs="Tahoma"/>
                <w:sz w:val="20"/>
                <w:szCs w:val="20"/>
              </w:rPr>
            </w:pPr>
            <w:r w:rsidRPr="005E1EA7">
              <w:rPr>
                <w:rFonts w:ascii="Tahoma" w:hAnsi="Tahoma" w:cs="Tahoma"/>
                <w:sz w:val="20"/>
                <w:szCs w:val="20"/>
              </w:rPr>
              <w:t>Raie</w:t>
            </w:r>
          </w:p>
          <w:p w14:paraId="5FBC39AA" w14:textId="77777777" w:rsidR="003D69A8" w:rsidRPr="005E1EA7" w:rsidRDefault="003D69A8" w:rsidP="006365F0">
            <w:pPr>
              <w:rPr>
                <w:rFonts w:ascii="Tahoma" w:hAnsi="Tahoma" w:cs="Tahoma"/>
                <w:sz w:val="20"/>
                <w:szCs w:val="20"/>
              </w:rPr>
            </w:pPr>
            <w:r w:rsidRPr="005E1EA7">
              <w:rPr>
                <w:rFonts w:ascii="Tahoma" w:hAnsi="Tahoma" w:cs="Tahoma"/>
                <w:sz w:val="20"/>
                <w:szCs w:val="20"/>
              </w:rPr>
              <w:t xml:space="preserve">(ailes) </w:t>
            </w:r>
          </w:p>
        </w:tc>
        <w:tc>
          <w:tcPr>
            <w:tcW w:w="1280" w:type="dxa"/>
            <w:tcBorders>
              <w:top w:val="single" w:sz="4" w:space="0" w:color="auto"/>
              <w:left w:val="single" w:sz="4" w:space="0" w:color="auto"/>
              <w:bottom w:val="single" w:sz="4" w:space="0" w:color="auto"/>
              <w:right w:val="single" w:sz="4" w:space="0" w:color="auto"/>
            </w:tcBorders>
            <w:vAlign w:val="center"/>
          </w:tcPr>
          <w:p w14:paraId="52FD1915"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1 2</w:t>
            </w:r>
          </w:p>
        </w:tc>
        <w:tc>
          <w:tcPr>
            <w:tcW w:w="3136" w:type="dxa"/>
            <w:tcBorders>
              <w:top w:val="single" w:sz="4" w:space="0" w:color="auto"/>
              <w:left w:val="single" w:sz="4" w:space="0" w:color="auto"/>
              <w:bottom w:val="single" w:sz="4" w:space="0" w:color="auto"/>
              <w:right w:val="single" w:sz="4" w:space="0" w:color="auto"/>
            </w:tcBorders>
            <w:vAlign w:val="center"/>
          </w:tcPr>
          <w:p w14:paraId="52B80ACD"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3 et plus de 0,5 à 3</w:t>
            </w:r>
          </w:p>
        </w:tc>
        <w:tc>
          <w:tcPr>
            <w:tcW w:w="1980" w:type="dxa"/>
            <w:tcBorders>
              <w:top w:val="single" w:sz="4" w:space="0" w:color="auto"/>
              <w:left w:val="single" w:sz="4" w:space="0" w:color="auto"/>
              <w:bottom w:val="single" w:sz="4" w:space="0" w:color="auto"/>
              <w:right w:val="single" w:sz="4" w:space="0" w:color="auto"/>
            </w:tcBorders>
          </w:tcPr>
          <w:p w14:paraId="798341F2" w14:textId="77777777" w:rsidR="003D69A8" w:rsidRPr="005E1EA7" w:rsidRDefault="003D69A8" w:rsidP="006365F0">
            <w:pPr>
              <w:jc w:val="center"/>
              <w:rPr>
                <w:rFonts w:ascii="Tahoma" w:hAnsi="Tahoma" w:cs="Tahoma"/>
                <w:sz w:val="20"/>
                <w:szCs w:val="20"/>
              </w:rPr>
            </w:pPr>
          </w:p>
          <w:p w14:paraId="3B85DB33"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w:t>
            </w:r>
          </w:p>
        </w:tc>
        <w:tc>
          <w:tcPr>
            <w:tcW w:w="2160" w:type="dxa"/>
            <w:tcBorders>
              <w:top w:val="single" w:sz="4" w:space="0" w:color="auto"/>
              <w:left w:val="single" w:sz="4" w:space="0" w:color="auto"/>
              <w:bottom w:val="single" w:sz="4" w:space="0" w:color="auto"/>
              <w:right w:val="single" w:sz="4" w:space="0" w:color="auto"/>
            </w:tcBorders>
          </w:tcPr>
          <w:p w14:paraId="1936F7CA" w14:textId="77777777" w:rsidR="003D69A8" w:rsidRPr="005E1EA7" w:rsidRDefault="003D69A8" w:rsidP="006365F0">
            <w:pPr>
              <w:jc w:val="center"/>
              <w:rPr>
                <w:rFonts w:ascii="Tahoma" w:hAnsi="Tahoma" w:cs="Tahoma"/>
                <w:sz w:val="20"/>
                <w:szCs w:val="20"/>
              </w:rPr>
            </w:pPr>
          </w:p>
        </w:tc>
        <w:tc>
          <w:tcPr>
            <w:tcW w:w="1620" w:type="dxa"/>
            <w:tcBorders>
              <w:top w:val="single" w:sz="4" w:space="0" w:color="auto"/>
              <w:left w:val="single" w:sz="4" w:space="0" w:color="auto"/>
              <w:bottom w:val="single" w:sz="4" w:space="0" w:color="auto"/>
              <w:right w:val="single" w:sz="4" w:space="0" w:color="auto"/>
            </w:tcBorders>
          </w:tcPr>
          <w:p w14:paraId="6CCCC610" w14:textId="77777777" w:rsidR="003D69A8" w:rsidRPr="005E1EA7" w:rsidRDefault="003D69A8" w:rsidP="006365F0">
            <w:pPr>
              <w:jc w:val="center"/>
              <w:rPr>
                <w:rFonts w:ascii="Tahoma" w:hAnsi="Tahoma" w:cs="Tahoma"/>
                <w:sz w:val="20"/>
                <w:szCs w:val="20"/>
              </w:rPr>
            </w:pPr>
          </w:p>
          <w:p w14:paraId="06D7512C"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w:t>
            </w:r>
          </w:p>
        </w:tc>
      </w:tr>
      <w:tr w:rsidR="003D69A8" w:rsidRPr="005E1EA7" w14:paraId="63ADCAE0" w14:textId="77777777" w:rsidTr="006365F0">
        <w:trPr>
          <w:cantSplit/>
          <w:trHeight w:val="624"/>
        </w:trPr>
        <w:tc>
          <w:tcPr>
            <w:tcW w:w="3072" w:type="dxa"/>
            <w:tcBorders>
              <w:top w:val="single" w:sz="4" w:space="0" w:color="auto"/>
              <w:left w:val="single" w:sz="4" w:space="0" w:color="auto"/>
              <w:bottom w:val="single" w:sz="4" w:space="0" w:color="auto"/>
              <w:right w:val="single" w:sz="4" w:space="0" w:color="auto"/>
            </w:tcBorders>
          </w:tcPr>
          <w:p w14:paraId="1277A00B" w14:textId="77777777" w:rsidR="003D69A8" w:rsidRPr="005E1EA7" w:rsidRDefault="003D69A8" w:rsidP="006365F0">
            <w:pPr>
              <w:rPr>
                <w:rFonts w:ascii="Tahoma" w:hAnsi="Tahoma" w:cs="Tahoma"/>
                <w:sz w:val="20"/>
                <w:szCs w:val="20"/>
              </w:rPr>
            </w:pPr>
          </w:p>
          <w:p w14:paraId="124381DE" w14:textId="77777777" w:rsidR="003D69A8" w:rsidRPr="005E1EA7" w:rsidRDefault="003D69A8" w:rsidP="006365F0">
            <w:pPr>
              <w:rPr>
                <w:rFonts w:ascii="Tahoma" w:hAnsi="Tahoma" w:cs="Tahoma"/>
                <w:sz w:val="20"/>
                <w:szCs w:val="20"/>
              </w:rPr>
            </w:pPr>
            <w:r w:rsidRPr="005E1EA7">
              <w:rPr>
                <w:rFonts w:ascii="Tahoma" w:hAnsi="Tahoma" w:cs="Tahoma"/>
                <w:sz w:val="20"/>
                <w:szCs w:val="20"/>
              </w:rPr>
              <w:t>Sole</w:t>
            </w:r>
          </w:p>
          <w:p w14:paraId="42D9DA25" w14:textId="77777777" w:rsidR="003D69A8" w:rsidRPr="005E1EA7" w:rsidRDefault="003D69A8" w:rsidP="006365F0">
            <w:pPr>
              <w:rPr>
                <w:rFonts w:ascii="Tahoma" w:hAnsi="Tahoma" w:cs="Tahoma"/>
                <w:sz w:val="20"/>
                <w:szCs w:val="20"/>
              </w:rPr>
            </w:pPr>
            <w:r w:rsidRPr="005E1EA7">
              <w:rPr>
                <w:rFonts w:ascii="Tahoma" w:hAnsi="Tahoma" w:cs="Tahoma"/>
                <w:i/>
                <w:iCs/>
                <w:sz w:val="20"/>
                <w:szCs w:val="20"/>
              </w:rPr>
              <w:t>(Sole</w:t>
            </w:r>
            <w:r w:rsidRPr="005E1EA7">
              <w:rPr>
                <w:rFonts w:ascii="Tahoma" w:hAnsi="Tahoma" w:cs="Tahoma"/>
                <w:sz w:val="20"/>
                <w:szCs w:val="20"/>
              </w:rPr>
              <w:t xml:space="preserve">a </w:t>
            </w:r>
            <w:r w:rsidRPr="005E1EA7">
              <w:rPr>
                <w:rFonts w:ascii="Tahoma" w:hAnsi="Tahoma" w:cs="Tahoma"/>
                <w:i/>
                <w:iCs/>
                <w:sz w:val="20"/>
                <w:szCs w:val="20"/>
              </w:rPr>
              <w:t>spp.</w:t>
            </w:r>
            <w:r w:rsidRPr="005E1EA7">
              <w:rPr>
                <w:rFonts w:ascii="Tahoma" w:hAnsi="Tahoma" w:cs="Tahoma"/>
                <w:sz w:val="20"/>
                <w:szCs w:val="20"/>
              </w:rPr>
              <w:t xml:space="preserve">) </w:t>
            </w:r>
          </w:p>
        </w:tc>
        <w:tc>
          <w:tcPr>
            <w:tcW w:w="1280" w:type="dxa"/>
            <w:tcBorders>
              <w:top w:val="single" w:sz="4" w:space="0" w:color="auto"/>
              <w:left w:val="single" w:sz="4" w:space="0" w:color="auto"/>
              <w:bottom w:val="single" w:sz="4" w:space="0" w:color="auto"/>
              <w:right w:val="single" w:sz="4" w:space="0" w:color="auto"/>
            </w:tcBorders>
            <w:vAlign w:val="center"/>
          </w:tcPr>
          <w:p w14:paraId="3A9295A2"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5</w:t>
            </w:r>
          </w:p>
        </w:tc>
        <w:tc>
          <w:tcPr>
            <w:tcW w:w="3136" w:type="dxa"/>
            <w:tcBorders>
              <w:top w:val="single" w:sz="4" w:space="0" w:color="auto"/>
              <w:left w:val="single" w:sz="4" w:space="0" w:color="auto"/>
              <w:bottom w:val="single" w:sz="4" w:space="0" w:color="auto"/>
              <w:right w:val="single" w:sz="4" w:space="0" w:color="auto"/>
            </w:tcBorders>
            <w:vAlign w:val="center"/>
          </w:tcPr>
          <w:p w14:paraId="248339AD"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de 0,12 à 0,17 (3 )</w:t>
            </w:r>
          </w:p>
        </w:tc>
        <w:tc>
          <w:tcPr>
            <w:tcW w:w="1980" w:type="dxa"/>
            <w:tcBorders>
              <w:top w:val="single" w:sz="4" w:space="0" w:color="auto"/>
              <w:left w:val="single" w:sz="4" w:space="0" w:color="auto"/>
              <w:bottom w:val="single" w:sz="4" w:space="0" w:color="auto"/>
              <w:right w:val="single" w:sz="4" w:space="0" w:color="auto"/>
            </w:tcBorders>
          </w:tcPr>
          <w:p w14:paraId="594862CF" w14:textId="77777777" w:rsidR="003D69A8" w:rsidRPr="005E1EA7" w:rsidRDefault="003D69A8" w:rsidP="006365F0">
            <w:pPr>
              <w:jc w:val="center"/>
              <w:rPr>
                <w:rFonts w:ascii="Tahoma" w:hAnsi="Tahoma" w:cs="Tahoma"/>
                <w:sz w:val="20"/>
                <w:szCs w:val="20"/>
              </w:rPr>
            </w:pPr>
          </w:p>
          <w:p w14:paraId="49038B8C"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w:t>
            </w:r>
          </w:p>
        </w:tc>
        <w:tc>
          <w:tcPr>
            <w:tcW w:w="2160" w:type="dxa"/>
            <w:tcBorders>
              <w:top w:val="single" w:sz="4" w:space="0" w:color="auto"/>
              <w:left w:val="single" w:sz="4" w:space="0" w:color="auto"/>
              <w:bottom w:val="single" w:sz="4" w:space="0" w:color="auto"/>
              <w:right w:val="single" w:sz="4" w:space="0" w:color="auto"/>
            </w:tcBorders>
          </w:tcPr>
          <w:p w14:paraId="280D465D" w14:textId="77777777" w:rsidR="003D69A8" w:rsidRPr="005E1EA7" w:rsidRDefault="003D69A8" w:rsidP="006365F0">
            <w:pPr>
              <w:jc w:val="center"/>
              <w:rPr>
                <w:rFonts w:ascii="Tahoma" w:hAnsi="Tahoma" w:cs="Tahoma"/>
                <w:sz w:val="20"/>
                <w:szCs w:val="20"/>
              </w:rPr>
            </w:pPr>
          </w:p>
        </w:tc>
        <w:tc>
          <w:tcPr>
            <w:tcW w:w="1620" w:type="dxa"/>
            <w:tcBorders>
              <w:top w:val="single" w:sz="4" w:space="0" w:color="auto"/>
              <w:left w:val="single" w:sz="4" w:space="0" w:color="auto"/>
              <w:bottom w:val="single" w:sz="4" w:space="0" w:color="auto"/>
              <w:right w:val="single" w:sz="4" w:space="0" w:color="auto"/>
            </w:tcBorders>
            <w:vAlign w:val="center"/>
          </w:tcPr>
          <w:p w14:paraId="205122B9"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20 cm</w:t>
            </w:r>
          </w:p>
        </w:tc>
      </w:tr>
      <w:tr w:rsidR="003D69A8" w:rsidRPr="005E1EA7" w14:paraId="398BD473" w14:textId="77777777" w:rsidTr="006365F0">
        <w:trPr>
          <w:cantSplit/>
          <w:trHeight w:val="998"/>
        </w:trPr>
        <w:tc>
          <w:tcPr>
            <w:tcW w:w="3072" w:type="dxa"/>
            <w:tcBorders>
              <w:top w:val="single" w:sz="4" w:space="0" w:color="auto"/>
              <w:left w:val="single" w:sz="4" w:space="0" w:color="auto"/>
              <w:bottom w:val="single" w:sz="4" w:space="0" w:color="auto"/>
              <w:right w:val="single" w:sz="4" w:space="0" w:color="auto"/>
            </w:tcBorders>
          </w:tcPr>
          <w:p w14:paraId="1D4CF202" w14:textId="77777777" w:rsidR="003D69A8" w:rsidRPr="005E1EA7" w:rsidRDefault="003D69A8" w:rsidP="006365F0">
            <w:pPr>
              <w:rPr>
                <w:rFonts w:ascii="Tahoma" w:hAnsi="Tahoma" w:cs="Tahoma"/>
                <w:sz w:val="20"/>
                <w:szCs w:val="20"/>
              </w:rPr>
            </w:pPr>
          </w:p>
          <w:p w14:paraId="2BECE928" w14:textId="77777777" w:rsidR="003D69A8" w:rsidRPr="005E1EA7" w:rsidRDefault="003D69A8" w:rsidP="006365F0">
            <w:pPr>
              <w:rPr>
                <w:rFonts w:ascii="Tahoma" w:hAnsi="Tahoma" w:cs="Tahoma"/>
                <w:sz w:val="20"/>
                <w:szCs w:val="20"/>
              </w:rPr>
            </w:pPr>
            <w:r w:rsidRPr="005E1EA7">
              <w:rPr>
                <w:rFonts w:ascii="Tahoma" w:hAnsi="Tahoma" w:cs="Tahoma"/>
                <w:sz w:val="20"/>
                <w:szCs w:val="20"/>
              </w:rPr>
              <w:t>Sabre d'argent</w:t>
            </w:r>
          </w:p>
          <w:p w14:paraId="3AB96060" w14:textId="77777777" w:rsidR="003D69A8" w:rsidRPr="005E1EA7" w:rsidRDefault="003D69A8" w:rsidP="006365F0">
            <w:pPr>
              <w:rPr>
                <w:rFonts w:ascii="Tahoma" w:hAnsi="Tahoma" w:cs="Tahoma"/>
                <w:sz w:val="20"/>
                <w:szCs w:val="20"/>
              </w:rPr>
            </w:pPr>
            <w:r w:rsidRPr="005E1EA7">
              <w:rPr>
                <w:rFonts w:ascii="Tahoma" w:hAnsi="Tahoma" w:cs="Tahoma"/>
                <w:i/>
                <w:iCs/>
                <w:sz w:val="20"/>
                <w:szCs w:val="20"/>
              </w:rPr>
              <w:t>(Lepidopu</w:t>
            </w:r>
            <w:r w:rsidRPr="005E1EA7">
              <w:rPr>
                <w:rFonts w:ascii="Tahoma" w:hAnsi="Tahoma" w:cs="Tahoma"/>
                <w:sz w:val="20"/>
                <w:szCs w:val="20"/>
              </w:rPr>
              <w:t xml:space="preserve">s </w:t>
            </w:r>
            <w:r w:rsidRPr="005E1EA7">
              <w:rPr>
                <w:rFonts w:ascii="Tahoma" w:hAnsi="Tahoma" w:cs="Tahoma"/>
                <w:i/>
                <w:iCs/>
                <w:sz w:val="20"/>
                <w:szCs w:val="20"/>
              </w:rPr>
              <w:t>caudatus</w:t>
            </w:r>
            <w:r w:rsidRPr="005E1EA7">
              <w:rPr>
                <w:rFonts w:ascii="Tahoma" w:hAnsi="Tahoma" w:cs="Tahoma"/>
                <w:sz w:val="20"/>
                <w:szCs w:val="20"/>
              </w:rPr>
              <w:t xml:space="preserve">) </w:t>
            </w:r>
          </w:p>
        </w:tc>
        <w:tc>
          <w:tcPr>
            <w:tcW w:w="1280" w:type="dxa"/>
            <w:tcBorders>
              <w:top w:val="single" w:sz="4" w:space="0" w:color="auto"/>
              <w:left w:val="single" w:sz="4" w:space="0" w:color="auto"/>
              <w:bottom w:val="single" w:sz="4" w:space="0" w:color="auto"/>
              <w:right w:val="single" w:sz="4" w:space="0" w:color="auto"/>
            </w:tcBorders>
            <w:vAlign w:val="center"/>
          </w:tcPr>
          <w:p w14:paraId="74B3093B"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1</w:t>
            </w:r>
          </w:p>
          <w:p w14:paraId="13760BC8"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2</w:t>
            </w:r>
          </w:p>
          <w:p w14:paraId="32AEA7FC"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3</w:t>
            </w:r>
          </w:p>
          <w:p w14:paraId="716F4E74"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4</w:t>
            </w:r>
          </w:p>
        </w:tc>
        <w:tc>
          <w:tcPr>
            <w:tcW w:w="3136" w:type="dxa"/>
            <w:tcBorders>
              <w:top w:val="single" w:sz="4" w:space="0" w:color="auto"/>
              <w:left w:val="single" w:sz="4" w:space="0" w:color="auto"/>
              <w:bottom w:val="single" w:sz="4" w:space="0" w:color="auto"/>
              <w:right w:val="single" w:sz="4" w:space="0" w:color="auto"/>
            </w:tcBorders>
            <w:vAlign w:val="center"/>
          </w:tcPr>
          <w:p w14:paraId="5621A529"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3 et plus</w:t>
            </w:r>
          </w:p>
          <w:p w14:paraId="63C9FAD2" w14:textId="77777777" w:rsidR="003D69A8" w:rsidRPr="005E1EA7" w:rsidRDefault="003D69A8" w:rsidP="006365F0">
            <w:pPr>
              <w:jc w:val="center"/>
              <w:rPr>
                <w:rFonts w:ascii="Tahoma" w:hAnsi="Tahoma" w:cs="Tahoma"/>
                <w:sz w:val="20"/>
                <w:szCs w:val="20"/>
              </w:rPr>
            </w:pPr>
            <w:proofErr w:type="gramStart"/>
            <w:r w:rsidRPr="005E1EA7">
              <w:rPr>
                <w:rFonts w:ascii="Tahoma" w:hAnsi="Tahoma" w:cs="Tahoma"/>
                <w:sz w:val="20"/>
                <w:szCs w:val="20"/>
              </w:rPr>
              <w:t>de</w:t>
            </w:r>
            <w:proofErr w:type="gramEnd"/>
            <w:r w:rsidRPr="005E1EA7">
              <w:rPr>
                <w:rFonts w:ascii="Tahoma" w:hAnsi="Tahoma" w:cs="Tahoma"/>
                <w:sz w:val="20"/>
                <w:szCs w:val="20"/>
              </w:rPr>
              <w:t xml:space="preserve"> 2 à 3</w:t>
            </w:r>
          </w:p>
          <w:p w14:paraId="56A83DD4" w14:textId="77777777" w:rsidR="003D69A8" w:rsidRPr="005E1EA7" w:rsidRDefault="003D69A8" w:rsidP="006365F0">
            <w:pPr>
              <w:jc w:val="center"/>
              <w:rPr>
                <w:rFonts w:ascii="Tahoma" w:hAnsi="Tahoma" w:cs="Tahoma"/>
                <w:sz w:val="20"/>
                <w:szCs w:val="20"/>
              </w:rPr>
            </w:pPr>
            <w:proofErr w:type="gramStart"/>
            <w:r w:rsidRPr="005E1EA7">
              <w:rPr>
                <w:rFonts w:ascii="Tahoma" w:hAnsi="Tahoma" w:cs="Tahoma"/>
                <w:sz w:val="20"/>
                <w:szCs w:val="20"/>
              </w:rPr>
              <w:t>de</w:t>
            </w:r>
            <w:proofErr w:type="gramEnd"/>
            <w:r w:rsidRPr="005E1EA7">
              <w:rPr>
                <w:rFonts w:ascii="Tahoma" w:hAnsi="Tahoma" w:cs="Tahoma"/>
                <w:sz w:val="20"/>
                <w:szCs w:val="20"/>
              </w:rPr>
              <w:t xml:space="preserve"> 1 à 2</w:t>
            </w:r>
          </w:p>
          <w:p w14:paraId="0F58CB4E"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de 0,5 à 1</w:t>
            </w:r>
          </w:p>
        </w:tc>
        <w:tc>
          <w:tcPr>
            <w:tcW w:w="1980" w:type="dxa"/>
            <w:tcBorders>
              <w:top w:val="single" w:sz="4" w:space="0" w:color="auto"/>
              <w:left w:val="single" w:sz="4" w:space="0" w:color="auto"/>
              <w:bottom w:val="single" w:sz="4" w:space="0" w:color="auto"/>
              <w:right w:val="single" w:sz="4" w:space="0" w:color="auto"/>
            </w:tcBorders>
          </w:tcPr>
          <w:p w14:paraId="5C7C2848" w14:textId="77777777" w:rsidR="003D69A8" w:rsidRPr="005E1EA7" w:rsidRDefault="003D69A8" w:rsidP="006365F0">
            <w:pPr>
              <w:jc w:val="center"/>
              <w:rPr>
                <w:rFonts w:ascii="Tahoma" w:hAnsi="Tahoma" w:cs="Tahoma"/>
                <w:sz w:val="20"/>
                <w:szCs w:val="20"/>
              </w:rPr>
            </w:pPr>
          </w:p>
        </w:tc>
        <w:tc>
          <w:tcPr>
            <w:tcW w:w="2160" w:type="dxa"/>
            <w:tcBorders>
              <w:top w:val="single" w:sz="4" w:space="0" w:color="auto"/>
              <w:left w:val="single" w:sz="4" w:space="0" w:color="auto"/>
              <w:bottom w:val="single" w:sz="4" w:space="0" w:color="auto"/>
              <w:right w:val="single" w:sz="4" w:space="0" w:color="auto"/>
            </w:tcBorders>
          </w:tcPr>
          <w:p w14:paraId="22222DCC" w14:textId="77777777" w:rsidR="003D69A8" w:rsidRPr="005E1EA7" w:rsidRDefault="003D69A8" w:rsidP="006365F0">
            <w:pPr>
              <w:jc w:val="center"/>
              <w:rPr>
                <w:rFonts w:ascii="Tahoma" w:hAnsi="Tahoma" w:cs="Tahoma"/>
                <w:sz w:val="20"/>
                <w:szCs w:val="20"/>
              </w:rPr>
            </w:pPr>
          </w:p>
        </w:tc>
        <w:tc>
          <w:tcPr>
            <w:tcW w:w="1620" w:type="dxa"/>
            <w:tcBorders>
              <w:top w:val="single" w:sz="4" w:space="0" w:color="auto"/>
              <w:left w:val="single" w:sz="4" w:space="0" w:color="auto"/>
              <w:bottom w:val="single" w:sz="4" w:space="0" w:color="auto"/>
              <w:right w:val="single" w:sz="4" w:space="0" w:color="auto"/>
            </w:tcBorders>
          </w:tcPr>
          <w:p w14:paraId="1443A435" w14:textId="77777777" w:rsidR="003D69A8" w:rsidRPr="005E1EA7" w:rsidRDefault="003D69A8" w:rsidP="006365F0">
            <w:pPr>
              <w:jc w:val="center"/>
              <w:rPr>
                <w:rFonts w:ascii="Tahoma" w:hAnsi="Tahoma" w:cs="Tahoma"/>
                <w:sz w:val="20"/>
                <w:szCs w:val="20"/>
              </w:rPr>
            </w:pPr>
          </w:p>
          <w:p w14:paraId="01FF4878"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w:t>
            </w:r>
          </w:p>
        </w:tc>
      </w:tr>
    </w:tbl>
    <w:p w14:paraId="446203BD" w14:textId="77777777" w:rsidR="003D69A8" w:rsidRPr="005E1EA7" w:rsidRDefault="003D69A8" w:rsidP="003D69A8">
      <w:pPr>
        <w:pStyle w:val="Default"/>
        <w:rPr>
          <w:rFonts w:ascii="Tahoma" w:hAnsi="Tahoma" w:cs="Tahoma"/>
          <w:color w:val="auto"/>
          <w:sz w:val="20"/>
          <w:szCs w:val="20"/>
        </w:rPr>
      </w:pPr>
    </w:p>
    <w:p w14:paraId="7F3650D5" w14:textId="77777777" w:rsidR="003D69A8" w:rsidRPr="005E1EA7" w:rsidRDefault="003D69A8" w:rsidP="003D69A8">
      <w:pPr>
        <w:pStyle w:val="Default"/>
        <w:rPr>
          <w:rFonts w:ascii="Tahoma" w:hAnsi="Tahoma" w:cs="Tahoma"/>
          <w:color w:val="auto"/>
          <w:sz w:val="20"/>
          <w:szCs w:val="20"/>
        </w:rPr>
      </w:pPr>
    </w:p>
    <w:tbl>
      <w:tblPr>
        <w:tblW w:w="13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2"/>
        <w:gridCol w:w="1280"/>
        <w:gridCol w:w="2275"/>
        <w:gridCol w:w="2273"/>
        <w:gridCol w:w="2728"/>
        <w:gridCol w:w="1620"/>
      </w:tblGrid>
      <w:tr w:rsidR="003D69A8" w:rsidRPr="005E1EA7" w14:paraId="24885132" w14:textId="77777777" w:rsidTr="006365F0">
        <w:trPr>
          <w:trHeight w:val="454"/>
        </w:trPr>
        <w:tc>
          <w:tcPr>
            <w:tcW w:w="8900" w:type="dxa"/>
            <w:gridSpan w:val="4"/>
            <w:vAlign w:val="center"/>
          </w:tcPr>
          <w:p w14:paraId="61C80026"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Barème de calibrage</w:t>
            </w:r>
          </w:p>
        </w:tc>
        <w:tc>
          <w:tcPr>
            <w:tcW w:w="4348" w:type="dxa"/>
            <w:gridSpan w:val="2"/>
            <w:vAlign w:val="center"/>
          </w:tcPr>
          <w:p w14:paraId="50BAACE9"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 xml:space="preserve">Tailles minimales à respecter </w:t>
            </w:r>
          </w:p>
        </w:tc>
      </w:tr>
      <w:tr w:rsidR="003D69A8" w:rsidRPr="005E1EA7" w14:paraId="61AE3D4C" w14:textId="77777777" w:rsidTr="006365F0">
        <w:trPr>
          <w:cantSplit/>
          <w:trHeight w:val="365"/>
        </w:trPr>
        <w:tc>
          <w:tcPr>
            <w:tcW w:w="3072" w:type="dxa"/>
            <w:vAlign w:val="center"/>
          </w:tcPr>
          <w:p w14:paraId="1C9FA9E2" w14:textId="77777777" w:rsidR="003D69A8" w:rsidRPr="005E1EA7" w:rsidRDefault="003D69A8" w:rsidP="006365F0">
            <w:pPr>
              <w:rPr>
                <w:rFonts w:ascii="Tahoma" w:hAnsi="Tahoma" w:cs="Tahoma"/>
                <w:sz w:val="20"/>
                <w:szCs w:val="20"/>
              </w:rPr>
            </w:pPr>
            <w:r w:rsidRPr="005E1EA7">
              <w:rPr>
                <w:rFonts w:ascii="Tahoma" w:hAnsi="Tahoma" w:cs="Tahoma"/>
                <w:sz w:val="20"/>
                <w:szCs w:val="20"/>
              </w:rPr>
              <w:t>Espèce</w:t>
            </w:r>
          </w:p>
        </w:tc>
        <w:tc>
          <w:tcPr>
            <w:tcW w:w="1280" w:type="dxa"/>
            <w:vAlign w:val="center"/>
          </w:tcPr>
          <w:p w14:paraId="3444F7DA"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Taille</w:t>
            </w:r>
          </w:p>
        </w:tc>
        <w:tc>
          <w:tcPr>
            <w:tcW w:w="2275" w:type="dxa"/>
            <w:vAlign w:val="center"/>
          </w:tcPr>
          <w:p w14:paraId="54E53B3D"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Kg/poisson (1 )</w:t>
            </w:r>
          </w:p>
        </w:tc>
        <w:tc>
          <w:tcPr>
            <w:tcW w:w="2273" w:type="dxa"/>
            <w:vAlign w:val="center"/>
          </w:tcPr>
          <w:p w14:paraId="791E7337"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Nombre de pièces/kg (2)</w:t>
            </w:r>
          </w:p>
        </w:tc>
        <w:tc>
          <w:tcPr>
            <w:tcW w:w="2728" w:type="dxa"/>
            <w:vAlign w:val="center"/>
          </w:tcPr>
          <w:p w14:paraId="2036FFF1"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Zone géographique</w:t>
            </w:r>
          </w:p>
        </w:tc>
        <w:tc>
          <w:tcPr>
            <w:tcW w:w="1620" w:type="dxa"/>
            <w:vAlign w:val="center"/>
          </w:tcPr>
          <w:p w14:paraId="790576DF"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Taille minimale</w:t>
            </w:r>
          </w:p>
        </w:tc>
      </w:tr>
      <w:tr w:rsidR="003D69A8" w:rsidRPr="005E1EA7" w14:paraId="4D623F6B" w14:textId="77777777" w:rsidTr="006365F0">
        <w:trPr>
          <w:cantSplit/>
          <w:trHeight w:val="753"/>
        </w:trPr>
        <w:tc>
          <w:tcPr>
            <w:tcW w:w="3072" w:type="dxa"/>
            <w:vAlign w:val="center"/>
          </w:tcPr>
          <w:p w14:paraId="74728936" w14:textId="77777777" w:rsidR="003D69A8" w:rsidRPr="005E1EA7" w:rsidRDefault="003D69A8" w:rsidP="006365F0">
            <w:pPr>
              <w:rPr>
                <w:rFonts w:ascii="Tahoma" w:hAnsi="Tahoma" w:cs="Tahoma"/>
                <w:sz w:val="20"/>
                <w:szCs w:val="20"/>
              </w:rPr>
            </w:pPr>
            <w:r w:rsidRPr="005E1EA7">
              <w:rPr>
                <w:rFonts w:ascii="Tahoma" w:hAnsi="Tahoma" w:cs="Tahoma"/>
                <w:sz w:val="20"/>
                <w:szCs w:val="20"/>
              </w:rPr>
              <w:t>Sabre noir</w:t>
            </w:r>
          </w:p>
          <w:p w14:paraId="6906DF71" w14:textId="77777777" w:rsidR="003D69A8" w:rsidRPr="005E1EA7" w:rsidRDefault="003D69A8" w:rsidP="006365F0">
            <w:pPr>
              <w:rPr>
                <w:rFonts w:ascii="Tahoma" w:hAnsi="Tahoma" w:cs="Tahoma"/>
                <w:sz w:val="20"/>
                <w:szCs w:val="20"/>
              </w:rPr>
            </w:pPr>
            <w:r w:rsidRPr="005E1EA7">
              <w:rPr>
                <w:rFonts w:ascii="Tahoma" w:hAnsi="Tahoma" w:cs="Tahoma"/>
                <w:i/>
                <w:iCs/>
                <w:sz w:val="20"/>
                <w:szCs w:val="20"/>
              </w:rPr>
              <w:t>(Aphanopu</w:t>
            </w:r>
            <w:r w:rsidRPr="005E1EA7">
              <w:rPr>
                <w:rFonts w:ascii="Tahoma" w:hAnsi="Tahoma" w:cs="Tahoma"/>
                <w:sz w:val="20"/>
                <w:szCs w:val="20"/>
              </w:rPr>
              <w:t xml:space="preserve">s </w:t>
            </w:r>
            <w:r w:rsidRPr="005E1EA7">
              <w:rPr>
                <w:rFonts w:ascii="Tahoma" w:hAnsi="Tahoma" w:cs="Tahoma"/>
                <w:i/>
                <w:iCs/>
                <w:sz w:val="20"/>
                <w:szCs w:val="20"/>
              </w:rPr>
              <w:t>carbo</w:t>
            </w:r>
            <w:r w:rsidRPr="005E1EA7">
              <w:rPr>
                <w:rFonts w:ascii="Tahoma" w:hAnsi="Tahoma" w:cs="Tahoma"/>
                <w:sz w:val="20"/>
                <w:szCs w:val="20"/>
              </w:rPr>
              <w:t xml:space="preserve">) </w:t>
            </w:r>
          </w:p>
        </w:tc>
        <w:tc>
          <w:tcPr>
            <w:tcW w:w="1280" w:type="dxa"/>
            <w:vAlign w:val="center"/>
          </w:tcPr>
          <w:p w14:paraId="47B6D16F"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1</w:t>
            </w:r>
          </w:p>
          <w:p w14:paraId="4B8D71EE"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 xml:space="preserve"> 2</w:t>
            </w:r>
          </w:p>
        </w:tc>
        <w:tc>
          <w:tcPr>
            <w:tcW w:w="2275" w:type="dxa"/>
            <w:vAlign w:val="center"/>
          </w:tcPr>
          <w:p w14:paraId="0C5892CD"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3 et plus</w:t>
            </w:r>
          </w:p>
          <w:p w14:paraId="3D04860F"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 xml:space="preserve"> de 0,5 à 3</w:t>
            </w:r>
          </w:p>
        </w:tc>
        <w:tc>
          <w:tcPr>
            <w:tcW w:w="2273" w:type="dxa"/>
            <w:vAlign w:val="center"/>
          </w:tcPr>
          <w:p w14:paraId="7197C124"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w:t>
            </w:r>
          </w:p>
        </w:tc>
        <w:tc>
          <w:tcPr>
            <w:tcW w:w="2728" w:type="dxa"/>
          </w:tcPr>
          <w:p w14:paraId="65D97E28" w14:textId="77777777" w:rsidR="003D69A8" w:rsidRPr="005E1EA7" w:rsidRDefault="003D69A8" w:rsidP="006365F0">
            <w:pPr>
              <w:jc w:val="center"/>
              <w:rPr>
                <w:rFonts w:ascii="Tahoma" w:hAnsi="Tahoma" w:cs="Tahoma"/>
                <w:sz w:val="20"/>
                <w:szCs w:val="20"/>
              </w:rPr>
            </w:pPr>
          </w:p>
        </w:tc>
        <w:tc>
          <w:tcPr>
            <w:tcW w:w="1620" w:type="dxa"/>
            <w:vAlign w:val="center"/>
          </w:tcPr>
          <w:p w14:paraId="63C9BCF0"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w:t>
            </w:r>
          </w:p>
        </w:tc>
      </w:tr>
      <w:tr w:rsidR="003D69A8" w:rsidRPr="005E1EA7" w14:paraId="5337266C" w14:textId="77777777" w:rsidTr="006365F0">
        <w:trPr>
          <w:cantSplit/>
          <w:trHeight w:val="1069"/>
        </w:trPr>
        <w:tc>
          <w:tcPr>
            <w:tcW w:w="3072" w:type="dxa"/>
          </w:tcPr>
          <w:p w14:paraId="4D27CBDB" w14:textId="77777777" w:rsidR="003D69A8" w:rsidRPr="005E1EA7" w:rsidRDefault="003D69A8" w:rsidP="006365F0">
            <w:pPr>
              <w:rPr>
                <w:rFonts w:ascii="Tahoma" w:hAnsi="Tahoma" w:cs="Tahoma"/>
                <w:sz w:val="20"/>
                <w:szCs w:val="20"/>
              </w:rPr>
            </w:pPr>
          </w:p>
          <w:p w14:paraId="0AC45E30" w14:textId="77777777" w:rsidR="003D69A8" w:rsidRPr="005E1EA7" w:rsidRDefault="003D69A8" w:rsidP="006365F0">
            <w:pPr>
              <w:rPr>
                <w:rFonts w:ascii="Tahoma" w:hAnsi="Tahoma" w:cs="Tahoma"/>
                <w:sz w:val="20"/>
                <w:szCs w:val="20"/>
              </w:rPr>
            </w:pPr>
            <w:r w:rsidRPr="005E1EA7">
              <w:rPr>
                <w:rFonts w:ascii="Tahoma" w:hAnsi="Tahoma" w:cs="Tahoma"/>
                <w:sz w:val="20"/>
                <w:szCs w:val="20"/>
              </w:rPr>
              <w:t>Seiche</w:t>
            </w:r>
          </w:p>
          <w:p w14:paraId="2A5E11CF" w14:textId="77777777" w:rsidR="003D69A8" w:rsidRPr="005E1EA7" w:rsidRDefault="003D69A8" w:rsidP="006365F0">
            <w:pPr>
              <w:rPr>
                <w:rFonts w:ascii="Tahoma" w:hAnsi="Tahoma" w:cs="Tahoma"/>
                <w:sz w:val="20"/>
                <w:szCs w:val="20"/>
              </w:rPr>
            </w:pPr>
            <w:r w:rsidRPr="005E1EA7">
              <w:rPr>
                <w:rFonts w:ascii="Tahoma" w:hAnsi="Tahoma" w:cs="Tahoma"/>
                <w:i/>
                <w:iCs/>
                <w:sz w:val="20"/>
                <w:szCs w:val="20"/>
              </w:rPr>
              <w:t>(Sepi</w:t>
            </w:r>
            <w:r w:rsidRPr="005E1EA7">
              <w:rPr>
                <w:rFonts w:ascii="Tahoma" w:hAnsi="Tahoma" w:cs="Tahoma"/>
                <w:sz w:val="20"/>
                <w:szCs w:val="20"/>
              </w:rPr>
              <w:t xml:space="preserve">a </w:t>
            </w:r>
            <w:r w:rsidRPr="005E1EA7">
              <w:rPr>
                <w:rFonts w:ascii="Tahoma" w:hAnsi="Tahoma" w:cs="Tahoma"/>
                <w:i/>
                <w:iCs/>
                <w:sz w:val="20"/>
                <w:szCs w:val="20"/>
              </w:rPr>
              <w:t>officinali</w:t>
            </w:r>
            <w:r w:rsidRPr="005E1EA7">
              <w:rPr>
                <w:rFonts w:ascii="Tahoma" w:hAnsi="Tahoma" w:cs="Tahoma"/>
                <w:sz w:val="20"/>
                <w:szCs w:val="20"/>
              </w:rPr>
              <w:t xml:space="preserve">s et </w:t>
            </w:r>
            <w:r w:rsidRPr="005E1EA7">
              <w:rPr>
                <w:rFonts w:ascii="Tahoma" w:hAnsi="Tahoma" w:cs="Tahoma"/>
                <w:i/>
                <w:iCs/>
                <w:sz w:val="20"/>
                <w:szCs w:val="20"/>
              </w:rPr>
              <w:t>Rossi</w:t>
            </w:r>
            <w:r w:rsidRPr="005E1EA7">
              <w:rPr>
                <w:rFonts w:ascii="Tahoma" w:hAnsi="Tahoma" w:cs="Tahoma"/>
                <w:sz w:val="20"/>
                <w:szCs w:val="20"/>
              </w:rPr>
              <w:t xml:space="preserve">a </w:t>
            </w:r>
            <w:r w:rsidRPr="005E1EA7">
              <w:rPr>
                <w:rFonts w:ascii="Tahoma" w:hAnsi="Tahoma" w:cs="Tahoma"/>
                <w:i/>
                <w:iCs/>
                <w:sz w:val="20"/>
                <w:szCs w:val="20"/>
              </w:rPr>
              <w:t>macrosoma</w:t>
            </w:r>
            <w:r w:rsidRPr="005E1EA7">
              <w:rPr>
                <w:rFonts w:ascii="Tahoma" w:hAnsi="Tahoma" w:cs="Tahoma"/>
                <w:sz w:val="20"/>
                <w:szCs w:val="20"/>
              </w:rPr>
              <w:t xml:space="preserve">) </w:t>
            </w:r>
          </w:p>
        </w:tc>
        <w:tc>
          <w:tcPr>
            <w:tcW w:w="1280" w:type="dxa"/>
            <w:vAlign w:val="center"/>
          </w:tcPr>
          <w:p w14:paraId="75DDF8C7"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1</w:t>
            </w:r>
          </w:p>
          <w:p w14:paraId="5F9DEE8A"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 xml:space="preserve">2 </w:t>
            </w:r>
          </w:p>
          <w:p w14:paraId="48D514E6"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3</w:t>
            </w:r>
          </w:p>
        </w:tc>
        <w:tc>
          <w:tcPr>
            <w:tcW w:w="2275" w:type="dxa"/>
            <w:vAlign w:val="center"/>
          </w:tcPr>
          <w:p w14:paraId="318FA38E"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 xml:space="preserve">0,5 et plus </w:t>
            </w:r>
          </w:p>
          <w:p w14:paraId="6E825CEB" w14:textId="77777777" w:rsidR="003D69A8" w:rsidRPr="005E1EA7" w:rsidRDefault="003D69A8" w:rsidP="006365F0">
            <w:pPr>
              <w:jc w:val="center"/>
              <w:rPr>
                <w:rFonts w:ascii="Tahoma" w:hAnsi="Tahoma" w:cs="Tahoma"/>
                <w:sz w:val="20"/>
                <w:szCs w:val="20"/>
              </w:rPr>
            </w:pPr>
            <w:proofErr w:type="gramStart"/>
            <w:r w:rsidRPr="005E1EA7">
              <w:rPr>
                <w:rFonts w:ascii="Tahoma" w:hAnsi="Tahoma" w:cs="Tahoma"/>
                <w:sz w:val="20"/>
                <w:szCs w:val="20"/>
              </w:rPr>
              <w:t>de</w:t>
            </w:r>
            <w:proofErr w:type="gramEnd"/>
            <w:r w:rsidRPr="005E1EA7">
              <w:rPr>
                <w:rFonts w:ascii="Tahoma" w:hAnsi="Tahoma" w:cs="Tahoma"/>
                <w:sz w:val="20"/>
                <w:szCs w:val="20"/>
              </w:rPr>
              <w:t xml:space="preserve"> 0,3 à 0,5d</w:t>
            </w:r>
          </w:p>
          <w:p w14:paraId="1A339783"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e 0,1 à 0,3</w:t>
            </w:r>
          </w:p>
        </w:tc>
        <w:tc>
          <w:tcPr>
            <w:tcW w:w="2273" w:type="dxa"/>
          </w:tcPr>
          <w:p w14:paraId="484844E5" w14:textId="77777777" w:rsidR="003D69A8" w:rsidRPr="005E1EA7" w:rsidRDefault="003D69A8" w:rsidP="006365F0">
            <w:pPr>
              <w:jc w:val="center"/>
              <w:rPr>
                <w:rFonts w:ascii="Tahoma" w:hAnsi="Tahoma" w:cs="Tahoma"/>
                <w:sz w:val="20"/>
                <w:szCs w:val="20"/>
              </w:rPr>
            </w:pPr>
          </w:p>
          <w:p w14:paraId="1787E9E6" w14:textId="77777777" w:rsidR="003D69A8" w:rsidRPr="005E1EA7" w:rsidRDefault="003D69A8" w:rsidP="006365F0">
            <w:pPr>
              <w:jc w:val="center"/>
              <w:rPr>
                <w:rFonts w:ascii="Tahoma" w:hAnsi="Tahoma" w:cs="Tahoma"/>
                <w:sz w:val="20"/>
                <w:szCs w:val="20"/>
              </w:rPr>
            </w:pPr>
          </w:p>
          <w:p w14:paraId="5424D4D3"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w:t>
            </w:r>
          </w:p>
        </w:tc>
        <w:tc>
          <w:tcPr>
            <w:tcW w:w="2728" w:type="dxa"/>
          </w:tcPr>
          <w:p w14:paraId="24058C4E" w14:textId="77777777" w:rsidR="003D69A8" w:rsidRPr="005E1EA7" w:rsidRDefault="003D69A8" w:rsidP="006365F0">
            <w:pPr>
              <w:jc w:val="center"/>
              <w:rPr>
                <w:rFonts w:ascii="Tahoma" w:hAnsi="Tahoma" w:cs="Tahoma"/>
                <w:sz w:val="20"/>
                <w:szCs w:val="20"/>
              </w:rPr>
            </w:pPr>
          </w:p>
        </w:tc>
        <w:tc>
          <w:tcPr>
            <w:tcW w:w="1620" w:type="dxa"/>
          </w:tcPr>
          <w:p w14:paraId="03E44429" w14:textId="77777777" w:rsidR="003D69A8" w:rsidRPr="005E1EA7" w:rsidRDefault="003D69A8" w:rsidP="006365F0">
            <w:pPr>
              <w:jc w:val="center"/>
              <w:rPr>
                <w:rFonts w:ascii="Tahoma" w:hAnsi="Tahoma" w:cs="Tahoma"/>
                <w:sz w:val="20"/>
                <w:szCs w:val="20"/>
              </w:rPr>
            </w:pPr>
          </w:p>
          <w:p w14:paraId="671798BB" w14:textId="77777777" w:rsidR="003D69A8" w:rsidRPr="005E1EA7" w:rsidRDefault="003D69A8" w:rsidP="006365F0">
            <w:pPr>
              <w:jc w:val="center"/>
              <w:rPr>
                <w:rFonts w:ascii="Tahoma" w:hAnsi="Tahoma" w:cs="Tahoma"/>
                <w:sz w:val="20"/>
                <w:szCs w:val="20"/>
              </w:rPr>
            </w:pPr>
          </w:p>
          <w:p w14:paraId="0F4B34D9"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w:t>
            </w:r>
          </w:p>
        </w:tc>
      </w:tr>
      <w:tr w:rsidR="003D69A8" w:rsidRPr="005E1EA7" w14:paraId="7B63E36D" w14:textId="77777777" w:rsidTr="006365F0">
        <w:trPr>
          <w:cantSplit/>
          <w:trHeight w:val="1123"/>
        </w:trPr>
        <w:tc>
          <w:tcPr>
            <w:tcW w:w="3072" w:type="dxa"/>
            <w:vAlign w:val="center"/>
          </w:tcPr>
          <w:p w14:paraId="05C9E2EA" w14:textId="77777777" w:rsidR="003D69A8" w:rsidRPr="005E1EA7" w:rsidRDefault="003D69A8" w:rsidP="006365F0">
            <w:pPr>
              <w:rPr>
                <w:rFonts w:ascii="Tahoma" w:hAnsi="Tahoma" w:cs="Tahoma"/>
                <w:sz w:val="20"/>
                <w:szCs w:val="20"/>
              </w:rPr>
            </w:pPr>
            <w:r w:rsidRPr="005E1EA7">
              <w:rPr>
                <w:rFonts w:ascii="Tahoma" w:hAnsi="Tahoma" w:cs="Tahoma"/>
                <w:sz w:val="20"/>
                <w:szCs w:val="20"/>
              </w:rPr>
              <w:t xml:space="preserve">Rouget de roche ou rouget barbet </w:t>
            </w:r>
            <w:r w:rsidRPr="005E1EA7">
              <w:rPr>
                <w:rFonts w:ascii="Tahoma" w:hAnsi="Tahoma" w:cs="Tahoma"/>
                <w:i/>
                <w:iCs/>
                <w:sz w:val="20"/>
                <w:szCs w:val="20"/>
              </w:rPr>
              <w:t>(Mullu</w:t>
            </w:r>
            <w:r w:rsidRPr="005E1EA7">
              <w:rPr>
                <w:rFonts w:ascii="Tahoma" w:hAnsi="Tahoma" w:cs="Tahoma"/>
                <w:sz w:val="20"/>
                <w:szCs w:val="20"/>
              </w:rPr>
              <w:t xml:space="preserve">s </w:t>
            </w:r>
            <w:r w:rsidRPr="005E1EA7">
              <w:rPr>
                <w:rFonts w:ascii="Tahoma" w:hAnsi="Tahoma" w:cs="Tahoma"/>
                <w:i/>
                <w:iCs/>
                <w:sz w:val="20"/>
                <w:szCs w:val="20"/>
              </w:rPr>
              <w:t>surmuletu</w:t>
            </w:r>
            <w:r w:rsidRPr="005E1EA7">
              <w:rPr>
                <w:rFonts w:ascii="Tahoma" w:hAnsi="Tahoma" w:cs="Tahoma"/>
                <w:sz w:val="20"/>
                <w:szCs w:val="20"/>
              </w:rPr>
              <w:t xml:space="preserve">s et </w:t>
            </w:r>
            <w:r w:rsidRPr="005E1EA7">
              <w:rPr>
                <w:rFonts w:ascii="Tahoma" w:hAnsi="Tahoma" w:cs="Tahoma"/>
                <w:i/>
                <w:iCs/>
                <w:sz w:val="20"/>
                <w:szCs w:val="20"/>
              </w:rPr>
              <w:t>Mullu</w:t>
            </w:r>
            <w:r w:rsidRPr="005E1EA7">
              <w:rPr>
                <w:rFonts w:ascii="Tahoma" w:hAnsi="Tahoma" w:cs="Tahoma"/>
                <w:sz w:val="20"/>
                <w:szCs w:val="20"/>
              </w:rPr>
              <w:t xml:space="preserve">s </w:t>
            </w:r>
            <w:r w:rsidRPr="005E1EA7">
              <w:rPr>
                <w:rFonts w:ascii="Tahoma" w:hAnsi="Tahoma" w:cs="Tahoma"/>
                <w:i/>
                <w:iCs/>
                <w:sz w:val="20"/>
                <w:szCs w:val="20"/>
              </w:rPr>
              <w:t>Barbatus</w:t>
            </w:r>
            <w:r w:rsidRPr="005E1EA7">
              <w:rPr>
                <w:rFonts w:ascii="Tahoma" w:hAnsi="Tahoma" w:cs="Tahoma"/>
                <w:sz w:val="20"/>
                <w:szCs w:val="20"/>
              </w:rPr>
              <w:t xml:space="preserve">) </w:t>
            </w:r>
          </w:p>
        </w:tc>
        <w:tc>
          <w:tcPr>
            <w:tcW w:w="1280" w:type="dxa"/>
            <w:vAlign w:val="center"/>
          </w:tcPr>
          <w:p w14:paraId="2D12F124"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3</w:t>
            </w:r>
          </w:p>
        </w:tc>
        <w:tc>
          <w:tcPr>
            <w:tcW w:w="2275" w:type="dxa"/>
            <w:vAlign w:val="center"/>
          </w:tcPr>
          <w:p w14:paraId="4AB9CC84"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18 à 200 g exclus</w:t>
            </w:r>
          </w:p>
        </w:tc>
        <w:tc>
          <w:tcPr>
            <w:tcW w:w="2273" w:type="dxa"/>
          </w:tcPr>
          <w:p w14:paraId="54E7C702" w14:textId="77777777" w:rsidR="003D69A8" w:rsidRPr="005E1EA7" w:rsidRDefault="003D69A8" w:rsidP="006365F0">
            <w:pPr>
              <w:jc w:val="center"/>
              <w:rPr>
                <w:rFonts w:ascii="Tahoma" w:hAnsi="Tahoma" w:cs="Tahoma"/>
                <w:sz w:val="20"/>
                <w:szCs w:val="20"/>
              </w:rPr>
            </w:pPr>
          </w:p>
        </w:tc>
        <w:tc>
          <w:tcPr>
            <w:tcW w:w="2728" w:type="dxa"/>
          </w:tcPr>
          <w:p w14:paraId="5ACA7682" w14:textId="77777777" w:rsidR="003D69A8" w:rsidRPr="005E1EA7" w:rsidRDefault="003D69A8" w:rsidP="006365F0">
            <w:pPr>
              <w:jc w:val="center"/>
              <w:rPr>
                <w:rFonts w:ascii="Tahoma" w:hAnsi="Tahoma" w:cs="Tahoma"/>
                <w:sz w:val="20"/>
                <w:szCs w:val="20"/>
              </w:rPr>
            </w:pPr>
          </w:p>
        </w:tc>
        <w:tc>
          <w:tcPr>
            <w:tcW w:w="1620" w:type="dxa"/>
            <w:vAlign w:val="bottom"/>
          </w:tcPr>
          <w:p w14:paraId="243150D0"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11 cm</w:t>
            </w:r>
          </w:p>
          <w:p w14:paraId="12F61182" w14:textId="77777777" w:rsidR="003D69A8" w:rsidRPr="005E1EA7" w:rsidRDefault="003D69A8" w:rsidP="006365F0">
            <w:pPr>
              <w:jc w:val="center"/>
              <w:rPr>
                <w:rFonts w:ascii="Tahoma" w:hAnsi="Tahoma" w:cs="Tahoma"/>
                <w:sz w:val="20"/>
                <w:szCs w:val="20"/>
              </w:rPr>
            </w:pPr>
          </w:p>
          <w:p w14:paraId="050A68D2" w14:textId="77777777" w:rsidR="003D69A8" w:rsidRPr="005E1EA7" w:rsidRDefault="003D69A8" w:rsidP="006365F0">
            <w:pPr>
              <w:jc w:val="center"/>
              <w:rPr>
                <w:rFonts w:ascii="Tahoma" w:hAnsi="Tahoma" w:cs="Tahoma"/>
                <w:sz w:val="20"/>
                <w:szCs w:val="20"/>
              </w:rPr>
            </w:pPr>
          </w:p>
        </w:tc>
      </w:tr>
      <w:tr w:rsidR="003D69A8" w:rsidRPr="005E1EA7" w14:paraId="7EF97C94" w14:textId="77777777" w:rsidTr="006365F0">
        <w:trPr>
          <w:cantSplit/>
          <w:trHeight w:val="1125"/>
        </w:trPr>
        <w:tc>
          <w:tcPr>
            <w:tcW w:w="3072" w:type="dxa"/>
          </w:tcPr>
          <w:p w14:paraId="4218D411" w14:textId="77777777" w:rsidR="003D69A8" w:rsidRPr="005E1EA7" w:rsidRDefault="003D69A8" w:rsidP="006365F0">
            <w:pPr>
              <w:rPr>
                <w:rFonts w:ascii="Tahoma" w:hAnsi="Tahoma" w:cs="Tahoma"/>
                <w:sz w:val="20"/>
                <w:szCs w:val="20"/>
              </w:rPr>
            </w:pPr>
          </w:p>
          <w:p w14:paraId="4D8C7999" w14:textId="77777777" w:rsidR="003D69A8" w:rsidRPr="005E1EA7" w:rsidRDefault="003D69A8" w:rsidP="006365F0">
            <w:pPr>
              <w:rPr>
                <w:rFonts w:ascii="Tahoma" w:hAnsi="Tahoma" w:cs="Tahoma"/>
                <w:sz w:val="20"/>
                <w:szCs w:val="20"/>
              </w:rPr>
            </w:pPr>
            <w:r w:rsidRPr="005E1EA7">
              <w:rPr>
                <w:rFonts w:ascii="Tahoma" w:hAnsi="Tahoma" w:cs="Tahoma"/>
                <w:sz w:val="20"/>
                <w:szCs w:val="20"/>
              </w:rPr>
              <w:t>Dorade grise</w:t>
            </w:r>
          </w:p>
          <w:p w14:paraId="2121D23A" w14:textId="77777777" w:rsidR="003D69A8" w:rsidRPr="005E1EA7" w:rsidRDefault="003D69A8" w:rsidP="006365F0">
            <w:pPr>
              <w:rPr>
                <w:rFonts w:ascii="Tahoma" w:hAnsi="Tahoma" w:cs="Tahoma"/>
                <w:sz w:val="20"/>
                <w:szCs w:val="20"/>
              </w:rPr>
            </w:pPr>
            <w:r w:rsidRPr="005E1EA7">
              <w:rPr>
                <w:rFonts w:ascii="Tahoma" w:hAnsi="Tahoma" w:cs="Tahoma"/>
                <w:i/>
                <w:iCs/>
                <w:sz w:val="20"/>
                <w:szCs w:val="20"/>
              </w:rPr>
              <w:t>(Spondyliosom</w:t>
            </w:r>
            <w:r w:rsidRPr="005E1EA7">
              <w:rPr>
                <w:rFonts w:ascii="Tahoma" w:hAnsi="Tahoma" w:cs="Tahoma"/>
                <w:sz w:val="20"/>
                <w:szCs w:val="20"/>
              </w:rPr>
              <w:t xml:space="preserve">a </w:t>
            </w:r>
            <w:r w:rsidRPr="005E1EA7">
              <w:rPr>
                <w:rFonts w:ascii="Tahoma" w:hAnsi="Tahoma" w:cs="Tahoma"/>
                <w:i/>
                <w:iCs/>
                <w:sz w:val="20"/>
                <w:szCs w:val="20"/>
              </w:rPr>
              <w:t>cantharus</w:t>
            </w:r>
            <w:r w:rsidRPr="005E1EA7">
              <w:rPr>
                <w:rFonts w:ascii="Tahoma" w:hAnsi="Tahoma" w:cs="Tahoma"/>
                <w:sz w:val="20"/>
                <w:szCs w:val="20"/>
              </w:rPr>
              <w:t xml:space="preserve">) </w:t>
            </w:r>
          </w:p>
        </w:tc>
        <w:tc>
          <w:tcPr>
            <w:tcW w:w="1280" w:type="dxa"/>
            <w:vAlign w:val="center"/>
          </w:tcPr>
          <w:p w14:paraId="298AC746"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1</w:t>
            </w:r>
          </w:p>
          <w:p w14:paraId="4C0B97DA"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2</w:t>
            </w:r>
          </w:p>
          <w:p w14:paraId="73CD74B6"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3</w:t>
            </w:r>
          </w:p>
          <w:p w14:paraId="2C036740"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4</w:t>
            </w:r>
          </w:p>
        </w:tc>
        <w:tc>
          <w:tcPr>
            <w:tcW w:w="2275" w:type="dxa"/>
            <w:vAlign w:val="center"/>
          </w:tcPr>
          <w:p w14:paraId="199CC2C4"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800 g et plus</w:t>
            </w:r>
          </w:p>
          <w:p w14:paraId="2DE89BBE"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500 à 800 g exclus</w:t>
            </w:r>
          </w:p>
          <w:p w14:paraId="4FAB86E3"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300 à 500 g exclus</w:t>
            </w:r>
          </w:p>
          <w:p w14:paraId="02629B85" w14:textId="77777777" w:rsidR="003D69A8" w:rsidRPr="005E1EA7" w:rsidRDefault="003D69A8" w:rsidP="006365F0">
            <w:pPr>
              <w:jc w:val="center"/>
              <w:rPr>
                <w:rFonts w:ascii="Tahoma" w:hAnsi="Tahoma" w:cs="Tahoma"/>
                <w:sz w:val="20"/>
                <w:szCs w:val="20"/>
              </w:rPr>
            </w:pPr>
            <w:r w:rsidRPr="005E1EA7">
              <w:rPr>
                <w:rFonts w:ascii="Tahoma" w:hAnsi="Tahoma" w:cs="Tahoma"/>
                <w:sz w:val="20"/>
                <w:szCs w:val="20"/>
              </w:rPr>
              <w:t>180 à 300 g exclus</w:t>
            </w:r>
          </w:p>
        </w:tc>
        <w:tc>
          <w:tcPr>
            <w:tcW w:w="2273" w:type="dxa"/>
          </w:tcPr>
          <w:p w14:paraId="1BF4E3C2" w14:textId="77777777" w:rsidR="003D69A8" w:rsidRPr="005E1EA7" w:rsidRDefault="003D69A8" w:rsidP="006365F0">
            <w:pPr>
              <w:jc w:val="center"/>
              <w:rPr>
                <w:rFonts w:ascii="Tahoma" w:hAnsi="Tahoma" w:cs="Tahoma"/>
                <w:sz w:val="20"/>
                <w:szCs w:val="20"/>
              </w:rPr>
            </w:pPr>
          </w:p>
        </w:tc>
        <w:tc>
          <w:tcPr>
            <w:tcW w:w="2728" w:type="dxa"/>
          </w:tcPr>
          <w:p w14:paraId="1CD243ED" w14:textId="77777777" w:rsidR="003D69A8" w:rsidRPr="005E1EA7" w:rsidRDefault="003D69A8" w:rsidP="006365F0">
            <w:pPr>
              <w:jc w:val="center"/>
              <w:rPr>
                <w:rFonts w:ascii="Tahoma" w:hAnsi="Tahoma" w:cs="Tahoma"/>
                <w:sz w:val="20"/>
                <w:szCs w:val="20"/>
              </w:rPr>
            </w:pPr>
          </w:p>
        </w:tc>
        <w:tc>
          <w:tcPr>
            <w:tcW w:w="1620" w:type="dxa"/>
          </w:tcPr>
          <w:p w14:paraId="4984994A" w14:textId="77777777" w:rsidR="003D69A8" w:rsidRPr="005E1EA7" w:rsidRDefault="003D69A8" w:rsidP="006365F0">
            <w:pPr>
              <w:jc w:val="center"/>
              <w:rPr>
                <w:rFonts w:ascii="Tahoma" w:hAnsi="Tahoma" w:cs="Tahoma"/>
                <w:sz w:val="20"/>
                <w:szCs w:val="20"/>
              </w:rPr>
            </w:pPr>
          </w:p>
        </w:tc>
      </w:tr>
    </w:tbl>
    <w:p w14:paraId="442D2BA8" w14:textId="77777777" w:rsidR="003D69A8" w:rsidRPr="005E1EA7" w:rsidRDefault="003D69A8" w:rsidP="003D69A8">
      <w:pPr>
        <w:rPr>
          <w:rFonts w:ascii="Tahoma" w:hAnsi="Tahoma" w:cs="Tahoma"/>
          <w:sz w:val="20"/>
          <w:szCs w:val="20"/>
        </w:rPr>
      </w:pPr>
    </w:p>
    <w:p w14:paraId="13F0A978" w14:textId="77777777" w:rsidR="003D69A8" w:rsidRPr="005E1EA7" w:rsidRDefault="003D69A8" w:rsidP="003D69A8">
      <w:pPr>
        <w:jc w:val="both"/>
        <w:rPr>
          <w:rFonts w:ascii="Tahoma" w:hAnsi="Tahoma" w:cs="Tahoma"/>
          <w:sz w:val="20"/>
          <w:szCs w:val="20"/>
        </w:rPr>
      </w:pPr>
    </w:p>
    <w:p w14:paraId="12A2277B" w14:textId="77777777" w:rsidR="003D69A8" w:rsidRPr="005E1EA7" w:rsidRDefault="003D69A8" w:rsidP="003D69A8">
      <w:pPr>
        <w:jc w:val="both"/>
        <w:rPr>
          <w:rFonts w:ascii="Tahoma" w:hAnsi="Tahoma" w:cs="Tahoma"/>
          <w:sz w:val="20"/>
          <w:szCs w:val="20"/>
        </w:rPr>
      </w:pPr>
    </w:p>
    <w:p w14:paraId="71D146B6" w14:textId="77777777" w:rsidR="003D69A8" w:rsidRPr="005E1EA7" w:rsidRDefault="003D69A8" w:rsidP="003D69A8">
      <w:pPr>
        <w:jc w:val="both"/>
        <w:rPr>
          <w:rFonts w:ascii="Tahoma" w:hAnsi="Tahoma" w:cs="Tahoma"/>
          <w:sz w:val="20"/>
          <w:szCs w:val="20"/>
        </w:rPr>
        <w:sectPr w:rsidR="003D69A8" w:rsidRPr="005E1EA7" w:rsidSect="003D69A8">
          <w:footerReference w:type="default" r:id="rId28"/>
          <w:pgSz w:w="16840" w:h="11900" w:orient="landscape"/>
          <w:pgMar w:top="1417" w:right="1417" w:bottom="1417" w:left="1417" w:header="708" w:footer="708" w:gutter="0"/>
          <w:cols w:space="708"/>
          <w:docGrid w:linePitch="360"/>
        </w:sectPr>
      </w:pPr>
    </w:p>
    <w:p w14:paraId="0492BAB1" w14:textId="77777777" w:rsidR="003D69A8" w:rsidRPr="005E1EA7" w:rsidRDefault="003D69A8" w:rsidP="00F23171">
      <w:pPr>
        <w:jc w:val="center"/>
        <w:rPr>
          <w:rFonts w:ascii="Tahoma" w:hAnsi="Tahoma" w:cs="Tahoma"/>
          <w:b/>
          <w:iCs/>
          <w:caps/>
          <w:sz w:val="20"/>
          <w:szCs w:val="20"/>
        </w:rPr>
      </w:pPr>
      <w:r w:rsidRPr="005E1EA7">
        <w:rPr>
          <w:rFonts w:ascii="Tahoma" w:hAnsi="Tahoma" w:cs="Tahoma"/>
          <w:b/>
          <w:iCs/>
          <w:caps/>
          <w:sz w:val="20"/>
          <w:szCs w:val="20"/>
        </w:rPr>
        <w:lastRenderedPageBreak/>
        <w:t xml:space="preserve">ANNEXE V </w:t>
      </w:r>
    </w:p>
    <w:p w14:paraId="0C10D479" w14:textId="77777777" w:rsidR="003D69A8" w:rsidRPr="005E1EA7" w:rsidRDefault="003D69A8" w:rsidP="003D69A8">
      <w:pPr>
        <w:jc w:val="center"/>
        <w:rPr>
          <w:rFonts w:ascii="Tahoma" w:hAnsi="Tahoma" w:cs="Tahoma"/>
          <w:b/>
          <w:iCs/>
          <w:sz w:val="20"/>
          <w:szCs w:val="20"/>
        </w:rPr>
      </w:pPr>
      <w:r w:rsidRPr="005E1EA7">
        <w:rPr>
          <w:rFonts w:ascii="Tahoma" w:hAnsi="Tahoma" w:cs="Tahoma"/>
          <w:b/>
          <w:iCs/>
          <w:caps/>
          <w:sz w:val="20"/>
          <w:szCs w:val="20"/>
        </w:rPr>
        <w:t xml:space="preserve">Chapitre I : </w:t>
      </w:r>
      <w:r w:rsidRPr="005E1EA7">
        <w:rPr>
          <w:rFonts w:ascii="Tahoma" w:hAnsi="Tahoma" w:cs="Tahoma"/>
          <w:b/>
          <w:iCs/>
          <w:sz w:val="20"/>
          <w:szCs w:val="20"/>
        </w:rPr>
        <w:t>PLAN D'ECHANTILLONNAGE ET NOMBRES LIMITES POUR L'ACCEPTATION DE LA MATIERE PREMIERE DES POISSONS, MOLLUSQUES ET CRUSTACES</w:t>
      </w:r>
    </w:p>
    <w:p w14:paraId="7CB3D3F6" w14:textId="77777777" w:rsidR="003D69A8" w:rsidRPr="005E1EA7" w:rsidRDefault="003D69A8" w:rsidP="003D69A8">
      <w:pPr>
        <w:jc w:val="both"/>
        <w:rPr>
          <w:rFonts w:ascii="Tahoma" w:hAnsi="Tahoma" w:cs="Tahoma"/>
          <w:i/>
          <w:sz w:val="20"/>
          <w:szCs w:val="20"/>
        </w:rPr>
      </w:pPr>
    </w:p>
    <w:p w14:paraId="19D77271" w14:textId="77777777" w:rsidR="003D69A8" w:rsidRPr="005E1EA7" w:rsidRDefault="003D69A8" w:rsidP="003D69A8">
      <w:pPr>
        <w:jc w:val="both"/>
        <w:rPr>
          <w:rFonts w:ascii="Tahoma" w:hAnsi="Tahoma" w:cs="Tahoma"/>
          <w:i/>
          <w:sz w:val="20"/>
          <w:szCs w:val="20"/>
        </w:rPr>
      </w:pPr>
      <w:r w:rsidRPr="005E1EA7">
        <w:rPr>
          <w:rFonts w:ascii="Tahoma" w:hAnsi="Tahoma" w:cs="Tahoma"/>
          <w:i/>
          <w:sz w:val="20"/>
          <w:szCs w:val="20"/>
        </w:rPr>
        <w:t>Pour établir la taille de l'échantillon, c'est-à-dire le nombre de poissons à inspecter, on prélève au hasard au moins dix poissons, dans le lot, en vue de déterminer le poids moyen de chaque poisson. On divise par le poids estimé ou réel du lot à examiner par le poids moyen afin de déterminer le nombre total de poissons contenu dans le lot, on se sert du tableau d'échantillonnage suivant pour déterminer la taille de l'échantillon.</w:t>
      </w:r>
    </w:p>
    <w:p w14:paraId="794E0614" w14:textId="77777777" w:rsidR="003D69A8" w:rsidRPr="005E1EA7" w:rsidRDefault="003D69A8" w:rsidP="003D69A8">
      <w:pPr>
        <w:jc w:val="both"/>
        <w:rPr>
          <w:rFonts w:ascii="Tahoma" w:hAnsi="Tahoma" w:cs="Tahoma"/>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68"/>
        <w:gridCol w:w="2268"/>
        <w:gridCol w:w="2268"/>
        <w:gridCol w:w="2268"/>
      </w:tblGrid>
      <w:tr w:rsidR="003D69A8" w:rsidRPr="005E1EA7" w14:paraId="74383807" w14:textId="77777777" w:rsidTr="006365F0">
        <w:trPr>
          <w:cantSplit/>
        </w:trPr>
        <w:tc>
          <w:tcPr>
            <w:tcW w:w="2268" w:type="dxa"/>
            <w:hideMark/>
          </w:tcPr>
          <w:p w14:paraId="414C33D6"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Nombre de poissons dans le lot</w:t>
            </w:r>
          </w:p>
        </w:tc>
        <w:tc>
          <w:tcPr>
            <w:tcW w:w="2268" w:type="dxa"/>
            <w:hideMark/>
          </w:tcPr>
          <w:p w14:paraId="236D7B46"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Taille de l'échantillon</w:t>
            </w:r>
          </w:p>
        </w:tc>
        <w:tc>
          <w:tcPr>
            <w:tcW w:w="2268" w:type="dxa"/>
            <w:hideMark/>
          </w:tcPr>
          <w:p w14:paraId="3A1F00CD"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Nombre limite pour l'acceptation du lot</w:t>
            </w:r>
          </w:p>
        </w:tc>
        <w:tc>
          <w:tcPr>
            <w:tcW w:w="2268" w:type="dxa"/>
            <w:hideMark/>
          </w:tcPr>
          <w:p w14:paraId="526E802E"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Nombre limite pour le rejet du lot</w:t>
            </w:r>
          </w:p>
        </w:tc>
      </w:tr>
      <w:tr w:rsidR="003D69A8" w:rsidRPr="005E1EA7" w14:paraId="7CBEFCE1" w14:textId="77777777" w:rsidTr="006365F0">
        <w:trPr>
          <w:cantSplit/>
        </w:trPr>
        <w:tc>
          <w:tcPr>
            <w:tcW w:w="2268" w:type="dxa"/>
            <w:hideMark/>
          </w:tcPr>
          <w:p w14:paraId="2BCA6426" w14:textId="77777777" w:rsidR="003D69A8" w:rsidRPr="005E1EA7" w:rsidRDefault="003D69A8" w:rsidP="006365F0">
            <w:pPr>
              <w:tabs>
                <w:tab w:val="left" w:pos="142"/>
              </w:tabs>
              <w:jc w:val="center"/>
              <w:rPr>
                <w:rFonts w:ascii="Tahoma" w:hAnsi="Tahoma" w:cs="Tahoma"/>
                <w:iCs/>
                <w:sz w:val="20"/>
                <w:szCs w:val="20"/>
              </w:rPr>
            </w:pPr>
            <w:r w:rsidRPr="005E1EA7">
              <w:rPr>
                <w:rFonts w:ascii="Tahoma" w:hAnsi="Tahoma" w:cs="Tahoma"/>
                <w:iCs/>
                <w:sz w:val="20"/>
                <w:szCs w:val="20"/>
              </w:rPr>
              <w:t>2 à 15</w:t>
            </w:r>
          </w:p>
        </w:tc>
        <w:tc>
          <w:tcPr>
            <w:tcW w:w="2268" w:type="dxa"/>
            <w:hideMark/>
          </w:tcPr>
          <w:p w14:paraId="0E70C62C"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2</w:t>
            </w:r>
          </w:p>
        </w:tc>
        <w:tc>
          <w:tcPr>
            <w:tcW w:w="2268" w:type="dxa"/>
            <w:hideMark/>
          </w:tcPr>
          <w:p w14:paraId="176F3A96"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0</w:t>
            </w:r>
          </w:p>
        </w:tc>
        <w:tc>
          <w:tcPr>
            <w:tcW w:w="2268" w:type="dxa"/>
            <w:hideMark/>
          </w:tcPr>
          <w:p w14:paraId="2127539A"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1</w:t>
            </w:r>
          </w:p>
        </w:tc>
      </w:tr>
      <w:tr w:rsidR="003D69A8" w:rsidRPr="005E1EA7" w14:paraId="2302C036" w14:textId="77777777" w:rsidTr="006365F0">
        <w:trPr>
          <w:cantSplit/>
        </w:trPr>
        <w:tc>
          <w:tcPr>
            <w:tcW w:w="2268" w:type="dxa"/>
            <w:hideMark/>
          </w:tcPr>
          <w:p w14:paraId="45F83DF2" w14:textId="77777777" w:rsidR="003D69A8" w:rsidRPr="005E1EA7" w:rsidRDefault="003D69A8" w:rsidP="006365F0">
            <w:pPr>
              <w:tabs>
                <w:tab w:val="left" w:pos="142"/>
              </w:tabs>
              <w:jc w:val="center"/>
              <w:rPr>
                <w:rFonts w:ascii="Tahoma" w:hAnsi="Tahoma" w:cs="Tahoma"/>
                <w:iCs/>
                <w:sz w:val="20"/>
                <w:szCs w:val="20"/>
              </w:rPr>
            </w:pPr>
            <w:r w:rsidRPr="005E1EA7">
              <w:rPr>
                <w:rFonts w:ascii="Tahoma" w:hAnsi="Tahoma" w:cs="Tahoma"/>
                <w:iCs/>
                <w:sz w:val="20"/>
                <w:szCs w:val="20"/>
              </w:rPr>
              <w:t>16 à 25</w:t>
            </w:r>
          </w:p>
        </w:tc>
        <w:tc>
          <w:tcPr>
            <w:tcW w:w="2268" w:type="dxa"/>
            <w:hideMark/>
          </w:tcPr>
          <w:p w14:paraId="5F6D50A4"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3</w:t>
            </w:r>
          </w:p>
        </w:tc>
        <w:tc>
          <w:tcPr>
            <w:tcW w:w="2268" w:type="dxa"/>
            <w:hideMark/>
          </w:tcPr>
          <w:p w14:paraId="7FBB9AB6"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0</w:t>
            </w:r>
          </w:p>
        </w:tc>
        <w:tc>
          <w:tcPr>
            <w:tcW w:w="2268" w:type="dxa"/>
            <w:hideMark/>
          </w:tcPr>
          <w:p w14:paraId="5B2B30FA"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1</w:t>
            </w:r>
          </w:p>
        </w:tc>
      </w:tr>
      <w:tr w:rsidR="003D69A8" w:rsidRPr="005E1EA7" w14:paraId="75DCDC05" w14:textId="77777777" w:rsidTr="006365F0">
        <w:trPr>
          <w:cantSplit/>
        </w:trPr>
        <w:tc>
          <w:tcPr>
            <w:tcW w:w="2268" w:type="dxa"/>
            <w:hideMark/>
          </w:tcPr>
          <w:p w14:paraId="3B94A5D8" w14:textId="77777777" w:rsidR="003D69A8" w:rsidRPr="005E1EA7" w:rsidRDefault="003D69A8" w:rsidP="006365F0">
            <w:pPr>
              <w:tabs>
                <w:tab w:val="left" w:pos="142"/>
              </w:tabs>
              <w:jc w:val="center"/>
              <w:rPr>
                <w:rFonts w:ascii="Tahoma" w:hAnsi="Tahoma" w:cs="Tahoma"/>
                <w:iCs/>
                <w:sz w:val="20"/>
                <w:szCs w:val="20"/>
              </w:rPr>
            </w:pPr>
            <w:r w:rsidRPr="005E1EA7">
              <w:rPr>
                <w:rFonts w:ascii="Tahoma" w:hAnsi="Tahoma" w:cs="Tahoma"/>
                <w:iCs/>
                <w:sz w:val="20"/>
                <w:szCs w:val="20"/>
              </w:rPr>
              <w:t>26 à 90</w:t>
            </w:r>
          </w:p>
        </w:tc>
        <w:tc>
          <w:tcPr>
            <w:tcW w:w="2268" w:type="dxa"/>
            <w:hideMark/>
          </w:tcPr>
          <w:p w14:paraId="50AB1B38"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5</w:t>
            </w:r>
          </w:p>
        </w:tc>
        <w:tc>
          <w:tcPr>
            <w:tcW w:w="2268" w:type="dxa"/>
            <w:hideMark/>
          </w:tcPr>
          <w:p w14:paraId="4F4025AF"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0</w:t>
            </w:r>
          </w:p>
        </w:tc>
        <w:tc>
          <w:tcPr>
            <w:tcW w:w="2268" w:type="dxa"/>
            <w:hideMark/>
          </w:tcPr>
          <w:p w14:paraId="6AF28B74"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1</w:t>
            </w:r>
          </w:p>
        </w:tc>
      </w:tr>
      <w:tr w:rsidR="003D69A8" w:rsidRPr="005E1EA7" w14:paraId="2114F552" w14:textId="77777777" w:rsidTr="006365F0">
        <w:trPr>
          <w:cantSplit/>
        </w:trPr>
        <w:tc>
          <w:tcPr>
            <w:tcW w:w="2268" w:type="dxa"/>
            <w:hideMark/>
          </w:tcPr>
          <w:p w14:paraId="34F1A7D3" w14:textId="77777777" w:rsidR="003D69A8" w:rsidRPr="005E1EA7" w:rsidRDefault="003D69A8" w:rsidP="006365F0">
            <w:pPr>
              <w:tabs>
                <w:tab w:val="left" w:pos="142"/>
              </w:tabs>
              <w:jc w:val="center"/>
              <w:rPr>
                <w:rFonts w:ascii="Tahoma" w:hAnsi="Tahoma" w:cs="Tahoma"/>
                <w:iCs/>
                <w:sz w:val="20"/>
                <w:szCs w:val="20"/>
              </w:rPr>
            </w:pPr>
            <w:r w:rsidRPr="005E1EA7">
              <w:rPr>
                <w:rFonts w:ascii="Tahoma" w:hAnsi="Tahoma" w:cs="Tahoma"/>
                <w:iCs/>
                <w:sz w:val="20"/>
                <w:szCs w:val="20"/>
              </w:rPr>
              <w:t>91 à 150</w:t>
            </w:r>
          </w:p>
        </w:tc>
        <w:tc>
          <w:tcPr>
            <w:tcW w:w="2268" w:type="dxa"/>
            <w:hideMark/>
          </w:tcPr>
          <w:p w14:paraId="35C014CE"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5</w:t>
            </w:r>
          </w:p>
        </w:tc>
        <w:tc>
          <w:tcPr>
            <w:tcW w:w="2268" w:type="dxa"/>
            <w:hideMark/>
          </w:tcPr>
          <w:p w14:paraId="24EB03CC"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1</w:t>
            </w:r>
          </w:p>
        </w:tc>
        <w:tc>
          <w:tcPr>
            <w:tcW w:w="2268" w:type="dxa"/>
            <w:hideMark/>
          </w:tcPr>
          <w:p w14:paraId="66FD5E3B"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2</w:t>
            </w:r>
          </w:p>
        </w:tc>
      </w:tr>
      <w:tr w:rsidR="003D69A8" w:rsidRPr="005E1EA7" w14:paraId="4B81764B" w14:textId="77777777" w:rsidTr="006365F0">
        <w:trPr>
          <w:cantSplit/>
        </w:trPr>
        <w:tc>
          <w:tcPr>
            <w:tcW w:w="2268" w:type="dxa"/>
            <w:hideMark/>
          </w:tcPr>
          <w:p w14:paraId="3C14163E" w14:textId="77777777" w:rsidR="003D69A8" w:rsidRPr="005E1EA7" w:rsidRDefault="003D69A8" w:rsidP="006365F0">
            <w:pPr>
              <w:tabs>
                <w:tab w:val="left" w:pos="142"/>
              </w:tabs>
              <w:jc w:val="center"/>
              <w:rPr>
                <w:rFonts w:ascii="Tahoma" w:hAnsi="Tahoma" w:cs="Tahoma"/>
                <w:iCs/>
                <w:sz w:val="20"/>
                <w:szCs w:val="20"/>
              </w:rPr>
            </w:pPr>
            <w:r w:rsidRPr="005E1EA7">
              <w:rPr>
                <w:rFonts w:ascii="Tahoma" w:hAnsi="Tahoma" w:cs="Tahoma"/>
                <w:iCs/>
                <w:sz w:val="20"/>
                <w:szCs w:val="20"/>
              </w:rPr>
              <w:t>151 à 500</w:t>
            </w:r>
          </w:p>
        </w:tc>
        <w:tc>
          <w:tcPr>
            <w:tcW w:w="2268" w:type="dxa"/>
            <w:hideMark/>
          </w:tcPr>
          <w:p w14:paraId="69A61EFD"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13</w:t>
            </w:r>
          </w:p>
        </w:tc>
        <w:tc>
          <w:tcPr>
            <w:tcW w:w="2268" w:type="dxa"/>
            <w:hideMark/>
          </w:tcPr>
          <w:p w14:paraId="24FFC147"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1</w:t>
            </w:r>
          </w:p>
        </w:tc>
        <w:tc>
          <w:tcPr>
            <w:tcW w:w="2268" w:type="dxa"/>
            <w:hideMark/>
          </w:tcPr>
          <w:p w14:paraId="02A693D1"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2</w:t>
            </w:r>
          </w:p>
        </w:tc>
      </w:tr>
      <w:tr w:rsidR="003D69A8" w:rsidRPr="005E1EA7" w14:paraId="6E0C8221" w14:textId="77777777" w:rsidTr="006365F0">
        <w:trPr>
          <w:cantSplit/>
        </w:trPr>
        <w:tc>
          <w:tcPr>
            <w:tcW w:w="2268" w:type="dxa"/>
            <w:hideMark/>
          </w:tcPr>
          <w:p w14:paraId="40A3EC05" w14:textId="77777777" w:rsidR="003D69A8" w:rsidRPr="005E1EA7" w:rsidRDefault="003D69A8" w:rsidP="006365F0">
            <w:pPr>
              <w:tabs>
                <w:tab w:val="left" w:pos="142"/>
              </w:tabs>
              <w:jc w:val="center"/>
              <w:rPr>
                <w:rFonts w:ascii="Tahoma" w:hAnsi="Tahoma" w:cs="Tahoma"/>
                <w:iCs/>
                <w:sz w:val="20"/>
                <w:szCs w:val="20"/>
              </w:rPr>
            </w:pPr>
            <w:r w:rsidRPr="005E1EA7">
              <w:rPr>
                <w:rFonts w:ascii="Tahoma" w:hAnsi="Tahoma" w:cs="Tahoma"/>
                <w:iCs/>
                <w:sz w:val="20"/>
                <w:szCs w:val="20"/>
              </w:rPr>
              <w:t>501 à 1200</w:t>
            </w:r>
          </w:p>
        </w:tc>
        <w:tc>
          <w:tcPr>
            <w:tcW w:w="2268" w:type="dxa"/>
            <w:hideMark/>
          </w:tcPr>
          <w:p w14:paraId="6BA26550"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20</w:t>
            </w:r>
          </w:p>
        </w:tc>
        <w:tc>
          <w:tcPr>
            <w:tcW w:w="2268" w:type="dxa"/>
            <w:hideMark/>
          </w:tcPr>
          <w:p w14:paraId="5015A4AC"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2</w:t>
            </w:r>
          </w:p>
        </w:tc>
        <w:tc>
          <w:tcPr>
            <w:tcW w:w="2268" w:type="dxa"/>
            <w:hideMark/>
          </w:tcPr>
          <w:p w14:paraId="695B4900"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3</w:t>
            </w:r>
          </w:p>
        </w:tc>
      </w:tr>
      <w:tr w:rsidR="003D69A8" w:rsidRPr="005E1EA7" w14:paraId="074F7914" w14:textId="77777777" w:rsidTr="006365F0">
        <w:trPr>
          <w:cantSplit/>
        </w:trPr>
        <w:tc>
          <w:tcPr>
            <w:tcW w:w="2268" w:type="dxa"/>
            <w:hideMark/>
          </w:tcPr>
          <w:p w14:paraId="70E912DD" w14:textId="77777777" w:rsidR="003D69A8" w:rsidRPr="005E1EA7" w:rsidRDefault="003D69A8" w:rsidP="006365F0">
            <w:pPr>
              <w:tabs>
                <w:tab w:val="left" w:pos="142"/>
              </w:tabs>
              <w:jc w:val="center"/>
              <w:rPr>
                <w:rFonts w:ascii="Tahoma" w:hAnsi="Tahoma" w:cs="Tahoma"/>
                <w:iCs/>
                <w:sz w:val="20"/>
                <w:szCs w:val="20"/>
              </w:rPr>
            </w:pPr>
            <w:r w:rsidRPr="005E1EA7">
              <w:rPr>
                <w:rFonts w:ascii="Tahoma" w:hAnsi="Tahoma" w:cs="Tahoma"/>
                <w:iCs/>
                <w:sz w:val="20"/>
                <w:szCs w:val="20"/>
              </w:rPr>
              <w:t>1,201 à 10,000</w:t>
            </w:r>
          </w:p>
        </w:tc>
        <w:tc>
          <w:tcPr>
            <w:tcW w:w="2268" w:type="dxa"/>
            <w:hideMark/>
          </w:tcPr>
          <w:p w14:paraId="38859143"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32</w:t>
            </w:r>
          </w:p>
        </w:tc>
        <w:tc>
          <w:tcPr>
            <w:tcW w:w="2268" w:type="dxa"/>
            <w:hideMark/>
          </w:tcPr>
          <w:p w14:paraId="77227D3F"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3</w:t>
            </w:r>
          </w:p>
        </w:tc>
        <w:tc>
          <w:tcPr>
            <w:tcW w:w="2268" w:type="dxa"/>
            <w:hideMark/>
          </w:tcPr>
          <w:p w14:paraId="012BC5CA"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4</w:t>
            </w:r>
          </w:p>
        </w:tc>
      </w:tr>
      <w:tr w:rsidR="003D69A8" w:rsidRPr="005E1EA7" w14:paraId="7B8D21B1" w14:textId="77777777" w:rsidTr="006365F0">
        <w:trPr>
          <w:cantSplit/>
        </w:trPr>
        <w:tc>
          <w:tcPr>
            <w:tcW w:w="2268" w:type="dxa"/>
            <w:hideMark/>
          </w:tcPr>
          <w:p w14:paraId="0EE4AB91" w14:textId="77777777" w:rsidR="003D69A8" w:rsidRPr="005E1EA7" w:rsidRDefault="003D69A8" w:rsidP="006365F0">
            <w:pPr>
              <w:tabs>
                <w:tab w:val="left" w:pos="142"/>
              </w:tabs>
              <w:jc w:val="center"/>
              <w:rPr>
                <w:rFonts w:ascii="Tahoma" w:hAnsi="Tahoma" w:cs="Tahoma"/>
                <w:iCs/>
                <w:sz w:val="20"/>
                <w:szCs w:val="20"/>
              </w:rPr>
            </w:pPr>
            <w:r w:rsidRPr="005E1EA7">
              <w:rPr>
                <w:rFonts w:ascii="Tahoma" w:hAnsi="Tahoma" w:cs="Tahoma"/>
                <w:iCs/>
                <w:sz w:val="20"/>
                <w:szCs w:val="20"/>
              </w:rPr>
              <w:t>10,001 à 500,000</w:t>
            </w:r>
          </w:p>
        </w:tc>
        <w:tc>
          <w:tcPr>
            <w:tcW w:w="2268" w:type="dxa"/>
            <w:hideMark/>
          </w:tcPr>
          <w:p w14:paraId="75969A99"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50</w:t>
            </w:r>
          </w:p>
        </w:tc>
        <w:tc>
          <w:tcPr>
            <w:tcW w:w="2268" w:type="dxa"/>
            <w:hideMark/>
          </w:tcPr>
          <w:p w14:paraId="2DB5DBA1"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5</w:t>
            </w:r>
          </w:p>
        </w:tc>
        <w:tc>
          <w:tcPr>
            <w:tcW w:w="2268" w:type="dxa"/>
            <w:hideMark/>
          </w:tcPr>
          <w:p w14:paraId="34B76AE8"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6</w:t>
            </w:r>
          </w:p>
        </w:tc>
      </w:tr>
      <w:tr w:rsidR="003D69A8" w:rsidRPr="005E1EA7" w14:paraId="78A1ACD4" w14:textId="77777777" w:rsidTr="006365F0">
        <w:trPr>
          <w:cantSplit/>
        </w:trPr>
        <w:tc>
          <w:tcPr>
            <w:tcW w:w="2268" w:type="dxa"/>
            <w:hideMark/>
          </w:tcPr>
          <w:p w14:paraId="70527437" w14:textId="77777777" w:rsidR="003D69A8" w:rsidRPr="005E1EA7" w:rsidRDefault="003D69A8" w:rsidP="006365F0">
            <w:pPr>
              <w:tabs>
                <w:tab w:val="left" w:pos="142"/>
              </w:tabs>
              <w:jc w:val="center"/>
              <w:rPr>
                <w:rFonts w:ascii="Tahoma" w:hAnsi="Tahoma" w:cs="Tahoma"/>
                <w:iCs/>
                <w:sz w:val="20"/>
                <w:szCs w:val="20"/>
              </w:rPr>
            </w:pPr>
            <w:r w:rsidRPr="005E1EA7">
              <w:rPr>
                <w:rFonts w:ascii="Tahoma" w:hAnsi="Tahoma" w:cs="Tahoma"/>
                <w:iCs/>
                <w:sz w:val="20"/>
                <w:szCs w:val="20"/>
              </w:rPr>
              <w:t>35,001 à 5000,000</w:t>
            </w:r>
          </w:p>
        </w:tc>
        <w:tc>
          <w:tcPr>
            <w:tcW w:w="2268" w:type="dxa"/>
            <w:hideMark/>
          </w:tcPr>
          <w:p w14:paraId="264157FF"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80</w:t>
            </w:r>
          </w:p>
        </w:tc>
        <w:tc>
          <w:tcPr>
            <w:tcW w:w="2268" w:type="dxa"/>
            <w:hideMark/>
          </w:tcPr>
          <w:p w14:paraId="33D98869"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7</w:t>
            </w:r>
          </w:p>
        </w:tc>
        <w:tc>
          <w:tcPr>
            <w:tcW w:w="2268" w:type="dxa"/>
            <w:hideMark/>
          </w:tcPr>
          <w:p w14:paraId="3B52F584"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8</w:t>
            </w:r>
          </w:p>
        </w:tc>
      </w:tr>
      <w:tr w:rsidR="003D69A8" w:rsidRPr="005E1EA7" w14:paraId="43542E4B" w14:textId="77777777" w:rsidTr="006365F0">
        <w:trPr>
          <w:cantSplit/>
        </w:trPr>
        <w:tc>
          <w:tcPr>
            <w:tcW w:w="2268" w:type="dxa"/>
            <w:hideMark/>
          </w:tcPr>
          <w:p w14:paraId="6D704616" w14:textId="77777777" w:rsidR="003D69A8" w:rsidRPr="005E1EA7" w:rsidRDefault="003D69A8" w:rsidP="006365F0">
            <w:pPr>
              <w:tabs>
                <w:tab w:val="left" w:pos="142"/>
              </w:tabs>
              <w:jc w:val="center"/>
              <w:rPr>
                <w:rFonts w:ascii="Tahoma" w:hAnsi="Tahoma" w:cs="Tahoma"/>
                <w:iCs/>
                <w:sz w:val="20"/>
                <w:szCs w:val="20"/>
              </w:rPr>
            </w:pPr>
            <w:r w:rsidRPr="005E1EA7">
              <w:rPr>
                <w:rFonts w:ascii="Tahoma" w:hAnsi="Tahoma" w:cs="Tahoma"/>
                <w:iCs/>
                <w:sz w:val="20"/>
                <w:szCs w:val="20"/>
              </w:rPr>
              <w:t xml:space="preserve">Plus 500,000 </w:t>
            </w:r>
          </w:p>
        </w:tc>
        <w:tc>
          <w:tcPr>
            <w:tcW w:w="2268" w:type="dxa"/>
            <w:hideMark/>
          </w:tcPr>
          <w:p w14:paraId="073DAA9D"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125</w:t>
            </w:r>
          </w:p>
        </w:tc>
        <w:tc>
          <w:tcPr>
            <w:tcW w:w="2268" w:type="dxa"/>
            <w:hideMark/>
          </w:tcPr>
          <w:p w14:paraId="63C6FCCF"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10</w:t>
            </w:r>
          </w:p>
        </w:tc>
        <w:tc>
          <w:tcPr>
            <w:tcW w:w="2268" w:type="dxa"/>
            <w:hideMark/>
          </w:tcPr>
          <w:p w14:paraId="63DD7EBE"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11</w:t>
            </w:r>
          </w:p>
        </w:tc>
      </w:tr>
    </w:tbl>
    <w:p w14:paraId="0F80C2F9" w14:textId="77777777" w:rsidR="003D69A8" w:rsidRPr="005E1EA7" w:rsidRDefault="003D69A8" w:rsidP="003D69A8">
      <w:pPr>
        <w:jc w:val="both"/>
        <w:rPr>
          <w:rFonts w:ascii="Tahoma" w:hAnsi="Tahoma" w:cs="Tahoma"/>
          <w:i/>
          <w:sz w:val="20"/>
          <w:szCs w:val="20"/>
        </w:rPr>
      </w:pPr>
    </w:p>
    <w:p w14:paraId="59C4881F" w14:textId="77777777" w:rsidR="003D69A8" w:rsidRPr="005E1EA7" w:rsidRDefault="003D69A8" w:rsidP="003D69A8">
      <w:pPr>
        <w:tabs>
          <w:tab w:val="left" w:pos="4395"/>
        </w:tabs>
        <w:jc w:val="both"/>
        <w:rPr>
          <w:rFonts w:ascii="Tahoma" w:hAnsi="Tahoma" w:cs="Tahoma"/>
          <w:i/>
          <w:sz w:val="20"/>
          <w:szCs w:val="20"/>
        </w:rPr>
      </w:pPr>
      <w:r w:rsidRPr="005E1EA7">
        <w:rPr>
          <w:rFonts w:ascii="Tahoma" w:hAnsi="Tahoma" w:cs="Tahoma"/>
          <w:i/>
          <w:sz w:val="20"/>
          <w:szCs w:val="20"/>
        </w:rPr>
        <w:t>Nombre limite pour acceptation :</w:t>
      </w:r>
      <w:r w:rsidRPr="005E1EA7">
        <w:rPr>
          <w:rFonts w:ascii="Tahoma" w:hAnsi="Tahoma" w:cs="Tahoma"/>
          <w:i/>
          <w:sz w:val="20"/>
          <w:szCs w:val="20"/>
        </w:rPr>
        <w:tab/>
        <w:t xml:space="preserve">nombre maximum d'unités défectueuses </w:t>
      </w:r>
      <w:r w:rsidRPr="005E1EA7">
        <w:rPr>
          <w:rFonts w:ascii="Tahoma" w:hAnsi="Tahoma" w:cs="Tahoma"/>
          <w:i/>
          <w:sz w:val="20"/>
          <w:szCs w:val="20"/>
        </w:rPr>
        <w:br/>
      </w:r>
      <w:r w:rsidRPr="005E1EA7">
        <w:rPr>
          <w:rFonts w:ascii="Tahoma" w:hAnsi="Tahoma" w:cs="Tahoma"/>
          <w:i/>
          <w:sz w:val="20"/>
          <w:szCs w:val="20"/>
        </w:rPr>
        <w:tab/>
        <w:t xml:space="preserve">toléré dans un échantillon avant de rejeter </w:t>
      </w:r>
      <w:r w:rsidRPr="005E1EA7">
        <w:rPr>
          <w:rFonts w:ascii="Tahoma" w:hAnsi="Tahoma" w:cs="Tahoma"/>
          <w:i/>
          <w:sz w:val="20"/>
          <w:szCs w:val="20"/>
        </w:rPr>
        <w:br/>
      </w:r>
      <w:r w:rsidRPr="005E1EA7">
        <w:rPr>
          <w:rFonts w:ascii="Tahoma" w:hAnsi="Tahoma" w:cs="Tahoma"/>
          <w:i/>
          <w:sz w:val="20"/>
          <w:szCs w:val="20"/>
        </w:rPr>
        <w:tab/>
        <w:t>le lot.</w:t>
      </w:r>
    </w:p>
    <w:p w14:paraId="63A6F9E8" w14:textId="77777777" w:rsidR="003D69A8" w:rsidRPr="005E1EA7" w:rsidRDefault="003D69A8" w:rsidP="003D69A8">
      <w:pPr>
        <w:tabs>
          <w:tab w:val="left" w:pos="4395"/>
        </w:tabs>
        <w:jc w:val="both"/>
        <w:rPr>
          <w:rFonts w:ascii="Tahoma" w:hAnsi="Tahoma" w:cs="Tahoma"/>
          <w:i/>
          <w:sz w:val="20"/>
          <w:szCs w:val="20"/>
        </w:rPr>
      </w:pPr>
    </w:p>
    <w:p w14:paraId="17CE21A9" w14:textId="77777777" w:rsidR="003D69A8" w:rsidRPr="005E1EA7" w:rsidRDefault="003D69A8" w:rsidP="003D69A8">
      <w:pPr>
        <w:tabs>
          <w:tab w:val="left" w:pos="4395"/>
        </w:tabs>
        <w:jc w:val="both"/>
        <w:rPr>
          <w:rFonts w:ascii="Tahoma" w:hAnsi="Tahoma" w:cs="Tahoma"/>
          <w:i/>
          <w:sz w:val="20"/>
          <w:szCs w:val="20"/>
        </w:rPr>
      </w:pPr>
      <w:r w:rsidRPr="005E1EA7">
        <w:rPr>
          <w:rFonts w:ascii="Tahoma" w:hAnsi="Tahoma" w:cs="Tahoma"/>
          <w:i/>
          <w:sz w:val="20"/>
          <w:szCs w:val="20"/>
        </w:rPr>
        <w:t>Nombre limité pour le rejet:</w:t>
      </w:r>
      <w:r w:rsidRPr="005E1EA7">
        <w:rPr>
          <w:rFonts w:ascii="Tahoma" w:hAnsi="Tahoma" w:cs="Tahoma"/>
          <w:i/>
          <w:sz w:val="20"/>
          <w:szCs w:val="20"/>
        </w:rPr>
        <w:tab/>
        <w:t xml:space="preserve">nombre minimum d'unités défectueuses </w:t>
      </w:r>
      <w:r w:rsidRPr="005E1EA7">
        <w:rPr>
          <w:rFonts w:ascii="Tahoma" w:hAnsi="Tahoma" w:cs="Tahoma"/>
          <w:i/>
          <w:sz w:val="20"/>
          <w:szCs w:val="20"/>
        </w:rPr>
        <w:br/>
      </w:r>
      <w:r w:rsidRPr="005E1EA7">
        <w:rPr>
          <w:rFonts w:ascii="Tahoma" w:hAnsi="Tahoma" w:cs="Tahoma"/>
          <w:i/>
          <w:sz w:val="20"/>
          <w:szCs w:val="20"/>
        </w:rPr>
        <w:tab/>
        <w:t xml:space="preserve">nécessaires pour rejeter un lot ; (ce nombre </w:t>
      </w:r>
      <w:r w:rsidRPr="005E1EA7">
        <w:rPr>
          <w:rFonts w:ascii="Tahoma" w:hAnsi="Tahoma" w:cs="Tahoma"/>
          <w:i/>
          <w:sz w:val="20"/>
          <w:szCs w:val="20"/>
        </w:rPr>
        <w:br/>
      </w:r>
      <w:r w:rsidRPr="005E1EA7">
        <w:rPr>
          <w:rFonts w:ascii="Tahoma" w:hAnsi="Tahoma" w:cs="Tahoma"/>
          <w:i/>
          <w:sz w:val="20"/>
          <w:szCs w:val="20"/>
        </w:rPr>
        <w:tab/>
        <w:t>dépassé, on peut mettre fin à l'inspection).</w:t>
      </w:r>
    </w:p>
    <w:p w14:paraId="59EE04D8" w14:textId="77777777" w:rsidR="003D69A8" w:rsidRPr="005E1EA7" w:rsidRDefault="003D69A8" w:rsidP="003D69A8">
      <w:pPr>
        <w:tabs>
          <w:tab w:val="left" w:pos="4395"/>
        </w:tabs>
        <w:jc w:val="both"/>
        <w:rPr>
          <w:rFonts w:ascii="Tahoma" w:hAnsi="Tahoma" w:cs="Tahoma"/>
          <w:i/>
          <w:sz w:val="20"/>
          <w:szCs w:val="20"/>
        </w:rPr>
      </w:pPr>
    </w:p>
    <w:p w14:paraId="1B3CB201" w14:textId="77777777" w:rsidR="003D69A8" w:rsidRPr="005E1EA7" w:rsidRDefault="003D69A8" w:rsidP="003D69A8">
      <w:pPr>
        <w:jc w:val="both"/>
        <w:rPr>
          <w:rFonts w:ascii="Tahoma" w:hAnsi="Tahoma" w:cs="Tahoma"/>
          <w:i/>
          <w:sz w:val="20"/>
          <w:szCs w:val="20"/>
          <w:u w:val="single"/>
        </w:rPr>
      </w:pPr>
      <w:r w:rsidRPr="005E1EA7">
        <w:rPr>
          <w:rFonts w:ascii="Tahoma" w:hAnsi="Tahoma" w:cs="Tahoma"/>
          <w:i/>
          <w:sz w:val="20"/>
          <w:szCs w:val="20"/>
          <w:u w:val="single"/>
        </w:rPr>
        <w:t>A noter que ce plan ne s'applique pas aux lots de poissons dont chaque spécimen a été examiné ou classé</w:t>
      </w:r>
    </w:p>
    <w:p w14:paraId="02859A8C" w14:textId="77777777" w:rsidR="003D69A8" w:rsidRPr="005E1EA7" w:rsidRDefault="003D69A8" w:rsidP="003D69A8">
      <w:pPr>
        <w:jc w:val="both"/>
        <w:rPr>
          <w:rFonts w:ascii="Tahoma" w:hAnsi="Tahoma" w:cs="Tahoma"/>
          <w:b/>
          <w:i/>
          <w:sz w:val="20"/>
          <w:szCs w:val="20"/>
          <w:u w:val="single"/>
        </w:rPr>
      </w:pPr>
    </w:p>
    <w:p w14:paraId="5A869997" w14:textId="77777777" w:rsidR="003D69A8" w:rsidRPr="005E1EA7" w:rsidRDefault="003D69A8" w:rsidP="003D69A8">
      <w:pPr>
        <w:jc w:val="both"/>
        <w:rPr>
          <w:rFonts w:ascii="Tahoma" w:hAnsi="Tahoma" w:cs="Tahoma"/>
          <w:b/>
          <w:i/>
          <w:sz w:val="20"/>
          <w:szCs w:val="20"/>
          <w:u w:val="single"/>
        </w:rPr>
      </w:pPr>
      <w:r w:rsidRPr="005E1EA7">
        <w:rPr>
          <w:rFonts w:ascii="Tahoma" w:hAnsi="Tahoma" w:cs="Tahoma"/>
          <w:b/>
          <w:i/>
          <w:sz w:val="20"/>
          <w:szCs w:val="20"/>
          <w:u w:val="single"/>
        </w:rPr>
        <w:t>Niveau I</w:t>
      </w:r>
    </w:p>
    <w:p w14:paraId="78BF208D" w14:textId="77777777" w:rsidR="003D69A8" w:rsidRPr="005E1EA7" w:rsidRDefault="003D69A8" w:rsidP="003D69A8">
      <w:pPr>
        <w:jc w:val="both"/>
        <w:rPr>
          <w:rFonts w:ascii="Tahoma" w:hAnsi="Tahoma" w:cs="Tahoma"/>
          <w:b/>
          <w:i/>
          <w:sz w:val="20"/>
          <w:szCs w:val="20"/>
          <w:u w:val="single"/>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4A0" w:firstRow="1" w:lastRow="0" w:firstColumn="1" w:lastColumn="0" w:noHBand="0" w:noVBand="1"/>
      </w:tblPr>
      <w:tblGrid>
        <w:gridCol w:w="3402"/>
        <w:gridCol w:w="2268"/>
        <w:gridCol w:w="1701"/>
        <w:gridCol w:w="1701"/>
      </w:tblGrid>
      <w:tr w:rsidR="003D69A8" w:rsidRPr="005E1EA7" w14:paraId="5191D354" w14:textId="77777777" w:rsidTr="006365F0">
        <w:trPr>
          <w:cantSplit/>
        </w:trPr>
        <w:tc>
          <w:tcPr>
            <w:tcW w:w="9072" w:type="dxa"/>
            <w:gridSpan w:val="4"/>
            <w:hideMark/>
          </w:tcPr>
          <w:p w14:paraId="5750CB3D" w14:textId="77777777" w:rsidR="003D69A8" w:rsidRPr="005E1EA7" w:rsidRDefault="003D69A8" w:rsidP="006365F0">
            <w:pPr>
              <w:jc w:val="both"/>
              <w:rPr>
                <w:rFonts w:ascii="Tahoma" w:hAnsi="Tahoma" w:cs="Tahoma"/>
                <w:iCs/>
                <w:sz w:val="20"/>
                <w:szCs w:val="20"/>
              </w:rPr>
            </w:pPr>
            <w:r w:rsidRPr="005E1EA7">
              <w:rPr>
                <w:rFonts w:ascii="Tahoma" w:hAnsi="Tahoma" w:cs="Tahoma"/>
                <w:iCs/>
                <w:sz w:val="20"/>
                <w:szCs w:val="20"/>
              </w:rPr>
              <w:t xml:space="preserve">Plan d'échantillonnage </w:t>
            </w:r>
            <w:r w:rsidRPr="005E1EA7">
              <w:rPr>
                <w:rFonts w:ascii="Tahoma" w:hAnsi="Tahoma" w:cs="Tahoma"/>
                <w:iCs/>
                <w:sz w:val="20"/>
                <w:szCs w:val="20"/>
              </w:rPr>
              <w:br/>
              <w:t>(niveau d'inspection I, nqa - 6,5)</w:t>
            </w:r>
          </w:p>
        </w:tc>
      </w:tr>
      <w:tr w:rsidR="003D69A8" w:rsidRPr="005E1EA7" w14:paraId="5AC2354A" w14:textId="77777777" w:rsidTr="006365F0">
        <w:trPr>
          <w:cantSplit/>
        </w:trPr>
        <w:tc>
          <w:tcPr>
            <w:tcW w:w="9072" w:type="dxa"/>
            <w:gridSpan w:val="4"/>
            <w:hideMark/>
          </w:tcPr>
          <w:p w14:paraId="62651422"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Le poids net est égal ou inférieur à 1kg (2,2 Ib)</w:t>
            </w:r>
          </w:p>
        </w:tc>
      </w:tr>
      <w:tr w:rsidR="003D69A8" w:rsidRPr="005E1EA7" w14:paraId="6476F97D" w14:textId="77777777" w:rsidTr="006365F0">
        <w:trPr>
          <w:cantSplit/>
        </w:trPr>
        <w:tc>
          <w:tcPr>
            <w:tcW w:w="3402" w:type="dxa"/>
            <w:hideMark/>
          </w:tcPr>
          <w:p w14:paraId="67834906"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Taille du lot (n)</w:t>
            </w:r>
          </w:p>
        </w:tc>
        <w:tc>
          <w:tcPr>
            <w:tcW w:w="2268" w:type="dxa"/>
            <w:hideMark/>
          </w:tcPr>
          <w:p w14:paraId="32954FA9"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Taille de l'échantillon (n)</w:t>
            </w:r>
          </w:p>
        </w:tc>
        <w:tc>
          <w:tcPr>
            <w:tcW w:w="3402" w:type="dxa"/>
            <w:gridSpan w:val="2"/>
            <w:hideMark/>
          </w:tcPr>
          <w:p w14:paraId="251DD020"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Critère d'acceptation</w:t>
            </w:r>
          </w:p>
          <w:p w14:paraId="03C62B47"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nombre (c)*</w:t>
            </w:r>
          </w:p>
        </w:tc>
      </w:tr>
      <w:tr w:rsidR="003D69A8" w:rsidRPr="005E1EA7" w14:paraId="4D6BDBDC" w14:textId="77777777" w:rsidTr="006365F0">
        <w:trPr>
          <w:cantSplit/>
        </w:trPr>
        <w:tc>
          <w:tcPr>
            <w:tcW w:w="3402" w:type="dxa"/>
            <w:hideMark/>
          </w:tcPr>
          <w:p w14:paraId="434E212D"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4.800 au moins</w:t>
            </w:r>
          </w:p>
        </w:tc>
        <w:tc>
          <w:tcPr>
            <w:tcW w:w="2268" w:type="dxa"/>
            <w:hideMark/>
          </w:tcPr>
          <w:p w14:paraId="275BA35A"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6</w:t>
            </w:r>
          </w:p>
        </w:tc>
        <w:tc>
          <w:tcPr>
            <w:tcW w:w="1701" w:type="dxa"/>
            <w:hideMark/>
          </w:tcPr>
          <w:p w14:paraId="01966BAC"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1</w:t>
            </w:r>
          </w:p>
        </w:tc>
        <w:tc>
          <w:tcPr>
            <w:tcW w:w="1701" w:type="dxa"/>
            <w:hideMark/>
          </w:tcPr>
          <w:p w14:paraId="02AD4CE7"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(0)</w:t>
            </w:r>
          </w:p>
        </w:tc>
      </w:tr>
      <w:tr w:rsidR="003D69A8" w:rsidRPr="005E1EA7" w14:paraId="655CDC64" w14:textId="77777777" w:rsidTr="006365F0">
        <w:trPr>
          <w:cantSplit/>
        </w:trPr>
        <w:tc>
          <w:tcPr>
            <w:tcW w:w="3402" w:type="dxa"/>
            <w:hideMark/>
          </w:tcPr>
          <w:p w14:paraId="3DDE7720"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4.801 à 24.000</w:t>
            </w:r>
          </w:p>
        </w:tc>
        <w:tc>
          <w:tcPr>
            <w:tcW w:w="2268" w:type="dxa"/>
            <w:hideMark/>
          </w:tcPr>
          <w:p w14:paraId="1A8CDCF2"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13</w:t>
            </w:r>
          </w:p>
        </w:tc>
        <w:tc>
          <w:tcPr>
            <w:tcW w:w="1701" w:type="dxa"/>
            <w:hideMark/>
          </w:tcPr>
          <w:p w14:paraId="2904ECFB"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2</w:t>
            </w:r>
          </w:p>
        </w:tc>
        <w:tc>
          <w:tcPr>
            <w:tcW w:w="1701" w:type="dxa"/>
            <w:hideMark/>
          </w:tcPr>
          <w:p w14:paraId="3D043472"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(1)</w:t>
            </w:r>
          </w:p>
        </w:tc>
      </w:tr>
      <w:tr w:rsidR="003D69A8" w:rsidRPr="005E1EA7" w14:paraId="775926C3" w14:textId="77777777" w:rsidTr="006365F0">
        <w:trPr>
          <w:cantSplit/>
        </w:trPr>
        <w:tc>
          <w:tcPr>
            <w:tcW w:w="3402" w:type="dxa"/>
            <w:hideMark/>
          </w:tcPr>
          <w:p w14:paraId="367FE682"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24.001 à 48.000</w:t>
            </w:r>
          </w:p>
        </w:tc>
        <w:tc>
          <w:tcPr>
            <w:tcW w:w="2268" w:type="dxa"/>
            <w:hideMark/>
          </w:tcPr>
          <w:p w14:paraId="63BADE91"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21</w:t>
            </w:r>
          </w:p>
        </w:tc>
        <w:tc>
          <w:tcPr>
            <w:tcW w:w="1701" w:type="dxa"/>
            <w:hideMark/>
          </w:tcPr>
          <w:p w14:paraId="12F95C9C"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3</w:t>
            </w:r>
          </w:p>
        </w:tc>
        <w:tc>
          <w:tcPr>
            <w:tcW w:w="1701" w:type="dxa"/>
            <w:hideMark/>
          </w:tcPr>
          <w:p w14:paraId="036290C9"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(2)</w:t>
            </w:r>
          </w:p>
        </w:tc>
      </w:tr>
      <w:tr w:rsidR="003D69A8" w:rsidRPr="005E1EA7" w14:paraId="23995E87" w14:textId="77777777" w:rsidTr="006365F0">
        <w:trPr>
          <w:cantSplit/>
        </w:trPr>
        <w:tc>
          <w:tcPr>
            <w:tcW w:w="3402" w:type="dxa"/>
            <w:hideMark/>
          </w:tcPr>
          <w:p w14:paraId="32310C70"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48.001 à 84.000</w:t>
            </w:r>
          </w:p>
        </w:tc>
        <w:tc>
          <w:tcPr>
            <w:tcW w:w="2268" w:type="dxa"/>
            <w:hideMark/>
          </w:tcPr>
          <w:p w14:paraId="1EB6F96F"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29</w:t>
            </w:r>
          </w:p>
        </w:tc>
        <w:tc>
          <w:tcPr>
            <w:tcW w:w="1701" w:type="dxa"/>
            <w:hideMark/>
          </w:tcPr>
          <w:p w14:paraId="6C8BDB82"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4</w:t>
            </w:r>
          </w:p>
        </w:tc>
        <w:tc>
          <w:tcPr>
            <w:tcW w:w="1701" w:type="dxa"/>
            <w:hideMark/>
          </w:tcPr>
          <w:p w14:paraId="4C70EF4E"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(3)</w:t>
            </w:r>
          </w:p>
        </w:tc>
      </w:tr>
      <w:tr w:rsidR="003D69A8" w:rsidRPr="005E1EA7" w14:paraId="4B8AF80E" w14:textId="77777777" w:rsidTr="006365F0">
        <w:trPr>
          <w:cantSplit/>
        </w:trPr>
        <w:tc>
          <w:tcPr>
            <w:tcW w:w="3402" w:type="dxa"/>
            <w:hideMark/>
          </w:tcPr>
          <w:p w14:paraId="4DCC16B1"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84.001 à 144.000</w:t>
            </w:r>
          </w:p>
        </w:tc>
        <w:tc>
          <w:tcPr>
            <w:tcW w:w="2268" w:type="dxa"/>
            <w:hideMark/>
          </w:tcPr>
          <w:p w14:paraId="298F603D"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48</w:t>
            </w:r>
          </w:p>
        </w:tc>
        <w:tc>
          <w:tcPr>
            <w:tcW w:w="1701" w:type="dxa"/>
            <w:hideMark/>
          </w:tcPr>
          <w:p w14:paraId="7C6BD920"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6</w:t>
            </w:r>
          </w:p>
        </w:tc>
        <w:tc>
          <w:tcPr>
            <w:tcW w:w="1701" w:type="dxa"/>
            <w:hideMark/>
          </w:tcPr>
          <w:p w14:paraId="5075A014"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(4)</w:t>
            </w:r>
          </w:p>
        </w:tc>
      </w:tr>
      <w:tr w:rsidR="003D69A8" w:rsidRPr="005E1EA7" w14:paraId="11B6BE50" w14:textId="77777777" w:rsidTr="006365F0">
        <w:trPr>
          <w:cantSplit/>
        </w:trPr>
        <w:tc>
          <w:tcPr>
            <w:tcW w:w="3402" w:type="dxa"/>
            <w:hideMark/>
          </w:tcPr>
          <w:p w14:paraId="2D5B144B"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144.001 à 240.000</w:t>
            </w:r>
          </w:p>
        </w:tc>
        <w:tc>
          <w:tcPr>
            <w:tcW w:w="2268" w:type="dxa"/>
            <w:hideMark/>
          </w:tcPr>
          <w:p w14:paraId="1A26479B"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84</w:t>
            </w:r>
          </w:p>
        </w:tc>
        <w:tc>
          <w:tcPr>
            <w:tcW w:w="1701" w:type="dxa"/>
            <w:hideMark/>
          </w:tcPr>
          <w:p w14:paraId="4995CE4A"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9</w:t>
            </w:r>
          </w:p>
        </w:tc>
        <w:tc>
          <w:tcPr>
            <w:tcW w:w="1701" w:type="dxa"/>
            <w:hideMark/>
          </w:tcPr>
          <w:p w14:paraId="1317C394"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(6)</w:t>
            </w:r>
          </w:p>
        </w:tc>
      </w:tr>
      <w:tr w:rsidR="003D69A8" w:rsidRPr="005E1EA7" w14:paraId="535139D3" w14:textId="77777777" w:rsidTr="006365F0">
        <w:trPr>
          <w:cantSplit/>
        </w:trPr>
        <w:tc>
          <w:tcPr>
            <w:tcW w:w="3402" w:type="dxa"/>
            <w:hideMark/>
          </w:tcPr>
          <w:p w14:paraId="2AAFC9B9"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Plus de 240.000</w:t>
            </w:r>
          </w:p>
        </w:tc>
        <w:tc>
          <w:tcPr>
            <w:tcW w:w="2268" w:type="dxa"/>
            <w:hideMark/>
          </w:tcPr>
          <w:p w14:paraId="34DA7CB3"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126</w:t>
            </w:r>
          </w:p>
        </w:tc>
        <w:tc>
          <w:tcPr>
            <w:tcW w:w="1701" w:type="dxa"/>
            <w:hideMark/>
          </w:tcPr>
          <w:p w14:paraId="3CEEA53C"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13</w:t>
            </w:r>
          </w:p>
        </w:tc>
        <w:tc>
          <w:tcPr>
            <w:tcW w:w="1701" w:type="dxa"/>
            <w:hideMark/>
          </w:tcPr>
          <w:p w14:paraId="2A45D035"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(9)</w:t>
            </w:r>
          </w:p>
        </w:tc>
      </w:tr>
      <w:tr w:rsidR="003D69A8" w:rsidRPr="005E1EA7" w14:paraId="7DBE2342" w14:textId="77777777" w:rsidTr="006365F0">
        <w:trPr>
          <w:cantSplit/>
        </w:trPr>
        <w:tc>
          <w:tcPr>
            <w:tcW w:w="9072" w:type="dxa"/>
            <w:gridSpan w:val="4"/>
            <w:hideMark/>
          </w:tcPr>
          <w:p w14:paraId="6E2432CF"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Poids net supérieur à 1 kg (2,2 lb) mais moins que 4,5kg (10 lb)</w:t>
            </w:r>
          </w:p>
        </w:tc>
      </w:tr>
      <w:tr w:rsidR="003D69A8" w:rsidRPr="005E1EA7" w14:paraId="0CE8C464" w14:textId="77777777" w:rsidTr="006365F0">
        <w:trPr>
          <w:cantSplit/>
        </w:trPr>
        <w:tc>
          <w:tcPr>
            <w:tcW w:w="3402" w:type="dxa"/>
            <w:hideMark/>
          </w:tcPr>
          <w:p w14:paraId="025BA91F"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Taille du lot (n)</w:t>
            </w:r>
          </w:p>
        </w:tc>
        <w:tc>
          <w:tcPr>
            <w:tcW w:w="2268" w:type="dxa"/>
            <w:hideMark/>
          </w:tcPr>
          <w:p w14:paraId="1173AD68"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Taille de l'échantillon (n)</w:t>
            </w:r>
          </w:p>
        </w:tc>
        <w:tc>
          <w:tcPr>
            <w:tcW w:w="3402" w:type="dxa"/>
            <w:gridSpan w:val="2"/>
            <w:hideMark/>
          </w:tcPr>
          <w:p w14:paraId="1DD02988"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Critère d'acceptation</w:t>
            </w:r>
          </w:p>
          <w:p w14:paraId="55D5FA1B"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nombre (c)*</w:t>
            </w:r>
          </w:p>
        </w:tc>
      </w:tr>
      <w:tr w:rsidR="003D69A8" w:rsidRPr="005E1EA7" w14:paraId="44684FC8" w14:textId="77777777" w:rsidTr="006365F0">
        <w:trPr>
          <w:cantSplit/>
        </w:trPr>
        <w:tc>
          <w:tcPr>
            <w:tcW w:w="3402" w:type="dxa"/>
            <w:hideMark/>
          </w:tcPr>
          <w:p w14:paraId="58C2D6FD"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2.400 ou moins</w:t>
            </w:r>
          </w:p>
        </w:tc>
        <w:tc>
          <w:tcPr>
            <w:tcW w:w="2268" w:type="dxa"/>
            <w:hideMark/>
          </w:tcPr>
          <w:p w14:paraId="45BE9D9F"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6</w:t>
            </w:r>
          </w:p>
        </w:tc>
        <w:tc>
          <w:tcPr>
            <w:tcW w:w="1701" w:type="dxa"/>
            <w:hideMark/>
          </w:tcPr>
          <w:p w14:paraId="3CB1C450"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1</w:t>
            </w:r>
          </w:p>
        </w:tc>
        <w:tc>
          <w:tcPr>
            <w:tcW w:w="1701" w:type="dxa"/>
            <w:hideMark/>
          </w:tcPr>
          <w:p w14:paraId="0AC50BF4"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(0)</w:t>
            </w:r>
          </w:p>
        </w:tc>
      </w:tr>
      <w:tr w:rsidR="003D69A8" w:rsidRPr="005E1EA7" w14:paraId="4B152AD6" w14:textId="77777777" w:rsidTr="006365F0">
        <w:trPr>
          <w:cantSplit/>
        </w:trPr>
        <w:tc>
          <w:tcPr>
            <w:tcW w:w="3402" w:type="dxa"/>
            <w:hideMark/>
          </w:tcPr>
          <w:p w14:paraId="70C971B6"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2.401 à 15.000</w:t>
            </w:r>
          </w:p>
        </w:tc>
        <w:tc>
          <w:tcPr>
            <w:tcW w:w="2268" w:type="dxa"/>
            <w:hideMark/>
          </w:tcPr>
          <w:p w14:paraId="7B1C4CF3"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13</w:t>
            </w:r>
          </w:p>
        </w:tc>
        <w:tc>
          <w:tcPr>
            <w:tcW w:w="1701" w:type="dxa"/>
            <w:hideMark/>
          </w:tcPr>
          <w:p w14:paraId="07C0ED75"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2</w:t>
            </w:r>
          </w:p>
        </w:tc>
        <w:tc>
          <w:tcPr>
            <w:tcW w:w="1701" w:type="dxa"/>
            <w:hideMark/>
          </w:tcPr>
          <w:p w14:paraId="0F6259A1"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(1)</w:t>
            </w:r>
          </w:p>
        </w:tc>
      </w:tr>
      <w:tr w:rsidR="003D69A8" w:rsidRPr="005E1EA7" w14:paraId="0AE6CE56" w14:textId="77777777" w:rsidTr="006365F0">
        <w:trPr>
          <w:cantSplit/>
        </w:trPr>
        <w:tc>
          <w:tcPr>
            <w:tcW w:w="3402" w:type="dxa"/>
            <w:hideMark/>
          </w:tcPr>
          <w:p w14:paraId="06193A2C"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15.001 à 24.000</w:t>
            </w:r>
          </w:p>
        </w:tc>
        <w:tc>
          <w:tcPr>
            <w:tcW w:w="2268" w:type="dxa"/>
            <w:hideMark/>
          </w:tcPr>
          <w:p w14:paraId="10D96914"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21</w:t>
            </w:r>
          </w:p>
        </w:tc>
        <w:tc>
          <w:tcPr>
            <w:tcW w:w="1701" w:type="dxa"/>
            <w:hideMark/>
          </w:tcPr>
          <w:p w14:paraId="7FA0D57D"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3</w:t>
            </w:r>
          </w:p>
        </w:tc>
        <w:tc>
          <w:tcPr>
            <w:tcW w:w="1701" w:type="dxa"/>
            <w:hideMark/>
          </w:tcPr>
          <w:p w14:paraId="582B2993"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(2)</w:t>
            </w:r>
          </w:p>
        </w:tc>
      </w:tr>
      <w:tr w:rsidR="003D69A8" w:rsidRPr="005E1EA7" w14:paraId="75DF3E4C" w14:textId="77777777" w:rsidTr="006365F0">
        <w:trPr>
          <w:cantSplit/>
        </w:trPr>
        <w:tc>
          <w:tcPr>
            <w:tcW w:w="3402" w:type="dxa"/>
            <w:hideMark/>
          </w:tcPr>
          <w:p w14:paraId="53867C3A"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24.001 à 42.000</w:t>
            </w:r>
          </w:p>
        </w:tc>
        <w:tc>
          <w:tcPr>
            <w:tcW w:w="2268" w:type="dxa"/>
            <w:hideMark/>
          </w:tcPr>
          <w:p w14:paraId="6958A5BE"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29</w:t>
            </w:r>
          </w:p>
        </w:tc>
        <w:tc>
          <w:tcPr>
            <w:tcW w:w="1701" w:type="dxa"/>
            <w:hideMark/>
          </w:tcPr>
          <w:p w14:paraId="08DB60B7"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4</w:t>
            </w:r>
          </w:p>
        </w:tc>
        <w:tc>
          <w:tcPr>
            <w:tcW w:w="1701" w:type="dxa"/>
            <w:hideMark/>
          </w:tcPr>
          <w:p w14:paraId="6319F52A"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(3)</w:t>
            </w:r>
          </w:p>
        </w:tc>
      </w:tr>
      <w:tr w:rsidR="003D69A8" w:rsidRPr="005E1EA7" w14:paraId="773D5121" w14:textId="77777777" w:rsidTr="006365F0">
        <w:trPr>
          <w:cantSplit/>
        </w:trPr>
        <w:tc>
          <w:tcPr>
            <w:tcW w:w="3402" w:type="dxa"/>
            <w:hideMark/>
          </w:tcPr>
          <w:p w14:paraId="1065D4FC"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42.001 v72.000</w:t>
            </w:r>
          </w:p>
        </w:tc>
        <w:tc>
          <w:tcPr>
            <w:tcW w:w="2268" w:type="dxa"/>
            <w:hideMark/>
          </w:tcPr>
          <w:p w14:paraId="2DA88643"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48</w:t>
            </w:r>
          </w:p>
        </w:tc>
        <w:tc>
          <w:tcPr>
            <w:tcW w:w="1701" w:type="dxa"/>
            <w:hideMark/>
          </w:tcPr>
          <w:p w14:paraId="35339374"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6</w:t>
            </w:r>
          </w:p>
        </w:tc>
        <w:tc>
          <w:tcPr>
            <w:tcW w:w="1701" w:type="dxa"/>
            <w:hideMark/>
          </w:tcPr>
          <w:p w14:paraId="16AC9E30"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(4)</w:t>
            </w:r>
          </w:p>
        </w:tc>
      </w:tr>
      <w:tr w:rsidR="003D69A8" w:rsidRPr="005E1EA7" w14:paraId="159E2914" w14:textId="77777777" w:rsidTr="006365F0">
        <w:trPr>
          <w:cantSplit/>
        </w:trPr>
        <w:tc>
          <w:tcPr>
            <w:tcW w:w="3402" w:type="dxa"/>
            <w:hideMark/>
          </w:tcPr>
          <w:p w14:paraId="065E59F3"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lastRenderedPageBreak/>
              <w:t>72.001 à 120.000</w:t>
            </w:r>
          </w:p>
        </w:tc>
        <w:tc>
          <w:tcPr>
            <w:tcW w:w="2268" w:type="dxa"/>
            <w:hideMark/>
          </w:tcPr>
          <w:p w14:paraId="6CAD7599"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84</w:t>
            </w:r>
          </w:p>
        </w:tc>
        <w:tc>
          <w:tcPr>
            <w:tcW w:w="1701" w:type="dxa"/>
            <w:hideMark/>
          </w:tcPr>
          <w:p w14:paraId="558562DF"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9</w:t>
            </w:r>
          </w:p>
        </w:tc>
        <w:tc>
          <w:tcPr>
            <w:tcW w:w="1701" w:type="dxa"/>
            <w:hideMark/>
          </w:tcPr>
          <w:p w14:paraId="792EDB40"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(6)</w:t>
            </w:r>
          </w:p>
        </w:tc>
      </w:tr>
      <w:tr w:rsidR="003D69A8" w:rsidRPr="005E1EA7" w14:paraId="01D5E420" w14:textId="77777777" w:rsidTr="006365F0">
        <w:trPr>
          <w:cantSplit/>
        </w:trPr>
        <w:tc>
          <w:tcPr>
            <w:tcW w:w="3402" w:type="dxa"/>
            <w:hideMark/>
          </w:tcPr>
          <w:p w14:paraId="6F9A9D49"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Plus de 120.000</w:t>
            </w:r>
          </w:p>
        </w:tc>
        <w:tc>
          <w:tcPr>
            <w:tcW w:w="2268" w:type="dxa"/>
            <w:hideMark/>
          </w:tcPr>
          <w:p w14:paraId="1990DC21"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126</w:t>
            </w:r>
          </w:p>
        </w:tc>
        <w:tc>
          <w:tcPr>
            <w:tcW w:w="1701" w:type="dxa"/>
            <w:hideMark/>
          </w:tcPr>
          <w:p w14:paraId="655992F6"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13</w:t>
            </w:r>
          </w:p>
        </w:tc>
        <w:tc>
          <w:tcPr>
            <w:tcW w:w="1701" w:type="dxa"/>
            <w:hideMark/>
          </w:tcPr>
          <w:p w14:paraId="3867D151"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(9)</w:t>
            </w:r>
          </w:p>
        </w:tc>
      </w:tr>
      <w:tr w:rsidR="003D69A8" w:rsidRPr="005E1EA7" w14:paraId="7EEBC53B" w14:textId="77777777" w:rsidTr="006365F0">
        <w:trPr>
          <w:cantSplit/>
        </w:trPr>
        <w:tc>
          <w:tcPr>
            <w:tcW w:w="9072" w:type="dxa"/>
            <w:gridSpan w:val="4"/>
            <w:hideMark/>
          </w:tcPr>
          <w:p w14:paraId="059D4EFC"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Poids net supérieur à 4,5 kg (10 Ib)</w:t>
            </w:r>
          </w:p>
        </w:tc>
      </w:tr>
      <w:tr w:rsidR="003D69A8" w:rsidRPr="005E1EA7" w14:paraId="0BE83747" w14:textId="77777777" w:rsidTr="006365F0">
        <w:trPr>
          <w:cantSplit/>
        </w:trPr>
        <w:tc>
          <w:tcPr>
            <w:tcW w:w="3402" w:type="dxa"/>
            <w:hideMark/>
          </w:tcPr>
          <w:p w14:paraId="35FA554D"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Taille du lot (n)</w:t>
            </w:r>
          </w:p>
        </w:tc>
        <w:tc>
          <w:tcPr>
            <w:tcW w:w="2268" w:type="dxa"/>
            <w:hideMark/>
          </w:tcPr>
          <w:p w14:paraId="5FA73A52"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Taille de l'échantillon (n)</w:t>
            </w:r>
          </w:p>
        </w:tc>
        <w:tc>
          <w:tcPr>
            <w:tcW w:w="3402" w:type="dxa"/>
            <w:gridSpan w:val="2"/>
            <w:hideMark/>
          </w:tcPr>
          <w:p w14:paraId="2D754357"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Critère d'acceptation</w:t>
            </w:r>
          </w:p>
          <w:p w14:paraId="06A53B7F"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nombre (c)*</w:t>
            </w:r>
          </w:p>
        </w:tc>
      </w:tr>
      <w:tr w:rsidR="003D69A8" w:rsidRPr="005E1EA7" w14:paraId="01CEDF8B" w14:textId="77777777" w:rsidTr="006365F0">
        <w:trPr>
          <w:cantSplit/>
        </w:trPr>
        <w:tc>
          <w:tcPr>
            <w:tcW w:w="3402" w:type="dxa"/>
            <w:hideMark/>
          </w:tcPr>
          <w:p w14:paraId="669D64D9"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600 ou moins</w:t>
            </w:r>
          </w:p>
        </w:tc>
        <w:tc>
          <w:tcPr>
            <w:tcW w:w="2268" w:type="dxa"/>
            <w:hideMark/>
          </w:tcPr>
          <w:p w14:paraId="3F32D2AA"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6</w:t>
            </w:r>
          </w:p>
        </w:tc>
        <w:tc>
          <w:tcPr>
            <w:tcW w:w="1701" w:type="dxa"/>
            <w:hideMark/>
          </w:tcPr>
          <w:p w14:paraId="1BC8AAF0"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1</w:t>
            </w:r>
          </w:p>
        </w:tc>
        <w:tc>
          <w:tcPr>
            <w:tcW w:w="1701" w:type="dxa"/>
            <w:hideMark/>
          </w:tcPr>
          <w:p w14:paraId="7C52713B"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(0)</w:t>
            </w:r>
          </w:p>
        </w:tc>
      </w:tr>
      <w:tr w:rsidR="003D69A8" w:rsidRPr="005E1EA7" w14:paraId="5F3BD80D" w14:textId="77777777" w:rsidTr="006365F0">
        <w:trPr>
          <w:cantSplit/>
        </w:trPr>
        <w:tc>
          <w:tcPr>
            <w:tcW w:w="3402" w:type="dxa"/>
            <w:hideMark/>
          </w:tcPr>
          <w:p w14:paraId="78629BC1"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601 à 2.000</w:t>
            </w:r>
          </w:p>
        </w:tc>
        <w:tc>
          <w:tcPr>
            <w:tcW w:w="2268" w:type="dxa"/>
            <w:hideMark/>
          </w:tcPr>
          <w:p w14:paraId="79FE2729"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13</w:t>
            </w:r>
          </w:p>
        </w:tc>
        <w:tc>
          <w:tcPr>
            <w:tcW w:w="1701" w:type="dxa"/>
            <w:hideMark/>
          </w:tcPr>
          <w:p w14:paraId="26313DD1"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2</w:t>
            </w:r>
          </w:p>
        </w:tc>
        <w:tc>
          <w:tcPr>
            <w:tcW w:w="1701" w:type="dxa"/>
            <w:hideMark/>
          </w:tcPr>
          <w:p w14:paraId="4A1D4062"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(1)</w:t>
            </w:r>
          </w:p>
        </w:tc>
      </w:tr>
      <w:tr w:rsidR="003D69A8" w:rsidRPr="005E1EA7" w14:paraId="31576560" w14:textId="77777777" w:rsidTr="006365F0">
        <w:trPr>
          <w:cantSplit/>
        </w:trPr>
        <w:tc>
          <w:tcPr>
            <w:tcW w:w="3402" w:type="dxa"/>
            <w:hideMark/>
          </w:tcPr>
          <w:p w14:paraId="15DC4C82"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2.001 à 7.200</w:t>
            </w:r>
          </w:p>
        </w:tc>
        <w:tc>
          <w:tcPr>
            <w:tcW w:w="2268" w:type="dxa"/>
            <w:hideMark/>
          </w:tcPr>
          <w:p w14:paraId="3F6FCC47"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21</w:t>
            </w:r>
          </w:p>
        </w:tc>
        <w:tc>
          <w:tcPr>
            <w:tcW w:w="1701" w:type="dxa"/>
            <w:hideMark/>
          </w:tcPr>
          <w:p w14:paraId="3EFC8A59"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3</w:t>
            </w:r>
          </w:p>
        </w:tc>
        <w:tc>
          <w:tcPr>
            <w:tcW w:w="1701" w:type="dxa"/>
            <w:hideMark/>
          </w:tcPr>
          <w:p w14:paraId="795447E7"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(2)</w:t>
            </w:r>
          </w:p>
        </w:tc>
      </w:tr>
      <w:tr w:rsidR="003D69A8" w:rsidRPr="005E1EA7" w14:paraId="72EE0CEF" w14:textId="77777777" w:rsidTr="006365F0">
        <w:trPr>
          <w:cantSplit/>
        </w:trPr>
        <w:tc>
          <w:tcPr>
            <w:tcW w:w="3402" w:type="dxa"/>
            <w:hideMark/>
          </w:tcPr>
          <w:p w14:paraId="00D8E27B"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7.201 à 15.000</w:t>
            </w:r>
          </w:p>
        </w:tc>
        <w:tc>
          <w:tcPr>
            <w:tcW w:w="2268" w:type="dxa"/>
            <w:hideMark/>
          </w:tcPr>
          <w:p w14:paraId="1B752A8E"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29</w:t>
            </w:r>
          </w:p>
        </w:tc>
        <w:tc>
          <w:tcPr>
            <w:tcW w:w="1701" w:type="dxa"/>
            <w:hideMark/>
          </w:tcPr>
          <w:p w14:paraId="78EE40F5"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4</w:t>
            </w:r>
          </w:p>
        </w:tc>
        <w:tc>
          <w:tcPr>
            <w:tcW w:w="1701" w:type="dxa"/>
            <w:hideMark/>
          </w:tcPr>
          <w:p w14:paraId="673EE542"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(3)</w:t>
            </w:r>
          </w:p>
        </w:tc>
      </w:tr>
      <w:tr w:rsidR="003D69A8" w:rsidRPr="005E1EA7" w14:paraId="12A698E3" w14:textId="77777777" w:rsidTr="006365F0">
        <w:trPr>
          <w:cantSplit/>
        </w:trPr>
        <w:tc>
          <w:tcPr>
            <w:tcW w:w="3402" w:type="dxa"/>
            <w:hideMark/>
          </w:tcPr>
          <w:p w14:paraId="3173259C"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15.001 v 24.000</w:t>
            </w:r>
          </w:p>
        </w:tc>
        <w:tc>
          <w:tcPr>
            <w:tcW w:w="2268" w:type="dxa"/>
            <w:hideMark/>
          </w:tcPr>
          <w:p w14:paraId="2976A405"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48</w:t>
            </w:r>
          </w:p>
        </w:tc>
        <w:tc>
          <w:tcPr>
            <w:tcW w:w="1701" w:type="dxa"/>
            <w:hideMark/>
          </w:tcPr>
          <w:p w14:paraId="477F1F32"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6</w:t>
            </w:r>
          </w:p>
        </w:tc>
        <w:tc>
          <w:tcPr>
            <w:tcW w:w="1701" w:type="dxa"/>
            <w:hideMark/>
          </w:tcPr>
          <w:p w14:paraId="72DC90A9"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(4)</w:t>
            </w:r>
          </w:p>
        </w:tc>
      </w:tr>
      <w:tr w:rsidR="003D69A8" w:rsidRPr="005E1EA7" w14:paraId="1BA745E7" w14:textId="77777777" w:rsidTr="006365F0">
        <w:trPr>
          <w:cantSplit/>
        </w:trPr>
        <w:tc>
          <w:tcPr>
            <w:tcW w:w="3402" w:type="dxa"/>
            <w:hideMark/>
          </w:tcPr>
          <w:p w14:paraId="1C43E8C0"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24.001 à 42.000</w:t>
            </w:r>
          </w:p>
        </w:tc>
        <w:tc>
          <w:tcPr>
            <w:tcW w:w="2268" w:type="dxa"/>
            <w:hideMark/>
          </w:tcPr>
          <w:p w14:paraId="7444CEA3"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84</w:t>
            </w:r>
          </w:p>
        </w:tc>
        <w:tc>
          <w:tcPr>
            <w:tcW w:w="1701" w:type="dxa"/>
            <w:hideMark/>
          </w:tcPr>
          <w:p w14:paraId="0EB82899"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9</w:t>
            </w:r>
          </w:p>
        </w:tc>
        <w:tc>
          <w:tcPr>
            <w:tcW w:w="1701" w:type="dxa"/>
            <w:hideMark/>
          </w:tcPr>
          <w:p w14:paraId="49FA1FEB"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(6)</w:t>
            </w:r>
          </w:p>
        </w:tc>
      </w:tr>
      <w:tr w:rsidR="003D69A8" w:rsidRPr="005E1EA7" w14:paraId="4784A7DE" w14:textId="77777777" w:rsidTr="006365F0">
        <w:trPr>
          <w:cantSplit/>
        </w:trPr>
        <w:tc>
          <w:tcPr>
            <w:tcW w:w="3402" w:type="dxa"/>
            <w:hideMark/>
          </w:tcPr>
          <w:p w14:paraId="7B3165FD"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Plus de 42.000</w:t>
            </w:r>
          </w:p>
        </w:tc>
        <w:tc>
          <w:tcPr>
            <w:tcW w:w="2268" w:type="dxa"/>
            <w:hideMark/>
          </w:tcPr>
          <w:p w14:paraId="31228828"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126</w:t>
            </w:r>
          </w:p>
        </w:tc>
        <w:tc>
          <w:tcPr>
            <w:tcW w:w="1701" w:type="dxa"/>
            <w:hideMark/>
          </w:tcPr>
          <w:p w14:paraId="14CE39EE"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13</w:t>
            </w:r>
          </w:p>
        </w:tc>
        <w:tc>
          <w:tcPr>
            <w:tcW w:w="1701" w:type="dxa"/>
            <w:hideMark/>
          </w:tcPr>
          <w:p w14:paraId="4691194E"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(9)</w:t>
            </w:r>
          </w:p>
        </w:tc>
      </w:tr>
      <w:tr w:rsidR="003D69A8" w:rsidRPr="005E1EA7" w14:paraId="01F4BB87" w14:textId="77777777" w:rsidTr="006365F0">
        <w:trPr>
          <w:cantSplit/>
        </w:trPr>
        <w:tc>
          <w:tcPr>
            <w:tcW w:w="9072" w:type="dxa"/>
            <w:gridSpan w:val="4"/>
            <w:hideMark/>
          </w:tcPr>
          <w:p w14:paraId="4728C405" w14:textId="77777777" w:rsidR="003D69A8" w:rsidRPr="005E1EA7" w:rsidRDefault="003D69A8" w:rsidP="006365F0">
            <w:pPr>
              <w:jc w:val="both"/>
              <w:rPr>
                <w:rFonts w:ascii="Tahoma" w:hAnsi="Tahoma" w:cs="Tahoma"/>
                <w:iCs/>
                <w:sz w:val="20"/>
                <w:szCs w:val="20"/>
              </w:rPr>
            </w:pPr>
            <w:r w:rsidRPr="005E1EA7">
              <w:rPr>
                <w:rFonts w:ascii="Tahoma" w:hAnsi="Tahoma" w:cs="Tahoma"/>
                <w:iCs/>
                <w:sz w:val="20"/>
                <w:szCs w:val="20"/>
              </w:rPr>
              <w:t>* le nombre apparaissant entre parenthèses dans la colonne du critère d'acceptation (c) est la valeur du critère d'acceptation pour le caractère "altéré mais non putride"</w:t>
            </w:r>
          </w:p>
        </w:tc>
      </w:tr>
    </w:tbl>
    <w:p w14:paraId="24CAD700" w14:textId="77777777" w:rsidR="003D69A8" w:rsidRPr="005E1EA7" w:rsidRDefault="003D69A8" w:rsidP="003D69A8">
      <w:pPr>
        <w:jc w:val="both"/>
        <w:rPr>
          <w:rFonts w:ascii="Tahoma" w:hAnsi="Tahoma" w:cs="Tahoma"/>
          <w:b/>
          <w:i/>
          <w:sz w:val="20"/>
          <w:szCs w:val="20"/>
          <w:u w:val="single"/>
        </w:rPr>
      </w:pPr>
    </w:p>
    <w:p w14:paraId="14A6F43F" w14:textId="77777777" w:rsidR="003D69A8" w:rsidRPr="005E1EA7" w:rsidRDefault="003D69A8" w:rsidP="003D69A8">
      <w:pPr>
        <w:jc w:val="both"/>
        <w:rPr>
          <w:rFonts w:ascii="Tahoma" w:hAnsi="Tahoma" w:cs="Tahoma"/>
          <w:b/>
          <w:i/>
          <w:sz w:val="20"/>
          <w:szCs w:val="20"/>
          <w:u w:val="single"/>
        </w:rPr>
      </w:pPr>
      <w:r w:rsidRPr="005E1EA7">
        <w:rPr>
          <w:rFonts w:ascii="Tahoma" w:hAnsi="Tahoma" w:cs="Tahoma"/>
          <w:b/>
          <w:i/>
          <w:sz w:val="20"/>
          <w:szCs w:val="20"/>
          <w:u w:val="single"/>
        </w:rPr>
        <w:t>Niveau II</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4A0" w:firstRow="1" w:lastRow="0" w:firstColumn="1" w:lastColumn="0" w:noHBand="0" w:noVBand="1"/>
      </w:tblPr>
      <w:tblGrid>
        <w:gridCol w:w="3402"/>
        <w:gridCol w:w="2268"/>
        <w:gridCol w:w="1701"/>
        <w:gridCol w:w="1701"/>
      </w:tblGrid>
      <w:tr w:rsidR="003D69A8" w:rsidRPr="005E1EA7" w14:paraId="4055ADDB" w14:textId="77777777" w:rsidTr="006365F0">
        <w:trPr>
          <w:cantSplit/>
        </w:trPr>
        <w:tc>
          <w:tcPr>
            <w:tcW w:w="9072" w:type="dxa"/>
            <w:gridSpan w:val="4"/>
            <w:hideMark/>
          </w:tcPr>
          <w:p w14:paraId="63F4C5D0"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Plan d'échantillonnage (niveau d'inspection II, nqa = 6,5)</w:t>
            </w:r>
          </w:p>
        </w:tc>
      </w:tr>
      <w:tr w:rsidR="003D69A8" w:rsidRPr="005E1EA7" w14:paraId="17022686" w14:textId="77777777" w:rsidTr="006365F0">
        <w:trPr>
          <w:cantSplit/>
        </w:trPr>
        <w:tc>
          <w:tcPr>
            <w:tcW w:w="9072" w:type="dxa"/>
            <w:gridSpan w:val="4"/>
            <w:hideMark/>
          </w:tcPr>
          <w:p w14:paraId="31FB769D"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Le poids net est égal ou inférieur à 1kg (2,2 Ib)</w:t>
            </w:r>
          </w:p>
        </w:tc>
      </w:tr>
      <w:tr w:rsidR="003D69A8" w:rsidRPr="005E1EA7" w14:paraId="0309B9CA" w14:textId="77777777" w:rsidTr="006365F0">
        <w:trPr>
          <w:cantSplit/>
        </w:trPr>
        <w:tc>
          <w:tcPr>
            <w:tcW w:w="3402" w:type="dxa"/>
            <w:hideMark/>
          </w:tcPr>
          <w:p w14:paraId="488CB314" w14:textId="77777777" w:rsidR="003D69A8" w:rsidRPr="005E1EA7" w:rsidRDefault="003D69A8" w:rsidP="006365F0">
            <w:pPr>
              <w:jc w:val="center"/>
              <w:rPr>
                <w:rFonts w:ascii="Tahoma" w:hAnsi="Tahoma" w:cs="Tahoma"/>
                <w:i/>
                <w:sz w:val="20"/>
                <w:szCs w:val="20"/>
              </w:rPr>
            </w:pPr>
            <w:r w:rsidRPr="005E1EA7">
              <w:rPr>
                <w:rFonts w:ascii="Tahoma" w:hAnsi="Tahoma" w:cs="Tahoma"/>
                <w:iCs/>
                <w:sz w:val="20"/>
                <w:szCs w:val="20"/>
              </w:rPr>
              <w:t>Taille du lot (n)</w:t>
            </w:r>
          </w:p>
        </w:tc>
        <w:tc>
          <w:tcPr>
            <w:tcW w:w="2268" w:type="dxa"/>
            <w:hideMark/>
          </w:tcPr>
          <w:p w14:paraId="58BEDC48" w14:textId="77777777" w:rsidR="003D69A8" w:rsidRPr="005E1EA7" w:rsidRDefault="003D69A8" w:rsidP="006365F0">
            <w:pPr>
              <w:jc w:val="center"/>
              <w:rPr>
                <w:rFonts w:ascii="Tahoma" w:hAnsi="Tahoma" w:cs="Tahoma"/>
                <w:i/>
                <w:sz w:val="20"/>
                <w:szCs w:val="20"/>
              </w:rPr>
            </w:pPr>
            <w:r w:rsidRPr="005E1EA7">
              <w:rPr>
                <w:rFonts w:ascii="Tahoma" w:hAnsi="Tahoma" w:cs="Tahoma"/>
                <w:iCs/>
                <w:sz w:val="20"/>
                <w:szCs w:val="20"/>
              </w:rPr>
              <w:t>Taille de l'échantillon (n)</w:t>
            </w:r>
          </w:p>
        </w:tc>
        <w:tc>
          <w:tcPr>
            <w:tcW w:w="3402" w:type="dxa"/>
            <w:gridSpan w:val="2"/>
            <w:hideMark/>
          </w:tcPr>
          <w:p w14:paraId="2D15A414"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Critère d'acceptation</w:t>
            </w:r>
          </w:p>
          <w:p w14:paraId="324458A6" w14:textId="77777777" w:rsidR="003D69A8" w:rsidRPr="005E1EA7" w:rsidRDefault="003D69A8" w:rsidP="006365F0">
            <w:pPr>
              <w:jc w:val="center"/>
              <w:rPr>
                <w:rFonts w:ascii="Tahoma" w:hAnsi="Tahoma" w:cs="Tahoma"/>
                <w:i/>
                <w:sz w:val="20"/>
                <w:szCs w:val="20"/>
              </w:rPr>
            </w:pPr>
            <w:r w:rsidRPr="005E1EA7">
              <w:rPr>
                <w:rFonts w:ascii="Tahoma" w:hAnsi="Tahoma" w:cs="Tahoma"/>
                <w:iCs/>
                <w:sz w:val="20"/>
                <w:szCs w:val="20"/>
              </w:rPr>
              <w:t>nombre (c)*</w:t>
            </w:r>
          </w:p>
        </w:tc>
      </w:tr>
      <w:tr w:rsidR="003D69A8" w:rsidRPr="005E1EA7" w14:paraId="5D819205" w14:textId="77777777" w:rsidTr="006365F0">
        <w:trPr>
          <w:cantSplit/>
        </w:trPr>
        <w:tc>
          <w:tcPr>
            <w:tcW w:w="3402" w:type="dxa"/>
            <w:hideMark/>
          </w:tcPr>
          <w:p w14:paraId="272939ED"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4.800 au moins</w:t>
            </w:r>
          </w:p>
        </w:tc>
        <w:tc>
          <w:tcPr>
            <w:tcW w:w="2268" w:type="dxa"/>
            <w:hideMark/>
          </w:tcPr>
          <w:p w14:paraId="739FEDC6" w14:textId="77777777" w:rsidR="003D69A8" w:rsidRPr="005E1EA7" w:rsidRDefault="003D69A8" w:rsidP="006365F0">
            <w:pPr>
              <w:jc w:val="center"/>
              <w:rPr>
                <w:rFonts w:ascii="Tahoma" w:hAnsi="Tahoma" w:cs="Tahoma"/>
                <w:i/>
                <w:sz w:val="20"/>
                <w:szCs w:val="20"/>
              </w:rPr>
            </w:pPr>
            <w:r w:rsidRPr="005E1EA7">
              <w:rPr>
                <w:rFonts w:ascii="Tahoma" w:hAnsi="Tahoma" w:cs="Tahoma"/>
                <w:i/>
                <w:sz w:val="20"/>
                <w:szCs w:val="20"/>
              </w:rPr>
              <w:t>13</w:t>
            </w:r>
          </w:p>
        </w:tc>
        <w:tc>
          <w:tcPr>
            <w:tcW w:w="1701" w:type="dxa"/>
            <w:hideMark/>
          </w:tcPr>
          <w:p w14:paraId="5971AA02" w14:textId="77777777" w:rsidR="003D69A8" w:rsidRPr="005E1EA7" w:rsidRDefault="003D69A8" w:rsidP="006365F0">
            <w:pPr>
              <w:jc w:val="center"/>
              <w:rPr>
                <w:rFonts w:ascii="Tahoma" w:hAnsi="Tahoma" w:cs="Tahoma"/>
                <w:i/>
                <w:sz w:val="20"/>
                <w:szCs w:val="20"/>
              </w:rPr>
            </w:pPr>
            <w:r w:rsidRPr="005E1EA7">
              <w:rPr>
                <w:rFonts w:ascii="Tahoma" w:hAnsi="Tahoma" w:cs="Tahoma"/>
                <w:i/>
                <w:sz w:val="20"/>
                <w:szCs w:val="20"/>
              </w:rPr>
              <w:t>2</w:t>
            </w:r>
          </w:p>
        </w:tc>
        <w:tc>
          <w:tcPr>
            <w:tcW w:w="1701" w:type="dxa"/>
            <w:hideMark/>
          </w:tcPr>
          <w:p w14:paraId="7893E9E9" w14:textId="77777777" w:rsidR="003D69A8" w:rsidRPr="005E1EA7" w:rsidRDefault="003D69A8" w:rsidP="006365F0">
            <w:pPr>
              <w:jc w:val="center"/>
              <w:rPr>
                <w:rFonts w:ascii="Tahoma" w:hAnsi="Tahoma" w:cs="Tahoma"/>
                <w:i/>
                <w:sz w:val="20"/>
                <w:szCs w:val="20"/>
              </w:rPr>
            </w:pPr>
            <w:r w:rsidRPr="005E1EA7">
              <w:rPr>
                <w:rFonts w:ascii="Tahoma" w:hAnsi="Tahoma" w:cs="Tahoma"/>
                <w:i/>
                <w:sz w:val="20"/>
                <w:szCs w:val="20"/>
              </w:rPr>
              <w:t>(1)</w:t>
            </w:r>
          </w:p>
        </w:tc>
      </w:tr>
      <w:tr w:rsidR="003D69A8" w:rsidRPr="005E1EA7" w14:paraId="2607F122" w14:textId="77777777" w:rsidTr="006365F0">
        <w:trPr>
          <w:cantSplit/>
        </w:trPr>
        <w:tc>
          <w:tcPr>
            <w:tcW w:w="3402" w:type="dxa"/>
            <w:hideMark/>
          </w:tcPr>
          <w:p w14:paraId="4ECBA5C1"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4.801 à 24.000</w:t>
            </w:r>
          </w:p>
        </w:tc>
        <w:tc>
          <w:tcPr>
            <w:tcW w:w="2268" w:type="dxa"/>
            <w:hideMark/>
          </w:tcPr>
          <w:p w14:paraId="75A2B214" w14:textId="77777777" w:rsidR="003D69A8" w:rsidRPr="005E1EA7" w:rsidRDefault="003D69A8" w:rsidP="006365F0">
            <w:pPr>
              <w:jc w:val="center"/>
              <w:rPr>
                <w:rFonts w:ascii="Tahoma" w:hAnsi="Tahoma" w:cs="Tahoma"/>
                <w:i/>
                <w:sz w:val="20"/>
                <w:szCs w:val="20"/>
              </w:rPr>
            </w:pPr>
            <w:r w:rsidRPr="005E1EA7">
              <w:rPr>
                <w:rFonts w:ascii="Tahoma" w:hAnsi="Tahoma" w:cs="Tahoma"/>
                <w:i/>
                <w:sz w:val="20"/>
                <w:szCs w:val="20"/>
              </w:rPr>
              <w:t>21</w:t>
            </w:r>
          </w:p>
        </w:tc>
        <w:tc>
          <w:tcPr>
            <w:tcW w:w="1701" w:type="dxa"/>
            <w:hideMark/>
          </w:tcPr>
          <w:p w14:paraId="7D96A8B7" w14:textId="77777777" w:rsidR="003D69A8" w:rsidRPr="005E1EA7" w:rsidRDefault="003D69A8" w:rsidP="006365F0">
            <w:pPr>
              <w:jc w:val="center"/>
              <w:rPr>
                <w:rFonts w:ascii="Tahoma" w:hAnsi="Tahoma" w:cs="Tahoma"/>
                <w:i/>
                <w:sz w:val="20"/>
                <w:szCs w:val="20"/>
              </w:rPr>
            </w:pPr>
            <w:r w:rsidRPr="005E1EA7">
              <w:rPr>
                <w:rFonts w:ascii="Tahoma" w:hAnsi="Tahoma" w:cs="Tahoma"/>
                <w:i/>
                <w:sz w:val="20"/>
                <w:szCs w:val="20"/>
              </w:rPr>
              <w:t>3</w:t>
            </w:r>
          </w:p>
        </w:tc>
        <w:tc>
          <w:tcPr>
            <w:tcW w:w="1701" w:type="dxa"/>
            <w:hideMark/>
          </w:tcPr>
          <w:p w14:paraId="17D373A3" w14:textId="77777777" w:rsidR="003D69A8" w:rsidRPr="005E1EA7" w:rsidRDefault="003D69A8" w:rsidP="006365F0">
            <w:pPr>
              <w:jc w:val="center"/>
              <w:rPr>
                <w:rFonts w:ascii="Tahoma" w:hAnsi="Tahoma" w:cs="Tahoma"/>
                <w:i/>
                <w:sz w:val="20"/>
                <w:szCs w:val="20"/>
              </w:rPr>
            </w:pPr>
            <w:r w:rsidRPr="005E1EA7">
              <w:rPr>
                <w:rFonts w:ascii="Tahoma" w:hAnsi="Tahoma" w:cs="Tahoma"/>
                <w:i/>
                <w:sz w:val="20"/>
                <w:szCs w:val="20"/>
              </w:rPr>
              <w:t>(2)</w:t>
            </w:r>
          </w:p>
        </w:tc>
      </w:tr>
      <w:tr w:rsidR="003D69A8" w:rsidRPr="005E1EA7" w14:paraId="6E765E14" w14:textId="77777777" w:rsidTr="006365F0">
        <w:trPr>
          <w:cantSplit/>
        </w:trPr>
        <w:tc>
          <w:tcPr>
            <w:tcW w:w="3402" w:type="dxa"/>
            <w:hideMark/>
          </w:tcPr>
          <w:p w14:paraId="19BA72AE"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24.001 à 48.000</w:t>
            </w:r>
          </w:p>
        </w:tc>
        <w:tc>
          <w:tcPr>
            <w:tcW w:w="2268" w:type="dxa"/>
            <w:hideMark/>
          </w:tcPr>
          <w:p w14:paraId="20CE4213" w14:textId="77777777" w:rsidR="003D69A8" w:rsidRPr="005E1EA7" w:rsidRDefault="003D69A8" w:rsidP="006365F0">
            <w:pPr>
              <w:jc w:val="center"/>
              <w:rPr>
                <w:rFonts w:ascii="Tahoma" w:hAnsi="Tahoma" w:cs="Tahoma"/>
                <w:i/>
                <w:sz w:val="20"/>
                <w:szCs w:val="20"/>
              </w:rPr>
            </w:pPr>
            <w:r w:rsidRPr="005E1EA7">
              <w:rPr>
                <w:rFonts w:ascii="Tahoma" w:hAnsi="Tahoma" w:cs="Tahoma"/>
                <w:i/>
                <w:sz w:val="20"/>
                <w:szCs w:val="20"/>
              </w:rPr>
              <w:t>29</w:t>
            </w:r>
          </w:p>
        </w:tc>
        <w:tc>
          <w:tcPr>
            <w:tcW w:w="1701" w:type="dxa"/>
            <w:hideMark/>
          </w:tcPr>
          <w:p w14:paraId="23C9839C" w14:textId="77777777" w:rsidR="003D69A8" w:rsidRPr="005E1EA7" w:rsidRDefault="003D69A8" w:rsidP="006365F0">
            <w:pPr>
              <w:jc w:val="center"/>
              <w:rPr>
                <w:rFonts w:ascii="Tahoma" w:hAnsi="Tahoma" w:cs="Tahoma"/>
                <w:i/>
                <w:sz w:val="20"/>
                <w:szCs w:val="20"/>
              </w:rPr>
            </w:pPr>
            <w:r w:rsidRPr="005E1EA7">
              <w:rPr>
                <w:rFonts w:ascii="Tahoma" w:hAnsi="Tahoma" w:cs="Tahoma"/>
                <w:i/>
                <w:sz w:val="20"/>
                <w:szCs w:val="20"/>
              </w:rPr>
              <w:t>4</w:t>
            </w:r>
          </w:p>
        </w:tc>
        <w:tc>
          <w:tcPr>
            <w:tcW w:w="1701" w:type="dxa"/>
            <w:hideMark/>
          </w:tcPr>
          <w:p w14:paraId="04CAADB3" w14:textId="77777777" w:rsidR="003D69A8" w:rsidRPr="005E1EA7" w:rsidRDefault="003D69A8" w:rsidP="006365F0">
            <w:pPr>
              <w:jc w:val="center"/>
              <w:rPr>
                <w:rFonts w:ascii="Tahoma" w:hAnsi="Tahoma" w:cs="Tahoma"/>
                <w:i/>
                <w:sz w:val="20"/>
                <w:szCs w:val="20"/>
              </w:rPr>
            </w:pPr>
            <w:r w:rsidRPr="005E1EA7">
              <w:rPr>
                <w:rFonts w:ascii="Tahoma" w:hAnsi="Tahoma" w:cs="Tahoma"/>
                <w:i/>
                <w:sz w:val="20"/>
                <w:szCs w:val="20"/>
              </w:rPr>
              <w:t>(3)</w:t>
            </w:r>
          </w:p>
        </w:tc>
      </w:tr>
      <w:tr w:rsidR="003D69A8" w:rsidRPr="005E1EA7" w14:paraId="5D78747C" w14:textId="77777777" w:rsidTr="006365F0">
        <w:trPr>
          <w:cantSplit/>
        </w:trPr>
        <w:tc>
          <w:tcPr>
            <w:tcW w:w="3402" w:type="dxa"/>
            <w:hideMark/>
          </w:tcPr>
          <w:p w14:paraId="4E040BFE"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48.001 à 84.000</w:t>
            </w:r>
          </w:p>
        </w:tc>
        <w:tc>
          <w:tcPr>
            <w:tcW w:w="2268" w:type="dxa"/>
            <w:hideMark/>
          </w:tcPr>
          <w:p w14:paraId="0C4CEA51" w14:textId="77777777" w:rsidR="003D69A8" w:rsidRPr="005E1EA7" w:rsidRDefault="003D69A8" w:rsidP="006365F0">
            <w:pPr>
              <w:jc w:val="center"/>
              <w:rPr>
                <w:rFonts w:ascii="Tahoma" w:hAnsi="Tahoma" w:cs="Tahoma"/>
                <w:i/>
                <w:sz w:val="20"/>
                <w:szCs w:val="20"/>
              </w:rPr>
            </w:pPr>
            <w:r w:rsidRPr="005E1EA7">
              <w:rPr>
                <w:rFonts w:ascii="Tahoma" w:hAnsi="Tahoma" w:cs="Tahoma"/>
                <w:i/>
                <w:sz w:val="20"/>
                <w:szCs w:val="20"/>
              </w:rPr>
              <w:t>48</w:t>
            </w:r>
          </w:p>
        </w:tc>
        <w:tc>
          <w:tcPr>
            <w:tcW w:w="1701" w:type="dxa"/>
            <w:hideMark/>
          </w:tcPr>
          <w:p w14:paraId="7DC5CD22" w14:textId="77777777" w:rsidR="003D69A8" w:rsidRPr="005E1EA7" w:rsidRDefault="003D69A8" w:rsidP="006365F0">
            <w:pPr>
              <w:jc w:val="center"/>
              <w:rPr>
                <w:rFonts w:ascii="Tahoma" w:hAnsi="Tahoma" w:cs="Tahoma"/>
                <w:i/>
                <w:sz w:val="20"/>
                <w:szCs w:val="20"/>
              </w:rPr>
            </w:pPr>
            <w:r w:rsidRPr="005E1EA7">
              <w:rPr>
                <w:rFonts w:ascii="Tahoma" w:hAnsi="Tahoma" w:cs="Tahoma"/>
                <w:i/>
                <w:sz w:val="20"/>
                <w:szCs w:val="20"/>
              </w:rPr>
              <w:t>6</w:t>
            </w:r>
          </w:p>
        </w:tc>
        <w:tc>
          <w:tcPr>
            <w:tcW w:w="1701" w:type="dxa"/>
            <w:hideMark/>
          </w:tcPr>
          <w:p w14:paraId="285B9BE5" w14:textId="77777777" w:rsidR="003D69A8" w:rsidRPr="005E1EA7" w:rsidRDefault="003D69A8" w:rsidP="006365F0">
            <w:pPr>
              <w:jc w:val="center"/>
              <w:rPr>
                <w:rFonts w:ascii="Tahoma" w:hAnsi="Tahoma" w:cs="Tahoma"/>
                <w:i/>
                <w:sz w:val="20"/>
                <w:szCs w:val="20"/>
              </w:rPr>
            </w:pPr>
            <w:r w:rsidRPr="005E1EA7">
              <w:rPr>
                <w:rFonts w:ascii="Tahoma" w:hAnsi="Tahoma" w:cs="Tahoma"/>
                <w:i/>
                <w:sz w:val="20"/>
                <w:szCs w:val="20"/>
              </w:rPr>
              <w:t>(4)</w:t>
            </w:r>
          </w:p>
        </w:tc>
      </w:tr>
      <w:tr w:rsidR="003D69A8" w:rsidRPr="005E1EA7" w14:paraId="59ACC118" w14:textId="77777777" w:rsidTr="006365F0">
        <w:trPr>
          <w:cantSplit/>
        </w:trPr>
        <w:tc>
          <w:tcPr>
            <w:tcW w:w="3402" w:type="dxa"/>
            <w:hideMark/>
          </w:tcPr>
          <w:p w14:paraId="7119A025"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84.001 à 144.000</w:t>
            </w:r>
          </w:p>
        </w:tc>
        <w:tc>
          <w:tcPr>
            <w:tcW w:w="2268" w:type="dxa"/>
            <w:hideMark/>
          </w:tcPr>
          <w:p w14:paraId="7F21A93E" w14:textId="77777777" w:rsidR="003D69A8" w:rsidRPr="005E1EA7" w:rsidRDefault="003D69A8" w:rsidP="006365F0">
            <w:pPr>
              <w:jc w:val="center"/>
              <w:rPr>
                <w:rFonts w:ascii="Tahoma" w:hAnsi="Tahoma" w:cs="Tahoma"/>
                <w:i/>
                <w:sz w:val="20"/>
                <w:szCs w:val="20"/>
              </w:rPr>
            </w:pPr>
            <w:r w:rsidRPr="005E1EA7">
              <w:rPr>
                <w:rFonts w:ascii="Tahoma" w:hAnsi="Tahoma" w:cs="Tahoma"/>
                <w:i/>
                <w:sz w:val="20"/>
                <w:szCs w:val="20"/>
              </w:rPr>
              <w:t>84</w:t>
            </w:r>
          </w:p>
        </w:tc>
        <w:tc>
          <w:tcPr>
            <w:tcW w:w="1701" w:type="dxa"/>
            <w:hideMark/>
          </w:tcPr>
          <w:p w14:paraId="4966AED4" w14:textId="77777777" w:rsidR="003D69A8" w:rsidRPr="005E1EA7" w:rsidRDefault="003D69A8" w:rsidP="006365F0">
            <w:pPr>
              <w:jc w:val="center"/>
              <w:rPr>
                <w:rFonts w:ascii="Tahoma" w:hAnsi="Tahoma" w:cs="Tahoma"/>
                <w:i/>
                <w:sz w:val="20"/>
                <w:szCs w:val="20"/>
              </w:rPr>
            </w:pPr>
            <w:r w:rsidRPr="005E1EA7">
              <w:rPr>
                <w:rFonts w:ascii="Tahoma" w:hAnsi="Tahoma" w:cs="Tahoma"/>
                <w:i/>
                <w:sz w:val="20"/>
                <w:szCs w:val="20"/>
              </w:rPr>
              <w:t>9</w:t>
            </w:r>
          </w:p>
        </w:tc>
        <w:tc>
          <w:tcPr>
            <w:tcW w:w="1701" w:type="dxa"/>
            <w:hideMark/>
          </w:tcPr>
          <w:p w14:paraId="034DC5DF" w14:textId="77777777" w:rsidR="003D69A8" w:rsidRPr="005E1EA7" w:rsidRDefault="003D69A8" w:rsidP="006365F0">
            <w:pPr>
              <w:jc w:val="center"/>
              <w:rPr>
                <w:rFonts w:ascii="Tahoma" w:hAnsi="Tahoma" w:cs="Tahoma"/>
                <w:i/>
                <w:sz w:val="20"/>
                <w:szCs w:val="20"/>
              </w:rPr>
            </w:pPr>
            <w:r w:rsidRPr="005E1EA7">
              <w:rPr>
                <w:rFonts w:ascii="Tahoma" w:hAnsi="Tahoma" w:cs="Tahoma"/>
                <w:i/>
                <w:sz w:val="20"/>
                <w:szCs w:val="20"/>
              </w:rPr>
              <w:t>(6)</w:t>
            </w:r>
          </w:p>
        </w:tc>
      </w:tr>
      <w:tr w:rsidR="003D69A8" w:rsidRPr="005E1EA7" w14:paraId="2173D0FE" w14:textId="77777777" w:rsidTr="006365F0">
        <w:trPr>
          <w:cantSplit/>
        </w:trPr>
        <w:tc>
          <w:tcPr>
            <w:tcW w:w="3402" w:type="dxa"/>
            <w:hideMark/>
          </w:tcPr>
          <w:p w14:paraId="5378A1B1"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144.001 à 240.000</w:t>
            </w:r>
          </w:p>
        </w:tc>
        <w:tc>
          <w:tcPr>
            <w:tcW w:w="2268" w:type="dxa"/>
            <w:hideMark/>
          </w:tcPr>
          <w:p w14:paraId="55DFEA54" w14:textId="77777777" w:rsidR="003D69A8" w:rsidRPr="005E1EA7" w:rsidRDefault="003D69A8" w:rsidP="006365F0">
            <w:pPr>
              <w:jc w:val="center"/>
              <w:rPr>
                <w:rFonts w:ascii="Tahoma" w:hAnsi="Tahoma" w:cs="Tahoma"/>
                <w:i/>
                <w:sz w:val="20"/>
                <w:szCs w:val="20"/>
              </w:rPr>
            </w:pPr>
            <w:r w:rsidRPr="005E1EA7">
              <w:rPr>
                <w:rFonts w:ascii="Tahoma" w:hAnsi="Tahoma" w:cs="Tahoma"/>
                <w:i/>
                <w:sz w:val="20"/>
                <w:szCs w:val="20"/>
              </w:rPr>
              <w:t>126</w:t>
            </w:r>
          </w:p>
        </w:tc>
        <w:tc>
          <w:tcPr>
            <w:tcW w:w="1701" w:type="dxa"/>
            <w:hideMark/>
          </w:tcPr>
          <w:p w14:paraId="0A2D68FE" w14:textId="77777777" w:rsidR="003D69A8" w:rsidRPr="005E1EA7" w:rsidRDefault="003D69A8" w:rsidP="006365F0">
            <w:pPr>
              <w:jc w:val="center"/>
              <w:rPr>
                <w:rFonts w:ascii="Tahoma" w:hAnsi="Tahoma" w:cs="Tahoma"/>
                <w:i/>
                <w:sz w:val="20"/>
                <w:szCs w:val="20"/>
              </w:rPr>
            </w:pPr>
            <w:r w:rsidRPr="005E1EA7">
              <w:rPr>
                <w:rFonts w:ascii="Tahoma" w:hAnsi="Tahoma" w:cs="Tahoma"/>
                <w:i/>
                <w:sz w:val="20"/>
                <w:szCs w:val="20"/>
              </w:rPr>
              <w:t>13</w:t>
            </w:r>
          </w:p>
        </w:tc>
        <w:tc>
          <w:tcPr>
            <w:tcW w:w="1701" w:type="dxa"/>
            <w:hideMark/>
          </w:tcPr>
          <w:p w14:paraId="0B218EE6" w14:textId="77777777" w:rsidR="003D69A8" w:rsidRPr="005E1EA7" w:rsidRDefault="003D69A8" w:rsidP="006365F0">
            <w:pPr>
              <w:jc w:val="center"/>
              <w:rPr>
                <w:rFonts w:ascii="Tahoma" w:hAnsi="Tahoma" w:cs="Tahoma"/>
                <w:i/>
                <w:sz w:val="20"/>
                <w:szCs w:val="20"/>
              </w:rPr>
            </w:pPr>
            <w:r w:rsidRPr="005E1EA7">
              <w:rPr>
                <w:rFonts w:ascii="Tahoma" w:hAnsi="Tahoma" w:cs="Tahoma"/>
                <w:i/>
                <w:sz w:val="20"/>
                <w:szCs w:val="20"/>
              </w:rPr>
              <w:t>(9)</w:t>
            </w:r>
          </w:p>
        </w:tc>
      </w:tr>
      <w:tr w:rsidR="003D69A8" w:rsidRPr="005E1EA7" w14:paraId="4FD0145A" w14:textId="77777777" w:rsidTr="006365F0">
        <w:trPr>
          <w:cantSplit/>
        </w:trPr>
        <w:tc>
          <w:tcPr>
            <w:tcW w:w="3402" w:type="dxa"/>
            <w:hideMark/>
          </w:tcPr>
          <w:p w14:paraId="73256607"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Plus de 240.000</w:t>
            </w:r>
          </w:p>
        </w:tc>
        <w:tc>
          <w:tcPr>
            <w:tcW w:w="2268" w:type="dxa"/>
            <w:hideMark/>
          </w:tcPr>
          <w:p w14:paraId="7CC81EDD" w14:textId="77777777" w:rsidR="003D69A8" w:rsidRPr="005E1EA7" w:rsidRDefault="003D69A8" w:rsidP="006365F0">
            <w:pPr>
              <w:jc w:val="center"/>
              <w:rPr>
                <w:rFonts w:ascii="Tahoma" w:hAnsi="Tahoma" w:cs="Tahoma"/>
                <w:i/>
                <w:sz w:val="20"/>
                <w:szCs w:val="20"/>
              </w:rPr>
            </w:pPr>
            <w:r w:rsidRPr="005E1EA7">
              <w:rPr>
                <w:rFonts w:ascii="Tahoma" w:hAnsi="Tahoma" w:cs="Tahoma"/>
                <w:i/>
                <w:sz w:val="20"/>
                <w:szCs w:val="20"/>
              </w:rPr>
              <w:t>200</w:t>
            </w:r>
          </w:p>
        </w:tc>
        <w:tc>
          <w:tcPr>
            <w:tcW w:w="1701" w:type="dxa"/>
            <w:hideMark/>
          </w:tcPr>
          <w:p w14:paraId="2454FBF3" w14:textId="77777777" w:rsidR="003D69A8" w:rsidRPr="005E1EA7" w:rsidRDefault="003D69A8" w:rsidP="006365F0">
            <w:pPr>
              <w:jc w:val="center"/>
              <w:rPr>
                <w:rFonts w:ascii="Tahoma" w:hAnsi="Tahoma" w:cs="Tahoma"/>
                <w:i/>
                <w:sz w:val="20"/>
                <w:szCs w:val="20"/>
              </w:rPr>
            </w:pPr>
            <w:r w:rsidRPr="005E1EA7">
              <w:rPr>
                <w:rFonts w:ascii="Tahoma" w:hAnsi="Tahoma" w:cs="Tahoma"/>
                <w:i/>
                <w:sz w:val="20"/>
                <w:szCs w:val="20"/>
              </w:rPr>
              <w:t>19</w:t>
            </w:r>
          </w:p>
        </w:tc>
        <w:tc>
          <w:tcPr>
            <w:tcW w:w="1701" w:type="dxa"/>
            <w:hideMark/>
          </w:tcPr>
          <w:p w14:paraId="6B524FE6" w14:textId="77777777" w:rsidR="003D69A8" w:rsidRPr="005E1EA7" w:rsidRDefault="003D69A8" w:rsidP="006365F0">
            <w:pPr>
              <w:jc w:val="center"/>
              <w:rPr>
                <w:rFonts w:ascii="Tahoma" w:hAnsi="Tahoma" w:cs="Tahoma"/>
                <w:i/>
                <w:sz w:val="20"/>
                <w:szCs w:val="20"/>
              </w:rPr>
            </w:pPr>
            <w:r w:rsidRPr="005E1EA7">
              <w:rPr>
                <w:rFonts w:ascii="Tahoma" w:hAnsi="Tahoma" w:cs="Tahoma"/>
                <w:i/>
                <w:sz w:val="20"/>
                <w:szCs w:val="20"/>
              </w:rPr>
              <w:t>(13)</w:t>
            </w:r>
          </w:p>
        </w:tc>
      </w:tr>
      <w:tr w:rsidR="003D69A8" w:rsidRPr="005E1EA7" w14:paraId="1457ABE4" w14:textId="77777777" w:rsidTr="006365F0">
        <w:trPr>
          <w:cantSplit/>
        </w:trPr>
        <w:tc>
          <w:tcPr>
            <w:tcW w:w="9072" w:type="dxa"/>
            <w:gridSpan w:val="4"/>
            <w:hideMark/>
          </w:tcPr>
          <w:p w14:paraId="7CA9ACD0"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Poids net supérieur à 1 kg (2,2 lb) mais moins que 4,5kg (10 lb)</w:t>
            </w:r>
          </w:p>
        </w:tc>
      </w:tr>
      <w:tr w:rsidR="003D69A8" w:rsidRPr="005E1EA7" w14:paraId="6E590D9B" w14:textId="77777777" w:rsidTr="006365F0">
        <w:trPr>
          <w:cantSplit/>
        </w:trPr>
        <w:tc>
          <w:tcPr>
            <w:tcW w:w="3402" w:type="dxa"/>
            <w:hideMark/>
          </w:tcPr>
          <w:p w14:paraId="0269F4C4" w14:textId="77777777" w:rsidR="003D69A8" w:rsidRPr="005E1EA7" w:rsidRDefault="003D69A8" w:rsidP="006365F0">
            <w:pPr>
              <w:jc w:val="both"/>
              <w:rPr>
                <w:rFonts w:ascii="Tahoma" w:hAnsi="Tahoma" w:cs="Tahoma"/>
                <w:iCs/>
                <w:sz w:val="20"/>
                <w:szCs w:val="20"/>
              </w:rPr>
            </w:pPr>
            <w:r w:rsidRPr="005E1EA7">
              <w:rPr>
                <w:rFonts w:ascii="Tahoma" w:hAnsi="Tahoma" w:cs="Tahoma"/>
                <w:iCs/>
                <w:sz w:val="20"/>
                <w:szCs w:val="20"/>
              </w:rPr>
              <w:t>Taille du lot (n)</w:t>
            </w:r>
          </w:p>
        </w:tc>
        <w:tc>
          <w:tcPr>
            <w:tcW w:w="2268" w:type="dxa"/>
            <w:hideMark/>
          </w:tcPr>
          <w:p w14:paraId="35DFB9C0"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Taille de l'échantillon (n)</w:t>
            </w:r>
          </w:p>
        </w:tc>
        <w:tc>
          <w:tcPr>
            <w:tcW w:w="3402" w:type="dxa"/>
            <w:gridSpan w:val="2"/>
            <w:hideMark/>
          </w:tcPr>
          <w:p w14:paraId="62E5DD95"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 xml:space="preserve">Critère d'acceptation </w:t>
            </w:r>
          </w:p>
          <w:p w14:paraId="27727E03"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nombre (c)*</w:t>
            </w:r>
          </w:p>
        </w:tc>
      </w:tr>
      <w:tr w:rsidR="003D69A8" w:rsidRPr="005E1EA7" w14:paraId="2A6D0543" w14:textId="77777777" w:rsidTr="006365F0">
        <w:trPr>
          <w:cantSplit/>
        </w:trPr>
        <w:tc>
          <w:tcPr>
            <w:tcW w:w="3402" w:type="dxa"/>
            <w:hideMark/>
          </w:tcPr>
          <w:p w14:paraId="696BEF50"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2.400 ou moins</w:t>
            </w:r>
          </w:p>
        </w:tc>
        <w:tc>
          <w:tcPr>
            <w:tcW w:w="2268" w:type="dxa"/>
            <w:hideMark/>
          </w:tcPr>
          <w:p w14:paraId="6CC8C194"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13</w:t>
            </w:r>
          </w:p>
        </w:tc>
        <w:tc>
          <w:tcPr>
            <w:tcW w:w="1701" w:type="dxa"/>
            <w:hideMark/>
          </w:tcPr>
          <w:p w14:paraId="6CB72BB8"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2</w:t>
            </w:r>
          </w:p>
        </w:tc>
        <w:tc>
          <w:tcPr>
            <w:tcW w:w="1701" w:type="dxa"/>
            <w:hideMark/>
          </w:tcPr>
          <w:p w14:paraId="4A1533B2"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(1)</w:t>
            </w:r>
          </w:p>
        </w:tc>
      </w:tr>
      <w:tr w:rsidR="003D69A8" w:rsidRPr="005E1EA7" w14:paraId="0CF971BA" w14:textId="77777777" w:rsidTr="006365F0">
        <w:trPr>
          <w:cantSplit/>
        </w:trPr>
        <w:tc>
          <w:tcPr>
            <w:tcW w:w="3402" w:type="dxa"/>
            <w:hideMark/>
          </w:tcPr>
          <w:p w14:paraId="336FADC3"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2.401 à 15.000</w:t>
            </w:r>
          </w:p>
        </w:tc>
        <w:tc>
          <w:tcPr>
            <w:tcW w:w="2268" w:type="dxa"/>
            <w:hideMark/>
          </w:tcPr>
          <w:p w14:paraId="5E69E42F"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21</w:t>
            </w:r>
          </w:p>
        </w:tc>
        <w:tc>
          <w:tcPr>
            <w:tcW w:w="1701" w:type="dxa"/>
            <w:hideMark/>
          </w:tcPr>
          <w:p w14:paraId="1F63D0D1"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3</w:t>
            </w:r>
          </w:p>
        </w:tc>
        <w:tc>
          <w:tcPr>
            <w:tcW w:w="1701" w:type="dxa"/>
            <w:hideMark/>
          </w:tcPr>
          <w:p w14:paraId="534EB16D"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(2)</w:t>
            </w:r>
          </w:p>
        </w:tc>
      </w:tr>
      <w:tr w:rsidR="003D69A8" w:rsidRPr="005E1EA7" w14:paraId="2AB70913" w14:textId="77777777" w:rsidTr="006365F0">
        <w:trPr>
          <w:cantSplit/>
        </w:trPr>
        <w:tc>
          <w:tcPr>
            <w:tcW w:w="3402" w:type="dxa"/>
            <w:hideMark/>
          </w:tcPr>
          <w:p w14:paraId="588C98DA"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15.001 à 24.000</w:t>
            </w:r>
          </w:p>
        </w:tc>
        <w:tc>
          <w:tcPr>
            <w:tcW w:w="2268" w:type="dxa"/>
            <w:hideMark/>
          </w:tcPr>
          <w:p w14:paraId="24D0CA73"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29</w:t>
            </w:r>
          </w:p>
        </w:tc>
        <w:tc>
          <w:tcPr>
            <w:tcW w:w="1701" w:type="dxa"/>
            <w:hideMark/>
          </w:tcPr>
          <w:p w14:paraId="78F35CCA"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4</w:t>
            </w:r>
          </w:p>
        </w:tc>
        <w:tc>
          <w:tcPr>
            <w:tcW w:w="1701" w:type="dxa"/>
            <w:hideMark/>
          </w:tcPr>
          <w:p w14:paraId="2B3BA85F"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(3)</w:t>
            </w:r>
          </w:p>
        </w:tc>
      </w:tr>
      <w:tr w:rsidR="003D69A8" w:rsidRPr="005E1EA7" w14:paraId="0CE6ECE6" w14:textId="77777777" w:rsidTr="006365F0">
        <w:trPr>
          <w:cantSplit/>
        </w:trPr>
        <w:tc>
          <w:tcPr>
            <w:tcW w:w="3402" w:type="dxa"/>
            <w:hideMark/>
          </w:tcPr>
          <w:p w14:paraId="4AE3D918"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24.001 à 42.000</w:t>
            </w:r>
          </w:p>
        </w:tc>
        <w:tc>
          <w:tcPr>
            <w:tcW w:w="2268" w:type="dxa"/>
            <w:hideMark/>
          </w:tcPr>
          <w:p w14:paraId="220C5A97"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48</w:t>
            </w:r>
          </w:p>
        </w:tc>
        <w:tc>
          <w:tcPr>
            <w:tcW w:w="1701" w:type="dxa"/>
            <w:hideMark/>
          </w:tcPr>
          <w:p w14:paraId="4EFC29C6"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6</w:t>
            </w:r>
          </w:p>
        </w:tc>
        <w:tc>
          <w:tcPr>
            <w:tcW w:w="1701" w:type="dxa"/>
            <w:hideMark/>
          </w:tcPr>
          <w:p w14:paraId="3ADB5F61"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(4)</w:t>
            </w:r>
          </w:p>
        </w:tc>
      </w:tr>
      <w:tr w:rsidR="003D69A8" w:rsidRPr="005E1EA7" w14:paraId="12076E02" w14:textId="77777777" w:rsidTr="006365F0">
        <w:trPr>
          <w:cantSplit/>
        </w:trPr>
        <w:tc>
          <w:tcPr>
            <w:tcW w:w="3402" w:type="dxa"/>
            <w:hideMark/>
          </w:tcPr>
          <w:p w14:paraId="121AF32C"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42.001 à 72.000</w:t>
            </w:r>
          </w:p>
        </w:tc>
        <w:tc>
          <w:tcPr>
            <w:tcW w:w="2268" w:type="dxa"/>
            <w:hideMark/>
          </w:tcPr>
          <w:p w14:paraId="2EEF9AA1"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84</w:t>
            </w:r>
          </w:p>
        </w:tc>
        <w:tc>
          <w:tcPr>
            <w:tcW w:w="1701" w:type="dxa"/>
            <w:hideMark/>
          </w:tcPr>
          <w:p w14:paraId="390BDC71"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9</w:t>
            </w:r>
          </w:p>
        </w:tc>
        <w:tc>
          <w:tcPr>
            <w:tcW w:w="1701" w:type="dxa"/>
            <w:hideMark/>
          </w:tcPr>
          <w:p w14:paraId="1714BF9B"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(6)</w:t>
            </w:r>
          </w:p>
        </w:tc>
      </w:tr>
      <w:tr w:rsidR="003D69A8" w:rsidRPr="005E1EA7" w14:paraId="2ADD48AD" w14:textId="77777777" w:rsidTr="006365F0">
        <w:trPr>
          <w:cantSplit/>
        </w:trPr>
        <w:tc>
          <w:tcPr>
            <w:tcW w:w="3402" w:type="dxa"/>
            <w:hideMark/>
          </w:tcPr>
          <w:p w14:paraId="42140E41"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72.001 à 120.000</w:t>
            </w:r>
          </w:p>
        </w:tc>
        <w:tc>
          <w:tcPr>
            <w:tcW w:w="2268" w:type="dxa"/>
            <w:hideMark/>
          </w:tcPr>
          <w:p w14:paraId="1673B10D"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126</w:t>
            </w:r>
          </w:p>
        </w:tc>
        <w:tc>
          <w:tcPr>
            <w:tcW w:w="1701" w:type="dxa"/>
            <w:hideMark/>
          </w:tcPr>
          <w:p w14:paraId="6F5C069A"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13</w:t>
            </w:r>
          </w:p>
        </w:tc>
        <w:tc>
          <w:tcPr>
            <w:tcW w:w="1701" w:type="dxa"/>
            <w:hideMark/>
          </w:tcPr>
          <w:p w14:paraId="38763BB4"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(9)</w:t>
            </w:r>
          </w:p>
        </w:tc>
      </w:tr>
      <w:tr w:rsidR="003D69A8" w:rsidRPr="005E1EA7" w14:paraId="5A4A13A7" w14:textId="77777777" w:rsidTr="006365F0">
        <w:trPr>
          <w:cantSplit/>
        </w:trPr>
        <w:tc>
          <w:tcPr>
            <w:tcW w:w="3402" w:type="dxa"/>
            <w:hideMark/>
          </w:tcPr>
          <w:p w14:paraId="0639D7FD"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Plus de 120.000</w:t>
            </w:r>
          </w:p>
        </w:tc>
        <w:tc>
          <w:tcPr>
            <w:tcW w:w="2268" w:type="dxa"/>
            <w:hideMark/>
          </w:tcPr>
          <w:p w14:paraId="741FAECB"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200</w:t>
            </w:r>
          </w:p>
        </w:tc>
        <w:tc>
          <w:tcPr>
            <w:tcW w:w="1701" w:type="dxa"/>
            <w:hideMark/>
          </w:tcPr>
          <w:p w14:paraId="7E819030"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19</w:t>
            </w:r>
          </w:p>
        </w:tc>
        <w:tc>
          <w:tcPr>
            <w:tcW w:w="1701" w:type="dxa"/>
            <w:hideMark/>
          </w:tcPr>
          <w:p w14:paraId="4B857799"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(13)</w:t>
            </w:r>
          </w:p>
        </w:tc>
      </w:tr>
      <w:tr w:rsidR="003D69A8" w:rsidRPr="005E1EA7" w14:paraId="5B915286" w14:textId="77777777" w:rsidTr="006365F0">
        <w:trPr>
          <w:cantSplit/>
        </w:trPr>
        <w:tc>
          <w:tcPr>
            <w:tcW w:w="9072" w:type="dxa"/>
            <w:gridSpan w:val="4"/>
            <w:hideMark/>
          </w:tcPr>
          <w:p w14:paraId="66E0DD29"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Poids net supérieur à 4,5 kg (10 Ib)</w:t>
            </w:r>
          </w:p>
        </w:tc>
      </w:tr>
      <w:tr w:rsidR="003D69A8" w:rsidRPr="005E1EA7" w14:paraId="791D7A77" w14:textId="77777777" w:rsidTr="006365F0">
        <w:trPr>
          <w:cantSplit/>
        </w:trPr>
        <w:tc>
          <w:tcPr>
            <w:tcW w:w="3402" w:type="dxa"/>
            <w:hideMark/>
          </w:tcPr>
          <w:p w14:paraId="7117B658" w14:textId="77777777" w:rsidR="003D69A8" w:rsidRPr="005E1EA7" w:rsidRDefault="003D69A8" w:rsidP="006365F0">
            <w:pPr>
              <w:jc w:val="both"/>
              <w:rPr>
                <w:rFonts w:ascii="Tahoma" w:hAnsi="Tahoma" w:cs="Tahoma"/>
                <w:iCs/>
                <w:sz w:val="20"/>
                <w:szCs w:val="20"/>
              </w:rPr>
            </w:pPr>
            <w:r w:rsidRPr="005E1EA7">
              <w:rPr>
                <w:rFonts w:ascii="Tahoma" w:hAnsi="Tahoma" w:cs="Tahoma"/>
                <w:iCs/>
                <w:sz w:val="20"/>
                <w:szCs w:val="20"/>
              </w:rPr>
              <w:t>Taille du lot (n)</w:t>
            </w:r>
          </w:p>
        </w:tc>
        <w:tc>
          <w:tcPr>
            <w:tcW w:w="2268" w:type="dxa"/>
            <w:hideMark/>
          </w:tcPr>
          <w:p w14:paraId="35BB3BBD"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Taille de l'échantillon (n)</w:t>
            </w:r>
          </w:p>
        </w:tc>
        <w:tc>
          <w:tcPr>
            <w:tcW w:w="3402" w:type="dxa"/>
            <w:gridSpan w:val="2"/>
            <w:hideMark/>
          </w:tcPr>
          <w:p w14:paraId="6AEF9F8B"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 xml:space="preserve">Critère d'acceptation </w:t>
            </w:r>
          </w:p>
          <w:p w14:paraId="05C88831"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nombre (c)*</w:t>
            </w:r>
          </w:p>
        </w:tc>
      </w:tr>
      <w:tr w:rsidR="003D69A8" w:rsidRPr="005E1EA7" w14:paraId="142C3285" w14:textId="77777777" w:rsidTr="006365F0">
        <w:trPr>
          <w:cantSplit/>
        </w:trPr>
        <w:tc>
          <w:tcPr>
            <w:tcW w:w="3402" w:type="dxa"/>
            <w:hideMark/>
          </w:tcPr>
          <w:p w14:paraId="7AF0300C"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600 ou moins</w:t>
            </w:r>
          </w:p>
        </w:tc>
        <w:tc>
          <w:tcPr>
            <w:tcW w:w="2268" w:type="dxa"/>
            <w:hideMark/>
          </w:tcPr>
          <w:p w14:paraId="6B70301F"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13</w:t>
            </w:r>
          </w:p>
        </w:tc>
        <w:tc>
          <w:tcPr>
            <w:tcW w:w="1701" w:type="dxa"/>
            <w:hideMark/>
          </w:tcPr>
          <w:p w14:paraId="49F30787"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2</w:t>
            </w:r>
          </w:p>
        </w:tc>
        <w:tc>
          <w:tcPr>
            <w:tcW w:w="1701" w:type="dxa"/>
            <w:hideMark/>
          </w:tcPr>
          <w:p w14:paraId="0B74A009"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(1)</w:t>
            </w:r>
          </w:p>
        </w:tc>
      </w:tr>
      <w:tr w:rsidR="003D69A8" w:rsidRPr="005E1EA7" w14:paraId="2AB1C5A0" w14:textId="77777777" w:rsidTr="006365F0">
        <w:trPr>
          <w:cantSplit/>
        </w:trPr>
        <w:tc>
          <w:tcPr>
            <w:tcW w:w="3402" w:type="dxa"/>
            <w:hideMark/>
          </w:tcPr>
          <w:p w14:paraId="7E9AC319"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601 à 2.000</w:t>
            </w:r>
          </w:p>
        </w:tc>
        <w:tc>
          <w:tcPr>
            <w:tcW w:w="2268" w:type="dxa"/>
            <w:hideMark/>
          </w:tcPr>
          <w:p w14:paraId="123B8B6C"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21</w:t>
            </w:r>
          </w:p>
        </w:tc>
        <w:tc>
          <w:tcPr>
            <w:tcW w:w="1701" w:type="dxa"/>
            <w:hideMark/>
          </w:tcPr>
          <w:p w14:paraId="116072F2"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3</w:t>
            </w:r>
          </w:p>
        </w:tc>
        <w:tc>
          <w:tcPr>
            <w:tcW w:w="1701" w:type="dxa"/>
            <w:hideMark/>
          </w:tcPr>
          <w:p w14:paraId="3C26770B"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(2)</w:t>
            </w:r>
          </w:p>
        </w:tc>
      </w:tr>
      <w:tr w:rsidR="003D69A8" w:rsidRPr="005E1EA7" w14:paraId="77CDF3D5" w14:textId="77777777" w:rsidTr="006365F0">
        <w:trPr>
          <w:cantSplit/>
        </w:trPr>
        <w:tc>
          <w:tcPr>
            <w:tcW w:w="3402" w:type="dxa"/>
            <w:hideMark/>
          </w:tcPr>
          <w:p w14:paraId="00F762CC"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2.001 à 7.200</w:t>
            </w:r>
          </w:p>
        </w:tc>
        <w:tc>
          <w:tcPr>
            <w:tcW w:w="2268" w:type="dxa"/>
            <w:hideMark/>
          </w:tcPr>
          <w:p w14:paraId="2D95CD27"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29</w:t>
            </w:r>
          </w:p>
        </w:tc>
        <w:tc>
          <w:tcPr>
            <w:tcW w:w="1701" w:type="dxa"/>
            <w:hideMark/>
          </w:tcPr>
          <w:p w14:paraId="66EC2EFA"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4</w:t>
            </w:r>
          </w:p>
        </w:tc>
        <w:tc>
          <w:tcPr>
            <w:tcW w:w="1701" w:type="dxa"/>
            <w:hideMark/>
          </w:tcPr>
          <w:p w14:paraId="0DD3220D"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(3)</w:t>
            </w:r>
          </w:p>
        </w:tc>
      </w:tr>
      <w:tr w:rsidR="003D69A8" w:rsidRPr="005E1EA7" w14:paraId="7E44C8DB" w14:textId="77777777" w:rsidTr="006365F0">
        <w:trPr>
          <w:cantSplit/>
        </w:trPr>
        <w:tc>
          <w:tcPr>
            <w:tcW w:w="3402" w:type="dxa"/>
            <w:hideMark/>
          </w:tcPr>
          <w:p w14:paraId="33102B8A"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7.201 à 15.000</w:t>
            </w:r>
          </w:p>
        </w:tc>
        <w:tc>
          <w:tcPr>
            <w:tcW w:w="2268" w:type="dxa"/>
            <w:hideMark/>
          </w:tcPr>
          <w:p w14:paraId="0E631C09"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48</w:t>
            </w:r>
          </w:p>
        </w:tc>
        <w:tc>
          <w:tcPr>
            <w:tcW w:w="1701" w:type="dxa"/>
            <w:hideMark/>
          </w:tcPr>
          <w:p w14:paraId="0B374304"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6</w:t>
            </w:r>
          </w:p>
        </w:tc>
        <w:tc>
          <w:tcPr>
            <w:tcW w:w="1701" w:type="dxa"/>
            <w:hideMark/>
          </w:tcPr>
          <w:p w14:paraId="62129757"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(4)</w:t>
            </w:r>
          </w:p>
        </w:tc>
      </w:tr>
      <w:tr w:rsidR="003D69A8" w:rsidRPr="005E1EA7" w14:paraId="752AA0BD" w14:textId="77777777" w:rsidTr="006365F0">
        <w:trPr>
          <w:cantSplit/>
        </w:trPr>
        <w:tc>
          <w:tcPr>
            <w:tcW w:w="3402" w:type="dxa"/>
            <w:hideMark/>
          </w:tcPr>
          <w:p w14:paraId="2FDA7B1C"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15.001 à 24.000</w:t>
            </w:r>
          </w:p>
        </w:tc>
        <w:tc>
          <w:tcPr>
            <w:tcW w:w="2268" w:type="dxa"/>
            <w:hideMark/>
          </w:tcPr>
          <w:p w14:paraId="6BB1BD42"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84</w:t>
            </w:r>
          </w:p>
        </w:tc>
        <w:tc>
          <w:tcPr>
            <w:tcW w:w="1701" w:type="dxa"/>
            <w:hideMark/>
          </w:tcPr>
          <w:p w14:paraId="1CB66FE2"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9</w:t>
            </w:r>
          </w:p>
        </w:tc>
        <w:tc>
          <w:tcPr>
            <w:tcW w:w="1701" w:type="dxa"/>
            <w:hideMark/>
          </w:tcPr>
          <w:p w14:paraId="1DEF01F4"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(6)</w:t>
            </w:r>
          </w:p>
        </w:tc>
      </w:tr>
      <w:tr w:rsidR="003D69A8" w:rsidRPr="005E1EA7" w14:paraId="4C1F7136" w14:textId="77777777" w:rsidTr="006365F0">
        <w:trPr>
          <w:cantSplit/>
        </w:trPr>
        <w:tc>
          <w:tcPr>
            <w:tcW w:w="3402" w:type="dxa"/>
            <w:hideMark/>
          </w:tcPr>
          <w:p w14:paraId="7F656E37"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24.001 à 42.000</w:t>
            </w:r>
          </w:p>
        </w:tc>
        <w:tc>
          <w:tcPr>
            <w:tcW w:w="2268" w:type="dxa"/>
            <w:hideMark/>
          </w:tcPr>
          <w:p w14:paraId="7142220C"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126</w:t>
            </w:r>
          </w:p>
        </w:tc>
        <w:tc>
          <w:tcPr>
            <w:tcW w:w="1701" w:type="dxa"/>
            <w:hideMark/>
          </w:tcPr>
          <w:p w14:paraId="1121201F"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13</w:t>
            </w:r>
          </w:p>
        </w:tc>
        <w:tc>
          <w:tcPr>
            <w:tcW w:w="1701" w:type="dxa"/>
            <w:hideMark/>
          </w:tcPr>
          <w:p w14:paraId="3ED9FF2F"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(9)</w:t>
            </w:r>
          </w:p>
        </w:tc>
      </w:tr>
      <w:tr w:rsidR="003D69A8" w:rsidRPr="005E1EA7" w14:paraId="185F6FFD" w14:textId="77777777" w:rsidTr="006365F0">
        <w:trPr>
          <w:cantSplit/>
        </w:trPr>
        <w:tc>
          <w:tcPr>
            <w:tcW w:w="3402" w:type="dxa"/>
            <w:hideMark/>
          </w:tcPr>
          <w:p w14:paraId="6D46F4DD"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Plus de 42.000</w:t>
            </w:r>
          </w:p>
        </w:tc>
        <w:tc>
          <w:tcPr>
            <w:tcW w:w="2268" w:type="dxa"/>
            <w:hideMark/>
          </w:tcPr>
          <w:p w14:paraId="562CB0BA"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200</w:t>
            </w:r>
          </w:p>
        </w:tc>
        <w:tc>
          <w:tcPr>
            <w:tcW w:w="1701" w:type="dxa"/>
            <w:hideMark/>
          </w:tcPr>
          <w:p w14:paraId="0B84C5BC"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19</w:t>
            </w:r>
          </w:p>
        </w:tc>
        <w:tc>
          <w:tcPr>
            <w:tcW w:w="1701" w:type="dxa"/>
            <w:hideMark/>
          </w:tcPr>
          <w:p w14:paraId="7FA281ED"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(13)</w:t>
            </w:r>
          </w:p>
        </w:tc>
      </w:tr>
      <w:tr w:rsidR="003D69A8" w:rsidRPr="005E1EA7" w14:paraId="6AECBDC5" w14:textId="77777777" w:rsidTr="006365F0">
        <w:trPr>
          <w:cantSplit/>
        </w:trPr>
        <w:tc>
          <w:tcPr>
            <w:tcW w:w="9072" w:type="dxa"/>
            <w:gridSpan w:val="4"/>
            <w:hideMark/>
          </w:tcPr>
          <w:p w14:paraId="2057FF60"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 le nombre apparaissant entre parenthèses dans la colonne du critère d'acceptation (c) est la valeur du critère d'acceptation pour le caractère "altéré mais non putride"</w:t>
            </w:r>
          </w:p>
        </w:tc>
      </w:tr>
    </w:tbl>
    <w:p w14:paraId="17391BBD" w14:textId="77777777" w:rsidR="003D69A8" w:rsidRPr="005E1EA7" w:rsidRDefault="003D69A8" w:rsidP="003D69A8">
      <w:pPr>
        <w:jc w:val="both"/>
        <w:rPr>
          <w:rFonts w:ascii="Tahoma" w:hAnsi="Tahoma" w:cs="Tahoma"/>
          <w:b/>
          <w:i/>
          <w:caps/>
          <w:sz w:val="20"/>
          <w:szCs w:val="20"/>
          <w:u w:val="single"/>
        </w:rPr>
      </w:pPr>
    </w:p>
    <w:p w14:paraId="04E9EE2A" w14:textId="77777777" w:rsidR="003D69A8" w:rsidRPr="005E1EA7" w:rsidRDefault="003D69A8" w:rsidP="003D69A8">
      <w:pPr>
        <w:jc w:val="center"/>
        <w:rPr>
          <w:rFonts w:ascii="Tahoma" w:hAnsi="Tahoma" w:cs="Tahoma"/>
          <w:b/>
          <w:i/>
          <w:sz w:val="20"/>
          <w:szCs w:val="20"/>
        </w:rPr>
      </w:pPr>
      <w:r w:rsidRPr="005E1EA7">
        <w:rPr>
          <w:rFonts w:ascii="Tahoma" w:hAnsi="Tahoma" w:cs="Tahoma"/>
          <w:b/>
          <w:i/>
          <w:caps/>
          <w:sz w:val="20"/>
          <w:szCs w:val="20"/>
          <w:u w:val="single"/>
        </w:rPr>
        <w:t xml:space="preserve">Chapitre II : </w:t>
      </w:r>
      <w:r w:rsidRPr="005E1EA7">
        <w:rPr>
          <w:rFonts w:ascii="Tahoma" w:hAnsi="Tahoma" w:cs="Tahoma"/>
          <w:b/>
          <w:i/>
          <w:sz w:val="20"/>
          <w:szCs w:val="20"/>
        </w:rPr>
        <w:t>PLAN D'ECHANTILLONNAGE SIMPLE POUR LE CONTROLE DES PARASITES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3"/>
        <w:gridCol w:w="2348"/>
        <w:gridCol w:w="2361"/>
        <w:gridCol w:w="1994"/>
      </w:tblGrid>
      <w:tr w:rsidR="003D69A8" w:rsidRPr="005E1EA7" w14:paraId="58914528" w14:textId="77777777" w:rsidTr="006365F0">
        <w:trPr>
          <w:jc w:val="center"/>
        </w:trPr>
        <w:tc>
          <w:tcPr>
            <w:tcW w:w="2353" w:type="dxa"/>
          </w:tcPr>
          <w:p w14:paraId="1D628632"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Nombre de conteneurs par lot</w:t>
            </w:r>
          </w:p>
        </w:tc>
        <w:tc>
          <w:tcPr>
            <w:tcW w:w="2348" w:type="dxa"/>
          </w:tcPr>
          <w:p w14:paraId="67C2E3D5"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Poissons de grande taille</w:t>
            </w:r>
          </w:p>
        </w:tc>
        <w:tc>
          <w:tcPr>
            <w:tcW w:w="2361" w:type="dxa"/>
          </w:tcPr>
          <w:p w14:paraId="3AAB6102"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Poissons de taille intermédiaire</w:t>
            </w:r>
          </w:p>
        </w:tc>
        <w:tc>
          <w:tcPr>
            <w:tcW w:w="1994" w:type="dxa"/>
          </w:tcPr>
          <w:p w14:paraId="5BB56284" w14:textId="77777777" w:rsidR="003D69A8" w:rsidRPr="005E1EA7" w:rsidRDefault="003D69A8" w:rsidP="006365F0">
            <w:pPr>
              <w:jc w:val="both"/>
              <w:rPr>
                <w:rFonts w:ascii="Tahoma" w:hAnsi="Tahoma" w:cs="Tahoma"/>
                <w:i/>
                <w:sz w:val="20"/>
                <w:szCs w:val="20"/>
              </w:rPr>
            </w:pPr>
            <w:r w:rsidRPr="005E1EA7">
              <w:rPr>
                <w:rFonts w:ascii="Tahoma" w:hAnsi="Tahoma" w:cs="Tahoma"/>
                <w:i/>
                <w:sz w:val="20"/>
                <w:szCs w:val="20"/>
              </w:rPr>
              <w:t>Poissons de petite taille</w:t>
            </w:r>
          </w:p>
        </w:tc>
      </w:tr>
      <w:tr w:rsidR="003D69A8" w:rsidRPr="005E1EA7" w14:paraId="0CA20F3F" w14:textId="77777777" w:rsidTr="006365F0">
        <w:trPr>
          <w:jc w:val="center"/>
        </w:trPr>
        <w:tc>
          <w:tcPr>
            <w:tcW w:w="2353" w:type="dxa"/>
          </w:tcPr>
          <w:p w14:paraId="5816FC40"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5 à 19</w:t>
            </w:r>
          </w:p>
        </w:tc>
        <w:tc>
          <w:tcPr>
            <w:tcW w:w="2348" w:type="dxa"/>
          </w:tcPr>
          <w:p w14:paraId="04D81299"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28*</w:t>
            </w:r>
          </w:p>
        </w:tc>
        <w:tc>
          <w:tcPr>
            <w:tcW w:w="2361" w:type="dxa"/>
          </w:tcPr>
          <w:p w14:paraId="704E27E8"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23</w:t>
            </w:r>
          </w:p>
        </w:tc>
        <w:tc>
          <w:tcPr>
            <w:tcW w:w="1994" w:type="dxa"/>
          </w:tcPr>
          <w:p w14:paraId="015DF58F"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16</w:t>
            </w:r>
          </w:p>
        </w:tc>
      </w:tr>
      <w:tr w:rsidR="003D69A8" w:rsidRPr="005E1EA7" w14:paraId="3EF64403" w14:textId="77777777" w:rsidTr="006365F0">
        <w:trPr>
          <w:jc w:val="center"/>
        </w:trPr>
        <w:tc>
          <w:tcPr>
            <w:tcW w:w="2353" w:type="dxa"/>
          </w:tcPr>
          <w:p w14:paraId="402FA261"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20 à 100</w:t>
            </w:r>
          </w:p>
        </w:tc>
        <w:tc>
          <w:tcPr>
            <w:tcW w:w="2348" w:type="dxa"/>
          </w:tcPr>
          <w:p w14:paraId="7E7534F2"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53</w:t>
            </w:r>
          </w:p>
        </w:tc>
        <w:tc>
          <w:tcPr>
            <w:tcW w:w="2361" w:type="dxa"/>
          </w:tcPr>
          <w:p w14:paraId="717D1801"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45</w:t>
            </w:r>
          </w:p>
        </w:tc>
        <w:tc>
          <w:tcPr>
            <w:tcW w:w="1994" w:type="dxa"/>
          </w:tcPr>
          <w:p w14:paraId="670ED460"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33</w:t>
            </w:r>
          </w:p>
        </w:tc>
      </w:tr>
      <w:tr w:rsidR="003D69A8" w:rsidRPr="005E1EA7" w14:paraId="63D1C261" w14:textId="77777777" w:rsidTr="006365F0">
        <w:trPr>
          <w:jc w:val="center"/>
        </w:trPr>
        <w:tc>
          <w:tcPr>
            <w:tcW w:w="2353" w:type="dxa"/>
          </w:tcPr>
          <w:p w14:paraId="089BF877"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100 ou plus</w:t>
            </w:r>
          </w:p>
        </w:tc>
        <w:tc>
          <w:tcPr>
            <w:tcW w:w="2348" w:type="dxa"/>
          </w:tcPr>
          <w:p w14:paraId="6297AABF"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70</w:t>
            </w:r>
          </w:p>
        </w:tc>
        <w:tc>
          <w:tcPr>
            <w:tcW w:w="2361" w:type="dxa"/>
          </w:tcPr>
          <w:p w14:paraId="6F7E4018"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56</w:t>
            </w:r>
          </w:p>
        </w:tc>
        <w:tc>
          <w:tcPr>
            <w:tcW w:w="1994" w:type="dxa"/>
          </w:tcPr>
          <w:p w14:paraId="596DC956" w14:textId="77777777" w:rsidR="003D69A8" w:rsidRPr="005E1EA7" w:rsidRDefault="003D69A8" w:rsidP="006365F0">
            <w:pPr>
              <w:jc w:val="center"/>
              <w:rPr>
                <w:rFonts w:ascii="Tahoma" w:hAnsi="Tahoma" w:cs="Tahoma"/>
                <w:iCs/>
                <w:sz w:val="20"/>
                <w:szCs w:val="20"/>
              </w:rPr>
            </w:pPr>
            <w:r w:rsidRPr="005E1EA7">
              <w:rPr>
                <w:rFonts w:ascii="Tahoma" w:hAnsi="Tahoma" w:cs="Tahoma"/>
                <w:iCs/>
                <w:sz w:val="20"/>
                <w:szCs w:val="20"/>
              </w:rPr>
              <w:t>39</w:t>
            </w:r>
          </w:p>
        </w:tc>
      </w:tr>
    </w:tbl>
    <w:p w14:paraId="011AF0CA" w14:textId="77777777" w:rsidR="003D69A8" w:rsidRPr="005E1EA7" w:rsidRDefault="003D69A8" w:rsidP="003D69A8">
      <w:pPr>
        <w:jc w:val="both"/>
        <w:rPr>
          <w:rFonts w:ascii="Tahoma" w:hAnsi="Tahoma" w:cs="Tahoma"/>
          <w:i/>
          <w:sz w:val="20"/>
          <w:szCs w:val="20"/>
          <w:rtl/>
        </w:rPr>
      </w:pPr>
    </w:p>
    <w:p w14:paraId="019417EE" w14:textId="77777777" w:rsidR="003D69A8" w:rsidRPr="005E1EA7" w:rsidRDefault="003D69A8" w:rsidP="003D69A8">
      <w:pPr>
        <w:jc w:val="both"/>
        <w:rPr>
          <w:rFonts w:ascii="Tahoma" w:hAnsi="Tahoma" w:cs="Tahoma"/>
          <w:i/>
          <w:sz w:val="20"/>
          <w:szCs w:val="20"/>
        </w:rPr>
      </w:pPr>
      <w:r w:rsidRPr="005E1EA7">
        <w:rPr>
          <w:rFonts w:ascii="Tahoma" w:hAnsi="Tahoma" w:cs="Tahoma"/>
          <w:i/>
          <w:sz w:val="20"/>
          <w:szCs w:val="20"/>
        </w:rPr>
        <w:t>*chaque nombre (28, 53, 70, …) représente la taille de l’échantillon en livres (une livre = 454 grammes). Un poisson est considéré est manifestement infesté de parasites s’il contient l’équivalence de 50 à 60 kystes/100 poissons (cas du hareng et du thon bluefin) ou/100 lives pour les autres espèces. Le lot est inacceptable si 20% ou plus des poissons examinés sont infestés. Ce pourcentage est de 3% pour les filets de perche et de redfish (Centroberyx offinis)</w:t>
      </w:r>
    </w:p>
    <w:p w14:paraId="2966AED3" w14:textId="77777777" w:rsidR="003D69A8" w:rsidRPr="005E1EA7" w:rsidRDefault="003D69A8" w:rsidP="003D69A8">
      <w:pPr>
        <w:jc w:val="both"/>
        <w:rPr>
          <w:rFonts w:ascii="Tahoma" w:hAnsi="Tahoma" w:cs="Tahoma"/>
          <w:i/>
          <w:sz w:val="20"/>
          <w:szCs w:val="20"/>
        </w:rPr>
      </w:pPr>
    </w:p>
    <w:p w14:paraId="569CFF17" w14:textId="77777777" w:rsidR="00F23171" w:rsidRDefault="00F23171">
      <w:pPr>
        <w:rPr>
          <w:rFonts w:ascii="Tahoma" w:hAnsi="Tahoma" w:cs="Tahoma"/>
          <w:b/>
          <w:bCs/>
          <w:sz w:val="20"/>
          <w:szCs w:val="20"/>
        </w:rPr>
      </w:pPr>
      <w:r>
        <w:rPr>
          <w:rFonts w:ascii="Tahoma" w:hAnsi="Tahoma" w:cs="Tahoma"/>
          <w:b/>
          <w:bCs/>
          <w:sz w:val="20"/>
          <w:szCs w:val="20"/>
        </w:rPr>
        <w:br w:type="page"/>
      </w:r>
    </w:p>
    <w:p w14:paraId="33AC3F38" w14:textId="7226D3EC" w:rsidR="003D69A8" w:rsidRPr="005E1EA7" w:rsidRDefault="003D69A8" w:rsidP="00F23171">
      <w:pPr>
        <w:jc w:val="center"/>
        <w:rPr>
          <w:rFonts w:ascii="Tahoma" w:hAnsi="Tahoma" w:cs="Tahoma"/>
          <w:b/>
          <w:bCs/>
          <w:sz w:val="20"/>
          <w:szCs w:val="20"/>
        </w:rPr>
      </w:pPr>
      <w:r w:rsidRPr="005E1EA7">
        <w:rPr>
          <w:rFonts w:ascii="Tahoma" w:hAnsi="Tahoma" w:cs="Tahoma"/>
          <w:b/>
          <w:bCs/>
          <w:sz w:val="20"/>
          <w:szCs w:val="20"/>
        </w:rPr>
        <w:lastRenderedPageBreak/>
        <w:t xml:space="preserve">ANNEXE VI : </w:t>
      </w:r>
    </w:p>
    <w:p w14:paraId="720212DE" w14:textId="77777777" w:rsidR="003D69A8" w:rsidRPr="005E1EA7" w:rsidRDefault="003D69A8" w:rsidP="003D69A8">
      <w:pPr>
        <w:jc w:val="center"/>
        <w:rPr>
          <w:rFonts w:ascii="Tahoma" w:hAnsi="Tahoma" w:cs="Tahoma"/>
          <w:b/>
          <w:bCs/>
          <w:sz w:val="20"/>
          <w:szCs w:val="20"/>
        </w:rPr>
      </w:pPr>
    </w:p>
    <w:p w14:paraId="549AD272" w14:textId="77777777" w:rsidR="003D69A8" w:rsidRPr="005E1EA7" w:rsidRDefault="003D69A8" w:rsidP="00EA331B">
      <w:pPr>
        <w:jc w:val="center"/>
        <w:rPr>
          <w:rFonts w:ascii="Tahoma" w:hAnsi="Tahoma" w:cs="Tahoma"/>
          <w:sz w:val="20"/>
          <w:szCs w:val="20"/>
        </w:rPr>
      </w:pPr>
      <w:r w:rsidRPr="005E1EA7">
        <w:rPr>
          <w:rFonts w:ascii="Tahoma" w:hAnsi="Tahoma" w:cs="Tahoma"/>
          <w:b/>
          <w:bCs/>
          <w:sz w:val="20"/>
          <w:szCs w:val="20"/>
        </w:rPr>
        <w:t>ADDITIFS ET AUXILIAIRES TECHNOLOGIQUES AUTORISES DANS LES POISSONS, CRUSTACES, AUTRES ANIMAUX MARINS ET DANS LES PREPARATIONS DERIVEES DE CES PRODUITS</w:t>
      </w:r>
    </w:p>
    <w:p w14:paraId="52884CBC" w14:textId="77777777" w:rsidR="003D69A8" w:rsidRPr="005E1EA7" w:rsidRDefault="003D69A8" w:rsidP="00EA331B">
      <w:pPr>
        <w:jc w:val="center"/>
        <w:rPr>
          <w:rFonts w:ascii="Tahoma" w:hAnsi="Tahoma" w:cs="Tahoma"/>
          <w:sz w:val="20"/>
          <w:szCs w:val="20"/>
        </w:rPr>
      </w:pPr>
    </w:p>
    <w:tbl>
      <w:tblPr>
        <w:tblW w:w="0" w:type="auto"/>
        <w:tblInd w:w="7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127"/>
        <w:gridCol w:w="2693"/>
        <w:gridCol w:w="960"/>
        <w:gridCol w:w="3291"/>
      </w:tblGrid>
      <w:tr w:rsidR="003D69A8" w:rsidRPr="005E1EA7" w14:paraId="428EA5EE" w14:textId="77777777" w:rsidTr="006365F0">
        <w:trPr>
          <w:cantSplit/>
        </w:trPr>
        <w:tc>
          <w:tcPr>
            <w:tcW w:w="2127" w:type="dxa"/>
            <w:vAlign w:val="center"/>
          </w:tcPr>
          <w:p w14:paraId="51F4A2A9" w14:textId="77777777" w:rsidR="003D69A8" w:rsidRPr="005E1EA7" w:rsidRDefault="003D69A8" w:rsidP="001E35DC">
            <w:pPr>
              <w:rPr>
                <w:rFonts w:ascii="Tahoma" w:hAnsi="Tahoma" w:cs="Tahoma"/>
                <w:b/>
                <w:bCs/>
                <w:sz w:val="20"/>
                <w:szCs w:val="20"/>
              </w:rPr>
            </w:pPr>
            <w:r w:rsidRPr="005E1EA7">
              <w:rPr>
                <w:rFonts w:ascii="Tahoma" w:hAnsi="Tahoma" w:cs="Tahoma"/>
                <w:b/>
                <w:bCs/>
                <w:sz w:val="20"/>
                <w:szCs w:val="20"/>
              </w:rPr>
              <w:t>Fonction</w:t>
            </w:r>
          </w:p>
        </w:tc>
        <w:tc>
          <w:tcPr>
            <w:tcW w:w="2693" w:type="dxa"/>
          </w:tcPr>
          <w:p w14:paraId="3111097C" w14:textId="77777777" w:rsidR="003D69A8" w:rsidRPr="005E1EA7" w:rsidRDefault="003D69A8" w:rsidP="001E35DC">
            <w:pPr>
              <w:rPr>
                <w:rFonts w:ascii="Tahoma" w:hAnsi="Tahoma" w:cs="Tahoma"/>
                <w:b/>
                <w:bCs/>
                <w:sz w:val="20"/>
                <w:szCs w:val="20"/>
              </w:rPr>
            </w:pPr>
            <w:r w:rsidRPr="005E1EA7">
              <w:rPr>
                <w:rFonts w:ascii="Tahoma" w:hAnsi="Tahoma" w:cs="Tahoma"/>
                <w:b/>
                <w:bCs/>
                <w:sz w:val="20"/>
                <w:szCs w:val="20"/>
              </w:rPr>
              <w:t>Additifs et auxiliaires technologiques autorisés</w:t>
            </w:r>
          </w:p>
        </w:tc>
        <w:tc>
          <w:tcPr>
            <w:tcW w:w="960" w:type="dxa"/>
            <w:vAlign w:val="center"/>
          </w:tcPr>
          <w:p w14:paraId="75A59696" w14:textId="77777777" w:rsidR="003D69A8" w:rsidRPr="005E1EA7" w:rsidRDefault="003D69A8" w:rsidP="001E35DC">
            <w:pPr>
              <w:rPr>
                <w:rFonts w:ascii="Tahoma" w:hAnsi="Tahoma" w:cs="Tahoma"/>
                <w:b/>
                <w:bCs/>
                <w:sz w:val="20"/>
                <w:szCs w:val="20"/>
              </w:rPr>
            </w:pPr>
            <w:r w:rsidRPr="005E1EA7">
              <w:rPr>
                <w:rFonts w:ascii="Tahoma" w:hAnsi="Tahoma" w:cs="Tahoma"/>
                <w:b/>
                <w:bCs/>
                <w:sz w:val="20"/>
                <w:szCs w:val="20"/>
              </w:rPr>
              <w:t>N° CE</w:t>
            </w:r>
          </w:p>
        </w:tc>
        <w:tc>
          <w:tcPr>
            <w:tcW w:w="3291" w:type="dxa"/>
            <w:vAlign w:val="center"/>
          </w:tcPr>
          <w:p w14:paraId="6C8EEFB3" w14:textId="77777777" w:rsidR="003D69A8" w:rsidRPr="005E1EA7" w:rsidRDefault="003D69A8" w:rsidP="001E35DC">
            <w:pPr>
              <w:rPr>
                <w:rFonts w:ascii="Tahoma" w:hAnsi="Tahoma" w:cs="Tahoma"/>
                <w:b/>
                <w:bCs/>
                <w:sz w:val="20"/>
                <w:szCs w:val="20"/>
              </w:rPr>
            </w:pPr>
            <w:r w:rsidRPr="005E1EA7">
              <w:rPr>
                <w:rFonts w:ascii="Tahoma" w:hAnsi="Tahoma" w:cs="Tahoma"/>
                <w:b/>
                <w:bCs/>
                <w:sz w:val="20"/>
                <w:szCs w:val="20"/>
              </w:rPr>
              <w:t>Doses maximales</w:t>
            </w:r>
          </w:p>
        </w:tc>
      </w:tr>
    </w:tbl>
    <w:p w14:paraId="758077B2" w14:textId="77777777" w:rsidR="003D69A8" w:rsidRPr="005E1EA7" w:rsidRDefault="003D69A8" w:rsidP="001E35DC">
      <w:pPr>
        <w:rPr>
          <w:rFonts w:ascii="Tahoma" w:hAnsi="Tahoma" w:cs="Tahoma"/>
          <w:sz w:val="20"/>
          <w:szCs w:val="20"/>
        </w:rPr>
      </w:pPr>
    </w:p>
    <w:p w14:paraId="5C7CD881" w14:textId="77777777" w:rsidR="003D69A8" w:rsidRPr="00EA331B" w:rsidRDefault="003D69A8" w:rsidP="001E35DC">
      <w:pPr>
        <w:rPr>
          <w:rFonts w:ascii="Tahoma" w:hAnsi="Tahoma" w:cs="Tahoma"/>
          <w:b/>
          <w:bCs/>
          <w:sz w:val="20"/>
          <w:szCs w:val="20"/>
        </w:rPr>
      </w:pPr>
      <w:r w:rsidRPr="00EA331B">
        <w:rPr>
          <w:rFonts w:ascii="Tahoma" w:hAnsi="Tahoma" w:cs="Tahoma"/>
          <w:b/>
          <w:bCs/>
          <w:sz w:val="20"/>
          <w:szCs w:val="20"/>
        </w:rPr>
        <w:t>1. Poissons, crustacés et mollusques non transformés, y compris lorsqu'ils sont congelés et surgelés</w:t>
      </w:r>
    </w:p>
    <w:tbl>
      <w:tblPr>
        <w:tblW w:w="0" w:type="auto"/>
        <w:tblInd w:w="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1" w:type="dxa"/>
          <w:right w:w="71" w:type="dxa"/>
        </w:tblCellMar>
        <w:tblLook w:val="0000" w:firstRow="0" w:lastRow="0" w:firstColumn="0" w:lastColumn="0" w:noHBand="0" w:noVBand="0"/>
      </w:tblPr>
      <w:tblGrid>
        <w:gridCol w:w="2127"/>
        <w:gridCol w:w="2693"/>
        <w:gridCol w:w="960"/>
        <w:gridCol w:w="3291"/>
      </w:tblGrid>
      <w:tr w:rsidR="003D69A8" w:rsidRPr="005E1EA7" w14:paraId="733D5542" w14:textId="77777777" w:rsidTr="006365F0">
        <w:trPr>
          <w:cantSplit/>
        </w:trPr>
        <w:tc>
          <w:tcPr>
            <w:tcW w:w="2127" w:type="dxa"/>
          </w:tcPr>
          <w:p w14:paraId="3C8ABBD5" w14:textId="77777777" w:rsidR="003D69A8" w:rsidRPr="005E1EA7" w:rsidRDefault="003D69A8" w:rsidP="001E35DC">
            <w:pPr>
              <w:rPr>
                <w:rFonts w:ascii="Tahoma" w:hAnsi="Tahoma" w:cs="Tahoma"/>
                <w:sz w:val="20"/>
                <w:szCs w:val="20"/>
              </w:rPr>
            </w:pPr>
            <w:r w:rsidRPr="005E1EA7">
              <w:rPr>
                <w:rFonts w:ascii="Tahoma" w:hAnsi="Tahoma" w:cs="Tahoma"/>
                <w:sz w:val="20"/>
                <w:szCs w:val="20"/>
              </w:rPr>
              <w:t>Colorants</w:t>
            </w:r>
          </w:p>
          <w:p w14:paraId="3154B498" w14:textId="77777777" w:rsidR="003D69A8" w:rsidRPr="005E1EA7" w:rsidRDefault="003D69A8" w:rsidP="001E35DC">
            <w:pPr>
              <w:rPr>
                <w:rFonts w:ascii="Tahoma" w:hAnsi="Tahoma" w:cs="Tahoma"/>
                <w:sz w:val="20"/>
                <w:szCs w:val="20"/>
              </w:rPr>
            </w:pPr>
          </w:p>
          <w:p w14:paraId="19A0F95F" w14:textId="77777777" w:rsidR="003D69A8" w:rsidRPr="005E1EA7" w:rsidRDefault="003D69A8" w:rsidP="001E35DC">
            <w:pPr>
              <w:rPr>
                <w:rFonts w:ascii="Tahoma" w:hAnsi="Tahoma" w:cs="Tahoma"/>
                <w:sz w:val="20"/>
                <w:szCs w:val="20"/>
              </w:rPr>
            </w:pPr>
            <w:r w:rsidRPr="005E1EA7">
              <w:rPr>
                <w:rFonts w:ascii="Tahoma" w:hAnsi="Tahoma" w:cs="Tahoma"/>
                <w:sz w:val="20"/>
                <w:szCs w:val="20"/>
              </w:rPr>
              <w:t>Gaz d’emballage</w:t>
            </w:r>
          </w:p>
          <w:p w14:paraId="4F8B764C" w14:textId="77777777" w:rsidR="003D69A8" w:rsidRPr="005E1EA7" w:rsidRDefault="003D69A8" w:rsidP="001E35DC">
            <w:pPr>
              <w:rPr>
                <w:rFonts w:ascii="Tahoma" w:hAnsi="Tahoma" w:cs="Tahoma"/>
                <w:sz w:val="20"/>
                <w:szCs w:val="20"/>
              </w:rPr>
            </w:pPr>
          </w:p>
          <w:p w14:paraId="344611B5" w14:textId="77777777" w:rsidR="003D69A8" w:rsidRPr="005E1EA7" w:rsidRDefault="003D69A8" w:rsidP="001E35DC">
            <w:pPr>
              <w:rPr>
                <w:rFonts w:ascii="Tahoma" w:hAnsi="Tahoma" w:cs="Tahoma"/>
                <w:sz w:val="20"/>
                <w:szCs w:val="20"/>
              </w:rPr>
            </w:pPr>
          </w:p>
          <w:p w14:paraId="7F222D42" w14:textId="77777777" w:rsidR="003D69A8" w:rsidRPr="005E1EA7" w:rsidRDefault="003D69A8" w:rsidP="001E35DC">
            <w:pPr>
              <w:rPr>
                <w:rFonts w:ascii="Tahoma" w:hAnsi="Tahoma" w:cs="Tahoma"/>
                <w:sz w:val="20"/>
                <w:szCs w:val="20"/>
              </w:rPr>
            </w:pPr>
          </w:p>
          <w:p w14:paraId="5D2F3B61" w14:textId="77777777" w:rsidR="003D69A8" w:rsidRPr="005E1EA7" w:rsidRDefault="003D69A8" w:rsidP="001E35DC">
            <w:pPr>
              <w:rPr>
                <w:rFonts w:ascii="Tahoma" w:hAnsi="Tahoma" w:cs="Tahoma"/>
                <w:sz w:val="20"/>
                <w:szCs w:val="20"/>
              </w:rPr>
            </w:pPr>
          </w:p>
          <w:p w14:paraId="7805E28F" w14:textId="77777777" w:rsidR="003D69A8" w:rsidRPr="005E1EA7" w:rsidRDefault="003D69A8" w:rsidP="001E35DC">
            <w:pPr>
              <w:rPr>
                <w:rFonts w:ascii="Tahoma" w:hAnsi="Tahoma" w:cs="Tahoma"/>
                <w:sz w:val="20"/>
                <w:szCs w:val="20"/>
              </w:rPr>
            </w:pPr>
          </w:p>
          <w:p w14:paraId="14D17E7D" w14:textId="77777777" w:rsidR="003D69A8" w:rsidRPr="005E1EA7" w:rsidRDefault="003D69A8" w:rsidP="001E35DC">
            <w:pPr>
              <w:rPr>
                <w:rFonts w:ascii="Tahoma" w:hAnsi="Tahoma" w:cs="Tahoma"/>
                <w:sz w:val="20"/>
                <w:szCs w:val="20"/>
              </w:rPr>
            </w:pPr>
          </w:p>
          <w:p w14:paraId="43EE4286" w14:textId="77777777" w:rsidR="003D69A8" w:rsidRPr="005E1EA7" w:rsidRDefault="003D69A8" w:rsidP="001E35DC">
            <w:pPr>
              <w:rPr>
                <w:rFonts w:ascii="Tahoma" w:hAnsi="Tahoma" w:cs="Tahoma"/>
                <w:sz w:val="20"/>
                <w:szCs w:val="20"/>
              </w:rPr>
            </w:pPr>
            <w:r w:rsidRPr="005E1EA7">
              <w:rPr>
                <w:rFonts w:ascii="Tahoma" w:hAnsi="Tahoma" w:cs="Tahoma"/>
                <w:sz w:val="20"/>
                <w:szCs w:val="20"/>
              </w:rPr>
              <w:t>Antioxygènes</w:t>
            </w:r>
          </w:p>
        </w:tc>
        <w:tc>
          <w:tcPr>
            <w:tcW w:w="2693" w:type="dxa"/>
          </w:tcPr>
          <w:p w14:paraId="267AE29A" w14:textId="77777777" w:rsidR="003D69A8" w:rsidRPr="005E1EA7" w:rsidRDefault="003D69A8" w:rsidP="001E35DC">
            <w:pPr>
              <w:rPr>
                <w:rFonts w:ascii="Tahoma" w:hAnsi="Tahoma" w:cs="Tahoma"/>
                <w:sz w:val="20"/>
                <w:szCs w:val="20"/>
              </w:rPr>
            </w:pPr>
            <w:proofErr w:type="gramStart"/>
            <w:r w:rsidRPr="005E1EA7">
              <w:rPr>
                <w:rFonts w:ascii="Tahoma" w:hAnsi="Tahoma" w:cs="Tahoma"/>
                <w:sz w:val="20"/>
                <w:szCs w:val="20"/>
              </w:rPr>
              <w:t>néant</w:t>
            </w:r>
            <w:proofErr w:type="gramEnd"/>
          </w:p>
          <w:p w14:paraId="5353F234" w14:textId="77777777" w:rsidR="003D69A8" w:rsidRPr="005E1EA7" w:rsidRDefault="003D69A8" w:rsidP="001E35DC">
            <w:pPr>
              <w:rPr>
                <w:rFonts w:ascii="Tahoma" w:hAnsi="Tahoma" w:cs="Tahoma"/>
                <w:sz w:val="20"/>
                <w:szCs w:val="20"/>
              </w:rPr>
            </w:pPr>
          </w:p>
          <w:p w14:paraId="567FA0F0" w14:textId="77777777" w:rsidR="003D69A8" w:rsidRPr="005E1EA7" w:rsidRDefault="003D69A8" w:rsidP="001E35DC">
            <w:pPr>
              <w:rPr>
                <w:rFonts w:ascii="Tahoma" w:hAnsi="Tahoma" w:cs="Tahoma"/>
                <w:sz w:val="20"/>
                <w:szCs w:val="20"/>
              </w:rPr>
            </w:pPr>
            <w:proofErr w:type="gramStart"/>
            <w:r w:rsidRPr="005E1EA7">
              <w:rPr>
                <w:rFonts w:ascii="Tahoma" w:hAnsi="Tahoma" w:cs="Tahoma"/>
                <w:sz w:val="20"/>
                <w:szCs w:val="20"/>
              </w:rPr>
              <w:t>dioxyde</w:t>
            </w:r>
            <w:proofErr w:type="gramEnd"/>
            <w:r w:rsidRPr="005E1EA7">
              <w:rPr>
                <w:rFonts w:ascii="Tahoma" w:hAnsi="Tahoma" w:cs="Tahoma"/>
                <w:sz w:val="20"/>
                <w:szCs w:val="20"/>
              </w:rPr>
              <w:t xml:space="preserve"> de carbone</w:t>
            </w:r>
          </w:p>
          <w:p w14:paraId="794DEE2D" w14:textId="77777777" w:rsidR="003D69A8" w:rsidRPr="005E1EA7" w:rsidRDefault="003D69A8" w:rsidP="001E35DC">
            <w:pPr>
              <w:rPr>
                <w:rFonts w:ascii="Tahoma" w:hAnsi="Tahoma" w:cs="Tahoma"/>
                <w:sz w:val="20"/>
                <w:szCs w:val="20"/>
              </w:rPr>
            </w:pPr>
            <w:proofErr w:type="gramStart"/>
            <w:r w:rsidRPr="005E1EA7">
              <w:rPr>
                <w:rFonts w:ascii="Tahoma" w:hAnsi="Tahoma" w:cs="Tahoma"/>
                <w:sz w:val="20"/>
                <w:szCs w:val="20"/>
              </w:rPr>
              <w:t>argon</w:t>
            </w:r>
            <w:proofErr w:type="gramEnd"/>
          </w:p>
          <w:p w14:paraId="3DB73021" w14:textId="77777777" w:rsidR="003D69A8" w:rsidRPr="005E1EA7" w:rsidRDefault="003D69A8" w:rsidP="001E35DC">
            <w:pPr>
              <w:rPr>
                <w:rFonts w:ascii="Tahoma" w:hAnsi="Tahoma" w:cs="Tahoma"/>
                <w:sz w:val="20"/>
                <w:szCs w:val="20"/>
              </w:rPr>
            </w:pPr>
            <w:proofErr w:type="gramStart"/>
            <w:r w:rsidRPr="005E1EA7">
              <w:rPr>
                <w:rFonts w:ascii="Tahoma" w:hAnsi="Tahoma" w:cs="Tahoma"/>
                <w:sz w:val="20"/>
                <w:szCs w:val="20"/>
              </w:rPr>
              <w:t>hélium</w:t>
            </w:r>
            <w:proofErr w:type="gramEnd"/>
          </w:p>
          <w:p w14:paraId="37BE3E87" w14:textId="77777777" w:rsidR="003D69A8" w:rsidRPr="00C16E4E" w:rsidRDefault="003D69A8" w:rsidP="001E35DC">
            <w:pPr>
              <w:rPr>
                <w:rFonts w:ascii="Tahoma" w:hAnsi="Tahoma" w:cs="Tahoma"/>
                <w:sz w:val="20"/>
                <w:szCs w:val="20"/>
                <w:lang w:val="es-US"/>
              </w:rPr>
            </w:pPr>
            <w:r w:rsidRPr="00C16E4E">
              <w:rPr>
                <w:rFonts w:ascii="Tahoma" w:hAnsi="Tahoma" w:cs="Tahoma"/>
                <w:sz w:val="20"/>
                <w:szCs w:val="20"/>
                <w:lang w:val="es-US"/>
              </w:rPr>
              <w:t>azote</w:t>
            </w:r>
          </w:p>
          <w:p w14:paraId="18718109" w14:textId="77777777" w:rsidR="003D69A8" w:rsidRPr="00C16E4E" w:rsidRDefault="003D69A8" w:rsidP="001E35DC">
            <w:pPr>
              <w:rPr>
                <w:rFonts w:ascii="Tahoma" w:hAnsi="Tahoma" w:cs="Tahoma"/>
                <w:sz w:val="20"/>
                <w:szCs w:val="20"/>
                <w:lang w:val="es-US"/>
              </w:rPr>
            </w:pPr>
            <w:r w:rsidRPr="00C16E4E">
              <w:rPr>
                <w:rFonts w:ascii="Tahoma" w:hAnsi="Tahoma" w:cs="Tahoma"/>
                <w:sz w:val="20"/>
                <w:szCs w:val="20"/>
                <w:lang w:val="es-US"/>
              </w:rPr>
              <w:t>protoxyde d’azote</w:t>
            </w:r>
          </w:p>
          <w:p w14:paraId="556FEE64" w14:textId="77777777" w:rsidR="003D69A8" w:rsidRPr="00C16E4E" w:rsidRDefault="003D69A8" w:rsidP="001E35DC">
            <w:pPr>
              <w:rPr>
                <w:rFonts w:ascii="Tahoma" w:hAnsi="Tahoma" w:cs="Tahoma"/>
                <w:sz w:val="20"/>
                <w:szCs w:val="20"/>
                <w:lang w:val="es-US"/>
              </w:rPr>
            </w:pPr>
            <w:r w:rsidRPr="00C16E4E">
              <w:rPr>
                <w:rFonts w:ascii="Tahoma" w:hAnsi="Tahoma" w:cs="Tahoma"/>
                <w:sz w:val="20"/>
                <w:szCs w:val="20"/>
                <w:lang w:val="es-US"/>
              </w:rPr>
              <w:t>oxygène</w:t>
            </w:r>
          </w:p>
          <w:p w14:paraId="42194E0A" w14:textId="77777777" w:rsidR="003D69A8" w:rsidRPr="00C16E4E" w:rsidRDefault="003D69A8" w:rsidP="001E35DC">
            <w:pPr>
              <w:rPr>
                <w:rFonts w:ascii="Tahoma" w:hAnsi="Tahoma" w:cs="Tahoma"/>
                <w:sz w:val="20"/>
                <w:szCs w:val="20"/>
                <w:lang w:val="es-US"/>
              </w:rPr>
            </w:pPr>
          </w:p>
          <w:p w14:paraId="5FD3BC0F" w14:textId="77777777" w:rsidR="003D69A8" w:rsidRPr="00C16E4E" w:rsidRDefault="003D69A8" w:rsidP="001E35DC">
            <w:pPr>
              <w:rPr>
                <w:rFonts w:ascii="Tahoma" w:hAnsi="Tahoma" w:cs="Tahoma"/>
                <w:sz w:val="20"/>
                <w:szCs w:val="20"/>
                <w:lang w:val="es-US"/>
              </w:rPr>
            </w:pPr>
            <w:r w:rsidRPr="00C16E4E">
              <w:rPr>
                <w:rFonts w:ascii="Tahoma" w:hAnsi="Tahoma" w:cs="Tahoma"/>
                <w:sz w:val="20"/>
                <w:szCs w:val="20"/>
                <w:lang w:val="es-US"/>
              </w:rPr>
              <w:t xml:space="preserve">acide ascorbique </w:t>
            </w:r>
          </w:p>
          <w:p w14:paraId="58E270E7" w14:textId="77777777" w:rsidR="003D69A8" w:rsidRPr="00C16E4E" w:rsidRDefault="003D69A8" w:rsidP="001E35DC">
            <w:pPr>
              <w:rPr>
                <w:rFonts w:ascii="Tahoma" w:hAnsi="Tahoma" w:cs="Tahoma"/>
                <w:sz w:val="20"/>
                <w:szCs w:val="20"/>
                <w:lang w:val="es-US"/>
              </w:rPr>
            </w:pPr>
            <w:r w:rsidRPr="00C16E4E">
              <w:rPr>
                <w:rFonts w:ascii="Tahoma" w:hAnsi="Tahoma" w:cs="Tahoma"/>
                <w:sz w:val="20"/>
                <w:szCs w:val="20"/>
                <w:lang w:val="es-US"/>
              </w:rPr>
              <w:t>ascorbate de sodium</w:t>
            </w:r>
          </w:p>
          <w:p w14:paraId="02122583" w14:textId="77777777" w:rsidR="003D69A8" w:rsidRPr="00C16E4E" w:rsidRDefault="003D69A8" w:rsidP="001E35DC">
            <w:pPr>
              <w:rPr>
                <w:rFonts w:ascii="Tahoma" w:hAnsi="Tahoma" w:cs="Tahoma"/>
                <w:sz w:val="20"/>
                <w:szCs w:val="20"/>
                <w:lang w:val="es-US"/>
              </w:rPr>
            </w:pPr>
            <w:r w:rsidRPr="00C16E4E">
              <w:rPr>
                <w:rFonts w:ascii="Tahoma" w:hAnsi="Tahoma" w:cs="Tahoma"/>
                <w:sz w:val="20"/>
                <w:szCs w:val="20"/>
                <w:lang w:val="es-US"/>
              </w:rPr>
              <w:t>ascorbate de calcium</w:t>
            </w:r>
          </w:p>
          <w:p w14:paraId="0D35D308" w14:textId="77777777" w:rsidR="003D69A8" w:rsidRPr="005E1EA7" w:rsidRDefault="003D69A8" w:rsidP="001E35DC">
            <w:pPr>
              <w:rPr>
                <w:rFonts w:ascii="Tahoma" w:hAnsi="Tahoma" w:cs="Tahoma"/>
                <w:sz w:val="20"/>
                <w:szCs w:val="20"/>
              </w:rPr>
            </w:pPr>
            <w:proofErr w:type="gramStart"/>
            <w:r w:rsidRPr="005E1EA7">
              <w:rPr>
                <w:rFonts w:ascii="Tahoma" w:hAnsi="Tahoma" w:cs="Tahoma"/>
                <w:sz w:val="20"/>
                <w:szCs w:val="20"/>
              </w:rPr>
              <w:t>acide</w:t>
            </w:r>
            <w:proofErr w:type="gramEnd"/>
            <w:r w:rsidRPr="005E1EA7">
              <w:rPr>
                <w:rFonts w:ascii="Tahoma" w:hAnsi="Tahoma" w:cs="Tahoma"/>
                <w:sz w:val="20"/>
                <w:szCs w:val="20"/>
              </w:rPr>
              <w:t xml:space="preserve"> citrique</w:t>
            </w:r>
          </w:p>
          <w:p w14:paraId="64ED957A" w14:textId="77777777" w:rsidR="003D69A8" w:rsidRPr="005E1EA7" w:rsidRDefault="003D69A8" w:rsidP="001E35DC">
            <w:pPr>
              <w:rPr>
                <w:rFonts w:ascii="Tahoma" w:hAnsi="Tahoma" w:cs="Tahoma"/>
                <w:sz w:val="20"/>
                <w:szCs w:val="20"/>
              </w:rPr>
            </w:pPr>
            <w:proofErr w:type="gramStart"/>
            <w:r w:rsidRPr="005E1EA7">
              <w:rPr>
                <w:rFonts w:ascii="Tahoma" w:hAnsi="Tahoma" w:cs="Tahoma"/>
                <w:sz w:val="20"/>
                <w:szCs w:val="20"/>
              </w:rPr>
              <w:t>citrate</w:t>
            </w:r>
            <w:proofErr w:type="gramEnd"/>
            <w:r w:rsidRPr="005E1EA7">
              <w:rPr>
                <w:rFonts w:ascii="Tahoma" w:hAnsi="Tahoma" w:cs="Tahoma"/>
                <w:sz w:val="20"/>
                <w:szCs w:val="20"/>
              </w:rPr>
              <w:t xml:space="preserve"> de sodium</w:t>
            </w:r>
          </w:p>
          <w:p w14:paraId="098C434E" w14:textId="77777777" w:rsidR="003D69A8" w:rsidRPr="005E1EA7" w:rsidRDefault="003D69A8" w:rsidP="001E35DC">
            <w:pPr>
              <w:rPr>
                <w:rFonts w:ascii="Tahoma" w:hAnsi="Tahoma" w:cs="Tahoma"/>
                <w:sz w:val="20"/>
                <w:szCs w:val="20"/>
              </w:rPr>
            </w:pPr>
            <w:proofErr w:type="gramStart"/>
            <w:r w:rsidRPr="005E1EA7">
              <w:rPr>
                <w:rFonts w:ascii="Tahoma" w:hAnsi="Tahoma" w:cs="Tahoma"/>
                <w:sz w:val="20"/>
                <w:szCs w:val="20"/>
              </w:rPr>
              <w:t>citrate</w:t>
            </w:r>
            <w:proofErr w:type="gramEnd"/>
            <w:r w:rsidRPr="005E1EA7">
              <w:rPr>
                <w:rFonts w:ascii="Tahoma" w:hAnsi="Tahoma" w:cs="Tahoma"/>
                <w:sz w:val="20"/>
                <w:szCs w:val="20"/>
              </w:rPr>
              <w:t xml:space="preserve"> de potassium</w:t>
            </w:r>
          </w:p>
          <w:p w14:paraId="64FEB14B" w14:textId="77777777" w:rsidR="003D69A8" w:rsidRPr="005E1EA7" w:rsidRDefault="003D69A8" w:rsidP="001E35DC">
            <w:pPr>
              <w:rPr>
                <w:rFonts w:ascii="Tahoma" w:hAnsi="Tahoma" w:cs="Tahoma"/>
                <w:sz w:val="20"/>
                <w:szCs w:val="20"/>
              </w:rPr>
            </w:pPr>
            <w:r w:rsidRPr="005E1EA7">
              <w:rPr>
                <w:rFonts w:ascii="Tahoma" w:hAnsi="Tahoma" w:cs="Tahoma"/>
                <w:sz w:val="20"/>
                <w:szCs w:val="20"/>
              </w:rPr>
              <w:t>citrate de calcium</w:t>
            </w:r>
          </w:p>
        </w:tc>
        <w:tc>
          <w:tcPr>
            <w:tcW w:w="960" w:type="dxa"/>
          </w:tcPr>
          <w:p w14:paraId="19E47FA9" w14:textId="77777777" w:rsidR="003D69A8" w:rsidRPr="00C16E4E" w:rsidRDefault="003D69A8" w:rsidP="001E35DC">
            <w:pPr>
              <w:rPr>
                <w:rFonts w:ascii="Tahoma" w:hAnsi="Tahoma" w:cs="Tahoma"/>
                <w:sz w:val="20"/>
                <w:szCs w:val="20"/>
                <w:lang w:val="es-US"/>
              </w:rPr>
            </w:pPr>
          </w:p>
          <w:p w14:paraId="6E024212" w14:textId="77777777" w:rsidR="003D69A8" w:rsidRPr="00C16E4E" w:rsidRDefault="003D69A8" w:rsidP="001E35DC">
            <w:pPr>
              <w:rPr>
                <w:rFonts w:ascii="Tahoma" w:hAnsi="Tahoma" w:cs="Tahoma"/>
                <w:sz w:val="20"/>
                <w:szCs w:val="20"/>
                <w:lang w:val="es-US"/>
              </w:rPr>
            </w:pPr>
          </w:p>
          <w:p w14:paraId="67AD97E9" w14:textId="77777777" w:rsidR="003D69A8" w:rsidRPr="005E1EA7" w:rsidRDefault="003D69A8" w:rsidP="001E35DC">
            <w:pPr>
              <w:rPr>
                <w:rFonts w:ascii="Tahoma" w:hAnsi="Tahoma" w:cs="Tahoma"/>
                <w:sz w:val="20"/>
                <w:szCs w:val="20"/>
                <w:lang w:val="de-DE"/>
              </w:rPr>
            </w:pPr>
            <w:r w:rsidRPr="005E1EA7">
              <w:rPr>
                <w:rFonts w:ascii="Tahoma" w:hAnsi="Tahoma" w:cs="Tahoma"/>
                <w:sz w:val="20"/>
                <w:szCs w:val="20"/>
                <w:lang w:val="de-DE"/>
              </w:rPr>
              <w:t>E290</w:t>
            </w:r>
          </w:p>
          <w:p w14:paraId="09A9AABA" w14:textId="77777777" w:rsidR="003D69A8" w:rsidRPr="005E1EA7" w:rsidRDefault="003D69A8" w:rsidP="001E35DC">
            <w:pPr>
              <w:rPr>
                <w:rFonts w:ascii="Tahoma" w:hAnsi="Tahoma" w:cs="Tahoma"/>
                <w:sz w:val="20"/>
                <w:szCs w:val="20"/>
                <w:lang w:val="de-DE"/>
              </w:rPr>
            </w:pPr>
            <w:r w:rsidRPr="005E1EA7">
              <w:rPr>
                <w:rFonts w:ascii="Tahoma" w:hAnsi="Tahoma" w:cs="Tahoma"/>
                <w:sz w:val="20"/>
                <w:szCs w:val="20"/>
                <w:lang w:val="de-DE"/>
              </w:rPr>
              <w:t>E938</w:t>
            </w:r>
          </w:p>
          <w:p w14:paraId="4D075652" w14:textId="77777777" w:rsidR="003D69A8" w:rsidRPr="005E1EA7" w:rsidRDefault="003D69A8" w:rsidP="001E35DC">
            <w:pPr>
              <w:rPr>
                <w:rFonts w:ascii="Tahoma" w:hAnsi="Tahoma" w:cs="Tahoma"/>
                <w:sz w:val="20"/>
                <w:szCs w:val="20"/>
                <w:lang w:val="de-DE"/>
              </w:rPr>
            </w:pPr>
            <w:r w:rsidRPr="005E1EA7">
              <w:rPr>
                <w:rFonts w:ascii="Tahoma" w:hAnsi="Tahoma" w:cs="Tahoma"/>
                <w:sz w:val="20"/>
                <w:szCs w:val="20"/>
                <w:lang w:val="de-DE"/>
              </w:rPr>
              <w:t>E939</w:t>
            </w:r>
          </w:p>
          <w:p w14:paraId="2D875CD6" w14:textId="77777777" w:rsidR="003D69A8" w:rsidRPr="005E1EA7" w:rsidRDefault="003D69A8" w:rsidP="001E35DC">
            <w:pPr>
              <w:rPr>
                <w:rFonts w:ascii="Tahoma" w:hAnsi="Tahoma" w:cs="Tahoma"/>
                <w:sz w:val="20"/>
                <w:szCs w:val="20"/>
                <w:lang w:val="de-DE"/>
              </w:rPr>
            </w:pPr>
            <w:r w:rsidRPr="005E1EA7">
              <w:rPr>
                <w:rFonts w:ascii="Tahoma" w:hAnsi="Tahoma" w:cs="Tahoma"/>
                <w:sz w:val="20"/>
                <w:szCs w:val="20"/>
                <w:lang w:val="de-DE"/>
              </w:rPr>
              <w:t>E941</w:t>
            </w:r>
          </w:p>
          <w:p w14:paraId="3D013770" w14:textId="77777777" w:rsidR="003D69A8" w:rsidRPr="005E1EA7" w:rsidRDefault="003D69A8" w:rsidP="001E35DC">
            <w:pPr>
              <w:rPr>
                <w:rFonts w:ascii="Tahoma" w:hAnsi="Tahoma" w:cs="Tahoma"/>
                <w:sz w:val="20"/>
                <w:szCs w:val="20"/>
                <w:lang w:val="de-DE"/>
              </w:rPr>
            </w:pPr>
            <w:r w:rsidRPr="005E1EA7">
              <w:rPr>
                <w:rFonts w:ascii="Tahoma" w:hAnsi="Tahoma" w:cs="Tahoma"/>
                <w:sz w:val="20"/>
                <w:szCs w:val="20"/>
                <w:lang w:val="de-DE"/>
              </w:rPr>
              <w:t>E942</w:t>
            </w:r>
          </w:p>
          <w:p w14:paraId="72B89847" w14:textId="77777777" w:rsidR="003D69A8" w:rsidRPr="005E1EA7" w:rsidRDefault="003D69A8" w:rsidP="001E35DC">
            <w:pPr>
              <w:rPr>
                <w:rFonts w:ascii="Tahoma" w:hAnsi="Tahoma" w:cs="Tahoma"/>
                <w:sz w:val="20"/>
                <w:szCs w:val="20"/>
                <w:lang w:val="de-DE"/>
              </w:rPr>
            </w:pPr>
            <w:r w:rsidRPr="005E1EA7">
              <w:rPr>
                <w:rFonts w:ascii="Tahoma" w:hAnsi="Tahoma" w:cs="Tahoma"/>
                <w:sz w:val="20"/>
                <w:szCs w:val="20"/>
                <w:lang w:val="de-DE"/>
              </w:rPr>
              <w:t>E948</w:t>
            </w:r>
          </w:p>
          <w:p w14:paraId="2EB6DEC5" w14:textId="77777777" w:rsidR="003D69A8" w:rsidRPr="005E1EA7" w:rsidRDefault="003D69A8" w:rsidP="001E35DC">
            <w:pPr>
              <w:rPr>
                <w:rFonts w:ascii="Tahoma" w:hAnsi="Tahoma" w:cs="Tahoma"/>
                <w:sz w:val="20"/>
                <w:szCs w:val="20"/>
                <w:lang w:val="de-DE"/>
              </w:rPr>
            </w:pPr>
          </w:p>
          <w:p w14:paraId="388CF286" w14:textId="77777777" w:rsidR="003D69A8" w:rsidRPr="005E1EA7" w:rsidRDefault="003D69A8" w:rsidP="001E35DC">
            <w:pPr>
              <w:rPr>
                <w:rFonts w:ascii="Tahoma" w:hAnsi="Tahoma" w:cs="Tahoma"/>
                <w:sz w:val="20"/>
                <w:szCs w:val="20"/>
                <w:lang w:val="de-DE"/>
              </w:rPr>
            </w:pPr>
            <w:r w:rsidRPr="005E1EA7">
              <w:rPr>
                <w:rFonts w:ascii="Tahoma" w:hAnsi="Tahoma" w:cs="Tahoma"/>
                <w:sz w:val="20"/>
                <w:szCs w:val="20"/>
                <w:lang w:val="de-DE"/>
              </w:rPr>
              <w:t>E300</w:t>
            </w:r>
          </w:p>
          <w:p w14:paraId="1240D90C" w14:textId="77777777" w:rsidR="003D69A8" w:rsidRPr="005E1EA7" w:rsidRDefault="003D69A8" w:rsidP="001E35DC">
            <w:pPr>
              <w:rPr>
                <w:rFonts w:ascii="Tahoma" w:hAnsi="Tahoma" w:cs="Tahoma"/>
                <w:sz w:val="20"/>
                <w:szCs w:val="20"/>
                <w:lang w:val="de-DE"/>
              </w:rPr>
            </w:pPr>
            <w:r w:rsidRPr="005E1EA7">
              <w:rPr>
                <w:rFonts w:ascii="Tahoma" w:hAnsi="Tahoma" w:cs="Tahoma"/>
                <w:sz w:val="20"/>
                <w:szCs w:val="20"/>
                <w:lang w:val="de-DE"/>
              </w:rPr>
              <w:t>E301</w:t>
            </w:r>
          </w:p>
          <w:p w14:paraId="5CD35715" w14:textId="77777777" w:rsidR="003D69A8" w:rsidRPr="005E1EA7" w:rsidRDefault="003D69A8" w:rsidP="001E35DC">
            <w:pPr>
              <w:rPr>
                <w:rFonts w:ascii="Tahoma" w:hAnsi="Tahoma" w:cs="Tahoma"/>
                <w:sz w:val="20"/>
                <w:szCs w:val="20"/>
                <w:lang w:val="de-DE"/>
              </w:rPr>
            </w:pPr>
            <w:r w:rsidRPr="005E1EA7">
              <w:rPr>
                <w:rFonts w:ascii="Tahoma" w:hAnsi="Tahoma" w:cs="Tahoma"/>
                <w:sz w:val="20"/>
                <w:szCs w:val="20"/>
                <w:lang w:val="de-DE"/>
              </w:rPr>
              <w:t>E302</w:t>
            </w:r>
          </w:p>
          <w:p w14:paraId="32C0A389" w14:textId="77777777" w:rsidR="003D69A8" w:rsidRPr="005E1EA7" w:rsidRDefault="003D69A8" w:rsidP="001E35DC">
            <w:pPr>
              <w:rPr>
                <w:rFonts w:ascii="Tahoma" w:hAnsi="Tahoma" w:cs="Tahoma"/>
                <w:sz w:val="20"/>
                <w:szCs w:val="20"/>
                <w:lang w:val="de-DE"/>
              </w:rPr>
            </w:pPr>
            <w:r w:rsidRPr="005E1EA7">
              <w:rPr>
                <w:rFonts w:ascii="Tahoma" w:hAnsi="Tahoma" w:cs="Tahoma"/>
                <w:sz w:val="20"/>
                <w:szCs w:val="20"/>
                <w:lang w:val="de-DE"/>
              </w:rPr>
              <w:t>E330</w:t>
            </w:r>
          </w:p>
          <w:p w14:paraId="234E8F9F" w14:textId="77777777" w:rsidR="003D69A8" w:rsidRPr="005E1EA7" w:rsidRDefault="003D69A8" w:rsidP="001E35DC">
            <w:pPr>
              <w:rPr>
                <w:rFonts w:ascii="Tahoma" w:hAnsi="Tahoma" w:cs="Tahoma"/>
                <w:sz w:val="20"/>
                <w:szCs w:val="20"/>
                <w:lang w:val="de-DE"/>
              </w:rPr>
            </w:pPr>
            <w:r w:rsidRPr="005E1EA7">
              <w:rPr>
                <w:rFonts w:ascii="Tahoma" w:hAnsi="Tahoma" w:cs="Tahoma"/>
                <w:sz w:val="20"/>
                <w:szCs w:val="20"/>
                <w:lang w:val="de-DE"/>
              </w:rPr>
              <w:t>E331</w:t>
            </w:r>
          </w:p>
          <w:p w14:paraId="17E879DE" w14:textId="77777777" w:rsidR="003D69A8" w:rsidRPr="005E1EA7" w:rsidRDefault="003D69A8" w:rsidP="001E35DC">
            <w:pPr>
              <w:rPr>
                <w:rFonts w:ascii="Tahoma" w:hAnsi="Tahoma" w:cs="Tahoma"/>
                <w:sz w:val="20"/>
                <w:szCs w:val="20"/>
                <w:lang w:val="de-DE"/>
              </w:rPr>
            </w:pPr>
            <w:r w:rsidRPr="005E1EA7">
              <w:rPr>
                <w:rFonts w:ascii="Tahoma" w:hAnsi="Tahoma" w:cs="Tahoma"/>
                <w:sz w:val="20"/>
                <w:szCs w:val="20"/>
                <w:lang w:val="de-DE"/>
              </w:rPr>
              <w:t>E332</w:t>
            </w:r>
          </w:p>
          <w:p w14:paraId="4C97E87A" w14:textId="77777777" w:rsidR="003D69A8" w:rsidRPr="005E1EA7" w:rsidRDefault="003D69A8" w:rsidP="001E35DC">
            <w:pPr>
              <w:rPr>
                <w:rFonts w:ascii="Tahoma" w:hAnsi="Tahoma" w:cs="Tahoma"/>
                <w:sz w:val="20"/>
                <w:szCs w:val="20"/>
              </w:rPr>
            </w:pPr>
            <w:r w:rsidRPr="005E1EA7">
              <w:rPr>
                <w:rFonts w:ascii="Tahoma" w:hAnsi="Tahoma" w:cs="Tahoma"/>
                <w:sz w:val="20"/>
                <w:szCs w:val="20"/>
              </w:rPr>
              <w:t>E333</w:t>
            </w:r>
          </w:p>
        </w:tc>
        <w:tc>
          <w:tcPr>
            <w:tcW w:w="3291" w:type="dxa"/>
          </w:tcPr>
          <w:p w14:paraId="7ABE7E50" w14:textId="77777777" w:rsidR="003D69A8" w:rsidRPr="005E1EA7" w:rsidRDefault="003D69A8" w:rsidP="001E35DC">
            <w:pPr>
              <w:rPr>
                <w:rFonts w:ascii="Tahoma" w:hAnsi="Tahoma" w:cs="Tahoma"/>
                <w:sz w:val="20"/>
                <w:szCs w:val="20"/>
              </w:rPr>
            </w:pPr>
          </w:p>
          <w:p w14:paraId="7900B5C6" w14:textId="77777777" w:rsidR="003D69A8" w:rsidRPr="005E1EA7" w:rsidRDefault="003D69A8" w:rsidP="001E35DC">
            <w:pPr>
              <w:rPr>
                <w:rFonts w:ascii="Tahoma" w:hAnsi="Tahoma" w:cs="Tahoma"/>
                <w:sz w:val="20"/>
                <w:szCs w:val="20"/>
              </w:rPr>
            </w:pPr>
          </w:p>
          <w:p w14:paraId="2B4A70BB" w14:textId="77777777" w:rsidR="003D69A8" w:rsidRPr="005E1EA7" w:rsidRDefault="003D69A8" w:rsidP="001E35DC">
            <w:pPr>
              <w:rPr>
                <w:rFonts w:ascii="Tahoma" w:hAnsi="Tahoma" w:cs="Tahoma"/>
                <w:sz w:val="20"/>
                <w:szCs w:val="20"/>
              </w:rPr>
            </w:pPr>
            <w:proofErr w:type="gramStart"/>
            <w:r w:rsidRPr="005E1EA7">
              <w:rPr>
                <w:rFonts w:ascii="Tahoma" w:hAnsi="Tahoma" w:cs="Tahoma"/>
                <w:i/>
                <w:iCs/>
                <w:sz w:val="20"/>
                <w:szCs w:val="20"/>
              </w:rPr>
              <w:t>quantum</w:t>
            </w:r>
            <w:proofErr w:type="gramEnd"/>
            <w:r w:rsidRPr="005E1EA7">
              <w:rPr>
                <w:rFonts w:ascii="Tahoma" w:hAnsi="Tahoma" w:cs="Tahoma"/>
                <w:i/>
                <w:iCs/>
                <w:sz w:val="20"/>
                <w:szCs w:val="20"/>
              </w:rPr>
              <w:t xml:space="preserve"> satis</w:t>
            </w:r>
          </w:p>
          <w:p w14:paraId="61D37CE4" w14:textId="77777777" w:rsidR="003D69A8" w:rsidRPr="005E1EA7" w:rsidRDefault="003D69A8" w:rsidP="001E35DC">
            <w:pPr>
              <w:rPr>
                <w:rFonts w:ascii="Tahoma" w:hAnsi="Tahoma" w:cs="Tahoma"/>
                <w:sz w:val="20"/>
                <w:szCs w:val="20"/>
              </w:rPr>
            </w:pPr>
          </w:p>
          <w:p w14:paraId="096B1132" w14:textId="77777777" w:rsidR="003D69A8" w:rsidRPr="005E1EA7" w:rsidRDefault="003D69A8" w:rsidP="001E35DC">
            <w:pPr>
              <w:rPr>
                <w:rFonts w:ascii="Tahoma" w:hAnsi="Tahoma" w:cs="Tahoma"/>
                <w:sz w:val="20"/>
                <w:szCs w:val="20"/>
              </w:rPr>
            </w:pPr>
          </w:p>
          <w:p w14:paraId="6B7F60E3" w14:textId="77777777" w:rsidR="003D69A8" w:rsidRPr="005E1EA7" w:rsidRDefault="003D69A8" w:rsidP="001E35DC">
            <w:pPr>
              <w:rPr>
                <w:rFonts w:ascii="Tahoma" w:hAnsi="Tahoma" w:cs="Tahoma"/>
                <w:sz w:val="20"/>
                <w:szCs w:val="20"/>
              </w:rPr>
            </w:pPr>
          </w:p>
          <w:p w14:paraId="10B4C760" w14:textId="77777777" w:rsidR="003D69A8" w:rsidRPr="005E1EA7" w:rsidRDefault="003D69A8" w:rsidP="001E35DC">
            <w:pPr>
              <w:rPr>
                <w:rFonts w:ascii="Tahoma" w:hAnsi="Tahoma" w:cs="Tahoma"/>
                <w:sz w:val="20"/>
                <w:szCs w:val="20"/>
              </w:rPr>
            </w:pPr>
          </w:p>
          <w:p w14:paraId="0251585D" w14:textId="77777777" w:rsidR="003D69A8" w:rsidRPr="005E1EA7" w:rsidRDefault="003D69A8" w:rsidP="001E35DC">
            <w:pPr>
              <w:rPr>
                <w:rFonts w:ascii="Tahoma" w:hAnsi="Tahoma" w:cs="Tahoma"/>
                <w:sz w:val="20"/>
                <w:szCs w:val="20"/>
              </w:rPr>
            </w:pPr>
          </w:p>
          <w:p w14:paraId="05B79AE4" w14:textId="77777777" w:rsidR="003D69A8" w:rsidRPr="005E1EA7" w:rsidRDefault="003D69A8" w:rsidP="001E35DC">
            <w:pPr>
              <w:rPr>
                <w:rFonts w:ascii="Tahoma" w:hAnsi="Tahoma" w:cs="Tahoma"/>
                <w:i/>
                <w:iCs/>
                <w:sz w:val="20"/>
                <w:szCs w:val="20"/>
              </w:rPr>
            </w:pPr>
          </w:p>
          <w:p w14:paraId="6FBDCBA8" w14:textId="77777777" w:rsidR="003D69A8" w:rsidRPr="005E1EA7" w:rsidRDefault="003D69A8" w:rsidP="001E35DC">
            <w:pPr>
              <w:rPr>
                <w:rFonts w:ascii="Tahoma" w:hAnsi="Tahoma" w:cs="Tahoma"/>
                <w:sz w:val="20"/>
                <w:szCs w:val="20"/>
              </w:rPr>
            </w:pPr>
            <w:proofErr w:type="gramStart"/>
            <w:r w:rsidRPr="005E1EA7">
              <w:rPr>
                <w:rFonts w:ascii="Tahoma" w:hAnsi="Tahoma" w:cs="Tahoma"/>
                <w:i/>
                <w:iCs/>
                <w:sz w:val="20"/>
                <w:szCs w:val="20"/>
              </w:rPr>
              <w:t>quantum</w:t>
            </w:r>
            <w:proofErr w:type="gramEnd"/>
            <w:r w:rsidRPr="005E1EA7">
              <w:rPr>
                <w:rFonts w:ascii="Tahoma" w:hAnsi="Tahoma" w:cs="Tahoma"/>
                <w:i/>
                <w:iCs/>
                <w:sz w:val="20"/>
                <w:szCs w:val="20"/>
              </w:rPr>
              <w:t xml:space="preserve"> satis</w:t>
            </w:r>
          </w:p>
          <w:p w14:paraId="5F3AF106" w14:textId="77777777" w:rsidR="003D69A8" w:rsidRPr="005E1EA7" w:rsidRDefault="003D69A8" w:rsidP="001E35DC">
            <w:pPr>
              <w:rPr>
                <w:rFonts w:ascii="Tahoma" w:hAnsi="Tahoma" w:cs="Tahoma"/>
                <w:sz w:val="20"/>
                <w:szCs w:val="20"/>
              </w:rPr>
            </w:pPr>
          </w:p>
        </w:tc>
      </w:tr>
    </w:tbl>
    <w:p w14:paraId="12FCBC44" w14:textId="77777777" w:rsidR="003D69A8" w:rsidRPr="005E1EA7" w:rsidRDefault="003D69A8" w:rsidP="001E35DC">
      <w:pPr>
        <w:rPr>
          <w:rFonts w:ascii="Tahoma" w:hAnsi="Tahoma" w:cs="Tahoma"/>
          <w:i/>
          <w:iCs/>
          <w:sz w:val="20"/>
          <w:szCs w:val="20"/>
        </w:rPr>
      </w:pPr>
    </w:p>
    <w:p w14:paraId="04CF36C7" w14:textId="27BCA977" w:rsidR="003D69A8" w:rsidRPr="00EA331B" w:rsidRDefault="003D69A8" w:rsidP="001E35DC">
      <w:pPr>
        <w:rPr>
          <w:rFonts w:ascii="Tahoma" w:hAnsi="Tahoma" w:cs="Tahoma"/>
          <w:b/>
          <w:bCs/>
          <w:sz w:val="20"/>
          <w:szCs w:val="20"/>
        </w:rPr>
      </w:pPr>
      <w:r w:rsidRPr="00EA331B">
        <w:rPr>
          <w:rFonts w:ascii="Tahoma" w:hAnsi="Tahoma" w:cs="Tahoma"/>
          <w:b/>
          <w:bCs/>
          <w:sz w:val="20"/>
          <w:szCs w:val="20"/>
        </w:rPr>
        <w:t>1.1 Poissons, crustacés et mollusques non transformés, congelés et surgelés</w:t>
      </w:r>
    </w:p>
    <w:tbl>
      <w:tblPr>
        <w:tblW w:w="0" w:type="auto"/>
        <w:tblInd w:w="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1" w:type="dxa"/>
          <w:right w:w="71" w:type="dxa"/>
        </w:tblCellMar>
        <w:tblLook w:val="0000" w:firstRow="0" w:lastRow="0" w:firstColumn="0" w:lastColumn="0" w:noHBand="0" w:noVBand="0"/>
      </w:tblPr>
      <w:tblGrid>
        <w:gridCol w:w="2127"/>
        <w:gridCol w:w="2693"/>
        <w:gridCol w:w="937"/>
        <w:gridCol w:w="3315"/>
      </w:tblGrid>
      <w:tr w:rsidR="003D69A8" w:rsidRPr="005E1EA7" w14:paraId="36277662" w14:textId="77777777" w:rsidTr="006365F0">
        <w:trPr>
          <w:cantSplit/>
        </w:trPr>
        <w:tc>
          <w:tcPr>
            <w:tcW w:w="2127" w:type="dxa"/>
          </w:tcPr>
          <w:p w14:paraId="1C751B01" w14:textId="77777777" w:rsidR="003D69A8" w:rsidRPr="005E1EA7" w:rsidRDefault="003D69A8" w:rsidP="001E35DC">
            <w:pPr>
              <w:rPr>
                <w:rFonts w:ascii="Tahoma" w:hAnsi="Tahoma" w:cs="Tahoma"/>
                <w:sz w:val="20"/>
                <w:szCs w:val="20"/>
              </w:rPr>
            </w:pPr>
            <w:r w:rsidRPr="005E1EA7">
              <w:rPr>
                <w:rFonts w:ascii="Tahoma" w:hAnsi="Tahoma" w:cs="Tahoma"/>
                <w:sz w:val="20"/>
                <w:szCs w:val="20"/>
              </w:rPr>
              <w:t>Stabilisants - cryoprotecteurs</w:t>
            </w:r>
          </w:p>
        </w:tc>
        <w:tc>
          <w:tcPr>
            <w:tcW w:w="2693" w:type="dxa"/>
          </w:tcPr>
          <w:p w14:paraId="5399BD5E" w14:textId="77777777" w:rsidR="003D69A8" w:rsidRPr="005E1EA7" w:rsidRDefault="003D69A8" w:rsidP="001E35DC">
            <w:pPr>
              <w:rPr>
                <w:rFonts w:ascii="Tahoma" w:hAnsi="Tahoma" w:cs="Tahoma"/>
                <w:sz w:val="20"/>
                <w:szCs w:val="20"/>
                <w:lang w:val="en-GB"/>
              </w:rPr>
            </w:pPr>
            <w:r w:rsidRPr="005E1EA7">
              <w:rPr>
                <w:rFonts w:ascii="Tahoma" w:hAnsi="Tahoma" w:cs="Tahoma"/>
                <w:sz w:val="20"/>
                <w:szCs w:val="20"/>
                <w:lang w:val="en-GB"/>
              </w:rPr>
              <w:t>polyols</w:t>
            </w:r>
          </w:p>
          <w:p w14:paraId="4C02AE57" w14:textId="77777777" w:rsidR="003D69A8" w:rsidRPr="005E1EA7" w:rsidRDefault="003D69A8" w:rsidP="001E35DC">
            <w:pPr>
              <w:rPr>
                <w:rFonts w:ascii="Tahoma" w:hAnsi="Tahoma" w:cs="Tahoma"/>
                <w:sz w:val="20"/>
                <w:szCs w:val="20"/>
                <w:lang w:val="en-GB"/>
              </w:rPr>
            </w:pPr>
            <w:r w:rsidRPr="005E1EA7">
              <w:rPr>
                <w:rFonts w:ascii="Tahoma" w:hAnsi="Tahoma" w:cs="Tahoma"/>
                <w:sz w:val="20"/>
                <w:szCs w:val="20"/>
                <w:lang w:val="en-GB"/>
              </w:rPr>
              <w:t>sorbitol</w:t>
            </w:r>
          </w:p>
          <w:p w14:paraId="1DE72EBA" w14:textId="77777777" w:rsidR="003D69A8" w:rsidRPr="005E1EA7" w:rsidRDefault="003D69A8" w:rsidP="001E35DC">
            <w:pPr>
              <w:rPr>
                <w:rFonts w:ascii="Tahoma" w:hAnsi="Tahoma" w:cs="Tahoma"/>
                <w:sz w:val="20"/>
                <w:szCs w:val="20"/>
                <w:lang w:val="en-GB"/>
              </w:rPr>
            </w:pPr>
            <w:r w:rsidRPr="005E1EA7">
              <w:rPr>
                <w:rFonts w:ascii="Tahoma" w:hAnsi="Tahoma" w:cs="Tahoma"/>
                <w:sz w:val="20"/>
                <w:szCs w:val="20"/>
                <w:lang w:val="en-GB"/>
              </w:rPr>
              <w:t>mannitol</w:t>
            </w:r>
          </w:p>
          <w:p w14:paraId="48F8575B" w14:textId="77777777" w:rsidR="003D69A8" w:rsidRPr="005E1EA7" w:rsidRDefault="003D69A8" w:rsidP="001E35DC">
            <w:pPr>
              <w:rPr>
                <w:rFonts w:ascii="Tahoma" w:hAnsi="Tahoma" w:cs="Tahoma"/>
                <w:sz w:val="20"/>
                <w:szCs w:val="20"/>
                <w:lang w:val="en-GB"/>
              </w:rPr>
            </w:pPr>
            <w:r w:rsidRPr="005E1EA7">
              <w:rPr>
                <w:rFonts w:ascii="Tahoma" w:hAnsi="Tahoma" w:cs="Tahoma"/>
                <w:sz w:val="20"/>
                <w:szCs w:val="20"/>
                <w:lang w:val="en-GB"/>
              </w:rPr>
              <w:t>isomalt</w:t>
            </w:r>
          </w:p>
          <w:p w14:paraId="7A3C2A54" w14:textId="77777777" w:rsidR="003D69A8" w:rsidRPr="005E1EA7" w:rsidRDefault="003D69A8" w:rsidP="001E35DC">
            <w:pPr>
              <w:rPr>
                <w:rFonts w:ascii="Tahoma" w:hAnsi="Tahoma" w:cs="Tahoma"/>
                <w:sz w:val="20"/>
                <w:szCs w:val="20"/>
                <w:lang w:val="en-GB"/>
              </w:rPr>
            </w:pPr>
            <w:r w:rsidRPr="005E1EA7">
              <w:rPr>
                <w:rFonts w:ascii="Tahoma" w:hAnsi="Tahoma" w:cs="Tahoma"/>
                <w:sz w:val="20"/>
                <w:szCs w:val="20"/>
                <w:lang w:val="en-GB"/>
              </w:rPr>
              <w:t>maltitol</w:t>
            </w:r>
          </w:p>
          <w:p w14:paraId="7130C469" w14:textId="77777777" w:rsidR="003D69A8" w:rsidRPr="005E1EA7" w:rsidRDefault="003D69A8" w:rsidP="001E35DC">
            <w:pPr>
              <w:rPr>
                <w:rFonts w:ascii="Tahoma" w:hAnsi="Tahoma" w:cs="Tahoma"/>
                <w:sz w:val="20"/>
                <w:szCs w:val="20"/>
                <w:lang w:val="en-GB"/>
              </w:rPr>
            </w:pPr>
            <w:r w:rsidRPr="005E1EA7">
              <w:rPr>
                <w:rFonts w:ascii="Tahoma" w:hAnsi="Tahoma" w:cs="Tahoma"/>
                <w:sz w:val="20"/>
                <w:szCs w:val="20"/>
                <w:lang w:val="en-GB"/>
              </w:rPr>
              <w:t>lactitol</w:t>
            </w:r>
          </w:p>
          <w:p w14:paraId="76EBDF8F" w14:textId="77777777" w:rsidR="003D69A8" w:rsidRPr="005E1EA7" w:rsidRDefault="003D69A8" w:rsidP="001E35DC">
            <w:pPr>
              <w:rPr>
                <w:rFonts w:ascii="Tahoma" w:hAnsi="Tahoma" w:cs="Tahoma"/>
                <w:sz w:val="20"/>
                <w:szCs w:val="20"/>
                <w:lang w:val="de-DE"/>
              </w:rPr>
            </w:pPr>
            <w:r w:rsidRPr="005E1EA7">
              <w:rPr>
                <w:rFonts w:ascii="Tahoma" w:hAnsi="Tahoma" w:cs="Tahoma"/>
                <w:sz w:val="20"/>
                <w:szCs w:val="20"/>
                <w:lang w:val="de-DE"/>
              </w:rPr>
              <w:t>xylitol</w:t>
            </w:r>
          </w:p>
        </w:tc>
        <w:tc>
          <w:tcPr>
            <w:tcW w:w="937" w:type="dxa"/>
          </w:tcPr>
          <w:p w14:paraId="51EC750C" w14:textId="77777777" w:rsidR="003D69A8" w:rsidRPr="005E1EA7" w:rsidRDefault="003D69A8" w:rsidP="001E35DC">
            <w:pPr>
              <w:rPr>
                <w:rFonts w:ascii="Tahoma" w:hAnsi="Tahoma" w:cs="Tahoma"/>
                <w:sz w:val="20"/>
                <w:szCs w:val="20"/>
                <w:lang w:val="de-DE"/>
              </w:rPr>
            </w:pPr>
          </w:p>
          <w:p w14:paraId="77533030" w14:textId="77777777" w:rsidR="003D69A8" w:rsidRPr="005E1EA7" w:rsidRDefault="003D69A8" w:rsidP="001E35DC">
            <w:pPr>
              <w:rPr>
                <w:rFonts w:ascii="Tahoma" w:hAnsi="Tahoma" w:cs="Tahoma"/>
                <w:sz w:val="20"/>
                <w:szCs w:val="20"/>
                <w:lang w:val="de-DE"/>
              </w:rPr>
            </w:pPr>
            <w:r w:rsidRPr="005E1EA7">
              <w:rPr>
                <w:rFonts w:ascii="Tahoma" w:hAnsi="Tahoma" w:cs="Tahoma"/>
                <w:sz w:val="20"/>
                <w:szCs w:val="20"/>
                <w:lang w:val="de-DE"/>
              </w:rPr>
              <w:t>E420</w:t>
            </w:r>
          </w:p>
          <w:p w14:paraId="4D6C91AE" w14:textId="77777777" w:rsidR="003D69A8" w:rsidRPr="005E1EA7" w:rsidRDefault="003D69A8" w:rsidP="001E35DC">
            <w:pPr>
              <w:rPr>
                <w:rFonts w:ascii="Tahoma" w:hAnsi="Tahoma" w:cs="Tahoma"/>
                <w:sz w:val="20"/>
                <w:szCs w:val="20"/>
                <w:lang w:val="de-DE"/>
              </w:rPr>
            </w:pPr>
            <w:r w:rsidRPr="005E1EA7">
              <w:rPr>
                <w:rFonts w:ascii="Tahoma" w:hAnsi="Tahoma" w:cs="Tahoma"/>
                <w:sz w:val="20"/>
                <w:szCs w:val="20"/>
                <w:lang w:val="de-DE"/>
              </w:rPr>
              <w:t>E421</w:t>
            </w:r>
          </w:p>
          <w:p w14:paraId="591D9DCC" w14:textId="77777777" w:rsidR="003D69A8" w:rsidRPr="005E1EA7" w:rsidRDefault="003D69A8" w:rsidP="001E35DC">
            <w:pPr>
              <w:rPr>
                <w:rFonts w:ascii="Tahoma" w:hAnsi="Tahoma" w:cs="Tahoma"/>
                <w:sz w:val="20"/>
                <w:szCs w:val="20"/>
                <w:lang w:val="de-DE"/>
              </w:rPr>
            </w:pPr>
            <w:r w:rsidRPr="005E1EA7">
              <w:rPr>
                <w:rFonts w:ascii="Tahoma" w:hAnsi="Tahoma" w:cs="Tahoma"/>
                <w:sz w:val="20"/>
                <w:szCs w:val="20"/>
                <w:lang w:val="de-DE"/>
              </w:rPr>
              <w:t>E953</w:t>
            </w:r>
          </w:p>
          <w:p w14:paraId="603B6FED" w14:textId="77777777" w:rsidR="003D69A8" w:rsidRPr="005E1EA7" w:rsidRDefault="003D69A8" w:rsidP="001E35DC">
            <w:pPr>
              <w:rPr>
                <w:rFonts w:ascii="Tahoma" w:hAnsi="Tahoma" w:cs="Tahoma"/>
                <w:sz w:val="20"/>
                <w:szCs w:val="20"/>
                <w:lang w:val="de-DE"/>
              </w:rPr>
            </w:pPr>
            <w:r w:rsidRPr="005E1EA7">
              <w:rPr>
                <w:rFonts w:ascii="Tahoma" w:hAnsi="Tahoma" w:cs="Tahoma"/>
                <w:sz w:val="20"/>
                <w:szCs w:val="20"/>
                <w:lang w:val="de-DE"/>
              </w:rPr>
              <w:t>E965</w:t>
            </w:r>
          </w:p>
          <w:p w14:paraId="6341C89D" w14:textId="77777777" w:rsidR="003D69A8" w:rsidRPr="005E1EA7" w:rsidRDefault="003D69A8" w:rsidP="001E35DC">
            <w:pPr>
              <w:rPr>
                <w:rFonts w:ascii="Tahoma" w:hAnsi="Tahoma" w:cs="Tahoma"/>
                <w:sz w:val="20"/>
                <w:szCs w:val="20"/>
                <w:lang w:val="de-DE"/>
              </w:rPr>
            </w:pPr>
            <w:r w:rsidRPr="005E1EA7">
              <w:rPr>
                <w:rFonts w:ascii="Tahoma" w:hAnsi="Tahoma" w:cs="Tahoma"/>
                <w:sz w:val="20"/>
                <w:szCs w:val="20"/>
                <w:lang w:val="de-DE"/>
              </w:rPr>
              <w:t>E966</w:t>
            </w:r>
          </w:p>
          <w:p w14:paraId="6DBA0FFD" w14:textId="77777777" w:rsidR="003D69A8" w:rsidRPr="005E1EA7" w:rsidRDefault="003D69A8" w:rsidP="001E35DC">
            <w:pPr>
              <w:rPr>
                <w:rFonts w:ascii="Tahoma" w:hAnsi="Tahoma" w:cs="Tahoma"/>
                <w:sz w:val="20"/>
                <w:szCs w:val="20"/>
                <w:lang w:val="de-DE"/>
              </w:rPr>
            </w:pPr>
            <w:r w:rsidRPr="005E1EA7">
              <w:rPr>
                <w:rFonts w:ascii="Tahoma" w:hAnsi="Tahoma" w:cs="Tahoma"/>
                <w:sz w:val="20"/>
                <w:szCs w:val="20"/>
                <w:lang w:val="de-DE"/>
              </w:rPr>
              <w:t>E967</w:t>
            </w:r>
          </w:p>
        </w:tc>
        <w:tc>
          <w:tcPr>
            <w:tcW w:w="3315" w:type="dxa"/>
          </w:tcPr>
          <w:p w14:paraId="16045EC4" w14:textId="77777777" w:rsidR="003D69A8" w:rsidRPr="005E1EA7" w:rsidRDefault="003D69A8" w:rsidP="001E35DC">
            <w:pPr>
              <w:rPr>
                <w:rFonts w:ascii="Tahoma" w:hAnsi="Tahoma" w:cs="Tahoma"/>
                <w:i/>
                <w:iCs/>
                <w:sz w:val="20"/>
                <w:szCs w:val="20"/>
              </w:rPr>
            </w:pPr>
            <w:proofErr w:type="gramStart"/>
            <w:r w:rsidRPr="005E1EA7">
              <w:rPr>
                <w:rFonts w:ascii="Tahoma" w:hAnsi="Tahoma" w:cs="Tahoma"/>
                <w:i/>
                <w:iCs/>
                <w:sz w:val="20"/>
                <w:szCs w:val="20"/>
              </w:rPr>
              <w:t>quantum</w:t>
            </w:r>
            <w:proofErr w:type="gramEnd"/>
            <w:r w:rsidRPr="005E1EA7">
              <w:rPr>
                <w:rFonts w:ascii="Tahoma" w:hAnsi="Tahoma" w:cs="Tahoma"/>
                <w:i/>
                <w:iCs/>
                <w:sz w:val="20"/>
                <w:szCs w:val="20"/>
              </w:rPr>
              <w:t xml:space="preserve"> satis</w:t>
            </w:r>
          </w:p>
          <w:p w14:paraId="40B43070" w14:textId="77777777" w:rsidR="003D69A8" w:rsidRPr="005E1EA7" w:rsidRDefault="003D69A8" w:rsidP="001E35DC">
            <w:pPr>
              <w:rPr>
                <w:rFonts w:ascii="Tahoma" w:hAnsi="Tahoma" w:cs="Tahoma"/>
                <w:sz w:val="20"/>
                <w:szCs w:val="20"/>
              </w:rPr>
            </w:pPr>
          </w:p>
          <w:p w14:paraId="5BB30B1B" w14:textId="77777777" w:rsidR="003D69A8" w:rsidRPr="005E1EA7" w:rsidRDefault="003D69A8" w:rsidP="001E35DC">
            <w:pPr>
              <w:rPr>
                <w:rFonts w:ascii="Tahoma" w:hAnsi="Tahoma" w:cs="Tahoma"/>
                <w:sz w:val="20"/>
                <w:szCs w:val="20"/>
              </w:rPr>
            </w:pPr>
          </w:p>
          <w:p w14:paraId="7EBE0384" w14:textId="77777777" w:rsidR="003D69A8" w:rsidRPr="005E1EA7" w:rsidRDefault="003D69A8" w:rsidP="001E35DC">
            <w:pPr>
              <w:rPr>
                <w:rFonts w:ascii="Tahoma" w:hAnsi="Tahoma" w:cs="Tahoma"/>
                <w:sz w:val="20"/>
                <w:szCs w:val="20"/>
              </w:rPr>
            </w:pPr>
          </w:p>
          <w:p w14:paraId="5A99D0B1" w14:textId="77777777" w:rsidR="003D69A8" w:rsidRPr="005E1EA7" w:rsidRDefault="003D69A8" w:rsidP="001E35DC">
            <w:pPr>
              <w:rPr>
                <w:rFonts w:ascii="Tahoma" w:hAnsi="Tahoma" w:cs="Tahoma"/>
                <w:sz w:val="20"/>
                <w:szCs w:val="20"/>
              </w:rPr>
            </w:pPr>
          </w:p>
          <w:p w14:paraId="59E80C29" w14:textId="77777777" w:rsidR="003D69A8" w:rsidRPr="005E1EA7" w:rsidRDefault="003D69A8" w:rsidP="001E35DC">
            <w:pPr>
              <w:rPr>
                <w:rFonts w:ascii="Tahoma" w:hAnsi="Tahoma" w:cs="Tahoma"/>
                <w:sz w:val="20"/>
                <w:szCs w:val="20"/>
              </w:rPr>
            </w:pPr>
          </w:p>
        </w:tc>
      </w:tr>
    </w:tbl>
    <w:p w14:paraId="1168FE03" w14:textId="77777777" w:rsidR="00EA331B" w:rsidRDefault="00EA331B" w:rsidP="001E35DC">
      <w:pPr>
        <w:rPr>
          <w:rFonts w:ascii="Tahoma" w:hAnsi="Tahoma" w:cs="Tahoma"/>
          <w:b/>
          <w:bCs/>
          <w:sz w:val="20"/>
          <w:szCs w:val="20"/>
        </w:rPr>
      </w:pPr>
    </w:p>
    <w:p w14:paraId="22F56040" w14:textId="0BBDF4E7" w:rsidR="003D69A8" w:rsidRPr="00EA331B" w:rsidRDefault="003D69A8" w:rsidP="001E35DC">
      <w:pPr>
        <w:rPr>
          <w:rFonts w:ascii="Tahoma" w:hAnsi="Tahoma" w:cs="Tahoma"/>
          <w:b/>
          <w:bCs/>
          <w:sz w:val="20"/>
          <w:szCs w:val="20"/>
        </w:rPr>
      </w:pPr>
      <w:r w:rsidRPr="00EA331B">
        <w:rPr>
          <w:rFonts w:ascii="Tahoma" w:hAnsi="Tahoma" w:cs="Tahoma"/>
          <w:b/>
          <w:bCs/>
          <w:sz w:val="20"/>
          <w:szCs w:val="20"/>
        </w:rPr>
        <w:t>1.1.1 Filets de poisson non transformé, congelés et surgelés</w:t>
      </w:r>
    </w:p>
    <w:tbl>
      <w:tblPr>
        <w:tblW w:w="0" w:type="auto"/>
        <w:tblInd w:w="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1" w:type="dxa"/>
          <w:right w:w="71" w:type="dxa"/>
        </w:tblCellMar>
        <w:tblLook w:val="0000" w:firstRow="0" w:lastRow="0" w:firstColumn="0" w:lastColumn="0" w:noHBand="0" w:noVBand="0"/>
      </w:tblPr>
      <w:tblGrid>
        <w:gridCol w:w="2127"/>
        <w:gridCol w:w="2693"/>
        <w:gridCol w:w="937"/>
        <w:gridCol w:w="3315"/>
      </w:tblGrid>
      <w:tr w:rsidR="003D69A8" w:rsidRPr="005E1EA7" w14:paraId="7E7FBEA8" w14:textId="77777777" w:rsidTr="006365F0">
        <w:trPr>
          <w:cantSplit/>
        </w:trPr>
        <w:tc>
          <w:tcPr>
            <w:tcW w:w="2127" w:type="dxa"/>
          </w:tcPr>
          <w:p w14:paraId="3A7A3823" w14:textId="77777777" w:rsidR="003D69A8" w:rsidRPr="005E1EA7" w:rsidRDefault="003D69A8" w:rsidP="001E35DC">
            <w:pPr>
              <w:rPr>
                <w:rFonts w:ascii="Tahoma" w:hAnsi="Tahoma" w:cs="Tahoma"/>
                <w:sz w:val="20"/>
                <w:szCs w:val="20"/>
              </w:rPr>
            </w:pPr>
            <w:r w:rsidRPr="005E1EA7">
              <w:rPr>
                <w:rFonts w:ascii="Tahoma" w:hAnsi="Tahoma" w:cs="Tahoma"/>
                <w:sz w:val="20"/>
                <w:szCs w:val="20"/>
              </w:rPr>
              <w:t>Stabilisants - cryoprotecteurs</w:t>
            </w:r>
          </w:p>
        </w:tc>
        <w:tc>
          <w:tcPr>
            <w:tcW w:w="2693" w:type="dxa"/>
          </w:tcPr>
          <w:p w14:paraId="0F4D7558" w14:textId="03E5867F" w:rsidR="003D69A8" w:rsidRPr="005E1EA7" w:rsidRDefault="003D69A8" w:rsidP="00EA331B">
            <w:pPr>
              <w:rPr>
                <w:rFonts w:ascii="Tahoma" w:hAnsi="Tahoma" w:cs="Tahoma"/>
                <w:sz w:val="20"/>
                <w:szCs w:val="20"/>
              </w:rPr>
            </w:pPr>
            <w:proofErr w:type="gramStart"/>
            <w:r w:rsidRPr="005E1EA7">
              <w:rPr>
                <w:rFonts w:ascii="Tahoma" w:hAnsi="Tahoma" w:cs="Tahoma"/>
                <w:sz w:val="20"/>
                <w:szCs w:val="20"/>
              </w:rPr>
              <w:t>acide</w:t>
            </w:r>
            <w:proofErr w:type="gramEnd"/>
            <w:r w:rsidRPr="005E1EA7">
              <w:rPr>
                <w:rFonts w:ascii="Tahoma" w:hAnsi="Tahoma" w:cs="Tahoma"/>
                <w:sz w:val="20"/>
                <w:szCs w:val="20"/>
              </w:rPr>
              <w:t xml:space="preserve"> phosphorique/ phosphates </w:t>
            </w:r>
          </w:p>
          <w:p w14:paraId="299B7588" w14:textId="77777777" w:rsidR="003D69A8" w:rsidRPr="005E1EA7" w:rsidRDefault="003D69A8" w:rsidP="001E35DC">
            <w:pPr>
              <w:rPr>
                <w:rFonts w:ascii="Tahoma" w:hAnsi="Tahoma" w:cs="Tahoma"/>
                <w:sz w:val="20"/>
                <w:szCs w:val="20"/>
              </w:rPr>
            </w:pPr>
            <w:r w:rsidRPr="005E1EA7">
              <w:rPr>
                <w:rFonts w:ascii="Tahoma" w:hAnsi="Tahoma" w:cs="Tahoma"/>
                <w:sz w:val="20"/>
                <w:szCs w:val="20"/>
              </w:rPr>
              <w:t>* acide phosphorique</w:t>
            </w:r>
          </w:p>
          <w:p w14:paraId="4BF89D99" w14:textId="77777777" w:rsidR="003D69A8" w:rsidRPr="005E1EA7" w:rsidRDefault="003D69A8" w:rsidP="001E35DC">
            <w:pPr>
              <w:rPr>
                <w:rFonts w:ascii="Tahoma" w:hAnsi="Tahoma" w:cs="Tahoma"/>
                <w:sz w:val="20"/>
                <w:szCs w:val="20"/>
              </w:rPr>
            </w:pPr>
            <w:r w:rsidRPr="005E1EA7">
              <w:rPr>
                <w:rFonts w:ascii="Tahoma" w:hAnsi="Tahoma" w:cs="Tahoma"/>
                <w:sz w:val="20"/>
                <w:szCs w:val="20"/>
              </w:rPr>
              <w:t>* orthophosphates de sodium</w:t>
            </w:r>
          </w:p>
          <w:p w14:paraId="1BC2E375" w14:textId="77777777" w:rsidR="003D69A8" w:rsidRPr="005E1EA7" w:rsidRDefault="003D69A8" w:rsidP="001E35DC">
            <w:pPr>
              <w:rPr>
                <w:rFonts w:ascii="Tahoma" w:hAnsi="Tahoma" w:cs="Tahoma"/>
                <w:sz w:val="20"/>
                <w:szCs w:val="20"/>
              </w:rPr>
            </w:pPr>
            <w:r w:rsidRPr="005E1EA7">
              <w:rPr>
                <w:rFonts w:ascii="Tahoma" w:hAnsi="Tahoma" w:cs="Tahoma"/>
                <w:sz w:val="20"/>
                <w:szCs w:val="20"/>
              </w:rPr>
              <w:t>* orthophosphates de potassium</w:t>
            </w:r>
          </w:p>
          <w:p w14:paraId="1E9CB00F" w14:textId="77777777" w:rsidR="003D69A8" w:rsidRPr="005E1EA7" w:rsidRDefault="003D69A8" w:rsidP="001E35DC">
            <w:pPr>
              <w:rPr>
                <w:rFonts w:ascii="Tahoma" w:hAnsi="Tahoma" w:cs="Tahoma"/>
                <w:sz w:val="20"/>
                <w:szCs w:val="20"/>
              </w:rPr>
            </w:pPr>
            <w:r w:rsidRPr="005E1EA7">
              <w:rPr>
                <w:rFonts w:ascii="Tahoma" w:hAnsi="Tahoma" w:cs="Tahoma"/>
                <w:sz w:val="20"/>
                <w:szCs w:val="20"/>
              </w:rPr>
              <w:t>* orthophosphates de calcium</w:t>
            </w:r>
          </w:p>
          <w:p w14:paraId="7C1AFDE5" w14:textId="77777777" w:rsidR="003D69A8" w:rsidRPr="005E1EA7" w:rsidRDefault="003D69A8" w:rsidP="001E35DC">
            <w:pPr>
              <w:rPr>
                <w:rFonts w:ascii="Tahoma" w:hAnsi="Tahoma" w:cs="Tahoma"/>
                <w:sz w:val="20"/>
                <w:szCs w:val="20"/>
                <w:lang w:val="de-DE"/>
              </w:rPr>
            </w:pPr>
            <w:r w:rsidRPr="005E1EA7">
              <w:rPr>
                <w:rFonts w:ascii="Tahoma" w:hAnsi="Tahoma" w:cs="Tahoma"/>
                <w:sz w:val="20"/>
                <w:szCs w:val="20"/>
                <w:lang w:val="de-DE"/>
              </w:rPr>
              <w:t xml:space="preserve">* diphosphates </w:t>
            </w:r>
          </w:p>
          <w:p w14:paraId="328B4137" w14:textId="77777777" w:rsidR="003D69A8" w:rsidRPr="005E1EA7" w:rsidRDefault="003D69A8" w:rsidP="001E35DC">
            <w:pPr>
              <w:rPr>
                <w:rFonts w:ascii="Tahoma" w:hAnsi="Tahoma" w:cs="Tahoma"/>
                <w:sz w:val="20"/>
                <w:szCs w:val="20"/>
                <w:lang w:val="de-DE"/>
              </w:rPr>
            </w:pPr>
            <w:r w:rsidRPr="005E1EA7">
              <w:rPr>
                <w:rFonts w:ascii="Tahoma" w:hAnsi="Tahoma" w:cs="Tahoma"/>
                <w:sz w:val="20"/>
                <w:szCs w:val="20"/>
                <w:lang w:val="de-DE"/>
              </w:rPr>
              <w:t>* triphosphates</w:t>
            </w:r>
          </w:p>
          <w:p w14:paraId="23519A99" w14:textId="77777777" w:rsidR="003D69A8" w:rsidRPr="005E1EA7" w:rsidRDefault="003D69A8" w:rsidP="001E35DC">
            <w:pPr>
              <w:rPr>
                <w:rFonts w:ascii="Tahoma" w:hAnsi="Tahoma" w:cs="Tahoma"/>
                <w:sz w:val="20"/>
                <w:szCs w:val="20"/>
                <w:lang w:val="de-DE"/>
              </w:rPr>
            </w:pPr>
            <w:r w:rsidRPr="005E1EA7">
              <w:rPr>
                <w:rFonts w:ascii="Tahoma" w:hAnsi="Tahoma" w:cs="Tahoma"/>
                <w:sz w:val="20"/>
                <w:szCs w:val="20"/>
                <w:lang w:val="de-DE"/>
              </w:rPr>
              <w:t>* polyphosphates</w:t>
            </w:r>
          </w:p>
        </w:tc>
        <w:tc>
          <w:tcPr>
            <w:tcW w:w="937" w:type="dxa"/>
          </w:tcPr>
          <w:p w14:paraId="0CA49B3A" w14:textId="77777777" w:rsidR="003D69A8" w:rsidRPr="005E1EA7" w:rsidRDefault="003D69A8" w:rsidP="001E35DC">
            <w:pPr>
              <w:rPr>
                <w:rFonts w:ascii="Tahoma" w:hAnsi="Tahoma" w:cs="Tahoma"/>
                <w:sz w:val="20"/>
                <w:szCs w:val="20"/>
                <w:lang w:val="de-DE"/>
              </w:rPr>
            </w:pPr>
          </w:p>
          <w:p w14:paraId="21E3CA07" w14:textId="77777777" w:rsidR="003D69A8" w:rsidRPr="005E1EA7" w:rsidRDefault="003D69A8" w:rsidP="001E35DC">
            <w:pPr>
              <w:rPr>
                <w:rFonts w:ascii="Tahoma" w:hAnsi="Tahoma" w:cs="Tahoma"/>
                <w:sz w:val="20"/>
                <w:szCs w:val="20"/>
                <w:lang w:val="de-DE"/>
              </w:rPr>
            </w:pPr>
          </w:p>
          <w:p w14:paraId="3ACA2CBC" w14:textId="77777777" w:rsidR="003D69A8" w:rsidRPr="005E1EA7" w:rsidRDefault="003D69A8" w:rsidP="001E35DC">
            <w:pPr>
              <w:rPr>
                <w:rFonts w:ascii="Tahoma" w:hAnsi="Tahoma" w:cs="Tahoma"/>
                <w:sz w:val="20"/>
                <w:szCs w:val="20"/>
                <w:lang w:val="de-DE"/>
              </w:rPr>
            </w:pPr>
            <w:r w:rsidRPr="005E1EA7">
              <w:rPr>
                <w:rFonts w:ascii="Tahoma" w:hAnsi="Tahoma" w:cs="Tahoma"/>
                <w:sz w:val="20"/>
                <w:szCs w:val="20"/>
                <w:lang w:val="de-DE"/>
              </w:rPr>
              <w:t>E338</w:t>
            </w:r>
          </w:p>
          <w:p w14:paraId="7922F8FE" w14:textId="77777777" w:rsidR="003D69A8" w:rsidRPr="005E1EA7" w:rsidRDefault="003D69A8" w:rsidP="001E35DC">
            <w:pPr>
              <w:rPr>
                <w:rFonts w:ascii="Tahoma" w:hAnsi="Tahoma" w:cs="Tahoma"/>
                <w:sz w:val="20"/>
                <w:szCs w:val="20"/>
                <w:lang w:val="de-DE"/>
              </w:rPr>
            </w:pPr>
            <w:r w:rsidRPr="005E1EA7">
              <w:rPr>
                <w:rFonts w:ascii="Tahoma" w:hAnsi="Tahoma" w:cs="Tahoma"/>
                <w:sz w:val="20"/>
                <w:szCs w:val="20"/>
                <w:lang w:val="de-DE"/>
              </w:rPr>
              <w:t>E339</w:t>
            </w:r>
          </w:p>
          <w:p w14:paraId="4DB71A2A" w14:textId="77777777" w:rsidR="003D69A8" w:rsidRPr="005E1EA7" w:rsidRDefault="003D69A8" w:rsidP="001E35DC">
            <w:pPr>
              <w:rPr>
                <w:rFonts w:ascii="Tahoma" w:hAnsi="Tahoma" w:cs="Tahoma"/>
                <w:sz w:val="20"/>
                <w:szCs w:val="20"/>
                <w:lang w:val="de-DE"/>
              </w:rPr>
            </w:pPr>
            <w:r w:rsidRPr="005E1EA7">
              <w:rPr>
                <w:rFonts w:ascii="Tahoma" w:hAnsi="Tahoma" w:cs="Tahoma"/>
                <w:sz w:val="20"/>
                <w:szCs w:val="20"/>
                <w:lang w:val="de-DE"/>
              </w:rPr>
              <w:t>E340</w:t>
            </w:r>
          </w:p>
          <w:p w14:paraId="04739AB3" w14:textId="77777777" w:rsidR="003D69A8" w:rsidRPr="005E1EA7" w:rsidRDefault="003D69A8" w:rsidP="001E35DC">
            <w:pPr>
              <w:rPr>
                <w:rFonts w:ascii="Tahoma" w:hAnsi="Tahoma" w:cs="Tahoma"/>
                <w:sz w:val="20"/>
                <w:szCs w:val="20"/>
                <w:lang w:val="de-DE"/>
              </w:rPr>
            </w:pPr>
            <w:r w:rsidRPr="005E1EA7">
              <w:rPr>
                <w:rFonts w:ascii="Tahoma" w:hAnsi="Tahoma" w:cs="Tahoma"/>
                <w:sz w:val="20"/>
                <w:szCs w:val="20"/>
                <w:lang w:val="de-DE"/>
              </w:rPr>
              <w:t>E341</w:t>
            </w:r>
          </w:p>
          <w:p w14:paraId="6202658B" w14:textId="77777777" w:rsidR="003D69A8" w:rsidRPr="005E1EA7" w:rsidRDefault="003D69A8" w:rsidP="001E35DC">
            <w:pPr>
              <w:rPr>
                <w:rFonts w:ascii="Tahoma" w:hAnsi="Tahoma" w:cs="Tahoma"/>
                <w:sz w:val="20"/>
                <w:szCs w:val="20"/>
                <w:lang w:val="de-DE"/>
              </w:rPr>
            </w:pPr>
            <w:r w:rsidRPr="005E1EA7">
              <w:rPr>
                <w:rFonts w:ascii="Tahoma" w:hAnsi="Tahoma" w:cs="Tahoma"/>
                <w:sz w:val="20"/>
                <w:szCs w:val="20"/>
                <w:lang w:val="de-DE"/>
              </w:rPr>
              <w:t>E450</w:t>
            </w:r>
          </w:p>
          <w:p w14:paraId="10FE7F42" w14:textId="77777777" w:rsidR="003D69A8" w:rsidRPr="005E1EA7" w:rsidRDefault="003D69A8" w:rsidP="001E35DC">
            <w:pPr>
              <w:rPr>
                <w:rFonts w:ascii="Tahoma" w:hAnsi="Tahoma" w:cs="Tahoma"/>
                <w:sz w:val="20"/>
                <w:szCs w:val="20"/>
                <w:lang w:val="de-DE"/>
              </w:rPr>
            </w:pPr>
            <w:r w:rsidRPr="005E1EA7">
              <w:rPr>
                <w:rFonts w:ascii="Tahoma" w:hAnsi="Tahoma" w:cs="Tahoma"/>
                <w:sz w:val="20"/>
                <w:szCs w:val="20"/>
                <w:lang w:val="de-DE"/>
              </w:rPr>
              <w:t>E451</w:t>
            </w:r>
          </w:p>
          <w:p w14:paraId="0E64C0D3" w14:textId="77777777" w:rsidR="003D69A8" w:rsidRPr="005E1EA7" w:rsidRDefault="003D69A8" w:rsidP="001E35DC">
            <w:pPr>
              <w:rPr>
                <w:rFonts w:ascii="Tahoma" w:hAnsi="Tahoma" w:cs="Tahoma"/>
                <w:sz w:val="20"/>
                <w:szCs w:val="20"/>
              </w:rPr>
            </w:pPr>
            <w:r w:rsidRPr="005E1EA7">
              <w:rPr>
                <w:rFonts w:ascii="Tahoma" w:hAnsi="Tahoma" w:cs="Tahoma"/>
                <w:sz w:val="20"/>
                <w:szCs w:val="20"/>
              </w:rPr>
              <w:t>E452</w:t>
            </w:r>
          </w:p>
        </w:tc>
        <w:tc>
          <w:tcPr>
            <w:tcW w:w="3315" w:type="dxa"/>
          </w:tcPr>
          <w:p w14:paraId="4A461AD2" w14:textId="77777777" w:rsidR="003D69A8" w:rsidRPr="005E1EA7" w:rsidRDefault="003D69A8" w:rsidP="001E35DC">
            <w:pPr>
              <w:rPr>
                <w:rFonts w:ascii="Tahoma" w:hAnsi="Tahoma" w:cs="Tahoma"/>
                <w:sz w:val="20"/>
                <w:szCs w:val="20"/>
              </w:rPr>
            </w:pPr>
            <w:r w:rsidRPr="005E1EA7">
              <w:rPr>
                <w:rFonts w:ascii="Tahoma" w:hAnsi="Tahoma" w:cs="Tahoma"/>
                <w:sz w:val="20"/>
                <w:szCs w:val="20"/>
              </w:rPr>
              <w:t>5 g/kg (exprimé en P2O5) seuls ou en mélange</w:t>
            </w:r>
          </w:p>
        </w:tc>
      </w:tr>
    </w:tbl>
    <w:p w14:paraId="05C2211B" w14:textId="77777777" w:rsidR="003D69A8" w:rsidRPr="005E1EA7" w:rsidRDefault="003D69A8" w:rsidP="001E35DC">
      <w:pPr>
        <w:rPr>
          <w:rFonts w:ascii="Tahoma" w:hAnsi="Tahoma" w:cs="Tahoma"/>
          <w:sz w:val="20"/>
          <w:szCs w:val="20"/>
        </w:rPr>
      </w:pPr>
    </w:p>
    <w:p w14:paraId="037CB5D8" w14:textId="77777777" w:rsidR="003D69A8" w:rsidRPr="00EA331B" w:rsidRDefault="003D69A8" w:rsidP="001E35DC">
      <w:pPr>
        <w:rPr>
          <w:rFonts w:ascii="Tahoma" w:hAnsi="Tahoma" w:cs="Tahoma"/>
          <w:b/>
          <w:bCs/>
          <w:sz w:val="20"/>
          <w:szCs w:val="20"/>
        </w:rPr>
      </w:pPr>
      <w:r w:rsidRPr="00EA331B">
        <w:rPr>
          <w:rFonts w:ascii="Tahoma" w:hAnsi="Tahoma" w:cs="Tahoma"/>
          <w:b/>
          <w:bCs/>
          <w:sz w:val="20"/>
          <w:szCs w:val="20"/>
        </w:rPr>
        <w:t>1.1.2 Poissons à peau rouge congelés et surgelés (exemple sébaste...)</w:t>
      </w:r>
    </w:p>
    <w:tbl>
      <w:tblPr>
        <w:tblW w:w="0" w:type="auto"/>
        <w:tblInd w:w="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1" w:type="dxa"/>
          <w:right w:w="71" w:type="dxa"/>
        </w:tblCellMar>
        <w:tblLook w:val="0000" w:firstRow="0" w:lastRow="0" w:firstColumn="0" w:lastColumn="0" w:noHBand="0" w:noVBand="0"/>
      </w:tblPr>
      <w:tblGrid>
        <w:gridCol w:w="2127"/>
        <w:gridCol w:w="2693"/>
        <w:gridCol w:w="937"/>
        <w:gridCol w:w="3315"/>
      </w:tblGrid>
      <w:tr w:rsidR="003D69A8" w:rsidRPr="005E1EA7" w14:paraId="3F820F02" w14:textId="77777777" w:rsidTr="006365F0">
        <w:trPr>
          <w:cantSplit/>
        </w:trPr>
        <w:tc>
          <w:tcPr>
            <w:tcW w:w="2127" w:type="dxa"/>
          </w:tcPr>
          <w:p w14:paraId="6258D950" w14:textId="77777777" w:rsidR="003D69A8" w:rsidRPr="005E1EA7" w:rsidRDefault="003D69A8" w:rsidP="001E35DC">
            <w:pPr>
              <w:rPr>
                <w:rFonts w:ascii="Tahoma" w:hAnsi="Tahoma" w:cs="Tahoma"/>
                <w:sz w:val="20"/>
                <w:szCs w:val="20"/>
              </w:rPr>
            </w:pPr>
            <w:r w:rsidRPr="005E1EA7">
              <w:rPr>
                <w:rFonts w:ascii="Tahoma" w:hAnsi="Tahoma" w:cs="Tahoma"/>
                <w:sz w:val="20"/>
                <w:szCs w:val="20"/>
              </w:rPr>
              <w:t>Antioxygènes</w:t>
            </w:r>
          </w:p>
        </w:tc>
        <w:tc>
          <w:tcPr>
            <w:tcW w:w="2693" w:type="dxa"/>
          </w:tcPr>
          <w:p w14:paraId="0595B499" w14:textId="77777777" w:rsidR="003D69A8" w:rsidRPr="005E1EA7" w:rsidRDefault="003D69A8" w:rsidP="001E35DC">
            <w:pPr>
              <w:rPr>
                <w:rFonts w:ascii="Tahoma" w:hAnsi="Tahoma" w:cs="Tahoma"/>
                <w:sz w:val="20"/>
                <w:szCs w:val="20"/>
              </w:rPr>
            </w:pPr>
            <w:proofErr w:type="gramStart"/>
            <w:r w:rsidRPr="005E1EA7">
              <w:rPr>
                <w:rFonts w:ascii="Tahoma" w:hAnsi="Tahoma" w:cs="Tahoma"/>
                <w:sz w:val="20"/>
                <w:szCs w:val="20"/>
              </w:rPr>
              <w:t>acide</w:t>
            </w:r>
            <w:proofErr w:type="gramEnd"/>
            <w:r w:rsidRPr="005E1EA7">
              <w:rPr>
                <w:rFonts w:ascii="Tahoma" w:hAnsi="Tahoma" w:cs="Tahoma"/>
                <w:sz w:val="20"/>
                <w:szCs w:val="20"/>
              </w:rPr>
              <w:t xml:space="preserve"> érythorbique</w:t>
            </w:r>
          </w:p>
          <w:p w14:paraId="5B3DFF96" w14:textId="77777777" w:rsidR="003D69A8" w:rsidRPr="005E1EA7" w:rsidRDefault="003D69A8" w:rsidP="001E35DC">
            <w:pPr>
              <w:rPr>
                <w:rFonts w:ascii="Tahoma" w:hAnsi="Tahoma" w:cs="Tahoma"/>
                <w:sz w:val="20"/>
                <w:szCs w:val="20"/>
              </w:rPr>
            </w:pPr>
            <w:r w:rsidRPr="005E1EA7">
              <w:rPr>
                <w:rFonts w:ascii="Tahoma" w:hAnsi="Tahoma" w:cs="Tahoma"/>
                <w:sz w:val="20"/>
                <w:szCs w:val="20"/>
              </w:rPr>
              <w:t>érythorbate de sodium</w:t>
            </w:r>
          </w:p>
        </w:tc>
        <w:tc>
          <w:tcPr>
            <w:tcW w:w="937" w:type="dxa"/>
          </w:tcPr>
          <w:p w14:paraId="74830B8F" w14:textId="77777777" w:rsidR="003D69A8" w:rsidRPr="005E1EA7" w:rsidRDefault="003D69A8" w:rsidP="001E35DC">
            <w:pPr>
              <w:rPr>
                <w:rFonts w:ascii="Tahoma" w:hAnsi="Tahoma" w:cs="Tahoma"/>
                <w:sz w:val="20"/>
                <w:szCs w:val="20"/>
              </w:rPr>
            </w:pPr>
            <w:r w:rsidRPr="005E1EA7">
              <w:rPr>
                <w:rFonts w:ascii="Tahoma" w:hAnsi="Tahoma" w:cs="Tahoma"/>
                <w:sz w:val="20"/>
                <w:szCs w:val="20"/>
              </w:rPr>
              <w:t>E315</w:t>
            </w:r>
          </w:p>
          <w:p w14:paraId="625F66A2" w14:textId="77777777" w:rsidR="003D69A8" w:rsidRPr="005E1EA7" w:rsidRDefault="003D69A8" w:rsidP="001E35DC">
            <w:pPr>
              <w:rPr>
                <w:rFonts w:ascii="Tahoma" w:hAnsi="Tahoma" w:cs="Tahoma"/>
                <w:sz w:val="20"/>
                <w:szCs w:val="20"/>
              </w:rPr>
            </w:pPr>
            <w:r w:rsidRPr="005E1EA7">
              <w:rPr>
                <w:rFonts w:ascii="Tahoma" w:hAnsi="Tahoma" w:cs="Tahoma"/>
                <w:sz w:val="20"/>
                <w:szCs w:val="20"/>
              </w:rPr>
              <w:t>E316</w:t>
            </w:r>
          </w:p>
        </w:tc>
        <w:tc>
          <w:tcPr>
            <w:tcW w:w="3315" w:type="dxa"/>
          </w:tcPr>
          <w:p w14:paraId="00F12E18" w14:textId="77777777" w:rsidR="003D69A8" w:rsidRPr="005E1EA7" w:rsidRDefault="003D69A8" w:rsidP="001E35DC">
            <w:pPr>
              <w:rPr>
                <w:rFonts w:ascii="Tahoma" w:hAnsi="Tahoma" w:cs="Tahoma"/>
                <w:sz w:val="20"/>
                <w:szCs w:val="20"/>
              </w:rPr>
            </w:pPr>
            <w:r w:rsidRPr="005E1EA7">
              <w:rPr>
                <w:rFonts w:ascii="Tahoma" w:hAnsi="Tahoma" w:cs="Tahoma"/>
                <w:sz w:val="20"/>
                <w:szCs w:val="20"/>
              </w:rPr>
              <w:t>1500mg/kg exprimé en acide érythorbique</w:t>
            </w:r>
          </w:p>
        </w:tc>
      </w:tr>
    </w:tbl>
    <w:p w14:paraId="7B8693B8" w14:textId="77777777" w:rsidR="003D69A8" w:rsidRPr="005E1EA7" w:rsidRDefault="003D69A8" w:rsidP="001E35DC">
      <w:pPr>
        <w:rPr>
          <w:rFonts w:ascii="Tahoma" w:hAnsi="Tahoma" w:cs="Tahoma"/>
          <w:i/>
          <w:iCs/>
          <w:sz w:val="20"/>
          <w:szCs w:val="20"/>
        </w:rPr>
      </w:pPr>
    </w:p>
    <w:p w14:paraId="74DDF6E5" w14:textId="77777777" w:rsidR="003D69A8" w:rsidRPr="00EA331B" w:rsidRDefault="003D69A8" w:rsidP="001E35DC">
      <w:pPr>
        <w:rPr>
          <w:rFonts w:ascii="Tahoma" w:hAnsi="Tahoma" w:cs="Tahoma"/>
          <w:b/>
          <w:bCs/>
          <w:sz w:val="20"/>
          <w:szCs w:val="20"/>
        </w:rPr>
      </w:pPr>
      <w:r w:rsidRPr="00EA331B">
        <w:rPr>
          <w:rFonts w:ascii="Tahoma" w:hAnsi="Tahoma" w:cs="Tahoma"/>
          <w:b/>
          <w:bCs/>
          <w:sz w:val="20"/>
          <w:szCs w:val="20"/>
        </w:rPr>
        <w:t>1.2 Crustacés et céphalopodes frais, congelés et surgelés</w:t>
      </w:r>
    </w:p>
    <w:tbl>
      <w:tblPr>
        <w:tblW w:w="0" w:type="auto"/>
        <w:tblInd w:w="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1" w:type="dxa"/>
          <w:right w:w="71" w:type="dxa"/>
        </w:tblCellMar>
        <w:tblLook w:val="0000" w:firstRow="0" w:lastRow="0" w:firstColumn="0" w:lastColumn="0" w:noHBand="0" w:noVBand="0"/>
      </w:tblPr>
      <w:tblGrid>
        <w:gridCol w:w="2127"/>
        <w:gridCol w:w="2693"/>
        <w:gridCol w:w="937"/>
        <w:gridCol w:w="3315"/>
      </w:tblGrid>
      <w:tr w:rsidR="003D69A8" w:rsidRPr="005E1EA7" w14:paraId="518D0B6E" w14:textId="77777777" w:rsidTr="006365F0">
        <w:trPr>
          <w:cantSplit/>
        </w:trPr>
        <w:tc>
          <w:tcPr>
            <w:tcW w:w="2127" w:type="dxa"/>
          </w:tcPr>
          <w:p w14:paraId="0255B58B" w14:textId="77777777" w:rsidR="003D69A8" w:rsidRPr="005E1EA7" w:rsidRDefault="003D69A8" w:rsidP="001E35DC">
            <w:pPr>
              <w:rPr>
                <w:rFonts w:ascii="Tahoma" w:hAnsi="Tahoma" w:cs="Tahoma"/>
                <w:sz w:val="20"/>
                <w:szCs w:val="20"/>
              </w:rPr>
            </w:pPr>
            <w:r w:rsidRPr="005E1EA7">
              <w:rPr>
                <w:rFonts w:ascii="Tahoma" w:hAnsi="Tahoma" w:cs="Tahoma"/>
                <w:sz w:val="20"/>
                <w:szCs w:val="20"/>
              </w:rPr>
              <w:lastRenderedPageBreak/>
              <w:t>Conservateurs</w:t>
            </w:r>
          </w:p>
        </w:tc>
        <w:tc>
          <w:tcPr>
            <w:tcW w:w="2693" w:type="dxa"/>
          </w:tcPr>
          <w:p w14:paraId="2D223CD6" w14:textId="77777777" w:rsidR="003D69A8" w:rsidRPr="005E1EA7" w:rsidRDefault="003D69A8" w:rsidP="001E35DC">
            <w:pPr>
              <w:rPr>
                <w:rFonts w:ascii="Tahoma" w:hAnsi="Tahoma" w:cs="Tahoma"/>
                <w:sz w:val="20"/>
                <w:szCs w:val="20"/>
              </w:rPr>
            </w:pPr>
            <w:proofErr w:type="gramStart"/>
            <w:r w:rsidRPr="005E1EA7">
              <w:rPr>
                <w:rFonts w:ascii="Tahoma" w:hAnsi="Tahoma" w:cs="Tahoma"/>
                <w:sz w:val="20"/>
                <w:szCs w:val="20"/>
              </w:rPr>
              <w:t>anhydride</w:t>
            </w:r>
            <w:proofErr w:type="gramEnd"/>
            <w:r w:rsidRPr="005E1EA7">
              <w:rPr>
                <w:rFonts w:ascii="Tahoma" w:hAnsi="Tahoma" w:cs="Tahoma"/>
                <w:sz w:val="20"/>
                <w:szCs w:val="20"/>
              </w:rPr>
              <w:t xml:space="preserve"> sulfureux et sulfites</w:t>
            </w:r>
          </w:p>
          <w:p w14:paraId="15849F16" w14:textId="77777777" w:rsidR="003D69A8" w:rsidRPr="005E1EA7" w:rsidRDefault="003D69A8" w:rsidP="001E35DC">
            <w:pPr>
              <w:rPr>
                <w:rFonts w:ascii="Tahoma" w:hAnsi="Tahoma" w:cs="Tahoma"/>
                <w:sz w:val="20"/>
                <w:szCs w:val="20"/>
              </w:rPr>
            </w:pPr>
          </w:p>
          <w:p w14:paraId="1BD7C219" w14:textId="77777777" w:rsidR="003D69A8" w:rsidRPr="005E1EA7" w:rsidRDefault="003D69A8" w:rsidP="001E35DC">
            <w:pPr>
              <w:rPr>
                <w:rFonts w:ascii="Tahoma" w:hAnsi="Tahoma" w:cs="Tahoma"/>
                <w:sz w:val="20"/>
                <w:szCs w:val="20"/>
              </w:rPr>
            </w:pPr>
            <w:proofErr w:type="gramStart"/>
            <w:r w:rsidRPr="005E1EA7">
              <w:rPr>
                <w:rFonts w:ascii="Tahoma" w:hAnsi="Tahoma" w:cs="Tahoma"/>
                <w:sz w:val="20"/>
                <w:szCs w:val="20"/>
              </w:rPr>
              <w:t>anhydride</w:t>
            </w:r>
            <w:proofErr w:type="gramEnd"/>
            <w:r w:rsidRPr="005E1EA7">
              <w:rPr>
                <w:rFonts w:ascii="Tahoma" w:hAnsi="Tahoma" w:cs="Tahoma"/>
                <w:sz w:val="20"/>
                <w:szCs w:val="20"/>
              </w:rPr>
              <w:t xml:space="preserve"> sulfureux</w:t>
            </w:r>
          </w:p>
          <w:p w14:paraId="3F3DE7EA" w14:textId="77777777" w:rsidR="003D69A8" w:rsidRPr="005E1EA7" w:rsidRDefault="003D69A8" w:rsidP="001E35DC">
            <w:pPr>
              <w:rPr>
                <w:rFonts w:ascii="Tahoma" w:hAnsi="Tahoma" w:cs="Tahoma"/>
                <w:sz w:val="20"/>
                <w:szCs w:val="20"/>
              </w:rPr>
            </w:pPr>
            <w:proofErr w:type="gramStart"/>
            <w:r w:rsidRPr="005E1EA7">
              <w:rPr>
                <w:rFonts w:ascii="Tahoma" w:hAnsi="Tahoma" w:cs="Tahoma"/>
                <w:sz w:val="20"/>
                <w:szCs w:val="20"/>
              </w:rPr>
              <w:t>sulfite</w:t>
            </w:r>
            <w:proofErr w:type="gramEnd"/>
            <w:r w:rsidRPr="005E1EA7">
              <w:rPr>
                <w:rFonts w:ascii="Tahoma" w:hAnsi="Tahoma" w:cs="Tahoma"/>
                <w:sz w:val="20"/>
                <w:szCs w:val="20"/>
              </w:rPr>
              <w:t xml:space="preserve"> de sodium</w:t>
            </w:r>
          </w:p>
          <w:p w14:paraId="44F6C3A4" w14:textId="77777777" w:rsidR="003D69A8" w:rsidRPr="005E1EA7" w:rsidRDefault="003D69A8" w:rsidP="001E35DC">
            <w:pPr>
              <w:rPr>
                <w:rFonts w:ascii="Tahoma" w:hAnsi="Tahoma" w:cs="Tahoma"/>
                <w:sz w:val="20"/>
                <w:szCs w:val="20"/>
              </w:rPr>
            </w:pPr>
            <w:proofErr w:type="gramStart"/>
            <w:r w:rsidRPr="005E1EA7">
              <w:rPr>
                <w:rFonts w:ascii="Tahoma" w:hAnsi="Tahoma" w:cs="Tahoma"/>
                <w:sz w:val="20"/>
                <w:szCs w:val="20"/>
              </w:rPr>
              <w:t>sulfite</w:t>
            </w:r>
            <w:proofErr w:type="gramEnd"/>
            <w:r w:rsidRPr="005E1EA7">
              <w:rPr>
                <w:rFonts w:ascii="Tahoma" w:hAnsi="Tahoma" w:cs="Tahoma"/>
                <w:sz w:val="20"/>
                <w:szCs w:val="20"/>
              </w:rPr>
              <w:t xml:space="preserve"> acide de sodium</w:t>
            </w:r>
          </w:p>
          <w:p w14:paraId="49BC36EE" w14:textId="77777777" w:rsidR="003D69A8" w:rsidRPr="005E1EA7" w:rsidRDefault="003D69A8" w:rsidP="001E35DC">
            <w:pPr>
              <w:rPr>
                <w:rFonts w:ascii="Tahoma" w:hAnsi="Tahoma" w:cs="Tahoma"/>
                <w:sz w:val="20"/>
                <w:szCs w:val="20"/>
              </w:rPr>
            </w:pPr>
            <w:proofErr w:type="gramStart"/>
            <w:r w:rsidRPr="005E1EA7">
              <w:rPr>
                <w:rFonts w:ascii="Tahoma" w:hAnsi="Tahoma" w:cs="Tahoma"/>
                <w:sz w:val="20"/>
                <w:szCs w:val="20"/>
              </w:rPr>
              <w:t>disulfite</w:t>
            </w:r>
            <w:proofErr w:type="gramEnd"/>
            <w:r w:rsidRPr="005E1EA7">
              <w:rPr>
                <w:rFonts w:ascii="Tahoma" w:hAnsi="Tahoma" w:cs="Tahoma"/>
                <w:sz w:val="20"/>
                <w:szCs w:val="20"/>
              </w:rPr>
              <w:t xml:space="preserve"> de sodium</w:t>
            </w:r>
          </w:p>
          <w:p w14:paraId="549425D2" w14:textId="77777777" w:rsidR="003D69A8" w:rsidRPr="005E1EA7" w:rsidRDefault="003D69A8" w:rsidP="001E35DC">
            <w:pPr>
              <w:rPr>
                <w:rFonts w:ascii="Tahoma" w:hAnsi="Tahoma" w:cs="Tahoma"/>
                <w:sz w:val="20"/>
                <w:szCs w:val="20"/>
              </w:rPr>
            </w:pPr>
            <w:proofErr w:type="gramStart"/>
            <w:r w:rsidRPr="005E1EA7">
              <w:rPr>
                <w:rFonts w:ascii="Tahoma" w:hAnsi="Tahoma" w:cs="Tahoma"/>
                <w:sz w:val="20"/>
                <w:szCs w:val="20"/>
              </w:rPr>
              <w:t>disulfite</w:t>
            </w:r>
            <w:proofErr w:type="gramEnd"/>
            <w:r w:rsidRPr="005E1EA7">
              <w:rPr>
                <w:rFonts w:ascii="Tahoma" w:hAnsi="Tahoma" w:cs="Tahoma"/>
                <w:sz w:val="20"/>
                <w:szCs w:val="20"/>
              </w:rPr>
              <w:t xml:space="preserve"> de potassium</w:t>
            </w:r>
          </w:p>
          <w:p w14:paraId="527BCF91" w14:textId="77777777" w:rsidR="003D69A8" w:rsidRPr="005E1EA7" w:rsidRDefault="003D69A8" w:rsidP="001E35DC">
            <w:pPr>
              <w:rPr>
                <w:rFonts w:ascii="Tahoma" w:hAnsi="Tahoma" w:cs="Tahoma"/>
                <w:sz w:val="20"/>
                <w:szCs w:val="20"/>
              </w:rPr>
            </w:pPr>
            <w:proofErr w:type="gramStart"/>
            <w:r w:rsidRPr="005E1EA7">
              <w:rPr>
                <w:rFonts w:ascii="Tahoma" w:hAnsi="Tahoma" w:cs="Tahoma"/>
                <w:sz w:val="20"/>
                <w:szCs w:val="20"/>
              </w:rPr>
              <w:t>sulfite</w:t>
            </w:r>
            <w:proofErr w:type="gramEnd"/>
            <w:r w:rsidRPr="005E1EA7">
              <w:rPr>
                <w:rFonts w:ascii="Tahoma" w:hAnsi="Tahoma" w:cs="Tahoma"/>
                <w:sz w:val="20"/>
                <w:szCs w:val="20"/>
              </w:rPr>
              <w:t xml:space="preserve"> de calcium</w:t>
            </w:r>
          </w:p>
          <w:p w14:paraId="72D6C530" w14:textId="77777777" w:rsidR="003D69A8" w:rsidRPr="005E1EA7" w:rsidRDefault="003D69A8" w:rsidP="001E35DC">
            <w:pPr>
              <w:rPr>
                <w:rFonts w:ascii="Tahoma" w:hAnsi="Tahoma" w:cs="Tahoma"/>
                <w:sz w:val="20"/>
                <w:szCs w:val="20"/>
              </w:rPr>
            </w:pPr>
            <w:proofErr w:type="gramStart"/>
            <w:r w:rsidRPr="005E1EA7">
              <w:rPr>
                <w:rFonts w:ascii="Tahoma" w:hAnsi="Tahoma" w:cs="Tahoma"/>
                <w:sz w:val="20"/>
                <w:szCs w:val="20"/>
              </w:rPr>
              <w:t>sulfite</w:t>
            </w:r>
            <w:proofErr w:type="gramEnd"/>
            <w:r w:rsidRPr="005E1EA7">
              <w:rPr>
                <w:rFonts w:ascii="Tahoma" w:hAnsi="Tahoma" w:cs="Tahoma"/>
                <w:sz w:val="20"/>
                <w:szCs w:val="20"/>
              </w:rPr>
              <w:t xml:space="preserve"> acide de calcium</w:t>
            </w:r>
          </w:p>
          <w:p w14:paraId="3457C8A3" w14:textId="77777777" w:rsidR="003D69A8" w:rsidRPr="005E1EA7" w:rsidRDefault="003D69A8" w:rsidP="001E35DC">
            <w:pPr>
              <w:rPr>
                <w:rFonts w:ascii="Tahoma" w:hAnsi="Tahoma" w:cs="Tahoma"/>
                <w:sz w:val="20"/>
                <w:szCs w:val="20"/>
              </w:rPr>
            </w:pPr>
            <w:r w:rsidRPr="005E1EA7">
              <w:rPr>
                <w:rFonts w:ascii="Tahoma" w:hAnsi="Tahoma" w:cs="Tahoma"/>
                <w:sz w:val="20"/>
                <w:szCs w:val="20"/>
              </w:rPr>
              <w:t>sulfite acide de potassium</w:t>
            </w:r>
          </w:p>
        </w:tc>
        <w:tc>
          <w:tcPr>
            <w:tcW w:w="937" w:type="dxa"/>
          </w:tcPr>
          <w:p w14:paraId="26B8D4FB" w14:textId="77777777" w:rsidR="003D69A8" w:rsidRPr="005E1EA7" w:rsidRDefault="003D69A8" w:rsidP="001E35DC">
            <w:pPr>
              <w:rPr>
                <w:rFonts w:ascii="Tahoma" w:hAnsi="Tahoma" w:cs="Tahoma"/>
                <w:sz w:val="20"/>
                <w:szCs w:val="20"/>
              </w:rPr>
            </w:pPr>
          </w:p>
          <w:p w14:paraId="1BCF6AC4" w14:textId="77777777" w:rsidR="003D69A8" w:rsidRPr="005E1EA7" w:rsidRDefault="003D69A8" w:rsidP="001E35DC">
            <w:pPr>
              <w:rPr>
                <w:rFonts w:ascii="Tahoma" w:hAnsi="Tahoma" w:cs="Tahoma"/>
                <w:sz w:val="20"/>
                <w:szCs w:val="20"/>
              </w:rPr>
            </w:pPr>
          </w:p>
          <w:p w14:paraId="7F3FA2E9" w14:textId="77777777" w:rsidR="003D69A8" w:rsidRPr="005E1EA7" w:rsidRDefault="003D69A8" w:rsidP="001E35DC">
            <w:pPr>
              <w:rPr>
                <w:rFonts w:ascii="Tahoma" w:hAnsi="Tahoma" w:cs="Tahoma"/>
                <w:sz w:val="20"/>
                <w:szCs w:val="20"/>
                <w:lang w:val="de-DE"/>
              </w:rPr>
            </w:pPr>
            <w:r w:rsidRPr="005E1EA7">
              <w:rPr>
                <w:rFonts w:ascii="Tahoma" w:hAnsi="Tahoma" w:cs="Tahoma"/>
                <w:sz w:val="20"/>
                <w:szCs w:val="20"/>
                <w:lang w:val="de-DE"/>
              </w:rPr>
              <w:t>E220</w:t>
            </w:r>
          </w:p>
          <w:p w14:paraId="4759D050" w14:textId="77777777" w:rsidR="003D69A8" w:rsidRPr="005E1EA7" w:rsidRDefault="003D69A8" w:rsidP="001E35DC">
            <w:pPr>
              <w:rPr>
                <w:rFonts w:ascii="Tahoma" w:hAnsi="Tahoma" w:cs="Tahoma"/>
                <w:sz w:val="20"/>
                <w:szCs w:val="20"/>
                <w:lang w:val="de-DE"/>
              </w:rPr>
            </w:pPr>
            <w:r w:rsidRPr="005E1EA7">
              <w:rPr>
                <w:rFonts w:ascii="Tahoma" w:hAnsi="Tahoma" w:cs="Tahoma"/>
                <w:sz w:val="20"/>
                <w:szCs w:val="20"/>
                <w:lang w:val="de-DE"/>
              </w:rPr>
              <w:t>E221</w:t>
            </w:r>
          </w:p>
          <w:p w14:paraId="5B9956B7" w14:textId="77777777" w:rsidR="003D69A8" w:rsidRPr="005E1EA7" w:rsidRDefault="003D69A8" w:rsidP="001E35DC">
            <w:pPr>
              <w:rPr>
                <w:rFonts w:ascii="Tahoma" w:hAnsi="Tahoma" w:cs="Tahoma"/>
                <w:sz w:val="20"/>
                <w:szCs w:val="20"/>
                <w:lang w:val="de-DE"/>
              </w:rPr>
            </w:pPr>
            <w:r w:rsidRPr="005E1EA7">
              <w:rPr>
                <w:rFonts w:ascii="Tahoma" w:hAnsi="Tahoma" w:cs="Tahoma"/>
                <w:sz w:val="20"/>
                <w:szCs w:val="20"/>
                <w:lang w:val="de-DE"/>
              </w:rPr>
              <w:t>E222</w:t>
            </w:r>
          </w:p>
          <w:p w14:paraId="24A09987" w14:textId="77777777" w:rsidR="003D69A8" w:rsidRPr="005E1EA7" w:rsidRDefault="003D69A8" w:rsidP="001E35DC">
            <w:pPr>
              <w:rPr>
                <w:rFonts w:ascii="Tahoma" w:hAnsi="Tahoma" w:cs="Tahoma"/>
                <w:sz w:val="20"/>
                <w:szCs w:val="20"/>
                <w:lang w:val="de-DE"/>
              </w:rPr>
            </w:pPr>
            <w:r w:rsidRPr="005E1EA7">
              <w:rPr>
                <w:rFonts w:ascii="Tahoma" w:hAnsi="Tahoma" w:cs="Tahoma"/>
                <w:sz w:val="20"/>
                <w:szCs w:val="20"/>
                <w:lang w:val="de-DE"/>
              </w:rPr>
              <w:t>E223</w:t>
            </w:r>
          </w:p>
          <w:p w14:paraId="402E8ADD" w14:textId="77777777" w:rsidR="003D69A8" w:rsidRPr="005E1EA7" w:rsidRDefault="003D69A8" w:rsidP="001E35DC">
            <w:pPr>
              <w:rPr>
                <w:rFonts w:ascii="Tahoma" w:hAnsi="Tahoma" w:cs="Tahoma"/>
                <w:sz w:val="20"/>
                <w:szCs w:val="20"/>
                <w:lang w:val="de-DE"/>
              </w:rPr>
            </w:pPr>
            <w:r w:rsidRPr="005E1EA7">
              <w:rPr>
                <w:rFonts w:ascii="Tahoma" w:hAnsi="Tahoma" w:cs="Tahoma"/>
                <w:sz w:val="20"/>
                <w:szCs w:val="20"/>
                <w:lang w:val="de-DE"/>
              </w:rPr>
              <w:t>E224</w:t>
            </w:r>
          </w:p>
          <w:p w14:paraId="54920A50" w14:textId="77777777" w:rsidR="003D69A8" w:rsidRPr="005E1EA7" w:rsidRDefault="003D69A8" w:rsidP="001E35DC">
            <w:pPr>
              <w:rPr>
                <w:rFonts w:ascii="Tahoma" w:hAnsi="Tahoma" w:cs="Tahoma"/>
                <w:sz w:val="20"/>
                <w:szCs w:val="20"/>
                <w:lang w:val="de-DE"/>
              </w:rPr>
            </w:pPr>
            <w:r w:rsidRPr="005E1EA7">
              <w:rPr>
                <w:rFonts w:ascii="Tahoma" w:hAnsi="Tahoma" w:cs="Tahoma"/>
                <w:sz w:val="20"/>
                <w:szCs w:val="20"/>
                <w:lang w:val="de-DE"/>
              </w:rPr>
              <w:t>E226</w:t>
            </w:r>
          </w:p>
          <w:p w14:paraId="01A28A97" w14:textId="77777777" w:rsidR="003D69A8" w:rsidRPr="005E1EA7" w:rsidRDefault="003D69A8" w:rsidP="001E35DC">
            <w:pPr>
              <w:rPr>
                <w:rFonts w:ascii="Tahoma" w:hAnsi="Tahoma" w:cs="Tahoma"/>
                <w:sz w:val="20"/>
                <w:szCs w:val="20"/>
                <w:lang w:val="de-DE"/>
              </w:rPr>
            </w:pPr>
            <w:r w:rsidRPr="005E1EA7">
              <w:rPr>
                <w:rFonts w:ascii="Tahoma" w:hAnsi="Tahoma" w:cs="Tahoma"/>
                <w:sz w:val="20"/>
                <w:szCs w:val="20"/>
                <w:lang w:val="de-DE"/>
              </w:rPr>
              <w:t>E227</w:t>
            </w:r>
          </w:p>
          <w:p w14:paraId="53AB6911" w14:textId="77777777" w:rsidR="003D69A8" w:rsidRPr="005E1EA7" w:rsidRDefault="003D69A8" w:rsidP="001E35DC">
            <w:pPr>
              <w:rPr>
                <w:rFonts w:ascii="Tahoma" w:hAnsi="Tahoma" w:cs="Tahoma"/>
                <w:sz w:val="20"/>
                <w:szCs w:val="20"/>
                <w:lang w:val="de-DE"/>
              </w:rPr>
            </w:pPr>
            <w:r w:rsidRPr="005E1EA7">
              <w:rPr>
                <w:rFonts w:ascii="Tahoma" w:hAnsi="Tahoma" w:cs="Tahoma"/>
                <w:sz w:val="20"/>
                <w:szCs w:val="20"/>
                <w:lang w:val="de-DE"/>
              </w:rPr>
              <w:t>E228</w:t>
            </w:r>
          </w:p>
        </w:tc>
        <w:tc>
          <w:tcPr>
            <w:tcW w:w="3315" w:type="dxa"/>
          </w:tcPr>
          <w:p w14:paraId="71EAA371" w14:textId="77777777" w:rsidR="003D69A8" w:rsidRPr="005E1EA7" w:rsidRDefault="003D69A8" w:rsidP="001E35DC">
            <w:pPr>
              <w:rPr>
                <w:rFonts w:ascii="Tahoma" w:hAnsi="Tahoma" w:cs="Tahoma"/>
                <w:sz w:val="20"/>
                <w:szCs w:val="20"/>
              </w:rPr>
            </w:pPr>
            <w:r w:rsidRPr="005E1EA7">
              <w:rPr>
                <w:rFonts w:ascii="Tahoma" w:hAnsi="Tahoma" w:cs="Tahoma"/>
                <w:sz w:val="20"/>
                <w:szCs w:val="20"/>
              </w:rPr>
              <w:t>150 mg/kg pour les parties comestibles, exprimé en SO2</w:t>
            </w:r>
          </w:p>
        </w:tc>
      </w:tr>
    </w:tbl>
    <w:p w14:paraId="2AFC4BA9" w14:textId="77777777" w:rsidR="003D69A8" w:rsidRPr="005E1EA7" w:rsidRDefault="003D69A8" w:rsidP="001E35DC">
      <w:pPr>
        <w:rPr>
          <w:rFonts w:ascii="Tahoma" w:hAnsi="Tahoma" w:cs="Tahoma"/>
          <w:i/>
          <w:sz w:val="20"/>
          <w:szCs w:val="20"/>
        </w:rPr>
      </w:pPr>
    </w:p>
    <w:p w14:paraId="2BEF5DEC" w14:textId="77777777" w:rsidR="003D69A8" w:rsidRPr="00EA331B" w:rsidRDefault="003D69A8" w:rsidP="00EA331B">
      <w:pPr>
        <w:jc w:val="both"/>
        <w:rPr>
          <w:rFonts w:ascii="Tahoma" w:hAnsi="Tahoma" w:cs="Tahoma"/>
          <w:b/>
          <w:bCs/>
          <w:sz w:val="20"/>
          <w:szCs w:val="20"/>
        </w:rPr>
      </w:pPr>
      <w:r w:rsidRPr="00EA331B">
        <w:rPr>
          <w:rFonts w:ascii="Tahoma" w:hAnsi="Tahoma" w:cs="Tahoma"/>
          <w:b/>
          <w:bCs/>
          <w:sz w:val="20"/>
          <w:szCs w:val="20"/>
        </w:rPr>
        <w:t>1.2.1 Crustacés crus : crevettes appartenant aux familles Penaeidae, Solenceridae, Aristeidae</w:t>
      </w:r>
    </w:p>
    <w:tbl>
      <w:tblPr>
        <w:tblW w:w="0" w:type="auto"/>
        <w:tblInd w:w="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1" w:type="dxa"/>
          <w:right w:w="71" w:type="dxa"/>
        </w:tblCellMar>
        <w:tblLook w:val="0000" w:firstRow="0" w:lastRow="0" w:firstColumn="0" w:lastColumn="0" w:noHBand="0" w:noVBand="0"/>
      </w:tblPr>
      <w:tblGrid>
        <w:gridCol w:w="2127"/>
        <w:gridCol w:w="2693"/>
        <w:gridCol w:w="937"/>
        <w:gridCol w:w="3315"/>
      </w:tblGrid>
      <w:tr w:rsidR="003D69A8" w:rsidRPr="005E1EA7" w14:paraId="34D5FC9B" w14:textId="77777777" w:rsidTr="006365F0">
        <w:trPr>
          <w:cantSplit/>
        </w:trPr>
        <w:tc>
          <w:tcPr>
            <w:tcW w:w="2127" w:type="dxa"/>
          </w:tcPr>
          <w:p w14:paraId="18F3042C" w14:textId="2FE5F9AA" w:rsidR="003D69A8" w:rsidRPr="005E1EA7" w:rsidRDefault="003D69A8" w:rsidP="001E35DC">
            <w:pPr>
              <w:rPr>
                <w:rFonts w:ascii="Tahoma" w:hAnsi="Tahoma" w:cs="Tahoma"/>
                <w:sz w:val="20"/>
                <w:szCs w:val="20"/>
              </w:rPr>
            </w:pPr>
            <w:r w:rsidRPr="005E1EA7">
              <w:rPr>
                <w:rFonts w:ascii="Tahoma" w:hAnsi="Tahoma" w:cs="Tahoma"/>
                <w:sz w:val="20"/>
                <w:szCs w:val="20"/>
              </w:rPr>
              <w:t>moins de 80 unités par kilo</w:t>
            </w:r>
          </w:p>
        </w:tc>
        <w:tc>
          <w:tcPr>
            <w:tcW w:w="2693" w:type="dxa"/>
          </w:tcPr>
          <w:p w14:paraId="3DF3D2DE" w14:textId="77777777" w:rsidR="003D69A8" w:rsidRPr="005E1EA7" w:rsidRDefault="003D69A8" w:rsidP="001E35DC">
            <w:pPr>
              <w:rPr>
                <w:rFonts w:ascii="Tahoma" w:hAnsi="Tahoma" w:cs="Tahoma"/>
                <w:sz w:val="20"/>
                <w:szCs w:val="20"/>
              </w:rPr>
            </w:pPr>
            <w:r w:rsidRPr="005E1EA7">
              <w:rPr>
                <w:rFonts w:ascii="Tahoma" w:hAnsi="Tahoma" w:cs="Tahoma"/>
                <w:sz w:val="20"/>
                <w:szCs w:val="20"/>
              </w:rPr>
              <w:t>Conservateurs :</w:t>
            </w:r>
          </w:p>
          <w:p w14:paraId="4DED620B" w14:textId="77777777" w:rsidR="003D69A8" w:rsidRPr="005E1EA7" w:rsidRDefault="003D69A8" w:rsidP="001E35DC">
            <w:pPr>
              <w:rPr>
                <w:rFonts w:ascii="Tahoma" w:hAnsi="Tahoma" w:cs="Tahoma"/>
                <w:sz w:val="20"/>
                <w:szCs w:val="20"/>
              </w:rPr>
            </w:pPr>
            <w:r w:rsidRPr="005E1EA7">
              <w:rPr>
                <w:rFonts w:ascii="Tahoma" w:hAnsi="Tahoma" w:cs="Tahoma"/>
                <w:sz w:val="20"/>
                <w:szCs w:val="20"/>
              </w:rPr>
              <w:t>anhydride sulfureux et sulfites</w:t>
            </w:r>
          </w:p>
        </w:tc>
        <w:tc>
          <w:tcPr>
            <w:tcW w:w="937" w:type="dxa"/>
          </w:tcPr>
          <w:p w14:paraId="26D72035" w14:textId="77777777" w:rsidR="003D69A8" w:rsidRPr="005E1EA7" w:rsidRDefault="003D69A8" w:rsidP="001E35DC">
            <w:pPr>
              <w:rPr>
                <w:rFonts w:ascii="Tahoma" w:hAnsi="Tahoma" w:cs="Tahoma"/>
                <w:sz w:val="20"/>
                <w:szCs w:val="20"/>
              </w:rPr>
            </w:pPr>
            <w:r w:rsidRPr="005E1EA7">
              <w:rPr>
                <w:rFonts w:ascii="Tahoma" w:hAnsi="Tahoma" w:cs="Tahoma"/>
                <w:sz w:val="20"/>
                <w:szCs w:val="20"/>
              </w:rPr>
              <w:t>E220 ...</w:t>
            </w:r>
          </w:p>
        </w:tc>
        <w:tc>
          <w:tcPr>
            <w:tcW w:w="3315" w:type="dxa"/>
          </w:tcPr>
          <w:p w14:paraId="25FB4D6C" w14:textId="77777777" w:rsidR="003D69A8" w:rsidRPr="005E1EA7" w:rsidRDefault="003D69A8" w:rsidP="001E35DC">
            <w:pPr>
              <w:rPr>
                <w:rFonts w:ascii="Tahoma" w:hAnsi="Tahoma" w:cs="Tahoma"/>
                <w:sz w:val="20"/>
                <w:szCs w:val="20"/>
              </w:rPr>
            </w:pPr>
            <w:r w:rsidRPr="005E1EA7">
              <w:rPr>
                <w:rFonts w:ascii="Tahoma" w:hAnsi="Tahoma" w:cs="Tahoma"/>
                <w:sz w:val="20"/>
                <w:szCs w:val="20"/>
              </w:rPr>
              <w:t>150 mg/kg pour les parties comestibles exprimé en SO2</w:t>
            </w:r>
          </w:p>
        </w:tc>
      </w:tr>
      <w:tr w:rsidR="003D69A8" w:rsidRPr="005E1EA7" w14:paraId="07C2C06E" w14:textId="77777777" w:rsidTr="006365F0">
        <w:trPr>
          <w:cantSplit/>
        </w:trPr>
        <w:tc>
          <w:tcPr>
            <w:tcW w:w="2127" w:type="dxa"/>
          </w:tcPr>
          <w:p w14:paraId="10488E05" w14:textId="6CEBEB6B" w:rsidR="003D69A8" w:rsidRPr="005E1EA7" w:rsidRDefault="003D69A8" w:rsidP="001E35DC">
            <w:pPr>
              <w:rPr>
                <w:rFonts w:ascii="Tahoma" w:hAnsi="Tahoma" w:cs="Tahoma"/>
                <w:sz w:val="20"/>
                <w:szCs w:val="20"/>
              </w:rPr>
            </w:pPr>
            <w:r w:rsidRPr="005E1EA7">
              <w:rPr>
                <w:rFonts w:ascii="Tahoma" w:hAnsi="Tahoma" w:cs="Tahoma"/>
                <w:sz w:val="20"/>
                <w:szCs w:val="20"/>
              </w:rPr>
              <w:t xml:space="preserve">entre 80 et 120 </w:t>
            </w:r>
          </w:p>
        </w:tc>
        <w:tc>
          <w:tcPr>
            <w:tcW w:w="2693" w:type="dxa"/>
          </w:tcPr>
          <w:p w14:paraId="4A7D02C6" w14:textId="77777777" w:rsidR="003D69A8" w:rsidRPr="005E1EA7" w:rsidRDefault="003D69A8" w:rsidP="001E35DC">
            <w:pPr>
              <w:rPr>
                <w:rFonts w:ascii="Tahoma" w:hAnsi="Tahoma" w:cs="Tahoma"/>
                <w:sz w:val="20"/>
                <w:szCs w:val="20"/>
              </w:rPr>
            </w:pPr>
          </w:p>
        </w:tc>
        <w:tc>
          <w:tcPr>
            <w:tcW w:w="937" w:type="dxa"/>
          </w:tcPr>
          <w:p w14:paraId="38E03F2C" w14:textId="77777777" w:rsidR="003D69A8" w:rsidRPr="005E1EA7" w:rsidRDefault="003D69A8" w:rsidP="001E35DC">
            <w:pPr>
              <w:rPr>
                <w:rFonts w:ascii="Tahoma" w:hAnsi="Tahoma" w:cs="Tahoma"/>
                <w:sz w:val="20"/>
                <w:szCs w:val="20"/>
              </w:rPr>
            </w:pPr>
          </w:p>
        </w:tc>
        <w:tc>
          <w:tcPr>
            <w:tcW w:w="3315" w:type="dxa"/>
          </w:tcPr>
          <w:p w14:paraId="0DE43B47" w14:textId="77777777" w:rsidR="003D69A8" w:rsidRPr="005E1EA7" w:rsidRDefault="003D69A8" w:rsidP="001E35DC">
            <w:pPr>
              <w:rPr>
                <w:rFonts w:ascii="Tahoma" w:hAnsi="Tahoma" w:cs="Tahoma"/>
                <w:sz w:val="20"/>
                <w:szCs w:val="20"/>
              </w:rPr>
            </w:pPr>
            <w:r w:rsidRPr="005E1EA7">
              <w:rPr>
                <w:rFonts w:ascii="Tahoma" w:hAnsi="Tahoma" w:cs="Tahoma"/>
                <w:sz w:val="20"/>
                <w:szCs w:val="20"/>
              </w:rPr>
              <w:t xml:space="preserve">200 mg/kg </w:t>
            </w:r>
          </w:p>
        </w:tc>
      </w:tr>
      <w:tr w:rsidR="003D69A8" w:rsidRPr="005E1EA7" w14:paraId="4F05CC2E" w14:textId="77777777" w:rsidTr="006365F0">
        <w:trPr>
          <w:cantSplit/>
        </w:trPr>
        <w:tc>
          <w:tcPr>
            <w:tcW w:w="2127" w:type="dxa"/>
          </w:tcPr>
          <w:p w14:paraId="555CE0D3" w14:textId="18256B7F" w:rsidR="003D69A8" w:rsidRPr="005E1EA7" w:rsidRDefault="003D69A8" w:rsidP="001E35DC">
            <w:pPr>
              <w:rPr>
                <w:rFonts w:ascii="Tahoma" w:hAnsi="Tahoma" w:cs="Tahoma"/>
                <w:sz w:val="20"/>
                <w:szCs w:val="20"/>
              </w:rPr>
            </w:pPr>
            <w:r w:rsidRPr="005E1EA7">
              <w:rPr>
                <w:rFonts w:ascii="Tahoma" w:hAnsi="Tahoma" w:cs="Tahoma"/>
                <w:sz w:val="20"/>
                <w:szCs w:val="20"/>
              </w:rPr>
              <w:t xml:space="preserve">plus de 120 </w:t>
            </w:r>
          </w:p>
        </w:tc>
        <w:tc>
          <w:tcPr>
            <w:tcW w:w="2693" w:type="dxa"/>
          </w:tcPr>
          <w:p w14:paraId="6729E693" w14:textId="77777777" w:rsidR="003D69A8" w:rsidRPr="005E1EA7" w:rsidRDefault="003D69A8" w:rsidP="001E35DC">
            <w:pPr>
              <w:rPr>
                <w:rFonts w:ascii="Tahoma" w:hAnsi="Tahoma" w:cs="Tahoma"/>
                <w:sz w:val="20"/>
                <w:szCs w:val="20"/>
              </w:rPr>
            </w:pPr>
          </w:p>
        </w:tc>
        <w:tc>
          <w:tcPr>
            <w:tcW w:w="937" w:type="dxa"/>
          </w:tcPr>
          <w:p w14:paraId="4D7F9322" w14:textId="77777777" w:rsidR="003D69A8" w:rsidRPr="005E1EA7" w:rsidRDefault="003D69A8" w:rsidP="001E35DC">
            <w:pPr>
              <w:rPr>
                <w:rFonts w:ascii="Tahoma" w:hAnsi="Tahoma" w:cs="Tahoma"/>
                <w:sz w:val="20"/>
                <w:szCs w:val="20"/>
              </w:rPr>
            </w:pPr>
          </w:p>
        </w:tc>
        <w:tc>
          <w:tcPr>
            <w:tcW w:w="3315" w:type="dxa"/>
          </w:tcPr>
          <w:p w14:paraId="323C5140" w14:textId="77777777" w:rsidR="003D69A8" w:rsidRPr="005E1EA7" w:rsidRDefault="003D69A8" w:rsidP="001E35DC">
            <w:pPr>
              <w:rPr>
                <w:rFonts w:ascii="Tahoma" w:hAnsi="Tahoma" w:cs="Tahoma"/>
                <w:sz w:val="20"/>
                <w:szCs w:val="20"/>
              </w:rPr>
            </w:pPr>
            <w:r w:rsidRPr="005E1EA7">
              <w:rPr>
                <w:rFonts w:ascii="Tahoma" w:hAnsi="Tahoma" w:cs="Tahoma"/>
                <w:sz w:val="20"/>
                <w:szCs w:val="20"/>
              </w:rPr>
              <w:t xml:space="preserve">300 mg/kg </w:t>
            </w:r>
          </w:p>
        </w:tc>
      </w:tr>
    </w:tbl>
    <w:p w14:paraId="2C76E8F0" w14:textId="77777777" w:rsidR="003D69A8" w:rsidRPr="005E1EA7" w:rsidRDefault="003D69A8" w:rsidP="001E35DC">
      <w:pPr>
        <w:rPr>
          <w:rFonts w:ascii="Tahoma" w:hAnsi="Tahoma" w:cs="Tahoma"/>
          <w:i/>
          <w:iCs/>
          <w:sz w:val="20"/>
          <w:szCs w:val="20"/>
        </w:rPr>
      </w:pPr>
    </w:p>
    <w:p w14:paraId="68D30C10" w14:textId="77777777" w:rsidR="003D69A8" w:rsidRPr="00EA331B" w:rsidRDefault="003D69A8" w:rsidP="001E35DC">
      <w:pPr>
        <w:rPr>
          <w:rFonts w:ascii="Tahoma" w:hAnsi="Tahoma" w:cs="Tahoma"/>
          <w:b/>
          <w:bCs/>
          <w:sz w:val="20"/>
          <w:szCs w:val="20"/>
        </w:rPr>
      </w:pPr>
      <w:r w:rsidRPr="00EA331B">
        <w:rPr>
          <w:rFonts w:ascii="Tahoma" w:hAnsi="Tahoma" w:cs="Tahoma"/>
          <w:b/>
          <w:bCs/>
          <w:sz w:val="20"/>
          <w:szCs w:val="20"/>
        </w:rPr>
        <w:t>1.3 Mollusques et crustacés non transformés, congelés et surgelés</w:t>
      </w:r>
    </w:p>
    <w:tbl>
      <w:tblPr>
        <w:tblW w:w="0" w:type="auto"/>
        <w:tblInd w:w="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1" w:type="dxa"/>
          <w:right w:w="71" w:type="dxa"/>
        </w:tblCellMar>
        <w:tblLook w:val="0000" w:firstRow="0" w:lastRow="0" w:firstColumn="0" w:lastColumn="0" w:noHBand="0" w:noVBand="0"/>
      </w:tblPr>
      <w:tblGrid>
        <w:gridCol w:w="2127"/>
        <w:gridCol w:w="2693"/>
        <w:gridCol w:w="992"/>
        <w:gridCol w:w="3261"/>
      </w:tblGrid>
      <w:tr w:rsidR="003D69A8" w:rsidRPr="005E1EA7" w14:paraId="4BD20DAC" w14:textId="77777777" w:rsidTr="006365F0">
        <w:trPr>
          <w:cantSplit/>
        </w:trPr>
        <w:tc>
          <w:tcPr>
            <w:tcW w:w="2127" w:type="dxa"/>
          </w:tcPr>
          <w:p w14:paraId="0382A998" w14:textId="77777777" w:rsidR="003D69A8" w:rsidRPr="005E1EA7" w:rsidRDefault="003D69A8" w:rsidP="001E35DC">
            <w:pPr>
              <w:rPr>
                <w:rFonts w:ascii="Tahoma" w:hAnsi="Tahoma" w:cs="Tahoma"/>
                <w:sz w:val="20"/>
                <w:szCs w:val="20"/>
              </w:rPr>
            </w:pPr>
            <w:r w:rsidRPr="005E1EA7">
              <w:rPr>
                <w:rFonts w:ascii="Tahoma" w:hAnsi="Tahoma" w:cs="Tahoma"/>
                <w:sz w:val="20"/>
                <w:szCs w:val="20"/>
              </w:rPr>
              <w:t>Stabilisants</w:t>
            </w:r>
          </w:p>
        </w:tc>
        <w:tc>
          <w:tcPr>
            <w:tcW w:w="2693" w:type="dxa"/>
          </w:tcPr>
          <w:p w14:paraId="46B0CF49" w14:textId="77777777" w:rsidR="003D69A8" w:rsidRPr="005E1EA7" w:rsidRDefault="003D69A8" w:rsidP="001E35DC">
            <w:pPr>
              <w:rPr>
                <w:rFonts w:ascii="Tahoma" w:hAnsi="Tahoma" w:cs="Tahoma"/>
                <w:sz w:val="20"/>
                <w:szCs w:val="20"/>
              </w:rPr>
            </w:pPr>
            <w:r w:rsidRPr="005E1EA7">
              <w:rPr>
                <w:rFonts w:ascii="Tahoma" w:hAnsi="Tahoma" w:cs="Tahoma"/>
                <w:sz w:val="20"/>
                <w:szCs w:val="20"/>
              </w:rPr>
              <w:t>acide phosphorique et phosphates</w:t>
            </w:r>
          </w:p>
        </w:tc>
        <w:tc>
          <w:tcPr>
            <w:tcW w:w="992" w:type="dxa"/>
          </w:tcPr>
          <w:p w14:paraId="080CFDA9" w14:textId="77777777" w:rsidR="003D69A8" w:rsidRPr="005E1EA7" w:rsidRDefault="003D69A8" w:rsidP="001E35DC">
            <w:pPr>
              <w:rPr>
                <w:rFonts w:ascii="Tahoma" w:hAnsi="Tahoma" w:cs="Tahoma"/>
                <w:sz w:val="20"/>
                <w:szCs w:val="20"/>
              </w:rPr>
            </w:pPr>
          </w:p>
        </w:tc>
        <w:tc>
          <w:tcPr>
            <w:tcW w:w="3261" w:type="dxa"/>
          </w:tcPr>
          <w:p w14:paraId="756C0393" w14:textId="77777777" w:rsidR="003D69A8" w:rsidRPr="005E1EA7" w:rsidRDefault="003D69A8" w:rsidP="001E35DC">
            <w:pPr>
              <w:rPr>
                <w:rFonts w:ascii="Tahoma" w:hAnsi="Tahoma" w:cs="Tahoma"/>
                <w:sz w:val="20"/>
                <w:szCs w:val="20"/>
              </w:rPr>
            </w:pPr>
            <w:r w:rsidRPr="005E1EA7">
              <w:rPr>
                <w:rFonts w:ascii="Tahoma" w:hAnsi="Tahoma" w:cs="Tahoma"/>
                <w:sz w:val="20"/>
                <w:szCs w:val="20"/>
              </w:rPr>
              <w:t>5 g/kg (exprimé en P2O5) seuls ou en mélange</w:t>
            </w:r>
          </w:p>
        </w:tc>
      </w:tr>
    </w:tbl>
    <w:p w14:paraId="199BBEDE" w14:textId="77777777" w:rsidR="00EA331B" w:rsidRDefault="00EA331B" w:rsidP="001E35DC">
      <w:pPr>
        <w:rPr>
          <w:rFonts w:ascii="Tahoma" w:hAnsi="Tahoma" w:cs="Tahoma"/>
          <w:b/>
          <w:bCs/>
          <w:sz w:val="20"/>
          <w:szCs w:val="20"/>
        </w:rPr>
      </w:pPr>
    </w:p>
    <w:p w14:paraId="54634F48" w14:textId="6E99B403" w:rsidR="003D69A8" w:rsidRPr="00EA331B" w:rsidRDefault="003D69A8" w:rsidP="001E35DC">
      <w:pPr>
        <w:rPr>
          <w:rFonts w:ascii="Tahoma" w:hAnsi="Tahoma" w:cs="Tahoma"/>
          <w:b/>
          <w:bCs/>
          <w:sz w:val="20"/>
          <w:szCs w:val="20"/>
        </w:rPr>
      </w:pPr>
      <w:r w:rsidRPr="00EA331B">
        <w:rPr>
          <w:rFonts w:ascii="Tahoma" w:hAnsi="Tahoma" w:cs="Tahoma"/>
          <w:b/>
          <w:bCs/>
          <w:sz w:val="20"/>
          <w:szCs w:val="20"/>
        </w:rPr>
        <w:t>1.3.1 Crustacés congelés et surgelés</w:t>
      </w:r>
    </w:p>
    <w:tbl>
      <w:tblPr>
        <w:tblW w:w="0" w:type="auto"/>
        <w:tblInd w:w="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1" w:type="dxa"/>
          <w:right w:w="71" w:type="dxa"/>
        </w:tblCellMar>
        <w:tblLook w:val="0000" w:firstRow="0" w:lastRow="0" w:firstColumn="0" w:lastColumn="0" w:noHBand="0" w:noVBand="0"/>
      </w:tblPr>
      <w:tblGrid>
        <w:gridCol w:w="2127"/>
        <w:gridCol w:w="2693"/>
        <w:gridCol w:w="937"/>
        <w:gridCol w:w="3315"/>
      </w:tblGrid>
      <w:tr w:rsidR="003D69A8" w:rsidRPr="005E1EA7" w14:paraId="588C4177" w14:textId="77777777" w:rsidTr="006365F0">
        <w:trPr>
          <w:cantSplit/>
        </w:trPr>
        <w:tc>
          <w:tcPr>
            <w:tcW w:w="2127" w:type="dxa"/>
          </w:tcPr>
          <w:p w14:paraId="00E56828" w14:textId="77777777" w:rsidR="003D69A8" w:rsidRPr="005E1EA7" w:rsidRDefault="003D69A8" w:rsidP="001E35DC">
            <w:pPr>
              <w:rPr>
                <w:rFonts w:ascii="Tahoma" w:hAnsi="Tahoma" w:cs="Tahoma"/>
                <w:sz w:val="20"/>
                <w:szCs w:val="20"/>
              </w:rPr>
            </w:pPr>
            <w:r w:rsidRPr="005E1EA7">
              <w:rPr>
                <w:rFonts w:ascii="Tahoma" w:hAnsi="Tahoma" w:cs="Tahoma"/>
                <w:sz w:val="20"/>
                <w:szCs w:val="20"/>
              </w:rPr>
              <w:t>Séquestrant</w:t>
            </w:r>
          </w:p>
        </w:tc>
        <w:tc>
          <w:tcPr>
            <w:tcW w:w="2693" w:type="dxa"/>
          </w:tcPr>
          <w:p w14:paraId="7BD988B1" w14:textId="77777777" w:rsidR="003D69A8" w:rsidRPr="005E1EA7" w:rsidRDefault="003D69A8" w:rsidP="001E35DC">
            <w:pPr>
              <w:rPr>
                <w:rFonts w:ascii="Tahoma" w:hAnsi="Tahoma" w:cs="Tahoma"/>
                <w:sz w:val="20"/>
                <w:szCs w:val="20"/>
              </w:rPr>
            </w:pPr>
            <w:r w:rsidRPr="005E1EA7">
              <w:rPr>
                <w:rFonts w:ascii="Tahoma" w:hAnsi="Tahoma" w:cs="Tahoma"/>
                <w:sz w:val="20"/>
                <w:szCs w:val="20"/>
              </w:rPr>
              <w:t>éthylène-diamine-tétra-acétate de calcium disodium (calcium disodium EDTA)</w:t>
            </w:r>
          </w:p>
        </w:tc>
        <w:tc>
          <w:tcPr>
            <w:tcW w:w="937" w:type="dxa"/>
          </w:tcPr>
          <w:p w14:paraId="635DD70D" w14:textId="77777777" w:rsidR="003D69A8" w:rsidRPr="005E1EA7" w:rsidRDefault="003D69A8" w:rsidP="001E35DC">
            <w:pPr>
              <w:rPr>
                <w:rFonts w:ascii="Tahoma" w:hAnsi="Tahoma" w:cs="Tahoma"/>
                <w:sz w:val="20"/>
                <w:szCs w:val="20"/>
                <w:lang w:val="de-DE"/>
              </w:rPr>
            </w:pPr>
            <w:r w:rsidRPr="005E1EA7">
              <w:rPr>
                <w:rFonts w:ascii="Tahoma" w:hAnsi="Tahoma" w:cs="Tahoma"/>
                <w:sz w:val="20"/>
                <w:szCs w:val="20"/>
                <w:lang w:val="de-DE"/>
              </w:rPr>
              <w:t>E385</w:t>
            </w:r>
          </w:p>
        </w:tc>
        <w:tc>
          <w:tcPr>
            <w:tcW w:w="3315" w:type="dxa"/>
          </w:tcPr>
          <w:p w14:paraId="220FF08E" w14:textId="77777777" w:rsidR="003D69A8" w:rsidRPr="005E1EA7" w:rsidRDefault="003D69A8" w:rsidP="001E35DC">
            <w:pPr>
              <w:rPr>
                <w:rFonts w:ascii="Tahoma" w:hAnsi="Tahoma" w:cs="Tahoma"/>
                <w:sz w:val="20"/>
                <w:szCs w:val="20"/>
                <w:lang w:val="de-DE"/>
              </w:rPr>
            </w:pPr>
            <w:r w:rsidRPr="005E1EA7">
              <w:rPr>
                <w:rFonts w:ascii="Tahoma" w:hAnsi="Tahoma" w:cs="Tahoma"/>
                <w:sz w:val="20"/>
                <w:szCs w:val="20"/>
                <w:lang w:val="de-DE"/>
              </w:rPr>
              <w:t>75 mg/kg</w:t>
            </w:r>
          </w:p>
        </w:tc>
      </w:tr>
    </w:tbl>
    <w:p w14:paraId="17B84FD2" w14:textId="77777777" w:rsidR="003D69A8" w:rsidRPr="005E1EA7" w:rsidRDefault="003D69A8" w:rsidP="001E35DC">
      <w:pPr>
        <w:rPr>
          <w:rFonts w:ascii="Tahoma" w:hAnsi="Tahoma" w:cs="Tahoma"/>
          <w:sz w:val="20"/>
          <w:szCs w:val="20"/>
          <w:lang w:val="de-DE"/>
        </w:rPr>
      </w:pPr>
    </w:p>
    <w:p w14:paraId="14DAD9BF" w14:textId="77777777" w:rsidR="003D69A8" w:rsidRPr="00EA331B" w:rsidRDefault="003D69A8" w:rsidP="001E35DC">
      <w:pPr>
        <w:rPr>
          <w:rFonts w:ascii="Tahoma" w:hAnsi="Tahoma" w:cs="Tahoma"/>
          <w:b/>
          <w:bCs/>
          <w:sz w:val="20"/>
          <w:szCs w:val="20"/>
        </w:rPr>
      </w:pPr>
      <w:r w:rsidRPr="00EA331B">
        <w:rPr>
          <w:rFonts w:ascii="Tahoma" w:hAnsi="Tahoma" w:cs="Tahoma"/>
          <w:b/>
          <w:bCs/>
          <w:sz w:val="20"/>
          <w:szCs w:val="20"/>
        </w:rPr>
        <w:t>1.3.2 Produits de crustacés congelés et surgelés</w:t>
      </w:r>
    </w:p>
    <w:tbl>
      <w:tblPr>
        <w:tblW w:w="0" w:type="auto"/>
        <w:tblInd w:w="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1" w:type="dxa"/>
          <w:right w:w="71" w:type="dxa"/>
        </w:tblCellMar>
        <w:tblLook w:val="0000" w:firstRow="0" w:lastRow="0" w:firstColumn="0" w:lastColumn="0" w:noHBand="0" w:noVBand="0"/>
      </w:tblPr>
      <w:tblGrid>
        <w:gridCol w:w="2127"/>
        <w:gridCol w:w="2693"/>
        <w:gridCol w:w="937"/>
        <w:gridCol w:w="3315"/>
      </w:tblGrid>
      <w:tr w:rsidR="003D69A8" w:rsidRPr="005E1EA7" w14:paraId="220B7D99" w14:textId="77777777" w:rsidTr="006365F0">
        <w:trPr>
          <w:cantSplit/>
        </w:trPr>
        <w:tc>
          <w:tcPr>
            <w:tcW w:w="2127" w:type="dxa"/>
          </w:tcPr>
          <w:p w14:paraId="2AE03F8B" w14:textId="77777777" w:rsidR="003D69A8" w:rsidRPr="005E1EA7" w:rsidRDefault="003D69A8" w:rsidP="001E35DC">
            <w:pPr>
              <w:rPr>
                <w:rFonts w:ascii="Tahoma" w:hAnsi="Tahoma" w:cs="Tahoma"/>
                <w:sz w:val="20"/>
                <w:szCs w:val="20"/>
              </w:rPr>
            </w:pPr>
            <w:r w:rsidRPr="005E1EA7">
              <w:rPr>
                <w:rFonts w:ascii="Tahoma" w:hAnsi="Tahoma" w:cs="Tahoma"/>
                <w:sz w:val="20"/>
                <w:szCs w:val="20"/>
              </w:rPr>
              <w:t>Stabilisants</w:t>
            </w:r>
          </w:p>
        </w:tc>
        <w:tc>
          <w:tcPr>
            <w:tcW w:w="2693" w:type="dxa"/>
          </w:tcPr>
          <w:p w14:paraId="77F27216" w14:textId="77777777" w:rsidR="003D69A8" w:rsidRPr="005E1EA7" w:rsidRDefault="003D69A8" w:rsidP="001E35DC">
            <w:pPr>
              <w:rPr>
                <w:rFonts w:ascii="Tahoma" w:hAnsi="Tahoma" w:cs="Tahoma"/>
                <w:sz w:val="20"/>
                <w:szCs w:val="20"/>
              </w:rPr>
            </w:pPr>
            <w:r w:rsidRPr="005E1EA7">
              <w:rPr>
                <w:rFonts w:ascii="Tahoma" w:hAnsi="Tahoma" w:cs="Tahoma"/>
                <w:sz w:val="20"/>
                <w:szCs w:val="20"/>
              </w:rPr>
              <w:t>acide phosphorique et phosphates</w:t>
            </w:r>
          </w:p>
        </w:tc>
        <w:tc>
          <w:tcPr>
            <w:tcW w:w="937" w:type="dxa"/>
          </w:tcPr>
          <w:p w14:paraId="2B0FB7D8" w14:textId="77777777" w:rsidR="003D69A8" w:rsidRPr="005E1EA7" w:rsidRDefault="003D69A8" w:rsidP="001E35DC">
            <w:pPr>
              <w:rPr>
                <w:rFonts w:ascii="Tahoma" w:hAnsi="Tahoma" w:cs="Tahoma"/>
                <w:sz w:val="20"/>
                <w:szCs w:val="20"/>
              </w:rPr>
            </w:pPr>
          </w:p>
        </w:tc>
        <w:tc>
          <w:tcPr>
            <w:tcW w:w="3315" w:type="dxa"/>
          </w:tcPr>
          <w:p w14:paraId="150CAB12" w14:textId="77777777" w:rsidR="003D69A8" w:rsidRPr="005E1EA7" w:rsidRDefault="003D69A8" w:rsidP="001E35DC">
            <w:pPr>
              <w:rPr>
                <w:rFonts w:ascii="Tahoma" w:hAnsi="Tahoma" w:cs="Tahoma"/>
                <w:sz w:val="20"/>
                <w:szCs w:val="20"/>
              </w:rPr>
            </w:pPr>
            <w:r w:rsidRPr="005E1EA7">
              <w:rPr>
                <w:rFonts w:ascii="Tahoma" w:hAnsi="Tahoma" w:cs="Tahoma"/>
                <w:sz w:val="20"/>
                <w:szCs w:val="20"/>
              </w:rPr>
              <w:t>5 g/kg (exprimé en P2O5) seuls ou en mélange</w:t>
            </w:r>
          </w:p>
        </w:tc>
      </w:tr>
    </w:tbl>
    <w:p w14:paraId="2DDE28EE" w14:textId="77777777" w:rsidR="003D69A8" w:rsidRPr="005E1EA7" w:rsidRDefault="003D69A8" w:rsidP="001E35DC">
      <w:pPr>
        <w:rPr>
          <w:rFonts w:ascii="Tahoma" w:hAnsi="Tahoma" w:cs="Tahoma"/>
          <w:sz w:val="20"/>
          <w:szCs w:val="20"/>
        </w:rPr>
      </w:pPr>
    </w:p>
    <w:p w14:paraId="3ED4FDD7" w14:textId="77777777" w:rsidR="003D69A8" w:rsidRPr="00EA331B" w:rsidRDefault="003D69A8" w:rsidP="001E35DC">
      <w:pPr>
        <w:rPr>
          <w:rFonts w:ascii="Tahoma" w:hAnsi="Tahoma" w:cs="Tahoma"/>
          <w:b/>
          <w:bCs/>
          <w:sz w:val="20"/>
          <w:szCs w:val="20"/>
        </w:rPr>
      </w:pPr>
      <w:r w:rsidRPr="00EA331B">
        <w:rPr>
          <w:rFonts w:ascii="Tahoma" w:hAnsi="Tahoma" w:cs="Tahoma"/>
          <w:b/>
          <w:bCs/>
          <w:sz w:val="20"/>
          <w:szCs w:val="20"/>
        </w:rPr>
        <w:t>2. Produits de la mer transformés</w:t>
      </w:r>
    </w:p>
    <w:p w14:paraId="0C1AF09C" w14:textId="77777777" w:rsidR="003D69A8" w:rsidRPr="005E1EA7" w:rsidRDefault="003D69A8" w:rsidP="001E35DC">
      <w:pPr>
        <w:rPr>
          <w:rFonts w:ascii="Tahoma" w:hAnsi="Tahoma" w:cs="Tahoma"/>
          <w:sz w:val="20"/>
          <w:szCs w:val="20"/>
        </w:rPr>
      </w:pPr>
    </w:p>
    <w:tbl>
      <w:tblPr>
        <w:tblW w:w="0" w:type="auto"/>
        <w:tblInd w:w="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1" w:type="dxa"/>
          <w:right w:w="71" w:type="dxa"/>
        </w:tblCellMar>
        <w:tblLook w:val="0000" w:firstRow="0" w:lastRow="0" w:firstColumn="0" w:lastColumn="0" w:noHBand="0" w:noVBand="0"/>
      </w:tblPr>
      <w:tblGrid>
        <w:gridCol w:w="2127"/>
        <w:gridCol w:w="2693"/>
        <w:gridCol w:w="880"/>
        <w:gridCol w:w="3372"/>
      </w:tblGrid>
      <w:tr w:rsidR="003D69A8" w:rsidRPr="005E1EA7" w14:paraId="68C028E4" w14:textId="77777777" w:rsidTr="006365F0">
        <w:trPr>
          <w:cantSplit/>
        </w:trPr>
        <w:tc>
          <w:tcPr>
            <w:tcW w:w="2127" w:type="dxa"/>
          </w:tcPr>
          <w:p w14:paraId="008D3970" w14:textId="77777777" w:rsidR="003D69A8" w:rsidRPr="005E1EA7" w:rsidRDefault="003D69A8" w:rsidP="001E35DC">
            <w:pPr>
              <w:rPr>
                <w:rFonts w:ascii="Tahoma" w:hAnsi="Tahoma" w:cs="Tahoma"/>
                <w:sz w:val="20"/>
                <w:szCs w:val="20"/>
              </w:rPr>
            </w:pPr>
            <w:r w:rsidRPr="005E1EA7">
              <w:rPr>
                <w:rFonts w:ascii="Tahoma" w:hAnsi="Tahoma" w:cs="Tahoma"/>
                <w:sz w:val="20"/>
                <w:szCs w:val="20"/>
              </w:rPr>
              <w:t>Stabilisants - cryoprotecteurs</w:t>
            </w:r>
          </w:p>
        </w:tc>
        <w:tc>
          <w:tcPr>
            <w:tcW w:w="2693" w:type="dxa"/>
          </w:tcPr>
          <w:p w14:paraId="44E129F8" w14:textId="77777777" w:rsidR="003D69A8" w:rsidRPr="005E1EA7" w:rsidRDefault="003D69A8" w:rsidP="001E35DC">
            <w:pPr>
              <w:rPr>
                <w:rFonts w:ascii="Tahoma" w:hAnsi="Tahoma" w:cs="Tahoma"/>
                <w:sz w:val="20"/>
                <w:szCs w:val="20"/>
              </w:rPr>
            </w:pPr>
            <w:proofErr w:type="gramStart"/>
            <w:r w:rsidRPr="005E1EA7">
              <w:rPr>
                <w:rFonts w:ascii="Tahoma" w:hAnsi="Tahoma" w:cs="Tahoma"/>
                <w:sz w:val="20"/>
                <w:szCs w:val="20"/>
              </w:rPr>
              <w:t>polyols</w:t>
            </w:r>
            <w:proofErr w:type="gramEnd"/>
            <w:r w:rsidRPr="005E1EA7">
              <w:rPr>
                <w:rFonts w:ascii="Tahoma" w:hAnsi="Tahoma" w:cs="Tahoma"/>
                <w:sz w:val="20"/>
                <w:szCs w:val="20"/>
              </w:rPr>
              <w:t> : sorbitol...</w:t>
            </w:r>
          </w:p>
          <w:p w14:paraId="0D13F659" w14:textId="77777777" w:rsidR="003D69A8" w:rsidRPr="005E1EA7" w:rsidRDefault="003D69A8" w:rsidP="001E35DC">
            <w:pPr>
              <w:rPr>
                <w:rFonts w:ascii="Tahoma" w:hAnsi="Tahoma" w:cs="Tahoma"/>
                <w:sz w:val="20"/>
                <w:szCs w:val="20"/>
              </w:rPr>
            </w:pPr>
          </w:p>
        </w:tc>
        <w:tc>
          <w:tcPr>
            <w:tcW w:w="880" w:type="dxa"/>
          </w:tcPr>
          <w:p w14:paraId="51DE7ECF" w14:textId="77777777" w:rsidR="003D69A8" w:rsidRPr="005E1EA7" w:rsidRDefault="003D69A8" w:rsidP="001E35DC">
            <w:pPr>
              <w:rPr>
                <w:rFonts w:ascii="Tahoma" w:hAnsi="Tahoma" w:cs="Tahoma"/>
                <w:sz w:val="20"/>
                <w:szCs w:val="20"/>
              </w:rPr>
            </w:pPr>
            <w:r w:rsidRPr="005E1EA7">
              <w:rPr>
                <w:rFonts w:ascii="Tahoma" w:hAnsi="Tahoma" w:cs="Tahoma"/>
                <w:sz w:val="20"/>
                <w:szCs w:val="20"/>
              </w:rPr>
              <w:t>E420 ...</w:t>
            </w:r>
          </w:p>
        </w:tc>
        <w:tc>
          <w:tcPr>
            <w:tcW w:w="3372" w:type="dxa"/>
          </w:tcPr>
          <w:p w14:paraId="5FB3BA2B" w14:textId="77777777" w:rsidR="003D69A8" w:rsidRPr="005E1EA7" w:rsidRDefault="003D69A8" w:rsidP="001E35DC">
            <w:pPr>
              <w:rPr>
                <w:rFonts w:ascii="Tahoma" w:hAnsi="Tahoma" w:cs="Tahoma"/>
                <w:i/>
                <w:iCs/>
                <w:sz w:val="20"/>
                <w:szCs w:val="20"/>
              </w:rPr>
            </w:pPr>
            <w:proofErr w:type="gramStart"/>
            <w:r w:rsidRPr="005E1EA7">
              <w:rPr>
                <w:rFonts w:ascii="Tahoma" w:hAnsi="Tahoma" w:cs="Tahoma"/>
                <w:i/>
                <w:iCs/>
                <w:sz w:val="20"/>
                <w:szCs w:val="20"/>
              </w:rPr>
              <w:t>quantum</w:t>
            </w:r>
            <w:proofErr w:type="gramEnd"/>
            <w:r w:rsidRPr="005E1EA7">
              <w:rPr>
                <w:rFonts w:ascii="Tahoma" w:hAnsi="Tahoma" w:cs="Tahoma"/>
                <w:i/>
                <w:iCs/>
                <w:sz w:val="20"/>
                <w:szCs w:val="20"/>
              </w:rPr>
              <w:t xml:space="preserve"> satis</w:t>
            </w:r>
          </w:p>
          <w:p w14:paraId="0CF9DDD7" w14:textId="77777777" w:rsidR="003D69A8" w:rsidRPr="005E1EA7" w:rsidRDefault="003D69A8" w:rsidP="001E35DC">
            <w:pPr>
              <w:rPr>
                <w:rFonts w:ascii="Tahoma" w:hAnsi="Tahoma" w:cs="Tahoma"/>
                <w:sz w:val="20"/>
                <w:szCs w:val="20"/>
              </w:rPr>
            </w:pPr>
          </w:p>
        </w:tc>
      </w:tr>
      <w:tr w:rsidR="003D69A8" w:rsidRPr="005E1EA7" w14:paraId="683221B3" w14:textId="77777777" w:rsidTr="006365F0">
        <w:trPr>
          <w:cantSplit/>
        </w:trPr>
        <w:tc>
          <w:tcPr>
            <w:tcW w:w="2127" w:type="dxa"/>
          </w:tcPr>
          <w:p w14:paraId="2EED9DFA" w14:textId="77777777" w:rsidR="003D69A8" w:rsidRPr="005E1EA7" w:rsidRDefault="003D69A8" w:rsidP="001E35DC">
            <w:pPr>
              <w:rPr>
                <w:rFonts w:ascii="Tahoma" w:hAnsi="Tahoma" w:cs="Tahoma"/>
                <w:sz w:val="20"/>
                <w:szCs w:val="20"/>
              </w:rPr>
            </w:pPr>
            <w:r w:rsidRPr="005E1EA7">
              <w:rPr>
                <w:rFonts w:ascii="Tahoma" w:hAnsi="Tahoma" w:cs="Tahoma"/>
                <w:sz w:val="20"/>
                <w:szCs w:val="20"/>
              </w:rPr>
              <w:t>Exhausteurs de goût</w:t>
            </w:r>
          </w:p>
          <w:p w14:paraId="6CD24FEB" w14:textId="77777777" w:rsidR="003D69A8" w:rsidRPr="005E1EA7" w:rsidRDefault="003D69A8" w:rsidP="001E35DC">
            <w:pPr>
              <w:rPr>
                <w:rFonts w:ascii="Tahoma" w:hAnsi="Tahoma" w:cs="Tahoma"/>
                <w:sz w:val="20"/>
                <w:szCs w:val="20"/>
              </w:rPr>
            </w:pPr>
          </w:p>
          <w:p w14:paraId="5B50CAE1" w14:textId="77777777" w:rsidR="003D69A8" w:rsidRPr="005E1EA7" w:rsidRDefault="003D69A8" w:rsidP="001E35DC">
            <w:pPr>
              <w:rPr>
                <w:rFonts w:ascii="Tahoma" w:hAnsi="Tahoma" w:cs="Tahoma"/>
                <w:sz w:val="20"/>
                <w:szCs w:val="20"/>
              </w:rPr>
            </w:pPr>
          </w:p>
          <w:p w14:paraId="4583F1C7" w14:textId="77777777" w:rsidR="003D69A8" w:rsidRPr="005E1EA7" w:rsidRDefault="003D69A8" w:rsidP="001E35DC">
            <w:pPr>
              <w:rPr>
                <w:rFonts w:ascii="Tahoma" w:hAnsi="Tahoma" w:cs="Tahoma"/>
                <w:sz w:val="20"/>
                <w:szCs w:val="20"/>
              </w:rPr>
            </w:pPr>
          </w:p>
          <w:p w14:paraId="71DF498A" w14:textId="77777777" w:rsidR="003D69A8" w:rsidRPr="005E1EA7" w:rsidRDefault="003D69A8" w:rsidP="001E35DC">
            <w:pPr>
              <w:rPr>
                <w:rFonts w:ascii="Tahoma" w:hAnsi="Tahoma" w:cs="Tahoma"/>
                <w:sz w:val="20"/>
                <w:szCs w:val="20"/>
              </w:rPr>
            </w:pPr>
          </w:p>
          <w:p w14:paraId="1E1522B4" w14:textId="77777777" w:rsidR="003D69A8" w:rsidRPr="005E1EA7" w:rsidRDefault="003D69A8" w:rsidP="001E35DC">
            <w:pPr>
              <w:rPr>
                <w:rFonts w:ascii="Tahoma" w:hAnsi="Tahoma" w:cs="Tahoma"/>
                <w:sz w:val="20"/>
                <w:szCs w:val="20"/>
              </w:rPr>
            </w:pPr>
          </w:p>
          <w:p w14:paraId="2BE118B3" w14:textId="77777777" w:rsidR="003D69A8" w:rsidRPr="005E1EA7" w:rsidRDefault="003D69A8" w:rsidP="001E35DC">
            <w:pPr>
              <w:rPr>
                <w:rFonts w:ascii="Tahoma" w:hAnsi="Tahoma" w:cs="Tahoma"/>
                <w:sz w:val="20"/>
                <w:szCs w:val="20"/>
              </w:rPr>
            </w:pPr>
          </w:p>
        </w:tc>
        <w:tc>
          <w:tcPr>
            <w:tcW w:w="2693" w:type="dxa"/>
          </w:tcPr>
          <w:p w14:paraId="757D658A" w14:textId="77777777" w:rsidR="003D69A8" w:rsidRPr="005E1EA7" w:rsidRDefault="003D69A8" w:rsidP="001E35DC">
            <w:pPr>
              <w:rPr>
                <w:rFonts w:ascii="Tahoma" w:hAnsi="Tahoma" w:cs="Tahoma"/>
                <w:sz w:val="20"/>
                <w:szCs w:val="20"/>
              </w:rPr>
            </w:pPr>
            <w:proofErr w:type="gramStart"/>
            <w:r w:rsidRPr="005E1EA7">
              <w:rPr>
                <w:rFonts w:ascii="Tahoma" w:hAnsi="Tahoma" w:cs="Tahoma"/>
                <w:sz w:val="20"/>
                <w:szCs w:val="20"/>
              </w:rPr>
              <w:t>acide</w:t>
            </w:r>
            <w:proofErr w:type="gramEnd"/>
            <w:r w:rsidRPr="005E1EA7">
              <w:rPr>
                <w:rFonts w:ascii="Tahoma" w:hAnsi="Tahoma" w:cs="Tahoma"/>
                <w:sz w:val="20"/>
                <w:szCs w:val="20"/>
              </w:rPr>
              <w:t xml:space="preserve"> glutamique et ses sels</w:t>
            </w:r>
          </w:p>
          <w:p w14:paraId="66AD4928" w14:textId="77777777" w:rsidR="003D69A8" w:rsidRPr="005E1EA7" w:rsidRDefault="003D69A8" w:rsidP="001E35DC">
            <w:pPr>
              <w:rPr>
                <w:rFonts w:ascii="Tahoma" w:hAnsi="Tahoma" w:cs="Tahoma"/>
                <w:sz w:val="20"/>
                <w:szCs w:val="20"/>
              </w:rPr>
            </w:pPr>
          </w:p>
          <w:p w14:paraId="20DC5E46" w14:textId="77777777" w:rsidR="003D69A8" w:rsidRPr="005E1EA7" w:rsidRDefault="003D69A8" w:rsidP="001E35DC">
            <w:pPr>
              <w:rPr>
                <w:rFonts w:ascii="Tahoma" w:hAnsi="Tahoma" w:cs="Tahoma"/>
                <w:sz w:val="20"/>
                <w:szCs w:val="20"/>
              </w:rPr>
            </w:pPr>
          </w:p>
          <w:p w14:paraId="411955A2" w14:textId="77777777" w:rsidR="003D69A8" w:rsidRPr="005E1EA7" w:rsidRDefault="003D69A8" w:rsidP="001E35DC">
            <w:pPr>
              <w:rPr>
                <w:rFonts w:ascii="Tahoma" w:hAnsi="Tahoma" w:cs="Tahoma"/>
                <w:sz w:val="20"/>
                <w:szCs w:val="20"/>
              </w:rPr>
            </w:pPr>
            <w:proofErr w:type="gramStart"/>
            <w:r w:rsidRPr="005E1EA7">
              <w:rPr>
                <w:rFonts w:ascii="Tahoma" w:hAnsi="Tahoma" w:cs="Tahoma"/>
                <w:sz w:val="20"/>
                <w:szCs w:val="20"/>
              </w:rPr>
              <w:t>acide</w:t>
            </w:r>
            <w:proofErr w:type="gramEnd"/>
            <w:r w:rsidRPr="005E1EA7">
              <w:rPr>
                <w:rFonts w:ascii="Tahoma" w:hAnsi="Tahoma" w:cs="Tahoma"/>
                <w:sz w:val="20"/>
                <w:szCs w:val="20"/>
              </w:rPr>
              <w:t xml:space="preserve"> guanylique et ses sels</w:t>
            </w:r>
          </w:p>
          <w:p w14:paraId="03F6F628" w14:textId="77777777" w:rsidR="003D69A8" w:rsidRPr="005E1EA7" w:rsidRDefault="003D69A8" w:rsidP="001E35DC">
            <w:pPr>
              <w:rPr>
                <w:rFonts w:ascii="Tahoma" w:hAnsi="Tahoma" w:cs="Tahoma"/>
                <w:sz w:val="20"/>
                <w:szCs w:val="20"/>
              </w:rPr>
            </w:pPr>
            <w:proofErr w:type="gramStart"/>
            <w:r w:rsidRPr="005E1EA7">
              <w:rPr>
                <w:rFonts w:ascii="Tahoma" w:hAnsi="Tahoma" w:cs="Tahoma"/>
                <w:sz w:val="20"/>
                <w:szCs w:val="20"/>
              </w:rPr>
              <w:t>acide</w:t>
            </w:r>
            <w:proofErr w:type="gramEnd"/>
            <w:r w:rsidRPr="005E1EA7">
              <w:rPr>
                <w:rFonts w:ascii="Tahoma" w:hAnsi="Tahoma" w:cs="Tahoma"/>
                <w:sz w:val="20"/>
                <w:szCs w:val="20"/>
              </w:rPr>
              <w:t xml:space="preserve"> inosinique et ses sels</w:t>
            </w:r>
          </w:p>
          <w:p w14:paraId="344E08E4" w14:textId="77777777" w:rsidR="003D69A8" w:rsidRPr="005E1EA7" w:rsidRDefault="003D69A8" w:rsidP="001E35DC">
            <w:pPr>
              <w:rPr>
                <w:rFonts w:ascii="Tahoma" w:hAnsi="Tahoma" w:cs="Tahoma"/>
                <w:sz w:val="20"/>
                <w:szCs w:val="20"/>
              </w:rPr>
            </w:pPr>
            <w:r w:rsidRPr="005E1EA7">
              <w:rPr>
                <w:rFonts w:ascii="Tahoma" w:hAnsi="Tahoma" w:cs="Tahoma"/>
                <w:sz w:val="20"/>
                <w:szCs w:val="20"/>
              </w:rPr>
              <w:t>5’-ribonucléotide calcique</w:t>
            </w:r>
          </w:p>
          <w:p w14:paraId="30B7DAB0" w14:textId="77777777" w:rsidR="003D69A8" w:rsidRPr="005E1EA7" w:rsidRDefault="003D69A8" w:rsidP="001E35DC">
            <w:pPr>
              <w:rPr>
                <w:rFonts w:ascii="Tahoma" w:hAnsi="Tahoma" w:cs="Tahoma"/>
                <w:sz w:val="20"/>
                <w:szCs w:val="20"/>
              </w:rPr>
            </w:pPr>
            <w:r w:rsidRPr="005E1EA7">
              <w:rPr>
                <w:rFonts w:ascii="Tahoma" w:hAnsi="Tahoma" w:cs="Tahoma"/>
                <w:sz w:val="20"/>
                <w:szCs w:val="20"/>
              </w:rPr>
              <w:t>5’-ribonucléotide disodique</w:t>
            </w:r>
          </w:p>
        </w:tc>
        <w:tc>
          <w:tcPr>
            <w:tcW w:w="880" w:type="dxa"/>
          </w:tcPr>
          <w:p w14:paraId="184D4CD5" w14:textId="77777777" w:rsidR="003D69A8" w:rsidRPr="005E1EA7" w:rsidRDefault="003D69A8" w:rsidP="001E35DC">
            <w:pPr>
              <w:rPr>
                <w:rFonts w:ascii="Tahoma" w:hAnsi="Tahoma" w:cs="Tahoma"/>
                <w:sz w:val="20"/>
                <w:szCs w:val="20"/>
                <w:lang w:val="de-DE"/>
              </w:rPr>
            </w:pPr>
            <w:r w:rsidRPr="005E1EA7">
              <w:rPr>
                <w:rFonts w:ascii="Tahoma" w:hAnsi="Tahoma" w:cs="Tahoma"/>
                <w:sz w:val="20"/>
                <w:szCs w:val="20"/>
                <w:lang w:val="de-DE"/>
              </w:rPr>
              <w:t>E620 ...</w:t>
            </w:r>
          </w:p>
          <w:p w14:paraId="68895860" w14:textId="77777777" w:rsidR="003D69A8" w:rsidRPr="005E1EA7" w:rsidRDefault="003D69A8" w:rsidP="001E35DC">
            <w:pPr>
              <w:rPr>
                <w:rFonts w:ascii="Tahoma" w:hAnsi="Tahoma" w:cs="Tahoma"/>
                <w:sz w:val="20"/>
                <w:szCs w:val="20"/>
                <w:lang w:val="de-DE"/>
              </w:rPr>
            </w:pPr>
          </w:p>
          <w:p w14:paraId="78104246" w14:textId="77777777" w:rsidR="003D69A8" w:rsidRPr="005E1EA7" w:rsidRDefault="003D69A8" w:rsidP="001E35DC">
            <w:pPr>
              <w:rPr>
                <w:rFonts w:ascii="Tahoma" w:hAnsi="Tahoma" w:cs="Tahoma"/>
                <w:sz w:val="20"/>
                <w:szCs w:val="20"/>
                <w:lang w:val="de-DE"/>
              </w:rPr>
            </w:pPr>
          </w:p>
          <w:p w14:paraId="22CB6ABF" w14:textId="77777777" w:rsidR="003D69A8" w:rsidRPr="005E1EA7" w:rsidRDefault="003D69A8" w:rsidP="001E35DC">
            <w:pPr>
              <w:rPr>
                <w:rFonts w:ascii="Tahoma" w:hAnsi="Tahoma" w:cs="Tahoma"/>
                <w:sz w:val="20"/>
                <w:szCs w:val="20"/>
                <w:lang w:val="de-DE"/>
              </w:rPr>
            </w:pPr>
            <w:r w:rsidRPr="005E1EA7">
              <w:rPr>
                <w:rFonts w:ascii="Tahoma" w:hAnsi="Tahoma" w:cs="Tahoma"/>
                <w:sz w:val="20"/>
                <w:szCs w:val="20"/>
                <w:lang w:val="de-DE"/>
              </w:rPr>
              <w:t>E626 ...</w:t>
            </w:r>
          </w:p>
          <w:p w14:paraId="70CAE9D7" w14:textId="77777777" w:rsidR="003D69A8" w:rsidRPr="005E1EA7" w:rsidRDefault="003D69A8" w:rsidP="001E35DC">
            <w:pPr>
              <w:rPr>
                <w:rFonts w:ascii="Tahoma" w:hAnsi="Tahoma" w:cs="Tahoma"/>
                <w:sz w:val="20"/>
                <w:szCs w:val="20"/>
                <w:lang w:val="de-DE"/>
              </w:rPr>
            </w:pPr>
            <w:r w:rsidRPr="005E1EA7">
              <w:rPr>
                <w:rFonts w:ascii="Tahoma" w:hAnsi="Tahoma" w:cs="Tahoma"/>
                <w:sz w:val="20"/>
                <w:szCs w:val="20"/>
                <w:lang w:val="de-DE"/>
              </w:rPr>
              <w:t>E630 ...</w:t>
            </w:r>
          </w:p>
          <w:p w14:paraId="3379CFBF" w14:textId="77777777" w:rsidR="003D69A8" w:rsidRPr="005E1EA7" w:rsidRDefault="003D69A8" w:rsidP="001E35DC">
            <w:pPr>
              <w:rPr>
                <w:rFonts w:ascii="Tahoma" w:hAnsi="Tahoma" w:cs="Tahoma"/>
                <w:sz w:val="20"/>
                <w:szCs w:val="20"/>
              </w:rPr>
            </w:pPr>
            <w:r w:rsidRPr="005E1EA7">
              <w:rPr>
                <w:rFonts w:ascii="Tahoma" w:hAnsi="Tahoma" w:cs="Tahoma"/>
                <w:sz w:val="20"/>
                <w:szCs w:val="20"/>
              </w:rPr>
              <w:t>E634</w:t>
            </w:r>
          </w:p>
          <w:p w14:paraId="6323A8C7" w14:textId="77777777" w:rsidR="003D69A8" w:rsidRPr="005E1EA7" w:rsidRDefault="003D69A8" w:rsidP="001E35DC">
            <w:pPr>
              <w:rPr>
                <w:rFonts w:ascii="Tahoma" w:hAnsi="Tahoma" w:cs="Tahoma"/>
                <w:sz w:val="20"/>
                <w:szCs w:val="20"/>
              </w:rPr>
            </w:pPr>
            <w:r w:rsidRPr="005E1EA7">
              <w:rPr>
                <w:rFonts w:ascii="Tahoma" w:hAnsi="Tahoma" w:cs="Tahoma"/>
                <w:sz w:val="20"/>
                <w:szCs w:val="20"/>
              </w:rPr>
              <w:t>E635</w:t>
            </w:r>
          </w:p>
        </w:tc>
        <w:tc>
          <w:tcPr>
            <w:tcW w:w="3372" w:type="dxa"/>
          </w:tcPr>
          <w:p w14:paraId="6A0EC4B0" w14:textId="77777777" w:rsidR="003D69A8" w:rsidRPr="005E1EA7" w:rsidRDefault="003D69A8" w:rsidP="001E35DC">
            <w:pPr>
              <w:rPr>
                <w:rFonts w:ascii="Tahoma" w:hAnsi="Tahoma" w:cs="Tahoma"/>
                <w:sz w:val="20"/>
                <w:szCs w:val="20"/>
              </w:rPr>
            </w:pPr>
            <w:r w:rsidRPr="005E1EA7">
              <w:rPr>
                <w:rFonts w:ascii="Tahoma" w:hAnsi="Tahoma" w:cs="Tahoma"/>
                <w:sz w:val="20"/>
                <w:szCs w:val="20"/>
              </w:rPr>
              <w:t>10 g/kg seul ou en mélange</w:t>
            </w:r>
          </w:p>
          <w:p w14:paraId="539C9171" w14:textId="77777777" w:rsidR="003D69A8" w:rsidRPr="005E1EA7" w:rsidRDefault="003D69A8" w:rsidP="001E35DC">
            <w:pPr>
              <w:rPr>
                <w:rFonts w:ascii="Tahoma" w:hAnsi="Tahoma" w:cs="Tahoma"/>
                <w:sz w:val="20"/>
                <w:szCs w:val="20"/>
              </w:rPr>
            </w:pPr>
          </w:p>
          <w:p w14:paraId="38847F68" w14:textId="77777777" w:rsidR="003D69A8" w:rsidRPr="005E1EA7" w:rsidRDefault="003D69A8" w:rsidP="001E35DC">
            <w:pPr>
              <w:rPr>
                <w:rFonts w:ascii="Tahoma" w:hAnsi="Tahoma" w:cs="Tahoma"/>
                <w:sz w:val="20"/>
                <w:szCs w:val="20"/>
              </w:rPr>
            </w:pPr>
          </w:p>
          <w:p w14:paraId="4E188D13" w14:textId="77777777" w:rsidR="003D69A8" w:rsidRPr="005E1EA7" w:rsidRDefault="003D69A8" w:rsidP="001E35DC">
            <w:pPr>
              <w:rPr>
                <w:rFonts w:ascii="Tahoma" w:hAnsi="Tahoma" w:cs="Tahoma"/>
                <w:sz w:val="20"/>
                <w:szCs w:val="20"/>
              </w:rPr>
            </w:pPr>
          </w:p>
          <w:p w14:paraId="1EE8F902" w14:textId="77777777" w:rsidR="003D69A8" w:rsidRPr="005E1EA7" w:rsidRDefault="003D69A8" w:rsidP="001E35DC">
            <w:pPr>
              <w:rPr>
                <w:rFonts w:ascii="Tahoma" w:hAnsi="Tahoma" w:cs="Tahoma"/>
                <w:sz w:val="20"/>
                <w:szCs w:val="20"/>
              </w:rPr>
            </w:pPr>
            <w:r w:rsidRPr="005E1EA7">
              <w:rPr>
                <w:rFonts w:ascii="Tahoma" w:hAnsi="Tahoma" w:cs="Tahoma"/>
                <w:sz w:val="20"/>
                <w:szCs w:val="20"/>
              </w:rPr>
              <w:t>500 mg/kg seul ou en mélange, exprimé en acide guanylique</w:t>
            </w:r>
          </w:p>
          <w:p w14:paraId="6AA572CD" w14:textId="77777777" w:rsidR="003D69A8" w:rsidRPr="005E1EA7" w:rsidRDefault="003D69A8" w:rsidP="001E35DC">
            <w:pPr>
              <w:rPr>
                <w:rFonts w:ascii="Tahoma" w:hAnsi="Tahoma" w:cs="Tahoma"/>
                <w:sz w:val="20"/>
                <w:szCs w:val="20"/>
              </w:rPr>
            </w:pPr>
          </w:p>
        </w:tc>
      </w:tr>
      <w:tr w:rsidR="003D69A8" w:rsidRPr="005E1EA7" w14:paraId="7E275D5B" w14:textId="77777777" w:rsidTr="006365F0">
        <w:trPr>
          <w:cantSplit/>
        </w:trPr>
        <w:tc>
          <w:tcPr>
            <w:tcW w:w="2127" w:type="dxa"/>
          </w:tcPr>
          <w:p w14:paraId="6643BA33" w14:textId="77777777" w:rsidR="003D69A8" w:rsidRPr="005E1EA7" w:rsidRDefault="003D69A8" w:rsidP="001E35DC">
            <w:pPr>
              <w:rPr>
                <w:rFonts w:ascii="Tahoma" w:hAnsi="Tahoma" w:cs="Tahoma"/>
                <w:sz w:val="20"/>
                <w:szCs w:val="20"/>
              </w:rPr>
            </w:pPr>
            <w:r w:rsidRPr="005E1EA7">
              <w:rPr>
                <w:rFonts w:ascii="Tahoma" w:hAnsi="Tahoma" w:cs="Tahoma"/>
                <w:sz w:val="20"/>
                <w:szCs w:val="20"/>
              </w:rPr>
              <w:t>Gélifiants</w:t>
            </w:r>
          </w:p>
        </w:tc>
        <w:tc>
          <w:tcPr>
            <w:tcW w:w="2693" w:type="dxa"/>
          </w:tcPr>
          <w:p w14:paraId="4F4B1F20" w14:textId="77777777" w:rsidR="003D69A8" w:rsidRPr="005E1EA7" w:rsidRDefault="003D69A8" w:rsidP="001E35DC">
            <w:pPr>
              <w:rPr>
                <w:rFonts w:ascii="Tahoma" w:hAnsi="Tahoma" w:cs="Tahoma"/>
                <w:sz w:val="20"/>
                <w:szCs w:val="20"/>
              </w:rPr>
            </w:pPr>
            <w:r w:rsidRPr="005E1EA7">
              <w:rPr>
                <w:rFonts w:ascii="Tahoma" w:hAnsi="Tahoma" w:cs="Tahoma"/>
                <w:sz w:val="20"/>
                <w:szCs w:val="20"/>
              </w:rPr>
              <w:t>Konjac</w:t>
            </w:r>
          </w:p>
          <w:p w14:paraId="0FF5FE59" w14:textId="77777777" w:rsidR="003D69A8" w:rsidRPr="005E1EA7" w:rsidRDefault="003D69A8" w:rsidP="001E35DC">
            <w:pPr>
              <w:rPr>
                <w:rFonts w:ascii="Tahoma" w:hAnsi="Tahoma" w:cs="Tahoma"/>
                <w:sz w:val="20"/>
                <w:szCs w:val="20"/>
              </w:rPr>
            </w:pPr>
            <w:r w:rsidRPr="005E1EA7">
              <w:rPr>
                <w:rFonts w:ascii="Tahoma" w:hAnsi="Tahoma" w:cs="Tahoma"/>
                <w:sz w:val="20"/>
                <w:szCs w:val="20"/>
              </w:rPr>
              <w:t>Gomme de konjac</w:t>
            </w:r>
          </w:p>
          <w:p w14:paraId="6B2B4923" w14:textId="77777777" w:rsidR="003D69A8" w:rsidRPr="005E1EA7" w:rsidRDefault="003D69A8" w:rsidP="001E35DC">
            <w:pPr>
              <w:rPr>
                <w:rFonts w:ascii="Tahoma" w:hAnsi="Tahoma" w:cs="Tahoma"/>
                <w:sz w:val="20"/>
                <w:szCs w:val="20"/>
                <w:lang w:val="de-DE"/>
              </w:rPr>
            </w:pPr>
            <w:r w:rsidRPr="005E1EA7">
              <w:rPr>
                <w:rFonts w:ascii="Tahoma" w:hAnsi="Tahoma" w:cs="Tahoma"/>
                <w:sz w:val="20"/>
                <w:szCs w:val="20"/>
                <w:lang w:val="de-DE"/>
              </w:rPr>
              <w:t>Glucomannane de konjac</w:t>
            </w:r>
          </w:p>
        </w:tc>
        <w:tc>
          <w:tcPr>
            <w:tcW w:w="880" w:type="dxa"/>
          </w:tcPr>
          <w:p w14:paraId="76A1B561" w14:textId="77777777" w:rsidR="003D69A8" w:rsidRPr="005E1EA7" w:rsidRDefault="003D69A8" w:rsidP="001E35DC">
            <w:pPr>
              <w:rPr>
                <w:rFonts w:ascii="Tahoma" w:hAnsi="Tahoma" w:cs="Tahoma"/>
                <w:sz w:val="20"/>
                <w:szCs w:val="20"/>
                <w:lang w:val="de-DE"/>
              </w:rPr>
            </w:pPr>
          </w:p>
          <w:p w14:paraId="34B83935" w14:textId="77777777" w:rsidR="003D69A8" w:rsidRPr="005E1EA7" w:rsidRDefault="003D69A8" w:rsidP="001E35DC">
            <w:pPr>
              <w:rPr>
                <w:rFonts w:ascii="Tahoma" w:hAnsi="Tahoma" w:cs="Tahoma"/>
                <w:sz w:val="20"/>
                <w:szCs w:val="20"/>
                <w:lang w:val="de-DE"/>
              </w:rPr>
            </w:pPr>
            <w:r w:rsidRPr="005E1EA7">
              <w:rPr>
                <w:rFonts w:ascii="Tahoma" w:hAnsi="Tahoma" w:cs="Tahoma"/>
                <w:sz w:val="20"/>
                <w:szCs w:val="20"/>
                <w:lang w:val="de-DE"/>
              </w:rPr>
              <w:t>E425 i</w:t>
            </w:r>
          </w:p>
          <w:p w14:paraId="1A77808C" w14:textId="77777777" w:rsidR="003D69A8" w:rsidRPr="005E1EA7" w:rsidRDefault="003D69A8" w:rsidP="001E35DC">
            <w:pPr>
              <w:rPr>
                <w:rFonts w:ascii="Tahoma" w:hAnsi="Tahoma" w:cs="Tahoma"/>
                <w:sz w:val="20"/>
                <w:szCs w:val="20"/>
                <w:lang w:val="de-DE"/>
              </w:rPr>
            </w:pPr>
            <w:r w:rsidRPr="005E1EA7">
              <w:rPr>
                <w:rFonts w:ascii="Tahoma" w:hAnsi="Tahoma" w:cs="Tahoma"/>
                <w:sz w:val="20"/>
                <w:szCs w:val="20"/>
                <w:lang w:val="de-DE"/>
              </w:rPr>
              <w:t>E425 ii</w:t>
            </w:r>
          </w:p>
        </w:tc>
        <w:tc>
          <w:tcPr>
            <w:tcW w:w="3372" w:type="dxa"/>
          </w:tcPr>
          <w:p w14:paraId="758B299D" w14:textId="77777777" w:rsidR="003D69A8" w:rsidRPr="005E1EA7" w:rsidRDefault="003D69A8" w:rsidP="001E35DC">
            <w:pPr>
              <w:rPr>
                <w:rFonts w:ascii="Tahoma" w:hAnsi="Tahoma" w:cs="Tahoma"/>
                <w:sz w:val="20"/>
                <w:szCs w:val="20"/>
                <w:lang w:val="de-DE"/>
              </w:rPr>
            </w:pPr>
          </w:p>
          <w:p w14:paraId="76C8530F" w14:textId="77777777" w:rsidR="003D69A8" w:rsidRPr="005E1EA7" w:rsidRDefault="003D69A8" w:rsidP="001E35DC">
            <w:pPr>
              <w:rPr>
                <w:rFonts w:ascii="Tahoma" w:hAnsi="Tahoma" w:cs="Tahoma"/>
                <w:sz w:val="20"/>
                <w:szCs w:val="20"/>
              </w:rPr>
            </w:pPr>
            <w:r w:rsidRPr="005E1EA7">
              <w:rPr>
                <w:rFonts w:ascii="Tahoma" w:hAnsi="Tahoma" w:cs="Tahoma"/>
                <w:sz w:val="20"/>
                <w:szCs w:val="20"/>
              </w:rPr>
              <w:t>10 g/kg seul ou en mélange</w:t>
            </w:r>
          </w:p>
        </w:tc>
      </w:tr>
    </w:tbl>
    <w:p w14:paraId="47357673" w14:textId="77777777" w:rsidR="003D69A8" w:rsidRDefault="003D69A8" w:rsidP="001E35DC">
      <w:pPr>
        <w:rPr>
          <w:rFonts w:ascii="Tahoma" w:hAnsi="Tahoma" w:cs="Tahoma"/>
          <w:sz w:val="20"/>
          <w:szCs w:val="20"/>
        </w:rPr>
      </w:pPr>
    </w:p>
    <w:p w14:paraId="296FFD47" w14:textId="77777777" w:rsidR="00EA331B" w:rsidRDefault="00EA331B" w:rsidP="001E35DC">
      <w:pPr>
        <w:rPr>
          <w:rFonts w:ascii="Tahoma" w:hAnsi="Tahoma" w:cs="Tahoma"/>
          <w:sz w:val="20"/>
          <w:szCs w:val="20"/>
        </w:rPr>
      </w:pPr>
    </w:p>
    <w:p w14:paraId="18C786C9" w14:textId="77777777" w:rsidR="00EA331B" w:rsidRDefault="00EA331B" w:rsidP="001E35DC">
      <w:pPr>
        <w:rPr>
          <w:rFonts w:ascii="Tahoma" w:hAnsi="Tahoma" w:cs="Tahoma"/>
          <w:sz w:val="20"/>
          <w:szCs w:val="20"/>
        </w:rPr>
      </w:pPr>
    </w:p>
    <w:p w14:paraId="0258A8A0" w14:textId="77777777" w:rsidR="00EA331B" w:rsidRPr="005E1EA7" w:rsidRDefault="00EA331B" w:rsidP="001E35DC">
      <w:pPr>
        <w:rPr>
          <w:rFonts w:ascii="Tahoma" w:hAnsi="Tahoma" w:cs="Tahoma"/>
          <w:sz w:val="20"/>
          <w:szCs w:val="20"/>
        </w:rPr>
      </w:pPr>
    </w:p>
    <w:p w14:paraId="690E067F" w14:textId="77777777" w:rsidR="003D69A8" w:rsidRPr="00EA331B" w:rsidRDefault="003D69A8" w:rsidP="001E35DC">
      <w:pPr>
        <w:rPr>
          <w:rFonts w:ascii="Tahoma" w:hAnsi="Tahoma" w:cs="Tahoma"/>
          <w:b/>
          <w:bCs/>
          <w:sz w:val="20"/>
          <w:szCs w:val="20"/>
        </w:rPr>
      </w:pPr>
      <w:r w:rsidRPr="00EA331B">
        <w:rPr>
          <w:rFonts w:ascii="Tahoma" w:hAnsi="Tahoma" w:cs="Tahoma"/>
          <w:b/>
          <w:bCs/>
          <w:sz w:val="20"/>
          <w:szCs w:val="20"/>
        </w:rPr>
        <w:t>2.1 Mollusques et crustacés transformés</w:t>
      </w:r>
    </w:p>
    <w:p w14:paraId="5A1C257B" w14:textId="77777777" w:rsidR="003D69A8" w:rsidRPr="005E1EA7" w:rsidRDefault="003D69A8" w:rsidP="001E35DC">
      <w:pPr>
        <w:rPr>
          <w:rFonts w:ascii="Tahoma" w:hAnsi="Tahoma" w:cs="Tahoma"/>
          <w:sz w:val="20"/>
          <w:szCs w:val="20"/>
        </w:rPr>
      </w:pPr>
    </w:p>
    <w:p w14:paraId="04D6B661" w14:textId="77777777" w:rsidR="003D69A8" w:rsidRPr="00EA331B" w:rsidRDefault="003D69A8" w:rsidP="001E35DC">
      <w:pPr>
        <w:rPr>
          <w:rFonts w:ascii="Tahoma" w:hAnsi="Tahoma" w:cs="Tahoma"/>
          <w:b/>
          <w:bCs/>
          <w:sz w:val="20"/>
          <w:szCs w:val="20"/>
        </w:rPr>
      </w:pPr>
      <w:r w:rsidRPr="00EA331B">
        <w:rPr>
          <w:rFonts w:ascii="Tahoma" w:hAnsi="Tahoma" w:cs="Tahoma"/>
          <w:b/>
          <w:bCs/>
          <w:sz w:val="20"/>
          <w:szCs w:val="20"/>
        </w:rPr>
        <w:t>2.1.1 Crustacés et céphalopodes cuits</w:t>
      </w:r>
    </w:p>
    <w:tbl>
      <w:tblPr>
        <w:tblW w:w="0" w:type="auto"/>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2160"/>
        <w:gridCol w:w="2660"/>
        <w:gridCol w:w="850"/>
        <w:gridCol w:w="3402"/>
      </w:tblGrid>
      <w:tr w:rsidR="003D69A8" w:rsidRPr="005E1EA7" w14:paraId="46B123FD" w14:textId="77777777" w:rsidTr="006365F0">
        <w:trPr>
          <w:cantSplit/>
        </w:trPr>
        <w:tc>
          <w:tcPr>
            <w:tcW w:w="2160" w:type="dxa"/>
          </w:tcPr>
          <w:p w14:paraId="3C1F60C9" w14:textId="77777777" w:rsidR="003D69A8" w:rsidRPr="005E1EA7" w:rsidRDefault="003D69A8" w:rsidP="001E35DC">
            <w:pPr>
              <w:rPr>
                <w:rFonts w:ascii="Tahoma" w:hAnsi="Tahoma" w:cs="Tahoma"/>
                <w:sz w:val="20"/>
                <w:szCs w:val="20"/>
              </w:rPr>
            </w:pPr>
            <w:r w:rsidRPr="005E1EA7">
              <w:rPr>
                <w:rFonts w:ascii="Tahoma" w:hAnsi="Tahoma" w:cs="Tahoma"/>
                <w:sz w:val="20"/>
                <w:szCs w:val="20"/>
              </w:rPr>
              <w:t>Conservateurs</w:t>
            </w:r>
          </w:p>
        </w:tc>
        <w:tc>
          <w:tcPr>
            <w:tcW w:w="2660" w:type="dxa"/>
          </w:tcPr>
          <w:p w14:paraId="1AD0C5AE" w14:textId="77777777" w:rsidR="003D69A8" w:rsidRPr="005E1EA7" w:rsidRDefault="003D69A8" w:rsidP="001E35DC">
            <w:pPr>
              <w:rPr>
                <w:rFonts w:ascii="Tahoma" w:hAnsi="Tahoma" w:cs="Tahoma"/>
                <w:sz w:val="20"/>
                <w:szCs w:val="20"/>
              </w:rPr>
            </w:pPr>
            <w:r w:rsidRPr="005E1EA7">
              <w:rPr>
                <w:rFonts w:ascii="Tahoma" w:hAnsi="Tahoma" w:cs="Tahoma"/>
                <w:sz w:val="20"/>
                <w:szCs w:val="20"/>
              </w:rPr>
              <w:t>anhydride sulfureux et sulfites</w:t>
            </w:r>
          </w:p>
        </w:tc>
        <w:tc>
          <w:tcPr>
            <w:tcW w:w="850" w:type="dxa"/>
          </w:tcPr>
          <w:p w14:paraId="563C62B3" w14:textId="77777777" w:rsidR="003D69A8" w:rsidRPr="005E1EA7" w:rsidRDefault="003D69A8" w:rsidP="001E35DC">
            <w:pPr>
              <w:rPr>
                <w:rFonts w:ascii="Tahoma" w:hAnsi="Tahoma" w:cs="Tahoma"/>
                <w:sz w:val="20"/>
                <w:szCs w:val="20"/>
              </w:rPr>
            </w:pPr>
            <w:r w:rsidRPr="005E1EA7">
              <w:rPr>
                <w:rFonts w:ascii="Tahoma" w:hAnsi="Tahoma" w:cs="Tahoma"/>
                <w:sz w:val="20"/>
                <w:szCs w:val="20"/>
              </w:rPr>
              <w:t>E220...</w:t>
            </w:r>
          </w:p>
        </w:tc>
        <w:tc>
          <w:tcPr>
            <w:tcW w:w="3402" w:type="dxa"/>
          </w:tcPr>
          <w:p w14:paraId="65A35999" w14:textId="77777777" w:rsidR="003D69A8" w:rsidRPr="005E1EA7" w:rsidRDefault="003D69A8" w:rsidP="001E35DC">
            <w:pPr>
              <w:rPr>
                <w:rFonts w:ascii="Tahoma" w:hAnsi="Tahoma" w:cs="Tahoma"/>
                <w:sz w:val="20"/>
                <w:szCs w:val="20"/>
              </w:rPr>
            </w:pPr>
            <w:r w:rsidRPr="005E1EA7">
              <w:rPr>
                <w:rFonts w:ascii="Tahoma" w:hAnsi="Tahoma" w:cs="Tahoma"/>
                <w:sz w:val="20"/>
                <w:szCs w:val="20"/>
              </w:rPr>
              <w:t>50 mg/kg pour les parties comestibles, exprimé en SO2, seul ou en mélange</w:t>
            </w:r>
          </w:p>
        </w:tc>
      </w:tr>
    </w:tbl>
    <w:p w14:paraId="0C09BD0F" w14:textId="77777777" w:rsidR="00EA331B" w:rsidRDefault="00EA331B" w:rsidP="001E35DC">
      <w:pPr>
        <w:rPr>
          <w:rFonts w:ascii="Tahoma" w:hAnsi="Tahoma" w:cs="Tahoma"/>
          <w:b/>
          <w:bCs/>
          <w:sz w:val="20"/>
          <w:szCs w:val="20"/>
        </w:rPr>
      </w:pPr>
    </w:p>
    <w:p w14:paraId="14BE7FD9" w14:textId="70BFE038" w:rsidR="003D69A8" w:rsidRPr="00EA331B" w:rsidRDefault="003D69A8" w:rsidP="001E35DC">
      <w:pPr>
        <w:rPr>
          <w:rFonts w:ascii="Tahoma" w:hAnsi="Tahoma" w:cs="Tahoma"/>
          <w:b/>
          <w:bCs/>
          <w:sz w:val="20"/>
          <w:szCs w:val="20"/>
        </w:rPr>
      </w:pPr>
      <w:r w:rsidRPr="00EA331B">
        <w:rPr>
          <w:rFonts w:ascii="Tahoma" w:hAnsi="Tahoma" w:cs="Tahoma"/>
          <w:b/>
          <w:bCs/>
          <w:sz w:val="20"/>
          <w:szCs w:val="20"/>
        </w:rPr>
        <w:t>2.1.1.1 Crustacés précuits</w:t>
      </w:r>
    </w:p>
    <w:tbl>
      <w:tblPr>
        <w:tblW w:w="0" w:type="auto"/>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2160"/>
        <w:gridCol w:w="2660"/>
        <w:gridCol w:w="850"/>
        <w:gridCol w:w="3402"/>
      </w:tblGrid>
      <w:tr w:rsidR="003D69A8" w:rsidRPr="005E1EA7" w14:paraId="50124B1A" w14:textId="77777777" w:rsidTr="006365F0">
        <w:trPr>
          <w:cantSplit/>
        </w:trPr>
        <w:tc>
          <w:tcPr>
            <w:tcW w:w="2160" w:type="dxa"/>
          </w:tcPr>
          <w:p w14:paraId="6B3B60A0" w14:textId="77777777" w:rsidR="003D69A8" w:rsidRPr="005E1EA7" w:rsidRDefault="003D69A8" w:rsidP="001E35DC">
            <w:pPr>
              <w:rPr>
                <w:rFonts w:ascii="Tahoma" w:hAnsi="Tahoma" w:cs="Tahoma"/>
                <w:sz w:val="20"/>
                <w:szCs w:val="20"/>
              </w:rPr>
            </w:pPr>
            <w:r w:rsidRPr="005E1EA7">
              <w:rPr>
                <w:rFonts w:ascii="Tahoma" w:hAnsi="Tahoma" w:cs="Tahoma"/>
                <w:sz w:val="20"/>
                <w:szCs w:val="20"/>
              </w:rPr>
              <w:t>Colorants</w:t>
            </w:r>
          </w:p>
          <w:p w14:paraId="5FF6CE30" w14:textId="77777777" w:rsidR="003D69A8" w:rsidRPr="005E1EA7" w:rsidRDefault="003D69A8" w:rsidP="001E35DC">
            <w:pPr>
              <w:rPr>
                <w:rFonts w:ascii="Tahoma" w:hAnsi="Tahoma" w:cs="Tahoma"/>
                <w:sz w:val="20"/>
                <w:szCs w:val="20"/>
              </w:rPr>
            </w:pPr>
          </w:p>
          <w:p w14:paraId="1A50EF37" w14:textId="77777777" w:rsidR="003D69A8" w:rsidRPr="005E1EA7" w:rsidRDefault="003D69A8" w:rsidP="001E35DC">
            <w:pPr>
              <w:rPr>
                <w:rFonts w:ascii="Tahoma" w:hAnsi="Tahoma" w:cs="Tahoma"/>
                <w:sz w:val="20"/>
                <w:szCs w:val="20"/>
              </w:rPr>
            </w:pPr>
          </w:p>
          <w:p w14:paraId="2DF5DA69" w14:textId="77777777" w:rsidR="003D69A8" w:rsidRPr="005E1EA7" w:rsidRDefault="003D69A8" w:rsidP="001E35DC">
            <w:pPr>
              <w:rPr>
                <w:rFonts w:ascii="Tahoma" w:hAnsi="Tahoma" w:cs="Tahoma"/>
                <w:sz w:val="20"/>
                <w:szCs w:val="20"/>
              </w:rPr>
            </w:pPr>
          </w:p>
          <w:p w14:paraId="4BC8C848" w14:textId="77777777" w:rsidR="003D69A8" w:rsidRPr="005E1EA7" w:rsidRDefault="003D69A8" w:rsidP="001E35DC">
            <w:pPr>
              <w:rPr>
                <w:rFonts w:ascii="Tahoma" w:hAnsi="Tahoma" w:cs="Tahoma"/>
                <w:sz w:val="20"/>
                <w:szCs w:val="20"/>
              </w:rPr>
            </w:pPr>
          </w:p>
        </w:tc>
        <w:tc>
          <w:tcPr>
            <w:tcW w:w="2660" w:type="dxa"/>
          </w:tcPr>
          <w:p w14:paraId="70B85FB3" w14:textId="77777777" w:rsidR="003D69A8" w:rsidRPr="005E1EA7" w:rsidRDefault="003D69A8" w:rsidP="001E35DC">
            <w:pPr>
              <w:rPr>
                <w:rFonts w:ascii="Tahoma" w:hAnsi="Tahoma" w:cs="Tahoma"/>
                <w:sz w:val="20"/>
                <w:szCs w:val="20"/>
              </w:rPr>
            </w:pPr>
            <w:r w:rsidRPr="005E1EA7">
              <w:rPr>
                <w:rFonts w:ascii="Tahoma" w:hAnsi="Tahoma" w:cs="Tahoma"/>
                <w:sz w:val="20"/>
                <w:szCs w:val="20"/>
              </w:rPr>
              <w:t>Tous les colorants cités aux annexes du règlement européen 1333/2008</w:t>
            </w:r>
          </w:p>
          <w:p w14:paraId="6C3C454B" w14:textId="77777777" w:rsidR="003D69A8" w:rsidRPr="005E1EA7" w:rsidRDefault="003D69A8" w:rsidP="001E35DC">
            <w:pPr>
              <w:rPr>
                <w:rFonts w:ascii="Tahoma" w:hAnsi="Tahoma" w:cs="Tahoma"/>
                <w:sz w:val="20"/>
                <w:szCs w:val="20"/>
              </w:rPr>
            </w:pPr>
          </w:p>
          <w:p w14:paraId="5F3B4468" w14:textId="77777777" w:rsidR="003D69A8" w:rsidRPr="005E1EA7" w:rsidRDefault="003D69A8" w:rsidP="001E35DC">
            <w:pPr>
              <w:rPr>
                <w:rFonts w:ascii="Tahoma" w:hAnsi="Tahoma" w:cs="Tahoma"/>
                <w:sz w:val="20"/>
                <w:szCs w:val="20"/>
              </w:rPr>
            </w:pPr>
            <w:r w:rsidRPr="005E1EA7">
              <w:rPr>
                <w:rFonts w:ascii="Tahoma" w:hAnsi="Tahoma" w:cs="Tahoma"/>
                <w:sz w:val="20"/>
                <w:szCs w:val="20"/>
              </w:rPr>
              <w:t>Tous les colorants cités aux annexes du règlement européen 1333/2008</w:t>
            </w:r>
          </w:p>
        </w:tc>
        <w:tc>
          <w:tcPr>
            <w:tcW w:w="850" w:type="dxa"/>
          </w:tcPr>
          <w:p w14:paraId="7FBC34DA" w14:textId="77777777" w:rsidR="003D69A8" w:rsidRPr="005E1EA7" w:rsidRDefault="003D69A8" w:rsidP="001E35DC">
            <w:pPr>
              <w:rPr>
                <w:rFonts w:ascii="Tahoma" w:hAnsi="Tahoma" w:cs="Tahoma"/>
                <w:sz w:val="20"/>
                <w:szCs w:val="20"/>
              </w:rPr>
            </w:pPr>
          </w:p>
          <w:p w14:paraId="72447EB0" w14:textId="77777777" w:rsidR="003D69A8" w:rsidRPr="005E1EA7" w:rsidRDefault="003D69A8" w:rsidP="001E35DC">
            <w:pPr>
              <w:rPr>
                <w:rFonts w:ascii="Tahoma" w:hAnsi="Tahoma" w:cs="Tahoma"/>
                <w:sz w:val="20"/>
                <w:szCs w:val="20"/>
              </w:rPr>
            </w:pPr>
          </w:p>
          <w:p w14:paraId="48BD0A91" w14:textId="77777777" w:rsidR="003D69A8" w:rsidRPr="005E1EA7" w:rsidRDefault="003D69A8" w:rsidP="001E35DC">
            <w:pPr>
              <w:rPr>
                <w:rFonts w:ascii="Tahoma" w:hAnsi="Tahoma" w:cs="Tahoma"/>
                <w:sz w:val="20"/>
                <w:szCs w:val="20"/>
              </w:rPr>
            </w:pPr>
          </w:p>
          <w:p w14:paraId="174B346B" w14:textId="77777777" w:rsidR="003D69A8" w:rsidRPr="005E1EA7" w:rsidRDefault="003D69A8" w:rsidP="001E35DC">
            <w:pPr>
              <w:rPr>
                <w:rFonts w:ascii="Tahoma" w:hAnsi="Tahoma" w:cs="Tahoma"/>
                <w:sz w:val="20"/>
                <w:szCs w:val="20"/>
              </w:rPr>
            </w:pPr>
          </w:p>
          <w:p w14:paraId="3B26BB3F" w14:textId="77777777" w:rsidR="003D69A8" w:rsidRPr="005E1EA7" w:rsidRDefault="003D69A8" w:rsidP="001E35DC">
            <w:pPr>
              <w:rPr>
                <w:rFonts w:ascii="Tahoma" w:hAnsi="Tahoma" w:cs="Tahoma"/>
                <w:sz w:val="20"/>
                <w:szCs w:val="20"/>
              </w:rPr>
            </w:pPr>
          </w:p>
        </w:tc>
        <w:tc>
          <w:tcPr>
            <w:tcW w:w="3402" w:type="dxa"/>
          </w:tcPr>
          <w:p w14:paraId="57EA3993" w14:textId="77777777" w:rsidR="003D69A8" w:rsidRPr="005E1EA7" w:rsidRDefault="003D69A8" w:rsidP="001E35DC">
            <w:pPr>
              <w:rPr>
                <w:rFonts w:ascii="Tahoma" w:hAnsi="Tahoma" w:cs="Tahoma"/>
                <w:i/>
                <w:iCs/>
                <w:sz w:val="20"/>
                <w:szCs w:val="20"/>
              </w:rPr>
            </w:pPr>
            <w:proofErr w:type="gramStart"/>
            <w:r w:rsidRPr="005E1EA7">
              <w:rPr>
                <w:rFonts w:ascii="Tahoma" w:hAnsi="Tahoma" w:cs="Tahoma"/>
                <w:i/>
                <w:iCs/>
                <w:sz w:val="20"/>
                <w:szCs w:val="20"/>
              </w:rPr>
              <w:t>quantum</w:t>
            </w:r>
            <w:proofErr w:type="gramEnd"/>
            <w:r w:rsidRPr="005E1EA7">
              <w:rPr>
                <w:rFonts w:ascii="Tahoma" w:hAnsi="Tahoma" w:cs="Tahoma"/>
                <w:i/>
                <w:iCs/>
                <w:sz w:val="20"/>
                <w:szCs w:val="20"/>
              </w:rPr>
              <w:t xml:space="preserve"> satis</w:t>
            </w:r>
          </w:p>
          <w:p w14:paraId="4FAFA680" w14:textId="77777777" w:rsidR="003D69A8" w:rsidRPr="005E1EA7" w:rsidRDefault="003D69A8" w:rsidP="001E35DC">
            <w:pPr>
              <w:rPr>
                <w:rFonts w:ascii="Tahoma" w:hAnsi="Tahoma" w:cs="Tahoma"/>
                <w:i/>
                <w:iCs/>
                <w:sz w:val="20"/>
                <w:szCs w:val="20"/>
              </w:rPr>
            </w:pPr>
          </w:p>
          <w:p w14:paraId="20935E22" w14:textId="77777777" w:rsidR="003D69A8" w:rsidRPr="005E1EA7" w:rsidRDefault="003D69A8" w:rsidP="001E35DC">
            <w:pPr>
              <w:rPr>
                <w:rFonts w:ascii="Tahoma" w:hAnsi="Tahoma" w:cs="Tahoma"/>
                <w:i/>
                <w:iCs/>
                <w:sz w:val="20"/>
                <w:szCs w:val="20"/>
              </w:rPr>
            </w:pPr>
          </w:p>
          <w:p w14:paraId="508F0BD4" w14:textId="77777777" w:rsidR="003D69A8" w:rsidRPr="005E1EA7" w:rsidRDefault="003D69A8" w:rsidP="001E35DC">
            <w:pPr>
              <w:rPr>
                <w:rFonts w:ascii="Tahoma" w:hAnsi="Tahoma" w:cs="Tahoma"/>
                <w:i/>
                <w:iCs/>
                <w:sz w:val="20"/>
                <w:szCs w:val="20"/>
              </w:rPr>
            </w:pPr>
          </w:p>
          <w:p w14:paraId="1AC596D0" w14:textId="77777777" w:rsidR="003D69A8" w:rsidRPr="005E1EA7" w:rsidRDefault="003D69A8" w:rsidP="001E35DC">
            <w:pPr>
              <w:rPr>
                <w:rFonts w:ascii="Tahoma" w:hAnsi="Tahoma" w:cs="Tahoma"/>
                <w:sz w:val="20"/>
                <w:szCs w:val="20"/>
              </w:rPr>
            </w:pPr>
            <w:r w:rsidRPr="005E1EA7">
              <w:rPr>
                <w:rFonts w:ascii="Tahoma" w:hAnsi="Tahoma" w:cs="Tahoma"/>
                <w:sz w:val="20"/>
                <w:szCs w:val="20"/>
              </w:rPr>
              <w:t>100 mg/kg, seuls ou en combinaison</w:t>
            </w:r>
          </w:p>
          <w:p w14:paraId="29377864" w14:textId="77777777" w:rsidR="003D69A8" w:rsidRPr="005E1EA7" w:rsidRDefault="003D69A8" w:rsidP="001E35DC">
            <w:pPr>
              <w:rPr>
                <w:rFonts w:ascii="Tahoma" w:hAnsi="Tahoma" w:cs="Tahoma"/>
                <w:sz w:val="20"/>
                <w:szCs w:val="20"/>
              </w:rPr>
            </w:pPr>
            <w:r w:rsidRPr="005E1EA7">
              <w:rPr>
                <w:rFonts w:ascii="Tahoma" w:hAnsi="Tahoma" w:cs="Tahoma"/>
                <w:sz w:val="20"/>
                <w:szCs w:val="20"/>
              </w:rPr>
              <w:t>les quantités des colorants E110, E122, E124 et E155 ne peuvent être supérieures à 50 mg/kg (pour chacun d’entre eux)</w:t>
            </w:r>
          </w:p>
        </w:tc>
      </w:tr>
    </w:tbl>
    <w:p w14:paraId="68D7F5D1" w14:textId="77777777" w:rsidR="003D69A8" w:rsidRPr="005E1EA7" w:rsidRDefault="003D69A8" w:rsidP="001E35DC">
      <w:pPr>
        <w:rPr>
          <w:rFonts w:ascii="Tahoma" w:hAnsi="Tahoma" w:cs="Tahoma"/>
          <w:sz w:val="20"/>
          <w:szCs w:val="20"/>
        </w:rPr>
      </w:pPr>
    </w:p>
    <w:p w14:paraId="3FFE36CE" w14:textId="77777777" w:rsidR="003D69A8" w:rsidRPr="00EA331B" w:rsidRDefault="003D69A8" w:rsidP="001E35DC">
      <w:pPr>
        <w:rPr>
          <w:rFonts w:ascii="Tahoma" w:hAnsi="Tahoma" w:cs="Tahoma"/>
          <w:b/>
          <w:bCs/>
          <w:sz w:val="20"/>
          <w:szCs w:val="20"/>
        </w:rPr>
      </w:pPr>
      <w:r w:rsidRPr="00EA331B">
        <w:rPr>
          <w:rFonts w:ascii="Tahoma" w:hAnsi="Tahoma" w:cs="Tahoma"/>
          <w:b/>
          <w:bCs/>
          <w:sz w:val="20"/>
          <w:szCs w:val="20"/>
        </w:rPr>
        <w:t>2.1.1.1.1 Crevettes cuites</w:t>
      </w:r>
    </w:p>
    <w:tbl>
      <w:tblPr>
        <w:tblW w:w="0" w:type="auto"/>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2160"/>
        <w:gridCol w:w="2660"/>
        <w:gridCol w:w="850"/>
        <w:gridCol w:w="3402"/>
      </w:tblGrid>
      <w:tr w:rsidR="003D69A8" w:rsidRPr="005E1EA7" w14:paraId="081822F2" w14:textId="77777777" w:rsidTr="006365F0">
        <w:trPr>
          <w:cantSplit/>
        </w:trPr>
        <w:tc>
          <w:tcPr>
            <w:tcW w:w="2160" w:type="dxa"/>
          </w:tcPr>
          <w:p w14:paraId="16895B8C" w14:textId="77777777" w:rsidR="003D69A8" w:rsidRPr="005E1EA7" w:rsidRDefault="003D69A8" w:rsidP="001E35DC">
            <w:pPr>
              <w:rPr>
                <w:rFonts w:ascii="Tahoma" w:hAnsi="Tahoma" w:cs="Tahoma"/>
                <w:sz w:val="20"/>
                <w:szCs w:val="20"/>
              </w:rPr>
            </w:pPr>
            <w:r w:rsidRPr="005E1EA7">
              <w:rPr>
                <w:rFonts w:ascii="Tahoma" w:hAnsi="Tahoma" w:cs="Tahoma"/>
                <w:sz w:val="20"/>
                <w:szCs w:val="20"/>
              </w:rPr>
              <w:t>Conservateurs</w:t>
            </w:r>
          </w:p>
        </w:tc>
        <w:tc>
          <w:tcPr>
            <w:tcW w:w="2660" w:type="dxa"/>
          </w:tcPr>
          <w:p w14:paraId="2E89D41D" w14:textId="77777777" w:rsidR="003D69A8" w:rsidRPr="005E1EA7" w:rsidRDefault="003D69A8" w:rsidP="001E35DC">
            <w:pPr>
              <w:rPr>
                <w:rFonts w:ascii="Tahoma" w:hAnsi="Tahoma" w:cs="Tahoma"/>
                <w:sz w:val="20"/>
                <w:szCs w:val="20"/>
              </w:rPr>
            </w:pPr>
            <w:proofErr w:type="gramStart"/>
            <w:r w:rsidRPr="005E1EA7">
              <w:rPr>
                <w:rFonts w:ascii="Tahoma" w:hAnsi="Tahoma" w:cs="Tahoma"/>
                <w:sz w:val="20"/>
                <w:szCs w:val="20"/>
              </w:rPr>
              <w:t>acide</w:t>
            </w:r>
            <w:proofErr w:type="gramEnd"/>
            <w:r w:rsidRPr="005E1EA7">
              <w:rPr>
                <w:rFonts w:ascii="Tahoma" w:hAnsi="Tahoma" w:cs="Tahoma"/>
                <w:sz w:val="20"/>
                <w:szCs w:val="20"/>
              </w:rPr>
              <w:t xml:space="preserve"> sorbique et ses sels</w:t>
            </w:r>
          </w:p>
          <w:p w14:paraId="789B3699" w14:textId="77777777" w:rsidR="003D69A8" w:rsidRPr="005E1EA7" w:rsidRDefault="003D69A8" w:rsidP="001E35DC">
            <w:pPr>
              <w:rPr>
                <w:rFonts w:ascii="Tahoma" w:hAnsi="Tahoma" w:cs="Tahoma"/>
                <w:sz w:val="20"/>
                <w:szCs w:val="20"/>
              </w:rPr>
            </w:pPr>
            <w:r w:rsidRPr="005E1EA7">
              <w:rPr>
                <w:rFonts w:ascii="Tahoma" w:hAnsi="Tahoma" w:cs="Tahoma"/>
                <w:sz w:val="20"/>
                <w:szCs w:val="20"/>
              </w:rPr>
              <w:t>acide benzoïque et ses sels</w:t>
            </w:r>
          </w:p>
        </w:tc>
        <w:tc>
          <w:tcPr>
            <w:tcW w:w="850" w:type="dxa"/>
          </w:tcPr>
          <w:p w14:paraId="758A7228" w14:textId="77777777" w:rsidR="003D69A8" w:rsidRPr="005E1EA7" w:rsidRDefault="003D69A8" w:rsidP="001E35DC">
            <w:pPr>
              <w:rPr>
                <w:rFonts w:ascii="Tahoma" w:hAnsi="Tahoma" w:cs="Tahoma"/>
                <w:sz w:val="20"/>
                <w:szCs w:val="20"/>
              </w:rPr>
            </w:pPr>
            <w:r w:rsidRPr="005E1EA7">
              <w:rPr>
                <w:rFonts w:ascii="Tahoma" w:hAnsi="Tahoma" w:cs="Tahoma"/>
                <w:sz w:val="20"/>
                <w:szCs w:val="20"/>
              </w:rPr>
              <w:t>E200 ...</w:t>
            </w:r>
          </w:p>
          <w:p w14:paraId="5B4A5BFF" w14:textId="77777777" w:rsidR="003D69A8" w:rsidRPr="005E1EA7" w:rsidRDefault="003D69A8" w:rsidP="001E35DC">
            <w:pPr>
              <w:rPr>
                <w:rFonts w:ascii="Tahoma" w:hAnsi="Tahoma" w:cs="Tahoma"/>
                <w:sz w:val="20"/>
                <w:szCs w:val="20"/>
              </w:rPr>
            </w:pPr>
            <w:r w:rsidRPr="005E1EA7">
              <w:rPr>
                <w:rFonts w:ascii="Tahoma" w:hAnsi="Tahoma" w:cs="Tahoma"/>
                <w:sz w:val="20"/>
                <w:szCs w:val="20"/>
              </w:rPr>
              <w:t>E210 ...</w:t>
            </w:r>
          </w:p>
        </w:tc>
        <w:tc>
          <w:tcPr>
            <w:tcW w:w="3402" w:type="dxa"/>
          </w:tcPr>
          <w:p w14:paraId="4EB81C07" w14:textId="77777777" w:rsidR="003D69A8" w:rsidRPr="005E1EA7" w:rsidRDefault="003D69A8" w:rsidP="001E35DC">
            <w:pPr>
              <w:rPr>
                <w:rFonts w:ascii="Tahoma" w:hAnsi="Tahoma" w:cs="Tahoma"/>
                <w:sz w:val="20"/>
                <w:szCs w:val="20"/>
              </w:rPr>
            </w:pPr>
            <w:r w:rsidRPr="005E1EA7">
              <w:rPr>
                <w:rFonts w:ascii="Tahoma" w:hAnsi="Tahoma" w:cs="Tahoma"/>
                <w:sz w:val="20"/>
                <w:szCs w:val="20"/>
              </w:rPr>
              <w:t>2000 mg/kg seul ou en mélange</w:t>
            </w:r>
          </w:p>
        </w:tc>
      </w:tr>
    </w:tbl>
    <w:p w14:paraId="21014EB2" w14:textId="77777777" w:rsidR="003D69A8" w:rsidRPr="005E1EA7" w:rsidRDefault="003D69A8" w:rsidP="001E35DC">
      <w:pPr>
        <w:rPr>
          <w:rFonts w:ascii="Tahoma" w:hAnsi="Tahoma" w:cs="Tahoma"/>
          <w:sz w:val="20"/>
          <w:szCs w:val="20"/>
        </w:rPr>
      </w:pPr>
    </w:p>
    <w:p w14:paraId="4A34BFA8" w14:textId="77777777" w:rsidR="003D69A8" w:rsidRPr="00EA331B" w:rsidRDefault="003D69A8" w:rsidP="001E35DC">
      <w:pPr>
        <w:rPr>
          <w:rFonts w:ascii="Tahoma" w:hAnsi="Tahoma" w:cs="Tahoma"/>
          <w:b/>
          <w:bCs/>
          <w:sz w:val="20"/>
          <w:szCs w:val="20"/>
        </w:rPr>
      </w:pPr>
      <w:r w:rsidRPr="00EA331B">
        <w:rPr>
          <w:rFonts w:ascii="Tahoma" w:hAnsi="Tahoma" w:cs="Tahoma"/>
          <w:b/>
          <w:bCs/>
          <w:sz w:val="20"/>
          <w:szCs w:val="20"/>
        </w:rPr>
        <w:t>2.1.2 Mollusques et crustacés transformés, congelés et surgelés</w:t>
      </w:r>
    </w:p>
    <w:tbl>
      <w:tblPr>
        <w:tblW w:w="0" w:type="auto"/>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2160"/>
        <w:gridCol w:w="2660"/>
        <w:gridCol w:w="850"/>
        <w:gridCol w:w="3402"/>
      </w:tblGrid>
      <w:tr w:rsidR="003D69A8" w:rsidRPr="005E1EA7" w14:paraId="1EF56574" w14:textId="77777777" w:rsidTr="006365F0">
        <w:trPr>
          <w:cantSplit/>
        </w:trPr>
        <w:tc>
          <w:tcPr>
            <w:tcW w:w="2160" w:type="dxa"/>
          </w:tcPr>
          <w:p w14:paraId="64A96453" w14:textId="77777777" w:rsidR="003D69A8" w:rsidRPr="005E1EA7" w:rsidRDefault="003D69A8" w:rsidP="001E35DC">
            <w:pPr>
              <w:rPr>
                <w:rFonts w:ascii="Tahoma" w:hAnsi="Tahoma" w:cs="Tahoma"/>
                <w:sz w:val="20"/>
                <w:szCs w:val="20"/>
              </w:rPr>
            </w:pPr>
            <w:r w:rsidRPr="005E1EA7">
              <w:rPr>
                <w:rFonts w:ascii="Tahoma" w:hAnsi="Tahoma" w:cs="Tahoma"/>
                <w:sz w:val="20"/>
                <w:szCs w:val="20"/>
              </w:rPr>
              <w:t>Stabilisants</w:t>
            </w:r>
          </w:p>
        </w:tc>
        <w:tc>
          <w:tcPr>
            <w:tcW w:w="2660" w:type="dxa"/>
          </w:tcPr>
          <w:p w14:paraId="517AAB41" w14:textId="77777777" w:rsidR="003D69A8" w:rsidRPr="005E1EA7" w:rsidRDefault="003D69A8" w:rsidP="001E35DC">
            <w:pPr>
              <w:rPr>
                <w:rFonts w:ascii="Tahoma" w:hAnsi="Tahoma" w:cs="Tahoma"/>
                <w:sz w:val="20"/>
                <w:szCs w:val="20"/>
              </w:rPr>
            </w:pPr>
            <w:r w:rsidRPr="005E1EA7">
              <w:rPr>
                <w:rFonts w:ascii="Tahoma" w:hAnsi="Tahoma" w:cs="Tahoma"/>
                <w:sz w:val="20"/>
                <w:szCs w:val="20"/>
              </w:rPr>
              <w:t>acide phosphorique et phosphates</w:t>
            </w:r>
          </w:p>
        </w:tc>
        <w:tc>
          <w:tcPr>
            <w:tcW w:w="850" w:type="dxa"/>
          </w:tcPr>
          <w:p w14:paraId="6A08B40D" w14:textId="77777777" w:rsidR="003D69A8" w:rsidRPr="005E1EA7" w:rsidRDefault="003D69A8" w:rsidP="001E35DC">
            <w:pPr>
              <w:rPr>
                <w:rFonts w:ascii="Tahoma" w:hAnsi="Tahoma" w:cs="Tahoma"/>
                <w:sz w:val="20"/>
                <w:szCs w:val="20"/>
              </w:rPr>
            </w:pPr>
          </w:p>
        </w:tc>
        <w:tc>
          <w:tcPr>
            <w:tcW w:w="3402" w:type="dxa"/>
          </w:tcPr>
          <w:p w14:paraId="6AF055F3" w14:textId="77777777" w:rsidR="003D69A8" w:rsidRPr="005E1EA7" w:rsidRDefault="003D69A8" w:rsidP="001E35DC">
            <w:pPr>
              <w:rPr>
                <w:rFonts w:ascii="Tahoma" w:hAnsi="Tahoma" w:cs="Tahoma"/>
                <w:sz w:val="20"/>
                <w:szCs w:val="20"/>
              </w:rPr>
            </w:pPr>
            <w:r w:rsidRPr="005E1EA7">
              <w:rPr>
                <w:rFonts w:ascii="Tahoma" w:hAnsi="Tahoma" w:cs="Tahoma"/>
                <w:sz w:val="20"/>
                <w:szCs w:val="20"/>
              </w:rPr>
              <w:t xml:space="preserve">5 g/kg </w:t>
            </w:r>
          </w:p>
          <w:p w14:paraId="211E3574" w14:textId="77777777" w:rsidR="003D69A8" w:rsidRPr="005E1EA7" w:rsidRDefault="003D69A8" w:rsidP="001E35DC">
            <w:pPr>
              <w:rPr>
                <w:rFonts w:ascii="Tahoma" w:hAnsi="Tahoma" w:cs="Tahoma"/>
                <w:sz w:val="20"/>
                <w:szCs w:val="20"/>
              </w:rPr>
            </w:pPr>
            <w:r w:rsidRPr="005E1EA7">
              <w:rPr>
                <w:rFonts w:ascii="Tahoma" w:hAnsi="Tahoma" w:cs="Tahoma"/>
                <w:sz w:val="20"/>
                <w:szCs w:val="20"/>
              </w:rPr>
              <w:t>(exprimé en P2O5) seuls ou en mélange</w:t>
            </w:r>
          </w:p>
        </w:tc>
      </w:tr>
    </w:tbl>
    <w:p w14:paraId="4741E377" w14:textId="77777777" w:rsidR="003D69A8" w:rsidRPr="005E1EA7" w:rsidRDefault="003D69A8" w:rsidP="001E35DC">
      <w:pPr>
        <w:rPr>
          <w:rFonts w:ascii="Tahoma" w:hAnsi="Tahoma" w:cs="Tahoma"/>
          <w:i/>
          <w:iCs/>
          <w:sz w:val="20"/>
          <w:szCs w:val="20"/>
        </w:rPr>
      </w:pPr>
    </w:p>
    <w:p w14:paraId="45C01B48" w14:textId="77777777" w:rsidR="003D69A8" w:rsidRPr="00EA331B" w:rsidRDefault="003D69A8" w:rsidP="001E35DC">
      <w:pPr>
        <w:rPr>
          <w:rFonts w:ascii="Tahoma" w:hAnsi="Tahoma" w:cs="Tahoma"/>
          <w:b/>
          <w:bCs/>
          <w:sz w:val="20"/>
          <w:szCs w:val="20"/>
        </w:rPr>
      </w:pPr>
      <w:r w:rsidRPr="00EA331B">
        <w:rPr>
          <w:rFonts w:ascii="Tahoma" w:hAnsi="Tahoma" w:cs="Tahoma"/>
          <w:b/>
          <w:bCs/>
          <w:sz w:val="20"/>
          <w:szCs w:val="20"/>
        </w:rPr>
        <w:t>2.2 Produits à base de chair hachée ou de protéines texturées</w:t>
      </w:r>
    </w:p>
    <w:tbl>
      <w:tblPr>
        <w:tblW w:w="0" w:type="auto"/>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2160"/>
        <w:gridCol w:w="2660"/>
        <w:gridCol w:w="850"/>
        <w:gridCol w:w="3402"/>
      </w:tblGrid>
      <w:tr w:rsidR="003D69A8" w:rsidRPr="005E1EA7" w14:paraId="6A68E5C3" w14:textId="77777777" w:rsidTr="006365F0">
        <w:trPr>
          <w:cantSplit/>
        </w:trPr>
        <w:tc>
          <w:tcPr>
            <w:tcW w:w="2160" w:type="dxa"/>
          </w:tcPr>
          <w:p w14:paraId="75E364D5" w14:textId="77777777" w:rsidR="003D69A8" w:rsidRPr="005E1EA7" w:rsidRDefault="003D69A8" w:rsidP="001E35DC">
            <w:pPr>
              <w:rPr>
                <w:rFonts w:ascii="Tahoma" w:hAnsi="Tahoma" w:cs="Tahoma"/>
                <w:sz w:val="20"/>
                <w:szCs w:val="20"/>
              </w:rPr>
            </w:pPr>
            <w:r w:rsidRPr="005E1EA7">
              <w:rPr>
                <w:rFonts w:ascii="Tahoma" w:hAnsi="Tahoma" w:cs="Tahoma"/>
                <w:sz w:val="20"/>
                <w:szCs w:val="20"/>
              </w:rPr>
              <w:t>Colorants</w:t>
            </w:r>
          </w:p>
          <w:p w14:paraId="2FA02AC1" w14:textId="77777777" w:rsidR="003D69A8" w:rsidRPr="005E1EA7" w:rsidRDefault="003D69A8" w:rsidP="001E35DC">
            <w:pPr>
              <w:rPr>
                <w:rFonts w:ascii="Tahoma" w:hAnsi="Tahoma" w:cs="Tahoma"/>
                <w:sz w:val="20"/>
                <w:szCs w:val="20"/>
              </w:rPr>
            </w:pPr>
          </w:p>
        </w:tc>
        <w:tc>
          <w:tcPr>
            <w:tcW w:w="2660" w:type="dxa"/>
          </w:tcPr>
          <w:p w14:paraId="2E94ECD4" w14:textId="77777777" w:rsidR="003D69A8" w:rsidRPr="005E1EA7" w:rsidRDefault="003D69A8" w:rsidP="001E35DC">
            <w:pPr>
              <w:rPr>
                <w:rFonts w:ascii="Tahoma" w:hAnsi="Tahoma" w:cs="Tahoma"/>
                <w:sz w:val="20"/>
                <w:szCs w:val="20"/>
              </w:rPr>
            </w:pPr>
            <w:r w:rsidRPr="005E1EA7">
              <w:rPr>
                <w:rFonts w:ascii="Tahoma" w:hAnsi="Tahoma" w:cs="Tahoma"/>
                <w:sz w:val="20"/>
                <w:szCs w:val="20"/>
              </w:rPr>
              <w:t>Tous les colorants cités aux annexes du règlement européen 1333/2008</w:t>
            </w:r>
          </w:p>
        </w:tc>
        <w:tc>
          <w:tcPr>
            <w:tcW w:w="850" w:type="dxa"/>
          </w:tcPr>
          <w:p w14:paraId="224E5C21" w14:textId="77777777" w:rsidR="003D69A8" w:rsidRPr="005E1EA7" w:rsidRDefault="003D69A8" w:rsidP="001E35DC">
            <w:pPr>
              <w:rPr>
                <w:rFonts w:ascii="Tahoma" w:hAnsi="Tahoma" w:cs="Tahoma"/>
                <w:sz w:val="20"/>
                <w:szCs w:val="20"/>
              </w:rPr>
            </w:pPr>
          </w:p>
          <w:p w14:paraId="33313308" w14:textId="77777777" w:rsidR="003D69A8" w:rsidRPr="005E1EA7" w:rsidRDefault="003D69A8" w:rsidP="001E35DC">
            <w:pPr>
              <w:rPr>
                <w:rFonts w:ascii="Tahoma" w:hAnsi="Tahoma" w:cs="Tahoma"/>
                <w:sz w:val="20"/>
                <w:szCs w:val="20"/>
              </w:rPr>
            </w:pPr>
          </w:p>
        </w:tc>
        <w:tc>
          <w:tcPr>
            <w:tcW w:w="3402" w:type="dxa"/>
          </w:tcPr>
          <w:p w14:paraId="017F99F8" w14:textId="77777777" w:rsidR="003D69A8" w:rsidRPr="005E1EA7" w:rsidRDefault="003D69A8" w:rsidP="001E35DC">
            <w:pPr>
              <w:rPr>
                <w:rFonts w:ascii="Tahoma" w:hAnsi="Tahoma" w:cs="Tahoma"/>
                <w:i/>
                <w:iCs/>
                <w:sz w:val="20"/>
                <w:szCs w:val="20"/>
              </w:rPr>
            </w:pPr>
            <w:proofErr w:type="gramStart"/>
            <w:r w:rsidRPr="005E1EA7">
              <w:rPr>
                <w:rFonts w:ascii="Tahoma" w:hAnsi="Tahoma" w:cs="Tahoma"/>
                <w:i/>
                <w:iCs/>
                <w:sz w:val="20"/>
                <w:szCs w:val="20"/>
              </w:rPr>
              <w:t>quantum</w:t>
            </w:r>
            <w:proofErr w:type="gramEnd"/>
            <w:r w:rsidRPr="005E1EA7">
              <w:rPr>
                <w:rFonts w:ascii="Tahoma" w:hAnsi="Tahoma" w:cs="Tahoma"/>
                <w:i/>
                <w:iCs/>
                <w:sz w:val="20"/>
                <w:szCs w:val="20"/>
              </w:rPr>
              <w:t xml:space="preserve"> satis</w:t>
            </w:r>
          </w:p>
          <w:p w14:paraId="17426D54" w14:textId="77777777" w:rsidR="003D69A8" w:rsidRPr="005E1EA7" w:rsidRDefault="003D69A8" w:rsidP="001E35DC">
            <w:pPr>
              <w:rPr>
                <w:rFonts w:ascii="Tahoma" w:hAnsi="Tahoma" w:cs="Tahoma"/>
                <w:sz w:val="20"/>
                <w:szCs w:val="20"/>
              </w:rPr>
            </w:pPr>
          </w:p>
        </w:tc>
      </w:tr>
    </w:tbl>
    <w:p w14:paraId="4C90BD9A" w14:textId="77777777" w:rsidR="00EA331B" w:rsidRDefault="00EA331B" w:rsidP="001E35DC">
      <w:pPr>
        <w:rPr>
          <w:rFonts w:ascii="Tahoma" w:hAnsi="Tahoma" w:cs="Tahoma"/>
          <w:b/>
          <w:bCs/>
          <w:sz w:val="20"/>
          <w:szCs w:val="20"/>
        </w:rPr>
      </w:pPr>
    </w:p>
    <w:p w14:paraId="554362A9" w14:textId="6CA68D89" w:rsidR="003D69A8" w:rsidRPr="00EA331B" w:rsidRDefault="003D69A8" w:rsidP="001E35DC">
      <w:pPr>
        <w:rPr>
          <w:rFonts w:ascii="Tahoma" w:hAnsi="Tahoma" w:cs="Tahoma"/>
          <w:b/>
          <w:bCs/>
          <w:sz w:val="20"/>
          <w:szCs w:val="20"/>
        </w:rPr>
      </w:pPr>
      <w:r w:rsidRPr="00EA331B">
        <w:rPr>
          <w:rFonts w:ascii="Tahoma" w:hAnsi="Tahoma" w:cs="Tahoma"/>
          <w:b/>
          <w:bCs/>
          <w:sz w:val="20"/>
          <w:szCs w:val="20"/>
        </w:rPr>
        <w:t xml:space="preserve">2.2.1 Pâtes ou pâtés de poissons et crustacés (exemples pulpes, charcuteries de </w:t>
      </w:r>
      <w:proofErr w:type="gramStart"/>
      <w:r w:rsidRPr="00EA331B">
        <w:rPr>
          <w:rFonts w:ascii="Tahoma" w:hAnsi="Tahoma" w:cs="Tahoma"/>
          <w:b/>
          <w:bCs/>
          <w:sz w:val="20"/>
          <w:szCs w:val="20"/>
        </w:rPr>
        <w:t>poisson:</w:t>
      </w:r>
      <w:proofErr w:type="gramEnd"/>
      <w:r w:rsidRPr="00EA331B">
        <w:rPr>
          <w:rFonts w:ascii="Tahoma" w:hAnsi="Tahoma" w:cs="Tahoma"/>
          <w:b/>
          <w:bCs/>
          <w:sz w:val="20"/>
          <w:szCs w:val="20"/>
        </w:rPr>
        <w:t xml:space="preserve"> terrines, rillettes, beurre de crustacés...)</w:t>
      </w:r>
    </w:p>
    <w:tbl>
      <w:tblPr>
        <w:tblW w:w="0" w:type="auto"/>
        <w:tblInd w:w="7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160"/>
        <w:gridCol w:w="2660"/>
        <w:gridCol w:w="850"/>
        <w:gridCol w:w="3402"/>
      </w:tblGrid>
      <w:tr w:rsidR="003D69A8" w:rsidRPr="005E1EA7" w14:paraId="0AB39C77" w14:textId="77777777" w:rsidTr="006365F0">
        <w:trPr>
          <w:cantSplit/>
        </w:trPr>
        <w:tc>
          <w:tcPr>
            <w:tcW w:w="2160" w:type="dxa"/>
            <w:tcBorders>
              <w:top w:val="single" w:sz="4" w:space="0" w:color="auto"/>
              <w:left w:val="single" w:sz="4" w:space="0" w:color="auto"/>
              <w:bottom w:val="single" w:sz="4" w:space="0" w:color="auto"/>
              <w:right w:val="single" w:sz="4" w:space="0" w:color="auto"/>
            </w:tcBorders>
          </w:tcPr>
          <w:p w14:paraId="152CD672" w14:textId="77777777" w:rsidR="003D69A8" w:rsidRPr="005E1EA7" w:rsidRDefault="003D69A8" w:rsidP="001E35DC">
            <w:pPr>
              <w:rPr>
                <w:rFonts w:ascii="Tahoma" w:hAnsi="Tahoma" w:cs="Tahoma"/>
                <w:sz w:val="20"/>
                <w:szCs w:val="20"/>
              </w:rPr>
            </w:pPr>
            <w:r w:rsidRPr="005E1EA7">
              <w:rPr>
                <w:rFonts w:ascii="Tahoma" w:hAnsi="Tahoma" w:cs="Tahoma"/>
                <w:sz w:val="20"/>
                <w:szCs w:val="20"/>
              </w:rPr>
              <w:t>Colorants</w:t>
            </w:r>
          </w:p>
          <w:p w14:paraId="742BA036" w14:textId="77777777" w:rsidR="003D69A8" w:rsidRPr="005E1EA7" w:rsidRDefault="003D69A8" w:rsidP="001E35DC">
            <w:pPr>
              <w:rPr>
                <w:rFonts w:ascii="Tahoma" w:hAnsi="Tahoma" w:cs="Tahoma"/>
                <w:sz w:val="20"/>
                <w:szCs w:val="20"/>
              </w:rPr>
            </w:pPr>
          </w:p>
        </w:tc>
        <w:tc>
          <w:tcPr>
            <w:tcW w:w="2660" w:type="dxa"/>
            <w:tcBorders>
              <w:top w:val="single" w:sz="4" w:space="0" w:color="auto"/>
              <w:left w:val="single" w:sz="4" w:space="0" w:color="auto"/>
              <w:bottom w:val="single" w:sz="4" w:space="0" w:color="auto"/>
              <w:right w:val="single" w:sz="4" w:space="0" w:color="auto"/>
            </w:tcBorders>
          </w:tcPr>
          <w:p w14:paraId="48AE3ECA" w14:textId="77777777" w:rsidR="003D69A8" w:rsidRPr="005E1EA7" w:rsidRDefault="003D69A8" w:rsidP="001E35DC">
            <w:pPr>
              <w:rPr>
                <w:rFonts w:ascii="Tahoma" w:hAnsi="Tahoma" w:cs="Tahoma"/>
                <w:sz w:val="20"/>
                <w:szCs w:val="20"/>
              </w:rPr>
            </w:pPr>
            <w:r w:rsidRPr="005E1EA7">
              <w:rPr>
                <w:rFonts w:ascii="Tahoma" w:hAnsi="Tahoma" w:cs="Tahoma"/>
                <w:sz w:val="20"/>
                <w:szCs w:val="20"/>
              </w:rPr>
              <w:t>Tous les colorants cités aux annexes du règlement européen 1333/2008</w:t>
            </w:r>
          </w:p>
        </w:tc>
        <w:tc>
          <w:tcPr>
            <w:tcW w:w="850" w:type="dxa"/>
            <w:tcBorders>
              <w:top w:val="single" w:sz="4" w:space="0" w:color="auto"/>
              <w:left w:val="single" w:sz="4" w:space="0" w:color="auto"/>
              <w:bottom w:val="single" w:sz="4" w:space="0" w:color="auto"/>
              <w:right w:val="single" w:sz="4" w:space="0" w:color="auto"/>
            </w:tcBorders>
          </w:tcPr>
          <w:p w14:paraId="5FAB98EF" w14:textId="77777777" w:rsidR="003D69A8" w:rsidRPr="005E1EA7" w:rsidRDefault="003D69A8" w:rsidP="001E35DC">
            <w:pPr>
              <w:rPr>
                <w:rFonts w:ascii="Tahoma" w:hAnsi="Tahoma" w:cs="Tahoma"/>
                <w:sz w:val="20"/>
                <w:szCs w:val="20"/>
              </w:rPr>
            </w:pPr>
          </w:p>
          <w:p w14:paraId="5516E296" w14:textId="77777777" w:rsidR="003D69A8" w:rsidRPr="005E1EA7" w:rsidRDefault="003D69A8" w:rsidP="001E35DC">
            <w:pPr>
              <w:rPr>
                <w:rFonts w:ascii="Tahoma" w:hAnsi="Tahoma" w:cs="Tahoma"/>
                <w:sz w:val="20"/>
                <w:szCs w:val="20"/>
              </w:rPr>
            </w:pPr>
          </w:p>
        </w:tc>
        <w:tc>
          <w:tcPr>
            <w:tcW w:w="3402" w:type="dxa"/>
            <w:tcBorders>
              <w:top w:val="single" w:sz="4" w:space="0" w:color="auto"/>
              <w:left w:val="single" w:sz="4" w:space="0" w:color="auto"/>
              <w:bottom w:val="single" w:sz="4" w:space="0" w:color="auto"/>
              <w:right w:val="single" w:sz="4" w:space="0" w:color="auto"/>
            </w:tcBorders>
          </w:tcPr>
          <w:p w14:paraId="69FF858F" w14:textId="77777777" w:rsidR="003D69A8" w:rsidRPr="005E1EA7" w:rsidRDefault="003D69A8" w:rsidP="001E35DC">
            <w:pPr>
              <w:rPr>
                <w:rFonts w:ascii="Tahoma" w:hAnsi="Tahoma" w:cs="Tahoma"/>
                <w:sz w:val="20"/>
                <w:szCs w:val="20"/>
              </w:rPr>
            </w:pPr>
            <w:r w:rsidRPr="005E1EA7">
              <w:rPr>
                <w:rFonts w:ascii="Tahoma" w:hAnsi="Tahoma" w:cs="Tahoma"/>
                <w:sz w:val="20"/>
                <w:szCs w:val="20"/>
              </w:rPr>
              <w:t>100 mg/kg, seuls ou en combinaison</w:t>
            </w:r>
          </w:p>
        </w:tc>
      </w:tr>
      <w:tr w:rsidR="003D69A8" w:rsidRPr="005E1EA7" w14:paraId="0B6BDB8B" w14:textId="77777777" w:rsidTr="006365F0">
        <w:trPr>
          <w:cantSplit/>
        </w:trPr>
        <w:tc>
          <w:tcPr>
            <w:tcW w:w="2160" w:type="dxa"/>
            <w:tcBorders>
              <w:top w:val="single" w:sz="4" w:space="0" w:color="auto"/>
              <w:left w:val="single" w:sz="4" w:space="0" w:color="auto"/>
              <w:bottom w:val="single" w:sz="4" w:space="0" w:color="auto"/>
              <w:right w:val="single" w:sz="4" w:space="0" w:color="auto"/>
            </w:tcBorders>
          </w:tcPr>
          <w:p w14:paraId="278628B8" w14:textId="77777777" w:rsidR="003D69A8" w:rsidRPr="005E1EA7" w:rsidRDefault="003D69A8" w:rsidP="001E35DC">
            <w:pPr>
              <w:rPr>
                <w:rFonts w:ascii="Tahoma" w:hAnsi="Tahoma" w:cs="Tahoma"/>
                <w:sz w:val="20"/>
                <w:szCs w:val="20"/>
              </w:rPr>
            </w:pPr>
            <w:r w:rsidRPr="005E1EA7">
              <w:rPr>
                <w:rFonts w:ascii="Tahoma" w:hAnsi="Tahoma" w:cs="Tahoma"/>
                <w:sz w:val="20"/>
                <w:szCs w:val="20"/>
              </w:rPr>
              <w:t>Stabilisants</w:t>
            </w:r>
          </w:p>
        </w:tc>
        <w:tc>
          <w:tcPr>
            <w:tcW w:w="2660" w:type="dxa"/>
            <w:tcBorders>
              <w:top w:val="single" w:sz="4" w:space="0" w:color="auto"/>
              <w:left w:val="single" w:sz="4" w:space="0" w:color="auto"/>
              <w:bottom w:val="single" w:sz="4" w:space="0" w:color="auto"/>
              <w:right w:val="single" w:sz="4" w:space="0" w:color="auto"/>
            </w:tcBorders>
          </w:tcPr>
          <w:p w14:paraId="60D4EA1E" w14:textId="77777777" w:rsidR="003D69A8" w:rsidRPr="005E1EA7" w:rsidRDefault="003D69A8" w:rsidP="001E35DC">
            <w:pPr>
              <w:rPr>
                <w:rFonts w:ascii="Tahoma" w:hAnsi="Tahoma" w:cs="Tahoma"/>
                <w:sz w:val="20"/>
                <w:szCs w:val="20"/>
              </w:rPr>
            </w:pPr>
            <w:r w:rsidRPr="005E1EA7">
              <w:rPr>
                <w:rFonts w:ascii="Tahoma" w:hAnsi="Tahoma" w:cs="Tahoma"/>
                <w:sz w:val="20"/>
                <w:szCs w:val="20"/>
              </w:rPr>
              <w:t>acide phosphorique et phosphates</w:t>
            </w:r>
          </w:p>
        </w:tc>
        <w:tc>
          <w:tcPr>
            <w:tcW w:w="850" w:type="dxa"/>
            <w:tcBorders>
              <w:top w:val="single" w:sz="4" w:space="0" w:color="auto"/>
              <w:left w:val="single" w:sz="4" w:space="0" w:color="auto"/>
              <w:bottom w:val="single" w:sz="4" w:space="0" w:color="auto"/>
              <w:right w:val="single" w:sz="4" w:space="0" w:color="auto"/>
            </w:tcBorders>
          </w:tcPr>
          <w:p w14:paraId="6326617B" w14:textId="77777777" w:rsidR="003D69A8" w:rsidRPr="005E1EA7" w:rsidRDefault="003D69A8" w:rsidP="001E35DC">
            <w:pPr>
              <w:rPr>
                <w:rFonts w:ascii="Tahoma" w:hAnsi="Tahoma" w:cs="Tahoma"/>
                <w:sz w:val="20"/>
                <w:szCs w:val="20"/>
              </w:rPr>
            </w:pPr>
          </w:p>
        </w:tc>
        <w:tc>
          <w:tcPr>
            <w:tcW w:w="3402" w:type="dxa"/>
            <w:tcBorders>
              <w:top w:val="single" w:sz="4" w:space="0" w:color="auto"/>
              <w:left w:val="single" w:sz="4" w:space="0" w:color="auto"/>
              <w:bottom w:val="single" w:sz="4" w:space="0" w:color="auto"/>
              <w:right w:val="single" w:sz="4" w:space="0" w:color="auto"/>
            </w:tcBorders>
          </w:tcPr>
          <w:p w14:paraId="52768AB1" w14:textId="77777777" w:rsidR="003D69A8" w:rsidRPr="005E1EA7" w:rsidRDefault="003D69A8" w:rsidP="001E35DC">
            <w:pPr>
              <w:rPr>
                <w:rFonts w:ascii="Tahoma" w:hAnsi="Tahoma" w:cs="Tahoma"/>
                <w:sz w:val="20"/>
                <w:szCs w:val="20"/>
              </w:rPr>
            </w:pPr>
            <w:r w:rsidRPr="005E1EA7">
              <w:rPr>
                <w:rFonts w:ascii="Tahoma" w:hAnsi="Tahoma" w:cs="Tahoma"/>
                <w:sz w:val="20"/>
                <w:szCs w:val="20"/>
              </w:rPr>
              <w:t xml:space="preserve">5 g/kg </w:t>
            </w:r>
          </w:p>
          <w:p w14:paraId="28B38E6E" w14:textId="77777777" w:rsidR="003D69A8" w:rsidRPr="005E1EA7" w:rsidRDefault="003D69A8" w:rsidP="001E35DC">
            <w:pPr>
              <w:rPr>
                <w:rFonts w:ascii="Tahoma" w:hAnsi="Tahoma" w:cs="Tahoma"/>
                <w:sz w:val="20"/>
                <w:szCs w:val="20"/>
              </w:rPr>
            </w:pPr>
            <w:r w:rsidRPr="005E1EA7">
              <w:rPr>
                <w:rFonts w:ascii="Tahoma" w:hAnsi="Tahoma" w:cs="Tahoma"/>
                <w:sz w:val="20"/>
                <w:szCs w:val="20"/>
              </w:rPr>
              <w:t>(exprimé en P2O5) seuls ou en mélange</w:t>
            </w:r>
          </w:p>
        </w:tc>
      </w:tr>
    </w:tbl>
    <w:p w14:paraId="465A484C" w14:textId="77777777" w:rsidR="00EA331B" w:rsidRDefault="00EA331B" w:rsidP="001E35DC">
      <w:pPr>
        <w:rPr>
          <w:rFonts w:ascii="Tahoma" w:hAnsi="Tahoma" w:cs="Tahoma"/>
          <w:b/>
          <w:bCs/>
          <w:sz w:val="20"/>
          <w:szCs w:val="20"/>
        </w:rPr>
      </w:pPr>
    </w:p>
    <w:p w14:paraId="43D22535" w14:textId="67C687F2" w:rsidR="003D69A8" w:rsidRPr="00EA331B" w:rsidRDefault="003D69A8" w:rsidP="001E35DC">
      <w:pPr>
        <w:rPr>
          <w:rFonts w:ascii="Tahoma" w:hAnsi="Tahoma" w:cs="Tahoma"/>
          <w:b/>
          <w:bCs/>
          <w:sz w:val="20"/>
          <w:szCs w:val="20"/>
        </w:rPr>
      </w:pPr>
      <w:r w:rsidRPr="00EA331B">
        <w:rPr>
          <w:rFonts w:ascii="Tahoma" w:hAnsi="Tahoma" w:cs="Tahoma"/>
          <w:b/>
          <w:bCs/>
          <w:sz w:val="20"/>
          <w:szCs w:val="20"/>
        </w:rPr>
        <w:t>2.2.2 Surimi</w:t>
      </w:r>
    </w:p>
    <w:tbl>
      <w:tblPr>
        <w:tblW w:w="0" w:type="auto"/>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560"/>
        <w:gridCol w:w="3260"/>
        <w:gridCol w:w="850"/>
        <w:gridCol w:w="3402"/>
      </w:tblGrid>
      <w:tr w:rsidR="003D69A8" w:rsidRPr="005E1EA7" w14:paraId="3611841D" w14:textId="77777777" w:rsidTr="006365F0">
        <w:trPr>
          <w:cantSplit/>
        </w:trPr>
        <w:tc>
          <w:tcPr>
            <w:tcW w:w="1560" w:type="dxa"/>
          </w:tcPr>
          <w:p w14:paraId="6FEA478E" w14:textId="77777777" w:rsidR="003D69A8" w:rsidRPr="005E1EA7" w:rsidRDefault="003D69A8" w:rsidP="001E35DC">
            <w:pPr>
              <w:rPr>
                <w:rFonts w:ascii="Tahoma" w:hAnsi="Tahoma" w:cs="Tahoma"/>
                <w:sz w:val="20"/>
                <w:szCs w:val="20"/>
              </w:rPr>
            </w:pPr>
            <w:r w:rsidRPr="005E1EA7">
              <w:rPr>
                <w:rFonts w:ascii="Tahoma" w:hAnsi="Tahoma" w:cs="Tahoma"/>
                <w:sz w:val="20"/>
                <w:szCs w:val="20"/>
              </w:rPr>
              <w:t>Colorants</w:t>
            </w:r>
          </w:p>
          <w:p w14:paraId="09C8029B" w14:textId="77777777" w:rsidR="003D69A8" w:rsidRPr="005E1EA7" w:rsidRDefault="003D69A8" w:rsidP="001E35DC">
            <w:pPr>
              <w:rPr>
                <w:rFonts w:ascii="Tahoma" w:hAnsi="Tahoma" w:cs="Tahoma"/>
                <w:sz w:val="20"/>
                <w:szCs w:val="20"/>
              </w:rPr>
            </w:pPr>
          </w:p>
        </w:tc>
        <w:tc>
          <w:tcPr>
            <w:tcW w:w="3260" w:type="dxa"/>
          </w:tcPr>
          <w:p w14:paraId="5918BD10" w14:textId="77777777" w:rsidR="003D69A8" w:rsidRPr="005E1EA7" w:rsidRDefault="003D69A8" w:rsidP="001E35DC">
            <w:pPr>
              <w:rPr>
                <w:rFonts w:ascii="Tahoma" w:hAnsi="Tahoma" w:cs="Tahoma"/>
                <w:sz w:val="20"/>
                <w:szCs w:val="20"/>
              </w:rPr>
            </w:pPr>
            <w:r w:rsidRPr="005E1EA7">
              <w:rPr>
                <w:rFonts w:ascii="Tahoma" w:hAnsi="Tahoma" w:cs="Tahoma"/>
                <w:sz w:val="20"/>
                <w:szCs w:val="20"/>
              </w:rPr>
              <w:t>Tous les colorants cités aux annexes du règlement européen 1333/2008</w:t>
            </w:r>
          </w:p>
        </w:tc>
        <w:tc>
          <w:tcPr>
            <w:tcW w:w="850" w:type="dxa"/>
          </w:tcPr>
          <w:p w14:paraId="2519F6F7" w14:textId="77777777" w:rsidR="003D69A8" w:rsidRPr="005E1EA7" w:rsidRDefault="003D69A8" w:rsidP="001E35DC">
            <w:pPr>
              <w:rPr>
                <w:rFonts w:ascii="Tahoma" w:hAnsi="Tahoma" w:cs="Tahoma"/>
                <w:sz w:val="20"/>
                <w:szCs w:val="20"/>
              </w:rPr>
            </w:pPr>
          </w:p>
        </w:tc>
        <w:tc>
          <w:tcPr>
            <w:tcW w:w="3402" w:type="dxa"/>
          </w:tcPr>
          <w:p w14:paraId="702427A3" w14:textId="77777777" w:rsidR="003D69A8" w:rsidRPr="005E1EA7" w:rsidRDefault="003D69A8" w:rsidP="001E35DC">
            <w:pPr>
              <w:rPr>
                <w:rFonts w:ascii="Tahoma" w:hAnsi="Tahoma" w:cs="Tahoma"/>
                <w:sz w:val="20"/>
                <w:szCs w:val="20"/>
              </w:rPr>
            </w:pPr>
            <w:r w:rsidRPr="005E1EA7">
              <w:rPr>
                <w:rFonts w:ascii="Tahoma" w:hAnsi="Tahoma" w:cs="Tahoma"/>
                <w:sz w:val="20"/>
                <w:szCs w:val="20"/>
              </w:rPr>
              <w:t>500 mg/kg, seuls ou en combinaison</w:t>
            </w:r>
          </w:p>
        </w:tc>
      </w:tr>
      <w:tr w:rsidR="003D69A8" w:rsidRPr="005E1EA7" w14:paraId="680170D6" w14:textId="77777777" w:rsidTr="006365F0">
        <w:trPr>
          <w:cantSplit/>
        </w:trPr>
        <w:tc>
          <w:tcPr>
            <w:tcW w:w="1560" w:type="dxa"/>
          </w:tcPr>
          <w:p w14:paraId="59061597" w14:textId="77777777" w:rsidR="003D69A8" w:rsidRPr="005E1EA7" w:rsidRDefault="003D69A8" w:rsidP="001E35DC">
            <w:pPr>
              <w:rPr>
                <w:rFonts w:ascii="Tahoma" w:hAnsi="Tahoma" w:cs="Tahoma"/>
                <w:sz w:val="20"/>
                <w:szCs w:val="20"/>
              </w:rPr>
            </w:pPr>
            <w:r w:rsidRPr="005E1EA7">
              <w:rPr>
                <w:rFonts w:ascii="Tahoma" w:hAnsi="Tahoma" w:cs="Tahoma"/>
                <w:sz w:val="20"/>
                <w:szCs w:val="20"/>
              </w:rPr>
              <w:t>Stabilisants</w:t>
            </w:r>
          </w:p>
        </w:tc>
        <w:tc>
          <w:tcPr>
            <w:tcW w:w="3260" w:type="dxa"/>
          </w:tcPr>
          <w:p w14:paraId="59771F84" w14:textId="77777777" w:rsidR="003D69A8" w:rsidRPr="005E1EA7" w:rsidRDefault="003D69A8" w:rsidP="001E35DC">
            <w:pPr>
              <w:rPr>
                <w:rFonts w:ascii="Tahoma" w:hAnsi="Tahoma" w:cs="Tahoma"/>
                <w:sz w:val="20"/>
                <w:szCs w:val="20"/>
              </w:rPr>
            </w:pPr>
            <w:r w:rsidRPr="005E1EA7">
              <w:rPr>
                <w:rFonts w:ascii="Tahoma" w:hAnsi="Tahoma" w:cs="Tahoma"/>
                <w:sz w:val="20"/>
                <w:szCs w:val="20"/>
              </w:rPr>
              <w:t>acide phosphorique et phosphates</w:t>
            </w:r>
          </w:p>
        </w:tc>
        <w:tc>
          <w:tcPr>
            <w:tcW w:w="850" w:type="dxa"/>
          </w:tcPr>
          <w:p w14:paraId="4A00E6BD" w14:textId="77777777" w:rsidR="003D69A8" w:rsidRPr="005E1EA7" w:rsidRDefault="003D69A8" w:rsidP="001E35DC">
            <w:pPr>
              <w:rPr>
                <w:rFonts w:ascii="Tahoma" w:hAnsi="Tahoma" w:cs="Tahoma"/>
                <w:sz w:val="20"/>
                <w:szCs w:val="20"/>
              </w:rPr>
            </w:pPr>
          </w:p>
        </w:tc>
        <w:tc>
          <w:tcPr>
            <w:tcW w:w="3402" w:type="dxa"/>
          </w:tcPr>
          <w:p w14:paraId="1FA0CE0F" w14:textId="77777777" w:rsidR="003D69A8" w:rsidRPr="005E1EA7" w:rsidRDefault="003D69A8" w:rsidP="001E35DC">
            <w:pPr>
              <w:rPr>
                <w:rFonts w:ascii="Tahoma" w:hAnsi="Tahoma" w:cs="Tahoma"/>
                <w:sz w:val="20"/>
                <w:szCs w:val="20"/>
              </w:rPr>
            </w:pPr>
            <w:r w:rsidRPr="005E1EA7">
              <w:rPr>
                <w:rFonts w:ascii="Tahoma" w:hAnsi="Tahoma" w:cs="Tahoma"/>
                <w:sz w:val="20"/>
                <w:szCs w:val="20"/>
              </w:rPr>
              <w:t xml:space="preserve">1 g/kg </w:t>
            </w:r>
          </w:p>
          <w:p w14:paraId="770DD06A" w14:textId="77777777" w:rsidR="003D69A8" w:rsidRPr="005E1EA7" w:rsidRDefault="003D69A8" w:rsidP="001E35DC">
            <w:pPr>
              <w:rPr>
                <w:rFonts w:ascii="Tahoma" w:hAnsi="Tahoma" w:cs="Tahoma"/>
                <w:sz w:val="20"/>
                <w:szCs w:val="20"/>
              </w:rPr>
            </w:pPr>
            <w:r w:rsidRPr="005E1EA7">
              <w:rPr>
                <w:rFonts w:ascii="Tahoma" w:hAnsi="Tahoma" w:cs="Tahoma"/>
                <w:sz w:val="20"/>
                <w:szCs w:val="20"/>
              </w:rPr>
              <w:t>(exprimé en P2O5) seuls ou en mélange</w:t>
            </w:r>
          </w:p>
        </w:tc>
      </w:tr>
    </w:tbl>
    <w:p w14:paraId="1A52A506" w14:textId="77777777" w:rsidR="003D69A8" w:rsidRPr="005E1EA7" w:rsidRDefault="003D69A8" w:rsidP="001E35DC">
      <w:pPr>
        <w:rPr>
          <w:rFonts w:ascii="Tahoma" w:hAnsi="Tahoma" w:cs="Tahoma"/>
          <w:sz w:val="20"/>
          <w:szCs w:val="20"/>
        </w:rPr>
      </w:pPr>
    </w:p>
    <w:p w14:paraId="6F91A481" w14:textId="77777777" w:rsidR="003D69A8" w:rsidRPr="00EA331B" w:rsidRDefault="003D69A8" w:rsidP="001E35DC">
      <w:pPr>
        <w:rPr>
          <w:rFonts w:ascii="Tahoma" w:hAnsi="Tahoma" w:cs="Tahoma"/>
          <w:b/>
          <w:bCs/>
          <w:sz w:val="20"/>
          <w:szCs w:val="20"/>
        </w:rPr>
      </w:pPr>
      <w:r w:rsidRPr="00EA331B">
        <w:rPr>
          <w:rFonts w:ascii="Tahoma" w:hAnsi="Tahoma" w:cs="Tahoma"/>
          <w:b/>
          <w:bCs/>
          <w:sz w:val="20"/>
          <w:szCs w:val="20"/>
        </w:rPr>
        <w:t>2.2.3 Succédanés de poisson, de crustacés et céphalopodes et de fromage à base de protéines</w:t>
      </w:r>
    </w:p>
    <w:tbl>
      <w:tblPr>
        <w:tblW w:w="0" w:type="auto"/>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560"/>
        <w:gridCol w:w="2976"/>
        <w:gridCol w:w="824"/>
        <w:gridCol w:w="3713"/>
      </w:tblGrid>
      <w:tr w:rsidR="003D69A8" w:rsidRPr="005E1EA7" w14:paraId="423F287C" w14:textId="77777777" w:rsidTr="006365F0">
        <w:trPr>
          <w:cantSplit/>
        </w:trPr>
        <w:tc>
          <w:tcPr>
            <w:tcW w:w="1560" w:type="dxa"/>
          </w:tcPr>
          <w:p w14:paraId="4160D416" w14:textId="77777777" w:rsidR="003D69A8" w:rsidRPr="005E1EA7" w:rsidRDefault="003D69A8" w:rsidP="001E35DC">
            <w:pPr>
              <w:rPr>
                <w:rFonts w:ascii="Tahoma" w:hAnsi="Tahoma" w:cs="Tahoma"/>
                <w:sz w:val="20"/>
                <w:szCs w:val="20"/>
              </w:rPr>
            </w:pPr>
            <w:r w:rsidRPr="005E1EA7">
              <w:rPr>
                <w:rFonts w:ascii="Tahoma" w:hAnsi="Tahoma" w:cs="Tahoma"/>
                <w:sz w:val="20"/>
                <w:szCs w:val="20"/>
              </w:rPr>
              <w:t>Conservateurs</w:t>
            </w:r>
          </w:p>
        </w:tc>
        <w:tc>
          <w:tcPr>
            <w:tcW w:w="2976" w:type="dxa"/>
          </w:tcPr>
          <w:p w14:paraId="3AB52722" w14:textId="77777777" w:rsidR="003D69A8" w:rsidRPr="005E1EA7" w:rsidRDefault="003D69A8" w:rsidP="001E35DC">
            <w:pPr>
              <w:rPr>
                <w:rFonts w:ascii="Tahoma" w:hAnsi="Tahoma" w:cs="Tahoma"/>
                <w:sz w:val="20"/>
                <w:szCs w:val="20"/>
              </w:rPr>
            </w:pPr>
            <w:proofErr w:type="gramStart"/>
            <w:r w:rsidRPr="005E1EA7">
              <w:rPr>
                <w:rFonts w:ascii="Tahoma" w:hAnsi="Tahoma" w:cs="Tahoma"/>
                <w:sz w:val="20"/>
                <w:szCs w:val="20"/>
              </w:rPr>
              <w:t>acide</w:t>
            </w:r>
            <w:proofErr w:type="gramEnd"/>
            <w:r w:rsidRPr="005E1EA7">
              <w:rPr>
                <w:rFonts w:ascii="Tahoma" w:hAnsi="Tahoma" w:cs="Tahoma"/>
                <w:sz w:val="20"/>
                <w:szCs w:val="20"/>
              </w:rPr>
              <w:t xml:space="preserve"> sorbique et ses sels</w:t>
            </w:r>
          </w:p>
          <w:p w14:paraId="52AB26B5" w14:textId="77777777" w:rsidR="003D69A8" w:rsidRPr="005E1EA7" w:rsidRDefault="003D69A8" w:rsidP="001E35DC">
            <w:pPr>
              <w:rPr>
                <w:rFonts w:ascii="Tahoma" w:hAnsi="Tahoma" w:cs="Tahoma"/>
                <w:sz w:val="20"/>
                <w:szCs w:val="20"/>
              </w:rPr>
            </w:pPr>
          </w:p>
          <w:p w14:paraId="0AF8C20D" w14:textId="77777777" w:rsidR="003D69A8" w:rsidRPr="005E1EA7" w:rsidRDefault="003D69A8" w:rsidP="001E35DC">
            <w:pPr>
              <w:rPr>
                <w:rFonts w:ascii="Tahoma" w:hAnsi="Tahoma" w:cs="Tahoma"/>
                <w:sz w:val="20"/>
                <w:szCs w:val="20"/>
              </w:rPr>
            </w:pPr>
          </w:p>
        </w:tc>
        <w:tc>
          <w:tcPr>
            <w:tcW w:w="824" w:type="dxa"/>
          </w:tcPr>
          <w:p w14:paraId="04392D77" w14:textId="77777777" w:rsidR="003D69A8" w:rsidRPr="005E1EA7" w:rsidRDefault="003D69A8" w:rsidP="001E35DC">
            <w:pPr>
              <w:rPr>
                <w:rFonts w:ascii="Tahoma" w:hAnsi="Tahoma" w:cs="Tahoma"/>
                <w:sz w:val="20"/>
                <w:szCs w:val="20"/>
              </w:rPr>
            </w:pPr>
            <w:r w:rsidRPr="005E1EA7">
              <w:rPr>
                <w:rFonts w:ascii="Tahoma" w:hAnsi="Tahoma" w:cs="Tahoma"/>
                <w:sz w:val="20"/>
                <w:szCs w:val="20"/>
              </w:rPr>
              <w:t>E200 ...</w:t>
            </w:r>
          </w:p>
          <w:p w14:paraId="2091DF50" w14:textId="77777777" w:rsidR="003D69A8" w:rsidRPr="005E1EA7" w:rsidRDefault="003D69A8" w:rsidP="001E35DC">
            <w:pPr>
              <w:rPr>
                <w:rFonts w:ascii="Tahoma" w:hAnsi="Tahoma" w:cs="Tahoma"/>
                <w:sz w:val="20"/>
                <w:szCs w:val="20"/>
              </w:rPr>
            </w:pPr>
          </w:p>
        </w:tc>
        <w:tc>
          <w:tcPr>
            <w:tcW w:w="3713" w:type="dxa"/>
          </w:tcPr>
          <w:p w14:paraId="1730B291" w14:textId="77777777" w:rsidR="003D69A8" w:rsidRPr="005E1EA7" w:rsidRDefault="003D69A8" w:rsidP="001E35DC">
            <w:pPr>
              <w:rPr>
                <w:rFonts w:ascii="Tahoma" w:hAnsi="Tahoma" w:cs="Tahoma"/>
                <w:sz w:val="20"/>
                <w:szCs w:val="20"/>
              </w:rPr>
            </w:pPr>
            <w:r w:rsidRPr="005E1EA7">
              <w:rPr>
                <w:rFonts w:ascii="Tahoma" w:hAnsi="Tahoma" w:cs="Tahoma"/>
                <w:sz w:val="20"/>
                <w:szCs w:val="20"/>
              </w:rPr>
              <w:t>2000 mg/kg seul ou en mélange</w:t>
            </w:r>
          </w:p>
        </w:tc>
      </w:tr>
      <w:tr w:rsidR="003D69A8" w:rsidRPr="005E1EA7" w14:paraId="0018EECB" w14:textId="77777777" w:rsidTr="006365F0">
        <w:trPr>
          <w:cantSplit/>
        </w:trPr>
        <w:tc>
          <w:tcPr>
            <w:tcW w:w="1560" w:type="dxa"/>
          </w:tcPr>
          <w:p w14:paraId="0C0105A6" w14:textId="77777777" w:rsidR="003D69A8" w:rsidRPr="005E1EA7" w:rsidRDefault="003D69A8" w:rsidP="001E35DC">
            <w:pPr>
              <w:rPr>
                <w:rFonts w:ascii="Tahoma" w:hAnsi="Tahoma" w:cs="Tahoma"/>
                <w:sz w:val="20"/>
                <w:szCs w:val="20"/>
              </w:rPr>
            </w:pPr>
          </w:p>
        </w:tc>
        <w:tc>
          <w:tcPr>
            <w:tcW w:w="2976" w:type="dxa"/>
          </w:tcPr>
          <w:p w14:paraId="1E427AA9" w14:textId="77777777" w:rsidR="003D69A8" w:rsidRPr="005E1EA7" w:rsidRDefault="003D69A8" w:rsidP="001E35DC">
            <w:pPr>
              <w:rPr>
                <w:rFonts w:ascii="Tahoma" w:hAnsi="Tahoma" w:cs="Tahoma"/>
                <w:sz w:val="20"/>
                <w:szCs w:val="20"/>
              </w:rPr>
            </w:pPr>
            <w:r w:rsidRPr="005E1EA7">
              <w:rPr>
                <w:rFonts w:ascii="Tahoma" w:hAnsi="Tahoma" w:cs="Tahoma"/>
                <w:sz w:val="20"/>
                <w:szCs w:val="20"/>
              </w:rPr>
              <w:t>anhydride sulfureux et sulfites</w:t>
            </w:r>
          </w:p>
        </w:tc>
        <w:tc>
          <w:tcPr>
            <w:tcW w:w="824" w:type="dxa"/>
          </w:tcPr>
          <w:p w14:paraId="77687890" w14:textId="77777777" w:rsidR="003D69A8" w:rsidRPr="005E1EA7" w:rsidRDefault="003D69A8" w:rsidP="001E35DC">
            <w:pPr>
              <w:rPr>
                <w:rFonts w:ascii="Tahoma" w:hAnsi="Tahoma" w:cs="Tahoma"/>
                <w:sz w:val="20"/>
                <w:szCs w:val="20"/>
              </w:rPr>
            </w:pPr>
            <w:r w:rsidRPr="005E1EA7">
              <w:rPr>
                <w:rFonts w:ascii="Tahoma" w:hAnsi="Tahoma" w:cs="Tahoma"/>
                <w:sz w:val="20"/>
                <w:szCs w:val="20"/>
              </w:rPr>
              <w:t>E220...</w:t>
            </w:r>
          </w:p>
        </w:tc>
        <w:tc>
          <w:tcPr>
            <w:tcW w:w="3713" w:type="dxa"/>
          </w:tcPr>
          <w:p w14:paraId="7DE61DFA" w14:textId="77777777" w:rsidR="003D69A8" w:rsidRPr="005E1EA7" w:rsidRDefault="003D69A8" w:rsidP="001E35DC">
            <w:pPr>
              <w:rPr>
                <w:rFonts w:ascii="Tahoma" w:hAnsi="Tahoma" w:cs="Tahoma"/>
                <w:sz w:val="20"/>
                <w:szCs w:val="20"/>
              </w:rPr>
            </w:pPr>
            <w:r w:rsidRPr="005E1EA7">
              <w:rPr>
                <w:rFonts w:ascii="Tahoma" w:hAnsi="Tahoma" w:cs="Tahoma"/>
                <w:sz w:val="20"/>
                <w:szCs w:val="20"/>
              </w:rPr>
              <w:t>200 mg/kg exprimé en SO2, seul ou en mélange</w:t>
            </w:r>
          </w:p>
        </w:tc>
      </w:tr>
    </w:tbl>
    <w:p w14:paraId="578D95AC" w14:textId="77777777" w:rsidR="003D69A8" w:rsidRPr="005E1EA7" w:rsidRDefault="003D69A8" w:rsidP="001E35DC">
      <w:pPr>
        <w:rPr>
          <w:rFonts w:ascii="Tahoma" w:hAnsi="Tahoma" w:cs="Tahoma"/>
          <w:i/>
          <w:iCs/>
          <w:sz w:val="20"/>
          <w:szCs w:val="20"/>
        </w:rPr>
      </w:pPr>
    </w:p>
    <w:p w14:paraId="6DB3BC9A" w14:textId="77777777" w:rsidR="003D69A8" w:rsidRPr="00EA331B" w:rsidRDefault="003D69A8" w:rsidP="001E35DC">
      <w:pPr>
        <w:rPr>
          <w:rFonts w:ascii="Tahoma" w:hAnsi="Tahoma" w:cs="Tahoma"/>
          <w:b/>
          <w:bCs/>
          <w:sz w:val="20"/>
          <w:szCs w:val="20"/>
        </w:rPr>
      </w:pPr>
      <w:r w:rsidRPr="00EA331B">
        <w:rPr>
          <w:rFonts w:ascii="Tahoma" w:hAnsi="Tahoma" w:cs="Tahoma"/>
          <w:b/>
          <w:bCs/>
          <w:sz w:val="20"/>
          <w:szCs w:val="20"/>
        </w:rPr>
        <w:t>2.3 Poissons salés séchés</w:t>
      </w:r>
    </w:p>
    <w:tbl>
      <w:tblPr>
        <w:tblW w:w="0" w:type="auto"/>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560"/>
        <w:gridCol w:w="2913"/>
        <w:gridCol w:w="914"/>
        <w:gridCol w:w="3685"/>
      </w:tblGrid>
      <w:tr w:rsidR="003D69A8" w:rsidRPr="005E1EA7" w14:paraId="1722F714" w14:textId="77777777" w:rsidTr="006365F0">
        <w:trPr>
          <w:cantSplit/>
        </w:trPr>
        <w:tc>
          <w:tcPr>
            <w:tcW w:w="1560" w:type="dxa"/>
          </w:tcPr>
          <w:p w14:paraId="2357549C" w14:textId="77777777" w:rsidR="003D69A8" w:rsidRPr="005E1EA7" w:rsidRDefault="003D69A8" w:rsidP="001E35DC">
            <w:pPr>
              <w:rPr>
                <w:rFonts w:ascii="Tahoma" w:hAnsi="Tahoma" w:cs="Tahoma"/>
                <w:sz w:val="20"/>
                <w:szCs w:val="20"/>
              </w:rPr>
            </w:pPr>
            <w:r w:rsidRPr="005E1EA7">
              <w:rPr>
                <w:rFonts w:ascii="Tahoma" w:hAnsi="Tahoma" w:cs="Tahoma"/>
                <w:sz w:val="20"/>
                <w:szCs w:val="20"/>
              </w:rPr>
              <w:t>Conservateurs</w:t>
            </w:r>
          </w:p>
        </w:tc>
        <w:tc>
          <w:tcPr>
            <w:tcW w:w="2913" w:type="dxa"/>
          </w:tcPr>
          <w:p w14:paraId="6855B777" w14:textId="77777777" w:rsidR="003D69A8" w:rsidRPr="005E1EA7" w:rsidRDefault="003D69A8" w:rsidP="001E35DC">
            <w:pPr>
              <w:rPr>
                <w:rFonts w:ascii="Tahoma" w:hAnsi="Tahoma" w:cs="Tahoma"/>
                <w:sz w:val="20"/>
                <w:szCs w:val="20"/>
              </w:rPr>
            </w:pPr>
            <w:proofErr w:type="gramStart"/>
            <w:r w:rsidRPr="005E1EA7">
              <w:rPr>
                <w:rFonts w:ascii="Tahoma" w:hAnsi="Tahoma" w:cs="Tahoma"/>
                <w:sz w:val="20"/>
                <w:szCs w:val="20"/>
              </w:rPr>
              <w:t>acide</w:t>
            </w:r>
            <w:proofErr w:type="gramEnd"/>
            <w:r w:rsidRPr="005E1EA7">
              <w:rPr>
                <w:rFonts w:ascii="Tahoma" w:hAnsi="Tahoma" w:cs="Tahoma"/>
                <w:sz w:val="20"/>
                <w:szCs w:val="20"/>
              </w:rPr>
              <w:t xml:space="preserve"> sorbique et ses sels</w:t>
            </w:r>
          </w:p>
          <w:p w14:paraId="3B6C456B" w14:textId="77777777" w:rsidR="003D69A8" w:rsidRPr="005E1EA7" w:rsidRDefault="003D69A8" w:rsidP="001E35DC">
            <w:pPr>
              <w:rPr>
                <w:rFonts w:ascii="Tahoma" w:hAnsi="Tahoma" w:cs="Tahoma"/>
                <w:sz w:val="20"/>
                <w:szCs w:val="20"/>
              </w:rPr>
            </w:pPr>
            <w:r w:rsidRPr="005E1EA7">
              <w:rPr>
                <w:rFonts w:ascii="Tahoma" w:hAnsi="Tahoma" w:cs="Tahoma"/>
                <w:sz w:val="20"/>
                <w:szCs w:val="20"/>
              </w:rPr>
              <w:t>acide benzoique et ses sels</w:t>
            </w:r>
          </w:p>
        </w:tc>
        <w:tc>
          <w:tcPr>
            <w:tcW w:w="914" w:type="dxa"/>
          </w:tcPr>
          <w:p w14:paraId="43AFF702" w14:textId="77777777" w:rsidR="003D69A8" w:rsidRPr="005E1EA7" w:rsidRDefault="003D69A8" w:rsidP="001E35DC">
            <w:pPr>
              <w:rPr>
                <w:rFonts w:ascii="Tahoma" w:hAnsi="Tahoma" w:cs="Tahoma"/>
                <w:sz w:val="20"/>
                <w:szCs w:val="20"/>
              </w:rPr>
            </w:pPr>
            <w:r w:rsidRPr="005E1EA7">
              <w:rPr>
                <w:rFonts w:ascii="Tahoma" w:hAnsi="Tahoma" w:cs="Tahoma"/>
                <w:sz w:val="20"/>
                <w:szCs w:val="20"/>
              </w:rPr>
              <w:t>E200 ...</w:t>
            </w:r>
          </w:p>
          <w:p w14:paraId="50A3D919" w14:textId="77777777" w:rsidR="003D69A8" w:rsidRPr="005E1EA7" w:rsidRDefault="003D69A8" w:rsidP="001E35DC">
            <w:pPr>
              <w:rPr>
                <w:rFonts w:ascii="Tahoma" w:hAnsi="Tahoma" w:cs="Tahoma"/>
                <w:sz w:val="20"/>
                <w:szCs w:val="20"/>
              </w:rPr>
            </w:pPr>
            <w:r w:rsidRPr="005E1EA7">
              <w:rPr>
                <w:rFonts w:ascii="Tahoma" w:hAnsi="Tahoma" w:cs="Tahoma"/>
                <w:sz w:val="20"/>
                <w:szCs w:val="20"/>
              </w:rPr>
              <w:t>E210 ...</w:t>
            </w:r>
          </w:p>
        </w:tc>
        <w:tc>
          <w:tcPr>
            <w:tcW w:w="3685" w:type="dxa"/>
          </w:tcPr>
          <w:p w14:paraId="38CC77F6" w14:textId="77777777" w:rsidR="003D69A8" w:rsidRPr="005E1EA7" w:rsidRDefault="003D69A8" w:rsidP="001E35DC">
            <w:pPr>
              <w:rPr>
                <w:rFonts w:ascii="Tahoma" w:hAnsi="Tahoma" w:cs="Tahoma"/>
                <w:sz w:val="20"/>
                <w:szCs w:val="20"/>
              </w:rPr>
            </w:pPr>
            <w:r w:rsidRPr="005E1EA7">
              <w:rPr>
                <w:rFonts w:ascii="Tahoma" w:hAnsi="Tahoma" w:cs="Tahoma"/>
                <w:sz w:val="20"/>
                <w:szCs w:val="20"/>
              </w:rPr>
              <w:t>200 mg/kg seul ou en mélange</w:t>
            </w:r>
          </w:p>
        </w:tc>
      </w:tr>
    </w:tbl>
    <w:p w14:paraId="336D8485" w14:textId="77777777" w:rsidR="003D69A8" w:rsidRPr="005E1EA7" w:rsidRDefault="003D69A8" w:rsidP="001E35DC">
      <w:pPr>
        <w:rPr>
          <w:rFonts w:ascii="Tahoma" w:hAnsi="Tahoma" w:cs="Tahoma"/>
          <w:sz w:val="20"/>
          <w:szCs w:val="20"/>
        </w:rPr>
      </w:pPr>
    </w:p>
    <w:p w14:paraId="0B81BC62" w14:textId="77777777" w:rsidR="003D69A8" w:rsidRPr="00EA331B" w:rsidRDefault="003D69A8" w:rsidP="001E35DC">
      <w:pPr>
        <w:rPr>
          <w:rFonts w:ascii="Tahoma" w:hAnsi="Tahoma" w:cs="Tahoma"/>
          <w:b/>
          <w:bCs/>
          <w:sz w:val="20"/>
          <w:szCs w:val="20"/>
        </w:rPr>
      </w:pPr>
      <w:r w:rsidRPr="00EA331B">
        <w:rPr>
          <w:rFonts w:ascii="Tahoma" w:hAnsi="Tahoma" w:cs="Tahoma"/>
          <w:b/>
          <w:bCs/>
          <w:sz w:val="20"/>
          <w:szCs w:val="20"/>
        </w:rPr>
        <w:t>2.3.1 Poissons salés et séchés de la famille des gadidés</w:t>
      </w:r>
    </w:p>
    <w:tbl>
      <w:tblPr>
        <w:tblW w:w="0" w:type="auto"/>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560"/>
        <w:gridCol w:w="2976"/>
        <w:gridCol w:w="851"/>
        <w:gridCol w:w="3685"/>
      </w:tblGrid>
      <w:tr w:rsidR="003D69A8" w:rsidRPr="005E1EA7" w14:paraId="2F074EC2" w14:textId="77777777" w:rsidTr="006365F0">
        <w:trPr>
          <w:cantSplit/>
        </w:trPr>
        <w:tc>
          <w:tcPr>
            <w:tcW w:w="1560" w:type="dxa"/>
          </w:tcPr>
          <w:p w14:paraId="0B24BBD2" w14:textId="77777777" w:rsidR="003D69A8" w:rsidRPr="005E1EA7" w:rsidRDefault="003D69A8" w:rsidP="001E35DC">
            <w:pPr>
              <w:rPr>
                <w:rFonts w:ascii="Tahoma" w:hAnsi="Tahoma" w:cs="Tahoma"/>
                <w:sz w:val="20"/>
                <w:szCs w:val="20"/>
              </w:rPr>
            </w:pPr>
            <w:r w:rsidRPr="005E1EA7">
              <w:rPr>
                <w:rFonts w:ascii="Tahoma" w:hAnsi="Tahoma" w:cs="Tahoma"/>
                <w:sz w:val="20"/>
                <w:szCs w:val="20"/>
              </w:rPr>
              <w:lastRenderedPageBreak/>
              <w:t>Conservateurs</w:t>
            </w:r>
          </w:p>
        </w:tc>
        <w:tc>
          <w:tcPr>
            <w:tcW w:w="2976" w:type="dxa"/>
          </w:tcPr>
          <w:p w14:paraId="1B460DF4" w14:textId="77777777" w:rsidR="003D69A8" w:rsidRPr="005E1EA7" w:rsidRDefault="003D69A8" w:rsidP="001E35DC">
            <w:pPr>
              <w:rPr>
                <w:rFonts w:ascii="Tahoma" w:hAnsi="Tahoma" w:cs="Tahoma"/>
                <w:sz w:val="20"/>
                <w:szCs w:val="20"/>
              </w:rPr>
            </w:pPr>
            <w:r w:rsidRPr="005E1EA7">
              <w:rPr>
                <w:rFonts w:ascii="Tahoma" w:hAnsi="Tahoma" w:cs="Tahoma"/>
                <w:sz w:val="20"/>
                <w:szCs w:val="20"/>
              </w:rPr>
              <w:t>anhydride sulfureux et sulfites</w:t>
            </w:r>
          </w:p>
        </w:tc>
        <w:tc>
          <w:tcPr>
            <w:tcW w:w="851" w:type="dxa"/>
          </w:tcPr>
          <w:p w14:paraId="699218FD" w14:textId="77777777" w:rsidR="003D69A8" w:rsidRPr="005E1EA7" w:rsidRDefault="003D69A8" w:rsidP="001E35DC">
            <w:pPr>
              <w:rPr>
                <w:rFonts w:ascii="Tahoma" w:hAnsi="Tahoma" w:cs="Tahoma"/>
                <w:sz w:val="20"/>
                <w:szCs w:val="20"/>
              </w:rPr>
            </w:pPr>
            <w:r w:rsidRPr="005E1EA7">
              <w:rPr>
                <w:rFonts w:ascii="Tahoma" w:hAnsi="Tahoma" w:cs="Tahoma"/>
                <w:sz w:val="20"/>
                <w:szCs w:val="20"/>
              </w:rPr>
              <w:t>E220...</w:t>
            </w:r>
          </w:p>
        </w:tc>
        <w:tc>
          <w:tcPr>
            <w:tcW w:w="3685" w:type="dxa"/>
          </w:tcPr>
          <w:p w14:paraId="24D58977" w14:textId="77777777" w:rsidR="003D69A8" w:rsidRPr="005E1EA7" w:rsidRDefault="003D69A8" w:rsidP="001E35DC">
            <w:pPr>
              <w:rPr>
                <w:rFonts w:ascii="Tahoma" w:hAnsi="Tahoma" w:cs="Tahoma"/>
                <w:sz w:val="20"/>
                <w:szCs w:val="20"/>
              </w:rPr>
            </w:pPr>
            <w:r w:rsidRPr="005E1EA7">
              <w:rPr>
                <w:rFonts w:ascii="Tahoma" w:hAnsi="Tahoma" w:cs="Tahoma"/>
                <w:sz w:val="20"/>
                <w:szCs w:val="20"/>
              </w:rPr>
              <w:t>200 mg/kg exprimé en SO2, seul ou en mélange</w:t>
            </w:r>
          </w:p>
        </w:tc>
      </w:tr>
    </w:tbl>
    <w:p w14:paraId="29802D61" w14:textId="77777777" w:rsidR="00EA331B" w:rsidRDefault="00EA331B" w:rsidP="001E35DC">
      <w:pPr>
        <w:rPr>
          <w:rFonts w:ascii="Tahoma" w:hAnsi="Tahoma" w:cs="Tahoma"/>
          <w:b/>
          <w:bCs/>
          <w:sz w:val="20"/>
          <w:szCs w:val="20"/>
        </w:rPr>
      </w:pPr>
    </w:p>
    <w:p w14:paraId="4665289D" w14:textId="10946F58" w:rsidR="003D69A8" w:rsidRPr="00EA331B" w:rsidRDefault="003D69A8" w:rsidP="001E35DC">
      <w:pPr>
        <w:rPr>
          <w:rFonts w:ascii="Tahoma" w:hAnsi="Tahoma" w:cs="Tahoma"/>
          <w:b/>
          <w:bCs/>
          <w:sz w:val="20"/>
          <w:szCs w:val="20"/>
        </w:rPr>
      </w:pPr>
      <w:r w:rsidRPr="00EA331B">
        <w:rPr>
          <w:rFonts w:ascii="Tahoma" w:hAnsi="Tahoma" w:cs="Tahoma"/>
          <w:b/>
          <w:bCs/>
          <w:sz w:val="20"/>
          <w:szCs w:val="20"/>
        </w:rPr>
        <w:t>2.4 Poissons fumés</w:t>
      </w:r>
    </w:p>
    <w:tbl>
      <w:tblPr>
        <w:tblW w:w="0" w:type="auto"/>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843"/>
        <w:gridCol w:w="2835"/>
        <w:gridCol w:w="992"/>
        <w:gridCol w:w="3402"/>
      </w:tblGrid>
      <w:tr w:rsidR="003D69A8" w:rsidRPr="005E1EA7" w14:paraId="78C26C1B" w14:textId="77777777" w:rsidTr="006365F0">
        <w:trPr>
          <w:cantSplit/>
        </w:trPr>
        <w:tc>
          <w:tcPr>
            <w:tcW w:w="1843" w:type="dxa"/>
          </w:tcPr>
          <w:p w14:paraId="31D3FB75" w14:textId="77777777" w:rsidR="003D69A8" w:rsidRPr="005E1EA7" w:rsidRDefault="003D69A8" w:rsidP="001E35DC">
            <w:pPr>
              <w:rPr>
                <w:rFonts w:ascii="Tahoma" w:hAnsi="Tahoma" w:cs="Tahoma"/>
                <w:sz w:val="20"/>
                <w:szCs w:val="20"/>
              </w:rPr>
            </w:pPr>
            <w:r w:rsidRPr="005E1EA7">
              <w:rPr>
                <w:rFonts w:ascii="Tahoma" w:hAnsi="Tahoma" w:cs="Tahoma"/>
                <w:b/>
                <w:bCs/>
                <w:i/>
                <w:iCs/>
                <w:sz w:val="20"/>
                <w:szCs w:val="20"/>
              </w:rPr>
              <w:t xml:space="preserve"> </w:t>
            </w:r>
            <w:r w:rsidRPr="005E1EA7">
              <w:rPr>
                <w:rFonts w:ascii="Tahoma" w:hAnsi="Tahoma" w:cs="Tahoma"/>
                <w:sz w:val="20"/>
                <w:szCs w:val="20"/>
              </w:rPr>
              <w:t>Colorants</w:t>
            </w:r>
          </w:p>
          <w:p w14:paraId="2C628AFA" w14:textId="77777777" w:rsidR="003D69A8" w:rsidRPr="005E1EA7" w:rsidRDefault="003D69A8" w:rsidP="001E35DC">
            <w:pPr>
              <w:rPr>
                <w:rFonts w:ascii="Tahoma" w:hAnsi="Tahoma" w:cs="Tahoma"/>
                <w:sz w:val="20"/>
                <w:szCs w:val="20"/>
              </w:rPr>
            </w:pPr>
          </w:p>
          <w:p w14:paraId="5B7A59A2" w14:textId="77777777" w:rsidR="003D69A8" w:rsidRPr="005E1EA7" w:rsidRDefault="003D69A8" w:rsidP="001E35DC">
            <w:pPr>
              <w:rPr>
                <w:rFonts w:ascii="Tahoma" w:hAnsi="Tahoma" w:cs="Tahoma"/>
                <w:sz w:val="20"/>
                <w:szCs w:val="20"/>
              </w:rPr>
            </w:pPr>
          </w:p>
          <w:p w14:paraId="7FCD7A42" w14:textId="77777777" w:rsidR="003D69A8" w:rsidRPr="005E1EA7" w:rsidRDefault="003D69A8" w:rsidP="001E35DC">
            <w:pPr>
              <w:rPr>
                <w:rFonts w:ascii="Tahoma" w:hAnsi="Tahoma" w:cs="Tahoma"/>
                <w:sz w:val="20"/>
                <w:szCs w:val="20"/>
              </w:rPr>
            </w:pPr>
          </w:p>
          <w:p w14:paraId="08D83116" w14:textId="77777777" w:rsidR="003D69A8" w:rsidRPr="005E1EA7" w:rsidRDefault="003D69A8" w:rsidP="001E35DC">
            <w:pPr>
              <w:rPr>
                <w:rFonts w:ascii="Tahoma" w:hAnsi="Tahoma" w:cs="Tahoma"/>
                <w:sz w:val="20"/>
                <w:szCs w:val="20"/>
              </w:rPr>
            </w:pPr>
          </w:p>
          <w:p w14:paraId="68DFDD40" w14:textId="77777777" w:rsidR="003D69A8" w:rsidRPr="005E1EA7" w:rsidRDefault="003D69A8" w:rsidP="001E35DC">
            <w:pPr>
              <w:rPr>
                <w:rFonts w:ascii="Tahoma" w:hAnsi="Tahoma" w:cs="Tahoma"/>
                <w:sz w:val="20"/>
                <w:szCs w:val="20"/>
              </w:rPr>
            </w:pPr>
          </w:p>
        </w:tc>
        <w:tc>
          <w:tcPr>
            <w:tcW w:w="2835" w:type="dxa"/>
          </w:tcPr>
          <w:p w14:paraId="6F37CC4B" w14:textId="77777777" w:rsidR="003D69A8" w:rsidRPr="005E1EA7" w:rsidRDefault="003D69A8" w:rsidP="001E35DC">
            <w:pPr>
              <w:rPr>
                <w:rFonts w:ascii="Tahoma" w:hAnsi="Tahoma" w:cs="Tahoma"/>
                <w:sz w:val="20"/>
                <w:szCs w:val="20"/>
              </w:rPr>
            </w:pPr>
            <w:r w:rsidRPr="005E1EA7">
              <w:rPr>
                <w:rFonts w:ascii="Tahoma" w:hAnsi="Tahoma" w:cs="Tahoma"/>
                <w:sz w:val="20"/>
                <w:szCs w:val="20"/>
              </w:rPr>
              <w:t>Tous les colorants cités aux annexes du règlement européen 1333/2008</w:t>
            </w:r>
          </w:p>
          <w:p w14:paraId="4AA5569A" w14:textId="77777777" w:rsidR="003D69A8" w:rsidRPr="005E1EA7" w:rsidRDefault="003D69A8" w:rsidP="001E35DC">
            <w:pPr>
              <w:rPr>
                <w:rFonts w:ascii="Tahoma" w:hAnsi="Tahoma" w:cs="Tahoma"/>
                <w:sz w:val="20"/>
                <w:szCs w:val="20"/>
              </w:rPr>
            </w:pPr>
            <w:r w:rsidRPr="005E1EA7">
              <w:rPr>
                <w:rFonts w:ascii="Tahoma" w:hAnsi="Tahoma" w:cs="Tahoma"/>
                <w:sz w:val="20"/>
                <w:szCs w:val="20"/>
              </w:rPr>
              <w:t>Tous les colorants cités aux annexes du règlement européen 1333/2008</w:t>
            </w:r>
          </w:p>
          <w:p w14:paraId="43F82770" w14:textId="77777777" w:rsidR="003D69A8" w:rsidRPr="005E1EA7" w:rsidRDefault="003D69A8" w:rsidP="001E35DC">
            <w:pPr>
              <w:rPr>
                <w:rFonts w:ascii="Tahoma" w:hAnsi="Tahoma" w:cs="Tahoma"/>
                <w:sz w:val="20"/>
                <w:szCs w:val="20"/>
                <w:lang w:val="de-DE"/>
              </w:rPr>
            </w:pPr>
            <w:r w:rsidRPr="005E1EA7">
              <w:rPr>
                <w:rFonts w:ascii="Tahoma" w:hAnsi="Tahoma" w:cs="Tahoma"/>
                <w:sz w:val="20"/>
                <w:szCs w:val="20"/>
                <w:lang w:val="de-DE"/>
              </w:rPr>
              <w:t>Rocou, bixine, norbixine</w:t>
            </w:r>
          </w:p>
        </w:tc>
        <w:tc>
          <w:tcPr>
            <w:tcW w:w="992" w:type="dxa"/>
          </w:tcPr>
          <w:p w14:paraId="220DD732" w14:textId="77777777" w:rsidR="003D69A8" w:rsidRPr="005E1EA7" w:rsidRDefault="003D69A8" w:rsidP="001E35DC">
            <w:pPr>
              <w:rPr>
                <w:rFonts w:ascii="Tahoma" w:hAnsi="Tahoma" w:cs="Tahoma"/>
                <w:sz w:val="20"/>
                <w:szCs w:val="20"/>
                <w:lang w:val="de-DE"/>
              </w:rPr>
            </w:pPr>
          </w:p>
          <w:p w14:paraId="08055509" w14:textId="77777777" w:rsidR="003D69A8" w:rsidRPr="005E1EA7" w:rsidRDefault="003D69A8" w:rsidP="001E35DC">
            <w:pPr>
              <w:rPr>
                <w:rFonts w:ascii="Tahoma" w:hAnsi="Tahoma" w:cs="Tahoma"/>
                <w:sz w:val="20"/>
                <w:szCs w:val="20"/>
                <w:lang w:val="de-DE"/>
              </w:rPr>
            </w:pPr>
          </w:p>
          <w:p w14:paraId="4F9BF2C4" w14:textId="77777777" w:rsidR="003D69A8" w:rsidRPr="005E1EA7" w:rsidRDefault="003D69A8" w:rsidP="001E35DC">
            <w:pPr>
              <w:rPr>
                <w:rFonts w:ascii="Tahoma" w:hAnsi="Tahoma" w:cs="Tahoma"/>
                <w:sz w:val="20"/>
                <w:szCs w:val="20"/>
                <w:lang w:val="de-DE"/>
              </w:rPr>
            </w:pPr>
          </w:p>
          <w:p w14:paraId="2CBD2165" w14:textId="77777777" w:rsidR="003D69A8" w:rsidRPr="005E1EA7" w:rsidRDefault="003D69A8" w:rsidP="001E35DC">
            <w:pPr>
              <w:rPr>
                <w:rFonts w:ascii="Tahoma" w:hAnsi="Tahoma" w:cs="Tahoma"/>
                <w:sz w:val="20"/>
                <w:szCs w:val="20"/>
                <w:lang w:val="de-DE"/>
              </w:rPr>
            </w:pPr>
          </w:p>
          <w:p w14:paraId="6EB6F183" w14:textId="77777777" w:rsidR="003D69A8" w:rsidRPr="005E1EA7" w:rsidRDefault="003D69A8" w:rsidP="001E35DC">
            <w:pPr>
              <w:rPr>
                <w:rFonts w:ascii="Tahoma" w:hAnsi="Tahoma" w:cs="Tahoma"/>
                <w:sz w:val="20"/>
                <w:szCs w:val="20"/>
                <w:lang w:val="de-DE"/>
              </w:rPr>
            </w:pPr>
          </w:p>
          <w:p w14:paraId="7B5C15EA" w14:textId="77777777" w:rsidR="003D69A8" w:rsidRPr="005E1EA7" w:rsidRDefault="003D69A8" w:rsidP="001E35DC">
            <w:pPr>
              <w:rPr>
                <w:rFonts w:ascii="Tahoma" w:hAnsi="Tahoma" w:cs="Tahoma"/>
                <w:sz w:val="20"/>
                <w:szCs w:val="20"/>
                <w:lang w:val="de-DE"/>
              </w:rPr>
            </w:pPr>
          </w:p>
          <w:p w14:paraId="16C19E6F" w14:textId="77777777" w:rsidR="003D69A8" w:rsidRPr="005E1EA7" w:rsidRDefault="003D69A8" w:rsidP="001E35DC">
            <w:pPr>
              <w:rPr>
                <w:rFonts w:ascii="Tahoma" w:hAnsi="Tahoma" w:cs="Tahoma"/>
                <w:sz w:val="20"/>
                <w:szCs w:val="20"/>
                <w:lang w:val="de-DE"/>
              </w:rPr>
            </w:pPr>
            <w:r w:rsidRPr="005E1EA7">
              <w:rPr>
                <w:rFonts w:ascii="Tahoma" w:hAnsi="Tahoma" w:cs="Tahoma"/>
                <w:sz w:val="20"/>
                <w:szCs w:val="20"/>
                <w:lang w:val="de-DE"/>
              </w:rPr>
              <w:t>E160 b</w:t>
            </w:r>
          </w:p>
        </w:tc>
        <w:tc>
          <w:tcPr>
            <w:tcW w:w="3402" w:type="dxa"/>
          </w:tcPr>
          <w:p w14:paraId="1CE7B582" w14:textId="77777777" w:rsidR="003D69A8" w:rsidRPr="005E1EA7" w:rsidRDefault="003D69A8" w:rsidP="001E35DC">
            <w:pPr>
              <w:rPr>
                <w:rFonts w:ascii="Tahoma" w:hAnsi="Tahoma" w:cs="Tahoma"/>
                <w:sz w:val="20"/>
                <w:szCs w:val="20"/>
              </w:rPr>
            </w:pPr>
            <w:proofErr w:type="gramStart"/>
            <w:r w:rsidRPr="005E1EA7">
              <w:rPr>
                <w:rFonts w:ascii="Tahoma" w:hAnsi="Tahoma" w:cs="Tahoma"/>
                <w:i/>
                <w:iCs/>
                <w:sz w:val="20"/>
                <w:szCs w:val="20"/>
              </w:rPr>
              <w:t>quantum</w:t>
            </w:r>
            <w:proofErr w:type="gramEnd"/>
            <w:r w:rsidRPr="005E1EA7">
              <w:rPr>
                <w:rFonts w:ascii="Tahoma" w:hAnsi="Tahoma" w:cs="Tahoma"/>
                <w:i/>
                <w:iCs/>
                <w:sz w:val="20"/>
                <w:szCs w:val="20"/>
              </w:rPr>
              <w:t xml:space="preserve"> satis</w:t>
            </w:r>
          </w:p>
          <w:p w14:paraId="002B0403" w14:textId="77777777" w:rsidR="003D69A8" w:rsidRPr="005E1EA7" w:rsidRDefault="003D69A8" w:rsidP="001E35DC">
            <w:pPr>
              <w:rPr>
                <w:rFonts w:ascii="Tahoma" w:hAnsi="Tahoma" w:cs="Tahoma"/>
                <w:sz w:val="20"/>
                <w:szCs w:val="20"/>
              </w:rPr>
            </w:pPr>
          </w:p>
          <w:p w14:paraId="0D459B05" w14:textId="77777777" w:rsidR="003D69A8" w:rsidRPr="005E1EA7" w:rsidRDefault="003D69A8" w:rsidP="001E35DC">
            <w:pPr>
              <w:rPr>
                <w:rFonts w:ascii="Tahoma" w:hAnsi="Tahoma" w:cs="Tahoma"/>
                <w:sz w:val="20"/>
                <w:szCs w:val="20"/>
              </w:rPr>
            </w:pPr>
          </w:p>
          <w:p w14:paraId="4258BD93" w14:textId="77777777" w:rsidR="003D69A8" w:rsidRPr="005E1EA7" w:rsidRDefault="003D69A8" w:rsidP="001E35DC">
            <w:pPr>
              <w:rPr>
                <w:rFonts w:ascii="Tahoma" w:hAnsi="Tahoma" w:cs="Tahoma"/>
                <w:sz w:val="20"/>
                <w:szCs w:val="20"/>
              </w:rPr>
            </w:pPr>
            <w:r w:rsidRPr="005E1EA7">
              <w:rPr>
                <w:rFonts w:ascii="Tahoma" w:hAnsi="Tahoma" w:cs="Tahoma"/>
                <w:sz w:val="20"/>
                <w:szCs w:val="20"/>
              </w:rPr>
              <w:t>100 mg/kg, seuls ou en combinaison</w:t>
            </w:r>
          </w:p>
          <w:p w14:paraId="616D7F71" w14:textId="77777777" w:rsidR="003D69A8" w:rsidRPr="005E1EA7" w:rsidRDefault="003D69A8" w:rsidP="001E35DC">
            <w:pPr>
              <w:rPr>
                <w:rFonts w:ascii="Tahoma" w:hAnsi="Tahoma" w:cs="Tahoma"/>
                <w:sz w:val="20"/>
                <w:szCs w:val="20"/>
              </w:rPr>
            </w:pPr>
          </w:p>
          <w:p w14:paraId="40BEF4CE" w14:textId="77777777" w:rsidR="003D69A8" w:rsidRPr="005E1EA7" w:rsidRDefault="003D69A8" w:rsidP="001E35DC">
            <w:pPr>
              <w:rPr>
                <w:rFonts w:ascii="Tahoma" w:hAnsi="Tahoma" w:cs="Tahoma"/>
                <w:sz w:val="20"/>
                <w:szCs w:val="20"/>
              </w:rPr>
            </w:pPr>
            <w:r w:rsidRPr="005E1EA7">
              <w:rPr>
                <w:rFonts w:ascii="Tahoma" w:hAnsi="Tahoma" w:cs="Tahoma"/>
                <w:sz w:val="20"/>
                <w:szCs w:val="20"/>
              </w:rPr>
              <w:t>10 mg/kg</w:t>
            </w:r>
          </w:p>
        </w:tc>
      </w:tr>
    </w:tbl>
    <w:p w14:paraId="4D77699C" w14:textId="77777777" w:rsidR="00EA331B" w:rsidRDefault="00EA331B" w:rsidP="001E35DC">
      <w:pPr>
        <w:rPr>
          <w:rFonts w:ascii="Tahoma" w:hAnsi="Tahoma" w:cs="Tahoma"/>
          <w:b/>
          <w:bCs/>
          <w:sz w:val="20"/>
          <w:szCs w:val="20"/>
        </w:rPr>
      </w:pPr>
    </w:p>
    <w:p w14:paraId="55BA4FE1" w14:textId="3559B4BC" w:rsidR="003D69A8" w:rsidRPr="00EA331B" w:rsidRDefault="003D69A8" w:rsidP="001E35DC">
      <w:pPr>
        <w:rPr>
          <w:rFonts w:ascii="Tahoma" w:hAnsi="Tahoma" w:cs="Tahoma"/>
          <w:b/>
          <w:bCs/>
          <w:sz w:val="20"/>
          <w:szCs w:val="20"/>
        </w:rPr>
      </w:pPr>
      <w:r w:rsidRPr="00EA331B">
        <w:rPr>
          <w:rFonts w:ascii="Tahoma" w:hAnsi="Tahoma" w:cs="Tahoma"/>
          <w:b/>
          <w:bCs/>
          <w:sz w:val="20"/>
          <w:szCs w:val="20"/>
        </w:rPr>
        <w:t>2.4.1 Poissons salés séchés fumés</w:t>
      </w:r>
    </w:p>
    <w:tbl>
      <w:tblPr>
        <w:tblW w:w="0" w:type="auto"/>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843"/>
        <w:gridCol w:w="2803"/>
        <w:gridCol w:w="1024"/>
        <w:gridCol w:w="3402"/>
      </w:tblGrid>
      <w:tr w:rsidR="003D69A8" w:rsidRPr="005E1EA7" w14:paraId="6EAE44F5" w14:textId="77777777" w:rsidTr="006365F0">
        <w:trPr>
          <w:cantSplit/>
        </w:trPr>
        <w:tc>
          <w:tcPr>
            <w:tcW w:w="1843" w:type="dxa"/>
          </w:tcPr>
          <w:p w14:paraId="67973F2E" w14:textId="77777777" w:rsidR="003D69A8" w:rsidRPr="005E1EA7" w:rsidRDefault="003D69A8" w:rsidP="001E35DC">
            <w:pPr>
              <w:rPr>
                <w:rFonts w:ascii="Tahoma" w:hAnsi="Tahoma" w:cs="Tahoma"/>
                <w:sz w:val="20"/>
                <w:szCs w:val="20"/>
              </w:rPr>
            </w:pPr>
            <w:r w:rsidRPr="005E1EA7">
              <w:rPr>
                <w:rFonts w:ascii="Tahoma" w:hAnsi="Tahoma" w:cs="Tahoma"/>
                <w:sz w:val="20"/>
                <w:szCs w:val="20"/>
              </w:rPr>
              <w:t>Colorants</w:t>
            </w:r>
          </w:p>
        </w:tc>
        <w:tc>
          <w:tcPr>
            <w:tcW w:w="2803" w:type="dxa"/>
          </w:tcPr>
          <w:p w14:paraId="305FBCC0" w14:textId="77777777" w:rsidR="003D69A8" w:rsidRPr="005E1EA7" w:rsidRDefault="003D69A8" w:rsidP="001E35DC">
            <w:pPr>
              <w:rPr>
                <w:rFonts w:ascii="Tahoma" w:hAnsi="Tahoma" w:cs="Tahoma"/>
                <w:sz w:val="20"/>
                <w:szCs w:val="20"/>
              </w:rPr>
            </w:pPr>
            <w:r w:rsidRPr="005E1EA7">
              <w:rPr>
                <w:rFonts w:ascii="Tahoma" w:hAnsi="Tahoma" w:cs="Tahoma"/>
                <w:sz w:val="20"/>
                <w:szCs w:val="20"/>
              </w:rPr>
              <w:t>Tous les colorants cités aux annexes du règlement européen 1333/2008</w:t>
            </w:r>
          </w:p>
        </w:tc>
        <w:tc>
          <w:tcPr>
            <w:tcW w:w="1024" w:type="dxa"/>
          </w:tcPr>
          <w:p w14:paraId="63D8E0F3" w14:textId="77777777" w:rsidR="003D69A8" w:rsidRPr="005E1EA7" w:rsidRDefault="003D69A8" w:rsidP="001E35DC">
            <w:pPr>
              <w:rPr>
                <w:rFonts w:ascii="Tahoma" w:hAnsi="Tahoma" w:cs="Tahoma"/>
                <w:sz w:val="20"/>
                <w:szCs w:val="20"/>
              </w:rPr>
            </w:pPr>
          </w:p>
        </w:tc>
        <w:tc>
          <w:tcPr>
            <w:tcW w:w="3402" w:type="dxa"/>
          </w:tcPr>
          <w:p w14:paraId="123AA3E5" w14:textId="77777777" w:rsidR="003D69A8" w:rsidRPr="005E1EA7" w:rsidRDefault="003D69A8" w:rsidP="001E35DC">
            <w:pPr>
              <w:rPr>
                <w:rFonts w:ascii="Tahoma" w:hAnsi="Tahoma" w:cs="Tahoma"/>
                <w:sz w:val="20"/>
                <w:szCs w:val="20"/>
              </w:rPr>
            </w:pPr>
            <w:r w:rsidRPr="005E1EA7">
              <w:rPr>
                <w:rFonts w:ascii="Tahoma" w:hAnsi="Tahoma" w:cs="Tahoma"/>
                <w:sz w:val="20"/>
                <w:szCs w:val="20"/>
              </w:rPr>
              <w:t>500 mg/kg, seuls ou en combinaison</w:t>
            </w:r>
          </w:p>
        </w:tc>
      </w:tr>
    </w:tbl>
    <w:p w14:paraId="2D22D41F" w14:textId="77777777" w:rsidR="00EA331B" w:rsidRDefault="00EA331B" w:rsidP="001E35DC">
      <w:pPr>
        <w:rPr>
          <w:rFonts w:ascii="Tahoma" w:hAnsi="Tahoma" w:cs="Tahoma"/>
          <w:b/>
          <w:bCs/>
          <w:sz w:val="20"/>
          <w:szCs w:val="20"/>
        </w:rPr>
      </w:pPr>
    </w:p>
    <w:p w14:paraId="2E9850C2" w14:textId="791B734A" w:rsidR="003D69A8" w:rsidRPr="00EA331B" w:rsidRDefault="003D69A8" w:rsidP="001E35DC">
      <w:pPr>
        <w:rPr>
          <w:rFonts w:ascii="Tahoma" w:hAnsi="Tahoma" w:cs="Tahoma"/>
          <w:b/>
          <w:bCs/>
          <w:sz w:val="20"/>
          <w:szCs w:val="20"/>
        </w:rPr>
      </w:pPr>
      <w:r w:rsidRPr="00EA331B">
        <w:rPr>
          <w:rFonts w:ascii="Tahoma" w:hAnsi="Tahoma" w:cs="Tahoma"/>
          <w:b/>
          <w:bCs/>
          <w:sz w:val="20"/>
          <w:szCs w:val="20"/>
        </w:rPr>
        <w:t>2.5 Marinades de poissons, crustacés et mollusques</w:t>
      </w:r>
    </w:p>
    <w:tbl>
      <w:tblPr>
        <w:tblW w:w="0" w:type="auto"/>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843"/>
        <w:gridCol w:w="2803"/>
        <w:gridCol w:w="1024"/>
        <w:gridCol w:w="3402"/>
      </w:tblGrid>
      <w:tr w:rsidR="003D69A8" w:rsidRPr="005E1EA7" w14:paraId="4C188EAC" w14:textId="77777777" w:rsidTr="006365F0">
        <w:trPr>
          <w:cantSplit/>
        </w:trPr>
        <w:tc>
          <w:tcPr>
            <w:tcW w:w="1843" w:type="dxa"/>
          </w:tcPr>
          <w:p w14:paraId="245EEF94" w14:textId="77777777" w:rsidR="003D69A8" w:rsidRPr="005E1EA7" w:rsidRDefault="003D69A8" w:rsidP="001E35DC">
            <w:pPr>
              <w:rPr>
                <w:rFonts w:ascii="Tahoma" w:hAnsi="Tahoma" w:cs="Tahoma"/>
                <w:sz w:val="20"/>
                <w:szCs w:val="20"/>
              </w:rPr>
            </w:pPr>
            <w:r w:rsidRPr="005E1EA7">
              <w:rPr>
                <w:rFonts w:ascii="Tahoma" w:hAnsi="Tahoma" w:cs="Tahoma"/>
                <w:sz w:val="20"/>
                <w:szCs w:val="20"/>
              </w:rPr>
              <w:t>Edulcorants</w:t>
            </w:r>
          </w:p>
        </w:tc>
        <w:tc>
          <w:tcPr>
            <w:tcW w:w="2803" w:type="dxa"/>
          </w:tcPr>
          <w:p w14:paraId="6919D715" w14:textId="77777777" w:rsidR="003D69A8" w:rsidRPr="005E1EA7" w:rsidRDefault="003D69A8" w:rsidP="001E35DC">
            <w:pPr>
              <w:rPr>
                <w:rFonts w:ascii="Tahoma" w:hAnsi="Tahoma" w:cs="Tahoma"/>
                <w:sz w:val="20"/>
                <w:szCs w:val="20"/>
              </w:rPr>
            </w:pPr>
            <w:r w:rsidRPr="005E1EA7">
              <w:rPr>
                <w:rFonts w:ascii="Tahoma" w:hAnsi="Tahoma" w:cs="Tahoma"/>
                <w:sz w:val="20"/>
                <w:szCs w:val="20"/>
              </w:rPr>
              <w:t>Acésulfame K</w:t>
            </w:r>
          </w:p>
          <w:p w14:paraId="1F5D2410" w14:textId="77777777" w:rsidR="003D69A8" w:rsidRPr="005E1EA7" w:rsidRDefault="003D69A8" w:rsidP="001E35DC">
            <w:pPr>
              <w:rPr>
                <w:rFonts w:ascii="Tahoma" w:hAnsi="Tahoma" w:cs="Tahoma"/>
                <w:sz w:val="20"/>
                <w:szCs w:val="20"/>
              </w:rPr>
            </w:pPr>
            <w:r w:rsidRPr="005E1EA7">
              <w:rPr>
                <w:rFonts w:ascii="Tahoma" w:hAnsi="Tahoma" w:cs="Tahoma"/>
                <w:sz w:val="20"/>
                <w:szCs w:val="20"/>
              </w:rPr>
              <w:t>Aspartame</w:t>
            </w:r>
          </w:p>
          <w:p w14:paraId="533D2EB6" w14:textId="77777777" w:rsidR="003D69A8" w:rsidRPr="005E1EA7" w:rsidRDefault="003D69A8" w:rsidP="001E35DC">
            <w:pPr>
              <w:rPr>
                <w:rFonts w:ascii="Tahoma" w:hAnsi="Tahoma" w:cs="Tahoma"/>
                <w:sz w:val="20"/>
                <w:szCs w:val="20"/>
              </w:rPr>
            </w:pPr>
            <w:r w:rsidRPr="005E1EA7">
              <w:rPr>
                <w:rFonts w:ascii="Tahoma" w:hAnsi="Tahoma" w:cs="Tahoma"/>
                <w:sz w:val="20"/>
                <w:szCs w:val="20"/>
              </w:rPr>
              <w:t xml:space="preserve">Saccharine et sels de Na, K et </w:t>
            </w:r>
            <w:proofErr w:type="gramStart"/>
            <w:r w:rsidRPr="005E1EA7">
              <w:rPr>
                <w:rFonts w:ascii="Tahoma" w:hAnsi="Tahoma" w:cs="Tahoma"/>
                <w:sz w:val="20"/>
                <w:szCs w:val="20"/>
              </w:rPr>
              <w:t>Ca</w:t>
            </w:r>
            <w:proofErr w:type="gramEnd"/>
          </w:p>
          <w:p w14:paraId="6D35DF18" w14:textId="77777777" w:rsidR="003D69A8" w:rsidRPr="005E1EA7" w:rsidRDefault="003D69A8" w:rsidP="001E35DC">
            <w:pPr>
              <w:rPr>
                <w:rFonts w:ascii="Tahoma" w:hAnsi="Tahoma" w:cs="Tahoma"/>
                <w:sz w:val="20"/>
                <w:szCs w:val="20"/>
                <w:lang w:val="de-DE"/>
              </w:rPr>
            </w:pPr>
            <w:r w:rsidRPr="005E1EA7">
              <w:rPr>
                <w:rFonts w:ascii="Tahoma" w:hAnsi="Tahoma" w:cs="Tahoma"/>
                <w:sz w:val="20"/>
                <w:szCs w:val="20"/>
                <w:lang w:val="de-DE"/>
              </w:rPr>
              <w:t>Néohespéridine DC</w:t>
            </w:r>
          </w:p>
        </w:tc>
        <w:tc>
          <w:tcPr>
            <w:tcW w:w="1024" w:type="dxa"/>
          </w:tcPr>
          <w:p w14:paraId="46BC99E6" w14:textId="77777777" w:rsidR="003D69A8" w:rsidRPr="005E1EA7" w:rsidRDefault="003D69A8" w:rsidP="001E35DC">
            <w:pPr>
              <w:rPr>
                <w:rFonts w:ascii="Tahoma" w:hAnsi="Tahoma" w:cs="Tahoma"/>
                <w:sz w:val="20"/>
                <w:szCs w:val="20"/>
                <w:lang w:val="de-DE"/>
              </w:rPr>
            </w:pPr>
            <w:r w:rsidRPr="005E1EA7">
              <w:rPr>
                <w:rFonts w:ascii="Tahoma" w:hAnsi="Tahoma" w:cs="Tahoma"/>
                <w:sz w:val="20"/>
                <w:szCs w:val="20"/>
                <w:lang w:val="de-DE"/>
              </w:rPr>
              <w:t>E950</w:t>
            </w:r>
          </w:p>
          <w:p w14:paraId="4C68E1E6" w14:textId="77777777" w:rsidR="003D69A8" w:rsidRPr="005E1EA7" w:rsidRDefault="003D69A8" w:rsidP="001E35DC">
            <w:pPr>
              <w:rPr>
                <w:rFonts w:ascii="Tahoma" w:hAnsi="Tahoma" w:cs="Tahoma"/>
                <w:sz w:val="20"/>
                <w:szCs w:val="20"/>
                <w:lang w:val="de-DE"/>
              </w:rPr>
            </w:pPr>
            <w:r w:rsidRPr="005E1EA7">
              <w:rPr>
                <w:rFonts w:ascii="Tahoma" w:hAnsi="Tahoma" w:cs="Tahoma"/>
                <w:sz w:val="20"/>
                <w:szCs w:val="20"/>
                <w:lang w:val="de-DE"/>
              </w:rPr>
              <w:t>E951</w:t>
            </w:r>
          </w:p>
          <w:p w14:paraId="6EAF0A1F" w14:textId="77777777" w:rsidR="003D69A8" w:rsidRPr="005E1EA7" w:rsidRDefault="003D69A8" w:rsidP="001E35DC">
            <w:pPr>
              <w:rPr>
                <w:rFonts w:ascii="Tahoma" w:hAnsi="Tahoma" w:cs="Tahoma"/>
                <w:sz w:val="20"/>
                <w:szCs w:val="20"/>
                <w:lang w:val="de-DE"/>
              </w:rPr>
            </w:pPr>
            <w:r w:rsidRPr="005E1EA7">
              <w:rPr>
                <w:rFonts w:ascii="Tahoma" w:hAnsi="Tahoma" w:cs="Tahoma"/>
                <w:sz w:val="20"/>
                <w:szCs w:val="20"/>
                <w:lang w:val="de-DE"/>
              </w:rPr>
              <w:t>E954</w:t>
            </w:r>
          </w:p>
          <w:p w14:paraId="4C2431BC" w14:textId="77777777" w:rsidR="003D69A8" w:rsidRPr="005E1EA7" w:rsidRDefault="003D69A8" w:rsidP="001E35DC">
            <w:pPr>
              <w:rPr>
                <w:rFonts w:ascii="Tahoma" w:hAnsi="Tahoma" w:cs="Tahoma"/>
                <w:sz w:val="20"/>
                <w:szCs w:val="20"/>
                <w:lang w:val="de-DE"/>
              </w:rPr>
            </w:pPr>
            <w:r w:rsidRPr="005E1EA7">
              <w:rPr>
                <w:rFonts w:ascii="Tahoma" w:hAnsi="Tahoma" w:cs="Tahoma"/>
                <w:sz w:val="20"/>
                <w:szCs w:val="20"/>
                <w:lang w:val="de-DE"/>
              </w:rPr>
              <w:t>E959</w:t>
            </w:r>
          </w:p>
        </w:tc>
        <w:tc>
          <w:tcPr>
            <w:tcW w:w="3402" w:type="dxa"/>
          </w:tcPr>
          <w:p w14:paraId="2394D77C" w14:textId="77777777" w:rsidR="003D69A8" w:rsidRPr="005E1EA7" w:rsidRDefault="003D69A8" w:rsidP="001E35DC">
            <w:pPr>
              <w:rPr>
                <w:rFonts w:ascii="Tahoma" w:hAnsi="Tahoma" w:cs="Tahoma"/>
                <w:sz w:val="20"/>
                <w:szCs w:val="20"/>
                <w:lang w:val="de-DE"/>
              </w:rPr>
            </w:pPr>
            <w:r w:rsidRPr="005E1EA7">
              <w:rPr>
                <w:rFonts w:ascii="Tahoma" w:hAnsi="Tahoma" w:cs="Tahoma"/>
                <w:sz w:val="20"/>
                <w:szCs w:val="20"/>
                <w:lang w:val="de-DE"/>
              </w:rPr>
              <w:t>200 mg/kg</w:t>
            </w:r>
          </w:p>
          <w:p w14:paraId="201B6FE3" w14:textId="77777777" w:rsidR="003D69A8" w:rsidRPr="005E1EA7" w:rsidRDefault="003D69A8" w:rsidP="001E35DC">
            <w:pPr>
              <w:rPr>
                <w:rFonts w:ascii="Tahoma" w:hAnsi="Tahoma" w:cs="Tahoma"/>
                <w:sz w:val="20"/>
                <w:szCs w:val="20"/>
                <w:lang w:val="en-GB"/>
              </w:rPr>
            </w:pPr>
            <w:r w:rsidRPr="005E1EA7">
              <w:rPr>
                <w:rFonts w:ascii="Tahoma" w:hAnsi="Tahoma" w:cs="Tahoma"/>
                <w:sz w:val="20"/>
                <w:szCs w:val="20"/>
                <w:lang w:val="en-GB"/>
              </w:rPr>
              <w:t>300 mg/kg</w:t>
            </w:r>
          </w:p>
          <w:p w14:paraId="57A02803" w14:textId="77777777" w:rsidR="003D69A8" w:rsidRPr="005E1EA7" w:rsidRDefault="003D69A8" w:rsidP="001E35DC">
            <w:pPr>
              <w:rPr>
                <w:rFonts w:ascii="Tahoma" w:hAnsi="Tahoma" w:cs="Tahoma"/>
                <w:sz w:val="20"/>
                <w:szCs w:val="20"/>
                <w:lang w:val="en-GB"/>
              </w:rPr>
            </w:pPr>
            <w:r w:rsidRPr="005E1EA7">
              <w:rPr>
                <w:rFonts w:ascii="Tahoma" w:hAnsi="Tahoma" w:cs="Tahoma"/>
                <w:sz w:val="20"/>
                <w:szCs w:val="20"/>
                <w:lang w:val="en-GB"/>
              </w:rPr>
              <w:t>160 mg/kg</w:t>
            </w:r>
          </w:p>
          <w:p w14:paraId="362BDF0C" w14:textId="77777777" w:rsidR="003D69A8" w:rsidRPr="005E1EA7" w:rsidRDefault="003D69A8" w:rsidP="001E35DC">
            <w:pPr>
              <w:rPr>
                <w:rFonts w:ascii="Tahoma" w:hAnsi="Tahoma" w:cs="Tahoma"/>
                <w:sz w:val="20"/>
                <w:szCs w:val="20"/>
              </w:rPr>
            </w:pPr>
            <w:r w:rsidRPr="005E1EA7">
              <w:rPr>
                <w:rFonts w:ascii="Tahoma" w:hAnsi="Tahoma" w:cs="Tahoma"/>
                <w:sz w:val="20"/>
                <w:szCs w:val="20"/>
              </w:rPr>
              <w:t>30 mg/kg</w:t>
            </w:r>
          </w:p>
        </w:tc>
      </w:tr>
    </w:tbl>
    <w:p w14:paraId="652648FB" w14:textId="77777777" w:rsidR="003D69A8" w:rsidRPr="00EA331B" w:rsidRDefault="003D69A8" w:rsidP="001E35DC">
      <w:pPr>
        <w:rPr>
          <w:rFonts w:ascii="Tahoma" w:hAnsi="Tahoma" w:cs="Tahoma"/>
          <w:b/>
          <w:bCs/>
          <w:sz w:val="20"/>
          <w:szCs w:val="20"/>
        </w:rPr>
      </w:pPr>
      <w:r w:rsidRPr="00EA331B">
        <w:rPr>
          <w:rFonts w:ascii="Tahoma" w:hAnsi="Tahoma" w:cs="Tahoma"/>
          <w:b/>
          <w:bCs/>
          <w:sz w:val="20"/>
          <w:szCs w:val="20"/>
        </w:rPr>
        <w:t>2.5.1 Sprats</w:t>
      </w:r>
    </w:p>
    <w:tbl>
      <w:tblPr>
        <w:tblW w:w="0" w:type="auto"/>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843"/>
        <w:gridCol w:w="2835"/>
        <w:gridCol w:w="992"/>
        <w:gridCol w:w="3401"/>
      </w:tblGrid>
      <w:tr w:rsidR="003D69A8" w:rsidRPr="005E1EA7" w14:paraId="67957111" w14:textId="77777777" w:rsidTr="006365F0">
        <w:trPr>
          <w:cantSplit/>
        </w:trPr>
        <w:tc>
          <w:tcPr>
            <w:tcW w:w="1843" w:type="dxa"/>
          </w:tcPr>
          <w:p w14:paraId="08CA9FA0" w14:textId="77777777" w:rsidR="003D69A8" w:rsidRPr="005E1EA7" w:rsidRDefault="003D69A8" w:rsidP="001E35DC">
            <w:pPr>
              <w:rPr>
                <w:rFonts w:ascii="Tahoma" w:hAnsi="Tahoma" w:cs="Tahoma"/>
                <w:sz w:val="20"/>
                <w:szCs w:val="20"/>
              </w:rPr>
            </w:pPr>
            <w:r w:rsidRPr="005E1EA7">
              <w:rPr>
                <w:rFonts w:ascii="Tahoma" w:hAnsi="Tahoma" w:cs="Tahoma"/>
                <w:sz w:val="20"/>
                <w:szCs w:val="20"/>
              </w:rPr>
              <w:t>Conservateurs</w:t>
            </w:r>
          </w:p>
        </w:tc>
        <w:tc>
          <w:tcPr>
            <w:tcW w:w="2835" w:type="dxa"/>
          </w:tcPr>
          <w:p w14:paraId="605A79D1" w14:textId="77777777" w:rsidR="003D69A8" w:rsidRPr="005E1EA7" w:rsidRDefault="003D69A8" w:rsidP="001E35DC">
            <w:pPr>
              <w:rPr>
                <w:rFonts w:ascii="Tahoma" w:hAnsi="Tahoma" w:cs="Tahoma"/>
                <w:sz w:val="20"/>
                <w:szCs w:val="20"/>
              </w:rPr>
            </w:pPr>
            <w:r w:rsidRPr="005E1EA7">
              <w:rPr>
                <w:rFonts w:ascii="Tahoma" w:hAnsi="Tahoma" w:cs="Tahoma"/>
                <w:sz w:val="20"/>
                <w:szCs w:val="20"/>
              </w:rPr>
              <w:t>Nitrate de sodium</w:t>
            </w:r>
          </w:p>
          <w:p w14:paraId="0A0025B7" w14:textId="77777777" w:rsidR="003D69A8" w:rsidRPr="005E1EA7" w:rsidRDefault="003D69A8" w:rsidP="001E35DC">
            <w:pPr>
              <w:rPr>
                <w:rFonts w:ascii="Tahoma" w:hAnsi="Tahoma" w:cs="Tahoma"/>
                <w:sz w:val="20"/>
                <w:szCs w:val="20"/>
              </w:rPr>
            </w:pPr>
            <w:r w:rsidRPr="005E1EA7">
              <w:rPr>
                <w:rFonts w:ascii="Tahoma" w:hAnsi="Tahoma" w:cs="Tahoma"/>
                <w:sz w:val="20"/>
                <w:szCs w:val="20"/>
              </w:rPr>
              <w:t>Nitrate de potassium</w:t>
            </w:r>
          </w:p>
        </w:tc>
        <w:tc>
          <w:tcPr>
            <w:tcW w:w="992" w:type="dxa"/>
          </w:tcPr>
          <w:p w14:paraId="42B38857" w14:textId="77777777" w:rsidR="003D69A8" w:rsidRPr="005E1EA7" w:rsidRDefault="003D69A8" w:rsidP="001E35DC">
            <w:pPr>
              <w:rPr>
                <w:rFonts w:ascii="Tahoma" w:hAnsi="Tahoma" w:cs="Tahoma"/>
                <w:sz w:val="20"/>
                <w:szCs w:val="20"/>
              </w:rPr>
            </w:pPr>
            <w:r w:rsidRPr="005E1EA7">
              <w:rPr>
                <w:rFonts w:ascii="Tahoma" w:hAnsi="Tahoma" w:cs="Tahoma"/>
                <w:sz w:val="20"/>
                <w:szCs w:val="20"/>
              </w:rPr>
              <w:t>E 251</w:t>
            </w:r>
          </w:p>
          <w:p w14:paraId="7C82478B" w14:textId="77777777" w:rsidR="003D69A8" w:rsidRPr="005E1EA7" w:rsidRDefault="003D69A8" w:rsidP="001E35DC">
            <w:pPr>
              <w:rPr>
                <w:rFonts w:ascii="Tahoma" w:hAnsi="Tahoma" w:cs="Tahoma"/>
                <w:sz w:val="20"/>
                <w:szCs w:val="20"/>
              </w:rPr>
            </w:pPr>
            <w:r w:rsidRPr="005E1EA7">
              <w:rPr>
                <w:rFonts w:ascii="Tahoma" w:hAnsi="Tahoma" w:cs="Tahoma"/>
                <w:sz w:val="20"/>
                <w:szCs w:val="20"/>
              </w:rPr>
              <w:t>E252</w:t>
            </w:r>
          </w:p>
        </w:tc>
        <w:tc>
          <w:tcPr>
            <w:tcW w:w="3401" w:type="dxa"/>
          </w:tcPr>
          <w:p w14:paraId="2CFFACD0" w14:textId="77777777" w:rsidR="003D69A8" w:rsidRPr="005E1EA7" w:rsidRDefault="003D69A8" w:rsidP="001E35DC">
            <w:pPr>
              <w:rPr>
                <w:rFonts w:ascii="Tahoma" w:hAnsi="Tahoma" w:cs="Tahoma"/>
                <w:sz w:val="20"/>
                <w:szCs w:val="20"/>
              </w:rPr>
            </w:pPr>
            <w:r w:rsidRPr="005E1EA7">
              <w:rPr>
                <w:rFonts w:ascii="Tahoma" w:hAnsi="Tahoma" w:cs="Tahoma"/>
                <w:sz w:val="20"/>
                <w:szCs w:val="20"/>
              </w:rPr>
              <w:t>200 mg/kg, quantité résiduelle, y compris le nitrite formé à partir de nitrate, exprimé en NaNO2</w:t>
            </w:r>
          </w:p>
        </w:tc>
      </w:tr>
    </w:tbl>
    <w:p w14:paraId="6B1F7A48" w14:textId="77777777" w:rsidR="003D69A8" w:rsidRPr="005E1EA7" w:rsidRDefault="003D69A8" w:rsidP="001E35DC">
      <w:pPr>
        <w:rPr>
          <w:rFonts w:ascii="Tahoma" w:hAnsi="Tahoma" w:cs="Tahoma"/>
          <w:i/>
          <w:iCs/>
          <w:sz w:val="20"/>
          <w:szCs w:val="20"/>
        </w:rPr>
      </w:pPr>
    </w:p>
    <w:p w14:paraId="31A30595" w14:textId="77777777" w:rsidR="003D69A8" w:rsidRPr="00EA331B" w:rsidRDefault="003D69A8" w:rsidP="001E35DC">
      <w:pPr>
        <w:rPr>
          <w:rFonts w:ascii="Tahoma" w:hAnsi="Tahoma" w:cs="Tahoma"/>
          <w:b/>
          <w:bCs/>
          <w:sz w:val="20"/>
          <w:szCs w:val="20"/>
        </w:rPr>
      </w:pPr>
      <w:r w:rsidRPr="00EA331B">
        <w:rPr>
          <w:rFonts w:ascii="Tahoma" w:hAnsi="Tahoma" w:cs="Tahoma"/>
          <w:b/>
          <w:bCs/>
          <w:sz w:val="20"/>
          <w:szCs w:val="20"/>
        </w:rPr>
        <w:t>2.6 Produits de poisson en semi-conserve, y compris ceux à base d’œufs de poisson</w:t>
      </w:r>
    </w:p>
    <w:tbl>
      <w:tblPr>
        <w:tblW w:w="0" w:type="auto"/>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843"/>
        <w:gridCol w:w="2803"/>
        <w:gridCol w:w="975"/>
        <w:gridCol w:w="3451"/>
      </w:tblGrid>
      <w:tr w:rsidR="003D69A8" w:rsidRPr="005E1EA7" w14:paraId="04894C7D" w14:textId="77777777" w:rsidTr="006365F0">
        <w:trPr>
          <w:cantSplit/>
        </w:trPr>
        <w:tc>
          <w:tcPr>
            <w:tcW w:w="1843" w:type="dxa"/>
          </w:tcPr>
          <w:p w14:paraId="5619EE7C" w14:textId="77777777" w:rsidR="003D69A8" w:rsidRPr="005E1EA7" w:rsidRDefault="003D69A8" w:rsidP="001E35DC">
            <w:pPr>
              <w:rPr>
                <w:rFonts w:ascii="Tahoma" w:hAnsi="Tahoma" w:cs="Tahoma"/>
                <w:sz w:val="20"/>
                <w:szCs w:val="20"/>
              </w:rPr>
            </w:pPr>
            <w:r w:rsidRPr="005E1EA7">
              <w:rPr>
                <w:rFonts w:ascii="Tahoma" w:hAnsi="Tahoma" w:cs="Tahoma"/>
                <w:sz w:val="20"/>
                <w:szCs w:val="20"/>
              </w:rPr>
              <w:t>Conservateurs</w:t>
            </w:r>
          </w:p>
        </w:tc>
        <w:tc>
          <w:tcPr>
            <w:tcW w:w="2803" w:type="dxa"/>
          </w:tcPr>
          <w:p w14:paraId="3BDEDE38" w14:textId="77777777" w:rsidR="003D69A8" w:rsidRPr="005E1EA7" w:rsidRDefault="003D69A8" w:rsidP="001E35DC">
            <w:pPr>
              <w:rPr>
                <w:rFonts w:ascii="Tahoma" w:hAnsi="Tahoma" w:cs="Tahoma"/>
                <w:sz w:val="20"/>
                <w:szCs w:val="20"/>
              </w:rPr>
            </w:pPr>
            <w:proofErr w:type="gramStart"/>
            <w:r w:rsidRPr="005E1EA7">
              <w:rPr>
                <w:rFonts w:ascii="Tahoma" w:hAnsi="Tahoma" w:cs="Tahoma"/>
                <w:sz w:val="20"/>
                <w:szCs w:val="20"/>
              </w:rPr>
              <w:t>acide</w:t>
            </w:r>
            <w:proofErr w:type="gramEnd"/>
            <w:r w:rsidRPr="005E1EA7">
              <w:rPr>
                <w:rFonts w:ascii="Tahoma" w:hAnsi="Tahoma" w:cs="Tahoma"/>
                <w:sz w:val="20"/>
                <w:szCs w:val="20"/>
              </w:rPr>
              <w:t xml:space="preserve"> sorbique et ses sels</w:t>
            </w:r>
          </w:p>
          <w:p w14:paraId="6FFFD5A5" w14:textId="77777777" w:rsidR="003D69A8" w:rsidRPr="005E1EA7" w:rsidRDefault="003D69A8" w:rsidP="001E35DC">
            <w:pPr>
              <w:rPr>
                <w:rFonts w:ascii="Tahoma" w:hAnsi="Tahoma" w:cs="Tahoma"/>
                <w:sz w:val="20"/>
                <w:szCs w:val="20"/>
              </w:rPr>
            </w:pPr>
            <w:r w:rsidRPr="005E1EA7">
              <w:rPr>
                <w:rFonts w:ascii="Tahoma" w:hAnsi="Tahoma" w:cs="Tahoma"/>
                <w:sz w:val="20"/>
                <w:szCs w:val="20"/>
              </w:rPr>
              <w:t>acide benzoïque et ses sels</w:t>
            </w:r>
          </w:p>
        </w:tc>
        <w:tc>
          <w:tcPr>
            <w:tcW w:w="975" w:type="dxa"/>
          </w:tcPr>
          <w:p w14:paraId="44B409D6" w14:textId="77777777" w:rsidR="003D69A8" w:rsidRPr="005E1EA7" w:rsidRDefault="003D69A8" w:rsidP="001E35DC">
            <w:pPr>
              <w:rPr>
                <w:rFonts w:ascii="Tahoma" w:hAnsi="Tahoma" w:cs="Tahoma"/>
                <w:sz w:val="20"/>
                <w:szCs w:val="20"/>
              </w:rPr>
            </w:pPr>
            <w:r w:rsidRPr="005E1EA7">
              <w:rPr>
                <w:rFonts w:ascii="Tahoma" w:hAnsi="Tahoma" w:cs="Tahoma"/>
                <w:sz w:val="20"/>
                <w:szCs w:val="20"/>
              </w:rPr>
              <w:t>E200 ...</w:t>
            </w:r>
          </w:p>
          <w:p w14:paraId="49EA29FD" w14:textId="77777777" w:rsidR="003D69A8" w:rsidRPr="005E1EA7" w:rsidRDefault="003D69A8" w:rsidP="001E35DC">
            <w:pPr>
              <w:rPr>
                <w:rFonts w:ascii="Tahoma" w:hAnsi="Tahoma" w:cs="Tahoma"/>
                <w:sz w:val="20"/>
                <w:szCs w:val="20"/>
              </w:rPr>
            </w:pPr>
            <w:r w:rsidRPr="005E1EA7">
              <w:rPr>
                <w:rFonts w:ascii="Tahoma" w:hAnsi="Tahoma" w:cs="Tahoma"/>
                <w:sz w:val="20"/>
                <w:szCs w:val="20"/>
              </w:rPr>
              <w:t>E210 ...</w:t>
            </w:r>
          </w:p>
        </w:tc>
        <w:tc>
          <w:tcPr>
            <w:tcW w:w="3451" w:type="dxa"/>
          </w:tcPr>
          <w:p w14:paraId="3759A12F" w14:textId="77777777" w:rsidR="003D69A8" w:rsidRPr="005E1EA7" w:rsidRDefault="003D69A8" w:rsidP="001E35DC">
            <w:pPr>
              <w:rPr>
                <w:rFonts w:ascii="Tahoma" w:hAnsi="Tahoma" w:cs="Tahoma"/>
                <w:sz w:val="20"/>
                <w:szCs w:val="20"/>
              </w:rPr>
            </w:pPr>
            <w:r w:rsidRPr="005E1EA7">
              <w:rPr>
                <w:rFonts w:ascii="Tahoma" w:hAnsi="Tahoma" w:cs="Tahoma"/>
                <w:sz w:val="20"/>
                <w:szCs w:val="20"/>
              </w:rPr>
              <w:t>2000 mg/kg seul ou en mélange</w:t>
            </w:r>
          </w:p>
        </w:tc>
      </w:tr>
    </w:tbl>
    <w:p w14:paraId="224804AB" w14:textId="77777777" w:rsidR="003D69A8" w:rsidRPr="005E1EA7" w:rsidRDefault="003D69A8" w:rsidP="001E35DC">
      <w:pPr>
        <w:rPr>
          <w:rFonts w:ascii="Tahoma" w:hAnsi="Tahoma" w:cs="Tahoma"/>
          <w:sz w:val="20"/>
          <w:szCs w:val="20"/>
        </w:rPr>
      </w:pPr>
    </w:p>
    <w:p w14:paraId="3FE7E2DF" w14:textId="77777777" w:rsidR="003D69A8" w:rsidRPr="00EA331B" w:rsidRDefault="003D69A8" w:rsidP="001E35DC">
      <w:pPr>
        <w:rPr>
          <w:rFonts w:ascii="Tahoma" w:hAnsi="Tahoma" w:cs="Tahoma"/>
          <w:b/>
          <w:bCs/>
          <w:sz w:val="20"/>
          <w:szCs w:val="20"/>
        </w:rPr>
      </w:pPr>
      <w:r w:rsidRPr="00EA331B">
        <w:rPr>
          <w:rFonts w:ascii="Tahoma" w:hAnsi="Tahoma" w:cs="Tahoma"/>
          <w:b/>
          <w:bCs/>
          <w:sz w:val="20"/>
          <w:szCs w:val="20"/>
        </w:rPr>
        <w:t>2.6.1 Produits de poisson en semi-conserve</w:t>
      </w:r>
    </w:p>
    <w:tbl>
      <w:tblPr>
        <w:tblW w:w="0" w:type="auto"/>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843"/>
        <w:gridCol w:w="2803"/>
        <w:gridCol w:w="1024"/>
        <w:gridCol w:w="3402"/>
      </w:tblGrid>
      <w:tr w:rsidR="003D69A8" w:rsidRPr="005E1EA7" w14:paraId="2655A3F8" w14:textId="77777777" w:rsidTr="006365F0">
        <w:trPr>
          <w:cantSplit/>
        </w:trPr>
        <w:tc>
          <w:tcPr>
            <w:tcW w:w="1843" w:type="dxa"/>
          </w:tcPr>
          <w:p w14:paraId="3DF75B2E" w14:textId="77777777" w:rsidR="003D69A8" w:rsidRPr="005E1EA7" w:rsidRDefault="003D69A8" w:rsidP="001E35DC">
            <w:pPr>
              <w:rPr>
                <w:rFonts w:ascii="Tahoma" w:hAnsi="Tahoma" w:cs="Tahoma"/>
                <w:sz w:val="20"/>
                <w:szCs w:val="20"/>
              </w:rPr>
            </w:pPr>
            <w:r w:rsidRPr="005E1EA7">
              <w:rPr>
                <w:rFonts w:ascii="Tahoma" w:hAnsi="Tahoma" w:cs="Tahoma"/>
                <w:sz w:val="20"/>
                <w:szCs w:val="20"/>
              </w:rPr>
              <w:t>Antioxygènes</w:t>
            </w:r>
          </w:p>
        </w:tc>
        <w:tc>
          <w:tcPr>
            <w:tcW w:w="2803" w:type="dxa"/>
          </w:tcPr>
          <w:p w14:paraId="5571C934" w14:textId="77777777" w:rsidR="003D69A8" w:rsidRPr="005E1EA7" w:rsidRDefault="003D69A8" w:rsidP="001E35DC">
            <w:pPr>
              <w:rPr>
                <w:rFonts w:ascii="Tahoma" w:hAnsi="Tahoma" w:cs="Tahoma"/>
                <w:sz w:val="20"/>
                <w:szCs w:val="20"/>
              </w:rPr>
            </w:pPr>
            <w:proofErr w:type="gramStart"/>
            <w:r w:rsidRPr="005E1EA7">
              <w:rPr>
                <w:rFonts w:ascii="Tahoma" w:hAnsi="Tahoma" w:cs="Tahoma"/>
                <w:sz w:val="20"/>
                <w:szCs w:val="20"/>
              </w:rPr>
              <w:t>acide</w:t>
            </w:r>
            <w:proofErr w:type="gramEnd"/>
            <w:r w:rsidRPr="005E1EA7">
              <w:rPr>
                <w:rFonts w:ascii="Tahoma" w:hAnsi="Tahoma" w:cs="Tahoma"/>
                <w:sz w:val="20"/>
                <w:szCs w:val="20"/>
              </w:rPr>
              <w:t xml:space="preserve"> érythorbique</w:t>
            </w:r>
          </w:p>
          <w:p w14:paraId="0940B366" w14:textId="77777777" w:rsidR="003D69A8" w:rsidRPr="005E1EA7" w:rsidRDefault="003D69A8" w:rsidP="001E35DC">
            <w:pPr>
              <w:rPr>
                <w:rFonts w:ascii="Tahoma" w:hAnsi="Tahoma" w:cs="Tahoma"/>
                <w:sz w:val="20"/>
                <w:szCs w:val="20"/>
              </w:rPr>
            </w:pPr>
            <w:r w:rsidRPr="005E1EA7">
              <w:rPr>
                <w:rFonts w:ascii="Tahoma" w:hAnsi="Tahoma" w:cs="Tahoma"/>
                <w:sz w:val="20"/>
                <w:szCs w:val="20"/>
              </w:rPr>
              <w:t>érythorbate de sodium</w:t>
            </w:r>
          </w:p>
        </w:tc>
        <w:tc>
          <w:tcPr>
            <w:tcW w:w="1024" w:type="dxa"/>
          </w:tcPr>
          <w:p w14:paraId="122F0BED" w14:textId="77777777" w:rsidR="003D69A8" w:rsidRPr="005E1EA7" w:rsidRDefault="003D69A8" w:rsidP="001E35DC">
            <w:pPr>
              <w:rPr>
                <w:rFonts w:ascii="Tahoma" w:hAnsi="Tahoma" w:cs="Tahoma"/>
                <w:sz w:val="20"/>
                <w:szCs w:val="20"/>
              </w:rPr>
            </w:pPr>
            <w:r w:rsidRPr="005E1EA7">
              <w:rPr>
                <w:rFonts w:ascii="Tahoma" w:hAnsi="Tahoma" w:cs="Tahoma"/>
                <w:sz w:val="20"/>
                <w:szCs w:val="20"/>
              </w:rPr>
              <w:t>E315</w:t>
            </w:r>
          </w:p>
          <w:p w14:paraId="31E93B98" w14:textId="77777777" w:rsidR="003D69A8" w:rsidRPr="005E1EA7" w:rsidRDefault="003D69A8" w:rsidP="001E35DC">
            <w:pPr>
              <w:rPr>
                <w:rFonts w:ascii="Tahoma" w:hAnsi="Tahoma" w:cs="Tahoma"/>
                <w:sz w:val="20"/>
                <w:szCs w:val="20"/>
              </w:rPr>
            </w:pPr>
            <w:r w:rsidRPr="005E1EA7">
              <w:rPr>
                <w:rFonts w:ascii="Tahoma" w:hAnsi="Tahoma" w:cs="Tahoma"/>
                <w:sz w:val="20"/>
                <w:szCs w:val="20"/>
              </w:rPr>
              <w:t>E316</w:t>
            </w:r>
          </w:p>
        </w:tc>
        <w:tc>
          <w:tcPr>
            <w:tcW w:w="3402" w:type="dxa"/>
          </w:tcPr>
          <w:p w14:paraId="5BA00E68" w14:textId="77777777" w:rsidR="003D69A8" w:rsidRPr="005E1EA7" w:rsidRDefault="003D69A8" w:rsidP="001E35DC">
            <w:pPr>
              <w:rPr>
                <w:rFonts w:ascii="Tahoma" w:hAnsi="Tahoma" w:cs="Tahoma"/>
                <w:sz w:val="20"/>
                <w:szCs w:val="20"/>
              </w:rPr>
            </w:pPr>
            <w:r w:rsidRPr="005E1EA7">
              <w:rPr>
                <w:rFonts w:ascii="Tahoma" w:hAnsi="Tahoma" w:cs="Tahoma"/>
                <w:sz w:val="20"/>
                <w:szCs w:val="20"/>
              </w:rPr>
              <w:t>1500mg/kg exprimé en acide érythorbique</w:t>
            </w:r>
          </w:p>
        </w:tc>
      </w:tr>
    </w:tbl>
    <w:p w14:paraId="3E80220F" w14:textId="77777777" w:rsidR="003D69A8" w:rsidRPr="005E1EA7" w:rsidRDefault="003D69A8" w:rsidP="001E35DC">
      <w:pPr>
        <w:rPr>
          <w:rFonts w:ascii="Tahoma" w:hAnsi="Tahoma" w:cs="Tahoma"/>
          <w:sz w:val="20"/>
          <w:szCs w:val="20"/>
        </w:rPr>
      </w:pPr>
    </w:p>
    <w:p w14:paraId="54A75F6E" w14:textId="77777777" w:rsidR="003D69A8" w:rsidRPr="00EA331B" w:rsidRDefault="003D69A8" w:rsidP="001E35DC">
      <w:pPr>
        <w:rPr>
          <w:rFonts w:ascii="Tahoma" w:hAnsi="Tahoma" w:cs="Tahoma"/>
          <w:b/>
          <w:bCs/>
          <w:sz w:val="20"/>
          <w:szCs w:val="20"/>
        </w:rPr>
      </w:pPr>
      <w:r w:rsidRPr="00EA331B">
        <w:rPr>
          <w:rFonts w:ascii="Tahoma" w:hAnsi="Tahoma" w:cs="Tahoma"/>
          <w:b/>
          <w:bCs/>
          <w:sz w:val="20"/>
          <w:szCs w:val="20"/>
        </w:rPr>
        <w:t>2.6.1.1 Semi-conserves aigres-douces de poissons</w:t>
      </w:r>
    </w:p>
    <w:tbl>
      <w:tblPr>
        <w:tblW w:w="0" w:type="auto"/>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843"/>
        <w:gridCol w:w="2803"/>
        <w:gridCol w:w="1024"/>
        <w:gridCol w:w="3402"/>
      </w:tblGrid>
      <w:tr w:rsidR="003D69A8" w:rsidRPr="005E1EA7" w14:paraId="23A2459C" w14:textId="77777777" w:rsidTr="006365F0">
        <w:trPr>
          <w:cantSplit/>
        </w:trPr>
        <w:tc>
          <w:tcPr>
            <w:tcW w:w="1843" w:type="dxa"/>
          </w:tcPr>
          <w:p w14:paraId="3404F1D4" w14:textId="77777777" w:rsidR="003D69A8" w:rsidRPr="005E1EA7" w:rsidRDefault="003D69A8" w:rsidP="001E35DC">
            <w:pPr>
              <w:rPr>
                <w:rFonts w:ascii="Tahoma" w:hAnsi="Tahoma" w:cs="Tahoma"/>
                <w:sz w:val="20"/>
                <w:szCs w:val="20"/>
              </w:rPr>
            </w:pPr>
            <w:r w:rsidRPr="005E1EA7">
              <w:rPr>
                <w:rFonts w:ascii="Tahoma" w:hAnsi="Tahoma" w:cs="Tahoma"/>
                <w:sz w:val="20"/>
                <w:szCs w:val="20"/>
              </w:rPr>
              <w:t>Edulcorants</w:t>
            </w:r>
          </w:p>
        </w:tc>
        <w:tc>
          <w:tcPr>
            <w:tcW w:w="2803" w:type="dxa"/>
          </w:tcPr>
          <w:p w14:paraId="3CBE16F3" w14:textId="77777777" w:rsidR="003D69A8" w:rsidRPr="005E1EA7" w:rsidRDefault="003D69A8" w:rsidP="001E35DC">
            <w:pPr>
              <w:rPr>
                <w:rFonts w:ascii="Tahoma" w:hAnsi="Tahoma" w:cs="Tahoma"/>
                <w:sz w:val="20"/>
                <w:szCs w:val="20"/>
              </w:rPr>
            </w:pPr>
            <w:r w:rsidRPr="005E1EA7">
              <w:rPr>
                <w:rFonts w:ascii="Tahoma" w:hAnsi="Tahoma" w:cs="Tahoma"/>
                <w:sz w:val="20"/>
                <w:szCs w:val="20"/>
              </w:rPr>
              <w:t>Acésulfame K</w:t>
            </w:r>
          </w:p>
          <w:p w14:paraId="6383464F" w14:textId="77777777" w:rsidR="003D69A8" w:rsidRPr="005E1EA7" w:rsidRDefault="003D69A8" w:rsidP="001E35DC">
            <w:pPr>
              <w:rPr>
                <w:rFonts w:ascii="Tahoma" w:hAnsi="Tahoma" w:cs="Tahoma"/>
                <w:sz w:val="20"/>
                <w:szCs w:val="20"/>
              </w:rPr>
            </w:pPr>
            <w:r w:rsidRPr="005E1EA7">
              <w:rPr>
                <w:rFonts w:ascii="Tahoma" w:hAnsi="Tahoma" w:cs="Tahoma"/>
                <w:sz w:val="20"/>
                <w:szCs w:val="20"/>
              </w:rPr>
              <w:t>Aspartame</w:t>
            </w:r>
          </w:p>
          <w:p w14:paraId="3E2D4354" w14:textId="77777777" w:rsidR="003D69A8" w:rsidRPr="005E1EA7" w:rsidRDefault="003D69A8" w:rsidP="001E35DC">
            <w:pPr>
              <w:rPr>
                <w:rFonts w:ascii="Tahoma" w:hAnsi="Tahoma" w:cs="Tahoma"/>
                <w:sz w:val="20"/>
                <w:szCs w:val="20"/>
              </w:rPr>
            </w:pPr>
            <w:r w:rsidRPr="005E1EA7">
              <w:rPr>
                <w:rFonts w:ascii="Tahoma" w:hAnsi="Tahoma" w:cs="Tahoma"/>
                <w:sz w:val="20"/>
                <w:szCs w:val="20"/>
              </w:rPr>
              <w:t xml:space="preserve">Saccharine et sels de Na, K et </w:t>
            </w:r>
            <w:proofErr w:type="gramStart"/>
            <w:r w:rsidRPr="005E1EA7">
              <w:rPr>
                <w:rFonts w:ascii="Tahoma" w:hAnsi="Tahoma" w:cs="Tahoma"/>
                <w:sz w:val="20"/>
                <w:szCs w:val="20"/>
              </w:rPr>
              <w:t>Ca</w:t>
            </w:r>
            <w:proofErr w:type="gramEnd"/>
          </w:p>
          <w:p w14:paraId="697CC64E" w14:textId="77777777" w:rsidR="003D69A8" w:rsidRPr="005E1EA7" w:rsidRDefault="003D69A8" w:rsidP="001E35DC">
            <w:pPr>
              <w:rPr>
                <w:rFonts w:ascii="Tahoma" w:hAnsi="Tahoma" w:cs="Tahoma"/>
                <w:sz w:val="20"/>
                <w:szCs w:val="20"/>
                <w:lang w:val="de-DE"/>
              </w:rPr>
            </w:pPr>
            <w:r w:rsidRPr="005E1EA7">
              <w:rPr>
                <w:rFonts w:ascii="Tahoma" w:hAnsi="Tahoma" w:cs="Tahoma"/>
                <w:sz w:val="20"/>
                <w:szCs w:val="20"/>
                <w:lang w:val="de-DE"/>
              </w:rPr>
              <w:t>Néohespéridine DC</w:t>
            </w:r>
          </w:p>
        </w:tc>
        <w:tc>
          <w:tcPr>
            <w:tcW w:w="1024" w:type="dxa"/>
          </w:tcPr>
          <w:p w14:paraId="72D0818A" w14:textId="77777777" w:rsidR="003D69A8" w:rsidRPr="005E1EA7" w:rsidRDefault="003D69A8" w:rsidP="001E35DC">
            <w:pPr>
              <w:rPr>
                <w:rFonts w:ascii="Tahoma" w:hAnsi="Tahoma" w:cs="Tahoma"/>
                <w:sz w:val="20"/>
                <w:szCs w:val="20"/>
                <w:lang w:val="de-DE"/>
              </w:rPr>
            </w:pPr>
            <w:r w:rsidRPr="005E1EA7">
              <w:rPr>
                <w:rFonts w:ascii="Tahoma" w:hAnsi="Tahoma" w:cs="Tahoma"/>
                <w:sz w:val="20"/>
                <w:szCs w:val="20"/>
                <w:lang w:val="de-DE"/>
              </w:rPr>
              <w:t>E950</w:t>
            </w:r>
          </w:p>
          <w:p w14:paraId="440677DB" w14:textId="77777777" w:rsidR="003D69A8" w:rsidRPr="005E1EA7" w:rsidRDefault="003D69A8" w:rsidP="001E35DC">
            <w:pPr>
              <w:rPr>
                <w:rFonts w:ascii="Tahoma" w:hAnsi="Tahoma" w:cs="Tahoma"/>
                <w:sz w:val="20"/>
                <w:szCs w:val="20"/>
                <w:lang w:val="de-DE"/>
              </w:rPr>
            </w:pPr>
            <w:r w:rsidRPr="005E1EA7">
              <w:rPr>
                <w:rFonts w:ascii="Tahoma" w:hAnsi="Tahoma" w:cs="Tahoma"/>
                <w:sz w:val="20"/>
                <w:szCs w:val="20"/>
                <w:lang w:val="de-DE"/>
              </w:rPr>
              <w:t>E951</w:t>
            </w:r>
          </w:p>
          <w:p w14:paraId="4730D59D" w14:textId="77777777" w:rsidR="003D69A8" w:rsidRPr="005E1EA7" w:rsidRDefault="003D69A8" w:rsidP="001E35DC">
            <w:pPr>
              <w:rPr>
                <w:rFonts w:ascii="Tahoma" w:hAnsi="Tahoma" w:cs="Tahoma"/>
                <w:sz w:val="20"/>
                <w:szCs w:val="20"/>
                <w:lang w:val="de-DE"/>
              </w:rPr>
            </w:pPr>
            <w:r w:rsidRPr="005E1EA7">
              <w:rPr>
                <w:rFonts w:ascii="Tahoma" w:hAnsi="Tahoma" w:cs="Tahoma"/>
                <w:sz w:val="20"/>
                <w:szCs w:val="20"/>
                <w:lang w:val="de-DE"/>
              </w:rPr>
              <w:t>E954</w:t>
            </w:r>
          </w:p>
          <w:p w14:paraId="377FC5B2" w14:textId="77777777" w:rsidR="003D69A8" w:rsidRPr="005E1EA7" w:rsidRDefault="003D69A8" w:rsidP="001E35DC">
            <w:pPr>
              <w:rPr>
                <w:rFonts w:ascii="Tahoma" w:hAnsi="Tahoma" w:cs="Tahoma"/>
                <w:sz w:val="20"/>
                <w:szCs w:val="20"/>
                <w:lang w:val="de-DE"/>
              </w:rPr>
            </w:pPr>
            <w:r w:rsidRPr="005E1EA7">
              <w:rPr>
                <w:rFonts w:ascii="Tahoma" w:hAnsi="Tahoma" w:cs="Tahoma"/>
                <w:sz w:val="20"/>
                <w:szCs w:val="20"/>
                <w:lang w:val="de-DE"/>
              </w:rPr>
              <w:t>E959</w:t>
            </w:r>
          </w:p>
        </w:tc>
        <w:tc>
          <w:tcPr>
            <w:tcW w:w="3402" w:type="dxa"/>
          </w:tcPr>
          <w:p w14:paraId="3BD01974" w14:textId="77777777" w:rsidR="003D69A8" w:rsidRPr="005E1EA7" w:rsidRDefault="003D69A8" w:rsidP="001E35DC">
            <w:pPr>
              <w:rPr>
                <w:rFonts w:ascii="Tahoma" w:hAnsi="Tahoma" w:cs="Tahoma"/>
                <w:sz w:val="20"/>
                <w:szCs w:val="20"/>
                <w:lang w:val="de-DE"/>
              </w:rPr>
            </w:pPr>
            <w:r w:rsidRPr="005E1EA7">
              <w:rPr>
                <w:rFonts w:ascii="Tahoma" w:hAnsi="Tahoma" w:cs="Tahoma"/>
                <w:sz w:val="20"/>
                <w:szCs w:val="20"/>
                <w:lang w:val="de-DE"/>
              </w:rPr>
              <w:t>200 mg/kg</w:t>
            </w:r>
          </w:p>
          <w:p w14:paraId="396D3E2C" w14:textId="77777777" w:rsidR="003D69A8" w:rsidRPr="005E1EA7" w:rsidRDefault="003D69A8" w:rsidP="001E35DC">
            <w:pPr>
              <w:rPr>
                <w:rFonts w:ascii="Tahoma" w:hAnsi="Tahoma" w:cs="Tahoma"/>
                <w:sz w:val="20"/>
                <w:szCs w:val="20"/>
                <w:lang w:val="en-GB"/>
              </w:rPr>
            </w:pPr>
            <w:r w:rsidRPr="005E1EA7">
              <w:rPr>
                <w:rFonts w:ascii="Tahoma" w:hAnsi="Tahoma" w:cs="Tahoma"/>
                <w:sz w:val="20"/>
                <w:szCs w:val="20"/>
                <w:lang w:val="en-GB"/>
              </w:rPr>
              <w:t>300 mg/kg</w:t>
            </w:r>
          </w:p>
          <w:p w14:paraId="2EF6FF51" w14:textId="77777777" w:rsidR="003D69A8" w:rsidRPr="005E1EA7" w:rsidRDefault="003D69A8" w:rsidP="001E35DC">
            <w:pPr>
              <w:rPr>
                <w:rFonts w:ascii="Tahoma" w:hAnsi="Tahoma" w:cs="Tahoma"/>
                <w:sz w:val="20"/>
                <w:szCs w:val="20"/>
                <w:lang w:val="en-GB"/>
              </w:rPr>
            </w:pPr>
            <w:r w:rsidRPr="005E1EA7">
              <w:rPr>
                <w:rFonts w:ascii="Tahoma" w:hAnsi="Tahoma" w:cs="Tahoma"/>
                <w:sz w:val="20"/>
                <w:szCs w:val="20"/>
                <w:lang w:val="en-GB"/>
              </w:rPr>
              <w:t>160 mg/kg</w:t>
            </w:r>
          </w:p>
          <w:p w14:paraId="54AD9E64" w14:textId="77777777" w:rsidR="003D69A8" w:rsidRPr="005E1EA7" w:rsidRDefault="003D69A8" w:rsidP="001E35DC">
            <w:pPr>
              <w:rPr>
                <w:rFonts w:ascii="Tahoma" w:hAnsi="Tahoma" w:cs="Tahoma"/>
                <w:sz w:val="20"/>
                <w:szCs w:val="20"/>
              </w:rPr>
            </w:pPr>
            <w:r w:rsidRPr="005E1EA7">
              <w:rPr>
                <w:rFonts w:ascii="Tahoma" w:hAnsi="Tahoma" w:cs="Tahoma"/>
                <w:sz w:val="20"/>
                <w:szCs w:val="20"/>
              </w:rPr>
              <w:t>30 mg/kg</w:t>
            </w:r>
          </w:p>
        </w:tc>
      </w:tr>
    </w:tbl>
    <w:p w14:paraId="5A0026B0" w14:textId="77777777" w:rsidR="00EA331B" w:rsidRDefault="00EA331B" w:rsidP="001E35DC">
      <w:pPr>
        <w:rPr>
          <w:rFonts w:ascii="Tahoma" w:hAnsi="Tahoma" w:cs="Tahoma"/>
          <w:b/>
          <w:bCs/>
          <w:sz w:val="20"/>
          <w:szCs w:val="20"/>
        </w:rPr>
      </w:pPr>
    </w:p>
    <w:p w14:paraId="23553F00" w14:textId="2C3074DE" w:rsidR="003D69A8" w:rsidRPr="00EA331B" w:rsidRDefault="003D69A8" w:rsidP="001E35DC">
      <w:pPr>
        <w:rPr>
          <w:rFonts w:ascii="Tahoma" w:hAnsi="Tahoma" w:cs="Tahoma"/>
          <w:b/>
          <w:bCs/>
          <w:sz w:val="20"/>
          <w:szCs w:val="20"/>
        </w:rPr>
      </w:pPr>
      <w:r w:rsidRPr="00EA331B">
        <w:rPr>
          <w:rFonts w:ascii="Tahoma" w:hAnsi="Tahoma" w:cs="Tahoma"/>
          <w:b/>
          <w:bCs/>
          <w:sz w:val="20"/>
          <w:szCs w:val="20"/>
        </w:rPr>
        <w:t>2.6.2 Œufs de poisson</w:t>
      </w:r>
    </w:p>
    <w:tbl>
      <w:tblPr>
        <w:tblW w:w="0" w:type="auto"/>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800"/>
        <w:gridCol w:w="2878"/>
        <w:gridCol w:w="992"/>
        <w:gridCol w:w="3402"/>
      </w:tblGrid>
      <w:tr w:rsidR="003D69A8" w:rsidRPr="005E1EA7" w14:paraId="026F0CA4" w14:textId="77777777" w:rsidTr="006365F0">
        <w:trPr>
          <w:cantSplit/>
        </w:trPr>
        <w:tc>
          <w:tcPr>
            <w:tcW w:w="1800" w:type="dxa"/>
          </w:tcPr>
          <w:p w14:paraId="185EA7DD" w14:textId="77777777" w:rsidR="003D69A8" w:rsidRPr="005E1EA7" w:rsidRDefault="003D69A8" w:rsidP="001E35DC">
            <w:pPr>
              <w:rPr>
                <w:rFonts w:ascii="Tahoma" w:hAnsi="Tahoma" w:cs="Tahoma"/>
                <w:sz w:val="20"/>
                <w:szCs w:val="20"/>
              </w:rPr>
            </w:pPr>
            <w:r w:rsidRPr="005E1EA7">
              <w:rPr>
                <w:rFonts w:ascii="Tahoma" w:hAnsi="Tahoma" w:cs="Tahoma"/>
                <w:sz w:val="20"/>
                <w:szCs w:val="20"/>
              </w:rPr>
              <w:t>Colorants</w:t>
            </w:r>
          </w:p>
          <w:p w14:paraId="025A79FE" w14:textId="77777777" w:rsidR="003D69A8" w:rsidRPr="005E1EA7" w:rsidRDefault="003D69A8" w:rsidP="001E35DC">
            <w:pPr>
              <w:rPr>
                <w:rFonts w:ascii="Tahoma" w:hAnsi="Tahoma" w:cs="Tahoma"/>
                <w:sz w:val="20"/>
                <w:szCs w:val="20"/>
              </w:rPr>
            </w:pPr>
          </w:p>
          <w:p w14:paraId="6406BB4B" w14:textId="77777777" w:rsidR="003D69A8" w:rsidRPr="005E1EA7" w:rsidRDefault="003D69A8" w:rsidP="001E35DC">
            <w:pPr>
              <w:rPr>
                <w:rFonts w:ascii="Tahoma" w:hAnsi="Tahoma" w:cs="Tahoma"/>
                <w:sz w:val="20"/>
                <w:szCs w:val="20"/>
              </w:rPr>
            </w:pPr>
          </w:p>
          <w:p w14:paraId="714C2B06" w14:textId="77777777" w:rsidR="003D69A8" w:rsidRPr="005E1EA7" w:rsidRDefault="003D69A8" w:rsidP="001E35DC">
            <w:pPr>
              <w:rPr>
                <w:rFonts w:ascii="Tahoma" w:hAnsi="Tahoma" w:cs="Tahoma"/>
                <w:sz w:val="20"/>
                <w:szCs w:val="20"/>
              </w:rPr>
            </w:pPr>
          </w:p>
          <w:p w14:paraId="121B82EA" w14:textId="77777777" w:rsidR="003D69A8" w:rsidRPr="005E1EA7" w:rsidRDefault="003D69A8" w:rsidP="001E35DC">
            <w:pPr>
              <w:rPr>
                <w:rFonts w:ascii="Tahoma" w:hAnsi="Tahoma" w:cs="Tahoma"/>
                <w:sz w:val="20"/>
                <w:szCs w:val="20"/>
              </w:rPr>
            </w:pPr>
          </w:p>
        </w:tc>
        <w:tc>
          <w:tcPr>
            <w:tcW w:w="2878" w:type="dxa"/>
          </w:tcPr>
          <w:p w14:paraId="4479F68B" w14:textId="77777777" w:rsidR="003D69A8" w:rsidRPr="005E1EA7" w:rsidRDefault="003D69A8" w:rsidP="001E35DC">
            <w:pPr>
              <w:rPr>
                <w:rFonts w:ascii="Tahoma" w:hAnsi="Tahoma" w:cs="Tahoma"/>
                <w:sz w:val="20"/>
                <w:szCs w:val="20"/>
              </w:rPr>
            </w:pPr>
            <w:r w:rsidRPr="005E1EA7">
              <w:rPr>
                <w:rFonts w:ascii="Tahoma" w:hAnsi="Tahoma" w:cs="Tahoma"/>
                <w:sz w:val="20"/>
                <w:szCs w:val="20"/>
              </w:rPr>
              <w:t>Tous les colorants cités aux annexes du règlement européen 1333/2008</w:t>
            </w:r>
          </w:p>
          <w:p w14:paraId="15F3FA6E" w14:textId="77777777" w:rsidR="003D69A8" w:rsidRPr="005E1EA7" w:rsidRDefault="003D69A8" w:rsidP="001E35DC">
            <w:pPr>
              <w:rPr>
                <w:rFonts w:ascii="Tahoma" w:hAnsi="Tahoma" w:cs="Tahoma"/>
                <w:sz w:val="20"/>
                <w:szCs w:val="20"/>
              </w:rPr>
            </w:pPr>
            <w:r w:rsidRPr="005E1EA7">
              <w:rPr>
                <w:rFonts w:ascii="Tahoma" w:hAnsi="Tahoma" w:cs="Tahoma"/>
                <w:sz w:val="20"/>
                <w:szCs w:val="20"/>
              </w:rPr>
              <w:t>Tous les colorants cités aux annexes du règlement européen 1333/2008</w:t>
            </w:r>
          </w:p>
          <w:p w14:paraId="4BDB0FD3" w14:textId="77777777" w:rsidR="003D69A8" w:rsidRPr="005E1EA7" w:rsidRDefault="003D69A8" w:rsidP="001E35DC">
            <w:pPr>
              <w:rPr>
                <w:rFonts w:ascii="Tahoma" w:hAnsi="Tahoma" w:cs="Tahoma"/>
                <w:sz w:val="20"/>
                <w:szCs w:val="20"/>
              </w:rPr>
            </w:pPr>
            <w:r w:rsidRPr="005E1EA7">
              <w:rPr>
                <w:rFonts w:ascii="Tahoma" w:hAnsi="Tahoma" w:cs="Tahoma"/>
                <w:sz w:val="20"/>
                <w:szCs w:val="20"/>
              </w:rPr>
              <w:t>amarante</w:t>
            </w:r>
          </w:p>
        </w:tc>
        <w:tc>
          <w:tcPr>
            <w:tcW w:w="992" w:type="dxa"/>
          </w:tcPr>
          <w:p w14:paraId="2DFADE88" w14:textId="77777777" w:rsidR="003D69A8" w:rsidRPr="005E1EA7" w:rsidRDefault="003D69A8" w:rsidP="001E35DC">
            <w:pPr>
              <w:rPr>
                <w:rFonts w:ascii="Tahoma" w:hAnsi="Tahoma" w:cs="Tahoma"/>
                <w:sz w:val="20"/>
                <w:szCs w:val="20"/>
              </w:rPr>
            </w:pPr>
          </w:p>
          <w:p w14:paraId="0C37C8D2" w14:textId="77777777" w:rsidR="003D69A8" w:rsidRPr="005E1EA7" w:rsidRDefault="003D69A8" w:rsidP="001E35DC">
            <w:pPr>
              <w:rPr>
                <w:rFonts w:ascii="Tahoma" w:hAnsi="Tahoma" w:cs="Tahoma"/>
                <w:sz w:val="20"/>
                <w:szCs w:val="20"/>
              </w:rPr>
            </w:pPr>
          </w:p>
          <w:p w14:paraId="531FE9B8" w14:textId="77777777" w:rsidR="003D69A8" w:rsidRPr="005E1EA7" w:rsidRDefault="003D69A8" w:rsidP="001E35DC">
            <w:pPr>
              <w:rPr>
                <w:rFonts w:ascii="Tahoma" w:hAnsi="Tahoma" w:cs="Tahoma"/>
                <w:sz w:val="20"/>
                <w:szCs w:val="20"/>
              </w:rPr>
            </w:pPr>
          </w:p>
          <w:p w14:paraId="0A5611FC" w14:textId="77777777" w:rsidR="003D69A8" w:rsidRPr="005E1EA7" w:rsidRDefault="003D69A8" w:rsidP="001E35DC">
            <w:pPr>
              <w:rPr>
                <w:rFonts w:ascii="Tahoma" w:hAnsi="Tahoma" w:cs="Tahoma"/>
                <w:sz w:val="20"/>
                <w:szCs w:val="20"/>
              </w:rPr>
            </w:pPr>
          </w:p>
          <w:p w14:paraId="22FCB7BB" w14:textId="77777777" w:rsidR="003D69A8" w:rsidRPr="005E1EA7" w:rsidRDefault="003D69A8" w:rsidP="001E35DC">
            <w:pPr>
              <w:rPr>
                <w:rFonts w:ascii="Tahoma" w:hAnsi="Tahoma" w:cs="Tahoma"/>
                <w:sz w:val="20"/>
                <w:szCs w:val="20"/>
              </w:rPr>
            </w:pPr>
          </w:p>
          <w:p w14:paraId="542149D7" w14:textId="77777777" w:rsidR="003D69A8" w:rsidRPr="005E1EA7" w:rsidRDefault="003D69A8" w:rsidP="001E35DC">
            <w:pPr>
              <w:rPr>
                <w:rFonts w:ascii="Tahoma" w:hAnsi="Tahoma" w:cs="Tahoma"/>
                <w:sz w:val="20"/>
                <w:szCs w:val="20"/>
              </w:rPr>
            </w:pPr>
          </w:p>
          <w:p w14:paraId="1C1A8CD5" w14:textId="77777777" w:rsidR="003D69A8" w:rsidRPr="005E1EA7" w:rsidRDefault="003D69A8" w:rsidP="001E35DC">
            <w:pPr>
              <w:rPr>
                <w:rFonts w:ascii="Tahoma" w:hAnsi="Tahoma" w:cs="Tahoma"/>
                <w:sz w:val="20"/>
                <w:szCs w:val="20"/>
              </w:rPr>
            </w:pPr>
            <w:r w:rsidRPr="005E1EA7">
              <w:rPr>
                <w:rFonts w:ascii="Tahoma" w:hAnsi="Tahoma" w:cs="Tahoma"/>
                <w:sz w:val="20"/>
                <w:szCs w:val="20"/>
              </w:rPr>
              <w:t>E123</w:t>
            </w:r>
          </w:p>
        </w:tc>
        <w:tc>
          <w:tcPr>
            <w:tcW w:w="3402" w:type="dxa"/>
          </w:tcPr>
          <w:p w14:paraId="4199850C" w14:textId="77777777" w:rsidR="003D69A8" w:rsidRPr="005E1EA7" w:rsidRDefault="003D69A8" w:rsidP="001E35DC">
            <w:pPr>
              <w:rPr>
                <w:rFonts w:ascii="Tahoma" w:hAnsi="Tahoma" w:cs="Tahoma"/>
                <w:i/>
                <w:iCs/>
                <w:sz w:val="20"/>
                <w:szCs w:val="20"/>
              </w:rPr>
            </w:pPr>
            <w:proofErr w:type="gramStart"/>
            <w:r w:rsidRPr="005E1EA7">
              <w:rPr>
                <w:rFonts w:ascii="Tahoma" w:hAnsi="Tahoma" w:cs="Tahoma"/>
                <w:i/>
                <w:iCs/>
                <w:sz w:val="20"/>
                <w:szCs w:val="20"/>
              </w:rPr>
              <w:t>quantum</w:t>
            </w:r>
            <w:proofErr w:type="gramEnd"/>
            <w:r w:rsidRPr="005E1EA7">
              <w:rPr>
                <w:rFonts w:ascii="Tahoma" w:hAnsi="Tahoma" w:cs="Tahoma"/>
                <w:i/>
                <w:iCs/>
                <w:sz w:val="20"/>
                <w:szCs w:val="20"/>
              </w:rPr>
              <w:t xml:space="preserve"> satis</w:t>
            </w:r>
          </w:p>
          <w:p w14:paraId="3991E3A5" w14:textId="77777777" w:rsidR="003D69A8" w:rsidRPr="005E1EA7" w:rsidRDefault="003D69A8" w:rsidP="001E35DC">
            <w:pPr>
              <w:rPr>
                <w:rFonts w:ascii="Tahoma" w:hAnsi="Tahoma" w:cs="Tahoma"/>
                <w:i/>
                <w:iCs/>
                <w:sz w:val="20"/>
                <w:szCs w:val="20"/>
              </w:rPr>
            </w:pPr>
          </w:p>
          <w:p w14:paraId="2CD6F2F4" w14:textId="77777777" w:rsidR="003D69A8" w:rsidRPr="005E1EA7" w:rsidRDefault="003D69A8" w:rsidP="001E35DC">
            <w:pPr>
              <w:rPr>
                <w:rFonts w:ascii="Tahoma" w:hAnsi="Tahoma" w:cs="Tahoma"/>
                <w:sz w:val="20"/>
                <w:szCs w:val="20"/>
              </w:rPr>
            </w:pPr>
          </w:p>
          <w:p w14:paraId="4D335574" w14:textId="77777777" w:rsidR="003D69A8" w:rsidRPr="005E1EA7" w:rsidRDefault="003D69A8" w:rsidP="001E35DC">
            <w:pPr>
              <w:rPr>
                <w:rFonts w:ascii="Tahoma" w:hAnsi="Tahoma" w:cs="Tahoma"/>
                <w:sz w:val="20"/>
                <w:szCs w:val="20"/>
              </w:rPr>
            </w:pPr>
            <w:r w:rsidRPr="005E1EA7">
              <w:rPr>
                <w:rFonts w:ascii="Tahoma" w:hAnsi="Tahoma" w:cs="Tahoma"/>
                <w:sz w:val="20"/>
                <w:szCs w:val="20"/>
              </w:rPr>
              <w:t>300 mg/kg, seuls ou en combinaison</w:t>
            </w:r>
          </w:p>
          <w:p w14:paraId="456222AD" w14:textId="77777777" w:rsidR="003D69A8" w:rsidRPr="005E1EA7" w:rsidRDefault="003D69A8" w:rsidP="001E35DC">
            <w:pPr>
              <w:rPr>
                <w:rFonts w:ascii="Tahoma" w:hAnsi="Tahoma" w:cs="Tahoma"/>
                <w:sz w:val="20"/>
                <w:szCs w:val="20"/>
              </w:rPr>
            </w:pPr>
          </w:p>
          <w:p w14:paraId="60D91106" w14:textId="77777777" w:rsidR="003D69A8" w:rsidRPr="005E1EA7" w:rsidRDefault="003D69A8" w:rsidP="001E35DC">
            <w:pPr>
              <w:rPr>
                <w:rFonts w:ascii="Tahoma" w:hAnsi="Tahoma" w:cs="Tahoma"/>
                <w:sz w:val="20"/>
                <w:szCs w:val="20"/>
                <w:lang w:val="en-GB"/>
              </w:rPr>
            </w:pPr>
            <w:r w:rsidRPr="005E1EA7">
              <w:rPr>
                <w:rFonts w:ascii="Tahoma" w:hAnsi="Tahoma" w:cs="Tahoma"/>
                <w:sz w:val="20"/>
                <w:szCs w:val="20"/>
                <w:lang w:val="en-GB"/>
              </w:rPr>
              <w:t>30 mg/kg</w:t>
            </w:r>
          </w:p>
        </w:tc>
      </w:tr>
    </w:tbl>
    <w:p w14:paraId="6D569494" w14:textId="77777777" w:rsidR="00EA331B" w:rsidRDefault="00EA331B" w:rsidP="001E35DC">
      <w:pPr>
        <w:rPr>
          <w:rFonts w:ascii="Tahoma" w:hAnsi="Tahoma" w:cs="Tahoma"/>
          <w:b/>
          <w:bCs/>
          <w:sz w:val="20"/>
          <w:szCs w:val="20"/>
        </w:rPr>
      </w:pPr>
    </w:p>
    <w:p w14:paraId="7944B3E9" w14:textId="52D91710" w:rsidR="003D69A8" w:rsidRPr="00EA331B" w:rsidRDefault="003D69A8" w:rsidP="001E35DC">
      <w:pPr>
        <w:rPr>
          <w:rFonts w:ascii="Tahoma" w:hAnsi="Tahoma" w:cs="Tahoma"/>
          <w:b/>
          <w:bCs/>
          <w:sz w:val="20"/>
          <w:szCs w:val="20"/>
        </w:rPr>
      </w:pPr>
      <w:r w:rsidRPr="00EA331B">
        <w:rPr>
          <w:rFonts w:ascii="Tahoma" w:hAnsi="Tahoma" w:cs="Tahoma"/>
          <w:b/>
          <w:bCs/>
          <w:sz w:val="20"/>
          <w:szCs w:val="20"/>
        </w:rPr>
        <w:t>2.7 Poissons, crustacés et mollusques en conserve</w:t>
      </w:r>
    </w:p>
    <w:tbl>
      <w:tblPr>
        <w:tblW w:w="0" w:type="auto"/>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800"/>
        <w:gridCol w:w="2880"/>
        <w:gridCol w:w="1080"/>
        <w:gridCol w:w="3313"/>
      </w:tblGrid>
      <w:tr w:rsidR="003D69A8" w:rsidRPr="005E1EA7" w14:paraId="018E2D2B" w14:textId="77777777" w:rsidTr="006365F0">
        <w:trPr>
          <w:cantSplit/>
        </w:trPr>
        <w:tc>
          <w:tcPr>
            <w:tcW w:w="1800" w:type="dxa"/>
          </w:tcPr>
          <w:p w14:paraId="5BB6E4A9" w14:textId="77777777" w:rsidR="003D69A8" w:rsidRPr="005E1EA7" w:rsidRDefault="003D69A8" w:rsidP="001E35DC">
            <w:pPr>
              <w:rPr>
                <w:rFonts w:ascii="Tahoma" w:hAnsi="Tahoma" w:cs="Tahoma"/>
                <w:sz w:val="20"/>
                <w:szCs w:val="20"/>
              </w:rPr>
            </w:pPr>
            <w:r w:rsidRPr="005E1EA7">
              <w:rPr>
                <w:rFonts w:ascii="Tahoma" w:hAnsi="Tahoma" w:cs="Tahoma"/>
                <w:sz w:val="20"/>
                <w:szCs w:val="20"/>
              </w:rPr>
              <w:t>Séquestrant</w:t>
            </w:r>
          </w:p>
        </w:tc>
        <w:tc>
          <w:tcPr>
            <w:tcW w:w="2880" w:type="dxa"/>
          </w:tcPr>
          <w:p w14:paraId="126F1145" w14:textId="77777777" w:rsidR="003D69A8" w:rsidRPr="005E1EA7" w:rsidRDefault="003D69A8" w:rsidP="001E35DC">
            <w:pPr>
              <w:rPr>
                <w:rFonts w:ascii="Tahoma" w:hAnsi="Tahoma" w:cs="Tahoma"/>
                <w:sz w:val="20"/>
                <w:szCs w:val="20"/>
              </w:rPr>
            </w:pPr>
            <w:r w:rsidRPr="005E1EA7">
              <w:rPr>
                <w:rFonts w:ascii="Tahoma" w:hAnsi="Tahoma" w:cs="Tahoma"/>
                <w:sz w:val="20"/>
                <w:szCs w:val="20"/>
              </w:rPr>
              <w:t>éthylène-diamine-tétra-acétate de calcium disodium (calcium disodium EDTA)</w:t>
            </w:r>
          </w:p>
        </w:tc>
        <w:tc>
          <w:tcPr>
            <w:tcW w:w="1080" w:type="dxa"/>
          </w:tcPr>
          <w:p w14:paraId="49F650CB" w14:textId="77777777" w:rsidR="003D69A8" w:rsidRPr="005E1EA7" w:rsidRDefault="003D69A8" w:rsidP="001E35DC">
            <w:pPr>
              <w:rPr>
                <w:rFonts w:ascii="Tahoma" w:hAnsi="Tahoma" w:cs="Tahoma"/>
                <w:sz w:val="20"/>
                <w:szCs w:val="20"/>
                <w:lang w:val="de-DE"/>
              </w:rPr>
            </w:pPr>
            <w:r w:rsidRPr="005E1EA7">
              <w:rPr>
                <w:rFonts w:ascii="Tahoma" w:hAnsi="Tahoma" w:cs="Tahoma"/>
                <w:sz w:val="20"/>
                <w:szCs w:val="20"/>
                <w:lang w:val="de-DE"/>
              </w:rPr>
              <w:t>E385</w:t>
            </w:r>
          </w:p>
        </w:tc>
        <w:tc>
          <w:tcPr>
            <w:tcW w:w="3313" w:type="dxa"/>
          </w:tcPr>
          <w:p w14:paraId="09865597" w14:textId="77777777" w:rsidR="003D69A8" w:rsidRPr="005E1EA7" w:rsidRDefault="003D69A8" w:rsidP="001E35DC">
            <w:pPr>
              <w:rPr>
                <w:rFonts w:ascii="Tahoma" w:hAnsi="Tahoma" w:cs="Tahoma"/>
                <w:sz w:val="20"/>
                <w:szCs w:val="20"/>
                <w:lang w:val="de-DE"/>
              </w:rPr>
            </w:pPr>
            <w:r w:rsidRPr="005E1EA7">
              <w:rPr>
                <w:rFonts w:ascii="Tahoma" w:hAnsi="Tahoma" w:cs="Tahoma"/>
                <w:sz w:val="20"/>
                <w:szCs w:val="20"/>
                <w:lang w:val="de-DE"/>
              </w:rPr>
              <w:t>75 mg/kg</w:t>
            </w:r>
          </w:p>
        </w:tc>
      </w:tr>
    </w:tbl>
    <w:p w14:paraId="6052C3ED" w14:textId="77777777" w:rsidR="00EA331B" w:rsidRDefault="00EA331B" w:rsidP="001E35DC">
      <w:pPr>
        <w:rPr>
          <w:rFonts w:ascii="Tahoma" w:hAnsi="Tahoma" w:cs="Tahoma"/>
          <w:b/>
          <w:bCs/>
          <w:sz w:val="20"/>
          <w:szCs w:val="20"/>
        </w:rPr>
      </w:pPr>
    </w:p>
    <w:p w14:paraId="46677DA6" w14:textId="2D8EF4D1" w:rsidR="003D69A8" w:rsidRPr="00EA331B" w:rsidRDefault="003D69A8" w:rsidP="001E35DC">
      <w:pPr>
        <w:rPr>
          <w:rFonts w:ascii="Tahoma" w:hAnsi="Tahoma" w:cs="Tahoma"/>
          <w:b/>
          <w:bCs/>
          <w:sz w:val="20"/>
          <w:szCs w:val="20"/>
        </w:rPr>
      </w:pPr>
      <w:r w:rsidRPr="00EA331B">
        <w:rPr>
          <w:rFonts w:ascii="Tahoma" w:hAnsi="Tahoma" w:cs="Tahoma"/>
          <w:b/>
          <w:bCs/>
          <w:sz w:val="20"/>
          <w:szCs w:val="20"/>
        </w:rPr>
        <w:lastRenderedPageBreak/>
        <w:t>2.7.1 Produits de crustacés en conserve</w:t>
      </w:r>
    </w:p>
    <w:tbl>
      <w:tblPr>
        <w:tblW w:w="0" w:type="auto"/>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800"/>
        <w:gridCol w:w="2880"/>
        <w:gridCol w:w="1080"/>
        <w:gridCol w:w="3313"/>
      </w:tblGrid>
      <w:tr w:rsidR="003D69A8" w:rsidRPr="005E1EA7" w14:paraId="26BD1B5E" w14:textId="77777777" w:rsidTr="006365F0">
        <w:trPr>
          <w:cantSplit/>
        </w:trPr>
        <w:tc>
          <w:tcPr>
            <w:tcW w:w="1800" w:type="dxa"/>
          </w:tcPr>
          <w:p w14:paraId="0B4C1789" w14:textId="77777777" w:rsidR="003D69A8" w:rsidRPr="005E1EA7" w:rsidRDefault="003D69A8" w:rsidP="001E35DC">
            <w:pPr>
              <w:rPr>
                <w:rFonts w:ascii="Tahoma" w:hAnsi="Tahoma" w:cs="Tahoma"/>
                <w:sz w:val="20"/>
                <w:szCs w:val="20"/>
              </w:rPr>
            </w:pPr>
            <w:r w:rsidRPr="005E1EA7">
              <w:rPr>
                <w:rFonts w:ascii="Tahoma" w:hAnsi="Tahoma" w:cs="Tahoma"/>
                <w:sz w:val="20"/>
                <w:szCs w:val="20"/>
              </w:rPr>
              <w:t>Stabilisants</w:t>
            </w:r>
          </w:p>
        </w:tc>
        <w:tc>
          <w:tcPr>
            <w:tcW w:w="2880" w:type="dxa"/>
          </w:tcPr>
          <w:p w14:paraId="012F93A0" w14:textId="77777777" w:rsidR="003D69A8" w:rsidRPr="005E1EA7" w:rsidRDefault="003D69A8" w:rsidP="001E35DC">
            <w:pPr>
              <w:rPr>
                <w:rFonts w:ascii="Tahoma" w:hAnsi="Tahoma" w:cs="Tahoma"/>
                <w:sz w:val="20"/>
                <w:szCs w:val="20"/>
              </w:rPr>
            </w:pPr>
            <w:r w:rsidRPr="005E1EA7">
              <w:rPr>
                <w:rFonts w:ascii="Tahoma" w:hAnsi="Tahoma" w:cs="Tahoma"/>
                <w:sz w:val="20"/>
                <w:szCs w:val="20"/>
              </w:rPr>
              <w:t>acide phosphorique et phosphates</w:t>
            </w:r>
          </w:p>
        </w:tc>
        <w:tc>
          <w:tcPr>
            <w:tcW w:w="1080" w:type="dxa"/>
          </w:tcPr>
          <w:p w14:paraId="193F2516" w14:textId="77777777" w:rsidR="003D69A8" w:rsidRPr="005E1EA7" w:rsidRDefault="003D69A8" w:rsidP="001E35DC">
            <w:pPr>
              <w:rPr>
                <w:rFonts w:ascii="Tahoma" w:hAnsi="Tahoma" w:cs="Tahoma"/>
                <w:sz w:val="20"/>
                <w:szCs w:val="20"/>
              </w:rPr>
            </w:pPr>
          </w:p>
        </w:tc>
        <w:tc>
          <w:tcPr>
            <w:tcW w:w="3313" w:type="dxa"/>
          </w:tcPr>
          <w:p w14:paraId="267E8D2B" w14:textId="77777777" w:rsidR="003D69A8" w:rsidRPr="005E1EA7" w:rsidRDefault="003D69A8" w:rsidP="001E35DC">
            <w:pPr>
              <w:rPr>
                <w:rFonts w:ascii="Tahoma" w:hAnsi="Tahoma" w:cs="Tahoma"/>
                <w:sz w:val="20"/>
                <w:szCs w:val="20"/>
              </w:rPr>
            </w:pPr>
            <w:r w:rsidRPr="005E1EA7">
              <w:rPr>
                <w:rFonts w:ascii="Tahoma" w:hAnsi="Tahoma" w:cs="Tahoma"/>
                <w:sz w:val="20"/>
                <w:szCs w:val="20"/>
              </w:rPr>
              <w:t xml:space="preserve">   5 g/kg </w:t>
            </w:r>
          </w:p>
          <w:p w14:paraId="5FFA773C" w14:textId="77777777" w:rsidR="003D69A8" w:rsidRPr="005E1EA7" w:rsidRDefault="003D69A8" w:rsidP="001E35DC">
            <w:pPr>
              <w:rPr>
                <w:rFonts w:ascii="Tahoma" w:hAnsi="Tahoma" w:cs="Tahoma"/>
                <w:sz w:val="20"/>
                <w:szCs w:val="20"/>
              </w:rPr>
            </w:pPr>
            <w:r w:rsidRPr="005E1EA7">
              <w:rPr>
                <w:rFonts w:ascii="Tahoma" w:hAnsi="Tahoma" w:cs="Tahoma"/>
                <w:sz w:val="20"/>
                <w:szCs w:val="20"/>
              </w:rPr>
              <w:t>(exprimé en P2O5) seuls ou en mélange</w:t>
            </w:r>
          </w:p>
        </w:tc>
      </w:tr>
    </w:tbl>
    <w:p w14:paraId="6204070A" w14:textId="77777777" w:rsidR="00EA331B" w:rsidRDefault="00EA331B" w:rsidP="001E35DC">
      <w:pPr>
        <w:rPr>
          <w:rFonts w:ascii="Tahoma" w:hAnsi="Tahoma" w:cs="Tahoma"/>
          <w:b/>
          <w:bCs/>
          <w:sz w:val="20"/>
          <w:szCs w:val="20"/>
        </w:rPr>
      </w:pPr>
    </w:p>
    <w:p w14:paraId="3FCFA9DC" w14:textId="6233384F" w:rsidR="003D69A8" w:rsidRPr="00EA331B" w:rsidRDefault="003D69A8" w:rsidP="001E35DC">
      <w:pPr>
        <w:rPr>
          <w:rFonts w:ascii="Tahoma" w:hAnsi="Tahoma" w:cs="Tahoma"/>
          <w:b/>
          <w:bCs/>
          <w:sz w:val="20"/>
          <w:szCs w:val="20"/>
        </w:rPr>
      </w:pPr>
      <w:r w:rsidRPr="00EA331B">
        <w:rPr>
          <w:rFonts w:ascii="Tahoma" w:hAnsi="Tahoma" w:cs="Tahoma"/>
          <w:b/>
          <w:bCs/>
          <w:sz w:val="20"/>
          <w:szCs w:val="20"/>
        </w:rPr>
        <w:t>2.7.2 Produits de poisson en conserve</w:t>
      </w:r>
    </w:p>
    <w:tbl>
      <w:tblPr>
        <w:tblW w:w="0" w:type="auto"/>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800"/>
        <w:gridCol w:w="2880"/>
        <w:gridCol w:w="1080"/>
        <w:gridCol w:w="3314"/>
      </w:tblGrid>
      <w:tr w:rsidR="003D69A8" w:rsidRPr="005E1EA7" w14:paraId="06266ED9" w14:textId="77777777" w:rsidTr="006365F0">
        <w:trPr>
          <w:cantSplit/>
        </w:trPr>
        <w:tc>
          <w:tcPr>
            <w:tcW w:w="1800" w:type="dxa"/>
          </w:tcPr>
          <w:p w14:paraId="1CB4260E" w14:textId="77777777" w:rsidR="003D69A8" w:rsidRPr="005E1EA7" w:rsidRDefault="003D69A8" w:rsidP="001E35DC">
            <w:pPr>
              <w:rPr>
                <w:rFonts w:ascii="Tahoma" w:hAnsi="Tahoma" w:cs="Tahoma"/>
                <w:sz w:val="20"/>
                <w:szCs w:val="20"/>
              </w:rPr>
            </w:pPr>
            <w:r w:rsidRPr="005E1EA7">
              <w:rPr>
                <w:rFonts w:ascii="Tahoma" w:hAnsi="Tahoma" w:cs="Tahoma"/>
                <w:sz w:val="20"/>
                <w:szCs w:val="20"/>
              </w:rPr>
              <w:t>Antioxygènes</w:t>
            </w:r>
          </w:p>
        </w:tc>
        <w:tc>
          <w:tcPr>
            <w:tcW w:w="2880" w:type="dxa"/>
          </w:tcPr>
          <w:p w14:paraId="4624A55A" w14:textId="77777777" w:rsidR="003D69A8" w:rsidRPr="005E1EA7" w:rsidRDefault="003D69A8" w:rsidP="001E35DC">
            <w:pPr>
              <w:rPr>
                <w:rFonts w:ascii="Tahoma" w:hAnsi="Tahoma" w:cs="Tahoma"/>
                <w:sz w:val="20"/>
                <w:szCs w:val="20"/>
              </w:rPr>
            </w:pPr>
            <w:proofErr w:type="gramStart"/>
            <w:r w:rsidRPr="005E1EA7">
              <w:rPr>
                <w:rFonts w:ascii="Tahoma" w:hAnsi="Tahoma" w:cs="Tahoma"/>
                <w:sz w:val="20"/>
                <w:szCs w:val="20"/>
              </w:rPr>
              <w:t>acide</w:t>
            </w:r>
            <w:proofErr w:type="gramEnd"/>
            <w:r w:rsidRPr="005E1EA7">
              <w:rPr>
                <w:rFonts w:ascii="Tahoma" w:hAnsi="Tahoma" w:cs="Tahoma"/>
                <w:sz w:val="20"/>
                <w:szCs w:val="20"/>
              </w:rPr>
              <w:t xml:space="preserve"> érythorbique</w:t>
            </w:r>
          </w:p>
          <w:p w14:paraId="06E8455D" w14:textId="77777777" w:rsidR="003D69A8" w:rsidRPr="005E1EA7" w:rsidRDefault="003D69A8" w:rsidP="001E35DC">
            <w:pPr>
              <w:rPr>
                <w:rFonts w:ascii="Tahoma" w:hAnsi="Tahoma" w:cs="Tahoma"/>
                <w:sz w:val="20"/>
                <w:szCs w:val="20"/>
              </w:rPr>
            </w:pPr>
            <w:r w:rsidRPr="005E1EA7">
              <w:rPr>
                <w:rFonts w:ascii="Tahoma" w:hAnsi="Tahoma" w:cs="Tahoma"/>
                <w:sz w:val="20"/>
                <w:szCs w:val="20"/>
              </w:rPr>
              <w:t>érythorbate de sodium</w:t>
            </w:r>
          </w:p>
        </w:tc>
        <w:tc>
          <w:tcPr>
            <w:tcW w:w="1080" w:type="dxa"/>
          </w:tcPr>
          <w:p w14:paraId="17B9C832" w14:textId="77777777" w:rsidR="003D69A8" w:rsidRPr="005E1EA7" w:rsidRDefault="003D69A8" w:rsidP="001E35DC">
            <w:pPr>
              <w:rPr>
                <w:rFonts w:ascii="Tahoma" w:hAnsi="Tahoma" w:cs="Tahoma"/>
                <w:sz w:val="20"/>
                <w:szCs w:val="20"/>
              </w:rPr>
            </w:pPr>
            <w:r w:rsidRPr="005E1EA7">
              <w:rPr>
                <w:rFonts w:ascii="Tahoma" w:hAnsi="Tahoma" w:cs="Tahoma"/>
                <w:sz w:val="20"/>
                <w:szCs w:val="20"/>
              </w:rPr>
              <w:t>E315</w:t>
            </w:r>
          </w:p>
          <w:p w14:paraId="4D41DD9C" w14:textId="77777777" w:rsidR="003D69A8" w:rsidRPr="005E1EA7" w:rsidRDefault="003D69A8" w:rsidP="001E35DC">
            <w:pPr>
              <w:rPr>
                <w:rFonts w:ascii="Tahoma" w:hAnsi="Tahoma" w:cs="Tahoma"/>
                <w:sz w:val="20"/>
                <w:szCs w:val="20"/>
              </w:rPr>
            </w:pPr>
            <w:r w:rsidRPr="005E1EA7">
              <w:rPr>
                <w:rFonts w:ascii="Tahoma" w:hAnsi="Tahoma" w:cs="Tahoma"/>
                <w:sz w:val="20"/>
                <w:szCs w:val="20"/>
              </w:rPr>
              <w:t>E316</w:t>
            </w:r>
          </w:p>
        </w:tc>
        <w:tc>
          <w:tcPr>
            <w:tcW w:w="3314" w:type="dxa"/>
          </w:tcPr>
          <w:p w14:paraId="72DF9365" w14:textId="77777777" w:rsidR="003D69A8" w:rsidRPr="005E1EA7" w:rsidRDefault="003D69A8" w:rsidP="001E35DC">
            <w:pPr>
              <w:rPr>
                <w:rFonts w:ascii="Tahoma" w:hAnsi="Tahoma" w:cs="Tahoma"/>
                <w:sz w:val="20"/>
                <w:szCs w:val="20"/>
              </w:rPr>
            </w:pPr>
            <w:r w:rsidRPr="005E1EA7">
              <w:rPr>
                <w:rFonts w:ascii="Tahoma" w:hAnsi="Tahoma" w:cs="Tahoma"/>
                <w:sz w:val="20"/>
                <w:szCs w:val="20"/>
              </w:rPr>
              <w:t>1500mg/kg exprimé en acide érythorbique</w:t>
            </w:r>
          </w:p>
        </w:tc>
      </w:tr>
    </w:tbl>
    <w:p w14:paraId="0B77368E" w14:textId="77777777" w:rsidR="003D69A8" w:rsidRPr="005E1EA7" w:rsidRDefault="003D69A8" w:rsidP="001E35DC">
      <w:pPr>
        <w:rPr>
          <w:rFonts w:ascii="Tahoma" w:hAnsi="Tahoma" w:cs="Tahoma"/>
          <w:sz w:val="20"/>
          <w:szCs w:val="20"/>
        </w:rPr>
      </w:pPr>
    </w:p>
    <w:p w14:paraId="77749024" w14:textId="77777777" w:rsidR="003D69A8" w:rsidRPr="00EA331B" w:rsidRDefault="003D69A8" w:rsidP="001E35DC">
      <w:pPr>
        <w:rPr>
          <w:rFonts w:ascii="Tahoma" w:hAnsi="Tahoma" w:cs="Tahoma"/>
          <w:b/>
          <w:bCs/>
          <w:sz w:val="20"/>
          <w:szCs w:val="20"/>
        </w:rPr>
      </w:pPr>
      <w:r w:rsidRPr="00EA331B">
        <w:rPr>
          <w:rFonts w:ascii="Tahoma" w:hAnsi="Tahoma" w:cs="Tahoma"/>
          <w:b/>
          <w:bCs/>
          <w:sz w:val="20"/>
          <w:szCs w:val="20"/>
        </w:rPr>
        <w:t>2.7.2.1 Conserve aigres-douces de poisson</w:t>
      </w:r>
    </w:p>
    <w:tbl>
      <w:tblPr>
        <w:tblW w:w="0" w:type="auto"/>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800"/>
        <w:gridCol w:w="2880"/>
        <w:gridCol w:w="1080"/>
        <w:gridCol w:w="3312"/>
      </w:tblGrid>
      <w:tr w:rsidR="003D69A8" w:rsidRPr="005E1EA7" w14:paraId="539F4D92" w14:textId="77777777" w:rsidTr="006365F0">
        <w:trPr>
          <w:cantSplit/>
        </w:trPr>
        <w:tc>
          <w:tcPr>
            <w:tcW w:w="1800" w:type="dxa"/>
          </w:tcPr>
          <w:p w14:paraId="4DCABBE0" w14:textId="77777777" w:rsidR="003D69A8" w:rsidRPr="005E1EA7" w:rsidRDefault="003D69A8" w:rsidP="001E35DC">
            <w:pPr>
              <w:rPr>
                <w:rFonts w:ascii="Tahoma" w:hAnsi="Tahoma" w:cs="Tahoma"/>
                <w:sz w:val="20"/>
                <w:szCs w:val="20"/>
              </w:rPr>
            </w:pPr>
            <w:r w:rsidRPr="005E1EA7">
              <w:rPr>
                <w:rFonts w:ascii="Tahoma" w:hAnsi="Tahoma" w:cs="Tahoma"/>
                <w:sz w:val="20"/>
                <w:szCs w:val="20"/>
              </w:rPr>
              <w:t>Edulcorants</w:t>
            </w:r>
          </w:p>
        </w:tc>
        <w:tc>
          <w:tcPr>
            <w:tcW w:w="2880" w:type="dxa"/>
          </w:tcPr>
          <w:p w14:paraId="75965185" w14:textId="77777777" w:rsidR="003D69A8" w:rsidRPr="005E1EA7" w:rsidRDefault="003D69A8" w:rsidP="001E35DC">
            <w:pPr>
              <w:rPr>
                <w:rFonts w:ascii="Tahoma" w:hAnsi="Tahoma" w:cs="Tahoma"/>
                <w:sz w:val="20"/>
                <w:szCs w:val="20"/>
              </w:rPr>
            </w:pPr>
            <w:r w:rsidRPr="005E1EA7">
              <w:rPr>
                <w:rFonts w:ascii="Tahoma" w:hAnsi="Tahoma" w:cs="Tahoma"/>
                <w:sz w:val="20"/>
                <w:szCs w:val="20"/>
              </w:rPr>
              <w:t>Acésulfame K</w:t>
            </w:r>
          </w:p>
          <w:p w14:paraId="22C250A8" w14:textId="77777777" w:rsidR="003D69A8" w:rsidRPr="005E1EA7" w:rsidRDefault="003D69A8" w:rsidP="001E35DC">
            <w:pPr>
              <w:rPr>
                <w:rFonts w:ascii="Tahoma" w:hAnsi="Tahoma" w:cs="Tahoma"/>
                <w:sz w:val="20"/>
                <w:szCs w:val="20"/>
              </w:rPr>
            </w:pPr>
            <w:r w:rsidRPr="005E1EA7">
              <w:rPr>
                <w:rFonts w:ascii="Tahoma" w:hAnsi="Tahoma" w:cs="Tahoma"/>
                <w:sz w:val="20"/>
                <w:szCs w:val="20"/>
              </w:rPr>
              <w:t>Aspartame</w:t>
            </w:r>
          </w:p>
          <w:p w14:paraId="139D01BE" w14:textId="77777777" w:rsidR="003D69A8" w:rsidRPr="005E1EA7" w:rsidRDefault="003D69A8" w:rsidP="001E35DC">
            <w:pPr>
              <w:rPr>
                <w:rFonts w:ascii="Tahoma" w:hAnsi="Tahoma" w:cs="Tahoma"/>
                <w:sz w:val="20"/>
                <w:szCs w:val="20"/>
              </w:rPr>
            </w:pPr>
            <w:r w:rsidRPr="005E1EA7">
              <w:rPr>
                <w:rFonts w:ascii="Tahoma" w:hAnsi="Tahoma" w:cs="Tahoma"/>
                <w:sz w:val="20"/>
                <w:szCs w:val="20"/>
              </w:rPr>
              <w:t xml:space="preserve">Saccharine et sels de Na, K et </w:t>
            </w:r>
            <w:proofErr w:type="gramStart"/>
            <w:r w:rsidRPr="005E1EA7">
              <w:rPr>
                <w:rFonts w:ascii="Tahoma" w:hAnsi="Tahoma" w:cs="Tahoma"/>
                <w:sz w:val="20"/>
                <w:szCs w:val="20"/>
              </w:rPr>
              <w:t>Ca</w:t>
            </w:r>
            <w:proofErr w:type="gramEnd"/>
          </w:p>
          <w:p w14:paraId="09589F28" w14:textId="77777777" w:rsidR="003D69A8" w:rsidRPr="005E1EA7" w:rsidRDefault="003D69A8" w:rsidP="001E35DC">
            <w:pPr>
              <w:rPr>
                <w:rFonts w:ascii="Tahoma" w:hAnsi="Tahoma" w:cs="Tahoma"/>
                <w:sz w:val="20"/>
                <w:szCs w:val="20"/>
                <w:lang w:val="de-DE"/>
              </w:rPr>
            </w:pPr>
            <w:r w:rsidRPr="005E1EA7">
              <w:rPr>
                <w:rFonts w:ascii="Tahoma" w:hAnsi="Tahoma" w:cs="Tahoma"/>
                <w:sz w:val="20"/>
                <w:szCs w:val="20"/>
                <w:lang w:val="de-DE"/>
              </w:rPr>
              <w:t>Néohespéridine DC</w:t>
            </w:r>
          </w:p>
        </w:tc>
        <w:tc>
          <w:tcPr>
            <w:tcW w:w="1080" w:type="dxa"/>
          </w:tcPr>
          <w:p w14:paraId="27DE7FCC" w14:textId="77777777" w:rsidR="003D69A8" w:rsidRPr="005E1EA7" w:rsidRDefault="003D69A8" w:rsidP="001E35DC">
            <w:pPr>
              <w:rPr>
                <w:rFonts w:ascii="Tahoma" w:hAnsi="Tahoma" w:cs="Tahoma"/>
                <w:sz w:val="20"/>
                <w:szCs w:val="20"/>
                <w:lang w:val="de-DE"/>
              </w:rPr>
            </w:pPr>
            <w:r w:rsidRPr="005E1EA7">
              <w:rPr>
                <w:rFonts w:ascii="Tahoma" w:hAnsi="Tahoma" w:cs="Tahoma"/>
                <w:sz w:val="20"/>
                <w:szCs w:val="20"/>
                <w:lang w:val="de-DE"/>
              </w:rPr>
              <w:t>E950</w:t>
            </w:r>
          </w:p>
          <w:p w14:paraId="1DD98CC7" w14:textId="77777777" w:rsidR="003D69A8" w:rsidRPr="005E1EA7" w:rsidRDefault="003D69A8" w:rsidP="001E35DC">
            <w:pPr>
              <w:rPr>
                <w:rFonts w:ascii="Tahoma" w:hAnsi="Tahoma" w:cs="Tahoma"/>
                <w:sz w:val="20"/>
                <w:szCs w:val="20"/>
                <w:lang w:val="de-DE"/>
              </w:rPr>
            </w:pPr>
            <w:r w:rsidRPr="005E1EA7">
              <w:rPr>
                <w:rFonts w:ascii="Tahoma" w:hAnsi="Tahoma" w:cs="Tahoma"/>
                <w:sz w:val="20"/>
                <w:szCs w:val="20"/>
                <w:lang w:val="de-DE"/>
              </w:rPr>
              <w:t>E951</w:t>
            </w:r>
          </w:p>
          <w:p w14:paraId="3DFA75B3" w14:textId="77777777" w:rsidR="003D69A8" w:rsidRPr="005E1EA7" w:rsidRDefault="003D69A8" w:rsidP="001E35DC">
            <w:pPr>
              <w:rPr>
                <w:rFonts w:ascii="Tahoma" w:hAnsi="Tahoma" w:cs="Tahoma"/>
                <w:sz w:val="20"/>
                <w:szCs w:val="20"/>
                <w:lang w:val="de-DE"/>
              </w:rPr>
            </w:pPr>
            <w:r w:rsidRPr="005E1EA7">
              <w:rPr>
                <w:rFonts w:ascii="Tahoma" w:hAnsi="Tahoma" w:cs="Tahoma"/>
                <w:sz w:val="20"/>
                <w:szCs w:val="20"/>
                <w:lang w:val="de-DE"/>
              </w:rPr>
              <w:t>E954</w:t>
            </w:r>
          </w:p>
          <w:p w14:paraId="4C8231D6" w14:textId="77777777" w:rsidR="003D69A8" w:rsidRPr="005E1EA7" w:rsidRDefault="003D69A8" w:rsidP="001E35DC">
            <w:pPr>
              <w:rPr>
                <w:rFonts w:ascii="Tahoma" w:hAnsi="Tahoma" w:cs="Tahoma"/>
                <w:sz w:val="20"/>
                <w:szCs w:val="20"/>
                <w:lang w:val="de-DE"/>
              </w:rPr>
            </w:pPr>
            <w:r w:rsidRPr="005E1EA7">
              <w:rPr>
                <w:rFonts w:ascii="Tahoma" w:hAnsi="Tahoma" w:cs="Tahoma"/>
                <w:sz w:val="20"/>
                <w:szCs w:val="20"/>
                <w:lang w:val="de-DE"/>
              </w:rPr>
              <w:t>E959</w:t>
            </w:r>
          </w:p>
        </w:tc>
        <w:tc>
          <w:tcPr>
            <w:tcW w:w="3312" w:type="dxa"/>
          </w:tcPr>
          <w:p w14:paraId="39BEC877" w14:textId="77777777" w:rsidR="003D69A8" w:rsidRPr="005E1EA7" w:rsidRDefault="003D69A8" w:rsidP="001E35DC">
            <w:pPr>
              <w:rPr>
                <w:rFonts w:ascii="Tahoma" w:hAnsi="Tahoma" w:cs="Tahoma"/>
                <w:sz w:val="20"/>
                <w:szCs w:val="20"/>
                <w:lang w:val="de-DE"/>
              </w:rPr>
            </w:pPr>
            <w:r w:rsidRPr="005E1EA7">
              <w:rPr>
                <w:rFonts w:ascii="Tahoma" w:hAnsi="Tahoma" w:cs="Tahoma"/>
                <w:sz w:val="20"/>
                <w:szCs w:val="20"/>
                <w:lang w:val="de-DE"/>
              </w:rPr>
              <w:t>200 mg/kg</w:t>
            </w:r>
          </w:p>
          <w:p w14:paraId="671D6262" w14:textId="77777777" w:rsidR="003D69A8" w:rsidRPr="005E1EA7" w:rsidRDefault="003D69A8" w:rsidP="001E35DC">
            <w:pPr>
              <w:rPr>
                <w:rFonts w:ascii="Tahoma" w:hAnsi="Tahoma" w:cs="Tahoma"/>
                <w:sz w:val="20"/>
                <w:szCs w:val="20"/>
                <w:lang w:val="de-DE"/>
              </w:rPr>
            </w:pPr>
            <w:r w:rsidRPr="005E1EA7">
              <w:rPr>
                <w:rFonts w:ascii="Tahoma" w:hAnsi="Tahoma" w:cs="Tahoma"/>
                <w:sz w:val="20"/>
                <w:szCs w:val="20"/>
                <w:lang w:val="de-DE"/>
              </w:rPr>
              <w:t>300 mg/kg</w:t>
            </w:r>
          </w:p>
          <w:p w14:paraId="6D542BAE" w14:textId="77777777" w:rsidR="003D69A8" w:rsidRPr="005E1EA7" w:rsidRDefault="003D69A8" w:rsidP="001E35DC">
            <w:pPr>
              <w:rPr>
                <w:rFonts w:ascii="Tahoma" w:hAnsi="Tahoma" w:cs="Tahoma"/>
                <w:sz w:val="20"/>
                <w:szCs w:val="20"/>
                <w:lang w:val="de-DE"/>
              </w:rPr>
            </w:pPr>
            <w:r w:rsidRPr="005E1EA7">
              <w:rPr>
                <w:rFonts w:ascii="Tahoma" w:hAnsi="Tahoma" w:cs="Tahoma"/>
                <w:sz w:val="20"/>
                <w:szCs w:val="20"/>
                <w:lang w:val="de-DE"/>
              </w:rPr>
              <w:t>160 mg/kg</w:t>
            </w:r>
          </w:p>
          <w:p w14:paraId="511CA97F" w14:textId="77777777" w:rsidR="003D69A8" w:rsidRPr="005E1EA7" w:rsidRDefault="003D69A8" w:rsidP="001E35DC">
            <w:pPr>
              <w:rPr>
                <w:rFonts w:ascii="Tahoma" w:hAnsi="Tahoma" w:cs="Tahoma"/>
                <w:sz w:val="20"/>
                <w:szCs w:val="20"/>
                <w:lang w:val="de-DE"/>
              </w:rPr>
            </w:pPr>
            <w:r w:rsidRPr="005E1EA7">
              <w:rPr>
                <w:rFonts w:ascii="Tahoma" w:hAnsi="Tahoma" w:cs="Tahoma"/>
                <w:sz w:val="20"/>
                <w:szCs w:val="20"/>
                <w:lang w:val="de-DE"/>
              </w:rPr>
              <w:t>30 mg/kg</w:t>
            </w:r>
          </w:p>
        </w:tc>
      </w:tr>
    </w:tbl>
    <w:p w14:paraId="216FAB1D" w14:textId="77777777" w:rsidR="003D69A8" w:rsidRPr="005E1EA7" w:rsidRDefault="003D69A8" w:rsidP="001E35DC">
      <w:pPr>
        <w:rPr>
          <w:rFonts w:ascii="Tahoma" w:hAnsi="Tahoma" w:cs="Tahoma"/>
          <w:sz w:val="20"/>
          <w:szCs w:val="20"/>
        </w:rPr>
      </w:pPr>
    </w:p>
    <w:p w14:paraId="54043F8A" w14:textId="77777777" w:rsidR="003D69A8" w:rsidRDefault="003D69A8" w:rsidP="001E35DC">
      <w:pPr>
        <w:rPr>
          <w:rFonts w:ascii="Tahoma" w:hAnsi="Tahoma" w:cs="Tahoma"/>
          <w:sz w:val="20"/>
          <w:szCs w:val="20"/>
        </w:rPr>
      </w:pPr>
    </w:p>
    <w:sectPr w:rsidR="003D69A8" w:rsidSect="00E34453">
      <w:footerReference w:type="default" r:id="rId29"/>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32FB32" w14:textId="77777777" w:rsidR="00F6698B" w:rsidRDefault="00F6698B">
      <w:r>
        <w:separator/>
      </w:r>
    </w:p>
  </w:endnote>
  <w:endnote w:type="continuationSeparator" w:id="0">
    <w:p w14:paraId="259D85A0" w14:textId="77777777" w:rsidR="00F6698B" w:rsidRDefault="00F669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merican Typewriter">
    <w:panose1 w:val="02090604020004020304"/>
    <w:charset w:val="4D"/>
    <w:family w:val="roman"/>
    <w:pitch w:val="variable"/>
    <w:sig w:usb0="A000006F" w:usb1="00000019" w:usb2="00000000" w:usb3="00000000" w:csb0="0000011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abic Transparent">
    <w:panose1 w:val="02010000000000000000"/>
    <w:charset w:val="B2"/>
    <w:family w:val="auto"/>
    <w:pitch w:val="variable"/>
    <w:sig w:usb0="00002001" w:usb1="00000000" w:usb2="00000000" w:usb3="00000000" w:csb0="00000041" w:csb1="00000000"/>
  </w:font>
  <w:font w:name="Bookman Old Style">
    <w:panose1 w:val="02050604050505020204"/>
    <w:charset w:val="00"/>
    <w:family w:val="roman"/>
    <w:pitch w:val="variable"/>
    <w:sig w:usb0="00000287" w:usb1="00000000" w:usb2="00000000" w:usb3="00000000" w:csb0="0000009F" w:csb1="00000000"/>
  </w:font>
  <w:font w:name="EUAlbertina-Regular-Identity-H">
    <w:altName w:val="Arial Unicode MS"/>
    <w:panose1 w:val="020B0604020202020204"/>
    <w:charset w:val="86"/>
    <w:family w:val="auto"/>
    <w:notTrueType/>
    <w:pitch w:val="default"/>
    <w:sig w:usb0="00000001" w:usb1="080E0000" w:usb2="00000010" w:usb3="00000000" w:csb0="00040000" w:csb1="00000000"/>
  </w:font>
  <w:font w:name="Times">
    <w:altName w:val="Times New Roman"/>
    <w:panose1 w:val="00000500000000020000"/>
    <w:charset w:val="00"/>
    <w:family w:val="auto"/>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GlyphLessFont">
    <w:altName w:val="Times New Roman"/>
    <w:panose1 w:val="020B0604020202020204"/>
    <w:charset w:val="FE"/>
    <w:family w:val="auto"/>
    <w:notTrueType/>
    <w:pitch w:val="default"/>
    <w:sig w:usb0="00000003" w:usb1="00000000" w:usb2="00000000" w:usb3="00000000" w:csb0="00000000" w:csb1="00000000"/>
  </w:font>
  <w:font w:name="Andale Mono">
    <w:panose1 w:val="020B0509000000000004"/>
    <w:charset w:val="00"/>
    <w:family w:val="modern"/>
    <w:pitch w:val="fixed"/>
    <w:sig w:usb0="00000287" w:usb1="00000000" w:usb2="00000000" w:usb3="00000000" w:csb0="0000009F" w:csb1="00000000"/>
  </w:font>
  <w:font w:name="IILBD A+ EU Albertina">
    <w:altName w:val="Cambria"/>
    <w:panose1 w:val="020B0604020202020204"/>
    <w:charset w:val="00"/>
    <w:family w:val="roman"/>
    <w:notTrueType/>
    <w:pitch w:val="default"/>
    <w:sig w:usb0="00000003" w:usb1="00000000" w:usb2="00000000" w:usb3="00000000" w:csb0="00000001" w:csb1="00000000"/>
  </w:font>
  <w:font w:name="GFENP K+ Times New Roman Base">
    <w:altName w:val="Cambria"/>
    <w:panose1 w:val="020B0604020202020204"/>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G Time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ucida Calligraphy">
    <w:panose1 w:val="03010101010101010101"/>
    <w:charset w:val="4D"/>
    <w:family w:val="script"/>
    <w:pitch w:val="variable"/>
    <w:sig w:usb0="00000003" w:usb1="00000000" w:usb2="00000000" w:usb3="00000000" w:csb0="00000001" w:csb1="00000000"/>
  </w:font>
  <w:font w:name="Apple SD Gothic Neo">
    <w:panose1 w:val="02000300000000000000"/>
    <w:charset w:val="81"/>
    <w:family w:val="auto"/>
    <w:pitch w:val="variable"/>
    <w:sig w:usb0="00000203" w:usb1="29D72C10" w:usb2="00000010" w:usb3="00000000" w:csb0="00280005" w:csb1="00000000"/>
  </w:font>
  <w:font w:name="EUAlbertina-Bold-Identity-H">
    <w:altName w:val="Arial Unicode MS"/>
    <w:panose1 w:val="020B0604020202020204"/>
    <w:charset w:val="80"/>
    <w:family w:val="auto"/>
    <w:notTrueType/>
    <w:pitch w:val="default"/>
    <w:sig w:usb0="00000001" w:usb1="08070000" w:usb2="00000010" w:usb3="00000000" w:csb0="00020000" w:csb1="00000000"/>
  </w:font>
  <w:font w:name="EUAlbertina-Italic-Identity-H">
    <w:altName w:val="Arial Unicode MS"/>
    <w:panose1 w:val="020B0604020202020204"/>
    <w:charset w:val="80"/>
    <w:family w:val="auto"/>
    <w:notTrueType/>
    <w:pitch w:val="default"/>
    <w:sig w:usb0="00000005" w:usb1="08070000" w:usb2="00000010" w:usb3="00000000" w:csb0="00020002"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010F73" w14:textId="77777777" w:rsidR="00B004EE" w:rsidRDefault="00B004EE" w:rsidP="00860410">
    <w:pPr>
      <w:pStyle w:val="Pieddepage"/>
      <w:framePr w:wrap="none"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6A0D169C" w14:textId="77777777" w:rsidR="00B004EE" w:rsidRDefault="00B004EE" w:rsidP="00024507">
    <w:pPr>
      <w:pStyle w:val="Pieddepage"/>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31A708" w14:textId="432E7168" w:rsidR="00E34453" w:rsidRPr="00576B08" w:rsidRDefault="00E34453" w:rsidP="00AB4333">
    <w:pPr>
      <w:pStyle w:val="Pieddepage"/>
      <w:framePr w:wrap="none" w:vAnchor="text" w:hAnchor="margin" w:xAlign="center" w:y="1"/>
      <w:rPr>
        <w:rStyle w:val="Numrodepage"/>
        <w:rFonts w:ascii="Tahoma" w:hAnsi="Tahoma" w:cs="Tahoma"/>
      </w:rPr>
    </w:pPr>
    <w:sdt>
      <w:sdtPr>
        <w:rPr>
          <w:rStyle w:val="Numrodepage"/>
          <w:rFonts w:ascii="Tahoma" w:hAnsi="Tahoma" w:cs="Tahoma"/>
        </w:rPr>
        <w:id w:val="72559917"/>
        <w:docPartObj>
          <w:docPartGallery w:val="Page Numbers (Bottom of Page)"/>
          <w:docPartUnique/>
        </w:docPartObj>
      </w:sdtPr>
      <w:sdtContent>
        <w:r w:rsidRPr="00576B08">
          <w:rPr>
            <w:rStyle w:val="Numrodepage"/>
            <w:rFonts w:ascii="Tahoma" w:hAnsi="Tahoma" w:cs="Tahoma"/>
          </w:rPr>
          <w:fldChar w:fldCharType="begin"/>
        </w:r>
        <w:r w:rsidRPr="00576B08">
          <w:rPr>
            <w:rStyle w:val="Numrodepage"/>
            <w:rFonts w:ascii="Tahoma" w:hAnsi="Tahoma" w:cs="Tahoma"/>
          </w:rPr>
          <w:instrText xml:space="preserve"> PAGE </w:instrText>
        </w:r>
        <w:r w:rsidRPr="00576B08">
          <w:rPr>
            <w:rStyle w:val="Numrodepage"/>
            <w:rFonts w:ascii="Tahoma" w:hAnsi="Tahoma" w:cs="Tahoma"/>
          </w:rPr>
          <w:fldChar w:fldCharType="separate"/>
        </w:r>
        <w:r w:rsidRPr="00576B08">
          <w:rPr>
            <w:rStyle w:val="Numrodepage"/>
            <w:rFonts w:ascii="Tahoma" w:hAnsi="Tahoma" w:cs="Tahoma"/>
            <w:noProof/>
          </w:rPr>
          <w:t>243</w:t>
        </w:r>
        <w:r w:rsidRPr="00576B08">
          <w:rPr>
            <w:rStyle w:val="Numrodepage"/>
            <w:rFonts w:ascii="Tahoma" w:hAnsi="Tahoma" w:cs="Tahoma"/>
          </w:rPr>
          <w:fldChar w:fldCharType="end"/>
        </w:r>
      </w:sdtContent>
    </w:sdt>
    <w:r w:rsidRPr="00576B08">
      <w:rPr>
        <w:rStyle w:val="Numrodepage"/>
        <w:rFonts w:ascii="Tahoma" w:hAnsi="Tahoma" w:cs="Tahoma"/>
      </w:rPr>
      <w:t>/25</w:t>
    </w:r>
    <w:r w:rsidR="00576B08">
      <w:rPr>
        <w:rStyle w:val="Numrodepage"/>
        <w:rFonts w:ascii="Tahoma" w:hAnsi="Tahoma" w:cs="Tahoma"/>
      </w:rPr>
      <w:t>8</w:t>
    </w:r>
  </w:p>
  <w:p w14:paraId="39E19953" w14:textId="77777777" w:rsidR="00E34453" w:rsidRPr="00DB1635" w:rsidRDefault="00E34453" w:rsidP="001165AE">
    <w:pPr>
      <w:pStyle w:val="Pieddepage"/>
      <w:ind w:right="360"/>
      <w:rPr>
        <w:rFonts w:ascii="Tahoma" w:hAnsi="Tahoma" w:cs="Tahoma"/>
        <w:b/>
        <w:bCs/>
        <w:i/>
        <w:iCs/>
        <w:color w:val="FFFFFF" w:themeColor="background1"/>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6890BD" w14:textId="77777777" w:rsidR="00E51E2E" w:rsidRDefault="00420DD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7185747B" w14:textId="77777777" w:rsidR="00E51E2E" w:rsidRDefault="00E51E2E">
    <w:pPr>
      <w:pStyle w:val="Pieddepage"/>
      <w:ind w:right="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D4B695" w14:textId="77777777" w:rsidR="003D69A8" w:rsidRDefault="003D69A8" w:rsidP="00860410">
    <w:pPr>
      <w:pStyle w:val="Pieddepage"/>
      <w:framePr w:wrap="none"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40</w:t>
    </w:r>
    <w:r>
      <w:rPr>
        <w:rStyle w:val="Numrodepage"/>
      </w:rPr>
      <w:fldChar w:fldCharType="end"/>
    </w:r>
  </w:p>
  <w:p w14:paraId="2D6D4DEB" w14:textId="77777777" w:rsidR="003D69A8" w:rsidRDefault="003D69A8">
    <w:pPr>
      <w:pStyle w:val="Pieddepage"/>
      <w:ind w:right="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4420A7" w14:textId="147A551E" w:rsidR="00D775BB" w:rsidRDefault="00000000" w:rsidP="00AB4333">
    <w:pPr>
      <w:pStyle w:val="Pieddepage"/>
      <w:framePr w:wrap="none" w:vAnchor="text" w:hAnchor="margin" w:xAlign="center" w:y="1"/>
      <w:rPr>
        <w:rStyle w:val="Numrodepage"/>
      </w:rPr>
    </w:pPr>
    <w:sdt>
      <w:sdtPr>
        <w:rPr>
          <w:rStyle w:val="Numrodepage"/>
        </w:rPr>
        <w:id w:val="491911344"/>
        <w:docPartObj>
          <w:docPartGallery w:val="Page Numbers (Bottom of Page)"/>
          <w:docPartUnique/>
        </w:docPartObj>
      </w:sdtPr>
      <w:sdtContent>
        <w:r w:rsidR="00D775BB">
          <w:rPr>
            <w:rStyle w:val="Numrodepage"/>
          </w:rPr>
          <w:fldChar w:fldCharType="begin"/>
        </w:r>
        <w:r w:rsidR="00D775BB">
          <w:rPr>
            <w:rStyle w:val="Numrodepage"/>
          </w:rPr>
          <w:instrText xml:space="preserve"> PAGE </w:instrText>
        </w:r>
        <w:r w:rsidR="00D775BB">
          <w:rPr>
            <w:rStyle w:val="Numrodepage"/>
          </w:rPr>
          <w:fldChar w:fldCharType="separate"/>
        </w:r>
        <w:r w:rsidR="008B3F00">
          <w:rPr>
            <w:rStyle w:val="Numrodepage"/>
            <w:noProof/>
          </w:rPr>
          <w:t>239</w:t>
        </w:r>
        <w:r w:rsidR="00D775BB">
          <w:rPr>
            <w:rStyle w:val="Numrodepage"/>
          </w:rPr>
          <w:fldChar w:fldCharType="end"/>
        </w:r>
      </w:sdtContent>
    </w:sdt>
    <w:r w:rsidR="00D775BB">
      <w:rPr>
        <w:rStyle w:val="Numrodepage"/>
      </w:rPr>
      <w:t>/256</w:t>
    </w:r>
  </w:p>
  <w:p w14:paraId="5E191AAF" w14:textId="77777777" w:rsidR="00D775BB" w:rsidRPr="00DB1635" w:rsidRDefault="00D775BB" w:rsidP="001165AE">
    <w:pPr>
      <w:pStyle w:val="Pieddepage"/>
      <w:ind w:right="360"/>
      <w:rPr>
        <w:rFonts w:ascii="Tahoma" w:hAnsi="Tahoma" w:cs="Tahoma"/>
        <w:b/>
        <w:bCs/>
        <w:i/>
        <w:iCs/>
        <w:color w:val="FFFFFF" w:themeColor="background1"/>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EB35E6" w14:textId="1A6D8443" w:rsidR="00D775BB" w:rsidRPr="00DB1635" w:rsidRDefault="00000000" w:rsidP="00C323AB">
    <w:pPr>
      <w:pStyle w:val="Pieddepage"/>
      <w:framePr w:wrap="none" w:vAnchor="text" w:hAnchor="margin" w:xAlign="center" w:y="1"/>
      <w:rPr>
        <w:rFonts w:ascii="Tahoma" w:hAnsi="Tahoma" w:cs="Tahoma"/>
        <w:b/>
        <w:bCs/>
        <w:i/>
        <w:iCs/>
        <w:color w:val="FFFFFF" w:themeColor="background1"/>
      </w:rPr>
    </w:pPr>
    <w:sdt>
      <w:sdtPr>
        <w:rPr>
          <w:rStyle w:val="Numrodepage"/>
          <w:rFonts w:ascii="Tahoma" w:hAnsi="Tahoma" w:cs="Tahoma"/>
        </w:rPr>
        <w:id w:val="84268915"/>
        <w:docPartObj>
          <w:docPartGallery w:val="Page Numbers (Bottom of Page)"/>
          <w:docPartUnique/>
        </w:docPartObj>
      </w:sdtPr>
      <w:sdtContent>
        <w:r w:rsidR="00860410" w:rsidRPr="00C323AB">
          <w:rPr>
            <w:rStyle w:val="Numrodepage"/>
            <w:rFonts w:ascii="Tahoma" w:hAnsi="Tahoma" w:cs="Tahoma"/>
          </w:rPr>
          <w:fldChar w:fldCharType="begin"/>
        </w:r>
        <w:r w:rsidR="00860410" w:rsidRPr="00C323AB">
          <w:rPr>
            <w:rStyle w:val="Numrodepage"/>
            <w:rFonts w:ascii="Tahoma" w:hAnsi="Tahoma" w:cs="Tahoma"/>
          </w:rPr>
          <w:instrText xml:space="preserve"> PAGE </w:instrText>
        </w:r>
        <w:r w:rsidR="00860410" w:rsidRPr="00C323AB">
          <w:rPr>
            <w:rStyle w:val="Numrodepage"/>
            <w:rFonts w:ascii="Tahoma" w:hAnsi="Tahoma" w:cs="Tahoma"/>
          </w:rPr>
          <w:fldChar w:fldCharType="separate"/>
        </w:r>
        <w:r w:rsidR="008B3F00" w:rsidRPr="00C323AB">
          <w:rPr>
            <w:rStyle w:val="Numrodepage"/>
            <w:rFonts w:ascii="Tahoma" w:hAnsi="Tahoma" w:cs="Tahoma"/>
            <w:noProof/>
          </w:rPr>
          <w:t>256</w:t>
        </w:r>
        <w:r w:rsidR="00860410" w:rsidRPr="00C323AB">
          <w:rPr>
            <w:rStyle w:val="Numrodepage"/>
            <w:rFonts w:ascii="Tahoma" w:hAnsi="Tahoma" w:cs="Tahoma"/>
          </w:rPr>
          <w:fldChar w:fldCharType="end"/>
        </w:r>
      </w:sdtContent>
    </w:sdt>
    <w:r w:rsidR="00860410" w:rsidRPr="00C323AB">
      <w:rPr>
        <w:rStyle w:val="Numrodepage"/>
        <w:rFonts w:ascii="Tahoma" w:hAnsi="Tahoma" w:cs="Tahoma"/>
      </w:rPr>
      <w:t>/</w:t>
    </w:r>
    <w:r w:rsidR="00C323AB">
      <w:rPr>
        <w:rStyle w:val="Numrodepage"/>
        <w:rFonts w:ascii="Tahoma" w:hAnsi="Tahoma" w:cs="Tahoma"/>
      </w:rPr>
      <w:t>257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67C45B" w14:textId="4A1B281C" w:rsidR="00B004EE" w:rsidRPr="00DB1635" w:rsidRDefault="00B004EE" w:rsidP="001165AE">
    <w:pPr>
      <w:pStyle w:val="Pieddepage"/>
      <w:ind w:right="360"/>
      <w:rPr>
        <w:rFonts w:ascii="Tahoma" w:hAnsi="Tahoma" w:cs="Tahoma"/>
        <w:b/>
        <w:bCs/>
        <w:i/>
        <w:iCs/>
        <w:color w:val="FFFFFF" w:themeColor="background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rodepage"/>
      </w:rPr>
      <w:id w:val="-576138551"/>
      <w:docPartObj>
        <w:docPartGallery w:val="Page Numbers (Bottom of Page)"/>
        <w:docPartUnique/>
      </w:docPartObj>
    </w:sdtPr>
    <w:sdtContent>
      <w:p w14:paraId="7899D6A4" w14:textId="180FE7D6" w:rsidR="00D775BB" w:rsidRDefault="00D775BB" w:rsidP="00AB4333">
        <w:pPr>
          <w:pStyle w:val="Pieddepage"/>
          <w:framePr w:wrap="none" w:vAnchor="text" w:hAnchor="margin" w:xAlign="center" w:y="1"/>
          <w:rPr>
            <w:rStyle w:val="Numrodepage"/>
          </w:rPr>
        </w:pPr>
        <w:r w:rsidRPr="004C61F1">
          <w:rPr>
            <w:rStyle w:val="Numrodepage"/>
            <w:color w:val="FFFFFF" w:themeColor="background1"/>
          </w:rPr>
          <w:fldChar w:fldCharType="begin"/>
        </w:r>
        <w:r w:rsidRPr="004C61F1">
          <w:rPr>
            <w:rStyle w:val="Numrodepage"/>
            <w:color w:val="FFFFFF" w:themeColor="background1"/>
          </w:rPr>
          <w:instrText xml:space="preserve"> PAGE </w:instrText>
        </w:r>
        <w:r w:rsidRPr="004C61F1">
          <w:rPr>
            <w:rStyle w:val="Numrodepage"/>
            <w:color w:val="FFFFFF" w:themeColor="background1"/>
          </w:rPr>
          <w:fldChar w:fldCharType="separate"/>
        </w:r>
        <w:r w:rsidR="008B3F00">
          <w:rPr>
            <w:rStyle w:val="Numrodepage"/>
            <w:noProof/>
            <w:color w:val="FFFFFF" w:themeColor="background1"/>
          </w:rPr>
          <w:t>1</w:t>
        </w:r>
        <w:r w:rsidRPr="004C61F1">
          <w:rPr>
            <w:rStyle w:val="Numrodepage"/>
            <w:color w:val="FFFFFF" w:themeColor="background1"/>
          </w:rPr>
          <w:fldChar w:fldCharType="end"/>
        </w:r>
      </w:p>
    </w:sdtContent>
  </w:sdt>
  <w:sdt>
    <w:sdtPr>
      <w:rPr>
        <w:sz w:val="20"/>
        <w:szCs w:val="20"/>
      </w:rPr>
      <w:id w:val="-494423550"/>
      <w:docPartObj>
        <w:docPartGallery w:val="Page Numbers (Bottom of Page)"/>
        <w:docPartUnique/>
      </w:docPartObj>
    </w:sdtPr>
    <w:sdtContent>
      <w:p w14:paraId="274F9435" w14:textId="1D482001" w:rsidR="00B004EE" w:rsidRPr="00DD35A6" w:rsidRDefault="00B004EE" w:rsidP="00D775BB">
        <w:pPr>
          <w:pStyle w:val="En-tte"/>
          <w:rPr>
            <w:b/>
            <w:bCs/>
            <w:i/>
            <w:iCs/>
            <w:color w:val="70AD47" w:themeColor="accent6"/>
          </w:rPr>
        </w:pPr>
        <w:r w:rsidRPr="00DD35A6">
          <w:rPr>
            <w:b/>
            <w:bCs/>
            <w:i/>
            <w:iCs/>
            <w:color w:val="70AD47" w:themeColor="accent6"/>
            <w:sz w:val="18"/>
            <w:szCs w:val="18"/>
          </w:rPr>
          <w:t xml:space="preserve"> </w:t>
        </w:r>
      </w:p>
      <w:p w14:paraId="09EFAEA8" w14:textId="77742499" w:rsidR="00B004EE" w:rsidRPr="00DD35A6" w:rsidRDefault="00000000" w:rsidP="00DD35A6">
        <w:pPr>
          <w:pStyle w:val="Pieddepage"/>
          <w:jc w:val="right"/>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rodepage"/>
        <w:rFonts w:ascii="Tahoma" w:hAnsi="Tahoma" w:cs="Tahoma"/>
      </w:rPr>
      <w:id w:val="-843711005"/>
      <w:docPartObj>
        <w:docPartGallery w:val="Page Numbers (Bottom of Page)"/>
        <w:docPartUnique/>
      </w:docPartObj>
    </w:sdtPr>
    <w:sdtContent>
      <w:p w14:paraId="0FCB2C29" w14:textId="717A81EC" w:rsidR="00860410" w:rsidRPr="00576B08" w:rsidRDefault="00860410" w:rsidP="00860410">
        <w:pPr>
          <w:pStyle w:val="Pieddepage"/>
          <w:framePr w:wrap="notBeside" w:vAnchor="text" w:hAnchor="margin" w:xAlign="center" w:y="1"/>
          <w:rPr>
            <w:rStyle w:val="Numrodepage"/>
            <w:rFonts w:ascii="Tahoma" w:hAnsi="Tahoma" w:cs="Tahoma"/>
          </w:rPr>
        </w:pPr>
        <w:r w:rsidRPr="00576B08">
          <w:rPr>
            <w:rStyle w:val="Numrodepage"/>
            <w:rFonts w:ascii="Tahoma" w:hAnsi="Tahoma" w:cs="Tahoma"/>
          </w:rPr>
          <w:fldChar w:fldCharType="begin"/>
        </w:r>
        <w:r w:rsidRPr="00576B08">
          <w:rPr>
            <w:rStyle w:val="Numrodepage"/>
            <w:rFonts w:ascii="Tahoma" w:hAnsi="Tahoma" w:cs="Tahoma"/>
          </w:rPr>
          <w:instrText xml:space="preserve"> PAGE </w:instrText>
        </w:r>
        <w:r w:rsidRPr="00576B08">
          <w:rPr>
            <w:rStyle w:val="Numrodepage"/>
            <w:rFonts w:ascii="Tahoma" w:hAnsi="Tahoma" w:cs="Tahoma"/>
          </w:rPr>
          <w:fldChar w:fldCharType="separate"/>
        </w:r>
        <w:r w:rsidR="008B3F00" w:rsidRPr="00576B08">
          <w:rPr>
            <w:rStyle w:val="Numrodepage"/>
            <w:rFonts w:ascii="Tahoma" w:hAnsi="Tahoma" w:cs="Tahoma"/>
            <w:noProof/>
          </w:rPr>
          <w:t>2</w:t>
        </w:r>
        <w:r w:rsidRPr="00576B08">
          <w:rPr>
            <w:rStyle w:val="Numrodepage"/>
            <w:rFonts w:ascii="Tahoma" w:hAnsi="Tahoma" w:cs="Tahoma"/>
          </w:rPr>
          <w:fldChar w:fldCharType="end"/>
        </w:r>
        <w:r w:rsidRPr="00576B08">
          <w:rPr>
            <w:rStyle w:val="Numrodepage"/>
            <w:rFonts w:ascii="Tahoma" w:hAnsi="Tahoma" w:cs="Tahoma"/>
          </w:rPr>
          <w:t>/</w:t>
        </w:r>
        <w:r w:rsidR="00C323AB">
          <w:rPr>
            <w:rStyle w:val="Numrodepage"/>
            <w:rFonts w:ascii="Tahoma" w:hAnsi="Tahoma" w:cs="Tahoma"/>
          </w:rPr>
          <w:t>257</w:t>
        </w:r>
      </w:p>
    </w:sdtContent>
  </w:sdt>
  <w:p w14:paraId="595A9A18" w14:textId="77777777" w:rsidR="00860410" w:rsidRPr="00DB1635" w:rsidRDefault="00860410" w:rsidP="001165AE">
    <w:pPr>
      <w:pStyle w:val="Pieddepage"/>
      <w:ind w:right="360"/>
      <w:rPr>
        <w:rFonts w:ascii="Tahoma" w:hAnsi="Tahoma" w:cs="Tahoma"/>
        <w:b/>
        <w:bCs/>
        <w:i/>
        <w:iCs/>
        <w:color w:val="FFFFFF" w:themeColor="background1"/>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rodepage"/>
      </w:rPr>
      <w:id w:val="1410725558"/>
      <w:docPartObj>
        <w:docPartGallery w:val="Page Numbers (Bottom of Page)"/>
        <w:docPartUnique/>
      </w:docPartObj>
    </w:sdtPr>
    <w:sdtContent>
      <w:p w14:paraId="03BA9F74" w14:textId="126B3976" w:rsidR="00D775BB" w:rsidRDefault="00D775BB" w:rsidP="00AB433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5</w:t>
        </w:r>
        <w:r>
          <w:rPr>
            <w:rStyle w:val="Numrodepage"/>
          </w:rPr>
          <w:fldChar w:fldCharType="end"/>
        </w:r>
        <w:r>
          <w:rPr>
            <w:rStyle w:val="Numrodepage"/>
          </w:rPr>
          <w:t>/25</w:t>
        </w:r>
        <w:r w:rsidR="00860410">
          <w:rPr>
            <w:rStyle w:val="Numrodepage"/>
          </w:rPr>
          <w:t>6</w:t>
        </w:r>
      </w:p>
    </w:sdtContent>
  </w:sdt>
  <w:p w14:paraId="72F9C061" w14:textId="20B754B3" w:rsidR="00F23171" w:rsidRPr="00DD35A6" w:rsidRDefault="00F23171" w:rsidP="00D775BB">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rodepage"/>
      </w:rPr>
      <w:id w:val="-1674406693"/>
      <w:docPartObj>
        <w:docPartGallery w:val="Page Numbers (Bottom of Page)"/>
        <w:docPartUnique/>
      </w:docPartObj>
    </w:sdtPr>
    <w:sdtContent>
      <w:p w14:paraId="73661708" w14:textId="77777777" w:rsidR="00860410" w:rsidRDefault="00860410" w:rsidP="00AB433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separate"/>
        </w:r>
        <w:r w:rsidR="008B3F00">
          <w:rPr>
            <w:rStyle w:val="Numrodepage"/>
            <w:noProof/>
          </w:rPr>
          <w:t>5</w:t>
        </w:r>
        <w:r>
          <w:rPr>
            <w:rStyle w:val="Numrodepage"/>
          </w:rPr>
          <w:fldChar w:fldCharType="end"/>
        </w:r>
        <w:r>
          <w:rPr>
            <w:rStyle w:val="Numrodepage"/>
          </w:rPr>
          <w:t>/256</w:t>
        </w:r>
      </w:p>
    </w:sdtContent>
  </w:sdt>
  <w:p w14:paraId="2E8E7682" w14:textId="77777777" w:rsidR="00860410" w:rsidRPr="00DD35A6" w:rsidRDefault="00860410" w:rsidP="00D775BB">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rodepage"/>
      </w:rPr>
      <w:id w:val="1091131305"/>
      <w:docPartObj>
        <w:docPartGallery w:val="Page Numbers (Bottom of Page)"/>
        <w:docPartUnique/>
      </w:docPartObj>
    </w:sdtPr>
    <w:sdtContent>
      <w:p w14:paraId="47662D20" w14:textId="62C1D0B0" w:rsidR="00F23171" w:rsidRDefault="00F23171" w:rsidP="00AB4333">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5</w:t>
        </w:r>
        <w:r>
          <w:rPr>
            <w:rStyle w:val="Numrodepage"/>
          </w:rPr>
          <w:fldChar w:fldCharType="end"/>
        </w:r>
      </w:p>
    </w:sdtContent>
  </w:sdt>
  <w:p w14:paraId="1DAFD09A" w14:textId="50DC128B" w:rsidR="00B004EE" w:rsidRPr="00C40CA4" w:rsidRDefault="00B004EE" w:rsidP="00F23171">
    <w:pPr>
      <w:pStyle w:val="Corpsdetexte"/>
      <w:shd w:val="clear" w:color="auto" w:fill="FFE599" w:themeFill="accent4" w:themeFillTint="66"/>
      <w:tabs>
        <w:tab w:val="left" w:pos="6342"/>
        <w:tab w:val="center" w:pos="8900"/>
      </w:tabs>
      <w:spacing w:line="20" w:lineRule="atLeast"/>
      <w:ind w:right="360"/>
      <w:rPr>
        <w:rFonts w:ascii="Tahoma" w:hAnsi="Tahoma" w:cs="Tahoma"/>
        <w:b/>
        <w:bCs/>
      </w:rPr>
    </w:pPr>
    <w:r w:rsidRPr="0049647F">
      <w:rPr>
        <w:rFonts w:ascii="Tahoma" w:hAnsi="Tahoma" w:cs="Tahoma"/>
        <w:b/>
        <w:bCs/>
        <w:i/>
        <w:iCs/>
        <w:color w:val="002060"/>
        <w:sz w:val="20"/>
        <w:szCs w:val="20"/>
      </w:rPr>
      <w:t>Loi n° 2005-030 du 02 Février 2005 portant Code de l'eau</w:t>
    </w:r>
    <w:r>
      <w:rPr>
        <w:rFonts w:ascii="Tahoma" w:hAnsi="Tahoma" w:cs="Tahoma"/>
        <w:b/>
        <w:bCs/>
        <w:i/>
        <w:iCs/>
        <w:color w:val="002060"/>
        <w:sz w:val="20"/>
        <w:szCs w:val="20"/>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7CAA10" w14:textId="77777777" w:rsidR="00B004EE" w:rsidRPr="00DB1635" w:rsidRDefault="00B004EE" w:rsidP="00DB1635">
    <w:pPr>
      <w:pStyle w:val="Pieddepage"/>
      <w:shd w:val="clear" w:color="auto" w:fill="70AD47" w:themeFill="accent6"/>
      <w:ind w:right="360"/>
      <w:rPr>
        <w:rFonts w:ascii="Tahoma" w:hAnsi="Tahoma" w:cs="Tahoma"/>
        <w:b/>
        <w:bCs/>
        <w:i/>
        <w:iCs/>
        <w:color w:val="FFFFFF" w:themeColor="background1"/>
      </w:rPr>
    </w:pPr>
    <w:r w:rsidRPr="00DB1635">
      <w:rPr>
        <w:rFonts w:ascii="Tahoma" w:hAnsi="Tahoma" w:cs="Tahoma"/>
        <w:b/>
        <w:bCs/>
        <w:i/>
        <w:iCs/>
        <w:color w:val="FFFFFF" w:themeColor="background1"/>
      </w:rPr>
      <w:t>Loi n° 2010-042 du 21 juillet 2010 relative au code d’hygiène.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0"/>
        <w:szCs w:val="20"/>
      </w:rPr>
      <w:id w:val="184023080"/>
      <w:docPartObj>
        <w:docPartGallery w:val="Page Numbers (Bottom of Page)"/>
        <w:docPartUnique/>
      </w:docPartObj>
    </w:sdtPr>
    <w:sdtContent>
      <w:p w14:paraId="4243E26C" w14:textId="77777777" w:rsidR="00B004EE" w:rsidRPr="00DD35A6" w:rsidRDefault="00B004EE" w:rsidP="00781AC7">
        <w:pPr>
          <w:pStyle w:val="En-tte"/>
          <w:rPr>
            <w:b/>
            <w:bCs/>
            <w:i/>
            <w:iCs/>
            <w:color w:val="70AD47" w:themeColor="accent6"/>
          </w:rPr>
        </w:pPr>
        <w:r w:rsidRPr="00DD35A6">
          <w:rPr>
            <w:b/>
            <w:bCs/>
            <w:i/>
            <w:iCs/>
            <w:color w:val="70AD47" w:themeColor="accent6"/>
            <w:sz w:val="18"/>
            <w:szCs w:val="18"/>
          </w:rPr>
          <w:t xml:space="preserve"> </w:t>
        </w:r>
      </w:p>
      <w:p w14:paraId="415210F1" w14:textId="77777777" w:rsidR="00B004EE" w:rsidRPr="00DD35A6" w:rsidRDefault="00000000" w:rsidP="00DD35A6">
        <w:pPr>
          <w:pStyle w:val="Pieddepage"/>
          <w:jc w:val="right"/>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034350" w14:textId="77777777" w:rsidR="00F6698B" w:rsidRDefault="00F6698B">
      <w:r>
        <w:separator/>
      </w:r>
    </w:p>
  </w:footnote>
  <w:footnote w:type="continuationSeparator" w:id="0">
    <w:p w14:paraId="39C5C8A6" w14:textId="77777777" w:rsidR="00F6698B" w:rsidRDefault="00F6698B">
      <w:r>
        <w:continuationSeparator/>
      </w:r>
    </w:p>
  </w:footnote>
  <w:footnote w:id="1">
    <w:p w14:paraId="2BD93C09" w14:textId="77777777" w:rsidR="00B004EE" w:rsidRPr="00E32DBF" w:rsidRDefault="00B004EE" w:rsidP="008518B0">
      <w:pPr>
        <w:pStyle w:val="Notedebasdepage"/>
        <w:jc w:val="both"/>
        <w:rPr>
          <w:color w:val="000000" w:themeColor="text1"/>
          <w:sz w:val="16"/>
          <w:szCs w:val="16"/>
          <w:lang w:val="fr-FR"/>
        </w:rPr>
      </w:pPr>
      <w:r w:rsidRPr="00E32DBF">
        <w:rPr>
          <w:rStyle w:val="Appelnotedebasdep"/>
          <w:color w:val="000000" w:themeColor="text1"/>
          <w:sz w:val="16"/>
          <w:szCs w:val="16"/>
        </w:rPr>
        <w:footnoteRef/>
      </w:r>
      <w:r w:rsidRPr="00E32DBF">
        <w:rPr>
          <w:color w:val="000000" w:themeColor="text1"/>
          <w:sz w:val="16"/>
          <w:szCs w:val="16"/>
          <w:lang w:val="fr-FR"/>
        </w:rPr>
        <w:t xml:space="preserve"> C’est le point correspond à la rencontre de la latitude 19°00N avec la ligne des 20 mètres : Ces coordonnées sont 19°00N/16°39.50W dans le protocole, mais nous avons trouvé que la rencontre dans le système de projection longitude/latitude WGS84 se fait à 19°00N/19°40.73.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A4484E" w14:textId="71777468" w:rsidR="00B004EE" w:rsidRDefault="00B004EE" w:rsidP="00B56A19">
    <w:pPr>
      <w:pStyle w:val="En-tte"/>
      <w:framePr w:wrap="none" w:vAnchor="text" w:hAnchor="margin" w:xAlign="center" w:y="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1EF938" w14:textId="23E57B8A" w:rsidR="006D3BD6" w:rsidRDefault="006D3BD6" w:rsidP="00991798">
    <w:pPr>
      <w:pStyle w:val="En-tte"/>
      <w:ind w:right="360"/>
    </w:pPr>
    <w:r>
      <w:rPr>
        <w:rFonts w:ascii="Tahoma" w:hAnsi="Tahoma" w:cs="Tahoma"/>
        <w:noProof/>
      </w:rPr>
      <mc:AlternateContent>
        <mc:Choice Requires="wpg">
          <w:drawing>
            <wp:anchor distT="0" distB="0" distL="114300" distR="114300" simplePos="0" relativeHeight="251659264" behindDoc="0" locked="0" layoutInCell="1" allowOverlap="1" wp14:anchorId="37A55644" wp14:editId="51118D90">
              <wp:simplePos x="0" y="0"/>
              <wp:positionH relativeFrom="margin">
                <wp:posOffset>83820</wp:posOffset>
              </wp:positionH>
              <wp:positionV relativeFrom="paragraph">
                <wp:posOffset>147320</wp:posOffset>
              </wp:positionV>
              <wp:extent cx="5943335" cy="753893"/>
              <wp:effectExtent l="0" t="0" r="635" b="8255"/>
              <wp:wrapNone/>
              <wp:docPr id="9" name="Groupe 9"/>
              <wp:cNvGraphicFramePr/>
              <a:graphic xmlns:a="http://schemas.openxmlformats.org/drawingml/2006/main">
                <a:graphicData uri="http://schemas.microsoft.com/office/word/2010/wordprocessingGroup">
                  <wpg:wgp>
                    <wpg:cNvGrpSpPr/>
                    <wpg:grpSpPr>
                      <a:xfrm>
                        <a:off x="0" y="0"/>
                        <a:ext cx="5943335" cy="753893"/>
                        <a:chOff x="0" y="0"/>
                        <a:chExt cx="5943335" cy="753893"/>
                      </a:xfrm>
                    </wpg:grpSpPr>
                    <pic:pic xmlns:pic="http://schemas.openxmlformats.org/drawingml/2006/picture">
                      <pic:nvPicPr>
                        <pic:cNvPr id="1" name="Image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562447" y="31898"/>
                          <a:ext cx="754380" cy="721995"/>
                        </a:xfrm>
                        <a:prstGeom prst="rect">
                          <a:avLst/>
                        </a:prstGeom>
                        <a:noFill/>
                      </pic:spPr>
                    </pic:pic>
                    <wps:wsp>
                      <wps:cNvPr id="4" name="Rectangle à coins arrondis 4"/>
                      <wps:cNvSpPr/>
                      <wps:spPr>
                        <a:xfrm>
                          <a:off x="0" y="0"/>
                          <a:ext cx="2434590" cy="720000"/>
                        </a:xfrm>
                        <a:prstGeom prst="roundRect">
                          <a:avLst/>
                        </a:prstGeom>
                        <a:ln w="3175">
                          <a:noFill/>
                        </a:ln>
                      </wps:spPr>
                      <wps:style>
                        <a:lnRef idx="2">
                          <a:schemeClr val="accent1"/>
                        </a:lnRef>
                        <a:fillRef idx="1">
                          <a:schemeClr val="lt1"/>
                        </a:fillRef>
                        <a:effectRef idx="0">
                          <a:schemeClr val="accent1"/>
                        </a:effectRef>
                        <a:fontRef idx="minor">
                          <a:schemeClr val="dk1"/>
                        </a:fontRef>
                      </wps:style>
                      <wps:txbx>
                        <w:txbxContent>
                          <w:p w14:paraId="4FC561DA" w14:textId="77777777" w:rsidR="00B004EE" w:rsidRPr="0083718B" w:rsidRDefault="00B004EE" w:rsidP="00FB255C">
                            <w:pPr>
                              <w:ind w:right="80"/>
                              <w:jc w:val="center"/>
                              <w:rPr>
                                <w:rFonts w:ascii="Tahoma" w:hAnsi="Tahoma" w:cs="Tahoma"/>
                                <w:b/>
                                <w:bCs/>
                                <w:color w:val="00B050"/>
                              </w:rPr>
                            </w:pPr>
                            <w:r w:rsidRPr="0083718B">
                              <w:rPr>
                                <w:rFonts w:ascii="Tahoma" w:hAnsi="Tahoma" w:cs="Tahoma"/>
                                <w:b/>
                                <w:bCs/>
                                <w:color w:val="00B050"/>
                              </w:rPr>
                              <w:t>REPUBLIQUE ISLAMIQUE DE MAURITANIE</w:t>
                            </w:r>
                          </w:p>
                          <w:p w14:paraId="6247B538" w14:textId="77777777" w:rsidR="00B004EE" w:rsidRPr="0083718B" w:rsidRDefault="00B004EE" w:rsidP="00FB255C">
                            <w:pPr>
                              <w:ind w:right="80"/>
                              <w:jc w:val="center"/>
                              <w:rPr>
                                <w:rFonts w:ascii="Tahoma" w:hAnsi="Tahoma" w:cs="Tahoma"/>
                                <w:color w:val="00B050"/>
                                <w:sz w:val="16"/>
                                <w:szCs w:val="16"/>
                              </w:rPr>
                            </w:pPr>
                            <w:r w:rsidRPr="0083718B">
                              <w:rPr>
                                <w:rFonts w:ascii="Tahoma" w:hAnsi="Tahoma" w:cs="Tahoma"/>
                                <w:color w:val="00B050"/>
                                <w:sz w:val="16"/>
                                <w:szCs w:val="16"/>
                              </w:rPr>
                              <w:t>Honneur - fraternité - Justice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à coins arrondis 6"/>
                      <wps:cNvSpPr/>
                      <wps:spPr>
                        <a:xfrm>
                          <a:off x="3508745" y="21265"/>
                          <a:ext cx="2434590" cy="719455"/>
                        </a:xfrm>
                        <a:prstGeom prst="roundRect">
                          <a:avLst/>
                        </a:prstGeom>
                        <a:ln w="3175">
                          <a:noFill/>
                        </a:ln>
                      </wps:spPr>
                      <wps:style>
                        <a:lnRef idx="2">
                          <a:schemeClr val="accent2"/>
                        </a:lnRef>
                        <a:fillRef idx="1">
                          <a:schemeClr val="lt1"/>
                        </a:fillRef>
                        <a:effectRef idx="0">
                          <a:schemeClr val="accent2"/>
                        </a:effectRef>
                        <a:fontRef idx="minor">
                          <a:schemeClr val="dk1"/>
                        </a:fontRef>
                      </wps:style>
                      <wps:txbx>
                        <w:txbxContent>
                          <w:p w14:paraId="431ACFA3" w14:textId="5660E2B0" w:rsidR="00B004EE" w:rsidRPr="00FB255C" w:rsidRDefault="00B004EE" w:rsidP="00FB255C">
                            <w:pPr>
                              <w:pStyle w:val="Lgende"/>
                              <w:jc w:val="center"/>
                              <w:rPr>
                                <w:rFonts w:ascii="Tahoma" w:hAnsi="Tahoma" w:cs="Tahoma"/>
                                <w:color w:val="FF0000"/>
                                <w:sz w:val="24"/>
                                <w:szCs w:val="24"/>
                              </w:rPr>
                            </w:pPr>
                            <w:r w:rsidRPr="00FB255C">
                              <w:rPr>
                                <w:rFonts w:ascii="Tahoma" w:hAnsi="Tahoma" w:cs="Tahoma"/>
                                <w:color w:val="FF0000"/>
                                <w:sz w:val="24"/>
                                <w:szCs w:val="24"/>
                              </w:rPr>
                              <w:t xml:space="preserve">Ministère </w:t>
                            </w:r>
                            <w:r w:rsidR="00A17803">
                              <w:rPr>
                                <w:rFonts w:ascii="Tahoma" w:hAnsi="Tahoma" w:cs="Tahoma"/>
                                <w:color w:val="FF0000"/>
                                <w:sz w:val="24"/>
                                <w:szCs w:val="24"/>
                              </w:rPr>
                              <w:t>de la</w:t>
                            </w:r>
                            <w:r w:rsidRPr="00FB255C">
                              <w:rPr>
                                <w:rFonts w:ascii="Tahoma" w:hAnsi="Tahoma" w:cs="Tahoma"/>
                                <w:color w:val="FF0000"/>
                                <w:sz w:val="24"/>
                                <w:szCs w:val="24"/>
                              </w:rPr>
                              <w:t xml:space="preserve"> Pêche</w:t>
                            </w:r>
                            <w:r w:rsidR="00A17803">
                              <w:rPr>
                                <w:rFonts w:ascii="Tahoma" w:hAnsi="Tahoma" w:cs="Tahoma"/>
                                <w:color w:val="FF0000"/>
                                <w:sz w:val="24"/>
                                <w:szCs w:val="24"/>
                              </w:rPr>
                              <w:t>,</w:t>
                            </w:r>
                            <w:r w:rsidRPr="00FB255C">
                              <w:rPr>
                                <w:rFonts w:ascii="Tahoma" w:hAnsi="Tahoma" w:cs="Tahoma"/>
                                <w:color w:val="FF0000"/>
                                <w:sz w:val="24"/>
                                <w:szCs w:val="24"/>
                              </w:rPr>
                              <w:t xml:space="preserve"> de</w:t>
                            </w:r>
                            <w:r w:rsidR="00A17803">
                              <w:rPr>
                                <w:rFonts w:ascii="Tahoma" w:hAnsi="Tahoma" w:cs="Tahoma"/>
                                <w:color w:val="FF0000"/>
                                <w:sz w:val="24"/>
                                <w:szCs w:val="24"/>
                              </w:rPr>
                              <w:t xml:space="preserve">s Infrastructures </w:t>
                            </w:r>
                            <w:r w:rsidRPr="00FB255C">
                              <w:rPr>
                                <w:rFonts w:ascii="Tahoma" w:hAnsi="Tahoma" w:cs="Tahoma"/>
                                <w:color w:val="FF0000"/>
                                <w:sz w:val="24"/>
                                <w:szCs w:val="24"/>
                              </w:rPr>
                              <w:t>Maritime</w:t>
                            </w:r>
                            <w:r w:rsidR="0083718B">
                              <w:rPr>
                                <w:rFonts w:ascii="Tahoma" w:hAnsi="Tahoma" w:cs="Tahoma"/>
                                <w:color w:val="FF0000"/>
                                <w:sz w:val="24"/>
                                <w:szCs w:val="24"/>
                              </w:rPr>
                              <w:t>s et Portuaires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7A55644" id="Groupe 9" o:spid="_x0000_s1031" style="position:absolute;margin-left:6.6pt;margin-top:11.6pt;width:468pt;height:59.35pt;z-index:251659264;mso-position-horizontal-relative:margin" coordsize="59433,753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32" type="#_x0000_t75" style="position:absolute;left:25624;top:318;width:7544;height:72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">
                <v:imagedata r:id="rId2" o:title=""/>
              </v:shape>
              <v:roundrect id="Rectangle à coins arrondis 4" o:spid="_x0000_s1033" style="position:absolute;width:24345;height:720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" fillcolor="white [3201]" stroked="f" strokeweight=".25pt">
                <v:stroke joinstyle="miter"/>
                <v:textbox>
                  <w:txbxContent>
                    <w:p w14:paraId="4FC561DA" w14:textId="77777777" w:rsidR="00B004EE" w:rsidRPr="0083718B" w:rsidRDefault="00B004EE" w:rsidP="00FB255C">
                      <w:pPr>
                        <w:ind w:right="80"/>
                        <w:jc w:val="center"/>
                        <w:rPr>
                          <w:rFonts w:ascii="Tahoma" w:hAnsi="Tahoma" w:cs="Tahoma"/>
                          <w:b/>
                          <w:bCs/>
                          <w:color w:val="00B050"/>
                        </w:rPr>
                      </w:pPr>
                      <w:r w:rsidRPr="0083718B">
                        <w:rPr>
                          <w:rFonts w:ascii="Tahoma" w:hAnsi="Tahoma" w:cs="Tahoma"/>
                          <w:b/>
                          <w:bCs/>
                          <w:color w:val="00B050"/>
                        </w:rPr>
                        <w:t>REPUBLIQUE ISLAMIQUE DE MAURITANIE</w:t>
                      </w:r>
                    </w:p>
                    <w:p w14:paraId="6247B538" w14:textId="77777777" w:rsidR="00B004EE" w:rsidRPr="0083718B" w:rsidRDefault="00B004EE" w:rsidP="00FB255C">
                      <w:pPr>
                        <w:ind w:right="80"/>
                        <w:jc w:val="center"/>
                        <w:rPr>
                          <w:rFonts w:ascii="Tahoma" w:hAnsi="Tahoma" w:cs="Tahoma"/>
                          <w:color w:val="00B050"/>
                          <w:sz w:val="16"/>
                          <w:szCs w:val="16"/>
                        </w:rPr>
                      </w:pPr>
                      <w:r w:rsidRPr="0083718B">
                        <w:rPr>
                          <w:rFonts w:ascii="Tahoma" w:hAnsi="Tahoma" w:cs="Tahoma"/>
                          <w:color w:val="00B050"/>
                          <w:sz w:val="16"/>
                          <w:szCs w:val="16"/>
                        </w:rPr>
                        <w:t>Honneur - fraternité - Justice</w:t>
                      </w:r>
                    </w:p>
                  </w:txbxContent>
                </v:textbox>
              </v:roundrect>
              <v:roundrect id="Rectangle à coins arrondis 6" o:spid="_x0000_s1034" style="position:absolute;left:35087;top:212;width:24346;height:7195;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" fillcolor="white [3201]" stroked="f" strokeweight=".25pt">
                <v:stroke joinstyle="miter"/>
                <v:textbox>
                  <w:txbxContent>
                    <w:p w14:paraId="431ACFA3" w14:textId="5660E2B0" w:rsidR="00B004EE" w:rsidRPr="00FB255C" w:rsidRDefault="00B004EE" w:rsidP="00FB255C">
                      <w:pPr>
                        <w:pStyle w:val="Lgende"/>
                        <w:jc w:val="center"/>
                        <w:rPr>
                          <w:rFonts w:ascii="Tahoma" w:hAnsi="Tahoma" w:cs="Tahoma"/>
                          <w:color w:val="FF0000"/>
                          <w:sz w:val="24"/>
                          <w:szCs w:val="24"/>
                        </w:rPr>
                      </w:pPr>
                      <w:r w:rsidRPr="00FB255C">
                        <w:rPr>
                          <w:rFonts w:ascii="Tahoma" w:hAnsi="Tahoma" w:cs="Tahoma"/>
                          <w:color w:val="FF0000"/>
                          <w:sz w:val="24"/>
                          <w:szCs w:val="24"/>
                        </w:rPr>
                        <w:t xml:space="preserve">Ministère </w:t>
                      </w:r>
                      <w:r w:rsidR="00A17803">
                        <w:rPr>
                          <w:rFonts w:ascii="Tahoma" w:hAnsi="Tahoma" w:cs="Tahoma"/>
                          <w:color w:val="FF0000"/>
                          <w:sz w:val="24"/>
                          <w:szCs w:val="24"/>
                        </w:rPr>
                        <w:t>de la</w:t>
                      </w:r>
                      <w:r w:rsidRPr="00FB255C">
                        <w:rPr>
                          <w:rFonts w:ascii="Tahoma" w:hAnsi="Tahoma" w:cs="Tahoma"/>
                          <w:color w:val="FF0000"/>
                          <w:sz w:val="24"/>
                          <w:szCs w:val="24"/>
                        </w:rPr>
                        <w:t xml:space="preserve"> Pêche</w:t>
                      </w:r>
                      <w:r w:rsidR="00A17803">
                        <w:rPr>
                          <w:rFonts w:ascii="Tahoma" w:hAnsi="Tahoma" w:cs="Tahoma"/>
                          <w:color w:val="FF0000"/>
                          <w:sz w:val="24"/>
                          <w:szCs w:val="24"/>
                        </w:rPr>
                        <w:t>,</w:t>
                      </w:r>
                      <w:r w:rsidRPr="00FB255C">
                        <w:rPr>
                          <w:rFonts w:ascii="Tahoma" w:hAnsi="Tahoma" w:cs="Tahoma"/>
                          <w:color w:val="FF0000"/>
                          <w:sz w:val="24"/>
                          <w:szCs w:val="24"/>
                        </w:rPr>
                        <w:t xml:space="preserve"> de</w:t>
                      </w:r>
                      <w:r w:rsidR="00A17803">
                        <w:rPr>
                          <w:rFonts w:ascii="Tahoma" w:hAnsi="Tahoma" w:cs="Tahoma"/>
                          <w:color w:val="FF0000"/>
                          <w:sz w:val="24"/>
                          <w:szCs w:val="24"/>
                        </w:rPr>
                        <w:t xml:space="preserve">s Infrastructures </w:t>
                      </w:r>
                      <w:r w:rsidRPr="00FB255C">
                        <w:rPr>
                          <w:rFonts w:ascii="Tahoma" w:hAnsi="Tahoma" w:cs="Tahoma"/>
                          <w:color w:val="FF0000"/>
                          <w:sz w:val="24"/>
                          <w:szCs w:val="24"/>
                        </w:rPr>
                        <w:t>Maritime</w:t>
                      </w:r>
                      <w:r w:rsidR="0083718B">
                        <w:rPr>
                          <w:rFonts w:ascii="Tahoma" w:hAnsi="Tahoma" w:cs="Tahoma"/>
                          <w:color w:val="FF0000"/>
                          <w:sz w:val="24"/>
                          <w:szCs w:val="24"/>
                        </w:rPr>
                        <w:t>s et Portuaires</w:t>
                      </w:r>
                    </w:p>
                  </w:txbxContent>
                </v:textbox>
              </v:roundrect>
              <w10:wrap anchorx="margin"/>
            </v:group>
          </w:pict>
        </mc:Fallback>
      </mc:AlternateContent>
    </w:r>
  </w:p>
  <w:p w14:paraId="23E67B15" w14:textId="10DBB3D2" w:rsidR="006D3BD6" w:rsidRDefault="006D3BD6" w:rsidP="00991798">
    <w:pPr>
      <w:pStyle w:val="En-tte"/>
      <w:ind w:right="360"/>
    </w:pPr>
  </w:p>
  <w:p w14:paraId="6C5D50F9" w14:textId="3ECE7AB3" w:rsidR="006D3BD6" w:rsidRDefault="006D3BD6" w:rsidP="00991798">
    <w:pPr>
      <w:pStyle w:val="En-tte"/>
      <w:ind w:right="360"/>
    </w:pPr>
  </w:p>
  <w:p w14:paraId="1A092E87" w14:textId="3EBC7671" w:rsidR="006D3BD6" w:rsidRDefault="006D3BD6" w:rsidP="00991798">
    <w:pPr>
      <w:pStyle w:val="En-tte"/>
      <w:ind w:right="360"/>
    </w:pPr>
  </w:p>
  <w:p w14:paraId="66B84FE8" w14:textId="675823AD" w:rsidR="006D3BD6" w:rsidRDefault="006D3BD6" w:rsidP="00991798">
    <w:pPr>
      <w:pStyle w:val="En-tte"/>
      <w:ind w:right="360"/>
    </w:pPr>
  </w:p>
  <w:p w14:paraId="5BCA6FEA" w14:textId="0D3DE03D" w:rsidR="006D3BD6" w:rsidRDefault="006D3BD6" w:rsidP="00991798">
    <w:pPr>
      <w:pStyle w:val="En-tte"/>
      <w:ind w:right="360"/>
    </w:pPr>
  </w:p>
  <w:p w14:paraId="4B77245E" w14:textId="70F191A7" w:rsidR="006D3BD6" w:rsidRDefault="006D3BD6" w:rsidP="00991798">
    <w:pPr>
      <w:pStyle w:val="En-tte"/>
      <w:ind w:right="360"/>
    </w:pPr>
  </w:p>
  <w:p w14:paraId="16CEDCBE" w14:textId="0DAB6245" w:rsidR="006D3BD6" w:rsidRPr="0083718B" w:rsidRDefault="006D3BD6" w:rsidP="006D3BD6">
    <w:pPr>
      <w:pStyle w:val="Lgende"/>
      <w:jc w:val="center"/>
      <w:rPr>
        <w:rFonts w:ascii="Tahoma" w:hAnsi="Tahoma" w:cs="Tahoma"/>
        <w:bCs w:val="0"/>
        <w:iCs/>
        <w:color w:val="000000" w:themeColor="text1"/>
        <w:spacing w:val="13"/>
        <w:sz w:val="32"/>
        <w:szCs w:val="32"/>
      </w:rPr>
    </w:pPr>
    <w:r w:rsidRPr="0083718B">
      <w:rPr>
        <w:rFonts w:ascii="Tahoma" w:hAnsi="Tahoma" w:cs="Tahoma"/>
        <w:bCs w:val="0"/>
        <w:iCs/>
        <w:color w:val="000000" w:themeColor="text1"/>
        <w:spacing w:val="13"/>
        <w:sz w:val="32"/>
        <w:szCs w:val="32"/>
      </w:rPr>
      <w:t xml:space="preserve">OFFICE NATIONAL D'INSPECTION SANITAIRE DES </w:t>
    </w:r>
  </w:p>
  <w:p w14:paraId="3B77D4BA" w14:textId="77777777" w:rsidR="009D391E" w:rsidRDefault="006D3BD6" w:rsidP="009D391E">
    <w:pPr>
      <w:pStyle w:val="Lgende"/>
      <w:jc w:val="center"/>
      <w:rPr>
        <w:rFonts w:ascii="Tahoma" w:hAnsi="Tahoma" w:cs="Tahoma"/>
        <w:bCs w:val="0"/>
        <w:iCs/>
        <w:color w:val="000000" w:themeColor="text1"/>
        <w:spacing w:val="13"/>
        <w:sz w:val="32"/>
        <w:szCs w:val="32"/>
      </w:rPr>
    </w:pPr>
    <w:r w:rsidRPr="0083718B">
      <w:rPr>
        <w:rFonts w:ascii="Tahoma" w:hAnsi="Tahoma" w:cs="Tahoma"/>
        <w:bCs w:val="0"/>
        <w:iCs/>
        <w:color w:val="000000" w:themeColor="text1"/>
        <w:spacing w:val="13"/>
        <w:sz w:val="32"/>
        <w:szCs w:val="32"/>
      </w:rPr>
      <w:t>PRODUITS DE LA PÊCHE ET DE L'AQUACULTURE</w:t>
    </w:r>
  </w:p>
  <w:p w14:paraId="5C0DBF15" w14:textId="67F4F56A" w:rsidR="009D391E" w:rsidRPr="009D391E" w:rsidRDefault="009D391E" w:rsidP="009D391E">
    <w:pPr>
      <w:pStyle w:val="Lgende"/>
      <w:jc w:val="center"/>
      <w:rPr>
        <w:rFonts w:ascii="Tahoma" w:hAnsi="Tahoma" w:cs="Tahoma"/>
        <w:bCs w:val="0"/>
        <w:iCs/>
        <w:color w:val="000000" w:themeColor="text1"/>
        <w:spacing w:val="13"/>
        <w:sz w:val="24"/>
        <w:szCs w:val="24"/>
      </w:rPr>
    </w:pPr>
    <w:r w:rsidRPr="009D391E">
      <w:rPr>
        <w:noProof/>
        <w:sz w:val="16"/>
        <w:szCs w:val="16"/>
      </w:rPr>
      <w:drawing>
        <wp:anchor distT="0" distB="0" distL="114300" distR="114300" simplePos="0" relativeHeight="251660288" behindDoc="0" locked="0" layoutInCell="1" allowOverlap="1" wp14:anchorId="56E1299C" wp14:editId="2912870F">
          <wp:simplePos x="0" y="0"/>
          <wp:positionH relativeFrom="column">
            <wp:posOffset>2546160</wp:posOffset>
          </wp:positionH>
          <wp:positionV relativeFrom="paragraph">
            <wp:posOffset>103505</wp:posOffset>
          </wp:positionV>
          <wp:extent cx="851535" cy="799465"/>
          <wp:effectExtent l="0" t="0" r="0" b="635"/>
          <wp:wrapSquare wrapText="bothSides"/>
          <wp:docPr id="5068705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635567" name=""/>
                  <pic:cNvPicPr/>
                </pic:nvPicPr>
                <pic:blipFill>
                  <a:blip r:embed="rId3">
                    <a:extLst>
                      <a:ext uri="{28A0092B-C50C-407E-A947-70E740481C1C}">
                        <a14:useLocalDpi xmlns:a14="http://schemas.microsoft.com/office/drawing/2010/main" val="0"/>
                      </a:ext>
                    </a:extLst>
                  </a:blip>
                  <a:stretch>
                    <a:fillRect/>
                  </a:stretch>
                </pic:blipFill>
                <pic:spPr>
                  <a:xfrm>
                    <a:off x="0" y="0"/>
                    <a:ext cx="851535" cy="79946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81CC4B" w14:textId="77777777" w:rsidR="00D775BB" w:rsidRPr="00F23171" w:rsidRDefault="00D775BB" w:rsidP="000F77F7">
    <w:pPr>
      <w:pStyle w:val="Pieddepage"/>
      <w:ind w:right="360"/>
      <w:jc w:val="center"/>
      <w:rPr>
        <w:rFonts w:ascii="Tahoma" w:hAnsi="Tahoma" w:cs="Tahoma"/>
        <w:i/>
        <w:iCs/>
        <w:color w:val="000000" w:themeColor="text1"/>
        <w:sz w:val="18"/>
        <w:szCs w:val="18"/>
      </w:rPr>
    </w:pPr>
    <w:r w:rsidRPr="00F23171">
      <w:rPr>
        <w:rFonts w:ascii="Tahoma" w:hAnsi="Tahoma" w:cs="Tahoma"/>
        <w:i/>
        <w:iCs/>
        <w:noProof/>
        <w:color w:val="000000" w:themeColor="text1"/>
        <w:sz w:val="18"/>
        <w:szCs w:val="18"/>
      </w:rPr>
      <mc:AlternateContent>
        <mc:Choice Requires="wps">
          <w:drawing>
            <wp:anchor distT="0" distB="0" distL="114300" distR="114300" simplePos="0" relativeHeight="251670528" behindDoc="0" locked="0" layoutInCell="1" allowOverlap="1" wp14:anchorId="2438E1C4" wp14:editId="3539D5C0">
              <wp:simplePos x="0" y="0"/>
              <wp:positionH relativeFrom="margin">
                <wp:posOffset>25400</wp:posOffset>
              </wp:positionH>
              <wp:positionV relativeFrom="paragraph">
                <wp:posOffset>-32755</wp:posOffset>
              </wp:positionV>
              <wp:extent cx="5760000" cy="0"/>
              <wp:effectExtent l="0" t="0" r="31750" b="25400"/>
              <wp:wrapSquare wrapText="bothSides"/>
              <wp:docPr id="374094250" name="Rectangle 374094250"/>
              <wp:cNvGraphicFramePr/>
              <a:graphic xmlns:a="http://schemas.openxmlformats.org/drawingml/2006/main">
                <a:graphicData uri="http://schemas.microsoft.com/office/word/2010/wordprocessingShape">
                  <wps:wsp>
                    <wps:cNvSpPr/>
                    <wps:spPr>
                      <a:xfrm>
                        <a:off x="0" y="0"/>
                        <a:ext cx="5760000" cy="0"/>
                      </a:xfrm>
                      <a:prstGeom prst="rect">
                        <a:avLst/>
                      </a:prstGeom>
                      <a:solidFill>
                        <a:schemeClr val="tx1"/>
                      </a:solidFill>
                      <a:ln w="31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5543E14C" id="Rectangle 374094250" o:spid="_x0000_s1026" style="position:absolute;margin-left:2pt;margin-top:-2.6pt;width:453.55pt;height:0;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" fillcolor="black [3213]" strokecolor="#00b0f0" strokeweight=".25pt">
              <w10:wrap type="square" anchorx="margin"/>
            </v:rect>
          </w:pict>
        </mc:Fallback>
      </mc:AlternateContent>
    </w:r>
    <w:r w:rsidRPr="00F23171">
      <w:rPr>
        <w:rFonts w:ascii="Tahoma" w:hAnsi="Tahoma" w:cs="Tahoma"/>
        <w:i/>
        <w:iCs/>
        <w:color w:val="000000" w:themeColor="text1"/>
        <w:sz w:val="18"/>
        <w:szCs w:val="18"/>
      </w:rPr>
      <w:t>Recueil des textes réglementaires régissant l’inspection sanitaire des produits de la pêche en Mauritanie : RTR.ONISPA-01-01/07/2025</w:t>
    </w:r>
  </w:p>
  <w:p w14:paraId="5D87223A" w14:textId="77777777" w:rsidR="00D775BB" w:rsidRDefault="00D775BB">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DE76E3" w14:textId="77777777" w:rsidR="000F77F7" w:rsidRPr="00F23171" w:rsidRDefault="000F77F7" w:rsidP="000F77F7">
    <w:pPr>
      <w:pStyle w:val="Pieddepage"/>
      <w:ind w:right="360"/>
      <w:jc w:val="center"/>
      <w:rPr>
        <w:rFonts w:ascii="Tahoma" w:hAnsi="Tahoma" w:cs="Tahoma"/>
        <w:i/>
        <w:iCs/>
        <w:color w:val="000000" w:themeColor="text1"/>
        <w:sz w:val="18"/>
        <w:szCs w:val="18"/>
      </w:rPr>
    </w:pPr>
    <w:r w:rsidRPr="00F23171">
      <w:rPr>
        <w:rFonts w:ascii="Tahoma" w:hAnsi="Tahoma" w:cs="Tahoma"/>
        <w:i/>
        <w:iCs/>
        <w:noProof/>
        <w:color w:val="000000" w:themeColor="text1"/>
        <w:sz w:val="18"/>
        <w:szCs w:val="18"/>
      </w:rPr>
      <mc:AlternateContent>
        <mc:Choice Requires="wps">
          <w:drawing>
            <wp:anchor distT="0" distB="0" distL="114300" distR="114300" simplePos="0" relativeHeight="251664384" behindDoc="0" locked="0" layoutInCell="1" allowOverlap="1" wp14:anchorId="7983BC27" wp14:editId="4DD60E44">
              <wp:simplePos x="0" y="0"/>
              <wp:positionH relativeFrom="margin">
                <wp:posOffset>25400</wp:posOffset>
              </wp:positionH>
              <wp:positionV relativeFrom="paragraph">
                <wp:posOffset>-32755</wp:posOffset>
              </wp:positionV>
              <wp:extent cx="5760000" cy="0"/>
              <wp:effectExtent l="0" t="0" r="31750" b="25400"/>
              <wp:wrapSquare wrapText="bothSides"/>
              <wp:docPr id="5" name="Rectangle 38"/>
              <wp:cNvGraphicFramePr/>
              <a:graphic xmlns:a="http://schemas.openxmlformats.org/drawingml/2006/main">
                <a:graphicData uri="http://schemas.microsoft.com/office/word/2010/wordprocessingShape">
                  <wps:wsp>
                    <wps:cNvSpPr/>
                    <wps:spPr>
                      <a:xfrm>
                        <a:off x="0" y="0"/>
                        <a:ext cx="5760000" cy="0"/>
                      </a:xfrm>
                      <a:prstGeom prst="rect">
                        <a:avLst/>
                      </a:prstGeom>
                      <a:solidFill>
                        <a:schemeClr val="tx1"/>
                      </a:solidFill>
                      <a:ln w="31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150DE757" id="Rectangle 38" o:spid="_x0000_s1026" style="position:absolute;margin-left:2pt;margin-top:-2.6pt;width:453.55pt;height:0;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" fillcolor="black [3213]" strokecolor="#00b0f0" strokeweight=".25pt">
              <w10:wrap type="square" anchorx="margin"/>
            </v:rect>
          </w:pict>
        </mc:Fallback>
      </mc:AlternateContent>
    </w:r>
    <w:r w:rsidRPr="00F23171">
      <w:rPr>
        <w:rFonts w:ascii="Tahoma" w:hAnsi="Tahoma" w:cs="Tahoma"/>
        <w:i/>
        <w:iCs/>
        <w:color w:val="000000" w:themeColor="text1"/>
        <w:sz w:val="18"/>
        <w:szCs w:val="18"/>
      </w:rPr>
      <w:t>Recueil des textes réglementaires régissant l’inspection sanitaire des produits de la pêche en Mauritanie : RTR.ONISPA-01-01/07/2025</w:t>
    </w:r>
  </w:p>
  <w:p w14:paraId="1209CBF7" w14:textId="182F7842" w:rsidR="00B004EE" w:rsidRPr="00FB255C" w:rsidRDefault="00B004EE" w:rsidP="00FB255C">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349847" w14:textId="77777777" w:rsidR="00C323AB" w:rsidRDefault="000F77F7" w:rsidP="001D02B9">
    <w:pPr>
      <w:pStyle w:val="Pieddepage"/>
      <w:ind w:right="360"/>
      <w:jc w:val="center"/>
      <w:rPr>
        <w:rFonts w:ascii="Tahoma" w:hAnsi="Tahoma" w:cs="Tahoma"/>
        <w:i/>
        <w:iCs/>
        <w:color w:val="000000" w:themeColor="text1"/>
        <w:sz w:val="18"/>
        <w:szCs w:val="18"/>
      </w:rPr>
    </w:pPr>
    <w:r w:rsidRPr="00F23171">
      <w:rPr>
        <w:rFonts w:ascii="Tahoma" w:hAnsi="Tahoma" w:cs="Tahoma"/>
        <w:i/>
        <w:iCs/>
        <w:noProof/>
        <w:color w:val="000000" w:themeColor="text1"/>
        <w:sz w:val="18"/>
        <w:szCs w:val="18"/>
      </w:rPr>
      <mc:AlternateContent>
        <mc:Choice Requires="wps">
          <w:drawing>
            <wp:anchor distT="0" distB="0" distL="114300" distR="114300" simplePos="0" relativeHeight="251668480" behindDoc="0" locked="0" layoutInCell="1" allowOverlap="1" wp14:anchorId="190F2B6D" wp14:editId="7601C1D9">
              <wp:simplePos x="0" y="0"/>
              <wp:positionH relativeFrom="margin">
                <wp:posOffset>25400</wp:posOffset>
              </wp:positionH>
              <wp:positionV relativeFrom="paragraph">
                <wp:posOffset>-32755</wp:posOffset>
              </wp:positionV>
              <wp:extent cx="5760000" cy="0"/>
              <wp:effectExtent l="0" t="0" r="31750" b="25400"/>
              <wp:wrapSquare wrapText="bothSides"/>
              <wp:docPr id="8" name="Rectangle 38"/>
              <wp:cNvGraphicFramePr/>
              <a:graphic xmlns:a="http://schemas.openxmlformats.org/drawingml/2006/main">
                <a:graphicData uri="http://schemas.microsoft.com/office/word/2010/wordprocessingShape">
                  <wps:wsp>
                    <wps:cNvSpPr/>
                    <wps:spPr>
                      <a:xfrm>
                        <a:off x="0" y="0"/>
                        <a:ext cx="5760000" cy="0"/>
                      </a:xfrm>
                      <a:prstGeom prst="rect">
                        <a:avLst/>
                      </a:prstGeom>
                      <a:solidFill>
                        <a:schemeClr val="tx1"/>
                      </a:solidFill>
                      <a:ln w="31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10172165" id="Rectangle 38" o:spid="_x0000_s1026" style="position:absolute;margin-left:2pt;margin-top:-2.6pt;width:453.55pt;height:0;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" fillcolor="black [3213]" strokecolor="#00b0f0" strokeweight=".25pt">
              <w10:wrap type="square" anchorx="margin"/>
            </v:rect>
          </w:pict>
        </mc:Fallback>
      </mc:AlternateContent>
    </w:r>
    <w:r w:rsidRPr="00F23171">
      <w:rPr>
        <w:rFonts w:ascii="Tahoma" w:hAnsi="Tahoma" w:cs="Tahoma"/>
        <w:i/>
        <w:iCs/>
        <w:color w:val="000000" w:themeColor="text1"/>
        <w:sz w:val="18"/>
        <w:szCs w:val="18"/>
      </w:rPr>
      <w:t xml:space="preserve">Recueil des textes réglementaires régissant l’inspection sanitaire des produits de la pêche en Mauritanie : </w:t>
    </w:r>
  </w:p>
  <w:p w14:paraId="1267074A" w14:textId="7981AF72" w:rsidR="00B004EE" w:rsidRPr="00F23171" w:rsidRDefault="000F77F7" w:rsidP="001D02B9">
    <w:pPr>
      <w:pStyle w:val="Pieddepage"/>
      <w:ind w:right="360"/>
      <w:jc w:val="center"/>
      <w:rPr>
        <w:rFonts w:ascii="Tahoma" w:hAnsi="Tahoma" w:cs="Tahoma"/>
        <w:i/>
        <w:iCs/>
        <w:color w:val="000000" w:themeColor="text1"/>
        <w:sz w:val="18"/>
        <w:szCs w:val="18"/>
      </w:rPr>
    </w:pPr>
    <w:r w:rsidRPr="00F23171">
      <w:rPr>
        <w:rFonts w:ascii="Tahoma" w:hAnsi="Tahoma" w:cs="Tahoma"/>
        <w:i/>
        <w:iCs/>
        <w:color w:val="000000" w:themeColor="text1"/>
        <w:sz w:val="18"/>
        <w:szCs w:val="18"/>
      </w:rPr>
      <w:t>RTR.ONISPA-01-01/07/2025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3B5B63"/>
    <w:multiLevelType w:val="hybridMultilevel"/>
    <w:tmpl w:val="5D8C2258"/>
    <w:lvl w:ilvl="0" w:tplc="8C62F48C">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831D43"/>
    <w:multiLevelType w:val="hybridMultilevel"/>
    <w:tmpl w:val="4F6EA49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21046BA"/>
    <w:multiLevelType w:val="hybridMultilevel"/>
    <w:tmpl w:val="39B2D3D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21748F4"/>
    <w:multiLevelType w:val="hybridMultilevel"/>
    <w:tmpl w:val="9AF4FF6E"/>
    <w:lvl w:ilvl="0" w:tplc="040C0017">
      <w:start w:val="1"/>
      <w:numFmt w:val="lowerLetter"/>
      <w:lvlText w:val="%1)"/>
      <w:lvlJc w:val="left"/>
      <w:pPr>
        <w:tabs>
          <w:tab w:val="num" w:pos="720"/>
        </w:tabs>
        <w:ind w:left="720" w:hanging="360"/>
      </w:pPr>
      <w:rPr>
        <w:rFonts w:hint="default"/>
      </w:rPr>
    </w:lvl>
    <w:lvl w:ilvl="1" w:tplc="CE8A1642">
      <w:start w:val="1"/>
      <w:numFmt w:val="decimal"/>
      <w:lvlText w:val="%2)"/>
      <w:lvlJc w:val="left"/>
      <w:pPr>
        <w:tabs>
          <w:tab w:val="num" w:pos="1440"/>
        </w:tabs>
        <w:ind w:left="1440" w:hanging="36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15:restartNumberingAfterBreak="0">
    <w:nsid w:val="02A10E3C"/>
    <w:multiLevelType w:val="hybridMultilevel"/>
    <w:tmpl w:val="90EC4612"/>
    <w:lvl w:ilvl="0" w:tplc="F7DC55BA">
      <w:numFmt w:val="bullet"/>
      <w:lvlText w:val="-"/>
      <w:lvlJc w:val="left"/>
      <w:pPr>
        <w:ind w:left="720" w:hanging="360"/>
      </w:pPr>
      <w:rPr>
        <w:rFonts w:ascii="Calibri" w:eastAsia="Times New Roman"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2CE4258"/>
    <w:multiLevelType w:val="hybridMultilevel"/>
    <w:tmpl w:val="C5F036DA"/>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2F36315"/>
    <w:multiLevelType w:val="hybridMultilevel"/>
    <w:tmpl w:val="A5460B0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3CD7CDB"/>
    <w:multiLevelType w:val="hybridMultilevel"/>
    <w:tmpl w:val="7EC864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3E10B12"/>
    <w:multiLevelType w:val="hybridMultilevel"/>
    <w:tmpl w:val="AD763E94"/>
    <w:lvl w:ilvl="0" w:tplc="040C0017">
      <w:start w:val="1"/>
      <w:numFmt w:val="lowerLetter"/>
      <w:lvlText w:val="%1)"/>
      <w:lvlJc w:val="left"/>
      <w:pPr>
        <w:ind w:left="716" w:hanging="360"/>
      </w:pPr>
    </w:lvl>
    <w:lvl w:ilvl="1" w:tplc="040C0019" w:tentative="1">
      <w:start w:val="1"/>
      <w:numFmt w:val="lowerLetter"/>
      <w:lvlText w:val="%2."/>
      <w:lvlJc w:val="left"/>
      <w:pPr>
        <w:ind w:left="1436" w:hanging="360"/>
      </w:pPr>
    </w:lvl>
    <w:lvl w:ilvl="2" w:tplc="040C001B" w:tentative="1">
      <w:start w:val="1"/>
      <w:numFmt w:val="lowerRoman"/>
      <w:lvlText w:val="%3."/>
      <w:lvlJc w:val="right"/>
      <w:pPr>
        <w:ind w:left="2156" w:hanging="180"/>
      </w:pPr>
    </w:lvl>
    <w:lvl w:ilvl="3" w:tplc="040C000F" w:tentative="1">
      <w:start w:val="1"/>
      <w:numFmt w:val="decimal"/>
      <w:lvlText w:val="%4."/>
      <w:lvlJc w:val="left"/>
      <w:pPr>
        <w:ind w:left="2876" w:hanging="360"/>
      </w:pPr>
    </w:lvl>
    <w:lvl w:ilvl="4" w:tplc="040C0019" w:tentative="1">
      <w:start w:val="1"/>
      <w:numFmt w:val="lowerLetter"/>
      <w:lvlText w:val="%5."/>
      <w:lvlJc w:val="left"/>
      <w:pPr>
        <w:ind w:left="3596" w:hanging="360"/>
      </w:pPr>
    </w:lvl>
    <w:lvl w:ilvl="5" w:tplc="040C001B" w:tentative="1">
      <w:start w:val="1"/>
      <w:numFmt w:val="lowerRoman"/>
      <w:lvlText w:val="%6."/>
      <w:lvlJc w:val="right"/>
      <w:pPr>
        <w:ind w:left="4316" w:hanging="180"/>
      </w:pPr>
    </w:lvl>
    <w:lvl w:ilvl="6" w:tplc="040C000F" w:tentative="1">
      <w:start w:val="1"/>
      <w:numFmt w:val="decimal"/>
      <w:lvlText w:val="%7."/>
      <w:lvlJc w:val="left"/>
      <w:pPr>
        <w:ind w:left="5036" w:hanging="360"/>
      </w:pPr>
    </w:lvl>
    <w:lvl w:ilvl="7" w:tplc="040C0019" w:tentative="1">
      <w:start w:val="1"/>
      <w:numFmt w:val="lowerLetter"/>
      <w:lvlText w:val="%8."/>
      <w:lvlJc w:val="left"/>
      <w:pPr>
        <w:ind w:left="5756" w:hanging="360"/>
      </w:pPr>
    </w:lvl>
    <w:lvl w:ilvl="8" w:tplc="040C001B" w:tentative="1">
      <w:start w:val="1"/>
      <w:numFmt w:val="lowerRoman"/>
      <w:lvlText w:val="%9."/>
      <w:lvlJc w:val="right"/>
      <w:pPr>
        <w:ind w:left="6476" w:hanging="180"/>
      </w:pPr>
    </w:lvl>
  </w:abstractNum>
  <w:abstractNum w:abstractNumId="10" w15:restartNumberingAfterBreak="0">
    <w:nsid w:val="045323DB"/>
    <w:multiLevelType w:val="hybridMultilevel"/>
    <w:tmpl w:val="887C804A"/>
    <w:lvl w:ilvl="0" w:tplc="4B3E080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4D62930"/>
    <w:multiLevelType w:val="singleLevel"/>
    <w:tmpl w:val="5E1E3156"/>
    <w:lvl w:ilvl="0">
      <w:start w:val="4"/>
      <w:numFmt w:val="bullet"/>
      <w:pStyle w:val="pucessousart"/>
      <w:lvlText w:val="-"/>
      <w:lvlJc w:val="left"/>
      <w:pPr>
        <w:tabs>
          <w:tab w:val="num" w:pos="360"/>
        </w:tabs>
        <w:ind w:left="360" w:hanging="360"/>
      </w:pPr>
      <w:rPr>
        <w:rFonts w:ascii="Times New Roman" w:hAnsi="Times New Roman" w:hint="default"/>
      </w:rPr>
    </w:lvl>
  </w:abstractNum>
  <w:abstractNum w:abstractNumId="12" w15:restartNumberingAfterBreak="0">
    <w:nsid w:val="052635AA"/>
    <w:multiLevelType w:val="hybridMultilevel"/>
    <w:tmpl w:val="CBEA582E"/>
    <w:lvl w:ilvl="0" w:tplc="040C0001">
      <w:start w:val="1"/>
      <w:numFmt w:val="bullet"/>
      <w:lvlText w:val=""/>
      <w:lvlJc w:val="left"/>
      <w:pPr>
        <w:ind w:left="927" w:hanging="360"/>
      </w:pPr>
      <w:rPr>
        <w:rFonts w:ascii="Symbol" w:hAnsi="Symbo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3" w15:restartNumberingAfterBreak="0">
    <w:nsid w:val="056C3E34"/>
    <w:multiLevelType w:val="hybridMultilevel"/>
    <w:tmpl w:val="00C24A34"/>
    <w:lvl w:ilvl="0" w:tplc="1FE2A2D8">
      <w:start w:val="1"/>
      <w:numFmt w:val="bullet"/>
      <w:lvlText w:val="-"/>
      <w:lvlJc w:val="left"/>
      <w:pPr>
        <w:ind w:left="1016" w:hanging="147"/>
      </w:pPr>
      <w:rPr>
        <w:rFonts w:ascii="American Typewriter" w:eastAsia="American Typewriter" w:hAnsi="American Typewriter" w:hint="default"/>
        <w:w w:val="107"/>
        <w:sz w:val="24"/>
        <w:szCs w:val="24"/>
      </w:rPr>
    </w:lvl>
    <w:lvl w:ilvl="1" w:tplc="B64AD75C">
      <w:start w:val="1"/>
      <w:numFmt w:val="bullet"/>
      <w:lvlText w:val="•"/>
      <w:lvlJc w:val="left"/>
      <w:pPr>
        <w:ind w:left="1874" w:hanging="147"/>
      </w:pPr>
      <w:rPr>
        <w:rFonts w:hint="default"/>
      </w:rPr>
    </w:lvl>
    <w:lvl w:ilvl="2" w:tplc="9A16BFBE">
      <w:start w:val="1"/>
      <w:numFmt w:val="bullet"/>
      <w:lvlText w:val="•"/>
      <w:lvlJc w:val="left"/>
      <w:pPr>
        <w:ind w:left="2729" w:hanging="147"/>
      </w:pPr>
      <w:rPr>
        <w:rFonts w:hint="default"/>
      </w:rPr>
    </w:lvl>
    <w:lvl w:ilvl="3" w:tplc="97308070">
      <w:start w:val="1"/>
      <w:numFmt w:val="bullet"/>
      <w:lvlText w:val="•"/>
      <w:lvlJc w:val="left"/>
      <w:pPr>
        <w:ind w:left="3583" w:hanging="147"/>
      </w:pPr>
      <w:rPr>
        <w:rFonts w:hint="default"/>
      </w:rPr>
    </w:lvl>
    <w:lvl w:ilvl="4" w:tplc="B3F66F4C">
      <w:start w:val="1"/>
      <w:numFmt w:val="bullet"/>
      <w:lvlText w:val="•"/>
      <w:lvlJc w:val="left"/>
      <w:pPr>
        <w:ind w:left="4438" w:hanging="147"/>
      </w:pPr>
      <w:rPr>
        <w:rFonts w:hint="default"/>
      </w:rPr>
    </w:lvl>
    <w:lvl w:ilvl="5" w:tplc="36024F62">
      <w:start w:val="1"/>
      <w:numFmt w:val="bullet"/>
      <w:lvlText w:val="•"/>
      <w:lvlJc w:val="left"/>
      <w:pPr>
        <w:ind w:left="5293" w:hanging="147"/>
      </w:pPr>
      <w:rPr>
        <w:rFonts w:hint="default"/>
      </w:rPr>
    </w:lvl>
    <w:lvl w:ilvl="6" w:tplc="B79428AE">
      <w:start w:val="1"/>
      <w:numFmt w:val="bullet"/>
      <w:lvlText w:val="•"/>
      <w:lvlJc w:val="left"/>
      <w:pPr>
        <w:ind w:left="6147" w:hanging="147"/>
      </w:pPr>
      <w:rPr>
        <w:rFonts w:hint="default"/>
      </w:rPr>
    </w:lvl>
    <w:lvl w:ilvl="7" w:tplc="068C6F30">
      <w:start w:val="1"/>
      <w:numFmt w:val="bullet"/>
      <w:lvlText w:val="•"/>
      <w:lvlJc w:val="left"/>
      <w:pPr>
        <w:ind w:left="7002" w:hanging="147"/>
      </w:pPr>
      <w:rPr>
        <w:rFonts w:hint="default"/>
      </w:rPr>
    </w:lvl>
    <w:lvl w:ilvl="8" w:tplc="02B42A7C">
      <w:start w:val="1"/>
      <w:numFmt w:val="bullet"/>
      <w:lvlText w:val="•"/>
      <w:lvlJc w:val="left"/>
      <w:pPr>
        <w:ind w:left="7857" w:hanging="147"/>
      </w:pPr>
      <w:rPr>
        <w:rFonts w:hint="default"/>
      </w:rPr>
    </w:lvl>
  </w:abstractNum>
  <w:abstractNum w:abstractNumId="14" w15:restartNumberingAfterBreak="0">
    <w:nsid w:val="05763FB1"/>
    <w:multiLevelType w:val="hybridMultilevel"/>
    <w:tmpl w:val="4D2AB5E8"/>
    <w:lvl w:ilvl="0" w:tplc="93C68100">
      <w:start w:val="1"/>
      <w:numFmt w:val="lowerLetter"/>
      <w:lvlText w:val="%1)"/>
      <w:lvlJc w:val="left"/>
      <w:pPr>
        <w:ind w:left="420" w:hanging="36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15" w15:restartNumberingAfterBreak="0">
    <w:nsid w:val="057E6AAA"/>
    <w:multiLevelType w:val="hybridMultilevel"/>
    <w:tmpl w:val="9E883AD4"/>
    <w:lvl w:ilvl="0" w:tplc="9BEC19EA">
      <w:start w:val="1"/>
      <w:numFmt w:val="lowerLetter"/>
      <w:lvlText w:val="%1)"/>
      <w:lvlJc w:val="left"/>
      <w:pPr>
        <w:ind w:left="720" w:hanging="360"/>
      </w:pPr>
      <w:rPr>
        <w:rFonts w:ascii="American Typewriter" w:eastAsia="American Typewriter" w:hAnsi="American Typewriter" w:hint="default"/>
        <w:w w:val="87"/>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070E4952"/>
    <w:multiLevelType w:val="hybridMultilevel"/>
    <w:tmpl w:val="D43ECC1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078F33DC"/>
    <w:multiLevelType w:val="hybridMultilevel"/>
    <w:tmpl w:val="94667134"/>
    <w:lvl w:ilvl="0" w:tplc="002E38C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09105356"/>
    <w:multiLevelType w:val="hybridMultilevel"/>
    <w:tmpl w:val="C0121CA4"/>
    <w:lvl w:ilvl="0" w:tplc="8C62F48C">
      <w:start w:val="3"/>
      <w:numFmt w:val="bullet"/>
      <w:lvlText w:val="-"/>
      <w:lvlJc w:val="left"/>
      <w:pPr>
        <w:ind w:left="716" w:hanging="360"/>
      </w:pPr>
      <w:rPr>
        <w:rFonts w:ascii="Times New Roman" w:eastAsia="Times New Roman" w:hAnsi="Times New Roman" w:cs="Times New Roman" w:hint="default"/>
      </w:rPr>
    </w:lvl>
    <w:lvl w:ilvl="1" w:tplc="040C0003" w:tentative="1">
      <w:start w:val="1"/>
      <w:numFmt w:val="bullet"/>
      <w:lvlText w:val="o"/>
      <w:lvlJc w:val="left"/>
      <w:pPr>
        <w:ind w:left="1436" w:hanging="360"/>
      </w:pPr>
      <w:rPr>
        <w:rFonts w:ascii="Courier New" w:hAnsi="Courier New" w:cs="Courier New" w:hint="default"/>
      </w:rPr>
    </w:lvl>
    <w:lvl w:ilvl="2" w:tplc="040C0005" w:tentative="1">
      <w:start w:val="1"/>
      <w:numFmt w:val="bullet"/>
      <w:lvlText w:val=""/>
      <w:lvlJc w:val="left"/>
      <w:pPr>
        <w:ind w:left="2156" w:hanging="360"/>
      </w:pPr>
      <w:rPr>
        <w:rFonts w:ascii="Wingdings" w:hAnsi="Wingdings" w:hint="default"/>
      </w:rPr>
    </w:lvl>
    <w:lvl w:ilvl="3" w:tplc="040C0001" w:tentative="1">
      <w:start w:val="1"/>
      <w:numFmt w:val="bullet"/>
      <w:lvlText w:val=""/>
      <w:lvlJc w:val="left"/>
      <w:pPr>
        <w:ind w:left="2876" w:hanging="360"/>
      </w:pPr>
      <w:rPr>
        <w:rFonts w:ascii="Symbol" w:hAnsi="Symbol" w:hint="default"/>
      </w:rPr>
    </w:lvl>
    <w:lvl w:ilvl="4" w:tplc="040C0003" w:tentative="1">
      <w:start w:val="1"/>
      <w:numFmt w:val="bullet"/>
      <w:lvlText w:val="o"/>
      <w:lvlJc w:val="left"/>
      <w:pPr>
        <w:ind w:left="3596" w:hanging="360"/>
      </w:pPr>
      <w:rPr>
        <w:rFonts w:ascii="Courier New" w:hAnsi="Courier New" w:cs="Courier New" w:hint="default"/>
      </w:rPr>
    </w:lvl>
    <w:lvl w:ilvl="5" w:tplc="040C0005" w:tentative="1">
      <w:start w:val="1"/>
      <w:numFmt w:val="bullet"/>
      <w:lvlText w:val=""/>
      <w:lvlJc w:val="left"/>
      <w:pPr>
        <w:ind w:left="4316" w:hanging="360"/>
      </w:pPr>
      <w:rPr>
        <w:rFonts w:ascii="Wingdings" w:hAnsi="Wingdings" w:hint="default"/>
      </w:rPr>
    </w:lvl>
    <w:lvl w:ilvl="6" w:tplc="040C0001" w:tentative="1">
      <w:start w:val="1"/>
      <w:numFmt w:val="bullet"/>
      <w:lvlText w:val=""/>
      <w:lvlJc w:val="left"/>
      <w:pPr>
        <w:ind w:left="5036" w:hanging="360"/>
      </w:pPr>
      <w:rPr>
        <w:rFonts w:ascii="Symbol" w:hAnsi="Symbol" w:hint="default"/>
      </w:rPr>
    </w:lvl>
    <w:lvl w:ilvl="7" w:tplc="040C0003" w:tentative="1">
      <w:start w:val="1"/>
      <w:numFmt w:val="bullet"/>
      <w:lvlText w:val="o"/>
      <w:lvlJc w:val="left"/>
      <w:pPr>
        <w:ind w:left="5756" w:hanging="360"/>
      </w:pPr>
      <w:rPr>
        <w:rFonts w:ascii="Courier New" w:hAnsi="Courier New" w:cs="Courier New" w:hint="default"/>
      </w:rPr>
    </w:lvl>
    <w:lvl w:ilvl="8" w:tplc="040C0005" w:tentative="1">
      <w:start w:val="1"/>
      <w:numFmt w:val="bullet"/>
      <w:lvlText w:val=""/>
      <w:lvlJc w:val="left"/>
      <w:pPr>
        <w:ind w:left="6476" w:hanging="360"/>
      </w:pPr>
      <w:rPr>
        <w:rFonts w:ascii="Wingdings" w:hAnsi="Wingdings" w:hint="default"/>
      </w:rPr>
    </w:lvl>
  </w:abstractNum>
  <w:abstractNum w:abstractNumId="19" w15:restartNumberingAfterBreak="0">
    <w:nsid w:val="098C688E"/>
    <w:multiLevelType w:val="hybridMultilevel"/>
    <w:tmpl w:val="6FC4127E"/>
    <w:lvl w:ilvl="0" w:tplc="594C272E">
      <w:start w:val="1"/>
      <w:numFmt w:val="lowerLetter"/>
      <w:lvlText w:val="%1)"/>
      <w:lvlJc w:val="left"/>
      <w:pPr>
        <w:ind w:left="720" w:hanging="360"/>
      </w:pPr>
      <w:rPr>
        <w:rFonts w:hint="default"/>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0A0B05B0"/>
    <w:multiLevelType w:val="hybridMultilevel"/>
    <w:tmpl w:val="68A01FA0"/>
    <w:lvl w:ilvl="0" w:tplc="8C62F48C">
      <w:start w:val="3"/>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A3D00DB"/>
    <w:multiLevelType w:val="hybridMultilevel"/>
    <w:tmpl w:val="B27A798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0A494407"/>
    <w:multiLevelType w:val="hybridMultilevel"/>
    <w:tmpl w:val="2F5EA9E4"/>
    <w:lvl w:ilvl="0" w:tplc="48FAFA2C">
      <w:start w:val="1"/>
      <w:numFmt w:val="decimal"/>
      <w:lvlText w:val="%1."/>
      <w:lvlJc w:val="left"/>
      <w:pPr>
        <w:ind w:left="361" w:hanging="360"/>
      </w:pPr>
      <w:rPr>
        <w:rFonts w:hint="default"/>
      </w:rPr>
    </w:lvl>
    <w:lvl w:ilvl="1" w:tplc="15BA029C">
      <w:start w:val="1"/>
      <w:numFmt w:val="decimal"/>
      <w:lvlText w:val="%2)"/>
      <w:lvlJc w:val="left"/>
      <w:pPr>
        <w:ind w:left="1081" w:hanging="360"/>
      </w:pPr>
      <w:rPr>
        <w:rFonts w:hint="default"/>
      </w:rPr>
    </w:lvl>
    <w:lvl w:ilvl="2" w:tplc="50BEE204">
      <w:start w:val="1"/>
      <w:numFmt w:val="lowerLetter"/>
      <w:lvlText w:val="%3)"/>
      <w:lvlJc w:val="left"/>
      <w:pPr>
        <w:ind w:left="1981" w:hanging="360"/>
      </w:pPr>
      <w:rPr>
        <w:rFonts w:hint="default"/>
      </w:rPr>
    </w:lvl>
    <w:lvl w:ilvl="3" w:tplc="3D32F206">
      <w:start w:val="1"/>
      <w:numFmt w:val="decimal"/>
      <w:lvlText w:val="(%4)"/>
      <w:lvlJc w:val="left"/>
      <w:pPr>
        <w:ind w:left="2521" w:hanging="360"/>
      </w:pPr>
      <w:rPr>
        <w:rFonts w:hint="default"/>
        <w:vertAlign w:val="superscript"/>
      </w:rPr>
    </w:lvl>
    <w:lvl w:ilvl="4" w:tplc="040C0019" w:tentative="1">
      <w:start w:val="1"/>
      <w:numFmt w:val="lowerLetter"/>
      <w:lvlText w:val="%5."/>
      <w:lvlJc w:val="left"/>
      <w:pPr>
        <w:ind w:left="3241" w:hanging="360"/>
      </w:pPr>
    </w:lvl>
    <w:lvl w:ilvl="5" w:tplc="040C001B" w:tentative="1">
      <w:start w:val="1"/>
      <w:numFmt w:val="lowerRoman"/>
      <w:lvlText w:val="%6."/>
      <w:lvlJc w:val="right"/>
      <w:pPr>
        <w:ind w:left="3961" w:hanging="180"/>
      </w:pPr>
    </w:lvl>
    <w:lvl w:ilvl="6" w:tplc="040C000F" w:tentative="1">
      <w:start w:val="1"/>
      <w:numFmt w:val="decimal"/>
      <w:lvlText w:val="%7."/>
      <w:lvlJc w:val="left"/>
      <w:pPr>
        <w:ind w:left="4681" w:hanging="360"/>
      </w:pPr>
    </w:lvl>
    <w:lvl w:ilvl="7" w:tplc="040C0019" w:tentative="1">
      <w:start w:val="1"/>
      <w:numFmt w:val="lowerLetter"/>
      <w:lvlText w:val="%8."/>
      <w:lvlJc w:val="left"/>
      <w:pPr>
        <w:ind w:left="5401" w:hanging="360"/>
      </w:pPr>
    </w:lvl>
    <w:lvl w:ilvl="8" w:tplc="040C001B" w:tentative="1">
      <w:start w:val="1"/>
      <w:numFmt w:val="lowerRoman"/>
      <w:lvlText w:val="%9."/>
      <w:lvlJc w:val="right"/>
      <w:pPr>
        <w:ind w:left="6121" w:hanging="180"/>
      </w:pPr>
    </w:lvl>
  </w:abstractNum>
  <w:abstractNum w:abstractNumId="23" w15:restartNumberingAfterBreak="0">
    <w:nsid w:val="0A7C57CF"/>
    <w:multiLevelType w:val="hybridMultilevel"/>
    <w:tmpl w:val="4342B06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0AB739CC"/>
    <w:multiLevelType w:val="hybridMultilevel"/>
    <w:tmpl w:val="B1EAF388"/>
    <w:lvl w:ilvl="0" w:tplc="9AAC2A60">
      <w:start w:val="1"/>
      <w:numFmt w:val="lowerLetter"/>
      <w:lvlText w:val="%1)"/>
      <w:lvlJc w:val="left"/>
      <w:pPr>
        <w:ind w:left="1153" w:hanging="425"/>
      </w:pPr>
      <w:rPr>
        <w:rFonts w:ascii="American Typewriter" w:eastAsia="American Typewriter" w:hAnsi="American Typewriter" w:hint="default"/>
        <w:w w:val="87"/>
        <w:sz w:val="24"/>
        <w:szCs w:val="24"/>
      </w:rPr>
    </w:lvl>
    <w:lvl w:ilvl="1" w:tplc="722EBD20">
      <w:start w:val="1"/>
      <w:numFmt w:val="decimal"/>
      <w:lvlText w:val="%2)"/>
      <w:lvlJc w:val="left"/>
      <w:pPr>
        <w:ind w:left="1153" w:hanging="425"/>
      </w:pPr>
      <w:rPr>
        <w:rFonts w:ascii="Tahoma" w:eastAsia="American Typewriter" w:hAnsi="Tahoma" w:cs="Tahoma" w:hint="default"/>
        <w:w w:val="81"/>
        <w:sz w:val="22"/>
        <w:szCs w:val="22"/>
      </w:rPr>
    </w:lvl>
    <w:lvl w:ilvl="2" w:tplc="601A1AB2">
      <w:start w:val="1"/>
      <w:numFmt w:val="lowerLetter"/>
      <w:lvlText w:val="%3)"/>
      <w:lvlJc w:val="left"/>
      <w:pPr>
        <w:ind w:left="1153" w:hanging="425"/>
      </w:pPr>
      <w:rPr>
        <w:rFonts w:ascii="American Typewriter" w:eastAsia="American Typewriter" w:hAnsi="American Typewriter" w:hint="default"/>
        <w:w w:val="87"/>
        <w:sz w:val="24"/>
        <w:szCs w:val="24"/>
      </w:rPr>
    </w:lvl>
    <w:lvl w:ilvl="3" w:tplc="8CB4368A">
      <w:start w:val="1"/>
      <w:numFmt w:val="bullet"/>
      <w:lvlText w:val="•"/>
      <w:lvlJc w:val="left"/>
      <w:pPr>
        <w:ind w:left="3681" w:hanging="425"/>
      </w:pPr>
      <w:rPr>
        <w:rFonts w:hint="default"/>
      </w:rPr>
    </w:lvl>
    <w:lvl w:ilvl="4" w:tplc="C6BCB704">
      <w:start w:val="1"/>
      <w:numFmt w:val="bullet"/>
      <w:lvlText w:val="•"/>
      <w:lvlJc w:val="left"/>
      <w:pPr>
        <w:ind w:left="4522" w:hanging="425"/>
      </w:pPr>
      <w:rPr>
        <w:rFonts w:hint="default"/>
      </w:rPr>
    </w:lvl>
    <w:lvl w:ilvl="5" w:tplc="8FC889DC">
      <w:start w:val="1"/>
      <w:numFmt w:val="bullet"/>
      <w:lvlText w:val="•"/>
      <w:lvlJc w:val="left"/>
      <w:pPr>
        <w:ind w:left="5363" w:hanging="425"/>
      </w:pPr>
      <w:rPr>
        <w:rFonts w:hint="default"/>
      </w:rPr>
    </w:lvl>
    <w:lvl w:ilvl="6" w:tplc="47865506">
      <w:start w:val="1"/>
      <w:numFmt w:val="bullet"/>
      <w:lvlText w:val="•"/>
      <w:lvlJc w:val="left"/>
      <w:pPr>
        <w:ind w:left="6203" w:hanging="425"/>
      </w:pPr>
      <w:rPr>
        <w:rFonts w:hint="default"/>
      </w:rPr>
    </w:lvl>
    <w:lvl w:ilvl="7" w:tplc="1FCAF0B0">
      <w:start w:val="1"/>
      <w:numFmt w:val="bullet"/>
      <w:lvlText w:val="•"/>
      <w:lvlJc w:val="left"/>
      <w:pPr>
        <w:ind w:left="7044" w:hanging="425"/>
      </w:pPr>
      <w:rPr>
        <w:rFonts w:hint="default"/>
      </w:rPr>
    </w:lvl>
    <w:lvl w:ilvl="8" w:tplc="1D4681EC">
      <w:start w:val="1"/>
      <w:numFmt w:val="bullet"/>
      <w:lvlText w:val="•"/>
      <w:lvlJc w:val="left"/>
      <w:pPr>
        <w:ind w:left="7885" w:hanging="425"/>
      </w:pPr>
      <w:rPr>
        <w:rFonts w:hint="default"/>
      </w:rPr>
    </w:lvl>
  </w:abstractNum>
  <w:abstractNum w:abstractNumId="25" w15:restartNumberingAfterBreak="0">
    <w:nsid w:val="0C816BF9"/>
    <w:multiLevelType w:val="hybridMultilevel"/>
    <w:tmpl w:val="79649074"/>
    <w:lvl w:ilvl="0" w:tplc="040C0017">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6" w15:restartNumberingAfterBreak="0">
    <w:nsid w:val="0C861413"/>
    <w:multiLevelType w:val="hybridMultilevel"/>
    <w:tmpl w:val="B6FA4A80"/>
    <w:lvl w:ilvl="0" w:tplc="88D835A8">
      <w:start w:val="1"/>
      <w:numFmt w:val="lowerLetter"/>
      <w:lvlText w:val="%1)"/>
      <w:lvlJc w:val="left"/>
      <w:pPr>
        <w:ind w:left="621" w:hanging="224"/>
      </w:pPr>
      <w:rPr>
        <w:rFonts w:ascii="Arial Narrow" w:eastAsia="Arial Narrow" w:hAnsi="Arial Narrow" w:hint="default"/>
        <w:w w:val="116"/>
      </w:rPr>
    </w:lvl>
    <w:lvl w:ilvl="1" w:tplc="E670E4E4">
      <w:start w:val="1"/>
      <w:numFmt w:val="lowerLetter"/>
      <w:lvlText w:val="%2)"/>
      <w:lvlJc w:val="left"/>
      <w:pPr>
        <w:ind w:left="1039" w:hanging="228"/>
      </w:pPr>
      <w:rPr>
        <w:rFonts w:ascii="Courier New" w:eastAsia="Courier New" w:hAnsi="Courier New" w:hint="default"/>
        <w:color w:val="B1B3B3"/>
        <w:w w:val="80"/>
        <w:sz w:val="13"/>
        <w:szCs w:val="13"/>
      </w:rPr>
    </w:lvl>
    <w:lvl w:ilvl="2" w:tplc="89FAD3CE">
      <w:start w:val="1"/>
      <w:numFmt w:val="bullet"/>
      <w:lvlText w:val="•"/>
      <w:lvlJc w:val="left"/>
      <w:pPr>
        <w:ind w:left="1873" w:hanging="228"/>
      </w:pPr>
      <w:rPr>
        <w:rFonts w:hint="default"/>
      </w:rPr>
    </w:lvl>
    <w:lvl w:ilvl="3" w:tplc="405C7084">
      <w:start w:val="1"/>
      <w:numFmt w:val="bullet"/>
      <w:lvlText w:val="•"/>
      <w:lvlJc w:val="left"/>
      <w:pPr>
        <w:ind w:left="2706" w:hanging="228"/>
      </w:pPr>
      <w:rPr>
        <w:rFonts w:hint="default"/>
      </w:rPr>
    </w:lvl>
    <w:lvl w:ilvl="4" w:tplc="D590B23A">
      <w:start w:val="1"/>
      <w:numFmt w:val="bullet"/>
      <w:lvlText w:val="•"/>
      <w:lvlJc w:val="left"/>
      <w:pPr>
        <w:ind w:left="3540" w:hanging="228"/>
      </w:pPr>
      <w:rPr>
        <w:rFonts w:hint="default"/>
      </w:rPr>
    </w:lvl>
    <w:lvl w:ilvl="5" w:tplc="0BAC2840">
      <w:start w:val="1"/>
      <w:numFmt w:val="bullet"/>
      <w:lvlText w:val="•"/>
      <w:lvlJc w:val="left"/>
      <w:pPr>
        <w:ind w:left="4373" w:hanging="228"/>
      </w:pPr>
      <w:rPr>
        <w:rFonts w:hint="default"/>
      </w:rPr>
    </w:lvl>
    <w:lvl w:ilvl="6" w:tplc="A22E4116">
      <w:start w:val="1"/>
      <w:numFmt w:val="bullet"/>
      <w:lvlText w:val="•"/>
      <w:lvlJc w:val="left"/>
      <w:pPr>
        <w:ind w:left="5206" w:hanging="228"/>
      </w:pPr>
      <w:rPr>
        <w:rFonts w:hint="default"/>
      </w:rPr>
    </w:lvl>
    <w:lvl w:ilvl="7" w:tplc="7BD890FA">
      <w:start w:val="1"/>
      <w:numFmt w:val="bullet"/>
      <w:lvlText w:val="•"/>
      <w:lvlJc w:val="left"/>
      <w:pPr>
        <w:ind w:left="6040" w:hanging="228"/>
      </w:pPr>
      <w:rPr>
        <w:rFonts w:hint="default"/>
      </w:rPr>
    </w:lvl>
    <w:lvl w:ilvl="8" w:tplc="64E07A6E">
      <w:start w:val="1"/>
      <w:numFmt w:val="bullet"/>
      <w:lvlText w:val="•"/>
      <w:lvlJc w:val="left"/>
      <w:pPr>
        <w:ind w:left="6873" w:hanging="228"/>
      </w:pPr>
      <w:rPr>
        <w:rFonts w:hint="default"/>
      </w:rPr>
    </w:lvl>
  </w:abstractNum>
  <w:abstractNum w:abstractNumId="27" w15:restartNumberingAfterBreak="0">
    <w:nsid w:val="0D1E6A91"/>
    <w:multiLevelType w:val="hybridMultilevel"/>
    <w:tmpl w:val="3048B7A4"/>
    <w:lvl w:ilvl="0" w:tplc="FFFFFFFF">
      <w:numFmt w:val="bullet"/>
      <w:lvlText w:val="-"/>
      <w:lvlJc w:val="left"/>
      <w:pPr>
        <w:ind w:left="1146" w:hanging="360"/>
      </w:pPr>
      <w:rPr>
        <w:rFonts w:ascii="Times New Roman" w:eastAsia="Times New Roman" w:hAnsi="Times New Roman" w:cs="Arabic Transparent" w:hint="default"/>
      </w:rPr>
    </w:lvl>
    <w:lvl w:ilvl="1" w:tplc="FFFFFFFF" w:tentative="1">
      <w:start w:val="1"/>
      <w:numFmt w:val="bullet"/>
      <w:lvlText w:val="o"/>
      <w:lvlJc w:val="left"/>
      <w:pPr>
        <w:ind w:left="1866" w:hanging="360"/>
      </w:pPr>
      <w:rPr>
        <w:rFonts w:ascii="Courier New" w:hAnsi="Courier New" w:cs="Courier New" w:hint="default"/>
      </w:rPr>
    </w:lvl>
    <w:lvl w:ilvl="2" w:tplc="040C0019">
      <w:start w:val="1"/>
      <w:numFmt w:val="lowerLetter"/>
      <w:lvlText w:val="%3."/>
      <w:lvlJc w:val="left"/>
      <w:pPr>
        <w:ind w:left="2586" w:hanging="360"/>
      </w:p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28" w15:restartNumberingAfterBreak="0">
    <w:nsid w:val="0D703D53"/>
    <w:multiLevelType w:val="singleLevel"/>
    <w:tmpl w:val="FFFFFFFF"/>
    <w:lvl w:ilvl="0">
      <w:numFmt w:val="decimal"/>
      <w:lvlText w:val="*"/>
      <w:lvlJc w:val="left"/>
    </w:lvl>
  </w:abstractNum>
  <w:abstractNum w:abstractNumId="29" w15:restartNumberingAfterBreak="0">
    <w:nsid w:val="0DA93D25"/>
    <w:multiLevelType w:val="hybridMultilevel"/>
    <w:tmpl w:val="EBE2DB10"/>
    <w:lvl w:ilvl="0" w:tplc="8C62F48C">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0EDE7FF3"/>
    <w:multiLevelType w:val="hybridMultilevel"/>
    <w:tmpl w:val="A900FA20"/>
    <w:lvl w:ilvl="0" w:tplc="53E0241A">
      <w:start w:val="1"/>
      <w:numFmt w:val="lowerLetter"/>
      <w:lvlText w:val="%1)"/>
      <w:lvlJc w:val="left"/>
      <w:pPr>
        <w:ind w:left="1153" w:hanging="425"/>
      </w:pPr>
      <w:rPr>
        <w:rFonts w:ascii="American Typewriter" w:eastAsia="American Typewriter" w:hAnsi="American Typewriter" w:hint="default"/>
        <w:w w:val="87"/>
        <w:sz w:val="24"/>
        <w:szCs w:val="24"/>
      </w:rPr>
    </w:lvl>
    <w:lvl w:ilvl="1" w:tplc="6B68FA3A">
      <w:start w:val="1"/>
      <w:numFmt w:val="bullet"/>
      <w:lvlText w:val="•"/>
      <w:lvlJc w:val="left"/>
      <w:pPr>
        <w:ind w:left="2000" w:hanging="425"/>
      </w:pPr>
      <w:rPr>
        <w:rFonts w:hint="default"/>
      </w:rPr>
    </w:lvl>
    <w:lvl w:ilvl="2" w:tplc="4926B324">
      <w:start w:val="1"/>
      <w:numFmt w:val="bullet"/>
      <w:lvlText w:val="•"/>
      <w:lvlJc w:val="left"/>
      <w:pPr>
        <w:ind w:left="2841" w:hanging="425"/>
      </w:pPr>
      <w:rPr>
        <w:rFonts w:hint="default"/>
      </w:rPr>
    </w:lvl>
    <w:lvl w:ilvl="3" w:tplc="F1F86978">
      <w:start w:val="1"/>
      <w:numFmt w:val="bullet"/>
      <w:lvlText w:val="•"/>
      <w:lvlJc w:val="left"/>
      <w:pPr>
        <w:ind w:left="3681" w:hanging="425"/>
      </w:pPr>
      <w:rPr>
        <w:rFonts w:hint="default"/>
      </w:rPr>
    </w:lvl>
    <w:lvl w:ilvl="4" w:tplc="BE6A74B6">
      <w:start w:val="1"/>
      <w:numFmt w:val="bullet"/>
      <w:lvlText w:val="•"/>
      <w:lvlJc w:val="left"/>
      <w:pPr>
        <w:ind w:left="4522" w:hanging="425"/>
      </w:pPr>
      <w:rPr>
        <w:rFonts w:hint="default"/>
      </w:rPr>
    </w:lvl>
    <w:lvl w:ilvl="5" w:tplc="F586DB92">
      <w:start w:val="1"/>
      <w:numFmt w:val="bullet"/>
      <w:lvlText w:val="•"/>
      <w:lvlJc w:val="left"/>
      <w:pPr>
        <w:ind w:left="5363" w:hanging="425"/>
      </w:pPr>
      <w:rPr>
        <w:rFonts w:hint="default"/>
      </w:rPr>
    </w:lvl>
    <w:lvl w:ilvl="6" w:tplc="2B44432C">
      <w:start w:val="1"/>
      <w:numFmt w:val="bullet"/>
      <w:lvlText w:val="•"/>
      <w:lvlJc w:val="left"/>
      <w:pPr>
        <w:ind w:left="6203" w:hanging="425"/>
      </w:pPr>
      <w:rPr>
        <w:rFonts w:hint="default"/>
      </w:rPr>
    </w:lvl>
    <w:lvl w:ilvl="7" w:tplc="39FCF77C">
      <w:start w:val="1"/>
      <w:numFmt w:val="bullet"/>
      <w:lvlText w:val="•"/>
      <w:lvlJc w:val="left"/>
      <w:pPr>
        <w:ind w:left="7044" w:hanging="425"/>
      </w:pPr>
      <w:rPr>
        <w:rFonts w:hint="default"/>
      </w:rPr>
    </w:lvl>
    <w:lvl w:ilvl="8" w:tplc="D79ADDF4">
      <w:start w:val="1"/>
      <w:numFmt w:val="bullet"/>
      <w:lvlText w:val="•"/>
      <w:lvlJc w:val="left"/>
      <w:pPr>
        <w:ind w:left="7885" w:hanging="425"/>
      </w:pPr>
      <w:rPr>
        <w:rFonts w:hint="default"/>
      </w:rPr>
    </w:lvl>
  </w:abstractNum>
  <w:abstractNum w:abstractNumId="31" w15:restartNumberingAfterBreak="0">
    <w:nsid w:val="0FC701C2"/>
    <w:multiLevelType w:val="hybridMultilevel"/>
    <w:tmpl w:val="1FDC93FE"/>
    <w:lvl w:ilvl="0" w:tplc="8C62F48C">
      <w:start w:val="3"/>
      <w:numFmt w:val="bullet"/>
      <w:lvlText w:val="-"/>
      <w:lvlJc w:val="left"/>
      <w:pPr>
        <w:ind w:left="1950" w:hanging="360"/>
      </w:pPr>
      <w:rPr>
        <w:rFonts w:ascii="Times New Roman" w:eastAsia="Times New Roman" w:hAnsi="Times New Roman" w:cs="Times New Roman" w:hint="default"/>
      </w:rPr>
    </w:lvl>
    <w:lvl w:ilvl="1" w:tplc="040C0003" w:tentative="1">
      <w:start w:val="1"/>
      <w:numFmt w:val="bullet"/>
      <w:lvlText w:val="o"/>
      <w:lvlJc w:val="left"/>
      <w:pPr>
        <w:ind w:left="2670" w:hanging="360"/>
      </w:pPr>
      <w:rPr>
        <w:rFonts w:ascii="Courier New" w:hAnsi="Courier New" w:cs="Courier New" w:hint="default"/>
      </w:rPr>
    </w:lvl>
    <w:lvl w:ilvl="2" w:tplc="040C0005" w:tentative="1">
      <w:start w:val="1"/>
      <w:numFmt w:val="bullet"/>
      <w:lvlText w:val=""/>
      <w:lvlJc w:val="left"/>
      <w:pPr>
        <w:ind w:left="3390" w:hanging="360"/>
      </w:pPr>
      <w:rPr>
        <w:rFonts w:ascii="Wingdings" w:hAnsi="Wingdings" w:hint="default"/>
      </w:rPr>
    </w:lvl>
    <w:lvl w:ilvl="3" w:tplc="040C0001" w:tentative="1">
      <w:start w:val="1"/>
      <w:numFmt w:val="bullet"/>
      <w:lvlText w:val=""/>
      <w:lvlJc w:val="left"/>
      <w:pPr>
        <w:ind w:left="4110" w:hanging="360"/>
      </w:pPr>
      <w:rPr>
        <w:rFonts w:ascii="Symbol" w:hAnsi="Symbol" w:hint="default"/>
      </w:rPr>
    </w:lvl>
    <w:lvl w:ilvl="4" w:tplc="040C0003" w:tentative="1">
      <w:start w:val="1"/>
      <w:numFmt w:val="bullet"/>
      <w:lvlText w:val="o"/>
      <w:lvlJc w:val="left"/>
      <w:pPr>
        <w:ind w:left="4830" w:hanging="360"/>
      </w:pPr>
      <w:rPr>
        <w:rFonts w:ascii="Courier New" w:hAnsi="Courier New" w:cs="Courier New" w:hint="default"/>
      </w:rPr>
    </w:lvl>
    <w:lvl w:ilvl="5" w:tplc="040C0005" w:tentative="1">
      <w:start w:val="1"/>
      <w:numFmt w:val="bullet"/>
      <w:lvlText w:val=""/>
      <w:lvlJc w:val="left"/>
      <w:pPr>
        <w:ind w:left="5550" w:hanging="360"/>
      </w:pPr>
      <w:rPr>
        <w:rFonts w:ascii="Wingdings" w:hAnsi="Wingdings" w:hint="default"/>
      </w:rPr>
    </w:lvl>
    <w:lvl w:ilvl="6" w:tplc="040C0001" w:tentative="1">
      <w:start w:val="1"/>
      <w:numFmt w:val="bullet"/>
      <w:lvlText w:val=""/>
      <w:lvlJc w:val="left"/>
      <w:pPr>
        <w:ind w:left="6270" w:hanging="360"/>
      </w:pPr>
      <w:rPr>
        <w:rFonts w:ascii="Symbol" w:hAnsi="Symbol" w:hint="default"/>
      </w:rPr>
    </w:lvl>
    <w:lvl w:ilvl="7" w:tplc="040C0003" w:tentative="1">
      <w:start w:val="1"/>
      <w:numFmt w:val="bullet"/>
      <w:lvlText w:val="o"/>
      <w:lvlJc w:val="left"/>
      <w:pPr>
        <w:ind w:left="6990" w:hanging="360"/>
      </w:pPr>
      <w:rPr>
        <w:rFonts w:ascii="Courier New" w:hAnsi="Courier New" w:cs="Courier New" w:hint="default"/>
      </w:rPr>
    </w:lvl>
    <w:lvl w:ilvl="8" w:tplc="040C0005" w:tentative="1">
      <w:start w:val="1"/>
      <w:numFmt w:val="bullet"/>
      <w:lvlText w:val=""/>
      <w:lvlJc w:val="left"/>
      <w:pPr>
        <w:ind w:left="7710" w:hanging="360"/>
      </w:pPr>
      <w:rPr>
        <w:rFonts w:ascii="Wingdings" w:hAnsi="Wingdings" w:hint="default"/>
      </w:rPr>
    </w:lvl>
  </w:abstractNum>
  <w:abstractNum w:abstractNumId="32" w15:restartNumberingAfterBreak="0">
    <w:nsid w:val="100553B2"/>
    <w:multiLevelType w:val="hybridMultilevel"/>
    <w:tmpl w:val="A614EBDC"/>
    <w:lvl w:ilvl="0" w:tplc="808601DC">
      <w:start w:val="1"/>
      <w:numFmt w:val="decimal"/>
      <w:lvlText w:val="%1."/>
      <w:lvlJc w:val="left"/>
      <w:pPr>
        <w:ind w:left="1429" w:hanging="360"/>
      </w:pPr>
      <w:rPr>
        <w:rFonts w:asciiTheme="majorBidi" w:hAnsiTheme="majorBidi" w:cstheme="majorBidi" w:hint="default"/>
      </w:r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33" w15:restartNumberingAfterBreak="0">
    <w:nsid w:val="108F6A4B"/>
    <w:multiLevelType w:val="hybridMultilevel"/>
    <w:tmpl w:val="1C3460D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10A960AC"/>
    <w:multiLevelType w:val="hybridMultilevel"/>
    <w:tmpl w:val="B6B6FB0C"/>
    <w:lvl w:ilvl="0" w:tplc="8C62F48C">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11E24DD6"/>
    <w:multiLevelType w:val="hybridMultilevel"/>
    <w:tmpl w:val="97587C4E"/>
    <w:lvl w:ilvl="0" w:tplc="040C001B">
      <w:start w:val="1"/>
      <w:numFmt w:val="lowerRoman"/>
      <w:lvlText w:val="%1."/>
      <w:lvlJc w:val="right"/>
      <w:pPr>
        <w:ind w:left="945" w:hanging="360"/>
      </w:pPr>
    </w:lvl>
    <w:lvl w:ilvl="1" w:tplc="040C0019" w:tentative="1">
      <w:start w:val="1"/>
      <w:numFmt w:val="lowerLetter"/>
      <w:lvlText w:val="%2."/>
      <w:lvlJc w:val="left"/>
      <w:pPr>
        <w:ind w:left="1665" w:hanging="360"/>
      </w:pPr>
    </w:lvl>
    <w:lvl w:ilvl="2" w:tplc="040C001B" w:tentative="1">
      <w:start w:val="1"/>
      <w:numFmt w:val="lowerRoman"/>
      <w:lvlText w:val="%3."/>
      <w:lvlJc w:val="right"/>
      <w:pPr>
        <w:ind w:left="2385" w:hanging="180"/>
      </w:pPr>
    </w:lvl>
    <w:lvl w:ilvl="3" w:tplc="040C000F" w:tentative="1">
      <w:start w:val="1"/>
      <w:numFmt w:val="decimal"/>
      <w:lvlText w:val="%4."/>
      <w:lvlJc w:val="left"/>
      <w:pPr>
        <w:ind w:left="3105" w:hanging="360"/>
      </w:pPr>
    </w:lvl>
    <w:lvl w:ilvl="4" w:tplc="040C0019" w:tentative="1">
      <w:start w:val="1"/>
      <w:numFmt w:val="lowerLetter"/>
      <w:lvlText w:val="%5."/>
      <w:lvlJc w:val="left"/>
      <w:pPr>
        <w:ind w:left="3825" w:hanging="360"/>
      </w:pPr>
    </w:lvl>
    <w:lvl w:ilvl="5" w:tplc="040C001B" w:tentative="1">
      <w:start w:val="1"/>
      <w:numFmt w:val="lowerRoman"/>
      <w:lvlText w:val="%6."/>
      <w:lvlJc w:val="right"/>
      <w:pPr>
        <w:ind w:left="4545" w:hanging="180"/>
      </w:pPr>
    </w:lvl>
    <w:lvl w:ilvl="6" w:tplc="040C000F" w:tentative="1">
      <w:start w:val="1"/>
      <w:numFmt w:val="decimal"/>
      <w:lvlText w:val="%7."/>
      <w:lvlJc w:val="left"/>
      <w:pPr>
        <w:ind w:left="5265" w:hanging="360"/>
      </w:pPr>
    </w:lvl>
    <w:lvl w:ilvl="7" w:tplc="040C0019" w:tentative="1">
      <w:start w:val="1"/>
      <w:numFmt w:val="lowerLetter"/>
      <w:lvlText w:val="%8."/>
      <w:lvlJc w:val="left"/>
      <w:pPr>
        <w:ind w:left="5985" w:hanging="360"/>
      </w:pPr>
    </w:lvl>
    <w:lvl w:ilvl="8" w:tplc="040C001B" w:tentative="1">
      <w:start w:val="1"/>
      <w:numFmt w:val="lowerRoman"/>
      <w:lvlText w:val="%9."/>
      <w:lvlJc w:val="right"/>
      <w:pPr>
        <w:ind w:left="6705" w:hanging="180"/>
      </w:pPr>
    </w:lvl>
  </w:abstractNum>
  <w:abstractNum w:abstractNumId="36" w15:restartNumberingAfterBreak="0">
    <w:nsid w:val="124939AC"/>
    <w:multiLevelType w:val="hybridMultilevel"/>
    <w:tmpl w:val="4BAEB660"/>
    <w:lvl w:ilvl="0" w:tplc="FFFFFFFF">
      <w:start w:val="1"/>
      <w:numFmt w:val="lowerLetter"/>
      <w:lvlText w:val="%1)"/>
      <w:lvlJc w:val="left"/>
      <w:pPr>
        <w:tabs>
          <w:tab w:val="num" w:pos="1065"/>
        </w:tabs>
        <w:ind w:left="1065" w:hanging="360"/>
      </w:pPr>
      <w:rPr>
        <w:rFonts w:hint="default"/>
      </w:rPr>
    </w:lvl>
    <w:lvl w:ilvl="1" w:tplc="12660FE6">
      <w:start w:val="1"/>
      <w:numFmt w:val="decimal"/>
      <w:lvlText w:val="%2)"/>
      <w:lvlJc w:val="left"/>
      <w:pPr>
        <w:ind w:left="1785" w:hanging="360"/>
      </w:pPr>
      <w:rPr>
        <w:rFonts w:eastAsia="Times New Roman" w:hint="default"/>
      </w:rPr>
    </w:lvl>
    <w:lvl w:ilvl="2" w:tplc="FFFFFFFF" w:tentative="1">
      <w:start w:val="1"/>
      <w:numFmt w:val="lowerRoman"/>
      <w:lvlText w:val="%3."/>
      <w:lvlJc w:val="right"/>
      <w:pPr>
        <w:tabs>
          <w:tab w:val="num" w:pos="2505"/>
        </w:tabs>
        <w:ind w:left="2505" w:hanging="180"/>
      </w:pPr>
    </w:lvl>
    <w:lvl w:ilvl="3" w:tplc="FFFFFFFF" w:tentative="1">
      <w:start w:val="1"/>
      <w:numFmt w:val="decimal"/>
      <w:lvlText w:val="%4."/>
      <w:lvlJc w:val="left"/>
      <w:pPr>
        <w:tabs>
          <w:tab w:val="num" w:pos="3225"/>
        </w:tabs>
        <w:ind w:left="3225" w:hanging="360"/>
      </w:pPr>
    </w:lvl>
    <w:lvl w:ilvl="4" w:tplc="FFFFFFFF" w:tentative="1">
      <w:start w:val="1"/>
      <w:numFmt w:val="lowerLetter"/>
      <w:lvlText w:val="%5."/>
      <w:lvlJc w:val="left"/>
      <w:pPr>
        <w:tabs>
          <w:tab w:val="num" w:pos="3945"/>
        </w:tabs>
        <w:ind w:left="3945" w:hanging="360"/>
      </w:pPr>
    </w:lvl>
    <w:lvl w:ilvl="5" w:tplc="FFFFFFFF" w:tentative="1">
      <w:start w:val="1"/>
      <w:numFmt w:val="lowerRoman"/>
      <w:lvlText w:val="%6."/>
      <w:lvlJc w:val="right"/>
      <w:pPr>
        <w:tabs>
          <w:tab w:val="num" w:pos="4665"/>
        </w:tabs>
        <w:ind w:left="4665" w:hanging="180"/>
      </w:pPr>
    </w:lvl>
    <w:lvl w:ilvl="6" w:tplc="FFFFFFFF" w:tentative="1">
      <w:start w:val="1"/>
      <w:numFmt w:val="decimal"/>
      <w:lvlText w:val="%7."/>
      <w:lvlJc w:val="left"/>
      <w:pPr>
        <w:tabs>
          <w:tab w:val="num" w:pos="5385"/>
        </w:tabs>
        <w:ind w:left="5385" w:hanging="360"/>
      </w:pPr>
    </w:lvl>
    <w:lvl w:ilvl="7" w:tplc="FFFFFFFF" w:tentative="1">
      <w:start w:val="1"/>
      <w:numFmt w:val="lowerLetter"/>
      <w:lvlText w:val="%8."/>
      <w:lvlJc w:val="left"/>
      <w:pPr>
        <w:tabs>
          <w:tab w:val="num" w:pos="6105"/>
        </w:tabs>
        <w:ind w:left="6105" w:hanging="360"/>
      </w:pPr>
    </w:lvl>
    <w:lvl w:ilvl="8" w:tplc="FFFFFFFF" w:tentative="1">
      <w:start w:val="1"/>
      <w:numFmt w:val="lowerRoman"/>
      <w:lvlText w:val="%9."/>
      <w:lvlJc w:val="right"/>
      <w:pPr>
        <w:tabs>
          <w:tab w:val="num" w:pos="6825"/>
        </w:tabs>
        <w:ind w:left="6825" w:hanging="180"/>
      </w:pPr>
    </w:lvl>
  </w:abstractNum>
  <w:abstractNum w:abstractNumId="37" w15:restartNumberingAfterBreak="0">
    <w:nsid w:val="131361CD"/>
    <w:multiLevelType w:val="hybridMultilevel"/>
    <w:tmpl w:val="CDE2E03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13833C6F"/>
    <w:multiLevelType w:val="hybridMultilevel"/>
    <w:tmpl w:val="4078CD24"/>
    <w:lvl w:ilvl="0" w:tplc="829E4564">
      <w:start w:val="4"/>
      <w:numFmt w:val="bullet"/>
      <w:lvlText w:val="-"/>
      <w:lvlJc w:val="left"/>
      <w:pPr>
        <w:ind w:left="720" w:hanging="360"/>
      </w:pPr>
      <w:rPr>
        <w:rFonts w:ascii="Bookman Old Style" w:eastAsia="Times New Roman" w:hAnsi="Bookman Old Styl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13B07555"/>
    <w:multiLevelType w:val="hybridMultilevel"/>
    <w:tmpl w:val="061CB042"/>
    <w:lvl w:ilvl="0" w:tplc="9BEC19EA">
      <w:start w:val="1"/>
      <w:numFmt w:val="lowerLetter"/>
      <w:lvlText w:val="%1)"/>
      <w:lvlJc w:val="left"/>
      <w:pPr>
        <w:ind w:left="720" w:hanging="360"/>
      </w:pPr>
      <w:rPr>
        <w:rFonts w:ascii="American Typewriter" w:eastAsia="American Typewriter" w:hAnsi="American Typewriter" w:hint="default"/>
        <w:w w:val="87"/>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14A94A39"/>
    <w:multiLevelType w:val="hybridMultilevel"/>
    <w:tmpl w:val="43D23962"/>
    <w:lvl w:ilvl="0" w:tplc="A70C0E84">
      <w:start w:val="2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15DF3C0C"/>
    <w:multiLevelType w:val="hybridMultilevel"/>
    <w:tmpl w:val="3E721C36"/>
    <w:lvl w:ilvl="0" w:tplc="1CE837C4">
      <w:start w:val="1"/>
      <w:numFmt w:val="lowerLetter"/>
      <w:lvlText w:val="%1)"/>
      <w:lvlJc w:val="left"/>
      <w:pPr>
        <w:ind w:left="720" w:hanging="360"/>
      </w:pPr>
      <w:rPr>
        <w:rFonts w:hint="default"/>
        <w:b w:val="0"/>
        <w:bCs w:val="0"/>
      </w:rPr>
    </w:lvl>
    <w:lvl w:ilvl="1" w:tplc="C562DA02">
      <w:start w:val="1"/>
      <w:numFmt w:val="decimal"/>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15E3652D"/>
    <w:multiLevelType w:val="hybridMultilevel"/>
    <w:tmpl w:val="5BCAAB12"/>
    <w:lvl w:ilvl="0" w:tplc="41F83A82">
      <w:start w:val="1"/>
      <w:numFmt w:val="lowerLetter"/>
      <w:lvlText w:val="%1)"/>
      <w:lvlJc w:val="left"/>
      <w:pPr>
        <w:ind w:left="1153" w:hanging="425"/>
      </w:pPr>
      <w:rPr>
        <w:rFonts w:ascii="American Typewriter" w:eastAsia="American Typewriter" w:hAnsi="American Typewriter" w:hint="default"/>
        <w:w w:val="87"/>
        <w:sz w:val="24"/>
        <w:szCs w:val="24"/>
      </w:rPr>
    </w:lvl>
    <w:lvl w:ilvl="1" w:tplc="F93868C2">
      <w:start w:val="1"/>
      <w:numFmt w:val="bullet"/>
      <w:lvlText w:val="•"/>
      <w:lvlJc w:val="left"/>
      <w:pPr>
        <w:ind w:left="2000" w:hanging="425"/>
      </w:pPr>
      <w:rPr>
        <w:rFonts w:hint="default"/>
      </w:rPr>
    </w:lvl>
    <w:lvl w:ilvl="2" w:tplc="6BB6B05C">
      <w:start w:val="1"/>
      <w:numFmt w:val="bullet"/>
      <w:lvlText w:val="•"/>
      <w:lvlJc w:val="left"/>
      <w:pPr>
        <w:ind w:left="2841" w:hanging="425"/>
      </w:pPr>
      <w:rPr>
        <w:rFonts w:hint="default"/>
      </w:rPr>
    </w:lvl>
    <w:lvl w:ilvl="3" w:tplc="3956028A">
      <w:start w:val="1"/>
      <w:numFmt w:val="bullet"/>
      <w:lvlText w:val="•"/>
      <w:lvlJc w:val="left"/>
      <w:pPr>
        <w:ind w:left="3681" w:hanging="425"/>
      </w:pPr>
      <w:rPr>
        <w:rFonts w:hint="default"/>
      </w:rPr>
    </w:lvl>
    <w:lvl w:ilvl="4" w:tplc="E9CA6690">
      <w:start w:val="1"/>
      <w:numFmt w:val="bullet"/>
      <w:lvlText w:val="•"/>
      <w:lvlJc w:val="left"/>
      <w:pPr>
        <w:ind w:left="4522" w:hanging="425"/>
      </w:pPr>
      <w:rPr>
        <w:rFonts w:hint="default"/>
      </w:rPr>
    </w:lvl>
    <w:lvl w:ilvl="5" w:tplc="F9D4FE48">
      <w:start w:val="1"/>
      <w:numFmt w:val="bullet"/>
      <w:lvlText w:val="•"/>
      <w:lvlJc w:val="left"/>
      <w:pPr>
        <w:ind w:left="5363" w:hanging="425"/>
      </w:pPr>
      <w:rPr>
        <w:rFonts w:hint="default"/>
      </w:rPr>
    </w:lvl>
    <w:lvl w:ilvl="6" w:tplc="AC802D72">
      <w:start w:val="1"/>
      <w:numFmt w:val="bullet"/>
      <w:lvlText w:val="•"/>
      <w:lvlJc w:val="left"/>
      <w:pPr>
        <w:ind w:left="6203" w:hanging="425"/>
      </w:pPr>
      <w:rPr>
        <w:rFonts w:hint="default"/>
      </w:rPr>
    </w:lvl>
    <w:lvl w:ilvl="7" w:tplc="BA48F0DC">
      <w:start w:val="1"/>
      <w:numFmt w:val="bullet"/>
      <w:lvlText w:val="•"/>
      <w:lvlJc w:val="left"/>
      <w:pPr>
        <w:ind w:left="7044" w:hanging="425"/>
      </w:pPr>
      <w:rPr>
        <w:rFonts w:hint="default"/>
      </w:rPr>
    </w:lvl>
    <w:lvl w:ilvl="8" w:tplc="D012FC94">
      <w:start w:val="1"/>
      <w:numFmt w:val="bullet"/>
      <w:lvlText w:val="•"/>
      <w:lvlJc w:val="left"/>
      <w:pPr>
        <w:ind w:left="7885" w:hanging="425"/>
      </w:pPr>
      <w:rPr>
        <w:rFonts w:hint="default"/>
      </w:rPr>
    </w:lvl>
  </w:abstractNum>
  <w:abstractNum w:abstractNumId="43" w15:restartNumberingAfterBreak="0">
    <w:nsid w:val="15E94AF3"/>
    <w:multiLevelType w:val="hybridMultilevel"/>
    <w:tmpl w:val="798462BA"/>
    <w:lvl w:ilvl="0" w:tplc="8C62F48C">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16230282"/>
    <w:multiLevelType w:val="hybridMultilevel"/>
    <w:tmpl w:val="C0728C5E"/>
    <w:lvl w:ilvl="0" w:tplc="93882E3C">
      <w:start w:val="2"/>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16E91B2D"/>
    <w:multiLevelType w:val="hybridMultilevel"/>
    <w:tmpl w:val="675802AC"/>
    <w:lvl w:ilvl="0" w:tplc="9BEC19EA">
      <w:start w:val="1"/>
      <w:numFmt w:val="lowerLetter"/>
      <w:lvlText w:val="%1)"/>
      <w:lvlJc w:val="left"/>
      <w:pPr>
        <w:ind w:left="1004" w:hanging="360"/>
      </w:pPr>
      <w:rPr>
        <w:rFonts w:ascii="American Typewriter" w:eastAsia="American Typewriter" w:hAnsi="American Typewriter" w:hint="default"/>
        <w:w w:val="87"/>
        <w:sz w:val="24"/>
        <w:szCs w:val="24"/>
      </w:rPr>
    </w:lvl>
    <w:lvl w:ilvl="1" w:tplc="040C0019">
      <w:start w:val="1"/>
      <w:numFmt w:val="lowerLetter"/>
      <w:lvlText w:val="%2."/>
      <w:lvlJc w:val="left"/>
      <w:pPr>
        <w:ind w:left="1724" w:hanging="360"/>
      </w:pPr>
    </w:lvl>
    <w:lvl w:ilvl="2" w:tplc="8B7EC170">
      <w:start w:val="1"/>
      <w:numFmt w:val="upperLetter"/>
      <w:lvlText w:val="%3."/>
      <w:lvlJc w:val="left"/>
      <w:pPr>
        <w:ind w:left="2624" w:hanging="360"/>
      </w:pPr>
      <w:rPr>
        <w:rFonts w:hint="default"/>
      </w:rPr>
    </w:lvl>
    <w:lvl w:ilvl="3" w:tplc="CCA6BA5C">
      <w:start w:val="1"/>
      <w:numFmt w:val="decimal"/>
      <w:lvlText w:val="%4."/>
      <w:lvlJc w:val="left"/>
      <w:pPr>
        <w:ind w:left="3164" w:hanging="360"/>
      </w:pPr>
      <w:rPr>
        <w:rFonts w:hint="default"/>
      </w:r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46" w15:restartNumberingAfterBreak="0">
    <w:nsid w:val="17EB3C58"/>
    <w:multiLevelType w:val="hybridMultilevel"/>
    <w:tmpl w:val="80C68E1C"/>
    <w:lvl w:ilvl="0" w:tplc="BDF02398">
      <w:start w:val="1"/>
      <w:numFmt w:val="bullet"/>
      <w:lvlText w:val="-"/>
      <w:lvlJc w:val="left"/>
      <w:pPr>
        <w:ind w:left="945" w:hanging="360"/>
      </w:pPr>
      <w:rPr>
        <w:rFonts w:ascii="Arial Narrow" w:eastAsia="Arial Narrow" w:hAnsi="Arial Narrow" w:hint="default"/>
        <w:w w:val="121"/>
        <w:sz w:val="24"/>
        <w:szCs w:val="24"/>
      </w:rPr>
    </w:lvl>
    <w:lvl w:ilvl="1" w:tplc="040C0003" w:tentative="1">
      <w:start w:val="1"/>
      <w:numFmt w:val="bullet"/>
      <w:lvlText w:val="o"/>
      <w:lvlJc w:val="left"/>
      <w:pPr>
        <w:ind w:left="1665" w:hanging="360"/>
      </w:pPr>
      <w:rPr>
        <w:rFonts w:ascii="Courier New" w:hAnsi="Courier New" w:cs="Courier New" w:hint="default"/>
      </w:rPr>
    </w:lvl>
    <w:lvl w:ilvl="2" w:tplc="040C0005" w:tentative="1">
      <w:start w:val="1"/>
      <w:numFmt w:val="bullet"/>
      <w:lvlText w:val=""/>
      <w:lvlJc w:val="left"/>
      <w:pPr>
        <w:ind w:left="2385" w:hanging="360"/>
      </w:pPr>
      <w:rPr>
        <w:rFonts w:ascii="Wingdings" w:hAnsi="Wingdings" w:hint="default"/>
      </w:rPr>
    </w:lvl>
    <w:lvl w:ilvl="3" w:tplc="040C0001" w:tentative="1">
      <w:start w:val="1"/>
      <w:numFmt w:val="bullet"/>
      <w:lvlText w:val=""/>
      <w:lvlJc w:val="left"/>
      <w:pPr>
        <w:ind w:left="3105" w:hanging="360"/>
      </w:pPr>
      <w:rPr>
        <w:rFonts w:ascii="Symbol" w:hAnsi="Symbol" w:hint="default"/>
      </w:rPr>
    </w:lvl>
    <w:lvl w:ilvl="4" w:tplc="040C0003" w:tentative="1">
      <w:start w:val="1"/>
      <w:numFmt w:val="bullet"/>
      <w:lvlText w:val="o"/>
      <w:lvlJc w:val="left"/>
      <w:pPr>
        <w:ind w:left="3825" w:hanging="360"/>
      </w:pPr>
      <w:rPr>
        <w:rFonts w:ascii="Courier New" w:hAnsi="Courier New" w:cs="Courier New" w:hint="default"/>
      </w:rPr>
    </w:lvl>
    <w:lvl w:ilvl="5" w:tplc="040C0005" w:tentative="1">
      <w:start w:val="1"/>
      <w:numFmt w:val="bullet"/>
      <w:lvlText w:val=""/>
      <w:lvlJc w:val="left"/>
      <w:pPr>
        <w:ind w:left="4545" w:hanging="360"/>
      </w:pPr>
      <w:rPr>
        <w:rFonts w:ascii="Wingdings" w:hAnsi="Wingdings" w:hint="default"/>
      </w:rPr>
    </w:lvl>
    <w:lvl w:ilvl="6" w:tplc="040C0001" w:tentative="1">
      <w:start w:val="1"/>
      <w:numFmt w:val="bullet"/>
      <w:lvlText w:val=""/>
      <w:lvlJc w:val="left"/>
      <w:pPr>
        <w:ind w:left="5265" w:hanging="360"/>
      </w:pPr>
      <w:rPr>
        <w:rFonts w:ascii="Symbol" w:hAnsi="Symbol" w:hint="default"/>
      </w:rPr>
    </w:lvl>
    <w:lvl w:ilvl="7" w:tplc="040C0003" w:tentative="1">
      <w:start w:val="1"/>
      <w:numFmt w:val="bullet"/>
      <w:lvlText w:val="o"/>
      <w:lvlJc w:val="left"/>
      <w:pPr>
        <w:ind w:left="5985" w:hanging="360"/>
      </w:pPr>
      <w:rPr>
        <w:rFonts w:ascii="Courier New" w:hAnsi="Courier New" w:cs="Courier New" w:hint="default"/>
      </w:rPr>
    </w:lvl>
    <w:lvl w:ilvl="8" w:tplc="040C0005" w:tentative="1">
      <w:start w:val="1"/>
      <w:numFmt w:val="bullet"/>
      <w:lvlText w:val=""/>
      <w:lvlJc w:val="left"/>
      <w:pPr>
        <w:ind w:left="6705" w:hanging="360"/>
      </w:pPr>
      <w:rPr>
        <w:rFonts w:ascii="Wingdings" w:hAnsi="Wingdings" w:hint="default"/>
      </w:rPr>
    </w:lvl>
  </w:abstractNum>
  <w:abstractNum w:abstractNumId="47" w15:restartNumberingAfterBreak="0">
    <w:nsid w:val="18233D87"/>
    <w:multiLevelType w:val="hybridMultilevel"/>
    <w:tmpl w:val="375C1762"/>
    <w:lvl w:ilvl="0" w:tplc="4D2C1488">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183676ED"/>
    <w:multiLevelType w:val="hybridMultilevel"/>
    <w:tmpl w:val="80162CAA"/>
    <w:lvl w:ilvl="0" w:tplc="BDF02398">
      <w:start w:val="1"/>
      <w:numFmt w:val="bullet"/>
      <w:lvlText w:val="-"/>
      <w:lvlJc w:val="left"/>
      <w:pPr>
        <w:ind w:left="1227" w:hanging="360"/>
      </w:pPr>
      <w:rPr>
        <w:rFonts w:ascii="Arial Narrow" w:eastAsia="Arial Narrow" w:hAnsi="Arial Narrow" w:hint="default"/>
        <w:w w:val="121"/>
        <w:sz w:val="24"/>
        <w:szCs w:val="24"/>
      </w:rPr>
    </w:lvl>
    <w:lvl w:ilvl="1" w:tplc="CB003888">
      <w:start w:val="1"/>
      <w:numFmt w:val="bullet"/>
      <w:lvlText w:val="•"/>
      <w:lvlJc w:val="left"/>
      <w:pPr>
        <w:ind w:left="2054" w:hanging="360"/>
      </w:pPr>
      <w:rPr>
        <w:rFonts w:hint="default"/>
      </w:rPr>
    </w:lvl>
    <w:lvl w:ilvl="2" w:tplc="21E0F76C">
      <w:start w:val="1"/>
      <w:numFmt w:val="bullet"/>
      <w:lvlText w:val="•"/>
      <w:lvlJc w:val="left"/>
      <w:pPr>
        <w:ind w:left="2889" w:hanging="360"/>
      </w:pPr>
      <w:rPr>
        <w:rFonts w:hint="default"/>
      </w:rPr>
    </w:lvl>
    <w:lvl w:ilvl="3" w:tplc="AE405FCA">
      <w:start w:val="1"/>
      <w:numFmt w:val="bullet"/>
      <w:lvlText w:val="•"/>
      <w:lvlJc w:val="left"/>
      <w:pPr>
        <w:ind w:left="3723" w:hanging="360"/>
      </w:pPr>
      <w:rPr>
        <w:rFonts w:hint="default"/>
      </w:rPr>
    </w:lvl>
    <w:lvl w:ilvl="4" w:tplc="215297F0">
      <w:start w:val="1"/>
      <w:numFmt w:val="bullet"/>
      <w:lvlText w:val="•"/>
      <w:lvlJc w:val="left"/>
      <w:pPr>
        <w:ind w:left="4558" w:hanging="360"/>
      </w:pPr>
      <w:rPr>
        <w:rFonts w:hint="default"/>
      </w:rPr>
    </w:lvl>
    <w:lvl w:ilvl="5" w:tplc="4E94FDD2">
      <w:start w:val="1"/>
      <w:numFmt w:val="bullet"/>
      <w:lvlText w:val="•"/>
      <w:lvlJc w:val="left"/>
      <w:pPr>
        <w:ind w:left="5393" w:hanging="360"/>
      </w:pPr>
      <w:rPr>
        <w:rFonts w:hint="default"/>
      </w:rPr>
    </w:lvl>
    <w:lvl w:ilvl="6" w:tplc="F1DAFDCA">
      <w:start w:val="1"/>
      <w:numFmt w:val="bullet"/>
      <w:lvlText w:val="•"/>
      <w:lvlJc w:val="left"/>
      <w:pPr>
        <w:ind w:left="6227" w:hanging="360"/>
      </w:pPr>
      <w:rPr>
        <w:rFonts w:hint="default"/>
      </w:rPr>
    </w:lvl>
    <w:lvl w:ilvl="7" w:tplc="E7B6F1B2">
      <w:start w:val="1"/>
      <w:numFmt w:val="bullet"/>
      <w:lvlText w:val="•"/>
      <w:lvlJc w:val="left"/>
      <w:pPr>
        <w:ind w:left="7062" w:hanging="360"/>
      </w:pPr>
      <w:rPr>
        <w:rFonts w:hint="default"/>
      </w:rPr>
    </w:lvl>
    <w:lvl w:ilvl="8" w:tplc="B900C70E">
      <w:start w:val="1"/>
      <w:numFmt w:val="bullet"/>
      <w:lvlText w:val="•"/>
      <w:lvlJc w:val="left"/>
      <w:pPr>
        <w:ind w:left="7897" w:hanging="360"/>
      </w:pPr>
      <w:rPr>
        <w:rFonts w:hint="default"/>
      </w:rPr>
    </w:lvl>
  </w:abstractNum>
  <w:abstractNum w:abstractNumId="49" w15:restartNumberingAfterBreak="0">
    <w:nsid w:val="18505C88"/>
    <w:multiLevelType w:val="hybridMultilevel"/>
    <w:tmpl w:val="9C3AEECE"/>
    <w:lvl w:ilvl="0" w:tplc="01EAD314">
      <w:start w:val="1"/>
      <w:numFmt w:val="decimal"/>
      <w:lvlText w:val="(%1)"/>
      <w:lvlJc w:val="left"/>
      <w:pPr>
        <w:ind w:left="720" w:hanging="360"/>
      </w:pPr>
      <w:rPr>
        <w:rFonts w:hint="default"/>
        <w:vertAlign w:val="superscript"/>
      </w:rPr>
    </w:lvl>
    <w:lvl w:ilvl="1" w:tplc="22D48662">
      <w:start w:val="1"/>
      <w:numFmt w:val="decimal"/>
      <w:lvlText w:val="%2."/>
      <w:lvlJc w:val="left"/>
      <w:pPr>
        <w:ind w:left="1440" w:hanging="360"/>
      </w:pPr>
      <w:rPr>
        <w:rFonts w:hint="default"/>
      </w:rPr>
    </w:lvl>
    <w:lvl w:ilvl="2" w:tplc="81C045F2">
      <w:start w:val="2"/>
      <w:numFmt w:val="bullet"/>
      <w:lvlText w:val="—"/>
      <w:lvlJc w:val="left"/>
      <w:pPr>
        <w:ind w:left="2400" w:hanging="420"/>
      </w:pPr>
      <w:rPr>
        <w:rFonts w:ascii="Tahoma" w:eastAsia="Times New Roman" w:hAnsi="Tahoma" w:cs="Tahoma"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18BB6A51"/>
    <w:multiLevelType w:val="hybridMultilevel"/>
    <w:tmpl w:val="B2F87C90"/>
    <w:lvl w:ilvl="0" w:tplc="14E86A2C">
      <w:start w:val="1"/>
      <w:numFmt w:val="lowerLetter"/>
      <w:lvlText w:val="%1)"/>
      <w:lvlJc w:val="left"/>
      <w:pPr>
        <w:ind w:left="1785" w:hanging="360"/>
      </w:pPr>
      <w:rPr>
        <w:rFonts w:hint="default"/>
      </w:rPr>
    </w:lvl>
    <w:lvl w:ilvl="1" w:tplc="040C0019" w:tentative="1">
      <w:start w:val="1"/>
      <w:numFmt w:val="lowerLetter"/>
      <w:lvlText w:val="%2."/>
      <w:lvlJc w:val="left"/>
      <w:pPr>
        <w:ind w:left="2505" w:hanging="360"/>
      </w:pPr>
    </w:lvl>
    <w:lvl w:ilvl="2" w:tplc="040C001B" w:tentative="1">
      <w:start w:val="1"/>
      <w:numFmt w:val="lowerRoman"/>
      <w:lvlText w:val="%3."/>
      <w:lvlJc w:val="right"/>
      <w:pPr>
        <w:ind w:left="3225" w:hanging="180"/>
      </w:pPr>
    </w:lvl>
    <w:lvl w:ilvl="3" w:tplc="040C000F" w:tentative="1">
      <w:start w:val="1"/>
      <w:numFmt w:val="decimal"/>
      <w:lvlText w:val="%4."/>
      <w:lvlJc w:val="left"/>
      <w:pPr>
        <w:ind w:left="3945" w:hanging="360"/>
      </w:pPr>
    </w:lvl>
    <w:lvl w:ilvl="4" w:tplc="040C0019" w:tentative="1">
      <w:start w:val="1"/>
      <w:numFmt w:val="lowerLetter"/>
      <w:lvlText w:val="%5."/>
      <w:lvlJc w:val="left"/>
      <w:pPr>
        <w:ind w:left="4665" w:hanging="360"/>
      </w:pPr>
    </w:lvl>
    <w:lvl w:ilvl="5" w:tplc="040C001B" w:tentative="1">
      <w:start w:val="1"/>
      <w:numFmt w:val="lowerRoman"/>
      <w:lvlText w:val="%6."/>
      <w:lvlJc w:val="right"/>
      <w:pPr>
        <w:ind w:left="5385" w:hanging="180"/>
      </w:pPr>
    </w:lvl>
    <w:lvl w:ilvl="6" w:tplc="040C000F" w:tentative="1">
      <w:start w:val="1"/>
      <w:numFmt w:val="decimal"/>
      <w:lvlText w:val="%7."/>
      <w:lvlJc w:val="left"/>
      <w:pPr>
        <w:ind w:left="6105" w:hanging="360"/>
      </w:pPr>
    </w:lvl>
    <w:lvl w:ilvl="7" w:tplc="040C0019" w:tentative="1">
      <w:start w:val="1"/>
      <w:numFmt w:val="lowerLetter"/>
      <w:lvlText w:val="%8."/>
      <w:lvlJc w:val="left"/>
      <w:pPr>
        <w:ind w:left="6825" w:hanging="360"/>
      </w:pPr>
    </w:lvl>
    <w:lvl w:ilvl="8" w:tplc="040C001B" w:tentative="1">
      <w:start w:val="1"/>
      <w:numFmt w:val="lowerRoman"/>
      <w:lvlText w:val="%9."/>
      <w:lvlJc w:val="right"/>
      <w:pPr>
        <w:ind w:left="7545" w:hanging="180"/>
      </w:pPr>
    </w:lvl>
  </w:abstractNum>
  <w:abstractNum w:abstractNumId="51" w15:restartNumberingAfterBreak="0">
    <w:nsid w:val="192E3456"/>
    <w:multiLevelType w:val="hybridMultilevel"/>
    <w:tmpl w:val="E8DE1C12"/>
    <w:lvl w:ilvl="0" w:tplc="F7DC55BA">
      <w:numFmt w:val="bullet"/>
      <w:lvlText w:val="-"/>
      <w:lvlJc w:val="left"/>
      <w:pPr>
        <w:ind w:left="720" w:hanging="360"/>
      </w:pPr>
      <w:rPr>
        <w:rFonts w:ascii="Calibri" w:eastAsia="Times New Roman"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194656F6"/>
    <w:multiLevelType w:val="hybridMultilevel"/>
    <w:tmpl w:val="3D96261E"/>
    <w:lvl w:ilvl="0" w:tplc="0E400280">
      <w:numFmt w:val="bullet"/>
      <w:lvlText w:val="-"/>
      <w:lvlJc w:val="left"/>
      <w:pPr>
        <w:ind w:left="1068" w:hanging="360"/>
      </w:pPr>
      <w:rPr>
        <w:rFonts w:ascii="Bookman Old Style" w:eastAsiaTheme="minorHAnsi" w:hAnsi="Bookman Old Style"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3" w15:restartNumberingAfterBreak="0">
    <w:nsid w:val="19964ABD"/>
    <w:multiLevelType w:val="multilevel"/>
    <w:tmpl w:val="E578C340"/>
    <w:lvl w:ilvl="0">
      <w:start w:val="2"/>
      <w:numFmt w:val="decimal"/>
      <w:lvlText w:val="%1."/>
      <w:lvlJc w:val="left"/>
      <w:pPr>
        <w:ind w:left="400" w:hanging="40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1080" w:hanging="1080"/>
      </w:pPr>
      <w:rPr>
        <w:rFonts w:hint="default"/>
        <w:b w:val="0"/>
      </w:rPr>
    </w:lvl>
    <w:lvl w:ilvl="3">
      <w:start w:val="1"/>
      <w:numFmt w:val="decimal"/>
      <w:lvlText w:val="%1.%2.%3.%4."/>
      <w:lvlJc w:val="left"/>
      <w:pPr>
        <w:ind w:left="1440" w:hanging="144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800" w:hanging="1800"/>
      </w:pPr>
      <w:rPr>
        <w:rFonts w:hint="default"/>
        <w:b w:val="0"/>
      </w:rPr>
    </w:lvl>
    <w:lvl w:ilvl="6">
      <w:start w:val="1"/>
      <w:numFmt w:val="decimal"/>
      <w:lvlText w:val="%1.%2.%3.%4.%5.%6.%7."/>
      <w:lvlJc w:val="left"/>
      <w:pPr>
        <w:ind w:left="2160" w:hanging="2160"/>
      </w:pPr>
      <w:rPr>
        <w:rFonts w:hint="default"/>
        <w:b w:val="0"/>
      </w:rPr>
    </w:lvl>
    <w:lvl w:ilvl="7">
      <w:start w:val="1"/>
      <w:numFmt w:val="decimal"/>
      <w:lvlText w:val="%1.%2.%3.%4.%5.%6.%7.%8."/>
      <w:lvlJc w:val="left"/>
      <w:pPr>
        <w:ind w:left="2520" w:hanging="2520"/>
      </w:pPr>
      <w:rPr>
        <w:rFonts w:hint="default"/>
        <w:b w:val="0"/>
      </w:rPr>
    </w:lvl>
    <w:lvl w:ilvl="8">
      <w:start w:val="1"/>
      <w:numFmt w:val="decimal"/>
      <w:lvlText w:val="%1.%2.%3.%4.%5.%6.%7.%8.%9."/>
      <w:lvlJc w:val="left"/>
      <w:pPr>
        <w:ind w:left="2520" w:hanging="2520"/>
      </w:pPr>
      <w:rPr>
        <w:rFonts w:hint="default"/>
        <w:b w:val="0"/>
      </w:rPr>
    </w:lvl>
  </w:abstractNum>
  <w:abstractNum w:abstractNumId="54" w15:restartNumberingAfterBreak="0">
    <w:nsid w:val="19C851B9"/>
    <w:multiLevelType w:val="hybridMultilevel"/>
    <w:tmpl w:val="CCE298D8"/>
    <w:lvl w:ilvl="0" w:tplc="EBD4A1DE">
      <w:start w:val="1"/>
      <w:numFmt w:val="lowerLetter"/>
      <w:lvlText w:val="%1)"/>
      <w:lvlJc w:val="left"/>
      <w:pPr>
        <w:ind w:left="1069"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19F2061F"/>
    <w:multiLevelType w:val="hybridMultilevel"/>
    <w:tmpl w:val="1C72C44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1D184E06"/>
    <w:multiLevelType w:val="hybridMultilevel"/>
    <w:tmpl w:val="E63632F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1D1B55EC"/>
    <w:multiLevelType w:val="hybridMultilevel"/>
    <w:tmpl w:val="02748B02"/>
    <w:lvl w:ilvl="0" w:tplc="4B3E080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1D1C79D7"/>
    <w:multiLevelType w:val="hybridMultilevel"/>
    <w:tmpl w:val="05B06E7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1D784BDC"/>
    <w:multiLevelType w:val="hybridMultilevel"/>
    <w:tmpl w:val="E5E8B396"/>
    <w:lvl w:ilvl="0" w:tplc="06D8F878">
      <w:start w:val="1"/>
      <w:numFmt w:val="lowerLetter"/>
      <w:lvlText w:val="%1)"/>
      <w:lvlJc w:val="left"/>
      <w:pPr>
        <w:ind w:left="870" w:hanging="425"/>
      </w:pPr>
      <w:rPr>
        <w:rFonts w:ascii="American Typewriter" w:eastAsia="American Typewriter" w:hAnsi="American Typewriter" w:hint="default"/>
        <w:w w:val="87"/>
        <w:sz w:val="24"/>
        <w:szCs w:val="24"/>
      </w:rPr>
    </w:lvl>
    <w:lvl w:ilvl="1" w:tplc="DBBEA2AC">
      <w:start w:val="1"/>
      <w:numFmt w:val="decimal"/>
      <w:lvlText w:val="%2."/>
      <w:lvlJc w:val="left"/>
      <w:pPr>
        <w:ind w:left="1153" w:hanging="425"/>
      </w:pPr>
      <w:rPr>
        <w:rFonts w:ascii="American Typewriter" w:eastAsia="American Typewriter" w:hAnsi="American Typewriter" w:hint="default"/>
        <w:w w:val="91"/>
        <w:sz w:val="24"/>
        <w:szCs w:val="24"/>
      </w:rPr>
    </w:lvl>
    <w:lvl w:ilvl="2" w:tplc="3DC0703C">
      <w:start w:val="1"/>
      <w:numFmt w:val="bullet"/>
      <w:lvlText w:val="•"/>
      <w:lvlJc w:val="left"/>
      <w:pPr>
        <w:ind w:left="2094" w:hanging="425"/>
      </w:pPr>
      <w:rPr>
        <w:rFonts w:hint="default"/>
      </w:rPr>
    </w:lvl>
    <w:lvl w:ilvl="3" w:tplc="28DCCDA0">
      <w:start w:val="1"/>
      <w:numFmt w:val="bullet"/>
      <w:lvlText w:val="•"/>
      <w:lvlJc w:val="left"/>
      <w:pPr>
        <w:ind w:left="3028" w:hanging="425"/>
      </w:pPr>
      <w:rPr>
        <w:rFonts w:hint="default"/>
      </w:rPr>
    </w:lvl>
    <w:lvl w:ilvl="4" w:tplc="06EA93AC">
      <w:start w:val="1"/>
      <w:numFmt w:val="bullet"/>
      <w:lvlText w:val="•"/>
      <w:lvlJc w:val="left"/>
      <w:pPr>
        <w:ind w:left="3962" w:hanging="425"/>
      </w:pPr>
      <w:rPr>
        <w:rFonts w:hint="default"/>
      </w:rPr>
    </w:lvl>
    <w:lvl w:ilvl="5" w:tplc="B35201AC">
      <w:start w:val="1"/>
      <w:numFmt w:val="bullet"/>
      <w:lvlText w:val="•"/>
      <w:lvlJc w:val="left"/>
      <w:pPr>
        <w:ind w:left="4896" w:hanging="425"/>
      </w:pPr>
      <w:rPr>
        <w:rFonts w:hint="default"/>
      </w:rPr>
    </w:lvl>
    <w:lvl w:ilvl="6" w:tplc="73DE871E">
      <w:start w:val="1"/>
      <w:numFmt w:val="bullet"/>
      <w:lvlText w:val="•"/>
      <w:lvlJc w:val="left"/>
      <w:pPr>
        <w:ind w:left="5830" w:hanging="425"/>
      </w:pPr>
      <w:rPr>
        <w:rFonts w:hint="default"/>
      </w:rPr>
    </w:lvl>
    <w:lvl w:ilvl="7" w:tplc="EA82FD46">
      <w:start w:val="1"/>
      <w:numFmt w:val="bullet"/>
      <w:lvlText w:val="•"/>
      <w:lvlJc w:val="left"/>
      <w:pPr>
        <w:ind w:left="6764" w:hanging="425"/>
      </w:pPr>
      <w:rPr>
        <w:rFonts w:hint="default"/>
      </w:rPr>
    </w:lvl>
    <w:lvl w:ilvl="8" w:tplc="F7589606">
      <w:start w:val="1"/>
      <w:numFmt w:val="bullet"/>
      <w:lvlText w:val="•"/>
      <w:lvlJc w:val="left"/>
      <w:pPr>
        <w:ind w:left="7698" w:hanging="425"/>
      </w:pPr>
      <w:rPr>
        <w:rFonts w:hint="default"/>
      </w:rPr>
    </w:lvl>
  </w:abstractNum>
  <w:abstractNum w:abstractNumId="60" w15:restartNumberingAfterBreak="0">
    <w:nsid w:val="1E973FB9"/>
    <w:multiLevelType w:val="hybridMultilevel"/>
    <w:tmpl w:val="BAE42C46"/>
    <w:lvl w:ilvl="0" w:tplc="4D2C1488">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15:restartNumberingAfterBreak="0">
    <w:nsid w:val="1EA856A7"/>
    <w:multiLevelType w:val="hybridMultilevel"/>
    <w:tmpl w:val="72DE13B4"/>
    <w:lvl w:ilvl="0" w:tplc="E6E80D6E">
      <w:start w:val="1"/>
      <w:numFmt w:val="bullet"/>
      <w:lvlText w:val="-"/>
      <w:lvlJc w:val="left"/>
      <w:pPr>
        <w:ind w:left="2065" w:hanging="360"/>
      </w:pPr>
      <w:rPr>
        <w:rFonts w:ascii="Tahoma" w:eastAsia="Times New Roman" w:hAnsi="Tahoma" w:cs="Tahoma" w:hint="default"/>
      </w:rPr>
    </w:lvl>
    <w:lvl w:ilvl="1" w:tplc="040C0003">
      <w:start w:val="1"/>
      <w:numFmt w:val="bullet"/>
      <w:lvlText w:val="o"/>
      <w:lvlJc w:val="left"/>
      <w:pPr>
        <w:ind w:left="2785" w:hanging="360"/>
      </w:pPr>
      <w:rPr>
        <w:rFonts w:ascii="Courier New" w:hAnsi="Courier New" w:cs="Courier New" w:hint="default"/>
      </w:rPr>
    </w:lvl>
    <w:lvl w:ilvl="2" w:tplc="040C0005" w:tentative="1">
      <w:start w:val="1"/>
      <w:numFmt w:val="bullet"/>
      <w:lvlText w:val=""/>
      <w:lvlJc w:val="left"/>
      <w:pPr>
        <w:ind w:left="3505" w:hanging="360"/>
      </w:pPr>
      <w:rPr>
        <w:rFonts w:ascii="Wingdings" w:hAnsi="Wingdings" w:hint="default"/>
      </w:rPr>
    </w:lvl>
    <w:lvl w:ilvl="3" w:tplc="040C0001" w:tentative="1">
      <w:start w:val="1"/>
      <w:numFmt w:val="bullet"/>
      <w:lvlText w:val=""/>
      <w:lvlJc w:val="left"/>
      <w:pPr>
        <w:ind w:left="4225" w:hanging="360"/>
      </w:pPr>
      <w:rPr>
        <w:rFonts w:ascii="Symbol" w:hAnsi="Symbol" w:hint="default"/>
      </w:rPr>
    </w:lvl>
    <w:lvl w:ilvl="4" w:tplc="040C0003" w:tentative="1">
      <w:start w:val="1"/>
      <w:numFmt w:val="bullet"/>
      <w:lvlText w:val="o"/>
      <w:lvlJc w:val="left"/>
      <w:pPr>
        <w:ind w:left="4945" w:hanging="360"/>
      </w:pPr>
      <w:rPr>
        <w:rFonts w:ascii="Courier New" w:hAnsi="Courier New" w:cs="Courier New" w:hint="default"/>
      </w:rPr>
    </w:lvl>
    <w:lvl w:ilvl="5" w:tplc="040C0005" w:tentative="1">
      <w:start w:val="1"/>
      <w:numFmt w:val="bullet"/>
      <w:lvlText w:val=""/>
      <w:lvlJc w:val="left"/>
      <w:pPr>
        <w:ind w:left="5665" w:hanging="360"/>
      </w:pPr>
      <w:rPr>
        <w:rFonts w:ascii="Wingdings" w:hAnsi="Wingdings" w:hint="default"/>
      </w:rPr>
    </w:lvl>
    <w:lvl w:ilvl="6" w:tplc="040C0001" w:tentative="1">
      <w:start w:val="1"/>
      <w:numFmt w:val="bullet"/>
      <w:lvlText w:val=""/>
      <w:lvlJc w:val="left"/>
      <w:pPr>
        <w:ind w:left="6385" w:hanging="360"/>
      </w:pPr>
      <w:rPr>
        <w:rFonts w:ascii="Symbol" w:hAnsi="Symbol" w:hint="default"/>
      </w:rPr>
    </w:lvl>
    <w:lvl w:ilvl="7" w:tplc="040C0003" w:tentative="1">
      <w:start w:val="1"/>
      <w:numFmt w:val="bullet"/>
      <w:lvlText w:val="o"/>
      <w:lvlJc w:val="left"/>
      <w:pPr>
        <w:ind w:left="7105" w:hanging="360"/>
      </w:pPr>
      <w:rPr>
        <w:rFonts w:ascii="Courier New" w:hAnsi="Courier New" w:cs="Courier New" w:hint="default"/>
      </w:rPr>
    </w:lvl>
    <w:lvl w:ilvl="8" w:tplc="040C0005" w:tentative="1">
      <w:start w:val="1"/>
      <w:numFmt w:val="bullet"/>
      <w:lvlText w:val=""/>
      <w:lvlJc w:val="left"/>
      <w:pPr>
        <w:ind w:left="7825" w:hanging="360"/>
      </w:pPr>
      <w:rPr>
        <w:rFonts w:ascii="Wingdings" w:hAnsi="Wingdings" w:hint="default"/>
      </w:rPr>
    </w:lvl>
  </w:abstractNum>
  <w:abstractNum w:abstractNumId="62" w15:restartNumberingAfterBreak="0">
    <w:nsid w:val="1FEF445B"/>
    <w:multiLevelType w:val="hybridMultilevel"/>
    <w:tmpl w:val="27BA77FA"/>
    <w:lvl w:ilvl="0" w:tplc="040C001B">
      <w:start w:val="1"/>
      <w:numFmt w:val="lowerRoman"/>
      <w:lvlText w:val="%1."/>
      <w:lvlJc w:val="right"/>
      <w:pPr>
        <w:ind w:left="945" w:hanging="360"/>
      </w:pPr>
    </w:lvl>
    <w:lvl w:ilvl="1" w:tplc="040C0019" w:tentative="1">
      <w:start w:val="1"/>
      <w:numFmt w:val="lowerLetter"/>
      <w:lvlText w:val="%2."/>
      <w:lvlJc w:val="left"/>
      <w:pPr>
        <w:ind w:left="1665" w:hanging="360"/>
      </w:pPr>
    </w:lvl>
    <w:lvl w:ilvl="2" w:tplc="040C001B" w:tentative="1">
      <w:start w:val="1"/>
      <w:numFmt w:val="lowerRoman"/>
      <w:lvlText w:val="%3."/>
      <w:lvlJc w:val="right"/>
      <w:pPr>
        <w:ind w:left="2385" w:hanging="180"/>
      </w:pPr>
    </w:lvl>
    <w:lvl w:ilvl="3" w:tplc="040C000F" w:tentative="1">
      <w:start w:val="1"/>
      <w:numFmt w:val="decimal"/>
      <w:lvlText w:val="%4."/>
      <w:lvlJc w:val="left"/>
      <w:pPr>
        <w:ind w:left="3105" w:hanging="360"/>
      </w:pPr>
    </w:lvl>
    <w:lvl w:ilvl="4" w:tplc="040C0019" w:tentative="1">
      <w:start w:val="1"/>
      <w:numFmt w:val="lowerLetter"/>
      <w:lvlText w:val="%5."/>
      <w:lvlJc w:val="left"/>
      <w:pPr>
        <w:ind w:left="3825" w:hanging="360"/>
      </w:pPr>
    </w:lvl>
    <w:lvl w:ilvl="5" w:tplc="040C001B" w:tentative="1">
      <w:start w:val="1"/>
      <w:numFmt w:val="lowerRoman"/>
      <w:lvlText w:val="%6."/>
      <w:lvlJc w:val="right"/>
      <w:pPr>
        <w:ind w:left="4545" w:hanging="180"/>
      </w:pPr>
    </w:lvl>
    <w:lvl w:ilvl="6" w:tplc="040C000F" w:tentative="1">
      <w:start w:val="1"/>
      <w:numFmt w:val="decimal"/>
      <w:lvlText w:val="%7."/>
      <w:lvlJc w:val="left"/>
      <w:pPr>
        <w:ind w:left="5265" w:hanging="360"/>
      </w:pPr>
    </w:lvl>
    <w:lvl w:ilvl="7" w:tplc="040C0019" w:tentative="1">
      <w:start w:val="1"/>
      <w:numFmt w:val="lowerLetter"/>
      <w:lvlText w:val="%8."/>
      <w:lvlJc w:val="left"/>
      <w:pPr>
        <w:ind w:left="5985" w:hanging="360"/>
      </w:pPr>
    </w:lvl>
    <w:lvl w:ilvl="8" w:tplc="040C001B" w:tentative="1">
      <w:start w:val="1"/>
      <w:numFmt w:val="lowerRoman"/>
      <w:lvlText w:val="%9."/>
      <w:lvlJc w:val="right"/>
      <w:pPr>
        <w:ind w:left="6705" w:hanging="180"/>
      </w:pPr>
    </w:lvl>
  </w:abstractNum>
  <w:abstractNum w:abstractNumId="63" w15:restartNumberingAfterBreak="0">
    <w:nsid w:val="21014C43"/>
    <w:multiLevelType w:val="hybridMultilevel"/>
    <w:tmpl w:val="DE785F9E"/>
    <w:lvl w:ilvl="0" w:tplc="829E4564">
      <w:start w:val="4"/>
      <w:numFmt w:val="bullet"/>
      <w:lvlText w:val="-"/>
      <w:lvlJc w:val="left"/>
      <w:pPr>
        <w:ind w:left="720" w:hanging="360"/>
      </w:pPr>
      <w:rPr>
        <w:rFonts w:ascii="Bookman Old Style" w:eastAsia="Times New Roman" w:hAnsi="Bookman Old Styl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21770EA5"/>
    <w:multiLevelType w:val="hybridMultilevel"/>
    <w:tmpl w:val="C4E87EB8"/>
    <w:lvl w:ilvl="0" w:tplc="040C0017">
      <w:start w:val="1"/>
      <w:numFmt w:val="lowerLetter"/>
      <w:lvlText w:val="%1)"/>
      <w:lvlJc w:val="left"/>
      <w:pPr>
        <w:ind w:left="1287" w:hanging="360"/>
      </w:pPr>
    </w:lvl>
    <w:lvl w:ilvl="1" w:tplc="040C0017">
      <w:start w:val="1"/>
      <w:numFmt w:val="lowerLetter"/>
      <w:lvlText w:val="%2)"/>
      <w:lvlJc w:val="left"/>
      <w:pPr>
        <w:ind w:left="2007" w:hanging="360"/>
      </w:pPr>
    </w:lvl>
    <w:lvl w:ilvl="2" w:tplc="040C001B">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65" w15:restartNumberingAfterBreak="0">
    <w:nsid w:val="21950D08"/>
    <w:multiLevelType w:val="hybridMultilevel"/>
    <w:tmpl w:val="35F8BB5C"/>
    <w:lvl w:ilvl="0" w:tplc="8C62F48C">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2290213A"/>
    <w:multiLevelType w:val="hybridMultilevel"/>
    <w:tmpl w:val="BEDC8106"/>
    <w:lvl w:ilvl="0" w:tplc="4B3E080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22FB242B"/>
    <w:multiLevelType w:val="hybridMultilevel"/>
    <w:tmpl w:val="87BA6C3C"/>
    <w:lvl w:ilvl="0" w:tplc="829E4564">
      <w:start w:val="4"/>
      <w:numFmt w:val="bullet"/>
      <w:lvlText w:val="-"/>
      <w:lvlJc w:val="left"/>
      <w:pPr>
        <w:ind w:left="720" w:hanging="360"/>
      </w:pPr>
      <w:rPr>
        <w:rFonts w:ascii="Bookman Old Style" w:eastAsia="Times New Roman" w:hAnsi="Bookman Old Styl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232D34C9"/>
    <w:multiLevelType w:val="hybridMultilevel"/>
    <w:tmpl w:val="EA64B4F4"/>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15:restartNumberingAfterBreak="0">
    <w:nsid w:val="23732A35"/>
    <w:multiLevelType w:val="hybridMultilevel"/>
    <w:tmpl w:val="CBE0E20A"/>
    <w:lvl w:ilvl="0" w:tplc="FFFFFFFF">
      <w:start w:val="1"/>
      <w:numFmt w:val="lowerLetter"/>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0" w15:restartNumberingAfterBreak="0">
    <w:nsid w:val="238E4A54"/>
    <w:multiLevelType w:val="hybridMultilevel"/>
    <w:tmpl w:val="69401D38"/>
    <w:lvl w:ilvl="0" w:tplc="7702144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15:restartNumberingAfterBreak="0">
    <w:nsid w:val="23C75323"/>
    <w:multiLevelType w:val="hybridMultilevel"/>
    <w:tmpl w:val="3CEEC5C6"/>
    <w:lvl w:ilvl="0" w:tplc="F2E4CBD2">
      <w:start w:val="5"/>
      <w:numFmt w:val="bullet"/>
      <w:lvlText w:val="-"/>
      <w:lvlJc w:val="left"/>
      <w:pPr>
        <w:ind w:left="720" w:hanging="360"/>
      </w:pPr>
      <w:rPr>
        <w:rFonts w:ascii="Arial" w:eastAsia="EUAlbertina-Regular-Identity-H"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24492F63"/>
    <w:multiLevelType w:val="hybridMultilevel"/>
    <w:tmpl w:val="59D4B71E"/>
    <w:lvl w:ilvl="0" w:tplc="9976F42E">
      <w:start w:val="1"/>
      <w:numFmt w:val="lowerLetter"/>
      <w:lvlText w:val="%1)"/>
      <w:lvlJc w:val="left"/>
      <w:pPr>
        <w:ind w:left="1153" w:hanging="425"/>
      </w:pPr>
      <w:rPr>
        <w:rFonts w:ascii="American Typewriter" w:eastAsia="American Typewriter" w:hAnsi="American Typewriter" w:hint="default"/>
        <w:w w:val="87"/>
        <w:sz w:val="24"/>
        <w:szCs w:val="24"/>
      </w:rPr>
    </w:lvl>
    <w:lvl w:ilvl="1" w:tplc="3D9CF0EC">
      <w:start w:val="1"/>
      <w:numFmt w:val="bullet"/>
      <w:lvlText w:val="•"/>
      <w:lvlJc w:val="left"/>
      <w:pPr>
        <w:ind w:left="2000" w:hanging="425"/>
      </w:pPr>
      <w:rPr>
        <w:rFonts w:hint="default"/>
      </w:rPr>
    </w:lvl>
    <w:lvl w:ilvl="2" w:tplc="2BACB1DE">
      <w:start w:val="1"/>
      <w:numFmt w:val="bullet"/>
      <w:lvlText w:val="•"/>
      <w:lvlJc w:val="left"/>
      <w:pPr>
        <w:ind w:left="2841" w:hanging="425"/>
      </w:pPr>
      <w:rPr>
        <w:rFonts w:hint="default"/>
      </w:rPr>
    </w:lvl>
    <w:lvl w:ilvl="3" w:tplc="03CE636A">
      <w:start w:val="1"/>
      <w:numFmt w:val="bullet"/>
      <w:lvlText w:val="•"/>
      <w:lvlJc w:val="left"/>
      <w:pPr>
        <w:ind w:left="3681" w:hanging="425"/>
      </w:pPr>
      <w:rPr>
        <w:rFonts w:hint="default"/>
      </w:rPr>
    </w:lvl>
    <w:lvl w:ilvl="4" w:tplc="7090BE9E">
      <w:start w:val="1"/>
      <w:numFmt w:val="bullet"/>
      <w:lvlText w:val="•"/>
      <w:lvlJc w:val="left"/>
      <w:pPr>
        <w:ind w:left="4522" w:hanging="425"/>
      </w:pPr>
      <w:rPr>
        <w:rFonts w:hint="default"/>
      </w:rPr>
    </w:lvl>
    <w:lvl w:ilvl="5" w:tplc="31BA3CBA">
      <w:start w:val="1"/>
      <w:numFmt w:val="bullet"/>
      <w:lvlText w:val="•"/>
      <w:lvlJc w:val="left"/>
      <w:pPr>
        <w:ind w:left="5363" w:hanging="425"/>
      </w:pPr>
      <w:rPr>
        <w:rFonts w:hint="default"/>
      </w:rPr>
    </w:lvl>
    <w:lvl w:ilvl="6" w:tplc="2F2E3CDE">
      <w:start w:val="1"/>
      <w:numFmt w:val="bullet"/>
      <w:lvlText w:val="•"/>
      <w:lvlJc w:val="left"/>
      <w:pPr>
        <w:ind w:left="6203" w:hanging="425"/>
      </w:pPr>
      <w:rPr>
        <w:rFonts w:hint="default"/>
      </w:rPr>
    </w:lvl>
    <w:lvl w:ilvl="7" w:tplc="7A800982">
      <w:start w:val="1"/>
      <w:numFmt w:val="bullet"/>
      <w:lvlText w:val="•"/>
      <w:lvlJc w:val="left"/>
      <w:pPr>
        <w:ind w:left="7044" w:hanging="425"/>
      </w:pPr>
      <w:rPr>
        <w:rFonts w:hint="default"/>
      </w:rPr>
    </w:lvl>
    <w:lvl w:ilvl="8" w:tplc="1D0E19BA">
      <w:start w:val="1"/>
      <w:numFmt w:val="bullet"/>
      <w:lvlText w:val="•"/>
      <w:lvlJc w:val="left"/>
      <w:pPr>
        <w:ind w:left="7885" w:hanging="425"/>
      </w:pPr>
      <w:rPr>
        <w:rFonts w:hint="default"/>
      </w:rPr>
    </w:lvl>
  </w:abstractNum>
  <w:abstractNum w:abstractNumId="73" w15:restartNumberingAfterBreak="0">
    <w:nsid w:val="2471324C"/>
    <w:multiLevelType w:val="hybridMultilevel"/>
    <w:tmpl w:val="750A7CD0"/>
    <w:lvl w:ilvl="0" w:tplc="B388F3E6">
      <w:start w:val="1"/>
      <w:numFmt w:val="lowerLetter"/>
      <w:lvlText w:val="%1)"/>
      <w:lvlJc w:val="left"/>
      <w:pPr>
        <w:ind w:left="1153" w:hanging="425"/>
      </w:pPr>
      <w:rPr>
        <w:rFonts w:ascii="American Typewriter" w:eastAsia="American Typewriter" w:hAnsi="American Typewriter" w:hint="default"/>
        <w:w w:val="87"/>
        <w:sz w:val="24"/>
        <w:szCs w:val="24"/>
      </w:rPr>
    </w:lvl>
    <w:lvl w:ilvl="1" w:tplc="40AA2B40">
      <w:start w:val="1"/>
      <w:numFmt w:val="bullet"/>
      <w:lvlText w:val="•"/>
      <w:lvlJc w:val="left"/>
      <w:pPr>
        <w:ind w:left="2000" w:hanging="425"/>
      </w:pPr>
      <w:rPr>
        <w:rFonts w:hint="default"/>
      </w:rPr>
    </w:lvl>
    <w:lvl w:ilvl="2" w:tplc="A196728C">
      <w:start w:val="1"/>
      <w:numFmt w:val="bullet"/>
      <w:lvlText w:val="•"/>
      <w:lvlJc w:val="left"/>
      <w:pPr>
        <w:ind w:left="2841" w:hanging="425"/>
      </w:pPr>
      <w:rPr>
        <w:rFonts w:hint="default"/>
      </w:rPr>
    </w:lvl>
    <w:lvl w:ilvl="3" w:tplc="FB34818C">
      <w:start w:val="1"/>
      <w:numFmt w:val="bullet"/>
      <w:lvlText w:val="•"/>
      <w:lvlJc w:val="left"/>
      <w:pPr>
        <w:ind w:left="3681" w:hanging="425"/>
      </w:pPr>
      <w:rPr>
        <w:rFonts w:hint="default"/>
      </w:rPr>
    </w:lvl>
    <w:lvl w:ilvl="4" w:tplc="63A40EFA">
      <w:start w:val="1"/>
      <w:numFmt w:val="bullet"/>
      <w:lvlText w:val="•"/>
      <w:lvlJc w:val="left"/>
      <w:pPr>
        <w:ind w:left="4522" w:hanging="425"/>
      </w:pPr>
      <w:rPr>
        <w:rFonts w:hint="default"/>
      </w:rPr>
    </w:lvl>
    <w:lvl w:ilvl="5" w:tplc="DE9A4B58">
      <w:start w:val="1"/>
      <w:numFmt w:val="bullet"/>
      <w:lvlText w:val="•"/>
      <w:lvlJc w:val="left"/>
      <w:pPr>
        <w:ind w:left="5363" w:hanging="425"/>
      </w:pPr>
      <w:rPr>
        <w:rFonts w:hint="default"/>
      </w:rPr>
    </w:lvl>
    <w:lvl w:ilvl="6" w:tplc="D3AE602A">
      <w:start w:val="1"/>
      <w:numFmt w:val="bullet"/>
      <w:lvlText w:val="•"/>
      <w:lvlJc w:val="left"/>
      <w:pPr>
        <w:ind w:left="6203" w:hanging="425"/>
      </w:pPr>
      <w:rPr>
        <w:rFonts w:hint="default"/>
      </w:rPr>
    </w:lvl>
    <w:lvl w:ilvl="7" w:tplc="9F64304E">
      <w:start w:val="1"/>
      <w:numFmt w:val="bullet"/>
      <w:lvlText w:val="•"/>
      <w:lvlJc w:val="left"/>
      <w:pPr>
        <w:ind w:left="7044" w:hanging="425"/>
      </w:pPr>
      <w:rPr>
        <w:rFonts w:hint="default"/>
      </w:rPr>
    </w:lvl>
    <w:lvl w:ilvl="8" w:tplc="8732FBE2">
      <w:start w:val="1"/>
      <w:numFmt w:val="bullet"/>
      <w:lvlText w:val="•"/>
      <w:lvlJc w:val="left"/>
      <w:pPr>
        <w:ind w:left="7885" w:hanging="425"/>
      </w:pPr>
      <w:rPr>
        <w:rFonts w:hint="default"/>
      </w:rPr>
    </w:lvl>
  </w:abstractNum>
  <w:abstractNum w:abstractNumId="74" w15:restartNumberingAfterBreak="0">
    <w:nsid w:val="25001895"/>
    <w:multiLevelType w:val="hybridMultilevel"/>
    <w:tmpl w:val="844A7CF2"/>
    <w:lvl w:ilvl="0" w:tplc="4D2C1488">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15:restartNumberingAfterBreak="0">
    <w:nsid w:val="27D848D5"/>
    <w:multiLevelType w:val="hybridMultilevel"/>
    <w:tmpl w:val="8BE658F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15:restartNumberingAfterBreak="0">
    <w:nsid w:val="289523F4"/>
    <w:multiLevelType w:val="hybridMultilevel"/>
    <w:tmpl w:val="646864A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15:restartNumberingAfterBreak="0">
    <w:nsid w:val="29A439EE"/>
    <w:multiLevelType w:val="hybridMultilevel"/>
    <w:tmpl w:val="5860B6DA"/>
    <w:lvl w:ilvl="0" w:tplc="A70C0E84">
      <w:start w:val="26"/>
      <w:numFmt w:val="bullet"/>
      <w:lvlText w:val="-"/>
      <w:lvlJc w:val="left"/>
      <w:pPr>
        <w:ind w:left="720" w:hanging="360"/>
      </w:pPr>
      <w:rPr>
        <w:rFonts w:ascii="Arial" w:eastAsia="Times New Roman" w:hAnsi="Arial" w:cs="Arial" w:hint="default"/>
      </w:rPr>
    </w:lvl>
    <w:lvl w:ilvl="1" w:tplc="A70C0E84">
      <w:start w:val="26"/>
      <w:numFmt w:val="bullet"/>
      <w:lvlText w:val="-"/>
      <w:lvlJc w:val="left"/>
      <w:pPr>
        <w:ind w:left="1440" w:hanging="360"/>
      </w:pPr>
      <w:rPr>
        <w:rFonts w:ascii="Arial" w:eastAsia="Times New Roman" w:hAnsi="Arial" w:cs="Aria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15:restartNumberingAfterBreak="0">
    <w:nsid w:val="2B353AF4"/>
    <w:multiLevelType w:val="hybridMultilevel"/>
    <w:tmpl w:val="A56A5E70"/>
    <w:lvl w:ilvl="0" w:tplc="42CAA20A">
      <w:start w:val="1"/>
      <w:numFmt w:val="decimal"/>
      <w:lvlText w:val="(%1)"/>
      <w:lvlJc w:val="left"/>
      <w:pPr>
        <w:ind w:left="720" w:hanging="360"/>
      </w:pPr>
      <w:rPr>
        <w:rFonts w:hint="default"/>
        <w:vertAlign w:val="superscrip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 w15:restartNumberingAfterBreak="0">
    <w:nsid w:val="2B383D85"/>
    <w:multiLevelType w:val="hybridMultilevel"/>
    <w:tmpl w:val="0F74554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 w15:restartNumberingAfterBreak="0">
    <w:nsid w:val="2BA04614"/>
    <w:multiLevelType w:val="hybridMultilevel"/>
    <w:tmpl w:val="6C7C2886"/>
    <w:lvl w:ilvl="0" w:tplc="8C62F48C">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2C492542"/>
    <w:multiLevelType w:val="hybridMultilevel"/>
    <w:tmpl w:val="F52EA7DE"/>
    <w:lvl w:ilvl="0" w:tplc="9BEC19EA">
      <w:start w:val="1"/>
      <w:numFmt w:val="lowerLetter"/>
      <w:lvlText w:val="%1)"/>
      <w:lvlJc w:val="left"/>
      <w:pPr>
        <w:ind w:left="720" w:hanging="360"/>
      </w:pPr>
      <w:rPr>
        <w:rFonts w:ascii="American Typewriter" w:eastAsia="American Typewriter" w:hAnsi="American Typewriter" w:hint="default"/>
        <w:w w:val="87"/>
        <w:sz w:val="24"/>
        <w:szCs w:val="24"/>
      </w:rPr>
    </w:lvl>
    <w:lvl w:ilvl="1" w:tplc="6690FDC6">
      <w:start w:val="1"/>
      <w:numFmt w:val="decimal"/>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 w15:restartNumberingAfterBreak="0">
    <w:nsid w:val="2F1624FE"/>
    <w:multiLevelType w:val="hybridMultilevel"/>
    <w:tmpl w:val="D7905BDE"/>
    <w:lvl w:ilvl="0" w:tplc="8C62F48C">
      <w:start w:val="3"/>
      <w:numFmt w:val="bullet"/>
      <w:lvlText w:val="-"/>
      <w:lvlJc w:val="left"/>
      <w:pPr>
        <w:ind w:left="716" w:hanging="360"/>
      </w:pPr>
      <w:rPr>
        <w:rFonts w:ascii="Times New Roman" w:eastAsia="Times New Roman" w:hAnsi="Times New Roman" w:cs="Times New Roman" w:hint="default"/>
      </w:rPr>
    </w:lvl>
    <w:lvl w:ilvl="1" w:tplc="040C0003" w:tentative="1">
      <w:start w:val="1"/>
      <w:numFmt w:val="bullet"/>
      <w:lvlText w:val="o"/>
      <w:lvlJc w:val="left"/>
      <w:pPr>
        <w:ind w:left="1436" w:hanging="360"/>
      </w:pPr>
      <w:rPr>
        <w:rFonts w:ascii="Courier New" w:hAnsi="Courier New" w:cs="Courier New" w:hint="default"/>
      </w:rPr>
    </w:lvl>
    <w:lvl w:ilvl="2" w:tplc="040C0005" w:tentative="1">
      <w:start w:val="1"/>
      <w:numFmt w:val="bullet"/>
      <w:lvlText w:val=""/>
      <w:lvlJc w:val="left"/>
      <w:pPr>
        <w:ind w:left="2156" w:hanging="360"/>
      </w:pPr>
      <w:rPr>
        <w:rFonts w:ascii="Wingdings" w:hAnsi="Wingdings" w:hint="default"/>
      </w:rPr>
    </w:lvl>
    <w:lvl w:ilvl="3" w:tplc="040C0001" w:tentative="1">
      <w:start w:val="1"/>
      <w:numFmt w:val="bullet"/>
      <w:lvlText w:val=""/>
      <w:lvlJc w:val="left"/>
      <w:pPr>
        <w:ind w:left="2876" w:hanging="360"/>
      </w:pPr>
      <w:rPr>
        <w:rFonts w:ascii="Symbol" w:hAnsi="Symbol" w:hint="default"/>
      </w:rPr>
    </w:lvl>
    <w:lvl w:ilvl="4" w:tplc="040C0003" w:tentative="1">
      <w:start w:val="1"/>
      <w:numFmt w:val="bullet"/>
      <w:lvlText w:val="o"/>
      <w:lvlJc w:val="left"/>
      <w:pPr>
        <w:ind w:left="3596" w:hanging="360"/>
      </w:pPr>
      <w:rPr>
        <w:rFonts w:ascii="Courier New" w:hAnsi="Courier New" w:cs="Courier New" w:hint="default"/>
      </w:rPr>
    </w:lvl>
    <w:lvl w:ilvl="5" w:tplc="040C0005" w:tentative="1">
      <w:start w:val="1"/>
      <w:numFmt w:val="bullet"/>
      <w:lvlText w:val=""/>
      <w:lvlJc w:val="left"/>
      <w:pPr>
        <w:ind w:left="4316" w:hanging="360"/>
      </w:pPr>
      <w:rPr>
        <w:rFonts w:ascii="Wingdings" w:hAnsi="Wingdings" w:hint="default"/>
      </w:rPr>
    </w:lvl>
    <w:lvl w:ilvl="6" w:tplc="040C0001" w:tentative="1">
      <w:start w:val="1"/>
      <w:numFmt w:val="bullet"/>
      <w:lvlText w:val=""/>
      <w:lvlJc w:val="left"/>
      <w:pPr>
        <w:ind w:left="5036" w:hanging="360"/>
      </w:pPr>
      <w:rPr>
        <w:rFonts w:ascii="Symbol" w:hAnsi="Symbol" w:hint="default"/>
      </w:rPr>
    </w:lvl>
    <w:lvl w:ilvl="7" w:tplc="040C0003" w:tentative="1">
      <w:start w:val="1"/>
      <w:numFmt w:val="bullet"/>
      <w:lvlText w:val="o"/>
      <w:lvlJc w:val="left"/>
      <w:pPr>
        <w:ind w:left="5756" w:hanging="360"/>
      </w:pPr>
      <w:rPr>
        <w:rFonts w:ascii="Courier New" w:hAnsi="Courier New" w:cs="Courier New" w:hint="default"/>
      </w:rPr>
    </w:lvl>
    <w:lvl w:ilvl="8" w:tplc="040C0005" w:tentative="1">
      <w:start w:val="1"/>
      <w:numFmt w:val="bullet"/>
      <w:lvlText w:val=""/>
      <w:lvlJc w:val="left"/>
      <w:pPr>
        <w:ind w:left="6476" w:hanging="360"/>
      </w:pPr>
      <w:rPr>
        <w:rFonts w:ascii="Wingdings" w:hAnsi="Wingdings" w:hint="default"/>
      </w:rPr>
    </w:lvl>
  </w:abstractNum>
  <w:abstractNum w:abstractNumId="83" w15:restartNumberingAfterBreak="0">
    <w:nsid w:val="2F4D4898"/>
    <w:multiLevelType w:val="hybridMultilevel"/>
    <w:tmpl w:val="861EBA1E"/>
    <w:lvl w:ilvl="0" w:tplc="040C000F">
      <w:start w:val="1"/>
      <w:numFmt w:val="decimal"/>
      <w:lvlText w:val="%1."/>
      <w:lvlJc w:val="left"/>
      <w:pPr>
        <w:ind w:left="294" w:hanging="360"/>
      </w:pPr>
    </w:lvl>
    <w:lvl w:ilvl="1" w:tplc="040C0019" w:tentative="1">
      <w:start w:val="1"/>
      <w:numFmt w:val="lowerLetter"/>
      <w:lvlText w:val="%2."/>
      <w:lvlJc w:val="left"/>
      <w:pPr>
        <w:ind w:left="1014" w:hanging="360"/>
      </w:pPr>
    </w:lvl>
    <w:lvl w:ilvl="2" w:tplc="040C001B" w:tentative="1">
      <w:start w:val="1"/>
      <w:numFmt w:val="lowerRoman"/>
      <w:lvlText w:val="%3."/>
      <w:lvlJc w:val="right"/>
      <w:pPr>
        <w:ind w:left="1734" w:hanging="180"/>
      </w:pPr>
    </w:lvl>
    <w:lvl w:ilvl="3" w:tplc="040C000F" w:tentative="1">
      <w:start w:val="1"/>
      <w:numFmt w:val="decimal"/>
      <w:lvlText w:val="%4."/>
      <w:lvlJc w:val="left"/>
      <w:pPr>
        <w:ind w:left="2454" w:hanging="360"/>
      </w:pPr>
    </w:lvl>
    <w:lvl w:ilvl="4" w:tplc="040C0019" w:tentative="1">
      <w:start w:val="1"/>
      <w:numFmt w:val="lowerLetter"/>
      <w:lvlText w:val="%5."/>
      <w:lvlJc w:val="left"/>
      <w:pPr>
        <w:ind w:left="3174" w:hanging="360"/>
      </w:pPr>
    </w:lvl>
    <w:lvl w:ilvl="5" w:tplc="040C001B" w:tentative="1">
      <w:start w:val="1"/>
      <w:numFmt w:val="lowerRoman"/>
      <w:lvlText w:val="%6."/>
      <w:lvlJc w:val="right"/>
      <w:pPr>
        <w:ind w:left="3894" w:hanging="180"/>
      </w:pPr>
    </w:lvl>
    <w:lvl w:ilvl="6" w:tplc="040C000F" w:tentative="1">
      <w:start w:val="1"/>
      <w:numFmt w:val="decimal"/>
      <w:lvlText w:val="%7."/>
      <w:lvlJc w:val="left"/>
      <w:pPr>
        <w:ind w:left="4614" w:hanging="360"/>
      </w:pPr>
    </w:lvl>
    <w:lvl w:ilvl="7" w:tplc="040C0019" w:tentative="1">
      <w:start w:val="1"/>
      <w:numFmt w:val="lowerLetter"/>
      <w:lvlText w:val="%8."/>
      <w:lvlJc w:val="left"/>
      <w:pPr>
        <w:ind w:left="5334" w:hanging="360"/>
      </w:pPr>
    </w:lvl>
    <w:lvl w:ilvl="8" w:tplc="040C001B" w:tentative="1">
      <w:start w:val="1"/>
      <w:numFmt w:val="lowerRoman"/>
      <w:lvlText w:val="%9."/>
      <w:lvlJc w:val="right"/>
      <w:pPr>
        <w:ind w:left="6054" w:hanging="180"/>
      </w:pPr>
    </w:lvl>
  </w:abstractNum>
  <w:abstractNum w:abstractNumId="84" w15:restartNumberingAfterBreak="0">
    <w:nsid w:val="300F62B9"/>
    <w:multiLevelType w:val="hybridMultilevel"/>
    <w:tmpl w:val="CDA6CD5C"/>
    <w:lvl w:ilvl="0" w:tplc="040C0017">
      <w:start w:val="1"/>
      <w:numFmt w:val="lowerLetter"/>
      <w:lvlText w:val="%1)"/>
      <w:lvlJc w:val="left"/>
      <w:pPr>
        <w:tabs>
          <w:tab w:val="num" w:pos="720"/>
        </w:tabs>
        <w:ind w:left="720" w:hanging="360"/>
      </w:pPr>
      <w:rPr>
        <w:rFonts w:hint="default"/>
      </w:rPr>
    </w:lvl>
    <w:lvl w:ilvl="1" w:tplc="F3C0D848">
      <w:start w:val="1"/>
      <w:numFmt w:val="decimal"/>
      <w:lvlText w:val="%2."/>
      <w:lvlJc w:val="left"/>
      <w:pPr>
        <w:tabs>
          <w:tab w:val="num" w:pos="1440"/>
        </w:tabs>
        <w:ind w:left="1440" w:hanging="36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5" w15:restartNumberingAfterBreak="0">
    <w:nsid w:val="316D68A4"/>
    <w:multiLevelType w:val="hybridMultilevel"/>
    <w:tmpl w:val="5EC28BBC"/>
    <w:lvl w:ilvl="0" w:tplc="040C000F">
      <w:start w:val="1"/>
      <w:numFmt w:val="decimal"/>
      <w:lvlText w:val="%1."/>
      <w:lvlJc w:val="left"/>
      <w:pPr>
        <w:ind w:left="1812" w:hanging="360"/>
      </w:pPr>
    </w:lvl>
    <w:lvl w:ilvl="1" w:tplc="040C0019" w:tentative="1">
      <w:start w:val="1"/>
      <w:numFmt w:val="lowerLetter"/>
      <w:lvlText w:val="%2."/>
      <w:lvlJc w:val="left"/>
      <w:pPr>
        <w:ind w:left="2532" w:hanging="360"/>
      </w:pPr>
    </w:lvl>
    <w:lvl w:ilvl="2" w:tplc="040C001B" w:tentative="1">
      <w:start w:val="1"/>
      <w:numFmt w:val="lowerRoman"/>
      <w:lvlText w:val="%3."/>
      <w:lvlJc w:val="right"/>
      <w:pPr>
        <w:ind w:left="3252" w:hanging="180"/>
      </w:pPr>
    </w:lvl>
    <w:lvl w:ilvl="3" w:tplc="040C000F" w:tentative="1">
      <w:start w:val="1"/>
      <w:numFmt w:val="decimal"/>
      <w:lvlText w:val="%4."/>
      <w:lvlJc w:val="left"/>
      <w:pPr>
        <w:ind w:left="3972" w:hanging="360"/>
      </w:pPr>
    </w:lvl>
    <w:lvl w:ilvl="4" w:tplc="040C0019" w:tentative="1">
      <w:start w:val="1"/>
      <w:numFmt w:val="lowerLetter"/>
      <w:lvlText w:val="%5."/>
      <w:lvlJc w:val="left"/>
      <w:pPr>
        <w:ind w:left="4692" w:hanging="360"/>
      </w:pPr>
    </w:lvl>
    <w:lvl w:ilvl="5" w:tplc="040C001B" w:tentative="1">
      <w:start w:val="1"/>
      <w:numFmt w:val="lowerRoman"/>
      <w:lvlText w:val="%6."/>
      <w:lvlJc w:val="right"/>
      <w:pPr>
        <w:ind w:left="5412" w:hanging="180"/>
      </w:pPr>
    </w:lvl>
    <w:lvl w:ilvl="6" w:tplc="040C000F" w:tentative="1">
      <w:start w:val="1"/>
      <w:numFmt w:val="decimal"/>
      <w:lvlText w:val="%7."/>
      <w:lvlJc w:val="left"/>
      <w:pPr>
        <w:ind w:left="6132" w:hanging="360"/>
      </w:pPr>
    </w:lvl>
    <w:lvl w:ilvl="7" w:tplc="040C0019" w:tentative="1">
      <w:start w:val="1"/>
      <w:numFmt w:val="lowerLetter"/>
      <w:lvlText w:val="%8."/>
      <w:lvlJc w:val="left"/>
      <w:pPr>
        <w:ind w:left="6852" w:hanging="360"/>
      </w:pPr>
    </w:lvl>
    <w:lvl w:ilvl="8" w:tplc="040C001B" w:tentative="1">
      <w:start w:val="1"/>
      <w:numFmt w:val="lowerRoman"/>
      <w:lvlText w:val="%9."/>
      <w:lvlJc w:val="right"/>
      <w:pPr>
        <w:ind w:left="7572" w:hanging="180"/>
      </w:pPr>
    </w:lvl>
  </w:abstractNum>
  <w:abstractNum w:abstractNumId="86" w15:restartNumberingAfterBreak="0">
    <w:nsid w:val="31C92600"/>
    <w:multiLevelType w:val="hybridMultilevel"/>
    <w:tmpl w:val="2DA8EBDE"/>
    <w:lvl w:ilvl="0" w:tplc="93882E3C">
      <w:start w:val="2"/>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325C3D5B"/>
    <w:multiLevelType w:val="hybridMultilevel"/>
    <w:tmpl w:val="3352459E"/>
    <w:lvl w:ilvl="0" w:tplc="A70C0E84">
      <w:start w:val="26"/>
      <w:numFmt w:val="bullet"/>
      <w:lvlText w:val="-"/>
      <w:lvlJc w:val="left"/>
      <w:pPr>
        <w:ind w:left="1429" w:hanging="360"/>
      </w:pPr>
      <w:rPr>
        <w:rFonts w:ascii="Arial" w:eastAsia="Times New Roman" w:hAnsi="Arial" w:cs="Aria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88" w15:restartNumberingAfterBreak="0">
    <w:nsid w:val="35B358A0"/>
    <w:multiLevelType w:val="hybridMultilevel"/>
    <w:tmpl w:val="78723E6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9" w15:restartNumberingAfterBreak="0">
    <w:nsid w:val="368B43F2"/>
    <w:multiLevelType w:val="multilevel"/>
    <w:tmpl w:val="6AEECC26"/>
    <w:lvl w:ilvl="0">
      <w:start w:val="2"/>
      <w:numFmt w:val="decimal"/>
      <w:lvlText w:val="%1."/>
      <w:lvlJc w:val="left"/>
      <w:pPr>
        <w:ind w:left="460" w:hanging="460"/>
      </w:pPr>
      <w:rPr>
        <w:rFonts w:hint="default"/>
      </w:rPr>
    </w:lvl>
    <w:lvl w:ilvl="1">
      <w:start w:val="1"/>
      <w:numFmt w:val="decimal"/>
      <w:lvlText w:val="%1.%2."/>
      <w:lvlJc w:val="left"/>
      <w:pPr>
        <w:ind w:left="720" w:hanging="720"/>
      </w:pPr>
      <w:rPr>
        <w:rFonts w:hint="default"/>
        <w:b w:val="0"/>
        <w:bCs w:val="0"/>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90" w15:restartNumberingAfterBreak="0">
    <w:nsid w:val="371435BA"/>
    <w:multiLevelType w:val="hybridMultilevel"/>
    <w:tmpl w:val="D7AC9CB8"/>
    <w:lvl w:ilvl="0" w:tplc="A76696E0">
      <w:start w:val="1"/>
      <w:numFmt w:val="lowerLetter"/>
      <w:lvlText w:val="%1)"/>
      <w:lvlJc w:val="left"/>
      <w:pPr>
        <w:ind w:left="1153" w:hanging="425"/>
      </w:pPr>
      <w:rPr>
        <w:rFonts w:ascii="American Typewriter" w:eastAsia="American Typewriter" w:hAnsi="American Typewriter" w:hint="default"/>
        <w:w w:val="87"/>
        <w:sz w:val="24"/>
        <w:szCs w:val="24"/>
      </w:rPr>
    </w:lvl>
    <w:lvl w:ilvl="1" w:tplc="A0B8214A">
      <w:start w:val="1"/>
      <w:numFmt w:val="bullet"/>
      <w:lvlText w:val="•"/>
      <w:lvlJc w:val="left"/>
      <w:pPr>
        <w:ind w:left="2000" w:hanging="425"/>
      </w:pPr>
      <w:rPr>
        <w:rFonts w:hint="default"/>
      </w:rPr>
    </w:lvl>
    <w:lvl w:ilvl="2" w:tplc="7F602808">
      <w:start w:val="1"/>
      <w:numFmt w:val="bullet"/>
      <w:lvlText w:val="•"/>
      <w:lvlJc w:val="left"/>
      <w:pPr>
        <w:ind w:left="2841" w:hanging="425"/>
      </w:pPr>
      <w:rPr>
        <w:rFonts w:hint="default"/>
      </w:rPr>
    </w:lvl>
    <w:lvl w:ilvl="3" w:tplc="2904ED10">
      <w:start w:val="1"/>
      <w:numFmt w:val="bullet"/>
      <w:lvlText w:val="•"/>
      <w:lvlJc w:val="left"/>
      <w:pPr>
        <w:ind w:left="3681" w:hanging="425"/>
      </w:pPr>
      <w:rPr>
        <w:rFonts w:hint="default"/>
      </w:rPr>
    </w:lvl>
    <w:lvl w:ilvl="4" w:tplc="22B6F46C">
      <w:start w:val="1"/>
      <w:numFmt w:val="bullet"/>
      <w:lvlText w:val="•"/>
      <w:lvlJc w:val="left"/>
      <w:pPr>
        <w:ind w:left="4522" w:hanging="425"/>
      </w:pPr>
      <w:rPr>
        <w:rFonts w:hint="default"/>
      </w:rPr>
    </w:lvl>
    <w:lvl w:ilvl="5" w:tplc="6CB8390E">
      <w:start w:val="1"/>
      <w:numFmt w:val="bullet"/>
      <w:lvlText w:val="•"/>
      <w:lvlJc w:val="left"/>
      <w:pPr>
        <w:ind w:left="5363" w:hanging="425"/>
      </w:pPr>
      <w:rPr>
        <w:rFonts w:hint="default"/>
      </w:rPr>
    </w:lvl>
    <w:lvl w:ilvl="6" w:tplc="38569B9C">
      <w:start w:val="1"/>
      <w:numFmt w:val="bullet"/>
      <w:lvlText w:val="•"/>
      <w:lvlJc w:val="left"/>
      <w:pPr>
        <w:ind w:left="6203" w:hanging="425"/>
      </w:pPr>
      <w:rPr>
        <w:rFonts w:hint="default"/>
      </w:rPr>
    </w:lvl>
    <w:lvl w:ilvl="7" w:tplc="20B66170">
      <w:start w:val="1"/>
      <w:numFmt w:val="bullet"/>
      <w:lvlText w:val="•"/>
      <w:lvlJc w:val="left"/>
      <w:pPr>
        <w:ind w:left="7044" w:hanging="425"/>
      </w:pPr>
      <w:rPr>
        <w:rFonts w:hint="default"/>
      </w:rPr>
    </w:lvl>
    <w:lvl w:ilvl="8" w:tplc="8A30FEF6">
      <w:start w:val="1"/>
      <w:numFmt w:val="bullet"/>
      <w:lvlText w:val="•"/>
      <w:lvlJc w:val="left"/>
      <w:pPr>
        <w:ind w:left="7885" w:hanging="425"/>
      </w:pPr>
      <w:rPr>
        <w:rFonts w:hint="default"/>
      </w:rPr>
    </w:lvl>
  </w:abstractNum>
  <w:abstractNum w:abstractNumId="91" w15:restartNumberingAfterBreak="0">
    <w:nsid w:val="38803315"/>
    <w:multiLevelType w:val="hybridMultilevel"/>
    <w:tmpl w:val="EFDA267E"/>
    <w:lvl w:ilvl="0" w:tplc="9BEC19EA">
      <w:start w:val="1"/>
      <w:numFmt w:val="lowerLetter"/>
      <w:lvlText w:val="%1)"/>
      <w:lvlJc w:val="left"/>
      <w:pPr>
        <w:ind w:left="1004" w:hanging="360"/>
      </w:pPr>
      <w:rPr>
        <w:rFonts w:ascii="American Typewriter" w:eastAsia="American Typewriter" w:hAnsi="American Typewriter" w:hint="default"/>
        <w:w w:val="87"/>
        <w:sz w:val="24"/>
        <w:szCs w:val="24"/>
      </w:rPr>
    </w:lvl>
    <w:lvl w:ilvl="1" w:tplc="4D2C1488">
      <w:start w:val="1"/>
      <w:numFmt w:val="lowerLetter"/>
      <w:lvlText w:val="%2."/>
      <w:lvlJc w:val="left"/>
      <w:pPr>
        <w:ind w:left="1724" w:hanging="360"/>
      </w:pPr>
      <w:rPr>
        <w:rFonts w:hint="default"/>
      </w:rPr>
    </w:lvl>
    <w:lvl w:ilvl="2" w:tplc="040C001B">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92" w15:restartNumberingAfterBreak="0">
    <w:nsid w:val="38A431EB"/>
    <w:multiLevelType w:val="hybridMultilevel"/>
    <w:tmpl w:val="71322AC0"/>
    <w:lvl w:ilvl="0" w:tplc="040C000D">
      <w:start w:val="1"/>
      <w:numFmt w:val="bullet"/>
      <w:lvlText w:val=""/>
      <w:lvlJc w:val="left"/>
      <w:pPr>
        <w:ind w:left="875" w:hanging="360"/>
      </w:pPr>
      <w:rPr>
        <w:rFonts w:ascii="Wingdings" w:hAnsi="Wingdings" w:hint="default"/>
      </w:rPr>
    </w:lvl>
    <w:lvl w:ilvl="1" w:tplc="040C0003" w:tentative="1">
      <w:start w:val="1"/>
      <w:numFmt w:val="bullet"/>
      <w:lvlText w:val="o"/>
      <w:lvlJc w:val="left"/>
      <w:pPr>
        <w:ind w:left="1595" w:hanging="360"/>
      </w:pPr>
      <w:rPr>
        <w:rFonts w:ascii="Courier New" w:hAnsi="Courier New" w:cs="Courier New" w:hint="default"/>
      </w:rPr>
    </w:lvl>
    <w:lvl w:ilvl="2" w:tplc="040C0005" w:tentative="1">
      <w:start w:val="1"/>
      <w:numFmt w:val="bullet"/>
      <w:lvlText w:val=""/>
      <w:lvlJc w:val="left"/>
      <w:pPr>
        <w:ind w:left="2315" w:hanging="360"/>
      </w:pPr>
      <w:rPr>
        <w:rFonts w:ascii="Wingdings" w:hAnsi="Wingdings" w:hint="default"/>
      </w:rPr>
    </w:lvl>
    <w:lvl w:ilvl="3" w:tplc="040C0001" w:tentative="1">
      <w:start w:val="1"/>
      <w:numFmt w:val="bullet"/>
      <w:lvlText w:val=""/>
      <w:lvlJc w:val="left"/>
      <w:pPr>
        <w:ind w:left="3035" w:hanging="360"/>
      </w:pPr>
      <w:rPr>
        <w:rFonts w:ascii="Symbol" w:hAnsi="Symbol" w:hint="default"/>
      </w:rPr>
    </w:lvl>
    <w:lvl w:ilvl="4" w:tplc="040C0003" w:tentative="1">
      <w:start w:val="1"/>
      <w:numFmt w:val="bullet"/>
      <w:lvlText w:val="o"/>
      <w:lvlJc w:val="left"/>
      <w:pPr>
        <w:ind w:left="3755" w:hanging="360"/>
      </w:pPr>
      <w:rPr>
        <w:rFonts w:ascii="Courier New" w:hAnsi="Courier New" w:cs="Courier New" w:hint="default"/>
      </w:rPr>
    </w:lvl>
    <w:lvl w:ilvl="5" w:tplc="040C0005" w:tentative="1">
      <w:start w:val="1"/>
      <w:numFmt w:val="bullet"/>
      <w:lvlText w:val=""/>
      <w:lvlJc w:val="left"/>
      <w:pPr>
        <w:ind w:left="4475" w:hanging="360"/>
      </w:pPr>
      <w:rPr>
        <w:rFonts w:ascii="Wingdings" w:hAnsi="Wingdings" w:hint="default"/>
      </w:rPr>
    </w:lvl>
    <w:lvl w:ilvl="6" w:tplc="040C0001" w:tentative="1">
      <w:start w:val="1"/>
      <w:numFmt w:val="bullet"/>
      <w:lvlText w:val=""/>
      <w:lvlJc w:val="left"/>
      <w:pPr>
        <w:ind w:left="5195" w:hanging="360"/>
      </w:pPr>
      <w:rPr>
        <w:rFonts w:ascii="Symbol" w:hAnsi="Symbol" w:hint="default"/>
      </w:rPr>
    </w:lvl>
    <w:lvl w:ilvl="7" w:tplc="040C0003" w:tentative="1">
      <w:start w:val="1"/>
      <w:numFmt w:val="bullet"/>
      <w:lvlText w:val="o"/>
      <w:lvlJc w:val="left"/>
      <w:pPr>
        <w:ind w:left="5915" w:hanging="360"/>
      </w:pPr>
      <w:rPr>
        <w:rFonts w:ascii="Courier New" w:hAnsi="Courier New" w:cs="Courier New" w:hint="default"/>
      </w:rPr>
    </w:lvl>
    <w:lvl w:ilvl="8" w:tplc="040C0005" w:tentative="1">
      <w:start w:val="1"/>
      <w:numFmt w:val="bullet"/>
      <w:lvlText w:val=""/>
      <w:lvlJc w:val="left"/>
      <w:pPr>
        <w:ind w:left="6635" w:hanging="360"/>
      </w:pPr>
      <w:rPr>
        <w:rFonts w:ascii="Wingdings" w:hAnsi="Wingdings" w:hint="default"/>
      </w:rPr>
    </w:lvl>
  </w:abstractNum>
  <w:abstractNum w:abstractNumId="93" w15:restartNumberingAfterBreak="0">
    <w:nsid w:val="3976154F"/>
    <w:multiLevelType w:val="hybridMultilevel"/>
    <w:tmpl w:val="4E405E94"/>
    <w:lvl w:ilvl="0" w:tplc="AA90CEBA">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4" w15:restartNumberingAfterBreak="0">
    <w:nsid w:val="3A0E5E7A"/>
    <w:multiLevelType w:val="hybridMultilevel"/>
    <w:tmpl w:val="0C06B92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5" w15:restartNumberingAfterBreak="0">
    <w:nsid w:val="3AA340FF"/>
    <w:multiLevelType w:val="hybridMultilevel"/>
    <w:tmpl w:val="910E2E34"/>
    <w:lvl w:ilvl="0" w:tplc="6E481F5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6" w15:restartNumberingAfterBreak="0">
    <w:nsid w:val="3AD1140E"/>
    <w:multiLevelType w:val="hybridMultilevel"/>
    <w:tmpl w:val="22A47116"/>
    <w:lvl w:ilvl="0" w:tplc="9BEC19EA">
      <w:start w:val="1"/>
      <w:numFmt w:val="lowerLetter"/>
      <w:lvlText w:val="%1)"/>
      <w:lvlJc w:val="left"/>
      <w:pPr>
        <w:ind w:left="720" w:hanging="360"/>
      </w:pPr>
      <w:rPr>
        <w:rFonts w:ascii="American Typewriter" w:eastAsia="American Typewriter" w:hAnsi="American Typewriter" w:hint="default"/>
        <w:w w:val="87"/>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7" w15:restartNumberingAfterBreak="0">
    <w:nsid w:val="3AEE78CD"/>
    <w:multiLevelType w:val="hybridMultilevel"/>
    <w:tmpl w:val="2CAC1A7C"/>
    <w:lvl w:ilvl="0" w:tplc="B344E5F4">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15:restartNumberingAfterBreak="0">
    <w:nsid w:val="3B45781B"/>
    <w:multiLevelType w:val="hybridMultilevel"/>
    <w:tmpl w:val="89C4977C"/>
    <w:lvl w:ilvl="0" w:tplc="040C0015">
      <w:start w:val="1"/>
      <w:numFmt w:val="upperLetter"/>
      <w:lvlText w:val="%1."/>
      <w:lvlJc w:val="left"/>
      <w:pPr>
        <w:ind w:left="720" w:hanging="360"/>
      </w:pPr>
    </w:lvl>
    <w:lvl w:ilvl="1" w:tplc="1C404136">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9" w15:restartNumberingAfterBreak="0">
    <w:nsid w:val="3C3041D4"/>
    <w:multiLevelType w:val="hybridMultilevel"/>
    <w:tmpl w:val="79182DDE"/>
    <w:lvl w:ilvl="0" w:tplc="66D6A430">
      <w:start w:val="1"/>
      <w:numFmt w:val="decimal"/>
      <w:lvlText w:val="%1-"/>
      <w:lvlJc w:val="left"/>
      <w:pPr>
        <w:tabs>
          <w:tab w:val="num" w:pos="540"/>
        </w:tabs>
        <w:ind w:left="540" w:hanging="360"/>
      </w:pPr>
      <w:rPr>
        <w:rFonts w:hint="default"/>
        <w:color w:val="auto"/>
      </w:rPr>
    </w:lvl>
    <w:lvl w:ilvl="1" w:tplc="040C0019" w:tentative="1">
      <w:start w:val="1"/>
      <w:numFmt w:val="lowerLetter"/>
      <w:lvlText w:val="%2."/>
      <w:lvlJc w:val="left"/>
      <w:pPr>
        <w:tabs>
          <w:tab w:val="num" w:pos="1260"/>
        </w:tabs>
        <w:ind w:left="1260" w:hanging="360"/>
      </w:pPr>
    </w:lvl>
    <w:lvl w:ilvl="2" w:tplc="040C001B" w:tentative="1">
      <w:start w:val="1"/>
      <w:numFmt w:val="lowerRoman"/>
      <w:lvlText w:val="%3."/>
      <w:lvlJc w:val="right"/>
      <w:pPr>
        <w:tabs>
          <w:tab w:val="num" w:pos="1980"/>
        </w:tabs>
        <w:ind w:left="1980" w:hanging="180"/>
      </w:pPr>
    </w:lvl>
    <w:lvl w:ilvl="3" w:tplc="040C000F" w:tentative="1">
      <w:start w:val="1"/>
      <w:numFmt w:val="decimal"/>
      <w:lvlText w:val="%4."/>
      <w:lvlJc w:val="left"/>
      <w:pPr>
        <w:tabs>
          <w:tab w:val="num" w:pos="2700"/>
        </w:tabs>
        <w:ind w:left="2700" w:hanging="360"/>
      </w:pPr>
    </w:lvl>
    <w:lvl w:ilvl="4" w:tplc="040C0019" w:tentative="1">
      <w:start w:val="1"/>
      <w:numFmt w:val="lowerLetter"/>
      <w:lvlText w:val="%5."/>
      <w:lvlJc w:val="left"/>
      <w:pPr>
        <w:tabs>
          <w:tab w:val="num" w:pos="3420"/>
        </w:tabs>
        <w:ind w:left="3420" w:hanging="360"/>
      </w:pPr>
    </w:lvl>
    <w:lvl w:ilvl="5" w:tplc="040C001B" w:tentative="1">
      <w:start w:val="1"/>
      <w:numFmt w:val="lowerRoman"/>
      <w:lvlText w:val="%6."/>
      <w:lvlJc w:val="right"/>
      <w:pPr>
        <w:tabs>
          <w:tab w:val="num" w:pos="4140"/>
        </w:tabs>
        <w:ind w:left="4140" w:hanging="180"/>
      </w:pPr>
    </w:lvl>
    <w:lvl w:ilvl="6" w:tplc="040C000F" w:tentative="1">
      <w:start w:val="1"/>
      <w:numFmt w:val="decimal"/>
      <w:lvlText w:val="%7."/>
      <w:lvlJc w:val="left"/>
      <w:pPr>
        <w:tabs>
          <w:tab w:val="num" w:pos="4860"/>
        </w:tabs>
        <w:ind w:left="4860" w:hanging="360"/>
      </w:pPr>
    </w:lvl>
    <w:lvl w:ilvl="7" w:tplc="040C0019" w:tentative="1">
      <w:start w:val="1"/>
      <w:numFmt w:val="lowerLetter"/>
      <w:lvlText w:val="%8."/>
      <w:lvlJc w:val="left"/>
      <w:pPr>
        <w:tabs>
          <w:tab w:val="num" w:pos="5580"/>
        </w:tabs>
        <w:ind w:left="5580" w:hanging="360"/>
      </w:pPr>
    </w:lvl>
    <w:lvl w:ilvl="8" w:tplc="040C001B" w:tentative="1">
      <w:start w:val="1"/>
      <w:numFmt w:val="lowerRoman"/>
      <w:lvlText w:val="%9."/>
      <w:lvlJc w:val="right"/>
      <w:pPr>
        <w:tabs>
          <w:tab w:val="num" w:pos="6300"/>
        </w:tabs>
        <w:ind w:left="6300" w:hanging="180"/>
      </w:pPr>
    </w:lvl>
  </w:abstractNum>
  <w:abstractNum w:abstractNumId="100" w15:restartNumberingAfterBreak="0">
    <w:nsid w:val="3CE2767F"/>
    <w:multiLevelType w:val="hybridMultilevel"/>
    <w:tmpl w:val="8CFE934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1" w15:restartNumberingAfterBreak="0">
    <w:nsid w:val="3D634257"/>
    <w:multiLevelType w:val="hybridMultilevel"/>
    <w:tmpl w:val="F19EDA3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2" w15:restartNumberingAfterBreak="0">
    <w:nsid w:val="3D7149FB"/>
    <w:multiLevelType w:val="hybridMultilevel"/>
    <w:tmpl w:val="3EB03FBE"/>
    <w:lvl w:ilvl="0" w:tplc="040C0017">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3" w15:restartNumberingAfterBreak="0">
    <w:nsid w:val="3DFA567B"/>
    <w:multiLevelType w:val="hybridMultilevel"/>
    <w:tmpl w:val="E5DCB5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15:restartNumberingAfterBreak="0">
    <w:nsid w:val="3E2250B0"/>
    <w:multiLevelType w:val="hybridMultilevel"/>
    <w:tmpl w:val="55D09A66"/>
    <w:lvl w:ilvl="0" w:tplc="93882E3C">
      <w:start w:val="2"/>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15:restartNumberingAfterBreak="0">
    <w:nsid w:val="3E5E4E0B"/>
    <w:multiLevelType w:val="hybridMultilevel"/>
    <w:tmpl w:val="71DC7216"/>
    <w:lvl w:ilvl="0" w:tplc="E6E80D6E">
      <w:start w:val="1"/>
      <w:numFmt w:val="bullet"/>
      <w:lvlText w:val="-"/>
      <w:lvlJc w:val="left"/>
      <w:pPr>
        <w:ind w:left="2065" w:hanging="360"/>
      </w:pPr>
      <w:rPr>
        <w:rFonts w:ascii="Tahoma" w:eastAsia="Times New Roman" w:hAnsi="Tahoma" w:cs="Tahoma" w:hint="default"/>
      </w:rPr>
    </w:lvl>
    <w:lvl w:ilvl="1" w:tplc="E6E80D6E">
      <w:start w:val="1"/>
      <w:numFmt w:val="bullet"/>
      <w:lvlText w:val="-"/>
      <w:lvlJc w:val="left"/>
      <w:pPr>
        <w:ind w:left="720" w:hanging="360"/>
      </w:pPr>
      <w:rPr>
        <w:rFonts w:ascii="Tahoma" w:eastAsia="Times New Roman" w:hAnsi="Tahoma" w:cs="Tahoma" w:hint="default"/>
      </w:rPr>
    </w:lvl>
    <w:lvl w:ilvl="2" w:tplc="040C0005" w:tentative="1">
      <w:start w:val="1"/>
      <w:numFmt w:val="bullet"/>
      <w:lvlText w:val=""/>
      <w:lvlJc w:val="left"/>
      <w:pPr>
        <w:ind w:left="3505" w:hanging="360"/>
      </w:pPr>
      <w:rPr>
        <w:rFonts w:ascii="Wingdings" w:hAnsi="Wingdings" w:hint="default"/>
      </w:rPr>
    </w:lvl>
    <w:lvl w:ilvl="3" w:tplc="040C0001" w:tentative="1">
      <w:start w:val="1"/>
      <w:numFmt w:val="bullet"/>
      <w:lvlText w:val=""/>
      <w:lvlJc w:val="left"/>
      <w:pPr>
        <w:ind w:left="4225" w:hanging="360"/>
      </w:pPr>
      <w:rPr>
        <w:rFonts w:ascii="Symbol" w:hAnsi="Symbol" w:hint="default"/>
      </w:rPr>
    </w:lvl>
    <w:lvl w:ilvl="4" w:tplc="040C0003" w:tentative="1">
      <w:start w:val="1"/>
      <w:numFmt w:val="bullet"/>
      <w:lvlText w:val="o"/>
      <w:lvlJc w:val="left"/>
      <w:pPr>
        <w:ind w:left="4945" w:hanging="360"/>
      </w:pPr>
      <w:rPr>
        <w:rFonts w:ascii="Courier New" w:hAnsi="Courier New" w:cs="Courier New" w:hint="default"/>
      </w:rPr>
    </w:lvl>
    <w:lvl w:ilvl="5" w:tplc="040C0005" w:tentative="1">
      <w:start w:val="1"/>
      <w:numFmt w:val="bullet"/>
      <w:lvlText w:val=""/>
      <w:lvlJc w:val="left"/>
      <w:pPr>
        <w:ind w:left="5665" w:hanging="360"/>
      </w:pPr>
      <w:rPr>
        <w:rFonts w:ascii="Wingdings" w:hAnsi="Wingdings" w:hint="default"/>
      </w:rPr>
    </w:lvl>
    <w:lvl w:ilvl="6" w:tplc="040C0001" w:tentative="1">
      <w:start w:val="1"/>
      <w:numFmt w:val="bullet"/>
      <w:lvlText w:val=""/>
      <w:lvlJc w:val="left"/>
      <w:pPr>
        <w:ind w:left="6385" w:hanging="360"/>
      </w:pPr>
      <w:rPr>
        <w:rFonts w:ascii="Symbol" w:hAnsi="Symbol" w:hint="default"/>
      </w:rPr>
    </w:lvl>
    <w:lvl w:ilvl="7" w:tplc="040C0003" w:tentative="1">
      <w:start w:val="1"/>
      <w:numFmt w:val="bullet"/>
      <w:lvlText w:val="o"/>
      <w:lvlJc w:val="left"/>
      <w:pPr>
        <w:ind w:left="7105" w:hanging="360"/>
      </w:pPr>
      <w:rPr>
        <w:rFonts w:ascii="Courier New" w:hAnsi="Courier New" w:cs="Courier New" w:hint="default"/>
      </w:rPr>
    </w:lvl>
    <w:lvl w:ilvl="8" w:tplc="040C0005" w:tentative="1">
      <w:start w:val="1"/>
      <w:numFmt w:val="bullet"/>
      <w:lvlText w:val=""/>
      <w:lvlJc w:val="left"/>
      <w:pPr>
        <w:ind w:left="7825" w:hanging="360"/>
      </w:pPr>
      <w:rPr>
        <w:rFonts w:ascii="Wingdings" w:hAnsi="Wingdings" w:hint="default"/>
      </w:rPr>
    </w:lvl>
  </w:abstractNum>
  <w:abstractNum w:abstractNumId="106" w15:restartNumberingAfterBreak="0">
    <w:nsid w:val="3F055593"/>
    <w:multiLevelType w:val="hybridMultilevel"/>
    <w:tmpl w:val="F3C696B8"/>
    <w:lvl w:ilvl="0" w:tplc="54E4444E">
      <w:start w:val="1"/>
      <w:numFmt w:val="decimal"/>
      <w:lvlText w:val="%1."/>
      <w:lvlJc w:val="right"/>
      <w:pPr>
        <w:ind w:left="708" w:hanging="360"/>
      </w:pPr>
      <w:rPr>
        <w:rFonts w:hint="default"/>
      </w:rPr>
    </w:lvl>
    <w:lvl w:ilvl="1" w:tplc="040C0019" w:tentative="1">
      <w:start w:val="1"/>
      <w:numFmt w:val="lowerLetter"/>
      <w:lvlText w:val="%2."/>
      <w:lvlJc w:val="left"/>
      <w:pPr>
        <w:ind w:left="1428" w:hanging="360"/>
      </w:pPr>
    </w:lvl>
    <w:lvl w:ilvl="2" w:tplc="040C001B" w:tentative="1">
      <w:start w:val="1"/>
      <w:numFmt w:val="lowerRoman"/>
      <w:lvlText w:val="%3."/>
      <w:lvlJc w:val="right"/>
      <w:pPr>
        <w:ind w:left="2148" w:hanging="180"/>
      </w:pPr>
    </w:lvl>
    <w:lvl w:ilvl="3" w:tplc="040C000F" w:tentative="1">
      <w:start w:val="1"/>
      <w:numFmt w:val="decimal"/>
      <w:lvlText w:val="%4."/>
      <w:lvlJc w:val="left"/>
      <w:pPr>
        <w:ind w:left="2868" w:hanging="360"/>
      </w:pPr>
    </w:lvl>
    <w:lvl w:ilvl="4" w:tplc="040C0019" w:tentative="1">
      <w:start w:val="1"/>
      <w:numFmt w:val="lowerLetter"/>
      <w:lvlText w:val="%5."/>
      <w:lvlJc w:val="left"/>
      <w:pPr>
        <w:ind w:left="3588" w:hanging="360"/>
      </w:pPr>
    </w:lvl>
    <w:lvl w:ilvl="5" w:tplc="040C001B" w:tentative="1">
      <w:start w:val="1"/>
      <w:numFmt w:val="lowerRoman"/>
      <w:lvlText w:val="%6."/>
      <w:lvlJc w:val="right"/>
      <w:pPr>
        <w:ind w:left="4308" w:hanging="180"/>
      </w:pPr>
    </w:lvl>
    <w:lvl w:ilvl="6" w:tplc="040C000F" w:tentative="1">
      <w:start w:val="1"/>
      <w:numFmt w:val="decimal"/>
      <w:lvlText w:val="%7."/>
      <w:lvlJc w:val="left"/>
      <w:pPr>
        <w:ind w:left="5028" w:hanging="360"/>
      </w:pPr>
    </w:lvl>
    <w:lvl w:ilvl="7" w:tplc="040C0019" w:tentative="1">
      <w:start w:val="1"/>
      <w:numFmt w:val="lowerLetter"/>
      <w:lvlText w:val="%8."/>
      <w:lvlJc w:val="left"/>
      <w:pPr>
        <w:ind w:left="5748" w:hanging="360"/>
      </w:pPr>
    </w:lvl>
    <w:lvl w:ilvl="8" w:tplc="040C001B" w:tentative="1">
      <w:start w:val="1"/>
      <w:numFmt w:val="lowerRoman"/>
      <w:lvlText w:val="%9."/>
      <w:lvlJc w:val="right"/>
      <w:pPr>
        <w:ind w:left="6468" w:hanging="180"/>
      </w:pPr>
    </w:lvl>
  </w:abstractNum>
  <w:abstractNum w:abstractNumId="107" w15:restartNumberingAfterBreak="0">
    <w:nsid w:val="3F2942D6"/>
    <w:multiLevelType w:val="hybridMultilevel"/>
    <w:tmpl w:val="7FB6F26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8" w15:restartNumberingAfterBreak="0">
    <w:nsid w:val="404260D3"/>
    <w:multiLevelType w:val="hybridMultilevel"/>
    <w:tmpl w:val="4636D864"/>
    <w:lvl w:ilvl="0" w:tplc="01CA1B36">
      <w:start w:val="1"/>
      <w:numFmt w:val="lowerRoman"/>
      <w:lvlText w:val="%1."/>
      <w:lvlJc w:val="left"/>
      <w:pPr>
        <w:ind w:left="1080" w:hanging="360"/>
      </w:pPr>
      <w:rPr>
        <w:rFonts w:ascii="Tahoma" w:eastAsiaTheme="minorHAnsi" w:hAnsi="Tahoma" w:cs="Tahoma"/>
        <w:b w:val="0"/>
        <w:bCs w:val="0"/>
        <w:sz w:val="24"/>
        <w:szCs w:val="24"/>
      </w:r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109" w15:restartNumberingAfterBreak="0">
    <w:nsid w:val="40AD5EEB"/>
    <w:multiLevelType w:val="hybridMultilevel"/>
    <w:tmpl w:val="4C7A7B2A"/>
    <w:lvl w:ilvl="0" w:tplc="7702144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0" w15:restartNumberingAfterBreak="0">
    <w:nsid w:val="41BF0350"/>
    <w:multiLevelType w:val="hybridMultilevel"/>
    <w:tmpl w:val="9D660002"/>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1" w15:restartNumberingAfterBreak="0">
    <w:nsid w:val="425F760E"/>
    <w:multiLevelType w:val="singleLevel"/>
    <w:tmpl w:val="A2A89EAC"/>
    <w:lvl w:ilvl="0">
      <w:start w:val="1"/>
      <w:numFmt w:val="lowerLetter"/>
      <w:lvlText w:val="%1)"/>
      <w:lvlJc w:val="left"/>
      <w:pPr>
        <w:tabs>
          <w:tab w:val="num" w:pos="785"/>
        </w:tabs>
        <w:ind w:left="785" w:hanging="360"/>
      </w:pPr>
      <w:rPr>
        <w:rFonts w:hint="default"/>
      </w:rPr>
    </w:lvl>
  </w:abstractNum>
  <w:abstractNum w:abstractNumId="112" w15:restartNumberingAfterBreak="0">
    <w:nsid w:val="43CF2F69"/>
    <w:multiLevelType w:val="hybridMultilevel"/>
    <w:tmpl w:val="C36CBB7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8624B030">
      <w:start w:val="1"/>
      <w:numFmt w:val="lowerLetter"/>
      <w:lvlText w:val="%4)"/>
      <w:lvlJc w:val="left"/>
      <w:pPr>
        <w:ind w:left="2880" w:hanging="360"/>
      </w:pPr>
      <w:rPr>
        <w:rFonts w:hint="default"/>
        <w:b/>
        <w:bCs/>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3" w15:restartNumberingAfterBreak="0">
    <w:nsid w:val="47E27AA9"/>
    <w:multiLevelType w:val="hybridMultilevel"/>
    <w:tmpl w:val="D8E2D4EC"/>
    <w:lvl w:ilvl="0" w:tplc="040C0017">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4" w15:restartNumberingAfterBreak="0">
    <w:nsid w:val="48494E51"/>
    <w:multiLevelType w:val="hybridMultilevel"/>
    <w:tmpl w:val="B87E2972"/>
    <w:lvl w:ilvl="0" w:tplc="040C0017">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5" w15:restartNumberingAfterBreak="0">
    <w:nsid w:val="48CD1247"/>
    <w:multiLevelType w:val="hybridMultilevel"/>
    <w:tmpl w:val="CF50D3C4"/>
    <w:lvl w:ilvl="0" w:tplc="C2420618">
      <w:start w:val="1"/>
      <w:numFmt w:val="decimal"/>
      <w:lvlText w:val="%1."/>
      <w:lvlJc w:val="left"/>
      <w:pPr>
        <w:ind w:left="882" w:hanging="348"/>
      </w:pPr>
      <w:rPr>
        <w:rFonts w:ascii="American Typewriter" w:eastAsia="American Typewriter" w:hAnsi="American Typewriter" w:hint="default"/>
        <w:w w:val="91"/>
        <w:sz w:val="24"/>
        <w:szCs w:val="24"/>
      </w:rPr>
    </w:lvl>
    <w:lvl w:ilvl="1" w:tplc="06F8CE2A">
      <w:start w:val="1"/>
      <w:numFmt w:val="bullet"/>
      <w:lvlText w:val="•"/>
      <w:lvlJc w:val="left"/>
      <w:pPr>
        <w:ind w:left="1748" w:hanging="348"/>
      </w:pPr>
      <w:rPr>
        <w:rFonts w:hint="default"/>
      </w:rPr>
    </w:lvl>
    <w:lvl w:ilvl="2" w:tplc="9904BCDA">
      <w:start w:val="1"/>
      <w:numFmt w:val="bullet"/>
      <w:lvlText w:val="•"/>
      <w:lvlJc w:val="left"/>
      <w:pPr>
        <w:ind w:left="2617" w:hanging="348"/>
      </w:pPr>
      <w:rPr>
        <w:rFonts w:hint="default"/>
      </w:rPr>
    </w:lvl>
    <w:lvl w:ilvl="3" w:tplc="83C82336">
      <w:start w:val="1"/>
      <w:numFmt w:val="bullet"/>
      <w:lvlText w:val="•"/>
      <w:lvlJc w:val="left"/>
      <w:pPr>
        <w:ind w:left="3485" w:hanging="348"/>
      </w:pPr>
      <w:rPr>
        <w:rFonts w:hint="default"/>
      </w:rPr>
    </w:lvl>
    <w:lvl w:ilvl="4" w:tplc="5A70F058">
      <w:start w:val="1"/>
      <w:numFmt w:val="bullet"/>
      <w:lvlText w:val="•"/>
      <w:lvlJc w:val="left"/>
      <w:pPr>
        <w:ind w:left="4354" w:hanging="348"/>
      </w:pPr>
      <w:rPr>
        <w:rFonts w:hint="default"/>
      </w:rPr>
    </w:lvl>
    <w:lvl w:ilvl="5" w:tplc="1786F0DE">
      <w:start w:val="1"/>
      <w:numFmt w:val="bullet"/>
      <w:lvlText w:val="•"/>
      <w:lvlJc w:val="left"/>
      <w:pPr>
        <w:ind w:left="5223" w:hanging="348"/>
      </w:pPr>
      <w:rPr>
        <w:rFonts w:hint="default"/>
      </w:rPr>
    </w:lvl>
    <w:lvl w:ilvl="6" w:tplc="FBC8BD92">
      <w:start w:val="1"/>
      <w:numFmt w:val="bullet"/>
      <w:lvlText w:val="•"/>
      <w:lvlJc w:val="left"/>
      <w:pPr>
        <w:ind w:left="6091" w:hanging="348"/>
      </w:pPr>
      <w:rPr>
        <w:rFonts w:hint="default"/>
      </w:rPr>
    </w:lvl>
    <w:lvl w:ilvl="7" w:tplc="116E1312">
      <w:start w:val="1"/>
      <w:numFmt w:val="bullet"/>
      <w:lvlText w:val="•"/>
      <w:lvlJc w:val="left"/>
      <w:pPr>
        <w:ind w:left="6960" w:hanging="348"/>
      </w:pPr>
      <w:rPr>
        <w:rFonts w:hint="default"/>
      </w:rPr>
    </w:lvl>
    <w:lvl w:ilvl="8" w:tplc="F30CBBCC">
      <w:start w:val="1"/>
      <w:numFmt w:val="bullet"/>
      <w:lvlText w:val="•"/>
      <w:lvlJc w:val="left"/>
      <w:pPr>
        <w:ind w:left="7829" w:hanging="348"/>
      </w:pPr>
      <w:rPr>
        <w:rFonts w:hint="default"/>
      </w:rPr>
    </w:lvl>
  </w:abstractNum>
  <w:abstractNum w:abstractNumId="116" w15:restartNumberingAfterBreak="0">
    <w:nsid w:val="4A2E0221"/>
    <w:multiLevelType w:val="hybridMultilevel"/>
    <w:tmpl w:val="AA82A7AA"/>
    <w:lvl w:ilvl="0" w:tplc="040C0017">
      <w:start w:val="1"/>
      <w:numFmt w:val="lowerLetter"/>
      <w:lvlText w:val="%1)"/>
      <w:lvlJc w:val="left"/>
      <w:pPr>
        <w:ind w:left="712" w:hanging="360"/>
      </w:pPr>
    </w:lvl>
    <w:lvl w:ilvl="1" w:tplc="040C0019" w:tentative="1">
      <w:start w:val="1"/>
      <w:numFmt w:val="lowerLetter"/>
      <w:lvlText w:val="%2."/>
      <w:lvlJc w:val="left"/>
      <w:pPr>
        <w:ind w:left="1432" w:hanging="360"/>
      </w:pPr>
    </w:lvl>
    <w:lvl w:ilvl="2" w:tplc="040C001B" w:tentative="1">
      <w:start w:val="1"/>
      <w:numFmt w:val="lowerRoman"/>
      <w:lvlText w:val="%3."/>
      <w:lvlJc w:val="right"/>
      <w:pPr>
        <w:ind w:left="2152" w:hanging="180"/>
      </w:pPr>
    </w:lvl>
    <w:lvl w:ilvl="3" w:tplc="040C000F" w:tentative="1">
      <w:start w:val="1"/>
      <w:numFmt w:val="decimal"/>
      <w:lvlText w:val="%4."/>
      <w:lvlJc w:val="left"/>
      <w:pPr>
        <w:ind w:left="2872" w:hanging="360"/>
      </w:pPr>
    </w:lvl>
    <w:lvl w:ilvl="4" w:tplc="040C0019" w:tentative="1">
      <w:start w:val="1"/>
      <w:numFmt w:val="lowerLetter"/>
      <w:lvlText w:val="%5."/>
      <w:lvlJc w:val="left"/>
      <w:pPr>
        <w:ind w:left="3592" w:hanging="360"/>
      </w:pPr>
    </w:lvl>
    <w:lvl w:ilvl="5" w:tplc="040C001B" w:tentative="1">
      <w:start w:val="1"/>
      <w:numFmt w:val="lowerRoman"/>
      <w:lvlText w:val="%6."/>
      <w:lvlJc w:val="right"/>
      <w:pPr>
        <w:ind w:left="4312" w:hanging="180"/>
      </w:pPr>
    </w:lvl>
    <w:lvl w:ilvl="6" w:tplc="040C000F" w:tentative="1">
      <w:start w:val="1"/>
      <w:numFmt w:val="decimal"/>
      <w:lvlText w:val="%7."/>
      <w:lvlJc w:val="left"/>
      <w:pPr>
        <w:ind w:left="5032" w:hanging="360"/>
      </w:pPr>
    </w:lvl>
    <w:lvl w:ilvl="7" w:tplc="040C0019" w:tentative="1">
      <w:start w:val="1"/>
      <w:numFmt w:val="lowerLetter"/>
      <w:lvlText w:val="%8."/>
      <w:lvlJc w:val="left"/>
      <w:pPr>
        <w:ind w:left="5752" w:hanging="360"/>
      </w:pPr>
    </w:lvl>
    <w:lvl w:ilvl="8" w:tplc="040C001B" w:tentative="1">
      <w:start w:val="1"/>
      <w:numFmt w:val="lowerRoman"/>
      <w:lvlText w:val="%9."/>
      <w:lvlJc w:val="right"/>
      <w:pPr>
        <w:ind w:left="6472" w:hanging="180"/>
      </w:pPr>
    </w:lvl>
  </w:abstractNum>
  <w:abstractNum w:abstractNumId="117" w15:restartNumberingAfterBreak="0">
    <w:nsid w:val="4A527078"/>
    <w:multiLevelType w:val="hybridMultilevel"/>
    <w:tmpl w:val="05BAFCD8"/>
    <w:lvl w:ilvl="0" w:tplc="324E324C">
      <w:numFmt w:val="bullet"/>
      <w:lvlText w:val="-"/>
      <w:lvlJc w:val="left"/>
      <w:pPr>
        <w:ind w:left="720" w:hanging="360"/>
      </w:pPr>
      <w:rPr>
        <w:rFonts w:ascii="Bookman Old Style" w:eastAsia="Times New Roman" w:hAnsi="Bookman Old Styl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8" w15:restartNumberingAfterBreak="0">
    <w:nsid w:val="4A6C5EED"/>
    <w:multiLevelType w:val="hybridMultilevel"/>
    <w:tmpl w:val="E0C81D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15:restartNumberingAfterBreak="0">
    <w:nsid w:val="4B8A2D0D"/>
    <w:multiLevelType w:val="hybridMultilevel"/>
    <w:tmpl w:val="199848A8"/>
    <w:lvl w:ilvl="0" w:tplc="93882E3C">
      <w:start w:val="2"/>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0" w15:restartNumberingAfterBreak="0">
    <w:nsid w:val="4C830700"/>
    <w:multiLevelType w:val="hybridMultilevel"/>
    <w:tmpl w:val="51022A84"/>
    <w:lvl w:ilvl="0" w:tplc="9BEC19EA">
      <w:start w:val="1"/>
      <w:numFmt w:val="lowerLetter"/>
      <w:lvlText w:val="%1)"/>
      <w:lvlJc w:val="left"/>
      <w:pPr>
        <w:ind w:left="720" w:hanging="360"/>
      </w:pPr>
      <w:rPr>
        <w:rFonts w:ascii="American Typewriter" w:eastAsia="American Typewriter" w:hAnsi="American Typewriter" w:hint="default"/>
        <w:w w:val="87"/>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1" w15:restartNumberingAfterBreak="0">
    <w:nsid w:val="4C9F4239"/>
    <w:multiLevelType w:val="hybridMultilevel"/>
    <w:tmpl w:val="737E1494"/>
    <w:lvl w:ilvl="0" w:tplc="54E4444E">
      <w:start w:val="1"/>
      <w:numFmt w:val="decimal"/>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2" w15:restartNumberingAfterBreak="0">
    <w:nsid w:val="4DFE51D5"/>
    <w:multiLevelType w:val="hybridMultilevel"/>
    <w:tmpl w:val="1D0465EA"/>
    <w:lvl w:ilvl="0" w:tplc="1B9C9E54">
      <w:start w:val="1"/>
      <w:numFmt w:val="decimal"/>
      <w:lvlText w:val="%1."/>
      <w:lvlJc w:val="left"/>
      <w:pPr>
        <w:ind w:left="876" w:hanging="360"/>
      </w:pPr>
      <w:rPr>
        <w:rFonts w:ascii="Times" w:eastAsia="Times" w:hAnsi="Times" w:hint="default"/>
        <w:spacing w:val="-24"/>
        <w:w w:val="99"/>
      </w:rPr>
    </w:lvl>
    <w:lvl w:ilvl="1" w:tplc="790891B0">
      <w:start w:val="1"/>
      <w:numFmt w:val="bullet"/>
      <w:lvlText w:val="•"/>
      <w:lvlJc w:val="left"/>
      <w:pPr>
        <w:ind w:left="1744" w:hanging="360"/>
      </w:pPr>
      <w:rPr>
        <w:rFonts w:hint="default"/>
      </w:rPr>
    </w:lvl>
    <w:lvl w:ilvl="2" w:tplc="A71C4EEE">
      <w:start w:val="1"/>
      <w:numFmt w:val="bullet"/>
      <w:lvlText w:val="•"/>
      <w:lvlJc w:val="left"/>
      <w:pPr>
        <w:ind w:left="2608" w:hanging="360"/>
      </w:pPr>
      <w:rPr>
        <w:rFonts w:hint="default"/>
      </w:rPr>
    </w:lvl>
    <w:lvl w:ilvl="3" w:tplc="83083EB6">
      <w:start w:val="1"/>
      <w:numFmt w:val="bullet"/>
      <w:lvlText w:val="•"/>
      <w:lvlJc w:val="left"/>
      <w:pPr>
        <w:ind w:left="3472" w:hanging="360"/>
      </w:pPr>
      <w:rPr>
        <w:rFonts w:hint="default"/>
      </w:rPr>
    </w:lvl>
    <w:lvl w:ilvl="4" w:tplc="480A0A22">
      <w:start w:val="1"/>
      <w:numFmt w:val="bullet"/>
      <w:lvlText w:val="•"/>
      <w:lvlJc w:val="left"/>
      <w:pPr>
        <w:ind w:left="4336" w:hanging="360"/>
      </w:pPr>
      <w:rPr>
        <w:rFonts w:hint="default"/>
      </w:rPr>
    </w:lvl>
    <w:lvl w:ilvl="5" w:tplc="3508C5E8">
      <w:start w:val="1"/>
      <w:numFmt w:val="bullet"/>
      <w:lvlText w:val="•"/>
      <w:lvlJc w:val="left"/>
      <w:pPr>
        <w:ind w:left="5200" w:hanging="360"/>
      </w:pPr>
      <w:rPr>
        <w:rFonts w:hint="default"/>
      </w:rPr>
    </w:lvl>
    <w:lvl w:ilvl="6" w:tplc="FA7C0D18">
      <w:start w:val="1"/>
      <w:numFmt w:val="bullet"/>
      <w:lvlText w:val="•"/>
      <w:lvlJc w:val="left"/>
      <w:pPr>
        <w:ind w:left="6064" w:hanging="360"/>
      </w:pPr>
      <w:rPr>
        <w:rFonts w:hint="default"/>
      </w:rPr>
    </w:lvl>
    <w:lvl w:ilvl="7" w:tplc="BEAEACB4">
      <w:start w:val="1"/>
      <w:numFmt w:val="bullet"/>
      <w:lvlText w:val="•"/>
      <w:lvlJc w:val="left"/>
      <w:pPr>
        <w:ind w:left="6928" w:hanging="360"/>
      </w:pPr>
      <w:rPr>
        <w:rFonts w:hint="default"/>
      </w:rPr>
    </w:lvl>
    <w:lvl w:ilvl="8" w:tplc="FDCACB2A">
      <w:start w:val="1"/>
      <w:numFmt w:val="bullet"/>
      <w:lvlText w:val="•"/>
      <w:lvlJc w:val="left"/>
      <w:pPr>
        <w:ind w:left="7792" w:hanging="360"/>
      </w:pPr>
      <w:rPr>
        <w:rFonts w:hint="default"/>
      </w:rPr>
    </w:lvl>
  </w:abstractNum>
  <w:abstractNum w:abstractNumId="123" w15:restartNumberingAfterBreak="0">
    <w:nsid w:val="4E305D45"/>
    <w:multiLevelType w:val="hybridMultilevel"/>
    <w:tmpl w:val="E110E38A"/>
    <w:lvl w:ilvl="0" w:tplc="E048E17C">
      <w:start w:val="1"/>
      <w:numFmt w:val="lowerLetter"/>
      <w:lvlText w:val="%1)"/>
      <w:lvlJc w:val="left"/>
      <w:pPr>
        <w:ind w:left="1153" w:hanging="425"/>
      </w:pPr>
      <w:rPr>
        <w:rFonts w:ascii="American Typewriter" w:eastAsia="American Typewriter" w:hAnsi="American Typewriter" w:hint="default"/>
        <w:w w:val="87"/>
        <w:sz w:val="24"/>
        <w:szCs w:val="24"/>
      </w:rPr>
    </w:lvl>
    <w:lvl w:ilvl="1" w:tplc="D54EC8FE">
      <w:start w:val="1"/>
      <w:numFmt w:val="bullet"/>
      <w:lvlText w:val="•"/>
      <w:lvlJc w:val="left"/>
      <w:pPr>
        <w:ind w:left="2000" w:hanging="425"/>
      </w:pPr>
      <w:rPr>
        <w:rFonts w:hint="default"/>
      </w:rPr>
    </w:lvl>
    <w:lvl w:ilvl="2" w:tplc="761456DC">
      <w:start w:val="1"/>
      <w:numFmt w:val="bullet"/>
      <w:lvlText w:val="•"/>
      <w:lvlJc w:val="left"/>
      <w:pPr>
        <w:ind w:left="2841" w:hanging="425"/>
      </w:pPr>
      <w:rPr>
        <w:rFonts w:hint="default"/>
      </w:rPr>
    </w:lvl>
    <w:lvl w:ilvl="3" w:tplc="A042788A">
      <w:start w:val="1"/>
      <w:numFmt w:val="bullet"/>
      <w:lvlText w:val="•"/>
      <w:lvlJc w:val="left"/>
      <w:pPr>
        <w:ind w:left="3681" w:hanging="425"/>
      </w:pPr>
      <w:rPr>
        <w:rFonts w:hint="default"/>
      </w:rPr>
    </w:lvl>
    <w:lvl w:ilvl="4" w:tplc="CEEE237E">
      <w:start w:val="1"/>
      <w:numFmt w:val="bullet"/>
      <w:lvlText w:val="•"/>
      <w:lvlJc w:val="left"/>
      <w:pPr>
        <w:ind w:left="4522" w:hanging="425"/>
      </w:pPr>
      <w:rPr>
        <w:rFonts w:hint="default"/>
      </w:rPr>
    </w:lvl>
    <w:lvl w:ilvl="5" w:tplc="25548000">
      <w:start w:val="1"/>
      <w:numFmt w:val="bullet"/>
      <w:lvlText w:val="•"/>
      <w:lvlJc w:val="left"/>
      <w:pPr>
        <w:ind w:left="5363" w:hanging="425"/>
      </w:pPr>
      <w:rPr>
        <w:rFonts w:hint="default"/>
      </w:rPr>
    </w:lvl>
    <w:lvl w:ilvl="6" w:tplc="E6748596">
      <w:start w:val="1"/>
      <w:numFmt w:val="bullet"/>
      <w:lvlText w:val="•"/>
      <w:lvlJc w:val="left"/>
      <w:pPr>
        <w:ind w:left="6203" w:hanging="425"/>
      </w:pPr>
      <w:rPr>
        <w:rFonts w:hint="default"/>
      </w:rPr>
    </w:lvl>
    <w:lvl w:ilvl="7" w:tplc="6D9A4D6A">
      <w:start w:val="1"/>
      <w:numFmt w:val="bullet"/>
      <w:lvlText w:val="•"/>
      <w:lvlJc w:val="left"/>
      <w:pPr>
        <w:ind w:left="7044" w:hanging="425"/>
      </w:pPr>
      <w:rPr>
        <w:rFonts w:hint="default"/>
      </w:rPr>
    </w:lvl>
    <w:lvl w:ilvl="8" w:tplc="64D48404">
      <w:start w:val="1"/>
      <w:numFmt w:val="bullet"/>
      <w:lvlText w:val="•"/>
      <w:lvlJc w:val="left"/>
      <w:pPr>
        <w:ind w:left="7885" w:hanging="425"/>
      </w:pPr>
      <w:rPr>
        <w:rFonts w:hint="default"/>
      </w:rPr>
    </w:lvl>
  </w:abstractNum>
  <w:abstractNum w:abstractNumId="124" w15:restartNumberingAfterBreak="0">
    <w:nsid w:val="4E374EAD"/>
    <w:multiLevelType w:val="hybridMultilevel"/>
    <w:tmpl w:val="0DEC84A2"/>
    <w:lvl w:ilvl="0" w:tplc="E6E80D6E">
      <w:start w:val="1"/>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5" w15:restartNumberingAfterBreak="0">
    <w:nsid w:val="4E723DA4"/>
    <w:multiLevelType w:val="hybridMultilevel"/>
    <w:tmpl w:val="F64C87B2"/>
    <w:lvl w:ilvl="0" w:tplc="BD0C0964">
      <w:start w:val="1"/>
      <w:numFmt w:val="decimal"/>
      <w:lvlText w:val="%1."/>
      <w:lvlJc w:val="left"/>
      <w:pPr>
        <w:ind w:left="760" w:hanging="40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D5BAC13A">
      <w:start w:val="1"/>
      <w:numFmt w:val="decimal"/>
      <w:lvlText w:val="%4."/>
      <w:lvlJc w:val="left"/>
      <w:pPr>
        <w:ind w:left="2880" w:hanging="360"/>
      </w:pPr>
      <w:rPr>
        <w:b w:val="0"/>
        <w:bCs w:val="0"/>
      </w:rPr>
    </w:lvl>
    <w:lvl w:ilvl="4" w:tplc="040C0019">
      <w:start w:val="1"/>
      <w:numFmt w:val="lowerLetter"/>
      <w:lvlText w:val="%5."/>
      <w:lvlJc w:val="left"/>
      <w:pPr>
        <w:ind w:left="3600" w:hanging="360"/>
      </w:pPr>
    </w:lvl>
    <w:lvl w:ilvl="5" w:tplc="D6E8FFDE">
      <w:start w:val="1"/>
      <w:numFmt w:val="lowerRoman"/>
      <w:lvlText w:val="%6)"/>
      <w:lvlJc w:val="left"/>
      <w:pPr>
        <w:ind w:left="4860" w:hanging="720"/>
      </w:pPr>
      <w:rPr>
        <w:rFonts w:hint="default"/>
      </w:rPr>
    </w:lvl>
    <w:lvl w:ilvl="6" w:tplc="2A66069E">
      <w:start w:val="2"/>
      <w:numFmt w:val="decimal"/>
      <w:lvlText w:val="%7"/>
      <w:lvlJc w:val="left"/>
      <w:pPr>
        <w:ind w:left="5040" w:hanging="360"/>
      </w:pPr>
      <w:rPr>
        <w:rFonts w:hint="default"/>
        <w:b w:val="0"/>
      </w:r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6" w15:restartNumberingAfterBreak="0">
    <w:nsid w:val="4E7B1A31"/>
    <w:multiLevelType w:val="hybridMultilevel"/>
    <w:tmpl w:val="C656619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7" w15:restartNumberingAfterBreak="0">
    <w:nsid w:val="4EF25941"/>
    <w:multiLevelType w:val="hybridMultilevel"/>
    <w:tmpl w:val="CDA83F7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8" w15:restartNumberingAfterBreak="0">
    <w:nsid w:val="4F7867D5"/>
    <w:multiLevelType w:val="hybridMultilevel"/>
    <w:tmpl w:val="7D046BD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9" w15:restartNumberingAfterBreak="0">
    <w:nsid w:val="521B0F90"/>
    <w:multiLevelType w:val="hybridMultilevel"/>
    <w:tmpl w:val="0D5E2706"/>
    <w:lvl w:ilvl="0" w:tplc="93882E3C">
      <w:start w:val="2"/>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15:restartNumberingAfterBreak="0">
    <w:nsid w:val="525D128B"/>
    <w:multiLevelType w:val="hybridMultilevel"/>
    <w:tmpl w:val="2ADA3B1E"/>
    <w:lvl w:ilvl="0" w:tplc="54E4444E">
      <w:start w:val="1"/>
      <w:numFmt w:val="decimal"/>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1" w15:restartNumberingAfterBreak="0">
    <w:nsid w:val="53B22C43"/>
    <w:multiLevelType w:val="hybridMultilevel"/>
    <w:tmpl w:val="61489EA4"/>
    <w:lvl w:ilvl="0" w:tplc="54E4444E">
      <w:start w:val="1"/>
      <w:numFmt w:val="decimal"/>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2" w15:restartNumberingAfterBreak="0">
    <w:nsid w:val="53CB57A2"/>
    <w:multiLevelType w:val="hybridMultilevel"/>
    <w:tmpl w:val="730ADAC4"/>
    <w:lvl w:ilvl="0" w:tplc="0A9A13E4">
      <w:start w:val="1"/>
      <w:numFmt w:val="lowerLetter"/>
      <w:lvlText w:val="%1)"/>
      <w:lvlJc w:val="left"/>
      <w:pPr>
        <w:ind w:left="1153" w:hanging="425"/>
      </w:pPr>
      <w:rPr>
        <w:rFonts w:ascii="American Typewriter" w:eastAsia="American Typewriter" w:hAnsi="American Typewriter" w:hint="default"/>
        <w:w w:val="87"/>
        <w:sz w:val="24"/>
        <w:szCs w:val="24"/>
      </w:rPr>
    </w:lvl>
    <w:lvl w:ilvl="1" w:tplc="51047C66">
      <w:start w:val="1"/>
      <w:numFmt w:val="bullet"/>
      <w:lvlText w:val="•"/>
      <w:lvlJc w:val="left"/>
      <w:pPr>
        <w:ind w:left="2000" w:hanging="425"/>
      </w:pPr>
      <w:rPr>
        <w:rFonts w:hint="default"/>
      </w:rPr>
    </w:lvl>
    <w:lvl w:ilvl="2" w:tplc="FBDA5C8C">
      <w:start w:val="1"/>
      <w:numFmt w:val="bullet"/>
      <w:lvlText w:val="•"/>
      <w:lvlJc w:val="left"/>
      <w:pPr>
        <w:ind w:left="2841" w:hanging="425"/>
      </w:pPr>
      <w:rPr>
        <w:rFonts w:hint="default"/>
      </w:rPr>
    </w:lvl>
    <w:lvl w:ilvl="3" w:tplc="D9923B92">
      <w:start w:val="1"/>
      <w:numFmt w:val="bullet"/>
      <w:lvlText w:val="•"/>
      <w:lvlJc w:val="left"/>
      <w:pPr>
        <w:ind w:left="3681" w:hanging="425"/>
      </w:pPr>
      <w:rPr>
        <w:rFonts w:hint="default"/>
      </w:rPr>
    </w:lvl>
    <w:lvl w:ilvl="4" w:tplc="B0AAF346">
      <w:start w:val="1"/>
      <w:numFmt w:val="bullet"/>
      <w:lvlText w:val="•"/>
      <w:lvlJc w:val="left"/>
      <w:pPr>
        <w:ind w:left="4522" w:hanging="425"/>
      </w:pPr>
      <w:rPr>
        <w:rFonts w:hint="default"/>
      </w:rPr>
    </w:lvl>
    <w:lvl w:ilvl="5" w:tplc="78A2841E">
      <w:start w:val="1"/>
      <w:numFmt w:val="bullet"/>
      <w:lvlText w:val="•"/>
      <w:lvlJc w:val="left"/>
      <w:pPr>
        <w:ind w:left="5363" w:hanging="425"/>
      </w:pPr>
      <w:rPr>
        <w:rFonts w:hint="default"/>
      </w:rPr>
    </w:lvl>
    <w:lvl w:ilvl="6" w:tplc="FB3CC896">
      <w:start w:val="1"/>
      <w:numFmt w:val="bullet"/>
      <w:lvlText w:val="•"/>
      <w:lvlJc w:val="left"/>
      <w:pPr>
        <w:ind w:left="6203" w:hanging="425"/>
      </w:pPr>
      <w:rPr>
        <w:rFonts w:hint="default"/>
      </w:rPr>
    </w:lvl>
    <w:lvl w:ilvl="7" w:tplc="9B9C365C">
      <w:start w:val="1"/>
      <w:numFmt w:val="bullet"/>
      <w:lvlText w:val="•"/>
      <w:lvlJc w:val="left"/>
      <w:pPr>
        <w:ind w:left="7044" w:hanging="425"/>
      </w:pPr>
      <w:rPr>
        <w:rFonts w:hint="default"/>
      </w:rPr>
    </w:lvl>
    <w:lvl w:ilvl="8" w:tplc="FA82F6BC">
      <w:start w:val="1"/>
      <w:numFmt w:val="bullet"/>
      <w:lvlText w:val="•"/>
      <w:lvlJc w:val="left"/>
      <w:pPr>
        <w:ind w:left="7885" w:hanging="425"/>
      </w:pPr>
      <w:rPr>
        <w:rFonts w:hint="default"/>
      </w:rPr>
    </w:lvl>
  </w:abstractNum>
  <w:abstractNum w:abstractNumId="133" w15:restartNumberingAfterBreak="0">
    <w:nsid w:val="548E03C8"/>
    <w:multiLevelType w:val="hybridMultilevel"/>
    <w:tmpl w:val="7B76BCE0"/>
    <w:lvl w:ilvl="0" w:tplc="36BAF092">
      <w:numFmt w:val="bullet"/>
      <w:lvlText w:val="-"/>
      <w:lvlJc w:val="left"/>
      <w:pPr>
        <w:ind w:left="720" w:hanging="360"/>
      </w:pPr>
      <w:rPr>
        <w:rFonts w:ascii="Century" w:eastAsia="Times New Roman" w:hAnsi="Century"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4" w15:restartNumberingAfterBreak="0">
    <w:nsid w:val="54D945AA"/>
    <w:multiLevelType w:val="hybridMultilevel"/>
    <w:tmpl w:val="B0704048"/>
    <w:lvl w:ilvl="0" w:tplc="6CE28E28">
      <w:numFmt w:val="bullet"/>
      <w:lvlText w:val="-"/>
      <w:lvlJc w:val="left"/>
      <w:pPr>
        <w:ind w:left="1009" w:hanging="360"/>
      </w:pPr>
      <w:rPr>
        <w:rFonts w:ascii="Times New Roman" w:eastAsia="Times New Roman" w:hAnsi="Times New Roman" w:cs="Arabic Transparent" w:hint="default"/>
      </w:rPr>
    </w:lvl>
    <w:lvl w:ilvl="1" w:tplc="040C0003" w:tentative="1">
      <w:start w:val="1"/>
      <w:numFmt w:val="bullet"/>
      <w:lvlText w:val="o"/>
      <w:lvlJc w:val="left"/>
      <w:pPr>
        <w:ind w:left="1729" w:hanging="360"/>
      </w:pPr>
      <w:rPr>
        <w:rFonts w:ascii="Courier New" w:hAnsi="Courier New" w:cs="Courier New" w:hint="default"/>
      </w:rPr>
    </w:lvl>
    <w:lvl w:ilvl="2" w:tplc="040C0005" w:tentative="1">
      <w:start w:val="1"/>
      <w:numFmt w:val="bullet"/>
      <w:lvlText w:val=""/>
      <w:lvlJc w:val="left"/>
      <w:pPr>
        <w:ind w:left="2449" w:hanging="360"/>
      </w:pPr>
      <w:rPr>
        <w:rFonts w:ascii="Wingdings" w:hAnsi="Wingdings" w:hint="default"/>
      </w:rPr>
    </w:lvl>
    <w:lvl w:ilvl="3" w:tplc="040C0001" w:tentative="1">
      <w:start w:val="1"/>
      <w:numFmt w:val="bullet"/>
      <w:lvlText w:val=""/>
      <w:lvlJc w:val="left"/>
      <w:pPr>
        <w:ind w:left="3169" w:hanging="360"/>
      </w:pPr>
      <w:rPr>
        <w:rFonts w:ascii="Symbol" w:hAnsi="Symbol" w:hint="default"/>
      </w:rPr>
    </w:lvl>
    <w:lvl w:ilvl="4" w:tplc="040C0003" w:tentative="1">
      <w:start w:val="1"/>
      <w:numFmt w:val="bullet"/>
      <w:lvlText w:val="o"/>
      <w:lvlJc w:val="left"/>
      <w:pPr>
        <w:ind w:left="3889" w:hanging="360"/>
      </w:pPr>
      <w:rPr>
        <w:rFonts w:ascii="Courier New" w:hAnsi="Courier New" w:cs="Courier New" w:hint="default"/>
      </w:rPr>
    </w:lvl>
    <w:lvl w:ilvl="5" w:tplc="040C0005" w:tentative="1">
      <w:start w:val="1"/>
      <w:numFmt w:val="bullet"/>
      <w:lvlText w:val=""/>
      <w:lvlJc w:val="left"/>
      <w:pPr>
        <w:ind w:left="4609" w:hanging="360"/>
      </w:pPr>
      <w:rPr>
        <w:rFonts w:ascii="Wingdings" w:hAnsi="Wingdings" w:hint="default"/>
      </w:rPr>
    </w:lvl>
    <w:lvl w:ilvl="6" w:tplc="040C0001" w:tentative="1">
      <w:start w:val="1"/>
      <w:numFmt w:val="bullet"/>
      <w:lvlText w:val=""/>
      <w:lvlJc w:val="left"/>
      <w:pPr>
        <w:ind w:left="5329" w:hanging="360"/>
      </w:pPr>
      <w:rPr>
        <w:rFonts w:ascii="Symbol" w:hAnsi="Symbol" w:hint="default"/>
      </w:rPr>
    </w:lvl>
    <w:lvl w:ilvl="7" w:tplc="040C0003" w:tentative="1">
      <w:start w:val="1"/>
      <w:numFmt w:val="bullet"/>
      <w:lvlText w:val="o"/>
      <w:lvlJc w:val="left"/>
      <w:pPr>
        <w:ind w:left="6049" w:hanging="360"/>
      </w:pPr>
      <w:rPr>
        <w:rFonts w:ascii="Courier New" w:hAnsi="Courier New" w:cs="Courier New" w:hint="default"/>
      </w:rPr>
    </w:lvl>
    <w:lvl w:ilvl="8" w:tplc="040C0005" w:tentative="1">
      <w:start w:val="1"/>
      <w:numFmt w:val="bullet"/>
      <w:lvlText w:val=""/>
      <w:lvlJc w:val="left"/>
      <w:pPr>
        <w:ind w:left="6769" w:hanging="360"/>
      </w:pPr>
      <w:rPr>
        <w:rFonts w:ascii="Wingdings" w:hAnsi="Wingdings" w:hint="default"/>
      </w:rPr>
    </w:lvl>
  </w:abstractNum>
  <w:abstractNum w:abstractNumId="135" w15:restartNumberingAfterBreak="0">
    <w:nsid w:val="55F67C9C"/>
    <w:multiLevelType w:val="hybridMultilevel"/>
    <w:tmpl w:val="99DAEAA0"/>
    <w:lvl w:ilvl="0" w:tplc="040C0017">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6" w15:restartNumberingAfterBreak="0">
    <w:nsid w:val="57FE6650"/>
    <w:multiLevelType w:val="hybridMultilevel"/>
    <w:tmpl w:val="B6B25A4C"/>
    <w:lvl w:ilvl="0" w:tplc="9BEC19EA">
      <w:start w:val="1"/>
      <w:numFmt w:val="lowerLetter"/>
      <w:lvlText w:val="%1)"/>
      <w:lvlJc w:val="left"/>
      <w:pPr>
        <w:ind w:left="1153" w:hanging="425"/>
      </w:pPr>
      <w:rPr>
        <w:rFonts w:ascii="American Typewriter" w:eastAsia="American Typewriter" w:hAnsi="American Typewriter" w:hint="default"/>
        <w:w w:val="87"/>
        <w:sz w:val="24"/>
        <w:szCs w:val="24"/>
      </w:rPr>
    </w:lvl>
    <w:lvl w:ilvl="1" w:tplc="D54EC8FE">
      <w:start w:val="1"/>
      <w:numFmt w:val="bullet"/>
      <w:lvlText w:val="•"/>
      <w:lvlJc w:val="left"/>
      <w:pPr>
        <w:ind w:left="2000" w:hanging="425"/>
      </w:pPr>
      <w:rPr>
        <w:rFonts w:hint="default"/>
      </w:rPr>
    </w:lvl>
    <w:lvl w:ilvl="2" w:tplc="761456DC">
      <w:start w:val="1"/>
      <w:numFmt w:val="bullet"/>
      <w:lvlText w:val="•"/>
      <w:lvlJc w:val="left"/>
      <w:pPr>
        <w:ind w:left="2841" w:hanging="425"/>
      </w:pPr>
      <w:rPr>
        <w:rFonts w:hint="default"/>
      </w:rPr>
    </w:lvl>
    <w:lvl w:ilvl="3" w:tplc="A042788A">
      <w:start w:val="1"/>
      <w:numFmt w:val="bullet"/>
      <w:lvlText w:val="•"/>
      <w:lvlJc w:val="left"/>
      <w:pPr>
        <w:ind w:left="3681" w:hanging="425"/>
      </w:pPr>
      <w:rPr>
        <w:rFonts w:hint="default"/>
      </w:rPr>
    </w:lvl>
    <w:lvl w:ilvl="4" w:tplc="CEEE237E">
      <w:start w:val="1"/>
      <w:numFmt w:val="bullet"/>
      <w:lvlText w:val="•"/>
      <w:lvlJc w:val="left"/>
      <w:pPr>
        <w:ind w:left="4522" w:hanging="425"/>
      </w:pPr>
      <w:rPr>
        <w:rFonts w:hint="default"/>
      </w:rPr>
    </w:lvl>
    <w:lvl w:ilvl="5" w:tplc="25548000">
      <w:start w:val="1"/>
      <w:numFmt w:val="bullet"/>
      <w:lvlText w:val="•"/>
      <w:lvlJc w:val="left"/>
      <w:pPr>
        <w:ind w:left="5363" w:hanging="425"/>
      </w:pPr>
      <w:rPr>
        <w:rFonts w:hint="default"/>
      </w:rPr>
    </w:lvl>
    <w:lvl w:ilvl="6" w:tplc="E6748596">
      <w:start w:val="1"/>
      <w:numFmt w:val="bullet"/>
      <w:lvlText w:val="•"/>
      <w:lvlJc w:val="left"/>
      <w:pPr>
        <w:ind w:left="6203" w:hanging="425"/>
      </w:pPr>
      <w:rPr>
        <w:rFonts w:hint="default"/>
      </w:rPr>
    </w:lvl>
    <w:lvl w:ilvl="7" w:tplc="6D9A4D6A">
      <w:start w:val="1"/>
      <w:numFmt w:val="bullet"/>
      <w:lvlText w:val="•"/>
      <w:lvlJc w:val="left"/>
      <w:pPr>
        <w:ind w:left="7044" w:hanging="425"/>
      </w:pPr>
      <w:rPr>
        <w:rFonts w:hint="default"/>
      </w:rPr>
    </w:lvl>
    <w:lvl w:ilvl="8" w:tplc="64D48404">
      <w:start w:val="1"/>
      <w:numFmt w:val="bullet"/>
      <w:lvlText w:val="•"/>
      <w:lvlJc w:val="left"/>
      <w:pPr>
        <w:ind w:left="7885" w:hanging="425"/>
      </w:pPr>
      <w:rPr>
        <w:rFonts w:hint="default"/>
      </w:rPr>
    </w:lvl>
  </w:abstractNum>
  <w:abstractNum w:abstractNumId="137" w15:restartNumberingAfterBreak="0">
    <w:nsid w:val="58C84377"/>
    <w:multiLevelType w:val="hybridMultilevel"/>
    <w:tmpl w:val="F7C4E138"/>
    <w:lvl w:ilvl="0" w:tplc="040C000F">
      <w:start w:val="1"/>
      <w:numFmt w:val="decimal"/>
      <w:lvlText w:val="%1."/>
      <w:lvlJc w:val="left"/>
      <w:pPr>
        <w:ind w:left="1452" w:hanging="360"/>
      </w:pPr>
    </w:lvl>
    <w:lvl w:ilvl="1" w:tplc="040C0019" w:tentative="1">
      <w:start w:val="1"/>
      <w:numFmt w:val="lowerLetter"/>
      <w:lvlText w:val="%2."/>
      <w:lvlJc w:val="left"/>
      <w:pPr>
        <w:ind w:left="2172" w:hanging="360"/>
      </w:pPr>
    </w:lvl>
    <w:lvl w:ilvl="2" w:tplc="040C001B" w:tentative="1">
      <w:start w:val="1"/>
      <w:numFmt w:val="lowerRoman"/>
      <w:lvlText w:val="%3."/>
      <w:lvlJc w:val="right"/>
      <w:pPr>
        <w:ind w:left="2892" w:hanging="180"/>
      </w:pPr>
    </w:lvl>
    <w:lvl w:ilvl="3" w:tplc="040C000F" w:tentative="1">
      <w:start w:val="1"/>
      <w:numFmt w:val="decimal"/>
      <w:lvlText w:val="%4."/>
      <w:lvlJc w:val="left"/>
      <w:pPr>
        <w:ind w:left="3612" w:hanging="360"/>
      </w:pPr>
    </w:lvl>
    <w:lvl w:ilvl="4" w:tplc="040C0019" w:tentative="1">
      <w:start w:val="1"/>
      <w:numFmt w:val="lowerLetter"/>
      <w:lvlText w:val="%5."/>
      <w:lvlJc w:val="left"/>
      <w:pPr>
        <w:ind w:left="4332" w:hanging="360"/>
      </w:pPr>
    </w:lvl>
    <w:lvl w:ilvl="5" w:tplc="040C001B" w:tentative="1">
      <w:start w:val="1"/>
      <w:numFmt w:val="lowerRoman"/>
      <w:lvlText w:val="%6."/>
      <w:lvlJc w:val="right"/>
      <w:pPr>
        <w:ind w:left="5052" w:hanging="180"/>
      </w:pPr>
    </w:lvl>
    <w:lvl w:ilvl="6" w:tplc="040C000F" w:tentative="1">
      <w:start w:val="1"/>
      <w:numFmt w:val="decimal"/>
      <w:lvlText w:val="%7."/>
      <w:lvlJc w:val="left"/>
      <w:pPr>
        <w:ind w:left="5772" w:hanging="360"/>
      </w:pPr>
    </w:lvl>
    <w:lvl w:ilvl="7" w:tplc="040C0019" w:tentative="1">
      <w:start w:val="1"/>
      <w:numFmt w:val="lowerLetter"/>
      <w:lvlText w:val="%8."/>
      <w:lvlJc w:val="left"/>
      <w:pPr>
        <w:ind w:left="6492" w:hanging="360"/>
      </w:pPr>
    </w:lvl>
    <w:lvl w:ilvl="8" w:tplc="040C001B" w:tentative="1">
      <w:start w:val="1"/>
      <w:numFmt w:val="lowerRoman"/>
      <w:lvlText w:val="%9."/>
      <w:lvlJc w:val="right"/>
      <w:pPr>
        <w:ind w:left="7212" w:hanging="180"/>
      </w:pPr>
    </w:lvl>
  </w:abstractNum>
  <w:abstractNum w:abstractNumId="138" w15:restartNumberingAfterBreak="0">
    <w:nsid w:val="59624D95"/>
    <w:multiLevelType w:val="hybridMultilevel"/>
    <w:tmpl w:val="328ED0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9" w15:restartNumberingAfterBreak="0">
    <w:nsid w:val="597D5047"/>
    <w:multiLevelType w:val="singleLevel"/>
    <w:tmpl w:val="CF50EBB0"/>
    <w:lvl w:ilvl="0">
      <w:start w:val="1"/>
      <w:numFmt w:val="lowerLetter"/>
      <w:lvlText w:val="%1)"/>
      <w:lvlJc w:val="left"/>
      <w:pPr>
        <w:tabs>
          <w:tab w:val="num" w:pos="1069"/>
        </w:tabs>
        <w:ind w:left="1069" w:hanging="360"/>
      </w:pPr>
      <w:rPr>
        <w:rFonts w:hint="default"/>
      </w:rPr>
    </w:lvl>
  </w:abstractNum>
  <w:abstractNum w:abstractNumId="140" w15:restartNumberingAfterBreak="0">
    <w:nsid w:val="599E39AA"/>
    <w:multiLevelType w:val="hybridMultilevel"/>
    <w:tmpl w:val="C03C702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1" w15:restartNumberingAfterBreak="0">
    <w:nsid w:val="5AF52E09"/>
    <w:multiLevelType w:val="hybridMultilevel"/>
    <w:tmpl w:val="74CEA1DA"/>
    <w:lvl w:ilvl="0" w:tplc="040C0017">
      <w:start w:val="1"/>
      <w:numFmt w:val="lowerLetter"/>
      <w:lvlText w:val="%1)"/>
      <w:lvlJc w:val="left"/>
      <w:pPr>
        <w:tabs>
          <w:tab w:val="num" w:pos="720"/>
        </w:tabs>
        <w:ind w:left="720" w:hanging="360"/>
      </w:pPr>
      <w:rPr>
        <w:rFonts w:hint="default"/>
      </w:rPr>
    </w:lvl>
    <w:lvl w:ilvl="1" w:tplc="F2E4CBD2">
      <w:start w:val="5"/>
      <w:numFmt w:val="bullet"/>
      <w:lvlText w:val="-"/>
      <w:lvlJc w:val="left"/>
      <w:pPr>
        <w:ind w:left="1440" w:hanging="360"/>
      </w:pPr>
      <w:rPr>
        <w:rFonts w:ascii="Arial" w:eastAsia="EUAlbertina-Regular-Identity-H" w:hAnsi="Arial" w:cs="Arial"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2" w15:restartNumberingAfterBreak="0">
    <w:nsid w:val="5B034491"/>
    <w:multiLevelType w:val="hybridMultilevel"/>
    <w:tmpl w:val="65A01E1C"/>
    <w:lvl w:ilvl="0" w:tplc="6CE28E28">
      <w:numFmt w:val="bullet"/>
      <w:lvlText w:val="-"/>
      <w:lvlJc w:val="left"/>
      <w:pPr>
        <w:ind w:left="720" w:hanging="360"/>
      </w:pPr>
      <w:rPr>
        <w:rFonts w:ascii="Times New Roman" w:eastAsia="Times New Roman" w:hAnsi="Times New Roman" w:cs="Arabic Transparen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3" w15:restartNumberingAfterBreak="0">
    <w:nsid w:val="5BA2147E"/>
    <w:multiLevelType w:val="singleLevel"/>
    <w:tmpl w:val="A6348358"/>
    <w:lvl w:ilvl="0">
      <w:start w:val="2"/>
      <w:numFmt w:val="bullet"/>
      <w:lvlText w:val="-"/>
      <w:lvlJc w:val="left"/>
      <w:pPr>
        <w:tabs>
          <w:tab w:val="num" w:pos="1065"/>
        </w:tabs>
        <w:ind w:left="1065" w:hanging="360"/>
      </w:pPr>
      <w:rPr>
        <w:rFonts w:hint="default"/>
      </w:rPr>
    </w:lvl>
  </w:abstractNum>
  <w:abstractNum w:abstractNumId="144" w15:restartNumberingAfterBreak="0">
    <w:nsid w:val="5C061F6A"/>
    <w:multiLevelType w:val="singleLevel"/>
    <w:tmpl w:val="BAEA220E"/>
    <w:lvl w:ilvl="0">
      <w:start w:val="1"/>
      <w:numFmt w:val="lowerLetter"/>
      <w:lvlText w:val="%1)"/>
      <w:lvlJc w:val="left"/>
      <w:pPr>
        <w:tabs>
          <w:tab w:val="num" w:pos="360"/>
        </w:tabs>
        <w:ind w:left="360" w:hanging="360"/>
      </w:pPr>
      <w:rPr>
        <w:rFonts w:hint="default"/>
      </w:rPr>
    </w:lvl>
  </w:abstractNum>
  <w:abstractNum w:abstractNumId="145" w15:restartNumberingAfterBreak="0">
    <w:nsid w:val="5C0A412D"/>
    <w:multiLevelType w:val="hybridMultilevel"/>
    <w:tmpl w:val="1738FD78"/>
    <w:lvl w:ilvl="0" w:tplc="864ED540">
      <w:start w:val="1"/>
      <w:numFmt w:val="lowerLetter"/>
      <w:lvlText w:val="%1)"/>
      <w:lvlJc w:val="left"/>
      <w:pPr>
        <w:ind w:left="870" w:hanging="401"/>
      </w:pPr>
      <w:rPr>
        <w:rFonts w:ascii="American Typewriter" w:eastAsia="American Typewriter" w:hAnsi="American Typewriter" w:hint="default"/>
        <w:w w:val="87"/>
        <w:sz w:val="24"/>
        <w:szCs w:val="24"/>
      </w:rPr>
    </w:lvl>
    <w:lvl w:ilvl="1" w:tplc="8822EEE8">
      <w:start w:val="1"/>
      <w:numFmt w:val="bullet"/>
      <w:lvlText w:val="-"/>
      <w:lvlJc w:val="left"/>
      <w:pPr>
        <w:ind w:left="1153" w:hanging="425"/>
      </w:pPr>
      <w:rPr>
        <w:rFonts w:ascii="American Typewriter" w:eastAsia="American Typewriter" w:hAnsi="American Typewriter" w:hint="default"/>
        <w:w w:val="107"/>
        <w:sz w:val="24"/>
        <w:szCs w:val="24"/>
      </w:rPr>
    </w:lvl>
    <w:lvl w:ilvl="2" w:tplc="FCBE945C">
      <w:start w:val="1"/>
      <w:numFmt w:val="bullet"/>
      <w:lvlText w:val="•"/>
      <w:lvlJc w:val="left"/>
      <w:pPr>
        <w:ind w:left="2094" w:hanging="425"/>
      </w:pPr>
      <w:rPr>
        <w:rFonts w:hint="default"/>
      </w:rPr>
    </w:lvl>
    <w:lvl w:ilvl="3" w:tplc="FCF2794E">
      <w:start w:val="1"/>
      <w:numFmt w:val="bullet"/>
      <w:lvlText w:val="•"/>
      <w:lvlJc w:val="left"/>
      <w:pPr>
        <w:ind w:left="3028" w:hanging="425"/>
      </w:pPr>
      <w:rPr>
        <w:rFonts w:hint="default"/>
      </w:rPr>
    </w:lvl>
    <w:lvl w:ilvl="4" w:tplc="249AB0DE">
      <w:start w:val="1"/>
      <w:numFmt w:val="bullet"/>
      <w:lvlText w:val="•"/>
      <w:lvlJc w:val="left"/>
      <w:pPr>
        <w:ind w:left="3962" w:hanging="425"/>
      </w:pPr>
      <w:rPr>
        <w:rFonts w:hint="default"/>
      </w:rPr>
    </w:lvl>
    <w:lvl w:ilvl="5" w:tplc="CEC02ED2">
      <w:start w:val="1"/>
      <w:numFmt w:val="bullet"/>
      <w:lvlText w:val="•"/>
      <w:lvlJc w:val="left"/>
      <w:pPr>
        <w:ind w:left="4896" w:hanging="425"/>
      </w:pPr>
      <w:rPr>
        <w:rFonts w:hint="default"/>
      </w:rPr>
    </w:lvl>
    <w:lvl w:ilvl="6" w:tplc="B38220F2">
      <w:start w:val="1"/>
      <w:numFmt w:val="bullet"/>
      <w:lvlText w:val="•"/>
      <w:lvlJc w:val="left"/>
      <w:pPr>
        <w:ind w:left="5830" w:hanging="425"/>
      </w:pPr>
      <w:rPr>
        <w:rFonts w:hint="default"/>
      </w:rPr>
    </w:lvl>
    <w:lvl w:ilvl="7" w:tplc="6EC60088">
      <w:start w:val="1"/>
      <w:numFmt w:val="bullet"/>
      <w:lvlText w:val="•"/>
      <w:lvlJc w:val="left"/>
      <w:pPr>
        <w:ind w:left="6764" w:hanging="425"/>
      </w:pPr>
      <w:rPr>
        <w:rFonts w:hint="default"/>
      </w:rPr>
    </w:lvl>
    <w:lvl w:ilvl="8" w:tplc="A15E25CA">
      <w:start w:val="1"/>
      <w:numFmt w:val="bullet"/>
      <w:lvlText w:val="•"/>
      <w:lvlJc w:val="left"/>
      <w:pPr>
        <w:ind w:left="7698" w:hanging="425"/>
      </w:pPr>
      <w:rPr>
        <w:rFonts w:hint="default"/>
      </w:rPr>
    </w:lvl>
  </w:abstractNum>
  <w:abstractNum w:abstractNumId="146" w15:restartNumberingAfterBreak="0">
    <w:nsid w:val="5D3E51D2"/>
    <w:multiLevelType w:val="hybridMultilevel"/>
    <w:tmpl w:val="73DEAA8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7" w15:restartNumberingAfterBreak="0">
    <w:nsid w:val="5EA35FDD"/>
    <w:multiLevelType w:val="hybridMultilevel"/>
    <w:tmpl w:val="2A402920"/>
    <w:lvl w:ilvl="0" w:tplc="04E8BA1A">
      <w:numFmt w:val="bullet"/>
      <w:lvlText w:val="-"/>
      <w:lvlJc w:val="left"/>
      <w:pPr>
        <w:ind w:left="720" w:hanging="360"/>
      </w:pPr>
      <w:rPr>
        <w:rFonts w:ascii="Bookman Old Style" w:eastAsiaTheme="minorHAnsi" w:hAnsi="Bookman Old Style" w:cs="GlyphLessFon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8" w15:restartNumberingAfterBreak="0">
    <w:nsid w:val="5EC15BA5"/>
    <w:multiLevelType w:val="hybridMultilevel"/>
    <w:tmpl w:val="09102D6A"/>
    <w:lvl w:ilvl="0" w:tplc="ED3A737E">
      <w:start w:val="4"/>
      <w:numFmt w:val="bullet"/>
      <w:lvlText w:val="—"/>
      <w:lvlJc w:val="left"/>
      <w:pPr>
        <w:ind w:left="720" w:hanging="360"/>
      </w:pPr>
      <w:rPr>
        <w:rFonts w:ascii="Bookman Old Style" w:eastAsia="Times New Roman" w:hAnsi="Bookman Old Styl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9" w15:restartNumberingAfterBreak="0">
    <w:nsid w:val="5EFD5B66"/>
    <w:multiLevelType w:val="hybridMultilevel"/>
    <w:tmpl w:val="5DCCC75A"/>
    <w:lvl w:ilvl="0" w:tplc="F2E4CBD2">
      <w:start w:val="5"/>
      <w:numFmt w:val="bullet"/>
      <w:lvlText w:val="-"/>
      <w:lvlJc w:val="left"/>
      <w:pPr>
        <w:ind w:left="720" w:hanging="360"/>
      </w:pPr>
      <w:rPr>
        <w:rFonts w:ascii="Arial" w:eastAsia="EUAlbertina-Regular-Identity-H"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0" w15:restartNumberingAfterBreak="0">
    <w:nsid w:val="5F713854"/>
    <w:multiLevelType w:val="hybridMultilevel"/>
    <w:tmpl w:val="7BB6864A"/>
    <w:lvl w:ilvl="0" w:tplc="B344E5F4">
      <w:start w:val="2"/>
      <w:numFmt w:val="bullet"/>
      <w:lvlText w:val="-"/>
      <w:lvlJc w:val="left"/>
      <w:pPr>
        <w:tabs>
          <w:tab w:val="num" w:pos="420"/>
        </w:tabs>
        <w:ind w:left="420" w:hanging="360"/>
      </w:pPr>
      <w:rPr>
        <w:rFonts w:ascii="Times New Roman" w:eastAsia="Times New Roman" w:hAnsi="Times New Roman" w:cs="Times New Roman" w:hint="default"/>
      </w:rPr>
    </w:lvl>
    <w:lvl w:ilvl="1" w:tplc="040C0003" w:tentative="1">
      <w:start w:val="1"/>
      <w:numFmt w:val="bullet"/>
      <w:lvlText w:val="o"/>
      <w:lvlJc w:val="left"/>
      <w:pPr>
        <w:tabs>
          <w:tab w:val="num" w:pos="1140"/>
        </w:tabs>
        <w:ind w:left="1140" w:hanging="360"/>
      </w:pPr>
      <w:rPr>
        <w:rFonts w:ascii="Courier New" w:hAnsi="Courier New" w:hint="default"/>
      </w:rPr>
    </w:lvl>
    <w:lvl w:ilvl="2" w:tplc="040C0005" w:tentative="1">
      <w:start w:val="1"/>
      <w:numFmt w:val="bullet"/>
      <w:lvlText w:val=""/>
      <w:lvlJc w:val="left"/>
      <w:pPr>
        <w:tabs>
          <w:tab w:val="num" w:pos="1860"/>
        </w:tabs>
        <w:ind w:left="1860" w:hanging="360"/>
      </w:pPr>
      <w:rPr>
        <w:rFonts w:ascii="Wingdings" w:hAnsi="Wingdings" w:hint="default"/>
      </w:rPr>
    </w:lvl>
    <w:lvl w:ilvl="3" w:tplc="040C0001" w:tentative="1">
      <w:start w:val="1"/>
      <w:numFmt w:val="bullet"/>
      <w:lvlText w:val=""/>
      <w:lvlJc w:val="left"/>
      <w:pPr>
        <w:tabs>
          <w:tab w:val="num" w:pos="2580"/>
        </w:tabs>
        <w:ind w:left="2580" w:hanging="360"/>
      </w:pPr>
      <w:rPr>
        <w:rFonts w:ascii="Symbol" w:hAnsi="Symbol" w:hint="default"/>
      </w:rPr>
    </w:lvl>
    <w:lvl w:ilvl="4" w:tplc="040C0003" w:tentative="1">
      <w:start w:val="1"/>
      <w:numFmt w:val="bullet"/>
      <w:lvlText w:val="o"/>
      <w:lvlJc w:val="left"/>
      <w:pPr>
        <w:tabs>
          <w:tab w:val="num" w:pos="3300"/>
        </w:tabs>
        <w:ind w:left="3300" w:hanging="360"/>
      </w:pPr>
      <w:rPr>
        <w:rFonts w:ascii="Courier New" w:hAnsi="Courier New" w:hint="default"/>
      </w:rPr>
    </w:lvl>
    <w:lvl w:ilvl="5" w:tplc="040C0005" w:tentative="1">
      <w:start w:val="1"/>
      <w:numFmt w:val="bullet"/>
      <w:lvlText w:val=""/>
      <w:lvlJc w:val="left"/>
      <w:pPr>
        <w:tabs>
          <w:tab w:val="num" w:pos="4020"/>
        </w:tabs>
        <w:ind w:left="4020" w:hanging="360"/>
      </w:pPr>
      <w:rPr>
        <w:rFonts w:ascii="Wingdings" w:hAnsi="Wingdings" w:hint="default"/>
      </w:rPr>
    </w:lvl>
    <w:lvl w:ilvl="6" w:tplc="040C0001" w:tentative="1">
      <w:start w:val="1"/>
      <w:numFmt w:val="bullet"/>
      <w:lvlText w:val=""/>
      <w:lvlJc w:val="left"/>
      <w:pPr>
        <w:tabs>
          <w:tab w:val="num" w:pos="4740"/>
        </w:tabs>
        <w:ind w:left="4740" w:hanging="360"/>
      </w:pPr>
      <w:rPr>
        <w:rFonts w:ascii="Symbol" w:hAnsi="Symbol" w:hint="default"/>
      </w:rPr>
    </w:lvl>
    <w:lvl w:ilvl="7" w:tplc="040C0003" w:tentative="1">
      <w:start w:val="1"/>
      <w:numFmt w:val="bullet"/>
      <w:lvlText w:val="o"/>
      <w:lvlJc w:val="left"/>
      <w:pPr>
        <w:tabs>
          <w:tab w:val="num" w:pos="5460"/>
        </w:tabs>
        <w:ind w:left="5460" w:hanging="360"/>
      </w:pPr>
      <w:rPr>
        <w:rFonts w:ascii="Courier New" w:hAnsi="Courier New" w:hint="default"/>
      </w:rPr>
    </w:lvl>
    <w:lvl w:ilvl="8" w:tplc="040C0005" w:tentative="1">
      <w:start w:val="1"/>
      <w:numFmt w:val="bullet"/>
      <w:lvlText w:val=""/>
      <w:lvlJc w:val="left"/>
      <w:pPr>
        <w:tabs>
          <w:tab w:val="num" w:pos="6180"/>
        </w:tabs>
        <w:ind w:left="6180" w:hanging="360"/>
      </w:pPr>
      <w:rPr>
        <w:rFonts w:ascii="Wingdings" w:hAnsi="Wingdings" w:hint="default"/>
      </w:rPr>
    </w:lvl>
  </w:abstractNum>
  <w:abstractNum w:abstractNumId="151" w15:restartNumberingAfterBreak="0">
    <w:nsid w:val="601F6047"/>
    <w:multiLevelType w:val="hybridMultilevel"/>
    <w:tmpl w:val="28EC34DE"/>
    <w:lvl w:ilvl="0" w:tplc="040C0017">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2" w15:restartNumberingAfterBreak="0">
    <w:nsid w:val="629233AB"/>
    <w:multiLevelType w:val="hybridMultilevel"/>
    <w:tmpl w:val="41909A9C"/>
    <w:lvl w:ilvl="0" w:tplc="040C0017">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3" w15:restartNumberingAfterBreak="0">
    <w:nsid w:val="62FD42DF"/>
    <w:multiLevelType w:val="hybridMultilevel"/>
    <w:tmpl w:val="ACE43DD6"/>
    <w:lvl w:ilvl="0" w:tplc="BD8C3186">
      <w:start w:val="1"/>
      <w:numFmt w:val="lowerLetter"/>
      <w:lvlText w:val="%1)"/>
      <w:lvlJc w:val="left"/>
      <w:pPr>
        <w:ind w:left="1153" w:hanging="425"/>
      </w:pPr>
      <w:rPr>
        <w:rFonts w:ascii="Tahoma" w:eastAsia="American Typewriter" w:hAnsi="Tahoma" w:cs="Tahoma" w:hint="default"/>
        <w:w w:val="87"/>
        <w:sz w:val="24"/>
        <w:szCs w:val="24"/>
      </w:rPr>
    </w:lvl>
    <w:lvl w:ilvl="1" w:tplc="1A64F8B2">
      <w:start w:val="1"/>
      <w:numFmt w:val="bullet"/>
      <w:lvlText w:val="•"/>
      <w:lvlJc w:val="left"/>
      <w:pPr>
        <w:ind w:left="2000" w:hanging="425"/>
      </w:pPr>
      <w:rPr>
        <w:rFonts w:hint="default"/>
      </w:rPr>
    </w:lvl>
    <w:lvl w:ilvl="2" w:tplc="8CD8E2F6">
      <w:start w:val="1"/>
      <w:numFmt w:val="bullet"/>
      <w:lvlText w:val="•"/>
      <w:lvlJc w:val="left"/>
      <w:pPr>
        <w:ind w:left="2841" w:hanging="425"/>
      </w:pPr>
      <w:rPr>
        <w:rFonts w:hint="default"/>
      </w:rPr>
    </w:lvl>
    <w:lvl w:ilvl="3" w:tplc="B4081E82">
      <w:start w:val="1"/>
      <w:numFmt w:val="bullet"/>
      <w:lvlText w:val="•"/>
      <w:lvlJc w:val="left"/>
      <w:pPr>
        <w:ind w:left="3681" w:hanging="425"/>
      </w:pPr>
      <w:rPr>
        <w:rFonts w:hint="default"/>
      </w:rPr>
    </w:lvl>
    <w:lvl w:ilvl="4" w:tplc="B3125B78">
      <w:start w:val="1"/>
      <w:numFmt w:val="bullet"/>
      <w:lvlText w:val="•"/>
      <w:lvlJc w:val="left"/>
      <w:pPr>
        <w:ind w:left="4522" w:hanging="425"/>
      </w:pPr>
      <w:rPr>
        <w:rFonts w:hint="default"/>
      </w:rPr>
    </w:lvl>
    <w:lvl w:ilvl="5" w:tplc="7E4802DE">
      <w:start w:val="1"/>
      <w:numFmt w:val="bullet"/>
      <w:lvlText w:val="•"/>
      <w:lvlJc w:val="left"/>
      <w:pPr>
        <w:ind w:left="5363" w:hanging="425"/>
      </w:pPr>
      <w:rPr>
        <w:rFonts w:hint="default"/>
      </w:rPr>
    </w:lvl>
    <w:lvl w:ilvl="6" w:tplc="63089D60">
      <w:start w:val="1"/>
      <w:numFmt w:val="bullet"/>
      <w:lvlText w:val="•"/>
      <w:lvlJc w:val="left"/>
      <w:pPr>
        <w:ind w:left="6203" w:hanging="425"/>
      </w:pPr>
      <w:rPr>
        <w:rFonts w:hint="default"/>
      </w:rPr>
    </w:lvl>
    <w:lvl w:ilvl="7" w:tplc="19BC9F54">
      <w:start w:val="1"/>
      <w:numFmt w:val="bullet"/>
      <w:lvlText w:val="•"/>
      <w:lvlJc w:val="left"/>
      <w:pPr>
        <w:ind w:left="7044" w:hanging="425"/>
      </w:pPr>
      <w:rPr>
        <w:rFonts w:hint="default"/>
      </w:rPr>
    </w:lvl>
    <w:lvl w:ilvl="8" w:tplc="E5826816">
      <w:start w:val="1"/>
      <w:numFmt w:val="bullet"/>
      <w:lvlText w:val="•"/>
      <w:lvlJc w:val="left"/>
      <w:pPr>
        <w:ind w:left="7885" w:hanging="425"/>
      </w:pPr>
      <w:rPr>
        <w:rFonts w:hint="default"/>
      </w:rPr>
    </w:lvl>
  </w:abstractNum>
  <w:abstractNum w:abstractNumId="154" w15:restartNumberingAfterBreak="0">
    <w:nsid w:val="64920F3C"/>
    <w:multiLevelType w:val="hybridMultilevel"/>
    <w:tmpl w:val="24C2B152"/>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5" w15:restartNumberingAfterBreak="0">
    <w:nsid w:val="65386571"/>
    <w:multiLevelType w:val="hybridMultilevel"/>
    <w:tmpl w:val="EE223954"/>
    <w:lvl w:ilvl="0" w:tplc="88F6E39E">
      <w:start w:val="1"/>
      <w:numFmt w:val="decimal"/>
      <w:lvlText w:val="(%1)"/>
      <w:lvlJc w:val="left"/>
      <w:pPr>
        <w:ind w:left="720" w:hanging="360"/>
      </w:pPr>
      <w:rPr>
        <w:rFonts w:hint="default"/>
      </w:rPr>
    </w:lvl>
    <w:lvl w:ilvl="1" w:tplc="22D48662">
      <w:start w:val="1"/>
      <w:numFmt w:val="decimal"/>
      <w:lvlText w:val="%2."/>
      <w:lvlJc w:val="left"/>
      <w:pPr>
        <w:ind w:left="1440" w:hanging="360"/>
      </w:pPr>
      <w:rPr>
        <w:rFonts w:hint="default"/>
      </w:rPr>
    </w:lvl>
    <w:lvl w:ilvl="2" w:tplc="F2E4CBD2">
      <w:start w:val="5"/>
      <w:numFmt w:val="bullet"/>
      <w:lvlText w:val="-"/>
      <w:lvlJc w:val="left"/>
      <w:pPr>
        <w:ind w:left="2340" w:hanging="360"/>
      </w:pPr>
      <w:rPr>
        <w:rFonts w:ascii="Arial" w:eastAsia="EUAlbertina-Regular-Identity-H" w:hAnsi="Arial" w:cs="Arial"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6" w15:restartNumberingAfterBreak="0">
    <w:nsid w:val="65BD5FFB"/>
    <w:multiLevelType w:val="singleLevel"/>
    <w:tmpl w:val="F04C3A36"/>
    <w:lvl w:ilvl="0">
      <w:start w:val="1"/>
      <w:numFmt w:val="lowerLetter"/>
      <w:lvlText w:val="%1)"/>
      <w:lvlJc w:val="left"/>
      <w:pPr>
        <w:tabs>
          <w:tab w:val="num" w:pos="1069"/>
        </w:tabs>
        <w:ind w:left="1069" w:hanging="360"/>
      </w:pPr>
      <w:rPr>
        <w:rFonts w:hint="default"/>
      </w:rPr>
    </w:lvl>
  </w:abstractNum>
  <w:abstractNum w:abstractNumId="157" w15:restartNumberingAfterBreak="0">
    <w:nsid w:val="668C4D63"/>
    <w:multiLevelType w:val="hybridMultilevel"/>
    <w:tmpl w:val="0DE8B892"/>
    <w:lvl w:ilvl="0" w:tplc="F2E4CBD2">
      <w:start w:val="5"/>
      <w:numFmt w:val="bullet"/>
      <w:lvlText w:val="-"/>
      <w:lvlJc w:val="left"/>
      <w:pPr>
        <w:ind w:left="360" w:hanging="360"/>
      </w:pPr>
      <w:rPr>
        <w:rFonts w:ascii="Arial" w:eastAsia="EUAlbertina-Regular-Identity-H"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8" w15:restartNumberingAfterBreak="0">
    <w:nsid w:val="66F50318"/>
    <w:multiLevelType w:val="hybridMultilevel"/>
    <w:tmpl w:val="D14E36F4"/>
    <w:lvl w:ilvl="0" w:tplc="8EACDACA">
      <w:start w:val="1"/>
      <w:numFmt w:val="decimal"/>
      <w:lvlText w:val="%1."/>
      <w:lvlJc w:val="left"/>
      <w:pPr>
        <w:ind w:left="720" w:hanging="360"/>
      </w:pPr>
      <w:rPr>
        <w:rFonts w:hint="default"/>
        <w:color w:val="000000" w:themeColor="tex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9" w15:restartNumberingAfterBreak="0">
    <w:nsid w:val="671E42CD"/>
    <w:multiLevelType w:val="hybridMultilevel"/>
    <w:tmpl w:val="FC4A606C"/>
    <w:lvl w:ilvl="0" w:tplc="69F659CC">
      <w:start w:val="1"/>
      <w:numFmt w:val="bullet"/>
      <w:lvlText w:val="-"/>
      <w:lvlJc w:val="left"/>
      <w:pPr>
        <w:ind w:left="1153" w:hanging="425"/>
      </w:pPr>
      <w:rPr>
        <w:rFonts w:ascii="American Typewriter" w:eastAsia="American Typewriter" w:hAnsi="American Typewriter" w:hint="default"/>
        <w:w w:val="107"/>
        <w:sz w:val="24"/>
        <w:szCs w:val="24"/>
      </w:rPr>
    </w:lvl>
    <w:lvl w:ilvl="1" w:tplc="3BAC8E9C">
      <w:start w:val="1"/>
      <w:numFmt w:val="bullet"/>
      <w:lvlText w:val="•"/>
      <w:lvlJc w:val="left"/>
      <w:pPr>
        <w:ind w:left="2000" w:hanging="425"/>
      </w:pPr>
      <w:rPr>
        <w:rFonts w:hint="default"/>
      </w:rPr>
    </w:lvl>
    <w:lvl w:ilvl="2" w:tplc="734A4EA2">
      <w:start w:val="1"/>
      <w:numFmt w:val="bullet"/>
      <w:lvlText w:val="•"/>
      <w:lvlJc w:val="left"/>
      <w:pPr>
        <w:ind w:left="2841" w:hanging="425"/>
      </w:pPr>
      <w:rPr>
        <w:rFonts w:hint="default"/>
      </w:rPr>
    </w:lvl>
    <w:lvl w:ilvl="3" w:tplc="1C94DF3E">
      <w:start w:val="1"/>
      <w:numFmt w:val="bullet"/>
      <w:lvlText w:val="•"/>
      <w:lvlJc w:val="left"/>
      <w:pPr>
        <w:ind w:left="3681" w:hanging="425"/>
      </w:pPr>
      <w:rPr>
        <w:rFonts w:hint="default"/>
      </w:rPr>
    </w:lvl>
    <w:lvl w:ilvl="4" w:tplc="E7262A1A">
      <w:start w:val="1"/>
      <w:numFmt w:val="bullet"/>
      <w:lvlText w:val="•"/>
      <w:lvlJc w:val="left"/>
      <w:pPr>
        <w:ind w:left="4522" w:hanging="425"/>
      </w:pPr>
      <w:rPr>
        <w:rFonts w:hint="default"/>
      </w:rPr>
    </w:lvl>
    <w:lvl w:ilvl="5" w:tplc="6CAECD56">
      <w:start w:val="1"/>
      <w:numFmt w:val="bullet"/>
      <w:lvlText w:val="•"/>
      <w:lvlJc w:val="left"/>
      <w:pPr>
        <w:ind w:left="5363" w:hanging="425"/>
      </w:pPr>
      <w:rPr>
        <w:rFonts w:hint="default"/>
      </w:rPr>
    </w:lvl>
    <w:lvl w:ilvl="6" w:tplc="17CE85C8">
      <w:start w:val="1"/>
      <w:numFmt w:val="bullet"/>
      <w:lvlText w:val="•"/>
      <w:lvlJc w:val="left"/>
      <w:pPr>
        <w:ind w:left="6203" w:hanging="425"/>
      </w:pPr>
      <w:rPr>
        <w:rFonts w:hint="default"/>
      </w:rPr>
    </w:lvl>
    <w:lvl w:ilvl="7" w:tplc="B4F4706A">
      <w:start w:val="1"/>
      <w:numFmt w:val="bullet"/>
      <w:lvlText w:val="•"/>
      <w:lvlJc w:val="left"/>
      <w:pPr>
        <w:ind w:left="7044" w:hanging="425"/>
      </w:pPr>
      <w:rPr>
        <w:rFonts w:hint="default"/>
      </w:rPr>
    </w:lvl>
    <w:lvl w:ilvl="8" w:tplc="2800CAD0">
      <w:start w:val="1"/>
      <w:numFmt w:val="bullet"/>
      <w:lvlText w:val="•"/>
      <w:lvlJc w:val="left"/>
      <w:pPr>
        <w:ind w:left="7885" w:hanging="425"/>
      </w:pPr>
      <w:rPr>
        <w:rFonts w:hint="default"/>
      </w:rPr>
    </w:lvl>
  </w:abstractNum>
  <w:abstractNum w:abstractNumId="160" w15:restartNumberingAfterBreak="0">
    <w:nsid w:val="692458D1"/>
    <w:multiLevelType w:val="hybridMultilevel"/>
    <w:tmpl w:val="152EC946"/>
    <w:lvl w:ilvl="0" w:tplc="829E4564">
      <w:start w:val="4"/>
      <w:numFmt w:val="bullet"/>
      <w:lvlText w:val="-"/>
      <w:lvlJc w:val="left"/>
      <w:pPr>
        <w:ind w:left="720" w:hanging="360"/>
      </w:pPr>
      <w:rPr>
        <w:rFonts w:ascii="Bookman Old Style" w:eastAsia="Times New Roman" w:hAnsi="Bookman Old Styl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1" w15:restartNumberingAfterBreak="0">
    <w:nsid w:val="69801D2B"/>
    <w:multiLevelType w:val="hybridMultilevel"/>
    <w:tmpl w:val="A384A5E4"/>
    <w:lvl w:ilvl="0" w:tplc="C3F64140">
      <w:start w:val="19"/>
      <w:numFmt w:val="bullet"/>
      <w:lvlText w:val="-"/>
      <w:lvlJc w:val="left"/>
      <w:pPr>
        <w:tabs>
          <w:tab w:val="num" w:pos="1776"/>
        </w:tabs>
        <w:ind w:left="1776" w:hanging="360"/>
      </w:pPr>
      <w:rPr>
        <w:rFonts w:ascii="Times New Roman" w:eastAsia="Times New Roman" w:hAnsi="Times New Roman" w:cs="Times New Roman" w:hint="default"/>
      </w:rPr>
    </w:lvl>
    <w:lvl w:ilvl="1" w:tplc="040C0003" w:tentative="1">
      <w:start w:val="1"/>
      <w:numFmt w:val="bullet"/>
      <w:lvlText w:val="o"/>
      <w:lvlJc w:val="left"/>
      <w:pPr>
        <w:tabs>
          <w:tab w:val="num" w:pos="2496"/>
        </w:tabs>
        <w:ind w:left="2496" w:hanging="360"/>
      </w:pPr>
      <w:rPr>
        <w:rFonts w:ascii="Courier New" w:hAnsi="Courier New" w:cs="Courier New" w:hint="default"/>
      </w:rPr>
    </w:lvl>
    <w:lvl w:ilvl="2" w:tplc="040C0005" w:tentative="1">
      <w:start w:val="1"/>
      <w:numFmt w:val="bullet"/>
      <w:lvlText w:val=""/>
      <w:lvlJc w:val="left"/>
      <w:pPr>
        <w:tabs>
          <w:tab w:val="num" w:pos="3216"/>
        </w:tabs>
        <w:ind w:left="3216" w:hanging="360"/>
      </w:pPr>
      <w:rPr>
        <w:rFonts w:ascii="Wingdings" w:hAnsi="Wingdings" w:hint="default"/>
      </w:rPr>
    </w:lvl>
    <w:lvl w:ilvl="3" w:tplc="040C0001" w:tentative="1">
      <w:start w:val="1"/>
      <w:numFmt w:val="bullet"/>
      <w:lvlText w:val=""/>
      <w:lvlJc w:val="left"/>
      <w:pPr>
        <w:tabs>
          <w:tab w:val="num" w:pos="3936"/>
        </w:tabs>
        <w:ind w:left="3936" w:hanging="360"/>
      </w:pPr>
      <w:rPr>
        <w:rFonts w:ascii="Symbol" w:hAnsi="Symbol" w:hint="default"/>
      </w:rPr>
    </w:lvl>
    <w:lvl w:ilvl="4" w:tplc="040C0003" w:tentative="1">
      <w:start w:val="1"/>
      <w:numFmt w:val="bullet"/>
      <w:lvlText w:val="o"/>
      <w:lvlJc w:val="left"/>
      <w:pPr>
        <w:tabs>
          <w:tab w:val="num" w:pos="4656"/>
        </w:tabs>
        <w:ind w:left="4656" w:hanging="360"/>
      </w:pPr>
      <w:rPr>
        <w:rFonts w:ascii="Courier New" w:hAnsi="Courier New" w:cs="Courier New" w:hint="default"/>
      </w:rPr>
    </w:lvl>
    <w:lvl w:ilvl="5" w:tplc="040C0005" w:tentative="1">
      <w:start w:val="1"/>
      <w:numFmt w:val="bullet"/>
      <w:lvlText w:val=""/>
      <w:lvlJc w:val="left"/>
      <w:pPr>
        <w:tabs>
          <w:tab w:val="num" w:pos="5376"/>
        </w:tabs>
        <w:ind w:left="5376" w:hanging="360"/>
      </w:pPr>
      <w:rPr>
        <w:rFonts w:ascii="Wingdings" w:hAnsi="Wingdings" w:hint="default"/>
      </w:rPr>
    </w:lvl>
    <w:lvl w:ilvl="6" w:tplc="040C0001" w:tentative="1">
      <w:start w:val="1"/>
      <w:numFmt w:val="bullet"/>
      <w:lvlText w:val=""/>
      <w:lvlJc w:val="left"/>
      <w:pPr>
        <w:tabs>
          <w:tab w:val="num" w:pos="6096"/>
        </w:tabs>
        <w:ind w:left="6096" w:hanging="360"/>
      </w:pPr>
      <w:rPr>
        <w:rFonts w:ascii="Symbol" w:hAnsi="Symbol" w:hint="default"/>
      </w:rPr>
    </w:lvl>
    <w:lvl w:ilvl="7" w:tplc="040C0003" w:tentative="1">
      <w:start w:val="1"/>
      <w:numFmt w:val="bullet"/>
      <w:lvlText w:val="o"/>
      <w:lvlJc w:val="left"/>
      <w:pPr>
        <w:tabs>
          <w:tab w:val="num" w:pos="6816"/>
        </w:tabs>
        <w:ind w:left="6816" w:hanging="360"/>
      </w:pPr>
      <w:rPr>
        <w:rFonts w:ascii="Courier New" w:hAnsi="Courier New" w:cs="Courier New" w:hint="default"/>
      </w:rPr>
    </w:lvl>
    <w:lvl w:ilvl="8" w:tplc="040C0005" w:tentative="1">
      <w:start w:val="1"/>
      <w:numFmt w:val="bullet"/>
      <w:lvlText w:val=""/>
      <w:lvlJc w:val="left"/>
      <w:pPr>
        <w:tabs>
          <w:tab w:val="num" w:pos="7536"/>
        </w:tabs>
        <w:ind w:left="7536" w:hanging="360"/>
      </w:pPr>
      <w:rPr>
        <w:rFonts w:ascii="Wingdings" w:hAnsi="Wingdings" w:hint="default"/>
      </w:rPr>
    </w:lvl>
  </w:abstractNum>
  <w:abstractNum w:abstractNumId="162" w15:restartNumberingAfterBreak="0">
    <w:nsid w:val="6A3377FF"/>
    <w:multiLevelType w:val="hybridMultilevel"/>
    <w:tmpl w:val="35845374"/>
    <w:lvl w:ilvl="0" w:tplc="F1A27224">
      <w:start w:val="1"/>
      <w:numFmt w:val="lowerRoman"/>
      <w:lvlText w:val="%1."/>
      <w:lvlJc w:val="left"/>
      <w:pPr>
        <w:ind w:left="720" w:hanging="360"/>
      </w:pPr>
      <w:rPr>
        <w:rFonts w:ascii="Tahoma" w:eastAsiaTheme="minorHAnsi" w:hAnsi="Tahoma" w:cs="Tahoma"/>
        <w:b w:val="0"/>
        <w:bCs w:val="0"/>
      </w:rPr>
    </w:lvl>
    <w:lvl w:ilvl="1" w:tplc="F4307C8A">
      <w:start w:val="1"/>
      <w:numFmt w:val="decimal"/>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3" w15:restartNumberingAfterBreak="0">
    <w:nsid w:val="6B5D1C9B"/>
    <w:multiLevelType w:val="hybridMultilevel"/>
    <w:tmpl w:val="707EF80C"/>
    <w:lvl w:ilvl="0" w:tplc="994EE090">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4" w15:restartNumberingAfterBreak="0">
    <w:nsid w:val="6D3433FF"/>
    <w:multiLevelType w:val="hybridMultilevel"/>
    <w:tmpl w:val="0AC467EE"/>
    <w:lvl w:ilvl="0" w:tplc="1DC43140">
      <w:start w:val="1"/>
      <w:numFmt w:val="decimal"/>
      <w:lvlText w:val="%1."/>
      <w:lvlJc w:val="left"/>
      <w:pPr>
        <w:ind w:left="144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5" w15:restartNumberingAfterBreak="0">
    <w:nsid w:val="6D43007B"/>
    <w:multiLevelType w:val="hybridMultilevel"/>
    <w:tmpl w:val="0478A8D6"/>
    <w:lvl w:ilvl="0" w:tplc="040C0017">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6" w15:restartNumberingAfterBreak="0">
    <w:nsid w:val="6E8668E4"/>
    <w:multiLevelType w:val="hybridMultilevel"/>
    <w:tmpl w:val="92962FCC"/>
    <w:lvl w:ilvl="0" w:tplc="2EA4A472">
      <w:start w:val="1"/>
      <w:numFmt w:val="lowerLetter"/>
      <w:lvlText w:val="%1)"/>
      <w:lvlJc w:val="left"/>
      <w:pPr>
        <w:ind w:left="1153" w:hanging="425"/>
      </w:pPr>
      <w:rPr>
        <w:rFonts w:ascii="American Typewriter" w:eastAsia="American Typewriter" w:hAnsi="American Typewriter" w:hint="default"/>
        <w:w w:val="87"/>
        <w:sz w:val="24"/>
        <w:szCs w:val="24"/>
      </w:rPr>
    </w:lvl>
    <w:lvl w:ilvl="1" w:tplc="3656041E">
      <w:start w:val="1"/>
      <w:numFmt w:val="bullet"/>
      <w:lvlText w:val="•"/>
      <w:lvlJc w:val="left"/>
      <w:pPr>
        <w:ind w:left="2000" w:hanging="425"/>
      </w:pPr>
      <w:rPr>
        <w:rFonts w:hint="default"/>
      </w:rPr>
    </w:lvl>
    <w:lvl w:ilvl="2" w:tplc="6E06783E">
      <w:start w:val="1"/>
      <w:numFmt w:val="bullet"/>
      <w:lvlText w:val="•"/>
      <w:lvlJc w:val="left"/>
      <w:pPr>
        <w:ind w:left="2841" w:hanging="425"/>
      </w:pPr>
      <w:rPr>
        <w:rFonts w:hint="default"/>
      </w:rPr>
    </w:lvl>
    <w:lvl w:ilvl="3" w:tplc="5DB67014">
      <w:start w:val="1"/>
      <w:numFmt w:val="bullet"/>
      <w:lvlText w:val="•"/>
      <w:lvlJc w:val="left"/>
      <w:pPr>
        <w:ind w:left="3681" w:hanging="425"/>
      </w:pPr>
      <w:rPr>
        <w:rFonts w:hint="default"/>
      </w:rPr>
    </w:lvl>
    <w:lvl w:ilvl="4" w:tplc="22848BFC">
      <w:start w:val="1"/>
      <w:numFmt w:val="bullet"/>
      <w:lvlText w:val="•"/>
      <w:lvlJc w:val="left"/>
      <w:pPr>
        <w:ind w:left="4522" w:hanging="425"/>
      </w:pPr>
      <w:rPr>
        <w:rFonts w:hint="default"/>
      </w:rPr>
    </w:lvl>
    <w:lvl w:ilvl="5" w:tplc="C1DA6020">
      <w:start w:val="1"/>
      <w:numFmt w:val="bullet"/>
      <w:lvlText w:val="•"/>
      <w:lvlJc w:val="left"/>
      <w:pPr>
        <w:ind w:left="5363" w:hanging="425"/>
      </w:pPr>
      <w:rPr>
        <w:rFonts w:hint="default"/>
      </w:rPr>
    </w:lvl>
    <w:lvl w:ilvl="6" w:tplc="0518D1FA">
      <w:start w:val="1"/>
      <w:numFmt w:val="bullet"/>
      <w:lvlText w:val="•"/>
      <w:lvlJc w:val="left"/>
      <w:pPr>
        <w:ind w:left="6203" w:hanging="425"/>
      </w:pPr>
      <w:rPr>
        <w:rFonts w:hint="default"/>
      </w:rPr>
    </w:lvl>
    <w:lvl w:ilvl="7" w:tplc="FC04A982">
      <w:start w:val="1"/>
      <w:numFmt w:val="bullet"/>
      <w:lvlText w:val="•"/>
      <w:lvlJc w:val="left"/>
      <w:pPr>
        <w:ind w:left="7044" w:hanging="425"/>
      </w:pPr>
      <w:rPr>
        <w:rFonts w:hint="default"/>
      </w:rPr>
    </w:lvl>
    <w:lvl w:ilvl="8" w:tplc="87A084B6">
      <w:start w:val="1"/>
      <w:numFmt w:val="bullet"/>
      <w:lvlText w:val="•"/>
      <w:lvlJc w:val="left"/>
      <w:pPr>
        <w:ind w:left="7885" w:hanging="425"/>
      </w:pPr>
      <w:rPr>
        <w:rFonts w:hint="default"/>
      </w:rPr>
    </w:lvl>
  </w:abstractNum>
  <w:abstractNum w:abstractNumId="167" w15:restartNumberingAfterBreak="0">
    <w:nsid w:val="6F4444FB"/>
    <w:multiLevelType w:val="hybridMultilevel"/>
    <w:tmpl w:val="086C95C4"/>
    <w:lvl w:ilvl="0" w:tplc="9BEC19EA">
      <w:start w:val="1"/>
      <w:numFmt w:val="lowerLetter"/>
      <w:lvlText w:val="%1)"/>
      <w:lvlJc w:val="left"/>
      <w:pPr>
        <w:ind w:left="720" w:hanging="360"/>
      </w:pPr>
      <w:rPr>
        <w:rFonts w:ascii="American Typewriter" w:eastAsia="American Typewriter" w:hAnsi="American Typewriter" w:hint="default"/>
        <w:w w:val="87"/>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8" w15:restartNumberingAfterBreak="0">
    <w:nsid w:val="6FE02322"/>
    <w:multiLevelType w:val="hybridMultilevel"/>
    <w:tmpl w:val="325A1B00"/>
    <w:lvl w:ilvl="0" w:tplc="040C0017">
      <w:start w:val="1"/>
      <w:numFmt w:val="lowerLetter"/>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9" w15:restartNumberingAfterBreak="0">
    <w:nsid w:val="707F0FCF"/>
    <w:multiLevelType w:val="hybridMultilevel"/>
    <w:tmpl w:val="3F9A462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0" w15:restartNumberingAfterBreak="0">
    <w:nsid w:val="720C12FB"/>
    <w:multiLevelType w:val="hybridMultilevel"/>
    <w:tmpl w:val="270E9722"/>
    <w:lvl w:ilvl="0" w:tplc="4740B27C">
      <w:start w:val="1"/>
      <w:numFmt w:val="decimal"/>
      <w:lvlText w:val="%1."/>
      <w:lvlJc w:val="left"/>
      <w:pPr>
        <w:ind w:left="644" w:hanging="360"/>
      </w:pPr>
      <w:rPr>
        <w:rFonts w:hint="default"/>
      </w:rPr>
    </w:lvl>
    <w:lvl w:ilvl="1" w:tplc="57500920">
      <w:start w:val="1"/>
      <w:numFmt w:val="decimal"/>
      <w:lvlText w:val="%2)"/>
      <w:lvlJc w:val="left"/>
      <w:pPr>
        <w:ind w:left="1409" w:hanging="405"/>
      </w:pPr>
      <w:rPr>
        <w:rFonts w:hint="default"/>
      </w:r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71" w15:restartNumberingAfterBreak="0">
    <w:nsid w:val="72987FA9"/>
    <w:multiLevelType w:val="hybridMultilevel"/>
    <w:tmpl w:val="86DAD32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2" w15:restartNumberingAfterBreak="0">
    <w:nsid w:val="73780AFD"/>
    <w:multiLevelType w:val="hybridMultilevel"/>
    <w:tmpl w:val="6A40A570"/>
    <w:lvl w:ilvl="0" w:tplc="E6E80D6E">
      <w:start w:val="1"/>
      <w:numFmt w:val="bullet"/>
      <w:lvlText w:val="-"/>
      <w:lvlJc w:val="left"/>
      <w:pPr>
        <w:ind w:left="1081" w:hanging="360"/>
      </w:pPr>
      <w:rPr>
        <w:rFonts w:ascii="Tahoma" w:eastAsia="Times New Roman" w:hAnsi="Tahoma" w:cs="Tahoma" w:hint="default"/>
      </w:rPr>
    </w:lvl>
    <w:lvl w:ilvl="1" w:tplc="E6E80D6E">
      <w:start w:val="1"/>
      <w:numFmt w:val="bullet"/>
      <w:lvlText w:val="-"/>
      <w:lvlJc w:val="left"/>
      <w:pPr>
        <w:ind w:left="1801" w:hanging="360"/>
      </w:pPr>
      <w:rPr>
        <w:rFonts w:ascii="Tahoma" w:eastAsia="Times New Roman" w:hAnsi="Tahoma" w:cs="Tahoma" w:hint="default"/>
      </w:rPr>
    </w:lvl>
    <w:lvl w:ilvl="2" w:tplc="040C0005" w:tentative="1">
      <w:start w:val="1"/>
      <w:numFmt w:val="bullet"/>
      <w:lvlText w:val=""/>
      <w:lvlJc w:val="left"/>
      <w:pPr>
        <w:ind w:left="2521" w:hanging="360"/>
      </w:pPr>
      <w:rPr>
        <w:rFonts w:ascii="Wingdings" w:hAnsi="Wingdings" w:hint="default"/>
      </w:rPr>
    </w:lvl>
    <w:lvl w:ilvl="3" w:tplc="040C0001" w:tentative="1">
      <w:start w:val="1"/>
      <w:numFmt w:val="bullet"/>
      <w:lvlText w:val=""/>
      <w:lvlJc w:val="left"/>
      <w:pPr>
        <w:ind w:left="3241" w:hanging="360"/>
      </w:pPr>
      <w:rPr>
        <w:rFonts w:ascii="Symbol" w:hAnsi="Symbol" w:hint="default"/>
      </w:rPr>
    </w:lvl>
    <w:lvl w:ilvl="4" w:tplc="040C0003" w:tentative="1">
      <w:start w:val="1"/>
      <w:numFmt w:val="bullet"/>
      <w:lvlText w:val="o"/>
      <w:lvlJc w:val="left"/>
      <w:pPr>
        <w:ind w:left="3961" w:hanging="360"/>
      </w:pPr>
      <w:rPr>
        <w:rFonts w:ascii="Courier New" w:hAnsi="Courier New" w:cs="Courier New" w:hint="default"/>
      </w:rPr>
    </w:lvl>
    <w:lvl w:ilvl="5" w:tplc="040C0005" w:tentative="1">
      <w:start w:val="1"/>
      <w:numFmt w:val="bullet"/>
      <w:lvlText w:val=""/>
      <w:lvlJc w:val="left"/>
      <w:pPr>
        <w:ind w:left="4681" w:hanging="360"/>
      </w:pPr>
      <w:rPr>
        <w:rFonts w:ascii="Wingdings" w:hAnsi="Wingdings" w:hint="default"/>
      </w:rPr>
    </w:lvl>
    <w:lvl w:ilvl="6" w:tplc="040C0001" w:tentative="1">
      <w:start w:val="1"/>
      <w:numFmt w:val="bullet"/>
      <w:lvlText w:val=""/>
      <w:lvlJc w:val="left"/>
      <w:pPr>
        <w:ind w:left="5401" w:hanging="360"/>
      </w:pPr>
      <w:rPr>
        <w:rFonts w:ascii="Symbol" w:hAnsi="Symbol" w:hint="default"/>
      </w:rPr>
    </w:lvl>
    <w:lvl w:ilvl="7" w:tplc="040C0003" w:tentative="1">
      <w:start w:val="1"/>
      <w:numFmt w:val="bullet"/>
      <w:lvlText w:val="o"/>
      <w:lvlJc w:val="left"/>
      <w:pPr>
        <w:ind w:left="6121" w:hanging="360"/>
      </w:pPr>
      <w:rPr>
        <w:rFonts w:ascii="Courier New" w:hAnsi="Courier New" w:cs="Courier New" w:hint="default"/>
      </w:rPr>
    </w:lvl>
    <w:lvl w:ilvl="8" w:tplc="040C0005" w:tentative="1">
      <w:start w:val="1"/>
      <w:numFmt w:val="bullet"/>
      <w:lvlText w:val=""/>
      <w:lvlJc w:val="left"/>
      <w:pPr>
        <w:ind w:left="6841" w:hanging="360"/>
      </w:pPr>
      <w:rPr>
        <w:rFonts w:ascii="Wingdings" w:hAnsi="Wingdings" w:hint="default"/>
      </w:rPr>
    </w:lvl>
  </w:abstractNum>
  <w:abstractNum w:abstractNumId="173" w15:restartNumberingAfterBreak="0">
    <w:nsid w:val="73E852B9"/>
    <w:multiLevelType w:val="singleLevel"/>
    <w:tmpl w:val="8D0C6E0C"/>
    <w:lvl w:ilvl="0">
      <w:start w:val="1"/>
      <w:numFmt w:val="decimal"/>
      <w:pStyle w:val="article"/>
      <w:lvlText w:val="Article %1 :"/>
      <w:lvlJc w:val="left"/>
      <w:pPr>
        <w:tabs>
          <w:tab w:val="num" w:pos="1440"/>
        </w:tabs>
        <w:ind w:left="0" w:firstLine="0"/>
      </w:pPr>
      <w:rPr>
        <w:b/>
        <w:i w:val="0"/>
      </w:rPr>
    </w:lvl>
  </w:abstractNum>
  <w:abstractNum w:abstractNumId="174" w15:restartNumberingAfterBreak="0">
    <w:nsid w:val="73FB2DDE"/>
    <w:multiLevelType w:val="hybridMultilevel"/>
    <w:tmpl w:val="B9C2FE58"/>
    <w:lvl w:ilvl="0" w:tplc="FC6E908C">
      <w:start w:val="1"/>
      <w:numFmt w:val="lowerLetter"/>
      <w:lvlText w:val="%1)"/>
      <w:lvlJc w:val="left"/>
      <w:pPr>
        <w:ind w:left="870" w:hanging="348"/>
      </w:pPr>
      <w:rPr>
        <w:rFonts w:ascii="American Typewriter" w:eastAsia="American Typewriter" w:hAnsi="American Typewriter" w:hint="default"/>
        <w:w w:val="87"/>
        <w:sz w:val="24"/>
        <w:szCs w:val="24"/>
      </w:rPr>
    </w:lvl>
    <w:lvl w:ilvl="1" w:tplc="EDDE2208">
      <w:start w:val="1"/>
      <w:numFmt w:val="bullet"/>
      <w:lvlText w:val="•"/>
      <w:lvlJc w:val="left"/>
      <w:pPr>
        <w:ind w:left="1748" w:hanging="348"/>
      </w:pPr>
      <w:rPr>
        <w:rFonts w:hint="default"/>
      </w:rPr>
    </w:lvl>
    <w:lvl w:ilvl="2" w:tplc="D90E7D92">
      <w:start w:val="1"/>
      <w:numFmt w:val="bullet"/>
      <w:lvlText w:val="•"/>
      <w:lvlJc w:val="left"/>
      <w:pPr>
        <w:ind w:left="2617" w:hanging="348"/>
      </w:pPr>
      <w:rPr>
        <w:rFonts w:hint="default"/>
      </w:rPr>
    </w:lvl>
    <w:lvl w:ilvl="3" w:tplc="C0D43B4A">
      <w:start w:val="1"/>
      <w:numFmt w:val="bullet"/>
      <w:lvlText w:val="•"/>
      <w:lvlJc w:val="left"/>
      <w:pPr>
        <w:ind w:left="3485" w:hanging="348"/>
      </w:pPr>
      <w:rPr>
        <w:rFonts w:hint="default"/>
      </w:rPr>
    </w:lvl>
    <w:lvl w:ilvl="4" w:tplc="07CEBB04">
      <w:start w:val="1"/>
      <w:numFmt w:val="bullet"/>
      <w:lvlText w:val="•"/>
      <w:lvlJc w:val="left"/>
      <w:pPr>
        <w:ind w:left="4354" w:hanging="348"/>
      </w:pPr>
      <w:rPr>
        <w:rFonts w:hint="default"/>
      </w:rPr>
    </w:lvl>
    <w:lvl w:ilvl="5" w:tplc="2F425F26">
      <w:start w:val="1"/>
      <w:numFmt w:val="bullet"/>
      <w:lvlText w:val="•"/>
      <w:lvlJc w:val="left"/>
      <w:pPr>
        <w:ind w:left="5223" w:hanging="348"/>
      </w:pPr>
      <w:rPr>
        <w:rFonts w:hint="default"/>
      </w:rPr>
    </w:lvl>
    <w:lvl w:ilvl="6" w:tplc="CCF2EC92">
      <w:start w:val="1"/>
      <w:numFmt w:val="bullet"/>
      <w:lvlText w:val="•"/>
      <w:lvlJc w:val="left"/>
      <w:pPr>
        <w:ind w:left="6091" w:hanging="348"/>
      </w:pPr>
      <w:rPr>
        <w:rFonts w:hint="default"/>
      </w:rPr>
    </w:lvl>
    <w:lvl w:ilvl="7" w:tplc="64F0A06E">
      <w:start w:val="1"/>
      <w:numFmt w:val="bullet"/>
      <w:lvlText w:val="•"/>
      <w:lvlJc w:val="left"/>
      <w:pPr>
        <w:ind w:left="6960" w:hanging="348"/>
      </w:pPr>
      <w:rPr>
        <w:rFonts w:hint="default"/>
      </w:rPr>
    </w:lvl>
    <w:lvl w:ilvl="8" w:tplc="163079B6">
      <w:start w:val="1"/>
      <w:numFmt w:val="bullet"/>
      <w:lvlText w:val="•"/>
      <w:lvlJc w:val="left"/>
      <w:pPr>
        <w:ind w:left="7829" w:hanging="348"/>
      </w:pPr>
      <w:rPr>
        <w:rFonts w:hint="default"/>
      </w:rPr>
    </w:lvl>
  </w:abstractNum>
  <w:abstractNum w:abstractNumId="175" w15:restartNumberingAfterBreak="0">
    <w:nsid w:val="750E7745"/>
    <w:multiLevelType w:val="hybridMultilevel"/>
    <w:tmpl w:val="D8B2D48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6" w15:restartNumberingAfterBreak="0">
    <w:nsid w:val="75EC2C13"/>
    <w:multiLevelType w:val="hybridMultilevel"/>
    <w:tmpl w:val="FC74AB0A"/>
    <w:lvl w:ilvl="0" w:tplc="4B2673B0">
      <w:start w:val="1"/>
      <w:numFmt w:val="bullet"/>
      <w:lvlText w:val="-"/>
      <w:lvlJc w:val="left"/>
      <w:pPr>
        <w:ind w:left="1088" w:hanging="360"/>
      </w:pPr>
      <w:rPr>
        <w:rFonts w:ascii="Andale Mono" w:eastAsia="Andale Mono" w:hAnsi="Andale Mono" w:hint="default"/>
        <w:w w:val="55"/>
        <w:sz w:val="24"/>
        <w:szCs w:val="24"/>
      </w:rPr>
    </w:lvl>
    <w:lvl w:ilvl="1" w:tplc="817268B6">
      <w:start w:val="1"/>
      <w:numFmt w:val="bullet"/>
      <w:lvlText w:val="•"/>
      <w:lvlJc w:val="left"/>
      <w:pPr>
        <w:ind w:left="1928" w:hanging="360"/>
      </w:pPr>
      <w:rPr>
        <w:rFonts w:hint="default"/>
      </w:rPr>
    </w:lvl>
    <w:lvl w:ilvl="2" w:tplc="A67421A8">
      <w:start w:val="1"/>
      <w:numFmt w:val="bullet"/>
      <w:lvlText w:val="•"/>
      <w:lvlJc w:val="left"/>
      <w:pPr>
        <w:ind w:left="2777" w:hanging="360"/>
      </w:pPr>
      <w:rPr>
        <w:rFonts w:hint="default"/>
      </w:rPr>
    </w:lvl>
    <w:lvl w:ilvl="3" w:tplc="8F040E68">
      <w:start w:val="1"/>
      <w:numFmt w:val="bullet"/>
      <w:lvlText w:val="•"/>
      <w:lvlJc w:val="left"/>
      <w:pPr>
        <w:ind w:left="3625" w:hanging="360"/>
      </w:pPr>
      <w:rPr>
        <w:rFonts w:hint="default"/>
      </w:rPr>
    </w:lvl>
    <w:lvl w:ilvl="4" w:tplc="2B6C35D0">
      <w:start w:val="1"/>
      <w:numFmt w:val="bullet"/>
      <w:lvlText w:val="•"/>
      <w:lvlJc w:val="left"/>
      <w:pPr>
        <w:ind w:left="4474" w:hanging="360"/>
      </w:pPr>
      <w:rPr>
        <w:rFonts w:hint="default"/>
      </w:rPr>
    </w:lvl>
    <w:lvl w:ilvl="5" w:tplc="FF2AB850">
      <w:start w:val="1"/>
      <w:numFmt w:val="bullet"/>
      <w:lvlText w:val="•"/>
      <w:lvlJc w:val="left"/>
      <w:pPr>
        <w:ind w:left="5323" w:hanging="360"/>
      </w:pPr>
      <w:rPr>
        <w:rFonts w:hint="default"/>
      </w:rPr>
    </w:lvl>
    <w:lvl w:ilvl="6" w:tplc="44B4FA0E">
      <w:start w:val="1"/>
      <w:numFmt w:val="bullet"/>
      <w:lvlText w:val="•"/>
      <w:lvlJc w:val="left"/>
      <w:pPr>
        <w:ind w:left="6171" w:hanging="360"/>
      </w:pPr>
      <w:rPr>
        <w:rFonts w:hint="default"/>
      </w:rPr>
    </w:lvl>
    <w:lvl w:ilvl="7" w:tplc="796453DC">
      <w:start w:val="1"/>
      <w:numFmt w:val="bullet"/>
      <w:lvlText w:val="•"/>
      <w:lvlJc w:val="left"/>
      <w:pPr>
        <w:ind w:left="7020" w:hanging="360"/>
      </w:pPr>
      <w:rPr>
        <w:rFonts w:hint="default"/>
      </w:rPr>
    </w:lvl>
    <w:lvl w:ilvl="8" w:tplc="9844CDF6">
      <w:start w:val="1"/>
      <w:numFmt w:val="bullet"/>
      <w:lvlText w:val="•"/>
      <w:lvlJc w:val="left"/>
      <w:pPr>
        <w:ind w:left="7869" w:hanging="360"/>
      </w:pPr>
      <w:rPr>
        <w:rFonts w:hint="default"/>
      </w:rPr>
    </w:lvl>
  </w:abstractNum>
  <w:abstractNum w:abstractNumId="177" w15:restartNumberingAfterBreak="0">
    <w:nsid w:val="765B4C55"/>
    <w:multiLevelType w:val="hybridMultilevel"/>
    <w:tmpl w:val="DA0446C2"/>
    <w:lvl w:ilvl="0" w:tplc="0248D726">
      <w:start w:val="1"/>
      <w:numFmt w:val="decimal"/>
      <w:lvlText w:val="(%1)"/>
      <w:lvlJc w:val="left"/>
      <w:pPr>
        <w:ind w:left="720" w:hanging="360"/>
      </w:pPr>
      <w:rPr>
        <w:rFonts w:hint="default"/>
      </w:rPr>
    </w:lvl>
    <w:lvl w:ilvl="1" w:tplc="040C0011">
      <w:start w:val="1"/>
      <w:numFmt w:val="decimal"/>
      <w:lvlText w:val="%2)"/>
      <w:lvlJc w:val="left"/>
      <w:pPr>
        <w:ind w:left="1440" w:hanging="360"/>
      </w:pPr>
    </w:lvl>
    <w:lvl w:ilvl="2" w:tplc="10F01744">
      <w:start w:val="1"/>
      <w:numFmt w:val="lowerLetter"/>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8" w15:restartNumberingAfterBreak="0">
    <w:nsid w:val="76B00B24"/>
    <w:multiLevelType w:val="hybridMultilevel"/>
    <w:tmpl w:val="09B49540"/>
    <w:lvl w:ilvl="0" w:tplc="E6E80D6E">
      <w:start w:val="1"/>
      <w:numFmt w:val="bullet"/>
      <w:lvlText w:val="-"/>
      <w:lvlJc w:val="left"/>
      <w:pPr>
        <w:ind w:left="1069"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9" w15:restartNumberingAfterBreak="0">
    <w:nsid w:val="774D253C"/>
    <w:multiLevelType w:val="hybridMultilevel"/>
    <w:tmpl w:val="5A8E82DA"/>
    <w:lvl w:ilvl="0" w:tplc="7702144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0" w15:restartNumberingAfterBreak="0">
    <w:nsid w:val="77E611C5"/>
    <w:multiLevelType w:val="hybridMultilevel"/>
    <w:tmpl w:val="CFCA0000"/>
    <w:lvl w:ilvl="0" w:tplc="E6E80D6E">
      <w:start w:val="1"/>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1" w15:restartNumberingAfterBreak="0">
    <w:nsid w:val="77F71C5F"/>
    <w:multiLevelType w:val="hybridMultilevel"/>
    <w:tmpl w:val="34AE6412"/>
    <w:lvl w:ilvl="0" w:tplc="67301D80">
      <w:start w:val="1"/>
      <w:numFmt w:val="lowerLetter"/>
      <w:lvlText w:val="%1)"/>
      <w:lvlJc w:val="left"/>
      <w:pPr>
        <w:tabs>
          <w:tab w:val="num" w:pos="1065"/>
        </w:tabs>
        <w:ind w:left="1065" w:hanging="360"/>
      </w:pPr>
      <w:rPr>
        <w:rFonts w:hint="default"/>
      </w:rPr>
    </w:lvl>
    <w:lvl w:ilvl="1" w:tplc="040C0019" w:tentative="1">
      <w:start w:val="1"/>
      <w:numFmt w:val="lowerLetter"/>
      <w:lvlText w:val="%2."/>
      <w:lvlJc w:val="left"/>
      <w:pPr>
        <w:tabs>
          <w:tab w:val="num" w:pos="1785"/>
        </w:tabs>
        <w:ind w:left="1785" w:hanging="360"/>
      </w:pPr>
    </w:lvl>
    <w:lvl w:ilvl="2" w:tplc="040C001B" w:tentative="1">
      <w:start w:val="1"/>
      <w:numFmt w:val="lowerRoman"/>
      <w:lvlText w:val="%3."/>
      <w:lvlJc w:val="right"/>
      <w:pPr>
        <w:tabs>
          <w:tab w:val="num" w:pos="2505"/>
        </w:tabs>
        <w:ind w:left="2505" w:hanging="180"/>
      </w:pPr>
    </w:lvl>
    <w:lvl w:ilvl="3" w:tplc="040C000F" w:tentative="1">
      <w:start w:val="1"/>
      <w:numFmt w:val="decimal"/>
      <w:lvlText w:val="%4."/>
      <w:lvlJc w:val="left"/>
      <w:pPr>
        <w:tabs>
          <w:tab w:val="num" w:pos="3225"/>
        </w:tabs>
        <w:ind w:left="3225" w:hanging="360"/>
      </w:pPr>
    </w:lvl>
    <w:lvl w:ilvl="4" w:tplc="040C0019">
      <w:start w:val="1"/>
      <w:numFmt w:val="lowerLetter"/>
      <w:lvlText w:val="%5."/>
      <w:lvlJc w:val="left"/>
      <w:pPr>
        <w:tabs>
          <w:tab w:val="num" w:pos="3945"/>
        </w:tabs>
        <w:ind w:left="3945" w:hanging="360"/>
      </w:pPr>
    </w:lvl>
    <w:lvl w:ilvl="5" w:tplc="040C001B" w:tentative="1">
      <w:start w:val="1"/>
      <w:numFmt w:val="lowerRoman"/>
      <w:lvlText w:val="%6."/>
      <w:lvlJc w:val="right"/>
      <w:pPr>
        <w:tabs>
          <w:tab w:val="num" w:pos="4665"/>
        </w:tabs>
        <w:ind w:left="4665" w:hanging="180"/>
      </w:pPr>
    </w:lvl>
    <w:lvl w:ilvl="6" w:tplc="040C000F" w:tentative="1">
      <w:start w:val="1"/>
      <w:numFmt w:val="decimal"/>
      <w:lvlText w:val="%7."/>
      <w:lvlJc w:val="left"/>
      <w:pPr>
        <w:tabs>
          <w:tab w:val="num" w:pos="5385"/>
        </w:tabs>
        <w:ind w:left="5385" w:hanging="360"/>
      </w:pPr>
    </w:lvl>
    <w:lvl w:ilvl="7" w:tplc="040C0019" w:tentative="1">
      <w:start w:val="1"/>
      <w:numFmt w:val="lowerLetter"/>
      <w:lvlText w:val="%8."/>
      <w:lvlJc w:val="left"/>
      <w:pPr>
        <w:tabs>
          <w:tab w:val="num" w:pos="6105"/>
        </w:tabs>
        <w:ind w:left="6105" w:hanging="360"/>
      </w:pPr>
    </w:lvl>
    <w:lvl w:ilvl="8" w:tplc="040C001B" w:tentative="1">
      <w:start w:val="1"/>
      <w:numFmt w:val="lowerRoman"/>
      <w:lvlText w:val="%9."/>
      <w:lvlJc w:val="right"/>
      <w:pPr>
        <w:tabs>
          <w:tab w:val="num" w:pos="6825"/>
        </w:tabs>
        <w:ind w:left="6825" w:hanging="180"/>
      </w:pPr>
    </w:lvl>
  </w:abstractNum>
  <w:abstractNum w:abstractNumId="182" w15:restartNumberingAfterBreak="0">
    <w:nsid w:val="78563CF1"/>
    <w:multiLevelType w:val="hybridMultilevel"/>
    <w:tmpl w:val="527E226E"/>
    <w:lvl w:ilvl="0" w:tplc="4D2C1488">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3" w15:restartNumberingAfterBreak="0">
    <w:nsid w:val="798063B4"/>
    <w:multiLevelType w:val="hybridMultilevel"/>
    <w:tmpl w:val="E07A38DA"/>
    <w:lvl w:ilvl="0" w:tplc="F2E4CBD2">
      <w:start w:val="5"/>
      <w:numFmt w:val="bullet"/>
      <w:lvlText w:val="-"/>
      <w:lvlJc w:val="left"/>
      <w:pPr>
        <w:tabs>
          <w:tab w:val="num" w:pos="720"/>
        </w:tabs>
        <w:ind w:left="720" w:hanging="360"/>
      </w:pPr>
      <w:rPr>
        <w:rFonts w:ascii="Arial" w:eastAsia="EUAlbertina-Regular-Identity-H"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4" w15:restartNumberingAfterBreak="0">
    <w:nsid w:val="79962F12"/>
    <w:multiLevelType w:val="hybridMultilevel"/>
    <w:tmpl w:val="233877D0"/>
    <w:lvl w:ilvl="0" w:tplc="FB5CB45A">
      <w:start w:val="1"/>
      <w:numFmt w:val="lowerLetter"/>
      <w:lvlText w:val="%1)"/>
      <w:lvlJc w:val="left"/>
      <w:pPr>
        <w:ind w:left="882" w:hanging="348"/>
      </w:pPr>
      <w:rPr>
        <w:rFonts w:ascii="American Typewriter" w:eastAsia="American Typewriter" w:hAnsi="American Typewriter" w:hint="default"/>
        <w:w w:val="87"/>
        <w:sz w:val="24"/>
        <w:szCs w:val="24"/>
      </w:rPr>
    </w:lvl>
    <w:lvl w:ilvl="1" w:tplc="8EB4117E">
      <w:start w:val="1"/>
      <w:numFmt w:val="decimal"/>
      <w:lvlText w:val="%2)"/>
      <w:lvlJc w:val="left"/>
      <w:pPr>
        <w:ind w:left="1153" w:hanging="425"/>
      </w:pPr>
      <w:rPr>
        <w:rFonts w:ascii="American Typewriter" w:eastAsia="American Typewriter" w:hAnsi="American Typewriter" w:hint="default"/>
        <w:w w:val="81"/>
        <w:sz w:val="24"/>
        <w:szCs w:val="24"/>
      </w:rPr>
    </w:lvl>
    <w:lvl w:ilvl="2" w:tplc="8452B36A">
      <w:start w:val="1"/>
      <w:numFmt w:val="lowerLetter"/>
      <w:lvlText w:val="%3)"/>
      <w:lvlJc w:val="left"/>
      <w:pPr>
        <w:ind w:left="1153" w:hanging="425"/>
      </w:pPr>
      <w:rPr>
        <w:rFonts w:ascii="American Typewriter" w:eastAsia="American Typewriter" w:hAnsi="American Typewriter" w:hint="default"/>
        <w:w w:val="87"/>
        <w:sz w:val="24"/>
        <w:szCs w:val="24"/>
      </w:rPr>
    </w:lvl>
    <w:lvl w:ilvl="3" w:tplc="9C56F474">
      <w:start w:val="1"/>
      <w:numFmt w:val="bullet"/>
      <w:lvlText w:val="•"/>
      <w:lvlJc w:val="left"/>
      <w:pPr>
        <w:ind w:left="3028" w:hanging="425"/>
      </w:pPr>
      <w:rPr>
        <w:rFonts w:hint="default"/>
      </w:rPr>
    </w:lvl>
    <w:lvl w:ilvl="4" w:tplc="8BDCE256">
      <w:start w:val="1"/>
      <w:numFmt w:val="bullet"/>
      <w:lvlText w:val="•"/>
      <w:lvlJc w:val="left"/>
      <w:pPr>
        <w:ind w:left="3962" w:hanging="425"/>
      </w:pPr>
      <w:rPr>
        <w:rFonts w:hint="default"/>
      </w:rPr>
    </w:lvl>
    <w:lvl w:ilvl="5" w:tplc="A9E8AC60">
      <w:start w:val="1"/>
      <w:numFmt w:val="bullet"/>
      <w:lvlText w:val="•"/>
      <w:lvlJc w:val="left"/>
      <w:pPr>
        <w:ind w:left="4896" w:hanging="425"/>
      </w:pPr>
      <w:rPr>
        <w:rFonts w:hint="default"/>
      </w:rPr>
    </w:lvl>
    <w:lvl w:ilvl="6" w:tplc="659803E4">
      <w:start w:val="1"/>
      <w:numFmt w:val="bullet"/>
      <w:lvlText w:val="•"/>
      <w:lvlJc w:val="left"/>
      <w:pPr>
        <w:ind w:left="5830" w:hanging="425"/>
      </w:pPr>
      <w:rPr>
        <w:rFonts w:hint="default"/>
      </w:rPr>
    </w:lvl>
    <w:lvl w:ilvl="7" w:tplc="B2C835C0">
      <w:start w:val="1"/>
      <w:numFmt w:val="bullet"/>
      <w:lvlText w:val="•"/>
      <w:lvlJc w:val="left"/>
      <w:pPr>
        <w:ind w:left="6764" w:hanging="425"/>
      </w:pPr>
      <w:rPr>
        <w:rFonts w:hint="default"/>
      </w:rPr>
    </w:lvl>
    <w:lvl w:ilvl="8" w:tplc="8782091E">
      <w:start w:val="1"/>
      <w:numFmt w:val="bullet"/>
      <w:lvlText w:val="•"/>
      <w:lvlJc w:val="left"/>
      <w:pPr>
        <w:ind w:left="7698" w:hanging="425"/>
      </w:pPr>
      <w:rPr>
        <w:rFonts w:hint="default"/>
      </w:rPr>
    </w:lvl>
  </w:abstractNum>
  <w:abstractNum w:abstractNumId="185" w15:restartNumberingAfterBreak="0">
    <w:nsid w:val="79A6224C"/>
    <w:multiLevelType w:val="hybridMultilevel"/>
    <w:tmpl w:val="D7E616F0"/>
    <w:lvl w:ilvl="0" w:tplc="040C0019">
      <w:start w:val="1"/>
      <w:numFmt w:val="lowerLetter"/>
      <w:lvlText w:val="%1."/>
      <w:lvlJc w:val="left"/>
      <w:pPr>
        <w:ind w:left="2172" w:hanging="360"/>
      </w:pPr>
    </w:lvl>
    <w:lvl w:ilvl="1" w:tplc="040C0019" w:tentative="1">
      <w:start w:val="1"/>
      <w:numFmt w:val="lowerLetter"/>
      <w:lvlText w:val="%2."/>
      <w:lvlJc w:val="left"/>
      <w:pPr>
        <w:ind w:left="2892" w:hanging="360"/>
      </w:pPr>
    </w:lvl>
    <w:lvl w:ilvl="2" w:tplc="040C001B" w:tentative="1">
      <w:start w:val="1"/>
      <w:numFmt w:val="lowerRoman"/>
      <w:lvlText w:val="%3."/>
      <w:lvlJc w:val="right"/>
      <w:pPr>
        <w:ind w:left="3612" w:hanging="180"/>
      </w:pPr>
    </w:lvl>
    <w:lvl w:ilvl="3" w:tplc="040C000F" w:tentative="1">
      <w:start w:val="1"/>
      <w:numFmt w:val="decimal"/>
      <w:lvlText w:val="%4."/>
      <w:lvlJc w:val="left"/>
      <w:pPr>
        <w:ind w:left="4332" w:hanging="360"/>
      </w:pPr>
    </w:lvl>
    <w:lvl w:ilvl="4" w:tplc="040C0019" w:tentative="1">
      <w:start w:val="1"/>
      <w:numFmt w:val="lowerLetter"/>
      <w:lvlText w:val="%5."/>
      <w:lvlJc w:val="left"/>
      <w:pPr>
        <w:ind w:left="5052" w:hanging="360"/>
      </w:pPr>
    </w:lvl>
    <w:lvl w:ilvl="5" w:tplc="040C001B" w:tentative="1">
      <w:start w:val="1"/>
      <w:numFmt w:val="lowerRoman"/>
      <w:lvlText w:val="%6."/>
      <w:lvlJc w:val="right"/>
      <w:pPr>
        <w:ind w:left="5772" w:hanging="180"/>
      </w:pPr>
    </w:lvl>
    <w:lvl w:ilvl="6" w:tplc="040C000F" w:tentative="1">
      <w:start w:val="1"/>
      <w:numFmt w:val="decimal"/>
      <w:lvlText w:val="%7."/>
      <w:lvlJc w:val="left"/>
      <w:pPr>
        <w:ind w:left="6492" w:hanging="360"/>
      </w:pPr>
    </w:lvl>
    <w:lvl w:ilvl="7" w:tplc="040C0019" w:tentative="1">
      <w:start w:val="1"/>
      <w:numFmt w:val="lowerLetter"/>
      <w:lvlText w:val="%8."/>
      <w:lvlJc w:val="left"/>
      <w:pPr>
        <w:ind w:left="7212" w:hanging="360"/>
      </w:pPr>
    </w:lvl>
    <w:lvl w:ilvl="8" w:tplc="040C001B" w:tentative="1">
      <w:start w:val="1"/>
      <w:numFmt w:val="lowerRoman"/>
      <w:lvlText w:val="%9."/>
      <w:lvlJc w:val="right"/>
      <w:pPr>
        <w:ind w:left="7932" w:hanging="180"/>
      </w:pPr>
    </w:lvl>
  </w:abstractNum>
  <w:abstractNum w:abstractNumId="186" w15:restartNumberingAfterBreak="0">
    <w:nsid w:val="7A600246"/>
    <w:multiLevelType w:val="hybridMultilevel"/>
    <w:tmpl w:val="E82EDF3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7" w15:restartNumberingAfterBreak="0">
    <w:nsid w:val="7C2E3BC2"/>
    <w:multiLevelType w:val="hybridMultilevel"/>
    <w:tmpl w:val="8F16AE7A"/>
    <w:lvl w:ilvl="0" w:tplc="AD343348">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8" w15:restartNumberingAfterBreak="0">
    <w:nsid w:val="7E1A0C90"/>
    <w:multiLevelType w:val="hybridMultilevel"/>
    <w:tmpl w:val="5F9EC9E0"/>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9" w15:restartNumberingAfterBreak="0">
    <w:nsid w:val="7F4671C9"/>
    <w:multiLevelType w:val="hybridMultilevel"/>
    <w:tmpl w:val="114250CC"/>
    <w:lvl w:ilvl="0" w:tplc="A6348358">
      <w:start w:val="2"/>
      <w:numFmt w:val="bullet"/>
      <w:lvlText w:val="-"/>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751341610">
    <w:abstractNumId w:val="20"/>
  </w:num>
  <w:num w:numId="2" w16cid:durableId="1666082063">
    <w:abstractNumId w:val="41"/>
  </w:num>
  <w:num w:numId="3" w16cid:durableId="101804575">
    <w:abstractNumId w:val="0"/>
    <w:lvlOverride w:ilvl="0">
      <w:lvl w:ilvl="0">
        <w:start w:val="1"/>
        <w:numFmt w:val="bullet"/>
        <w:lvlText w:val=""/>
        <w:legacy w:legacy="1" w:legacySpace="0" w:legacyIndent="283"/>
        <w:lvlJc w:val="left"/>
        <w:pPr>
          <w:ind w:left="567" w:hanging="283"/>
        </w:pPr>
        <w:rPr>
          <w:rFonts w:ascii="Symbol" w:hAnsi="Symbol" w:hint="default"/>
          <w:sz w:val="24"/>
        </w:rPr>
      </w:lvl>
    </w:lvlOverride>
  </w:num>
  <w:num w:numId="4" w16cid:durableId="1801873783">
    <w:abstractNumId w:val="2"/>
  </w:num>
  <w:num w:numId="5" w16cid:durableId="16086312">
    <w:abstractNumId w:val="140"/>
  </w:num>
  <w:num w:numId="6" w16cid:durableId="1194071487">
    <w:abstractNumId w:val="99"/>
  </w:num>
  <w:num w:numId="7" w16cid:durableId="1791626209">
    <w:abstractNumId w:val="84"/>
  </w:num>
  <w:num w:numId="8" w16cid:durableId="412167216">
    <w:abstractNumId w:val="25"/>
  </w:num>
  <w:num w:numId="9" w16cid:durableId="1186168675">
    <w:abstractNumId w:val="165"/>
  </w:num>
  <w:num w:numId="10" w16cid:durableId="506601447">
    <w:abstractNumId w:val="152"/>
  </w:num>
  <w:num w:numId="11" w16cid:durableId="214514362">
    <w:abstractNumId w:val="151"/>
  </w:num>
  <w:num w:numId="12" w16cid:durableId="789202703">
    <w:abstractNumId w:val="113"/>
  </w:num>
  <w:num w:numId="13" w16cid:durableId="51461980">
    <w:abstractNumId w:val="114"/>
  </w:num>
  <w:num w:numId="14" w16cid:durableId="245463305">
    <w:abstractNumId w:val="4"/>
  </w:num>
  <w:num w:numId="15" w16cid:durableId="1478452670">
    <w:abstractNumId w:val="102"/>
  </w:num>
  <w:num w:numId="16" w16cid:durableId="367532837">
    <w:abstractNumId w:val="135"/>
  </w:num>
  <w:num w:numId="17" w16cid:durableId="1468405">
    <w:abstractNumId w:val="168"/>
  </w:num>
  <w:num w:numId="18" w16cid:durableId="183253127">
    <w:abstractNumId w:val="173"/>
  </w:num>
  <w:num w:numId="19" w16cid:durableId="161547989">
    <w:abstractNumId w:val="11"/>
  </w:num>
  <w:num w:numId="20" w16cid:durableId="1649438285">
    <w:abstractNumId w:val="183"/>
  </w:num>
  <w:num w:numId="21" w16cid:durableId="1999649202">
    <w:abstractNumId w:val="40"/>
  </w:num>
  <w:num w:numId="22" w16cid:durableId="863832309">
    <w:abstractNumId w:val="163"/>
  </w:num>
  <w:num w:numId="23" w16cid:durableId="1671446564">
    <w:abstractNumId w:val="77"/>
  </w:num>
  <w:num w:numId="24" w16cid:durableId="389498087">
    <w:abstractNumId w:val="87"/>
  </w:num>
  <w:num w:numId="25" w16cid:durableId="809521372">
    <w:abstractNumId w:val="19"/>
  </w:num>
  <w:num w:numId="26" w16cid:durableId="395323161">
    <w:abstractNumId w:val="166"/>
  </w:num>
  <w:num w:numId="27" w16cid:durableId="996500450">
    <w:abstractNumId w:val="123"/>
  </w:num>
  <w:num w:numId="28" w16cid:durableId="1609124179">
    <w:abstractNumId w:val="184"/>
  </w:num>
  <w:num w:numId="29" w16cid:durableId="153492153">
    <w:abstractNumId w:val="72"/>
  </w:num>
  <w:num w:numId="30" w16cid:durableId="666521522">
    <w:abstractNumId w:val="90"/>
  </w:num>
  <w:num w:numId="31" w16cid:durableId="1161775391">
    <w:abstractNumId w:val="145"/>
  </w:num>
  <w:num w:numId="32" w16cid:durableId="1388338462">
    <w:abstractNumId w:val="42"/>
  </w:num>
  <w:num w:numId="33" w16cid:durableId="327558259">
    <w:abstractNumId w:val="73"/>
  </w:num>
  <w:num w:numId="34" w16cid:durableId="132256465">
    <w:abstractNumId w:val="159"/>
  </w:num>
  <w:num w:numId="35" w16cid:durableId="1466772636">
    <w:abstractNumId w:val="30"/>
  </w:num>
  <w:num w:numId="36" w16cid:durableId="1824423112">
    <w:abstractNumId w:val="115"/>
  </w:num>
  <w:num w:numId="37" w16cid:durableId="845051107">
    <w:abstractNumId w:val="48"/>
  </w:num>
  <w:num w:numId="38" w16cid:durableId="308676286">
    <w:abstractNumId w:val="176"/>
  </w:num>
  <w:num w:numId="39" w16cid:durableId="1249272199">
    <w:abstractNumId w:val="24"/>
  </w:num>
  <w:num w:numId="40" w16cid:durableId="2060012161">
    <w:abstractNumId w:val="132"/>
  </w:num>
  <w:num w:numId="41" w16cid:durableId="1607467174">
    <w:abstractNumId w:val="13"/>
  </w:num>
  <w:num w:numId="42" w16cid:durableId="181938070">
    <w:abstractNumId w:val="59"/>
  </w:num>
  <w:num w:numId="43" w16cid:durableId="1636328394">
    <w:abstractNumId w:val="174"/>
  </w:num>
  <w:num w:numId="44" w16cid:durableId="551621729">
    <w:abstractNumId w:val="153"/>
  </w:num>
  <w:num w:numId="45" w16cid:durableId="227813053">
    <w:abstractNumId w:val="26"/>
  </w:num>
  <w:num w:numId="46" w16cid:durableId="2141342558">
    <w:abstractNumId w:val="131"/>
  </w:num>
  <w:num w:numId="47" w16cid:durableId="1875339583">
    <w:abstractNumId w:val="106"/>
  </w:num>
  <w:num w:numId="48" w16cid:durableId="579296630">
    <w:abstractNumId w:val="1"/>
  </w:num>
  <w:num w:numId="49" w16cid:durableId="943612956">
    <w:abstractNumId w:val="0"/>
    <w:lvlOverride w:ilvl="0">
      <w:lvl w:ilvl="0">
        <w:start w:val="1"/>
        <w:numFmt w:val="bullet"/>
        <w:lvlText w:val="-"/>
        <w:legacy w:legacy="1" w:legacySpace="0" w:legacyIndent="283"/>
        <w:lvlJc w:val="left"/>
        <w:pPr>
          <w:ind w:left="1701" w:hanging="283"/>
        </w:pPr>
        <w:rPr>
          <w:rFonts w:ascii="Courier New" w:hAnsi="Courier New" w:hint="default"/>
        </w:rPr>
      </w:lvl>
    </w:lvlOverride>
  </w:num>
  <w:num w:numId="50" w16cid:durableId="137303477">
    <w:abstractNumId w:val="144"/>
  </w:num>
  <w:num w:numId="51" w16cid:durableId="1600210263">
    <w:abstractNumId w:val="143"/>
  </w:num>
  <w:num w:numId="52" w16cid:durableId="754596060">
    <w:abstractNumId w:val="139"/>
  </w:num>
  <w:num w:numId="53" w16cid:durableId="1685588959">
    <w:abstractNumId w:val="111"/>
  </w:num>
  <w:num w:numId="54" w16cid:durableId="1279144562">
    <w:abstractNumId w:val="156"/>
  </w:num>
  <w:num w:numId="55" w16cid:durableId="227885935">
    <w:abstractNumId w:val="36"/>
  </w:num>
  <w:num w:numId="56" w16cid:durableId="1481771024">
    <w:abstractNumId w:val="69"/>
  </w:num>
  <w:num w:numId="57" w16cid:durableId="2126725286">
    <w:abstractNumId w:val="64"/>
  </w:num>
  <w:num w:numId="58" w16cid:durableId="1160925700">
    <w:abstractNumId w:val="161"/>
  </w:num>
  <w:num w:numId="59" w16cid:durableId="410783257">
    <w:abstractNumId w:val="86"/>
  </w:num>
  <w:num w:numId="60" w16cid:durableId="1102066111">
    <w:abstractNumId w:val="28"/>
  </w:num>
  <w:num w:numId="61" w16cid:durableId="583150502">
    <w:abstractNumId w:val="181"/>
  </w:num>
  <w:num w:numId="62" w16cid:durableId="1972326994">
    <w:abstractNumId w:val="50"/>
  </w:num>
  <w:num w:numId="63" w16cid:durableId="1535728633">
    <w:abstractNumId w:val="189"/>
  </w:num>
  <w:num w:numId="64" w16cid:durableId="1803303298">
    <w:abstractNumId w:val="133"/>
  </w:num>
  <w:num w:numId="65" w16cid:durableId="1948124822">
    <w:abstractNumId w:val="104"/>
  </w:num>
  <w:num w:numId="66" w16cid:durableId="2098017123">
    <w:abstractNumId w:val="54"/>
  </w:num>
  <w:num w:numId="67" w16cid:durableId="1293484345">
    <w:abstractNumId w:val="122"/>
  </w:num>
  <w:num w:numId="68" w16cid:durableId="65078152">
    <w:abstractNumId w:val="71"/>
  </w:num>
  <w:num w:numId="69" w16cid:durableId="1061096193">
    <w:abstractNumId w:val="14"/>
  </w:num>
  <w:num w:numId="70" w16cid:durableId="302662764">
    <w:abstractNumId w:val="157"/>
  </w:num>
  <w:num w:numId="71" w16cid:durableId="916792452">
    <w:abstractNumId w:val="34"/>
  </w:num>
  <w:num w:numId="72" w16cid:durableId="1186484805">
    <w:abstractNumId w:val="31"/>
  </w:num>
  <w:num w:numId="73" w16cid:durableId="392704118">
    <w:abstractNumId w:val="116"/>
  </w:num>
  <w:num w:numId="74" w16cid:durableId="1442921244">
    <w:abstractNumId w:val="130"/>
  </w:num>
  <w:num w:numId="75" w16cid:durableId="1651057908">
    <w:abstractNumId w:val="9"/>
  </w:num>
  <w:num w:numId="76" w16cid:durableId="2018263577">
    <w:abstractNumId w:val="82"/>
  </w:num>
  <w:num w:numId="77" w16cid:durableId="830408583">
    <w:abstractNumId w:val="18"/>
  </w:num>
  <w:num w:numId="78" w16cid:durableId="2121488086">
    <w:abstractNumId w:val="65"/>
  </w:num>
  <w:num w:numId="79" w16cid:durableId="1267931038">
    <w:abstractNumId w:val="43"/>
  </w:num>
  <w:num w:numId="80" w16cid:durableId="1574387336">
    <w:abstractNumId w:val="98"/>
  </w:num>
  <w:num w:numId="81" w16cid:durableId="588269035">
    <w:abstractNumId w:val="68"/>
  </w:num>
  <w:num w:numId="82" w16cid:durableId="835536745">
    <w:abstractNumId w:val="136"/>
  </w:num>
  <w:num w:numId="83" w16cid:durableId="2075472760">
    <w:abstractNumId w:val="45"/>
  </w:num>
  <w:num w:numId="84" w16cid:durableId="840437530">
    <w:abstractNumId w:val="91"/>
  </w:num>
  <w:num w:numId="85" w16cid:durableId="1990286801">
    <w:abstractNumId w:val="167"/>
  </w:num>
  <w:num w:numId="86" w16cid:durableId="642125182">
    <w:abstractNumId w:val="175"/>
  </w:num>
  <w:num w:numId="87" w16cid:durableId="2055109452">
    <w:abstractNumId w:val="3"/>
  </w:num>
  <w:num w:numId="88" w16cid:durableId="1992365291">
    <w:abstractNumId w:val="39"/>
  </w:num>
  <w:num w:numId="89" w16cid:durableId="1247379147">
    <w:abstractNumId w:val="186"/>
  </w:num>
  <w:num w:numId="90" w16cid:durableId="1404064967">
    <w:abstractNumId w:val="146"/>
  </w:num>
  <w:num w:numId="91" w16cid:durableId="742533259">
    <w:abstractNumId w:val="60"/>
  </w:num>
  <w:num w:numId="92" w16cid:durableId="1660383703">
    <w:abstractNumId w:val="55"/>
  </w:num>
  <w:num w:numId="93" w16cid:durableId="50885765">
    <w:abstractNumId w:val="182"/>
  </w:num>
  <w:num w:numId="94" w16cid:durableId="1050500918">
    <w:abstractNumId w:val="108"/>
  </w:num>
  <w:num w:numId="95" w16cid:durableId="235287785">
    <w:abstractNumId w:val="76"/>
  </w:num>
  <w:num w:numId="96" w16cid:durableId="443887209">
    <w:abstractNumId w:val="81"/>
  </w:num>
  <w:num w:numId="97" w16cid:durableId="1219707038">
    <w:abstractNumId w:val="47"/>
  </w:num>
  <w:num w:numId="98" w16cid:durableId="1619869906">
    <w:abstractNumId w:val="162"/>
  </w:num>
  <w:num w:numId="99" w16cid:durableId="1285692835">
    <w:abstractNumId w:val="74"/>
  </w:num>
  <w:num w:numId="100" w16cid:durableId="2001304002">
    <w:abstractNumId w:val="15"/>
  </w:num>
  <w:num w:numId="101" w16cid:durableId="658851963">
    <w:abstractNumId w:val="120"/>
  </w:num>
  <w:num w:numId="102" w16cid:durableId="863832634">
    <w:abstractNumId w:val="96"/>
  </w:num>
  <w:num w:numId="103" w16cid:durableId="169682197">
    <w:abstractNumId w:val="61"/>
  </w:num>
  <w:num w:numId="104" w16cid:durableId="1113594177">
    <w:abstractNumId w:val="137"/>
  </w:num>
  <w:num w:numId="105" w16cid:durableId="642581594">
    <w:abstractNumId w:val="178"/>
  </w:num>
  <w:num w:numId="106" w16cid:durableId="773331888">
    <w:abstractNumId w:val="180"/>
  </w:num>
  <w:num w:numId="107" w16cid:durableId="948126889">
    <w:abstractNumId w:val="85"/>
  </w:num>
  <w:num w:numId="108" w16cid:durableId="73362909">
    <w:abstractNumId w:val="79"/>
  </w:num>
  <w:num w:numId="109" w16cid:durableId="1742945097">
    <w:abstractNumId w:val="172"/>
  </w:num>
  <w:num w:numId="110" w16cid:durableId="1460876998">
    <w:abstractNumId w:val="88"/>
  </w:num>
  <w:num w:numId="111" w16cid:durableId="2137554447">
    <w:abstractNumId w:val="83"/>
  </w:num>
  <w:num w:numId="112" w16cid:durableId="697312219">
    <w:abstractNumId w:val="124"/>
  </w:num>
  <w:num w:numId="113" w16cid:durableId="1992440652">
    <w:abstractNumId w:val="105"/>
  </w:num>
  <w:num w:numId="114" w16cid:durableId="566191684">
    <w:abstractNumId w:val="5"/>
  </w:num>
  <w:num w:numId="115" w16cid:durableId="829250786">
    <w:abstractNumId w:val="51"/>
  </w:num>
  <w:num w:numId="116" w16cid:durableId="1083450400">
    <w:abstractNumId w:val="150"/>
  </w:num>
  <w:num w:numId="117" w16cid:durableId="1408763639">
    <w:abstractNumId w:val="97"/>
  </w:num>
  <w:num w:numId="118" w16cid:durableId="2057047418">
    <w:abstractNumId w:val="121"/>
  </w:num>
  <w:num w:numId="119" w16cid:durableId="1584487921">
    <w:abstractNumId w:val="185"/>
  </w:num>
  <w:num w:numId="120" w16cid:durableId="1005477605">
    <w:abstractNumId w:val="117"/>
  </w:num>
  <w:num w:numId="121" w16cid:durableId="19018474">
    <w:abstractNumId w:val="158"/>
  </w:num>
  <w:num w:numId="122" w16cid:durableId="681320031">
    <w:abstractNumId w:val="129"/>
  </w:num>
  <w:num w:numId="123" w16cid:durableId="16083672">
    <w:abstractNumId w:val="6"/>
  </w:num>
  <w:num w:numId="124" w16cid:durableId="906839464">
    <w:abstractNumId w:val="44"/>
  </w:num>
  <w:num w:numId="125" w16cid:durableId="2018649879">
    <w:abstractNumId w:val="119"/>
  </w:num>
  <w:num w:numId="126" w16cid:durableId="156773530">
    <w:abstractNumId w:val="171"/>
  </w:num>
  <w:num w:numId="127" w16cid:durableId="2050719156">
    <w:abstractNumId w:val="23"/>
  </w:num>
  <w:num w:numId="128" w16cid:durableId="1672298450">
    <w:abstractNumId w:val="33"/>
  </w:num>
  <w:num w:numId="129" w16cid:durableId="350186305">
    <w:abstractNumId w:val="56"/>
  </w:num>
  <w:num w:numId="130" w16cid:durableId="26220995">
    <w:abstractNumId w:val="70"/>
  </w:num>
  <w:num w:numId="131" w16cid:durableId="444156680">
    <w:abstractNumId w:val="58"/>
  </w:num>
  <w:num w:numId="132" w16cid:durableId="1797874695">
    <w:abstractNumId w:val="29"/>
  </w:num>
  <w:num w:numId="133" w16cid:durableId="690492673">
    <w:abstractNumId w:val="138"/>
  </w:num>
  <w:num w:numId="134" w16cid:durableId="1094089247">
    <w:abstractNumId w:val="103"/>
  </w:num>
  <w:num w:numId="135" w16cid:durableId="1345744357">
    <w:abstractNumId w:val="63"/>
  </w:num>
  <w:num w:numId="136" w16cid:durableId="2081443879">
    <w:abstractNumId w:val="109"/>
  </w:num>
  <w:num w:numId="137" w16cid:durableId="1416124737">
    <w:abstractNumId w:val="179"/>
  </w:num>
  <w:num w:numId="138" w16cid:durableId="1791196827">
    <w:abstractNumId w:val="38"/>
  </w:num>
  <w:num w:numId="139" w16cid:durableId="443885679">
    <w:abstractNumId w:val="160"/>
  </w:num>
  <w:num w:numId="140" w16cid:durableId="476649067">
    <w:abstractNumId w:val="67"/>
  </w:num>
  <w:num w:numId="141" w16cid:durableId="1291520463">
    <w:abstractNumId w:val="118"/>
  </w:num>
  <w:num w:numId="142" w16cid:durableId="1465387892">
    <w:abstractNumId w:val="112"/>
  </w:num>
  <w:num w:numId="143" w16cid:durableId="1936395889">
    <w:abstractNumId w:val="62"/>
  </w:num>
  <w:num w:numId="144" w16cid:durableId="134950606">
    <w:abstractNumId w:val="35"/>
  </w:num>
  <w:num w:numId="145" w16cid:durableId="1669164018">
    <w:abstractNumId w:val="46"/>
  </w:num>
  <w:num w:numId="146" w16cid:durableId="1781489268">
    <w:abstractNumId w:val="164"/>
  </w:num>
  <w:num w:numId="147" w16cid:durableId="1950814034">
    <w:abstractNumId w:val="80"/>
  </w:num>
  <w:num w:numId="148" w16cid:durableId="1712261124">
    <w:abstractNumId w:val="100"/>
  </w:num>
  <w:num w:numId="149" w16cid:durableId="1111242835">
    <w:abstractNumId w:val="107"/>
  </w:num>
  <w:num w:numId="150" w16cid:durableId="1440565250">
    <w:abstractNumId w:val="12"/>
  </w:num>
  <w:num w:numId="151" w16cid:durableId="1973168026">
    <w:abstractNumId w:val="8"/>
  </w:num>
  <w:num w:numId="152" w16cid:durableId="1917857370">
    <w:abstractNumId w:val="92"/>
  </w:num>
  <w:num w:numId="153" w16cid:durableId="1797064127">
    <w:abstractNumId w:val="154"/>
  </w:num>
  <w:num w:numId="154" w16cid:durableId="101070875">
    <w:abstractNumId w:val="66"/>
  </w:num>
  <w:num w:numId="155" w16cid:durableId="1536696378">
    <w:abstractNumId w:val="57"/>
  </w:num>
  <w:num w:numId="156" w16cid:durableId="1009021036">
    <w:abstractNumId w:val="10"/>
  </w:num>
  <w:num w:numId="157" w16cid:durableId="788815941">
    <w:abstractNumId w:val="187"/>
  </w:num>
  <w:num w:numId="158" w16cid:durableId="1712000083">
    <w:abstractNumId w:val="17"/>
  </w:num>
  <w:num w:numId="159" w16cid:durableId="697897556">
    <w:abstractNumId w:val="93"/>
  </w:num>
  <w:num w:numId="160" w16cid:durableId="459306637">
    <w:abstractNumId w:val="169"/>
  </w:num>
  <w:num w:numId="161" w16cid:durableId="8996610">
    <w:abstractNumId w:val="75"/>
  </w:num>
  <w:num w:numId="162" w16cid:durableId="612444800">
    <w:abstractNumId w:val="16"/>
  </w:num>
  <w:num w:numId="163" w16cid:durableId="1293630372">
    <w:abstractNumId w:val="126"/>
  </w:num>
  <w:num w:numId="164" w16cid:durableId="1616987675">
    <w:abstractNumId w:val="148"/>
  </w:num>
  <w:num w:numId="165" w16cid:durableId="106194487">
    <w:abstractNumId w:val="141"/>
  </w:num>
  <w:num w:numId="166" w16cid:durableId="1057431048">
    <w:abstractNumId w:val="95"/>
  </w:num>
  <w:num w:numId="167" w16cid:durableId="1599560332">
    <w:abstractNumId w:val="49"/>
  </w:num>
  <w:num w:numId="168" w16cid:durableId="1426342693">
    <w:abstractNumId w:val="78"/>
  </w:num>
  <w:num w:numId="169" w16cid:durableId="1906182792">
    <w:abstractNumId w:val="125"/>
  </w:num>
  <w:num w:numId="170" w16cid:durableId="590549211">
    <w:abstractNumId w:val="89"/>
  </w:num>
  <w:num w:numId="171" w16cid:durableId="2049989254">
    <w:abstractNumId w:val="188"/>
  </w:num>
  <w:num w:numId="172" w16cid:durableId="857544861">
    <w:abstractNumId w:val="53"/>
  </w:num>
  <w:num w:numId="173" w16cid:durableId="1377970412">
    <w:abstractNumId w:val="22"/>
  </w:num>
  <w:num w:numId="174" w16cid:durableId="875192561">
    <w:abstractNumId w:val="155"/>
  </w:num>
  <w:num w:numId="175" w16cid:durableId="1891573361">
    <w:abstractNumId w:val="149"/>
  </w:num>
  <w:num w:numId="176" w16cid:durableId="1109083677">
    <w:abstractNumId w:val="110"/>
  </w:num>
  <w:num w:numId="177" w16cid:durableId="1290626658">
    <w:abstractNumId w:val="94"/>
  </w:num>
  <w:num w:numId="178" w16cid:durableId="691226876">
    <w:abstractNumId w:val="128"/>
  </w:num>
  <w:num w:numId="179" w16cid:durableId="404958601">
    <w:abstractNumId w:val="101"/>
  </w:num>
  <w:num w:numId="180" w16cid:durableId="632828300">
    <w:abstractNumId w:val="170"/>
  </w:num>
  <w:num w:numId="181" w16cid:durableId="800148862">
    <w:abstractNumId w:val="21"/>
  </w:num>
  <w:num w:numId="182" w16cid:durableId="799767115">
    <w:abstractNumId w:val="177"/>
  </w:num>
  <w:num w:numId="183" w16cid:durableId="1252733914">
    <w:abstractNumId w:val="32"/>
  </w:num>
  <w:num w:numId="184" w16cid:durableId="718358224">
    <w:abstractNumId w:val="142"/>
  </w:num>
  <w:num w:numId="185" w16cid:durableId="881405534">
    <w:abstractNumId w:val="7"/>
  </w:num>
  <w:num w:numId="186" w16cid:durableId="1653096727">
    <w:abstractNumId w:val="37"/>
  </w:num>
  <w:num w:numId="187" w16cid:durableId="1477259945">
    <w:abstractNumId w:val="27"/>
  </w:num>
  <w:num w:numId="188" w16cid:durableId="1553541536">
    <w:abstractNumId w:val="134"/>
  </w:num>
  <w:num w:numId="189" w16cid:durableId="1591160181">
    <w:abstractNumId w:val="52"/>
  </w:num>
  <w:num w:numId="190" w16cid:durableId="1996378418">
    <w:abstractNumId w:val="147"/>
  </w:num>
  <w:num w:numId="191" w16cid:durableId="622731200">
    <w:abstractNumId w:val="127"/>
  </w:num>
  <w:numIdMacAtCleanup w:val="1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fullPage" w:percent="150"/>
  <w:proofState w:grammar="clean"/>
  <w:defaultTabStop w:val="708"/>
  <w:hyphenationZone w:val="425"/>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24E1"/>
    <w:rsid w:val="00002677"/>
    <w:rsid w:val="00010BF1"/>
    <w:rsid w:val="00011085"/>
    <w:rsid w:val="000111B5"/>
    <w:rsid w:val="00023C6E"/>
    <w:rsid w:val="00024507"/>
    <w:rsid w:val="0002624D"/>
    <w:rsid w:val="0003433B"/>
    <w:rsid w:val="00055A8F"/>
    <w:rsid w:val="00061CF9"/>
    <w:rsid w:val="0006463B"/>
    <w:rsid w:val="00070C46"/>
    <w:rsid w:val="00081D29"/>
    <w:rsid w:val="000839CB"/>
    <w:rsid w:val="000868D2"/>
    <w:rsid w:val="000871ED"/>
    <w:rsid w:val="00093357"/>
    <w:rsid w:val="000942DD"/>
    <w:rsid w:val="00094B74"/>
    <w:rsid w:val="00097751"/>
    <w:rsid w:val="000B235D"/>
    <w:rsid w:val="000B56FC"/>
    <w:rsid w:val="000C08B6"/>
    <w:rsid w:val="000C14B9"/>
    <w:rsid w:val="000C2482"/>
    <w:rsid w:val="000C7952"/>
    <w:rsid w:val="000D272C"/>
    <w:rsid w:val="000D5CB5"/>
    <w:rsid w:val="000E237E"/>
    <w:rsid w:val="000E4490"/>
    <w:rsid w:val="000E62A6"/>
    <w:rsid w:val="000F0B8D"/>
    <w:rsid w:val="000F5D64"/>
    <w:rsid w:val="000F6BB7"/>
    <w:rsid w:val="000F7727"/>
    <w:rsid w:val="000F77F7"/>
    <w:rsid w:val="0010310F"/>
    <w:rsid w:val="001165AE"/>
    <w:rsid w:val="001210C0"/>
    <w:rsid w:val="00127017"/>
    <w:rsid w:val="00130115"/>
    <w:rsid w:val="0014292C"/>
    <w:rsid w:val="00150C90"/>
    <w:rsid w:val="001605E9"/>
    <w:rsid w:val="00164D1A"/>
    <w:rsid w:val="00176193"/>
    <w:rsid w:val="0017670E"/>
    <w:rsid w:val="0018508A"/>
    <w:rsid w:val="00185881"/>
    <w:rsid w:val="00190225"/>
    <w:rsid w:val="00190FDD"/>
    <w:rsid w:val="001938BD"/>
    <w:rsid w:val="0019717B"/>
    <w:rsid w:val="001C4278"/>
    <w:rsid w:val="001D02B9"/>
    <w:rsid w:val="001D33A5"/>
    <w:rsid w:val="001D3E57"/>
    <w:rsid w:val="001D578E"/>
    <w:rsid w:val="001D6230"/>
    <w:rsid w:val="001E0F40"/>
    <w:rsid w:val="001E35DC"/>
    <w:rsid w:val="001E4E31"/>
    <w:rsid w:val="001E7C3C"/>
    <w:rsid w:val="001F007B"/>
    <w:rsid w:val="001F04F2"/>
    <w:rsid w:val="001F29C9"/>
    <w:rsid w:val="001F64C8"/>
    <w:rsid w:val="00204CFE"/>
    <w:rsid w:val="00204FB2"/>
    <w:rsid w:val="00210BC7"/>
    <w:rsid w:val="002158B9"/>
    <w:rsid w:val="002266FD"/>
    <w:rsid w:val="0023157E"/>
    <w:rsid w:val="00233FF7"/>
    <w:rsid w:val="00242F01"/>
    <w:rsid w:val="0024676E"/>
    <w:rsid w:val="0024795F"/>
    <w:rsid w:val="00251373"/>
    <w:rsid w:val="00266E26"/>
    <w:rsid w:val="002756C1"/>
    <w:rsid w:val="00295770"/>
    <w:rsid w:val="002A7758"/>
    <w:rsid w:val="002B5360"/>
    <w:rsid w:val="002C124C"/>
    <w:rsid w:val="002D1D08"/>
    <w:rsid w:val="002D26AE"/>
    <w:rsid w:val="002D5ACF"/>
    <w:rsid w:val="002E3FFF"/>
    <w:rsid w:val="002E41D8"/>
    <w:rsid w:val="002F24E1"/>
    <w:rsid w:val="002F3944"/>
    <w:rsid w:val="0031249A"/>
    <w:rsid w:val="00313785"/>
    <w:rsid w:val="003146AC"/>
    <w:rsid w:val="00315767"/>
    <w:rsid w:val="00324902"/>
    <w:rsid w:val="00326F65"/>
    <w:rsid w:val="003312A4"/>
    <w:rsid w:val="00337E3A"/>
    <w:rsid w:val="00341CF1"/>
    <w:rsid w:val="003455E5"/>
    <w:rsid w:val="00364649"/>
    <w:rsid w:val="00382E34"/>
    <w:rsid w:val="00387E48"/>
    <w:rsid w:val="003A0723"/>
    <w:rsid w:val="003A0E58"/>
    <w:rsid w:val="003A2259"/>
    <w:rsid w:val="003A697D"/>
    <w:rsid w:val="003A79F7"/>
    <w:rsid w:val="003C09CE"/>
    <w:rsid w:val="003C23E5"/>
    <w:rsid w:val="003D2A25"/>
    <w:rsid w:val="003D69A8"/>
    <w:rsid w:val="0040037B"/>
    <w:rsid w:val="00401897"/>
    <w:rsid w:val="00414AF7"/>
    <w:rsid w:val="00420DDA"/>
    <w:rsid w:val="0042214F"/>
    <w:rsid w:val="004309B5"/>
    <w:rsid w:val="00432E37"/>
    <w:rsid w:val="004341C6"/>
    <w:rsid w:val="004501F7"/>
    <w:rsid w:val="00461EC9"/>
    <w:rsid w:val="00463CBB"/>
    <w:rsid w:val="00464ECB"/>
    <w:rsid w:val="00472BCA"/>
    <w:rsid w:val="00472EB2"/>
    <w:rsid w:val="00475682"/>
    <w:rsid w:val="00490676"/>
    <w:rsid w:val="004957D6"/>
    <w:rsid w:val="0049647F"/>
    <w:rsid w:val="004A0154"/>
    <w:rsid w:val="004A0283"/>
    <w:rsid w:val="004A16F7"/>
    <w:rsid w:val="004B7CB2"/>
    <w:rsid w:val="004B7E1A"/>
    <w:rsid w:val="004C06CB"/>
    <w:rsid w:val="004C17A6"/>
    <w:rsid w:val="004C1D69"/>
    <w:rsid w:val="004C61F1"/>
    <w:rsid w:val="004E22B7"/>
    <w:rsid w:val="004E50AA"/>
    <w:rsid w:val="004E7C38"/>
    <w:rsid w:val="00514B02"/>
    <w:rsid w:val="005212FB"/>
    <w:rsid w:val="00523732"/>
    <w:rsid w:val="00526DF0"/>
    <w:rsid w:val="00530A19"/>
    <w:rsid w:val="00561F81"/>
    <w:rsid w:val="0056239C"/>
    <w:rsid w:val="00565D30"/>
    <w:rsid w:val="005660B8"/>
    <w:rsid w:val="00566A20"/>
    <w:rsid w:val="00572DF5"/>
    <w:rsid w:val="00576B08"/>
    <w:rsid w:val="00584AC9"/>
    <w:rsid w:val="00593E3D"/>
    <w:rsid w:val="005956E3"/>
    <w:rsid w:val="005B35F2"/>
    <w:rsid w:val="005C30D6"/>
    <w:rsid w:val="005C5A50"/>
    <w:rsid w:val="005C66A8"/>
    <w:rsid w:val="005C67A3"/>
    <w:rsid w:val="005D0AF0"/>
    <w:rsid w:val="005E06B0"/>
    <w:rsid w:val="005E1EA7"/>
    <w:rsid w:val="005E42EF"/>
    <w:rsid w:val="005E4C57"/>
    <w:rsid w:val="005E77BC"/>
    <w:rsid w:val="006006BE"/>
    <w:rsid w:val="00600DCC"/>
    <w:rsid w:val="00602CC2"/>
    <w:rsid w:val="00612C1A"/>
    <w:rsid w:val="00626C6A"/>
    <w:rsid w:val="0065222F"/>
    <w:rsid w:val="00653C65"/>
    <w:rsid w:val="00655560"/>
    <w:rsid w:val="00656988"/>
    <w:rsid w:val="00676FE5"/>
    <w:rsid w:val="00680897"/>
    <w:rsid w:val="00681151"/>
    <w:rsid w:val="006816AC"/>
    <w:rsid w:val="006901F3"/>
    <w:rsid w:val="0069356F"/>
    <w:rsid w:val="006B2D75"/>
    <w:rsid w:val="006B4E20"/>
    <w:rsid w:val="006D1117"/>
    <w:rsid w:val="006D3BD6"/>
    <w:rsid w:val="006D3CDE"/>
    <w:rsid w:val="006E00E8"/>
    <w:rsid w:val="006F132B"/>
    <w:rsid w:val="006F228E"/>
    <w:rsid w:val="006F5861"/>
    <w:rsid w:val="0070771C"/>
    <w:rsid w:val="007127C2"/>
    <w:rsid w:val="00712FA3"/>
    <w:rsid w:val="007161D7"/>
    <w:rsid w:val="00722BCE"/>
    <w:rsid w:val="00736FF2"/>
    <w:rsid w:val="00741A3D"/>
    <w:rsid w:val="00744B87"/>
    <w:rsid w:val="007562A8"/>
    <w:rsid w:val="007628FE"/>
    <w:rsid w:val="00765078"/>
    <w:rsid w:val="00765E15"/>
    <w:rsid w:val="00766B94"/>
    <w:rsid w:val="00767386"/>
    <w:rsid w:val="00770E90"/>
    <w:rsid w:val="00771718"/>
    <w:rsid w:val="0078092F"/>
    <w:rsid w:val="00781AC7"/>
    <w:rsid w:val="00790E8B"/>
    <w:rsid w:val="007A7C39"/>
    <w:rsid w:val="007D1C98"/>
    <w:rsid w:val="007D76A1"/>
    <w:rsid w:val="007E69F0"/>
    <w:rsid w:val="007E751D"/>
    <w:rsid w:val="008105B4"/>
    <w:rsid w:val="0081292F"/>
    <w:rsid w:val="008162C8"/>
    <w:rsid w:val="00817950"/>
    <w:rsid w:val="008300CA"/>
    <w:rsid w:val="00830CD2"/>
    <w:rsid w:val="00834860"/>
    <w:rsid w:val="0083549B"/>
    <w:rsid w:val="0083718B"/>
    <w:rsid w:val="00842848"/>
    <w:rsid w:val="008518B0"/>
    <w:rsid w:val="00852255"/>
    <w:rsid w:val="00857BF0"/>
    <w:rsid w:val="00860410"/>
    <w:rsid w:val="00860E73"/>
    <w:rsid w:val="008612BD"/>
    <w:rsid w:val="00887123"/>
    <w:rsid w:val="00890D27"/>
    <w:rsid w:val="008B2882"/>
    <w:rsid w:val="008B3F00"/>
    <w:rsid w:val="008B52F6"/>
    <w:rsid w:val="008B58BF"/>
    <w:rsid w:val="008C155A"/>
    <w:rsid w:val="008C51AD"/>
    <w:rsid w:val="008C58CE"/>
    <w:rsid w:val="008C674B"/>
    <w:rsid w:val="008D3B28"/>
    <w:rsid w:val="008F6E98"/>
    <w:rsid w:val="0090022B"/>
    <w:rsid w:val="00907E2B"/>
    <w:rsid w:val="00910216"/>
    <w:rsid w:val="00912638"/>
    <w:rsid w:val="00915398"/>
    <w:rsid w:val="00917406"/>
    <w:rsid w:val="00920598"/>
    <w:rsid w:val="00922843"/>
    <w:rsid w:val="00930AF1"/>
    <w:rsid w:val="0094273C"/>
    <w:rsid w:val="00950225"/>
    <w:rsid w:val="00953937"/>
    <w:rsid w:val="0096337E"/>
    <w:rsid w:val="00983185"/>
    <w:rsid w:val="0098393E"/>
    <w:rsid w:val="00991798"/>
    <w:rsid w:val="009A2729"/>
    <w:rsid w:val="009A3467"/>
    <w:rsid w:val="009D391E"/>
    <w:rsid w:val="009D3E1E"/>
    <w:rsid w:val="009F2496"/>
    <w:rsid w:val="009F2B92"/>
    <w:rsid w:val="00A10EBE"/>
    <w:rsid w:val="00A13E6C"/>
    <w:rsid w:val="00A155DA"/>
    <w:rsid w:val="00A17803"/>
    <w:rsid w:val="00A1797D"/>
    <w:rsid w:val="00A37377"/>
    <w:rsid w:val="00A5129F"/>
    <w:rsid w:val="00A621C8"/>
    <w:rsid w:val="00A62647"/>
    <w:rsid w:val="00A80382"/>
    <w:rsid w:val="00A81C4E"/>
    <w:rsid w:val="00A82C66"/>
    <w:rsid w:val="00A832F6"/>
    <w:rsid w:val="00A91185"/>
    <w:rsid w:val="00A915D7"/>
    <w:rsid w:val="00AA5AF7"/>
    <w:rsid w:val="00AB447B"/>
    <w:rsid w:val="00AB5685"/>
    <w:rsid w:val="00AC0E67"/>
    <w:rsid w:val="00AD7D88"/>
    <w:rsid w:val="00AE28C4"/>
    <w:rsid w:val="00AF382F"/>
    <w:rsid w:val="00B004EE"/>
    <w:rsid w:val="00B023F6"/>
    <w:rsid w:val="00B05F31"/>
    <w:rsid w:val="00B226CF"/>
    <w:rsid w:val="00B30305"/>
    <w:rsid w:val="00B3422B"/>
    <w:rsid w:val="00B372A5"/>
    <w:rsid w:val="00B4398F"/>
    <w:rsid w:val="00B50E64"/>
    <w:rsid w:val="00B51229"/>
    <w:rsid w:val="00B531B8"/>
    <w:rsid w:val="00B55E96"/>
    <w:rsid w:val="00B56A19"/>
    <w:rsid w:val="00B57C93"/>
    <w:rsid w:val="00B86EFE"/>
    <w:rsid w:val="00B931B2"/>
    <w:rsid w:val="00BA5ED3"/>
    <w:rsid w:val="00BB060F"/>
    <w:rsid w:val="00BB0D93"/>
    <w:rsid w:val="00BB6F78"/>
    <w:rsid w:val="00BC118F"/>
    <w:rsid w:val="00BC1DA4"/>
    <w:rsid w:val="00BC4336"/>
    <w:rsid w:val="00BC60A9"/>
    <w:rsid w:val="00BD7C35"/>
    <w:rsid w:val="00BE7249"/>
    <w:rsid w:val="00BF6AA8"/>
    <w:rsid w:val="00C04B58"/>
    <w:rsid w:val="00C13910"/>
    <w:rsid w:val="00C16E4E"/>
    <w:rsid w:val="00C24549"/>
    <w:rsid w:val="00C323AB"/>
    <w:rsid w:val="00C40988"/>
    <w:rsid w:val="00C40CA4"/>
    <w:rsid w:val="00C40FE8"/>
    <w:rsid w:val="00C431F3"/>
    <w:rsid w:val="00C4475F"/>
    <w:rsid w:val="00C54BC5"/>
    <w:rsid w:val="00C63768"/>
    <w:rsid w:val="00C7211F"/>
    <w:rsid w:val="00C73072"/>
    <w:rsid w:val="00C7715C"/>
    <w:rsid w:val="00C941B3"/>
    <w:rsid w:val="00CB4C39"/>
    <w:rsid w:val="00CB5E96"/>
    <w:rsid w:val="00CB661E"/>
    <w:rsid w:val="00CC016D"/>
    <w:rsid w:val="00CC17C3"/>
    <w:rsid w:val="00CD0CC9"/>
    <w:rsid w:val="00CE0C92"/>
    <w:rsid w:val="00CF113A"/>
    <w:rsid w:val="00D1004F"/>
    <w:rsid w:val="00D13261"/>
    <w:rsid w:val="00D133F2"/>
    <w:rsid w:val="00D17DDD"/>
    <w:rsid w:val="00D3100F"/>
    <w:rsid w:val="00D419DE"/>
    <w:rsid w:val="00D4573D"/>
    <w:rsid w:val="00D56BC2"/>
    <w:rsid w:val="00D57E5E"/>
    <w:rsid w:val="00D6084F"/>
    <w:rsid w:val="00D64C43"/>
    <w:rsid w:val="00D71D18"/>
    <w:rsid w:val="00D73DC7"/>
    <w:rsid w:val="00D775BB"/>
    <w:rsid w:val="00D86754"/>
    <w:rsid w:val="00D86886"/>
    <w:rsid w:val="00D91507"/>
    <w:rsid w:val="00D927ED"/>
    <w:rsid w:val="00D94342"/>
    <w:rsid w:val="00DB0BD6"/>
    <w:rsid w:val="00DB1635"/>
    <w:rsid w:val="00DB198F"/>
    <w:rsid w:val="00DB2C7A"/>
    <w:rsid w:val="00DB471E"/>
    <w:rsid w:val="00DC565A"/>
    <w:rsid w:val="00DC5A29"/>
    <w:rsid w:val="00DC64DB"/>
    <w:rsid w:val="00DD35A6"/>
    <w:rsid w:val="00DE14A0"/>
    <w:rsid w:val="00DE27F2"/>
    <w:rsid w:val="00DE3CF8"/>
    <w:rsid w:val="00DF1EFF"/>
    <w:rsid w:val="00DF657F"/>
    <w:rsid w:val="00E02854"/>
    <w:rsid w:val="00E052B1"/>
    <w:rsid w:val="00E06490"/>
    <w:rsid w:val="00E32DBF"/>
    <w:rsid w:val="00E34453"/>
    <w:rsid w:val="00E347D9"/>
    <w:rsid w:val="00E401FC"/>
    <w:rsid w:val="00E40449"/>
    <w:rsid w:val="00E50532"/>
    <w:rsid w:val="00E5126C"/>
    <w:rsid w:val="00E5129D"/>
    <w:rsid w:val="00E51E2E"/>
    <w:rsid w:val="00E60C64"/>
    <w:rsid w:val="00E61604"/>
    <w:rsid w:val="00E63218"/>
    <w:rsid w:val="00E706DD"/>
    <w:rsid w:val="00E74435"/>
    <w:rsid w:val="00E769C1"/>
    <w:rsid w:val="00E87F22"/>
    <w:rsid w:val="00E90F1F"/>
    <w:rsid w:val="00E91E59"/>
    <w:rsid w:val="00E92F7C"/>
    <w:rsid w:val="00EA26BC"/>
    <w:rsid w:val="00EA331B"/>
    <w:rsid w:val="00ED050B"/>
    <w:rsid w:val="00ED0DEB"/>
    <w:rsid w:val="00EE186F"/>
    <w:rsid w:val="00EE25BA"/>
    <w:rsid w:val="00EE6235"/>
    <w:rsid w:val="00EF50E5"/>
    <w:rsid w:val="00F12ECF"/>
    <w:rsid w:val="00F13F4B"/>
    <w:rsid w:val="00F23171"/>
    <w:rsid w:val="00F24ED0"/>
    <w:rsid w:val="00F26B14"/>
    <w:rsid w:val="00F3055F"/>
    <w:rsid w:val="00F3372B"/>
    <w:rsid w:val="00F43611"/>
    <w:rsid w:val="00F43652"/>
    <w:rsid w:val="00F6698B"/>
    <w:rsid w:val="00F705A4"/>
    <w:rsid w:val="00F802AA"/>
    <w:rsid w:val="00F81386"/>
    <w:rsid w:val="00F81C5A"/>
    <w:rsid w:val="00FA0779"/>
    <w:rsid w:val="00FB255C"/>
    <w:rsid w:val="00FC0D53"/>
    <w:rsid w:val="00FC439E"/>
    <w:rsid w:val="00FC6639"/>
    <w:rsid w:val="00FC6E17"/>
    <w:rsid w:val="00FD4EFF"/>
    <w:rsid w:val="00FD70E7"/>
    <w:rsid w:val="00FE1DF0"/>
    <w:rsid w:val="00FE579E"/>
    <w:rsid w:val="00FF355F"/>
    <w:rsid w:val="00FF661D"/>
    <w:rsid w:val="00FF77A5"/>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2C11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1373"/>
    <w:rPr>
      <w:rFonts w:ascii="Times New Roman" w:eastAsia="Times New Roman" w:hAnsi="Times New Roman" w:cs="Times New Roman"/>
      <w:lang w:eastAsia="fr-FR"/>
    </w:rPr>
  </w:style>
  <w:style w:type="paragraph" w:styleId="Titre1">
    <w:name w:val="heading 1"/>
    <w:basedOn w:val="Normal"/>
    <w:next w:val="Normal"/>
    <w:link w:val="Titre1Car"/>
    <w:uiPriority w:val="1"/>
    <w:qFormat/>
    <w:rsid w:val="002F24E1"/>
    <w:pPr>
      <w:keepNext/>
      <w:autoSpaceDE w:val="0"/>
      <w:autoSpaceDN w:val="0"/>
      <w:adjustRightInd w:val="0"/>
      <w:jc w:val="center"/>
      <w:outlineLvl w:val="0"/>
    </w:pPr>
    <w:rPr>
      <w:rFonts w:ascii="Arial" w:hAnsi="Arial" w:cs="Arial"/>
      <w:b/>
      <w:bCs/>
      <w:sz w:val="22"/>
      <w:szCs w:val="17"/>
    </w:rPr>
  </w:style>
  <w:style w:type="paragraph" w:styleId="Titre2">
    <w:name w:val="heading 2"/>
    <w:basedOn w:val="Normal"/>
    <w:next w:val="Normal"/>
    <w:link w:val="Titre2Car"/>
    <w:qFormat/>
    <w:rsid w:val="002F24E1"/>
    <w:pPr>
      <w:keepNext/>
      <w:autoSpaceDE w:val="0"/>
      <w:autoSpaceDN w:val="0"/>
      <w:adjustRightInd w:val="0"/>
      <w:ind w:firstLine="708"/>
      <w:jc w:val="center"/>
      <w:outlineLvl w:val="1"/>
    </w:pPr>
    <w:rPr>
      <w:rFonts w:ascii="Arial" w:hAnsi="Arial" w:cs="Arial"/>
      <w:b/>
      <w:bCs/>
      <w:sz w:val="22"/>
      <w:szCs w:val="17"/>
    </w:rPr>
  </w:style>
  <w:style w:type="paragraph" w:styleId="Titre3">
    <w:name w:val="heading 3"/>
    <w:basedOn w:val="Normal"/>
    <w:next w:val="Normal"/>
    <w:link w:val="Titre3Car"/>
    <w:qFormat/>
    <w:rsid w:val="002F24E1"/>
    <w:pPr>
      <w:keepNext/>
      <w:ind w:left="360" w:hanging="360"/>
      <w:jc w:val="both"/>
      <w:outlineLvl w:val="2"/>
    </w:pPr>
    <w:rPr>
      <w:b/>
      <w:bCs/>
    </w:rPr>
  </w:style>
  <w:style w:type="paragraph" w:styleId="Titre4">
    <w:name w:val="heading 4"/>
    <w:basedOn w:val="Normal"/>
    <w:next w:val="Normal"/>
    <w:link w:val="Titre4Car"/>
    <w:qFormat/>
    <w:rsid w:val="002F24E1"/>
    <w:pPr>
      <w:keepNext/>
      <w:jc w:val="both"/>
      <w:outlineLvl w:val="3"/>
    </w:pPr>
    <w:rPr>
      <w:b/>
      <w:bCs/>
    </w:rPr>
  </w:style>
  <w:style w:type="paragraph" w:styleId="Titre5">
    <w:name w:val="heading 5"/>
    <w:basedOn w:val="Normal"/>
    <w:next w:val="Normal"/>
    <w:link w:val="Titre5Car"/>
    <w:qFormat/>
    <w:rsid w:val="002F24E1"/>
    <w:pPr>
      <w:keepNext/>
      <w:autoSpaceDE w:val="0"/>
      <w:autoSpaceDN w:val="0"/>
      <w:adjustRightInd w:val="0"/>
      <w:jc w:val="center"/>
      <w:outlineLvl w:val="4"/>
    </w:pPr>
    <w:rPr>
      <w:b/>
      <w:bCs/>
    </w:rPr>
  </w:style>
  <w:style w:type="paragraph" w:styleId="Titre6">
    <w:name w:val="heading 6"/>
    <w:basedOn w:val="Normal"/>
    <w:next w:val="Normal"/>
    <w:link w:val="Titre6Car"/>
    <w:qFormat/>
    <w:rsid w:val="002F24E1"/>
    <w:pPr>
      <w:autoSpaceDE w:val="0"/>
      <w:autoSpaceDN w:val="0"/>
      <w:spacing w:before="240" w:after="60"/>
      <w:outlineLvl w:val="5"/>
    </w:pPr>
    <w:rPr>
      <w:i/>
      <w:iCs/>
      <w:sz w:val="22"/>
      <w:szCs w:val="22"/>
    </w:rPr>
  </w:style>
  <w:style w:type="paragraph" w:styleId="Titre7">
    <w:name w:val="heading 7"/>
    <w:basedOn w:val="Normal"/>
    <w:next w:val="Normal"/>
    <w:link w:val="Titre7Car"/>
    <w:qFormat/>
    <w:rsid w:val="002F24E1"/>
    <w:pPr>
      <w:autoSpaceDE w:val="0"/>
      <w:autoSpaceDN w:val="0"/>
      <w:spacing w:before="240" w:after="60"/>
      <w:outlineLvl w:val="6"/>
    </w:pPr>
    <w:rPr>
      <w:rFonts w:ascii="Arial" w:hAnsi="Arial" w:cs="Arial"/>
      <w:sz w:val="20"/>
      <w:szCs w:val="20"/>
    </w:rPr>
  </w:style>
  <w:style w:type="paragraph" w:styleId="Titre8">
    <w:name w:val="heading 8"/>
    <w:basedOn w:val="Normal"/>
    <w:next w:val="Normal"/>
    <w:link w:val="Titre8Car"/>
    <w:qFormat/>
    <w:rsid w:val="002F24E1"/>
    <w:pPr>
      <w:autoSpaceDE w:val="0"/>
      <w:autoSpaceDN w:val="0"/>
      <w:spacing w:before="240" w:after="60"/>
      <w:outlineLvl w:val="7"/>
    </w:pPr>
    <w:rPr>
      <w:rFonts w:ascii="Arial" w:hAnsi="Arial" w:cs="Arial"/>
      <w:i/>
      <w:iCs/>
      <w:sz w:val="20"/>
      <w:szCs w:val="20"/>
    </w:rPr>
  </w:style>
  <w:style w:type="paragraph" w:styleId="Titre9">
    <w:name w:val="heading 9"/>
    <w:basedOn w:val="Normal"/>
    <w:next w:val="Normal"/>
    <w:link w:val="Titre9Car"/>
    <w:qFormat/>
    <w:rsid w:val="002F24E1"/>
    <w:pPr>
      <w:autoSpaceDE w:val="0"/>
      <w:autoSpaceDN w:val="0"/>
      <w:spacing w:before="240" w:after="60"/>
      <w:outlineLvl w:val="8"/>
    </w:pPr>
    <w:rPr>
      <w:rFonts w:ascii="Arial" w:hAnsi="Arial" w:cs="Arial"/>
      <w:b/>
      <w:bCs/>
      <w:i/>
      <w:iCs/>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1"/>
    <w:rsid w:val="002F24E1"/>
    <w:rPr>
      <w:rFonts w:ascii="Arial" w:eastAsia="Times New Roman" w:hAnsi="Arial" w:cs="Arial"/>
      <w:b/>
      <w:bCs/>
      <w:sz w:val="22"/>
      <w:szCs w:val="17"/>
      <w:lang w:eastAsia="fr-FR"/>
    </w:rPr>
  </w:style>
  <w:style w:type="character" w:customStyle="1" w:styleId="Titre2Car">
    <w:name w:val="Titre 2 Car"/>
    <w:basedOn w:val="Policepardfaut"/>
    <w:link w:val="Titre2"/>
    <w:rsid w:val="002F24E1"/>
    <w:rPr>
      <w:rFonts w:ascii="Arial" w:eastAsia="Times New Roman" w:hAnsi="Arial" w:cs="Arial"/>
      <w:b/>
      <w:bCs/>
      <w:sz w:val="22"/>
      <w:szCs w:val="17"/>
      <w:lang w:eastAsia="fr-FR"/>
    </w:rPr>
  </w:style>
  <w:style w:type="character" w:customStyle="1" w:styleId="Titre3Car">
    <w:name w:val="Titre 3 Car"/>
    <w:basedOn w:val="Policepardfaut"/>
    <w:link w:val="Titre3"/>
    <w:rsid w:val="002F24E1"/>
    <w:rPr>
      <w:rFonts w:ascii="Times New Roman" w:eastAsia="Times New Roman" w:hAnsi="Times New Roman" w:cs="Times New Roman"/>
      <w:b/>
      <w:bCs/>
      <w:lang w:eastAsia="fr-FR"/>
    </w:rPr>
  </w:style>
  <w:style w:type="character" w:customStyle="1" w:styleId="Titre4Car">
    <w:name w:val="Titre 4 Car"/>
    <w:basedOn w:val="Policepardfaut"/>
    <w:link w:val="Titre4"/>
    <w:rsid w:val="002F24E1"/>
    <w:rPr>
      <w:rFonts w:ascii="Times New Roman" w:eastAsia="Times New Roman" w:hAnsi="Times New Roman" w:cs="Times New Roman"/>
      <w:b/>
      <w:bCs/>
      <w:lang w:eastAsia="fr-FR"/>
    </w:rPr>
  </w:style>
  <w:style w:type="character" w:customStyle="1" w:styleId="Titre5Car">
    <w:name w:val="Titre 5 Car"/>
    <w:basedOn w:val="Policepardfaut"/>
    <w:link w:val="Titre5"/>
    <w:rsid w:val="002F24E1"/>
    <w:rPr>
      <w:rFonts w:ascii="Times New Roman" w:eastAsia="Times New Roman" w:hAnsi="Times New Roman" w:cs="Times New Roman"/>
      <w:b/>
      <w:bCs/>
      <w:lang w:eastAsia="fr-FR"/>
    </w:rPr>
  </w:style>
  <w:style w:type="character" w:customStyle="1" w:styleId="Titre6Car">
    <w:name w:val="Titre 6 Car"/>
    <w:basedOn w:val="Policepardfaut"/>
    <w:link w:val="Titre6"/>
    <w:rsid w:val="002F24E1"/>
    <w:rPr>
      <w:rFonts w:ascii="Times New Roman" w:eastAsia="Times New Roman" w:hAnsi="Times New Roman" w:cs="Times New Roman"/>
      <w:i/>
      <w:iCs/>
      <w:sz w:val="22"/>
      <w:szCs w:val="22"/>
      <w:lang w:eastAsia="fr-FR"/>
    </w:rPr>
  </w:style>
  <w:style w:type="character" w:customStyle="1" w:styleId="Titre7Car">
    <w:name w:val="Titre 7 Car"/>
    <w:basedOn w:val="Policepardfaut"/>
    <w:link w:val="Titre7"/>
    <w:rsid w:val="002F24E1"/>
    <w:rPr>
      <w:rFonts w:ascii="Arial" w:eastAsia="Times New Roman" w:hAnsi="Arial" w:cs="Arial"/>
      <w:sz w:val="20"/>
      <w:szCs w:val="20"/>
      <w:lang w:eastAsia="fr-FR"/>
    </w:rPr>
  </w:style>
  <w:style w:type="character" w:customStyle="1" w:styleId="Titre8Car">
    <w:name w:val="Titre 8 Car"/>
    <w:basedOn w:val="Policepardfaut"/>
    <w:link w:val="Titre8"/>
    <w:rsid w:val="002F24E1"/>
    <w:rPr>
      <w:rFonts w:ascii="Arial" w:eastAsia="Times New Roman" w:hAnsi="Arial" w:cs="Arial"/>
      <w:i/>
      <w:iCs/>
      <w:sz w:val="20"/>
      <w:szCs w:val="20"/>
      <w:lang w:eastAsia="fr-FR"/>
    </w:rPr>
  </w:style>
  <w:style w:type="character" w:customStyle="1" w:styleId="Titre9Car">
    <w:name w:val="Titre 9 Car"/>
    <w:basedOn w:val="Policepardfaut"/>
    <w:link w:val="Titre9"/>
    <w:rsid w:val="002F24E1"/>
    <w:rPr>
      <w:rFonts w:ascii="Arial" w:eastAsia="Times New Roman" w:hAnsi="Arial" w:cs="Arial"/>
      <w:b/>
      <w:bCs/>
      <w:i/>
      <w:iCs/>
      <w:sz w:val="18"/>
      <w:szCs w:val="18"/>
      <w:lang w:eastAsia="fr-FR"/>
    </w:rPr>
  </w:style>
  <w:style w:type="paragraph" w:styleId="Retraitcorpsdetexte2">
    <w:name w:val="Body Text Indent 2"/>
    <w:basedOn w:val="Normal"/>
    <w:link w:val="Retraitcorpsdetexte2Car"/>
    <w:rsid w:val="002F24E1"/>
    <w:pPr>
      <w:ind w:left="900" w:hanging="195"/>
      <w:jc w:val="both"/>
    </w:pPr>
    <w:rPr>
      <w:rFonts w:ascii="Arial" w:hAnsi="Arial" w:cs="Arial"/>
      <w:color w:val="000000"/>
    </w:rPr>
  </w:style>
  <w:style w:type="character" w:customStyle="1" w:styleId="Retraitcorpsdetexte2Car">
    <w:name w:val="Retrait corps de texte 2 Car"/>
    <w:basedOn w:val="Policepardfaut"/>
    <w:link w:val="Retraitcorpsdetexte2"/>
    <w:rsid w:val="002F24E1"/>
    <w:rPr>
      <w:rFonts w:ascii="Arial" w:eastAsia="Times New Roman" w:hAnsi="Arial" w:cs="Arial"/>
      <w:color w:val="000000"/>
      <w:lang w:eastAsia="fr-FR"/>
    </w:rPr>
  </w:style>
  <w:style w:type="paragraph" w:styleId="Retraitcorpsdetexte3">
    <w:name w:val="Body Text Indent 3"/>
    <w:basedOn w:val="Normal"/>
    <w:link w:val="Retraitcorpsdetexte3Car"/>
    <w:rsid w:val="002F24E1"/>
    <w:pPr>
      <w:ind w:left="900" w:hanging="177"/>
      <w:jc w:val="both"/>
    </w:pPr>
    <w:rPr>
      <w:rFonts w:ascii="Arial" w:hAnsi="Arial" w:cs="Arial"/>
    </w:rPr>
  </w:style>
  <w:style w:type="character" w:customStyle="1" w:styleId="Retraitcorpsdetexte3Car">
    <w:name w:val="Retrait corps de texte 3 Car"/>
    <w:basedOn w:val="Policepardfaut"/>
    <w:link w:val="Retraitcorpsdetexte3"/>
    <w:rsid w:val="002F24E1"/>
    <w:rPr>
      <w:rFonts w:ascii="Arial" w:eastAsia="Times New Roman" w:hAnsi="Arial" w:cs="Arial"/>
      <w:lang w:eastAsia="fr-FR"/>
    </w:rPr>
  </w:style>
  <w:style w:type="paragraph" w:styleId="Retraitcorpsdetexte">
    <w:name w:val="Body Text Indent"/>
    <w:basedOn w:val="Normal"/>
    <w:link w:val="RetraitcorpsdetexteCar"/>
    <w:rsid w:val="002F24E1"/>
    <w:pPr>
      <w:autoSpaceDE w:val="0"/>
      <w:autoSpaceDN w:val="0"/>
      <w:adjustRightInd w:val="0"/>
      <w:ind w:left="720" w:hanging="360"/>
      <w:jc w:val="both"/>
    </w:pPr>
    <w:rPr>
      <w:rFonts w:ascii="Arial" w:hAnsi="Arial" w:cs="Arial"/>
      <w:sz w:val="22"/>
      <w:szCs w:val="19"/>
    </w:rPr>
  </w:style>
  <w:style w:type="character" w:customStyle="1" w:styleId="RetraitcorpsdetexteCar">
    <w:name w:val="Retrait corps de texte Car"/>
    <w:basedOn w:val="Policepardfaut"/>
    <w:link w:val="Retraitcorpsdetexte"/>
    <w:rsid w:val="002F24E1"/>
    <w:rPr>
      <w:rFonts w:ascii="Arial" w:eastAsia="Times New Roman" w:hAnsi="Arial" w:cs="Arial"/>
      <w:sz w:val="22"/>
      <w:szCs w:val="19"/>
      <w:lang w:eastAsia="fr-FR"/>
    </w:rPr>
  </w:style>
  <w:style w:type="paragraph" w:styleId="Corpsdetexte">
    <w:name w:val="Body Text"/>
    <w:basedOn w:val="Normal"/>
    <w:link w:val="CorpsdetexteCar"/>
    <w:uiPriority w:val="1"/>
    <w:qFormat/>
    <w:rsid w:val="002F24E1"/>
    <w:pPr>
      <w:autoSpaceDE w:val="0"/>
      <w:autoSpaceDN w:val="0"/>
      <w:adjustRightInd w:val="0"/>
      <w:jc w:val="both"/>
    </w:pPr>
    <w:rPr>
      <w:rFonts w:ascii="Arial" w:hAnsi="Arial" w:cs="Arial"/>
      <w:sz w:val="22"/>
      <w:szCs w:val="19"/>
    </w:rPr>
  </w:style>
  <w:style w:type="character" w:customStyle="1" w:styleId="CorpsdetexteCar">
    <w:name w:val="Corps de texte Car"/>
    <w:basedOn w:val="Policepardfaut"/>
    <w:link w:val="Corpsdetexte"/>
    <w:rsid w:val="002F24E1"/>
    <w:rPr>
      <w:rFonts w:ascii="Arial" w:eastAsia="Times New Roman" w:hAnsi="Arial" w:cs="Arial"/>
      <w:sz w:val="22"/>
      <w:szCs w:val="19"/>
      <w:lang w:eastAsia="fr-FR"/>
    </w:rPr>
  </w:style>
  <w:style w:type="character" w:styleId="Lienhypertexte">
    <w:name w:val="Hyperlink"/>
    <w:uiPriority w:val="99"/>
    <w:rsid w:val="002F24E1"/>
    <w:rPr>
      <w:color w:val="0000FF"/>
      <w:u w:val="single"/>
    </w:rPr>
  </w:style>
  <w:style w:type="character" w:styleId="Lienhypertextesuivivisit">
    <w:name w:val="FollowedHyperlink"/>
    <w:rsid w:val="002F24E1"/>
    <w:rPr>
      <w:color w:val="800080"/>
      <w:u w:val="single"/>
    </w:rPr>
  </w:style>
  <w:style w:type="paragraph" w:styleId="Titre">
    <w:name w:val="Title"/>
    <w:basedOn w:val="Normal"/>
    <w:link w:val="TitreCar"/>
    <w:qFormat/>
    <w:rsid w:val="002F24E1"/>
    <w:pPr>
      <w:ind w:left="360" w:hanging="360"/>
      <w:jc w:val="center"/>
    </w:pPr>
    <w:rPr>
      <w:rFonts w:ascii="Arial" w:hAnsi="Arial" w:cs="Arial"/>
      <w:b/>
      <w:bCs/>
      <w:szCs w:val="19"/>
    </w:rPr>
  </w:style>
  <w:style w:type="character" w:customStyle="1" w:styleId="TitreCar">
    <w:name w:val="Titre Car"/>
    <w:basedOn w:val="Policepardfaut"/>
    <w:link w:val="Titre"/>
    <w:rsid w:val="002F24E1"/>
    <w:rPr>
      <w:rFonts w:ascii="Arial" w:eastAsia="Times New Roman" w:hAnsi="Arial" w:cs="Arial"/>
      <w:b/>
      <w:bCs/>
      <w:szCs w:val="19"/>
      <w:lang w:eastAsia="fr-FR"/>
    </w:rPr>
  </w:style>
  <w:style w:type="paragraph" w:styleId="Sous-titre">
    <w:name w:val="Subtitle"/>
    <w:basedOn w:val="Normal"/>
    <w:link w:val="Sous-titreCar"/>
    <w:qFormat/>
    <w:rsid w:val="002F24E1"/>
    <w:pPr>
      <w:ind w:left="360" w:hanging="360"/>
      <w:jc w:val="center"/>
    </w:pPr>
    <w:rPr>
      <w:rFonts w:ascii="Arial" w:hAnsi="Arial" w:cs="Arial"/>
      <w:b/>
      <w:bCs/>
      <w:sz w:val="22"/>
      <w:szCs w:val="19"/>
    </w:rPr>
  </w:style>
  <w:style w:type="character" w:customStyle="1" w:styleId="Sous-titreCar">
    <w:name w:val="Sous-titre Car"/>
    <w:basedOn w:val="Policepardfaut"/>
    <w:link w:val="Sous-titre"/>
    <w:rsid w:val="002F24E1"/>
    <w:rPr>
      <w:rFonts w:ascii="Arial" w:eastAsia="Times New Roman" w:hAnsi="Arial" w:cs="Arial"/>
      <w:b/>
      <w:bCs/>
      <w:sz w:val="22"/>
      <w:szCs w:val="19"/>
      <w:lang w:eastAsia="fr-FR"/>
    </w:rPr>
  </w:style>
  <w:style w:type="paragraph" w:styleId="Textedebulles">
    <w:name w:val="Balloon Text"/>
    <w:basedOn w:val="Normal"/>
    <w:link w:val="TextedebullesCar"/>
    <w:rsid w:val="002F24E1"/>
    <w:rPr>
      <w:rFonts w:ascii="Tahoma" w:hAnsi="Tahoma" w:cs="Tahoma"/>
      <w:sz w:val="16"/>
      <w:szCs w:val="16"/>
    </w:rPr>
  </w:style>
  <w:style w:type="character" w:customStyle="1" w:styleId="TextedebullesCar">
    <w:name w:val="Texte de bulles Car"/>
    <w:basedOn w:val="Policepardfaut"/>
    <w:link w:val="Textedebulles"/>
    <w:rsid w:val="002F24E1"/>
    <w:rPr>
      <w:rFonts w:ascii="Tahoma" w:eastAsia="Times New Roman" w:hAnsi="Tahoma" w:cs="Tahoma"/>
      <w:sz w:val="16"/>
      <w:szCs w:val="16"/>
      <w:lang w:eastAsia="fr-FR"/>
    </w:rPr>
  </w:style>
  <w:style w:type="character" w:styleId="Marquedecommentaire">
    <w:name w:val="annotation reference"/>
    <w:rsid w:val="002F24E1"/>
    <w:rPr>
      <w:sz w:val="16"/>
      <w:szCs w:val="16"/>
    </w:rPr>
  </w:style>
  <w:style w:type="paragraph" w:styleId="Commentaire">
    <w:name w:val="annotation text"/>
    <w:basedOn w:val="Normal"/>
    <w:link w:val="CommentaireCar"/>
    <w:rsid w:val="002F24E1"/>
    <w:rPr>
      <w:sz w:val="20"/>
      <w:szCs w:val="20"/>
    </w:rPr>
  </w:style>
  <w:style w:type="character" w:customStyle="1" w:styleId="CommentaireCar">
    <w:name w:val="Commentaire Car"/>
    <w:basedOn w:val="Policepardfaut"/>
    <w:link w:val="Commentaire"/>
    <w:rsid w:val="002F24E1"/>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rsid w:val="002F24E1"/>
    <w:rPr>
      <w:b/>
      <w:bCs/>
    </w:rPr>
  </w:style>
  <w:style w:type="character" w:customStyle="1" w:styleId="ObjetducommentaireCar">
    <w:name w:val="Objet du commentaire Car"/>
    <w:basedOn w:val="CommentaireCar"/>
    <w:link w:val="Objetducommentaire"/>
    <w:rsid w:val="002F24E1"/>
    <w:rPr>
      <w:rFonts w:ascii="Times New Roman" w:eastAsia="Times New Roman" w:hAnsi="Times New Roman" w:cs="Times New Roman"/>
      <w:b/>
      <w:bCs/>
      <w:sz w:val="20"/>
      <w:szCs w:val="20"/>
      <w:lang w:eastAsia="fr-FR"/>
    </w:rPr>
  </w:style>
  <w:style w:type="paragraph" w:styleId="Corpsdetexte2">
    <w:name w:val="Body Text 2"/>
    <w:basedOn w:val="Normal"/>
    <w:link w:val="Corpsdetexte2Car"/>
    <w:rsid w:val="002F24E1"/>
    <w:pPr>
      <w:spacing w:after="120" w:line="480" w:lineRule="auto"/>
    </w:pPr>
  </w:style>
  <w:style w:type="character" w:customStyle="1" w:styleId="Corpsdetexte2Car">
    <w:name w:val="Corps de texte 2 Car"/>
    <w:basedOn w:val="Policepardfaut"/>
    <w:link w:val="Corpsdetexte2"/>
    <w:rsid w:val="002F24E1"/>
    <w:rPr>
      <w:rFonts w:ascii="Times New Roman" w:eastAsia="Times New Roman" w:hAnsi="Times New Roman" w:cs="Times New Roman"/>
      <w:lang w:eastAsia="fr-FR"/>
    </w:rPr>
  </w:style>
  <w:style w:type="paragraph" w:styleId="Pieddepage">
    <w:name w:val="footer"/>
    <w:basedOn w:val="Normal"/>
    <w:link w:val="PieddepageCar"/>
    <w:rsid w:val="002F24E1"/>
    <w:pPr>
      <w:tabs>
        <w:tab w:val="center" w:pos="4536"/>
        <w:tab w:val="right" w:pos="9072"/>
      </w:tabs>
    </w:pPr>
    <w:rPr>
      <w:sz w:val="20"/>
      <w:szCs w:val="20"/>
    </w:rPr>
  </w:style>
  <w:style w:type="character" w:customStyle="1" w:styleId="PieddepageCar">
    <w:name w:val="Pied de page Car"/>
    <w:basedOn w:val="Policepardfaut"/>
    <w:link w:val="Pieddepage"/>
    <w:rsid w:val="002F24E1"/>
    <w:rPr>
      <w:rFonts w:ascii="Times New Roman" w:eastAsia="Times New Roman" w:hAnsi="Times New Roman" w:cs="Times New Roman"/>
      <w:sz w:val="20"/>
      <w:szCs w:val="20"/>
      <w:lang w:eastAsia="fr-FR"/>
    </w:rPr>
  </w:style>
  <w:style w:type="character" w:styleId="Numrodepage">
    <w:name w:val="page number"/>
    <w:basedOn w:val="Policepardfaut"/>
    <w:rsid w:val="002F24E1"/>
  </w:style>
  <w:style w:type="paragraph" w:styleId="Corpsdetexte3">
    <w:name w:val="Body Text 3"/>
    <w:basedOn w:val="Normal"/>
    <w:link w:val="Corpsdetexte3Car"/>
    <w:rsid w:val="002F24E1"/>
    <w:pPr>
      <w:autoSpaceDE w:val="0"/>
      <w:autoSpaceDN w:val="0"/>
      <w:adjustRightInd w:val="0"/>
      <w:jc w:val="both"/>
    </w:pPr>
    <w:rPr>
      <w:i/>
      <w:iCs/>
    </w:rPr>
  </w:style>
  <w:style w:type="character" w:customStyle="1" w:styleId="Corpsdetexte3Car">
    <w:name w:val="Corps de texte 3 Car"/>
    <w:basedOn w:val="Policepardfaut"/>
    <w:link w:val="Corpsdetexte3"/>
    <w:rsid w:val="002F24E1"/>
    <w:rPr>
      <w:rFonts w:ascii="Times New Roman" w:eastAsia="Times New Roman" w:hAnsi="Times New Roman" w:cs="Times New Roman"/>
      <w:i/>
      <w:iCs/>
      <w:lang w:eastAsia="fr-FR"/>
    </w:rPr>
  </w:style>
  <w:style w:type="paragraph" w:styleId="Lgende">
    <w:name w:val="caption"/>
    <w:basedOn w:val="Normal"/>
    <w:next w:val="Normal"/>
    <w:qFormat/>
    <w:rsid w:val="002F24E1"/>
    <w:rPr>
      <w:b/>
      <w:bCs/>
      <w:sz w:val="20"/>
      <w:szCs w:val="20"/>
    </w:rPr>
  </w:style>
  <w:style w:type="paragraph" w:customStyle="1" w:styleId="Style">
    <w:name w:val="Style"/>
    <w:rsid w:val="002F24E1"/>
    <w:pPr>
      <w:widowControl w:val="0"/>
      <w:autoSpaceDE w:val="0"/>
      <w:autoSpaceDN w:val="0"/>
      <w:adjustRightInd w:val="0"/>
    </w:pPr>
    <w:rPr>
      <w:rFonts w:ascii="Times New Roman" w:eastAsia="Times New Roman" w:hAnsi="Times New Roman" w:cs="Times New Roman"/>
      <w:lang w:eastAsia="fr-FR"/>
    </w:rPr>
  </w:style>
  <w:style w:type="table" w:styleId="Grilledutableau">
    <w:name w:val="Table Grid"/>
    <w:basedOn w:val="TableauNormal"/>
    <w:rsid w:val="002F24E1"/>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2F24E1"/>
    <w:pPr>
      <w:tabs>
        <w:tab w:val="center" w:pos="4536"/>
        <w:tab w:val="right" w:pos="9072"/>
      </w:tabs>
    </w:pPr>
  </w:style>
  <w:style w:type="character" w:customStyle="1" w:styleId="En-tteCar">
    <w:name w:val="En-tête Car"/>
    <w:basedOn w:val="Policepardfaut"/>
    <w:link w:val="En-tte"/>
    <w:uiPriority w:val="99"/>
    <w:rsid w:val="002F24E1"/>
    <w:rPr>
      <w:rFonts w:ascii="Times New Roman" w:eastAsia="Times New Roman" w:hAnsi="Times New Roman" w:cs="Times New Roman"/>
      <w:lang w:eastAsia="fr-FR"/>
    </w:rPr>
  </w:style>
  <w:style w:type="paragraph" w:customStyle="1" w:styleId="Default">
    <w:name w:val="Default"/>
    <w:rsid w:val="002F24E1"/>
    <w:pPr>
      <w:widowControl w:val="0"/>
      <w:autoSpaceDE w:val="0"/>
      <w:autoSpaceDN w:val="0"/>
      <w:adjustRightInd w:val="0"/>
    </w:pPr>
    <w:rPr>
      <w:rFonts w:ascii="IILBD A+ EU Albertina" w:eastAsia="Times New Roman" w:hAnsi="IILBD A+ EU Albertina" w:cs="Times New Roman"/>
      <w:color w:val="000000"/>
      <w:lang w:eastAsia="fr-FR"/>
    </w:rPr>
  </w:style>
  <w:style w:type="paragraph" w:customStyle="1" w:styleId="CM1">
    <w:name w:val="CM1"/>
    <w:basedOn w:val="Default"/>
    <w:next w:val="Default"/>
    <w:uiPriority w:val="99"/>
    <w:rsid w:val="002F24E1"/>
    <w:rPr>
      <w:rFonts w:ascii="GFENP K+ Times New Roman Base" w:hAnsi="GFENP K+ Times New Roman Base"/>
      <w:color w:val="auto"/>
    </w:rPr>
  </w:style>
  <w:style w:type="paragraph" w:customStyle="1" w:styleId="CM26">
    <w:name w:val="CM26"/>
    <w:basedOn w:val="Default"/>
    <w:next w:val="Default"/>
    <w:rsid w:val="002F24E1"/>
    <w:pPr>
      <w:spacing w:after="68"/>
    </w:pPr>
    <w:rPr>
      <w:rFonts w:ascii="GFENP K+ Times New Roman Base" w:hAnsi="GFENP K+ Times New Roman Base"/>
      <w:color w:val="auto"/>
    </w:rPr>
  </w:style>
  <w:style w:type="paragraph" w:customStyle="1" w:styleId="CM28">
    <w:name w:val="CM28"/>
    <w:basedOn w:val="Default"/>
    <w:next w:val="Default"/>
    <w:rsid w:val="002F24E1"/>
    <w:pPr>
      <w:spacing w:after="143"/>
    </w:pPr>
    <w:rPr>
      <w:rFonts w:ascii="GFENP K+ Times New Roman Base" w:hAnsi="GFENP K+ Times New Roman Base"/>
      <w:color w:val="auto"/>
    </w:rPr>
  </w:style>
  <w:style w:type="paragraph" w:customStyle="1" w:styleId="CM4">
    <w:name w:val="CM4"/>
    <w:basedOn w:val="Default"/>
    <w:next w:val="Default"/>
    <w:uiPriority w:val="99"/>
    <w:rsid w:val="002F24E1"/>
    <w:pPr>
      <w:spacing w:line="211" w:lineRule="atLeast"/>
    </w:pPr>
    <w:rPr>
      <w:rFonts w:ascii="GFENP K+ Times New Roman Base" w:hAnsi="GFENP K+ Times New Roman Base"/>
      <w:color w:val="auto"/>
    </w:rPr>
  </w:style>
  <w:style w:type="paragraph" w:customStyle="1" w:styleId="CM7">
    <w:name w:val="CM7"/>
    <w:basedOn w:val="Default"/>
    <w:next w:val="Default"/>
    <w:rsid w:val="002F24E1"/>
    <w:pPr>
      <w:spacing w:line="213" w:lineRule="atLeast"/>
    </w:pPr>
    <w:rPr>
      <w:rFonts w:ascii="GFENP K+ Times New Roman Base" w:hAnsi="GFENP K+ Times New Roman Base"/>
      <w:color w:val="auto"/>
    </w:rPr>
  </w:style>
  <w:style w:type="paragraph" w:customStyle="1" w:styleId="CM29">
    <w:name w:val="CM29"/>
    <w:basedOn w:val="Default"/>
    <w:next w:val="Default"/>
    <w:rsid w:val="002F24E1"/>
    <w:pPr>
      <w:spacing w:after="270"/>
    </w:pPr>
    <w:rPr>
      <w:rFonts w:ascii="GFENP K+ Times New Roman Base" w:hAnsi="GFENP K+ Times New Roman Base"/>
      <w:color w:val="auto"/>
    </w:rPr>
  </w:style>
  <w:style w:type="paragraph" w:styleId="Paragraphedeliste">
    <w:name w:val="List Paragraph"/>
    <w:aliases w:val="Reference list,1st level - Bullet List Paragraph,Paragrafo elenco,List Paragraph1,List Paragraph11,Paragraphe de liste 2,Normal bullet 2,Bullet list,Numbered List,Lettre d'introduction,Paragraph,Bullet EY,Normal bullet 21,Bullet List"/>
    <w:basedOn w:val="Normal"/>
    <w:uiPriority w:val="34"/>
    <w:qFormat/>
    <w:rsid w:val="002F24E1"/>
    <w:pPr>
      <w:ind w:left="708"/>
    </w:pPr>
  </w:style>
  <w:style w:type="paragraph" w:styleId="NormalWeb">
    <w:name w:val="Normal (Web)"/>
    <w:basedOn w:val="Normal"/>
    <w:rsid w:val="002F24E1"/>
    <w:pPr>
      <w:spacing w:before="100" w:beforeAutospacing="1" w:after="100" w:afterAutospacing="1"/>
    </w:pPr>
    <w:rPr>
      <w:rFonts w:ascii="Arial Unicode MS" w:eastAsia="Arial Unicode MS" w:hAnsi="Arial Unicode MS" w:cs="Arial Unicode MS"/>
    </w:rPr>
  </w:style>
  <w:style w:type="paragraph" w:customStyle="1" w:styleId="article">
    <w:name w:val="article"/>
    <w:basedOn w:val="Normal"/>
    <w:rsid w:val="002F24E1"/>
    <w:pPr>
      <w:numPr>
        <w:numId w:val="18"/>
      </w:numPr>
      <w:spacing w:before="240" w:line="240" w:lineRule="atLeast"/>
      <w:jc w:val="both"/>
    </w:pPr>
    <w:rPr>
      <w:rFonts w:ascii="CG Times" w:hAnsi="CG Times"/>
      <w:lang w:val="fr-CA"/>
    </w:rPr>
  </w:style>
  <w:style w:type="paragraph" w:customStyle="1" w:styleId="Corpsdetexte21">
    <w:name w:val="Corps de texte 21"/>
    <w:basedOn w:val="Normal"/>
    <w:rsid w:val="002F24E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rPr>
      <w:lang w:val="fr-CA"/>
    </w:rPr>
  </w:style>
  <w:style w:type="paragraph" w:customStyle="1" w:styleId="Chapitre">
    <w:name w:val="Chapitre"/>
    <w:basedOn w:val="Normal"/>
    <w:rsid w:val="002F24E1"/>
    <w:pPr>
      <w:keepNext/>
      <w:spacing w:before="360" w:line="240" w:lineRule="atLeast"/>
      <w:ind w:left="1134" w:right="1134"/>
      <w:jc w:val="center"/>
    </w:pPr>
    <w:rPr>
      <w:rFonts w:ascii="Arial" w:hAnsi="Arial"/>
      <w:b/>
      <w:bCs/>
      <w:caps/>
      <w:sz w:val="28"/>
      <w:szCs w:val="28"/>
      <w:lang w:val="fr-CA"/>
    </w:rPr>
  </w:style>
  <w:style w:type="paragraph" w:customStyle="1" w:styleId="section">
    <w:name w:val="section"/>
    <w:basedOn w:val="Normal"/>
    <w:rsid w:val="002F24E1"/>
    <w:pPr>
      <w:keepNext/>
      <w:tabs>
        <w:tab w:val="left" w:pos="7938"/>
      </w:tabs>
      <w:spacing w:before="240" w:line="260" w:lineRule="exact"/>
      <w:ind w:left="851" w:right="1132"/>
      <w:jc w:val="center"/>
    </w:pPr>
    <w:rPr>
      <w:b/>
      <w:bCs/>
      <w:color w:val="000000"/>
      <w:szCs w:val="26"/>
      <w:lang w:val="fr-CA"/>
    </w:rPr>
  </w:style>
  <w:style w:type="paragraph" w:customStyle="1" w:styleId="BodyText21">
    <w:name w:val="Body Text 21"/>
    <w:basedOn w:val="Normal"/>
    <w:rsid w:val="002F24E1"/>
    <w:pPr>
      <w:ind w:left="1418" w:hanging="284"/>
      <w:jc w:val="both"/>
    </w:pPr>
    <w:rPr>
      <w:lang w:val="fr-CA"/>
    </w:rPr>
  </w:style>
  <w:style w:type="paragraph" w:customStyle="1" w:styleId="sarticle">
    <w:name w:val="sarticle"/>
    <w:basedOn w:val="Normal"/>
    <w:rsid w:val="002F24E1"/>
    <w:pPr>
      <w:spacing w:before="120"/>
      <w:ind w:firstLine="680"/>
      <w:jc w:val="both"/>
    </w:pPr>
    <w:rPr>
      <w:lang w:val="fr-CA"/>
    </w:rPr>
  </w:style>
  <w:style w:type="paragraph" w:customStyle="1" w:styleId="numsousart">
    <w:name w:val="num sous art"/>
    <w:basedOn w:val="Normal"/>
    <w:rsid w:val="002F24E1"/>
    <w:pPr>
      <w:spacing w:before="120"/>
      <w:ind w:left="992" w:hanging="425"/>
      <w:jc w:val="both"/>
    </w:pPr>
    <w:rPr>
      <w:lang w:val="fr-CA"/>
    </w:rPr>
  </w:style>
  <w:style w:type="paragraph" w:customStyle="1" w:styleId="pucessousart">
    <w:name w:val="puces sous art"/>
    <w:basedOn w:val="Normal"/>
    <w:rsid w:val="002F24E1"/>
    <w:pPr>
      <w:numPr>
        <w:numId w:val="19"/>
      </w:numPr>
      <w:ind w:left="1417" w:hanging="357"/>
      <w:jc w:val="both"/>
    </w:pPr>
    <w:rPr>
      <w:lang w:val="fr-CA"/>
    </w:rPr>
  </w:style>
  <w:style w:type="paragraph" w:customStyle="1" w:styleId="titre0">
    <w:name w:val="titre"/>
    <w:basedOn w:val="Chapitre"/>
    <w:rsid w:val="002F24E1"/>
    <w:pPr>
      <w:ind w:left="567" w:right="567"/>
    </w:pPr>
    <w:rPr>
      <w:sz w:val="32"/>
      <w:szCs w:val="32"/>
    </w:rPr>
  </w:style>
  <w:style w:type="paragraph" w:customStyle="1" w:styleId="soussection">
    <w:name w:val="sous section"/>
    <w:basedOn w:val="section"/>
    <w:rsid w:val="002F24E1"/>
    <w:pPr>
      <w:tabs>
        <w:tab w:val="clear" w:pos="7938"/>
      </w:tabs>
      <w:spacing w:line="240" w:lineRule="atLeast"/>
      <w:ind w:left="2268" w:right="2268"/>
    </w:pPr>
    <w:rPr>
      <w:rFonts w:ascii="Arial" w:hAnsi="Arial"/>
      <w:color w:val="auto"/>
      <w:sz w:val="26"/>
    </w:rPr>
  </w:style>
  <w:style w:type="paragraph" w:customStyle="1" w:styleId="Style2">
    <w:name w:val="Style2"/>
    <w:basedOn w:val="Normal"/>
    <w:autoRedefine/>
    <w:qFormat/>
    <w:rsid w:val="002F24E1"/>
    <w:rPr>
      <w:rFonts w:ascii="Bookman Old Style" w:hAnsi="Bookman Old Style"/>
    </w:rPr>
  </w:style>
  <w:style w:type="paragraph" w:styleId="En-ttedetabledesmatires">
    <w:name w:val="TOC Heading"/>
    <w:basedOn w:val="Titre1"/>
    <w:next w:val="Normal"/>
    <w:uiPriority w:val="39"/>
    <w:unhideWhenUsed/>
    <w:qFormat/>
    <w:rsid w:val="002F24E1"/>
    <w:pPr>
      <w:keepLines/>
      <w:autoSpaceDE/>
      <w:autoSpaceDN/>
      <w:adjustRightInd/>
      <w:spacing w:before="480" w:line="276" w:lineRule="auto"/>
      <w:jc w:val="left"/>
      <w:outlineLvl w:val="9"/>
    </w:pPr>
    <w:rPr>
      <w:rFonts w:ascii="Cambria" w:hAnsi="Cambria" w:cs="Times New Roman"/>
      <w:color w:val="365F91"/>
      <w:sz w:val="28"/>
      <w:szCs w:val="28"/>
      <w:lang w:eastAsia="en-US"/>
    </w:rPr>
  </w:style>
  <w:style w:type="paragraph" w:styleId="TM1">
    <w:name w:val="toc 1"/>
    <w:basedOn w:val="Normal"/>
    <w:next w:val="Normal"/>
    <w:autoRedefine/>
    <w:uiPriority w:val="39"/>
    <w:unhideWhenUsed/>
    <w:qFormat/>
    <w:rsid w:val="0024676E"/>
    <w:pPr>
      <w:tabs>
        <w:tab w:val="right" w:leader="dot" w:pos="9396"/>
      </w:tabs>
      <w:spacing w:before="120"/>
      <w:jc w:val="both"/>
    </w:pPr>
    <w:rPr>
      <w:rFonts w:asciiTheme="minorHAnsi" w:hAnsiTheme="minorHAnsi"/>
      <w:b/>
      <w:bCs/>
    </w:rPr>
  </w:style>
  <w:style w:type="paragraph" w:styleId="TM2">
    <w:name w:val="toc 2"/>
    <w:basedOn w:val="Normal"/>
    <w:next w:val="Normal"/>
    <w:autoRedefine/>
    <w:uiPriority w:val="39"/>
    <w:unhideWhenUsed/>
    <w:qFormat/>
    <w:rsid w:val="002F24E1"/>
    <w:pPr>
      <w:ind w:left="240"/>
    </w:pPr>
    <w:rPr>
      <w:rFonts w:asciiTheme="minorHAnsi" w:hAnsiTheme="minorHAnsi"/>
      <w:b/>
      <w:bCs/>
      <w:sz w:val="22"/>
      <w:szCs w:val="22"/>
    </w:rPr>
  </w:style>
  <w:style w:type="paragraph" w:styleId="TM3">
    <w:name w:val="toc 3"/>
    <w:basedOn w:val="Normal"/>
    <w:next w:val="Normal"/>
    <w:autoRedefine/>
    <w:uiPriority w:val="39"/>
    <w:unhideWhenUsed/>
    <w:qFormat/>
    <w:rsid w:val="002F24E1"/>
    <w:pPr>
      <w:ind w:left="480"/>
    </w:pPr>
    <w:rPr>
      <w:rFonts w:asciiTheme="minorHAnsi" w:hAnsiTheme="minorHAnsi"/>
      <w:sz w:val="22"/>
      <w:szCs w:val="22"/>
    </w:rPr>
  </w:style>
  <w:style w:type="paragraph" w:styleId="TM4">
    <w:name w:val="toc 4"/>
    <w:basedOn w:val="Normal"/>
    <w:next w:val="Normal"/>
    <w:autoRedefine/>
    <w:uiPriority w:val="39"/>
    <w:unhideWhenUsed/>
    <w:rsid w:val="002F24E1"/>
    <w:pPr>
      <w:ind w:left="720"/>
    </w:pPr>
    <w:rPr>
      <w:rFonts w:asciiTheme="minorHAnsi" w:hAnsiTheme="minorHAnsi"/>
      <w:sz w:val="20"/>
      <w:szCs w:val="20"/>
    </w:rPr>
  </w:style>
  <w:style w:type="paragraph" w:styleId="TM5">
    <w:name w:val="toc 5"/>
    <w:basedOn w:val="Normal"/>
    <w:next w:val="Normal"/>
    <w:autoRedefine/>
    <w:uiPriority w:val="39"/>
    <w:unhideWhenUsed/>
    <w:rsid w:val="002F24E1"/>
    <w:pPr>
      <w:ind w:left="960"/>
    </w:pPr>
    <w:rPr>
      <w:rFonts w:asciiTheme="minorHAnsi" w:hAnsiTheme="minorHAnsi"/>
      <w:sz w:val="20"/>
      <w:szCs w:val="20"/>
    </w:rPr>
  </w:style>
  <w:style w:type="paragraph" w:styleId="TM6">
    <w:name w:val="toc 6"/>
    <w:basedOn w:val="Normal"/>
    <w:next w:val="Normal"/>
    <w:autoRedefine/>
    <w:uiPriority w:val="39"/>
    <w:unhideWhenUsed/>
    <w:rsid w:val="002F24E1"/>
    <w:pPr>
      <w:ind w:left="1200"/>
    </w:pPr>
    <w:rPr>
      <w:rFonts w:asciiTheme="minorHAnsi" w:hAnsiTheme="minorHAnsi"/>
      <w:sz w:val="20"/>
      <w:szCs w:val="20"/>
    </w:rPr>
  </w:style>
  <w:style w:type="paragraph" w:styleId="TM7">
    <w:name w:val="toc 7"/>
    <w:basedOn w:val="Normal"/>
    <w:next w:val="Normal"/>
    <w:autoRedefine/>
    <w:uiPriority w:val="39"/>
    <w:unhideWhenUsed/>
    <w:rsid w:val="002F24E1"/>
    <w:pPr>
      <w:ind w:left="1440"/>
    </w:pPr>
    <w:rPr>
      <w:rFonts w:asciiTheme="minorHAnsi" w:hAnsiTheme="minorHAnsi"/>
      <w:sz w:val="20"/>
      <w:szCs w:val="20"/>
    </w:rPr>
  </w:style>
  <w:style w:type="paragraph" w:styleId="TM8">
    <w:name w:val="toc 8"/>
    <w:basedOn w:val="Normal"/>
    <w:next w:val="Normal"/>
    <w:autoRedefine/>
    <w:uiPriority w:val="39"/>
    <w:unhideWhenUsed/>
    <w:rsid w:val="002F24E1"/>
    <w:pPr>
      <w:ind w:left="1680"/>
    </w:pPr>
    <w:rPr>
      <w:rFonts w:asciiTheme="minorHAnsi" w:hAnsiTheme="minorHAnsi"/>
      <w:sz w:val="20"/>
      <w:szCs w:val="20"/>
    </w:rPr>
  </w:style>
  <w:style w:type="paragraph" w:styleId="TM9">
    <w:name w:val="toc 9"/>
    <w:basedOn w:val="Normal"/>
    <w:next w:val="Normal"/>
    <w:autoRedefine/>
    <w:uiPriority w:val="39"/>
    <w:unhideWhenUsed/>
    <w:rsid w:val="002F24E1"/>
    <w:pPr>
      <w:ind w:left="1920"/>
    </w:pPr>
    <w:rPr>
      <w:rFonts w:asciiTheme="minorHAnsi" w:hAnsiTheme="minorHAnsi"/>
      <w:sz w:val="20"/>
      <w:szCs w:val="20"/>
    </w:rPr>
  </w:style>
  <w:style w:type="character" w:customStyle="1" w:styleId="st1">
    <w:name w:val="st1"/>
    <w:rsid w:val="002F24E1"/>
  </w:style>
  <w:style w:type="paragraph" w:customStyle="1" w:styleId="TableParagraph">
    <w:name w:val="Table Paragraph"/>
    <w:basedOn w:val="Normal"/>
    <w:uiPriority w:val="1"/>
    <w:qFormat/>
    <w:rsid w:val="001E7C3C"/>
    <w:pPr>
      <w:widowControl w:val="0"/>
    </w:pPr>
    <w:rPr>
      <w:rFonts w:asciiTheme="minorHAnsi" w:eastAsiaTheme="minorHAnsi" w:hAnsiTheme="minorHAnsi" w:cstheme="minorBidi"/>
      <w:sz w:val="22"/>
      <w:szCs w:val="22"/>
      <w:lang w:val="en-US" w:eastAsia="en-US"/>
    </w:rPr>
  </w:style>
  <w:style w:type="table" w:customStyle="1" w:styleId="TableNormal">
    <w:name w:val="Table Normal"/>
    <w:uiPriority w:val="2"/>
    <w:semiHidden/>
    <w:unhideWhenUsed/>
    <w:qFormat/>
    <w:rsid w:val="004E7C38"/>
    <w:pPr>
      <w:widowControl w:val="0"/>
    </w:pPr>
    <w:rPr>
      <w:sz w:val="22"/>
      <w:szCs w:val="22"/>
      <w:lang w:val="en-US"/>
    </w:rPr>
    <w:tblPr>
      <w:tblInd w:w="0" w:type="dxa"/>
      <w:tblCellMar>
        <w:top w:w="0" w:type="dxa"/>
        <w:left w:w="0" w:type="dxa"/>
        <w:bottom w:w="0" w:type="dxa"/>
        <w:right w:w="0" w:type="dxa"/>
      </w:tblCellMar>
    </w:tblPr>
  </w:style>
  <w:style w:type="paragraph" w:styleId="Explorateurdedocuments">
    <w:name w:val="Document Map"/>
    <w:basedOn w:val="Normal"/>
    <w:link w:val="ExplorateurdedocumentsCar"/>
    <w:uiPriority w:val="99"/>
    <w:semiHidden/>
    <w:unhideWhenUsed/>
    <w:rsid w:val="004E7C38"/>
    <w:pPr>
      <w:widowControl w:val="0"/>
    </w:pPr>
    <w:rPr>
      <w:rFonts w:eastAsiaTheme="minorHAnsi" w:cstheme="minorBidi"/>
      <w:lang w:val="en-US" w:eastAsia="en-US"/>
    </w:rPr>
  </w:style>
  <w:style w:type="character" w:customStyle="1" w:styleId="ExplorateurdedocumentsCar">
    <w:name w:val="Explorateur de documents Car"/>
    <w:basedOn w:val="Policepardfaut"/>
    <w:link w:val="Explorateurdedocuments"/>
    <w:uiPriority w:val="99"/>
    <w:semiHidden/>
    <w:rsid w:val="004E7C38"/>
    <w:rPr>
      <w:rFonts w:ascii="Times New Roman" w:hAnsi="Times New Roman"/>
      <w:lang w:val="en-US"/>
    </w:rPr>
  </w:style>
  <w:style w:type="paragraph" w:customStyle="1" w:styleId="Corpsdetexte22">
    <w:name w:val="Corps de texte 22"/>
    <w:basedOn w:val="Normal"/>
    <w:rsid w:val="00A82C66"/>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rPr>
      <w:lang w:val="fr-CA"/>
    </w:rPr>
  </w:style>
  <w:style w:type="character" w:styleId="Appelnotedebasdep">
    <w:name w:val="footnote reference"/>
    <w:uiPriority w:val="99"/>
    <w:semiHidden/>
    <w:rsid w:val="00A82C66"/>
    <w:rPr>
      <w:vertAlign w:val="superscript"/>
    </w:rPr>
  </w:style>
  <w:style w:type="paragraph" w:customStyle="1" w:styleId="Retraitcorpsdetexte21">
    <w:name w:val="Retrait corps de texte 21"/>
    <w:basedOn w:val="Normal"/>
    <w:rsid w:val="00A82C66"/>
    <w:pPr>
      <w:ind w:left="709"/>
      <w:jc w:val="both"/>
    </w:pPr>
    <w:rPr>
      <w:lang w:val="fr-CA"/>
    </w:rPr>
  </w:style>
  <w:style w:type="paragraph" w:styleId="Notedebasdepage">
    <w:name w:val="footnote text"/>
    <w:basedOn w:val="Normal"/>
    <w:link w:val="NotedebasdepageCar"/>
    <w:uiPriority w:val="99"/>
    <w:semiHidden/>
    <w:rsid w:val="00A82C66"/>
    <w:rPr>
      <w:sz w:val="20"/>
      <w:szCs w:val="20"/>
      <w:lang w:val="fr-CA" w:eastAsia="x-none"/>
    </w:rPr>
  </w:style>
  <w:style w:type="character" w:customStyle="1" w:styleId="NotedebasdepageCar">
    <w:name w:val="Note de bas de page Car"/>
    <w:basedOn w:val="Policepardfaut"/>
    <w:link w:val="Notedebasdepage"/>
    <w:uiPriority w:val="99"/>
    <w:semiHidden/>
    <w:rsid w:val="00A82C66"/>
    <w:rPr>
      <w:rFonts w:ascii="Times New Roman" w:eastAsia="Times New Roman" w:hAnsi="Times New Roman" w:cs="Times New Roman"/>
      <w:sz w:val="20"/>
      <w:szCs w:val="20"/>
      <w:lang w:val="fr-CA" w:eastAsia="x-none"/>
    </w:rPr>
  </w:style>
  <w:style w:type="paragraph" w:customStyle="1" w:styleId="DefaultText">
    <w:name w:val="Default Text"/>
    <w:basedOn w:val="Normal"/>
    <w:rsid w:val="00A82C66"/>
    <w:pPr>
      <w:overflowPunct w:val="0"/>
      <w:autoSpaceDE w:val="0"/>
      <w:autoSpaceDN w:val="0"/>
      <w:adjustRightInd w:val="0"/>
      <w:textAlignment w:val="baseline"/>
    </w:pPr>
    <w:rPr>
      <w:szCs w:val="20"/>
      <w:lang w:eastAsia="en-US"/>
    </w:rPr>
  </w:style>
  <w:style w:type="character" w:customStyle="1" w:styleId="hps">
    <w:name w:val="hps"/>
    <w:basedOn w:val="Policepardfaut"/>
    <w:rsid w:val="00A82C66"/>
  </w:style>
  <w:style w:type="paragraph" w:customStyle="1" w:styleId="TxBrp2">
    <w:name w:val="TxBr_p2"/>
    <w:basedOn w:val="Normal"/>
    <w:rsid w:val="00A82C66"/>
    <w:pPr>
      <w:tabs>
        <w:tab w:val="left" w:pos="204"/>
      </w:tabs>
      <w:spacing w:line="289" w:lineRule="atLeast"/>
      <w:jc w:val="both"/>
    </w:pPr>
    <w:rPr>
      <w:szCs w:val="20"/>
      <w:lang w:val="en-US"/>
    </w:rPr>
  </w:style>
  <w:style w:type="paragraph" w:customStyle="1" w:styleId="TxBrp3">
    <w:name w:val="TxBr_p3"/>
    <w:basedOn w:val="Normal"/>
    <w:rsid w:val="00A82C66"/>
    <w:pPr>
      <w:tabs>
        <w:tab w:val="left" w:pos="742"/>
        <w:tab w:val="left" w:pos="1111"/>
      </w:tabs>
      <w:spacing w:line="289" w:lineRule="atLeast"/>
      <w:ind w:left="1111" w:hanging="368"/>
      <w:jc w:val="both"/>
    </w:pPr>
    <w:rPr>
      <w:szCs w:val="20"/>
      <w:lang w:val="en-US"/>
    </w:rPr>
  </w:style>
  <w:style w:type="paragraph" w:customStyle="1" w:styleId="TxBrp8">
    <w:name w:val="TxBr_p8"/>
    <w:basedOn w:val="Normal"/>
    <w:rsid w:val="00A82C66"/>
    <w:pPr>
      <w:tabs>
        <w:tab w:val="left" w:pos="204"/>
      </w:tabs>
      <w:spacing w:line="289" w:lineRule="atLeast"/>
    </w:pPr>
    <w:rPr>
      <w:szCs w:val="20"/>
      <w:lang w:val="en-US"/>
    </w:rPr>
  </w:style>
  <w:style w:type="paragraph" w:customStyle="1" w:styleId="TxBrp7">
    <w:name w:val="TxBr_p7"/>
    <w:basedOn w:val="Normal"/>
    <w:rsid w:val="00A82C66"/>
    <w:pPr>
      <w:tabs>
        <w:tab w:val="left" w:pos="204"/>
      </w:tabs>
      <w:spacing w:line="240" w:lineRule="atLeast"/>
      <w:jc w:val="both"/>
    </w:pPr>
    <w:rPr>
      <w:szCs w:val="20"/>
      <w:lang w:val="en-US"/>
    </w:rPr>
  </w:style>
  <w:style w:type="paragraph" w:styleId="Listepuces2">
    <w:name w:val="List Bullet 2"/>
    <w:basedOn w:val="Normal"/>
    <w:autoRedefine/>
    <w:rsid w:val="00A82C66"/>
    <w:pPr>
      <w:jc w:val="both"/>
    </w:pPr>
    <w:rPr>
      <w:szCs w:val="20"/>
      <w:lang w:val="fr-CH"/>
    </w:rPr>
  </w:style>
  <w:style w:type="paragraph" w:styleId="Textebrut">
    <w:name w:val="Plain Text"/>
    <w:basedOn w:val="Normal"/>
    <w:link w:val="TextebrutCar"/>
    <w:rsid w:val="00A82C66"/>
    <w:rPr>
      <w:rFonts w:ascii="Courier New" w:hAnsi="Courier New" w:cs="Courier New"/>
      <w:sz w:val="20"/>
      <w:szCs w:val="20"/>
      <w:lang w:val="es-ES" w:eastAsia="es-ES"/>
    </w:rPr>
  </w:style>
  <w:style w:type="character" w:customStyle="1" w:styleId="TextebrutCar">
    <w:name w:val="Texte brut Car"/>
    <w:basedOn w:val="Policepardfaut"/>
    <w:link w:val="Textebrut"/>
    <w:rsid w:val="00A82C66"/>
    <w:rPr>
      <w:rFonts w:ascii="Courier New" w:eastAsia="Times New Roman" w:hAnsi="Courier New" w:cs="Courier New"/>
      <w:sz w:val="20"/>
      <w:szCs w:val="20"/>
      <w:lang w:val="es-ES" w:eastAsia="es-ES"/>
    </w:rPr>
  </w:style>
  <w:style w:type="paragraph" w:customStyle="1" w:styleId="Paragraphedeliste1">
    <w:name w:val="Paragraphe de liste1"/>
    <w:aliases w:val="Bullets,List Paragraph (numbered (a)),References,Liste 1,List Paragraph nowy,Numbered List Paragraph,Medium Grid 1 - Accent 21,ReferencesCxSpLast,Paragraphe  revu,Numbered paragraph"/>
    <w:basedOn w:val="Normal"/>
    <w:link w:val="ParagraphedelisteCar"/>
    <w:uiPriority w:val="34"/>
    <w:qFormat/>
    <w:rsid w:val="00A82C66"/>
    <w:pPr>
      <w:spacing w:after="200" w:line="276" w:lineRule="auto"/>
      <w:ind w:left="720"/>
      <w:contextualSpacing/>
      <w:jc w:val="both"/>
    </w:pPr>
    <w:rPr>
      <w:rFonts w:ascii="Calibri" w:eastAsia="Calibri" w:hAnsi="Calibri"/>
      <w:sz w:val="22"/>
      <w:szCs w:val="22"/>
      <w:lang w:val="en-GB" w:eastAsia="en-US"/>
    </w:rPr>
  </w:style>
  <w:style w:type="character" w:customStyle="1" w:styleId="ParagraphedelisteCar">
    <w:name w:val="Paragraphe de liste Car"/>
    <w:aliases w:val="Bullets Car,List Paragraph (numbered (a)) Car,References Car,Liste 1 Car,List Paragraph nowy Car,Numbered List Paragraph Car,Medium Grid 1 - Accent 21 Car,ReferencesCxSpLast Car,Paragraphe  revu Car,Numbered paragraph Car"/>
    <w:link w:val="Paragraphedeliste1"/>
    <w:uiPriority w:val="34"/>
    <w:qFormat/>
    <w:locked/>
    <w:rsid w:val="00A82C66"/>
    <w:rPr>
      <w:rFonts w:ascii="Calibri" w:eastAsia="Calibri" w:hAnsi="Calibri" w:cs="Times New Roman"/>
      <w:sz w:val="22"/>
      <w:szCs w:val="22"/>
      <w:lang w:val="en-GB"/>
    </w:rPr>
  </w:style>
  <w:style w:type="paragraph" w:styleId="Rvision">
    <w:name w:val="Revision"/>
    <w:hidden/>
    <w:uiPriority w:val="99"/>
    <w:semiHidden/>
    <w:rsid w:val="00712FA3"/>
    <w:rPr>
      <w:rFonts w:ascii="Times New Roman" w:eastAsia="Times New Roman" w:hAnsi="Times New Roman" w:cs="Times New Roman"/>
      <w:lang w:eastAsia="fr-FR"/>
    </w:rPr>
  </w:style>
  <w:style w:type="paragraph" w:customStyle="1" w:styleId="Text2">
    <w:name w:val="Text 2"/>
    <w:basedOn w:val="Normal"/>
    <w:rsid w:val="00842848"/>
    <w:pPr>
      <w:tabs>
        <w:tab w:val="left" w:pos="2302"/>
      </w:tabs>
      <w:spacing w:after="240"/>
      <w:ind w:left="1202"/>
      <w:jc w:val="both"/>
    </w:pPr>
    <w:rPr>
      <w:szCs w:val="20"/>
      <w:lang w:val="en-GB" w:eastAsia="en-GB"/>
    </w:rPr>
  </w:style>
  <w:style w:type="character" w:customStyle="1" w:styleId="apple-converted-space">
    <w:name w:val="apple-converted-space"/>
    <w:basedOn w:val="Policepardfaut"/>
    <w:rsid w:val="003D69A8"/>
  </w:style>
  <w:style w:type="paragraph" w:styleId="Citation">
    <w:name w:val="Quote"/>
    <w:basedOn w:val="Normal"/>
    <w:next w:val="Normal"/>
    <w:link w:val="CitationCar"/>
    <w:uiPriority w:val="29"/>
    <w:qFormat/>
    <w:rsid w:val="003D69A8"/>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3D69A8"/>
    <w:rPr>
      <w:rFonts w:ascii="Times New Roman" w:eastAsia="Times New Roman" w:hAnsi="Times New Roman" w:cs="Times New Roman"/>
      <w:i/>
      <w:iCs/>
      <w:color w:val="404040" w:themeColor="text1" w:themeTint="BF"/>
      <w:lang w:eastAsia="fr-FR"/>
    </w:rPr>
  </w:style>
  <w:style w:type="character" w:styleId="Accentuationintense">
    <w:name w:val="Intense Emphasis"/>
    <w:basedOn w:val="Policepardfaut"/>
    <w:uiPriority w:val="21"/>
    <w:qFormat/>
    <w:rsid w:val="003D69A8"/>
    <w:rPr>
      <w:i/>
      <w:iCs/>
      <w:color w:val="2E74B5" w:themeColor="accent1" w:themeShade="BF"/>
    </w:rPr>
  </w:style>
  <w:style w:type="paragraph" w:styleId="Citationintense">
    <w:name w:val="Intense Quote"/>
    <w:basedOn w:val="Normal"/>
    <w:next w:val="Normal"/>
    <w:link w:val="CitationintenseCar"/>
    <w:uiPriority w:val="30"/>
    <w:qFormat/>
    <w:rsid w:val="003D69A8"/>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tionintenseCar">
    <w:name w:val="Citation intense Car"/>
    <w:basedOn w:val="Policepardfaut"/>
    <w:link w:val="Citationintense"/>
    <w:uiPriority w:val="30"/>
    <w:rsid w:val="003D69A8"/>
    <w:rPr>
      <w:rFonts w:ascii="Times New Roman" w:eastAsia="Times New Roman" w:hAnsi="Times New Roman" w:cs="Times New Roman"/>
      <w:i/>
      <w:iCs/>
      <w:color w:val="2E74B5" w:themeColor="accent1" w:themeShade="BF"/>
      <w:lang w:eastAsia="fr-FR"/>
    </w:rPr>
  </w:style>
  <w:style w:type="character" w:styleId="Rfrenceintense">
    <w:name w:val="Intense Reference"/>
    <w:basedOn w:val="Policepardfaut"/>
    <w:uiPriority w:val="32"/>
    <w:qFormat/>
    <w:rsid w:val="003D69A8"/>
    <w:rPr>
      <w:b/>
      <w:bCs/>
      <w:smallCaps/>
      <w:color w:val="2E74B5" w:themeColor="accent1" w:themeShade="BF"/>
      <w:spacing w:val="5"/>
    </w:rPr>
  </w:style>
  <w:style w:type="paragraph" w:customStyle="1" w:styleId="CM3">
    <w:name w:val="CM3"/>
    <w:basedOn w:val="Default"/>
    <w:next w:val="Default"/>
    <w:uiPriority w:val="99"/>
    <w:rsid w:val="003D69A8"/>
    <w:pPr>
      <w:widowControl/>
    </w:pPr>
    <w:rPr>
      <w:rFonts w:ascii="Times New Roman" w:eastAsiaTheme="minorHAnsi" w:hAnsi="Times New Roman"/>
      <w:color w:val="auto"/>
      <w:lang w:eastAsia="en-US"/>
    </w:rPr>
  </w:style>
  <w:style w:type="table" w:styleId="TableauGrille6Couleur-Accentuation2">
    <w:name w:val="Grid Table 6 Colorful Accent 2"/>
    <w:basedOn w:val="TableauNormal"/>
    <w:uiPriority w:val="51"/>
    <w:rsid w:val="00F26B14"/>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Sansinterligne">
    <w:name w:val="No Spacing"/>
    <w:uiPriority w:val="1"/>
    <w:qFormat/>
    <w:rsid w:val="00097751"/>
    <w:rPr>
      <w:rFonts w:ascii="Calibri" w:eastAsia="Times New Roman" w:hAnsi="Calibri" w:cs="Times New Roman"/>
      <w:sz w:val="22"/>
      <w:szCs w:val="22"/>
      <w:lang w:eastAsia="fr-FR"/>
    </w:rPr>
  </w:style>
  <w:style w:type="table" w:styleId="TableauGrille6Couleur-Accentuation6">
    <w:name w:val="Grid Table 6 Colorful Accent 6"/>
    <w:basedOn w:val="TableauNormal"/>
    <w:uiPriority w:val="51"/>
    <w:rsid w:val="00F23171"/>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04074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5.xm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7.xml"/><Relationship Id="rId29"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9.xml"/><Relationship Id="rId28" Type="http://schemas.openxmlformats.org/officeDocument/2006/relationships/footer" Target="footer13.xml"/><Relationship Id="rId10" Type="http://schemas.openxmlformats.org/officeDocument/2006/relationships/header" Target="header1.xml"/><Relationship Id="rId19" Type="http://schemas.openxmlformats.org/officeDocument/2006/relationships/footer" Target="footer6.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3.xml"/><Relationship Id="rId22" Type="http://schemas.openxmlformats.org/officeDocument/2006/relationships/footer" Target="footer8.xml"/><Relationship Id="rId27" Type="http://schemas.openxmlformats.org/officeDocument/2006/relationships/footer" Target="footer1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0BEEC94-F49C-6846-A82E-264BBD49E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257</Pages>
  <Words>106935</Words>
  <Characters>588144</Characters>
  <Application>Microsoft Office Word</Application>
  <DocSecurity>0</DocSecurity>
  <Lines>4901</Lines>
  <Paragraphs>1387</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693692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Bilal</dc:creator>
  <cp:keywords/>
  <dc:description/>
  <cp:lastModifiedBy>Mohamed Lemine</cp:lastModifiedBy>
  <cp:revision>5</cp:revision>
  <cp:lastPrinted>2020-11-02T17:55:00Z</cp:lastPrinted>
  <dcterms:created xsi:type="dcterms:W3CDTF">2025-06-30T22:02:00Z</dcterms:created>
  <dcterms:modified xsi:type="dcterms:W3CDTF">2025-06-30T22:38:00Z</dcterms:modified>
</cp:coreProperties>
</file>